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BDA268" w14:textId="77777777" w:rsidR="00957053" w:rsidRPr="00C33834" w:rsidRDefault="00957053" w:rsidP="00C33834">
      <w:pPr>
        <w:autoSpaceDE w:val="0"/>
        <w:autoSpaceDN w:val="0"/>
        <w:adjustRightInd w:val="0"/>
        <w:spacing w:after="0" w:line="240" w:lineRule="auto"/>
        <w:jc w:val="both"/>
        <w:rPr>
          <w:rFonts w:ascii="Times New Roman" w:hAnsi="Times New Roman"/>
          <w:b/>
          <w:bCs/>
          <w:color w:val="000000" w:themeColor="text1"/>
          <w:sz w:val="16"/>
          <w:szCs w:val="16"/>
        </w:rPr>
      </w:pPr>
      <w:r w:rsidRPr="00C33834">
        <w:rPr>
          <w:rFonts w:ascii="Times New Roman" w:hAnsi="Times New Roman"/>
          <w:b/>
          <w:bCs/>
          <w:color w:val="000000" w:themeColor="text1"/>
          <w:sz w:val="16"/>
          <w:szCs w:val="16"/>
        </w:rPr>
        <w:t>1933</w:t>
      </w:r>
    </w:p>
    <w:p w14:paraId="3A0C4A98" w14:textId="77777777" w:rsidR="002217A6" w:rsidRPr="00C33834" w:rsidRDefault="002217A6" w:rsidP="00C33834">
      <w:pPr>
        <w:autoSpaceDE w:val="0"/>
        <w:autoSpaceDN w:val="0"/>
        <w:adjustRightInd w:val="0"/>
        <w:spacing w:after="0" w:line="240" w:lineRule="auto"/>
        <w:jc w:val="both"/>
        <w:rPr>
          <w:rFonts w:ascii="Times New Roman" w:hAnsi="Times New Roman"/>
          <w:i/>
          <w:iCs/>
          <w:color w:val="000000" w:themeColor="text1"/>
          <w:sz w:val="16"/>
          <w:szCs w:val="16"/>
        </w:rPr>
      </w:pPr>
    </w:p>
    <w:p w14:paraId="22C8A6B0" w14:textId="77777777" w:rsidR="008E59AC" w:rsidRPr="00C33834" w:rsidRDefault="008E59AC"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6AF6ED4" w14:textId="77777777" w:rsidR="008E59AC" w:rsidRPr="00C33834" w:rsidRDefault="008E59A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836A944" w14:textId="77777777" w:rsidR="008E59AC" w:rsidRPr="00C33834" w:rsidRDefault="008E59A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1933 г. на вооружение поступили торпеды ТАН-12 для низкого торпедометания (с бреющего полета) и ТАВ- 15 для сброса с парашютами, а также авиационная мина МАВ-1 (ВОМИЗА-ЮО). Для торпедоносцев сконструировали несколько типов специальных прицелов. К этому времени сформировали две минно-торпедных эскадрильи (на Балтийском флоте и на Тихом океане) и один отдельный отряд (на Черном море). Все они оснащались самолетами ТБ-1 в сухопутном или поплавковом варианте.</w:t>
      </w:r>
    </w:p>
    <w:p w14:paraId="140881D4" w14:textId="77777777" w:rsidR="008E59AC" w:rsidRPr="00C33834" w:rsidRDefault="008E59A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 из-за значительного веса ТБ-1 обладал недостаточной маневренностью. Ему больше подходили постановка мин и высотное торпедометание. В качестве низкого торпедоносца этот довольно тихоходный и неуклюжий самолет казался весьма уязвимым. Кроме того, он был технологически сложен (по тому времени) и стоил недешево. ВВС РККА, в которые тогда организационно входила морская авиация, требовалось что-нибудь попроще и подешевле для нужд береговой обороны, в первую очередь, на Дальнем Востоке, где нужно было хоть что-то противопоставить сильному японскому флоту.</w:t>
      </w:r>
    </w:p>
    <w:p w14:paraId="2569599D" w14:textId="77777777" w:rsidR="008E59AC" w:rsidRPr="00C33834" w:rsidRDefault="008E59A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Выбор пал на Р-5. Новое предложение переделать его в торпедоносец выдвинул B.C. Коннэрг, начальник отдела вооружения УВВС. 9 июля 1933 г. Реввоенсовет СССР принял постановление, в котором говорилось: "Поставить перед промышленностью задачу приспособить Р-5 к высотному и низкому торпедометанию для действия у своих берегов" (12034).</w:t>
      </w:r>
    </w:p>
    <w:p w14:paraId="559FAD55" w14:textId="77777777" w:rsidR="008E59AC" w:rsidRPr="00C33834" w:rsidRDefault="008E59AC" w:rsidP="00C33834">
      <w:pPr>
        <w:autoSpaceDE w:val="0"/>
        <w:autoSpaceDN w:val="0"/>
        <w:adjustRightInd w:val="0"/>
        <w:spacing w:after="0" w:line="240" w:lineRule="auto"/>
        <w:jc w:val="both"/>
        <w:rPr>
          <w:rFonts w:ascii="Times New Roman" w:hAnsi="Times New Roman"/>
          <w:color w:val="000000" w:themeColor="text1"/>
          <w:sz w:val="16"/>
          <w:szCs w:val="16"/>
        </w:rPr>
      </w:pPr>
    </w:p>
    <w:p w14:paraId="0D8609DB" w14:textId="77777777" w:rsidR="008E59AC" w:rsidRPr="00C33834" w:rsidRDefault="008E59AC"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1933 г. можно отнести первый опыт в создании ракетных агитационных боеприпасов. Тогда в ГДЛ УВИ НВ РККА для стрелковых подраз</w:t>
      </w:r>
      <w:r w:rsidRPr="00C33834">
        <w:rPr>
          <w:rFonts w:ascii="Times New Roman" w:hAnsi="Times New Roman"/>
          <w:color w:val="000000" w:themeColor="text1"/>
          <w:sz w:val="16"/>
          <w:szCs w:val="16"/>
        </w:rPr>
        <w:softHyphen/>
        <w:t>делений РККА разработали полевой 74-мм универсальный ракетный снаряд РС-74-О и А модели 1330 осветительного и агитационного дейст</w:t>
      </w:r>
      <w:r w:rsidRPr="00C33834">
        <w:rPr>
          <w:rFonts w:ascii="Times New Roman" w:hAnsi="Times New Roman"/>
          <w:color w:val="000000" w:themeColor="text1"/>
          <w:sz w:val="16"/>
          <w:szCs w:val="16"/>
        </w:rPr>
        <w:softHyphen/>
        <w:t>вия. У читателя может создаться впечатление, что при этом в ОГПУ за</w:t>
      </w:r>
      <w:r w:rsidRPr="00C33834">
        <w:rPr>
          <w:rFonts w:ascii="Times New Roman" w:hAnsi="Times New Roman"/>
          <w:color w:val="000000" w:themeColor="text1"/>
          <w:sz w:val="16"/>
          <w:szCs w:val="16"/>
        </w:rPr>
        <w:softHyphen/>
        <w:t>ботились о том, чтобы их листовки и агитлитературу в окопах читали круглосуточно. Вовсе нет. Просто, алгоритмы действия пиротехническо</w:t>
      </w:r>
      <w:r w:rsidRPr="00C33834">
        <w:rPr>
          <w:rFonts w:ascii="Times New Roman" w:hAnsi="Times New Roman"/>
          <w:color w:val="000000" w:themeColor="text1"/>
          <w:sz w:val="16"/>
          <w:szCs w:val="16"/>
        </w:rPr>
        <w:softHyphen/>
        <w:t>го распаковщика контейнера с листовками или с осветительным факелом были аналогичны. Поэтому конструкторы к одному двигателю раз</w:t>
      </w:r>
      <w:r w:rsidRPr="00C33834">
        <w:rPr>
          <w:rFonts w:ascii="Times New Roman" w:hAnsi="Times New Roman"/>
          <w:color w:val="000000" w:themeColor="text1"/>
          <w:sz w:val="16"/>
          <w:szCs w:val="16"/>
        </w:rPr>
        <w:softHyphen/>
        <w:t>рабатывали сразу две разнотипных БЧ.</w:t>
      </w:r>
    </w:p>
    <w:p w14:paraId="6A34CFBA" w14:textId="77777777" w:rsidR="008E59AC" w:rsidRPr="00C33834" w:rsidRDefault="008E59AC"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Проектировал этот боеприпас В.А.Артемьев, конструировал, по-види</w:t>
      </w:r>
      <w:r w:rsidRPr="00C33834">
        <w:rPr>
          <w:rFonts w:ascii="Times New Roman" w:hAnsi="Times New Roman"/>
          <w:color w:val="000000" w:themeColor="text1"/>
          <w:sz w:val="16"/>
          <w:szCs w:val="16"/>
        </w:rPr>
        <w:softHyphen/>
        <w:t>мому, Л.Э.Шварц (подпись на чертеже неразборчива), чертежи исполни.1 Б.Андерсон, а утвердил 17 июля 1933 г. Г.Э.Лангемак. Если придерживать</w:t>
      </w:r>
      <w:r w:rsidRPr="00C33834">
        <w:rPr>
          <w:rFonts w:ascii="Times New Roman" w:hAnsi="Times New Roman"/>
          <w:color w:val="000000" w:themeColor="text1"/>
          <w:sz w:val="16"/>
          <w:szCs w:val="16"/>
        </w:rPr>
        <w:softHyphen/>
        <w:t>ся устоявшихся авиационных традиций, когда калибр РС измеряют по диаметру корпуса двигателя, то РС-74А можно отнести к надкалиберному боеприпасу. То есть, в основе его силовой установки был использован уд</w:t>
      </w:r>
      <w:r w:rsidRPr="00C33834">
        <w:rPr>
          <w:rFonts w:ascii="Times New Roman" w:hAnsi="Times New Roman"/>
          <w:color w:val="000000" w:themeColor="text1"/>
          <w:sz w:val="16"/>
          <w:szCs w:val="16"/>
        </w:rPr>
        <w:softHyphen/>
        <w:t>линенный вариант двигателя от ТРС-68С и ТРС-68Т с наибольшим диа</w:t>
      </w:r>
      <w:r w:rsidRPr="00C33834">
        <w:rPr>
          <w:rFonts w:ascii="Times New Roman" w:hAnsi="Times New Roman"/>
          <w:color w:val="000000" w:themeColor="text1"/>
          <w:sz w:val="16"/>
          <w:szCs w:val="16"/>
        </w:rPr>
        <w:softHyphen/>
        <w:t>метром 68 мм. Однако, боковые тангенциальные отверстия у РС-74А от</w:t>
      </w:r>
      <w:r w:rsidRPr="00C33834">
        <w:rPr>
          <w:rFonts w:ascii="Times New Roman" w:hAnsi="Times New Roman"/>
          <w:color w:val="000000" w:themeColor="text1"/>
          <w:sz w:val="16"/>
          <w:szCs w:val="16"/>
        </w:rPr>
        <w:softHyphen/>
        <w:t>сутствовали, а стабилизировался снаряд на траектории оперением минометного типа с восемью крыльями размахом 106 мм.</w:t>
      </w:r>
    </w:p>
    <w:p w14:paraId="0712031E" w14:textId="77777777" w:rsidR="008E59AC" w:rsidRPr="00C33834" w:rsidRDefault="008E59AC"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Что любопытно, его крепили заклепками к цилиндрической трубке, установленной в хвостовой части боеприпаса за сопловым срезом. Таким образом, выпускную часть сопла удлинили цилиндрической «уравни</w:t>
      </w:r>
      <w:r w:rsidRPr="00C33834">
        <w:rPr>
          <w:rFonts w:ascii="Times New Roman" w:hAnsi="Times New Roman"/>
          <w:color w:val="000000" w:themeColor="text1"/>
          <w:sz w:val="16"/>
          <w:szCs w:val="16"/>
        </w:rPr>
        <w:softHyphen/>
        <w:t>тельной частью». Теоретически давление продуктов горения РЗ на срезе сопла должно было соответствовать атмосферному, поэтому удлинять его цилиндрической трубкой можно было без проблем. Однако, у РС-74 в стенках выпускного цилиндра были выполнены четыре прямых сквоз</w:t>
      </w:r>
      <w:r w:rsidRPr="00C33834">
        <w:rPr>
          <w:rFonts w:ascii="Times New Roman" w:hAnsi="Times New Roman"/>
          <w:color w:val="000000" w:themeColor="text1"/>
          <w:sz w:val="16"/>
          <w:szCs w:val="16"/>
        </w:rPr>
        <w:softHyphen/>
        <w:t>ных отверстия диаметром 6 мм. Подобным элементом обладала и 1000-кг воздушно-реактивная торпеда конструкции инженера Тверского (о ней речь пойдет ниже) (11402).</w:t>
      </w:r>
    </w:p>
    <w:p w14:paraId="590E42A1" w14:textId="77777777" w:rsidR="008E59AC" w:rsidRPr="00C33834" w:rsidRDefault="008E59AC"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9EA43F" w14:textId="77777777" w:rsidR="008E59AC" w:rsidRPr="00C33834" w:rsidRDefault="008E59A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 1933 г. при участии комитета содействия дирижаблестроению собрали свыше 27 млн ру</w:t>
      </w:r>
      <w:r w:rsidRPr="00C33834">
        <w:rPr>
          <w:rFonts w:ascii="Times New Roman" w:hAnsi="Times New Roman"/>
          <w:color w:val="0070C0"/>
          <w:sz w:val="16"/>
          <w:szCs w:val="16"/>
        </w:rPr>
        <w:softHyphen/>
        <w:t>блей. Работа комитета продолжалась до октя</w:t>
      </w:r>
      <w:r w:rsidRPr="00C33834">
        <w:rPr>
          <w:rFonts w:ascii="Times New Roman" w:hAnsi="Times New Roman"/>
          <w:color w:val="0070C0"/>
          <w:sz w:val="16"/>
          <w:szCs w:val="16"/>
        </w:rPr>
        <w:softHyphen/>
        <w:t>бря 1932 г., когда, чтобы избежать параллелизма с «Дирижаблестроем», его преобразовали в ко</w:t>
      </w:r>
      <w:r w:rsidRPr="00C33834">
        <w:rPr>
          <w:rFonts w:ascii="Times New Roman" w:hAnsi="Times New Roman"/>
          <w:color w:val="0070C0"/>
          <w:sz w:val="16"/>
          <w:szCs w:val="16"/>
        </w:rPr>
        <w:softHyphen/>
        <w:t>миссию по шефству над эскадрой дирижаблей имени Ленина (20120).</w:t>
      </w:r>
    </w:p>
    <w:p w14:paraId="1A0FBDFC" w14:textId="77777777" w:rsidR="008E59AC" w:rsidRPr="00C33834" w:rsidRDefault="008E59AC" w:rsidP="00C33834">
      <w:pPr>
        <w:spacing w:after="0" w:line="240" w:lineRule="auto"/>
        <w:jc w:val="both"/>
        <w:rPr>
          <w:rFonts w:ascii="Times New Roman" w:hAnsi="Times New Roman"/>
          <w:color w:val="0070C0"/>
          <w:sz w:val="16"/>
          <w:szCs w:val="16"/>
        </w:rPr>
      </w:pPr>
    </w:p>
    <w:p w14:paraId="68F82FC1" w14:textId="77777777" w:rsidR="008E59AC" w:rsidRPr="00C33834" w:rsidRDefault="008E59A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К 1933 году народные деньги, собранные эскадру дирижаблей имени Ленина, кончились. Дирижаблестрой перевели на чисто бюджетное финансирование, а государственные средства всегда выделяли неохотно, да и к неумеренным тратам относились весьма неодобрительно (23192).</w:t>
      </w:r>
    </w:p>
    <w:p w14:paraId="144CFCB2" w14:textId="77777777" w:rsidR="008E59AC" w:rsidRPr="00C33834" w:rsidRDefault="008E59AC" w:rsidP="00C33834">
      <w:pPr>
        <w:spacing w:after="0" w:line="240" w:lineRule="auto"/>
        <w:jc w:val="both"/>
        <w:rPr>
          <w:rFonts w:ascii="Times New Roman" w:hAnsi="Times New Roman"/>
          <w:color w:val="0070C0"/>
          <w:sz w:val="16"/>
          <w:szCs w:val="16"/>
        </w:rPr>
      </w:pPr>
    </w:p>
    <w:p w14:paraId="3D3E0734" w14:textId="77777777" w:rsidR="008E59AC" w:rsidRPr="00C33834" w:rsidRDefault="008E59AC"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FA71FFF" w14:textId="77777777" w:rsidR="008E59AC" w:rsidRPr="00C33834" w:rsidRDefault="008E59A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E13783B" w14:textId="77777777" w:rsidR="008E59AC" w:rsidRPr="00C33834" w:rsidRDefault="008E59A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 1933 году у специалистов мастерской склада № 60 был готов улучшенный вариант легкой бронеплощадки ПЛ-35. В качестве базы теперь использовалась рама 50-тонного четырехосного вагона на тележках «Даймонд». В СССР производство таких вагонов было налажено на брянском заводе «Красный Профинтерн». Бронирование площадки было сделано комбинированным — снаружи 5-мм броневой лист, внутри 12-мм лист обычной стали, а между ними воздушный зазор. Крепились листы к каркасу из металлического профиля при помощи болтов. Существенно упростили технологию изготовления орудийных башен — вместо круглых они стали гранеными. Башни изготавливали из плоских 15-мм бронелистов, соединявшихся между собой сваркой. Такой же конструкции была и башенка для наблюдения и орудийной панорамы на крыше башни. Вращение башни осуществлялось вручную. Командирская шестигранная башенка, располагавшаяся посреди крыши вагона, также сваривалась из плоских броневых листов. В ней смонтировали танковую панораму ПТК, что существенно улучшило возможности по наблюдению за полем боя. Вместо пулеметных установок с раздельным наведением в горизонтальной и вертикальной плоскостях все пулеметы (в том числе и в башнях) теперь крепились в шаровых установках. Были увеличены углы обстрела пулеметов, а их стволы прикрыли бронированным кожухом. Более рационально была размещена боеукладка, в результате возимый боезапас увеличился до 560 снарядов и 30 000 патронов. В вагоне было установлено 10 аккумуляторов для обеспечения аварийного освещения. Общая длина площадки составляла 14,2 м, нагрузка на ось не превышала 17,5 тонн, а экипаж составлял 24 человека. Благодаря более плотной компоновке удалось уменьшить высоту корпуса по сравнению с предыдущей легкой бронеплощадкой (разработанной складом № 60 в 1930 году). Внесли изменения и в конструкцию бронирования паровоза, оптимизировав его. Теперь командирская рубка защищалась бронелистами толщиной 15 мм, будка машиниста и башня ПВО — 13 мм, вертикальные листы брони оставались толщиной 10 мм, а наклонные и крыша — 8 мм. В командирской рубке разместили радиостанцию 71-ТК-1 с поручневой антенной, командир имел и телефонную связь с командирами бронеплощадок, орудий и паровозной бригадой. Командиры площадок также вызывались при помощи ревуна, машинист и командир бронепоезда — звонком и лампочкой. В башне ПВО, расположенной в задней части тендера, смонтировали спаренную установку пулеметов Максима (22745).</w:t>
      </w:r>
    </w:p>
    <w:p w14:paraId="1BF81EDE" w14:textId="77777777" w:rsidR="008E59AC" w:rsidRPr="00C33834" w:rsidRDefault="008E59AC" w:rsidP="00C33834">
      <w:pPr>
        <w:spacing w:after="0" w:line="240" w:lineRule="auto"/>
        <w:jc w:val="both"/>
        <w:rPr>
          <w:rFonts w:ascii="Times New Roman" w:hAnsi="Times New Roman"/>
          <w:color w:val="0070C0"/>
          <w:sz w:val="16"/>
          <w:szCs w:val="16"/>
        </w:rPr>
      </w:pPr>
    </w:p>
    <w:p w14:paraId="36EA3C4B" w14:textId="77777777" w:rsidR="008E59AC" w:rsidRPr="00C33834" w:rsidRDefault="008E59A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1933 г. под руководством А.Г. Эльсница были завершены работы над теле</w:t>
      </w:r>
      <w:r w:rsidRPr="00C33834">
        <w:rPr>
          <w:rFonts w:ascii="Times New Roman" w:hAnsi="Times New Roman"/>
          <w:color w:val="000000" w:themeColor="text1"/>
          <w:sz w:val="16"/>
          <w:szCs w:val="16"/>
        </w:rPr>
        <w:softHyphen/>
        <w:t>фонным аппаратом ТАМ (телефонный аппарат мощный). Аппарат ТАМ являлся фоноиндукторным и предназначался для телефонной связи крупных штабов по дальним телефонным и телеграфным линиям. Несмотря на неудачную схему и конструкцию, большой вес и объем, большой расход батарей, он был принят на вооружение РККА в том же 1933 г . В 1935 г. на заводе «Красная заря» была вы</w:t>
      </w:r>
      <w:r w:rsidRPr="00C33834">
        <w:rPr>
          <w:rFonts w:ascii="Times New Roman" w:hAnsi="Times New Roman"/>
          <w:color w:val="000000" w:themeColor="text1"/>
          <w:sz w:val="16"/>
          <w:szCs w:val="16"/>
        </w:rPr>
        <w:softHyphen/>
        <w:t>пущена опытная партия этих аппаратов, которые с этого времени небольшими серийными партиями (самая крупная - 955 телефонов в 1938 г.) вплоть до 1940 г. производились на предприятии . ТАМ использовался на маневрах, во время бое</w:t>
      </w:r>
      <w:r w:rsidRPr="00C33834">
        <w:rPr>
          <w:rFonts w:ascii="Times New Roman" w:hAnsi="Times New Roman"/>
          <w:color w:val="000000" w:themeColor="text1"/>
          <w:sz w:val="16"/>
          <w:szCs w:val="16"/>
        </w:rPr>
        <w:softHyphen/>
        <w:t>вых действий на Холхин-Голе, и везде о его работе отзывы были положитель</w:t>
      </w:r>
      <w:r w:rsidRPr="00C33834">
        <w:rPr>
          <w:rFonts w:ascii="Times New Roman" w:hAnsi="Times New Roman"/>
          <w:color w:val="000000" w:themeColor="text1"/>
          <w:sz w:val="16"/>
          <w:szCs w:val="16"/>
        </w:rPr>
        <w:softHyphen/>
        <w:t>ными. Однако он не мог претендовать на занятие места унифицированного еди</w:t>
      </w:r>
      <w:r w:rsidRPr="00C33834">
        <w:rPr>
          <w:rFonts w:ascii="Times New Roman" w:hAnsi="Times New Roman"/>
          <w:color w:val="000000" w:themeColor="text1"/>
          <w:sz w:val="16"/>
          <w:szCs w:val="16"/>
        </w:rPr>
        <w:softHyphen/>
        <w:t>ного образца аппарата для всех сухопутных сил. Наряду с ТАМ в 1933 г. на «Красной заре» был создан и выпущен для подводников телефонный аппарат глубинный ТАГ, позволивший иметь телефонную связь с водолазами, находя</w:t>
      </w:r>
      <w:r w:rsidRPr="00C33834">
        <w:rPr>
          <w:rFonts w:ascii="Times New Roman" w:hAnsi="Times New Roman"/>
          <w:color w:val="000000" w:themeColor="text1"/>
          <w:sz w:val="16"/>
          <w:szCs w:val="16"/>
        </w:rPr>
        <w:softHyphen/>
        <w:t>щимися под водой .</w:t>
      </w:r>
    </w:p>
    <w:p w14:paraId="5317EB67" w14:textId="77777777" w:rsidR="008E59AC" w:rsidRPr="00C33834" w:rsidRDefault="008E59A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аппаратов УНА-31 в 1934-1935 гг. была разработана пластмассовая микротелефонная трубка. Несмотря на значительные трудности при внедрении новых изделий в серийное производство, в конце 1936 г. были выпущены первые партии модифицированных телефонных аппаратов УНА-Ф-31 и УНА-И-31. В предвоенные годы их выпуск постоянно наращивался: 1936 г. - 2609 шт., 1938 г. - 8942 шт., 1939 г. - 23941 шт., 1940 г. - 32427 шт. Это тем более показательно, если учесть, что в целом производство телефонных аппаратов в эти годы имело тенденцию к сокращению (см. таблицу 4).</w:t>
      </w:r>
    </w:p>
    <w:tbl>
      <w:tblPr>
        <w:tblW w:w="0" w:type="auto"/>
        <w:tblLayout w:type="fixed"/>
        <w:tblCellMar>
          <w:left w:w="10" w:type="dxa"/>
          <w:right w:w="10" w:type="dxa"/>
        </w:tblCellMar>
        <w:tblLook w:val="04A0" w:firstRow="1" w:lastRow="0" w:firstColumn="1" w:lastColumn="0" w:noHBand="0" w:noVBand="1"/>
      </w:tblPr>
      <w:tblGrid>
        <w:gridCol w:w="3312"/>
        <w:gridCol w:w="1594"/>
        <w:gridCol w:w="1589"/>
        <w:gridCol w:w="1589"/>
        <w:gridCol w:w="1603"/>
      </w:tblGrid>
      <w:tr w:rsidR="008E59AC" w:rsidRPr="00C33834" w14:paraId="70AFEF9D" w14:textId="77777777" w:rsidTr="003D0776">
        <w:trPr>
          <w:trHeight w:val="658"/>
        </w:trPr>
        <w:tc>
          <w:tcPr>
            <w:tcW w:w="3312" w:type="dxa"/>
            <w:vMerge w:val="restart"/>
            <w:tcBorders>
              <w:top w:val="single" w:sz="4" w:space="0" w:color="auto"/>
              <w:left w:val="single" w:sz="4" w:space="0" w:color="auto"/>
              <w:right w:val="single" w:sz="4" w:space="0" w:color="auto"/>
            </w:tcBorders>
            <w:shd w:val="clear" w:color="auto" w:fill="FFFFFF"/>
          </w:tcPr>
          <w:p w14:paraId="57AEA64F" w14:textId="77777777" w:rsidR="008E59AC" w:rsidRPr="00C33834" w:rsidRDefault="008E59AC" w:rsidP="00C33834">
            <w:pPr>
              <w:spacing w:after="0" w:line="240" w:lineRule="auto"/>
              <w:jc w:val="both"/>
              <w:rPr>
                <w:rFonts w:ascii="Times New Roman" w:hAnsi="Times New Roman"/>
                <w:color w:val="000000" w:themeColor="text1"/>
                <w:sz w:val="16"/>
                <w:szCs w:val="16"/>
              </w:rPr>
            </w:pPr>
          </w:p>
        </w:tc>
        <w:tc>
          <w:tcPr>
            <w:tcW w:w="6375" w:type="dxa"/>
            <w:gridSpan w:val="4"/>
            <w:tcBorders>
              <w:top w:val="single" w:sz="4" w:space="0" w:color="auto"/>
              <w:left w:val="single" w:sz="4" w:space="0" w:color="auto"/>
              <w:bottom w:val="single" w:sz="4" w:space="0" w:color="auto"/>
              <w:right w:val="single" w:sz="4" w:space="0" w:color="auto"/>
            </w:tcBorders>
            <w:shd w:val="clear" w:color="auto" w:fill="FFFFFF"/>
          </w:tcPr>
          <w:p w14:paraId="622F0102" w14:textId="77777777" w:rsidR="008E59AC" w:rsidRPr="00C33834" w:rsidRDefault="008E59A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телефонных аппаратов всех типов,</w:t>
            </w:r>
          </w:p>
          <w:p w14:paraId="4046A18A" w14:textId="77777777" w:rsidR="008E59AC" w:rsidRPr="00C33834" w:rsidRDefault="008E59A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шт.</w:t>
            </w:r>
          </w:p>
        </w:tc>
      </w:tr>
      <w:tr w:rsidR="008E59AC" w:rsidRPr="00C33834" w14:paraId="32F1C010" w14:textId="77777777" w:rsidTr="003D0776">
        <w:trPr>
          <w:trHeight w:val="480"/>
        </w:trPr>
        <w:tc>
          <w:tcPr>
            <w:tcW w:w="3312" w:type="dxa"/>
            <w:vMerge/>
            <w:tcBorders>
              <w:left w:val="single" w:sz="4" w:space="0" w:color="auto"/>
              <w:bottom w:val="single" w:sz="4" w:space="0" w:color="auto"/>
              <w:right w:val="single" w:sz="4" w:space="0" w:color="auto"/>
            </w:tcBorders>
            <w:shd w:val="clear" w:color="auto" w:fill="FFFFFF"/>
          </w:tcPr>
          <w:p w14:paraId="28885AFD" w14:textId="77777777" w:rsidR="008E59AC" w:rsidRPr="00C33834" w:rsidRDefault="008E59AC" w:rsidP="00C33834">
            <w:pPr>
              <w:spacing w:after="0" w:line="240" w:lineRule="auto"/>
              <w:jc w:val="both"/>
              <w:rPr>
                <w:rFonts w:ascii="Times New Roman" w:hAnsi="Times New Roman"/>
                <w:color w:val="000000" w:themeColor="text1"/>
                <w:sz w:val="16"/>
                <w:szCs w:val="16"/>
              </w:rPr>
            </w:pPr>
          </w:p>
        </w:tc>
        <w:tc>
          <w:tcPr>
            <w:tcW w:w="1594" w:type="dxa"/>
            <w:tcBorders>
              <w:top w:val="single" w:sz="4" w:space="0" w:color="auto"/>
              <w:left w:val="single" w:sz="4" w:space="0" w:color="auto"/>
              <w:bottom w:val="single" w:sz="4" w:space="0" w:color="auto"/>
              <w:right w:val="single" w:sz="4" w:space="0" w:color="auto"/>
            </w:tcBorders>
            <w:shd w:val="clear" w:color="auto" w:fill="FFFFFF"/>
          </w:tcPr>
          <w:p w14:paraId="1217669E" w14:textId="77777777" w:rsidR="008E59AC" w:rsidRPr="00C33834" w:rsidRDefault="008E59A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1937 г.</w:t>
            </w:r>
          </w:p>
        </w:tc>
        <w:tc>
          <w:tcPr>
            <w:tcW w:w="1589" w:type="dxa"/>
            <w:tcBorders>
              <w:top w:val="single" w:sz="4" w:space="0" w:color="auto"/>
              <w:left w:val="single" w:sz="4" w:space="0" w:color="auto"/>
              <w:bottom w:val="single" w:sz="4" w:space="0" w:color="auto"/>
              <w:right w:val="single" w:sz="4" w:space="0" w:color="auto"/>
            </w:tcBorders>
            <w:shd w:val="clear" w:color="auto" w:fill="FFFFFF"/>
          </w:tcPr>
          <w:p w14:paraId="26C8728C" w14:textId="77777777" w:rsidR="008E59AC" w:rsidRPr="00C33834" w:rsidRDefault="008E59A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1938 г.</w:t>
            </w:r>
          </w:p>
        </w:tc>
        <w:tc>
          <w:tcPr>
            <w:tcW w:w="1589" w:type="dxa"/>
            <w:tcBorders>
              <w:top w:val="single" w:sz="4" w:space="0" w:color="auto"/>
              <w:left w:val="single" w:sz="4" w:space="0" w:color="auto"/>
              <w:bottom w:val="single" w:sz="4" w:space="0" w:color="auto"/>
              <w:right w:val="single" w:sz="4" w:space="0" w:color="auto"/>
            </w:tcBorders>
            <w:shd w:val="clear" w:color="auto" w:fill="FFFFFF"/>
          </w:tcPr>
          <w:p w14:paraId="72DF32B5" w14:textId="77777777" w:rsidR="008E59AC" w:rsidRPr="00C33834" w:rsidRDefault="008E59A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1939 г.</w:t>
            </w:r>
          </w:p>
        </w:tc>
        <w:tc>
          <w:tcPr>
            <w:tcW w:w="1603" w:type="dxa"/>
            <w:tcBorders>
              <w:top w:val="single" w:sz="4" w:space="0" w:color="auto"/>
              <w:left w:val="single" w:sz="4" w:space="0" w:color="auto"/>
              <w:bottom w:val="single" w:sz="4" w:space="0" w:color="auto"/>
              <w:right w:val="single" w:sz="4" w:space="0" w:color="auto"/>
            </w:tcBorders>
            <w:shd w:val="clear" w:color="auto" w:fill="FFFFFF"/>
          </w:tcPr>
          <w:p w14:paraId="77A93F63" w14:textId="77777777" w:rsidR="008E59AC" w:rsidRPr="00C33834" w:rsidRDefault="008E59A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1940 г.</w:t>
            </w:r>
          </w:p>
        </w:tc>
      </w:tr>
      <w:tr w:rsidR="008E59AC" w:rsidRPr="00C33834" w14:paraId="0DB1BEB6" w14:textId="77777777" w:rsidTr="003D0776">
        <w:trPr>
          <w:trHeight w:val="653"/>
        </w:trPr>
        <w:tc>
          <w:tcPr>
            <w:tcW w:w="3312" w:type="dxa"/>
            <w:tcBorders>
              <w:top w:val="single" w:sz="4" w:space="0" w:color="auto"/>
              <w:left w:val="single" w:sz="4" w:space="0" w:color="auto"/>
              <w:bottom w:val="single" w:sz="4" w:space="0" w:color="auto"/>
              <w:right w:val="single" w:sz="4" w:space="0" w:color="auto"/>
            </w:tcBorders>
            <w:shd w:val="clear" w:color="auto" w:fill="FFFFFF"/>
          </w:tcPr>
          <w:p w14:paraId="7F61EC77" w14:textId="77777777" w:rsidR="008E59AC" w:rsidRPr="00C33834" w:rsidRDefault="008E59A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Вся промышленность СССР</w:t>
            </w:r>
          </w:p>
        </w:tc>
        <w:tc>
          <w:tcPr>
            <w:tcW w:w="1594" w:type="dxa"/>
            <w:tcBorders>
              <w:top w:val="single" w:sz="4" w:space="0" w:color="auto"/>
              <w:left w:val="single" w:sz="4" w:space="0" w:color="auto"/>
              <w:bottom w:val="single" w:sz="4" w:space="0" w:color="auto"/>
              <w:right w:val="single" w:sz="4" w:space="0" w:color="auto"/>
            </w:tcBorders>
            <w:shd w:val="clear" w:color="auto" w:fill="FFFFFF"/>
          </w:tcPr>
          <w:p w14:paraId="6AB99C72" w14:textId="77777777" w:rsidR="008E59AC" w:rsidRPr="00C33834" w:rsidRDefault="008E59A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254,6</w:t>
            </w:r>
          </w:p>
        </w:tc>
        <w:tc>
          <w:tcPr>
            <w:tcW w:w="1589" w:type="dxa"/>
            <w:tcBorders>
              <w:top w:val="single" w:sz="4" w:space="0" w:color="auto"/>
              <w:left w:val="single" w:sz="4" w:space="0" w:color="auto"/>
              <w:bottom w:val="single" w:sz="4" w:space="0" w:color="auto"/>
              <w:right w:val="single" w:sz="4" w:space="0" w:color="auto"/>
            </w:tcBorders>
            <w:shd w:val="clear" w:color="auto" w:fill="FFFFFF"/>
          </w:tcPr>
          <w:p w14:paraId="6DB3AE22" w14:textId="77777777" w:rsidR="008E59AC" w:rsidRPr="00C33834" w:rsidRDefault="008E59A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214,6</w:t>
            </w:r>
          </w:p>
        </w:tc>
        <w:tc>
          <w:tcPr>
            <w:tcW w:w="1589" w:type="dxa"/>
            <w:tcBorders>
              <w:top w:val="single" w:sz="4" w:space="0" w:color="auto"/>
              <w:left w:val="single" w:sz="4" w:space="0" w:color="auto"/>
              <w:bottom w:val="single" w:sz="4" w:space="0" w:color="auto"/>
              <w:right w:val="single" w:sz="4" w:space="0" w:color="auto"/>
            </w:tcBorders>
            <w:shd w:val="clear" w:color="auto" w:fill="FFFFFF"/>
          </w:tcPr>
          <w:p w14:paraId="212C3DB2" w14:textId="77777777" w:rsidR="008E59AC" w:rsidRPr="00C33834" w:rsidRDefault="008E59A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221,4</w:t>
            </w:r>
          </w:p>
        </w:tc>
        <w:tc>
          <w:tcPr>
            <w:tcW w:w="1603" w:type="dxa"/>
            <w:tcBorders>
              <w:top w:val="single" w:sz="4" w:space="0" w:color="auto"/>
              <w:left w:val="single" w:sz="4" w:space="0" w:color="auto"/>
              <w:bottom w:val="single" w:sz="4" w:space="0" w:color="auto"/>
              <w:right w:val="single" w:sz="4" w:space="0" w:color="auto"/>
            </w:tcBorders>
            <w:shd w:val="clear" w:color="auto" w:fill="FFFFFF"/>
          </w:tcPr>
          <w:p w14:paraId="3947AC82" w14:textId="77777777" w:rsidR="008E59AC" w:rsidRPr="00C33834" w:rsidRDefault="008E59A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184,5</w:t>
            </w:r>
          </w:p>
        </w:tc>
      </w:tr>
      <w:tr w:rsidR="008E59AC" w:rsidRPr="00C33834" w14:paraId="5B0D1CCE" w14:textId="77777777" w:rsidTr="003D0776">
        <w:trPr>
          <w:trHeight w:val="485"/>
        </w:trPr>
        <w:tc>
          <w:tcPr>
            <w:tcW w:w="3312" w:type="dxa"/>
            <w:tcBorders>
              <w:top w:val="single" w:sz="4" w:space="0" w:color="auto"/>
              <w:left w:val="single" w:sz="4" w:space="0" w:color="auto"/>
              <w:bottom w:val="single" w:sz="4" w:space="0" w:color="auto"/>
              <w:right w:val="single" w:sz="4" w:space="0" w:color="auto"/>
            </w:tcBorders>
            <w:shd w:val="clear" w:color="auto" w:fill="FFFFFF"/>
          </w:tcPr>
          <w:p w14:paraId="76EE0A88" w14:textId="77777777" w:rsidR="008E59AC" w:rsidRPr="00C33834" w:rsidRDefault="008E59A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«Красная заря»</w:t>
            </w:r>
          </w:p>
        </w:tc>
        <w:tc>
          <w:tcPr>
            <w:tcW w:w="1594" w:type="dxa"/>
            <w:tcBorders>
              <w:top w:val="single" w:sz="4" w:space="0" w:color="auto"/>
              <w:left w:val="single" w:sz="4" w:space="0" w:color="auto"/>
              <w:bottom w:val="single" w:sz="4" w:space="0" w:color="auto"/>
              <w:right w:val="single" w:sz="4" w:space="0" w:color="auto"/>
            </w:tcBorders>
            <w:shd w:val="clear" w:color="auto" w:fill="FFFFFF"/>
          </w:tcPr>
          <w:p w14:paraId="2516E903" w14:textId="77777777" w:rsidR="008E59AC" w:rsidRPr="00C33834" w:rsidRDefault="008E59A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1589" w:type="dxa"/>
            <w:tcBorders>
              <w:top w:val="single" w:sz="4" w:space="0" w:color="auto"/>
              <w:left w:val="single" w:sz="4" w:space="0" w:color="auto"/>
              <w:bottom w:val="single" w:sz="4" w:space="0" w:color="auto"/>
              <w:right w:val="single" w:sz="4" w:space="0" w:color="auto"/>
            </w:tcBorders>
            <w:shd w:val="clear" w:color="auto" w:fill="FFFFFF"/>
          </w:tcPr>
          <w:p w14:paraId="7AF5D740" w14:textId="77777777" w:rsidR="008E59AC" w:rsidRPr="00C33834" w:rsidRDefault="008E59A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210,9</w:t>
            </w:r>
          </w:p>
        </w:tc>
        <w:tc>
          <w:tcPr>
            <w:tcW w:w="1589" w:type="dxa"/>
            <w:tcBorders>
              <w:top w:val="single" w:sz="4" w:space="0" w:color="auto"/>
              <w:left w:val="single" w:sz="4" w:space="0" w:color="auto"/>
              <w:bottom w:val="single" w:sz="4" w:space="0" w:color="auto"/>
              <w:right w:val="single" w:sz="4" w:space="0" w:color="auto"/>
            </w:tcBorders>
            <w:shd w:val="clear" w:color="auto" w:fill="FFFFFF"/>
          </w:tcPr>
          <w:p w14:paraId="444FB72C" w14:textId="77777777" w:rsidR="008E59AC" w:rsidRPr="00C33834" w:rsidRDefault="008E59A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219,8</w:t>
            </w:r>
          </w:p>
        </w:tc>
        <w:tc>
          <w:tcPr>
            <w:tcW w:w="1603" w:type="dxa"/>
            <w:tcBorders>
              <w:top w:val="single" w:sz="4" w:space="0" w:color="auto"/>
              <w:left w:val="single" w:sz="4" w:space="0" w:color="auto"/>
              <w:bottom w:val="single" w:sz="4" w:space="0" w:color="auto"/>
              <w:right w:val="single" w:sz="4" w:space="0" w:color="auto"/>
            </w:tcBorders>
            <w:shd w:val="clear" w:color="auto" w:fill="FFFFFF"/>
          </w:tcPr>
          <w:p w14:paraId="4132F5D1" w14:textId="77777777" w:rsidR="008E59AC" w:rsidRPr="00C33834" w:rsidRDefault="008E59A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181,1</w:t>
            </w:r>
          </w:p>
        </w:tc>
      </w:tr>
    </w:tbl>
    <w:p w14:paraId="2116E86C" w14:textId="77777777" w:rsidR="008E59AC" w:rsidRPr="00C33834" w:rsidRDefault="008E59A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(19098).</w:t>
      </w:r>
    </w:p>
    <w:p w14:paraId="06DF4C0F" w14:textId="77777777" w:rsidR="008E59AC" w:rsidRPr="00C33834" w:rsidRDefault="008E59AC" w:rsidP="00C33834">
      <w:pPr>
        <w:spacing w:after="0" w:line="240" w:lineRule="auto"/>
        <w:jc w:val="both"/>
        <w:rPr>
          <w:rFonts w:ascii="Times New Roman" w:hAnsi="Times New Roman"/>
          <w:color w:val="000000" w:themeColor="text1"/>
          <w:sz w:val="16"/>
          <w:szCs w:val="16"/>
        </w:rPr>
      </w:pPr>
    </w:p>
    <w:p w14:paraId="3D4CCC5E" w14:textId="77777777" w:rsidR="00904E0B" w:rsidRPr="00C33834" w:rsidRDefault="00904E0B"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6490445" w14:textId="77777777" w:rsidR="00904E0B" w:rsidRPr="00C33834" w:rsidRDefault="00904E0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A35A7E6" w14:textId="77777777" w:rsidR="00904E0B" w:rsidRPr="00C33834" w:rsidRDefault="00904E0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началу 1933 г. в чертежи М-34 вне</w:t>
      </w:r>
      <w:r w:rsidRPr="00C33834">
        <w:rPr>
          <w:rFonts w:ascii="Times New Roman" w:hAnsi="Times New Roman"/>
          <w:color w:val="000000" w:themeColor="text1"/>
          <w:sz w:val="16"/>
          <w:szCs w:val="16"/>
        </w:rPr>
        <w:softHyphen/>
        <w:t>сли более 2000 поправок. Но свою лепту внесли и производственники. Большие проблемы были с литьем крупных деталей, где шло до 60% брака. Еще хуже было положение в металлообрабатывающих цехах, где порой фиксировали до 80% брака! Но в это время сборка все рав</w:t>
      </w:r>
      <w:r w:rsidRPr="00C33834">
        <w:rPr>
          <w:rFonts w:ascii="Times New Roman" w:hAnsi="Times New Roman"/>
          <w:color w:val="000000" w:themeColor="text1"/>
          <w:sz w:val="16"/>
          <w:szCs w:val="16"/>
        </w:rPr>
        <w:softHyphen/>
        <w:t>но набирала темп. В последние ме</w:t>
      </w:r>
      <w:r w:rsidRPr="00C33834">
        <w:rPr>
          <w:rFonts w:ascii="Times New Roman" w:hAnsi="Times New Roman"/>
          <w:color w:val="000000" w:themeColor="text1"/>
          <w:sz w:val="16"/>
          <w:szCs w:val="16"/>
        </w:rPr>
        <w:softHyphen/>
        <w:t>сяцы 1932 г. она доходила до 40 моторов в месяц. Но это не помогло выполнить план - вместо 400 двига</w:t>
      </w:r>
      <w:r w:rsidRPr="00C33834">
        <w:rPr>
          <w:rFonts w:ascii="Times New Roman" w:hAnsi="Times New Roman"/>
          <w:color w:val="000000" w:themeColor="text1"/>
          <w:sz w:val="16"/>
          <w:szCs w:val="16"/>
        </w:rPr>
        <w:softHyphen/>
        <w:t>телей по сводке ГУАП всего получи</w:t>
      </w:r>
      <w:r w:rsidRPr="00C33834">
        <w:rPr>
          <w:rFonts w:ascii="Times New Roman" w:hAnsi="Times New Roman"/>
          <w:color w:val="000000" w:themeColor="text1"/>
          <w:sz w:val="16"/>
          <w:szCs w:val="16"/>
        </w:rPr>
        <w:softHyphen/>
        <w:t>лось 385 (считая и некондиционные). По документам же УВВС в 1932 г. выпущено 80 моторов, из них 25 негодных. Очевидно, руководство завода включило в отчетность всю некомплектную и незаконченную продукцию. Однако запуск М-34 в серию наверху расценили как большую победу. 21 февраля 1933 г. А.А. Микулина наградили орденом Крас</w:t>
      </w:r>
      <w:r w:rsidRPr="00C33834">
        <w:rPr>
          <w:rFonts w:ascii="Times New Roman" w:hAnsi="Times New Roman"/>
          <w:color w:val="000000" w:themeColor="text1"/>
          <w:sz w:val="16"/>
          <w:szCs w:val="16"/>
        </w:rPr>
        <w:softHyphen/>
        <w:t>ной Звезды. 3-я серия («В») из 100 штук бла</w:t>
      </w:r>
      <w:r w:rsidRPr="00C33834">
        <w:rPr>
          <w:rFonts w:ascii="Times New Roman" w:hAnsi="Times New Roman"/>
          <w:color w:val="000000" w:themeColor="text1"/>
          <w:sz w:val="16"/>
          <w:szCs w:val="16"/>
        </w:rPr>
        <w:softHyphen/>
        <w:t>гополучно прошла военную прием</w:t>
      </w:r>
      <w:r w:rsidRPr="00C33834">
        <w:rPr>
          <w:rFonts w:ascii="Times New Roman" w:hAnsi="Times New Roman"/>
          <w:color w:val="000000" w:themeColor="text1"/>
          <w:sz w:val="16"/>
          <w:szCs w:val="16"/>
        </w:rPr>
        <w:softHyphen/>
        <w:t>ку к 27 января 1933 г. Зато в том же месяце М-34 в третий раз провалил госиспытания на стенде - на 35-м часу оборвался шатун. Вскрытие показало, что причиной оказалось выкрашивание баббита в шатунном вкладыше (11848).</w:t>
      </w:r>
    </w:p>
    <w:p w14:paraId="777724C7" w14:textId="77777777" w:rsidR="00904E0B" w:rsidRPr="00C33834" w:rsidRDefault="00904E0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CADACF" w14:textId="77777777" w:rsidR="00904E0B" w:rsidRPr="00C33834" w:rsidRDefault="00904E0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началу 1933 г. развернулись работы по кассетам для ампулы, которые собирались сбрасывать сериями или залпом из специальных кассет. Разрабатывались кассеты для внутреннего размещения в бомбоотсеке самолета или на наружной подвеске, одноразовые и многоразового использования.</w:t>
      </w:r>
    </w:p>
    <w:p w14:paraId="7138FC0E" w14:textId="77777777" w:rsidR="00904E0B" w:rsidRPr="00C33834" w:rsidRDefault="00904E0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Ими занимались параллельно Осконпробюро ВВС, НИИ ВВС и ЦАГИ. Позже подключился также завод № 145, где выпускали авиационное вооружение.</w:t>
      </w:r>
    </w:p>
    <w:p w14:paraId="322AA284" w14:textId="77777777" w:rsidR="00904E0B" w:rsidRPr="00C33834" w:rsidRDefault="00904E0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Осконпробюро под руководством П.И. Гроховского создали кассету Г-52. Она предназначалась для биплана Р-5. В целом на самолете находилось 1600 небольших стеклянных ампул. Они сбрасывались пачками по восемь штук, пачка раскрывалась при падении. Другая работа, по кассете на 9000 ампул для тяжелого бомбардировщика ТБ-3, заложенная в план 1933 г., видимо, осталась незаконченной.</w:t>
      </w:r>
    </w:p>
    <w:p w14:paraId="28A97E7E" w14:textId="77777777" w:rsidR="00904E0B" w:rsidRPr="00C33834" w:rsidRDefault="00904E0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ЦАГИ вели работу над кассетами и для тяжелых, и для легких бомбардировщиков. Созданные в 1933 г. для гигантского бомбовоза ТБ-4, так и не запущенного в серию, ампульные кассеты АК-2 приспособили для установки во внутреннем кассетном бомбодержателе КД-2 бомбардировщика ТБ-3.</w:t>
      </w:r>
    </w:p>
    <w:p w14:paraId="096667C4" w14:textId="77777777" w:rsidR="00904E0B" w:rsidRPr="00C33834" w:rsidRDefault="00904E0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Кассета АК-2 представляла собой пакет из 16 труб ("колодцев"), в которые укладывались шары, по 15 литровых жестяных ампул в каждой трубе. Итого получалось 240 ампул в одной кассете. Загрузку осуществляли на земле, затем лебедкой поднимали кассету в бом- боотсек. На это три человека тратили два часа.</w:t>
      </w:r>
    </w:p>
    <w:p w14:paraId="38A78253" w14:textId="77777777" w:rsidR="00904E0B" w:rsidRPr="00C33834" w:rsidRDefault="00904E0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Крышки внизу труб открывались вместе со створками бомбоотсека при помощи системы тяг. Сброс шел по команде от бомбосбрасывателя - механического СБР-9 или электрического ЭСБР-2. Механика позволяла сбрасывать из каждой кассеты по 60 шаров в четыре приема, электрическая система - порциями с заданными интервалами времени.</w:t>
      </w:r>
    </w:p>
    <w:p w14:paraId="0D3F85DE" w14:textId="77777777" w:rsidR="00904E0B" w:rsidRPr="00C33834" w:rsidRDefault="00904E0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Пустая кассета весила 54,5 кг. ТБ-3 брал четыре таких кассеты, всего самолет нес 1200 кг чистого иприта или люизита. Испытания кассеты на бомбардировщике проводились в июне 1935 г. На следующий год заказали дюжину штук для дополнительных испытаний (12043).</w:t>
      </w:r>
    </w:p>
    <w:p w14:paraId="58FF55B6" w14:textId="77777777" w:rsidR="00904E0B" w:rsidRPr="00C33834" w:rsidRDefault="00904E0B" w:rsidP="00C33834">
      <w:pPr>
        <w:autoSpaceDE w:val="0"/>
        <w:autoSpaceDN w:val="0"/>
        <w:adjustRightInd w:val="0"/>
        <w:spacing w:after="0" w:line="240" w:lineRule="auto"/>
        <w:jc w:val="both"/>
        <w:rPr>
          <w:rFonts w:ascii="Times New Roman" w:hAnsi="Times New Roman"/>
          <w:color w:val="000000" w:themeColor="text1"/>
          <w:sz w:val="16"/>
          <w:szCs w:val="16"/>
        </w:rPr>
      </w:pPr>
    </w:p>
    <w:p w14:paraId="56880C92" w14:textId="77777777" w:rsidR="00904E0B" w:rsidRPr="00C33834" w:rsidRDefault="00904E0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началу 1933 года группа Д Газодинамической лаборатории (Руководитель Н. А. Доровлев, отсюда и индекс лаборатории. В состав группы входили инженеры Иванов, Игнатенко, Мартынов и Рашков) была включена в состав АНИИ. Одной из первых работ группы Д было семейство 165-мм полковых минометов (3861).</w:t>
      </w:r>
    </w:p>
    <w:p w14:paraId="3C5714A1" w14:textId="77777777" w:rsidR="00904E0B" w:rsidRPr="00C33834" w:rsidRDefault="00904E0B" w:rsidP="00C33834">
      <w:pPr>
        <w:autoSpaceDE w:val="0"/>
        <w:autoSpaceDN w:val="0"/>
        <w:adjustRightInd w:val="0"/>
        <w:spacing w:after="0" w:line="240" w:lineRule="auto"/>
        <w:jc w:val="both"/>
        <w:rPr>
          <w:rFonts w:ascii="Times New Roman" w:hAnsi="Times New Roman"/>
          <w:color w:val="000000" w:themeColor="text1"/>
          <w:sz w:val="16"/>
          <w:szCs w:val="16"/>
        </w:rPr>
      </w:pPr>
    </w:p>
    <w:p w14:paraId="73BF4B49" w14:textId="77777777" w:rsidR="00904E0B" w:rsidRPr="00C33834" w:rsidRDefault="00904E0B"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CB837D1" w14:textId="77777777" w:rsidR="00904E0B" w:rsidRPr="00C33834" w:rsidRDefault="00904E0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2420FFD" w14:textId="77777777" w:rsidR="00904E0B" w:rsidRPr="00C33834" w:rsidRDefault="00904E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началу 1933 г. группа «Д» была включена в состав АНИИ. Одной из первых работ группы было семейство 165-мм полковых минометов.</w:t>
      </w:r>
    </w:p>
    <w:p w14:paraId="0B6C2632" w14:textId="77777777" w:rsidR="00904E0B" w:rsidRPr="00C33834" w:rsidRDefault="00904E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Ведущую роль в проектировании минометов играла группа «Д» газодинамической лаборатории. Ее руководителем был Н. А. Доровлев, отсюда и индекс лаборатории. В состав группы входили инженеры Иванов, Игнатенко, Мартынов и Рашков.</w:t>
      </w:r>
    </w:p>
    <w:p w14:paraId="4F01F201" w14:textId="77777777" w:rsidR="00904E0B" w:rsidRPr="00C33834" w:rsidRDefault="00904E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1930–1932 гг. группой «Д» был спроектирован 165-мм полковой миномет ПМ-1. Основным назначением миномета была стрельба химической миной, поэтому он чаще назывался газометом «В». Конструктивно миномет был выполнен по схеме перевернутого реального треугольника.</w:t>
      </w:r>
    </w:p>
    <w:p w14:paraId="18ADDFCA" w14:textId="77777777" w:rsidR="00904E0B" w:rsidRPr="00C33834" w:rsidRDefault="00904E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стрельбе колесный ход отделялся, и миномет опирался только на деревянную опорную плиту прямоугольной формы.</w:t>
      </w:r>
    </w:p>
    <w:p w14:paraId="616F1089" w14:textId="77777777" w:rsidR="00904E0B" w:rsidRPr="00C33834" w:rsidRDefault="00904E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Принцип воспламенения заряда газодинамический. Заряд помещался в отдельной камере, соединенной с каналом ствола отверстием, называемым соплом. Недостатком миномета была его малая скорострельность, так как заряжание производилось в два приема: мина — с дула, заряд — с казенной части. Затвор миномета клиновой системы инженера Соколова.</w:t>
      </w:r>
    </w:p>
    <w:p w14:paraId="7CDA54E5" w14:textId="77777777" w:rsidR="00904E0B" w:rsidRPr="00C33834" w:rsidRDefault="00904E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Ствол миномета гладкий. Мины оперенные. Метательный заряд помещался в укороченной гильзе от 107-мм пушки обр. 1910 г. (12705).</w:t>
      </w:r>
    </w:p>
    <w:p w14:paraId="5EF7E26E" w14:textId="77777777" w:rsidR="00904E0B" w:rsidRPr="00C33834" w:rsidRDefault="00904E0B" w:rsidP="00C33834">
      <w:pPr>
        <w:spacing w:after="0" w:line="240" w:lineRule="auto"/>
        <w:jc w:val="both"/>
        <w:rPr>
          <w:rFonts w:ascii="Times New Roman" w:hAnsi="Times New Roman"/>
          <w:color w:val="000000" w:themeColor="text1"/>
          <w:sz w:val="16"/>
          <w:szCs w:val="16"/>
        </w:rPr>
      </w:pPr>
    </w:p>
    <w:p w14:paraId="66B67EEF" w14:textId="77777777" w:rsidR="00904E0B" w:rsidRPr="00C33834" w:rsidRDefault="00904E0B" w:rsidP="00C33834">
      <w:pPr>
        <w:autoSpaceDE w:val="0"/>
        <w:autoSpaceDN w:val="0"/>
        <w:adjustRightInd w:val="0"/>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Жизнь и внутреняя политика:</w:t>
      </w:r>
    </w:p>
    <w:p w14:paraId="02308306" w14:textId="77777777" w:rsidR="00904E0B" w:rsidRPr="00C33834" w:rsidRDefault="00904E0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A1F3BBF" w14:textId="77777777" w:rsidR="00904E0B" w:rsidRPr="00C33834" w:rsidRDefault="00904E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 началу 1933 г. большинство сооружений канала было закончено. Двадцать восьмого мая 1933 г. по каналу начал движение первый караван судов. Караван сопровождался землечерпалками, доводившими глубину на фарватере до проектных 12 футов. </w:t>
      </w:r>
    </w:p>
    <w:p w14:paraId="3B43DB91" w14:textId="77777777" w:rsidR="00904E0B" w:rsidRPr="00C33834" w:rsidRDefault="00904E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Беломорско-Балтийский канал был построен. Он обошелся в 101 316 тыс. рублей, из которых 17 316 тыс. рублей было покрыто за счет выполнения Беломорстроем работ по договорам с другими организациями. Строители полностью уложились в проектную смету. Постановлением ЦК ВКП(б) от 2 августа 1933 г. канал был официально зачислен в число действующих водных путей Союза ССР. В постановлении особо подчеркивался масштаб проделанной работы. На трассе канала возведено 128 гидротехнических сооружений: 19 шлюзов, 15 плотин, 12 водоспусков, 49 дамб и 33 искусственных канала. Вынуто 21 млн. кубометров грунта, уложено 390 тыс. кубометров бетона и 921 тыс. кубометров ряжевых конструкций. Строительство обошлось почти в 4 раза дешевле первоначальной сметной стоимости и было закончено точно в срок. </w:t>
      </w:r>
    </w:p>
    <w:p w14:paraId="354B179A" w14:textId="77777777" w:rsidR="00904E0B" w:rsidRPr="00C33834" w:rsidRDefault="00904E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Тем временем к переходу по трассе канала готовилась первая группа военных кораблей Балтийского флота. Хотя официально канал был принят в эксплуатацию только 2 августа 1933 г., интересы обороны страны требовали скорейшего создания на Севере военно-морской группировки (12129).</w:t>
      </w:r>
    </w:p>
    <w:p w14:paraId="1CD54531" w14:textId="77777777" w:rsidR="00904E0B" w:rsidRPr="00C33834" w:rsidRDefault="00904E0B" w:rsidP="00C33834">
      <w:pPr>
        <w:spacing w:after="0" w:line="240" w:lineRule="auto"/>
        <w:jc w:val="both"/>
        <w:rPr>
          <w:rFonts w:ascii="Times New Roman" w:hAnsi="Times New Roman"/>
          <w:color w:val="000000" w:themeColor="text1"/>
          <w:sz w:val="16"/>
          <w:szCs w:val="16"/>
        </w:rPr>
      </w:pPr>
    </w:p>
    <w:p w14:paraId="4113971A" w14:textId="77777777" w:rsidR="008E59AC" w:rsidRPr="00C33834" w:rsidRDefault="008E59AC"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7988F92" w14:textId="77777777" w:rsidR="008E59AC" w:rsidRPr="00C33834" w:rsidRDefault="008E59A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24502A9" w14:textId="77777777" w:rsidR="008E59AC" w:rsidRPr="00C33834" w:rsidRDefault="008E59A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январю 1933 года остаось всего 4 ЮГ-1, из которых 3 использовались как учебные (один в Военно-воздушной академии и два — в школе морских летчиков в Ейске), а четвертый, приписанный к 70-му отряду особого назначения, обслуживал Реввоенсовет ОКДВА. В январе 1934 года летал уже всего один самолет в Ейске.</w:t>
      </w:r>
    </w:p>
    <w:p w14:paraId="2C83C9CA" w14:textId="77777777" w:rsidR="008E59AC" w:rsidRPr="00C33834" w:rsidRDefault="008E59A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Высвободившиеся «юнкерсы» перешли в гражданскую авиацию. О приобретении пассажирских G.24 задумывались и раньше. Например, в январе 1928 года намеревались купить один-два 0.24 для предполагавшейся авиалинии Ташкент-Кабул. В феврале того же года через торгпредство в Берлине заказали для общества «Добролет» один трехмоторный «юнкерс» с колесным и поплавковым шасси. Он предназначался для линии Иркутск—Якутск. Но в августе заказ аннулировали и вместо С.24 купили три одномоторных </w:t>
      </w:r>
      <w:hyperlink r:id="rId5" w:history="1">
        <w:r w:rsidRPr="00C33834">
          <w:rPr>
            <w:rFonts w:ascii="Times New Roman" w:hAnsi="Times New Roman"/>
            <w:color w:val="000000" w:themeColor="text1"/>
            <w:sz w:val="16"/>
            <w:szCs w:val="16"/>
          </w:rPr>
          <w:t>W.33</w:t>
        </w:r>
      </w:hyperlink>
      <w:r w:rsidRPr="00C33834">
        <w:rPr>
          <w:rFonts w:ascii="Times New Roman" w:hAnsi="Times New Roman"/>
          <w:color w:val="000000" w:themeColor="text1"/>
          <w:sz w:val="16"/>
          <w:szCs w:val="16"/>
        </w:rPr>
        <w:t xml:space="preserve"> (15479).</w:t>
      </w:r>
    </w:p>
    <w:p w14:paraId="56E10D4C" w14:textId="77777777" w:rsidR="008E59AC" w:rsidRPr="00C33834" w:rsidRDefault="008E59AC" w:rsidP="00C33834">
      <w:pPr>
        <w:spacing w:after="0" w:line="240" w:lineRule="auto"/>
        <w:jc w:val="both"/>
        <w:rPr>
          <w:rFonts w:ascii="Times New Roman" w:hAnsi="Times New Roman"/>
          <w:color w:val="000000" w:themeColor="text1"/>
          <w:sz w:val="16"/>
          <w:szCs w:val="16"/>
        </w:rPr>
      </w:pPr>
    </w:p>
    <w:p w14:paraId="5290A5CB" w14:textId="77777777" w:rsidR="00904E0B" w:rsidRPr="00C33834" w:rsidRDefault="00904E0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 январю 1933 г. группу бескаркасного дирижабля переименовали в Бюро дирижабля Циолковского (позднее КБ-3) (20120).</w:t>
      </w:r>
    </w:p>
    <w:p w14:paraId="12353816" w14:textId="77777777" w:rsidR="00904E0B" w:rsidRPr="00C33834" w:rsidRDefault="00904E0B" w:rsidP="00C33834">
      <w:pPr>
        <w:spacing w:after="0" w:line="240" w:lineRule="auto"/>
        <w:jc w:val="both"/>
        <w:rPr>
          <w:rFonts w:ascii="Times New Roman" w:hAnsi="Times New Roman"/>
          <w:color w:val="0070C0"/>
          <w:sz w:val="16"/>
          <w:szCs w:val="16"/>
        </w:rPr>
      </w:pPr>
    </w:p>
    <w:p w14:paraId="14B649D1" w14:textId="77777777" w:rsidR="00B6154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03A81A3" w14:textId="77777777" w:rsidR="00B61547" w:rsidRPr="00C33834" w:rsidRDefault="00B6154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F8C1238"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января 1933 удалось освоить - 426 млн. выделенных КВ и незавершенка была 200 - это результаты первой пятилетки в авиастроении (80,419). Отрасль имела 31 завод (5 - самолетные и 4 строились, 3 моторных и 3 строились, 16 - подсобные, ремонтные, опытные) по сравнению с 12 в 1929 (80,419).</w:t>
      </w:r>
    </w:p>
    <w:p w14:paraId="4BA3DD89"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и опытное производство в ЦКБ продвигались медленнее, чем обычно, а качество разработок было низким. Однако, за время работы ЦКБ в составе ЦАГИ (около 1,5 лет - 92,409) - до марта 1933 (62, 649), кое-что удалось. Например, по штурмовикам были созданы ЛШ и ТШ-1, по истребителям - ДИ-3, по бомбардировщикам - ТБ-5, по гидросамолетам - МДР-3. Однако после летных испытаний серийные машины не получились (24,54).</w:t>
      </w:r>
    </w:p>
    <w:p w14:paraId="6876BFE3"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Считается, что слабые практические результаты работы ЦКБ, невозможность реально повлиять на их ход вероятно стали причиной подготовки С.В.Ильюшиным предложений по перестройке работы ЦКБ. Интересно, что С.В.Ильюшину пришлось проработать в старом ЦКБ меньше года для того, чтобы подготовить предложения по реорганизации ЦКБ. Предложения были представлены П.И.Баранову и тот обещал подумать. Результатом раздумий стало разукрупнение ЦКБ.</w:t>
      </w:r>
    </w:p>
    <w:p w14:paraId="2EAC4F9E"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p>
    <w:p w14:paraId="2377264F"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г. объем незавершенного строительства превышал 200 млн рублей. Принятый на Х1Усъезде ВКП(б) в 1926 г. курс на индустриализацию страны дал мощный импульс развитию авиапромышленности. 16 октября 1929 г. был утвержден первый пятилетний план, в котором на капитальное строительство выделялось из госбюджета 115 млн рублей. Вскоре эта цифра увеличилась до 159 млн руб., а к концу года возросла до 642 млн руб.! Освоить эту сумму полностью не удалосьОтставание обуславливалось не только неумелым планированием, но и откровенной слабостью строй индустрии на местах, острой нехваткой квалифицированных специалистов, распылением средств но десяткам объектов и тотальным фондированием практически всех необходимых материалов. Более того, проектно-сметная документация разрабатывалась конторами на стройках и никак не увязывалась с общими планами и возможностями народного хозяйства (12037).</w:t>
      </w:r>
    </w:p>
    <w:p w14:paraId="2D056A3C"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p>
    <w:p w14:paraId="43C948DA"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1933 официально закончилась первая пятилетка. Было 22 завода + 9 строящихся (4 самолетных + 5 самолетных строящихся; 3 моторных + 1 строящийся; 6 подсобных + 3 строящихся; 4 ремонтных; 5 опытных (1024,1).</w:t>
      </w:r>
    </w:p>
    <w:p w14:paraId="1BFCB0DC"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p>
    <w:p w14:paraId="05511413" w14:textId="77777777" w:rsidR="00A630EB" w:rsidRPr="00C33834" w:rsidRDefault="00A630E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января 1933 г. СОК выде</w:t>
      </w:r>
      <w:r w:rsidRPr="00C33834">
        <w:rPr>
          <w:rFonts w:ascii="Times New Roman" w:hAnsi="Times New Roman"/>
          <w:color w:val="0070C0"/>
          <w:sz w:val="16"/>
          <w:szCs w:val="16"/>
        </w:rPr>
        <w:softHyphen/>
        <w:t>лили из состава ЭАО и преобразовали в самостоятельный Отдел особых конструкций (ООК). В конце 1933 г. на тер</w:t>
      </w:r>
      <w:r w:rsidRPr="00C33834">
        <w:rPr>
          <w:rFonts w:ascii="Times New Roman" w:hAnsi="Times New Roman"/>
          <w:color w:val="0070C0"/>
          <w:sz w:val="16"/>
          <w:szCs w:val="16"/>
        </w:rPr>
        <w:softHyphen/>
        <w:t>ритории завода ЗОК образовали специальный цех винтовых аппаратов (ЦВА) для изготовления вертолетов и автожиров (20361).</w:t>
      </w:r>
    </w:p>
    <w:p w14:paraId="127BDDDE" w14:textId="77777777" w:rsidR="00A630EB" w:rsidRPr="00C33834" w:rsidRDefault="00A630EB" w:rsidP="00C33834">
      <w:pPr>
        <w:shd w:val="clear" w:color="auto" w:fill="FFFFFF"/>
        <w:spacing w:after="0" w:line="240" w:lineRule="auto"/>
        <w:jc w:val="both"/>
        <w:rPr>
          <w:rFonts w:ascii="Times New Roman" w:hAnsi="Times New Roman"/>
          <w:color w:val="0070C0"/>
          <w:sz w:val="16"/>
          <w:szCs w:val="16"/>
        </w:rPr>
      </w:pPr>
    </w:p>
    <w:p w14:paraId="48199D58" w14:textId="77777777" w:rsidR="00CB6568" w:rsidRPr="00C33834" w:rsidRDefault="00CB656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На 1 января 1933 г. в докладе о состоянии работ по опытному моторо- и самолётостроению сказано: «Проведенные испытания в текущем году дали положительные результаты по ускорению взлёта… Со стороны ГДЛ ставится вопрос экспериментирования отдельно хвостовой части самолёта на выявление причин, вызывающих деформацию фюзеляжа от действия ракет… Самолёт находится в ремонте» </w:t>
      </w:r>
      <w:hyperlink r:id="rId6" w:history="1">
        <w:r w:rsidRPr="00C33834">
          <w:rPr>
            <w:rFonts w:ascii="Times New Roman" w:eastAsia="Times New Roman" w:hAnsi="Times New Roman"/>
            <w:color w:val="000000" w:themeColor="text1"/>
            <w:sz w:val="16"/>
            <w:szCs w:val="16"/>
            <w:lang w:eastAsia="ru-RU"/>
          </w:rPr>
          <w:t>[65]</w:t>
        </w:r>
      </w:hyperlink>
      <w:r w:rsidRPr="00C33834">
        <w:rPr>
          <w:rFonts w:ascii="Times New Roman" w:eastAsia="Times New Roman" w:hAnsi="Times New Roman"/>
          <w:color w:val="000000" w:themeColor="text1"/>
          <w:sz w:val="16"/>
          <w:szCs w:val="16"/>
          <w:lang w:eastAsia="ru-RU"/>
        </w:rPr>
        <w:t xml:space="preserve"> .</w:t>
      </w:r>
    </w:p>
    <w:p w14:paraId="19B6265E" w14:textId="77777777" w:rsidR="00CB6568" w:rsidRPr="00C33834" w:rsidRDefault="00CB656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После успешных испытаний У-1 было решено проверить эффективность пороховых ракет при взлёте бомбардировщиков ТБ-1 с двумя моторами М-17. Самолёт для экспериментов выделил Ленинградский военный округ. Так как весил бомбардировщик почти в 10 раз больше, чем У-1, на самолёте установили шесть ускорителей: четыре под крылом и два на крыле. Включение ускорителей осуществлялось с помощью кнопки на штурвале. Воспламенение заряда происходило через гальванические трубки, входившие в сопло ракеты. Как в экспериментах с У-1, ракеты соединялись 12-мм металлическими трубками дублирующей системой огневой связи, которая заставляла все ракеты работать одинаково.</w:t>
      </w:r>
    </w:p>
    <w:p w14:paraId="7BEA9F1D" w14:textId="77777777" w:rsidR="00CB6568" w:rsidRPr="00C33834" w:rsidRDefault="00CB656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Чтобы уменьшить воздействие реактивной струи на хвостовое оперение, в 1933 г. расположение ускорителей изменили. Теперь их установили в связках по три ракеты на верхней поверхности каждого крыла. Они крепились на дюралевых фермах, проходящих сквозь крыло и соединенных с узлами шасси. Угол установки сопел ускорителей подобрали так, чтобы струя газов проходила над горизонтальным стабилизатором и не задевала боковую обшивку фюзеляжа.</w:t>
      </w:r>
    </w:p>
    <w:p w14:paraId="72E719DD" w14:textId="77777777" w:rsidR="00CB6568" w:rsidRPr="00C33834" w:rsidRDefault="00CB656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Испытания велись с 11 июля по 7 августа 1933 г. при различном взлётном весе ТБ-1. Самолёт пилотировал лётчик-испытатель Н.П. Благин, в качестве наблюдающих летали инженеры ГДЛ Дудаков и Ширяев. Было проведено семь взлётов, из них пять — с ускорителями. Каждый ускоритель был рассчитан на 15 шашек пироксилино-тротилового пороха. На подготовку полёта (заряжание ракет, проверка цепи зажигания и др.) уходило от часа до полутора.</w:t>
      </w:r>
    </w:p>
    <w:p w14:paraId="26D816B8" w14:textId="77777777" w:rsidR="00CB6568" w:rsidRPr="00C33834" w:rsidRDefault="00CB656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дневнике испытаний сообщалось:</w:t>
      </w:r>
    </w:p>
    <w:p w14:paraId="4AEC45D1" w14:textId="77777777" w:rsidR="00CB6568" w:rsidRPr="00C33834" w:rsidRDefault="00CB656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11 июля — два взлёта без запуска ускорителей.</w:t>
      </w:r>
    </w:p>
    <w:p w14:paraId="653F4CDF" w14:textId="77777777" w:rsidR="00CB6568" w:rsidRPr="00C33834" w:rsidRDefault="00CB656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16 июля — два взлёта с 3/5 полного заряда ускорителей (9 шашек).</w:t>
      </w:r>
    </w:p>
    <w:p w14:paraId="48750112" w14:textId="77777777" w:rsidR="00CB6568" w:rsidRPr="00C33834" w:rsidRDefault="00CB656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21, 22 июля — взлёты с полным зарядом.</w:t>
      </w:r>
    </w:p>
    <w:p w14:paraId="4BB6E542" w14:textId="77777777" w:rsidR="00CB6568" w:rsidRPr="00C33834" w:rsidRDefault="00CB656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7 августа — взлёт с ускорителями с увеличенным до 8 т полётном весе самолёта (сверх программы, по указанию начальника ВВС Алксниса) </w:t>
      </w:r>
      <w:hyperlink r:id="rId7" w:history="1">
        <w:r w:rsidRPr="00C33834">
          <w:rPr>
            <w:rFonts w:ascii="Times New Roman" w:eastAsia="Times New Roman" w:hAnsi="Times New Roman"/>
            <w:color w:val="000000" w:themeColor="text1"/>
            <w:sz w:val="16"/>
            <w:szCs w:val="16"/>
            <w:lang w:eastAsia="ru-RU"/>
          </w:rPr>
          <w:t>[66]</w:t>
        </w:r>
      </w:hyperlink>
      <w:r w:rsidRPr="00C33834">
        <w:rPr>
          <w:rFonts w:ascii="Times New Roman" w:eastAsia="Times New Roman" w:hAnsi="Times New Roman"/>
          <w:color w:val="000000" w:themeColor="text1"/>
          <w:sz w:val="16"/>
          <w:szCs w:val="16"/>
          <w:lang w:eastAsia="ru-RU"/>
        </w:rPr>
        <w:t xml:space="preserve"> .</w:t>
      </w:r>
    </w:p>
    <w:p w14:paraId="4285E706" w14:textId="77777777" w:rsidR="00CB6568" w:rsidRPr="00C33834" w:rsidRDefault="00CB656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Наилучший эффект достигался при включении ускорителей после короткого пробега при полной тяге винтов.</w:t>
      </w:r>
    </w:p>
    <w:p w14:paraId="25FCA70D" w14:textId="77777777" w:rsidR="00CB6568" w:rsidRPr="00C33834" w:rsidRDefault="00CB656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октябре прошли государственные испытания ТБ-1 с ускорителями. Ведущим лётчиком был испытатель НИИ ВВС К.П. Миндер. На одном из полётов по приглашению Алксниса присутствовал нарком по военным и морским делам К.Е. Ворошилов. Результаты увиденного впечатляли — 6-тонная машина отрывалась от земли через 4 секунды после старта. Время работы ускорителей составляло всего 2 секунды, но создаваемая при этом тяга разгоняла машину с ускорением до 15 м/с. Грохоча на всю округу и изрыгая длинные языки пламени, тяжёлые бомбардировщики взлетали легко, как истребители (17489).</w:t>
      </w:r>
    </w:p>
    <w:p w14:paraId="68A15757" w14:textId="77777777" w:rsidR="00CB6568" w:rsidRPr="00C33834" w:rsidRDefault="00CB6568" w:rsidP="00C33834">
      <w:pPr>
        <w:spacing w:after="0" w:line="240" w:lineRule="auto"/>
        <w:jc w:val="both"/>
        <w:rPr>
          <w:rFonts w:ascii="Times New Roman" w:eastAsia="Times New Roman" w:hAnsi="Times New Roman"/>
          <w:color w:val="000000" w:themeColor="text1"/>
          <w:sz w:val="16"/>
          <w:szCs w:val="16"/>
          <w:lang w:eastAsia="ru-RU"/>
        </w:rPr>
      </w:pPr>
    </w:p>
    <w:p w14:paraId="10A09899" w14:textId="77777777" w:rsidR="00CB6568" w:rsidRPr="00C33834" w:rsidRDefault="00CB656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На 1 января 1933 г. в докладе о состоянии работ по опытному моторо- и самолётостроению сообщалось: «Работа по реактивному двигателю на жидком топливе ведётся в ГИРД ОСОАВИАХИМА… Двигатель ГИРД проходит исследовательские испытания. Срок окончания последних в настоящее время определить нельзя. В случае положительного результата двигатель будет установлен на лёгкий самолёт летающее крыло, уже построенный и испытанный» </w:t>
      </w:r>
      <w:hyperlink r:id="rId8" w:history="1">
        <w:r w:rsidRPr="00C33834">
          <w:rPr>
            <w:rFonts w:ascii="Times New Roman" w:eastAsia="Times New Roman" w:hAnsi="Times New Roman"/>
            <w:color w:val="000000" w:themeColor="text1"/>
            <w:sz w:val="16"/>
            <w:szCs w:val="16"/>
            <w:lang w:eastAsia="ru-RU"/>
          </w:rPr>
          <w:t>[262]</w:t>
        </w:r>
      </w:hyperlink>
      <w:r w:rsidRPr="00C33834">
        <w:rPr>
          <w:rFonts w:ascii="Times New Roman" w:eastAsia="Times New Roman" w:hAnsi="Times New Roman"/>
          <w:color w:val="000000" w:themeColor="text1"/>
          <w:sz w:val="16"/>
          <w:szCs w:val="16"/>
          <w:lang w:eastAsia="ru-RU"/>
        </w:rPr>
        <w:t>.</w:t>
      </w:r>
    </w:p>
    <w:p w14:paraId="7C0ADFF3" w14:textId="77777777" w:rsidR="00CB6568" w:rsidRPr="00C33834" w:rsidRDefault="00CB656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По расчёту, при тяге двигателя 50 кгс в течение 1 минуты ракетоплан должен был развить скорость 139 км/ч, его скороподъёмность равнялась 2,2 м/с. </w:t>
      </w:r>
      <w:hyperlink r:id="rId9" w:history="1">
        <w:r w:rsidRPr="00C33834">
          <w:rPr>
            <w:rFonts w:ascii="Times New Roman" w:eastAsia="Times New Roman" w:hAnsi="Times New Roman"/>
            <w:color w:val="000000" w:themeColor="text1"/>
            <w:sz w:val="16"/>
            <w:szCs w:val="16"/>
            <w:lang w:eastAsia="ru-RU"/>
          </w:rPr>
          <w:t>[263]</w:t>
        </w:r>
      </w:hyperlink>
      <w:r w:rsidRPr="00C33834">
        <w:rPr>
          <w:rFonts w:ascii="Times New Roman" w:eastAsia="Times New Roman" w:hAnsi="Times New Roman"/>
          <w:color w:val="000000" w:themeColor="text1"/>
          <w:sz w:val="16"/>
          <w:szCs w:val="16"/>
          <w:lang w:eastAsia="ru-RU"/>
        </w:rPr>
        <w:t xml:space="preserve"> Но снять характеристики в полёте не удалось. 28 марта 1933 г. умер Ф.А. Цандер, и ОР-2 так и не удалось довести до состояния, позволяющего установить его на летательный аппарат. По указанию руководства, оба РП-1, считавшиеся секретными, были преданы огню.</w:t>
      </w:r>
    </w:p>
    <w:p w14:paraId="483E5A39" w14:textId="77777777" w:rsidR="00CB6568" w:rsidRPr="00C33834" w:rsidRDefault="00CB656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Одновременно с опытами с РП-1, в ГИРДе проектировали ракетопланы РП-2 и РП-3. На РП-2 планировалось установить ЖРД РДА-1 тягой 100 кгс, имевший насосную систему подачи горючего и окислителя. Насосная система была выгоднее вытеснительной (баки и трубопроводы до насоса не находились под высоким давлением, что позволяло сделать их легче и безопаснее в эксплуатации), но добиться надёжной и эффективной работы насоса в то время не смогли. РП-3, проектировавшийся под руководством А.В. Чесалова, представлял собой двухместный самолёт с комбинированной силовой установкой, состоящей из ЖРД тягой 300 кгс и поршневого двигателя мощностью 250–300 л. с. Поршневой двигатель предназначался для взлёта и набора высоты 5–6 км, затем включался ракетный двигатель, с помощью которого РП-3 должен был подняться на 12-километровую высоту и развить скорость до 800 км/ч. Экипаж — пилот и инженер-экспериментатор — помещались в гермокабине. Предусматривалось, что в аварийной ситуации кабина с экипажем будет отделяться и опускаться на специальном парашюте, удар при приземлении гасился надувной резиновой камерой </w:t>
      </w:r>
      <w:hyperlink r:id="rId10" w:history="1">
        <w:r w:rsidRPr="00C33834">
          <w:rPr>
            <w:rFonts w:ascii="Times New Roman" w:eastAsia="Times New Roman" w:hAnsi="Times New Roman"/>
            <w:color w:val="000000" w:themeColor="text1"/>
            <w:sz w:val="16"/>
            <w:szCs w:val="16"/>
            <w:lang w:eastAsia="ru-RU"/>
          </w:rPr>
          <w:t>[264]</w:t>
        </w:r>
      </w:hyperlink>
      <w:r w:rsidRPr="00C33834">
        <w:rPr>
          <w:rFonts w:ascii="Times New Roman" w:eastAsia="Times New Roman" w:hAnsi="Times New Roman"/>
          <w:color w:val="000000" w:themeColor="text1"/>
          <w:sz w:val="16"/>
          <w:szCs w:val="16"/>
          <w:lang w:eastAsia="ru-RU"/>
        </w:rPr>
        <w:t xml:space="preserve"> .</w:t>
      </w:r>
    </w:p>
    <w:p w14:paraId="1B181ABF" w14:textId="77777777" w:rsidR="00CB6568" w:rsidRPr="00C33834" w:rsidRDefault="00CB656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Тем временем произошли организационные изменения. Ещё в 1932 г. на правительственном уровне велось обсуждение организации лаборатории по ракетным двигателям для самолётов с привлечением сотрудников Института авиационного моторостроения и ГИРДа, с последующим развитием этой лаборатории в специальный институт </w:t>
      </w:r>
      <w:hyperlink r:id="rId11" w:history="1">
        <w:r w:rsidRPr="00C33834">
          <w:rPr>
            <w:rFonts w:ascii="Times New Roman" w:eastAsia="Times New Roman" w:hAnsi="Times New Roman"/>
            <w:color w:val="000000" w:themeColor="text1"/>
            <w:sz w:val="16"/>
            <w:szCs w:val="16"/>
            <w:lang w:eastAsia="ru-RU"/>
          </w:rPr>
          <w:t>[265]</w:t>
        </w:r>
      </w:hyperlink>
      <w:r w:rsidRPr="00C33834">
        <w:rPr>
          <w:rFonts w:ascii="Times New Roman" w:eastAsia="Times New Roman" w:hAnsi="Times New Roman"/>
          <w:color w:val="000000" w:themeColor="text1"/>
          <w:sz w:val="16"/>
          <w:szCs w:val="16"/>
          <w:lang w:eastAsia="ru-RU"/>
        </w:rPr>
        <w:t xml:space="preserve"> . В 1934 г. ГИРД преобразовали в Реактивный научно-исследовательский институт (РНИИ) Наркомата тяжёлой промышленности, а близкую по тематике Ленинградскую газодинамическую лабораторию (ГДЛ) перевели в Москву и влили в РНИИ. Среди прибывших из ГДЛ сотрудников был Валентин Петрович Глушко — конструктор жидкостных ракетных двигателей «ОРМ» (17489).</w:t>
      </w:r>
    </w:p>
    <w:p w14:paraId="06C6C34B" w14:textId="77777777" w:rsidR="00CB6568" w:rsidRPr="00C33834" w:rsidRDefault="00CB6568" w:rsidP="00C33834">
      <w:pPr>
        <w:spacing w:after="0" w:line="240" w:lineRule="auto"/>
        <w:jc w:val="both"/>
        <w:rPr>
          <w:rFonts w:ascii="Times New Roman" w:eastAsia="Times New Roman" w:hAnsi="Times New Roman"/>
          <w:color w:val="000000" w:themeColor="text1"/>
          <w:sz w:val="16"/>
          <w:szCs w:val="16"/>
          <w:lang w:eastAsia="ru-RU"/>
        </w:rPr>
      </w:pPr>
    </w:p>
    <w:p w14:paraId="123EC6AD"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г. готовность самолета ДИП (заказ № 7091) составляла 12 процентов (9538,27).</w:t>
      </w:r>
    </w:p>
    <w:p w14:paraId="0D5897B1"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p>
    <w:p w14:paraId="1AC027A9"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января 1933 года в ЦАГИ был построен второй экземпляр Р5 с разрезными крыльями, в котором должны были быть устранены дефекты, обнаруженные на первом экземпляре. К лету 1932 года ЦАГИ установил предкрылки и закрылки на самолете Р5 М-17. Испытание этого самолета в НИИ ВВС показало, что хотя посадочная скорость самолета, благодаря установке разрезных крыльев была уменьшена на 15-20%, однако летные данные самолета ухудшились и сама конструкция разрезных крыльев обладала рядом крупных дефектов, благодаря чему построенный самолет Р5 с разрезными крыльями не мог служить образцом для серийной постройки таких самолетов (3530,91).</w:t>
      </w:r>
    </w:p>
    <w:p w14:paraId="58BE4760"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p>
    <w:p w14:paraId="16C50492" w14:textId="77777777" w:rsidR="00B61547" w:rsidRPr="00C33834" w:rsidRDefault="00B6154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января 1933 г. в ВВС было 348 И-5. В 1936 г. их уже начали снимать с вооружения. В 1938 г. в ВВС Забайкальского военного округа оставалось 6 ма</w:t>
      </w:r>
      <w:r w:rsidRPr="00C33834">
        <w:rPr>
          <w:rFonts w:ascii="Times New Roman" w:hAnsi="Times New Roman"/>
          <w:color w:val="000000" w:themeColor="text1"/>
          <w:sz w:val="16"/>
          <w:szCs w:val="16"/>
        </w:rPr>
        <w:softHyphen/>
        <w:t>шин, Киевского - 10, Закавказского - 3, Ленинградского - 8. В апреле 1940 г. в списках самолетного парка ВВС числилось 238 И-5, использовавшихся в летных школах. В ВВС ВМФ смена парка проходила медленнее: в 1935 г. в составе ВВС флота имелось 73 машины, годом позже - 152 (из них 41 - на Черном море, остальные - на Тихом океане); в январе 1940 г. 31 машина находилось в частях флота и 20 самолетов - в училищах морской авиации. И-5 летал и за пределами нашей страны. В октябре 1935 г. перед лицом японской угрозы 21-я эскадрилья из двух отрядов перелетела в Монголию, в Тамсаг-Булак, где занималась патрулированием границы (10667).</w:t>
      </w:r>
    </w:p>
    <w:p w14:paraId="1F4D0E96" w14:textId="77777777" w:rsidR="00B61547" w:rsidRPr="00C33834" w:rsidRDefault="00B6154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355726" w14:textId="77777777" w:rsidR="00B61547" w:rsidRPr="00C33834" w:rsidRDefault="00B6154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1933 г. в строю оставался один И-6 (10729).</w:t>
      </w:r>
    </w:p>
    <w:p w14:paraId="1B5D31A9" w14:textId="77777777" w:rsidR="00B61547" w:rsidRPr="00C33834" w:rsidRDefault="00B6154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46E69A"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1933 началось производства дизель-мотора Н-5 конструкции ОКБ НКВД (2310,130).</w:t>
      </w:r>
    </w:p>
    <w:p w14:paraId="78098359"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p>
    <w:p w14:paraId="2000F2A2"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1933 Нач. управления военных изобретений (УВИ) писал письмо в ГУАП:</w:t>
      </w:r>
    </w:p>
    <w:p w14:paraId="5F68E9B8"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Новочеркасского авианститута Левков предложил УВИ свое изобретение, представляющее большой интерес. Для демонстрации работы модели указанного изобретения Левкову необходим специальный выезд в Москву в конце января - начале февраля в зависимости от хода работ по изготовлению модели - это СВП". УВИ направило модель в ЦАГИ и отзыв подписали Г.Х.Саблин и К.А.Ушаков - выразили сомнение в практической пользе (3095,30).</w:t>
      </w:r>
    </w:p>
    <w:p w14:paraId="56DB32E0"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p>
    <w:p w14:paraId="323B9EF5"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был подготовлен:</w:t>
      </w:r>
    </w:p>
    <w:p w14:paraId="344DDFD7"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Паспорт завода № 1 им. Авихима</w:t>
      </w:r>
    </w:p>
    <w:p w14:paraId="2A9115D8"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расположен в Москве, в черте города, на двух разделенных территориях.</w:t>
      </w:r>
    </w:p>
    <w:p w14:paraId="1AFFD809"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старой – в районе Ленинградского шоссе между 1 и 3 улицами Ямского поля и на новой – по Ленинградскому шоссе между Боткинской больницей и Ленинградским шоссе.</w:t>
      </w:r>
    </w:p>
    <w:p w14:paraId="640F9F91"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старой территории в настоящее время находятся лишь заготовительные цеха, которые останутся там до окончания постройки на новой территории гл. корпуса для инструментальных и ремонтных цехов.</w:t>
      </w:r>
    </w:p>
    <w:p w14:paraId="466976C3"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1 организован в 1918 году из существовавшего до революции завода Дукс, изготовлявшего до 1910 года велосипеды и велосипедные части.</w:t>
      </w:r>
    </w:p>
    <w:p w14:paraId="56FDDEB2"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1930 года завод был на старом месте; в 1930 году был отстроен корпус для самолетосборочного цеха на новой территории.</w:t>
      </w:r>
    </w:p>
    <w:p w14:paraId="645533EB"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1931 года из состава завода было выделено подсобное производство в самостоятельные заводы:</w:t>
      </w:r>
    </w:p>
    <w:p w14:paraId="33B5B5BC"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металлургического производства – завод № 34</w:t>
      </w:r>
    </w:p>
    <w:p w14:paraId="5D09AE55"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производства предметов вооружения – завод № 32</w:t>
      </w:r>
    </w:p>
    <w:p w14:paraId="5771E631"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настоящее время, расположенный частично на старой территории и продолжая строительство на новой, куда к середине 1933 года предложено перевести весь завод, таковой представляет из себя предприятие, предназначенное для изготовления самолетов типа разведчик и истребитель, смешанных и сварных конструкций.</w:t>
      </w:r>
    </w:p>
    <w:p w14:paraId="4798D48B"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Имея до 1910 года производство велосипедов и велосипедных частей, завод в 1910 году построил первый самолет системы «Фарман». В годы Империалистической войны завод развивает авиационное производство и количество рабочих на заводе доходит до 3500 человек.</w:t>
      </w:r>
    </w:p>
    <w:p w14:paraId="4D1EC42B"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1917 году производство самолетов и велосипедов прекращается, а количество рабочих падает до 150-200 человек. С 1918 года восстанавливается производство велосипедов и самолетов, постепенно увеличивается количество рабочих и развивается авиационное производство.</w:t>
      </w:r>
    </w:p>
    <w:p w14:paraId="30588023"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1926 году завод прекращает изготовление велосипедов, сосредоточив все внимание на производстве самолетов и предметов их вооружения и с этого года заводом постепенно внедряется производство и устанавливается выпуск последовательно следующих машин:</w:t>
      </w:r>
    </w:p>
    <w:p w14:paraId="4E388260"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Р-1, И2-бис, И-3, Р5, И5, И7 (9291).</w:t>
      </w:r>
    </w:p>
    <w:p w14:paraId="68EE7789" w14:textId="77777777" w:rsidR="00B61547" w:rsidRPr="00C33834" w:rsidRDefault="00B61547" w:rsidP="00C33834">
      <w:pPr>
        <w:autoSpaceDE w:val="0"/>
        <w:autoSpaceDN w:val="0"/>
        <w:adjustRightInd w:val="0"/>
        <w:spacing w:after="0" w:line="240" w:lineRule="auto"/>
        <w:jc w:val="both"/>
        <w:rPr>
          <w:rFonts w:ascii="Times New Roman" w:hAnsi="Times New Roman"/>
          <w:color w:val="000000" w:themeColor="text1"/>
          <w:sz w:val="16"/>
          <w:szCs w:val="16"/>
        </w:rPr>
      </w:pPr>
    </w:p>
    <w:p w14:paraId="1F6CBABB" w14:textId="77777777" w:rsidR="00552872" w:rsidRPr="00C33834" w:rsidRDefault="0055287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был подготовлен:</w:t>
      </w:r>
    </w:p>
    <w:p w14:paraId="29446A5B" w14:textId="77777777" w:rsidR="00552872" w:rsidRPr="00C33834" w:rsidRDefault="0055287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Паспорт завода № 22</w:t>
      </w:r>
    </w:p>
    <w:p w14:paraId="40B0F768" w14:textId="77777777" w:rsidR="00552872" w:rsidRPr="00C33834" w:rsidRDefault="0055287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22 им. «Десятилетия Октября» расположен на 7 км от Москвы при ст. Фили на правом берегу Москвы-реки против Ходынки. С Москвой завод соединен трамвайной линией и асфальтированной дорогой, а со ст. Фили ж/д веткой.</w:t>
      </w:r>
    </w:p>
    <w:p w14:paraId="60101C28" w14:textId="77777777" w:rsidR="00552872" w:rsidRPr="00C33834" w:rsidRDefault="0055287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в настоящее время предназначен для производства средних и тяжелых металлических самолетов, как военных, так и гражданских.</w:t>
      </w:r>
    </w:p>
    <w:p w14:paraId="65152064" w14:textId="77777777" w:rsidR="00552872" w:rsidRPr="00C33834" w:rsidRDefault="0055287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реконструирован из Русско-Балтийского автомобильного завода, построенного в 1916 году. После революции, частично в недостроенном виде, завод был передан Центральному управлению автозаводов. В 1921 году завод был передан Управлению бронесил Республики. В 1923 году завод стал Концессией Германской авиационной фирмы «Юнкерс». Проработав до середины 1925 года фирма «Юнкерс» прекратила работы по самолетостроению и существовала на бумаге 2 года, в 1927 году была ликвидирована и завод перешел в ведение Авиатреста и затем Глававиапрома.</w:t>
      </w:r>
    </w:p>
    <w:p w14:paraId="768891D0" w14:textId="77777777" w:rsidR="00552872" w:rsidRPr="00C33834" w:rsidRDefault="0055287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Официальное открытие завода № 22 состоялось 7 ноября 1927 года.</w:t>
      </w:r>
    </w:p>
    <w:p w14:paraId="704ED192" w14:textId="77777777" w:rsidR="00552872" w:rsidRPr="00C33834" w:rsidRDefault="0055287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1932 году завод производил следующую продукцию:</w:t>
      </w:r>
    </w:p>
    <w:p w14:paraId="1ACAB55E" w14:textId="77777777" w:rsidR="00BD343D" w:rsidRPr="00C33834" w:rsidRDefault="00BD343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 АНТ-9 с тремя моторами М-26. Производственный цикл изготовления этого самолета на заводе № 22 в 1932 году был 5 месяцев.</w:t>
      </w:r>
    </w:p>
    <w:p w14:paraId="6D9C9D34" w14:textId="77777777" w:rsidR="00BD343D" w:rsidRPr="00C33834" w:rsidRDefault="00BD343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 Р-6 с двумя моторами М-17. Производственный цикл изготовления этого самолета на заводе № 22 в 1932 году был 5 месяцев.</w:t>
      </w:r>
    </w:p>
    <w:p w14:paraId="2C47CDBA" w14:textId="77777777" w:rsidR="00BD343D" w:rsidRPr="00C33834" w:rsidRDefault="00BD343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 ТБ-3 с четырьмя моторами М-17. Производственный цикл изготовления этого самолета на заводе № 22 в 1932 году был 6 месяцев.</w:t>
      </w:r>
    </w:p>
    <w:p w14:paraId="59AC1988" w14:textId="77777777" w:rsidR="00BD343D" w:rsidRPr="00C33834" w:rsidRDefault="00BD343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1932 году завод переходит в основном к производству машины ТБ3, заканчивая в первом полугодии выпуск машин АНТ-9 и Р6. Нужно отметить, что самолет ТБ3 по сравнению с другими машинами, выпущенными заводом до сего времени, дал резкий скачек, как в смысле мощности самой машины, так и в смысле сложности организации технологического процесса (9291)</w:t>
      </w:r>
    </w:p>
    <w:p w14:paraId="3A5C62C1" w14:textId="77777777" w:rsidR="00BD343D" w:rsidRPr="00C33834" w:rsidRDefault="00BD343D" w:rsidP="00C33834">
      <w:pPr>
        <w:autoSpaceDE w:val="0"/>
        <w:autoSpaceDN w:val="0"/>
        <w:adjustRightInd w:val="0"/>
        <w:spacing w:after="0" w:line="240" w:lineRule="auto"/>
        <w:jc w:val="both"/>
        <w:rPr>
          <w:rFonts w:ascii="Times New Roman" w:hAnsi="Times New Roman"/>
          <w:color w:val="000000" w:themeColor="text1"/>
          <w:sz w:val="16"/>
          <w:szCs w:val="16"/>
        </w:rPr>
      </w:pPr>
    </w:p>
    <w:p w14:paraId="0545529E" w14:textId="77777777" w:rsidR="00E90940" w:rsidRPr="00C33834" w:rsidRDefault="00E90940"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был подготовлен:</w:t>
      </w:r>
    </w:p>
    <w:p w14:paraId="4F7F3C55" w14:textId="77777777" w:rsidR="00E90940" w:rsidRPr="00C33834" w:rsidRDefault="00E90940"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Паспорт завода № 23</w:t>
      </w:r>
    </w:p>
    <w:p w14:paraId="5F3A66EA" w14:textId="77777777" w:rsidR="00E90940" w:rsidRPr="00C33834" w:rsidRDefault="00E90940"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находится в Ленинграде и состоит из 2-х частей:</w:t>
      </w:r>
    </w:p>
    <w:p w14:paraId="5E8AF746" w14:textId="77777777" w:rsidR="006729A9" w:rsidRPr="00C33834" w:rsidRDefault="006729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Основная часть – на Петроградской стороне по Строгановской набережной, № 1. С южной стороны завода протекает река Большая Невка, с восточной и северной стороны – Черная речка.</w:t>
      </w:r>
    </w:p>
    <w:p w14:paraId="143D1139" w14:textId="77777777" w:rsidR="00C92D08" w:rsidRPr="00C33834" w:rsidRDefault="00C92D08" w:rsidP="00C33834">
      <w:pPr>
        <w:pStyle w:val="24"/>
        <w:widowControl/>
        <w:rPr>
          <w:color w:val="000000" w:themeColor="text1"/>
        </w:rPr>
      </w:pPr>
      <w:r w:rsidRPr="00C33834">
        <w:rPr>
          <w:color w:val="000000" w:themeColor="text1"/>
        </w:rPr>
        <w:t>Дополнительная часть завода, т.н. аэродром, расположена у Комендантского аэродрома, близь ст. Новая деревня на расстоянии около 3-х км от основного завода.</w:t>
      </w:r>
    </w:p>
    <w:p w14:paraId="05CA748D" w14:textId="77777777" w:rsidR="00C92D08" w:rsidRPr="00C33834" w:rsidRDefault="00C92D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имеет своим назначением изготовление самолетов легкого типа, гл. образом учебных, смешанной конструкции.</w:t>
      </w:r>
    </w:p>
    <w:p w14:paraId="42E60B95" w14:textId="77777777" w:rsidR="0044428B" w:rsidRPr="00C33834" w:rsidRDefault="0044428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Возникновения завода № 23 имевшего последовательно названия «Государственный авиационный завод» (ГАЗ), завод «Кр. Летчик» и наконец завод № 23, относится к 1921 году. Этот год является началом работ по восстановлению зданий бывш. Русско-Балтийского завода и сосредоточения на нем оборудования, выделенного от основных 4-х предприятий авиапромышленности Ленинграда ( в 1920 году авиационная промышленность Ленинграда насчитывала четыре авиационных завода, выросших и развившихся в период с 1911 года по 1917 год):</w:t>
      </w:r>
    </w:p>
    <w:p w14:paraId="0E571C1D" w14:textId="77777777" w:rsidR="00697A24" w:rsidRPr="00C33834" w:rsidRDefault="00697A24"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Завода «Лебедь» на Комендантском аэродроме изготовлял сухопутные самолеты, первоначально копируя заграничные типы, гл. образом французские и немецкие и позже самолет своих конструкций «Лебедь XII». Имел в 1920 году в производстве самолеты: Сопвич с мотором Клерже-130 сил и истребители Ньюпор 21, Ньюпор 17 с мотором РОН-120 сил и заканчивавшем постройкой гидросамолет с двумя моторами Роллс-Ройс по 250 сил каждый.</w:t>
      </w:r>
    </w:p>
    <w:p w14:paraId="3EDE34DD" w14:textId="77777777" w:rsidR="00697A24" w:rsidRPr="00C33834" w:rsidRDefault="00697A24"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Завода ГАМАЮН, расположенный на Большой Гребецкой улице, строил самолеты конструкции русского инженера Д.П. Григоровича, специализируясь на гидросамолетах. Строил в 1920 году самолеты М-9 с мотором Сальмсон – 150 сил и самолеты М-20 с мотором РО2-120 сил и сгоревший в том же году от неизвестной причины.</w:t>
      </w:r>
    </w:p>
    <w:p w14:paraId="6D9EE231" w14:textId="77777777" w:rsidR="00697A24" w:rsidRPr="00C33834" w:rsidRDefault="00697A24"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Завода Русско-Балтийский – филиал Русско-Балтийского вагоностроительного завода, строившего с 1911 года до Революции самолеты конструкции Сикорского (С-5, С-10, С-16 и типа Илья Муромец); в годы Революции был законсервирован и частично эвакуирован в Сарапул.</w:t>
      </w:r>
    </w:p>
    <w:p w14:paraId="03585ED3" w14:textId="77777777" w:rsidR="00697A24" w:rsidRPr="00C33834" w:rsidRDefault="00697A24"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Завода Слесаренко, строившего копии французский самолетов: к 1920 году закончил свое производство, оставив бесхозяйственно помещения и остатки незаконченной продукции.</w:t>
      </w:r>
    </w:p>
    <w:p w14:paraId="703A8337" w14:textId="77777777" w:rsidR="00D37E7B" w:rsidRPr="00C33834" w:rsidRDefault="00D37E7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по восстановлению самолетного производства на территории бывш. Русско-Балтийского завода заканчиваются к 1 мая 1922 года и с этого момента фактически новое предприятие нынешний завод № 23 приступает к своей первой производственной программе.</w:t>
      </w:r>
    </w:p>
    <w:p w14:paraId="0FC8C886" w14:textId="77777777" w:rsidR="00D37E7B" w:rsidRPr="00C33834" w:rsidRDefault="00D37E7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Программа первого года производства характеризуется разнообразием работ, работой без чертежей «по памяти». В программе – достройка гидросамолетов Телье с мотором Рено-220 сил, постройка новых гидросамолетов-лодки М-9 с мотором Сальмсон и достройка самолетов Сопвич (мотор Клерме-130 сил)</w:t>
      </w:r>
      <w:r w:rsidR="007218D2" w:rsidRPr="00C33834">
        <w:rPr>
          <w:rFonts w:ascii="Times New Roman" w:hAnsi="Times New Roman"/>
          <w:color w:val="000000" w:themeColor="text1"/>
          <w:sz w:val="16"/>
          <w:szCs w:val="16"/>
        </w:rPr>
        <w:t xml:space="preserve"> (9291)</w:t>
      </w:r>
      <w:r w:rsidRPr="00C33834">
        <w:rPr>
          <w:rFonts w:ascii="Times New Roman" w:hAnsi="Times New Roman"/>
          <w:color w:val="000000" w:themeColor="text1"/>
          <w:sz w:val="16"/>
          <w:szCs w:val="16"/>
        </w:rPr>
        <w:t>.</w:t>
      </w:r>
    </w:p>
    <w:p w14:paraId="24C173C1" w14:textId="77777777" w:rsidR="003366DD" w:rsidRPr="00C33834" w:rsidRDefault="003366DD" w:rsidP="00C33834">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C8279FF" w14:textId="77777777" w:rsidR="00305638" w:rsidRPr="00C33834" w:rsidRDefault="0030563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был подготовлен:</w:t>
      </w:r>
    </w:p>
    <w:p w14:paraId="248EFF09" w14:textId="77777777" w:rsidR="00305638" w:rsidRPr="00C33834" w:rsidRDefault="0030563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Паспорт завода № 31</w:t>
      </w:r>
    </w:p>
    <w:p w14:paraId="1CDAB61E" w14:textId="77777777" w:rsidR="00305638" w:rsidRPr="00C33834" w:rsidRDefault="0030563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расположен в Северо-Кавказском крае на берегу Азовского моря в предместье г. Карантин в 4 км от Таганрога.</w:t>
      </w:r>
    </w:p>
    <w:p w14:paraId="0D895912" w14:textId="77777777" w:rsidR="00305638" w:rsidRPr="00C33834" w:rsidRDefault="0030563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Расположение завода на самом берегу морского залива и наличие сухопутного аэродрома обеспечивают возможность массового изготовления как морских, так и сухопутных самолетов; возможности расширения территории завода имеются.</w:t>
      </w:r>
    </w:p>
    <w:p w14:paraId="692AB58B" w14:textId="77777777" w:rsidR="00305638" w:rsidRPr="00C33834" w:rsidRDefault="0030563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завод имеет своим назначением серийное производство металлических сухопутных и морских самолетов, а также самолетов – гидро и амфибий деревянных конструкций.</w:t>
      </w:r>
    </w:p>
    <w:p w14:paraId="26838391" w14:textId="77777777" w:rsidR="00305638" w:rsidRPr="00C33834" w:rsidRDefault="0030563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начал строиться примерно в 1914 году под названием «Лебедь» и до 1920 года служил преимущественно ремонтной базой морских самолетов. С 1923 года завод начал свое дальнейшее развитие и были выстроены и оборудованы механический и деревостаночный цеха. Постепенно завод переходит к освоению и постройке сухопутных самолетов типа «Де-Хэвилэнд 9», постепенно видоизменяя этот тип в Р-1; одновременно начинается постройка морского (поплавкового) варианта этого типа под названием МР1.</w:t>
      </w:r>
    </w:p>
    <w:p w14:paraId="1E5B2500" w14:textId="77777777" w:rsidR="00305638" w:rsidRPr="00C33834" w:rsidRDefault="0030563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1931 году завод дополнительно осваивает и ставит на серийное производство сухопутный самолет Р5 и морской самолет МБР-4. В 1932 году добавляются еще новые типы самолетов: гражданский АНТ-9, Амфибия Ш-2 и металлический военный Р-6.</w:t>
      </w:r>
    </w:p>
    <w:p w14:paraId="29A723E1" w14:textId="77777777" w:rsidR="00305638" w:rsidRPr="00C33834" w:rsidRDefault="0030563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Р-6 с двумя моторами М-17. Производственный цикл изготовления этого самолета в 1932 году на заводе № 31 был 6 месяцев.</w:t>
      </w:r>
    </w:p>
    <w:p w14:paraId="0C182F08" w14:textId="77777777" w:rsidR="00305638" w:rsidRPr="00C33834" w:rsidRDefault="0030563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 АНТ-9 с тремя моторами М26. Производственный цикл изготовления этого самолета в 1932 году на заводе № 31 был 6 месяцев.</w:t>
      </w:r>
    </w:p>
    <w:p w14:paraId="16D0F38A" w14:textId="77777777" w:rsidR="00305638" w:rsidRPr="00C33834" w:rsidRDefault="0030563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МБР-4 с одним мотором АССО. Производственный цикл изготовления этого гидросамолета в 1932 году на заводе № 31 был 5 месяцев.</w:t>
      </w:r>
    </w:p>
    <w:p w14:paraId="691BC05C" w14:textId="77777777" w:rsidR="00305638" w:rsidRPr="00C33834" w:rsidRDefault="0030563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Ш-2 с одним мотором М-11. Производственный цикл изготовления этого самолета в 1932 году на заводе № 31 был 3,5 месяца (9291).</w:t>
      </w:r>
    </w:p>
    <w:p w14:paraId="68AF7158" w14:textId="77777777" w:rsidR="00305638" w:rsidRPr="00C33834" w:rsidRDefault="00305638" w:rsidP="00C33834">
      <w:pPr>
        <w:autoSpaceDE w:val="0"/>
        <w:autoSpaceDN w:val="0"/>
        <w:adjustRightInd w:val="0"/>
        <w:spacing w:after="0" w:line="240" w:lineRule="auto"/>
        <w:jc w:val="both"/>
        <w:rPr>
          <w:rFonts w:ascii="Times New Roman" w:hAnsi="Times New Roman"/>
          <w:color w:val="000000" w:themeColor="text1"/>
          <w:sz w:val="16"/>
          <w:szCs w:val="16"/>
        </w:rPr>
      </w:pPr>
    </w:p>
    <w:p w14:paraId="2D9C3AB3"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был подготовлен:</w:t>
      </w:r>
    </w:p>
    <w:p w14:paraId="5D84B6EC"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Паспорт завода № 39</w:t>
      </w:r>
    </w:p>
    <w:p w14:paraId="476A6A07"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расположен в Москве в Краснопресненском районе в Петровском парке. Основные здания завода расположены компактно в начале Ленинградского шоссе; только деревообделочный цех находится несколько в стороне на расстоянии 2-х км от гл. территории завода (на территории бывш. завода № 25).</w:t>
      </w:r>
    </w:p>
    <w:p w14:paraId="587276C4"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Основная территория завода замкнута со всех четырех сторон и потому является предельной и дальнейшее расширение ее невозможно.</w:t>
      </w:r>
    </w:p>
    <w:p w14:paraId="3A433072"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завод имеет своим назначением серийное производство средних и тяжелых цельнометаллических самолетов.</w:t>
      </w:r>
    </w:p>
    <w:p w14:paraId="3EA646D4"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Возникновение завода относится к 1917 году, когда он начал свое существование под названием «Ремонтная мастерская Авиапарка», которая в 1921 году была переименована в «Ремвоздухзавод № 1» с включением в Объединение «Промвоздуха». В 1922 году завод был переименован в «Авиаработник». Наконец в 1929 году завод был передан в ведение Авиатреста и получил название Государственного авиационного завода № 39.</w:t>
      </w:r>
    </w:p>
    <w:p w14:paraId="0BF7FC73"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момента своего возникновения до середины 1930 года завод занимался преимущественно ремонтом (текущим, средним и капитальным) военных самолетов и даже моторов. С середины 1930 года, когда ему была передана группа опытного самолетостроения с завода № 22, а затем в него был влит завод № 25, также занимавшийся опытным самолетостроением, завод № 39 в целом был переключен на производство опытных самолетов, чем занимался в течение 1931 года, одно время (с августа 1931 года по март 1932 года) слившись с ЦАГИ.</w:t>
      </w:r>
    </w:p>
    <w:p w14:paraId="439C7B8E"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За период опытного самолетостроения завод № 39 изготовил 13 самолетов И-5 и 100 фюзеляжей для него для завода № 1, два самолета «ТШ», два самолета «ДИ3», 1 самолет МБР-1, 1 самолет МДР-1, 1 самолет «ШОН», 1 самолет ТБ-5, за который завод был награжден орденом Ленина, самолет «Z», введенный в серию в 1932 году, несколько разновидностей авиаэтки конструкции Яковлева «АИР».</w:t>
      </w:r>
    </w:p>
    <w:p w14:paraId="653CBDC4"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1932 году завод производил следующую продукцию:</w:t>
      </w:r>
    </w:p>
    <w:p w14:paraId="6648F778"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 «Z» с мотором М-22. Производственный цикл его изготовления к концу 1932 года был доведен до 4,5 месяцев.</w:t>
      </w:r>
    </w:p>
    <w:p w14:paraId="184AACAF"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 ТБ-3 с четырьмя моторами М-17. Производственный цикл его изготовления к 1933 году будет доведен до 5 месяцев.</w:t>
      </w:r>
    </w:p>
    <w:p w14:paraId="03CF733F"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Глиссеры, изготовлявшиеся в первой половине 1932 года.</w:t>
      </w:r>
    </w:p>
    <w:p w14:paraId="4884D7CE"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имеет непосредственный выход на аэродром.</w:t>
      </w:r>
    </w:p>
    <w:p w14:paraId="2B57E236"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«особого» квартала 1930 года со времени возникновения завод занимался ремонтом военных самолетов (ремонт гражданских производился лишь в очень редких, исключительных случаях).</w:t>
      </w:r>
    </w:p>
    <w:p w14:paraId="658E0C6E"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середины 1930 года производство опытных самолетов становится основной задачей завода. Однако, это свое последнее назначение завод выполнял лишь немного более года, так как с января 1932 года заданием завода уже становится серийное самолетостроение, причем первоначально предполагалось кооперирование завода № 39 с другими заводами. Но затем эта установка была отменена и заводу было поручено совершенно самостоятельное серийное производство самолетов.</w:t>
      </w:r>
    </w:p>
    <w:p w14:paraId="157FB77F"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Номенклатура продукции завода № 39 по основному виду не велика: военные самолеты, но разновидность последних, особенно в период опытного производства, доходила почти до десятка. Из основных могут быть названы следующие типы:</w:t>
      </w:r>
    </w:p>
    <w:p w14:paraId="5FAF4D50"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 (Истребитель) – эти самолеты изготовлялись в 1930 году, причем в порядке опытных их было изготовлено 3 штуки (один «16-й съезд Советов» с русским мотором М15), а затем в порядке серии 10 штук. По изготовлении этих самолетов завод № 39 был кроме того кооперирован с заводом № 1, для которого он исполнил 100 фюзеляжей с моторамами и разные детали; фюзеляж 101-й послужил основой для самолета «Менжинец», который был изготовлен средствами завода № 39 в 1931 году.</w:t>
      </w:r>
    </w:p>
    <w:p w14:paraId="6335EF85"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ТШ (тяжелый штурмовик) – 2 экз. которого было исполнено в 1930 году.</w:t>
      </w:r>
    </w:p>
    <w:p w14:paraId="2732AC04"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ДИ3 (двухместный истребитель) – 1 экз. построен в том же году, а второй – в 1931 году в срок 30 дней.</w:t>
      </w:r>
    </w:p>
    <w:p w14:paraId="5DFDE21A"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МБР1 (морской береговой разведчик), МДР1 (морской дальний разведчик) – по 1 экз., доводка которых велась в 1930 году.</w:t>
      </w:r>
    </w:p>
    <w:p w14:paraId="6FD7F8AD"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ШОН (штурмовик особого назначения) – который в 1931 году был сконструирован и построен в 2,5 месяца.</w:t>
      </w:r>
    </w:p>
    <w:p w14:paraId="4B6C0101"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ТБ5 (тяжелый бомбовоз) – этот самолет был построен в течение 5,5 месяцев, в 1931 году за выполнение его, а равно и за качественное и досрочное выполнение других работ (ДИ3, ТШ) завод был награжден орденом Ленина.</w:t>
      </w:r>
    </w:p>
    <w:p w14:paraId="096F5C75"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«Z» , который впоследствии в 1932 году был введен в серию</w:t>
      </w:r>
    </w:p>
    <w:p w14:paraId="103AA6DC"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Авиэтки конструкции Яковлева АИР – несколько разновидностей основного экземпляра</w:t>
      </w:r>
    </w:p>
    <w:p w14:paraId="351FFBCC"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переходом на серийное производство, естественно, номенклатура самолетов была сокращена; она свелась лишь к двум наименованиям: кроме упомянутого выше «Z» еще самолеты ТБ-3.</w:t>
      </w:r>
    </w:p>
    <w:p w14:paraId="270B8B97"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Эти два последних и являли собой производственное задание на 1932 год; к ним еще назначены были групповые комплекты (9291).</w:t>
      </w:r>
    </w:p>
    <w:p w14:paraId="00F6E877"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p>
    <w:p w14:paraId="1B40D115"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был подготовлен:</w:t>
      </w:r>
    </w:p>
    <w:p w14:paraId="20A1E0C8"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Паспорт завода № 125</w:t>
      </w:r>
    </w:p>
    <w:p w14:paraId="7D3928F0"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125-й завод находится от Иркутска в 8-ми км по ж/д и в 13 км по грунтовым дорогам (бывш. Сибирский тракт), в черте расположения бывш. пос. Инокентьевского (ныне пос. Ленино), занимая Северо-западную окраину этого поселка. С севера соприкасается с Ангарой.</w:t>
      </w:r>
    </w:p>
    <w:p w14:paraId="14E4844D"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Адрес: ст. Инокентьевская Забалькайской ж/д</w:t>
      </w:r>
    </w:p>
    <w:p w14:paraId="1DB438A5"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предназначен осуществлять смешанное самолетостроение, продукция его будет заключаться в выработке самолетов военно-разведывательного типа Р-5. Кроме того, в мобилизационных условиях на завод будет возложено осуществление ремонта различных типов самолетов.</w:t>
      </w:r>
    </w:p>
    <w:p w14:paraId="25EDCE09"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начал строиться по постановлению Правительства от 16 февраля 1932 года. В конце февраля 1932 года было выбрано место и начала работать дирекция завода.</w:t>
      </w:r>
    </w:p>
    <w:p w14:paraId="2F05FCAC"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 января 1933 года будут производиться предметы вспомогательного оборудования завода (верстаки, стапеля, инструменты и т.д.). К выработке подлинной продукции будет приступлено примерно в июне 1933 года (9291).</w:t>
      </w:r>
    </w:p>
    <w:p w14:paraId="13BB1E51"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p>
    <w:p w14:paraId="0C86B603"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был подготовлен:</w:t>
      </w:r>
    </w:p>
    <w:p w14:paraId="2701477D"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Паспорт завода № 24 им. Фрунзе</w:t>
      </w:r>
    </w:p>
    <w:p w14:paraId="77205B4D"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Относится к типу заводов машиностроения НКТП по изготовлению авиамоторов водяного охлаждения для самолетов военно-гражданской авиации.</w:t>
      </w:r>
    </w:p>
    <w:p w14:paraId="2F5B9175"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находится в Сталинском районе Москвы и расположен на трех территориях:</w:t>
      </w:r>
    </w:p>
    <w:p w14:paraId="66E81257" w14:textId="77777777" w:rsidR="00CA324B" w:rsidRPr="00C33834" w:rsidRDefault="00CA324B"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Ткацкая ул. в пригороде Благуши (территория А)</w:t>
      </w:r>
    </w:p>
    <w:p w14:paraId="70146F77" w14:textId="77777777" w:rsidR="00CA324B" w:rsidRPr="00C33834" w:rsidRDefault="00CA324B"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Мейеровский проезд (территория Б)</w:t>
      </w:r>
    </w:p>
    <w:p w14:paraId="5B051C98" w14:textId="77777777" w:rsidR="00CA324B" w:rsidRPr="00C33834" w:rsidRDefault="00CA324B"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Мейеровская ул. (территория В)</w:t>
      </w:r>
    </w:p>
    <w:p w14:paraId="6E26D081"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Присоединение к заводу территории В смежной с территорией Б обеспечивает завод площадью необходимой для реализации проекта реконструкции и дальнейшего расширения завода.</w:t>
      </w:r>
    </w:p>
    <w:p w14:paraId="6219C42C"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 завода</w:t>
      </w:r>
    </w:p>
    <w:p w14:paraId="1187A7A0"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Специальность. Завода является производство авиационных моторов большой мощности.</w:t>
      </w:r>
    </w:p>
    <w:p w14:paraId="1C365E39"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Описание исторического развития завода № 24 возникшего от слияния двух заводов № 4 «Мотор» и № 2 «Икар», необходимо разделить на следующие этапы:</w:t>
      </w:r>
    </w:p>
    <w:p w14:paraId="6CC973EA" w14:textId="77777777" w:rsidR="00CA324B" w:rsidRPr="00C33834" w:rsidRDefault="00CA324B"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1912-1927 гг. – существование двух параллельных заводов</w:t>
      </w:r>
    </w:p>
    <w:p w14:paraId="0770D597" w14:textId="77777777" w:rsidR="00CA324B" w:rsidRPr="00C33834" w:rsidRDefault="00CA324B"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1927-1931 – слияние заводов, развитие объединенного завода</w:t>
      </w:r>
    </w:p>
    <w:p w14:paraId="0EBEC5D2" w14:textId="77777777" w:rsidR="00CA324B" w:rsidRPr="00C33834" w:rsidRDefault="00CA324B"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 дальнейшее расширение завода, перспективы и реконструкция</w:t>
      </w:r>
    </w:p>
    <w:p w14:paraId="47B7B319"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период 1912-1927 гг. существовали два параллельных моторостроительных завода № 2 «Икар» и № 4 «Мотор».</w:t>
      </w:r>
    </w:p>
    <w:p w14:paraId="6D5EAD8E"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«Икар» основан в 1912 году французским АО моторов «Гном».</w:t>
      </w:r>
    </w:p>
    <w:p w14:paraId="64351ADE"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 завода – сборка моторов, сначала системы «Гном», затем «Моносупан» и «Рон».</w:t>
      </w:r>
    </w:p>
    <w:p w14:paraId="6454A145"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Начав работы в 1912 году при штате 18 человек, завод доводит в 1918 году число работающих до 300 человек.</w:t>
      </w:r>
    </w:p>
    <w:p w14:paraId="1DBBC01E"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Прекратив свою деятельность в феврале 1918 года, завод снова начинает работу в апреле 1918 года при штате 120 человек, продолжая сборку моторов «Рон».</w:t>
      </w:r>
    </w:p>
    <w:p w14:paraId="46C5EF87"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1919 году завод приступает к постройке моторов типа «Испано-Сюиза» 200 НР, выпустив первый мотор в 1920 году.</w:t>
      </w:r>
    </w:p>
    <w:p w14:paraId="3282E376"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коренной перестройки завод переходит к серийному производству моторов большой мощности автомобильного типа «Либерти», получившего название М5-400 НР.</w:t>
      </w:r>
    </w:p>
    <w:p w14:paraId="625D0267"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февраля 1925 года завод входит в Государственный трест авиапромышленности ВСНХ.</w:t>
      </w:r>
    </w:p>
    <w:p w14:paraId="25320FC6"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«Мотор» эвакуирован из Риги в 1915 году. До 1920 года завод занимался почти исключительно ремонтом и постройкой моторов «РОН» 80 НР, одновременно с этим в производство внедряется мотор «РОН» НР (М-2).</w:t>
      </w:r>
    </w:p>
    <w:p w14:paraId="0C93D70E"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1923 году завод сливается с заводом № 6 «Амстро», расположенного за Семеновской заставой и занимавшем часть территории на которой в настоящее время расположен завод № 24 «Б» им. Фрунзе.</w:t>
      </w:r>
    </w:p>
    <w:p w14:paraId="1EADE970"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оборудование завода № 4 было переброшено на новую территорию. С момента слияния, завод № 4 получил новое название «Объединенный завод № 4 «Мотор».</w:t>
      </w:r>
    </w:p>
    <w:p w14:paraId="10E12DC1"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1924-25 гг. завод выпускает 100 моторов М2 и отремонтированных разных систем 71 мотор. Расширяются работы по опытному моторостроению: учебный 100 сильный – М-11-100 конструкции Швецова, изготовленный и испытанный, дал хорошие результаты и был сдан на массовое производство на завод № 29, «НРБ» – 100 сил конструкции НАМИ.</w:t>
      </w:r>
    </w:p>
    <w:p w14:paraId="29A50434"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1925-26 гг. завод прекращает постройку моторов М-2 и подготавливается к внедрению М-5, которых выпускает в 1926-27 гг. 50 штук.</w:t>
      </w:r>
    </w:p>
    <w:p w14:paraId="3A9F167C"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Постановлением СТО и последующим распоряжением Авиатреста от 11 мая 1926 года решен вопрос о слиянии заводов №№ 2 и 4.</w:t>
      </w:r>
    </w:p>
    <w:p w14:paraId="042E537D"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Основными мотивами слияния послужило следующее:</w:t>
      </w:r>
    </w:p>
    <w:p w14:paraId="00459DFB" w14:textId="77777777" w:rsidR="00CA324B" w:rsidRPr="00C33834" w:rsidRDefault="00CA324B"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Однородность объектов и близость обеих территорий.</w:t>
      </w:r>
    </w:p>
    <w:p w14:paraId="09CA692C" w14:textId="77777777" w:rsidR="00CA324B" w:rsidRPr="00C33834" w:rsidRDefault="00CA324B"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Накопленный опыт завода № 2 и установившееся серийное производство.</w:t>
      </w:r>
    </w:p>
    <w:p w14:paraId="35317F4C" w14:textId="77777777" w:rsidR="00CA324B" w:rsidRPr="00C33834" w:rsidRDefault="00CA324B"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Отсутствие перспектив на расширение завода № 2 ввиду ограниченности территорий.</w:t>
      </w:r>
    </w:p>
    <w:p w14:paraId="46ED654F"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Новый завод получил название № 24.</w:t>
      </w:r>
    </w:p>
    <w:p w14:paraId="1C546912"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1927 году было положено основание опытных работ по моторостроению, которые непрерывно развиваясь имели своими объектами разные типы моторов из коих наиболее важными явились М-15 и М-26, предназначенных к внедрению в серийное производство с 4 квартала 1930 года.</w:t>
      </w:r>
    </w:p>
    <w:p w14:paraId="6D4F9FC4"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сего времени в Союзе существовало одно научное учреждение по авиамоторостроению НАМИ.</w:t>
      </w:r>
    </w:p>
    <w:p w14:paraId="22B1264E"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1927 году согласно решения Правительства при моторостроительных заводах стали организовываться опытно-научные работы.</w:t>
      </w:r>
    </w:p>
    <w:p w14:paraId="01173ACF"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При заводе № 24 уже в 1928-29 году с организацией Экспериментальной лаборатории развернулась большая исследовательская работа процесса резания металлов.</w:t>
      </w:r>
    </w:p>
    <w:p w14:paraId="7337BAB6"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момента переоборудования заводам присвоено новое название: завод № 24, подразделяемого на литеры:</w:t>
      </w:r>
    </w:p>
    <w:p w14:paraId="3C02DC11"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 бывш. завод № 2 «Икар»</w:t>
      </w:r>
    </w:p>
    <w:p w14:paraId="54C1589C"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 бывш. завод № 4 «Мотор»</w:t>
      </w:r>
    </w:p>
    <w:p w14:paraId="187129BF"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1930 году с целью улучшения металлургической базы к заводу № 24 прикрепляется завод «Электросталь».</w:t>
      </w:r>
    </w:p>
    <w:p w14:paraId="485B4C65"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особого квартала 1930 года и форсирование опытных работ уже наметило в 1931 году внедрение в производство новых моторов М-15 и М-26.</w:t>
      </w:r>
    </w:p>
    <w:p w14:paraId="718E8785"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Конец 1931 года знаменуется рядом значительных работ по прокладыванию путей дальнейшего развития завода, каковыми являются:</w:t>
      </w:r>
    </w:p>
    <w:p w14:paraId="03F1E870" w14:textId="77777777" w:rsidR="00CA324B" w:rsidRPr="00C33834" w:rsidRDefault="00CA324B"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Подготовка к внедрению в производство нового мощного мотора М-34 советской конструкции для мощных самолетов военного типа.</w:t>
      </w:r>
    </w:p>
    <w:p w14:paraId="726ED28C" w14:textId="77777777" w:rsidR="00CA324B" w:rsidRPr="00C33834" w:rsidRDefault="00CA324B"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Разработка плана большой реконструкции завода, направленной к увеличению мощности завода к 1 января 1934 года до выпуска 15000 мощных моторов в год.</w:t>
      </w:r>
    </w:p>
    <w:p w14:paraId="2090381A"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1932 году основной задачей завода является максимальное обеспечение производства подготовительными работами к внедрению в производство М-34 и выполнение производственной программы 1932 года (по выпуску) (9301).</w:t>
      </w:r>
    </w:p>
    <w:p w14:paraId="57C4FF02"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1928-29 гг. по конструктивно-опытным работам изучение и изготовление шло по следующим объектам:</w:t>
      </w:r>
    </w:p>
    <w:p w14:paraId="3B77C718"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М-13, один мотор был изготовлен в этом же году и передан НАМИ, второй мотор собран и прошел заводскую приработку. М-13 – 400 НР – 12-цилиндровый, водяного охлаждения.</w:t>
      </w:r>
    </w:p>
    <w:p w14:paraId="7D1DB59D"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М-14 – два мотора после 5-ти часового испытания переданы в УВВС. Мотор 500 НР – 12-цилиндровый водяного охлаждения.</w:t>
      </w:r>
    </w:p>
    <w:p w14:paraId="77CD3654"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V-12 и W-18 прошли в количестве 5 штук испытание. Основными недочетами моторов были конструктивные и производственные недочеты в картерах, блоках, цилиндре.</w:t>
      </w:r>
    </w:p>
    <w:p w14:paraId="16AA1CBE"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М-19 (воздушного охлаждения); М-19-525НР 12-цилиндровый (водяной) мотор является развитием мотора типа 12.</w:t>
      </w:r>
    </w:p>
    <w:p w14:paraId="171D71FA"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М-26 (воздушного охлаждения) – в конструктивном отношении является модификацией М-15, с назначением для гражданской авиации.</w:t>
      </w:r>
    </w:p>
    <w:p w14:paraId="5FAA4C33"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М-27 – мотор развитие типа W-18 до 1000 НР, номинал 700 НР 18-цилиндровый W образный водяного охлаждения.</w:t>
      </w:r>
    </w:p>
    <w:p w14:paraId="233A2C34"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М-29 (воздушного охлаждения). В 1930 году был сдан в ИАМ для дальнейшего его усовершенствования.</w:t>
      </w:r>
    </w:p>
    <w:p w14:paraId="09BE7B0B"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этих основных объектов опытных работ, опытный отдел выполняет ряд работ по заказам испытания отдельных деталей.</w:t>
      </w:r>
    </w:p>
    <w:p w14:paraId="6B8318A7"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1929-30 год отмечает дальнейший рост производства. Ставится вопрос о внедрении в серийное производство нового мотора М-17-500 НР 12-цилиндровый V образный водяного охлаждения продукции завода № 26, а также расширение и форсирование опытного моторостроения, причем по наиболее важным объектам М-15 и М-26, предназначенных к внедрению в серийное производство с 4-го квартала 1930 года.</w:t>
      </w:r>
    </w:p>
    <w:p w14:paraId="1F55BFB2"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Ставится вопрос об улучшении металлургической базы производства и с этой целью к заводу № 24 прикрепляется завод «Электросталь», вырабатывающий лучшие сорта стали.</w:t>
      </w:r>
    </w:p>
    <w:p w14:paraId="37A7E169"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Опытное моторостроение приобретает новые объекты:</w:t>
      </w:r>
    </w:p>
    <w:p w14:paraId="3E7F5981" w14:textId="77777777" w:rsidR="00CA324B" w:rsidRPr="00C33834" w:rsidRDefault="00CA324B"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ФЭД-24 цилиндровый мотор водяного охлаждения Х образный с максимальной мощностью в 1050 НР.</w:t>
      </w:r>
    </w:p>
    <w:p w14:paraId="369973F8" w14:textId="77777777" w:rsidR="00CA324B" w:rsidRPr="00C33834" w:rsidRDefault="00CA324B"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М-32 12-цилиндровый воздушного охлаждения, мощность 600 НР.</w:t>
      </w:r>
    </w:p>
    <w:p w14:paraId="3802BD39" w14:textId="77777777" w:rsidR="00CA324B" w:rsidRPr="00C33834" w:rsidRDefault="00CA324B"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М-38 9-цилиндровый воздушного охлаждения, мощность 600 НР.</w:t>
      </w:r>
    </w:p>
    <w:p w14:paraId="5C21FC29"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усиления опытных работ улучшается связь с научно-техническими учреждениями и завод получает ряд иноспециалистов.</w:t>
      </w:r>
    </w:p>
    <w:p w14:paraId="1ED3A38A"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 год. Производство особого квартала 1930 года и форсирование опытных работ уже наметило в 1931 году внедрение в производство новых моторов М-15 и М-26.</w:t>
      </w:r>
    </w:p>
    <w:p w14:paraId="3835952A"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Производственная программа 1931 года в связи с целым рядом неполадок производственного и конструктивного порядка была значительно пересмотрена ………</w:t>
      </w:r>
    </w:p>
    <w:p w14:paraId="7AA8304A"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Только в о второй половине года завод начинает завоевывать некоторых успех по освоению воздушных моторов, но претерпевая все еще значительные неполадки по мощному мотору М-27, каковой пришлось изъять из производства и передать в работу Опытному отделу.</w:t>
      </w:r>
    </w:p>
    <w:p w14:paraId="21518464"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Конец 1931 года знаменуется рядом значительных работ по прокладыванию путей дальнейшего развития завода, каковыми являются:</w:t>
      </w:r>
    </w:p>
    <w:p w14:paraId="4F50AD65" w14:textId="77777777" w:rsidR="00CA324B" w:rsidRPr="00C33834" w:rsidRDefault="00CA324B"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Подготовка к внедрению в производство нового мощного мотора М-34 советской конструкции для мощных самолетов военного типа.</w:t>
      </w:r>
    </w:p>
    <w:p w14:paraId="6518D6F4" w14:textId="77777777" w:rsidR="00CA324B" w:rsidRPr="00C33834" w:rsidRDefault="00CA324B"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Разработка плана большой реконструкции завода.</w:t>
      </w:r>
    </w:p>
    <w:p w14:paraId="04FB31A0"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Начало работ по подготовке к внедрению в производство 1932 г. М-34 относится к 4-му кварталу 1931 года.</w:t>
      </w:r>
    </w:p>
    <w:p w14:paraId="33AB7894"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началу декабря 1931 года работа по просмотру чертежей, представленных ИАМом была уже закончена.</w:t>
      </w:r>
    </w:p>
    <w:p w14:paraId="543D9B1C"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первого квартала 1932 года было приступлено к составлению генерального плана одевания производства инструментами и приспособлениями ……..</w:t>
      </w:r>
    </w:p>
    <w:p w14:paraId="5A7456BD"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программы во втором полугодии 1932 года характеризуется форсированием свертывания производства продукции 1931 года по воздушным машинам М-15 и М-26 и преодолением в освоении и серийном выпуске моторов М-27; в дальнейших работах по внедрению в производство М-34, освоении и изучении причин низкого качества изготовления, перестройке по ходу технологических процессов внутри производства и уточнении конструкции моторов.</w:t>
      </w:r>
    </w:p>
    <w:p w14:paraId="3C307B22"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1932 году директор завода – Журавский</w:t>
      </w:r>
    </w:p>
    <w:p w14:paraId="2AF0A577"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1931 году завод внедряет в производство уже новые моторы воздушного охлаждения М-15, М-26 и водяного охлаждения М-27.</w:t>
      </w:r>
    </w:p>
    <w:p w14:paraId="6D087F19"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Вследствие ряда неполадок как производственного, так и конструктивного порядка мотор М-27 в том же году был изъят из производства и сдан в работу Опытному отделу завода.</w:t>
      </w:r>
    </w:p>
    <w:p w14:paraId="7A00DD1C"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то же время кондиционность моторов М-15 и М-26 также не была достаточно проверена к моменту внедрения в серийное производство, что вызвало резкий перелом в производстве и благодаря этому завод от моторов установившегося нормального серийного производства 1930 года возвращается как бы в большую опытную мастерскую по освоению и изучению объектов производства.</w:t>
      </w:r>
    </w:p>
    <w:p w14:paraId="0E2F8545"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таким положением завод подошел и к 1932 году, так как перед ним была поставлена уже новая задача – свернуть производство моторов М-15 и М-26 и начать подготовку к внедрению в производство нового мощного мотора М-34 советской конструкции.</w:t>
      </w:r>
    </w:p>
    <w:p w14:paraId="5018528D"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1913 году заводом № 2 «ИКАР» был выпущен первый мотор «ГНОМ».</w:t>
      </w:r>
    </w:p>
    <w:p w14:paraId="5023C4B0"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1922 году завод входит в Гл. управление Военной промышленности (ГУВП), значительно расширяясь ……..</w:t>
      </w:r>
    </w:p>
    <w:p w14:paraId="073D6922"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Возникновение завода «Мотор» относится к 1915 году, будучи эвакуированным в Москву из Риги с начала Империалистической войны. До 1924 года этот завод помещался за Даниловской заставой на месте бывш. фабрики Алпатова. В 1924 году слит с заводом «АМСТРО» и переведен в новые помещения.</w:t>
      </w:r>
    </w:p>
    <w:p w14:paraId="59F704FB"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1923 году завод «Мотор» начинает опытные работы, спроектировав мощный мотор «РАМ» М-8 в 750 НР 12-цилиндровый водяного охлаждения и в том же году было приступлено к постройке мотора в 20 НР по конструкции Бессонова (9301).</w:t>
      </w:r>
    </w:p>
    <w:p w14:paraId="748703E5"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p>
    <w:p w14:paraId="7AAD6BE9"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был подготовлен:</w:t>
      </w:r>
    </w:p>
    <w:p w14:paraId="6A11D66F"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Паспорт завода № 29</w:t>
      </w:r>
    </w:p>
    <w:p w14:paraId="495C45DA"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29 находится в Запорожье, расположен на Левом берегу Днепра</w:t>
      </w:r>
    </w:p>
    <w:p w14:paraId="73F09AC1"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 завода</w:t>
      </w:r>
    </w:p>
    <w:p w14:paraId="706DC0CB"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авиамоторов</w:t>
      </w:r>
    </w:p>
    <w:p w14:paraId="3D8A0E21"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территории, занимаемой заводом № 29 АО «Дюфлон и Константинович» открыло отделение по постройке авиационных двигателей типа «АРГУС».</w:t>
      </w:r>
    </w:p>
    <w:p w14:paraId="744CCE7E"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Европейской войны в целях расширения завода в бывш. Александровске Екатерининской губернии был приобретен старый с/х завод бывш. бр. Мознаим.</w:t>
      </w:r>
    </w:p>
    <w:p w14:paraId="419AB50E"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1916 году было приступлено к постройке гл. корпуса Механического цеха и др.</w:t>
      </w:r>
    </w:p>
    <w:p w14:paraId="6720A889"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времена белогвардейщины вплоть до 1922 года завод встал на консервацию вплоть до 1922 года включительно.</w:t>
      </w:r>
    </w:p>
    <w:p w14:paraId="6AEE706D"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1923 году завод был восстановлен и приступлено к расширению завода.</w:t>
      </w:r>
    </w:p>
    <w:p w14:paraId="585BEB93"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времена зарождения завода, завод занимался производством авиационных двигателей типа АРГУС 100 НР. В 1916 году одновременно со строительством производились моторы типа «Мерседес» 129 НР.</w:t>
      </w:r>
    </w:p>
    <w:p w14:paraId="5969487B"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дальнейшем «Мерседес» 129 НР был заменен на «Мерседес» 168 НР, причем вся поковка, литье алюминиевое и некоторые детали доставлялись из Ленинграда.</w:t>
      </w:r>
    </w:p>
    <w:p w14:paraId="370E8DF8"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1918 году было произведено испытание первых двух двигателей «Мерседес» 168 НР.</w:t>
      </w:r>
    </w:p>
    <w:p w14:paraId="44694387"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1923 году по имеющимся материалам технологического процесса «М. Испано» 200 НР было предложено приступить к постройке «Испано-Сюиза» 300 НР.</w:t>
      </w:r>
    </w:p>
    <w:p w14:paraId="1550631E"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1924 году был изготовлен и поставлен на испытание первый мотор «Испано-Сюиза» 300 НР, серийный выпуск был приостановлен и одновременно заводу было предложено осуществить ряд опытных моторов, как М-11, М-12, М-13.</w:t>
      </w:r>
    </w:p>
    <w:p w14:paraId="47F73DE8"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1927/28 году в связи с реконструкцией завода производство было переведено на новый объект М типа «Юпитер».</w:t>
      </w:r>
    </w:p>
    <w:p w14:paraId="730EB61C"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Годовая производственная программа намеченная по промфинплану для завода на 1932 год выражается в изготовлении моторов 1800 штук типа М-11 и 500 моторов типа М-22.</w:t>
      </w:r>
    </w:p>
    <w:p w14:paraId="166D3F4B"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в 1932 году получил ряд заводов в Запорожье:</w:t>
      </w:r>
    </w:p>
    <w:p w14:paraId="7821E21B"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Кацена в городе, где организован литейный цех по чугуну и бронзе и др.</w:t>
      </w:r>
    </w:p>
    <w:p w14:paraId="46EC190C"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Дзержинского № 3</w:t>
      </w:r>
    </w:p>
    <w:p w14:paraId="6A89C948"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Завод Дзержинского № 1</w:t>
      </w:r>
    </w:p>
    <w:p w14:paraId="42FBCCE3"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Дзержинского № 2</w:t>
      </w:r>
    </w:p>
    <w:p w14:paraId="50EFF25C"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Дзержинского № 4</w:t>
      </w:r>
    </w:p>
    <w:p w14:paraId="2031A1B8"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 завод размещен на 8-ми отдельных друг от друга площадях (9301).</w:t>
      </w:r>
    </w:p>
    <w:p w14:paraId="2B15D1B5" w14:textId="77777777" w:rsidR="00CA324B" w:rsidRPr="00C33834" w:rsidRDefault="00CA324B" w:rsidP="00C33834">
      <w:pPr>
        <w:autoSpaceDE w:val="0"/>
        <w:autoSpaceDN w:val="0"/>
        <w:adjustRightInd w:val="0"/>
        <w:spacing w:after="0" w:line="240" w:lineRule="auto"/>
        <w:jc w:val="both"/>
        <w:rPr>
          <w:rFonts w:ascii="Times New Roman" w:hAnsi="Times New Roman"/>
          <w:color w:val="000000" w:themeColor="text1"/>
          <w:sz w:val="16"/>
          <w:szCs w:val="16"/>
        </w:rPr>
      </w:pPr>
    </w:p>
    <w:p w14:paraId="7F1AD9A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был подготовлен:</w:t>
      </w:r>
    </w:p>
    <w:p w14:paraId="441BDD4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33</w:t>
      </w:r>
    </w:p>
    <w:p w14:paraId="7C04433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находится в Москве на Нижней Масловке.</w:t>
      </w:r>
    </w:p>
    <w:p w14:paraId="4A93295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33 по проекту реконструкции, разработанному в 1931 году должен явиться центральным карбюраторным заводом, удовлетворяющим всю потребность ВФ в карбюраторах для авиамоторов.</w:t>
      </w:r>
    </w:p>
    <w:p w14:paraId="0AA697D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1933 год заводу выдано дополнительное задание на постановку производства самопусков к авиамоторам.</w:t>
      </w:r>
    </w:p>
    <w:p w14:paraId="341C291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Обзор деятельности завода за период 1922-1932 гг.</w:t>
      </w:r>
    </w:p>
    <w:p w14:paraId="376209B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1922 году с фронта возвратился поед-авто-авиа-мастерская № 11, оборудование и штат которой были использованы для устройства и эксплуатации стационарных мастерских по ремонту авиамоторов и автотранспорта.</w:t>
      </w:r>
    </w:p>
    <w:p w14:paraId="471C671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момент организации мастерские насчитывали в своем составе около 40 единиц металлообрабатывающих станков и рабочих и служащих в количестве 200 человек.</w:t>
      </w:r>
    </w:p>
    <w:p w14:paraId="27AB7F2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1932 году исполнилось 10 лет существования означенных мастерских, переименованных в 1928 году в завод № 33.</w:t>
      </w:r>
    </w:p>
    <w:p w14:paraId="7939AB9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Начальное производство – ремонт авиамоторов всех систем и ремонт автоимущества. Несколько позднее вливается мастерская по ремонту фотоимущества с оптическим цехом, организуется химический цех по переработке сгустившихся аэролаков, создается вулканизационный цех.</w:t>
      </w:r>
    </w:p>
    <w:p w14:paraId="3477E6E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1929 году мастерские почти полностью освободились от мелких ремонтных работ и оставались в этой части лишь специализированные ремонтные цеха, как-то: фото, электро-радио и авиапрриборов.</w:t>
      </w:r>
    </w:p>
    <w:p w14:paraId="76E287F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Развернуты цеха по крупносерийному производству аэрофотоаппаратов, приборов вооружений, привязных ремней, учебно-цементных бомб.</w:t>
      </w:r>
    </w:p>
    <w:p w14:paraId="6B87946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Мастерские переименовываются в завод № 33.</w:t>
      </w:r>
    </w:p>
    <w:p w14:paraId="4B54322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1930 году помимо указанной продукции завод по собственной инициативе пробует перейти на серийное изготовление динамомашин зажигания моторов и динамомашин для освещения самолетов.</w:t>
      </w:r>
    </w:p>
    <w:p w14:paraId="781568D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подошел к такому моменту, что все широко развернутые производства по изготовлению фотоаппаратов, привязных ремней, динамомашин, приборов вооружения, учебных бомб приняли такой масштаб, что параллельное их существование было совершенно нецелесообразно и явилась необходимость передать их соответствующим организациям, гражданской промышленности, по отдельным специальностям, что и было сделано по решению правительственных органов.</w:t>
      </w:r>
    </w:p>
    <w:p w14:paraId="6865174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получил задание на постановку производства авиационных карбюраторов.</w:t>
      </w:r>
    </w:p>
    <w:p w14:paraId="093A670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6 месяцев было поставлено производство.</w:t>
      </w:r>
    </w:p>
    <w:p w14:paraId="208FD49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Даны пробные партии образцовых карбюраторов.</w:t>
      </w:r>
    </w:p>
    <w:p w14:paraId="48DB2BD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Проведено испытание – дало весьма удовлетворительные результаты.</w:t>
      </w:r>
    </w:p>
    <w:p w14:paraId="1B2D135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Налажено серийное производство (9301).</w:t>
      </w:r>
    </w:p>
    <w:p w14:paraId="2B4CF58F"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427544D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был подготовлен:</w:t>
      </w:r>
    </w:p>
    <w:p w14:paraId="27DDE5E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Паспорт завода № 20</w:t>
      </w:r>
    </w:p>
    <w:p w14:paraId="06C9E94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20 расположен в 14 км от Москвы и заключен в углу между Ленинградским шоссе и окружной ж/д вблизи ст. Братцево и Лихоборы.</w:t>
      </w:r>
    </w:p>
    <w:p w14:paraId="0B06DCC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20 имеет целью снабжать основные моторные заводы авиапромышленности отдельными агрегатами: водяными, масляными и бензиновыми помпами и мелкими деталями («нормалями»).</w:t>
      </w:r>
    </w:p>
    <w:p w14:paraId="21516B0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Первоначально завод предназначался под производство самолетного вооружения.</w:t>
      </w:r>
    </w:p>
    <w:p w14:paraId="4B84D5F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Заводу № 20 поручено произвести перепроектирование завода по заданию на 1935 год (завод увеличивается ровно в двое против запроектированного первоначально). Для расширения завода возбуждено ходатайство о присоединении к территории завода, территории занимаемой Лесопильным заводом, расположенным рядом с заводом № 20.</w:t>
      </w:r>
    </w:p>
    <w:p w14:paraId="42117BC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 является периодом развертывания производства (9301).</w:t>
      </w:r>
    </w:p>
    <w:p w14:paraId="33C6AF0E"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6836682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был подготовлен:</w:t>
      </w:r>
    </w:p>
    <w:p w14:paraId="0A477A1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Паспорт завода № 28</w:t>
      </w:r>
    </w:p>
    <w:p w14:paraId="7324765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28 им. Орджоникидзе расположен в Москве в Краснопресненском районе на М. Грузинской улице, Столярный пер., 7.</w:t>
      </w:r>
    </w:p>
    <w:p w14:paraId="58DDA0B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в настоящее время предназначен для производства деревянных и металлических винтов и лыж для самолетов.</w:t>
      </w:r>
    </w:p>
    <w:p w14:paraId="496C02C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возник из кустарной мастерской гребных винтов, которая вскоре после революции была переведена в помещение мебельной фабрики Мюр и Мерлиз. В настоящее время завод № 28 занимает не только все помещение этой фабрики, но и значительно расширен за счет нового капитального строительства.</w:t>
      </w:r>
    </w:p>
    <w:p w14:paraId="4FB31B6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своей авиационной специальности завод № 28 является единственным в СССР.</w:t>
      </w:r>
    </w:p>
    <w:p w14:paraId="253018F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1932 году завод производил следующую продукцию:</w:t>
      </w:r>
    </w:p>
    <w:p w14:paraId="413A729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основную – лыжи и винты для самолетов</w:t>
      </w:r>
    </w:p>
    <w:p w14:paraId="7A4A701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опытную – металлические винты для самолетов, причем опытные и малосерийные выпуски прошли дачно и производство дюралюминиевых винтов начинает внедряться в производство завода</w:t>
      </w:r>
    </w:p>
    <w:p w14:paraId="14BB9B9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ширпотреб (9291).</w:t>
      </w:r>
    </w:p>
    <w:p w14:paraId="7C4BE8E8"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0733075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был подготовлен:</w:t>
      </w:r>
    </w:p>
    <w:p w14:paraId="4BAC6BC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Паспорт завода № 32</w:t>
      </w:r>
    </w:p>
    <w:p w14:paraId="30B01B8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32 расположен в Москве в начале Петровского парка между заводом № 34 и улицами Ямского поля.</w:t>
      </w:r>
    </w:p>
    <w:p w14:paraId="6F1C8FC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в настоящее время имеет своим назначением производство вооружения, радиаторов и колес для самолетов.</w:t>
      </w:r>
    </w:p>
    <w:p w14:paraId="35C5F7E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создан 1 октября 1931 года путем выделения из авиазавода № 1 так называемого специального производства. За 1932 год завод значительно увеличился путем открытия новых цехов на площадях, освободившихся после переезда завода № 1 на новую территорию.</w:t>
      </w:r>
    </w:p>
    <w:p w14:paraId="06C33A0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1932 году завод производил следующую продукцию:</w:t>
      </w:r>
    </w:p>
    <w:p w14:paraId="0A94BB8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установки для пулеметов и пушек: турели, кольцевые прицелы, флюгер-мушки, шкворни</w:t>
      </w:r>
    </w:p>
    <w:p w14:paraId="06EA5C3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ракетницы</w:t>
      </w:r>
    </w:p>
    <w:p w14:paraId="67DFA83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бомбодержатели и бомбосбрасыватели</w:t>
      </w:r>
    </w:p>
    <w:p w14:paraId="0A44BC0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колеса</w:t>
      </w:r>
    </w:p>
    <w:p w14:paraId="09EDB93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радиаторы (9291).</w:t>
      </w:r>
    </w:p>
    <w:p w14:paraId="7FE79C64"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0AFF79FF" w14:textId="77777777" w:rsidR="00A630EB" w:rsidRPr="00C33834" w:rsidRDefault="00A630E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января 1933 г. дирижабль «СССР В-2» вылетел из Ленин</w:t>
      </w:r>
      <w:r w:rsidRPr="00C33834">
        <w:rPr>
          <w:rFonts w:ascii="Times New Roman" w:hAnsi="Times New Roman"/>
          <w:color w:val="0070C0"/>
          <w:sz w:val="16"/>
          <w:szCs w:val="16"/>
        </w:rPr>
        <w:softHyphen/>
        <w:t>градского дирижаблепорта (д. Сализи) в агитаци</w:t>
      </w:r>
      <w:r w:rsidRPr="00C33834">
        <w:rPr>
          <w:rFonts w:ascii="Times New Roman" w:hAnsi="Times New Roman"/>
          <w:color w:val="0070C0"/>
          <w:sz w:val="16"/>
          <w:szCs w:val="16"/>
        </w:rPr>
        <w:softHyphen/>
        <w:t>онный полёт. Через 1 ч 20 мин полёта из-за тряс</w:t>
      </w:r>
      <w:r w:rsidRPr="00C33834">
        <w:rPr>
          <w:rFonts w:ascii="Times New Roman" w:hAnsi="Times New Roman"/>
          <w:color w:val="0070C0"/>
          <w:sz w:val="16"/>
          <w:szCs w:val="16"/>
        </w:rPr>
        <w:softHyphen/>
        <w:t>ки правого мотора он пошёл на посадку, но при спуске оба мотора остановились, и дирижабль перешёл в свободный полёт. Запустить моторы не удалось. Командир трижды пытался произ</w:t>
      </w:r>
      <w:r w:rsidRPr="00C33834">
        <w:rPr>
          <w:rFonts w:ascii="Times New Roman" w:hAnsi="Times New Roman"/>
          <w:color w:val="0070C0"/>
          <w:sz w:val="16"/>
          <w:szCs w:val="16"/>
        </w:rPr>
        <w:softHyphen/>
        <w:t>вести посадку, но в первый раз этому помешала большая скорость дирижабля, а последующие попытки сорвались из-за сплошного леса внизу. Через шесть часов неуправляемого полёта дири</w:t>
      </w:r>
      <w:r w:rsidRPr="00C33834">
        <w:rPr>
          <w:rFonts w:ascii="Times New Roman" w:hAnsi="Times New Roman"/>
          <w:color w:val="0070C0"/>
          <w:sz w:val="16"/>
          <w:szCs w:val="16"/>
        </w:rPr>
        <w:softHyphen/>
        <w:t>жабль опустился, прижавшись гондолой к вер</w:t>
      </w:r>
      <w:r w:rsidRPr="00C33834">
        <w:rPr>
          <w:rFonts w:ascii="Times New Roman" w:hAnsi="Times New Roman"/>
          <w:color w:val="0070C0"/>
          <w:sz w:val="16"/>
          <w:szCs w:val="16"/>
        </w:rPr>
        <w:softHyphen/>
        <w:t>шине дерева на высоте 20 м в 3 км от д. Посад Новгородского района. При посадке «СССР В-2» получил ряд повреждений, но его не разоружили, и после устранения неполадок (моторы запусти</w:t>
      </w:r>
      <w:r w:rsidRPr="00C33834">
        <w:rPr>
          <w:rFonts w:ascii="Times New Roman" w:hAnsi="Times New Roman"/>
          <w:color w:val="0070C0"/>
          <w:sz w:val="16"/>
          <w:szCs w:val="16"/>
        </w:rPr>
        <w:softHyphen/>
        <w:t>ли, разогрев их паяльной лампой) он благополуч</w:t>
      </w:r>
      <w:r w:rsidRPr="00C33834">
        <w:rPr>
          <w:rFonts w:ascii="Times New Roman" w:hAnsi="Times New Roman"/>
          <w:color w:val="0070C0"/>
          <w:sz w:val="16"/>
          <w:szCs w:val="16"/>
        </w:rPr>
        <w:softHyphen/>
        <w:t>но возвратился на базу в д. Сализи. Относитель</w:t>
      </w:r>
      <w:r w:rsidRPr="00C33834">
        <w:rPr>
          <w:rFonts w:ascii="Times New Roman" w:hAnsi="Times New Roman"/>
          <w:color w:val="0070C0"/>
          <w:sz w:val="16"/>
          <w:szCs w:val="16"/>
        </w:rPr>
        <w:softHyphen/>
        <w:t>но причины остановки моторов марки «Титан» на малых оборотах предположили, что либо они не приспособлены для работы на малых оборо</w:t>
      </w:r>
      <w:r w:rsidRPr="00C33834">
        <w:rPr>
          <w:rFonts w:ascii="Times New Roman" w:hAnsi="Times New Roman"/>
          <w:color w:val="0070C0"/>
          <w:sz w:val="16"/>
          <w:szCs w:val="16"/>
        </w:rPr>
        <w:softHyphen/>
        <w:t>тах, либо их неправильно отрегулировали. Этот случай опроверг мнение об обязательном разо</w:t>
      </w:r>
      <w:r w:rsidRPr="00C33834">
        <w:rPr>
          <w:rFonts w:ascii="Times New Roman" w:hAnsi="Times New Roman"/>
          <w:color w:val="0070C0"/>
          <w:sz w:val="16"/>
          <w:szCs w:val="16"/>
        </w:rPr>
        <w:softHyphen/>
        <w:t>ружении дирижабля при вынужденной посадке (20120).</w:t>
      </w:r>
    </w:p>
    <w:p w14:paraId="05F7E350" w14:textId="77777777" w:rsidR="00A630EB" w:rsidRPr="00C33834" w:rsidRDefault="00A630EB" w:rsidP="00C33834">
      <w:pPr>
        <w:spacing w:after="0" w:line="240" w:lineRule="auto"/>
        <w:jc w:val="both"/>
        <w:rPr>
          <w:rFonts w:ascii="Times New Roman" w:hAnsi="Times New Roman"/>
          <w:color w:val="0070C0"/>
          <w:sz w:val="16"/>
          <w:szCs w:val="16"/>
        </w:rPr>
      </w:pPr>
    </w:p>
    <w:p w14:paraId="73679C9D" w14:textId="77777777" w:rsidR="00095B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68F02FA4" w14:textId="77777777" w:rsidR="00095B9C" w:rsidRPr="00C33834" w:rsidRDefault="00095B9C" w:rsidP="00C33834">
      <w:pPr>
        <w:spacing w:after="0" w:line="240" w:lineRule="auto"/>
        <w:jc w:val="both"/>
        <w:rPr>
          <w:rFonts w:ascii="Times New Roman" w:hAnsi="Times New Roman"/>
          <w:iCs/>
          <w:color w:val="000000" w:themeColor="text1"/>
          <w:sz w:val="16"/>
          <w:szCs w:val="16"/>
        </w:rPr>
      </w:pPr>
    </w:p>
    <w:p w14:paraId="6160831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1933 года совпало с празднованием дня ударника (12237).</w:t>
      </w:r>
    </w:p>
    <w:p w14:paraId="4E92D5E3" w14:textId="77777777" w:rsidR="002E1BE7" w:rsidRPr="00C33834" w:rsidRDefault="002E1BE7" w:rsidP="00C33834">
      <w:pPr>
        <w:spacing w:after="0" w:line="240" w:lineRule="auto"/>
        <w:jc w:val="both"/>
        <w:rPr>
          <w:rFonts w:ascii="Times New Roman" w:hAnsi="Times New Roman"/>
          <w:color w:val="000000" w:themeColor="text1"/>
          <w:sz w:val="16"/>
          <w:szCs w:val="16"/>
        </w:rPr>
      </w:pPr>
    </w:p>
    <w:p w14:paraId="722443F2"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 1 января 1933 г. согласно проекту 120-мм полковой миномет имел конструктивную схему мнимого треугольника и схему воспламенения Стокса — Брандта. Вес миномета в боевом положении составлял 140 кг. В боекомплект входили осколочно-химическая мина весом 12,08 кг, содержавшая 2,18 кг отравляющего вещества и </w:t>
      </w:r>
      <w:r w:rsidRPr="00C33834">
        <w:rPr>
          <w:rFonts w:ascii="Times New Roman" w:hAnsi="Times New Roman"/>
          <w:color w:val="000000" w:themeColor="text1"/>
          <w:sz w:val="16"/>
          <w:szCs w:val="16"/>
        </w:rPr>
        <w:lastRenderedPageBreak/>
        <w:t>фугасная чугунная мина весом 9,3 кг, содержавшая 2,56 кг взрывчатого вещества. Дальность стрельбы должна была составлять 3000–3500 м. Дальность стрельбы менялась за счет изменения зарядов и угла вертикального наведения.</w:t>
      </w:r>
    </w:p>
    <w:p w14:paraId="744F9CFD"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120-мм миномета затянулись с 1934 г. по 1939 г. Было испытано несколько десятков мало отличавшихся друг от друга опытных образцов.</w:t>
      </w:r>
    </w:p>
    <w:p w14:paraId="2D467C57"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Официально 120-мм миномет был принят на вооружение постановлением Комитета Обороны от 26 февраля 1939 г. вместе с 82-мм батальонным минометом обр. 1937 г. и 107-мм горно-вьючным минометом обр. 1938 г. Полковой миномет получил название «120-мм миномет обр. 1938 г.».</w:t>
      </w:r>
    </w:p>
    <w:p w14:paraId="041CD4C6"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Серийное производство 120-мм минометов началось в 1939 г. За год было изготовлено 500 минометов. На I–III кварталы 1940 г. заводу № 7 заказали 2100 120-мм минометов по цене 29 тыс. руб. за штуку. К 1 августа 1940 г. было изготовлено 933 миномета.</w:t>
      </w:r>
    </w:p>
    <w:p w14:paraId="611B6820"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Ствол миномета гладкий. В отличие от батальонных минометов, выстрел производился с помощью стреляющего приспособления, размещенного в казеннике. Для производства выстрела достаточно было дернуть за спусковой шнур. При необходимости боек переводился в жесткое положение, и стрельба велась методом самонакалывания, как в батальонном миномете.</w:t>
      </w:r>
    </w:p>
    <w:p w14:paraId="7376764E"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Плита у 120-мм миномета отличалась от плиты батальонного миномета обр. 1937 г. и представляла собой арочную конструкцию. В этой плите верхний лист изготавливался глубокой штамповкой и опирался на приваренные к нему ребра жесткости, которые врезались в грунт и обеспечивали опору плиты на грунт большей частью нижней поверхности листа.</w:t>
      </w:r>
    </w:p>
    <w:p w14:paraId="22A570A5"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походе миномет перевозился на колесном ходу посредством механической тяги, а без колесного хода мог перевозиться в кузове грузового автомобиля в разобранном виде. Время перевода из походного положения в боевое — 2–3 минуты.</w:t>
      </w:r>
    </w:p>
    <w:p w14:paraId="3FDF2968"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Наиболее был распространен неподрессоренный колесный ход обр. 1938 г., состоявший из рамы и двух колес от автомобиля «ГАЗ-АА».</w:t>
      </w:r>
    </w:p>
    <w:p w14:paraId="6F444ED9"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Миномет обр. 1938 г. снабжался передком обр. 1938 г. Передок, являясь передней частью общей повозки миномета на походе (хотя можно возить миномет и без него), предназначался также для перевозки 20 мин. Передок состоял из рамы, двух колес от автомобиля «ГАЗ-АА» и короба. Кроме мин, в коробе помещались два лотка, а в каждом лотке — пять пар коробок с дополнительными зарядами и один запасной хвостовой патрон (для замены давшего осечку). В годы войны выпускался так называемый «упрощенный» передок.</w:t>
      </w:r>
    </w:p>
    <w:p w14:paraId="2A91D365"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Несколько модернизированный вариант миномета обр. 1938 г. получил название «120-мм миномет обр. 1941 г.».</w:t>
      </w:r>
    </w:p>
    <w:p w14:paraId="37678735"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120-мм миномет обр. 1941 года в отличие от миномета обр. 1938 г. был снабжен амортизатором упрощенной конструкции и не имел колесного хода. Для сокращения трудозатрат применялся ввинтной казенник, однако надежная обтюрация его в соединении со стволом не обеспечивалась.</w:t>
      </w:r>
    </w:p>
    <w:p w14:paraId="19BADAF7"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1943 году был принят на вооружение новый 120-мм миномет, который представлял собой модернизированный вариант образца 1938 г. В нем было усовершенствовано стреляющее приспособление, которое разбиралось без свинчивания казенника. Кроме того, миномет снабжался амортизаторами с более длинным ходом пружины и качающимся прицелом. Введение качающегося прицела упрощало механизм горизонтирования. В 1945 г. для буксирования автомобилем миномету был придан усовершенствованный подрессоренный ход. В целом миномет оказался весьма удачным образцом и выпускался промышленностью до последних дней войны.</w:t>
      </w:r>
    </w:p>
    <w:p w14:paraId="306EFFFC"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Возка 120-мм миномета осуществлялась конной или механической тягой. Конная тяга производилась с передком четверкой лошадей.</w:t>
      </w:r>
    </w:p>
    <w:p w14:paraId="2D5F409D"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Данные полковых минометов — Обр. 1938 г. — Обр. 1943 г. </w:t>
      </w:r>
    </w:p>
    <w:p w14:paraId="3A3E8740"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Калибр, мм — 120–120</w:t>
      </w:r>
    </w:p>
    <w:p w14:paraId="0BD76F48"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Угол ВН, град — +45;+80 — +45; +80</w:t>
      </w:r>
    </w:p>
    <w:p w14:paraId="62D4C624"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Угол ГН, град — 6–8</w:t>
      </w:r>
    </w:p>
    <w:p w14:paraId="17C23AA2"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ствола с казенником, кг — 105–100</w:t>
      </w:r>
    </w:p>
    <w:p w14:paraId="11500D61"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двуноги-лафета, кг — 75–80</w:t>
      </w:r>
    </w:p>
    <w:p w14:paraId="471E0260"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опорной плиты, кг — 95–95</w:t>
      </w:r>
    </w:p>
    <w:p w14:paraId="654E094B"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прицела, кг — 1,4–1,4</w:t>
      </w:r>
    </w:p>
    <w:p w14:paraId="7DC77C13"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миномета в боевом положении, кг — 275–275</w:t>
      </w:r>
    </w:p>
    <w:p w14:paraId="68EFF271"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Ширина колесного хода, мм — 1300–1300</w:t>
      </w:r>
    </w:p>
    <w:p w14:paraId="5834B789"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Клиренс, мм — 370–370</w:t>
      </w:r>
    </w:p>
    <w:p w14:paraId="7971DE7B"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 скорость возки, км/час: по булыжной мостовой — 18–18</w:t>
      </w:r>
    </w:p>
    <w:p w14:paraId="2070FB1D"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шоссе — 35–35</w:t>
      </w:r>
    </w:p>
    <w:p w14:paraId="295E46B4"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Скорострельность, выстр/мин: без исправления наводки — 15–15</w:t>
      </w:r>
    </w:p>
    <w:p w14:paraId="20CB1F97"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исправлением наводки — 6–6</w:t>
      </w:r>
    </w:p>
    <w:p w14:paraId="2B87A02D"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120-мм зажигательная мина ТР с комбинированным термитно-фосфорным снаряжением была принята на вооружение в начале 1943 г. Эта мина снаряжалась желтым фосфором, 36 термитными зажигательными элементами в металлических стаканчиках и небольшим разрывным зарядом. При разрыве мины горящие зажигательные элементы разлетались в радиусе до 40 м от места разрыва и создавали 36 огневых очагов с температурой более 2000 °C и временем горения около 15 с. После сгорания зажигательных элементов оставались раскаленные шлаки, способные проплавить тонкое листовое железо. 120-мм зажигательные мины ТР обеспечивали надежное поджигание деревянных сооружений.</w:t>
      </w:r>
    </w:p>
    <w:p w14:paraId="0D189A4B" w14:textId="77777777" w:rsidR="00056252" w:rsidRPr="00C33834" w:rsidRDefault="000562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Также в 1942 г. была выпущена небольшая партия 120-мм зажигательных мин БНП и БТН. 120-мм зажигательная мина БНП снаряжалась вязкой огнесмесью А. П. Ионова с добавкой волокнистого наполнителя — пакли, которая уменьшала дробление вязкой огнесмеси при взрыве мины. Мины типа БНП надежно поджигали деревянные срубы, удовлетворительно действовали при попадании в танк. Мины БТП были снаряжены вязкой огнесмесыо, термитным составом и паклей (12705).</w:t>
      </w:r>
    </w:p>
    <w:p w14:paraId="03E3EEB7" w14:textId="77777777" w:rsidR="00056252" w:rsidRPr="00C33834" w:rsidRDefault="00056252" w:rsidP="00C33834">
      <w:pPr>
        <w:spacing w:after="0" w:line="240" w:lineRule="auto"/>
        <w:jc w:val="both"/>
        <w:rPr>
          <w:rFonts w:ascii="Times New Roman" w:hAnsi="Times New Roman"/>
          <w:color w:val="000000" w:themeColor="text1"/>
          <w:sz w:val="16"/>
          <w:szCs w:val="16"/>
        </w:rPr>
      </w:pPr>
    </w:p>
    <w:p w14:paraId="5A49902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1933 у Нач. Танкового управления НТУ УММ РККА Свиридова рассматривали вопрос о “переделках в корпусе БТ в выпущенных машинах в связи с установкой 45-мм пушки”. Интересы ХПЗ представлял Нач. Т-2К А.О.Фирсов, который доложил, что “при замене вооружения с 37-мм пушки на 45 мм пушку на выпущенных машинах БТ-2 подлежат замене следующие узлы: 1) верхний подбашенный бронелист, 2) арка над водителем, 3) укладка боеприпасов”...”указанные переделки с технической стороны затруднений не вызывают и не требуют специального оборудования.”. По требованию представителей НТУ в протоколе было записано: “указанные переделки должны проводиться, не вклиниваясь в серийное производство во избежании срыва программы выпуска танков БТ.”. На этом же совещании решили перейти и на овальную башню (3880,4).</w:t>
      </w:r>
    </w:p>
    <w:p w14:paraId="532D53A2"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0CEE51A9" w14:textId="77777777" w:rsidR="00095B9C" w:rsidRPr="00C33834" w:rsidRDefault="00095B9C"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Если на 1 января 1933 г. на Комбинате существовало 389 хозрасчётных бригад, которые охватывали 4126 работников, то на 1 апреля 1933 г. их число сократилось до 345 бригад, в которых трудилось 4017 человек. Лишь форсированными усилиями администрации Комбината, направленными на реанимацию хозрасчётного движения, удалось переломить негативную тенденцию, и довести число хозрасчётных бригад к 1 июля до 398 (4607 человек). На 1 октября количество бригад сократилось до 365, но число занятых в них рабочих возросло до 5462, что составляло 62% всех рабочих завода, занятых на основных работах. К этому времени заводской и цеховой хозрасчёт отошли на вторые роли, на первый план был выдвинут хозрасчёт бригадный, однако и с последним дела не ладились. В объяснение столь неутешительных итогов заводоуправление привело следующие причины: </w:t>
      </w:r>
    </w:p>
    <w:p w14:paraId="2DBF71C6" w14:textId="77777777" w:rsidR="00095B9C" w:rsidRPr="00C33834" w:rsidRDefault="00095B9C"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w:t>
      </w:r>
      <w:r w:rsidRPr="00C33834">
        <w:rPr>
          <w:rStyle w:val="ac"/>
          <w:color w:val="000000" w:themeColor="text1"/>
          <w:spacing w:val="0"/>
          <w:kern w:val="0"/>
          <w:position w:val="0"/>
          <w:sz w:val="16"/>
          <w:szCs w:val="16"/>
          <w:lang w:val="ru-RU"/>
        </w:rPr>
        <w:t>1. Организационный разброд и разные ревизионистские настроения, стремящиеся оправдать этот разброд.</w:t>
      </w:r>
    </w:p>
    <w:p w14:paraId="247C874F" w14:textId="77777777" w:rsidR="00095B9C" w:rsidRPr="00C33834" w:rsidRDefault="00095B9C" w:rsidP="00C33834">
      <w:pPr>
        <w:pStyle w:val="af2"/>
        <w:jc w:val="both"/>
        <w:rPr>
          <w:i w:val="0"/>
          <w:iCs w:val="0"/>
          <w:color w:val="000000" w:themeColor="text1"/>
          <w:spacing w:val="0"/>
          <w:kern w:val="0"/>
          <w:position w:val="0"/>
          <w:sz w:val="16"/>
          <w:szCs w:val="16"/>
          <w:lang w:val="ru-RU"/>
        </w:rPr>
      </w:pPr>
      <w:r w:rsidRPr="00C33834">
        <w:rPr>
          <w:rStyle w:val="ac"/>
          <w:color w:val="000000" w:themeColor="text1"/>
          <w:spacing w:val="0"/>
          <w:kern w:val="0"/>
          <w:position w:val="0"/>
          <w:sz w:val="16"/>
          <w:szCs w:val="16"/>
          <w:lang w:val="ru-RU"/>
        </w:rPr>
        <w:t>2. Рост рабочей силы, ведущий к снижению удельного веса охваченных хозрасчётными бригадами рабочих.</w:t>
      </w:r>
    </w:p>
    <w:p w14:paraId="585F9506" w14:textId="77777777" w:rsidR="00095B9C" w:rsidRPr="00C33834" w:rsidRDefault="00095B9C" w:rsidP="00C33834">
      <w:pPr>
        <w:pStyle w:val="af2"/>
        <w:jc w:val="both"/>
        <w:rPr>
          <w:i w:val="0"/>
          <w:iCs w:val="0"/>
          <w:color w:val="000000" w:themeColor="text1"/>
          <w:spacing w:val="0"/>
          <w:kern w:val="0"/>
          <w:position w:val="0"/>
          <w:sz w:val="16"/>
          <w:szCs w:val="16"/>
          <w:lang w:val="ru-RU"/>
        </w:rPr>
      </w:pPr>
      <w:r w:rsidRPr="00C33834">
        <w:rPr>
          <w:rStyle w:val="ac"/>
          <w:color w:val="000000" w:themeColor="text1"/>
          <w:spacing w:val="0"/>
          <w:kern w:val="0"/>
          <w:position w:val="0"/>
          <w:sz w:val="16"/>
          <w:szCs w:val="16"/>
          <w:lang w:val="ru-RU"/>
        </w:rPr>
        <w:t>3. Бригадный хозрасчёт застыл в тех формах, которые он принял в середине 1932 г., хотя многое в нём уже изменилось. Основное было то, что организационная структура хозрасчётных бригад была недостаточно чёткая, недостаточно рациональная с токи зрения технологического процесса. Среднее число членов в бригаде по 4 основным заводам (АТЭ, Трансформаторный, Прожекторный, Ламповый) было 10–11 человек, а в Прожекторном – 6–7 человек, а при такой численности далеко не всюду бригада могла быть организована как следует. Превалировала организация бригады по принципу обработки какой-либо операции. Пример: деталь начата обработкой в бригаде № 19, затем она идёт в бригаду № 21, оттуда возвращается в бригаду № 19, а затем – в бригаду № 27, оттуда возвращается в бригаду № 21, затем – снова в бригаду № 19, потом – в бригаду № 27 и окончательная обработка – в бригаде № 25.</w:t>
      </w:r>
    </w:p>
    <w:p w14:paraId="65E4F147" w14:textId="77777777" w:rsidR="00095B9C" w:rsidRPr="00C33834" w:rsidRDefault="00095B9C" w:rsidP="00C33834">
      <w:pPr>
        <w:pStyle w:val="af2"/>
        <w:jc w:val="both"/>
        <w:rPr>
          <w:i w:val="0"/>
          <w:iCs w:val="0"/>
          <w:color w:val="000000" w:themeColor="text1"/>
          <w:spacing w:val="0"/>
          <w:kern w:val="0"/>
          <w:position w:val="0"/>
          <w:sz w:val="16"/>
          <w:szCs w:val="16"/>
          <w:lang w:val="ru-RU"/>
        </w:rPr>
      </w:pPr>
      <w:r w:rsidRPr="00C33834">
        <w:rPr>
          <w:rStyle w:val="ac"/>
          <w:color w:val="000000" w:themeColor="text1"/>
          <w:spacing w:val="0"/>
          <w:kern w:val="0"/>
          <w:position w:val="0"/>
          <w:sz w:val="16"/>
          <w:szCs w:val="16"/>
          <w:lang w:val="ru-RU"/>
        </w:rPr>
        <w:t>Если в 1932 г. велась борьба и удалось изменить существующую практику многочисленных и многосменных бригад (в 50–70 человек), не считавшихся с техническими процессами и требовавших правильного хозрасчёта, то тут мы имеем дело с другой крайностью – размельчением бригад</w:t>
      </w:r>
      <w:r w:rsidRPr="00C33834">
        <w:rPr>
          <w:i w:val="0"/>
          <w:iCs w:val="0"/>
          <w:color w:val="000000" w:themeColor="text1"/>
          <w:spacing w:val="0"/>
          <w:kern w:val="0"/>
          <w:position w:val="0"/>
          <w:sz w:val="16"/>
          <w:szCs w:val="16"/>
          <w:lang w:val="ru-RU"/>
        </w:rPr>
        <w:t>» (11564).</w:t>
      </w:r>
    </w:p>
    <w:p w14:paraId="1B09126D" w14:textId="77777777" w:rsidR="00095B9C" w:rsidRPr="00C33834" w:rsidRDefault="00095B9C" w:rsidP="00C33834">
      <w:pPr>
        <w:pStyle w:val="af2"/>
        <w:jc w:val="both"/>
        <w:rPr>
          <w:i w:val="0"/>
          <w:iCs w:val="0"/>
          <w:color w:val="000000" w:themeColor="text1"/>
          <w:spacing w:val="0"/>
          <w:kern w:val="0"/>
          <w:position w:val="0"/>
          <w:sz w:val="16"/>
          <w:szCs w:val="16"/>
          <w:lang w:val="ru-RU"/>
        </w:rPr>
      </w:pPr>
    </w:p>
    <w:p w14:paraId="4614AD1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января 1933 г. Приказом Наркомата целлюлозной была создана Центральная контрольно-аналитическая лаборатория целлюлозной и бумажной промышленности "ЦКАЛ" создана бумажной промышленности СССР от 5 декабря 1942 г. лаборатория переименована в Московский филиал Центрального научно-исследовательского института целлюлозной и бумажной промышленности "ЦНИИБ", такое же название филиал имел в 1957 - 1959 гг. В 1941 - 1943 гг. филиал находился в эвакуации в г. Краснокамске Молотовской обл. В 1950 - 1955 гг. филиал назывался Московский филиал Центрального научно-исследовательского института бумаги, в 1956 г. - Московский филиал Центрального научно-исследовательского института целлюлозы и бумаги, в 1960 - 1964 гг. - Московский филиал Всесоюзного научно-исследовательского института целлюлозной и бумажной промышленности "ВНИИБ". Приказом Госплана СССР от 10 декабря 1964 г. филиал реорганизуется в ЦНИИБ (12102). </w:t>
      </w:r>
    </w:p>
    <w:p w14:paraId="224084B3" w14:textId="77777777" w:rsidR="00460F2B" w:rsidRPr="00C33834" w:rsidRDefault="00460F2B" w:rsidP="00C33834">
      <w:pPr>
        <w:spacing w:after="0" w:line="240" w:lineRule="auto"/>
        <w:jc w:val="both"/>
        <w:rPr>
          <w:rFonts w:ascii="Times New Roman" w:hAnsi="Times New Roman"/>
          <w:iCs/>
          <w:color w:val="000000" w:themeColor="text1"/>
          <w:sz w:val="16"/>
          <w:szCs w:val="16"/>
        </w:rPr>
      </w:pPr>
    </w:p>
    <w:p w14:paraId="202F95DB" w14:textId="77777777" w:rsidR="00095B9C" w:rsidRPr="00C33834" w:rsidRDefault="008E43FA"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lastRenderedPageBreak/>
        <w:t>Армия:</w:t>
      </w:r>
    </w:p>
    <w:p w14:paraId="5C94A954" w14:textId="77777777" w:rsidR="00095B9C" w:rsidRPr="00C33834" w:rsidRDefault="00095B9C" w:rsidP="00C33834">
      <w:pPr>
        <w:spacing w:after="0" w:line="240" w:lineRule="auto"/>
        <w:jc w:val="both"/>
        <w:rPr>
          <w:rFonts w:ascii="Times New Roman" w:hAnsi="Times New Roman"/>
          <w:iCs/>
          <w:color w:val="000000" w:themeColor="text1"/>
          <w:sz w:val="16"/>
          <w:szCs w:val="16"/>
        </w:rPr>
      </w:pPr>
    </w:p>
    <w:p w14:paraId="4E30F340" w14:textId="77777777" w:rsidR="00095B9C" w:rsidRPr="00C33834" w:rsidRDefault="00095B9C"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г. советские Военно-Воздушные Силы имели 2703 отечествен</w:t>
      </w:r>
      <w:r w:rsidRPr="00C33834">
        <w:rPr>
          <w:rFonts w:ascii="Times New Roman" w:hAnsi="Times New Roman"/>
          <w:color w:val="000000" w:themeColor="text1"/>
          <w:sz w:val="16"/>
          <w:szCs w:val="16"/>
        </w:rPr>
        <w:softHyphen/>
        <w:t>ных самолета с современными летно-техническими данными [18, с. 32]9 (5484).</w:t>
      </w:r>
    </w:p>
    <w:p w14:paraId="46F0C221"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1D544AB3" w14:textId="77777777" w:rsidR="004B1089" w:rsidRPr="00C33834" w:rsidRDefault="004B1089"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На 1 января 1933 г. в ВВС имелось, в общей сложности, 160 И-4, из них 135 исправных. На Черном море их сохранял 71-й отряд, к которому добавилась 24-я эскадрилья, размещенная в той же Евпатории. Она к концу года располагала полным комплектом из 31 истребителя. В 403-й бригаде в Люберцах</w:t>
      </w:r>
    </w:p>
    <w:p w14:paraId="45C27F48" w14:textId="77777777" w:rsidR="004B1089" w:rsidRPr="00C33834" w:rsidRDefault="004B1089"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118- я</w:t>
      </w:r>
      <w:r w:rsidRPr="00C33834">
        <w:rPr>
          <w:rFonts w:ascii="Times New Roman" w:hAnsi="Times New Roman" w:cs="Times New Roman"/>
          <w:color w:val="000000" w:themeColor="text1"/>
        </w:rPr>
        <w:tab/>
        <w:t>эскадрилья имела смесь И-4 и И-3 (примерно поровну тех и других). Десяток машин отправили в Витебск. В 404-й бригаде в Баку на И-4 летала</w:t>
      </w:r>
    </w:p>
    <w:p w14:paraId="5199C738" w14:textId="77777777" w:rsidR="004B1089" w:rsidRPr="00C33834" w:rsidRDefault="004B1089"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119- я</w:t>
      </w:r>
      <w:r w:rsidRPr="00C33834">
        <w:rPr>
          <w:rFonts w:ascii="Times New Roman" w:hAnsi="Times New Roman" w:cs="Times New Roman"/>
          <w:color w:val="000000" w:themeColor="text1"/>
        </w:rPr>
        <w:tab/>
        <w:t>эскадрилья. Там начинал свою карьеру известный летчик-истребитель Ибрагим Дзусов. В 1934 г. в этом же городе начали формировать новую 121-ю эскадрилью, которую собирались вооружить И-7, но на практике она тоже получила И-4.</w:t>
      </w:r>
    </w:p>
    <w:p w14:paraId="137C95EC" w14:textId="77777777" w:rsidR="004B1089" w:rsidRPr="00C33834" w:rsidRDefault="004B1089"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Несмотря на активное внедрение с начала 1931 г. новых истребителей И-5, превосходивших И-4 во всех отношениях, более старые машины продолжали оставаться в строю. Впрочем, это касалось и их «ровесников» - И-3 и совсем уже устаревших И-2 и И-2бис. Более того, продолжали эксплуатироваться и D.XI, купленные в Нидерландах еще в середине 1920-х гг. Это объяснялось бурным ростом ВВС - новой техники на всех не хватало. Списали лишь ветхие «мартинсайды», построенные еще в конце Первой мировой войны. На 1 сентября 1933 г. первое место по численности в парке истребительной авиации занимал И-3, второе - И-4, но по количеству машин к нему уже подбирался более совершенный И-5.</w:t>
      </w:r>
    </w:p>
    <w:p w14:paraId="2D904BC3" w14:textId="77777777" w:rsidR="004B1089" w:rsidRPr="00C33834" w:rsidRDefault="004B1089"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Количество И-4 в строю постепенно уменьшалось, доля неисправных среди них - увеличивалась. Свою лепту в этот процесс вносили аварии и катастрофы. Их происходило немало. Например, только за первую половину 1933 г. имели место семь случаев по самым разным причинам (19100).</w:t>
      </w:r>
    </w:p>
    <w:p w14:paraId="13B74731" w14:textId="77777777" w:rsidR="004B1089" w:rsidRPr="00C33834" w:rsidRDefault="004B1089" w:rsidP="00C33834">
      <w:pPr>
        <w:pStyle w:val="a8"/>
        <w:jc w:val="both"/>
        <w:rPr>
          <w:rFonts w:ascii="Times New Roman" w:hAnsi="Times New Roman" w:cs="Times New Roman"/>
          <w:color w:val="000000" w:themeColor="text1"/>
        </w:rPr>
      </w:pPr>
    </w:p>
    <w:p w14:paraId="7932E3F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г. в боевом составе ВВС РККА уже числились 144 ТБ-3 и только один из них являлся неисправным (7668).</w:t>
      </w:r>
    </w:p>
    <w:p w14:paraId="30613BCD"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1D3FE7B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г. в рядах ВВС РККА уже числились 144 ТБ-3, и только один из них являлся неисправным. К концу года четырехмоторных машин в строевых частях уже было больше, чем ТБ-1. но они пока лишь дополняли, а не вытесняли последние.</w:t>
      </w:r>
    </w:p>
    <w:p w14:paraId="37A817F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Четырехмоторные гиганты оказались достаточно устойчивы в воздухе и покладисты в пилотировании. Вот отзывы из бригад, осваивавших новую машину. "Конструкция корабля ТБ-3 в основном вполне удовлетворительна, прочна и может выдержать самые неблагоприятные условия эксплуатации при условии увеличения надежности моторной группы".</w:t>
      </w:r>
    </w:p>
    <w:p w14:paraId="46AC2E1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наземному обслуживанию ТБ-3 подошли серьезно. Для него разрабатывался целый набор специализированных автомашин и прицепов, в том числе проектировалась передвижная мастерская на шасси грузовика. По первому изданному регламенту в комплект средств обслуживания ТБ-3 входили пять колесных и гусеничных машин, в том числе гусеничный трактор "Коммунар" для буксировки бомбардировщика по аэродрому. На практике техники не хватало. При отсутствии трактора обходились 40-50 красноармейцами, толкавшими машину под руководством старшего техника, следившего, чтобы самолет не разворачивали слишком круто - можно было свернуть крепления тележек. Если трактор имелся, то потребность в "живой силе" сокращалась до 10-12 человек. Они заносили хвост самолета.</w:t>
      </w:r>
    </w:p>
    <w:p w14:paraId="56709CD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земле ТБ-3 обслуживали пять механиков, которым хватало работы. Заправка только одного бензобака (с применением пневматики) занимала три с половиной часа, а баков стояло четыре - самолет потреблял до 360 л топлива в час. В систему охлаждения каждого мотора надо было влить 10-12 ведер воды (зимой - горячей). Моторы по инструкции полагалось заводить сжатым воздухом от аэродромного баллона. А если его под рукой не имелось, обходились резиновой петлей на длинной палке, которую дергали человек пять. Иногда к такому приспособлению припрягали лошадь. Храповики для автостартеров на втулках винтов ввели значительно позже.</w:t>
      </w:r>
    </w:p>
    <w:p w14:paraId="393CD8D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1933 г. ВВС первоначально заказали 350 ТБ-3. затем под давлением представителей промышленности ограничились 300 машинами. По планам за год предстояло сфор- ТБ-3 в парадном мировать 22 эскадрильи, для чего требова- строю над Москвой лось 264 бомбардировщика. На практике в 1933 г. заводы выпустили 307 ТБ-3. Это позволило насытить бомбардировщиками ВВС, фактически впервые в мире создав крупные соединения стратегической авиации - бомбардировочные авиакорпуса. Всего сформировали пять таких корпусов по две бригады в каждом. Поначалу они имели на вооружении и ТБ-3, и ТБ-1. но постепенно четырехмоторные машины вытесняли ТБ-i на роль учебных и транспортных.</w:t>
      </w:r>
    </w:p>
    <w:p w14:paraId="6E568A1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Части и соединения тяжелых бомбардировщиков часто носили цветистые наименования, характерные для того времени. Например, "9-я бригада имени 10-го Всесоюзного съезда Ленинского комсомола". Пять входивших в нее эскадрилий носили имена Ворошилова, Кагановича, Кирова, Постышева и Косарева (12024).</w:t>
      </w:r>
    </w:p>
    <w:p w14:paraId="08FB743D"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31A6F55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г. в рядах ВВС РККА уже числились 144 ТБ-3, и только один из них являлся неисправным. К концу года четырехмоторных машин в строевых частях уже было больше, чем ТБ-1, но они пока лишь дополняли, а не вытесняли последние.</w:t>
      </w:r>
    </w:p>
    <w:p w14:paraId="6D1EF8B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Четырехмоторные гиганты оказались достаточно устойчивы в воздухе и покладисты в пилотировании. Вот отзывы из бригад, осваивавших новую машину. "Конструкция корабля ТБ-3 в основном вполне удовлетворительна, прочна и может выдержать самые неблагоприятные условия эксплуатации при условии увеличения надежности моторной группы".</w:t>
      </w:r>
    </w:p>
    <w:p w14:paraId="5839B80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наземному обслуживанию ТБ-3 подошли серьезно. Для него разрабатывался целый набор специализированных автомашин и прицепов, в том числе проектировалась передвижная мастерская на шасси грузовика. По первому изданному регламенту в комплект средств обслуживания ТБ-3 входили пять колесных и гусеничных машин, в том числе гусеничный трактор "Коммунар" для буксировки бомбардировщика по аэродрому. На практике техники не хватало. При отсутствии трактора обходились 40-50 красноармейцами, толкавшими машину под руководством старшего техника, следившего, чтобы самолет не разворачивали слишком круто - можно было свернуть крепления тележек. Если трактор имелся, то потребность в "живой силе" сокращалась до 10-12 человек. Они заносили хвост самолета.</w:t>
      </w:r>
    </w:p>
    <w:p w14:paraId="39562CD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 земле ТБ-3 обслуживали пять механиков, которым хватало работы. Заправка только одного бензобака (с применением пневматики) занимала три с половиной часа, а баков стояло четыре - самолет потреблял до 360 л топлива в час. В систему охлаждения каждого мотора надо было влить 10-12 ведер воды (зимой - горячей). Моторы по инструкции полагалось заводить сжатым воздухом от аэродромного баллона. А если его под рукой не имелось, обходились резиновой петлей на длинной палке, которую дергали человек пять. Иногда к такому приспособлению припрягали лошадь. Храповики для автостартеров на втулках винтов ввели значительно позже. </w:t>
      </w:r>
    </w:p>
    <w:p w14:paraId="3A0288A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1933 г. ВВС первоначально заказали 350 ТБ-3, затем под давлением представителей промышленности ограничились 300 машинами. По планам за год предстояло сформировать 22 эскадрильи, для чего требовалось 264 бомбардировщика. На практике в 1933 г. заводы выпустили 307 ТБ-3. Это позволило насытить бомбардировщиками ВВС, фактически впервые в мире создав крупные соединения стратегической авиации - бомбардировочные авиакорпуса. Всего сформировали пять таких корпусов по две бригады в каждом. Поначалу они имели на вооружении и ТБ-3, и ТБ-1, но постепенно четырехмоторные машины вытесняли ТБ-1 на роль учебных и транспортных.</w:t>
      </w:r>
    </w:p>
    <w:p w14:paraId="0E4114A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Части и соединения тяжелых бомбардировщиков часто носили цветистые наименования, характерные для того времени. Например, "9-я бригада имени 10-го Всесоюзного съезда Ленинского комсомола". Пять входивших в нее эскадрилий носили имена Ворошилова, Кагановича, Кирова, Постышева и Косарева (12036).</w:t>
      </w:r>
    </w:p>
    <w:p w14:paraId="71C24E64"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4646389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 1 января 1933 г. в САВО имелось 68 машин Р-3ЛД, 39 из которых могли подняться в воздух. Примерно в таком же состоянии парк 16-й бригады пребывал и в конце года (11985). </w:t>
      </w:r>
    </w:p>
    <w:p w14:paraId="0EF669E7"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1E49835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состоянию на 1 января 1933 г. в строю 6-й аэ находился 21 са</w:t>
      </w:r>
      <w:r w:rsidRPr="00C33834">
        <w:rPr>
          <w:rFonts w:ascii="Times New Roman" w:hAnsi="Times New Roman"/>
          <w:color w:val="000000" w:themeColor="text1"/>
          <w:sz w:val="16"/>
          <w:szCs w:val="16"/>
        </w:rPr>
        <w:softHyphen/>
        <w:t>молет истребитель типа И-7 (12295).</w:t>
      </w:r>
    </w:p>
    <w:p w14:paraId="05411BFE" w14:textId="77777777" w:rsidR="002E1BE7" w:rsidRPr="00C33834" w:rsidRDefault="002E1BE7" w:rsidP="00C33834">
      <w:pPr>
        <w:spacing w:after="0" w:line="240" w:lineRule="auto"/>
        <w:jc w:val="both"/>
        <w:rPr>
          <w:rFonts w:ascii="Times New Roman" w:hAnsi="Times New Roman"/>
          <w:color w:val="000000" w:themeColor="text1"/>
          <w:sz w:val="16"/>
          <w:szCs w:val="16"/>
        </w:rPr>
      </w:pPr>
    </w:p>
    <w:p w14:paraId="2DDBA24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1933 г. в строю оставал</w:t>
      </w:r>
      <w:r w:rsidRPr="00C33834">
        <w:rPr>
          <w:rFonts w:ascii="Times New Roman" w:hAnsi="Times New Roman"/>
          <w:color w:val="000000" w:themeColor="text1"/>
          <w:sz w:val="16"/>
          <w:szCs w:val="16"/>
        </w:rPr>
        <w:softHyphen/>
        <w:t>ся один И-6 (12295).</w:t>
      </w:r>
    </w:p>
    <w:p w14:paraId="5DECA6A6" w14:textId="77777777" w:rsidR="002E1BE7" w:rsidRPr="00C33834" w:rsidRDefault="002E1BE7" w:rsidP="00C33834">
      <w:pPr>
        <w:spacing w:after="0" w:line="240" w:lineRule="auto"/>
        <w:jc w:val="both"/>
        <w:rPr>
          <w:rFonts w:ascii="Times New Roman" w:hAnsi="Times New Roman"/>
          <w:color w:val="000000" w:themeColor="text1"/>
          <w:sz w:val="16"/>
          <w:szCs w:val="16"/>
        </w:rPr>
      </w:pPr>
    </w:p>
    <w:p w14:paraId="5AC224F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и 1 января 1930 состояние парка ВВС:</w:t>
      </w:r>
    </w:p>
    <w:p w14:paraId="6511F352" w14:textId="77777777" w:rsidR="002E1BE7" w:rsidRPr="00C33834" w:rsidRDefault="002E1BE7" w:rsidP="00C33834">
      <w:pPr>
        <w:pStyle w:val="59"/>
        <w:shd w:val="clear" w:color="auto" w:fill="auto"/>
        <w:spacing w:line="240" w:lineRule="auto"/>
        <w:jc w:val="both"/>
        <w:rPr>
          <w:color w:val="000000" w:themeColor="text1"/>
          <w:szCs w:val="16"/>
        </w:rPr>
      </w:pPr>
      <w:r w:rsidRPr="00C33834">
        <w:rPr>
          <w:color w:val="000000" w:themeColor="text1"/>
          <w:szCs w:val="16"/>
        </w:rPr>
        <w:t>(В числителе указаны исправные самолеты, в знаменателе неисправные - общее количество суммируется)</w:t>
      </w:r>
    </w:p>
    <w:tbl>
      <w:tblPr>
        <w:tblW w:w="0" w:type="auto"/>
        <w:tblLayout w:type="fixed"/>
        <w:tblCellMar>
          <w:left w:w="10" w:type="dxa"/>
          <w:right w:w="10" w:type="dxa"/>
        </w:tblCellMar>
        <w:tblLook w:val="0000" w:firstRow="0" w:lastRow="0" w:firstColumn="0" w:lastColumn="0" w:noHBand="0" w:noVBand="0"/>
      </w:tblPr>
      <w:tblGrid>
        <w:gridCol w:w="936"/>
        <w:gridCol w:w="904"/>
        <w:gridCol w:w="976"/>
        <w:gridCol w:w="1163"/>
      </w:tblGrid>
      <w:tr w:rsidR="00F26F01" w:rsidRPr="00C33834" w14:paraId="6F184937" w14:textId="77777777" w:rsidTr="002E1BE7">
        <w:trPr>
          <w:trHeight w:val="248"/>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7CB082D4" w14:textId="77777777" w:rsidR="002E1BE7" w:rsidRPr="00C33834" w:rsidRDefault="002E1BE7" w:rsidP="00C33834">
            <w:pPr>
              <w:spacing w:after="0" w:line="240" w:lineRule="auto"/>
              <w:jc w:val="both"/>
              <w:rPr>
                <w:rFonts w:ascii="Times New Roman" w:hAnsi="Times New Roman"/>
                <w:color w:val="000000" w:themeColor="text1"/>
                <w:sz w:val="16"/>
                <w:szCs w:val="16"/>
              </w:rPr>
            </w:pP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1A97EA64"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1.01.31 г.</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5107BD0B"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1.01.32 г.</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30EC2A1C"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1.01.33 г.</w:t>
            </w:r>
          </w:p>
        </w:tc>
      </w:tr>
      <w:tr w:rsidR="00F26F01" w:rsidRPr="00C33834" w14:paraId="4638482D" w14:textId="77777777" w:rsidTr="002E1BE7">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11BDA30B"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33248B61"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257/20</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1C03CC6D"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253/23</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58C63050"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205/44</w:t>
            </w:r>
          </w:p>
        </w:tc>
      </w:tr>
      <w:tr w:rsidR="00F26F01" w:rsidRPr="00C33834" w14:paraId="36E0820D" w14:textId="77777777" w:rsidTr="002E1BE7">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7835BB63"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И-4</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4062CB63"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138/12</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292169B6"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146/18</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01E12F4E"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135/25</w:t>
            </w:r>
          </w:p>
        </w:tc>
      </w:tr>
      <w:tr w:rsidR="00F26F01" w:rsidRPr="00C33834" w14:paraId="743CF5A6" w14:textId="77777777" w:rsidTr="002E1BE7">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5DEA07D6"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763B88C9"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11/1</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64FB845F"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58/7</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20122C5F"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128/15</w:t>
            </w:r>
          </w:p>
        </w:tc>
      </w:tr>
      <w:tr w:rsidR="00F26F01" w:rsidRPr="00C33834" w14:paraId="58DA415C" w14:textId="77777777" w:rsidTr="002E1BE7">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61A8E9E6"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И-6</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2821FB7E" w14:textId="77777777" w:rsidR="002E1BE7" w:rsidRPr="00C33834" w:rsidRDefault="002E1BE7" w:rsidP="00C33834">
            <w:pPr>
              <w:pStyle w:val="290"/>
              <w:shd w:val="clear" w:color="auto" w:fill="auto"/>
              <w:spacing w:after="0" w:line="240" w:lineRule="auto"/>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3AB9C992"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0476B3BE"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r>
      <w:tr w:rsidR="00F26F01" w:rsidRPr="00C33834" w14:paraId="3015FC33" w14:textId="77777777" w:rsidTr="002E1BE7">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480A4F3F"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4E8F0225" w14:textId="77777777" w:rsidR="002E1BE7" w:rsidRPr="00C33834" w:rsidRDefault="002E1BE7" w:rsidP="00C33834">
            <w:pPr>
              <w:pStyle w:val="290"/>
              <w:shd w:val="clear" w:color="auto" w:fill="auto"/>
              <w:spacing w:after="0" w:line="240" w:lineRule="auto"/>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5F52329C"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6F6C7D76"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21/0</w:t>
            </w:r>
          </w:p>
        </w:tc>
      </w:tr>
      <w:tr w:rsidR="00F26F01" w:rsidRPr="00C33834" w14:paraId="5BC3F3B6" w14:textId="77777777" w:rsidTr="002E1BE7">
        <w:trPr>
          <w:trHeight w:val="241"/>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5678EC65"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И-2</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7811BD8C"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26/8</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5BA1A269"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62E08E67"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r>
      <w:tr w:rsidR="00F26F01" w:rsidRPr="00C33834" w14:paraId="5F92566F" w14:textId="77777777" w:rsidTr="002E1BE7">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07697559"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И-2бис</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73C77DD8"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65/7</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4733AF3F"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33/19</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24D6CD65"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31/19</w:t>
            </w:r>
          </w:p>
        </w:tc>
      </w:tr>
      <w:tr w:rsidR="00F26F01" w:rsidRPr="00C33834" w14:paraId="72EC2DBC" w14:textId="77777777" w:rsidTr="002E1BE7">
        <w:trPr>
          <w:trHeight w:val="248"/>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0C0AC9C0"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ФД-Х1</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14EA9408"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52/36</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063DC31D"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44/10</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0A72D899"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26/17</w:t>
            </w:r>
          </w:p>
        </w:tc>
      </w:tr>
      <w:tr w:rsidR="00F26F01" w:rsidRPr="00C33834" w14:paraId="1060EE8D" w14:textId="77777777" w:rsidTr="002E1BE7">
        <w:trPr>
          <w:trHeight w:val="241"/>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69A3826D"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Д-УП</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40CF76A0"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10/1</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7206A898"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047ED292" w14:textId="77777777" w:rsidR="002E1BE7" w:rsidRPr="00C33834" w:rsidRDefault="002E1BE7" w:rsidP="00C33834">
            <w:pPr>
              <w:pStyle w:val="1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r>
      <w:tr w:rsidR="00F26F01" w:rsidRPr="00C33834" w14:paraId="5FF01CF2" w14:textId="77777777" w:rsidTr="002E1BE7">
        <w:trPr>
          <w:trHeight w:val="443"/>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71AC63F2"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Всего</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7D833B1D"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61/85 (647)</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2E7FBFA6"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552/84 (636)</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75E7FD5F"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597/122 (719)</w:t>
            </w:r>
          </w:p>
        </w:tc>
      </w:tr>
    </w:tbl>
    <w:p w14:paraId="19935E7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(12295).</w:t>
      </w:r>
    </w:p>
    <w:p w14:paraId="459A9F17" w14:textId="77777777" w:rsidR="002E1BE7" w:rsidRPr="00C33834" w:rsidRDefault="002E1BE7" w:rsidP="00C33834">
      <w:pPr>
        <w:spacing w:after="0" w:line="240" w:lineRule="auto"/>
        <w:jc w:val="both"/>
        <w:rPr>
          <w:rFonts w:ascii="Times New Roman" w:hAnsi="Times New Roman"/>
          <w:color w:val="000000" w:themeColor="text1"/>
          <w:sz w:val="16"/>
          <w:szCs w:val="16"/>
        </w:rPr>
      </w:pPr>
    </w:p>
    <w:p w14:paraId="57D61C3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состоянию на 1 января 1933 г. все летающие лодки ДВ значились в составе ВВС Черного моря, числились в 506-й смешанной авиабригаде (бывшая 9-я авиабригада), базировались в севастопольской бухте Голландия. 7 лодок (одна в ремонте) принадлежали 123-й тяжелобомбардировочной эскадрилье (бывшая 60-я эскадрилья), еще 6 лодок принадлежали 124-й тяжелобомбардировочной эскадрилье (бывшая 63-я эскадрилья). Чуть позднее все ДВ сосредоточили в 124-й авиаэскадрилье. Эксплуатация в военно-морской авиации продолжалась по 1937 г. включительно. В 1938 г. 8 наиболее сохранившихся Дорнье "Валь" передали в Полярную авиацию, где они продолжили свою успешную эксплуатацию (11961).</w:t>
      </w:r>
    </w:p>
    <w:p w14:paraId="4C05EC55"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1A485E1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января 1933 года в РККА состояло 97 152-мм гаубиц Виккерса (3861).</w:t>
      </w:r>
    </w:p>
    <w:p w14:paraId="654F1ADB"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26C636B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января 1933 г. в РККА состояло 34 305-мм гаубиц обр. 1915 г (3861).</w:t>
      </w:r>
    </w:p>
    <w:p w14:paraId="1D2E3804"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1127BF0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года в ВМФ состояло только 22 зенитных автомата Максима и Виккерса (3861).</w:t>
      </w:r>
    </w:p>
    <w:p w14:paraId="3CD76321"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2E02B3B1" w14:textId="77777777" w:rsidR="004B1089" w:rsidRPr="00C33834" w:rsidRDefault="004B108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января 1933 г. в армии имелось 1125 мотоциклов разных типов, причем исправных было только 27 % парка, 2,4 % были негодными и подлежали списанию, а остальные требовали ремонта. К этому времени в качестве основного армейского мотоцикла уже рассматривался тяжелый мотоцикл с коляской А-750, в качестве производственной базы для выпуска которого был выделен новостроящийся завод ИОМЗА (19776).</w:t>
      </w:r>
    </w:p>
    <w:p w14:paraId="38B46AD0" w14:textId="77777777" w:rsidR="004B1089" w:rsidRPr="00C33834" w:rsidRDefault="004B1089" w:rsidP="00C33834">
      <w:pPr>
        <w:spacing w:after="0" w:line="240" w:lineRule="auto"/>
        <w:jc w:val="both"/>
        <w:rPr>
          <w:rFonts w:ascii="Times New Roman" w:hAnsi="Times New Roman"/>
          <w:color w:val="000000" w:themeColor="text1"/>
          <w:sz w:val="16"/>
          <w:szCs w:val="16"/>
        </w:rPr>
      </w:pPr>
    </w:p>
    <w:p w14:paraId="7C727B69" w14:textId="77777777" w:rsidR="004539AF" w:rsidRPr="00C33834" w:rsidRDefault="004539AF" w:rsidP="00C33834">
      <w:pPr>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Жизнь и внутре</w:t>
      </w:r>
      <w:r w:rsidR="004B1089" w:rsidRPr="00C33834">
        <w:rPr>
          <w:rFonts w:ascii="Times New Roman" w:hAnsi="Times New Roman"/>
          <w:i/>
          <w:iCs/>
          <w:color w:val="000000" w:themeColor="text1"/>
          <w:sz w:val="16"/>
          <w:szCs w:val="16"/>
        </w:rPr>
        <w:t>н</w:t>
      </w:r>
      <w:r w:rsidRPr="00C33834">
        <w:rPr>
          <w:rFonts w:ascii="Times New Roman" w:hAnsi="Times New Roman"/>
          <w:i/>
          <w:iCs/>
          <w:color w:val="000000" w:themeColor="text1"/>
          <w:sz w:val="16"/>
          <w:szCs w:val="16"/>
        </w:rPr>
        <w:t>няя политика:</w:t>
      </w:r>
    </w:p>
    <w:p w14:paraId="4EF560C8" w14:textId="77777777" w:rsidR="004539AF" w:rsidRPr="00C33834" w:rsidRDefault="004539AF" w:rsidP="00C33834">
      <w:pPr>
        <w:spacing w:after="0" w:line="240" w:lineRule="auto"/>
        <w:jc w:val="both"/>
        <w:rPr>
          <w:rFonts w:ascii="Times New Roman" w:hAnsi="Times New Roman"/>
          <w:i/>
          <w:iCs/>
          <w:color w:val="000000" w:themeColor="text1"/>
          <w:sz w:val="16"/>
          <w:szCs w:val="16"/>
        </w:rPr>
      </w:pPr>
    </w:p>
    <w:p w14:paraId="368EB964" w14:textId="77777777" w:rsidR="004539AF" w:rsidRPr="00C33834" w:rsidRDefault="004539A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1933 закончен переход на 7-часовой рабочий день (12629).</w:t>
      </w:r>
    </w:p>
    <w:p w14:paraId="1C6AF7EA" w14:textId="77777777" w:rsidR="004539AF" w:rsidRPr="00C33834" w:rsidRDefault="004539AF" w:rsidP="00C33834">
      <w:pPr>
        <w:spacing w:after="0" w:line="240" w:lineRule="auto"/>
        <w:jc w:val="both"/>
        <w:rPr>
          <w:rFonts w:ascii="Times New Roman" w:hAnsi="Times New Roman"/>
          <w:iCs/>
          <w:color w:val="000000" w:themeColor="text1"/>
          <w:sz w:val="16"/>
          <w:szCs w:val="16"/>
        </w:rPr>
      </w:pPr>
    </w:p>
    <w:p w14:paraId="4EB58387" w14:textId="77777777" w:rsidR="00EB0B16" w:rsidRPr="00C33834" w:rsidRDefault="00EB0B16"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color w:val="000000" w:themeColor="text1"/>
          <w:sz w:val="16"/>
          <w:szCs w:val="16"/>
        </w:rPr>
        <w:t xml:space="preserve">С 1 января по 1 июля </w:t>
      </w:r>
      <w:r w:rsidRPr="00C33834">
        <w:rPr>
          <w:rStyle w:val="highlight"/>
          <w:rFonts w:ascii="Times New Roman" w:hAnsi="Times New Roman"/>
          <w:color w:val="000000" w:themeColor="text1"/>
          <w:sz w:val="16"/>
          <w:szCs w:val="16"/>
        </w:rPr>
        <w:t> 1933 </w:t>
      </w:r>
      <w:r w:rsidRPr="00C33834">
        <w:rPr>
          <w:rFonts w:ascii="Times New Roman" w:hAnsi="Times New Roman"/>
          <w:color w:val="000000" w:themeColor="text1"/>
          <w:sz w:val="16"/>
          <w:szCs w:val="16"/>
        </w:rPr>
        <w:t xml:space="preserve"> г. сократилась на 19% и не увеличивалась в последующие месяцы этого года. В каждом квартале </w:t>
      </w:r>
      <w:r w:rsidRPr="00C33834">
        <w:rPr>
          <w:rStyle w:val="highlight"/>
          <w:rFonts w:ascii="Times New Roman" w:hAnsi="Times New Roman"/>
          <w:color w:val="000000" w:themeColor="text1"/>
          <w:sz w:val="16"/>
          <w:szCs w:val="16"/>
        </w:rPr>
        <w:t> 1933 </w:t>
      </w:r>
      <w:r w:rsidRPr="00C33834">
        <w:rPr>
          <w:rFonts w:ascii="Times New Roman" w:hAnsi="Times New Roman"/>
          <w:color w:val="000000" w:themeColor="text1"/>
          <w:sz w:val="16"/>
          <w:szCs w:val="16"/>
        </w:rPr>
        <w:t xml:space="preserve"> г. экспорт превосходил импорт; дефицит в 135 млн руб. в 1932 г. уступил место активному сальдо в 148 млн руб. в </w:t>
      </w:r>
      <w:r w:rsidRPr="00C33834">
        <w:rPr>
          <w:rStyle w:val="highlight"/>
          <w:rFonts w:ascii="Times New Roman" w:hAnsi="Times New Roman"/>
          <w:color w:val="000000" w:themeColor="text1"/>
          <w:sz w:val="16"/>
          <w:szCs w:val="16"/>
        </w:rPr>
        <w:t> 1933 </w:t>
      </w:r>
      <w:r w:rsidRPr="00C33834">
        <w:rPr>
          <w:rFonts w:ascii="Times New Roman" w:hAnsi="Times New Roman"/>
          <w:color w:val="000000" w:themeColor="text1"/>
          <w:sz w:val="16"/>
          <w:szCs w:val="16"/>
        </w:rPr>
        <w:t xml:space="preserve"> г. (17281).</w:t>
      </w:r>
    </w:p>
    <w:p w14:paraId="2483C2BD" w14:textId="77777777" w:rsidR="00EB0B16" w:rsidRPr="00C33834" w:rsidRDefault="00EB0B16" w:rsidP="00C33834">
      <w:pPr>
        <w:spacing w:after="0" w:line="240" w:lineRule="auto"/>
        <w:jc w:val="both"/>
        <w:rPr>
          <w:rFonts w:ascii="Times New Roman" w:hAnsi="Times New Roman"/>
          <w:iCs/>
          <w:color w:val="000000" w:themeColor="text1"/>
          <w:sz w:val="16"/>
          <w:szCs w:val="16"/>
        </w:rPr>
      </w:pPr>
    </w:p>
    <w:p w14:paraId="6DD28754" w14:textId="77777777" w:rsidR="00095B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09E83F9" w14:textId="77777777" w:rsidR="00095B9C" w:rsidRPr="00C33834" w:rsidRDefault="00095B9C" w:rsidP="00C33834">
      <w:pPr>
        <w:spacing w:after="0" w:line="240" w:lineRule="auto"/>
        <w:jc w:val="both"/>
        <w:rPr>
          <w:rFonts w:ascii="Times New Roman" w:hAnsi="Times New Roman"/>
          <w:iCs/>
          <w:color w:val="000000" w:themeColor="text1"/>
          <w:sz w:val="16"/>
          <w:szCs w:val="16"/>
        </w:rPr>
      </w:pPr>
    </w:p>
    <w:p w14:paraId="1C39B503" w14:textId="77777777" w:rsidR="00095B9C" w:rsidRPr="00C33834" w:rsidRDefault="00095B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1933 Япония разорвала пакт о ненападении с СССР, подписанный в июле (4962).</w:t>
      </w:r>
    </w:p>
    <w:p w14:paraId="6CE1E77D" w14:textId="77777777" w:rsidR="00095B9C" w:rsidRPr="00C33834" w:rsidRDefault="00095B9C" w:rsidP="00C33834">
      <w:pPr>
        <w:tabs>
          <w:tab w:val="left" w:pos="11199"/>
        </w:tabs>
        <w:spacing w:after="0" w:line="240" w:lineRule="auto"/>
        <w:jc w:val="both"/>
        <w:rPr>
          <w:rFonts w:ascii="Times New Roman" w:hAnsi="Times New Roman"/>
          <w:color w:val="000000" w:themeColor="text1"/>
          <w:sz w:val="16"/>
          <w:szCs w:val="16"/>
        </w:rPr>
      </w:pPr>
    </w:p>
    <w:p w14:paraId="317A977A" w14:textId="77777777" w:rsidR="00095B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71200E8" w14:textId="77777777" w:rsidR="00095B9C" w:rsidRPr="00C33834" w:rsidRDefault="00095B9C" w:rsidP="00C33834">
      <w:pPr>
        <w:spacing w:after="0" w:line="240" w:lineRule="auto"/>
        <w:jc w:val="both"/>
        <w:rPr>
          <w:rFonts w:ascii="Times New Roman" w:hAnsi="Times New Roman"/>
          <w:iCs/>
          <w:color w:val="000000" w:themeColor="text1"/>
          <w:sz w:val="16"/>
          <w:szCs w:val="16"/>
        </w:rPr>
      </w:pPr>
    </w:p>
    <w:p w14:paraId="18B9991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января 1933 года директор завода № 24 Марьямов, секретарь Парткома Ламинадзе, председатель Завкома Буланов писали письмо № 4сс секретарю ЦК ВКП(б) Сталину, секретарю ЦК и МК ВКП(б) Кагановичу, предсовнаркому Молотову, в Наркомтяжпром Орджоникидзе, наркомвоенмору Ворошилову</w:t>
      </w:r>
    </w:p>
    <w:p w14:paraId="2333459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Справка-отчет о работе завода № 24 им. Фрунзе в 1932 году по выполнению правительственного задания</w:t>
      </w:r>
    </w:p>
    <w:p w14:paraId="0101DF8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Всесоюзному дню ударника коллектив завода № 24 пришел с серьезными успехами.</w:t>
      </w:r>
    </w:p>
    <w:p w14:paraId="3FE98C9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 доказывают следующие этапы работы завода за истекший год:</w:t>
      </w:r>
    </w:p>
    <w:p w14:paraId="7DC48148" w14:textId="77777777" w:rsidR="00095B9C" w:rsidRPr="00C33834" w:rsidRDefault="00095B9C" w:rsidP="00C33834">
      <w:pPr>
        <w:numPr>
          <w:ilvl w:val="0"/>
          <w:numId w:val="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февраля 1932 года завод получил все чертежи мотора М-34 от ЦИАМ.</w:t>
      </w:r>
    </w:p>
    <w:p w14:paraId="76A0A46F" w14:textId="77777777" w:rsidR="00095B9C" w:rsidRPr="00C33834" w:rsidRDefault="00095B9C" w:rsidP="00C33834">
      <w:pPr>
        <w:numPr>
          <w:ilvl w:val="0"/>
          <w:numId w:val="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марта 1932 года были запущены в производство все детали мотора.</w:t>
      </w:r>
    </w:p>
    <w:p w14:paraId="0BD12B24" w14:textId="77777777" w:rsidR="00095B9C" w:rsidRPr="00C33834" w:rsidRDefault="00095B9C" w:rsidP="00C33834">
      <w:pPr>
        <w:numPr>
          <w:ilvl w:val="0"/>
          <w:numId w:val="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апреля 1932 года были закончены производством первые два мотора и к 1 мая прошли заводские испытания.</w:t>
      </w:r>
    </w:p>
    <w:p w14:paraId="7270BE72" w14:textId="77777777" w:rsidR="00095B9C" w:rsidRPr="00C33834" w:rsidRDefault="00095B9C" w:rsidP="00C33834">
      <w:pPr>
        <w:numPr>
          <w:ilvl w:val="0"/>
          <w:numId w:val="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мая по ноябрь 1932 года (за 6 месяцев) завод закончил программу по моторам старого производства (сдал 525 мотора воздушного охлаждения и 25 моторов М-27 для ВМС) и полностью освоил в серийном производстве мотор М34.</w:t>
      </w:r>
    </w:p>
    <w:p w14:paraId="6A47085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Несмотря на колоссальные трудности, вызванные необходимостью организации новых групп и цехов, освоения в производстве сложных отливок, устранения серьезных производственных и конструктивных неполадок (всего было внесено в мотор 1400 изменений) – завод с успехом вышел из затруднений.</w:t>
      </w:r>
    </w:p>
    <w:p w14:paraId="42188F7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Резкий перерыв в налаженном производстве старых типов моторов и перевод всего завода на ходу, без необходимой подготовки на производство нового мотора, неизбежно вызвали ломку всего производственного процесса. Но уже в IV квартале, одолев основные технические трудности, завод благодаря напряженным усилиям всех рабочих, ИТР, партийных и профсоюзных организаций добился настоящего производственного подъема и наладил серийный выпуск моторов.</w:t>
      </w:r>
    </w:p>
    <w:p w14:paraId="434453C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завод сдал 50 моторов, полностью выполнил программу по всем цехам и выходит на январь 1933 года с мощностью всех без исключения производственных групп комплектно на 80 моторов в месяц.</w:t>
      </w:r>
    </w:p>
    <w:p w14:paraId="2F4E855C" w14:textId="77777777" w:rsidR="00095B9C" w:rsidRPr="00C33834" w:rsidRDefault="00095B9C" w:rsidP="00C33834">
      <w:pPr>
        <w:numPr>
          <w:ilvl w:val="0"/>
          <w:numId w:val="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мотор, собранный заводом (№ 2001) был поставлен в июле на самолет Р-5. На сегодняшний день мотор наработал всего 90 часов и по заключению ЦАГИ:</w:t>
      </w:r>
    </w:p>
    <w:p w14:paraId="725ED74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сравнения результатов испытания с данными Р5М17 имеются следующие преимущества М-34 перед М-17:</w:t>
      </w:r>
    </w:p>
    <w:p w14:paraId="3B751210" w14:textId="77777777" w:rsidR="00095B9C" w:rsidRPr="00C33834" w:rsidRDefault="00095B9C" w:rsidP="00C33834">
      <w:pPr>
        <w:numPr>
          <w:ilvl w:val="0"/>
          <w:numId w:val="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 скорость у земли на 28.35 км/час выше.</w:t>
      </w:r>
    </w:p>
    <w:p w14:paraId="1542B8DF" w14:textId="77777777" w:rsidR="00095B9C" w:rsidRPr="00C33834" w:rsidRDefault="00095B9C" w:rsidP="00C33834">
      <w:pPr>
        <w:numPr>
          <w:ilvl w:val="0"/>
          <w:numId w:val="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Нормальная скорость у земли на 18 км/час выше.</w:t>
      </w:r>
    </w:p>
    <w:p w14:paraId="3BBAFA4F" w14:textId="77777777" w:rsidR="00095B9C" w:rsidRPr="00C33834" w:rsidRDefault="00095B9C" w:rsidP="00C33834">
      <w:pPr>
        <w:numPr>
          <w:ilvl w:val="0"/>
          <w:numId w:val="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3000 м на 6, 15 мин. выше.</w:t>
      </w:r>
    </w:p>
    <w:p w14:paraId="0F21847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Данные скоростей и скороподъемности при уменьшении радиаторов и понижением этим веса и рациональным подбором взлетных скоростей могут быть улучшены.</w:t>
      </w:r>
    </w:p>
    <w:p w14:paraId="13E4767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Оценка работы мотора.</w:t>
      </w:r>
    </w:p>
    <w:p w14:paraId="3EA0AE6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мотора во время всего испытания вполне удовлетворительна.»</w:t>
      </w:r>
    </w:p>
    <w:p w14:paraId="354EBD91" w14:textId="77777777" w:rsidR="00095B9C" w:rsidRPr="00C33834" w:rsidRDefault="00095B9C" w:rsidP="00C33834">
      <w:pPr>
        <w:numPr>
          <w:ilvl w:val="0"/>
          <w:numId w:val="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Головная серия мотора М-34 принята ВВФ на эксплуатацию, сроком службы между переборками в 100 часов.</w:t>
      </w:r>
    </w:p>
    <w:p w14:paraId="28CB46F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 установлены на 5-ти типах самолетов и в январе начнутся их летные испытания.</w:t>
      </w:r>
    </w:p>
    <w:p w14:paraId="196DF255" w14:textId="77777777" w:rsidR="00095B9C" w:rsidRPr="00C33834" w:rsidRDefault="00095B9C" w:rsidP="00C33834">
      <w:pPr>
        <w:numPr>
          <w:ilvl w:val="0"/>
          <w:numId w:val="1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Один из нормальных серийных моторов № 2040, по выбору Военной приемки, был поставлен на 50-ти часовое испытание на полном газу.</w:t>
      </w:r>
    </w:p>
    <w:p w14:paraId="29F66BB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заключению НИИ ВВС:</w:t>
      </w:r>
    </w:p>
    <w:p w14:paraId="6D9008B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«Такое испытание в практике советского моторостроения было проведено впервые. Из практики европейского авиамоторостроения известен лишь случай 10-ти часов работы на максимальной мощности мотора АССО-750. Для советских и заграничных моторов рекомендуется пользоваться полным газом не свыше 5 минут подряд.</w:t>
      </w:r>
    </w:p>
    <w:p w14:paraId="49ABA3F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прошел тяжелое, по условиям работы (на средней мощности 834 л.с.) испытание удовлетворительно, с сохранением полной мощности в начале и конце каждого этапа.</w:t>
      </w:r>
    </w:p>
    <w:p w14:paraId="58BDC67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Состояние деталей и износы, полученные за время испытания, дают основание рассчитывать на достижение надежной работы на самолете в течении 200 часов между переборками, путем дальнейшей работы по совершенствованию мотора в серийном производстве и повышения номинальной мощности мотора до 800-850 л.с. с соответствующим повышением максимальной мощности мотора.»</w:t>
      </w:r>
    </w:p>
    <w:p w14:paraId="0374BD79" w14:textId="77777777" w:rsidR="00095B9C" w:rsidRPr="00C33834" w:rsidRDefault="00095B9C" w:rsidP="00C33834">
      <w:pPr>
        <w:numPr>
          <w:ilvl w:val="0"/>
          <w:numId w:val="1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Оценка основных данных мотора М-34 по сравнению с другими советскими и иностранными моторами этого же класса дана в приложенном заключении НИИ ВВС.</w:t>
      </w:r>
    </w:p>
    <w:p w14:paraId="30957B7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основании изложенного можно сделать вывод, что хотя заводом полностью не выполнено количественное задание Правительства, нами совместно с ЦИАМ по решающему вопросу одержана крупнейшая победа, которой может по праву гордиться наша авиация, а именно:</w:t>
      </w:r>
    </w:p>
    <w:p w14:paraId="71AD3F2B" w14:textId="77777777" w:rsidR="00095B9C" w:rsidRPr="00C33834" w:rsidRDefault="00095B9C" w:rsidP="00C33834">
      <w:pPr>
        <w:numPr>
          <w:ilvl w:val="0"/>
          <w:numId w:val="1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 мощный советский мотор высоких качеств, который может стать в ряд с лучшими моторами самых передовых иностранных фирм.</w:t>
      </w:r>
    </w:p>
    <w:p w14:paraId="1E5D3967" w14:textId="77777777" w:rsidR="00095B9C" w:rsidRPr="00C33834" w:rsidRDefault="00095B9C" w:rsidP="00C33834">
      <w:pPr>
        <w:numPr>
          <w:ilvl w:val="0"/>
          <w:numId w:val="1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беспримерно рекордный срок выпущены первые моторы.</w:t>
      </w:r>
    </w:p>
    <w:p w14:paraId="796FE3BB" w14:textId="77777777" w:rsidR="00095B9C" w:rsidRPr="00C33834" w:rsidRDefault="00095B9C" w:rsidP="00C33834">
      <w:pPr>
        <w:numPr>
          <w:ilvl w:val="0"/>
          <w:numId w:val="1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рекордный срок мотор внедрен в серийное производство.</w:t>
      </w:r>
    </w:p>
    <w:p w14:paraId="5480696E" w14:textId="77777777" w:rsidR="00095B9C" w:rsidRPr="00C33834" w:rsidRDefault="00095B9C" w:rsidP="00C33834">
      <w:pPr>
        <w:numPr>
          <w:ilvl w:val="0"/>
          <w:numId w:val="1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Результаты последних испытаний мотора дают уверенность рассчитывать на дальнейшее повышение качеств мотора и полное выполнение программы завода в 1933 году и безусловное обеспечение поставленной нам задачи - достигнуть в 1933 году мирового рекорда самолета с мотором М-34 на дальний беспосадочный полет через океан на расстояние 10000 км (3530,52-55).</w:t>
      </w:r>
    </w:p>
    <w:p w14:paraId="5D597B66" w14:textId="77777777" w:rsidR="00095B9C" w:rsidRPr="00C33834" w:rsidRDefault="00095B9C" w:rsidP="00C33834">
      <w:pPr>
        <w:tabs>
          <w:tab w:val="left" w:pos="360"/>
        </w:tabs>
        <w:spacing w:after="0" w:line="240" w:lineRule="auto"/>
        <w:jc w:val="both"/>
        <w:rPr>
          <w:rFonts w:ascii="Times New Roman" w:hAnsi="Times New Roman"/>
          <w:color w:val="000000" w:themeColor="text1"/>
          <w:sz w:val="16"/>
          <w:szCs w:val="16"/>
        </w:rPr>
      </w:pPr>
    </w:p>
    <w:p w14:paraId="1BC3A802" w14:textId="77777777" w:rsidR="00EB57C4" w:rsidRPr="00C33834" w:rsidRDefault="00EB57C4"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C1116E4" w14:textId="77777777" w:rsidR="00EB57C4" w:rsidRPr="00C33834" w:rsidRDefault="00EB57C4" w:rsidP="00C33834">
      <w:pPr>
        <w:spacing w:after="0" w:line="240" w:lineRule="auto"/>
        <w:jc w:val="both"/>
        <w:rPr>
          <w:rFonts w:ascii="Times New Roman" w:hAnsi="Times New Roman"/>
          <w:iCs/>
          <w:color w:val="000000" w:themeColor="text1"/>
          <w:sz w:val="16"/>
          <w:szCs w:val="16"/>
        </w:rPr>
      </w:pPr>
    </w:p>
    <w:p w14:paraId="32D39D5A" w14:textId="77777777" w:rsidR="00EB57C4" w:rsidRPr="00C33834" w:rsidRDefault="00EB57C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2 января 1933 опросом членов ПБ</w:t>
      </w:r>
    </w:p>
    <w:p w14:paraId="7B484C93" w14:textId="22F77446" w:rsidR="00EB57C4" w:rsidRPr="00C33834" w:rsidRDefault="00EB57C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55/35.- О предложениях Фирмы "Сперри". (ПБ от 1.ХП.32 г., пр. № 124. П.1).</w:t>
      </w:r>
    </w:p>
    <w:p w14:paraId="1FAE9D2A" w14:textId="77777777" w:rsidR="00EB57C4" w:rsidRPr="00C33834" w:rsidRDefault="00EB57C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Во изменение постановления ПБ от 1.ХП.32г. удовлетворить просьбу т.Баранова об освобождении от поездки в САСШ т. Ильюшина и командировании вместо него т. Енгибариан А.А.</w:t>
      </w:r>
    </w:p>
    <w:p w14:paraId="08D00E2E" w14:textId="77777777" w:rsidR="00EB57C4" w:rsidRPr="00C33834" w:rsidRDefault="00EB57C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т.т.Ворошилову, Орджоникидзе, Баранову, Халепскому, Артузову</w:t>
      </w:r>
    </w:p>
    <w:p w14:paraId="30BCBDD9" w14:textId="77777777" w:rsidR="00EB57C4" w:rsidRPr="00C33834" w:rsidRDefault="00EB57C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16 января 1933 состоялось заседание ПБ и был оформлен протокол № 128 (22978).</w:t>
      </w:r>
    </w:p>
    <w:p w14:paraId="53CBFE14" w14:textId="77777777" w:rsidR="00EB57C4" w:rsidRPr="00C33834" w:rsidRDefault="00EB57C4" w:rsidP="00C33834">
      <w:pPr>
        <w:spacing w:after="0" w:line="240" w:lineRule="auto"/>
        <w:jc w:val="both"/>
        <w:rPr>
          <w:rFonts w:ascii="Times New Roman" w:hAnsi="Times New Roman"/>
          <w:color w:val="0070C0"/>
          <w:sz w:val="16"/>
          <w:szCs w:val="16"/>
        </w:rPr>
      </w:pPr>
    </w:p>
    <w:p w14:paraId="4CDFDB1C" w14:textId="77777777" w:rsidR="00FD3DB6" w:rsidRPr="00C33834" w:rsidRDefault="00FD3DB6"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42E59FF5" w14:textId="77777777" w:rsidR="00FD3DB6" w:rsidRPr="00C33834" w:rsidRDefault="00FD3DB6" w:rsidP="00C33834">
      <w:pPr>
        <w:spacing w:after="0" w:line="240" w:lineRule="auto"/>
        <w:jc w:val="both"/>
        <w:rPr>
          <w:rFonts w:ascii="Times New Roman" w:hAnsi="Times New Roman"/>
          <w:iCs/>
          <w:color w:val="000000" w:themeColor="text1"/>
          <w:sz w:val="16"/>
          <w:szCs w:val="16"/>
        </w:rPr>
      </w:pPr>
    </w:p>
    <w:p w14:paraId="7E364B39" w14:textId="77777777" w:rsidR="00FD3DB6" w:rsidRPr="00C33834" w:rsidRDefault="00FD3DB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января 1933. Рабочие с ломами и киркой начали разбор знаменитых Ильинских ворот Китай-города под предлогом, что они "мешают уличному движению, создают хвосты автомашин, подвергают опасности пешеходов". Ильинские ворота были сооружены в 1540 году, верхнюю часть с зеленой облицовкой надстроили в 1685 году (18722).</w:t>
      </w:r>
    </w:p>
    <w:p w14:paraId="03F0C604" w14:textId="77777777" w:rsidR="00FD3DB6" w:rsidRPr="00C33834" w:rsidRDefault="00FD3DB6" w:rsidP="00C33834">
      <w:pPr>
        <w:spacing w:after="0" w:line="240" w:lineRule="auto"/>
        <w:jc w:val="both"/>
        <w:rPr>
          <w:rFonts w:ascii="Times New Roman" w:hAnsi="Times New Roman"/>
          <w:color w:val="000000" w:themeColor="text1"/>
          <w:sz w:val="16"/>
          <w:szCs w:val="16"/>
        </w:rPr>
      </w:pPr>
    </w:p>
    <w:p w14:paraId="46E9481E" w14:textId="77777777" w:rsidR="00095B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7E80775E" w14:textId="77777777" w:rsidR="00095B9C" w:rsidRPr="00C33834" w:rsidRDefault="00095B9C" w:rsidP="00C33834">
      <w:pPr>
        <w:spacing w:after="0" w:line="240" w:lineRule="auto"/>
        <w:jc w:val="both"/>
        <w:rPr>
          <w:rFonts w:ascii="Times New Roman" w:hAnsi="Times New Roman"/>
          <w:iCs/>
          <w:color w:val="000000" w:themeColor="text1"/>
          <w:sz w:val="16"/>
          <w:szCs w:val="16"/>
        </w:rPr>
      </w:pPr>
    </w:p>
    <w:p w14:paraId="757F21F7" w14:textId="77777777" w:rsidR="00EB57C4" w:rsidRPr="00C33834" w:rsidRDefault="00EB57C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января 1933 после внесения изменений, HMS Мужественный залез службу с Королевскими ВМС как первого в мире авианосца оснащен гидравлическим управляемым аэрофинишер (20802).</w:t>
      </w:r>
    </w:p>
    <w:p w14:paraId="29470069" w14:textId="77777777" w:rsidR="00EB57C4" w:rsidRPr="00C33834" w:rsidRDefault="00EB57C4" w:rsidP="00C33834">
      <w:pPr>
        <w:spacing w:after="0" w:line="240" w:lineRule="auto"/>
        <w:jc w:val="both"/>
        <w:rPr>
          <w:rFonts w:ascii="Times New Roman" w:hAnsi="Times New Roman"/>
          <w:color w:val="0070C0"/>
          <w:sz w:val="16"/>
          <w:szCs w:val="16"/>
        </w:rPr>
      </w:pPr>
    </w:p>
    <w:p w14:paraId="23E78367" w14:textId="77777777" w:rsidR="00EB57C4" w:rsidRPr="00C33834" w:rsidRDefault="00EB57C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2-3 января 1933 во время битвы при Shanhai эскадра бомбардировщиков японской императорской армии обеспечивает непосредственную авиационную поддержку японской Квантунской армии сухопутных войск в действиях против националистической китайской Национально - революционной армии на перевале в укрепленной восточной части Великой Китайской стены (20802).</w:t>
      </w:r>
    </w:p>
    <w:p w14:paraId="03A8D64C" w14:textId="77777777" w:rsidR="00EB57C4" w:rsidRPr="00C33834" w:rsidRDefault="00EB57C4" w:rsidP="00C33834">
      <w:pPr>
        <w:spacing w:after="0" w:line="240" w:lineRule="auto"/>
        <w:jc w:val="both"/>
        <w:rPr>
          <w:rFonts w:ascii="Times New Roman" w:hAnsi="Times New Roman"/>
          <w:color w:val="0070C0"/>
          <w:sz w:val="16"/>
          <w:szCs w:val="16"/>
        </w:rPr>
      </w:pPr>
    </w:p>
    <w:p w14:paraId="2170548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января 1933 в Испании в Барселоне было восстание анархистов и синдикалистов (3907,179).</w:t>
      </w:r>
    </w:p>
    <w:p w14:paraId="6D667602"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0ECA1DD2" w14:textId="77777777" w:rsidR="00095B9C" w:rsidRPr="00C33834" w:rsidRDefault="00095B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января 1933 последние американские войска покинули Никарагуа (4962).</w:t>
      </w:r>
    </w:p>
    <w:p w14:paraId="7AE6B4C3" w14:textId="77777777" w:rsidR="00095B9C" w:rsidRPr="00C33834" w:rsidRDefault="00095B9C" w:rsidP="00C33834">
      <w:pPr>
        <w:tabs>
          <w:tab w:val="left" w:pos="11199"/>
        </w:tabs>
        <w:spacing w:after="0" w:line="240" w:lineRule="auto"/>
        <w:jc w:val="both"/>
        <w:rPr>
          <w:rFonts w:ascii="Times New Roman" w:hAnsi="Times New Roman"/>
          <w:color w:val="000000" w:themeColor="text1"/>
          <w:sz w:val="16"/>
          <w:szCs w:val="16"/>
        </w:rPr>
      </w:pPr>
    </w:p>
    <w:p w14:paraId="7FB194DF" w14:textId="77777777" w:rsidR="00095B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AA92EEA" w14:textId="77777777" w:rsidR="00095B9C" w:rsidRPr="00C33834" w:rsidRDefault="00095B9C" w:rsidP="00C33834">
      <w:pPr>
        <w:spacing w:after="0" w:line="240" w:lineRule="auto"/>
        <w:jc w:val="both"/>
        <w:rPr>
          <w:rFonts w:ascii="Times New Roman" w:hAnsi="Times New Roman"/>
          <w:iCs/>
          <w:color w:val="000000" w:themeColor="text1"/>
          <w:sz w:val="16"/>
          <w:szCs w:val="16"/>
        </w:rPr>
      </w:pPr>
    </w:p>
    <w:p w14:paraId="2779A33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января 1933 в ЦАГИ из УВВС поступили окончательные требования к АНТ-31 (И-14), когда все рабочие чертежи были уже готовы. Заложили скорость 375-400 км/час и все еще надеясь на получение М-38 или М-58 хотели с ними (4020,10).</w:t>
      </w:r>
    </w:p>
    <w:p w14:paraId="0078725F"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27C848C1" w14:textId="77777777" w:rsidR="00460F2B" w:rsidRPr="00C33834" w:rsidRDefault="00460F2B" w:rsidP="00C33834">
      <w:pPr>
        <w:tabs>
          <w:tab w:val="left" w:pos="5121"/>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января 1933 г. в ЦАГИ поступили «Технические требования к одноместному пушеч</w:t>
      </w:r>
      <w:r w:rsidRPr="00C33834">
        <w:rPr>
          <w:rFonts w:ascii="Times New Roman" w:hAnsi="Times New Roman"/>
          <w:color w:val="000000" w:themeColor="text1"/>
          <w:sz w:val="16"/>
          <w:szCs w:val="16"/>
        </w:rPr>
        <w:softHyphen/>
        <w:t>ному истребителю И-14 под мотор М-38 600 л.с. или М-58». В примечании отмеча</w:t>
      </w:r>
      <w:r w:rsidRPr="00C33834">
        <w:rPr>
          <w:rFonts w:ascii="Times New Roman" w:hAnsi="Times New Roman"/>
          <w:color w:val="000000" w:themeColor="text1"/>
          <w:sz w:val="16"/>
          <w:szCs w:val="16"/>
        </w:rPr>
        <w:softHyphen/>
        <w:t xml:space="preserve">лось, что на опытном экземпляре допускается установка мотора Бристоль-Меркур </w:t>
      </w:r>
      <w:r w:rsidRPr="00C33834">
        <w:rPr>
          <w:rFonts w:ascii="Times New Roman" w:hAnsi="Times New Roman"/>
          <w:color w:val="000000" w:themeColor="text1"/>
          <w:sz w:val="16"/>
          <w:szCs w:val="16"/>
          <w:lang w:val="en-US"/>
        </w:rPr>
        <w:t>IV</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S</w:t>
      </w:r>
      <w:r w:rsidRPr="00C33834">
        <w:rPr>
          <w:rFonts w:ascii="Times New Roman" w:hAnsi="Times New Roman"/>
          <w:color w:val="000000" w:themeColor="text1"/>
          <w:sz w:val="16"/>
          <w:szCs w:val="16"/>
        </w:rPr>
        <w:t>2. Согласно ТТ самолёт с нормальной полезной нагрузкой 248 кг (перегрузочный вариант — 520 кг) и запасом ГСМ, обеспечивая тактический радиус действия 250 км на боевой высоте 5000 м должен был обладать следующими лётными данными:</w:t>
      </w:r>
    </w:p>
    <w:p w14:paraId="499BEE54" w14:textId="77777777" w:rsidR="00460F2B" w:rsidRPr="00C33834" w:rsidRDefault="00460F2B" w:rsidP="00C33834">
      <w:pPr>
        <w:tabs>
          <w:tab w:val="left" w:pos="5121"/>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 горизонтальная скорость</w:t>
      </w:r>
      <w:r w:rsidRPr="00C33834">
        <w:rPr>
          <w:rFonts w:ascii="Times New Roman" w:hAnsi="Times New Roman"/>
          <w:color w:val="000000" w:themeColor="text1"/>
          <w:sz w:val="16"/>
          <w:szCs w:val="16"/>
        </w:rPr>
        <w:tab/>
        <w:t>— 375-400 км/ч</w:t>
      </w:r>
    </w:p>
    <w:p w14:paraId="7E12E62A" w14:textId="77777777" w:rsidR="00460F2B" w:rsidRPr="00C33834" w:rsidRDefault="00460F2B" w:rsidP="00C33834">
      <w:pPr>
        <w:tabs>
          <w:tab w:val="left" w:pos="4934"/>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подъёма на Н=5000 м</w:t>
      </w:r>
      <w:r w:rsidRPr="00C33834">
        <w:rPr>
          <w:rFonts w:ascii="Times New Roman" w:hAnsi="Times New Roman"/>
          <w:color w:val="000000" w:themeColor="text1"/>
          <w:sz w:val="16"/>
          <w:szCs w:val="16"/>
        </w:rPr>
        <w:tab/>
        <w:t>— 7-8 мин</w:t>
      </w:r>
    </w:p>
    <w:p w14:paraId="3614D318" w14:textId="77777777" w:rsidR="00460F2B" w:rsidRPr="00C33834" w:rsidRDefault="00460F2B" w:rsidP="00C33834">
      <w:pPr>
        <w:tabs>
          <w:tab w:val="left" w:pos="4934"/>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Практический потолок</w:t>
      </w:r>
      <w:r w:rsidRPr="00C33834">
        <w:rPr>
          <w:rFonts w:ascii="Times New Roman" w:hAnsi="Times New Roman"/>
          <w:color w:val="000000" w:themeColor="text1"/>
          <w:sz w:val="16"/>
          <w:szCs w:val="16"/>
        </w:rPr>
        <w:tab/>
        <w:t>— 9000-10000 м</w:t>
      </w:r>
    </w:p>
    <w:p w14:paraId="57F300AE" w14:textId="77777777" w:rsidR="00460F2B" w:rsidRPr="00C33834" w:rsidRDefault="00460F2B" w:rsidP="00C33834">
      <w:pPr>
        <w:tabs>
          <w:tab w:val="left" w:pos="4934"/>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Посадочная скорость</w:t>
      </w:r>
      <w:r w:rsidRPr="00C33834">
        <w:rPr>
          <w:rFonts w:ascii="Times New Roman" w:hAnsi="Times New Roman"/>
          <w:color w:val="000000" w:themeColor="text1"/>
          <w:sz w:val="16"/>
          <w:szCs w:val="16"/>
        </w:rPr>
        <w:tab/>
        <w:t>— 90-103 км/ч</w:t>
      </w:r>
    </w:p>
    <w:p w14:paraId="206DFF8F" w14:textId="77777777" w:rsidR="00460F2B" w:rsidRPr="00C33834" w:rsidRDefault="00460F2B" w:rsidP="00C33834">
      <w:pPr>
        <w:tabs>
          <w:tab w:val="left" w:pos="4948"/>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разбега в безветрие, не более</w:t>
      </w:r>
      <w:r w:rsidRPr="00C33834">
        <w:rPr>
          <w:rFonts w:ascii="Times New Roman" w:hAnsi="Times New Roman"/>
          <w:color w:val="000000" w:themeColor="text1"/>
          <w:sz w:val="16"/>
          <w:szCs w:val="16"/>
        </w:rPr>
        <w:tab/>
        <w:t>— 40 м</w:t>
      </w:r>
    </w:p>
    <w:p w14:paraId="36F1DD74" w14:textId="77777777" w:rsidR="00460F2B" w:rsidRPr="00C33834" w:rsidRDefault="00460F2B" w:rsidP="00C33834">
      <w:pPr>
        <w:tabs>
          <w:tab w:val="left" w:pos="4953"/>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пробега в безветрие, не более</w:t>
      </w:r>
      <w:r w:rsidRPr="00C33834">
        <w:rPr>
          <w:rFonts w:ascii="Times New Roman" w:hAnsi="Times New Roman"/>
          <w:color w:val="000000" w:themeColor="text1"/>
          <w:sz w:val="16"/>
          <w:szCs w:val="16"/>
        </w:rPr>
        <w:tab/>
        <w:t>— 80 м</w:t>
      </w:r>
    </w:p>
    <w:p w14:paraId="77C97012" w14:textId="77777777" w:rsidR="00460F2B" w:rsidRPr="00C33834" w:rsidRDefault="00460F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Последовательность требований: — Скорость; — Скороподъёмность и маневренность</w:t>
      </w:r>
    </w:p>
    <w:p w14:paraId="05DD66F1" w14:textId="77777777" w:rsidR="00460F2B" w:rsidRPr="00C33834" w:rsidRDefault="00460F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 Две пушки АПК-11 (калибр — 37 мм)</w:t>
      </w:r>
    </w:p>
    <w:p w14:paraId="19C2DD88" w14:textId="77777777" w:rsidR="00460F2B" w:rsidRPr="00C33834" w:rsidRDefault="00460F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Боекомплект — 50 унитарных патронов</w:t>
      </w:r>
    </w:p>
    <w:p w14:paraId="63B963CD" w14:textId="77777777" w:rsidR="00460F2B" w:rsidRPr="00C33834" w:rsidRDefault="00460F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Учитывая то, что техтребования поступили со значительным опозданием, когда чер</w:t>
      </w:r>
      <w:r w:rsidRPr="00C33834">
        <w:rPr>
          <w:rFonts w:ascii="Times New Roman" w:hAnsi="Times New Roman"/>
          <w:color w:val="000000" w:themeColor="text1"/>
          <w:sz w:val="16"/>
          <w:szCs w:val="16"/>
        </w:rPr>
        <w:softHyphen/>
        <w:t>тежи уже находились в опытном производстве, реализовать заложенные в ТТ макс, ско</w:t>
      </w:r>
      <w:r w:rsidRPr="00C33834">
        <w:rPr>
          <w:rFonts w:ascii="Times New Roman" w:hAnsi="Times New Roman"/>
          <w:color w:val="000000" w:themeColor="text1"/>
          <w:sz w:val="16"/>
          <w:szCs w:val="16"/>
        </w:rPr>
        <w:softHyphen/>
        <w:t>рости было практически невозможно, к тому же отсутствовали моторы М-38 (М-58) (15823).</w:t>
      </w:r>
    </w:p>
    <w:p w14:paraId="5A368E8E" w14:textId="77777777" w:rsidR="00460F2B" w:rsidRPr="00C33834" w:rsidRDefault="00460F2B" w:rsidP="00C33834">
      <w:pPr>
        <w:spacing w:after="0" w:line="240" w:lineRule="auto"/>
        <w:jc w:val="both"/>
        <w:rPr>
          <w:rFonts w:ascii="Times New Roman" w:hAnsi="Times New Roman"/>
          <w:color w:val="000000" w:themeColor="text1"/>
          <w:sz w:val="16"/>
          <w:szCs w:val="16"/>
        </w:rPr>
      </w:pPr>
    </w:p>
    <w:p w14:paraId="7A07CAAE" w14:textId="77777777" w:rsidR="00820904" w:rsidRPr="00C33834" w:rsidRDefault="00820904"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4 января 1933 года в ЦАГИ поступили «Технические требования к одноместному пушечному истребителю И-14 под мотор М-38 600 л.с. или М-58». В примечании отмечалось, что на опытном экземпляре допускается установка мотора Бристоль-Меркур IV-S2. Согласно ТТ самолет с нормальной полезной нагрузкой 248 кг (перегрузочный вариант- 520 кг) и запасом ГСМ, обеспечивая тактический радиус действия 250 км на боевой высоте 5000 м должен был обладать следующими летными данными:</w:t>
      </w:r>
    </w:p>
    <w:p w14:paraId="17F76109" w14:textId="77777777" w:rsidR="00820904" w:rsidRPr="00C33834" w:rsidRDefault="00820904"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 Максимальная горизонтальная скорость – 375-400 км/ч</w:t>
      </w:r>
    </w:p>
    <w:p w14:paraId="0852586F" w14:textId="77777777" w:rsidR="00820904" w:rsidRPr="00C33834" w:rsidRDefault="00820904"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 Время подъема на Н=5000 м – 7-8 мин</w:t>
      </w:r>
    </w:p>
    <w:p w14:paraId="5A175CB6" w14:textId="77777777" w:rsidR="00820904" w:rsidRPr="00C33834" w:rsidRDefault="00820904"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 Практический потолок – 9000-10000 м</w:t>
      </w:r>
    </w:p>
    <w:p w14:paraId="4D4C8968" w14:textId="77777777" w:rsidR="00820904" w:rsidRPr="00C33834" w:rsidRDefault="00820904"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 Посадочная скорость – 90-103 км/ч</w:t>
      </w:r>
    </w:p>
    <w:p w14:paraId="0C404C14" w14:textId="77777777" w:rsidR="00820904" w:rsidRPr="00C33834" w:rsidRDefault="00820904"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 Длина разбега в безветрие, не более – 40 м</w:t>
      </w:r>
    </w:p>
    <w:p w14:paraId="19B340F5" w14:textId="77777777" w:rsidR="00820904" w:rsidRPr="00C33834" w:rsidRDefault="00820904"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 Длина пробега в безветрие, не более – 80 м</w:t>
      </w:r>
    </w:p>
    <w:p w14:paraId="0CCFB87F" w14:textId="77777777" w:rsidR="00820904" w:rsidRPr="00C33834" w:rsidRDefault="00820904"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Последовательность требований:</w:t>
      </w:r>
    </w:p>
    <w:p w14:paraId="17E58A2D" w14:textId="77777777" w:rsidR="00820904" w:rsidRPr="00C33834" w:rsidRDefault="00820904"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 Скорость</w:t>
      </w:r>
    </w:p>
    <w:p w14:paraId="5BF29000" w14:textId="77777777" w:rsidR="00820904" w:rsidRPr="00C33834" w:rsidRDefault="00820904"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 Скороподъемность и маневренность</w:t>
      </w:r>
    </w:p>
    <w:p w14:paraId="038B3DEC" w14:textId="77777777" w:rsidR="00820904" w:rsidRPr="00C33834" w:rsidRDefault="00820904"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Вооружение:</w:t>
      </w:r>
    </w:p>
    <w:p w14:paraId="0FD34C1F" w14:textId="77777777" w:rsidR="00820904" w:rsidRPr="00C33834" w:rsidRDefault="00820904"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 2 пушки АПК-11 (калибр – 37 мм)</w:t>
      </w:r>
    </w:p>
    <w:p w14:paraId="381BFC62" w14:textId="77777777" w:rsidR="00820904" w:rsidRPr="00C33834" w:rsidRDefault="00820904"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 Боекомплект – 50 унитарных патронов</w:t>
      </w:r>
    </w:p>
    <w:p w14:paraId="24ADFB25" w14:textId="77777777" w:rsidR="00820904" w:rsidRPr="00C33834" w:rsidRDefault="00820904"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Учитывая то, что технические требования поступили со значительным опозданием, когда чертежи уже находились в опытном производстве, реализовать заложенные в ТТ максимальные скорости было практически невозможно. К тому же отсутствовали моторы М-38 (М-58) (19177).</w:t>
      </w:r>
    </w:p>
    <w:p w14:paraId="41886F1E" w14:textId="77777777" w:rsidR="00820904" w:rsidRPr="00C33834" w:rsidRDefault="00820904" w:rsidP="00C33834">
      <w:pPr>
        <w:pStyle w:val="ae"/>
        <w:shd w:val="clear" w:color="auto" w:fill="FFFFFF"/>
        <w:spacing w:before="0" w:after="0"/>
        <w:jc w:val="both"/>
        <w:textAlignment w:val="baseline"/>
        <w:rPr>
          <w:color w:val="000000" w:themeColor="text1"/>
          <w:sz w:val="16"/>
          <w:szCs w:val="16"/>
        </w:rPr>
      </w:pPr>
    </w:p>
    <w:p w14:paraId="2A1B9FF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4-го января 1933 года были получены Технические требования на машину ДИП-2М34 - двухмоторного истребителя пушечного, вооруженного одной пушкой большого калибра (100 мм), дальность полета 600 км, тоже с перегрузкой – 1000 км. Скорость 325 км/час (3530,70-86).</w:t>
      </w:r>
    </w:p>
    <w:p w14:paraId="00D4F7A4"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052CFC70" w14:textId="77777777" w:rsidR="00460F2B" w:rsidRPr="00C33834" w:rsidRDefault="00460F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января 1933 г. ЦАГИ получил ТТТ на двухместный истребитель пушечный ДИП 2М-34 (15823)</w:t>
      </w:r>
    </w:p>
    <w:p w14:paraId="29DD0E76" w14:textId="77777777" w:rsidR="00460F2B" w:rsidRPr="00C33834" w:rsidRDefault="00460F2B" w:rsidP="00C33834">
      <w:pPr>
        <w:spacing w:after="0" w:line="240" w:lineRule="auto"/>
        <w:jc w:val="both"/>
        <w:rPr>
          <w:rFonts w:ascii="Times New Roman" w:hAnsi="Times New Roman"/>
          <w:color w:val="000000" w:themeColor="text1"/>
          <w:sz w:val="16"/>
          <w:szCs w:val="16"/>
        </w:rPr>
      </w:pPr>
    </w:p>
    <w:p w14:paraId="20808591" w14:textId="77777777" w:rsidR="00095B9C" w:rsidRPr="00C33834" w:rsidRDefault="00095B9C" w:rsidP="00C33834">
      <w:pPr>
        <w:pStyle w:val="ae"/>
        <w:widowControl/>
        <w:spacing w:before="0" w:after="0"/>
        <w:jc w:val="both"/>
        <w:rPr>
          <w:color w:val="000000" w:themeColor="text1"/>
          <w:sz w:val="16"/>
          <w:szCs w:val="16"/>
        </w:rPr>
      </w:pPr>
      <w:r w:rsidRPr="00C33834">
        <w:rPr>
          <w:color w:val="000000" w:themeColor="text1"/>
          <w:sz w:val="16"/>
          <w:szCs w:val="16"/>
        </w:rPr>
        <w:t>4 января 1933 Впервые во время полета на самолете ХАИ-1 убрано шасси (10674).</w:t>
      </w:r>
    </w:p>
    <w:p w14:paraId="7D90C4CE" w14:textId="77777777" w:rsidR="00095B9C" w:rsidRPr="00C33834" w:rsidRDefault="00095B9C" w:rsidP="00C33834">
      <w:pPr>
        <w:pStyle w:val="ae"/>
        <w:widowControl/>
        <w:spacing w:before="0" w:after="0"/>
        <w:jc w:val="both"/>
        <w:rPr>
          <w:color w:val="000000" w:themeColor="text1"/>
          <w:sz w:val="16"/>
          <w:szCs w:val="16"/>
        </w:rPr>
      </w:pPr>
    </w:p>
    <w:p w14:paraId="35DB1314" w14:textId="77777777" w:rsidR="00095B9C" w:rsidRPr="00C33834" w:rsidRDefault="001A42D5" w:rsidP="00C33834">
      <w:pPr>
        <w:pStyle w:val="ae"/>
        <w:widowControl/>
        <w:spacing w:before="0" w:after="0"/>
        <w:jc w:val="both"/>
        <w:rPr>
          <w:iCs/>
          <w:color w:val="000000" w:themeColor="text1"/>
          <w:sz w:val="16"/>
          <w:szCs w:val="16"/>
        </w:rPr>
      </w:pPr>
      <w:r w:rsidRPr="00C33834">
        <w:rPr>
          <w:i/>
          <w:iCs/>
          <w:color w:val="000000" w:themeColor="text1"/>
          <w:sz w:val="16"/>
          <w:szCs w:val="16"/>
        </w:rPr>
        <w:t>Другие оборонные отрасли:</w:t>
      </w:r>
    </w:p>
    <w:p w14:paraId="3077A847" w14:textId="77777777" w:rsidR="00095B9C" w:rsidRPr="00C33834" w:rsidRDefault="00095B9C" w:rsidP="00C33834">
      <w:pPr>
        <w:pStyle w:val="ae"/>
        <w:widowControl/>
        <w:spacing w:before="0" w:after="0"/>
        <w:jc w:val="both"/>
        <w:rPr>
          <w:iCs/>
          <w:color w:val="000000" w:themeColor="text1"/>
          <w:sz w:val="16"/>
          <w:szCs w:val="16"/>
        </w:rPr>
      </w:pPr>
    </w:p>
    <w:p w14:paraId="797F869A" w14:textId="77777777" w:rsidR="00460F2B" w:rsidRPr="00C33834" w:rsidRDefault="00460F2B" w:rsidP="00C33834">
      <w:pPr>
        <w:pStyle w:val="ae"/>
        <w:spacing w:before="0" w:after="0"/>
        <w:jc w:val="both"/>
        <w:rPr>
          <w:color w:val="000000" w:themeColor="text1"/>
          <w:sz w:val="16"/>
          <w:szCs w:val="16"/>
        </w:rPr>
      </w:pPr>
      <w:r w:rsidRPr="00C33834">
        <w:rPr>
          <w:color w:val="000000" w:themeColor="text1"/>
          <w:sz w:val="16"/>
          <w:szCs w:val="16"/>
        </w:rPr>
        <w:t>4 января 1933 г., в соответствии со справкой-докладом начальника Управления связи РККА Н.М. Синявского, представленной в КО, результаты выполнения программы 1932 года по вооружению связи РККА выглядели следующим образом:</w:t>
      </w:r>
    </w:p>
    <w:p w14:paraId="2C5BC7D8" w14:textId="77777777" w:rsidR="00460F2B" w:rsidRPr="00C33834" w:rsidRDefault="00460F2B" w:rsidP="00C33834">
      <w:pPr>
        <w:pStyle w:val="ae"/>
        <w:spacing w:before="0" w:after="0"/>
        <w:jc w:val="both"/>
        <w:rPr>
          <w:color w:val="000000" w:themeColor="text1"/>
          <w:sz w:val="16"/>
          <w:szCs w:val="16"/>
        </w:rPr>
      </w:pPr>
      <w:r w:rsidRPr="00C33834">
        <w:rPr>
          <w:color w:val="000000" w:themeColor="text1"/>
          <w:sz w:val="16"/>
          <w:szCs w:val="16"/>
        </w:rPr>
        <w:t>общее выполнение программы:</w:t>
      </w:r>
    </w:p>
    <w:p w14:paraId="580E73B9" w14:textId="77777777" w:rsidR="00460F2B" w:rsidRPr="00C33834" w:rsidRDefault="00460F2B" w:rsidP="00C33834">
      <w:pPr>
        <w:pStyle w:val="ae"/>
        <w:spacing w:before="0" w:after="0"/>
        <w:jc w:val="both"/>
        <w:rPr>
          <w:color w:val="000000" w:themeColor="text1"/>
          <w:sz w:val="16"/>
          <w:szCs w:val="16"/>
        </w:rPr>
      </w:pPr>
      <w:r w:rsidRPr="00C33834">
        <w:rPr>
          <w:color w:val="000000" w:themeColor="text1"/>
          <w:sz w:val="16"/>
          <w:szCs w:val="16"/>
        </w:rPr>
        <w:t>3аказано на 96 500 000 руб.</w:t>
      </w:r>
    </w:p>
    <w:p w14:paraId="3D7A5A45" w14:textId="77777777" w:rsidR="00460F2B" w:rsidRPr="00C33834" w:rsidRDefault="00460F2B" w:rsidP="00C33834">
      <w:pPr>
        <w:pStyle w:val="ae"/>
        <w:spacing w:before="0" w:after="0"/>
        <w:jc w:val="both"/>
        <w:rPr>
          <w:color w:val="000000" w:themeColor="text1"/>
          <w:sz w:val="16"/>
          <w:szCs w:val="16"/>
        </w:rPr>
      </w:pPr>
      <w:r w:rsidRPr="00C33834">
        <w:rPr>
          <w:color w:val="000000" w:themeColor="text1"/>
          <w:sz w:val="16"/>
          <w:szCs w:val="16"/>
        </w:rPr>
        <w:t>Принято на 58 334 000 руб.</w:t>
      </w:r>
    </w:p>
    <w:p w14:paraId="19E5EFA5" w14:textId="77777777" w:rsidR="00460F2B" w:rsidRPr="00C33834" w:rsidRDefault="00460F2B" w:rsidP="00C33834">
      <w:pPr>
        <w:pStyle w:val="ae"/>
        <w:spacing w:before="0" w:after="0"/>
        <w:jc w:val="both"/>
        <w:rPr>
          <w:color w:val="000000" w:themeColor="text1"/>
          <w:sz w:val="16"/>
          <w:szCs w:val="16"/>
        </w:rPr>
      </w:pPr>
      <w:r w:rsidRPr="00C33834">
        <w:rPr>
          <w:color w:val="000000" w:themeColor="text1"/>
          <w:sz w:val="16"/>
          <w:szCs w:val="16"/>
        </w:rPr>
        <w:t>Предъявлено к сдаче на 10 286 800 руб.</w:t>
      </w:r>
    </w:p>
    <w:p w14:paraId="252759F8" w14:textId="77777777" w:rsidR="00460F2B" w:rsidRPr="00C33834" w:rsidRDefault="00460F2B" w:rsidP="00C33834">
      <w:pPr>
        <w:pStyle w:val="ae"/>
        <w:spacing w:before="0" w:after="0"/>
        <w:jc w:val="both"/>
        <w:rPr>
          <w:color w:val="000000" w:themeColor="text1"/>
          <w:sz w:val="16"/>
          <w:szCs w:val="16"/>
        </w:rPr>
      </w:pPr>
      <w:r w:rsidRPr="00C33834">
        <w:rPr>
          <w:color w:val="000000" w:themeColor="text1"/>
          <w:sz w:val="16"/>
          <w:szCs w:val="16"/>
        </w:rPr>
        <w:t xml:space="preserve">Наибольший процент выполнения – от 72 до 100 % по различным видам продукции – пришелся на «телеграфное, телефонное и линейное имущество» (за исключением катушек для телефонного кабеля, по которым обеспеченность Красной Армии составила 25 %). Однако план по производству радиоаппаратуры оказался резко недовыполненным, а особенно плохо обстояло дело с авиационными радиостанциями для тяжелых самолетов и аэродромными радиостанциями, что, как подчеркивалось в справке-докладе, лишало «ВВС возможности производить тренировочные и опытные полеты». Значительно отставало от намеченного графика </w:t>
      </w:r>
      <w:r w:rsidRPr="00C33834">
        <w:rPr>
          <w:color w:val="000000" w:themeColor="text1"/>
          <w:sz w:val="16"/>
          <w:szCs w:val="16"/>
        </w:rPr>
        <w:lastRenderedPageBreak/>
        <w:t>строительство новых заводов: в 1932 г. были построены только завод щелочных аккумуляторов в Саратове и кварцевая мастерская в Горьком.</w:t>
      </w:r>
    </w:p>
    <w:p w14:paraId="71B34E71" w14:textId="77777777" w:rsidR="00460F2B" w:rsidRPr="00C33834" w:rsidRDefault="00460F2B" w:rsidP="00C33834">
      <w:pPr>
        <w:pStyle w:val="ae"/>
        <w:spacing w:before="0" w:after="0"/>
        <w:jc w:val="both"/>
        <w:rPr>
          <w:color w:val="000000" w:themeColor="text1"/>
          <w:sz w:val="16"/>
          <w:szCs w:val="16"/>
        </w:rPr>
      </w:pPr>
      <w:r w:rsidRPr="00C33834">
        <w:rPr>
          <w:color w:val="000000" w:themeColor="text1"/>
          <w:sz w:val="16"/>
          <w:szCs w:val="16"/>
        </w:rPr>
        <w:t>В качестве основных причин неудовлетворительного выполнения заказов по радио и телемеханике указывались:</w:t>
      </w:r>
    </w:p>
    <w:p w14:paraId="06D52C9B" w14:textId="77777777" w:rsidR="00460F2B" w:rsidRPr="00C33834" w:rsidRDefault="00460F2B" w:rsidP="00C33834">
      <w:pPr>
        <w:pStyle w:val="ae"/>
        <w:spacing w:before="0" w:after="0"/>
        <w:jc w:val="both"/>
        <w:rPr>
          <w:color w:val="000000" w:themeColor="text1"/>
          <w:sz w:val="16"/>
          <w:szCs w:val="16"/>
        </w:rPr>
      </w:pPr>
      <w:r w:rsidRPr="00C33834">
        <w:rPr>
          <w:color w:val="000000" w:themeColor="text1"/>
          <w:sz w:val="16"/>
          <w:szCs w:val="16"/>
        </w:rPr>
        <w:t>– недостаточное планирование и кооперирование для выполнения заказов как внутри завода, так и между заводами и объединениями,</w:t>
      </w:r>
    </w:p>
    <w:p w14:paraId="3B1CEAFC" w14:textId="77777777" w:rsidR="00460F2B" w:rsidRPr="00C33834" w:rsidRDefault="00460F2B" w:rsidP="00C33834">
      <w:pPr>
        <w:pStyle w:val="ae"/>
        <w:spacing w:before="0" w:after="0"/>
        <w:jc w:val="both"/>
        <w:rPr>
          <w:color w:val="000000" w:themeColor="text1"/>
          <w:sz w:val="16"/>
          <w:szCs w:val="16"/>
        </w:rPr>
      </w:pPr>
      <w:r w:rsidRPr="00C33834">
        <w:rPr>
          <w:color w:val="000000" w:themeColor="text1"/>
          <w:sz w:val="16"/>
          <w:szCs w:val="16"/>
        </w:rPr>
        <w:t>– позднее заключение договоров с заводами других объединений на поставку полуфабрикатов,</w:t>
      </w:r>
    </w:p>
    <w:p w14:paraId="5F6F939F" w14:textId="77777777" w:rsidR="00460F2B" w:rsidRPr="00C33834" w:rsidRDefault="00460F2B" w:rsidP="00C33834">
      <w:pPr>
        <w:pStyle w:val="ae"/>
        <w:spacing w:before="0" w:after="0"/>
        <w:jc w:val="both"/>
        <w:rPr>
          <w:color w:val="000000" w:themeColor="text1"/>
          <w:sz w:val="16"/>
          <w:szCs w:val="16"/>
        </w:rPr>
      </w:pPr>
      <w:r w:rsidRPr="00C33834">
        <w:rPr>
          <w:color w:val="000000" w:themeColor="text1"/>
          <w:sz w:val="16"/>
          <w:szCs w:val="16"/>
        </w:rPr>
        <w:t>– плохое снабжение сырьем,</w:t>
      </w:r>
    </w:p>
    <w:p w14:paraId="567F1EF1" w14:textId="77777777" w:rsidR="00460F2B" w:rsidRPr="00C33834" w:rsidRDefault="00460F2B" w:rsidP="00C33834">
      <w:pPr>
        <w:pStyle w:val="ae"/>
        <w:spacing w:before="0" w:after="0"/>
        <w:jc w:val="both"/>
        <w:rPr>
          <w:color w:val="000000" w:themeColor="text1"/>
          <w:sz w:val="16"/>
          <w:szCs w:val="16"/>
        </w:rPr>
      </w:pPr>
      <w:r w:rsidRPr="00C33834">
        <w:rPr>
          <w:color w:val="000000" w:themeColor="text1"/>
          <w:sz w:val="16"/>
          <w:szCs w:val="16"/>
        </w:rPr>
        <w:t>– недостаточность рабсилы и инженерно-технических кадров, особенно на Горьковском заводе им. Ленина,</w:t>
      </w:r>
    </w:p>
    <w:p w14:paraId="65D2D7C5" w14:textId="77777777" w:rsidR="00460F2B" w:rsidRPr="00C33834" w:rsidRDefault="00460F2B" w:rsidP="00C33834">
      <w:pPr>
        <w:pStyle w:val="ae"/>
        <w:spacing w:before="0" w:after="0"/>
        <w:jc w:val="both"/>
        <w:rPr>
          <w:color w:val="000000" w:themeColor="text1"/>
          <w:sz w:val="16"/>
          <w:szCs w:val="16"/>
        </w:rPr>
      </w:pPr>
      <w:r w:rsidRPr="00C33834">
        <w:rPr>
          <w:color w:val="000000" w:themeColor="text1"/>
          <w:sz w:val="16"/>
          <w:szCs w:val="16"/>
        </w:rPr>
        <w:t>– недополучение ВЭСО оборудования и средств, которое оно должно было получить согласно постановлению СТО от 11/1-32 года.</w:t>
      </w:r>
    </w:p>
    <w:p w14:paraId="64AC80B3" w14:textId="77777777" w:rsidR="00460F2B" w:rsidRPr="00C33834" w:rsidRDefault="00460F2B" w:rsidP="00C33834">
      <w:pPr>
        <w:pStyle w:val="ae"/>
        <w:spacing w:before="0" w:after="0"/>
        <w:jc w:val="both"/>
        <w:rPr>
          <w:color w:val="000000" w:themeColor="text1"/>
          <w:sz w:val="16"/>
          <w:szCs w:val="16"/>
        </w:rPr>
      </w:pPr>
      <w:r w:rsidRPr="00C33834">
        <w:rPr>
          <w:color w:val="000000" w:themeColor="text1"/>
          <w:sz w:val="16"/>
          <w:szCs w:val="16"/>
        </w:rPr>
        <w:t>Постройкой новых и реконструкцией действовавших предприятий ВЭСО планировалось довести выпуск продукции до 500 млн руб. в 1933 г. и до 800 млн руб. – в 1934 г.; обеспечить подачу в армию 12 тыс. радиостанций в 1933 г. и 15 тыс. – в 1934 г. Планировалось также начать строительство ряда предприятий по производству средств связи и новых видов вооружения (завод по телемеханике, завод точной механики, завод «Радиолампа», мастерская кварцевых пластинок, цех радиомашин).</w:t>
      </w:r>
    </w:p>
    <w:p w14:paraId="48D22E97" w14:textId="77777777" w:rsidR="00460F2B" w:rsidRPr="00C33834" w:rsidRDefault="00460F2B" w:rsidP="00C33834">
      <w:pPr>
        <w:pStyle w:val="ae"/>
        <w:spacing w:before="0" w:after="0"/>
        <w:jc w:val="both"/>
        <w:rPr>
          <w:color w:val="000000" w:themeColor="text1"/>
          <w:sz w:val="16"/>
          <w:szCs w:val="16"/>
        </w:rPr>
      </w:pPr>
      <w:r w:rsidRPr="00C33834">
        <w:rPr>
          <w:color w:val="000000" w:themeColor="text1"/>
          <w:sz w:val="16"/>
          <w:szCs w:val="16"/>
        </w:rPr>
        <w:t>Ведущими поставщиком радиоаппаратуры для армии пока продолжал оставаться завод имени Коминтерна. В 1927 по инициативе С. Орджоникидзе принял на себя руководство программой строительства мощных радиостанций в стране А.Л. Минц. В 1930 г. руководитель А.Л. Минц настоял на объединении ЦРЛ с основным заводом-изготовителем мощных передатчиков – Радиозаводом им. Коминтерна для создания промышленной базы мощного радиостроения. В результате появился центр по разработке и выпуску мощной радиотехники, специальной техники радиосвязи, средств радионавигации для ВВС. Однако объединенная организация – ЦРЛ-3 просуществовала недолго, и в августе 1931 г. ЦРЛ и Радиозавод им. Коминтерна вновь стали самостоятельными. Эти реорганизации привели, к сожалению, к уходу из ЦРЛ ряда коллективов и специалистов, в том числе ушли в созданную Отраслевую радиолабораторию передающих устройств (ОРПУ) Минца часть специалистов, занимавшихся передатчиками KB– и УКВ-диапазонов (15736).</w:t>
      </w:r>
    </w:p>
    <w:p w14:paraId="42522F59" w14:textId="77777777" w:rsidR="00460F2B" w:rsidRPr="00C33834" w:rsidRDefault="00460F2B" w:rsidP="00C33834">
      <w:pPr>
        <w:pStyle w:val="ae"/>
        <w:spacing w:before="0" w:after="0"/>
        <w:jc w:val="both"/>
        <w:rPr>
          <w:color w:val="000000" w:themeColor="text1"/>
          <w:sz w:val="16"/>
          <w:szCs w:val="16"/>
        </w:rPr>
      </w:pPr>
    </w:p>
    <w:p w14:paraId="65EF30A9" w14:textId="77777777" w:rsidR="00095B9C" w:rsidRPr="00C33834" w:rsidRDefault="00095B9C"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января 1933 г. вышел ПРИКАЗ УММ О ВЫРАБОТКЕ СИСТЕМЫ ИСПОЛЬЗОВАНИЯ РАЗВЕДЫВАТЕЛЬНЫХ МАТЕРИАЛОВ</w:t>
      </w:r>
    </w:p>
    <w:p w14:paraId="242AC09A" w14:textId="77777777" w:rsidR="00095B9C" w:rsidRPr="00C33834" w:rsidRDefault="00095B9C"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p w14:paraId="172B9B6E" w14:textId="77777777" w:rsidR="00095B9C" w:rsidRPr="00C33834" w:rsidRDefault="00095B9C"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Москва</w:t>
      </w:r>
    </w:p>
    <w:p w14:paraId="7EF6895F" w14:textId="77777777" w:rsidR="00095B9C" w:rsidRPr="00C33834" w:rsidRDefault="00095B9C"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проверки использования разведывательных материалов, поступающих от 4 управления и других источников по вопросам техники и тактики мотомехвойск и выработки дальнейшего плана и системы использования этих материалов во всех управлениях УММ - назначаю комиссию в составе: тт. Кучинского, Ратнева и Рожкова, под руководством т. Кучинского и от 4 управления.</w:t>
      </w:r>
    </w:p>
    <w:p w14:paraId="53010D7A" w14:textId="77777777" w:rsidR="00095B9C" w:rsidRPr="00C33834" w:rsidRDefault="00095B9C"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Комиссии закончить работу к 9 января 1933 г. и представить мне свое заключение.</w:t>
      </w:r>
    </w:p>
    <w:p w14:paraId="6A6EE6D9" w14:textId="77777777" w:rsidR="00095B9C" w:rsidRPr="00C33834" w:rsidRDefault="00095B9C"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Поверку произвести во всех управлениях УММ.</w:t>
      </w:r>
    </w:p>
    <w:p w14:paraId="3B9AF164" w14:textId="77777777" w:rsidR="00095B9C" w:rsidRPr="00C33834" w:rsidRDefault="00095B9C"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Заместитель начальника УММ РККА</w:t>
      </w:r>
    </w:p>
    <w:p w14:paraId="422B6C02" w14:textId="77777777" w:rsidR="00095B9C" w:rsidRPr="00C33834" w:rsidRDefault="00095B9C"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Грязное</w:t>
      </w:r>
    </w:p>
    <w:p w14:paraId="16DB6B09" w14:textId="77777777" w:rsidR="00095B9C" w:rsidRPr="00C33834" w:rsidRDefault="00095B9C"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РГВА. Ф. 31811. Оп. 4. Д. 2. Л. 6. Подлинник (11210).</w:t>
      </w:r>
    </w:p>
    <w:p w14:paraId="7AA5F7BB" w14:textId="77777777" w:rsidR="00095B9C" w:rsidRPr="00C33834" w:rsidRDefault="00095B9C" w:rsidP="00C33834">
      <w:pPr>
        <w:pStyle w:val="af2"/>
        <w:jc w:val="both"/>
        <w:rPr>
          <w:i w:val="0"/>
          <w:iCs w:val="0"/>
          <w:color w:val="000000" w:themeColor="text1"/>
          <w:spacing w:val="0"/>
          <w:kern w:val="0"/>
          <w:position w:val="0"/>
          <w:sz w:val="16"/>
          <w:szCs w:val="16"/>
          <w:lang w:val="ru-RU"/>
        </w:rPr>
      </w:pPr>
    </w:p>
    <w:p w14:paraId="4C1DBB5E" w14:textId="77777777" w:rsidR="00095B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2BA9D77F" w14:textId="77777777" w:rsidR="00095B9C" w:rsidRPr="00C33834" w:rsidRDefault="00095B9C" w:rsidP="00C33834">
      <w:pPr>
        <w:spacing w:after="0" w:line="240" w:lineRule="auto"/>
        <w:jc w:val="both"/>
        <w:rPr>
          <w:rFonts w:ascii="Times New Roman" w:hAnsi="Times New Roman"/>
          <w:iCs/>
          <w:color w:val="000000" w:themeColor="text1"/>
          <w:sz w:val="16"/>
          <w:szCs w:val="16"/>
        </w:rPr>
      </w:pPr>
    </w:p>
    <w:p w14:paraId="2DBCEE8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января 1933 СССР повторно предложил Японии подписать пакт о ненападении (3186).</w:t>
      </w:r>
    </w:p>
    <w:p w14:paraId="44170D74"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436BEA44" w14:textId="77777777" w:rsidR="00095B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1E07055A" w14:textId="77777777" w:rsidR="00095B9C" w:rsidRPr="00C33834" w:rsidRDefault="00095B9C" w:rsidP="00C33834">
      <w:pPr>
        <w:spacing w:after="0" w:line="240" w:lineRule="auto"/>
        <w:jc w:val="both"/>
        <w:rPr>
          <w:rFonts w:ascii="Times New Roman" w:hAnsi="Times New Roman"/>
          <w:iCs/>
          <w:color w:val="000000" w:themeColor="text1"/>
          <w:sz w:val="16"/>
          <w:szCs w:val="16"/>
        </w:rPr>
      </w:pPr>
    </w:p>
    <w:p w14:paraId="0F6D81ED" w14:textId="77777777" w:rsidR="00EB57C4" w:rsidRPr="00C33834" w:rsidRDefault="00EB57C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января 1931 - Близ г. Атлантик-Сити (штат Нью-Джерси, США) состоялся полет самолета, оснащенного 12-ю небольшими ракетными ускорителями. Во время полета самолет пилотировал летчик Уильям Свен (William Swan) (22680).</w:t>
      </w:r>
    </w:p>
    <w:p w14:paraId="771E0E80" w14:textId="77777777" w:rsidR="00EB57C4" w:rsidRPr="00C33834" w:rsidRDefault="00EB57C4" w:rsidP="00C33834">
      <w:pPr>
        <w:spacing w:after="0" w:line="240" w:lineRule="auto"/>
        <w:jc w:val="both"/>
        <w:rPr>
          <w:rFonts w:ascii="Times New Roman" w:hAnsi="Times New Roman"/>
          <w:color w:val="0070C0"/>
          <w:sz w:val="16"/>
          <w:szCs w:val="16"/>
        </w:rPr>
      </w:pPr>
    </w:p>
    <w:p w14:paraId="0E650E9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января 1933 на совещании германских монополистов было принято решение о немедленном установлении в Германии фашистской диктатуры (3186).</w:t>
      </w:r>
    </w:p>
    <w:p w14:paraId="55ED4F82"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0C0FFEDA" w14:textId="77777777" w:rsidR="00460F2B" w:rsidRPr="00C33834" w:rsidRDefault="00460F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4 января</w:t>
      </w:r>
      <w:r w:rsidRPr="00C33834">
        <w:rPr>
          <w:rFonts w:ascii="Times New Roman" w:hAnsi="Times New Roman"/>
          <w:color w:val="000000" w:themeColor="text1"/>
          <w:sz w:val="16"/>
          <w:szCs w:val="16"/>
        </w:rPr>
        <w:t xml:space="preserve"> в 1933 году а загородной вилле банкира Шредера, вблизи Кельна, проводится совещание крупных германских промышленников и банкиров с участием Гитлера и бывшего канцлера фон Папена, на котором принимается решение о передаче власти лидеру нацистов (14999).</w:t>
      </w:r>
    </w:p>
    <w:p w14:paraId="5CB0B5C1" w14:textId="77777777" w:rsidR="00460F2B" w:rsidRPr="00C33834" w:rsidRDefault="00460F2B" w:rsidP="00C33834">
      <w:pPr>
        <w:spacing w:after="0" w:line="240" w:lineRule="auto"/>
        <w:jc w:val="both"/>
        <w:rPr>
          <w:rFonts w:ascii="Times New Roman" w:hAnsi="Times New Roman"/>
          <w:color w:val="000000" w:themeColor="text1"/>
          <w:sz w:val="16"/>
          <w:szCs w:val="16"/>
        </w:rPr>
      </w:pPr>
    </w:p>
    <w:p w14:paraId="02398EAD" w14:textId="77777777" w:rsidR="00095B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52322FD" w14:textId="77777777" w:rsidR="00095B9C" w:rsidRPr="00C33834" w:rsidRDefault="00095B9C" w:rsidP="00C33834">
      <w:pPr>
        <w:spacing w:after="0" w:line="240" w:lineRule="auto"/>
        <w:jc w:val="both"/>
        <w:rPr>
          <w:rFonts w:ascii="Times New Roman" w:hAnsi="Times New Roman"/>
          <w:iCs/>
          <w:color w:val="000000" w:themeColor="text1"/>
          <w:sz w:val="16"/>
          <w:szCs w:val="16"/>
        </w:rPr>
      </w:pPr>
    </w:p>
    <w:p w14:paraId="6002413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января 1933 года вышел приказ № 491/391 по Гидрометкомитету</w:t>
      </w:r>
    </w:p>
    <w:p w14:paraId="518BDA5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основании постановления Комитета по воздушным экспедициям и перелетам при ГУГВФ от 29 декабря 1932 года в период с 10 февраля по 25 февраля 1933 года будет проведен опытный перелет на машине П-5 по трассе Москва - Петропавловск на Камчатке – Москва.</w:t>
      </w:r>
    </w:p>
    <w:p w14:paraId="7D43A71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будет производиться в течение круглых суток.</w:t>
      </w:r>
    </w:p>
    <w:p w14:paraId="276D669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перелета:</w:t>
      </w:r>
    </w:p>
    <w:p w14:paraId="2B05448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самолета и мотора.</w:t>
      </w:r>
    </w:p>
    <w:p w14:paraId="04221C0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Готовность несменного летного состава к проведению дальних перелетов.</w:t>
      </w:r>
    </w:p>
    <w:p w14:paraId="2B99E22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Установление перелета в наикратчайший срок.</w:t>
      </w:r>
    </w:p>
    <w:p w14:paraId="4984DE8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Демонстрация советских достижений для использования их в дальнейшем в регулярной работе воздухолиний.</w:t>
      </w:r>
    </w:p>
    <w:p w14:paraId="095AF43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Плановые посадки самолетов в пунктах: Омск, Иркутск, Хабаровск, Николаевск и Петропавловск.</w:t>
      </w:r>
    </w:p>
    <w:p w14:paraId="015864F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под начальством пилота Водопьянова вылетает из Москвы 10 февраля 1933 года в 1 час утра (7737, 65-68).</w:t>
      </w:r>
    </w:p>
    <w:p w14:paraId="3724F513"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1FDAA1F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января 1933 года зам. Наркомтяжпрома и начальник Глававиапрома Баранов писал письмо в СТО Молотову</w:t>
      </w:r>
    </w:p>
    <w:p w14:paraId="21851BD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этом представляю количественные итоги работы авиационной промышленности за 1932 год.</w:t>
      </w:r>
    </w:p>
    <w:p w14:paraId="0A88B72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сдано потребителям в 1932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1029"/>
        <w:gridCol w:w="992"/>
      </w:tblGrid>
      <w:tr w:rsidR="00F26F01" w:rsidRPr="00C33834" w14:paraId="16D70DE2" w14:textId="77777777">
        <w:tc>
          <w:tcPr>
            <w:tcW w:w="3757" w:type="dxa"/>
          </w:tcPr>
          <w:p w14:paraId="39E83787"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029" w:type="dxa"/>
          </w:tcPr>
          <w:p w14:paraId="1CA70B6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w:t>
            </w:r>
          </w:p>
        </w:tc>
        <w:tc>
          <w:tcPr>
            <w:tcW w:w="992" w:type="dxa"/>
          </w:tcPr>
          <w:p w14:paraId="4F6CAA8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w:t>
            </w:r>
          </w:p>
        </w:tc>
      </w:tr>
      <w:tr w:rsidR="00F26F01" w:rsidRPr="00C33834" w14:paraId="34982C0D" w14:textId="77777777">
        <w:tc>
          <w:tcPr>
            <w:tcW w:w="3757" w:type="dxa"/>
          </w:tcPr>
          <w:p w14:paraId="533C4ED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Вполне кондиционных </w:t>
            </w:r>
          </w:p>
        </w:tc>
        <w:tc>
          <w:tcPr>
            <w:tcW w:w="1029" w:type="dxa"/>
          </w:tcPr>
          <w:p w14:paraId="4BA9BA1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4567</w:t>
            </w:r>
          </w:p>
        </w:tc>
        <w:tc>
          <w:tcPr>
            <w:tcW w:w="992" w:type="dxa"/>
          </w:tcPr>
          <w:p w14:paraId="4953F2D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2487</w:t>
            </w:r>
          </w:p>
        </w:tc>
      </w:tr>
      <w:tr w:rsidR="00F26F01" w:rsidRPr="00C33834" w14:paraId="7D637829" w14:textId="77777777">
        <w:tc>
          <w:tcPr>
            <w:tcW w:w="3757" w:type="dxa"/>
          </w:tcPr>
          <w:p w14:paraId="4CDEB18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пониженной кондицией</w:t>
            </w:r>
          </w:p>
        </w:tc>
        <w:tc>
          <w:tcPr>
            <w:tcW w:w="1029" w:type="dxa"/>
          </w:tcPr>
          <w:p w14:paraId="164E95B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w:t>
            </w:r>
          </w:p>
        </w:tc>
        <w:tc>
          <w:tcPr>
            <w:tcW w:w="992" w:type="dxa"/>
          </w:tcPr>
          <w:p w14:paraId="5FD1598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C5191B2" w14:textId="77777777">
        <w:tc>
          <w:tcPr>
            <w:tcW w:w="3757" w:type="dxa"/>
          </w:tcPr>
          <w:p w14:paraId="6C05B5F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Учебных и макетов (в полном снаряжении)</w:t>
            </w:r>
          </w:p>
        </w:tc>
        <w:tc>
          <w:tcPr>
            <w:tcW w:w="1029" w:type="dxa"/>
          </w:tcPr>
          <w:p w14:paraId="3223260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111</w:t>
            </w:r>
          </w:p>
        </w:tc>
        <w:tc>
          <w:tcPr>
            <w:tcW w:w="992" w:type="dxa"/>
          </w:tcPr>
          <w:p w14:paraId="09772EF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76D87EAA" w14:textId="77777777">
        <w:tc>
          <w:tcPr>
            <w:tcW w:w="3757" w:type="dxa"/>
          </w:tcPr>
          <w:p w14:paraId="204F3CF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сдано</w:t>
            </w:r>
          </w:p>
        </w:tc>
        <w:tc>
          <w:tcPr>
            <w:tcW w:w="1029" w:type="dxa"/>
          </w:tcPr>
          <w:p w14:paraId="1AE1DD3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4918</w:t>
            </w:r>
          </w:p>
        </w:tc>
        <w:tc>
          <w:tcPr>
            <w:tcW w:w="992" w:type="dxa"/>
          </w:tcPr>
          <w:p w14:paraId="65F1586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2487</w:t>
            </w:r>
          </w:p>
        </w:tc>
      </w:tr>
      <w:tr w:rsidR="00F26F01" w:rsidRPr="00C33834" w14:paraId="3AD1BC31" w14:textId="77777777">
        <w:tc>
          <w:tcPr>
            <w:tcW w:w="3757" w:type="dxa"/>
          </w:tcPr>
          <w:p w14:paraId="6A80428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Правительственное задание</w:t>
            </w:r>
          </w:p>
        </w:tc>
        <w:tc>
          <w:tcPr>
            <w:tcW w:w="1029" w:type="dxa"/>
          </w:tcPr>
          <w:p w14:paraId="55844DB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5310</w:t>
            </w:r>
          </w:p>
        </w:tc>
        <w:tc>
          <w:tcPr>
            <w:tcW w:w="992" w:type="dxa"/>
          </w:tcPr>
          <w:p w14:paraId="4FA6532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3461</w:t>
            </w:r>
          </w:p>
        </w:tc>
      </w:tr>
      <w:tr w:rsidR="00F26F01" w:rsidRPr="00C33834" w14:paraId="7E5C0E1F" w14:textId="77777777">
        <w:tc>
          <w:tcPr>
            <w:tcW w:w="3757" w:type="dxa"/>
          </w:tcPr>
          <w:p w14:paraId="1B2D6B4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Сдано в 1931 году</w:t>
            </w:r>
          </w:p>
        </w:tc>
        <w:tc>
          <w:tcPr>
            <w:tcW w:w="1029" w:type="dxa"/>
          </w:tcPr>
          <w:p w14:paraId="38798DF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1640</w:t>
            </w:r>
          </w:p>
        </w:tc>
        <w:tc>
          <w:tcPr>
            <w:tcW w:w="992" w:type="dxa"/>
          </w:tcPr>
          <w:p w14:paraId="2A46EF6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1489</w:t>
            </w:r>
          </w:p>
        </w:tc>
      </w:tr>
      <w:tr w:rsidR="00F26F01" w:rsidRPr="00C33834" w14:paraId="3AFD6D7B" w14:textId="77777777">
        <w:tc>
          <w:tcPr>
            <w:tcW w:w="3757" w:type="dxa"/>
          </w:tcPr>
          <w:p w14:paraId="2C96C03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Рост выпуска по количеству единиц в сравнении с прошлым годом составляет</w:t>
            </w:r>
          </w:p>
        </w:tc>
        <w:tc>
          <w:tcPr>
            <w:tcW w:w="1029" w:type="dxa"/>
          </w:tcPr>
          <w:p w14:paraId="2E57ADE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992" w:type="dxa"/>
          </w:tcPr>
          <w:p w14:paraId="74B7672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167%</w:t>
            </w:r>
          </w:p>
        </w:tc>
      </w:tr>
      <w:tr w:rsidR="00F26F01" w:rsidRPr="00C33834" w14:paraId="42F8A5D6" w14:textId="77777777">
        <w:tc>
          <w:tcPr>
            <w:tcW w:w="3757" w:type="dxa"/>
          </w:tcPr>
          <w:p w14:paraId="275DDC9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План в целом по количеству единиц исполнен на </w:t>
            </w:r>
          </w:p>
        </w:tc>
        <w:tc>
          <w:tcPr>
            <w:tcW w:w="1029" w:type="dxa"/>
          </w:tcPr>
          <w:p w14:paraId="56E3EBE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92,6%</w:t>
            </w:r>
          </w:p>
        </w:tc>
        <w:tc>
          <w:tcPr>
            <w:tcW w:w="992" w:type="dxa"/>
          </w:tcPr>
          <w:p w14:paraId="00DD404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71,9%</w:t>
            </w:r>
          </w:p>
        </w:tc>
      </w:tr>
      <w:tr w:rsidR="00F26F01" w:rsidRPr="00C33834" w14:paraId="5446BBBE" w14:textId="77777777">
        <w:tc>
          <w:tcPr>
            <w:tcW w:w="3757" w:type="dxa"/>
          </w:tcPr>
          <w:p w14:paraId="57FED0B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них по кондиционным моторам на</w:t>
            </w:r>
          </w:p>
        </w:tc>
        <w:tc>
          <w:tcPr>
            <w:tcW w:w="1029" w:type="dxa"/>
          </w:tcPr>
          <w:p w14:paraId="659AF1B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w:t>
            </w:r>
          </w:p>
        </w:tc>
        <w:tc>
          <w:tcPr>
            <w:tcW w:w="992" w:type="dxa"/>
          </w:tcPr>
          <w:p w14:paraId="0437305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bl>
    <w:p w14:paraId="389D5A1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Следует отметить повышение трудоемкости в изготовлении выпущенных самолетов за счет утяжеления типов.</w:t>
      </w:r>
    </w:p>
    <w:p w14:paraId="0795033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Общий недодел правительственного задания составляет: по моторам – 392 единицы, почти целиком за счет М-34 и по самолетам – 974 единицы, преимущественно за счет новых типов и новых заводов.</w:t>
      </w:r>
    </w:p>
    <w:p w14:paraId="7AA8071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производя оценки вышеприведенных итогов исполнения правительственного задания по выпуску самолетов и моторов, а также достигнутого роста производства, считаю необходимым остановить Ваше внимание на отдельных важнейших моментах и главным образом затруднения в работе авиационной промышленности в истекшем году.</w:t>
      </w:r>
    </w:p>
    <w:p w14:paraId="1B245E6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моторостроению.</w:t>
      </w:r>
    </w:p>
    <w:p w14:paraId="5D46BB62" w14:textId="77777777" w:rsidR="00095B9C" w:rsidRPr="00C33834" w:rsidRDefault="00095B9C" w:rsidP="00C33834">
      <w:pPr>
        <w:numPr>
          <w:ilvl w:val="0"/>
          <w:numId w:val="1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Главнейшей задачей являлось освоение и внедрение в серийное производство на заводе № 24 нового типа мотора М-34.</w:t>
      </w:r>
    </w:p>
    <w:p w14:paraId="7D8F854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 задача полностью разрешена выпуском в истекшем декабре 45 моторов при плановом задании на этот месяц 55 единиц.</w:t>
      </w:r>
    </w:p>
    <w:p w14:paraId="05F7E29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Ряд трудностей как конструктивного, так и технологического порядка, во многих случаях неопределенные – привели к неисполнению годового задания по выпуску этого мотора.</w:t>
      </w:r>
    </w:p>
    <w:p w14:paraId="11BD45F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процессе внедрения мотора в производство оказалось необходимым внести свыше 1500 различных конструктивных изменений. На сегодня остается еще к разрешению ряд конструктивных и технологических вопросов (конструкция шатунов, система распределения, бензопомпа и др.), однако серийное производство возможно считать освоенным.</w:t>
      </w:r>
    </w:p>
    <w:p w14:paraId="2532505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осваиваясь с весьма сложной технологией производства этого мотора постепенно выходит на комплектную работу, что должно обеспечить бесперебойность дальнейшего производства.</w:t>
      </w:r>
    </w:p>
    <w:p w14:paraId="16415FF2" w14:textId="77777777" w:rsidR="00095B9C" w:rsidRPr="00C33834" w:rsidRDefault="00095B9C" w:rsidP="00C33834">
      <w:pPr>
        <w:numPr>
          <w:ilvl w:val="0"/>
          <w:numId w:val="1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Увеличение выпуска моторов М-17 на заводе № 26 почти втрое против предыдущего года потребовало значительного расширения рабочего персонала завода, что понизило среднюю степень квалификации. С другой стороны сосредоточение внимания на значительном огромном количественном росте производства ослабило роль качества в производстве.</w:t>
      </w:r>
    </w:p>
    <w:p w14:paraId="650A72D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результате оказалось необходимым ужесточить требования по части качества, что на некоторое время нарушило комплектность работы завода в целом и привело к прорыву на заводе в августе и сентябре. В дальнейшем работа завода выправлена и ныне вновь достигнут равномерный выпуск, при существенно повышенном качестве, о чем свидетельствуют удовлетворительные результаты произведенного на днях испытания рядового мотора на 200 часов при существующей норме в 100.</w:t>
      </w:r>
    </w:p>
    <w:p w14:paraId="5CE3CD0F" w14:textId="77777777" w:rsidR="00095B9C" w:rsidRPr="00C33834" w:rsidRDefault="00095B9C" w:rsidP="00C33834">
      <w:pPr>
        <w:numPr>
          <w:ilvl w:val="0"/>
          <w:numId w:val="1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Программа по выпуску моторов с воздушным охлаждением (завод № 29 – М-22 и М-11 и завод № 24 – М-15 и М-26) перевыполнена.</w:t>
      </w:r>
    </w:p>
    <w:p w14:paraId="2A3EB26F" w14:textId="77777777" w:rsidR="00095B9C" w:rsidRPr="00C33834" w:rsidRDefault="00095B9C" w:rsidP="00C33834">
      <w:pPr>
        <w:pStyle w:val="a3"/>
        <w:widowControl/>
        <w:rPr>
          <w:color w:val="000000" w:themeColor="text1"/>
          <w:lang w:val="ru-RU"/>
        </w:rPr>
      </w:pPr>
      <w:r w:rsidRPr="00C33834">
        <w:rPr>
          <w:color w:val="000000" w:themeColor="text1"/>
          <w:lang w:val="ru-RU"/>
        </w:rPr>
        <w:t>Следует отметить достигнутые результаты заводом № 29 по повышению качества выпускаемых моторов. В частности, срок гарантийности работы мотора М-22 между переборками доведен с 50 до 100 часов и по М-11 с 100 до 200 часов.</w:t>
      </w:r>
    </w:p>
    <w:p w14:paraId="42501B1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самолетостроению.</w:t>
      </w:r>
    </w:p>
    <w:p w14:paraId="162B7E1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Задачи исполнения задания по выпуску самолетов были более комбинированными, чем по моторостроению, что обусловило значительную сложность разрешения их.</w:t>
      </w:r>
    </w:p>
    <w:p w14:paraId="1D904E0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числа 9 предназначенных к действию заводов, только 2 (№ 23 и ХАЗ) были свободны от внедрения новых типов или постановки заново производства. 2 завода ввиду задержек по линии капстроительства запоздали со входом в эксплуатацию (заводы №№ 18 и 21), создав недодел программы на 276 единиц, из коих И-5 – 266 самолетов и ТБ-3 – 10 самолетов.</w:t>
      </w:r>
    </w:p>
    <w:p w14:paraId="440E6C6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Основной задачей по самолетостроению в минувшем году было:</w:t>
      </w:r>
    </w:p>
    <w:p w14:paraId="7861DA5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Освоение и внедрение в производство следующих новых типов:</w:t>
      </w:r>
    </w:p>
    <w:p w14:paraId="5D0373B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Тяжелого металлического бомбовоза – ТБ-3 одновременно на заводах №№ 29, 39 и 18.</w:t>
      </w:r>
    </w:p>
    <w:p w14:paraId="687BCBA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Смешанной конструкции со сварным фюзеляжем истребителя И-7 на заводе № 1.</w:t>
      </w:r>
    </w:p>
    <w:p w14:paraId="70400BF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гидросамолета (лодки) С-62 на заводе № 31 при одновременном внедрении на том же заводе легкой амфибии – АШ и снятых с производства завода № 22 металлических машин Р-6 и АНТ-9.</w:t>
      </w:r>
    </w:p>
    <w:p w14:paraId="64182E8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на заводе предстояла подготовка производства с выпуском 2-х головных машин металлического гидросамолета (лодки) МДР-3.</w:t>
      </w:r>
    </w:p>
    <w:p w14:paraId="0EBE514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Тяжелого штурмовика (ТШ) с бронированной кабиной – на заводе № 16.</w:t>
      </w:r>
    </w:p>
    <w:p w14:paraId="3641E9C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Модифицированной модели деревянного истребителя И-5 на заводе № 21.</w:t>
      </w:r>
    </w:p>
    <w:p w14:paraId="19B1C22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разрешении этих задач пришлось столкнуться со следующими трудностями.</w:t>
      </w:r>
    </w:p>
    <w:p w14:paraId="5372CDC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ТБ-3 – помимо естественных трудностей внедрения нового типа самолета весьма сложной конструкции задержки имели место по линии окончательного выбора типа и конструкций вооружения, что значительно задержало утверждение эталона для производства и привело к необходимости разных переделок и перемонтажа вооружения уже законченных машин. Завод № 22 полностью справился с освоением этой машины, однако задержки в начальном периоде производства не позволили ему достигнуть намеченных темпов (40 машин в месяц). Запоздание окончания капстроительства в свою очередь лимитирует повышение масштаба производства свыше 30 машин в месяц.</w:t>
      </w:r>
    </w:p>
    <w:p w14:paraId="764D232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 31 недостаточность площадей и слабая подготовленность к производству обусловили недодел 35 машин из задания в 40.</w:t>
      </w:r>
    </w:p>
    <w:p w14:paraId="084B9E6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Запоздание ввода в эксплуатацию завода 3 18 не позволило развернуть на нем производство до стадии выпуска машин. Следует отметить трудности пускового периода на этом заводе. В настоящее время завод еще не в состоянии работать комплектно, хотя и располагает заделом для ровной работы на протяжении будущего года.</w:t>
      </w:r>
    </w:p>
    <w:p w14:paraId="58080D6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И-7 – причинами недодела по этой машине является слабость подготовки производства и задержки поставок импортных тонкостенных труб для каркаса фюзеляжа.</w:t>
      </w:r>
    </w:p>
    <w:p w14:paraId="47F75FF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ТШ – конструкция самолета не оправдала надежд, оказавшись весьма перетяжеленной. Решением Правительства самолет снят с производства.</w:t>
      </w:r>
    </w:p>
    <w:p w14:paraId="782A6DD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С-62, АШ, Р-6 и АНТ-9 – все эти типы, из которых первые 2 являются конструктивно новыми и 2 последних конструктивно освоенные, но внедряемые на заводе № 31 впервые, имеют общей причиной недодела то обстоятельство, что справиться с одновременным внедрением 4 типов оказалось непосильной задачей для одного завода. Кроме того, по С-62 запоздали чертежи, приобретенные в Италии и первые серии машин пришлось запускать в производство по образцу, летное качество которого в условиях нашей эксплуатации были недостаточно выяснены. В процессе производимых испытаний заказчиком вносились многочисленные изменения в образец, вызывавшие необходимость серьезных переделок (усиление шпангоутов уже изготовленных лодок и т.п.). Потеря времени привела к недоделу 36 самолетов из 65 заданных.</w:t>
      </w:r>
    </w:p>
    <w:p w14:paraId="0EC581E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Трудности освоения С-62 поглотили внимание завода и не позволили развернуть производства по АШ.</w:t>
      </w:r>
    </w:p>
    <w:p w14:paraId="4A15C48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основном по причине перегруженности завода типами и полного отсутствия у заводского персонала опыта по металлическому самолетостроению задержалась также и наладка производства Р6 и АНТ-9.</w:t>
      </w:r>
    </w:p>
    <w:p w14:paraId="4022273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Р-5 – выпуск этой машины увеличенный в 2,7 раза против 1931 года, однако достигнуть выпуска в пределах задания не удалось, гл. образом по причине задержки перехода завода на новую иерриторию (опоздание капстроительства) и недоукомплектованности оборудованием.</w:t>
      </w:r>
    </w:p>
    <w:p w14:paraId="7946780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К-5 – глубокий прорыв на ХАЗ, явившийся следствием конструктивных недостатков машины обусловил исполнение программы только на 48,7% (недодел 77 машин).</w:t>
      </w:r>
    </w:p>
    <w:p w14:paraId="1F78E1E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У-2 – по учебным самолетам и аэропланам задание перевыполнено совокупно на 7,5% или на 78 единиц (3530,59-64).</w:t>
      </w:r>
    </w:p>
    <w:p w14:paraId="7B7FC19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правительственного плана по моторам за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14"/>
        <w:gridCol w:w="704"/>
        <w:gridCol w:w="709"/>
        <w:gridCol w:w="709"/>
        <w:gridCol w:w="708"/>
        <w:gridCol w:w="709"/>
        <w:gridCol w:w="709"/>
        <w:gridCol w:w="709"/>
        <w:gridCol w:w="708"/>
        <w:gridCol w:w="709"/>
        <w:gridCol w:w="709"/>
        <w:gridCol w:w="850"/>
      </w:tblGrid>
      <w:tr w:rsidR="00F26F01" w:rsidRPr="00C33834" w14:paraId="54669C3B" w14:textId="77777777">
        <w:tc>
          <w:tcPr>
            <w:tcW w:w="1814" w:type="dxa"/>
          </w:tcPr>
          <w:p w14:paraId="6F33D503"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704" w:type="dxa"/>
          </w:tcPr>
          <w:p w14:paraId="327FD5C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М-15</w:t>
            </w:r>
          </w:p>
        </w:tc>
        <w:tc>
          <w:tcPr>
            <w:tcW w:w="709" w:type="dxa"/>
          </w:tcPr>
          <w:p w14:paraId="6D39906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М-26</w:t>
            </w:r>
          </w:p>
        </w:tc>
        <w:tc>
          <w:tcPr>
            <w:tcW w:w="709" w:type="dxa"/>
          </w:tcPr>
          <w:p w14:paraId="5465C07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708" w:type="dxa"/>
          </w:tcPr>
          <w:p w14:paraId="5E94A72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Разные моторы</w:t>
            </w:r>
          </w:p>
        </w:tc>
        <w:tc>
          <w:tcPr>
            <w:tcW w:w="709" w:type="dxa"/>
          </w:tcPr>
          <w:p w14:paraId="07DDB04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моторов завода № 24</w:t>
            </w:r>
          </w:p>
        </w:tc>
        <w:tc>
          <w:tcPr>
            <w:tcW w:w="709" w:type="dxa"/>
          </w:tcPr>
          <w:p w14:paraId="5EBF77B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 (завод № 26)</w:t>
            </w:r>
          </w:p>
        </w:tc>
        <w:tc>
          <w:tcPr>
            <w:tcW w:w="709" w:type="dxa"/>
          </w:tcPr>
          <w:p w14:paraId="726099F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 (завод № 29)</w:t>
            </w:r>
          </w:p>
        </w:tc>
        <w:tc>
          <w:tcPr>
            <w:tcW w:w="708" w:type="dxa"/>
          </w:tcPr>
          <w:p w14:paraId="7EFFADE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 (завод № 29)</w:t>
            </w:r>
          </w:p>
        </w:tc>
        <w:tc>
          <w:tcPr>
            <w:tcW w:w="709" w:type="dxa"/>
          </w:tcPr>
          <w:p w14:paraId="31BFB65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Разные моторы</w:t>
            </w:r>
          </w:p>
        </w:tc>
        <w:tc>
          <w:tcPr>
            <w:tcW w:w="709" w:type="dxa"/>
          </w:tcPr>
          <w:p w14:paraId="22C3C4D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моторов</w:t>
            </w:r>
          </w:p>
        </w:tc>
        <w:tc>
          <w:tcPr>
            <w:tcW w:w="850" w:type="dxa"/>
          </w:tcPr>
          <w:p w14:paraId="4B63F2C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моторов</w:t>
            </w:r>
          </w:p>
        </w:tc>
      </w:tr>
      <w:tr w:rsidR="00F26F01" w:rsidRPr="00C33834" w14:paraId="4A6536B4" w14:textId="77777777">
        <w:tc>
          <w:tcPr>
            <w:tcW w:w="1814" w:type="dxa"/>
          </w:tcPr>
          <w:p w14:paraId="7F8463A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Годовой план</w:t>
            </w:r>
          </w:p>
        </w:tc>
        <w:tc>
          <w:tcPr>
            <w:tcW w:w="704" w:type="dxa"/>
          </w:tcPr>
          <w:p w14:paraId="14EF6D1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211</w:t>
            </w:r>
          </w:p>
        </w:tc>
        <w:tc>
          <w:tcPr>
            <w:tcW w:w="709" w:type="dxa"/>
          </w:tcPr>
          <w:p w14:paraId="40399F9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324</w:t>
            </w:r>
          </w:p>
        </w:tc>
        <w:tc>
          <w:tcPr>
            <w:tcW w:w="709" w:type="dxa"/>
          </w:tcPr>
          <w:p w14:paraId="7DAD3F1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708" w:type="dxa"/>
          </w:tcPr>
          <w:p w14:paraId="7A598B1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583A3E2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935</w:t>
            </w:r>
          </w:p>
        </w:tc>
        <w:tc>
          <w:tcPr>
            <w:tcW w:w="709" w:type="dxa"/>
          </w:tcPr>
          <w:p w14:paraId="4D6E888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2250</w:t>
            </w:r>
          </w:p>
        </w:tc>
        <w:tc>
          <w:tcPr>
            <w:tcW w:w="709" w:type="dxa"/>
          </w:tcPr>
          <w:p w14:paraId="2478654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1755</w:t>
            </w:r>
          </w:p>
        </w:tc>
        <w:tc>
          <w:tcPr>
            <w:tcW w:w="708" w:type="dxa"/>
          </w:tcPr>
          <w:p w14:paraId="39D2448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370</w:t>
            </w:r>
          </w:p>
        </w:tc>
        <w:tc>
          <w:tcPr>
            <w:tcW w:w="709" w:type="dxa"/>
          </w:tcPr>
          <w:p w14:paraId="529B28C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25778C2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2125</w:t>
            </w:r>
          </w:p>
        </w:tc>
        <w:tc>
          <w:tcPr>
            <w:tcW w:w="850" w:type="dxa"/>
          </w:tcPr>
          <w:p w14:paraId="76482FF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5310</w:t>
            </w:r>
          </w:p>
        </w:tc>
      </w:tr>
      <w:tr w:rsidR="00F26F01" w:rsidRPr="00C33834" w14:paraId="0B798C9F" w14:textId="77777777">
        <w:tc>
          <w:tcPr>
            <w:tcW w:w="1814" w:type="dxa"/>
          </w:tcPr>
          <w:p w14:paraId="27F069B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Сдано в I квартале</w:t>
            </w:r>
          </w:p>
        </w:tc>
        <w:tc>
          <w:tcPr>
            <w:tcW w:w="704" w:type="dxa"/>
          </w:tcPr>
          <w:p w14:paraId="4D15430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w:t>
            </w:r>
          </w:p>
        </w:tc>
        <w:tc>
          <w:tcPr>
            <w:tcW w:w="709" w:type="dxa"/>
          </w:tcPr>
          <w:p w14:paraId="43B9A62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102</w:t>
            </w:r>
          </w:p>
        </w:tc>
        <w:tc>
          <w:tcPr>
            <w:tcW w:w="709" w:type="dxa"/>
          </w:tcPr>
          <w:p w14:paraId="4427357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8" w:type="dxa"/>
          </w:tcPr>
          <w:p w14:paraId="2F3B5BF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1343F9F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153</w:t>
            </w:r>
          </w:p>
        </w:tc>
        <w:tc>
          <w:tcPr>
            <w:tcW w:w="709" w:type="dxa"/>
          </w:tcPr>
          <w:p w14:paraId="31D9F79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485</w:t>
            </w:r>
          </w:p>
        </w:tc>
        <w:tc>
          <w:tcPr>
            <w:tcW w:w="709" w:type="dxa"/>
          </w:tcPr>
          <w:p w14:paraId="11FB1FF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388</w:t>
            </w:r>
          </w:p>
        </w:tc>
        <w:tc>
          <w:tcPr>
            <w:tcW w:w="708" w:type="dxa"/>
          </w:tcPr>
          <w:p w14:paraId="6A04FEB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w:t>
            </w:r>
          </w:p>
        </w:tc>
        <w:tc>
          <w:tcPr>
            <w:tcW w:w="709" w:type="dxa"/>
          </w:tcPr>
          <w:p w14:paraId="5CADC6F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11B5F86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461</w:t>
            </w:r>
          </w:p>
        </w:tc>
        <w:tc>
          <w:tcPr>
            <w:tcW w:w="850" w:type="dxa"/>
          </w:tcPr>
          <w:p w14:paraId="0D081E2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1099</w:t>
            </w:r>
          </w:p>
        </w:tc>
      </w:tr>
      <w:tr w:rsidR="00F26F01" w:rsidRPr="00C33834" w14:paraId="0A8C4AE7" w14:textId="77777777">
        <w:tc>
          <w:tcPr>
            <w:tcW w:w="1814" w:type="dxa"/>
          </w:tcPr>
          <w:p w14:paraId="51146A0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Сдано во II квартале</w:t>
            </w:r>
          </w:p>
        </w:tc>
        <w:tc>
          <w:tcPr>
            <w:tcW w:w="704" w:type="dxa"/>
          </w:tcPr>
          <w:p w14:paraId="1735811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112</w:t>
            </w:r>
          </w:p>
        </w:tc>
        <w:tc>
          <w:tcPr>
            <w:tcW w:w="709" w:type="dxa"/>
          </w:tcPr>
          <w:p w14:paraId="7AA524D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171</w:t>
            </w:r>
          </w:p>
        </w:tc>
        <w:tc>
          <w:tcPr>
            <w:tcW w:w="709" w:type="dxa"/>
          </w:tcPr>
          <w:p w14:paraId="2C82563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708" w:type="dxa"/>
          </w:tcPr>
          <w:p w14:paraId="1F336D2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12EF48D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288</w:t>
            </w:r>
          </w:p>
        </w:tc>
        <w:tc>
          <w:tcPr>
            <w:tcW w:w="709" w:type="dxa"/>
          </w:tcPr>
          <w:p w14:paraId="00CA012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515</w:t>
            </w:r>
          </w:p>
        </w:tc>
        <w:tc>
          <w:tcPr>
            <w:tcW w:w="709" w:type="dxa"/>
          </w:tcPr>
          <w:p w14:paraId="609AEC9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399</w:t>
            </w:r>
          </w:p>
        </w:tc>
        <w:tc>
          <w:tcPr>
            <w:tcW w:w="708" w:type="dxa"/>
          </w:tcPr>
          <w:p w14:paraId="32742CC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w:t>
            </w:r>
          </w:p>
        </w:tc>
        <w:tc>
          <w:tcPr>
            <w:tcW w:w="709" w:type="dxa"/>
          </w:tcPr>
          <w:p w14:paraId="2DE5FF1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6B7815C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495</w:t>
            </w:r>
          </w:p>
        </w:tc>
        <w:tc>
          <w:tcPr>
            <w:tcW w:w="850" w:type="dxa"/>
          </w:tcPr>
          <w:p w14:paraId="78E8803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1298</w:t>
            </w:r>
          </w:p>
        </w:tc>
      </w:tr>
      <w:tr w:rsidR="00F26F01" w:rsidRPr="00C33834" w14:paraId="443A955D" w14:textId="77777777">
        <w:tc>
          <w:tcPr>
            <w:tcW w:w="1814" w:type="dxa"/>
          </w:tcPr>
          <w:p w14:paraId="43222FF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Сдано в III квартале</w:t>
            </w:r>
          </w:p>
        </w:tc>
        <w:tc>
          <w:tcPr>
            <w:tcW w:w="704" w:type="dxa"/>
          </w:tcPr>
          <w:p w14:paraId="1196415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w:t>
            </w:r>
          </w:p>
        </w:tc>
        <w:tc>
          <w:tcPr>
            <w:tcW w:w="709" w:type="dxa"/>
          </w:tcPr>
          <w:p w14:paraId="4C54713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w:t>
            </w:r>
          </w:p>
        </w:tc>
        <w:tc>
          <w:tcPr>
            <w:tcW w:w="709" w:type="dxa"/>
          </w:tcPr>
          <w:p w14:paraId="5E87BB3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w:t>
            </w:r>
          </w:p>
        </w:tc>
        <w:tc>
          <w:tcPr>
            <w:tcW w:w="708" w:type="dxa"/>
          </w:tcPr>
          <w:p w14:paraId="1827342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3309AFD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117</w:t>
            </w:r>
          </w:p>
        </w:tc>
        <w:tc>
          <w:tcPr>
            <w:tcW w:w="709" w:type="dxa"/>
          </w:tcPr>
          <w:p w14:paraId="15AA960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186</w:t>
            </w:r>
          </w:p>
        </w:tc>
        <w:tc>
          <w:tcPr>
            <w:tcW w:w="709" w:type="dxa"/>
          </w:tcPr>
          <w:p w14:paraId="4C497D3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374</w:t>
            </w:r>
          </w:p>
        </w:tc>
        <w:tc>
          <w:tcPr>
            <w:tcW w:w="708" w:type="dxa"/>
          </w:tcPr>
          <w:p w14:paraId="3A56043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w:t>
            </w:r>
          </w:p>
        </w:tc>
        <w:tc>
          <w:tcPr>
            <w:tcW w:w="709" w:type="dxa"/>
          </w:tcPr>
          <w:p w14:paraId="10EDA72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08313FF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462</w:t>
            </w:r>
          </w:p>
        </w:tc>
        <w:tc>
          <w:tcPr>
            <w:tcW w:w="850" w:type="dxa"/>
          </w:tcPr>
          <w:p w14:paraId="6470535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765</w:t>
            </w:r>
          </w:p>
        </w:tc>
      </w:tr>
      <w:tr w:rsidR="00F26F01" w:rsidRPr="00C33834" w14:paraId="4AFFE6A1" w14:textId="77777777">
        <w:tc>
          <w:tcPr>
            <w:tcW w:w="1814" w:type="dxa"/>
          </w:tcPr>
          <w:p w14:paraId="1680D95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Сдано в IV квартале</w:t>
            </w:r>
          </w:p>
        </w:tc>
        <w:tc>
          <w:tcPr>
            <w:tcW w:w="704" w:type="dxa"/>
          </w:tcPr>
          <w:p w14:paraId="681DCBA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5A1B57C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660271E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62</w:t>
            </w:r>
          </w:p>
        </w:tc>
        <w:tc>
          <w:tcPr>
            <w:tcW w:w="708" w:type="dxa"/>
          </w:tcPr>
          <w:p w14:paraId="06D7E51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709" w:type="dxa"/>
          </w:tcPr>
          <w:p w14:paraId="237C4BB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83</w:t>
            </w:r>
          </w:p>
        </w:tc>
        <w:tc>
          <w:tcPr>
            <w:tcW w:w="709" w:type="dxa"/>
          </w:tcPr>
          <w:p w14:paraId="72728E3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681</w:t>
            </w:r>
          </w:p>
        </w:tc>
        <w:tc>
          <w:tcPr>
            <w:tcW w:w="709" w:type="dxa"/>
          </w:tcPr>
          <w:p w14:paraId="2FC5C34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511</w:t>
            </w:r>
          </w:p>
        </w:tc>
        <w:tc>
          <w:tcPr>
            <w:tcW w:w="708" w:type="dxa"/>
          </w:tcPr>
          <w:p w14:paraId="50E1F7D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128</w:t>
            </w:r>
          </w:p>
        </w:tc>
        <w:tc>
          <w:tcPr>
            <w:tcW w:w="709" w:type="dxa"/>
          </w:tcPr>
          <w:p w14:paraId="07ED42D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709" w:type="dxa"/>
          </w:tcPr>
          <w:p w14:paraId="342A7FE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641</w:t>
            </w:r>
          </w:p>
        </w:tc>
        <w:tc>
          <w:tcPr>
            <w:tcW w:w="850" w:type="dxa"/>
          </w:tcPr>
          <w:p w14:paraId="5D7ACC6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1403</w:t>
            </w:r>
          </w:p>
        </w:tc>
      </w:tr>
      <w:tr w:rsidR="00F26F01" w:rsidRPr="00C33834" w14:paraId="0E6E52EF" w14:textId="77777777">
        <w:tc>
          <w:tcPr>
            <w:tcW w:w="1814" w:type="dxa"/>
          </w:tcPr>
          <w:p w14:paraId="563F813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год абсолют.</w:t>
            </w:r>
          </w:p>
        </w:tc>
        <w:tc>
          <w:tcPr>
            <w:tcW w:w="704" w:type="dxa"/>
          </w:tcPr>
          <w:p w14:paraId="5D4CBC7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220</w:t>
            </w:r>
          </w:p>
        </w:tc>
        <w:tc>
          <w:tcPr>
            <w:tcW w:w="709" w:type="dxa"/>
          </w:tcPr>
          <w:p w14:paraId="63E74F3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320</w:t>
            </w:r>
          </w:p>
        </w:tc>
        <w:tc>
          <w:tcPr>
            <w:tcW w:w="709" w:type="dxa"/>
          </w:tcPr>
          <w:p w14:paraId="3BD6C1F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c>
          <w:tcPr>
            <w:tcW w:w="708" w:type="dxa"/>
          </w:tcPr>
          <w:p w14:paraId="38DC7B3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709" w:type="dxa"/>
          </w:tcPr>
          <w:p w14:paraId="7D7006A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641</w:t>
            </w:r>
          </w:p>
        </w:tc>
        <w:tc>
          <w:tcPr>
            <w:tcW w:w="709" w:type="dxa"/>
          </w:tcPr>
          <w:p w14:paraId="4DBC49C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1867</w:t>
            </w:r>
          </w:p>
        </w:tc>
        <w:tc>
          <w:tcPr>
            <w:tcW w:w="709" w:type="dxa"/>
          </w:tcPr>
          <w:p w14:paraId="4B671CC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1672</w:t>
            </w:r>
          </w:p>
        </w:tc>
        <w:tc>
          <w:tcPr>
            <w:tcW w:w="708" w:type="dxa"/>
          </w:tcPr>
          <w:p w14:paraId="4DC6DA3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385</w:t>
            </w:r>
          </w:p>
        </w:tc>
        <w:tc>
          <w:tcPr>
            <w:tcW w:w="709" w:type="dxa"/>
          </w:tcPr>
          <w:p w14:paraId="60ADB84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709" w:type="dxa"/>
          </w:tcPr>
          <w:p w14:paraId="03848A1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2059</w:t>
            </w:r>
          </w:p>
        </w:tc>
        <w:tc>
          <w:tcPr>
            <w:tcW w:w="850" w:type="dxa"/>
          </w:tcPr>
          <w:p w14:paraId="0EB3451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4567</w:t>
            </w:r>
          </w:p>
        </w:tc>
      </w:tr>
      <w:tr w:rsidR="00F26F01" w:rsidRPr="00C33834" w14:paraId="744BE232" w14:textId="77777777">
        <w:tc>
          <w:tcPr>
            <w:tcW w:w="1814" w:type="dxa"/>
          </w:tcPr>
          <w:p w14:paraId="39704A8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год в % к годовому плану</w:t>
            </w:r>
          </w:p>
        </w:tc>
        <w:tc>
          <w:tcPr>
            <w:tcW w:w="704" w:type="dxa"/>
          </w:tcPr>
          <w:p w14:paraId="23E8F81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104,2</w:t>
            </w:r>
          </w:p>
        </w:tc>
        <w:tc>
          <w:tcPr>
            <w:tcW w:w="709" w:type="dxa"/>
          </w:tcPr>
          <w:p w14:paraId="3B8331C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98,8</w:t>
            </w:r>
          </w:p>
        </w:tc>
        <w:tc>
          <w:tcPr>
            <w:tcW w:w="709" w:type="dxa"/>
          </w:tcPr>
          <w:p w14:paraId="331A40F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708" w:type="dxa"/>
          </w:tcPr>
          <w:p w14:paraId="113B261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2531ECF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68,5</w:t>
            </w:r>
          </w:p>
        </w:tc>
        <w:tc>
          <w:tcPr>
            <w:tcW w:w="709" w:type="dxa"/>
          </w:tcPr>
          <w:p w14:paraId="075CB60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83,0</w:t>
            </w:r>
          </w:p>
        </w:tc>
        <w:tc>
          <w:tcPr>
            <w:tcW w:w="709" w:type="dxa"/>
          </w:tcPr>
          <w:p w14:paraId="0AC0969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95,3</w:t>
            </w:r>
          </w:p>
        </w:tc>
        <w:tc>
          <w:tcPr>
            <w:tcW w:w="708" w:type="dxa"/>
          </w:tcPr>
          <w:p w14:paraId="195D18F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104,0</w:t>
            </w:r>
          </w:p>
        </w:tc>
        <w:tc>
          <w:tcPr>
            <w:tcW w:w="709" w:type="dxa"/>
          </w:tcPr>
          <w:p w14:paraId="2393588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66B71D1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96,9</w:t>
            </w:r>
          </w:p>
        </w:tc>
        <w:tc>
          <w:tcPr>
            <w:tcW w:w="850" w:type="dxa"/>
          </w:tcPr>
          <w:p w14:paraId="19E4A99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86,0</w:t>
            </w:r>
          </w:p>
        </w:tc>
      </w:tr>
      <w:tr w:rsidR="00F26F01" w:rsidRPr="00C33834" w14:paraId="6671B14A" w14:textId="77777777">
        <w:tc>
          <w:tcPr>
            <w:tcW w:w="1814" w:type="dxa"/>
          </w:tcPr>
          <w:p w14:paraId="1E31832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сдано моторов с пониженной кондицией</w:t>
            </w:r>
          </w:p>
        </w:tc>
        <w:tc>
          <w:tcPr>
            <w:tcW w:w="704" w:type="dxa"/>
          </w:tcPr>
          <w:p w14:paraId="6C81A46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448D859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044BFC3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8" w:type="dxa"/>
          </w:tcPr>
          <w:p w14:paraId="72172FC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7E8FE94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71F57E3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142</w:t>
            </w:r>
          </w:p>
        </w:tc>
        <w:tc>
          <w:tcPr>
            <w:tcW w:w="709" w:type="dxa"/>
          </w:tcPr>
          <w:p w14:paraId="71F7148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83</w:t>
            </w:r>
          </w:p>
        </w:tc>
        <w:tc>
          <w:tcPr>
            <w:tcW w:w="708" w:type="dxa"/>
          </w:tcPr>
          <w:p w14:paraId="2EDCAE6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709" w:type="dxa"/>
          </w:tcPr>
          <w:p w14:paraId="631B9A6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34FE69D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98</w:t>
            </w:r>
          </w:p>
        </w:tc>
        <w:tc>
          <w:tcPr>
            <w:tcW w:w="850" w:type="dxa"/>
          </w:tcPr>
          <w:p w14:paraId="1F2EEE1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w:t>
            </w:r>
          </w:p>
        </w:tc>
      </w:tr>
      <w:tr w:rsidR="00F26F01" w:rsidRPr="00C33834" w14:paraId="3F3B7FAB" w14:textId="77777777">
        <w:tc>
          <w:tcPr>
            <w:tcW w:w="1814" w:type="dxa"/>
          </w:tcPr>
          <w:p w14:paraId="32AB4D2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сдано моторов с пониженной кондицией в %% к годовому плану</w:t>
            </w:r>
          </w:p>
        </w:tc>
        <w:tc>
          <w:tcPr>
            <w:tcW w:w="704" w:type="dxa"/>
          </w:tcPr>
          <w:p w14:paraId="70BBD93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7189CD9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4EA1820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8" w:type="dxa"/>
          </w:tcPr>
          <w:p w14:paraId="25074FB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248915C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3A14B93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w:t>
            </w:r>
          </w:p>
        </w:tc>
        <w:tc>
          <w:tcPr>
            <w:tcW w:w="709" w:type="dxa"/>
          </w:tcPr>
          <w:p w14:paraId="4812A25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w:t>
            </w:r>
          </w:p>
        </w:tc>
        <w:tc>
          <w:tcPr>
            <w:tcW w:w="708" w:type="dxa"/>
          </w:tcPr>
          <w:p w14:paraId="0DE9B26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w:t>
            </w:r>
          </w:p>
        </w:tc>
        <w:tc>
          <w:tcPr>
            <w:tcW w:w="709" w:type="dxa"/>
          </w:tcPr>
          <w:p w14:paraId="596DDD0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66C4430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w:t>
            </w:r>
          </w:p>
        </w:tc>
        <w:tc>
          <w:tcPr>
            <w:tcW w:w="850" w:type="dxa"/>
          </w:tcPr>
          <w:p w14:paraId="124D6C2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w:t>
            </w:r>
          </w:p>
        </w:tc>
      </w:tr>
      <w:tr w:rsidR="00F26F01" w:rsidRPr="00C33834" w14:paraId="389704A7" w14:textId="77777777">
        <w:tc>
          <w:tcPr>
            <w:tcW w:w="1814" w:type="dxa"/>
          </w:tcPr>
          <w:p w14:paraId="689D98F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сдано моторов учебно-неработающих и макетов</w:t>
            </w:r>
          </w:p>
        </w:tc>
        <w:tc>
          <w:tcPr>
            <w:tcW w:w="704" w:type="dxa"/>
          </w:tcPr>
          <w:p w14:paraId="010301E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6B6C7BD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3BD6E1A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8" w:type="dxa"/>
          </w:tcPr>
          <w:p w14:paraId="3D9BE29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20509EA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4FE3912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111</w:t>
            </w:r>
          </w:p>
        </w:tc>
        <w:tc>
          <w:tcPr>
            <w:tcW w:w="709" w:type="dxa"/>
          </w:tcPr>
          <w:p w14:paraId="6843BA1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8" w:type="dxa"/>
          </w:tcPr>
          <w:p w14:paraId="0946DE0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7EC1361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5545185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0" w:type="dxa"/>
          </w:tcPr>
          <w:p w14:paraId="56C4023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111</w:t>
            </w:r>
          </w:p>
        </w:tc>
      </w:tr>
      <w:tr w:rsidR="00F26F01" w:rsidRPr="00C33834" w14:paraId="0B035F99" w14:textId="77777777">
        <w:tc>
          <w:tcPr>
            <w:tcW w:w="1814" w:type="dxa"/>
          </w:tcPr>
          <w:p w14:paraId="149A456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сдано моторов учебно-неработающих и макетов в %% к годовому</w:t>
            </w:r>
          </w:p>
        </w:tc>
        <w:tc>
          <w:tcPr>
            <w:tcW w:w="704" w:type="dxa"/>
          </w:tcPr>
          <w:p w14:paraId="7D642B0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06D3530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7425294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8" w:type="dxa"/>
          </w:tcPr>
          <w:p w14:paraId="50AC8A2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063D484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780B59A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w:t>
            </w:r>
          </w:p>
        </w:tc>
        <w:tc>
          <w:tcPr>
            <w:tcW w:w="709" w:type="dxa"/>
          </w:tcPr>
          <w:p w14:paraId="667C72C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8" w:type="dxa"/>
          </w:tcPr>
          <w:p w14:paraId="4F4B2A6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11A6BEE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44F5BB8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0" w:type="dxa"/>
          </w:tcPr>
          <w:p w14:paraId="22289C5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r>
      <w:tr w:rsidR="00F26F01" w:rsidRPr="00C33834" w14:paraId="15A34553" w14:textId="77777777">
        <w:tc>
          <w:tcPr>
            <w:tcW w:w="1814" w:type="dxa"/>
          </w:tcPr>
          <w:p w14:paraId="1B7732D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Всего вместе с моторами пониженной кондиции и макетами за год</w:t>
            </w:r>
          </w:p>
        </w:tc>
        <w:tc>
          <w:tcPr>
            <w:tcW w:w="704" w:type="dxa"/>
          </w:tcPr>
          <w:p w14:paraId="46E56BA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220</w:t>
            </w:r>
          </w:p>
        </w:tc>
        <w:tc>
          <w:tcPr>
            <w:tcW w:w="709" w:type="dxa"/>
          </w:tcPr>
          <w:p w14:paraId="6A5F6C1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320</w:t>
            </w:r>
          </w:p>
        </w:tc>
        <w:tc>
          <w:tcPr>
            <w:tcW w:w="709" w:type="dxa"/>
          </w:tcPr>
          <w:p w14:paraId="69C35FD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c>
          <w:tcPr>
            <w:tcW w:w="708" w:type="dxa"/>
          </w:tcPr>
          <w:p w14:paraId="074083A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709" w:type="dxa"/>
          </w:tcPr>
          <w:p w14:paraId="5106D77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641</w:t>
            </w:r>
          </w:p>
        </w:tc>
        <w:tc>
          <w:tcPr>
            <w:tcW w:w="709" w:type="dxa"/>
          </w:tcPr>
          <w:p w14:paraId="0E849C2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2120</w:t>
            </w:r>
          </w:p>
        </w:tc>
        <w:tc>
          <w:tcPr>
            <w:tcW w:w="709" w:type="dxa"/>
          </w:tcPr>
          <w:p w14:paraId="1066D57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1755</w:t>
            </w:r>
          </w:p>
        </w:tc>
        <w:tc>
          <w:tcPr>
            <w:tcW w:w="708" w:type="dxa"/>
          </w:tcPr>
          <w:p w14:paraId="5418F00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709" w:type="dxa"/>
          </w:tcPr>
          <w:p w14:paraId="5BBD31A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709" w:type="dxa"/>
          </w:tcPr>
          <w:p w14:paraId="0426D03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2157</w:t>
            </w:r>
          </w:p>
        </w:tc>
        <w:tc>
          <w:tcPr>
            <w:tcW w:w="850" w:type="dxa"/>
          </w:tcPr>
          <w:p w14:paraId="600E0A0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4918</w:t>
            </w:r>
          </w:p>
        </w:tc>
      </w:tr>
      <w:tr w:rsidR="00F26F01" w:rsidRPr="00C33834" w14:paraId="57A45611" w14:textId="77777777">
        <w:tc>
          <w:tcPr>
            <w:tcW w:w="1814" w:type="dxa"/>
          </w:tcPr>
          <w:p w14:paraId="33A73D0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вместе с моторами пониженной кондиции и макетами %% к годовому плану</w:t>
            </w:r>
          </w:p>
        </w:tc>
        <w:tc>
          <w:tcPr>
            <w:tcW w:w="704" w:type="dxa"/>
          </w:tcPr>
          <w:p w14:paraId="31DCC7A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104,2</w:t>
            </w:r>
          </w:p>
        </w:tc>
        <w:tc>
          <w:tcPr>
            <w:tcW w:w="709" w:type="dxa"/>
          </w:tcPr>
          <w:p w14:paraId="7DE5100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98,8</w:t>
            </w:r>
          </w:p>
        </w:tc>
        <w:tc>
          <w:tcPr>
            <w:tcW w:w="709" w:type="dxa"/>
          </w:tcPr>
          <w:p w14:paraId="57A5217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708" w:type="dxa"/>
          </w:tcPr>
          <w:p w14:paraId="7501467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4CF92F9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68,5</w:t>
            </w:r>
          </w:p>
        </w:tc>
        <w:tc>
          <w:tcPr>
            <w:tcW w:w="709" w:type="dxa"/>
          </w:tcPr>
          <w:p w14:paraId="0EA30D6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94,2</w:t>
            </w:r>
          </w:p>
        </w:tc>
        <w:tc>
          <w:tcPr>
            <w:tcW w:w="709" w:type="dxa"/>
          </w:tcPr>
          <w:p w14:paraId="204694B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708" w:type="dxa"/>
          </w:tcPr>
          <w:p w14:paraId="4EC512D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108,1</w:t>
            </w:r>
          </w:p>
        </w:tc>
        <w:tc>
          <w:tcPr>
            <w:tcW w:w="709" w:type="dxa"/>
          </w:tcPr>
          <w:p w14:paraId="796FB4F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9" w:type="dxa"/>
          </w:tcPr>
          <w:p w14:paraId="4D7D534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101,5</w:t>
            </w:r>
          </w:p>
        </w:tc>
        <w:tc>
          <w:tcPr>
            <w:tcW w:w="850" w:type="dxa"/>
          </w:tcPr>
          <w:p w14:paraId="5BF16B0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92,6</w:t>
            </w:r>
          </w:p>
        </w:tc>
      </w:tr>
      <w:tr w:rsidR="00F26F01" w:rsidRPr="00C33834" w14:paraId="140E5768" w14:textId="77777777">
        <w:tc>
          <w:tcPr>
            <w:tcW w:w="1814" w:type="dxa"/>
          </w:tcPr>
          <w:p w14:paraId="5686B88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вместе с моторами пониженной кондиции и макетами %% к 1931 году</w:t>
            </w:r>
          </w:p>
        </w:tc>
        <w:tc>
          <w:tcPr>
            <w:tcW w:w="704" w:type="dxa"/>
          </w:tcPr>
          <w:p w14:paraId="09629BB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118,3</w:t>
            </w:r>
          </w:p>
        </w:tc>
        <w:tc>
          <w:tcPr>
            <w:tcW w:w="709" w:type="dxa"/>
          </w:tcPr>
          <w:p w14:paraId="26FB9E0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256,0</w:t>
            </w:r>
          </w:p>
        </w:tc>
        <w:tc>
          <w:tcPr>
            <w:tcW w:w="709" w:type="dxa"/>
          </w:tcPr>
          <w:p w14:paraId="1DEB673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8" w:type="dxa"/>
          </w:tcPr>
          <w:p w14:paraId="6AE4551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709" w:type="dxa"/>
          </w:tcPr>
          <w:p w14:paraId="54A0591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w:t>
            </w:r>
          </w:p>
        </w:tc>
        <w:tc>
          <w:tcPr>
            <w:tcW w:w="709" w:type="dxa"/>
          </w:tcPr>
          <w:p w14:paraId="2685F6F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312,2</w:t>
            </w:r>
          </w:p>
        </w:tc>
        <w:tc>
          <w:tcPr>
            <w:tcW w:w="709" w:type="dxa"/>
          </w:tcPr>
          <w:p w14:paraId="7C5FF2A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328,0</w:t>
            </w:r>
          </w:p>
        </w:tc>
        <w:tc>
          <w:tcPr>
            <w:tcW w:w="708" w:type="dxa"/>
          </w:tcPr>
          <w:p w14:paraId="07ED3F8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709" w:type="dxa"/>
          </w:tcPr>
          <w:p w14:paraId="33ABA4F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14,3</w:t>
            </w:r>
          </w:p>
        </w:tc>
        <w:tc>
          <w:tcPr>
            <w:tcW w:w="709" w:type="dxa"/>
          </w:tcPr>
          <w:p w14:paraId="5AE4800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342,6</w:t>
            </w:r>
          </w:p>
        </w:tc>
        <w:tc>
          <w:tcPr>
            <w:tcW w:w="850" w:type="dxa"/>
          </w:tcPr>
          <w:p w14:paraId="0B1086C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299,9</w:t>
            </w:r>
          </w:p>
        </w:tc>
      </w:tr>
      <w:tr w:rsidR="00F26F01" w:rsidRPr="00C33834" w14:paraId="3522F3FF" w14:textId="77777777">
        <w:tc>
          <w:tcPr>
            <w:tcW w:w="1814" w:type="dxa"/>
          </w:tcPr>
          <w:p w14:paraId="053BFA9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Сдано моторов в 1931 году</w:t>
            </w:r>
          </w:p>
        </w:tc>
        <w:tc>
          <w:tcPr>
            <w:tcW w:w="704" w:type="dxa"/>
          </w:tcPr>
          <w:p w14:paraId="6909231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186</w:t>
            </w:r>
          </w:p>
        </w:tc>
        <w:tc>
          <w:tcPr>
            <w:tcW w:w="709" w:type="dxa"/>
          </w:tcPr>
          <w:p w14:paraId="1E94C21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w:t>
            </w:r>
          </w:p>
        </w:tc>
        <w:tc>
          <w:tcPr>
            <w:tcW w:w="709" w:type="dxa"/>
          </w:tcPr>
          <w:p w14:paraId="4BE79D5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08" w:type="dxa"/>
          </w:tcPr>
          <w:p w14:paraId="0F8AEA8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709" w:type="dxa"/>
          </w:tcPr>
          <w:p w14:paraId="5F54A03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332</w:t>
            </w:r>
          </w:p>
        </w:tc>
        <w:tc>
          <w:tcPr>
            <w:tcW w:w="709" w:type="dxa"/>
          </w:tcPr>
          <w:p w14:paraId="4C93A0B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679</w:t>
            </w:r>
          </w:p>
        </w:tc>
        <w:tc>
          <w:tcPr>
            <w:tcW w:w="709" w:type="dxa"/>
          </w:tcPr>
          <w:p w14:paraId="56898FE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535</w:t>
            </w:r>
          </w:p>
        </w:tc>
        <w:tc>
          <w:tcPr>
            <w:tcW w:w="708" w:type="dxa"/>
          </w:tcPr>
          <w:p w14:paraId="766281A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c>
          <w:tcPr>
            <w:tcW w:w="709" w:type="dxa"/>
          </w:tcPr>
          <w:p w14:paraId="3C15FE9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w:t>
            </w:r>
          </w:p>
        </w:tc>
        <w:tc>
          <w:tcPr>
            <w:tcW w:w="709" w:type="dxa"/>
          </w:tcPr>
          <w:p w14:paraId="32D42BB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629</w:t>
            </w:r>
          </w:p>
        </w:tc>
        <w:tc>
          <w:tcPr>
            <w:tcW w:w="850" w:type="dxa"/>
          </w:tcPr>
          <w:p w14:paraId="109EBF7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1640</w:t>
            </w:r>
          </w:p>
        </w:tc>
      </w:tr>
    </w:tbl>
    <w:p w14:paraId="18F73BF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(3530,65).</w:t>
      </w:r>
    </w:p>
    <w:p w14:paraId="5FC4C47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правительственного плана по самолетам за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846"/>
        <w:gridCol w:w="850"/>
        <w:gridCol w:w="851"/>
        <w:gridCol w:w="850"/>
        <w:gridCol w:w="851"/>
        <w:gridCol w:w="850"/>
        <w:gridCol w:w="851"/>
        <w:gridCol w:w="992"/>
        <w:gridCol w:w="992"/>
      </w:tblGrid>
      <w:tr w:rsidR="00F26F01" w:rsidRPr="00C33834" w14:paraId="51C8CE4A" w14:textId="77777777">
        <w:tc>
          <w:tcPr>
            <w:tcW w:w="1247" w:type="dxa"/>
          </w:tcPr>
          <w:p w14:paraId="1AB17FC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w:t>
            </w:r>
          </w:p>
        </w:tc>
        <w:tc>
          <w:tcPr>
            <w:tcW w:w="846" w:type="dxa"/>
          </w:tcPr>
          <w:p w14:paraId="2680469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w:t>
            </w:r>
          </w:p>
        </w:tc>
        <w:tc>
          <w:tcPr>
            <w:tcW w:w="850" w:type="dxa"/>
          </w:tcPr>
          <w:p w14:paraId="22200EE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w:t>
            </w:r>
          </w:p>
          <w:p w14:paraId="42E79E4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квартал</w:t>
            </w:r>
          </w:p>
        </w:tc>
        <w:tc>
          <w:tcPr>
            <w:tcW w:w="851" w:type="dxa"/>
          </w:tcPr>
          <w:p w14:paraId="4AB03A7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w:t>
            </w:r>
          </w:p>
          <w:p w14:paraId="65C019A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 квартал</w:t>
            </w:r>
          </w:p>
        </w:tc>
        <w:tc>
          <w:tcPr>
            <w:tcW w:w="850" w:type="dxa"/>
          </w:tcPr>
          <w:p w14:paraId="15A4485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Выполнение </w:t>
            </w:r>
          </w:p>
          <w:p w14:paraId="5A7858C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III квартал</w:t>
            </w:r>
          </w:p>
        </w:tc>
        <w:tc>
          <w:tcPr>
            <w:tcW w:w="851" w:type="dxa"/>
          </w:tcPr>
          <w:p w14:paraId="55F2609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w:t>
            </w:r>
          </w:p>
          <w:p w14:paraId="4E71928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IV квартал</w:t>
            </w:r>
          </w:p>
        </w:tc>
        <w:tc>
          <w:tcPr>
            <w:tcW w:w="850" w:type="dxa"/>
          </w:tcPr>
          <w:p w14:paraId="760FD61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за весь 1932 год абсолютн.</w:t>
            </w:r>
          </w:p>
        </w:tc>
        <w:tc>
          <w:tcPr>
            <w:tcW w:w="851" w:type="dxa"/>
          </w:tcPr>
          <w:p w14:paraId="5894B99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за весь 1932 год в %% к годовому плану</w:t>
            </w:r>
          </w:p>
        </w:tc>
        <w:tc>
          <w:tcPr>
            <w:tcW w:w="992" w:type="dxa"/>
          </w:tcPr>
          <w:p w14:paraId="5C9FFD1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за весь 1932 год в %% к сдаче 1931 г.</w:t>
            </w:r>
          </w:p>
        </w:tc>
        <w:tc>
          <w:tcPr>
            <w:tcW w:w="992" w:type="dxa"/>
          </w:tcPr>
          <w:p w14:paraId="00BC45A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Сдано за весь 1931 год</w:t>
            </w:r>
          </w:p>
        </w:tc>
      </w:tr>
      <w:tr w:rsidR="00F26F01" w:rsidRPr="00C33834" w14:paraId="57A4BAB4" w14:textId="77777777">
        <w:tc>
          <w:tcPr>
            <w:tcW w:w="1247" w:type="dxa"/>
          </w:tcPr>
          <w:p w14:paraId="1F9ED6A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И5-М22</w:t>
            </w:r>
          </w:p>
        </w:tc>
        <w:tc>
          <w:tcPr>
            <w:tcW w:w="846" w:type="dxa"/>
          </w:tcPr>
          <w:p w14:paraId="2B9EC8C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w:t>
            </w:r>
          </w:p>
        </w:tc>
        <w:tc>
          <w:tcPr>
            <w:tcW w:w="850" w:type="dxa"/>
          </w:tcPr>
          <w:p w14:paraId="058A100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851" w:type="dxa"/>
          </w:tcPr>
          <w:p w14:paraId="1C96A9A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w:t>
            </w:r>
          </w:p>
        </w:tc>
        <w:tc>
          <w:tcPr>
            <w:tcW w:w="850" w:type="dxa"/>
          </w:tcPr>
          <w:p w14:paraId="5AF81B5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7B3E2CC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850" w:type="dxa"/>
          </w:tcPr>
          <w:p w14:paraId="1B499DE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p>
        </w:tc>
        <w:tc>
          <w:tcPr>
            <w:tcW w:w="851" w:type="dxa"/>
          </w:tcPr>
          <w:p w14:paraId="723B49E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102,7</w:t>
            </w:r>
          </w:p>
        </w:tc>
        <w:tc>
          <w:tcPr>
            <w:tcW w:w="992" w:type="dxa"/>
          </w:tcPr>
          <w:p w14:paraId="678F42D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115,2</w:t>
            </w:r>
          </w:p>
        </w:tc>
        <w:tc>
          <w:tcPr>
            <w:tcW w:w="992" w:type="dxa"/>
          </w:tcPr>
          <w:p w14:paraId="7E03176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w:t>
            </w:r>
          </w:p>
        </w:tc>
      </w:tr>
      <w:tr w:rsidR="00F26F01" w:rsidRPr="00C33834" w14:paraId="7E46F1E1" w14:textId="77777777">
        <w:tc>
          <w:tcPr>
            <w:tcW w:w="1247" w:type="dxa"/>
          </w:tcPr>
          <w:p w14:paraId="659B7CE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Р5-М17</w:t>
            </w:r>
          </w:p>
        </w:tc>
        <w:tc>
          <w:tcPr>
            <w:tcW w:w="846" w:type="dxa"/>
          </w:tcPr>
          <w:p w14:paraId="1913B13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w:t>
            </w:r>
          </w:p>
        </w:tc>
        <w:tc>
          <w:tcPr>
            <w:tcW w:w="850" w:type="dxa"/>
          </w:tcPr>
          <w:p w14:paraId="23834CA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223</w:t>
            </w:r>
          </w:p>
        </w:tc>
        <w:tc>
          <w:tcPr>
            <w:tcW w:w="851" w:type="dxa"/>
          </w:tcPr>
          <w:p w14:paraId="7F204DD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271</w:t>
            </w:r>
          </w:p>
        </w:tc>
        <w:tc>
          <w:tcPr>
            <w:tcW w:w="850" w:type="dxa"/>
          </w:tcPr>
          <w:p w14:paraId="1556897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196</w:t>
            </w:r>
          </w:p>
        </w:tc>
        <w:tc>
          <w:tcPr>
            <w:tcW w:w="851" w:type="dxa"/>
          </w:tcPr>
          <w:p w14:paraId="33E4972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194</w:t>
            </w:r>
          </w:p>
        </w:tc>
        <w:tc>
          <w:tcPr>
            <w:tcW w:w="850" w:type="dxa"/>
          </w:tcPr>
          <w:p w14:paraId="6386EBA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884</w:t>
            </w:r>
          </w:p>
        </w:tc>
        <w:tc>
          <w:tcPr>
            <w:tcW w:w="851" w:type="dxa"/>
          </w:tcPr>
          <w:p w14:paraId="4A0C8DD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73,7</w:t>
            </w:r>
          </w:p>
        </w:tc>
        <w:tc>
          <w:tcPr>
            <w:tcW w:w="992" w:type="dxa"/>
          </w:tcPr>
          <w:p w14:paraId="5EAA2ED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263,1</w:t>
            </w:r>
          </w:p>
        </w:tc>
        <w:tc>
          <w:tcPr>
            <w:tcW w:w="992" w:type="dxa"/>
          </w:tcPr>
          <w:p w14:paraId="41D4081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336</w:t>
            </w:r>
          </w:p>
        </w:tc>
      </w:tr>
      <w:tr w:rsidR="00F26F01" w:rsidRPr="00C33834" w14:paraId="69D6C2A9" w14:textId="77777777">
        <w:tc>
          <w:tcPr>
            <w:tcW w:w="1247" w:type="dxa"/>
          </w:tcPr>
          <w:p w14:paraId="02BA464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И7-М17</w:t>
            </w:r>
          </w:p>
        </w:tc>
        <w:tc>
          <w:tcPr>
            <w:tcW w:w="846" w:type="dxa"/>
          </w:tcPr>
          <w:p w14:paraId="3F2760F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w:t>
            </w:r>
          </w:p>
        </w:tc>
        <w:tc>
          <w:tcPr>
            <w:tcW w:w="850" w:type="dxa"/>
          </w:tcPr>
          <w:p w14:paraId="64BFED0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31F400D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0" w:type="dxa"/>
          </w:tcPr>
          <w:p w14:paraId="78D17B9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177F4C3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w:t>
            </w:r>
          </w:p>
        </w:tc>
        <w:tc>
          <w:tcPr>
            <w:tcW w:w="850" w:type="dxa"/>
          </w:tcPr>
          <w:p w14:paraId="099C87B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w:t>
            </w:r>
          </w:p>
        </w:tc>
        <w:tc>
          <w:tcPr>
            <w:tcW w:w="851" w:type="dxa"/>
          </w:tcPr>
          <w:p w14:paraId="550F633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28,1</w:t>
            </w:r>
          </w:p>
        </w:tc>
        <w:tc>
          <w:tcPr>
            <w:tcW w:w="992" w:type="dxa"/>
          </w:tcPr>
          <w:p w14:paraId="4A5E898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2250,0</w:t>
            </w:r>
          </w:p>
        </w:tc>
        <w:tc>
          <w:tcPr>
            <w:tcW w:w="992" w:type="dxa"/>
          </w:tcPr>
          <w:p w14:paraId="27CFCC2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r>
      <w:tr w:rsidR="00F26F01" w:rsidRPr="00C33834" w14:paraId="6D236C55" w14:textId="77777777">
        <w:tc>
          <w:tcPr>
            <w:tcW w:w="1247" w:type="dxa"/>
          </w:tcPr>
          <w:p w14:paraId="6EF6C1D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Разные самолеты</w:t>
            </w:r>
          </w:p>
        </w:tc>
        <w:tc>
          <w:tcPr>
            <w:tcW w:w="846" w:type="dxa"/>
          </w:tcPr>
          <w:p w14:paraId="0B76EC9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0" w:type="dxa"/>
          </w:tcPr>
          <w:p w14:paraId="6C5DFE3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6CEF779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0" w:type="dxa"/>
          </w:tcPr>
          <w:p w14:paraId="39CD0C9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0A67EF9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0" w:type="dxa"/>
          </w:tcPr>
          <w:p w14:paraId="50604B2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1930E1D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2" w:type="dxa"/>
          </w:tcPr>
          <w:p w14:paraId="03544BC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2" w:type="dxa"/>
          </w:tcPr>
          <w:p w14:paraId="53EAAE0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w:t>
            </w:r>
          </w:p>
        </w:tc>
      </w:tr>
      <w:tr w:rsidR="00F26F01" w:rsidRPr="00C33834" w14:paraId="0CE6BD31" w14:textId="77777777">
        <w:tc>
          <w:tcPr>
            <w:tcW w:w="1247" w:type="dxa"/>
          </w:tcPr>
          <w:p w14:paraId="02FFDA4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самолетов</w:t>
            </w:r>
          </w:p>
        </w:tc>
        <w:tc>
          <w:tcPr>
            <w:tcW w:w="846" w:type="dxa"/>
          </w:tcPr>
          <w:p w14:paraId="2C66017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1434</w:t>
            </w:r>
          </w:p>
        </w:tc>
        <w:tc>
          <w:tcPr>
            <w:tcW w:w="850" w:type="dxa"/>
          </w:tcPr>
          <w:p w14:paraId="60529E4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243</w:t>
            </w:r>
          </w:p>
        </w:tc>
        <w:tc>
          <w:tcPr>
            <w:tcW w:w="851" w:type="dxa"/>
          </w:tcPr>
          <w:p w14:paraId="5C8FD4A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325</w:t>
            </w:r>
          </w:p>
        </w:tc>
        <w:tc>
          <w:tcPr>
            <w:tcW w:w="850" w:type="dxa"/>
          </w:tcPr>
          <w:p w14:paraId="14DECF7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196</w:t>
            </w:r>
          </w:p>
        </w:tc>
        <w:tc>
          <w:tcPr>
            <w:tcW w:w="851" w:type="dxa"/>
          </w:tcPr>
          <w:p w14:paraId="42CA8B5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241</w:t>
            </w:r>
          </w:p>
        </w:tc>
        <w:tc>
          <w:tcPr>
            <w:tcW w:w="850" w:type="dxa"/>
          </w:tcPr>
          <w:p w14:paraId="6F501A1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1005</w:t>
            </w:r>
          </w:p>
        </w:tc>
        <w:tc>
          <w:tcPr>
            <w:tcW w:w="851" w:type="dxa"/>
          </w:tcPr>
          <w:p w14:paraId="6F04BE0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70,1</w:t>
            </w:r>
          </w:p>
        </w:tc>
        <w:tc>
          <w:tcPr>
            <w:tcW w:w="992" w:type="dxa"/>
          </w:tcPr>
          <w:p w14:paraId="23FA700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219,0</w:t>
            </w:r>
          </w:p>
        </w:tc>
        <w:tc>
          <w:tcPr>
            <w:tcW w:w="992" w:type="dxa"/>
          </w:tcPr>
          <w:p w14:paraId="59A7940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459</w:t>
            </w:r>
          </w:p>
        </w:tc>
      </w:tr>
      <w:tr w:rsidR="00F26F01" w:rsidRPr="00C33834" w14:paraId="6D41C112" w14:textId="77777777">
        <w:tc>
          <w:tcPr>
            <w:tcW w:w="1247" w:type="dxa"/>
          </w:tcPr>
          <w:p w14:paraId="0AF4C2D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АНТ-9</w:t>
            </w:r>
          </w:p>
        </w:tc>
        <w:tc>
          <w:tcPr>
            <w:tcW w:w="846" w:type="dxa"/>
          </w:tcPr>
          <w:p w14:paraId="6AE2806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850" w:type="dxa"/>
          </w:tcPr>
          <w:p w14:paraId="0E63C26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851" w:type="dxa"/>
          </w:tcPr>
          <w:p w14:paraId="2426006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850" w:type="dxa"/>
          </w:tcPr>
          <w:p w14:paraId="60EA231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11521C7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850" w:type="dxa"/>
          </w:tcPr>
          <w:p w14:paraId="161B415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w:t>
            </w:r>
          </w:p>
        </w:tc>
        <w:tc>
          <w:tcPr>
            <w:tcW w:w="851" w:type="dxa"/>
          </w:tcPr>
          <w:p w14:paraId="2EA6C2A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675,0</w:t>
            </w:r>
          </w:p>
        </w:tc>
        <w:tc>
          <w:tcPr>
            <w:tcW w:w="992" w:type="dxa"/>
          </w:tcPr>
          <w:p w14:paraId="4E8774C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81,8</w:t>
            </w:r>
          </w:p>
        </w:tc>
        <w:tc>
          <w:tcPr>
            <w:tcW w:w="992" w:type="dxa"/>
          </w:tcPr>
          <w:p w14:paraId="3D9737B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w:t>
            </w:r>
          </w:p>
        </w:tc>
      </w:tr>
      <w:tr w:rsidR="00F26F01" w:rsidRPr="00C33834" w14:paraId="36804683" w14:textId="77777777">
        <w:tc>
          <w:tcPr>
            <w:tcW w:w="1247" w:type="dxa"/>
          </w:tcPr>
          <w:p w14:paraId="0E98BBF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846" w:type="dxa"/>
          </w:tcPr>
          <w:p w14:paraId="146F9FE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850" w:type="dxa"/>
          </w:tcPr>
          <w:p w14:paraId="19569BC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851" w:type="dxa"/>
          </w:tcPr>
          <w:p w14:paraId="2AA36EA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850" w:type="dxa"/>
          </w:tcPr>
          <w:p w14:paraId="5AD9919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w:t>
            </w:r>
          </w:p>
        </w:tc>
        <w:tc>
          <w:tcPr>
            <w:tcW w:w="851" w:type="dxa"/>
          </w:tcPr>
          <w:p w14:paraId="67B3A7F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108</w:t>
            </w:r>
          </w:p>
        </w:tc>
        <w:tc>
          <w:tcPr>
            <w:tcW w:w="850" w:type="dxa"/>
          </w:tcPr>
          <w:p w14:paraId="723FCBE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155</w:t>
            </w:r>
          </w:p>
        </w:tc>
        <w:tc>
          <w:tcPr>
            <w:tcW w:w="851" w:type="dxa"/>
          </w:tcPr>
          <w:p w14:paraId="147F467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62,0</w:t>
            </w:r>
          </w:p>
        </w:tc>
        <w:tc>
          <w:tcPr>
            <w:tcW w:w="992" w:type="dxa"/>
          </w:tcPr>
          <w:p w14:paraId="71BE6D4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2" w:type="dxa"/>
          </w:tcPr>
          <w:p w14:paraId="31737C9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7D5B2000" w14:textId="77777777">
        <w:tc>
          <w:tcPr>
            <w:tcW w:w="1247" w:type="dxa"/>
          </w:tcPr>
          <w:p w14:paraId="721DE14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Р6-2М17</w:t>
            </w:r>
          </w:p>
        </w:tc>
        <w:tc>
          <w:tcPr>
            <w:tcW w:w="846" w:type="dxa"/>
          </w:tcPr>
          <w:p w14:paraId="7F57A0B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850" w:type="dxa"/>
          </w:tcPr>
          <w:p w14:paraId="5FBDF43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w:t>
            </w:r>
          </w:p>
        </w:tc>
        <w:tc>
          <w:tcPr>
            <w:tcW w:w="851" w:type="dxa"/>
          </w:tcPr>
          <w:p w14:paraId="154F749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850" w:type="dxa"/>
          </w:tcPr>
          <w:p w14:paraId="2438BA0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851" w:type="dxa"/>
          </w:tcPr>
          <w:p w14:paraId="2F46152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850" w:type="dxa"/>
          </w:tcPr>
          <w:p w14:paraId="2EA58AB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851" w:type="dxa"/>
          </w:tcPr>
          <w:p w14:paraId="1FC7BF1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c>
          <w:tcPr>
            <w:tcW w:w="992" w:type="dxa"/>
          </w:tcPr>
          <w:p w14:paraId="4CFA8DB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992" w:type="dxa"/>
          </w:tcPr>
          <w:p w14:paraId="431AFCA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r>
      <w:tr w:rsidR="00F26F01" w:rsidRPr="00C33834" w14:paraId="328A43C3" w14:textId="77777777">
        <w:tc>
          <w:tcPr>
            <w:tcW w:w="1247" w:type="dxa"/>
          </w:tcPr>
          <w:p w14:paraId="2BE7ACF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Разные самолеты</w:t>
            </w:r>
          </w:p>
        </w:tc>
        <w:tc>
          <w:tcPr>
            <w:tcW w:w="846" w:type="dxa"/>
          </w:tcPr>
          <w:p w14:paraId="71E266A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0" w:type="dxa"/>
          </w:tcPr>
          <w:p w14:paraId="1588EAF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40ABA8F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0" w:type="dxa"/>
          </w:tcPr>
          <w:p w14:paraId="147E5A1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4E52BA9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850" w:type="dxa"/>
          </w:tcPr>
          <w:p w14:paraId="56CDCA7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851" w:type="dxa"/>
          </w:tcPr>
          <w:p w14:paraId="2FDDF2C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2" w:type="dxa"/>
          </w:tcPr>
          <w:p w14:paraId="70B6ABA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w:t>
            </w:r>
          </w:p>
        </w:tc>
        <w:tc>
          <w:tcPr>
            <w:tcW w:w="992" w:type="dxa"/>
          </w:tcPr>
          <w:p w14:paraId="2AE51CB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158</w:t>
            </w:r>
          </w:p>
        </w:tc>
      </w:tr>
      <w:tr w:rsidR="00F26F01" w:rsidRPr="00C33834" w14:paraId="2D87BACC" w14:textId="77777777">
        <w:tc>
          <w:tcPr>
            <w:tcW w:w="1247" w:type="dxa"/>
          </w:tcPr>
          <w:p w14:paraId="7D564FA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самолетов</w:t>
            </w:r>
          </w:p>
        </w:tc>
        <w:tc>
          <w:tcPr>
            <w:tcW w:w="846" w:type="dxa"/>
          </w:tcPr>
          <w:p w14:paraId="733B96C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274</w:t>
            </w:r>
          </w:p>
        </w:tc>
        <w:tc>
          <w:tcPr>
            <w:tcW w:w="850" w:type="dxa"/>
          </w:tcPr>
          <w:p w14:paraId="5013748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w:t>
            </w:r>
          </w:p>
        </w:tc>
        <w:tc>
          <w:tcPr>
            <w:tcW w:w="851" w:type="dxa"/>
          </w:tcPr>
          <w:p w14:paraId="1569659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850" w:type="dxa"/>
          </w:tcPr>
          <w:p w14:paraId="076AF47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w:t>
            </w:r>
          </w:p>
        </w:tc>
        <w:tc>
          <w:tcPr>
            <w:tcW w:w="851" w:type="dxa"/>
          </w:tcPr>
          <w:p w14:paraId="2D319CA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116</w:t>
            </w:r>
          </w:p>
        </w:tc>
        <w:tc>
          <w:tcPr>
            <w:tcW w:w="850" w:type="dxa"/>
          </w:tcPr>
          <w:p w14:paraId="63536C3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214</w:t>
            </w:r>
          </w:p>
        </w:tc>
        <w:tc>
          <w:tcPr>
            <w:tcW w:w="851" w:type="dxa"/>
          </w:tcPr>
          <w:p w14:paraId="126B40A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78,1</w:t>
            </w:r>
          </w:p>
        </w:tc>
        <w:tc>
          <w:tcPr>
            <w:tcW w:w="992" w:type="dxa"/>
          </w:tcPr>
          <w:p w14:paraId="379B921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103,9</w:t>
            </w:r>
          </w:p>
        </w:tc>
        <w:tc>
          <w:tcPr>
            <w:tcW w:w="992" w:type="dxa"/>
          </w:tcPr>
          <w:p w14:paraId="663F82B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206</w:t>
            </w:r>
          </w:p>
        </w:tc>
      </w:tr>
      <w:tr w:rsidR="00F26F01" w:rsidRPr="00C33834" w14:paraId="3F9F4A72" w14:textId="77777777">
        <w:tc>
          <w:tcPr>
            <w:tcW w:w="1247" w:type="dxa"/>
          </w:tcPr>
          <w:p w14:paraId="4B15DCA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У2-М11</w:t>
            </w:r>
          </w:p>
        </w:tc>
        <w:tc>
          <w:tcPr>
            <w:tcW w:w="846" w:type="dxa"/>
          </w:tcPr>
          <w:p w14:paraId="20BFDE5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835</w:t>
            </w:r>
          </w:p>
        </w:tc>
        <w:tc>
          <w:tcPr>
            <w:tcW w:w="850" w:type="dxa"/>
          </w:tcPr>
          <w:p w14:paraId="7BC2B03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221</w:t>
            </w:r>
          </w:p>
        </w:tc>
        <w:tc>
          <w:tcPr>
            <w:tcW w:w="851" w:type="dxa"/>
          </w:tcPr>
          <w:p w14:paraId="76EEEF5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127</w:t>
            </w:r>
          </w:p>
        </w:tc>
        <w:tc>
          <w:tcPr>
            <w:tcW w:w="850" w:type="dxa"/>
          </w:tcPr>
          <w:p w14:paraId="475FDF4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294</w:t>
            </w:r>
          </w:p>
        </w:tc>
        <w:tc>
          <w:tcPr>
            <w:tcW w:w="851" w:type="dxa"/>
          </w:tcPr>
          <w:p w14:paraId="4404789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850" w:type="dxa"/>
          </w:tcPr>
          <w:p w14:paraId="7A92E04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942</w:t>
            </w:r>
          </w:p>
        </w:tc>
        <w:tc>
          <w:tcPr>
            <w:tcW w:w="851" w:type="dxa"/>
          </w:tcPr>
          <w:p w14:paraId="6FB27F5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112,8 </w:t>
            </w:r>
          </w:p>
        </w:tc>
        <w:tc>
          <w:tcPr>
            <w:tcW w:w="992" w:type="dxa"/>
          </w:tcPr>
          <w:p w14:paraId="2DCD444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332,9</w:t>
            </w:r>
          </w:p>
        </w:tc>
        <w:tc>
          <w:tcPr>
            <w:tcW w:w="992" w:type="dxa"/>
          </w:tcPr>
          <w:p w14:paraId="36C1B09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283</w:t>
            </w:r>
          </w:p>
        </w:tc>
      </w:tr>
      <w:tr w:rsidR="00F26F01" w:rsidRPr="00C33834" w14:paraId="1AAE53A4" w14:textId="77777777">
        <w:tc>
          <w:tcPr>
            <w:tcW w:w="1247" w:type="dxa"/>
          </w:tcPr>
          <w:p w14:paraId="5CF7D1D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АП-М11</w:t>
            </w:r>
          </w:p>
        </w:tc>
        <w:tc>
          <w:tcPr>
            <w:tcW w:w="846" w:type="dxa"/>
          </w:tcPr>
          <w:p w14:paraId="2A3A7B4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850" w:type="dxa"/>
          </w:tcPr>
          <w:p w14:paraId="2097250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851" w:type="dxa"/>
          </w:tcPr>
          <w:p w14:paraId="61749B7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151</w:t>
            </w:r>
          </w:p>
        </w:tc>
        <w:tc>
          <w:tcPr>
            <w:tcW w:w="850" w:type="dxa"/>
          </w:tcPr>
          <w:p w14:paraId="517E06B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6AD4816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0" w:type="dxa"/>
          </w:tcPr>
          <w:p w14:paraId="757648D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171</w:t>
            </w:r>
          </w:p>
        </w:tc>
        <w:tc>
          <w:tcPr>
            <w:tcW w:w="851" w:type="dxa"/>
          </w:tcPr>
          <w:p w14:paraId="55D4CE3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85,5</w:t>
            </w:r>
          </w:p>
        </w:tc>
        <w:tc>
          <w:tcPr>
            <w:tcW w:w="992" w:type="dxa"/>
          </w:tcPr>
          <w:p w14:paraId="5FF744A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310,9</w:t>
            </w:r>
          </w:p>
        </w:tc>
        <w:tc>
          <w:tcPr>
            <w:tcW w:w="992" w:type="dxa"/>
          </w:tcPr>
          <w:p w14:paraId="2C10C6F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w:t>
            </w:r>
          </w:p>
        </w:tc>
      </w:tr>
      <w:tr w:rsidR="00F26F01" w:rsidRPr="00C33834" w14:paraId="5F3ECD9C" w14:textId="77777777">
        <w:tc>
          <w:tcPr>
            <w:tcW w:w="1247" w:type="dxa"/>
          </w:tcPr>
          <w:p w14:paraId="2CCB86D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Разные самолеты</w:t>
            </w:r>
          </w:p>
        </w:tc>
        <w:tc>
          <w:tcPr>
            <w:tcW w:w="846" w:type="dxa"/>
          </w:tcPr>
          <w:p w14:paraId="170155F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0" w:type="dxa"/>
          </w:tcPr>
          <w:p w14:paraId="294B35A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455704F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0" w:type="dxa"/>
          </w:tcPr>
          <w:p w14:paraId="3667414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323FA20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0" w:type="dxa"/>
          </w:tcPr>
          <w:p w14:paraId="4E369AB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1FDB1C1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2" w:type="dxa"/>
          </w:tcPr>
          <w:p w14:paraId="33D1EA5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2" w:type="dxa"/>
          </w:tcPr>
          <w:p w14:paraId="1716C2E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141</w:t>
            </w:r>
          </w:p>
        </w:tc>
      </w:tr>
      <w:tr w:rsidR="00F26F01" w:rsidRPr="00C33834" w14:paraId="578617B0" w14:textId="77777777">
        <w:tc>
          <w:tcPr>
            <w:tcW w:w="1247" w:type="dxa"/>
          </w:tcPr>
          <w:p w14:paraId="0762C96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самолетов</w:t>
            </w:r>
          </w:p>
        </w:tc>
        <w:tc>
          <w:tcPr>
            <w:tcW w:w="846" w:type="dxa"/>
          </w:tcPr>
          <w:p w14:paraId="73D4D47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1035</w:t>
            </w:r>
          </w:p>
        </w:tc>
        <w:tc>
          <w:tcPr>
            <w:tcW w:w="850" w:type="dxa"/>
          </w:tcPr>
          <w:p w14:paraId="46E8FDC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241</w:t>
            </w:r>
          </w:p>
        </w:tc>
        <w:tc>
          <w:tcPr>
            <w:tcW w:w="851" w:type="dxa"/>
          </w:tcPr>
          <w:p w14:paraId="735D907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278</w:t>
            </w:r>
          </w:p>
        </w:tc>
        <w:tc>
          <w:tcPr>
            <w:tcW w:w="850" w:type="dxa"/>
          </w:tcPr>
          <w:p w14:paraId="677B194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294</w:t>
            </w:r>
          </w:p>
        </w:tc>
        <w:tc>
          <w:tcPr>
            <w:tcW w:w="851" w:type="dxa"/>
          </w:tcPr>
          <w:p w14:paraId="788513D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850" w:type="dxa"/>
          </w:tcPr>
          <w:p w14:paraId="24577D5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1113</w:t>
            </w:r>
          </w:p>
        </w:tc>
        <w:tc>
          <w:tcPr>
            <w:tcW w:w="851" w:type="dxa"/>
          </w:tcPr>
          <w:p w14:paraId="4B70693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107,5</w:t>
            </w:r>
          </w:p>
        </w:tc>
        <w:tc>
          <w:tcPr>
            <w:tcW w:w="992" w:type="dxa"/>
          </w:tcPr>
          <w:p w14:paraId="3281516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232,4</w:t>
            </w:r>
          </w:p>
        </w:tc>
        <w:tc>
          <w:tcPr>
            <w:tcW w:w="992" w:type="dxa"/>
          </w:tcPr>
          <w:p w14:paraId="261D926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479</w:t>
            </w:r>
          </w:p>
        </w:tc>
      </w:tr>
      <w:tr w:rsidR="00F26F01" w:rsidRPr="00C33834" w14:paraId="07FCAADE" w14:textId="77777777">
        <w:tc>
          <w:tcPr>
            <w:tcW w:w="1247" w:type="dxa"/>
          </w:tcPr>
          <w:p w14:paraId="4E47A37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Р6-2М17</w:t>
            </w:r>
          </w:p>
        </w:tc>
        <w:tc>
          <w:tcPr>
            <w:tcW w:w="846" w:type="dxa"/>
          </w:tcPr>
          <w:p w14:paraId="2D56CE9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850" w:type="dxa"/>
          </w:tcPr>
          <w:p w14:paraId="76415AB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4441033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0" w:type="dxa"/>
          </w:tcPr>
          <w:p w14:paraId="0D25BA7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7B700EE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850" w:type="dxa"/>
          </w:tcPr>
          <w:p w14:paraId="14F85DF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851" w:type="dxa"/>
          </w:tcPr>
          <w:p w14:paraId="17392FB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w:t>
            </w:r>
          </w:p>
        </w:tc>
        <w:tc>
          <w:tcPr>
            <w:tcW w:w="992" w:type="dxa"/>
          </w:tcPr>
          <w:p w14:paraId="07E90DD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2" w:type="dxa"/>
          </w:tcPr>
          <w:p w14:paraId="12C418E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17100E5A" w14:textId="77777777">
        <w:tc>
          <w:tcPr>
            <w:tcW w:w="1247" w:type="dxa"/>
          </w:tcPr>
          <w:p w14:paraId="0333C2A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АНТ-9</w:t>
            </w:r>
          </w:p>
        </w:tc>
        <w:tc>
          <w:tcPr>
            <w:tcW w:w="846" w:type="dxa"/>
          </w:tcPr>
          <w:p w14:paraId="73BFE08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tc>
        <w:tc>
          <w:tcPr>
            <w:tcW w:w="850" w:type="dxa"/>
          </w:tcPr>
          <w:p w14:paraId="2316778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2FF4AC5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0" w:type="dxa"/>
          </w:tcPr>
          <w:p w14:paraId="5884832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6EA98C6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850" w:type="dxa"/>
          </w:tcPr>
          <w:p w14:paraId="797BF53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851" w:type="dxa"/>
          </w:tcPr>
          <w:p w14:paraId="237B99B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14,3</w:t>
            </w:r>
          </w:p>
        </w:tc>
        <w:tc>
          <w:tcPr>
            <w:tcW w:w="992" w:type="dxa"/>
          </w:tcPr>
          <w:p w14:paraId="57C4239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2" w:type="dxa"/>
          </w:tcPr>
          <w:p w14:paraId="1A96679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19EFB240" w14:textId="77777777">
        <w:tc>
          <w:tcPr>
            <w:tcW w:w="1247" w:type="dxa"/>
          </w:tcPr>
          <w:p w14:paraId="5E03630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С-62 АССО</w:t>
            </w:r>
          </w:p>
        </w:tc>
        <w:tc>
          <w:tcPr>
            <w:tcW w:w="846" w:type="dxa"/>
          </w:tcPr>
          <w:p w14:paraId="42FA85D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w:t>
            </w:r>
          </w:p>
        </w:tc>
        <w:tc>
          <w:tcPr>
            <w:tcW w:w="850" w:type="dxa"/>
          </w:tcPr>
          <w:p w14:paraId="1FEE615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1718988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850" w:type="dxa"/>
          </w:tcPr>
          <w:p w14:paraId="25A031A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851" w:type="dxa"/>
          </w:tcPr>
          <w:p w14:paraId="0D9EDAB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c>
          <w:tcPr>
            <w:tcW w:w="850" w:type="dxa"/>
          </w:tcPr>
          <w:p w14:paraId="22399E0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851" w:type="dxa"/>
          </w:tcPr>
          <w:p w14:paraId="176F926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44,6</w:t>
            </w:r>
          </w:p>
        </w:tc>
        <w:tc>
          <w:tcPr>
            <w:tcW w:w="992" w:type="dxa"/>
          </w:tcPr>
          <w:p w14:paraId="2E509E4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2" w:type="dxa"/>
          </w:tcPr>
          <w:p w14:paraId="65D43B3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576E3C8E" w14:textId="77777777">
        <w:tc>
          <w:tcPr>
            <w:tcW w:w="1247" w:type="dxa"/>
          </w:tcPr>
          <w:p w14:paraId="1B9606D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МДР-3</w:t>
            </w:r>
          </w:p>
        </w:tc>
        <w:tc>
          <w:tcPr>
            <w:tcW w:w="846" w:type="dxa"/>
          </w:tcPr>
          <w:p w14:paraId="6591F5F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850" w:type="dxa"/>
          </w:tcPr>
          <w:p w14:paraId="2B951E7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12BE244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0" w:type="dxa"/>
          </w:tcPr>
          <w:p w14:paraId="238387D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07FF5C9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0" w:type="dxa"/>
          </w:tcPr>
          <w:p w14:paraId="6A8EB3C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7F941E0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2" w:type="dxa"/>
          </w:tcPr>
          <w:p w14:paraId="7051D87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2" w:type="dxa"/>
          </w:tcPr>
          <w:p w14:paraId="0EEA8EA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25CD1515" w14:textId="77777777">
        <w:tc>
          <w:tcPr>
            <w:tcW w:w="1247" w:type="dxa"/>
          </w:tcPr>
          <w:p w14:paraId="3B1608C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АШ-М11</w:t>
            </w:r>
          </w:p>
        </w:tc>
        <w:tc>
          <w:tcPr>
            <w:tcW w:w="846" w:type="dxa"/>
          </w:tcPr>
          <w:p w14:paraId="575B711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850" w:type="dxa"/>
          </w:tcPr>
          <w:p w14:paraId="6A0D6A8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1FBD60B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850" w:type="dxa"/>
          </w:tcPr>
          <w:p w14:paraId="3F35115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71E833C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w:t>
            </w:r>
          </w:p>
        </w:tc>
        <w:tc>
          <w:tcPr>
            <w:tcW w:w="850" w:type="dxa"/>
          </w:tcPr>
          <w:p w14:paraId="7416C04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851" w:type="dxa"/>
          </w:tcPr>
          <w:p w14:paraId="27DAD76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992" w:type="dxa"/>
          </w:tcPr>
          <w:p w14:paraId="1187720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2" w:type="dxa"/>
          </w:tcPr>
          <w:p w14:paraId="142D381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0D4E1ED9" w14:textId="77777777">
        <w:tc>
          <w:tcPr>
            <w:tcW w:w="1247" w:type="dxa"/>
          </w:tcPr>
          <w:p w14:paraId="47AE9AD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Разные самолеты</w:t>
            </w:r>
          </w:p>
        </w:tc>
        <w:tc>
          <w:tcPr>
            <w:tcW w:w="846" w:type="dxa"/>
          </w:tcPr>
          <w:p w14:paraId="107756F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0" w:type="dxa"/>
          </w:tcPr>
          <w:p w14:paraId="4D501D4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15809EB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0" w:type="dxa"/>
          </w:tcPr>
          <w:p w14:paraId="02567FF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4B790A1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850" w:type="dxa"/>
          </w:tcPr>
          <w:p w14:paraId="7D85E86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851" w:type="dxa"/>
          </w:tcPr>
          <w:p w14:paraId="1530CD0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2" w:type="dxa"/>
          </w:tcPr>
          <w:p w14:paraId="0C36155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0,7</w:t>
            </w:r>
          </w:p>
        </w:tc>
        <w:tc>
          <w:tcPr>
            <w:tcW w:w="992" w:type="dxa"/>
          </w:tcPr>
          <w:p w14:paraId="11DE040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303</w:t>
            </w:r>
          </w:p>
        </w:tc>
      </w:tr>
      <w:tr w:rsidR="00F26F01" w:rsidRPr="00C33834" w14:paraId="521171B0" w14:textId="77777777">
        <w:tc>
          <w:tcPr>
            <w:tcW w:w="1247" w:type="dxa"/>
          </w:tcPr>
          <w:p w14:paraId="0902202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самолетов</w:t>
            </w:r>
          </w:p>
        </w:tc>
        <w:tc>
          <w:tcPr>
            <w:tcW w:w="846" w:type="dxa"/>
          </w:tcPr>
          <w:p w14:paraId="31996B2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232</w:t>
            </w:r>
          </w:p>
        </w:tc>
        <w:tc>
          <w:tcPr>
            <w:tcW w:w="850" w:type="dxa"/>
          </w:tcPr>
          <w:p w14:paraId="65B0032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2C76603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850" w:type="dxa"/>
          </w:tcPr>
          <w:p w14:paraId="5455DE6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851" w:type="dxa"/>
          </w:tcPr>
          <w:p w14:paraId="7D4290C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59</w:t>
            </w:r>
          </w:p>
        </w:tc>
        <w:tc>
          <w:tcPr>
            <w:tcW w:w="850" w:type="dxa"/>
          </w:tcPr>
          <w:p w14:paraId="7DB9F1D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w:t>
            </w:r>
          </w:p>
        </w:tc>
        <w:tc>
          <w:tcPr>
            <w:tcW w:w="851" w:type="dxa"/>
          </w:tcPr>
          <w:p w14:paraId="617EEE1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28,9</w:t>
            </w:r>
          </w:p>
        </w:tc>
        <w:tc>
          <w:tcPr>
            <w:tcW w:w="992" w:type="dxa"/>
          </w:tcPr>
          <w:p w14:paraId="5D81ACD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22,1</w:t>
            </w:r>
          </w:p>
        </w:tc>
        <w:tc>
          <w:tcPr>
            <w:tcW w:w="992" w:type="dxa"/>
          </w:tcPr>
          <w:p w14:paraId="52D1B4C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303</w:t>
            </w:r>
          </w:p>
        </w:tc>
      </w:tr>
      <w:tr w:rsidR="00F26F01" w:rsidRPr="00C33834" w14:paraId="34047078" w14:textId="77777777">
        <w:tc>
          <w:tcPr>
            <w:tcW w:w="1247" w:type="dxa"/>
          </w:tcPr>
          <w:p w14:paraId="024351A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И5-М22</w:t>
            </w:r>
          </w:p>
        </w:tc>
        <w:tc>
          <w:tcPr>
            <w:tcW w:w="846" w:type="dxa"/>
          </w:tcPr>
          <w:p w14:paraId="6B9FDF3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276</w:t>
            </w:r>
          </w:p>
        </w:tc>
        <w:tc>
          <w:tcPr>
            <w:tcW w:w="850" w:type="dxa"/>
          </w:tcPr>
          <w:p w14:paraId="6F43044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790799F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0" w:type="dxa"/>
          </w:tcPr>
          <w:p w14:paraId="33AA7CE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2E86CAF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850" w:type="dxa"/>
          </w:tcPr>
          <w:p w14:paraId="0424404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851" w:type="dxa"/>
          </w:tcPr>
          <w:p w14:paraId="7DC32E5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w:t>
            </w:r>
          </w:p>
        </w:tc>
        <w:tc>
          <w:tcPr>
            <w:tcW w:w="992" w:type="dxa"/>
          </w:tcPr>
          <w:p w14:paraId="43D4FF0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2" w:type="dxa"/>
          </w:tcPr>
          <w:p w14:paraId="5D4826C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40F7D562" w14:textId="77777777">
        <w:tc>
          <w:tcPr>
            <w:tcW w:w="1247" w:type="dxa"/>
          </w:tcPr>
          <w:p w14:paraId="295B6CB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ТШ</w:t>
            </w:r>
          </w:p>
        </w:tc>
        <w:tc>
          <w:tcPr>
            <w:tcW w:w="846" w:type="dxa"/>
          </w:tcPr>
          <w:p w14:paraId="33662FA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850" w:type="dxa"/>
          </w:tcPr>
          <w:p w14:paraId="723FC41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13532BD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0" w:type="dxa"/>
          </w:tcPr>
          <w:p w14:paraId="78C647B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69B9816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0" w:type="dxa"/>
          </w:tcPr>
          <w:p w14:paraId="0CA5610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3F88D80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2" w:type="dxa"/>
          </w:tcPr>
          <w:p w14:paraId="7FD4A07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2" w:type="dxa"/>
          </w:tcPr>
          <w:p w14:paraId="1B1CF53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1064FAC7" w14:textId="77777777">
        <w:tc>
          <w:tcPr>
            <w:tcW w:w="1247" w:type="dxa"/>
          </w:tcPr>
          <w:p w14:paraId="7EC1F65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846" w:type="dxa"/>
          </w:tcPr>
          <w:p w14:paraId="7214CE2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850" w:type="dxa"/>
          </w:tcPr>
          <w:p w14:paraId="2335D14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62AAC7F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0" w:type="dxa"/>
          </w:tcPr>
          <w:p w14:paraId="4CC7396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11F143D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0" w:type="dxa"/>
          </w:tcPr>
          <w:p w14:paraId="6FC43D6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5674C8B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2" w:type="dxa"/>
          </w:tcPr>
          <w:p w14:paraId="59454A7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2" w:type="dxa"/>
          </w:tcPr>
          <w:p w14:paraId="5247326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F760189" w14:textId="77777777">
        <w:tc>
          <w:tcPr>
            <w:tcW w:w="1247" w:type="dxa"/>
          </w:tcPr>
          <w:p w14:paraId="0CF54C9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846" w:type="dxa"/>
          </w:tcPr>
          <w:p w14:paraId="3988A58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850" w:type="dxa"/>
          </w:tcPr>
          <w:p w14:paraId="4A4245D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6B7E2C3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0" w:type="dxa"/>
          </w:tcPr>
          <w:p w14:paraId="6273DF8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1253F17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850" w:type="dxa"/>
          </w:tcPr>
          <w:p w14:paraId="3963933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851" w:type="dxa"/>
          </w:tcPr>
          <w:p w14:paraId="3C1359C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w:t>
            </w:r>
          </w:p>
        </w:tc>
        <w:tc>
          <w:tcPr>
            <w:tcW w:w="992" w:type="dxa"/>
          </w:tcPr>
          <w:p w14:paraId="4D690FD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2" w:type="dxa"/>
          </w:tcPr>
          <w:p w14:paraId="5291D3C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26171569" w14:textId="77777777">
        <w:tc>
          <w:tcPr>
            <w:tcW w:w="1247" w:type="dxa"/>
          </w:tcPr>
          <w:p w14:paraId="2D25BDD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Самолетов</w:t>
            </w:r>
          </w:p>
        </w:tc>
        <w:tc>
          <w:tcPr>
            <w:tcW w:w="846" w:type="dxa"/>
          </w:tcPr>
          <w:p w14:paraId="1BF179A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3311</w:t>
            </w:r>
          </w:p>
        </w:tc>
        <w:tc>
          <w:tcPr>
            <w:tcW w:w="850" w:type="dxa"/>
          </w:tcPr>
          <w:p w14:paraId="19D43E7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517</w:t>
            </w:r>
          </w:p>
        </w:tc>
        <w:tc>
          <w:tcPr>
            <w:tcW w:w="851" w:type="dxa"/>
          </w:tcPr>
          <w:p w14:paraId="7E6CB29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628</w:t>
            </w:r>
          </w:p>
        </w:tc>
        <w:tc>
          <w:tcPr>
            <w:tcW w:w="850" w:type="dxa"/>
          </w:tcPr>
          <w:p w14:paraId="2B0D465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538</w:t>
            </w:r>
          </w:p>
        </w:tc>
        <w:tc>
          <w:tcPr>
            <w:tcW w:w="851" w:type="dxa"/>
          </w:tcPr>
          <w:p w14:paraId="37515E7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731</w:t>
            </w:r>
          </w:p>
        </w:tc>
        <w:tc>
          <w:tcPr>
            <w:tcW w:w="850" w:type="dxa"/>
          </w:tcPr>
          <w:p w14:paraId="47A0C3C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2414</w:t>
            </w:r>
          </w:p>
        </w:tc>
        <w:tc>
          <w:tcPr>
            <w:tcW w:w="851" w:type="dxa"/>
          </w:tcPr>
          <w:p w14:paraId="7D849CD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72,9</w:t>
            </w:r>
          </w:p>
        </w:tc>
        <w:tc>
          <w:tcPr>
            <w:tcW w:w="992" w:type="dxa"/>
          </w:tcPr>
          <w:p w14:paraId="63829AC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166,9</w:t>
            </w:r>
          </w:p>
        </w:tc>
        <w:tc>
          <w:tcPr>
            <w:tcW w:w="992" w:type="dxa"/>
          </w:tcPr>
          <w:p w14:paraId="2477E19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1446</w:t>
            </w:r>
          </w:p>
        </w:tc>
      </w:tr>
      <w:tr w:rsidR="00F26F01" w:rsidRPr="00C33834" w14:paraId="4E1E9FE0" w14:textId="77777777">
        <w:tc>
          <w:tcPr>
            <w:tcW w:w="1247" w:type="dxa"/>
          </w:tcPr>
          <w:p w14:paraId="5E9D1AA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К-5</w:t>
            </w:r>
          </w:p>
        </w:tc>
        <w:tc>
          <w:tcPr>
            <w:tcW w:w="846" w:type="dxa"/>
          </w:tcPr>
          <w:p w14:paraId="4C14A41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850" w:type="dxa"/>
          </w:tcPr>
          <w:p w14:paraId="4EE86A1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851" w:type="dxa"/>
          </w:tcPr>
          <w:p w14:paraId="4539C1E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850" w:type="dxa"/>
          </w:tcPr>
          <w:p w14:paraId="53CF94F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851" w:type="dxa"/>
          </w:tcPr>
          <w:p w14:paraId="5D9221A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850" w:type="dxa"/>
          </w:tcPr>
          <w:p w14:paraId="4A226C7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w:t>
            </w:r>
          </w:p>
        </w:tc>
        <w:tc>
          <w:tcPr>
            <w:tcW w:w="851" w:type="dxa"/>
          </w:tcPr>
          <w:p w14:paraId="25A81F2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48,7</w:t>
            </w:r>
          </w:p>
        </w:tc>
        <w:tc>
          <w:tcPr>
            <w:tcW w:w="992" w:type="dxa"/>
          </w:tcPr>
          <w:p w14:paraId="3DBFA95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174,0</w:t>
            </w:r>
          </w:p>
        </w:tc>
        <w:tc>
          <w:tcPr>
            <w:tcW w:w="992" w:type="dxa"/>
          </w:tcPr>
          <w:p w14:paraId="7CCFE20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w:t>
            </w:r>
          </w:p>
        </w:tc>
      </w:tr>
      <w:tr w:rsidR="00F26F01" w:rsidRPr="00C33834" w14:paraId="2E9AECCE" w14:textId="77777777">
        <w:tc>
          <w:tcPr>
            <w:tcW w:w="1247" w:type="dxa"/>
          </w:tcPr>
          <w:p w14:paraId="07E827E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Самолетов</w:t>
            </w:r>
          </w:p>
        </w:tc>
        <w:tc>
          <w:tcPr>
            <w:tcW w:w="846" w:type="dxa"/>
          </w:tcPr>
          <w:p w14:paraId="7050508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3461</w:t>
            </w:r>
          </w:p>
        </w:tc>
        <w:tc>
          <w:tcPr>
            <w:tcW w:w="850" w:type="dxa"/>
          </w:tcPr>
          <w:p w14:paraId="542DB23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521</w:t>
            </w:r>
          </w:p>
        </w:tc>
        <w:tc>
          <w:tcPr>
            <w:tcW w:w="851" w:type="dxa"/>
          </w:tcPr>
          <w:p w14:paraId="781BC9B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646</w:t>
            </w:r>
          </w:p>
        </w:tc>
        <w:tc>
          <w:tcPr>
            <w:tcW w:w="850" w:type="dxa"/>
          </w:tcPr>
          <w:p w14:paraId="5D165F7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567</w:t>
            </w:r>
          </w:p>
        </w:tc>
        <w:tc>
          <w:tcPr>
            <w:tcW w:w="851" w:type="dxa"/>
          </w:tcPr>
          <w:p w14:paraId="3E5997A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753</w:t>
            </w:r>
          </w:p>
        </w:tc>
        <w:tc>
          <w:tcPr>
            <w:tcW w:w="850" w:type="dxa"/>
          </w:tcPr>
          <w:p w14:paraId="0E1C7ED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2487</w:t>
            </w:r>
          </w:p>
        </w:tc>
        <w:tc>
          <w:tcPr>
            <w:tcW w:w="851" w:type="dxa"/>
          </w:tcPr>
          <w:p w14:paraId="763B0AB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71,9</w:t>
            </w:r>
          </w:p>
        </w:tc>
        <w:tc>
          <w:tcPr>
            <w:tcW w:w="992" w:type="dxa"/>
          </w:tcPr>
          <w:p w14:paraId="521818E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167,0</w:t>
            </w:r>
          </w:p>
        </w:tc>
        <w:tc>
          <w:tcPr>
            <w:tcW w:w="992" w:type="dxa"/>
          </w:tcPr>
          <w:p w14:paraId="018035C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1489</w:t>
            </w:r>
          </w:p>
        </w:tc>
      </w:tr>
    </w:tbl>
    <w:p w14:paraId="087B5D7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(3530,66).</w:t>
      </w:r>
    </w:p>
    <w:p w14:paraId="7FBCD61C"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76835A6E" w14:textId="77777777" w:rsidR="00DC736B" w:rsidRPr="00C33834" w:rsidRDefault="00DC736B"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8313582" w14:textId="77777777" w:rsidR="00DC736B" w:rsidRPr="00C33834" w:rsidRDefault="00DC736B" w:rsidP="00C33834">
      <w:pPr>
        <w:spacing w:after="0" w:line="240" w:lineRule="auto"/>
        <w:jc w:val="both"/>
        <w:rPr>
          <w:rFonts w:ascii="Times New Roman" w:hAnsi="Times New Roman"/>
          <w:iCs/>
          <w:color w:val="000000" w:themeColor="text1"/>
          <w:sz w:val="16"/>
          <w:szCs w:val="16"/>
        </w:rPr>
      </w:pPr>
    </w:p>
    <w:p w14:paraId="32FB105D" w14:textId="77777777" w:rsidR="00DC736B" w:rsidRPr="00C33834" w:rsidRDefault="00DC736B" w:rsidP="00C33834">
      <w:pPr>
        <w:shd w:val="clear" w:color="auto" w:fill="FFFFFF"/>
        <w:spacing w:after="0" w:line="240" w:lineRule="auto"/>
        <w:jc w:val="both"/>
        <w:rPr>
          <w:rFonts w:ascii="Times New Roman" w:hAnsi="Times New Roman"/>
          <w:color w:val="0070C0"/>
          <w:sz w:val="16"/>
          <w:szCs w:val="16"/>
        </w:rPr>
      </w:pPr>
      <w:r w:rsidRPr="00C33834">
        <w:rPr>
          <w:rFonts w:ascii="Times New Roman" w:eastAsia="Times New Roman" w:hAnsi="Times New Roman"/>
          <w:color w:val="0070C0"/>
          <w:sz w:val="16"/>
          <w:szCs w:val="16"/>
          <w:lang w:eastAsia="ru-RU"/>
        </w:rPr>
        <w:t xml:space="preserve">5 января 1933 г. новые установки на более реалистические подходы партийно-государственного руководства к капитальным вложениям и бюджетным расходам в целом, наметившиеся в июле 1932 г., были подкреплены правительственным решением о сокращении инвестиций в военную промышленность (Постановлением СНК СССР от 5 января 1933 г. план капиталовложений в военную промышленность на 1933 г. был утвержден в размере 560 млн руб. (план 1932 г. составлял 702 млн руб.. а фактический размер инвестиций 1932 г. - 778 млн руб.) </w:t>
      </w:r>
      <w:r w:rsidRPr="00C33834">
        <w:rPr>
          <w:rFonts w:ascii="Times New Roman" w:eastAsia="Times New Roman" w:hAnsi="Times New Roman"/>
          <w:color w:val="0070C0"/>
          <w:sz w:val="16"/>
          <w:szCs w:val="16"/>
          <w:lang w:val="en-US" w:eastAsia="ru-RU"/>
        </w:rPr>
        <w:t xml:space="preserve">(HARRISON </w:t>
      </w:r>
      <w:r w:rsidRPr="00C33834">
        <w:rPr>
          <w:rFonts w:ascii="Times New Roman" w:eastAsia="Times New Roman" w:hAnsi="Times New Roman"/>
          <w:color w:val="0070C0"/>
          <w:sz w:val="16"/>
          <w:szCs w:val="16"/>
          <w:lang w:eastAsia="ru-RU"/>
        </w:rPr>
        <w:t>М</w:t>
      </w:r>
      <w:r w:rsidRPr="00C33834">
        <w:rPr>
          <w:rFonts w:ascii="Times New Roman" w:eastAsia="Times New Roman" w:hAnsi="Times New Roman"/>
          <w:color w:val="0070C0"/>
          <w:sz w:val="16"/>
          <w:szCs w:val="16"/>
          <w:lang w:val="en-US" w:eastAsia="ru-RU"/>
        </w:rPr>
        <w:t>., DAVIKS R. W. The Soviet Military-Economic Effort During the Second Five-Year Plan (1933-1937) // Europe-Asia Studies. 1997. Vol</w:t>
      </w:r>
      <w:r w:rsidRPr="00C33834">
        <w:rPr>
          <w:rFonts w:ascii="Times New Roman" w:eastAsia="Times New Roman" w:hAnsi="Times New Roman"/>
          <w:color w:val="0070C0"/>
          <w:sz w:val="16"/>
          <w:szCs w:val="16"/>
          <w:lang w:eastAsia="ru-RU"/>
        </w:rPr>
        <w:t xml:space="preserve">. 49- № 3. </w:t>
      </w:r>
      <w:r w:rsidRPr="00C33834">
        <w:rPr>
          <w:rFonts w:ascii="Times New Roman" w:eastAsia="Times New Roman" w:hAnsi="Times New Roman"/>
          <w:color w:val="0070C0"/>
          <w:sz w:val="16"/>
          <w:szCs w:val="16"/>
          <w:lang w:val="en-US" w:eastAsia="ru-RU"/>
        </w:rPr>
        <w:t>P</w:t>
      </w:r>
      <w:r w:rsidRPr="00C33834">
        <w:rPr>
          <w:rFonts w:ascii="Times New Roman" w:eastAsia="Times New Roman" w:hAnsi="Times New Roman"/>
          <w:color w:val="0070C0"/>
          <w:sz w:val="16"/>
          <w:szCs w:val="16"/>
          <w:lang w:eastAsia="ru-RU"/>
        </w:rPr>
        <w:t xml:space="preserve">. 384).). Они отражали промежуточную фазу подготовки второго пятилетнего плана развития народного хозяйства СССР, которая была начата в январе 1932 г. амбициозными директивами ХУП партконференции и завершилась его утверждением XVII партсъездом в феврале 1934 г. (См.: </w:t>
      </w:r>
      <w:r w:rsidRPr="00C33834">
        <w:rPr>
          <w:rFonts w:ascii="Times New Roman" w:eastAsia="Times New Roman" w:hAnsi="Times New Roman"/>
          <w:color w:val="0070C0"/>
          <w:sz w:val="16"/>
          <w:szCs w:val="16"/>
          <w:lang w:val="en-US" w:eastAsia="ru-RU"/>
        </w:rPr>
        <w:t>DAYTES</w:t>
      </w:r>
      <w:r w:rsidRPr="00C33834">
        <w:rPr>
          <w:rFonts w:ascii="Times New Roman" w:eastAsia="Times New Roman" w:hAnsi="Times New Roman"/>
          <w:color w:val="0070C0"/>
          <w:sz w:val="16"/>
          <w:szCs w:val="16"/>
          <w:lang w:eastAsia="ru-RU"/>
        </w:rPr>
        <w:t xml:space="preserve"> 1С </w:t>
      </w:r>
      <w:r w:rsidRPr="00C33834">
        <w:rPr>
          <w:rFonts w:ascii="Times New Roman" w:eastAsia="Times New Roman" w:hAnsi="Times New Roman"/>
          <w:color w:val="0070C0"/>
          <w:sz w:val="16"/>
          <w:szCs w:val="16"/>
          <w:lang w:val="en-US" w:eastAsia="ru-RU"/>
        </w:rPr>
        <w:t>W</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KHLEVNH</w:t>
      </w:r>
      <w:r w:rsidRPr="00C33834">
        <w:rPr>
          <w:rFonts w:ascii="Times New Roman" w:eastAsia="Times New Roman" w:hAnsi="Times New Roman"/>
          <w:color w:val="0070C0"/>
          <w:sz w:val="16"/>
          <w:szCs w:val="16"/>
          <w:lang w:eastAsia="ru-RU"/>
        </w:rPr>
        <w:t xml:space="preserve"> к О. </w:t>
      </w:r>
      <w:r w:rsidRPr="00C33834">
        <w:rPr>
          <w:rFonts w:ascii="Times New Roman" w:eastAsia="Times New Roman" w:hAnsi="Times New Roman"/>
          <w:color w:val="0070C0"/>
          <w:sz w:val="16"/>
          <w:szCs w:val="16"/>
          <w:lang w:val="en-US" w:eastAsia="ru-RU"/>
        </w:rPr>
        <w:t>Gosplan</w:t>
      </w:r>
      <w:r w:rsidRPr="00C33834">
        <w:rPr>
          <w:rFonts w:ascii="Times New Roman" w:eastAsia="Times New Roman" w:hAnsi="Times New Roman"/>
          <w:color w:val="0070C0"/>
          <w:sz w:val="16"/>
          <w:szCs w:val="16"/>
          <w:lang w:eastAsia="ru-RU"/>
        </w:rPr>
        <w:t xml:space="preserve"> // </w:t>
      </w:r>
      <w:r w:rsidRPr="00C33834">
        <w:rPr>
          <w:rFonts w:ascii="Times New Roman" w:eastAsia="Times New Roman" w:hAnsi="Times New Roman"/>
          <w:color w:val="0070C0"/>
          <w:sz w:val="16"/>
          <w:szCs w:val="16"/>
          <w:lang w:val="en-US" w:eastAsia="ru-RU"/>
        </w:rPr>
        <w:t>Decision</w:t>
      </w:r>
      <w:r w:rsidRPr="00C33834">
        <w:rPr>
          <w:rFonts w:ascii="Times New Roman" w:eastAsia="Times New Roman" w:hAnsi="Times New Roman"/>
          <w:color w:val="0070C0"/>
          <w:sz w:val="16"/>
          <w:szCs w:val="16"/>
          <w:lang w:eastAsia="ru-RU"/>
        </w:rPr>
        <w:t>-</w:t>
      </w:r>
      <w:r w:rsidRPr="00C33834">
        <w:rPr>
          <w:rFonts w:ascii="Times New Roman" w:eastAsia="Times New Roman" w:hAnsi="Times New Roman"/>
          <w:color w:val="0070C0"/>
          <w:sz w:val="16"/>
          <w:szCs w:val="16"/>
          <w:lang w:val="en-US" w:eastAsia="ru-RU"/>
        </w:rPr>
        <w:t>Making</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in</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the</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Stalinist</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Command</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Economy</w:t>
      </w:r>
      <w:r w:rsidRPr="00C33834">
        <w:rPr>
          <w:rFonts w:ascii="Times New Roman" w:eastAsia="Times New Roman" w:hAnsi="Times New Roman"/>
          <w:color w:val="0070C0"/>
          <w:sz w:val="16"/>
          <w:szCs w:val="16"/>
          <w:lang w:eastAsia="ru-RU"/>
        </w:rPr>
        <w:t xml:space="preserve">, 1932-1937 / </w:t>
      </w:r>
      <w:r w:rsidRPr="00C33834">
        <w:rPr>
          <w:rFonts w:ascii="Times New Roman" w:eastAsia="Times New Roman" w:hAnsi="Times New Roman"/>
          <w:color w:val="0070C0"/>
          <w:sz w:val="16"/>
          <w:szCs w:val="16"/>
          <w:lang w:val="en-US" w:eastAsia="ru-RU"/>
        </w:rPr>
        <w:t>Ed</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E</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A</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Rees</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N</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Y</w:t>
      </w:r>
      <w:r w:rsidRPr="00C33834">
        <w:rPr>
          <w:rFonts w:ascii="Times New Roman" w:eastAsia="Times New Roman" w:hAnsi="Times New Roman"/>
          <w:color w:val="0070C0"/>
          <w:sz w:val="16"/>
          <w:szCs w:val="16"/>
          <w:lang w:eastAsia="ru-RU"/>
        </w:rPr>
        <w:t xml:space="preserve">., 1997. P. 10-52) Параллельно была начата разработка мобилизационных планов на 1934-1938 гг. </w:t>
      </w:r>
      <w:r w:rsidRPr="00C33834">
        <w:rPr>
          <w:rFonts w:ascii="Times New Roman" w:hAnsi="Times New Roman"/>
          <w:color w:val="0070C0"/>
          <w:sz w:val="16"/>
          <w:szCs w:val="16"/>
        </w:rPr>
        <w:t>(22725).</w:t>
      </w:r>
    </w:p>
    <w:p w14:paraId="64AF817F" w14:textId="77777777" w:rsidR="00DC736B" w:rsidRPr="00C33834" w:rsidRDefault="00DC736B" w:rsidP="00C33834">
      <w:pPr>
        <w:spacing w:after="0" w:line="240" w:lineRule="auto"/>
        <w:jc w:val="both"/>
        <w:rPr>
          <w:rFonts w:ascii="Times New Roman" w:hAnsi="Times New Roman"/>
          <w:color w:val="0070C0"/>
          <w:sz w:val="16"/>
          <w:szCs w:val="16"/>
        </w:rPr>
      </w:pPr>
    </w:p>
    <w:p w14:paraId="0A6EE3C1" w14:textId="77777777" w:rsidR="00095B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5B240A73" w14:textId="77777777" w:rsidR="00095B9C" w:rsidRPr="00C33834" w:rsidRDefault="00095B9C" w:rsidP="00C33834">
      <w:pPr>
        <w:spacing w:after="0" w:line="240" w:lineRule="auto"/>
        <w:jc w:val="both"/>
        <w:rPr>
          <w:rFonts w:ascii="Times New Roman" w:hAnsi="Times New Roman"/>
          <w:iCs/>
          <w:color w:val="000000" w:themeColor="text1"/>
          <w:sz w:val="16"/>
          <w:szCs w:val="16"/>
        </w:rPr>
      </w:pPr>
    </w:p>
    <w:p w14:paraId="10B1C57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января 1933 началась паспортизация жителей столицы, работающих на двадцати промышленных предприятиях Москвы, которая к концу первой недели помогла "выявить" 3.450 "бывших белогвардейцев, бывших кулаков и других чуждых и преступных элементов" (10687).</w:t>
      </w:r>
    </w:p>
    <w:p w14:paraId="0EF1C226"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6BB1E3B3" w14:textId="77777777" w:rsidR="00095B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22793733" w14:textId="77777777" w:rsidR="00095B9C" w:rsidRPr="00C33834" w:rsidRDefault="00095B9C" w:rsidP="00C33834">
      <w:pPr>
        <w:spacing w:after="0" w:line="240" w:lineRule="auto"/>
        <w:jc w:val="both"/>
        <w:rPr>
          <w:rFonts w:ascii="Times New Roman" w:hAnsi="Times New Roman"/>
          <w:iCs/>
          <w:color w:val="000000" w:themeColor="text1"/>
          <w:sz w:val="16"/>
          <w:szCs w:val="16"/>
        </w:rPr>
      </w:pPr>
    </w:p>
    <w:p w14:paraId="1F476C0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января 1933 в Сан-Франциско началось строительство моста над проливом Золотые ворота (1280 м) (3263,16).</w:t>
      </w:r>
    </w:p>
    <w:p w14:paraId="120833D8"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5FB99D24" w14:textId="77777777" w:rsidR="00460F2B" w:rsidRPr="00C33834" w:rsidRDefault="00460F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5 января</w:t>
      </w:r>
      <w:r w:rsidRPr="00C33834">
        <w:rPr>
          <w:rFonts w:ascii="Times New Roman" w:hAnsi="Times New Roman"/>
          <w:color w:val="000000" w:themeColor="text1"/>
          <w:sz w:val="16"/>
          <w:szCs w:val="16"/>
        </w:rPr>
        <w:t xml:space="preserve"> в 1933 году в Сан-Франциско начинается строительство одного из самых известных в мире мостов над проливом Золотые ворота, самым узким входом из Тихого океана в Сан-Францисский залив. Завершено строительство будет в 1937. Мост длиной 1280 метров с шестью рядами движения и двумя пешеходными </w:t>
      </w:r>
      <w:r w:rsidRPr="00C33834">
        <w:rPr>
          <w:rFonts w:ascii="Times New Roman" w:hAnsi="Times New Roman"/>
          <w:color w:val="000000" w:themeColor="text1"/>
          <w:sz w:val="16"/>
          <w:szCs w:val="16"/>
        </w:rPr>
        <w:lastRenderedPageBreak/>
        <w:t>дорожками будет подвешен на двух главных канатах толщиной 93 см, закрепленных на стальных опорах высотой 227 м. Общий вес этого "легчайшего" сооружения в момент окончания строительства составлял 894500 тонн (в 1986, после замены бетонного покрытия асфальтированной сталью, он сократился до 887000 тонн). Длина каждого основного кабеля диаметром в 91,6 см составляет 2304 метра, помноженная на общее количество содержащихся в нем проводов, имеет протяженность 128 тысяч километров, что равно более чем трем виткам вокруг Земли по линии Экватора. При проектировании его конструкции не использовалась никакая вычислительная техника, а все расчеты производились под руководством инженера Джозефа Бермана Страуса при помощи арифмометров и логарифмических линеек. Архитектор моста И. Морроу использовал при разработке его дизайна элементы стиля арт-деко. С самого начала мост был выкрашен оранжево-красной краской, ведь в состав именно этих красителей входит свинцовый компонент, который защищает сталь от ржавчины. Жители Сан-Франциско шутят, что на мосту постоянно ведутся реставрационные работы, потому что, когда маляры доходят до конца моста, его начало уже снова нуждается в покраске. Задолго до того, как строительство было закончено, американцы прозвали это сооружение "мостом, которого не могло быть". А начиналось все с того, что шесть северо-калифорнийские графств, объединившиеся в "Округ Моста", захотели иметь прямую связь с Сан-Франциско. Проект был представлен в 1921 году и требовал 27 миллионов. 12 лет ушло на сбор средств, получение разрешения и улаживание конфликтов, в том числе с паромными компаниями, боявшимися конкуренции, и с Минобороны, которое сначала опасалось, что мост помешает движению военных судов, а потом, когда это было опровергнуто, потребовавшее, чтобы мост был выкрашен в черно-желтую полоску. Спустя четыре с половиной года после начала строительства, спустя более десяти лет после объединения шести северо-калифорнийских графств, заинтересованных в прямом сообщении с Сан-Франциско, в "Округ Моста", спустя 65 лет после рождения самой идеи соединить Сан-Франциско с северо-калифорнийскими графствами мостом через пролив Золотые Ворота. Одна из основных трудностей при строительстве была связана с необходимостью держащих основ противостоять сильным ветрам и штормам, налетающим в пролив со стороны Тихого океана. К счастью, строителям удалось найти огромные скалы из твердых пород, в которых были выдолблены ниши, заполненные затем 27 тысяч 432 куб. м бетона. Но, несмотря на все перечисленные заслуги, возможно, Страус не удостоился бы памятника у подножия своего любимого детища, если бы не его заслуги гуманиста. До строительства моста Золотые Ворота проектировщики, исходя из опыта, "закладывали" и будущие жертвы из расчета 1 смертный случай на каждый миллион долларов расходов на строительство моста. Страус изменил эту печальную статистику, настояв на введении двух принципиально новых требований к строителям. Он впервые ввел в употребление твердые строительные каски и добился обеспечения безопасной сетки, протянутой под всей площадью строительства. Сетка спасла жизни 19 человек, которые вошли в историю как "Клуб одной ногой побывавших в Аду". Несмотря на все старания Страуса, проект унес жизни 11 рабочих, находившихся в упавшей люльке строительных лесов. Тем не менее к моменту завершения воздвижение моста Золотые Ворота было признано самым безопасным - 11 смертных случаев на 35 млн. долларов расходов. Вряд ли автор проекта мог предположить, что, получив всемирное признание как одно из "чудес света", его детище вскоре обнаружит свою неожиданную сторону - особую способность привлекать самоубийц. "Здесь я, пожалуй, сойду", - ставшие знаменитыми слова человека, первым спрыгнувшего с моста Золотые Ворота уже спустя три месяца после его открытия. К настоящему времени статистика смертельных случаев, связанных со "Стражем Золотых Ворот", по официальным данным перевалила за тысячу, по неофициальным же составила значительно больше (в среднем 300 случаев в год). Психологи считают, что вплотную подошедших к смертельной грани, помимо "безболезненности и быстроты" решения проблемы (самоубийца пролетает 70 м и входит в воду со скоростью 160 км в час), влечет эстетическая, а также артистическая сторона - возможность уйти из жизни "на людях", в последний раз взглянув на одно из самых красивых мест нашей Планеты. Неслучайно многие покончившие с жизнью на мосту Золотые Ворота по пути пересекли не один из других мостов, казалось бы, предоставляющих не меньшие возможности.. (15000).</w:t>
      </w:r>
    </w:p>
    <w:p w14:paraId="6ECE4657" w14:textId="77777777" w:rsidR="00460F2B" w:rsidRPr="00C33834" w:rsidRDefault="00460F2B" w:rsidP="00C33834">
      <w:pPr>
        <w:spacing w:after="0" w:line="240" w:lineRule="auto"/>
        <w:jc w:val="both"/>
        <w:rPr>
          <w:rFonts w:ascii="Times New Roman" w:hAnsi="Times New Roman"/>
          <w:color w:val="000000" w:themeColor="text1"/>
          <w:sz w:val="16"/>
          <w:szCs w:val="16"/>
        </w:rPr>
      </w:pPr>
    </w:p>
    <w:p w14:paraId="7A6D76C1" w14:textId="77777777" w:rsidR="00095B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471D3C1" w14:textId="77777777" w:rsidR="00095B9C" w:rsidRPr="00C33834" w:rsidRDefault="00095B9C" w:rsidP="00C33834">
      <w:pPr>
        <w:spacing w:after="0" w:line="240" w:lineRule="auto"/>
        <w:jc w:val="both"/>
        <w:rPr>
          <w:rFonts w:ascii="Times New Roman" w:hAnsi="Times New Roman"/>
          <w:iCs/>
          <w:color w:val="000000" w:themeColor="text1"/>
          <w:sz w:val="16"/>
          <w:szCs w:val="16"/>
        </w:rPr>
      </w:pPr>
    </w:p>
    <w:p w14:paraId="2DD586E1" w14:textId="77777777" w:rsidR="00310B25" w:rsidRPr="00C33834" w:rsidRDefault="00310B25"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6 января</w:t>
      </w:r>
      <w:r w:rsidRPr="00C33834">
        <w:rPr>
          <w:rFonts w:ascii="Times New Roman" w:hAnsi="Times New Roman"/>
          <w:color w:val="000000" w:themeColor="text1"/>
          <w:sz w:val="16"/>
          <w:szCs w:val="16"/>
        </w:rPr>
        <w:t xml:space="preserve"> в 1933 году совершил свой первый полет биплан «Bleriot-SPAD» «S.510.01» (компания «Bleriot-SPAD», Франция), сконструированный в 1930 г. на основе экспериментальной модели «SPAD» «S.91» как одноместный истребитель для ВВС Франции. Прототип имел фюзеляж с овальным поперечным сечением, изготовленный из стали и дюраля, хвостовой отсек которого типа монокок был изготовлен из дюраля. Крылья одинакового размаха были цельнометаллическими, с полотняной обшивкой и имели с каждой стороны стандартные одиночные обтекаемые вертикальные стойки I-типа, характерные для Эрбемона. Стреловидность имелась только у верхнего крыла, а элероны были установлены на верхнем и нижнем крыльях. V-образный двигатель «Hispano-Suiza» «12Xbrs» получил передний радиатор. Главные стойки шасси имели обтекаемую форму, а колеса были закрыты обтекателями. Открытая кабина пилота располагалась как раз под вырезом в задней кромке верхнего крыла (15001).</w:t>
      </w:r>
    </w:p>
    <w:p w14:paraId="73A43190" w14:textId="77777777" w:rsidR="00310B25" w:rsidRPr="00C33834" w:rsidRDefault="00310B25" w:rsidP="00C33834">
      <w:pPr>
        <w:spacing w:after="0" w:line="240" w:lineRule="auto"/>
        <w:jc w:val="both"/>
        <w:rPr>
          <w:rFonts w:ascii="Times New Roman" w:hAnsi="Times New Roman"/>
          <w:color w:val="000000" w:themeColor="text1"/>
          <w:sz w:val="16"/>
          <w:szCs w:val="16"/>
        </w:rPr>
      </w:pPr>
    </w:p>
    <w:p w14:paraId="75475905" w14:textId="77777777" w:rsidR="008E26BD" w:rsidRPr="00C33834" w:rsidRDefault="008E26B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января 1933 года — первый полёт истребителя Blériot-SPAD S.510. Стал последним истребителем-бипланом для французских ВВС.</w:t>
      </w:r>
    </w:p>
    <w:p w14:paraId="4D2EFF24" w14:textId="77777777" w:rsidR="008E26BD" w:rsidRPr="00C33834" w:rsidRDefault="008E26B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Самолёт разработан на базе экспериментального Blériot-SPAD S.91. Пусть не удивляет выбор такой схемы. Французы тут не едины — британский Gloster Gladiator и итальянский Fiat CR.42 Falco полетели ещё позже.</w:t>
      </w:r>
    </w:p>
    <w:p w14:paraId="1EFED854" w14:textId="77777777" w:rsidR="008E26BD" w:rsidRPr="00C33834" w:rsidRDefault="008E26B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Хотя S.510 внешне и был близок к поздним истребителям Первой мировой войны, но качественно это был совершенно другой самолёт — цельнометаллическая конструкция, оборудование для ночных полётов и радиосвязь.</w:t>
      </w:r>
    </w:p>
    <w:p w14:paraId="31BDD699" w14:textId="77777777" w:rsidR="008E26BD" w:rsidRPr="00C33834" w:rsidRDefault="008E26B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Истребитель получился маневренным и скороподъёмным, но к моменту принятия на вооружение в 1936 году уступал истребителям-монопланам. В итоге было построено всего 60 Blériot-SPAD S.510 (22300).</w:t>
      </w:r>
    </w:p>
    <w:p w14:paraId="5ADE7B61" w14:textId="77777777" w:rsidR="008E26BD" w:rsidRPr="00C33834" w:rsidRDefault="008E26BD" w:rsidP="00C33834">
      <w:pPr>
        <w:spacing w:after="0" w:line="240" w:lineRule="auto"/>
        <w:jc w:val="both"/>
        <w:rPr>
          <w:rFonts w:ascii="Times New Roman" w:hAnsi="Times New Roman"/>
          <w:color w:val="0070C0"/>
          <w:sz w:val="16"/>
          <w:szCs w:val="16"/>
        </w:rPr>
      </w:pPr>
    </w:p>
    <w:p w14:paraId="7D0E5A9E" w14:textId="77777777" w:rsidR="00095B9C" w:rsidRPr="00C33834" w:rsidRDefault="00095B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января 1933 Муссолини амнистировал тысячи арестованных ранее фашистов (4962).</w:t>
      </w:r>
    </w:p>
    <w:p w14:paraId="2AB76299" w14:textId="77777777" w:rsidR="00095B9C" w:rsidRPr="00C33834" w:rsidRDefault="00095B9C" w:rsidP="00C33834">
      <w:pPr>
        <w:tabs>
          <w:tab w:val="left" w:pos="11199"/>
        </w:tabs>
        <w:spacing w:after="0" w:line="240" w:lineRule="auto"/>
        <w:jc w:val="both"/>
        <w:rPr>
          <w:rFonts w:ascii="Times New Roman" w:hAnsi="Times New Roman"/>
          <w:color w:val="000000" w:themeColor="text1"/>
          <w:sz w:val="16"/>
          <w:szCs w:val="16"/>
        </w:rPr>
      </w:pPr>
    </w:p>
    <w:p w14:paraId="584E6385" w14:textId="77777777" w:rsidR="00095B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24CBA49" w14:textId="77777777" w:rsidR="00095B9C" w:rsidRPr="00C33834" w:rsidRDefault="00095B9C" w:rsidP="00C33834">
      <w:pPr>
        <w:spacing w:after="0" w:line="240" w:lineRule="auto"/>
        <w:jc w:val="both"/>
        <w:rPr>
          <w:rFonts w:ascii="Times New Roman" w:hAnsi="Times New Roman"/>
          <w:iCs/>
          <w:color w:val="000000" w:themeColor="text1"/>
          <w:sz w:val="16"/>
          <w:szCs w:val="16"/>
        </w:rPr>
      </w:pPr>
    </w:p>
    <w:p w14:paraId="64935B9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января 1933 г. в НИИ попал второй Р-5 с разрезным крылом, отличавшийся наличием вооружения. Летал на ней пилот Козлов. Испытания, проходившие до 25 марта, опять показали, что посадочная скорость уменьшилась, а допустимый угол атаки - увеличился. Разбег стал короче. Но максимальная скорость полета упала, а устойчивость с выпущенными закрылками стала существенно хуже, чем без них. Пришли к выводу, что для столь тихоходного самолета, как Р-5, "разрезное" крыло существенного выигрыша не даст. Для этого самолета сделали шасси с тормозными колесами, но неизвестно, летал ли он с ним. Хотя в августе 1933 г. военные планировали постройку десяти таких машин для войсковых испытаний, в серийное производство варианте разрезным крылом внедрять не стали. Работы по доводке второго самолета как экспериментального шли до августа 1934 г. (12034).</w:t>
      </w:r>
    </w:p>
    <w:p w14:paraId="042E4864"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7E9BDA33" w14:textId="77777777" w:rsidR="00820904" w:rsidRPr="00C33834" w:rsidRDefault="00820904"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3C0EC75F" w14:textId="77777777" w:rsidR="00820904" w:rsidRPr="00C33834" w:rsidRDefault="00820904" w:rsidP="00C33834">
      <w:pPr>
        <w:spacing w:after="0" w:line="240" w:lineRule="auto"/>
        <w:jc w:val="both"/>
        <w:rPr>
          <w:rFonts w:ascii="Times New Roman" w:hAnsi="Times New Roman"/>
          <w:iCs/>
          <w:color w:val="000000" w:themeColor="text1"/>
          <w:sz w:val="16"/>
          <w:szCs w:val="16"/>
        </w:rPr>
      </w:pPr>
    </w:p>
    <w:p w14:paraId="1E035045" w14:textId="77777777" w:rsidR="00820904" w:rsidRPr="00C33834" w:rsidRDefault="008209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января 1933 г. Московский горком партии обсудил доклад Ротерта, постановив принять за основу строительства заключение советской экспертной комиссии и просить Центральный комитет ВКП(б) продлить срок завершения работы над объектом с 1 января на 1 декабря 1934 г. Для окончательного определения способа сооружения было принято решение провести заново геологические изыскания на каждом отдельном участке. Схема линий метро при этом оставалась неизменной{449}.</w:t>
      </w:r>
    </w:p>
    <w:p w14:paraId="002B28DC" w14:textId="77777777" w:rsidR="00820904" w:rsidRPr="00C33834" w:rsidRDefault="008209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Каганович принял решение на основе множества совещаний и технических консультаций, для участия в которых привлек в партийный комитет авторитетных геологов и других ученых{450}.Насколько позволяют судить источники, для Кагановича в первую очередь важно было определиться со способом строительства, который в минимальной мере затрагивал бы городскую жизнь, вероятно, чтобы не настроить население города против стройки. Возможно, свою роль сыграли и военные соображения: в самом начале дискуссии инженерМаковский обратил внимание Хрущева на то обстоятельство, что в случае войны тоннели глубокого залегания смогут служить надежными бомбоубежищами, чем привлек Хрущева на свою сторону{451}.По свидетельству внука одного из метростроевцев, Каганович приказал на военном полигоне проложить фрагменты метротоннелей на различной глубине и бомбардироватьих с воздуха, чтобы проверить пригодность в качестве защитных сооружений{452}.В газете «Вечерняя Москва» в начале 1933 г. появилась статья с требованием соблюдать при строительстве метро правила противовоздушной обороны и потому прокладывать тоннели глубокого залегания, оборудовав ряд станций газонепроницаемыми переборками{453} (18299).</w:t>
      </w:r>
    </w:p>
    <w:p w14:paraId="12CB1F78" w14:textId="77777777" w:rsidR="00820904" w:rsidRPr="00C33834" w:rsidRDefault="00820904" w:rsidP="00C33834">
      <w:pPr>
        <w:spacing w:after="0" w:line="240" w:lineRule="auto"/>
        <w:jc w:val="both"/>
        <w:rPr>
          <w:rFonts w:ascii="Times New Roman" w:hAnsi="Times New Roman"/>
          <w:color w:val="000000" w:themeColor="text1"/>
          <w:sz w:val="16"/>
          <w:szCs w:val="16"/>
        </w:rPr>
      </w:pPr>
    </w:p>
    <w:p w14:paraId="15830422" w14:textId="77777777" w:rsidR="00095B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E423D69" w14:textId="77777777" w:rsidR="00095B9C" w:rsidRPr="00C33834" w:rsidRDefault="00095B9C" w:rsidP="00C33834">
      <w:pPr>
        <w:spacing w:after="0" w:line="240" w:lineRule="auto"/>
        <w:jc w:val="both"/>
        <w:rPr>
          <w:rFonts w:ascii="Times New Roman" w:hAnsi="Times New Roman"/>
          <w:iCs/>
          <w:color w:val="000000" w:themeColor="text1"/>
          <w:sz w:val="16"/>
          <w:szCs w:val="16"/>
        </w:rPr>
      </w:pPr>
    </w:p>
    <w:p w14:paraId="282DDBC1" w14:textId="77777777" w:rsidR="00AD3AD2" w:rsidRPr="00C33834" w:rsidRDefault="00AD3AD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 января 1933 года И.В. Сталин в докладе об итогах первой пятилетки на объединенном пленуме ЦК и ЦКК ВКП(б) сказал: «У нас не было авиационной промышленности, у нас она есть теперь» (РГВА. Ф. 29. Оп. 26. Д. 206. Л. 12.) (21402).</w:t>
      </w:r>
    </w:p>
    <w:p w14:paraId="02545123" w14:textId="77777777" w:rsidR="00AD3AD2" w:rsidRPr="00C33834" w:rsidRDefault="00AD3AD2" w:rsidP="00C33834">
      <w:pPr>
        <w:spacing w:after="0" w:line="240" w:lineRule="auto"/>
        <w:jc w:val="both"/>
        <w:rPr>
          <w:rFonts w:ascii="Times New Roman" w:hAnsi="Times New Roman"/>
          <w:color w:val="0070C0"/>
          <w:sz w:val="16"/>
          <w:szCs w:val="16"/>
        </w:rPr>
      </w:pPr>
    </w:p>
    <w:p w14:paraId="2E3AC5D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января 1933 года врид начальника ВВС Наумов писал письмо № 3Н/03 начальнику ГУАПа Баранову</w:t>
      </w:r>
    </w:p>
    <w:p w14:paraId="1FC5576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предстоящему 8 января 1933 года совещанию в ГУАПе по вопросу постройки МБР2-М17 прошу учесть задания ВВС:</w:t>
      </w:r>
    </w:p>
    <w:p w14:paraId="70B5B82B" w14:textId="77777777" w:rsidR="00095B9C" w:rsidRPr="00C33834" w:rsidRDefault="00095B9C" w:rsidP="00C33834">
      <w:pPr>
        <w:numPr>
          <w:ilvl w:val="0"/>
          <w:numId w:val="1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сдать в УВВС 20 гидросамолетов МБР2-М17 военного варианта по образцу опытного экземпляра с выполнением требований к эталону, представленных НИИ ВВС Самолетному тресту 15 ноября 1932 года.</w:t>
      </w:r>
    </w:p>
    <w:p w14:paraId="06672F9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Ваше предварительное решение о поставке для ВВС самолетов гражданского варианта в количестве примерно пяти экземпляров из числа строящихся для ГУГВФ не может удовлетворить нужд ВВС.</w:t>
      </w:r>
    </w:p>
    <w:p w14:paraId="3F99E2AA" w14:textId="77777777" w:rsidR="00095B9C" w:rsidRPr="00C33834" w:rsidRDefault="00095B9C" w:rsidP="00C33834">
      <w:pPr>
        <w:numPr>
          <w:ilvl w:val="0"/>
          <w:numId w:val="2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проектировании и постройке МБР2-М17 была предусмотрена установка его на колеса и лыжи.</w:t>
      </w:r>
    </w:p>
    <w:p w14:paraId="0D9964A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Прошу выполнить эту работу с расчетом предъявления амфибии на госиспытания в Севастополе к 1 июля 1933 года, а поставленный на лыжи самолет в Ленинграде к 1 ноября 1933 года.</w:t>
      </w:r>
    </w:p>
    <w:p w14:paraId="50B847A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ускорения этой работы может быть представлен имеющийся в ВВС экземпляр самолета, при условии доводки его ГУАПом как эталона (см. требования от 15 ноября 1933 года).</w:t>
      </w:r>
    </w:p>
    <w:p w14:paraId="48A1560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Считаю, что загрузка 2 бригады ЦАГИ позволяет не передвигая сроков других заданий выполнить работу.</w:t>
      </w:r>
    </w:p>
    <w:p w14:paraId="706D9F7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МБР2-М17, конкурирующий с аналогичными заграничными самолетами имеет много данных, чтобы стать основным ближним разведчиком, частью даже в сухопутной авиации.</w:t>
      </w:r>
    </w:p>
    <w:p w14:paraId="388B3AB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Прошу работы по МБР2-М17 взять под особое наблюдение (7486, 132).</w:t>
      </w:r>
    </w:p>
    <w:p w14:paraId="5057ADC8"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4EB2B9C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января 1933 года зам. Наркомтяжпрома и нач. Глававиапрома Баранов писал письмо Молотову.</w:t>
      </w:r>
    </w:p>
    <w:p w14:paraId="398F001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этом представляю количественные итоги работы авиапромышленности за 1932 год:</w:t>
      </w:r>
    </w:p>
    <w:p w14:paraId="3E03F7B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сдано потребителям: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F26F01" w:rsidRPr="00C33834" w14:paraId="28135527" w14:textId="77777777">
        <w:tc>
          <w:tcPr>
            <w:tcW w:w="2254" w:type="dxa"/>
          </w:tcPr>
          <w:p w14:paraId="3942A3CF"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2254" w:type="dxa"/>
          </w:tcPr>
          <w:p w14:paraId="4C9319D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w:t>
            </w:r>
          </w:p>
        </w:tc>
        <w:tc>
          <w:tcPr>
            <w:tcW w:w="2254" w:type="dxa"/>
          </w:tcPr>
          <w:p w14:paraId="4253E8B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w:t>
            </w:r>
          </w:p>
        </w:tc>
      </w:tr>
      <w:tr w:rsidR="00F26F01" w:rsidRPr="00C33834" w14:paraId="186C971A" w14:textId="77777777">
        <w:tc>
          <w:tcPr>
            <w:tcW w:w="2254" w:type="dxa"/>
          </w:tcPr>
          <w:p w14:paraId="08B6742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вполне кондиционных</w:t>
            </w:r>
          </w:p>
        </w:tc>
        <w:tc>
          <w:tcPr>
            <w:tcW w:w="2254" w:type="dxa"/>
          </w:tcPr>
          <w:p w14:paraId="5A923AA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4567</w:t>
            </w:r>
          </w:p>
        </w:tc>
        <w:tc>
          <w:tcPr>
            <w:tcW w:w="2254" w:type="dxa"/>
          </w:tcPr>
          <w:p w14:paraId="36E2087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2487</w:t>
            </w:r>
          </w:p>
        </w:tc>
      </w:tr>
      <w:tr w:rsidR="00F26F01" w:rsidRPr="00C33834" w14:paraId="6E0D8E53" w14:textId="77777777">
        <w:tc>
          <w:tcPr>
            <w:tcW w:w="2254" w:type="dxa"/>
          </w:tcPr>
          <w:p w14:paraId="18ED854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с пониженной кондицией</w:t>
            </w:r>
          </w:p>
        </w:tc>
        <w:tc>
          <w:tcPr>
            <w:tcW w:w="2254" w:type="dxa"/>
          </w:tcPr>
          <w:p w14:paraId="6B1FD86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w:t>
            </w:r>
          </w:p>
        </w:tc>
        <w:tc>
          <w:tcPr>
            <w:tcW w:w="2254" w:type="dxa"/>
          </w:tcPr>
          <w:p w14:paraId="3FBDC3C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7B06114A" w14:textId="77777777">
        <w:tc>
          <w:tcPr>
            <w:tcW w:w="2254" w:type="dxa"/>
          </w:tcPr>
          <w:p w14:paraId="1919F3D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учебных и макетов (в</w:t>
            </w:r>
          </w:p>
        </w:tc>
        <w:tc>
          <w:tcPr>
            <w:tcW w:w="2254" w:type="dxa"/>
          </w:tcPr>
          <w:p w14:paraId="13ACA2AD"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2254" w:type="dxa"/>
          </w:tcPr>
          <w:p w14:paraId="60E98E54"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r>
      <w:tr w:rsidR="00F26F01" w:rsidRPr="00C33834" w14:paraId="4568EFDD" w14:textId="77777777">
        <w:tc>
          <w:tcPr>
            <w:tcW w:w="2254" w:type="dxa"/>
          </w:tcPr>
          <w:p w14:paraId="32D24FD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полном снаряжении)</w:t>
            </w:r>
          </w:p>
        </w:tc>
        <w:tc>
          <w:tcPr>
            <w:tcW w:w="2254" w:type="dxa"/>
          </w:tcPr>
          <w:p w14:paraId="494E1D5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111</w:t>
            </w:r>
          </w:p>
        </w:tc>
        <w:tc>
          <w:tcPr>
            <w:tcW w:w="2254" w:type="dxa"/>
          </w:tcPr>
          <w:p w14:paraId="54C930F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01CF9A24" w14:textId="77777777">
        <w:tc>
          <w:tcPr>
            <w:tcW w:w="2254" w:type="dxa"/>
          </w:tcPr>
          <w:p w14:paraId="65C6D39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сдано:</w:t>
            </w:r>
          </w:p>
        </w:tc>
        <w:tc>
          <w:tcPr>
            <w:tcW w:w="2254" w:type="dxa"/>
          </w:tcPr>
          <w:p w14:paraId="17B02DB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4918</w:t>
            </w:r>
          </w:p>
        </w:tc>
        <w:tc>
          <w:tcPr>
            <w:tcW w:w="2254" w:type="dxa"/>
          </w:tcPr>
          <w:p w14:paraId="5CD566A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2487</w:t>
            </w:r>
          </w:p>
        </w:tc>
      </w:tr>
      <w:tr w:rsidR="00F26F01" w:rsidRPr="00C33834" w14:paraId="614B83A3" w14:textId="77777777">
        <w:tc>
          <w:tcPr>
            <w:tcW w:w="2254" w:type="dxa"/>
          </w:tcPr>
          <w:p w14:paraId="1459148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Правительственное задание</w:t>
            </w:r>
          </w:p>
        </w:tc>
        <w:tc>
          <w:tcPr>
            <w:tcW w:w="2254" w:type="dxa"/>
          </w:tcPr>
          <w:p w14:paraId="38750A1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5310</w:t>
            </w:r>
          </w:p>
        </w:tc>
        <w:tc>
          <w:tcPr>
            <w:tcW w:w="2254" w:type="dxa"/>
          </w:tcPr>
          <w:p w14:paraId="7D0FC6D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3461</w:t>
            </w:r>
          </w:p>
        </w:tc>
      </w:tr>
      <w:tr w:rsidR="00F26F01" w:rsidRPr="00C33834" w14:paraId="5646F01A" w14:textId="77777777">
        <w:tc>
          <w:tcPr>
            <w:tcW w:w="2254" w:type="dxa"/>
          </w:tcPr>
          <w:p w14:paraId="2905EF2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Сдано в 1931 году</w:t>
            </w:r>
          </w:p>
        </w:tc>
        <w:tc>
          <w:tcPr>
            <w:tcW w:w="2254" w:type="dxa"/>
          </w:tcPr>
          <w:p w14:paraId="63B3F34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1640</w:t>
            </w:r>
          </w:p>
        </w:tc>
        <w:tc>
          <w:tcPr>
            <w:tcW w:w="2254" w:type="dxa"/>
          </w:tcPr>
          <w:p w14:paraId="09888AF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1489</w:t>
            </w:r>
          </w:p>
        </w:tc>
      </w:tr>
      <w:tr w:rsidR="00F26F01" w:rsidRPr="00C33834" w14:paraId="25ED78C4" w14:textId="77777777">
        <w:tc>
          <w:tcPr>
            <w:tcW w:w="2254" w:type="dxa"/>
          </w:tcPr>
          <w:p w14:paraId="7A760A4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Рост выпуска по количеству</w:t>
            </w:r>
          </w:p>
        </w:tc>
        <w:tc>
          <w:tcPr>
            <w:tcW w:w="2254" w:type="dxa"/>
          </w:tcPr>
          <w:p w14:paraId="1D7466A3"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2254" w:type="dxa"/>
          </w:tcPr>
          <w:p w14:paraId="15923AFB"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r>
      <w:tr w:rsidR="00F26F01" w:rsidRPr="00C33834" w14:paraId="3ECC0786" w14:textId="77777777">
        <w:tc>
          <w:tcPr>
            <w:tcW w:w="2254" w:type="dxa"/>
          </w:tcPr>
          <w:p w14:paraId="223EB8E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единиц в сравнении с прошлым</w:t>
            </w:r>
          </w:p>
        </w:tc>
        <w:tc>
          <w:tcPr>
            <w:tcW w:w="2254" w:type="dxa"/>
          </w:tcPr>
          <w:p w14:paraId="5B48CE4F"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2254" w:type="dxa"/>
          </w:tcPr>
          <w:p w14:paraId="131F9CB8"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r>
      <w:tr w:rsidR="00F26F01" w:rsidRPr="00C33834" w14:paraId="6A623712" w14:textId="77777777">
        <w:tc>
          <w:tcPr>
            <w:tcW w:w="2254" w:type="dxa"/>
          </w:tcPr>
          <w:p w14:paraId="344980D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годом составляет</w:t>
            </w:r>
          </w:p>
        </w:tc>
        <w:tc>
          <w:tcPr>
            <w:tcW w:w="2254" w:type="dxa"/>
          </w:tcPr>
          <w:p w14:paraId="02E1685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2254" w:type="dxa"/>
          </w:tcPr>
          <w:p w14:paraId="1C6BB09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167%</w:t>
            </w:r>
          </w:p>
        </w:tc>
      </w:tr>
      <w:tr w:rsidR="00F26F01" w:rsidRPr="00C33834" w14:paraId="107B9108" w14:textId="77777777">
        <w:tc>
          <w:tcPr>
            <w:tcW w:w="2254" w:type="dxa"/>
          </w:tcPr>
          <w:p w14:paraId="54E7907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в целом по количеству</w:t>
            </w:r>
          </w:p>
        </w:tc>
        <w:tc>
          <w:tcPr>
            <w:tcW w:w="2254" w:type="dxa"/>
          </w:tcPr>
          <w:p w14:paraId="529D3643"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2254" w:type="dxa"/>
          </w:tcPr>
          <w:p w14:paraId="743781CD"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r>
      <w:tr w:rsidR="00F26F01" w:rsidRPr="00C33834" w14:paraId="7AEA4342" w14:textId="77777777">
        <w:tc>
          <w:tcPr>
            <w:tcW w:w="2254" w:type="dxa"/>
          </w:tcPr>
          <w:p w14:paraId="6F77A79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единиц исполнен на</w:t>
            </w:r>
          </w:p>
        </w:tc>
        <w:tc>
          <w:tcPr>
            <w:tcW w:w="2254" w:type="dxa"/>
          </w:tcPr>
          <w:p w14:paraId="5C66055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92,6%</w:t>
            </w:r>
          </w:p>
        </w:tc>
        <w:tc>
          <w:tcPr>
            <w:tcW w:w="2254" w:type="dxa"/>
          </w:tcPr>
          <w:p w14:paraId="50E84D4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71,9%</w:t>
            </w:r>
          </w:p>
        </w:tc>
      </w:tr>
      <w:tr w:rsidR="00F26F01" w:rsidRPr="00C33834" w14:paraId="61094D92" w14:textId="77777777">
        <w:tc>
          <w:tcPr>
            <w:tcW w:w="2254" w:type="dxa"/>
          </w:tcPr>
          <w:p w14:paraId="0823355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них по кондиционным моторам</w:t>
            </w:r>
          </w:p>
        </w:tc>
        <w:tc>
          <w:tcPr>
            <w:tcW w:w="2254" w:type="dxa"/>
          </w:tcPr>
          <w:p w14:paraId="49C1EF8B"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2254" w:type="dxa"/>
          </w:tcPr>
          <w:p w14:paraId="300F9664"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r>
      <w:tr w:rsidR="00F26F01" w:rsidRPr="00C33834" w14:paraId="75654A54" w14:textId="77777777">
        <w:tc>
          <w:tcPr>
            <w:tcW w:w="2254" w:type="dxa"/>
          </w:tcPr>
          <w:p w14:paraId="3CF1D2A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w:t>
            </w:r>
          </w:p>
        </w:tc>
        <w:tc>
          <w:tcPr>
            <w:tcW w:w="2254" w:type="dxa"/>
          </w:tcPr>
          <w:p w14:paraId="242BFB4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w:t>
            </w:r>
          </w:p>
        </w:tc>
        <w:tc>
          <w:tcPr>
            <w:tcW w:w="2254" w:type="dxa"/>
          </w:tcPr>
          <w:p w14:paraId="4652E699"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r>
    </w:tbl>
    <w:p w14:paraId="49E1750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Следует отметить повышение трудоемкости в изготовлении выпущенных самолетов за счет утяжеления типов.</w:t>
      </w:r>
    </w:p>
    <w:p w14:paraId="6954230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Общий недодел правительственного задания составляет:</w:t>
      </w:r>
    </w:p>
    <w:p w14:paraId="5BCFA87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моторам - 392 ед., почти целиком за счет М-34 и по самолетам - 974 ед., преимущественно за счет новых типов и новых заводов.</w:t>
      </w:r>
    </w:p>
    <w:p w14:paraId="487DD10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моторостроению.</w:t>
      </w:r>
    </w:p>
    <w:p w14:paraId="1DC94C3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Главнейшей задачей являлось освоение и внедрение в серийное производство на заводе N 24 нового типа мотора М-34.</w:t>
      </w:r>
    </w:p>
    <w:p w14:paraId="4E7EB7A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 задача полностью разрешена выпуском в истекшем декабре 45 моторов пи плановом задании на этот месяц 55 единиц.</w:t>
      </w:r>
    </w:p>
    <w:p w14:paraId="6E59107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целом годовое задание по выпуску этого мотора не выполнено.</w:t>
      </w:r>
    </w:p>
    <w:p w14:paraId="69D9439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Увеличение выпуска моторов М-17 на заводе N 26 ослабило роль качества в производстве. В дальнейшем положение выправлено, о чем свидетельствуют удовлетворительные результаты проведенного на днях испытания рядового мотора на 200 часов при существующей норме в 100.</w:t>
      </w:r>
    </w:p>
    <w:p w14:paraId="4F024DF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Программа по выпуску моторов с воздушным охлаждением (зав. N 29 - М-22 и М-11 и зав. N 24 - М-15 и М-26) перевыполнена.</w:t>
      </w:r>
    </w:p>
    <w:p w14:paraId="26760EB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Следует отметить достигнутые результаты заводом N 29 по повышению качества выпускаемых моторов. В частности срок гарантийности работы мотора М-22 между переборками доведен с 50 до 100 часов и по М-11 с 100 до 200 часов.</w:t>
      </w:r>
    </w:p>
    <w:p w14:paraId="1A1E6FD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самолетостроению.</w:t>
      </w:r>
    </w:p>
    <w:p w14:paraId="1CB59F9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числа 9 предназначенных к действию заводов только 2 (NN 23 и ХАЗ) были свободны от внедрения новых типов или постановки заново производства. 2 завода ввиду задержек по линии капстроительства запоздали со входом в эксплуатацию (зав. NN 18 и 21), создав недодел программы на 276 единиц, из коих И-5 - 266 самолетов и ТБ-3 - 10 самолетов.</w:t>
      </w:r>
    </w:p>
    <w:p w14:paraId="7EB9245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Основной задачей по самолетостроению в минувшем году было:</w:t>
      </w:r>
    </w:p>
    <w:p w14:paraId="1FB3594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Освоение и внедрение в производство следующих новых типов:</w:t>
      </w:r>
    </w:p>
    <w:p w14:paraId="3E74931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тяжелого металлического бомбовоза - ТБ-3 одновременно на зав. NN 22, 39 и 18;</w:t>
      </w:r>
    </w:p>
    <w:p w14:paraId="193BD03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смешанной конструкции со сварным фюзеляжем истребителя И-7 на заводе N 1;</w:t>
      </w:r>
    </w:p>
    <w:p w14:paraId="26AEC4C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гидросамолета (лодки) С-62 на заводе N 31 при одновременном внедрении на том же заводе легкой амфибии - АШ и снятых с производства завода N 22 металлических машин Р-6 и АНТ-9.</w:t>
      </w:r>
    </w:p>
    <w:p w14:paraId="19C03CD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на заводе предстояла подготовка производства с выпуском 2-х головных машин металлического гидросамолета (лодки) МДР-3;</w:t>
      </w:r>
    </w:p>
    <w:p w14:paraId="7EEA0A0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тяжелого штурмовика ТШ на заводе N 16 с бронированной кабиной;</w:t>
      </w:r>
    </w:p>
    <w:p w14:paraId="73904C5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модифицированной модели деревянного истребителя И-5 на заводе N 21.</w:t>
      </w:r>
    </w:p>
    <w:p w14:paraId="01CCB73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ТБ-3.</w:t>
      </w:r>
    </w:p>
    <w:p w14:paraId="259E63B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N 22 - задание 40 машин в месяц не достигнуто.</w:t>
      </w:r>
    </w:p>
    <w:p w14:paraId="48646B6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N 39 - недодел 35 машин из задания 40.</w:t>
      </w:r>
    </w:p>
    <w:p w14:paraId="4F792BE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N 18 - не развернуто производство до стадии выпуска машин.</w:t>
      </w:r>
    </w:p>
    <w:p w14:paraId="7697174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ТШ - конструкция самолета не оправдала надежд, оказавшись весьма перетяжеленной. Решением правительства самолет снят с производства. (с. 45-48).</w:t>
      </w:r>
    </w:p>
    <w:p w14:paraId="1D66275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правительственного задания по самолетам за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tblGrid>
      <w:tr w:rsidR="00F26F01" w:rsidRPr="00C33834" w14:paraId="21F2D79F" w14:textId="77777777">
        <w:tc>
          <w:tcPr>
            <w:tcW w:w="1127" w:type="dxa"/>
          </w:tcPr>
          <w:p w14:paraId="72FFEEF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NN заводов</w:t>
            </w:r>
          </w:p>
        </w:tc>
        <w:tc>
          <w:tcPr>
            <w:tcW w:w="1127" w:type="dxa"/>
          </w:tcPr>
          <w:p w14:paraId="5F7FB36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w:t>
            </w:r>
          </w:p>
        </w:tc>
        <w:tc>
          <w:tcPr>
            <w:tcW w:w="1127" w:type="dxa"/>
          </w:tcPr>
          <w:p w14:paraId="4112547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w:t>
            </w:r>
          </w:p>
        </w:tc>
        <w:tc>
          <w:tcPr>
            <w:tcW w:w="1127" w:type="dxa"/>
          </w:tcPr>
          <w:p w14:paraId="773EBE6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за весь 1932 год</w:t>
            </w:r>
          </w:p>
        </w:tc>
        <w:tc>
          <w:tcPr>
            <w:tcW w:w="1127" w:type="dxa"/>
          </w:tcPr>
          <w:p w14:paraId="3D1B749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 г.</w:t>
            </w:r>
          </w:p>
        </w:tc>
        <w:tc>
          <w:tcPr>
            <w:tcW w:w="1127" w:type="dxa"/>
          </w:tcPr>
          <w:p w14:paraId="6153E851"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6B045F1D"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21C1C6C2"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r>
      <w:tr w:rsidR="00F26F01" w:rsidRPr="00C33834" w14:paraId="0DD8E773" w14:textId="77777777">
        <w:tc>
          <w:tcPr>
            <w:tcW w:w="1127" w:type="dxa"/>
          </w:tcPr>
          <w:p w14:paraId="7C46ABC0"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3E37DF68"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00827FF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изделий</w:t>
            </w:r>
          </w:p>
        </w:tc>
        <w:tc>
          <w:tcPr>
            <w:tcW w:w="1127" w:type="dxa"/>
          </w:tcPr>
          <w:p w14:paraId="2973B86A"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57768F4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Абс.</w:t>
            </w:r>
          </w:p>
        </w:tc>
        <w:tc>
          <w:tcPr>
            <w:tcW w:w="1127" w:type="dxa"/>
          </w:tcPr>
          <w:p w14:paraId="7A62804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 к</w:t>
            </w:r>
          </w:p>
        </w:tc>
        <w:tc>
          <w:tcPr>
            <w:tcW w:w="1127" w:type="dxa"/>
          </w:tcPr>
          <w:p w14:paraId="2FE0D74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 к</w:t>
            </w:r>
          </w:p>
        </w:tc>
        <w:tc>
          <w:tcPr>
            <w:tcW w:w="1127" w:type="dxa"/>
          </w:tcPr>
          <w:p w14:paraId="5FB069D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Сдано за</w:t>
            </w:r>
          </w:p>
        </w:tc>
      </w:tr>
      <w:tr w:rsidR="00F26F01" w:rsidRPr="00C33834" w14:paraId="3FBD646E" w14:textId="77777777">
        <w:tc>
          <w:tcPr>
            <w:tcW w:w="1127" w:type="dxa"/>
          </w:tcPr>
          <w:p w14:paraId="5533DCCD"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41AA7CE3"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4485F731"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6268EDC3"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6E763F4F"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4967A20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годов.</w:t>
            </w:r>
          </w:p>
        </w:tc>
        <w:tc>
          <w:tcPr>
            <w:tcW w:w="1127" w:type="dxa"/>
          </w:tcPr>
          <w:p w14:paraId="27BEADD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сдаче</w:t>
            </w:r>
          </w:p>
        </w:tc>
        <w:tc>
          <w:tcPr>
            <w:tcW w:w="1127" w:type="dxa"/>
          </w:tcPr>
          <w:p w14:paraId="59201B1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весь</w:t>
            </w:r>
          </w:p>
        </w:tc>
      </w:tr>
      <w:tr w:rsidR="00F26F01" w:rsidRPr="00C33834" w14:paraId="2A66ED0C" w14:textId="77777777">
        <w:tc>
          <w:tcPr>
            <w:tcW w:w="1127" w:type="dxa"/>
          </w:tcPr>
          <w:p w14:paraId="5FC2A694"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497D54B5"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68276E88"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4BC83BE2"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5BAE3D31"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466E76D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плану</w:t>
            </w:r>
          </w:p>
        </w:tc>
        <w:tc>
          <w:tcPr>
            <w:tcW w:w="1127" w:type="dxa"/>
          </w:tcPr>
          <w:p w14:paraId="16D0E6A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 г.</w:t>
            </w:r>
          </w:p>
        </w:tc>
        <w:tc>
          <w:tcPr>
            <w:tcW w:w="1127" w:type="dxa"/>
          </w:tcPr>
          <w:p w14:paraId="672C528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год</w:t>
            </w:r>
          </w:p>
        </w:tc>
      </w:tr>
      <w:tr w:rsidR="00F26F01" w:rsidRPr="00C33834" w14:paraId="5BB822A9" w14:textId="77777777">
        <w:tc>
          <w:tcPr>
            <w:tcW w:w="1127" w:type="dxa"/>
          </w:tcPr>
          <w:p w14:paraId="49A09D5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127" w:type="dxa"/>
          </w:tcPr>
          <w:p w14:paraId="31C093A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w:t>
            </w:r>
          </w:p>
        </w:tc>
        <w:tc>
          <w:tcPr>
            <w:tcW w:w="1127" w:type="dxa"/>
          </w:tcPr>
          <w:p w14:paraId="43ED5C5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 М22</w:t>
            </w:r>
          </w:p>
        </w:tc>
        <w:tc>
          <w:tcPr>
            <w:tcW w:w="1127" w:type="dxa"/>
          </w:tcPr>
          <w:p w14:paraId="03FC33F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w:t>
            </w:r>
          </w:p>
        </w:tc>
        <w:tc>
          <w:tcPr>
            <w:tcW w:w="1127" w:type="dxa"/>
          </w:tcPr>
          <w:p w14:paraId="7D61A98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p>
        </w:tc>
        <w:tc>
          <w:tcPr>
            <w:tcW w:w="1127" w:type="dxa"/>
          </w:tcPr>
          <w:p w14:paraId="26B2498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102,7</w:t>
            </w:r>
          </w:p>
        </w:tc>
        <w:tc>
          <w:tcPr>
            <w:tcW w:w="1127" w:type="dxa"/>
          </w:tcPr>
          <w:p w14:paraId="20BADE9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115,2</w:t>
            </w:r>
          </w:p>
        </w:tc>
        <w:tc>
          <w:tcPr>
            <w:tcW w:w="1127" w:type="dxa"/>
          </w:tcPr>
          <w:p w14:paraId="3BF9081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w:t>
            </w:r>
          </w:p>
        </w:tc>
      </w:tr>
      <w:tr w:rsidR="00F26F01" w:rsidRPr="00C33834" w14:paraId="25971FA9" w14:textId="77777777">
        <w:tc>
          <w:tcPr>
            <w:tcW w:w="1127" w:type="dxa"/>
          </w:tcPr>
          <w:p w14:paraId="42169219"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76EFA7B7"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6302012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 М-17</w:t>
            </w:r>
          </w:p>
        </w:tc>
        <w:tc>
          <w:tcPr>
            <w:tcW w:w="1127" w:type="dxa"/>
          </w:tcPr>
          <w:p w14:paraId="5EF22D5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w:t>
            </w:r>
          </w:p>
        </w:tc>
        <w:tc>
          <w:tcPr>
            <w:tcW w:w="1127" w:type="dxa"/>
          </w:tcPr>
          <w:p w14:paraId="0BC196E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884</w:t>
            </w:r>
          </w:p>
        </w:tc>
        <w:tc>
          <w:tcPr>
            <w:tcW w:w="1127" w:type="dxa"/>
          </w:tcPr>
          <w:p w14:paraId="1CC7F0C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73,7</w:t>
            </w:r>
          </w:p>
        </w:tc>
        <w:tc>
          <w:tcPr>
            <w:tcW w:w="1127" w:type="dxa"/>
          </w:tcPr>
          <w:p w14:paraId="3D6C73E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263.1</w:t>
            </w:r>
          </w:p>
        </w:tc>
        <w:tc>
          <w:tcPr>
            <w:tcW w:w="1127" w:type="dxa"/>
          </w:tcPr>
          <w:p w14:paraId="04A769E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336</w:t>
            </w:r>
          </w:p>
        </w:tc>
      </w:tr>
      <w:tr w:rsidR="00F26F01" w:rsidRPr="00C33834" w14:paraId="2A8671F2" w14:textId="77777777">
        <w:tc>
          <w:tcPr>
            <w:tcW w:w="1127" w:type="dxa"/>
          </w:tcPr>
          <w:p w14:paraId="31A64E38"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54137A2F"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0A432DA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 М-17</w:t>
            </w:r>
          </w:p>
        </w:tc>
        <w:tc>
          <w:tcPr>
            <w:tcW w:w="1127" w:type="dxa"/>
          </w:tcPr>
          <w:p w14:paraId="4E3A10B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w:t>
            </w:r>
          </w:p>
        </w:tc>
        <w:tc>
          <w:tcPr>
            <w:tcW w:w="1127" w:type="dxa"/>
          </w:tcPr>
          <w:p w14:paraId="24A0222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w:t>
            </w:r>
          </w:p>
        </w:tc>
        <w:tc>
          <w:tcPr>
            <w:tcW w:w="1127" w:type="dxa"/>
          </w:tcPr>
          <w:p w14:paraId="2E4B450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28,1</w:t>
            </w:r>
          </w:p>
        </w:tc>
        <w:tc>
          <w:tcPr>
            <w:tcW w:w="1127" w:type="dxa"/>
          </w:tcPr>
          <w:p w14:paraId="18A3F7F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2250,0</w:t>
            </w:r>
          </w:p>
        </w:tc>
        <w:tc>
          <w:tcPr>
            <w:tcW w:w="1127" w:type="dxa"/>
          </w:tcPr>
          <w:p w14:paraId="656D3B3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r>
      <w:tr w:rsidR="00F26F01" w:rsidRPr="00C33834" w14:paraId="42C68155" w14:textId="77777777">
        <w:tc>
          <w:tcPr>
            <w:tcW w:w="1127" w:type="dxa"/>
          </w:tcPr>
          <w:p w14:paraId="02CE2224"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39006EA9"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60A209F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разные</w:t>
            </w:r>
          </w:p>
        </w:tc>
        <w:tc>
          <w:tcPr>
            <w:tcW w:w="1127" w:type="dxa"/>
          </w:tcPr>
          <w:p w14:paraId="4365E90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37AA962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264E33E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2128E19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3862D65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w:t>
            </w:r>
          </w:p>
        </w:tc>
      </w:tr>
      <w:tr w:rsidR="00F26F01" w:rsidRPr="00C33834" w14:paraId="17F74D3D" w14:textId="77777777">
        <w:tc>
          <w:tcPr>
            <w:tcW w:w="1127" w:type="dxa"/>
          </w:tcPr>
          <w:p w14:paraId="545C61A9"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771B6AA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самолетов:</w:t>
            </w:r>
          </w:p>
        </w:tc>
        <w:tc>
          <w:tcPr>
            <w:tcW w:w="1127" w:type="dxa"/>
          </w:tcPr>
          <w:p w14:paraId="71D890B1"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1C33BD5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1434</w:t>
            </w:r>
          </w:p>
        </w:tc>
        <w:tc>
          <w:tcPr>
            <w:tcW w:w="1127" w:type="dxa"/>
          </w:tcPr>
          <w:p w14:paraId="07F3101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1005</w:t>
            </w:r>
          </w:p>
        </w:tc>
        <w:tc>
          <w:tcPr>
            <w:tcW w:w="1127" w:type="dxa"/>
          </w:tcPr>
          <w:p w14:paraId="12BC19C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70,1</w:t>
            </w:r>
          </w:p>
        </w:tc>
        <w:tc>
          <w:tcPr>
            <w:tcW w:w="1127" w:type="dxa"/>
          </w:tcPr>
          <w:p w14:paraId="553559E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219,0</w:t>
            </w:r>
          </w:p>
        </w:tc>
        <w:tc>
          <w:tcPr>
            <w:tcW w:w="1127" w:type="dxa"/>
          </w:tcPr>
          <w:p w14:paraId="7AC5F93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459</w:t>
            </w:r>
          </w:p>
        </w:tc>
      </w:tr>
      <w:tr w:rsidR="00F26F01" w:rsidRPr="00C33834" w14:paraId="5B68A5A6" w14:textId="77777777">
        <w:tc>
          <w:tcPr>
            <w:tcW w:w="1127" w:type="dxa"/>
          </w:tcPr>
          <w:p w14:paraId="055AD9E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Сам.</w:t>
            </w:r>
          </w:p>
        </w:tc>
        <w:tc>
          <w:tcPr>
            <w:tcW w:w="1127" w:type="dxa"/>
          </w:tcPr>
          <w:p w14:paraId="09673EDB"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58E2FE4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АНТ-9</w:t>
            </w:r>
          </w:p>
        </w:tc>
        <w:tc>
          <w:tcPr>
            <w:tcW w:w="1127" w:type="dxa"/>
          </w:tcPr>
          <w:p w14:paraId="17427FE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1127" w:type="dxa"/>
          </w:tcPr>
          <w:p w14:paraId="6D328A8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w:t>
            </w:r>
          </w:p>
        </w:tc>
        <w:tc>
          <w:tcPr>
            <w:tcW w:w="1127" w:type="dxa"/>
          </w:tcPr>
          <w:p w14:paraId="46F9384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675,0</w:t>
            </w:r>
          </w:p>
        </w:tc>
        <w:tc>
          <w:tcPr>
            <w:tcW w:w="1127" w:type="dxa"/>
          </w:tcPr>
          <w:p w14:paraId="61F1EB7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81,8</w:t>
            </w:r>
          </w:p>
        </w:tc>
        <w:tc>
          <w:tcPr>
            <w:tcW w:w="1127" w:type="dxa"/>
          </w:tcPr>
          <w:p w14:paraId="18E319F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w:t>
            </w:r>
          </w:p>
        </w:tc>
      </w:tr>
      <w:tr w:rsidR="00F26F01" w:rsidRPr="00C33834" w14:paraId="29B92DF0" w14:textId="77777777">
        <w:tc>
          <w:tcPr>
            <w:tcW w:w="1127" w:type="dxa"/>
          </w:tcPr>
          <w:p w14:paraId="58A7A79F"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32D66231"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6581CD1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1127" w:type="dxa"/>
          </w:tcPr>
          <w:p w14:paraId="3FA4C1C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127" w:type="dxa"/>
          </w:tcPr>
          <w:p w14:paraId="2EAB609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155</w:t>
            </w:r>
          </w:p>
        </w:tc>
        <w:tc>
          <w:tcPr>
            <w:tcW w:w="1127" w:type="dxa"/>
          </w:tcPr>
          <w:p w14:paraId="7FA449A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62,0</w:t>
            </w:r>
          </w:p>
        </w:tc>
        <w:tc>
          <w:tcPr>
            <w:tcW w:w="1127" w:type="dxa"/>
          </w:tcPr>
          <w:p w14:paraId="5CAA879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1520E33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1FE3FEA9" w14:textId="77777777">
        <w:tc>
          <w:tcPr>
            <w:tcW w:w="1127" w:type="dxa"/>
          </w:tcPr>
          <w:p w14:paraId="4024272E"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45FFE521"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0505FF8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 2М-17</w:t>
            </w:r>
          </w:p>
        </w:tc>
        <w:tc>
          <w:tcPr>
            <w:tcW w:w="1127" w:type="dxa"/>
          </w:tcPr>
          <w:p w14:paraId="52289E0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1127" w:type="dxa"/>
          </w:tcPr>
          <w:p w14:paraId="7B43776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1127" w:type="dxa"/>
          </w:tcPr>
          <w:p w14:paraId="6648130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c>
          <w:tcPr>
            <w:tcW w:w="1127" w:type="dxa"/>
          </w:tcPr>
          <w:p w14:paraId="760F4D0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127" w:type="dxa"/>
          </w:tcPr>
          <w:p w14:paraId="440C1DE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r>
      <w:tr w:rsidR="00F26F01" w:rsidRPr="00C33834" w14:paraId="07525D77" w14:textId="77777777">
        <w:tc>
          <w:tcPr>
            <w:tcW w:w="1127" w:type="dxa"/>
          </w:tcPr>
          <w:p w14:paraId="08AD67C6"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7F72CA41"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71C609B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разные</w:t>
            </w:r>
          </w:p>
        </w:tc>
        <w:tc>
          <w:tcPr>
            <w:tcW w:w="1127" w:type="dxa"/>
          </w:tcPr>
          <w:p w14:paraId="556F6CB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2EABCF4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1127" w:type="dxa"/>
          </w:tcPr>
          <w:p w14:paraId="103C96B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7F6F9B5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w:t>
            </w:r>
          </w:p>
        </w:tc>
        <w:tc>
          <w:tcPr>
            <w:tcW w:w="1127" w:type="dxa"/>
          </w:tcPr>
          <w:p w14:paraId="77A81C4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158</w:t>
            </w:r>
          </w:p>
        </w:tc>
      </w:tr>
      <w:tr w:rsidR="00F26F01" w:rsidRPr="00C33834" w14:paraId="56B5F6C6" w14:textId="77777777">
        <w:tc>
          <w:tcPr>
            <w:tcW w:w="1127" w:type="dxa"/>
          </w:tcPr>
          <w:p w14:paraId="7DD84736"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6D30F08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самолетов:</w:t>
            </w:r>
          </w:p>
        </w:tc>
        <w:tc>
          <w:tcPr>
            <w:tcW w:w="1127" w:type="dxa"/>
          </w:tcPr>
          <w:p w14:paraId="09886C73"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51B51F9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274</w:t>
            </w:r>
          </w:p>
        </w:tc>
        <w:tc>
          <w:tcPr>
            <w:tcW w:w="1127" w:type="dxa"/>
          </w:tcPr>
          <w:p w14:paraId="2C88C27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214</w:t>
            </w:r>
          </w:p>
        </w:tc>
        <w:tc>
          <w:tcPr>
            <w:tcW w:w="1127" w:type="dxa"/>
          </w:tcPr>
          <w:p w14:paraId="1598F8F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78,1</w:t>
            </w:r>
          </w:p>
        </w:tc>
        <w:tc>
          <w:tcPr>
            <w:tcW w:w="1127" w:type="dxa"/>
          </w:tcPr>
          <w:p w14:paraId="2893FC3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103,9</w:t>
            </w:r>
          </w:p>
        </w:tc>
        <w:tc>
          <w:tcPr>
            <w:tcW w:w="1127" w:type="dxa"/>
          </w:tcPr>
          <w:p w14:paraId="5040883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206</w:t>
            </w:r>
          </w:p>
        </w:tc>
      </w:tr>
      <w:tr w:rsidR="00F26F01" w:rsidRPr="00C33834" w14:paraId="4D498CB0" w14:textId="77777777">
        <w:tc>
          <w:tcPr>
            <w:tcW w:w="1127" w:type="dxa"/>
          </w:tcPr>
          <w:p w14:paraId="1DC8F98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Сам.</w:t>
            </w:r>
          </w:p>
        </w:tc>
        <w:tc>
          <w:tcPr>
            <w:tcW w:w="1127" w:type="dxa"/>
          </w:tcPr>
          <w:p w14:paraId="421868BC"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3D76C7D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 М-11</w:t>
            </w:r>
          </w:p>
        </w:tc>
        <w:tc>
          <w:tcPr>
            <w:tcW w:w="1127" w:type="dxa"/>
          </w:tcPr>
          <w:p w14:paraId="10DD714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835</w:t>
            </w:r>
          </w:p>
        </w:tc>
        <w:tc>
          <w:tcPr>
            <w:tcW w:w="1127" w:type="dxa"/>
          </w:tcPr>
          <w:p w14:paraId="1A4E7E8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942</w:t>
            </w:r>
          </w:p>
        </w:tc>
        <w:tc>
          <w:tcPr>
            <w:tcW w:w="1127" w:type="dxa"/>
          </w:tcPr>
          <w:p w14:paraId="5059494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112,8</w:t>
            </w:r>
          </w:p>
        </w:tc>
        <w:tc>
          <w:tcPr>
            <w:tcW w:w="1127" w:type="dxa"/>
          </w:tcPr>
          <w:p w14:paraId="0C5C034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332,9</w:t>
            </w:r>
          </w:p>
        </w:tc>
        <w:tc>
          <w:tcPr>
            <w:tcW w:w="1127" w:type="dxa"/>
          </w:tcPr>
          <w:p w14:paraId="40F68B4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283</w:t>
            </w:r>
          </w:p>
        </w:tc>
      </w:tr>
      <w:tr w:rsidR="00F26F01" w:rsidRPr="00C33834" w14:paraId="7AF99183" w14:textId="77777777">
        <w:tc>
          <w:tcPr>
            <w:tcW w:w="1127" w:type="dxa"/>
          </w:tcPr>
          <w:p w14:paraId="19A725BD"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3C5F896B"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3827ABD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 М-11</w:t>
            </w:r>
          </w:p>
        </w:tc>
        <w:tc>
          <w:tcPr>
            <w:tcW w:w="1127" w:type="dxa"/>
          </w:tcPr>
          <w:p w14:paraId="64F7DBA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1127" w:type="dxa"/>
          </w:tcPr>
          <w:p w14:paraId="13B358C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171</w:t>
            </w:r>
          </w:p>
        </w:tc>
        <w:tc>
          <w:tcPr>
            <w:tcW w:w="1127" w:type="dxa"/>
          </w:tcPr>
          <w:p w14:paraId="6260ED4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85,5</w:t>
            </w:r>
          </w:p>
        </w:tc>
        <w:tc>
          <w:tcPr>
            <w:tcW w:w="1127" w:type="dxa"/>
          </w:tcPr>
          <w:p w14:paraId="3B7CB99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310,9</w:t>
            </w:r>
          </w:p>
        </w:tc>
        <w:tc>
          <w:tcPr>
            <w:tcW w:w="1127" w:type="dxa"/>
          </w:tcPr>
          <w:p w14:paraId="3AE8405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w:t>
            </w:r>
          </w:p>
        </w:tc>
      </w:tr>
      <w:tr w:rsidR="00F26F01" w:rsidRPr="00C33834" w14:paraId="338A56A4" w14:textId="77777777">
        <w:tc>
          <w:tcPr>
            <w:tcW w:w="1127" w:type="dxa"/>
          </w:tcPr>
          <w:p w14:paraId="5350401B"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48B82CD7"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5C9D168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разные</w:t>
            </w:r>
          </w:p>
        </w:tc>
        <w:tc>
          <w:tcPr>
            <w:tcW w:w="1127" w:type="dxa"/>
          </w:tcPr>
          <w:p w14:paraId="11775FB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2B9FBB4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29E198A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4EA9CEB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636BA44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141</w:t>
            </w:r>
          </w:p>
        </w:tc>
      </w:tr>
      <w:tr w:rsidR="00F26F01" w:rsidRPr="00C33834" w14:paraId="623CA293" w14:textId="77777777">
        <w:tc>
          <w:tcPr>
            <w:tcW w:w="1127" w:type="dxa"/>
          </w:tcPr>
          <w:p w14:paraId="5D2AAE6A"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4971F45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самолетов:</w:t>
            </w:r>
          </w:p>
        </w:tc>
        <w:tc>
          <w:tcPr>
            <w:tcW w:w="1127" w:type="dxa"/>
          </w:tcPr>
          <w:p w14:paraId="33B8AE83"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4F0BB4C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1035</w:t>
            </w:r>
          </w:p>
        </w:tc>
        <w:tc>
          <w:tcPr>
            <w:tcW w:w="1127" w:type="dxa"/>
          </w:tcPr>
          <w:p w14:paraId="0F23F4D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1113</w:t>
            </w:r>
          </w:p>
        </w:tc>
        <w:tc>
          <w:tcPr>
            <w:tcW w:w="1127" w:type="dxa"/>
          </w:tcPr>
          <w:p w14:paraId="7173AF5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107,5</w:t>
            </w:r>
          </w:p>
        </w:tc>
        <w:tc>
          <w:tcPr>
            <w:tcW w:w="1127" w:type="dxa"/>
          </w:tcPr>
          <w:p w14:paraId="7E19BBD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232,4</w:t>
            </w:r>
          </w:p>
        </w:tc>
        <w:tc>
          <w:tcPr>
            <w:tcW w:w="1127" w:type="dxa"/>
          </w:tcPr>
          <w:p w14:paraId="3C49472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479</w:t>
            </w:r>
          </w:p>
        </w:tc>
      </w:tr>
      <w:tr w:rsidR="00F26F01" w:rsidRPr="00C33834" w14:paraId="57ECFD4F" w14:textId="77777777">
        <w:tc>
          <w:tcPr>
            <w:tcW w:w="1127" w:type="dxa"/>
          </w:tcPr>
          <w:p w14:paraId="4B35CCB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Сам.</w:t>
            </w:r>
          </w:p>
        </w:tc>
        <w:tc>
          <w:tcPr>
            <w:tcW w:w="1127" w:type="dxa"/>
          </w:tcPr>
          <w:p w14:paraId="69FACD0F"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5599B71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 2М-17</w:t>
            </w:r>
          </w:p>
        </w:tc>
        <w:tc>
          <w:tcPr>
            <w:tcW w:w="1127" w:type="dxa"/>
          </w:tcPr>
          <w:p w14:paraId="0511530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1127" w:type="dxa"/>
          </w:tcPr>
          <w:p w14:paraId="04AC234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127" w:type="dxa"/>
          </w:tcPr>
          <w:p w14:paraId="5AD2BA9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w:t>
            </w:r>
          </w:p>
        </w:tc>
        <w:tc>
          <w:tcPr>
            <w:tcW w:w="1127" w:type="dxa"/>
          </w:tcPr>
          <w:p w14:paraId="614D954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78650E9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60E26463" w14:textId="77777777">
        <w:tc>
          <w:tcPr>
            <w:tcW w:w="1127" w:type="dxa"/>
          </w:tcPr>
          <w:p w14:paraId="39BEACB8"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62F4F3B2"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6A35E03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АНТ-9</w:t>
            </w:r>
          </w:p>
        </w:tc>
        <w:tc>
          <w:tcPr>
            <w:tcW w:w="1127" w:type="dxa"/>
          </w:tcPr>
          <w:p w14:paraId="2FE83F3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tc>
        <w:tc>
          <w:tcPr>
            <w:tcW w:w="1127" w:type="dxa"/>
          </w:tcPr>
          <w:p w14:paraId="7BCD8CD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1127" w:type="dxa"/>
          </w:tcPr>
          <w:p w14:paraId="17A059D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14,3</w:t>
            </w:r>
          </w:p>
        </w:tc>
        <w:tc>
          <w:tcPr>
            <w:tcW w:w="1127" w:type="dxa"/>
          </w:tcPr>
          <w:p w14:paraId="7DA24E6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56A707C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1DBDF6D" w14:textId="77777777">
        <w:tc>
          <w:tcPr>
            <w:tcW w:w="1127" w:type="dxa"/>
          </w:tcPr>
          <w:p w14:paraId="683216E9"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64A5C687"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46BE19B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С-62 Ассо</w:t>
            </w:r>
          </w:p>
        </w:tc>
        <w:tc>
          <w:tcPr>
            <w:tcW w:w="1127" w:type="dxa"/>
          </w:tcPr>
          <w:p w14:paraId="05EE225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w:t>
            </w:r>
          </w:p>
        </w:tc>
        <w:tc>
          <w:tcPr>
            <w:tcW w:w="1127" w:type="dxa"/>
          </w:tcPr>
          <w:p w14:paraId="1BA7D2F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1127" w:type="dxa"/>
          </w:tcPr>
          <w:p w14:paraId="105567D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44,6</w:t>
            </w:r>
          </w:p>
        </w:tc>
        <w:tc>
          <w:tcPr>
            <w:tcW w:w="1127" w:type="dxa"/>
          </w:tcPr>
          <w:p w14:paraId="377E2EC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7ED44EB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4BE689CD" w14:textId="77777777">
        <w:tc>
          <w:tcPr>
            <w:tcW w:w="1127" w:type="dxa"/>
          </w:tcPr>
          <w:p w14:paraId="5B172DA4"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233ECCA3"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3B3D5DC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МДР-3</w:t>
            </w:r>
          </w:p>
        </w:tc>
        <w:tc>
          <w:tcPr>
            <w:tcW w:w="1127" w:type="dxa"/>
          </w:tcPr>
          <w:p w14:paraId="3C44AAD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1127" w:type="dxa"/>
          </w:tcPr>
          <w:p w14:paraId="3159B48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596F2CA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1911EB4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5F7CA58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6FCDB0D2" w14:textId="77777777">
        <w:tc>
          <w:tcPr>
            <w:tcW w:w="1127" w:type="dxa"/>
          </w:tcPr>
          <w:p w14:paraId="664156EF"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73B10A61"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69E8193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АШ М-11</w:t>
            </w:r>
          </w:p>
        </w:tc>
        <w:tc>
          <w:tcPr>
            <w:tcW w:w="1127" w:type="dxa"/>
          </w:tcPr>
          <w:p w14:paraId="081CDF2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1127" w:type="dxa"/>
          </w:tcPr>
          <w:p w14:paraId="56A9922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1127" w:type="dxa"/>
          </w:tcPr>
          <w:p w14:paraId="42593B8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127" w:type="dxa"/>
          </w:tcPr>
          <w:p w14:paraId="744DCE4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67EFA65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67CA5B62" w14:textId="77777777">
        <w:tc>
          <w:tcPr>
            <w:tcW w:w="1127" w:type="dxa"/>
          </w:tcPr>
          <w:p w14:paraId="4105583B"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0516B7AA"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53909B4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разные</w:t>
            </w:r>
          </w:p>
        </w:tc>
        <w:tc>
          <w:tcPr>
            <w:tcW w:w="1127" w:type="dxa"/>
          </w:tcPr>
          <w:p w14:paraId="6DA18DD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69CB60E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1127" w:type="dxa"/>
          </w:tcPr>
          <w:p w14:paraId="3A5131B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57EC40D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0,7</w:t>
            </w:r>
          </w:p>
        </w:tc>
        <w:tc>
          <w:tcPr>
            <w:tcW w:w="1127" w:type="dxa"/>
          </w:tcPr>
          <w:p w14:paraId="1D808DB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303</w:t>
            </w:r>
          </w:p>
        </w:tc>
      </w:tr>
      <w:tr w:rsidR="00F26F01" w:rsidRPr="00C33834" w14:paraId="1BCD0FFF" w14:textId="77777777">
        <w:tc>
          <w:tcPr>
            <w:tcW w:w="1127" w:type="dxa"/>
          </w:tcPr>
          <w:p w14:paraId="5920A2A1"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540BE72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самолетов:</w:t>
            </w:r>
          </w:p>
        </w:tc>
        <w:tc>
          <w:tcPr>
            <w:tcW w:w="1127" w:type="dxa"/>
          </w:tcPr>
          <w:p w14:paraId="67AEEBB9"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3C96196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232</w:t>
            </w:r>
          </w:p>
        </w:tc>
        <w:tc>
          <w:tcPr>
            <w:tcW w:w="1127" w:type="dxa"/>
          </w:tcPr>
          <w:p w14:paraId="6558A42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w:t>
            </w:r>
          </w:p>
        </w:tc>
        <w:tc>
          <w:tcPr>
            <w:tcW w:w="1127" w:type="dxa"/>
          </w:tcPr>
          <w:p w14:paraId="149D9CE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28,9</w:t>
            </w:r>
          </w:p>
        </w:tc>
        <w:tc>
          <w:tcPr>
            <w:tcW w:w="1127" w:type="dxa"/>
          </w:tcPr>
          <w:p w14:paraId="7D98D04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22,1</w:t>
            </w:r>
          </w:p>
        </w:tc>
        <w:tc>
          <w:tcPr>
            <w:tcW w:w="1127" w:type="dxa"/>
          </w:tcPr>
          <w:p w14:paraId="6A7B6B3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303</w:t>
            </w:r>
          </w:p>
        </w:tc>
      </w:tr>
      <w:tr w:rsidR="00F26F01" w:rsidRPr="00C33834" w14:paraId="055A8970" w14:textId="77777777">
        <w:tc>
          <w:tcPr>
            <w:tcW w:w="1127" w:type="dxa"/>
          </w:tcPr>
          <w:p w14:paraId="24EB7C8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Сам.</w:t>
            </w:r>
          </w:p>
        </w:tc>
        <w:tc>
          <w:tcPr>
            <w:tcW w:w="1127" w:type="dxa"/>
          </w:tcPr>
          <w:p w14:paraId="79145D04"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1D4161D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 М-22</w:t>
            </w:r>
          </w:p>
        </w:tc>
        <w:tc>
          <w:tcPr>
            <w:tcW w:w="1127" w:type="dxa"/>
          </w:tcPr>
          <w:p w14:paraId="7052FA2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276</w:t>
            </w:r>
          </w:p>
        </w:tc>
        <w:tc>
          <w:tcPr>
            <w:tcW w:w="1127" w:type="dxa"/>
          </w:tcPr>
          <w:p w14:paraId="3A527DF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1127" w:type="dxa"/>
          </w:tcPr>
          <w:p w14:paraId="09B7F6C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w:t>
            </w:r>
          </w:p>
        </w:tc>
        <w:tc>
          <w:tcPr>
            <w:tcW w:w="1127" w:type="dxa"/>
          </w:tcPr>
          <w:p w14:paraId="7183F08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6DAF9E5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DD1C502" w14:textId="77777777">
        <w:tc>
          <w:tcPr>
            <w:tcW w:w="1127" w:type="dxa"/>
          </w:tcPr>
          <w:p w14:paraId="7D573DB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Сам.</w:t>
            </w:r>
          </w:p>
        </w:tc>
        <w:tc>
          <w:tcPr>
            <w:tcW w:w="1127" w:type="dxa"/>
          </w:tcPr>
          <w:p w14:paraId="16E77FE2"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4A21B1E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ТШ</w:t>
            </w:r>
          </w:p>
        </w:tc>
        <w:tc>
          <w:tcPr>
            <w:tcW w:w="1127" w:type="dxa"/>
          </w:tcPr>
          <w:p w14:paraId="09B1E81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1127" w:type="dxa"/>
          </w:tcPr>
          <w:p w14:paraId="0921B50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6D2A1B3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0361FE3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6163697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783005E7" w14:textId="77777777">
        <w:tc>
          <w:tcPr>
            <w:tcW w:w="1127" w:type="dxa"/>
          </w:tcPr>
          <w:p w14:paraId="337FC23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Сам.</w:t>
            </w:r>
          </w:p>
        </w:tc>
        <w:tc>
          <w:tcPr>
            <w:tcW w:w="1127" w:type="dxa"/>
          </w:tcPr>
          <w:p w14:paraId="474A34FC"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04DF773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1127" w:type="dxa"/>
          </w:tcPr>
          <w:p w14:paraId="0BEC963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1127" w:type="dxa"/>
          </w:tcPr>
          <w:p w14:paraId="0E4BF97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13AE7EF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28495B5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2141E66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6436F79B" w14:textId="77777777">
        <w:tc>
          <w:tcPr>
            <w:tcW w:w="1127" w:type="dxa"/>
          </w:tcPr>
          <w:p w14:paraId="655F79F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 Сам.</w:t>
            </w:r>
          </w:p>
        </w:tc>
        <w:tc>
          <w:tcPr>
            <w:tcW w:w="1127" w:type="dxa"/>
          </w:tcPr>
          <w:p w14:paraId="1AD7972F"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5BCFA95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1127" w:type="dxa"/>
          </w:tcPr>
          <w:p w14:paraId="48A10C9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1127" w:type="dxa"/>
          </w:tcPr>
          <w:p w14:paraId="656D7C8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1127" w:type="dxa"/>
          </w:tcPr>
          <w:p w14:paraId="344E7E2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w:t>
            </w:r>
          </w:p>
        </w:tc>
        <w:tc>
          <w:tcPr>
            <w:tcW w:w="1127" w:type="dxa"/>
          </w:tcPr>
          <w:p w14:paraId="4249E8A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286FCDC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D5749B5" w14:textId="77777777">
        <w:tc>
          <w:tcPr>
            <w:tcW w:w="1127" w:type="dxa"/>
          </w:tcPr>
          <w:p w14:paraId="2BC5CFC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по Тресту самолетов:</w:t>
            </w:r>
          </w:p>
        </w:tc>
        <w:tc>
          <w:tcPr>
            <w:tcW w:w="1127" w:type="dxa"/>
          </w:tcPr>
          <w:p w14:paraId="5EBFB571"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7BA08ED5"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599478F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3311</w:t>
            </w:r>
          </w:p>
        </w:tc>
        <w:tc>
          <w:tcPr>
            <w:tcW w:w="1127" w:type="dxa"/>
          </w:tcPr>
          <w:p w14:paraId="2FF171A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2414</w:t>
            </w:r>
          </w:p>
        </w:tc>
        <w:tc>
          <w:tcPr>
            <w:tcW w:w="1127" w:type="dxa"/>
          </w:tcPr>
          <w:p w14:paraId="5CA2BA6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72,9</w:t>
            </w:r>
          </w:p>
        </w:tc>
        <w:tc>
          <w:tcPr>
            <w:tcW w:w="1127" w:type="dxa"/>
          </w:tcPr>
          <w:p w14:paraId="69D7243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166,9</w:t>
            </w:r>
          </w:p>
        </w:tc>
        <w:tc>
          <w:tcPr>
            <w:tcW w:w="1127" w:type="dxa"/>
          </w:tcPr>
          <w:p w14:paraId="7D944CE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1447</w:t>
            </w:r>
          </w:p>
        </w:tc>
      </w:tr>
      <w:tr w:rsidR="00F26F01" w:rsidRPr="00C33834" w14:paraId="5B6CD34B" w14:textId="77777777">
        <w:tc>
          <w:tcPr>
            <w:tcW w:w="1127" w:type="dxa"/>
          </w:tcPr>
          <w:p w14:paraId="58B36E1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ХАЗОС Сам.</w:t>
            </w:r>
          </w:p>
        </w:tc>
        <w:tc>
          <w:tcPr>
            <w:tcW w:w="1127" w:type="dxa"/>
          </w:tcPr>
          <w:p w14:paraId="7693FB57"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261E2A4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К-5</w:t>
            </w:r>
          </w:p>
        </w:tc>
        <w:tc>
          <w:tcPr>
            <w:tcW w:w="1127" w:type="dxa"/>
          </w:tcPr>
          <w:p w14:paraId="6E48880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1127" w:type="dxa"/>
          </w:tcPr>
          <w:p w14:paraId="6F979B7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w:t>
            </w:r>
          </w:p>
        </w:tc>
        <w:tc>
          <w:tcPr>
            <w:tcW w:w="1127" w:type="dxa"/>
          </w:tcPr>
          <w:p w14:paraId="2634B23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48,7</w:t>
            </w:r>
          </w:p>
        </w:tc>
        <w:tc>
          <w:tcPr>
            <w:tcW w:w="1127" w:type="dxa"/>
          </w:tcPr>
          <w:p w14:paraId="4EA5136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174,0</w:t>
            </w:r>
          </w:p>
        </w:tc>
        <w:tc>
          <w:tcPr>
            <w:tcW w:w="1127" w:type="dxa"/>
          </w:tcPr>
          <w:p w14:paraId="2DE5940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w:t>
            </w:r>
          </w:p>
        </w:tc>
      </w:tr>
      <w:tr w:rsidR="00F26F01" w:rsidRPr="00C33834" w14:paraId="3AEC9242" w14:textId="77777777">
        <w:tc>
          <w:tcPr>
            <w:tcW w:w="1127" w:type="dxa"/>
          </w:tcPr>
          <w:p w14:paraId="78F2BCA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самолетов:</w:t>
            </w:r>
          </w:p>
        </w:tc>
        <w:tc>
          <w:tcPr>
            <w:tcW w:w="1127" w:type="dxa"/>
          </w:tcPr>
          <w:p w14:paraId="133C8620"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13F22E4D"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4CE70E0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3461</w:t>
            </w:r>
          </w:p>
        </w:tc>
        <w:tc>
          <w:tcPr>
            <w:tcW w:w="1127" w:type="dxa"/>
          </w:tcPr>
          <w:p w14:paraId="5712C68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2487</w:t>
            </w:r>
          </w:p>
        </w:tc>
        <w:tc>
          <w:tcPr>
            <w:tcW w:w="1127" w:type="dxa"/>
          </w:tcPr>
          <w:p w14:paraId="0657705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71,9</w:t>
            </w:r>
          </w:p>
        </w:tc>
        <w:tc>
          <w:tcPr>
            <w:tcW w:w="1127" w:type="dxa"/>
          </w:tcPr>
          <w:p w14:paraId="637E0CD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167,0</w:t>
            </w:r>
          </w:p>
        </w:tc>
        <w:tc>
          <w:tcPr>
            <w:tcW w:w="1127" w:type="dxa"/>
          </w:tcPr>
          <w:p w14:paraId="75BEFC9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1489</w:t>
            </w:r>
          </w:p>
        </w:tc>
      </w:tr>
    </w:tbl>
    <w:p w14:paraId="20B3B56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правительственного плана по моторам за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tblGrid>
      <w:tr w:rsidR="00F26F01" w:rsidRPr="00C33834" w14:paraId="4641EB8F" w14:textId="77777777">
        <w:tc>
          <w:tcPr>
            <w:tcW w:w="1127" w:type="dxa"/>
          </w:tcPr>
          <w:p w14:paraId="29424E6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Заводы</w:t>
            </w:r>
          </w:p>
        </w:tc>
        <w:tc>
          <w:tcPr>
            <w:tcW w:w="1127" w:type="dxa"/>
          </w:tcPr>
          <w:p w14:paraId="6FC6FBD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w:t>
            </w:r>
          </w:p>
        </w:tc>
        <w:tc>
          <w:tcPr>
            <w:tcW w:w="1127" w:type="dxa"/>
          </w:tcPr>
          <w:p w14:paraId="3FB958C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Годовой</w:t>
            </w:r>
          </w:p>
        </w:tc>
        <w:tc>
          <w:tcPr>
            <w:tcW w:w="1127" w:type="dxa"/>
          </w:tcPr>
          <w:p w14:paraId="449092B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Сдано</w:t>
            </w:r>
          </w:p>
        </w:tc>
        <w:tc>
          <w:tcPr>
            <w:tcW w:w="1127" w:type="dxa"/>
          </w:tcPr>
          <w:p w14:paraId="7958E23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пониж.</w:t>
            </w:r>
          </w:p>
        </w:tc>
        <w:tc>
          <w:tcPr>
            <w:tcW w:w="1127" w:type="dxa"/>
          </w:tcPr>
          <w:p w14:paraId="61EC897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1127" w:type="dxa"/>
          </w:tcPr>
          <w:p w14:paraId="4A6185F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к </w:t>
            </w:r>
          </w:p>
        </w:tc>
        <w:tc>
          <w:tcPr>
            <w:tcW w:w="1127" w:type="dxa"/>
          </w:tcPr>
          <w:p w14:paraId="1A5C833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1931 г.</w:t>
            </w:r>
          </w:p>
        </w:tc>
        <w:tc>
          <w:tcPr>
            <w:tcW w:w="1127" w:type="dxa"/>
          </w:tcPr>
          <w:p w14:paraId="6A22707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Сдано </w:t>
            </w:r>
          </w:p>
        </w:tc>
      </w:tr>
      <w:tr w:rsidR="00F26F01" w:rsidRPr="00C33834" w14:paraId="2F19FCFA" w14:textId="77777777">
        <w:tc>
          <w:tcPr>
            <w:tcW w:w="1127" w:type="dxa"/>
          </w:tcPr>
          <w:p w14:paraId="69F6B4B9"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38800D00"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237F932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w:t>
            </w:r>
          </w:p>
        </w:tc>
        <w:tc>
          <w:tcPr>
            <w:tcW w:w="1127" w:type="dxa"/>
          </w:tcPr>
          <w:p w14:paraId="703C934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год</w:t>
            </w:r>
          </w:p>
        </w:tc>
        <w:tc>
          <w:tcPr>
            <w:tcW w:w="1127" w:type="dxa"/>
          </w:tcPr>
          <w:p w14:paraId="5EEA3A3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кондиц.</w:t>
            </w:r>
          </w:p>
        </w:tc>
        <w:tc>
          <w:tcPr>
            <w:tcW w:w="1127" w:type="dxa"/>
          </w:tcPr>
          <w:p w14:paraId="5AC952AF"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7875EE9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год</w:t>
            </w:r>
          </w:p>
        </w:tc>
        <w:tc>
          <w:tcPr>
            <w:tcW w:w="1127" w:type="dxa"/>
          </w:tcPr>
          <w:p w14:paraId="5F4E3F9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годов.</w:t>
            </w:r>
          </w:p>
        </w:tc>
        <w:tc>
          <w:tcPr>
            <w:tcW w:w="1127" w:type="dxa"/>
          </w:tcPr>
          <w:p w14:paraId="57E9602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моторов</w:t>
            </w:r>
          </w:p>
        </w:tc>
      </w:tr>
      <w:tr w:rsidR="00F26F01" w:rsidRPr="00C33834" w14:paraId="745E8A70" w14:textId="77777777">
        <w:tc>
          <w:tcPr>
            <w:tcW w:w="1127" w:type="dxa"/>
          </w:tcPr>
          <w:p w14:paraId="130AC9A1"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1FE5F1EB"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537E8256"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375AFF66"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3904C3F2"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06DDF73B"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0C623D85"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2FDEDBC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плану</w:t>
            </w:r>
          </w:p>
        </w:tc>
        <w:tc>
          <w:tcPr>
            <w:tcW w:w="1127" w:type="dxa"/>
          </w:tcPr>
          <w:p w14:paraId="13A3221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1931 г.</w:t>
            </w:r>
          </w:p>
        </w:tc>
      </w:tr>
      <w:tr w:rsidR="00F26F01" w:rsidRPr="00C33834" w14:paraId="0D3A515B" w14:textId="77777777">
        <w:tc>
          <w:tcPr>
            <w:tcW w:w="1127" w:type="dxa"/>
          </w:tcPr>
          <w:p w14:paraId="69F1E79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1127" w:type="dxa"/>
          </w:tcPr>
          <w:p w14:paraId="004E844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М-15</w:t>
            </w:r>
          </w:p>
        </w:tc>
        <w:tc>
          <w:tcPr>
            <w:tcW w:w="1127" w:type="dxa"/>
          </w:tcPr>
          <w:p w14:paraId="5F34FA9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211</w:t>
            </w:r>
          </w:p>
        </w:tc>
        <w:tc>
          <w:tcPr>
            <w:tcW w:w="1127" w:type="dxa"/>
          </w:tcPr>
          <w:p w14:paraId="0E7D930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220</w:t>
            </w:r>
          </w:p>
        </w:tc>
        <w:tc>
          <w:tcPr>
            <w:tcW w:w="1127" w:type="dxa"/>
          </w:tcPr>
          <w:p w14:paraId="027E293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3CFF18B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220</w:t>
            </w:r>
          </w:p>
        </w:tc>
        <w:tc>
          <w:tcPr>
            <w:tcW w:w="1127" w:type="dxa"/>
          </w:tcPr>
          <w:p w14:paraId="2164DFA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104,2</w:t>
            </w:r>
          </w:p>
        </w:tc>
        <w:tc>
          <w:tcPr>
            <w:tcW w:w="1127" w:type="dxa"/>
          </w:tcPr>
          <w:p w14:paraId="35E4139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118,3</w:t>
            </w:r>
          </w:p>
        </w:tc>
        <w:tc>
          <w:tcPr>
            <w:tcW w:w="1127" w:type="dxa"/>
          </w:tcPr>
          <w:p w14:paraId="09D00AC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186</w:t>
            </w:r>
          </w:p>
        </w:tc>
      </w:tr>
      <w:tr w:rsidR="00F26F01" w:rsidRPr="00C33834" w14:paraId="6987900B" w14:textId="77777777">
        <w:tc>
          <w:tcPr>
            <w:tcW w:w="1127" w:type="dxa"/>
          </w:tcPr>
          <w:p w14:paraId="114FDA77"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3F7CC8D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М-26</w:t>
            </w:r>
          </w:p>
        </w:tc>
        <w:tc>
          <w:tcPr>
            <w:tcW w:w="1127" w:type="dxa"/>
          </w:tcPr>
          <w:p w14:paraId="3132CAF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324</w:t>
            </w:r>
          </w:p>
        </w:tc>
        <w:tc>
          <w:tcPr>
            <w:tcW w:w="1127" w:type="dxa"/>
          </w:tcPr>
          <w:p w14:paraId="04A1F35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320</w:t>
            </w:r>
          </w:p>
        </w:tc>
        <w:tc>
          <w:tcPr>
            <w:tcW w:w="1127" w:type="dxa"/>
          </w:tcPr>
          <w:p w14:paraId="54007F7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3226903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320</w:t>
            </w:r>
          </w:p>
        </w:tc>
        <w:tc>
          <w:tcPr>
            <w:tcW w:w="1127" w:type="dxa"/>
          </w:tcPr>
          <w:p w14:paraId="0C771FE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98,8</w:t>
            </w:r>
          </w:p>
        </w:tc>
        <w:tc>
          <w:tcPr>
            <w:tcW w:w="1127" w:type="dxa"/>
          </w:tcPr>
          <w:p w14:paraId="510F311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256,0</w:t>
            </w:r>
          </w:p>
        </w:tc>
        <w:tc>
          <w:tcPr>
            <w:tcW w:w="1127" w:type="dxa"/>
          </w:tcPr>
          <w:p w14:paraId="4EDC03B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w:t>
            </w:r>
          </w:p>
        </w:tc>
      </w:tr>
      <w:tr w:rsidR="00F26F01" w:rsidRPr="00C33834" w14:paraId="4F4C88C8" w14:textId="77777777">
        <w:tc>
          <w:tcPr>
            <w:tcW w:w="1127" w:type="dxa"/>
          </w:tcPr>
          <w:p w14:paraId="10ADECE9"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7B66643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1127" w:type="dxa"/>
          </w:tcPr>
          <w:p w14:paraId="2220377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1127" w:type="dxa"/>
          </w:tcPr>
          <w:p w14:paraId="48FD098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c>
          <w:tcPr>
            <w:tcW w:w="1127" w:type="dxa"/>
          </w:tcPr>
          <w:p w14:paraId="2E63617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359E57B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c>
          <w:tcPr>
            <w:tcW w:w="1127" w:type="dxa"/>
          </w:tcPr>
          <w:p w14:paraId="1697C04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1127" w:type="dxa"/>
          </w:tcPr>
          <w:p w14:paraId="56B8317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734F967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63B73936" w14:textId="77777777">
        <w:tc>
          <w:tcPr>
            <w:tcW w:w="1127" w:type="dxa"/>
          </w:tcPr>
          <w:p w14:paraId="46283EFE"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1105640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разные</w:t>
            </w:r>
          </w:p>
        </w:tc>
        <w:tc>
          <w:tcPr>
            <w:tcW w:w="1127" w:type="dxa"/>
          </w:tcPr>
          <w:p w14:paraId="16DC0F0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1339644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1127" w:type="dxa"/>
          </w:tcPr>
          <w:p w14:paraId="1BC7A38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54D90EF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1127" w:type="dxa"/>
          </w:tcPr>
          <w:p w14:paraId="261FF7E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3376B23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1127" w:type="dxa"/>
          </w:tcPr>
          <w:p w14:paraId="6B9F922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r>
      <w:tr w:rsidR="00F26F01" w:rsidRPr="00C33834" w14:paraId="6E1DDFDE" w14:textId="77777777">
        <w:tc>
          <w:tcPr>
            <w:tcW w:w="1127" w:type="dxa"/>
          </w:tcPr>
          <w:p w14:paraId="071AB273"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263C937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моторов:</w:t>
            </w:r>
          </w:p>
        </w:tc>
        <w:tc>
          <w:tcPr>
            <w:tcW w:w="1127" w:type="dxa"/>
          </w:tcPr>
          <w:p w14:paraId="7CF2CE3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935</w:t>
            </w:r>
          </w:p>
        </w:tc>
        <w:tc>
          <w:tcPr>
            <w:tcW w:w="1127" w:type="dxa"/>
          </w:tcPr>
          <w:p w14:paraId="09DF045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641</w:t>
            </w:r>
          </w:p>
        </w:tc>
        <w:tc>
          <w:tcPr>
            <w:tcW w:w="1127" w:type="dxa"/>
          </w:tcPr>
          <w:p w14:paraId="4BB5E24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1BB5CC5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641</w:t>
            </w:r>
          </w:p>
        </w:tc>
        <w:tc>
          <w:tcPr>
            <w:tcW w:w="1127" w:type="dxa"/>
          </w:tcPr>
          <w:p w14:paraId="286D726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68,5</w:t>
            </w:r>
          </w:p>
        </w:tc>
        <w:tc>
          <w:tcPr>
            <w:tcW w:w="1127" w:type="dxa"/>
          </w:tcPr>
          <w:p w14:paraId="09CA03B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w:t>
            </w:r>
          </w:p>
        </w:tc>
        <w:tc>
          <w:tcPr>
            <w:tcW w:w="1127" w:type="dxa"/>
          </w:tcPr>
          <w:p w14:paraId="25FCCBA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332</w:t>
            </w:r>
          </w:p>
        </w:tc>
      </w:tr>
      <w:tr w:rsidR="00F26F01" w:rsidRPr="00C33834" w14:paraId="68DF1436" w14:textId="77777777">
        <w:tc>
          <w:tcPr>
            <w:tcW w:w="1127" w:type="dxa"/>
          </w:tcPr>
          <w:p w14:paraId="0B2240D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w:t>
            </w:r>
          </w:p>
        </w:tc>
        <w:tc>
          <w:tcPr>
            <w:tcW w:w="1127" w:type="dxa"/>
          </w:tcPr>
          <w:p w14:paraId="3C1D141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1127" w:type="dxa"/>
          </w:tcPr>
          <w:p w14:paraId="4298E73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2250</w:t>
            </w:r>
          </w:p>
        </w:tc>
        <w:tc>
          <w:tcPr>
            <w:tcW w:w="1127" w:type="dxa"/>
          </w:tcPr>
          <w:p w14:paraId="7EE9E9A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1867</w:t>
            </w:r>
          </w:p>
        </w:tc>
        <w:tc>
          <w:tcPr>
            <w:tcW w:w="1127" w:type="dxa"/>
          </w:tcPr>
          <w:p w14:paraId="6EB6E93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142</w:t>
            </w:r>
          </w:p>
        </w:tc>
        <w:tc>
          <w:tcPr>
            <w:tcW w:w="1127" w:type="dxa"/>
          </w:tcPr>
          <w:p w14:paraId="7A1CD82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2120</w:t>
            </w:r>
          </w:p>
        </w:tc>
        <w:tc>
          <w:tcPr>
            <w:tcW w:w="1127" w:type="dxa"/>
          </w:tcPr>
          <w:p w14:paraId="3F9CA0B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94,2</w:t>
            </w:r>
          </w:p>
        </w:tc>
        <w:tc>
          <w:tcPr>
            <w:tcW w:w="1127" w:type="dxa"/>
          </w:tcPr>
          <w:p w14:paraId="76CF4D6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312,2</w:t>
            </w:r>
          </w:p>
        </w:tc>
        <w:tc>
          <w:tcPr>
            <w:tcW w:w="1127" w:type="dxa"/>
          </w:tcPr>
          <w:p w14:paraId="09D91AA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679</w:t>
            </w:r>
          </w:p>
        </w:tc>
      </w:tr>
      <w:tr w:rsidR="00F26F01" w:rsidRPr="00C33834" w14:paraId="30FBDC5A" w14:textId="77777777">
        <w:tc>
          <w:tcPr>
            <w:tcW w:w="1127" w:type="dxa"/>
          </w:tcPr>
          <w:p w14:paraId="51173C4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1127" w:type="dxa"/>
          </w:tcPr>
          <w:p w14:paraId="03702F6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w:t>
            </w:r>
          </w:p>
        </w:tc>
        <w:tc>
          <w:tcPr>
            <w:tcW w:w="1127" w:type="dxa"/>
          </w:tcPr>
          <w:p w14:paraId="01D78AC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1755</w:t>
            </w:r>
          </w:p>
        </w:tc>
        <w:tc>
          <w:tcPr>
            <w:tcW w:w="1127" w:type="dxa"/>
          </w:tcPr>
          <w:p w14:paraId="44F4315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1672</w:t>
            </w:r>
          </w:p>
        </w:tc>
        <w:tc>
          <w:tcPr>
            <w:tcW w:w="1127" w:type="dxa"/>
          </w:tcPr>
          <w:p w14:paraId="671594C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83</w:t>
            </w:r>
          </w:p>
        </w:tc>
        <w:tc>
          <w:tcPr>
            <w:tcW w:w="1127" w:type="dxa"/>
          </w:tcPr>
          <w:p w14:paraId="41FA3DC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1755</w:t>
            </w:r>
          </w:p>
        </w:tc>
        <w:tc>
          <w:tcPr>
            <w:tcW w:w="1127" w:type="dxa"/>
          </w:tcPr>
          <w:p w14:paraId="3822170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1127" w:type="dxa"/>
          </w:tcPr>
          <w:p w14:paraId="0EDA1F7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328,0</w:t>
            </w:r>
          </w:p>
        </w:tc>
        <w:tc>
          <w:tcPr>
            <w:tcW w:w="1127" w:type="dxa"/>
          </w:tcPr>
          <w:p w14:paraId="60F4F8D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535</w:t>
            </w:r>
          </w:p>
        </w:tc>
      </w:tr>
      <w:tr w:rsidR="00F26F01" w:rsidRPr="00C33834" w14:paraId="6153A91F" w14:textId="77777777">
        <w:tc>
          <w:tcPr>
            <w:tcW w:w="1127" w:type="dxa"/>
          </w:tcPr>
          <w:p w14:paraId="494126A9"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6375038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127" w:type="dxa"/>
          </w:tcPr>
          <w:p w14:paraId="1B16101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370</w:t>
            </w:r>
          </w:p>
        </w:tc>
        <w:tc>
          <w:tcPr>
            <w:tcW w:w="1127" w:type="dxa"/>
          </w:tcPr>
          <w:p w14:paraId="387504D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385</w:t>
            </w:r>
          </w:p>
        </w:tc>
        <w:tc>
          <w:tcPr>
            <w:tcW w:w="1127" w:type="dxa"/>
          </w:tcPr>
          <w:p w14:paraId="7C47CA4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1127" w:type="dxa"/>
          </w:tcPr>
          <w:p w14:paraId="6927F0A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1127" w:type="dxa"/>
          </w:tcPr>
          <w:p w14:paraId="3C479E5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108,1</w:t>
            </w:r>
          </w:p>
        </w:tc>
        <w:tc>
          <w:tcPr>
            <w:tcW w:w="1127" w:type="dxa"/>
          </w:tcPr>
          <w:p w14:paraId="229161F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1127" w:type="dxa"/>
          </w:tcPr>
          <w:p w14:paraId="3E691B9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r>
      <w:tr w:rsidR="00F26F01" w:rsidRPr="00C33834" w14:paraId="1149D094" w14:textId="77777777">
        <w:tc>
          <w:tcPr>
            <w:tcW w:w="1127" w:type="dxa"/>
          </w:tcPr>
          <w:p w14:paraId="618BF87B"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51C867F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моторов:</w:t>
            </w:r>
          </w:p>
        </w:tc>
        <w:tc>
          <w:tcPr>
            <w:tcW w:w="1127" w:type="dxa"/>
          </w:tcPr>
          <w:p w14:paraId="1048598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2125</w:t>
            </w:r>
          </w:p>
        </w:tc>
        <w:tc>
          <w:tcPr>
            <w:tcW w:w="1127" w:type="dxa"/>
          </w:tcPr>
          <w:p w14:paraId="42A0374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2059</w:t>
            </w:r>
          </w:p>
        </w:tc>
        <w:tc>
          <w:tcPr>
            <w:tcW w:w="1127" w:type="dxa"/>
          </w:tcPr>
          <w:p w14:paraId="1774D24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98</w:t>
            </w:r>
          </w:p>
        </w:tc>
        <w:tc>
          <w:tcPr>
            <w:tcW w:w="1127" w:type="dxa"/>
          </w:tcPr>
          <w:p w14:paraId="77B44FA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2157</w:t>
            </w:r>
          </w:p>
        </w:tc>
        <w:tc>
          <w:tcPr>
            <w:tcW w:w="1127" w:type="dxa"/>
          </w:tcPr>
          <w:p w14:paraId="5B5F98C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101,5</w:t>
            </w:r>
          </w:p>
        </w:tc>
        <w:tc>
          <w:tcPr>
            <w:tcW w:w="1127" w:type="dxa"/>
          </w:tcPr>
          <w:p w14:paraId="7D75A4B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342,6</w:t>
            </w:r>
          </w:p>
        </w:tc>
        <w:tc>
          <w:tcPr>
            <w:tcW w:w="1127" w:type="dxa"/>
          </w:tcPr>
          <w:p w14:paraId="253C31A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629</w:t>
            </w:r>
          </w:p>
        </w:tc>
      </w:tr>
      <w:tr w:rsidR="00F26F01" w:rsidRPr="00C33834" w14:paraId="009C9209" w14:textId="77777777">
        <w:tc>
          <w:tcPr>
            <w:tcW w:w="1127" w:type="dxa"/>
          </w:tcPr>
          <w:p w14:paraId="57D3695F"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127" w:type="dxa"/>
          </w:tcPr>
          <w:p w14:paraId="647E56C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моторов:</w:t>
            </w:r>
          </w:p>
        </w:tc>
        <w:tc>
          <w:tcPr>
            <w:tcW w:w="1127" w:type="dxa"/>
          </w:tcPr>
          <w:p w14:paraId="5DD3CE0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5310</w:t>
            </w:r>
          </w:p>
        </w:tc>
        <w:tc>
          <w:tcPr>
            <w:tcW w:w="1127" w:type="dxa"/>
          </w:tcPr>
          <w:p w14:paraId="2193FC8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4567</w:t>
            </w:r>
          </w:p>
        </w:tc>
        <w:tc>
          <w:tcPr>
            <w:tcW w:w="1127" w:type="dxa"/>
          </w:tcPr>
          <w:p w14:paraId="454B5E9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w:t>
            </w:r>
          </w:p>
        </w:tc>
        <w:tc>
          <w:tcPr>
            <w:tcW w:w="1127" w:type="dxa"/>
          </w:tcPr>
          <w:p w14:paraId="7777E239"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4918</w:t>
            </w:r>
          </w:p>
        </w:tc>
        <w:tc>
          <w:tcPr>
            <w:tcW w:w="1127" w:type="dxa"/>
          </w:tcPr>
          <w:p w14:paraId="4D2EA71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92,6</w:t>
            </w:r>
          </w:p>
        </w:tc>
        <w:tc>
          <w:tcPr>
            <w:tcW w:w="1127" w:type="dxa"/>
          </w:tcPr>
          <w:p w14:paraId="11CCAC9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299,9</w:t>
            </w:r>
          </w:p>
        </w:tc>
        <w:tc>
          <w:tcPr>
            <w:tcW w:w="1127" w:type="dxa"/>
          </w:tcPr>
          <w:p w14:paraId="74050BA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1640 (3082,49-50).</w:t>
            </w:r>
          </w:p>
        </w:tc>
      </w:tr>
    </w:tbl>
    <w:p w14:paraId="119B15B3"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059C30E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января 1933 года Базилевич подготовил справку:</w:t>
      </w:r>
    </w:p>
    <w:p w14:paraId="540BACD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Итоги работ авиапромышленности за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1596"/>
        <w:gridCol w:w="1559"/>
      </w:tblGrid>
      <w:tr w:rsidR="00F26F01" w:rsidRPr="00C33834" w14:paraId="72D9DCEE" w14:textId="77777777">
        <w:tc>
          <w:tcPr>
            <w:tcW w:w="3757" w:type="dxa"/>
          </w:tcPr>
          <w:p w14:paraId="5EF3BEA4"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596" w:type="dxa"/>
          </w:tcPr>
          <w:p w14:paraId="47E570A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w:t>
            </w:r>
          </w:p>
        </w:tc>
        <w:tc>
          <w:tcPr>
            <w:tcW w:w="1559" w:type="dxa"/>
          </w:tcPr>
          <w:p w14:paraId="481F465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w:t>
            </w:r>
          </w:p>
        </w:tc>
      </w:tr>
      <w:tr w:rsidR="00F26F01" w:rsidRPr="00C33834" w14:paraId="7DDFE1DE" w14:textId="77777777">
        <w:tc>
          <w:tcPr>
            <w:tcW w:w="3757" w:type="dxa"/>
          </w:tcPr>
          <w:p w14:paraId="2AFD7D3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сдано потребителям в 1932 году</w:t>
            </w:r>
          </w:p>
        </w:tc>
        <w:tc>
          <w:tcPr>
            <w:tcW w:w="1596" w:type="dxa"/>
          </w:tcPr>
          <w:p w14:paraId="59B87579"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c>
          <w:tcPr>
            <w:tcW w:w="1559" w:type="dxa"/>
          </w:tcPr>
          <w:p w14:paraId="147F9766" w14:textId="77777777" w:rsidR="00095B9C" w:rsidRPr="00C33834" w:rsidRDefault="00095B9C" w:rsidP="00C33834">
            <w:pPr>
              <w:spacing w:after="0" w:line="240" w:lineRule="auto"/>
              <w:jc w:val="both"/>
              <w:rPr>
                <w:rFonts w:ascii="Times New Roman" w:hAnsi="Times New Roman"/>
                <w:color w:val="000000" w:themeColor="text1"/>
                <w:sz w:val="16"/>
                <w:szCs w:val="16"/>
              </w:rPr>
            </w:pPr>
          </w:p>
        </w:tc>
      </w:tr>
      <w:tr w:rsidR="00F26F01" w:rsidRPr="00C33834" w14:paraId="7B7F15A6" w14:textId="77777777">
        <w:tc>
          <w:tcPr>
            <w:tcW w:w="3757" w:type="dxa"/>
          </w:tcPr>
          <w:p w14:paraId="10E8FC3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Вполне кондиционных </w:t>
            </w:r>
          </w:p>
        </w:tc>
        <w:tc>
          <w:tcPr>
            <w:tcW w:w="1596" w:type="dxa"/>
          </w:tcPr>
          <w:p w14:paraId="5521439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4567</w:t>
            </w:r>
          </w:p>
        </w:tc>
        <w:tc>
          <w:tcPr>
            <w:tcW w:w="1559" w:type="dxa"/>
          </w:tcPr>
          <w:p w14:paraId="7829ED3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2487</w:t>
            </w:r>
          </w:p>
        </w:tc>
      </w:tr>
      <w:tr w:rsidR="00F26F01" w:rsidRPr="00C33834" w14:paraId="6F9AAB26" w14:textId="77777777">
        <w:tc>
          <w:tcPr>
            <w:tcW w:w="3757" w:type="dxa"/>
          </w:tcPr>
          <w:p w14:paraId="556E6F1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пониженной кондицией</w:t>
            </w:r>
          </w:p>
        </w:tc>
        <w:tc>
          <w:tcPr>
            <w:tcW w:w="1596" w:type="dxa"/>
          </w:tcPr>
          <w:p w14:paraId="08A809C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w:t>
            </w:r>
          </w:p>
        </w:tc>
        <w:tc>
          <w:tcPr>
            <w:tcW w:w="1559" w:type="dxa"/>
          </w:tcPr>
          <w:p w14:paraId="318C54B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F8953EC" w14:textId="77777777">
        <w:tc>
          <w:tcPr>
            <w:tcW w:w="3757" w:type="dxa"/>
          </w:tcPr>
          <w:p w14:paraId="1BA4B34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Учебных и макетов (в полном снаряжении)</w:t>
            </w:r>
          </w:p>
        </w:tc>
        <w:tc>
          <w:tcPr>
            <w:tcW w:w="1596" w:type="dxa"/>
          </w:tcPr>
          <w:p w14:paraId="187DDEE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111</w:t>
            </w:r>
          </w:p>
        </w:tc>
        <w:tc>
          <w:tcPr>
            <w:tcW w:w="1559" w:type="dxa"/>
          </w:tcPr>
          <w:p w14:paraId="2FDCAA9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5CCF4668" w14:textId="77777777">
        <w:tc>
          <w:tcPr>
            <w:tcW w:w="3757" w:type="dxa"/>
          </w:tcPr>
          <w:p w14:paraId="1265623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сдано</w:t>
            </w:r>
          </w:p>
        </w:tc>
        <w:tc>
          <w:tcPr>
            <w:tcW w:w="1596" w:type="dxa"/>
          </w:tcPr>
          <w:p w14:paraId="5676D8B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4918</w:t>
            </w:r>
          </w:p>
        </w:tc>
        <w:tc>
          <w:tcPr>
            <w:tcW w:w="1559" w:type="dxa"/>
          </w:tcPr>
          <w:p w14:paraId="286599F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2487</w:t>
            </w:r>
          </w:p>
        </w:tc>
      </w:tr>
      <w:tr w:rsidR="00F26F01" w:rsidRPr="00C33834" w14:paraId="56F065B2" w14:textId="77777777">
        <w:tc>
          <w:tcPr>
            <w:tcW w:w="3757" w:type="dxa"/>
          </w:tcPr>
          <w:p w14:paraId="16CCE2C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Правительственное задание</w:t>
            </w:r>
          </w:p>
        </w:tc>
        <w:tc>
          <w:tcPr>
            <w:tcW w:w="1596" w:type="dxa"/>
          </w:tcPr>
          <w:p w14:paraId="4D25458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5310</w:t>
            </w:r>
          </w:p>
        </w:tc>
        <w:tc>
          <w:tcPr>
            <w:tcW w:w="1559" w:type="dxa"/>
          </w:tcPr>
          <w:p w14:paraId="29E87C2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3461</w:t>
            </w:r>
          </w:p>
        </w:tc>
      </w:tr>
      <w:tr w:rsidR="00F26F01" w:rsidRPr="00C33834" w14:paraId="72DC084A" w14:textId="77777777">
        <w:tc>
          <w:tcPr>
            <w:tcW w:w="3757" w:type="dxa"/>
          </w:tcPr>
          <w:p w14:paraId="5F7A42F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Сдано в 1931 году</w:t>
            </w:r>
          </w:p>
        </w:tc>
        <w:tc>
          <w:tcPr>
            <w:tcW w:w="1596" w:type="dxa"/>
          </w:tcPr>
          <w:p w14:paraId="7067EDB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1640</w:t>
            </w:r>
          </w:p>
        </w:tc>
        <w:tc>
          <w:tcPr>
            <w:tcW w:w="1559" w:type="dxa"/>
          </w:tcPr>
          <w:p w14:paraId="5E18A76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1489</w:t>
            </w:r>
          </w:p>
        </w:tc>
      </w:tr>
      <w:tr w:rsidR="00F26F01" w:rsidRPr="00C33834" w14:paraId="15C7459E" w14:textId="77777777">
        <w:tc>
          <w:tcPr>
            <w:tcW w:w="3757" w:type="dxa"/>
          </w:tcPr>
          <w:p w14:paraId="7E36FD3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Рост выпуска по количеству единиц в сравнении с прошлым годом составляет</w:t>
            </w:r>
          </w:p>
        </w:tc>
        <w:tc>
          <w:tcPr>
            <w:tcW w:w="1596" w:type="dxa"/>
          </w:tcPr>
          <w:p w14:paraId="1E9CE40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559" w:type="dxa"/>
          </w:tcPr>
          <w:p w14:paraId="03E57BB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167%</w:t>
            </w:r>
          </w:p>
        </w:tc>
      </w:tr>
      <w:tr w:rsidR="00F26F01" w:rsidRPr="00C33834" w14:paraId="2832C45A" w14:textId="77777777">
        <w:tc>
          <w:tcPr>
            <w:tcW w:w="3757" w:type="dxa"/>
          </w:tcPr>
          <w:p w14:paraId="18C66BBC"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План в целом по количеству единиц исполнен на </w:t>
            </w:r>
          </w:p>
        </w:tc>
        <w:tc>
          <w:tcPr>
            <w:tcW w:w="1596" w:type="dxa"/>
          </w:tcPr>
          <w:p w14:paraId="0F1FBAA8"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92,6%</w:t>
            </w:r>
          </w:p>
        </w:tc>
        <w:tc>
          <w:tcPr>
            <w:tcW w:w="1559" w:type="dxa"/>
          </w:tcPr>
          <w:p w14:paraId="4F486AB7"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71,9%</w:t>
            </w:r>
          </w:p>
        </w:tc>
      </w:tr>
      <w:tr w:rsidR="00F26F01" w:rsidRPr="00C33834" w14:paraId="64564116" w14:textId="77777777">
        <w:tc>
          <w:tcPr>
            <w:tcW w:w="3757" w:type="dxa"/>
          </w:tcPr>
          <w:p w14:paraId="3EA36A5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них по кондиционным моторам на</w:t>
            </w:r>
          </w:p>
        </w:tc>
        <w:tc>
          <w:tcPr>
            <w:tcW w:w="1596" w:type="dxa"/>
          </w:tcPr>
          <w:p w14:paraId="1E32730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w:t>
            </w:r>
          </w:p>
        </w:tc>
        <w:tc>
          <w:tcPr>
            <w:tcW w:w="1559" w:type="dxa"/>
          </w:tcPr>
          <w:p w14:paraId="10749A7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bl>
    <w:p w14:paraId="5C0BC6E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моторам.</w:t>
      </w:r>
    </w:p>
    <w:p w14:paraId="4AD9701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Важнейшим достижением является освоение производства мотора М-34, нового (кроме опытных) мотора, который постепенно должен заменить существующий М-17 и стать основным мотором как на вооружении РККА, так и в гражданской авиации.</w:t>
      </w:r>
    </w:p>
    <w:p w14:paraId="12AD1D3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выпущено 45 моторов при плановом задании – 55.</w:t>
      </w:r>
    </w:p>
    <w:p w14:paraId="16465CB6"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Преимущество мотора М-34.</w:t>
      </w:r>
    </w:p>
    <w:p w14:paraId="245F7F85" w14:textId="77777777" w:rsidR="00095B9C" w:rsidRPr="00C33834" w:rsidRDefault="00095B9C" w:rsidP="00C33834">
      <w:pPr>
        <w:numPr>
          <w:ilvl w:val="0"/>
          <w:numId w:val="2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Малый удельный вес. В этом отношении мотор не только превосходит М-17, но и лучше ряда заграничных образцов.</w:t>
      </w:r>
    </w:p>
    <w:p w14:paraId="7EABDD24" w14:textId="77777777" w:rsidR="00095B9C" w:rsidRPr="00C33834" w:rsidRDefault="00095B9C" w:rsidP="00C33834">
      <w:pPr>
        <w:numPr>
          <w:ilvl w:val="0"/>
          <w:numId w:val="2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Исключительно низкий расход топлива. Ни один из существующих моторов как у нас, так и за границей (по справке ГУАП и НКВМ) не имеет столь малых расходов.</w:t>
      </w:r>
    </w:p>
    <w:p w14:paraId="224FA764" w14:textId="77777777" w:rsidR="00095B9C" w:rsidRPr="00C33834" w:rsidRDefault="00095B9C" w:rsidP="00C33834">
      <w:pPr>
        <w:numPr>
          <w:ilvl w:val="0"/>
          <w:numId w:val="2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Горючее – чистый Бакинский бензин. Мотор не требует примеси бензола (чрезвычайно дефицитного) или специальных антидетонаторов.</w:t>
      </w:r>
    </w:p>
    <w:p w14:paraId="64D55DCD" w14:textId="77777777" w:rsidR="00095B9C" w:rsidRPr="00C33834" w:rsidRDefault="00095B9C" w:rsidP="00C33834">
      <w:pPr>
        <w:numPr>
          <w:ilvl w:val="0"/>
          <w:numId w:val="2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дало вполне благополучные результаты. Мотор принят УВВС.</w:t>
      </w:r>
    </w:p>
    <w:p w14:paraId="687C5D5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обеспечено полное выполнение программы (доклад ГУАП).</w:t>
      </w:r>
    </w:p>
    <w:p w14:paraId="06157A3F"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самолетам. Внедрен в производство ряд новых типов самолетов:</w:t>
      </w:r>
    </w:p>
    <w:p w14:paraId="00FF79BD"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Тяжелый металлический бомбовоз ТБ-3 впервые освоенный в производстве этого года. Несмотря на большие трудности программа выполнена на 62% из 250 по программе сдано 155.</w:t>
      </w:r>
    </w:p>
    <w:p w14:paraId="63EDF9A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Истребителя нового усовершенствованного типа И7. Из 160 сдано 45; производство освоено.</w:t>
      </w:r>
    </w:p>
    <w:p w14:paraId="3B8EC1FA"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Гидросамолета С-62 АССО; из 65 сдано 29 (3530,68).</w:t>
      </w:r>
    </w:p>
    <w:p w14:paraId="6EB45801"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17A1037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января 1933 года Базилевич писал письмо № 28/ко во Всеукраинскую академию наук Богомольцу</w:t>
      </w:r>
    </w:p>
    <w:p w14:paraId="170DE13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справке зам. НКТяжпрома Баранова, ЦИАМ не настаивает на откомандировании в его распоряжение Серенсена С. (3530,50).</w:t>
      </w:r>
    </w:p>
    <w:p w14:paraId="0A86BD2D"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6E141CEB"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января 1933 года начальник Управления военных изобретений (УВИ) Новиков нашел, как ему казалось, вполне подходящий военный склад, но никак не мог сообразить, куда его выселить. Письмо его Тухачевскому заканчивалось трафаретно: "Прошу ваших указаний". Вместо указаний он получил разносную резолюцию:</w:t>
      </w:r>
    </w:p>
    <w:p w14:paraId="14A65EB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 Новикову. Я Вам 100 раз приказывал найти институт в Москве на предмет внесения предложения о его выселении. Полгода вы ничего по этому поводу не делаете. Безобразная неисполнительность. Предлагаю 13/1 представить предложения.</w:t>
      </w:r>
    </w:p>
    <w:p w14:paraId="4D8BF8A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Тухачевский,11/I" (11143).</w:t>
      </w:r>
    </w:p>
    <w:p w14:paraId="0DCE1F25"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378D7C13" w14:textId="77777777" w:rsidR="004539AF" w:rsidRPr="00C33834" w:rsidRDefault="004539AF" w:rsidP="00C33834">
      <w:pPr>
        <w:pStyle w:val="a3"/>
        <w:rPr>
          <w:color w:val="000000" w:themeColor="text1"/>
          <w:lang w:val="ru-RU"/>
        </w:rPr>
      </w:pPr>
      <w:r w:rsidRPr="00C33834">
        <w:rPr>
          <w:color w:val="000000" w:themeColor="text1"/>
          <w:lang w:val="ru-RU"/>
        </w:rPr>
        <w:t>7 января 1933 г. вышло совместное Постановление Президиума ЦК ВКП(б) и Коллегии НКРКИ СССР «Об обследовании НИК «Дирижабле</w:t>
      </w:r>
      <w:r w:rsidRPr="00C33834">
        <w:rPr>
          <w:color w:val="000000" w:themeColor="text1"/>
          <w:lang w:val="ru-RU"/>
        </w:rPr>
        <w:softHyphen/>
        <w:t>строй», выводы которого сменивший П.М. Пурмаля новый начальникИ.А. Фельдман, признал справедли</w:t>
      </w:r>
      <w:r w:rsidRPr="00C33834">
        <w:rPr>
          <w:color w:val="000000" w:themeColor="text1"/>
          <w:lang w:val="ru-RU"/>
        </w:rPr>
        <w:softHyphen/>
        <w:t>выми:</w:t>
      </w:r>
    </w:p>
    <w:p w14:paraId="49DDB021" w14:textId="77777777" w:rsidR="004539AF" w:rsidRPr="00C33834" w:rsidRDefault="004539AF" w:rsidP="00C33834">
      <w:pPr>
        <w:pStyle w:val="a3"/>
        <w:widowControl/>
        <w:tabs>
          <w:tab w:val="left" w:pos="418"/>
        </w:tabs>
        <w:autoSpaceDE/>
        <w:autoSpaceDN/>
        <w:adjustRightInd/>
        <w:rPr>
          <w:color w:val="000000" w:themeColor="text1"/>
          <w:lang w:val="ru-RU"/>
        </w:rPr>
      </w:pPr>
      <w:r w:rsidRPr="00C33834">
        <w:rPr>
          <w:color w:val="000000" w:themeColor="text1"/>
          <w:lang w:val="ru-RU"/>
        </w:rPr>
        <w:lastRenderedPageBreak/>
        <w:t>- дирижаблестроение не получило до сих пор точных и определенных перспектив своего развития;</w:t>
      </w:r>
    </w:p>
    <w:p w14:paraId="58BAC9EA" w14:textId="77777777" w:rsidR="004539AF" w:rsidRPr="00C33834" w:rsidRDefault="004539AF" w:rsidP="00C33834">
      <w:pPr>
        <w:pStyle w:val="a3"/>
        <w:widowControl/>
        <w:tabs>
          <w:tab w:val="left" w:pos="428"/>
        </w:tabs>
        <w:autoSpaceDE/>
        <w:autoSpaceDN/>
        <w:adjustRightInd/>
        <w:rPr>
          <w:color w:val="000000" w:themeColor="text1"/>
          <w:lang w:val="ru-RU"/>
        </w:rPr>
      </w:pPr>
      <w:r w:rsidRPr="00C33834">
        <w:rPr>
          <w:color w:val="000000" w:themeColor="text1"/>
          <w:lang w:val="ru-RU"/>
        </w:rPr>
        <w:t>- строительство двумя трестами базы дирижаблей у платформы «Долгопрудная» сорвано по срокам и качеству работ;</w:t>
      </w:r>
    </w:p>
    <w:p w14:paraId="10E0ED61" w14:textId="77777777" w:rsidR="004539AF" w:rsidRPr="00C33834" w:rsidRDefault="004539AF" w:rsidP="00C33834">
      <w:pPr>
        <w:pStyle w:val="a3"/>
        <w:widowControl/>
        <w:tabs>
          <w:tab w:val="left" w:pos="418"/>
        </w:tabs>
        <w:autoSpaceDE/>
        <w:autoSpaceDN/>
        <w:adjustRightInd/>
        <w:rPr>
          <w:color w:val="000000" w:themeColor="text1"/>
          <w:lang w:val="ru-RU"/>
        </w:rPr>
      </w:pPr>
      <w:r w:rsidRPr="00C33834">
        <w:rPr>
          <w:color w:val="000000" w:themeColor="text1"/>
          <w:lang w:val="ru-RU"/>
        </w:rPr>
        <w:t>- выпуск четырех учебных кораблей не соответствует размеру истраченных на них средств;</w:t>
      </w:r>
    </w:p>
    <w:p w14:paraId="1FFF4DC6" w14:textId="77777777" w:rsidR="004539AF" w:rsidRPr="00C33834" w:rsidRDefault="004539AF" w:rsidP="00C33834">
      <w:pPr>
        <w:pStyle w:val="a3"/>
        <w:widowControl/>
        <w:tabs>
          <w:tab w:val="left" w:pos="423"/>
        </w:tabs>
        <w:autoSpaceDE/>
        <w:autoSpaceDN/>
        <w:adjustRightInd/>
        <w:rPr>
          <w:color w:val="000000" w:themeColor="text1"/>
          <w:lang w:val="ru-RU"/>
        </w:rPr>
      </w:pPr>
      <w:r w:rsidRPr="00C33834">
        <w:rPr>
          <w:color w:val="000000" w:themeColor="text1"/>
          <w:lang w:val="ru-RU"/>
        </w:rPr>
        <w:t>- контроль «Аэрофлота» за деятельно</w:t>
      </w:r>
      <w:r w:rsidRPr="00C33834">
        <w:rPr>
          <w:color w:val="000000" w:themeColor="text1"/>
          <w:lang w:val="ru-RU"/>
        </w:rPr>
        <w:softHyphen/>
        <w:t>стью Комбината неудовлетворительный (12732).</w:t>
      </w:r>
    </w:p>
    <w:p w14:paraId="20576CDD" w14:textId="77777777" w:rsidR="004539AF" w:rsidRPr="00C33834" w:rsidRDefault="004539AF" w:rsidP="00C33834">
      <w:pPr>
        <w:spacing w:after="0" w:line="240" w:lineRule="auto"/>
        <w:jc w:val="both"/>
        <w:rPr>
          <w:rFonts w:ascii="Times New Roman" w:hAnsi="Times New Roman"/>
          <w:iCs/>
          <w:color w:val="000000" w:themeColor="text1"/>
          <w:sz w:val="16"/>
          <w:szCs w:val="16"/>
        </w:rPr>
      </w:pPr>
    </w:p>
    <w:p w14:paraId="54F81C25" w14:textId="77777777" w:rsidR="00310B25" w:rsidRPr="00C33834" w:rsidRDefault="00310B2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января 1933 в Постановлении № 95-47 Центральная контрольная комиссия ВКП(б) (ЦКК ВКП(б)) и Народный комиссариат Рабоче-крестьянской инспекции (НК РКИ) по результатам обследовании Дирижаблестроя военно-морской инспекцией сделала вывод, что: «Отдельные успехи в работе, достигнутые Дирижаблестроем (выпуск 3-х мягких кораблей) не соответствуют размерам затраченных средств» [4, л.4] (15797).</w:t>
      </w:r>
    </w:p>
    <w:p w14:paraId="4D5CAAAE" w14:textId="77777777" w:rsidR="00310B25" w:rsidRPr="00C33834" w:rsidRDefault="00310B25" w:rsidP="00C33834">
      <w:pPr>
        <w:spacing w:after="0" w:line="240" w:lineRule="auto"/>
        <w:jc w:val="both"/>
        <w:rPr>
          <w:rFonts w:ascii="Times New Roman" w:hAnsi="Times New Roman"/>
          <w:color w:val="000000" w:themeColor="text1"/>
          <w:sz w:val="16"/>
          <w:szCs w:val="16"/>
        </w:rPr>
      </w:pPr>
    </w:p>
    <w:p w14:paraId="24761BFF" w14:textId="77777777" w:rsidR="00AD3AD2" w:rsidRPr="00C33834" w:rsidRDefault="00AD3AD2"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621CC972" w14:textId="77777777" w:rsidR="00AD3AD2" w:rsidRPr="00C33834" w:rsidRDefault="00AD3AD2" w:rsidP="00C33834">
      <w:pPr>
        <w:spacing w:after="0" w:line="240" w:lineRule="auto"/>
        <w:jc w:val="both"/>
        <w:rPr>
          <w:rFonts w:ascii="Times New Roman" w:hAnsi="Times New Roman"/>
          <w:iCs/>
          <w:color w:val="000000" w:themeColor="text1"/>
          <w:sz w:val="16"/>
          <w:szCs w:val="16"/>
        </w:rPr>
      </w:pPr>
    </w:p>
    <w:p w14:paraId="1119A11B" w14:textId="77777777" w:rsidR="00AD3AD2" w:rsidRPr="00C33834" w:rsidRDefault="00AD3AD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7 января 1933 Ворошилов поведал: в танк Т-28 "т. Сталин "влюблен"". (Объединенный Пленум ЦК и ЦKK ВКП(б), 7-12.01.1933 (правленая стенограмма) // РГА СПИ. Ф. 17. Оп. 2. Д. 5**07. Л. 692 (22725).</w:t>
      </w:r>
    </w:p>
    <w:p w14:paraId="1F464641" w14:textId="77777777" w:rsidR="00AD3AD2" w:rsidRPr="00C33834" w:rsidRDefault="00AD3AD2" w:rsidP="00C33834">
      <w:pPr>
        <w:spacing w:after="0" w:line="240" w:lineRule="auto"/>
        <w:jc w:val="both"/>
        <w:rPr>
          <w:rFonts w:ascii="Times New Roman" w:hAnsi="Times New Roman"/>
          <w:color w:val="0070C0"/>
          <w:sz w:val="16"/>
          <w:szCs w:val="16"/>
        </w:rPr>
      </w:pPr>
    </w:p>
    <w:p w14:paraId="770CBCFC" w14:textId="77777777" w:rsidR="00095B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3EBAFF57" w14:textId="77777777" w:rsidR="00095B9C" w:rsidRPr="00C33834" w:rsidRDefault="00095B9C" w:rsidP="00C33834">
      <w:pPr>
        <w:spacing w:after="0" w:line="240" w:lineRule="auto"/>
        <w:jc w:val="both"/>
        <w:rPr>
          <w:rFonts w:ascii="Times New Roman" w:hAnsi="Times New Roman"/>
          <w:iCs/>
          <w:color w:val="000000" w:themeColor="text1"/>
          <w:sz w:val="16"/>
          <w:szCs w:val="16"/>
        </w:rPr>
      </w:pPr>
    </w:p>
    <w:p w14:paraId="26E286BF" w14:textId="77777777" w:rsidR="00095B9C" w:rsidRPr="00C33834" w:rsidRDefault="00095B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января 1933 (07 - 12 янв.) На пленуме ЦК партии принято решение проводить политзанятия в МТС для повышения политической грамотности колхозников (4962).</w:t>
      </w:r>
    </w:p>
    <w:p w14:paraId="5B581491" w14:textId="77777777" w:rsidR="00095B9C" w:rsidRPr="00C33834" w:rsidRDefault="00095B9C" w:rsidP="00C33834">
      <w:pPr>
        <w:tabs>
          <w:tab w:val="left" w:pos="11199"/>
        </w:tabs>
        <w:spacing w:after="0" w:line="240" w:lineRule="auto"/>
        <w:jc w:val="both"/>
        <w:rPr>
          <w:rFonts w:ascii="Times New Roman" w:hAnsi="Times New Roman"/>
          <w:color w:val="000000" w:themeColor="text1"/>
          <w:sz w:val="16"/>
          <w:szCs w:val="16"/>
        </w:rPr>
      </w:pPr>
    </w:p>
    <w:p w14:paraId="5D19EDF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7-12 января 1933 был объединенный пленум ЦК и ЦКК ВКП(б) по итогам первой пятилетки (4 года, 3 месяца) (24,57) и в этот день И.В.Сталин сказал свое знаменитое выражение "У нас не было АП. У нас она есть теперь" (66,149) (24,57). Решили проводить политзанятия для колхозников на базе МТС (3908,339).</w:t>
      </w:r>
    </w:p>
    <w:p w14:paraId="46CA2CA3"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40619D95" w14:textId="77777777" w:rsidR="00AD3AD2" w:rsidRPr="00C33834" w:rsidRDefault="00AD3AD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7-12 января 1933 г. на объединенном Пленуме ЦК и ЦКК ВКП(б) советское руководство подвело итоги выполнения пятилетки в четыре года. Впервые за полтора года Генеральный секретарь ЦК ВКП(б) взошел на трибуну. "Из страны слабой и не подготовленной к обороне Советский Союз превратился в страну могучую в смысле обороноспособности", - заявил он Объединенному пленуму ЦК и ЦКК ВКП(б). "Мы восполнили целиком и полностью пробелы в деле обороноспособности страны"; "в результате успешного выполнения пятилетки нам удалось уже поднять oбopoноспособность страны на должную высоту". "Стоит ли после этого подхлестывать и подгонять страну? Ясно, что теперь нет в этом необходимости" (СТАЛИН И. Итоги первой пятилетки: Доклад на объединенном Пленуме ЦК и ЦКК ВКП(б),7-12 января 1933 г./Там же. Соч. Т. 13. М, 1953. С 180,185) (22725).</w:t>
      </w:r>
    </w:p>
    <w:p w14:paraId="7BE735FE" w14:textId="77777777" w:rsidR="00AD3AD2" w:rsidRPr="00C33834" w:rsidRDefault="00AD3AD2" w:rsidP="00C33834">
      <w:pPr>
        <w:spacing w:after="0" w:line="240" w:lineRule="auto"/>
        <w:jc w:val="both"/>
        <w:rPr>
          <w:rFonts w:ascii="Times New Roman" w:hAnsi="Times New Roman"/>
          <w:color w:val="0070C0"/>
          <w:sz w:val="16"/>
          <w:szCs w:val="16"/>
        </w:rPr>
      </w:pPr>
    </w:p>
    <w:p w14:paraId="551F4D3E" w14:textId="77777777" w:rsidR="003628CD" w:rsidRPr="00C33834" w:rsidRDefault="003628CD"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color w:val="000000" w:themeColor="text1"/>
          <w:sz w:val="16"/>
          <w:szCs w:val="16"/>
        </w:rPr>
        <w:t>7 января 1933 г. Итоги первой пятилетки: Доклад на объединенном пленуме ЦК и ЦКК ВКП(б)</w:t>
      </w:r>
    </w:p>
    <w:p w14:paraId="2CE3302C" w14:textId="77777777" w:rsidR="003628CD" w:rsidRPr="00C33834" w:rsidRDefault="003628CD"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color w:val="000000" w:themeColor="text1"/>
          <w:sz w:val="16"/>
          <w:szCs w:val="16"/>
        </w:rPr>
        <w:t>II. Основная задача пятилетнего плана и путь ее осуществления</w:t>
      </w:r>
    </w:p>
    <w:p w14:paraId="22BBCA00"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Перейдем к вопросу о пятилетнем плане по существу.</w:t>
      </w:r>
    </w:p>
    <w:p w14:paraId="19411674"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Что такое пятилетний план?</w:t>
      </w:r>
    </w:p>
    <w:p w14:paraId="7107194F"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В чем состояла основная задача пятилетнего плана?</w:t>
      </w:r>
    </w:p>
    <w:p w14:paraId="3862DC3E"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Основная задача пятилетки состояла в том, чтобы перевести нашу страну с ее отсталой, подчас средневековой техникой – на рельсы новой, современной техники.</w:t>
      </w:r>
    </w:p>
    <w:p w14:paraId="43A809C5"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Основная задача пятилетки состояла в том, чтобы превратить СССР из страны аграрной и немощной, зависимой от капризов капиталистических стран, – в страну индустриальную и могучую, вполне самостоятельную и независимую от капризов мирового капитализма.</w:t>
      </w:r>
    </w:p>
    <w:p w14:paraId="208B9CD7"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Основная задача пятилетки состояла в том, чтобы, превращая СССР в страну индустриальную, – вытеснить до конца капиталистические элементы, расширить фронт социалистических форм хозяйства и создать экономическую базу для уничтожения классов в СССР, для построения социалистического общества.</w:t>
      </w:r>
    </w:p>
    <w:p w14:paraId="270CA884"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Основная задача пятилетки состояла в том, чтобы создать в нашей стране такую индустрию, которая была бы способна перевооружить и реорганизовать не только промышленность в целом, но и транспорт, но и сельское хозяйство – на базе социализма.</w:t>
      </w:r>
    </w:p>
    <w:p w14:paraId="2BA9A393"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Основная задача пятилетки состояла в том, чтобы перевести мелкое и раздробленное сельское хозяйство на рельсы крупного коллективного хозяйства, обеспечить тем самым экономическую базу социализма в деревне и ликвидировать таким образом возможность восстановления капитализма в СССР.</w:t>
      </w:r>
    </w:p>
    <w:p w14:paraId="25F50D27"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Наконец, задача пятилетнего плана состояла в том, чтобы создать в стране все необходимые технические и экономические предпосылки для максимального поднятия обороноспособности страны, дающей возможность организовать решительный отпор всем и всяким попыткам военной интервенции извне, всем и всяким попыткам военного нападения извне.</w:t>
      </w:r>
    </w:p>
    <w:p w14:paraId="45066756"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Чем диктовалась эта основная задача пятилетки, чем она обосновывалась?</w:t>
      </w:r>
    </w:p>
    <w:p w14:paraId="21B723BD"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Необходимостью ликвидации технико-экономической отсталости Советского Союза, обрекающей его на незавидное существование, необходимостью создать в стране такие предпосылки, которые дали бы ей возможность не только догнать, но со временем и перегнать в технико-экономическом отношении передовые капиталистические страны.</w:t>
      </w:r>
    </w:p>
    <w:p w14:paraId="09E2C6CE"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Соображением о том, что Советская власть не может долго держаться на базе отсталой промышленности, что только современная крупная промышленность, не только не уступающая, но могущая со временем превзойти промышленность капиталистических стран, – может служить действительным и надежным фундаментом для Советской власти.</w:t>
      </w:r>
    </w:p>
    <w:p w14:paraId="5BF188B4"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 xml:space="preserve">Соображением о том, что Советская власть не может долго базироваться на двух противоположных основах, на крупной социалистической промышленности, которая </w:t>
      </w:r>
      <w:r w:rsidRPr="00C33834">
        <w:rPr>
          <w:rStyle w:val="af0"/>
          <w:i w:val="0"/>
          <w:color w:val="000000" w:themeColor="text1"/>
          <w:sz w:val="16"/>
          <w:szCs w:val="16"/>
        </w:rPr>
        <w:t>уничтожает</w:t>
      </w:r>
      <w:r w:rsidRPr="00C33834">
        <w:rPr>
          <w:color w:val="000000" w:themeColor="text1"/>
          <w:sz w:val="16"/>
          <w:szCs w:val="16"/>
        </w:rPr>
        <w:t xml:space="preserve"> капиталистические элементы, и на мелком единоличном крестьянском хозяйстве, которое </w:t>
      </w:r>
      <w:r w:rsidRPr="00C33834">
        <w:rPr>
          <w:rStyle w:val="af0"/>
          <w:i w:val="0"/>
          <w:color w:val="000000" w:themeColor="text1"/>
          <w:sz w:val="16"/>
          <w:szCs w:val="16"/>
        </w:rPr>
        <w:t>порождает</w:t>
      </w:r>
      <w:r w:rsidRPr="00C33834">
        <w:rPr>
          <w:color w:val="000000" w:themeColor="text1"/>
          <w:sz w:val="16"/>
          <w:szCs w:val="16"/>
        </w:rPr>
        <w:t xml:space="preserve"> капиталистические элементы.</w:t>
      </w:r>
    </w:p>
    <w:p w14:paraId="5C164040"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Соображением о том, что пока не подведена под сельское хозяйство база крупного производства, пока не объединены мелкие крестьянские хозяйства в крупные коллективные хозяйства, – опасность восстановления капитализма в СССР является самой реальной опасностью из всех возможных опасностей.</w:t>
      </w:r>
    </w:p>
    <w:p w14:paraId="5CABAF70"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Ленин говорил:</w:t>
      </w:r>
    </w:p>
    <w:p w14:paraId="417653DF"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“Революция сделала то, что в несколько месяцев Россия по своему политическому строю догнала передовые страны.</w:t>
      </w:r>
    </w:p>
    <w:p w14:paraId="737C7956"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 xml:space="preserve">Но этого мало. Война неумолима, она ставит вопрос с беспощадной резкостью: либо погибнуть, либо догнать передовые страны и перегнать их также и </w:t>
      </w:r>
      <w:r w:rsidRPr="00C33834">
        <w:rPr>
          <w:rStyle w:val="af0"/>
          <w:i w:val="0"/>
          <w:color w:val="000000" w:themeColor="text1"/>
          <w:sz w:val="16"/>
          <w:szCs w:val="16"/>
        </w:rPr>
        <w:t>экономически…</w:t>
      </w:r>
      <w:r w:rsidRPr="00C33834">
        <w:rPr>
          <w:color w:val="000000" w:themeColor="text1"/>
          <w:sz w:val="16"/>
          <w:szCs w:val="16"/>
        </w:rPr>
        <w:t xml:space="preserve"> Погибнуть или на всех парах устремиться вперед. Так поставлен вопрос историей” (см. т. XXI, стр. 191</w:t>
      </w:r>
      <w:hyperlink r:id="rId12" w:anchor="n50" w:history="1">
        <w:r w:rsidRPr="00C33834">
          <w:rPr>
            <w:rStyle w:val="a5"/>
            <w:color w:val="000000" w:themeColor="text1"/>
            <w:sz w:val="16"/>
            <w:szCs w:val="16"/>
            <w:vertAlign w:val="superscript"/>
          </w:rPr>
          <w:t>[50]</w:t>
        </w:r>
      </w:hyperlink>
      <w:r w:rsidRPr="00C33834">
        <w:rPr>
          <w:color w:val="000000" w:themeColor="text1"/>
          <w:sz w:val="16"/>
          <w:szCs w:val="16"/>
        </w:rPr>
        <w:t>).</w:t>
      </w:r>
    </w:p>
    <w:p w14:paraId="0947C498"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Ленин говорил:</w:t>
      </w:r>
    </w:p>
    <w:p w14:paraId="214DA182"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“Пока мы живем в мелкокрестьянской стране, для капитализма в России есть более прочная экономическая база, чем для коммунизма. Это необходимо запомнить. Каждый, внимательно наблюдавший за жизнью деревни, в сравнении с жизнью города, знает, что мы корней капитализма не вырвали и фундамент, основу у внутреннего врага не подорвали. Последний держится на мелком хозяйстве, и чтобы подорвать его, есть одно средство – перевести хозяйство страны, в том числе и земледелие, на новую техническую базу, на техническую базу современного крупного производства... Только тогда, когда страна будет электрифицирована, когда под промышленность, сельское хозяйство и транспорт будет подведена техническая база современной крупной промышленности, только тогда мы победим окончательно” (см. т. XXVI, стр. 46–47</w:t>
      </w:r>
      <w:hyperlink r:id="rId13" w:anchor="n51" w:history="1">
        <w:r w:rsidRPr="00C33834">
          <w:rPr>
            <w:rStyle w:val="a5"/>
            <w:color w:val="000000" w:themeColor="text1"/>
            <w:sz w:val="16"/>
            <w:szCs w:val="16"/>
            <w:vertAlign w:val="superscript"/>
          </w:rPr>
          <w:t>[51]</w:t>
        </w:r>
      </w:hyperlink>
      <w:r w:rsidRPr="00C33834">
        <w:rPr>
          <w:color w:val="000000" w:themeColor="text1"/>
          <w:sz w:val="16"/>
          <w:szCs w:val="16"/>
        </w:rPr>
        <w:t>).</w:t>
      </w:r>
    </w:p>
    <w:p w14:paraId="3A39CB19"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Эти положения и легли в основу тех соображений партии, которые привели к выработке пятилетнего плана, которые привели к определению основной задачи пятилетнего плана.</w:t>
      </w:r>
    </w:p>
    <w:p w14:paraId="563153E0"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Так обстоит дело с основной задачей пятилетки.</w:t>
      </w:r>
    </w:p>
    <w:p w14:paraId="3D6B9164"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Но осуществление такого грандиозного плана нельзя начинать вразброс, с чего попало. Чтобы осуществить такой план, нужно, прежде всего, найти основное звено плана, ибо только найдя основное звено и ухватившись за него, – можно было вытянуть все остальные звенья плана.</w:t>
      </w:r>
    </w:p>
    <w:p w14:paraId="62B57B13"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В чем состояло основное звено пятилетнего плана?</w:t>
      </w:r>
    </w:p>
    <w:p w14:paraId="673F6842"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Основное звено пятилетнего плана состояло в тяжелой промышленности с ее сердцевиной – машиностроением. Ибо только тяжелая промышленность способна реконструировать и поставить на ноги и промышленность в целом, и транспорт, и сельское хозяйство. С нее и надо было начать осуществление пятилетки. Стало быть, восстановление тяжелой промышленности нужно было положить в основу осуществления пятилетнего плана.</w:t>
      </w:r>
    </w:p>
    <w:p w14:paraId="068F9C73"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Мы имеем указания Ленина и на этот предмет:</w:t>
      </w:r>
    </w:p>
    <w:p w14:paraId="4E718D8A"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“Спасением для России является не только хороший урожай в крестьянском хозяйстве – этого еще мало, – и не только хорошее состояние легкой промышленности, поставляющей крестьянству предметы потребления, – этого тоже еще мало, – нам необходима также тяжелая индустрия… Без спасения тяжелой промышленности, без ее восстановления мы не сможем построить никакой промышленности, а без нее мы вообще погибнем, как самостоятельная страна… Тяжелая индустрия нуждается в государственных субсидиях. Если мы их не найдем, то мы, как цивилизованное государство, – я уже не говорю, как социалистическое, – погибли” (см. т. XXVII, стр. 349).</w:t>
      </w:r>
    </w:p>
    <w:p w14:paraId="754FD5F3"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 xml:space="preserve">Но восстановление и развитие тяжелой индустрии, особенно в такой отсталой и небогатой стране, какой была наша страна в начале пятилетки, является самым трудным делом, ибо тяжелая индустрия требует, как известно, громадных финансовых затрат и наличия известного минимума опытных технических сил, без чего, вообще говоря, невозможно восстановление тяжелой индустрии. Знала ли об этом партия и отдавала ли себе в этом отчет? Да, знала. И не только знала, но заявляла </w:t>
      </w:r>
      <w:r w:rsidRPr="00C33834">
        <w:rPr>
          <w:color w:val="000000" w:themeColor="text1"/>
          <w:sz w:val="16"/>
          <w:szCs w:val="16"/>
        </w:rPr>
        <w:lastRenderedPageBreak/>
        <w:t>об атом во всеуслышание. Партия знала, каким путем была построена тяжелая индустрия в Англии, Германии, Америке. Она знала, что тяжелая индустрия была построена в этих странах либо при помощи крупных займов, либо путем ограбления других стран, либо же и тем и другим путем одновременно. Партия знала, что эти пути закрыты для нашей страны. На что же она рассчитывала? Она рассчитывала на собственные силы нашей страны. Она рассчитывала на то, что, имея Советскую власть и опираясь на национализацию земли, промышленности, транспорта, банков, торговли, мы можем проводить строжайший режим экономии для того, чтобы накоплять достаточные средства, необходимые для восстановления и развития тяжелой индустрии. Партия прямо говорила, что это дело потребует серьезных жертв и что мы должны пойти на эти жертвы открыто и сознательно, если хотим добиться цели. Партия рассчитывала поднять это дело внутренними силами нашей страны без кабальных кредитов и займов извне.</w:t>
      </w:r>
    </w:p>
    <w:p w14:paraId="12CFBDEC"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Вот что говорил Ленин на этот счет:</w:t>
      </w:r>
    </w:p>
    <w:p w14:paraId="46B5B6EA"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“Мы должны постараться построить государство, в котором рабочие сохранили бы свое руководство над крестьянами, доверие крестьян по отношению к себе и с величайшей экономией изгнали бы из своих общественных отношений всякие следы каких бы то ни было излишеств.</w:t>
      </w:r>
    </w:p>
    <w:p w14:paraId="443700FB"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Мы должны свести наш госаппарат до максимальной экономии. Мы должны изгнать из него все следы излишеств, которых в нем осталось так много от царской России, от ее бюрократическо-капиталистического аппарата.</w:t>
      </w:r>
    </w:p>
    <w:p w14:paraId="0D2D6C16"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Не будет ли это царством крестьянской ограниченности?</w:t>
      </w:r>
    </w:p>
    <w:p w14:paraId="229845BC"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Нет. Если мы сохраним за рабочим классом руководство над крестьянством, то мы получим возможность ценой величайшей и величайшей экономии хозяйства в нашем государстве добиться того, чтобы всякое малейшее сбережение сохранить для развития нашей крупной машинной индустрии, для развития электрификации, гидроторфа, для достройки Волховстроя и прочее.</w:t>
      </w:r>
    </w:p>
    <w:p w14:paraId="46B80A8C"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В этом и только в этом будет наша надежда. Только тогда мы в состоянии будем пересесть, выражаясь фигурально, с одной лошади на другую, именно, с лошади крестьянской, мужицкой, обнищалой, с лошади экономии, рассчитанных на разоренную Крестьянскую страну, – на лошадь, которую ищет и не может не искать для себя пролетариат, на лошадь крупной машинной индустрии, электрификации, Волховстроя и т.д.” (см. т. XXVII, стр. 417).</w:t>
      </w:r>
    </w:p>
    <w:p w14:paraId="1D79811E"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Пересесть с обнищалой мужицкой лошади на лошадь крупной машинной индустрии, – вот какую цель преследовала партия, вырабатывая пятилетний план и добиваясь его осуществления.</w:t>
      </w:r>
    </w:p>
    <w:p w14:paraId="595B10B9"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Установить строжайший режим экономии и накоплять средства, необходимые для финансирования индустриализации нашей страны, – вот на какой путь надо было стать, чтобы добиться создания тяжелой индустрии и осуществления пятилетнего плана.</w:t>
      </w:r>
    </w:p>
    <w:p w14:paraId="159D6539"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Смелая задача? Трудный путь? Но наша партия потому и называется ленинской партией, что она не имеет права бояться трудностей.</w:t>
      </w:r>
    </w:p>
    <w:p w14:paraId="5240F148"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Более того. Уверенность партии в осуществимости пятилетки и вера в силы рабочего класса были до того сильны, что партия нашла возможным поставить себе задачу осуществить это трудное дело не в пять лет, как этого требовал пятилетний план, а в четыре года, собственно – четыре года и три месяца, если прибавить особый квартал.</w:t>
      </w:r>
    </w:p>
    <w:p w14:paraId="20752C21"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На этой основе и родился знаменитый лозунг: “Пятилетка в четыре года”.</w:t>
      </w:r>
    </w:p>
    <w:p w14:paraId="4A2AA0B7"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И что же?</w:t>
      </w:r>
    </w:p>
    <w:p w14:paraId="60646532"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Факты показали впоследствии, что партия была права.</w:t>
      </w:r>
    </w:p>
    <w:p w14:paraId="068B0B68"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Факты показали, что без этой смелости и веры в силы рабочего класса партия не могла бы добиться той победы, которой гордимся мы теперь по праву.</w:t>
      </w:r>
    </w:p>
    <w:p w14:paraId="1F4138E6"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III. Итоги пятилетки в четыре года в области промышленности</w:t>
      </w:r>
    </w:p>
    <w:p w14:paraId="2430982A"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Перейдем теперь к вопросу об итогах осуществления пятилетнего плана.</w:t>
      </w:r>
    </w:p>
    <w:p w14:paraId="774A371B"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 xml:space="preserve">Каковы итоги пятилетки в четыре года в области </w:t>
      </w:r>
      <w:r w:rsidRPr="00C33834">
        <w:rPr>
          <w:rStyle w:val="af0"/>
          <w:i w:val="0"/>
          <w:color w:val="000000" w:themeColor="text1"/>
          <w:sz w:val="16"/>
          <w:szCs w:val="16"/>
        </w:rPr>
        <w:t>промышленности</w:t>
      </w:r>
      <w:r w:rsidRPr="00C33834">
        <w:rPr>
          <w:color w:val="000000" w:themeColor="text1"/>
          <w:sz w:val="16"/>
          <w:szCs w:val="16"/>
        </w:rPr>
        <w:t>?</w:t>
      </w:r>
    </w:p>
    <w:p w14:paraId="7530FB52"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Добились ли мы победы в этой области?</w:t>
      </w:r>
    </w:p>
    <w:p w14:paraId="73266402"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Да, добились. И не только добились, а сделали больше, чем мы сами ожидали, чем могли ожидать самые горячие головы в нашей партии. Этого не отрицают теперь даже враги. Тем более не могут этого отрицать наши друзья.</w:t>
      </w:r>
    </w:p>
    <w:p w14:paraId="22D79E3C"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У нас не было черной металлургии, основы индустриализации страны. У нас она есть теперь.</w:t>
      </w:r>
    </w:p>
    <w:p w14:paraId="44DE20DD"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У нас не было тракторной промышленности. У нас она есть теперь.</w:t>
      </w:r>
    </w:p>
    <w:p w14:paraId="189F998D"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У нас не было автомобильной промышленности. У нас она есть теперь.</w:t>
      </w:r>
    </w:p>
    <w:p w14:paraId="3DD272D7"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У нас не было станкостроения. У нас оно есть теперь.</w:t>
      </w:r>
    </w:p>
    <w:p w14:paraId="4D8C79EC"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У нас не было серьезной и современной химической промышленности. У нас она есть теперь.</w:t>
      </w:r>
    </w:p>
    <w:p w14:paraId="212E2814"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У нас не было действительной и серьезной промышленности по производству современных сельскохозяйственных машин. У нас она есть теперь.</w:t>
      </w:r>
    </w:p>
    <w:p w14:paraId="02C45CD6"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У нас не было авиационной промышленности. У нас она есть теперь.</w:t>
      </w:r>
    </w:p>
    <w:p w14:paraId="422A41DA"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В смысле производства электрической энергии мы стояли на самом последнем месте. Теперь мы выдвинулись на одно из первых мест.</w:t>
      </w:r>
    </w:p>
    <w:p w14:paraId="6A2D264E"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В смысле производства нефтяных продуктов и угля мы стояли на последнем месте. Теперь мы выдвинулись на одно из первых мест.</w:t>
      </w:r>
    </w:p>
    <w:p w14:paraId="61237492"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У нас была лишь одна единственная угольно-металлургическая база – на Украине, с которой мы с трудом справлялись. Мы добились того, что не только подняли эту базу, но создали еще новую угольно-металлургическую базу – на Востоке, составляющую гордость нашей страны.</w:t>
      </w:r>
    </w:p>
    <w:p w14:paraId="283BF702"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Мы имели лишь одну единственную базу текстильной промышленности – на Севере нашей страны. Мы добились того, что будем иметь в ближайшее время две новых базы текстильной промышленности – в Средней Азии и Западной Сибири.</w:t>
      </w:r>
    </w:p>
    <w:p w14:paraId="1F7FC5C5"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И мы не только создали эти новые громадные отрасли промышленности, но мы их создали в таком масштабе и в таких размерах, перед которыми бледнеют масштабы и размеры европейской индустрии.</w:t>
      </w:r>
    </w:p>
    <w:p w14:paraId="03D2D955"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А все это привело к тому, что капиталистические элементы вытеснены из промышленности окончательно и бесповоротно, а социалистическая промышленность стала единственной формой индустрии в СССР.</w:t>
      </w:r>
    </w:p>
    <w:p w14:paraId="4AE83F49"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А все это привело к тому, что страна наша из аграрной стала индустриальной, ибо удельный вес промышленной продукции в отношении сельскохозяйственной поднялся с 48% в начале пятилетки (1928 г.) до 70% к концу четвертого года пятилетки (1932 г.).</w:t>
      </w:r>
    </w:p>
    <w:p w14:paraId="4AD0B035"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 xml:space="preserve">А все это привело к тому, что к концу четвертого года пятилетки нам удалось выполнить программу общего промышленного производства, рассчитанную на пять лет, – на 93,7%, подняв объем промышленной продукции более чем втрое в сравнении с довоенным уровнем и более чем </w:t>
      </w:r>
      <w:r w:rsidRPr="00C33834">
        <w:rPr>
          <w:rStyle w:val="af0"/>
          <w:i w:val="0"/>
          <w:color w:val="000000" w:themeColor="text1"/>
          <w:sz w:val="16"/>
          <w:szCs w:val="16"/>
        </w:rPr>
        <w:t>вдвое</w:t>
      </w:r>
      <w:r w:rsidRPr="00C33834">
        <w:rPr>
          <w:color w:val="000000" w:themeColor="text1"/>
          <w:sz w:val="16"/>
          <w:szCs w:val="16"/>
        </w:rPr>
        <w:t xml:space="preserve"> в сравнении с уровнем 1928 года. Что же касается программы производства по тяжелой промышленности, то мы выполнили пятилетний план на 108%.</w:t>
      </w:r>
    </w:p>
    <w:p w14:paraId="4304AF2E"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Правда, мы недовыполнили общую программу пятилетки на 6%. Но это объясняется тем, что, ввиду отказа соседних стран подписать с нами пакты о ненападении и осложнений на Дальнем Востоке, нам пришлось наскоро переключить ряд заводов в целях усиления обороны на производство современных орудий обороны. Ну, а переключение это, ввиду необходимости пройти некий подготовительный период, привело к тому, что заводы эти прекратили производство продукции в продолжение четырех месяцев, что не могло не отразиться на выполнении общей программы производства по пятилетнему плану в течение 1932 года. Операция эта привела к тому, что мы восполнили целиком и полностью пробелы в деле обороноспособности страны. Но она не могла не отразиться отрицательно на выполнении программы производства по пятилетнему плану. Не может быть никакого сомнения, что без этого привходящего обстоятельства мы не только выполнили бы, но наверняка перевыполнили бы общепроизводственную цифровую часть пятилетнего плана.</w:t>
      </w:r>
    </w:p>
    <w:p w14:paraId="25C14DF5"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Наконец, все это привело к тому, что из страны слабой и не подготовленной к обороне Советский Союз превратился в страну могучую в смысле обороноспособности, в страну, готовую ко всяким случайностям, в страну, способную производить в массовом масштабе все современные орудия обороны и снабдить ими свою армию в случае нападения извне.</w:t>
      </w:r>
    </w:p>
    <w:p w14:paraId="03D8661B"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Таковы в общем итоги пятилетки в четыре года в области промышленности.</w:t>
      </w:r>
    </w:p>
    <w:p w14:paraId="1FD1D2D5"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Теперь судите сами, чего стоит после всего этого болтовня буржуазной печати о “провале” пятилетки в области промышленности.</w:t>
      </w:r>
    </w:p>
    <w:p w14:paraId="4F91F19F"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 xml:space="preserve">А как обстоит дело с </w:t>
      </w:r>
      <w:r w:rsidRPr="00C33834">
        <w:rPr>
          <w:rStyle w:val="af0"/>
          <w:i w:val="0"/>
          <w:color w:val="000000" w:themeColor="text1"/>
          <w:sz w:val="16"/>
          <w:szCs w:val="16"/>
        </w:rPr>
        <w:t>капиталистическими</w:t>
      </w:r>
      <w:r w:rsidRPr="00C33834">
        <w:rPr>
          <w:color w:val="000000" w:themeColor="text1"/>
          <w:sz w:val="16"/>
          <w:szCs w:val="16"/>
        </w:rPr>
        <w:t xml:space="preserve"> странами, переживающими ныне жестокий кризис, в смысле роста их промышленной продукции?</w:t>
      </w:r>
    </w:p>
    <w:p w14:paraId="2CEF3C1A"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Вот всем известные официальные данные.</w:t>
      </w:r>
    </w:p>
    <w:p w14:paraId="70E17507"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 xml:space="preserve">В то время как объем промышленной продукции СССР к концу 1932 года </w:t>
      </w:r>
      <w:r w:rsidRPr="00C33834">
        <w:rPr>
          <w:rStyle w:val="af0"/>
          <w:i w:val="0"/>
          <w:color w:val="000000" w:themeColor="text1"/>
          <w:sz w:val="16"/>
          <w:szCs w:val="16"/>
        </w:rPr>
        <w:t>вырос</w:t>
      </w:r>
      <w:r w:rsidRPr="00C33834">
        <w:rPr>
          <w:color w:val="000000" w:themeColor="text1"/>
          <w:sz w:val="16"/>
          <w:szCs w:val="16"/>
        </w:rPr>
        <w:t xml:space="preserve"> в сравнении с </w:t>
      </w:r>
      <w:r w:rsidRPr="00C33834">
        <w:rPr>
          <w:rStyle w:val="af0"/>
          <w:i w:val="0"/>
          <w:color w:val="000000" w:themeColor="text1"/>
          <w:sz w:val="16"/>
          <w:szCs w:val="16"/>
        </w:rPr>
        <w:t>довоенным</w:t>
      </w:r>
      <w:r w:rsidRPr="00C33834">
        <w:rPr>
          <w:color w:val="000000" w:themeColor="text1"/>
          <w:sz w:val="16"/>
          <w:szCs w:val="16"/>
        </w:rPr>
        <w:t xml:space="preserve"> уровнем до 334%, объем промышленной продукции САСШ </w:t>
      </w:r>
      <w:r w:rsidRPr="00C33834">
        <w:rPr>
          <w:rStyle w:val="af0"/>
          <w:i w:val="0"/>
          <w:color w:val="000000" w:themeColor="text1"/>
          <w:sz w:val="16"/>
          <w:szCs w:val="16"/>
        </w:rPr>
        <w:t>снизился</w:t>
      </w:r>
      <w:r w:rsidRPr="00C33834">
        <w:rPr>
          <w:color w:val="000000" w:themeColor="text1"/>
          <w:sz w:val="16"/>
          <w:szCs w:val="16"/>
        </w:rPr>
        <w:t xml:space="preserve"> за тот же период до 84% довоенного уровня, Англии – до 75%, Германии – до 62%.</w:t>
      </w:r>
    </w:p>
    <w:p w14:paraId="1453879B"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 xml:space="preserve">В то время как объем промышленной продукции СССР </w:t>
      </w:r>
      <w:r w:rsidRPr="00C33834">
        <w:rPr>
          <w:rStyle w:val="af0"/>
          <w:i w:val="0"/>
          <w:color w:val="000000" w:themeColor="text1"/>
          <w:sz w:val="16"/>
          <w:szCs w:val="16"/>
        </w:rPr>
        <w:t>вырос</w:t>
      </w:r>
      <w:r w:rsidRPr="00C33834">
        <w:rPr>
          <w:color w:val="000000" w:themeColor="text1"/>
          <w:sz w:val="16"/>
          <w:szCs w:val="16"/>
        </w:rPr>
        <w:t xml:space="preserve"> к концу 1932 года в сравнении с </w:t>
      </w:r>
      <w:r w:rsidRPr="00C33834">
        <w:rPr>
          <w:rStyle w:val="af0"/>
          <w:i w:val="0"/>
          <w:color w:val="000000" w:themeColor="text1"/>
          <w:sz w:val="16"/>
          <w:szCs w:val="16"/>
        </w:rPr>
        <w:t>уровнем1928 года</w:t>
      </w:r>
      <w:r w:rsidRPr="00C33834">
        <w:rPr>
          <w:color w:val="000000" w:themeColor="text1"/>
          <w:sz w:val="16"/>
          <w:szCs w:val="16"/>
        </w:rPr>
        <w:t xml:space="preserve"> до 219%, объем промышленной продукции САСШ снизился за тот же период до 56%, Англии – до 80%, Германии – до 55%, Польши – до 54%.</w:t>
      </w:r>
    </w:p>
    <w:p w14:paraId="6385F4BD"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О чем говорят эти данные, как не о том, что капиталистическая система промышленности не выдержала экзамена в тяжбе с советской системой, что советская система промышленности имеет все преимущества перед системой капиталистической.</w:t>
      </w:r>
    </w:p>
    <w:p w14:paraId="250ACFAD"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Нам говорят, что все это хорошо, построено много новых заводов, заложены основы индустриализации. Но было бы гораздо лучше отказаться от политики индустриализации, от политики расширения производства средств производства, или по крайней мере отложить это дело на задний план с тем, чтобы производить [c.181] больше ситца, обуви, одежды и прочих предметов широкого потребления.</w:t>
      </w:r>
    </w:p>
    <w:p w14:paraId="2ACDF199"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 xml:space="preserve">Предметов широкого потребления действительно произведено меньше, чем нужно, и это создает известные затруднения. Но тогда надо знать и надо отдать себе отчет, к чему привела бы нас подобная политика отодвигания на задний план задач индустриализации. Конечно, мы могли бы из полутора миллиардов рублей валюты, истраченных за этот период на оборудование нашей тяжелой промышленности, отложить половину на импорт хлопка, кожи, шерсти, каучука и т.д. У нас было бы </w:t>
      </w:r>
      <w:r w:rsidRPr="00C33834">
        <w:rPr>
          <w:color w:val="000000" w:themeColor="text1"/>
          <w:sz w:val="16"/>
          <w:szCs w:val="16"/>
        </w:rPr>
        <w:lastRenderedPageBreak/>
        <w:t>тогда больше ситца, обуви, одежды. Но у нас не было бы тогда ни тракторной, ни автомобильной промышленности, не было бы сколько-нибудь серьезной черной металлургии, не было бы металла для производства машин, – и мы были бы безоружны перед лицом вооруженного новой техникой капиталистического окружения.</w:t>
      </w:r>
    </w:p>
    <w:p w14:paraId="39BA3494"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Мы лишили бы себя тогда возможности снабжать сельское хозяйство тракторами и сельхозмашинами, – стало быть, мы сидели бы без хлеба.</w:t>
      </w:r>
    </w:p>
    <w:p w14:paraId="377FDBDF"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Мы лишили бы себя возможности одержать победу над капиталистическими элементами в стране, – стало быть, мы неимоверно повысили бы шансы на реставрацию капитализма.</w:t>
      </w:r>
    </w:p>
    <w:p w14:paraId="3F22C624"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Мы не имели бы тогда всех тех современных средств обороны, без которых невозможна государственная независимость страны, без которых страна превращается в объект военных операций внешних врагов. Наше положение было бы тогда более или менее аналогично положению нынешнего Китая, который не имеет своей тяжелой промышленности, не имеет своей военной промышленности, и который клюют теперь все, кому только не лень.</w:t>
      </w:r>
    </w:p>
    <w:p w14:paraId="34181B89"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Одним словом мы имели бы в таком случае военную интервенцию, не пакты о ненападении, а войну, войну опасную и смертельную, войну кровавую и неравную, ибо в этой войне мы были бы почти что безоружны перед врагами, имеющими в своем распоряжении все современные средства нападения.</w:t>
      </w:r>
    </w:p>
    <w:p w14:paraId="1BE5230D"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Вот как оборачивается дело, товарищи.</w:t>
      </w:r>
    </w:p>
    <w:p w14:paraId="407E59C1"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Ясно, что уважающая себя государственная власть, уважающая себя партия не могла стать на такую гибельную точку зрения.</w:t>
      </w:r>
    </w:p>
    <w:p w14:paraId="4A460526"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И именно потому, что партия отвергла такую антиреволюционную установку, – именно поэтому она добилась решающей победы в деле выполнения пятилетнего плана в области промышленности.</w:t>
      </w:r>
    </w:p>
    <w:p w14:paraId="7B4059F1"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Осуществляя пятилетку и организуя победу в области промышленного строительства, партия проводила политику наиболее ускоренных темпов развития промышленности. Партия как бы подхлестывала страну, ускоряя ее бег вперед.</w:t>
      </w:r>
    </w:p>
    <w:p w14:paraId="6EC77C44"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Правильно ли поступала партия, проводя политику наиболее ускоренных темпов?</w:t>
      </w:r>
    </w:p>
    <w:p w14:paraId="75F73782"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Да, безусловно правильно.</w:t>
      </w:r>
    </w:p>
    <w:p w14:paraId="28196B57"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Нельзя не подгонять страну, которая отстала на сто лет и которой угрожает из-за ее отсталости смертельная опасность. Только таким образом можно было дать стране возможность наскоро перевооружиться на базе новой техники и выйти, наконец, на широкую дорогу.</w:t>
      </w:r>
    </w:p>
    <w:p w14:paraId="7237BED8"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Далее, мы не могли знать, в какой день нападут на СССР империалисты и прервут наше строительство, а что они могли напасть в любой момент, пользуясь [c.183] технико-экономической слабостью нашей страны, – в этом не могло быть сомнения. Поэтому партия была вынуждена подхлестывать страну, чтобы не упустить времени, использовать до дна передышку и успеть создать в СССР основы индустриализации, представляющие базу его могущества. Партия не имела возможности ждать и маневрировать, и она должна была проводить политику наиболее ускоренных темпов.</w:t>
      </w:r>
    </w:p>
    <w:p w14:paraId="5FA1674B"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Наконец, партия должна была покончить в возможно короткий срок со слабостью страны в области обороны. Условия момента, рост вооружений в капиталистических странах, провал идеи разоружения, ненависть международной буржуазии к СССР, – все это толкало партию на то, чтобы форсировать дело усиления обороноспособности страны, основы ее независимости.</w:t>
      </w:r>
    </w:p>
    <w:p w14:paraId="4E0487C7"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Но имела ли партия реальную возможность осуществлять политику наиболее ускоренных темпов? Да, имела. Она имела эту возможность не только потому, что она успела вовремя раскачать страну в духе быстрого продвижения вперед, но прежде всего потому, что она могла опереться в деле широкого нового строительства на старые или обновленные заводы и фабрики, которые были уже освоены рабочими и инженерно-техническим персоналом и которые давали ввиду этого возможность осуществлять наиболее ускоренные темпы развития.</w:t>
      </w:r>
    </w:p>
    <w:p w14:paraId="1ED9CDD6"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Вот на какой основе выросли у нас в период первой пятилетки быстрый подъем нового строительства, пафос развернутого строительства, герои и ударники новостроек, практика бурных темпов развития.</w:t>
      </w:r>
    </w:p>
    <w:p w14:paraId="24BA5DD7"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Можно ли сказать, что во второй пятилетке придется проводить такую же точно политику наиболее ускоренных темпов?</w:t>
      </w:r>
    </w:p>
    <w:p w14:paraId="1CAEC571"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Нет, нельзя этого сказать.</w:t>
      </w:r>
    </w:p>
    <w:p w14:paraId="77D94CB3"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 xml:space="preserve">Во-первых, в результате успешного проведения пятилетки мы </w:t>
      </w:r>
      <w:r w:rsidRPr="00C33834">
        <w:rPr>
          <w:rStyle w:val="af0"/>
          <w:i w:val="0"/>
          <w:color w:val="000000" w:themeColor="text1"/>
          <w:sz w:val="16"/>
          <w:szCs w:val="16"/>
        </w:rPr>
        <w:t>уже выполнили</w:t>
      </w:r>
      <w:r w:rsidRPr="00C33834">
        <w:rPr>
          <w:color w:val="000000" w:themeColor="text1"/>
          <w:sz w:val="16"/>
          <w:szCs w:val="16"/>
        </w:rPr>
        <w:t xml:space="preserve"> в основном ее главную задачу – подведение базы новой современной техники под промышленность, транспорт, сельское хозяйство. Стоит ли после этого подхлестывать и подгонять страну? Ясно, что нет в этом теперь необходимости.</w:t>
      </w:r>
    </w:p>
    <w:p w14:paraId="66606842"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Во-вторых, в результате успешного выполнения пятилетки нам удалось уже поднять обороноспособность страны на должную высоту. Стоит ли после этого подхлестывать и подгонять страну? Ясно, что теперь нет в этом необходимости.</w:t>
      </w:r>
    </w:p>
    <w:p w14:paraId="1B8CA849"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Наконец, в результате успешного выполнения пятилетки нам удалось построить десятки и сотни новых больших заводов и комбинатов, имеющих новую сложную технику. Это значит, что в объеме промышленной продукции во второй пятилетке основную роль будут играть уже не старые заводы, техника которых уже освоена, как это имело место в период первой пятилетки, а новые заводы, техника которых еще не освоена и которую надо освоить. Но освоение новых предприятий и новой техники представляет гораздо больше трудностей, чем использование старых или обновленных заводов и фабрик, техника которых уже освоена. Оно требует больше времени для того, чтобы поднять квалификацию рабочих и инженерно-технического персонала и приобрести новые навыки для полного использования новой техники. Не ясно ли после всего этого, что если бы даже хотели, мы не могли бы осуществить в период второй пятилетки, особенно в первые два-три года второй пятилетки, политику наиболее ускоренных темпов развития.</w:t>
      </w:r>
    </w:p>
    <w:p w14:paraId="7E20B91B"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 xml:space="preserve">Вот почему я думаю, что для второй пятилетки нам придется ваять менее ускоренные темпы роста промышленной продукции. В период первой пятилетки ежегодный прирост промышленной продукции составлял в среднем 22%. Я думаю, что для второй пятилетки придется взять 13–14% ежегодного прироста промышленной продукции в среднем, как минимум. Для капиталистических стран такой темп прироста промышленной продукции составляет недосягаемый идеал. И не только такой темп прироста промышленной продукции, – даже 5% ежегодного среднего прироста составляет для них теперь недосягаемый идеал. Но на то они и капиталистические страны. Другое дело – Советская страна с советской системой хозяйства. При нашей системе хозяйства мы имеем полную возможность и мы должны осуществить 13–14% ежегодного прироста продукции, как </w:t>
      </w:r>
      <w:r w:rsidRPr="00C33834">
        <w:rPr>
          <w:rStyle w:val="af0"/>
          <w:i w:val="0"/>
          <w:color w:val="000000" w:themeColor="text1"/>
          <w:sz w:val="16"/>
          <w:szCs w:val="16"/>
        </w:rPr>
        <w:t>минимум</w:t>
      </w:r>
      <w:r w:rsidRPr="00C33834">
        <w:rPr>
          <w:color w:val="000000" w:themeColor="text1"/>
          <w:sz w:val="16"/>
          <w:szCs w:val="16"/>
        </w:rPr>
        <w:t>.</w:t>
      </w:r>
    </w:p>
    <w:p w14:paraId="486A30AD"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 xml:space="preserve">В период первой пятилетки мы сумели организовать энтузиазм, пафос </w:t>
      </w:r>
      <w:r w:rsidRPr="00C33834">
        <w:rPr>
          <w:rStyle w:val="af0"/>
          <w:i w:val="0"/>
          <w:color w:val="000000" w:themeColor="text1"/>
          <w:sz w:val="16"/>
          <w:szCs w:val="16"/>
        </w:rPr>
        <w:t>нового строительства</w:t>
      </w:r>
      <w:r w:rsidRPr="00C33834">
        <w:rPr>
          <w:color w:val="000000" w:themeColor="text1"/>
          <w:sz w:val="16"/>
          <w:szCs w:val="16"/>
        </w:rPr>
        <w:t xml:space="preserve"> и добились решающих успехов. Это очень хорошо. Но теперь этого недостаточно. Теперь это дело должны мы дополнить энтузиазмом, пафосом </w:t>
      </w:r>
      <w:r w:rsidRPr="00C33834">
        <w:rPr>
          <w:rStyle w:val="af0"/>
          <w:i w:val="0"/>
          <w:color w:val="000000" w:themeColor="text1"/>
          <w:sz w:val="16"/>
          <w:szCs w:val="16"/>
        </w:rPr>
        <w:t>освоения</w:t>
      </w:r>
      <w:r w:rsidRPr="00C33834">
        <w:rPr>
          <w:color w:val="000000" w:themeColor="text1"/>
          <w:sz w:val="16"/>
          <w:szCs w:val="16"/>
        </w:rPr>
        <w:t xml:space="preserve"> новых заводов и новой техники, серьезным поднятием производительности труда, серьезным сокращением себестоимости.</w:t>
      </w:r>
    </w:p>
    <w:p w14:paraId="2CDA3E08" w14:textId="77777777" w:rsidR="003628CD" w:rsidRPr="00C33834" w:rsidRDefault="003628CD" w:rsidP="00C33834">
      <w:pPr>
        <w:pStyle w:val="ae"/>
        <w:spacing w:before="0" w:after="0"/>
        <w:jc w:val="both"/>
        <w:rPr>
          <w:color w:val="000000" w:themeColor="text1"/>
          <w:sz w:val="16"/>
          <w:szCs w:val="16"/>
        </w:rPr>
      </w:pPr>
      <w:r w:rsidRPr="00C33834">
        <w:rPr>
          <w:rStyle w:val="af0"/>
          <w:i w:val="0"/>
          <w:color w:val="000000" w:themeColor="text1"/>
          <w:sz w:val="16"/>
          <w:szCs w:val="16"/>
        </w:rPr>
        <w:t>В этом теперь главное.</w:t>
      </w:r>
    </w:p>
    <w:p w14:paraId="4B8A82EF"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Ибо только на этой базе мы можем добиться того, чтобы, скажем, ко второй половине второй пятилетки взять новый мощный разбег как в области строительства, так и в области прироста промышленной продукции.</w:t>
      </w:r>
    </w:p>
    <w:p w14:paraId="1BCDF659"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Наконец, несколько слов о самих темпах развития и процентах ежегодного прироста продукции. Наши промышленники мало занимаются этим вопросом. А между  тем это очень интересный вопрос. Что такое проценты прироста продукции и что собственно кроется за каждым процентом прироста? Возьмем, например, 1925 год, период восстановительный. Годовой прирост продукции был тогда 66%. Валовая продукция промышленности составляла 7.700 миллионов рублей. 66% прироста составляло тогда в абсолютных цифрах 3 миллиарда с лишним. Стало быть, каждый процент прироста равнялся тогда 45 миллионам рублей. Возьмем теперь 1928 год. Он дал 26% прироста, т.е. почти втрое меньше в процентном отношении, чем 1925 год. Валовая продукция промышленности составляла тогда 15.500 миллионов рублей. Весь прирост на год составил в абсолютных цифрах 3.280 миллионов рублей. Стало быть, каждый процент прироста равнялся тогда 126 миллионам рублей, т.е. составлял почти втрое большую сумму, чем в 1925 году, когда мы имели 66% прироста. Возьмем, наконец, 1931 год. Он дал 22% прироста, т.е. втрое меньше, чем в 1925 году. Валовая продукция промышленности составляла тогда 30.800 миллионов рублей. Весь прирост дал в абсолютных цифрах 5.600 миллионов с лишним. Стало быть, каждый процент прироста составил свыше 250 миллионов рублей, т.е. в шесть раз больше, чем в 1925 году, когда мы имели 66% прироста, и вдвое больше, чем в 1928 году, когда мы имели 26 с лишним процентов прироста.</w:t>
      </w:r>
    </w:p>
    <w:p w14:paraId="477080E9"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О чем все это говорит? О том, что при изучении темпов прироста продукции нельзя ограничиваться рассмотрением одной лишь общей суммы процентов прироста, – надо еще знать, что скрывается за каждым процентом прироста и какова общая сумма годового прироста продукции. Мы берем, например, для 1933 года 16% прироста, т.е. в четыре раза меньше, чем в 1925 году. Но это еще не значит, что прирост продукции за этот год будет также в четыре раза меньше. Прирост продукции в 1925 году в абсолютных цифрах составил 3 миллиарда с лишним, а каждый процент равнялся 45 миллионам рублей. Нет оснований сомневаться в том, что прирост продукции в 1933 году в абсолютных цифрах при норме 16% прироста составит не менее 5 миллиардов рублей, т.е. почти вдвое больше, чем в 1925 году, а каждый процент прироста будет равняться по крайней мере 320–340 миллионам рублей, т.е. будет составлять по крайней мере в семь раз большую сумму, чем каждый процент прироста в 1925 году.</w:t>
      </w:r>
    </w:p>
    <w:p w14:paraId="420E368C"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Вот как оборачивается дело, товарищи, если рассматривать вопрос о темпах и процентах прироста конкретно.</w:t>
      </w:r>
    </w:p>
    <w:p w14:paraId="364F72C6" w14:textId="77777777" w:rsidR="003628CD" w:rsidRPr="00C33834" w:rsidRDefault="003628CD" w:rsidP="00C33834">
      <w:pPr>
        <w:pStyle w:val="ae"/>
        <w:spacing w:before="0" w:after="0"/>
        <w:jc w:val="both"/>
        <w:rPr>
          <w:color w:val="000000" w:themeColor="text1"/>
          <w:sz w:val="16"/>
          <w:szCs w:val="16"/>
        </w:rPr>
      </w:pPr>
      <w:r w:rsidRPr="00C33834">
        <w:rPr>
          <w:color w:val="000000" w:themeColor="text1"/>
          <w:sz w:val="16"/>
          <w:szCs w:val="16"/>
        </w:rPr>
        <w:t>Так обстоит дело с итогами пятилетки в четыре года в области промышленности (17277).</w:t>
      </w:r>
    </w:p>
    <w:p w14:paraId="20F2EE92" w14:textId="72D9E6D7" w:rsidR="003628CD" w:rsidRPr="00C33834" w:rsidRDefault="003628CD" w:rsidP="00C33834">
      <w:pPr>
        <w:spacing w:after="0" w:line="240" w:lineRule="auto"/>
        <w:jc w:val="both"/>
        <w:rPr>
          <w:rFonts w:ascii="Times New Roman" w:hAnsi="Times New Roman"/>
          <w:iCs/>
          <w:color w:val="000000" w:themeColor="text1"/>
          <w:sz w:val="16"/>
          <w:szCs w:val="16"/>
        </w:rPr>
      </w:pPr>
    </w:p>
    <w:p w14:paraId="2C79CD0E" w14:textId="597BE45E" w:rsidR="00AF2EC7" w:rsidRPr="00C33834" w:rsidRDefault="00AF2EC7" w:rsidP="00C33834">
      <w:pPr>
        <w:spacing w:after="0" w:line="240" w:lineRule="auto"/>
        <w:jc w:val="both"/>
        <w:rPr>
          <w:rFonts w:ascii="Times New Roman" w:hAnsi="Times New Roman"/>
          <w:i/>
          <w:color w:val="000000" w:themeColor="text1"/>
          <w:sz w:val="16"/>
          <w:szCs w:val="16"/>
        </w:rPr>
      </w:pPr>
      <w:r w:rsidRPr="00C33834">
        <w:rPr>
          <w:rFonts w:ascii="Times New Roman" w:hAnsi="Times New Roman"/>
          <w:i/>
          <w:color w:val="000000" w:themeColor="text1"/>
          <w:sz w:val="16"/>
          <w:szCs w:val="16"/>
        </w:rPr>
        <w:t>За рубежом:</w:t>
      </w:r>
    </w:p>
    <w:p w14:paraId="6D8EADEE" w14:textId="77777777" w:rsidR="00AF2EC7" w:rsidRPr="00C33834" w:rsidRDefault="00AF2EC7" w:rsidP="00C33834">
      <w:pPr>
        <w:spacing w:after="0" w:line="240" w:lineRule="auto"/>
        <w:jc w:val="both"/>
        <w:rPr>
          <w:rFonts w:ascii="Times New Roman" w:hAnsi="Times New Roman"/>
          <w:i/>
          <w:color w:val="000000" w:themeColor="text1"/>
          <w:sz w:val="16"/>
          <w:szCs w:val="16"/>
        </w:rPr>
      </w:pPr>
    </w:p>
    <w:p w14:paraId="508AFAE9" w14:textId="77777777" w:rsidR="00AF2EC7" w:rsidRPr="00C33834" w:rsidRDefault="00AF2EC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 января 1933 Bert Хинклер погибает в аварии его де Havilland Puss Moth на северном склоне Пратомаего в Италии в Апеннинах на первом этапе его попытки побить рекорд для полета из Соединенного Королевства в Австралию. Его тело не нашли до 27 апреля (20802).</w:t>
      </w:r>
    </w:p>
    <w:p w14:paraId="7EC8A7CA" w14:textId="77777777" w:rsidR="00AF2EC7" w:rsidRPr="00C33834" w:rsidRDefault="00AF2EC7" w:rsidP="00C33834">
      <w:pPr>
        <w:spacing w:after="0" w:line="240" w:lineRule="auto"/>
        <w:jc w:val="both"/>
        <w:rPr>
          <w:rFonts w:ascii="Times New Roman" w:hAnsi="Times New Roman"/>
          <w:color w:val="0070C0"/>
          <w:sz w:val="16"/>
          <w:szCs w:val="16"/>
        </w:rPr>
      </w:pPr>
    </w:p>
    <w:p w14:paraId="22B72C4F" w14:textId="77777777" w:rsidR="00095B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82BA14C" w14:textId="77777777" w:rsidR="00095B9C" w:rsidRPr="00C33834" w:rsidRDefault="00095B9C" w:rsidP="00C33834">
      <w:pPr>
        <w:spacing w:after="0" w:line="240" w:lineRule="auto"/>
        <w:jc w:val="both"/>
        <w:rPr>
          <w:rFonts w:ascii="Times New Roman" w:hAnsi="Times New Roman"/>
          <w:iCs/>
          <w:color w:val="000000" w:themeColor="text1"/>
          <w:sz w:val="16"/>
          <w:szCs w:val="16"/>
        </w:rPr>
      </w:pPr>
    </w:p>
    <w:p w14:paraId="6CD7CF3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8 января 1933 состоялось рассмотрение эскизного проекта ДИП (АНТ-29), но ЦАГИ убедить ВВС не смог, так как на тяжелой машине не обеспечивали посадочную в 90 км/час (1454,23).</w:t>
      </w:r>
    </w:p>
    <w:p w14:paraId="2E34DBA1"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3CDA6BF5"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января 1933 г. возник еще один вариант - проект ДИПа под два мотора М-34, отвечающий самым последним требованиям УВВС.</w:t>
      </w:r>
    </w:p>
    <w:p w14:paraId="226C5FE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Конструкторы возражали против этих ТТТ, поскольку летные характеристики истребителя ухудшались: скорость посадочная - 110 км/ч вместо 90, разбег- 180 м вместо 140, пробег (с тормозами) - 140 м вместо 80, пикирование под углом 75° по вертикали на протяжении 600м-вместо 500.</w:t>
      </w:r>
    </w:p>
    <w:p w14:paraId="32A73EB0"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Первоначально постройку истребителя хотели завершить к 1 декабря 1933 г. Но большое количество конструктивных изменений, вызванное частыми изменениями требований УВВС, а также передача на самолет МИ-Збис изготовленного оперения снизили готовность ДИПа до 6,5 процентов.</w:t>
      </w:r>
    </w:p>
    <w:p w14:paraId="551CBAC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работы по постройке истребителя развернулись в сентябре 1934 г. и продолжались пять месяцев. Ведущим по этим работам был старший инженер Д.Ромейко-Гурко (9538,27).</w:t>
      </w:r>
    </w:p>
    <w:p w14:paraId="4A356FA1"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7F085471" w14:textId="77777777" w:rsidR="00310B25" w:rsidRPr="00C33834" w:rsidRDefault="00310B2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января 1933 г. Технический совет ЦАГИ рассмотрел вопрос «О проекте ДИП». С со</w:t>
      </w:r>
      <w:r w:rsidRPr="00C33834">
        <w:rPr>
          <w:rFonts w:ascii="Times New Roman" w:hAnsi="Times New Roman"/>
          <w:color w:val="000000" w:themeColor="text1"/>
          <w:sz w:val="16"/>
          <w:szCs w:val="16"/>
        </w:rPr>
        <w:softHyphen/>
        <w:t>общениями выступили: помощник начальника КОСОС А.В. Надашкевич и начальник бригады № 3 КОСОС П.О. Сухой.</w:t>
      </w:r>
    </w:p>
    <w:p w14:paraId="7D9C74E6" w14:textId="77777777" w:rsidR="00310B25" w:rsidRPr="00C33834" w:rsidRDefault="00310B2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 Надашкевич остановился на тактическом значении самолёта и кратко охаракте</w:t>
      </w:r>
      <w:r w:rsidRPr="00C33834">
        <w:rPr>
          <w:rFonts w:ascii="Times New Roman" w:hAnsi="Times New Roman"/>
          <w:color w:val="000000" w:themeColor="text1"/>
          <w:sz w:val="16"/>
          <w:szCs w:val="16"/>
        </w:rPr>
        <w:softHyphen/>
        <w:t>ризовал его вооружение.</w:t>
      </w:r>
    </w:p>
    <w:p w14:paraId="763D9383" w14:textId="77777777" w:rsidR="00310B25" w:rsidRPr="00C33834" w:rsidRDefault="00310B2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 пушечное —АПК-8 100-мм, располагалась по всей длине нижней час</w:t>
      </w:r>
      <w:r w:rsidRPr="00C33834">
        <w:rPr>
          <w:rFonts w:ascii="Times New Roman" w:hAnsi="Times New Roman"/>
          <w:color w:val="000000" w:themeColor="text1"/>
          <w:sz w:val="16"/>
          <w:szCs w:val="16"/>
        </w:rPr>
        <w:softHyphen/>
        <w:t>ти фюзеляжа. Одна точка крепления АПК была неподвижной, остальные три позволя</w:t>
      </w:r>
      <w:r w:rsidRPr="00C33834">
        <w:rPr>
          <w:rFonts w:ascii="Times New Roman" w:hAnsi="Times New Roman"/>
          <w:color w:val="000000" w:themeColor="text1"/>
          <w:sz w:val="16"/>
          <w:szCs w:val="16"/>
        </w:rPr>
        <w:softHyphen/>
        <w:t>ли регулировать угол установки при монтаже. Боезапас состоял из 6 снарядов, размещённых в трубчатом магазине и 10 — в дополнительной кассете. Стрелковое во</w:t>
      </w:r>
      <w:r w:rsidRPr="00C33834">
        <w:rPr>
          <w:rFonts w:ascii="Times New Roman" w:hAnsi="Times New Roman"/>
          <w:color w:val="000000" w:themeColor="text1"/>
          <w:sz w:val="16"/>
          <w:szCs w:val="16"/>
        </w:rPr>
        <w:softHyphen/>
        <w:t xml:space="preserve">оружение — 2 неподвижных пулемёта </w:t>
      </w:r>
      <w:r w:rsidR="00FA4B7D" w:rsidRPr="00C33834">
        <w:rPr>
          <w:rFonts w:ascii="Times New Roman" w:hAnsi="Times New Roman"/>
          <w:color w:val="000000" w:themeColor="text1"/>
          <w:sz w:val="16"/>
          <w:szCs w:val="16"/>
        </w:rPr>
        <w:t>Ш</w:t>
      </w:r>
      <w:r w:rsidRPr="00C33834">
        <w:rPr>
          <w:rFonts w:ascii="Times New Roman" w:hAnsi="Times New Roman"/>
          <w:color w:val="000000" w:themeColor="text1"/>
          <w:sz w:val="16"/>
          <w:szCs w:val="16"/>
          <w:lang w:val="en-US"/>
        </w:rPr>
        <w:t>KAC</w:t>
      </w:r>
      <w:r w:rsidRPr="00C33834">
        <w:rPr>
          <w:rFonts w:ascii="Times New Roman" w:hAnsi="Times New Roman"/>
          <w:color w:val="000000" w:themeColor="text1"/>
          <w:sz w:val="16"/>
          <w:szCs w:val="16"/>
        </w:rPr>
        <w:t xml:space="preserve"> с боезапасом 2x1000 патронов устанав</w:t>
      </w:r>
      <w:r w:rsidRPr="00C33834">
        <w:rPr>
          <w:rFonts w:ascii="Times New Roman" w:hAnsi="Times New Roman"/>
          <w:color w:val="000000" w:themeColor="text1"/>
          <w:sz w:val="16"/>
          <w:szCs w:val="16"/>
        </w:rPr>
        <w:softHyphen/>
        <w:t xml:space="preserve">ливались в центроплане крыла вне зоны вращения винта и один пулемёт </w:t>
      </w:r>
      <w:r w:rsidRPr="00C33834">
        <w:rPr>
          <w:rFonts w:ascii="Times New Roman" w:hAnsi="Times New Roman"/>
          <w:color w:val="000000" w:themeColor="text1"/>
          <w:sz w:val="16"/>
          <w:szCs w:val="16"/>
          <w:lang w:val="en-US"/>
        </w:rPr>
        <w:t>LUKAC</w:t>
      </w:r>
      <w:r w:rsidRPr="00C33834">
        <w:rPr>
          <w:rFonts w:ascii="Times New Roman" w:hAnsi="Times New Roman"/>
          <w:color w:val="000000" w:themeColor="text1"/>
          <w:sz w:val="16"/>
          <w:szCs w:val="16"/>
        </w:rPr>
        <w:t xml:space="preserve"> на турели Тур-9, в кабине стрелка-радиста.</w:t>
      </w:r>
    </w:p>
    <w:p w14:paraId="33510173" w14:textId="77777777" w:rsidR="00310B25" w:rsidRPr="00C33834" w:rsidRDefault="00310B2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прениях выступил начальник отдела КОСОС А.Н. Туполев, отметивший, что «такой пушки нет ни у кого в мире. За границей, там всего 20 мм.</w:t>
      </w:r>
    </w:p>
    <w:p w14:paraId="45B1722B" w14:textId="77777777" w:rsidR="00310B25" w:rsidRPr="00C33834" w:rsidRDefault="00310B2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Идёт эта машина и идёт неприятельская машина, порядка ТБ-3, ТБ-4. С этой дистан</w:t>
      </w:r>
      <w:r w:rsidRPr="00C33834">
        <w:rPr>
          <w:rFonts w:ascii="Times New Roman" w:hAnsi="Times New Roman"/>
          <w:color w:val="000000" w:themeColor="text1"/>
          <w:sz w:val="16"/>
          <w:szCs w:val="16"/>
        </w:rPr>
        <w:softHyphen/>
        <w:t>ции (показывает на диаграмме) начинается стрельба. Снаряд разрывается и образует пучок. Если неприятельский самолёт попадает в этот пучок, то получается такое положе</w:t>
      </w:r>
      <w:r w:rsidRPr="00C33834">
        <w:rPr>
          <w:rFonts w:ascii="Times New Roman" w:hAnsi="Times New Roman"/>
          <w:color w:val="000000" w:themeColor="text1"/>
          <w:sz w:val="16"/>
          <w:szCs w:val="16"/>
        </w:rPr>
        <w:softHyphen/>
        <w:t>ние, что как бы мы ведем стрельбу дробью по уткам. Эта одна из особенностей данной машины. Поэтому понятно то внимание, которое уделяется этой машине со стороны РВС. Это есть вещь модная и тактически новая.</w:t>
      </w:r>
    </w:p>
    <w:p w14:paraId="4375A9D9" w14:textId="77777777" w:rsidR="00310B25" w:rsidRPr="00C33834" w:rsidRDefault="00310B2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Мало иметь машину, которая бы хорошо увязала систему вооружения, нужно, чтобы ма</w:t>
      </w:r>
      <w:r w:rsidRPr="00C33834">
        <w:rPr>
          <w:rFonts w:ascii="Times New Roman" w:hAnsi="Times New Roman"/>
          <w:color w:val="000000" w:themeColor="text1"/>
          <w:sz w:val="16"/>
          <w:szCs w:val="16"/>
        </w:rPr>
        <w:softHyphen/>
        <w:t>шина была увязана в системе промышленности.</w:t>
      </w:r>
    </w:p>
    <w:p w14:paraId="1401B596" w14:textId="77777777" w:rsidR="00310B25" w:rsidRPr="00C33834" w:rsidRDefault="00310B2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 машина конструировалась, параллельно с МИ-3, чтобы сохранить по возможности больше элементов. Она увязана таким образом: Отъёмная часть крыла заменена, и все машины МИ-3 идут с измененным концом крыла. Это усовершенствование сделано во время разработки. Всё крыло, начиная с фюзеляжа и включая сюда пулемётную установ</w:t>
      </w:r>
      <w:r w:rsidRPr="00C33834">
        <w:rPr>
          <w:rFonts w:ascii="Times New Roman" w:hAnsi="Times New Roman"/>
          <w:color w:val="000000" w:themeColor="text1"/>
          <w:sz w:val="16"/>
          <w:szCs w:val="16"/>
        </w:rPr>
        <w:softHyphen/>
        <w:t>ку, которая также имеется на МИ-3, моторное хозяйство и убирающиеся шасси — одина</w:t>
      </w:r>
      <w:r w:rsidRPr="00C33834">
        <w:rPr>
          <w:rFonts w:ascii="Times New Roman" w:hAnsi="Times New Roman"/>
          <w:color w:val="000000" w:themeColor="text1"/>
          <w:sz w:val="16"/>
          <w:szCs w:val="16"/>
        </w:rPr>
        <w:softHyphen/>
        <w:t>ково. — Фюзеляж мы хотели сохранить, но по мере того, как мы начиняли его хозяйством, мы увидели, что всё больше и больше элементов выпадает, и поэтому стало ясно, что фю</w:t>
      </w:r>
      <w:r w:rsidRPr="00C33834">
        <w:rPr>
          <w:rFonts w:ascii="Times New Roman" w:hAnsi="Times New Roman"/>
          <w:color w:val="000000" w:themeColor="text1"/>
          <w:sz w:val="16"/>
          <w:szCs w:val="16"/>
        </w:rPr>
        <w:softHyphen/>
        <w:t>зеляж надо делать не</w:t>
      </w:r>
      <w:r w:rsidRPr="00C33834">
        <w:rPr>
          <w:rFonts w:ascii="Times New Roman" w:hAnsi="Times New Roman"/>
          <w:color w:val="000000" w:themeColor="text1"/>
          <w:sz w:val="16"/>
          <w:szCs w:val="16"/>
        </w:rPr>
        <w:softHyphen/>
        <w:t>сколько изменённой конструкции, как это и определялось самим на</w:t>
      </w:r>
      <w:r w:rsidRPr="00C33834">
        <w:rPr>
          <w:rFonts w:ascii="Times New Roman" w:hAnsi="Times New Roman"/>
          <w:color w:val="000000" w:themeColor="text1"/>
          <w:sz w:val="16"/>
          <w:szCs w:val="16"/>
        </w:rPr>
        <w:softHyphen/>
        <w:t>чертанием и специфи</w:t>
      </w:r>
      <w:r w:rsidRPr="00C33834">
        <w:rPr>
          <w:rFonts w:ascii="Times New Roman" w:hAnsi="Times New Roman"/>
          <w:color w:val="000000" w:themeColor="text1"/>
          <w:sz w:val="16"/>
          <w:szCs w:val="16"/>
        </w:rPr>
        <w:softHyphen/>
        <w:t>ческой начинкой. Эта машина близкого буду</w:t>
      </w:r>
      <w:r w:rsidRPr="00C33834">
        <w:rPr>
          <w:rFonts w:ascii="Times New Roman" w:hAnsi="Times New Roman"/>
          <w:color w:val="000000" w:themeColor="text1"/>
          <w:sz w:val="16"/>
          <w:szCs w:val="16"/>
        </w:rPr>
        <w:softHyphen/>
        <w:t>щего. Система находит</w:t>
      </w:r>
      <w:r w:rsidRPr="00C33834">
        <w:rPr>
          <w:rFonts w:ascii="Times New Roman" w:hAnsi="Times New Roman"/>
          <w:color w:val="000000" w:themeColor="text1"/>
          <w:sz w:val="16"/>
          <w:szCs w:val="16"/>
        </w:rPr>
        <w:softHyphen/>
        <w:t>ся в производстве и ско</w:t>
      </w:r>
      <w:r w:rsidRPr="00C33834">
        <w:rPr>
          <w:rFonts w:ascii="Times New Roman" w:hAnsi="Times New Roman"/>
          <w:color w:val="000000" w:themeColor="text1"/>
          <w:sz w:val="16"/>
          <w:szCs w:val="16"/>
        </w:rPr>
        <w:softHyphen/>
        <w:t>ро будет нам дана. В технических требованиях имеется целый ряд вза</w:t>
      </w:r>
      <w:r w:rsidRPr="00C33834">
        <w:rPr>
          <w:rFonts w:ascii="Times New Roman" w:hAnsi="Times New Roman"/>
          <w:color w:val="000000" w:themeColor="text1"/>
          <w:sz w:val="16"/>
          <w:szCs w:val="16"/>
        </w:rPr>
        <w:softHyphen/>
        <w:t>имных противоречий» (15823).</w:t>
      </w:r>
    </w:p>
    <w:p w14:paraId="20A00779" w14:textId="77777777" w:rsidR="00310B25" w:rsidRPr="00C33834" w:rsidRDefault="00310B25" w:rsidP="00C33834">
      <w:pPr>
        <w:spacing w:after="0" w:line="240" w:lineRule="auto"/>
        <w:jc w:val="both"/>
        <w:rPr>
          <w:rFonts w:ascii="Times New Roman" w:hAnsi="Times New Roman"/>
          <w:color w:val="000000" w:themeColor="text1"/>
          <w:sz w:val="16"/>
          <w:szCs w:val="16"/>
        </w:rPr>
      </w:pPr>
    </w:p>
    <w:p w14:paraId="364B677A" w14:textId="77777777" w:rsidR="0072397D" w:rsidRPr="00C33834" w:rsidRDefault="0072397D"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8 января 1933 года Технический совет ЦАГИ рассмотрел вопрос «О проекте ДИП». С сообщениями выступили: помощник начальника КОСОС А. В. Надашкевич и начальник бригады №3 КОСОС П. О. Сухой.</w:t>
      </w:r>
    </w:p>
    <w:p w14:paraId="05CD87D8" w14:textId="77777777" w:rsidR="0072397D" w:rsidRPr="00C33834" w:rsidRDefault="0072397D"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А. В. Надашкевич остановился на тактическом значении самолета и кратко охарактеризовал его вооружение.</w:t>
      </w:r>
    </w:p>
    <w:p w14:paraId="38E118C0" w14:textId="77777777" w:rsidR="0072397D" w:rsidRPr="00C33834" w:rsidRDefault="0072397D"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Павел Осипович в своем выступлении отметил, что:</w:t>
      </w:r>
    </w:p>
    <w:p w14:paraId="2E7F48D4" w14:textId="77777777" w:rsidR="0072397D" w:rsidRPr="00C33834" w:rsidRDefault="0072397D"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 Самолет имеет полезную нагрузку 1180 кг и запас горючего, обеспечивающий радиус действия в 300 км при 5000 метров высоты. Максимальная скорость 325 км/ч. Время подъема (на 5000 м – примеч. автора) при нормальном пользовании газом 15-18 минут. Практический потолок – 8000 метров и посадочная скорость 90 км/ч. Тактические свойства самолета требуют, чтобы при выполнении летных данных учитывалась нижеследующая по важности их последовательность: скорость, скороподъемность, потолок и маневренность.</w:t>
      </w:r>
    </w:p>
    <w:p w14:paraId="6419C701" w14:textId="77777777" w:rsidR="0072397D" w:rsidRPr="00C33834" w:rsidRDefault="0072397D"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Прежде всего, требуется большая скорость. Она определяет схему машины. Большую летную скорость мы можем достигнуть при наличии моноплана. Поэтому схема данного типа самолета была утверждена монопланная. Поскольку самолет делается на высочайшие требования, постольку это определяет и количество моторов, которые должен иметь самолет. Поэтому, в конечном счете, мы получаем монопланное крыло с фюзеляжем по середине и с двумя моторами по сторонам фюзеляжа. Сама пушка располагается внутри фюзеляжа таким образом, что снаряды вылетают впереди, а отходящий газ выходит сзади.</w:t>
      </w:r>
    </w:p>
    <w:p w14:paraId="4BF450F9" w14:textId="77777777" w:rsidR="0072397D" w:rsidRPr="00C33834" w:rsidRDefault="0072397D"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Эта система связывает нас и в дальнейшем ходе проектирования, отражающемся на оперении и общем размещении. Крыло машины трехлонжеронное, типа МИ-3. Несущая поверхность его имеет – 58,3 м². По всем прикидкам и по тем полезным нагрузкам, которые были заданы, мы получаем вес машины в 4900 кг. Таким образом, при этой несущей поверхности получается, что нагрузка на м² равна 84 кг. Машина с мотором без импеллера (как это, вероятно, будет с первой машиной) будет легче на 100 кг. Таким образом, вес будет 4800 кг, нагрузка – 82,5 кг.</w:t>
      </w:r>
    </w:p>
    <w:p w14:paraId="76D3319A" w14:textId="77777777" w:rsidR="0072397D" w:rsidRPr="00C33834" w:rsidRDefault="0072397D"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Что получается с точки зрения летных характеристик, если мы посмотрим те требования, которые даны правительством. При сравнении машины с моторами без импеллеров мы технические требования не выполним, и для выполнения их должны иметь мотор М-34 с импеллером. При этом моторе данные, которые мы будем иметь – расчетные данные – будут такого рода: на 5000 м мы будем иметь скорость порядка 330 км/ч, т.е. примерно у нас имеется некоторое превышение по сравнению с теми требованиями, которые нам даны. Время подъема на 5000 м выдерживается при моторе с импеллером. При тех данных, которые нам гарантирует ЦИАМ, может быть снижение до 10 минут. Но, повторяю, мы имеем пока только расчетные данные.</w:t>
      </w:r>
    </w:p>
    <w:p w14:paraId="1F22D649" w14:textId="77777777" w:rsidR="0072397D" w:rsidRPr="00C33834" w:rsidRDefault="0072397D"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Потолок для мотора с импеллером выдерживается порядка 8500 м. Несколько хуже дело с посадочной скоростью. Посадочная скорость будет порядка 110 км/ч, вместо 90 км/ч, которые даны в технических требованиях. Для уменьшения посадочной скорости, казалось бы, можно было идти по пути уменьшения нагрузки на один квадратный метр, но это не желательно в связи с развитием площади и размера машины, а следовательно и понижения максимальной скорости.</w:t>
      </w:r>
    </w:p>
    <w:p w14:paraId="16837362" w14:textId="77777777" w:rsidR="0072397D" w:rsidRPr="00C33834" w:rsidRDefault="0072397D"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Если дальше просматривать требования в смысле полетных качеств, то мы должны отметить, прежде всего, то, что с нас требуют, чтобы самолет допускал пикирование под углом 75°. Требование довольно тяжелое. Затем требуют, чтобы при установке стабилизатора на угол, соответствующий эксплуатационной скорости на боевой высоте, переход на любой режим, включая посадку, не должен вызывать давление на ручку более 5 кг. Надо сказать, что для машины такой размерности чрезвычайно трудно получить это давление даже при самой хорошей компенсации.</w:t>
      </w:r>
    </w:p>
    <w:p w14:paraId="4BEE274E" w14:textId="77777777" w:rsidR="0072397D" w:rsidRPr="00C33834" w:rsidRDefault="0072397D"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С нас требуют чрезвычайно малого давления на ручку до 2 кг при всех фигурах и небольшое давление на ногу – до 5 кг.</w:t>
      </w:r>
    </w:p>
    <w:p w14:paraId="0A66B7BA" w14:textId="77777777" w:rsidR="0072397D" w:rsidRPr="00C33834" w:rsidRDefault="0072397D"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Что касается остальных требований, то в основном они не вызывают сомнений. Если нужно будет, то я отвечу на это в ответах на вопросы, а сейчас останавливаться не буду.</w:t>
      </w:r>
    </w:p>
    <w:p w14:paraId="21A30CA0" w14:textId="77777777" w:rsidR="0072397D" w:rsidRPr="00C33834" w:rsidRDefault="0072397D"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Обращаясь к конструкции, нужно отметить следующее: крыло металлическое трехлонжеронное, фюзеляж типа монокок, в котором размещаются два человека. Летчик снабжен прицелом и неподвижными пулеметами, расположенными в крыле.</w:t>
      </w:r>
    </w:p>
    <w:p w14:paraId="0728167E" w14:textId="77777777" w:rsidR="0072397D" w:rsidRPr="00C33834" w:rsidRDefault="0072397D"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Что касается обстрела задней и нижней полусферы, то они полностью не достигаются. Имеется мертвое пространство, полученное от самого фюзеляжа. Сравнительно небольшой величины, потому что пулеметы могут быть установлены отвесно вниз. Конструкция фюзеляжа дает достаточно пространства для работы наблюдателя, но размещение самой системы как раз у него между ногами, вызывает известное неудобство. Могут возникнуть разговоры относительно расположения системы в фюзеляже. Дело в том, что самый калибр обуславливал необходимость размещения орудия таким образом, чтобы отходящие газы не проходили мимо каких-либо частей самолета, т.к. до сих пор опыты показали, что, несмотря на достаточную толщину обшивки, она разрушалась. Поэтому наиболее рациональным размещением данного орудия является помещение его внутри фюзеляжа, с отводом газов за оперение.</w:t>
      </w:r>
    </w:p>
    <w:p w14:paraId="27F39460" w14:textId="77777777" w:rsidR="0072397D" w:rsidRPr="00C33834" w:rsidRDefault="0072397D"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Оперение мы вынуждены были из-за отходящих газов поднять выше фюзеляжа. … Это сделано с таким расчетом, чтобы вынести его за пределы влияния крыла. …»</w:t>
      </w:r>
    </w:p>
    <w:p w14:paraId="468FEDFB" w14:textId="77777777" w:rsidR="0072397D" w:rsidRPr="00C33834" w:rsidRDefault="0072397D"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Далее последовали ответы вопросы присутствующих. Отвечая на вопрос, как использовалась схема самолета МИ-3, Павел Осипович подчеркнул что:</w:t>
      </w:r>
    </w:p>
    <w:p w14:paraId="1AA99E7D" w14:textId="77777777" w:rsidR="0072397D" w:rsidRPr="00C33834" w:rsidRDefault="0072397D"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«От МИ-3 взято крыло, но за счет наращивания концевых обтекателей увеличены его несущая поверхность и размах. Фюзеляж и центральная часть крыла, примыкающая к нему изменены.</w:t>
      </w:r>
    </w:p>
    <w:p w14:paraId="7831CEE3" w14:textId="77777777" w:rsidR="0072397D" w:rsidRPr="00C33834" w:rsidRDefault="0072397D"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 Как и на МИ-3 имеется шасси, убирающееся назад, таким образом, что колесо до половины прячется между лонжеронами крыла, причем остальная половина колеса хорошо закрываются капотом радиатора. Выступают только небольшие части покрышки. Колеса тормозные».</w:t>
      </w:r>
    </w:p>
    <w:p w14:paraId="29DAE47C" w14:textId="77777777" w:rsidR="0072397D" w:rsidRPr="00C33834" w:rsidRDefault="0072397D"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В прениях выступил начальник отдела КОСОС А. Н. Туполев, он отметил, что:</w:t>
      </w:r>
    </w:p>
    <w:p w14:paraId="4D7C3300" w14:textId="77777777" w:rsidR="0072397D" w:rsidRPr="00C33834" w:rsidRDefault="0072397D"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«Такой пушки нет ни у кого в мире. За границей, там всего 20 мм.</w:t>
      </w:r>
    </w:p>
    <w:p w14:paraId="30BD6B8E" w14:textId="77777777" w:rsidR="0072397D" w:rsidRPr="00C33834" w:rsidRDefault="0072397D"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Идет эта машина и идет неприятельская машина, порядка ТБ-3, ТБ-4. С этой дистанции </w:t>
      </w:r>
      <w:r w:rsidRPr="00C33834">
        <w:rPr>
          <w:color w:val="000000" w:themeColor="text1"/>
          <w:sz w:val="16"/>
          <w:szCs w:val="16"/>
          <w:bdr w:val="none" w:sz="0" w:space="0" w:color="auto" w:frame="1"/>
        </w:rPr>
        <w:t>(показывает на диаграмме)</w:t>
      </w:r>
      <w:r w:rsidRPr="00C33834">
        <w:rPr>
          <w:rStyle w:val="af0"/>
          <w:i w:val="0"/>
          <w:color w:val="000000" w:themeColor="text1"/>
          <w:sz w:val="16"/>
          <w:szCs w:val="16"/>
          <w:bdr w:val="none" w:sz="0" w:space="0" w:color="auto" w:frame="1"/>
        </w:rPr>
        <w:t> начинается стрельба. Снаряд разрывается и образует пучок. Если неприятельский самолет попадает в этот пучок, то получается такое положение, что как бы мы ведем стрельбу дробью по уткам. Эта одна из особенностей данной машины.</w:t>
      </w:r>
    </w:p>
    <w:p w14:paraId="6DD3F748" w14:textId="77777777" w:rsidR="0072397D" w:rsidRPr="00C33834" w:rsidRDefault="0072397D"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Поэтому понятно то внимание, которое уделяется этой машине со стороны РВС. Это есть вещь модная и тактически новая.</w:t>
      </w:r>
    </w:p>
    <w:p w14:paraId="77C2770B" w14:textId="77777777" w:rsidR="0072397D" w:rsidRPr="00C33834" w:rsidRDefault="0072397D"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Мало иметь машину, которая бы хорошо увязала систему вооружения, нужно, чтобы машина была увязана в системе промышленности.</w:t>
      </w:r>
    </w:p>
    <w:p w14:paraId="7A5DE4CB" w14:textId="77777777" w:rsidR="0072397D" w:rsidRPr="00C33834" w:rsidRDefault="0072397D"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 xml:space="preserve">Эта машина конструировалась параллельно с МИ-3, чтобы сохранить по возможности больше элементов. Она увязана таким образом: Отъемная часть крыла заменена, и все машины МИ-3 идут с измененным концом крыла. Это усовершенствование сделано во время разработки. Все крыло, начиная с фюзеляжа и включая сюда пулеметную установку, которая также имеется на МИ-3, моторное хозяйство и убирающиеся шасси – одинаково. … Фюзеляж мы хотели сохранить, но по мере того, </w:t>
      </w:r>
      <w:r w:rsidRPr="00C33834">
        <w:rPr>
          <w:rStyle w:val="af0"/>
          <w:i w:val="0"/>
          <w:color w:val="000000" w:themeColor="text1"/>
          <w:sz w:val="16"/>
          <w:szCs w:val="16"/>
          <w:bdr w:val="none" w:sz="0" w:space="0" w:color="auto" w:frame="1"/>
        </w:rPr>
        <w:lastRenderedPageBreak/>
        <w:t>как мы начиняли его хозяйством, мы увидели, что все больше и больше элементов выпадает, и поэтому стало ясно, что фюзеляж надо делать несколько измененной конструкции, как это и определялось самим начертанием и специфической начинкой.</w:t>
      </w:r>
    </w:p>
    <w:p w14:paraId="7F1F2D10" w14:textId="77777777" w:rsidR="0072397D" w:rsidRPr="00C33834" w:rsidRDefault="0072397D"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Эта машина близкого будущего. Система находится в производстве и скоро будет нам дана.</w:t>
      </w:r>
    </w:p>
    <w:p w14:paraId="6A10BF9D" w14:textId="77777777" w:rsidR="0072397D" w:rsidRPr="00C33834" w:rsidRDefault="0072397D"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В технических требованиях имеется целый ряд взаимных противоречий. …» (19175).</w:t>
      </w:r>
    </w:p>
    <w:p w14:paraId="1F93CD2B" w14:textId="77777777" w:rsidR="0072397D" w:rsidRPr="00C33834" w:rsidRDefault="0072397D" w:rsidP="00C33834">
      <w:pPr>
        <w:pStyle w:val="ae"/>
        <w:shd w:val="clear" w:color="auto" w:fill="FFFFFF"/>
        <w:spacing w:before="0" w:after="0"/>
        <w:jc w:val="both"/>
        <w:textAlignment w:val="baseline"/>
        <w:rPr>
          <w:color w:val="000000" w:themeColor="text1"/>
          <w:sz w:val="16"/>
          <w:szCs w:val="16"/>
        </w:rPr>
      </w:pPr>
    </w:p>
    <w:p w14:paraId="0432AA0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января 1933 года и.о. начальника Осконпробюро Бицкий писал письмо № 6с начальнику ВВС</w:t>
      </w:r>
    </w:p>
    <w:p w14:paraId="26B10231"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Доношу, что сего числа начальник ОКПБ Гроховский заболел нервным расстройством и я вступил во временное исполнение его обязанностей.</w:t>
      </w:r>
    </w:p>
    <w:p w14:paraId="6FADE81E"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для дальнейшего существования ОКПБ до сих пор отсутствует план работы на 1933 год и утверждение его затягивается, отсутствуют средства на уплату жалования инженерно-техническому составу Бюро и рабочим Экспериментального завода, так как последний находится в состоянии простоя, так как 1933 год уже наступил, а завод задачи не имеет, прием же заказов со стороны связан с жесткими сроками исполнения с последующими неустойками в случае переключения производства по прямому назначению. Ввиду отсутствия квартир летно-технический состав живет в канцеляриях Бюро, что нарушает секретность, а также не дает возможности сдачи помещения по окончании работ под охрану караула. Военный квартирный отдел в помещениях отказал.</w:t>
      </w:r>
    </w:p>
    <w:p w14:paraId="7DAEAA53"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Прошу Вашего немедленного указания:</w:t>
      </w:r>
    </w:p>
    <w:p w14:paraId="30C933DB" w14:textId="77777777" w:rsidR="00095B9C" w:rsidRPr="00C33834" w:rsidRDefault="00095B9C" w:rsidP="00C33834">
      <w:pPr>
        <w:numPr>
          <w:ilvl w:val="0"/>
          <w:numId w:val="2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Производить ли выплату зарплаты вольнонаемному инженерно-техническому составу Бюро за январь 1933 года или произвести увольнение их.</w:t>
      </w:r>
    </w:p>
    <w:p w14:paraId="31D71C38" w14:textId="77777777" w:rsidR="00095B9C" w:rsidRPr="00C33834" w:rsidRDefault="00095B9C" w:rsidP="00C33834">
      <w:pPr>
        <w:numPr>
          <w:ilvl w:val="0"/>
          <w:numId w:val="2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какой срок переключить производство экспериментального завода на частные заказы.</w:t>
      </w:r>
    </w:p>
    <w:p w14:paraId="24626B02" w14:textId="77777777" w:rsidR="00095B9C" w:rsidRPr="00C33834" w:rsidRDefault="00095B9C" w:rsidP="00C33834">
      <w:pPr>
        <w:numPr>
          <w:ilvl w:val="0"/>
          <w:numId w:val="2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Куда разместить, проживающий в канцеляриях летно-технический состав в количестве 8 человек (7486, 49).</w:t>
      </w:r>
    </w:p>
    <w:p w14:paraId="6EAFFD52" w14:textId="77777777" w:rsidR="00095B9C" w:rsidRPr="00C33834" w:rsidRDefault="00095B9C" w:rsidP="00C33834">
      <w:pPr>
        <w:tabs>
          <w:tab w:val="left" w:pos="360"/>
        </w:tabs>
        <w:spacing w:after="0" w:line="240" w:lineRule="auto"/>
        <w:jc w:val="both"/>
        <w:rPr>
          <w:rFonts w:ascii="Times New Roman" w:hAnsi="Times New Roman"/>
          <w:color w:val="000000" w:themeColor="text1"/>
          <w:sz w:val="16"/>
          <w:szCs w:val="16"/>
        </w:rPr>
      </w:pPr>
    </w:p>
    <w:p w14:paraId="70962B92"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января 1933 С.П.К. предложил на заседании Президиума ЦС ОХА издавать ежемесячный журнал "Советская ракета" объемом 2,5-3 печ.л. и тиражом 5 тыс. экз. Предложение было принято. Выделены 28 тыс.р. Утверждена редколлегия, в состав которой вошел СПК. Издание осуществлено не было (ЦГАОР, ф. 8355, № 75(1), л. 21) (10676).</w:t>
      </w:r>
    </w:p>
    <w:p w14:paraId="4C1278C0"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7BAF2933" w14:textId="77777777" w:rsidR="00095B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9CC865D" w14:textId="77777777" w:rsidR="00095B9C" w:rsidRPr="00C33834" w:rsidRDefault="00095B9C" w:rsidP="00C33834">
      <w:pPr>
        <w:spacing w:after="0" w:line="240" w:lineRule="auto"/>
        <w:jc w:val="both"/>
        <w:rPr>
          <w:rFonts w:ascii="Times New Roman" w:hAnsi="Times New Roman"/>
          <w:iCs/>
          <w:color w:val="000000" w:themeColor="text1"/>
          <w:sz w:val="16"/>
          <w:szCs w:val="16"/>
        </w:rPr>
      </w:pPr>
    </w:p>
    <w:p w14:paraId="064B4294" w14:textId="77777777" w:rsidR="00095B9C" w:rsidRPr="00C33834" w:rsidRDefault="00095B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января 1933 5 танков ТТ-18 (телеуправляемый танк - индекс, присвоенный в 1934) были переданы на испытания в специальный отряд N 4 ЛВО вместе с телеуправляемыми ТТ-26 и ТТ-27. Выбирали для дальнейшего серийного производства. Испытания продолжались 8 дней и были повторены в октябре 1933. ТТ-18, на котором стояла 16 командная аппаратура системы Остехбюро 1932 дальностью до 1.5 км (реально 500-1000 в хорошую погоду), не прошел (4243,25).</w:t>
      </w:r>
    </w:p>
    <w:p w14:paraId="1045E25D" w14:textId="77777777" w:rsidR="00095B9C" w:rsidRPr="00C33834" w:rsidRDefault="00095B9C" w:rsidP="00C33834">
      <w:pPr>
        <w:spacing w:after="0" w:line="240" w:lineRule="auto"/>
        <w:jc w:val="both"/>
        <w:rPr>
          <w:rFonts w:ascii="Times New Roman" w:hAnsi="Times New Roman"/>
          <w:color w:val="000000" w:themeColor="text1"/>
          <w:sz w:val="16"/>
          <w:szCs w:val="16"/>
        </w:rPr>
      </w:pPr>
    </w:p>
    <w:p w14:paraId="6409BEE8" w14:textId="77777777" w:rsidR="00095B9C" w:rsidRPr="00C33834" w:rsidRDefault="00095B9C"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8 января 1933 г. состоялось выступление по докладу И.В.Сталина «Итоги первой пятилетки и народнохозяйственный план 1933 г.»</w:t>
      </w:r>
    </w:p>
    <w:p w14:paraId="64EDC22A" w14:textId="77777777" w:rsidR="00095B9C" w:rsidRPr="00C33834" w:rsidRDefault="00095B9C"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Из стенограммы объединенного пленума ЦК и ЦКК ВКП(б) 7-12 января 1933 г.</w:t>
      </w:r>
    </w:p>
    <w:p w14:paraId="103EB714" w14:textId="77777777" w:rsidR="00095B9C" w:rsidRPr="00C33834" w:rsidRDefault="00095B9C"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Мы имеем величайшие политические и хозяйственные достижения в итоге победоносного выполнения первой пятилетки. В области топлива, в частности, в ценностном выражении, выполнение плана первой пятилетки по всем видам топлива достигает 99%. Если же мы переведем все виды топлива в условное топливо, то пятилетка по топливу выполнена на 97%. Достижения грандиозные. Это выполнение плана доказывает, насколько были неверны часто повторявшиеся и в наше время установки буржуазных экономистов о том, что наша страна имеет органический дефицит в топливном балансе и что мы и на будущее время от этого органического дефицитного топливного баланса не избавимся.</w:t>
      </w:r>
    </w:p>
    <w:p w14:paraId="51022A5E" w14:textId="77777777" w:rsidR="00095B9C" w:rsidRPr="00C33834" w:rsidRDefault="00095B9C"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Однако, выполнив пятилетку по топливу, мы сейчас должны обратить большое внимание на ряд опасных симптомов в каменноугольной и нефтяной промышленности. Необходимо не только отмечать величайшие успехи, которых мы достигли, выполнив первую пятилетку, но нужно вскрывать и те дефекты, которые выявились при выполнении плана и по углю и по нефти. По нефти пятилетка выполнена в 2,5 года. Это блестящая победа! Но, выполнив пятилетку в 2,5 года, мы в остальные 1 г. и 9 месяцев дали прирост по нефтяной промышленности всего на 2,5 процента. </w:t>
      </w:r>
    </w:p>
    <w:p w14:paraId="5B204983" w14:textId="77777777" w:rsidR="00095B9C" w:rsidRPr="00C33834" w:rsidRDefault="00095B9C"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Вы понимаете, насколько опасна такая стабилизация добычи, когда у нас необычайно быстро растет тракторный парк, когда авто- и танкостроение идет бурными темпами, развивается экспорт. Необходимо обратить самое серьезное внимание на положение нефтяной промышленности</w:t>
      </w:r>
    </w:p>
    <w:p w14:paraId="00B11FFA" w14:textId="77777777" w:rsidR="00095B9C" w:rsidRPr="00C33834" w:rsidRDefault="00095B9C"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Если обратимся к нашему каменноугольному фронту, то здесь имеются грандиозные достижения. Так же, как и в нефтяной промышленности, проведена реконструкция, применяются последние новейшие технические методы. Несоменно, здесь имеются такие грандиозные сдвиги, которыми не может похвастаться ни одна капиталистическая страна за такой короткий период. Но каменноугольная промышленность полностью плана пятилетки в 4 года не выполнила. Рассматривая работу Донбасса, мы должны будем обратить внимание на то, что за последние 3 года средний годовой прирост по Донбассу выражался количественно в 4 млн. тонн добычи в год. Для выполнения предварительной наметки добычи во второй пятилетке по Донбассу в пределах 85 миллионов тонн, этот прирост в 4 млн. тонн нас никак не может удовлетворить. Тем более он никак не может нас удовлетворить потому, что мы уже сейчас вложили в Донецкий бассейн около 900 млн. рублей в капитальное строительство против плана первой пятилетки в 700 млн. рублей, т.е. значительно перевыполнили этот план. Мы сейчас можем требовать от Донбасса, чтобы он дал нам такие темпы, которые обеспечивали бы возможность во второй пятилетке полностью ликвидировать дефицит в нашем топливном балансе.</w:t>
      </w:r>
    </w:p>
    <w:p w14:paraId="26247730" w14:textId="77777777" w:rsidR="00095B9C" w:rsidRPr="00C33834" w:rsidRDefault="00095B9C"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Общее количество новых шахт, без реконструируемых, находившихся в стройке, по данным Главтопа, составляет 319, мощностью около 220 млн. тонн. Если мы введем всю их мощность, то с лихвой покроем все задания по второй пятилетке. Однако, если присмотреться к тому, как пускаются в действие эти новые шахты, то необходимо отметить ряд вопиющих явлений, которых не должно быть у нас. Прежде всего надо отметить, что ряд шахт, которые мы считаем пущенными, на самом деле дают всего процентов 20-60 их проектной мощности, и почти ни одна из крупных пущенных шахт в Донбассе и Кузбассе не дает добычи, близкой к проектной мощности. Пусковой период длится течение полутора-двух лет, и все же до этой проектной мощности так и не дошли.</w:t>
      </w:r>
    </w:p>
    <w:p w14:paraId="5FFD3D36" w14:textId="77777777" w:rsidR="00095B9C" w:rsidRPr="00C33834" w:rsidRDefault="00095B9C"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Приведу пример. Возьмем такую крупную шахту Рутченковского района, как шахта 17-бис. Она уже в прошлом году считалась пущенной. Между тем эта шахта при проектной суточной добыче в 4 тыс. тонн дает лишь около 350 тонн. Шахта «Карл» пущена в эксплуатацию 1,5 года тому назад, дает сейчас лишь 20% проектной мощности. Шахта «Американка» в Донбассе 3 года не выходит из положения новостройки. Шахта № 8-А в Горловке - громадная шахта - дает несколько процентов от проектной мощности. </w:t>
      </w:r>
    </w:p>
    <w:p w14:paraId="11221E9E" w14:textId="77777777" w:rsidR="00095B9C" w:rsidRPr="00C33834" w:rsidRDefault="00095B9C"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Каково положение в Кузбассе? Возьмем в Кузбассе такую шахту, как шахта № 5-6 мощностью в 1,5 млн. тонн. Глубина шахты 80 метров, она должна быть законченной в 1,5 года. Сейчас прошло 3 года, шахта пущена в эксплуатацию, но вместо суточной добычи в 5 тыс. тонн она дает 1 тыс. тонн. Эти шахты пущены в эксплуатацию. Но у нас громадное большинство шахт строится, причем строится по 5-7 лет - это чрезвычайно, скорее, невероятно длительный срок. В практике нашей каменноугольной промышленности установился такой порядок, что для того, чтобы довести новые шахты-новостройки до пускового периода, а потом после пускового периода до близких к проекту цифр добычи, нужно чуть не 10 лет. Это совершенно невозможное положение. С ним нужно во что бы то ни стало покончить. Прежде в Донбассе крупными шахтами считались шахты в 200-300 тыс. тонн годовой добычи. Теперь мы переходим на тип гораздо более крупных шахт - часто свыше миллиона тонн, примеров которых в прежней практике Донбасса и других районов не было. </w:t>
      </w:r>
    </w:p>
    <w:p w14:paraId="64FD5509" w14:textId="77777777" w:rsidR="00095B9C" w:rsidRPr="00C33834" w:rsidRDefault="00095B9C"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Однако строительство этих гигантов протекает таким образом, что освоить эти шахты в небольшой промежуток времени после пуска мы не могли и не можем. Из 319 новостроек - шахт с добычей свыше 1 миллиона тонн проектной мощности каждая - 73 шахты. Каждый район хочет обязательно строить шахты-гиганты, и не одну, а сразу целую пачку, и в результате они не могут быть вовремя освоены, строительство растягивается на долгие годы, часто проекты не считаются с возможностью нашего машиностроения. Такие случаи имеются в Кузбассе, где ряд шахт-гигантов по 1,5 млн. тонн рассчитаны на такой тип скипового подъема, который наши заводы никогда не изготовляли и пока не могут изготовить (шахты № 5-6, 105, № 7, 8, 9 на Прокопьевском руднике Кузбасса), в результате одни из них идут на временных клетях и дают 20% мощности, на других, которые вступают в строй, также приходится устанавливать временный клетевой подъем. В этом отношении мы имеем ряд разрывов, которых нам нужно во что бы то ни стало избежать во второй пятилетке. Нужно уже в 1938 году сосредоточить все внимание на основных пусковых крупных объектах, направляя на них главную массу материально-технического снабжения, людей и т.д. </w:t>
      </w:r>
    </w:p>
    <w:p w14:paraId="65B4189A" w14:textId="77777777" w:rsidR="00095B9C" w:rsidRPr="00C33834" w:rsidRDefault="00095B9C"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Возьмем пример из другого, мощного района - Урала. Там заложена 6 лет тому назад шахта № 1, тоже шахта-гигант. Теперь, когда с величайшими затруднениями в течение 5-6 лет прошли шахту до пласта, обнаружилось, что одно крыло этой шахты расположено под жел.-дор. магистралью, в результате приходится это крыло отсекать - это на Урале, где нам дорога каждая тонна угля.</w:t>
      </w:r>
    </w:p>
    <w:p w14:paraId="4920C015" w14:textId="77777777" w:rsidR="00095B9C" w:rsidRPr="00C33834" w:rsidRDefault="00095B9C"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Перехожу к вопросу о производительности труда в каменноугольной промышленности. В прежнее время, в 1913 году, производительность на одного трудящегося вместе со служащим и рабочим равнялась 13,7%, а в 1932 г. мы имеем те же 13% с небольшим, т.е. фактически производительность труда в каменноугольной промышленности, несмотря на гигантские вложения, несмотря на механизацию, осталась на уровне 1913 г., на уровне недопустимо низком. Поэтому упор тезисов на необходимость во что бы то ни стало в ближайшиц 1933 г. и во всей второй пятилетке сдвинуть вопрос производительности труда с мертвой точки, как никогда и нигде, актуален.</w:t>
      </w:r>
    </w:p>
    <w:p w14:paraId="0875D44D" w14:textId="77777777" w:rsidR="00095B9C" w:rsidRPr="00C33834" w:rsidRDefault="00095B9C"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Мы добились гигантских успехов в области механизации, главным образом механизации подрубки, но механизация всего комплекса работ, о чем говорила комиссия тов. Молотова, отстает неимоверно. За какое основное звено надо еще ухватиться? Это, в первую очередь, подземный транспорт. Ведь протяжение всех подземных дорог в шахтах Донбасса большее, чем расстояние от Москвы до Ленинграда. Пока еще мы тащимся на лошадином транспорте, откатка механизирована всего на несколько процентов.</w:t>
      </w:r>
    </w:p>
    <w:p w14:paraId="2B5E4C51" w14:textId="77777777" w:rsidR="00095B9C" w:rsidRPr="00C33834" w:rsidRDefault="00095B9C"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lastRenderedPageBreak/>
        <w:t xml:space="preserve">Перехожу к вопросу о нефти. Вы знаете, что в последний год добыча стабилизировалась. К чему это приводит? В результате этого на будущий 1933 г. против добычи этого года, против 22 с небольшим млн. тонн, мы имеем программу в 24,5 млн. тонн. При этих условиях невозможно сверстать без дефицита баланс в области нефтетоплива. Если мы не примем каких-то героических решений в этой области, мы будем иметь дефицит нефтетоплива в 1933 г. в 2 млн. тонн. Прогресс в области переработки идет: у нас с каждым годом происходит более глубокий отбор нефтепродуктов, мы больше отбираем от каждой тонны бензина, керосина и других светлых продуктов и меньше остается мазута. И поэтому на 1933 г. у нас дефицит мазута - 2 млн. тонн, если добыча останется в 24 млн. тонн. Особенно тяжела будет зима 1933-1934 гг. Не лучше и по керосину. Керосин - это наше главное топливо для тракторов. Дефицит по керосину на 1933 г. достигает около 900 тыс. тонн. Это или отразится на экспорте, или на внутреннем рынке, или, наконец, на тракторном парке. Вы прекрасно понимаете, насколько тяжелы эти цифры. И нам нужно во что бы то ни стало найти возможность для увеличения программы, для увеличения добычи, для того, чтобы уже в 1933 г. справиться с этим. </w:t>
      </w:r>
    </w:p>
    <w:p w14:paraId="5BA277B2" w14:textId="77777777" w:rsidR="00095B9C" w:rsidRPr="00C33834" w:rsidRDefault="00095B9C"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Уже теперь мы должны поставить,себе ясно задачу в области нефтедобычи на 1934 г. Мы не можем выйти с программой по нефтетопливу меньше, чем в 30 млн.тонн. К этому надо во что бы то ни стало подготовиться. Если мы выйдем с меньшей программой, мы будем испытывать большие затруднения. Почему мы испытываем такие затруднения с нефтью? Основное, это невыполнение программы по бурению: в 1931 г. было пробурено 132 тыс. метров, а в 1932 г. - всего 140 тыс. метров. За последние годы нефтяная промышленность неудовлетворительно снабжалась оборудованием. В 1930 г. нефть получила оборудования на 154 млн. руб., в 1931 г. - на 138 млн. руб., а в 1932 г. - всего на 107 млн. руб. Из года в года дается все меньше, а в это время дебет скважин падает и процент фонтанной добычи уменьшается. И в области каменноугольной промышленности и в области нефтепромышленности мы должны учитывать те трудности, с которыми мы встретились в первой пятилетке. Мы их преодолеем, но преодолеем в том случае, если вся партия обратит свое величайшее внимание на те дефекты, которые выявились в процессе исполнения первой пятилетки. </w:t>
      </w:r>
    </w:p>
    <w:p w14:paraId="02D6D151" w14:textId="77777777" w:rsidR="00095B9C" w:rsidRPr="00C33834" w:rsidRDefault="00095B9C"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Мы разбили в пух и прах теорию буржуазных экономистов об органическом дефиците в балансе топлива в нашей стране. Мы имеем возможность, опираясь не на одну базу, а на ряд баз в разных концах нашей страны, увеличить добычу гигантски. Ресурсов у нас вполне достаточно. Во вторую пятилетку мы должны покончить со всеми затруднениями в области топливоснабжения. А для этого уже в 1933 г. нам придется выправить некоторые наметки, в частности по нефти, а для 1934 г. их увеличить до 80 млн. тонн, ибо иначе мы не удовлетворим потребности нашего сельского хозяйства, экспорта, растущей авиации и внутреннего рынка. Необходим величайший нажим нашей партии и мобилизация внимания к вопросам нашей каменноугольной и нефтяной промышленности (11551).</w:t>
      </w:r>
    </w:p>
    <w:p w14:paraId="0628C840" w14:textId="77777777" w:rsidR="00095B9C" w:rsidRPr="00C33834" w:rsidRDefault="00095B9C" w:rsidP="00C33834">
      <w:pPr>
        <w:pStyle w:val="af2"/>
        <w:jc w:val="both"/>
        <w:rPr>
          <w:i w:val="0"/>
          <w:iCs w:val="0"/>
          <w:color w:val="000000" w:themeColor="text1"/>
          <w:spacing w:val="0"/>
          <w:kern w:val="0"/>
          <w:position w:val="0"/>
          <w:sz w:val="16"/>
          <w:szCs w:val="16"/>
          <w:lang w:val="ru-RU"/>
        </w:rPr>
      </w:pPr>
    </w:p>
    <w:p w14:paraId="6596FF17" w14:textId="77777777" w:rsidR="00D8588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CC4FCE5" w14:textId="77777777" w:rsidR="00D8588A" w:rsidRPr="00C33834" w:rsidRDefault="00D8588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C26CF28"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января 1933 года начальник Штаба ВВС Меженинов писал письмо № НИ/04 начальнику ГУАП Баранову, ЦАГИ Харламову</w:t>
      </w:r>
    </w:p>
    <w:p w14:paraId="57E61602"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программу работ 1933 года по линии отдела винтовых аппаратов, прошу включить как первоочередное проектировочное задание, разработку проекта и постройку машины типа "летающего автомобиля" – представляющего из себя вертолет (автожир) с управляемым ротором с передачей (или без нее) на ведущие колеса, обтекаемым кузовом и трехколесным шасси.</w:t>
      </w:r>
    </w:p>
    <w:p w14:paraId="30E73AD2"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31C859F0"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предполагается М-48 или лучше М-23 модернизированный на мощность 90 НР (вес примерно 100 кг) (7505, 3).</w:t>
      </w:r>
    </w:p>
    <w:p w14:paraId="6E2F293F"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p w14:paraId="224E46A8"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января 1933 года за № 2/051с была получена Справка (6778)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1418"/>
        <w:gridCol w:w="1417"/>
        <w:gridCol w:w="1276"/>
        <w:gridCol w:w="1418"/>
        <w:gridCol w:w="991"/>
      </w:tblGrid>
      <w:tr w:rsidR="00F26F01" w:rsidRPr="00C33834" w14:paraId="25E5F04A" w14:textId="77777777">
        <w:tc>
          <w:tcPr>
            <w:tcW w:w="4077" w:type="dxa"/>
          </w:tcPr>
          <w:p w14:paraId="2FF95CB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 работ</w:t>
            </w:r>
          </w:p>
        </w:tc>
        <w:tc>
          <w:tcPr>
            <w:tcW w:w="1418" w:type="dxa"/>
          </w:tcPr>
          <w:p w14:paraId="0C67CA5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Намеченные сроки начала работ</w:t>
            </w:r>
          </w:p>
        </w:tc>
        <w:tc>
          <w:tcPr>
            <w:tcW w:w="1417" w:type="dxa"/>
          </w:tcPr>
          <w:p w14:paraId="04C9C22D"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Намеченные сроки окончания работ</w:t>
            </w:r>
          </w:p>
        </w:tc>
        <w:tc>
          <w:tcPr>
            <w:tcW w:w="1276" w:type="dxa"/>
          </w:tcPr>
          <w:p w14:paraId="4B2ADAA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Действит. сроки начала работ</w:t>
            </w:r>
          </w:p>
        </w:tc>
        <w:tc>
          <w:tcPr>
            <w:tcW w:w="1418" w:type="dxa"/>
          </w:tcPr>
          <w:p w14:paraId="46138CF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Действит. Сроки окончания работ</w:t>
            </w:r>
          </w:p>
        </w:tc>
        <w:tc>
          <w:tcPr>
            <w:tcW w:w="991" w:type="dxa"/>
          </w:tcPr>
          <w:p w14:paraId="7712C39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выполн.</w:t>
            </w:r>
          </w:p>
        </w:tc>
      </w:tr>
      <w:tr w:rsidR="00F26F01" w:rsidRPr="00C33834" w14:paraId="0330A998" w14:textId="77777777">
        <w:tc>
          <w:tcPr>
            <w:tcW w:w="4077" w:type="dxa"/>
          </w:tcPr>
          <w:p w14:paraId="0140138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И5, эталон 1932 года</w:t>
            </w:r>
          </w:p>
        </w:tc>
        <w:tc>
          <w:tcPr>
            <w:tcW w:w="1418" w:type="dxa"/>
          </w:tcPr>
          <w:p w14:paraId="123A41A5"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января</w:t>
            </w:r>
          </w:p>
          <w:p w14:paraId="5FF5065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417" w:type="dxa"/>
          </w:tcPr>
          <w:p w14:paraId="56024F0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февраля 1932 года</w:t>
            </w:r>
          </w:p>
        </w:tc>
        <w:tc>
          <w:tcPr>
            <w:tcW w:w="1276" w:type="dxa"/>
          </w:tcPr>
          <w:p w14:paraId="319E9FE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января</w:t>
            </w:r>
          </w:p>
          <w:p w14:paraId="2D692B06"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418" w:type="dxa"/>
          </w:tcPr>
          <w:p w14:paraId="36A4514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марта</w:t>
            </w:r>
          </w:p>
          <w:p w14:paraId="58D00C2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991" w:type="dxa"/>
          </w:tcPr>
          <w:p w14:paraId="406F26C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5218B908" w14:textId="77777777">
        <w:tc>
          <w:tcPr>
            <w:tcW w:w="4077" w:type="dxa"/>
          </w:tcPr>
          <w:p w14:paraId="7CE6F040"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 ТБ3 4М17 (опытный)</w:t>
            </w:r>
          </w:p>
        </w:tc>
        <w:tc>
          <w:tcPr>
            <w:tcW w:w="1418" w:type="dxa"/>
          </w:tcPr>
          <w:p w14:paraId="429BC4C2"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w:t>
            </w:r>
          </w:p>
          <w:p w14:paraId="6CD81A78"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417" w:type="dxa"/>
          </w:tcPr>
          <w:p w14:paraId="397C5F30"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февраля 1932 года</w:t>
            </w:r>
          </w:p>
        </w:tc>
        <w:tc>
          <w:tcPr>
            <w:tcW w:w="1276" w:type="dxa"/>
          </w:tcPr>
          <w:p w14:paraId="735C75F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D27B55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3765A932"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578F106F" w14:textId="77777777">
        <w:tc>
          <w:tcPr>
            <w:tcW w:w="4077" w:type="dxa"/>
          </w:tcPr>
          <w:p w14:paraId="197F47E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Составление инструкции по эксплуатации самолета ТБ3-4М17</w:t>
            </w:r>
          </w:p>
        </w:tc>
        <w:tc>
          <w:tcPr>
            <w:tcW w:w="1418" w:type="dxa"/>
          </w:tcPr>
          <w:p w14:paraId="42F5C37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февраля 1932 года</w:t>
            </w:r>
          </w:p>
        </w:tc>
        <w:tc>
          <w:tcPr>
            <w:tcW w:w="1417" w:type="dxa"/>
          </w:tcPr>
          <w:p w14:paraId="695819D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февраля 1932 года</w:t>
            </w:r>
          </w:p>
        </w:tc>
        <w:tc>
          <w:tcPr>
            <w:tcW w:w="1276" w:type="dxa"/>
          </w:tcPr>
          <w:p w14:paraId="73E56CF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391D0E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4C07853B"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69D1EA3C" w14:textId="77777777">
        <w:tc>
          <w:tcPr>
            <w:tcW w:w="4077" w:type="dxa"/>
          </w:tcPr>
          <w:p w14:paraId="267650A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И5 М-15</w:t>
            </w:r>
          </w:p>
        </w:tc>
        <w:tc>
          <w:tcPr>
            <w:tcW w:w="1418" w:type="dxa"/>
          </w:tcPr>
          <w:p w14:paraId="2401312C"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января</w:t>
            </w:r>
          </w:p>
          <w:p w14:paraId="5CC82D4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417" w:type="dxa"/>
          </w:tcPr>
          <w:p w14:paraId="067E549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февраля 1932 года</w:t>
            </w:r>
          </w:p>
        </w:tc>
        <w:tc>
          <w:tcPr>
            <w:tcW w:w="1276" w:type="dxa"/>
          </w:tcPr>
          <w:p w14:paraId="377FDD2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F52FE46"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6DF1A19D"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04FC6AF2" w14:textId="77777777">
        <w:tc>
          <w:tcPr>
            <w:tcW w:w="4077" w:type="dxa"/>
          </w:tcPr>
          <w:p w14:paraId="3513F6B6"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И-IV с деревянным разрезным крылом</w:t>
            </w:r>
          </w:p>
        </w:tc>
        <w:tc>
          <w:tcPr>
            <w:tcW w:w="1418" w:type="dxa"/>
          </w:tcPr>
          <w:p w14:paraId="59EC61B5"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марта</w:t>
            </w:r>
          </w:p>
          <w:p w14:paraId="5C6D426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417" w:type="dxa"/>
          </w:tcPr>
          <w:p w14:paraId="669A627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20 апреля 1932 года </w:t>
            </w:r>
          </w:p>
        </w:tc>
        <w:tc>
          <w:tcPr>
            <w:tcW w:w="1276" w:type="dxa"/>
          </w:tcPr>
          <w:p w14:paraId="4BBFFCF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поступил от пром-ти</w:t>
            </w:r>
          </w:p>
        </w:tc>
        <w:tc>
          <w:tcPr>
            <w:tcW w:w="1418" w:type="dxa"/>
          </w:tcPr>
          <w:p w14:paraId="1F578C9C"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7CB9F51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tc>
      </w:tr>
      <w:tr w:rsidR="00F26F01" w:rsidRPr="00C33834" w14:paraId="0C9248A7" w14:textId="77777777">
        <w:tc>
          <w:tcPr>
            <w:tcW w:w="4077" w:type="dxa"/>
          </w:tcPr>
          <w:p w14:paraId="629F757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Войсковые испытания И7 М-17</w:t>
            </w:r>
          </w:p>
        </w:tc>
        <w:tc>
          <w:tcPr>
            <w:tcW w:w="1418" w:type="dxa"/>
          </w:tcPr>
          <w:p w14:paraId="1A6B49B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марта</w:t>
            </w:r>
          </w:p>
          <w:p w14:paraId="20F82E1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417" w:type="dxa"/>
          </w:tcPr>
          <w:p w14:paraId="6C0C7002"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апреля 1932 года</w:t>
            </w:r>
          </w:p>
        </w:tc>
        <w:tc>
          <w:tcPr>
            <w:tcW w:w="1276" w:type="dxa"/>
          </w:tcPr>
          <w:p w14:paraId="3431E62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поступил от пром-ти</w:t>
            </w:r>
          </w:p>
        </w:tc>
        <w:tc>
          <w:tcPr>
            <w:tcW w:w="1418" w:type="dxa"/>
          </w:tcPr>
          <w:p w14:paraId="79572F85"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20C6FAD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tc>
      </w:tr>
      <w:tr w:rsidR="00F26F01" w:rsidRPr="00C33834" w14:paraId="62F7BFE6" w14:textId="77777777">
        <w:tc>
          <w:tcPr>
            <w:tcW w:w="4077" w:type="dxa"/>
          </w:tcPr>
          <w:p w14:paraId="62F9DEC5"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 И-8 к-к</w:t>
            </w:r>
          </w:p>
        </w:tc>
        <w:tc>
          <w:tcPr>
            <w:tcW w:w="1418" w:type="dxa"/>
          </w:tcPr>
          <w:p w14:paraId="26E41CE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марта</w:t>
            </w:r>
          </w:p>
          <w:p w14:paraId="1836CFD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417" w:type="dxa"/>
          </w:tcPr>
          <w:p w14:paraId="09D0753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апреля 1932 года</w:t>
            </w:r>
          </w:p>
        </w:tc>
        <w:tc>
          <w:tcPr>
            <w:tcW w:w="1276" w:type="dxa"/>
          </w:tcPr>
          <w:p w14:paraId="1D2CF64D"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поступил от пром-ти</w:t>
            </w:r>
          </w:p>
        </w:tc>
        <w:tc>
          <w:tcPr>
            <w:tcW w:w="1418" w:type="dxa"/>
          </w:tcPr>
          <w:p w14:paraId="60F1BA78"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348B66E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tc>
      </w:tr>
      <w:tr w:rsidR="00F26F01" w:rsidRPr="00C33834" w14:paraId="74207CB0" w14:textId="77777777">
        <w:tc>
          <w:tcPr>
            <w:tcW w:w="4077" w:type="dxa"/>
          </w:tcPr>
          <w:p w14:paraId="5589D0C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Внедрение в серию эталона И5 М22 1932 года</w:t>
            </w:r>
          </w:p>
        </w:tc>
        <w:tc>
          <w:tcPr>
            <w:tcW w:w="1418" w:type="dxa"/>
          </w:tcPr>
          <w:p w14:paraId="231BC75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w:t>
            </w:r>
          </w:p>
          <w:p w14:paraId="7BBB85BC"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417" w:type="dxa"/>
          </w:tcPr>
          <w:p w14:paraId="6406666B"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31марта</w:t>
            </w:r>
          </w:p>
          <w:p w14:paraId="6494111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1932 года </w:t>
            </w:r>
          </w:p>
        </w:tc>
        <w:tc>
          <w:tcPr>
            <w:tcW w:w="1276" w:type="dxa"/>
          </w:tcPr>
          <w:p w14:paraId="1F600FEC"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34F9A8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5FE876C0"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354CE211" w14:textId="77777777">
        <w:tc>
          <w:tcPr>
            <w:tcW w:w="4077" w:type="dxa"/>
          </w:tcPr>
          <w:p w14:paraId="1D5C5D15"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Составление инструкции по эксплуатации И-7</w:t>
            </w:r>
          </w:p>
        </w:tc>
        <w:tc>
          <w:tcPr>
            <w:tcW w:w="1418" w:type="dxa"/>
          </w:tcPr>
          <w:p w14:paraId="7B6BACE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февраля 1932 года</w:t>
            </w:r>
          </w:p>
        </w:tc>
        <w:tc>
          <w:tcPr>
            <w:tcW w:w="1417" w:type="dxa"/>
          </w:tcPr>
          <w:p w14:paraId="6CD4A4DB"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марта</w:t>
            </w:r>
          </w:p>
          <w:p w14:paraId="34C5537B"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276" w:type="dxa"/>
          </w:tcPr>
          <w:p w14:paraId="11205B25"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1555C88"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62CB88D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0B1AF955" w14:textId="77777777">
        <w:tc>
          <w:tcPr>
            <w:tcW w:w="4077" w:type="dxa"/>
          </w:tcPr>
          <w:p w14:paraId="618970B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Р5 М17 эталон 1932 года</w:t>
            </w:r>
          </w:p>
        </w:tc>
        <w:tc>
          <w:tcPr>
            <w:tcW w:w="1418" w:type="dxa"/>
          </w:tcPr>
          <w:p w14:paraId="70B6858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52CA252"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февраля 1932 года</w:t>
            </w:r>
          </w:p>
        </w:tc>
        <w:tc>
          <w:tcPr>
            <w:tcW w:w="1276" w:type="dxa"/>
          </w:tcPr>
          <w:p w14:paraId="3C5BF26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ноября 1931 года</w:t>
            </w:r>
          </w:p>
        </w:tc>
        <w:tc>
          <w:tcPr>
            <w:tcW w:w="1418" w:type="dxa"/>
          </w:tcPr>
          <w:p w14:paraId="2E6EAE8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февраля 1932 года</w:t>
            </w:r>
          </w:p>
        </w:tc>
        <w:tc>
          <w:tcPr>
            <w:tcW w:w="991" w:type="dxa"/>
          </w:tcPr>
          <w:p w14:paraId="672B81A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3AB2E40B" w14:textId="77777777">
        <w:tc>
          <w:tcPr>
            <w:tcW w:w="4077" w:type="dxa"/>
          </w:tcPr>
          <w:p w14:paraId="24DBF4CB"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Р5 М17 с разрезным крылом</w:t>
            </w:r>
          </w:p>
        </w:tc>
        <w:tc>
          <w:tcPr>
            <w:tcW w:w="1418" w:type="dxa"/>
          </w:tcPr>
          <w:p w14:paraId="254ACB1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января</w:t>
            </w:r>
          </w:p>
          <w:p w14:paraId="415E05CD"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417" w:type="dxa"/>
          </w:tcPr>
          <w:p w14:paraId="4F115826"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февраля 1932 года</w:t>
            </w:r>
          </w:p>
        </w:tc>
        <w:tc>
          <w:tcPr>
            <w:tcW w:w="1276" w:type="dxa"/>
          </w:tcPr>
          <w:p w14:paraId="676F7900"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мая</w:t>
            </w:r>
          </w:p>
          <w:p w14:paraId="3A81F4F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418" w:type="dxa"/>
          </w:tcPr>
          <w:p w14:paraId="269FFDF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июля</w:t>
            </w:r>
          </w:p>
          <w:p w14:paraId="62DE390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991" w:type="dxa"/>
          </w:tcPr>
          <w:p w14:paraId="023EB50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637BF3A0" w14:textId="77777777">
        <w:tc>
          <w:tcPr>
            <w:tcW w:w="4077" w:type="dxa"/>
          </w:tcPr>
          <w:p w14:paraId="7BE35D6D"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ТШ2 М17</w:t>
            </w:r>
          </w:p>
        </w:tc>
        <w:tc>
          <w:tcPr>
            <w:tcW w:w="1418" w:type="dxa"/>
          </w:tcPr>
          <w:p w14:paraId="5C8410DD"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марта</w:t>
            </w:r>
          </w:p>
          <w:p w14:paraId="5187C846"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417" w:type="dxa"/>
          </w:tcPr>
          <w:p w14:paraId="611B050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апреля</w:t>
            </w:r>
          </w:p>
          <w:p w14:paraId="649D21C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276" w:type="dxa"/>
          </w:tcPr>
          <w:p w14:paraId="7B25C4A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2F53F8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Испыт. Прерваны ввиду неисправн. Винтомоторн. Группы </w:t>
            </w:r>
          </w:p>
        </w:tc>
        <w:tc>
          <w:tcPr>
            <w:tcW w:w="991" w:type="dxa"/>
          </w:tcPr>
          <w:p w14:paraId="4594408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tc>
      </w:tr>
      <w:tr w:rsidR="00F26F01" w:rsidRPr="00C33834" w14:paraId="4D127F5E" w14:textId="77777777">
        <w:tc>
          <w:tcPr>
            <w:tcW w:w="4077" w:type="dxa"/>
          </w:tcPr>
          <w:p w14:paraId="253E1BA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АНТ9 М26 вооружен. вариант</w:t>
            </w:r>
          </w:p>
        </w:tc>
        <w:tc>
          <w:tcPr>
            <w:tcW w:w="1418" w:type="dxa"/>
          </w:tcPr>
          <w:p w14:paraId="5AB7263D"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марта</w:t>
            </w:r>
          </w:p>
          <w:p w14:paraId="3F42CCD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417" w:type="dxa"/>
          </w:tcPr>
          <w:p w14:paraId="00B88C4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апреля</w:t>
            </w:r>
          </w:p>
          <w:p w14:paraId="42E945AC"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276" w:type="dxa"/>
          </w:tcPr>
          <w:p w14:paraId="0A22A9D6"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EDA2738"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421F7D30"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r>
      <w:tr w:rsidR="00F26F01" w:rsidRPr="00C33834" w14:paraId="1425A729" w14:textId="77777777">
        <w:tc>
          <w:tcPr>
            <w:tcW w:w="4077" w:type="dxa"/>
          </w:tcPr>
          <w:p w14:paraId="59AD065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К5 М15 вооружен. вариант</w:t>
            </w:r>
          </w:p>
        </w:tc>
        <w:tc>
          <w:tcPr>
            <w:tcW w:w="1418" w:type="dxa"/>
          </w:tcPr>
          <w:p w14:paraId="5DD87B70"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февраля 1932 года</w:t>
            </w:r>
          </w:p>
        </w:tc>
        <w:tc>
          <w:tcPr>
            <w:tcW w:w="1417" w:type="dxa"/>
          </w:tcPr>
          <w:p w14:paraId="550456F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марта</w:t>
            </w:r>
          </w:p>
          <w:p w14:paraId="228A504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276" w:type="dxa"/>
          </w:tcPr>
          <w:p w14:paraId="2F366CE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5FC2A0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45E598D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6BA02903" w14:textId="77777777">
        <w:tc>
          <w:tcPr>
            <w:tcW w:w="4077" w:type="dxa"/>
          </w:tcPr>
          <w:p w14:paraId="038A79B5"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Составление инструкции по эксплуатации Р5 М17</w:t>
            </w:r>
          </w:p>
        </w:tc>
        <w:tc>
          <w:tcPr>
            <w:tcW w:w="1418" w:type="dxa"/>
          </w:tcPr>
          <w:p w14:paraId="726BD5DD"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w:t>
            </w:r>
          </w:p>
          <w:p w14:paraId="2DF87992"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417" w:type="dxa"/>
          </w:tcPr>
          <w:p w14:paraId="305C9A4D"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ноября</w:t>
            </w:r>
          </w:p>
          <w:p w14:paraId="6B9841A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276" w:type="dxa"/>
          </w:tcPr>
          <w:p w14:paraId="4B1BA106"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DFD38AB"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мая</w:t>
            </w:r>
          </w:p>
          <w:p w14:paraId="767401FC"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991" w:type="dxa"/>
          </w:tcPr>
          <w:p w14:paraId="5B7D292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27A59E0D" w14:textId="77777777">
        <w:tc>
          <w:tcPr>
            <w:tcW w:w="4077" w:type="dxa"/>
          </w:tcPr>
          <w:p w14:paraId="7A52373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Р6 2М17 эталон 1932 года</w:t>
            </w:r>
          </w:p>
        </w:tc>
        <w:tc>
          <w:tcPr>
            <w:tcW w:w="1418" w:type="dxa"/>
          </w:tcPr>
          <w:p w14:paraId="3F1E601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w:t>
            </w:r>
          </w:p>
          <w:p w14:paraId="0B5994CC"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417" w:type="dxa"/>
          </w:tcPr>
          <w:p w14:paraId="06AE174D"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февраля 1932 года</w:t>
            </w:r>
          </w:p>
        </w:tc>
        <w:tc>
          <w:tcPr>
            <w:tcW w:w="1276" w:type="dxa"/>
          </w:tcPr>
          <w:p w14:paraId="5FC0997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января</w:t>
            </w:r>
          </w:p>
          <w:p w14:paraId="7ACD83A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418" w:type="dxa"/>
          </w:tcPr>
          <w:p w14:paraId="393FF0A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апрель</w:t>
            </w:r>
          </w:p>
          <w:p w14:paraId="64FF70C2"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991" w:type="dxa"/>
          </w:tcPr>
          <w:p w14:paraId="3695B09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1CE43511" w14:textId="77777777">
        <w:tc>
          <w:tcPr>
            <w:tcW w:w="4077" w:type="dxa"/>
          </w:tcPr>
          <w:p w14:paraId="17AD2DD8"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и постройка самолета «Звено»</w:t>
            </w:r>
          </w:p>
        </w:tc>
        <w:tc>
          <w:tcPr>
            <w:tcW w:w="1418" w:type="dxa"/>
          </w:tcPr>
          <w:p w14:paraId="69C4782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14180D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марта</w:t>
            </w:r>
          </w:p>
          <w:p w14:paraId="38F7FBA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276" w:type="dxa"/>
          </w:tcPr>
          <w:p w14:paraId="1C7D860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68B0D3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6F86AE9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4F24A2F3" w14:textId="77777777">
        <w:tc>
          <w:tcPr>
            <w:tcW w:w="4077" w:type="dxa"/>
          </w:tcPr>
          <w:p w14:paraId="79D483CC"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Войсковые испытания Р6-2М17</w:t>
            </w:r>
          </w:p>
        </w:tc>
        <w:tc>
          <w:tcPr>
            <w:tcW w:w="1418" w:type="dxa"/>
          </w:tcPr>
          <w:p w14:paraId="68D112E8"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февраля 1932 года</w:t>
            </w:r>
          </w:p>
        </w:tc>
        <w:tc>
          <w:tcPr>
            <w:tcW w:w="1417" w:type="dxa"/>
          </w:tcPr>
          <w:p w14:paraId="37CF3A6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марта</w:t>
            </w:r>
          </w:p>
          <w:p w14:paraId="24005F6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276" w:type="dxa"/>
          </w:tcPr>
          <w:p w14:paraId="3D57DD8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Были отменены начальником ВВС</w:t>
            </w:r>
          </w:p>
        </w:tc>
        <w:tc>
          <w:tcPr>
            <w:tcW w:w="1418" w:type="dxa"/>
          </w:tcPr>
          <w:p w14:paraId="6EDAADA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5645CF0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tc>
      </w:tr>
      <w:tr w:rsidR="00F26F01" w:rsidRPr="00C33834" w14:paraId="147B7FE0" w14:textId="77777777">
        <w:tc>
          <w:tcPr>
            <w:tcW w:w="4077" w:type="dxa"/>
          </w:tcPr>
          <w:p w14:paraId="4B8C28D5"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Составление инструкции по эксплуатации Р6-М17</w:t>
            </w:r>
          </w:p>
        </w:tc>
        <w:tc>
          <w:tcPr>
            <w:tcW w:w="1418" w:type="dxa"/>
          </w:tcPr>
          <w:p w14:paraId="5B07441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w:t>
            </w:r>
          </w:p>
          <w:p w14:paraId="40CB7ECB"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417" w:type="dxa"/>
          </w:tcPr>
          <w:p w14:paraId="59CC0F2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февраля 1932 года</w:t>
            </w:r>
          </w:p>
        </w:tc>
        <w:tc>
          <w:tcPr>
            <w:tcW w:w="1276" w:type="dxa"/>
          </w:tcPr>
          <w:p w14:paraId="046F44F6"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BB53E66"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3327AF4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6A83E72C" w14:textId="77777777">
        <w:tc>
          <w:tcPr>
            <w:tcW w:w="4077" w:type="dxa"/>
          </w:tcPr>
          <w:p w14:paraId="60E5626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Совместные испытания АНТ-14</w:t>
            </w:r>
          </w:p>
        </w:tc>
        <w:tc>
          <w:tcPr>
            <w:tcW w:w="1418" w:type="dxa"/>
          </w:tcPr>
          <w:p w14:paraId="5AFC114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Январь</w:t>
            </w:r>
          </w:p>
          <w:p w14:paraId="1330D706"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417" w:type="dxa"/>
          </w:tcPr>
          <w:p w14:paraId="53B5B40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Март</w:t>
            </w:r>
          </w:p>
          <w:p w14:paraId="7CC963BC"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276" w:type="dxa"/>
          </w:tcPr>
          <w:p w14:paraId="55041DA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9F28156"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075888C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CBC5B0B" w14:textId="77777777">
        <w:tc>
          <w:tcPr>
            <w:tcW w:w="4077" w:type="dxa"/>
          </w:tcPr>
          <w:p w14:paraId="61487B9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самолета И12</w:t>
            </w:r>
          </w:p>
        </w:tc>
        <w:tc>
          <w:tcPr>
            <w:tcW w:w="1418" w:type="dxa"/>
          </w:tcPr>
          <w:p w14:paraId="34BB472C"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февраля 1932 года</w:t>
            </w:r>
          </w:p>
        </w:tc>
        <w:tc>
          <w:tcPr>
            <w:tcW w:w="1417" w:type="dxa"/>
          </w:tcPr>
          <w:p w14:paraId="0FA6369C"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апреля</w:t>
            </w:r>
          </w:p>
          <w:p w14:paraId="7689A70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276" w:type="dxa"/>
          </w:tcPr>
          <w:p w14:paraId="19DAC09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81C430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вышел из строя</w:t>
            </w:r>
          </w:p>
        </w:tc>
        <w:tc>
          <w:tcPr>
            <w:tcW w:w="991" w:type="dxa"/>
          </w:tcPr>
          <w:p w14:paraId="6F44C812"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r>
      <w:tr w:rsidR="00F26F01" w:rsidRPr="00C33834" w14:paraId="47A729C6" w14:textId="77777777">
        <w:tc>
          <w:tcPr>
            <w:tcW w:w="4077" w:type="dxa"/>
          </w:tcPr>
          <w:p w14:paraId="20FD7C4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Испытание самолета ДИ4-КК</w:t>
            </w:r>
          </w:p>
        </w:tc>
        <w:tc>
          <w:tcPr>
            <w:tcW w:w="1418" w:type="dxa"/>
          </w:tcPr>
          <w:p w14:paraId="3794997D"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января</w:t>
            </w:r>
          </w:p>
          <w:p w14:paraId="5AD11C0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417" w:type="dxa"/>
          </w:tcPr>
          <w:p w14:paraId="232C837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февраля 1932 года</w:t>
            </w:r>
          </w:p>
        </w:tc>
        <w:tc>
          <w:tcPr>
            <w:tcW w:w="1276" w:type="dxa"/>
          </w:tcPr>
          <w:p w14:paraId="7DBD61E5"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561885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поступил от пром-ти провод. Совместно</w:t>
            </w:r>
          </w:p>
        </w:tc>
        <w:tc>
          <w:tcPr>
            <w:tcW w:w="991" w:type="dxa"/>
          </w:tcPr>
          <w:p w14:paraId="69B7B4FC"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r>
      <w:tr w:rsidR="00F26F01" w:rsidRPr="00C33834" w14:paraId="7EC598EE" w14:textId="77777777">
        <w:tc>
          <w:tcPr>
            <w:tcW w:w="4077" w:type="dxa"/>
          </w:tcPr>
          <w:p w14:paraId="72FA5EED"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головного серийного ТБ-3-4М17</w:t>
            </w:r>
          </w:p>
        </w:tc>
        <w:tc>
          <w:tcPr>
            <w:tcW w:w="1418" w:type="dxa"/>
          </w:tcPr>
          <w:p w14:paraId="0A18ADAD"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FCB77D2"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апреля</w:t>
            </w:r>
          </w:p>
          <w:p w14:paraId="6BC0B96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276" w:type="dxa"/>
          </w:tcPr>
          <w:p w14:paraId="5B95D06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D67EDFC"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апреля</w:t>
            </w:r>
          </w:p>
          <w:p w14:paraId="3721A0BC"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p w14:paraId="20200B0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прервано катастрофой</w:t>
            </w:r>
          </w:p>
        </w:tc>
        <w:tc>
          <w:tcPr>
            <w:tcW w:w="991" w:type="dxa"/>
          </w:tcPr>
          <w:p w14:paraId="08534D35"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r>
      <w:tr w:rsidR="00F26F01" w:rsidRPr="00C33834" w14:paraId="76087912" w14:textId="77777777">
        <w:tc>
          <w:tcPr>
            <w:tcW w:w="4077" w:type="dxa"/>
          </w:tcPr>
          <w:p w14:paraId="7D88E8E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самолета И-Z</w:t>
            </w:r>
          </w:p>
        </w:tc>
        <w:tc>
          <w:tcPr>
            <w:tcW w:w="1418" w:type="dxa"/>
          </w:tcPr>
          <w:p w14:paraId="085AFAD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5561B18"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апреля</w:t>
            </w:r>
          </w:p>
          <w:p w14:paraId="735A2D66"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276" w:type="dxa"/>
          </w:tcPr>
          <w:p w14:paraId="658C9F68"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ECC54A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5FD7D4B8"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24966AD1" w14:textId="77777777">
        <w:tc>
          <w:tcPr>
            <w:tcW w:w="4077" w:type="dxa"/>
          </w:tcPr>
          <w:p w14:paraId="3E19ACC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Внедрение в серию эталона Р5-М17</w:t>
            </w:r>
          </w:p>
        </w:tc>
        <w:tc>
          <w:tcPr>
            <w:tcW w:w="1418" w:type="dxa"/>
          </w:tcPr>
          <w:p w14:paraId="7A058D2D"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апрель</w:t>
            </w:r>
          </w:p>
          <w:p w14:paraId="4205FD78"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417" w:type="dxa"/>
          </w:tcPr>
          <w:p w14:paraId="7AD9C3D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июнь</w:t>
            </w:r>
          </w:p>
          <w:p w14:paraId="0F3A70B0"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276" w:type="dxa"/>
          </w:tcPr>
          <w:p w14:paraId="5001CD4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02DFA1B"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Ноябрь</w:t>
            </w:r>
          </w:p>
          <w:p w14:paraId="2EE0D6AB"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991" w:type="dxa"/>
          </w:tcPr>
          <w:p w14:paraId="0298378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16D90A2B" w14:textId="77777777">
        <w:tc>
          <w:tcPr>
            <w:tcW w:w="4077" w:type="dxa"/>
          </w:tcPr>
          <w:p w14:paraId="398C9FA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Внедрение в серию эталона И-Z</w:t>
            </w:r>
          </w:p>
        </w:tc>
        <w:tc>
          <w:tcPr>
            <w:tcW w:w="1418" w:type="dxa"/>
          </w:tcPr>
          <w:p w14:paraId="62D6B930"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28B649D"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89FD6B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6FE0C9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Декабрь</w:t>
            </w:r>
          </w:p>
          <w:p w14:paraId="1B35E755"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p w14:paraId="7DF85F9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Незакончена отладка вооружения</w:t>
            </w:r>
          </w:p>
        </w:tc>
        <w:tc>
          <w:tcPr>
            <w:tcW w:w="991" w:type="dxa"/>
          </w:tcPr>
          <w:p w14:paraId="3C795C5C"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w:t>
            </w:r>
          </w:p>
        </w:tc>
      </w:tr>
      <w:tr w:rsidR="00F26F01" w:rsidRPr="00C33834" w14:paraId="7BC33775" w14:textId="77777777">
        <w:tc>
          <w:tcPr>
            <w:tcW w:w="4077" w:type="dxa"/>
          </w:tcPr>
          <w:p w14:paraId="1F67D7C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на дальность Р5-М17</w:t>
            </w:r>
          </w:p>
        </w:tc>
        <w:tc>
          <w:tcPr>
            <w:tcW w:w="1418" w:type="dxa"/>
          </w:tcPr>
          <w:p w14:paraId="6DCEDEE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апрель</w:t>
            </w:r>
          </w:p>
          <w:p w14:paraId="344A921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417" w:type="dxa"/>
          </w:tcPr>
          <w:p w14:paraId="2BD4844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май</w:t>
            </w:r>
          </w:p>
          <w:p w14:paraId="12E48466"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276" w:type="dxa"/>
          </w:tcPr>
          <w:p w14:paraId="63B7EB4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мая</w:t>
            </w:r>
          </w:p>
          <w:p w14:paraId="21CA2C22"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418" w:type="dxa"/>
          </w:tcPr>
          <w:p w14:paraId="640BDB4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июня</w:t>
            </w:r>
          </w:p>
          <w:p w14:paraId="35E94010"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991" w:type="dxa"/>
          </w:tcPr>
          <w:p w14:paraId="504B81E6"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5E93254B" w14:textId="77777777">
        <w:tc>
          <w:tcPr>
            <w:tcW w:w="4077" w:type="dxa"/>
          </w:tcPr>
          <w:p w14:paraId="0B337AB8"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Внедрение в серию ТШ3 М17</w:t>
            </w:r>
          </w:p>
        </w:tc>
        <w:tc>
          <w:tcPr>
            <w:tcW w:w="1418" w:type="dxa"/>
          </w:tcPr>
          <w:p w14:paraId="50F79805"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58FD3F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9C407B2"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068046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поступил от пром-ти</w:t>
            </w:r>
          </w:p>
        </w:tc>
        <w:tc>
          <w:tcPr>
            <w:tcW w:w="991" w:type="dxa"/>
          </w:tcPr>
          <w:p w14:paraId="217D4A2B"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tc>
      </w:tr>
      <w:tr w:rsidR="00F26F01" w:rsidRPr="00C33834" w14:paraId="325DB178" w14:textId="77777777">
        <w:tc>
          <w:tcPr>
            <w:tcW w:w="4077" w:type="dxa"/>
          </w:tcPr>
          <w:p w14:paraId="4E0A87A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Составление инструкции по ТШ2</w:t>
            </w:r>
          </w:p>
        </w:tc>
        <w:tc>
          <w:tcPr>
            <w:tcW w:w="1418" w:type="dxa"/>
          </w:tcPr>
          <w:p w14:paraId="05024672"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35528C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50B32D0"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9A9367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поступил от пром-ти</w:t>
            </w:r>
          </w:p>
        </w:tc>
        <w:tc>
          <w:tcPr>
            <w:tcW w:w="991" w:type="dxa"/>
          </w:tcPr>
          <w:p w14:paraId="3B9A87E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tc>
      </w:tr>
      <w:tr w:rsidR="00F26F01" w:rsidRPr="00C33834" w14:paraId="0DB70ED4" w14:textId="77777777">
        <w:tc>
          <w:tcPr>
            <w:tcW w:w="4077" w:type="dxa"/>
          </w:tcPr>
          <w:p w14:paraId="4F6E13AC"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Внедрение в серию эталона Р6</w:t>
            </w:r>
          </w:p>
        </w:tc>
        <w:tc>
          <w:tcPr>
            <w:tcW w:w="1418" w:type="dxa"/>
          </w:tcPr>
          <w:p w14:paraId="4CF5877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25B0C92"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9FDE7D2"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CB358A2"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Постройка переброшена на завод № 31</w:t>
            </w:r>
          </w:p>
        </w:tc>
        <w:tc>
          <w:tcPr>
            <w:tcW w:w="991" w:type="dxa"/>
          </w:tcPr>
          <w:p w14:paraId="275BF44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r>
      <w:tr w:rsidR="00F26F01" w:rsidRPr="00C33834" w14:paraId="2B44B233" w14:textId="77777777">
        <w:tc>
          <w:tcPr>
            <w:tcW w:w="4077" w:type="dxa"/>
          </w:tcPr>
          <w:p w14:paraId="42C095FC"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Внедрение в серию эталона ТБ3 4М17</w:t>
            </w:r>
          </w:p>
        </w:tc>
        <w:tc>
          <w:tcPr>
            <w:tcW w:w="1418" w:type="dxa"/>
          </w:tcPr>
          <w:p w14:paraId="7146BC8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1BAD0D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6EBC86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E74565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2020F43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153EE35B" w14:textId="77777777">
        <w:tc>
          <w:tcPr>
            <w:tcW w:w="4077" w:type="dxa"/>
          </w:tcPr>
          <w:p w14:paraId="0575236D"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самолета «Звено»</w:t>
            </w:r>
          </w:p>
        </w:tc>
        <w:tc>
          <w:tcPr>
            <w:tcW w:w="1418" w:type="dxa"/>
          </w:tcPr>
          <w:p w14:paraId="79DCB85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апреля</w:t>
            </w:r>
          </w:p>
          <w:p w14:paraId="239957E6"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417" w:type="dxa"/>
          </w:tcPr>
          <w:p w14:paraId="4CCDC82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w:t>
            </w:r>
          </w:p>
          <w:p w14:paraId="0D836EF6"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276" w:type="dxa"/>
          </w:tcPr>
          <w:p w14:paraId="0644861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DD91F70"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w:t>
            </w:r>
          </w:p>
          <w:p w14:paraId="5D97C18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991" w:type="dxa"/>
          </w:tcPr>
          <w:p w14:paraId="21E97BCB"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37B0B169" w14:textId="77777777">
        <w:tc>
          <w:tcPr>
            <w:tcW w:w="4077" w:type="dxa"/>
          </w:tcPr>
          <w:p w14:paraId="28A4CDE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ракет. взлета ТБ1</w:t>
            </w:r>
          </w:p>
        </w:tc>
        <w:tc>
          <w:tcPr>
            <w:tcW w:w="1418" w:type="dxa"/>
          </w:tcPr>
          <w:p w14:paraId="557C31CB"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17" w:type="dxa"/>
          </w:tcPr>
          <w:p w14:paraId="188F23E5"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апрель</w:t>
            </w:r>
          </w:p>
          <w:p w14:paraId="4660D84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276" w:type="dxa"/>
          </w:tcPr>
          <w:p w14:paraId="0C566F65"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AFC275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667F2B65"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r>
      <w:tr w:rsidR="00F26F01" w:rsidRPr="00C33834" w14:paraId="2D86AACB" w14:textId="77777777">
        <w:tc>
          <w:tcPr>
            <w:tcW w:w="4077" w:type="dxa"/>
          </w:tcPr>
          <w:p w14:paraId="1092DC5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на дальность ТБ1</w:t>
            </w:r>
          </w:p>
        </w:tc>
        <w:tc>
          <w:tcPr>
            <w:tcW w:w="1418" w:type="dxa"/>
          </w:tcPr>
          <w:p w14:paraId="6D1ADAB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A46007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A8CA87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июня</w:t>
            </w:r>
          </w:p>
          <w:p w14:paraId="7128229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418" w:type="dxa"/>
          </w:tcPr>
          <w:p w14:paraId="2BC3E5A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июня</w:t>
            </w:r>
          </w:p>
          <w:p w14:paraId="154D2530"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991" w:type="dxa"/>
          </w:tcPr>
          <w:p w14:paraId="4B9851CB"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79C09D85" w14:textId="77777777">
        <w:tc>
          <w:tcPr>
            <w:tcW w:w="4077" w:type="dxa"/>
          </w:tcPr>
          <w:p w14:paraId="2253039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И5 на штопор</w:t>
            </w:r>
          </w:p>
        </w:tc>
        <w:tc>
          <w:tcPr>
            <w:tcW w:w="1418" w:type="dxa"/>
          </w:tcPr>
          <w:p w14:paraId="65BE7E0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7F5537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98EF6C8"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C9E439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5E9448FB"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7B03ED9D" w14:textId="77777777">
        <w:tc>
          <w:tcPr>
            <w:tcW w:w="4077" w:type="dxa"/>
          </w:tcPr>
          <w:p w14:paraId="6D67FD70"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на пикирование и составление инструкции на Р-5</w:t>
            </w:r>
          </w:p>
        </w:tc>
        <w:tc>
          <w:tcPr>
            <w:tcW w:w="1418" w:type="dxa"/>
          </w:tcPr>
          <w:p w14:paraId="497290EC"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B2E827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2506CD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26D65B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69E46BA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24F310D6" w14:textId="77777777">
        <w:tc>
          <w:tcPr>
            <w:tcW w:w="4077" w:type="dxa"/>
          </w:tcPr>
          <w:p w14:paraId="60BFA67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на пикирование и составление инструкции на Р-1</w:t>
            </w:r>
          </w:p>
        </w:tc>
        <w:tc>
          <w:tcPr>
            <w:tcW w:w="1418" w:type="dxa"/>
          </w:tcPr>
          <w:p w14:paraId="3361AB40"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4F37A6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BACD96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11D1F88"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154F797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553BDEFC" w14:textId="77777777">
        <w:tc>
          <w:tcPr>
            <w:tcW w:w="4077" w:type="dxa"/>
          </w:tcPr>
          <w:p w14:paraId="1BD9B65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на пикирование и составление инструкции на Р-6</w:t>
            </w:r>
          </w:p>
        </w:tc>
        <w:tc>
          <w:tcPr>
            <w:tcW w:w="1418" w:type="dxa"/>
          </w:tcPr>
          <w:p w14:paraId="0A34DDDB"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92FE18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CEB5F5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CB4828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13FFBE80"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32B82383" w14:textId="77777777">
        <w:tc>
          <w:tcPr>
            <w:tcW w:w="4077" w:type="dxa"/>
          </w:tcPr>
          <w:p w14:paraId="74E64302"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на пикирование и составление инструкции на И-3</w:t>
            </w:r>
          </w:p>
        </w:tc>
        <w:tc>
          <w:tcPr>
            <w:tcW w:w="1418" w:type="dxa"/>
          </w:tcPr>
          <w:p w14:paraId="40A59F4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CDC7B3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1703365"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8705C9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399C0D5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3987F6DF" w14:textId="77777777">
        <w:tc>
          <w:tcPr>
            <w:tcW w:w="4077" w:type="dxa"/>
          </w:tcPr>
          <w:p w14:paraId="5D3723D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на пикирование и составление инструкции на И-4</w:t>
            </w:r>
          </w:p>
        </w:tc>
        <w:tc>
          <w:tcPr>
            <w:tcW w:w="1418" w:type="dxa"/>
          </w:tcPr>
          <w:p w14:paraId="2765F0D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CD5B29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D301035"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7EAAF8D"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415D7616"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5C7BAD62" w14:textId="77777777">
        <w:tc>
          <w:tcPr>
            <w:tcW w:w="4077" w:type="dxa"/>
          </w:tcPr>
          <w:p w14:paraId="30168A6D"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на пикирование и составление инструкции на И-5</w:t>
            </w:r>
          </w:p>
        </w:tc>
        <w:tc>
          <w:tcPr>
            <w:tcW w:w="1418" w:type="dxa"/>
          </w:tcPr>
          <w:p w14:paraId="6BC94106"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2D083A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45897D5"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5C5964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4822073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79F874A8" w14:textId="77777777">
        <w:tc>
          <w:tcPr>
            <w:tcW w:w="4077" w:type="dxa"/>
          </w:tcPr>
          <w:p w14:paraId="0FB771BB"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Р5 на штопор при разных центровках</w:t>
            </w:r>
          </w:p>
        </w:tc>
        <w:tc>
          <w:tcPr>
            <w:tcW w:w="1418" w:type="dxa"/>
          </w:tcPr>
          <w:p w14:paraId="0B92C058"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7E9A64B"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99D592B"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472C33B"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61B8649B"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75D3CF9E" w14:textId="77777777">
        <w:tc>
          <w:tcPr>
            <w:tcW w:w="4077" w:type="dxa"/>
          </w:tcPr>
          <w:p w14:paraId="4BA055E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 санитарного самолета У2</w:t>
            </w:r>
          </w:p>
        </w:tc>
        <w:tc>
          <w:tcPr>
            <w:tcW w:w="1418" w:type="dxa"/>
          </w:tcPr>
          <w:p w14:paraId="610B7486"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F82261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EFB883D"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w:t>
            </w:r>
          </w:p>
          <w:p w14:paraId="62A63DC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1418" w:type="dxa"/>
          </w:tcPr>
          <w:p w14:paraId="1E9C451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октября</w:t>
            </w:r>
          </w:p>
          <w:p w14:paraId="6C148396"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года</w:t>
            </w:r>
          </w:p>
        </w:tc>
        <w:tc>
          <w:tcPr>
            <w:tcW w:w="991" w:type="dxa"/>
          </w:tcPr>
          <w:p w14:paraId="6A08FCB6"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2FCFF0B7" w14:textId="77777777">
        <w:tc>
          <w:tcPr>
            <w:tcW w:w="4077" w:type="dxa"/>
          </w:tcPr>
          <w:p w14:paraId="59D0EA1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ТБ1 с одним мотором и составление инструкций</w:t>
            </w:r>
          </w:p>
        </w:tc>
        <w:tc>
          <w:tcPr>
            <w:tcW w:w="1418" w:type="dxa"/>
          </w:tcPr>
          <w:p w14:paraId="3EB25558"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A80DFA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D108C25"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EDD1AB2"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2355DB6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24626FC7" w14:textId="77777777">
        <w:tc>
          <w:tcPr>
            <w:tcW w:w="4077" w:type="dxa"/>
          </w:tcPr>
          <w:p w14:paraId="57526995"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буксировки планера У2 самолетом У2</w:t>
            </w:r>
          </w:p>
        </w:tc>
        <w:tc>
          <w:tcPr>
            <w:tcW w:w="1418" w:type="dxa"/>
          </w:tcPr>
          <w:p w14:paraId="0FA94F7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D59ABD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42258BC"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4B2E110"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Испытание прекращено по технич. нецелесообр. </w:t>
            </w:r>
          </w:p>
        </w:tc>
        <w:tc>
          <w:tcPr>
            <w:tcW w:w="991" w:type="dxa"/>
          </w:tcPr>
          <w:p w14:paraId="6D710890"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r>
      <w:tr w:rsidR="00F26F01" w:rsidRPr="00C33834" w14:paraId="431D0B76" w14:textId="77777777">
        <w:tc>
          <w:tcPr>
            <w:tcW w:w="4077" w:type="dxa"/>
          </w:tcPr>
          <w:p w14:paraId="6F66FBA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Р6 на дальность</w:t>
            </w:r>
          </w:p>
        </w:tc>
        <w:tc>
          <w:tcPr>
            <w:tcW w:w="1418" w:type="dxa"/>
          </w:tcPr>
          <w:p w14:paraId="5CD252F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BC5F19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3D25DF0"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86A947B"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2BCF19C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w:t>
            </w:r>
          </w:p>
        </w:tc>
      </w:tr>
      <w:tr w:rsidR="00F26F01" w:rsidRPr="00C33834" w14:paraId="1AA396EA" w14:textId="77777777">
        <w:tc>
          <w:tcPr>
            <w:tcW w:w="4077" w:type="dxa"/>
          </w:tcPr>
          <w:p w14:paraId="4C4D86BB"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по выработке эталона на 1-ю половину 1933 года на самолете Р5</w:t>
            </w:r>
          </w:p>
        </w:tc>
        <w:tc>
          <w:tcPr>
            <w:tcW w:w="1418" w:type="dxa"/>
          </w:tcPr>
          <w:p w14:paraId="55369E1B"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B5C5A6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105378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02EFCAC"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75A01DC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0CA187D9" w14:textId="77777777">
        <w:tc>
          <w:tcPr>
            <w:tcW w:w="4077" w:type="dxa"/>
          </w:tcPr>
          <w:p w14:paraId="10E16242"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по выработке эталона на 1-ю половину 1933 года на самолете И5</w:t>
            </w:r>
          </w:p>
        </w:tc>
        <w:tc>
          <w:tcPr>
            <w:tcW w:w="1418" w:type="dxa"/>
          </w:tcPr>
          <w:p w14:paraId="318329E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FEAADE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91D3DF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1E02E6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0060622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7ABCEA88" w14:textId="77777777">
        <w:tc>
          <w:tcPr>
            <w:tcW w:w="4077" w:type="dxa"/>
          </w:tcPr>
          <w:p w14:paraId="2BE54CF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по выработке эталона на 1-ю половину 1933 года на самолете И7</w:t>
            </w:r>
          </w:p>
        </w:tc>
        <w:tc>
          <w:tcPr>
            <w:tcW w:w="1418" w:type="dxa"/>
          </w:tcPr>
          <w:p w14:paraId="16C6DD1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61B9FFD"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CD5A80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B9CFBE6"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1078861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5845F74D" w14:textId="77777777">
        <w:tc>
          <w:tcPr>
            <w:tcW w:w="4077" w:type="dxa"/>
          </w:tcPr>
          <w:p w14:paraId="3C7E5CD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по выработке эталона на 1-ю половину 1933 года на самолете ТБ3</w:t>
            </w:r>
          </w:p>
        </w:tc>
        <w:tc>
          <w:tcPr>
            <w:tcW w:w="1418" w:type="dxa"/>
          </w:tcPr>
          <w:p w14:paraId="56BD750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D409412"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17D454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DD7FE0C"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123A0E5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3F07593B" w14:textId="77777777">
        <w:tc>
          <w:tcPr>
            <w:tcW w:w="4077" w:type="dxa"/>
          </w:tcPr>
          <w:p w14:paraId="0F2D25E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по выработке эталона на 1-ю половину 1933 года на самолете Р6</w:t>
            </w:r>
          </w:p>
        </w:tc>
        <w:tc>
          <w:tcPr>
            <w:tcW w:w="1418" w:type="dxa"/>
          </w:tcPr>
          <w:p w14:paraId="5214F6F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95299C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0E318ED"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3401290"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2C150FA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2AB23383" w14:textId="77777777">
        <w:tc>
          <w:tcPr>
            <w:tcW w:w="4077" w:type="dxa"/>
          </w:tcPr>
          <w:p w14:paraId="17F7102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по выработке эталона на 1-ю половину 1933 года на самолете У2</w:t>
            </w:r>
          </w:p>
        </w:tc>
        <w:tc>
          <w:tcPr>
            <w:tcW w:w="1418" w:type="dxa"/>
          </w:tcPr>
          <w:p w14:paraId="7C33EC0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EF2C166"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1F265C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B38847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423FF54C"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31642B11" w14:textId="77777777">
        <w:tc>
          <w:tcPr>
            <w:tcW w:w="4077" w:type="dxa"/>
          </w:tcPr>
          <w:p w14:paraId="116EE655"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эталона У2 на 1933 год</w:t>
            </w:r>
          </w:p>
        </w:tc>
        <w:tc>
          <w:tcPr>
            <w:tcW w:w="1418" w:type="dxa"/>
          </w:tcPr>
          <w:p w14:paraId="6687182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7B58E3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B1EBBB6"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5141122"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0DE1FAE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078517E0" w14:textId="77777777">
        <w:tc>
          <w:tcPr>
            <w:tcW w:w="4077" w:type="dxa"/>
          </w:tcPr>
          <w:p w14:paraId="6AD5044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Р5 М34</w:t>
            </w:r>
          </w:p>
        </w:tc>
        <w:tc>
          <w:tcPr>
            <w:tcW w:w="1418" w:type="dxa"/>
          </w:tcPr>
          <w:p w14:paraId="09117D6C"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F054E1B"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99252A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D79996C"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поступил от пром-ти</w:t>
            </w:r>
          </w:p>
        </w:tc>
        <w:tc>
          <w:tcPr>
            <w:tcW w:w="991" w:type="dxa"/>
          </w:tcPr>
          <w:p w14:paraId="4CFFAC62"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tc>
      </w:tr>
      <w:tr w:rsidR="00F26F01" w:rsidRPr="00C33834" w14:paraId="7717A9D5" w14:textId="77777777">
        <w:tc>
          <w:tcPr>
            <w:tcW w:w="4077" w:type="dxa"/>
          </w:tcPr>
          <w:p w14:paraId="17F1B1E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Совместно с НИИ ГУГВФ испытания АНТ-9 2М17</w:t>
            </w:r>
          </w:p>
        </w:tc>
        <w:tc>
          <w:tcPr>
            <w:tcW w:w="1418" w:type="dxa"/>
          </w:tcPr>
          <w:p w14:paraId="2E4300B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B7EB0B0"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64D2BB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993459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21E20648"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r>
      <w:tr w:rsidR="00F26F01" w:rsidRPr="00C33834" w14:paraId="372C8F5B" w14:textId="77777777">
        <w:tc>
          <w:tcPr>
            <w:tcW w:w="4077" w:type="dxa"/>
          </w:tcPr>
          <w:p w14:paraId="61DB3AA0"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легкого самолета НИАИ-1</w:t>
            </w:r>
          </w:p>
        </w:tc>
        <w:tc>
          <w:tcPr>
            <w:tcW w:w="1418" w:type="dxa"/>
          </w:tcPr>
          <w:p w14:paraId="3264FBD8"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71E60A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36E3EE2"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76F2CA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4F10161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47FF0967" w14:textId="77777777">
        <w:tc>
          <w:tcPr>
            <w:tcW w:w="4077" w:type="dxa"/>
          </w:tcPr>
          <w:p w14:paraId="43845A78"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буксир. планера ТБ3 самолета Р5</w:t>
            </w:r>
          </w:p>
        </w:tc>
        <w:tc>
          <w:tcPr>
            <w:tcW w:w="1418" w:type="dxa"/>
          </w:tcPr>
          <w:p w14:paraId="478F8137"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75CE9B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27F811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08897F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3339B5C5"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55118EB1" w14:textId="77777777">
        <w:tc>
          <w:tcPr>
            <w:tcW w:w="4077" w:type="dxa"/>
          </w:tcPr>
          <w:p w14:paraId="1E188F2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ТБ3-4М17 головного серийного завода № 39</w:t>
            </w:r>
          </w:p>
        </w:tc>
        <w:tc>
          <w:tcPr>
            <w:tcW w:w="1418" w:type="dxa"/>
          </w:tcPr>
          <w:p w14:paraId="2F38CA1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0ADEF62"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BC5555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C671901"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1A3742FC"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4B7ECA72" w14:textId="77777777">
        <w:tc>
          <w:tcPr>
            <w:tcW w:w="4077" w:type="dxa"/>
          </w:tcPr>
          <w:p w14:paraId="1D9C11A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автожира с титан.</w:t>
            </w:r>
          </w:p>
        </w:tc>
        <w:tc>
          <w:tcPr>
            <w:tcW w:w="1418" w:type="dxa"/>
          </w:tcPr>
          <w:p w14:paraId="075D854B"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9CF310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C9824B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3C57E8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0A932F00"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r>
      <w:tr w:rsidR="00F26F01" w:rsidRPr="00C33834" w14:paraId="63EA319C" w14:textId="77777777">
        <w:tc>
          <w:tcPr>
            <w:tcW w:w="4077" w:type="dxa"/>
          </w:tcPr>
          <w:p w14:paraId="5A296123"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автожира с М26</w:t>
            </w:r>
          </w:p>
        </w:tc>
        <w:tc>
          <w:tcPr>
            <w:tcW w:w="1418" w:type="dxa"/>
          </w:tcPr>
          <w:p w14:paraId="008060D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81106BA"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03C04DC"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9933175"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5EDD1E8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r>
      <w:tr w:rsidR="00F26F01" w:rsidRPr="00C33834" w14:paraId="0366B80F" w14:textId="77777777">
        <w:tc>
          <w:tcPr>
            <w:tcW w:w="4077" w:type="dxa"/>
          </w:tcPr>
          <w:p w14:paraId="2A7E0976"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параболы</w:t>
            </w:r>
          </w:p>
        </w:tc>
        <w:tc>
          <w:tcPr>
            <w:tcW w:w="1418" w:type="dxa"/>
          </w:tcPr>
          <w:p w14:paraId="403DBAE6"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B37EAE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B3ADE6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C74053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79F9E8D9"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r>
      <w:tr w:rsidR="00F26F01" w:rsidRPr="00C33834" w14:paraId="23A71DED" w14:textId="77777777">
        <w:tc>
          <w:tcPr>
            <w:tcW w:w="4077" w:type="dxa"/>
          </w:tcPr>
          <w:p w14:paraId="16AFC83B"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геликоптера ВГ1</w:t>
            </w:r>
          </w:p>
        </w:tc>
        <w:tc>
          <w:tcPr>
            <w:tcW w:w="1418" w:type="dxa"/>
          </w:tcPr>
          <w:p w14:paraId="70A13C6C"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497F5E4"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4C11302"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E02EBD8"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511EBF8B"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bl>
    <w:p w14:paraId="5D33CC30"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(6778).</w:t>
      </w:r>
    </w:p>
    <w:p w14:paraId="272D2508"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F26459" w14:textId="77777777" w:rsidR="00D8588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lastRenderedPageBreak/>
        <w:t>Другие оборонные отрасли:</w:t>
      </w:r>
    </w:p>
    <w:p w14:paraId="330065E7" w14:textId="77777777" w:rsidR="00D8588A" w:rsidRPr="00C33834" w:rsidRDefault="00D8588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15211E8"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9 января 1933 года РВС СССР приказом № 02 за подписью М.Н.Тухачевского преобразовал лабораторию ВВСЛ в Военный научно-медицинский институт РККА (ВМИ) с подчинением его ВСУ. В основном институт был ориентирован на решение оборонительных задач биологической войны: 1) разработку научных вопросов создания средств защиты от бактериологического нападения; 2) разработку и организацию производства сывороток и вакцин, необходимых для профилактических работ в РККА). </w:t>
      </w:r>
    </w:p>
    <w:p w14:paraId="3485B398"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Следует подчеркнуть, что конкурентные отношения двух военных ведомств (ВОХИМУ и ВСУ) за лидерское место в военно-биологической области отражали объективную реальность. Фактически речь шла о том, что именно закладывать в фундамент работ - наступательную или оборонительную составляющую биологической войны. На том этапе "победили химики", изначально выступавшие за наступательную ориентацию работ и уже добившиеся серьезных результатов в создании рецептур биологического оружия. </w:t>
      </w:r>
    </w:p>
    <w:p w14:paraId="08479E8C"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конце лета 1934 года решением наркома К.Е.Ворошилова ВМИ РККА был передан из ВСУ в ведение ВОХИМУ с переориентацией главным образом на решение наступательных задач биологической войны. Осенью 1934 года эта организация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3E9A098C"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366D0B8A"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10607225"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конце лета 1934 года решением наркома К.Е.Ворошилова ВМИ РККА был передан из ВСУ в ведение ВОХИМУ с переориентацией главным образом на решение наступательных задач биологической войны. Осенью 1934 года эта организация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5F07B414"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45945DC6"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67DE4E18"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Осенью 1934 года ВМИ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5666CE67"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41091D89"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15BEDBA0"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10 марта 1937 приказом наркома обороны К.Е.Ворошилова № 0012 военно-биологический институт (к этому времени он обрел новое название - БИТИ, то есть Биотехнический институт) был изъят из ведения ХИМУ РККА и подчинен непосредственно начальнику вооружений. </w:t>
      </w:r>
    </w:p>
    <w:p w14:paraId="55FC4E35"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 тому времени в БИТИ уже было создано несколько эффективных образцов биологического оружия. </w:t>
      </w:r>
    </w:p>
    <w:p w14:paraId="4B51333A"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Остается добавить, что в 1937 году в силу известных обстоятельств с горизонта исчезли и все руководители, боровшиеся между собой за лидерство в разработках биологического оружия, - глава БИТИ И.М.Великанов, а также главы ХИМУ и ВСУ РККА Я.М.Фишман и М.И.Баранов (1888-1943). </w:t>
      </w:r>
    </w:p>
    <w:p w14:paraId="05270819"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Начальник ХИМУ Я.М.Фишман вплоть до самого ареста не терял надежду на возвращение контроля за военно-биологическими работами. Во всяком случае в одном из последних рукописных документов, который был подготовлен им 25 апреля 1937 года, однако так и не попал в руки машинистки для перепечатки (как раз в ту ночь его "взяли"), обе военно-биологических организации (и БИТИ, и III-я испытательная лаборатория) еще рассматривались им как учреждения ХИМУ. Однако после ареста Я.М.Фишмана новый руководитель М.И.Степанов уже не очень активно боролся за контроль над военно-биологической проблематикой. В самом начале 1938 года БИТИ полностью утратил связи с ХИМУ РККА. </w:t>
      </w:r>
    </w:p>
    <w:p w14:paraId="456E5A42"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И.М.Великанов был арестован 5 июля 1937 года как "японский шпион" (предлог был - осенью 1934 года в качестве начальника БИХИ он в составе делегации из трех человек действительно побывал на международной конференции Красного Креста в Токио, руководителем той делегации был известный советский дипломат Раковский) и через 9 месяцев расстрелян в Бутырской тюрьме.</w:t>
      </w:r>
    </w:p>
    <w:p w14:paraId="35897224"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БИТИ возглавил микробиолог Л.М.Хатеневер (1896-1948) (11776).</w:t>
      </w:r>
    </w:p>
    <w:p w14:paraId="74EC9296" w14:textId="77777777" w:rsidR="00D8588A" w:rsidRPr="00C33834" w:rsidRDefault="00D8588A"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C07795" w14:textId="77777777" w:rsidR="00D8588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1CB868F8" w14:textId="77777777" w:rsidR="00D8588A" w:rsidRPr="00C33834" w:rsidRDefault="00D8588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99FC3C3"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января 1933 года в парижской газете "Возрождение" вспоминал невозвращенец, чиновник Госбанка СССР Янишевский:</w:t>
      </w:r>
    </w:p>
    <w:p w14:paraId="31260F98"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Ленине всего раз 5-6 мы отправляли транспорты золота довольно крупными партиями. Один раз Красину было послано золота на 2 миллиона английских фунтов. Операции с золотом проводились по отдельной секретной книжке, лежавшей в несгораемом шкафу центральной кассы. Туда заносились на одной стороне продажа в кредит, примерно, "лондонскому Аркосу", берлинскому торгпредству, стокгольмскому торгпредству, а в дебет - "поступление от центральной кассы Госбанка".</w:t>
      </w:r>
    </w:p>
    <w:p w14:paraId="1C310872"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1924 г. началась более или менее нормальная добыча золота на советских приисках, также и на концессии "Лена". Цифры добычи старались держать в секрете, но было известно, что едва удаётся добыть 30% против довоенной нормы. С этого же года начались усиленные отправки золота за границу. Особенно много шло в Германию.</w:t>
      </w:r>
    </w:p>
    <w:p w14:paraId="201DC92B"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Мы автоматически записывали по запискам, не принимая никакого участия в проверке прихода-расхода металла. Мы видели только, что золото тает. Бухгалтера по заказу политбюро составляли балансы; чем больше выпускалось бумажных червонцев из типографии, тем больше прибавлялось золота в обеспечительном фонде.</w:t>
      </w:r>
    </w:p>
    <w:p w14:paraId="31BB4299"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Балансы переводились на иностранные языки и рассылались заграничным корреспондентам, а те, конечно, верили каждой цифре. Некоторые корреспонденты, как английские, так и американские банкиры, наивно спрашивали, не найдёт ли Госбанк более целесообразным для укрепления своей валюты послать часть золотого запаса для хранения за границей. Мы отписывались как могли, а в душе смеялись над наивностью иностранных банкиров. </w:t>
      </w:r>
    </w:p>
    <w:p w14:paraId="77F6C876"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1926 г. Шейнман уверял Сталина, что ему удастся провести котировку червонца на европейских и американских биржах, но настаивал на отправке золота в Нью-Йорк и Лондон хотя бы на 100 млн. руб. Сталин, как мне передавал член правления Госбанка Каценеленбаум Захар С., только иронизировал над Шенманом.</w:t>
      </w:r>
    </w:p>
    <w:p w14:paraId="517551C0"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три года - 1927, 1928 и 1929 - отправлено за границу на 390 млн. руб. золота.</w:t>
      </w:r>
    </w:p>
    <w:p w14:paraId="1CCE0865"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эти годы 90% золота отправлялось в адрес Рейхсбанка. Почти каждые две недели уходили огромные транспорты с золотом. Обычно эти операции проделывались по ночам, чтобы публика не видела, что российское золото везут за границу. Тут все чиновники поняли, что Сталин разматывает последние остатки российского золотого запаса.</w:t>
      </w:r>
    </w:p>
    <w:p w14:paraId="2724D5C5"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Однажды Каценеленбаум Захар С., проверявший расчёты с Рейхсбанком, сказал мне: "Вот, оказывается, мы нашим золотом спасаем немецкую валюту. Какое же ещё другое государство будет платить золотом за машины и другие изделия, которые все покупают в долгосрочный кредит. А эти проклятые немцы высасывают из нас всё золото". Я промолчал, опасаясь провокации, хотя и не сомневался в искренности Каценеленбаума Захара С., кстати сказать, весьма близкого к Сталину человека. Его часто вызывают на тайные совещания с диктатором.</w:t>
      </w:r>
    </w:p>
    <w:p w14:paraId="4B29C08E"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 книгам Госбанка за 9 лет, с 1923 по 1930-31 гг., Рейхсбанк получил от нас золота свыше 1 миллиарда марок, английские банки - на 600 млн. мар., скандинавские и американские - на 650 млн. марок. </w:t>
      </w:r>
    </w:p>
    <w:p w14:paraId="1BCCE732"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Я считаю, что не только весь золотой запас, но и значительная часть добычи золота за последние 8 лет, как и золота, захваченного в церквах и у частных лиц, - распродано за границей. </w:t>
      </w:r>
    </w:p>
    <w:p w14:paraId="1ECE3A50"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ведь я привожу итоги только по тем транспортам, которые шли за границу через Госбанк. Но кроме того, золото посылалось непосредственно полпредам и другим агентам для различных политических и пропагандистских целей. Этого учесть нельзя вовсе.</w:t>
      </w:r>
    </w:p>
    <w:p w14:paraId="689FDE09"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 вопрос: сколько же осталось у советского правительства золота, я могу по совести сказать - максимум на 50-60 млн. золотых рублей. А валюты в Госбанке вряд ли наберётся на 1-2 миллиона долларов. </w:t>
      </w:r>
    </w:p>
    <w:p w14:paraId="5815EA57"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Как только собирается на несколько сот тысяч долларов, так её экстренным порядком, часто на самолёте, посылают в Берлин на платежи по векселям. Официальные же балансы Госбанка представляют сплошной подлог (11552).</w:t>
      </w:r>
    </w:p>
    <w:p w14:paraId="5BCBFB19"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p w14:paraId="14493ABC" w14:textId="77777777" w:rsidR="00AF2EC7" w:rsidRPr="00C33834" w:rsidRDefault="00AF2EC7"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85EF1C5" w14:textId="77777777" w:rsidR="00AF2EC7" w:rsidRPr="00C33834" w:rsidRDefault="00AF2EC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585685D" w14:textId="77777777" w:rsidR="00AF2EC7" w:rsidRPr="00C33834" w:rsidRDefault="00AF2EC7" w:rsidP="00C33834">
      <w:pPr>
        <w:shd w:val="clear" w:color="auto" w:fill="FFFFFF"/>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11 января 1933 г. П.И.Баранов издал приказ о формировании на заводе № 39 нового ЦКБ «для организации замкнутого цикла проектирования и производства лёгких самолётов» (т.е. конструкторские отделы ЦАГИ, занимавшиеся тяжёлыми самолётами, были вновь изъяты из состава ЦКБ). В ЦКБ создаётся 6 бригад, в т.ч. бригада №3 Чижевского для продолжения работ над самолётом СС (в документах он также именуется ЦКБ-2). Вероятно, тогда же принимается решение о слиянии БНК сначала с ЦАГИ, а затем о переводе БНК в состав ЦКБ на завод № 39. Лавочкин становится сотрудником этого завода. В результате всего этого оба проекта стратосферных самолётов оказались в подчинении у С.В.Ильюшина как руководителя ЦКБ завода № 39. У Ильюшина возникло сомнение в целесообразности продолжения работ по проекту БНК-4, параллельно с работами по самолёту СС, которому он отдавал предпочтение (19876).</w:t>
      </w:r>
    </w:p>
    <w:p w14:paraId="4A01B7B0" w14:textId="77777777" w:rsidR="00AF2EC7" w:rsidRPr="00C33834" w:rsidRDefault="00AF2EC7" w:rsidP="00C33834">
      <w:pPr>
        <w:spacing w:after="0" w:line="240" w:lineRule="auto"/>
        <w:jc w:val="both"/>
        <w:rPr>
          <w:rFonts w:ascii="Times New Roman" w:hAnsi="Times New Roman"/>
          <w:color w:val="0070C0"/>
          <w:sz w:val="16"/>
          <w:szCs w:val="16"/>
        </w:rPr>
      </w:pPr>
    </w:p>
    <w:p w14:paraId="3B6CD2B6" w14:textId="77777777" w:rsidR="00D8588A"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58DC67C8" w14:textId="77777777" w:rsidR="00D8588A" w:rsidRPr="00C33834" w:rsidRDefault="00D8588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A86516E" w14:textId="77777777" w:rsidR="002E1BE7" w:rsidRPr="00C33834" w:rsidRDefault="002E1BE7" w:rsidP="00C33834">
      <w:pPr>
        <w:pStyle w:val="rtejustify"/>
        <w:spacing w:before="0" w:after="0"/>
        <w:rPr>
          <w:color w:val="000000" w:themeColor="text1"/>
          <w:sz w:val="16"/>
          <w:szCs w:val="16"/>
        </w:rPr>
      </w:pPr>
      <w:r w:rsidRPr="00C33834">
        <w:rPr>
          <w:color w:val="000000" w:themeColor="text1"/>
          <w:sz w:val="16"/>
          <w:szCs w:val="16"/>
        </w:rPr>
        <w:t>11 января 1933 г. вопросы войсковой мобилизации вновь переданы ГУ РККА. По положению о Наркомате обороны СССР от 22 ноября 1934 г. ГУ РККА преобразовывалось в Административно-мобилизационное управление РККА — центральный орган по руководству комплектованием армии личным составом, организационно-штатными вопросами, войсковой мобилизацией, устройством и службой быта РККА (12411).</w:t>
      </w:r>
    </w:p>
    <w:p w14:paraId="2DEEA069" w14:textId="77777777" w:rsidR="002E1BE7" w:rsidRPr="00C33834" w:rsidRDefault="002E1BE7" w:rsidP="00C33834">
      <w:pPr>
        <w:spacing w:after="0" w:line="240" w:lineRule="auto"/>
        <w:jc w:val="both"/>
        <w:rPr>
          <w:rFonts w:ascii="Times New Roman" w:hAnsi="Times New Roman"/>
          <w:color w:val="000000" w:themeColor="text1"/>
          <w:sz w:val="16"/>
          <w:szCs w:val="16"/>
        </w:rPr>
      </w:pPr>
    </w:p>
    <w:p w14:paraId="368C9F82"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января 1933 п Кестеринг проинформировал нач. штаба РККА А.И.Егорова за 19 дней до прихода А.Г. к власти о скором закрытии школы в Липецке (1795,39).</w:t>
      </w:r>
    </w:p>
    <w:p w14:paraId="4BCFFD04"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p w14:paraId="052A648A" w14:textId="77777777" w:rsidR="00D8588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465FACB1" w14:textId="77777777" w:rsidR="00D8588A" w:rsidRPr="00C33834" w:rsidRDefault="00D8588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F70E2BB" w14:textId="77777777" w:rsidR="00804D55" w:rsidRPr="00C33834" w:rsidRDefault="00804D5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января 1933. Первыми получили паспорта рабочие и служащие десяти предприятий столицы - по одному в каждом районе Москвы. На предприятиях и в домоуправлениях организовали комиссии содействия паспортному отделу. По мере выдачи паспортов отделения милиции приступили к прописке москвичей (18722).</w:t>
      </w:r>
    </w:p>
    <w:p w14:paraId="08B7175F" w14:textId="77777777" w:rsidR="00804D55" w:rsidRPr="00C33834" w:rsidRDefault="00804D55" w:rsidP="00C33834">
      <w:pPr>
        <w:spacing w:after="0" w:line="240" w:lineRule="auto"/>
        <w:jc w:val="both"/>
        <w:rPr>
          <w:rFonts w:ascii="Times New Roman" w:hAnsi="Times New Roman"/>
          <w:color w:val="000000" w:themeColor="text1"/>
          <w:sz w:val="16"/>
          <w:szCs w:val="16"/>
        </w:rPr>
      </w:pPr>
    </w:p>
    <w:p w14:paraId="73085F84"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января 1933 вышло Постановление Пленума ЦК и ЦКК ВКП(б) о создании политотделов в совхозах и МТС (10687).</w:t>
      </w:r>
    </w:p>
    <w:p w14:paraId="23453A26"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p w14:paraId="31D48C90" w14:textId="77777777" w:rsidR="00FA4B7D"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221321A" w14:textId="77777777" w:rsidR="00FA4B7D" w:rsidRPr="00C33834" w:rsidRDefault="00FA4B7D"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E8BD55B" w14:textId="77777777" w:rsidR="00FA4B7D" w:rsidRPr="00C33834" w:rsidRDefault="00FA4B7D"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11 января</w:t>
      </w:r>
      <w:r w:rsidRPr="00C33834">
        <w:rPr>
          <w:rFonts w:ascii="Times New Roman" w:hAnsi="Times New Roman"/>
          <w:color w:val="000000" w:themeColor="text1"/>
          <w:sz w:val="16"/>
          <w:szCs w:val="16"/>
        </w:rPr>
        <w:t xml:space="preserve"> в 1933 году первый полёт первого опытного бомбардировщика-торпедоносца «Vickers» «Type 207» («S1461») (компания «Vickers», Великобритания). Самолет представлял собой двухместный одностоечный биплан смешанной конструкции, со складывающимися крыльями, оборудованный двенадцатицилиндровым двигателем «Rolls-Royce» «Buzzard IIIMS» мощностью 825 л.с. Вооружение самолета состояло из переднего синхронизированного 7.7-мм пулемета «Vickers», 7.7-мм пулемета Lewis установленного в задней кабине и четырех 250 килограммовых бомб (или одной торпеды «Mk.VIII» массой 862 кг).Уже после первых полетов стало ясно, что самолет не может удовлетворить требованиям спецификации, и его в ходе заводских испытаний постоянно дорабатывали. В ноябре 1933 года, во время проведения испытании по сбросу торпеды самолет потерпел аварию и больше не восстанавливался (15006).</w:t>
      </w:r>
    </w:p>
    <w:p w14:paraId="2584C998" w14:textId="77777777" w:rsidR="00FA4B7D" w:rsidRPr="00C33834" w:rsidRDefault="00FA4B7D" w:rsidP="00C33834">
      <w:pPr>
        <w:spacing w:after="0" w:line="240" w:lineRule="auto"/>
        <w:jc w:val="both"/>
        <w:rPr>
          <w:rFonts w:ascii="Times New Roman" w:hAnsi="Times New Roman"/>
          <w:color w:val="000000" w:themeColor="text1"/>
          <w:sz w:val="16"/>
          <w:szCs w:val="16"/>
        </w:rPr>
      </w:pPr>
    </w:p>
    <w:p w14:paraId="72369545" w14:textId="77777777" w:rsidR="00D8588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3097C17" w14:textId="77777777" w:rsidR="00D8588A" w:rsidRPr="00C33834" w:rsidRDefault="00D8588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DEA5A4C"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января 1933 Нач. ЦАГИ Харламов и Нач. КОСОС А.Н.Т. писали письмо Нач. ВВС РККА Алкснису:</w:t>
      </w:r>
    </w:p>
    <w:p w14:paraId="7296C436"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опытного строительства был утвержден Правительством 4-го июля 1932 г. и несмотря на неоднократные с нашей стороны просьбы, лицо ряда самолетов совершенно не выяснено, а это не дает возможности развернуть конструкторские работы полностью.</w:t>
      </w:r>
    </w:p>
    <w:p w14:paraId="1CF24B13"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До сего времени управление Воздушных Сил не могло нам указать лицо машины ДИ-6 и дать на нее технические требования, несмотря на то, что срок выхода машины установлен 1/VI-33 г. Срок изготовления намечается 10 мес. по получении технических требований.</w:t>
      </w:r>
    </w:p>
    <w:p w14:paraId="1636CA55"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Неясность лица машины СК1, большой объем работы и близость сроков его выпуска (на Гос. испытание 1/X-33 г.) заставило ЦАГИ развернуть работу на основании требований, имеющихся в правительственном плане. Со стороны же УВВС нет указаний каковым должно быть лицо этой машины. Если проводимая нами работа окажется несоответствующей тому лицу машины, какое предъявит ЦАГИ УВВС вместе с техническими требованиями, работа будет сорвана (а вместе с ней и сроки.</w:t>
      </w:r>
    </w:p>
    <w:p w14:paraId="4EFCDBB8"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По самолету ТШ-3 - М34 объем поставленного Правительством задания имеет всего лишь установку М-34 на ТШ-2-М17. Имея в виду, что самолет ТШ-2 в настоящее время к производству не намечается, а этим самым ставится вопрос о проектировании и постройке новой машины ТШ3-М34, т.е. выполнение ЦАГИ работы намечается несравненно в большем объеме, чем предполагалось.</w:t>
      </w:r>
    </w:p>
    <w:p w14:paraId="55860E90"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Если данного типа машина требуется ВВС в срочном порядке, то ЦАГИ просит в таком порядке определить лицо машины и прислать ему технические требования, имея в виду, что со дня согласования технических требований на проектирование и постройку машины потребуется минимально 9 - 12 месяцев (в зависимости от нагрузки соответственной конструкторской бригады).</w:t>
      </w:r>
    </w:p>
    <w:p w14:paraId="12E999A9"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 программе опытного строительства поставлен гидросамолет МДР4-3М34.</w:t>
      </w:r>
    </w:p>
    <w:p w14:paraId="26B898BA"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и технические требования к нему определяются по согласованию с Вами.</w:t>
      </w:r>
    </w:p>
    <w:p w14:paraId="12C7D11E"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Машина достаточно сложная и требует полной проработки всего проекта заново.</w:t>
      </w:r>
    </w:p>
    <w:p w14:paraId="16AE328F"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Точно также и по этой машине требуется получить от Вас в срочном порядке технические требования, имея в виду, что проектирование и постройка потребует времени минимально 10 месяцев со дня согласования, с Вами технических требований.</w:t>
      </w:r>
    </w:p>
    <w:p w14:paraId="33D65671"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В числе экспериментальных самолетов имеется парабола с 2М11 со сроком постройки 1/X-33 г.</w:t>
      </w:r>
    </w:p>
    <w:p w14:paraId="40BEF342"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Учитывая полученный опыт с одномоторной параболой, ЦАГИ полагает возможным и более целесообразным взамен экспериментальной переходной машины параболы с 2М11 строить уже не переходную машину, а экспериментальную с 2-мя моторами по 400-600 НР, которая могла бы иметь эксплуатационное значение.</w:t>
      </w:r>
    </w:p>
    <w:p w14:paraId="78870C61"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связи с этим увеличивается масштаб машины, а следовательно и объем конструкторских производственных работ.</w:t>
      </w:r>
    </w:p>
    <w:p w14:paraId="6FF2EA88"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основании приведенных соображений ЦАГИ просит утвердить новый срок выхода на аэродром ЛК2М (400 - 600) на 1-ое мая 1934 года.</w:t>
      </w:r>
    </w:p>
    <w:p w14:paraId="551C6901"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Согласно постановления совещания, состоявшегося в ЦАГИ 6/XII-32 г. Вами было решено, что НИИ должен в 3-х дневный срок представить в ЦАГИ технические требования на самолет И-14. Техтребования на И-14 получено только 4/I-33 г. между тем как проект машины закончен и все чертежи переданы на производство.</w:t>
      </w:r>
    </w:p>
    <w:p w14:paraId="3DF5201C"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Согласно того же совещания по самолету ДИП Вами решение было предложить НИИ в 10 дневный срок представить ЦАГИ технические требования, но таковые получены только 4/I-33 г. Работа по этой машине Институтом развернута по проектированию и производству, полностью.</w:t>
      </w:r>
    </w:p>
    <w:p w14:paraId="7FDD965A"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По самолету И-13 срок его выхода на испытание назначен 1/VI-33 г. Лицо машины определено только лишь 30 декабря 32 г. По получении требований на И-13-М32 ЦАГИ должен начать проектировать новый самолет так как вся работа проводилась им за 6 месяцев до этого по самолету И-13 (вариант развития И-8). Срок изготовления И-13-М-32 по техтребованиям будет 1/XII-33 г.</w:t>
      </w:r>
    </w:p>
    <w:p w14:paraId="72DE0622"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По ЛР в виду краткости срока, как Вам известно, машина была начата проектированием до получения от Вас желательного лица машины, 8 декабря в совещании под вашим председательством, задний стрелок в нашем проекте заменен стрелком стреляющим сидя, что заставило выбросить вполне готовый комплект чертежей и начать проектирование машины снова, чем срок окончания машины соответственно определяется.</w:t>
      </w:r>
    </w:p>
    <w:p w14:paraId="4A9E47E7"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в технических требованиях УВВС эту машину радиус действия устанавливаемый в требованиях правительственного плана повышен УВВС на 20% без всякого согласования с ЦАГИ. Это новое требование ВВС заставляет ЦАГИ снова пересматривать проект, что отдаляет срок выхода самолета.</w:t>
      </w:r>
    </w:p>
    <w:p w14:paraId="35394501"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настоящий момент эти новые обстоятельства заставляют ЦАГИ пересмотреть срок выхода самолетов на испытание и сообщить Вам дополнительно." (2305,3).</w:t>
      </w:r>
    </w:p>
    <w:p w14:paraId="71191A44"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p w14:paraId="6B1199E9" w14:textId="77777777" w:rsidR="002E1BE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D4A7F8D" w14:textId="77777777" w:rsidR="002E1BE7" w:rsidRPr="00C33834" w:rsidRDefault="002E1BE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E0BFA1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января 1933 г. — Сводка Главного военно-мобилизационного управления Наркомата тяжелой промышленности СССР о выполнении промышленностью текущих военных заказов Наркомата по военным и морским делам СССР за 1932 г.</w:t>
      </w:r>
    </w:p>
    <w:p w14:paraId="3C865B9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Совершенно секретно.</w:t>
      </w:r>
    </w:p>
    <w:p w14:paraId="09736BE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главным номенклатурам)</w:t>
      </w:r>
    </w:p>
    <w:tbl>
      <w:tblPr>
        <w:tblpPr w:leftFromText="45" w:rightFromText="45" w:vertAnchor="text"/>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33"/>
        <w:gridCol w:w="1256"/>
        <w:gridCol w:w="825"/>
        <w:gridCol w:w="997"/>
        <w:gridCol w:w="655"/>
        <w:gridCol w:w="655"/>
        <w:gridCol w:w="655"/>
        <w:gridCol w:w="1614"/>
        <w:gridCol w:w="1262"/>
        <w:gridCol w:w="1270"/>
      </w:tblGrid>
      <w:tr w:rsidR="00F26F01" w:rsidRPr="00C33834" w14:paraId="295DEC9A" w14:textId="77777777" w:rsidTr="002E1BE7">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BFFF09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Номенклатура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4BD78A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заказа НКВМ в 1931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3CA16B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Годовой заказ на 1932 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AD6ADA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за 1932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8D159A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Годовой заказ на 1933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2684D8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 изготов</w:t>
            </w:r>
            <w:r w:rsidRPr="00C33834">
              <w:rPr>
                <w:rFonts w:ascii="Times New Roman" w:hAnsi="Times New Roman"/>
                <w:color w:val="000000" w:themeColor="text1"/>
                <w:sz w:val="16"/>
                <w:szCs w:val="16"/>
              </w:rPr>
              <w:softHyphen/>
              <w:t>ления к годовому заказу</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6731E4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 предъяв</w:t>
            </w:r>
            <w:r w:rsidRPr="00C33834">
              <w:rPr>
                <w:rFonts w:ascii="Times New Roman" w:hAnsi="Times New Roman"/>
                <w:color w:val="000000" w:themeColor="text1"/>
                <w:sz w:val="16"/>
                <w:szCs w:val="16"/>
              </w:rPr>
              <w:softHyphen/>
              <w:t>ления к годовому заказу</w:t>
            </w:r>
          </w:p>
        </w:tc>
      </w:tr>
      <w:tr w:rsidR="00F26F01" w:rsidRPr="00C33834" w14:paraId="187FBB6B" w14:textId="77777777" w:rsidTr="002E1BE7">
        <w:tc>
          <w:tcPr>
            <w:tcW w:w="0" w:type="auto"/>
            <w:vMerge/>
            <w:tcBorders>
              <w:top w:val="outset" w:sz="6" w:space="0" w:color="auto"/>
              <w:left w:val="outset" w:sz="6" w:space="0" w:color="auto"/>
              <w:bottom w:val="outset" w:sz="6" w:space="0" w:color="auto"/>
              <w:right w:val="outset" w:sz="6" w:space="0" w:color="auto"/>
            </w:tcBorders>
            <w:vAlign w:val="center"/>
            <w:hideMark/>
          </w:tcPr>
          <w:p w14:paraId="134AA31E" w14:textId="77777777" w:rsidR="002E1BE7" w:rsidRPr="00C33834" w:rsidRDefault="002E1BE7"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60813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данным производ</w:t>
            </w:r>
            <w:r w:rsidRPr="00C33834">
              <w:rPr>
                <w:rFonts w:ascii="Times New Roman" w:hAnsi="Times New Roman"/>
                <w:color w:val="000000" w:themeColor="text1"/>
                <w:sz w:val="16"/>
                <w:szCs w:val="16"/>
              </w:rPr>
              <w:softHyphen/>
              <w:t>ственного сектора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9706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данным завода</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26AB27B" w14:textId="77777777" w:rsidR="002E1BE7" w:rsidRPr="00C33834" w:rsidRDefault="002E1BE7"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4DEAF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w:t>
            </w:r>
          </w:p>
          <w:p w14:paraId="523B7D6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71F2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w:t>
            </w:r>
          </w:p>
          <w:p w14:paraId="768203B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63FD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Сдано</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A5B7DA8" w14:textId="77777777" w:rsidR="002E1BE7" w:rsidRPr="00C33834" w:rsidRDefault="002E1BE7" w:rsidP="00C3383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2F0878D" w14:textId="77777777" w:rsidR="002E1BE7" w:rsidRPr="00C33834" w:rsidRDefault="002E1BE7" w:rsidP="00C3383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08CE6D1" w14:textId="77777777" w:rsidR="002E1BE7" w:rsidRPr="00C33834" w:rsidRDefault="002E1BE7" w:rsidP="00C33834">
            <w:pPr>
              <w:spacing w:after="0" w:line="240" w:lineRule="auto"/>
              <w:jc w:val="both"/>
              <w:rPr>
                <w:rFonts w:ascii="Times New Roman" w:hAnsi="Times New Roman"/>
                <w:color w:val="000000" w:themeColor="text1"/>
                <w:sz w:val="16"/>
                <w:szCs w:val="16"/>
              </w:rPr>
            </w:pPr>
          </w:p>
        </w:tc>
      </w:tr>
      <w:tr w:rsidR="00F26F01" w:rsidRPr="00C33834" w14:paraId="48FEADA8" w14:textId="77777777" w:rsidTr="002E1BE7">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7745BA0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eastAsia="Times New Roman" w:hAnsi="Times New Roman"/>
                <w:color w:val="000000" w:themeColor="text1"/>
                <w:sz w:val="16"/>
                <w:szCs w:val="16"/>
              </w:rPr>
              <w:t>Танки</w:t>
            </w:r>
          </w:p>
        </w:tc>
      </w:tr>
      <w:tr w:rsidR="00F26F01" w:rsidRPr="00C33834" w14:paraId="1E7B233B"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6D58DD7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543D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7B99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88C3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7B4B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1410</w:t>
            </w:r>
          </w:p>
          <w:p w14:paraId="1F6D3DE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1396¹*</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D9EB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1361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DADD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3CEA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BAE9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88,1</w:t>
            </w:r>
          </w:p>
          <w:p w14:paraId="7AB4CF9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87,3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D72D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85,1</w:t>
            </w:r>
          </w:p>
        </w:tc>
      </w:tr>
      <w:tr w:rsidR="00F26F01" w:rsidRPr="00C33834" w14:paraId="5C515193"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75035DB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EC95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EC75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1A84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064B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45C3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1694</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218A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1694</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959F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 в т. ч.</w:t>
            </w:r>
          </w:p>
          <w:p w14:paraId="2F6D76F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 УММ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A46A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4B1A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80,7</w:t>
            </w:r>
          </w:p>
        </w:tc>
      </w:tr>
      <w:tr w:rsidR="00F26F01" w:rsidRPr="00C33834" w14:paraId="3DB49BDA"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36B36DC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79BC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EE58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8182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44FA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0F40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E0D5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21B1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7324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19D1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719225B4"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4CBD6E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БТ-«Кристи»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F6A0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364C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E4F7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C011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1CBC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392F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B043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p w14:paraId="290DD26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Т-35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D8F2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903C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72,3</w:t>
            </w:r>
          </w:p>
        </w:tc>
      </w:tr>
      <w:tr w:rsidR="00F26F01" w:rsidRPr="00C33834" w14:paraId="59109A28"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EBD70B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AD05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38412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72B1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CC94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1896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1C0A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8F7B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4565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205A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17D1FDDD"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6CF6E85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C3C7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808E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CA9784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916A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3713</w:t>
            </w:r>
          </w:p>
          <w:p w14:paraId="4C663DE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3699</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2E80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CCF4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7C19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B651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86,3</w:t>
            </w:r>
          </w:p>
          <w:p w14:paraId="525156D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DD7F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81,1</w:t>
            </w:r>
          </w:p>
        </w:tc>
      </w:tr>
      <w:tr w:rsidR="00F26F01" w:rsidRPr="00C33834" w14:paraId="46977B59" w14:textId="77777777" w:rsidTr="002E1BE7">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6E04BB6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eastAsia="Times New Roman" w:hAnsi="Times New Roman"/>
                <w:color w:val="000000" w:themeColor="text1"/>
                <w:sz w:val="16"/>
                <w:szCs w:val="16"/>
              </w:rPr>
              <w:t>Материальная часть артиллерии</w:t>
            </w:r>
          </w:p>
        </w:tc>
      </w:tr>
      <w:tr w:rsidR="00F26F01" w:rsidRPr="00C33834" w14:paraId="3AF8C3F5"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3C63E01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r w:rsidRPr="00C33834">
              <w:rPr>
                <w:rFonts w:ascii="Times New Roman" w:hAnsi="Times New Roman"/>
                <w:color w:val="000000" w:themeColor="text1"/>
                <w:sz w:val="16"/>
                <w:szCs w:val="16"/>
              </w:rPr>
              <w:noBreakHyphen/>
              <w:t>мм автоматическая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7EB1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3391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2B9E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24E0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9039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C956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З²*</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C2B1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E04A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602D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w:t>
            </w:r>
          </w:p>
        </w:tc>
      </w:tr>
      <w:tr w:rsidR="00F26F01" w:rsidRPr="00C33834" w14:paraId="69AFAB60"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7482688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w:t>
            </w:r>
            <w:r w:rsidRPr="00C33834">
              <w:rPr>
                <w:rFonts w:ascii="Times New Roman" w:hAnsi="Times New Roman"/>
                <w:color w:val="000000" w:themeColor="text1"/>
                <w:sz w:val="16"/>
                <w:szCs w:val="16"/>
              </w:rPr>
              <w:noBreakHyphen/>
              <w:t>мм Гочкиса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079F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4468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3B48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0FA4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D625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2451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1B16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0078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E701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102,5</w:t>
            </w:r>
          </w:p>
        </w:tc>
      </w:tr>
      <w:tr w:rsidR="00F26F01" w:rsidRPr="00C33834" w14:paraId="603A5D5B"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134E6D8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w:t>
            </w:r>
            <w:r w:rsidRPr="00C33834">
              <w:rPr>
                <w:rFonts w:ascii="Times New Roman" w:hAnsi="Times New Roman"/>
                <w:color w:val="000000" w:themeColor="text1"/>
                <w:sz w:val="16"/>
                <w:szCs w:val="16"/>
              </w:rPr>
              <w:noBreakHyphen/>
              <w:t>мм противотанковая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D6E5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01C8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38E6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C09E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5752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C51E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DF01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17E6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ADE2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101,6</w:t>
            </w:r>
          </w:p>
        </w:tc>
      </w:tr>
      <w:tr w:rsidR="00F26F01" w:rsidRPr="00C33834" w14:paraId="3C98D3F7"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3A1C536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w:t>
            </w:r>
            <w:r w:rsidRPr="00C33834">
              <w:rPr>
                <w:rFonts w:ascii="Times New Roman" w:hAnsi="Times New Roman"/>
                <w:color w:val="000000" w:themeColor="text1"/>
                <w:sz w:val="16"/>
                <w:szCs w:val="16"/>
              </w:rPr>
              <w:noBreakHyphen/>
              <w:t>мм Б-3 танковая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7C2F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EB0C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0ADA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337C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F07F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227B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A50C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AA0A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26BA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9B5916A"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E086C9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w:t>
            </w:r>
            <w:r w:rsidRPr="00C33834">
              <w:rPr>
                <w:rFonts w:ascii="Times New Roman" w:hAnsi="Times New Roman"/>
                <w:color w:val="000000" w:themeColor="text1"/>
                <w:sz w:val="16"/>
                <w:szCs w:val="16"/>
              </w:rPr>
              <w:noBreakHyphen/>
              <w:t>мм противотанковая]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AD01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E107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BA19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211D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2461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48749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D022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85A8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5E09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w:t>
            </w:r>
          </w:p>
        </w:tc>
      </w:tr>
      <w:tr w:rsidR="00F26F01" w:rsidRPr="00C33834" w14:paraId="13657903"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5986EE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w:t>
            </w:r>
            <w:r w:rsidRPr="00C33834">
              <w:rPr>
                <w:rFonts w:ascii="Times New Roman" w:hAnsi="Times New Roman"/>
                <w:color w:val="000000" w:themeColor="text1"/>
                <w:sz w:val="16"/>
                <w:szCs w:val="16"/>
              </w:rPr>
              <w:noBreakHyphen/>
              <w:t>мм танковая пушка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3036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794A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F015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360D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5EF4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9E10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A4F4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1896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29,7</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0157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26,2</w:t>
            </w:r>
          </w:p>
        </w:tc>
      </w:tr>
      <w:tr w:rsidR="00F26F01" w:rsidRPr="00C33834" w14:paraId="62939077"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36E033B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w:t>
            </w:r>
            <w:r w:rsidRPr="00C33834">
              <w:rPr>
                <w:rFonts w:ascii="Times New Roman" w:hAnsi="Times New Roman"/>
                <w:color w:val="000000" w:themeColor="text1"/>
                <w:sz w:val="16"/>
                <w:szCs w:val="16"/>
              </w:rPr>
              <w:noBreakHyphen/>
              <w:t>мм батальонная 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BF1B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46F8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6EEB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10C0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7DDD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70EE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450F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22C4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8997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44A654BC"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21A0E3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малокалиберной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FCD1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BA9E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28FE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7BAE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B1BD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8102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0641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D6C0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5101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27,1</w:t>
            </w:r>
          </w:p>
        </w:tc>
      </w:tr>
      <w:tr w:rsidR="00F26F01" w:rsidRPr="00C33834" w14:paraId="13085BF9"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3C0D941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r w:rsidRPr="00C33834">
              <w:rPr>
                <w:rFonts w:ascii="Times New Roman" w:hAnsi="Times New Roman"/>
                <w:color w:val="000000" w:themeColor="text1"/>
                <w:sz w:val="16"/>
                <w:szCs w:val="16"/>
              </w:rPr>
              <w:noBreakHyphen/>
              <w:t>мм пушка ДРП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7812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3DCD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AF16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BCE1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E21B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16A9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3D4C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 в т. ч.</w:t>
            </w:r>
          </w:p>
          <w:p w14:paraId="1B57155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r w:rsidRPr="00C33834">
              <w:rPr>
                <w:rFonts w:ascii="Times New Roman" w:hAnsi="Times New Roman"/>
                <w:color w:val="000000" w:themeColor="text1"/>
                <w:sz w:val="16"/>
                <w:szCs w:val="16"/>
              </w:rPr>
              <w:noBreakHyphen/>
              <w:t>ВПК,</w:t>
            </w:r>
          </w:p>
          <w:p w14:paraId="76DB4B4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r w:rsidRPr="00C33834">
              <w:rPr>
                <w:rFonts w:ascii="Times New Roman" w:hAnsi="Times New Roman"/>
                <w:color w:val="000000" w:themeColor="text1"/>
                <w:sz w:val="16"/>
                <w:szCs w:val="16"/>
              </w:rPr>
              <w:noBreakHyphen/>
              <w:t>СНК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4C3D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A7E3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35,7</w:t>
            </w:r>
          </w:p>
        </w:tc>
      </w:tr>
      <w:tr w:rsidR="00F26F01" w:rsidRPr="00C33834" w14:paraId="7A6FA0B3"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2BD131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r w:rsidRPr="00C33834">
              <w:rPr>
                <w:rFonts w:ascii="Times New Roman" w:hAnsi="Times New Roman"/>
                <w:color w:val="000000" w:themeColor="text1"/>
                <w:sz w:val="16"/>
                <w:szCs w:val="16"/>
              </w:rPr>
              <w:noBreakHyphen/>
              <w:t>мм АПК-4</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1EC3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0B14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EF2A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09BB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245D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D65D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8360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CA30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5FA4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73,3</w:t>
            </w:r>
          </w:p>
        </w:tc>
      </w:tr>
      <w:tr w:rsidR="00F26F01" w:rsidRPr="00C33834" w14:paraId="6A9C6D0C"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2774FF9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r w:rsidRPr="00C33834">
              <w:rPr>
                <w:rFonts w:ascii="Times New Roman" w:hAnsi="Times New Roman"/>
                <w:color w:val="000000" w:themeColor="text1"/>
                <w:sz w:val="16"/>
                <w:szCs w:val="16"/>
              </w:rPr>
              <w:noBreakHyphen/>
              <w:t>мм МПК-4</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E3AC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1552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CC53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366EC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3963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5927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1CA8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4A12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7EAE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w:t>
            </w:r>
          </w:p>
        </w:tc>
      </w:tr>
      <w:tr w:rsidR="00F26F01" w:rsidRPr="00C33834" w14:paraId="14C1E4E2"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E10553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систем Курчевского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28A2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BE71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C67A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0F11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D07F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88DF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C004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33D5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5307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41,2</w:t>
            </w:r>
          </w:p>
        </w:tc>
      </w:tr>
      <w:tr w:rsidR="00F26F01" w:rsidRPr="00C33834" w14:paraId="3263B229"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6D7671C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r w:rsidRPr="00C33834">
              <w:rPr>
                <w:rFonts w:ascii="Times New Roman" w:hAnsi="Times New Roman"/>
                <w:color w:val="000000" w:themeColor="text1"/>
                <w:sz w:val="16"/>
                <w:szCs w:val="16"/>
              </w:rPr>
              <w:noBreakHyphen/>
              <w:t>мм зенитная пушка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83B5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9FE5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EC87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p w14:paraId="240E337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802D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2B47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1634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ADA9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16C8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226,7</w:t>
            </w:r>
          </w:p>
          <w:p w14:paraId="199CAF4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C76B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24385E30"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35B69AA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r w:rsidRPr="00C33834">
              <w:rPr>
                <w:rFonts w:ascii="Times New Roman" w:hAnsi="Times New Roman"/>
                <w:color w:val="000000" w:themeColor="text1"/>
                <w:sz w:val="16"/>
                <w:szCs w:val="16"/>
              </w:rPr>
              <w:noBreakHyphen/>
              <w:t>мм зенитная пушка 1928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79E4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0110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A812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p w14:paraId="2FB98AD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F18A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1259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B0B5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FA08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E98F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313,3</w:t>
            </w:r>
          </w:p>
          <w:p w14:paraId="13EFE6F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D8A3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313,3</w:t>
            </w:r>
          </w:p>
          <w:p w14:paraId="6C2D62E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102,2</w:t>
            </w:r>
          </w:p>
        </w:tc>
      </w:tr>
      <w:tr w:rsidR="00F26F01" w:rsidRPr="00C33834" w14:paraId="542CBE7A"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21820D5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r w:rsidRPr="00C33834">
              <w:rPr>
                <w:rFonts w:ascii="Times New Roman" w:hAnsi="Times New Roman"/>
                <w:color w:val="000000" w:themeColor="text1"/>
                <w:sz w:val="16"/>
                <w:szCs w:val="16"/>
              </w:rPr>
              <w:noBreakHyphen/>
              <w:t>мм зенитная пушка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5808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11D1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648A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320</w:t>
            </w:r>
          </w:p>
          <w:p w14:paraId="643E498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844B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11DE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5500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C1B5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0FF8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23,4</w:t>
            </w:r>
          </w:p>
          <w:p w14:paraId="7B1745E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20F7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23,4</w:t>
            </w:r>
          </w:p>
          <w:p w14:paraId="6978A3B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w:t>
            </w:r>
          </w:p>
        </w:tc>
      </w:tr>
      <w:tr w:rsidR="00F26F01" w:rsidRPr="00C33834" w14:paraId="2B233B27"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3942DD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по зенитным пушкам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FF4B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CC9C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4DBE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p w14:paraId="61D4671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385B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EA03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44D4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619C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6BCF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46,3</w:t>
            </w:r>
          </w:p>
          <w:p w14:paraId="5C2CC81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6060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46,3</w:t>
            </w:r>
          </w:p>
        </w:tc>
      </w:tr>
      <w:tr w:rsidR="00F26F01" w:rsidRPr="00C33834" w14:paraId="6E18997F"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1A1088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r w:rsidRPr="00C33834">
              <w:rPr>
                <w:rFonts w:ascii="Times New Roman" w:hAnsi="Times New Roman"/>
                <w:color w:val="000000" w:themeColor="text1"/>
                <w:sz w:val="16"/>
                <w:szCs w:val="16"/>
              </w:rPr>
              <w:noBreakHyphen/>
              <w:t>мм полковая пушка 1902/30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025B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2AF3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809D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E31D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B739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EBB0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8E9F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4389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CCC5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7223F34B"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0C5803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r w:rsidRPr="00C33834">
              <w:rPr>
                <w:rFonts w:ascii="Times New Roman" w:hAnsi="Times New Roman"/>
                <w:color w:val="000000" w:themeColor="text1"/>
                <w:sz w:val="16"/>
                <w:szCs w:val="16"/>
              </w:rPr>
              <w:noBreakHyphen/>
              <w:t>мм полковая пушка 1927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3B6B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6297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13B5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EE15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75A7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63FF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03A6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C3A5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6B75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64A5C01E"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6839861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r w:rsidRPr="00C33834">
              <w:rPr>
                <w:rFonts w:ascii="Times New Roman" w:hAnsi="Times New Roman"/>
                <w:color w:val="000000" w:themeColor="text1"/>
                <w:sz w:val="16"/>
                <w:szCs w:val="16"/>
              </w:rPr>
              <w:noBreakHyphen/>
              <w:t>мм полковая част, для установки на самоходку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A3EA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A36BA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4F83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29EE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7171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D2A3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95E0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A07A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47B9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5F1014F7"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5C839B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r w:rsidRPr="00C33834">
              <w:rPr>
                <w:rFonts w:ascii="Times New Roman" w:hAnsi="Times New Roman"/>
                <w:color w:val="000000" w:themeColor="text1"/>
                <w:sz w:val="16"/>
                <w:szCs w:val="16"/>
              </w:rPr>
              <w:noBreakHyphen/>
              <w:t>мм горная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AA36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C822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A388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6B65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EA6E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5268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427F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E128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9E98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28EC3455"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701219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76</w:t>
            </w:r>
            <w:r w:rsidRPr="00C33834">
              <w:rPr>
                <w:rFonts w:ascii="Times New Roman" w:hAnsi="Times New Roman"/>
                <w:color w:val="000000" w:themeColor="text1"/>
                <w:sz w:val="16"/>
                <w:szCs w:val="16"/>
              </w:rPr>
              <w:noBreakHyphen/>
              <w:t>мм систем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1AFB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EB28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2F37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393</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274E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B412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FEFA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9BC1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2E50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9097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81,4</w:t>
            </w:r>
          </w:p>
        </w:tc>
      </w:tr>
      <w:tr w:rsidR="00F26F01" w:rsidRPr="00C33834" w14:paraId="788C4A4B"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8A0618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122</w:t>
            </w:r>
            <w:r w:rsidRPr="00C33834">
              <w:rPr>
                <w:rFonts w:ascii="Times New Roman" w:hAnsi="Times New Roman"/>
                <w:color w:val="000000" w:themeColor="text1"/>
                <w:sz w:val="16"/>
                <w:szCs w:val="16"/>
              </w:rPr>
              <w:noBreakHyphen/>
              <w:t>мм гаубица 1910/30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AE1F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BC41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E1D1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DDAE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4EC3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81C9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E397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FEEF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0287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88,1</w:t>
            </w:r>
          </w:p>
        </w:tc>
      </w:tr>
      <w:tr w:rsidR="00F26F01" w:rsidRPr="00C33834" w14:paraId="39BBBC77"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390B17E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152</w:t>
            </w:r>
            <w:r w:rsidRPr="00C33834">
              <w:rPr>
                <w:rFonts w:ascii="Times New Roman" w:hAnsi="Times New Roman"/>
                <w:color w:val="000000" w:themeColor="text1"/>
                <w:sz w:val="16"/>
                <w:szCs w:val="16"/>
              </w:rPr>
              <w:noBreakHyphen/>
              <w:t>мм гаубица 1909/31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FFDA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31DF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0E04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9A87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0A37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AF81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C50F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9E51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5D43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68278CED"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723A03A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152</w:t>
            </w:r>
            <w:r w:rsidRPr="00C33834">
              <w:rPr>
                <w:rFonts w:ascii="Times New Roman" w:hAnsi="Times New Roman"/>
                <w:color w:val="000000" w:themeColor="text1"/>
                <w:sz w:val="16"/>
                <w:szCs w:val="16"/>
              </w:rPr>
              <w:noBreakHyphen/>
              <w:t>мм гаубица нового образца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C445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6898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61A2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5AFB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2FB1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8562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D450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DB58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98DF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774E68E2"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0563E4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152</w:t>
            </w:r>
            <w:r w:rsidRPr="00C33834">
              <w:rPr>
                <w:rFonts w:ascii="Times New Roman" w:hAnsi="Times New Roman"/>
                <w:color w:val="000000" w:themeColor="text1"/>
                <w:sz w:val="16"/>
                <w:szCs w:val="16"/>
              </w:rPr>
              <w:noBreakHyphen/>
              <w:t>мм мортира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7A0365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237F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A090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79F73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CC08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20D6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9CC0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5735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7F85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r>
      <w:tr w:rsidR="00F26F01" w:rsidRPr="00C33834" w14:paraId="26E8C934"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161A930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по гаубичной артиллерии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8116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027F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9BAC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FE0F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5B70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A43F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ECAE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9D34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B5E2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79,6</w:t>
            </w:r>
          </w:p>
        </w:tc>
      </w:tr>
      <w:tr w:rsidR="00F26F01" w:rsidRPr="00C33834" w14:paraId="09F351EE"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B7B961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107</w:t>
            </w:r>
            <w:r w:rsidRPr="00C33834">
              <w:rPr>
                <w:rFonts w:ascii="Times New Roman" w:hAnsi="Times New Roman"/>
                <w:color w:val="000000" w:themeColor="text1"/>
                <w:sz w:val="16"/>
                <w:szCs w:val="16"/>
              </w:rPr>
              <w:noBreakHyphen/>
              <w:t>мм полковая пушка 10/30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A1E7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0805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88F2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7B2B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EF1A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8E30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AD4E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61BF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CF86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40,2</w:t>
            </w:r>
          </w:p>
        </w:tc>
      </w:tr>
      <w:tr w:rsidR="00F26F01" w:rsidRPr="00C33834" w14:paraId="3C65F4C2"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69AD35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152</w:t>
            </w:r>
            <w:r w:rsidRPr="00C33834">
              <w:rPr>
                <w:rFonts w:ascii="Times New Roman" w:hAnsi="Times New Roman"/>
                <w:color w:val="000000" w:themeColor="text1"/>
                <w:sz w:val="16"/>
                <w:szCs w:val="16"/>
              </w:rPr>
              <w:noBreakHyphen/>
              <w:t>мм пушка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A1C6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0F671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1C8F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8C5F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F5AC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ACAD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4F45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FBEF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F185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46304904"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2E6B9C0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203</w:t>
            </w:r>
            <w:r w:rsidRPr="00C33834">
              <w:rPr>
                <w:rFonts w:ascii="Times New Roman" w:hAnsi="Times New Roman"/>
                <w:color w:val="000000" w:themeColor="text1"/>
                <w:sz w:val="16"/>
                <w:szCs w:val="16"/>
              </w:rPr>
              <w:noBreakHyphen/>
              <w:t>мм 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CB0E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C306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A34E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BD54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913B4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C587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A3A6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02AB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43E8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46,5</w:t>
            </w:r>
          </w:p>
        </w:tc>
      </w:tr>
      <w:tr w:rsidR="00F26F01" w:rsidRPr="00C33834" w14:paraId="7BBC1158"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56DF53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по АРГК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54C3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9E93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5D4C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FB2C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B2F4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1713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1FEB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565E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259C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r>
      <w:tr w:rsidR="00F26F01" w:rsidRPr="00C33834" w14:paraId="10E63BFD"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78F2512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w:t>
            </w:r>
            <w:r w:rsidRPr="00C33834">
              <w:rPr>
                <w:rFonts w:ascii="Times New Roman" w:hAnsi="Times New Roman"/>
                <w:color w:val="000000" w:themeColor="text1"/>
                <w:sz w:val="16"/>
                <w:szCs w:val="16"/>
              </w:rPr>
              <w:noBreakHyphen/>
              <w:t>мм морская пушка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1476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DE1D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E96C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B49A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6559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DDF8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583A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790E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DD5F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433E3247" w14:textId="77777777" w:rsidTr="002E1BE7">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6B980D2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eastAsia="Times New Roman" w:hAnsi="Times New Roman"/>
                <w:color w:val="000000" w:themeColor="text1"/>
                <w:sz w:val="16"/>
                <w:szCs w:val="16"/>
              </w:rPr>
              <w:t>Снаряды</w:t>
            </w:r>
          </w:p>
        </w:tc>
      </w:tr>
      <w:tr w:rsidR="00F26F01" w:rsidRPr="00C33834" w14:paraId="3974B029"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41BB59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r w:rsidRPr="00C33834">
              <w:rPr>
                <w:rFonts w:ascii="Times New Roman" w:hAnsi="Times New Roman"/>
                <w:color w:val="000000" w:themeColor="text1"/>
                <w:sz w:val="16"/>
                <w:szCs w:val="16"/>
              </w:rPr>
              <w:noBreakHyphen/>
              <w:t>мм, 37</w:t>
            </w:r>
            <w:r w:rsidRPr="00C33834">
              <w:rPr>
                <w:rFonts w:ascii="Times New Roman" w:hAnsi="Times New Roman"/>
                <w:color w:val="000000" w:themeColor="text1"/>
                <w:sz w:val="16"/>
                <w:szCs w:val="16"/>
              </w:rPr>
              <w:noBreakHyphen/>
              <w:t>мм, 45</w:t>
            </w:r>
            <w:r w:rsidRPr="00C33834">
              <w:rPr>
                <w:rFonts w:ascii="Times New Roman" w:hAnsi="Times New Roman"/>
                <w:color w:val="000000" w:themeColor="text1"/>
                <w:sz w:val="16"/>
                <w:szCs w:val="16"/>
              </w:rPr>
              <w:noBreakHyphen/>
              <w:t>мм 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16B7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188 900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4B4B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422 869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6578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5 319 500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9B27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1 332 275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0249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1 270 627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9B3B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1 080 496</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13A8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2 110 000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FBB0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65E1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23,9</w:t>
            </w:r>
          </w:p>
        </w:tc>
      </w:tr>
      <w:tr w:rsidR="00F26F01" w:rsidRPr="00C33834" w14:paraId="1214C6C7"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C96FA6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r w:rsidRPr="00C33834">
              <w:rPr>
                <w:rFonts w:ascii="Times New Roman" w:hAnsi="Times New Roman"/>
                <w:color w:val="000000" w:themeColor="text1"/>
                <w:sz w:val="16"/>
                <w:szCs w:val="16"/>
              </w:rPr>
              <w:noBreakHyphen/>
              <w:t>мм, 107</w:t>
            </w:r>
            <w:r w:rsidRPr="00C33834">
              <w:rPr>
                <w:rFonts w:ascii="Times New Roman" w:hAnsi="Times New Roman"/>
                <w:color w:val="000000" w:themeColor="text1"/>
                <w:sz w:val="16"/>
                <w:szCs w:val="16"/>
              </w:rPr>
              <w:noBreakHyphen/>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1DFC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509 400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3516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466 161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7A4E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1 734 600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E17B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909 108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1CE7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898 230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A30B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862 118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B26D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D912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9520B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51,8</w:t>
            </w:r>
          </w:p>
        </w:tc>
      </w:tr>
      <w:tr w:rsidR="00F26F01" w:rsidRPr="00C33834" w14:paraId="32481511"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21A7FE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122</w:t>
            </w:r>
            <w:r w:rsidRPr="00C33834">
              <w:rPr>
                <w:rFonts w:ascii="Times New Roman" w:hAnsi="Times New Roman"/>
                <w:color w:val="000000" w:themeColor="text1"/>
                <w:sz w:val="16"/>
                <w:szCs w:val="16"/>
              </w:rPr>
              <w:noBreakHyphen/>
              <w:t>мм, 152</w:t>
            </w:r>
            <w:r w:rsidRPr="00C33834">
              <w:rPr>
                <w:rFonts w:ascii="Times New Roman" w:hAnsi="Times New Roman"/>
                <w:color w:val="000000" w:themeColor="text1"/>
                <w:sz w:val="16"/>
                <w:szCs w:val="16"/>
              </w:rPr>
              <w:noBreakHyphen/>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9C94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562 370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BE5D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631 381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D274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914 300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95F4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646 460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A253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647 871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F2FF8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628 551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0E51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272 500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24D9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6B12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70,9</w:t>
            </w:r>
          </w:p>
        </w:tc>
      </w:tr>
      <w:tr w:rsidR="00F26F01" w:rsidRPr="00C33834" w14:paraId="63FC3D05"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125D017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w:t>
            </w:r>
            <w:r w:rsidRPr="00C33834">
              <w:rPr>
                <w:rFonts w:ascii="Times New Roman" w:hAnsi="Times New Roman"/>
                <w:color w:val="000000" w:themeColor="text1"/>
                <w:sz w:val="16"/>
                <w:szCs w:val="16"/>
              </w:rPr>
              <w:noBreakHyphen/>
              <w:t>мм, 203</w:t>
            </w:r>
            <w:r w:rsidRPr="00C33834">
              <w:rPr>
                <w:rFonts w:ascii="Times New Roman" w:hAnsi="Times New Roman"/>
                <w:color w:val="000000" w:themeColor="text1"/>
                <w:sz w:val="16"/>
                <w:szCs w:val="16"/>
              </w:rPr>
              <w:noBreakHyphen/>
              <w:t>мм 305</w:t>
            </w:r>
            <w:r w:rsidRPr="00C33834">
              <w:rPr>
                <w:rFonts w:ascii="Times New Roman" w:hAnsi="Times New Roman"/>
                <w:color w:val="000000" w:themeColor="text1"/>
                <w:sz w:val="16"/>
                <w:szCs w:val="16"/>
              </w:rPr>
              <w:noBreakHyphen/>
              <w:t>мм, 356</w:t>
            </w:r>
            <w:r w:rsidRPr="00C33834">
              <w:rPr>
                <w:rFonts w:ascii="Times New Roman" w:hAnsi="Times New Roman"/>
                <w:color w:val="000000" w:themeColor="text1"/>
                <w:sz w:val="16"/>
                <w:szCs w:val="16"/>
              </w:rPr>
              <w:noBreakHyphen/>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E3FB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E671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64FA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1B63A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B0CA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06C3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4006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18 950 +100+700 доделанная, модернизи</w:t>
            </w:r>
            <w:r w:rsidRPr="00C33834">
              <w:rPr>
                <w:rFonts w:ascii="Times New Roman" w:hAnsi="Times New Roman"/>
                <w:color w:val="000000" w:themeColor="text1"/>
                <w:sz w:val="16"/>
                <w:szCs w:val="16"/>
              </w:rPr>
              <w:softHyphen/>
              <w:t>рованная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120E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8067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36,1</w:t>
            </w:r>
          </w:p>
        </w:tc>
      </w:tr>
      <w:tr w:rsidR="00F26F01" w:rsidRPr="00C33834" w14:paraId="1AA0D847"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EBDE18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r w:rsidRPr="00C33834">
              <w:rPr>
                <w:rFonts w:ascii="Times New Roman" w:hAnsi="Times New Roman"/>
                <w:color w:val="000000" w:themeColor="text1"/>
                <w:sz w:val="16"/>
                <w:szCs w:val="16"/>
              </w:rPr>
              <w:noBreakHyphen/>
              <w:t>мм, 102</w:t>
            </w:r>
            <w:r w:rsidRPr="00C33834">
              <w:rPr>
                <w:rFonts w:ascii="Times New Roman" w:hAnsi="Times New Roman"/>
                <w:color w:val="000000" w:themeColor="text1"/>
                <w:sz w:val="16"/>
                <w:szCs w:val="16"/>
              </w:rPr>
              <w:noBreakHyphen/>
              <w:t>мм 120</w:t>
            </w:r>
            <w:r w:rsidRPr="00C33834">
              <w:rPr>
                <w:rFonts w:ascii="Times New Roman" w:hAnsi="Times New Roman"/>
                <w:color w:val="000000" w:themeColor="text1"/>
                <w:sz w:val="16"/>
                <w:szCs w:val="16"/>
              </w:rPr>
              <w:noBreakHyphen/>
              <w:t>мм, 130</w:t>
            </w:r>
            <w:r w:rsidRPr="00C33834">
              <w:rPr>
                <w:rFonts w:ascii="Times New Roman" w:hAnsi="Times New Roman"/>
                <w:color w:val="000000" w:themeColor="text1"/>
                <w:sz w:val="16"/>
                <w:szCs w:val="16"/>
              </w:rPr>
              <w:noBreakHyphen/>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1C36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2D5B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E5C6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C6DE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18 629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037F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15 271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0CA4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D498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35000+2000 пере</w:t>
            </w:r>
            <w:r w:rsidRPr="00C33834">
              <w:rPr>
                <w:rFonts w:ascii="Times New Roman" w:hAnsi="Times New Roman"/>
                <w:color w:val="000000" w:themeColor="text1"/>
                <w:sz w:val="16"/>
                <w:szCs w:val="16"/>
              </w:rPr>
              <w:softHyphen/>
              <w:t>деланная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9C4C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F349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61,1</w:t>
            </w:r>
          </w:p>
        </w:tc>
      </w:tr>
      <w:tr w:rsidR="00F26F01" w:rsidRPr="00C33834" w14:paraId="37F93DF9"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2795CC5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D40C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1 251 020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B195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1 621 341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6F80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8 015 200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679A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2 914 589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5528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2 839 871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C0FF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2 590 889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4D211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2 821 450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A54B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05AD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35,4</w:t>
            </w:r>
          </w:p>
        </w:tc>
      </w:tr>
      <w:tr w:rsidR="00F26F01" w:rsidRPr="00C33834" w14:paraId="4B7F2B32"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6FCB53D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Снаряжение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B7B6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8F4D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64D6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3313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406E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A031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681D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2 131 350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FA81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0B5E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49478FC" w14:textId="77777777" w:rsidTr="002E1BE7">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68A8F38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eastAsia="Times New Roman" w:hAnsi="Times New Roman"/>
                <w:color w:val="000000" w:themeColor="text1"/>
                <w:sz w:val="16"/>
                <w:szCs w:val="16"/>
              </w:rPr>
              <w:t>Взрыватели</w:t>
            </w:r>
          </w:p>
        </w:tc>
      </w:tr>
      <w:tr w:rsidR="00F26F01" w:rsidRPr="00C33834" w14:paraId="448DBC09"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3EF232B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мелким калибрам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F6D4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0AA8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B574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3 800 000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1501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1 417 072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B16E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1 210 863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AF98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364 134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4A1A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1 032 500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AD1F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C50CE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31,9</w:t>
            </w:r>
          </w:p>
        </w:tc>
      </w:tr>
      <w:tr w:rsidR="00F26F01" w:rsidRPr="00C33834" w14:paraId="224627AA"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C737A3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средним калибрам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54F4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1 050 000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E22F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769 704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039F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4 799 200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CA99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3 082 233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2350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3 043 750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867F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269 534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856B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1 560 000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2FC2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11A9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63,4</w:t>
            </w:r>
          </w:p>
        </w:tc>
      </w:tr>
      <w:tr w:rsidR="00F26F01" w:rsidRPr="00C33834" w14:paraId="0D5588B2"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786C748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крупным калибрам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0569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67AA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C417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150 356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95D0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102 952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2E91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101 610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470B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70 060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41AA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E74A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DB5D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67,6</w:t>
            </w:r>
          </w:p>
        </w:tc>
      </w:tr>
      <w:tr w:rsidR="00F26F01" w:rsidRPr="00C33834" w14:paraId="08E99D11"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2569BFC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Авиационные взрыватели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DED3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482 500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2F16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460 443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32D9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1 455 900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8F6C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1 256 888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F68D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1 209 631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4C27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1 184 300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50CF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F79B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CF90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83,1</w:t>
            </w:r>
          </w:p>
        </w:tc>
      </w:tr>
      <w:tr w:rsidR="00F26F01" w:rsidRPr="00C33834" w14:paraId="38325CA7"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53B58C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взрывателей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9048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1 585 430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FD17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1 258 146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47A7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10 205 456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AB05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5 859 145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D0C7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5 565 854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531C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1 888 028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2E69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3 282 500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45BF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9B06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54,5</w:t>
            </w:r>
          </w:p>
        </w:tc>
      </w:tr>
      <w:tr w:rsidR="00F26F01" w:rsidRPr="00C33834" w14:paraId="0FD5589F"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7F1953B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Дистанционные трубки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CDC7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1 838 000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34E9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2 134 993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B1D5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2 678 800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1AA0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2 465 378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44F8D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2 425 378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BBE7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2 017 650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63A4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5F92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50F3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90,5</w:t>
            </w:r>
          </w:p>
        </w:tc>
      </w:tr>
      <w:tr w:rsidR="00F26F01" w:rsidRPr="00C33834" w14:paraId="625D0D0F"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6B582B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Капсульные втулки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352E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5 893 383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F83B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4 680 810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DC93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6 960 000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C4D5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6 642 726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FFC1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6 460 525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5DC8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6 236 125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95A3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2 255 000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7CF6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C2B7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92,8</w:t>
            </w:r>
          </w:p>
        </w:tc>
      </w:tr>
      <w:tr w:rsidR="00F26F01" w:rsidRPr="00C33834" w14:paraId="527B7E4E" w14:textId="77777777" w:rsidTr="002E1BE7">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26CAF09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eastAsia="Times New Roman" w:hAnsi="Times New Roman"/>
                <w:color w:val="000000" w:themeColor="text1"/>
                <w:sz w:val="16"/>
                <w:szCs w:val="16"/>
              </w:rPr>
              <w:t>Гильзы латунные</w:t>
            </w:r>
          </w:p>
        </w:tc>
      </w:tr>
      <w:tr w:rsidR="00F26F01" w:rsidRPr="00C33834" w14:paraId="1007B7EF"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66A966C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мм, 37 мм, 45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9B8F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9A43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405 144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C91B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5 030 000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EEFE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1 317 051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5286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1 317 051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C1B4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1 309 141</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FA2D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1 230 000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83FD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529F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26,2</w:t>
            </w:r>
          </w:p>
        </w:tc>
      </w:tr>
      <w:tr w:rsidR="00F26F01" w:rsidRPr="00C33834" w14:paraId="4BA36690"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1327FF1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 мм, 102 мм, 107 мм, 122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15F0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79BA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2 439 643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B6F7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13CF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851 519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C4EC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851 519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6347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851 519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7270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0E5B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8D9A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99,4</w:t>
            </w:r>
          </w:p>
        </w:tc>
      </w:tr>
      <w:tr w:rsidR="00F26F01" w:rsidRPr="00C33834" w14:paraId="07B004DA"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6A27C4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7759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6A64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5C0C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10A4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40EE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D585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3BF7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48C8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0B4A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49C04570"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6B6D4E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152 мм, 180 мм, 203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31E4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D5AA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326 984</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B1F0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288 700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2BE3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299 883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7256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299 883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3DFA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299 883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8CD3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5508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F490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103,9</w:t>
            </w:r>
          </w:p>
        </w:tc>
      </w:tr>
      <w:tr w:rsidR="00F26F01" w:rsidRPr="00C33834" w14:paraId="320E85C0" w14:textId="77777777" w:rsidTr="002E1BE7">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7034BB9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eastAsia="Times New Roman" w:hAnsi="Times New Roman"/>
                <w:color w:val="000000" w:themeColor="text1"/>
                <w:sz w:val="16"/>
                <w:szCs w:val="16"/>
              </w:rPr>
              <w:t>Гильзы железные</w:t>
            </w:r>
          </w:p>
        </w:tc>
      </w:tr>
      <w:tr w:rsidR="00F26F01" w:rsidRPr="00C33834" w14:paraId="7B1D6FF5"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722DD93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 мм, 107 мм, 122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2CAE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DE0B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1E70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8D3C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16A2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1895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DE91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22 000, в т. ч. 10 000 сверт.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3796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748BA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r>
      <w:tr w:rsidR="00F26F01" w:rsidRPr="00C33834" w14:paraId="5BBFBCC0"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335D0D8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152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BDF5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2C48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B097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64B7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A8B4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DAAF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4717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2A54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A3DB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r>
      <w:tr w:rsidR="00F26F01" w:rsidRPr="00C33834" w14:paraId="0327185E"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65B8EF0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Аэробомбы, в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70B9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6975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4086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6975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336E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D2FF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571C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14 612,1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B3D8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14 391,8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45A8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12 049,2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0E77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BDF6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39,5</w:t>
            </w:r>
          </w:p>
        </w:tc>
      </w:tr>
      <w:tr w:rsidR="00F26F01" w:rsidRPr="00C33834" w14:paraId="29AFE4DD" w14:textId="77777777" w:rsidTr="002E1BE7">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0DDE715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eastAsia="Times New Roman" w:hAnsi="Times New Roman"/>
                <w:color w:val="000000" w:themeColor="text1"/>
                <w:sz w:val="16"/>
                <w:szCs w:val="16"/>
              </w:rPr>
              <w:t>Ручное оружие</w:t>
            </w:r>
          </w:p>
        </w:tc>
      </w:tr>
      <w:tr w:rsidR="00F26F01" w:rsidRPr="00C33834" w14:paraId="758F1546"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BEBC83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Винтовка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D400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125 771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DEFB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184 353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0EDC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DF58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287 660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0416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287 660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93F8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285 667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7836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200 000,</w:t>
            </w:r>
          </w:p>
          <w:p w14:paraId="5E38B9F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 т. ч. для ГАУ 120 000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337B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DFC9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74,7</w:t>
            </w:r>
          </w:p>
        </w:tc>
      </w:tr>
      <w:tr w:rsidR="00F26F01" w:rsidRPr="00C33834" w14:paraId="02BE6692"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D300D0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Пулеметы Максима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07CE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4FFC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12 721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4C51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ACB3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3E97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066E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9483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9100, в т. ч. для ГАУ 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3858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72E7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79,1</w:t>
            </w:r>
          </w:p>
        </w:tc>
      </w:tr>
      <w:tr w:rsidR="00F26F01" w:rsidRPr="00C33834" w14:paraId="30D8C5CF"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D71B2A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Пулеметы Дегтярева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E8ED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35 416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9D34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36 139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BEFB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42 306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70E0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43 497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2DDC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43 497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2884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43 497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246F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24 800, в т. ч. для ГАУ 21 000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81B7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15EA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102,1</w:t>
            </w:r>
          </w:p>
        </w:tc>
      </w:tr>
      <w:tr w:rsidR="00F26F01" w:rsidRPr="00C33834" w14:paraId="61F39494"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7295A8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Револьверы «Наган»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3066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81 082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A301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84 698</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4519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B59F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82 367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7041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82 367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5ACE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82 367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6977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30 000, в т. ч. для ГАУ 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CCA7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090E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74,9</w:t>
            </w:r>
          </w:p>
        </w:tc>
      </w:tr>
      <w:tr w:rsidR="00F26F01" w:rsidRPr="00C33834" w14:paraId="71657AA5"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897E77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Винтпатроны, в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831E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275 871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E303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230 354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BD57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668 613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A08C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380 375,3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EC6F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380 375,3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4501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378 445,2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26CE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9E51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67C2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56,9</w:t>
            </w:r>
          </w:p>
        </w:tc>
      </w:tr>
      <w:tr w:rsidR="00F26F01" w:rsidRPr="00C33834" w14:paraId="08365AD1" w14:textId="77777777" w:rsidTr="002E1BE7">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5D1EF8A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eastAsia="Times New Roman" w:hAnsi="Times New Roman"/>
                <w:color w:val="000000" w:themeColor="text1"/>
                <w:sz w:val="16"/>
                <w:szCs w:val="16"/>
              </w:rPr>
              <w:t>Оптика</w:t>
            </w:r>
          </w:p>
        </w:tc>
      </w:tr>
      <w:tr w:rsidR="00F26F01" w:rsidRPr="00C33834" w14:paraId="5232C48D"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2846BB3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Панорамы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9557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1B02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1974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042F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562A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7977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A531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1C52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4A34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8092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96,7</w:t>
            </w:r>
          </w:p>
        </w:tc>
      </w:tr>
      <w:tr w:rsidR="00F26F01" w:rsidRPr="00C33834" w14:paraId="68CAEF36"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0AB2A5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Стереотрубы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432A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7415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1F59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1630</w:t>
            </w:r>
          </w:p>
          <w:p w14:paraId="5627F6B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118F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8461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6230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A4CE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5552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92,9</w:t>
            </w:r>
          </w:p>
          <w:p w14:paraId="38C13A3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464B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92,4</w:t>
            </w:r>
          </w:p>
          <w:p w14:paraId="3FF9AF6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128,2</w:t>
            </w:r>
          </w:p>
        </w:tc>
      </w:tr>
      <w:tr w:rsidR="00F26F01" w:rsidRPr="00C33834" w14:paraId="779422F8"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C47E0E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Пороха свежие, в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CDD0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3993,9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85C3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5870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11868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9554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5355,9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A7BA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5205,9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6D29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4964,1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8EC2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8682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0DE7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43,9</w:t>
            </w:r>
          </w:p>
        </w:tc>
      </w:tr>
      <w:tr w:rsidR="00F26F01" w:rsidRPr="00C33834" w14:paraId="7664D1C1"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90E81D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Отравляющие вещества, завод № 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74DB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CA1E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BAE2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5C1F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F4E3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7746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8B17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DD2B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A7DB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100,7</w:t>
            </w:r>
          </w:p>
        </w:tc>
      </w:tr>
      <w:tr w:rsidR="00F26F01" w:rsidRPr="00C33834" w14:paraId="02F39FA5" w14:textId="77777777" w:rsidTr="002E1BE7">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14CFCCE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eastAsia="Times New Roman" w:hAnsi="Times New Roman"/>
                <w:color w:val="000000" w:themeColor="text1"/>
                <w:sz w:val="16"/>
                <w:szCs w:val="16"/>
              </w:rPr>
              <w:t>Авиация</w:t>
            </w:r>
          </w:p>
        </w:tc>
      </w:tr>
      <w:tr w:rsidR="00F26F01" w:rsidRPr="00C33834" w14:paraId="2F0FA4D0"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740307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12A6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510C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18E3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3461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8B6D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BCD3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CB92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7146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5D4E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6ACC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1EC51C04"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6329AD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A73A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2E5A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1A67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BF8C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494B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AB5F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4352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8D4C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73FB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67BE09C1"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AD07D9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Радиостанции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E4C1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ADAF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EF4E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9054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5D3C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94F6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9114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8438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38C7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0F68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38,6</w:t>
            </w:r>
          </w:p>
        </w:tc>
      </w:tr>
      <w:tr w:rsidR="00F26F01" w:rsidRPr="00C33834" w14:paraId="3F2F52E0"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0892F3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Прожекторные станции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545B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07D8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CC00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ED69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BD5E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9871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0291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61A6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107,1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E8A6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12346291"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158B389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Прожектора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6AAD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48D2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756C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9BD3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C5FB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0B19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8E97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108F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2C9C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43,4</w:t>
            </w:r>
          </w:p>
        </w:tc>
      </w:tr>
      <w:tr w:rsidR="00F26F01" w:rsidRPr="00C33834" w14:paraId="53EE2B56"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7EB604C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Телеграфный кабель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237A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E217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7A31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935D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2B29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A745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E28D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2786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20A9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93</w:t>
            </w:r>
          </w:p>
        </w:tc>
      </w:tr>
      <w:tr w:rsidR="00F26F01" w:rsidRPr="00C33834" w14:paraId="26654ADA"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7301573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Телефонный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B8BB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B778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84 956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5F2B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120 543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CA9B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125 438,1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8F3B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131 988,9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B23A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130 142,9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2910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2CCE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104,1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C84F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109,5</w:t>
            </w:r>
          </w:p>
        </w:tc>
      </w:tr>
    </w:tbl>
    <w:p w14:paraId="16F5483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Примечания:</w:t>
      </w:r>
    </w:p>
    <w:p w14:paraId="5AE12B1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Числительное — собрано, знаменатель — принято ОТК (Прим. док.).</w:t>
      </w:r>
    </w:p>
    <w:p w14:paraId="0B3F16E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 сведениям завода 3 шт., а по сведениям объединения 44 шт. (Прим. док.).</w:t>
      </w:r>
    </w:p>
    <w:p w14:paraId="0E5D837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РГАЭ. Ф. 7297. Оп. 41. Д. 29. Л. 1—6. Копия.</w:t>
      </w:r>
    </w:p>
    <w:p w14:paraId="3488476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Архив: РГАЭ. Ф. 7297. Оп. 41. Д. 29. Л. 1—6. Копия. </w:t>
      </w:r>
    </w:p>
    <w:p w14:paraId="6B2789C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Становление оборонно-промышленного комплекса СССР (1927-1932). М. 2008, стр. 756-761 (12576).</w:t>
      </w:r>
    </w:p>
    <w:p w14:paraId="66DDE8A4" w14:textId="77777777" w:rsidR="002E1BE7" w:rsidRPr="00C33834" w:rsidRDefault="002E1BE7" w:rsidP="00C33834">
      <w:pPr>
        <w:spacing w:after="0" w:line="240" w:lineRule="auto"/>
        <w:jc w:val="both"/>
        <w:rPr>
          <w:rFonts w:ascii="Times New Roman" w:hAnsi="Times New Roman"/>
          <w:color w:val="000000" w:themeColor="text1"/>
          <w:sz w:val="16"/>
          <w:szCs w:val="16"/>
        </w:rPr>
      </w:pPr>
    </w:p>
    <w:p w14:paraId="6A32C8E5" w14:textId="77777777" w:rsidR="00D8588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3951F9EB" w14:textId="77777777" w:rsidR="00D8588A" w:rsidRPr="00C33834" w:rsidRDefault="00D8588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8ED8876"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января 1933 вышло решение ЦК о чистке партии (800 тыс. исключили в 1933, 340 тыс. в 1934) и общая численность снизилась с 3.5 млн. на 1 января 1933 до 2.350 на 1 января 1935 (3908,339).</w:t>
      </w:r>
    </w:p>
    <w:p w14:paraId="6B98D368"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p w14:paraId="60F333FE"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января 1933 вышло Решение ЦК ВКП (б) о проведении чистки партии (800 тыс. исключенных в 1933, 340 тыс. - в 1934). Общая численность партии (членов и кандидатов в члены) снижается с 3 млн. 500 тыс. по состоянию на 1 янв. 1933 до 2 млн. 350 тыс. на 1 янв. 1935 (4962).</w:t>
      </w:r>
    </w:p>
    <w:p w14:paraId="6D1E70CF" w14:textId="77777777" w:rsidR="00D8588A" w:rsidRPr="00C33834" w:rsidRDefault="00D858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DAB7B9" w14:textId="77777777" w:rsidR="00791F8F" w:rsidRPr="00C33834" w:rsidRDefault="00791F8F"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12 января</w:t>
      </w:r>
      <w:r w:rsidRPr="00C33834">
        <w:rPr>
          <w:rFonts w:ascii="Times New Roman" w:hAnsi="Times New Roman"/>
          <w:color w:val="000000" w:themeColor="text1"/>
          <w:sz w:val="16"/>
          <w:szCs w:val="16"/>
        </w:rPr>
        <w:t xml:space="preserve"> в 1933 году ЦК ВКП(б) принял решение о проведении чистки партии, в ходе которой партийных билетов лишились 1 млн. 140 тысяч человек. Чистка стала преддверием "Большого террора" 1937-1938 годов, в ходе которого многие вычищенные из партии были репрессированы (15007).</w:t>
      </w:r>
    </w:p>
    <w:p w14:paraId="38C71E3B" w14:textId="77777777" w:rsidR="00791F8F" w:rsidRPr="00C33834" w:rsidRDefault="00791F8F" w:rsidP="00C33834">
      <w:pPr>
        <w:spacing w:after="0" w:line="240" w:lineRule="auto"/>
        <w:jc w:val="both"/>
        <w:rPr>
          <w:rFonts w:ascii="Times New Roman" w:hAnsi="Times New Roman"/>
          <w:color w:val="000000" w:themeColor="text1"/>
          <w:sz w:val="16"/>
          <w:szCs w:val="16"/>
        </w:rPr>
      </w:pPr>
    </w:p>
    <w:p w14:paraId="49DF9819" w14:textId="77777777" w:rsidR="00804D55" w:rsidRPr="00C33834" w:rsidRDefault="00804D5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января 1933. Постановление ЦК ВКП(б) о проведении очередной чистки партии. Определялось, какие категории членов партии подлежат исключению: классово чуждые и враждебные элементы; "двурушники" кто на словах за генеральную линию партии, а на деле против нее; открытые и скрытые нарушители железной партийной дисциплины; те, кто болтает о нереальности установленных партией планов; карьеристы, шкурники; морально разложившиеся и политически малограмотные. В ходе чистки из 3 миллионов 500 тысяч членов партии исключили 1 миллион 140 тысяч человек (18722).</w:t>
      </w:r>
    </w:p>
    <w:p w14:paraId="21DAC8AE" w14:textId="77777777" w:rsidR="00804D55" w:rsidRPr="00C33834" w:rsidRDefault="00804D55" w:rsidP="00C33834">
      <w:pPr>
        <w:spacing w:after="0" w:line="240" w:lineRule="auto"/>
        <w:jc w:val="both"/>
        <w:rPr>
          <w:rFonts w:ascii="Times New Roman" w:hAnsi="Times New Roman"/>
          <w:color w:val="000000" w:themeColor="text1"/>
          <w:sz w:val="16"/>
          <w:szCs w:val="16"/>
        </w:rPr>
      </w:pPr>
    </w:p>
    <w:p w14:paraId="61518DA1"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января 1933 Завершил работу Объединенный пленум ЦК и ЦКК ВКП(б). В резолюциях пленума отмечено, что в ходе коллективизации "разгромлено кулачество, подорваны корни капитализма в сельском хозяйстве..., решена историческая задача перевода мелкого, индивидуального раздробленного хозяйства на рельсы крупного земледелия, и СССР из страны мелкокрестьянской превратился в страну самого крупного земледелия" (10687).</w:t>
      </w:r>
    </w:p>
    <w:p w14:paraId="10B35233"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p w14:paraId="4A6539E8" w14:textId="77777777" w:rsidR="004539AF" w:rsidRPr="00C33834" w:rsidRDefault="004539A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января 1933 закончился Объединённый пленум ЦК и ЦКК ВКП(б), который принял решение о чистке партии и прекращении приёма в неё в 1933 году. Принял решение об «антипартийной группировке» Эйсмонта, Толмачева, Смирнова и пр. (12629).</w:t>
      </w:r>
    </w:p>
    <w:p w14:paraId="286B48C8" w14:textId="77777777" w:rsidR="004539AF" w:rsidRPr="00C33834" w:rsidRDefault="004539A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выступления Сталина на объединенном пленуме:</w:t>
      </w:r>
    </w:p>
    <w:p w14:paraId="36D3EFC8" w14:textId="77777777" w:rsidR="004539AF" w:rsidRPr="00C33834" w:rsidRDefault="004539A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 нас не было черной металлургии, основы индустриализации страны. У нас она есть теперь.</w:t>
      </w:r>
    </w:p>
    <w:p w14:paraId="7BA29E4D" w14:textId="77777777" w:rsidR="004539AF" w:rsidRPr="00C33834" w:rsidRDefault="004539A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 нас не было тракторной промышленности. У нас она есть теперь.</w:t>
      </w:r>
    </w:p>
    <w:p w14:paraId="289FD73A" w14:textId="77777777" w:rsidR="004539AF" w:rsidRPr="00C33834" w:rsidRDefault="004539A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 нас не было автомобильной промышленности. У нас она есть теперь.</w:t>
      </w:r>
    </w:p>
    <w:p w14:paraId="17108B3D" w14:textId="77777777" w:rsidR="004539AF" w:rsidRPr="00C33834" w:rsidRDefault="004539A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 нас не было станкостроения. У нас оно есть теперь.</w:t>
      </w:r>
    </w:p>
    <w:p w14:paraId="70BA5B5B" w14:textId="77777777" w:rsidR="004539AF" w:rsidRPr="00C33834" w:rsidRDefault="004539A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 нас не было серьезной и современной химической промышленности. У нас она есть теперь.</w:t>
      </w:r>
    </w:p>
    <w:p w14:paraId="384F94BD" w14:textId="77777777" w:rsidR="004539AF" w:rsidRPr="00C33834" w:rsidRDefault="004539A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 нас не было действительной и серьезной промышленности по производству современных сельскохозяйственных машин. У нас она есть теперь.</w:t>
      </w:r>
    </w:p>
    <w:p w14:paraId="6009F90A" w14:textId="77777777" w:rsidR="004539AF" w:rsidRPr="00C33834" w:rsidRDefault="004539A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 нас не было авиационной промышленности. У нас она есть теперь.</w:t>
      </w:r>
    </w:p>
    <w:p w14:paraId="79A3E16D" w14:textId="77777777" w:rsidR="004539AF" w:rsidRPr="00C33834" w:rsidRDefault="004539A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смысле производства электрической энергии мы стояли на самом последней месте. Теперь мы выдвинулись на одно из первых мест.</w:t>
      </w:r>
    </w:p>
    <w:p w14:paraId="1F0C08E9" w14:textId="77777777" w:rsidR="004539AF" w:rsidRPr="00C33834" w:rsidRDefault="004539A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смысле производства нефтяных продуктов и угля мы стояли на последнем месте. Теперь мы выдвинулись на одно из первых мест.</w:t>
      </w:r>
    </w:p>
    <w:p w14:paraId="2BBEA54B" w14:textId="77777777" w:rsidR="004539AF" w:rsidRPr="00C33834" w:rsidRDefault="004539A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 нас была лишь одна</w:t>
      </w:r>
      <w:r w:rsidRPr="00C33834">
        <w:rPr>
          <w:rFonts w:ascii="Times New Roman" w:hAnsi="Times New Roman"/>
          <w:color w:val="000000" w:themeColor="text1"/>
          <w:sz w:val="16"/>
          <w:szCs w:val="16"/>
        </w:rPr>
        <w:noBreakHyphen/>
        <w:t>единственная угольно</w:t>
      </w:r>
      <w:r w:rsidRPr="00C33834">
        <w:rPr>
          <w:rFonts w:ascii="Times New Roman" w:hAnsi="Times New Roman"/>
          <w:color w:val="000000" w:themeColor="text1"/>
          <w:sz w:val="16"/>
          <w:szCs w:val="16"/>
        </w:rPr>
        <w:noBreakHyphen/>
        <w:t>металлургическая база – на Украине, с которой мы с трудом справлялись. Мы добились того, что не только подняли эту базу, но создали еще новую угольно</w:t>
      </w:r>
      <w:r w:rsidRPr="00C33834">
        <w:rPr>
          <w:rFonts w:ascii="Times New Roman" w:hAnsi="Times New Roman"/>
          <w:color w:val="000000" w:themeColor="text1"/>
          <w:sz w:val="16"/>
          <w:szCs w:val="16"/>
        </w:rPr>
        <w:noBreakHyphen/>
        <w:t>металлургическую базу – на Востоке, составляющую гордость нашей страны.</w:t>
      </w:r>
    </w:p>
    <w:p w14:paraId="4BD7EF22" w14:textId="77777777" w:rsidR="004539AF" w:rsidRPr="00C33834" w:rsidRDefault="004539A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Мы имели лишь одну</w:t>
      </w:r>
      <w:r w:rsidRPr="00C33834">
        <w:rPr>
          <w:rFonts w:ascii="Times New Roman" w:hAnsi="Times New Roman"/>
          <w:color w:val="000000" w:themeColor="text1"/>
          <w:sz w:val="16"/>
          <w:szCs w:val="16"/>
        </w:rPr>
        <w:noBreakHyphen/>
        <w:t>единственную базу текстильной промышленности – на Севере нашей страны. Мы добились того, что будем иметь в ближайшее время две новые базы текстильной промышленности – в Средней Азии и в Западной Сибири.</w:t>
      </w:r>
    </w:p>
    <w:p w14:paraId="35FDD0BB" w14:textId="77777777" w:rsidR="004539AF" w:rsidRPr="00C33834" w:rsidRDefault="004539A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мы не только создали эти новые громадные отрасли промышленности, но мы их создали в таком масштабе и в таких размерах, перед которыми бледнеют масштабы и размеры европейской индустрии». Запад начал на нас смотреть с завистью и опаской. Еще бы. За 3 последних года промышленность в СССР выросла в 2 раза. А у буржуинов кризис. За это же время в США промышленность упала до 65 процентов от 1929 года, промышленность Англии -- до  86 процентов, промышленность Германии -- до 66  процентов, промышленность Франции -- до 77 процентов. И у них 25 млн. безработных. У нас безработных нет (12629).</w:t>
      </w:r>
    </w:p>
    <w:p w14:paraId="653D668E" w14:textId="21B4DEEE" w:rsidR="004539AF" w:rsidRPr="00C33834" w:rsidRDefault="004539AF"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2D915D8" w14:textId="513AE925" w:rsidR="00AF2EC7" w:rsidRPr="00C33834" w:rsidRDefault="00AF2EC7" w:rsidP="00C33834">
      <w:pPr>
        <w:autoSpaceDE w:val="0"/>
        <w:autoSpaceDN w:val="0"/>
        <w:adjustRightInd w:val="0"/>
        <w:spacing w:after="0" w:line="240" w:lineRule="auto"/>
        <w:jc w:val="both"/>
        <w:rPr>
          <w:rFonts w:ascii="Times New Roman" w:hAnsi="Times New Roman"/>
          <w:i/>
          <w:color w:val="000000" w:themeColor="text1"/>
          <w:sz w:val="16"/>
          <w:szCs w:val="16"/>
        </w:rPr>
      </w:pPr>
      <w:r w:rsidRPr="00C33834">
        <w:rPr>
          <w:rFonts w:ascii="Times New Roman" w:hAnsi="Times New Roman"/>
          <w:i/>
          <w:color w:val="000000" w:themeColor="text1"/>
          <w:sz w:val="16"/>
          <w:szCs w:val="16"/>
        </w:rPr>
        <w:t>За рубежом:</w:t>
      </w:r>
    </w:p>
    <w:p w14:paraId="0DEDB02F" w14:textId="77777777" w:rsidR="00AF2EC7" w:rsidRPr="00C33834" w:rsidRDefault="00AF2EC7" w:rsidP="00C33834">
      <w:pPr>
        <w:autoSpaceDE w:val="0"/>
        <w:autoSpaceDN w:val="0"/>
        <w:adjustRightInd w:val="0"/>
        <w:spacing w:after="0" w:line="240" w:lineRule="auto"/>
        <w:jc w:val="both"/>
        <w:rPr>
          <w:rFonts w:ascii="Times New Roman" w:hAnsi="Times New Roman"/>
          <w:i/>
          <w:color w:val="000000" w:themeColor="text1"/>
          <w:sz w:val="16"/>
          <w:szCs w:val="16"/>
        </w:rPr>
      </w:pPr>
    </w:p>
    <w:p w14:paraId="7F0A8B2E" w14:textId="77777777" w:rsidR="00AF2EC7" w:rsidRPr="00C33834" w:rsidRDefault="00AF2EC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12 января 1933 Марсель Лалуэт и Жан де Пермангл летят на самолете Farman F.231 из Истра, Франция, до Виллы Сиснерос, Французская Западная Африка, за 22 часа, установив новый рекорд дальности, пролетев 2700 километров (1677 миль) (20802).</w:t>
      </w:r>
    </w:p>
    <w:p w14:paraId="528A60EA" w14:textId="77777777" w:rsidR="00AF2EC7" w:rsidRPr="00C33834" w:rsidRDefault="00AF2EC7" w:rsidP="00C33834">
      <w:pPr>
        <w:spacing w:after="0" w:line="240" w:lineRule="auto"/>
        <w:jc w:val="both"/>
        <w:rPr>
          <w:rFonts w:ascii="Times New Roman" w:hAnsi="Times New Roman"/>
          <w:color w:val="0070C0"/>
          <w:sz w:val="16"/>
          <w:szCs w:val="16"/>
        </w:rPr>
      </w:pPr>
    </w:p>
    <w:p w14:paraId="7F944081" w14:textId="77777777" w:rsidR="00D8588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57B9CC8" w14:textId="77777777" w:rsidR="00D8588A" w:rsidRPr="00C33834" w:rsidRDefault="00D8588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23A91AE"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января 1933 были представлены техтребования к ТШ-3-М34 (7415, 16).</w:t>
      </w:r>
    </w:p>
    <w:p w14:paraId="3BF37EC7"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p w14:paraId="07536579"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13 января 1933 были представлены техтребования к ДИ6-М32 (М38) (7415, 16).</w:t>
      </w:r>
    </w:p>
    <w:p w14:paraId="256889E2"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p w14:paraId="367E5C0C"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января 1933 был рассмотрен макет самолета И-14 М-38 (7415, 16).</w:t>
      </w:r>
    </w:p>
    <w:p w14:paraId="289E1400"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p w14:paraId="5371FD18"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января 1933 началась деятельность ОКБ С.В.И. (2989).</w:t>
      </w:r>
    </w:p>
    <w:p w14:paraId="57076B4B"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p w14:paraId="52ABF376"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января 1933 года начальник ЦАГИ Харламов писал письмо начальнику ВВС Алкснису Я.И.</w:t>
      </w:r>
    </w:p>
    <w:p w14:paraId="29A7E031"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опытного строительства был утвержден Правительством 4-го июля 1932 года и несмотря на неоднократные с нашей стороны просьбы, лицо ряда самолетов совершенно не выяснено, а это не дает возможности развернуть конструкторские работы полностью.</w:t>
      </w:r>
    </w:p>
    <w:p w14:paraId="285087FA"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До сего времени Управление ВВС не могло нам указать лицо машины ДИ-6 и дать на нее технические требования, несмотря на то, что срок выхода машины установлен 1/IV-33 г. Срок изготовления намечается 10 мес. по получении технических требований.</w:t>
      </w:r>
    </w:p>
    <w:p w14:paraId="347D42EF"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Неясность лица машины СК1, большой объем работы и близость сроков его выпуска (на Гос. испытание 1/Х-33 г.) заставило ЦАГИ развернуть работу на основании требований, имеющихся в правительственном плане. Со стороны же УВВС нет указаний каковым должно быть лицо этой машины. Если проводимая нами работа окажется несоответствующей тому лицу машины, какое предъявит ЦАГИ УВВС вместе с техническими требованиями, работа будет сорвана) а вместе с ней и сроки.</w:t>
      </w:r>
    </w:p>
    <w:p w14:paraId="447D9EBE"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По самолету ТШ-3 - М34 объем поставленного Правительством задания имеет всего лишь установку М-34 на ТШ-2-М17. имея в виду, что самолет ТШ-2 в настоящее время к производству не намечается, а этим самым ставится вопрос о проектировании и постройке новой машины ТШ3-М34, т.е. выполнение ЦАГИ работы намечается несравненно в большем объеме, чем предполагалось.</w:t>
      </w:r>
    </w:p>
    <w:p w14:paraId="223FC9A6"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Если данного типа машина требуется ВВС в срочном порядке, то ЦАГИ просит в таком порядке определить лицо машины и прислать ему технические требования, имея в виду, что со дня согласования технических требований на проектирование и постройку машины потребуется минимально 9-12 месяцев (в зависимости от нагрузки соответственной конструкторской бригады).</w:t>
      </w:r>
    </w:p>
    <w:p w14:paraId="0427AAFE"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 программе опытного строительства поставлен гидросамолет МДР4-3М34.</w:t>
      </w:r>
    </w:p>
    <w:p w14:paraId="00D782E8"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и технические требования к нему определяются по согласованию с Вами.</w:t>
      </w:r>
    </w:p>
    <w:p w14:paraId="66C5AD56"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Машина достаточно сложная и требует полной проработки всего проекта заново.</w:t>
      </w:r>
    </w:p>
    <w:p w14:paraId="489798C8"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Точно так же и по этой машине требуется получить от Вас в срочном порядке технические требования, имея в виду, что проектирование и постройка потребует времени минимально 10 месяцев со дня согласования, с Вами технических требований.</w:t>
      </w:r>
    </w:p>
    <w:p w14:paraId="7ACCFC1B"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В числе экспериментальных самолетов имеется парабола с 2М11 со сроком постройки 1 октября 1933.</w:t>
      </w:r>
    </w:p>
    <w:p w14:paraId="24F094A4"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Учитывая полученный опыт с одномоторной параболой, ЦАГИ полагает возможным и более целесообразным взамен экспериментальной переходной машины параболы с 2М11 строить уже не переходную машину, а экспериментальную с двумя моторами по 400-600 НР, которая могла бы иметь эксплуатационное значение.</w:t>
      </w:r>
    </w:p>
    <w:p w14:paraId="3C8322BB"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связи с этим увеличивается масштаб машины, а следовательно и объем конструкторских производственных работ.</w:t>
      </w:r>
    </w:p>
    <w:p w14:paraId="0DD840E5"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основании приведенных соображений ЦАГИ просит утвердить новый срок выхода на аэродром ЛК2М (400-600) на 1-ое мая 1943 года.</w:t>
      </w:r>
    </w:p>
    <w:p w14:paraId="3C3E4651"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Согласно постановления совещания, состоявшегося в ЦАГИ 8/XII-32 г. Вами было решено, что НИИ должен в 3-х дневный срок представить в ЦАГИ технические требования на самолет И-14. Техтребования на И-14 получено только 4/I-33 г. между тем как проект машины закончен и все чертежи переданы на производство.</w:t>
      </w:r>
    </w:p>
    <w:p w14:paraId="3C1C62F3"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Согласно того же совещания по самолету ДИП Вами решено было предложить НИИ в 10 дневный срок представить ЦАГИ технические требования, но таковые получены только 4/I-33 г. Работа по этой машине Институтом развернута по проектированию и производству, полностью по требованиям правительственного плана, несколько отличающихся....</w:t>
      </w:r>
    </w:p>
    <w:p w14:paraId="280CCFBB"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По самолету И-13 срок его выхода на испытание назначен 1/VI-33 г. Лицо машины определено только лишь 30 декабря 32 г. По получении требований на И-13-М32 ЦАГИ должен начать проектировать новый самолет так как вся работа проводилась им за 6 месяцев до этого по самолету И-13 (вариант развития И-8). Срок изготовления И-13-М-32 по Вашим техтребованиям будет 1/XII-33 г.</w:t>
      </w:r>
    </w:p>
    <w:p w14:paraId="0E8A0F67"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По ЛР в виду краткости срока, как Вам известно, машина была начата проектированием до получения от Вас желательного лица машины, что последовало 8 декабря в совещании под Вашим председательством, задний стрелок в нашем проекте заменен стрелком стреляющим сидя, что заставило выбросить вполне готовый комплект чертежей и начать проектирование машины снова, чем срок окончания машины соответственно определяется.</w:t>
      </w:r>
    </w:p>
    <w:p w14:paraId="617DAD6B"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в технических требованиях УВВС эту машину радиус действия устанавливаемый в требованиях правительственного плана повышен УВВС на 20% без всякого согласования с ЦАГИ. Это новое требование ВВС заставляет ЦАГИ снова пересматривать проект, что отдаляет срок выхода самолета.</w:t>
      </w:r>
    </w:p>
    <w:p w14:paraId="2D72DB42"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настоящий момент эти новые обстоятельства заставляют ЦАГИ пересмотреть срок выхода самолетов на испытание и сообщить Вам дополнительно (2305,3).</w:t>
      </w:r>
    </w:p>
    <w:p w14:paraId="2A523058"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p w14:paraId="2E1570BE"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января 1933 был издан приказ начальника ГУАП П.И.Баранова N 2/24 (2289,3) об организации на заводе имени Менжинского (п/я 411) (часто пишут 39) КБ опытного самолетостроения легких самолетов войсковых серий (61,130).</w:t>
      </w:r>
    </w:p>
    <w:p w14:paraId="0792FB86"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 звучал "...Для организации замкнутого цикла проектирования и производства легких самолетов организовать Центральное конструкторское бюро на заводе им. В.Р.Менжинского..." (24,60).</w:t>
      </w:r>
    </w:p>
    <w:p w14:paraId="2CC7F6A2"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Точнее:</w:t>
      </w:r>
    </w:p>
    <w:p w14:paraId="0E4D6C1D"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 целях создания соответствующей базы для легкого опытного самолетостроения, обеспечивающей необходимый масштаб и темпы для работы в этой области - организовать в системе завода 39 замкнутый цикл опытного самолетостроения по легким машинам.</w:t>
      </w:r>
    </w:p>
    <w:p w14:paraId="4B393E0C"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Из ЦАГИ на завод 39 передаются следующие объекты плана опытного строительства: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F26F01" w:rsidRPr="00C33834" w14:paraId="6E616A11" w14:textId="77777777">
        <w:tc>
          <w:tcPr>
            <w:tcW w:w="2818" w:type="dxa"/>
          </w:tcPr>
          <w:p w14:paraId="6E0E1DF6"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w:t>
            </w:r>
          </w:p>
        </w:tc>
        <w:tc>
          <w:tcPr>
            <w:tcW w:w="2818" w:type="dxa"/>
          </w:tcPr>
          <w:p w14:paraId="2EA04AC6"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w:t>
            </w:r>
          </w:p>
        </w:tc>
        <w:tc>
          <w:tcPr>
            <w:tcW w:w="2818" w:type="dxa"/>
          </w:tcPr>
          <w:p w14:paraId="566150B1"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Состояние работ</w:t>
            </w:r>
          </w:p>
        </w:tc>
      </w:tr>
      <w:tr w:rsidR="00F26F01" w:rsidRPr="00C33834" w14:paraId="3DE19D17" w14:textId="77777777">
        <w:tc>
          <w:tcPr>
            <w:tcW w:w="2818" w:type="dxa"/>
          </w:tcPr>
          <w:p w14:paraId="2A2F113A"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6AB4AC12"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госисп.</w:t>
            </w:r>
          </w:p>
        </w:tc>
        <w:tc>
          <w:tcPr>
            <w:tcW w:w="2818" w:type="dxa"/>
          </w:tcPr>
          <w:p w14:paraId="303A0BC0"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E24B599" w14:textId="77777777">
        <w:tc>
          <w:tcPr>
            <w:tcW w:w="2818" w:type="dxa"/>
          </w:tcPr>
          <w:p w14:paraId="13545B1E"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ЛР</w:t>
            </w:r>
          </w:p>
        </w:tc>
        <w:tc>
          <w:tcPr>
            <w:tcW w:w="2818" w:type="dxa"/>
          </w:tcPr>
          <w:p w14:paraId="2638469F"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01.03.33</w:t>
            </w:r>
          </w:p>
        </w:tc>
        <w:tc>
          <w:tcPr>
            <w:tcW w:w="2818" w:type="dxa"/>
          </w:tcPr>
          <w:p w14:paraId="57FA087E"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Проектируется. исполнение проекта 40%</w:t>
            </w:r>
          </w:p>
        </w:tc>
      </w:tr>
      <w:tr w:rsidR="00F26F01" w:rsidRPr="00C33834" w14:paraId="3AFBF56F" w14:textId="77777777">
        <w:tc>
          <w:tcPr>
            <w:tcW w:w="2818" w:type="dxa"/>
          </w:tcPr>
          <w:p w14:paraId="515770AB"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ТШ-3</w:t>
            </w:r>
          </w:p>
        </w:tc>
        <w:tc>
          <w:tcPr>
            <w:tcW w:w="2818" w:type="dxa"/>
          </w:tcPr>
          <w:p w14:paraId="228A31E8"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01.07.33</w:t>
            </w:r>
          </w:p>
        </w:tc>
        <w:tc>
          <w:tcPr>
            <w:tcW w:w="2818" w:type="dxa"/>
          </w:tcPr>
          <w:p w14:paraId="2AA94655"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не начато</w:t>
            </w:r>
          </w:p>
        </w:tc>
      </w:tr>
      <w:tr w:rsidR="00F26F01" w:rsidRPr="00C33834" w14:paraId="18D17197" w14:textId="77777777">
        <w:tc>
          <w:tcPr>
            <w:tcW w:w="2818" w:type="dxa"/>
          </w:tcPr>
          <w:p w14:paraId="6F0372E5"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ДИ-6</w:t>
            </w:r>
          </w:p>
        </w:tc>
        <w:tc>
          <w:tcPr>
            <w:tcW w:w="2818" w:type="dxa"/>
          </w:tcPr>
          <w:p w14:paraId="725BB7A5"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01.06.33</w:t>
            </w:r>
          </w:p>
        </w:tc>
        <w:tc>
          <w:tcPr>
            <w:tcW w:w="2818" w:type="dxa"/>
          </w:tcPr>
          <w:p w14:paraId="43A129E8"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не начато</w:t>
            </w:r>
          </w:p>
        </w:tc>
      </w:tr>
      <w:tr w:rsidR="00F26F01" w:rsidRPr="00C33834" w14:paraId="7B7CF7A8" w14:textId="77777777">
        <w:tc>
          <w:tcPr>
            <w:tcW w:w="2818" w:type="dxa"/>
          </w:tcPr>
          <w:p w14:paraId="35FF6C32"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И-15</w:t>
            </w:r>
          </w:p>
        </w:tc>
        <w:tc>
          <w:tcPr>
            <w:tcW w:w="2818" w:type="dxa"/>
          </w:tcPr>
          <w:p w14:paraId="22E698CD"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01.09.33</w:t>
            </w:r>
          </w:p>
        </w:tc>
        <w:tc>
          <w:tcPr>
            <w:tcW w:w="2818" w:type="dxa"/>
          </w:tcPr>
          <w:p w14:paraId="0380B3C3"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Начато проектирование</w:t>
            </w:r>
          </w:p>
        </w:tc>
      </w:tr>
      <w:tr w:rsidR="00F26F01" w:rsidRPr="00C33834" w14:paraId="624D563A" w14:textId="77777777">
        <w:tc>
          <w:tcPr>
            <w:tcW w:w="2818" w:type="dxa"/>
          </w:tcPr>
          <w:p w14:paraId="0435F49A"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Р-5</w:t>
            </w:r>
          </w:p>
        </w:tc>
        <w:tc>
          <w:tcPr>
            <w:tcW w:w="2818" w:type="dxa"/>
          </w:tcPr>
          <w:p w14:paraId="24F56222"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74C26FF1"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Модификация</w:t>
            </w:r>
          </w:p>
        </w:tc>
      </w:tr>
      <w:tr w:rsidR="00F26F01" w:rsidRPr="00C33834" w14:paraId="736D82D7" w14:textId="77777777">
        <w:tc>
          <w:tcPr>
            <w:tcW w:w="2818" w:type="dxa"/>
          </w:tcPr>
          <w:p w14:paraId="4BF1DBA4"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ТШ-2</w:t>
            </w:r>
          </w:p>
        </w:tc>
        <w:tc>
          <w:tcPr>
            <w:tcW w:w="2818" w:type="dxa"/>
          </w:tcPr>
          <w:p w14:paraId="188403FD"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B99B97C"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Находится на летных испытаниях</w:t>
            </w:r>
          </w:p>
        </w:tc>
      </w:tr>
      <w:tr w:rsidR="00F26F01" w:rsidRPr="00C33834" w14:paraId="32DAD830" w14:textId="77777777">
        <w:tc>
          <w:tcPr>
            <w:tcW w:w="2818" w:type="dxa"/>
          </w:tcPr>
          <w:p w14:paraId="4B41662B"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Парабола</w:t>
            </w:r>
          </w:p>
        </w:tc>
        <w:tc>
          <w:tcPr>
            <w:tcW w:w="2818" w:type="dxa"/>
          </w:tcPr>
          <w:p w14:paraId="26F96766"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49007D7C"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Находится на летных испытаниях</w:t>
            </w:r>
          </w:p>
        </w:tc>
      </w:tr>
      <w:tr w:rsidR="00F26F01" w:rsidRPr="00C33834" w14:paraId="023E4181" w14:textId="77777777">
        <w:tc>
          <w:tcPr>
            <w:tcW w:w="2818" w:type="dxa"/>
          </w:tcPr>
          <w:p w14:paraId="10A4709F"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Самолет Кричевского</w:t>
            </w:r>
          </w:p>
        </w:tc>
        <w:tc>
          <w:tcPr>
            <w:tcW w:w="2818" w:type="dxa"/>
          </w:tcPr>
          <w:p w14:paraId="0F814CAC"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6E670BD8"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Начат постройкой на ЗОК</w:t>
            </w:r>
          </w:p>
        </w:tc>
      </w:tr>
      <w:tr w:rsidR="00F26F01" w:rsidRPr="00C33834" w14:paraId="02F171E2" w14:textId="77777777">
        <w:tc>
          <w:tcPr>
            <w:tcW w:w="2818" w:type="dxa"/>
          </w:tcPr>
          <w:p w14:paraId="296391DC"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Стратосферный самолет</w:t>
            </w:r>
          </w:p>
        </w:tc>
        <w:tc>
          <w:tcPr>
            <w:tcW w:w="2818" w:type="dxa"/>
          </w:tcPr>
          <w:p w14:paraId="6BDF6DE7"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7588249C"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Проектируется. Приспособляется РД</w:t>
            </w:r>
          </w:p>
        </w:tc>
      </w:tr>
      <w:tr w:rsidR="00F26F01" w:rsidRPr="00C33834" w14:paraId="37179F4D" w14:textId="77777777">
        <w:tc>
          <w:tcPr>
            <w:tcW w:w="2818" w:type="dxa"/>
          </w:tcPr>
          <w:p w14:paraId="03AA8C4C"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Парабола</w:t>
            </w:r>
          </w:p>
        </w:tc>
        <w:tc>
          <w:tcPr>
            <w:tcW w:w="2818" w:type="dxa"/>
          </w:tcPr>
          <w:p w14:paraId="40D504FF"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01.10.33</w:t>
            </w:r>
          </w:p>
        </w:tc>
        <w:tc>
          <w:tcPr>
            <w:tcW w:w="2818" w:type="dxa"/>
          </w:tcPr>
          <w:p w14:paraId="472D7CC0"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204726BD"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НКТП П.И.Б. (2289,2).</w:t>
      </w:r>
    </w:p>
    <w:p w14:paraId="64A5EB5D"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Приказом Н.М.Харламова, начальника ЦАГИ, от того же дня С.В.И. был освобожден от обязанностей Зам. начальника ЦАГИ ввиду назначения его Зам. директора и Начальника КБ опытного самолетостроения на заводе п/я 411 (61,130).</w:t>
      </w:r>
    </w:p>
    <w:p w14:paraId="4C432C4C"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этому приказу ГУАП с учетом того, что ЦКБ стал специализированным на легких самолетах (24,60), по-видимому имел в виду, что тяжелые различного назначения поручалось бригадам, оставленным в составе конструкторского отдела (КОСОС) ЦАГИ и работавшим там под общим руководством А.Н.Туполева (5,7). На практике эта специализация так и не реализовалась, так как трудно считать бомбардировщик ДБ-3 (ЦКБ-26) - легким самолетом.</w:t>
      </w:r>
    </w:p>
    <w:p w14:paraId="48072D76"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создания нового ЦКБ - 1 месяц (24,60) и оно было создано к середине февраля 1933 г.</w:t>
      </w:r>
    </w:p>
    <w:p w14:paraId="5667D724"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Глававиапром издал приказ 25 января и группа Н.Н.П. приступила к работе в новом ЦКБ 9 февраля 1933 (67,108). Якобы в это время Н.Н.П. задумал связку "биплан (маневренность) - моноплан (скорость)"</w:t>
      </w:r>
    </w:p>
    <w:p w14:paraId="68B560A9"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Тем же решением Глававиапрома новое КБ получило несколько бригад, занимавшихся проектированием легких самолетов в конструкторском отделе (КОСОС) ЦАГИ (5,7) или СОС ЦАГИ (61,649). В полном составе бригады самолетов-разведчиков и морских самолетов, часть БОК, 18 чел. бригады истребителей во главе с Н.Н.Поликарповым, часть бригады вооружения во главе с Я.И.Мальцевым (24,60), небольшие группы по 3-5 человек из других бригад.</w:t>
      </w:r>
    </w:p>
    <w:p w14:paraId="114A1268"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третьим данным создание нового ЦКБ на 39 и 1 заводах началось еще в декабре 1932 и команды С.В.Ильюшина, С.А.Кочеригина, Г.М.Бериева, Н.Н.Поликарпова перебазировались из ЦАГИ на заводы 39 им. Менжинского и N 1 (92).</w:t>
      </w:r>
    </w:p>
    <w:p w14:paraId="61B0DF8B"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А.Н.Т. КО ЦАГИ в 1932 вырос с 214 до 854 чел. Потом выделилось бюро внедрения, куда выделили 300 и 39 завод куда выделили 110 и в бюро легких морских самолетов - 40 чел. (299,2).</w:t>
      </w:r>
    </w:p>
    <w:p w14:paraId="597CC770"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p w14:paraId="22FBFBC4"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13 января 1933 г. заместитель наркома тяжелой промышленности СССР и начальник Главного управления авиационной промышленности (ГУАП) П.И.Баранов издает приказ о формировании на заводе № 39 им. В.Р.Менжинского нового ЦКБ «для организации замкнутого цикла проектирования и производства легких самолетов» (9536,4).</w:t>
      </w:r>
    </w:p>
    <w:p w14:paraId="37F64D25"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ЦКБ С.В.Ильюшин разделил коллектив на шесть бригад. Бригадой № 1, где проектировали штурмовики и самолеты-разведчики, руководил С.А.-Кочеригин.</w:t>
      </w:r>
    </w:p>
    <w:p w14:paraId="7EFA4E18"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Бригаду № 2 возглавил Н.Н.Поликарпов, и основным направлением ее деятельности стали истребители.</w:t>
      </w:r>
    </w:p>
    <w:p w14:paraId="6392DDC3"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Бригада № 3 первоначально занималась разработкой экспериментальных конструкций. Ее работой руководил В.А.Чижевский. Через некоторое время группу Чижевского перевели на Смоленский авиазавод, а реформированная бригада под руководством Ильюшина занялась дальними бомбардировщиками.</w:t>
      </w:r>
    </w:p>
    <w:p w14:paraId="1452632D"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Бригада № 4 во главе с Я.И.Мальцевым проектировала вооружение. Бригада № 5 создавала морские самолеты под руководством Г.М.Бериева. Бригада № 6, возглавляемая П.М.Крейсоном, занималась статическими испытаниями (9536,4).</w:t>
      </w:r>
    </w:p>
    <w:p w14:paraId="37B366F3"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p w14:paraId="3DBA72D3" w14:textId="77777777" w:rsidR="004414F9" w:rsidRPr="00C33834" w:rsidRDefault="004414F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13 января 1933 г. Начальник Главного управления авиа</w:t>
      </w:r>
      <w:r w:rsidRPr="00C33834">
        <w:rPr>
          <w:rFonts w:ascii="Times New Roman" w:hAnsi="Times New Roman"/>
          <w:color w:val="0070C0"/>
          <w:sz w:val="16"/>
          <w:szCs w:val="16"/>
        </w:rPr>
        <w:softHyphen/>
        <w:t>промышленности П.И. Баранов подписал приказ об орга</w:t>
      </w:r>
      <w:r w:rsidRPr="00C33834">
        <w:rPr>
          <w:rFonts w:ascii="Times New Roman" w:hAnsi="Times New Roman"/>
          <w:color w:val="0070C0"/>
          <w:sz w:val="16"/>
          <w:szCs w:val="16"/>
        </w:rPr>
        <w:softHyphen/>
        <w:t>низации нового Центрального Конструкторского Бюро на базе авиазавода №39. В новом качестве ЦАГИ предстоя</w:t>
      </w:r>
      <w:r w:rsidRPr="00C33834">
        <w:rPr>
          <w:rFonts w:ascii="Times New Roman" w:hAnsi="Times New Roman"/>
          <w:color w:val="0070C0"/>
          <w:sz w:val="16"/>
          <w:szCs w:val="16"/>
        </w:rPr>
        <w:softHyphen/>
        <w:t>ло специализироваться на тяжелых самолетах, а новому ЦКБ на так называемых легких самолетах.</w:t>
      </w:r>
    </w:p>
    <w:p w14:paraId="34D3D741" w14:textId="77777777" w:rsidR="004414F9" w:rsidRPr="00C33834" w:rsidRDefault="004414F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Начальником ЦКБ, насчитывающем шесть проектных бригад, назначили С.В. Ильюшина. Расклад и специализа</w:t>
      </w:r>
      <w:r w:rsidRPr="00C33834">
        <w:rPr>
          <w:rFonts w:ascii="Times New Roman" w:hAnsi="Times New Roman"/>
          <w:color w:val="0070C0"/>
          <w:sz w:val="16"/>
          <w:szCs w:val="16"/>
        </w:rPr>
        <w:softHyphen/>
        <w:t>ция бригад были таковы:</w:t>
      </w:r>
    </w:p>
    <w:p w14:paraId="3DF5A0D8" w14:textId="77777777" w:rsidR="004414F9" w:rsidRPr="00C33834" w:rsidRDefault="004414F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Бригада №1 С.А. Кочеригина - разведчики и штурмовики.</w:t>
      </w:r>
    </w:p>
    <w:p w14:paraId="13285C35" w14:textId="77777777" w:rsidR="004414F9" w:rsidRPr="00C33834" w:rsidRDefault="004414F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Бригада №2 Н.Н. Поликарпова - истребители.</w:t>
      </w:r>
    </w:p>
    <w:p w14:paraId="0E6619A6" w14:textId="77777777" w:rsidR="004414F9" w:rsidRPr="00C33834" w:rsidRDefault="004414F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Бригада №3 В.А. Чижевского - экспериментальные ра</w:t>
      </w:r>
      <w:r w:rsidRPr="00C33834">
        <w:rPr>
          <w:rFonts w:ascii="Times New Roman" w:hAnsi="Times New Roman"/>
          <w:color w:val="0070C0"/>
          <w:sz w:val="16"/>
          <w:szCs w:val="16"/>
        </w:rPr>
        <w:softHyphen/>
        <w:t>боты. Подразделение, которым руководил Чижевский бы</w:t>
      </w:r>
      <w:r w:rsidRPr="00C33834">
        <w:rPr>
          <w:rFonts w:ascii="Times New Roman" w:hAnsi="Times New Roman"/>
          <w:color w:val="0070C0"/>
          <w:sz w:val="16"/>
          <w:szCs w:val="16"/>
        </w:rPr>
        <w:softHyphen/>
        <w:t>ло образовано в 1931 г. специально для создания страто</w:t>
      </w:r>
      <w:r w:rsidRPr="00C33834">
        <w:rPr>
          <w:rFonts w:ascii="Times New Roman" w:hAnsi="Times New Roman"/>
          <w:color w:val="0070C0"/>
          <w:sz w:val="16"/>
          <w:szCs w:val="16"/>
        </w:rPr>
        <w:softHyphen/>
        <w:t>сферного самолета и поначалу базировалось на ЦАГИ. С фе</w:t>
      </w:r>
      <w:r w:rsidRPr="00C33834">
        <w:rPr>
          <w:rFonts w:ascii="Times New Roman" w:hAnsi="Times New Roman"/>
          <w:color w:val="0070C0"/>
          <w:sz w:val="16"/>
          <w:szCs w:val="16"/>
        </w:rPr>
        <w:softHyphen/>
        <w:t>враля 1933 г. БОК перевели на завод №39, где подразделение получило наименование бригады №3. Летом 1934 г. БОК перевели на авиазавод №35 в Смоленск, где и продолжилась достройка самолета БОК-1. Бригада №3 в обновленном составе перешла под личное управление Начальника ЦКБ С.В. Ильюшина. Именно в ней в 1934 г. спроектировали прототип дальнего бомбардировщика ЦКБ-26.</w:t>
      </w:r>
    </w:p>
    <w:p w14:paraId="7DF2B836" w14:textId="77777777" w:rsidR="004414F9" w:rsidRPr="00C33834" w:rsidRDefault="004414F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Бригада №4 Я.И. Мальцева - разработка вооружения.</w:t>
      </w:r>
    </w:p>
    <w:p w14:paraId="6391F7AF" w14:textId="77777777" w:rsidR="004414F9" w:rsidRPr="00C33834" w:rsidRDefault="004414F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Бригада №5 Г.М. Бериева - морские самолеты.</w:t>
      </w:r>
    </w:p>
    <w:p w14:paraId="71D7EF61" w14:textId="77777777" w:rsidR="004414F9" w:rsidRPr="00C33834" w:rsidRDefault="004414F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Бригада №6 П.М. Крейсона - весовые расчеты, взвеши</w:t>
      </w:r>
      <w:r w:rsidRPr="00C33834">
        <w:rPr>
          <w:rFonts w:ascii="Times New Roman" w:hAnsi="Times New Roman"/>
          <w:color w:val="0070C0"/>
          <w:sz w:val="16"/>
          <w:szCs w:val="16"/>
        </w:rPr>
        <w:softHyphen/>
        <w:t>вание, статические испытания.</w:t>
      </w:r>
    </w:p>
    <w:p w14:paraId="04075148" w14:textId="77777777" w:rsidR="004414F9" w:rsidRPr="00C33834" w:rsidRDefault="004414F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Задание на сухопутный армейский самолет-разведчик и легкий бомбардировщик для замены разведчика Р-5 по</w:t>
      </w:r>
      <w:r w:rsidRPr="00C33834">
        <w:rPr>
          <w:rFonts w:ascii="Times New Roman" w:hAnsi="Times New Roman"/>
          <w:color w:val="0070C0"/>
          <w:sz w:val="16"/>
          <w:szCs w:val="16"/>
        </w:rPr>
        <w:softHyphen/>
        <w:t>явилось в начале 1932 г. Разработка началась еще в бри</w:t>
      </w:r>
      <w:r w:rsidRPr="00C33834">
        <w:rPr>
          <w:rFonts w:ascii="Times New Roman" w:hAnsi="Times New Roman"/>
          <w:color w:val="0070C0"/>
          <w:sz w:val="16"/>
          <w:szCs w:val="16"/>
        </w:rPr>
        <w:softHyphen/>
        <w:t>гаде №5 ЦКБ-ЦАГИ, которой руководил С.А. Кочеригин, его заместителем в этот период являлся А.А. Дубровин. Основ</w:t>
      </w:r>
      <w:r w:rsidRPr="00C33834">
        <w:rPr>
          <w:rFonts w:ascii="Times New Roman" w:hAnsi="Times New Roman"/>
          <w:color w:val="0070C0"/>
          <w:sz w:val="16"/>
          <w:szCs w:val="16"/>
        </w:rPr>
        <w:softHyphen/>
        <w:t>ная надежда была на двигатель М-34, с которым надеялись добиться значительного повышения всех боевых и летных данных (20362).</w:t>
      </w:r>
    </w:p>
    <w:p w14:paraId="27C5E025" w14:textId="77777777" w:rsidR="004414F9" w:rsidRPr="00C33834" w:rsidRDefault="004414F9" w:rsidP="00C33834">
      <w:pPr>
        <w:shd w:val="clear" w:color="auto" w:fill="FFFFFF"/>
        <w:spacing w:after="0" w:line="240" w:lineRule="auto"/>
        <w:jc w:val="both"/>
        <w:rPr>
          <w:rFonts w:ascii="Times New Roman" w:hAnsi="Times New Roman"/>
          <w:color w:val="0070C0"/>
          <w:sz w:val="16"/>
          <w:szCs w:val="16"/>
        </w:rPr>
      </w:pPr>
    </w:p>
    <w:p w14:paraId="78815B8E"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января 1933 г. по приказу ГУАП ЦКБ снова отделено от ЦАГИ, вернулось на завод № 39 и получило название ЦКБ-39. При разделении в состав ЦКБ перешли в полном составе бригады разведчиков и морских самолетов, часть БОК, 18 чел. из бригады истребителей во главе с Поликарповым, часть бригады вооружения во главе с Мальцевым, небольшие группы по 3-5 чел. из других бригад. К 15.02.1933 г. формирование ЦКБ было завершено, работало 6 бригад. Разместилось ЦКБ на третьем, последнем, этаже одного из цехов завода (сейчас это здание на территории МАПО). С 1932 г. В составе ЦКБ работала конструкторская группа под руководством А.С. Яковлева, создан самолет АИР-6 (первый полет 2.05.1932  г. В 1934 г. переведена на завод № 115.</w:t>
      </w:r>
    </w:p>
    <w:p w14:paraId="15A24A47"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1934 г. начато выделение бригад из состава ЦКБ в самостоятельные КБ, в этом же году большинство бригад переведены на серийные заводы. В 1936 г. с образованием ОКБ-39 гл. конструктора С.В. Ильюшина ЦКБ расформировано.</w:t>
      </w:r>
    </w:p>
    <w:p w14:paraId="0E084AA8"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Численность персонала (1931 г.)- около 500 чел.</w:t>
      </w:r>
    </w:p>
    <w:p w14:paraId="6F24BFBB"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(1926-28 г.-)- Б.Ф. Гончаров (арестован), (27.08.1931-ЗЗ г.)- С.В. Ильюшин.</w:t>
      </w:r>
    </w:p>
    <w:p w14:paraId="6FDC6BAE"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начальника (1931 г.-)- А.Н. Туполев, (1933 г.-)- С.А. Кочеригин.</w:t>
      </w:r>
    </w:p>
    <w:p w14:paraId="761BF110"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конструктор (06.1931 г.-)- Д.П. Григорович, (1933 г.-)- С.В. Ильюшин.</w:t>
      </w:r>
    </w:p>
    <w:p w14:paraId="28FBE096"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бригад (1934 г.)- А.А. Дубровин, В.К. Таиров, В.П. Яценко.</w:t>
      </w:r>
    </w:p>
    <w:p w14:paraId="61E39203"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начальника бригады (1935 г.-)- А.А. Сеньков.</w:t>
      </w:r>
    </w:p>
    <w:p w14:paraId="72656DC7"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Летчики-испытатели: (1935 г.)- В.К. Коккинаки (11092).</w:t>
      </w:r>
    </w:p>
    <w:p w14:paraId="383172B0"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p w14:paraId="5C09AC78"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января 1933 г. ЦКБ с работами по легким самолетам снова отделено от ЦАГИ. Из КОСОС в ЦКБ передано несколько бригад по легким самолетам. Работы по тяжелым самолетам остались в КОСОС ЦАГИ (ОКБ-156 МАП, ГКАТ, ОКБ-166 НКАП, Авиационный научно-технический комплекс (АНТК) им. А.Н. Туполева, АООТ, ОАО «АНТК им. А.Н. Туполева», ОАО «Туполев» / г. Москва, 66 ул. Салтыковская, 3/ /111250  г. Москва, наб. Академика Туполева, 15 тел. 267-24-44/ /ОАО «Туполев»: 113054  г. Москва ул. Бахрушина, 23 стр. 1 тел. 238-34-13/), начальником которого стал А.Н. Туполев, помощник- А.В. Надашкевич.</w:t>
      </w:r>
    </w:p>
    <w:p w14:paraId="7A2A4BF6"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Структурно КОСОС в это время состоял из бригад: № 1 по тяжелым самолетам; № 2 по гидросамолетам; № 4 по истребителям (в 05.1932 г. бригады № 3 и № 4 слились в единую бригаду № 3); № 5 по скоростным самолетам; № 6 по экспериментальным самолетам; № 7 по в/винтам; № 8 по силовым установкам; № 9 по шасси; № 10 по торпедным катерам; № 12 по артиллерийско-стрелковым установкам пулеметно-пушечного вооружения (1111В); № 13 по бомбардировочному и минно-торпедному вооружению (БМТВ); № 14 по химическому вооружению. Бригады № 12, 13, 14 входили в состав Отдела вооружения, созданного в 1931 г. Кроме того, в состав отдела входили: бригада испытаний вооружения, опытно-экспериментальная лаборатория (ОЭЛ), цех при ЗОК. Далее бригады преобразованы в КБ с сохранением нумерации.</w:t>
      </w:r>
    </w:p>
    <w:p w14:paraId="43B10A70"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1935 г. бригада № 1 преобразована в самостоятельное КБ-1 при заводе. В начале 1936 г. КБ-5 А.А. Архангельского выделено из состава ОКБ в самостоятельное ОКБ завода № 22, вскоре из состава ОКБ выделилось КБ-6 В.М. Мясшцева и переведено на серийный завод. В середине 1936 г. бригады № 12 и № 13 переведены на завод № 32. Бригада № 14 в 1936 г. переведена на завод № 145.</w:t>
      </w:r>
    </w:p>
    <w:p w14:paraId="79EA3E14"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1930 г. начата разработка истребителя АНТ-23 под две 76-мм ДРП АПК-5; 26.07.1930 г. выдано задание на разработку двухместного истребителя ДИП под 100-мм АПК-8.</w:t>
      </w:r>
    </w:p>
    <w:p w14:paraId="2A5C8BD7"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27.12.1936 г. вышло Постановление СТО № ОК-255сс «О постройке скоростного дальнего штурмовика- разведчика» (шифр «Иванов»). В соответствии с ним под руководством П.О. Сухова был спроектирован ББ-1. В 06.1939 г. КО № 15 П.О. Сухого в количестве 63 чел. переведен на завод № 135 для внедрения самолета в серию.</w:t>
      </w:r>
    </w:p>
    <w:p w14:paraId="3B6D7346"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21.10.1937 г. А.Н. Туполев, как и ряд других конструкторов, был арестован. Работа ОКБ приостановлена и практически не велась около двух лет. Около года Туполев провел в Бутырской тюрьме, затем работает, будучи заключенным, в специальном ЦКБ-29 НКВД в дер. Болшево. В 1939 г. ЦКБ переведено в Москву и размещено в здании бывшего КОСОС. По приказу № 385с от 26.11.1939 г. ОКБ завода № 156 передано в 11ГУ НКАП.</w:t>
      </w:r>
    </w:p>
    <w:p w14:paraId="70EC18CC"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 № 172с от 21.05.1938 г. для внедрения в серию самолета АНТ-42 на заводе № 124 туда переданы чертежи и спецификации самолета; направлена конструкторская группа во главе с И.Ф. Незвалем, которая вошла в состав единого КО завода.</w:t>
      </w:r>
    </w:p>
    <w:p w14:paraId="2C80382E"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 Правительства № 237сс от 29.07.1939 г. и приказом № 248сс от 7.08.1939 г. П.О. Сухой возглавил самостоятельное ОКБ на заводе № 135.</w:t>
      </w:r>
    </w:p>
    <w:p w14:paraId="4DF8101B"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 ГКО № 175 от 17.07.1941 г. самолет ЮЗУ (Ту-2) запущен в серию.</w:t>
      </w:r>
    </w:p>
    <w:p w14:paraId="408EBC04"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1941 г. ОКБ А.Н. Туполева эвакуировано в Омск на завод № 166 НКАП, сюда же в 07-08.1941 г. эвакуировано ЦКБ-29. Вскоре на их базе организовано ОКБ-166 НКАП под руководством А.Н. Туполева. Сюда же эвакуировано КБ А.А. Архангельского и влито в состав ОКБ-166.</w:t>
      </w:r>
    </w:p>
    <w:p w14:paraId="3ECFC7FC"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месте ОКБ-156 НКАП по приказу № 297с от 15.05.1943 г. был организован завод № 225 НКАП.</w:t>
      </w:r>
    </w:p>
    <w:p w14:paraId="4437E2EB"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Приказом № 233с от 14/19.04.1943 г. Туполев назначен гл. конструктором/ ответственным руководителем завода № 156. Осенью 1943 г. КБ вернулось из Омска на площадку завода № 156 и действовало как ОКБ-156 НКАП.</w:t>
      </w:r>
    </w:p>
    <w:p w14:paraId="2F091914"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вновь организованном заводе № 156 созданы отделы: вооружения, в который входили бригады Д.А. Горского, С.И. Савельева; специальных конструкций (средства спасения, высотное и бытовое оборудование).</w:t>
      </w:r>
    </w:p>
    <w:p w14:paraId="0B13E797"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 время ВОВ в состав ОКБ-156 вошло КБ Голубкова, занимавшееся до этого внедрением в серию самолетов В-25, </w:t>
      </w:r>
      <w:r w:rsidRPr="00C33834">
        <w:rPr>
          <w:rFonts w:ascii="Times New Roman" w:hAnsi="Times New Roman"/>
          <w:color w:val="000000" w:themeColor="text1"/>
          <w:sz w:val="16"/>
          <w:szCs w:val="16"/>
          <w:lang w:val="en-US"/>
        </w:rPr>
        <w:t>DC</w:t>
      </w:r>
      <w:r w:rsidRPr="00C33834">
        <w:rPr>
          <w:rFonts w:ascii="Times New Roman" w:hAnsi="Times New Roman"/>
          <w:color w:val="000000" w:themeColor="text1"/>
          <w:sz w:val="16"/>
          <w:szCs w:val="16"/>
        </w:rPr>
        <w:t>-3. Затем Голубков работал самостоятельно. В 1954 г. в состав ОКБ-156 вновь влился штат ликвидированного ОКБ-ЗО МАП гл. конструктора А.П. Голубкова, который стал замом Туполева по гражданским самолетам.</w:t>
      </w:r>
    </w:p>
    <w:p w14:paraId="15A83EBC"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возвращения коллектива в Москву продолжены работы по модификациям Ту-2. В соответствии с пост. ГКО № 5947 от 22.05.1944 г. создан опытный СДБ («63»), По пр. № 444 от 20.07.1944 г. создан опытный Ту-2М с АШ-83ФН. В соответствии с ПСМ № 472-191 от 26.02.1946 г. разрабатывались варианты Ту-2 с двигателями М- 250 и с М-93 (Ту-6), пост. № 2548-1065 от 30.11.1946 г. и № 493-192 от 11.03.1947 г., соответственно, работы прекращены. Создан фоторазведчик Ту-2Ф, пост. СМ СССР № 2941-957 от 22.08.1947 г. он пнв под обозначением Ту-6. В 1946 г. создан опытный Ту-2Д («65»), по пр. № 766 от 4.12.1946 г. работы по нему прекращены. В 1947 г. выпущена малая серия Ту-10 - последнего отечественного бомбардировщика с поршневыми двигателями. В соответствии с ПСМ № 760-288 от 22.02.1949 г. проводились работы по буксировке за Ту-2 истребителя Як-23 с возможностью отцепки и повторной сцепки в воздухе.</w:t>
      </w:r>
    </w:p>
    <w:p w14:paraId="727B7295"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1944 г.- разработка проекта тяжелого бомбардировщика «64», приказом № 223 от 16.04.1947 г. работы прекращены.</w:t>
      </w:r>
    </w:p>
    <w:p w14:paraId="04E7B87E"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связи с началом масштабных работ по Б-4 (Ту-4) в соответствии с пост. ГКО № 8934 от 6.06.1945 г., по приказу № 263сс от 22.06.1945 г. образован филиал ОКБ на заводе № 22. Для этого в подчинение ОКБ-156 передано ОКБ-22 гл. конструктора И.Ф. Незваля с остатками коллектива гл. конструктора В.М. Мясищева. Далее по приказам № 341с от 14.08.1945 г. и № 371с от 8.09.1945 г. в распоряжение ОКБ-156 в качестве филиала передан филиал завода № 301 (переведен из 1ГУ в 7ГУ), включивший также в свой состав штат и оборудование филиала завода № 134 НКАП. В 1948 г. ОКБ-22 переведено в состав завода № 22. В 1957 г. вновь действовал филиал ОКБ- 156 на заводе № 22.</w:t>
      </w:r>
    </w:p>
    <w:p w14:paraId="489D5EB7"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1949-51 г. сформирована Летно-доводочная база (ДЦБ, затем- ЛИиДБ) ОКБ в Жуковском. Там имелись административно-бытовое здание, ангарный комплекс, ангар-навес.</w:t>
      </w:r>
    </w:p>
    <w:p w14:paraId="58475B03"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1954 г. образован филиал в Томилино. Работы по Ту-4, Ту-16, Ту-95ЛАЛ, Ту-124, БПЛА Ту-123.</w:t>
      </w:r>
    </w:p>
    <w:p w14:paraId="447B5556"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03.1956 г. создан филиал ОКБ-156 на заводе № 18. Проектировались Ту-115, Ту-126. Работы по Ту-95, Ту- 142, Ту-154.</w:t>
      </w:r>
    </w:p>
    <w:p w14:paraId="4A859683"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1956-57 г. в ОКБ создан отдел «К» по разработке БПЛА, который возглавил А.А. Туполев.</w:t>
      </w:r>
    </w:p>
    <w:p w14:paraId="01EC0A5E"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1940-е  г. проекты самолетов в ОКБ имели нумерацию: «471» - 1-й проект 1947 г.; «485» - 5-й проект 1948 г.</w:t>
      </w:r>
      <w:r w:rsidRPr="00C33834">
        <w:rPr>
          <w:rFonts w:ascii="Times New Roman" w:hAnsi="Times New Roman"/>
          <w:color w:val="000000" w:themeColor="text1"/>
          <w:sz w:val="16"/>
          <w:szCs w:val="16"/>
          <w:vertAlign w:val="superscript"/>
        </w:rPr>
        <w:t>30</w:t>
      </w:r>
    </w:p>
    <w:p w14:paraId="57566567"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ПСМ № 472-191 от 02.1946 г. начата разработка пассажирского варианта Ту-4 - самолета Ту- 70 («70», Ту-12). В соответствии с ПСМ № 3140-1028 от 8.09.1947 г. начата разработка Ту-4К в составе РК «Комета», в 1953 г. он пнв. В соответствии с ПСМ № 3159-1317 от 14.07.1950 г. велось создание системы «Бурлаки»: буксировке за Ту-4 истребителя МиГ-15бис. Пост, правительства № 3193-1214 от 10.07.1952 г. серийный выпуск Ту-4 прекращен.</w:t>
      </w:r>
    </w:p>
    <w:p w14:paraId="287D1589"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1947 г. разработан проект фронтового бомбардировщика «73». Пост, правительства № 493-192 от 11.03.1947 г. утверждена его постройка, а также начата разработка дальнего бомбардировщика «69» (Ту-8). Пост. № 2941-957 от 22.08.1947 г. определена разработка «73» в варианте разведчика. Была начата подготовка к серийному выпуску самолета на заводе № 23, но пост. № 1890-700 от 14.05.1949 г. работы прекращены.</w:t>
      </w:r>
    </w:p>
    <w:p w14:paraId="61AFEF93"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ПСМ № 2052-804 от 12.06.1948 г. начата разработка тяжелого бомбардировщика Ту-80 со сроком предъявления на испытания в середине 1949 г. Пост. № 3929-1608 от 16.09.1949 г. опытный самолет был передан для проведения летных исследований; этим же постановлением задана разработка бомбардировщика Ту- 85. В соответствии с ПСМ № 4764-2062 от 28.11.1950 г. и приказом МАП № 240 начата подготовка к серийному выпуску самолета на заводах № 18, 22 и 23, но самолет не строился. Ту-85 стал последним построенным отечественным бомбардировщиком с поршневыми двигателями; его взлетная масса впервые в СССР превысила 100 т.</w:t>
      </w:r>
    </w:p>
    <w:p w14:paraId="3586CD32"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ПСМ № 2474-974 от 10.06.1950 г. на базе проектов 1949 г. «494» и «495» начата разработка дальнего бомбардировщика «88» с 2 двигателями АМ-3. 1-й опытный экземпляр взлетел 27.04.1952 г. Пост. № 3193-1214 от 10.07.1952 г. Ту-16 запущен в серию на заводе № 22. В соответствии с ПСМ № 1034-443 от 28.05.1954 г. Ту-16 пнв. В соответствии с ПСМ № 1659-657 от 3.07.1953 г. создан разведчик Ту-16Р («92»), пост. № 1545-777 от 3.12.1956 г. Ту-16Р пнв. В соответствии с ПСМ № 788-437 от 11.06.1956 г. разработан Ту-16Р-1 с новым комплексом оборудования. По пр. № 44 от 17.09.1953 г. создан заправщик Ту-163, по постановлению от 24.05.1954 г. создан опытный заправщик Ту-16Н для дозаправки двух МиГ-19. В соответствии с ПСМ № 2253- 1069 от 3.11.1954 г. был испытан опытный Ту-16 с кормовой оборонительной установкой, стреляющей реактивными ТРС. По распоряжению от 12.07.1954 г. создан торпедоносец Ту-16Т. В соответствии с ПСМ № 163- 97сс от 2.02.1955 г. Ту-16Т пнв. В соответствии с пост.ениями правительства № 178-110 от 3.02.1955 г. и № 1946- 1045 от 16.11.1955 г. начата разработка носителя Ту-16К-10 ПКР К-10С комплекса «Комета-10». Решением от 31.12.1958 г. самолет запущен в серию на заводе № 22, пост. № 742-315 от 12.08.1961 г. он пнв. По постановлению от 26.11.1955 г. велись работы (шифр «Архангельск») по размещению на Ту-16 радиоуправляемой спасательной лодки. В соответствии с ПСМ № 424-261сс от 28.03.1956 г. построен опытный Ту-16Б с двигателями М16-15. В соответствии с ПСМ № 1528-768 от 23.11.1956 г. начата разработка радиоуправляемой мишени М-16 на базе Ту- 16. Пост, от 4.02.1961 г. начаты работы по Ту-16КСР-2 комплекса К-16 с предъявлением на испытания к 15.04.1961 г., пост. № 1184-514 от 30.12.1961 г. он пнв. Пост. № 314-157 от 13.04.1962 г. пнв Ту-16КСР-2-11 комплекса К-11. В соответствии с ПСМ № 838-357 от 11.08.1962 г. начата отработка Ту-16К-26 комплекса К-26, пост. № 882-315 от 12.11.1969 г. он пнв. Пост. № 123-43 от 7.02.1964 г. задана разработка Ту-16К-26П, носителя КСР-5П с пассивной ГСН, пост. № 643-205 от 4.09.1973 г. он пнв. Пост. № 552-229 от 23.06.1964 г. задана разработка Ту-16К-10-26 комплекса К-34, пост. № 882-315 от 12.11.1969 г. и пр. МО от 4.12.1969 г. он пнв. В соответствии с ПСМ № 1081-370 от 22.11.1967 г. создан радиационный разведчик Ту-16РР.</w:t>
      </w:r>
    </w:p>
    <w:p w14:paraId="0F7AB522"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1950 г. разработан проект палубного торпедоносца «507». В соответствии с ПСМ от 04.1951 г. на его базе в 1954 г. построен опытный пикирующий бомбардировщик-торпедоносец Ту-91 (в ОКБ неофициально именовался «Чиж-Пин-Бог-15Ш»).</w:t>
      </w:r>
    </w:p>
    <w:p w14:paraId="71839524"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соответствии с ПСМ № 2396-1137 от 11.07.1951 г. начата разработка скоростного тяжелого бомбардировщика Ту-95. В соответствии с ПСМ № 1551-544 от 29.03.1952 г. создан высотный Ту-96, в 03.1956 г. работы прекращены. Пост, от 11.03.1954 г. задана разработка Ту-95К комплекса К-20 с УР Х-20, 9.09.1960 г. он пнв. В соответствии с пост.ениями от 2.07.1959 г. и от 20.05.1960 г. разработан Ту-95КД с системой дозаправки. Пост. № 1606-727 от 30.07.1954 г. была задана разработка летающей лаборатории на базе Ту-95 для испытаний самолета «100». Пост. № 710-338 от 2.07.1958 г. задана разработка Ту-95К-10 - ностиеля УР К-10С. В соответствии с ПСМ от 12.08.1955 г. на базе Ту-95 начата разработка пассажирского Ту-114. В соответствии с ПСМ от 31.07.1958 г. разрабатывался Ту-95С - носитель стратегической КР С-30, в 02.1960 г. тема закрыта. В соответствии с ПСМ от 21.07.1959 г. начата разработка самолета </w:t>
      </w:r>
      <w:r w:rsidRPr="00C33834">
        <w:rPr>
          <w:rFonts w:ascii="Times New Roman" w:hAnsi="Times New Roman"/>
          <w:color w:val="000000" w:themeColor="text1"/>
          <w:sz w:val="16"/>
          <w:szCs w:val="16"/>
          <w:lang w:val="en-US"/>
        </w:rPr>
        <w:t>PJI</w:t>
      </w:r>
      <w:r w:rsidRPr="00C33834">
        <w:rPr>
          <w:rFonts w:ascii="Times New Roman" w:hAnsi="Times New Roman"/>
          <w:color w:val="000000" w:themeColor="text1"/>
          <w:sz w:val="16"/>
          <w:szCs w:val="16"/>
        </w:rPr>
        <w:t>, радиотехнической и фоторазведки Ту-95РЦ, пост, от 30.05.1966 г. самолет пнв. В соответствии с ПСМ от 20.05.1960 г. начата разработка разведчика Ту-95Р, распоряжением № 65 от 9.01.1962 г. серийный Ту-95М переоборудован в Ту-95Р. Пост. СМ № 358-128 от 30.04.1965 г. задана разработка и постройка дальнего противолодочного самолета Ту-142. В соответствии с ПСМ № 104-36 от 13.02.1973 г. Ту-95 был переоборудован в Ту-95М-5 - носитель УР КСР-5, в 05.1977 г. работы прекращены; в соответствии с тем же пост. Ту-95К переоборудовались в Ту-95К-22 - носители Х-22. В соответствии с ПСМ от 9.12.1976 г. разрабатывался Ту-95МА - носитель ракет «Метеорит-А», в 1984 г. работы прекращены.</w:t>
      </w:r>
    </w:p>
    <w:p w14:paraId="5FFD8455"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1953 г. велись работы по подвесному бомбардировщику «100» - носителю ядерной бомбы в составе стратегической системы «108». Официально создание самолета задано пост. № 1606-727 от 30.07.1954 г. Работы прекращены в 1958 г.</w:t>
      </w:r>
    </w:p>
    <w:p w14:paraId="1BCA8D45"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12.04.1954 г. вышло постановление СМ СССР № 683-301сс «О постройке фронтового бомбардировщика со сверхзвуковыми скоростями конструкции Туполева» с предъявлением на Госиспытания в 12.1956 г. Пост. № 1013-482 от 02.1958 г. работы по Ту-98 прекращены.</w:t>
      </w:r>
    </w:p>
    <w:p w14:paraId="449A421E"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соответствии с ПСМ № 1605-726 от 30.07.1954 г. начата разработка дальних бомбардировщиков: «105» с двигателями ВД-5Ф и «106» с </w:t>
      </w:r>
      <w:r w:rsidRPr="00C33834">
        <w:rPr>
          <w:rFonts w:ascii="Times New Roman" w:hAnsi="Times New Roman"/>
          <w:color w:val="000000" w:themeColor="text1"/>
          <w:sz w:val="16"/>
          <w:szCs w:val="16"/>
          <w:lang w:val="en-US"/>
        </w:rPr>
        <w:t>AM</w:t>
      </w:r>
      <w:r w:rsidRPr="00C33834">
        <w:rPr>
          <w:rFonts w:ascii="Times New Roman" w:hAnsi="Times New Roman"/>
          <w:color w:val="000000" w:themeColor="text1"/>
          <w:sz w:val="16"/>
          <w:szCs w:val="16"/>
        </w:rPr>
        <w:t>-19 или ВД-9. Пост. № 1317-752 уже ставилась задача создания бомбардировщика с двигателями НК-6, которые должны были быть представлены на Госиспытания в 4-м квартале 1957 г. Пост. № 426-201 от 17.04.1958 г. ОКБ поручена разработка Ту-22 на базе проектов «105» и «106». 23.02.1960 г. вышло постановление СМ СССР № 219-82 «О создании дальнего сверхзвукового самолета- разведчика ТУ-22Р». 23.04.1960 г. - постановление № 440-177 «О дальнейшем производстве самолетов Ту-22». В соответствии с решением ВПК от 01.1974 г. и ПСМ № 534-187 от 26.06.1974 г. начата разработка Ту-22МЗ с двигателями НК-25.</w:t>
      </w:r>
    </w:p>
    <w:p w14:paraId="6CE75F9F"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соответствии с ПСМ № 1561-868 от 12.08.1955 г. ОКБ поручено создание первого отечественного самолета с ЯСУ, выполнена комплексная НИР. В соответствии с ПСМ от 26.03.1956 г. начато проектирование </w:t>
      </w:r>
      <w:r w:rsidRPr="00C33834">
        <w:rPr>
          <w:rFonts w:ascii="Times New Roman" w:hAnsi="Times New Roman"/>
          <w:color w:val="000000" w:themeColor="text1"/>
          <w:sz w:val="16"/>
          <w:szCs w:val="16"/>
          <w:lang w:val="en-US"/>
        </w:rPr>
        <w:t>Ty</w:t>
      </w:r>
      <w:r w:rsidRPr="00C33834">
        <w:rPr>
          <w:rFonts w:ascii="Times New Roman" w:hAnsi="Times New Roman"/>
          <w:color w:val="000000" w:themeColor="text1"/>
          <w:sz w:val="16"/>
          <w:szCs w:val="16"/>
        </w:rPr>
        <w:t>-95</w:t>
      </w:r>
      <w:r w:rsidRPr="00C33834">
        <w:rPr>
          <w:rFonts w:ascii="Times New Roman" w:hAnsi="Times New Roman"/>
          <w:color w:val="000000" w:themeColor="text1"/>
          <w:sz w:val="16"/>
          <w:szCs w:val="16"/>
          <w:lang w:val="en-US"/>
        </w:rPr>
        <w:t>JIAJI</w:t>
      </w:r>
      <w:r w:rsidRPr="00C33834">
        <w:rPr>
          <w:rFonts w:ascii="Times New Roman" w:hAnsi="Times New Roman"/>
          <w:color w:val="000000" w:themeColor="text1"/>
          <w:sz w:val="16"/>
          <w:szCs w:val="16"/>
        </w:rPr>
        <w:t>. В 05-08.1961 г. выполнено 34 полета, в т.ч. с работающим реактором. Дальнейшее развитие - «119».</w:t>
      </w:r>
    </w:p>
    <w:p w14:paraId="034C5818"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соответствии с пост. СМ СССР № 1172-516сс от 11.06.1954 г. начато создание Ту-104. 11.04.1958 г. вышло распоряжение правительства № 1144-рс о доработке Ту-104 под десантное и санитарное оборудование; 18.07.1958 г. - распоряжение № 2314-рс о выпуске Ту-104А, приспособленных под санитарное оборудование. 27.12.1958 г. вышло постановление правительства № 1408-688 «О катастрофах самолётов Ту-104 и мерах повышения безопасности полётов на этих самолётах». В 11.1960 г. на базе Ту-104 создана </w:t>
      </w:r>
      <w:r w:rsidRPr="00C33834">
        <w:rPr>
          <w:rFonts w:ascii="Times New Roman" w:hAnsi="Times New Roman"/>
          <w:color w:val="000000" w:themeColor="text1"/>
          <w:sz w:val="16"/>
          <w:szCs w:val="16"/>
          <w:lang w:val="en-US"/>
        </w:rPr>
        <w:t>JIJI</w:t>
      </w:r>
      <w:r w:rsidRPr="00C33834">
        <w:rPr>
          <w:rFonts w:ascii="Times New Roman" w:hAnsi="Times New Roman"/>
          <w:color w:val="000000" w:themeColor="text1"/>
          <w:sz w:val="16"/>
          <w:szCs w:val="16"/>
        </w:rPr>
        <w:t xml:space="preserve"> для подготовки космонавтов в невесомости.</w:t>
      </w:r>
    </w:p>
    <w:p w14:paraId="22DC319D"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 СМ № 1145-519 от 23.09.1957 г. началась разработка изд. «С» («121»), в 1959 г.- бросковые пуски. Пост. СМ от 1960 г. работы по Ту-121 прекращены. В соответствии с пост. СМ № 900-376 от 16.08.1960 г. на базе «С» начались работы по системе дальней беспилотной разведки ДБР-1 «Ястреб» с Ту-123. Пост. СМ от 23.05.1964 г. он принят на вооружение. На вооружении- до 1979 г. В соответствии с пост.ениями правительства от 08.1968 г. и от 09.1975 г. создан оперативно-тактический разведчик «123П». В соответствии с пост. Правительства от 03.1981 г. создан разведчик «243» («Рейс-Д»), строился серийно с 1999 г. С 1983 г. разрабатывался многоцелевой Ту-300 «Коршун».</w:t>
      </w:r>
    </w:p>
    <w:p w14:paraId="746823E8"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18.07.1958 г. вышло постановление СМ СССР о создании Ту-124.</w:t>
      </w:r>
    </w:p>
    <w:p w14:paraId="5A368440"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ПСМ № 867-408 от 31.07.1958 г. начато проектирование низковысотного дальнего бомбардировщика «132», эскизный проект создан в 1960 г.</w:t>
      </w:r>
    </w:p>
    <w:p w14:paraId="787C6696"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30.05.1960 г. вышло постановление СМ СССР № 567-230 «О мероприятиях по обеспечению разработки самолета радиолокационного дозора Ту-126». Пост. СМ № 363-133 от 30.04.1965 г. Ту-126 пнв.</w:t>
      </w:r>
    </w:p>
    <w:p w14:paraId="57787271"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 правительства № 826-341 от 1.08.1960 г. началась разработка Ту-124А (Ту-134).</w:t>
      </w:r>
    </w:p>
    <w:p w14:paraId="42CB2CE5"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ПСМ№ 1084-444 от 12.10.1960 г. начата разработка самолета Ту-110Д.</w:t>
      </w:r>
    </w:p>
    <w:p w14:paraId="078630DA"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1963 г. было принято постановление СМ СССР о создании сверхзвукового пассажирского самолета Ту- 144 («044»),</w:t>
      </w:r>
    </w:p>
    <w:p w14:paraId="420CBEA3"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ПСМ № 362-132 от 30.04.1965 г. комплекс перехвата Ту-28-80 пнв.</w:t>
      </w:r>
    </w:p>
    <w:p w14:paraId="7DFA49D4"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ПСМ № 1098-378 от 8.11.1967 г. начата разработка Ту-22М с изменяемой геометрией крыла.</w:t>
      </w:r>
    </w:p>
    <w:p w14:paraId="05EF4953"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1960-е  г. созданы, строились серийно аэросани 2-го поколения А-3. В 2000-е  г. созданы аэросани-амфибия АС-2.</w:t>
      </w:r>
    </w:p>
    <w:p w14:paraId="47DC99A4"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ОКБ-156 имело испытательную базу во Владимировке ( г. Ахтубинск), в 08.1959 г. здесь испытан Ту-121; экспериментальную базу Половинка в районе  г. Семипалатинска (здесь в 1961 г. испытывался Ту-95ЛАЛ).</w:t>
      </w:r>
    </w:p>
    <w:p w14:paraId="74FF1406"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Имелся Томилинский филиал (1957 г.), здесь велись работы по поисково-спасательному Ту-16С с катером «Фрегат».</w:t>
      </w:r>
    </w:p>
    <w:p w14:paraId="78B01626"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1961 г. образован филиал ОКБ на заводе № 64 МАП ( г. Воронеж). Работы по сопровождению серии Ту-16, Ту-128, Ту-144. Действовал в 2006 г. (серийный выпуск аэросаней АС-2).</w:t>
      </w:r>
    </w:p>
    <w:p w14:paraId="164EA645"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1978 г. в качестве филиала в ОКБ-156 вошел Закарпатский машиностроительный завод, далее- ЗВПО.</w:t>
      </w:r>
    </w:p>
    <w:p w14:paraId="624D5F49"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 СМ СССР № 127-39 от 28.01.1981 г. на базе Ту-134А создан Ту-134СХ.</w:t>
      </w:r>
    </w:p>
    <w:p w14:paraId="4D4D5287"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1988 г. образован филиал ОКБ на УАПК (Ульяновск) по внедрению в производство Ту-204.</w:t>
      </w:r>
    </w:p>
    <w:p w14:paraId="2A63EB2C"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ОКБ принимало участие в программе создания ОК «Буран».</w:t>
      </w:r>
    </w:p>
    <w:p w14:paraId="5641C090"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состав ОКБ входили: здание ЛИК с лабораторией статических испытаний; лабораторно-производственный корпус № 9 (фасад выходит на набережную Яузы).</w:t>
      </w:r>
    </w:p>
    <w:p w14:paraId="33853C64"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08.1957 г. - в ведении 1ГУ МАП. ОКБ-156 ГКАТ в 1966 г. переименовано в Московский машиностроительный завод (ММЗ) «Опыт», с 1973 г. - ММЗ «Опыт» им. А.Н. Туполева МАП. В 1989 г. преобразовано в АНТК им. А.Н. Туполева. С 1993 г. - АООТ «АНТК им. А.Н. Туполева». В соответствии с пост. Правительства № 720 от 30.06.1999 г. образовано ОАО «Туполев», в которое вошли «АНТК им. Туполева» со всеми конструкторскими мощностями и АО «Авиастар». По решению правительства № 22-р от 9.01.2004 г. и Указу Президента РФ № 1009 от 4.08.2004 г. ОАО «Туполев» вошло в число стратегических оборонных предприятий. По Указу Президента РФ от 20.02.2006 г. вошло в ОАО </w:t>
      </w:r>
      <w:r w:rsidRPr="00C33834">
        <w:rPr>
          <w:rFonts w:ascii="Times New Roman" w:hAnsi="Times New Roman"/>
          <w:color w:val="000000" w:themeColor="text1"/>
          <w:sz w:val="16"/>
          <w:szCs w:val="16"/>
          <w:lang w:val="en-US"/>
        </w:rPr>
        <w:t>OAK</w:t>
      </w:r>
      <w:r w:rsidRPr="00C33834">
        <w:rPr>
          <w:rFonts w:ascii="Times New Roman" w:hAnsi="Times New Roman"/>
          <w:color w:val="000000" w:themeColor="text1"/>
          <w:sz w:val="16"/>
          <w:szCs w:val="16"/>
        </w:rPr>
        <w:t>.</w:t>
      </w:r>
    </w:p>
    <w:p w14:paraId="196A8745"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1990-х  г. на КАПО действовало АО «Казанское КБ «АНТК им. А.Н. Туполева» (начальник- Э.М. Соркин). Действовали филиалы в Воронеже, Ульяновске, Самаре, Томилино; представительства- в Киеве и Таганроге.</w:t>
      </w:r>
    </w:p>
    <w:p w14:paraId="26D42BB9"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2000-м  г. за время существования ОКБ было разработано более 300 проектов ЛА, аэросаней и катеров. Более 80 проектов реализованы в металле, 35- строились серийно.</w:t>
      </w:r>
    </w:p>
    <w:p w14:paraId="349E20E3"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Работы (2002 г.): по пассажирским самолетам Ту-334, Ту-324, Ту-234, Ту-214, грузовьм Ту-330, Ту-230, Ту- 130, сельскохозяйственному Ту-54, легкому многоцелевому Ту-34, ВКС Ту-2000. (2006 г.): модернизация Ту- 142МЭ в </w:t>
      </w:r>
      <w:r w:rsidRPr="00C33834">
        <w:rPr>
          <w:rFonts w:ascii="Times New Roman" w:hAnsi="Times New Roman"/>
          <w:color w:val="000000" w:themeColor="text1"/>
          <w:sz w:val="16"/>
          <w:szCs w:val="16"/>
          <w:lang w:val="en-US"/>
        </w:rPr>
        <w:t>Ty</w:t>
      </w:r>
      <w:r w:rsidRPr="00C33834">
        <w:rPr>
          <w:rFonts w:ascii="Times New Roman" w:hAnsi="Times New Roman"/>
          <w:color w:val="000000" w:themeColor="text1"/>
          <w:sz w:val="16"/>
          <w:szCs w:val="16"/>
        </w:rPr>
        <w:t>-142</w:t>
      </w:r>
      <w:r w:rsidRPr="00C33834">
        <w:rPr>
          <w:rFonts w:ascii="Times New Roman" w:hAnsi="Times New Roman"/>
          <w:color w:val="000000" w:themeColor="text1"/>
          <w:sz w:val="16"/>
          <w:szCs w:val="16"/>
          <w:lang w:val="en-US"/>
        </w:rPr>
        <w:t>MSD</w:t>
      </w:r>
      <w:r w:rsidRPr="00C33834">
        <w:rPr>
          <w:rFonts w:ascii="Times New Roman" w:hAnsi="Times New Roman"/>
          <w:color w:val="000000" w:themeColor="text1"/>
          <w:sz w:val="16"/>
          <w:szCs w:val="16"/>
        </w:rPr>
        <w:t xml:space="preserve"> для Индии. (2008 г.): правительственные Ту-214СР, Ту-214ПУ и Ту-214СУС.</w:t>
      </w:r>
    </w:p>
    <w:p w14:paraId="316085A6"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состав АНТК входили (2002 г.): ЦКБ ( г. Москва), Экспериментальный завод ( г. Москва), Жуковская ЛИиДБ, Томилинский филиал, Казанское КБ, Воронежское КБ, Самарское КБ, Ульяновский филиал, Таганрогское представительство, Украинское отделение ( г. Киев).</w:t>
      </w:r>
      <w:r w:rsidRPr="00C33834">
        <w:rPr>
          <w:rFonts w:ascii="Times New Roman" w:hAnsi="Times New Roman"/>
          <w:color w:val="000000" w:themeColor="text1"/>
          <w:sz w:val="16"/>
          <w:szCs w:val="16"/>
          <w:vertAlign w:val="superscript"/>
        </w:rPr>
        <w:t>69</w:t>
      </w:r>
    </w:p>
    <w:p w14:paraId="5EF3FB55"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территории (наб. Академика Туполева, 2009 г.)- 7 га.</w:t>
      </w:r>
    </w:p>
    <w:p w14:paraId="50FDD766"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конструктор (19.04.1943-56 г.)- А.Н. Туполев. Ген. конструктор (12.1956-72 г.)- г-п академик (1953 г.) А.Н. Туполев {29.10.1888-22.12.1972}, (1973-12.1992 г.)- академик (1984 г.) А.А. Туполев {20.05.1925-12.05.2001}, (12Л992 г.-&gt; В.Т. Климов, (2001-07 г.-)- И.С. Шевчук {30.01.1953-}.</w:t>
      </w:r>
    </w:p>
    <w:p w14:paraId="353D56FF"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1-й зам. ген. конструктора (1947 г.-)- А.А. Архангельский, (начало 1970-х  г.)- Н.И. Базенков, (2005 г.)- О. Алашеев. Помощник гл. конструктора по вооружению (1931 г.-)- А.В. Надашкевич. Зам. гл., Ген. конструктора (1945-; 1960-е)- И.Ф. Незваль, (1930-е; 11.1949-53 г.)- П.О. Сухой, (1953 г.-)- </w:t>
      </w:r>
      <w:r w:rsidRPr="00C33834">
        <w:rPr>
          <w:rFonts w:ascii="Times New Roman" w:hAnsi="Times New Roman"/>
          <w:color w:val="000000" w:themeColor="text1"/>
          <w:sz w:val="16"/>
          <w:szCs w:val="16"/>
          <w:lang w:val="en-US"/>
        </w:rPr>
        <w:t>A</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M</w:t>
      </w:r>
      <w:r w:rsidRPr="00C33834">
        <w:rPr>
          <w:rFonts w:ascii="Times New Roman" w:hAnsi="Times New Roman"/>
          <w:color w:val="000000" w:themeColor="text1"/>
          <w:sz w:val="16"/>
          <w:szCs w:val="16"/>
        </w:rPr>
        <w:t>. Черемухин, (1962 г.-)- Л.Л. Селяков, (1941-66 г.-)- А.А. Архангельский, (1970-е)- С.М. Егер, (1963-73 г.)- А.А. Туполев, (1990-е)- А.И. Кандалов; по пассажирским и транспортным самолетам (1954 г.-)- А.П. Голубков; по Ту-204- О.Ю. Алашеев; (2005 г.)- С. Ильюшенко, (2008 г.)- В. Солозобов.</w:t>
      </w:r>
    </w:p>
    <w:p w14:paraId="0D3F408B"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(1924-31 г.; 01.1933 г.-)- А.Н. Туполев. Ответственный руководитель (19.04.1943 г.-)- А.Н. Туполев, (1973 г.-)- А.А. Туполев. Гендиректор (-1992 г.)- А.А. Туполев, (12.1992-97 г.)- В.Т. Климов, (1997 г.-)- И.С. Шевчук, (1998-2002 г.-)- В.Е. Александров.</w:t>
      </w:r>
    </w:p>
    <w:p w14:paraId="4E9BC80C"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Помощник начальника (1932 г.)- А.В. Надашкевич. Зам. начальника (1933 г.)- И.И. Погосский, (1930-е)- В.М. Петляков.</w:t>
      </w:r>
    </w:p>
    <w:p w14:paraId="49564D00"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ЦКБ (2008 г.)- В. Солозобов; военных программ (2006 г.)- В. Бендеров; центра ВЭД и информации (2002 г.)- С.М. Раевский.</w:t>
      </w:r>
    </w:p>
    <w:p w14:paraId="0ED4CE46"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Жуковской ЛИиДБ (1953 г.)- П.О. Сухой, (1960-е)- А.С. Благовещенский, (1980-е)- В.Т. Климов; филиала на заводе № 22 (1945-48 г.-)- И.Ф. Незваль; филиала на заводе № 18 (1956 г.-)- А.И. Путилов; Томилинского филиала (1957 г.-)- И.Ф. Незваль; Воронежского филиала (1961 г.-)- А.И. Путилов. Гл. инженер ЛДБ (1949-53 г.)~ Е.А. Иванов.</w:t>
      </w:r>
    </w:p>
    <w:p w14:paraId="14F9FBAB"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конструкторы: (1936 г.-)- П.О. Сухой («Иванов»), (1938 г.)- И.Ф. Незваль (АНТ-42), (1944-92 г.)- Д.С. Марков («64», «106», «145», Ту-4, -80, -16, -16КС, -16К-10, -16К-26, -98, -22, -22Б, -22М, -22М2), (-1952-74 Г.-)- Н.И. Базенков (Ту-95, -95М, -95М-5, -95К, -95К-22, -96, -116, -119, -142), (1953 г.)- В.А. Чижевский (Ту-91), (1960-е)-  Г.А. Озеров (Ту-119), (1963-73 г.)- А.А. Туполев (Ту-144), (-1958-73 г.)- С.М. Егер («105», «106», Ту-154; уволен после катастрофы Ту-144), (1974 г.-)- Н.В. Кирсанов (Ту-95К, -95К-22, -95МС), (1981-88 г.-)- Д.А. Антонов (Ту-95К, -95К-22, -95МС, -142М), (1976 г.-)- Л.Л. Селяков (Ту-134), А.С. Шенгардт, (1980-е)- В.И. Близнюк (Ту-160), (1992 г.-)- Б.Е. Леванович (Ту-16, -22, -22М, -22М2),</w:t>
      </w:r>
    </w:p>
    <w:p w14:paraId="5538975A"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(-1985-96 г.-)- А.Л. Пухов (Ту-260, -334, -360, -144ЛЛ), (2003 г.)- И.С. Калыгин (Ту-334), (2008 г.)- Л.А. Лановский (Ту-204), Ю.В. Воробьев (Ту-214).</w:t>
      </w:r>
    </w:p>
    <w:p w14:paraId="7713356D"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гл. конструкторов: (1947 г.-)- Д.С. Марков (Ту-4), (-1963 г.)- А.А. Туполев, (1968 г.-)- Н.В. Кирсанов (Ту- 95), (1981 г.-)- Д.А. Антонов (Ту-95), Ю. Попов (Ту-144), В.И. Близнюк (Ту-144), (-1992 г.)- Б.Е. Леванович (Ту-16, Ту-22, Ту-22М).</w:t>
      </w:r>
    </w:p>
    <w:p w14:paraId="36F59FB8"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конструкторской частью (1925 г.)- А.И. Путилов.</w:t>
      </w:r>
    </w:p>
    <w:p w14:paraId="07FD18E9"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отделов: вооружения (1931-37 г.; 1943-64 г.-)- А.В. Надашкевич; КО № 15 (1936-06.1939 г.)- П.О. Сухой; технических проектов (1943-58 г.-)- С.М. Егер («125», «127»); спецконструкций (1943-68 г.-)- Н.В. Кирсанов; «К» (1957 г.-)- А.А. Туполев, (1960-е  г.)-  Г.М. Гофбауэр, (1990-е  г.)- Л.Т. Куликов; экспортного (1990- е)- А.И. Автоманов; В.И. Близнюк.</w:t>
      </w:r>
    </w:p>
    <w:p w14:paraId="13B14590"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начальника отдела: (-1939 г.)- С.Я. Горбунов. Зам. начальника испытательной базы- Э. Крупянский. Начальники бригад: № 1 (10.1931-35 г.)- В.М. Петляков; № 2 (-21.04.1934 г.)- И.И. Погосский (погиб в катастрофе МДР-4), (1934 г.-)- А.П. Голубков; № 3 (1930-32 г.-&gt; П.О. Сухой; № 4 (09.1930-32 г.)- П.О. Сухой; № 5 (1932-36 г.)- А.А. Архангельский; № 6 (1934-37 г.)- В.М. Мясищев; № 7- В.Л. Александров; № 8- Е.И. Погосский; № 9- М.Н. Петров; № 10 (-1931-37 г.)- Н.С. Некрасов (репрессирован); № 12- (1931 г.-)- А.А. Рапп, (1934-36 г.)- И.П. Шебанов; № 13 (-1936 г.)- А.И. Шульгин; № 14 (-1936 г.)- М.Н. Родионов; испытаний вооружения (1931 г.)- Б.С. Вахмистров; двигательных установок (1950 г.)- П. Г. Климков; по АНТ-42 (1930-е)- В.М. Петляков; (1924- 32 г.)- А.А. Архангельский, (-1939 г.)- В.А. Алыбин, (-1939 г.)- А.С. Воскресенский, (1943 г.)- Д.А. Горский, (- 1939 г.)-  Г.С. Еленевский, (-1939 г.)- Л.С. Каменомостский, (1948 г.)- Б.М. Кондорский («487»), (-1939 г.)- Н.П. Поленов, (-1939 г.)- Д.А. Ромейко-Гурко, (1943 г.)- С.И. Савельев, (-1939 г.)- Е.С. Фельснер, (-1939 г.)- Н.А. Фомин.</w:t>
      </w:r>
    </w:p>
    <w:p w14:paraId="12C67185"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начальника бригады: № 2 (-1934 г.)- А.П. Голубков; № 3 (07-11.1932 г.)- Н.Н. Поликарпов, (11.1932 г.-)-  Г.О. Бертош; (-1939 г.)- В.П. Балуев, (-1939 г.)- Н.С. Дубинин, (-1939 г.)- М.М. Зуев, (-1939 г.)- В.А. Иванов, (-1939 г.)- М.И. Козлов, (-1939 г.)- Е.М. Мен, (-1939 г.)- Я.Б. Нодельман, (-1939 г.)- С.Н. Строгачев, (- 1939 г.)- А.Н. Титов, (-1939 г.)- Н.И. Щербинин.</w:t>
      </w:r>
    </w:p>
    <w:p w14:paraId="61FDA460"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Ведущие конструкторы: (1980-е)- В.А. Андреев (Ту-360), (1930-е-49 г.-)- А.А. Архангельский (АНТ-40, «73», «81», «82»), (-1960-69 г.-)- С.М. Егер («132», Ту-128Б), (1980-е-98 г.)- Н.В. Кирсанов, Б.Е. Леванович, (1950-е)- А.В. Надашкевич (Ту-4К), (1960-е)- И.Ф. Незваль (Ту-148), (1956 г.)-  Г.А. Озеров (Ту-95ЛАЛ), (1949-63 г.)- А.А. Туполев, (1985 г.)- Ю.А. Фазылов (Ту-260).</w:t>
      </w:r>
    </w:p>
    <w:p w14:paraId="5A97E565"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Руководители групп: прочности и аэродинамики (1932 г.)- В.Н. Беляев.</w:t>
      </w:r>
    </w:p>
    <w:p w14:paraId="10482A76"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Ведущие инженеры: по испытаниям: (1935 г.)- Е.К. Стоман (АНТ-25), О. Купцов (Ту-144), (-1973 г.)- Б. Первухин (погиб на Ту-144); по прочности Ту-2 (1940-е)-  Г.А. Озеров. Летчики-испытатели: А.Д. Калина.</w:t>
      </w:r>
    </w:p>
    <w:p w14:paraId="3B91B162"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Создано: самолеты: АНТ-1 (21.10.1923 г.), АНТ-2 (26.05.1924 г.), пассажирский АНТ-9 (5.05.1929 г.), АНТ-10 (Р-7, 31.01.1930 г.), АНТ-20 «Максим Горький» (17.06.1934 г.), морской крейсер АНТ-22 (МК-1, 8.08.1934 г.), АНТ- 25 («РД», 22.06.1933 г.), многоцелевой АНТ-51 («Иванов», 25.08.1937 г.); разведчики: АНТ-3 (10.07.1925 г.), АНТ-7 (Р-6, 11.09.1929 г.), морской дальний АНТ-8 (МДР-2, 30.01.1931 г.); истребители: И-4 (АНТ-5, 10.08.1927 г.), И-8 «Жокей» (АНТ-13, 12.12.1930 г.), многоместный МИ-3 (АНТ-21, 23.05.1933 г.), двухместный пушечный ДИП (14.02.1935 г.), И-12 (АНТ-23, 29.08.1931 г.), И-12бис (1931, не реализован), И-14 (АНТ-31, 27.05.1931 г.), ДИ-8 (АНТ-46, 1.08.1935 г.); бомбардировщики: скоростной СБ (АНТ-40, 7.10.1934 г.), торпедоносец Т-1 (АНТ-41, 2.06.1936 г.); тяжелые: ТБ-1 (АНТ-4, 26.11.1925 г.), ТБ-3 (АНТ-6, 22.12.1930 г.), ТБ-7 (АНТ-42, 27.12.1936 г.), морской МТБ-2 (АНТ-44,19.04.1937 г.), Ту-4 (19.05.1947 г., пнв в 1947 г.), Ту-4К (пнв в 1953 г.), Ту-80 (1.12.1949 г.), Ту-85 («85», 9.01.1951 г.), Ту-95 (12.11.1952 г.), Ту-95М (22.02.1957 г., пнв 26.09.1957 г.), Ту-95К (пнв 9.09.1960 г.), целеуказатель Ту-95РЦ (пнв в 1965 г.), Ту-95М-5 (1976), Ту-95К-22 (пнв в 1987 г.), Ту-95МС (09.1979 г., пнв в 1981(3) г.), Ту-160 («К», «70», 18.12.1981 г.), высотный Ту-96 («96», 1955); дальние: ДБ-2 (АНТ-37, 16.06.1935 г.), ДБ-2Б (АНТ-37бис, 25.02.1936 г.), Ту-2Д («62», 12.07.1944), высотный «65» (1.07.1946 г.), «67» (12.02.1946 г.), Ту- 10 («68», Ту-4, 19.5.1945 г.), Ту-8 («69», 24.05.1947 г.), Ту-16 («88», 27.04.1952 г., пнв 28.05.1954 г.), Ту-16А (пнв в 1955 г.), Ту-16Б, -В (1955-57), Ту-16КС (пнв в 1955 г.), Ту-16К-10 («НК-10», пнв 12.08.1961 г.), Ту-16К-10-26, Ту- 16КСР-2 (Ту-16К-16, «НК-3», пнв 30.12.1961 г.), Ту-16КСР-2-11 («НК-2», пнв 13.04.1962 г.), Ту-16К-26 («НК-4», пнв 12.11.1969 г.), Ту-16К-26П («НК-26П», пнв 4.09.1973 г.), Ту-16К-10-26 («НК-6», пнв 12.11.1969 г.), разведчики Ту-16Р, -РМ-1, -РМ-2 (1960-е), целеуказатель Ту-16РЦ (пнв в 1965 г.), «105» (21.07.1958 г.), Ту-22 («105А», «Ю», 7.09.1959 г.), Ту-22Б («Ю»), Ту-22К (пнв в 1967 г.), Ту-22М0 («АМ», изд. 45-00, 30.08.1969 г.), Ту-22М1 (изд. 45-01, 28.07.1971 г.), Ту-22М2 (изд. 45-02, 7.05.1973 г., пнв в 08.1976 г.), Ту-22МЗ (изд. 45-03, 20.06.1977 г., пнв в 03.1989 г.), противолодочные Ту-142 (18.06.1968 г.), Ту-142МЗ (пнв в 1993 г.); фронтовые: скоростной дневной С ДБ («63», АНТ-63, 21.05.1944 г.), перехватчик «104» (1944), Ту-2М (18.05.1945 г.), фоторазведчик Ту-6 (Ту-2Ф, пнв 22.08.1947 г.), Ту-14 («73», 20.12.1947 г.), Ту-12 («77», 27.07.1947 г.), разведчик «78» («73Р», 1948), Ту-14 («81», 13.10.1949 г.), «82» (Ту-22, Ту-82, 24.03.1949 г.), Ту-14Р («89»), Ту-98 («98», 1956), перехватчик Ту-28 (пнв 30.04.1965 г.), дальний перехватчик Ту-128 («128», 18.03.1961); торпедоносцы: Ту-2Т («К», 1944), «62Т» (2.08.1946 г.), Ту-14Т («81Т», 13.10.1949 г., пнв в 07.1951 г.), Ту-91 «Бычок» («194», 2.09.1954 г.); ДРЛО Ту-126 (23.01.1962 г., пнв 30.04.1965 г.); военно-транспортные: Ту-75 («75», 22.01.1950г,), Ту-107 («107»); пассажирские: АНТ-14 «Правда» (14.08.1931 г.), ПС-35 (АНТ-35, 20.08.1936 г.), Ту-70 («70», 27.11.1946 г.), Ту-104 (17.07.1955 г.), Ту-110 (11.03.1957 г.), Ту-114 (15.11.1957 г.), Ту-116 (Ту-114Д, 1958), Ту-124 (24.03.1960 г.), Ту-134 (Ту-124А, 29.07.1963 г.), сверхзвуковой Ту-144 (31.12.1968 г.), Ту-144Д (30.11.1974 г.), Ту-154 (3.10.1968 г.), Ту-154М (Ту-164, 11.06.1980 г.), Ту-204 (2.01.1989 г.), Ту-214 (Ту-204-200, 21.03.1996 г.), Ту-334 (8.02.1999 г.); экспериментальные: с ЯСУ Ту-95ЛАЛ (1961), на криогенном топливе Ту-155 (15.04.1988 г.); проекты самолетов: бомбардировщиков: тяжелых: «64» (1944), «471», «473», «474» (1947), стратегических: «485», «487», «489» (1948), высотного «99», летающей лодки «504» (1950), «108» (1956), «109» (1950-е); дальних: пикирующего «57» (ПБ, 1939), «61» (Ту-2Д, АНТ-61, 1941), среднего «72» (1946), «76» (Ту-32, 1947), «86» и «87» (1951), «90» (1954), «97» (1950-е), «103» (1950-е), «106» (1050-е-60-е), с ЯСУ «120» (1960-е), «124» (1957), «125» (1960-е), «132» (1960), «135» (1960-е), «137» (1960-е), «145» </w:t>
      </w:r>
      <w:r w:rsidRPr="00C33834">
        <w:rPr>
          <w:rFonts w:ascii="Times New Roman" w:hAnsi="Times New Roman"/>
          <w:color w:val="000000" w:themeColor="text1"/>
          <w:sz w:val="16"/>
          <w:szCs w:val="16"/>
        </w:rPr>
        <w:lastRenderedPageBreak/>
        <w:t>(«ЮМ», 1967); фронтовых: Ту-6 (Ту-2 с М-93, 1946), «71» (1946), «76» (Ту-32, 1948), «81» (Ту-18), «83» (1949), «112» (1950-е), «122» (1950-е), «127» (1958), Ту-128Б (1969), «129»; «98А» (Ту-24, 1950-е), «100» (1954); многоцелевого Ту-148 (1960-е); гиперзвуковых ударных «230» (Ту-260, 1985), «360» (Ту-360, 1980- е), воздушно-космического «2000» (Ту-2000, 1990-е); разведчиков: «74» и «79» (1949), «84»; торпедоносцев: палубного «509» (1950), «93» (1952); военно-транспортного Ту-115, «117» (1950-е); экспериментального с ЯСУ «119» (Ту-119,1960-е); пассажирского «118» (1950-е), административного Ту-334 на базе Ту-22МЗ (1990-е);</w:t>
      </w:r>
      <w:r w:rsidRPr="00C33834">
        <w:rPr>
          <w:rFonts w:ascii="Times New Roman" w:hAnsi="Times New Roman"/>
          <w:color w:val="000000" w:themeColor="text1"/>
          <w:sz w:val="16"/>
          <w:szCs w:val="16"/>
          <w:vertAlign w:val="superscript"/>
        </w:rPr>
        <w:t>31</w:t>
      </w:r>
    </w:p>
    <w:p w14:paraId="5F4EBF23"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самолеты-снаряды: Ту-121 («С», 25.08.1959), Ту-130 («ДП»), Ту-140 («140»); ЗУР Ту-131 («3», 1959, не реализован); БПЛА: разведчики: Ту-123 (ДБР-1 «Ястреб-1»), Ту-133 («СД»), «136» (1960), Ту-139 (ДБР-2 «Ястреб-2», 1964), Ту-141 (123П», ВР-2 «Стриж»), тактический Ту-143 (ВР-3 «Рейс», пнв в 1976 г.), «243» («Рейс- Д»), «Орел», Ту-300 «Коршун» (1983), «Коршун-У»; ударный с ЯСУ Ту-123 (не реализован); мишени: «123М» (Ту-123М, не реализован), «143МВ» (ВР-ЗМВ, 1983), М-243; воздушно-космический Ту-136 «Звезда» (не реализован);</w:t>
      </w:r>
    </w:p>
    <w:p w14:paraId="6B0786F1"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катапультные кресла: для Ту-16, КТ-1 для Ту-128, КТ-1М для Ту-22М (11982).</w:t>
      </w:r>
    </w:p>
    <w:p w14:paraId="1AD0B49A"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p w14:paraId="53AD44E5"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января 1933 г. По приказу ГУАП БОК, созданное в 1930 при ЦАГИ, было передано в ЦКБ, действовало в качестве бригады № 3 ЦКБ, в 1934-38 г. - на заводе № 35 в Смоленске. С 1938 г. БОК- в составе КБ- 29. С 9.02.1938 г. по 30.01.1939 г. Чижевский возглавлял КБ-29, затем арестован, по 1941 г. работал в СТО у Туполева, затем- в его ОКБ.</w:t>
      </w:r>
    </w:p>
    <w:p w14:paraId="3938F3F0"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1940 г. в БОК влилась конструкторская группа А .Я. Щербакова. В 1940 г. работники БОК вошли в состав ОКБ П.О. Сухого на заводе № 289.</w:t>
      </w:r>
    </w:p>
    <w:p w14:paraId="58F3037F"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разное время в БОК работали: Н.И. Камов (при ЦАГИ), С.М. Лавочкин, Б.И. Черановский {13.07.1896- 17.12.1960} (работал и в 1946 г.), АЛ. Щербаков.</w:t>
      </w:r>
    </w:p>
    <w:p w14:paraId="7DD9F9A6"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(1931-39 г.)- В.А. Чижевский (репрессирован), (1939 г.-)- Н.Н. Каштанов.</w:t>
      </w:r>
    </w:p>
    <w:p w14:paraId="2E4B3F54"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начальника (1933 г.)- Н.Н. Каштанов.</w:t>
      </w:r>
    </w:p>
    <w:p w14:paraId="17C95442"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Создано: экспериментальные и рекордные самолеты: первый советский стратосферный БОК-1 (13.12.1935 г.), БОК-2, БОК-5, БОК-7, БОК-8, БОК-11 (1940), стратосферный БОК-15 (12.03.1940 г.), БОК-17 (1939), изд. «32», «34», стратосферный планер СП-1;</w:t>
      </w:r>
    </w:p>
    <w:p w14:paraId="21B21A2E"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герметичная гондола БОК-9 для стратостата «СССР-1», стратостаты «СССР-2», «СССР-3» (1934-35) (11982).</w:t>
      </w:r>
    </w:p>
    <w:p w14:paraId="48A32503"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p w14:paraId="35CFB6D0"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января 1933 г. Начальник Главного управления авиапромышленности П.И. Баранов подписал приказ об организации нового Центрального Конструкторского Бюро на базе авиазавода № 39. Начальником ЦКБ, насчитывающем шесть проектных бригад, назначили С.В.Ильюшина. Поликарповская бригада, в задачу которой входила разработка истребителей, получила порядковый №2. В новом качестве конструкторский коллектив продолжил работу над И-15, получившем рабочее обозначение ЦКБ-3 (6593).</w:t>
      </w:r>
    </w:p>
    <w:p w14:paraId="7CA5116A"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p w14:paraId="639A1720" w14:textId="77777777" w:rsidR="00791F8F" w:rsidRPr="00C33834" w:rsidRDefault="00791F8F"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13 января</w:t>
      </w:r>
      <w:r w:rsidRPr="00C33834">
        <w:rPr>
          <w:rFonts w:ascii="Times New Roman" w:hAnsi="Times New Roman"/>
          <w:color w:val="000000" w:themeColor="text1"/>
          <w:sz w:val="16"/>
          <w:szCs w:val="16"/>
        </w:rPr>
        <w:t xml:space="preserve"> в 1933 году образовано ОАО "Авиационный комплекс имени С.В.Ильюшина". Официальной датой основания ОАО "Авиационный комплекс имени С.В.Ильюшина" считается 13 января 1933 г., когда при Московском авиазаводе №39 имени В.Р.Менжинского было создано Центральное конструкторское бюро, а в нем - бригада по разработке дальнего бомбардировщика под руководством С.В.Ильюшина. В 1935 г. бригада получила статус ОКБ. В 1941 г. ОКБ было эвакуировано в Куйбышев на завод №18. В 1942 г. оно было возвращено в Москву на территорию завода №240. В 1946 г. к предприятию был присоединён завод №482, где раньше находилось ОКБ В.М.Мясищева. ОКБ специализировалось по четырем основным направлениям: создание бомбардировщиков, штурмовиков, пассажирских и транспортных (грузовых) самолетов. Опытный экземпляр дальнего бомбардировщика ЦКБ-26 был модифицирован в ЦКБ-30 и запущен (как «ДБ-3») в производство в 1936 г. В 1942 г. последняя модификация самолета получила название «Ил-4». Эта машина стала основным дальним бомбардировщиком Великой Отечественной Войны. Штурмовики Ильюшина во время Великой Отечественной войны составили основу советской штурмовой авиации. Один из массовых самолётов военного периода – «Ил-2». При его создании удалось решить многие научно-технические проблемы, в том числе использовать броню в качестве силовой конструкции самолёта, разработать технологию изготовления броневого корпуса с большой кривизной обводов и др. Проектирование пассажирского самолета началось в последние годы войны и ставило целью создание массового гражданского самолета. «Ил-12» - пассажирский самолет с двумя ПД. С его созданием началось новое направление в деятельности ОКБ, а в масштабах страны - организация массовых воздушно-транспортных перевозок. Разработка транспортных (грузовых) самолетов началась с десантного «Ил-12Д» и транспортных «Ил-12Т» и «Ил-14Т», являющихся модификациями пассажирских самолетов «Ил-12» и «Ил-14». С 1977 г. завод стал именоваться Московским машиностроительным заводом имени С.В.Ильюшина, а затем ОАО "Авиационный комплекс имени С.В.Ильюшина". Предприятие награждено орденами Ленина (1942 г.), Красного Знамени (1944 г.), Трудового Красного Знамени (1969 г.), Октябрьской Революции (1983 г.). Сейчас на предприятии производятся военно-транспортные самолеты «Ил-76МД» и гражданские самолеты «Ил-18», «Ил-62», «Ил-76», «Ил-86», «Ил-96-300», «Ил-96Т», «Ил-96М», «Ил-14», «Ил-114-100», «Ил-114Т», «Ил-103», а также небольшие (от 5 до 27 мест) пассажирские самолеты. Около 1500 самолетов марки "Ильюшин" эксплуатируются в России и за рубежом. ОАО "Авиационный комплекс имени С.В.Ильюшина" входит в число лучших предприятий России (15008).</w:t>
      </w:r>
    </w:p>
    <w:p w14:paraId="29761E23" w14:textId="77777777" w:rsidR="00791F8F" w:rsidRPr="00C33834" w:rsidRDefault="00791F8F" w:rsidP="00C33834">
      <w:pPr>
        <w:spacing w:after="0" w:line="240" w:lineRule="auto"/>
        <w:jc w:val="both"/>
        <w:rPr>
          <w:rFonts w:ascii="Times New Roman" w:hAnsi="Times New Roman"/>
          <w:color w:val="000000" w:themeColor="text1"/>
          <w:sz w:val="16"/>
          <w:szCs w:val="16"/>
        </w:rPr>
      </w:pPr>
    </w:p>
    <w:p w14:paraId="336EF3B1"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января 1933 г. начальник Главного управления авиационной промышленности П.И.Баранов подписал приказ об организации нового Центрального конст</w:t>
      </w:r>
      <w:r w:rsidRPr="00C33834">
        <w:rPr>
          <w:rFonts w:ascii="Times New Roman" w:hAnsi="Times New Roman"/>
          <w:color w:val="000000" w:themeColor="text1"/>
          <w:sz w:val="16"/>
          <w:szCs w:val="16"/>
        </w:rPr>
        <w:softHyphen/>
        <w:t>рукторского бюро на заводе им. Менжинского, специа</w:t>
      </w:r>
      <w:r w:rsidRPr="00C33834">
        <w:rPr>
          <w:rFonts w:ascii="Times New Roman" w:hAnsi="Times New Roman"/>
          <w:color w:val="000000" w:themeColor="text1"/>
          <w:sz w:val="16"/>
          <w:szCs w:val="16"/>
        </w:rPr>
        <w:softHyphen/>
        <w:t>лизирующегося на проектировании истребителей, разведчиков, штурмовиков и других боевых самоле</w:t>
      </w:r>
      <w:r w:rsidRPr="00C33834">
        <w:rPr>
          <w:rFonts w:ascii="Times New Roman" w:hAnsi="Times New Roman"/>
          <w:color w:val="000000" w:themeColor="text1"/>
          <w:sz w:val="16"/>
          <w:szCs w:val="16"/>
        </w:rPr>
        <w:softHyphen/>
        <w:t>тов. В новое ЦКБ были переведены в полном составе бригады самолетов-разведчиков, морских самолетов, часть бригады Бюро особых конструкций, бригада № 5 Н.Н.Поликарпова, часть бригады вооружения, отдель</w:t>
      </w:r>
      <w:r w:rsidRPr="00C33834">
        <w:rPr>
          <w:rFonts w:ascii="Times New Roman" w:hAnsi="Times New Roman"/>
          <w:color w:val="000000" w:themeColor="text1"/>
          <w:sz w:val="16"/>
          <w:szCs w:val="16"/>
        </w:rPr>
        <w:softHyphen/>
        <w:t>ные группы конструкторов, инженеров, чертежников. Начальником ЦКБ и заместителем директора завода был назначен С.В.Ильюшин (10667).</w:t>
      </w:r>
    </w:p>
    <w:p w14:paraId="42879203"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p w14:paraId="65F94638"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января 1933 г. Начальник Главного управления авиапромышленности П.И. Баранов (должность начальника ВВС с 1931 г. занял Я.И.Алкснис) подписал приказ об организации Центрального Конструкторского Бюро на базе авиазавода №39. Начальником ЦКБ, состоящего из шести проектных бригад, назначили С.В.Ильюшина. Группа Поликарпова стала именоваться бригадой №2, главной задачей которой являлось проектирование истребителей.</w:t>
      </w:r>
    </w:p>
    <w:p w14:paraId="2707B6F9"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новом качестве конструкторский коллектив продолжил работу над И-15, получившем рабочее обозначение ЦКБ-3. Постройка самолета, развернувшаяся летом 1933-го, шла без особых затруднений. По су ти, технология ЦКБ-3 во многом напоминала методы, используемые при изготовлении истребителя И-5. Такие же деревянные крылья с полотняной обшивкой, дюралевое оперение и ферменный стальной фюзеляж (12014).</w:t>
      </w:r>
    </w:p>
    <w:p w14:paraId="6E03461F"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p w14:paraId="0EA60109" w14:textId="77777777" w:rsidR="00A4146F"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1826DCB" w14:textId="77777777" w:rsidR="00A4146F" w:rsidRPr="00C33834" w:rsidRDefault="00A4146F"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3BACF13" w14:textId="77777777" w:rsidR="00A4146F" w:rsidRPr="00C33834" w:rsidRDefault="00A4146F" w:rsidP="00C33834">
      <w:pPr>
        <w:pStyle w:val="rtejustify"/>
        <w:spacing w:before="0" w:after="0"/>
        <w:rPr>
          <w:color w:val="000000" w:themeColor="text1"/>
          <w:sz w:val="16"/>
          <w:szCs w:val="16"/>
        </w:rPr>
      </w:pPr>
      <w:r w:rsidRPr="00C33834">
        <w:rPr>
          <w:rStyle w:val="af0"/>
          <w:bCs/>
          <w:i w:val="0"/>
          <w:color w:val="000000" w:themeColor="text1"/>
          <w:sz w:val="16"/>
          <w:szCs w:val="16"/>
        </w:rPr>
        <w:t>13 января</w:t>
      </w:r>
      <w:r w:rsidRPr="00C33834">
        <w:rPr>
          <w:color w:val="000000" w:themeColor="text1"/>
          <w:sz w:val="16"/>
          <w:szCs w:val="16"/>
        </w:rPr>
        <w:t xml:space="preserve"> 1933 вышел приказ РВСС № 1. 4. — 2) О строительстве укрепленных районов и береговой обороны за 1932 г. и план на 1933 г. (Петин). 9. О передаче ГАРОЗа № 1 промышленности и об ассигновании 900 000 руб. на расширение производственной мощности ГАРОЗа. (Тухачевский). (РГВА. Ф. 4. Оп. 18. Д. 23. Л. 3</w:t>
      </w:r>
      <w:r w:rsidRPr="00C33834">
        <w:rPr>
          <w:color w:val="000000" w:themeColor="text1"/>
          <w:sz w:val="16"/>
          <w:szCs w:val="16"/>
        </w:rPr>
        <w:noBreakHyphen/>
        <w:t>4) (15461).</w:t>
      </w:r>
    </w:p>
    <w:p w14:paraId="40A6ECEF" w14:textId="77777777" w:rsidR="00A4146F" w:rsidRPr="00C33834" w:rsidRDefault="00A4146F" w:rsidP="00C33834">
      <w:pPr>
        <w:pStyle w:val="rtejustify"/>
        <w:spacing w:before="0" w:after="0"/>
        <w:rPr>
          <w:rStyle w:val="af0"/>
          <w:bCs/>
          <w:i w:val="0"/>
          <w:color w:val="000000" w:themeColor="text1"/>
          <w:sz w:val="16"/>
          <w:szCs w:val="16"/>
        </w:rPr>
      </w:pPr>
    </w:p>
    <w:p w14:paraId="5EDC6F47" w14:textId="77777777" w:rsidR="00D8588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49A5EA8F" w14:textId="77777777" w:rsidR="00D8588A" w:rsidRPr="00C33834" w:rsidRDefault="00D8588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D243BC6"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января 1933 вышло решение ЦК о проведении чистки партии и сократили на 1 млн. 150 тыс. (1348,119).</w:t>
      </w:r>
    </w:p>
    <w:p w14:paraId="7216143C"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p w14:paraId="541344FF" w14:textId="77777777" w:rsidR="00D8588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24AC694" w14:textId="77777777" w:rsidR="00D8588A" w:rsidRPr="00C33834" w:rsidRDefault="00D8588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9B0CA60"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января 1933 Конгресс США проголосовал за предоставление Филиппинам независимости после переходного периода, но Президент Гувер наложил вето на это решение и 17 января Конгресс преодолел это вето. Предложение было отвергнуто правительством Филиппин (3907,179).</w:t>
      </w:r>
    </w:p>
    <w:p w14:paraId="5E50779A" w14:textId="77777777" w:rsidR="00D8588A" w:rsidRPr="00C33834" w:rsidRDefault="00D8588A" w:rsidP="00C33834">
      <w:pPr>
        <w:autoSpaceDE w:val="0"/>
        <w:autoSpaceDN w:val="0"/>
        <w:adjustRightInd w:val="0"/>
        <w:spacing w:after="0" w:line="240" w:lineRule="auto"/>
        <w:jc w:val="both"/>
        <w:rPr>
          <w:rFonts w:ascii="Times New Roman" w:hAnsi="Times New Roman"/>
          <w:color w:val="000000" w:themeColor="text1"/>
          <w:sz w:val="16"/>
          <w:szCs w:val="16"/>
        </w:rPr>
      </w:pPr>
    </w:p>
    <w:p w14:paraId="50093EA7" w14:textId="77777777" w:rsidR="00DF28E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DB576EB" w14:textId="77777777" w:rsidR="00DF28E3" w:rsidRPr="00C33834" w:rsidRDefault="00DF28E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59FDE94"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января 1933 года ЦАГИ были получены Технические требования на самолет ДИ6-М34, М38 или М-32 - двухместного истребителя, скорость 350-375 км/час, вооружен двумя пулеметами легкими и двумя пулеметами тяжелыми (3530,70-86).</w:t>
      </w:r>
    </w:p>
    <w:p w14:paraId="612A98FF"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p>
    <w:p w14:paraId="3A3C688C"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14 января по 24 марта 1933 продолжался второй этап госиспытаний второго ЦКБ-3. Испытания подтвердили высокие летные характеристики машины. Поэтому еще до их завершения, 2 февраля 1934 г., отмечая вклад кол</w:t>
      </w:r>
      <w:r w:rsidRPr="00C33834">
        <w:rPr>
          <w:rFonts w:ascii="Times New Roman" w:hAnsi="Times New Roman"/>
          <w:color w:val="000000" w:themeColor="text1"/>
          <w:sz w:val="16"/>
          <w:szCs w:val="16"/>
        </w:rPr>
        <w:softHyphen/>
        <w:t>лектива в создании образцов новой боевой техники, нарком тяжелой промышленности С.Орджоникидзе из-дал приказ о премировании работников завода № 39. Пять человек, в том числе Ильюшин, Поликарпов и Чкалов, были награждены легковыми автомобилями (10667).</w:t>
      </w:r>
    </w:p>
    <w:p w14:paraId="3A838AA4"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p>
    <w:p w14:paraId="636A8FDD"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14 января 1933 г. комиссии Филипповича поступила новая инструкция из Москвы, которая потребовала уже «арктических» доработок конструкции. От лодки Савойя S.55 хотели получить возможность летать «при -60°С над торосистыми льдами». Абсурдность такого требования была ясна даже советским приемщикам. В ответе из </w:t>
      </w:r>
      <w:r w:rsidRPr="00C33834">
        <w:rPr>
          <w:rFonts w:ascii="Times New Roman" w:hAnsi="Times New Roman"/>
          <w:color w:val="000000" w:themeColor="text1"/>
          <w:sz w:val="16"/>
          <w:szCs w:val="16"/>
        </w:rPr>
        <w:lastRenderedPageBreak/>
        <w:t>Италии сообщалось, что S.55 предназначен для теплого климата, а не для суровых северных широт. При этом указывалось, что итальянские конструкторы никогда не думали о применении S.55 в столь экстремальных условиях. Филиппович писал в Москву: «Эта тенденция не соответствует техническому существу данного самолета и, во всяком случае, должна быть сформулирована (в силу принципиальности вопроса) - не к концу нашей работы, а к его началу...». Чтобы «Савойя» могла летать и летом, и зимой, итальянцев попросили разработать «ложный» съемный зимний редан (для защиты днищ) и лыжное шасси повышенной прочности. Такое шасси фирма спроектировала. Оно состояло из пяти лыж - четырех основных (по две по бокам каждого фюзеляжа) и хвостовой (меньшего размера). Но, по-видимому, ограничились только проектом - ни один самолет советского заказа лыжами не комплектовался. Реально «арктические» доработки вылились лишь в оборудование одного самолета глухими утепленными капотами моторов. Примерно в это же время к Филипповичу поступили сводки о результатах эксплуатации в Сибири и на Дальнем Востоке военных летающих лодок S.62bis (у нас С-62Б) той же фирмы. Они имели подобную деревянную конструкцию и те же моторы ASSO. Это привело к требованиям об усилении днищ и доработке некоторых моторных агрегатов (5486,3).</w:t>
      </w:r>
    </w:p>
    <w:p w14:paraId="0A1E0CC5"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p>
    <w:p w14:paraId="3DDCA23B" w14:textId="77777777" w:rsidR="00DF28E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44881E8" w14:textId="77777777" w:rsidR="00DF28E3" w:rsidRPr="00C33834" w:rsidRDefault="00DF28E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CAC7E44" w14:textId="77777777" w:rsidR="00DF28E3" w:rsidRPr="00C33834" w:rsidRDefault="00DF28E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января 1933 вышел приказ № 001 нач. ВОХИМУ РККА Я.М.Фишмана по результатам инспектирования ЦВХП в пос. Шиханы и путям улучшения работ. П. 5 “усовершенствовать методику полевых испытаний. Особенно тщательно должны быть поставлены опыты, в которых действие ОВ проверяется на людях” (6246).</w:t>
      </w:r>
    </w:p>
    <w:p w14:paraId="0074E082" w14:textId="77777777" w:rsidR="00DF28E3" w:rsidRPr="00C33834" w:rsidRDefault="00DF28E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D57AA0" w14:textId="77777777" w:rsidR="00A4146F" w:rsidRPr="00C33834" w:rsidRDefault="00A4146F"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14 января 1933 г.</w:t>
      </w:r>
      <w:r w:rsidRPr="00C33834">
        <w:rPr>
          <w:rFonts w:ascii="Times New Roman" w:hAnsi="Times New Roman"/>
          <w:color w:val="000000" w:themeColor="text1"/>
          <w:sz w:val="16"/>
          <w:szCs w:val="16"/>
        </w:rPr>
        <w:t xml:space="preserve"> Приказ начальника ВОХИМУ и химических войск РККА Я.М.Фишмана, посвященный результатам инспектирования военно-химического полигона Шиханы (Саратовская область). Пункт 5 требует «</w:t>
      </w:r>
      <w:r w:rsidRPr="00C33834">
        <w:rPr>
          <w:rFonts w:ascii="Times New Roman" w:hAnsi="Times New Roman"/>
          <w:iCs/>
          <w:color w:val="000000" w:themeColor="text1"/>
          <w:sz w:val="16"/>
          <w:szCs w:val="16"/>
        </w:rPr>
        <w:t>Усовершенствовать методику полевых испытаний. Особенно тщательно должны быть поставлены опыты, в которых действие ОВ проверяется на людях</w:t>
      </w:r>
      <w:r w:rsidRPr="00C33834">
        <w:rPr>
          <w:rFonts w:ascii="Times New Roman" w:hAnsi="Times New Roman"/>
          <w:color w:val="000000" w:themeColor="text1"/>
          <w:sz w:val="16"/>
          <w:szCs w:val="16"/>
        </w:rPr>
        <w:t>» (17133).</w:t>
      </w:r>
    </w:p>
    <w:p w14:paraId="7ECE03B8" w14:textId="77777777" w:rsidR="00A4146F" w:rsidRPr="00C33834" w:rsidRDefault="00A4146F" w:rsidP="00C33834">
      <w:pPr>
        <w:shd w:val="clear" w:color="auto" w:fill="FFFFFF"/>
        <w:spacing w:after="0" w:line="240" w:lineRule="auto"/>
        <w:jc w:val="both"/>
        <w:rPr>
          <w:rFonts w:ascii="Times New Roman" w:hAnsi="Times New Roman"/>
          <w:color w:val="000000" w:themeColor="text1"/>
          <w:sz w:val="16"/>
          <w:szCs w:val="16"/>
        </w:rPr>
      </w:pPr>
    </w:p>
    <w:p w14:paraId="4071AD02" w14:textId="77777777" w:rsidR="00DF28E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6406EB09" w14:textId="77777777" w:rsidR="00DF28E3" w:rsidRPr="00C33834" w:rsidRDefault="00DF28E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87392C8"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января 1933 года постановление Совнаркома СССР № 43 утверждило “Инструкцию о выдаче паспортов”, которая имела два раздела — общий и секретный.</w:t>
      </w:r>
    </w:p>
    <w:p w14:paraId="04D2ECAF"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Первоначально предписывалось проведение паспортизации с обязательной пропиской в Москве, Ленинграде (включая стокилометровую полосу вокруг них), Харькове (включая пятидесятикилометровую полосу) в течение января — июня 1933 года. В том же году предполагалось закончить работу в остальных регионах страны, подпадавших под паспортизацию. Территории трех вышеназванных городов со сто-пятидесятикилометровыми полосами вокруг объявлялись режимными. Секретный раздел вышеназванной инструкции 1933 года устанавливал ограничения на выдачу паспортов и прописку в режимных местностях для следующих групп граждан: “не занятых общественно-полезным трудом” на производстве, в учреждениях, школах (за исключением инвалидов и пенсионеров); убежавших из деревень (“сбежавших”, по советской терминологии) “ кулаков” и “раскулаченных”, хотя бы они и “работали на предприятиях или состояли на службе в советских учреждениях”; “перебежчиков из-за границы”, то есть самовольно перешедших границу СССР (кроме политэмигрантов, имеющих соответствующую справку от ЦК МОПРа); прибывших из других городов и сел страны после 1 января 1931 года “без приглашения на работу учреждением или предприятием, если они не имеют в настоящее время определенных занятий, или хотя и работают в учреждениях или предприятиях, но являются явными летунами, или подвергались увольнению за дезорганизацию производства”, то есть опять-таки тех, кто бежал из деревни до начала развертывания “сплошной коллективизации”; “лишенцев” — людей, лишенных советским законом избирательных прав, — тех же “кулаков”, “использующих наемный труд”, частных торговцев, священнослужителей; бывших заключенных и ссыльных, в том числе судимых даже за незначительные преступления (в постановлении от 14 января 1933 года приводился “не подлежащий оглашению” специальный перечень этих лиц); членов семей всех вышеперечисленных групп граждан. Поскольку советское народное хозяйство не могло обойтись без специалистов, для последних делались исключения: им выдавались паспорта, если они могли представить “от этих предприятий и учреждений свидетельство об их полезной работе”. Такие же исключения делались для “лишенцев”, если они находились на иждивении у своих родственников, которые служили в Красной Армии (этих стариков и старух советская власть считала уже неопасными; кроме того, они представляли собой заложников на случай “нелояльного поведения” военнослужащих), а также для священнослужителей, “исполняющих функции по обслуживанию действующих храмов”, иными словами, находящихся под полным контролем ОГПУ. Первоначально исключения допускались и по отношению к тем не занятым “общественно-полезным трудом” и лишенным избирательных прав лицам, которые были уроженцами режимных местностей и постоянно там жили (это послабление было отменено Постановление Совнаркома СССР № 440 от 16 марта 1935 года). Вновь прибывающим в режимные местности следовало для прописки кроме паспорта представлять справку о наличии жилплощади и документы, удостоверяющие цель приезда (приглашение на работу, договор о вербовке, справку правления колхоза об отпуске “в отход” и т. д.). Если размер площади, на которую собирался прописаться приезжающий, был меньше установленной санитарной нормы (в Москве, например, санитарная норма составляла 4 — 6 кв. м в общежитиях и 9 кв. м в государственных домах), то в прописке ему отказывали. К 1953 году режим распространился уже на 340 городов, местностей и железнодорожных узлов, на пограничную зону вдоль всей границы страны шириной от 15 до 200 километров, а на Дальнем Востоке — до 500 километров. При этом Закарпатская, Калининградская, Сахалинская области, Приморский и Хабаровский края, в том числе Камчатка, были полностью объявлены режимными местностями (9985).</w:t>
      </w:r>
    </w:p>
    <w:p w14:paraId="2ACEA9F3"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p>
    <w:p w14:paraId="555AA7D7" w14:textId="77777777" w:rsidR="00DF28E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1E5D7C6" w14:textId="77777777" w:rsidR="00DF28E3" w:rsidRPr="00C33834" w:rsidRDefault="00DF28E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993734A"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января 1933 в ХПЗ был проведен испытательный 300-км пробег на гусеницах окончательно собранного первого опытного БТ-5. Оказался не совсем удачным, т.к. на 220 километре вышел из строя вентилятор системы охлаждения. Это отодвинуло серию на месяц (3880,4).</w:t>
      </w:r>
    </w:p>
    <w:p w14:paraId="68BAA5BD"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p>
    <w:p w14:paraId="5B7524EA" w14:textId="77777777" w:rsidR="00DF28E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8161C5F" w14:textId="77777777" w:rsidR="00DF28E3" w:rsidRPr="00C33834" w:rsidRDefault="00DF28E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34B298D"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января 1933 года от УВВС были получены Технические требования на К1-2М32 (2М34) - Крейсер сухопутный, он же средний бомбардировщик и дальний разведчик, вооруженный тяжелыми и легкими пулеметами, дальность полета при нормальной нагрузке 1200 км, при перегрузке 2000 км (3530,70-86).</w:t>
      </w:r>
    </w:p>
    <w:p w14:paraId="3585D32D"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p>
    <w:p w14:paraId="6A032DBA" w14:textId="77777777" w:rsidR="00A4146F" w:rsidRPr="00C33834" w:rsidRDefault="00A4146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 15 января 1933 г. выполнили все чертежи и необходимый комплекс расчетов, завершили изготовление демонстрационной модели </w:t>
      </w:r>
      <w:hyperlink r:id="rId14"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а в 1/5 натуральной величины и сделали экспериментальный образец трака из дюралюминия. С известной долей иронии это можно назвать начальным этапом изготовления опытного образца. В ходе выполнения технического проекта выяснилось, что </w:t>
      </w:r>
      <w:hyperlink r:id="rId15"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 стремительно набирает в весе. К этому времени его масса уже составляла 5176 кг. Авиаконструкторы посчитали, что это не могло положительно сказаться на получении необходимых ТТХ, а потому проект отослали в НИИ ВВС для получения оценки (15632).</w:t>
      </w:r>
    </w:p>
    <w:p w14:paraId="16FE243F" w14:textId="77777777" w:rsidR="00A4146F" w:rsidRPr="00C33834" w:rsidRDefault="00A4146F" w:rsidP="00C33834">
      <w:pPr>
        <w:spacing w:after="0" w:line="240" w:lineRule="auto"/>
        <w:jc w:val="both"/>
        <w:rPr>
          <w:rFonts w:ascii="Times New Roman" w:hAnsi="Times New Roman"/>
          <w:color w:val="000000" w:themeColor="text1"/>
          <w:sz w:val="16"/>
          <w:szCs w:val="16"/>
        </w:rPr>
      </w:pPr>
    </w:p>
    <w:p w14:paraId="2EC1390A" w14:textId="77777777" w:rsidR="00804D55" w:rsidRPr="00C33834" w:rsidRDefault="00804D55"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К 15 января 1933 г. были изготовлены вся проектная документация и макет в масштабе 1:5 из дюраля летающего танка Рафаэлянца.</w:t>
      </w:r>
    </w:p>
    <w:p w14:paraId="45B5F84B" w14:textId="77777777" w:rsidR="00804D55" w:rsidRPr="00C33834" w:rsidRDefault="00804D55"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Но в процессе работы конструкторы столкнулись с тем, что танк начал стремительно «полнеть». Масса возросла до 5176 кг. Входившие в группу авиаконструкторы посчитали, что это сильно перетяжелённая машина и отправили материалы по проекту в НИИ ВВС для проведения детальной оценки (19529).</w:t>
      </w:r>
    </w:p>
    <w:p w14:paraId="71032FE8" w14:textId="77777777" w:rsidR="00804D55" w:rsidRPr="00C33834" w:rsidRDefault="00804D55" w:rsidP="00C33834">
      <w:pPr>
        <w:spacing w:after="0" w:line="240" w:lineRule="auto"/>
        <w:jc w:val="both"/>
        <w:rPr>
          <w:rFonts w:ascii="Times New Roman" w:eastAsia="Times New Roman" w:hAnsi="Times New Roman"/>
          <w:color w:val="000000" w:themeColor="text1"/>
          <w:sz w:val="16"/>
          <w:szCs w:val="16"/>
          <w:lang w:eastAsia="ru-RU"/>
        </w:rPr>
      </w:pPr>
    </w:p>
    <w:p w14:paraId="2251CF3E" w14:textId="77777777" w:rsidR="00804D55" w:rsidRPr="00C33834" w:rsidRDefault="00804D55" w:rsidP="00C33834">
      <w:pPr>
        <w:pStyle w:val="ae"/>
        <w:shd w:val="clear" w:color="auto" w:fill="FFFFFF"/>
        <w:spacing w:before="0" w:after="0"/>
        <w:jc w:val="both"/>
        <w:rPr>
          <w:color w:val="000000" w:themeColor="text1"/>
          <w:sz w:val="16"/>
          <w:szCs w:val="16"/>
        </w:rPr>
      </w:pPr>
      <w:r w:rsidRPr="00C33834">
        <w:rPr>
          <w:color w:val="000000" w:themeColor="text1"/>
          <w:sz w:val="16"/>
          <w:szCs w:val="16"/>
        </w:rPr>
        <w:t>К 15 января 1933 г. выполнили все чертежи и необходимый комплекс расчетов летающего танка Рафаэлянца, завершили изготовление демонстрационной модели танка в 1/5 натуральной величины и сделали экспериментальный образец трака из дюралюминия. С известной долей иронии это можно назвать начальным этапом изготовления опытного образца. В ходе выполнения технического проекта выяснилось, что танк стремительно набирает в весе. К этому времени его масса уже составляла 5176 кг. Авиаконструкторы посчитали, что это не могло положительно сказаться на получении необходимых ТТХ, а потому проект отослали в НИИ ВВС для получения оценки (19530).</w:t>
      </w:r>
    </w:p>
    <w:p w14:paraId="37885005" w14:textId="77777777" w:rsidR="00804D55" w:rsidRPr="00C33834" w:rsidRDefault="00804D55" w:rsidP="00C33834">
      <w:pPr>
        <w:shd w:val="clear" w:color="auto" w:fill="FFFFFF"/>
        <w:spacing w:after="0" w:line="240" w:lineRule="auto"/>
        <w:jc w:val="both"/>
        <w:rPr>
          <w:rFonts w:ascii="Times New Roman" w:hAnsi="Times New Roman"/>
          <w:color w:val="000000" w:themeColor="text1"/>
          <w:sz w:val="16"/>
          <w:szCs w:val="16"/>
        </w:rPr>
      </w:pPr>
    </w:p>
    <w:p w14:paraId="0372A923"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15/19 января 1933 года врид начальника ВВС Наумов писал письмо № 3Н/009 зам. председателя РВС Тухачевскому</w:t>
      </w:r>
    </w:p>
    <w:p w14:paraId="60CF449B"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необходимости образования новых КБ по самолетам и моторам.</w:t>
      </w:r>
    </w:p>
    <w:p w14:paraId="0A87E48D"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проектирование и постройка опытных самолетов и моторов производится единственными в Союзе конструкторскими бюро: по самолетам – ЦАГИ, по моторам – ЦИАМ.</w:t>
      </w:r>
    </w:p>
    <w:p w14:paraId="1A579A77"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 этих мощных, но монопольных конструкторских организаций показывает, что они хорошо справляются с отдельными отраслями самолето- и моторостроения, но далеко не охватывают всех направлений развития авиатехники. Так, в стороне от ЦАГИ проходит стальное самолетостроение, а развитие тяжелых и сверхтяжелых самолетов, по которым ЦАГИ имеет наибольшие достижения, задерживается из-за перегрузки этих конструкторских бюро заданиями по легким самолетам. Аналогично, в стороне от ЦИАМа развиваются такие большие отрасли авиационных двигателей, как двигатели на тяжелом топливе (дизеля) и паровые турбины.</w:t>
      </w:r>
    </w:p>
    <w:p w14:paraId="2DCD8546"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Проведенное в 1930 году слияние всех существовавших до того времени разрозненно конструкторских бюро в ЦАГИ и ЦИАМ имело целью создание мощного конструкторского кулака как по самолетам, так и по моторам, способного в короткие сроки выполнить проектирование и постройку опытных самолетов и моторов. В настоящее время оба этих бюро достаточно мощные и дальнейшее их расширение приводит к монополизации всей конструкторской мысли, не давая развиваться новым отраслям и направлениям авиатехники.</w:t>
      </w:r>
    </w:p>
    <w:p w14:paraId="407E9131"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Авиатехника уже настолько развилась, что объединить все руководство в одном конструкторском бюро нецелесообразно как по вышеизложенным причинам монополии, так и из-за громоздкости самого конструкторского учреждения.</w:t>
      </w:r>
    </w:p>
    <w:p w14:paraId="5294D892"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Считаю, что для оживления опытной работы и ее интенсификации с целью поднятия темпов всего опытного строительства моторов и самолетов необходимо немедленно приступить к образованию следующих конструкторских организаций:</w:t>
      </w:r>
    </w:p>
    <w:p w14:paraId="334535BA" w14:textId="77777777" w:rsidR="00DF28E3" w:rsidRPr="00C33834" w:rsidRDefault="00DF28E3" w:rsidP="00C3383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самолетам.</w:t>
      </w:r>
    </w:p>
    <w:p w14:paraId="012AEE80" w14:textId="77777777" w:rsidR="00DF28E3" w:rsidRPr="00C33834" w:rsidRDefault="00DF28E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Конструкторского бюро по легким самолетам (истребители, разведчики, легкие бомбардировщики) деревянной и смешанной конструкций. Это КБ развить на базе завода № 39. Для руководства выделить из ЦАГИ инженеров Ильюшина, Кочергина с его бригадой, ранее работавшей на заводе № 39 и Поликарпова.</w:t>
      </w:r>
    </w:p>
    <w:p w14:paraId="670C5461" w14:textId="77777777" w:rsidR="00DF28E3" w:rsidRPr="00C33834" w:rsidRDefault="00DF28E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Конструкторское бюро ЦАГИ во главе с Туполевым должно специализироваться на постройке тяжелых самолетов и легких самолетов дюралюминиевой и стальной конструкций.</w:t>
      </w:r>
    </w:p>
    <w:p w14:paraId="5F0DE9B3"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Гидросамолетостроение должно остаться в ЦАГИ на правах отдела.</w:t>
      </w:r>
    </w:p>
    <w:p w14:paraId="33CB62E0" w14:textId="77777777" w:rsidR="00DF28E3" w:rsidRPr="00C33834" w:rsidRDefault="00DF28E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Конструкторское бюро Калинина (Харьков) специализировать по тяжелым самолетам.</w:t>
      </w:r>
    </w:p>
    <w:p w14:paraId="1C9D05F7" w14:textId="77777777" w:rsidR="00DF28E3" w:rsidRPr="00C33834" w:rsidRDefault="00DF28E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Конструкторское бюро ГУГВФ под руководством Путилова должно объединить все мелкие разрозненные конструкторские группы ГУГВФа (инж. Бартини, Четверикова). Специализация – по применению в самолетостроении нержавеющей стали.</w:t>
      </w:r>
    </w:p>
    <w:p w14:paraId="4EFA9F5C"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этих основных конструкторских организаций необходимо:</w:t>
      </w:r>
    </w:p>
    <w:p w14:paraId="7FC062F6" w14:textId="77777777" w:rsidR="00DF28E3" w:rsidRPr="00C33834" w:rsidRDefault="00DF28E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Создать небольшое конструкторское бюро в Ленинграде из имеющихся там и ныне используемых инженерно-технических сил. Основной кадр работников – НИАИ ГУГВФа. Специализация – легкие сухопутные и морские самолеты.</w:t>
      </w:r>
    </w:p>
    <w:p w14:paraId="12A16FB5" w14:textId="77777777" w:rsidR="00DF28E3" w:rsidRPr="00C33834" w:rsidRDefault="00DF28E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Утвердить ныне существующее (проектирует десантный самолет Д-У) конструкторское бюро ВВА как постоянное конструкторское бюро, выполняющее задания по новым, не вошедшим в план опытного строительства объектам.</w:t>
      </w:r>
    </w:p>
    <w:p w14:paraId="56471B70" w14:textId="77777777" w:rsidR="00DF28E3" w:rsidRPr="00C33834" w:rsidRDefault="00DF28E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целью использования преподавательского состава авиационных ВТУЗов при каждом из них иметь небольшое конструкторское бюро для выполнения наиболее легких объектов опытного строительства.</w:t>
      </w:r>
    </w:p>
    <w:p w14:paraId="00F489BC"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Особо важной считаю задачу по созданию небольших конструкторских бюро на всех серийных заводах для усовершенствования строящихся на этих заводах самолетов.</w:t>
      </w:r>
    </w:p>
    <w:p w14:paraId="40548FF1" w14:textId="77777777" w:rsidR="00DF28E3" w:rsidRPr="00C33834" w:rsidRDefault="00DF28E3" w:rsidP="00C3383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моторам.</w:t>
      </w:r>
    </w:p>
    <w:p w14:paraId="0722F58F" w14:textId="77777777" w:rsidR="00DF28E3" w:rsidRPr="00C33834" w:rsidRDefault="00DF28E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 оставить основным и центральным конструкторским бюро по бензиновым авиамоторам.</w:t>
      </w:r>
    </w:p>
    <w:p w14:paraId="63332831" w14:textId="77777777" w:rsidR="00DF28E3" w:rsidRPr="00C33834" w:rsidRDefault="00DF28E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Выделить ОКБ (авиационное) ОГПУ в самостоятельный Институт с опытным заводом и конструкторским бюро со специализацией по авиадвигателям тяжелого топлива (дизелям) и турбинам. В нем объединить всех работающих ныне в Москве и Ленинграде по авиадизелям инженеров.</w:t>
      </w:r>
    </w:p>
    <w:p w14:paraId="3C99D750" w14:textId="77777777" w:rsidR="00DF28E3" w:rsidRPr="00C33834" w:rsidRDefault="00DF28E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Выделить из НИИ ГВФ филиал его – Украинский институт по двигателям внутреннего сгорания – в самостоятельный Институт по авиадизелям, передав в этот институт секцию высотных агрегатов Харьковского института промышленной энергетики (группа академика Проскура). Этим мы создаем на Украине центр по конструированию и постройке авиадизелей с большой высотностью.</w:t>
      </w:r>
    </w:p>
    <w:p w14:paraId="74E5E709" w14:textId="77777777" w:rsidR="00DF28E3" w:rsidRPr="00C33834" w:rsidRDefault="00DF28E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Образовать на всех серийных моторных заводах небольшие конструкторские бюро по усовершенствованию строящихся на этих заводах моторов.</w:t>
      </w:r>
    </w:p>
    <w:p w14:paraId="32DD2F58"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Такая организация разгрузит ЦАГИ и ЦИАМ от большого количества объектов опытного строительства и позволит провести специализацию конструкторского бюро по уже назревшим наиболее крупным отраслям авиационной техники, что значительно оживит их работу и увеличит темпы нашего строительства (7439, 12-13).</w:t>
      </w:r>
    </w:p>
    <w:p w14:paraId="6A6E0C2C"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p>
    <w:p w14:paraId="1AD5DF96" w14:textId="77777777" w:rsidR="00DF28E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9EF2AAD" w14:textId="77777777" w:rsidR="00DF28E3" w:rsidRPr="00C33834" w:rsidRDefault="00DF28E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744F6A2" w14:textId="77777777" w:rsidR="00DF28E3" w:rsidRPr="00C33834" w:rsidRDefault="00DF28E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января 1933 проходили совместные испытания тормозных колес размером 1350х300 на самолете ТБ3-4М17.</w:t>
      </w:r>
    </w:p>
    <w:p w14:paraId="7BB658C6" w14:textId="77777777" w:rsidR="00DF28E3" w:rsidRPr="00C33834" w:rsidRDefault="00DF28E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1D789F6A" w14:textId="77777777" w:rsidR="00DF28E3" w:rsidRPr="00C33834" w:rsidRDefault="00DF28E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инженер-летчик от НИИ ВВС –Филин</w:t>
      </w:r>
    </w:p>
    <w:p w14:paraId="3788662C" w14:textId="77777777" w:rsidR="00DF28E3" w:rsidRPr="00C33834" w:rsidRDefault="00DF28E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летчик от ЦАГИ – Громов</w:t>
      </w:r>
    </w:p>
    <w:p w14:paraId="06C47676" w14:textId="77777777" w:rsidR="00DF28E3" w:rsidRPr="00C33834" w:rsidRDefault="00DF28E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3A01437E" w14:textId="77777777" w:rsidR="00DF28E3" w:rsidRPr="00C33834" w:rsidRDefault="00DF28E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тормозных колес, удобство расположения управления тормозами, эффективность действия тормозов и эксплуатационные данные колес.</w:t>
      </w:r>
    </w:p>
    <w:p w14:paraId="5D86FC35" w14:textId="77777777" w:rsidR="00DF28E3" w:rsidRPr="00C33834" w:rsidRDefault="00DF28E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1E866961" w14:textId="77777777" w:rsidR="00DF28E3" w:rsidRPr="00C33834" w:rsidRDefault="00DF28E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Конструкция колес к самолету ТБ-3 4М-17 размером 1350х300 с цельными тормозными стаканами утверждается.</w:t>
      </w:r>
    </w:p>
    <w:p w14:paraId="258565D6" w14:textId="77777777" w:rsidR="00DF28E3" w:rsidRPr="00C33834" w:rsidRDefault="00DF28E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колес со сварными тормозными стаканами:</w:t>
      </w:r>
    </w:p>
    <w:p w14:paraId="09A0940B" w14:textId="77777777" w:rsidR="00DF28E3" w:rsidRPr="00C33834" w:rsidRDefault="00DF28E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Начаты – 16 января 1933 года</w:t>
      </w:r>
    </w:p>
    <w:p w14:paraId="705C208B" w14:textId="77777777" w:rsidR="00DF28E3" w:rsidRPr="00C33834" w:rsidRDefault="00DF28E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Окончены 16 января 1933 года</w:t>
      </w:r>
    </w:p>
    <w:p w14:paraId="19595754" w14:textId="77777777" w:rsidR="00DF28E3" w:rsidRPr="00C33834" w:rsidRDefault="00DF28E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Сделано 17 посадок</w:t>
      </w:r>
    </w:p>
    <w:p w14:paraId="1377FB79" w14:textId="77777777" w:rsidR="00DF28E3" w:rsidRPr="00C33834" w:rsidRDefault="00DF28E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Получение новых колес и ремонт самолета с 17 января по 9 февраля 1933 года</w:t>
      </w:r>
    </w:p>
    <w:p w14:paraId="7CF70F25" w14:textId="77777777" w:rsidR="00DF28E3" w:rsidRPr="00C33834" w:rsidRDefault="00DF28E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колес с цельными тормозными стаканами:</w:t>
      </w:r>
    </w:p>
    <w:p w14:paraId="2D0CF581" w14:textId="77777777" w:rsidR="00DF28E3" w:rsidRPr="00C33834" w:rsidRDefault="00DF28E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Начато 9 февраля 1933 года</w:t>
      </w:r>
    </w:p>
    <w:p w14:paraId="65332177" w14:textId="77777777" w:rsidR="00DF28E3" w:rsidRPr="00C33834" w:rsidRDefault="00DF28E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Окончено 21 февраля 1933 года</w:t>
      </w:r>
    </w:p>
    <w:p w14:paraId="7597B6A2" w14:textId="77777777" w:rsidR="00DF28E3" w:rsidRPr="00C33834" w:rsidRDefault="00DF28E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Летных дней – 2 (6634).</w:t>
      </w:r>
    </w:p>
    <w:p w14:paraId="58464DFA" w14:textId="77777777" w:rsidR="00DF28E3" w:rsidRPr="00C33834" w:rsidRDefault="00DF28E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2A43AB" w14:textId="77777777" w:rsidR="00A4146F"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C72B46A" w14:textId="77777777" w:rsidR="00A4146F" w:rsidRPr="00C33834" w:rsidRDefault="00A4146F"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780104F" w14:textId="77777777" w:rsidR="00A4146F" w:rsidRPr="00C33834" w:rsidRDefault="00A4146F" w:rsidP="00C33834">
      <w:pPr>
        <w:pStyle w:val="rtejustify"/>
        <w:spacing w:before="0" w:after="0"/>
        <w:rPr>
          <w:color w:val="000000" w:themeColor="text1"/>
          <w:sz w:val="16"/>
          <w:szCs w:val="16"/>
        </w:rPr>
      </w:pPr>
      <w:r w:rsidRPr="00C33834">
        <w:rPr>
          <w:rStyle w:val="af0"/>
          <w:bCs/>
          <w:i w:val="0"/>
          <w:color w:val="000000" w:themeColor="text1"/>
          <w:sz w:val="16"/>
          <w:szCs w:val="16"/>
        </w:rPr>
        <w:t>16/17 января 1933 вышел приказ НКТП № 8с.</w:t>
      </w:r>
      <w:r w:rsidRPr="00C33834">
        <w:rPr>
          <w:color w:val="000000" w:themeColor="text1"/>
          <w:sz w:val="16"/>
          <w:szCs w:val="16"/>
        </w:rPr>
        <w:t xml:space="preserve"> Об изменении структуры управления Тульским заводом № 1. (РГАЭ. Ф. 7297. Оп. 38. Д. 38. Л. 8</w:t>
      </w:r>
      <w:r w:rsidRPr="00C33834">
        <w:rPr>
          <w:color w:val="000000" w:themeColor="text1"/>
          <w:sz w:val="16"/>
          <w:szCs w:val="16"/>
        </w:rPr>
        <w:noBreakHyphen/>
        <w:t>6) (15246).</w:t>
      </w:r>
    </w:p>
    <w:p w14:paraId="06FEA3AF" w14:textId="77777777" w:rsidR="00A4146F" w:rsidRPr="00C33834" w:rsidRDefault="00A4146F" w:rsidP="00C33834">
      <w:pPr>
        <w:pStyle w:val="rtejustify"/>
        <w:spacing w:before="0" w:after="0"/>
        <w:rPr>
          <w:color w:val="000000" w:themeColor="text1"/>
          <w:sz w:val="16"/>
          <w:szCs w:val="16"/>
        </w:rPr>
      </w:pPr>
    </w:p>
    <w:p w14:paraId="2CAFCBD6" w14:textId="77777777" w:rsidR="00226F9C" w:rsidRPr="00C33834" w:rsidRDefault="00226F9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16 января 1933 состоялось заседание ПБ и был оформлен протокол № 128</w:t>
      </w:r>
    </w:p>
    <w:p w14:paraId="6F2B8FFB" w14:textId="77777777" w:rsidR="00226F9C" w:rsidRPr="00C33834" w:rsidRDefault="00226F9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января 1933 опросом членов ПБ</w:t>
      </w:r>
    </w:p>
    <w:p w14:paraId="753F75B5" w14:textId="77777777" w:rsidR="00226F9C" w:rsidRPr="00C33834" w:rsidRDefault="00226F9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55/35.- О предложениях Фирмы "Сперри". (ПБ от 1.ХП.32Г.,пр. № 124. П.1).</w:t>
      </w:r>
    </w:p>
    <w:p w14:paraId="1E93A5C1" w14:textId="77777777" w:rsidR="00226F9C" w:rsidRPr="00C33834" w:rsidRDefault="00226F9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Во изменение постановления ПБ от 1.ХП.32г. удовлетворить просьбу т.Баранова об освобождении от поездки в САСШ т. Ильюшина и командировании вместо него т. Енгибариан А.А.</w:t>
      </w:r>
    </w:p>
    <w:p w14:paraId="214AA07A" w14:textId="77777777" w:rsidR="00226F9C" w:rsidRPr="00C33834" w:rsidRDefault="00226F9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т.т.Ворошилову, Орджоникидзе, Баранову, Халепскому, Артузову (22978).</w:t>
      </w:r>
    </w:p>
    <w:p w14:paraId="46FB271C" w14:textId="77777777" w:rsidR="00226F9C" w:rsidRPr="00C33834" w:rsidRDefault="00226F9C" w:rsidP="00C33834">
      <w:pPr>
        <w:spacing w:after="0" w:line="240" w:lineRule="auto"/>
        <w:jc w:val="both"/>
        <w:rPr>
          <w:rFonts w:ascii="Times New Roman" w:hAnsi="Times New Roman"/>
          <w:color w:val="0070C0"/>
          <w:sz w:val="16"/>
          <w:szCs w:val="16"/>
        </w:rPr>
      </w:pPr>
    </w:p>
    <w:p w14:paraId="71DA2326" w14:textId="77777777" w:rsidR="00A4146F" w:rsidRPr="00C33834" w:rsidRDefault="00A4146F" w:rsidP="00C33834">
      <w:pPr>
        <w:pStyle w:val="rtejustify"/>
        <w:spacing w:before="0" w:after="0"/>
        <w:rPr>
          <w:color w:val="000000" w:themeColor="text1"/>
          <w:sz w:val="16"/>
          <w:szCs w:val="16"/>
        </w:rPr>
      </w:pPr>
      <w:r w:rsidRPr="00C33834">
        <w:rPr>
          <w:rStyle w:val="af0"/>
          <w:bCs/>
          <w:i w:val="0"/>
          <w:color w:val="000000" w:themeColor="text1"/>
          <w:sz w:val="16"/>
          <w:szCs w:val="16"/>
        </w:rPr>
        <w:t xml:space="preserve">16 января </w:t>
      </w:r>
      <w:r w:rsidRPr="00C33834">
        <w:rPr>
          <w:color w:val="000000" w:themeColor="text1"/>
          <w:sz w:val="16"/>
          <w:szCs w:val="16"/>
        </w:rPr>
        <w:t xml:space="preserve">1933. Протокол заседания Политбюро ЦК ВКП (б) № 128. </w:t>
      </w:r>
      <w:hyperlink r:id="rId16" w:anchor="showunit&amp;id=85447" w:history="1">
        <w:r w:rsidRPr="00C33834">
          <w:rPr>
            <w:rStyle w:val="a5"/>
            <w:color w:val="000000" w:themeColor="text1"/>
            <w:sz w:val="16"/>
            <w:szCs w:val="16"/>
            <w:u w:val="none"/>
          </w:rPr>
          <w:t>8. О договоре техпомощи с фирмой «Монтекатини»</w:t>
        </w:r>
      </w:hyperlink>
      <w:r w:rsidRPr="00C33834">
        <w:rPr>
          <w:color w:val="000000" w:themeColor="text1"/>
          <w:sz w:val="16"/>
          <w:szCs w:val="16"/>
        </w:rPr>
        <w:t xml:space="preserve"> (ПБ от 22 декабря 1932 г., пр. № 127, п. 41/23) (Рудзутак, Орджоникидзе, Розенгольц). — ОП. Решено позволить Наркомату тяжелой промышленности начать переговоры, не беря на себя никаких обязательств о размерах платежей. </w:t>
      </w:r>
      <w:hyperlink r:id="rId17" w:anchor="showunit&amp;id=85420" w:history="1">
        <w:r w:rsidRPr="00C33834">
          <w:rPr>
            <w:rStyle w:val="a5"/>
            <w:color w:val="000000" w:themeColor="text1"/>
            <w:sz w:val="16"/>
            <w:szCs w:val="16"/>
            <w:u w:val="none"/>
          </w:rPr>
          <w:t>55/35. О предложениях фирмы «Сперри»</w:t>
        </w:r>
      </w:hyperlink>
      <w:r w:rsidRPr="00C33834">
        <w:rPr>
          <w:color w:val="000000" w:themeColor="text1"/>
          <w:sz w:val="16"/>
          <w:szCs w:val="16"/>
        </w:rPr>
        <w:t xml:space="preserve"> (ПБ от 1 декабря 1932 г., пр. № 124, п. 1). — ОП. Решено во изменение постановления Политбюро от 1</w:t>
      </w:r>
      <w:r w:rsidRPr="00C33834">
        <w:rPr>
          <w:color w:val="000000" w:themeColor="text1"/>
          <w:sz w:val="16"/>
          <w:szCs w:val="16"/>
        </w:rPr>
        <w:noBreakHyphen/>
        <w:t>12</w:t>
      </w:r>
      <w:r w:rsidRPr="00C33834">
        <w:rPr>
          <w:color w:val="000000" w:themeColor="text1"/>
          <w:sz w:val="16"/>
          <w:szCs w:val="16"/>
        </w:rPr>
        <w:noBreakHyphen/>
        <w:t xml:space="preserve">1932 г. удовлетворить просьбу Баранова об освобождении Ильюшина от поездки в США (САСШ) и командировании вместо него Енгибариана (Енгибарьяна) А. А. </w:t>
      </w:r>
      <w:hyperlink r:id="rId18" w:anchor="showunit&amp;id=85456" w:history="1">
        <w:r w:rsidRPr="00C33834">
          <w:rPr>
            <w:rStyle w:val="a5"/>
            <w:color w:val="000000" w:themeColor="text1"/>
            <w:sz w:val="16"/>
            <w:szCs w:val="16"/>
            <w:u w:val="none"/>
          </w:rPr>
          <w:t>88/68. Об обеспечении судоремонта в ДВК (записка Бергавинова)</w:t>
        </w:r>
      </w:hyperlink>
      <w:r w:rsidRPr="00C33834">
        <w:rPr>
          <w:color w:val="000000" w:themeColor="text1"/>
          <w:sz w:val="16"/>
          <w:szCs w:val="16"/>
        </w:rPr>
        <w:t xml:space="preserve"> (ПБ от 15 января 1933 г.). Решено передать вопрос на разрешение в СТО. </w:t>
      </w:r>
      <w:hyperlink r:id="rId19" w:anchor="showunit&amp;id=85463" w:history="1">
        <w:r w:rsidRPr="00C33834">
          <w:rPr>
            <w:rStyle w:val="a5"/>
            <w:color w:val="000000" w:themeColor="text1"/>
            <w:sz w:val="16"/>
            <w:szCs w:val="16"/>
            <w:u w:val="none"/>
          </w:rPr>
          <w:t>94/74. О выпуске недоброкачественных двигателей заводом «Победа»</w:t>
        </w:r>
      </w:hyperlink>
      <w:r w:rsidRPr="00C33834">
        <w:rPr>
          <w:color w:val="000000" w:themeColor="text1"/>
          <w:sz w:val="16"/>
          <w:szCs w:val="16"/>
        </w:rPr>
        <w:t xml:space="preserve"> (ПБ от 15 января 1933 г.). Решено передать вопрос на разрешение в СНК СССР. </w:t>
      </w:r>
      <w:hyperlink r:id="rId20" w:anchor="showunit&amp;id=85465" w:history="1">
        <w:r w:rsidRPr="00C33834">
          <w:rPr>
            <w:rStyle w:val="a5"/>
            <w:color w:val="000000" w:themeColor="text1"/>
            <w:sz w:val="16"/>
            <w:szCs w:val="16"/>
            <w:u w:val="none"/>
          </w:rPr>
          <w:t>96/76. Об освоении технологического процесса производства синтетического каучука (записка Варейкиса)</w:t>
        </w:r>
      </w:hyperlink>
      <w:r w:rsidRPr="00C33834">
        <w:rPr>
          <w:color w:val="000000" w:themeColor="text1"/>
          <w:sz w:val="16"/>
          <w:szCs w:val="16"/>
        </w:rPr>
        <w:t xml:space="preserve"> (ПБ от 15 января 1937 г.). Решено передать вопрос на разрешение в комиссию Молотова при СТО по каучуку. </w:t>
      </w:r>
      <w:hyperlink r:id="rId21" w:anchor="showunit&amp;id=85469" w:history="1">
        <w:r w:rsidRPr="00C33834">
          <w:rPr>
            <w:rStyle w:val="a5"/>
            <w:color w:val="000000" w:themeColor="text1"/>
            <w:sz w:val="16"/>
            <w:szCs w:val="16"/>
            <w:u w:val="none"/>
          </w:rPr>
          <w:t>106/86. а) Экспортно-импортный и валютный план на 1 квартал 1933 г.)</w:t>
        </w:r>
      </w:hyperlink>
      <w:r w:rsidRPr="00C33834">
        <w:rPr>
          <w:color w:val="000000" w:themeColor="text1"/>
          <w:sz w:val="16"/>
          <w:szCs w:val="16"/>
        </w:rPr>
        <w:t xml:space="preserve"> Решено передать вопрос на рассмотрение комиссии Молотова по внешнеторговым вопросам.; </w:t>
      </w:r>
      <w:hyperlink r:id="rId22" w:anchor="showunit&amp;id=85470" w:history="1">
        <w:r w:rsidRPr="00C33834">
          <w:rPr>
            <w:rStyle w:val="a5"/>
            <w:color w:val="000000" w:themeColor="text1"/>
            <w:sz w:val="16"/>
            <w:szCs w:val="16"/>
            <w:u w:val="none"/>
          </w:rPr>
          <w:t>б) о торговых переговорах с Италией (записка Розенгольца)</w:t>
        </w:r>
      </w:hyperlink>
      <w:r w:rsidRPr="00C33834">
        <w:rPr>
          <w:color w:val="000000" w:themeColor="text1"/>
          <w:sz w:val="16"/>
          <w:szCs w:val="16"/>
        </w:rPr>
        <w:t xml:space="preserve"> Решено передать вопрос на рассмотрение комиссии Молотова по внешнеторговым вопросам. (ПБ от 15 января 1933 г.). </w:t>
      </w:r>
      <w:hyperlink r:id="rId23" w:anchor="showunit&amp;id=85359" w:history="1">
        <w:r w:rsidRPr="00C33834">
          <w:rPr>
            <w:rStyle w:val="a5"/>
            <w:color w:val="000000" w:themeColor="text1"/>
            <w:sz w:val="16"/>
            <w:szCs w:val="16"/>
            <w:u w:val="none"/>
          </w:rPr>
          <w:t>108/88. Вопросы НКТП (кадры)</w:t>
        </w:r>
      </w:hyperlink>
      <w:r w:rsidRPr="00C33834">
        <w:rPr>
          <w:color w:val="000000" w:themeColor="text1"/>
          <w:sz w:val="16"/>
          <w:szCs w:val="16"/>
        </w:rPr>
        <w:t xml:space="preserve"> (ПБ от 15 января 1933 г.). Решено в целях усиления руководства металлургическими заводами утвердить следующие перемещения: 1) Начальника ГУМП Гуревича временно направить в Харьков для руководства объединениями Сталь и Днепросталь. 2) Управляющего объединением Сталь временно направить директором Сталинского завода, оставив его заместителем Смокина (директора Сталинского завода). 3) Управляющего Днепростали Манаенко временно направить директором Макеевского завода, оставив Марапулица его заместителем. 4) Гугеля освободить от должности начальника Магнитогорского металлургического комбината имени Сталина, назначив его директором Ворошиловского металлургического завода, с оставлением Соловьева его заместителем. 5) Начальником Магнитогорского металлургического комбината имени Сталина назначить члена коллегии НКТП Мышкова, освободив его от должности заместителя начальника по капитальному строительству ГУМП (15462).</w:t>
      </w:r>
    </w:p>
    <w:p w14:paraId="588359F2" w14:textId="77777777" w:rsidR="00A4146F" w:rsidRPr="00C33834" w:rsidRDefault="00A4146F" w:rsidP="00C33834">
      <w:pPr>
        <w:pStyle w:val="rtejustify"/>
        <w:spacing w:before="0" w:after="0"/>
        <w:rPr>
          <w:color w:val="000000" w:themeColor="text1"/>
          <w:sz w:val="16"/>
          <w:szCs w:val="16"/>
        </w:rPr>
      </w:pPr>
    </w:p>
    <w:p w14:paraId="421E7D8B" w14:textId="77777777" w:rsidR="00254098" w:rsidRPr="00C33834" w:rsidRDefault="0025409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января 1933 г. завершение войсковых испытаний торпедных катеров волнового управления системы Остехбюро (18667).</w:t>
      </w:r>
    </w:p>
    <w:p w14:paraId="26C3152A" w14:textId="77777777" w:rsidR="00254098" w:rsidRPr="00C33834" w:rsidRDefault="00254098" w:rsidP="00C33834">
      <w:pPr>
        <w:spacing w:after="0" w:line="240" w:lineRule="auto"/>
        <w:jc w:val="both"/>
        <w:rPr>
          <w:rFonts w:ascii="Times New Roman" w:hAnsi="Times New Roman"/>
          <w:color w:val="000000" w:themeColor="text1"/>
          <w:sz w:val="16"/>
          <w:szCs w:val="16"/>
        </w:rPr>
      </w:pPr>
    </w:p>
    <w:p w14:paraId="250FB3AB" w14:textId="77777777" w:rsidR="00DF28E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66C5E91" w14:textId="77777777" w:rsidR="00DF28E3" w:rsidRPr="00C33834" w:rsidRDefault="00DF28E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25C6888" w14:textId="77777777" w:rsidR="00373B27" w:rsidRPr="00C33834" w:rsidRDefault="00373B2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16 января 1933 с производителем самолетов Рене Кузине на борту, Жан Мермоз и команда совершают беспосадочный перелет через Южный Атлантический океан из Сен-Луи, Сенегал, в Натал, Бразилия, за 17 часов 27 минут на Couzinet 70 Arc-en. -ciel III (20802).</w:t>
      </w:r>
    </w:p>
    <w:p w14:paraId="2E22EB32" w14:textId="77777777" w:rsidR="00373B27" w:rsidRPr="00C33834" w:rsidRDefault="00373B27" w:rsidP="00C33834">
      <w:pPr>
        <w:spacing w:after="0" w:line="240" w:lineRule="auto"/>
        <w:jc w:val="both"/>
        <w:rPr>
          <w:rFonts w:ascii="Times New Roman" w:hAnsi="Times New Roman"/>
          <w:color w:val="0070C0"/>
          <w:sz w:val="16"/>
          <w:szCs w:val="16"/>
        </w:rPr>
      </w:pPr>
    </w:p>
    <w:p w14:paraId="6674CA66"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января 1933 Э.Венизелос вновь стал премьер-министром Греции и занимал этот пост до 10 марта (3907,179).</w:t>
      </w:r>
    </w:p>
    <w:p w14:paraId="29859036"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p>
    <w:p w14:paraId="03FA2357" w14:textId="77777777" w:rsidR="00DF28E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E2A6B2B" w14:textId="77777777" w:rsidR="00DF28E3" w:rsidRPr="00C33834" w:rsidRDefault="00DF28E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C5E0AB1"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17 января 1933 г. комитет по постройке "Максима Горького" своим письмом выдал ЦАГИ заказ на проектирование и постройку одного экземпляра АНТ-20. Позже в разных бумагах эта машина именовалась обычно просто МГ. Срок сдачи заказчику ставился 1 мая 1934 г. - очевидно, с расчетом вывести его на традиционный парад над Красной площадью. Договор после угряски финансовых вопросов подписали 10 марта. ЦАГИ получил полмиллиона рублей аванса. </w:t>
      </w:r>
    </w:p>
    <w:p w14:paraId="2ECCF960"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Сотрудники института взяли на себя обязательство отработать при создании самолета по 18 часов бесплатно.</w:t>
      </w:r>
    </w:p>
    <w:p w14:paraId="08879FE3"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Интересно, что по калькуляции гигант должен был быть шестимоторным. То ли Туполев на этом этапе недооценил рост веса машины, толи серьезно рассчитывал заполучить более мощные двигатели; может быть, упомянутые ранее включенные в планы, но так и не созданные вовремя М-34ФРН.</w:t>
      </w:r>
    </w:p>
    <w:p w14:paraId="560D69EE"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Над проектом "Максима Горького" работал большой коллектив. Общее руководство работами осуществлял А.Н. Туполев. Компоновку самолета проработал Б.М. Кондор- ский. Конструированием планера руководили А.А. Архангельский и В.М. Петляков, оперения - П.О. Сухой и И.П. Толстых, мотоустановками занимался Е.И. Погосский, оборудованием - А.А. Енгибарян, шасси - М.Н. Петров.</w:t>
      </w:r>
    </w:p>
    <w:p w14:paraId="5BA5BE94"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АНТ-20 являлся таким же огромным тихоходным гофрированным монопланом, как и АНТ-16, и полностью повторял его аэродинамическую схему. Такой же плоскобортный фюзеляж, такое же крыло толстого профиля, такое же высокое неубирающееся шасси.</w:t>
      </w:r>
    </w:p>
    <w:p w14:paraId="008D1BEC"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своей основе ТБ-4 и М Г были конструктивно одинаковы. Как и в проекте АНТ-20 - бомбардировщика, размах увеличили до 63 м. Аэродинамический профиль использовали старый - ЦАГИ-6. Прирост размаха при неизменной хорде в корневой части обеспечил увеличение удлинения крыла до 8,2, что должно было положительно сказаться на аэродинамике и дать повышение дальности полета. Крыло конструктивно членилось на три части: центроплан, изготовлявшийся совместно со средней частью фюзеляжа, и две консоли. Консоли крепились к центроплану по поясам лонжеронов болтами. Для повышения устойчивости консоли устанавливались с небольшим поперечным V - 6,67 градуса.</w:t>
      </w:r>
    </w:p>
    <w:p w14:paraId="4074CC48"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Основу набора крыла составляли три ферменных лонжерона из дюралюминиевых труб. В их полках предусмотрели использован ие толстостен н ых труб диаметром 160 м м, но таких отечественная промышленность не выпускала. Пришлось наладить их производство специально для МГ прямо на Заводе опытных конструкций. Трубы вставлялись друг в друга телескопически. В центроплане высота лонжероновбыла постоянной, в консолях они сужались к законцовкам. Максимальная высота профиля крыла равнялась 2,15 м; в межлонжеронном пространстве человек мог ходить, не сгибаясь. Нервюры тоже выполнялись ферменными из труб и профилей, усиленных мембранами и косынками из листа; они шли через два - гри метра. Такой простор позволил эффективно использовать центроплан для размещения пассажирских кают и служебных помещений. На сохранившихся чертежах видны названия, ассоциирующиеся больше с морем и железной дорогой, нежели с авиацией: "рубка главного механика", "кабина машиниста".</w:t>
      </w:r>
    </w:p>
    <w:p w14:paraId="5BCDABB1"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Поперек фюзеляжа по центроплану шел коридор, из которого двери вели в различные помещения. Каюты напоминали корабельные или железнодорожные купе со спальными местами. Там размещались обычные и подвесные койки и небольшие столики. Стены и потолок обтягивались тканью. На полу собирались постелить коврики. Интересно, что у некоторых кают имелись окна в потолке, а у некоторых - еще и в полу. В центроплане разместили также гардероб, туалет, комнату отдыха (на старых схемах она значится "кабиной культобслуживания"), два багажника, кладовую ("склад"), типографию и "центральную электростанцию", а также помещения для механиков.</w:t>
      </w:r>
    </w:p>
    <w:p w14:paraId="7C4079D1"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Силовой набор крыла дополнялся шедшими вдоль крыла стрингерами. А уже на них укладывалась гофрированная обшивка. Чтобы сделать лист и легким, и жестким одновременно, применили крупный гофр с шагом 50 мм и высотой 16 мм. А вот толщина его была меньше миллиметра, причем по размаху крыла она менялась от 0,8 мм у корня до 0,3 мм у законцовок.</w:t>
      </w:r>
    </w:p>
    <w:p w14:paraId="508E42EE"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консолях места тоже было немало. Там между лонжеронами расположили кабины для бортмехаников и топливные баки. Над рабочими местами механиков сделали смотровые фонари - размером с кабину иного самолета. Рядом с ними предусмотрели люки для вылезания на крыло. Считалось, что это будут делать при стоянке на земле, но на ТБ-3 при примерно таких же скоростях полета на крыло иногда выходили и в воздухе. Механики могли также выйти из своих кабин и перемещаться внутри вдоль носка крыла для осмотра двигателей и их мелкого ремонта.</w:t>
      </w:r>
    </w:p>
    <w:p w14:paraId="7CAA95F9"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конструкции АНТ-20 учли ряд недостатков, выявленных на ТБ-4. Там деформация крыла в полете приводила к тугому ходу элеронов. У "Максима Горького" прогиб крыла в полете, по расчетам, должен был доходить до полуметра. Щелевой элерон большого размаха пришлось разбить на четыре секции, что сохраняло их работоспособность в условиях деформации крыла.</w:t>
      </w:r>
    </w:p>
    <w:p w14:paraId="374878C7"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Крыло гиганта рассчитывалось на перевозку по железной дороге. Чтобы уложиться в габарит, его делили на узлы и вдоль и поперек, как у ТБ-3. Всего таких частей получилось десять. Обосновывали это так: М Г предстояло летать вглубь страны, в случае поломки туда требовалось доставить запасные части. Поскольку в дальнейшем намеревались строить серию таких машин, то наличие агрегатов на замену на заводе-изготовителе считалось само собой разумеющимся.</w:t>
      </w:r>
    </w:p>
    <w:p w14:paraId="724E45ED"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Фюзеляж "Максима Горького" имел прямоугольное сечение с немного округлым верхом и низом. По углам прямоугольника проходил и трубы лонжеронов. Попереч ную жесткость обеспечивали шпангоуты: в передней части - рамные, в задней - ферменные. Фюзеляж тоже собирался из четырех частей, соединяемых болтами по лонжеронам. Первый, носовой, отсек занимал салон с местом штурмана впереди, ничем от пассажиров не отгороженным. По всей носовой части шла сплошная лента прямоугольных окон. Салон должен был выполнять функции обзорной палубы на морском лайнере. Во втором отсеке находились полностью закрытая кабина пилотов и кабина радиста, а также первая пассажирская кабина. Третий отсек располагался между лонжеронами центроплана. По его оси шел проход, по бокам которого стояли колонны. На самом деле эта "колоннада" представляла собой опоры верхней тандем- ной мотоустановки. В задней части отсека, за второй пассажирской кабиной, находился буфет, называемый в некоторых документах рестораном. Он действительно немного напоминал железнодорожный вагон-ресто- ран. Там пассажиров собирались кормить горячей пищей. За рестораном находилась третья пассажирская кабина. Хвостовой отсек был почти пуст по соображениям центровки. По первоначальным схемам там хотели разместить два туалета и еще один гардероб. Уже на стадии макета расположение помещений немного изменили. Заканчивался фюзеляж съемным обтекателем с вырезом для хвостового колеса.</w:t>
      </w:r>
    </w:p>
    <w:p w14:paraId="3FDD9AEC"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пассажирских салонов разработали несколько типов кресел. На сохранившихся фотографиях присутствуют, по крайней мере, три варианта. Первое кресло более массивное, с объемистыми подлокотниками и жестким низом, обтянутым тканью. Его спинка имела несколько положений. На снимках макета "Максима Горького" видна более простая конструкция на металлических ножках и с подлокотниками из гнутых труб, напоминающая шезлонг. Такое кресло явно было и легче, и дешевле. Реально в салонах потом смонтировали кресла третьего типа, с каркасом по типу второго, но более простой спинкой без развитых заголовников.</w:t>
      </w:r>
    </w:p>
    <w:p w14:paraId="338D1319"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Хвостовое оперение нового гиганта по сравнению с ТБ-4 сильно изменили. Поскольку усилия на рулях по расчетам получались очень большими, конструкторы навесили на них серворули - триммеры с электроприводом. Серворули ранее опробовали на ТБ-3 и ТБ-4. Огромный стабилизатор, который мог бы послужить крылом самолету поменьше, мог в полете менять угол установки. Это делал электромотор, но для страховки предусмотрели и приведение его в действие вручную тросовым механизмом. Сначала спроектировали руль высоты большей площади, но усилия от него на штурвале оказались совершенно неприемлемыми. Пришлось руль урезать. Позже на испытаниях выяснилось, что такой площади на некоторых режимах недостаточно и использование перестановки стабилизатора совершенно необходимо.</w:t>
      </w:r>
    </w:p>
    <w:p w14:paraId="462264DF"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Неубирающееся шасси сильно напоминало ТБ-4. На каждой основной стойке монтировалось по два колеса двухметрового диаметра и почти полуметровой ширины. Им при посадке предстояло выдержать нагрузку в 30 т. Колесо сделали таким широким именно потому, что машине предстояло садиться не на бетонные полосы, которых в стране тогда практически не имелось, а на грунтовые аэродромы. Стойки и колеса изготавливались из легированной стали ХМА - единственной из выпускавшихся в СССР без импортных присадок. В стойку вмонтировали масляно-пневматический амортизатор. В колесах были упрятаны барабаны с колодочными тормозами. Они включались сжатым воздухом. Позднее пары колес намеревались для улучшения аэродинамики закрыть большими каплевидными обтекателями (что и сделали).</w:t>
      </w:r>
    </w:p>
    <w:p w14:paraId="3084A118"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Хвостовое колесо было тоже немаленьким - почти метр в диаметре. Его сделали свободно ориентирующимся, вращающимся на все 360 градусов. Для улучшения аэродинамики хвостовое колесо примерно на треть было утоплено в специальную нишу в фюзеляже.</w:t>
      </w:r>
    </w:p>
    <w:p w14:paraId="6B24E6A4"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Как уже говорилось, первоначально Туполев рассчитывал обойтись на "Максиме Горьком" шестью моторами, которые должны были дать в сумме около 7000 л.с. Очевидно, он верил в успех проектировавшегося тогда двигателя М-34ФРН, который должен был иметь максимальную мощность 1200 л.с. Шесть раз по 1200 - 7200. Но на практике этот мотор не дошел даже до испытаний на станке. Тогда ставку сделали на М-34РН, тоже с редуктором и нагнетателем, но без форсирования по оборотам. Максимальная мощность у него равнялась 820 л.с. По плану М-34РН требовалось выставить на испытания к 1 апреля 1932 г. Но и он запоздал более чем на два года. Осталось рассчитывать на уже существовавший М-34Р с редуктором, но без нагнетателя. Впрочем, последнее для машины, не способной летать высоко, большого значения не имело. Но максимальная мощность М-34Р составляла всего 800 л.с. Но шести моторов в этом случае уже не хватало: шесть раз по 800 - только 4800. Тогда Туполев вновь, как на ТБ-4, решил использовать верхнюю тандем- ную установку. Если бы случилось чудо, и он получил двигатели искомой мощности, ее запросто можно было бы снять. Но и восемь М-34Р в сумме до желаемых 7000 л.с. немного не дотягивали. Но и при этом, по прикидкам, самолет мог лететь без снижения при отказе любых двух моторов.</w:t>
      </w:r>
    </w:p>
    <w:p w14:paraId="01B10204"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Итак, "Максим Горький" стал восьмимоторным. Шесть двигателей стояли на передней кромке крыла: два на центроплане и четыре на консолях. Два монтировались в специальной гондоле, поднятой над фюзеляжем на ферме из труб, закрытых обтекателями. У моторов на крыле радиаторы водяного охлаждения располагались в нижних частях их гондол, под передней кромкой крыла. У двигателей тандемной установки радиатор был один, общий, стоявший над центральной частью гондолы и закрытый обтекателем. Охлаждение регулировалось поворотными жалюзи перед радиаторами, управлявшимися с помощью электромоторов.</w:t>
      </w:r>
    </w:p>
    <w:p w14:paraId="7EA6FE3C"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заданию воздушные винты должны были быть металлическими. В ЦАГИ спроектировали, изготовили и испытали несколько типов пропеллеров, причем не только с металлическими, но и с деревянными лопастями. Парадоксально, но лучшим в итоге признали старомодный деревянный двухлопастный винт постоянного шага диаметром 4 м. Их и решили поставить на самолет.</w:t>
      </w:r>
    </w:p>
    <w:p w14:paraId="67743923"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Работу мотоустановки контролировали три механика. Два отвечали за моторы на крыле и в нем же располагались, третий сидел в кабине в фюзеляже под тандемной установкой. В его кабине тоже был остекленный фонарь, через который он мог наблюдать за мотогондолой, но непосредственного доступа к ней в полете не имел. Механик, сидевший в фюзеляже, считался старшим. Он также регулировал подачу бензина к моторам.</w:t>
      </w:r>
    </w:p>
    <w:p w14:paraId="70C0CF80"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Запуск моторов осуществлялся пневмопусками от бортовых или аэродромных баллонов. Запас сжатого воздуха в бортовых баллонах пополнялся компрессором.</w:t>
      </w:r>
    </w:p>
    <w:p w14:paraId="2FE54EE6"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Топливо хранилось в большом количестве бензобаков, размешенных в консолях крыла между лонжеронами. С каждой стороны их имелось по 14 штук, сгруппированных в три группы: два, четыре и восемь баков. На каждую группу имелась одна заправочная горловина на верхней поверхности крыла. Баки цилиндрической формы клепали из алюми- </w:t>
      </w:r>
    </w:p>
    <w:p w14:paraId="0B108887"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ниевого листа. Бензин к моторам должны были подавать электрические насосы, но, памятуя печальный опыт ТБ-4, предусмотрели про запас и ручные.</w:t>
      </w:r>
    </w:p>
    <w:p w14:paraId="145254A6"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 каждого мотора был свой маслобак, а у двух верхних - даже по два. Они тоже были алюминиевые клепаные.</w:t>
      </w:r>
    </w:p>
    <w:p w14:paraId="35862139"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Управление самолетом выполнили двойным. Два летчика сидели в закрытой остекленной кабине бок о бок, командир корабля слева, второй пилот - справа, разделенные проходом. У обоих монтировались штурвалы и педали. Оба штурвала связывались тросовой проводкой. Правый штурвал можно было отключить. Интересно, что управление рулями на такой большой машине сделали по жесткой схеме - трубчатыми тягами и качалками. При этом рассчитывали выиграть в уменьшении трения, что должно было уменьшить нагрузку на летчиков. Жесткая схема обеспечивала и более быструю реакцию при большой длине за счет отсутствия люфтов и минимальной деформации. А вот управление элеронами выполнили смешанным - в фюзеляже и центроплане мягкое, тросами, в консолях - жесткое, тягами. В состав оборудования самолета включили автопилот, причем отечественного производства.</w:t>
      </w:r>
    </w:p>
    <w:p w14:paraId="75B55508"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Электрических сетей на самолете было две - постоянного и переменного тока. Последнюю, являвшуюся новинкой, предварительно испытали на специально выделенном бомбардировщике ТБ-3. Электричеством МГ обеспечивала станция мощностью 11,5 кВт. Крутивший генератор мотор в 30 л. с. одновременно приводил в действие компрессор, снабжавший пнев- мосистему сжатым воздухом. У этой станции имелся дублер - аварийный генератор мощностью 7,5 кВт с двигателем в 10 л.с.</w:t>
      </w:r>
    </w:p>
    <w:p w14:paraId="488BFF21"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Потребителей электрического тока на гигантской машине было множество. Самолет имел развитую систему внутреннего освещения. Интересно, что кроме традиционных плафонов, на борту имелись и другие осветительные приборы, напоминающие по виду настенные бра.</w:t>
      </w:r>
    </w:p>
    <w:p w14:paraId="3DC76C21"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Как положено, самолет нес аэронавигационные огни и кодовые огни для сигнализации самолетам в воздухе. При посадке ночью могли использовать две мощные фары, вмонтированные в носок центроплана. В дополнение к ним имелись четыре пиротехнических факела ("ракеты Хольта") с электрозапалом. Предварительно летчики могли осмотреть место посадки, сбросив одну или две парашютные ракеты. Для этой же цели служил мощный "прожектор-искатель", находившийся на нижней поверхности фюзеляжа. Писали даже, что им можно было в полете подсвечивать местность внизу на километр вперед.</w:t>
      </w:r>
    </w:p>
    <w:p w14:paraId="268C1158"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имел две радиостанции, работавшие в разных диапазонах волн в телефонном и телефафном режиме. Интересно, что приемники и передатчики разместили в разных частях машины. Отдельный приемник предназначался для получения метеорологической информации. Два радиста, сидевшие в хвостовом отсеке вместе с приемниками, могли управлять передатчиками в центроплане.</w:t>
      </w:r>
    </w:p>
    <w:p w14:paraId="66823143"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Как и требовалось заданием, на борту находилась автоматическая телефонная станция на 16 номеров, сконструированная и изготовленная на заводе "Красная заря". Она же могла использоваться для передачи сообщений командира корабля, который в определенных ситуациях нажатием одной кнопки мог прекратить разговоры и сделать связь односторонней. На случай отказа телефон дублировали лампочки трехцветной сигнализации. Определенное сочетание цветов содержало закодированное сообщение. Кроме того, пневмопочта соединяла пилотов со штурманом, радистами и подразделениями агитационных служб.</w:t>
      </w:r>
    </w:p>
    <w:p w14:paraId="2BA8BE71"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Агитационное назначение машины выразилось в размещении на борту типофафии и киноустановки, фотолаборатории, склада кинофильмов и целого штата специфических специалистов. Например, предусматривались целых две редколлегии для оперативного выпуска листовок, брошюр и газет. Печатать их собирались прямо на борту "Максима Горького". Типофафия располагалась в левой части центроплана. Офсетный типографский станок для МГ специально спроектировали и изготовили в Рыбинске. Но на самолет его допустили только после того, как заменили тяжеленную чугунную станину алюминиевой. Машина могла давать до 12 000 оттисков в час. Для подготовки материалов редакции могли использовать светокопировальное устройство и фотолабораторию.</w:t>
      </w:r>
    </w:p>
    <w:p w14:paraId="039ECC7F"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самолете имелся мощный громкоговоритель "Голос с неба", способный "накрыть" сверху звуком более 10 км2. Он монтировался на нижней поверхности фюзеляжа. На земле, убавив громкость, громкоговоритель использовали для звукового сопровождения кино. Можно было для этого обойтись и двумя рупорами, входившими в комплект киноустановки "Вомит". К ней также придавался большой экран, в свернутом виде размещавшийся в левом крыле. Коробки с кинолентой хранились в "фильмостате" - термостатированном шкафу. Кино можно было не только показывать, но и снимать - в комплект оснащения агитсамолета входил киноаппарат и запас пленки.</w:t>
      </w:r>
    </w:p>
    <w:p w14:paraId="7E17D6A3"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Предлагалось оснастить "Максима Горького" и "агитационными огнями". Это были панели со светящимися буквами. Всего под крылом АНТ-20 умещалось 18 щитов размером метр на два, позволявших написать какой-нибудь короткий лозунг. Но до конца эту работу не довели. Придумывали и не такое. Предлагали проецировать на облака или дымовую завесу изображения и лозунги, вести с борта "Горького" радио- или даже телевизионные передачи и устраивать фейерверки.</w:t>
      </w:r>
    </w:p>
    <w:p w14:paraId="73921563"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в штате М Г насчитывался 21 человек. В это число входили два пилота, три бортмеханика и три радиста. А вот без штурмана решили обойтись - в то время в гражданской авиации это считалось нормой. Однако место для него предусматривалось - в передней части так называемого "салона" (это было что-то вроде обзорной палубы на пассажирском судне). Остальные 13 человек должны были обеспечивать "агитационную работу среди населения".</w:t>
      </w:r>
    </w:p>
    <w:p w14:paraId="464B5FA4"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Уже в ходе работы над макетом МГ Туполев добавил интересную деталь. По проекту вход в фюзеляж осуществлялся через дверь на правом борту. Она была довольно тесной, да к тому же не прямоугольной: из-за мешавших подкосов каркаса фюзеляжа она выглядела скорее треугольной с вершиной внизу. В то же время в фюзеляже за крылом имелся отсек, не использовавшийся по соображениям центровки. Туполев предложил сделать там трап-лестницу, опускавшуюся тросами вниз. Поднявшись по ней, пассажиры попадали в "вестибюль", откуда расходились по своим местам (12024).</w:t>
      </w:r>
    </w:p>
    <w:p w14:paraId="54A0E6FA"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p>
    <w:p w14:paraId="3BC9DAD7"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января 1933 г. комитет по постройке "Максима Горького" своим письмом выдал ЦАГИ заказ на проектирование и постройку одного экземпляра АНТ-20. Позже в разных бумагах эта машина именовалась обычно просто МГ. Срок сдачи заказчику ставился 1 мая 1934 г. - очевидно, с расчетом вывести его на традиционный парад над Красной площадью. Договор после утряски финансовых вопросов подписали 10 марта. ЦАГИ получил полмиллиона рублей аванса. Сотрудники института взяли на себя обязательство отработать при создании самолета по 18 часов бесплатно.</w:t>
      </w:r>
    </w:p>
    <w:p w14:paraId="49DD31A9"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АНТ-20 являлся таким же огромным тихоходным гофрированным монопланом, как и АНТ-16, и полностью повторял его аэродинамическую схему. Такой же плоскобортный фюзеляж, такое же крыло толстого профиля, такое же высокое неубирающееся шасси.</w:t>
      </w:r>
    </w:p>
    <w:p w14:paraId="45C70C24"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 хотя в своей основе ТБ-4 и МГ были конструктивно одинаковы, изменение размеров вынудило внести целый ряд изменений. Кроме того, учли ряд недостатков, выявленных на ТБ-4. Например, щелевой элерон большого размаха пришлось разбить на четыре секции, что сохраняло их работоспособность в условиях деформации крыла. Высота крыла позволила разместить в нем пассажирские кабины- купе. Интересно, что у некоторых из них имелись окна в потолке, а у некоторых - еще и в полу. Сверху на крыле предусмотрели обзорные фонари для бортмехаников; рядом с ними сделали люки для выхода на крыло. Само крыло рассчитывалось на перевозку по железной дороге. Чтобы уложиться в габарит, его делили на узлы и вдоль и поперек, как у ТБ-3. Обосновывали это так: МГ предстояло летать вглубь страны, в случае поломки туда требовалось доставить запасные части. Поскольку в дальнейшем намеревались строить серию таких машин, то наличие агрегатов на замену на за- воде-изготовителе считалось само собой разумеющимся. Фюзеляж тоже собирался из четырех частей. Пилотскую кабину сделали полностью закрытой. На сохранившихся чертежах видны названия, ассоциирующиеся больше с морем и железной дорогой, нежели с авиацией: "рубка главного механика", "кабина машиниста".</w:t>
      </w:r>
    </w:p>
    <w:p w14:paraId="0029A290"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Неубирающееся шасси сильно напоминало ТБ-4. На каждой основной стойке монтировалось по два колеса двухметрового диаметра и почти полуметровой ширины. Им при посадке предстояло выдержать нагрузку в 30 т. В колесах были упрятаны барабаны с колодочными тормозами. Они включались сжатым воздухом. Позднее пары колес намеревались для улучшения аэродинамики закрыть большими каплевидными обтекателями (что и сделали).</w:t>
      </w:r>
    </w:p>
    <w:p w14:paraId="584E2DDA"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Хвостовое оперение по сравнению с ТБ-4 очень сильно изменили. Поскольку усилия на рулях по расчетам получались очень большими, конструкторы навесили на них серворули - триммеры с электроприводом. Огромный стабилизатор, который мог бы послужить крылом самолету поменьше, мог в полете менять угол установки. Это делал электромотор, но для страховки предусмотрели и приведение его в действие вручную тросовым механизмом. Сначала спроектировали руль высоты большей площади, но усилия от него на штурвале оказались совершенно неприемлемыми. Пришлось руль урезать. Позже на испытаниях выяснилось, что такой площади на некоторых режимах недостаточно и использование перестановки стабилизатора совершенно необходимо.</w:t>
      </w:r>
    </w:p>
    <w:p w14:paraId="4A41DF3C"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состав оборудования самолета включили автопилот, причем отечественного производства. Предусмотрен был электропривод жалюзи водяных радиаторов.</w:t>
      </w:r>
    </w:p>
    <w:p w14:paraId="5C1DDD42"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Электрических сетей на самолете было две - постоянного и переменного тока. Последнюю предварительно испытали на специально выделенном бомбардировщике ТБ-3. Электричеством МГ обеспечивала станция мощностью 11,5 квт. Крутивший генератор мотор в 30 л. с. одновременно приводил в действие компрессор, снабжавший пневмосис- тему сжатым воздухом. У этой станции имелся дублер - аварийный генератор мощностью 7,5 квт с двигателем в 10 л.с.</w:t>
      </w:r>
    </w:p>
    <w:p w14:paraId="00BE0C5D"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Агитационное назначение машины выразилось в размещении на борту типографии и киноустановки, фотолаборатории, склада кинофильмов и целого штата специфических специалистов, в том числе двух редколлегий для оперативного выпуска листовок и брошюр. Всего в штате насчитывался 21 человек. В это число входили два пилота, три бортмеханика и три радиста. А вот без штурмана решили обойтись - в то время в гражданской авиации это считалось нормой. Однако место для него предусматривалось - в передней части так называемого "салона" (это было что-то вроде обзорной палубы на пассажирском судне). Остальные 13 человек должны были обеспечивать "агитационную работу среди населения".</w:t>
      </w:r>
    </w:p>
    <w:p w14:paraId="15ED0808"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Как и требовалось заданием, на борту находилась автоматическая телефонная станция на 16 номеров. Ее дублировали лампочки трехцветной сигнализации. Определенное сочетание цветов содержало закодированное сообщение.</w:t>
      </w:r>
    </w:p>
    <w:p w14:paraId="4159CFE2"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самолете имелся мощный громкоговоритель, способный "накрыть" сверху звуком более 10 км2. На земле, убавив громкость, его использовали для звукового сопровождения кино. Можно было для этого обойтись и двумя рупорами, входившими в комплект киноустановки. К ней также придавался большой экран, в свернутом виде размещавшийся в левом крыле.</w:t>
      </w:r>
    </w:p>
    <w:p w14:paraId="2D88E031"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Типографский станок для МГ специально спроектировали и изготовили в Рыбинске. Но на самолет его допустили только после того, как заменили чугунную станину алюминиевой. Предлагалось оснастить машину и "агитационными огнями". Это были панели со светящимися буквами. Всего под крылом АНТ-20 умещалось 18 щитов размером метр на два, позволявших написать какой-нибудь короткий лозунг. Но до конца эту работу не довели. Придумывали и не такое. Предлагали проецировать на облака или дымовую завесу изображения и лозунги, вести с борта "Горького" ра- дио- или даже телевизионные передачи.</w:t>
      </w:r>
    </w:p>
    <w:p w14:paraId="770D73BE"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Уже в ходе работы над макетом М Г Туполев добавил интересную деталь. По проекту вход в фюзеляж осуществлялся через дверь на правом борту. Она была довольно тесной, да к тому же не прямоугольной: из-за мешавших подкосов каркаса фюзеляжа она выглядела скорее треугольной с вершиной внизу. В то же время в фюзеляже за крылом имелся отсек, не использовавшийся по соображениям центровки. Туполев предложил сделать там трап-лестницу, опускавшуюся тросами вниз. Поднявшись по ней, пассажиры попадали в "вестибюль", откуда расходились по своим местам (12036).</w:t>
      </w:r>
    </w:p>
    <w:p w14:paraId="5A1E25DA"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p>
    <w:p w14:paraId="74F2BDCA" w14:textId="77777777" w:rsidR="00373B27" w:rsidRPr="00C33834" w:rsidRDefault="00373B2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17 января 1933 г. председатель Техни</w:t>
      </w:r>
      <w:r w:rsidRPr="00C33834">
        <w:rPr>
          <w:rFonts w:ascii="Times New Roman" w:hAnsi="Times New Roman"/>
          <w:color w:val="0070C0"/>
          <w:sz w:val="16"/>
          <w:szCs w:val="16"/>
        </w:rPr>
        <w:softHyphen/>
        <w:t>ческого совета Комитета (и одновремен</w:t>
      </w:r>
      <w:r w:rsidRPr="00C33834">
        <w:rPr>
          <w:rFonts w:ascii="Times New Roman" w:hAnsi="Times New Roman"/>
          <w:color w:val="0070C0"/>
          <w:sz w:val="16"/>
          <w:szCs w:val="16"/>
        </w:rPr>
        <w:softHyphen/>
        <w:t>но начальник ЦАГИ) направил в ЦАГИ и ЗОК (завод опытных конструкций) сле</w:t>
      </w:r>
      <w:r w:rsidRPr="00C33834">
        <w:rPr>
          <w:rFonts w:ascii="Times New Roman" w:hAnsi="Times New Roman"/>
          <w:color w:val="0070C0"/>
          <w:sz w:val="16"/>
          <w:szCs w:val="16"/>
        </w:rPr>
        <w:softHyphen/>
        <w:t>дующий документ:</w:t>
      </w:r>
    </w:p>
    <w:p w14:paraId="1F67E346" w14:textId="77777777" w:rsidR="00373B27" w:rsidRPr="00C33834" w:rsidRDefault="00373B2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«Тов. НЕКРАСОВУ. ТУПОЛЕВУ. БЛИНКИНУ. ПУРБИНУ</w:t>
      </w:r>
    </w:p>
    <w:p w14:paraId="6F86B5B1" w14:textId="77777777" w:rsidR="00373B27" w:rsidRPr="00C33834" w:rsidRDefault="00373B2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Дир. ЗОК т.ОСИПОВУ, ПЭО UAEH</w:t>
      </w:r>
    </w:p>
    <w:p w14:paraId="1DF52929" w14:textId="77777777" w:rsidR="00373B27" w:rsidRPr="00C33834" w:rsidRDefault="00373B2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Копия: СПКП</w:t>
      </w:r>
    </w:p>
    <w:p w14:paraId="6138C60F" w14:textId="77777777" w:rsidR="00373B27" w:rsidRPr="00C33834" w:rsidRDefault="00373B2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17января Комитет по постройке Само</w:t>
      </w:r>
      <w:r w:rsidRPr="00C33834">
        <w:rPr>
          <w:rFonts w:ascii="Times New Roman" w:hAnsi="Times New Roman"/>
          <w:color w:val="0070C0"/>
          <w:sz w:val="16"/>
          <w:szCs w:val="16"/>
        </w:rPr>
        <w:softHyphen/>
        <w:t>лета «Максим Горький» принял постанов</w:t>
      </w:r>
      <w:r w:rsidRPr="00C33834">
        <w:rPr>
          <w:rFonts w:ascii="Times New Roman" w:hAnsi="Times New Roman"/>
          <w:color w:val="0070C0"/>
          <w:sz w:val="16"/>
          <w:szCs w:val="16"/>
        </w:rPr>
        <w:softHyphen/>
        <w:t>ление о выдаче заказа НАГИ на проектиро</w:t>
      </w:r>
      <w:r w:rsidRPr="00C33834">
        <w:rPr>
          <w:rFonts w:ascii="Times New Roman" w:hAnsi="Times New Roman"/>
          <w:color w:val="0070C0"/>
          <w:sz w:val="16"/>
          <w:szCs w:val="16"/>
        </w:rPr>
        <w:softHyphen/>
        <w:t>вание и постройку самолета «Максим Горький» и предложил Строительной сек</w:t>
      </w:r>
      <w:r w:rsidRPr="00C33834">
        <w:rPr>
          <w:rFonts w:ascii="Times New Roman" w:hAnsi="Times New Roman"/>
          <w:color w:val="0070C0"/>
          <w:sz w:val="16"/>
          <w:szCs w:val="16"/>
        </w:rPr>
        <w:softHyphen/>
        <w:t>ции проработать договор, установив срок предъявления самолета на заводские испы</w:t>
      </w:r>
      <w:r w:rsidRPr="00C33834">
        <w:rPr>
          <w:rFonts w:ascii="Times New Roman" w:hAnsi="Times New Roman"/>
          <w:color w:val="0070C0"/>
          <w:sz w:val="16"/>
          <w:szCs w:val="16"/>
        </w:rPr>
        <w:softHyphen/>
        <w:t>тания 1 мая 1934 г.</w:t>
      </w:r>
    </w:p>
    <w:p w14:paraId="5A13282E" w14:textId="77777777" w:rsidR="00373B27" w:rsidRPr="00C33834" w:rsidRDefault="00373B2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Предлагаю:</w:t>
      </w:r>
    </w:p>
    <w:p w14:paraId="2BF95AC8" w14:textId="77777777" w:rsidR="00373B27" w:rsidRPr="00C33834" w:rsidRDefault="00373B2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Включить в план работ Конструк</w:t>
      </w:r>
      <w:r w:rsidRPr="00C33834">
        <w:rPr>
          <w:rFonts w:ascii="Times New Roman" w:hAnsi="Times New Roman"/>
          <w:color w:val="0070C0"/>
          <w:sz w:val="16"/>
          <w:szCs w:val="16"/>
        </w:rPr>
        <w:softHyphen/>
        <w:t>торского Отдела и ЗОКа проектирование по техническим требованиям, утверж</w:t>
      </w:r>
      <w:r w:rsidRPr="00C33834">
        <w:rPr>
          <w:rFonts w:ascii="Times New Roman" w:hAnsi="Times New Roman"/>
          <w:color w:val="0070C0"/>
          <w:sz w:val="16"/>
          <w:szCs w:val="16"/>
        </w:rPr>
        <w:softHyphen/>
        <w:t>денным Комитетом, и постройку самоле</w:t>
      </w:r>
      <w:r w:rsidRPr="00C33834">
        <w:rPr>
          <w:rFonts w:ascii="Times New Roman" w:hAnsi="Times New Roman"/>
          <w:color w:val="0070C0"/>
          <w:sz w:val="16"/>
          <w:szCs w:val="16"/>
        </w:rPr>
        <w:softHyphen/>
        <w:t>та «Максим Горький» со сроком выхода на аэродром 1 мая 1934 г.</w:t>
      </w:r>
    </w:p>
    <w:p w14:paraId="181C7DFB" w14:textId="77777777" w:rsidR="00373B27" w:rsidRPr="00C33834" w:rsidRDefault="00373B2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ПЭО ЦАРИ совместно с КО и 30К проработать договор на постройку самоле</w:t>
      </w:r>
      <w:r w:rsidRPr="00C33834">
        <w:rPr>
          <w:rFonts w:ascii="Times New Roman" w:hAnsi="Times New Roman"/>
          <w:color w:val="0070C0"/>
          <w:sz w:val="16"/>
          <w:szCs w:val="16"/>
        </w:rPr>
        <w:softHyphen/>
        <w:t>та, для чего непосредственно связаться со Строительной комиссией Комитета по постройке самолета «Максим Горький» (Председатель тов. Горяное).</w:t>
      </w:r>
    </w:p>
    <w:p w14:paraId="1819B910" w14:textId="77777777" w:rsidR="00373B27" w:rsidRPr="00C33834" w:rsidRDefault="00373B2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ПЭО получить необходимые поста</w:t>
      </w:r>
      <w:r w:rsidRPr="00C33834">
        <w:rPr>
          <w:rFonts w:ascii="Times New Roman" w:hAnsi="Times New Roman"/>
          <w:color w:val="0070C0"/>
          <w:sz w:val="16"/>
          <w:szCs w:val="16"/>
        </w:rPr>
        <w:softHyphen/>
        <w:t>новления Комитета и выяснить стои</w:t>
      </w:r>
      <w:r w:rsidRPr="00C33834">
        <w:rPr>
          <w:rFonts w:ascii="Times New Roman" w:hAnsi="Times New Roman"/>
          <w:color w:val="0070C0"/>
          <w:sz w:val="16"/>
          <w:szCs w:val="16"/>
        </w:rPr>
        <w:softHyphen/>
        <w:t>мость проектирования и постройки само</w:t>
      </w:r>
      <w:r w:rsidRPr="00C33834">
        <w:rPr>
          <w:rFonts w:ascii="Times New Roman" w:hAnsi="Times New Roman"/>
          <w:color w:val="0070C0"/>
          <w:sz w:val="16"/>
          <w:szCs w:val="16"/>
        </w:rPr>
        <w:softHyphen/>
        <w:t>лета, сроки поставки в ЦАРИ необходимо</w:t>
      </w:r>
      <w:r w:rsidRPr="00C33834">
        <w:rPr>
          <w:rFonts w:ascii="Times New Roman" w:hAnsi="Times New Roman"/>
          <w:color w:val="0070C0"/>
          <w:sz w:val="16"/>
          <w:szCs w:val="16"/>
        </w:rPr>
        <w:softHyphen/>
        <w:t>го оборудования и условия финансирования и оказания помощи Комитетом при пост</w:t>
      </w:r>
      <w:r w:rsidRPr="00C33834">
        <w:rPr>
          <w:rFonts w:ascii="Times New Roman" w:hAnsi="Times New Roman"/>
          <w:color w:val="0070C0"/>
          <w:sz w:val="16"/>
          <w:szCs w:val="16"/>
        </w:rPr>
        <w:softHyphen/>
        <w:t>ройке самолета.</w:t>
      </w:r>
    </w:p>
    <w:p w14:paraId="2DDD5B1A" w14:textId="77777777" w:rsidR="00373B27" w:rsidRPr="00C33834" w:rsidRDefault="00373B2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Договор должен быть проработан и за</w:t>
      </w:r>
      <w:r w:rsidRPr="00C33834">
        <w:rPr>
          <w:rFonts w:ascii="Times New Roman" w:hAnsi="Times New Roman"/>
          <w:color w:val="0070C0"/>
          <w:sz w:val="16"/>
          <w:szCs w:val="16"/>
        </w:rPr>
        <w:softHyphen/>
        <w:t>ключен к 1 февраля с.г.</w:t>
      </w:r>
    </w:p>
    <w:p w14:paraId="1FFCC871" w14:textId="77777777" w:rsidR="00373B27" w:rsidRPr="00C33834" w:rsidRDefault="00373B2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Согласие начальника ГУА Па на включе</w:t>
      </w:r>
      <w:r w:rsidRPr="00C33834">
        <w:rPr>
          <w:rFonts w:ascii="Times New Roman" w:hAnsi="Times New Roman"/>
          <w:color w:val="0070C0"/>
          <w:sz w:val="16"/>
          <w:szCs w:val="16"/>
        </w:rPr>
        <w:softHyphen/>
        <w:t>ние постройки самолета в план работ НАГИ имеется.</w:t>
      </w:r>
    </w:p>
    <w:p w14:paraId="3FA26247" w14:textId="77777777" w:rsidR="00373B27" w:rsidRPr="00C33834" w:rsidRDefault="00373B2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НАЧАЛЬНИК ЦАРИ ХАРЛАМОВ» (21240).</w:t>
      </w:r>
    </w:p>
    <w:p w14:paraId="53A125B8" w14:textId="77777777" w:rsidR="00373B27" w:rsidRPr="00C33834" w:rsidRDefault="00373B27" w:rsidP="00C33834">
      <w:pPr>
        <w:spacing w:after="0" w:line="240" w:lineRule="auto"/>
        <w:jc w:val="both"/>
        <w:rPr>
          <w:rFonts w:ascii="Times New Roman" w:hAnsi="Times New Roman"/>
          <w:color w:val="0070C0"/>
          <w:sz w:val="16"/>
          <w:szCs w:val="16"/>
        </w:rPr>
      </w:pPr>
    </w:p>
    <w:p w14:paraId="519EF057"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января 1933 Зарзаром от Госплана в СТО был представлен доклад по вопросу об изучении стратосферы (2304,4).</w:t>
      </w:r>
    </w:p>
    <w:p w14:paraId="597712C5"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p>
    <w:p w14:paraId="4817EF40" w14:textId="77777777" w:rsidR="00A4146F" w:rsidRPr="00C33834" w:rsidRDefault="00A4146F" w:rsidP="00C33834">
      <w:pPr>
        <w:pStyle w:val="rtejustify"/>
        <w:spacing w:before="0" w:after="0"/>
        <w:rPr>
          <w:color w:val="000000" w:themeColor="text1"/>
          <w:sz w:val="16"/>
          <w:szCs w:val="16"/>
        </w:rPr>
      </w:pPr>
      <w:r w:rsidRPr="00C33834">
        <w:rPr>
          <w:color w:val="000000" w:themeColor="text1"/>
          <w:sz w:val="16"/>
          <w:szCs w:val="16"/>
        </w:rPr>
        <w:t>17 января 1933 г. в докладной записке И. С. Уншлихта в СТО СССР говорилось: «Супервысотная авиация, над созданием которой усиленно работают передовые капиталистические страны, имеет большое оборонное значение для СССР. Возможность получения больших скоростей полета в условиях наиболее благоприятных с метеорологической точки зрения, недосягаемость для зенитной артиллерии и скрытность самого полета, возможность открытия нового этапа в технике авиации — все это обуславливает необходимость максимального форсирования развития этого дела в нашей стране». Подчеркивалось, что для решения проблем «суперавиации», необходимо решать две задачи: изучение стратосферы и строительство самих летательных аппаратов. Предлагалось руководство работой возложить на специальную организацию, способную обеспечить форсированный темп проведения работ и выделить 2,5 млн. руб. для финансирования в плановом порядке. (РГАЭ. Ф. 4372. Оп. 91. Д. 1076. Л. 134</w:t>
      </w:r>
      <w:r w:rsidRPr="00C33834">
        <w:rPr>
          <w:color w:val="000000" w:themeColor="text1"/>
          <w:sz w:val="16"/>
          <w:szCs w:val="16"/>
        </w:rPr>
        <w:noBreakHyphen/>
        <w:t>132; Л. 147</w:t>
      </w:r>
      <w:r w:rsidRPr="00C33834">
        <w:rPr>
          <w:color w:val="000000" w:themeColor="text1"/>
          <w:sz w:val="16"/>
          <w:szCs w:val="16"/>
        </w:rPr>
        <w:noBreakHyphen/>
        <w:t>146) (15266).</w:t>
      </w:r>
    </w:p>
    <w:p w14:paraId="5942425D" w14:textId="77777777" w:rsidR="00A4146F" w:rsidRPr="00C33834" w:rsidRDefault="00A4146F" w:rsidP="00C33834">
      <w:pPr>
        <w:autoSpaceDE w:val="0"/>
        <w:autoSpaceDN w:val="0"/>
        <w:adjustRightInd w:val="0"/>
        <w:spacing w:after="0" w:line="240" w:lineRule="auto"/>
        <w:jc w:val="both"/>
        <w:rPr>
          <w:rFonts w:ascii="Times New Roman" w:hAnsi="Times New Roman"/>
          <w:color w:val="000000" w:themeColor="text1"/>
          <w:sz w:val="16"/>
          <w:szCs w:val="16"/>
        </w:rPr>
      </w:pPr>
    </w:p>
    <w:p w14:paraId="5DF8DB00"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января 1933 года зам. пред. Госплана И.С. Уншлихт писал письмо N 66/2100с в СТО.</w:t>
      </w:r>
    </w:p>
    <w:p w14:paraId="2EF67A73"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 Состояние работ по сверхвысотным аппаратам.</w:t>
      </w:r>
    </w:p>
    <w:p w14:paraId="40C45363"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по сверхвысотным летательным аппаратам проходит как по линии высотного самолето- и моторостроения, так и по линии пректирования ракетоплана.</w:t>
      </w:r>
    </w:p>
    <w:p w14:paraId="46BFCCFD"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первой части необходимо отметить следующие работы):</w:t>
      </w:r>
    </w:p>
    <w:p w14:paraId="4727DF73"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ЦАГИ спроектировал и частично сдал в производство самолет цельнометаллической конструкции, моноплан с низко расположенным крылом, размах 30 м, площадь крыла 75 кв. м, с мотором М-34 с редуктором и одноступенчатым или двухступенчатым нагнетателем. С одноступенчатым импеллером самолет должен дать потолок 11-12 км со скоростью на этой высоте около 185 км; с двухступенчатым импеллером - потолок - 15-16 км и скорость около 300 км; полетный вес - 3280 и 3875 кг, а время подъема на указанные высоты - 1 час и 1 час 10 мин.</w:t>
      </w:r>
    </w:p>
    <w:p w14:paraId="5FB41AF0"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самолет выполняется под мотор М-34 с одноступенчатым импеллером, причем находятся в производстве отъемные части крыла, хвостовая часть фюзеляжа, опытная кабина; заканчиваются проектированием и будут сданы в производство в феврале - центроплан и центральная часть фюзеляжа, в марте-апреле - остальные части самолета. Принимая срок поставки мотора - 1 мая, институт выражает готовность предъявить к испытанию в полете вполне законченный самолет 1 сентября.</w:t>
      </w:r>
    </w:p>
    <w:p w14:paraId="1B7A5310"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Этот же самолет может быть применен и с мотором М-34 с двухступенчатым импеллером, что потребует изготовления лишь новой моторной установки и винта с поворотными лопастями; срок - до 3-х месяцев.</w:t>
      </w:r>
    </w:p>
    <w:p w14:paraId="3ED1598A"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БНК проектирует цельнометаллический моноплан с одним толкающим мотором М-34 с двухступенчатым центробежным компрессором, приводимым паровой турбиной, питаемой паром, производящимся от охлаждения мотора и выхлопными газами; вторая ступень включается на высоте 6500 м и приводится в движение газовой турбины, работающей на газу, отходящем от котла (при работе первой ступени газы не используются). Общий полетный вес машины 2300 кг, теоретический потолок - 14500 км, скорость на высоте 12 км - 400 км. Данная конструкция выгодно отличается от других удачным устройством кабины, обеспечивающим хороший обзор, возможность смены кабины и использования спуска на парашюте всей кабины, возможность удобного расположения вооружения и обстрела вперед.</w:t>
      </w:r>
    </w:p>
    <w:p w14:paraId="0064DCFA"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на сегодняшний день находится в основном в стадии проектирования. Учитывая сроки готовности М-34 с редуктором и нагнетателем, срок вывода машины на аэродром - декабрь 1933 года. Но с 1 февраля можно уже приступить к передаче чертежей в мастерские.</w:t>
      </w:r>
    </w:p>
    <w:p w14:paraId="387E0E21"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ВВА, концентрируя свое внимание на проблеме высотного мотора, винта с переменным шагом, герметической кабины и навигационных и контрольных высотных приборов, останавливается на конструировании двухмоторного самолета с полетным весом 5500 кг с достижением 17-18 км высоты. Первый мотор работает на винт, второй - на центробежный трехступенчатый нагнетатель, питая сжатым воздухом оба мотора.</w:t>
      </w:r>
    </w:p>
    <w:p w14:paraId="56F0E161"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Академии находится в стадии исследования и проектирования и задерживается из-за отсутствия средств.</w:t>
      </w:r>
    </w:p>
    <w:p w14:paraId="720322D9"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Ленинградский НИИ ГВФ проектирует также двухмоторную машину под М-22 (тандем) с высотным нагнетателем; моноплан с полетным весом 3000 кг; потолок 16-17 км и скорость 400-430 км. Работа находится в стадии проектирования.</w:t>
      </w:r>
    </w:p>
    <w:p w14:paraId="7D5CCC26"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ЦИАМ проводит работу по обеспечению мотора М-34 одноступенчатыми и двухступенчатыми импеллерами, причем одноступенчатый импеллер построен, но вследствие обнаруженных при испытании недочетов, поступил в дальнейшую работу и может быть предъявлен на гос. испытания с расчетом выпуска мотора в полной готовности 1 мая. По двухступенчатому импеллеру работа находится в стадии проектирования и ведется крайне медленно.</w:t>
      </w:r>
    </w:p>
    <w:p w14:paraId="6C10CE9B"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 ГИРД Осоавиахима ведет работы по проектированию ракеты и ракетоплана с реактивным двигателем, но эта работа находится в самом зачатке (3533,6-7).</w:t>
      </w:r>
    </w:p>
    <w:p w14:paraId="5BD2F370"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p>
    <w:p w14:paraId="46D1F584" w14:textId="77777777" w:rsidR="00A4146F"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7FC49D05" w14:textId="77777777" w:rsidR="00A4146F" w:rsidRPr="00C33834" w:rsidRDefault="00A4146F" w:rsidP="00C33834">
      <w:pPr>
        <w:spacing w:after="0" w:line="240" w:lineRule="auto"/>
        <w:jc w:val="both"/>
        <w:rPr>
          <w:rFonts w:ascii="Times New Roman" w:hAnsi="Times New Roman"/>
          <w:iCs/>
          <w:color w:val="000000" w:themeColor="text1"/>
          <w:sz w:val="16"/>
          <w:szCs w:val="16"/>
        </w:rPr>
      </w:pPr>
    </w:p>
    <w:p w14:paraId="34C8C161" w14:textId="77777777" w:rsidR="00A4146F" w:rsidRPr="00C33834" w:rsidRDefault="00A4146F"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lastRenderedPageBreak/>
        <w:t>17 января</w:t>
      </w:r>
      <w:r w:rsidRPr="00C33834">
        <w:rPr>
          <w:rFonts w:ascii="Times New Roman" w:hAnsi="Times New Roman"/>
          <w:color w:val="000000" w:themeColor="text1"/>
          <w:sz w:val="16"/>
          <w:szCs w:val="16"/>
        </w:rPr>
        <w:t xml:space="preserve"> в 1933 году ВВС США заказали серию (48) цельнометаллических бомбардировщиков </w:t>
      </w:r>
      <w:hyperlink r:id="rId24" w:tgtFrame="_blank" w:history="1">
        <w:r w:rsidRPr="00C33834">
          <w:rPr>
            <w:rFonts w:ascii="Times New Roman" w:hAnsi="Times New Roman"/>
            <w:color w:val="000000" w:themeColor="text1"/>
            <w:sz w:val="16"/>
            <w:szCs w:val="16"/>
          </w:rPr>
          <w:t>«Martin» «B-10».</w:t>
        </w:r>
      </w:hyperlink>
      <w:r w:rsidRPr="00C33834">
        <w:rPr>
          <w:rFonts w:ascii="Times New Roman" w:hAnsi="Times New Roman"/>
          <w:color w:val="000000" w:themeColor="text1"/>
          <w:sz w:val="16"/>
          <w:szCs w:val="16"/>
        </w:rPr>
        <w:t xml:space="preserve"> В январе 1932-го самолет, названный "Мартин 123", впервые поднялся в воздух. Он являлся свободнонесущим цельнометаллическим монопланом. В новой машине собрали все новинки тогдашнего самолетостроения. Каплевидный фюзеляж овального сечения, убирающиеся в мотогондолы основные стойки шасси. Уборка стоек производилась по очень своеобразной схеме: задний подкос не ломался и телескопически не складывался, а уходил назад по направляющему рельсу и в сложенном положении выступал за заднюю кромку крыла. Гофрированные панели применялись только для обшивки верхней и нижней частей фюзеляжа; борта, крыло и оперение были покрыты гладкими листами "алкледа" - алюминиевого сплава, обладающего повышенной коррозийной устойчивостью. Вся обшивка являлась несущей. Крыло, правда, имело довольно толстый профиль "Геттинген-388", но он вполне соответствовал расчетному диапазону скоростей. Рули и элероны обладали статической и динамической балансировкой и были оснащены триммерами. На опытной машине стояли два мотора "Райт" «SR-1820E» по 600 л.с., укрытые лобовыми капотами и узкими кольцами Тауненда. Все члены экипажа (их было трое) поначалу размещались в открытых сверху кабинах. Стрелкового вооружения не устанавливали, но проектом предусматривалось три пулемета винтовочного калибра - в носовой и задней кабинах, а также в люке внизу в хвостовой части самолета. Бомбы размещались в емком фюзеляжном бомбоотсеке. Первые же полеты наглядно продемонстрировали потенциал нового бомбардировщика. Самолет показал максимальную скорость свыше 300 км/ч, а лучший американский истребитель того времени, «Р-6Е», выдавал 316 (15012).</w:t>
      </w:r>
    </w:p>
    <w:p w14:paraId="14AF63C2" w14:textId="77777777" w:rsidR="00A4146F" w:rsidRPr="00C33834" w:rsidRDefault="00A4146F" w:rsidP="00C33834">
      <w:pPr>
        <w:spacing w:after="0" w:line="240" w:lineRule="auto"/>
        <w:jc w:val="both"/>
        <w:rPr>
          <w:rFonts w:ascii="Times New Roman" w:hAnsi="Times New Roman"/>
          <w:color w:val="000000" w:themeColor="text1"/>
          <w:sz w:val="16"/>
          <w:szCs w:val="16"/>
        </w:rPr>
      </w:pPr>
    </w:p>
    <w:p w14:paraId="2792C1D3" w14:textId="77777777" w:rsidR="003E25C3" w:rsidRPr="00C33834" w:rsidRDefault="003E25C3"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17 января 1933 г. Китай: коммунисты Китая предлагают Чан Кайши совместно </w:t>
      </w:r>
      <w:r w:rsidRPr="00C33834">
        <w:rPr>
          <w:rFonts w:ascii="Times New Roman" w:eastAsia="Times New Roman" w:hAnsi="Times New Roman"/>
          <w:iCs/>
          <w:color w:val="000000" w:themeColor="text1"/>
          <w:sz w:val="16"/>
          <w:szCs w:val="16"/>
          <w:lang w:eastAsia="ru-RU"/>
        </w:rPr>
        <w:t>бороться</w:t>
      </w:r>
      <w:r w:rsidRPr="00C33834">
        <w:rPr>
          <w:rFonts w:ascii="Times New Roman" w:eastAsia="Times New Roman" w:hAnsi="Times New Roman"/>
          <w:color w:val="000000" w:themeColor="text1"/>
          <w:sz w:val="16"/>
          <w:szCs w:val="16"/>
          <w:lang w:eastAsia="ru-RU"/>
        </w:rPr>
        <w:t xml:space="preserve"> с японцами, но он борется только с самими коммунистами. </w:t>
      </w:r>
      <w:r w:rsidRPr="00C33834">
        <w:rPr>
          <w:rFonts w:ascii="Times New Roman" w:eastAsia="Times New Roman" w:hAnsi="Times New Roman"/>
          <w:bCs/>
          <w:iCs/>
          <w:color w:val="000000" w:themeColor="text1"/>
          <w:sz w:val="16"/>
          <w:szCs w:val="16"/>
          <w:lang w:eastAsia="ru-RU"/>
        </w:rPr>
        <w:t>Чэнь Бо-Да «Чан Кай-Ши — враг китайского народа», М., ИИЛ, 1950:</w:t>
      </w:r>
    </w:p>
    <w:p w14:paraId="442285E8" w14:textId="77777777" w:rsidR="003E25C3" w:rsidRPr="00C33834" w:rsidRDefault="003E25C3"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bCs/>
          <w:color w:val="000000" w:themeColor="text1"/>
          <w:sz w:val="16"/>
          <w:szCs w:val="16"/>
          <w:lang w:eastAsia="ru-RU"/>
        </w:rPr>
        <w:t>«</w:t>
      </w:r>
      <w:r w:rsidRPr="00C33834">
        <w:rPr>
          <w:rFonts w:ascii="Times New Roman" w:eastAsia="Times New Roman" w:hAnsi="Times New Roman"/>
          <w:color w:val="000000" w:themeColor="text1"/>
          <w:sz w:val="16"/>
          <w:szCs w:val="16"/>
          <w:lang w:eastAsia="ru-RU"/>
        </w:rPr>
        <w:t>17 января (1933)</w:t>
      </w:r>
      <w:r w:rsidRPr="00C33834">
        <w:rPr>
          <w:rFonts w:ascii="Times New Roman" w:eastAsia="Times New Roman" w:hAnsi="Times New Roman"/>
          <w:bCs/>
          <w:color w:val="000000" w:themeColor="text1"/>
          <w:sz w:val="16"/>
          <w:szCs w:val="16"/>
          <w:lang w:eastAsia="ru-RU"/>
        </w:rPr>
        <w:t xml:space="preserve"> Мао Цзе-дун и Чжу Дэ опубликовали декларацию, в которой выразили желание сообща со всеми войсками страны выступить для отпора японским захватчикам.» (17325)</w:t>
      </w:r>
    </w:p>
    <w:p w14:paraId="7B77EF57" w14:textId="77777777" w:rsidR="003E25C3" w:rsidRPr="00C33834" w:rsidRDefault="003E25C3" w:rsidP="00C33834">
      <w:pPr>
        <w:spacing w:after="0" w:line="240" w:lineRule="auto"/>
        <w:jc w:val="both"/>
        <w:rPr>
          <w:rFonts w:ascii="Times New Roman" w:hAnsi="Times New Roman"/>
          <w:color w:val="000000" w:themeColor="text1"/>
          <w:sz w:val="16"/>
          <w:szCs w:val="16"/>
        </w:rPr>
      </w:pPr>
    </w:p>
    <w:p w14:paraId="4325E98C" w14:textId="77777777" w:rsidR="003E25C3" w:rsidRPr="00C33834" w:rsidRDefault="003E25C3" w:rsidP="00C33834">
      <w:pPr>
        <w:spacing w:after="0" w:line="240" w:lineRule="auto"/>
        <w:jc w:val="both"/>
        <w:rPr>
          <w:rFonts w:ascii="Times New Roman" w:hAnsi="Times New Roman"/>
          <w:bCs/>
          <w:color w:val="000000" w:themeColor="text1"/>
          <w:sz w:val="16"/>
          <w:szCs w:val="16"/>
        </w:rPr>
      </w:pPr>
      <w:r w:rsidRPr="00C33834">
        <w:rPr>
          <w:rFonts w:ascii="Times New Roman" w:hAnsi="Times New Roman"/>
          <w:color w:val="000000" w:themeColor="text1"/>
          <w:sz w:val="16"/>
          <w:szCs w:val="16"/>
        </w:rPr>
        <w:t>17 января (1933)</w:t>
      </w:r>
      <w:r w:rsidRPr="00C33834">
        <w:rPr>
          <w:rFonts w:ascii="Times New Roman" w:hAnsi="Times New Roman"/>
          <w:bCs/>
          <w:color w:val="000000" w:themeColor="text1"/>
          <w:sz w:val="16"/>
          <w:szCs w:val="16"/>
        </w:rPr>
        <w:t xml:space="preserve"> Гитлер разместил в берлинском отеле «Кайзерхоф» свою штаб-квартиру со всем эскортом и советниками. Но только приближенные знали, с кем именно ведутся переговоры, какие решения принимаются и кто поддерживает его претензии на пост канцлера. Геббельса же отправили в Мюнхен для подготовки к работе нового ведомства — министерства пропаганды, и он записал в дневнике: «От волнения не нахожу себе места, ибо в Берлине события развиваются быстро и неотвратимо». А в субботу, 28 января, сотрудники «коричневого дома» узнали, что канцлер Шлейхер ушел в отставку. Кто займет его место? Утром в понедельник, 30 января, Гитлер прибыл в президентский дворец в сопровождении Папена, Гугенберга, друзей-партийцев Флика и Геринга и прочих деятелей — словом, со свитой потенциальных министров. Сотрудники «коричневого дома» сидели в кабинетах без дела, не в силах заниматься повседневной работой. Партия никогда не была так близка к власти. Пытаясь погасить нервное напряжение, они выглядывали в окна и видели все тот же противный пасмурный зимний день и понурых прохожих, не задумывавшихся, что в эти часы решались их судьбы. Ровно в полдень раздался звонок из Берлина, положивший конец волнениям: Гитлер стал канцлером. По зданию загромыхали сапоги, захлопали двери, весть разносилась по «коричневому дому», вздымая шквал ликования, радостного смеха, объятий, рукопожатий, заставляя забыть о соперничестве и вражде. Они победили! Пора браться за дело!»(17325).</w:t>
      </w:r>
    </w:p>
    <w:p w14:paraId="207D6CF6" w14:textId="77777777" w:rsidR="003E25C3" w:rsidRPr="00C33834" w:rsidRDefault="003E25C3" w:rsidP="00C33834">
      <w:pPr>
        <w:spacing w:after="0" w:line="240" w:lineRule="auto"/>
        <w:jc w:val="both"/>
        <w:rPr>
          <w:rFonts w:ascii="Times New Roman" w:hAnsi="Times New Roman"/>
          <w:color w:val="000000" w:themeColor="text1"/>
          <w:sz w:val="16"/>
          <w:szCs w:val="16"/>
        </w:rPr>
      </w:pPr>
    </w:p>
    <w:p w14:paraId="06C9EFB0" w14:textId="77777777" w:rsidR="00DF28E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BFCF002" w14:textId="77777777" w:rsidR="00DF28E3" w:rsidRPr="00C33834" w:rsidRDefault="00DF28E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19031A1"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18-20 января 1933г Вторичное посещение ГДЛ руководством и специалистами ГИРД из Москвы (11330).</w:t>
      </w:r>
    </w:p>
    <w:p w14:paraId="13CCAA1C"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p>
    <w:p w14:paraId="2DA6A5A1" w14:textId="77777777" w:rsidR="00DF28E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D2CCBF8" w14:textId="77777777" w:rsidR="00DF28E3" w:rsidRPr="00C33834" w:rsidRDefault="00DF28E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A99CD4F"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января 1933 Зам. НКВМ Тухачевский писал Нач. ГУАП П.И.Б. письмо N 157178:</w:t>
      </w:r>
    </w:p>
    <w:p w14:paraId="29663AA0"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"Конструктор ЦАГИ и Камов разработал эскизный проект "Летающего танка Вертолета". Это предложение представляет большой интерес с военной точки зрения, т.к. решает проблему о летающем танке с исключительной полнотой.</w:t>
      </w:r>
    </w:p>
    <w:p w14:paraId="51E3C751"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того, что наиболее сложный и большой объем работ падает на авиационную часть, то реализацию этого предложения (в части разработки общего проекта) целесообразнее провести в ЦАГИ.</w:t>
      </w:r>
    </w:p>
    <w:p w14:paraId="2A625B4C"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Прошу дать распоряжение Нач. ЦАГИ о создании спец. КГ 6-8 чел. под руководством т. Камова для разработки проекта.</w:t>
      </w:r>
    </w:p>
    <w:p w14:paraId="1A554987"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 своей стороны, УММ обеспечивает необходимую консультацию по конструкции танка. Все расходы по выполнению указанной работы оплачиваются Управлением Механизации и Моторизации РККА." (2305,16).</w:t>
      </w:r>
    </w:p>
    <w:p w14:paraId="54F28E7E"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p>
    <w:p w14:paraId="7851586E"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января 1933 УММ выдало задание КБ под руководством Рафаэлянца на разработку проекта летающего танка. За месяц разработали силами 9 конструкторов ЦАГИ и завода 9. Проект заключался в подвеске БТ к безмоторному самолету. При посадке танк с экипажем отделялся от крыльев. При разработке рассмотрели еще два варианта: Добровольского и Самсонова и Камова. Самсонов и Добровольский предусмотрели гидравлическую передачу на винт, а Камов предложил автожир (3879,36).</w:t>
      </w:r>
    </w:p>
    <w:p w14:paraId="63BA59F0"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p>
    <w:p w14:paraId="7F192E44" w14:textId="77777777" w:rsidR="00254098" w:rsidRPr="00C33834" w:rsidRDefault="0025409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января 1933 года конструкторскому бюро под руководством А.Н. Рафаэлянца было выдано задание на разработку проекта полноценного летающего танка. Спустя месяц проект был готов». Если это не ошибка в дате, то речь, видимо, может идти о задании на доработанный проект. До постройки аппарата Рафаэлянца и Никитина дело не дошло (19165).</w:t>
      </w:r>
    </w:p>
    <w:p w14:paraId="0410DDFE" w14:textId="77777777" w:rsidR="00254098" w:rsidRPr="00C33834" w:rsidRDefault="00254098" w:rsidP="00C33834">
      <w:pPr>
        <w:spacing w:after="0" w:line="240" w:lineRule="auto"/>
        <w:jc w:val="both"/>
        <w:rPr>
          <w:rFonts w:ascii="Times New Roman" w:hAnsi="Times New Roman"/>
          <w:color w:val="000000" w:themeColor="text1"/>
          <w:sz w:val="16"/>
          <w:szCs w:val="16"/>
        </w:rPr>
      </w:pPr>
    </w:p>
    <w:p w14:paraId="16211359"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C 19 января по 29 ноября 1933 прошли гос. испытания АПК-4 с перезаряжанием системы Легчакова, установленных парой на самолете "Z" N 39004.</w:t>
      </w:r>
    </w:p>
    <w:p w14:paraId="0DEFE80B"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Место испытаний - Щелковский аэродром и Ногинский полигон (стрельба). В ходе испытаний представилась возможность производить стрельбу над Щелковским аэродромом.</w:t>
      </w:r>
    </w:p>
    <w:p w14:paraId="47A5B601"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Лагутин.</w:t>
      </w:r>
    </w:p>
    <w:p w14:paraId="3B440D32"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3CBAFFEC"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Выявить эксплуатационные особенности АПК-4 с перезаряжанием сист. Легчакова при стрельбе в воздухе.</w:t>
      </w:r>
    </w:p>
    <w:p w14:paraId="6CF8C285"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Установить работу автоматики системы при различных эволюциях самолета.</w:t>
      </w:r>
    </w:p>
    <w:p w14:paraId="1E4B5497"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Определить влияние стрельбы на мат. часть самолета.</w:t>
      </w:r>
    </w:p>
    <w:p w14:paraId="4AF8EA77"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Выявить преимущества в системе перезаряжания Легчакова перед другими самолетами.</w:t>
      </w:r>
    </w:p>
    <w:p w14:paraId="4A47A741"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 Испытания проводились в основном по той же программе, что и система Курчевского в целях сравнения этих систем.</w:t>
      </w:r>
    </w:p>
    <w:p w14:paraId="39E84227"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1E3EAE55"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отработки система может быть передана на войсковые испытания (3083).</w:t>
      </w:r>
    </w:p>
    <w:p w14:paraId="65B2B663"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p>
    <w:p w14:paraId="140BE70F" w14:textId="77777777" w:rsidR="00DF28E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7ABDDED" w14:textId="77777777" w:rsidR="00DF28E3" w:rsidRPr="00C33834" w:rsidRDefault="00DF28E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76D9EC6"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января 1933 закончились испытания телеуправляемых танков ТТ-18 (телеуправляемый танк - индекс, присвоенный в 1934), ТТ-26 и ТТ-27 в специальном отряде N 4 ЛВО. Выбирали для дальнейшего серийного производства. Испытания продолжались 8 дней и были повторены в октябре 1933. ТТ-18, на котором стояла 16 командная аппаратура системы Остехбюро 1932 дальностью до 1.5 км (реально 500-1000 в хорошую погоду), не прошел (4243,25).</w:t>
      </w:r>
    </w:p>
    <w:p w14:paraId="1370C4F5"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p>
    <w:p w14:paraId="6840B93A"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января 1933 совещание ГАУ решило повысить огневую и ударную мощь моторизованных и танковых частей за счет самоходной артиллерии (1073,217).</w:t>
      </w:r>
    </w:p>
    <w:p w14:paraId="160ED830"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p>
    <w:p w14:paraId="5288756A" w14:textId="77777777" w:rsidR="00DF28E3"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580D4464" w14:textId="77777777" w:rsidR="00DF28E3" w:rsidRPr="00C33834" w:rsidRDefault="00DF28E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00584DA"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19 января 1933 г. командующий войсками Среднеазиатского округа докладывал председателю Реввоенсовета: "Состояние самолетов Р-3 с моторами "Лорен Дитрих", находящихся на вооружении в авиачастях вверенного мне округа, в силу изношенности таково, что может обеспечить боевую подготовку... только на 1933 г.". Р-ЗЛД постепенно списывались, но старые самолеты еще принимали участие в операциях. На 1 января 1933 г. в САВО имелось 68 машин, 39 из которых могли подняться в воздух. Примерно в таком же состоянии парк 16-й бригады пребывал и в конце года (11985). </w:t>
      </w:r>
    </w:p>
    <w:p w14:paraId="3EC64E7A"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p>
    <w:p w14:paraId="58BD6966" w14:textId="77777777" w:rsidR="00DF28E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7581480A" w14:textId="77777777" w:rsidR="00DF28E3" w:rsidRPr="00C33834" w:rsidRDefault="00DF28E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BB5AD9A"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января 1933 был осуществлен возврат к системе обязательных поставок колхозами зерна государству по ценам и в объемах, установленных планом (1348,200).</w:t>
      </w:r>
    </w:p>
    <w:p w14:paraId="03D1E476"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p>
    <w:p w14:paraId="26362B8E"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19 января 1933 вышло Постановление СНК СССР и ЦК ВКП(б) "Об обязательной поставке зерна государству колхозами и единоличными хозяйствами" (10687).</w:t>
      </w:r>
    </w:p>
    <w:p w14:paraId="0731B244"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p>
    <w:p w14:paraId="18909FB7"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января 1933 года Г. Г. ЯГОДА подписал приказ ОГПУ № 7:</w:t>
      </w:r>
    </w:p>
    <w:p w14:paraId="7F4BEE1E"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«Постановлением Правительства на ОГПУ возложено строительство Байкало-Амурской железной дороги, имеющей большое хозяйственное и оборонное значение.</w:t>
      </w:r>
    </w:p>
    <w:p w14:paraId="1EFAEF69"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Одним из важнейших условий успешного выполнения этой ответственной и трудной задачи является укрепление руководящего состава Байкало-Амурского лагеря ОГПУ чекистскими кадрами.</w:t>
      </w:r>
    </w:p>
    <w:p w14:paraId="1BBF4206"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Чекисты не раз показали себя энтузиастами в тяжелых условиях работы отдаленных лагерей ОГПУ.</w:t>
      </w:r>
    </w:p>
    <w:p w14:paraId="1354A079"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Новый лагерь под руководством чекистов, так же как и другие лагеря, должен полностью и в установленный срок выполнить данное ему задание, несмотря на все трудности и суровую обстановку строительства.</w:t>
      </w:r>
    </w:p>
    <w:p w14:paraId="309CEF97"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этого требуются работники, добровольно желающие работать в Бамлаге.</w:t>
      </w:r>
    </w:p>
    <w:p w14:paraId="0FA03F16"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Приказываю:</w:t>
      </w:r>
    </w:p>
    <w:p w14:paraId="11A0F08F"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Открыть запись добровольцев из числа оперативных работников для ответственной работы в Бамлаге ОГПУ.</w:t>
      </w:r>
    </w:p>
    <w:p w14:paraId="66394EF3"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Из числа добровольно записавшихся, ОК [Отделу кадров] ОГПУ произвести тщательный отбор кандидатов в Бамлаг, морально устойчивых, дисциплинированных и годных по состоянию здоровья для работы в особоотдаленных местностях.</w:t>
      </w:r>
    </w:p>
    <w:p w14:paraId="3F96B88A"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ОК ПП [отделам кадров полномочных представительств] всю работу по вербовке добровольцев закончить к 15.02.33, не позднее 20.02.33 представить в ОК ОГПУ на всех добровольцев личные дела, достаточные аттестации и мед. акты.</w:t>
      </w:r>
    </w:p>
    <w:p w14:paraId="14324E11"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Порядок и сроки направления добровольцев установить ОК ОГПУ по рассмотрении и утверждении кандидатов.</w:t>
      </w:r>
    </w:p>
    <w:p w14:paraId="68E9A409"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пред. ОГПУ</w:t>
      </w:r>
    </w:p>
    <w:p w14:paraId="6646E082"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Ягода» (7560).</w:t>
      </w:r>
    </w:p>
    <w:p w14:paraId="481FC301" w14:textId="77777777" w:rsidR="00DF28E3" w:rsidRPr="00C33834" w:rsidRDefault="00DF28E3" w:rsidP="00C33834">
      <w:pPr>
        <w:autoSpaceDE w:val="0"/>
        <w:autoSpaceDN w:val="0"/>
        <w:adjustRightInd w:val="0"/>
        <w:spacing w:after="0" w:line="240" w:lineRule="auto"/>
        <w:jc w:val="both"/>
        <w:rPr>
          <w:rFonts w:ascii="Times New Roman" w:hAnsi="Times New Roman"/>
          <w:color w:val="000000" w:themeColor="text1"/>
          <w:sz w:val="16"/>
          <w:szCs w:val="16"/>
        </w:rPr>
      </w:pPr>
    </w:p>
    <w:p w14:paraId="0AB8F155" w14:textId="77777777" w:rsidR="00373B27" w:rsidRPr="00C33834" w:rsidRDefault="00373B2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19 января 1933 года газета «Вечерняя Москва» сообщила о первых бытовых солнечных батареях, установленных в СССР в Ташкенте, «в первом в Союзе Доме Солнца».</w:t>
      </w:r>
    </w:p>
    <w:p w14:paraId="740EF064" w14:textId="77777777" w:rsidR="00373B27" w:rsidRPr="00C33834" w:rsidRDefault="00373B2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«Стоит этот дом в Ташкенте, на окраине города, в зелени фруктовых деревьев. В первом в Союзе Доме Солнца — два первых жильца, товарищи Трофимов и Фаздев, молодые советские ученые. В 1928 году Ташкентская геофизическая лаборатория приступила к испытанию солнечной энергии. &lt;…&gt; Тов. Фаздев говорит, что для семьи в 5 – 6 человек достаточно установить раму в 1 квадратный метр. Это будет стоить 20 – 30 рублей. 18-ведерная рама три года назад составляла всю актинометрическую (от слова актис – луч) лабораторию молодых ученых и была единственной в Союзе. Сейчас по городам Союза уже 8 таких рам. &lt;…&gt; Достижения гелиотехников могут стать достоянием масс. Мы должны сделаться, если можно так сказать, солнцелюбителями». (21175).</w:t>
      </w:r>
    </w:p>
    <w:p w14:paraId="7C29141A" w14:textId="77777777" w:rsidR="00373B27" w:rsidRPr="00C33834" w:rsidRDefault="00373B27" w:rsidP="00C33834">
      <w:pPr>
        <w:spacing w:after="0" w:line="240" w:lineRule="auto"/>
        <w:jc w:val="both"/>
        <w:rPr>
          <w:rFonts w:ascii="Times New Roman" w:hAnsi="Times New Roman"/>
          <w:color w:val="0070C0"/>
          <w:sz w:val="16"/>
          <w:szCs w:val="16"/>
        </w:rPr>
      </w:pPr>
    </w:p>
    <w:p w14:paraId="0588C6CC" w14:textId="77777777" w:rsidR="00E372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B3F33E2" w14:textId="77777777" w:rsidR="00E37239" w:rsidRPr="00C33834" w:rsidRDefault="00E37239" w:rsidP="00C33834">
      <w:pPr>
        <w:spacing w:after="0" w:line="240" w:lineRule="auto"/>
        <w:jc w:val="both"/>
        <w:rPr>
          <w:rFonts w:ascii="Times New Roman" w:hAnsi="Times New Roman"/>
          <w:iCs/>
          <w:color w:val="000000" w:themeColor="text1"/>
          <w:sz w:val="16"/>
          <w:szCs w:val="16"/>
        </w:rPr>
      </w:pPr>
    </w:p>
    <w:p w14:paraId="72B652A5" w14:textId="77777777" w:rsidR="00254098" w:rsidRPr="00C33834" w:rsidRDefault="0025409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января 1933 г. осуществлен первый опытный полет самолета АНТ-6 (ТБ-3) с подвешенной танкеткой Т-27. Экипаж самолета – летчики Ф.Е. Болотов, А.А. Фердоров, старший бортмеханик С.П. Чернокожий и начальник Остехбюро В.И. Бекаури (18667).</w:t>
      </w:r>
    </w:p>
    <w:p w14:paraId="578D735C" w14:textId="77777777" w:rsidR="00254098" w:rsidRPr="00C33834" w:rsidRDefault="00254098" w:rsidP="00C33834">
      <w:pPr>
        <w:spacing w:after="0" w:line="240" w:lineRule="auto"/>
        <w:jc w:val="both"/>
        <w:rPr>
          <w:rFonts w:ascii="Times New Roman" w:hAnsi="Times New Roman"/>
          <w:color w:val="000000" w:themeColor="text1"/>
          <w:sz w:val="16"/>
          <w:szCs w:val="16"/>
        </w:rPr>
      </w:pPr>
    </w:p>
    <w:p w14:paraId="688F6E2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января 1933 года начальник 7 сектора НИИ ВВС Горощенко писал письмо N 2/092c начальнику штаба ВВС, начальнику вооружения ВВС, директору завода N 39.</w:t>
      </w:r>
    </w:p>
    <w:p w14:paraId="6181D74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Отчет по испытанию головного серийного самолета ТБ3 N 3901 с 4 моторами М-17, Е=7,3 постройки завода N 39</w:t>
      </w:r>
    </w:p>
    <w:p w14:paraId="4D2CF4C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50B7F17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вед. испытания - Рязанов</w:t>
      </w:r>
    </w:p>
    <w:p w14:paraId="3BB6C39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 Стефановский</w:t>
      </w:r>
    </w:p>
    <w:p w14:paraId="6D7A202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0130E0D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Определить в какой мере головной серийный самолет постройки завода N 39 удовлетворяет техническим условиям на поставку самолетов ТБ3.</w:t>
      </w:r>
    </w:p>
    <w:p w14:paraId="4B2DB1F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3311ADE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Головной самолет ТБ3 4М17 первой серии постройки завода N 39 по своему конструктивному и производственному выполнению, по состоянию вооружения и оборудования, по своим летным и эксплуатационным данным техническим условиям на постройку самолетов ТБ3 вполне удовлетворяет.</w:t>
      </w:r>
    </w:p>
    <w:p w14:paraId="4849FD7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получен от военной приемки 39 завода 5 декабря 1932 года</w:t>
      </w:r>
    </w:p>
    <w:p w14:paraId="598DAA0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начато 7 декабря 1932 года</w:t>
      </w:r>
    </w:p>
    <w:p w14:paraId="2AC19D2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закончено 23 декабря 1932 года</w:t>
      </w:r>
    </w:p>
    <w:p w14:paraId="60B782C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испытание проведено в 17 календарных дней, летных дней 5.</w:t>
      </w:r>
    </w:p>
    <w:p w14:paraId="7B20749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налетал за 5 дней 12 час. 15 мин. (3899,1-38).</w:t>
      </w:r>
    </w:p>
    <w:p w14:paraId="27269BF4" w14:textId="77777777" w:rsidR="00E37239" w:rsidRPr="00C33834" w:rsidRDefault="00E37239" w:rsidP="00C33834">
      <w:pPr>
        <w:spacing w:after="0" w:line="240" w:lineRule="auto"/>
        <w:jc w:val="both"/>
        <w:rPr>
          <w:rFonts w:ascii="Times New Roman" w:hAnsi="Times New Roman"/>
          <w:color w:val="000000" w:themeColor="text1"/>
          <w:sz w:val="16"/>
          <w:szCs w:val="16"/>
        </w:rPr>
      </w:pPr>
    </w:p>
    <w:p w14:paraId="77939AB0" w14:textId="77777777" w:rsidR="00F8249C" w:rsidRPr="00C33834" w:rsidRDefault="00F8249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20 января 1933 г. осуществлен первый опытный полет самолета АНТ-6 (ТБ-3) с подвешенной танкеткой Т-27. Экипаж самолета – летчики Ф.Е. Болотов, А.А. Фердоров, старший бортмеханик С.П. Чернокожий и начальник Остехбюро В.И. Бекаури (22288).</w:t>
      </w:r>
    </w:p>
    <w:p w14:paraId="74A250F0" w14:textId="77777777" w:rsidR="00F8249C" w:rsidRPr="00C33834" w:rsidRDefault="00F8249C" w:rsidP="00C33834">
      <w:pPr>
        <w:spacing w:after="0" w:line="240" w:lineRule="auto"/>
        <w:jc w:val="both"/>
        <w:rPr>
          <w:rFonts w:ascii="Times New Roman" w:hAnsi="Times New Roman"/>
          <w:color w:val="0070C0"/>
          <w:sz w:val="16"/>
          <w:szCs w:val="16"/>
        </w:rPr>
      </w:pPr>
    </w:p>
    <w:p w14:paraId="0F39AF4B" w14:textId="77777777" w:rsidR="00E372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30686F2" w14:textId="77777777" w:rsidR="00E37239" w:rsidRPr="00C33834" w:rsidRDefault="00E37239" w:rsidP="00C33834">
      <w:pPr>
        <w:spacing w:after="0" w:line="240" w:lineRule="auto"/>
        <w:jc w:val="both"/>
        <w:rPr>
          <w:rFonts w:ascii="Times New Roman" w:hAnsi="Times New Roman"/>
          <w:iCs/>
          <w:color w:val="000000" w:themeColor="text1"/>
          <w:sz w:val="16"/>
          <w:szCs w:val="16"/>
        </w:rPr>
      </w:pPr>
    </w:p>
    <w:p w14:paraId="4E675B2F" w14:textId="77777777" w:rsidR="00F8249C" w:rsidRPr="00C33834" w:rsidRDefault="00F8249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20 января 1933 - Первый полет истребителя Boeing P-29. Этот самолет был попыткой создать более продвинутую версию успешного P-26. Хотя в ходе работ были достигнуты некоторые успехи Авиационный корпус Армии США не стал заказывать самолет (22652).</w:t>
      </w:r>
    </w:p>
    <w:p w14:paraId="6E21FD6D" w14:textId="77777777" w:rsidR="00F8249C" w:rsidRPr="00C33834" w:rsidRDefault="00F8249C" w:rsidP="00C33834">
      <w:pPr>
        <w:spacing w:after="0" w:line="240" w:lineRule="auto"/>
        <w:jc w:val="both"/>
        <w:rPr>
          <w:rFonts w:ascii="Times New Roman" w:hAnsi="Times New Roman"/>
          <w:color w:val="0070C0"/>
          <w:sz w:val="16"/>
          <w:szCs w:val="16"/>
        </w:rPr>
      </w:pPr>
    </w:p>
    <w:p w14:paraId="1C73BC5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января 1933 Руководитель "Хеймвера" Штаремберг, выступая в Венском Концерт-хаузе заявил, что "Хеймвер готов поддержать любое правительство, которое разгонит парламент" (7444).</w:t>
      </w:r>
    </w:p>
    <w:p w14:paraId="1F0C576E" w14:textId="77777777" w:rsidR="00E37239" w:rsidRPr="00C33834" w:rsidRDefault="00E37239" w:rsidP="00C33834">
      <w:pPr>
        <w:spacing w:after="0" w:line="240" w:lineRule="auto"/>
        <w:jc w:val="both"/>
        <w:rPr>
          <w:rFonts w:ascii="Times New Roman" w:hAnsi="Times New Roman"/>
          <w:color w:val="000000" w:themeColor="text1"/>
          <w:sz w:val="16"/>
          <w:szCs w:val="16"/>
        </w:rPr>
      </w:pPr>
    </w:p>
    <w:p w14:paraId="3782CEEF" w14:textId="77777777" w:rsidR="00E372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049749A" w14:textId="77777777" w:rsidR="00E37239" w:rsidRPr="00C33834" w:rsidRDefault="00E37239" w:rsidP="00C33834">
      <w:pPr>
        <w:spacing w:after="0" w:line="240" w:lineRule="auto"/>
        <w:jc w:val="both"/>
        <w:rPr>
          <w:rFonts w:ascii="Times New Roman" w:hAnsi="Times New Roman"/>
          <w:iCs/>
          <w:color w:val="000000" w:themeColor="text1"/>
          <w:sz w:val="16"/>
          <w:szCs w:val="16"/>
        </w:rPr>
      </w:pPr>
    </w:p>
    <w:p w14:paraId="0D0B004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января 1933 на ХАИ-1 была отмечена скорость 292 км/ч (1076,625).</w:t>
      </w:r>
    </w:p>
    <w:p w14:paraId="7A157BF3" w14:textId="77777777" w:rsidR="00E37239" w:rsidRPr="00C33834" w:rsidRDefault="00E37239" w:rsidP="00C33834">
      <w:pPr>
        <w:spacing w:after="0" w:line="240" w:lineRule="auto"/>
        <w:jc w:val="both"/>
        <w:rPr>
          <w:rFonts w:ascii="Times New Roman" w:hAnsi="Times New Roman"/>
          <w:color w:val="000000" w:themeColor="text1"/>
          <w:sz w:val="16"/>
          <w:szCs w:val="16"/>
        </w:rPr>
      </w:pPr>
    </w:p>
    <w:p w14:paraId="25411E4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января 1933 года начальник ВВС Наумов писал письмо председателю РВС</w:t>
      </w:r>
    </w:p>
    <w:p w14:paraId="4E334D2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состоянии работ по реализации изобретения инженера Вахмистрова "Самолет Звено".</w:t>
      </w:r>
    </w:p>
    <w:p w14:paraId="2123B65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Госиспытания самолета "ЗВЕНО" инженера Вахмистрова (установка на самолет ТБ1-2М17 двух самолетов И4-М22) показали, что использование двух истребителей на крыльях бомбовоза повышает грузоподъемность последнего, радиус его действия и потолок. Параллельно бомбовоз получает в тылу у противника защиту в виде своих одноместных истребителей, радиус действия которых удваивается.</w:t>
      </w:r>
    </w:p>
    <w:p w14:paraId="721649D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Вышеуказанные преимущества, открывающие широкие перспективы по усилению боевой эффективности бомбардировщиков, потребовали развития изобретения Вахмистрова путем поведения ряда новых работ. Состояние последних в настоящее время нижеследующее:</w:t>
      </w:r>
    </w:p>
    <w:p w14:paraId="5C1CC0EF" w14:textId="77777777" w:rsidR="00E37239" w:rsidRPr="00C33834" w:rsidRDefault="00E37239" w:rsidP="00C33834">
      <w:pPr>
        <w:numPr>
          <w:ilvl w:val="0"/>
          <w:numId w:val="2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Находится в постройке (в ЦАГИ) оборудование для пяти самолетов Звено 1 (соединен. ТБ1 с двумя И4). Срок готовности начало апреля 1933 года.</w:t>
      </w:r>
    </w:p>
    <w:p w14:paraId="56227142" w14:textId="77777777" w:rsidR="00E37239" w:rsidRPr="00C33834" w:rsidRDefault="00E37239" w:rsidP="00C33834">
      <w:pPr>
        <w:numPr>
          <w:ilvl w:val="0"/>
          <w:numId w:val="2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Спроектировано и находится в постройке оборудование для самолета Звено 2 (соединен. самолета ТБ3-4М17 с тремя самолетами И5-М22). Срок готовности апрель 1933 года.</w:t>
      </w:r>
    </w:p>
    <w:p w14:paraId="025FC20E" w14:textId="77777777" w:rsidR="00E37239" w:rsidRPr="00C33834" w:rsidRDefault="00E37239" w:rsidP="00C33834">
      <w:pPr>
        <w:numPr>
          <w:ilvl w:val="0"/>
          <w:numId w:val="3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Заканчивается проектирование оборудования для самолета Звено 3 (соединение самолета ТБ3-4М17 с пятью истребителями, тремя И5-М22, расположенных на крвыльях и двумя И-ЗЕТ, расположенными под крыльями). Срок выхода из производства – май 1933 года.</w:t>
      </w:r>
    </w:p>
    <w:p w14:paraId="2EA434BB" w14:textId="77777777" w:rsidR="00E37239" w:rsidRPr="00C33834" w:rsidRDefault="00E37239" w:rsidP="00C33834">
      <w:pPr>
        <w:numPr>
          <w:ilvl w:val="0"/>
          <w:numId w:val="3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Разработана методика и находится в проектировании приспособление для посадки в воздухе самолета И5-М22 на самолет ТБ3-4М17. Срок выхода из производства май 1933 года.</w:t>
      </w:r>
    </w:p>
    <w:p w14:paraId="6C87B2C4" w14:textId="77777777" w:rsidR="00E37239" w:rsidRPr="00C33834" w:rsidRDefault="00E37239" w:rsidP="00C33834">
      <w:pPr>
        <w:numPr>
          <w:ilvl w:val="0"/>
          <w:numId w:val="3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Ведется предварительная разработка вопроса о создании специальных самолетов, вытекающих из принципа и соединения самолетов в воздухе, а именно самолета тягача, сверхскоростного истребителя и воздушной авиаматки.</w:t>
      </w:r>
    </w:p>
    <w:p w14:paraId="2CE1E8F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перечисленные работы производятся под руководством инженера НИИ ВВС Вахмистрова в специальной группе выделенной ЦАГИ.</w:t>
      </w:r>
    </w:p>
    <w:p w14:paraId="71B3049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Достигнутые уже в настоящее время результаты и проведенное разворачивание работ дает уверенность в том, что летом 1933 года будет получен ряд новых достижений в области применения идеи самолета "ЗВЕНА" особенно ценной тем, что за границей она совершенно не использована (7486, 90).</w:t>
      </w:r>
    </w:p>
    <w:p w14:paraId="7BC45C9C" w14:textId="77777777" w:rsidR="00E37239" w:rsidRPr="00C33834" w:rsidRDefault="00E37239" w:rsidP="00C33834">
      <w:pPr>
        <w:spacing w:after="0" w:line="240" w:lineRule="auto"/>
        <w:jc w:val="both"/>
        <w:rPr>
          <w:rFonts w:ascii="Times New Roman" w:hAnsi="Times New Roman"/>
          <w:color w:val="000000" w:themeColor="text1"/>
          <w:sz w:val="16"/>
          <w:szCs w:val="16"/>
        </w:rPr>
      </w:pPr>
    </w:p>
    <w:p w14:paraId="3721D6C4" w14:textId="77777777" w:rsidR="00296374" w:rsidRPr="00C33834" w:rsidRDefault="00296374"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21 января 1933 в письме начальника ВВС «О состоянии работ по реализации изобретения инженера Вахмистрова» в правительство сообщалось:</w:t>
      </w:r>
    </w:p>
    <w:p w14:paraId="2838EE0D" w14:textId="77777777" w:rsidR="00296374" w:rsidRPr="00C33834" w:rsidRDefault="00296374"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lastRenderedPageBreak/>
        <w:t>«1. Находится в постройке (в ЦАГИ) оборудование для пяти самолётов Звено 1 (соединение ТБ1 с двумя И4). Срок готовности — начало апреля 1933 года.</w:t>
      </w:r>
    </w:p>
    <w:p w14:paraId="2B114230" w14:textId="77777777" w:rsidR="00296374" w:rsidRPr="00C33834" w:rsidRDefault="00296374"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2. Спроектировано и находится в постройке оборудование для самолёта Звено 2 (соединение самолёта ТБЗ-4М17 с тремя самолётами И5-М22). Срок готовности — апрель 1933 года.</w:t>
      </w:r>
    </w:p>
    <w:p w14:paraId="502500A1" w14:textId="77777777" w:rsidR="00296374" w:rsidRPr="00C33834" w:rsidRDefault="00296374"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3. Заканчивается проектирование оборудования для самолёта Звено 3 (соединение самолёта ТБЗ-4М17 с пятью истребителями: тремя И5-М22, расположенными на крыльях, и двумя И-ЗЕТ, расположенными под крыльями). Срок выхода из производства — май 1933 года.</w:t>
      </w:r>
    </w:p>
    <w:p w14:paraId="36960E7C" w14:textId="77777777" w:rsidR="00296374" w:rsidRPr="00C33834" w:rsidRDefault="00296374"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4. Разработана методика и находится в проектировании приспособление для посадки в воздухе самолёта И5-М22 на самолёт ТБЗ-4М17. Срок выхода из производства — май 1933 года.</w:t>
      </w:r>
    </w:p>
    <w:p w14:paraId="35B67766" w14:textId="77777777" w:rsidR="00296374" w:rsidRPr="00C33834" w:rsidRDefault="00296374"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5. Ведётся предварительная разработка вопроса о создании специальных самолётов, вытекающая из принципа соединения самолётов в воздухе, а именно самолёта-тягача, сверхскоростного истребителя и воздушной авиаматки.</w:t>
      </w:r>
    </w:p>
    <w:p w14:paraId="340F616B" w14:textId="77777777" w:rsidR="00296374" w:rsidRPr="00C33834" w:rsidRDefault="00296374"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Все перечисленные работы производятся под руководством инженера НИИ ВВС Вахмистрова в специальной группе, выделенной ЦАГИ» </w:t>
      </w:r>
      <w:hyperlink r:id="rId25" w:history="1">
        <w:r w:rsidRPr="00C33834">
          <w:rPr>
            <w:rFonts w:ascii="Times New Roman" w:eastAsia="Times New Roman" w:hAnsi="Times New Roman"/>
            <w:color w:val="000000" w:themeColor="text1"/>
            <w:sz w:val="16"/>
            <w:szCs w:val="16"/>
            <w:lang w:eastAsia="ru-RU"/>
          </w:rPr>
          <w:t>[80]</w:t>
        </w:r>
      </w:hyperlink>
      <w:r w:rsidRPr="00C33834">
        <w:rPr>
          <w:rFonts w:ascii="Times New Roman" w:eastAsia="Times New Roman" w:hAnsi="Times New Roman"/>
          <w:color w:val="000000" w:themeColor="text1"/>
          <w:sz w:val="16"/>
          <w:szCs w:val="16"/>
          <w:lang w:eastAsia="ru-RU"/>
        </w:rPr>
        <w:t xml:space="preserve"> (17489).</w:t>
      </w:r>
    </w:p>
    <w:p w14:paraId="4D1905C9" w14:textId="77777777" w:rsidR="00296374" w:rsidRPr="00C33834" w:rsidRDefault="00296374" w:rsidP="00C33834">
      <w:pPr>
        <w:spacing w:after="0" w:line="240" w:lineRule="auto"/>
        <w:jc w:val="both"/>
        <w:rPr>
          <w:rFonts w:ascii="Times New Roman" w:eastAsia="Times New Roman" w:hAnsi="Times New Roman"/>
          <w:color w:val="000000" w:themeColor="text1"/>
          <w:sz w:val="16"/>
          <w:szCs w:val="16"/>
          <w:lang w:eastAsia="ru-RU"/>
        </w:rPr>
      </w:pPr>
    </w:p>
    <w:p w14:paraId="53FFC78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21 января 1933 г. на заседании Ц. С. Осоавиахима была одобрена зародившаяся в 1930 г. у группы инженеров-общественников Ленинградского Осоавиахима (Чертовской, Федосеенко) постройки стратостата и было решено построить стратостат и совершить полет в стратосферу в 1933 г. </w:t>
      </w:r>
    </w:p>
    <w:p w14:paraId="1696B29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Никаких четких организационных указаний и степени ответственности лиц за это большое дело решением этим не определяется, а только указывается пунктом 6-м «просить шефскую комиссию по дирижаблестроению принять шефство над созданием аэростата и организации полета». </w:t>
      </w:r>
    </w:p>
    <w:p w14:paraId="2E4EA40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Руководитель шефской комиссии т. Ильин, на которого позднее приказами Ц. С. возлагалось руководство, сейчас пытается свести свою роль к роли «шефа» (заявление т. Ильина комиссии) и поэтому до сегодняшнего дня ответственным себя за недочеты не считает, хотя фактически является руководителем, видел все недочеты, но не добивался выполнения своих указаний, ограничиваясь формальной постановкой вопроса. </w:t>
      </w:r>
    </w:p>
    <w:p w14:paraId="19F6569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Отсутствие четких указаний при утверждении постройки и полета повело и в дальнейшем к отсутствию конкретного руководства, четкости и ответственности в процессе всего строительства. </w:t>
      </w:r>
    </w:p>
    <w:p w14:paraId="1A658AD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Дело постройки продолжал вести Ленинградский Облсовет Осоавиахима, создав у себя комитет по постройке и научно-консультационный совет. </w:t>
      </w:r>
    </w:p>
    <w:p w14:paraId="448D4B9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Вся работа велась обезличенно. Заседания этого совета велись эпизодически. Между заседаниями никто, кроме непосредственно заинтересованных в этом деле лиц (Чертовской — производитель работ и Федосеенко — начальник бригады по организации полета), проектов не утверждал и не визировал. </w:t>
      </w:r>
    </w:p>
    <w:p w14:paraId="7B9939F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Примерно в июне 1933 г., после выезда в Ленинград комиссии т. Ильина (обнаружившей обезличку в ходе постройки стратостата), решением президиума Леноблсовета наблюдение было возложено на Зам. пред. Лен. Осоавиахима т. Барандохина; но и эта мера не обеспечивала конкретного технического руководства, т. к. сейчас нельзя восстановить, кем же, кроме Федосеенко, утверждено изменение объема кубатуры оболочки, т. к. было решено вначале иметь ее объем в 20.000 м</w:t>
      </w:r>
      <w:r w:rsidRPr="00C33834">
        <w:rPr>
          <w:rFonts w:ascii="Times New Roman" w:hAnsi="Times New Roman"/>
          <w:color w:val="000000" w:themeColor="text1"/>
          <w:sz w:val="16"/>
          <w:szCs w:val="16"/>
          <w:vertAlign w:val="superscript"/>
        </w:rPr>
        <w:t>3</w:t>
      </w:r>
      <w:r w:rsidRPr="00C33834">
        <w:rPr>
          <w:rFonts w:ascii="Times New Roman" w:hAnsi="Times New Roman"/>
          <w:color w:val="000000" w:themeColor="text1"/>
          <w:sz w:val="16"/>
          <w:szCs w:val="16"/>
        </w:rPr>
        <w:t>, потом 22.000, а впоследствии 24.940 м</w:t>
      </w:r>
      <w:r w:rsidRPr="00C33834">
        <w:rPr>
          <w:rFonts w:ascii="Times New Roman" w:hAnsi="Times New Roman"/>
          <w:color w:val="000000" w:themeColor="text1"/>
          <w:sz w:val="16"/>
          <w:szCs w:val="16"/>
          <w:vertAlign w:val="superscript"/>
        </w:rPr>
        <w:t>3</w:t>
      </w:r>
      <w:r w:rsidRPr="00C33834">
        <w:rPr>
          <w:rFonts w:ascii="Times New Roman" w:hAnsi="Times New Roman"/>
          <w:color w:val="000000" w:themeColor="text1"/>
          <w:sz w:val="16"/>
          <w:szCs w:val="16"/>
        </w:rPr>
        <w:t xml:space="preserve">. </w:t>
      </w:r>
    </w:p>
    <w:p w14:paraId="4050AFD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Опыт конструкции стратостата СССР Ленинградской группой не использовался, а всякое указание явно игнорировалось. </w:t>
      </w:r>
    </w:p>
    <w:p w14:paraId="7276842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этой части надлежащего конкретного организационного руководства со стороны руководящих лиц Осоавиахима (Ильин, Барандохин) не было, и их утверждение, что все проводится без проверки, по существу только прикрывало самотек и самостийность действий конструкторов (11611).</w:t>
      </w:r>
    </w:p>
    <w:p w14:paraId="47B7A23B" w14:textId="77777777" w:rsidR="00E37239" w:rsidRPr="00C33834" w:rsidRDefault="00E37239" w:rsidP="00C33834">
      <w:pPr>
        <w:shd w:val="clear" w:color="auto" w:fill="FFFFFF"/>
        <w:spacing w:after="0" w:line="240" w:lineRule="auto"/>
        <w:jc w:val="both"/>
        <w:rPr>
          <w:rFonts w:ascii="Times New Roman" w:hAnsi="Times New Roman"/>
          <w:color w:val="000000" w:themeColor="text1"/>
          <w:sz w:val="16"/>
          <w:szCs w:val="16"/>
        </w:rPr>
      </w:pPr>
    </w:p>
    <w:p w14:paraId="6B573A4D" w14:textId="77777777" w:rsidR="00224D80" w:rsidRPr="00C33834" w:rsidRDefault="00224D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21 янва</w:t>
      </w:r>
      <w:r w:rsidRPr="00C33834">
        <w:rPr>
          <w:rFonts w:ascii="Times New Roman" w:hAnsi="Times New Roman"/>
          <w:color w:val="0070C0"/>
          <w:sz w:val="16"/>
          <w:szCs w:val="16"/>
        </w:rPr>
        <w:softHyphen/>
        <w:t>ря 1933 г. ЦС Осоавиахима одобрил инициативу ле</w:t>
      </w:r>
      <w:r w:rsidRPr="00C33834">
        <w:rPr>
          <w:rFonts w:ascii="Times New Roman" w:hAnsi="Times New Roman"/>
          <w:color w:val="0070C0"/>
          <w:sz w:val="16"/>
          <w:szCs w:val="16"/>
        </w:rPr>
        <w:softHyphen/>
        <w:t>нинградцев, и на заседании президиума принял решение построить стратостат «Осоавиахим-1» («ОАХ-1») для полёта в течение года. Было создано Бюро по постройке стратостата, преобразованное в мае 1933 г. в бригаду по строительству и эксплу</w:t>
      </w:r>
      <w:r w:rsidRPr="00C33834">
        <w:rPr>
          <w:rFonts w:ascii="Times New Roman" w:hAnsi="Times New Roman"/>
          <w:color w:val="0070C0"/>
          <w:sz w:val="16"/>
          <w:szCs w:val="16"/>
        </w:rPr>
        <w:softHyphen/>
        <w:t>атации стратостата, которую возглавил инже</w:t>
      </w:r>
      <w:r w:rsidRPr="00C33834">
        <w:rPr>
          <w:rFonts w:ascii="Times New Roman" w:hAnsi="Times New Roman"/>
          <w:color w:val="0070C0"/>
          <w:sz w:val="16"/>
          <w:szCs w:val="16"/>
        </w:rPr>
        <w:softHyphen/>
        <w:t>нер-пилот П.Ф. Федосеенко. В бригаду вошли: начальник работ — инженер Е.Е. Чертовской, старший инженер — А.Б. Васенко; руководи</w:t>
      </w:r>
      <w:r w:rsidRPr="00C33834">
        <w:rPr>
          <w:rFonts w:ascii="Times New Roman" w:hAnsi="Times New Roman"/>
          <w:color w:val="0070C0"/>
          <w:sz w:val="16"/>
          <w:szCs w:val="16"/>
        </w:rPr>
        <w:softHyphen/>
        <w:t>тель по внутреннему оборудованию — инженер Ю.К. Юцевич; руководитель по испытаниям — инженер К.С. Кирпичников; руководитель груп</w:t>
      </w:r>
      <w:r w:rsidRPr="00C33834">
        <w:rPr>
          <w:rFonts w:ascii="Times New Roman" w:hAnsi="Times New Roman"/>
          <w:color w:val="0070C0"/>
          <w:sz w:val="16"/>
          <w:szCs w:val="16"/>
        </w:rPr>
        <w:softHyphen/>
        <w:t>пы научно-полётной и аэронавигационной — В.Ю. Веспе; руководитель эксплуатационно-тех</w:t>
      </w:r>
      <w:r w:rsidRPr="00C33834">
        <w:rPr>
          <w:rFonts w:ascii="Times New Roman" w:hAnsi="Times New Roman"/>
          <w:color w:val="0070C0"/>
          <w:sz w:val="16"/>
          <w:szCs w:val="16"/>
        </w:rPr>
        <w:softHyphen/>
        <w:t>нической группы — Н.С. Дмитриев. Метеороло</w:t>
      </w:r>
      <w:r w:rsidRPr="00C33834">
        <w:rPr>
          <w:rFonts w:ascii="Times New Roman" w:hAnsi="Times New Roman"/>
          <w:color w:val="0070C0"/>
          <w:sz w:val="16"/>
          <w:szCs w:val="16"/>
        </w:rPr>
        <w:softHyphen/>
        <w:t>гическое обеспечение возлагалось на профессора П.А. Молчанова. Руководство научной програм</w:t>
      </w:r>
      <w:r w:rsidRPr="00C33834">
        <w:rPr>
          <w:rFonts w:ascii="Times New Roman" w:hAnsi="Times New Roman"/>
          <w:color w:val="0070C0"/>
          <w:sz w:val="16"/>
          <w:szCs w:val="16"/>
        </w:rPr>
        <w:softHyphen/>
        <w:t>мой полёта осуществлял академик А.Ф. Иоффе.</w:t>
      </w:r>
    </w:p>
    <w:p w14:paraId="0C6499DB" w14:textId="77777777" w:rsidR="00224D80" w:rsidRPr="00C33834" w:rsidRDefault="00224D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Тренировка экипажа и медицинская под</w:t>
      </w:r>
      <w:r w:rsidRPr="00C33834">
        <w:rPr>
          <w:rFonts w:ascii="Times New Roman" w:hAnsi="Times New Roman"/>
          <w:color w:val="0070C0"/>
          <w:sz w:val="16"/>
          <w:szCs w:val="16"/>
        </w:rPr>
        <w:softHyphen/>
        <w:t>готовка к полёту велась группой врачей Воен</w:t>
      </w:r>
      <w:r w:rsidRPr="00C33834">
        <w:rPr>
          <w:rFonts w:ascii="Times New Roman" w:hAnsi="Times New Roman"/>
          <w:color w:val="0070C0"/>
          <w:sz w:val="16"/>
          <w:szCs w:val="16"/>
        </w:rPr>
        <w:softHyphen/>
        <w:t>но-медицинской академии под руководством начальника кафедры физиологии академика Л.А. Орбели. Основные вопросы, связанные со строительством и подготовкой к полёту, реша</w:t>
      </w:r>
      <w:r w:rsidRPr="00C33834">
        <w:rPr>
          <w:rFonts w:ascii="Times New Roman" w:hAnsi="Times New Roman"/>
          <w:color w:val="0070C0"/>
          <w:sz w:val="16"/>
          <w:szCs w:val="16"/>
        </w:rPr>
        <w:softHyphen/>
        <w:t>лись Консультационным советом, составленным из представителей научных и инженерно-техни</w:t>
      </w:r>
      <w:r w:rsidRPr="00C33834">
        <w:rPr>
          <w:rFonts w:ascii="Times New Roman" w:hAnsi="Times New Roman"/>
          <w:color w:val="0070C0"/>
          <w:sz w:val="16"/>
          <w:szCs w:val="16"/>
        </w:rPr>
        <w:softHyphen/>
        <w:t>ческих сил Ленинграда.</w:t>
      </w:r>
    </w:p>
    <w:p w14:paraId="0A6F2008" w14:textId="77777777" w:rsidR="00224D80" w:rsidRPr="00C33834" w:rsidRDefault="00224D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Главными задачами первого полёта были из</w:t>
      </w:r>
      <w:r w:rsidRPr="00C33834">
        <w:rPr>
          <w:rFonts w:ascii="Times New Roman" w:hAnsi="Times New Roman"/>
          <w:color w:val="0070C0"/>
          <w:sz w:val="16"/>
          <w:szCs w:val="16"/>
        </w:rPr>
        <w:softHyphen/>
        <w:t>учение космических лучей и фотосъёмка с боль</w:t>
      </w:r>
      <w:r w:rsidRPr="00C33834">
        <w:rPr>
          <w:rFonts w:ascii="Times New Roman" w:hAnsi="Times New Roman"/>
          <w:color w:val="0070C0"/>
          <w:sz w:val="16"/>
          <w:szCs w:val="16"/>
        </w:rPr>
        <w:softHyphen/>
        <w:t>ших высот. Планировалось также провести ис</w:t>
      </w:r>
      <w:r w:rsidRPr="00C33834">
        <w:rPr>
          <w:rFonts w:ascii="Times New Roman" w:hAnsi="Times New Roman"/>
          <w:color w:val="0070C0"/>
          <w:sz w:val="16"/>
          <w:szCs w:val="16"/>
        </w:rPr>
        <w:softHyphen/>
        <w:t>следование напряжённости магнитного поля и отбор проб воздуха на разных высотах.</w:t>
      </w:r>
    </w:p>
    <w:p w14:paraId="642C9298" w14:textId="77777777" w:rsidR="00224D80" w:rsidRPr="00C33834" w:rsidRDefault="00224D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Оболочка стратостата объёмом 24 920 м3 и ди</w:t>
      </w:r>
      <w:r w:rsidRPr="00C33834">
        <w:rPr>
          <w:rFonts w:ascii="Times New Roman" w:hAnsi="Times New Roman"/>
          <w:color w:val="0070C0"/>
          <w:sz w:val="16"/>
          <w:szCs w:val="16"/>
        </w:rPr>
        <w:softHyphen/>
        <w:t>аметром 36,24 м состояла из 25 сегментов трапе</w:t>
      </w:r>
      <w:r w:rsidRPr="00C33834">
        <w:rPr>
          <w:rFonts w:ascii="Times New Roman" w:hAnsi="Times New Roman"/>
          <w:color w:val="0070C0"/>
          <w:sz w:val="16"/>
          <w:szCs w:val="16"/>
        </w:rPr>
        <w:softHyphen/>
        <w:t>цеидального раскроя, причём трапеции соседних сегментов располагались в шахматном порядке. Верхнюю часть оболочки, включая места крепле</w:t>
      </w:r>
      <w:r w:rsidRPr="00C33834">
        <w:rPr>
          <w:rFonts w:ascii="Times New Roman" w:hAnsi="Times New Roman"/>
          <w:color w:val="0070C0"/>
          <w:sz w:val="16"/>
          <w:szCs w:val="16"/>
        </w:rPr>
        <w:softHyphen/>
        <w:t>ния поясных лап, изготовили из двухслойного прорезиненного перкаля. Из него же выполнили пояс. Нижнюю часть оболочки сшили из одно</w:t>
      </w:r>
      <w:r w:rsidRPr="00C33834">
        <w:rPr>
          <w:rFonts w:ascii="Times New Roman" w:hAnsi="Times New Roman"/>
          <w:color w:val="0070C0"/>
          <w:sz w:val="16"/>
          <w:szCs w:val="16"/>
        </w:rPr>
        <w:softHyphen/>
        <w:t>слойного прорезиненного перкаля. Полный вес оболочки с аппендиксом, клапаном и разрывны</w:t>
      </w:r>
      <w:r w:rsidRPr="00C33834">
        <w:rPr>
          <w:rFonts w:ascii="Times New Roman" w:hAnsi="Times New Roman"/>
          <w:color w:val="0070C0"/>
          <w:sz w:val="16"/>
          <w:szCs w:val="16"/>
        </w:rPr>
        <w:softHyphen/>
        <w:t>ми лентами составлял 950 кг.</w:t>
      </w:r>
    </w:p>
    <w:p w14:paraId="1D00BA32" w14:textId="77777777" w:rsidR="00224D80" w:rsidRPr="00C33834" w:rsidRDefault="00224D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Оболочка имела пять аппендиксов: большой в нижнем полюсе — для выхода газа при расши</w:t>
      </w:r>
      <w:r w:rsidRPr="00C33834">
        <w:rPr>
          <w:rFonts w:ascii="Times New Roman" w:hAnsi="Times New Roman"/>
          <w:color w:val="0070C0"/>
          <w:sz w:val="16"/>
          <w:szCs w:val="16"/>
        </w:rPr>
        <w:softHyphen/>
        <w:t>рении, два малых боковых — для пропуска кла</w:t>
      </w:r>
      <w:r w:rsidRPr="00C33834">
        <w:rPr>
          <w:rFonts w:ascii="Times New Roman" w:hAnsi="Times New Roman"/>
          <w:color w:val="0070C0"/>
          <w:sz w:val="16"/>
          <w:szCs w:val="16"/>
        </w:rPr>
        <w:softHyphen/>
        <w:t>панной верёвки и разрывной вожжи, два малых (между экватором и поясными лапами) — для наполнения оболочки водородом.</w:t>
      </w:r>
    </w:p>
    <w:p w14:paraId="3FF3D5FF" w14:textId="77777777" w:rsidR="00224D80" w:rsidRPr="00C33834" w:rsidRDefault="00224D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верхней части оболочки, в области двух</w:t>
      </w:r>
      <w:r w:rsidRPr="00C33834">
        <w:rPr>
          <w:rFonts w:ascii="Times New Roman" w:hAnsi="Times New Roman"/>
          <w:color w:val="0070C0"/>
          <w:sz w:val="16"/>
          <w:szCs w:val="16"/>
        </w:rPr>
        <w:softHyphen/>
        <w:t>слойного прорезиненного перкаля были вклеены два разрывных полотнища в виде треугольника, направленного вершиной вверх, позволявшие в течение пяти минут выпустить газ из оболочки.</w:t>
      </w:r>
    </w:p>
    <w:p w14:paraId="08657C92" w14:textId="77777777" w:rsidR="00224D80" w:rsidRPr="00C33834" w:rsidRDefault="00224D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Гондола, оплетённая сеткой, подвешивалась на 8 стропах. Хотя каждая стропа одна выдержи</w:t>
      </w:r>
      <w:r w:rsidRPr="00C33834">
        <w:rPr>
          <w:rFonts w:ascii="Times New Roman" w:hAnsi="Times New Roman"/>
          <w:color w:val="0070C0"/>
          <w:sz w:val="16"/>
          <w:szCs w:val="16"/>
        </w:rPr>
        <w:softHyphen/>
        <w:t>вала вес гондолы, крепление не гарантировало гондолу от произвольного поворота в сетке под действием местных нагрузок.</w:t>
      </w:r>
    </w:p>
    <w:p w14:paraId="386893DA" w14:textId="77777777" w:rsidR="00224D80" w:rsidRPr="00C33834" w:rsidRDefault="00224D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Гондола имела форму шара диаметром 2,4 м и весом около 160 кг и состояла из труб</w:t>
      </w:r>
      <w:r w:rsidRPr="00C33834">
        <w:rPr>
          <w:rFonts w:ascii="Times New Roman" w:hAnsi="Times New Roman"/>
          <w:color w:val="0070C0"/>
          <w:sz w:val="16"/>
          <w:szCs w:val="16"/>
        </w:rPr>
        <w:softHyphen/>
        <w:t>чатого каркаса и оболочки. Каркас из стальных трубок включал 10 стрингеров и 6 горизонталь</w:t>
      </w:r>
      <w:r w:rsidRPr="00C33834">
        <w:rPr>
          <w:rFonts w:ascii="Times New Roman" w:hAnsi="Times New Roman"/>
          <w:color w:val="0070C0"/>
          <w:sz w:val="16"/>
          <w:szCs w:val="16"/>
        </w:rPr>
        <w:softHyphen/>
        <w:t>ных шпангоутов. К каркасу сваркой крепилась оболочка из листовой стали толщиной 0,8 мм. Обшивка гондолы, помимо избыточного давле</w:t>
      </w:r>
      <w:r w:rsidRPr="00C33834">
        <w:rPr>
          <w:rFonts w:ascii="Times New Roman" w:hAnsi="Times New Roman"/>
          <w:color w:val="0070C0"/>
          <w:sz w:val="16"/>
          <w:szCs w:val="16"/>
        </w:rPr>
        <w:softHyphen/>
        <w:t>ния изнутри, воспринимала также все местные нагрузки от массы балласта, оборудования и эки</w:t>
      </w:r>
      <w:r w:rsidRPr="00C33834">
        <w:rPr>
          <w:rFonts w:ascii="Times New Roman" w:hAnsi="Times New Roman"/>
          <w:color w:val="0070C0"/>
          <w:sz w:val="16"/>
          <w:szCs w:val="16"/>
        </w:rPr>
        <w:softHyphen/>
        <w:t>пажа, что вызвало местные деформации.</w:t>
      </w:r>
    </w:p>
    <w:p w14:paraId="1EFCEF7C" w14:textId="77777777" w:rsidR="00224D80" w:rsidRPr="00C33834" w:rsidRDefault="00224D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верхнем полюсе гондолы имелся лаз диаме</w:t>
      </w:r>
      <w:r w:rsidRPr="00C33834">
        <w:rPr>
          <w:rFonts w:ascii="Times New Roman" w:hAnsi="Times New Roman"/>
          <w:color w:val="0070C0"/>
          <w:sz w:val="16"/>
          <w:szCs w:val="16"/>
        </w:rPr>
        <w:softHyphen/>
        <w:t>тром 800 мм, закрывавшийся изнутри люком. Вы</w:t>
      </w:r>
      <w:r w:rsidRPr="00C33834">
        <w:rPr>
          <w:rFonts w:ascii="Times New Roman" w:hAnsi="Times New Roman"/>
          <w:color w:val="0070C0"/>
          <w:sz w:val="16"/>
          <w:szCs w:val="16"/>
        </w:rPr>
        <w:softHyphen/>
        <w:t>ход в него осуществлялся по верёвочной лестни</w:t>
      </w:r>
      <w:r w:rsidRPr="00C33834">
        <w:rPr>
          <w:rFonts w:ascii="Times New Roman" w:hAnsi="Times New Roman"/>
          <w:color w:val="0070C0"/>
          <w:sz w:val="16"/>
          <w:szCs w:val="16"/>
        </w:rPr>
        <w:softHyphen/>
        <w:t>це. В целях экономии веса крышка люка не имела специального затворного механизма, а затягива</w:t>
      </w:r>
      <w:r w:rsidRPr="00C33834">
        <w:rPr>
          <w:rFonts w:ascii="Times New Roman" w:hAnsi="Times New Roman"/>
          <w:color w:val="0070C0"/>
          <w:sz w:val="16"/>
          <w:szCs w:val="16"/>
        </w:rPr>
        <w:softHyphen/>
        <w:t>лась на винтах, укреплённых в ободе люка гондо</w:t>
      </w:r>
      <w:r w:rsidRPr="00C33834">
        <w:rPr>
          <w:rFonts w:ascii="Times New Roman" w:hAnsi="Times New Roman"/>
          <w:color w:val="0070C0"/>
          <w:sz w:val="16"/>
          <w:szCs w:val="16"/>
        </w:rPr>
        <w:softHyphen/>
        <w:t>лы, 12 барашками. Уплотнителем для герметич</w:t>
      </w:r>
      <w:r w:rsidRPr="00C33834">
        <w:rPr>
          <w:rFonts w:ascii="Times New Roman" w:hAnsi="Times New Roman"/>
          <w:color w:val="0070C0"/>
          <w:sz w:val="16"/>
          <w:szCs w:val="16"/>
        </w:rPr>
        <w:softHyphen/>
        <w:t>ности служила резиновая прокладка в пазу обода люка. Для открытия люка требовалось отвернуть все барашки и затем снять крышку, на что даже в наземных условиях уходило несколько минут.</w:t>
      </w:r>
    </w:p>
    <w:p w14:paraId="687C20FE" w14:textId="77777777" w:rsidR="00224D80" w:rsidRPr="00C33834" w:rsidRDefault="00224D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Имелось шесть иллюминаторов диаметром 150 мм: четыре — в верхней полусфере гондолы, один — в нижней полусфере и один в нижнем полюсе (для наблюдений и фотосъёмки). В ил</w:t>
      </w:r>
      <w:r w:rsidRPr="00C33834">
        <w:rPr>
          <w:rFonts w:ascii="Times New Roman" w:hAnsi="Times New Roman"/>
          <w:color w:val="0070C0"/>
          <w:sz w:val="16"/>
          <w:szCs w:val="16"/>
        </w:rPr>
        <w:softHyphen/>
        <w:t>люминаторах использовались зеркальные стёкла толщиной 14 мм.</w:t>
      </w:r>
    </w:p>
    <w:p w14:paraId="7D0A8BE8" w14:textId="77777777" w:rsidR="00224D80" w:rsidRPr="00C33834" w:rsidRDefault="00224D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Балласт (0,4 т свинцовой дроби) помещался внутри гондолы. Для сбрасывания его в гондоле имелись воронка и карман с трубой, выходившей через обшивку наружу. Дробь зачерпывали сов</w:t>
      </w:r>
      <w:r w:rsidRPr="00C33834">
        <w:rPr>
          <w:rFonts w:ascii="Times New Roman" w:hAnsi="Times New Roman"/>
          <w:color w:val="0070C0"/>
          <w:sz w:val="16"/>
          <w:szCs w:val="16"/>
        </w:rPr>
        <w:softHyphen/>
        <w:t>ком и засыпали в воронку, из которой она пере</w:t>
      </w:r>
      <w:r w:rsidRPr="00C33834">
        <w:rPr>
          <w:rFonts w:ascii="Times New Roman" w:hAnsi="Times New Roman"/>
          <w:color w:val="0070C0"/>
          <w:sz w:val="16"/>
          <w:szCs w:val="16"/>
        </w:rPr>
        <w:softHyphen/>
        <w:t>сыпалась в расположенный ниже карман. Затем кран между воронкой и карманом закрывался, и открывался кран между карманом и трубкой, так что дробь через трубку высыпалась наружу, не нарушая герметичность гондолы. Скорость сбро</w:t>
      </w:r>
      <w:r w:rsidRPr="00C33834">
        <w:rPr>
          <w:rFonts w:ascii="Times New Roman" w:hAnsi="Times New Roman"/>
          <w:color w:val="0070C0"/>
          <w:sz w:val="16"/>
          <w:szCs w:val="16"/>
        </w:rPr>
        <w:softHyphen/>
        <w:t>са балласта при наземных испытаниях составля</w:t>
      </w:r>
      <w:r w:rsidRPr="00C33834">
        <w:rPr>
          <w:rFonts w:ascii="Times New Roman" w:hAnsi="Times New Roman"/>
          <w:color w:val="0070C0"/>
          <w:sz w:val="16"/>
          <w:szCs w:val="16"/>
        </w:rPr>
        <w:softHyphen/>
        <w:t>ла 1 кг/с, что при опасном возрастании скорости спуска не позволяло быстро (менее чем за 7 ми</w:t>
      </w:r>
      <w:r w:rsidRPr="00C33834">
        <w:rPr>
          <w:rFonts w:ascii="Times New Roman" w:hAnsi="Times New Roman"/>
          <w:color w:val="0070C0"/>
          <w:sz w:val="16"/>
          <w:szCs w:val="16"/>
        </w:rPr>
        <w:softHyphen/>
        <w:t>нут) освободиться от всего балласта. Амортизато</w:t>
      </w:r>
      <w:r w:rsidRPr="00C33834">
        <w:rPr>
          <w:rFonts w:ascii="Times New Roman" w:hAnsi="Times New Roman"/>
          <w:color w:val="0070C0"/>
          <w:sz w:val="16"/>
          <w:szCs w:val="16"/>
        </w:rPr>
        <w:softHyphen/>
        <w:t>ром при посадке служила резиновая камера, кре</w:t>
      </w:r>
      <w:r w:rsidRPr="00C33834">
        <w:rPr>
          <w:rFonts w:ascii="Times New Roman" w:hAnsi="Times New Roman"/>
          <w:color w:val="0070C0"/>
          <w:sz w:val="16"/>
          <w:szCs w:val="16"/>
        </w:rPr>
        <w:softHyphen/>
        <w:t>пившаяся снизу к сетке, охватывавшей гондолу.</w:t>
      </w:r>
    </w:p>
    <w:p w14:paraId="18A6491B" w14:textId="77777777" w:rsidR="00224D80" w:rsidRPr="00C33834" w:rsidRDefault="00224D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Для обеспечения работы экипажа в гондо</w:t>
      </w:r>
      <w:r w:rsidRPr="00C33834">
        <w:rPr>
          <w:rFonts w:ascii="Times New Roman" w:hAnsi="Times New Roman"/>
          <w:color w:val="0070C0"/>
          <w:sz w:val="16"/>
          <w:szCs w:val="16"/>
        </w:rPr>
        <w:softHyphen/>
        <w:t>ле предусматривался запас сжатого кислорода в 15-20 баллонах ёмкостью 0,8 л. В полу гондо</w:t>
      </w:r>
      <w:r w:rsidRPr="00C33834">
        <w:rPr>
          <w:rFonts w:ascii="Times New Roman" w:hAnsi="Times New Roman"/>
          <w:color w:val="0070C0"/>
          <w:sz w:val="16"/>
          <w:szCs w:val="16"/>
        </w:rPr>
        <w:softHyphen/>
        <w:t>лы размещалась система поглощения углекисло</w:t>
      </w:r>
      <w:r w:rsidRPr="00C33834">
        <w:rPr>
          <w:rFonts w:ascii="Times New Roman" w:hAnsi="Times New Roman"/>
          <w:color w:val="0070C0"/>
          <w:sz w:val="16"/>
          <w:szCs w:val="16"/>
        </w:rPr>
        <w:softHyphen/>
        <w:t>ты, через которую электрическим вентилятором прокачивался воздух.</w:t>
      </w:r>
    </w:p>
    <w:p w14:paraId="3E4F542B" w14:textId="77777777" w:rsidR="00224D80" w:rsidRPr="00C33834" w:rsidRDefault="00224D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 стратостате находилось разнообразное научное оборудование. Для исследования кос</w:t>
      </w:r>
      <w:r w:rsidRPr="00C33834">
        <w:rPr>
          <w:rFonts w:ascii="Times New Roman" w:hAnsi="Times New Roman"/>
          <w:color w:val="0070C0"/>
          <w:sz w:val="16"/>
          <w:szCs w:val="16"/>
        </w:rPr>
        <w:softHyphen/>
        <w:t>мических лучей предназначались камера Виль</w:t>
      </w:r>
      <w:r w:rsidRPr="00C33834">
        <w:rPr>
          <w:rFonts w:ascii="Times New Roman" w:hAnsi="Times New Roman"/>
          <w:color w:val="0070C0"/>
          <w:sz w:val="16"/>
          <w:szCs w:val="16"/>
        </w:rPr>
        <w:softHyphen/>
        <w:t>сона и два электрометра Гесса. Для исследования напряжённости магнитного поля Земли имел</w:t>
      </w:r>
      <w:r w:rsidRPr="00C33834">
        <w:rPr>
          <w:rFonts w:ascii="Times New Roman" w:hAnsi="Times New Roman"/>
          <w:color w:val="0070C0"/>
          <w:sz w:val="16"/>
          <w:szCs w:val="16"/>
        </w:rPr>
        <w:softHyphen/>
        <w:t>ся магнетрон профессора Яновского. Оборудо</w:t>
      </w:r>
      <w:r w:rsidRPr="00C33834">
        <w:rPr>
          <w:rFonts w:ascii="Times New Roman" w:hAnsi="Times New Roman"/>
          <w:color w:val="0070C0"/>
          <w:sz w:val="16"/>
          <w:szCs w:val="16"/>
        </w:rPr>
        <w:softHyphen/>
        <w:t>вание для фотосъёмки включало обычный и ши</w:t>
      </w:r>
      <w:r w:rsidRPr="00C33834">
        <w:rPr>
          <w:rFonts w:ascii="Times New Roman" w:hAnsi="Times New Roman"/>
          <w:color w:val="0070C0"/>
          <w:sz w:val="16"/>
          <w:szCs w:val="16"/>
        </w:rPr>
        <w:softHyphen/>
        <w:t>рокоформатный фотоаппараты. Имелся также фотометр для измерения прозрачности атмосфе</w:t>
      </w:r>
      <w:r w:rsidRPr="00C33834">
        <w:rPr>
          <w:rFonts w:ascii="Times New Roman" w:hAnsi="Times New Roman"/>
          <w:color w:val="0070C0"/>
          <w:sz w:val="16"/>
          <w:szCs w:val="16"/>
        </w:rPr>
        <w:softHyphen/>
        <w:t>ры и для оптических наблюдений. Для исследо</w:t>
      </w:r>
      <w:r w:rsidRPr="00C33834">
        <w:rPr>
          <w:rFonts w:ascii="Times New Roman" w:hAnsi="Times New Roman"/>
          <w:color w:val="0070C0"/>
          <w:sz w:val="16"/>
          <w:szCs w:val="16"/>
        </w:rPr>
        <w:softHyphen/>
        <w:t>вания химического состава атмосферы инженер М.В. Беженцев (ЛХТИ) разработал прибор для отбора проб воздуха, аналогичный установлен</w:t>
      </w:r>
      <w:r w:rsidRPr="00C33834">
        <w:rPr>
          <w:rFonts w:ascii="Times New Roman" w:hAnsi="Times New Roman"/>
          <w:color w:val="0070C0"/>
          <w:sz w:val="16"/>
          <w:szCs w:val="16"/>
        </w:rPr>
        <w:softHyphen/>
        <w:t>ному на «СССР-1». Гондолу оборудовали ртут</w:t>
      </w:r>
      <w:r w:rsidRPr="00C33834">
        <w:rPr>
          <w:rFonts w:ascii="Times New Roman" w:hAnsi="Times New Roman"/>
          <w:color w:val="0070C0"/>
          <w:sz w:val="16"/>
          <w:szCs w:val="16"/>
        </w:rPr>
        <w:softHyphen/>
        <w:t>ным чашечным барометром и микробарометра</w:t>
      </w:r>
      <w:r w:rsidRPr="00C33834">
        <w:rPr>
          <w:rFonts w:ascii="Times New Roman" w:hAnsi="Times New Roman"/>
          <w:color w:val="0070C0"/>
          <w:sz w:val="16"/>
          <w:szCs w:val="16"/>
        </w:rPr>
        <w:softHyphen/>
        <w:t>ми для измерения малых давлений на высоте. Два метеорографа для записи давления, темпера</w:t>
      </w:r>
      <w:r w:rsidRPr="00C33834">
        <w:rPr>
          <w:rFonts w:ascii="Times New Roman" w:hAnsi="Times New Roman"/>
          <w:color w:val="0070C0"/>
          <w:sz w:val="16"/>
          <w:szCs w:val="16"/>
        </w:rPr>
        <w:softHyphen/>
        <w:t>туры и влажности наружного воздуха поместили вне гондолы — на стропах между ней и оболоч</w:t>
      </w:r>
      <w:r w:rsidRPr="00C33834">
        <w:rPr>
          <w:rFonts w:ascii="Times New Roman" w:hAnsi="Times New Roman"/>
          <w:color w:val="0070C0"/>
          <w:sz w:val="16"/>
          <w:szCs w:val="16"/>
        </w:rPr>
        <w:softHyphen/>
        <w:t>кой. Вне гондолы были и два термографа: один — вблизи клапана, другой — вблизи аппендикса.</w:t>
      </w:r>
    </w:p>
    <w:p w14:paraId="045CDAC7" w14:textId="77777777" w:rsidR="00224D80" w:rsidRPr="00C33834" w:rsidRDefault="00224D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Параллельно со строительством стратоста</w:t>
      </w:r>
      <w:r w:rsidRPr="00C33834">
        <w:rPr>
          <w:rFonts w:ascii="Times New Roman" w:hAnsi="Times New Roman"/>
          <w:color w:val="0070C0"/>
          <w:sz w:val="16"/>
          <w:szCs w:val="16"/>
        </w:rPr>
        <w:softHyphen/>
        <w:t>та шла подготовка и самих пилотов. 28 июля 1933 г. аэронавты поднялись с Волкова поля на сферическом аэростате, пилотируемом П.Ф. Федосеенко, с целью испытания приборов. Для А.Б. Васенко и И.Д. Усыскина это был пер</w:t>
      </w:r>
      <w:r w:rsidRPr="00C33834">
        <w:rPr>
          <w:rFonts w:ascii="Times New Roman" w:hAnsi="Times New Roman"/>
          <w:color w:val="0070C0"/>
          <w:sz w:val="16"/>
          <w:szCs w:val="16"/>
        </w:rPr>
        <w:softHyphen/>
        <w:t>вый свободный полёт.</w:t>
      </w:r>
    </w:p>
    <w:p w14:paraId="7941C002" w14:textId="77777777" w:rsidR="00224D80" w:rsidRPr="00C33834" w:rsidRDefault="00224D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августа на заседании научно-экспертного консультационного совета обсуждался вопрос о замене люка с отдельными болтами на крепле</w:t>
      </w:r>
      <w:r w:rsidRPr="00C33834">
        <w:rPr>
          <w:rFonts w:ascii="Times New Roman" w:hAnsi="Times New Roman"/>
          <w:color w:val="0070C0"/>
          <w:sz w:val="16"/>
          <w:szCs w:val="16"/>
        </w:rPr>
        <w:softHyphen/>
        <w:t>ние с заклинением. П.Ф. Федосеенко возражал против новой конструкции, так как это означало бы постройку новой гондолы. Он рассчитывал на то, что при аварийном спуске оболочка страто</w:t>
      </w:r>
      <w:r w:rsidRPr="00C33834">
        <w:rPr>
          <w:rFonts w:ascii="Times New Roman" w:hAnsi="Times New Roman"/>
          <w:color w:val="0070C0"/>
          <w:sz w:val="16"/>
          <w:szCs w:val="16"/>
        </w:rPr>
        <w:softHyphen/>
        <w:t>стата превратится в парашют.</w:t>
      </w:r>
    </w:p>
    <w:p w14:paraId="6A700403" w14:textId="77777777" w:rsidR="00224D80" w:rsidRPr="00C33834" w:rsidRDefault="00224D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 следующий день комиссия в составе П.Ф. Федосеенко, Е.Е. Чертовского и К.С. Кир- пичникова провела успешные испытания гондо</w:t>
      </w:r>
      <w:r w:rsidRPr="00C33834">
        <w:rPr>
          <w:rFonts w:ascii="Times New Roman" w:hAnsi="Times New Roman"/>
          <w:color w:val="0070C0"/>
          <w:sz w:val="16"/>
          <w:szCs w:val="16"/>
        </w:rPr>
        <w:softHyphen/>
        <w:t>лы на прочность и воздухонепроницаемость на заводе им. Сталина. Разрушение стёкол произо</w:t>
      </w:r>
      <w:r w:rsidRPr="00C33834">
        <w:rPr>
          <w:rFonts w:ascii="Times New Roman" w:hAnsi="Times New Roman"/>
          <w:color w:val="0070C0"/>
          <w:sz w:val="16"/>
          <w:szCs w:val="16"/>
        </w:rPr>
        <w:softHyphen/>
        <w:t>шло при давлении 0,46 МПа (при нормальном сверхдавлении 0,07 МПа). Одновременно прове</w:t>
      </w:r>
      <w:r w:rsidRPr="00C33834">
        <w:rPr>
          <w:rFonts w:ascii="Times New Roman" w:hAnsi="Times New Roman"/>
          <w:color w:val="0070C0"/>
          <w:sz w:val="16"/>
          <w:szCs w:val="16"/>
        </w:rPr>
        <w:softHyphen/>
        <w:t>ли продувку оболочки вентилятором (20120).</w:t>
      </w:r>
    </w:p>
    <w:p w14:paraId="6656C785" w14:textId="77777777" w:rsidR="00224D80" w:rsidRPr="00C33834" w:rsidRDefault="00224D80" w:rsidP="00C33834">
      <w:pPr>
        <w:spacing w:after="0" w:line="240" w:lineRule="auto"/>
        <w:jc w:val="both"/>
        <w:rPr>
          <w:rFonts w:ascii="Times New Roman" w:hAnsi="Times New Roman"/>
          <w:color w:val="0070C0"/>
          <w:sz w:val="16"/>
          <w:szCs w:val="16"/>
        </w:rPr>
      </w:pPr>
    </w:p>
    <w:p w14:paraId="6AD78CC5" w14:textId="77777777" w:rsidR="00A4146F"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6A404B83" w14:textId="77777777" w:rsidR="00A4146F" w:rsidRPr="00C33834" w:rsidRDefault="00A4146F"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F9DDACC" w14:textId="77777777" w:rsidR="00A4146F" w:rsidRPr="00C33834" w:rsidRDefault="00A4146F" w:rsidP="00C33834">
      <w:pPr>
        <w:pStyle w:val="rtejustify"/>
        <w:spacing w:before="0" w:after="0"/>
        <w:rPr>
          <w:color w:val="000000" w:themeColor="text1"/>
          <w:sz w:val="16"/>
          <w:szCs w:val="16"/>
        </w:rPr>
      </w:pPr>
      <w:r w:rsidRPr="00C33834">
        <w:rPr>
          <w:rStyle w:val="af0"/>
          <w:bCs/>
          <w:i w:val="0"/>
          <w:color w:val="000000" w:themeColor="text1"/>
          <w:sz w:val="16"/>
          <w:szCs w:val="16"/>
        </w:rPr>
        <w:t>21 января</w:t>
      </w:r>
      <w:r w:rsidRPr="00C33834">
        <w:rPr>
          <w:color w:val="000000" w:themeColor="text1"/>
          <w:sz w:val="16"/>
          <w:szCs w:val="16"/>
        </w:rPr>
        <w:t xml:space="preserve"> 1933. Постановление СТО СССР № 61 «О порядке финансирования капитального строительства по республиканским и местным бюджетам». (</w:t>
      </w:r>
      <w:hyperlink r:id="rId26" w:history="1">
        <w:r w:rsidRPr="00C33834">
          <w:rPr>
            <w:rStyle w:val="a5"/>
            <w:color w:val="000000" w:themeColor="text1"/>
            <w:sz w:val="16"/>
            <w:szCs w:val="16"/>
          </w:rPr>
          <w:t>СЗ. 1933 № 5. Ст. 36</w:t>
        </w:r>
      </w:hyperlink>
      <w:r w:rsidRPr="00C33834">
        <w:rPr>
          <w:color w:val="000000" w:themeColor="text1"/>
          <w:sz w:val="16"/>
          <w:szCs w:val="16"/>
        </w:rPr>
        <w:t>) (15460).</w:t>
      </w:r>
    </w:p>
    <w:p w14:paraId="25DFA7C4" w14:textId="77777777" w:rsidR="00A4146F" w:rsidRPr="00C33834" w:rsidRDefault="00A4146F" w:rsidP="00C33834">
      <w:pPr>
        <w:pStyle w:val="rtejustify"/>
        <w:spacing w:before="0" w:after="0"/>
        <w:rPr>
          <w:color w:val="000000" w:themeColor="text1"/>
          <w:sz w:val="16"/>
          <w:szCs w:val="16"/>
        </w:rPr>
      </w:pPr>
    </w:p>
    <w:p w14:paraId="1033D403" w14:textId="77777777" w:rsidR="00E37239" w:rsidRPr="00C33834" w:rsidRDefault="00E37239"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Cs/>
          <w:color w:val="000000" w:themeColor="text1"/>
          <w:sz w:val="16"/>
          <w:szCs w:val="16"/>
        </w:rPr>
        <w:t>Жизнь и внутреняя политика:</w:t>
      </w:r>
    </w:p>
    <w:p w14:paraId="2F592758" w14:textId="77777777" w:rsidR="00E37239" w:rsidRPr="00C33834" w:rsidRDefault="00E37239" w:rsidP="00C33834">
      <w:pPr>
        <w:spacing w:after="0" w:line="240" w:lineRule="auto"/>
        <w:jc w:val="both"/>
        <w:rPr>
          <w:rFonts w:ascii="Times New Roman" w:hAnsi="Times New Roman"/>
          <w:iCs/>
          <w:color w:val="000000" w:themeColor="text1"/>
          <w:sz w:val="16"/>
          <w:szCs w:val="16"/>
        </w:rPr>
      </w:pPr>
    </w:p>
    <w:p w14:paraId="0A4733E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21 и 27 января 1933. Из протокола заседания Политбюро N 128 1933 г.</w:t>
      </w:r>
    </w:p>
    <w:p w14:paraId="689F3C6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передаче радиовещания из ведения НКСвязи в ведение специального комитета по радиовещанию при ЦИК СССР </w:t>
      </w:r>
    </w:p>
    <w:p w14:paraId="3FDDDFB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того что радио приобретает исключительно важное значение для всей хозяйственной и политической жизни, признать необходимым создание при СНК СССР Всесоюзного комитета по радиофикации и радиовещанию... (11652).</w:t>
      </w:r>
    </w:p>
    <w:p w14:paraId="3DDC3936" w14:textId="77777777" w:rsidR="00E37239" w:rsidRPr="00C33834" w:rsidRDefault="00E37239" w:rsidP="00C33834">
      <w:pPr>
        <w:spacing w:after="0" w:line="240" w:lineRule="auto"/>
        <w:jc w:val="both"/>
        <w:rPr>
          <w:rFonts w:ascii="Times New Roman" w:hAnsi="Times New Roman"/>
          <w:color w:val="000000" w:themeColor="text1"/>
          <w:sz w:val="16"/>
          <w:szCs w:val="16"/>
        </w:rPr>
      </w:pPr>
    </w:p>
    <w:p w14:paraId="448B9C44" w14:textId="77777777" w:rsidR="00E372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AF6B9C4" w14:textId="77777777" w:rsidR="00E37239" w:rsidRPr="00C33834" w:rsidRDefault="00E37239" w:rsidP="00C33834">
      <w:pPr>
        <w:spacing w:after="0" w:line="240" w:lineRule="auto"/>
        <w:jc w:val="both"/>
        <w:rPr>
          <w:rFonts w:ascii="Times New Roman" w:hAnsi="Times New Roman"/>
          <w:iCs/>
          <w:color w:val="000000" w:themeColor="text1"/>
          <w:sz w:val="16"/>
          <w:szCs w:val="16"/>
        </w:rPr>
      </w:pPr>
    </w:p>
    <w:p w14:paraId="26415E9C" w14:textId="77777777" w:rsidR="00A4146F" w:rsidRPr="00C33834" w:rsidRDefault="00A4146F"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21 января</w:t>
      </w:r>
      <w:r w:rsidRPr="00C33834">
        <w:rPr>
          <w:rFonts w:ascii="Times New Roman" w:hAnsi="Times New Roman"/>
          <w:color w:val="000000" w:themeColor="text1"/>
          <w:sz w:val="16"/>
          <w:szCs w:val="16"/>
        </w:rPr>
        <w:t xml:space="preserve"> в 1933 году первый полёт многоцелевого самолета </w:t>
      </w:r>
      <w:hyperlink r:id="rId27" w:tgtFrame="_blank" w:history="1">
        <w:r w:rsidRPr="00C33834">
          <w:rPr>
            <w:rFonts w:ascii="Times New Roman" w:hAnsi="Times New Roman"/>
            <w:color w:val="000000" w:themeColor="text1"/>
            <w:sz w:val="16"/>
            <w:szCs w:val="16"/>
          </w:rPr>
          <w:t xml:space="preserve">«Westland PV-3». </w:t>
        </w:r>
      </w:hyperlink>
      <w:r w:rsidRPr="00C33834">
        <w:rPr>
          <w:rFonts w:ascii="Times New Roman" w:hAnsi="Times New Roman"/>
          <w:color w:val="000000" w:themeColor="text1"/>
          <w:sz w:val="16"/>
          <w:szCs w:val="16"/>
        </w:rPr>
        <w:t>Самолет представлял собой двухместный двухстоечный биплан цельнометаллической конструкции, оснащенный девятицилиндровым двигателем воздушного охлаждения «Bristol Jupiter XFA» мощностью 575 л.с. Вооружение самолета состояло из одного переднего синхронизированного пулемета «Vickers» и одного 7.7-мм пулемета «Lewis», установленного в задней кабине на турели No.7 Scarff. Первый полет прототипа самолета («P3»), пилотируемого Луи Падже (Louis Paget), состоялся в феврале 1931 года. В течение нескольких месяцев «Р3» просто стоял в ангаре завода, пока в ноябре 1932 года поступило необычное предложение от Географического общества Великобритании, предложившего фирме «Westland» использовать самолет «PV.3» (совестно с еще одним опытным – «PV.6») для экспедиции на Эверест. Для этой цели самолет модернизировали - установив двигатель «Pegasus» «IS3» мощностью 630 л.с. и сделав заднюю кабину закрытой. Проведенные 21 января 1933 года испытания показали, что «PV-3» обладает неплохими летными характеристиками, однако заказов от Авиационного Министерства Великобритании по-прежнему не последовало. При этом «PV.3» был выдан гражданский регистрационный номер G-ACAZ. Эта экспедиция, финансированная леди Хьюстон, была успешно завершена 3 апреля 1933 года (15016).</w:t>
      </w:r>
    </w:p>
    <w:p w14:paraId="34D7484F" w14:textId="77777777" w:rsidR="00A4146F" w:rsidRPr="00C33834" w:rsidRDefault="00A4146F" w:rsidP="00C33834">
      <w:pPr>
        <w:spacing w:after="0" w:line="240" w:lineRule="auto"/>
        <w:jc w:val="both"/>
        <w:rPr>
          <w:rFonts w:ascii="Times New Roman" w:hAnsi="Times New Roman"/>
          <w:color w:val="000000" w:themeColor="text1"/>
          <w:sz w:val="16"/>
          <w:szCs w:val="16"/>
        </w:rPr>
      </w:pPr>
    </w:p>
    <w:p w14:paraId="41FDDD0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января 1933 Лига наций отклонила японские предложения об урегулировании в Китае (2100).</w:t>
      </w:r>
    </w:p>
    <w:p w14:paraId="4315700C" w14:textId="77777777" w:rsidR="00E37239" w:rsidRPr="00C33834" w:rsidRDefault="00E37239" w:rsidP="00C33834">
      <w:pPr>
        <w:spacing w:after="0" w:line="240" w:lineRule="auto"/>
        <w:jc w:val="both"/>
        <w:rPr>
          <w:rFonts w:ascii="Times New Roman" w:hAnsi="Times New Roman"/>
          <w:color w:val="000000" w:themeColor="text1"/>
          <w:sz w:val="16"/>
          <w:szCs w:val="16"/>
        </w:rPr>
      </w:pPr>
    </w:p>
    <w:p w14:paraId="287844AB" w14:textId="77777777" w:rsidR="00E372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28EF1277" w14:textId="77777777" w:rsidR="00E37239" w:rsidRPr="00C33834" w:rsidRDefault="00E37239" w:rsidP="00C33834">
      <w:pPr>
        <w:spacing w:after="0" w:line="240" w:lineRule="auto"/>
        <w:jc w:val="both"/>
        <w:rPr>
          <w:rFonts w:ascii="Times New Roman" w:hAnsi="Times New Roman"/>
          <w:iCs/>
          <w:color w:val="000000" w:themeColor="text1"/>
          <w:sz w:val="16"/>
          <w:szCs w:val="16"/>
        </w:rPr>
      </w:pPr>
    </w:p>
    <w:p w14:paraId="76A4178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января 1933 вышел Циркуляр Политбюро ЦК ВКП(б), подписанный И.Сталиным и В.Молотовым, предписывающий местным властям и, в частности, ОГПУ запретить "всеми возможными средствами массовое отправление крестьянства Украины и Северного Кавказа в города", так как "Центральный комитет и правительство имеют доказательства, что массовый исход крестьян организован врагами советской власти, контрреволюционерами и польскими агентами с целью антиколхозной пропаганды, в частности, и против советской власти вообще" (10687).</w:t>
      </w:r>
    </w:p>
    <w:p w14:paraId="10267327" w14:textId="77777777" w:rsidR="00E37239" w:rsidRPr="00C33834" w:rsidRDefault="00E37239" w:rsidP="00C33834">
      <w:pPr>
        <w:spacing w:after="0" w:line="240" w:lineRule="auto"/>
        <w:jc w:val="both"/>
        <w:rPr>
          <w:rFonts w:ascii="Times New Roman" w:hAnsi="Times New Roman"/>
          <w:color w:val="000000" w:themeColor="text1"/>
          <w:sz w:val="16"/>
          <w:szCs w:val="16"/>
        </w:rPr>
      </w:pPr>
    </w:p>
    <w:p w14:paraId="2E1C5724" w14:textId="77777777" w:rsidR="00150BD8"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1047CDDB" w14:textId="77777777" w:rsidR="00150BD8" w:rsidRPr="00C33834" w:rsidRDefault="00150BD8" w:rsidP="00C33834">
      <w:pPr>
        <w:spacing w:after="0" w:line="240" w:lineRule="auto"/>
        <w:jc w:val="both"/>
        <w:rPr>
          <w:rFonts w:ascii="Times New Roman" w:hAnsi="Times New Roman"/>
          <w:iCs/>
          <w:color w:val="000000" w:themeColor="text1"/>
          <w:sz w:val="16"/>
          <w:szCs w:val="16"/>
        </w:rPr>
      </w:pPr>
    </w:p>
    <w:p w14:paraId="6AFE8217" w14:textId="77777777" w:rsidR="00224D80" w:rsidRPr="00C33834" w:rsidRDefault="00224D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22 января 1933 - Первый полёт легкого спортивного самолета LKL-5 (компания LKL, Польша) (22650).</w:t>
      </w:r>
    </w:p>
    <w:p w14:paraId="40D19B79" w14:textId="77777777" w:rsidR="00224D80" w:rsidRPr="00C33834" w:rsidRDefault="00224D80" w:rsidP="00C33834">
      <w:pPr>
        <w:spacing w:after="0" w:line="240" w:lineRule="auto"/>
        <w:jc w:val="both"/>
        <w:rPr>
          <w:rFonts w:ascii="Times New Roman" w:hAnsi="Times New Roman"/>
          <w:color w:val="0070C0"/>
          <w:sz w:val="16"/>
          <w:szCs w:val="16"/>
        </w:rPr>
      </w:pPr>
    </w:p>
    <w:p w14:paraId="2DB112DE" w14:textId="77777777" w:rsidR="00150BD8" w:rsidRPr="00C33834" w:rsidRDefault="00150BD8" w:rsidP="00C33834">
      <w:pPr>
        <w:pStyle w:val="ae"/>
        <w:spacing w:before="0" w:after="0"/>
        <w:jc w:val="both"/>
        <w:rPr>
          <w:color w:val="000000" w:themeColor="text1"/>
          <w:sz w:val="16"/>
          <w:szCs w:val="16"/>
        </w:rPr>
      </w:pPr>
      <w:r w:rsidRPr="00C33834">
        <w:rPr>
          <w:color w:val="000000" w:themeColor="text1"/>
          <w:sz w:val="16"/>
          <w:szCs w:val="16"/>
        </w:rPr>
        <w:t xml:space="preserve">22 </w:t>
      </w:r>
      <w:r w:rsidRPr="00C33834">
        <w:rPr>
          <w:rStyle w:val="highlight1"/>
          <w:b w:val="0"/>
          <w:color w:val="000000" w:themeColor="text1"/>
          <w:sz w:val="16"/>
          <w:szCs w:val="16"/>
        </w:rPr>
        <w:t> января  1933 </w:t>
      </w:r>
      <w:r w:rsidRPr="00C33834">
        <w:rPr>
          <w:color w:val="000000" w:themeColor="text1"/>
          <w:sz w:val="16"/>
          <w:szCs w:val="16"/>
        </w:rPr>
        <w:t xml:space="preserve"> года состоялась двухчасовая встреча с глазу на глаз Оскара фон Гинденбурга с Гитлером. После этой встречи Оскар сказал сопровождавшему его чиновнику: «Теперь нет никакой возможности, кроме как Гитлера поставить канцлером». Предполагается, что Гитлер в ходе этой беседы угрожал Оскару дальнейшими разоблачениями, а в случае, если президент пойдёт ему навстречу, он, Гитлер, немедленно прекратит расследование по «делу Гинденбурга». Таким образом, </w:t>
      </w:r>
      <w:hyperlink r:id="rId28" w:tooltip="30 января" w:history="1">
        <w:r w:rsidRPr="00C33834">
          <w:rPr>
            <w:rStyle w:val="a5"/>
            <w:color w:val="000000" w:themeColor="text1"/>
            <w:sz w:val="16"/>
            <w:szCs w:val="16"/>
            <w:u w:val="none"/>
          </w:rPr>
          <w:t xml:space="preserve">30 </w:t>
        </w:r>
      </w:hyperlink>
      <w:hyperlink r:id="rId29" w:tooltip="30 января" w:history="1">
        <w:r w:rsidRPr="00C33834">
          <w:rPr>
            <w:rStyle w:val="highlight1"/>
            <w:b w:val="0"/>
            <w:color w:val="000000" w:themeColor="text1"/>
            <w:sz w:val="16"/>
            <w:szCs w:val="16"/>
          </w:rPr>
          <w:t> января </w:t>
        </w:r>
      </w:hyperlink>
      <w:hyperlink r:id="rId30" w:tooltip="1933" w:history="1">
        <w:r w:rsidRPr="00C33834">
          <w:rPr>
            <w:rStyle w:val="highlight1"/>
            <w:b w:val="0"/>
            <w:color w:val="000000" w:themeColor="text1"/>
            <w:sz w:val="16"/>
            <w:szCs w:val="16"/>
          </w:rPr>
          <w:t> 1933 </w:t>
        </w:r>
      </w:hyperlink>
      <w:r w:rsidRPr="00C33834">
        <w:rPr>
          <w:color w:val="000000" w:themeColor="text1"/>
          <w:sz w:val="16"/>
          <w:szCs w:val="16"/>
        </w:rPr>
        <w:t xml:space="preserve"> Пауль фон Гинденбург назначил </w:t>
      </w:r>
      <w:hyperlink r:id="rId31" w:tooltip="Гитлер, Адольф" w:history="1">
        <w:r w:rsidRPr="00C33834">
          <w:rPr>
            <w:rStyle w:val="a5"/>
            <w:color w:val="000000" w:themeColor="text1"/>
            <w:sz w:val="16"/>
            <w:szCs w:val="16"/>
            <w:u w:val="none"/>
          </w:rPr>
          <w:t>Адольфа Гитлера</w:t>
        </w:r>
      </w:hyperlink>
      <w:hyperlink r:id="rId32" w:tooltip="Рейхсканцлер" w:history="1">
        <w:r w:rsidRPr="00C33834">
          <w:rPr>
            <w:rStyle w:val="a5"/>
            <w:color w:val="000000" w:themeColor="text1"/>
            <w:sz w:val="16"/>
            <w:szCs w:val="16"/>
            <w:u w:val="none"/>
          </w:rPr>
          <w:t>рейхсканцлером</w:t>
        </w:r>
      </w:hyperlink>
      <w:r w:rsidRPr="00C33834">
        <w:rPr>
          <w:color w:val="000000" w:themeColor="text1"/>
          <w:sz w:val="16"/>
          <w:szCs w:val="16"/>
        </w:rPr>
        <w:t>.</w:t>
      </w:r>
    </w:p>
    <w:p w14:paraId="7D2D8CFC" w14:textId="77777777" w:rsidR="00150BD8" w:rsidRPr="00C33834" w:rsidRDefault="00150BD8" w:rsidP="00C33834">
      <w:pPr>
        <w:pStyle w:val="ae"/>
        <w:spacing w:before="0" w:after="0"/>
        <w:jc w:val="both"/>
        <w:rPr>
          <w:color w:val="000000" w:themeColor="text1"/>
          <w:sz w:val="16"/>
          <w:szCs w:val="16"/>
        </w:rPr>
      </w:pPr>
      <w:r w:rsidRPr="00C33834">
        <w:rPr>
          <w:color w:val="000000" w:themeColor="text1"/>
          <w:sz w:val="16"/>
          <w:szCs w:val="16"/>
        </w:rPr>
        <w:t xml:space="preserve">Для полной победы первым делом нужно было убрать главных врагов в парламенте — компартию. 27 февраля Геринг с подручными из СА и СС организовал </w:t>
      </w:r>
      <w:hyperlink r:id="rId33" w:tooltip="Поджог Рейхстага" w:history="1">
        <w:r w:rsidRPr="00C33834">
          <w:rPr>
            <w:rStyle w:val="a5"/>
            <w:color w:val="000000" w:themeColor="text1"/>
            <w:sz w:val="16"/>
            <w:szCs w:val="16"/>
            <w:u w:val="none"/>
          </w:rPr>
          <w:t>поджог здания рейхстага</w:t>
        </w:r>
      </w:hyperlink>
      <w:r w:rsidRPr="00C33834">
        <w:rPr>
          <w:color w:val="000000" w:themeColor="text1"/>
          <w:sz w:val="16"/>
          <w:szCs w:val="16"/>
        </w:rPr>
        <w:t>. Предполагаемые участники поджога: штурмовики Виллен, Эггерт, Ралль, Штейнле, эсэсовцы Гильдиш, Войте, Гепке, Зандер, Тойфль. С собой они взяли 60 кг фосфора и пропитанный им же шнур длиной 100 метров.</w:t>
      </w:r>
    </w:p>
    <w:p w14:paraId="5786A48B" w14:textId="77777777" w:rsidR="00150BD8" w:rsidRPr="00C33834" w:rsidRDefault="00150BD8" w:rsidP="00C33834">
      <w:pPr>
        <w:pStyle w:val="ae"/>
        <w:spacing w:before="0" w:after="0"/>
        <w:jc w:val="both"/>
        <w:rPr>
          <w:color w:val="000000" w:themeColor="text1"/>
          <w:sz w:val="16"/>
          <w:szCs w:val="16"/>
        </w:rPr>
      </w:pPr>
      <w:r w:rsidRPr="00C33834">
        <w:rPr>
          <w:color w:val="000000" w:themeColor="text1"/>
          <w:sz w:val="16"/>
          <w:szCs w:val="16"/>
        </w:rPr>
        <w:t xml:space="preserve">Вину за поджог попытались свалить на пятерых человек: </w:t>
      </w:r>
      <w:hyperlink r:id="rId34" w:tooltip="Ван дер Люббе, Маринус" w:history="1">
        <w:r w:rsidRPr="00C33834">
          <w:rPr>
            <w:rStyle w:val="a5"/>
            <w:color w:val="000000" w:themeColor="text1"/>
            <w:sz w:val="16"/>
            <w:szCs w:val="16"/>
            <w:u w:val="none"/>
          </w:rPr>
          <w:t>Ван дер Люббе</w:t>
        </w:r>
      </w:hyperlink>
      <w:r w:rsidRPr="00C33834">
        <w:rPr>
          <w:color w:val="000000" w:themeColor="text1"/>
          <w:sz w:val="16"/>
          <w:szCs w:val="16"/>
        </w:rPr>
        <w:t xml:space="preserve"> (имевшего 25 % зрения), лидера парламентской фракции компартии Германии </w:t>
      </w:r>
      <w:hyperlink r:id="rId35" w:tooltip="Торглер, Эрнст" w:history="1">
        <w:r w:rsidRPr="00C33834">
          <w:rPr>
            <w:rStyle w:val="a5"/>
            <w:color w:val="000000" w:themeColor="text1"/>
            <w:sz w:val="16"/>
            <w:szCs w:val="16"/>
            <w:u w:val="none"/>
          </w:rPr>
          <w:t>Эрнста Торглера</w:t>
        </w:r>
      </w:hyperlink>
      <w:r w:rsidRPr="00C33834">
        <w:rPr>
          <w:color w:val="000000" w:themeColor="text1"/>
          <w:sz w:val="16"/>
          <w:szCs w:val="16"/>
        </w:rPr>
        <w:t xml:space="preserve"> и троих болгарских коммунистов — </w:t>
      </w:r>
      <w:hyperlink r:id="rId36" w:tooltip="Димитров, Георгий Михайлович" w:history="1">
        <w:r w:rsidRPr="00C33834">
          <w:rPr>
            <w:rStyle w:val="a5"/>
            <w:color w:val="000000" w:themeColor="text1"/>
            <w:sz w:val="16"/>
            <w:szCs w:val="16"/>
            <w:u w:val="none"/>
          </w:rPr>
          <w:t>Георгия Димитрова</w:t>
        </w:r>
      </w:hyperlink>
      <w:r w:rsidRPr="00C33834">
        <w:rPr>
          <w:color w:val="000000" w:themeColor="text1"/>
          <w:sz w:val="16"/>
          <w:szCs w:val="16"/>
        </w:rPr>
        <w:t xml:space="preserve">, </w:t>
      </w:r>
      <w:hyperlink r:id="rId37" w:tooltip="Танев, Васил" w:history="1">
        <w:r w:rsidRPr="00C33834">
          <w:rPr>
            <w:rStyle w:val="a5"/>
            <w:color w:val="000000" w:themeColor="text1"/>
            <w:sz w:val="16"/>
            <w:szCs w:val="16"/>
            <w:u w:val="none"/>
          </w:rPr>
          <w:t>Васила Танева</w:t>
        </w:r>
      </w:hyperlink>
      <w:r w:rsidRPr="00C33834">
        <w:rPr>
          <w:color w:val="000000" w:themeColor="text1"/>
          <w:sz w:val="16"/>
          <w:szCs w:val="16"/>
        </w:rPr>
        <w:t xml:space="preserve"> и </w:t>
      </w:r>
      <w:hyperlink r:id="rId38" w:tooltip="Попов, Благой" w:history="1">
        <w:r w:rsidRPr="00C33834">
          <w:rPr>
            <w:rStyle w:val="a5"/>
            <w:color w:val="000000" w:themeColor="text1"/>
            <w:sz w:val="16"/>
            <w:szCs w:val="16"/>
            <w:u w:val="none"/>
          </w:rPr>
          <w:t>Благоя Попова</w:t>
        </w:r>
      </w:hyperlink>
      <w:r w:rsidRPr="00C33834">
        <w:rPr>
          <w:color w:val="000000" w:themeColor="text1"/>
          <w:sz w:val="16"/>
          <w:szCs w:val="16"/>
        </w:rPr>
        <w:t>. На нацистском Лейпцигском процессе четыре из пяти были оправданы. Был осужден к смертной казни Ван дер Люббе (в настоящее время реабилитирован). Поджог рейхстага наиболее выгоден был нацистам, они мгновенно объявили КПГ вне закона, 28 февраля было объявлено чрезвычайное положение, действовавшее до конца гитлеровского режима.</w:t>
      </w:r>
    </w:p>
    <w:p w14:paraId="63635238" w14:textId="77777777" w:rsidR="00150BD8" w:rsidRPr="00C33834" w:rsidRDefault="00150BD8" w:rsidP="00C33834">
      <w:pPr>
        <w:pStyle w:val="ae"/>
        <w:spacing w:before="0" w:after="0"/>
        <w:jc w:val="both"/>
        <w:rPr>
          <w:color w:val="000000" w:themeColor="text1"/>
          <w:sz w:val="16"/>
          <w:szCs w:val="16"/>
        </w:rPr>
      </w:pPr>
      <w:r w:rsidRPr="00C33834">
        <w:rPr>
          <w:color w:val="000000" w:themeColor="text1"/>
          <w:sz w:val="16"/>
          <w:szCs w:val="16"/>
        </w:rPr>
        <w:t xml:space="preserve">Но даже в таких «тепличных» условиях на </w:t>
      </w:r>
      <w:hyperlink r:id="rId39" w:tooltip="Парламентские выборы в Германии (1933, март)" w:history="1">
        <w:r w:rsidRPr="00C33834">
          <w:rPr>
            <w:rStyle w:val="a5"/>
            <w:color w:val="000000" w:themeColor="text1"/>
            <w:sz w:val="16"/>
            <w:szCs w:val="16"/>
            <w:u w:val="none"/>
          </w:rPr>
          <w:t>выборах в рейхстаг</w:t>
        </w:r>
      </w:hyperlink>
      <w:hyperlink r:id="rId40" w:tooltip="5 марта" w:history="1">
        <w:r w:rsidRPr="00C33834">
          <w:rPr>
            <w:rStyle w:val="a5"/>
            <w:color w:val="000000" w:themeColor="text1"/>
            <w:sz w:val="16"/>
            <w:szCs w:val="16"/>
            <w:u w:val="none"/>
          </w:rPr>
          <w:t>5 марта</w:t>
        </w:r>
      </w:hyperlink>
      <w:hyperlink r:id="rId41" w:tooltip="1933 год" w:history="1">
        <w:r w:rsidRPr="00C33834">
          <w:rPr>
            <w:rStyle w:val="highlight1"/>
            <w:b w:val="0"/>
            <w:color w:val="000000" w:themeColor="text1"/>
            <w:sz w:val="16"/>
            <w:szCs w:val="16"/>
          </w:rPr>
          <w:t> 1933 </w:t>
        </w:r>
      </w:hyperlink>
      <w:r w:rsidRPr="00C33834">
        <w:rPr>
          <w:color w:val="000000" w:themeColor="text1"/>
          <w:sz w:val="16"/>
          <w:szCs w:val="16"/>
        </w:rPr>
        <w:t xml:space="preserve"> года, НСДАП по официальным данным набрала 17,3 миллиона голосов — примерно на 3 миллиона меньше, чем требовалось, чтобы иметь в рейхстаге 50 % голосов (17274).</w:t>
      </w:r>
    </w:p>
    <w:p w14:paraId="7456137E" w14:textId="77777777" w:rsidR="00150BD8" w:rsidRPr="00C33834" w:rsidRDefault="00150BD8" w:rsidP="00C33834">
      <w:pPr>
        <w:spacing w:after="0" w:line="240" w:lineRule="auto"/>
        <w:jc w:val="both"/>
        <w:rPr>
          <w:rFonts w:ascii="Times New Roman" w:hAnsi="Times New Roman"/>
          <w:color w:val="000000" w:themeColor="text1"/>
          <w:sz w:val="16"/>
          <w:szCs w:val="16"/>
        </w:rPr>
      </w:pPr>
    </w:p>
    <w:p w14:paraId="2536D138" w14:textId="77777777" w:rsidR="00E372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3052257" w14:textId="77777777" w:rsidR="00E37239" w:rsidRPr="00C33834" w:rsidRDefault="00E37239" w:rsidP="00C33834">
      <w:pPr>
        <w:spacing w:after="0" w:line="240" w:lineRule="auto"/>
        <w:jc w:val="both"/>
        <w:rPr>
          <w:rFonts w:ascii="Times New Roman" w:hAnsi="Times New Roman"/>
          <w:iCs/>
          <w:color w:val="000000" w:themeColor="text1"/>
          <w:sz w:val="16"/>
          <w:szCs w:val="16"/>
        </w:rPr>
      </w:pPr>
    </w:p>
    <w:p w14:paraId="37034B0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января 1933 началось испытание передач двигателей для самолета Д1-10М34 (тяжелый десантный) на 2-х электромоторах постоянного тока. Испытание передач продолжалось с 16 марта на 2-х моторах М27, и к 1 апреля было наработано общей сложностью 2,5 часа (3516).</w:t>
      </w:r>
    </w:p>
    <w:p w14:paraId="146158AE" w14:textId="77777777" w:rsidR="00E37239" w:rsidRPr="00C33834" w:rsidRDefault="00E37239" w:rsidP="00C33834">
      <w:pPr>
        <w:spacing w:after="0" w:line="240" w:lineRule="auto"/>
        <w:jc w:val="both"/>
        <w:rPr>
          <w:rFonts w:ascii="Times New Roman" w:hAnsi="Times New Roman"/>
          <w:color w:val="000000" w:themeColor="text1"/>
          <w:sz w:val="16"/>
          <w:szCs w:val="16"/>
        </w:rPr>
      </w:pPr>
    </w:p>
    <w:p w14:paraId="7593D39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23 января 1933 г. начались испытания опытного образца мотоустановки для Д-1 или Г-1 - два спаренных М-27 (по фамилии конструктора основной редуктор в документах иногда именовали "агрегат т. Дзюбе"). После многократных поломок 9 апреля запуски прекратили. Вместо двух М-27 поставили пару М-17 меньшей мощности. С ними до 20 июня "агрегат" наработал 58 ч.</w:t>
      </w:r>
    </w:p>
    <w:p w14:paraId="4329338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15 февраля 1933 г. были выполнены все рабочие чертежи оперения, 98% чертежей шасси, 94% - фюзеляжа, 70% - консолей крыла, 50% - нервюр центроплана. К 1 апреля 1933 г. академия должна была предъявить макет самолета. Был ли он изготовлен - неизвестно.</w:t>
      </w:r>
    </w:p>
    <w:p w14:paraId="1EAA9CA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по Г-1 (Д-1) приостановили в первом квартале 1934 г. Причина была тривиальной - кончились отпущенные деньги. Готовность опытного образца в это время определяли в 70%. По оценкам конструкторов, для завершения машины требовалось еще 508 000 рублей (12036).</w:t>
      </w:r>
    </w:p>
    <w:p w14:paraId="1247BD7C" w14:textId="77777777" w:rsidR="00E37239" w:rsidRPr="00C33834" w:rsidRDefault="00E37239" w:rsidP="00C33834">
      <w:pPr>
        <w:spacing w:after="0" w:line="240" w:lineRule="auto"/>
        <w:jc w:val="both"/>
        <w:rPr>
          <w:rFonts w:ascii="Times New Roman" w:hAnsi="Times New Roman"/>
          <w:color w:val="000000" w:themeColor="text1"/>
          <w:sz w:val="16"/>
          <w:szCs w:val="16"/>
        </w:rPr>
      </w:pPr>
    </w:p>
    <w:p w14:paraId="653CEE39" w14:textId="77777777" w:rsidR="00B06AD3" w:rsidRPr="00C33834" w:rsidRDefault="00B06A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января 1933 г. на пла</w:t>
      </w:r>
      <w:r w:rsidRPr="00C33834">
        <w:rPr>
          <w:rFonts w:ascii="Times New Roman" w:hAnsi="Times New Roman"/>
          <w:color w:val="000000" w:themeColor="text1"/>
          <w:sz w:val="16"/>
          <w:szCs w:val="16"/>
        </w:rPr>
        <w:softHyphen/>
        <w:t>нерной станции «Первомайская» вблизи одноименной железнодорожной стан</w:t>
      </w:r>
      <w:r w:rsidRPr="00C33834">
        <w:rPr>
          <w:rFonts w:ascii="Times New Roman" w:hAnsi="Times New Roman"/>
          <w:color w:val="000000" w:themeColor="text1"/>
          <w:sz w:val="16"/>
          <w:szCs w:val="16"/>
        </w:rPr>
        <w:softHyphen/>
        <w:t>ции под Москвой состоялись испытания БИЧ-12. По</w:t>
      </w:r>
      <w:r w:rsidRPr="00C33834">
        <w:rPr>
          <w:rFonts w:ascii="Times New Roman" w:hAnsi="Times New Roman"/>
          <w:color w:val="000000" w:themeColor="text1"/>
          <w:sz w:val="16"/>
          <w:szCs w:val="16"/>
        </w:rPr>
        <w:softHyphen/>
        <w:t>леты осуществлялись на пологом склоне при помощи резинового амортизатора. Пилоты Молчанов, Подрезков, Романов отмечали, что БИЧ-12 устойчив и прия</w:t>
      </w:r>
      <w:r w:rsidRPr="00C33834">
        <w:rPr>
          <w:rFonts w:ascii="Times New Roman" w:hAnsi="Times New Roman"/>
          <w:color w:val="000000" w:themeColor="text1"/>
          <w:sz w:val="16"/>
          <w:szCs w:val="16"/>
        </w:rPr>
        <w:softHyphen/>
        <w:t>тен в полете. Особенно важным счита лось, что предположения конструктора оправдались, планер отлично управлял</w:t>
      </w:r>
      <w:r w:rsidRPr="00C33834">
        <w:rPr>
          <w:rFonts w:ascii="Times New Roman" w:hAnsi="Times New Roman"/>
          <w:color w:val="000000" w:themeColor="text1"/>
          <w:sz w:val="16"/>
          <w:szCs w:val="16"/>
        </w:rPr>
        <w:softHyphen/>
        <w:t>ся по курсу без вертикального оперения при помощи элеронов (17473).</w:t>
      </w:r>
    </w:p>
    <w:p w14:paraId="6D8BF90A" w14:textId="77777777" w:rsidR="00B06AD3" w:rsidRPr="00C33834" w:rsidRDefault="00B06AD3" w:rsidP="00C33834">
      <w:pPr>
        <w:spacing w:after="0" w:line="240" w:lineRule="auto"/>
        <w:jc w:val="both"/>
        <w:rPr>
          <w:rFonts w:ascii="Times New Roman" w:hAnsi="Times New Roman"/>
          <w:color w:val="000000" w:themeColor="text1"/>
          <w:sz w:val="16"/>
          <w:szCs w:val="16"/>
        </w:rPr>
      </w:pPr>
    </w:p>
    <w:p w14:paraId="2DDDE9E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января 1933 был подготовлен Доклад Пред. РВС О срыве поставки авиационных раций за 1932 г. с проектом в Политбюро ЦК ВКП(б) (3082).</w:t>
      </w:r>
    </w:p>
    <w:p w14:paraId="3562DA5F" w14:textId="77777777" w:rsidR="00E37239" w:rsidRPr="00C33834" w:rsidRDefault="00E37239" w:rsidP="00C33834">
      <w:pPr>
        <w:spacing w:after="0" w:line="240" w:lineRule="auto"/>
        <w:jc w:val="both"/>
        <w:rPr>
          <w:rFonts w:ascii="Times New Roman" w:hAnsi="Times New Roman"/>
          <w:color w:val="000000" w:themeColor="text1"/>
          <w:sz w:val="16"/>
          <w:szCs w:val="16"/>
        </w:rPr>
      </w:pPr>
    </w:p>
    <w:p w14:paraId="2C6042BC" w14:textId="77777777" w:rsidR="00E372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03ECE012" w14:textId="77777777" w:rsidR="00E37239" w:rsidRPr="00C33834" w:rsidRDefault="00E37239" w:rsidP="00C33834">
      <w:pPr>
        <w:spacing w:after="0" w:line="240" w:lineRule="auto"/>
        <w:jc w:val="both"/>
        <w:rPr>
          <w:rFonts w:ascii="Times New Roman" w:hAnsi="Times New Roman"/>
          <w:iCs/>
          <w:color w:val="000000" w:themeColor="text1"/>
          <w:sz w:val="16"/>
          <w:szCs w:val="16"/>
        </w:rPr>
      </w:pPr>
    </w:p>
    <w:p w14:paraId="315CC7BD" w14:textId="77777777" w:rsidR="00E37239" w:rsidRPr="00C33834" w:rsidRDefault="00E372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января 1933 К. Станиславский в письме к гардеробщикам МХАТа заявил: «Театр начинается с вешалки» (4962).</w:t>
      </w:r>
    </w:p>
    <w:p w14:paraId="4F677626" w14:textId="77777777" w:rsidR="00E37239" w:rsidRPr="00C33834" w:rsidRDefault="00E37239" w:rsidP="00C33834">
      <w:pPr>
        <w:tabs>
          <w:tab w:val="left" w:pos="11199"/>
        </w:tabs>
        <w:spacing w:after="0" w:line="240" w:lineRule="auto"/>
        <w:jc w:val="both"/>
        <w:rPr>
          <w:rFonts w:ascii="Times New Roman" w:hAnsi="Times New Roman"/>
          <w:color w:val="000000" w:themeColor="text1"/>
          <w:sz w:val="16"/>
          <w:szCs w:val="16"/>
        </w:rPr>
      </w:pPr>
    </w:p>
    <w:p w14:paraId="4F2C7D80" w14:textId="77777777" w:rsidR="00E372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78D76E57" w14:textId="77777777" w:rsidR="00E37239" w:rsidRPr="00C33834" w:rsidRDefault="00E37239" w:rsidP="00C33834">
      <w:pPr>
        <w:spacing w:after="0" w:line="240" w:lineRule="auto"/>
        <w:jc w:val="both"/>
        <w:rPr>
          <w:rFonts w:ascii="Times New Roman" w:hAnsi="Times New Roman"/>
          <w:iCs/>
          <w:color w:val="000000" w:themeColor="text1"/>
          <w:sz w:val="16"/>
          <w:szCs w:val="16"/>
        </w:rPr>
      </w:pPr>
    </w:p>
    <w:p w14:paraId="7BB0ED7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января 1933 г. всего за неделю до смены власти в Германии Председатель СНК СССР В. М. Молотов в докладе на очередной сессии ЦИК СССР заявил: «Наши отношения с другими государствами, как правило, развивались вполне нормально, несмотря на происходившие смены в правительствах отдельных стран. Поскольку наши отношения с иностранными державами определяются прежде всего нашим внутренним ростом, ростом сил Советской власти, эти отношения крепли в силу самой логики вещей. Особое место в этих взаимоотношениях принадлежит Германии. Из всех стран, имеющих с нами дипломатические отношения, с Германией мы имели и имеем наиболее крепкие хозяйственные связи. И это не случайно. Это вытекает из интересов обеих стран» (III сессия ЦИК Союза ССР 6-го созыва. Стенографический отчет. 23-30 января 1933 г. Бюллетень № 1. М., 1933, с. 37-38) (11784).</w:t>
      </w:r>
    </w:p>
    <w:p w14:paraId="4D9239B5" w14:textId="77777777" w:rsidR="00E37239" w:rsidRPr="00C33834" w:rsidRDefault="00E37239" w:rsidP="00C33834">
      <w:pPr>
        <w:spacing w:after="0" w:line="240" w:lineRule="auto"/>
        <w:jc w:val="both"/>
        <w:rPr>
          <w:rFonts w:ascii="Times New Roman" w:hAnsi="Times New Roman"/>
          <w:color w:val="000000" w:themeColor="text1"/>
          <w:sz w:val="16"/>
          <w:szCs w:val="16"/>
        </w:rPr>
      </w:pPr>
    </w:p>
    <w:p w14:paraId="7DBCA200" w14:textId="77777777" w:rsidR="00254098" w:rsidRPr="00C33834" w:rsidRDefault="0025409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января 1933 г. всего за неделю до смены власти в Германии Председатель СНК СССР В. М. Молотов в докладе на очередной сессии ЦИК СССР заявил:</w:t>
      </w:r>
    </w:p>
    <w:p w14:paraId="489FE49E" w14:textId="77777777" w:rsidR="00254098" w:rsidRPr="00C33834" w:rsidRDefault="0025409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«Наши отношения с другими государствами, как правило, развивались вполне нормально, несмотря на происходившие смены в правительствах отдельных стран. Поскольку наши отношения с иностранными державами определяются прежде всего нашим внутренним ростом, ростом сил Советской власти, эти отношения крепли в силу самой логики вещей. Особое место в этих взаимоотношениях принадлежит Германии. Из всех стран, имеющих с нами дипломатические отношения, с Германией мы имели и имеем наиболее крепкие хозяйственные связи. И это не случайно. Это вытекает из интересов обеих стран» (18265).</w:t>
      </w:r>
    </w:p>
    <w:p w14:paraId="39125CBD" w14:textId="77777777" w:rsidR="00254098" w:rsidRPr="00C33834" w:rsidRDefault="00254098" w:rsidP="00C33834">
      <w:pPr>
        <w:spacing w:after="0" w:line="240" w:lineRule="auto"/>
        <w:jc w:val="both"/>
        <w:rPr>
          <w:rFonts w:ascii="Times New Roman" w:hAnsi="Times New Roman"/>
          <w:color w:val="000000" w:themeColor="text1"/>
          <w:sz w:val="16"/>
          <w:szCs w:val="16"/>
        </w:rPr>
      </w:pPr>
    </w:p>
    <w:p w14:paraId="107C8240" w14:textId="77777777" w:rsidR="00E372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39D7E96" w14:textId="77777777" w:rsidR="00E37239" w:rsidRPr="00C33834" w:rsidRDefault="00E37239" w:rsidP="00C33834">
      <w:pPr>
        <w:spacing w:after="0" w:line="240" w:lineRule="auto"/>
        <w:jc w:val="both"/>
        <w:rPr>
          <w:rFonts w:ascii="Times New Roman" w:hAnsi="Times New Roman"/>
          <w:iCs/>
          <w:color w:val="000000" w:themeColor="text1"/>
          <w:sz w:val="16"/>
          <w:szCs w:val="16"/>
        </w:rPr>
      </w:pPr>
    </w:p>
    <w:p w14:paraId="1C0DEFD9" w14:textId="77777777" w:rsidR="00991BE3" w:rsidRPr="00C33834" w:rsidRDefault="00991BE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января 1933 в НТК состоялось расширенное совещание по вопросу О летающем танке Кристи, на котором докладывал Зам. Нач. Управления ВВС Наумов:</w:t>
      </w:r>
    </w:p>
    <w:p w14:paraId="5DB729E1" w14:textId="6D911328" w:rsidR="00991BE3" w:rsidRPr="00C33834" w:rsidRDefault="004125F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w:t>
      </w:r>
      <w:r w:rsidR="00991BE3" w:rsidRPr="00C33834">
        <w:rPr>
          <w:rFonts w:ascii="Times New Roman" w:hAnsi="Times New Roman"/>
          <w:color w:val="000000" w:themeColor="text1"/>
          <w:sz w:val="16"/>
          <w:szCs w:val="16"/>
        </w:rPr>
        <w:t>У Кристи имеется только идея летающего танка, не выполненная даже в чертежах</w:t>
      </w:r>
    </w:p>
    <w:p w14:paraId="56CE729B" w14:textId="77777777" w:rsidR="00991BE3" w:rsidRPr="00C33834" w:rsidRDefault="00991BE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Учитывая финансовые затруднения Кристи и его желание приехать в СССР для работы - считать целесообразным пригласить его к нам и просить Зам. Пред. Тухачевского поручить ведение переговоров с Кристи Халепскому (3879,36).</w:t>
      </w:r>
    </w:p>
    <w:p w14:paraId="490F844B" w14:textId="77777777" w:rsidR="00991BE3" w:rsidRPr="00C33834" w:rsidRDefault="00991BE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поддержали</w:t>
      </w:r>
    </w:p>
    <w:p w14:paraId="7352FEDE" w14:textId="77777777" w:rsidR="00991BE3" w:rsidRPr="00C33834" w:rsidRDefault="00991BE3" w:rsidP="00C33834">
      <w:pPr>
        <w:spacing w:after="0" w:line="240" w:lineRule="auto"/>
        <w:jc w:val="both"/>
        <w:rPr>
          <w:rFonts w:ascii="Times New Roman" w:hAnsi="Times New Roman"/>
          <w:iCs/>
          <w:color w:val="000000" w:themeColor="text1"/>
          <w:sz w:val="16"/>
          <w:szCs w:val="16"/>
        </w:rPr>
      </w:pPr>
    </w:p>
    <w:p w14:paraId="520891BE" w14:textId="77777777" w:rsidR="00991BE3" w:rsidRPr="00C33834" w:rsidRDefault="00991BE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24 января 1933 г. по получении из НИИ ВВС заключения на технический проект </w:t>
      </w:r>
      <w:hyperlink r:id="rId42"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а Рафаэлянца, прошло совещание с участием зам. начальника РККА Наумова, начальника 4-го управления штаба РККА Берзина, пом. начальника УММ РККА Бокиса, начальника НТУ УММ Лебедева.</w:t>
      </w:r>
    </w:p>
    <w:p w14:paraId="2DCC130C" w14:textId="77777777" w:rsidR="00991BE3" w:rsidRPr="00C33834" w:rsidRDefault="00991BE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 рассмотрение совещания были также представлены материалы, полученные из 4-го управления по летающему </w:t>
      </w:r>
      <w:hyperlink r:id="rId43"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у Кристи, заключение 4-го управления по этим материалам.</w:t>
      </w:r>
    </w:p>
    <w:p w14:paraId="090371DA" w14:textId="77777777" w:rsidR="00991BE3" w:rsidRPr="00C33834" w:rsidRDefault="00991BE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Совещание приняло постановление:</w:t>
      </w:r>
    </w:p>
    <w:p w14:paraId="64337E67" w14:textId="77777777" w:rsidR="00991BE3" w:rsidRPr="00C33834" w:rsidRDefault="00991BE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По полученным 4-м управлением штаба РККА материалам можно совершенно точно установить, что у Кристи имеется только идея летающего </w:t>
      </w:r>
      <w:hyperlink r:id="rId44"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а, невьтолненная даже в чертежах, а представленные материалы ни в технической, ни в расчетной части не обоснованы, совершенно не разработана летная часть конструкции </w:t>
      </w:r>
      <w:hyperlink r:id="rId45"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а и не обоснована мощность мотора, что показали ориентировочные подсчеты НИИ ВВС и опыт проектирования и разработки чертежей летающего </w:t>
      </w:r>
      <w:hyperlink r:id="rId46"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а, выполненный нашим конструктором т. Рафаэлянц.</w:t>
      </w:r>
    </w:p>
    <w:p w14:paraId="268516D4" w14:textId="77777777" w:rsidR="00991BE3" w:rsidRPr="00C33834" w:rsidRDefault="00991BE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Напечатанные в мировой прессе сообщения о летающем </w:t>
      </w:r>
      <w:hyperlink r:id="rId47"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е Кристи являются не более и не менее как рекламой, и в настоящее время Кристи имеет улучшенный образец </w:t>
      </w:r>
      <w:hyperlink r:id="rId48"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а 1932 г., который не прыгает и не летает.</w:t>
      </w:r>
    </w:p>
    <w:p w14:paraId="5AC97B96" w14:textId="77777777" w:rsidR="00991BE3" w:rsidRPr="00C33834" w:rsidRDefault="00991BE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 Просить заместителя председателя РВС СССР тов. Тухачевского поручить начальнику УММ тов. Халепскому на месте уточнить вопрос о летающем </w:t>
      </w:r>
      <w:hyperlink r:id="rId49"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е и только после его доклада принять решение.</w:t>
      </w:r>
    </w:p>
    <w:p w14:paraId="7E9708A6" w14:textId="77777777" w:rsidR="00991BE3" w:rsidRPr="00C33834" w:rsidRDefault="00991BE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Учитывая финансовые затруднения Кристи и его желание приехать к нам в Союз для работы — считать целесообразным приглашение к нам и просить зампреда т. Тухачевского поручить ведение переговоров с Кристи т. Халепскому» (15632).</w:t>
      </w:r>
    </w:p>
    <w:p w14:paraId="0333BC5F" w14:textId="77777777" w:rsidR="00991BE3" w:rsidRPr="00C33834" w:rsidRDefault="00991BE3" w:rsidP="00C33834">
      <w:pPr>
        <w:spacing w:after="0" w:line="240" w:lineRule="auto"/>
        <w:jc w:val="both"/>
        <w:rPr>
          <w:rFonts w:ascii="Times New Roman" w:hAnsi="Times New Roman"/>
          <w:color w:val="000000" w:themeColor="text1"/>
          <w:sz w:val="16"/>
          <w:szCs w:val="16"/>
        </w:rPr>
      </w:pPr>
    </w:p>
    <w:p w14:paraId="72CE49EC" w14:textId="77777777" w:rsidR="00254098" w:rsidRPr="00C33834" w:rsidRDefault="0025409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24 января 1933 определила комиссия в составе руководителей УММ РККА и представителей КБ Рафаэлянца дальнейшую судьбу проекта летающего танка.</w:t>
      </w:r>
    </w:p>
    <w:p w14:paraId="6EF6D287" w14:textId="77777777" w:rsidR="00254098" w:rsidRPr="00C33834" w:rsidRDefault="0025409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Выводы были следующие:</w:t>
      </w:r>
    </w:p>
    <w:p w14:paraId="0DF77643" w14:textId="77777777" w:rsidR="00254098" w:rsidRPr="00C33834" w:rsidRDefault="0025409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Версия о том, что М.1933 может летать абсолютно не проработана. Отсутствуют какие-либо расчёты и чертежи, кроме утверждений Кристи;</w:t>
      </w:r>
    </w:p>
    <w:p w14:paraId="6980AD7F" w14:textId="77777777" w:rsidR="00254098" w:rsidRPr="00C33834" w:rsidRDefault="0025409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Появившиеся в мировой СМИ статьи о летающем танке Кристи это исключительно материалы рекламного характера;</w:t>
      </w:r>
    </w:p>
    <w:p w14:paraId="088CD415" w14:textId="77777777" w:rsidR="00254098" w:rsidRPr="00C33834" w:rsidRDefault="0025409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Поручить Халепскому (в то время находился в США) на месте уточнить этот вопрос более детально и доложить. Принимать окончательное решение после поступления данной информации;</w:t>
      </w:r>
    </w:p>
    <w:p w14:paraId="1DB0CF2C" w14:textId="77777777" w:rsidR="00254098" w:rsidRPr="00C33834" w:rsidRDefault="0025409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Пригласить Кристи для работы в СССР, учитывая его сложное материальное положение (19529).</w:t>
      </w:r>
    </w:p>
    <w:p w14:paraId="23087E8A" w14:textId="77777777" w:rsidR="00254098" w:rsidRPr="00C33834" w:rsidRDefault="00254098" w:rsidP="00C33834">
      <w:pPr>
        <w:spacing w:after="0" w:line="240" w:lineRule="auto"/>
        <w:jc w:val="both"/>
        <w:rPr>
          <w:rFonts w:ascii="Times New Roman" w:eastAsia="Times New Roman" w:hAnsi="Times New Roman"/>
          <w:color w:val="000000" w:themeColor="text1"/>
          <w:sz w:val="16"/>
          <w:szCs w:val="16"/>
          <w:lang w:eastAsia="ru-RU"/>
        </w:rPr>
      </w:pPr>
    </w:p>
    <w:p w14:paraId="17EB266A" w14:textId="77777777" w:rsidR="00254098" w:rsidRPr="00C33834" w:rsidRDefault="00254098" w:rsidP="00C33834">
      <w:pPr>
        <w:pStyle w:val="ae"/>
        <w:shd w:val="clear" w:color="auto" w:fill="FFFFFF"/>
        <w:spacing w:before="0" w:after="0"/>
        <w:jc w:val="both"/>
        <w:rPr>
          <w:color w:val="000000" w:themeColor="text1"/>
          <w:sz w:val="16"/>
          <w:szCs w:val="16"/>
        </w:rPr>
      </w:pPr>
      <w:r w:rsidRPr="00C33834">
        <w:rPr>
          <w:color w:val="000000" w:themeColor="text1"/>
          <w:sz w:val="16"/>
          <w:szCs w:val="16"/>
        </w:rPr>
        <w:t>24 января 1933 г. по получении из НИИ ВВС заключения на технический проект танка Рафаэлянца, прошло совещание с участием зам. начальника РККА Наумова, начальника 4-го управления штаба РККА Берзина, пом. начальника УММ РККА Бокиса, начальника НТУ УММ Лебедева.</w:t>
      </w:r>
    </w:p>
    <w:p w14:paraId="332D5F6A" w14:textId="77777777" w:rsidR="00254098" w:rsidRPr="00C33834" w:rsidRDefault="00254098" w:rsidP="00C33834">
      <w:pPr>
        <w:pStyle w:val="ae"/>
        <w:shd w:val="clear" w:color="auto" w:fill="FFFFFF"/>
        <w:spacing w:before="0" w:after="0"/>
        <w:jc w:val="both"/>
        <w:rPr>
          <w:color w:val="000000" w:themeColor="text1"/>
          <w:sz w:val="16"/>
          <w:szCs w:val="16"/>
        </w:rPr>
      </w:pPr>
      <w:r w:rsidRPr="00C33834">
        <w:rPr>
          <w:color w:val="000000" w:themeColor="text1"/>
          <w:sz w:val="16"/>
          <w:szCs w:val="16"/>
        </w:rPr>
        <w:t>На рассмотрение совещания были также представлены материалы, полученные из 4-го управления по летающему танку Кристи, заключение 4-го управления по этим материалам.</w:t>
      </w:r>
    </w:p>
    <w:p w14:paraId="6EB2341B" w14:textId="77777777" w:rsidR="00254098" w:rsidRPr="00C33834" w:rsidRDefault="00254098" w:rsidP="00C33834">
      <w:pPr>
        <w:pStyle w:val="ae"/>
        <w:shd w:val="clear" w:color="auto" w:fill="FFFFFF"/>
        <w:spacing w:before="0" w:after="0"/>
        <w:jc w:val="both"/>
        <w:rPr>
          <w:color w:val="000000" w:themeColor="text1"/>
          <w:sz w:val="16"/>
          <w:szCs w:val="16"/>
        </w:rPr>
      </w:pPr>
      <w:r w:rsidRPr="00C33834">
        <w:rPr>
          <w:color w:val="000000" w:themeColor="text1"/>
          <w:sz w:val="16"/>
          <w:szCs w:val="16"/>
        </w:rPr>
        <w:t>Совещание приняло постановление:</w:t>
      </w:r>
    </w:p>
    <w:p w14:paraId="4585DE67" w14:textId="77777777" w:rsidR="00254098" w:rsidRPr="00C33834" w:rsidRDefault="00254098" w:rsidP="00C33834">
      <w:pPr>
        <w:pStyle w:val="ae"/>
        <w:shd w:val="clear" w:color="auto" w:fill="FFFFFF"/>
        <w:spacing w:before="0" w:after="0"/>
        <w:jc w:val="both"/>
        <w:rPr>
          <w:iCs/>
          <w:color w:val="000000" w:themeColor="text1"/>
          <w:sz w:val="16"/>
          <w:szCs w:val="16"/>
        </w:rPr>
      </w:pPr>
      <w:r w:rsidRPr="00C33834">
        <w:rPr>
          <w:iCs/>
          <w:color w:val="000000" w:themeColor="text1"/>
          <w:sz w:val="16"/>
          <w:szCs w:val="16"/>
        </w:rPr>
        <w:t>«1. По полученным 4-м управлением штаба РККА материалам можно совершенно точно установить, что у Кристи имеется только идея летающего танка, невьтолненная даже в чертежах, а представленные материалы ни в технической, ни в расчетной части не обоснованы, совершенно не разработана летная часть конструкции танка и не обоснована мощность мотора, что показали ориентировочные подсчеты НИИ ВВС и опыт проектирования и разработки чертежей летающего танка, выполненный нашим конструктором т. Рафаэлянц.</w:t>
      </w:r>
    </w:p>
    <w:p w14:paraId="3BB1F327" w14:textId="77777777" w:rsidR="00254098" w:rsidRPr="00C33834" w:rsidRDefault="00254098" w:rsidP="00C33834">
      <w:pPr>
        <w:pStyle w:val="ae"/>
        <w:shd w:val="clear" w:color="auto" w:fill="FFFFFF"/>
        <w:spacing w:before="0" w:after="0"/>
        <w:jc w:val="both"/>
        <w:rPr>
          <w:iCs/>
          <w:color w:val="000000" w:themeColor="text1"/>
          <w:sz w:val="16"/>
          <w:szCs w:val="16"/>
        </w:rPr>
      </w:pPr>
      <w:r w:rsidRPr="00C33834">
        <w:rPr>
          <w:iCs/>
          <w:color w:val="000000" w:themeColor="text1"/>
          <w:sz w:val="16"/>
          <w:szCs w:val="16"/>
        </w:rPr>
        <w:t>2. Напечатанные в мировой прессе сообщения о летающем танке Кристи являются не более и не менее как рекламой, и в настоящее время Кристи имеет улучшенный образец танка 1932 г., который не прыгает и не летает.</w:t>
      </w:r>
    </w:p>
    <w:p w14:paraId="34CA01ED" w14:textId="77777777" w:rsidR="00254098" w:rsidRPr="00C33834" w:rsidRDefault="00254098" w:rsidP="00C33834">
      <w:pPr>
        <w:pStyle w:val="ae"/>
        <w:shd w:val="clear" w:color="auto" w:fill="FFFFFF"/>
        <w:spacing w:before="0" w:after="0"/>
        <w:jc w:val="both"/>
        <w:rPr>
          <w:iCs/>
          <w:color w:val="000000" w:themeColor="text1"/>
          <w:sz w:val="16"/>
          <w:szCs w:val="16"/>
        </w:rPr>
      </w:pPr>
      <w:r w:rsidRPr="00C33834">
        <w:rPr>
          <w:iCs/>
          <w:color w:val="000000" w:themeColor="text1"/>
          <w:sz w:val="16"/>
          <w:szCs w:val="16"/>
        </w:rPr>
        <w:t>3. Просить заместителя председателя РВС СССР тов. Тухачевского поручить начальнику УММ тов. Халепскому на месте уточнить вопрос о летающем танке и только после его доклада принять решение.</w:t>
      </w:r>
    </w:p>
    <w:p w14:paraId="44B8A402" w14:textId="77777777" w:rsidR="00254098" w:rsidRPr="00C33834" w:rsidRDefault="00254098" w:rsidP="00C33834">
      <w:pPr>
        <w:pStyle w:val="ae"/>
        <w:shd w:val="clear" w:color="auto" w:fill="FFFFFF"/>
        <w:spacing w:before="0" w:after="0"/>
        <w:jc w:val="both"/>
        <w:rPr>
          <w:iCs/>
          <w:color w:val="000000" w:themeColor="text1"/>
          <w:sz w:val="16"/>
          <w:szCs w:val="16"/>
        </w:rPr>
      </w:pPr>
      <w:r w:rsidRPr="00C33834">
        <w:rPr>
          <w:iCs/>
          <w:color w:val="000000" w:themeColor="text1"/>
          <w:sz w:val="16"/>
          <w:szCs w:val="16"/>
        </w:rPr>
        <w:t>4. Учитывая финансовые затруднения Кристи и его желание приехать к нам в Союз для работы — считать целесообразным приглашение к нам и просить зампреда т. Тухачевского поручить ведение переговоров с Кристи т. Халепскому» (19530).</w:t>
      </w:r>
    </w:p>
    <w:p w14:paraId="7A78C26E" w14:textId="77777777" w:rsidR="00254098" w:rsidRPr="00C33834" w:rsidRDefault="00254098" w:rsidP="00C33834">
      <w:pPr>
        <w:pStyle w:val="ae"/>
        <w:shd w:val="clear" w:color="auto" w:fill="FFFFFF"/>
        <w:spacing w:before="0" w:after="0"/>
        <w:jc w:val="both"/>
        <w:rPr>
          <w:color w:val="000000" w:themeColor="text1"/>
          <w:sz w:val="16"/>
          <w:szCs w:val="16"/>
        </w:rPr>
      </w:pPr>
    </w:p>
    <w:p w14:paraId="2C9E8CBE" w14:textId="77777777" w:rsidR="004125F7" w:rsidRPr="00C33834" w:rsidRDefault="004125F7" w:rsidP="00C33834">
      <w:pPr>
        <w:pStyle w:val="521"/>
        <w:shd w:val="clear" w:color="auto" w:fill="auto"/>
        <w:spacing w:line="240" w:lineRule="auto"/>
        <w:rPr>
          <w:rFonts w:ascii="Times New Roman" w:hAnsi="Times New Roman" w:cs="Times New Roman"/>
          <w:color w:val="0070C0"/>
          <w:sz w:val="16"/>
          <w:szCs w:val="16"/>
        </w:rPr>
      </w:pPr>
      <w:r w:rsidRPr="00C33834">
        <w:rPr>
          <w:rStyle w:val="aff"/>
          <w:rFonts w:ascii="Times New Roman" w:hAnsi="Times New Roman" w:cs="Times New Roman"/>
          <w:color w:val="0070C0"/>
          <w:spacing w:val="0"/>
          <w:sz w:val="16"/>
          <w:szCs w:val="16"/>
        </w:rPr>
        <w:t>24 янва</w:t>
      </w:r>
      <w:r w:rsidRPr="00C33834">
        <w:rPr>
          <w:rStyle w:val="aff"/>
          <w:rFonts w:ascii="Times New Roman" w:hAnsi="Times New Roman" w:cs="Times New Roman"/>
          <w:color w:val="0070C0"/>
          <w:spacing w:val="0"/>
          <w:sz w:val="16"/>
          <w:szCs w:val="16"/>
        </w:rPr>
        <w:softHyphen/>
        <w:t xml:space="preserve">ря 1933 года Петр Ионович Баранов </w:t>
      </w:r>
      <w:r w:rsidRPr="00C33834">
        <w:rPr>
          <w:rStyle w:val="aff"/>
          <w:rFonts w:ascii="Times New Roman" w:hAnsi="Times New Roman" w:cs="Times New Roman"/>
          <w:color w:val="0070C0"/>
          <w:spacing w:val="0"/>
          <w:sz w:val="16"/>
          <w:szCs w:val="16"/>
          <w:lang w:val="ru-RU"/>
        </w:rPr>
        <w:t xml:space="preserve">подписал </w:t>
      </w:r>
      <w:r w:rsidRPr="00C33834">
        <w:rPr>
          <w:rStyle w:val="aff"/>
          <w:rFonts w:ascii="Times New Roman" w:hAnsi="Times New Roman" w:cs="Times New Roman"/>
          <w:color w:val="0070C0"/>
          <w:spacing w:val="0"/>
          <w:sz w:val="16"/>
          <w:szCs w:val="16"/>
        </w:rPr>
        <w:t>отчете по опытному строительству моторов и самолетов за 1932 год</w:t>
      </w:r>
      <w:r w:rsidRPr="00C33834">
        <w:rPr>
          <w:rStyle w:val="aff"/>
          <w:rFonts w:ascii="Times New Roman" w:hAnsi="Times New Roman" w:cs="Times New Roman"/>
          <w:color w:val="0070C0"/>
          <w:spacing w:val="0"/>
          <w:sz w:val="16"/>
          <w:szCs w:val="16"/>
          <w:lang w:val="ru-RU"/>
        </w:rPr>
        <w:t>. В отношении автожира Камова говорилось</w:t>
      </w:r>
      <w:r w:rsidRPr="00C33834">
        <w:rPr>
          <w:rStyle w:val="aff"/>
          <w:rFonts w:ascii="Times New Roman" w:hAnsi="Times New Roman" w:cs="Times New Roman"/>
          <w:color w:val="0070C0"/>
          <w:spacing w:val="0"/>
          <w:sz w:val="16"/>
          <w:szCs w:val="16"/>
        </w:rPr>
        <w:t>: «Проекти</w:t>
      </w:r>
      <w:r w:rsidRPr="00C33834">
        <w:rPr>
          <w:rStyle w:val="aff"/>
          <w:rFonts w:ascii="Times New Roman" w:hAnsi="Times New Roman" w:cs="Times New Roman"/>
          <w:color w:val="0070C0"/>
          <w:spacing w:val="0"/>
          <w:sz w:val="16"/>
          <w:szCs w:val="16"/>
        </w:rPr>
        <w:softHyphen/>
        <w:t>рование машины в основном закончено, и основные элементы этого аппарата находят</w:t>
      </w:r>
      <w:r w:rsidRPr="00C33834">
        <w:rPr>
          <w:rStyle w:val="aff"/>
          <w:rFonts w:ascii="Times New Roman" w:hAnsi="Times New Roman" w:cs="Times New Roman"/>
          <w:color w:val="0070C0"/>
          <w:spacing w:val="0"/>
          <w:sz w:val="16"/>
          <w:szCs w:val="16"/>
        </w:rPr>
        <w:softHyphen/>
        <w:t>ся в постройке. Срок выпуска машины ориен</w:t>
      </w:r>
      <w:r w:rsidRPr="00C33834">
        <w:rPr>
          <w:rStyle w:val="aff"/>
          <w:rFonts w:ascii="Times New Roman" w:hAnsi="Times New Roman" w:cs="Times New Roman"/>
          <w:color w:val="0070C0"/>
          <w:spacing w:val="0"/>
          <w:sz w:val="16"/>
          <w:szCs w:val="16"/>
        </w:rPr>
        <w:softHyphen/>
        <w:t>тировочно намечается на 1 мая 1933 года. Задержка при проектировании произошла из-за невозможности своевременно подо</w:t>
      </w:r>
      <w:r w:rsidRPr="00C33834">
        <w:rPr>
          <w:rStyle w:val="aff"/>
          <w:rFonts w:ascii="Times New Roman" w:hAnsi="Times New Roman" w:cs="Times New Roman"/>
          <w:color w:val="0070C0"/>
          <w:spacing w:val="0"/>
          <w:sz w:val="16"/>
          <w:szCs w:val="16"/>
        </w:rPr>
        <w:softHyphen/>
        <w:t>брать конструкторские кадры и из-за целого ряда трудностей, возникших при проектиро</w:t>
      </w:r>
      <w:r w:rsidRPr="00C33834">
        <w:rPr>
          <w:rStyle w:val="aff"/>
          <w:rFonts w:ascii="Times New Roman" w:hAnsi="Times New Roman" w:cs="Times New Roman"/>
          <w:color w:val="0070C0"/>
          <w:spacing w:val="0"/>
          <w:sz w:val="16"/>
          <w:szCs w:val="16"/>
        </w:rPr>
        <w:softHyphen/>
        <w:t>вании этой машины»</w:t>
      </w:r>
      <w:r w:rsidRPr="00C33834">
        <w:rPr>
          <w:rStyle w:val="aff"/>
          <w:rFonts w:ascii="Times New Roman" w:hAnsi="Times New Roman" w:cs="Times New Roman"/>
          <w:color w:val="0070C0"/>
          <w:spacing w:val="0"/>
          <w:sz w:val="16"/>
          <w:szCs w:val="16"/>
          <w:lang w:val="ru-RU"/>
        </w:rPr>
        <w:t xml:space="preserve"> (19868)</w:t>
      </w:r>
      <w:r w:rsidRPr="00C33834">
        <w:rPr>
          <w:rStyle w:val="aff"/>
          <w:rFonts w:ascii="Times New Roman" w:hAnsi="Times New Roman" w:cs="Times New Roman"/>
          <w:color w:val="0070C0"/>
          <w:spacing w:val="0"/>
          <w:sz w:val="16"/>
          <w:szCs w:val="16"/>
        </w:rPr>
        <w:t>.</w:t>
      </w:r>
    </w:p>
    <w:p w14:paraId="598A1A55" w14:textId="77777777" w:rsidR="004125F7" w:rsidRPr="00C33834" w:rsidRDefault="004125F7" w:rsidP="00C33834">
      <w:pPr>
        <w:spacing w:after="0" w:line="240" w:lineRule="auto"/>
        <w:jc w:val="both"/>
        <w:rPr>
          <w:rFonts w:ascii="Times New Roman" w:hAnsi="Times New Roman"/>
          <w:color w:val="0070C0"/>
          <w:sz w:val="16"/>
          <w:szCs w:val="16"/>
          <w:lang w:val="ru"/>
        </w:rPr>
      </w:pPr>
    </w:p>
    <w:p w14:paraId="05C7F0C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января 1933 года зам. наркомтяжпрома Баранов</w:t>
      </w:r>
    </w:p>
    <w:p w14:paraId="626C845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Отчет по опытному строительству моторов и самолетов за 1932 год</w:t>
      </w:r>
    </w:p>
    <w:p w14:paraId="781CED9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Основная задача работ по опытному строительству в 1932 году заключалась в удовлетворении нужд ВВФ опытными боевыми экземплярами и подготовка их к внедрению в серийное производство. Параллельною задачею стояло улучшение и доводка объектов принятых уже на вооружение.</w:t>
      </w:r>
    </w:p>
    <w:p w14:paraId="08D3B5B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Разрешение этих задач должно было вылиться в повышение максимальных скоростей, скороподъемностей, увеличении, грузоподъемностей, лучшей вооруженности, увеличений мощности моторов, в снабжении их редукторами и нагнетателями, в уменьшении веса конструкции.</w:t>
      </w:r>
    </w:p>
    <w:p w14:paraId="3CEEEAB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Исходя из указанного, Правительством были поставлены первоочередными задачами:</w:t>
      </w:r>
    </w:p>
    <w:p w14:paraId="34AE97D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моторостроению:</w:t>
      </w:r>
    </w:p>
    <w:p w14:paraId="2904D40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доводки и развитие М-34 (редуктор, нагнетатель, реверс, однорядный, облегченный);</w:t>
      </w:r>
    </w:p>
    <w:p w14:paraId="3946C2B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создание типов истребительных моторов М-38 воздушного охлаждения, и особенно М-32 – водяного охлаждения;</w:t>
      </w:r>
    </w:p>
    <w:p w14:paraId="6AA9E7A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постройка мощного бензинового двигателя М-44, сосредоточив на этом все основные силы по мощным бензиновым двигателям.</w:t>
      </w:r>
    </w:p>
    <w:p w14:paraId="132A1DA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самолетостроению.</w:t>
      </w:r>
    </w:p>
    <w:p w14:paraId="51C0A44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создание типов вполне современных истребителей одно-, двух и многоместных;</w:t>
      </w:r>
    </w:p>
    <w:p w14:paraId="666A0C8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форсирование работ по постройке образцов тяжелого бомбардировщика (ТБ-4);</w:t>
      </w:r>
    </w:p>
    <w:p w14:paraId="0D6EA83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создание типов морских лодочных самолетов (МК1, МДР3 и др.).</w:t>
      </w:r>
    </w:p>
    <w:p w14:paraId="69387A1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образцы должны отвечать современным техническим требованиям и по своим качествам стоять не ниже первоклассных заграничных моторов и самолетов; кроме того, моторы должны быть снабжены новейшими типами агрегатов и приспособлений, а самолеты – стрелкового, бомбардировочного и химического вооружения.</w:t>
      </w:r>
    </w:p>
    <w:p w14:paraId="36B1512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исполнение изложенного в 1932 году производились следующие опытные работы:</w:t>
      </w:r>
    </w:p>
    <w:p w14:paraId="4B82010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моторостроению: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88"/>
        <w:gridCol w:w="7326"/>
      </w:tblGrid>
      <w:tr w:rsidR="00F26F01" w:rsidRPr="00C33834" w14:paraId="39C490AE" w14:textId="77777777">
        <w:tc>
          <w:tcPr>
            <w:tcW w:w="2988" w:type="dxa"/>
          </w:tcPr>
          <w:p w14:paraId="556D6F0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Бензиновые двигатели водяного охлаждения</w:t>
            </w:r>
          </w:p>
        </w:tc>
        <w:tc>
          <w:tcPr>
            <w:tcW w:w="7326" w:type="dxa"/>
          </w:tcPr>
          <w:p w14:paraId="624986C8" w14:textId="77777777" w:rsidR="00E37239" w:rsidRPr="00C33834" w:rsidRDefault="00E37239" w:rsidP="00C33834">
            <w:pPr>
              <w:spacing w:after="0" w:line="240" w:lineRule="auto"/>
              <w:jc w:val="both"/>
              <w:rPr>
                <w:rFonts w:ascii="Times New Roman" w:hAnsi="Times New Roman"/>
                <w:color w:val="000000" w:themeColor="text1"/>
                <w:sz w:val="16"/>
                <w:szCs w:val="16"/>
              </w:rPr>
            </w:pPr>
          </w:p>
        </w:tc>
      </w:tr>
      <w:tr w:rsidR="00F26F01" w:rsidRPr="00C33834" w14:paraId="61F5DD4A" w14:textId="77777777">
        <w:tc>
          <w:tcPr>
            <w:tcW w:w="2988" w:type="dxa"/>
          </w:tcPr>
          <w:p w14:paraId="44EF3DE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p w14:paraId="29258BF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750 л.с.</w:t>
            </w:r>
          </w:p>
          <w:p w14:paraId="2077A1E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600 кг</w:t>
            </w:r>
          </w:p>
          <w:p w14:paraId="288A071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Госиспытания прошел в ноябре 1931 года</w:t>
            </w:r>
          </w:p>
          <w:p w14:paraId="523EA25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 и завод № 24</w:t>
            </w:r>
          </w:p>
        </w:tc>
        <w:tc>
          <w:tcPr>
            <w:tcW w:w="7326" w:type="dxa"/>
          </w:tcPr>
          <w:p w14:paraId="47E7E60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Внедрен в серийное производство на заводе № 24 с мая 1932 года.</w:t>
            </w:r>
          </w:p>
          <w:p w14:paraId="266FD03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целью определения надежности выдержал дополнительно 50 часовое испытание на полном газу, каковое закончилось 26 ноября 1932 года, причем показал мощность 830-840 л.с. Задержками в выпуске серии служили: выкрашивание баббита в подшипниках, увеличенный расход масла, повышенный износ трущихся деталей.</w:t>
            </w:r>
          </w:p>
          <w:p w14:paraId="2A93A0A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настоящее время совместной работой ЦИАМа и завода № 24 эти дефекты в основном изжиты. Дальнейшие опытные работы (по ЦИАМу и заводу № 24) сводятся к:</w:t>
            </w:r>
          </w:p>
          <w:p w14:paraId="7C86015F" w14:textId="77777777" w:rsidR="00E37239" w:rsidRPr="00C33834" w:rsidRDefault="00E37239"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r w:rsidRPr="00C33834">
              <w:rPr>
                <w:rFonts w:ascii="Times New Roman" w:hAnsi="Times New Roman"/>
                <w:color w:val="000000" w:themeColor="text1"/>
                <w:sz w:val="16"/>
                <w:szCs w:val="16"/>
              </w:rPr>
              <w:tab/>
              <w:t>Увеличению надежности мотора с доводкой работы без переборки до 200 часов.</w:t>
            </w:r>
          </w:p>
          <w:p w14:paraId="3BEFA541" w14:textId="77777777" w:rsidR="00E37239" w:rsidRPr="00C33834" w:rsidRDefault="00E37239"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r w:rsidRPr="00C33834">
              <w:rPr>
                <w:rFonts w:ascii="Times New Roman" w:hAnsi="Times New Roman"/>
                <w:color w:val="000000" w:themeColor="text1"/>
                <w:sz w:val="16"/>
                <w:szCs w:val="16"/>
              </w:rPr>
              <w:tab/>
              <w:t>Снижению расхода масла.</w:t>
            </w:r>
          </w:p>
          <w:p w14:paraId="73A37F4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мотору ЦИАМом спроектирован и изготовлен карбюратор (К-34), который прошел длительные испытания и показал хорошие результаты.</w:t>
            </w:r>
          </w:p>
          <w:p w14:paraId="6257EB9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производстве карбюратор значительно проще заграничных. В настоящее время внедряется в серийное производство на заводе № 33, что освобождает нас от импорта карбюраторов к мотору М34.</w:t>
            </w:r>
          </w:p>
        </w:tc>
      </w:tr>
      <w:tr w:rsidR="00F26F01" w:rsidRPr="00C33834" w14:paraId="2B51A67C" w14:textId="77777777">
        <w:tc>
          <w:tcPr>
            <w:tcW w:w="2988" w:type="dxa"/>
          </w:tcPr>
          <w:p w14:paraId="30374D2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М-34Р (с редуктором)</w:t>
            </w:r>
          </w:p>
          <w:p w14:paraId="5496BE6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750 л.с.</w:t>
            </w:r>
          </w:p>
          <w:p w14:paraId="361295C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610 кг</w:t>
            </w:r>
          </w:p>
          <w:p w14:paraId="020A08B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Плановый срок госиспытаний 15 ноября 1932 года</w:t>
            </w:r>
          </w:p>
          <w:p w14:paraId="55FDC24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c>
          <w:tcPr>
            <w:tcW w:w="7326" w:type="dxa"/>
          </w:tcPr>
          <w:p w14:paraId="0313F20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закончен производством 6 ноября 1932 года и поступил на заводские испытания, на которых в течение 46 часов определен режим работы мотора:</w:t>
            </w:r>
          </w:p>
          <w:p w14:paraId="2F397A5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860 л.с. при оборот. = 1900</w:t>
            </w:r>
          </w:p>
          <w:p w14:paraId="4B166BF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800 л.с. при оборот. = 1850</w:t>
            </w:r>
          </w:p>
          <w:p w14:paraId="3638BAD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725 л.с. при оборот. = 1785</w:t>
            </w:r>
          </w:p>
          <w:p w14:paraId="3964E1B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время испытаний редуктор показал хорошие результаты.</w:t>
            </w:r>
          </w:p>
          <w:p w14:paraId="6E32E20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готовится на 50-часовое испытание без разборки.</w:t>
            </w:r>
          </w:p>
          <w:p w14:paraId="3115C5C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марта 1933 года будет предъявлен.</w:t>
            </w:r>
          </w:p>
        </w:tc>
      </w:tr>
      <w:tr w:rsidR="00F26F01" w:rsidRPr="00C33834" w14:paraId="1ACB9F5F" w14:textId="77777777">
        <w:tc>
          <w:tcPr>
            <w:tcW w:w="2988" w:type="dxa"/>
          </w:tcPr>
          <w:p w14:paraId="766C9D3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ГМ-34 с реверсом</w:t>
            </w:r>
          </w:p>
          <w:p w14:paraId="3FD738D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750 л.с.</w:t>
            </w:r>
          </w:p>
          <w:p w14:paraId="3EAC7A6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12 цилиндровый</w:t>
            </w:r>
          </w:p>
          <w:p w14:paraId="79E19E2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980 кг</w:t>
            </w:r>
          </w:p>
          <w:p w14:paraId="5F7C65D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Плановый срок госиспытаний – октябрь 1932 года</w:t>
            </w:r>
          </w:p>
          <w:p w14:paraId="425B4A0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c>
          <w:tcPr>
            <w:tcW w:w="7326" w:type="dxa"/>
          </w:tcPr>
          <w:p w14:paraId="4333205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Предварительными работами послужило изготовление 2-х реверсов под мотор АССО, которые прошли госиспытания в августе 1932 года и тогда же были сданы УВМС.</w:t>
            </w:r>
          </w:p>
          <w:p w14:paraId="1B6BAB5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ГМ-34 представляет модификацию М-34 с целью применения его на морских быстроходных катерах, для чего требовалось снабдить его механизмом, обеспечивающим возможность перемены направления вращения винта.</w:t>
            </w:r>
          </w:p>
          <w:p w14:paraId="0C99731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 должен был изготовлять детали для 3-х экземпляров моторов, отличные от мотора М-34, все же идентичные детали доставлялись заводом № 24.</w:t>
            </w:r>
          </w:p>
          <w:p w14:paraId="75DFFEB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экземпляр, законченный 3 ноября 1932 года находится на испытаниях, наработал 20 часов. Состояние деталей удовлетворительное.</w:t>
            </w:r>
          </w:p>
          <w:p w14:paraId="2D3B540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готовится на длительные заводские испытания и 15 марта 1933 года будет предъявлен на госиспытания.</w:t>
            </w:r>
          </w:p>
          <w:p w14:paraId="5814389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Задержкой послужили разрушение фрикционных дисков и, гл. образом, необходимость устранения дефектов в основном моторе М-34, который закончил свою доводку к декабрю 1932 года.</w:t>
            </w:r>
          </w:p>
        </w:tc>
      </w:tr>
      <w:tr w:rsidR="00F26F01" w:rsidRPr="00C33834" w14:paraId="78954A66" w14:textId="77777777">
        <w:tc>
          <w:tcPr>
            <w:tcW w:w="2988" w:type="dxa"/>
          </w:tcPr>
          <w:p w14:paraId="10ADC0E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М-54Н (форсированный М34)</w:t>
            </w:r>
          </w:p>
          <w:p w14:paraId="74CF0D8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900 л.с.</w:t>
            </w:r>
          </w:p>
          <w:p w14:paraId="4646CE2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12 цилиндровый</w:t>
            </w:r>
          </w:p>
          <w:p w14:paraId="2560A85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600 кг</w:t>
            </w:r>
          </w:p>
          <w:p w14:paraId="082694C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Н=5000</w:t>
            </w:r>
          </w:p>
          <w:p w14:paraId="4B257BB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Плановый срок госиспытаний – май 1933 года</w:t>
            </w:r>
          </w:p>
          <w:p w14:paraId="7807FFE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c>
          <w:tcPr>
            <w:tcW w:w="7326" w:type="dxa"/>
          </w:tcPr>
          <w:p w14:paraId="65F06A3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намечен как развитие М-34 путем форсирования его до мощности допускаемой конструкцией мотора.</w:t>
            </w:r>
          </w:p>
          <w:p w14:paraId="532806E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ЦИАМом в 1932 году проведены испытания:</w:t>
            </w:r>
          </w:p>
          <w:p w14:paraId="419E22A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 установлению методов форсировки мотора М-34;</w:t>
            </w:r>
          </w:p>
          <w:p w14:paraId="6AA49D8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работы мотора на повышенном режиме.</w:t>
            </w:r>
          </w:p>
          <w:p w14:paraId="483D73E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Изготовлена экспериментальная установка с одним блоком мотора М34 и начаты испытания на ней. Работы идут по плану.</w:t>
            </w:r>
          </w:p>
        </w:tc>
      </w:tr>
      <w:tr w:rsidR="00F26F01" w:rsidRPr="00C33834" w14:paraId="78AD6087" w14:textId="77777777">
        <w:tc>
          <w:tcPr>
            <w:tcW w:w="2988" w:type="dxa"/>
          </w:tcPr>
          <w:p w14:paraId="12541C3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М-55Н. Перевернутый М-34.</w:t>
            </w:r>
          </w:p>
          <w:p w14:paraId="3FCA8EC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750 л.с.</w:t>
            </w:r>
          </w:p>
          <w:p w14:paraId="58D4D96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12 цилиндровый</w:t>
            </w:r>
          </w:p>
          <w:p w14:paraId="78A57EE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600 кг</w:t>
            </w:r>
          </w:p>
          <w:p w14:paraId="0002B4D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Н=5000</w:t>
            </w:r>
          </w:p>
          <w:p w14:paraId="02DF9FA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Срок госиспытаний – 1 августа 1933 года </w:t>
            </w:r>
          </w:p>
          <w:p w14:paraId="57FC887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c>
          <w:tcPr>
            <w:tcW w:w="7326" w:type="dxa"/>
          </w:tcPr>
          <w:p w14:paraId="0E0BE06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должен был представлять собой модификацию М-34 (перевернутый мотор). Цель модификации дать улучшение обзора с самолета, имеющего одномоторную установку (разведчик). Эту работу ЦИАМ не форсировал, имея более актуальные задачи и на основании имеющихся за границей экспериментальных работ, результат которых не получил широкого применения, ЦИАМ пришел к выводам, что такой мотор даст не вполне целесообразное и надежное решение поставленной задачи, а потому считаю необходимым просить о снятии этого мотора с программы 1933 года.</w:t>
            </w:r>
          </w:p>
        </w:tc>
      </w:tr>
      <w:tr w:rsidR="00F26F01" w:rsidRPr="00C33834" w14:paraId="14A446CD" w14:textId="77777777">
        <w:tc>
          <w:tcPr>
            <w:tcW w:w="2988" w:type="dxa"/>
          </w:tcPr>
          <w:p w14:paraId="2E5D1E5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М-35РН</w:t>
            </w:r>
          </w:p>
          <w:p w14:paraId="4560EC4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1500 л.с.</w:t>
            </w:r>
          </w:p>
          <w:p w14:paraId="325469D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1300 кг</w:t>
            </w:r>
          </w:p>
          <w:p w14:paraId="6B6DD42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Х-обр. 24 цилиндровый</w:t>
            </w:r>
          </w:p>
          <w:p w14:paraId="6F70644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Н=5000</w:t>
            </w:r>
          </w:p>
          <w:p w14:paraId="45C3297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Госиспытания – 1 апреля 1933 года</w:t>
            </w:r>
          </w:p>
          <w:p w14:paraId="6B1BA7C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c>
          <w:tcPr>
            <w:tcW w:w="7326" w:type="dxa"/>
          </w:tcPr>
          <w:p w14:paraId="1F016C4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предполагался как дельнейшее развитие М-34 путем удвоения числа цилиндров и предназначался для тяжелых самолетов. ЦИАМом проведена разработка проекта и подвергнута обсуждению совместно с представителями ЦАГИ И УВВС. В результате имевших место совещаний Институт пришел к заключению, что уже выполненные типы опытных моторов сумеют удовлетворить все основные типы самолетов (истребительных, разведывательных, бомбовозов) и что насущной потребности в данном моторе не имеется. Кроме того, по мнению ряда специалистов ЦИАМ, ЦАГИ и УВВС, разработанный проект мотора даст не вполне целесообразное решение поставленной задачи. Исходя из этих соображений, считаю необходимым просить, также как и М-55Н, о снятии этого мотора с производства 1933 года.</w:t>
            </w:r>
          </w:p>
        </w:tc>
      </w:tr>
      <w:tr w:rsidR="00F26F01" w:rsidRPr="00C33834" w14:paraId="0BEBE54D" w14:textId="77777777">
        <w:tc>
          <w:tcPr>
            <w:tcW w:w="2988" w:type="dxa"/>
          </w:tcPr>
          <w:p w14:paraId="7D3CD9D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М-52</w:t>
            </w:r>
          </w:p>
          <w:p w14:paraId="227F311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400 л.с.</w:t>
            </w:r>
          </w:p>
          <w:p w14:paraId="048AA9D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6 цилиндровый</w:t>
            </w:r>
          </w:p>
          <w:p w14:paraId="56A2E50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300 кг</w:t>
            </w:r>
          </w:p>
          <w:p w14:paraId="4238959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госиспытаний – 1 октября 1932 года</w:t>
            </w:r>
          </w:p>
          <w:p w14:paraId="0FD03C4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c>
          <w:tcPr>
            <w:tcW w:w="7326" w:type="dxa"/>
          </w:tcPr>
          <w:p w14:paraId="42A4D83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предназначается для переходных типов самолетов (от учебного к боевому) в частях ВВС и для целой серии самолетов ГВФ. Создание этого мотора намечалось как модификация мотора М-34, путем уменьшения вдвое числа цилиндров мотора. ЦИАМ должен был изготовить 4 экземпляра мотора, из которых 2 экземпляра должны были быть установлены на самолеты. Части идентичные с мотором М-34 поставлялись заводом № 24, все же остальные изготовлялись в ЦИАМе.</w:t>
            </w:r>
          </w:p>
          <w:p w14:paraId="4906A15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закончен производством и поступил на испытания в начале ноября 1932 года, на которых дал мощность 480 л.с. при 1960 об/мин.</w:t>
            </w:r>
          </w:p>
          <w:p w14:paraId="1E67B89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аварии нижней половины картера, мотор находится на исправлении, после чего пройдет 50-часовое режимное испытание без переборки.</w:t>
            </w:r>
          </w:p>
          <w:p w14:paraId="0C21E8C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Будет предъявлен на госиспытания 15 марта 1933 года.</w:t>
            </w:r>
          </w:p>
        </w:tc>
      </w:tr>
      <w:tr w:rsidR="00F26F01" w:rsidRPr="00C33834" w14:paraId="116123DF" w14:textId="77777777">
        <w:tc>
          <w:tcPr>
            <w:tcW w:w="2988" w:type="dxa"/>
          </w:tcPr>
          <w:p w14:paraId="73C867A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М-32РН</w:t>
            </w:r>
          </w:p>
          <w:p w14:paraId="6A3C6F3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600 л.с.</w:t>
            </w:r>
          </w:p>
          <w:p w14:paraId="2B83883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16 цилиндровый</w:t>
            </w:r>
          </w:p>
          <w:p w14:paraId="700C994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400 кг</w:t>
            </w:r>
          </w:p>
          <w:p w14:paraId="2E609AE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госиспытаний – ноябрь 1932 года</w:t>
            </w:r>
          </w:p>
          <w:p w14:paraId="4B23314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c>
          <w:tcPr>
            <w:tcW w:w="7326" w:type="dxa"/>
          </w:tcPr>
          <w:p w14:paraId="2025AAA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Этот мотор предназначается для быстроходных самолетов и для некоторых категорий разведывательных машин.</w:t>
            </w:r>
          </w:p>
          <w:p w14:paraId="6010EEA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мотора закончено в ноябре 1932 года.</w:t>
            </w:r>
          </w:p>
          <w:p w14:paraId="049FA38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Задержка произошла в силу большого литейного брака. На заводских испытаниях обнаружен ряд дефектов: недостаточная жесткость водяной рубашки (при затяжке болтов деформируется и пропускает воду), трещины и выдавливание баббита на всех вкладышах шатунных и коренных подшипников. Мотор не держит полного газа.</w:t>
            </w:r>
          </w:p>
          <w:p w14:paraId="7B505FD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неполадки устранены. Поставлены усиленные блоки и мотор продолжает испытываться.</w:t>
            </w:r>
          </w:p>
          <w:p w14:paraId="557A462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проработал вполне удовлетворительно 50 часов и дал мощность 606 л.с.</w:t>
            </w:r>
          </w:p>
          <w:p w14:paraId="4EE207B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Заканчиваются производством еще 2 экземпляра.</w:t>
            </w:r>
          </w:p>
          <w:p w14:paraId="504F684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Предъявление на госиспытания намечено на 15 марта 1933 года.</w:t>
            </w:r>
          </w:p>
        </w:tc>
      </w:tr>
      <w:tr w:rsidR="00F26F01" w:rsidRPr="00C33834" w14:paraId="131F5FF1" w14:textId="77777777">
        <w:tc>
          <w:tcPr>
            <w:tcW w:w="2988" w:type="dxa"/>
          </w:tcPr>
          <w:p w14:paraId="56A9E9F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М-44Н</w:t>
            </w:r>
          </w:p>
          <w:p w14:paraId="4F80AAC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2000 л.с.</w:t>
            </w:r>
          </w:p>
          <w:p w14:paraId="1624612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12 цилиндровый</w:t>
            </w:r>
          </w:p>
          <w:p w14:paraId="0CB0966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1500 кг</w:t>
            </w:r>
          </w:p>
          <w:p w14:paraId="6D86907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Н=3500</w:t>
            </w:r>
          </w:p>
          <w:p w14:paraId="5E61BF2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госиспытаний – июль 1933 года</w:t>
            </w:r>
          </w:p>
          <w:p w14:paraId="66F05BB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c>
          <w:tcPr>
            <w:tcW w:w="7326" w:type="dxa"/>
          </w:tcPr>
          <w:p w14:paraId="2DFA8B8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предназначается для тяжелых многомоторных самолетов.</w:t>
            </w:r>
          </w:p>
          <w:p w14:paraId="7FC7F8B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Полностью закончена конструктивная разработка.</w:t>
            </w:r>
          </w:p>
          <w:p w14:paraId="359E28B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Изготовление деталей моторов выполнено на 50%. Изготовлена экспериментальная установка с одним цилиндром и на ней заканчивается цикл исследовательских испытаний в лаборатории.</w:t>
            </w:r>
          </w:p>
          <w:p w14:paraId="0F8C442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идут по плану.</w:t>
            </w:r>
          </w:p>
        </w:tc>
      </w:tr>
      <w:tr w:rsidR="00F26F01" w:rsidRPr="00C33834" w14:paraId="5DFC6937" w14:textId="77777777">
        <w:tc>
          <w:tcPr>
            <w:tcW w:w="2988" w:type="dxa"/>
          </w:tcPr>
          <w:p w14:paraId="35B056E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Звездообразные бензиновые моторы воздушного охлаждения</w:t>
            </w:r>
          </w:p>
        </w:tc>
        <w:tc>
          <w:tcPr>
            <w:tcW w:w="7326" w:type="dxa"/>
          </w:tcPr>
          <w:p w14:paraId="49019D4D" w14:textId="77777777" w:rsidR="00E37239" w:rsidRPr="00C33834" w:rsidRDefault="00E37239" w:rsidP="00C33834">
            <w:pPr>
              <w:spacing w:after="0" w:line="240" w:lineRule="auto"/>
              <w:jc w:val="both"/>
              <w:rPr>
                <w:rFonts w:ascii="Times New Roman" w:hAnsi="Times New Roman"/>
                <w:color w:val="000000" w:themeColor="text1"/>
                <w:sz w:val="16"/>
                <w:szCs w:val="16"/>
              </w:rPr>
            </w:pPr>
          </w:p>
        </w:tc>
      </w:tr>
      <w:tr w:rsidR="00F26F01" w:rsidRPr="00C33834" w14:paraId="2FF5756D" w14:textId="77777777">
        <w:tc>
          <w:tcPr>
            <w:tcW w:w="2988" w:type="dxa"/>
          </w:tcPr>
          <w:p w14:paraId="375D3F7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М-38Н</w:t>
            </w:r>
          </w:p>
          <w:p w14:paraId="0F57B17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600 л.с.</w:t>
            </w:r>
          </w:p>
          <w:p w14:paraId="323ED1E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400 кг</w:t>
            </w:r>
          </w:p>
          <w:p w14:paraId="2F0872C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госиспытаний – август 1932 года</w:t>
            </w:r>
          </w:p>
          <w:p w14:paraId="7228E60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c>
          <w:tcPr>
            <w:tcW w:w="7326" w:type="dxa"/>
          </w:tcPr>
          <w:p w14:paraId="260EA12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предназначается для истребительных самолетов. Кроме моторов, необходимых для заводских и государственных испытаний, ЦИАМ должен быть изготовить еще 2 мотора для установки на опытные самолеты. Был закончен производством к 1 мая 1932 года, в течение всего остального времени мотор находился на испытаниях, в результате которых был устранен целый ряд обнаруженных дефектов и было выяснено, что конструкция цилиндров, поршней и распределения является неудачной.</w:t>
            </w:r>
          </w:p>
          <w:p w14:paraId="1A48DE3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другой стороны испытания показали, что в отношении развиваемой мощности, надежности работы отдельных деталей (кривошипно-шатунный механизм, картер и пр.) проектные данные вполне подтвердились. Измененная конструкция цилиндров и других деталей запущена в производство с ноября 1932 года.</w:t>
            </w:r>
          </w:p>
          <w:p w14:paraId="78827CC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Суммарно мотор проработал около 200 часов, из них режимных около 80 часов.</w:t>
            </w:r>
          </w:p>
          <w:p w14:paraId="40FB094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Смонтирована одноцилиндровая установка, на которой будут вестись все дополнительные исследования.</w:t>
            </w:r>
          </w:p>
          <w:p w14:paraId="79A0FC2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Предполагаемый срок предъявления на госиспытания 1 мая 1933 года.</w:t>
            </w:r>
          </w:p>
        </w:tc>
      </w:tr>
      <w:tr w:rsidR="00F26F01" w:rsidRPr="00C33834" w14:paraId="662CC36A" w14:textId="77777777">
        <w:tc>
          <w:tcPr>
            <w:tcW w:w="2988" w:type="dxa"/>
          </w:tcPr>
          <w:p w14:paraId="76A69EC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М-38РН</w:t>
            </w:r>
          </w:p>
          <w:p w14:paraId="712528E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600 л.с.</w:t>
            </w:r>
          </w:p>
          <w:p w14:paraId="399E26C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430 кг</w:t>
            </w:r>
          </w:p>
          <w:p w14:paraId="0341FDC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Н=5000</w:t>
            </w:r>
          </w:p>
          <w:p w14:paraId="15B092B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госиспытаний – май 1933 года</w:t>
            </w:r>
          </w:p>
          <w:p w14:paraId="31F8E91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c>
          <w:tcPr>
            <w:tcW w:w="7326" w:type="dxa"/>
          </w:tcPr>
          <w:p w14:paraId="351234A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должен явиться модификацией М-38Н, которая заключается в применении на моторе редуктора, уменьшающего число оборотов винта, с целью сделать возможным применение мотора на многомоторных самолетах и улучшить отдачу мощности.</w:t>
            </w:r>
          </w:p>
          <w:p w14:paraId="167BA23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1932 году полностью закончена конструктивная разработка мотора и начата подготовка к его производству.</w:t>
            </w:r>
          </w:p>
          <w:p w14:paraId="200B223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идет по плану.</w:t>
            </w:r>
          </w:p>
        </w:tc>
      </w:tr>
      <w:tr w:rsidR="00F26F01" w:rsidRPr="00C33834" w14:paraId="4B53ACD8" w14:textId="77777777">
        <w:tc>
          <w:tcPr>
            <w:tcW w:w="2988" w:type="dxa"/>
          </w:tcPr>
          <w:p w14:paraId="5E51AA2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М-51</w:t>
            </w:r>
          </w:p>
          <w:p w14:paraId="7DF867A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100 л.с.</w:t>
            </w:r>
          </w:p>
          <w:p w14:paraId="3DAEB18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155 кг</w:t>
            </w:r>
          </w:p>
          <w:p w14:paraId="71DCE20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Госиспытания – январь 1932 года</w:t>
            </w:r>
          </w:p>
          <w:p w14:paraId="41D9096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29</w:t>
            </w:r>
          </w:p>
        </w:tc>
        <w:tc>
          <w:tcPr>
            <w:tcW w:w="7326" w:type="dxa"/>
          </w:tcPr>
          <w:p w14:paraId="3E4A97D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предназначается для замены М-11 на маломощных самолетах.</w:t>
            </w:r>
          </w:p>
          <w:p w14:paraId="4EB03B1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конструкции мотора проведена задача простоты, надежности и эксплуатации и удобства в производстве.</w:t>
            </w:r>
          </w:p>
          <w:p w14:paraId="59D7EAB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удовлетворительно пройденных заводских испытаниях мотор проработал 86 часов, после чего устранен ряд небольших неполадок и был затем предъявлен на госиспытания, каковые успешно закончил 16 октября 1932 года.</w:t>
            </w:r>
          </w:p>
        </w:tc>
      </w:tr>
      <w:tr w:rsidR="00F26F01" w:rsidRPr="00C33834" w14:paraId="0F6FFAC1" w14:textId="77777777">
        <w:tc>
          <w:tcPr>
            <w:tcW w:w="2988" w:type="dxa"/>
          </w:tcPr>
          <w:p w14:paraId="641AAFC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М-48</w:t>
            </w:r>
          </w:p>
          <w:p w14:paraId="6ED7942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165 л.с.</w:t>
            </w:r>
          </w:p>
          <w:p w14:paraId="5F5AA07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180 кг</w:t>
            </w:r>
          </w:p>
          <w:p w14:paraId="32CAAD0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госиспытаний – август 1932 года</w:t>
            </w:r>
          </w:p>
          <w:p w14:paraId="245DB1E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29</w:t>
            </w:r>
          </w:p>
        </w:tc>
        <w:tc>
          <w:tcPr>
            <w:tcW w:w="7326" w:type="dxa"/>
          </w:tcPr>
          <w:p w14:paraId="397FA1A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является модификацией М-51 и как 7-ми цилиндровое развитие его отличается , главным образом, задней частью картера, где устроен приводной импеллер для лучшего перемешивания смеси.</w:t>
            </w:r>
          </w:p>
          <w:p w14:paraId="70691AE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Закончен производством в июле 1932 года и поставлен на заводские испытания. Всего до конца 1932 года прошел 65 часов. Основные неполадки с всасывающими трубами, с фрикционной передачей к импеллеру.</w:t>
            </w:r>
          </w:p>
          <w:p w14:paraId="0B39A8D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Дефекты устранены. Испытания продолжаются. Получена мощность 195 л.с.</w:t>
            </w:r>
          </w:p>
          <w:p w14:paraId="3E10393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Будет предъявлен на госиспытания 1 февраля 1933 года.</w:t>
            </w:r>
          </w:p>
        </w:tc>
      </w:tr>
      <w:tr w:rsidR="00F26F01" w:rsidRPr="00C33834" w14:paraId="69262AB2" w14:textId="77777777">
        <w:tc>
          <w:tcPr>
            <w:tcW w:w="2988" w:type="dxa"/>
          </w:tcPr>
          <w:p w14:paraId="55F376A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3М-11 (внеплановый)</w:t>
            </w:r>
          </w:p>
          <w:p w14:paraId="781CF6B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65 л.с.</w:t>
            </w:r>
          </w:p>
          <w:p w14:paraId="0A32580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100 кг</w:t>
            </w:r>
          </w:p>
          <w:p w14:paraId="4866B96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29</w:t>
            </w:r>
          </w:p>
        </w:tc>
        <w:tc>
          <w:tcPr>
            <w:tcW w:w="7326" w:type="dxa"/>
          </w:tcPr>
          <w:p w14:paraId="27E3E0F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успешно закончил 28 декабря 1932 года. 100 часовое госиспытание.</w:t>
            </w:r>
          </w:p>
          <w:p w14:paraId="6C39315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Заканчиваются изготовлением еще 2 мотора.</w:t>
            </w:r>
          </w:p>
        </w:tc>
      </w:tr>
      <w:tr w:rsidR="00F26F01" w:rsidRPr="00C33834" w14:paraId="32E0FE8B" w14:textId="77777777">
        <w:tc>
          <w:tcPr>
            <w:tcW w:w="2988" w:type="dxa"/>
          </w:tcPr>
          <w:p w14:paraId="7840DE1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М-58 (22У) (внеплановый)</w:t>
            </w:r>
          </w:p>
          <w:p w14:paraId="6B94A94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630 л.с.</w:t>
            </w:r>
          </w:p>
          <w:p w14:paraId="412F57D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420 кг</w:t>
            </w:r>
          </w:p>
          <w:p w14:paraId="5048E85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Н=5000</w:t>
            </w:r>
          </w:p>
          <w:p w14:paraId="1805E4F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29</w:t>
            </w:r>
          </w:p>
        </w:tc>
        <w:tc>
          <w:tcPr>
            <w:tcW w:w="7326" w:type="dxa"/>
          </w:tcPr>
          <w:p w14:paraId="352C9FC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Мощный звездообразный двигатель для истребителей. Проект мотора закончен к 15 мая 1932 года. Обращено особое внимание на простоту конструкции и несмотря на наличие нагнетателя число деталей сведено до минимума. Мотор изготовлен в 3 экз. в октябре 1932 года.</w:t>
            </w:r>
          </w:p>
          <w:p w14:paraId="0BFA984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октября 1932 года поставлен на заводские испытания и наработал 20 часов. Основные дефекты: поломка роликов толкателя, недостаточная смазка шатунного механизма, неудовлетворительное уплотнение валика импеллера, поломка задней крышки.</w:t>
            </w:r>
          </w:p>
          <w:p w14:paraId="27B0560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Дефекты устраняются. Испытания продолжаются. Готовят мотор к прохождению длительного этапа, после чего намечено предъявить на госиспытания к 1 марта 1933 года.</w:t>
            </w:r>
          </w:p>
        </w:tc>
      </w:tr>
      <w:tr w:rsidR="00F26F01" w:rsidRPr="00C33834" w14:paraId="4C3B4B1E" w14:textId="77777777">
        <w:tc>
          <w:tcPr>
            <w:tcW w:w="2988" w:type="dxa"/>
          </w:tcPr>
          <w:p w14:paraId="7C91F69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Нефтяные моторы (авиадизеля)</w:t>
            </w:r>
          </w:p>
        </w:tc>
        <w:tc>
          <w:tcPr>
            <w:tcW w:w="7326" w:type="dxa"/>
          </w:tcPr>
          <w:p w14:paraId="06AD950A" w14:textId="77777777" w:rsidR="00E37239" w:rsidRPr="00C33834" w:rsidRDefault="00E37239" w:rsidP="00C33834">
            <w:pPr>
              <w:spacing w:after="0" w:line="240" w:lineRule="auto"/>
              <w:jc w:val="both"/>
              <w:rPr>
                <w:rFonts w:ascii="Times New Roman" w:hAnsi="Times New Roman"/>
                <w:color w:val="000000" w:themeColor="text1"/>
                <w:sz w:val="16"/>
                <w:szCs w:val="16"/>
              </w:rPr>
            </w:pPr>
          </w:p>
        </w:tc>
      </w:tr>
      <w:tr w:rsidR="00F26F01" w:rsidRPr="00C33834" w14:paraId="51A63153" w14:textId="77777777">
        <w:tc>
          <w:tcPr>
            <w:tcW w:w="2988" w:type="dxa"/>
          </w:tcPr>
          <w:p w14:paraId="19BD975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АН-1</w:t>
            </w:r>
          </w:p>
          <w:p w14:paraId="19649FF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600 л.с.</w:t>
            </w:r>
          </w:p>
          <w:p w14:paraId="445A27D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12 цилиндровый</w:t>
            </w:r>
          </w:p>
          <w:p w14:paraId="51B6494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840 кг</w:t>
            </w:r>
          </w:p>
          <w:p w14:paraId="5926062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Госиспытания – 1 марта 1933 года</w:t>
            </w:r>
          </w:p>
          <w:p w14:paraId="22C6EC7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c>
          <w:tcPr>
            <w:tcW w:w="7326" w:type="dxa"/>
          </w:tcPr>
          <w:p w14:paraId="4469A8E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должен явиться одним из первых авиационных двигателей, работающих на тяжелом топливе.</w:t>
            </w:r>
          </w:p>
          <w:p w14:paraId="2482924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Полностью закончена конструктивная разработка, начато производство 3 экземпляров моторов, закончено изготовление экспериментальной установки с одним цилиндром мотора и успешно проводятся большие экспериментальные испытания.</w:t>
            </w:r>
          </w:p>
          <w:p w14:paraId="40332D4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Одноцилиндровая установка наработала 100 часов и дала мощность 68 л.с.</w:t>
            </w:r>
          </w:p>
          <w:p w14:paraId="065DA59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новизны дела и отсутствия опыта не только у нас, но и за границей, а также большая сложность производства как ряда крупных деталей так и, главным образом, насосов для подачи горючего, а также несовременная подача поковок с заводов-поставщиков, срок предъявления на заводские испытания определен 15 мая 1933 года.</w:t>
            </w:r>
          </w:p>
        </w:tc>
      </w:tr>
      <w:tr w:rsidR="00F26F01" w:rsidRPr="00C33834" w14:paraId="050E5847" w14:textId="77777777">
        <w:tc>
          <w:tcPr>
            <w:tcW w:w="2988" w:type="dxa"/>
          </w:tcPr>
          <w:p w14:paraId="6FBF221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Экспериментальные работы</w:t>
            </w:r>
          </w:p>
        </w:tc>
        <w:tc>
          <w:tcPr>
            <w:tcW w:w="7326" w:type="dxa"/>
          </w:tcPr>
          <w:p w14:paraId="128B4CCF" w14:textId="77777777" w:rsidR="00E37239" w:rsidRPr="00C33834" w:rsidRDefault="00E37239" w:rsidP="00C33834">
            <w:pPr>
              <w:spacing w:after="0" w:line="240" w:lineRule="auto"/>
              <w:jc w:val="both"/>
              <w:rPr>
                <w:rFonts w:ascii="Times New Roman" w:hAnsi="Times New Roman"/>
                <w:color w:val="000000" w:themeColor="text1"/>
                <w:sz w:val="16"/>
                <w:szCs w:val="16"/>
              </w:rPr>
            </w:pPr>
          </w:p>
        </w:tc>
      </w:tr>
      <w:tr w:rsidR="00F26F01" w:rsidRPr="00C33834" w14:paraId="4EAEEEE8" w14:textId="77777777">
        <w:tc>
          <w:tcPr>
            <w:tcW w:w="2988" w:type="dxa"/>
          </w:tcPr>
          <w:p w14:paraId="125D3C5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……..ВПШ</w:t>
            </w:r>
          </w:p>
          <w:p w14:paraId="1DDF9C7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госиспытаний – 1 сентября 1932 года</w:t>
            </w:r>
          </w:p>
          <w:p w14:paraId="268214B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c>
          <w:tcPr>
            <w:tcW w:w="7326" w:type="dxa"/>
          </w:tcPr>
          <w:p w14:paraId="67616CA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 переменного шага необходим для сохранения тяги винта до большой высоты. При наличии ВПШ использование мощности мотора более выгодно и самолет получает лучшие летные данные при полете на высоте.</w:t>
            </w:r>
          </w:p>
          <w:p w14:paraId="1F91F0A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течение 1932 года были закончены конструктивные разработки по двум различным схемам: одной с гидравлическим механизмом поворота лопастей винта, а другой с электрическим приводом поворотного механизма. Пуск в производство указанных винтов был задержан до получения результатов испытаний экспериментального винта, изготовленного в 1931 году. Испытания экспериментального винта до мая 1932 года проводились в лаборатории, а с мая перенесены на аэродром для проверки работы винта в полете</w:t>
            </w:r>
          </w:p>
          <w:p w14:paraId="3CCAE48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Проводимые испытания винта на самолете в воздухе дают удовлетворительные результаты.</w:t>
            </w:r>
          </w:p>
        </w:tc>
      </w:tr>
    </w:tbl>
    <w:p w14:paraId="2810138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Правительственной программы 1932 года были проведены следующие работы:</w:t>
      </w:r>
    </w:p>
    <w:p w14:paraId="0BC9BBF9" w14:textId="77777777" w:rsidR="00E37239" w:rsidRPr="00C33834" w:rsidRDefault="00E37239" w:rsidP="00C33834">
      <w:pPr>
        <w:numPr>
          <w:ilvl w:val="0"/>
          <w:numId w:val="3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Доводка и увеличение надежности работы серийного мотора М-17 без переборки до 200 часов.</w:t>
      </w:r>
    </w:p>
    <w:p w14:paraId="553CED16" w14:textId="77777777" w:rsidR="00E37239" w:rsidRPr="00C33834" w:rsidRDefault="00E37239" w:rsidP="00C33834">
      <w:pPr>
        <w:numPr>
          <w:ilvl w:val="0"/>
          <w:numId w:val="3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Изготовление 2-х опытных бензиновых одноцилиндровых установок и 5-ти нефтяных установок, на которых проведены большие экспериментально-исследовательские работы.</w:t>
      </w:r>
    </w:p>
    <w:p w14:paraId="1D60569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по моторам, которые должны были выйти на госиспытания в 1932 году Институт шел с опозданием в части их изготовления.</w:t>
      </w:r>
    </w:p>
    <w:p w14:paraId="13E67A0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Такое опоздание с производством объясняется следующими причинами:</w:t>
      </w:r>
    </w:p>
    <w:p w14:paraId="0BE54275" w14:textId="77777777" w:rsidR="00E37239" w:rsidRPr="00C33834" w:rsidRDefault="00E37239" w:rsidP="00C33834">
      <w:pPr>
        <w:numPr>
          <w:ilvl w:val="0"/>
          <w:numId w:val="3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недостаточной пропускной способностью основных цехов завода – механического и инструментального.</w:t>
      </w:r>
    </w:p>
    <w:p w14:paraId="75332E09" w14:textId="77777777" w:rsidR="00E37239" w:rsidRPr="00C33834" w:rsidRDefault="00E37239" w:rsidP="00C33834">
      <w:pPr>
        <w:numPr>
          <w:ilvl w:val="0"/>
          <w:numId w:val="3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Крайне высоким браком производства (до 40%), вызвавшим дополнительную, крайне тяжелую, загрузку цехов.</w:t>
      </w:r>
    </w:p>
    <w:p w14:paraId="4779FD90" w14:textId="77777777" w:rsidR="00E37239" w:rsidRPr="00C33834" w:rsidRDefault="00E37239" w:rsidP="00C33834">
      <w:pPr>
        <w:numPr>
          <w:ilvl w:val="0"/>
          <w:numId w:val="3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Слабую квалификацию, как инженерно-технического персонала, не всегда имеющего возможность найти быстрое и правильное решение встретившихся дефектов и затруднений и недостаточная квалификация рабочих.</w:t>
      </w:r>
    </w:p>
    <w:p w14:paraId="2E01658A" w14:textId="77777777" w:rsidR="00E37239" w:rsidRPr="00C33834" w:rsidRDefault="00E37239" w:rsidP="00C33834">
      <w:pPr>
        <w:numPr>
          <w:ilvl w:val="0"/>
          <w:numId w:val="3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Быстрый рост Института создал ряд трудностей, еще не преодоленных до сего времени в части организации производства, организации повседневного технического руководства. В части наладки правильного учета и оперативного планирования.</w:t>
      </w:r>
    </w:p>
    <w:p w14:paraId="06A12C0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Специфичность работы Института (разнотипность производства, новизна изготовляемых объектов, крайне разнообразный характер работ, не имеющих еще проверенных методов нормирования, учета и т.п.).</w:t>
      </w:r>
    </w:p>
    <w:p w14:paraId="7022308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Глававиапромом и руководством ЦИАМа принимаются все меры к устранению различных неувязок и производственных неполадок, тормозящих работу, для успешного выполнения Правительственного плана опытного моторостроения.</w:t>
      </w:r>
    </w:p>
    <w:p w14:paraId="6AAB8E4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Программа работ института по специальным моторам на 1933 год предусматривает:</w:t>
      </w:r>
    </w:p>
    <w:p w14:paraId="527EAD62" w14:textId="77777777" w:rsidR="00E37239" w:rsidRPr="00C33834" w:rsidRDefault="00E37239" w:rsidP="00C33834">
      <w:pPr>
        <w:numPr>
          <w:ilvl w:val="0"/>
          <w:numId w:val="3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Доводку и предъявление на госиспытания моторов: М-34Н, М-34Р, М-38Н, ГМ-34, М-32РН и М-52.</w:t>
      </w:r>
    </w:p>
    <w:p w14:paraId="60CE7625" w14:textId="77777777" w:rsidR="00E37239" w:rsidRPr="00C33834" w:rsidRDefault="00E37239" w:rsidP="00C33834">
      <w:pPr>
        <w:numPr>
          <w:ilvl w:val="0"/>
          <w:numId w:val="4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Окончание изготовления всех остальных экземпляров указанных моторов, т.е. еще</w:t>
      </w:r>
    </w:p>
    <w:p w14:paraId="6B9758B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М-44Н – 2 экземпляра</w:t>
      </w:r>
    </w:p>
    <w:p w14:paraId="28330DD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М-34Р – 5 экземпляров</w:t>
      </w:r>
    </w:p>
    <w:p w14:paraId="49A6D52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М-34РН - 2 экземпляра</w:t>
      </w:r>
    </w:p>
    <w:p w14:paraId="204B660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М-38Н – 2 экземпляра</w:t>
      </w:r>
    </w:p>
    <w:p w14:paraId="0794D00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ГМ-34 – 2 экземпляра</w:t>
      </w:r>
    </w:p>
    <w:p w14:paraId="72FCDDE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М-32РН – 2 экземпляра</w:t>
      </w:r>
    </w:p>
    <w:p w14:paraId="69D9C67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М-52 – 3 экземпляра</w:t>
      </w:r>
    </w:p>
    <w:p w14:paraId="629F1A65" w14:textId="77777777" w:rsidR="00E37239" w:rsidRPr="00C33834" w:rsidRDefault="00E37239" w:rsidP="00C33834">
      <w:pPr>
        <w:pStyle w:val="a3"/>
        <w:widowControl/>
        <w:numPr>
          <w:ilvl w:val="0"/>
          <w:numId w:val="41"/>
        </w:numPr>
        <w:tabs>
          <w:tab w:val="left" w:pos="360"/>
        </w:tabs>
        <w:ind w:left="0" w:firstLine="0"/>
        <w:rPr>
          <w:color w:val="000000" w:themeColor="text1"/>
          <w:lang w:val="ru-RU"/>
        </w:rPr>
      </w:pPr>
      <w:r w:rsidRPr="00C33834">
        <w:rPr>
          <w:color w:val="000000" w:themeColor="text1"/>
          <w:lang w:val="ru-RU"/>
        </w:rPr>
        <w:t>Изготовление моторов, предъявляемых на госиспытание в 1933 году, т.е. моторов:</w:t>
      </w:r>
    </w:p>
    <w:p w14:paraId="0CC46EC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М-44Н – 2 экземпляра</w:t>
      </w:r>
    </w:p>
    <w:p w14:paraId="66D9C8B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АН-1 – 3 экземпляра</w:t>
      </w:r>
    </w:p>
    <w:p w14:paraId="4BF4FB5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ВПШ – 10 экземпляров</w:t>
      </w:r>
    </w:p>
    <w:p w14:paraId="105A94D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М-38Н – 2 экземпляра</w:t>
      </w:r>
    </w:p>
    <w:p w14:paraId="7E0DC9D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М-54Е – 4 экземпляра</w:t>
      </w:r>
    </w:p>
    <w:p w14:paraId="7204F1A1" w14:textId="77777777" w:rsidR="00E37239" w:rsidRPr="00C33834" w:rsidRDefault="00E37239" w:rsidP="00C33834">
      <w:pPr>
        <w:numPr>
          <w:ilvl w:val="0"/>
          <w:numId w:val="4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Изготовление (в деталях) моторов, переданных на производство в УИАМ приказом НКТП</w:t>
      </w:r>
    </w:p>
    <w:p w14:paraId="42B6941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двигателя Мартенса – 3 экземпляра</w:t>
      </w:r>
    </w:p>
    <w:p w14:paraId="715B1D4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двигателя ФЭД-8 – 3 экземпляра</w:t>
      </w:r>
    </w:p>
    <w:p w14:paraId="4F7F031C" w14:textId="77777777" w:rsidR="00E37239" w:rsidRPr="00C33834" w:rsidRDefault="00E37239" w:rsidP="00C33834">
      <w:pPr>
        <w:numPr>
          <w:ilvl w:val="0"/>
          <w:numId w:val="4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Начало изготовления особо мощного мотора воздушного охлаждения для истребительной авиации – мотора М-56А мощностью в 700 л.с.</w:t>
      </w:r>
    </w:p>
    <w:p w14:paraId="56A72C9A" w14:textId="77777777" w:rsidR="00E37239" w:rsidRPr="00C33834" w:rsidRDefault="00E37239" w:rsidP="00C33834">
      <w:pPr>
        <w:numPr>
          <w:ilvl w:val="0"/>
          <w:numId w:val="4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Изготовлением агрегатов, приспосабливающих мотор М-34 для стратосферного полета.</w:t>
      </w:r>
    </w:p>
    <w:p w14:paraId="6666EB35" w14:textId="77777777" w:rsidR="00E37239" w:rsidRPr="00C33834" w:rsidRDefault="00E37239" w:rsidP="00C33834">
      <w:pPr>
        <w:numPr>
          <w:ilvl w:val="0"/>
          <w:numId w:val="4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Целый ряд научно-исследовательских и экспериментальных работ, как-то: создание экспериментальных авиационных двигателей с непосредственным впрыском топлива и ряд других проблем.</w:t>
      </w:r>
    </w:p>
    <w:p w14:paraId="155A333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28"/>
        <w:gridCol w:w="6361"/>
      </w:tblGrid>
      <w:tr w:rsidR="00F26F01" w:rsidRPr="00C33834" w14:paraId="16CB71FF" w14:textId="77777777">
        <w:tc>
          <w:tcPr>
            <w:tcW w:w="3528" w:type="dxa"/>
          </w:tcPr>
          <w:p w14:paraId="406C5C9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ТБ-6 М-44 или нефтяной</w:t>
            </w:r>
          </w:p>
          <w:p w14:paraId="1829C86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бомбардировщик, он же пассажирский, грузовой; из стали, вооружен тяжелыми пулеметами и пушками. Дальность полета – 3000 км при перегрузке 4000 км, нома сбрасываемого груза 15000 кг.</w:t>
            </w:r>
          </w:p>
          <w:p w14:paraId="15F906C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на аэродром – 1 декабря 1934 года</w:t>
            </w:r>
          </w:p>
        </w:tc>
        <w:tc>
          <w:tcPr>
            <w:tcW w:w="6361" w:type="dxa"/>
          </w:tcPr>
          <w:p w14:paraId="0D86F75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технических требованиях предельный сбрасываемый груз уточнен до 10000 кг.</w:t>
            </w:r>
          </w:p>
          <w:p w14:paraId="0DCA6FD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Подготовительные работы к проектированию самолета закончены, а также и предварительные расчеты. Ведутся работы по выяснению стальных конструкций, каковые Институтом впервые намечаются осуществить в данном самолете.</w:t>
            </w:r>
          </w:p>
          <w:p w14:paraId="2A30376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идут по плану.</w:t>
            </w:r>
          </w:p>
        </w:tc>
      </w:tr>
      <w:tr w:rsidR="00F26F01" w:rsidRPr="00C33834" w14:paraId="19799E5D" w14:textId="77777777">
        <w:tc>
          <w:tcPr>
            <w:tcW w:w="3528" w:type="dxa"/>
          </w:tcPr>
          <w:p w14:paraId="15E100D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 6М-34. Опытный.</w:t>
            </w:r>
          </w:p>
          <w:p w14:paraId="73EA946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бомбовоз опытный, из дюраля, вооруженный 10 пулеметами и 2 пушками. Дальность полета – 1000 км, при перегрузке 2000 км. Срок выхода на аэродром 1 ноября 1932 года.</w:t>
            </w:r>
          </w:p>
        </w:tc>
        <w:tc>
          <w:tcPr>
            <w:tcW w:w="6361" w:type="dxa"/>
          </w:tcPr>
          <w:p w14:paraId="094BC16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проектированием и постройкой закончен.</w:t>
            </w:r>
          </w:p>
          <w:p w14:paraId="3A48719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настоящий момент производится монтаж моторов М-34.</w:t>
            </w:r>
          </w:p>
          <w:p w14:paraId="083AF63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Задержка в выходе на аэродром произошла вследствие несвоевременного получения моторов, а именно: моторы вместо 1 августа 1932 года, намеченного по плану срока, получены 10 декабря 1932 года.</w:t>
            </w:r>
          </w:p>
          <w:p w14:paraId="59046A9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Выход самолета на аэродром намечен в марте 1933 года.</w:t>
            </w:r>
          </w:p>
        </w:tc>
      </w:tr>
      <w:tr w:rsidR="00F26F01" w:rsidRPr="00C33834" w14:paraId="1F4ACB98" w14:textId="77777777">
        <w:tc>
          <w:tcPr>
            <w:tcW w:w="3528" w:type="dxa"/>
          </w:tcPr>
          <w:p w14:paraId="69BD0D2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ТБ4-6М34. Головной.</w:t>
            </w:r>
          </w:p>
          <w:p w14:paraId="14AE9A4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 же требования как к опытному, но в отличие от него головной самолет имеет расширенный фюзеляж, дающий возможность поместить внутри его тяжелые бомбы и перевозить тяжелые грузы (танки, пушки и т.д.), кроме того предусмотрено легкое обращение машины в пассажирский тип и легкая военизация пассажирских самолетов.</w:t>
            </w:r>
          </w:p>
          <w:p w14:paraId="0961CBC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на госиспытания 1 июня 1933 года.</w:t>
            </w:r>
          </w:p>
        </w:tc>
        <w:tc>
          <w:tcPr>
            <w:tcW w:w="6361" w:type="dxa"/>
          </w:tcPr>
          <w:p w14:paraId="07D40C7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машины закончено на 80%.</w:t>
            </w:r>
          </w:p>
          <w:p w14:paraId="6CEE929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Постройка ведется параллельно с проектированием машины и готовность постройки определяется в 35%.</w:t>
            </w:r>
          </w:p>
          <w:p w14:paraId="177A532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 для самолетов должны быть с редукторами и срок получения их по плану намечен с августа по декабрь 1932 года, но он не выдерживается – моторов нет.</w:t>
            </w:r>
          </w:p>
          <w:p w14:paraId="4AD567F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обеспечения своевременного срочного выпуска серийных самолетов ЦАГИ параллельно с изготовлением проекта сдает конструктивные чертежи в согласованные с заводом № 22 сроки, т.е. 1 апреля 1933 года по самолетам и 1 мая 1933 года по вооружению.</w:t>
            </w:r>
          </w:p>
          <w:p w14:paraId="78027CA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Одновременно с проектированием военной машины, ЦАГИ ведет разработки проектов пассажирского варианта тоже с одновременной сдачей чертежей заводу № 22.</w:t>
            </w:r>
          </w:p>
          <w:p w14:paraId="1274A0D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Военный вариант самолета ТБ-4 головного после получения моторов будет выпущен на совместные испытания через 4 месяца.</w:t>
            </w:r>
          </w:p>
        </w:tc>
      </w:tr>
      <w:tr w:rsidR="00F26F01" w:rsidRPr="00C33834" w14:paraId="394D09D2" w14:textId="77777777">
        <w:tc>
          <w:tcPr>
            <w:tcW w:w="3528" w:type="dxa"/>
          </w:tcPr>
          <w:p w14:paraId="1371534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К1-2М32 (2М34)</w:t>
            </w:r>
          </w:p>
          <w:p w14:paraId="7D93673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Крейсер сухопутный, он же средний бомбардировщик и дальний разведчик, вооруженный тяжелыми и легкими пулеметами, дальность полета при нормальной нагрузке 1200 км, при перегрузке 2000 км.</w:t>
            </w:r>
          </w:p>
          <w:p w14:paraId="1AEC505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на госиспытания 1 октября 1933 года.</w:t>
            </w:r>
          </w:p>
        </w:tc>
        <w:tc>
          <w:tcPr>
            <w:tcW w:w="6361" w:type="dxa"/>
          </w:tcPr>
          <w:p w14:paraId="76D3415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предварительных просчетах установлено, что с моторами М-32 самолет даст лучшие качества, как весовые, так и тактические, чем с моторами М-34. Технические требования от УВВС получены только 15 января 1933 года.</w:t>
            </w:r>
          </w:p>
          <w:p w14:paraId="217FA79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Ведется увязка их с проектами. Если при увязке не встретится противоречий с проектом и не придется перепроектировать машины, то после получения моторов самолет будет выпущен через 7 месяцев.</w:t>
            </w:r>
          </w:p>
        </w:tc>
      </w:tr>
      <w:tr w:rsidR="00F26F01" w:rsidRPr="00C33834" w14:paraId="5141BC94" w14:textId="77777777">
        <w:tc>
          <w:tcPr>
            <w:tcW w:w="3528" w:type="dxa"/>
          </w:tcPr>
          <w:p w14:paraId="5B7E9F7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 2М-34</w:t>
            </w:r>
          </w:p>
          <w:p w14:paraId="23B7B04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Многоместный истребитель, вооруженный 6 пулеметами и 1 авт. пушкой. Дальность полета – 1000 км. Скорость – 300 км/час.</w:t>
            </w:r>
          </w:p>
          <w:p w14:paraId="58F37CA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на аэродром – 1 января 1933 года.</w:t>
            </w:r>
          </w:p>
        </w:tc>
        <w:tc>
          <w:tcPr>
            <w:tcW w:w="6361" w:type="dxa"/>
          </w:tcPr>
          <w:p w14:paraId="1001BDC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проектированием и постройкой закончен.</w:t>
            </w:r>
          </w:p>
          <w:p w14:paraId="2DD9599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настоящий момент заканчиваются работы по монтажу моторов, которые вместо 1 сентября 1932 года, намеченного по плану срока, были получены 22 декабря 1932 года.</w:t>
            </w:r>
          </w:p>
          <w:p w14:paraId="064F1D2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Параллельно с проектированием и постройкой 1-й опытной машины ЦАГИ ведет проектирование и постройку головной, в которую вносятся соответствующие усовершенствования.</w:t>
            </w:r>
          </w:p>
          <w:p w14:paraId="241EEB9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1-й опытный самолет выйдет на аэродром в феврале 1933 года.</w:t>
            </w:r>
          </w:p>
        </w:tc>
      </w:tr>
      <w:tr w:rsidR="00F26F01" w:rsidRPr="00C33834" w14:paraId="37D9522A" w14:textId="77777777">
        <w:tc>
          <w:tcPr>
            <w:tcW w:w="3528" w:type="dxa"/>
          </w:tcPr>
          <w:p w14:paraId="61EC4BB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ДИП-2М34</w:t>
            </w:r>
          </w:p>
          <w:p w14:paraId="4122608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Двухмоторный истребитель пушечный, вооруженный одной пушкой большого калибра (100 мм), дальность полета 600 км, тоже с перегрузкой – 1000 км. Скорость 325 км/час.</w:t>
            </w:r>
          </w:p>
          <w:p w14:paraId="5EDF320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готовности на госиспытание – 1 октября 1933 года.</w:t>
            </w:r>
          </w:p>
          <w:p w14:paraId="3390105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Машина предназначается д/нападения на бомбардировщиков, перешедших нашу границу.</w:t>
            </w:r>
          </w:p>
        </w:tc>
        <w:tc>
          <w:tcPr>
            <w:tcW w:w="6361" w:type="dxa"/>
          </w:tcPr>
          <w:p w14:paraId="38CF977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Технические требования на машину получены лишь 4-го января 1933 года.</w:t>
            </w:r>
          </w:p>
          <w:p w14:paraId="0EF3BE5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Идет увязка технических требований с проектом и если не будет разногласия с проектом, то срок, намеченный по плану выхода на госиспытания будет выдержан.</w:t>
            </w:r>
          </w:p>
        </w:tc>
      </w:tr>
      <w:tr w:rsidR="00F26F01" w:rsidRPr="00C33834" w14:paraId="1959FC88" w14:textId="77777777">
        <w:tc>
          <w:tcPr>
            <w:tcW w:w="3528" w:type="dxa"/>
          </w:tcPr>
          <w:p w14:paraId="2731F13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ЛР-34</w:t>
            </w:r>
          </w:p>
          <w:p w14:paraId="41FEE02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Легкий разведчик, дальность полета – 800 км.</w:t>
            </w:r>
          </w:p>
          <w:p w14:paraId="69E9517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300-310 км/час. Срок выхода на аэродром 1 марта 1933 года.</w:t>
            </w:r>
          </w:p>
        </w:tc>
        <w:tc>
          <w:tcPr>
            <w:tcW w:w="6361" w:type="dxa"/>
          </w:tcPr>
          <w:p w14:paraId="36E634C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краткости срока выхода машины, она была начата проектированием до получения из УВВС детальных технических требований и определения лица машины. То и другое последовало лишь 8 декабря 1932 года, тогда же было начальником ВВС решено заменить заднего стрелка (стоячего) нашего проекта стрелком, стреляющим сидя, что заставило выбросить вполне готовый комплект чертежей и начать проектирование машины снова, чем срок окончания машины соответственно отдаляется.</w:t>
            </w:r>
          </w:p>
          <w:p w14:paraId="38831F7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Новый проект самолета будет закончен 20 февраля 1933 года и самолет из постройки выйдет 1 июня 1933 года.</w:t>
            </w:r>
          </w:p>
        </w:tc>
      </w:tr>
      <w:tr w:rsidR="00F26F01" w:rsidRPr="00C33834" w14:paraId="0D544933" w14:textId="77777777">
        <w:tc>
          <w:tcPr>
            <w:tcW w:w="3528" w:type="dxa"/>
          </w:tcPr>
          <w:p w14:paraId="2C39B60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ДИ6-М34, М38 или М-32</w:t>
            </w:r>
          </w:p>
          <w:p w14:paraId="3D086B4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Двухместный истребитель, скорость 350-375 км/час, вооружен двумя пулеметами легкими и двумя пулеметами тяжелыми. Срок выхода на госиспытания 1 июня 1933 года.</w:t>
            </w:r>
          </w:p>
        </w:tc>
        <w:tc>
          <w:tcPr>
            <w:tcW w:w="6361" w:type="dxa"/>
          </w:tcPr>
          <w:p w14:paraId="07095D7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Технические требования на самолет получены лишь 14 января 1933 года. Проектирование и постройка самолета будет произведено в течение 10 месяцев со дня получения технических требований и самолет выйдет на аэродром к 15 ноября 1933 года.</w:t>
            </w:r>
          </w:p>
        </w:tc>
      </w:tr>
      <w:tr w:rsidR="00F26F01" w:rsidRPr="00C33834" w14:paraId="00EEC58D" w14:textId="77777777">
        <w:tc>
          <w:tcPr>
            <w:tcW w:w="3528" w:type="dxa"/>
          </w:tcPr>
          <w:p w14:paraId="7588D34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И13-М32</w:t>
            </w:r>
          </w:p>
          <w:p w14:paraId="1D1D91D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Одноместный истребитель, вооруженный легкими пулеметами, имеющий дальность полета 500 км при скорости 350-400 км/час. Срок выхода на госиспытания 1 июня 1933 года.</w:t>
            </w:r>
          </w:p>
        </w:tc>
        <w:tc>
          <w:tcPr>
            <w:tcW w:w="6361" w:type="dxa"/>
          </w:tcPr>
          <w:p w14:paraId="127109E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Технические требования и лицо машины со стороны УВВС определены только лишь 30 декабря 1932 года, по получении чего ЦАГИ должен начать проектированием новый самолет, так как работа, проводимая им до этого времени (вариант развития И-8), не может быть использована по прямому назначению.</w:t>
            </w:r>
          </w:p>
          <w:p w14:paraId="15949A4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и постройка самолета займет 11 месяцев и после получения мотора самолет выйдет на аэродром через 9 месяцев.</w:t>
            </w:r>
          </w:p>
        </w:tc>
      </w:tr>
      <w:tr w:rsidR="00F26F01" w:rsidRPr="00C33834" w14:paraId="42380100" w14:textId="77777777">
        <w:tc>
          <w:tcPr>
            <w:tcW w:w="3528" w:type="dxa"/>
          </w:tcPr>
          <w:p w14:paraId="631D511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М-38</w:t>
            </w:r>
          </w:p>
          <w:p w14:paraId="76BCD94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Одноместный истребитель. Дальность полета – 500 км, вооруженный легкими пулеметами.</w:t>
            </w:r>
          </w:p>
          <w:p w14:paraId="45E7D8F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госиспытаний – 15 марта 1933 года.</w:t>
            </w:r>
          </w:p>
        </w:tc>
        <w:tc>
          <w:tcPr>
            <w:tcW w:w="6361" w:type="dxa"/>
          </w:tcPr>
          <w:p w14:paraId="6A7AB49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Одноместный истребитель И-14 строится в ЦАГИ в 2-х разновидностях:</w:t>
            </w:r>
          </w:p>
          <w:p w14:paraId="00702982" w14:textId="77777777" w:rsidR="00E37239" w:rsidRPr="00C33834" w:rsidRDefault="00E37239"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r w:rsidRPr="00C33834">
              <w:rPr>
                <w:rFonts w:ascii="Times New Roman" w:hAnsi="Times New Roman"/>
                <w:color w:val="000000" w:themeColor="text1"/>
                <w:sz w:val="16"/>
                <w:szCs w:val="16"/>
              </w:rPr>
              <w:tab/>
              <w:t>Пушечной машины под 2 пушки ДРП 37 мм, автоматические. Скорость полета 360 км/час.</w:t>
            </w:r>
          </w:p>
          <w:p w14:paraId="69F5095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 самолета – уничтожение неприятельских тяжелых самолетов и соединений самолетов.</w:t>
            </w:r>
          </w:p>
          <w:p w14:paraId="787503E8" w14:textId="77777777" w:rsidR="00E37239" w:rsidRPr="00C33834" w:rsidRDefault="00E37239"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r w:rsidRPr="00C33834">
              <w:rPr>
                <w:rFonts w:ascii="Times New Roman" w:hAnsi="Times New Roman"/>
                <w:color w:val="000000" w:themeColor="text1"/>
                <w:sz w:val="16"/>
                <w:szCs w:val="16"/>
              </w:rPr>
              <w:tab/>
              <w:t>Легкая маневренная машина, лицо которой было согласовано с начальником ВВС Алкснисом 8 декабря 1932 года переименована в дальнейшем в И-15.</w:t>
            </w:r>
          </w:p>
          <w:p w14:paraId="3C23DFC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развернут постройкой полностью. Мотор на 1-й машине будет поставлен заграничный «Меркур-Бристоль».</w:t>
            </w:r>
          </w:p>
          <w:p w14:paraId="474BCE5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машины предполагается к 1 мая 1933 года.</w:t>
            </w:r>
          </w:p>
        </w:tc>
      </w:tr>
      <w:tr w:rsidR="00F26F01" w:rsidRPr="00C33834" w14:paraId="2EDA01ED" w14:textId="77777777">
        <w:tc>
          <w:tcPr>
            <w:tcW w:w="3528" w:type="dxa"/>
          </w:tcPr>
          <w:p w14:paraId="798B409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 2М-52</w:t>
            </w:r>
          </w:p>
          <w:p w14:paraId="6E3956F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Войсковой самолет, он же химический легкий боевик, вооруженный легкими пулеметами.</w:t>
            </w:r>
          </w:p>
          <w:p w14:paraId="28CA1C7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горизонтальной скоростью на высоте 3000 м – 350 км/час.</w:t>
            </w:r>
          </w:p>
          <w:p w14:paraId="6CB3003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на аэродром – июль 1933 года.</w:t>
            </w:r>
          </w:p>
        </w:tc>
        <w:tc>
          <w:tcPr>
            <w:tcW w:w="6361" w:type="dxa"/>
          </w:tcPr>
          <w:p w14:paraId="2A1CD31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и постройка ведется ХАЗОССом (Калининым). Ввиду перегрузки завода проектными опытными и исследовательскими работами (по сварке хромомолибденовых труб), самолета К-7, а также серийными работами по самолету К-5, работы по самолету ВС не могут быть пущены надлежащими темпами. В настоящее время ведется предварительное проектирование. Намечается конструкция из сварных хромомолибденовых труб. В случае подачи моторов в июне 1933 года (практически возможный срок) самолет может выйти на аэродром в сентябре 1933 года.</w:t>
            </w:r>
          </w:p>
        </w:tc>
      </w:tr>
      <w:tr w:rsidR="00F26F01" w:rsidRPr="00C33834" w14:paraId="153DBCC5" w14:textId="77777777">
        <w:tc>
          <w:tcPr>
            <w:tcW w:w="3528" w:type="dxa"/>
          </w:tcPr>
          <w:p w14:paraId="7C88B74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У3-М48 (Модификация У2-М11)</w:t>
            </w:r>
          </w:p>
          <w:p w14:paraId="23EB813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Учебный самолет, он же связи и сопровождения (для туризма, спорта, легкой санитарии, местной авиации).</w:t>
            </w:r>
          </w:p>
          <w:p w14:paraId="1CC83EBF" w14:textId="77777777" w:rsidR="00E37239" w:rsidRPr="00C33834" w:rsidRDefault="00E37239" w:rsidP="00C33834">
            <w:pPr>
              <w:spacing w:after="0" w:line="240" w:lineRule="auto"/>
              <w:jc w:val="both"/>
              <w:rPr>
                <w:rFonts w:ascii="Times New Roman" w:hAnsi="Times New Roman"/>
                <w:color w:val="000000" w:themeColor="text1"/>
                <w:sz w:val="16"/>
                <w:szCs w:val="16"/>
              </w:rPr>
            </w:pPr>
          </w:p>
          <w:p w14:paraId="491BE83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1 марта 1933 года.</w:t>
            </w:r>
          </w:p>
        </w:tc>
        <w:tc>
          <w:tcPr>
            <w:tcW w:w="6361" w:type="dxa"/>
          </w:tcPr>
          <w:p w14:paraId="4EA8AD7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поручена ВТУЗу ГУАП (ХАИ). Ввиду многообразного назначения и установки более мощного мотора, связанного с увеличением объема горючего, модифицирование осложняется. Необходимость иметь готовый самолет У2 и отсутствие производственных возможностей во ВТУЗе делает целесообразным передачу работы на завод № 23 с использованием им всех проработанных материалов ХАИ.</w:t>
            </w:r>
          </w:p>
          <w:p w14:paraId="3812C6F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сдвинется, ввиду неготовности моторов М-48.</w:t>
            </w:r>
          </w:p>
          <w:p w14:paraId="4368597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подачи моторов самолет может быть выпущен через 3 месяца.</w:t>
            </w:r>
          </w:p>
        </w:tc>
      </w:tr>
      <w:tr w:rsidR="00F26F01" w:rsidRPr="00C33834" w14:paraId="294901D4" w14:textId="77777777">
        <w:tc>
          <w:tcPr>
            <w:tcW w:w="3528" w:type="dxa"/>
          </w:tcPr>
          <w:p w14:paraId="7C7F996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МК-1-6М34РН</w:t>
            </w:r>
          </w:p>
          <w:p w14:paraId="462DA57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Морской крейсер, он же морской бомбардировщик торпедоносец с минным снаряжением в 1850 кг, при перегрузке в 2230 кг, с бомбами до 1000 кг и торпедой 800 кг. Скорость – 215-230 км/час на 4000 м.</w:t>
            </w:r>
          </w:p>
          <w:p w14:paraId="6032A3E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госиспытаний – 1 декабря 1933 года.</w:t>
            </w:r>
          </w:p>
        </w:tc>
        <w:tc>
          <w:tcPr>
            <w:tcW w:w="6361" w:type="dxa"/>
          </w:tcPr>
          <w:p w14:paraId="11C763B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доведено до 80%. Идет постройка отдельных частей – крыло, лодка и проч. Общая готовность около 40%. Несмотря на ряд трудностей, так как ЦАГИ впервые осуществляет гидросамолет-гигант, а морской самолет до этого построил лишь только один, плановый срок должен быть выдержан.</w:t>
            </w:r>
          </w:p>
        </w:tc>
      </w:tr>
      <w:tr w:rsidR="00F26F01" w:rsidRPr="00C33834" w14:paraId="59E1058E" w14:textId="77777777">
        <w:tc>
          <w:tcPr>
            <w:tcW w:w="3528" w:type="dxa"/>
          </w:tcPr>
          <w:p w14:paraId="70D7EB2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МДР-3 бис 3М34</w:t>
            </w:r>
          </w:p>
          <w:p w14:paraId="2664CF1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Данные машины устанавливаются Реввренсоветом и согласовываются Глававиапромом</w:t>
            </w:r>
          </w:p>
        </w:tc>
        <w:tc>
          <w:tcPr>
            <w:tcW w:w="6361" w:type="dxa"/>
          </w:tcPr>
          <w:p w14:paraId="0468BD4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Машина МДР-3 при испытании была забракована УВВС из-за неудовлетворительных летных качеств, вибраций хвостового оперения, вибраций моторных установок, недостаточной прочности хвостовой части лодки и проч.</w:t>
            </w:r>
          </w:p>
          <w:p w14:paraId="4132418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Институтом предпринята полная переработка всей машины заново.</w:t>
            </w:r>
          </w:p>
          <w:p w14:paraId="4008D81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Начальником УВВС в дальнейшем машина переименована в МДР-4 3М34.</w:t>
            </w:r>
          </w:p>
          <w:p w14:paraId="2E56FAD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Технические требования на нее получены в конце декабря. Ведется согласование их с проектом машины. Проектирование машины развернуто. Срок выпуска машины может быть установлен 11-12 месяцев с момента получения технических требований, т.е. к ноябрю-декабрю 1933 года.</w:t>
            </w:r>
          </w:p>
        </w:tc>
      </w:tr>
      <w:tr w:rsidR="00F26F01" w:rsidRPr="00C33834" w14:paraId="483D2073" w14:textId="77777777">
        <w:tc>
          <w:tcPr>
            <w:tcW w:w="3528" w:type="dxa"/>
          </w:tcPr>
          <w:p w14:paraId="289F0C6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К-7 7М-34</w:t>
            </w:r>
          </w:p>
          <w:p w14:paraId="78AC846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бомбовоз, вооруженный …… пулеметами ДА, 3-мя автоматическими пушками (20 мм) и ……… кг бомбами (хромомолибден.), конструкции, моноплан с двуххвостовой осуществляет идею размещения грузов преимущественно в крыле. 4-х колесное шасси с управляемыми передними колесами должно обеспечить хорошую маневренность на земле.</w:t>
            </w:r>
          </w:p>
          <w:p w14:paraId="0D5FE58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Срок выхода на аэродром - </w:t>
            </w:r>
          </w:p>
        </w:tc>
        <w:tc>
          <w:tcPr>
            <w:tcW w:w="6361" w:type="dxa"/>
          </w:tcPr>
          <w:p w14:paraId="32F4D61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ХАЗОССом закончено к октябрю 1932 года. В настоящее время ведется постройка отдельных частей с параллельными работами по статическим испытаниям. Готовность самолета в целом может быть выражена в 13%.</w:t>
            </w:r>
          </w:p>
          <w:p w14:paraId="75C601B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того, что завод впервые выполняет постройку большой машины без предварительного выпуска промежуточных машин и необходимости освоения технологического процесса новых материалов, работа идет с замедлением против намеченных сроков, а потому срок выхода машины сдвинется на август 1933 года.</w:t>
            </w:r>
          </w:p>
        </w:tc>
      </w:tr>
      <w:tr w:rsidR="00F26F01" w:rsidRPr="00C33834" w14:paraId="05A418B7" w14:textId="77777777">
        <w:tc>
          <w:tcPr>
            <w:tcW w:w="3528" w:type="dxa"/>
          </w:tcPr>
          <w:p w14:paraId="6C12BA8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Экспериментальные</w:t>
            </w:r>
          </w:p>
        </w:tc>
        <w:tc>
          <w:tcPr>
            <w:tcW w:w="6361" w:type="dxa"/>
          </w:tcPr>
          <w:p w14:paraId="258BF789" w14:textId="77777777" w:rsidR="00E37239" w:rsidRPr="00C33834" w:rsidRDefault="00E37239" w:rsidP="00C33834">
            <w:pPr>
              <w:spacing w:after="0" w:line="240" w:lineRule="auto"/>
              <w:jc w:val="both"/>
              <w:rPr>
                <w:rFonts w:ascii="Times New Roman" w:hAnsi="Times New Roman"/>
                <w:color w:val="000000" w:themeColor="text1"/>
                <w:sz w:val="16"/>
                <w:szCs w:val="16"/>
              </w:rPr>
            </w:pPr>
          </w:p>
        </w:tc>
      </w:tr>
      <w:tr w:rsidR="00F26F01" w:rsidRPr="00C33834" w14:paraId="7804C275" w14:textId="77777777">
        <w:tc>
          <w:tcPr>
            <w:tcW w:w="3528" w:type="dxa"/>
          </w:tcPr>
          <w:p w14:paraId="0354E51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Высотный самолет, он же рекордный на высоту. Срок окончания постройки 1 апреля 1933 года.</w:t>
            </w:r>
          </w:p>
        </w:tc>
        <w:tc>
          <w:tcPr>
            <w:tcW w:w="6361" w:type="dxa"/>
          </w:tcPr>
          <w:p w14:paraId="6AE4AD0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Проектированием машина закончена на 75% и находится в производстве.</w:t>
            </w:r>
          </w:p>
          <w:p w14:paraId="61CF601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машины требуется специальный высотный мотор, изготовляемый ЦИАМом, срок готовности которого сейчас определяется в первой половине 1934 года.</w:t>
            </w:r>
          </w:p>
          <w:p w14:paraId="6BA6C5F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ускорения выпуска машины считаем правильным поставить мотор с меньшей высотностью для изучения условий полета на столь больших высотах, а именно: мотор М-34 с редуктором и наддувом до 5000 м. При условии получения мотора к 1 июля 1933 года машина может быть представлена для начала предварительных с ней испытаний в четвертом квартале 1933 года.</w:t>
            </w:r>
          </w:p>
        </w:tc>
      </w:tr>
      <w:tr w:rsidR="00F26F01" w:rsidRPr="00C33834" w14:paraId="50031CA2" w14:textId="77777777">
        <w:tc>
          <w:tcPr>
            <w:tcW w:w="3528" w:type="dxa"/>
          </w:tcPr>
          <w:p w14:paraId="69A4F1E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РД-М34</w:t>
            </w:r>
          </w:p>
          <w:p w14:paraId="77E1C87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Рекордный самолет на дальность (9000-10000 км). Срок выхода на аэродром -август 132 года.</w:t>
            </w:r>
          </w:p>
        </w:tc>
        <w:tc>
          <w:tcPr>
            <w:tcW w:w="6361" w:type="dxa"/>
          </w:tcPr>
          <w:p w14:paraId="2BD4865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находится в постройке и будет готов для предварительных полетов в мае 1933 года. Для проведения рекорда необходима значительная подготовка самолета, мотора (тщательно отработать из специально изготовленных деталей 10 моторов и подобрать наиболее экономичную регулировку расхода горючего, экипажа, маршрута) выбрать маршрут и изучить метеорологические условия, взлетной площадки (бетонированную дорожку).</w:t>
            </w:r>
          </w:p>
          <w:p w14:paraId="1332EDC2" w14:textId="77777777" w:rsidR="00E37239" w:rsidRPr="00C33834" w:rsidRDefault="00E37239" w:rsidP="00C33834">
            <w:pPr>
              <w:spacing w:after="0" w:line="240" w:lineRule="auto"/>
              <w:jc w:val="both"/>
              <w:rPr>
                <w:rFonts w:ascii="Times New Roman" w:hAnsi="Times New Roman"/>
                <w:color w:val="000000" w:themeColor="text1"/>
                <w:sz w:val="16"/>
                <w:szCs w:val="16"/>
              </w:rPr>
            </w:pPr>
          </w:p>
          <w:p w14:paraId="23D7F4C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проведения указанного потребуются отдельные денежные средства и материальная часть.</w:t>
            </w:r>
          </w:p>
          <w:p w14:paraId="2ED582A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обеспечении всем необходимым и получения положительных результатов испытания и полета на продолжительность, полет на дальность может быть совершен в сентябре 1933 года.</w:t>
            </w:r>
          </w:p>
        </w:tc>
      </w:tr>
      <w:tr w:rsidR="00F26F01" w:rsidRPr="00C33834" w14:paraId="494733EA" w14:textId="77777777">
        <w:tc>
          <w:tcPr>
            <w:tcW w:w="3528" w:type="dxa"/>
          </w:tcPr>
          <w:p w14:paraId="226E615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Парабола</w:t>
            </w:r>
          </w:p>
          <w:p w14:paraId="7F9A504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 летающее крыло (Парабола Черановского.</w:t>
            </w:r>
          </w:p>
          <w:p w14:paraId="5E069AA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Срок выхода на госиспытание - </w:t>
            </w:r>
          </w:p>
        </w:tc>
        <w:tc>
          <w:tcPr>
            <w:tcW w:w="6361" w:type="dxa"/>
          </w:tcPr>
          <w:p w14:paraId="3E687B1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течение 1932 года ЦАГИ провел работу по постройке и испытанию одномоторного самолета Летающее крыло Параболы. Испытания показали удовлетворительные летные данные и устойчивость полета машины. Учитывая полученный опыт одномоторной Параболы, ЦАГИ полагает возможным и более целесообразным взамен экспериментальной переходной машины Параболы с 2-мя М11, строить уже не переходную машину, а экспериментальную с двумя моторами по 400-600 НР, которая </w:t>
            </w:r>
            <w:r w:rsidRPr="00C33834">
              <w:rPr>
                <w:rFonts w:ascii="Times New Roman" w:hAnsi="Times New Roman"/>
                <w:color w:val="000000" w:themeColor="text1"/>
                <w:sz w:val="16"/>
                <w:szCs w:val="16"/>
              </w:rPr>
              <w:lastRenderedPageBreak/>
              <w:t>могла бы иметь эксплуатационное значение. В связи с этим увеличивается масштаб машины, а следовательно и объем конструкторских и производственных работ. На основании приведенных соображений, срок выхода на аэродром ЛК2М (400-600 НР) сдвинется на 1 мая 1933 года.</w:t>
            </w:r>
          </w:p>
        </w:tc>
      </w:tr>
      <w:tr w:rsidR="00F26F01" w:rsidRPr="00C33834" w14:paraId="58EB1278" w14:textId="77777777">
        <w:tc>
          <w:tcPr>
            <w:tcW w:w="3528" w:type="dxa"/>
          </w:tcPr>
          <w:p w14:paraId="4B9F7CF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Самолет с особым типом разрезных крыльев конструкции Кричевского.</w:t>
            </w:r>
          </w:p>
          <w:p w14:paraId="4088D05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на госиспытание – 1 декабря 1932 года.</w:t>
            </w:r>
          </w:p>
        </w:tc>
        <w:tc>
          <w:tcPr>
            <w:tcW w:w="6361" w:type="dxa"/>
          </w:tcPr>
          <w:p w14:paraId="5BAE5D1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 самолета был окончен в октябре 1932 года, но вследствие произведенной исследовательской работы по крылу «Моноспар» (статиспытания) выяснилась непригодность данной конструкции крыла.</w:t>
            </w:r>
          </w:p>
          <w:p w14:paraId="4B355AD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 переделывается и окончательно будет готов 1 февраля 1933 года.</w:t>
            </w:r>
          </w:p>
        </w:tc>
      </w:tr>
      <w:tr w:rsidR="00F26F01" w:rsidRPr="00C33834" w14:paraId="19B6F9FF" w14:textId="77777777">
        <w:tc>
          <w:tcPr>
            <w:tcW w:w="3528" w:type="dxa"/>
          </w:tcPr>
          <w:p w14:paraId="4D30650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Геликоптер …. (3 ЕА)</w:t>
            </w:r>
          </w:p>
          <w:p w14:paraId="54A18D4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экземпляр построенного ранее геликоптера. Срок окончания постройки – июль 1932 года.</w:t>
            </w:r>
          </w:p>
        </w:tc>
        <w:tc>
          <w:tcPr>
            <w:tcW w:w="6361" w:type="dxa"/>
          </w:tcPr>
          <w:p w14:paraId="54B673D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Проведены в основном летные испытания геликоптера 1 ЕА, выявившие чрезвычайно успешные результаты, превосходящие все то, что имеется за границей в части подобных аппаратов.</w:t>
            </w:r>
          </w:p>
          <w:p w14:paraId="76864FF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ВГ (3 ЕА) – постройкой к настоящему времени закончен и в ближайшее время будет приступлено к его испытанию.</w:t>
            </w:r>
          </w:p>
        </w:tc>
      </w:tr>
      <w:tr w:rsidR="00F26F01" w:rsidRPr="00C33834" w14:paraId="1263647B" w14:textId="77777777">
        <w:tc>
          <w:tcPr>
            <w:tcW w:w="3528" w:type="dxa"/>
          </w:tcPr>
          <w:p w14:paraId="1BA16CE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 с М11</w:t>
            </w:r>
          </w:p>
          <w:p w14:paraId="1ADB956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постройки – ноябрь 1932 года.</w:t>
            </w:r>
          </w:p>
        </w:tc>
        <w:tc>
          <w:tcPr>
            <w:tcW w:w="6361" w:type="dxa"/>
          </w:tcPr>
          <w:p w14:paraId="74FFBF8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постройка этого аппарата почти закончена и примерно к 1 февраля 1933 года он поступит на испытания.</w:t>
            </w:r>
          </w:p>
        </w:tc>
      </w:tr>
      <w:tr w:rsidR="00F26F01" w:rsidRPr="00C33834" w14:paraId="0DA51869" w14:textId="77777777">
        <w:tc>
          <w:tcPr>
            <w:tcW w:w="3528" w:type="dxa"/>
          </w:tcPr>
          <w:p w14:paraId="0A126C4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 с М22</w:t>
            </w:r>
          </w:p>
          <w:p w14:paraId="7FD065A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постройки – январь 1933 года</w:t>
            </w:r>
          </w:p>
        </w:tc>
        <w:tc>
          <w:tcPr>
            <w:tcW w:w="6361" w:type="dxa"/>
          </w:tcPr>
          <w:p w14:paraId="78D7FE7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машины в основном закончено и основные элементы этого аппарата находятся в постройке.</w:t>
            </w:r>
          </w:p>
          <w:p w14:paraId="114B37B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машины ориентировочно намечается на 1 мая 1933 года. Задержка при проектировании произошла из-за невозможности своевременно подобрать конструкторские кадры и из-за целого ряда трудностей, возникших при проектировании этой машины.</w:t>
            </w:r>
          </w:p>
        </w:tc>
      </w:tr>
    </w:tbl>
    <w:p w14:paraId="11A63F1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части винтовых аппаратов, помимо указанных объектов, была проделана следующая работа:</w:t>
      </w:r>
    </w:p>
    <w:p w14:paraId="31CE87F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5B42837D" w14:textId="77777777" w:rsidR="00E37239" w:rsidRPr="00C33834" w:rsidRDefault="00E37239" w:rsidP="00C33834">
      <w:pPr>
        <w:pStyle w:val="a3"/>
        <w:widowControl/>
        <w:rPr>
          <w:color w:val="000000" w:themeColor="text1"/>
          <w:lang w:val="ru-RU"/>
        </w:rPr>
      </w:pPr>
      <w:r w:rsidRPr="00C33834">
        <w:rPr>
          <w:color w:val="000000" w:themeColor="text1"/>
          <w:lang w:val="ru-RU"/>
        </w:rPr>
        <w:t>2. Автожир 2ЭА с мотором Титан 230 л.с. перепроектирован в другую машину 4ЭА, под советский мотор М-26 300 л.с. Эта машина была построена в единичном экземпляре в ЦАГИ и на ней совершены были первые полеты.</w:t>
      </w:r>
    </w:p>
    <w:p w14:paraId="21BB492C" w14:textId="77777777" w:rsidR="00E37239" w:rsidRPr="00C33834" w:rsidRDefault="00E37239" w:rsidP="00C33834">
      <w:pPr>
        <w:numPr>
          <w:ilvl w:val="0"/>
          <w:numId w:val="4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 же машина была подготовлена к серийной постройке и была внедрена в серийное производство на Киевском заводе № 43, причем 30 ноября была выпущена первая серийная машина.</w:t>
      </w:r>
    </w:p>
    <w:p w14:paraId="28F2F30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Помимо выпуска первой серийной машины процент готовности серии в 9 экземпляров можно сейчас оценить примерно 60-65%.</w:t>
      </w:r>
    </w:p>
    <w:p w14:paraId="0B6134EC" w14:textId="77777777" w:rsidR="00E37239" w:rsidRPr="00C33834" w:rsidRDefault="00E37239" w:rsidP="00C33834">
      <w:pPr>
        <w:pStyle w:val="a3"/>
        <w:widowControl/>
        <w:numPr>
          <w:ilvl w:val="0"/>
          <w:numId w:val="47"/>
        </w:numPr>
        <w:tabs>
          <w:tab w:val="left" w:pos="360"/>
        </w:tabs>
        <w:ind w:left="0" w:firstLine="0"/>
        <w:rPr>
          <w:color w:val="000000" w:themeColor="text1"/>
          <w:lang w:val="ru-RU"/>
        </w:rPr>
      </w:pPr>
      <w:r w:rsidRPr="00C33834">
        <w:rPr>
          <w:color w:val="000000" w:themeColor="text1"/>
          <w:lang w:val="ru-RU"/>
        </w:rPr>
        <w:t>Было проведено полное летное испытание первого Цаговского автожира 2ЭА, давшего летные результаты, не уступающие аналогичным заграничным машинам.</w:t>
      </w:r>
    </w:p>
    <w:p w14:paraId="2B38071F" w14:textId="77777777" w:rsidR="00E37239" w:rsidRPr="00C33834" w:rsidRDefault="00E37239" w:rsidP="00C33834">
      <w:pPr>
        <w:pStyle w:val="a3"/>
        <w:widowControl/>
        <w:numPr>
          <w:ilvl w:val="0"/>
          <w:numId w:val="48"/>
        </w:numPr>
        <w:tabs>
          <w:tab w:val="left" w:pos="360"/>
        </w:tabs>
        <w:ind w:left="0" w:firstLine="0"/>
        <w:rPr>
          <w:color w:val="000000" w:themeColor="text1"/>
          <w:lang w:val="ru-RU"/>
        </w:rPr>
      </w:pPr>
      <w:r w:rsidRPr="00C33834">
        <w:rPr>
          <w:color w:val="000000" w:themeColor="text1"/>
          <w:lang w:val="ru-RU"/>
        </w:rPr>
        <w:t>Проведена большая экспериментально-теоретическая работа по разработке и овладению теории винтовых аппаратов и методики их расчетов.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8"/>
        <w:gridCol w:w="6966"/>
      </w:tblGrid>
      <w:tr w:rsidR="00F26F01" w:rsidRPr="00C33834" w14:paraId="706A16A2" w14:textId="77777777">
        <w:tc>
          <w:tcPr>
            <w:tcW w:w="3348" w:type="dxa"/>
          </w:tcPr>
          <w:p w14:paraId="1F75EB6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w:t>
            </w:r>
          </w:p>
          <w:p w14:paraId="09D3CE2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моторов М-34. Срок выхода на аэродром – декабрь 1932 года.</w:t>
            </w:r>
          </w:p>
        </w:tc>
        <w:tc>
          <w:tcPr>
            <w:tcW w:w="6966" w:type="dxa"/>
          </w:tcPr>
          <w:p w14:paraId="1D98161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и установка моторов закончены.</w:t>
            </w:r>
          </w:p>
          <w:p w14:paraId="6E954AF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в декабре 1932 года был выведен на аэродром. В настоящее время готовится к полету (пробуются моторы, смазка, радиаторы и т.п.). Полет предполагается начать 20-25 января 1933 года.</w:t>
            </w:r>
          </w:p>
        </w:tc>
      </w:tr>
      <w:tr w:rsidR="00F26F01" w:rsidRPr="00C33834" w14:paraId="6BDEAB41" w14:textId="77777777">
        <w:tc>
          <w:tcPr>
            <w:tcW w:w="3348" w:type="dxa"/>
          </w:tcPr>
          <w:p w14:paraId="30F33F8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ТШ3-М34</w:t>
            </w:r>
          </w:p>
          <w:p w14:paraId="7ED8456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М34. Срок выхода на испытания – 1 июля 1933 года.</w:t>
            </w:r>
          </w:p>
          <w:p w14:paraId="49EB5ED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 данные и срок предложено уточнить с УВВС.</w:t>
            </w:r>
          </w:p>
        </w:tc>
        <w:tc>
          <w:tcPr>
            <w:tcW w:w="6966" w:type="dxa"/>
          </w:tcPr>
          <w:p w14:paraId="65A1BFC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плану предполагалось произвести только установку мотора М34 на имеющуюся машину ТШ2 взамен М17.</w:t>
            </w:r>
          </w:p>
          <w:p w14:paraId="0946600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Имея в виду, что самолет ТШ2 в настоящее время к серийному производству не намечается, а этим самым ставится вопрос о проектировании и постройке новой машины ТШ3-М34, т.е. выполнение ЦАГИ работы намечается несравненно в большем объеме, чем предполагалось. Срок выполнения проектов и постройки намечается через 9-12 месяцев после выявления лица машины со стороны УВВС и согласования с ним технических требований, каковые от УВВС только что получены.</w:t>
            </w:r>
          </w:p>
        </w:tc>
      </w:tr>
      <w:tr w:rsidR="00F26F01" w:rsidRPr="00C33834" w14:paraId="2C50B96B" w14:textId="77777777">
        <w:tc>
          <w:tcPr>
            <w:tcW w:w="3348" w:type="dxa"/>
          </w:tcPr>
          <w:p w14:paraId="585CDE1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Р5-М34</w:t>
            </w:r>
          </w:p>
          <w:p w14:paraId="7DC0ED6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М34.</w:t>
            </w:r>
          </w:p>
          <w:p w14:paraId="6D60421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 1 июля 1932 года</w:t>
            </w:r>
          </w:p>
        </w:tc>
        <w:tc>
          <w:tcPr>
            <w:tcW w:w="6966" w:type="dxa"/>
          </w:tcPr>
          <w:p w14:paraId="20D5274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и перестановка мотора закончены в срок. Машина проходит заводские испытания и доводку моторной части.</w:t>
            </w:r>
          </w:p>
        </w:tc>
      </w:tr>
      <w:tr w:rsidR="00F26F01" w:rsidRPr="00C33834" w14:paraId="39759606" w14:textId="77777777">
        <w:tc>
          <w:tcPr>
            <w:tcW w:w="3348" w:type="dxa"/>
          </w:tcPr>
          <w:p w14:paraId="2FE6038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Р5-М17</w:t>
            </w:r>
          </w:p>
          <w:p w14:paraId="2623359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тормозного шасси и тормозных колес.</w:t>
            </w:r>
          </w:p>
          <w:p w14:paraId="2FCB442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 15 августа 1932 года</w:t>
            </w:r>
          </w:p>
        </w:tc>
        <w:tc>
          <w:tcPr>
            <w:tcW w:w="6966" w:type="dxa"/>
          </w:tcPr>
          <w:p w14:paraId="24039B9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исполнена в срок. Прошла заводские и государственные испытания и принята на снабжение.</w:t>
            </w:r>
          </w:p>
        </w:tc>
      </w:tr>
      <w:tr w:rsidR="00F26F01" w:rsidRPr="00C33834" w14:paraId="54E81CA8" w14:textId="77777777">
        <w:tc>
          <w:tcPr>
            <w:tcW w:w="3348" w:type="dxa"/>
          </w:tcPr>
          <w:p w14:paraId="6F0942A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С-62 бис</w:t>
            </w:r>
          </w:p>
          <w:p w14:paraId="514F4F7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М34.</w:t>
            </w:r>
          </w:p>
          <w:p w14:paraId="6AA8950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 1 января 1933 года.</w:t>
            </w:r>
          </w:p>
        </w:tc>
        <w:tc>
          <w:tcPr>
            <w:tcW w:w="6966" w:type="dxa"/>
          </w:tcPr>
          <w:p w14:paraId="6069C64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и установка мотора закончены в срок. В настоящее время проводится доводка моторного хозяйства.</w:t>
            </w:r>
          </w:p>
        </w:tc>
      </w:tr>
      <w:tr w:rsidR="00F26F01" w:rsidRPr="00C33834" w14:paraId="5CA71A97" w14:textId="77777777">
        <w:tc>
          <w:tcPr>
            <w:tcW w:w="3348" w:type="dxa"/>
          </w:tcPr>
          <w:p w14:paraId="67A03FD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И12-2М22</w:t>
            </w:r>
          </w:p>
          <w:p w14:paraId="09BDB05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Постройка второго модифицированного экземпляра.</w:t>
            </w:r>
          </w:p>
          <w:p w14:paraId="4D21B00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 1 ноября 1932 года.</w:t>
            </w:r>
          </w:p>
        </w:tc>
        <w:tc>
          <w:tcPr>
            <w:tcW w:w="6966" w:type="dxa"/>
          </w:tcPr>
          <w:p w14:paraId="206BA50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машины закончено. В постройке самолет выполнен на 80%. Дальнейшая работа задерживается получением специальных труб для пушек ДРП, изготовляемых на заводе № 8.</w:t>
            </w:r>
          </w:p>
        </w:tc>
      </w:tr>
      <w:tr w:rsidR="00F26F01" w:rsidRPr="00C33834" w14:paraId="1EE9C1D0" w14:textId="77777777">
        <w:tc>
          <w:tcPr>
            <w:tcW w:w="3348" w:type="dxa"/>
          </w:tcPr>
          <w:p w14:paraId="11B4084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Р6-2М17</w:t>
            </w:r>
          </w:p>
          <w:p w14:paraId="42AE0AB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Увеличение емкости баков.</w:t>
            </w:r>
          </w:p>
          <w:p w14:paraId="29DF066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 15 мая 1932 года.</w:t>
            </w:r>
          </w:p>
        </w:tc>
        <w:tc>
          <w:tcPr>
            <w:tcW w:w="6966" w:type="dxa"/>
          </w:tcPr>
          <w:p w14:paraId="6C0535B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закончена в срок.</w:t>
            </w:r>
          </w:p>
        </w:tc>
      </w:tr>
      <w:tr w:rsidR="00F26F01" w:rsidRPr="00C33834" w14:paraId="0D3F5DEA" w14:textId="77777777">
        <w:tc>
          <w:tcPr>
            <w:tcW w:w="3348" w:type="dxa"/>
          </w:tcPr>
          <w:p w14:paraId="08BCFB7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ТБ1-2М17</w:t>
            </w:r>
          </w:p>
          <w:p w14:paraId="5506DE5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Увеличение емкости баков.</w:t>
            </w:r>
          </w:p>
          <w:p w14:paraId="038C839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 15 мая 1932 года.</w:t>
            </w:r>
          </w:p>
        </w:tc>
        <w:tc>
          <w:tcPr>
            <w:tcW w:w="6966" w:type="dxa"/>
          </w:tcPr>
          <w:p w14:paraId="40A1762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закончена в срок.</w:t>
            </w:r>
          </w:p>
        </w:tc>
      </w:tr>
      <w:tr w:rsidR="00F26F01" w:rsidRPr="00C33834" w14:paraId="1F1AF1C2" w14:textId="77777777">
        <w:tc>
          <w:tcPr>
            <w:tcW w:w="3348" w:type="dxa"/>
          </w:tcPr>
          <w:p w14:paraId="53028B0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ТБ1-2М17</w:t>
            </w:r>
          </w:p>
          <w:p w14:paraId="239BC3F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Приспособление для химических целей.</w:t>
            </w:r>
          </w:p>
          <w:p w14:paraId="29BA88D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 15 августа 1932 года.</w:t>
            </w:r>
          </w:p>
        </w:tc>
        <w:tc>
          <w:tcPr>
            <w:tcW w:w="6966" w:type="dxa"/>
          </w:tcPr>
          <w:p w14:paraId="7420885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вариант схемы приспособлений закончен в срок. В настоящий момент вводятся усовершенствования.</w:t>
            </w:r>
          </w:p>
        </w:tc>
      </w:tr>
      <w:tr w:rsidR="00F26F01" w:rsidRPr="00C33834" w14:paraId="7DCA134D" w14:textId="77777777">
        <w:tc>
          <w:tcPr>
            <w:tcW w:w="3348" w:type="dxa"/>
          </w:tcPr>
          <w:p w14:paraId="67B9610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Р6-2М17</w:t>
            </w:r>
          </w:p>
          <w:p w14:paraId="4DCC940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на поплавки.</w:t>
            </w:r>
          </w:p>
          <w:p w14:paraId="3C5695E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 1 сентября 1932 года.</w:t>
            </w:r>
          </w:p>
        </w:tc>
        <w:tc>
          <w:tcPr>
            <w:tcW w:w="6966" w:type="dxa"/>
          </w:tcPr>
          <w:p w14:paraId="60C1607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Проектированием и производством работа закончена в срок. Произведены полетные испытания и получены хорошие результаты, а именно: скорость – 240 км/час при общем весе машины в 7,5 тонны.</w:t>
            </w:r>
          </w:p>
          <w:p w14:paraId="759F5D4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докладу А.Н. Туполева начальником ВС даны указания о постройке серии.</w:t>
            </w:r>
          </w:p>
        </w:tc>
      </w:tr>
    </w:tbl>
    <w:p w14:paraId="4C537F4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в результате работы ЦАГИ за 1932 год:</w:t>
      </w:r>
    </w:p>
    <w:p w14:paraId="3A4604C8" w14:textId="77777777" w:rsidR="00E37239" w:rsidRPr="00C33834" w:rsidRDefault="00E37239" w:rsidP="00C33834">
      <w:pPr>
        <w:numPr>
          <w:ilvl w:val="0"/>
          <w:numId w:val="4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Производится передача чертежей в серию по следующим машинам:</w:t>
      </w:r>
    </w:p>
    <w:p w14:paraId="2B32458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ТБ4-6М34 головной – заводу № 22</w:t>
      </w:r>
    </w:p>
    <w:p w14:paraId="42A1E97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 – заводу № 22</w:t>
      </w:r>
    </w:p>
    <w:p w14:paraId="5887490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МИ3-2М34 – заводу № 22</w:t>
      </w:r>
    </w:p>
    <w:p w14:paraId="5908C17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АНТ-20-6Н34 (в пассажирском исполнении) – заводу № 22</w:t>
      </w:r>
    </w:p>
    <w:p w14:paraId="3FF2059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МБР-2 - заводу № 45</w:t>
      </w:r>
    </w:p>
    <w:p w14:paraId="42CD16C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Р6-М17 на поплавках – заводу № 31</w:t>
      </w:r>
    </w:p>
    <w:p w14:paraId="50F058A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С-62 с М-34 (установка мотора) – заводу № 31</w:t>
      </w:r>
    </w:p>
    <w:p w14:paraId="2F855ED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 – тормоз. шасси – заводу № 1</w:t>
      </w:r>
    </w:p>
    <w:p w14:paraId="2A9396E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ТБ1 и Р6 (модификация для увеличения дальности полета) – сдаются УВВС для производства работ на их ремонтных базах</w:t>
      </w:r>
    </w:p>
    <w:p w14:paraId="7B11C68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Подготовлялись для серии чертежи самолета МДР2.</w:t>
      </w:r>
    </w:p>
    <w:p w14:paraId="73F93CD8" w14:textId="77777777" w:rsidR="00E37239" w:rsidRPr="00C33834" w:rsidRDefault="00E37239" w:rsidP="00C33834">
      <w:pPr>
        <w:numPr>
          <w:ilvl w:val="0"/>
          <w:numId w:val="5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Разработаны чертежи для серийного производства тормозных колес для самолетов Р5, И5, ТБ3, Р6, ТБ4 и МИ3.</w:t>
      </w:r>
    </w:p>
    <w:p w14:paraId="3BA01F95" w14:textId="77777777" w:rsidR="00E37239" w:rsidRPr="00C33834" w:rsidRDefault="00E37239" w:rsidP="00C33834">
      <w:pPr>
        <w:numPr>
          <w:ilvl w:val="0"/>
          <w:numId w:val="5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Разработаны и передаются в серийное производство чертежи масляных амортизаторов для самолетов ТБ4 и МИ3.</w:t>
      </w:r>
    </w:p>
    <w:p w14:paraId="08E86D60" w14:textId="77777777" w:rsidR="00E37239" w:rsidRPr="00C33834" w:rsidRDefault="00E37239" w:rsidP="00C33834">
      <w:pPr>
        <w:numPr>
          <w:ilvl w:val="0"/>
          <w:numId w:val="5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Разработаны и передаются в серии чертежи винтов металлической конструкции. Первые винты уже вышли из производства на заводах № 45 (Союзалюминий) и № 28.</w:t>
      </w:r>
    </w:p>
    <w:p w14:paraId="57B8B1F9" w14:textId="77777777" w:rsidR="00E37239" w:rsidRPr="00C33834" w:rsidRDefault="00E37239" w:rsidP="00C33834">
      <w:pPr>
        <w:numPr>
          <w:ilvl w:val="0"/>
          <w:numId w:val="5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Р5 – первый вариант с разрезным крылом спроектирован, построен и испытан.</w:t>
      </w:r>
    </w:p>
    <w:p w14:paraId="63907CD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Второй вариант спроектирован. Построен и находится на испытании.</w:t>
      </w:r>
    </w:p>
    <w:p w14:paraId="391226B6" w14:textId="77777777" w:rsidR="00E37239" w:rsidRPr="00C33834" w:rsidRDefault="00E37239" w:rsidP="00C33834">
      <w:pPr>
        <w:numPr>
          <w:ilvl w:val="0"/>
          <w:numId w:val="5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Изготовлены и сданы чертежи по вооружению серийным заводам №№ 22 и 32.</w:t>
      </w:r>
    </w:p>
    <w:p w14:paraId="0863EF7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 стрелковому вооружению:</w:t>
      </w:r>
    </w:p>
    <w:p w14:paraId="7CE61F16" w14:textId="77777777" w:rsidR="00E37239" w:rsidRPr="00C33834" w:rsidRDefault="00E37239" w:rsidP="00C33834">
      <w:pPr>
        <w:numPr>
          <w:ilvl w:val="0"/>
          <w:numId w:val="5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Носовая пушечная установка.</w:t>
      </w:r>
    </w:p>
    <w:p w14:paraId="2343890D" w14:textId="77777777" w:rsidR="00E37239" w:rsidRPr="00C33834" w:rsidRDefault="00E37239" w:rsidP="00C33834">
      <w:pPr>
        <w:numPr>
          <w:ilvl w:val="0"/>
          <w:numId w:val="5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Реданная пулеметная установка.</w:t>
      </w:r>
    </w:p>
    <w:p w14:paraId="70ED8D83" w14:textId="77777777" w:rsidR="00E37239" w:rsidRPr="00C33834" w:rsidRDefault="00E37239" w:rsidP="00C33834">
      <w:pPr>
        <w:numPr>
          <w:ilvl w:val="0"/>
          <w:numId w:val="5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Люковая пулеметная установка.</w:t>
      </w:r>
    </w:p>
    <w:p w14:paraId="645AD9F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самолета МИ3, для самолета ТБ4)</w:t>
      </w:r>
    </w:p>
    <w:p w14:paraId="0C68D0D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 бомбардировочному вооружению:</w:t>
      </w:r>
    </w:p>
    <w:p w14:paraId="2C20A877" w14:textId="77777777" w:rsidR="00E37239" w:rsidRPr="00C33834" w:rsidRDefault="00E37239" w:rsidP="00C33834">
      <w:pPr>
        <w:numPr>
          <w:ilvl w:val="0"/>
          <w:numId w:val="5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Укороченные балки ДР25 и ДР26.</w:t>
      </w:r>
    </w:p>
    <w:p w14:paraId="7BEBA755" w14:textId="77777777" w:rsidR="00E37239" w:rsidRPr="00C33834" w:rsidRDefault="00E37239" w:rsidP="00C33834">
      <w:pPr>
        <w:numPr>
          <w:ilvl w:val="0"/>
          <w:numId w:val="5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Лебедки для этих балок.</w:t>
      </w:r>
    </w:p>
    <w:p w14:paraId="1A7F5A5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самолета ТБ3)</w:t>
      </w:r>
    </w:p>
    <w:p w14:paraId="22BAB6F8" w14:textId="77777777" w:rsidR="00E37239" w:rsidRPr="00C33834" w:rsidRDefault="00E37239" w:rsidP="00C33834">
      <w:pPr>
        <w:numPr>
          <w:ilvl w:val="0"/>
          <w:numId w:val="6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Замок кассетного бомбодержателя КАДОТ для 1000 кг бомб – самолет ТБ4.</w:t>
      </w:r>
    </w:p>
    <w:p w14:paraId="700A145E" w14:textId="77777777" w:rsidR="00E37239" w:rsidRPr="00C33834" w:rsidRDefault="00E37239" w:rsidP="00C33834">
      <w:pPr>
        <w:numPr>
          <w:ilvl w:val="0"/>
          <w:numId w:val="6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Кассетный бомбодержатель КД3 для 250-500 кг бомб – для самолета ТБ4.</w:t>
      </w:r>
    </w:p>
    <w:p w14:paraId="4DBC56E7" w14:textId="77777777" w:rsidR="00E37239" w:rsidRPr="00C33834" w:rsidRDefault="00E37239" w:rsidP="00C33834">
      <w:pPr>
        <w:numPr>
          <w:ilvl w:val="0"/>
          <w:numId w:val="6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Сдаются бомбодержатели КБ2 для самолетов ТБ3 и ТБ4.</w:t>
      </w:r>
    </w:p>
    <w:p w14:paraId="4D5EC664" w14:textId="77777777" w:rsidR="00E37239" w:rsidRPr="00C33834" w:rsidRDefault="00E37239" w:rsidP="00C33834">
      <w:pPr>
        <w:numPr>
          <w:ilvl w:val="0"/>
          <w:numId w:val="6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СР-электросбрасыватель для разведчиков.</w:t>
      </w:r>
    </w:p>
    <w:p w14:paraId="47EDC870" w14:textId="77777777" w:rsidR="00E37239" w:rsidRPr="00C33834" w:rsidRDefault="00E37239" w:rsidP="00C33834">
      <w:pPr>
        <w:numPr>
          <w:ilvl w:val="0"/>
          <w:numId w:val="6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СИ-электросбрасыватель для истребителя.</w:t>
      </w:r>
    </w:p>
    <w:p w14:paraId="082F4FED" w14:textId="77777777" w:rsidR="00E37239" w:rsidRPr="00C33834" w:rsidRDefault="00E37239" w:rsidP="00C33834">
      <w:pPr>
        <w:numPr>
          <w:ilvl w:val="0"/>
          <w:numId w:val="6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ДО1 – бомбодержатель для бомб от 25 до 500 кг.</w:t>
      </w:r>
    </w:p>
    <w:p w14:paraId="1A19E568" w14:textId="77777777" w:rsidR="00E37239" w:rsidRPr="00C33834" w:rsidRDefault="00E37239" w:rsidP="00C33834">
      <w:pPr>
        <w:numPr>
          <w:ilvl w:val="0"/>
          <w:numId w:val="6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Лебедка ДО1.</w:t>
      </w:r>
    </w:p>
    <w:p w14:paraId="6E8283FF" w14:textId="77777777" w:rsidR="00E37239" w:rsidRPr="00C33834" w:rsidRDefault="00E37239" w:rsidP="00C33834">
      <w:pPr>
        <w:numPr>
          <w:ilvl w:val="0"/>
          <w:numId w:val="6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Лебедка КБ2.</w:t>
      </w:r>
    </w:p>
    <w:p w14:paraId="200EB6D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 химическому вооружению:</w:t>
      </w:r>
    </w:p>
    <w:p w14:paraId="6F890A7A" w14:textId="77777777" w:rsidR="00E37239" w:rsidRPr="00C33834" w:rsidRDefault="00E37239" w:rsidP="00C33834">
      <w:pPr>
        <w:numPr>
          <w:ilvl w:val="0"/>
          <w:numId w:val="6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ДАП на Дорневаль.</w:t>
      </w:r>
    </w:p>
    <w:p w14:paraId="7763E93F" w14:textId="77777777" w:rsidR="00E37239" w:rsidRPr="00C33834" w:rsidRDefault="00E37239" w:rsidP="00C33834">
      <w:pPr>
        <w:numPr>
          <w:ilvl w:val="0"/>
          <w:numId w:val="6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ДАП и ВАП на С-62 и МБР4.</w:t>
      </w:r>
    </w:p>
    <w:p w14:paraId="4EF80AB3" w14:textId="77777777" w:rsidR="00E37239" w:rsidRPr="00C33834" w:rsidRDefault="00E37239" w:rsidP="00C33834">
      <w:pPr>
        <w:numPr>
          <w:ilvl w:val="0"/>
          <w:numId w:val="7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ДАП для ТБ1.</w:t>
      </w:r>
    </w:p>
    <w:p w14:paraId="1CBF55C3" w14:textId="77777777" w:rsidR="00E37239" w:rsidRPr="00C33834" w:rsidRDefault="00E37239" w:rsidP="00C33834">
      <w:pPr>
        <w:numPr>
          <w:ilvl w:val="0"/>
          <w:numId w:val="7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ДАП для Р5.</w:t>
      </w:r>
    </w:p>
    <w:p w14:paraId="7349E06B" w14:textId="77777777" w:rsidR="00E37239" w:rsidRPr="00C33834" w:rsidRDefault="00E37239" w:rsidP="00C33834">
      <w:pPr>
        <w:numPr>
          <w:ilvl w:val="0"/>
          <w:numId w:val="7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ВАП для Р5.</w:t>
      </w:r>
    </w:p>
    <w:p w14:paraId="74336D1E" w14:textId="77777777" w:rsidR="00E37239" w:rsidRPr="00C33834" w:rsidRDefault="00E37239" w:rsidP="00C33834">
      <w:pPr>
        <w:pStyle w:val="a3"/>
        <w:widowControl/>
        <w:rPr>
          <w:color w:val="000000" w:themeColor="text1"/>
          <w:lang w:val="ru-RU"/>
        </w:rPr>
      </w:pPr>
      <w:r w:rsidRPr="00C33834">
        <w:rPr>
          <w:color w:val="000000" w:themeColor="text1"/>
          <w:lang w:val="ru-RU"/>
        </w:rPr>
        <w:t>7. а) Разработаны рабочие чертежи и карты технологических процессов для серийного завода № 21 по самолету И5.</w:t>
      </w:r>
    </w:p>
    <w:p w14:paraId="73EE08A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Разработаны рабочие чертежи и карты технологических процессов по самолету ТШ2-М17 для завода № 16.</w:t>
      </w:r>
    </w:p>
    <w:p w14:paraId="0DCF49D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том числе внеплановых работ ЦАГИ исполнил в 1932 году.</w:t>
      </w:r>
    </w:p>
    <w:p w14:paraId="645055C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32 узла для завода № 22 к самолету ТБ3;</w:t>
      </w:r>
    </w:p>
    <w:p w14:paraId="78F6C41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стапели для оперения, фюзеляжа и других деталей;</w:t>
      </w:r>
    </w:p>
    <w:p w14:paraId="2DCDDE0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комплекты арматуры самолета ТБ3;</w:t>
      </w:r>
    </w:p>
    <w:p w14:paraId="4DCAADF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балки к бомбодержателям для самолета ТБ3;</w:t>
      </w:r>
    </w:p>
    <w:p w14:paraId="7381DD1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гондолы двух дирижаблей;</w:t>
      </w:r>
    </w:p>
    <w:p w14:paraId="580C745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 хвостовое оперение и стабилизаторы дирижаблей;</w:t>
      </w:r>
    </w:p>
    <w:p w14:paraId="70D7AFC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 электронные отливки для тормозных колес и пр. (3530,70-86).</w:t>
      </w:r>
    </w:p>
    <w:p w14:paraId="1D7F4966" w14:textId="77777777" w:rsidR="00E37239" w:rsidRPr="00C33834" w:rsidRDefault="00E37239" w:rsidP="00C33834">
      <w:pPr>
        <w:spacing w:after="0" w:line="240" w:lineRule="auto"/>
        <w:jc w:val="both"/>
        <w:rPr>
          <w:rFonts w:ascii="Times New Roman" w:hAnsi="Times New Roman"/>
          <w:color w:val="000000" w:themeColor="text1"/>
          <w:sz w:val="16"/>
          <w:szCs w:val="16"/>
        </w:rPr>
      </w:pPr>
    </w:p>
    <w:p w14:paraId="372F9B4E" w14:textId="77777777" w:rsidR="00E372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3865E397" w14:textId="77777777" w:rsidR="00E37239" w:rsidRPr="00C33834" w:rsidRDefault="00E37239" w:rsidP="00C33834">
      <w:pPr>
        <w:spacing w:after="0" w:line="240" w:lineRule="auto"/>
        <w:jc w:val="both"/>
        <w:rPr>
          <w:rFonts w:ascii="Times New Roman" w:hAnsi="Times New Roman"/>
          <w:iCs/>
          <w:color w:val="000000" w:themeColor="text1"/>
          <w:sz w:val="16"/>
          <w:szCs w:val="16"/>
        </w:rPr>
      </w:pPr>
    </w:p>
    <w:p w14:paraId="37D8F30B" w14:textId="77777777" w:rsidR="00E37239" w:rsidRPr="00C33834" w:rsidRDefault="00E372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января 1933 ЦК ВКП(б) осудил руководство компартии Украины за срыв заготовок зерна (4962).</w:t>
      </w:r>
    </w:p>
    <w:p w14:paraId="18F0C903" w14:textId="77777777" w:rsidR="00E37239" w:rsidRPr="00C33834" w:rsidRDefault="00E37239" w:rsidP="00C33834">
      <w:pPr>
        <w:tabs>
          <w:tab w:val="left" w:pos="11199"/>
        </w:tabs>
        <w:spacing w:after="0" w:line="240" w:lineRule="auto"/>
        <w:jc w:val="both"/>
        <w:rPr>
          <w:rFonts w:ascii="Times New Roman" w:hAnsi="Times New Roman"/>
          <w:color w:val="000000" w:themeColor="text1"/>
          <w:sz w:val="16"/>
          <w:szCs w:val="16"/>
        </w:rPr>
      </w:pPr>
    </w:p>
    <w:p w14:paraId="685C2DA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января 1933 - ЦК ВКП(б) вынес специальную резолюцию по Украине, говорящую о потере бдительности. Исправлять положение должны были С.Косиор - 1 секретарь КПУ и П.Постышев. Изымали хлеб вместе с В.М.Молотовым пред. ЧК по хлебозаготовкам (70,220).</w:t>
      </w:r>
    </w:p>
    <w:p w14:paraId="3350A7BA" w14:textId="77777777" w:rsidR="00E37239" w:rsidRPr="00C33834" w:rsidRDefault="00E37239" w:rsidP="00C33834">
      <w:pPr>
        <w:spacing w:after="0" w:line="240" w:lineRule="auto"/>
        <w:jc w:val="both"/>
        <w:rPr>
          <w:rFonts w:ascii="Times New Roman" w:hAnsi="Times New Roman"/>
          <w:color w:val="000000" w:themeColor="text1"/>
          <w:sz w:val="16"/>
          <w:szCs w:val="16"/>
        </w:rPr>
      </w:pPr>
    </w:p>
    <w:p w14:paraId="383F63A9" w14:textId="77777777" w:rsidR="004539AF" w:rsidRPr="00C33834" w:rsidRDefault="004539A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января 1933 Секретарь ЦК Постышев прибыл на Украину. Он вместе с первым секретарем  ЦК КП(б)У С. В. Косиором и начальником ОГПУ Украины В. А. Балицким  сместил 237 секретарей райкомов, 249 председателей райисполкомов, свыше половины председателей колхозов. За то, что завалили хлебозаготовки и допустили голод. А еще Пленум ЦК принял решение проводить политинформации в МТС для повышения политической грамотности колхозников (12629).</w:t>
      </w:r>
    </w:p>
    <w:p w14:paraId="72DF231B" w14:textId="77777777" w:rsidR="004539AF" w:rsidRPr="00C33834" w:rsidRDefault="004539AF" w:rsidP="00C33834">
      <w:pPr>
        <w:spacing w:after="0" w:line="240" w:lineRule="auto"/>
        <w:jc w:val="both"/>
        <w:rPr>
          <w:rFonts w:ascii="Times New Roman" w:hAnsi="Times New Roman"/>
          <w:iCs/>
          <w:color w:val="000000" w:themeColor="text1"/>
          <w:sz w:val="16"/>
          <w:szCs w:val="16"/>
        </w:rPr>
      </w:pPr>
    </w:p>
    <w:p w14:paraId="7552C568" w14:textId="77777777" w:rsidR="00E372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36C17B4" w14:textId="77777777" w:rsidR="00E37239" w:rsidRPr="00C33834" w:rsidRDefault="00E37239" w:rsidP="00C33834">
      <w:pPr>
        <w:spacing w:after="0" w:line="240" w:lineRule="auto"/>
        <w:jc w:val="both"/>
        <w:rPr>
          <w:rFonts w:ascii="Times New Roman" w:hAnsi="Times New Roman"/>
          <w:iCs/>
          <w:color w:val="000000" w:themeColor="text1"/>
          <w:sz w:val="16"/>
          <w:szCs w:val="16"/>
        </w:rPr>
      </w:pPr>
    </w:p>
    <w:p w14:paraId="64D5FDA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января 1933 был получен мотор Меркур для И-15 М-58 (М38) (7415, 16).</w:t>
      </w:r>
    </w:p>
    <w:p w14:paraId="0071B2EA" w14:textId="77777777" w:rsidR="00E37239" w:rsidRPr="00C33834" w:rsidRDefault="00E37239" w:rsidP="00C33834">
      <w:pPr>
        <w:spacing w:after="0" w:line="240" w:lineRule="auto"/>
        <w:jc w:val="both"/>
        <w:rPr>
          <w:rFonts w:ascii="Times New Roman" w:hAnsi="Times New Roman"/>
          <w:color w:val="000000" w:themeColor="text1"/>
          <w:sz w:val="16"/>
          <w:szCs w:val="16"/>
        </w:rPr>
      </w:pPr>
    </w:p>
    <w:p w14:paraId="24E95F0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января 1933 был получен мотор Меркур для самолета И-14 М-38 (7415, 16).</w:t>
      </w:r>
    </w:p>
    <w:p w14:paraId="27F0375D" w14:textId="77777777" w:rsidR="00E37239" w:rsidRPr="00C33834" w:rsidRDefault="00E37239" w:rsidP="00C33834">
      <w:pPr>
        <w:spacing w:after="0" w:line="240" w:lineRule="auto"/>
        <w:jc w:val="both"/>
        <w:rPr>
          <w:rFonts w:ascii="Times New Roman" w:hAnsi="Times New Roman"/>
          <w:color w:val="000000" w:themeColor="text1"/>
          <w:sz w:val="16"/>
          <w:szCs w:val="16"/>
        </w:rPr>
      </w:pPr>
    </w:p>
    <w:p w14:paraId="4588AE4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января 1933 г. был получен мотор для И-14; консоли крыла сдали 25 апреля 1933 г.; центроплан - 16 апреля 1933 г.; 10 марта был полностью собран фюзеляж; 21 апреля установили шасси (правда, без подъемного механизма - его не успели довести в срок). Установка мотора на самолет состоялась 28 марта 1933 г. (12037).</w:t>
      </w:r>
    </w:p>
    <w:p w14:paraId="2791F667" w14:textId="77777777" w:rsidR="00E37239" w:rsidRPr="00C33834" w:rsidRDefault="00E37239" w:rsidP="00C33834">
      <w:pPr>
        <w:spacing w:after="0" w:line="240" w:lineRule="auto"/>
        <w:jc w:val="both"/>
        <w:rPr>
          <w:rFonts w:ascii="Times New Roman" w:hAnsi="Times New Roman"/>
          <w:color w:val="000000" w:themeColor="text1"/>
          <w:sz w:val="16"/>
          <w:szCs w:val="16"/>
        </w:rPr>
      </w:pPr>
    </w:p>
    <w:p w14:paraId="7BC5F576" w14:textId="77777777" w:rsidR="007E2B8A" w:rsidRPr="00C33834" w:rsidRDefault="007E2B8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25 января 1933 г. Комитет утвердил технические требования к самолету, раз</w:t>
      </w:r>
      <w:r w:rsidRPr="00C33834">
        <w:rPr>
          <w:rFonts w:ascii="Times New Roman" w:hAnsi="Times New Roman"/>
          <w:color w:val="0070C0"/>
          <w:sz w:val="16"/>
          <w:szCs w:val="16"/>
        </w:rPr>
        <w:softHyphen/>
        <w:t>работанные Техническим советом.</w:t>
      </w:r>
    </w:p>
    <w:p w14:paraId="74669FCF" w14:textId="77777777" w:rsidR="007E2B8A" w:rsidRPr="00C33834" w:rsidRDefault="007E2B8A" w:rsidP="00C33834">
      <w:pPr>
        <w:shd w:val="clear" w:color="auto" w:fill="FFFFFF"/>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Техсовет комитета по постройке МГ после двух заседаний пришел к ряду выводов:</w:t>
      </w:r>
    </w:p>
    <w:p w14:paraId="200DB06D" w14:textId="77777777" w:rsidR="007E2B8A" w:rsidRPr="00C33834" w:rsidRDefault="007E2B8A" w:rsidP="00C33834">
      <w:pPr>
        <w:spacing w:after="0" w:line="240" w:lineRule="auto"/>
        <w:jc w:val="both"/>
        <w:rPr>
          <w:rFonts w:ascii="Times New Roman" w:hAnsi="Times New Roman"/>
          <w:color w:val="0070C0"/>
          <w:sz w:val="16"/>
          <w:szCs w:val="16"/>
          <w:lang w:eastAsia="ru-RU" w:bidi="ru-RU"/>
        </w:rPr>
      </w:pPr>
      <w:r w:rsidRPr="00C33834">
        <w:rPr>
          <w:rFonts w:ascii="Times New Roman" w:hAnsi="Times New Roman"/>
          <w:color w:val="0070C0"/>
          <w:sz w:val="16"/>
          <w:szCs w:val="16"/>
          <w:lang w:eastAsia="ru-RU" w:bidi="ru-RU"/>
        </w:rPr>
        <w:t>1. Основное назначение самолета — служить целям агитации.</w:t>
      </w:r>
    </w:p>
    <w:p w14:paraId="4836128D" w14:textId="77777777" w:rsidR="007E2B8A" w:rsidRPr="00C33834" w:rsidRDefault="007E2B8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2. Исходя из этого при его оборудова</w:t>
      </w:r>
      <w:r w:rsidRPr="00C33834">
        <w:rPr>
          <w:rFonts w:ascii="Times New Roman" w:hAnsi="Times New Roman"/>
          <w:color w:val="0070C0"/>
          <w:sz w:val="16"/>
          <w:szCs w:val="16"/>
          <w:lang w:eastAsia="ru-RU" w:bidi="ru-RU"/>
        </w:rPr>
        <w:softHyphen/>
        <w:t>нии необходимо использовать самые со</w:t>
      </w:r>
      <w:r w:rsidRPr="00C33834">
        <w:rPr>
          <w:rFonts w:ascii="Times New Roman" w:hAnsi="Times New Roman"/>
          <w:color w:val="0070C0"/>
          <w:sz w:val="16"/>
          <w:szCs w:val="16"/>
          <w:lang w:eastAsia="ru-RU" w:bidi="ru-RU"/>
        </w:rPr>
        <w:softHyphen/>
        <w:t>временные достижения в области поли</w:t>
      </w:r>
      <w:r w:rsidRPr="00C33834">
        <w:rPr>
          <w:rFonts w:ascii="Times New Roman" w:hAnsi="Times New Roman"/>
          <w:color w:val="0070C0"/>
          <w:sz w:val="16"/>
          <w:szCs w:val="16"/>
          <w:lang w:eastAsia="ru-RU" w:bidi="ru-RU"/>
        </w:rPr>
        <w:softHyphen/>
        <w:t>графии. радио-, свето-. фото- и кинотех</w:t>
      </w:r>
      <w:r w:rsidRPr="00C33834">
        <w:rPr>
          <w:rFonts w:ascii="Times New Roman" w:hAnsi="Times New Roman"/>
          <w:color w:val="0070C0"/>
          <w:sz w:val="16"/>
          <w:szCs w:val="16"/>
          <w:lang w:eastAsia="ru-RU" w:bidi="ru-RU"/>
        </w:rPr>
        <w:softHyphen/>
        <w:t>ники.</w:t>
      </w:r>
    </w:p>
    <w:p w14:paraId="5D72739A" w14:textId="77777777" w:rsidR="007E2B8A" w:rsidRPr="00C33834" w:rsidRDefault="007E2B8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3. Самолет должен иметь возможность быстро появляться в районе своего назна</w:t>
      </w:r>
      <w:r w:rsidRPr="00C33834">
        <w:rPr>
          <w:rFonts w:ascii="Times New Roman" w:hAnsi="Times New Roman"/>
          <w:color w:val="0070C0"/>
          <w:sz w:val="16"/>
          <w:szCs w:val="16"/>
          <w:lang w:eastAsia="ru-RU" w:bidi="ru-RU"/>
        </w:rPr>
        <w:softHyphen/>
        <w:t>чения и так же быстро выполнять постав</w:t>
      </w:r>
      <w:r w:rsidRPr="00C33834">
        <w:rPr>
          <w:rFonts w:ascii="Times New Roman" w:hAnsi="Times New Roman"/>
          <w:color w:val="0070C0"/>
          <w:sz w:val="16"/>
          <w:szCs w:val="16"/>
          <w:lang w:eastAsia="ru-RU" w:bidi="ru-RU"/>
        </w:rPr>
        <w:softHyphen/>
        <w:t>ленные перед ним задачи. Поэтому необ</w:t>
      </w:r>
      <w:r w:rsidRPr="00C33834">
        <w:rPr>
          <w:rFonts w:ascii="Times New Roman" w:hAnsi="Times New Roman"/>
          <w:color w:val="0070C0"/>
          <w:sz w:val="16"/>
          <w:szCs w:val="16"/>
          <w:lang w:eastAsia="ru-RU" w:bidi="ru-RU"/>
        </w:rPr>
        <w:softHyphen/>
        <w:t>ходимо спроектировать машину так. что</w:t>
      </w:r>
      <w:r w:rsidRPr="00C33834">
        <w:rPr>
          <w:rFonts w:ascii="Times New Roman" w:hAnsi="Times New Roman"/>
          <w:color w:val="0070C0"/>
          <w:sz w:val="16"/>
          <w:szCs w:val="16"/>
          <w:lang w:eastAsia="ru-RU" w:bidi="ru-RU"/>
        </w:rPr>
        <w:softHyphen/>
        <w:t>бы требовалось минимальное количество времени для приведения в действие всех находящихся на ней среде! в агитации.</w:t>
      </w:r>
    </w:p>
    <w:p w14:paraId="0AC9C69F" w14:textId="77777777" w:rsidR="007E2B8A" w:rsidRPr="00C33834" w:rsidRDefault="007E2B8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Основные предварительные техниче</w:t>
      </w:r>
      <w:r w:rsidRPr="00C33834">
        <w:rPr>
          <w:rFonts w:ascii="Times New Roman" w:hAnsi="Times New Roman"/>
          <w:color w:val="0070C0"/>
          <w:sz w:val="16"/>
          <w:szCs w:val="16"/>
          <w:lang w:eastAsia="ru-RU" w:bidi="ru-RU"/>
        </w:rPr>
        <w:softHyphen/>
        <w:t>ские требования к самолету сводились к следующему:</w:t>
      </w:r>
    </w:p>
    <w:p w14:paraId="79D575E9" w14:textId="77777777" w:rsidR="007E2B8A" w:rsidRPr="00C33834" w:rsidRDefault="007E2B8A" w:rsidP="00C33834">
      <w:pPr>
        <w:widowControl w:val="0"/>
        <w:tabs>
          <w:tab w:val="left" w:pos="504"/>
        </w:tabs>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1. Самолет должен строиться из со</w:t>
      </w:r>
      <w:r w:rsidRPr="00C33834">
        <w:rPr>
          <w:rFonts w:ascii="Times New Roman" w:hAnsi="Times New Roman"/>
          <w:color w:val="0070C0"/>
          <w:sz w:val="16"/>
          <w:szCs w:val="16"/>
          <w:lang w:eastAsia="ru-RU" w:bidi="ru-RU"/>
        </w:rPr>
        <w:softHyphen/>
        <w:t>ветских материалов с мотором советской конструкции и специальным оборудова</w:t>
      </w:r>
      <w:r w:rsidRPr="00C33834">
        <w:rPr>
          <w:rFonts w:ascii="Times New Roman" w:hAnsi="Times New Roman"/>
          <w:color w:val="0070C0"/>
          <w:sz w:val="16"/>
          <w:szCs w:val="16"/>
          <w:lang w:eastAsia="ru-RU" w:bidi="ru-RU"/>
        </w:rPr>
        <w:softHyphen/>
        <w:t>нием. изготовленным советской про</w:t>
      </w:r>
      <w:r w:rsidRPr="00C33834">
        <w:rPr>
          <w:rFonts w:ascii="Times New Roman" w:hAnsi="Times New Roman"/>
          <w:color w:val="0070C0"/>
          <w:sz w:val="16"/>
          <w:szCs w:val="16"/>
          <w:lang w:eastAsia="ru-RU" w:bidi="ru-RU"/>
        </w:rPr>
        <w:softHyphen/>
        <w:t>мышленностью.</w:t>
      </w:r>
    </w:p>
    <w:p w14:paraId="0D1955AC" w14:textId="77777777" w:rsidR="007E2B8A" w:rsidRPr="00C33834" w:rsidRDefault="007E2B8A" w:rsidP="00C33834">
      <w:pPr>
        <w:widowControl w:val="0"/>
        <w:tabs>
          <w:tab w:val="left" w:pos="504"/>
        </w:tabs>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2. Самолет должен отвечать совре</w:t>
      </w:r>
      <w:r w:rsidRPr="00C33834">
        <w:rPr>
          <w:rFonts w:ascii="Times New Roman" w:hAnsi="Times New Roman"/>
          <w:color w:val="0070C0"/>
          <w:sz w:val="16"/>
          <w:szCs w:val="16"/>
          <w:lang w:eastAsia="ru-RU" w:bidi="ru-RU"/>
        </w:rPr>
        <w:softHyphen/>
        <w:t>менным требованиям безопасности по</w:t>
      </w:r>
      <w:r w:rsidRPr="00C33834">
        <w:rPr>
          <w:rFonts w:ascii="Times New Roman" w:hAnsi="Times New Roman"/>
          <w:color w:val="0070C0"/>
          <w:sz w:val="16"/>
          <w:szCs w:val="16"/>
          <w:lang w:eastAsia="ru-RU" w:bidi="ru-RU"/>
        </w:rPr>
        <w:softHyphen/>
        <w:t>летов. а также быть приспособленным к условиям эксплуатации в различных час</w:t>
      </w:r>
      <w:r w:rsidRPr="00C33834">
        <w:rPr>
          <w:rFonts w:ascii="Times New Roman" w:hAnsi="Times New Roman"/>
          <w:color w:val="0070C0"/>
          <w:sz w:val="16"/>
          <w:szCs w:val="16"/>
          <w:lang w:eastAsia="ru-RU" w:bidi="ru-RU"/>
        </w:rPr>
        <w:softHyphen/>
        <w:t>тях СССР и при различных температурах. Он должен работать как на колесном, так и на лыжном шасси.</w:t>
      </w:r>
    </w:p>
    <w:p w14:paraId="1FF85BDD" w14:textId="77777777" w:rsidR="007E2B8A" w:rsidRPr="00C33834" w:rsidRDefault="007E2B8A" w:rsidP="00C33834">
      <w:pPr>
        <w:widowControl w:val="0"/>
        <w:tabs>
          <w:tab w:val="left" w:pos="504"/>
        </w:tabs>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3. Конструкция самолета должна быть такой, чтобы он мог обходиться без ангара и противостоять атмосферным условиям. (В дальнейшем этот пункт сняли, для машины планировалось по</w:t>
      </w:r>
      <w:r w:rsidRPr="00C33834">
        <w:rPr>
          <w:rFonts w:ascii="Times New Roman" w:hAnsi="Times New Roman"/>
          <w:color w:val="0070C0"/>
          <w:sz w:val="16"/>
          <w:szCs w:val="16"/>
          <w:lang w:eastAsia="ru-RU" w:bidi="ru-RU"/>
        </w:rPr>
        <w:softHyphen/>
        <w:t>строить ангар.)</w:t>
      </w:r>
    </w:p>
    <w:p w14:paraId="15E8DF7D" w14:textId="77777777" w:rsidR="007E2B8A" w:rsidRPr="00C33834" w:rsidRDefault="007E2B8A" w:rsidP="00C33834">
      <w:pPr>
        <w:widowControl w:val="0"/>
        <w:tabs>
          <w:tab w:val="left" w:pos="504"/>
        </w:tabs>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4. Помимо оборудования для связи с внешним миром на нем необходимо иметь различные средства внутренней связи - телефон, пневматическую почту, световую сигнализацию.</w:t>
      </w:r>
    </w:p>
    <w:p w14:paraId="21D28CB6" w14:textId="77777777" w:rsidR="007E2B8A" w:rsidRPr="00C33834" w:rsidRDefault="007E2B8A" w:rsidP="00C33834">
      <w:pPr>
        <w:widowControl w:val="0"/>
        <w:tabs>
          <w:tab w:val="left" w:pos="504"/>
        </w:tabs>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5. Самолет должен иметь хорошее отопление, освещение, вентиляцию и бытовые устройства, удовлетворяющие обслуживающий персонал в длительных полетах.</w:t>
      </w:r>
    </w:p>
    <w:p w14:paraId="256CF4D7" w14:textId="77777777" w:rsidR="007E2B8A" w:rsidRPr="00C33834" w:rsidRDefault="007E2B8A" w:rsidP="00C33834">
      <w:pPr>
        <w:widowControl w:val="0"/>
        <w:tabs>
          <w:tab w:val="left" w:pos="504"/>
        </w:tabs>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6. На самолете предполагалось уста</w:t>
      </w:r>
      <w:r w:rsidRPr="00C33834">
        <w:rPr>
          <w:rFonts w:ascii="Times New Roman" w:hAnsi="Times New Roman"/>
          <w:color w:val="0070C0"/>
          <w:sz w:val="16"/>
          <w:szCs w:val="16"/>
          <w:lang w:eastAsia="ru-RU" w:bidi="ru-RU"/>
        </w:rPr>
        <w:softHyphen/>
        <w:t>новить центральную электростанцию для питания осветительных приборов, радио</w:t>
      </w:r>
      <w:r w:rsidRPr="00C33834">
        <w:rPr>
          <w:rFonts w:ascii="Times New Roman" w:hAnsi="Times New Roman"/>
          <w:color w:val="0070C0"/>
          <w:sz w:val="16"/>
          <w:szCs w:val="16"/>
          <w:lang w:eastAsia="ru-RU" w:bidi="ru-RU"/>
        </w:rPr>
        <w:softHyphen/>
        <w:t>приборов. кинотехники и проч.</w:t>
      </w:r>
    </w:p>
    <w:p w14:paraId="5FF9A3F6" w14:textId="77777777" w:rsidR="007E2B8A" w:rsidRPr="00C33834" w:rsidRDefault="007E2B8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Технический совет считал, что мото</w:t>
      </w:r>
      <w:r w:rsidRPr="00C33834">
        <w:rPr>
          <w:rFonts w:ascii="Times New Roman" w:hAnsi="Times New Roman"/>
          <w:color w:val="0070C0"/>
          <w:sz w:val="16"/>
          <w:szCs w:val="16"/>
          <w:lang w:eastAsia="ru-RU" w:bidi="ru-RU"/>
        </w:rPr>
        <w:softHyphen/>
        <w:t>ры самолета должны быть бензиновые, винты - металлические, колеса - с тор</w:t>
      </w:r>
      <w:r w:rsidRPr="00C33834">
        <w:rPr>
          <w:rFonts w:ascii="Times New Roman" w:hAnsi="Times New Roman"/>
          <w:color w:val="0070C0"/>
          <w:sz w:val="16"/>
          <w:szCs w:val="16"/>
          <w:lang w:eastAsia="ru-RU" w:bidi="ru-RU"/>
        </w:rPr>
        <w:softHyphen/>
        <w:t>мозами, амортизация шасси — масляная. Полезная нагрузка самолета вместе с экипажем должна составлять 6-7 тонн, не считая горючего и масла. Это, в свою очередь, требовало обшей мощности мо</w:t>
      </w:r>
      <w:r w:rsidRPr="00C33834">
        <w:rPr>
          <w:rFonts w:ascii="Times New Roman" w:hAnsi="Times New Roman"/>
          <w:color w:val="0070C0"/>
          <w:sz w:val="16"/>
          <w:szCs w:val="16"/>
          <w:lang w:eastAsia="ru-RU" w:bidi="ru-RU"/>
        </w:rPr>
        <w:softHyphen/>
        <w:t>торной группы в 5500 л.с. Дальность по</w:t>
      </w:r>
      <w:r w:rsidRPr="00C33834">
        <w:rPr>
          <w:rFonts w:ascii="Times New Roman" w:hAnsi="Times New Roman"/>
          <w:color w:val="0070C0"/>
          <w:sz w:val="16"/>
          <w:szCs w:val="16"/>
          <w:lang w:eastAsia="ru-RU" w:bidi="ru-RU"/>
        </w:rPr>
        <w:softHyphen/>
        <w:t>лета на крейсерской скорости должна быть не менее 1000 км. а объем баков — обеспечивать размещение запаса горю</w:t>
      </w:r>
      <w:r w:rsidRPr="00C33834">
        <w:rPr>
          <w:rFonts w:ascii="Times New Roman" w:hAnsi="Times New Roman"/>
          <w:color w:val="0070C0"/>
          <w:sz w:val="16"/>
          <w:szCs w:val="16"/>
          <w:lang w:eastAsia="ru-RU" w:bidi="ru-RU"/>
        </w:rPr>
        <w:softHyphen/>
        <w:t>чего для дальнего полета на 2000 км. Максимальная проектная скорость са</w:t>
      </w:r>
      <w:r w:rsidRPr="00C33834">
        <w:rPr>
          <w:rFonts w:ascii="Times New Roman" w:hAnsi="Times New Roman"/>
          <w:color w:val="0070C0"/>
          <w:sz w:val="16"/>
          <w:szCs w:val="16"/>
          <w:lang w:eastAsia="ru-RU" w:bidi="ru-RU"/>
        </w:rPr>
        <w:softHyphen/>
        <w:t>молета — 220—240 км/час.</w:t>
      </w:r>
    </w:p>
    <w:p w14:paraId="0713F5A1" w14:textId="77777777" w:rsidR="007E2B8A" w:rsidRPr="00C33834" w:rsidRDefault="007E2B8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Учитывая, что такие самолеты, как «Максим Горький», будут в дальнейшем выпускаться серийно. Технический совет считал, что конструкция машины должна быть достаточно простой и дешевой.</w:t>
      </w:r>
    </w:p>
    <w:p w14:paraId="23C2CC20" w14:textId="77777777" w:rsidR="007E2B8A" w:rsidRPr="00C33834" w:rsidRDefault="007E2B8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Помимо своего основного назначе</w:t>
      </w:r>
      <w:r w:rsidRPr="00C33834">
        <w:rPr>
          <w:rFonts w:ascii="Times New Roman" w:hAnsi="Times New Roman"/>
          <w:color w:val="0070C0"/>
          <w:sz w:val="16"/>
          <w:szCs w:val="16"/>
        </w:rPr>
        <w:softHyphen/>
        <w:t>ния - агитационного — конструкция Максима Горького» должна была допус</w:t>
      </w:r>
      <w:r w:rsidRPr="00C33834">
        <w:rPr>
          <w:rFonts w:ascii="Times New Roman" w:hAnsi="Times New Roman"/>
          <w:color w:val="0070C0"/>
          <w:sz w:val="16"/>
          <w:szCs w:val="16"/>
        </w:rPr>
        <w:softHyphen/>
        <w:t>кать возможность использования его в качестве пассажирского самолета для об</w:t>
      </w:r>
      <w:r w:rsidRPr="00C33834">
        <w:rPr>
          <w:rFonts w:ascii="Times New Roman" w:hAnsi="Times New Roman"/>
          <w:color w:val="0070C0"/>
          <w:sz w:val="16"/>
          <w:szCs w:val="16"/>
        </w:rPr>
        <w:softHyphen/>
        <w:t>служивания трансконтинентальных ли</w:t>
      </w:r>
      <w:r w:rsidRPr="00C33834">
        <w:rPr>
          <w:rFonts w:ascii="Times New Roman" w:hAnsi="Times New Roman"/>
          <w:color w:val="0070C0"/>
          <w:sz w:val="16"/>
          <w:szCs w:val="16"/>
        </w:rPr>
        <w:softHyphen/>
        <w:t>ний с большим пассажирским потоком. Для этой цели самолет предполагалось оснастить соответствующим оборудова</w:t>
      </w:r>
      <w:r w:rsidRPr="00C33834">
        <w:rPr>
          <w:rFonts w:ascii="Times New Roman" w:hAnsi="Times New Roman"/>
          <w:color w:val="0070C0"/>
          <w:sz w:val="16"/>
          <w:szCs w:val="16"/>
        </w:rPr>
        <w:softHyphen/>
        <w:t>нием для перевозки 60—70 пассажиров, обеспечив им соответствующий комфорт.</w:t>
      </w:r>
    </w:p>
    <w:p w14:paraId="031DA8AB" w14:textId="77777777" w:rsidR="007E2B8A" w:rsidRPr="00C33834" w:rsidRDefault="007E2B8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Еще одно назначение самолета «МГ» - быстрая доставка «ответственных ру</w:t>
      </w:r>
      <w:r w:rsidRPr="00C33834">
        <w:rPr>
          <w:rFonts w:ascii="Times New Roman" w:hAnsi="Times New Roman"/>
          <w:color w:val="0070C0"/>
          <w:sz w:val="16"/>
          <w:szCs w:val="16"/>
        </w:rPr>
        <w:softHyphen/>
        <w:t>ководящих политических и общественных работников или группы работников в от</w:t>
      </w:r>
      <w:r w:rsidRPr="00C33834">
        <w:rPr>
          <w:rFonts w:ascii="Times New Roman" w:hAnsi="Times New Roman"/>
          <w:color w:val="0070C0"/>
          <w:sz w:val="16"/>
          <w:szCs w:val="16"/>
        </w:rPr>
        <w:softHyphen/>
        <w:t>деленные районы страны для проведения кампаний на местах».</w:t>
      </w:r>
    </w:p>
    <w:p w14:paraId="23DC4EB6" w14:textId="77777777" w:rsidR="007E2B8A" w:rsidRPr="00C33834" w:rsidRDefault="007E2B8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Кроме того, предусматривался и гру</w:t>
      </w:r>
      <w:r w:rsidRPr="00C33834">
        <w:rPr>
          <w:rFonts w:ascii="Times New Roman" w:hAnsi="Times New Roman"/>
          <w:color w:val="0070C0"/>
          <w:sz w:val="16"/>
          <w:szCs w:val="16"/>
        </w:rPr>
        <w:softHyphen/>
        <w:t>зовой вариант самолета — для перевозки особо ценных хозяйственных грузов, на</w:t>
      </w:r>
      <w:r w:rsidRPr="00C33834">
        <w:rPr>
          <w:rFonts w:ascii="Times New Roman" w:hAnsi="Times New Roman"/>
          <w:color w:val="0070C0"/>
          <w:sz w:val="16"/>
          <w:szCs w:val="16"/>
        </w:rPr>
        <w:softHyphen/>
        <w:t>пример пушнины или золота, из отдален</w:t>
      </w:r>
      <w:r w:rsidRPr="00C33834">
        <w:rPr>
          <w:rFonts w:ascii="Times New Roman" w:hAnsi="Times New Roman"/>
          <w:color w:val="0070C0"/>
          <w:sz w:val="16"/>
          <w:szCs w:val="16"/>
        </w:rPr>
        <w:softHyphen/>
        <w:t>ных районов, не имевших иных транс</w:t>
      </w:r>
      <w:r w:rsidRPr="00C33834">
        <w:rPr>
          <w:rFonts w:ascii="Times New Roman" w:hAnsi="Times New Roman"/>
          <w:color w:val="0070C0"/>
          <w:sz w:val="16"/>
          <w:szCs w:val="16"/>
        </w:rPr>
        <w:softHyphen/>
        <w:t>портных связей с центром страны.</w:t>
      </w:r>
    </w:p>
    <w:p w14:paraId="55C46480" w14:textId="77777777" w:rsidR="007E2B8A" w:rsidRPr="00C33834" w:rsidRDefault="007E2B8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Мало того, планировалось, что пере</w:t>
      </w:r>
      <w:r w:rsidRPr="00C33834">
        <w:rPr>
          <w:rFonts w:ascii="Times New Roman" w:hAnsi="Times New Roman"/>
          <w:color w:val="0070C0"/>
          <w:sz w:val="16"/>
          <w:szCs w:val="16"/>
        </w:rPr>
        <w:softHyphen/>
        <w:t>оборудование самолета из одного вариан</w:t>
      </w:r>
      <w:r w:rsidRPr="00C33834">
        <w:rPr>
          <w:rFonts w:ascii="Times New Roman" w:hAnsi="Times New Roman"/>
          <w:color w:val="0070C0"/>
          <w:sz w:val="16"/>
          <w:szCs w:val="16"/>
        </w:rPr>
        <w:softHyphen/>
        <w:t>та в другой будет выполняться в аэро</w:t>
      </w:r>
      <w:r w:rsidRPr="00C33834">
        <w:rPr>
          <w:rFonts w:ascii="Times New Roman" w:hAnsi="Times New Roman"/>
          <w:color w:val="0070C0"/>
          <w:sz w:val="16"/>
          <w:szCs w:val="16"/>
        </w:rPr>
        <w:softHyphen/>
        <w:t>дромных условиях с помощью несложно</w:t>
      </w:r>
      <w:r w:rsidRPr="00C33834">
        <w:rPr>
          <w:rFonts w:ascii="Times New Roman" w:hAnsi="Times New Roman"/>
          <w:color w:val="0070C0"/>
          <w:sz w:val="16"/>
          <w:szCs w:val="16"/>
        </w:rPr>
        <w:softHyphen/>
        <w:t>го инструмента (21240).</w:t>
      </w:r>
    </w:p>
    <w:p w14:paraId="6A505ECF" w14:textId="77777777" w:rsidR="007E2B8A" w:rsidRPr="00C33834" w:rsidRDefault="007E2B8A" w:rsidP="00C33834">
      <w:pPr>
        <w:shd w:val="clear" w:color="auto" w:fill="FFFFFF"/>
        <w:spacing w:after="0" w:line="240" w:lineRule="auto"/>
        <w:jc w:val="both"/>
        <w:rPr>
          <w:rFonts w:ascii="Times New Roman" w:hAnsi="Times New Roman"/>
          <w:color w:val="0070C0"/>
          <w:sz w:val="16"/>
          <w:szCs w:val="16"/>
        </w:rPr>
      </w:pPr>
    </w:p>
    <w:p w14:paraId="25A6961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января 1933 И.И.Погосский был назначен нач. бригады тяжелых морских самолетов КОСОС ЦАГИ (273,299).</w:t>
      </w:r>
    </w:p>
    <w:p w14:paraId="02D91E45" w14:textId="77777777" w:rsidR="00E37239" w:rsidRPr="00C33834" w:rsidRDefault="00E37239" w:rsidP="00C33834">
      <w:pPr>
        <w:spacing w:after="0" w:line="240" w:lineRule="auto"/>
        <w:jc w:val="both"/>
        <w:rPr>
          <w:rFonts w:ascii="Times New Roman" w:hAnsi="Times New Roman"/>
          <w:color w:val="000000" w:themeColor="text1"/>
          <w:sz w:val="16"/>
          <w:szCs w:val="16"/>
        </w:rPr>
      </w:pPr>
    </w:p>
    <w:p w14:paraId="5E6AE0B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января 1933 года помощник начальника ГУАП Алмазов писал письмо № оп261/30 в СТО Базилевичу</w:t>
      </w:r>
    </w:p>
    <w:p w14:paraId="453C517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Представляя при сем, по распоряжению замнаркомтяжпрома Баранова отчет за 1932 год по опытному строительству моторов и самолетов, ставлю Вас в известность, что материал является предварительным, включающим в себе лишь состояние законченных и прорабатываемых объектов.</w:t>
      </w:r>
    </w:p>
    <w:p w14:paraId="360DD91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Анализ проведенных работ в 1932 году, а также перспективы на последующие года будет представлен Барановым в ближайшее время.</w:t>
      </w:r>
    </w:p>
    <w:p w14:paraId="4C4DE3D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 1 папка на 17-ти листах (3530,69).</w:t>
      </w:r>
    </w:p>
    <w:p w14:paraId="632A16C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января 1933 года зам. наркомтяжпрома Баранов</w:t>
      </w:r>
    </w:p>
    <w:p w14:paraId="60B7C2A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Отчет по опытному строительству моторов и самолетов за 1932 год</w:t>
      </w:r>
    </w:p>
    <w:p w14:paraId="04B45B8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Основная задача работ по опытному строительству в 1932 году заключалась в удовлетворении нужд ВВФ опытными боевыми экземплярами и подготовка их к внедрению в серийное производство. Параллельною задачею стояло улучшение и доводка объектов принятых уже на вооружение.</w:t>
      </w:r>
    </w:p>
    <w:p w14:paraId="1627835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Разрешение этих задач должно было вылиться в повышение максимальных скоростей, скороподъемностей, увеличении, грузоподъемностей, лучшей вооруженности, увеличений мощности моторов, в снабжении их редукторами и нагнетателями, в уменьшении веса конструкции.</w:t>
      </w:r>
    </w:p>
    <w:p w14:paraId="04E55BE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Исходя из указанного, Правительством были поставлены первоочередными задачами:</w:t>
      </w:r>
    </w:p>
    <w:p w14:paraId="6E0427A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моторостроению:</w:t>
      </w:r>
    </w:p>
    <w:p w14:paraId="30711C7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доводки и развитие М-34 (редуктор, нагнетатель, реверс, однорядный, облегченный);</w:t>
      </w:r>
    </w:p>
    <w:p w14:paraId="7E5EA88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создание типов истребительных моторов М-38 воздушного охлаждения, и особенно М-32 – водяного охлаждения;</w:t>
      </w:r>
    </w:p>
    <w:p w14:paraId="1073F09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постройка мощного бензинового двигателя М-44, сосредоточив на этом все основные силы по мощным бензиновым двигателям.</w:t>
      </w:r>
    </w:p>
    <w:p w14:paraId="4AE2083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самолетостроению.</w:t>
      </w:r>
    </w:p>
    <w:p w14:paraId="5C619EF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создание типов вполне современных истребителей одно-, двух и многоместных;</w:t>
      </w:r>
    </w:p>
    <w:p w14:paraId="281B342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форсирование работ по постройке образцов тяжелого бомбардировщика (ТБ-4);</w:t>
      </w:r>
    </w:p>
    <w:p w14:paraId="36AD9E2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создание типов морских лодочных самолетов (МК1, МДР3 и др.).</w:t>
      </w:r>
    </w:p>
    <w:p w14:paraId="3D98348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образцы должны отвечать современным техническим требованиям и по своим качествам стоять не ниже первоклассных заграничных моторов и самолетов; кроме того, моторы должны быть снабжены новейшими типами агрегатов и приспособлений, а самолеты – стрелкового, бомбардировочного и химического вооружения.</w:t>
      </w:r>
    </w:p>
    <w:p w14:paraId="1323DF0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исполнение изложенного в 1932 году производились следующие опытные работы:</w:t>
      </w:r>
    </w:p>
    <w:p w14:paraId="6230146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моторостроению: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88"/>
        <w:gridCol w:w="7326"/>
      </w:tblGrid>
      <w:tr w:rsidR="00F26F01" w:rsidRPr="00C33834" w14:paraId="08532EE8" w14:textId="77777777">
        <w:tc>
          <w:tcPr>
            <w:tcW w:w="2988" w:type="dxa"/>
          </w:tcPr>
          <w:p w14:paraId="698B1C0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Бензиновые двигатели водяного охлаждения</w:t>
            </w:r>
          </w:p>
        </w:tc>
        <w:tc>
          <w:tcPr>
            <w:tcW w:w="7326" w:type="dxa"/>
          </w:tcPr>
          <w:p w14:paraId="18BF9210" w14:textId="77777777" w:rsidR="00E37239" w:rsidRPr="00C33834" w:rsidRDefault="00E37239" w:rsidP="00C33834">
            <w:pPr>
              <w:spacing w:after="0" w:line="240" w:lineRule="auto"/>
              <w:jc w:val="both"/>
              <w:rPr>
                <w:rFonts w:ascii="Times New Roman" w:hAnsi="Times New Roman"/>
                <w:color w:val="000000" w:themeColor="text1"/>
                <w:sz w:val="16"/>
                <w:szCs w:val="16"/>
              </w:rPr>
            </w:pPr>
          </w:p>
        </w:tc>
      </w:tr>
      <w:tr w:rsidR="00F26F01" w:rsidRPr="00C33834" w14:paraId="7165D9ED" w14:textId="77777777">
        <w:tc>
          <w:tcPr>
            <w:tcW w:w="2988" w:type="dxa"/>
          </w:tcPr>
          <w:p w14:paraId="7A3B2B8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p w14:paraId="4B01010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750 л.с.</w:t>
            </w:r>
          </w:p>
          <w:p w14:paraId="00914B7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600 кг</w:t>
            </w:r>
          </w:p>
          <w:p w14:paraId="61094A4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Госиспытания прошел в ноябре 1931 года</w:t>
            </w:r>
          </w:p>
          <w:p w14:paraId="3C747B0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 и завод № 24</w:t>
            </w:r>
          </w:p>
        </w:tc>
        <w:tc>
          <w:tcPr>
            <w:tcW w:w="7326" w:type="dxa"/>
          </w:tcPr>
          <w:p w14:paraId="5B9FFDE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Внедрен в серийное производство на заводе № 24 с мая 1932 года.</w:t>
            </w:r>
          </w:p>
          <w:p w14:paraId="23DB67C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целью определения надежности выдержал дополнительно 50 часовое испытание на полном газу, каковое закончилось 26 ноября 1932 года, причем показал мощность 830-840 л.с. Задержками в выпуске серии служили: выкрашивание баббита в подшипниках, увеличенный расход масла, повышенный износ трущихся деталей.</w:t>
            </w:r>
          </w:p>
          <w:p w14:paraId="3328D1E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совместной работой ЦИАМа и завода № 24 эти дефекты в основном изжиты. Дальнейшие опытные работы (по ЦИАМу и заводу № 24) сводятся к:</w:t>
            </w:r>
          </w:p>
          <w:p w14:paraId="40093C85" w14:textId="77777777" w:rsidR="00E37239" w:rsidRPr="00C33834" w:rsidRDefault="00E37239"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r w:rsidRPr="00C33834">
              <w:rPr>
                <w:rFonts w:ascii="Times New Roman" w:hAnsi="Times New Roman"/>
                <w:color w:val="000000" w:themeColor="text1"/>
                <w:sz w:val="16"/>
                <w:szCs w:val="16"/>
              </w:rPr>
              <w:tab/>
              <w:t>Увеличению надежности мотора с доводкой работы без переборки до 200 часов.</w:t>
            </w:r>
          </w:p>
          <w:p w14:paraId="3D639D99" w14:textId="77777777" w:rsidR="00E37239" w:rsidRPr="00C33834" w:rsidRDefault="00E37239"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r w:rsidRPr="00C33834">
              <w:rPr>
                <w:rFonts w:ascii="Times New Roman" w:hAnsi="Times New Roman"/>
                <w:color w:val="000000" w:themeColor="text1"/>
                <w:sz w:val="16"/>
                <w:szCs w:val="16"/>
              </w:rPr>
              <w:tab/>
              <w:t>Снижению расхода масла.</w:t>
            </w:r>
          </w:p>
          <w:p w14:paraId="31A1C3E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мотору ЦИАМом спроектирован и изготовлен карбюратор (К-34), который прошел длительные испытания и показал хорошие результаты.</w:t>
            </w:r>
          </w:p>
          <w:p w14:paraId="25E5868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производстве карбюратор значительно проще заграничных. В настоящее время внедряется в серийное производство на заводе № 33, что освобождает нас от импорта карбюраторов к мотору М34.</w:t>
            </w:r>
          </w:p>
        </w:tc>
      </w:tr>
      <w:tr w:rsidR="00F26F01" w:rsidRPr="00C33834" w14:paraId="7F307F6D" w14:textId="77777777">
        <w:tc>
          <w:tcPr>
            <w:tcW w:w="2988" w:type="dxa"/>
          </w:tcPr>
          <w:p w14:paraId="6B665BD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М-34Р (с редуктором)</w:t>
            </w:r>
          </w:p>
          <w:p w14:paraId="50DE6C5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750 л.с.</w:t>
            </w:r>
          </w:p>
          <w:p w14:paraId="7FEE738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610 кг</w:t>
            </w:r>
          </w:p>
          <w:p w14:paraId="79D412C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Плановый срок госиспытаний 15 ноября 1932 года</w:t>
            </w:r>
          </w:p>
          <w:p w14:paraId="57E0863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c>
          <w:tcPr>
            <w:tcW w:w="7326" w:type="dxa"/>
          </w:tcPr>
          <w:p w14:paraId="5B8937C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закончен производством 6 ноября 1932 года и поступил на заводские испытания, на которых в течение 46 часов определен режим работы мотора:</w:t>
            </w:r>
          </w:p>
          <w:p w14:paraId="3A2CD02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860 л.с. при оборот. = 1900</w:t>
            </w:r>
          </w:p>
          <w:p w14:paraId="643AA80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800 л.с. при оборот. = 1850</w:t>
            </w:r>
          </w:p>
          <w:p w14:paraId="394E284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725 л.с. при оборот. = 1785</w:t>
            </w:r>
          </w:p>
          <w:p w14:paraId="066B398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время испытаний редуктор показал хорошие результаты.</w:t>
            </w:r>
          </w:p>
          <w:p w14:paraId="5A8AC9C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готовится на 50-часовое испытание без разборки.</w:t>
            </w:r>
          </w:p>
          <w:p w14:paraId="196CD4E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марта 1933 года будет предъявлен.</w:t>
            </w:r>
          </w:p>
        </w:tc>
      </w:tr>
      <w:tr w:rsidR="00F26F01" w:rsidRPr="00C33834" w14:paraId="77B30A48" w14:textId="77777777">
        <w:tc>
          <w:tcPr>
            <w:tcW w:w="2988" w:type="dxa"/>
          </w:tcPr>
          <w:p w14:paraId="02956CD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ГМ-34 с реверсом</w:t>
            </w:r>
          </w:p>
          <w:p w14:paraId="397C36E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750 л.с.</w:t>
            </w:r>
          </w:p>
          <w:p w14:paraId="6D53703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12 цилиндровый</w:t>
            </w:r>
          </w:p>
          <w:p w14:paraId="3504200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980 кг</w:t>
            </w:r>
          </w:p>
          <w:p w14:paraId="7A4E968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Плановый срок госиспытаний – октябрь 1932 года</w:t>
            </w:r>
          </w:p>
          <w:p w14:paraId="33F1599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c>
          <w:tcPr>
            <w:tcW w:w="7326" w:type="dxa"/>
          </w:tcPr>
          <w:p w14:paraId="4D05BCD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Предварительными работами послужило изготовление 2-х реверсов под мотор АССО, которые прошли госиспытания в августе 1932 года и тогда же были сданы УВМС.</w:t>
            </w:r>
          </w:p>
          <w:p w14:paraId="702B0BB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ГМ-34 представляет модификацию М-34 с целью применения его на морских быстроходных катерах, для чего требовалось снабдить его механизмом, обеспечивающим возможность перемены направления вращения винта.</w:t>
            </w:r>
          </w:p>
          <w:p w14:paraId="3E6CD2A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 должен был изготовлять детали для 3-х экземпляров моторов, отличные от мотора М-34, все же идентичные детали доставлялись заводом № 24.</w:t>
            </w:r>
          </w:p>
          <w:p w14:paraId="6FDB326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экземпляр, законченный 3 ноября 1932 года находится на испытаниях, наработал 20 часов. Состояние деталей удовлетворительное.</w:t>
            </w:r>
          </w:p>
          <w:p w14:paraId="4729876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готовится на длительные заводские испытания и 15 марта 1933 года будет предъявлен на госиспытания.</w:t>
            </w:r>
          </w:p>
          <w:p w14:paraId="1F3CB9D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Задержкой послужили разрушение фрикционных дисков и, гл. образом, необходимость устранения дефектов в основном моторе М-34, который закончил свою доводку к декабрю 1932 года.</w:t>
            </w:r>
          </w:p>
        </w:tc>
      </w:tr>
      <w:tr w:rsidR="00F26F01" w:rsidRPr="00C33834" w14:paraId="56356DFA" w14:textId="77777777">
        <w:tc>
          <w:tcPr>
            <w:tcW w:w="2988" w:type="dxa"/>
          </w:tcPr>
          <w:p w14:paraId="2A9E526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М-54Н (форсированный М34)</w:t>
            </w:r>
          </w:p>
          <w:p w14:paraId="16CD43E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900 л.с.</w:t>
            </w:r>
          </w:p>
          <w:p w14:paraId="5BB34EC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12 цилиндровый</w:t>
            </w:r>
          </w:p>
          <w:p w14:paraId="08E33D2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600 кг</w:t>
            </w:r>
          </w:p>
          <w:p w14:paraId="10AD045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Н=5000</w:t>
            </w:r>
          </w:p>
          <w:p w14:paraId="588C3FE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Плановый срок госиспытаний – май 1933 года</w:t>
            </w:r>
          </w:p>
          <w:p w14:paraId="177CEAB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c>
          <w:tcPr>
            <w:tcW w:w="7326" w:type="dxa"/>
          </w:tcPr>
          <w:p w14:paraId="2E447DB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намечен как развитие М-34 путем форсирования его до мощности допускаемой конструкцией мотора.</w:t>
            </w:r>
          </w:p>
          <w:p w14:paraId="1497A12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ЦИАМом в 1932 году проведены испытания:</w:t>
            </w:r>
          </w:p>
          <w:p w14:paraId="180E66E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 установлению методов форсировки мотора М-34;</w:t>
            </w:r>
          </w:p>
          <w:p w14:paraId="7B8E90E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работы мотора на повышенном режиме.</w:t>
            </w:r>
          </w:p>
          <w:p w14:paraId="275A81E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Изготовлена экспериментальная установка с одним блоком мотора М34 и начаты испытания на ней. Работы идут по плану.</w:t>
            </w:r>
          </w:p>
        </w:tc>
      </w:tr>
      <w:tr w:rsidR="00F26F01" w:rsidRPr="00C33834" w14:paraId="045ACF24" w14:textId="77777777">
        <w:tc>
          <w:tcPr>
            <w:tcW w:w="2988" w:type="dxa"/>
          </w:tcPr>
          <w:p w14:paraId="5AC8F67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М-55Н. Перевернутый М-34.</w:t>
            </w:r>
          </w:p>
          <w:p w14:paraId="6AA453F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750 л.с.</w:t>
            </w:r>
          </w:p>
          <w:p w14:paraId="3D3582D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12 цилиндровый</w:t>
            </w:r>
          </w:p>
          <w:p w14:paraId="48EA669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600 кг</w:t>
            </w:r>
          </w:p>
          <w:p w14:paraId="636DECC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Н=5000</w:t>
            </w:r>
          </w:p>
          <w:p w14:paraId="0B21137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Срок госиспытаний – 1 августа 1933 года </w:t>
            </w:r>
          </w:p>
          <w:p w14:paraId="0EF4842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c>
          <w:tcPr>
            <w:tcW w:w="7326" w:type="dxa"/>
          </w:tcPr>
          <w:p w14:paraId="557F011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должен был представлять собой модификацию М-34 (перевернутый мотор). Цель модификации дать улучшение обзора с самолета, имеющего одномоторную установку (разведчик). Эту работу ЦИАМ не форсировал, имея более актуальные задачи и на основании имеющихся за границей экспериментальных работ, результат которых не получил широкого применения, ЦИАМ пришел к выводам, что такой мотор даст не вполне целесообразное и надежное решение поставленной задачи, а потому считаю необходимым просить о снятии этого мотора с программы 1933 года.</w:t>
            </w:r>
          </w:p>
        </w:tc>
      </w:tr>
      <w:tr w:rsidR="00F26F01" w:rsidRPr="00C33834" w14:paraId="58400F20" w14:textId="77777777">
        <w:tc>
          <w:tcPr>
            <w:tcW w:w="2988" w:type="dxa"/>
          </w:tcPr>
          <w:p w14:paraId="2AC9597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М-35РН</w:t>
            </w:r>
          </w:p>
          <w:p w14:paraId="097B003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1500 л.с.</w:t>
            </w:r>
          </w:p>
          <w:p w14:paraId="4EC3A50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1300 кг</w:t>
            </w:r>
          </w:p>
          <w:p w14:paraId="429EEB1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Х-обр. 24 цилиндровый</w:t>
            </w:r>
          </w:p>
          <w:p w14:paraId="65AD9A4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Н=5000</w:t>
            </w:r>
          </w:p>
          <w:p w14:paraId="5003CC1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Госиспытания – 1 апреля 1933 года</w:t>
            </w:r>
          </w:p>
          <w:p w14:paraId="3CB865D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c>
          <w:tcPr>
            <w:tcW w:w="7326" w:type="dxa"/>
          </w:tcPr>
          <w:p w14:paraId="0927D5C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предполагался как дельнейшее развитие М-34 путем удвоения числа цилиндров и предназначался для тяжелых самолетов. ЦИАМом проведена разработка проекта и подвергнута обсуждению совместно с представителями ЦАГИ И УВВС. В результате имевших место совещаний Институт пришел к заключению, что уже выполненные типы опытных моторов сумеют удовлетворить все основные типы самолетов (истребительных, разведывательных, бомбовозов) и что насущной потребности в данном моторе не имеется. Кроме того, по мнению ряда специалистов ЦИАМ, ЦАГИ и УВВС, разработанный проект мотора даст не вполне целесообразное решение поставленной задачи. Исходя из этих соображений, считаю необходимым просить, также как и М-55Н, о снятии этого мотора с производства 1933 года.</w:t>
            </w:r>
          </w:p>
        </w:tc>
      </w:tr>
      <w:tr w:rsidR="00F26F01" w:rsidRPr="00C33834" w14:paraId="73A2CDB9" w14:textId="77777777">
        <w:tc>
          <w:tcPr>
            <w:tcW w:w="2988" w:type="dxa"/>
          </w:tcPr>
          <w:p w14:paraId="2C91197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М-52</w:t>
            </w:r>
          </w:p>
          <w:p w14:paraId="5589BD3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400 л.с.</w:t>
            </w:r>
          </w:p>
          <w:p w14:paraId="202CFDE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6 цилиндровый</w:t>
            </w:r>
          </w:p>
          <w:p w14:paraId="7914C08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300 кг</w:t>
            </w:r>
          </w:p>
          <w:p w14:paraId="2C2C18A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госиспытаний – 1 октября 1932 года</w:t>
            </w:r>
          </w:p>
          <w:p w14:paraId="32BA64F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c>
          <w:tcPr>
            <w:tcW w:w="7326" w:type="dxa"/>
          </w:tcPr>
          <w:p w14:paraId="33BFDDE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предназначается для переходных типов самолетов (от учебного к боевому) в частях ВВС и для целой серии самолетов ГВФ. Создание этого мотора намечалось как модификация мотора М-34, путем уменьшения вдвое числа цилиндров мотора. ЦИАМ должен был изготовить 4 экземпляра мотора, из которых 2 экземпляра должны были быть установлены на самолеты. Части идентичные с мотором М-34 поставлялись заводом № 24, все же остальные изготовлялись в ЦИАМе.</w:t>
            </w:r>
          </w:p>
          <w:p w14:paraId="62AFB02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закончен производством и поступил на испытания в начале ноября 1932 года, на которых дал мощность 480 л.с. при 1960 об/мин.</w:t>
            </w:r>
          </w:p>
          <w:p w14:paraId="09063AA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аварии нижней половины картера, мотор находится на исправлении, после чего пройдет 50-часовое режимное испытание без переборки.</w:t>
            </w:r>
          </w:p>
          <w:p w14:paraId="4F0450F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Будет предъявлен на госиспытания 15 марта 1933 года.</w:t>
            </w:r>
          </w:p>
        </w:tc>
      </w:tr>
      <w:tr w:rsidR="00F26F01" w:rsidRPr="00C33834" w14:paraId="3D35244D" w14:textId="77777777">
        <w:tc>
          <w:tcPr>
            <w:tcW w:w="2988" w:type="dxa"/>
          </w:tcPr>
          <w:p w14:paraId="47BB22A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М-32РН</w:t>
            </w:r>
          </w:p>
          <w:p w14:paraId="712E130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600 л.с.</w:t>
            </w:r>
          </w:p>
          <w:p w14:paraId="0F9DA92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16 цилиндровый</w:t>
            </w:r>
          </w:p>
          <w:p w14:paraId="2E6EDEF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400 кг</w:t>
            </w:r>
          </w:p>
          <w:p w14:paraId="6E6C5A2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госиспытаний – ноябрь 1932 года</w:t>
            </w:r>
          </w:p>
          <w:p w14:paraId="4DCAB13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c>
          <w:tcPr>
            <w:tcW w:w="7326" w:type="dxa"/>
          </w:tcPr>
          <w:p w14:paraId="73FDE70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Этот мотор предназначается для быстроходных самолетов и для некоторых категорий разведывательных машин.</w:t>
            </w:r>
          </w:p>
          <w:p w14:paraId="6E957D3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мотора закончено в ноябре 1932 года.</w:t>
            </w:r>
          </w:p>
          <w:p w14:paraId="77F0A5B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Задержка произошла в силу большого литейного брака. На заводских испытаниях обнаружен ряд дефектов: недостаточная жесткость водяной рубашки (при затяжке болтов деформируется и пропускает воду), трещины и выдавливание баббита на всех вкладышах шатунных и коренных подшипников. Мотор не держит полного газа.</w:t>
            </w:r>
          </w:p>
          <w:p w14:paraId="6612C42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неполадки устранены. Поставлены усиленные блоки и мотор продолжает испытываться.</w:t>
            </w:r>
          </w:p>
          <w:p w14:paraId="78FD236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проработал вполне удовлетворительно 50 часов и дал мощность 606 л.с.</w:t>
            </w:r>
          </w:p>
          <w:p w14:paraId="2244089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Заканчиваются производством еще 2 экземпляра.</w:t>
            </w:r>
          </w:p>
          <w:p w14:paraId="2709C77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Предъявление на госиспытания намечено на 15 марта 1933 года.</w:t>
            </w:r>
          </w:p>
        </w:tc>
      </w:tr>
      <w:tr w:rsidR="00F26F01" w:rsidRPr="00C33834" w14:paraId="5EFE6C8C" w14:textId="77777777">
        <w:tc>
          <w:tcPr>
            <w:tcW w:w="2988" w:type="dxa"/>
          </w:tcPr>
          <w:p w14:paraId="3ABE672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М-44Н</w:t>
            </w:r>
          </w:p>
          <w:p w14:paraId="358914F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2000 л.с.</w:t>
            </w:r>
          </w:p>
          <w:p w14:paraId="66F55B7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12 цилиндровый</w:t>
            </w:r>
          </w:p>
          <w:p w14:paraId="6DC285A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1500 кг</w:t>
            </w:r>
          </w:p>
          <w:p w14:paraId="5A8E0B9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Н=3500</w:t>
            </w:r>
          </w:p>
          <w:p w14:paraId="165F9B6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госиспытаний – июль 1933 года</w:t>
            </w:r>
          </w:p>
          <w:p w14:paraId="6CD9F92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c>
          <w:tcPr>
            <w:tcW w:w="7326" w:type="dxa"/>
          </w:tcPr>
          <w:p w14:paraId="0137A66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предназначается для тяжелых многомоторных самолетов.</w:t>
            </w:r>
          </w:p>
          <w:p w14:paraId="4EF8A76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Полностью закончена конструктивная разработка.</w:t>
            </w:r>
          </w:p>
          <w:p w14:paraId="343ABAF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Изготовление деталей моторов выполнено на 50%. Изготовлена экспериментальная установка с одним цилиндром и на ней заканчивается цикл исследовательских испытаний в лаборатории.</w:t>
            </w:r>
          </w:p>
          <w:p w14:paraId="4C22680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идут по плану.</w:t>
            </w:r>
          </w:p>
        </w:tc>
      </w:tr>
      <w:tr w:rsidR="00F26F01" w:rsidRPr="00C33834" w14:paraId="66B75622" w14:textId="77777777">
        <w:tc>
          <w:tcPr>
            <w:tcW w:w="2988" w:type="dxa"/>
          </w:tcPr>
          <w:p w14:paraId="61972F0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Звездообразные бензиновые моторы воздушного охлаждения</w:t>
            </w:r>
          </w:p>
        </w:tc>
        <w:tc>
          <w:tcPr>
            <w:tcW w:w="7326" w:type="dxa"/>
          </w:tcPr>
          <w:p w14:paraId="7FF4A052" w14:textId="77777777" w:rsidR="00E37239" w:rsidRPr="00C33834" w:rsidRDefault="00E37239" w:rsidP="00C33834">
            <w:pPr>
              <w:spacing w:after="0" w:line="240" w:lineRule="auto"/>
              <w:jc w:val="both"/>
              <w:rPr>
                <w:rFonts w:ascii="Times New Roman" w:hAnsi="Times New Roman"/>
                <w:color w:val="000000" w:themeColor="text1"/>
                <w:sz w:val="16"/>
                <w:szCs w:val="16"/>
              </w:rPr>
            </w:pPr>
          </w:p>
        </w:tc>
      </w:tr>
      <w:tr w:rsidR="00F26F01" w:rsidRPr="00C33834" w14:paraId="08031B75" w14:textId="77777777">
        <w:tc>
          <w:tcPr>
            <w:tcW w:w="2988" w:type="dxa"/>
          </w:tcPr>
          <w:p w14:paraId="2270495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М-38Н</w:t>
            </w:r>
          </w:p>
          <w:p w14:paraId="48BB6E0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600 л.с.</w:t>
            </w:r>
          </w:p>
          <w:p w14:paraId="59788B9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400 кг</w:t>
            </w:r>
          </w:p>
          <w:p w14:paraId="0090B8B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госиспытаний – август 1932 года</w:t>
            </w:r>
          </w:p>
          <w:p w14:paraId="4B0A09A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c>
          <w:tcPr>
            <w:tcW w:w="7326" w:type="dxa"/>
          </w:tcPr>
          <w:p w14:paraId="5B225EE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предназначается для истребительных самолетов. Кроме моторов, необходимых для заводских и государственных испытаний, ЦИАМ должен быть изготовить еще 2 мотора для установки на опытные самолеты. Был закончен производством к 1 мая 1932 года, в течение всего остального времени мотор находился на испытаниях, в результате которых был устранен целый ряд обнаруженных дефектов и было выяснено, что конструкция цилиндров, поршней и распределения является неудачной.</w:t>
            </w:r>
          </w:p>
          <w:p w14:paraId="50A0CC6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другой стороны испытания показали, что в отношении развиваемой мощности, надежности работы отдельных деталей (кривошипно-шатунный механизм, картер и пр.) проектные данные вполне подтвердились. Измененная конструкция цилиндров и других деталей запущена в производство с ноября 1932 года.</w:t>
            </w:r>
          </w:p>
          <w:p w14:paraId="43CE02C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Суммарно мотор проработал около 200 часов, из них режимных около 80 часов.</w:t>
            </w:r>
          </w:p>
          <w:p w14:paraId="514E509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Смонтирована одноцилиндровая установка, на которой будут вестись все дополнительные исследования.</w:t>
            </w:r>
          </w:p>
          <w:p w14:paraId="4476435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Предполагаемый срок предъявления на госиспытания 1 мая 1933 года.</w:t>
            </w:r>
          </w:p>
        </w:tc>
      </w:tr>
      <w:tr w:rsidR="00F26F01" w:rsidRPr="00C33834" w14:paraId="5CD914D9" w14:textId="77777777">
        <w:tc>
          <w:tcPr>
            <w:tcW w:w="2988" w:type="dxa"/>
          </w:tcPr>
          <w:p w14:paraId="7A4114B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М-38РН</w:t>
            </w:r>
          </w:p>
          <w:p w14:paraId="2DC4C00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600 л.с.</w:t>
            </w:r>
          </w:p>
          <w:p w14:paraId="700840B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430 кг</w:t>
            </w:r>
          </w:p>
          <w:p w14:paraId="07A844D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Н=5000</w:t>
            </w:r>
          </w:p>
          <w:p w14:paraId="5D66A0B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госиспытаний – май 1933 года</w:t>
            </w:r>
          </w:p>
          <w:p w14:paraId="45312CF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c>
          <w:tcPr>
            <w:tcW w:w="7326" w:type="dxa"/>
          </w:tcPr>
          <w:p w14:paraId="0A96729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должен явиться модификацией М-38Н, которая заключается в применении на моторе редуктора, уменьшающего число оборотов винта, с целью сделать возможным применение мотора на многомоторных самолетах и улучшить отдачу мощности.</w:t>
            </w:r>
          </w:p>
          <w:p w14:paraId="48B7F96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1932 году полностью закончена конструктивная разработка мотора и начата подготовка к его производству.</w:t>
            </w:r>
          </w:p>
          <w:p w14:paraId="54E7D4B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идет по плану.</w:t>
            </w:r>
          </w:p>
        </w:tc>
      </w:tr>
      <w:tr w:rsidR="00F26F01" w:rsidRPr="00C33834" w14:paraId="3EA8279F" w14:textId="77777777">
        <w:tc>
          <w:tcPr>
            <w:tcW w:w="2988" w:type="dxa"/>
          </w:tcPr>
          <w:p w14:paraId="0F01BFE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М-51</w:t>
            </w:r>
          </w:p>
          <w:p w14:paraId="512B7FB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100 л.с.</w:t>
            </w:r>
          </w:p>
          <w:p w14:paraId="0CCF934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155 кг</w:t>
            </w:r>
          </w:p>
          <w:p w14:paraId="1251F80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Госиспытания – январь 1932 года</w:t>
            </w:r>
          </w:p>
          <w:p w14:paraId="6DA56B0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29</w:t>
            </w:r>
          </w:p>
        </w:tc>
        <w:tc>
          <w:tcPr>
            <w:tcW w:w="7326" w:type="dxa"/>
          </w:tcPr>
          <w:p w14:paraId="7E07CBB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предназначается для замены М-11 на маломощных самолетах.</w:t>
            </w:r>
          </w:p>
          <w:p w14:paraId="0C20674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конструкции мотора проведена задача простоты, надежности и эксплуатации и удобства в производстве.</w:t>
            </w:r>
          </w:p>
          <w:p w14:paraId="5227099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удовлетворительно пройденных заводских испытаниях мотор проработал 86 часов, после чего устранен ряд небольших неполадок и был затем предъявлен на госиспытания, каковые успешно закончил 16 октября 1932 года.</w:t>
            </w:r>
          </w:p>
        </w:tc>
      </w:tr>
      <w:tr w:rsidR="00F26F01" w:rsidRPr="00C33834" w14:paraId="3D4A1C5D" w14:textId="77777777">
        <w:tc>
          <w:tcPr>
            <w:tcW w:w="2988" w:type="dxa"/>
          </w:tcPr>
          <w:p w14:paraId="5404CDF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М-48</w:t>
            </w:r>
          </w:p>
          <w:p w14:paraId="575E2FF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165 л.с.</w:t>
            </w:r>
          </w:p>
          <w:p w14:paraId="5363935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180 кг</w:t>
            </w:r>
          </w:p>
          <w:p w14:paraId="2E1749D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госиспытаний – август 1932 года</w:t>
            </w:r>
          </w:p>
          <w:p w14:paraId="4E77A40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29</w:t>
            </w:r>
          </w:p>
        </w:tc>
        <w:tc>
          <w:tcPr>
            <w:tcW w:w="7326" w:type="dxa"/>
          </w:tcPr>
          <w:p w14:paraId="5EDC76D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является модификацией М-51 и как 7-ми цилиндровое развитие его отличается , главным образом, задней частью картера, где устроен приводной импеллер для лучшего перемешивания смеси.</w:t>
            </w:r>
          </w:p>
          <w:p w14:paraId="4AC8B95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Закончен производством в июле 1932 года и поставлен на заводские испытания. Всего до конца 1932 года прошел 65 часов. Основные неполадки с всасывающими трубами, с фрикционной передачей к импеллеру.</w:t>
            </w:r>
          </w:p>
          <w:p w14:paraId="117B8CF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Дефекты устранены. Испытания продолжаются. Получена мощность 195 л.с.</w:t>
            </w:r>
          </w:p>
          <w:p w14:paraId="4BDB75F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Будет предъявлен на госиспытания 1 февраля 1933 года.</w:t>
            </w:r>
          </w:p>
        </w:tc>
      </w:tr>
      <w:tr w:rsidR="00F26F01" w:rsidRPr="00C33834" w14:paraId="623DFB9A" w14:textId="77777777">
        <w:tc>
          <w:tcPr>
            <w:tcW w:w="2988" w:type="dxa"/>
          </w:tcPr>
          <w:p w14:paraId="5F2EF12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3М-11 (внеплановый)</w:t>
            </w:r>
          </w:p>
          <w:p w14:paraId="26E5548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65 л.с.</w:t>
            </w:r>
          </w:p>
          <w:p w14:paraId="46E9B60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100 кг</w:t>
            </w:r>
          </w:p>
          <w:p w14:paraId="0EFA3B9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29</w:t>
            </w:r>
          </w:p>
        </w:tc>
        <w:tc>
          <w:tcPr>
            <w:tcW w:w="7326" w:type="dxa"/>
          </w:tcPr>
          <w:p w14:paraId="30CBBC2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успешно закончил 28 декабря 1932 года. 100 часовое госиспытание.</w:t>
            </w:r>
          </w:p>
          <w:p w14:paraId="12FF2BB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Заканчиваются изготовлением еще 2 мотора.</w:t>
            </w:r>
          </w:p>
        </w:tc>
      </w:tr>
      <w:tr w:rsidR="00F26F01" w:rsidRPr="00C33834" w14:paraId="0217F450" w14:textId="77777777">
        <w:tc>
          <w:tcPr>
            <w:tcW w:w="2988" w:type="dxa"/>
          </w:tcPr>
          <w:p w14:paraId="7EEA2C2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М-58 (22У) (внеплановый)</w:t>
            </w:r>
          </w:p>
          <w:p w14:paraId="78AC622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630 л.с.</w:t>
            </w:r>
          </w:p>
          <w:p w14:paraId="083F575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420 кг</w:t>
            </w:r>
          </w:p>
          <w:p w14:paraId="0106ED0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Н=5000</w:t>
            </w:r>
          </w:p>
          <w:p w14:paraId="01C06E3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29</w:t>
            </w:r>
          </w:p>
        </w:tc>
        <w:tc>
          <w:tcPr>
            <w:tcW w:w="7326" w:type="dxa"/>
          </w:tcPr>
          <w:p w14:paraId="4E50850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Мощный звездообразный двигатель для истребителей. Проект мотора закончен к 15 мая 1932 года. Обращено особое внимание на простоту конструкции и несмотря на наличие нагнетателя число деталей сведено до минимума. Мотор изготовлен в 3 экз. в октябре 1932 года.</w:t>
            </w:r>
          </w:p>
          <w:p w14:paraId="020B3A9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октября 1932 года поставлен на заводские испытания и наработал 20 часов. Основные дефекты: поломка роликов толкателя, недостаточная смазка шатунного механизма, неудовлетворительное уплотнение валика импеллера, поломка задней крышки.</w:t>
            </w:r>
          </w:p>
          <w:p w14:paraId="03D4499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Дефекты устраняются. Испытания продолжаются. Готовят мотор к прохождению длительного этапа, после чего намечено предъявить на госиспытания к 1 марта 1933 года.</w:t>
            </w:r>
          </w:p>
        </w:tc>
      </w:tr>
      <w:tr w:rsidR="00F26F01" w:rsidRPr="00C33834" w14:paraId="7376F177" w14:textId="77777777">
        <w:tc>
          <w:tcPr>
            <w:tcW w:w="2988" w:type="dxa"/>
          </w:tcPr>
          <w:p w14:paraId="6C044BF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Нефтяные моторы (авиадизеля)</w:t>
            </w:r>
          </w:p>
        </w:tc>
        <w:tc>
          <w:tcPr>
            <w:tcW w:w="7326" w:type="dxa"/>
          </w:tcPr>
          <w:p w14:paraId="7BE3F690" w14:textId="77777777" w:rsidR="00E37239" w:rsidRPr="00C33834" w:rsidRDefault="00E37239" w:rsidP="00C33834">
            <w:pPr>
              <w:spacing w:after="0" w:line="240" w:lineRule="auto"/>
              <w:jc w:val="both"/>
              <w:rPr>
                <w:rFonts w:ascii="Times New Roman" w:hAnsi="Times New Roman"/>
                <w:color w:val="000000" w:themeColor="text1"/>
                <w:sz w:val="16"/>
                <w:szCs w:val="16"/>
              </w:rPr>
            </w:pPr>
          </w:p>
        </w:tc>
      </w:tr>
      <w:tr w:rsidR="00F26F01" w:rsidRPr="00C33834" w14:paraId="033C9F79" w14:textId="77777777">
        <w:tc>
          <w:tcPr>
            <w:tcW w:w="2988" w:type="dxa"/>
          </w:tcPr>
          <w:p w14:paraId="351A458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АН-1</w:t>
            </w:r>
          </w:p>
          <w:p w14:paraId="4BE97FF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600 л.с.</w:t>
            </w:r>
          </w:p>
          <w:p w14:paraId="57DFFF1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12 цилиндровый</w:t>
            </w:r>
          </w:p>
          <w:p w14:paraId="474A5B6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840 кг</w:t>
            </w:r>
          </w:p>
          <w:p w14:paraId="0AA0E81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Госиспытания – 1 марта 1933 года</w:t>
            </w:r>
          </w:p>
          <w:p w14:paraId="59F48F3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c>
          <w:tcPr>
            <w:tcW w:w="7326" w:type="dxa"/>
          </w:tcPr>
          <w:p w14:paraId="16285C6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должен явиться одним из первых авиационных двигателей, работающих на тяжелом топливе.</w:t>
            </w:r>
          </w:p>
          <w:p w14:paraId="256C855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Полностью закончена конструктивная разработка, начато производство 3 экземпляров моторов, закончено изготовление экспериментальной установки с одним цилиндром мотора и успешно проводятся большие экспериментальные испытания.</w:t>
            </w:r>
          </w:p>
          <w:p w14:paraId="4F44833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Одноцилиндровая установка наработала 100 часов и дала мощность 68 л.с.</w:t>
            </w:r>
          </w:p>
          <w:p w14:paraId="1269E32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новизны дела и отсутствия опыта не только у нас, но и за границей, а также большая сложность производства как ряда крупных деталей так и, главным образом, насосов для подачи горючего, а также несовременная подача поковок с заводов-поставщиков, срок предъявления на заводские испытания определен 15 мая 1933 года.</w:t>
            </w:r>
          </w:p>
        </w:tc>
      </w:tr>
      <w:tr w:rsidR="00F26F01" w:rsidRPr="00C33834" w14:paraId="29550038" w14:textId="77777777">
        <w:tc>
          <w:tcPr>
            <w:tcW w:w="2988" w:type="dxa"/>
          </w:tcPr>
          <w:p w14:paraId="47BE96E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Экспериментальные работы</w:t>
            </w:r>
          </w:p>
        </w:tc>
        <w:tc>
          <w:tcPr>
            <w:tcW w:w="7326" w:type="dxa"/>
          </w:tcPr>
          <w:p w14:paraId="75B12E95" w14:textId="77777777" w:rsidR="00E37239" w:rsidRPr="00C33834" w:rsidRDefault="00E37239" w:rsidP="00C33834">
            <w:pPr>
              <w:spacing w:after="0" w:line="240" w:lineRule="auto"/>
              <w:jc w:val="both"/>
              <w:rPr>
                <w:rFonts w:ascii="Times New Roman" w:hAnsi="Times New Roman"/>
                <w:color w:val="000000" w:themeColor="text1"/>
                <w:sz w:val="16"/>
                <w:szCs w:val="16"/>
              </w:rPr>
            </w:pPr>
          </w:p>
        </w:tc>
      </w:tr>
      <w:tr w:rsidR="00F26F01" w:rsidRPr="00C33834" w14:paraId="2E5610C3" w14:textId="77777777">
        <w:tc>
          <w:tcPr>
            <w:tcW w:w="2988" w:type="dxa"/>
          </w:tcPr>
          <w:p w14:paraId="3CF6220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……..ВПШ</w:t>
            </w:r>
          </w:p>
          <w:p w14:paraId="4983935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госиспытаний – 1 сентября 1932 года</w:t>
            </w:r>
          </w:p>
          <w:p w14:paraId="57B98BE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c>
          <w:tcPr>
            <w:tcW w:w="7326" w:type="dxa"/>
          </w:tcPr>
          <w:p w14:paraId="04385E4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 переменного шага необходим для сохранения тяги винта до большой высоты. При наличии ВПШ использование мощности мотора более выгодно и самолет получает лучшие летные данные при полете на высоте.</w:t>
            </w:r>
          </w:p>
          <w:p w14:paraId="0185A95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течение 1932 года были закончены конструктивные разработки по двум различным схемам: одной с гидравлическим механизмом поворота лопастей винта, а другой с электрическим приводом поворотного механизма. Пуск в производство указанных винтов был задержан до получения результатов испытаний экспериментального винта, изготовленного в 1931 году. Испытания экспериментального винта до мая 1932 года проводились в лаборатории, а с мая перенесены на аэродром для проверки работы винта в полете</w:t>
            </w:r>
          </w:p>
          <w:p w14:paraId="7FBDC5B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Проводимые испытания винта на самолете в воздухе дают удовлетворительные результаты.</w:t>
            </w:r>
          </w:p>
        </w:tc>
      </w:tr>
    </w:tbl>
    <w:p w14:paraId="36CDD8C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Правительственной программы 1932 года были проведены следующие работы:</w:t>
      </w:r>
    </w:p>
    <w:p w14:paraId="12028FF5" w14:textId="77777777" w:rsidR="00E37239" w:rsidRPr="00C33834" w:rsidRDefault="00E37239" w:rsidP="00C33834">
      <w:pPr>
        <w:numPr>
          <w:ilvl w:val="0"/>
          <w:numId w:val="7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Доводка и увеличение надежности работы серийного мотора М-17 без переборки до 200 часов.</w:t>
      </w:r>
    </w:p>
    <w:p w14:paraId="075963ED" w14:textId="77777777" w:rsidR="00E37239" w:rsidRPr="00C33834" w:rsidRDefault="00E37239" w:rsidP="00C33834">
      <w:pPr>
        <w:numPr>
          <w:ilvl w:val="0"/>
          <w:numId w:val="7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Изготовление 2-х опытных бензиновых одноцилиндровых установок и 5-ти нефтяных установок, на которых проведены большие экспериментально-исследовательские работы.</w:t>
      </w:r>
    </w:p>
    <w:p w14:paraId="0B5B3E3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по моторам, которые должны были выйти на госиспытания в 1932 году Институт шел с опозданием в части их изготовления.</w:t>
      </w:r>
    </w:p>
    <w:p w14:paraId="466F540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Такое опоздание с производством объясняется следующими причинами:</w:t>
      </w:r>
    </w:p>
    <w:p w14:paraId="37F81871" w14:textId="77777777" w:rsidR="00E37239" w:rsidRPr="00C33834" w:rsidRDefault="00E37239" w:rsidP="00C33834">
      <w:pPr>
        <w:numPr>
          <w:ilvl w:val="0"/>
          <w:numId w:val="7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недостаточной пропускной способностью основных цехов завода – механического и инструментального.</w:t>
      </w:r>
    </w:p>
    <w:p w14:paraId="43CE76D9" w14:textId="77777777" w:rsidR="00E37239" w:rsidRPr="00C33834" w:rsidRDefault="00E37239" w:rsidP="00C33834">
      <w:pPr>
        <w:numPr>
          <w:ilvl w:val="0"/>
          <w:numId w:val="7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Крайне высоким браком производства (до 40%), вызвавшим дополнительную, крайне тяжелую, загрузку цехов.</w:t>
      </w:r>
    </w:p>
    <w:p w14:paraId="62B24DD4" w14:textId="77777777" w:rsidR="00E37239" w:rsidRPr="00C33834" w:rsidRDefault="00E37239" w:rsidP="00C33834">
      <w:pPr>
        <w:numPr>
          <w:ilvl w:val="0"/>
          <w:numId w:val="7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Слабую квалификацию, как инженерно-технического персонала, не всегда имеющего возможность найти быстрое и правильное решение встретившихся дефектов и затруднений и недостаточная квалификация рабочих.</w:t>
      </w:r>
    </w:p>
    <w:p w14:paraId="6D60A68A" w14:textId="77777777" w:rsidR="00E37239" w:rsidRPr="00C33834" w:rsidRDefault="00E37239" w:rsidP="00C33834">
      <w:pPr>
        <w:numPr>
          <w:ilvl w:val="0"/>
          <w:numId w:val="7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Быстрый рост Института создал ряд трудностей, еще не преодоленных до сего времени в части организации производства, организации повседневного технического руководства. В части наладки правильного учета и оперативного планирования.</w:t>
      </w:r>
    </w:p>
    <w:p w14:paraId="2FE1E4E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Специфичность работы Института (разнотипность производства, новизна изготовляемых объектов, крайне разнообразный характер работ, не имеющих еще проверенных методов нормирования, учета и т.п.).</w:t>
      </w:r>
    </w:p>
    <w:p w14:paraId="0816898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Глававиапромом и руководством ЦИАМа принимаются все меры к устранению различных неувязок и производственных неполадок, тормозящих работу, для успешного выполнения Правительственного плана опытного моторостроения.</w:t>
      </w:r>
    </w:p>
    <w:p w14:paraId="63A7725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Программа работ института по специальным моторам на 1933 год предусматривает:</w:t>
      </w:r>
    </w:p>
    <w:p w14:paraId="29DB1D99" w14:textId="77777777" w:rsidR="00E37239" w:rsidRPr="00C33834" w:rsidRDefault="00E37239" w:rsidP="00C33834">
      <w:pPr>
        <w:numPr>
          <w:ilvl w:val="0"/>
          <w:numId w:val="8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Доводку и предъявление на госиспытания моторов: М-34Н, М-34Р, М-38Н, ГМ-34, М-32РН и М-52.</w:t>
      </w:r>
    </w:p>
    <w:p w14:paraId="560B38D1" w14:textId="77777777" w:rsidR="00E37239" w:rsidRPr="00C33834" w:rsidRDefault="00E37239" w:rsidP="00C33834">
      <w:pPr>
        <w:numPr>
          <w:ilvl w:val="0"/>
          <w:numId w:val="8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Окончание изготовления всех остальных экземпляров указанных моторов, т.е. еще</w:t>
      </w:r>
    </w:p>
    <w:p w14:paraId="078F99A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М-44Н – 2 экземпляра</w:t>
      </w:r>
    </w:p>
    <w:p w14:paraId="2B06221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М-34Р – 5 экземпляров</w:t>
      </w:r>
    </w:p>
    <w:p w14:paraId="25577DD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М-34РН - 2 экземпляра</w:t>
      </w:r>
    </w:p>
    <w:p w14:paraId="288369A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М-38Н – 2 экземпляра</w:t>
      </w:r>
    </w:p>
    <w:p w14:paraId="5478657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ГМ-34 – 2 экземпляра</w:t>
      </w:r>
    </w:p>
    <w:p w14:paraId="29D9322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М-32РН – 2 экземпляра</w:t>
      </w:r>
    </w:p>
    <w:p w14:paraId="0C65537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М-52 – 3 экземпляра</w:t>
      </w:r>
    </w:p>
    <w:p w14:paraId="2640B608" w14:textId="77777777" w:rsidR="00E37239" w:rsidRPr="00C33834" w:rsidRDefault="00E37239" w:rsidP="00C33834">
      <w:pPr>
        <w:pStyle w:val="a3"/>
        <w:widowControl/>
        <w:numPr>
          <w:ilvl w:val="0"/>
          <w:numId w:val="82"/>
        </w:numPr>
        <w:tabs>
          <w:tab w:val="left" w:pos="360"/>
        </w:tabs>
        <w:ind w:left="0" w:firstLine="0"/>
        <w:rPr>
          <w:color w:val="000000" w:themeColor="text1"/>
          <w:lang w:val="ru-RU"/>
        </w:rPr>
      </w:pPr>
      <w:r w:rsidRPr="00C33834">
        <w:rPr>
          <w:color w:val="000000" w:themeColor="text1"/>
          <w:lang w:val="ru-RU"/>
        </w:rPr>
        <w:t>Изготовление моторов, предъявляемых на госиспытание в 1933 году, т.е. моторов:</w:t>
      </w:r>
    </w:p>
    <w:p w14:paraId="1B941FA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М-44Н – 2 экземпляра</w:t>
      </w:r>
    </w:p>
    <w:p w14:paraId="1C8F463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АН-1 – 3 экземпляра</w:t>
      </w:r>
    </w:p>
    <w:p w14:paraId="3F84E80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ВПШ – 10 экземпляров</w:t>
      </w:r>
    </w:p>
    <w:p w14:paraId="68C5EB5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М-38Н – 2 экземпляра</w:t>
      </w:r>
    </w:p>
    <w:p w14:paraId="0BE18B0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М-54Е – 4 экземпляра</w:t>
      </w:r>
    </w:p>
    <w:p w14:paraId="669F1DAC" w14:textId="77777777" w:rsidR="00E37239" w:rsidRPr="00C33834" w:rsidRDefault="00E37239" w:rsidP="00C33834">
      <w:pPr>
        <w:numPr>
          <w:ilvl w:val="0"/>
          <w:numId w:val="8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Изготовление (в деталях) моторов, переданных на производство в УИАМ приказом НКТП</w:t>
      </w:r>
    </w:p>
    <w:p w14:paraId="01424E0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двигателя Мартенса – 3 экземпляра</w:t>
      </w:r>
    </w:p>
    <w:p w14:paraId="67B8A77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двигателя ФЭД-8 – 3 экземпляра</w:t>
      </w:r>
    </w:p>
    <w:p w14:paraId="31FCF478" w14:textId="77777777" w:rsidR="00E37239" w:rsidRPr="00C33834" w:rsidRDefault="00E37239" w:rsidP="00C33834">
      <w:pPr>
        <w:numPr>
          <w:ilvl w:val="0"/>
          <w:numId w:val="8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Начало изготовления особо мощного мотора воздушного охлаждения для истребительной авиации – мотора М-56А мощностью в 700 л.с.</w:t>
      </w:r>
    </w:p>
    <w:p w14:paraId="503B710A" w14:textId="77777777" w:rsidR="00E37239" w:rsidRPr="00C33834" w:rsidRDefault="00E37239" w:rsidP="00C33834">
      <w:pPr>
        <w:numPr>
          <w:ilvl w:val="0"/>
          <w:numId w:val="8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Изготовлением агрегатов, приспосабливающих мотор М-34 для стратосферного полета.</w:t>
      </w:r>
    </w:p>
    <w:p w14:paraId="136C777C" w14:textId="77777777" w:rsidR="00E37239" w:rsidRPr="00C33834" w:rsidRDefault="00E37239" w:rsidP="00C33834">
      <w:pPr>
        <w:numPr>
          <w:ilvl w:val="0"/>
          <w:numId w:val="8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Целый ряд научно-исследовательских и экспериментальных работ, как-то: создание экспериментальных авиационных двигателей с непосредственным впрыском топлива и ряд других проблем.</w:t>
      </w:r>
    </w:p>
    <w:p w14:paraId="4330844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28"/>
        <w:gridCol w:w="6361"/>
      </w:tblGrid>
      <w:tr w:rsidR="00F26F01" w:rsidRPr="00C33834" w14:paraId="03B6B31D" w14:textId="77777777">
        <w:tc>
          <w:tcPr>
            <w:tcW w:w="3528" w:type="dxa"/>
          </w:tcPr>
          <w:p w14:paraId="374F3C0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ТБ-6 М-44 или нефтяной</w:t>
            </w:r>
          </w:p>
          <w:p w14:paraId="75BFE1F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бомбардировщик, он же пассажирский, грузовой; из стали, вооружен тяжелыми пулеметами и пушками. Дальность полета – 3000 км при перегрузке 4000 км, нома сбрасываемого груза 15000 кг.</w:t>
            </w:r>
          </w:p>
          <w:p w14:paraId="5D4D9F3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на аэродром – 1 декабря 1934 года</w:t>
            </w:r>
          </w:p>
        </w:tc>
        <w:tc>
          <w:tcPr>
            <w:tcW w:w="6361" w:type="dxa"/>
          </w:tcPr>
          <w:p w14:paraId="05E302F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технических требованиях предельный сбрасываемый груз уточнен до 10000 кг.</w:t>
            </w:r>
          </w:p>
          <w:p w14:paraId="70F47CD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Подготовительные работы к проектированию самолета закончены, а также и предварительные расчеты. Ведутся работы по выяснению стальных конструкций, каковые Институтом впервые намечаются осуществить в данном самолете.</w:t>
            </w:r>
          </w:p>
          <w:p w14:paraId="6E6715A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идут по плану.</w:t>
            </w:r>
          </w:p>
        </w:tc>
      </w:tr>
      <w:tr w:rsidR="00F26F01" w:rsidRPr="00C33834" w14:paraId="227DD652" w14:textId="77777777">
        <w:tc>
          <w:tcPr>
            <w:tcW w:w="3528" w:type="dxa"/>
          </w:tcPr>
          <w:p w14:paraId="1302145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 6М-34. Опытный.</w:t>
            </w:r>
          </w:p>
          <w:p w14:paraId="51D3E96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бомбовоз опытный, из дюраля, вооруженный 10 пулеметами и 2 пушками. Дальность полета – 1000 км, при перегрузке 2000 км. Срок выхода на аэродром 1 ноября 1932 года.</w:t>
            </w:r>
          </w:p>
        </w:tc>
        <w:tc>
          <w:tcPr>
            <w:tcW w:w="6361" w:type="dxa"/>
          </w:tcPr>
          <w:p w14:paraId="49AF234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проектированием и постройкой закончен.</w:t>
            </w:r>
          </w:p>
          <w:p w14:paraId="5EE8964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настоящий момент производится монтаж моторов М-34.</w:t>
            </w:r>
          </w:p>
          <w:p w14:paraId="1BDB2DC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Задержка в выходе на аэродром произошла вследствие несвоевременного получения моторов, а именно: моторы вместо 1 августа 1932 года, намеченного по плану срока, получены 10 декабря 1932 года.</w:t>
            </w:r>
          </w:p>
          <w:p w14:paraId="4278771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Выход самолета на аэродром намечен в марте 1933 года.</w:t>
            </w:r>
          </w:p>
        </w:tc>
      </w:tr>
      <w:tr w:rsidR="00F26F01" w:rsidRPr="00C33834" w14:paraId="29599DBD" w14:textId="77777777">
        <w:tc>
          <w:tcPr>
            <w:tcW w:w="3528" w:type="dxa"/>
          </w:tcPr>
          <w:p w14:paraId="5093D24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ТБ4-6М34. Головной.</w:t>
            </w:r>
          </w:p>
          <w:p w14:paraId="51F669A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 же требования как к опытному, но в отличие от него головной самолет имеет расширенный фюзеляж, дающий возможность поместить внутри его тяжелые бомбы и перевозить тяжелые грузы (танки, пушки и т.д.), кроме того предусмотрено легкое обращение машины в пассажирский тип и легкая военизация пассажирских самолетов.</w:t>
            </w:r>
          </w:p>
          <w:p w14:paraId="7540C5B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на госиспытания 1 июня 1933 года.</w:t>
            </w:r>
          </w:p>
        </w:tc>
        <w:tc>
          <w:tcPr>
            <w:tcW w:w="6361" w:type="dxa"/>
          </w:tcPr>
          <w:p w14:paraId="50ED322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машины закончено на 80%.</w:t>
            </w:r>
          </w:p>
          <w:p w14:paraId="36AAD39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Постройка ведется параллельно с проектированием машины и готовность постройки определяется в 35%.</w:t>
            </w:r>
          </w:p>
          <w:p w14:paraId="52835F1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 для самолетов должны быть с редукторами и срок получения их по плану намечен с августа по декабрь 1932 года, но он не выдерживается – моторов нет.</w:t>
            </w:r>
          </w:p>
          <w:p w14:paraId="14E46B3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обеспечения своевременного срочного выпуска серийных самолетов ЦАГИ параллельно с изготовлением проекта сдает конструктивные чертежи в согласованные с заводом № 22 сроки, т.е. 1 апреля 1933 года по самолетам и 1 мая 1933 года по вооружению.</w:t>
            </w:r>
          </w:p>
          <w:p w14:paraId="19F1359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Одновременно с проектированием военной машины, ЦАГИ ведет разработки проектов пассажирского варианта тоже с одновременной сдачей чертежей заводу № 22.</w:t>
            </w:r>
          </w:p>
          <w:p w14:paraId="55A1557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Военный вариант самолета ТБ-4 головного после получения моторов будет выпущен на совместные испытания через 4 месяца.</w:t>
            </w:r>
          </w:p>
        </w:tc>
      </w:tr>
      <w:tr w:rsidR="00F26F01" w:rsidRPr="00C33834" w14:paraId="349B25F8" w14:textId="77777777">
        <w:tc>
          <w:tcPr>
            <w:tcW w:w="3528" w:type="dxa"/>
          </w:tcPr>
          <w:p w14:paraId="6E0522C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К1-2М32 (2М34)</w:t>
            </w:r>
          </w:p>
          <w:p w14:paraId="5613A18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Крейсер сухопутный, он же средний бомбардировщик и дальний разведчик, вооруженный тяжелыми и легкими пулеметами, дальность полета при нормальной нагрузке 1200 км, при перегрузке 2000 км.</w:t>
            </w:r>
          </w:p>
          <w:p w14:paraId="4A27A5B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на госиспытания 1 октября 1933 года.</w:t>
            </w:r>
          </w:p>
        </w:tc>
        <w:tc>
          <w:tcPr>
            <w:tcW w:w="6361" w:type="dxa"/>
          </w:tcPr>
          <w:p w14:paraId="6E0CF46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предварительных просчетах установлено, что с моторами М-32 самолет даст лучшие качества, как весовые, так и тактические, чем с моторами М-34. Технические требования от УВВС получены только 15 января 1933 года.</w:t>
            </w:r>
          </w:p>
          <w:p w14:paraId="020929F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Ведется увязка их с проектами. Если при увязке не встретится противоречий с проектом и не придется перепроектировать машины, то после получения моторов самолет будет выпущен через 7 месяцев.</w:t>
            </w:r>
          </w:p>
        </w:tc>
      </w:tr>
      <w:tr w:rsidR="00F26F01" w:rsidRPr="00C33834" w14:paraId="7663AC33" w14:textId="77777777">
        <w:tc>
          <w:tcPr>
            <w:tcW w:w="3528" w:type="dxa"/>
          </w:tcPr>
          <w:p w14:paraId="3F0C7B0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 2М-34</w:t>
            </w:r>
          </w:p>
          <w:p w14:paraId="5CD7B30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Многоместный истребитель, вооруженный 6 пулеметами и 1 авт. пушкой. Дальность полета – 1000 км. Скорость – 300 км/час.</w:t>
            </w:r>
          </w:p>
          <w:p w14:paraId="59FBC8F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на аэродром – 1 января 1933 года.</w:t>
            </w:r>
          </w:p>
        </w:tc>
        <w:tc>
          <w:tcPr>
            <w:tcW w:w="6361" w:type="dxa"/>
          </w:tcPr>
          <w:p w14:paraId="2B59992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проектированием и постройкой закончен.</w:t>
            </w:r>
          </w:p>
          <w:p w14:paraId="275441F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настоящий момент заканчиваются работы по монтажу моторов, которые вместо 1 сентября 1932 года, намеченного по плану срока, были получены 22 декабря 1932 года.</w:t>
            </w:r>
          </w:p>
          <w:p w14:paraId="66732BF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Параллельно с проектированием и постройкой 1-й опытной машины ЦАГИ ведет проектирование и постройку головной, в которую вносятся соответствующие усовершенствования.</w:t>
            </w:r>
          </w:p>
          <w:p w14:paraId="6B6AAC5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1-й опытный самолет выйдет на аэродром в феврале 1933 года.</w:t>
            </w:r>
          </w:p>
        </w:tc>
      </w:tr>
      <w:tr w:rsidR="00F26F01" w:rsidRPr="00C33834" w14:paraId="51CB423D" w14:textId="77777777">
        <w:tc>
          <w:tcPr>
            <w:tcW w:w="3528" w:type="dxa"/>
          </w:tcPr>
          <w:p w14:paraId="68D20BB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ДИП-2М34</w:t>
            </w:r>
          </w:p>
          <w:p w14:paraId="5D199BE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Двухмоторный истребитель пушечный, вооруженный одной пушкой большого калибра (100 мм), дальность полета 600 км, тоже с перегрузкой – 1000 км. Скорость 325 км/час.</w:t>
            </w:r>
          </w:p>
          <w:p w14:paraId="3A7E5D2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готовности на госиспытание – 1 октября 1933 года.</w:t>
            </w:r>
          </w:p>
          <w:p w14:paraId="1CC9A85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Машина предназначается д/нападения на бомбардировщиков, перешедших нашу границу.</w:t>
            </w:r>
          </w:p>
        </w:tc>
        <w:tc>
          <w:tcPr>
            <w:tcW w:w="6361" w:type="dxa"/>
          </w:tcPr>
          <w:p w14:paraId="7F4D053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Технические требования на машину получены лишь 4-го января 1933 года.</w:t>
            </w:r>
          </w:p>
          <w:p w14:paraId="48CF3FB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Идет увязка технических требований с проектом и если не будет разногласия с проектом, то срок, намеченный по плану выхода на госиспытания будет выдержан.</w:t>
            </w:r>
          </w:p>
        </w:tc>
      </w:tr>
      <w:tr w:rsidR="00F26F01" w:rsidRPr="00C33834" w14:paraId="1F41251D" w14:textId="77777777">
        <w:tc>
          <w:tcPr>
            <w:tcW w:w="3528" w:type="dxa"/>
          </w:tcPr>
          <w:p w14:paraId="7DB90F4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ЛР-34</w:t>
            </w:r>
          </w:p>
          <w:p w14:paraId="3F8CE17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Легкий разведчик, дальность полета – 800 км.</w:t>
            </w:r>
          </w:p>
          <w:p w14:paraId="1AB1E8F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300-310 км/час. Срок выхода на аэродром 1 марта 1933 года.</w:t>
            </w:r>
          </w:p>
        </w:tc>
        <w:tc>
          <w:tcPr>
            <w:tcW w:w="6361" w:type="dxa"/>
          </w:tcPr>
          <w:p w14:paraId="3642628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краткости срока выхода машины, она была начата проектированием до получения из УВВС детальных технических требований и определения лица машины. То и другое последовало лишь 8 декабря 1932 года, тогда же было начальником ВВС решено заменить заднего стрелка (стоячего) нашего проекта стрелком, стреляющим сидя, что заставило выбросить вполне готовый комплект чертежей и начать проектирование машины снова, чем срок окончания машины соответственно отдаляется.</w:t>
            </w:r>
          </w:p>
          <w:p w14:paraId="2BCAD45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Новый проект самолета будет закончен 20 февраля 1933 года и самолет из постройки выйдет 1 июня 1933 года.</w:t>
            </w:r>
          </w:p>
        </w:tc>
      </w:tr>
      <w:tr w:rsidR="00F26F01" w:rsidRPr="00C33834" w14:paraId="67C48173" w14:textId="77777777">
        <w:tc>
          <w:tcPr>
            <w:tcW w:w="3528" w:type="dxa"/>
          </w:tcPr>
          <w:p w14:paraId="213987A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ДИ6-М34, М38 или М-32</w:t>
            </w:r>
          </w:p>
          <w:p w14:paraId="3715DB6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Двухместный истребитель, скорость 350-375 км/час, вооружен двумя пулеметами легкими и двумя пулеметами тяжелыми. Срок выхода на госиспытания 1 июня 1933 года.</w:t>
            </w:r>
          </w:p>
        </w:tc>
        <w:tc>
          <w:tcPr>
            <w:tcW w:w="6361" w:type="dxa"/>
          </w:tcPr>
          <w:p w14:paraId="5C8EA7B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Технические требования на самолет получены лишь 14 января 1933 года. Проектирование и постройка самолета будет произведено в течение 10 месяцев со дня получения технических требований и самолет выйдет на аэродром к 15 ноября 1933 года.</w:t>
            </w:r>
          </w:p>
        </w:tc>
      </w:tr>
      <w:tr w:rsidR="00F26F01" w:rsidRPr="00C33834" w14:paraId="2B3F629B" w14:textId="77777777">
        <w:tc>
          <w:tcPr>
            <w:tcW w:w="3528" w:type="dxa"/>
          </w:tcPr>
          <w:p w14:paraId="78A7098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И13-М32</w:t>
            </w:r>
          </w:p>
          <w:p w14:paraId="3B26017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Одноместный истребитель, вооруженный легкими пулеметами, имеющий дальность полета 500 км при скорости 350-400 км/час. Срок выхода на госиспытания 1 июня 1933 года.</w:t>
            </w:r>
          </w:p>
        </w:tc>
        <w:tc>
          <w:tcPr>
            <w:tcW w:w="6361" w:type="dxa"/>
          </w:tcPr>
          <w:p w14:paraId="3C14437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Технические требования и лицо машины со стороны УВВС определены только лишь 30 декабря 1932 года, по получении чего ЦАГИ должен начать проектированием новый самолет, так как работа, проводимая им до этого времени (вариант развития И-8), не может быть использована по прямому назначению.</w:t>
            </w:r>
          </w:p>
          <w:p w14:paraId="706D46B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и постройка самолета займет 11 месяцев и после получения мотора самолет выйдет на аэродром через 9 месяцев.</w:t>
            </w:r>
          </w:p>
        </w:tc>
      </w:tr>
      <w:tr w:rsidR="00F26F01" w:rsidRPr="00C33834" w14:paraId="0BE20120" w14:textId="77777777">
        <w:tc>
          <w:tcPr>
            <w:tcW w:w="3528" w:type="dxa"/>
          </w:tcPr>
          <w:p w14:paraId="39B692B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М-38</w:t>
            </w:r>
          </w:p>
          <w:p w14:paraId="2C27A8D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Одноместный истребитель. Дальность полета – 500 км, вооруженный легкими пулеметами.</w:t>
            </w:r>
          </w:p>
          <w:p w14:paraId="0883F2B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госиспытаний – 15 марта 1933 года.</w:t>
            </w:r>
          </w:p>
        </w:tc>
        <w:tc>
          <w:tcPr>
            <w:tcW w:w="6361" w:type="dxa"/>
          </w:tcPr>
          <w:p w14:paraId="4903A82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Одноместный истребитель И-14 строится в ЦАГИ в 2-х разновидностях:</w:t>
            </w:r>
          </w:p>
          <w:p w14:paraId="2C55DCAC" w14:textId="77777777" w:rsidR="00E37239" w:rsidRPr="00C33834" w:rsidRDefault="00E37239"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r w:rsidRPr="00C33834">
              <w:rPr>
                <w:rFonts w:ascii="Times New Roman" w:hAnsi="Times New Roman"/>
                <w:color w:val="000000" w:themeColor="text1"/>
                <w:sz w:val="16"/>
                <w:szCs w:val="16"/>
              </w:rPr>
              <w:tab/>
              <w:t>Пушечной машины под 2 пушки ДРП 37 мм, автоматические. Скорость полета 360 км/час.</w:t>
            </w:r>
          </w:p>
          <w:p w14:paraId="74FF6E6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 самолета – уничтожение неприятельских тяжелых самолетов и соединений самолетов.</w:t>
            </w:r>
          </w:p>
          <w:p w14:paraId="063C316E" w14:textId="77777777" w:rsidR="00E37239" w:rsidRPr="00C33834" w:rsidRDefault="00E37239"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r w:rsidRPr="00C33834">
              <w:rPr>
                <w:rFonts w:ascii="Times New Roman" w:hAnsi="Times New Roman"/>
                <w:color w:val="000000" w:themeColor="text1"/>
                <w:sz w:val="16"/>
                <w:szCs w:val="16"/>
              </w:rPr>
              <w:tab/>
              <w:t>Легкая маневренная машина, лицо которой было согласовано с начальником ВВС Алкснисом 8 декабря 1932 года переименована в дальнейшем в И-15.</w:t>
            </w:r>
          </w:p>
          <w:p w14:paraId="4E40F6B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развернут постройкой полностью. Мотор на 1-й машине будет поставлен заграничный «Меркур-Бристоль».</w:t>
            </w:r>
          </w:p>
          <w:p w14:paraId="2D46B03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машины предполагается к 1 мая 1933 года.</w:t>
            </w:r>
          </w:p>
        </w:tc>
      </w:tr>
      <w:tr w:rsidR="00F26F01" w:rsidRPr="00C33834" w14:paraId="02D68879" w14:textId="77777777">
        <w:tc>
          <w:tcPr>
            <w:tcW w:w="3528" w:type="dxa"/>
          </w:tcPr>
          <w:p w14:paraId="7851DA6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 2М-52</w:t>
            </w:r>
          </w:p>
          <w:p w14:paraId="7733861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Войсковой самолет, он же химический легкий боевик, вооруженный легкими пулеметами.</w:t>
            </w:r>
          </w:p>
          <w:p w14:paraId="0EAC0BE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горизонтальной скоростью на высоте 3000 м – 350 км/час.</w:t>
            </w:r>
          </w:p>
          <w:p w14:paraId="7950836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на аэродром – июль 1933 года.</w:t>
            </w:r>
          </w:p>
        </w:tc>
        <w:tc>
          <w:tcPr>
            <w:tcW w:w="6361" w:type="dxa"/>
          </w:tcPr>
          <w:p w14:paraId="20CD663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и постройка ведется ХАЗОССом (Калининым). Ввиду перегрузки завода проектными опытными и исследовательскими работами (по сварке хромомолибденовых труб), самолета К-7, а также серийными работами по самолету К-5, работы по самолету ВС не могут быть пущены надлежащими темпами. В настоящее время ведется предварительное проектирование. Намечается конструкция из сварных хромомолибденовых труб. В случае подачи моторов в июне 1933 года (практически возможный срок) самолет может выйти на аэродром в сентябре 1933 года.</w:t>
            </w:r>
          </w:p>
        </w:tc>
      </w:tr>
      <w:tr w:rsidR="00F26F01" w:rsidRPr="00C33834" w14:paraId="40B8F4A1" w14:textId="77777777">
        <w:tc>
          <w:tcPr>
            <w:tcW w:w="3528" w:type="dxa"/>
          </w:tcPr>
          <w:p w14:paraId="7B3E4A8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У3-М48 (Модификация У2-М11)</w:t>
            </w:r>
          </w:p>
          <w:p w14:paraId="1FBEA65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Учебный самолет, он же связи и сопровождения (для туризма, спорта, легкой санитарии, местной авиации).</w:t>
            </w:r>
          </w:p>
          <w:p w14:paraId="700135E5" w14:textId="77777777" w:rsidR="00E37239" w:rsidRPr="00C33834" w:rsidRDefault="00E37239" w:rsidP="00C33834">
            <w:pPr>
              <w:spacing w:after="0" w:line="240" w:lineRule="auto"/>
              <w:jc w:val="both"/>
              <w:rPr>
                <w:rFonts w:ascii="Times New Roman" w:hAnsi="Times New Roman"/>
                <w:color w:val="000000" w:themeColor="text1"/>
                <w:sz w:val="16"/>
                <w:szCs w:val="16"/>
              </w:rPr>
            </w:pPr>
          </w:p>
          <w:p w14:paraId="797D728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1 марта 1933 года.</w:t>
            </w:r>
          </w:p>
        </w:tc>
        <w:tc>
          <w:tcPr>
            <w:tcW w:w="6361" w:type="dxa"/>
          </w:tcPr>
          <w:p w14:paraId="5CA0557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поручена ВТУЗу ГУАП (ХАИ). Ввиду многообразного назначения и установки более мощного мотора, связанного с увеличением объема горючего, модифицирование осложняется. Необходимость иметь готовый самолет У2 и отсутствие производственных возможностей во ВТУЗе делает целесообразным передачу работы на завод № 23 с использованием им всех проработанных материалов ХАИ.</w:t>
            </w:r>
          </w:p>
          <w:p w14:paraId="0DFC037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сдвинется, ввиду неготовности моторов М-48.</w:t>
            </w:r>
          </w:p>
          <w:p w14:paraId="181D8D0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подачи моторов самолет может быть выпущен через 3 месяца.</w:t>
            </w:r>
          </w:p>
        </w:tc>
      </w:tr>
      <w:tr w:rsidR="00F26F01" w:rsidRPr="00C33834" w14:paraId="1654CA77" w14:textId="77777777">
        <w:tc>
          <w:tcPr>
            <w:tcW w:w="3528" w:type="dxa"/>
          </w:tcPr>
          <w:p w14:paraId="128D943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МК-1-6М34РН</w:t>
            </w:r>
          </w:p>
          <w:p w14:paraId="5C7BBFA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Морской крейсер, он же морской бомбардировщик торпедоносец с минным снаряжением в 1850 кг, при перегрузке в 2230 кг, с бомбами до 1000 кг и торпедой 800 кг. Скорость – 215-230 км/час на 4000 м.</w:t>
            </w:r>
          </w:p>
          <w:p w14:paraId="1274099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госиспытаний – 1 декабря 1933 года.</w:t>
            </w:r>
          </w:p>
        </w:tc>
        <w:tc>
          <w:tcPr>
            <w:tcW w:w="6361" w:type="dxa"/>
          </w:tcPr>
          <w:p w14:paraId="08A0A7D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доведено до 80%. Идет постройка отдельных частей – крыло, лодка и проч. Общая готовность около 40%. Несмотря на ряд трудностей, так как ЦАГИ впервые осуществляет гидросамолет-гигант, а морской самолет до этого построил лишь только один, плановый срок должен быть выдержан.</w:t>
            </w:r>
          </w:p>
        </w:tc>
      </w:tr>
      <w:tr w:rsidR="00F26F01" w:rsidRPr="00C33834" w14:paraId="6C60EF87" w14:textId="77777777">
        <w:tc>
          <w:tcPr>
            <w:tcW w:w="3528" w:type="dxa"/>
          </w:tcPr>
          <w:p w14:paraId="4DE7F06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МДР-3 бис 3М34</w:t>
            </w:r>
          </w:p>
          <w:p w14:paraId="55FE699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Данные машины устанавливаются Реввренсоветом и согласовываются Глававиапромом</w:t>
            </w:r>
          </w:p>
        </w:tc>
        <w:tc>
          <w:tcPr>
            <w:tcW w:w="6361" w:type="dxa"/>
          </w:tcPr>
          <w:p w14:paraId="1C25E5A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Машина МДР-3 при испытании была забракована УВВС из-за неудовлетворительных летных качеств, вибраций хвостового оперения, вибраций моторных установок, недостаточной прочности хвостовой части лодки и проч.</w:t>
            </w:r>
          </w:p>
          <w:p w14:paraId="74E9088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Институтом предпринята полная переработка всей машины заново.</w:t>
            </w:r>
          </w:p>
          <w:p w14:paraId="2AF9AF8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Начальником УВВС в дальнейшем машина переименована в МДР-4 3М34.</w:t>
            </w:r>
          </w:p>
          <w:p w14:paraId="47CF078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Технические требования на нее получены в конце декабря. Ведется согласование их с проектом машины. Проектирование машины развернуто. Срок выпуска машины может </w:t>
            </w:r>
            <w:r w:rsidRPr="00C33834">
              <w:rPr>
                <w:rFonts w:ascii="Times New Roman" w:hAnsi="Times New Roman"/>
                <w:color w:val="000000" w:themeColor="text1"/>
                <w:sz w:val="16"/>
                <w:szCs w:val="16"/>
              </w:rPr>
              <w:lastRenderedPageBreak/>
              <w:t>быть установлен 11-12 месяцев с момента получения технических требований, т.е. к ноябрю-декабрю 1933 года.</w:t>
            </w:r>
          </w:p>
        </w:tc>
      </w:tr>
      <w:tr w:rsidR="00F26F01" w:rsidRPr="00C33834" w14:paraId="055F17DF" w14:textId="77777777">
        <w:tc>
          <w:tcPr>
            <w:tcW w:w="3528" w:type="dxa"/>
          </w:tcPr>
          <w:p w14:paraId="5DD2094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К-7 7М-34</w:t>
            </w:r>
          </w:p>
          <w:p w14:paraId="5DBBA12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бомбовоз, вооруженный …… пулеметами ДА, 3-мя автоматическими пушками (20 мм) и ……… кг бомбами (хромомолибден.), конструкции, моноплан с двуххвостовой осуществляет идею размещения грузов преимущественно в крыле. 4-х колесное шасси с управляемыми передними колесами должно обеспечить хорошую маневренность на земле.</w:t>
            </w:r>
          </w:p>
          <w:p w14:paraId="0222D26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Срок выхода на аэродром - </w:t>
            </w:r>
          </w:p>
        </w:tc>
        <w:tc>
          <w:tcPr>
            <w:tcW w:w="6361" w:type="dxa"/>
          </w:tcPr>
          <w:p w14:paraId="0CEF775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ХАЗОССом закончено к октябрю 1932 года. В настоящее время ведется постройка отдельных частей с параллельными работами по статическим испытаниям. Готовность самолета в целом может быть выражена в 13%.</w:t>
            </w:r>
          </w:p>
          <w:p w14:paraId="59C212F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того, что завод впервые выполняет постройку большой машины без предварительного выпуска промежуточных машин и необходимости освоения технологического процесса новых материалов, работа идет с замедлением против намеченных сроков, а потому срок выхода машины сдвинется на август 1933 года.</w:t>
            </w:r>
          </w:p>
        </w:tc>
      </w:tr>
      <w:tr w:rsidR="00F26F01" w:rsidRPr="00C33834" w14:paraId="3DEE8CD4" w14:textId="77777777">
        <w:tc>
          <w:tcPr>
            <w:tcW w:w="3528" w:type="dxa"/>
          </w:tcPr>
          <w:p w14:paraId="2C23716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Экспериментальные</w:t>
            </w:r>
          </w:p>
        </w:tc>
        <w:tc>
          <w:tcPr>
            <w:tcW w:w="6361" w:type="dxa"/>
          </w:tcPr>
          <w:p w14:paraId="66C2100C" w14:textId="77777777" w:rsidR="00E37239" w:rsidRPr="00C33834" w:rsidRDefault="00E37239" w:rsidP="00C33834">
            <w:pPr>
              <w:spacing w:after="0" w:line="240" w:lineRule="auto"/>
              <w:jc w:val="both"/>
              <w:rPr>
                <w:rFonts w:ascii="Times New Roman" w:hAnsi="Times New Roman"/>
                <w:color w:val="000000" w:themeColor="text1"/>
                <w:sz w:val="16"/>
                <w:szCs w:val="16"/>
              </w:rPr>
            </w:pPr>
          </w:p>
        </w:tc>
      </w:tr>
      <w:tr w:rsidR="00F26F01" w:rsidRPr="00C33834" w14:paraId="0439C3F8" w14:textId="77777777">
        <w:tc>
          <w:tcPr>
            <w:tcW w:w="3528" w:type="dxa"/>
          </w:tcPr>
          <w:p w14:paraId="039D6D2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Высотный самолет, он же рекордный на высоту. Срок окончания постройки 1 апреля 1933 года.</w:t>
            </w:r>
          </w:p>
        </w:tc>
        <w:tc>
          <w:tcPr>
            <w:tcW w:w="6361" w:type="dxa"/>
          </w:tcPr>
          <w:p w14:paraId="4970ECE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Проектированием машина закончена на 75% и находится в производстве.</w:t>
            </w:r>
          </w:p>
          <w:p w14:paraId="0C3CFFD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машины требуется специальный высотный мотор, изготовляемый ЦИАМом, срок готовности которого сейчас определяется в первой половине 1934 года.</w:t>
            </w:r>
          </w:p>
          <w:p w14:paraId="1B2F64C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ускорения выпуска машины считаем правильным поставить мотор с меньшей высотностью для изучения условий полета на столь больших высотах, а именно: мотор М-34 с редуктором и наддувом до 5000 м. При условии получения мотора к 1 июля 1933 года машина может быть представлена для начала предварительных с ней испытаний в четвертом квартале 1933 года.</w:t>
            </w:r>
          </w:p>
        </w:tc>
      </w:tr>
      <w:tr w:rsidR="00F26F01" w:rsidRPr="00C33834" w14:paraId="29914518" w14:textId="77777777">
        <w:tc>
          <w:tcPr>
            <w:tcW w:w="3528" w:type="dxa"/>
          </w:tcPr>
          <w:p w14:paraId="371FB1D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РД-М34</w:t>
            </w:r>
          </w:p>
          <w:p w14:paraId="55F79B5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Рекордный самолет на дальность (9000-10000 км). Срок выхода на аэродром -август 132 года.</w:t>
            </w:r>
          </w:p>
        </w:tc>
        <w:tc>
          <w:tcPr>
            <w:tcW w:w="6361" w:type="dxa"/>
          </w:tcPr>
          <w:p w14:paraId="1710397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находится в постройке и будет готов для предварительных полетов в мае 1933 года. Для проведения рекорда необходима значительная подготовка самолета, мотора (тщательно отработать из специально изготовленных деталей 10 моторов и подобрать наиболее экономичную регулировку расхода горючего, экипажа, маршрута) выбрать маршрут и изучить метеорологические условия, взлетной площадки (бетонированную дорожку).</w:t>
            </w:r>
          </w:p>
          <w:p w14:paraId="64788B26" w14:textId="77777777" w:rsidR="00E37239" w:rsidRPr="00C33834" w:rsidRDefault="00E37239" w:rsidP="00C33834">
            <w:pPr>
              <w:spacing w:after="0" w:line="240" w:lineRule="auto"/>
              <w:jc w:val="both"/>
              <w:rPr>
                <w:rFonts w:ascii="Times New Roman" w:hAnsi="Times New Roman"/>
                <w:color w:val="000000" w:themeColor="text1"/>
                <w:sz w:val="16"/>
                <w:szCs w:val="16"/>
              </w:rPr>
            </w:pPr>
          </w:p>
          <w:p w14:paraId="7F7F2E9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проведения указанного потребуются отдельные денежные средства и материальная часть.</w:t>
            </w:r>
          </w:p>
          <w:p w14:paraId="4D2BEF8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обеспечении всем необходимым и получения положительных результатов испытания и полета на продолжительность, полет на дальность может быть совершен в сентябре 1933 года.</w:t>
            </w:r>
          </w:p>
        </w:tc>
      </w:tr>
      <w:tr w:rsidR="00F26F01" w:rsidRPr="00C33834" w14:paraId="1155B8D9" w14:textId="77777777">
        <w:tc>
          <w:tcPr>
            <w:tcW w:w="3528" w:type="dxa"/>
          </w:tcPr>
          <w:p w14:paraId="451479E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Парабола</w:t>
            </w:r>
          </w:p>
          <w:p w14:paraId="3D95074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 летающее крыло (Парабола Черановского.</w:t>
            </w:r>
          </w:p>
          <w:p w14:paraId="19460F4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Срок выхода на госиспытание - </w:t>
            </w:r>
          </w:p>
        </w:tc>
        <w:tc>
          <w:tcPr>
            <w:tcW w:w="6361" w:type="dxa"/>
          </w:tcPr>
          <w:p w14:paraId="2FC41B3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течение 1932 года ЦАГИ провел работу по постройке и испытанию одномоторного самолета Летающее крыло Параболы. Испытания показали удовлетворительные летные данные и устойчивость полета машины. Учитывая полученный опыт одномоторной Параболы, ЦАГИ полагает возможным и более целесообразным взамен экспериментальной переходной машины Параболы с 2-мя М11, строить уже не переходную машину, а экспериментальную с двумя моторами по 400-600 НР, которая могла бы иметь эксплуатационное значение. В связи с этим увеличивается масштаб машины, а следовательно и объем конструкторских и производственных работ. На основании приведенных соображений, срок выхода на аэродром ЛК2М (400-600 НР) сдвинется на 1 мая 1933 года.</w:t>
            </w:r>
          </w:p>
        </w:tc>
      </w:tr>
      <w:tr w:rsidR="00F26F01" w:rsidRPr="00C33834" w14:paraId="2EE2702C" w14:textId="77777777">
        <w:tc>
          <w:tcPr>
            <w:tcW w:w="3528" w:type="dxa"/>
          </w:tcPr>
          <w:p w14:paraId="20A10D7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 особым типом разрезных крыльев конструкции Кричевского.</w:t>
            </w:r>
          </w:p>
          <w:p w14:paraId="5D8E3D4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на госиспытание – 1 декабря 1932 года.</w:t>
            </w:r>
          </w:p>
        </w:tc>
        <w:tc>
          <w:tcPr>
            <w:tcW w:w="6361" w:type="dxa"/>
          </w:tcPr>
          <w:p w14:paraId="34D1F60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 самолета был окончен в октябре 1932 года, но вследствие произведенной исследовательской работы по крылу «Моноспар» (статиспытания) выяснилась непригодность данной конструкции крыла.</w:t>
            </w:r>
          </w:p>
          <w:p w14:paraId="75D95D6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 переделывается и окончательно будет готов 1 февраля 1933 года.</w:t>
            </w:r>
          </w:p>
        </w:tc>
      </w:tr>
      <w:tr w:rsidR="00F26F01" w:rsidRPr="00C33834" w14:paraId="7817B08D" w14:textId="77777777">
        <w:tc>
          <w:tcPr>
            <w:tcW w:w="3528" w:type="dxa"/>
          </w:tcPr>
          <w:p w14:paraId="3FF623C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Геликоптер …. (3 ЕА)</w:t>
            </w:r>
          </w:p>
          <w:p w14:paraId="60C729F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экземпляр построенного ранее геликоптера. Срок окончания постройки – июль 1932 года.</w:t>
            </w:r>
          </w:p>
        </w:tc>
        <w:tc>
          <w:tcPr>
            <w:tcW w:w="6361" w:type="dxa"/>
          </w:tcPr>
          <w:p w14:paraId="53A1A3B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Проведены в основном летные испытания геликоптера 1 ЕА, выявившие чрезвычайно успешные результаты, превосходящие все то, что имеется за границей в части подобных аппаратов.</w:t>
            </w:r>
          </w:p>
          <w:p w14:paraId="7B11E1F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ВГ (3 ЕА) – постройкой к настоящему времени закончен и в ближайшее время будет приступлено к его испытанию.</w:t>
            </w:r>
          </w:p>
        </w:tc>
      </w:tr>
      <w:tr w:rsidR="00F26F01" w:rsidRPr="00C33834" w14:paraId="0EBD22F7" w14:textId="77777777">
        <w:tc>
          <w:tcPr>
            <w:tcW w:w="3528" w:type="dxa"/>
          </w:tcPr>
          <w:p w14:paraId="3FDD04F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 с М11</w:t>
            </w:r>
          </w:p>
          <w:p w14:paraId="1D1529D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постройки – ноябрь 1932 года.</w:t>
            </w:r>
          </w:p>
        </w:tc>
        <w:tc>
          <w:tcPr>
            <w:tcW w:w="6361" w:type="dxa"/>
          </w:tcPr>
          <w:p w14:paraId="4FF1EA7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постройка этого аппарата почти закончена и примерно к 1 февраля 1933 года он поступит на испытания.</w:t>
            </w:r>
          </w:p>
        </w:tc>
      </w:tr>
      <w:tr w:rsidR="00F26F01" w:rsidRPr="00C33834" w14:paraId="5F7E5C75" w14:textId="77777777">
        <w:tc>
          <w:tcPr>
            <w:tcW w:w="3528" w:type="dxa"/>
          </w:tcPr>
          <w:p w14:paraId="08F30CA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 с М22</w:t>
            </w:r>
          </w:p>
          <w:p w14:paraId="6F3897D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постройки – январь 1933 года</w:t>
            </w:r>
          </w:p>
        </w:tc>
        <w:tc>
          <w:tcPr>
            <w:tcW w:w="6361" w:type="dxa"/>
          </w:tcPr>
          <w:p w14:paraId="6924F52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машины в основном закончено и основные элементы этого аппарата находятся в постройке.</w:t>
            </w:r>
          </w:p>
          <w:p w14:paraId="49DDDD4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машины ориентировочно намечается на 1 мая 1933 года. Задержка при проектировании произошла из-за невозможности своевременно подобрать конструкторские кадры и из-за целого ряда трудностей, возникших при проектировании этой машины.</w:t>
            </w:r>
          </w:p>
        </w:tc>
      </w:tr>
    </w:tbl>
    <w:p w14:paraId="0DADDDC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части винтовых аппаратов, помимо указанных объектов, была проделана следующая работа:</w:t>
      </w:r>
    </w:p>
    <w:p w14:paraId="6221FCF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4CF3BD72" w14:textId="77777777" w:rsidR="00E37239" w:rsidRPr="00C33834" w:rsidRDefault="00E37239" w:rsidP="00C33834">
      <w:pPr>
        <w:pStyle w:val="a3"/>
        <w:widowControl/>
        <w:rPr>
          <w:color w:val="000000" w:themeColor="text1"/>
          <w:lang w:val="ru-RU"/>
        </w:rPr>
      </w:pPr>
      <w:r w:rsidRPr="00C33834">
        <w:rPr>
          <w:color w:val="000000" w:themeColor="text1"/>
          <w:lang w:val="ru-RU"/>
        </w:rPr>
        <w:t>2. Автожир 2ЭА с мотором Титан 230 л.с. перепроектирован в другую машину 4ЭА, под советский мотор М-26 300 л.с. Эта машина была построена в единичном экземпляре в ЦАГИ и на ней совершены были первые полеты.</w:t>
      </w:r>
    </w:p>
    <w:p w14:paraId="3DB78D17" w14:textId="77777777" w:rsidR="00E37239" w:rsidRPr="00C33834" w:rsidRDefault="00E37239" w:rsidP="00C33834">
      <w:pPr>
        <w:numPr>
          <w:ilvl w:val="0"/>
          <w:numId w:val="8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 же машина была подготовлена к серийной постройке и была внедрена в серийное производство на Киевском заводе № 43, причем 30 ноября была выпущена первая серийная машина.</w:t>
      </w:r>
    </w:p>
    <w:p w14:paraId="45AC7A8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Помимо выпуска первой серийной машины процент готовности серии в 9 экземпляров можно сейчас оценить примерно 60-65%.</w:t>
      </w:r>
    </w:p>
    <w:p w14:paraId="04E67334" w14:textId="77777777" w:rsidR="00E37239" w:rsidRPr="00C33834" w:rsidRDefault="00E37239" w:rsidP="00C33834">
      <w:pPr>
        <w:pStyle w:val="a3"/>
        <w:widowControl/>
        <w:numPr>
          <w:ilvl w:val="0"/>
          <w:numId w:val="88"/>
        </w:numPr>
        <w:tabs>
          <w:tab w:val="left" w:pos="360"/>
        </w:tabs>
        <w:ind w:left="0" w:firstLine="0"/>
        <w:rPr>
          <w:color w:val="000000" w:themeColor="text1"/>
          <w:lang w:val="ru-RU"/>
        </w:rPr>
      </w:pPr>
      <w:r w:rsidRPr="00C33834">
        <w:rPr>
          <w:color w:val="000000" w:themeColor="text1"/>
          <w:lang w:val="ru-RU"/>
        </w:rPr>
        <w:t>Было проведено полное летное испытание первого Цаговского автожира 2ЭА, давшего летные результаты, не уступающие аналогичным заграничным машинам.</w:t>
      </w:r>
    </w:p>
    <w:p w14:paraId="17DE4EA9" w14:textId="77777777" w:rsidR="00E37239" w:rsidRPr="00C33834" w:rsidRDefault="00E37239" w:rsidP="00C33834">
      <w:pPr>
        <w:pStyle w:val="a3"/>
        <w:widowControl/>
        <w:numPr>
          <w:ilvl w:val="0"/>
          <w:numId w:val="89"/>
        </w:numPr>
        <w:tabs>
          <w:tab w:val="left" w:pos="360"/>
        </w:tabs>
        <w:ind w:left="0" w:firstLine="0"/>
        <w:rPr>
          <w:color w:val="000000" w:themeColor="text1"/>
          <w:lang w:val="ru-RU"/>
        </w:rPr>
      </w:pPr>
      <w:r w:rsidRPr="00C33834">
        <w:rPr>
          <w:color w:val="000000" w:themeColor="text1"/>
          <w:lang w:val="ru-RU"/>
        </w:rPr>
        <w:t>Проведена большая экспериментально-теоретическая работа по разработке и овладению теории винтовых аппаратов и методики их расчетов.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8"/>
        <w:gridCol w:w="6966"/>
      </w:tblGrid>
      <w:tr w:rsidR="00F26F01" w:rsidRPr="00C33834" w14:paraId="467F9D6D" w14:textId="77777777">
        <w:tc>
          <w:tcPr>
            <w:tcW w:w="3348" w:type="dxa"/>
          </w:tcPr>
          <w:p w14:paraId="467C68C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w:t>
            </w:r>
          </w:p>
          <w:p w14:paraId="2DCCB41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моторов М-34. Срок выхода на аэродром – декабрь 1932 года.</w:t>
            </w:r>
          </w:p>
        </w:tc>
        <w:tc>
          <w:tcPr>
            <w:tcW w:w="6966" w:type="dxa"/>
          </w:tcPr>
          <w:p w14:paraId="2126DF9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и установка моторов закончены.</w:t>
            </w:r>
          </w:p>
          <w:p w14:paraId="6B5C143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в декабре 1932 года был выведен на аэродром. В настоящее время готовится к полету (пробуются моторы, смазка, радиаторы и т.п.). Полет предполагается начать 20-25 января 1933 года.</w:t>
            </w:r>
          </w:p>
        </w:tc>
      </w:tr>
      <w:tr w:rsidR="00F26F01" w:rsidRPr="00C33834" w14:paraId="372C46FB" w14:textId="77777777">
        <w:tc>
          <w:tcPr>
            <w:tcW w:w="3348" w:type="dxa"/>
          </w:tcPr>
          <w:p w14:paraId="28C741B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ТШ3-М34</w:t>
            </w:r>
          </w:p>
          <w:p w14:paraId="7F31625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М34. Срок выхода на испытания – 1 июля 1933 года.</w:t>
            </w:r>
          </w:p>
          <w:p w14:paraId="2495D74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 данные и срок предложено уточнить с УВВС.</w:t>
            </w:r>
          </w:p>
        </w:tc>
        <w:tc>
          <w:tcPr>
            <w:tcW w:w="6966" w:type="dxa"/>
          </w:tcPr>
          <w:p w14:paraId="236FAF0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плану предполагалось произвести только установку мотора М34 на имеющуюся машину ТШ2 взамен М17.</w:t>
            </w:r>
          </w:p>
          <w:p w14:paraId="0E99A3C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Имея в виду, что самолет ТШ2 в настоящее время к серийному производству не намечается, а этим самым ставится вопрос о проектировании и постройке новой машины ТШ3-М34, т.е. выполнение ЦАГИ работы намечается несравненно в большем объеме, чем предполагалось. Срок выполнения проектов и постройки намечается через 9-12 месяцев после выявления лица машины со стороны УВВС и согласования с ним технических требований, каковые от УВВС только что получены.</w:t>
            </w:r>
          </w:p>
        </w:tc>
      </w:tr>
      <w:tr w:rsidR="00F26F01" w:rsidRPr="00C33834" w14:paraId="0B5A8A8A" w14:textId="77777777">
        <w:tc>
          <w:tcPr>
            <w:tcW w:w="3348" w:type="dxa"/>
          </w:tcPr>
          <w:p w14:paraId="38ABEE8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Р5-М34</w:t>
            </w:r>
          </w:p>
          <w:p w14:paraId="36EAF86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М34.</w:t>
            </w:r>
          </w:p>
          <w:p w14:paraId="6F4954B2"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 1 июля 1932 года</w:t>
            </w:r>
          </w:p>
        </w:tc>
        <w:tc>
          <w:tcPr>
            <w:tcW w:w="6966" w:type="dxa"/>
          </w:tcPr>
          <w:p w14:paraId="6B432E7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и перестановка мотора закончены в срок. Машина проходит заводские испытания и доводку моторной части.</w:t>
            </w:r>
          </w:p>
        </w:tc>
      </w:tr>
      <w:tr w:rsidR="00F26F01" w:rsidRPr="00C33834" w14:paraId="74DC4341" w14:textId="77777777">
        <w:tc>
          <w:tcPr>
            <w:tcW w:w="3348" w:type="dxa"/>
          </w:tcPr>
          <w:p w14:paraId="2B8174A0"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Р5-М17</w:t>
            </w:r>
          </w:p>
          <w:p w14:paraId="2063E33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тормозного шасси и тормозных колес.</w:t>
            </w:r>
          </w:p>
          <w:p w14:paraId="3310543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 15 августа 1932 года</w:t>
            </w:r>
          </w:p>
        </w:tc>
        <w:tc>
          <w:tcPr>
            <w:tcW w:w="6966" w:type="dxa"/>
          </w:tcPr>
          <w:p w14:paraId="147C051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исполнена в срок. Прошла заводские и государственные испытания и принята на снабжение.</w:t>
            </w:r>
          </w:p>
        </w:tc>
      </w:tr>
      <w:tr w:rsidR="00F26F01" w:rsidRPr="00C33834" w14:paraId="6E15192B" w14:textId="77777777">
        <w:tc>
          <w:tcPr>
            <w:tcW w:w="3348" w:type="dxa"/>
          </w:tcPr>
          <w:p w14:paraId="410D172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С-62 бис</w:t>
            </w:r>
          </w:p>
          <w:p w14:paraId="2E3D83B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М34.</w:t>
            </w:r>
          </w:p>
          <w:p w14:paraId="08F3C45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 1 января 1933 года.</w:t>
            </w:r>
          </w:p>
        </w:tc>
        <w:tc>
          <w:tcPr>
            <w:tcW w:w="6966" w:type="dxa"/>
          </w:tcPr>
          <w:p w14:paraId="0ABF75C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и установка мотора закончены в срок. В настоящее время проводится доводка моторного хозяйства.</w:t>
            </w:r>
          </w:p>
        </w:tc>
      </w:tr>
      <w:tr w:rsidR="00F26F01" w:rsidRPr="00C33834" w14:paraId="4C423501" w14:textId="77777777">
        <w:tc>
          <w:tcPr>
            <w:tcW w:w="3348" w:type="dxa"/>
          </w:tcPr>
          <w:p w14:paraId="3A737F5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И12-2М22</w:t>
            </w:r>
          </w:p>
          <w:p w14:paraId="7BE8AB5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Постройка второго модифицированного экземпляра.</w:t>
            </w:r>
          </w:p>
          <w:p w14:paraId="2801B25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 1 ноября 1932 года.</w:t>
            </w:r>
          </w:p>
        </w:tc>
        <w:tc>
          <w:tcPr>
            <w:tcW w:w="6966" w:type="dxa"/>
          </w:tcPr>
          <w:p w14:paraId="6423CB7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машины закончено. В постройке самолет выполнен на 80%. Дальнейшая работа задерживается получением специальных труб для пушек ДРП, изготовляемых на заводе № 8.</w:t>
            </w:r>
          </w:p>
        </w:tc>
      </w:tr>
      <w:tr w:rsidR="00F26F01" w:rsidRPr="00C33834" w14:paraId="418FF845" w14:textId="77777777">
        <w:tc>
          <w:tcPr>
            <w:tcW w:w="3348" w:type="dxa"/>
          </w:tcPr>
          <w:p w14:paraId="22F842D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Р6-2М17</w:t>
            </w:r>
          </w:p>
          <w:p w14:paraId="292976B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Увеличение емкости баков.</w:t>
            </w:r>
          </w:p>
          <w:p w14:paraId="36BC3C4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 15 мая 1932 года.</w:t>
            </w:r>
          </w:p>
        </w:tc>
        <w:tc>
          <w:tcPr>
            <w:tcW w:w="6966" w:type="dxa"/>
          </w:tcPr>
          <w:p w14:paraId="6E62061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закончена в срок.</w:t>
            </w:r>
          </w:p>
        </w:tc>
      </w:tr>
      <w:tr w:rsidR="00F26F01" w:rsidRPr="00C33834" w14:paraId="0BCD74E6" w14:textId="77777777">
        <w:tc>
          <w:tcPr>
            <w:tcW w:w="3348" w:type="dxa"/>
          </w:tcPr>
          <w:p w14:paraId="4B34422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ТБ1-2М17</w:t>
            </w:r>
          </w:p>
          <w:p w14:paraId="2EDB099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Увеличение емкости баков.</w:t>
            </w:r>
          </w:p>
          <w:p w14:paraId="240BD8D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 15 мая 1932 года.</w:t>
            </w:r>
          </w:p>
        </w:tc>
        <w:tc>
          <w:tcPr>
            <w:tcW w:w="6966" w:type="dxa"/>
          </w:tcPr>
          <w:p w14:paraId="758BB5E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закончена в срок.</w:t>
            </w:r>
          </w:p>
        </w:tc>
      </w:tr>
      <w:tr w:rsidR="00F26F01" w:rsidRPr="00C33834" w14:paraId="55458269" w14:textId="77777777">
        <w:tc>
          <w:tcPr>
            <w:tcW w:w="3348" w:type="dxa"/>
          </w:tcPr>
          <w:p w14:paraId="640A4E4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ТБ1-2М17</w:t>
            </w:r>
          </w:p>
          <w:p w14:paraId="7A69F8D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Приспособление для химических целей.</w:t>
            </w:r>
          </w:p>
          <w:p w14:paraId="4E7D5F3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 15 августа 1932 года.</w:t>
            </w:r>
          </w:p>
        </w:tc>
        <w:tc>
          <w:tcPr>
            <w:tcW w:w="6966" w:type="dxa"/>
          </w:tcPr>
          <w:p w14:paraId="3ABBE4C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вариант схемы приспособлений закончен в срок. В настоящий момент вводятся усовершенствования.</w:t>
            </w:r>
          </w:p>
        </w:tc>
      </w:tr>
      <w:tr w:rsidR="00F26F01" w:rsidRPr="00C33834" w14:paraId="03F6E9E0" w14:textId="77777777">
        <w:tc>
          <w:tcPr>
            <w:tcW w:w="3348" w:type="dxa"/>
          </w:tcPr>
          <w:p w14:paraId="66A8CC3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Р6-2М17</w:t>
            </w:r>
          </w:p>
          <w:p w14:paraId="74B00EA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на поплавки.</w:t>
            </w:r>
          </w:p>
          <w:p w14:paraId="2130373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 1 сентября 1932 года.</w:t>
            </w:r>
          </w:p>
        </w:tc>
        <w:tc>
          <w:tcPr>
            <w:tcW w:w="6966" w:type="dxa"/>
          </w:tcPr>
          <w:p w14:paraId="51C2817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Проектированием и производством работа закончена в срок. Произведены полетные испытания и получены хорошие результаты, а именно: скорость – 240 км/час при общем весе машины в 7,5 тонны.</w:t>
            </w:r>
          </w:p>
          <w:p w14:paraId="2DED4ED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докладу А.Н. Туполева начальником ВС даны указания о постройке серии.</w:t>
            </w:r>
          </w:p>
        </w:tc>
      </w:tr>
    </w:tbl>
    <w:p w14:paraId="3276E05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в результате работы ЦАГИ за 1932 год:</w:t>
      </w:r>
    </w:p>
    <w:p w14:paraId="1589124B" w14:textId="77777777" w:rsidR="00E37239" w:rsidRPr="00C33834" w:rsidRDefault="00E37239" w:rsidP="00C33834">
      <w:pPr>
        <w:numPr>
          <w:ilvl w:val="0"/>
          <w:numId w:val="9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Производится передача чертежей в серию по следующим машинам:</w:t>
      </w:r>
    </w:p>
    <w:p w14:paraId="468F92E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ТБ4-6М34 головной – заводу № 22</w:t>
      </w:r>
    </w:p>
    <w:p w14:paraId="0D04531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 – заводу № 22</w:t>
      </w:r>
    </w:p>
    <w:p w14:paraId="79F517C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МИ3-2М34 – заводу № 22</w:t>
      </w:r>
    </w:p>
    <w:p w14:paraId="4A9F5AB5"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АНТ-20-6Н34 (в пассажирском исполнении) – заводу № 22</w:t>
      </w:r>
    </w:p>
    <w:p w14:paraId="5E67AAF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МБР-2 - заводу № 45</w:t>
      </w:r>
    </w:p>
    <w:p w14:paraId="4A17B8E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Р6-М17 на поплавках – заводу № 31</w:t>
      </w:r>
    </w:p>
    <w:p w14:paraId="0B1E301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С-62 с М-34 (установка мотора) – заводу № 31</w:t>
      </w:r>
    </w:p>
    <w:p w14:paraId="2027D3F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 – тормоз. шасси – заводу № 1</w:t>
      </w:r>
    </w:p>
    <w:p w14:paraId="32FAD2D7"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ТБ1 и Р6 (модификация для увеличения дальности полета) – сдаются УВВС для производства работ на их ремонтных базах</w:t>
      </w:r>
    </w:p>
    <w:p w14:paraId="5B77597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Подготовлялись для серии чертежи самолета МДР2.</w:t>
      </w:r>
    </w:p>
    <w:p w14:paraId="0CB048DB" w14:textId="77777777" w:rsidR="00E37239" w:rsidRPr="00C33834" w:rsidRDefault="00E37239" w:rsidP="00C33834">
      <w:pPr>
        <w:numPr>
          <w:ilvl w:val="0"/>
          <w:numId w:val="9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Разработаны чертежи для серийного производства тормозных колес для самолетов Р5, И5, ТБ3, Р6, ТБ4 и МИ3.</w:t>
      </w:r>
    </w:p>
    <w:p w14:paraId="61E7C17D" w14:textId="77777777" w:rsidR="00E37239" w:rsidRPr="00C33834" w:rsidRDefault="00E37239" w:rsidP="00C33834">
      <w:pPr>
        <w:numPr>
          <w:ilvl w:val="0"/>
          <w:numId w:val="9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Разработаны и передаются в серийное производство чертежи масляных амортизаторов для самолетов ТБ4 и МИ3.</w:t>
      </w:r>
    </w:p>
    <w:p w14:paraId="12F6C0A3" w14:textId="77777777" w:rsidR="00E37239" w:rsidRPr="00C33834" w:rsidRDefault="00E37239" w:rsidP="00C33834">
      <w:pPr>
        <w:numPr>
          <w:ilvl w:val="0"/>
          <w:numId w:val="9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Разработаны и передаются в серии чертежи винтов металлической конструкции. Первые винты уже вышли из производства на заводах № 45 (Союзалюминий) и № 28.</w:t>
      </w:r>
    </w:p>
    <w:p w14:paraId="1F48FA18" w14:textId="77777777" w:rsidR="00E37239" w:rsidRPr="00C33834" w:rsidRDefault="00E37239" w:rsidP="00C33834">
      <w:pPr>
        <w:numPr>
          <w:ilvl w:val="0"/>
          <w:numId w:val="9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Р5 – первый вариант с разрезным крылом спроектирован, построен и испытан.</w:t>
      </w:r>
    </w:p>
    <w:p w14:paraId="4DAF2C2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Второй вариант спроектирован. Построен и находится на испытании.</w:t>
      </w:r>
    </w:p>
    <w:p w14:paraId="543CDDC8" w14:textId="77777777" w:rsidR="00E37239" w:rsidRPr="00C33834" w:rsidRDefault="00E37239" w:rsidP="00C33834">
      <w:pPr>
        <w:numPr>
          <w:ilvl w:val="0"/>
          <w:numId w:val="9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Изготовлены и сданы чертежи по вооружению серийным заводам №№ 22 и 32.</w:t>
      </w:r>
    </w:p>
    <w:p w14:paraId="3E151BCC"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 стрелковому вооружению:</w:t>
      </w:r>
    </w:p>
    <w:p w14:paraId="4AD8284A" w14:textId="77777777" w:rsidR="00E37239" w:rsidRPr="00C33834" w:rsidRDefault="00E37239" w:rsidP="00C33834">
      <w:pPr>
        <w:numPr>
          <w:ilvl w:val="0"/>
          <w:numId w:val="9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Носовая пушечная установка.</w:t>
      </w:r>
    </w:p>
    <w:p w14:paraId="618E8E26" w14:textId="77777777" w:rsidR="00E37239" w:rsidRPr="00C33834" w:rsidRDefault="00E37239" w:rsidP="00C33834">
      <w:pPr>
        <w:numPr>
          <w:ilvl w:val="0"/>
          <w:numId w:val="9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Реданная пулеметная установка.</w:t>
      </w:r>
    </w:p>
    <w:p w14:paraId="34F03DE5" w14:textId="77777777" w:rsidR="00E37239" w:rsidRPr="00C33834" w:rsidRDefault="00E37239" w:rsidP="00C33834">
      <w:pPr>
        <w:numPr>
          <w:ilvl w:val="0"/>
          <w:numId w:val="9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Люковая пулеметная установка.</w:t>
      </w:r>
    </w:p>
    <w:p w14:paraId="7F8337DB"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самолета МИ3, для самолета ТБ4)</w:t>
      </w:r>
    </w:p>
    <w:p w14:paraId="6802B93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 бомбардировочному вооружению:</w:t>
      </w:r>
    </w:p>
    <w:p w14:paraId="4B87E86A" w14:textId="77777777" w:rsidR="00E37239" w:rsidRPr="00C33834" w:rsidRDefault="00E37239" w:rsidP="00C33834">
      <w:pPr>
        <w:numPr>
          <w:ilvl w:val="0"/>
          <w:numId w:val="9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Укороченные балки ДР25 и ДР26.</w:t>
      </w:r>
    </w:p>
    <w:p w14:paraId="37EC1342" w14:textId="77777777" w:rsidR="00E37239" w:rsidRPr="00C33834" w:rsidRDefault="00E37239" w:rsidP="00C33834">
      <w:pPr>
        <w:numPr>
          <w:ilvl w:val="0"/>
          <w:numId w:val="10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Лебедки для этих балок.</w:t>
      </w:r>
    </w:p>
    <w:p w14:paraId="76ABA24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самолета ТБ3)</w:t>
      </w:r>
    </w:p>
    <w:p w14:paraId="317CFBFF" w14:textId="77777777" w:rsidR="00E37239" w:rsidRPr="00C33834" w:rsidRDefault="00E37239" w:rsidP="00C33834">
      <w:pPr>
        <w:numPr>
          <w:ilvl w:val="0"/>
          <w:numId w:val="10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Замок кассетного бомбодержателя КАДОТ для 1000 кг бомб – самолет ТБ4.</w:t>
      </w:r>
    </w:p>
    <w:p w14:paraId="22DC31B1" w14:textId="77777777" w:rsidR="00E37239" w:rsidRPr="00C33834" w:rsidRDefault="00E37239" w:rsidP="00C33834">
      <w:pPr>
        <w:numPr>
          <w:ilvl w:val="0"/>
          <w:numId w:val="10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Кассетный бомбодержатель КД3 для 250-500 кг бомб – для самолета ТБ4.</w:t>
      </w:r>
    </w:p>
    <w:p w14:paraId="746B14C9" w14:textId="77777777" w:rsidR="00E37239" w:rsidRPr="00C33834" w:rsidRDefault="00E37239" w:rsidP="00C33834">
      <w:pPr>
        <w:numPr>
          <w:ilvl w:val="0"/>
          <w:numId w:val="10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Сдаются бомбодержатели КБ2 для самолетов ТБ3 и ТБ4.</w:t>
      </w:r>
    </w:p>
    <w:p w14:paraId="4B0959C8" w14:textId="77777777" w:rsidR="00E37239" w:rsidRPr="00C33834" w:rsidRDefault="00E37239" w:rsidP="00C33834">
      <w:pPr>
        <w:numPr>
          <w:ilvl w:val="0"/>
          <w:numId w:val="10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СР-электросбрасыватель для разведчиков.</w:t>
      </w:r>
    </w:p>
    <w:p w14:paraId="40C623C0" w14:textId="77777777" w:rsidR="00E37239" w:rsidRPr="00C33834" w:rsidRDefault="00E37239" w:rsidP="00C33834">
      <w:pPr>
        <w:numPr>
          <w:ilvl w:val="0"/>
          <w:numId w:val="10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СИ-электросбрасыватель для истребителя.</w:t>
      </w:r>
    </w:p>
    <w:p w14:paraId="0C564B47" w14:textId="77777777" w:rsidR="00E37239" w:rsidRPr="00C33834" w:rsidRDefault="00E37239" w:rsidP="00C33834">
      <w:pPr>
        <w:numPr>
          <w:ilvl w:val="0"/>
          <w:numId w:val="10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ДО1 – бомбодержатель для бомб от 25 до 500 кг.</w:t>
      </w:r>
    </w:p>
    <w:p w14:paraId="6592A40E" w14:textId="77777777" w:rsidR="00E37239" w:rsidRPr="00C33834" w:rsidRDefault="00E37239" w:rsidP="00C33834">
      <w:pPr>
        <w:numPr>
          <w:ilvl w:val="0"/>
          <w:numId w:val="10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Лебедка ДО1.</w:t>
      </w:r>
    </w:p>
    <w:p w14:paraId="45AC8EF1" w14:textId="77777777" w:rsidR="00E37239" w:rsidRPr="00C33834" w:rsidRDefault="00E37239" w:rsidP="00C33834">
      <w:pPr>
        <w:numPr>
          <w:ilvl w:val="0"/>
          <w:numId w:val="10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Лебедка КБ2.</w:t>
      </w:r>
    </w:p>
    <w:p w14:paraId="07F495EF"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 химическому вооружению:</w:t>
      </w:r>
    </w:p>
    <w:p w14:paraId="4D28B842" w14:textId="77777777" w:rsidR="00E37239" w:rsidRPr="00C33834" w:rsidRDefault="00E37239" w:rsidP="00C33834">
      <w:pPr>
        <w:numPr>
          <w:ilvl w:val="0"/>
          <w:numId w:val="10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ДАП на Дорневаль.</w:t>
      </w:r>
    </w:p>
    <w:p w14:paraId="2E318BED" w14:textId="77777777" w:rsidR="00E37239" w:rsidRPr="00C33834" w:rsidRDefault="00E37239" w:rsidP="00C33834">
      <w:pPr>
        <w:numPr>
          <w:ilvl w:val="0"/>
          <w:numId w:val="11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ДАП и ВАП на С-62 и МБР4.</w:t>
      </w:r>
    </w:p>
    <w:p w14:paraId="3DD1D5AB" w14:textId="77777777" w:rsidR="00E37239" w:rsidRPr="00C33834" w:rsidRDefault="00E37239" w:rsidP="00C33834">
      <w:pPr>
        <w:numPr>
          <w:ilvl w:val="0"/>
          <w:numId w:val="11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ДАП для ТБ1.</w:t>
      </w:r>
    </w:p>
    <w:p w14:paraId="35FEE168" w14:textId="77777777" w:rsidR="00E37239" w:rsidRPr="00C33834" w:rsidRDefault="00E37239" w:rsidP="00C33834">
      <w:pPr>
        <w:numPr>
          <w:ilvl w:val="0"/>
          <w:numId w:val="11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ДАП для Р5.</w:t>
      </w:r>
    </w:p>
    <w:p w14:paraId="0E1A15EC" w14:textId="77777777" w:rsidR="00E37239" w:rsidRPr="00C33834" w:rsidRDefault="00E37239" w:rsidP="00C33834">
      <w:pPr>
        <w:numPr>
          <w:ilvl w:val="0"/>
          <w:numId w:val="11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ВАП для Р5.</w:t>
      </w:r>
    </w:p>
    <w:p w14:paraId="19C7A89F" w14:textId="77777777" w:rsidR="00E37239" w:rsidRPr="00C33834" w:rsidRDefault="00E37239" w:rsidP="00C33834">
      <w:pPr>
        <w:pStyle w:val="a3"/>
        <w:widowControl/>
        <w:rPr>
          <w:color w:val="000000" w:themeColor="text1"/>
          <w:lang w:val="ru-RU"/>
        </w:rPr>
      </w:pPr>
      <w:r w:rsidRPr="00C33834">
        <w:rPr>
          <w:color w:val="000000" w:themeColor="text1"/>
          <w:lang w:val="ru-RU"/>
        </w:rPr>
        <w:t>7. а) Разработаны рабочие чертежи и карты технологических процессов для серийного завода № 21 по самолету И5.</w:t>
      </w:r>
    </w:p>
    <w:p w14:paraId="1B9CA3D8"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Разработаны рабочие чертежи и карты технологических процессов по самолету ТШ2-М17 для завода № 16.</w:t>
      </w:r>
    </w:p>
    <w:p w14:paraId="6346654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том числе внеплановых работ ЦАГИ исполнил в 1932 году.</w:t>
      </w:r>
    </w:p>
    <w:p w14:paraId="1EA7CCB4"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32 узла для завода № 22 к самолету ТБ3;</w:t>
      </w:r>
    </w:p>
    <w:p w14:paraId="2664D78E"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стапели для оперения, фюзеляжа и других деталей;</w:t>
      </w:r>
    </w:p>
    <w:p w14:paraId="05AE24FA"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комплекты арматуры самолета ТБ3;</w:t>
      </w:r>
    </w:p>
    <w:p w14:paraId="04CD3BC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балки к бомбодержателям для самолета ТБ3;</w:t>
      </w:r>
    </w:p>
    <w:p w14:paraId="5079FFAD"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гондолы двух дирижаблей;</w:t>
      </w:r>
    </w:p>
    <w:p w14:paraId="7352824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 хвостовое оперение и стабилизаторы дирижаблей;</w:t>
      </w:r>
    </w:p>
    <w:p w14:paraId="3F5C2C31"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 электронные отливки для тормозных колес и пр. (3530,70-86).</w:t>
      </w:r>
    </w:p>
    <w:p w14:paraId="4E182459" w14:textId="77777777" w:rsidR="00E37239" w:rsidRPr="00C33834" w:rsidRDefault="00E37239" w:rsidP="00C33834">
      <w:pPr>
        <w:spacing w:after="0" w:line="240" w:lineRule="auto"/>
        <w:jc w:val="both"/>
        <w:rPr>
          <w:rFonts w:ascii="Times New Roman" w:hAnsi="Times New Roman"/>
          <w:color w:val="000000" w:themeColor="text1"/>
          <w:sz w:val="16"/>
          <w:szCs w:val="16"/>
        </w:rPr>
      </w:pPr>
    </w:p>
    <w:p w14:paraId="0F374E4A" w14:textId="77777777" w:rsidR="004539AF" w:rsidRPr="00C33834" w:rsidRDefault="004539AF" w:rsidP="00C33834">
      <w:pPr>
        <w:pStyle w:val="a3"/>
        <w:rPr>
          <w:color w:val="000000" w:themeColor="text1"/>
          <w:lang w:val="ru-RU"/>
        </w:rPr>
      </w:pPr>
      <w:r w:rsidRPr="00C33834">
        <w:rPr>
          <w:color w:val="000000" w:themeColor="text1"/>
          <w:lang w:val="ru-RU"/>
        </w:rPr>
        <w:t>25 января 1933 при обсуждении проекта более мощного корабля полужесткой конструкции СССР В-6 (объем - 18500 м</w:t>
      </w:r>
      <w:r w:rsidRPr="00C33834">
        <w:rPr>
          <w:color w:val="000000" w:themeColor="text1"/>
          <w:vertAlign w:val="superscript"/>
          <w:lang w:val="ru-RU"/>
        </w:rPr>
        <w:t>3</w:t>
      </w:r>
      <w:r w:rsidRPr="00C33834">
        <w:rPr>
          <w:color w:val="000000" w:themeColor="text1"/>
          <w:lang w:val="ru-RU"/>
        </w:rPr>
        <w:t>) по типу «Италии» на со</w:t>
      </w:r>
      <w:r w:rsidRPr="00C33834">
        <w:rPr>
          <w:color w:val="000000" w:themeColor="text1"/>
          <w:lang w:val="ru-RU"/>
        </w:rPr>
        <w:softHyphen/>
        <w:t>вместном заседании коллегии «Аэрофлота» и Технического совета «Дирижаблестроя» Нобиле ожидал «сюрприз» - жесткий отзыв НИИ ВВС РККА о непригодности использо</w:t>
      </w:r>
      <w:r w:rsidRPr="00C33834">
        <w:rPr>
          <w:color w:val="000000" w:themeColor="text1"/>
          <w:lang w:val="ru-RU"/>
        </w:rPr>
        <w:softHyphen/>
        <w:t>вания В-6 в военных целях в полном объеме:</w:t>
      </w:r>
    </w:p>
    <w:p w14:paraId="57C32C32" w14:textId="77777777" w:rsidR="004539AF" w:rsidRPr="00C33834" w:rsidRDefault="004539AF" w:rsidP="00C33834">
      <w:pPr>
        <w:pStyle w:val="a3"/>
        <w:tabs>
          <w:tab w:val="left" w:pos="423"/>
        </w:tabs>
        <w:autoSpaceDE/>
        <w:autoSpaceDN/>
        <w:adjustRightInd/>
        <w:rPr>
          <w:color w:val="000000" w:themeColor="text1"/>
          <w:lang w:val="ru-RU"/>
        </w:rPr>
      </w:pPr>
      <w:r w:rsidRPr="00C33834">
        <w:rPr>
          <w:color w:val="000000" w:themeColor="text1"/>
          <w:lang w:val="ru-RU"/>
        </w:rPr>
        <w:t>- малая высота полета (до 4500 м при необходимых 6000-8000 м);</w:t>
      </w:r>
    </w:p>
    <w:p w14:paraId="758366A8" w14:textId="77777777" w:rsidR="004539AF" w:rsidRPr="00C33834" w:rsidRDefault="004539AF" w:rsidP="00C33834">
      <w:pPr>
        <w:pStyle w:val="a3"/>
        <w:tabs>
          <w:tab w:val="left" w:pos="418"/>
        </w:tabs>
        <w:autoSpaceDE/>
        <w:autoSpaceDN/>
        <w:adjustRightInd/>
        <w:rPr>
          <w:color w:val="000000" w:themeColor="text1"/>
          <w:lang w:val="ru-RU"/>
        </w:rPr>
      </w:pPr>
      <w:r w:rsidRPr="00C33834">
        <w:rPr>
          <w:color w:val="000000" w:themeColor="text1"/>
          <w:lang w:val="ru-RU"/>
        </w:rPr>
        <w:t>- отсутствие пулеметного вооружения (их схем), подвесок для бомбовых (до 3 т) и военных (до 5 т) грузов;</w:t>
      </w:r>
    </w:p>
    <w:p w14:paraId="4D063BD5" w14:textId="77777777" w:rsidR="004539AF" w:rsidRPr="00C33834" w:rsidRDefault="004539AF" w:rsidP="00C33834">
      <w:pPr>
        <w:pStyle w:val="a3"/>
        <w:tabs>
          <w:tab w:val="left" w:pos="423"/>
        </w:tabs>
        <w:autoSpaceDE/>
        <w:autoSpaceDN/>
        <w:adjustRightInd/>
        <w:rPr>
          <w:color w:val="000000" w:themeColor="text1"/>
          <w:lang w:val="ru-RU"/>
        </w:rPr>
      </w:pPr>
      <w:r w:rsidRPr="00C33834">
        <w:rPr>
          <w:color w:val="000000" w:themeColor="text1"/>
          <w:lang w:val="ru-RU"/>
        </w:rPr>
        <w:t>- не решен вопрос с размещением на корабле воинской команды (до 50 бойцов);</w:t>
      </w:r>
    </w:p>
    <w:p w14:paraId="03323D83" w14:textId="77777777" w:rsidR="004539AF" w:rsidRPr="00C33834" w:rsidRDefault="004539AF" w:rsidP="00C33834">
      <w:pPr>
        <w:pStyle w:val="a3"/>
        <w:tabs>
          <w:tab w:val="left" w:pos="394"/>
        </w:tabs>
        <w:autoSpaceDE/>
        <w:autoSpaceDN/>
        <w:adjustRightInd/>
        <w:rPr>
          <w:color w:val="000000" w:themeColor="text1"/>
          <w:lang w:val="ru-RU"/>
        </w:rPr>
      </w:pPr>
      <w:r w:rsidRPr="00C33834">
        <w:rPr>
          <w:color w:val="000000" w:themeColor="text1"/>
          <w:lang w:val="ru-RU"/>
        </w:rPr>
        <w:t>- не допускалось и применение моторов иностранного производства (12732).</w:t>
      </w:r>
    </w:p>
    <w:p w14:paraId="396E89FB" w14:textId="77777777" w:rsidR="004539AF" w:rsidRPr="00C33834" w:rsidRDefault="004539AF" w:rsidP="00C33834">
      <w:pPr>
        <w:spacing w:after="0" w:line="240" w:lineRule="auto"/>
        <w:jc w:val="both"/>
        <w:rPr>
          <w:rFonts w:ascii="Times New Roman" w:hAnsi="Times New Roman"/>
          <w:color w:val="000000" w:themeColor="text1"/>
          <w:sz w:val="16"/>
          <w:szCs w:val="16"/>
        </w:rPr>
      </w:pPr>
    </w:p>
    <w:p w14:paraId="60B02F49"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25 января по 19 марта 1933 Н.М.Харламов ездил в Германию и Францию (273,299).</w:t>
      </w:r>
    </w:p>
    <w:p w14:paraId="6212F0D7" w14:textId="77777777" w:rsidR="00E37239" w:rsidRPr="00C33834" w:rsidRDefault="00E37239" w:rsidP="00C33834">
      <w:pPr>
        <w:spacing w:after="0" w:line="240" w:lineRule="auto"/>
        <w:jc w:val="both"/>
        <w:rPr>
          <w:rFonts w:ascii="Times New Roman" w:hAnsi="Times New Roman"/>
          <w:color w:val="000000" w:themeColor="text1"/>
          <w:sz w:val="16"/>
          <w:szCs w:val="16"/>
        </w:rPr>
      </w:pPr>
    </w:p>
    <w:p w14:paraId="0BAE4279" w14:textId="77777777" w:rsidR="00E372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738D1AE" w14:textId="77777777" w:rsidR="00E37239" w:rsidRPr="00C33834" w:rsidRDefault="00E37239" w:rsidP="00C33834">
      <w:pPr>
        <w:spacing w:after="0" w:line="240" w:lineRule="auto"/>
        <w:jc w:val="both"/>
        <w:rPr>
          <w:rFonts w:ascii="Times New Roman" w:hAnsi="Times New Roman"/>
          <w:iCs/>
          <w:color w:val="000000" w:themeColor="text1"/>
          <w:sz w:val="16"/>
          <w:szCs w:val="16"/>
        </w:rPr>
      </w:pPr>
    </w:p>
    <w:p w14:paraId="19D0E31E" w14:textId="77777777" w:rsidR="00991BE3" w:rsidRPr="00C33834" w:rsidRDefault="00991BE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25 по 29 января 1933 года на Научно-испытательном артиллерийском полигоне (НИАП) прошли испытания стрельбой мотоброневагона Д-6 Дыренкова в объеме 101 выстрел - первое орудие 65, второе 36. В выводах отмечалось:</w:t>
      </w:r>
    </w:p>
    <w:p w14:paraId="7DA5C6BE" w14:textId="77777777" w:rsidR="00991BE3" w:rsidRPr="00C33834" w:rsidRDefault="00991BE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Мотоброневагон при стрельбе устойчив, и никакого видимого влияния на корпус стрельба не оказала. Нахождение личного состава в вагоне во время артиллерийской стрельбы никаких опасений не вызывает.</w:t>
      </w:r>
    </w:p>
    <w:p w14:paraId="5BC666DA" w14:textId="77777777" w:rsidR="00991BE3" w:rsidRPr="00C33834" w:rsidRDefault="00991BE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Обслуживание орудий при стрельбе крайне неудобно» (15624).</w:t>
      </w:r>
    </w:p>
    <w:p w14:paraId="65648E89" w14:textId="77777777" w:rsidR="00991BE3" w:rsidRPr="00C33834" w:rsidRDefault="00991BE3" w:rsidP="00C33834">
      <w:pPr>
        <w:spacing w:after="0" w:line="240" w:lineRule="auto"/>
        <w:jc w:val="both"/>
        <w:rPr>
          <w:rFonts w:ascii="Times New Roman" w:hAnsi="Times New Roman"/>
          <w:color w:val="000000" w:themeColor="text1"/>
          <w:sz w:val="16"/>
          <w:szCs w:val="16"/>
        </w:rPr>
      </w:pPr>
    </w:p>
    <w:p w14:paraId="5DBD19B3" w14:textId="77777777" w:rsidR="00342052" w:rsidRPr="00C33834" w:rsidRDefault="003420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25 по 29 января 1933 года на Научноиспытательном артиллерийском полигоне (НИАП) прошли испытания мотоброневагона Д-6 стрельбой в объеме 101 выстрел - первое орудие 65, второе 36. В выводах отмечалось:</w:t>
      </w:r>
    </w:p>
    <w:p w14:paraId="3A8FD280" w14:textId="77777777" w:rsidR="00342052" w:rsidRPr="00C33834" w:rsidRDefault="003420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Мото-броневагон при стрельбе устойчив, и никакого видимого влияния на корпус стрельба не оказала. Нахождение личного состава в вагоне во время артиллерийской стрельбы никаких опасений не вызывает. </w:t>
      </w:r>
    </w:p>
    <w:p w14:paraId="3A8B569C" w14:textId="77777777" w:rsidR="00342052" w:rsidRPr="00C33834" w:rsidRDefault="003420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Обслуживание орудий при стрельбе крайне неудобно» (18626). </w:t>
      </w:r>
    </w:p>
    <w:p w14:paraId="0E867DE9" w14:textId="77777777" w:rsidR="00342052" w:rsidRPr="00C33834" w:rsidRDefault="00342052" w:rsidP="00C33834">
      <w:pPr>
        <w:spacing w:after="0" w:line="240" w:lineRule="auto"/>
        <w:jc w:val="both"/>
        <w:rPr>
          <w:rFonts w:ascii="Times New Roman" w:hAnsi="Times New Roman"/>
          <w:color w:val="000000" w:themeColor="text1"/>
          <w:sz w:val="16"/>
          <w:szCs w:val="16"/>
        </w:rPr>
      </w:pPr>
    </w:p>
    <w:p w14:paraId="589901F3" w14:textId="77777777" w:rsidR="00991BE3" w:rsidRPr="00C33834" w:rsidRDefault="00991BE3" w:rsidP="00C33834">
      <w:pPr>
        <w:pStyle w:val="rtejustify"/>
        <w:spacing w:before="0" w:after="0"/>
        <w:rPr>
          <w:color w:val="000000" w:themeColor="text1"/>
          <w:sz w:val="16"/>
          <w:szCs w:val="16"/>
        </w:rPr>
      </w:pPr>
      <w:r w:rsidRPr="00C33834">
        <w:rPr>
          <w:rStyle w:val="af0"/>
          <w:bCs/>
          <w:i w:val="0"/>
          <w:color w:val="000000" w:themeColor="text1"/>
          <w:sz w:val="16"/>
          <w:szCs w:val="16"/>
        </w:rPr>
        <w:t>25 января</w:t>
      </w:r>
      <w:r w:rsidRPr="00C33834">
        <w:rPr>
          <w:color w:val="000000" w:themeColor="text1"/>
          <w:sz w:val="16"/>
          <w:szCs w:val="16"/>
        </w:rPr>
        <w:t xml:space="preserve"> 1933 вышел приказ РВСС № 2. 5. Утверждение общего проекта подлодки «Щука Б» (Малинин). 12. О ходе договорной кампании в НКВМ (Хрулев). (РГВА. Ф. 4. Оп. 18. Д. 23. Л. 23, 25) (15461).</w:t>
      </w:r>
    </w:p>
    <w:p w14:paraId="00ECAADC" w14:textId="77777777" w:rsidR="00991BE3" w:rsidRPr="00C33834" w:rsidRDefault="00991BE3" w:rsidP="00C33834">
      <w:pPr>
        <w:pStyle w:val="rtejustify"/>
        <w:spacing w:before="0" w:after="0"/>
        <w:rPr>
          <w:rStyle w:val="af0"/>
          <w:bCs/>
          <w:i w:val="0"/>
          <w:color w:val="000000" w:themeColor="text1"/>
          <w:sz w:val="16"/>
          <w:szCs w:val="16"/>
        </w:rPr>
      </w:pPr>
    </w:p>
    <w:p w14:paraId="12637CC3"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января 1933 г. Эскизный проект ЩБ был утвержден Реввоенсоветом СССР. ЦКБС-2 (так стало называться Техбюро № 4) под руководством К. К. Перцева одновременно с разработкой общего проекта Убис серии разработало улучшенный проект средней лодки VIII серии — по заданию на "Щуку-Б" (ЩБ). Назначение ее, наряду с самостоятельными действиями на позиции, включало совмест</w:t>
      </w:r>
      <w:r w:rsidRPr="00C33834">
        <w:rPr>
          <w:rFonts w:ascii="Times New Roman" w:hAnsi="Times New Roman"/>
          <w:color w:val="000000" w:themeColor="text1"/>
          <w:sz w:val="16"/>
          <w:szCs w:val="16"/>
        </w:rPr>
        <w:softHyphen/>
        <w:t>ные действия с надводными кораблями против "боевых и торговых судов", а также постановку мин у баз и на коммуникациях против</w:t>
      </w:r>
      <w:r w:rsidRPr="00C33834">
        <w:rPr>
          <w:rFonts w:ascii="Times New Roman" w:hAnsi="Times New Roman"/>
          <w:color w:val="000000" w:themeColor="text1"/>
          <w:sz w:val="16"/>
          <w:szCs w:val="16"/>
        </w:rPr>
        <w:softHyphen/>
        <w:t>ника. Проект новой лодки при надводном водоизмещении 640 т и аналогичном "Щуке" торпедном вооружении предусматривал мин</w:t>
      </w:r>
      <w:r w:rsidRPr="00C33834">
        <w:rPr>
          <w:rFonts w:ascii="Times New Roman" w:hAnsi="Times New Roman"/>
          <w:color w:val="000000" w:themeColor="text1"/>
          <w:sz w:val="16"/>
          <w:szCs w:val="16"/>
        </w:rPr>
        <w:softHyphen/>
        <w:t>ное вооружение из 10 мин и более сильную артиллерию. Достиже</w:t>
      </w:r>
      <w:r w:rsidRPr="00C33834">
        <w:rPr>
          <w:rFonts w:ascii="Times New Roman" w:hAnsi="Times New Roman"/>
          <w:color w:val="000000" w:themeColor="text1"/>
          <w:sz w:val="16"/>
          <w:szCs w:val="16"/>
        </w:rPr>
        <w:softHyphen/>
        <w:t>ние 17,5-уз надводной скорости обеспечивалось установкой трех дизелей типа 38-К-8. Предполагалось выполнить прочный корпус клепаным, а легкий с булевыми обводами — полностью сварным. "Щука-Б" имела несомненные преимущества перед лодками серий III и V, а вооружение ее минами отвечало насущным требо</w:t>
      </w:r>
      <w:r w:rsidRPr="00C33834">
        <w:rPr>
          <w:rFonts w:ascii="Times New Roman" w:hAnsi="Times New Roman"/>
          <w:color w:val="000000" w:themeColor="text1"/>
          <w:sz w:val="16"/>
          <w:szCs w:val="16"/>
        </w:rPr>
        <w:softHyphen/>
        <w:t>ваниям не только Балтийского, но и других флотов. Тем не менее, реализация проекта встретила возражения промышленности, по</w:t>
      </w:r>
      <w:r w:rsidRPr="00C33834">
        <w:rPr>
          <w:rFonts w:ascii="Times New Roman" w:hAnsi="Times New Roman"/>
          <w:color w:val="000000" w:themeColor="text1"/>
          <w:sz w:val="16"/>
          <w:szCs w:val="16"/>
        </w:rPr>
        <w:softHyphen/>
        <w:t>ставившей к этому времени строительство "Щук" на шести заводах. Переход к новому типу грозил увеличением сроков постройки оче</w:t>
      </w:r>
      <w:r w:rsidRPr="00C33834">
        <w:rPr>
          <w:rFonts w:ascii="Times New Roman" w:hAnsi="Times New Roman"/>
          <w:color w:val="000000" w:themeColor="text1"/>
          <w:sz w:val="16"/>
          <w:szCs w:val="16"/>
        </w:rPr>
        <w:softHyphen/>
        <w:t>редной серии. Кроме того, руководство УВМС параллельно вело пе</w:t>
      </w:r>
      <w:r w:rsidRPr="00C33834">
        <w:rPr>
          <w:rFonts w:ascii="Times New Roman" w:hAnsi="Times New Roman"/>
          <w:color w:val="000000" w:themeColor="text1"/>
          <w:sz w:val="16"/>
          <w:szCs w:val="16"/>
        </w:rPr>
        <w:softHyphen/>
        <w:t>реговоры с иностранными фирмами ("Дешимаг") о приобретении качественно нового проекта средней лодки для серийной построй</w:t>
      </w:r>
      <w:r w:rsidRPr="00C33834">
        <w:rPr>
          <w:rFonts w:ascii="Times New Roman" w:hAnsi="Times New Roman"/>
          <w:color w:val="000000" w:themeColor="text1"/>
          <w:sz w:val="16"/>
          <w:szCs w:val="16"/>
        </w:rPr>
        <w:softHyphen/>
        <w:t>ки. Поэтому наморси Орлов согласился на строительство 13 под</w:t>
      </w:r>
      <w:r w:rsidRPr="00C33834">
        <w:rPr>
          <w:rFonts w:ascii="Times New Roman" w:hAnsi="Times New Roman"/>
          <w:color w:val="000000" w:themeColor="text1"/>
          <w:sz w:val="16"/>
          <w:szCs w:val="16"/>
        </w:rPr>
        <w:softHyphen/>
        <w:t>водных лодок по улучшенному в очередной раз проекту "Щуки", от</w:t>
      </w:r>
      <w:r w:rsidRPr="00C33834">
        <w:rPr>
          <w:rFonts w:ascii="Times New Roman" w:hAnsi="Times New Roman"/>
          <w:color w:val="000000" w:themeColor="text1"/>
          <w:sz w:val="16"/>
          <w:szCs w:val="16"/>
        </w:rPr>
        <w:softHyphen/>
        <w:t>несенным к Убис — II серии (3898).</w:t>
      </w:r>
    </w:p>
    <w:p w14:paraId="0DB5F938" w14:textId="77777777" w:rsidR="00E37239" w:rsidRPr="00C33834" w:rsidRDefault="00E37239" w:rsidP="00C33834">
      <w:pPr>
        <w:spacing w:after="0" w:line="240" w:lineRule="auto"/>
        <w:jc w:val="both"/>
        <w:rPr>
          <w:rFonts w:ascii="Times New Roman" w:hAnsi="Times New Roman"/>
          <w:color w:val="000000" w:themeColor="text1"/>
          <w:sz w:val="16"/>
          <w:szCs w:val="16"/>
        </w:rPr>
      </w:pPr>
    </w:p>
    <w:p w14:paraId="1926970D" w14:textId="77777777" w:rsidR="00E372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787D844E" w14:textId="77777777" w:rsidR="00E37239" w:rsidRPr="00C33834" w:rsidRDefault="00E37239" w:rsidP="00C33834">
      <w:pPr>
        <w:spacing w:after="0" w:line="240" w:lineRule="auto"/>
        <w:jc w:val="both"/>
        <w:rPr>
          <w:rFonts w:ascii="Times New Roman" w:hAnsi="Times New Roman"/>
          <w:iCs/>
          <w:color w:val="000000" w:themeColor="text1"/>
          <w:sz w:val="16"/>
          <w:szCs w:val="16"/>
        </w:rPr>
      </w:pPr>
    </w:p>
    <w:p w14:paraId="02499DD6" w14:textId="77777777" w:rsidR="00E37239" w:rsidRPr="00C33834" w:rsidRDefault="00E372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января 1933 в Германии была антифашистская рабочая демонстрация (3186).</w:t>
      </w:r>
    </w:p>
    <w:p w14:paraId="5D38CF6A" w14:textId="77777777" w:rsidR="00E37239" w:rsidRPr="00C33834" w:rsidRDefault="00E37239" w:rsidP="00C33834">
      <w:pPr>
        <w:spacing w:after="0" w:line="240" w:lineRule="auto"/>
        <w:jc w:val="both"/>
        <w:rPr>
          <w:rFonts w:ascii="Times New Roman" w:hAnsi="Times New Roman"/>
          <w:color w:val="000000" w:themeColor="text1"/>
          <w:sz w:val="16"/>
          <w:szCs w:val="16"/>
        </w:rPr>
      </w:pPr>
    </w:p>
    <w:p w14:paraId="677A09F2" w14:textId="77777777" w:rsidR="001A7A4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FDC8418" w14:textId="77777777" w:rsidR="001A7A44" w:rsidRPr="00C33834" w:rsidRDefault="001A7A4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9C47E3C"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января 1933 были представлены техтребования к самолету Х1-2М34 (7415, 16).</w:t>
      </w:r>
    </w:p>
    <w:p w14:paraId="622BA4C1"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3F5C5B9A"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января 1933 был подготовлен Доклад пред. КОС проектом постановления О срыве поставок самолетных радиостанций за 1932 год и о сроках поставки на 1933 год (3082).</w:t>
      </w:r>
    </w:p>
    <w:p w14:paraId="5532F477"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1ED96B0D" w14:textId="77777777" w:rsidR="001A7A4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5EC81D4" w14:textId="77777777" w:rsidR="001A7A44" w:rsidRPr="00C33834" w:rsidRDefault="001A7A4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D3D6D05"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января 1933 г. в ходе стрельб из переделанной экстрадальней пушки № 281, которая к началу 30-х годов была совершенно расстреляна (гладкая часть канала длиной 30 калибров была убрана, а в ствол вставлена внутренняя труба с полигональной нарезкой. В сечении канал этой пушки представлял правильный многоугольник с диаметром описанной окружности 90 мм, и вписанной 78 мм), полигональный снаряд весом 7,75 кг и длиной 5,3 калибров имел начальную скорость 1120 м/с, давление в канале было около 3500 атм. Причем впервые был отмечен правильный полет снаряда, до этого полигональные снаряды кувыркались (3861).</w:t>
      </w:r>
    </w:p>
    <w:p w14:paraId="288C2BD7"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247A9479" w14:textId="77777777" w:rsidR="00991BE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D9EB6BC" w14:textId="77777777" w:rsidR="00991BE3" w:rsidRPr="00C33834" w:rsidRDefault="00991BE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CD4F66F" w14:textId="77777777" w:rsidR="00991BE3" w:rsidRPr="00C33834" w:rsidRDefault="00991BE3"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26 января</w:t>
      </w:r>
      <w:r w:rsidRPr="00C33834">
        <w:rPr>
          <w:rFonts w:ascii="Times New Roman" w:hAnsi="Times New Roman"/>
          <w:color w:val="000000" w:themeColor="text1"/>
          <w:sz w:val="16"/>
          <w:szCs w:val="16"/>
        </w:rPr>
        <w:t xml:space="preserve"> в 1933 году самолет </w:t>
      </w:r>
      <w:hyperlink r:id="rId50" w:tgtFrame="_blank" w:history="1">
        <w:r w:rsidRPr="00C33834">
          <w:rPr>
            <w:rFonts w:ascii="Times New Roman" w:hAnsi="Times New Roman"/>
            <w:color w:val="000000" w:themeColor="text1"/>
            <w:sz w:val="16"/>
            <w:szCs w:val="16"/>
          </w:rPr>
          <w:t xml:space="preserve">«Liore-et-Olivier LeO» «H-255» </w:t>
        </w:r>
      </w:hyperlink>
      <w:r w:rsidRPr="00C33834">
        <w:rPr>
          <w:rFonts w:ascii="Times New Roman" w:hAnsi="Times New Roman"/>
          <w:color w:val="000000" w:themeColor="text1"/>
          <w:sz w:val="16"/>
          <w:szCs w:val="16"/>
        </w:rPr>
        <w:t>поднял груз в 500 кг на 9532 метров (15021).</w:t>
      </w:r>
    </w:p>
    <w:p w14:paraId="30FEB347" w14:textId="77777777" w:rsidR="00991BE3" w:rsidRPr="00C33834" w:rsidRDefault="00991BE3" w:rsidP="00C33834">
      <w:pPr>
        <w:spacing w:after="0" w:line="240" w:lineRule="auto"/>
        <w:jc w:val="both"/>
        <w:rPr>
          <w:rFonts w:ascii="Times New Roman" w:hAnsi="Times New Roman"/>
          <w:color w:val="000000" w:themeColor="text1"/>
          <w:sz w:val="16"/>
          <w:szCs w:val="16"/>
        </w:rPr>
      </w:pPr>
    </w:p>
    <w:p w14:paraId="29D83449" w14:textId="77777777" w:rsidR="00E371D8" w:rsidRPr="00C33834" w:rsidRDefault="00E371D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26 января 1933 - Установлен мировой рекорд: самолет Liore-et-Olivier LeO H-255 поднял груз в 500 кг на 9532 метров (22643).</w:t>
      </w:r>
    </w:p>
    <w:p w14:paraId="665A95C8" w14:textId="77777777" w:rsidR="00E371D8" w:rsidRPr="00C33834" w:rsidRDefault="00E371D8" w:rsidP="00C33834">
      <w:pPr>
        <w:shd w:val="clear" w:color="auto" w:fill="FFFFFF"/>
        <w:spacing w:after="0" w:line="240" w:lineRule="auto"/>
        <w:jc w:val="both"/>
        <w:rPr>
          <w:rFonts w:ascii="Times New Roman" w:hAnsi="Times New Roman"/>
          <w:color w:val="0070C0"/>
          <w:sz w:val="16"/>
          <w:szCs w:val="16"/>
        </w:rPr>
      </w:pPr>
    </w:p>
    <w:p w14:paraId="3630720D" w14:textId="77777777" w:rsidR="001A7A4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B942C98" w14:textId="77777777" w:rsidR="001A7A44" w:rsidRPr="00C33834" w:rsidRDefault="001A7A4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E7FB52E"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27 января 1933 г. 3-я серия («В») М-34 из 100 штук бла</w:t>
      </w:r>
      <w:r w:rsidRPr="00C33834">
        <w:rPr>
          <w:rFonts w:ascii="Times New Roman" w:hAnsi="Times New Roman"/>
          <w:color w:val="000000" w:themeColor="text1"/>
          <w:sz w:val="16"/>
          <w:szCs w:val="16"/>
        </w:rPr>
        <w:softHyphen/>
        <w:t>гополучно прошла военную прием</w:t>
      </w:r>
      <w:r w:rsidRPr="00C33834">
        <w:rPr>
          <w:rFonts w:ascii="Times New Roman" w:hAnsi="Times New Roman"/>
          <w:color w:val="000000" w:themeColor="text1"/>
          <w:sz w:val="16"/>
          <w:szCs w:val="16"/>
        </w:rPr>
        <w:softHyphen/>
        <w:t>ку. Зато в том же месяце М-34 в третий раз провалил госиспытания на стенде - на 35-м часу оборвался шатун. Вскрытие показало, что причиной оказалось выкрашивание баббита в шатунном вкладыше (11848).</w:t>
      </w:r>
    </w:p>
    <w:p w14:paraId="0456B08F"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C00165" w14:textId="77777777" w:rsidR="001A7A4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D022FF2" w14:textId="77777777" w:rsidR="001A7A44" w:rsidRPr="00C33834" w:rsidRDefault="001A7A4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7F62FDB"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января 1933 датирован эскизный чертеж планера-парителя СК-7 (105,77).</w:t>
      </w:r>
    </w:p>
    <w:p w14:paraId="5A96AF56"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61D15AB8"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января 1933 был завершен предварительный проект варианта планера-парителя СК-7 (см. Приложение 1) (АМЖ, ф. 5300, № 11) (10676).</w:t>
      </w:r>
    </w:p>
    <w:p w14:paraId="379234F0"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7F05AAD5"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28 января 1933 г. С.П. Королев закончил эскизную проработку планера СК-7 — одного из предварительных вариантов планерлета с тем же индексом. Он имел двухбалочную схему и следующие конструктивные данные: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20"/>
        <w:gridCol w:w="940"/>
        <w:gridCol w:w="2656"/>
        <w:gridCol w:w="994"/>
      </w:tblGrid>
      <w:tr w:rsidR="00F26F01" w:rsidRPr="00C33834" w14:paraId="5D876915" w14:textId="77777777">
        <w:tc>
          <w:tcPr>
            <w:tcW w:w="2520" w:type="dxa"/>
            <w:tcBorders>
              <w:top w:val="single" w:sz="12" w:space="0" w:color="auto"/>
              <w:bottom w:val="single" w:sz="12" w:space="0" w:color="auto"/>
            </w:tcBorders>
          </w:tcPr>
          <w:p w14:paraId="1777B0CE"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Размах, м</w:t>
            </w:r>
          </w:p>
          <w:p w14:paraId="65C69963"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C33834">
              <w:rPr>
                <w:rFonts w:ascii="Times New Roman" w:hAnsi="Times New Roman"/>
                <w:color w:val="000000" w:themeColor="text1"/>
                <w:sz w:val="16"/>
                <w:szCs w:val="16"/>
              </w:rPr>
              <w:t>Несущая поверхность, м</w:t>
            </w:r>
            <w:r w:rsidRPr="00C33834">
              <w:rPr>
                <w:rFonts w:ascii="Times New Roman" w:hAnsi="Times New Roman"/>
                <w:color w:val="000000" w:themeColor="text1"/>
                <w:sz w:val="16"/>
                <w:szCs w:val="16"/>
                <w:vertAlign w:val="superscript"/>
              </w:rPr>
              <w:t>2</w:t>
            </w:r>
          </w:p>
          <w:p w14:paraId="0EF760E8"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Удлинение</w:t>
            </w:r>
          </w:p>
          <w:p w14:paraId="434D5403"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Вес, кг </w:t>
            </w:r>
          </w:p>
          <w:p w14:paraId="089CC59E"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полете </w:t>
            </w:r>
          </w:p>
          <w:p w14:paraId="0155FFAA"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конструкции</w:t>
            </w:r>
            <w:r w:rsidRPr="00C33834">
              <w:rPr>
                <w:rFonts w:ascii="Times New Roman" w:hAnsi="Times New Roman"/>
                <w:color w:val="000000" w:themeColor="text1"/>
                <w:sz w:val="16"/>
                <w:szCs w:val="16"/>
              </w:rPr>
              <w:br/>
              <w:t>Нагрузка на крыло, кг</w:t>
            </w:r>
          </w:p>
        </w:tc>
        <w:tc>
          <w:tcPr>
            <w:tcW w:w="940" w:type="dxa"/>
            <w:tcBorders>
              <w:top w:val="single" w:sz="12" w:space="0" w:color="auto"/>
              <w:bottom w:val="single" w:sz="12" w:space="0" w:color="auto"/>
            </w:tcBorders>
          </w:tcPr>
          <w:p w14:paraId="5B3DD840"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26,8 </w:t>
            </w:r>
          </w:p>
          <w:p w14:paraId="6E9DF1A1"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35,2</w:t>
            </w:r>
          </w:p>
          <w:p w14:paraId="3C4BA5C0"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p w14:paraId="3D227EC2"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6F65A14E"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440 </w:t>
            </w:r>
          </w:p>
          <w:p w14:paraId="28EA1C75"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360 </w:t>
            </w:r>
          </w:p>
          <w:p w14:paraId="3852765E"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w:t>
            </w:r>
          </w:p>
        </w:tc>
        <w:tc>
          <w:tcPr>
            <w:tcW w:w="2656" w:type="dxa"/>
            <w:tcBorders>
              <w:top w:val="single" w:sz="12" w:space="0" w:color="auto"/>
              <w:bottom w:val="single" w:sz="12" w:space="0" w:color="auto"/>
            </w:tcBorders>
          </w:tcPr>
          <w:p w14:paraId="4E93C106"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Показатель летучести</w:t>
            </w:r>
          </w:p>
          <w:p w14:paraId="1560EAF5"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Максимальное качество</w:t>
            </w:r>
          </w:p>
          <w:p w14:paraId="4222826F"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Минимальная скорость снижения, м/с</w:t>
            </w:r>
          </w:p>
          <w:p w14:paraId="40F2B677"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м/с</w:t>
            </w:r>
          </w:p>
          <w:p w14:paraId="3A4EBA6A"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полета </w:t>
            </w:r>
          </w:p>
          <w:p w14:paraId="79523D69"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посадочная</w:t>
            </w:r>
          </w:p>
        </w:tc>
        <w:tc>
          <w:tcPr>
            <w:tcW w:w="994" w:type="dxa"/>
            <w:tcBorders>
              <w:top w:val="single" w:sz="12" w:space="0" w:color="auto"/>
              <w:bottom w:val="single" w:sz="12" w:space="0" w:color="auto"/>
            </w:tcBorders>
          </w:tcPr>
          <w:p w14:paraId="630ADB3B"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0,625 </w:t>
            </w:r>
          </w:p>
          <w:p w14:paraId="32894A77"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27,8 </w:t>
            </w:r>
          </w:p>
          <w:p w14:paraId="57FA7D83"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0,48</w:t>
            </w:r>
          </w:p>
          <w:p w14:paraId="3FADF2F7"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0F4EC88C"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17,7 </w:t>
            </w:r>
          </w:p>
          <w:p w14:paraId="5C705C07"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w:t>
            </w:r>
          </w:p>
        </w:tc>
      </w:tr>
    </w:tbl>
    <w:p w14:paraId="2ED74417"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Определенную связь этого планера с разработкой планерлета СК-7 можно установить, сравнив его с проектом планера-парителя "типа 7", завершенного 27 мая 1933 г. Майский вариант имел вполне конкретные "планерлетные" черты: предусматривалась установка маломощного мотора — 38 л.с., с толкающим винтом. Похожими январский и майский варианты делает двухбалочная схема, однако в майском варианте предлагаются два фюзеляжа, для которых хвостовые балки служат силовыми элементами. Конструктивные характеристики майского и январского вариантов существенно различались. С.П. Королев принял для майского варианта не только размах, но и удлинение крыла, как у "Коктебеля". Видимо, он хотел воспользоваться опробованной конструкцией крыла для нового варианта планера.</w:t>
      </w:r>
    </w:p>
    <w:p w14:paraId="135BEAB1"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Конструктивные данные планера "типа 7" (майский вариант):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20"/>
        <w:gridCol w:w="924"/>
        <w:gridCol w:w="2676"/>
        <w:gridCol w:w="990"/>
      </w:tblGrid>
      <w:tr w:rsidR="00F26F01" w:rsidRPr="00C33834" w14:paraId="3ECB3B3A" w14:textId="77777777">
        <w:tc>
          <w:tcPr>
            <w:tcW w:w="2520" w:type="dxa"/>
            <w:tcBorders>
              <w:top w:val="single" w:sz="12" w:space="0" w:color="auto"/>
              <w:bottom w:val="single" w:sz="12" w:space="0" w:color="auto"/>
            </w:tcBorders>
          </w:tcPr>
          <w:p w14:paraId="484754F4"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Максимальное качество</w:t>
            </w:r>
          </w:p>
          <w:p w14:paraId="7392E782"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Скорость, м/с </w:t>
            </w:r>
          </w:p>
          <w:p w14:paraId="65C86261"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xml:space="preserve">снижения </w:t>
            </w:r>
          </w:p>
          <w:p w14:paraId="537322B1"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полета </w:t>
            </w:r>
          </w:p>
          <w:p w14:paraId="0306B905"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посадочная</w:t>
            </w:r>
          </w:p>
        </w:tc>
        <w:tc>
          <w:tcPr>
            <w:tcW w:w="924" w:type="dxa"/>
            <w:tcBorders>
              <w:top w:val="single" w:sz="12" w:space="0" w:color="auto"/>
              <w:bottom w:val="single" w:sz="12" w:space="0" w:color="auto"/>
            </w:tcBorders>
          </w:tcPr>
          <w:p w14:paraId="33F4AAB1"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23</w:t>
            </w:r>
          </w:p>
          <w:p w14:paraId="4C4512C8"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10EE6245"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xml:space="preserve">0,66 </w:t>
            </w:r>
          </w:p>
          <w:p w14:paraId="243C9BDA"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17 </w:t>
            </w:r>
          </w:p>
          <w:p w14:paraId="4433C92B"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c>
          <w:tcPr>
            <w:tcW w:w="2676" w:type="dxa"/>
            <w:tcBorders>
              <w:top w:val="single" w:sz="12" w:space="0" w:color="auto"/>
              <w:bottom w:val="single" w:sz="12" w:space="0" w:color="auto"/>
            </w:tcBorders>
          </w:tcPr>
          <w:p w14:paraId="11B961B2"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xml:space="preserve">Вес в полете, кг </w:t>
            </w:r>
          </w:p>
          <w:p w14:paraId="0FE5B2CC"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Нагрузка на крыло, кг/м</w:t>
            </w:r>
            <w:r w:rsidRPr="00C33834">
              <w:rPr>
                <w:rFonts w:ascii="Times New Roman" w:hAnsi="Times New Roman"/>
                <w:color w:val="000000" w:themeColor="text1"/>
                <w:sz w:val="16"/>
                <w:szCs w:val="16"/>
                <w:vertAlign w:val="superscript"/>
              </w:rPr>
              <w:t>2</w:t>
            </w:r>
          </w:p>
          <w:p w14:paraId="7A08FA5F"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Удлинение</w:t>
            </w:r>
          </w:p>
        </w:tc>
        <w:tc>
          <w:tcPr>
            <w:tcW w:w="990" w:type="dxa"/>
            <w:tcBorders>
              <w:top w:val="single" w:sz="12" w:space="0" w:color="auto"/>
              <w:bottom w:val="single" w:sz="12" w:space="0" w:color="auto"/>
            </w:tcBorders>
          </w:tcPr>
          <w:p w14:paraId="457A0C8B"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xml:space="preserve">340 </w:t>
            </w:r>
          </w:p>
          <w:p w14:paraId="763FF80D"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p w14:paraId="0F1BF679"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17</w:t>
            </w:r>
          </w:p>
        </w:tc>
      </w:tr>
    </w:tbl>
    <w:p w14:paraId="15ABED8D"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xml:space="preserve">Конструктивные данные планера "типа 7" с мотором "Черуб-IIIА":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00"/>
        <w:gridCol w:w="640"/>
      </w:tblGrid>
      <w:tr w:rsidR="00F26F01" w:rsidRPr="00C33834" w14:paraId="0F306B52" w14:textId="77777777">
        <w:tc>
          <w:tcPr>
            <w:tcW w:w="2400" w:type="dxa"/>
            <w:tcBorders>
              <w:top w:val="single" w:sz="12" w:space="0" w:color="auto"/>
              <w:bottom w:val="single" w:sz="12" w:space="0" w:color="auto"/>
            </w:tcBorders>
          </w:tcPr>
          <w:p w14:paraId="7FC4E6A7"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Скорость, км/ч </w:t>
            </w:r>
          </w:p>
          <w:p w14:paraId="3FD189DB"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полета </w:t>
            </w:r>
          </w:p>
          <w:p w14:paraId="64A273B1"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посадки</w:t>
            </w:r>
            <w:r w:rsidRPr="00C33834">
              <w:rPr>
                <w:rFonts w:ascii="Times New Roman" w:hAnsi="Times New Roman"/>
                <w:color w:val="000000" w:themeColor="text1"/>
                <w:sz w:val="16"/>
                <w:szCs w:val="16"/>
              </w:rPr>
              <w:br/>
              <w:t>Потолок, м</w:t>
            </w:r>
          </w:p>
        </w:tc>
        <w:tc>
          <w:tcPr>
            <w:tcW w:w="640" w:type="dxa"/>
            <w:tcBorders>
              <w:top w:val="single" w:sz="12" w:space="0" w:color="auto"/>
              <w:bottom w:val="single" w:sz="12" w:space="0" w:color="auto"/>
            </w:tcBorders>
          </w:tcPr>
          <w:p w14:paraId="473D4509"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148E4E27"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p w14:paraId="3258E684"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50 </w:t>
            </w:r>
          </w:p>
          <w:p w14:paraId="17902036"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r>
    </w:tbl>
    <w:p w14:paraId="4F91E901"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(10676).</w:t>
      </w:r>
    </w:p>
    <w:p w14:paraId="2BA49864"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647703AD" w14:textId="77777777" w:rsidR="001A7A4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4D4EB66" w14:textId="77777777" w:rsidR="001A7A44" w:rsidRPr="00C33834" w:rsidRDefault="001A7A4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75782F2"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января 1933 между УММ РККА и ХПЗ был подписан договор на проектирование и изготовление БТ с 76-мм пушкой и новой конструкцией передней части машины (3881,3).</w:t>
      </w:r>
    </w:p>
    <w:p w14:paraId="33473E0E"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4F246525"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января 1933 г. УММ РККА и ХПЗ подписали до</w:t>
      </w:r>
      <w:r w:rsidRPr="00C33834">
        <w:rPr>
          <w:rFonts w:ascii="Times New Roman" w:hAnsi="Times New Roman"/>
          <w:color w:val="000000" w:themeColor="text1"/>
          <w:sz w:val="16"/>
          <w:szCs w:val="16"/>
        </w:rPr>
        <w:softHyphen/>
        <w:t>говор на проектирование и изготовление танка БТ с уси</w:t>
      </w:r>
      <w:r w:rsidRPr="00C33834">
        <w:rPr>
          <w:rFonts w:ascii="Times New Roman" w:hAnsi="Times New Roman"/>
          <w:color w:val="000000" w:themeColor="text1"/>
          <w:sz w:val="16"/>
          <w:szCs w:val="16"/>
        </w:rPr>
        <w:softHyphen/>
        <w:t>ленным до 76,2-мм артиллерийским вооружением, увели</w:t>
      </w:r>
      <w:r w:rsidRPr="00C33834">
        <w:rPr>
          <w:rFonts w:ascii="Times New Roman" w:hAnsi="Times New Roman"/>
          <w:color w:val="000000" w:themeColor="text1"/>
          <w:sz w:val="16"/>
          <w:szCs w:val="16"/>
        </w:rPr>
        <w:softHyphen/>
        <w:t>ченной башней и измененной конструкцией только носо</w:t>
      </w:r>
      <w:r w:rsidRPr="00C33834">
        <w:rPr>
          <w:rFonts w:ascii="Times New Roman" w:hAnsi="Times New Roman"/>
          <w:color w:val="000000" w:themeColor="text1"/>
          <w:sz w:val="16"/>
          <w:szCs w:val="16"/>
        </w:rPr>
        <w:softHyphen/>
        <w:t>вой части машины (10733,339).</w:t>
      </w:r>
    </w:p>
    <w:p w14:paraId="42490FE9"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F444D3" w14:textId="77777777" w:rsidR="00BB620E" w:rsidRPr="00C33834" w:rsidRDefault="00BB6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28 января по 5 февраля 1933 года прошли испытания бронедрезины Ук в объеме 64 км пробега (по маршруту Брянск - станция Б. Береча), 59 выстрелов из пушки и 150 из пулеметов. </w:t>
      </w:r>
    </w:p>
    <w:p w14:paraId="41010AB3" w14:textId="77777777" w:rsidR="00BB620E" w:rsidRPr="00C33834" w:rsidRDefault="00BB6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ходе испытаний Ук выявилось неудовлетворительное охлаждение двигателя (часто рвался ремень вентилятора, вода в радиаторе закипала через 2-3 км движения), недостаточные углы обстрела зенитной установки, тугое вращение подъемного механизма орудия и конструктивная недоработка механизма для перехода на параллельный железнодорожный путь. Несмотря на это, бронедрезина Ук понравилась представителям УММ РККА. В выводах по результатам испытаний они отмечали: </w:t>
      </w:r>
    </w:p>
    <w:p w14:paraId="600449C5" w14:textId="77777777" w:rsidR="00BB620E" w:rsidRPr="00C33834" w:rsidRDefault="00BB6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Бронедрезина Ук как средство разведки бронепоездов и мотоброневагонов в основном сконструирована удовлетворительно. Особо ценным является возможное размещение в Ук сверх команды еще 5-6 человек. Ориентировочно боевой расчет бронедрезины должен быть 10 человек командир, водитель, командир орудия, замковый, заряжающий, пять пулеметчиков. </w:t>
      </w:r>
    </w:p>
    <w:p w14:paraId="1F8EF51E" w14:textId="77777777" w:rsidR="00BB620E" w:rsidRPr="00C33834" w:rsidRDefault="00BB6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Необходимо на бронедрезине уравновесить центр тяжести. </w:t>
      </w:r>
    </w:p>
    <w:p w14:paraId="4A5E3E9D" w14:textId="77777777" w:rsidR="00BB620E" w:rsidRPr="00C33834" w:rsidRDefault="00BB6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По пулеметным установкам принять шаровые, зенитную установку сделать более выдвижной. </w:t>
      </w:r>
    </w:p>
    <w:p w14:paraId="1C94E827" w14:textId="77777777" w:rsidR="00BB620E" w:rsidRPr="00C33834" w:rsidRDefault="00BB6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 дальнейших образцах необходимо: увеличение длины на 50 см без увеличения веса для размещения отделения управления, замена зенитных Максимов 20-мм пулеметом. </w:t>
      </w:r>
    </w:p>
    <w:p w14:paraId="179ACEDA" w14:textId="77777777" w:rsidR="00BB620E" w:rsidRPr="00C33834" w:rsidRDefault="00BB6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Одновременно необходимо разработать вопрос по конструированию съемного сварного корпуса и съемных приспособлений для прикрытия ходовых частей. При этом необходимо сохранить пулеметное вооружение существующего образца, и заменить 76-мм пушку на 45-мм танковую. По окончании работ по переконструированию изготовить новый образец». </w:t>
      </w:r>
    </w:p>
    <w:p w14:paraId="28FE3AE4" w14:textId="77777777" w:rsidR="00BB620E" w:rsidRPr="00C33834" w:rsidRDefault="00BB6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Бронедрезина Ук использовалась как учебная машина до конца 1938 года, после чего ее сняли с вооружения (18626).</w:t>
      </w:r>
    </w:p>
    <w:p w14:paraId="3C26116C" w14:textId="77777777" w:rsidR="00BB620E" w:rsidRPr="00C33834" w:rsidRDefault="00BB620E" w:rsidP="00C33834">
      <w:pPr>
        <w:spacing w:after="0" w:line="240" w:lineRule="auto"/>
        <w:jc w:val="both"/>
        <w:rPr>
          <w:rFonts w:ascii="Times New Roman" w:hAnsi="Times New Roman"/>
          <w:color w:val="000000" w:themeColor="text1"/>
          <w:sz w:val="16"/>
          <w:szCs w:val="16"/>
        </w:rPr>
      </w:pPr>
    </w:p>
    <w:p w14:paraId="1B7738D9" w14:textId="77777777" w:rsidR="001A7A4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47CCA3CA" w14:textId="77777777" w:rsidR="001A7A44" w:rsidRPr="00C33834" w:rsidRDefault="001A7A4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0B456C0"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28 января и 3 февраля 1933. Из директивы ЦК ВКП(б) и СНК СССР, 1933 г.</w:t>
      </w:r>
    </w:p>
    <w:p w14:paraId="7170B979"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массовых выездах крестьян </w:t>
      </w:r>
    </w:p>
    <w:p w14:paraId="0C8839DE"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До ЦК ВКП и Совнаркома дошли сведения, что на Кубани и Украине начался массовый выезд крестьян "за хлебом" в Центрально-Черноземную область, на Волгу, Московскую обл., Западную обл., Белоруссию (районы, охваченные голодом.— "Власть"). ЦК ВКП и Совнарком СССР не сомневаются, что этот выезд крестьян, как и выезд из Украины в прошлом году, организован врагами Советской власти, эсерами и агентами Польши с целью агитации "через крестьян" против колхозов и вообще против Советской власти. В прошлом году партийные, советские и чекистские органы Украины прозевали эту контрреволюционную затею врагов Советской власти. В этом году не может быть допущено повторение прошлогодней ошибки. </w:t>
      </w:r>
    </w:p>
    <w:p w14:paraId="6120A422"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Первое. ЦК ВКП и Совнарком СССР предписывают крайкому, крайисполкому и ПП ОГПУ Северного Кавказа не допускать массовый выезд крестьян из Северного Кавказа... </w:t>
      </w:r>
    </w:p>
    <w:p w14:paraId="3C4585D1"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Второе. ЦК ВКП и Совнарком предписывают ЦК КП(б)У, Укрсовнаркому, Балицкому и Реденсу не допускать массовый выезд крестьян из Украины... </w:t>
      </w:r>
    </w:p>
    <w:p w14:paraId="522B781E"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Третье. ЦК ВКП и Совнарком предписывают ПП ОГПУ Московской обл., ЦЧО, Западной обл., Белоруссии, Нижней Волги и Средней Волги арестовывать пробравшихся на север "крестьян" Украины и Северного Кавказа и после того, как будут отобраны контрреволюционные элементы, водворять остальных в места их жительства (11652).</w:t>
      </w:r>
    </w:p>
    <w:p w14:paraId="68AC04E4"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2A44918C"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28 января и 3 февраля 1933. Из протокола заседания Политбюро N 128, 1933 г.</w:t>
      </w:r>
    </w:p>
    <w:p w14:paraId="23905EDC"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порядке выдачи мяса в Донбассе </w:t>
      </w:r>
    </w:p>
    <w:p w14:paraId="7493DDD5"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Предложение о выдаче мяса 3 раза в месяц отклонить, оставив старый порядок выдачи один раз в месяц (11652).</w:t>
      </w:r>
    </w:p>
    <w:p w14:paraId="67B23242"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3A3EEDCF"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28 января и 3 февраля 1933. Из протокола заседания Политбюро N 129, 1933 г.</w:t>
      </w:r>
    </w:p>
    <w:p w14:paraId="1B360441"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Телеграмма тов. Шеболдаева </w:t>
      </w:r>
    </w:p>
    <w:p w14:paraId="024DF43B"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Отклонить предложение об организации временного концлагеря на территории Сев. Кавказского края. </w:t>
      </w:r>
    </w:p>
    <w:p w14:paraId="039F1AE8"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Поручить ОГПУ в месячный срок вывезти 30 тыс. осужденных в концлагеря из Сев. Кавказа, предложив в СТО (Комитет Фондов) помочь ОГПУ обмундированием и продовольствием. </w:t>
      </w:r>
    </w:p>
    <w:p w14:paraId="09D7F4DA"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 Согласиться с вселением в станицы, откуда высланы кулацкие семьи, до 3 тысяч демобилизуемых добровольцев-красноармейцев. </w:t>
      </w:r>
    </w:p>
    <w:p w14:paraId="3CD90D01"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Поручить ПУРу и ОГПУ (тт. Ягоде и Булину) набрать указанное количество добровольцев и обеспечить их переселение (11652).</w:t>
      </w:r>
    </w:p>
    <w:p w14:paraId="6DD4A453"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11B0E99C"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28 января и 3 февраля 1933. Из протокола заседания Политбюро N 129, 1933 г.</w:t>
      </w:r>
    </w:p>
    <w:p w14:paraId="4AFEB70D"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Вопрос Севкавкрайкома </w:t>
      </w:r>
    </w:p>
    <w:p w14:paraId="28C13C19"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Разрешить находящейся в Северо-Кавказском крае сессии Верхсуда окончательно утверждать приговора не только по хищениям, как это предоставлено ей в настоящее время, но и по делам терактов и контрреволюционного саботажа (ст. 58-8 и 58-14) (11652).</w:t>
      </w:r>
    </w:p>
    <w:p w14:paraId="182B64C6"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53C5C3AA" w14:textId="77777777" w:rsidR="001A7A4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4F03263" w14:textId="77777777" w:rsidR="001A7A44" w:rsidRPr="00C33834" w:rsidRDefault="001A7A4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DC9F3CD"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января 1933 в Германии правительство К. фон Шлейхера ушло в отставку, не сумев примирить центристов и левых (3907,179).</w:t>
      </w:r>
    </w:p>
    <w:p w14:paraId="779AF8A1"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0F412DC1"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28 января 1933 г. Шляйхер подал в отставку. 30 января 1933 г. Гинденбург в конце концов поручил сформировать правительство Гитлеру. Пост вице-канцлера в правительстве «национальной концентрации» получил Папен, одно из доверенных лиц 85-летнего президента Гинденбурга; военным министром был назначен Бломберг. Казалось, откровенно антисоветский настрой правительств Брюнинга и Папена должны были заставить Сталина, Молотова, Ворошилова, Рыкова и других в Москве коренным образом пересмотреть вопрос о продолжении военного сотрудничества с Германией, заблаговременно заняться поиском альтернативных вариантов повышения потенциала РККА и начать постепенный отход от односторонней ориентации на Германию в вопросах военного, военно-промышленного и сугубо экономического строительства. Однако, по сути, этого не произошло. И хотя, как заявлял в свое время Радек, Москва не намеревалась отдавать военную промышленность под контроль Германии и советские оборонщики в поисках лучших образцов вооружения колесили тогда по всей Европе и Америке, тем не менее Германия продолжала оставаться приоритетным партнером в стратегических расчетах Москвы. Об этом свидетельствуют как довольно стабильное сотрудничество по всем направлениям, так и такой, несколько необычный факт, как интервью Сталина германскому писателю Эмилю Людвигу 13 декабря 1931 г., когда, отвечая на вопрос о «преклонении перед всем американским» в СССР, Сталин сказал: «&lt;„. &gt; если уж говорить о наших симпатиях к какой-либо нации, или вернее к большинству какой-либо нации, то, конечно, надо говорить о наших симпатиях к немцам. С этими симпатиями не сравнить наших чувств к американцам». И чуть дальше, на вопрос, </w:t>
      </w:r>
      <w:r w:rsidRPr="00C33834">
        <w:rPr>
          <w:rFonts w:ascii="Times New Roman" w:hAnsi="Times New Roman"/>
          <w:color w:val="000000" w:themeColor="text1"/>
          <w:sz w:val="16"/>
          <w:szCs w:val="16"/>
        </w:rPr>
        <w:lastRenderedPageBreak/>
        <w:t>не будет ли политика традиционной дружбы СССР и Германии оттеснена на задний план в связи с переговорами СССР с Польшей, Сталин четко и однозначно заявил: «Наши дружественные отношения к Германии остаются такими же, какими они были до сих пор. Таково мое твердое убеждение» (Сталин И.В. Соч. T. 13. M., 1951. C. 114-117.). Причиной этого служило как стойкое германофильство политического и военного руководства СССР (Сталин, Молотов, Рыков, Радек, Ворошилов, Егоров, Уборевич, Тухачевский, Крестинский), так и наличие мощного просоветского (вернее было бы сказать, прорусского) лобби в германском генералитете, оказывавшего в этом вопросе сильное влияние на президента Германии фельдмаршала Гинденбурга, посвященного во все детали двустороннего военного сотрудничества. Кроме того, в правительстве Папена (4 июня — 17 ноября 1932 г. ) военным министром стал генерал Шляйхер, сменив на этом посту Гренера, у которого он считался незаменимым советником по политическим вопросам. Пожалуй, именно Шляйхер, являвшийся наиболее колоритной фигурой в руководящих кругах райхсвера после отставки Зекта и, как и Зект, имевший непосредственный доступ к Гинденбургу, виделся в Москве как достаточный и стабильный гарант прочных военных и военно-политических связей Германии и СССР (1784).</w:t>
      </w:r>
    </w:p>
    <w:p w14:paraId="528502EE"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53CE38AE" w14:textId="77777777" w:rsidR="001A7A4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9614B58" w14:textId="77777777" w:rsidR="001A7A44" w:rsidRPr="00C33834" w:rsidRDefault="001A7A4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4944A89"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января 1933 УММ РККА подписало договор N 157430 с московским ремонтным литейно-механическим заводом Можерез о восстановлении двух закупленных в США танков Кристи, именуемых как Оригинал-1 и Оригинал-2. Но завод работал медленно и заказ отменили (3879,15).</w:t>
      </w:r>
    </w:p>
    <w:p w14:paraId="17FC1BE6"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3DC70DE3" w14:textId="77777777" w:rsidR="009C00B3" w:rsidRPr="00C33834" w:rsidRDefault="009C00B3"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86C944F" w14:textId="77777777" w:rsidR="009C00B3" w:rsidRPr="00C33834" w:rsidRDefault="009C00B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882622F"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20-х числах января 1933 КБ ХПЗ на основании распоряжения УММ РККА получило с завода им. Ворошилова чертежи эллиптической башни (от Т-26), которые были творчески переработаны под установку на БТ-5. Мариупольский завод встретил значительные сложности при внедрении. 30 башен изготовили из конструкционной стали (3880,5).</w:t>
      </w:r>
    </w:p>
    <w:p w14:paraId="5CFD637D"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7FDE9802" w14:textId="77777777" w:rsidR="001A7A4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197A909F" w14:textId="77777777" w:rsidR="001A7A44" w:rsidRPr="00C33834" w:rsidRDefault="001A7A4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E0ADC09"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30 января по 4 марта 1933 японские войска захватили китайскую провинцию Жэхэ (3186).</w:t>
      </w:r>
    </w:p>
    <w:p w14:paraId="51A8088E"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365D0DC6"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января 1933 г. президент Германии фельдмаршал Пауль фон Гинденбург поручил Гитлеру сформировать коалиционное правительство. Численное большинство в нем принадлежало умеренным националистам, но нацисты получили легальный доступ к пропаганде и контроль над репрессивными органами (3871).</w:t>
      </w:r>
    </w:p>
    <w:p w14:paraId="2AE624C5"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кабинете было только два представителя нацистов: министр без портфеля Г.Геринг и МВД В.Фрик. фон Паппен стал вице-канцлером (3907,179).</w:t>
      </w:r>
    </w:p>
    <w:p w14:paraId="5A1D6A1D"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357CBE7E" w14:textId="77777777" w:rsidR="003E25C3" w:rsidRPr="00C33834" w:rsidRDefault="003E25C3" w:rsidP="00C33834">
      <w:pPr>
        <w:spacing w:after="0" w:line="240" w:lineRule="auto"/>
        <w:jc w:val="both"/>
        <w:rPr>
          <w:rFonts w:ascii="Times New Roman" w:hAnsi="Times New Roman"/>
          <w:bCs/>
          <w:color w:val="000000" w:themeColor="text1"/>
          <w:sz w:val="16"/>
          <w:szCs w:val="16"/>
        </w:rPr>
      </w:pPr>
      <w:r w:rsidRPr="00C33834">
        <w:rPr>
          <w:rFonts w:ascii="Times New Roman" w:hAnsi="Times New Roman"/>
          <w:bCs/>
          <w:color w:val="000000" w:themeColor="text1"/>
          <w:sz w:val="16"/>
          <w:szCs w:val="16"/>
        </w:rPr>
        <w:t>Утром в понедельник, 30 января 1933, Гитлер прибыл в президентский дворец в сопровождении Папена, Гугенберга, друзей-партийцев Флика и Геринга и прочих деятелей — словом, со свитой потенциальных министров. Сотрудники «коричневого дома» сидели в кабинетах без дела, не в силах заниматься повседневной работой. Партия никогда не была так близка к власти. Пытаясь погасить нервное напряжение, они выглядывали в окна и видели все тот же противный пасмурный зимний день и понурых прохожих, не задумывавшихся, что в эти часы решались их судьбы. Ровно в полдень раздался звонок из Берлина, положивший конец волнениям: Гитлер стал канцлером. По зданию загромыхали сапоги, захлопали двери, весть разносилась по «коричневому дому», вздымая шквал ликования, радостного смеха, объятий, рукопожатий, заставляя забыть о соперничестве и вражде. Они победили! Пора браться за дело!»(17325).</w:t>
      </w:r>
    </w:p>
    <w:p w14:paraId="0DA4A717" w14:textId="77777777" w:rsidR="003E25C3" w:rsidRPr="00C33834" w:rsidRDefault="003E25C3" w:rsidP="00C33834">
      <w:pPr>
        <w:spacing w:after="0" w:line="240" w:lineRule="auto"/>
        <w:jc w:val="both"/>
        <w:rPr>
          <w:rFonts w:ascii="Times New Roman" w:hAnsi="Times New Roman"/>
          <w:color w:val="000000" w:themeColor="text1"/>
          <w:sz w:val="16"/>
          <w:szCs w:val="16"/>
        </w:rPr>
      </w:pPr>
    </w:p>
    <w:p w14:paraId="00AAE37E" w14:textId="77777777" w:rsidR="001A7A4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36E60CD9" w14:textId="77777777" w:rsidR="001A7A44" w:rsidRPr="00C33834" w:rsidRDefault="001A7A4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287C3E4"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января 1933 вышло Постановление ЦИК СССР "Об укреплении колхозов" (10687).</w:t>
      </w:r>
    </w:p>
    <w:p w14:paraId="1D72C5B7"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5717C6AF" w14:textId="77777777" w:rsidR="001A7A4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62E132C" w14:textId="77777777" w:rsidR="001A7A44" w:rsidRPr="00C33834" w:rsidRDefault="001A7A4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0A25287" w14:textId="77777777" w:rsidR="00991BE3" w:rsidRPr="00C33834" w:rsidRDefault="00991BE3"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30 января</w:t>
      </w:r>
      <w:r w:rsidRPr="00C33834">
        <w:rPr>
          <w:rFonts w:ascii="Times New Roman" w:hAnsi="Times New Roman"/>
          <w:color w:val="000000" w:themeColor="text1"/>
          <w:sz w:val="16"/>
          <w:szCs w:val="16"/>
        </w:rPr>
        <w:t xml:space="preserve"> в 1933 году впервые поднялся в воздух прототипсреднего транспортного самолета </w:t>
      </w:r>
      <w:hyperlink r:id="rId51" w:tgtFrame="_blank" w:history="1">
        <w:r w:rsidRPr="00C33834">
          <w:rPr>
            <w:rFonts w:ascii="Times New Roman" w:hAnsi="Times New Roman"/>
            <w:color w:val="000000" w:themeColor="text1"/>
            <w:sz w:val="16"/>
            <w:szCs w:val="16"/>
          </w:rPr>
          <w:t xml:space="preserve">«Curtiss» «Т-32», </w:t>
        </w:r>
      </w:hyperlink>
      <w:r w:rsidRPr="00C33834">
        <w:rPr>
          <w:rFonts w:ascii="Times New Roman" w:hAnsi="Times New Roman"/>
          <w:color w:val="000000" w:themeColor="text1"/>
          <w:sz w:val="16"/>
          <w:szCs w:val="16"/>
        </w:rPr>
        <w:t>позже ставшей известной как "Condor II". Фирма «Curtiss» под руководством конструктора Джорджа Пейджа (George Page) взяв за основу схему «Curtiss CO», создав новое крыло, облагородив аэродинамику фюзеляжа, улучшив звукоизоляцию пассажирского салона, сделав шасси убираемым, заменив жидкостные двигатели «Curtiss Conqueror» на звёздообразные» Wright Cyclone» создали «Curtiss» «Т-32» "Condor II". Все доработки позволили, несмотря на бипланную схему, существенно увеличить скорость новой машины. 23 марта 1933 года машина была передана заказчику, всего был изготовлен 21 самолёт модификации «T-32» (15025).</w:t>
      </w:r>
    </w:p>
    <w:p w14:paraId="1E44F331" w14:textId="77777777" w:rsidR="00991BE3" w:rsidRPr="00C33834" w:rsidRDefault="00991BE3" w:rsidP="00C33834">
      <w:pPr>
        <w:spacing w:after="0" w:line="240" w:lineRule="auto"/>
        <w:jc w:val="both"/>
        <w:rPr>
          <w:rFonts w:ascii="Times New Roman" w:hAnsi="Times New Roman"/>
          <w:color w:val="000000" w:themeColor="text1"/>
          <w:sz w:val="16"/>
          <w:szCs w:val="16"/>
        </w:rPr>
      </w:pPr>
    </w:p>
    <w:p w14:paraId="7A37C0E3" w14:textId="77777777" w:rsidR="00E371D8" w:rsidRPr="00C33834" w:rsidRDefault="00E371D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30 января 1933 состоялся первый полет Curtiss T-32 Condor II (20802).</w:t>
      </w:r>
    </w:p>
    <w:p w14:paraId="47EFBAC7" w14:textId="77777777" w:rsidR="00E371D8" w:rsidRPr="00C33834" w:rsidRDefault="00E371D8" w:rsidP="00C33834">
      <w:pPr>
        <w:spacing w:after="0" w:line="240" w:lineRule="auto"/>
        <w:jc w:val="both"/>
        <w:rPr>
          <w:rFonts w:ascii="Times New Roman" w:hAnsi="Times New Roman"/>
          <w:color w:val="0070C0"/>
          <w:sz w:val="16"/>
          <w:szCs w:val="16"/>
        </w:rPr>
      </w:pPr>
    </w:p>
    <w:p w14:paraId="563252E0"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января 1933 - А.Гитлер стал рейхсканцлером. 4 февраля - встретился с руководителями армии и флота (78,50). Назначил президент Гинденбург (2242,1).</w:t>
      </w:r>
    </w:p>
    <w:p w14:paraId="63A23E6E"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6241E0BE" w14:textId="77777777" w:rsidR="009C00B3" w:rsidRPr="00C33834" w:rsidRDefault="009C00B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января 1933 г. Гинденбург в конце концов поручил сформировать правительство Гитлеру. Пост вице-канцлера в правительстве «национальной концентрации» получил Папен, одно из доверенных лиц 85-летнего президента Гинденбурга; военным министром был назначен Бломберг (18265).</w:t>
      </w:r>
    </w:p>
    <w:p w14:paraId="1457D09D" w14:textId="77777777" w:rsidR="009C00B3" w:rsidRPr="00C33834" w:rsidRDefault="009C00B3" w:rsidP="00C33834">
      <w:pPr>
        <w:spacing w:after="0" w:line="240" w:lineRule="auto"/>
        <w:jc w:val="both"/>
        <w:rPr>
          <w:rFonts w:ascii="Times New Roman" w:hAnsi="Times New Roman"/>
          <w:color w:val="000000" w:themeColor="text1"/>
          <w:sz w:val="16"/>
          <w:szCs w:val="16"/>
        </w:rPr>
      </w:pPr>
    </w:p>
    <w:p w14:paraId="07EAC69E"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января 1933 г. Гинденбург в конце концов поручил сформировать правительство Гитлеру. Пост вице-канцлера в правительстве «национальной концентрации» получил Папен, одно из доверенных лиц 85-летнего президента Гинденбурга; военным министром был назначен Бломберг. Казалось, откровенно антисоветский настрой правительств Брюнинга и Папена должны были заставить Сталина, Молотова, Ворошилова, Рыкова и других в Москве коренным образом пересмотреть вопрос о продолжении военного сотрудничества с Германией, заблаговременно заняться поиском альтернативных вариантов повышения потенциала РККА и начать постепенный отход от односторонней ориентации на Германию в вопросах военного, военно-промышленного и сугубо экономического строительства. Однако, по сути, этого не произошло. И хотя, как заявлял в свое время Радек, Москва не намеревалась отдавать военную промышленность под контроль Германии и советские оборонщики в поисках лучших образцов вооружения колесили тогда по всей Европе и Америке, тем не менее Германия продолжала оставаться приоритетным партнером в стратегических расчетах Москвы. Об этом свидетельствуют как довольно стабильное сотрудничество по всем направлениям, так и такой, несколько необычный факт, как интервью Сталина германскому писателю Эмилю Людвигу 13 декабря 1931 г., когда, отвечая на вопрос о «преклонении перед всем американским» в СССР, Сталин сказал: «&lt;„. &gt; если уж говорить о наших симпатиях к какой-либо нации, или вернее к большинству какой-либо нации, то, конечно, надо говорить о наших симпатиях к немцам. С этими симпатиями не сравнить наших чувств к американцам». И чуть дальше, на вопрос, не будет ли политика традиционной дружбы СССР и Германии оттеснена на задний план в связи с переговорами СССР с Польшей, Сталин четко и однозначно заявил: «Наши дружественные отношения к Германии остаются такими же, какими они были до сих пор. Таково мое твердое убеждение» (Сталин И.В. Соч. T. 13. M., 1951. C. 114-117.). Причиной этого служило как стойкое германофильство политического и военного руководства СССР (Сталин, Молотов, Рыков, Радек, Ворошилов, Егоров, Уборевич, Тухачевский, Крестинский), так и наличие мощного просоветского (вернее было бы сказать, прорусского) лобби в германском генералитете, оказывавшего в этом вопросе сильное влияние на президента Германии фельдмаршала Гинденбурга, посвященного во все детали двустороннего военного сотрудничества. Кроме того, в правительстве Папена (4 июня — 17 ноября 1932 г. ) военным министром стал генерал Шляйхер, сменив на этом посту Гренера, у которого он считался незаменимым советником по политическим вопросам. Пожалуй, именно Шляйхер, являвшийся наиболее колоритной фигурой в руководящих кругах райхсвера после отставки Зекта и, как и Зект, имевший непосредственный доступ к Гинденбургу, виделся в Москве как достаточный и стабильный гарант прочных военных и военно-политических связей Германии и СССР (1784).</w:t>
      </w:r>
    </w:p>
    <w:p w14:paraId="54D25BFC"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251FC26B" w14:textId="77777777" w:rsidR="00991BE3" w:rsidRPr="00C33834" w:rsidRDefault="00991BE3"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30 января</w:t>
      </w:r>
      <w:r w:rsidRPr="00C33834">
        <w:rPr>
          <w:rFonts w:ascii="Times New Roman" w:hAnsi="Times New Roman"/>
          <w:color w:val="000000" w:themeColor="text1"/>
          <w:sz w:val="16"/>
          <w:szCs w:val="16"/>
        </w:rPr>
        <w:t xml:space="preserve"> в 1933 году Адольф Гитлер провозглашен рейхсканцлером. Президент Гинденбург поручил Гитлеру формирование правительства. Это событие было отмечено факельным шествием СА через Бранденбургские ворота. Гитлер - главный нацистский военный преступник, главарь германского фашизма. Во время первой мировой войны ефрейтор кайзеровской армии. В 1919 году вступил в Германскую рабочую партию, а затем изгнал старое руководство и переименовал ее в Национал-Социалистскую Рабочую Партию Германии (НСДАП). В ноябре 1923 года попытался вооруженным путем захватить власть в Баварии, но после провала путча оказался в тюрьме. Написал при содействии своего помощника Гесса книгу «Майн кампф» («Моя борьба»), в которой проповедовал антикоммунизм, расизм и милитаризм, излагал программу германского фашизма: война за «жизненное пространство» на Востоке и установление мирового господства германского империализма. 30 января 1933 года при поддержке монополистической буржуазии и реакционной военщины стал рейхсканцлером. Установил в Германии режим открытой нацистской диктатуры, развернул кровавый террор против антифашистов. 1 августа 1934 года объединил в качестве «фюрера и рейхсканцлера» посты президента и рейхсканцлера, сосредоточив в своих руках всю законодательную, исполнительную и судебную власть. Разжигая реваншизм, пропагандируя теорию </w:t>
      </w:r>
      <w:r w:rsidRPr="00C33834">
        <w:rPr>
          <w:rFonts w:ascii="Times New Roman" w:hAnsi="Times New Roman"/>
          <w:color w:val="000000" w:themeColor="text1"/>
          <w:sz w:val="16"/>
          <w:szCs w:val="16"/>
        </w:rPr>
        <w:lastRenderedPageBreak/>
        <w:t>расового превосходства немцев, Гитлер превратил Германию в военный лагерь, создал массовую армию. Осуществил фактически вооруженную интервенцию против Испанской республики (1936-1939), захватил Австрию (1938), а в 1938-1939 годах - Чехословакию. Создав блок стран-агрессоров (Германия, Япония, Италия), Гитлер развязал вторую мировую войну и оккупировал почти всю Западную Европу. 25 мая 1940 года Гитлер утвердил генеральный план «Ост», предусматривающий уничтожение десятков миллионов людей на территориях Восточной Европы и Советского Союза. В марте 1941 года определил главными задачами в войне против СССР уничтожение Советского государства, порабощение советского народа; предписал бесчеловечные методы ведения этой войны. 22 июня 1941 года по приказу Гитлера фашистские войска вероломно напали на СССР. После провала планов «молниеносной войны» стал главнокомандующим германской сухопутной армии в декабре 1941 года. В 1945 году, в условиях разгрома фашистской Германии, развала фашистского государства и вступления советских войск в Берлин, покончил жизнь самоубийством в подземелье берлинской имперской канцелярии (15025).</w:t>
      </w:r>
    </w:p>
    <w:p w14:paraId="4E723D9D" w14:textId="77777777" w:rsidR="00991BE3" w:rsidRPr="00C33834" w:rsidRDefault="00991BE3" w:rsidP="00C33834">
      <w:pPr>
        <w:spacing w:after="0" w:line="240" w:lineRule="auto"/>
        <w:jc w:val="both"/>
        <w:rPr>
          <w:rFonts w:ascii="Times New Roman" w:hAnsi="Times New Roman"/>
          <w:color w:val="000000" w:themeColor="text1"/>
          <w:sz w:val="16"/>
          <w:szCs w:val="16"/>
        </w:rPr>
      </w:pPr>
    </w:p>
    <w:p w14:paraId="0FB29976" w14:textId="77777777" w:rsidR="000D4A20"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1B60D25" w14:textId="77777777" w:rsidR="000D4A20" w:rsidRPr="00C33834" w:rsidRDefault="000D4A20"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0233702" w14:textId="77777777" w:rsidR="000D4A20" w:rsidRPr="00C33834" w:rsidRDefault="000D4A20" w:rsidP="00C33834">
      <w:pPr>
        <w:pStyle w:val="rtejustify"/>
        <w:spacing w:before="0" w:after="0"/>
        <w:rPr>
          <w:color w:val="000000" w:themeColor="text1"/>
          <w:sz w:val="16"/>
          <w:szCs w:val="16"/>
        </w:rPr>
      </w:pPr>
      <w:r w:rsidRPr="00C33834">
        <w:rPr>
          <w:rStyle w:val="af0"/>
          <w:bCs/>
          <w:i w:val="0"/>
          <w:color w:val="000000" w:themeColor="text1"/>
          <w:sz w:val="16"/>
          <w:szCs w:val="16"/>
        </w:rPr>
        <w:t>31 января</w:t>
      </w:r>
      <w:r w:rsidRPr="00C33834">
        <w:rPr>
          <w:rStyle w:val="af0"/>
          <w:rFonts w:eastAsiaTheme="majorEastAsia"/>
          <w:bCs/>
          <w:i w:val="0"/>
          <w:color w:val="000000" w:themeColor="text1"/>
          <w:sz w:val="16"/>
          <w:szCs w:val="16"/>
        </w:rPr>
        <w:t xml:space="preserve"> 1933</w:t>
      </w:r>
      <w:r w:rsidRPr="00C33834">
        <w:rPr>
          <w:color w:val="000000" w:themeColor="text1"/>
          <w:sz w:val="16"/>
          <w:szCs w:val="16"/>
        </w:rPr>
        <w:t>. Постановление РВСС «Об утверждении проекта подводной лодки «Щука Б»». (РГВА. Ф. 4. Оп. 18. Д. 23. Л. 29</w:t>
      </w:r>
      <w:r w:rsidRPr="00C33834">
        <w:rPr>
          <w:color w:val="000000" w:themeColor="text1"/>
          <w:sz w:val="16"/>
          <w:szCs w:val="16"/>
        </w:rPr>
        <w:noBreakHyphen/>
        <w:t>30) (15461).</w:t>
      </w:r>
    </w:p>
    <w:p w14:paraId="72021726" w14:textId="77777777" w:rsidR="000D4A20" w:rsidRPr="00C33834" w:rsidRDefault="000D4A20" w:rsidP="00C33834">
      <w:pPr>
        <w:pStyle w:val="rtejustify"/>
        <w:spacing w:before="0" w:after="0"/>
        <w:rPr>
          <w:rStyle w:val="af0"/>
          <w:bCs/>
          <w:i w:val="0"/>
          <w:color w:val="000000" w:themeColor="text1"/>
          <w:sz w:val="16"/>
          <w:szCs w:val="16"/>
        </w:rPr>
      </w:pPr>
    </w:p>
    <w:p w14:paraId="553EFB53" w14:textId="77777777" w:rsidR="001A7A4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C3C75FE" w14:textId="77777777" w:rsidR="001A7A44" w:rsidRPr="00C33834" w:rsidRDefault="001A7A4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6877F1E"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января 1933 во Франции после падения кабинета Жозефа Поль-Бонкура премьер-министром стал Эдуард Деладье (3186).</w:t>
      </w:r>
    </w:p>
    <w:p w14:paraId="772486D3"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4F554031" w14:textId="77777777" w:rsidR="007C00E8" w:rsidRPr="00C33834" w:rsidRDefault="007C00E8"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color w:val="000000" w:themeColor="text1"/>
          <w:sz w:val="16"/>
          <w:szCs w:val="16"/>
        </w:rPr>
        <w:t>31 января 1933 года, на следующий после назначения Гитлера канцлером день, Геббельс записал в своем дневнике: "На совещании у фюрера мы разработали план борьбы с красным террором. В данный момент мы воздержимся от прямых контрмер. Из попытки большевистской революции сначала должно возгореться пламя. В нужный момент мы нанесем удар" (17283).</w:t>
      </w:r>
    </w:p>
    <w:p w14:paraId="148C753D" w14:textId="77777777" w:rsidR="007C00E8" w:rsidRPr="00C33834" w:rsidRDefault="007C00E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B7A6C0A" w14:textId="77777777" w:rsidR="001A7A4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28FB564" w14:textId="77777777" w:rsidR="001A7A44" w:rsidRPr="00C33834" w:rsidRDefault="001A7A4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E2E9D9C"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января 1933 после обращения к П.И.Баранову С.В.Ильюшин и сам стал начальником бригады, в которой было всего 7, а по (8,8) - 6 специалистов (С.М.Егер, В.В.Никитин, В.В.Калинин - тот самый, что делал АК-1 по заказу Наркомтяжпрома с В.Л.Александровым, С.Н.Черников, З.З.Жевагина, А.Я.Левин, А.А.Сеньков) (24,61).</w:t>
      </w:r>
    </w:p>
    <w:p w14:paraId="0D61532D"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Конструкторский и директорский почерк С.В.Ильюшина был еще тот: комсомольско-молодежные бригады, статьи в стенгазете и т.п., многотиражка "Менжинец" (24,80).</w:t>
      </w:r>
    </w:p>
    <w:p w14:paraId="69C08F3B"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1B43B8E1"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января 1933 года в качестве макета на лодке самолета С62 бис была выполнена установка макета нового двигателя, что показало необходимость конструктивных переделок (установка направлена на завод № 31 для осуществления на готовом самолете) (3530,91).</w:t>
      </w:r>
    </w:p>
    <w:p w14:paraId="10185F8A"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1215F5C5" w14:textId="77777777" w:rsidR="002E2835" w:rsidRPr="00C33834" w:rsidRDefault="002E2835"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В конце января 1933 года руководство ГУАП и ЦАГИ обратилось с письмом к Начальнику ВВС РККА Я. И. Алкснису, в котором отмечалось, что:</w:t>
      </w:r>
    </w:p>
    <w:p w14:paraId="6F8248BA" w14:textId="77777777" w:rsidR="002E2835" w:rsidRPr="00C33834" w:rsidRDefault="002E2835"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 С момента утверждения Правительством плана опытного строительства (c 4.07.32) прошло полгода и несмотря на неоднократные с нашей стороны просьбы, лицо ряда самолетов совершенно не выяснено, а это не дает возможность развернуть конструкторские работы полностью. …</w:t>
      </w:r>
    </w:p>
    <w:p w14:paraId="742CF051" w14:textId="77777777" w:rsidR="002E2835" w:rsidRPr="00C33834" w:rsidRDefault="002E2835"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…8. По самолету И-13 срок его выхода на испытание назначен на 1.06.33. Лицо машины определено только лишь 30 декабря 1932 года. По полученным техническим требованиям, ЦАГИ должен начать проектировать новый самолет, т.к. вся работа, проводимая им по этому самолету (вариант развития И-8) не может быть использована по прямому назначению.</w:t>
      </w:r>
    </w:p>
    <w:p w14:paraId="7B0C513A" w14:textId="77777777" w:rsidR="002E2835" w:rsidRPr="00C33834" w:rsidRDefault="002E2835"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Срок изготовления И-13 М-32 по Вашим техтребованиям будет 1.12.33. …» (19177).</w:t>
      </w:r>
    </w:p>
    <w:p w14:paraId="22951D60" w14:textId="77777777" w:rsidR="002E2835" w:rsidRPr="00C33834" w:rsidRDefault="002E2835" w:rsidP="00C33834">
      <w:pPr>
        <w:pStyle w:val="ae"/>
        <w:shd w:val="clear" w:color="auto" w:fill="FFFFFF"/>
        <w:spacing w:before="0" w:after="0"/>
        <w:jc w:val="both"/>
        <w:textAlignment w:val="baseline"/>
        <w:rPr>
          <w:color w:val="000000" w:themeColor="text1"/>
          <w:sz w:val="16"/>
          <w:szCs w:val="16"/>
        </w:rPr>
      </w:pPr>
    </w:p>
    <w:p w14:paraId="4D94B6BA" w14:textId="77777777" w:rsidR="001A7A4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D32E904" w14:textId="77777777" w:rsidR="001A7A44" w:rsidRPr="00C33834" w:rsidRDefault="001A7A4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5222A6E"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испытали уборку шасси на ХАИ-1 (143,22).</w:t>
      </w:r>
    </w:p>
    <w:p w14:paraId="0AC267A0"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5F0E184D"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П.Г.Беннинг - одного из к К.А.К. - начал разработку чертежей экспериментального самолета типа ЛК и потом для отработки схемы построили планер ОсоавиахимовецХАИ (553,152).</w:t>
      </w:r>
    </w:p>
    <w:p w14:paraId="3AC71E23"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03DBE83B"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были утверждены ТТТ к АНТ-20 (2072,66).</w:t>
      </w:r>
    </w:p>
    <w:p w14:paraId="2668C5CC"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24EB2676" w14:textId="77777777" w:rsidR="008E51C3" w:rsidRPr="00C33834" w:rsidRDefault="008E51C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 январе 1933 г. Всесоюз</w:t>
      </w:r>
      <w:r w:rsidRPr="00C33834">
        <w:rPr>
          <w:rFonts w:ascii="Times New Roman" w:hAnsi="Times New Roman"/>
          <w:color w:val="0070C0"/>
          <w:sz w:val="16"/>
          <w:szCs w:val="16"/>
          <w:lang w:eastAsia="ru-RU" w:bidi="ru-RU"/>
        </w:rPr>
        <w:softHyphen/>
        <w:t>ный комитет по постройке агитсамолета «Максим Горький» организовал в своем составе Технический совет под председательством начальника Центрального аэрогидродннамического института (ЦАГИ) Н.М. Харламова. Тех</w:t>
      </w:r>
      <w:r w:rsidRPr="00C33834">
        <w:rPr>
          <w:rFonts w:ascii="Times New Roman" w:hAnsi="Times New Roman"/>
          <w:color w:val="0070C0"/>
          <w:sz w:val="16"/>
          <w:szCs w:val="16"/>
          <w:lang w:eastAsia="ru-RU" w:bidi="ru-RU"/>
        </w:rPr>
        <w:softHyphen/>
        <w:t>ническому совету предстояло определить «лицо» будущего самолета и разработать технические требования к нему исходя из тех основных задач, которые ему предстояло выполнять в свете решений Комитета, утвержденных 25 января 1933 г. Техсовету также поручили провести кон</w:t>
      </w:r>
      <w:r w:rsidRPr="00C33834">
        <w:rPr>
          <w:rFonts w:ascii="Times New Roman" w:hAnsi="Times New Roman"/>
          <w:color w:val="0070C0"/>
          <w:sz w:val="16"/>
          <w:szCs w:val="16"/>
          <w:lang w:eastAsia="ru-RU" w:bidi="ru-RU"/>
        </w:rPr>
        <w:softHyphen/>
        <w:t>курс на лучший проект самолета. В рабо</w:t>
      </w:r>
      <w:r w:rsidRPr="00C33834">
        <w:rPr>
          <w:rFonts w:ascii="Times New Roman" w:hAnsi="Times New Roman"/>
          <w:color w:val="0070C0"/>
          <w:sz w:val="16"/>
          <w:szCs w:val="16"/>
          <w:lang w:eastAsia="ru-RU" w:bidi="ru-RU"/>
        </w:rPr>
        <w:softHyphen/>
        <w:t>тах Техсовета приняли участие: ЦАГИ. Центральный институт авиационного моторост роения (ЦИАМ). институт по</w:t>
      </w:r>
      <w:r w:rsidRPr="00C33834">
        <w:rPr>
          <w:rFonts w:ascii="Times New Roman" w:hAnsi="Times New Roman"/>
          <w:color w:val="0070C0"/>
          <w:sz w:val="16"/>
          <w:szCs w:val="16"/>
          <w:lang w:eastAsia="ru-RU" w:bidi="ru-RU"/>
        </w:rPr>
        <w:softHyphen/>
        <w:t>лиграфической промышленности, фото- кин о и н с т и тут, н ау ч н о - и с с л едо вате л ь- ский институт ВВС, известные инженеры и конструкторы.</w:t>
      </w:r>
    </w:p>
    <w:p w14:paraId="6C2F392F" w14:textId="77777777" w:rsidR="008E51C3" w:rsidRPr="00C33834" w:rsidRDefault="008E51C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К этому времени стало очевидным, что одному самолету, пусть и такому ог</w:t>
      </w:r>
      <w:r w:rsidRPr="00C33834">
        <w:rPr>
          <w:rFonts w:ascii="Times New Roman" w:hAnsi="Times New Roman"/>
          <w:color w:val="0070C0"/>
          <w:sz w:val="16"/>
          <w:szCs w:val="16"/>
          <w:lang w:eastAsia="ru-RU" w:bidi="ru-RU"/>
        </w:rPr>
        <w:softHyphen/>
        <w:t>ромному, со всеми агитационными дела</w:t>
      </w:r>
      <w:r w:rsidRPr="00C33834">
        <w:rPr>
          <w:rFonts w:ascii="Times New Roman" w:hAnsi="Times New Roman"/>
          <w:color w:val="0070C0"/>
          <w:sz w:val="16"/>
          <w:szCs w:val="16"/>
          <w:lang w:eastAsia="ru-RU" w:bidi="ru-RU"/>
        </w:rPr>
        <w:softHyphen/>
        <w:t>ми не справиться. Поэтому Всесоюзный комитет поддержал инициативу журна</w:t>
      </w:r>
      <w:r w:rsidRPr="00C33834">
        <w:rPr>
          <w:rFonts w:ascii="Times New Roman" w:hAnsi="Times New Roman"/>
          <w:color w:val="0070C0"/>
          <w:sz w:val="16"/>
          <w:szCs w:val="16"/>
          <w:lang w:eastAsia="ru-RU" w:bidi="ru-RU"/>
        </w:rPr>
        <w:softHyphen/>
        <w:t>листов о создании специальной агитэс- кадрильи имени Максима Горького. Днем рождения эскадрильи считают 17 марта 1933 г. —день, когда вышел при</w:t>
      </w:r>
      <w:r w:rsidRPr="00C33834">
        <w:rPr>
          <w:rFonts w:ascii="Times New Roman" w:hAnsi="Times New Roman"/>
          <w:color w:val="0070C0"/>
          <w:sz w:val="16"/>
          <w:szCs w:val="16"/>
          <w:lang w:eastAsia="ru-RU" w:bidi="ru-RU"/>
        </w:rPr>
        <w:softHyphen/>
        <w:t>каз по Гражданскому Воздушному Флоту (21240).</w:t>
      </w:r>
    </w:p>
    <w:p w14:paraId="6AB1A261" w14:textId="77777777" w:rsidR="008E51C3" w:rsidRPr="00C33834" w:rsidRDefault="008E51C3" w:rsidP="00C33834">
      <w:pPr>
        <w:spacing w:after="0" w:line="240" w:lineRule="auto"/>
        <w:jc w:val="both"/>
        <w:rPr>
          <w:rFonts w:ascii="Times New Roman" w:hAnsi="Times New Roman"/>
          <w:color w:val="0070C0"/>
          <w:sz w:val="16"/>
          <w:szCs w:val="16"/>
        </w:rPr>
      </w:pPr>
    </w:p>
    <w:p w14:paraId="1C78FCF3" w14:textId="77777777" w:rsidR="000D4A20" w:rsidRPr="00C33834" w:rsidRDefault="000D4A20"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январе-феврале 1933 КБ под руководством Рафаэлянца с участием конструкторов ЦАГИ и завода №39 ГУАП Никитина, Государева, Флерова, Шварца, Ермонского, Кургузова, Астахова, Асахина и Гришина был разработан летающий колесно-гусеничный танк и изготовлен деревянный макет машины. Планировали использовать конструкцию подвески БТ-2. Рассмотрели еще два варианта - Добровольского и Самсонова (гидропередача) и проект Камова (автожир). По первому варианту изготовили деревянный макет, который был испытан в ЦАГИ в конце марта (9527,113).</w:t>
      </w:r>
    </w:p>
    <w:p w14:paraId="688CC7F2" w14:textId="77777777" w:rsidR="000D4A20" w:rsidRPr="00C33834" w:rsidRDefault="000D4A20" w:rsidP="00C33834">
      <w:pPr>
        <w:autoSpaceDE w:val="0"/>
        <w:autoSpaceDN w:val="0"/>
        <w:adjustRightInd w:val="0"/>
        <w:spacing w:after="0" w:line="240" w:lineRule="auto"/>
        <w:jc w:val="both"/>
        <w:rPr>
          <w:rFonts w:ascii="Times New Roman" w:hAnsi="Times New Roman"/>
          <w:color w:val="000000" w:themeColor="text1"/>
          <w:sz w:val="16"/>
          <w:szCs w:val="16"/>
        </w:rPr>
      </w:pPr>
    </w:p>
    <w:p w14:paraId="7BDF8EAA"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г., в связи с организацией на заводе № 39 имени В.Р. Менжинского конструкторского бюро (ЦКБ) под руководством С.В. Ильюши</w:t>
      </w:r>
      <w:r w:rsidRPr="00C33834">
        <w:rPr>
          <w:rFonts w:ascii="Times New Roman" w:hAnsi="Times New Roman"/>
          <w:color w:val="000000" w:themeColor="text1"/>
          <w:sz w:val="16"/>
          <w:szCs w:val="16"/>
        </w:rPr>
        <w:softHyphen/>
        <w:t>на, в него из КОСОС перевели несколько бригад, в том числе и бригаду № 5 Поликарпова, образованную для проектирования и постройки истребителя И-15 в КОСОС ЦАГИ (15823).</w:t>
      </w:r>
    </w:p>
    <w:p w14:paraId="4A710459" w14:textId="77777777" w:rsidR="000D4A20" w:rsidRPr="00C33834" w:rsidRDefault="000D4A20" w:rsidP="00C33834">
      <w:pPr>
        <w:spacing w:after="0" w:line="240" w:lineRule="auto"/>
        <w:jc w:val="both"/>
        <w:rPr>
          <w:rFonts w:ascii="Times New Roman" w:hAnsi="Times New Roman"/>
          <w:color w:val="000000" w:themeColor="text1"/>
          <w:sz w:val="16"/>
          <w:szCs w:val="16"/>
        </w:rPr>
      </w:pPr>
    </w:p>
    <w:p w14:paraId="6CC09615" w14:textId="77777777" w:rsidR="002E2835" w:rsidRPr="00C33834" w:rsidRDefault="002E2835"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В январе 1933 года, в связи с организацией на заводе №39 имени В. Р. Менжинского конструкторского бюро (ЦКБ) под руководством С. В. Ильюшина, в него из КОСОС перевели несколько бригад, в том числе и бригаду Н. Н. Поликарпова (19177).</w:t>
      </w:r>
    </w:p>
    <w:p w14:paraId="334A95F8" w14:textId="77777777" w:rsidR="002E2835" w:rsidRPr="00C33834" w:rsidRDefault="002E2835" w:rsidP="00C33834">
      <w:pPr>
        <w:pStyle w:val="ae"/>
        <w:shd w:val="clear" w:color="auto" w:fill="FFFFFF"/>
        <w:spacing w:before="0" w:after="0"/>
        <w:jc w:val="both"/>
        <w:textAlignment w:val="baseline"/>
        <w:rPr>
          <w:color w:val="000000" w:themeColor="text1"/>
          <w:sz w:val="16"/>
          <w:szCs w:val="16"/>
        </w:rPr>
      </w:pPr>
    </w:p>
    <w:p w14:paraId="4F682C20" w14:textId="77777777" w:rsidR="002E2835" w:rsidRPr="00C33834" w:rsidRDefault="002E283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г. вышел приказ начальника ГУАП П. И. Баранова о восстановлении имевшегося ранее положения, А. Н. Туполев снова возглавил коллектив АГОС (19727).</w:t>
      </w:r>
    </w:p>
    <w:p w14:paraId="6A71AA14" w14:textId="77777777" w:rsidR="002E2835" w:rsidRPr="00C33834" w:rsidRDefault="002E2835" w:rsidP="00C33834">
      <w:pPr>
        <w:spacing w:after="0" w:line="240" w:lineRule="auto"/>
        <w:jc w:val="both"/>
        <w:rPr>
          <w:rFonts w:ascii="Times New Roman" w:hAnsi="Times New Roman"/>
          <w:color w:val="000000" w:themeColor="text1"/>
          <w:sz w:val="16"/>
          <w:szCs w:val="16"/>
        </w:rPr>
      </w:pPr>
    </w:p>
    <w:p w14:paraId="2596B508"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г. к моменту переезда ЦКБ из ЦАГИ на завод № 39 в со</w:t>
      </w:r>
      <w:r w:rsidRPr="00C33834">
        <w:rPr>
          <w:rFonts w:ascii="Times New Roman" w:hAnsi="Times New Roman"/>
          <w:color w:val="000000" w:themeColor="text1"/>
          <w:sz w:val="16"/>
          <w:szCs w:val="16"/>
        </w:rPr>
        <w:softHyphen/>
        <w:t>ставе бригады Н.Н.П. было 13 человек. Это, фактически, было второе КБ, сформированное Н.Н. Первое, располагавшееся к 1929 г. на заводе № 25, после его ареста растворилось. К концу жизни Н.Н. в составе его КБ было порядка 200 конструкторов.</w:t>
      </w:r>
    </w:p>
    <w:p w14:paraId="21ABBFBC"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рассматриваемый период КБ меняло производственную базу в 1936, 1938, 1939 и 1940 годах, базируясь преимущественно на серийных заводах, имевших небольшие опыт</w:t>
      </w:r>
      <w:r w:rsidRPr="00C33834">
        <w:rPr>
          <w:rFonts w:ascii="Times New Roman" w:hAnsi="Times New Roman"/>
          <w:color w:val="000000" w:themeColor="text1"/>
          <w:sz w:val="16"/>
          <w:szCs w:val="16"/>
        </w:rPr>
        <w:softHyphen/>
        <w:t>ные производства. Несколько в стороне, но в том же ряду стоит эвакуация в Новоси</w:t>
      </w:r>
      <w:r w:rsidRPr="00C33834">
        <w:rPr>
          <w:rFonts w:ascii="Times New Roman" w:hAnsi="Times New Roman"/>
          <w:color w:val="000000" w:themeColor="text1"/>
          <w:sz w:val="16"/>
          <w:szCs w:val="16"/>
        </w:rPr>
        <w:softHyphen/>
        <w:t>бирск и реэвакуация в Москву. Одновременно с этим большие бригады конструкторов ОКБ работали на серийных заводах, отношения с которыми были достаточно сложными.</w:t>
      </w:r>
    </w:p>
    <w:p w14:paraId="54E7623E"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Итак, с января 1933 г. по июль 1936 г. Н.Н. являлся начальником истребительной бригады (№ 2) ЦКБ на заводе № 39 им. Менжинского.</w:t>
      </w:r>
    </w:p>
    <w:p w14:paraId="4BB0C149"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Что представлял собой в этот период завод № 39? Бывший ремонтный завод «Авиа</w:t>
      </w:r>
      <w:r w:rsidRPr="00C33834">
        <w:rPr>
          <w:rFonts w:ascii="Times New Roman" w:hAnsi="Times New Roman"/>
          <w:color w:val="000000" w:themeColor="text1"/>
          <w:sz w:val="16"/>
          <w:szCs w:val="16"/>
        </w:rPr>
        <w:softHyphen/>
        <w:t>работник», образованный в 1921 г. и входивший в трест «Промвоздух», в начале 1930 г. был включен в авиапромышленность и поглотил завод № 25, ставший второй террито</w:t>
      </w:r>
      <w:r w:rsidRPr="00C33834">
        <w:rPr>
          <w:rFonts w:ascii="Times New Roman" w:hAnsi="Times New Roman"/>
          <w:color w:val="000000" w:themeColor="text1"/>
          <w:sz w:val="16"/>
          <w:szCs w:val="16"/>
        </w:rPr>
        <w:softHyphen/>
        <w:t>рией завода. В 1930-1931 гг. на заводе № 39 размещалось ЦКБ-39 ОГПУ, в котором, находясь в заключении, работал и Н.Н. Поликарпов.</w:t>
      </w:r>
    </w:p>
    <w:p w14:paraId="56F3E26A"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ЦКБ опытного самолётостроения лёгких самолётов и войсковых серий во главе с С.В.Ильюшиным, переехавшее в январе 1933 г. с завода ЦАГИ на завод № 39, находи</w:t>
      </w:r>
      <w:r w:rsidRPr="00C33834">
        <w:rPr>
          <w:rFonts w:ascii="Times New Roman" w:hAnsi="Times New Roman"/>
          <w:color w:val="000000" w:themeColor="text1"/>
          <w:sz w:val="16"/>
          <w:szCs w:val="16"/>
        </w:rPr>
        <w:softHyphen/>
        <w:t>лось при заводе № 39, а не наоборот. Официально должность С.В. Ильюшина на заво</w:t>
      </w:r>
      <w:r w:rsidRPr="00C33834">
        <w:rPr>
          <w:rFonts w:ascii="Times New Roman" w:hAnsi="Times New Roman"/>
          <w:color w:val="000000" w:themeColor="text1"/>
          <w:sz w:val="16"/>
          <w:szCs w:val="16"/>
        </w:rPr>
        <w:softHyphen/>
        <w:t>де значилась — заместитель директора завода № 39 по конструкторской части.</w:t>
      </w:r>
    </w:p>
    <w:p w14:paraId="6541CEA1"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этот период шёл численный рост бригады № 2 с 13 (по другим данным — 17) че</w:t>
      </w:r>
      <w:r w:rsidRPr="00C33834">
        <w:rPr>
          <w:rFonts w:ascii="Times New Roman" w:hAnsi="Times New Roman"/>
          <w:color w:val="000000" w:themeColor="text1"/>
          <w:sz w:val="16"/>
          <w:szCs w:val="16"/>
        </w:rPr>
        <w:softHyphen/>
        <w:t>ловек в январе до 60-65 человек к концу 1933 г. Средний возраст членов бригады — 26-27 лет, стаж работы составлял 3-4 года. Как отмечал в своих заметках Н.Н. — «Про</w:t>
      </w:r>
      <w:r w:rsidRPr="00C33834">
        <w:rPr>
          <w:rFonts w:ascii="Times New Roman" w:hAnsi="Times New Roman"/>
          <w:color w:val="000000" w:themeColor="text1"/>
          <w:sz w:val="16"/>
          <w:szCs w:val="16"/>
        </w:rPr>
        <w:softHyphen/>
        <w:t>изводства смешанных конструкций не знали».</w:t>
      </w:r>
    </w:p>
    <w:p w14:paraId="28A0D354"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Положение дел на заводе № 39 как в зеркале отражало состояние всей нашей авиа</w:t>
      </w:r>
      <w:r w:rsidRPr="00C33834">
        <w:rPr>
          <w:rFonts w:ascii="Times New Roman" w:hAnsi="Times New Roman"/>
          <w:color w:val="000000" w:themeColor="text1"/>
          <w:sz w:val="16"/>
          <w:szCs w:val="16"/>
        </w:rPr>
        <w:softHyphen/>
        <w:t>ционной промышленности того периода, характерными чертами которой являлись:</w:t>
      </w:r>
    </w:p>
    <w:p w14:paraId="3CD7F304"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низкое качество производства вследствие как слабой производственной базы, так и отсутствия достаточного количества квалифицированных ИТР и рабочих;</w:t>
      </w:r>
    </w:p>
    <w:p w14:paraId="4392AE74" w14:textId="77777777" w:rsidR="000D4A20" w:rsidRPr="00C33834" w:rsidRDefault="000D4A20" w:rsidP="00C33834">
      <w:pPr>
        <w:tabs>
          <w:tab w:val="left" w:pos="425"/>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недостаточные производственные мощности;</w:t>
      </w:r>
    </w:p>
    <w:p w14:paraId="6D3B7559" w14:textId="77777777" w:rsidR="000D4A20" w:rsidRPr="00C33834" w:rsidRDefault="000D4A20" w:rsidP="00C33834">
      <w:pPr>
        <w:tabs>
          <w:tab w:val="left" w:pos="40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избыточность количества конструкторских организаций по сравнению с производ</w:t>
      </w:r>
      <w:r w:rsidRPr="00C33834">
        <w:rPr>
          <w:rFonts w:ascii="Times New Roman" w:hAnsi="Times New Roman"/>
          <w:color w:val="000000" w:themeColor="text1"/>
          <w:sz w:val="16"/>
          <w:szCs w:val="16"/>
        </w:rPr>
        <w:softHyphen/>
        <w:t>ственными (по крайней мере, для московского региона).</w:t>
      </w:r>
    </w:p>
    <w:p w14:paraId="1D11D60A"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Уже в этот, относительно спокойный период, выявились все основные особенности условий работы, преследовавшие Н.Н. практически до самой смерти:</w:t>
      </w:r>
    </w:p>
    <w:p w14:paraId="504CF71A" w14:textId="77777777" w:rsidR="000D4A20" w:rsidRPr="00C33834" w:rsidRDefault="000D4A20" w:rsidP="00C33834">
      <w:pPr>
        <w:tabs>
          <w:tab w:val="left" w:pos="438"/>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нехватка производственных мощностей и неподчинение производства ему как главному конструктору;</w:t>
      </w:r>
    </w:p>
    <w:p w14:paraId="33B08680" w14:textId="77777777" w:rsidR="000D4A20" w:rsidRPr="00C33834" w:rsidRDefault="000D4A20" w:rsidP="00C33834">
      <w:pPr>
        <w:tabs>
          <w:tab w:val="left" w:pos="40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неспособность производства качественно и в срок выполнять задания конструктор</w:t>
      </w:r>
      <w:r w:rsidRPr="00C33834">
        <w:rPr>
          <w:rFonts w:ascii="Times New Roman" w:hAnsi="Times New Roman"/>
          <w:color w:val="000000" w:themeColor="text1"/>
          <w:sz w:val="16"/>
          <w:szCs w:val="16"/>
        </w:rPr>
        <w:softHyphen/>
        <w:t>ского бюро;</w:t>
      </w:r>
    </w:p>
    <w:p w14:paraId="16249F1D" w14:textId="77777777" w:rsidR="000D4A20" w:rsidRPr="00C33834" w:rsidRDefault="000D4A20" w:rsidP="00C33834">
      <w:pPr>
        <w:tabs>
          <w:tab w:val="left" w:pos="40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стремление руководства заводов, на которых базировалось КБ, играть на несов</w:t>
      </w:r>
      <w:r w:rsidRPr="00C33834">
        <w:rPr>
          <w:rFonts w:ascii="Times New Roman" w:hAnsi="Times New Roman"/>
          <w:color w:val="000000" w:themeColor="text1"/>
          <w:sz w:val="16"/>
          <w:szCs w:val="16"/>
        </w:rPr>
        <w:softHyphen/>
        <w:t>падении интересов опытного и серийного производств (15804).</w:t>
      </w:r>
    </w:p>
    <w:p w14:paraId="15F8E15F" w14:textId="77777777" w:rsidR="000D4A20" w:rsidRPr="00C33834" w:rsidRDefault="000D4A20" w:rsidP="00C33834">
      <w:pPr>
        <w:tabs>
          <w:tab w:val="left" w:pos="409"/>
        </w:tabs>
        <w:spacing w:after="0" w:line="240" w:lineRule="auto"/>
        <w:jc w:val="both"/>
        <w:rPr>
          <w:rFonts w:ascii="Times New Roman" w:hAnsi="Times New Roman"/>
          <w:color w:val="000000" w:themeColor="text1"/>
          <w:sz w:val="16"/>
          <w:szCs w:val="16"/>
        </w:rPr>
      </w:pPr>
    </w:p>
    <w:p w14:paraId="07EAB815"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г. сформировали Технический совет под председательством начальника ЦАГИ Н.М. Харламова. Он должен был определить основные требования к будущему агитационному гиганту.</w:t>
      </w:r>
    </w:p>
    <w:p w14:paraId="52A4A471"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них заложили скорость 220 - 240 км/ч., полезную нагрузку 6000 - 7000 кг, дальность полета не менее 1000 км. Маневренности от многотонного гиганта требовать былотрудно. Он должен был лишь планировать под углом не более 25 градусов и выполнять развороты с небольшим креном. В связи со спецификой применения машины в задание заложили возможность взлета и посадки на сравнительно небольших аэродромах. Разбег на взлете должен был составлять всего 350-400 м, то есть примерно половину от реального разбега ТБ-4. Но вес машины был таков, что не всякий грунт мог ее выдержать. Предусматривались традиционное для того времени сменное шасси (летом - колеса, зимой - лыжи), современные металлические (а не деревянные, как на ТБ-4) воздушные винты, внутренняя телефонная связь, пневмопочта, отопление кабин, "центральная электростанция", позволяющая иметь ток при стоянке самолета. Особо оговаривалось применение материалов и оборудования только отечественного производства. Это было обусловлено пропагандистским назначением АНТ-20.</w:t>
      </w:r>
    </w:p>
    <w:p w14:paraId="11456057"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военное время агитсамолет предполагали использовать как транспортный или в качестве летающего штаба для высшего командования.</w:t>
      </w:r>
    </w:p>
    <w:p w14:paraId="2D8DA28D"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Задание первоначально предусматривало безангарное хранение машины, позже этот пункт из документа изъяли. Дело в том, что к этому времени уже имелся печальный опыт безангарного хранения бомбардировщиков ТБ-3. Уровень технологической культуры в то время был таков, что в щели между частями машины можно было местами засунуть палец. Зимой туда попадал снег, летом - дождь. Металл подвергался коррозии. Надежных защитных покрытий тогда еше не существовало. Низкокачественная эмаль плохо держалась на алюминиевых сплавах, быстро выцветала, ее разрушали потеки бензина и брызги горячего масла. Самолеты даже запрещали мыть щетками - при этом краска слезала лохмотьями.</w:t>
      </w:r>
    </w:p>
    <w:p w14:paraId="2DA1D6DD"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качестве альтернативы сотрудники ЦАГИ выдвинули встречную инициативу: собрать деньги еще и на гигантский ангар для огромного самолета. Ангар, правда, так и не построили. А если бы построили, то он остался бы в Москве; но ведь агитсамолет должен был летать по всей стране.</w:t>
      </w:r>
    </w:p>
    <w:p w14:paraId="34BC9562"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Предусматривался конкурс на лучший проект агитсамолета, но реально его не проводили. Учитывая, что в составе комитета присутствовали Харламов и Туполев, исход его был бы заранее предопределен. Нет вообще никаких сведений, представлялись ли на рассмотрение конкурирующие проекты (12024).</w:t>
      </w:r>
    </w:p>
    <w:p w14:paraId="41BB93D0"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542269C7"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г. приступили к выработке технических требований к агитационному самолету. От машины требовали скорость 220 - 240 км/ч, полезную нагрузку 6000 - 7000 кг, дальность полета не менее 1000 км. Предусматривались сменное шасси (летом - колеса, зимой - лыжи), металлические (а не деревянные) воздушные винты, внутренняя телефонная связь, пневмопочта, отопление кабин, "центральная электростанция", позволяющая иметь ток при стоянке самолета. Особо оговаривалось применение материалов и оборудования только отечественного производства. Это было обусловлено пропагандистским назначением АНТ-20. Задание первоначально предусматривало безангарное хранение машины, позже этот пункт из документа изъяли (12036).</w:t>
      </w:r>
    </w:p>
    <w:p w14:paraId="4740E19E"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1F1C3A93"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г. приняли решение включить Р-5 с М-34 в план серийного производства. К 1 января 1934 г. намечалось иметь в строю 3226 Р-5 с М-17 и 253 Р-5 с М-34. За март-апрель 1933 г. завод № 1 построил эталон для серии, и на этом работа остановилась: мото</w:t>
      </w:r>
      <w:r w:rsidRPr="00C33834">
        <w:rPr>
          <w:rFonts w:ascii="Times New Roman" w:hAnsi="Times New Roman"/>
          <w:color w:val="000000" w:themeColor="text1"/>
          <w:sz w:val="16"/>
          <w:szCs w:val="16"/>
        </w:rPr>
        <w:softHyphen/>
        <w:t>ров М-34 тогда не хватало для обеспечения серийного производства тяжелых бомбардировщиков ТБ-3. По</w:t>
      </w:r>
      <w:r w:rsidRPr="00C33834">
        <w:rPr>
          <w:rFonts w:ascii="Times New Roman" w:hAnsi="Times New Roman"/>
          <w:color w:val="000000" w:themeColor="text1"/>
          <w:sz w:val="16"/>
          <w:szCs w:val="16"/>
        </w:rPr>
        <w:softHyphen/>
        <w:t>этому на Р-5 решили ставить форсированные моторы М-17Ф, максимальная мощность которых была доведе</w:t>
      </w:r>
      <w:r w:rsidRPr="00C33834">
        <w:rPr>
          <w:rFonts w:ascii="Times New Roman" w:hAnsi="Times New Roman"/>
          <w:color w:val="000000" w:themeColor="text1"/>
          <w:sz w:val="16"/>
          <w:szCs w:val="16"/>
        </w:rPr>
        <w:softHyphen/>
        <w:t>на до 730 л.с., и рассмотреть вопрос об улучшении аэро</w:t>
      </w:r>
      <w:r w:rsidRPr="00C33834">
        <w:rPr>
          <w:rFonts w:ascii="Times New Roman" w:hAnsi="Times New Roman"/>
          <w:color w:val="000000" w:themeColor="text1"/>
          <w:sz w:val="16"/>
          <w:szCs w:val="16"/>
        </w:rPr>
        <w:softHyphen/>
        <w:t>динамики самолета (10667).</w:t>
      </w:r>
    </w:p>
    <w:p w14:paraId="18FFDA85"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2C04A66E" w14:textId="77777777" w:rsidR="00B8018B" w:rsidRPr="00C33834" w:rsidRDefault="00B8018B" w:rsidP="00C33834">
      <w:pPr>
        <w:shd w:val="clear" w:color="auto" w:fill="FFFFFF"/>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январе 1933 г. двухместный истребитель ДИ-4 вышел на испытания. Самолёт не оправдал надежд, и его разработка была прекращена (19876).</w:t>
      </w:r>
    </w:p>
    <w:p w14:paraId="4971A2AD" w14:textId="77777777" w:rsidR="00B8018B" w:rsidRPr="00C33834" w:rsidRDefault="00B8018B" w:rsidP="00C33834">
      <w:pPr>
        <w:shd w:val="clear" w:color="auto" w:fill="FFFFFF"/>
        <w:spacing w:after="0" w:line="240" w:lineRule="auto"/>
        <w:jc w:val="both"/>
        <w:rPr>
          <w:rFonts w:ascii="Times New Roman" w:hAnsi="Times New Roman"/>
          <w:color w:val="0070C0"/>
          <w:sz w:val="16"/>
          <w:szCs w:val="16"/>
        </w:rPr>
      </w:pPr>
    </w:p>
    <w:p w14:paraId="2A6ECDE0"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января 1933 испытывали МБР-4 (итальянская С-62, сделанная на 31 заводе) переделанный под М-34, но предпочтение потом отдали МБР-2 Г.М.Б. (2446,41).</w:t>
      </w:r>
    </w:p>
    <w:p w14:paraId="77DCCEA2"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797AC906" w14:textId="77777777" w:rsidR="00F349E3" w:rsidRPr="00C33834" w:rsidRDefault="00F349E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январе 1933 г. опытный самолет МБР-4 доставили для испытаний в Таганрог (21410).</w:t>
      </w:r>
    </w:p>
    <w:p w14:paraId="767EF379" w14:textId="77777777" w:rsidR="00F349E3" w:rsidRPr="00C33834" w:rsidRDefault="00F349E3" w:rsidP="00C33834">
      <w:pPr>
        <w:spacing w:after="0" w:line="240" w:lineRule="auto"/>
        <w:jc w:val="both"/>
        <w:rPr>
          <w:rFonts w:ascii="Times New Roman" w:hAnsi="Times New Roman"/>
          <w:color w:val="0070C0"/>
          <w:sz w:val="16"/>
          <w:szCs w:val="16"/>
        </w:rPr>
      </w:pPr>
    </w:p>
    <w:p w14:paraId="7F4F5261" w14:textId="77777777" w:rsidR="00F349E3" w:rsidRPr="00C33834" w:rsidRDefault="00F349E3" w:rsidP="00C33834">
      <w:pPr>
        <w:spacing w:after="0" w:line="240" w:lineRule="auto"/>
        <w:jc w:val="both"/>
        <w:rPr>
          <w:rFonts w:ascii="Times New Roman" w:hAnsi="Times New Roman"/>
          <w:color w:val="0070C0"/>
          <w:sz w:val="16"/>
          <w:szCs w:val="16"/>
          <w:lang w:eastAsia="ru-RU" w:bidi="ru-RU"/>
        </w:rPr>
      </w:pPr>
      <w:r w:rsidRPr="00C33834">
        <w:rPr>
          <w:rFonts w:ascii="Times New Roman" w:hAnsi="Times New Roman"/>
          <w:color w:val="0070C0"/>
          <w:sz w:val="16"/>
          <w:szCs w:val="16"/>
          <w:lang w:eastAsia="ru-RU" w:bidi="ru-RU"/>
        </w:rPr>
        <w:t xml:space="preserve">В начале 1933 г. на заводе № 31 построили МБР-4 с М-34. Запланированные к установке на МБР-4 моторы М-27 так в серию и не пошли (20325). </w:t>
      </w:r>
    </w:p>
    <w:p w14:paraId="211842F5" w14:textId="77777777" w:rsidR="00F349E3" w:rsidRPr="00C33834" w:rsidRDefault="00F349E3" w:rsidP="00C33834">
      <w:pPr>
        <w:spacing w:after="0" w:line="240" w:lineRule="auto"/>
        <w:jc w:val="both"/>
        <w:rPr>
          <w:rFonts w:ascii="Times New Roman" w:hAnsi="Times New Roman"/>
          <w:color w:val="0070C0"/>
          <w:sz w:val="16"/>
          <w:szCs w:val="16"/>
          <w:lang w:eastAsia="ru-RU" w:bidi="ru-RU"/>
        </w:rPr>
      </w:pPr>
    </w:p>
    <w:p w14:paraId="3ACD8440" w14:textId="77777777" w:rsidR="00F349E3" w:rsidRPr="00C33834" w:rsidRDefault="00F349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года опытная установка мотора М34 на МБР4-М34 ЦАГИ была выполнена и передана заводу N 1 (3516).</w:t>
      </w:r>
    </w:p>
    <w:p w14:paraId="79575D85" w14:textId="77777777" w:rsidR="00F349E3" w:rsidRPr="00C33834" w:rsidRDefault="00F349E3" w:rsidP="00C33834">
      <w:pPr>
        <w:autoSpaceDE w:val="0"/>
        <w:autoSpaceDN w:val="0"/>
        <w:adjustRightInd w:val="0"/>
        <w:spacing w:after="0" w:line="240" w:lineRule="auto"/>
        <w:jc w:val="both"/>
        <w:rPr>
          <w:rFonts w:ascii="Times New Roman" w:hAnsi="Times New Roman"/>
          <w:color w:val="000000" w:themeColor="text1"/>
          <w:sz w:val="16"/>
          <w:szCs w:val="16"/>
        </w:rPr>
      </w:pPr>
    </w:p>
    <w:p w14:paraId="6CF008E5" w14:textId="77777777" w:rsidR="002E2835" w:rsidRPr="00C33834" w:rsidRDefault="002E283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г. секцию особых конструкций ЭАО выделили в самостоятельный отдел особых конструкций (ООК). Конструкторские бригады возглавляли И. П. Брату - хин, М. Л. Миль, Н. И. Камов и др. (19727)</w:t>
      </w:r>
    </w:p>
    <w:p w14:paraId="4F9236B2" w14:textId="77777777" w:rsidR="002E2835" w:rsidRPr="00C33834" w:rsidRDefault="002E2835" w:rsidP="00C33834">
      <w:pPr>
        <w:spacing w:after="0" w:line="240" w:lineRule="auto"/>
        <w:jc w:val="both"/>
        <w:rPr>
          <w:rFonts w:ascii="Times New Roman" w:hAnsi="Times New Roman"/>
          <w:color w:val="000000" w:themeColor="text1"/>
          <w:sz w:val="16"/>
          <w:szCs w:val="16"/>
        </w:rPr>
      </w:pPr>
    </w:p>
    <w:p w14:paraId="79EC57E9" w14:textId="77777777" w:rsidR="00703F7E" w:rsidRPr="00C33834" w:rsidRDefault="00703F7E" w:rsidP="00C33834">
      <w:pPr>
        <w:shd w:val="clear" w:color="auto" w:fill="FFFFFF"/>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январе 1933 СОК была выделена из ЗАО и пре</w:t>
      </w:r>
      <w:r w:rsidRPr="00C33834">
        <w:rPr>
          <w:rFonts w:ascii="Times New Roman" w:hAnsi="Times New Roman"/>
          <w:color w:val="0070C0"/>
          <w:sz w:val="16"/>
          <w:szCs w:val="16"/>
        </w:rPr>
        <w:softHyphen/>
        <w:t xml:space="preserve">образована в самостоятельный отдел особых конструкций ЦАГИ (ООК) во главе с </w:t>
      </w:r>
      <w:r w:rsidRPr="00C33834">
        <w:rPr>
          <w:rFonts w:ascii="Times New Roman" w:hAnsi="Times New Roman"/>
          <w:color w:val="0070C0"/>
          <w:sz w:val="16"/>
          <w:szCs w:val="16"/>
          <w:lang w:val="en-US"/>
        </w:rPr>
        <w:t>A</w:t>
      </w:r>
      <w:r w:rsidRPr="00C33834">
        <w:rPr>
          <w:rFonts w:ascii="Times New Roman" w:hAnsi="Times New Roman"/>
          <w:color w:val="0070C0"/>
          <w:sz w:val="16"/>
          <w:szCs w:val="16"/>
        </w:rPr>
        <w:t>.</w:t>
      </w:r>
      <w:r w:rsidRPr="00C33834">
        <w:rPr>
          <w:rFonts w:ascii="Times New Roman" w:hAnsi="Times New Roman"/>
          <w:color w:val="0070C0"/>
          <w:sz w:val="16"/>
          <w:szCs w:val="16"/>
          <w:lang w:val="en-US"/>
        </w:rPr>
        <w:t>M</w:t>
      </w:r>
      <w:r w:rsidRPr="00C33834">
        <w:rPr>
          <w:rFonts w:ascii="Times New Roman" w:hAnsi="Times New Roman"/>
          <w:color w:val="0070C0"/>
          <w:sz w:val="16"/>
          <w:szCs w:val="16"/>
        </w:rPr>
        <w:t>. Изаксоном. В ООК было две чисто вертолет</w:t>
      </w:r>
      <w:r w:rsidRPr="00C33834">
        <w:rPr>
          <w:rFonts w:ascii="Times New Roman" w:hAnsi="Times New Roman"/>
          <w:color w:val="0070C0"/>
          <w:sz w:val="16"/>
          <w:szCs w:val="16"/>
        </w:rPr>
        <w:softHyphen/>
        <w:t>ных бригады: В.П. Лаписова - эксперимен</w:t>
      </w:r>
      <w:r w:rsidRPr="00C33834">
        <w:rPr>
          <w:rFonts w:ascii="Times New Roman" w:hAnsi="Times New Roman"/>
          <w:color w:val="0070C0"/>
          <w:sz w:val="16"/>
          <w:szCs w:val="16"/>
        </w:rPr>
        <w:softHyphen/>
        <w:t>тальных исследований и летных испытаний и конструкторская И.П. Братухина, четыре автожирные бригады (М.Л. Миль, В.А. Кузне</w:t>
      </w:r>
      <w:r w:rsidRPr="00C33834">
        <w:rPr>
          <w:rFonts w:ascii="Times New Roman" w:hAnsi="Times New Roman"/>
          <w:color w:val="0070C0"/>
          <w:sz w:val="16"/>
          <w:szCs w:val="16"/>
        </w:rPr>
        <w:softHyphen/>
        <w:t>цов, Н.И. Камов, Н.К. Скржинский) и две вспомогательных (19868).</w:t>
      </w:r>
    </w:p>
    <w:p w14:paraId="7AF56FBD" w14:textId="77777777" w:rsidR="00703F7E" w:rsidRPr="00C33834" w:rsidRDefault="00703F7E" w:rsidP="00C33834">
      <w:pPr>
        <w:shd w:val="clear" w:color="auto" w:fill="FFFFFF"/>
        <w:spacing w:after="0" w:line="240" w:lineRule="auto"/>
        <w:jc w:val="both"/>
        <w:rPr>
          <w:rFonts w:ascii="Times New Roman" w:hAnsi="Times New Roman"/>
          <w:color w:val="0070C0"/>
          <w:sz w:val="16"/>
          <w:szCs w:val="16"/>
        </w:rPr>
      </w:pPr>
    </w:p>
    <w:p w14:paraId="504FE41F" w14:textId="77777777" w:rsidR="00B8018B" w:rsidRPr="00C33834" w:rsidRDefault="00B8018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СОК была выделена из ЭАО и преобразована в самостоятельный отдел особых конструкций ЦАГИ (ООК), начальник и зам. - остались (64,19). В ООК было две чисто вертолетных бригады - В.П.Лаписова - экспериментальные исследования и летные испытания и И.П.Братухин - конструкторская, 4 автожирные бригада (М.Л.Миль, В.А.Кузнецов, Н.И.Камов, Н.К.Скржинский) и 2 вспомогательных (64,19).</w:t>
      </w:r>
    </w:p>
    <w:p w14:paraId="23EF622A" w14:textId="77777777" w:rsidR="00B8018B" w:rsidRPr="00C33834" w:rsidRDefault="00B8018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Считается, что бригада И.И.Погосского начала проектирование МК-1 (АНТ-22) в январе 1931 г., а задание пришло в декабре 1932 (44,99).</w:t>
      </w:r>
    </w:p>
    <w:p w14:paraId="3195A420" w14:textId="77777777" w:rsidR="00B8018B" w:rsidRPr="00C33834" w:rsidRDefault="00B8018B" w:rsidP="00C33834">
      <w:pPr>
        <w:autoSpaceDE w:val="0"/>
        <w:autoSpaceDN w:val="0"/>
        <w:adjustRightInd w:val="0"/>
        <w:spacing w:after="0" w:line="240" w:lineRule="auto"/>
        <w:jc w:val="both"/>
        <w:rPr>
          <w:rFonts w:ascii="Times New Roman" w:hAnsi="Times New Roman"/>
          <w:color w:val="000000" w:themeColor="text1"/>
          <w:sz w:val="16"/>
          <w:szCs w:val="16"/>
        </w:rPr>
      </w:pPr>
    </w:p>
    <w:p w14:paraId="54C6224F" w14:textId="77777777" w:rsidR="00B8018B" w:rsidRPr="00C33834" w:rsidRDefault="00B8018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г. СОК послужила основной для создания Отдела опытных конструкций (ООК) ЦАГИ во главе с А.М.Изаксоном. В состав ООК входили четыре конструкторские бригады под руководством И.П.Братухина, В.А.Кузнецова, Н.И.Камова и Н.К.Скржинского. М.Л.Миль возглавил бригаду аэродинамических расчетов, а В.П.Лаписов — бригаду летных испытаний. С именами этих людей неразрывно связана вся история зарождения отечественного вертолетостроения. Все они, за исключением Скржинского, впоследствии трудились на московском вертолетном заводе и много сделали для его становления и развития. Основным направлением работ ООК ЦАГИ в 30-е годы было проектирование и строительство автожиров, т.е. винтокрылых летательных аппаратов, несущий винт (ротор) которых приводился во вращение не механической трансмиссией от двигателя, а встречным потоком воздуха. Летательный аппарат такого типа был впервые построен испанским инженером X. де ла Сьерва в 1920 г. и послужил прототипом для ряда аналогичных машин, появившихся в разных странах мира. Внешне классический автожир первоначально походил на биплан, у которого сохранено нижнее крыло, а вместо верхнего крыла установлен ротор. Ось ротора свободно крепилась на вершине возвышающейся над фюзеляжем мачты — кабана. Управление первыми автожирами осуществлялось, как на самолетах, элеронами и рулями высоты и направления. Взлетал автожир с разбега, длина которого была значительно меньше, чем у самолета. Чтобы разбег сократить еще больше, автожиры оснащались различными стартерами — средствами предварительной раскрутки ротора. Самым эффективным стартером был механический. Ротор стоящего на тормозах автожира раскручивался от мотора и отключался, когда автожир начинал разбег (10752).</w:t>
      </w:r>
    </w:p>
    <w:p w14:paraId="501F23DD" w14:textId="77777777" w:rsidR="00B8018B" w:rsidRPr="00C33834" w:rsidRDefault="00B8018B" w:rsidP="00C33834">
      <w:pPr>
        <w:autoSpaceDE w:val="0"/>
        <w:autoSpaceDN w:val="0"/>
        <w:adjustRightInd w:val="0"/>
        <w:spacing w:after="0" w:line="240" w:lineRule="auto"/>
        <w:jc w:val="both"/>
        <w:rPr>
          <w:rFonts w:ascii="Times New Roman" w:hAnsi="Times New Roman"/>
          <w:color w:val="000000" w:themeColor="text1"/>
          <w:sz w:val="16"/>
          <w:szCs w:val="16"/>
        </w:rPr>
      </w:pPr>
    </w:p>
    <w:p w14:paraId="37492E18" w14:textId="77777777" w:rsidR="00B96AA7" w:rsidRPr="00C33834" w:rsidRDefault="00B96AA7" w:rsidP="00C33834">
      <w:pPr>
        <w:pStyle w:val="afff2"/>
        <w:shd w:val="clear" w:color="auto" w:fill="FFFFFF"/>
        <w:spacing w:before="0" w:beforeAutospacing="0" w:after="0" w:afterAutospacing="0"/>
        <w:jc w:val="both"/>
        <w:rPr>
          <w:color w:val="000000" w:themeColor="text1"/>
          <w:sz w:val="16"/>
          <w:szCs w:val="16"/>
        </w:rPr>
      </w:pPr>
      <w:r w:rsidRPr="00C33834">
        <w:rPr>
          <w:color w:val="000000" w:themeColor="text1"/>
          <w:sz w:val="16"/>
          <w:szCs w:val="16"/>
        </w:rPr>
        <w:t>В январе 1933 года на заводе № 18 пущены в эксплуатацию цеха: дюралевый, механический, слесарно-сварочный, заготовительный, жестяночный, фюзеляжный, плоскостной и предварительной сборки (19822).</w:t>
      </w:r>
    </w:p>
    <w:p w14:paraId="0D7A29FC" w14:textId="77777777" w:rsidR="00B96AA7" w:rsidRPr="00C33834" w:rsidRDefault="00B96AA7" w:rsidP="00C33834">
      <w:pPr>
        <w:pStyle w:val="afff2"/>
        <w:shd w:val="clear" w:color="auto" w:fill="FFFFFF"/>
        <w:spacing w:before="0" w:beforeAutospacing="0" w:after="0" w:afterAutospacing="0"/>
        <w:jc w:val="both"/>
        <w:rPr>
          <w:color w:val="000000" w:themeColor="text1"/>
          <w:sz w:val="16"/>
          <w:szCs w:val="16"/>
        </w:rPr>
      </w:pPr>
    </w:p>
    <w:p w14:paraId="69C6B23E"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г. М-34 (почему-то из 1-й серии, как уже го</w:t>
      </w:r>
      <w:r w:rsidRPr="00C33834">
        <w:rPr>
          <w:rFonts w:ascii="Times New Roman" w:hAnsi="Times New Roman"/>
          <w:color w:val="000000" w:themeColor="text1"/>
          <w:sz w:val="16"/>
          <w:szCs w:val="16"/>
        </w:rPr>
        <w:softHyphen/>
        <w:t>ворилось, считавшейся полностью забракованной) начали испытывать на тяжелом бомбардировщике ТБ-3. Два месяца самолет стоял на земле: доводили мотоустановку. Претензии: плохая приемистость, недобор обо</w:t>
      </w:r>
      <w:r w:rsidRPr="00C33834">
        <w:rPr>
          <w:rFonts w:ascii="Times New Roman" w:hAnsi="Times New Roman"/>
          <w:color w:val="000000" w:themeColor="text1"/>
          <w:sz w:val="16"/>
          <w:szCs w:val="16"/>
        </w:rPr>
        <w:softHyphen/>
        <w:t>ротов, перегрев. С 8 марта начали летать. Столкнулись с заклиниванием распределительных валов, те</w:t>
      </w:r>
      <w:r w:rsidRPr="00C33834">
        <w:rPr>
          <w:rFonts w:ascii="Times New Roman" w:hAnsi="Times New Roman"/>
          <w:color w:val="000000" w:themeColor="text1"/>
          <w:sz w:val="16"/>
          <w:szCs w:val="16"/>
        </w:rPr>
        <w:softHyphen/>
        <w:t>чью масла и отказами бензонасо</w:t>
      </w:r>
      <w:r w:rsidRPr="00C33834">
        <w:rPr>
          <w:rFonts w:ascii="Times New Roman" w:hAnsi="Times New Roman"/>
          <w:color w:val="000000" w:themeColor="text1"/>
          <w:sz w:val="16"/>
          <w:szCs w:val="16"/>
        </w:rPr>
        <w:softHyphen/>
        <w:t>сов (11848).</w:t>
      </w:r>
    </w:p>
    <w:p w14:paraId="06B0F075"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057C9D"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на ТБ-3 № 2221 поставили М-34, выпуск которых начался на заводе № 24 (9086).</w:t>
      </w:r>
    </w:p>
    <w:p w14:paraId="668A7125"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682377AC"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в третий раз велись госиспытания М-34 на стенде и опять неудачно — двигатель разрушился. В октябре того же года М-34 проходил государственные летные испытания на бомбардировщике ТБ-3. В 1932 г. начали серийный выпуск нового двигателя на заводе № 24 (Москва), к концу года ВВС получили 64 мотора 2-й серии, признанной годной для опытной эксплуатации. За следующий, 1933 г., выпущено было уже 790 экз. В 1934 г. М-34 демонстрировался в Париже как одно из достижений советской авиации. М-34 выпускался на заводе № 24 в большом количестве модификаций. Авиационные моторы закончили вы</w:t>
      </w:r>
      <w:r w:rsidRPr="00C33834">
        <w:rPr>
          <w:rFonts w:ascii="Times New Roman" w:hAnsi="Times New Roman"/>
          <w:color w:val="000000" w:themeColor="text1"/>
          <w:sz w:val="16"/>
          <w:szCs w:val="16"/>
        </w:rPr>
        <w:softHyphen/>
        <w:t>пускать в 1940 г., далее в небольших количествах делали катерные до конца 1942 г. Производство двигателей для торпедных катеров неодно</w:t>
      </w:r>
      <w:r w:rsidRPr="00C33834">
        <w:rPr>
          <w:rFonts w:ascii="Times New Roman" w:hAnsi="Times New Roman"/>
          <w:color w:val="000000" w:themeColor="text1"/>
          <w:sz w:val="16"/>
          <w:szCs w:val="16"/>
        </w:rPr>
        <w:softHyphen/>
        <w:t>кратно пытались восстановить вплоть до 1946 г., но этому мешала боль</w:t>
      </w:r>
      <w:r w:rsidRPr="00C33834">
        <w:rPr>
          <w:rFonts w:ascii="Times New Roman" w:hAnsi="Times New Roman"/>
          <w:color w:val="000000" w:themeColor="text1"/>
          <w:sz w:val="16"/>
          <w:szCs w:val="16"/>
        </w:rPr>
        <w:softHyphen/>
        <w:t>шая загрузка заводов заказами ВВС. Всего было изготовлено 10 538 экз. Позднее различными мастерскими производилась сборка двигателей из комплектов запасных частей и восстановленных деталей. С 9 августа 1936 г. в ознаменование заслуг Микулина двигатель был переименован в АМ-34. Однако на практике и далее пользовались как старым, гак и новым обозначением. Специальные модификации двигателя М-34 применялись на танках, са</w:t>
      </w:r>
      <w:r w:rsidRPr="00C33834">
        <w:rPr>
          <w:rFonts w:ascii="Times New Roman" w:hAnsi="Times New Roman"/>
          <w:color w:val="000000" w:themeColor="text1"/>
          <w:sz w:val="16"/>
          <w:szCs w:val="16"/>
        </w:rPr>
        <w:softHyphen/>
        <w:t>моходных артиллерийских установках, торпедных катерах и речных броне</w:t>
      </w:r>
      <w:r w:rsidRPr="00C33834">
        <w:rPr>
          <w:rFonts w:ascii="Times New Roman" w:hAnsi="Times New Roman"/>
          <w:color w:val="000000" w:themeColor="text1"/>
          <w:sz w:val="16"/>
          <w:szCs w:val="16"/>
        </w:rPr>
        <w:softHyphen/>
        <w:t>катерах.</w:t>
      </w:r>
    </w:p>
    <w:p w14:paraId="33B2FC85"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Характеристики:</w:t>
      </w:r>
    </w:p>
    <w:p w14:paraId="748E3788"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12-цилиндровый, рядный У-образный, четырехтактный, водяного охлаждения;</w:t>
      </w:r>
    </w:p>
    <w:p w14:paraId="0EF5459C"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мощность и вес в зависимости от модификации;</w:t>
      </w:r>
    </w:p>
    <w:p w14:paraId="727C260B"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степень сжатия 6,0 (у всех массовых модификаций);</w:t>
      </w:r>
    </w:p>
    <w:p w14:paraId="1FCC72ED"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диаметр цилиндра/ход поршня 160/190 (у модификации ФРН и более поздних в цилиндрах с прицепными шатунами — 196,7 мм);</w:t>
      </w:r>
    </w:p>
    <w:p w14:paraId="0161BC8D"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полный рабочий объем у ранних модификаций 45,82 л, начиная с</w:t>
      </w:r>
    </w:p>
    <w:p w14:paraId="1D8B2785"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ФРН — 46,66 л. М-34 выпускался в следующих модификациях:</w:t>
      </w:r>
    </w:p>
    <w:p w14:paraId="7E77D8EE"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М-34, первая серийная модификация двигателя, безредукторная, 750/800 л.с., 608 кг. Первые серии комплектовались импортными карбюраторами «Зенит 90Р», далее отечественными К-34. Эта моди</w:t>
      </w:r>
      <w:r w:rsidRPr="00C33834">
        <w:rPr>
          <w:rFonts w:ascii="Times New Roman" w:hAnsi="Times New Roman"/>
          <w:color w:val="000000" w:themeColor="text1"/>
          <w:sz w:val="16"/>
          <w:szCs w:val="16"/>
        </w:rPr>
        <w:softHyphen/>
        <w:t>фикация выпускалась до конца 1939 г.</w:t>
      </w:r>
    </w:p>
    <w:p w14:paraId="56CA0FF8"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Спаренная установка из двух М-34 с работой на один винт, проект для самолета К-7.</w:t>
      </w:r>
    </w:p>
    <w:p w14:paraId="20D375BC"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М-34Ф, малая серия М-34 с форсированием по оборотам без вне</w:t>
      </w:r>
      <w:r w:rsidRPr="00C33834">
        <w:rPr>
          <w:rFonts w:ascii="Times New Roman" w:hAnsi="Times New Roman"/>
          <w:color w:val="000000" w:themeColor="text1"/>
          <w:sz w:val="16"/>
          <w:szCs w:val="16"/>
        </w:rPr>
        <w:softHyphen/>
        <w:t>сения конструктивных изменений, только за счет регулировки, июнь 1933 г., 750/830 л.с.</w:t>
      </w:r>
    </w:p>
    <w:p w14:paraId="6B588290"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М-34Р. редукторный вариант, вес 677 кг, 750/800 л.с. Опытный об</w:t>
      </w:r>
      <w:r w:rsidRPr="00C33834">
        <w:rPr>
          <w:rFonts w:ascii="Times New Roman" w:hAnsi="Times New Roman"/>
          <w:color w:val="000000" w:themeColor="text1"/>
          <w:sz w:val="16"/>
          <w:szCs w:val="16"/>
        </w:rPr>
        <w:softHyphen/>
        <w:t>разец сделали в ноябре 1932 г. Государственные испытания успешно</w:t>
      </w:r>
    </w:p>
    <w:p w14:paraId="3D95C347"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прошли в марте — мае 1933 г., серийный выпуск начали с конца того же года. 23 мая 1934 г. на повторных стендовых испытаниях получен ресурс в 500 ч. М-34Р в больших количествах выпускался до конца 1939 г.</w:t>
      </w:r>
    </w:p>
    <w:p w14:paraId="3571431A"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М-34РД (он же М-34РСп), двигатель типа М-34Р специального за</w:t>
      </w:r>
      <w:r w:rsidRPr="00C33834">
        <w:rPr>
          <w:rFonts w:ascii="Times New Roman" w:hAnsi="Times New Roman"/>
          <w:color w:val="000000" w:themeColor="text1"/>
          <w:sz w:val="16"/>
          <w:szCs w:val="16"/>
        </w:rPr>
        <w:softHyphen/>
        <w:t>каза для рекордных самолетов АНТ-25 (РД), выпущенный в 1934 г. Сделали 20 комплектов деталей, из которых собрали 15 моторов, а сдали 10. Они отличались новыми всасывающими патрубками, мас</w:t>
      </w:r>
      <w:r w:rsidRPr="00C33834">
        <w:rPr>
          <w:rFonts w:ascii="Times New Roman" w:hAnsi="Times New Roman"/>
          <w:color w:val="000000" w:themeColor="text1"/>
          <w:sz w:val="16"/>
          <w:szCs w:val="16"/>
        </w:rPr>
        <w:softHyphen/>
        <w:t>ляными и водяными насосами, распредвалами, конструкцией хво</w:t>
      </w:r>
      <w:r w:rsidRPr="00C33834">
        <w:rPr>
          <w:rFonts w:ascii="Times New Roman" w:hAnsi="Times New Roman"/>
          <w:color w:val="000000" w:themeColor="text1"/>
          <w:sz w:val="16"/>
          <w:szCs w:val="16"/>
        </w:rPr>
        <w:softHyphen/>
        <w:t>стовика коленвала, наличием второго бензонасоса, а также более качественным изготовлением деталей (по другой технологии), мень</w:t>
      </w:r>
      <w:r w:rsidRPr="00C33834">
        <w:rPr>
          <w:rFonts w:ascii="Times New Roman" w:hAnsi="Times New Roman"/>
          <w:color w:val="000000" w:themeColor="text1"/>
          <w:sz w:val="16"/>
          <w:szCs w:val="16"/>
        </w:rPr>
        <w:softHyphen/>
        <w:t>шими допусками, применением для уплотнений высококачественной резины, тщательной регулировкой и карбюраторами К-34РД. За счет небольшого форсирования по оборотам максимальную мощность по</w:t>
      </w:r>
      <w:r w:rsidRPr="00C33834">
        <w:rPr>
          <w:rFonts w:ascii="Times New Roman" w:hAnsi="Times New Roman"/>
          <w:color w:val="000000" w:themeColor="text1"/>
          <w:sz w:val="16"/>
          <w:szCs w:val="16"/>
        </w:rPr>
        <w:softHyphen/>
        <w:t>высили до 830 л.с. Делались два варианта: со степенями сжатия 6,0 и 6,7. Первоначально для большей надежности их хотели укомплек</w:t>
      </w:r>
      <w:r w:rsidRPr="00C33834">
        <w:rPr>
          <w:rFonts w:ascii="Times New Roman" w:hAnsi="Times New Roman"/>
          <w:color w:val="000000" w:themeColor="text1"/>
          <w:sz w:val="16"/>
          <w:szCs w:val="16"/>
        </w:rPr>
        <w:softHyphen/>
        <w:t>товать импортными агрегатами, но получили запрет ГУАП. Позднее выпустили еще около 50 таких моторов для «представительских» ТБ-3, на которых наносились визиты в столицы европейских госу</w:t>
      </w:r>
      <w:r w:rsidRPr="00C33834">
        <w:rPr>
          <w:rFonts w:ascii="Times New Roman" w:hAnsi="Times New Roman"/>
          <w:color w:val="000000" w:themeColor="text1"/>
          <w:sz w:val="16"/>
          <w:szCs w:val="16"/>
        </w:rPr>
        <w:softHyphen/>
        <w:t>дарств.</w:t>
      </w:r>
    </w:p>
    <w:p w14:paraId="5527FAC9"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М-34Н, безредукторный с ПЦН, проектировался с 1931 г., 750/820 л.с. Первоначально планировали, что мотор пройдет госиспытания к 15 июня 1932 г. Но первый, двухскоростной, нагнетатель, спроекти</w:t>
      </w:r>
      <w:r w:rsidRPr="00C33834">
        <w:rPr>
          <w:rFonts w:ascii="Times New Roman" w:hAnsi="Times New Roman"/>
          <w:color w:val="000000" w:themeColor="text1"/>
          <w:sz w:val="16"/>
          <w:szCs w:val="16"/>
        </w:rPr>
        <w:softHyphen/>
        <w:t>рованный П.И. Орловым, А.А. Микулиным и А.Н. Данилевским, ока</w:t>
      </w:r>
      <w:r w:rsidRPr="00C33834">
        <w:rPr>
          <w:rFonts w:ascii="Times New Roman" w:hAnsi="Times New Roman"/>
          <w:color w:val="000000" w:themeColor="text1"/>
          <w:sz w:val="16"/>
          <w:szCs w:val="16"/>
        </w:rPr>
        <w:softHyphen/>
        <w:t>зался недостаточно надежным. Второй вариант ПЦН, односкоростной, создал Данилевский в ЦИАМ. Государственные испытания на двух опытных экземплярах провели в ноябре 1933 г., серия с сентября 1934 г. Нагнетатель выполнялся в виде отдельного съемного узла и мог монтироваться на моторы других модификаций. Введен карбю</w:t>
      </w:r>
      <w:r w:rsidRPr="00C33834">
        <w:rPr>
          <w:rFonts w:ascii="Times New Roman" w:hAnsi="Times New Roman"/>
          <w:color w:val="000000" w:themeColor="text1"/>
          <w:sz w:val="16"/>
          <w:szCs w:val="16"/>
        </w:rPr>
        <w:softHyphen/>
        <w:t>ратор К-34Б, устанавливавшийся впоследствии на все модификации с ПЦН. Проектировался облегченный вариант (560 кг) с картером из магниевого сплава. В дальнейшем ПЦН хотели сделать отключаемым. В 1934 г. вели переговоры с французскими фирмами «Испано-Сюиза» и «Фарман» о проектировании нового ПЦН для М-34Н. Пытались также приобрести нагнетатели «Рато» (М-34РАТО).</w:t>
      </w:r>
    </w:p>
    <w:p w14:paraId="79CCCFA7"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М-34Н с паротурбинным нагнетателем ПТК; нагнетатель ПТК спро</w:t>
      </w:r>
      <w:r w:rsidRPr="00C33834">
        <w:rPr>
          <w:rFonts w:ascii="Times New Roman" w:hAnsi="Times New Roman"/>
          <w:color w:val="000000" w:themeColor="text1"/>
          <w:sz w:val="16"/>
          <w:szCs w:val="16"/>
        </w:rPr>
        <w:softHyphen/>
        <w:t>ектирован в ХАЙ в 1938 г., доводился в Центральном котлотурбин-ном институте с 1939 г., в 1940 г. двигатель проходил стендовые и летные испытания; серийно не выпускался.</w:t>
      </w:r>
    </w:p>
    <w:p w14:paraId="41472351"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М-34Н с нагнетателем</w:t>
      </w:r>
    </w:p>
    <w:p w14:paraId="6122B8C2"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М-34РН, редукторный с ПЦН, малая серия, 750/820 л.с., вес 737,5 кг. По плану предполагалось представить опытный образец на госиспытания к 1 декабря 1932 г. Фактически же первый М-34РН начал заводские ис</w:t>
      </w:r>
      <w:r w:rsidRPr="00C33834">
        <w:rPr>
          <w:rFonts w:ascii="Times New Roman" w:hAnsi="Times New Roman"/>
          <w:color w:val="000000" w:themeColor="text1"/>
          <w:sz w:val="16"/>
          <w:szCs w:val="16"/>
        </w:rPr>
        <w:softHyphen/>
        <w:t>пытания 1 мая 1934 г. Его усовершенствованный вариант предъявили на госиспытания в сентябре, но они закончились неудачно — прогорели поршни. Нагнетатель идентичен использовавшемуся в М-34Н. М-34НА, усовершенствованный вариант М-34Н; мелкие изменения отдельных деталей для увеличения ресурса; 750/820 л.с. М-34РА, аналогичный предыдущей модификации вариант М-34Р с редуктором; 750/820 л.с.</w:t>
      </w:r>
    </w:p>
    <w:p w14:paraId="0C16DE9E"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М-34РНА, редукторный с ПЦН, включал все мелкие усовер</w:t>
      </w:r>
      <w:r w:rsidRPr="00C33834">
        <w:rPr>
          <w:rFonts w:ascii="Times New Roman" w:hAnsi="Times New Roman"/>
          <w:color w:val="000000" w:themeColor="text1"/>
          <w:sz w:val="16"/>
          <w:szCs w:val="16"/>
        </w:rPr>
        <w:softHyphen/>
        <w:t>шенствования, введенные на типах НА и РА, 750/820 л.с., вес 748 кг. Испытывался на ТБ-3 в мае 1935 г., серия с конца 1935 г. У ранних серий М-34РНА клапаны имели масляное охлаждение.</w:t>
      </w:r>
    </w:p>
    <w:p w14:paraId="64671BB4"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М-34НБ, усовершенствованный вариант типа НА с ужесточенным картером, облегченным коленвалом с измененным носком, дорабо</w:t>
      </w:r>
      <w:r w:rsidRPr="00C33834">
        <w:rPr>
          <w:rFonts w:ascii="Times New Roman" w:hAnsi="Times New Roman"/>
          <w:color w:val="000000" w:themeColor="text1"/>
          <w:sz w:val="16"/>
          <w:szCs w:val="16"/>
        </w:rPr>
        <w:softHyphen/>
        <w:t>танным ПЦН, 750/820 л.с., вес 638 кг.</w:t>
      </w:r>
    </w:p>
    <w:p w14:paraId="629EAD18"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М-34Н2Б с двумя турбонагнетателями ТК-1 и ПЦН от серийного М-34РН. Новые кованые поршни, четыре карбюратора К-4. Степень сжатия 7,0, мощность по документации 760/950 л.с. (реально полу</w:t>
      </w:r>
      <w:r w:rsidRPr="00C33834">
        <w:rPr>
          <w:rFonts w:ascii="Times New Roman" w:hAnsi="Times New Roman"/>
          <w:color w:val="000000" w:themeColor="text1"/>
          <w:sz w:val="16"/>
          <w:szCs w:val="16"/>
        </w:rPr>
        <w:softHyphen/>
        <w:t>чили 789/1033 л.с.), вес сухой без генератора 689 кг. Испытывался в июле — сентябре 1938 г. на опытном самолете РШ; испытания пре</w:t>
      </w:r>
      <w:r w:rsidRPr="00C33834">
        <w:rPr>
          <w:rFonts w:ascii="Times New Roman" w:hAnsi="Times New Roman"/>
          <w:color w:val="000000" w:themeColor="text1"/>
          <w:sz w:val="16"/>
          <w:szCs w:val="16"/>
        </w:rPr>
        <w:softHyphen/>
        <w:t>кращены из-за неоднократного обрыва лопаток турбины. М-34РНБ, аналогичный типу НБ редукторный вариант с облегченным по сравнению с РНА редуктором, 750/820 л.с., вес 725 кг. Существовал также его опытный вариант с двумя турбонагнетателя</w:t>
      </w:r>
      <w:r w:rsidRPr="00C33834">
        <w:rPr>
          <w:rFonts w:ascii="Times New Roman" w:hAnsi="Times New Roman"/>
          <w:color w:val="000000" w:themeColor="text1"/>
          <w:sz w:val="16"/>
          <w:szCs w:val="16"/>
        </w:rPr>
        <w:softHyphen/>
        <w:t>ми ТК-1, спроектированный В.И. Дмитриевским. М-34РНБ серийно выпускался с октября 1935 г. до конца 1939 г. В ноябре 1939 г. ис</w:t>
      </w:r>
      <w:r w:rsidRPr="00C33834">
        <w:rPr>
          <w:rFonts w:ascii="Times New Roman" w:hAnsi="Times New Roman"/>
          <w:color w:val="000000" w:themeColor="text1"/>
          <w:sz w:val="16"/>
          <w:szCs w:val="16"/>
        </w:rPr>
        <w:softHyphen/>
        <w:t>пытывался вариант этого мотора, форсированный до 900/1000 л.с. М-34П, вариант М-34РН с установкой пушки в развале цилиндров со стрельбой через полый вал редуктора. Задание было выдано в августе 1934 г. Информации о постройке опытных образцов нет. Установка из двух М-34, из которых один работал на винт, а вто</w:t>
      </w:r>
      <w:r w:rsidRPr="00C33834">
        <w:rPr>
          <w:rFonts w:ascii="Times New Roman" w:hAnsi="Times New Roman"/>
          <w:color w:val="000000" w:themeColor="text1"/>
          <w:sz w:val="16"/>
          <w:szCs w:val="16"/>
        </w:rPr>
        <w:softHyphen/>
        <w:t>рой вращал мощный нагнетатель. Проектировалась в марте 1934 г. в Военно-воздушной академии для стратосферного самолета. М-34, работавший на топливе с добавкой газообразного водорода, ис</w:t>
      </w:r>
      <w:r w:rsidRPr="00C33834">
        <w:rPr>
          <w:rFonts w:ascii="Times New Roman" w:hAnsi="Times New Roman"/>
          <w:color w:val="000000" w:themeColor="text1"/>
          <w:sz w:val="16"/>
          <w:szCs w:val="16"/>
        </w:rPr>
        <w:softHyphen/>
        <w:t>пытывался в ЦИАМ во второй половине 30-х годов. М-34СО, опытный образец, испытывавшийся в марте 1936 г. со сме</w:t>
      </w:r>
      <w:r w:rsidRPr="00C33834">
        <w:rPr>
          <w:rFonts w:ascii="Times New Roman" w:hAnsi="Times New Roman"/>
          <w:color w:val="000000" w:themeColor="text1"/>
          <w:sz w:val="16"/>
          <w:szCs w:val="16"/>
        </w:rPr>
        <w:softHyphen/>
        <w:t>шанным охлаждением: гильзы — воздухом, головки — этиленглико-лем. На испытаниях получена мощность 1050 л.с. М-34РСО, проект 1937 г., развитие преды</w:t>
      </w:r>
      <w:r w:rsidRPr="00C33834">
        <w:rPr>
          <w:rFonts w:ascii="Times New Roman" w:hAnsi="Times New Roman"/>
          <w:color w:val="000000" w:themeColor="text1"/>
          <w:sz w:val="16"/>
          <w:szCs w:val="16"/>
        </w:rPr>
        <w:softHyphen/>
        <w:t>дущего типа с редуктором, 1050/1200 л.с. М-34НВ, опытный, с непосредственным впрыском топлива, 985 л.с. Система впры</w:t>
      </w:r>
      <w:r w:rsidRPr="00C33834">
        <w:rPr>
          <w:rFonts w:ascii="Times New Roman" w:hAnsi="Times New Roman"/>
          <w:color w:val="000000" w:themeColor="text1"/>
          <w:sz w:val="16"/>
          <w:szCs w:val="16"/>
        </w:rPr>
        <w:softHyphen/>
        <w:t>ска создана С.А. Косбергом и Н.П. Сер-дюковым в ЦИАМ в 1934 г. Двигатель прошел 60-часовые стендовые испытания в 1935 г. и летные испытания на Р-Зет и ТБ-3 в 1937 г. Серийно не выпускался. М-34РНВ, опытный образец, аналогичен предыдущему типу, но оснащался пони</w:t>
      </w:r>
      <w:r w:rsidRPr="00C33834">
        <w:rPr>
          <w:rFonts w:ascii="Times New Roman" w:hAnsi="Times New Roman"/>
          <w:color w:val="000000" w:themeColor="text1"/>
          <w:sz w:val="16"/>
          <w:szCs w:val="16"/>
        </w:rPr>
        <w:softHyphen/>
        <w:t>жающим редуктором. М-34РНВ-ТК (он же М-34НРВ-ТК), опытный, отличался от предыдущего типа установкой турбонагнетателей ТК-1, 700/850 л.с., вес проектный 810 кг, конец 1938 г.</w:t>
      </w:r>
    </w:p>
    <w:p w14:paraId="7C63505A"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М-34 для привода агрегата центрального наддува АЦН-1, сконструи</w:t>
      </w:r>
      <w:r w:rsidRPr="00C33834">
        <w:rPr>
          <w:rFonts w:ascii="Times New Roman" w:hAnsi="Times New Roman"/>
          <w:color w:val="000000" w:themeColor="text1"/>
          <w:sz w:val="16"/>
          <w:szCs w:val="16"/>
        </w:rPr>
        <w:softHyphen/>
        <w:t>рованного под руководством С.А. Трескина в 1935 г. Проходил лет</w:t>
      </w:r>
      <w:r w:rsidRPr="00C33834">
        <w:rPr>
          <w:rFonts w:ascii="Times New Roman" w:hAnsi="Times New Roman"/>
          <w:color w:val="000000" w:themeColor="text1"/>
          <w:sz w:val="16"/>
          <w:szCs w:val="16"/>
        </w:rPr>
        <w:softHyphen/>
        <w:t>ные испытания на ТБ-3.</w:t>
      </w:r>
    </w:p>
    <w:p w14:paraId="090E7659"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М-34ФРН (он же М-34РФН и М-34РНФ), форсированный вариант М-34РН. В январе 1935 г. проходил госиспытания, но был снят из-за неполадок. Выпущена малая серия в 1935 г., доводился до весны 1938 г. По проекту мощность 1050/1200 л.с., фактически 900/1200 л.с. Усилены коленвал, редуктор, картер, введено боковое сочленение ша</w:t>
      </w:r>
      <w:r w:rsidRPr="00C33834">
        <w:rPr>
          <w:rFonts w:ascii="Times New Roman" w:hAnsi="Times New Roman"/>
          <w:color w:val="000000" w:themeColor="text1"/>
          <w:sz w:val="16"/>
          <w:szCs w:val="16"/>
        </w:rPr>
        <w:softHyphen/>
        <w:t>тунов, измененная система смазки, усовершенствованный ПЦН, новый механизм газораспределения, карбюраторы установлены после ПЦН (ранее стоял один карбюратор до ПЦН); рабочий объем 46,66 л, вес 735 кг. В 1937 г. опытный образец М-34ФРН выставлялся на авиаса</w:t>
      </w:r>
      <w:r w:rsidRPr="00C33834">
        <w:rPr>
          <w:rFonts w:ascii="Times New Roman" w:hAnsi="Times New Roman"/>
          <w:color w:val="000000" w:themeColor="text1"/>
          <w:sz w:val="16"/>
          <w:szCs w:val="16"/>
        </w:rPr>
        <w:softHyphen/>
        <w:t>лоне в Париже. В 1938 г. была выпущена небольшая серия М-34ФРН с турбонаддувом (М-34РНФТ, с двумя ТК-1), 1017 л.с./'1200 л.с. (по другим данным — 750/1200 л.с.), вес (проектный) 690 кг (по другим данным — 810 кг). Такие моторы проходили летные испытания на самолете ДБ-А.</w:t>
      </w:r>
    </w:p>
    <w:p w14:paraId="0ADEEC4F"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М-34ФРНУ, проект форсированного до 900 л.с. М-34РН с удлинен</w:t>
      </w:r>
      <w:r w:rsidRPr="00C33834">
        <w:rPr>
          <w:rFonts w:ascii="Times New Roman" w:hAnsi="Times New Roman"/>
          <w:color w:val="000000" w:themeColor="text1"/>
          <w:sz w:val="16"/>
          <w:szCs w:val="16"/>
        </w:rPr>
        <w:softHyphen/>
        <w:t>ным валом, 1933 г.</w:t>
      </w:r>
    </w:p>
    <w:p w14:paraId="251C3A1D"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М-34ФРНА, массовая серия на базе типа ФРН с четырьмя карбюра</w:t>
      </w:r>
      <w:r w:rsidRPr="00C33834">
        <w:rPr>
          <w:rFonts w:ascii="Times New Roman" w:hAnsi="Times New Roman"/>
          <w:color w:val="000000" w:themeColor="text1"/>
          <w:sz w:val="16"/>
          <w:szCs w:val="16"/>
        </w:rPr>
        <w:softHyphen/>
        <w:t>торами.</w:t>
      </w:r>
    </w:p>
    <w:p w14:paraId="46EE32D7"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М-34ФРНБ, массовая серия на базе типа ФРН с шестью карбюрато</w:t>
      </w:r>
      <w:r w:rsidRPr="00C33834">
        <w:rPr>
          <w:rFonts w:ascii="Times New Roman" w:hAnsi="Times New Roman"/>
          <w:color w:val="000000" w:themeColor="text1"/>
          <w:sz w:val="16"/>
          <w:szCs w:val="16"/>
        </w:rPr>
        <w:softHyphen/>
        <w:t>рами. В феврале 1937 г. проходил госиспытания вариант М-34ФРНБ (РФНБ) с карбюратором К-85, усиленным картером и облегченным редуктором, мощностью 1000/1050 л.с. Малой серией также был вы</w:t>
      </w:r>
      <w:r w:rsidRPr="00C33834">
        <w:rPr>
          <w:rFonts w:ascii="Times New Roman" w:hAnsi="Times New Roman"/>
          <w:color w:val="000000" w:themeColor="text1"/>
          <w:sz w:val="16"/>
          <w:szCs w:val="16"/>
        </w:rPr>
        <w:softHyphen/>
        <w:t>пущен вариант, рассчитанный на применение агрегата центрального наддува АЦН-2, созданного в ЦИАМ под руководством К.В. Минк-нера. АЦН-2 приводился в действие дополнительным мотором М-100 и обеспечивал наддув одновременно четырех М-34ФРНБ; мотоуста</w:t>
      </w:r>
      <w:r w:rsidRPr="00C33834">
        <w:rPr>
          <w:rFonts w:ascii="Times New Roman" w:hAnsi="Times New Roman"/>
          <w:color w:val="000000" w:themeColor="text1"/>
          <w:sz w:val="16"/>
          <w:szCs w:val="16"/>
        </w:rPr>
        <w:softHyphen/>
        <w:t>новка из четырех М-34ФРНБ и АЦН-2 испытывалась на опытном образце бомбардировщика ТБ-7 зимой и весной 1938 г. М-34ФРН с испарительным охлаждением; разрабатывался с начала 1935 г. в ЦИАМ Р.И. Бартошем, в 1936 г. изготовлена небольшая серия для опытного истребителя И-21. Двигатель имел повышающий редуктор и нестандартный нижний картер с герметическим сквозным каналом для прохода трубы лонжерона центроплана. В начале 1937 г. совершено несколько полетов на опытном образце И-21. М-34ФРНВ, дальнейшее развитие М-34ФРНБ, 1050/1200 л.с. Спроек</w:t>
      </w:r>
      <w:r w:rsidRPr="00C33834">
        <w:rPr>
          <w:rFonts w:ascii="Times New Roman" w:hAnsi="Times New Roman"/>
          <w:color w:val="000000" w:themeColor="text1"/>
          <w:sz w:val="16"/>
          <w:szCs w:val="16"/>
        </w:rPr>
        <w:softHyphen/>
        <w:t>тирован с тремя вариантами редуктора и двумя типами ПЦН. Впер</w:t>
      </w:r>
      <w:r w:rsidRPr="00C33834">
        <w:rPr>
          <w:rFonts w:ascii="Times New Roman" w:hAnsi="Times New Roman"/>
          <w:color w:val="000000" w:themeColor="text1"/>
          <w:sz w:val="16"/>
          <w:szCs w:val="16"/>
        </w:rPr>
        <w:softHyphen/>
        <w:t>вые выставлен на госиспытания в декабре 1937 г. (с весом 749 кг), но на испытаниях разрушился. По сравнению с М-34ФРНБ имел</w:t>
      </w:r>
    </w:p>
    <w:p w14:paraId="3B2146CF"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измененный картер, бронзовые (с покрытием свинцовистой бронзой, а не баббитом) вкладыши коренных опор с гиперболической расточкой, кожуха над клапанным механизмом из магниевого сплава, иной комплект агрега</w:t>
      </w:r>
      <w:r w:rsidRPr="00C33834">
        <w:rPr>
          <w:rFonts w:ascii="Times New Roman" w:hAnsi="Times New Roman"/>
          <w:color w:val="000000" w:themeColor="text1"/>
          <w:sz w:val="16"/>
          <w:szCs w:val="16"/>
        </w:rPr>
        <w:softHyphen/>
        <w:t>тов, удлиненный носок редуктора, усиленный коленвал с измененной схе</w:t>
      </w:r>
      <w:r w:rsidRPr="00C33834">
        <w:rPr>
          <w:rFonts w:ascii="Times New Roman" w:hAnsi="Times New Roman"/>
          <w:color w:val="000000" w:themeColor="text1"/>
          <w:sz w:val="16"/>
          <w:szCs w:val="16"/>
        </w:rPr>
        <w:softHyphen/>
        <w:t>мой смазки и четыре карбюратора К-4. В апреле 1938 г. был выставлен повторно с усилением ряда деталей (вес поднялся до 763,5 кг при 740 кг по заданию) и удовлетворительно отработал 100 ч. После этого заказали опытную серию из 50 двигателей. Серийное производство М-34ФРНВ велось в 1939-1940 гг. В мае — июне 1938 г. испытывался вариант М-34ФРНВ с непосредственным впрыском топлива (1050/1200 л.с., вес 810 кг). Последняя крупносерийная модификация М-34.</w:t>
      </w:r>
    </w:p>
    <w:p w14:paraId="06A651D6"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М-34НФ, опытный вариант с блоками от модификации ФРНВ, допол</w:t>
      </w:r>
      <w:r w:rsidRPr="00C33834">
        <w:rPr>
          <w:rFonts w:ascii="Times New Roman" w:hAnsi="Times New Roman"/>
          <w:color w:val="000000" w:themeColor="text1"/>
          <w:sz w:val="16"/>
          <w:szCs w:val="16"/>
        </w:rPr>
        <w:softHyphen/>
        <w:t>нительными масло- и бензонасосом, форсирован по "оборотам, имел ПЦН и два турбонагнетателя ТК-1. Карбюраторы К-4 установлены после ПЦН. Мощность 787/985 л.с., степень сжатия 7,0, испытывался в 1938-1939 гг. на самолетах Р-Зет и ТБ-3.</w:t>
      </w:r>
    </w:p>
    <w:p w14:paraId="359E4207"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М-34ФРНВ-ТК, вариант предыдущего типа. Имел два турбонагнетате</w:t>
      </w:r>
      <w:r w:rsidRPr="00C33834">
        <w:rPr>
          <w:rFonts w:ascii="Times New Roman" w:hAnsi="Times New Roman"/>
          <w:color w:val="000000" w:themeColor="text1"/>
          <w:sz w:val="16"/>
          <w:szCs w:val="16"/>
        </w:rPr>
        <w:softHyphen/>
        <w:t>ля ТК-1. Вес по проекту (с турбонагнетателями) 850 кг, 950/1200 л.с. Испытывался в сентябре 1939 г.</w:t>
      </w:r>
    </w:p>
    <w:p w14:paraId="1357E4BB"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М-34ФРГН, подробности неизвестны.</w:t>
      </w:r>
    </w:p>
    <w:p w14:paraId="2DEE99C6"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М-34РБ, в 1938-1939 гг. переделывались из М-34РНБ путем демон</w:t>
      </w:r>
      <w:r w:rsidRPr="00C33834">
        <w:rPr>
          <w:rFonts w:ascii="Times New Roman" w:hAnsi="Times New Roman"/>
          <w:color w:val="000000" w:themeColor="text1"/>
          <w:sz w:val="16"/>
          <w:szCs w:val="16"/>
        </w:rPr>
        <w:softHyphen/>
        <w:t>тажа ПЦН для повышения надежности и увеличения реечрса.</w:t>
      </w:r>
    </w:p>
    <w:p w14:paraId="358E117B"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М-34РБ</w:t>
      </w:r>
    </w:p>
    <w:p w14:paraId="26415947"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Катерный мотор ГМ-34 (ГАМ-34)</w:t>
      </w:r>
    </w:p>
    <w:p w14:paraId="340AB81C"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ГМ-34, двигатель для торпедных катеров с реверс-редуктором, муф</w:t>
      </w:r>
      <w:r w:rsidRPr="00C33834">
        <w:rPr>
          <w:rFonts w:ascii="Times New Roman" w:hAnsi="Times New Roman"/>
          <w:color w:val="000000" w:themeColor="text1"/>
          <w:sz w:val="16"/>
          <w:szCs w:val="16"/>
        </w:rPr>
        <w:softHyphen/>
        <w:t>той свободного хода, измененными системами охлаждения (забортной водой) и выхлопной. Разрабатывался В.М. Яковлевым с 1932 г. По плану планировалось представить на госиспытания к 1 октября 1932 г.]</w:t>
      </w:r>
    </w:p>
    <w:p w14:paraId="1A45D04F"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1932 г. пару опытных двигателей установили на торпед</w:t>
      </w:r>
      <w:r w:rsidRPr="00C33834">
        <w:rPr>
          <w:rFonts w:ascii="Times New Roman" w:hAnsi="Times New Roman"/>
          <w:color w:val="000000" w:themeColor="text1"/>
          <w:sz w:val="16"/>
          <w:szCs w:val="16"/>
        </w:rPr>
        <w:softHyphen/>
        <w:t>ный катер. Государственные испытания на нем завершились в августе 1934 г. С того же года мотор выпускался серийно, 750/800 л.с., вес 864 кг (с реверс-муфтой и коллекторами 1000 кг).</w:t>
      </w:r>
    </w:p>
    <w:p w14:paraId="03551AC7"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ГМ-34Ф, усовершенствованный вариант предыдущего типа. Имел коренные вкладыши из бронзы, коленвал, головки блоков и часть агрегатов от М-34ФРНВ. Степень сжатия 7,3. Строился серийно, 800/1000 л.с., вес 1080 кг. Работал на бензин-спиртовой .смеси.</w:t>
      </w:r>
    </w:p>
    <w:p w14:paraId="72F100FB"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ГМ-34ФН, вариант ГМ-34Ф с ПЦН ФН-25 и одним карбюратором К-4. Маслосистема по типу ГАМ-34БС. Степень сжатия 6,0, мощ</w:t>
      </w:r>
      <w:r w:rsidRPr="00C33834">
        <w:rPr>
          <w:rFonts w:ascii="Times New Roman" w:hAnsi="Times New Roman"/>
          <w:color w:val="000000" w:themeColor="text1"/>
          <w:sz w:val="16"/>
          <w:szCs w:val="16"/>
        </w:rPr>
        <w:softHyphen/>
        <w:t>ность 1200 л.с., вес 1110 кг. Работал на бензин-спиртовой смеси. Се</w:t>
      </w:r>
      <w:r w:rsidRPr="00C33834">
        <w:rPr>
          <w:rFonts w:ascii="Times New Roman" w:hAnsi="Times New Roman"/>
          <w:color w:val="000000" w:themeColor="text1"/>
          <w:sz w:val="16"/>
          <w:szCs w:val="16"/>
        </w:rPr>
        <w:softHyphen/>
        <w:t>рийно выпускался с августа 1939 г.</w:t>
      </w:r>
    </w:p>
    <w:p w14:paraId="22BFA256"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ГМ-34БП, вариант для речных бронекатеров с реверс-редуктором, 800 л.с., выпускался серийно.</w:t>
      </w:r>
    </w:p>
    <w:p w14:paraId="2CC37F1B"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ГМ-34БС, усовершенствованный вариант предыдущего типа, 850 л.с., выпускался серийно до 1943 г. Работал на бензин-спиртовой смеси. Вес 1045 кг.</w:t>
      </w:r>
    </w:p>
    <w:p w14:paraId="62EFFBAF"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ГМ-34БТ. вариант для танков на базе катерного с измененной си</w:t>
      </w:r>
      <w:r w:rsidRPr="00C33834">
        <w:rPr>
          <w:rFonts w:ascii="Times New Roman" w:hAnsi="Times New Roman"/>
          <w:color w:val="000000" w:themeColor="text1"/>
          <w:sz w:val="16"/>
          <w:szCs w:val="16"/>
        </w:rPr>
        <w:softHyphen/>
        <w:t>стемой охлаждения, вентилятором принудительного обдува, новым редуктором; мощность 850 л.с. Имел электростартер вместо пневмо-пуска. Выпускался малой серией в 1939 г.</w:t>
      </w:r>
    </w:p>
    <w:p w14:paraId="2B97505A"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 семейства М-34 (АМ-34) устанавливались на серийных самолетах ТБ-3, КР-6, Р-Зет, АНТ-25 (РД, ДБ-1), МБР-2, МТБ-1, ТБ-7 (Пе-8, первая малая серия), ДБ-А, опытных ЛР, ТШ-3, МИ-ЗД, Т-1 (АНТ-41), ТБ-4, К-7, МГ (АНТ-20), ПС-124, И-21 (ЦКБ-32, с паровым охлаждением), ПИ (не до</w:t>
      </w:r>
      <w:r w:rsidRPr="00C33834">
        <w:rPr>
          <w:rFonts w:ascii="Times New Roman" w:hAnsi="Times New Roman"/>
          <w:color w:val="000000" w:themeColor="text1"/>
          <w:sz w:val="16"/>
          <w:szCs w:val="16"/>
        </w:rPr>
        <w:softHyphen/>
        <w:t>строен), К-13, МК-1, «Сталь-МАИ», МИ-3. Их применение также предусма</w:t>
      </w:r>
      <w:r w:rsidRPr="00C33834">
        <w:rPr>
          <w:rFonts w:ascii="Times New Roman" w:hAnsi="Times New Roman"/>
          <w:color w:val="000000" w:themeColor="text1"/>
          <w:sz w:val="16"/>
          <w:szCs w:val="16"/>
        </w:rPr>
        <w:softHyphen/>
        <w:t>тривалось в проектах ТБ-6, «Сталь-5», АНТ-15, ТШ-Б (АНТ-17 и АНТ-18), ВИТ-2, АНТ-51 (СЗ), бронированного штурмовика Самсонова и Доброволь</w:t>
      </w:r>
      <w:r w:rsidRPr="00C33834">
        <w:rPr>
          <w:rFonts w:ascii="Times New Roman" w:hAnsi="Times New Roman"/>
          <w:color w:val="000000" w:themeColor="text1"/>
          <w:sz w:val="16"/>
          <w:szCs w:val="16"/>
        </w:rPr>
        <w:softHyphen/>
        <w:t>ского на гусеничном ходу (на базе ТШ-2), танка-вертолета Камова.</w:t>
      </w:r>
    </w:p>
    <w:p w14:paraId="66F2561F"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 типа ГМ-34 (ГАМ-34) монтировались на торпедных катерах Г-5 (серийно строились до 1943 г.), Г-6, Г-8, СМ-4 (построено по одному катеру), закладывались в проекты катеров Г-9 и Г-10, а также на речных бронекатерах проектов 1124 и 1125 (массово строились до 1944 г.).</w:t>
      </w:r>
    </w:p>
    <w:p w14:paraId="79DEE3C3"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Танковые моторы ГМ-34БТ (ГАМ-34БТ) устанавливались на опытных танках Т-100 и СМК, проходивших войсковые испытания на фронте во время войны с Финляндией зимой 1940 г., а также опытном самоходном орудии СУ-100у («Игрек», 1940 г.), применявшемся в боях под Москвой зимой 1941 г. (11952)</w:t>
      </w:r>
    </w:p>
    <w:p w14:paraId="76D49D62"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A6A805"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г. литые поршни на М-38 заменили коваными, механизм газораспределения модернизировали, взяв за образец Бристоль «Меркьюри». Но заданной мощности 600 л.с. достичь -не уда</w:t>
      </w:r>
      <w:r w:rsidRPr="00C33834">
        <w:rPr>
          <w:rFonts w:ascii="Times New Roman" w:hAnsi="Times New Roman"/>
          <w:color w:val="000000" w:themeColor="text1"/>
          <w:sz w:val="16"/>
          <w:szCs w:val="16"/>
        </w:rPr>
        <w:softHyphen/>
        <w:t>лось. После принятия решения о запуске в производство американского «Циклона» ценность недоведенного М-38 сразу упала. В конце 1933 г. работу по нему прекратили.</w:t>
      </w:r>
    </w:p>
    <w:p w14:paraId="7588A58C"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для истребителей. Проектировался под руководством Ф.В. Концевича на заводе № 24 с 1930 г., с февраля 1931 г. в ИАМ. Общая компоновка завершена в мае 1931 г., рабочие чертежи — в янва</w:t>
      </w:r>
      <w:r w:rsidRPr="00C33834">
        <w:rPr>
          <w:rFonts w:ascii="Times New Roman" w:hAnsi="Times New Roman"/>
          <w:color w:val="000000" w:themeColor="text1"/>
          <w:sz w:val="16"/>
          <w:szCs w:val="16"/>
        </w:rPr>
        <w:softHyphen/>
        <w:t>ре 1932 г. Опытным заводом НАМ в 1932 г. изготовлены два опытных образца. Стендовые испытания проводились с осени 1932 г. Выявлены трещины в поршнях, ненадежность газораспределения. Доводка двигателя шла до осени 1933 г. Работы прекращены из-за несоответствия реальной</w:t>
      </w:r>
    </w:p>
    <w:p w14:paraId="1643F4FB"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мощности двигателя заданию и превышения веса (по заданию не более 400 кг).</w:t>
      </w:r>
    </w:p>
    <w:p w14:paraId="481A043F"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Характеристики:</w:t>
      </w:r>
    </w:p>
    <w:p w14:paraId="2921AE2B"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9-цилиндровый, звездообразный, четырехтактный, воздушного охлаж</w:t>
      </w:r>
      <w:r w:rsidRPr="00C33834">
        <w:rPr>
          <w:rFonts w:ascii="Times New Roman" w:hAnsi="Times New Roman"/>
          <w:color w:val="000000" w:themeColor="text1"/>
          <w:sz w:val="16"/>
          <w:szCs w:val="16"/>
        </w:rPr>
        <w:softHyphen/>
        <w:t>дения;</w:t>
      </w:r>
    </w:p>
    <w:p w14:paraId="0C2373D4"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безредукторный;</w:t>
      </w:r>
    </w:p>
    <w:p w14:paraId="471F3514"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мощность по проекту 570/600 л.с. (фактически получено 575 л.с.);</w:t>
      </w:r>
    </w:p>
    <w:p w14:paraId="1344086D"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вес 460 кг (по заданию 450 кг);</w:t>
      </w:r>
    </w:p>
    <w:p w14:paraId="3403EE01"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диаметр цилиндра/ход поршня 135/160 мм;</w:t>
      </w:r>
    </w:p>
    <w:p w14:paraId="15CE5CE1"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полный рабочий объем 30,7 л;</w:t>
      </w:r>
    </w:p>
    <w:p w14:paraId="28CDE647"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степень сжатия 6,0. Проектировались несколько модификаций:</w:t>
      </w:r>
    </w:p>
    <w:p w14:paraId="7E07F0A8"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М-38 без редуктора и нагнетателя.</w:t>
      </w:r>
    </w:p>
    <w:p w14:paraId="11A84615"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М-38Н с односкоростным ПЦН.</w:t>
      </w:r>
    </w:p>
    <w:p w14:paraId="7F956094"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М-38Г (М-38Гр) для гражданских самолетов на базе М-38Н.</w:t>
      </w:r>
    </w:p>
    <w:p w14:paraId="20A6FC83"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М-38РН с редуктором и ПЦН, 600 л.с., вес 430 кг (по расчету). Предлагался для истребителей И-5, И-9, И-14, И-15, корабельного раз</w:t>
      </w:r>
      <w:r w:rsidRPr="00C33834">
        <w:rPr>
          <w:rFonts w:ascii="Times New Roman" w:hAnsi="Times New Roman"/>
          <w:color w:val="000000" w:themeColor="text1"/>
          <w:sz w:val="16"/>
          <w:szCs w:val="16"/>
        </w:rPr>
        <w:softHyphen/>
        <w:t>ведчика КР-2 (11852).</w:t>
      </w:r>
    </w:p>
    <w:p w14:paraId="4131F30C" w14:textId="77777777" w:rsidR="001A7A44" w:rsidRPr="00C33834" w:rsidRDefault="001A7A4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45FBCF" w14:textId="77777777" w:rsidR="001A7A44" w:rsidRPr="00C33834" w:rsidRDefault="001A7A4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года начальник ВВС Алкснис писал письмо председателю РВС (6779).</w:t>
      </w:r>
    </w:p>
    <w:p w14:paraId="7BDA15FA" w14:textId="77777777" w:rsidR="001A7A44" w:rsidRPr="00C33834" w:rsidRDefault="001A7A4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постройке дорожки для взлета рекордного самолета на дальность.</w:t>
      </w:r>
    </w:p>
    <w:p w14:paraId="788A1998" w14:textId="77777777" w:rsidR="001A7A44" w:rsidRPr="00C33834" w:rsidRDefault="001A7A4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будет закончен постройкой к маю 1933 года.</w:t>
      </w:r>
    </w:p>
    <w:p w14:paraId="6504CD22" w14:textId="77777777" w:rsidR="001A7A44" w:rsidRPr="00C33834" w:rsidRDefault="001A7A4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Дорожка для взлета самолета должна быть построена на аэродроме НИИ ВВС в Щелкове, где она будет широко использована не только для взлета рекордного самолета на дальность, но и при целом ряде испытаний сильно перегруженных самолетов.</w:t>
      </w:r>
    </w:p>
    <w:p w14:paraId="043E875E" w14:textId="77777777" w:rsidR="001A7A44" w:rsidRPr="00C33834" w:rsidRDefault="001A7A4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………………..(6779, 30).</w:t>
      </w:r>
    </w:p>
    <w:p w14:paraId="6DDBD7D8" w14:textId="77777777" w:rsidR="001A7A44" w:rsidRPr="00C33834" w:rsidRDefault="001A7A4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F46A3D"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В.П.Ч. ушел из НИИ ВВС в ЦКБ (172,60).</w:t>
      </w:r>
    </w:p>
    <w:p w14:paraId="2C9C67E0"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Интересно, какие отношения у С.В.Ильюшина были с В.П.Чкаловым, почему он подружился не с ним - ставшим другом И.В.С., а с темным В.К.Коккинаки. Какие были отношения с другими летчиками-испытателями.</w:t>
      </w:r>
    </w:p>
    <w:p w14:paraId="0749BB52"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32A3DC15"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года Сталин, подводя итоги выполнения первой пятилетки, торжественно объявил: «</w:t>
      </w:r>
      <w:r w:rsidRPr="00C33834">
        <w:rPr>
          <w:rFonts w:ascii="Times New Roman" w:hAnsi="Times New Roman"/>
          <w:iCs/>
          <w:color w:val="000000" w:themeColor="text1"/>
          <w:sz w:val="16"/>
          <w:szCs w:val="16"/>
        </w:rPr>
        <w:t xml:space="preserve">У нас не было авиационной промышленности. У нас она есть теперь». </w:t>
      </w:r>
      <w:r w:rsidRPr="00C33834">
        <w:rPr>
          <w:rFonts w:ascii="Times New Roman" w:hAnsi="Times New Roman"/>
          <w:color w:val="000000" w:themeColor="text1"/>
          <w:sz w:val="16"/>
          <w:szCs w:val="16"/>
        </w:rPr>
        <w:t>Если в начале первой пятилетки авиастроение располагало 12 заводами, в большинстве своём средними и мелкими, то к её концу - 31 предприятием. Количество работающих в отрасли, увеличившись по сравнению с 1925 годом почти в 23 раза, достигло 80 000 чел. (12018)</w:t>
      </w:r>
    </w:p>
    <w:p w14:paraId="533EDA4F"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2D49E9E2"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в резолюции объединенного пленума ЦК и ЦКК ВКП(б) в числе построенных за первую пятилетку гигантов машиностроения были названы самолето- и авиамоторостроительные заводы в Москве, Горьком, Воронеже и в Сибири (505,94).</w:t>
      </w:r>
    </w:p>
    <w:p w14:paraId="079E4D22"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Пленум посчитал пятилетку выполненной и среди результатов отметил (226,422), что СССР из страны аграрной превратился в индустриальную страну. Объем продукции крупной промышленности в 1932 втрое превысил довоенный уровень и ее вес в ВНП вырос до 70%. В с/х ввели колхозный строй. Улучшилось материальное положение трудящихся. То есть был построен фундамент социализма.</w:t>
      </w:r>
    </w:p>
    <w:p w14:paraId="5F01D682"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на совещании у А.Н.Т. совместно с представителями НИИ ВВС решался вопрос “выявления физиономии самолета ТБ-6 в части вооруженгия и количества экипажа” (7425, 20).</w:t>
      </w:r>
    </w:p>
    <w:p w14:paraId="648F2C2A"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79DBE38F" w14:textId="77777777" w:rsidR="00B8018B" w:rsidRPr="00C33834" w:rsidRDefault="00B8018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С января 1933 года началась практическая производственная деятельность и планомерная организация завода № 21. Выпущенные в 1932 году несколько самолетов не могли служить доказательством производственной подготовленности завода и его программных возможностей. Для ликвидации прорыва Глававиапром направил на завод первого заместителя начальника самолетного треста Евгения Ивановича Мирошникова. В январе 1933 года он вступил в должность директора завода (21100).</w:t>
      </w:r>
    </w:p>
    <w:p w14:paraId="03B5E588" w14:textId="77777777" w:rsidR="00B8018B" w:rsidRPr="00C33834" w:rsidRDefault="00B8018B" w:rsidP="00C33834">
      <w:pPr>
        <w:spacing w:after="0" w:line="240" w:lineRule="auto"/>
        <w:jc w:val="both"/>
        <w:rPr>
          <w:rFonts w:ascii="Times New Roman" w:hAnsi="Times New Roman"/>
          <w:color w:val="0070C0"/>
          <w:sz w:val="16"/>
          <w:szCs w:val="16"/>
        </w:rPr>
      </w:pPr>
    </w:p>
    <w:p w14:paraId="639E3986"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П.И.Баранов летал в Харьков разбираться с наветами (письмо в ЦК 18 работников КБ - в т.ч. начальника военного отдела Григорова, посланное в конце 1932 г.) на К.А.К. (70,224).</w:t>
      </w:r>
    </w:p>
    <w:p w14:paraId="4811A398"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63DC3A47"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(после установления дип. отношений) А.Н.Т. встречался в Америке с И.И.Сикорским - не понравились друг другу (109,88).</w:t>
      </w:r>
    </w:p>
    <w:p w14:paraId="12B49F72"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3655903D"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комиссия Военно-морской инспекции исследовала завод 39 и именно эта комиссия обвинила А.С.Я. во вредительстве (1771,7).</w:t>
      </w:r>
    </w:p>
    <w:p w14:paraId="0B8B3401"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7656B48C"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Январь 1933 г.</w:t>
      </w:r>
    </w:p>
    <w:p w14:paraId="775942D0"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ИЗ ОБРАЩЕНИЯ РУКОВОДСТВА ОСОАВИАХИМА ПРЕДСЕДАТЕЛЮ ЦКК И НАРКОМУ РКИ ТОВ. РУДЗУТАК Я.Э.</w:t>
      </w:r>
    </w:p>
    <w:p w14:paraId="36650B64"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связи с заключением по самолету Осоавиахима АИР-7 конструкции инж. Яковлева, составленным Комиссией Военно-Морской Инспекции НК РКИ, обследовавшей завод - 39, Ц.С.ОСОАВИАХИМА СССР считает необходимым самым решительным образом протестовать против тех выводов, к которым Комиссия пришла.</w:t>
      </w:r>
    </w:p>
    <w:p w14:paraId="5D72CF79"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Свои выводы Комиссия начинает с необходимости обследования организации опытных работ Осоавиахима по постройке самолетов и пресечь техническую безконтрольность производства.</w:t>
      </w:r>
    </w:p>
    <w:p w14:paraId="188E2E20"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Ц.С. полагает, что правильнее было бы поставить вопрос о помощи Осоавиахиму, наладить и облегчить его работу по конструированию и постройке не только опытных экземпляров, но также и массового выпуска легких самолетов и моторов, вопрос над которым Осоавиахим бьется уже в течении нескольких лет и в отношении которого встречает полное равнодушие со стороны УВВС и ГУАП. Вопрос о ненормальном состоянии опытного строительства легких самолетов Осоавиахимом не раз ставился, однако, ни одна из организаций, от которых зависит окончательное его благоприятное решение, в том числе и Военно-Морская Инспекция ЦКК РКИ, куда еще летом тов. ЯКОВЛЕВЫМ была подана докладная записка о состоянии легкой авиации - помощи не оказали. Кроме Осоавиахима вопросом легко-моторной авиации никто на протяжении ряда лет не занимался, не помогал Осоавиахиму, вынужденному использовать малейшие возможности в этой области, имеющей огромнейшее и еще недооцененное значение для целей авианизации страны, подготовки и тренировки летных кадров.</w:t>
      </w:r>
    </w:p>
    <w:p w14:paraId="218C3AF3"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Совершенно понятно, что не имея ни помощи, ни соответствующих кадров, ни производственно-технической базы, Осоавиахим допускал в этой части своей работы некоторое кустарничество, но зато сумел добиться проектировки и постройки нескольких десятков экземпляров легких самолетов, среди которых 6 типов тов. ЯКОВЛЕВА стоят на первом месте...</w:t>
      </w:r>
    </w:p>
    <w:p w14:paraId="1BBE2E08"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Вся работа тов. ЯКОВЛЕВА до выпуска АИР-7, как это отмечалось уже не раз целым рядом общественных организаций, учреждений Воздушного Флота, Осоавиахимом СССР, Реввоенсоветом, НАМИ, Гражданским Воздушным Флотом, Заводом - 39 и другими, а также, как это было отмечено в целом ряде центральных газет и в частности в юбилейном номере "Известий" от 1/1-33 г. - является начиная с 1924 г. исключительным проявлением общественно-трудового энтузиазма, энергии и трудоспособности, а также преданности делу социалистического строительства. Жизнь и работа тов. ЯКОВЛЕВА, проходившие все время в Осоавиахиме, начиная с работ в области моделизма, кончая большой конструкторской работой, могут служить лучшим образцом того, как работает и развивается молодежь нашего времени. За это время тов. ЯКОВЛЕВЫМ было создано три планера и шесть типов самолетов, отличающихся высокими летными качествами, поставивших 4 мировых рекорда, часть которых принята к массовому строительству, что характеризует тов. ЯКОВЛЕВА как вполне созревшего инженера и опытного руководителя созданного им Конструкторского Бюро...</w:t>
      </w:r>
    </w:p>
    <w:p w14:paraId="69F8B3C2"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 ЯКОВЛЕВ, зарекомендовавший себя бесспорным авторитетом в области конструирования легких самолетов, АИР"ом-7 испробовал силы на постройке мощного современного скоростного самолета, не имеющего ничего подобного себе в СССР, являющему собой экспериментальную машину, при конструировании которой применены новые пути, неиспользованные и не имеющие опыта в наших конструкторских и исследовательских организациях. Самолет АИР-7 представлял известный технический риск, который, не скрывая, сознавал и сам ЯКОВЛЕВ, так как скорость его (325 -330) на 40 клм. превышающая скорость лучших советских истребителей, конечно, могла внести целый ряд неожиданных моментов. Предложением Комиссии тов. ЯКОВЛЕВ, кандидат партии, инженер-ударник, показавший образцы большевистской работы и темпов, имеющий исключительные достижения, зарекомендовавший себя самостоятельным конструктором, - должен быть превращен в чиновника, боящегося ответственности и под контролем старых специалистов, лишенного самостоятельности.</w:t>
      </w:r>
    </w:p>
    <w:p w14:paraId="051504ED"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Надо считать, что в этой части выводы Комиссии являются противоречащими основной установке партии в деле отношения к выдающимся специалистам, в деле прокладывания новых путей в области высокой техники, в решении задачи "догнать и перегнать".</w:t>
      </w:r>
    </w:p>
    <w:p w14:paraId="126ABDB6"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Совершенно непонятным и беспочвенным является пункт 4-й требующий пересмотра вопроса о награждении тов. ЯКОВЛЕВА орденом Трудового Красного Знамени. По досадному недоразумению Комиссия полагала, очевидно, что тов. ЯКОВЛЕВ представлен к ордену в связи с выпуском АИР-7. Это неверно. Ходатайство о награждении тов. ЯКОВЛЕВА и тов. ПИОНТКОВСКОГО орденами было возбуждено полтора года тому назад после выпуска самолета АИР-5 получившего в свое время соответствующую оценку. Ходатайство о награждении явилось итогом, подведенным многолетней, плодотворной и исключительной по значению для развития советской легкой авиации работы т.т.</w:t>
      </w:r>
    </w:p>
    <w:p w14:paraId="23FC98C8"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ЯКОВЛЕВА и ПИОНТКОВСКОГО.</w:t>
      </w:r>
    </w:p>
    <w:p w14:paraId="2C7DE3D5"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Необходимо отметить, что наивысшие технические достижения Советской авиации установлены на АИР"ах и принадлежат тов. ЯКОВЛЕВУ - конструктору и тов. ПИОНТКОВСКОМУ - летчику (скорость -325 клм/ч. продолжительность полета без посадки - 15,5 ч).</w:t>
      </w:r>
    </w:p>
    <w:p w14:paraId="749A3E8A"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Помимо того, как тов. ЯКОВЛЕВ, так и тов. ПИОНТКОВСКИЙ оба являются лучшими общественниками, сочетающими успешно общественную работу с непосредственными служебными обязанностями. Поэтому первоначальное ходатайство соответствующих общественных организаций завода - 39 и Ц.С. Осоавиахима, последующие ходатайства расширенного Президиума Осоавиахима СССР, в связи с выпуском самолета АИР-6 и также третье ходатайство за подписями т.т. ТУХАЧЕВСКОГО, АЛКСНИСА, УНШЛИХТА И ЭЙДЕМАНА - являются отражением общественного мнения и в полной мере соответствуют заслугам т.т. ЯКОВЛЕВА и ПИОНТКОВСКОГО.</w:t>
      </w:r>
    </w:p>
    <w:p w14:paraId="5C5E1E01"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Отсюда и то доверие, которым тов. ЯКОВЛЕВ, по заслугам, пользуется у руководства Ц.С. Осоавиахима...</w:t>
      </w:r>
    </w:p>
    <w:p w14:paraId="21B1FF88"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Если бы не содействие в деле строительства легкой авиации последовательно всех директоров завода - 39 (т.т. ЕВСТИГНЕЕВА, ПАУФЛЕРА, КЛЕВЦОВА, ЛЮКМАНОВА И МАРГОЛИНА) на котором производилась постройка всех самолетов АИР и директоров других заводов, где строились десятки осоавиахимовских авиэток, - к настоящему моменту не существовало бы ни единого образца самолетов массовой авиации в СССР.</w:t>
      </w:r>
    </w:p>
    <w:p w14:paraId="44A4BEDA"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Учитывая имевшие место и прежние случаи травли тов. ЯКОВЛЕВА, возникшие на почве нездоровой конкуренции и зависти к успехам в его работе и учитывая также, что это создает особо неблагоприятную обстановку вокруг тов. Яковлева, нервируя его и мешая его плодотворной работе - Ц.С. Осоавиахима СССР просит Вашего авторитетного вмешательства в это дело, дабы предупредить и в дальнейшем возможность повторения подобных актов...</w:t>
      </w:r>
    </w:p>
    <w:p w14:paraId="7F3A7EBE"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пред. Ц.С. ОАХ СССР Л.П.Малиновский</w:t>
      </w:r>
    </w:p>
    <w:p w14:paraId="021D3F28" w14:textId="77777777" w:rsidR="000D4A20" w:rsidRPr="00C33834" w:rsidRDefault="000D4A20" w:rsidP="00C33834">
      <w:pPr>
        <w:pStyle w:val="ae"/>
        <w:spacing w:before="0" w:after="0"/>
        <w:jc w:val="both"/>
        <w:rPr>
          <w:color w:val="000000" w:themeColor="text1"/>
          <w:sz w:val="16"/>
          <w:szCs w:val="16"/>
        </w:rPr>
      </w:pPr>
      <w:r w:rsidRPr="00C33834">
        <w:rPr>
          <w:color w:val="000000" w:themeColor="text1"/>
          <w:sz w:val="16"/>
          <w:szCs w:val="16"/>
        </w:rPr>
        <w:t>ГАРФ. Ф. Р-8355. Оп. 1. Д. 374. Л. 2-7. Копия (15814).</w:t>
      </w:r>
    </w:p>
    <w:p w14:paraId="370C8606" w14:textId="77777777" w:rsidR="000D4A20" w:rsidRPr="00C33834" w:rsidRDefault="000D4A20" w:rsidP="00C33834">
      <w:pPr>
        <w:pStyle w:val="ae"/>
        <w:spacing w:before="0" w:after="0"/>
        <w:jc w:val="both"/>
        <w:rPr>
          <w:color w:val="000000" w:themeColor="text1"/>
          <w:sz w:val="16"/>
          <w:szCs w:val="16"/>
        </w:rPr>
      </w:pPr>
    </w:p>
    <w:p w14:paraId="5A4F8D98" w14:textId="77777777" w:rsidR="0078320D" w:rsidRPr="00C33834" w:rsidRDefault="0078320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года Базилевич писал письмо № 82/ко в ГУАП Баранову</w:t>
      </w:r>
    </w:p>
    <w:p w14:paraId="38F7D676" w14:textId="77777777" w:rsidR="0078320D" w:rsidRPr="00C33834" w:rsidRDefault="0078320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Прошу ускорить присылку материалов о выполнении программы по капитальному строительству, а также по итогам опытного строительства, просимых № 1989/ко от 28 декабря 1932 года (3530,118).</w:t>
      </w:r>
    </w:p>
    <w:p w14:paraId="16EB4955" w14:textId="77777777" w:rsidR="0078320D" w:rsidRPr="00C33834" w:rsidRDefault="0078320D" w:rsidP="00C33834">
      <w:pPr>
        <w:autoSpaceDE w:val="0"/>
        <w:autoSpaceDN w:val="0"/>
        <w:adjustRightInd w:val="0"/>
        <w:spacing w:after="0" w:line="240" w:lineRule="auto"/>
        <w:jc w:val="both"/>
        <w:rPr>
          <w:rFonts w:ascii="Times New Roman" w:hAnsi="Times New Roman"/>
          <w:color w:val="000000" w:themeColor="text1"/>
          <w:sz w:val="16"/>
          <w:szCs w:val="16"/>
        </w:rPr>
      </w:pPr>
    </w:p>
    <w:p w14:paraId="4B8F38CE" w14:textId="77777777" w:rsidR="008E51C3" w:rsidRPr="00C33834" w:rsidRDefault="008E51C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shd w:val="clear" w:color="auto" w:fill="FFFFFF"/>
        </w:rPr>
        <w:t>В январе 1933 года ГВФ передал имевшуюся у него особую группу самолетов — «авиаполярные экспедиции» — в ведение ГУСМП77. что позволило приступить к формированию собственной полярной авиации. Гидрографическое управление Наркомвоенмора помимо восьми (из шестнадцати действовавших тогда в Арктике) радиостанций, расположенных в зоне Карского моря — на м. Желания (Новая Земля), в проливах Маточкин Шар и Югорский Шар, на островах Вайгач и Диксон, в Маре-Сале, Новом порте (устье Оби) и Усть-Енисейском порте, передало ГУСМП еще и свое региональное подразделение — Управление по обеспечению безопасности морского плавания в Карском море и по устьям сибирских рек (УБЕКО-Сибирь) (20467).</w:t>
      </w:r>
    </w:p>
    <w:p w14:paraId="508324AE" w14:textId="77777777" w:rsidR="008E51C3" w:rsidRPr="00C33834" w:rsidRDefault="008E51C3" w:rsidP="00C33834">
      <w:pPr>
        <w:spacing w:after="0" w:line="240" w:lineRule="auto"/>
        <w:jc w:val="both"/>
        <w:rPr>
          <w:rFonts w:ascii="Times New Roman" w:hAnsi="Times New Roman"/>
          <w:color w:val="0070C0"/>
          <w:sz w:val="16"/>
          <w:szCs w:val="16"/>
        </w:rPr>
      </w:pPr>
    </w:p>
    <w:p w14:paraId="298424D5" w14:textId="77777777" w:rsidR="00B8018B" w:rsidRPr="00C33834" w:rsidRDefault="00B8018B" w:rsidP="00C33834">
      <w:pPr>
        <w:pStyle w:val="5a"/>
        <w:spacing w:line="240" w:lineRule="auto"/>
        <w:ind w:firstLine="0"/>
        <w:jc w:val="both"/>
        <w:rPr>
          <w:rFonts w:ascii="Times New Roman" w:hAnsi="Times New Roman"/>
          <w:color w:val="0070C0"/>
          <w:spacing w:val="0"/>
          <w:sz w:val="16"/>
          <w:szCs w:val="16"/>
        </w:rPr>
      </w:pPr>
      <w:r w:rsidRPr="00C33834">
        <w:rPr>
          <w:rFonts w:ascii="Times New Roman" w:hAnsi="Times New Roman"/>
          <w:color w:val="0070C0"/>
          <w:spacing w:val="0"/>
          <w:sz w:val="16"/>
          <w:szCs w:val="16"/>
          <w:lang w:bidi="ru-RU"/>
        </w:rPr>
        <w:t>В январе 1933 года, за несколько дней до занятия Гитлером поста рейхсканцлера, Гольцман всё ещё продолжал рассчитывать на техническую помощь «Люфтшиффбау Цеппелин» в рамках второго пятилетнего плана дирижаблестроения. А его преемник Уншлихт упоминал о такой возможности в записке Сталину даже в июне 1934 года, когда уже была разгромлена германская компартия, а Гитлера со товарищи советская пресса именовала не иначе как фашистскими поджигателями войны (23192).</w:t>
      </w:r>
    </w:p>
    <w:p w14:paraId="4D85CA15" w14:textId="77777777" w:rsidR="00B8018B" w:rsidRPr="00C33834" w:rsidRDefault="00B8018B" w:rsidP="00C33834">
      <w:pPr>
        <w:spacing w:after="0" w:line="240" w:lineRule="auto"/>
        <w:jc w:val="both"/>
        <w:rPr>
          <w:rFonts w:ascii="Times New Roman" w:hAnsi="Times New Roman"/>
          <w:color w:val="0070C0"/>
          <w:sz w:val="16"/>
          <w:szCs w:val="16"/>
        </w:rPr>
      </w:pPr>
    </w:p>
    <w:p w14:paraId="767E5943" w14:textId="77777777" w:rsidR="000D4A20" w:rsidRPr="00C33834" w:rsidRDefault="000D4A2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г. на базе бывшего технического отдела Дирижаблестроя было создано новое подразделение - Дирижаблестроительная верфь. Задачами ее являлись постройка дирижаблей, производство сфероаэростатов и необходимого для эксплуатации воздухоплавательного инвентаря, организация всевозможных опытных работ для КБ и НИО, капитальный и текущий ремонт имеющегося дирижабельного парка [14, л. 70]. Основными объектами строительства верфи в 1933-34 гг. были полужесткие дирижабли В-5 (2150 м3) и В-6 (18 500 м3 ). В 1933 г. первоначально планировалось выпустить 2 дирижабля В-5, дирижабль В-6 на 100% и В-6 бис на 60%. Фактически в течение года был полностью построен один В-5 (в апреле), а В-6 к концу года   построен на  50% [8, л.12-15]. Строительство первого советского полужесткого дирижабля В-5 проходило в сложных условиях (15797).</w:t>
      </w:r>
    </w:p>
    <w:p w14:paraId="68336250" w14:textId="77777777" w:rsidR="000D4A20" w:rsidRPr="00C33834" w:rsidRDefault="000D4A20" w:rsidP="00C33834">
      <w:pPr>
        <w:spacing w:after="0" w:line="240" w:lineRule="auto"/>
        <w:jc w:val="both"/>
        <w:rPr>
          <w:rFonts w:ascii="Times New Roman" w:hAnsi="Times New Roman"/>
          <w:color w:val="000000" w:themeColor="text1"/>
          <w:sz w:val="16"/>
          <w:szCs w:val="16"/>
        </w:rPr>
      </w:pPr>
    </w:p>
    <w:p w14:paraId="47AF1289"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январе 1933 г. был разработан первоначальный проект аэростата Осоавиахим-1, который предусматривал объем 20.000 кб м при потолке 10-20 тыс. метров, продолжительность пребывания в воздухе 6-12 часов из расчета: 2-3 часа для достижения потолка, 2-3 часа пребывания на потолке и спуск. Маневренный балласт 300 кг, балласт посадочный 300 кг — дробь свинцовая. </w:t>
      </w:r>
    </w:p>
    <w:p w14:paraId="2266E6F7"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1934 г. проект был пересмотрен в сторону увеличения: объем до 22.450 м</w:t>
      </w:r>
      <w:r w:rsidRPr="00C33834">
        <w:rPr>
          <w:rFonts w:ascii="Times New Roman" w:hAnsi="Times New Roman"/>
          <w:color w:val="000000" w:themeColor="text1"/>
          <w:sz w:val="16"/>
          <w:szCs w:val="16"/>
          <w:vertAlign w:val="superscript"/>
        </w:rPr>
        <w:t>3</w:t>
      </w:r>
      <w:r w:rsidRPr="00C33834">
        <w:rPr>
          <w:rFonts w:ascii="Times New Roman" w:hAnsi="Times New Roman"/>
          <w:color w:val="000000" w:themeColor="text1"/>
          <w:sz w:val="16"/>
          <w:szCs w:val="16"/>
        </w:rPr>
        <w:t xml:space="preserve"> при подъемной силе газа 1,15 кг/м3, предусматривался потолок 20.000 м. Причем, по заявлению инженера Васенко «все элементы, повышающие потолок, при расчете не учитывались», т. е. потолок за счет нагрева газа мог быть достигнут и выше 20.000 м. </w:t>
      </w:r>
    </w:p>
    <w:p w14:paraId="60B7595C"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июне месяце проект был переделан в третий раз и оболочка была доведена в объеме до 24.940 кб. м. При подъемной силе газа 2600 кг и весе всей системы 2480 кг, стратостат полностью восполнялся на 17.700 метрах и за счет сплавной силы в 120 кгр достигал зоны равновесия на 19.500 м. </w:t>
      </w:r>
    </w:p>
    <w:p w14:paraId="74EC1122"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xml:space="preserve">К 17 августа 1934 г. стратостат был построен, собран, осмотрен комиссией Гражданского Воздушного флота под руководством т. СПАССКОГО и получил свидетельство на полет, хотя в акте люк кабины был признан неудовлетворительным по закрытию. </w:t>
      </w:r>
    </w:p>
    <w:p w14:paraId="1F5A4914"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Конструкция в основном рассчитывалась на малый полетный вес и малое количество маневренного и посадочного балласта: в оболочке применялась материя весом 62 грамма на 1 кв. мт. (в однослойных полотнищах), способ крепления такелажа был применен без верхней сетки по всей оболочке, а к оригинального устройства лапам, пришитым и приклеенным ниже экватора оболочки к поясу двухслойной материи. Такелаж предусматривался с уменьшенными стропами (8), соединенными в одном кольце. Общее количество в числе 8. Гондола шарообразной формы строилась из стали в 0,8 мм путем сварки и имела люк, открывающийся во внутрь кабины и задраиваемый 12 болтами на барашках, балласт располагался внутри кабины и мог выбрасываться через два трубчатых сбрасывателя путем перекрывания двух кранов в течение 800 кгр — 800 сек., управление клапаном выводилось из кабины через коленчатую трубку, наполненную ртутью, уздечка к разрывному приспособлению прикреплялась к кольцу над гондолой. </w:t>
      </w:r>
    </w:p>
    <w:p w14:paraId="65B24454"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Каждая деталь, материал и агрегаты испытывались в лаборатории и показали запасы прочности, предусмотренные расчетами. </w:t>
      </w:r>
    </w:p>
    <w:p w14:paraId="02F42FF9"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Общего расчета на конструкцию комиссия не могла получить от инженера Чертовского, ведавшего постройкой, а также не найден он и в делах т. Федосеенко, с мая м-ца фактически руководившего всеми работами по постройке и подготовке к полету. Самая постройка производилась по отдельным чертежам, выдаваемым на заводы инженером Чертовским. В основном все расчеты предусматривали и фактические испытания проводили на статические нагрузки, динамические нагрузки принимались больше первых в 4 раза, но испытаний на динамические нагрузки не проводилось за неимением машин и малой отработанностью самих методов испытаний. Раскрой и пошивка оболочки производилась кустарным способом в мастерских Института Аэросъемки. Фактической поверки расчетов и общей компоновки проекта не производилось и все лежало на усмотрении и знаниях т. Федосеенко, Васенко и Чертовского. Консультационный совет рассматривал на заседаниях предложения этих товарищей, вносил отдельные замечания, но не следил и не добивался исправлений по этим замечаниям. Комиссия считает, что техническая проработка конструкции была достаточна в объеме задач, поставленных себе т. Федосеенко и Власенко, но ее целесообразность и соответствие поставленным задачам по существу не были проверены консультационным советом при ЛОСО. Наблюдение в процессе постройки осуществлялось инженером Чертовским в пределах его знаний и практического опыта, но помощи в техническом руководстве он не имел. </w:t>
      </w:r>
    </w:p>
    <w:p w14:paraId="6CE114AF"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Так в тексте; правильно: Васенко. </w:t>
      </w:r>
    </w:p>
    <w:p w14:paraId="11E36462"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 Так в тексте; правильно: 1933 г. </w:t>
      </w:r>
    </w:p>
    <w:p w14:paraId="5B8EAFE2"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 * Так в тексте; правильно: 1933 г. </w:t>
      </w:r>
    </w:p>
    <w:p w14:paraId="0BFE585B"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 * * Так в тексте; правильно: Васенко (11611).</w:t>
      </w:r>
    </w:p>
    <w:p w14:paraId="37905A13"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6E96F6A3" w14:textId="77777777" w:rsidR="005E5E71" w:rsidRPr="00C33834" w:rsidRDefault="005E5E7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 январе 1933 года на совместном заседании коллегии Аэрофлота и Технического совета Дирижаблестроя Нобиле выступил с обширным докладом о положении дел с проектированием нового дирижабля. Он подробно рассказал об изменениях, внесённых в его конструкцию, и сообщил, что выполнено уже 1750 чертежей, а оставшуюся небольшую часть можно закончить в течение февраля.</w:t>
      </w:r>
    </w:p>
    <w:p w14:paraId="3080CFFD" w14:textId="77777777" w:rsidR="005E5E71" w:rsidRPr="00C33834" w:rsidRDefault="005E5E7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 заключение прозвучали похвала в адрес конструкторского бюро, возглавляемого самим докладчиком, за «огромное дело, выполненное в короткий срок» и предупреждение: работа над детальными чертежами продлится вплоть до окончания приёмных испытаний корабля и будет часто сопряжена с внесением исправлений и изменений - это совершенно естественно, и по-другому быть не может.</w:t>
      </w:r>
    </w:p>
    <w:p w14:paraId="58B7F1A7" w14:textId="77777777" w:rsidR="005E5E71" w:rsidRPr="00C33834" w:rsidRDefault="005E5E7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Однако производственники то и дело возвращали в конструкторское бюро десятки и даже сотни чертежей, требующих переделки вовсе не по «естественным», а по совсем другим причинам: из-за ошибок, допущенных в спешке, по небрежности, ввиду низкой квалификации инженеров и чертёжников, отсутствия элементарной дисциплины (23192).</w:t>
      </w:r>
    </w:p>
    <w:p w14:paraId="23BE7E38" w14:textId="77777777" w:rsidR="005E5E71" w:rsidRPr="00C33834" w:rsidRDefault="005E5E71" w:rsidP="00C33834">
      <w:pPr>
        <w:spacing w:after="0" w:line="240" w:lineRule="auto"/>
        <w:jc w:val="both"/>
        <w:rPr>
          <w:rFonts w:ascii="Times New Roman" w:hAnsi="Times New Roman"/>
          <w:color w:val="0070C0"/>
          <w:sz w:val="16"/>
          <w:szCs w:val="16"/>
        </w:rPr>
      </w:pPr>
    </w:p>
    <w:p w14:paraId="5DFCE90F" w14:textId="77777777" w:rsidR="005E5E71" w:rsidRPr="00C33834" w:rsidRDefault="005E5E7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 январе 1933 года на заседании коллегии Аэрофлота Нобиле докладывал:</w:t>
      </w:r>
    </w:p>
    <w:p w14:paraId="4A85BF90" w14:textId="77777777" w:rsidR="005E5E71" w:rsidRPr="00C33834" w:rsidRDefault="005E5E7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...Предусмотрена возможность того, что в исключительных случаях дирижабль сможет применяться... для военных целей: как для разведочной службы, так и для бомбардировки. Имея в виду именно эти возможности, и была установлена необходимость увеличить помещение пассажиров так, чтобы в случае необходимости дирижабль быстро можно было бы переоборудовать в военный дирижабль. Этого можно достичь, сняв всё оборудование для пассажиров, и установить по бокам гондолы и на верху дирижабля определённое количество пулемётов, а вдоль киля некоторое количество бомбосбрасывателей. Они будут распределены вокруг центра объёма таким образом, что сбрасывание бомб не особенно нарушит статическое равновесие дирижабля.</w:t>
      </w:r>
    </w:p>
    <w:p w14:paraId="0812CC5C" w14:textId="77777777" w:rsidR="005E5E71" w:rsidRPr="00C33834" w:rsidRDefault="005E5E7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При ближайшем рассмотрении оказалось, что бомбодержатели и пулемётные площадки в действительности не предусмотрены расчётами и не заложены в проект, а освобождение пассажирской каюты от мебели само по себе не превратило бы корабль 18500 в военный. Инженеры НИИ ВВС дали отрицательный отзыв о качестве дирижабля, одновременно указав, каким образом исправить положение:</w:t>
      </w:r>
    </w:p>
    <w:p w14:paraId="54369F1E" w14:textId="77777777" w:rsidR="005E5E71" w:rsidRPr="00C33834" w:rsidRDefault="005E5E7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Полужёсткий дирижабль объёмом 18500 м... тактико-техническим требованиям НИИ ВВС. не удовлетворяет.</w:t>
      </w:r>
    </w:p>
    <w:p w14:paraId="4E83167E" w14:textId="77777777" w:rsidR="005E5E71" w:rsidRPr="00C33834" w:rsidRDefault="005E5E7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Вследствие чего перед этим дирижаблем может быть поставлена только часть задач, перечисленных в требованиях НИИ, а именно:</w:t>
      </w:r>
    </w:p>
    <w:p w14:paraId="1602BC63" w14:textId="3D23ABBD" w:rsidR="005E5E71" w:rsidRPr="00C33834" w:rsidRDefault="005E5E71" w:rsidP="00C33834">
      <w:pPr>
        <w:widowControl w:val="0"/>
        <w:tabs>
          <w:tab w:val="left" w:pos="329"/>
        </w:tabs>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1) разведка моря,</w:t>
      </w:r>
    </w:p>
    <w:p w14:paraId="0201E8ED" w14:textId="52FD5DBD" w:rsidR="005E5E71" w:rsidRPr="00C33834" w:rsidRDefault="005E5E71" w:rsidP="00C33834">
      <w:pPr>
        <w:widowControl w:val="0"/>
        <w:tabs>
          <w:tab w:val="left" w:pos="344"/>
        </w:tabs>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2) охрана побережья,</w:t>
      </w:r>
    </w:p>
    <w:p w14:paraId="1E51801A" w14:textId="1A2DA21B" w:rsidR="005E5E71" w:rsidRPr="00C33834" w:rsidRDefault="005E5E71" w:rsidP="00C33834">
      <w:pPr>
        <w:widowControl w:val="0"/>
        <w:tabs>
          <w:tab w:val="left" w:pos="344"/>
        </w:tabs>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3) розыск и уничтожение подводных лодок противника,</w:t>
      </w:r>
    </w:p>
    <w:p w14:paraId="37AC1B2C" w14:textId="0E2441BD" w:rsidR="005E5E71" w:rsidRPr="00C33834" w:rsidRDefault="005E5E71" w:rsidP="00C33834">
      <w:pPr>
        <w:widowControl w:val="0"/>
        <w:tabs>
          <w:tab w:val="left" w:pos="344"/>
        </w:tabs>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4) конвоирование морских судов и</w:t>
      </w:r>
    </w:p>
    <w:p w14:paraId="609B3A87" w14:textId="0D79710C" w:rsidR="005E5E71" w:rsidRPr="00C33834" w:rsidRDefault="005E5E71" w:rsidP="00C33834">
      <w:pPr>
        <w:widowControl w:val="0"/>
        <w:tabs>
          <w:tab w:val="left" w:pos="339"/>
        </w:tabs>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5) транспортировка людей и военных грузов.</w:t>
      </w:r>
    </w:p>
    <w:p w14:paraId="3E213B30" w14:textId="77777777" w:rsidR="005E5E71" w:rsidRPr="00C33834" w:rsidRDefault="005E5E7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Использование этого дирижабля как бомбардировщика на сухопутном театре, вследствие небольшой полётной его высоты, исключается.</w:t>
      </w:r>
    </w:p>
    <w:p w14:paraId="1BE87ABB" w14:textId="77777777" w:rsidR="005E5E71" w:rsidRPr="00C33834" w:rsidRDefault="005E5E7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 целях возможности выполнения этим дирижаблем вышеперечисленных задач необходимо до сдачи проекта в производство доработать его в отношении возможности использования дирижабля для военного применения, исходя из следующих соображений:</w:t>
      </w:r>
    </w:p>
    <w:p w14:paraId="40B906B0" w14:textId="200E3D2D" w:rsidR="005E5E71" w:rsidRPr="00C33834" w:rsidRDefault="005E5E71" w:rsidP="00C33834">
      <w:pPr>
        <w:widowControl w:val="0"/>
        <w:tabs>
          <w:tab w:val="left" w:pos="339"/>
        </w:tabs>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1) Дирижабль должен иметь стрелковое вооружение, состоящее из крупнокалиберных и 3-х линейных пулемётов, в целях самообороны, в количестве, достаточном для обстрела верхней и нижней полусфер дирижабля.</w:t>
      </w:r>
    </w:p>
    <w:p w14:paraId="154274F8" w14:textId="653CEDEA" w:rsidR="005E5E71" w:rsidRPr="00C33834" w:rsidRDefault="005E5E71" w:rsidP="00C33834">
      <w:pPr>
        <w:widowControl w:val="0"/>
        <w:tabs>
          <w:tab w:val="left" w:pos="344"/>
        </w:tabs>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2) Помимо стрелкового вооружения, должна быть обеспечена возможность подвески к дирижаблю бомб до 3-х тонн.</w:t>
      </w:r>
    </w:p>
    <w:p w14:paraId="318DF834" w14:textId="61B3862A" w:rsidR="005E5E71" w:rsidRPr="00C33834" w:rsidRDefault="005E5E71" w:rsidP="00C33834">
      <w:pPr>
        <w:widowControl w:val="0"/>
        <w:tabs>
          <w:tab w:val="left" w:pos="344"/>
        </w:tabs>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3) Должна быть предусмотрена возможность, взамен бомб и части горючего, размещения на дирижабле воинской вооружённой команды до 50 чел. и</w:t>
      </w:r>
    </w:p>
    <w:p w14:paraId="2E77BFE1" w14:textId="378A6AA6" w:rsidR="005E5E71" w:rsidRPr="00C33834" w:rsidRDefault="005E5E71" w:rsidP="00C33834">
      <w:pPr>
        <w:widowControl w:val="0"/>
        <w:tabs>
          <w:tab w:val="left" w:pos="344"/>
        </w:tabs>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4) Подвеска к дирижаблю сосредоточенного груза до 5 тонн.</w:t>
      </w:r>
    </w:p>
    <w:p w14:paraId="4308DE2D" w14:textId="77777777" w:rsidR="005E5E71" w:rsidRPr="00C33834" w:rsidRDefault="005E5E71" w:rsidP="00C33834">
      <w:pPr>
        <w:spacing w:after="0" w:line="240" w:lineRule="auto"/>
        <w:jc w:val="both"/>
        <w:rPr>
          <w:rFonts w:ascii="Times New Roman" w:hAnsi="Times New Roman"/>
          <w:color w:val="0070C0"/>
          <w:sz w:val="16"/>
          <w:szCs w:val="16"/>
          <w:lang w:eastAsia="ru-RU" w:bidi="ru-RU"/>
        </w:rPr>
      </w:pPr>
      <w:r w:rsidRPr="00C33834">
        <w:rPr>
          <w:rFonts w:ascii="Times New Roman" w:hAnsi="Times New Roman"/>
          <w:color w:val="0070C0"/>
          <w:sz w:val="16"/>
          <w:szCs w:val="16"/>
          <w:lang w:eastAsia="ru-RU" w:bidi="ru-RU"/>
        </w:rPr>
        <w:t>Для чего необходимо разработать схему вооружения дирижабля, спроектировать и построить на дирижабле пулемётные гнёзда, шахты выхода к пулемётам, расположенным на верху оболочки дирижабля, связь между командиром корабля и пулемётчиками и бомбардирами, приспособления для подвески бомб и размещения людей с возможностью выбрасывания последних на парашютах в течение 20 секунд.</w:t>
      </w:r>
    </w:p>
    <w:p w14:paraId="46402A1B" w14:textId="77777777" w:rsidR="005E5E71" w:rsidRPr="00C33834" w:rsidRDefault="005E5E7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Всё перечисленное следовало не просто предусмотреть теоретически, а реально осуществить, иначе Наркомвоенмор отказывался принимать дирижабль на государственные испытания. Кроме того, в НИИ ВВС считали недопустимым устанавливать на корабль импортные моторы, если возможность их замены советскими даже не закладывается в проект.</w:t>
      </w:r>
    </w:p>
    <w:p w14:paraId="269C2BC5" w14:textId="77777777" w:rsidR="005E5E71" w:rsidRPr="00C33834" w:rsidRDefault="005E5E7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Для выполнения поставленных условий нужно было не просто «доработать проект», а фактически спроектировать дирижабль заново, внеся существенные изменения в конструкцию, что отодвинуло бы его выпуск на год, а то и на два. Вопрос с моторами вовсе не имел решения: отечественного двигателя, специализированного для использования на дирижаблях, на тот момент не существовало не только как серийного изделия, но даже как законченного проекта.</w:t>
      </w:r>
    </w:p>
    <w:p w14:paraId="5047F5DD" w14:textId="77777777" w:rsidR="005E5E71" w:rsidRPr="00C33834" w:rsidRDefault="005E5E7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Сложилась тупиковая ситуация: авторы отзыва, следуя букве закона, были непреклонны и обещали жаловаться в Реввоенсовет, если дирижаблестроители продолжат «игнорировать вопросы приспособления строящихся дирижаблей для военного использования». Требовалось решение на самом верху, чтобы в порядке исключения освободить корабль 18500 от «военной повинности», и оно, очевидно, было принято: дирижабль продолжили строить без изменений, в первоначально задуманном виде - непригодным для устройства пулемётных гнёзд, перевозки бомб и десанта. Так «СССР-В6» оказался ненужным Наркомвоенмору ещё до ввода в строй (23192).</w:t>
      </w:r>
    </w:p>
    <w:p w14:paraId="73AFFC32" w14:textId="77777777" w:rsidR="005E5E71" w:rsidRPr="00C33834" w:rsidRDefault="005E5E71" w:rsidP="00C33834">
      <w:pPr>
        <w:spacing w:after="0" w:line="240" w:lineRule="auto"/>
        <w:jc w:val="both"/>
        <w:rPr>
          <w:rFonts w:ascii="Times New Roman" w:hAnsi="Times New Roman"/>
          <w:color w:val="0070C0"/>
          <w:sz w:val="16"/>
          <w:szCs w:val="16"/>
        </w:rPr>
      </w:pPr>
    </w:p>
    <w:p w14:paraId="471A7C4C" w14:textId="77777777" w:rsidR="0078320D" w:rsidRPr="00C33834" w:rsidRDefault="0078320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в ЦАГИ из Русской гавани пришла телеграмма, что аэросани - хороши и что горный хребет в центральной части Новой Земли назван Хребет ЦАГИ (71,100).</w:t>
      </w:r>
    </w:p>
    <w:p w14:paraId="5E1F4553" w14:textId="77777777" w:rsidR="0078320D" w:rsidRPr="00C33834" w:rsidRDefault="0078320D" w:rsidP="00C33834">
      <w:pPr>
        <w:autoSpaceDE w:val="0"/>
        <w:autoSpaceDN w:val="0"/>
        <w:adjustRightInd w:val="0"/>
        <w:spacing w:after="0" w:line="240" w:lineRule="auto"/>
        <w:jc w:val="both"/>
        <w:rPr>
          <w:rFonts w:ascii="Times New Roman" w:hAnsi="Times New Roman"/>
          <w:color w:val="000000" w:themeColor="text1"/>
          <w:sz w:val="16"/>
          <w:szCs w:val="16"/>
        </w:rPr>
      </w:pPr>
    </w:p>
    <w:p w14:paraId="177D2902" w14:textId="77777777" w:rsidR="005E5E71" w:rsidRPr="00C33834" w:rsidRDefault="005E5E7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январе 1933 г. из Русской Гавани в ЦАГИ пришла телеграмма: "Аэросани ЦАГИ (АНТ-IV) успешно использованы экспедицией Арктического института при изучении совершенно неизвестных областей северной части Новой Земли, Горный хребет, открытый в центральной чисти Новой Земли, в честь Института назван "Хребтом ЦАГИ" (21489).</w:t>
      </w:r>
    </w:p>
    <w:p w14:paraId="379AEBCC" w14:textId="77777777" w:rsidR="005E5E71" w:rsidRPr="00C33834" w:rsidRDefault="005E5E71" w:rsidP="00C33834">
      <w:pPr>
        <w:spacing w:after="0" w:line="240" w:lineRule="auto"/>
        <w:jc w:val="both"/>
        <w:rPr>
          <w:rFonts w:ascii="Times New Roman" w:hAnsi="Times New Roman"/>
          <w:color w:val="0070C0"/>
          <w:sz w:val="16"/>
          <w:szCs w:val="16"/>
        </w:rPr>
      </w:pPr>
    </w:p>
    <w:p w14:paraId="37DC5B87" w14:textId="77777777" w:rsidR="001A7A4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BB00E9B" w14:textId="77777777" w:rsidR="001A7A44" w:rsidRPr="00C33834" w:rsidRDefault="001A7A4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C2D0B80"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года в село Путилово под командованием военного инженера 1 ранга В.П.Серебрякова прибыли первые сотрудники полигона: М.Ф.Тимофеев, В.Д.Иващенко, Ф.В.Колимбет, Н.А.Тураев, И.Ф.Бодров и др. Начались изыскательские и геодезические работы, затем расчистка трассы.</w:t>
      </w:r>
    </w:p>
    <w:p w14:paraId="771F1A5E"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период организации полигон назывался Московским контрольно-испытательным полигоном опытно-артиллерийским полигоном. Впервые он упоминается как Софринский в постановлении СНК СССР №1917-421с от 05 сентября 1933 года о переносе Гроховецкого полигона на Софринский полигон. Штат сотрудников полигона начал комплектоваться в основном работниками бывшего военсклада №51 (г.Ростов Ярославской обл.), расформированном в конце 1932 года. Первыми сотрудниками полигона были:</w:t>
      </w:r>
    </w:p>
    <w:p w14:paraId="7F43856D"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полигона – Серебряков В.П.</w:t>
      </w:r>
    </w:p>
    <w:p w14:paraId="5C629B69"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политрук – Турукин Г.М.</w:t>
      </w:r>
    </w:p>
    <w:p w14:paraId="4DF0EBE0"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технической части - Кораблин Н.П.</w:t>
      </w:r>
    </w:p>
    <w:p w14:paraId="2E95DD52"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АХЧ – Лазарев Д.Е.</w:t>
      </w:r>
    </w:p>
    <w:p w14:paraId="465870AD"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руководители опытов - Корзин И.В., Тимофеев М.В., Бредис С.Я., начальник снаряжательной мастерской - Иващенко В.Д.,</w:t>
      </w:r>
    </w:p>
    <w:p w14:paraId="49E7672D"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также Тураев Н.А, руководивший переброской имущества расформированного склада №51 к месту строительства нового полигона и Бодров И.Ф. (12071)</w:t>
      </w:r>
    </w:p>
    <w:p w14:paraId="4D6E0A61"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11910DB2"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г. были проведены стрельбы из БПК Курчевского 76-мм оперенными минами. Для превращения БПК в миномет требовалось:</w:t>
      </w:r>
    </w:p>
    <w:p w14:paraId="04C73312"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Вырыть яму под колесами такой глубины, чтобы ось и станины (рама) плотно прилегали к грунту.</w:t>
      </w:r>
    </w:p>
    <w:p w14:paraId="68FEDF00"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Отвинтить сопло и вставить специальное приспособление для превращения БПК в миномет типа «Стокс». Приспособление удерживалось затвором (стрельба велась при закрытом затворе).</w:t>
      </w:r>
    </w:p>
    <w:p w14:paraId="14BDFC50"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Освободить подъемный механизм системы, перевернуть ствол в сторону стрельбы и, придав угол возвышения 45°, закрепить подъемный механизм в этом положении. Казенная часть пушки будет в центре рамы.</w:t>
      </w:r>
    </w:p>
    <w:p w14:paraId="57853F76"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БПК становилась минометом, стрелявшим под фиксированным углом 45°.</w:t>
      </w:r>
    </w:p>
    <w:p w14:paraId="2DE066C3"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проекту вес мины 3,3 кг, а стреляли минами весом 3,6 кг. Заряд состоял из готового хвостового патрона 12 калибра, содержавшего 8 г черного пороха, и четырех мешочков по 10 г пороха «Волк» (5-й вариант, остальные варианты имели приблизительно такие же компоненты).</w:t>
      </w:r>
    </w:p>
    <w:p w14:paraId="14D318F7"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ходе стрельб получена максимальная дальность — 1145 м. Часть мин разрывалась в полете, у некоторых мин при стрельбе отлетали стабилизаторы.</w:t>
      </w:r>
    </w:p>
    <w:p w14:paraId="01717235"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были признаны неудачными, и больше из БПК минами не стреляли.</w:t>
      </w:r>
    </w:p>
    <w:p w14:paraId="783710C0"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Войсковые испытания 76-мм БПК проводились в июле 1932 г. в Пролетарской московской стрелковой дивизии и в 4-й кавалерийской дивизии. В результате 76-мм батальонная пушка Курчевского была принята на вооружение постановлением Реввоенсовета от 16 августа 1932 г.</w:t>
      </w:r>
    </w:p>
    <w:p w14:paraId="738A8A1D"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БПК серийно производили на трех заводах.</w:t>
      </w:r>
    </w:p>
    <w:p w14:paraId="24E1635D"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Стоимость одной БПК составляла 10 тыс. рублей.</w:t>
      </w:r>
    </w:p>
    <w:p w14:paraId="75AD9EC1"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БПК была, видимо, лучшей системой Курчевского. Но, увы, наряду с конструктивными недостатками пушек Курчевского она имела неудачный лафет. Лафет был легок, но непрочен. Он не разбирался и не был пригоден для перевозки в тачанке, как ДРП-4 (12091).</w:t>
      </w:r>
    </w:p>
    <w:p w14:paraId="20B04641"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2583F412" w14:textId="77777777" w:rsidR="006C4F6D" w:rsidRPr="00C33834" w:rsidRDefault="006C4F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г. были проведены стрельбы из БПК 76-мм оперенными минами. Для превращения БПК в миномет требовалось:</w:t>
      </w:r>
    </w:p>
    <w:p w14:paraId="523722D1" w14:textId="77777777" w:rsidR="006C4F6D" w:rsidRPr="00C33834" w:rsidRDefault="006C4F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Вырыть яму под колесами такой глубины, чтобы ось и станины (рама) плотно прилегали к грунту.</w:t>
      </w:r>
    </w:p>
    <w:p w14:paraId="283F8252" w14:textId="77777777" w:rsidR="006C4F6D" w:rsidRPr="00C33834" w:rsidRDefault="006C4F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Отвинтить сопло и вставить специальное приспособление для превращения БПК в миномет типа «Стоке». Приспособление удерживалось затвором (стрельба велась при закрытом затворе).</w:t>
      </w:r>
    </w:p>
    <w:p w14:paraId="277747D3" w14:textId="77777777" w:rsidR="006C4F6D" w:rsidRPr="00C33834" w:rsidRDefault="006C4F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Освободить подъемный механизм системы, перевернуть ствол в сторону стрельбы и, придав угол возвышения 45°, закрепить подъемный механизм в этом положении. Казенная часть пушки будет в центре рамы.</w:t>
      </w:r>
    </w:p>
    <w:p w14:paraId="260B40CC" w14:textId="77777777" w:rsidR="006C4F6D" w:rsidRPr="00C33834" w:rsidRDefault="006C4F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БПК становилась минометом, стрелявшим под фиксированным углом 45°.</w:t>
      </w:r>
    </w:p>
    <w:p w14:paraId="18C18F1B" w14:textId="77777777" w:rsidR="006C4F6D" w:rsidRPr="00C33834" w:rsidRDefault="006C4F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проекту вес мины — 3,3 кг, а стреляли минами весом 3,6 кг. Заряд состоял из готового хвостового патрона 12-го калибра, содержавшего 8 г черного пороха, и четырех мешочков по 10 г пороха «Волк» (5-й вариант, остальные варианты имели приблизительно такие же компоненты).</w:t>
      </w:r>
    </w:p>
    <w:p w14:paraId="549BACBD" w14:textId="77777777" w:rsidR="006C4F6D" w:rsidRPr="00C33834" w:rsidRDefault="006C4F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ходе стрельб получена максимальная дальность 1145 м. Часть мин разрывалась в полете, у некоторых мин при стрельбе отлетали стабилизаторы.</w:t>
      </w:r>
    </w:p>
    <w:p w14:paraId="733EB5C2" w14:textId="77777777" w:rsidR="006C4F6D" w:rsidRPr="00C33834" w:rsidRDefault="006C4F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были признаны неудачными, и больше из БПК минами не стреляли.</w:t>
      </w:r>
    </w:p>
    <w:p w14:paraId="47CFD148" w14:textId="77777777" w:rsidR="006C4F6D" w:rsidRPr="00C33834" w:rsidRDefault="006C4F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Войсковые испытания 76-мм ВПК проводились в июле 1932 г. в Московской стрелковой Пролетарской дивизии и в 4-й кавалерийской дивизии. В результате 76-мм батальонная пушка Курчевского была принята на вооружение постановлением Реввоенсовета от 16 августа 1932 г.</w:t>
      </w:r>
    </w:p>
    <w:p w14:paraId="0A9C901A" w14:textId="77777777" w:rsidR="006C4F6D" w:rsidRPr="00C33834" w:rsidRDefault="006C4F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ВПК серийно производили на трех заводах.</w:t>
      </w:r>
    </w:p>
    <w:p w14:paraId="3350D9DD" w14:textId="77777777" w:rsidR="006C4F6D" w:rsidRPr="00C33834" w:rsidRDefault="006C4F6D" w:rsidP="00C33834">
      <w:pPr>
        <w:spacing w:after="0" w:line="240" w:lineRule="auto"/>
        <w:jc w:val="both"/>
        <w:rPr>
          <w:rFonts w:ascii="Times New Roman" w:hAnsi="Times New Roman"/>
          <w:bCs/>
          <w:color w:val="000000" w:themeColor="text1"/>
          <w:sz w:val="16"/>
          <w:szCs w:val="16"/>
        </w:rPr>
      </w:pPr>
      <w:bookmarkStart w:id="0" w:name="label49"/>
      <w:bookmarkStart w:id="1" w:name="label50"/>
      <w:bookmarkEnd w:id="0"/>
      <w:bookmarkEnd w:id="1"/>
      <w:r w:rsidRPr="00C33834">
        <w:rPr>
          <w:rFonts w:ascii="Times New Roman" w:hAnsi="Times New Roman"/>
          <w:bCs/>
          <w:color w:val="000000" w:themeColor="text1"/>
          <w:sz w:val="16"/>
          <w:szCs w:val="16"/>
        </w:rPr>
        <w:t>Производство БПК</w:t>
      </w:r>
    </w:p>
    <w:p w14:paraId="3FC2B167" w14:textId="77777777" w:rsidR="006C4F6D" w:rsidRPr="00C33834" w:rsidRDefault="006C4F6D" w:rsidP="00C33834">
      <w:pPr>
        <w:spacing w:after="0" w:line="240" w:lineRule="auto"/>
        <w:jc w:val="both"/>
        <w:rPr>
          <w:rFonts w:ascii="Times New Roman" w:hAnsi="Times New Roman"/>
          <w:bCs/>
          <w:color w:val="000000" w:themeColor="text1"/>
          <w:sz w:val="16"/>
          <w:szCs w:val="16"/>
        </w:rPr>
      </w:pPr>
      <w:bookmarkStart w:id="2" w:name="label51"/>
      <w:bookmarkEnd w:id="2"/>
      <w:r w:rsidRPr="00C33834">
        <w:rPr>
          <w:rFonts w:ascii="Times New Roman" w:hAnsi="Times New Roman"/>
          <w:bCs/>
          <w:color w:val="000000" w:themeColor="text1"/>
          <w:sz w:val="16"/>
          <w:szCs w:val="16"/>
          <w:vertAlign w:val="superscript"/>
        </w:rPr>
        <w:t>Завод …… 1932 г. (План / Изготовлено) … 1933 г. (План / Изготовлено) … 1934 г. (План / Изготовлено) … 1935 г. (План / Изготовлено)</w:t>
      </w:r>
    </w:p>
    <w:p w14:paraId="2B1C8626" w14:textId="77777777" w:rsidR="006C4F6D" w:rsidRPr="00C33834" w:rsidRDefault="006C4F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 (— / —) … (100 / 74) … (203 / 216) … (106 / 114)</w:t>
      </w:r>
    </w:p>
    <w:p w14:paraId="00532F75" w14:textId="77777777" w:rsidR="006C4F6D" w:rsidRPr="00C33834" w:rsidRDefault="006C4F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 (— / 3) … (100 / 3) … (</w:t>
      </w:r>
      <w:r w:rsidRPr="00C33834">
        <w:rPr>
          <w:rFonts w:ascii="Times New Roman" w:hAnsi="Times New Roman"/>
          <w:iCs/>
          <w:color w:val="000000" w:themeColor="text1"/>
          <w:sz w:val="16"/>
          <w:szCs w:val="16"/>
        </w:rPr>
        <w:t>—</w:t>
      </w:r>
      <w:r w:rsidRPr="00C33834">
        <w:rPr>
          <w:rFonts w:ascii="Times New Roman" w:hAnsi="Times New Roman"/>
          <w:color w:val="000000" w:themeColor="text1"/>
          <w:sz w:val="16"/>
          <w:szCs w:val="16"/>
        </w:rPr>
        <w:t xml:space="preserve"> / —) … (— / —)</w:t>
      </w:r>
    </w:p>
    <w:p w14:paraId="12505234" w14:textId="77777777" w:rsidR="006C4F6D" w:rsidRPr="00C33834" w:rsidRDefault="006C4F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«Большевик» …… (— / —) … (— / —) … (300 / 3) … (150 / 24)</w:t>
      </w:r>
    </w:p>
    <w:p w14:paraId="2E6E5F4C" w14:textId="77777777" w:rsidR="006C4F6D" w:rsidRPr="00C33834" w:rsidRDefault="006C4F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 (— / 3) … (200 / 77) … (503 / 219) … (256 / не менее 188)</w:t>
      </w:r>
    </w:p>
    <w:p w14:paraId="5B4AB69D" w14:textId="77777777" w:rsidR="006C4F6D" w:rsidRPr="00C33834" w:rsidRDefault="006C4F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Стоимость одной БПК составляла 10 тыс. рублей.</w:t>
      </w:r>
    </w:p>
    <w:p w14:paraId="5C4C8671" w14:textId="77777777" w:rsidR="006C4F6D" w:rsidRPr="00C33834" w:rsidRDefault="006C4F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Лафет был легок, но непрочен. Он не разбирался и не был пригоден для перевозки в тачанке, как ДРП-4.</w:t>
      </w:r>
    </w:p>
    <w:p w14:paraId="7ECE7BFB" w14:textId="77777777" w:rsidR="006C4F6D" w:rsidRPr="00C33834" w:rsidRDefault="006C4F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декабря 1933 г. началось изготовление упроченных лафетов, в которых трубчатые станины были заменены станинами «углового профиля». Но, увы, и «упроченные» лафеты разваливались при буксировке БПК со скоростью 5-10 км/час по булыжной мостовой.</w:t>
      </w:r>
    </w:p>
    <w:p w14:paraId="527751B4" w14:textId="77777777" w:rsidR="006C4F6D" w:rsidRPr="00C33834" w:rsidRDefault="006C4F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Возка БПК осуществлялась одной лошадью. Орудие привязывалось к оси двуколки. Скорость возки обычная: 5—7 км/ч. При таком лафете не могла и речь идти о механической тяге.</w:t>
      </w:r>
    </w:p>
    <w:p w14:paraId="46865A9B" w14:textId="77777777" w:rsidR="006C4F6D" w:rsidRPr="00C33834" w:rsidRDefault="006C4F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Конечно, можно было спроектировать и подрессоренный лафет. Но при этом возросли бы и вес системы, и ее стоимость. Ведь и так стоимость БПК равнялась стоимости дивизионной пушки обр. 1902 г.</w:t>
      </w:r>
    </w:p>
    <w:p w14:paraId="2B4EBB96" w14:textId="77777777" w:rsidR="006C4F6D" w:rsidRPr="00C33834" w:rsidRDefault="006C4F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ноября 1936 г. в РККА состояло БПК: годных — 398, требовавших ремонта — 7, учебных — 2. В конце 1930-х гг. БПК с вооружения были сняты (15117).</w:t>
      </w:r>
    </w:p>
    <w:p w14:paraId="067F23B7" w14:textId="77777777" w:rsidR="006C4F6D" w:rsidRPr="00C33834" w:rsidRDefault="006C4F6D" w:rsidP="00C33834">
      <w:pPr>
        <w:spacing w:after="0" w:line="240" w:lineRule="auto"/>
        <w:jc w:val="both"/>
        <w:rPr>
          <w:rFonts w:ascii="Times New Roman" w:hAnsi="Times New Roman"/>
          <w:color w:val="000000" w:themeColor="text1"/>
          <w:sz w:val="16"/>
          <w:szCs w:val="16"/>
        </w:rPr>
      </w:pPr>
    </w:p>
    <w:p w14:paraId="5689DC20"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года одновременно с работой над конструкторской документацией БТ-5, проводимой под руководством начальника КБ А.О.Фирсова, харьковский завод получил задание на разработку нового танка, в котором предполагалось устранить недостатки предшественников. Тактико-технические условия на новую машину предусматривали установку на нем двигателя М-17 - более надежного, чем применявшийся ранее М-5; полностью сварной корпус с улучшенной обзорностью для механика-водителя; увеличенная емкость топливных баков и, наконец, новая башня с 76-мм пушкой. Таким образом, планировалось создать "ударный колесно-гусеничный танк дальнего действия". Разработку его вела группа конструкторов в составе Бондаренко, Дорошенко, Курасова, Веселовского, Таршинова и Морозова (3862).</w:t>
      </w:r>
    </w:p>
    <w:p w14:paraId="01CE9DC2"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6E86BEB1" w14:textId="77777777" w:rsidR="006C4F6D" w:rsidRPr="00C33834" w:rsidRDefault="006C4F6D" w:rsidP="00C33834">
      <w:pPr>
        <w:pStyle w:val="27"/>
        <w:shd w:val="clear" w:color="auto" w:fill="auto"/>
        <w:spacing w:after="0" w:line="240" w:lineRule="auto"/>
        <w:ind w:firstLine="0"/>
        <w:rPr>
          <w:rFonts w:ascii="Times New Roman" w:cs="Times New Roman"/>
          <w:color w:val="000000" w:themeColor="text1"/>
          <w:spacing w:val="0"/>
        </w:rPr>
      </w:pPr>
      <w:r w:rsidRPr="00C33834">
        <w:rPr>
          <w:rFonts w:ascii="Times New Roman" w:cs="Times New Roman"/>
          <w:color w:val="000000" w:themeColor="text1"/>
          <w:spacing w:val="0"/>
        </w:rPr>
        <w:t>В январе 1933 года харьковский завод № 183 получил задание на разработку новой машины, в которой предполага</w:t>
      </w:r>
      <w:r w:rsidRPr="00C33834">
        <w:rPr>
          <w:rFonts w:ascii="Times New Roman" w:cs="Times New Roman"/>
          <w:color w:val="000000" w:themeColor="text1"/>
          <w:spacing w:val="0"/>
        </w:rPr>
        <w:softHyphen/>
        <w:t>лось устранить все недостатки предшест</w:t>
      </w:r>
      <w:r w:rsidRPr="00C33834">
        <w:rPr>
          <w:rFonts w:ascii="Times New Roman" w:cs="Times New Roman"/>
          <w:color w:val="000000" w:themeColor="text1"/>
          <w:spacing w:val="0"/>
        </w:rPr>
        <w:softHyphen/>
        <w:t>венников — БТ-2 и БТ-5. Тактико-техни- ческими условиями на новый танк пре</w:t>
      </w:r>
      <w:r w:rsidRPr="00C33834">
        <w:rPr>
          <w:rFonts w:ascii="Times New Roman" w:cs="Times New Roman"/>
          <w:color w:val="000000" w:themeColor="text1"/>
          <w:spacing w:val="0"/>
        </w:rPr>
        <w:softHyphen/>
        <w:t>дусматривалась установка на нем двигателя М-17, наличие полностью сварного корпуса с улучшенной обзорно</w:t>
      </w:r>
      <w:r w:rsidRPr="00C33834">
        <w:rPr>
          <w:rFonts w:ascii="Times New Roman" w:cs="Times New Roman"/>
          <w:color w:val="000000" w:themeColor="text1"/>
          <w:spacing w:val="0"/>
        </w:rPr>
        <w:softHyphen/>
        <w:t>стью для механика-водителя, увеличен</w:t>
      </w:r>
      <w:r w:rsidRPr="00C33834">
        <w:rPr>
          <w:rFonts w:ascii="Times New Roman" w:cs="Times New Roman"/>
          <w:color w:val="000000" w:themeColor="text1"/>
          <w:spacing w:val="0"/>
        </w:rPr>
        <w:softHyphen/>
        <w:t>ная емкость топливных баков и, нако</w:t>
      </w:r>
      <w:r w:rsidRPr="00C33834">
        <w:rPr>
          <w:rFonts w:ascii="Times New Roman" w:cs="Times New Roman"/>
          <w:color w:val="000000" w:themeColor="text1"/>
          <w:spacing w:val="0"/>
        </w:rPr>
        <w:softHyphen/>
        <w:t>нец, новая башня с 76-мм пушкой. Ко</w:t>
      </w:r>
      <w:r w:rsidRPr="00C33834">
        <w:rPr>
          <w:rFonts w:ascii="Times New Roman" w:cs="Times New Roman"/>
          <w:color w:val="000000" w:themeColor="text1"/>
          <w:spacing w:val="0"/>
        </w:rPr>
        <w:softHyphen/>
        <w:t>роче говоря, планировалось создать «ударный колесно-гусеничный танк дальнего действия». Новая боевая маши</w:t>
      </w:r>
      <w:r w:rsidRPr="00C33834">
        <w:rPr>
          <w:rFonts w:ascii="Times New Roman" w:cs="Times New Roman"/>
          <w:color w:val="000000" w:themeColor="text1"/>
          <w:spacing w:val="0"/>
        </w:rPr>
        <w:softHyphen/>
        <w:t>на получила индекс БТ-7.</w:t>
      </w:r>
    </w:p>
    <w:p w14:paraId="424E7461" w14:textId="77777777" w:rsidR="006C4F6D" w:rsidRPr="00C33834" w:rsidRDefault="006C4F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Характерная особенность первых про</w:t>
      </w:r>
      <w:r w:rsidRPr="00C33834">
        <w:rPr>
          <w:rFonts w:ascii="Times New Roman" w:hAnsi="Times New Roman"/>
          <w:color w:val="000000" w:themeColor="text1"/>
          <w:sz w:val="16"/>
          <w:szCs w:val="16"/>
        </w:rPr>
        <w:softHyphen/>
        <w:t>тотипов БТ-7 — размещение курсового пу</w:t>
      </w:r>
      <w:r w:rsidRPr="00C33834">
        <w:rPr>
          <w:rFonts w:ascii="Times New Roman" w:hAnsi="Times New Roman"/>
          <w:color w:val="000000" w:themeColor="text1"/>
          <w:sz w:val="16"/>
          <w:szCs w:val="16"/>
        </w:rPr>
        <w:softHyphen/>
        <w:t>лемета справа от люка механика-водителя, остроугольная корма корпуса с дополни</w:t>
      </w:r>
      <w:r w:rsidRPr="00C33834">
        <w:rPr>
          <w:rFonts w:ascii="Times New Roman" w:hAnsi="Times New Roman"/>
          <w:color w:val="000000" w:themeColor="text1"/>
          <w:sz w:val="16"/>
          <w:szCs w:val="16"/>
        </w:rPr>
        <w:softHyphen/>
        <w:t>тельным бензобаком емкостью 480 л и башня оригинальной конструкции в форме эллипса со скошенной крышей. Причем форма и размеры башни опреде</w:t>
      </w:r>
      <w:r w:rsidRPr="00C33834">
        <w:rPr>
          <w:rFonts w:ascii="Times New Roman" w:hAnsi="Times New Roman"/>
          <w:color w:val="000000" w:themeColor="text1"/>
          <w:sz w:val="16"/>
          <w:szCs w:val="16"/>
        </w:rPr>
        <w:softHyphen/>
        <w:t>лились как «контур наименьших разме</w:t>
      </w:r>
      <w:r w:rsidRPr="00C33834">
        <w:rPr>
          <w:rFonts w:ascii="Times New Roman" w:hAnsi="Times New Roman"/>
          <w:color w:val="000000" w:themeColor="text1"/>
          <w:sz w:val="16"/>
          <w:szCs w:val="16"/>
        </w:rPr>
        <w:softHyphen/>
        <w:t>ров, обтекающих собой вооружение, стрелков и механизмы». В башне отсут</w:t>
      </w:r>
      <w:r w:rsidRPr="00C33834">
        <w:rPr>
          <w:rFonts w:ascii="Times New Roman" w:hAnsi="Times New Roman"/>
          <w:color w:val="000000" w:themeColor="text1"/>
          <w:sz w:val="16"/>
          <w:szCs w:val="16"/>
        </w:rPr>
        <w:softHyphen/>
        <w:t>ствовали такие привычные детали, как рамка и маска пушки. Последняя уста</w:t>
      </w:r>
      <w:r w:rsidRPr="00C33834">
        <w:rPr>
          <w:rFonts w:ascii="Times New Roman" w:hAnsi="Times New Roman"/>
          <w:color w:val="000000" w:themeColor="text1"/>
          <w:sz w:val="16"/>
          <w:szCs w:val="16"/>
        </w:rPr>
        <w:softHyphen/>
        <w:t>навливалась на специальных кронштей</w:t>
      </w:r>
      <w:r w:rsidRPr="00C33834">
        <w:rPr>
          <w:rFonts w:ascii="Times New Roman" w:hAnsi="Times New Roman"/>
          <w:color w:val="000000" w:themeColor="text1"/>
          <w:sz w:val="16"/>
          <w:szCs w:val="16"/>
        </w:rPr>
        <w:softHyphen/>
        <w:t>нах, к которым крепился изогнутый лист, являвшийся маской пушки и пово</w:t>
      </w:r>
      <w:r w:rsidRPr="00C33834">
        <w:rPr>
          <w:rFonts w:ascii="Times New Roman" w:hAnsi="Times New Roman"/>
          <w:color w:val="000000" w:themeColor="text1"/>
          <w:sz w:val="16"/>
          <w:szCs w:val="16"/>
        </w:rPr>
        <w:softHyphen/>
        <w:t>рачивавшийся вместе с ней. Конструк</w:t>
      </w:r>
      <w:r w:rsidRPr="00C33834">
        <w:rPr>
          <w:rFonts w:ascii="Times New Roman" w:hAnsi="Times New Roman"/>
          <w:color w:val="000000" w:themeColor="text1"/>
          <w:sz w:val="16"/>
          <w:szCs w:val="16"/>
        </w:rPr>
        <w:softHyphen/>
        <w:t>ция башни предусматривала возмож</w:t>
      </w:r>
      <w:r w:rsidRPr="00C33834">
        <w:rPr>
          <w:rFonts w:ascii="Times New Roman" w:hAnsi="Times New Roman"/>
          <w:color w:val="000000" w:themeColor="text1"/>
          <w:sz w:val="16"/>
          <w:szCs w:val="16"/>
        </w:rPr>
        <w:softHyphen/>
        <w:t>ность монтажа без каких-либо измене</w:t>
      </w:r>
      <w:r w:rsidRPr="00C33834">
        <w:rPr>
          <w:rFonts w:ascii="Times New Roman" w:hAnsi="Times New Roman"/>
          <w:color w:val="000000" w:themeColor="text1"/>
          <w:sz w:val="16"/>
          <w:szCs w:val="16"/>
        </w:rPr>
        <w:softHyphen/>
        <w:t>ний любой из существовавших тогда танковых пушек: 76-мм КТ-28 и ПС-3 45-мм 20К. В нише башни размещалась вращающаяся боеукладка барабанного типа на 18 76-мм снарядов или радио</w:t>
      </w:r>
      <w:r w:rsidRPr="00C33834">
        <w:rPr>
          <w:rFonts w:ascii="Times New Roman" w:hAnsi="Times New Roman"/>
          <w:color w:val="000000" w:themeColor="text1"/>
          <w:sz w:val="16"/>
          <w:szCs w:val="16"/>
        </w:rPr>
        <w:softHyphen/>
        <w:t>станция. Справа от пушки в шаровом яб</w:t>
      </w:r>
      <w:r w:rsidRPr="00C33834">
        <w:rPr>
          <w:rFonts w:ascii="Times New Roman" w:hAnsi="Times New Roman"/>
          <w:color w:val="000000" w:themeColor="text1"/>
          <w:sz w:val="16"/>
          <w:szCs w:val="16"/>
        </w:rPr>
        <w:softHyphen/>
        <w:t>локе располагался пулемет ДТ с углом горизонтального (без поворота башни) обстрела 20°. В моторном отсеке, также без переделок, могли устанавливаться двигатели М-5 или М-17 (15232).</w:t>
      </w:r>
    </w:p>
    <w:p w14:paraId="56D3832E" w14:textId="77777777" w:rsidR="006C4F6D" w:rsidRPr="00C33834" w:rsidRDefault="006C4F6D" w:rsidP="00C33834">
      <w:pPr>
        <w:spacing w:after="0" w:line="240" w:lineRule="auto"/>
        <w:jc w:val="both"/>
        <w:rPr>
          <w:rFonts w:ascii="Times New Roman" w:hAnsi="Times New Roman"/>
          <w:color w:val="000000" w:themeColor="text1"/>
          <w:sz w:val="16"/>
          <w:szCs w:val="16"/>
        </w:rPr>
      </w:pPr>
    </w:p>
    <w:p w14:paraId="0B5C62AA"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в СКБ завода Компрессор был разработан химический танк ХБТ-5 (3880,24).</w:t>
      </w:r>
    </w:p>
    <w:p w14:paraId="7241DD42"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63D23472"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К.Е.В. подготовил доклад в СНК В.М.М. о степени выполнения танковой программы (9089,158):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192"/>
        <w:gridCol w:w="1134"/>
        <w:gridCol w:w="1134"/>
        <w:gridCol w:w="1134"/>
        <w:gridCol w:w="1134"/>
        <w:gridCol w:w="1134"/>
      </w:tblGrid>
      <w:tr w:rsidR="00F26F01" w:rsidRPr="00C33834" w14:paraId="0D8ED090" w14:textId="77777777">
        <w:tc>
          <w:tcPr>
            <w:tcW w:w="1610" w:type="dxa"/>
          </w:tcPr>
          <w:p w14:paraId="1232E2D7"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 танка и предприятие</w:t>
            </w:r>
          </w:p>
        </w:tc>
        <w:tc>
          <w:tcPr>
            <w:tcW w:w="1192" w:type="dxa"/>
          </w:tcPr>
          <w:p w14:paraId="45351B63"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Исходный план (февраль 1932)</w:t>
            </w:r>
          </w:p>
        </w:tc>
        <w:tc>
          <w:tcPr>
            <w:tcW w:w="1134" w:type="dxa"/>
          </w:tcPr>
          <w:p w14:paraId="2168712B"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Пересмотренный план </w:t>
            </w:r>
            <w:r w:rsidRPr="00C33834">
              <w:rPr>
                <w:rFonts w:ascii="Times New Roman" w:hAnsi="Times New Roman"/>
                <w:color w:val="000000" w:themeColor="text1"/>
                <w:sz w:val="16"/>
                <w:szCs w:val="16"/>
              </w:rPr>
              <w:lastRenderedPageBreak/>
              <w:t>(октябрь 1932)</w:t>
            </w:r>
          </w:p>
        </w:tc>
        <w:tc>
          <w:tcPr>
            <w:tcW w:w="1134" w:type="dxa"/>
          </w:tcPr>
          <w:p w14:paraId="3ECA4E0C"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Получено КА</w:t>
            </w:r>
          </w:p>
        </w:tc>
        <w:tc>
          <w:tcPr>
            <w:tcW w:w="1134" w:type="dxa"/>
          </w:tcPr>
          <w:p w14:paraId="7220EA83"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Только собрано</w:t>
            </w:r>
          </w:p>
        </w:tc>
        <w:tc>
          <w:tcPr>
            <w:tcW w:w="1134" w:type="dxa"/>
          </w:tcPr>
          <w:p w14:paraId="73D1A0B8"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C0F99DF"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27C6798" w14:textId="77777777">
        <w:tc>
          <w:tcPr>
            <w:tcW w:w="1610" w:type="dxa"/>
          </w:tcPr>
          <w:p w14:paraId="3AE3E1E7"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92" w:type="dxa"/>
          </w:tcPr>
          <w:p w14:paraId="535E4098"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1E0F3B7"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DF28DEC"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D3B536E"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7FC5B61"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без башни</w:t>
            </w:r>
          </w:p>
        </w:tc>
        <w:tc>
          <w:tcPr>
            <w:tcW w:w="1134" w:type="dxa"/>
          </w:tcPr>
          <w:p w14:paraId="074A8FD4"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без гусениц</w:t>
            </w:r>
          </w:p>
        </w:tc>
      </w:tr>
      <w:tr w:rsidR="00F26F01" w:rsidRPr="00C33834" w14:paraId="7A3E111F" w14:textId="77777777">
        <w:tc>
          <w:tcPr>
            <w:tcW w:w="1610" w:type="dxa"/>
          </w:tcPr>
          <w:p w14:paraId="099F192D"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Тегкий Т-26 - завод им. Ворошилова</w:t>
            </w:r>
          </w:p>
        </w:tc>
        <w:tc>
          <w:tcPr>
            <w:tcW w:w="1192" w:type="dxa"/>
          </w:tcPr>
          <w:p w14:paraId="3795767D"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1134" w:type="dxa"/>
          </w:tcPr>
          <w:p w14:paraId="7BEF7A84"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1600</w:t>
            </w:r>
          </w:p>
        </w:tc>
        <w:tc>
          <w:tcPr>
            <w:tcW w:w="1134" w:type="dxa"/>
          </w:tcPr>
          <w:p w14:paraId="2D3C0361"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911</w:t>
            </w:r>
          </w:p>
        </w:tc>
        <w:tc>
          <w:tcPr>
            <w:tcW w:w="1134" w:type="dxa"/>
          </w:tcPr>
          <w:p w14:paraId="725A6997"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1409</w:t>
            </w:r>
          </w:p>
        </w:tc>
        <w:tc>
          <w:tcPr>
            <w:tcW w:w="1134" w:type="dxa"/>
          </w:tcPr>
          <w:p w14:paraId="1191BF64"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134" w:type="dxa"/>
          </w:tcPr>
          <w:p w14:paraId="1F682AC9"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7947BC0" w14:textId="77777777">
        <w:tc>
          <w:tcPr>
            <w:tcW w:w="1610" w:type="dxa"/>
          </w:tcPr>
          <w:p w14:paraId="3A23C3A1"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Средний БТ - ХПЗ</w:t>
            </w:r>
          </w:p>
        </w:tc>
        <w:tc>
          <w:tcPr>
            <w:tcW w:w="1192" w:type="dxa"/>
          </w:tcPr>
          <w:p w14:paraId="0914CA96"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134" w:type="dxa"/>
          </w:tcPr>
          <w:p w14:paraId="7DACA0D3"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1134" w:type="dxa"/>
          </w:tcPr>
          <w:p w14:paraId="62A2B1AA"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239</w:t>
            </w:r>
          </w:p>
        </w:tc>
        <w:tc>
          <w:tcPr>
            <w:tcW w:w="1134" w:type="dxa"/>
          </w:tcPr>
          <w:p w14:paraId="1686C012"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1134" w:type="dxa"/>
          </w:tcPr>
          <w:p w14:paraId="4A8328F0"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134" w:type="dxa"/>
          </w:tcPr>
          <w:p w14:paraId="24C65415"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r>
      <w:tr w:rsidR="00F26F01" w:rsidRPr="00C33834" w14:paraId="50B63DB7" w14:textId="77777777">
        <w:tc>
          <w:tcPr>
            <w:tcW w:w="1610" w:type="dxa"/>
          </w:tcPr>
          <w:p w14:paraId="465C5196"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Танкетка Т-27</w:t>
            </w:r>
          </w:p>
        </w:tc>
        <w:tc>
          <w:tcPr>
            <w:tcW w:w="1192" w:type="dxa"/>
          </w:tcPr>
          <w:p w14:paraId="5EB2C35A"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AFD4810"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1C244A9"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4D0DFBD"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C240F0E"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E626B2B"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784407D" w14:textId="77777777">
        <w:tc>
          <w:tcPr>
            <w:tcW w:w="1610" w:type="dxa"/>
          </w:tcPr>
          <w:p w14:paraId="7A6A814D"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 Завод № 2</w:t>
            </w:r>
          </w:p>
        </w:tc>
        <w:tc>
          <w:tcPr>
            <w:tcW w:w="1192" w:type="dxa"/>
          </w:tcPr>
          <w:p w14:paraId="62EF4F6C"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1134" w:type="dxa"/>
          </w:tcPr>
          <w:p w14:paraId="11C6C42B"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1800</w:t>
            </w:r>
          </w:p>
        </w:tc>
        <w:tc>
          <w:tcPr>
            <w:tcW w:w="1134" w:type="dxa"/>
          </w:tcPr>
          <w:p w14:paraId="1160689C"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1370</w:t>
            </w:r>
          </w:p>
        </w:tc>
        <w:tc>
          <w:tcPr>
            <w:tcW w:w="1134" w:type="dxa"/>
          </w:tcPr>
          <w:p w14:paraId="3A99EAFC"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1618</w:t>
            </w:r>
          </w:p>
        </w:tc>
        <w:tc>
          <w:tcPr>
            <w:tcW w:w="1134" w:type="dxa"/>
          </w:tcPr>
          <w:p w14:paraId="3DD895DF"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34" w:type="dxa"/>
          </w:tcPr>
          <w:p w14:paraId="38FA5B10"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4A2B3BD1" w14:textId="77777777">
        <w:tc>
          <w:tcPr>
            <w:tcW w:w="1610" w:type="dxa"/>
          </w:tcPr>
          <w:p w14:paraId="27AAE6C9"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ГАЗ НН</w:t>
            </w:r>
          </w:p>
        </w:tc>
        <w:tc>
          <w:tcPr>
            <w:tcW w:w="1192" w:type="dxa"/>
          </w:tcPr>
          <w:p w14:paraId="62646BBC"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34" w:type="dxa"/>
          </w:tcPr>
          <w:p w14:paraId="4185E669"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134" w:type="dxa"/>
          </w:tcPr>
          <w:p w14:paraId="48E51F30"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w:t>
            </w:r>
          </w:p>
        </w:tc>
        <w:tc>
          <w:tcPr>
            <w:tcW w:w="1134" w:type="dxa"/>
          </w:tcPr>
          <w:p w14:paraId="18EA5480"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87</w:t>
            </w:r>
          </w:p>
        </w:tc>
        <w:tc>
          <w:tcPr>
            <w:tcW w:w="1134" w:type="dxa"/>
          </w:tcPr>
          <w:p w14:paraId="70B860BA"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C63C28B"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75348AF" w14:textId="77777777">
        <w:tc>
          <w:tcPr>
            <w:tcW w:w="1610" w:type="dxa"/>
          </w:tcPr>
          <w:p w14:paraId="77A29B5C"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92" w:type="dxa"/>
          </w:tcPr>
          <w:p w14:paraId="342F21D7"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10000</w:t>
            </w:r>
          </w:p>
        </w:tc>
        <w:tc>
          <w:tcPr>
            <w:tcW w:w="1134" w:type="dxa"/>
          </w:tcPr>
          <w:p w14:paraId="0F32140B"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4300</w:t>
            </w:r>
          </w:p>
        </w:tc>
        <w:tc>
          <w:tcPr>
            <w:tcW w:w="1134" w:type="dxa"/>
          </w:tcPr>
          <w:p w14:paraId="0F37A2CC"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2585</w:t>
            </w:r>
          </w:p>
        </w:tc>
        <w:tc>
          <w:tcPr>
            <w:tcW w:w="1134" w:type="dxa"/>
          </w:tcPr>
          <w:p w14:paraId="646D1372"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3714</w:t>
            </w:r>
          </w:p>
        </w:tc>
        <w:tc>
          <w:tcPr>
            <w:tcW w:w="1134" w:type="dxa"/>
          </w:tcPr>
          <w:p w14:paraId="478FE41D"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w:t>
            </w:r>
          </w:p>
        </w:tc>
        <w:tc>
          <w:tcPr>
            <w:tcW w:w="1134" w:type="dxa"/>
          </w:tcPr>
          <w:p w14:paraId="762F155B"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290</w:t>
            </w:r>
          </w:p>
        </w:tc>
      </w:tr>
    </w:tbl>
    <w:p w14:paraId="21182889"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(9445, 9446, 9447)</w:t>
      </w:r>
    </w:p>
    <w:p w14:paraId="36D7C3C5"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0E7E38A8"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чертежи и полноразмерный деревянный макет тяжелого танка массой 65-70 т, разработанного по заказу СССР в соответствии с ТТТ УММ итальянской фирмой Ансальдо в декабре 1932, были переданы в ОКМО завода Ворошилова и ЭКУ ОГПУ. От изготовления опытного образца - отказались (9527,152).</w:t>
      </w:r>
    </w:p>
    <w:p w14:paraId="1B504193"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70F0753F"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на заводе Большевик под руководством К.К.Сиркена был разработан проект тяжелого танка прорыва массой 85 т. Предусматривали 107 мм пушку с горизонтальным сектором обстрела 20 гр. И 2х45 мм в двух башнях и 76 мм зенитная пушка в кормовой башне. Броня - 20 мм, 60 мм и 80 мм (9527,152).</w:t>
      </w:r>
    </w:p>
    <w:p w14:paraId="53CEF1B7"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451BCED3"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СКБ завода Компрессор разработало оборудование ТДП-3, которое ОКБ Опытного завода Спецмаштреста им. Кирова установило на танк Т-26, в июле 1933. Опытный образец в августе 1933 прошел войсковые испытания (9527,190).</w:t>
      </w:r>
    </w:p>
    <w:p w14:paraId="56DA4A38"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0F5E30D2"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января 1933 г. в районе Красного Села на</w:t>
      </w:r>
      <w:r w:rsidRPr="00C33834">
        <w:rPr>
          <w:rFonts w:ascii="Times New Roman" w:hAnsi="Times New Roman"/>
          <w:color w:val="000000" w:themeColor="text1"/>
          <w:sz w:val="16"/>
          <w:szCs w:val="16"/>
        </w:rPr>
        <w:softHyphen/>
        <w:t>чались испытания телеуправляемых танков на местности (10675).</w:t>
      </w:r>
    </w:p>
    <w:p w14:paraId="2B83A00A"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739F5880" w14:textId="77777777" w:rsidR="006C4F6D" w:rsidRPr="00C33834" w:rsidRDefault="006C4F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января 1933 г. в районе Красного Села начались испытания телеуправляемых танков Т-26 на местности (15117).</w:t>
      </w:r>
    </w:p>
    <w:p w14:paraId="43132188" w14:textId="77777777" w:rsidR="006C4F6D" w:rsidRPr="00C33834" w:rsidRDefault="006C4F6D" w:rsidP="00C33834">
      <w:pPr>
        <w:spacing w:after="0" w:line="240" w:lineRule="auto"/>
        <w:jc w:val="both"/>
        <w:rPr>
          <w:rFonts w:ascii="Times New Roman" w:hAnsi="Times New Roman"/>
          <w:color w:val="000000" w:themeColor="text1"/>
          <w:sz w:val="16"/>
          <w:szCs w:val="16"/>
        </w:rPr>
      </w:pPr>
    </w:p>
    <w:p w14:paraId="4FFA4223" w14:textId="77777777" w:rsidR="006C4F6D" w:rsidRPr="00C33834" w:rsidRDefault="006C4F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года первый серийный образец Д-2, изготовленный на заводе Можерез, окончательноп передали заказчику, а последний, 15-й - только в сентябре.</w:t>
      </w:r>
    </w:p>
    <w:p w14:paraId="4EC8097D" w14:textId="77777777" w:rsidR="006C4F6D" w:rsidRPr="00C33834" w:rsidRDefault="006C4F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других предприятиях ситуация с выпуском Д-2 была еще более плачевной. Калужский и Коломенский заводы, загруженные другими заказами, не собрали ни одного Д-2, а в начале 1933 года эти предприятия освободили от выпуска мотоброневагонов (15624).</w:t>
      </w:r>
    </w:p>
    <w:p w14:paraId="6B20D2E7" w14:textId="77777777" w:rsidR="006C4F6D" w:rsidRPr="00C33834" w:rsidRDefault="006C4F6D" w:rsidP="00C33834">
      <w:pPr>
        <w:spacing w:after="0" w:line="240" w:lineRule="auto"/>
        <w:jc w:val="both"/>
        <w:rPr>
          <w:rFonts w:ascii="Times New Roman" w:hAnsi="Times New Roman"/>
          <w:color w:val="000000" w:themeColor="text1"/>
          <w:sz w:val="16"/>
          <w:szCs w:val="16"/>
        </w:rPr>
      </w:pPr>
    </w:p>
    <w:p w14:paraId="6547E798" w14:textId="77777777" w:rsidR="002E2835" w:rsidRPr="00C33834" w:rsidRDefault="002E283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г. постановлении Президиума Ленинградского облисполкома деятельность руководства завода им. Козицкого была признана неудовлетворительной. Помощник директора завода по военной части был отдан под суд, директор и начальник технического отдела завода подверглись дисциплинарным взысканиям. Постановление предусматривало проведение целого ряда организационно-технических мероприятий, призванных наладить работу по выполнению спецзаказов. Меры эти, прежде всего, коснулись технического отдела, специальную группу которого надлежало укомплектовать квалифицированными кадрами, обеспечить производство разработанным технологическим процессом по всем будущим заказам, качественными чертежами и законченными конструкциями, не требующими переделок в процессе изготовления. Для улучшения планирования в единое подразделение сливались технический и планово-производственный отделы завода. От руководства предприятия требовалось развернуть решительную борьбу с прогулами, браком и простоями, добиваться снижения себе стоимости продукции, не допускать перерасходов лимитов по заработной плате (18297).</w:t>
      </w:r>
    </w:p>
    <w:p w14:paraId="128C9FD8" w14:textId="77777777" w:rsidR="002E2835" w:rsidRPr="00C33834" w:rsidRDefault="002E2835" w:rsidP="00C33834">
      <w:pPr>
        <w:spacing w:after="0" w:line="240" w:lineRule="auto"/>
        <w:jc w:val="both"/>
        <w:rPr>
          <w:rFonts w:ascii="Times New Roman" w:hAnsi="Times New Roman"/>
          <w:color w:val="000000" w:themeColor="text1"/>
          <w:sz w:val="16"/>
          <w:szCs w:val="16"/>
        </w:rPr>
      </w:pPr>
    </w:p>
    <w:p w14:paraId="37DCCAFB" w14:textId="77777777" w:rsidR="002E2835" w:rsidRPr="00C33834" w:rsidRDefault="002E283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г. в справке-докладе, представленной начальником УСКА в Комиссию обороны при СНК СССР отмечалось, что общее выполнение программы по вооружению связи не превышало 71% с учетом большого объема продукции предъявленного промышленностью к сдаче (около 10,6% от программы), но не принятого военной приемкой. При этом наибольший процент выполнения – от 72% до 100% – пришелся на телеграфное и телефонное имущество (ленинградские заводы «Красная заря» и им. Кулакова). А вот по производству радиоаппаратуры план оказался резко недовыполненным (18297).</w:t>
      </w:r>
    </w:p>
    <w:p w14:paraId="2C63CACA" w14:textId="77777777" w:rsidR="002E2835" w:rsidRPr="00C33834" w:rsidRDefault="002E2835" w:rsidP="00C33834">
      <w:pPr>
        <w:spacing w:after="0" w:line="240" w:lineRule="auto"/>
        <w:jc w:val="both"/>
        <w:rPr>
          <w:rFonts w:ascii="Times New Roman" w:hAnsi="Times New Roman"/>
          <w:color w:val="000000" w:themeColor="text1"/>
          <w:sz w:val="16"/>
          <w:szCs w:val="16"/>
        </w:rPr>
      </w:pPr>
    </w:p>
    <w:p w14:paraId="0B67656D" w14:textId="77777777" w:rsidR="001A7A4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8AAC95D" w14:textId="77777777" w:rsidR="001A7A44" w:rsidRPr="00C33834" w:rsidRDefault="001A7A4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AFBA230" w14:textId="77777777" w:rsidR="000D4A20" w:rsidRPr="00C33834" w:rsidRDefault="000D4A20" w:rsidP="00C33834">
      <w:pPr>
        <w:pStyle w:val="rtejustify"/>
        <w:spacing w:before="0" w:after="0"/>
        <w:rPr>
          <w:color w:val="000000" w:themeColor="text1"/>
          <w:sz w:val="16"/>
          <w:szCs w:val="16"/>
        </w:rPr>
      </w:pPr>
      <w:r w:rsidRPr="00C33834">
        <w:rPr>
          <w:color w:val="000000" w:themeColor="text1"/>
          <w:sz w:val="16"/>
          <w:szCs w:val="16"/>
        </w:rPr>
        <w:t>В январе 1933 г. было создано бюро при ВОАО для восстановления потерянных навыков по производству крупнокалиберных снарядов. Бюро развернуло работы и разработало инструкции по всем стадиям металлургии производства крупнокалиберных снарядов, поставило исследовательскую работу по технике производства, но имело слабую связь с заводами. Н. В. Куйбышев констатировал, что на начало 1933 г. производство крупнокалиберных снарядов по новым техническим условиям не освоено и не обеспечено в потребном количестве оборудованием для валового производства и соответствующей металлургической базой. Чтобы избежать полного срыва обеспечения крупнокалиберной артиллерии выстрелами он предлагал разработать переходные технические условия от старых норм к новым, ускорить строительство Челябинского снарядного завода, как основной базы по крупнокалиберным снарядам, ускорить освоение капитальных вложений в размере 40 млн. руб., разместить 1100 станков и обеспечить производство металлом в 35 тыс. т. (ГАРФ. Ф. Р</w:t>
      </w:r>
      <w:r w:rsidRPr="00C33834">
        <w:rPr>
          <w:color w:val="000000" w:themeColor="text1"/>
          <w:sz w:val="16"/>
          <w:szCs w:val="16"/>
        </w:rPr>
        <w:noBreakHyphen/>
        <w:t>8418. Оп. 28. Д. 1. Л. 155</w:t>
      </w:r>
      <w:r w:rsidRPr="00C33834">
        <w:rPr>
          <w:color w:val="000000" w:themeColor="text1"/>
          <w:sz w:val="16"/>
          <w:szCs w:val="16"/>
        </w:rPr>
        <w:noBreakHyphen/>
        <w:t>158) (15270).</w:t>
      </w:r>
    </w:p>
    <w:p w14:paraId="528A0E7C" w14:textId="77777777" w:rsidR="000D4A20" w:rsidRPr="00C33834" w:rsidRDefault="000D4A20" w:rsidP="00C33834">
      <w:pPr>
        <w:autoSpaceDE w:val="0"/>
        <w:autoSpaceDN w:val="0"/>
        <w:adjustRightInd w:val="0"/>
        <w:spacing w:after="0" w:line="240" w:lineRule="auto"/>
        <w:jc w:val="both"/>
        <w:rPr>
          <w:rFonts w:ascii="Times New Roman" w:hAnsi="Times New Roman"/>
          <w:color w:val="000000" w:themeColor="text1"/>
          <w:sz w:val="16"/>
          <w:szCs w:val="16"/>
        </w:rPr>
      </w:pPr>
    </w:p>
    <w:p w14:paraId="155A9F6A"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январе-феврале и в октябре 1933 на опытных тактических учениях в ЛВО принимали участие группы телетанков МС-1, Т-27 и Т-26ю Аппаратура Московского отделения Остехбюро оказалась наиболее надежной. В течение полутора часов два танка управлялись с Р-5 без отказов, а машины выполняли сложные маневры по пересеченной местности (9527,199).</w:t>
      </w:r>
    </w:p>
    <w:p w14:paraId="50A25C5B"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7FBDE765" w14:textId="77777777" w:rsidR="001A7A44"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336313D0" w14:textId="77777777" w:rsidR="001A7A44" w:rsidRPr="00C33834" w:rsidRDefault="001A7A4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AFBF1CB"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директивой Наркомвоенмора Ленинградский авиамотодесантный отряд М.В.Бойцова был развернут в авиационную десантную бригаду особого назначения (АБОН) - стала учебным центром для 9 формирующихся парашютных батальонов (1101,125).</w:t>
      </w:r>
    </w:p>
    <w:p w14:paraId="2E77F3C8"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4ACFFD06"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учитывая срыв плановых заданий первой пятилетки, Сталин на пленуме ЦК 1933 года провозгласил отказ от политики "наиболее ускоренных темпов", заявив, что теперь нет необходимости "подхлёстывать и подгонять страну". В соответствии с этим он предложил для второй пятилетки 13-14 % ежегодного прироста промышленной продукции "как минимум" (9492).</w:t>
      </w:r>
    </w:p>
    <w:p w14:paraId="282A9FF4"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06472624" w14:textId="77777777" w:rsidR="001A7A4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728EE607" w14:textId="77777777" w:rsidR="001A7A44" w:rsidRPr="00C33834" w:rsidRDefault="001A7A4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F1B8829"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в Германии к власти пришли фашисты (226,426).</w:t>
      </w:r>
    </w:p>
    <w:p w14:paraId="0E438336" w14:textId="77777777" w:rsidR="001A7A44" w:rsidRPr="00C33834" w:rsidRDefault="001A7A44" w:rsidP="00C33834">
      <w:pPr>
        <w:autoSpaceDE w:val="0"/>
        <w:autoSpaceDN w:val="0"/>
        <w:adjustRightInd w:val="0"/>
        <w:spacing w:after="0" w:line="240" w:lineRule="auto"/>
        <w:jc w:val="both"/>
        <w:rPr>
          <w:rFonts w:ascii="Times New Roman" w:hAnsi="Times New Roman"/>
          <w:color w:val="000000" w:themeColor="text1"/>
          <w:sz w:val="16"/>
          <w:szCs w:val="16"/>
        </w:rPr>
      </w:pPr>
    </w:p>
    <w:p w14:paraId="4F0D5AE6" w14:textId="77777777" w:rsidR="001031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E6510CE" w14:textId="77777777" w:rsidR="00103186" w:rsidRPr="00C33834" w:rsidRDefault="001031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642943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года удалось договориться с промышленностью о выпуске 220 комплектов для переделки Р-5 в штурмовик. Завод № 1 обязался сдать 10 эталонных Р-5Ш, которые должны были стать образцами для мастерских ВВС. Исходный же опытный образец после внесения изменений продемонстрировали на Центральном аэродроме комиссии РВС СССР. Машина понравилась, Туржанского и Павлова наградили орденами Красной Звезды. Но из-за нехватки пулеметов, документации, специалистов работы фактически развернулись лишь в первой половине 1934 г. Завод № 1 строил Р-5Ш в 1933-34 гг. Кроме того, в частях под этот стандарт переделывали самолеты разных серий. Поэтому точно оценить количество Р-5Ш не удается. Судя по наличию их в ВВС, всего существовало около 500 машин (11936).</w:t>
      </w:r>
    </w:p>
    <w:p w14:paraId="133CD29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1F6848D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К.А.К. начал проектировать лк ВС-2 - вернее предложил ВВС несколько схем - обычной, двухбалочной и лк и ГИ-М ВВС РККА Аузан отмечал: "В результате рассмотрения представленных ХАЗОсом боевых схем ВС-2 констатирую, что наиболее целесообразной является схема лк, как обеспечивающая наилучший обзор и обстрел (2544,120).</w:t>
      </w:r>
    </w:p>
    <w:p w14:paraId="7EC04E3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1D8149AE" w14:textId="77777777" w:rsidR="003958B1" w:rsidRPr="00C33834" w:rsidRDefault="003958B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начале 1933 г. по инициативе Главного конструктора ХАЗОС К.А. Калинина было начато проектирование К-12 с целью поиска облика самолета, который бы при использовании сравнительно маломощных моторов имел бы следующие преимущества перед существующими войсковыми самолетами (имелись ввиду разведчики-</w:t>
      </w:r>
      <w:r w:rsidRPr="00C33834">
        <w:rPr>
          <w:rFonts w:ascii="Times New Roman" w:hAnsi="Times New Roman"/>
          <w:color w:val="0070C0"/>
          <w:sz w:val="16"/>
          <w:szCs w:val="16"/>
        </w:rPr>
        <w:lastRenderedPageBreak/>
        <w:t>бомбардировщики бипланы Р-5, единственные тогда самолеты такого класса, уже принятые на вооружение ВВС РККА, и многоплан Р-10, который проектировал ХАЗОС под руководством И. Немана):</w:t>
      </w:r>
    </w:p>
    <w:p w14:paraId="03F459B4" w14:textId="77777777" w:rsidR="003958B1" w:rsidRPr="00C33834" w:rsidRDefault="003958B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Ведущим конструктором был назначен А.В. Коваленко, который хорошо себя показал в работе над проектом К-7.</w:t>
      </w:r>
    </w:p>
    <w:p w14:paraId="5021F86D" w14:textId="77777777" w:rsidR="003958B1" w:rsidRPr="00C33834" w:rsidRDefault="003958B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ходе проектирования было исследовано три варианта схемы самолета: классическая с короткой хвостовой балкой и двухкилевым вертикальным оперением (ее особенностью также были элероны, вынесенные над крылом на пилонах); классическая с двумя хвостовыми балками и двухкилевым вертикальным оперением (ее особенностью также были элероны, вынесенные над крылом на пилонах); летающее крыло с размещением экипажа в коротком фюзеляже, а килей – на концах консолей. Все эти схемы проектировались под силовую установку из двух моторов с тянущим винтами, установленных в гондолах на крыле. Моторы рассматривались трех типов:  М-22 (серийный завода № 29, мощность 480 л.с., звездообразный;  М-49 (опытный завода № 29, мощность 275 л.с. на высоте 1000 м, вес 245 кг, рядный перевернутый)  М-52 (опытный завода № 24, однорядный с одним блоком цилиндров от М-34, 350 л.с. с малым миделем). Конструкция предполагалась с деревянным каркасом и фанерно-полотняной обшивкой за исключением капотов моторов. Кабины и турели – закрытые (23157).</w:t>
      </w:r>
    </w:p>
    <w:p w14:paraId="4244439E" w14:textId="77777777" w:rsidR="003958B1" w:rsidRPr="00C33834" w:rsidRDefault="003958B1" w:rsidP="00C33834">
      <w:pPr>
        <w:spacing w:after="0" w:line="240" w:lineRule="auto"/>
        <w:jc w:val="both"/>
        <w:rPr>
          <w:rFonts w:ascii="Times New Roman" w:hAnsi="Times New Roman"/>
          <w:color w:val="0070C0"/>
          <w:sz w:val="16"/>
          <w:szCs w:val="16"/>
        </w:rPr>
      </w:pPr>
    </w:p>
    <w:p w14:paraId="1138B31E" w14:textId="77777777" w:rsidR="000205FE" w:rsidRPr="00C33834" w:rsidRDefault="000205F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П.И.Б. приезжал на ХАЗОС разбираться с К.А.К., так как в конце 1932 группа из 18 человек написала письмо в ЦК и потом комиссия от ВВС разобраться не смогла. Среди подписантов был и З.И.Ицкович, возглавлявший группу и переброшенный П.И.Б. в Казань в КАИ (70,224).</w:t>
      </w:r>
    </w:p>
    <w:p w14:paraId="473C3EB2" w14:textId="77777777" w:rsidR="000205FE" w:rsidRPr="00C33834" w:rsidRDefault="000205FE" w:rsidP="00C33834">
      <w:pPr>
        <w:autoSpaceDE w:val="0"/>
        <w:autoSpaceDN w:val="0"/>
        <w:adjustRightInd w:val="0"/>
        <w:spacing w:after="0" w:line="240" w:lineRule="auto"/>
        <w:jc w:val="both"/>
        <w:rPr>
          <w:rFonts w:ascii="Times New Roman" w:hAnsi="Times New Roman"/>
          <w:color w:val="000000" w:themeColor="text1"/>
          <w:sz w:val="16"/>
          <w:szCs w:val="16"/>
        </w:rPr>
      </w:pPr>
    </w:p>
    <w:p w14:paraId="6D3E005D" w14:textId="77777777" w:rsidR="000205FE" w:rsidRPr="00C33834" w:rsidRDefault="000205FE"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В начале 1933 г. Калинин разработал эскизный проект первого в истории авиации бесхвостого бомбардировщика ВС-2 (К-12). Он был спроектирован по заданию ВВС на новый многоцелевой или, как тогда говорили, «войсковой» самолёт. Отсюда и военное обозначение машины ВС-2 — «войсковой самолёт двухмоторный». Кроме функций бомбардировщика самолёт должен был выполнять задачи разведчика, корректировщика артиллерийского огня, использоваться для аэрофотосъемки.. Точнее, он предложил несколько вариантов самолёта: обычной схемы, с хвостовым оперением, вынесенным за крыло на балках и «бесхвостку». Третья компоновка была признана лучшей. Главный инженер-механик ВВС РККА А.К. Аузан отмечал: «В результате рассмотрения представленных ХАЗОСом боевых схем самолёта ВС-2 констатирую, что наиболее целесообразной является схема летающего крыла, как обеспечивающая наилучшие обзор и обстрел» </w:t>
      </w:r>
      <w:hyperlink r:id="rId52" w:history="1">
        <w:r w:rsidRPr="00C33834">
          <w:rPr>
            <w:rFonts w:ascii="Times New Roman" w:eastAsia="Times New Roman" w:hAnsi="Times New Roman"/>
            <w:color w:val="000000" w:themeColor="text1"/>
            <w:sz w:val="16"/>
            <w:szCs w:val="16"/>
            <w:lang w:eastAsia="ru-RU"/>
          </w:rPr>
          <w:t>[191]</w:t>
        </w:r>
      </w:hyperlink>
      <w:r w:rsidRPr="00C33834">
        <w:rPr>
          <w:rFonts w:ascii="Times New Roman" w:eastAsia="Times New Roman" w:hAnsi="Times New Roman"/>
          <w:color w:val="000000" w:themeColor="text1"/>
          <w:sz w:val="16"/>
          <w:szCs w:val="16"/>
          <w:lang w:eastAsia="ru-RU"/>
        </w:rPr>
        <w:t xml:space="preserve"> .</w:t>
      </w:r>
    </w:p>
    <w:p w14:paraId="7EA0D77B" w14:textId="77777777" w:rsidR="000205FE" w:rsidRPr="00C33834" w:rsidRDefault="000205FE"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Сначала конструктор хотел установить рули высоты и элероны над крылом, а вдоль всей задней кромки крыла расположить закрылок для снижения посадочной скорости. Калинин называл такую схему «короткохвостой». На самолёте предполагалось установить моторы водяного охлаждения М-52 мощностью 480 л. с. По расчётам, на высоте 3000 м самолёт мог развивать 325 км/ч при посадочной скорости 64 км/ч, набирать высоту более 8000 м, нести 780 кг полезной нагрузки </w:t>
      </w:r>
      <w:hyperlink r:id="rId53" w:history="1">
        <w:r w:rsidRPr="00C33834">
          <w:rPr>
            <w:rFonts w:ascii="Times New Roman" w:eastAsia="Times New Roman" w:hAnsi="Times New Roman"/>
            <w:color w:val="000000" w:themeColor="text1"/>
            <w:sz w:val="16"/>
            <w:szCs w:val="16"/>
            <w:lang w:eastAsia="ru-RU"/>
          </w:rPr>
          <w:t>[192]</w:t>
        </w:r>
      </w:hyperlink>
      <w:r w:rsidRPr="00C33834">
        <w:rPr>
          <w:rFonts w:ascii="Times New Roman" w:eastAsia="Times New Roman" w:hAnsi="Times New Roman"/>
          <w:color w:val="000000" w:themeColor="text1"/>
          <w:sz w:val="16"/>
          <w:szCs w:val="16"/>
          <w:lang w:eastAsia="ru-RU"/>
        </w:rPr>
        <w:t xml:space="preserve"> .</w:t>
      </w:r>
    </w:p>
    <w:p w14:paraId="7B7798DE" w14:textId="77777777" w:rsidR="000205FE" w:rsidRPr="00C33834" w:rsidRDefault="000205FE"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Проект направили на отзыв в Центральное конструкторское бюро при заводе № 39. Там идею украинского конструктора встретили без энтузиазма. В решении ЦКБ говорится:</w:t>
      </w:r>
    </w:p>
    <w:p w14:paraId="36308159" w14:textId="77777777" w:rsidR="000205FE" w:rsidRPr="00C33834" w:rsidRDefault="000205FE"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«Самолёт представляет собой соединение многих малоизвестных нововведений, как-то:</w:t>
      </w:r>
    </w:p>
    <w:p w14:paraId="7DDF012E" w14:textId="77777777" w:rsidR="000205FE" w:rsidRPr="00C33834" w:rsidRDefault="000205FE"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 Бесхвостое крыло.</w:t>
      </w:r>
    </w:p>
    <w:p w14:paraId="6F3D3759" w14:textId="77777777" w:rsidR="000205FE" w:rsidRPr="00C33834" w:rsidRDefault="000205FE"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2). Над крыльевые элероны.</w:t>
      </w:r>
    </w:p>
    <w:p w14:paraId="1A813211" w14:textId="77777777" w:rsidR="000205FE" w:rsidRPr="00C33834" w:rsidRDefault="000205FE"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3). Клапаны (закрылки).</w:t>
      </w:r>
    </w:p>
    <w:p w14:paraId="696A7CD5" w14:textId="77777777" w:rsidR="000205FE" w:rsidRPr="00C33834" w:rsidRDefault="000205FE"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4). Боковые шайбы с рулями направления.</w:t>
      </w:r>
    </w:p>
    <w:p w14:paraId="3543DC3C" w14:textId="77777777" w:rsidR="000205FE" w:rsidRPr="00C33834" w:rsidRDefault="000205FE"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5). Предкрылки, крайние — автоматические, внутренние — управляемые.</w:t>
      </w:r>
    </w:p>
    <w:p w14:paraId="0764B002" w14:textId="77777777" w:rsidR="000205FE" w:rsidRPr="00C33834" w:rsidRDefault="000205FE"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Не имея опытных данных по работе этих нововведений, невозможно судить о работе их.</w:t>
      </w:r>
    </w:p>
    <w:p w14:paraId="3CC0F7C5" w14:textId="77777777" w:rsidR="000205FE" w:rsidRPr="00C33834" w:rsidRDefault="000205FE"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Схема самолёта показывает, что аэродинамических выгод данный самолёт иметь не может, так как сохранены все части нормальной машины: фюзеляж, оперение, причем последнее имеет увеличенную площадь и добавляются над крыльевые элероны…</w:t>
      </w:r>
    </w:p>
    <w:p w14:paraId="51EE1F80" w14:textId="77777777" w:rsidR="000205FE" w:rsidRPr="00C33834" w:rsidRDefault="000205FE"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Данный самолёт можно строить как сугубо экспериментальный в малых размерах, отстраняя вопрос о постройке большого самолёта, а тем более в серии» </w:t>
      </w:r>
      <w:hyperlink r:id="rId54" w:history="1">
        <w:r w:rsidRPr="00C33834">
          <w:rPr>
            <w:rFonts w:ascii="Times New Roman" w:eastAsia="Times New Roman" w:hAnsi="Times New Roman"/>
            <w:color w:val="000000" w:themeColor="text1"/>
            <w:sz w:val="16"/>
            <w:szCs w:val="16"/>
            <w:lang w:eastAsia="ru-RU"/>
          </w:rPr>
          <w:t>[193]</w:t>
        </w:r>
      </w:hyperlink>
      <w:r w:rsidRPr="00C33834">
        <w:rPr>
          <w:rFonts w:ascii="Times New Roman" w:eastAsia="Times New Roman" w:hAnsi="Times New Roman"/>
          <w:color w:val="000000" w:themeColor="text1"/>
          <w:sz w:val="16"/>
          <w:szCs w:val="16"/>
          <w:lang w:eastAsia="ru-RU"/>
        </w:rPr>
        <w:t xml:space="preserve"> (17489).</w:t>
      </w:r>
    </w:p>
    <w:p w14:paraId="373B50A9" w14:textId="77777777" w:rsidR="000205FE" w:rsidRPr="00C33834" w:rsidRDefault="000205FE" w:rsidP="00C33834">
      <w:pPr>
        <w:spacing w:after="0" w:line="240" w:lineRule="auto"/>
        <w:jc w:val="both"/>
        <w:rPr>
          <w:rFonts w:ascii="Times New Roman" w:eastAsia="Times New Roman" w:hAnsi="Times New Roman"/>
          <w:color w:val="000000" w:themeColor="text1"/>
          <w:sz w:val="16"/>
          <w:szCs w:val="16"/>
          <w:lang w:eastAsia="ru-RU"/>
        </w:rPr>
      </w:pPr>
    </w:p>
    <w:p w14:paraId="32850DC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испытывался ДИ-4 Лавиля, разработанный в Бюро новых конструкций (БНК) (80,127). Однако, в начале 1933 Бюро новых конструкций на заводе Менжинского - перестало быть самостоятельным (80,416). С.А.Лавочкин - попал к В.А.Чижевскому (78,38).</w:t>
      </w:r>
    </w:p>
    <w:p w14:paraId="356DC8D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видимому, с приходом С.В.И.</w:t>
      </w:r>
    </w:p>
    <w:p w14:paraId="4FBE68C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56C736A5"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 на</w:t>
      </w:r>
      <w:r w:rsidRPr="00C33834">
        <w:rPr>
          <w:rFonts w:ascii="Times New Roman" w:hAnsi="Times New Roman"/>
          <w:color w:val="000000" w:themeColor="text1"/>
          <w:sz w:val="16"/>
          <w:szCs w:val="16"/>
        </w:rPr>
        <w:softHyphen/>
        <w:t>чались испытания Д-4 Лавиля (11134). После проведения заводских испытании и ряда усовершенст</w:t>
      </w:r>
      <w:r w:rsidRPr="00C33834">
        <w:rPr>
          <w:rFonts w:ascii="Times New Roman" w:hAnsi="Times New Roman"/>
          <w:color w:val="000000" w:themeColor="text1"/>
          <w:sz w:val="16"/>
          <w:szCs w:val="16"/>
        </w:rPr>
        <w:softHyphen/>
        <w:t>вований 5 мая машину доставили с завода № 39 на Центральный аэродром, а 7 мая пе</w:t>
      </w:r>
      <w:r w:rsidRPr="00C33834">
        <w:rPr>
          <w:rFonts w:ascii="Times New Roman" w:hAnsi="Times New Roman"/>
          <w:color w:val="000000" w:themeColor="text1"/>
          <w:sz w:val="16"/>
          <w:szCs w:val="16"/>
        </w:rPr>
        <w:softHyphen/>
        <w:t>регнали в Щелково, на аэродром НИИ ВВС. Государственные испытания велись в период с 8-го по 22 мая 1933 г. (11134).</w:t>
      </w:r>
    </w:p>
    <w:p w14:paraId="33883E4B"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CAA1B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w:t>
      </w:r>
      <w:r w:rsidRPr="00C33834">
        <w:rPr>
          <w:rFonts w:ascii="Times New Roman" w:hAnsi="Times New Roman"/>
          <w:color w:val="000000" w:themeColor="text1"/>
          <w:sz w:val="16"/>
          <w:szCs w:val="16"/>
        </w:rPr>
        <w:softHyphen/>
        <w:t>чале 1933 г. начались полеты Д-4. После про</w:t>
      </w:r>
      <w:r w:rsidRPr="00C33834">
        <w:rPr>
          <w:rFonts w:ascii="Times New Roman" w:hAnsi="Times New Roman"/>
          <w:color w:val="000000" w:themeColor="text1"/>
          <w:sz w:val="16"/>
          <w:szCs w:val="16"/>
        </w:rPr>
        <w:softHyphen/>
        <w:t>ведения заводских испытаний и ряда усовер</w:t>
      </w:r>
      <w:r w:rsidRPr="00C33834">
        <w:rPr>
          <w:rFonts w:ascii="Times New Roman" w:hAnsi="Times New Roman"/>
          <w:color w:val="000000" w:themeColor="text1"/>
          <w:sz w:val="16"/>
          <w:szCs w:val="16"/>
        </w:rPr>
        <w:softHyphen/>
        <w:t>шенствований 5 мая машину доставили с за</w:t>
      </w:r>
      <w:r w:rsidRPr="00C33834">
        <w:rPr>
          <w:rFonts w:ascii="Times New Roman" w:hAnsi="Times New Roman"/>
          <w:color w:val="000000" w:themeColor="text1"/>
          <w:sz w:val="16"/>
          <w:szCs w:val="16"/>
        </w:rPr>
        <w:softHyphen/>
        <w:t>вода №39 на Центральный аэродром, а 7 мая перегнали в Щелково, на аэродром НИИ ВВС. Государственные испытания велись в периоде 8-го по 22 мая 1933 г.</w:t>
      </w:r>
    </w:p>
    <w:p w14:paraId="54AB5EA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Признавалось, что ДИ-4 выполнен по не</w:t>
      </w:r>
      <w:r w:rsidRPr="00C33834">
        <w:rPr>
          <w:rFonts w:ascii="Times New Roman" w:hAnsi="Times New Roman"/>
          <w:color w:val="000000" w:themeColor="text1"/>
          <w:sz w:val="16"/>
          <w:szCs w:val="16"/>
        </w:rPr>
        <w:softHyphen/>
        <w:t>современной схеме, с подкосами, крепящи</w:t>
      </w:r>
      <w:r w:rsidRPr="00C33834">
        <w:rPr>
          <w:rFonts w:ascii="Times New Roman" w:hAnsi="Times New Roman"/>
          <w:color w:val="000000" w:themeColor="text1"/>
          <w:sz w:val="16"/>
          <w:szCs w:val="16"/>
        </w:rPr>
        <w:softHyphen/>
        <w:t>мися на шасси. Само шасси очень сложное и неудобное в обслуживании. Как недостаток указывался большой вес конструкции, крыло в виде «чайки» не улучшало обзор по причи</w:t>
      </w:r>
      <w:r w:rsidRPr="00C33834">
        <w:rPr>
          <w:rFonts w:ascii="Times New Roman" w:hAnsi="Times New Roman"/>
          <w:color w:val="000000" w:themeColor="text1"/>
          <w:sz w:val="16"/>
          <w:szCs w:val="16"/>
        </w:rPr>
        <w:softHyphen/>
        <w:t>не использованного толстого профиля. Лет</w:t>
      </w:r>
      <w:r w:rsidRPr="00C33834">
        <w:rPr>
          <w:rFonts w:ascii="Times New Roman" w:hAnsi="Times New Roman"/>
          <w:color w:val="000000" w:themeColor="text1"/>
          <w:sz w:val="16"/>
          <w:szCs w:val="16"/>
        </w:rPr>
        <w:softHyphen/>
        <w:t>ные характеристики оценивались как невы</w:t>
      </w:r>
      <w:r w:rsidRPr="00C33834">
        <w:rPr>
          <w:rFonts w:ascii="Times New Roman" w:hAnsi="Times New Roman"/>
          <w:color w:val="000000" w:themeColor="text1"/>
          <w:sz w:val="16"/>
          <w:szCs w:val="16"/>
        </w:rPr>
        <w:softHyphen/>
        <w:t>сокие. Впрочем, самолет с трудом входил в штопор, однако прекрасно из него выходил.</w:t>
      </w:r>
    </w:p>
    <w:p w14:paraId="4D5AC65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дальнейшем предлагалось вместо двига</w:t>
      </w:r>
      <w:r w:rsidRPr="00C33834">
        <w:rPr>
          <w:rFonts w:ascii="Times New Roman" w:hAnsi="Times New Roman"/>
          <w:color w:val="000000" w:themeColor="text1"/>
          <w:sz w:val="16"/>
          <w:szCs w:val="16"/>
        </w:rPr>
        <w:softHyphen/>
        <w:t>теля Кертисс «Конкверор» использовать оте</w:t>
      </w:r>
      <w:r w:rsidRPr="00C33834">
        <w:rPr>
          <w:rFonts w:ascii="Times New Roman" w:hAnsi="Times New Roman"/>
          <w:color w:val="000000" w:themeColor="text1"/>
          <w:sz w:val="16"/>
          <w:szCs w:val="16"/>
        </w:rPr>
        <w:softHyphen/>
        <w:t>чественный двигатель М-32. Однако пере</w:t>
      </w:r>
      <w:r w:rsidRPr="00C33834">
        <w:rPr>
          <w:rFonts w:ascii="Times New Roman" w:hAnsi="Times New Roman"/>
          <w:color w:val="000000" w:themeColor="text1"/>
          <w:sz w:val="16"/>
          <w:szCs w:val="16"/>
        </w:rPr>
        <w:softHyphen/>
        <w:t>делки при этом могли оказаться столь суще</w:t>
      </w:r>
      <w:r w:rsidRPr="00C33834">
        <w:rPr>
          <w:rFonts w:ascii="Times New Roman" w:hAnsi="Times New Roman"/>
          <w:color w:val="000000" w:themeColor="text1"/>
          <w:sz w:val="16"/>
          <w:szCs w:val="16"/>
        </w:rPr>
        <w:softHyphen/>
        <w:t>ственными, что от совершенствования ма</w:t>
      </w:r>
      <w:r w:rsidRPr="00C33834">
        <w:rPr>
          <w:rFonts w:ascii="Times New Roman" w:hAnsi="Times New Roman"/>
          <w:color w:val="000000" w:themeColor="text1"/>
          <w:sz w:val="16"/>
          <w:szCs w:val="16"/>
        </w:rPr>
        <w:softHyphen/>
        <w:t>шины отказались. В результате было решено, что самолет не может быть допущен к серий</w:t>
      </w:r>
      <w:r w:rsidRPr="00C33834">
        <w:rPr>
          <w:rFonts w:ascii="Times New Roman" w:hAnsi="Times New Roman"/>
          <w:color w:val="000000" w:themeColor="text1"/>
          <w:sz w:val="16"/>
          <w:szCs w:val="16"/>
        </w:rPr>
        <w:softHyphen/>
        <w:t>ной постройке. Опытный экземпляр остави</w:t>
      </w:r>
      <w:r w:rsidRPr="00C33834">
        <w:rPr>
          <w:rFonts w:ascii="Times New Roman" w:hAnsi="Times New Roman"/>
          <w:color w:val="000000" w:themeColor="text1"/>
          <w:sz w:val="16"/>
          <w:szCs w:val="16"/>
        </w:rPr>
        <w:softHyphen/>
        <w:t>ли в НИИ ВВС, где с июля 1934 г. ДИ-4 ис</w:t>
      </w:r>
      <w:r w:rsidRPr="00C33834">
        <w:rPr>
          <w:rFonts w:ascii="Times New Roman" w:hAnsi="Times New Roman"/>
          <w:color w:val="000000" w:themeColor="text1"/>
          <w:sz w:val="16"/>
          <w:szCs w:val="16"/>
        </w:rPr>
        <w:softHyphen/>
        <w:t>пользовался в испытательных полетах для сравнения с другими истребителями.</w:t>
      </w:r>
    </w:p>
    <w:p w14:paraId="2E78E99A" w14:textId="77777777" w:rsidR="002E1BE7" w:rsidRPr="00C33834" w:rsidRDefault="002E1BE7" w:rsidP="00C33834">
      <w:pPr>
        <w:pStyle w:val="59"/>
        <w:shd w:val="clear" w:color="auto" w:fill="auto"/>
        <w:spacing w:line="240" w:lineRule="auto"/>
        <w:jc w:val="both"/>
        <w:rPr>
          <w:color w:val="000000" w:themeColor="text1"/>
          <w:szCs w:val="16"/>
        </w:rPr>
      </w:pPr>
      <w:r w:rsidRPr="00C33834">
        <w:rPr>
          <w:rStyle w:val="50pt"/>
          <w:color w:val="000000" w:themeColor="text1"/>
          <w:spacing w:val="0"/>
          <w:szCs w:val="16"/>
        </w:rPr>
        <w:t>Основные технические характеристики ДИ-4</w:t>
      </w:r>
    </w:p>
    <w:tbl>
      <w:tblPr>
        <w:tblW w:w="0" w:type="auto"/>
        <w:tblLayout w:type="fixed"/>
        <w:tblCellMar>
          <w:left w:w="10" w:type="dxa"/>
          <w:right w:w="10" w:type="dxa"/>
        </w:tblCellMar>
        <w:tblLook w:val="0000" w:firstRow="0" w:lastRow="0" w:firstColumn="0" w:lastColumn="0" w:noHBand="0" w:noVBand="0"/>
      </w:tblPr>
      <w:tblGrid>
        <w:gridCol w:w="3931"/>
        <w:gridCol w:w="1836"/>
      </w:tblGrid>
      <w:tr w:rsidR="00F26F01" w:rsidRPr="00C33834" w14:paraId="7EB2C8F8" w14:textId="77777777" w:rsidTr="002E1BE7">
        <w:trPr>
          <w:trHeight w:val="252"/>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FA69089"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Размах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403BE92"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13,36</w:t>
            </w:r>
          </w:p>
        </w:tc>
      </w:tr>
      <w:tr w:rsidR="00F26F01" w:rsidRPr="00C33834" w14:paraId="60055DA2" w14:textId="77777777" w:rsidTr="002E1BE7">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BD4BB72"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Длина(м)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B27C6E1"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8,50</w:t>
            </w:r>
          </w:p>
        </w:tc>
      </w:tr>
      <w:tr w:rsidR="00F26F01" w:rsidRPr="00C33834" w14:paraId="42E66DA3" w14:textId="77777777" w:rsidTr="002E1BE7">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8E5FD06"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Площадь крыла (м</w:t>
            </w:r>
            <w:r w:rsidRPr="00C33834">
              <w:rPr>
                <w:rFonts w:ascii="Times New Roman" w:hAnsi="Times New Roman" w:cs="Times New Roman"/>
                <w:b w:val="0"/>
                <w:color w:val="000000" w:themeColor="text1"/>
                <w:sz w:val="16"/>
                <w:szCs w:val="16"/>
                <w:vertAlign w:val="superscript"/>
              </w:rPr>
              <w:t>2</w:t>
            </w:r>
            <w:r w:rsidRPr="00C33834">
              <w:rPr>
                <w:rFonts w:ascii="Times New Roman" w:hAnsi="Times New Roman" w:cs="Times New Roman"/>
                <w:b w:val="0"/>
                <w:color w:val="000000" w:themeColor="text1"/>
                <w:sz w:val="16"/>
                <w:szCs w:val="16"/>
              </w:rPr>
              <w:t>)</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A289B9B"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23,90</w:t>
            </w:r>
          </w:p>
        </w:tc>
      </w:tr>
      <w:tr w:rsidR="00F26F01" w:rsidRPr="00C33834" w14:paraId="7030B7BA" w14:textId="77777777" w:rsidTr="002E1BE7">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D08E860"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Хорда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9C75C66"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2,0</w:t>
            </w:r>
          </w:p>
        </w:tc>
      </w:tr>
      <w:tr w:rsidR="00F26F01" w:rsidRPr="00C33834" w14:paraId="7EFB8C73" w14:textId="77777777" w:rsidTr="002E1BE7">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8055262"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Вес пустого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F363E2A"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1441,0</w:t>
            </w:r>
          </w:p>
        </w:tc>
      </w:tr>
      <w:tr w:rsidR="00F26F01" w:rsidRPr="00C33834" w14:paraId="5B74D807" w14:textId="77777777" w:rsidTr="002E1BE7">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34804A7"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Полетный вес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CE72B4C"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1949</w:t>
            </w:r>
          </w:p>
        </w:tc>
      </w:tr>
      <w:tr w:rsidR="00F26F01" w:rsidRPr="00C33834" w14:paraId="3FE1E5E2" w14:textId="77777777" w:rsidTr="002E1BE7">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C906115"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Скорость максимальная Н=0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9E9229E"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266</w:t>
            </w:r>
          </w:p>
        </w:tc>
      </w:tr>
      <w:tr w:rsidR="00F26F01" w:rsidRPr="00C33834" w14:paraId="5B50B65D" w14:textId="77777777" w:rsidTr="002E1BE7">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83CEAD0"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Скорость максимальная Н=3000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40913FE"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248,7</w:t>
            </w:r>
          </w:p>
        </w:tc>
      </w:tr>
      <w:tr w:rsidR="00F26F01" w:rsidRPr="00C33834" w14:paraId="5F9B20C7" w14:textId="77777777" w:rsidTr="002E1BE7">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270E560"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Скорость максимальная Н=5000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01C7AAE"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237,0</w:t>
            </w:r>
          </w:p>
        </w:tc>
      </w:tr>
      <w:tr w:rsidR="00F26F01" w:rsidRPr="00C33834" w14:paraId="5EE7F41B" w14:textId="77777777" w:rsidTr="002E1BE7">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D455BA4"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Время набора высоты 3000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8D999A4"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7,4</w:t>
            </w:r>
          </w:p>
        </w:tc>
      </w:tr>
      <w:tr w:rsidR="00F26F01" w:rsidRPr="00C33834" w14:paraId="7EDA08F5" w14:textId="77777777" w:rsidTr="002E1BE7">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38C8D40"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Время набора высоты 5000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21370C5"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17,0</w:t>
            </w:r>
          </w:p>
        </w:tc>
      </w:tr>
      <w:tr w:rsidR="00F26F01" w:rsidRPr="00C33834" w14:paraId="238DD732" w14:textId="77777777" w:rsidTr="002E1BE7">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D96A594"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Практический потолок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75ADAEE"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6440</w:t>
            </w:r>
          </w:p>
        </w:tc>
      </w:tr>
      <w:tr w:rsidR="00F26F01" w:rsidRPr="00C33834" w14:paraId="43B27C1E" w14:textId="77777777" w:rsidTr="002E1BE7">
        <w:trPr>
          <w:trHeight w:val="259"/>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38560E0"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Время виража на 100 м (сек.)</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EE21E54" w14:textId="77777777" w:rsidR="002E1BE7" w:rsidRPr="00C33834" w:rsidRDefault="002E1BE7"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15,0</w:t>
            </w:r>
          </w:p>
        </w:tc>
      </w:tr>
    </w:tbl>
    <w:p w14:paraId="315071A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(12295)</w:t>
      </w:r>
    </w:p>
    <w:p w14:paraId="7623E216" w14:textId="77777777" w:rsidR="002E1BE7" w:rsidRPr="00C33834" w:rsidRDefault="002E1BE7" w:rsidP="00C33834">
      <w:pPr>
        <w:spacing w:after="0" w:line="240" w:lineRule="auto"/>
        <w:jc w:val="both"/>
        <w:rPr>
          <w:rFonts w:ascii="Times New Roman" w:hAnsi="Times New Roman"/>
          <w:color w:val="000000" w:themeColor="text1"/>
          <w:sz w:val="16"/>
          <w:szCs w:val="16"/>
        </w:rPr>
      </w:pPr>
    </w:p>
    <w:p w14:paraId="59A5537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в ЦКБ завода Авиаработник им. Менжинского построили ДИ-4 А.Лявиля - подкосный цельнометаллический высокоплан (3876,7).</w:t>
      </w:r>
    </w:p>
    <w:p w14:paraId="367FBE3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5DB22B56" w14:textId="77777777" w:rsidR="006C4F6D" w:rsidRPr="00C33834" w:rsidRDefault="006C4F6D"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года с участием летчиков Б.Л. Бухгольца и Ю.П. Пионтковского начались заводские испытания ДИ-4. В мае истребитель доставили с завода № 39 в Щелково, на аэродром НИИ ВВС для проведения Государственных испытаний. В ходе этих испытаний было признано, что ДИ-4 создан по устаревшей схеме. Отмечалось, что его шасси очень сложное и неудобное в обслуживании. Значительным недостатком являлся большой вес конструкции. Кроме того, нарекания вызвало и крыло: сделанное в виде «чайки» для улучшения обзора, оно на самом деле не обнаружило этого преимущества по причине использования толстого профиля. Истребитель с трудом входил в штопор, но прекрасно из него выходил; остальные летные качества машины оценивались как невысокие (15223).</w:t>
      </w:r>
    </w:p>
    <w:p w14:paraId="173561C7" w14:textId="77777777" w:rsidR="006C4F6D" w:rsidRPr="00C33834" w:rsidRDefault="006C4F6D" w:rsidP="00C33834">
      <w:pPr>
        <w:shd w:val="clear" w:color="auto" w:fill="FFFFFF"/>
        <w:spacing w:after="0" w:line="240" w:lineRule="auto"/>
        <w:jc w:val="both"/>
        <w:rPr>
          <w:rFonts w:ascii="Times New Roman" w:hAnsi="Times New Roman"/>
          <w:color w:val="000000" w:themeColor="text1"/>
          <w:sz w:val="16"/>
          <w:szCs w:val="16"/>
        </w:rPr>
      </w:pPr>
    </w:p>
    <w:p w14:paraId="75F4D97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при испытании Р-6 на поплавках выясняли возможности его использования в качестве торпедоносца. Детальная проработка была поручена КБ А.Н.Т. и Остехбюро. К 1934 разработали схему моста для подвески торпед (346,37).</w:t>
      </w:r>
    </w:p>
    <w:p w14:paraId="4D47CA0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561F3F7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начале 1933 А.Н.Т. приступил к разработке АНТ-29 (ДИП) после получения от ВВС новых уточненных ТТТ (2693,15).</w:t>
      </w:r>
    </w:p>
    <w:p w14:paraId="07D3BEC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6149E739" w14:textId="77777777" w:rsidR="004539AF" w:rsidRPr="00C33834" w:rsidRDefault="004539A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года у со</w:t>
      </w:r>
      <w:r w:rsidRPr="00C33834">
        <w:rPr>
          <w:rFonts w:ascii="Times New Roman" w:hAnsi="Times New Roman"/>
          <w:color w:val="000000" w:themeColor="text1"/>
          <w:sz w:val="16"/>
          <w:szCs w:val="16"/>
        </w:rPr>
        <w:softHyphen/>
        <w:t>трудников Военно-Воздушной академии имени Н.Е. Жуковского (ВВА) во главе с В.Ф. Болховитиновым возникла идея, опи</w:t>
      </w:r>
      <w:r w:rsidRPr="00C33834">
        <w:rPr>
          <w:rFonts w:ascii="Times New Roman" w:hAnsi="Times New Roman"/>
          <w:color w:val="000000" w:themeColor="text1"/>
          <w:sz w:val="16"/>
          <w:szCs w:val="16"/>
        </w:rPr>
        <w:softHyphen/>
        <w:t>раясь на последние достижения аэроди</w:t>
      </w:r>
      <w:r w:rsidRPr="00C33834">
        <w:rPr>
          <w:rFonts w:ascii="Times New Roman" w:hAnsi="Times New Roman"/>
          <w:color w:val="000000" w:themeColor="text1"/>
          <w:sz w:val="16"/>
          <w:szCs w:val="16"/>
        </w:rPr>
        <w:softHyphen/>
        <w:t>намики, металлургии и технологии авиа</w:t>
      </w:r>
      <w:r w:rsidRPr="00C33834">
        <w:rPr>
          <w:rFonts w:ascii="Times New Roman" w:hAnsi="Times New Roman"/>
          <w:color w:val="000000" w:themeColor="text1"/>
          <w:sz w:val="16"/>
          <w:szCs w:val="16"/>
        </w:rPr>
        <w:softHyphen/>
        <w:t>строения, либо модернизировать основной бомбардировщик Красной Армии тех лет ТБ-3, либо на его основе создать новый.</w:t>
      </w:r>
    </w:p>
    <w:p w14:paraId="6B38723C" w14:textId="77777777" w:rsidR="004539AF" w:rsidRPr="00C33834" w:rsidRDefault="004539A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Идя по первому пути, коллектив ЦАГИ проработал вариант размещения на ТБ-3 агрегата центрального наддува, впоследст</w:t>
      </w:r>
      <w:r w:rsidRPr="00C33834">
        <w:rPr>
          <w:rFonts w:ascii="Times New Roman" w:hAnsi="Times New Roman"/>
          <w:color w:val="000000" w:themeColor="text1"/>
          <w:sz w:val="16"/>
          <w:szCs w:val="16"/>
        </w:rPr>
        <w:softHyphen/>
        <w:t>вии установленного на самолете ТБ-7. Од</w:t>
      </w:r>
      <w:r w:rsidRPr="00C33834">
        <w:rPr>
          <w:rFonts w:ascii="Times New Roman" w:hAnsi="Times New Roman"/>
          <w:color w:val="000000" w:themeColor="text1"/>
          <w:sz w:val="16"/>
          <w:szCs w:val="16"/>
        </w:rPr>
        <w:softHyphen/>
        <w:t>нако это предложение повышало лишь по- толокТБ-3, остальные характеристики пра</w:t>
      </w:r>
      <w:r w:rsidRPr="00C33834">
        <w:rPr>
          <w:rFonts w:ascii="Times New Roman" w:hAnsi="Times New Roman"/>
          <w:color w:val="000000" w:themeColor="text1"/>
          <w:sz w:val="16"/>
          <w:szCs w:val="16"/>
        </w:rPr>
        <w:softHyphen/>
        <w:t>ктически не изменялись. Предпочтение от</w:t>
      </w:r>
      <w:r w:rsidRPr="00C33834">
        <w:rPr>
          <w:rFonts w:ascii="Times New Roman" w:hAnsi="Times New Roman"/>
          <w:color w:val="000000" w:themeColor="text1"/>
          <w:sz w:val="16"/>
          <w:szCs w:val="16"/>
        </w:rPr>
        <w:softHyphen/>
        <w:t>дали проекту, разработанному в Военно- Воздушной академии имени Н.Е. Жуков</w:t>
      </w:r>
      <w:r w:rsidRPr="00C33834">
        <w:rPr>
          <w:rFonts w:ascii="Times New Roman" w:hAnsi="Times New Roman"/>
          <w:color w:val="000000" w:themeColor="text1"/>
          <w:sz w:val="16"/>
          <w:szCs w:val="16"/>
        </w:rPr>
        <w:softHyphen/>
        <w:t>ского коллективом конструкторов под ру</w:t>
      </w:r>
      <w:r w:rsidRPr="00C33834">
        <w:rPr>
          <w:rFonts w:ascii="Times New Roman" w:hAnsi="Times New Roman"/>
          <w:color w:val="000000" w:themeColor="text1"/>
          <w:sz w:val="16"/>
          <w:szCs w:val="16"/>
        </w:rPr>
        <w:softHyphen/>
        <w:t>ководством В.Ф. Болховитинова. Предло</w:t>
      </w:r>
      <w:r w:rsidRPr="00C33834">
        <w:rPr>
          <w:rFonts w:ascii="Times New Roman" w:hAnsi="Times New Roman"/>
          <w:color w:val="000000" w:themeColor="text1"/>
          <w:sz w:val="16"/>
          <w:szCs w:val="16"/>
        </w:rPr>
        <w:softHyphen/>
        <w:t>жение академии поддержал начальник во</w:t>
      </w:r>
      <w:r w:rsidRPr="00C33834">
        <w:rPr>
          <w:rFonts w:ascii="Times New Roman" w:hAnsi="Times New Roman"/>
          <w:color w:val="000000" w:themeColor="text1"/>
          <w:sz w:val="16"/>
          <w:szCs w:val="16"/>
        </w:rPr>
        <w:softHyphen/>
        <w:t>оружений РККА М.Н. Тухачевский. Само</w:t>
      </w:r>
      <w:r w:rsidRPr="00C33834">
        <w:rPr>
          <w:rFonts w:ascii="Times New Roman" w:hAnsi="Times New Roman"/>
          <w:color w:val="000000" w:themeColor="text1"/>
          <w:sz w:val="16"/>
          <w:szCs w:val="16"/>
        </w:rPr>
        <w:softHyphen/>
        <w:t>лет получил обозначение ДБ-2, а в стенах академии «А» или ДБ-А (ДБА). Позже, ког</w:t>
      </w:r>
      <w:r w:rsidRPr="00C33834">
        <w:rPr>
          <w:rFonts w:ascii="Times New Roman" w:hAnsi="Times New Roman"/>
          <w:color w:val="000000" w:themeColor="text1"/>
          <w:sz w:val="16"/>
          <w:szCs w:val="16"/>
        </w:rPr>
        <w:softHyphen/>
        <w:t>да в ЦАГИ приступили к разработке дальне</w:t>
      </w:r>
      <w:r w:rsidRPr="00C33834">
        <w:rPr>
          <w:rFonts w:ascii="Times New Roman" w:hAnsi="Times New Roman"/>
          <w:color w:val="000000" w:themeColor="text1"/>
          <w:sz w:val="16"/>
          <w:szCs w:val="16"/>
        </w:rPr>
        <w:softHyphen/>
        <w:t>го бомбардировщика АНТ-37 (и тоже ДБ-2), машину стали обозначать ДБ-2 (А).</w:t>
      </w:r>
    </w:p>
    <w:p w14:paraId="6F8363A7" w14:textId="77777777" w:rsidR="004539AF" w:rsidRPr="00C33834" w:rsidRDefault="004539A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Конструкторы из ВВА тогда предпола</w:t>
      </w:r>
      <w:r w:rsidRPr="00C33834">
        <w:rPr>
          <w:rFonts w:ascii="Times New Roman" w:hAnsi="Times New Roman"/>
          <w:color w:val="000000" w:themeColor="text1"/>
          <w:sz w:val="16"/>
          <w:szCs w:val="16"/>
        </w:rPr>
        <w:softHyphen/>
        <w:t>гали, что при сохранении технологическо</w:t>
      </w:r>
      <w:r w:rsidRPr="00C33834">
        <w:rPr>
          <w:rFonts w:ascii="Times New Roman" w:hAnsi="Times New Roman"/>
          <w:color w:val="000000" w:themeColor="text1"/>
          <w:sz w:val="16"/>
          <w:szCs w:val="16"/>
        </w:rPr>
        <w:softHyphen/>
        <w:t>го оборудования завода № 22, выпускав</w:t>
      </w:r>
      <w:r w:rsidRPr="00C33834">
        <w:rPr>
          <w:rFonts w:ascii="Times New Roman" w:hAnsi="Times New Roman"/>
          <w:color w:val="000000" w:themeColor="text1"/>
          <w:sz w:val="16"/>
          <w:szCs w:val="16"/>
        </w:rPr>
        <w:softHyphen/>
        <w:t>шего ТБ-3, удастся создать самолет, летно-технические характеристики которого не только отвечали бы предъявлявшимся к дальнему бомбардировщику требованиям, но и в ряде случаев значительно превосхо</w:t>
      </w:r>
      <w:r w:rsidRPr="00C33834">
        <w:rPr>
          <w:rFonts w:ascii="Times New Roman" w:hAnsi="Times New Roman"/>
          <w:color w:val="000000" w:themeColor="text1"/>
          <w:sz w:val="16"/>
          <w:szCs w:val="16"/>
        </w:rPr>
        <w:softHyphen/>
        <w:t>дили их.</w:t>
      </w:r>
    </w:p>
    <w:p w14:paraId="1E92E140" w14:textId="77777777" w:rsidR="004539AF" w:rsidRPr="00C33834" w:rsidRDefault="004539A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Вскоре бригаду Болховитинова переве</w:t>
      </w:r>
      <w:r w:rsidRPr="00C33834">
        <w:rPr>
          <w:rFonts w:ascii="Times New Roman" w:hAnsi="Times New Roman"/>
          <w:color w:val="000000" w:themeColor="text1"/>
          <w:sz w:val="16"/>
          <w:szCs w:val="16"/>
        </w:rPr>
        <w:softHyphen/>
        <w:t>ли в Фили на завод № 22, организовав там КБ-22. В проектировании самолета при</w:t>
      </w:r>
      <w:r w:rsidRPr="00C33834">
        <w:rPr>
          <w:rFonts w:ascii="Times New Roman" w:hAnsi="Times New Roman"/>
          <w:color w:val="000000" w:themeColor="text1"/>
          <w:sz w:val="16"/>
          <w:szCs w:val="16"/>
        </w:rPr>
        <w:softHyphen/>
        <w:t>нимали участие, в частности, Я.М. Ку- рицкес, И.Ф. Фролов, Б.Е. Черток, М.М. Шиш марев и другие. В ноябре 1934 го</w:t>
      </w:r>
      <w:r w:rsidRPr="00C33834">
        <w:rPr>
          <w:rFonts w:ascii="Times New Roman" w:hAnsi="Times New Roman"/>
          <w:color w:val="000000" w:themeColor="text1"/>
          <w:sz w:val="16"/>
          <w:szCs w:val="16"/>
        </w:rPr>
        <w:softHyphen/>
        <w:t>да построили первый экземпляр маши</w:t>
      </w:r>
      <w:r w:rsidRPr="00C33834">
        <w:rPr>
          <w:rFonts w:ascii="Times New Roman" w:hAnsi="Times New Roman"/>
          <w:color w:val="000000" w:themeColor="text1"/>
          <w:sz w:val="16"/>
          <w:szCs w:val="16"/>
        </w:rPr>
        <w:softHyphen/>
        <w:t>ны. Но вместо форсированных двигателей М-34ФРН с винтами изменяемого шага, предусмотренных проектом, установили М-34РН значительно меньшей мощности (12725).</w:t>
      </w:r>
    </w:p>
    <w:p w14:paraId="03D8172A" w14:textId="77777777" w:rsidR="004539AF" w:rsidRPr="00C33834" w:rsidRDefault="004539AF" w:rsidP="00C33834">
      <w:pPr>
        <w:spacing w:after="0" w:line="240" w:lineRule="auto"/>
        <w:jc w:val="both"/>
        <w:rPr>
          <w:rFonts w:ascii="Times New Roman" w:hAnsi="Times New Roman"/>
          <w:color w:val="000000" w:themeColor="text1"/>
          <w:sz w:val="16"/>
          <w:szCs w:val="16"/>
        </w:rPr>
      </w:pPr>
    </w:p>
    <w:p w14:paraId="13FD619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 опытный образец АНТ-14 под названием "Правда" был включен в состав агитэскадрильи имени Горького. Он совершил значительное число агитационных полетов, в том числе два - в Харьков и один - в Ленинград; в 1935 г. доставил делегацию Осоавиахима на авиационный праздник в Бухарест. Несколько раз на воздушных праздниках с АНТ-14 совершались групповые парашютные прыжки. Позднее его около десяти лет использовали для экскурсионных полетов над Москвой. Всего на этом самолете было перевезено до 40 000 пассажиров. После выработки ресурса АНТ-14 некоторое время стоял как экспонат в Парке культуры им. Горького в Москве. В годы Великой Отечественной войны его пустили на слом (12036).</w:t>
      </w:r>
    </w:p>
    <w:p w14:paraId="7A96256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6D253C0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для проведения испытаний и выполнения дальних перелетов на АНТ-25 в НИИ ВВС было сформировано два экипажа: М.М.Г., А.И.Филин, И.Т.Спирин и А.Б.Юмашев, П.М.Стефановский, С.А.Данилин. Маршруты: Москва - Средиземное море - Сахара - Западная Африка - Южная Атлантика - Южная Америка и в Австралию (2072,72).</w:t>
      </w:r>
    </w:p>
    <w:p w14:paraId="487BC1B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01A7933C" w14:textId="77777777" w:rsidR="008655C6" w:rsidRPr="00C33834" w:rsidRDefault="008655C6"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В начале 1933 года для проведения испытаний и выполнения дальних перелетов на самолетах АНТ-25 в НИИ ВВС были сформированы два экипажа. В первый экипаж вошли М.М. Громов, А.И. Филин и И.Г. Спирин, а во второй – А.Б. Юмашев, П.М. Стефановский и С.А. Данилин. Перед сформированными экипажами была поставлена задача – подготовиться к установлению мирового рекорда дальности беспосадочного полета по прямой, который должен был превзойти достижение французских летчиков Мориса Росси (Maurice Rossi) и Поля Кодоса (Paul Codos), в августе 1933 года на самолете Блерио-110 (Bl;riot 110) с собственным наименованием «Joseph Le Brix» преодолевших 9104 километра (21249).</w:t>
      </w:r>
    </w:p>
    <w:p w14:paraId="14C815E1" w14:textId="77777777" w:rsidR="008655C6" w:rsidRPr="00C33834" w:rsidRDefault="008655C6" w:rsidP="00C33834">
      <w:pPr>
        <w:spacing w:after="0" w:line="240" w:lineRule="auto"/>
        <w:jc w:val="both"/>
        <w:rPr>
          <w:rFonts w:ascii="Times New Roman" w:hAnsi="Times New Roman"/>
          <w:color w:val="0070C0"/>
          <w:sz w:val="16"/>
          <w:szCs w:val="16"/>
        </w:rPr>
      </w:pPr>
    </w:p>
    <w:p w14:paraId="4EC34AB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в Осконбюро П.И.Гроховского развернулись практические работы по строительству бесхвосток. Контракты на разработку самолета-тарана Г-39 (будущей Кукарачи) подписали с В.Ф.Болховитиновым, С.Г.Козловым и А.Е.Каминовым. Строили в мастерских ЦАГИ. В качестве мотора нашли только М-11 (4418,46).</w:t>
      </w:r>
    </w:p>
    <w:p w14:paraId="35173CE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660A6CEF" w14:textId="77777777" w:rsidR="002F34E6" w:rsidRPr="00C33834" w:rsidRDefault="002F34E6"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В начале 1933 г. настроение «наверху» вновь поменялось, и планы развертывания серийного производства АИР-6 возродились. План по выпуску 60 машин выдали на 1934 г. заводу № 47 в Ленинграде. Отпускную цену серийного моноплана определили в 10 000 рублей. Из Москвы в Ленинград отправились Е.Г Адлер и еще около десятка сотрудников Яковлева (19099).</w:t>
      </w:r>
    </w:p>
    <w:p w14:paraId="3901EC0F" w14:textId="77777777" w:rsidR="002F34E6" w:rsidRPr="00C33834" w:rsidRDefault="002F34E6" w:rsidP="00C33834">
      <w:pPr>
        <w:pStyle w:val="a8"/>
        <w:jc w:val="both"/>
        <w:rPr>
          <w:rFonts w:ascii="Times New Roman" w:hAnsi="Times New Roman" w:cs="Times New Roman"/>
          <w:color w:val="000000" w:themeColor="text1"/>
        </w:rPr>
      </w:pPr>
    </w:p>
    <w:p w14:paraId="19C9D01F"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w:t>
      </w:r>
    </w:p>
    <w:p w14:paraId="6E41F27A"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Отчет строительства Стальных Самолетов при Московском Авиационном ин-те в израсходовании денежных средства, отпущенных центральным советом Осоавиахима на постройку Стального Самолета с 1 го февраля 1932 по 1 января 1933</w:t>
      </w:r>
    </w:p>
    <w:p w14:paraId="73001B84"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счет 1 управление строительством</w:t>
      </w:r>
    </w:p>
    <w:p w14:paraId="662C980D"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зарплата 19.404.50</w:t>
      </w:r>
    </w:p>
    <w:p w14:paraId="57D229BA"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адм. хоз.расходы 2043.35</w:t>
      </w:r>
    </w:p>
    <w:p w14:paraId="349799D7"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21448.35</w:t>
      </w:r>
    </w:p>
    <w:p w14:paraId="36F59BB5"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счет 2 конструкторское бюро</w:t>
      </w:r>
    </w:p>
    <w:p w14:paraId="076336FD"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зарплата 41.954.06</w:t>
      </w:r>
    </w:p>
    <w:p w14:paraId="04413F49"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чертежн.принадл. 1720.85</w:t>
      </w:r>
    </w:p>
    <w:p w14:paraId="56258FE9"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43674.91</w:t>
      </w:r>
    </w:p>
    <w:p w14:paraId="7A0EC6EA"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счет 3 производство</w:t>
      </w:r>
    </w:p>
    <w:p w14:paraId="23F20714"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оплата труда по изготовл.оборудован. 62317.82</w:t>
      </w:r>
    </w:p>
    <w:p w14:paraId="17065EB6"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оплата труда по опытам К.Б. 101.80</w:t>
      </w:r>
    </w:p>
    <w:p w14:paraId="6A6C3ACA"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изготовл.приспособл.для испыт.опыт.обр.детал. 952.59</w:t>
      </w:r>
    </w:p>
    <w:p w14:paraId="55184CF2"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изготовл.крыла // вкл.стапель</w:t>
      </w:r>
    </w:p>
    <w:p w14:paraId="204CB988"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 фюзеляжа</w:t>
      </w:r>
    </w:p>
    <w:p w14:paraId="3A76532C"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 -"- и его внутр.оборуд.</w:t>
      </w:r>
    </w:p>
    <w:p w14:paraId="6861A4BC"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 изготовл.хвоста, оперения и костыля</w:t>
      </w:r>
    </w:p>
    <w:p w14:paraId="04F9B3C4"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 изготовление шасси</w:t>
      </w:r>
    </w:p>
    <w:p w14:paraId="7A721627"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сборка самолета</w:t>
      </w:r>
    </w:p>
    <w:p w14:paraId="05C8DFF7"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оплата труда инж.техн.персон.</w:t>
      </w:r>
    </w:p>
    <w:p w14:paraId="0644BBB5"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черт.бюро по произв.сам.</w:t>
      </w:r>
    </w:p>
    <w:p w14:paraId="15E1D258"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63372.21</w:t>
      </w:r>
    </w:p>
    <w:p w14:paraId="134F274E"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строительства Львов</w:t>
      </w:r>
    </w:p>
    <w:p w14:paraId="5EA38AB0"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 26-28</w:t>
      </w:r>
    </w:p>
    <w:p w14:paraId="430C7A59"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модели самолетов.</w:t>
      </w:r>
    </w:p>
    <w:p w14:paraId="50BE7E33"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(ГАРФ, Опись 1, Дело № 374: Общество содействия обороне, авиационному и химическому строительству СССР (ОСОАВИАХИМ, Л.  23-25) (15249).</w:t>
      </w:r>
    </w:p>
    <w:p w14:paraId="36FC4A83" w14:textId="77777777" w:rsidR="00945BF8" w:rsidRPr="00C33834" w:rsidRDefault="00945BF8" w:rsidP="00C33834">
      <w:pPr>
        <w:spacing w:after="0" w:line="240" w:lineRule="auto"/>
        <w:jc w:val="both"/>
        <w:rPr>
          <w:rFonts w:ascii="Times New Roman" w:hAnsi="Times New Roman"/>
          <w:color w:val="000000" w:themeColor="text1"/>
          <w:sz w:val="16"/>
          <w:szCs w:val="16"/>
        </w:rPr>
      </w:pPr>
    </w:p>
    <w:p w14:paraId="07C3513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был подготовлен Отчет самолетостроительного треста за 1932:</w:t>
      </w:r>
    </w:p>
    <w:p w14:paraId="6B0F8BB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Имеет в своем составе следующие заводы:</w:t>
      </w:r>
    </w:p>
    <w:p w14:paraId="4E6FB21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Тяжелого самолетостроения</w:t>
      </w:r>
    </w:p>
    <w:p w14:paraId="2E0EEDD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18 (ТБ).</w:t>
      </w:r>
    </w:p>
    <w:p w14:paraId="0DC7761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22 (ТБ).</w:t>
      </w:r>
    </w:p>
    <w:p w14:paraId="380A75D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31 (сухопутные и морские многоместные истребители-разведчики, учебно-универсальные, пассажирские).</w:t>
      </w:r>
    </w:p>
    <w:p w14:paraId="0458CF3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среднего самолетостроения</w:t>
      </w:r>
    </w:p>
    <w:p w14:paraId="5E125DB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1 (разведчики, штурмовики, бомбардировщики, школьные, почтовые, истребители).</w:t>
      </w:r>
    </w:p>
    <w:p w14:paraId="01A18B6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21 (армейские скоростные истребители).</w:t>
      </w:r>
    </w:p>
    <w:p w14:paraId="2D6C923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23 (учебные, опылители, санитарные).</w:t>
      </w:r>
    </w:p>
    <w:p w14:paraId="3931B4C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специального (подсобного) производства</w:t>
      </w:r>
    </w:p>
    <w:p w14:paraId="42F1EEA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16 (вооружение, инструменты).</w:t>
      </w:r>
    </w:p>
    <w:p w14:paraId="565C8A0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28 (винты, лыжи, радиаторы).</w:t>
      </w:r>
    </w:p>
    <w:p w14:paraId="37280BD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32 (вооружение, колеса, радиаторы).</w:t>
      </w:r>
    </w:p>
    <w:p w14:paraId="165AA35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121 (специальные тормозные колеса).</w:t>
      </w:r>
    </w:p>
    <w:p w14:paraId="2E3882C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1932 основным было быстрое внедрение в производство ряда новых типов самолетов, производства последних, конструкторских работ советских (И-5, Р-6, ТБ-3) и заграничных образцов (К-7, МБР-4). Это был год ввода и освоения в действии новых заводов (21,16, 18), а также начала реконструкции старых (31)." (2317).</w:t>
      </w:r>
    </w:p>
    <w:p w14:paraId="48FE5ED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618947A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была подготовлена справка:</w:t>
      </w:r>
    </w:p>
    <w:p w14:paraId="6A8FB56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Итоги работы авиационной промышленности за 1932 год</w:t>
      </w:r>
    </w:p>
    <w:p w14:paraId="263000E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сдано потребителям в 1932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F26F01" w:rsidRPr="00C33834" w14:paraId="0F6DBF51" w14:textId="77777777">
        <w:tc>
          <w:tcPr>
            <w:tcW w:w="3757" w:type="dxa"/>
          </w:tcPr>
          <w:p w14:paraId="1AA02DE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сдано потребителям в 1932 году</w:t>
            </w:r>
          </w:p>
        </w:tc>
        <w:tc>
          <w:tcPr>
            <w:tcW w:w="3757" w:type="dxa"/>
          </w:tcPr>
          <w:p w14:paraId="0E0E04C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w:t>
            </w:r>
          </w:p>
        </w:tc>
        <w:tc>
          <w:tcPr>
            <w:tcW w:w="3757" w:type="dxa"/>
          </w:tcPr>
          <w:p w14:paraId="4AD95A6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w:t>
            </w:r>
          </w:p>
        </w:tc>
      </w:tr>
      <w:tr w:rsidR="00F26F01" w:rsidRPr="00C33834" w14:paraId="7BD504C4" w14:textId="77777777">
        <w:tc>
          <w:tcPr>
            <w:tcW w:w="3757" w:type="dxa"/>
          </w:tcPr>
          <w:p w14:paraId="00514C1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Вполне кондиционных</w:t>
            </w:r>
          </w:p>
        </w:tc>
        <w:tc>
          <w:tcPr>
            <w:tcW w:w="3757" w:type="dxa"/>
          </w:tcPr>
          <w:p w14:paraId="49E1A52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4567</w:t>
            </w:r>
          </w:p>
        </w:tc>
        <w:tc>
          <w:tcPr>
            <w:tcW w:w="3757" w:type="dxa"/>
          </w:tcPr>
          <w:p w14:paraId="708A11A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2487</w:t>
            </w:r>
          </w:p>
        </w:tc>
      </w:tr>
      <w:tr w:rsidR="00F26F01" w:rsidRPr="00C33834" w14:paraId="0E0D9B9D" w14:textId="77777777">
        <w:tc>
          <w:tcPr>
            <w:tcW w:w="3757" w:type="dxa"/>
          </w:tcPr>
          <w:p w14:paraId="3624DB3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пониженной кондицией</w:t>
            </w:r>
          </w:p>
        </w:tc>
        <w:tc>
          <w:tcPr>
            <w:tcW w:w="3757" w:type="dxa"/>
          </w:tcPr>
          <w:p w14:paraId="3EFA011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w:t>
            </w:r>
          </w:p>
        </w:tc>
        <w:tc>
          <w:tcPr>
            <w:tcW w:w="3757" w:type="dxa"/>
          </w:tcPr>
          <w:p w14:paraId="1808360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7DA59D17" w14:textId="77777777">
        <w:tc>
          <w:tcPr>
            <w:tcW w:w="3757" w:type="dxa"/>
          </w:tcPr>
          <w:p w14:paraId="3B178D2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Учебных и макетов (в полном снаряжении)</w:t>
            </w:r>
          </w:p>
        </w:tc>
        <w:tc>
          <w:tcPr>
            <w:tcW w:w="3757" w:type="dxa"/>
          </w:tcPr>
          <w:p w14:paraId="119011E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111</w:t>
            </w:r>
          </w:p>
        </w:tc>
        <w:tc>
          <w:tcPr>
            <w:tcW w:w="3757" w:type="dxa"/>
          </w:tcPr>
          <w:p w14:paraId="5F0C805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10CDFB89" w14:textId="77777777">
        <w:tc>
          <w:tcPr>
            <w:tcW w:w="3757" w:type="dxa"/>
          </w:tcPr>
          <w:p w14:paraId="558880B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3757" w:type="dxa"/>
          </w:tcPr>
          <w:p w14:paraId="70BF45B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4918</w:t>
            </w:r>
          </w:p>
        </w:tc>
        <w:tc>
          <w:tcPr>
            <w:tcW w:w="3757" w:type="dxa"/>
          </w:tcPr>
          <w:p w14:paraId="74E1AD9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2487</w:t>
            </w:r>
          </w:p>
        </w:tc>
      </w:tr>
      <w:tr w:rsidR="00F26F01" w:rsidRPr="00C33834" w14:paraId="768B0BD8" w14:textId="77777777">
        <w:tc>
          <w:tcPr>
            <w:tcW w:w="3757" w:type="dxa"/>
          </w:tcPr>
          <w:p w14:paraId="493783B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Правительственное задание</w:t>
            </w:r>
          </w:p>
        </w:tc>
        <w:tc>
          <w:tcPr>
            <w:tcW w:w="3757" w:type="dxa"/>
          </w:tcPr>
          <w:p w14:paraId="71C5189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5310</w:t>
            </w:r>
          </w:p>
        </w:tc>
        <w:tc>
          <w:tcPr>
            <w:tcW w:w="3757" w:type="dxa"/>
          </w:tcPr>
          <w:p w14:paraId="314D1E2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3461</w:t>
            </w:r>
          </w:p>
        </w:tc>
      </w:tr>
      <w:tr w:rsidR="00F26F01" w:rsidRPr="00C33834" w14:paraId="6337D6CC" w14:textId="77777777">
        <w:tc>
          <w:tcPr>
            <w:tcW w:w="3757" w:type="dxa"/>
          </w:tcPr>
          <w:p w14:paraId="4F524E7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Сдано в 1931 году</w:t>
            </w:r>
          </w:p>
        </w:tc>
        <w:tc>
          <w:tcPr>
            <w:tcW w:w="3757" w:type="dxa"/>
          </w:tcPr>
          <w:p w14:paraId="2398DB6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1640</w:t>
            </w:r>
          </w:p>
        </w:tc>
        <w:tc>
          <w:tcPr>
            <w:tcW w:w="3757" w:type="dxa"/>
          </w:tcPr>
          <w:p w14:paraId="3A261D1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1489</w:t>
            </w:r>
          </w:p>
        </w:tc>
      </w:tr>
      <w:tr w:rsidR="00F26F01" w:rsidRPr="00C33834" w14:paraId="232EB0FF" w14:textId="77777777">
        <w:tc>
          <w:tcPr>
            <w:tcW w:w="3757" w:type="dxa"/>
          </w:tcPr>
          <w:p w14:paraId="7038343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Рост выпуска по количеству единиц в сравнении с прошлым годом составляет</w:t>
            </w:r>
          </w:p>
        </w:tc>
        <w:tc>
          <w:tcPr>
            <w:tcW w:w="3757" w:type="dxa"/>
          </w:tcPr>
          <w:p w14:paraId="3737EF3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3757" w:type="dxa"/>
          </w:tcPr>
          <w:p w14:paraId="77E18EC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167%</w:t>
            </w:r>
          </w:p>
        </w:tc>
      </w:tr>
      <w:tr w:rsidR="00F26F01" w:rsidRPr="00C33834" w14:paraId="42600931" w14:textId="77777777">
        <w:tc>
          <w:tcPr>
            <w:tcW w:w="3757" w:type="dxa"/>
          </w:tcPr>
          <w:p w14:paraId="5148FEA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в целом по количеству единиц исполнен на</w:t>
            </w:r>
          </w:p>
        </w:tc>
        <w:tc>
          <w:tcPr>
            <w:tcW w:w="3757" w:type="dxa"/>
          </w:tcPr>
          <w:p w14:paraId="785F1D1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92,6%</w:t>
            </w:r>
          </w:p>
        </w:tc>
        <w:tc>
          <w:tcPr>
            <w:tcW w:w="3757" w:type="dxa"/>
          </w:tcPr>
          <w:p w14:paraId="73EC114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71,9%</w:t>
            </w:r>
          </w:p>
        </w:tc>
      </w:tr>
      <w:tr w:rsidR="00F26F01" w:rsidRPr="00C33834" w14:paraId="5387CED4" w14:textId="77777777">
        <w:tc>
          <w:tcPr>
            <w:tcW w:w="3757" w:type="dxa"/>
          </w:tcPr>
          <w:p w14:paraId="794D776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них по кондиционным моторам на</w:t>
            </w:r>
          </w:p>
        </w:tc>
        <w:tc>
          <w:tcPr>
            <w:tcW w:w="3757" w:type="dxa"/>
          </w:tcPr>
          <w:p w14:paraId="2BEA01F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w:t>
            </w:r>
          </w:p>
        </w:tc>
        <w:tc>
          <w:tcPr>
            <w:tcW w:w="3757" w:type="dxa"/>
          </w:tcPr>
          <w:p w14:paraId="4B59EA8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bl>
    <w:p w14:paraId="1C16904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(4039,42).</w:t>
      </w:r>
    </w:p>
    <w:p w14:paraId="28A9D7E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2817C634" w14:textId="77777777" w:rsidR="008655C6" w:rsidRPr="00C33834" w:rsidRDefault="008655C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начале 1933 г. Катастрофа А-6, произошедшая в январе, заставила сомневаться как в легкости создания автожиров, так и в безопасности со</w:t>
      </w:r>
      <w:r w:rsidRPr="00C33834">
        <w:rPr>
          <w:rFonts w:ascii="Times New Roman" w:hAnsi="Times New Roman"/>
          <w:color w:val="0070C0"/>
          <w:sz w:val="16"/>
          <w:szCs w:val="16"/>
        </w:rPr>
        <w:softHyphen/>
        <w:t>вершения на них полетов (20361).</w:t>
      </w:r>
    </w:p>
    <w:p w14:paraId="331B88D7" w14:textId="77777777" w:rsidR="008655C6" w:rsidRPr="00C33834" w:rsidRDefault="008655C6" w:rsidP="00C33834">
      <w:pPr>
        <w:shd w:val="clear" w:color="auto" w:fill="FFFFFF"/>
        <w:spacing w:after="0" w:line="240" w:lineRule="auto"/>
        <w:jc w:val="both"/>
        <w:rPr>
          <w:rFonts w:ascii="Times New Roman" w:hAnsi="Times New Roman"/>
          <w:color w:val="0070C0"/>
          <w:sz w:val="16"/>
          <w:szCs w:val="16"/>
        </w:rPr>
      </w:pPr>
    </w:p>
    <w:p w14:paraId="425D72AD" w14:textId="77777777" w:rsidR="008655C6" w:rsidRPr="00C33834" w:rsidRDefault="008655C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начале 1933 г. здесь построили и перевезли на аэродром в Ухтомской второй экземпляр опытной машины - ЦАГИ 3-ЭА, который отличался некоторыми конструктивными доработками. До середины года этот аппарат прошел наземные испытания с подъемом в воздух на привязи, затем его переделали в следующий тип - ЦАГИ 5-ЭА. Принципиально новыми в нем стали система управления и несущий ротор. ЦАГИ 5-ЭА ис</w:t>
      </w:r>
      <w:r w:rsidRPr="00C33834">
        <w:rPr>
          <w:rFonts w:ascii="Times New Roman" w:hAnsi="Times New Roman"/>
          <w:color w:val="0070C0"/>
          <w:sz w:val="16"/>
          <w:szCs w:val="16"/>
        </w:rPr>
        <w:softHyphen/>
        <w:t>пытывался особенно тщательно в период 1933-36 гг. Од</w:t>
      </w:r>
      <w:r w:rsidRPr="00C33834">
        <w:rPr>
          <w:rFonts w:ascii="Times New Roman" w:hAnsi="Times New Roman"/>
          <w:color w:val="0070C0"/>
          <w:sz w:val="16"/>
          <w:szCs w:val="16"/>
        </w:rPr>
        <w:softHyphen/>
        <w:t>нако в связи с тем, что ресурс двигателей М-2 практиче</w:t>
      </w:r>
      <w:r w:rsidRPr="00C33834">
        <w:rPr>
          <w:rFonts w:ascii="Times New Roman" w:hAnsi="Times New Roman"/>
          <w:color w:val="0070C0"/>
          <w:sz w:val="16"/>
          <w:szCs w:val="16"/>
        </w:rPr>
        <w:softHyphen/>
        <w:t>ски закончился, а новых таких двигателей не имелось, продолжительность и высота полетов строго ограничи</w:t>
      </w:r>
      <w:r w:rsidRPr="00C33834">
        <w:rPr>
          <w:rFonts w:ascii="Times New Roman" w:hAnsi="Times New Roman"/>
          <w:color w:val="0070C0"/>
          <w:sz w:val="16"/>
          <w:szCs w:val="16"/>
        </w:rPr>
        <w:softHyphen/>
        <w:t>вались. В 1941 г. на ЦАГИ 5-ЭА установили два специаль</w:t>
      </w:r>
      <w:r w:rsidRPr="00C33834">
        <w:rPr>
          <w:rFonts w:ascii="Times New Roman" w:hAnsi="Times New Roman"/>
          <w:color w:val="0070C0"/>
          <w:sz w:val="16"/>
          <w:szCs w:val="16"/>
        </w:rPr>
        <w:softHyphen/>
        <w:t>ных электродвигателя, позволяющие осуществлять испы</w:t>
      </w:r>
      <w:r w:rsidRPr="00C33834">
        <w:rPr>
          <w:rFonts w:ascii="Times New Roman" w:hAnsi="Times New Roman"/>
          <w:color w:val="0070C0"/>
          <w:sz w:val="16"/>
          <w:szCs w:val="16"/>
        </w:rPr>
        <w:softHyphen/>
        <w:t>тательные полеты на привязи. В середине года начались испытания, которые прервались с началом войны (20361).</w:t>
      </w:r>
    </w:p>
    <w:p w14:paraId="16053722" w14:textId="77777777" w:rsidR="008655C6" w:rsidRPr="00C33834" w:rsidRDefault="008655C6" w:rsidP="00C33834">
      <w:pPr>
        <w:shd w:val="clear" w:color="auto" w:fill="FFFFFF"/>
        <w:spacing w:after="0" w:line="240" w:lineRule="auto"/>
        <w:jc w:val="both"/>
        <w:rPr>
          <w:rFonts w:ascii="Times New Roman" w:hAnsi="Times New Roman"/>
          <w:color w:val="0070C0"/>
          <w:sz w:val="16"/>
          <w:szCs w:val="16"/>
        </w:rPr>
      </w:pPr>
    </w:p>
    <w:p w14:paraId="16CC5FC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начала 1933 г. серийные М-34 (мощностью 750-800 л.с.) начали выходить из цехов московского завода №24 (ныне «Салют"). До конца года выпустили 790 экземпляров (7668).</w:t>
      </w:r>
    </w:p>
    <w:p w14:paraId="3984461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2281BB8C"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начала 1933 г. приступили к изготовлению опытных образцов двигателя М-44 (их параллельно делали два). В том же году начались заводские испытания первого экземпляра, в следующем — второго. Планировали и третий, но позднее от его сборки отказались. Одновременно началось проектирование катерной модификации, ГМ-44 с реверс-муфтой. Авиационный М-44 не оправдал надежд конструкторов. Мощность его оказалась значительно меньше заданных 2200 л.с. В конце 1934 г. работы по нему прекратили. Катерный ГМ-44 построили и испытывали до сере</w:t>
      </w:r>
      <w:r w:rsidRPr="00C33834">
        <w:rPr>
          <w:rFonts w:ascii="Times New Roman" w:hAnsi="Times New Roman"/>
          <w:color w:val="000000" w:themeColor="text1"/>
          <w:sz w:val="16"/>
          <w:szCs w:val="16"/>
        </w:rPr>
        <w:softHyphen/>
        <w:t>дины 1936 г. Но его также не запустили в серийное производство. Самый мощный советский авиамотор первой половины 30-х годов. Предназначался для тяжелых бомбардировщиков. Проектировался в НАМ под руководством Н.П. Сердюкова с февраля 1931 г. на базе экспериментального одноцилиндрового мотора М-170 (М-170/44), соз</w:t>
      </w:r>
      <w:r w:rsidRPr="00C33834">
        <w:rPr>
          <w:rFonts w:ascii="Times New Roman" w:hAnsi="Times New Roman"/>
          <w:color w:val="000000" w:themeColor="text1"/>
          <w:sz w:val="16"/>
          <w:szCs w:val="16"/>
        </w:rPr>
        <w:softHyphen/>
        <w:t>данного в 1929-1930 гг. в ВМО ЦАГИ. Построены в 1933-1935 гг. три опытных образца, в том числе один ГМ-44. Работы прекращены в середине 1936 г.</w:t>
      </w:r>
    </w:p>
    <w:p w14:paraId="66049F82"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Существовали модификации:</w:t>
      </w:r>
    </w:p>
    <w:p w14:paraId="5A681A2A"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М-44, авиационный вариант. Изготовлен в двух экземплярах. Мощ</w:t>
      </w:r>
      <w:r w:rsidRPr="00C33834">
        <w:rPr>
          <w:rFonts w:ascii="Times New Roman" w:hAnsi="Times New Roman"/>
          <w:color w:val="000000" w:themeColor="text1"/>
          <w:sz w:val="16"/>
          <w:szCs w:val="16"/>
        </w:rPr>
        <w:softHyphen/>
        <w:t>ность 1700/2000 л.с., вес 1700 кг (по другим данным — 1800 кг).</w:t>
      </w:r>
    </w:p>
    <w:p w14:paraId="66C09239"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М-44Н с нагнетателем. Значился в плане работ на 1933 г., но никаких данных о работе по этому проекту нет.</w:t>
      </w:r>
    </w:p>
    <w:p w14:paraId="04B6942A"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ГМ-44, катерный вариант с реверс-редуктором. Изготовлен в одном экземпляре в 1935 г. Испытывался в 1935-1936 гг. Мощность 1870 л.с.</w:t>
      </w:r>
    </w:p>
    <w:p w14:paraId="6B5EC19B"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Характеристики:</w:t>
      </w:r>
    </w:p>
    <w:p w14:paraId="2D3659E9"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12-цилиндровый, рядный У-образный, четырехтактный, водяного охлаждения;</w:t>
      </w:r>
    </w:p>
    <w:p w14:paraId="19240A33"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.редукторный;</w:t>
      </w:r>
    </w:p>
    <w:p w14:paraId="16A8161B"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мощность и вес в зависимости от модификации;</w:t>
      </w:r>
    </w:p>
    <w:p w14:paraId="4964B98A"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диаметр цилиндра/ход поршня 222/286 мм;</w:t>
      </w:r>
    </w:p>
    <w:p w14:paraId="382EB1A9"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полный рабочий объем 132,8 л;</w:t>
      </w:r>
    </w:p>
    <w:p w14:paraId="726261A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степень сжатия 6,0 (по другим данным - 5,0). Предлагался для бомбардировщиков ТБ-6 и ТБ-7 (не Пе-8) (11852).</w:t>
      </w:r>
    </w:p>
    <w:p w14:paraId="43494BE3"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F125FE" w14:textId="77777777" w:rsidR="002F34E6" w:rsidRPr="00C33834" w:rsidRDefault="002F34E6" w:rsidP="00C33834">
      <w:pPr>
        <w:pStyle w:val="ae"/>
        <w:shd w:val="clear" w:color="auto" w:fill="FFFFFF"/>
        <w:spacing w:before="0" w:after="0"/>
        <w:jc w:val="both"/>
        <w:rPr>
          <w:color w:val="000000" w:themeColor="text1"/>
          <w:sz w:val="16"/>
          <w:szCs w:val="16"/>
        </w:rPr>
      </w:pPr>
      <w:r w:rsidRPr="00C33834">
        <w:rPr>
          <w:color w:val="000000" w:themeColor="text1"/>
          <w:sz w:val="16"/>
          <w:szCs w:val="16"/>
        </w:rPr>
        <w:t>С начала 1933 года в БОК под руководством В.А.Чижевского, при участии Н.Н.Каштанова, А.Я.Левина, И.И.Цебрикова и В.И.Лапинского проектировалась гондола стратостата СССР-1. Построили ее на опытном производстве завода № 39 за 4 месяца. Так как всего заложили 4 практически одинаковых гондолы, то на этапе постройки стратостата его стали именовать «СССР-1». Гондола должна была удовлетворять следующим требованиям:</w:t>
      </w:r>
    </w:p>
    <w:p w14:paraId="574B7C01" w14:textId="77777777" w:rsidR="002F34E6" w:rsidRPr="00C33834" w:rsidRDefault="002F34E6" w:rsidP="00C33834">
      <w:pPr>
        <w:pStyle w:val="ae"/>
        <w:shd w:val="clear" w:color="auto" w:fill="FFFFFF"/>
        <w:spacing w:before="0" w:after="0"/>
        <w:jc w:val="both"/>
        <w:rPr>
          <w:color w:val="000000" w:themeColor="text1"/>
          <w:sz w:val="16"/>
          <w:szCs w:val="16"/>
        </w:rPr>
      </w:pPr>
      <w:r w:rsidRPr="00C33834">
        <w:rPr>
          <w:color w:val="000000" w:themeColor="text1"/>
          <w:sz w:val="16"/>
          <w:szCs w:val="16"/>
        </w:rPr>
        <w:t>-абсолютная герметичность;</w:t>
      </w:r>
    </w:p>
    <w:p w14:paraId="05E12096" w14:textId="77777777" w:rsidR="002F34E6" w:rsidRPr="00C33834" w:rsidRDefault="002F34E6" w:rsidP="00C33834">
      <w:pPr>
        <w:pStyle w:val="ae"/>
        <w:shd w:val="clear" w:color="auto" w:fill="FFFFFF"/>
        <w:spacing w:before="0" w:after="0"/>
        <w:jc w:val="both"/>
        <w:rPr>
          <w:color w:val="000000" w:themeColor="text1"/>
          <w:sz w:val="16"/>
          <w:szCs w:val="16"/>
        </w:rPr>
      </w:pPr>
      <w:r w:rsidRPr="00C33834">
        <w:rPr>
          <w:color w:val="000000" w:themeColor="text1"/>
          <w:sz w:val="16"/>
          <w:szCs w:val="16"/>
        </w:rPr>
        <w:t>-достаточная прочность;</w:t>
      </w:r>
    </w:p>
    <w:p w14:paraId="28ABD563" w14:textId="77777777" w:rsidR="002F34E6" w:rsidRPr="00C33834" w:rsidRDefault="002F34E6" w:rsidP="00C33834">
      <w:pPr>
        <w:pStyle w:val="ae"/>
        <w:shd w:val="clear" w:color="auto" w:fill="FFFFFF"/>
        <w:spacing w:before="0" w:after="0"/>
        <w:jc w:val="both"/>
        <w:rPr>
          <w:color w:val="000000" w:themeColor="text1"/>
          <w:sz w:val="16"/>
          <w:szCs w:val="16"/>
        </w:rPr>
      </w:pPr>
      <w:r w:rsidRPr="00C33834">
        <w:rPr>
          <w:color w:val="000000" w:themeColor="text1"/>
          <w:sz w:val="16"/>
          <w:szCs w:val="16"/>
        </w:rPr>
        <w:t>-хорошая видимость во все стороны;</w:t>
      </w:r>
    </w:p>
    <w:p w14:paraId="632607F6" w14:textId="77777777" w:rsidR="002F34E6" w:rsidRPr="00C33834" w:rsidRDefault="002F34E6" w:rsidP="00C33834">
      <w:pPr>
        <w:pStyle w:val="ae"/>
        <w:shd w:val="clear" w:color="auto" w:fill="FFFFFF"/>
        <w:spacing w:before="0" w:after="0"/>
        <w:jc w:val="both"/>
        <w:rPr>
          <w:color w:val="000000" w:themeColor="text1"/>
          <w:sz w:val="16"/>
          <w:szCs w:val="16"/>
        </w:rPr>
      </w:pPr>
      <w:r w:rsidRPr="00C33834">
        <w:rPr>
          <w:color w:val="000000" w:themeColor="text1"/>
          <w:sz w:val="16"/>
          <w:szCs w:val="16"/>
        </w:rPr>
        <w:t>-быстро открывающиеся входные люки;</w:t>
      </w:r>
    </w:p>
    <w:p w14:paraId="450C4FC5" w14:textId="77777777" w:rsidR="002F34E6" w:rsidRPr="00C33834" w:rsidRDefault="002F34E6" w:rsidP="00C33834">
      <w:pPr>
        <w:pStyle w:val="ae"/>
        <w:shd w:val="clear" w:color="auto" w:fill="FFFFFF"/>
        <w:spacing w:before="0" w:after="0"/>
        <w:jc w:val="both"/>
        <w:rPr>
          <w:color w:val="000000" w:themeColor="text1"/>
          <w:sz w:val="16"/>
          <w:szCs w:val="16"/>
        </w:rPr>
      </w:pPr>
      <w:r w:rsidRPr="00C33834">
        <w:rPr>
          <w:color w:val="000000" w:themeColor="text1"/>
          <w:sz w:val="16"/>
          <w:szCs w:val="16"/>
        </w:rPr>
        <w:t>-размещение вне гондолы необходимого для спуска балласта и надежное устройство для его сбрасывания;</w:t>
      </w:r>
    </w:p>
    <w:p w14:paraId="045D0586" w14:textId="77777777" w:rsidR="002F34E6" w:rsidRPr="00C33834" w:rsidRDefault="002F34E6" w:rsidP="00C33834">
      <w:pPr>
        <w:pStyle w:val="ae"/>
        <w:shd w:val="clear" w:color="auto" w:fill="FFFFFF"/>
        <w:spacing w:before="0" w:after="0"/>
        <w:jc w:val="both"/>
        <w:rPr>
          <w:color w:val="000000" w:themeColor="text1"/>
          <w:sz w:val="16"/>
          <w:szCs w:val="16"/>
        </w:rPr>
      </w:pPr>
      <w:r w:rsidRPr="00C33834">
        <w:rPr>
          <w:color w:val="000000" w:themeColor="text1"/>
          <w:sz w:val="16"/>
          <w:szCs w:val="16"/>
        </w:rPr>
        <w:t>-амортизирующее посадочное устройство, предохраняющее гондолу от удара при посадке;</w:t>
      </w:r>
    </w:p>
    <w:p w14:paraId="7FA987B2" w14:textId="77777777" w:rsidR="002F34E6" w:rsidRPr="00C33834" w:rsidRDefault="002F34E6" w:rsidP="00C33834">
      <w:pPr>
        <w:pStyle w:val="ae"/>
        <w:shd w:val="clear" w:color="auto" w:fill="FFFFFF"/>
        <w:spacing w:before="0" w:after="0"/>
        <w:jc w:val="both"/>
        <w:rPr>
          <w:color w:val="000000" w:themeColor="text1"/>
          <w:sz w:val="16"/>
          <w:szCs w:val="16"/>
        </w:rPr>
      </w:pPr>
      <w:r w:rsidRPr="00C33834">
        <w:rPr>
          <w:color w:val="000000" w:themeColor="text1"/>
          <w:sz w:val="16"/>
          <w:szCs w:val="16"/>
        </w:rPr>
        <w:t>-защита от низкой температуры и солнечного нагрева;</w:t>
      </w:r>
    </w:p>
    <w:p w14:paraId="25C7A357" w14:textId="77777777" w:rsidR="002F34E6" w:rsidRPr="00C33834" w:rsidRDefault="002F34E6" w:rsidP="00C33834">
      <w:pPr>
        <w:pStyle w:val="ae"/>
        <w:shd w:val="clear" w:color="auto" w:fill="FFFFFF"/>
        <w:spacing w:before="0" w:after="0"/>
        <w:jc w:val="both"/>
        <w:rPr>
          <w:color w:val="000000" w:themeColor="text1"/>
          <w:sz w:val="16"/>
          <w:szCs w:val="16"/>
        </w:rPr>
      </w:pPr>
      <w:r w:rsidRPr="00C33834">
        <w:rPr>
          <w:color w:val="000000" w:themeColor="text1"/>
          <w:sz w:val="16"/>
          <w:szCs w:val="16"/>
        </w:rPr>
        <w:t>-удобное размещение приборов.</w:t>
      </w:r>
    </w:p>
    <w:p w14:paraId="76D1F4D4" w14:textId="77777777" w:rsidR="002F34E6" w:rsidRPr="00C33834" w:rsidRDefault="002F34E6" w:rsidP="00C33834">
      <w:pPr>
        <w:pStyle w:val="ae"/>
        <w:shd w:val="clear" w:color="auto" w:fill="FFFFFF"/>
        <w:spacing w:before="0" w:after="0"/>
        <w:jc w:val="both"/>
        <w:rPr>
          <w:color w:val="000000" w:themeColor="text1"/>
          <w:sz w:val="16"/>
          <w:szCs w:val="16"/>
        </w:rPr>
      </w:pPr>
      <w:r w:rsidRPr="00C33834">
        <w:rPr>
          <w:color w:val="000000" w:themeColor="text1"/>
          <w:sz w:val="16"/>
          <w:szCs w:val="16"/>
        </w:rPr>
        <w:t>Трехместная гондола представляла собой сферу диаметром 2,3 м. Она состояла из 12 листов 2-мм дюралюминия, собранных при помощи 5 тысяч заклепок. Герметичность оболочки достигалась специальной промазкой клепаных швов. Силовой каркас гондолы выполнили из 8 вертикальных дюралевых труб, соединенных стальными узлами. Каркас воспринимал все усилия от веса экипажа, балласта и оборудования. Оболочка, выполненная с 12-кратным запасом прочности, воспринимала лишь нагрузку от разности давления. В верхней части каркас переходил в узлы крепления оболочки, в нижней части — в стойки посадочной амортизации. Сам амортизатор представлял классическую корзину из ивовых прутьев. При ударе о землю со скоростью 5-7 м/с амортизатор должен был сломаться, поглотив силу удара. Одновременно он выполнял роль подставки при стоянке гондолы на земле. Его размеры были достаточны, чтобы разместить внутри нее мешки с балластом. Теория и практика воздухоплавания установили, что начавшийся спуск аэростата с предельно достигнутой им высоты происходит со все возрастающей скоростью. Для того чтобы эта скорость не превысила допустимой величины, необходимо гасить ее сбрасыванием балласта. «СССР-1» мог брать для этого до 1 т балласта в виде мелкой свинцовой дроби в 40 мешках, подвешенных к кольцу гондолы внутри посадочного устройства.</w:t>
      </w:r>
    </w:p>
    <w:p w14:paraId="6FAA5A01" w14:textId="77777777" w:rsidR="002F34E6" w:rsidRPr="00C33834" w:rsidRDefault="002F34E6" w:rsidP="00C33834">
      <w:pPr>
        <w:pStyle w:val="ae"/>
        <w:shd w:val="clear" w:color="auto" w:fill="FFFFFF"/>
        <w:spacing w:before="0" w:after="0"/>
        <w:jc w:val="both"/>
        <w:rPr>
          <w:color w:val="000000" w:themeColor="text1"/>
          <w:sz w:val="16"/>
          <w:szCs w:val="16"/>
        </w:rPr>
      </w:pPr>
      <w:r w:rsidRPr="00C33834">
        <w:rPr>
          <w:color w:val="000000" w:themeColor="text1"/>
          <w:sz w:val="16"/>
          <w:szCs w:val="16"/>
        </w:rPr>
        <w:t>В центральной части гондолы имелся силовой обруч-экватор. На поверхности сферы оборудовали два больших лаза для входа и выхода экипажа, которые открывались в течение 5-6 секунд. Для кругового обзора и наблюдения прорезали 9 люков — иллюминаторов диаметром 100 мм. Установленные в иллюминаторах стекла толщиной 8 мм обработали специальным составом от запотевания и покрытия инеем.</w:t>
      </w:r>
    </w:p>
    <w:p w14:paraId="754BD544" w14:textId="77777777" w:rsidR="002F34E6" w:rsidRPr="00C33834" w:rsidRDefault="002F34E6" w:rsidP="00C33834">
      <w:pPr>
        <w:pStyle w:val="ae"/>
        <w:shd w:val="clear" w:color="auto" w:fill="FFFFFF"/>
        <w:spacing w:before="0" w:after="0"/>
        <w:jc w:val="both"/>
        <w:rPr>
          <w:color w:val="000000" w:themeColor="text1"/>
          <w:sz w:val="16"/>
          <w:szCs w:val="16"/>
        </w:rPr>
      </w:pPr>
      <w:r w:rsidRPr="00C33834">
        <w:rPr>
          <w:color w:val="000000" w:themeColor="text1"/>
          <w:sz w:val="16"/>
          <w:szCs w:val="16"/>
        </w:rPr>
        <w:t>Оборудование стратостата включало:</w:t>
      </w:r>
    </w:p>
    <w:p w14:paraId="79418A1C" w14:textId="77777777" w:rsidR="002F34E6" w:rsidRPr="00C33834" w:rsidRDefault="002F34E6" w:rsidP="00C33834">
      <w:pPr>
        <w:pStyle w:val="ae"/>
        <w:shd w:val="clear" w:color="auto" w:fill="FFFFFF"/>
        <w:spacing w:before="0" w:after="0"/>
        <w:jc w:val="both"/>
        <w:rPr>
          <w:color w:val="000000" w:themeColor="text1"/>
          <w:sz w:val="16"/>
          <w:szCs w:val="16"/>
        </w:rPr>
      </w:pPr>
      <w:r w:rsidRPr="00C33834">
        <w:rPr>
          <w:color w:val="000000" w:themeColor="text1"/>
          <w:sz w:val="16"/>
          <w:szCs w:val="16"/>
        </w:rPr>
        <w:t>-высокоточный высотомер;</w:t>
      </w:r>
    </w:p>
    <w:p w14:paraId="625C507A" w14:textId="77777777" w:rsidR="002F34E6" w:rsidRPr="00C33834" w:rsidRDefault="002F34E6" w:rsidP="00C33834">
      <w:pPr>
        <w:pStyle w:val="ae"/>
        <w:shd w:val="clear" w:color="auto" w:fill="FFFFFF"/>
        <w:spacing w:before="0" w:after="0"/>
        <w:jc w:val="both"/>
        <w:rPr>
          <w:color w:val="000000" w:themeColor="text1"/>
          <w:sz w:val="16"/>
          <w:szCs w:val="16"/>
        </w:rPr>
      </w:pPr>
      <w:r w:rsidRPr="00C33834">
        <w:rPr>
          <w:color w:val="000000" w:themeColor="text1"/>
          <w:sz w:val="16"/>
          <w:szCs w:val="16"/>
        </w:rPr>
        <w:t>-ртутный барометр;</w:t>
      </w:r>
    </w:p>
    <w:p w14:paraId="0A883F5A" w14:textId="77777777" w:rsidR="002F34E6" w:rsidRPr="00C33834" w:rsidRDefault="002F34E6" w:rsidP="00C33834">
      <w:pPr>
        <w:pStyle w:val="ae"/>
        <w:shd w:val="clear" w:color="auto" w:fill="FFFFFF"/>
        <w:spacing w:before="0" w:after="0"/>
        <w:jc w:val="both"/>
        <w:rPr>
          <w:color w:val="000000" w:themeColor="text1"/>
          <w:sz w:val="16"/>
          <w:szCs w:val="16"/>
        </w:rPr>
      </w:pPr>
      <w:r w:rsidRPr="00C33834">
        <w:rPr>
          <w:color w:val="000000" w:themeColor="text1"/>
          <w:sz w:val="16"/>
          <w:szCs w:val="16"/>
        </w:rPr>
        <w:t>-метеорографы для определения параметров воздуха (давление, влажность, температура);</w:t>
      </w:r>
    </w:p>
    <w:p w14:paraId="27F309CF" w14:textId="77777777" w:rsidR="002F34E6" w:rsidRPr="00C33834" w:rsidRDefault="002F34E6" w:rsidP="00C33834">
      <w:pPr>
        <w:pStyle w:val="ae"/>
        <w:shd w:val="clear" w:color="auto" w:fill="FFFFFF"/>
        <w:spacing w:before="0" w:after="0"/>
        <w:jc w:val="both"/>
        <w:rPr>
          <w:color w:val="000000" w:themeColor="text1"/>
          <w:sz w:val="16"/>
          <w:szCs w:val="16"/>
        </w:rPr>
      </w:pPr>
      <w:r w:rsidRPr="00C33834">
        <w:rPr>
          <w:color w:val="000000" w:themeColor="text1"/>
          <w:sz w:val="16"/>
          <w:szCs w:val="16"/>
        </w:rPr>
        <w:t>-электротермометр;</w:t>
      </w:r>
    </w:p>
    <w:p w14:paraId="31CC00D3" w14:textId="77777777" w:rsidR="002F34E6" w:rsidRPr="00C33834" w:rsidRDefault="002F34E6" w:rsidP="00C33834">
      <w:pPr>
        <w:pStyle w:val="ae"/>
        <w:shd w:val="clear" w:color="auto" w:fill="FFFFFF"/>
        <w:spacing w:before="0" w:after="0"/>
        <w:jc w:val="both"/>
        <w:rPr>
          <w:color w:val="000000" w:themeColor="text1"/>
          <w:sz w:val="16"/>
          <w:szCs w:val="16"/>
        </w:rPr>
      </w:pPr>
      <w:r w:rsidRPr="00C33834">
        <w:rPr>
          <w:color w:val="000000" w:themeColor="text1"/>
          <w:sz w:val="16"/>
          <w:szCs w:val="16"/>
        </w:rPr>
        <w:t>-приборы для определения интенсивности космического излучения.</w:t>
      </w:r>
    </w:p>
    <w:p w14:paraId="7A486216" w14:textId="77777777" w:rsidR="002F34E6" w:rsidRPr="00C33834" w:rsidRDefault="002F34E6" w:rsidP="00C33834">
      <w:pPr>
        <w:spacing w:after="0" w:line="240" w:lineRule="auto"/>
        <w:jc w:val="both"/>
        <w:rPr>
          <w:rFonts w:ascii="Times New Roman" w:hAnsi="Times New Roman"/>
          <w:color w:val="000000" w:themeColor="text1"/>
          <w:sz w:val="16"/>
          <w:szCs w:val="16"/>
        </w:rPr>
      </w:pPr>
    </w:p>
    <w:p w14:paraId="45E7D21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Начало 1933 года было отмечено переменами в управлении стройки завода № 124. С учетом выявленных недостатков, выражавшихся в невыполнении плана, перебоях в снабжении, отсутствии механизации (основными орудиями труда были лопаты, носилки и тачки) и громоздкости управленческого аппарата, трест Казавиастрой </w:t>
      </w:r>
      <w:r w:rsidRPr="00C33834">
        <w:rPr>
          <w:rFonts w:ascii="Times New Roman" w:hAnsi="Times New Roman"/>
          <w:color w:val="000000" w:themeColor="text1"/>
          <w:sz w:val="16"/>
          <w:szCs w:val="16"/>
        </w:rPr>
        <w:lastRenderedPageBreak/>
        <w:t>был реорганизован в Государственное управление по строительству и эксплуатации завода. Начальником оставили Кузнецова, прежний директор бесследно исчез. Как потом это будет не раз в истории завода, перемена в руководстве дала немедленный и поразительный эффект.</w:t>
      </w:r>
    </w:p>
    <w:p w14:paraId="6974809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Сразу же стал выполняться квартальный план по строительству. Запустили инструментальный цех, установили значительную часть колонн для будущих цехов, заложили здание заводоуправления. Интенсивно пошли работы на фундаменте ТЭЦ, на трассе водозабора и подъездных путей к Авиакомбинату.</w:t>
      </w:r>
    </w:p>
    <w:p w14:paraId="3575394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того, как первые цеха обзавелись крышей, стало устанавливаться станочное оборудование. Однако при заявке на 400 станков, завод получил за год только 67 единиц, в основном импортного изготовления. Более трехсот человек отправили на учебу в другие города для изучения новой сложной техники (12049).</w:t>
      </w:r>
    </w:p>
    <w:p w14:paraId="6D243E2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227034D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году в Научно-исследовательском морском институте связи (НИМИС), в специально созданной для этой цели лаборатории N22, начались аботы над реализацией проекта Валка (10223).</w:t>
      </w:r>
    </w:p>
    <w:p w14:paraId="45A795B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49283CA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началу 1933 г. был готов проект ракеты. Ракета была разработана во 2-й бригаде ГИРД по проекту М.К. Тихонравова и вошла в историю как первая жидкостная ракета, запущенная в Советском Союзе (компоненты — твердый бензин и жидкий кислород). Вес ракеты 18 кг, расчетная высота полета 5000 м (10676).</w:t>
      </w:r>
    </w:p>
    <w:p w14:paraId="27AB364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6E4DD4F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Начало 1933г Проведена серия испытаний ЭРД с помощью новой мощной импульсной установки в Петропавловской крепости, на этом работы по ЭРД были прекращены (11330).</w:t>
      </w:r>
    </w:p>
    <w:p w14:paraId="3AF0417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2E0CCA4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Начало 1933г Начальник вооружений РККА М.Н.Тухачевский присутствует на испытаниях двигателей ОРМ в ГДЛ (11330).</w:t>
      </w:r>
    </w:p>
    <w:p w14:paraId="3BB7C66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288674B0" w14:textId="77777777" w:rsidR="00EC2053" w:rsidRPr="00C33834" w:rsidRDefault="00EC205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 начале 1933 года Гольцман внёс в Совнарком проект решения, призванного форсировать строительство элинга.</w:t>
      </w:r>
    </w:p>
    <w:p w14:paraId="49374B59" w14:textId="77777777" w:rsidR="00EC2053" w:rsidRPr="00C33834" w:rsidRDefault="00EC205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После рассмотрения комиссией под председательством Валерия Межлаука 5 марта вышло постановление «О строительстве эллинга» - расписанный по дням, тоннам и вагонам свод поручений различным ведомствам с назначением персонально ответственных, который должен был увенчаться к 1 июля завершением постройки первых 110 метров эллинга и к 1 ноября - его полной готовностью, включая отепление и ворота с электроприводом.</w:t>
      </w:r>
    </w:p>
    <w:p w14:paraId="695263C8" w14:textId="77777777" w:rsidR="00EC2053" w:rsidRPr="00C33834" w:rsidRDefault="00EC205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Но даже такая грозная бумага помогала не всегда. Вернувшись в мае 1933 года после двухмесячной болезни на Дирижаблестрой, Нобиле обнаружил, что металлические фермы эллинга всё ещё разбросаны по полю, да и сами фундаменты под них не закончены. Стало ясно, что ни о какой сборке корабля 18500 в этом году речи быть не может.</w:t>
      </w:r>
    </w:p>
    <w:p w14:paraId="18CAD051" w14:textId="77777777" w:rsidR="00EC2053" w:rsidRPr="00C33834" w:rsidRDefault="00EC205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Впрочем, и корабль 18500 не торопился в сборку: ещё не завершилось даже его проектирование (23192).</w:t>
      </w:r>
    </w:p>
    <w:p w14:paraId="37A6730A" w14:textId="77777777" w:rsidR="00EC2053" w:rsidRPr="00C33834" w:rsidRDefault="00EC2053" w:rsidP="00C33834">
      <w:pPr>
        <w:shd w:val="clear" w:color="auto" w:fill="FFFFFF"/>
        <w:spacing w:after="0" w:line="240" w:lineRule="auto"/>
        <w:jc w:val="both"/>
        <w:rPr>
          <w:rFonts w:ascii="Times New Roman" w:hAnsi="Times New Roman"/>
          <w:color w:val="0070C0"/>
          <w:sz w:val="16"/>
          <w:szCs w:val="16"/>
        </w:rPr>
      </w:pPr>
    </w:p>
    <w:p w14:paraId="144420E3" w14:textId="77777777" w:rsidR="001031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4AE5D6A" w14:textId="77777777" w:rsidR="00103186" w:rsidRPr="00C33834" w:rsidRDefault="001031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817697D" w14:textId="77777777" w:rsidR="0078560A" w:rsidRPr="00C33834" w:rsidRDefault="0078560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начале 1933 г. на НИАПе, одновременно с испытаниями опытных систем группы «Д», были проведены испытания 76-мм осколочных снарядов Воткинского завода из батальонной пушки Курчевского (БПК), переделанной в миномет типа Стокса (работы проводились на заводе №8). Стрельбы показали неудовлетворительную меткость, после чего II отделом НТУ АУ было предложено провести испытания на меткость 76-мм минами АНИИ. Из-за отсутствия стальных мин по указанию В. Н. Игнатенко были взяты 76-мм чугунные мины (в трех вариантах). Стрельбы показали также неудовлетворительные результаты (был зафиксирован неправильный полет мин, отрывы стабилизаторов), после чего БПК и снаряды к ней (тех вариантов, которые использовались при испытании) были отправлены обратно на завод №8.211 (20074)</w:t>
      </w:r>
    </w:p>
    <w:p w14:paraId="3536E63C" w14:textId="77777777" w:rsidR="0078560A" w:rsidRPr="00C33834" w:rsidRDefault="0078560A" w:rsidP="00C33834">
      <w:pPr>
        <w:spacing w:after="0" w:line="240" w:lineRule="auto"/>
        <w:jc w:val="both"/>
        <w:rPr>
          <w:rFonts w:ascii="Times New Roman" w:hAnsi="Times New Roman"/>
          <w:color w:val="0070C0"/>
          <w:sz w:val="16"/>
          <w:szCs w:val="16"/>
        </w:rPr>
      </w:pPr>
    </w:p>
    <w:p w14:paraId="004260C9" w14:textId="77777777" w:rsidR="00282617" w:rsidRPr="00C33834" w:rsidRDefault="0028261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 было создано Специальное снарядное бюро (ССБ). Отмечая большие заслуги этого бюро, начальник Военно-Морских Сил СССР флагман флота 1-го ранга В. М. Орлов писал: «За четыре года своей работы ССБ восста</w:t>
      </w:r>
      <w:r w:rsidRPr="00C33834">
        <w:rPr>
          <w:rFonts w:ascii="Times New Roman" w:hAnsi="Times New Roman"/>
          <w:color w:val="000000" w:themeColor="text1"/>
          <w:sz w:val="16"/>
          <w:szCs w:val="16"/>
        </w:rPr>
        <w:softHyphen/>
        <w:t>новило на заводах промышленности производство крупнокалибер</w:t>
      </w:r>
      <w:r w:rsidRPr="00C33834">
        <w:rPr>
          <w:rFonts w:ascii="Times New Roman" w:hAnsi="Times New Roman"/>
          <w:color w:val="000000" w:themeColor="text1"/>
          <w:sz w:val="16"/>
          <w:szCs w:val="16"/>
        </w:rPr>
        <w:softHyphen/>
        <w:t>ных снарядов для кораблей и береговой артиллерии, прерванное с 1917г., разработало и внедрило на заводах современную технологию этого высокосложного производства и, кроме того, спроектировало, испытало и сдало на вооружение морских сил ряд новых конструк</w:t>
      </w:r>
      <w:r w:rsidRPr="00C33834">
        <w:rPr>
          <w:rFonts w:ascii="Times New Roman" w:hAnsi="Times New Roman"/>
          <w:color w:val="000000" w:themeColor="text1"/>
          <w:sz w:val="16"/>
          <w:szCs w:val="16"/>
        </w:rPr>
        <w:softHyphen/>
        <w:t>ций морских снарядов». На вооружение было принято шесть образ</w:t>
      </w:r>
      <w:r w:rsidRPr="00C33834">
        <w:rPr>
          <w:rFonts w:ascii="Times New Roman" w:hAnsi="Times New Roman"/>
          <w:color w:val="000000" w:themeColor="text1"/>
          <w:sz w:val="16"/>
          <w:szCs w:val="16"/>
        </w:rPr>
        <w:softHyphen/>
        <w:t>цов снарядов ССБ: 356-, 305- и 180-мм бронебойные и 356-, 305- и 180-мм фугасные. Проверка этих снарядов на полигонах показала их высокое качество. В результате работы ССБ и заводов промышлен</w:t>
      </w:r>
      <w:r w:rsidRPr="00C33834">
        <w:rPr>
          <w:rFonts w:ascii="Times New Roman" w:hAnsi="Times New Roman"/>
          <w:color w:val="000000" w:themeColor="text1"/>
          <w:sz w:val="16"/>
          <w:szCs w:val="16"/>
        </w:rPr>
        <w:softHyphen/>
        <w:t>ности то угрожающее положение, которое имело место со снаряда</w:t>
      </w:r>
      <w:r w:rsidRPr="00C33834">
        <w:rPr>
          <w:rFonts w:ascii="Times New Roman" w:hAnsi="Times New Roman"/>
          <w:color w:val="000000" w:themeColor="text1"/>
          <w:sz w:val="16"/>
          <w:szCs w:val="16"/>
        </w:rPr>
        <w:softHyphen/>
        <w:t>ми для морской артиллерии в 1932—1935 гг., было ликвидировано и корабли и береговая артиллерия получили боекомплекты, резко повышающие их боевую мощь. Были запущены в производство освети</w:t>
      </w:r>
      <w:r w:rsidRPr="00C33834">
        <w:rPr>
          <w:rFonts w:ascii="Times New Roman" w:hAnsi="Times New Roman"/>
          <w:color w:val="000000" w:themeColor="text1"/>
          <w:sz w:val="16"/>
          <w:szCs w:val="16"/>
        </w:rPr>
        <w:softHyphen/>
        <w:t>тельные и ныряющие снаряды, трассирующие с самоликвидатором, механическая дистанционная трубка, гальваническая запальная трубка, трубка на высокое давление, а также взрыватели предохра</w:t>
      </w:r>
      <w:r w:rsidRPr="00C33834">
        <w:rPr>
          <w:rFonts w:ascii="Times New Roman" w:hAnsi="Times New Roman"/>
          <w:color w:val="000000" w:themeColor="text1"/>
          <w:sz w:val="16"/>
          <w:szCs w:val="16"/>
        </w:rPr>
        <w:softHyphen/>
        <w:t>нительного типа. Все старые взрыватели снимались с вооружения и заменялись новыми (5484).</w:t>
      </w:r>
    </w:p>
    <w:p w14:paraId="0D87B81E" w14:textId="77777777" w:rsidR="00282617" w:rsidRPr="00C33834" w:rsidRDefault="0028261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AF1A1D" w14:textId="77777777" w:rsidR="00945BF8" w:rsidRPr="00C33834" w:rsidRDefault="00945BF8" w:rsidP="00C33834">
      <w:pPr>
        <w:pStyle w:val="rtejustify"/>
        <w:spacing w:before="0" w:after="0"/>
        <w:rPr>
          <w:color w:val="000000" w:themeColor="text1"/>
          <w:sz w:val="16"/>
          <w:szCs w:val="16"/>
        </w:rPr>
      </w:pPr>
      <w:r w:rsidRPr="00C33834">
        <w:rPr>
          <w:color w:val="000000" w:themeColor="text1"/>
          <w:sz w:val="16"/>
          <w:szCs w:val="16"/>
        </w:rPr>
        <w:t>На начало 1933 г. Н. В. Куйбышев констатировал, что производство крупнокалиберных снарядов по новым техническим условиям не освоено и не обеспечено в потребном количестве оборудованием для валового производства и соответствующей металлургической базой. Чтобы избежать полного срыва обеспечения крупнокалиберной артиллерии выстрелами он предлагал разработать переходные технические условия от старых норм к новым, ускорить строительство Челябинского снарядного завода, как основной базы по крупнокалиберным снарядам, ускорить освоение капитальных вложений в размере 40 млн. руб., разместить 1100 станков и обеспечить производство металлом в 35 тыс. т. (ГАРФ. Ф. Р</w:t>
      </w:r>
      <w:r w:rsidRPr="00C33834">
        <w:rPr>
          <w:color w:val="000000" w:themeColor="text1"/>
          <w:sz w:val="16"/>
          <w:szCs w:val="16"/>
        </w:rPr>
        <w:noBreakHyphen/>
        <w:t>8418. Оп. 28. Д. 1. Л. 155</w:t>
      </w:r>
      <w:r w:rsidRPr="00C33834">
        <w:rPr>
          <w:color w:val="000000" w:themeColor="text1"/>
          <w:sz w:val="16"/>
          <w:szCs w:val="16"/>
        </w:rPr>
        <w:noBreakHyphen/>
        <w:t>158) (15270).</w:t>
      </w:r>
    </w:p>
    <w:p w14:paraId="1A8989C2" w14:textId="77777777" w:rsidR="00945BF8" w:rsidRPr="00C33834" w:rsidRDefault="00945BF8" w:rsidP="00C33834">
      <w:pPr>
        <w:autoSpaceDE w:val="0"/>
        <w:autoSpaceDN w:val="0"/>
        <w:adjustRightInd w:val="0"/>
        <w:spacing w:after="0" w:line="240" w:lineRule="auto"/>
        <w:jc w:val="both"/>
        <w:rPr>
          <w:rFonts w:ascii="Times New Roman" w:hAnsi="Times New Roman"/>
          <w:color w:val="000000" w:themeColor="text1"/>
          <w:sz w:val="16"/>
          <w:szCs w:val="16"/>
        </w:rPr>
      </w:pPr>
    </w:p>
    <w:p w14:paraId="29769E8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 завод «Сибтекстильмашстрой» имел всего 18 тыс.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xml:space="preserve"> жилой площади: 13 зданий недалеко от завода и на правом берегу р. Оби 100-квартирный и 12-квартирный дома. Во многих домах не было водопровода, центрального отопления, в микрорайонах — бань и прачечных. В 1938 г. жилой фонд комбината № 179 составлял 51 469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расширялось индивидуальное стро-ительство.</w:t>
      </w:r>
    </w:p>
    <w:p w14:paraId="46ABC28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Если в 1940 г. комбинату № 179 выделялось на строительство жилья и культурно-бытовых объектов 37,7 млн р. из общих капитальных вложений объемом 174,8 млн р., то на 1941 г. планировалось соответственно 53,98 и 335,3 млн р. Комбинат вел строительство четырнадцати 5–7-этажных и четырех 3-этажных каменных, 22 3–5-этажных блочных, 164 брусчатых и 62 каркасных домов. Сдача в эксплуатацию 176 объектов из 283 строившихся обеспечивала 93 348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xml:space="preserve"> жилья. Планировалось также сдать в эксплуатацию объекты здравоохранения: поликлинику на 600 посещений, родильный дом на 40 коек, восемь детских яслей на 960 мест; объекты культуры и образования: школу на 880 мест, два клуба на 400 мест, летний театр на 756 мест и 8 детских садов на 1 000 мест; коммунальных объектов: три бани на 250 мест, прачечной, две столовых на 550 мест[9]. Далеко не все из того, что планировалось, было осуществлено в предвоенные месяцы 1941 г., но была создана минимальная база для размещения кадров (11591).</w:t>
      </w:r>
    </w:p>
    <w:p w14:paraId="4653BFE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15F6574A"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 была отработана конструкция спаренной установки 45-мм пушки и пулемета, и опытный образец, будучи установленным в указанной башне на заводе им. Ворошилова, подвергся трем последовательно проходив</w:t>
      </w:r>
      <w:r w:rsidRPr="00C33834">
        <w:rPr>
          <w:rFonts w:ascii="Times New Roman" w:hAnsi="Times New Roman"/>
          <w:color w:val="000000" w:themeColor="text1"/>
          <w:sz w:val="16"/>
          <w:szCs w:val="16"/>
        </w:rPr>
        <w:softHyphen/>
        <w:t>шим циклам испытаний. Испытания продемонстрировали все ожидавшиеся преимущества, только частые отказы ав</w:t>
      </w:r>
      <w:r w:rsidRPr="00C33834">
        <w:rPr>
          <w:rFonts w:ascii="Times New Roman" w:hAnsi="Times New Roman"/>
          <w:color w:val="000000" w:themeColor="text1"/>
          <w:sz w:val="16"/>
          <w:szCs w:val="16"/>
        </w:rPr>
        <w:softHyphen/>
        <w:t>томатики, особенно при стрельбе осколочной гранатой, портили впечатление о новом танковом оружии (10733,212).</w:t>
      </w:r>
    </w:p>
    <w:p w14:paraId="267F7F36"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3FFF7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года в ГКБ-38 под руководством Рыковского С.Е. были спроектированы 76-мм универсальная А-52 и полууниверсальная пушка А-51. Причем основным вариантом был А-52, а работы по А-51 финансировались за счет А-52. В обеих пушках ствол состоял из свободной трубы, кожуха и навинтного казенника. Затвор вертикальный клиновой. Канал и камора были взяты от 76-мм зенитной пушки обр. 1915/28 г., а затвор и полуавтоматика от 76-мм зенитной пушки обр. 1931 г. Тормоз отката гидравлический, накатник гидропневматический. У А-51 длина отката переменная, а у А-52 постоянная. Лафет однобрусный. Стрельба в штатном положении велась с поддона, но можно было стрелять и с колес. Поворотный механизм гусеничный, аналогичный 32-К. Колеса использовались в двух вариантах: с грузошиной и с металлическим ободом. Баллистические данные А-51 и А-52 были одинаковы: при весе снаряда 7,1 кг и заряда 1,127 кг начальная скорость 710 м/с, а дальность 14300 м (при угле +45). Разработчик пушек ГКБ-38 не имело своей производственной базы, а потому изготовление опытного образца пушки А-51 было отдано заводу № 92 (3861).</w:t>
      </w:r>
    </w:p>
    <w:p w14:paraId="2638C26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6A862C5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 доработку 122-мм корпусной пушки по результатам полигонных испытаний проводило ГКБ-38, которое и присвоило в 1933 г. орудию индекс А-19. В том же 1933 г. сталинградскому заводу «Баррикады» была заказана опытная серия из 3 орудий, которая была сдана лишь в марте 1935 г. В результате 122-мм пушка была принятия на вооружение РККА под обозначением «122-мм пушка обр. 1931 г.» Орудие производилась только на заводе «Баррикады». До 1937 г. включительно в конструкцию орудия вносились существенные изменения, направленные на повышение технологичности орудия и устранение выявленных при эксплуатации недостатков.</w:t>
      </w:r>
    </w:p>
    <w:p w14:paraId="3860511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целом конструкция корпусной 122-мм пушки обр. 1931 г. (А-19) удовлетворяла военных. При этом она имела ряд недостатков, связанных, главным образом, с конструкцией лафета. В числе наиболее важных из них были:</w:t>
      </w:r>
    </w:p>
    <w:p w14:paraId="621485E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не очень удачная конструкция колёсного хода, ограничивающего подвижность пушки;</w:t>
      </w:r>
    </w:p>
    <w:p w14:paraId="4861A38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отсутствие автоматического отключения подрессоривания (что снижало скорость перехода из походного в боевое положение и обратно);</w:t>
      </w:r>
    </w:p>
    <w:p w14:paraId="64CAEC6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ненадёжность и низкая скорость подъёмного механизма;</w:t>
      </w:r>
    </w:p>
    <w:p w14:paraId="57DCD389"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технологическая сложность производства лафета (12302).</w:t>
      </w:r>
    </w:p>
    <w:p w14:paraId="4DAC029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B 1933 г. на лафет 122-мм пушки обр. 1931 г. (А-19) пушки наложили ствол 152-мм пушки образца 1910/1930 гг., и на вооружение поступила 152-мм пушка образца 1910/1934 гг., но работы по усовершенствованию единого лафета продолжились. </w:t>
      </w:r>
    </w:p>
    <w:p w14:paraId="5AED24B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Здесь по 152-мм пушке образца 1910/1934 гг. следует отметить следующее. Даже в официальных документах существовал разнобой в названии орудия, поскольку достаточно большой угол возвышения давал основание причислить орудие к гаубицам. На этапе опытной разработки орудие называлось сначала 152-мм гаубицей обр. 1932 г., затем — 152-мм гаубицей обр. 1934 г. Последнее название нередко использовалось и позднее в официальной документации (12302).</w:t>
      </w:r>
    </w:p>
    <w:p w14:paraId="56A5641B" w14:textId="77777777" w:rsidR="002E1BE7" w:rsidRPr="00C33834" w:rsidRDefault="002E1BE7" w:rsidP="00C33834">
      <w:pPr>
        <w:spacing w:after="0" w:line="240" w:lineRule="auto"/>
        <w:jc w:val="both"/>
        <w:rPr>
          <w:rFonts w:ascii="Times New Roman" w:hAnsi="Times New Roman"/>
          <w:color w:val="000000" w:themeColor="text1"/>
          <w:sz w:val="16"/>
          <w:szCs w:val="16"/>
        </w:rPr>
      </w:pPr>
    </w:p>
    <w:p w14:paraId="21FE366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начала 1933 года была организована перевозка имущества из 36 базы и со станции Софрино в село Путилово. Для размещения имущества использовались сараи, амбары и бывшая церковь. Для руководства полигона в селе был снят дом, там же находилась столовая.</w:t>
      </w:r>
    </w:p>
    <w:p w14:paraId="307ACC8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июля 1934 года на полигоне была закончена очистка трассы до 11 км, установлена полевая телефонная связь. Выполнены строительные работы первой очереди, главные из которых: снаряжательная мастерская (деревянная), рубки, баллистическая лаборатория, артиллерийская мастерская, конный двор, склад, столовая, магазин, мост через реку Воря и др. объекты. Построены узкоколейная и шоссейная дороги до полигона.</w:t>
      </w:r>
    </w:p>
    <w:p w14:paraId="720594E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укрепления полигона квалифицированными кадрами испытателей и технических работников с Гроховецкого полигона решением НКО были направлены испытатели Г.Д.Захарченко, Г.А.Резников, Галейкин, Шехтеров и др. технические работники, имевшие опыт организации и проведения испытаний Я.И.Романенко, Шумилин, К.Е.Климанцов, Т.П.Логвинов. Большую роль в организации строительства сыграла партийная организация, в которой было 14 человек, секретарём был Г.М.Турукин.</w:t>
      </w:r>
    </w:p>
    <w:p w14:paraId="5B2E931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мая 1934 года на полигоне был произведён первый выстрел из 122 мм гаубицы под руководством испытателя Г.Д.Захарченко. Этот день на полигоне считается днём официального открытия Софринского артиллерийского полигона.</w:t>
      </w:r>
    </w:p>
    <w:p w14:paraId="24CEFC6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1934 года в честь окончания 1-й очереди строительства на полигоне состоялся торжественный митинг, лучшие работники были отмечены приказом начальника полигона, в том числе бригада лесорубов К.Д.Сомина, бригады плотников А.Е.Бурлакова и Ф.М.Елисеева.</w:t>
      </w:r>
    </w:p>
    <w:p w14:paraId="33B6DE9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 второго квартала 1934 года на полигоне начали регулярно проводиться испытания боеприпасов. Всего до конца года было произведено 2200 выстрелов испытуемых изделий на кучность по щиту, прочность по щиту и местности, эффективность снарядов у цели, чувствительность и безотказность действия взрывателей по преградам и др. Материальная часть для проведения испытаний поступала с завода им.Владимира Ильича (г.Москва), завода им.Ф.Э.Дзержинского (г.Свердловск), Краснозаводского химического завода (Мос.обл.), завода «Красный Профинтерн», завода им.Масленникова, заводов №8, №70, №80 и №92, КБ-398, НИИ-24, ГСКБ-24, СКБ-709, Тульского патронного завода и др. В 1934 году на полигоне работало 136 человек, из них высшее техническое образование имел только Г.А.Резников., среднее техническое образование – 4 человека.</w:t>
      </w:r>
    </w:p>
    <w:p w14:paraId="0985ACB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Сданный в эксплуатацию Софринский артиллерийский полигон вскоре превратился в главное предприятие центрального промышленного района по испытаниям различных типов боеприпасов и артиллерийских систем.</w:t>
      </w:r>
    </w:p>
    <w:p w14:paraId="683F668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период с 1934 по 1941 годы на полигоне были успешно проведены испытания ряда боеприпасов, артиллерийских орудий и реактивных систем, а с 1936г. начаты лётные испытания широкого класса авиационных боеприпасов. В этот период испытывались 76 мм пушки и 305 мм гаубица конструкции Л.В.Курчевского, 45, 57 и 76 мм пушки конструкции В.Г.Грабина, 122 – 152 мм гаубицы конструкции Ф.Ф.Петрова, 50, 82, 107 и 120 мм миномёты конструкции Б.И.Шавырина, авиационные пусковые установки для стрельбы снарядами РС-82 и РС-132 и многие другие виды вооружения и боеприпасоы, впоследствии нашедших широкое применение на полях сражений Великой Отечественной войны. Именно в эти годы были определены и реализованы многие задачи по развитию и совершенствованию методов и средств полигонных испытаний.</w:t>
      </w:r>
    </w:p>
    <w:p w14:paraId="634D53E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Уже в 1939 году группа работников полигона за успешное выполнение правительственных заданий была награждена орденами и медалями Советского Союза, среди них: Г.А.Резников, К.Е.Климанцов, С.В.Волков, П.М.Антонов, П.И.Наумов, К.В.Комарова, Ф.Н.Комарорва, Я.И.Романенко и др. (12071)</w:t>
      </w:r>
    </w:p>
    <w:p w14:paraId="2897F53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68A64ED0"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 началась подготовка к переходу 6-й батареи на Дальний Восток. Транспортёрам предстояло пройти путь в 9700 километров. Большая часть пути была разбита и требовала ремонта. Особое беспокойство вызывало вписывание транспортёров в закругления рельсов. Приняли решение осуществить переброску зимой, когда мороз укрепит путь. В период подготовки к переходу в Лебяжьем и на полигоне провели всесторонние ходовые испытания, вплоть до имитации схода с рельс. Для проверки прохождения транспортёра по габаритам изготовили имитатор габарита и провезли его по части маршрута. Далее его перевозку приняли нецелесообразной. Маршрут выбрали через Череповец, Вологду, Вятку, Пермь, Омск, Красноярск, Иркутск, Читу, Хабаровск (15132).</w:t>
      </w:r>
    </w:p>
    <w:p w14:paraId="4F2A5E9F" w14:textId="77777777" w:rsidR="00945BF8" w:rsidRPr="00C33834" w:rsidRDefault="00945BF8" w:rsidP="00C33834">
      <w:pPr>
        <w:spacing w:after="0" w:line="240" w:lineRule="auto"/>
        <w:jc w:val="both"/>
        <w:rPr>
          <w:rFonts w:ascii="Times New Roman" w:hAnsi="Times New Roman"/>
          <w:color w:val="000000" w:themeColor="text1"/>
          <w:sz w:val="16"/>
          <w:szCs w:val="16"/>
        </w:rPr>
      </w:pPr>
    </w:p>
    <w:p w14:paraId="277CEA88" w14:textId="77777777" w:rsidR="00945BF8" w:rsidRPr="00C33834" w:rsidRDefault="00945B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начала 1933 г. во Владивосток начали поступать детали орудий. Председателю комиссии по наблюдению за постройкой во Владивостоке поступила телеграмма: «Доношу, что 15 сего января с эшелоном № 502 в 14 часов отправлены во Владивосток четыре 20 тонные платформы с частями жёсткого барабана для 12/52-дм башенных установок батарей № 1 и № 2. На специальных железнодорожных транспортёрах завода „Большевик" за № 118965 — 12-дм тело орудия N« 35 с затвором, запасными грибовидными стержнями, обтюратором, стреляющими приспособлениями, коробкой привода и зипами к стреляющему приспособлению. За № 118965 — 12/52-дм тело орудия № 41 с тем же. Как барабаны, так и орудия маскированы брезентом. Предкомнаба г. Владивостока прошу принять меры к срочной разгрузке орудийных тел и немедленном возврате с брезентами транспортёров в г. Ленинград на ст. „Обухово" зав. „Большевик", ибо всякая задержка сорвёт дальнейшую отправку тел». Уже в 1934 г. батарея № 981 вступила в строй (15132).</w:t>
      </w:r>
    </w:p>
    <w:p w14:paraId="7E3E250A" w14:textId="77777777" w:rsidR="00945BF8" w:rsidRPr="00C33834" w:rsidRDefault="00945BF8" w:rsidP="00C33834">
      <w:pPr>
        <w:spacing w:after="0" w:line="240" w:lineRule="auto"/>
        <w:jc w:val="both"/>
        <w:rPr>
          <w:rFonts w:ascii="Times New Roman" w:hAnsi="Times New Roman"/>
          <w:color w:val="000000" w:themeColor="text1"/>
          <w:sz w:val="16"/>
          <w:szCs w:val="16"/>
        </w:rPr>
      </w:pPr>
    </w:p>
    <w:p w14:paraId="311FF55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году в “улучшенной сварной башне” для САУ была смонтирована новая 76-мм пушка КТ обр. 1927/32 гг., представлявшая собой «полковушку» с уменьшенной до 500 мм длиной отката. Конструкция башни была немного изменена, но кардинальных улучшений не последовало. Особенно угнетала теснота в боевом отделении. Так при производстве выстрела заряжающему (он же - пулеметчик) приходилось буквально вжиматься в правую стенку башни и, «прерывая всякую возможность ведения стрельбы из пулемета прижимать к себе левую руку...» (чтобы не ударило откатывающейся казенной частью). Механизированный спуск давал частые отказы, а производить выстрел со шнура в такой тесноте было невозможно. Угол обстрела из башенного пулемета был никуда не годным. Обзор - крайне ограниченным. Отсутствие вентиляции могло привести к угару экипажа при ведении огня с закрытыми дверьми башни. По окончании этих испытаний башня была окончательно забракована УММ. Но от идеи установки в легкий танк 76-мм пушки все-таки не отказались. Еще в ходе испытаний башни Дыренкова, когда выяснились ее основные недостатки, проектирование новой башни под 76 мм пушку КТ обр. 1927/32 гг. поручили заводу им. Ворошилова (6469, 12).</w:t>
      </w:r>
    </w:p>
    <w:p w14:paraId="32138BB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32E45435" w14:textId="77777777" w:rsidR="00282617" w:rsidRPr="00C33834" w:rsidRDefault="002826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 в башне А-43 Дыренкова была смонтирована новая 76-мм пушка КТ обр. 1927/32 гг., представлявшая собой ту же «полковушку» с уменьшенной до 500 мм длиной отката. Конструкция башни была немного изменена, но кардинальных улучшений все же не последовало. Особенно угнетала теснота в боевом отделении. Так, при производстве выстрела заряжающему (он же – пулеметчик) приходилось буквально вжиматься в правую стенку башни и, «прерывая всякую возможность ведения стрельбы из пулемета», прижимать к себе левую руку (чтобы его не ударило откатывающейся казенной частью).</w:t>
      </w:r>
    </w:p>
    <w:p w14:paraId="7C7F55D5" w14:textId="77777777" w:rsidR="00282617" w:rsidRPr="00C33834" w:rsidRDefault="002826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«Механизированный» спуск давал частые отказы, а производить выстрел со шнура в такой тесноте было невозможно. Угол обстрела из башенного пулемета был никуда не годным. Обзор – крайне ограниченным.</w:t>
      </w:r>
    </w:p>
    <w:p w14:paraId="3C0CD1C0" w14:textId="77777777" w:rsidR="00282617" w:rsidRPr="00C33834" w:rsidRDefault="002826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Отсутствие вентиляции могло привести к угару экипажа при ведении огня с закрытыми кормовыми дверьми башни. По окончании этих испытаний башня была забракована УММ (15619).</w:t>
      </w:r>
    </w:p>
    <w:p w14:paraId="52D798E0" w14:textId="77777777" w:rsidR="00282617" w:rsidRPr="00C33834" w:rsidRDefault="00282617" w:rsidP="00C33834">
      <w:pPr>
        <w:spacing w:after="0" w:line="240" w:lineRule="auto"/>
        <w:jc w:val="both"/>
        <w:rPr>
          <w:rFonts w:ascii="Times New Roman" w:hAnsi="Times New Roman"/>
          <w:color w:val="000000" w:themeColor="text1"/>
          <w:sz w:val="16"/>
          <w:szCs w:val="16"/>
        </w:rPr>
      </w:pPr>
    </w:p>
    <w:p w14:paraId="3410B952"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 в башне А-43 была смонтирована новая 76-мм пушка КТ обр. 1927/32 гг., представлявшая со</w:t>
      </w:r>
      <w:r w:rsidRPr="00C33834">
        <w:rPr>
          <w:rFonts w:ascii="Times New Roman" w:hAnsi="Times New Roman"/>
          <w:color w:val="000000" w:themeColor="text1"/>
          <w:sz w:val="16"/>
          <w:szCs w:val="16"/>
        </w:rPr>
        <w:softHyphen/>
        <w:t>бой ту же «полковушку» с уменьшенной до 500 мм длиной отката. Конструкция башни была немного изменена, но кардинальных улучшений все же не последовало. Особенно угнетала теснота в боевом отделении. Так, при производстве выстрела заряжающему (он же — пулеметчик) приходилось буквально вжиматься в правую стенку башни и, «прерывая всякую возможность ведения стрельбы из пулемета», при</w:t>
      </w:r>
      <w:r w:rsidRPr="00C33834">
        <w:rPr>
          <w:rFonts w:ascii="Times New Roman" w:hAnsi="Times New Roman"/>
          <w:color w:val="000000" w:themeColor="text1"/>
          <w:sz w:val="16"/>
          <w:szCs w:val="16"/>
        </w:rPr>
        <w:softHyphen/>
        <w:t>жимать к себе левую руку (чтобы его не ударило откатывающейся казенной частью). «Механизированный» спуск давал частые отказы, а производить выстрел со шнура в такой тес</w:t>
      </w:r>
      <w:r w:rsidRPr="00C33834">
        <w:rPr>
          <w:rFonts w:ascii="Times New Roman" w:hAnsi="Times New Roman"/>
          <w:color w:val="000000" w:themeColor="text1"/>
          <w:sz w:val="16"/>
          <w:szCs w:val="16"/>
        </w:rPr>
        <w:softHyphen/>
        <w:t>ноте было невозможно. Угол обстрела из башенного пулеме</w:t>
      </w:r>
      <w:r w:rsidRPr="00C33834">
        <w:rPr>
          <w:rFonts w:ascii="Times New Roman" w:hAnsi="Times New Roman"/>
          <w:color w:val="000000" w:themeColor="text1"/>
          <w:sz w:val="16"/>
          <w:szCs w:val="16"/>
        </w:rPr>
        <w:softHyphen/>
        <w:t>та был никуда не годным. Обзор — крайне ограниченным. Отсутствие вентиляции могло привести к угару экипажа при ведении огня с закрытыми кормовыми дверьми башни. По окончании этих испытаний башня была забракована УММ. Однако от идеи установки в легкий танк 76-мм пушки все-таки не отказались. Еще в ходе испытаний башни Ды</w:t>
      </w:r>
      <w:r w:rsidRPr="00C33834">
        <w:rPr>
          <w:rFonts w:ascii="Times New Roman" w:hAnsi="Times New Roman"/>
          <w:color w:val="000000" w:themeColor="text1"/>
          <w:sz w:val="16"/>
          <w:szCs w:val="16"/>
        </w:rPr>
        <w:softHyphen/>
        <w:t>ренкова, когда вьшснились ее основные недостатки, проек</w:t>
      </w:r>
      <w:r w:rsidRPr="00C33834">
        <w:rPr>
          <w:rFonts w:ascii="Times New Roman" w:hAnsi="Times New Roman"/>
          <w:color w:val="000000" w:themeColor="text1"/>
          <w:sz w:val="16"/>
          <w:szCs w:val="16"/>
        </w:rPr>
        <w:softHyphen/>
        <w:t>тирование новой башни под 76-мм пушку КТ обр. 1927/32 гг. поручили КБ завода им. Ворошилова (10733,337).</w:t>
      </w:r>
    </w:p>
    <w:p w14:paraId="00A24081"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9153CD"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 в этой же башне была смонтирована уже 76,2-мм пушка КТ обр. 1927/32 гг., представлявшая собой ту же полковую пушку, но с уменьшенной до 500 мм длиной отката. Конструкция башни была немного изме</w:t>
      </w:r>
      <w:r w:rsidRPr="00C33834">
        <w:rPr>
          <w:rFonts w:ascii="Times New Roman" w:hAnsi="Times New Roman"/>
          <w:color w:val="000000" w:themeColor="text1"/>
          <w:sz w:val="16"/>
          <w:szCs w:val="16"/>
        </w:rPr>
        <w:softHyphen/>
        <w:t>нена, но кардинальных улучшений не последовало. Осо</w:t>
      </w:r>
      <w:r w:rsidRPr="00C33834">
        <w:rPr>
          <w:rFonts w:ascii="Times New Roman" w:hAnsi="Times New Roman"/>
          <w:color w:val="000000" w:themeColor="text1"/>
          <w:sz w:val="16"/>
          <w:szCs w:val="16"/>
        </w:rPr>
        <w:softHyphen/>
        <w:t xml:space="preserve">бенно угнетала теснота в боевом отделении. Так, при производстве выстрела заряжающему (он же пулеметчик) приходилось буквально вжиматься в правую стенку башни и, </w:t>
      </w:r>
      <w:r w:rsidRPr="00C33834">
        <w:rPr>
          <w:rFonts w:ascii="Times New Roman" w:hAnsi="Times New Roman"/>
          <w:iCs/>
          <w:color w:val="000000" w:themeColor="text1"/>
          <w:sz w:val="16"/>
          <w:szCs w:val="16"/>
        </w:rPr>
        <w:t xml:space="preserve">«прерывая всякую возможность ведения стрельбы из пулемета», </w:t>
      </w:r>
      <w:r w:rsidRPr="00C33834">
        <w:rPr>
          <w:rFonts w:ascii="Times New Roman" w:hAnsi="Times New Roman"/>
          <w:color w:val="000000" w:themeColor="text1"/>
          <w:sz w:val="16"/>
          <w:szCs w:val="16"/>
        </w:rPr>
        <w:t>прижимать к себе левую руку (что</w:t>
      </w:r>
      <w:r w:rsidRPr="00C33834">
        <w:rPr>
          <w:rFonts w:ascii="Times New Roman" w:hAnsi="Times New Roman"/>
          <w:color w:val="000000" w:themeColor="text1"/>
          <w:sz w:val="16"/>
          <w:szCs w:val="16"/>
        </w:rPr>
        <w:softHyphen/>
        <w:t>бы его не ударило откатывающейся казенной частью). Механизированный спуск давал частые отказы, а произ</w:t>
      </w:r>
      <w:r w:rsidRPr="00C33834">
        <w:rPr>
          <w:rFonts w:ascii="Times New Roman" w:hAnsi="Times New Roman"/>
          <w:color w:val="000000" w:themeColor="text1"/>
          <w:sz w:val="16"/>
          <w:szCs w:val="16"/>
        </w:rPr>
        <w:softHyphen/>
        <w:t>водить выстрел со шнура в такой тесноте было невозмож</w:t>
      </w:r>
      <w:r w:rsidRPr="00C33834">
        <w:rPr>
          <w:rFonts w:ascii="Times New Roman" w:hAnsi="Times New Roman"/>
          <w:color w:val="000000" w:themeColor="text1"/>
          <w:sz w:val="16"/>
          <w:szCs w:val="16"/>
        </w:rPr>
        <w:softHyphen/>
        <w:t>но. Угол обстрела из башенного пулемета был никуда не годным. Обзор — ограниченным. Отсутствие вентиляции могло привести к угару экипажа при ведении огня с за</w:t>
      </w:r>
      <w:r w:rsidRPr="00C33834">
        <w:rPr>
          <w:rFonts w:ascii="Times New Roman" w:hAnsi="Times New Roman"/>
          <w:color w:val="000000" w:themeColor="text1"/>
          <w:sz w:val="16"/>
          <w:szCs w:val="16"/>
        </w:rPr>
        <w:softHyphen/>
        <w:t>крытыми дверьми башни. По окончании этих испытаний башня была забракована УММ (11417).</w:t>
      </w:r>
    </w:p>
    <w:p w14:paraId="4148CF7E"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4CE912" w14:textId="77777777" w:rsidR="00282617" w:rsidRPr="00C33834" w:rsidRDefault="002826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 под руководством Рыковского С.Е. были спроектированы 76-мм пушки ГКБ-38 — универсальная А-52 и полууниверсальная A-51 (причем основным вариантом был А-52, а работы по А-51 финансировались за счет А-52). В обеих пушках ствол состоял из свободной трубы, кожуха и навинтного казенника. Затвор вертикальный клиновой. Канал и камора были взяты от 76-мм зенитной пушки обр. 1915/28 г., а затвор и полуавтоматика — от 76-мм зенитной пушки обр. 1931 г. Тормоз отката гидравлический, накатник гидропневматический. У А-51 длина отката переметшая, а у А-52 — постоянная. Лафет однобрусный. Стрельба в штатном положении велась с поддона, но можно было стрелять и с колес. Поворотный механизм гусеничный, аналогичный 32-К.</w:t>
      </w:r>
    </w:p>
    <w:p w14:paraId="1E961848" w14:textId="77777777" w:rsidR="00282617" w:rsidRPr="00C33834" w:rsidRDefault="002826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Колеса использовались в двух вариантах: с грузошиной и с металлическим ободом.</w:t>
      </w:r>
    </w:p>
    <w:p w14:paraId="7F2E333B" w14:textId="77777777" w:rsidR="00282617" w:rsidRPr="00C33834" w:rsidRDefault="002826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Баллистические данные А-51 и А-52 были одинаковы: при весе снаряда 7,1 кг и заряда 1,127 кг начальная скорость 710 м/с, а дальность 14 300 м (при угле +45°).</w:t>
      </w:r>
    </w:p>
    <w:p w14:paraId="2A705DAA" w14:textId="77777777" w:rsidR="00282617" w:rsidRPr="00C33834" w:rsidRDefault="002826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Разработчик пушек ГКБ-38 не имел своей производственной базы, а потому изготовление опытного образца пушки А-51 было отдано заводу № 92. Он был закончен в середине 1934 г., и ему не поленились присвоить заводской индекс Ф-20.8 февраля 1935 г. опытный образец был отправлен на полигонные испытания на НИАП. Полигонные испытания он не выдержал. 13 апреля 1935 г. при стрельбе у него сильно деформировались диски и ободы колес.</w:t>
      </w:r>
    </w:p>
    <w:p w14:paraId="33C606B8" w14:textId="77777777" w:rsidR="00282617" w:rsidRPr="00C33834" w:rsidRDefault="002826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Универсальная же пушка А-52 была изготовлена в августе 1934 г. на заводе № 8, но, насколько известно, подлипковцы ей своего индекса не присваивали. Заводские испытания А-52 были проведены 24—25 августа 1934 г., а 21 января 1935 г. А-52 вместе с передком были отправлена на полигонные испытания на НИАП.</w:t>
      </w:r>
    </w:p>
    <w:p w14:paraId="4EFC9104" w14:textId="77777777" w:rsidR="00282617" w:rsidRPr="00C33834" w:rsidRDefault="002826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дивизионной артиллерии оказалась порочной сама идея универсальной пушки, и сестрицы А-51 и А-52 разделили учесть себе подобных. Не менее порочной была система размещения заказов опытных пушек на заводах № 8 и № 92, которые параллельно изготавливали собственные аналогичные пушки (15117).</w:t>
      </w:r>
    </w:p>
    <w:p w14:paraId="4A542DEE" w14:textId="77777777" w:rsidR="00282617" w:rsidRPr="00C33834" w:rsidRDefault="00282617" w:rsidP="00C33834">
      <w:pPr>
        <w:spacing w:after="0" w:line="240" w:lineRule="auto"/>
        <w:jc w:val="both"/>
        <w:rPr>
          <w:rFonts w:ascii="Times New Roman" w:hAnsi="Times New Roman"/>
          <w:color w:val="000000" w:themeColor="text1"/>
          <w:sz w:val="16"/>
          <w:szCs w:val="16"/>
        </w:rPr>
      </w:pPr>
    </w:p>
    <w:p w14:paraId="1A72D76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слушатели ВАММ разработали проект бронетранспортера на базе Т-26 и в августе 1933 Опытный завод Спецмаштреста изготовил опытный образец ТР-1, который до февраля 1934 прошел всесторонние полигонные испытания. На вооружение не принимался, т.к. ТР-4 оказался более совершенным (9527,206).</w:t>
      </w:r>
    </w:p>
    <w:p w14:paraId="42BD8ED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7D1E79F7"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года на Можерезе началась сборка первых бронемашин Дыренкова. 26 марта представитель военной приемки на заводе сообщал о про</w:t>
      </w:r>
      <w:r w:rsidRPr="00C33834">
        <w:rPr>
          <w:rFonts w:ascii="Times New Roman" w:hAnsi="Times New Roman"/>
          <w:color w:val="000000" w:themeColor="text1"/>
          <w:sz w:val="16"/>
          <w:szCs w:val="16"/>
        </w:rPr>
        <w:softHyphen/>
        <w:t>изводстве Д-13 следующее: «5 единиц готовы за исключе</w:t>
      </w:r>
      <w:r w:rsidRPr="00C33834">
        <w:rPr>
          <w:rFonts w:ascii="Times New Roman" w:hAnsi="Times New Roman"/>
          <w:color w:val="000000" w:themeColor="text1"/>
          <w:sz w:val="16"/>
          <w:szCs w:val="16"/>
        </w:rPr>
        <w:softHyphen/>
        <w:t>нием: не сделаны рамы с сеткой для карт, нет задних фона</w:t>
      </w:r>
      <w:r w:rsidRPr="00C33834">
        <w:rPr>
          <w:rFonts w:ascii="Times New Roman" w:hAnsi="Times New Roman"/>
          <w:color w:val="000000" w:themeColor="text1"/>
          <w:sz w:val="16"/>
          <w:szCs w:val="16"/>
        </w:rPr>
        <w:softHyphen/>
        <w:t>рей. Машины вышли на испытание. 5 единиц, кроме ука</w:t>
      </w:r>
      <w:r w:rsidRPr="00C33834">
        <w:rPr>
          <w:rFonts w:ascii="Times New Roman" w:hAnsi="Times New Roman"/>
          <w:color w:val="000000" w:themeColor="text1"/>
          <w:sz w:val="16"/>
          <w:szCs w:val="16"/>
        </w:rPr>
        <w:softHyphen/>
        <w:t>занного, не установлены ящики для вездеходных цепей, не сделано крепление для шанцевого инструмента и допол</w:t>
      </w:r>
      <w:r w:rsidRPr="00C33834">
        <w:rPr>
          <w:rFonts w:ascii="Times New Roman" w:hAnsi="Times New Roman"/>
          <w:color w:val="000000" w:themeColor="text1"/>
          <w:sz w:val="16"/>
          <w:szCs w:val="16"/>
        </w:rPr>
        <w:softHyphen/>
        <w:t>нительных бензобаков». Но к маю Д-13 были сданы и по</w:t>
      </w:r>
      <w:r w:rsidRPr="00C33834">
        <w:rPr>
          <w:rFonts w:ascii="Times New Roman" w:hAnsi="Times New Roman"/>
          <w:color w:val="000000" w:themeColor="text1"/>
          <w:sz w:val="16"/>
          <w:szCs w:val="16"/>
        </w:rPr>
        <w:softHyphen/>
        <w:t>ступили в войска. Таким образом, всего изготовили 13 бро</w:t>
      </w:r>
      <w:r w:rsidRPr="00C33834">
        <w:rPr>
          <w:rFonts w:ascii="Times New Roman" w:hAnsi="Times New Roman"/>
          <w:color w:val="000000" w:themeColor="text1"/>
          <w:sz w:val="16"/>
          <w:szCs w:val="16"/>
        </w:rPr>
        <w:softHyphen/>
        <w:t>немашин конструкции Дыренкова: 12 Д-13 (считая 2 опыт</w:t>
      </w:r>
      <w:r w:rsidRPr="00C33834">
        <w:rPr>
          <w:rFonts w:ascii="Times New Roman" w:hAnsi="Times New Roman"/>
          <w:color w:val="000000" w:themeColor="text1"/>
          <w:sz w:val="16"/>
          <w:szCs w:val="16"/>
        </w:rPr>
        <w:softHyphen/>
        <w:t>ных образца) и 1 Д-9 (11284).</w:t>
      </w:r>
    </w:p>
    <w:p w14:paraId="1539F617"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A27F7C" w14:textId="77777777" w:rsidR="00282617" w:rsidRPr="00C33834" w:rsidRDefault="002826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года мотоброневагон Д-6 Дыренкова был готов (15624).</w:t>
      </w:r>
    </w:p>
    <w:p w14:paraId="54019B8D" w14:textId="77777777" w:rsidR="00282617" w:rsidRPr="00C33834" w:rsidRDefault="00282617" w:rsidP="00C33834">
      <w:pPr>
        <w:spacing w:after="0" w:line="240" w:lineRule="auto"/>
        <w:jc w:val="both"/>
        <w:rPr>
          <w:rFonts w:ascii="Times New Roman" w:hAnsi="Times New Roman"/>
          <w:color w:val="000000" w:themeColor="text1"/>
          <w:sz w:val="16"/>
          <w:szCs w:val="16"/>
        </w:rPr>
      </w:pPr>
    </w:p>
    <w:p w14:paraId="5CB95274" w14:textId="77777777" w:rsidR="00282617" w:rsidRPr="00C33834" w:rsidRDefault="002826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года, когда только началась сдача серийных Д-2 заказчику, УММ РККА отказалось от использования мотоброневагонов конструкции Дыренкова для вооружения бронепоездных частей Красной Армии. Проведенные испытания показали, что серийные Д-2 плохо вписываются в кривые железных дорог, сложны в обслуживании (например, для капитального ремонта коробки перемены передач и двигателя приходилось снимать башни и верхнюю часть корпуса), их трансмиссия ненадежна и требует частой регулировки. Поэтому УММ РККА приняло решение передать все изготовленные серийные Д-2 транспортному отделу ОПТУ, который к этому времени уже имел в своем распоряжении мо-тоброневагоны Д-3, Д-6 и опытный образец Д-2. На эти бронеединицы возлагалась охрана и оборона железнодорожных объектов в приграничных районах Советского Союза. Организационно мотоброневагоны входили в состав рот МБВ - 3 единицы плюс бронепаровоз - и могли действовать как самостоятельно, так и в составе бронепоезда (15624).</w:t>
      </w:r>
    </w:p>
    <w:p w14:paraId="4C9D0B00" w14:textId="77777777" w:rsidR="00282617" w:rsidRPr="00C33834" w:rsidRDefault="00282617" w:rsidP="00C33834">
      <w:pPr>
        <w:spacing w:after="0" w:line="240" w:lineRule="auto"/>
        <w:jc w:val="both"/>
        <w:rPr>
          <w:rFonts w:ascii="Times New Roman" w:hAnsi="Times New Roman"/>
          <w:color w:val="000000" w:themeColor="text1"/>
          <w:sz w:val="16"/>
          <w:szCs w:val="16"/>
        </w:rPr>
      </w:pPr>
    </w:p>
    <w:p w14:paraId="3FBBD731" w14:textId="77777777" w:rsidR="002F34E6" w:rsidRPr="00C33834" w:rsidRDefault="002F34E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года, когда только началась сдача серийных Д-2 заказчику, УММ РККА отказалось от использования мотоброневаго-нов конструкции Дыренкова для вооружения бронепоездных частей Красной Армии. Проведенные испытания показали, что серийные Д-2 плохо вписываются в кривые железных дорог, сложны в обслуживании (например, для капитального ремонта коробки перемены  передач и двигателя приходилось снимать башни и верхнюю часть корпуса), их трансмиссия ненадежна и требует частой регулировки. Поэтому УММ РККА приняло решение передать все изготовленные серийные Д-2 транспортному отделу ОПТУ, который к этому времени уже имел в своем распоряжении мо-тоброневагоны Д-З, Д-6 и опытный образец Д-2. На эти бронеединицы возлагалась охрана и оборона железнодорожных объектов в приграничных районах Советского Союза. Организационно мотоброневагоны входили в состав рот МБВ - 3 единицы плюс бронепаровоз - и могли действовать как самостоятельно, так и в составе бронепоезда. В феврале 1939 года роты мотоброневагонов вошли в состав созданного Главного управления войск НКВД СССР по охране железнодорожных сооружений (10 июля 1934 года ОПТУ вошло в состав созданного народного комиссариата внутренних дел - НКВД. Прим. автора). К началу Великой Отечественной войны все роты мотоброневагонов находились в разных местах на границе СССР - от Балтийского моря до Забайкалья. В ходе боев с частями вермахта летом 1941 года войска НКВД по охране железнодорожных сооружений потеряли 7 мо-тоброневагонов Д-2 (серийных), которые после ремонта были включены немцами в состав своих бронепоездов. Оставшиеся в строю Д-2 (Д-З, Д-6 и опытный образец Д-2 находились в Забайкалье и в боевых действиях не участвовали) использовались частями НКВД вплоть до конца Великой Отечественной войны и были списаны в конце 1940-х годов (18626).</w:t>
      </w:r>
    </w:p>
    <w:p w14:paraId="243B44A0" w14:textId="77777777" w:rsidR="002F34E6" w:rsidRPr="00C33834" w:rsidRDefault="002F34E6" w:rsidP="00C33834">
      <w:pPr>
        <w:spacing w:after="0" w:line="240" w:lineRule="auto"/>
        <w:jc w:val="both"/>
        <w:rPr>
          <w:rFonts w:ascii="Times New Roman" w:hAnsi="Times New Roman"/>
          <w:color w:val="000000" w:themeColor="text1"/>
          <w:sz w:val="16"/>
          <w:szCs w:val="16"/>
        </w:rPr>
      </w:pPr>
    </w:p>
    <w:p w14:paraId="10C46F17" w14:textId="77777777" w:rsidR="002F34E6" w:rsidRPr="00C33834" w:rsidRDefault="002F34E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года Калужский и Коломенский заводы, загруженные другими заказами, не собрали ни одного Д-2 и эти предприятия освободили от выпуска мотоброневагонов. В результате к апрелю 1933 года производство Д-2, помимо Можерез, велось только на заводе «Красный Профинтерн» в Брянске. Правда, спеццех последнего был загружен заказом на изготовление тяжелых бронеплощадок и бронепаро-возов, в результате чего сборка Д-2 тут здорово затянулась. Последний 15-й мотоброневагон вышел из ворот «Красного Профинтерна» в июле 1934 года. Таким образом, в 1932 -1934 годах в Москве и Брянске изготовили 30 серийных мотоброневагонов Д-2 (18626).</w:t>
      </w:r>
    </w:p>
    <w:p w14:paraId="5AE68B56" w14:textId="77777777" w:rsidR="002F34E6" w:rsidRPr="00C33834" w:rsidRDefault="002F34E6" w:rsidP="00C33834">
      <w:pPr>
        <w:spacing w:after="0" w:line="240" w:lineRule="auto"/>
        <w:jc w:val="both"/>
        <w:rPr>
          <w:rFonts w:ascii="Times New Roman" w:hAnsi="Times New Roman"/>
          <w:color w:val="000000" w:themeColor="text1"/>
          <w:sz w:val="16"/>
          <w:szCs w:val="16"/>
        </w:rPr>
      </w:pPr>
    </w:p>
    <w:p w14:paraId="597C551B" w14:textId="77777777" w:rsidR="002F34E6" w:rsidRPr="00C33834" w:rsidRDefault="002F34E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года мотоброневагон Д-6 был готов на заводе Можерез (18626). </w:t>
      </w:r>
    </w:p>
    <w:p w14:paraId="11D9D81C" w14:textId="77777777" w:rsidR="002F34E6" w:rsidRPr="00C33834" w:rsidRDefault="002F34E6" w:rsidP="00C33834">
      <w:pPr>
        <w:spacing w:after="0" w:line="240" w:lineRule="auto"/>
        <w:jc w:val="both"/>
        <w:rPr>
          <w:rFonts w:ascii="Times New Roman" w:hAnsi="Times New Roman"/>
          <w:color w:val="000000" w:themeColor="text1"/>
          <w:sz w:val="16"/>
          <w:szCs w:val="16"/>
        </w:rPr>
      </w:pPr>
    </w:p>
    <w:p w14:paraId="6D4461D7"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года завод «Компрессор» начал произ</w:t>
      </w:r>
      <w:r w:rsidRPr="00C33834">
        <w:rPr>
          <w:rFonts w:ascii="Times New Roman" w:hAnsi="Times New Roman"/>
          <w:color w:val="000000" w:themeColor="text1"/>
          <w:sz w:val="16"/>
          <w:szCs w:val="16"/>
        </w:rPr>
        <w:softHyphen/>
        <w:t>водство машины БХМ-1000 на шасси АМО-3 с резервуаром на 1000 литров. Однако испытание этих образцов в войсках показали, что БХМ-1000 имеют низкую проходимость и «не являются полноценными боевыми машинами, так как не имеют броневого прикрытия». Тем не менее, небольшая партия таких машин была изготовлена на заводе «Компрес</w:t>
      </w:r>
      <w:r w:rsidRPr="00C33834">
        <w:rPr>
          <w:rFonts w:ascii="Times New Roman" w:hAnsi="Times New Roman"/>
          <w:color w:val="000000" w:themeColor="text1"/>
          <w:sz w:val="16"/>
          <w:szCs w:val="16"/>
        </w:rPr>
        <w:softHyphen/>
        <w:t>сор» для использования в качестве учебных (11284).</w:t>
      </w:r>
    </w:p>
    <w:p w14:paraId="736A73BB"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E6CC3C" w14:textId="77777777" w:rsidR="00282617" w:rsidRPr="00C33834" w:rsidRDefault="002826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началу 1933 года по заказу Московского союза потребительских обществ мастерские комбината реконструкции транспорта в Москве (КРТ) переделали полуторку ГАЗ-АА в седельный тягач для собственных нужд. А история интересна тем, что после удачной переделки этой конструкцией заинтересовались на ГАЗе. Позже чертежи были переданы на Горьковский завод, где было собрано еще несколько тягачей для того же МСПО. Собирали эти тягачи в 1934 году в экспериментальном отделении опытных мастерских под руководством товарища Соловьева.</w:t>
      </w:r>
    </w:p>
    <w:p w14:paraId="12360B04" w14:textId="77777777" w:rsidR="00282617" w:rsidRPr="00C33834" w:rsidRDefault="002826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Тягач на 95% был изготовлен из деталей ГАЗ-АА. Автомобиль мог работать как с седельным устройством, так и в качестве лесовоза. Базу традиционно укоротили (до 2,6 м), вследствие чего пришлось обрезать длинные лонжероны рамы, трубу карданного вала и раскосные штанги заднего моста. Сам задний мост был собран из дефектных деталей автомобиля ГАЗ-АА. Задние кантилеверные рессоры были заменены полуэллиптическими. Конструкция сцепки была довольно простой, но в то же время более практичной, чем на «продвинутом» Я-12Д. Водителю достаточно было подъехать задом к полуприцепу и резким движением по инерции запустить на лоток перед полуприцепа, а затем поднять шаровой конец рычага для закрепления сцепки. Вся процедура занимала не более минуты; о том, какие сложности ждали водителя при сцепке тягача ЗИС-10 с полуприцепом, я расскажу ниже. Максимальная нагрузка была небольшой. Полуприцеп использовался также иностранной фирмы, и его максимальный вес ограничивался 2,5 тоннами, поскольку двигатель ГАЗ-АА был слабым. Таким образом, грузоподъемность седельного тягача увеличивалась по сравнению с грузовиком всего на 40%.</w:t>
      </w:r>
    </w:p>
    <w:p w14:paraId="3E515D8A" w14:textId="77777777" w:rsidR="00282617" w:rsidRPr="00C33834" w:rsidRDefault="002826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ГАЗе хоть и заинтересовались новинкой, но, похоже, собственных седельных тягачей делать не стали. Завод рапортовал о выпуске почти восьмисот тягачей, однако, скорее всего, все они были автолесовозами без седельного устройства, поскольку эту программу посчитали приоритетной еще в 1934 году. Построенные три седельных тягача ГАЗ-АА работали в МСПО до конца своих дней (15592).</w:t>
      </w:r>
    </w:p>
    <w:p w14:paraId="527E3CBE" w14:textId="77777777" w:rsidR="00282617" w:rsidRPr="00C33834" w:rsidRDefault="00282617" w:rsidP="00C33834">
      <w:pPr>
        <w:spacing w:after="0" w:line="240" w:lineRule="auto"/>
        <w:jc w:val="both"/>
        <w:rPr>
          <w:rFonts w:ascii="Times New Roman" w:hAnsi="Times New Roman"/>
          <w:color w:val="000000" w:themeColor="text1"/>
          <w:sz w:val="16"/>
          <w:szCs w:val="16"/>
        </w:rPr>
      </w:pPr>
    </w:p>
    <w:p w14:paraId="4FED150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 завод «Сибтекстильмашстрой» имел всего 18 тыс. м2 жилой площади: 13 зданий недалеко от завода и на правом берегу р. Оби 100-квартирный и 12-квартирный дома. Во многих домах не было водопровода, центрального отопления, в микрорайонах - бань и прачечных. В 1938 г. жилой фонд комбината № 179 составлял 51 469 м2, расширялось индивидуальное стро-ительство (9684).</w:t>
      </w:r>
    </w:p>
    <w:p w14:paraId="554D46E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10A5C1B8" w14:textId="77777777" w:rsidR="006909F7" w:rsidRPr="00C33834" w:rsidRDefault="00754D0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начале </w:t>
      </w:r>
      <w:bookmarkStart w:id="3" w:name="YANDEX_1"/>
      <w:bookmarkEnd w:id="3"/>
      <w:r w:rsidRPr="00C33834">
        <w:rPr>
          <w:rStyle w:val="highlight"/>
          <w:rFonts w:ascii="Times New Roman" w:hAnsi="Times New Roman"/>
          <w:color w:val="000000" w:themeColor="text1"/>
          <w:sz w:val="16"/>
          <w:szCs w:val="16"/>
        </w:rPr>
        <w:t> 1933 </w:t>
      </w:r>
      <w:r w:rsidRPr="00C33834">
        <w:rPr>
          <w:rFonts w:ascii="Times New Roman" w:hAnsi="Times New Roman"/>
          <w:color w:val="000000" w:themeColor="text1"/>
          <w:sz w:val="16"/>
          <w:szCs w:val="16"/>
        </w:rPr>
        <w:t xml:space="preserve"> года на строительство СК-3 </w:t>
      </w:r>
      <w:r w:rsidR="006909F7" w:rsidRPr="00C33834">
        <w:rPr>
          <w:rFonts w:ascii="Times New Roman" w:hAnsi="Times New Roman"/>
          <w:color w:val="000000" w:themeColor="text1"/>
          <w:sz w:val="16"/>
          <w:szCs w:val="16"/>
        </w:rPr>
        <w:t xml:space="preserve">(которое велось с 7 июля 1931) </w:t>
      </w:r>
      <w:r w:rsidRPr="00C33834">
        <w:rPr>
          <w:rFonts w:ascii="Times New Roman" w:hAnsi="Times New Roman"/>
          <w:color w:val="000000" w:themeColor="text1"/>
          <w:sz w:val="16"/>
          <w:szCs w:val="16"/>
        </w:rPr>
        <w:t xml:space="preserve">нарком тяжелой промышленности Г. К. Орджоникидзе назначил нового начальника </w:t>
      </w:r>
      <w:bookmarkStart w:id="4" w:name="YANDEX_2"/>
      <w:bookmarkEnd w:id="4"/>
      <w:r w:rsidRPr="00C33834">
        <w:rPr>
          <w:rStyle w:val="highlight"/>
          <w:rFonts w:ascii="Times New Roman" w:hAnsi="Times New Roman"/>
          <w:color w:val="000000" w:themeColor="text1"/>
          <w:sz w:val="16"/>
          <w:szCs w:val="16"/>
        </w:rPr>
        <w:t> завода </w:t>
      </w:r>
      <w:r w:rsidRPr="00C33834">
        <w:rPr>
          <w:rFonts w:ascii="Times New Roman" w:hAnsi="Times New Roman"/>
          <w:color w:val="000000" w:themeColor="text1"/>
          <w:sz w:val="16"/>
          <w:szCs w:val="16"/>
        </w:rPr>
        <w:t xml:space="preserve"> С. А. Матвеева, возглавлявшего до того строительство Воронежского </w:t>
      </w:r>
      <w:r w:rsidRPr="00C33834">
        <w:rPr>
          <w:rStyle w:val="highlight"/>
          <w:rFonts w:ascii="Times New Roman" w:hAnsi="Times New Roman"/>
          <w:color w:val="000000" w:themeColor="text1"/>
          <w:sz w:val="16"/>
          <w:szCs w:val="16"/>
        </w:rPr>
        <w:t> завода </w:t>
      </w:r>
      <w:r w:rsidRPr="00C33834">
        <w:rPr>
          <w:rFonts w:ascii="Times New Roman" w:hAnsi="Times New Roman"/>
          <w:color w:val="000000" w:themeColor="text1"/>
          <w:sz w:val="16"/>
          <w:szCs w:val="16"/>
        </w:rPr>
        <w:t xml:space="preserve"> СК. Под его руководством коллектив строителей мобилизовался на завершение монтажного оборудования.</w:t>
      </w:r>
    </w:p>
    <w:p w14:paraId="4205735B" w14:textId="77777777" w:rsidR="006909F7" w:rsidRPr="00C33834" w:rsidRDefault="00754D0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Днем 6 марта </w:t>
      </w:r>
      <w:r w:rsidRPr="00C33834">
        <w:rPr>
          <w:rStyle w:val="highlight"/>
          <w:rFonts w:ascii="Times New Roman" w:hAnsi="Times New Roman"/>
          <w:color w:val="000000" w:themeColor="text1"/>
          <w:sz w:val="16"/>
          <w:szCs w:val="16"/>
        </w:rPr>
        <w:t> 1933 </w:t>
      </w:r>
      <w:r w:rsidRPr="00C33834">
        <w:rPr>
          <w:rFonts w:ascii="Times New Roman" w:hAnsi="Times New Roman"/>
          <w:color w:val="000000" w:themeColor="text1"/>
          <w:sz w:val="16"/>
          <w:szCs w:val="16"/>
        </w:rPr>
        <w:t xml:space="preserve"> года сделала первый оборот турбина ТЭЦ, а 20 марта </w:t>
      </w:r>
      <w:r w:rsidRPr="00C33834">
        <w:rPr>
          <w:rStyle w:val="highlight"/>
          <w:rFonts w:ascii="Times New Roman" w:hAnsi="Times New Roman"/>
          <w:color w:val="000000" w:themeColor="text1"/>
          <w:sz w:val="16"/>
          <w:szCs w:val="16"/>
        </w:rPr>
        <w:t> завод </w:t>
      </w:r>
      <w:r w:rsidRPr="00C33834">
        <w:rPr>
          <w:rFonts w:ascii="Times New Roman" w:hAnsi="Times New Roman"/>
          <w:color w:val="000000" w:themeColor="text1"/>
          <w:sz w:val="16"/>
          <w:szCs w:val="16"/>
        </w:rPr>
        <w:t xml:space="preserve"> и город получили первый промышленный ток.</w:t>
      </w:r>
    </w:p>
    <w:p w14:paraId="662736C8" w14:textId="77777777" w:rsidR="006909F7" w:rsidRPr="00C33834" w:rsidRDefault="00754D0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xml:space="preserve">Вслед за пуском ТЭЦ начался 43-дневный пусковой период Ефремовского </w:t>
      </w:r>
      <w:r w:rsidRPr="00C33834">
        <w:rPr>
          <w:rStyle w:val="highlight"/>
          <w:rFonts w:ascii="Times New Roman" w:hAnsi="Times New Roman"/>
          <w:color w:val="000000" w:themeColor="text1"/>
          <w:sz w:val="16"/>
          <w:szCs w:val="16"/>
        </w:rPr>
        <w:t> завода </w:t>
      </w:r>
      <w:r w:rsidRPr="00C33834">
        <w:rPr>
          <w:rFonts w:ascii="Times New Roman" w:hAnsi="Times New Roman"/>
          <w:color w:val="000000" w:themeColor="text1"/>
          <w:sz w:val="16"/>
          <w:szCs w:val="16"/>
        </w:rPr>
        <w:t xml:space="preserve"> СК-3.</w:t>
      </w:r>
      <w:r w:rsidRPr="00C33834">
        <w:rPr>
          <w:rFonts w:ascii="Times New Roman" w:hAnsi="Times New Roman"/>
          <w:bCs/>
          <w:color w:val="000000" w:themeColor="text1"/>
          <w:sz w:val="16"/>
          <w:szCs w:val="16"/>
        </w:rPr>
        <w:t>В</w:t>
      </w:r>
      <w:r w:rsidRPr="00C33834">
        <w:rPr>
          <w:rFonts w:ascii="Times New Roman" w:hAnsi="Times New Roman"/>
          <w:color w:val="000000" w:themeColor="text1"/>
          <w:sz w:val="16"/>
          <w:szCs w:val="16"/>
        </w:rPr>
        <w:t xml:space="preserve">8 часов утра 23 мая </w:t>
      </w:r>
      <w:r w:rsidRPr="00C33834">
        <w:rPr>
          <w:rStyle w:val="highlight"/>
          <w:rFonts w:ascii="Times New Roman" w:hAnsi="Times New Roman"/>
          <w:color w:val="000000" w:themeColor="text1"/>
          <w:sz w:val="16"/>
          <w:szCs w:val="16"/>
        </w:rPr>
        <w:t> 1933 </w:t>
      </w:r>
      <w:r w:rsidRPr="00C33834">
        <w:rPr>
          <w:rFonts w:ascii="Times New Roman" w:hAnsi="Times New Roman"/>
          <w:color w:val="000000" w:themeColor="text1"/>
          <w:sz w:val="16"/>
          <w:szCs w:val="16"/>
        </w:rPr>
        <w:t xml:space="preserve"> года начальник печного цеха Ерасов зажег форсунки первой и второй контактных печей. Вечером 27 мая, в 21 час 27 минут, в реторты пустили спирт. Спустя несколько часов в газовом цехе были получены первые капли дивинила, а через три дня заводская газета "Ударник" сообщила: "Дивинил пошел потоком".</w:t>
      </w:r>
    </w:p>
    <w:p w14:paraId="096D96DD" w14:textId="77777777" w:rsidR="006909F7" w:rsidRPr="00C33834" w:rsidRDefault="00754D0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Третий в стране </w:t>
      </w:r>
      <w:r w:rsidRPr="00C33834">
        <w:rPr>
          <w:rStyle w:val="highlight"/>
          <w:rFonts w:ascii="Times New Roman" w:hAnsi="Times New Roman"/>
          <w:color w:val="000000" w:themeColor="text1"/>
          <w:sz w:val="16"/>
          <w:szCs w:val="16"/>
        </w:rPr>
        <w:t> завод </w:t>
      </w:r>
      <w:r w:rsidRPr="00C33834">
        <w:rPr>
          <w:rFonts w:ascii="Times New Roman" w:hAnsi="Times New Roman"/>
          <w:color w:val="000000" w:themeColor="text1"/>
          <w:sz w:val="16"/>
          <w:szCs w:val="16"/>
        </w:rPr>
        <w:t xml:space="preserve"> синтетического каучука вступил в строй действующих. Окончательная победа пришла 10 июля </w:t>
      </w:r>
      <w:r w:rsidRPr="00C33834">
        <w:rPr>
          <w:rStyle w:val="highlight"/>
          <w:rFonts w:ascii="Times New Roman" w:hAnsi="Times New Roman"/>
          <w:color w:val="000000" w:themeColor="text1"/>
          <w:sz w:val="16"/>
          <w:szCs w:val="16"/>
        </w:rPr>
        <w:t> 1933 </w:t>
      </w:r>
      <w:r w:rsidRPr="00C33834">
        <w:rPr>
          <w:rFonts w:ascii="Times New Roman" w:hAnsi="Times New Roman"/>
          <w:color w:val="000000" w:themeColor="text1"/>
          <w:sz w:val="16"/>
          <w:szCs w:val="16"/>
        </w:rPr>
        <w:t xml:space="preserve"> года. В этот день была выдана первая тонна искусственного каучука. Первый вагон с небывалым грузом ушел со станции Ефремов в Москву 18 августа.</w:t>
      </w:r>
    </w:p>
    <w:p w14:paraId="4C414798" w14:textId="77777777" w:rsidR="006909F7" w:rsidRPr="00C33834" w:rsidRDefault="00754D0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 </w:t>
      </w:r>
      <w:r w:rsidRPr="00C33834">
        <w:rPr>
          <w:rStyle w:val="highlight"/>
          <w:rFonts w:ascii="Times New Roman" w:hAnsi="Times New Roman"/>
          <w:color w:val="000000" w:themeColor="text1"/>
          <w:sz w:val="16"/>
          <w:szCs w:val="16"/>
        </w:rPr>
        <w:t> январю  193</w:t>
      </w:r>
      <w:r w:rsidR="006909F7" w:rsidRPr="00C33834">
        <w:rPr>
          <w:rStyle w:val="highlight"/>
          <w:rFonts w:ascii="Times New Roman" w:hAnsi="Times New Roman"/>
          <w:color w:val="000000" w:themeColor="text1"/>
          <w:sz w:val="16"/>
          <w:szCs w:val="16"/>
        </w:rPr>
        <w:t>4</w:t>
      </w:r>
      <w:r w:rsidRPr="00C33834">
        <w:rPr>
          <w:rStyle w:val="highlight"/>
          <w:rFonts w:ascii="Times New Roman" w:hAnsi="Times New Roman"/>
          <w:color w:val="000000" w:themeColor="text1"/>
          <w:sz w:val="16"/>
          <w:szCs w:val="16"/>
        </w:rPr>
        <w:t>  завод </w:t>
      </w:r>
      <w:r w:rsidRPr="00C33834">
        <w:rPr>
          <w:rFonts w:ascii="Times New Roman" w:hAnsi="Times New Roman"/>
          <w:color w:val="000000" w:themeColor="text1"/>
          <w:sz w:val="16"/>
          <w:szCs w:val="16"/>
        </w:rPr>
        <w:t xml:space="preserve"> СК3 дал стране уже сотни тонн каучука. Ожидался пуск нового мощного спиртозавода. Новые гиганты индустрии коренным образом меняли "лицо Ефремова, превращая его из бывшего мелкого, торгашеско-мещанского городка в промышленный город, насчитывающий до 8000 рабочих.</w:t>
      </w:r>
    </w:p>
    <w:p w14:paraId="7F646B9B" w14:textId="77777777" w:rsidR="00754D0B" w:rsidRPr="00C33834" w:rsidRDefault="00754D0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Зимой 1934 года на Ефремовском СК-3 побывал творец промышленного синтетического каучука выдающийся советский ученый Сергей Васильевич Лебедев</w:t>
      </w:r>
      <w:r w:rsidR="006909F7" w:rsidRPr="00C33834">
        <w:rPr>
          <w:rFonts w:ascii="Times New Roman" w:hAnsi="Times New Roman"/>
          <w:color w:val="000000" w:themeColor="text1"/>
          <w:sz w:val="16"/>
          <w:szCs w:val="16"/>
        </w:rPr>
        <w:t xml:space="preserve"> (17278)</w:t>
      </w:r>
      <w:r w:rsidRPr="00C33834">
        <w:rPr>
          <w:rFonts w:ascii="Times New Roman" w:hAnsi="Times New Roman"/>
          <w:color w:val="000000" w:themeColor="text1"/>
          <w:sz w:val="16"/>
          <w:szCs w:val="16"/>
        </w:rPr>
        <w:t>.</w:t>
      </w:r>
    </w:p>
    <w:p w14:paraId="4A810DE6" w14:textId="77777777" w:rsidR="00754D0B" w:rsidRPr="00C33834" w:rsidRDefault="00754D0B" w:rsidP="00C33834">
      <w:pPr>
        <w:autoSpaceDE w:val="0"/>
        <w:autoSpaceDN w:val="0"/>
        <w:adjustRightInd w:val="0"/>
        <w:spacing w:after="0" w:line="240" w:lineRule="auto"/>
        <w:jc w:val="both"/>
        <w:rPr>
          <w:rFonts w:ascii="Times New Roman" w:hAnsi="Times New Roman"/>
          <w:color w:val="000000" w:themeColor="text1"/>
          <w:sz w:val="16"/>
          <w:szCs w:val="16"/>
        </w:rPr>
      </w:pPr>
    </w:p>
    <w:p w14:paraId="53FEFC4E" w14:textId="77777777" w:rsidR="002F34E6" w:rsidRPr="00C33834" w:rsidRDefault="002F34E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стало ясно, что несмотря на предпринятые меры итоги выполнения наме</w:t>
      </w:r>
      <w:r w:rsidRPr="00C33834">
        <w:rPr>
          <w:rFonts w:ascii="Times New Roman" w:hAnsi="Times New Roman"/>
          <w:color w:val="000000" w:themeColor="text1"/>
          <w:sz w:val="16"/>
          <w:szCs w:val="16"/>
        </w:rPr>
        <w:softHyphen/>
        <w:t>ченной на 1932 г. программы оказались неутешительными и ху</w:t>
      </w:r>
      <w:r w:rsidRPr="00C33834">
        <w:rPr>
          <w:rFonts w:ascii="Times New Roman" w:hAnsi="Times New Roman"/>
          <w:color w:val="000000" w:themeColor="text1"/>
          <w:sz w:val="16"/>
          <w:szCs w:val="16"/>
        </w:rPr>
        <w:softHyphen/>
        <w:t>же, чем в 1931 г. Заказы НКВМ были выполнены по артсисте</w:t>
      </w:r>
      <w:r w:rsidRPr="00C33834">
        <w:rPr>
          <w:rFonts w:ascii="Times New Roman" w:hAnsi="Times New Roman"/>
          <w:color w:val="000000" w:themeColor="text1"/>
          <w:sz w:val="16"/>
          <w:szCs w:val="16"/>
        </w:rPr>
        <w:softHyphen/>
        <w:t>мам на 32%, по снарядам - на 17%, по винтовкам и пулеметам - на 58-59%, по самолетам - на 50%, по танкам - на 89%</w:t>
      </w:r>
      <w:bookmarkStart w:id="5" w:name="_ednref75"/>
      <w:r w:rsidR="00EF7814" w:rsidRPr="00C33834">
        <w:rPr>
          <w:rFonts w:ascii="Times New Roman" w:hAnsi="Times New Roman"/>
          <w:color w:val="000000" w:themeColor="text1"/>
          <w:sz w:val="16"/>
          <w:szCs w:val="16"/>
        </w:rPr>
        <w:fldChar w:fldCharType="begin"/>
      </w:r>
      <w:r w:rsidRPr="00C33834">
        <w:rPr>
          <w:rFonts w:ascii="Times New Roman" w:hAnsi="Times New Roman"/>
          <w:color w:val="000000" w:themeColor="text1"/>
          <w:sz w:val="16"/>
          <w:szCs w:val="16"/>
        </w:rPr>
        <w:instrText xml:space="preserve"> HYPERLINK "http://ebookiriran.ru/index.php?id=93&amp;section=8&amp;view=article" \l "_edn75" \o "" </w:instrText>
      </w:r>
      <w:r w:rsidR="00EF7814" w:rsidRPr="00C33834">
        <w:rPr>
          <w:rFonts w:ascii="Times New Roman" w:hAnsi="Times New Roman"/>
          <w:color w:val="000000" w:themeColor="text1"/>
          <w:sz w:val="16"/>
          <w:szCs w:val="16"/>
        </w:rPr>
        <w:fldChar w:fldCharType="separate"/>
      </w:r>
      <w:r w:rsidRPr="00C33834">
        <w:rPr>
          <w:rStyle w:val="a5"/>
          <w:rFonts w:ascii="Times New Roman" w:hAnsi="Times New Roman"/>
          <w:color w:val="000000" w:themeColor="text1"/>
          <w:sz w:val="16"/>
          <w:szCs w:val="16"/>
        </w:rPr>
        <w:t>[75]</w:t>
      </w:r>
      <w:r w:rsidR="00EF7814" w:rsidRPr="00C33834">
        <w:rPr>
          <w:rFonts w:ascii="Times New Roman" w:hAnsi="Times New Roman"/>
          <w:color w:val="000000" w:themeColor="text1"/>
          <w:sz w:val="16"/>
          <w:szCs w:val="16"/>
        </w:rPr>
        <w:fldChar w:fldCharType="end"/>
      </w:r>
      <w:bookmarkEnd w:id="5"/>
      <w:r w:rsidRPr="00C33834">
        <w:rPr>
          <w:rFonts w:ascii="Times New Roman" w:hAnsi="Times New Roman"/>
          <w:color w:val="000000" w:themeColor="text1"/>
          <w:sz w:val="16"/>
          <w:szCs w:val="16"/>
        </w:rPr>
        <w:t>. Обра</w:t>
      </w:r>
      <w:r w:rsidRPr="00C33834">
        <w:rPr>
          <w:rFonts w:ascii="Times New Roman" w:hAnsi="Times New Roman"/>
          <w:color w:val="000000" w:themeColor="text1"/>
          <w:sz w:val="16"/>
          <w:szCs w:val="16"/>
        </w:rPr>
        <w:softHyphen/>
        <w:t>щает на себя внимание крайне неровный характер выполнения заказов. Таким образом, кризис, обозначившийся в 1931 г., носил не случайный, а системный характер. Сущность его руководство не могло уразуметь, что вызывало раздражение, постоянный по</w:t>
      </w:r>
      <w:r w:rsidRPr="00C33834">
        <w:rPr>
          <w:rFonts w:ascii="Times New Roman" w:hAnsi="Times New Roman"/>
          <w:color w:val="000000" w:themeColor="text1"/>
          <w:sz w:val="16"/>
          <w:szCs w:val="16"/>
        </w:rPr>
        <w:softHyphen/>
        <w:t>иск виновников и причин административно-управленческого ха</w:t>
      </w:r>
      <w:r w:rsidRPr="00C33834">
        <w:rPr>
          <w:rFonts w:ascii="Times New Roman" w:hAnsi="Times New Roman"/>
          <w:color w:val="000000" w:themeColor="text1"/>
          <w:sz w:val="16"/>
          <w:szCs w:val="16"/>
        </w:rPr>
        <w:softHyphen/>
        <w:t>рактера.</w:t>
      </w:r>
    </w:p>
    <w:p w14:paraId="78222EAC" w14:textId="77777777" w:rsidR="002F34E6" w:rsidRPr="00C33834" w:rsidRDefault="002F34E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Завершение 1932 г. связано с подведением итогов первой пя</w:t>
      </w:r>
      <w:r w:rsidRPr="00C33834">
        <w:rPr>
          <w:rFonts w:ascii="Times New Roman" w:hAnsi="Times New Roman"/>
          <w:color w:val="000000" w:themeColor="text1"/>
          <w:sz w:val="16"/>
          <w:szCs w:val="16"/>
        </w:rPr>
        <w:softHyphen/>
        <w:t>тилетки, которая официально считалась выполненной досрочно (за 4 года и 3 месяца) (18393).</w:t>
      </w:r>
    </w:p>
    <w:p w14:paraId="526583BB" w14:textId="77777777" w:rsidR="002F34E6" w:rsidRPr="00C33834" w:rsidRDefault="002F34E6" w:rsidP="00C33834">
      <w:pPr>
        <w:spacing w:after="0" w:line="240" w:lineRule="auto"/>
        <w:jc w:val="both"/>
        <w:rPr>
          <w:rFonts w:ascii="Times New Roman" w:hAnsi="Times New Roman"/>
          <w:color w:val="000000" w:themeColor="text1"/>
          <w:sz w:val="16"/>
          <w:szCs w:val="16"/>
        </w:rPr>
      </w:pPr>
    </w:p>
    <w:p w14:paraId="1B7B7188" w14:textId="77777777" w:rsidR="00103186"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69BF24A7" w14:textId="77777777" w:rsidR="00103186" w:rsidRPr="00C33834" w:rsidRDefault="001031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4EE07F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 Р-1 насчитывалось еще 1297, но из них 705 находились в различных летных и технических школах. Большинство остальных входило в войсковую авиацию - в корпусные, артиллерийские и мотомеханизированные отдельные отряды. Практически все (61 из 62) Р-1 БМВ сосредоточили в Школе морских летчиков. В июне 1933 г. сдала МР-1 последняя строевая часть - 67-й речной отряд. В 1935 г. в ВВС остались только единичные машины, использовавшиеся как вспомогательные. Так, на весь Украинский военный округ остались четыре Р-1. Через год не стало и их (11923).</w:t>
      </w:r>
    </w:p>
    <w:p w14:paraId="1AB54F4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38AF0C8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 на Р-5 начала переходить 207-я бригада в Новочеркасске. Переучивание экипажей там завершили к 25 июня.</w:t>
      </w:r>
    </w:p>
    <w:p w14:paraId="2E8006D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Еше в феврале 1933 г. в округах было примерно поровну Р-5 и P-I, а уже на I сентября Р-5 имелось 732, а Р-1 - 470. Правда, в учебных заведениях перевес старой техники оставался подавляющим: 703 против восьми. В сентябре 1933 г. завод № I рассылал самолеты 16 эскадрильям, 26 отдельным отрядам и четырем летным школам. К 1 декабря в ВВС насчитывалось уже 1898 Р-5 (12034).</w:t>
      </w:r>
    </w:p>
    <w:p w14:paraId="0093F6C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476EBD08"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года количество И-5 в стро</w:t>
      </w:r>
      <w:r w:rsidRPr="00C33834">
        <w:rPr>
          <w:rFonts w:ascii="Times New Roman" w:hAnsi="Times New Roman"/>
          <w:color w:val="000000" w:themeColor="text1"/>
          <w:sz w:val="16"/>
          <w:szCs w:val="16"/>
        </w:rPr>
        <w:softHyphen/>
        <w:t>евых частях ВВС довели до 143 экземпляров, а еше через год, в 1934-м, И-5 стали основ</w:t>
      </w:r>
      <w:r w:rsidRPr="00C33834">
        <w:rPr>
          <w:rFonts w:ascii="Times New Roman" w:hAnsi="Times New Roman"/>
          <w:color w:val="000000" w:themeColor="text1"/>
          <w:sz w:val="16"/>
          <w:szCs w:val="16"/>
        </w:rPr>
        <w:softHyphen/>
        <w:t>ными истребителями в ВВС Красной Ар</w:t>
      </w:r>
      <w:r w:rsidRPr="00C33834">
        <w:rPr>
          <w:rFonts w:ascii="Times New Roman" w:hAnsi="Times New Roman"/>
          <w:color w:val="000000" w:themeColor="text1"/>
          <w:sz w:val="16"/>
          <w:szCs w:val="16"/>
        </w:rPr>
        <w:softHyphen/>
        <w:t>мии. Впрочем, так продолжалось всего два года, ибо уже в 1936 году в связи с внедрени</w:t>
      </w:r>
      <w:r w:rsidRPr="00C33834">
        <w:rPr>
          <w:rFonts w:ascii="Times New Roman" w:hAnsi="Times New Roman"/>
          <w:color w:val="000000" w:themeColor="text1"/>
          <w:sz w:val="16"/>
          <w:szCs w:val="16"/>
        </w:rPr>
        <w:softHyphen/>
        <w:t>ем в практику ВВС монопланов И-16 бипла</w:t>
      </w:r>
      <w:r w:rsidRPr="00C33834">
        <w:rPr>
          <w:rFonts w:ascii="Times New Roman" w:hAnsi="Times New Roman"/>
          <w:color w:val="000000" w:themeColor="text1"/>
          <w:sz w:val="16"/>
          <w:szCs w:val="16"/>
        </w:rPr>
        <w:softHyphen/>
        <w:t>ны И-5 отошли на вторые роли, а затем их начали постепенно списывать и передавать в учебные подразделения. Процесс не был стремительным. В 1938 году в строю насчи</w:t>
      </w:r>
      <w:r w:rsidRPr="00C33834">
        <w:rPr>
          <w:rFonts w:ascii="Times New Roman" w:hAnsi="Times New Roman"/>
          <w:color w:val="000000" w:themeColor="text1"/>
          <w:sz w:val="16"/>
          <w:szCs w:val="16"/>
        </w:rPr>
        <w:softHyphen/>
        <w:t>тывалось 374 И-5 и это количество поддер</w:t>
      </w:r>
      <w:r w:rsidRPr="00C33834">
        <w:rPr>
          <w:rFonts w:ascii="Times New Roman" w:hAnsi="Times New Roman"/>
          <w:color w:val="000000" w:themeColor="text1"/>
          <w:sz w:val="16"/>
          <w:szCs w:val="16"/>
        </w:rPr>
        <w:softHyphen/>
        <w:t>живалось вплоть до 1941 года (12295).</w:t>
      </w:r>
    </w:p>
    <w:p w14:paraId="7E56B119" w14:textId="77777777" w:rsidR="002E1BE7" w:rsidRPr="00C33834" w:rsidRDefault="002E1BE7" w:rsidP="00C33834">
      <w:pPr>
        <w:spacing w:after="0" w:line="240" w:lineRule="auto"/>
        <w:jc w:val="both"/>
        <w:rPr>
          <w:rFonts w:ascii="Times New Roman" w:hAnsi="Times New Roman"/>
          <w:color w:val="000000" w:themeColor="text1"/>
          <w:sz w:val="16"/>
          <w:szCs w:val="16"/>
        </w:rPr>
      </w:pPr>
    </w:p>
    <w:p w14:paraId="110999A9" w14:textId="77777777" w:rsidR="0078560A" w:rsidRPr="00C33834" w:rsidRDefault="0078560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 начало 1933 года в ВВС еще числилось 12 самолетов Фоккероы, которые вскоре разделили судьбу своих демобилизованных собратьев. Время голландских разведчиков в нашей авиации закончилось (21125).</w:t>
      </w:r>
    </w:p>
    <w:p w14:paraId="385892F4" w14:textId="77777777" w:rsidR="0078560A" w:rsidRPr="00C33834" w:rsidRDefault="0078560A" w:rsidP="00C33834">
      <w:pPr>
        <w:spacing w:after="0" w:line="240" w:lineRule="auto"/>
        <w:jc w:val="both"/>
        <w:rPr>
          <w:rFonts w:ascii="Times New Roman" w:hAnsi="Times New Roman"/>
          <w:color w:val="0070C0"/>
          <w:sz w:val="16"/>
          <w:szCs w:val="16"/>
        </w:rPr>
      </w:pPr>
    </w:p>
    <w:p w14:paraId="5ED5058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Белорусском, Украинском, Московском и Приволжском ВО были сформированы авиабатальоны особого назначения - ВДВ (3013).</w:t>
      </w:r>
    </w:p>
    <w:p w14:paraId="2D4269E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67E5BCE6" w14:textId="77777777" w:rsidR="001031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738CB8AA" w14:textId="77777777" w:rsidR="00103186" w:rsidRPr="00C33834" w:rsidRDefault="001031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8954E4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года Сталин подписал секретную телеграмму: "Воспретить всем ведомствам, республикам и областям до опубликования официального издания Госплана СССР об итогах выполнения первой пятилетки издание каких-либо других итоговых работ, как сводных, так и отраслевых и районных с тем, что и после официального издания итогов пятилетки все работы по итогам могут издаваться лишь с разрешения Госплана СССР" (9492).</w:t>
      </w:r>
    </w:p>
    <w:p w14:paraId="12E9428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19AA0033" w14:textId="77777777" w:rsidR="001031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29D65F1F" w14:textId="77777777" w:rsidR="00103186" w:rsidRPr="00C33834" w:rsidRDefault="001031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00C03C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начале 1933 года между советским правительством и американской компанией Nitrogen был заключен договор на оказание технической помощи в синтезе аммиака, который включал в себя консультационное содействие в строительстве колонн синтеза и цехов катализаторов синтеза на Бобриковском и Березниковском комбинатах. Согласно договору, фирма должна была обучить советских специалистов самостоятельному производству катализаторной массы, а также дать "Химстрою" Наркомата тяжелой промышленности (по мысли советской стороны, в договоре это не было прописано) способ изготовления катализаторов "в условиях СССР". </w:t>
      </w:r>
    </w:p>
    <w:p w14:paraId="07F8AE4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Однако к лету 1934 года оба советских комбината не сумели добиться изготовления катализатора синтеза по качеству соответствующего американским стандартам. В США катализатор давал 15-16% конвертирования, тогда как на советских предприятиях этот показатель составлял лишь 12-13%. По мнению представителей советской стороны (Комиссии советского контроля при СНК, Группы Химпромышленности Наркомата тяжелой промышленности) американская фирма допустила ошибки в конструкции колонн для Бобриковского комбината (они закупались в США и фирма согласилась произвести повторную закупку частично за свой счет) и цеха катализаторов на Березниковском комбинате (фирма отказалась признавать свою вину, аргументировав возникшие проблемы низким качеством советского сырья). Березниковский комбинат возражал против этого аргумента.</w:t>
      </w:r>
    </w:p>
    <w:p w14:paraId="6A427EE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Соответственно, был поставлен вопрос о досрочном расторжении договора, поскольку был задержан пуск Бобриковского комбината. Однако, по предложению Наркомата тяжелой промышленности фирма Nitrogen провела опыты с советским сырьем на своих установках в США и идея о расторжении контракта с ней была отложена. </w:t>
      </w:r>
    </w:p>
    <w:p w14:paraId="140A7A9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Контракт с фирмой Nitrogen действовал с июня 1933 года по август 1934 года включительно. За свои услуги фирма получила вознаграждение в размере 840 тыс. американских долларов, которые платились траншами по 60 тыс. долларов ежемесячно. Стоимость закупаемого в США и Европе оборудования в стоимость контракта не входила (11594).</w:t>
      </w:r>
    </w:p>
    <w:p w14:paraId="710CFE0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Источники: </w:t>
      </w:r>
    </w:p>
    <w:p w14:paraId="1A7ABF0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Письмо заместителя Управляющего делами СНК СССР Г.М. Леплевского главе НКИД М.М. Литвинову от 15 июля 1934 года (АВП РФ. Ф. 05. Оп. 14. П. 96. Д. 8. Л. 16);</w:t>
      </w:r>
    </w:p>
    <w:p w14:paraId="71FEE02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Письмо комиссии советского контроля в Совет труда и обороны о договоре с фирмой "Найтроджен" от 11 июля 1934 года (АВП РФ. Ф. 05. Оп. 14. П. 96. Д. 8. Л. 15);</w:t>
      </w:r>
    </w:p>
    <w:p w14:paraId="59EB3BD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Письмо заместителя наркома тяжелой промышленности М.М. Кагановича в Совет труда и обороны о договоре с фирмой "Найтроджен" от 11 июля 1934 года (АВП РФ. Ф. 05. Оп. 14. П. 96. Д. 8. Л. 13) (11594).</w:t>
      </w:r>
    </w:p>
    <w:p w14:paraId="3063C67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7EC21D91" w14:textId="77777777" w:rsidR="001031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77F54F6A" w14:textId="77777777" w:rsidR="00103186" w:rsidRPr="00C33834" w:rsidRDefault="001031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8F48C92"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 года в Бельгии завершили постройку второго вертолета россий</w:t>
      </w:r>
      <w:r w:rsidRPr="00C33834">
        <w:rPr>
          <w:rFonts w:ascii="Times New Roman" w:hAnsi="Times New Roman"/>
          <w:color w:val="000000" w:themeColor="text1"/>
          <w:sz w:val="16"/>
          <w:szCs w:val="16"/>
        </w:rPr>
        <w:softHyphen/>
        <w:t>ского инженера Г. Флорина. Вертолет создавался для «Технической службы аэронавтики» Бельгии, эта страна суб</w:t>
      </w:r>
      <w:r w:rsidRPr="00C33834">
        <w:rPr>
          <w:rFonts w:ascii="Times New Roman" w:hAnsi="Times New Roman"/>
          <w:color w:val="000000" w:themeColor="text1"/>
          <w:sz w:val="16"/>
          <w:szCs w:val="16"/>
        </w:rPr>
        <w:softHyphen/>
        <w:t>сидировала разработку и постройку машины. Вертолет имел фюзеляж ферменной конструкции, на концах кото</w:t>
      </w:r>
      <w:r w:rsidRPr="00C33834">
        <w:rPr>
          <w:rFonts w:ascii="Times New Roman" w:hAnsi="Times New Roman"/>
          <w:color w:val="000000" w:themeColor="text1"/>
          <w:sz w:val="16"/>
          <w:szCs w:val="16"/>
        </w:rPr>
        <w:softHyphen/>
        <w:t>рого были установлены четырехлопас-тные несущие винты с развалом в сто</w:t>
      </w:r>
      <w:r w:rsidRPr="00C33834">
        <w:rPr>
          <w:rFonts w:ascii="Times New Roman" w:hAnsi="Times New Roman"/>
          <w:color w:val="000000" w:themeColor="text1"/>
          <w:sz w:val="16"/>
          <w:szCs w:val="16"/>
        </w:rPr>
        <w:softHyphen/>
        <w:t>роны. Они вращались в одном направ</w:t>
      </w:r>
      <w:r w:rsidRPr="00C33834">
        <w:rPr>
          <w:rFonts w:ascii="Times New Roman" w:hAnsi="Times New Roman"/>
          <w:color w:val="000000" w:themeColor="text1"/>
          <w:sz w:val="16"/>
          <w:szCs w:val="16"/>
        </w:rPr>
        <w:softHyphen/>
        <w:t>лении, и развал винтов позволял урав</w:t>
      </w:r>
      <w:r w:rsidRPr="00C33834">
        <w:rPr>
          <w:rFonts w:ascii="Times New Roman" w:hAnsi="Times New Roman"/>
          <w:color w:val="000000" w:themeColor="text1"/>
          <w:sz w:val="16"/>
          <w:szCs w:val="16"/>
        </w:rPr>
        <w:softHyphen/>
        <w:t>новесить их реактивный крутящий мо</w:t>
      </w:r>
      <w:r w:rsidRPr="00C33834">
        <w:rPr>
          <w:rFonts w:ascii="Times New Roman" w:hAnsi="Times New Roman"/>
          <w:color w:val="000000" w:themeColor="text1"/>
          <w:sz w:val="16"/>
          <w:szCs w:val="16"/>
        </w:rPr>
        <w:softHyphen/>
        <w:t>мент. Первый образец вертолета был оснащен двигателем водяного охлаж</w:t>
      </w:r>
      <w:r w:rsidRPr="00C33834">
        <w:rPr>
          <w:rFonts w:ascii="Times New Roman" w:hAnsi="Times New Roman"/>
          <w:color w:val="000000" w:themeColor="text1"/>
          <w:sz w:val="16"/>
          <w:szCs w:val="16"/>
        </w:rPr>
        <w:softHyphen/>
        <w:t>дения, на втором его заменили более мощным и легким двигателем воздуш</w:t>
      </w:r>
      <w:r w:rsidRPr="00C33834">
        <w:rPr>
          <w:rFonts w:ascii="Times New Roman" w:hAnsi="Times New Roman"/>
          <w:color w:val="000000" w:themeColor="text1"/>
          <w:sz w:val="16"/>
          <w:szCs w:val="16"/>
        </w:rPr>
        <w:softHyphen/>
        <w:t>ного охлаждения «Ренар» в 200 л.с. с редуктором и вентилятором. Несущие винты без горизонтальных шарниров имели специальные перекашивающи</w:t>
      </w:r>
      <w:r w:rsidRPr="00C33834">
        <w:rPr>
          <w:rFonts w:ascii="Times New Roman" w:hAnsi="Times New Roman"/>
          <w:color w:val="000000" w:themeColor="text1"/>
          <w:sz w:val="16"/>
          <w:szCs w:val="16"/>
        </w:rPr>
        <w:softHyphen/>
        <w:t xml:space="preserve">еся механизмы для общего или дифференциального изменения шага лопастей. Для посадки использовалось простейшее ферменное четырехопор-ное шасси </w:t>
      </w:r>
      <w:r w:rsidRPr="00C33834">
        <w:rPr>
          <w:rFonts w:ascii="Times New Roman" w:hAnsi="Times New Roman"/>
          <w:iCs/>
          <w:color w:val="000000" w:themeColor="text1"/>
          <w:sz w:val="16"/>
          <w:szCs w:val="16"/>
        </w:rPr>
        <w:t xml:space="preserve">с </w:t>
      </w:r>
      <w:r w:rsidRPr="00C33834">
        <w:rPr>
          <w:rFonts w:ascii="Times New Roman" w:hAnsi="Times New Roman"/>
          <w:color w:val="000000" w:themeColor="text1"/>
          <w:sz w:val="16"/>
          <w:szCs w:val="16"/>
        </w:rPr>
        <w:t>плоскими опорами вмес</w:t>
      </w:r>
      <w:r w:rsidRPr="00C33834">
        <w:rPr>
          <w:rFonts w:ascii="Times New Roman" w:hAnsi="Times New Roman"/>
          <w:color w:val="000000" w:themeColor="text1"/>
          <w:sz w:val="16"/>
          <w:szCs w:val="16"/>
        </w:rPr>
        <w:softHyphen/>
        <w:t>то колес, изготовленными из электро</w:t>
      </w:r>
      <w:r w:rsidRPr="00C33834">
        <w:rPr>
          <w:rFonts w:ascii="Times New Roman" w:hAnsi="Times New Roman"/>
          <w:color w:val="000000" w:themeColor="text1"/>
          <w:sz w:val="16"/>
          <w:szCs w:val="16"/>
        </w:rPr>
        <w:softHyphen/>
        <w:t>на (сплава алюминия с магнием).После длительных наземных испытаний, кото</w:t>
      </w:r>
      <w:r w:rsidRPr="00C33834">
        <w:rPr>
          <w:rFonts w:ascii="Times New Roman" w:hAnsi="Times New Roman"/>
          <w:color w:val="000000" w:themeColor="text1"/>
          <w:sz w:val="16"/>
          <w:szCs w:val="16"/>
        </w:rPr>
        <w:softHyphen/>
        <w:t>рые проводил пилот-инженер Роберт Коллин, последовали летные испыта</w:t>
      </w:r>
      <w:r w:rsidRPr="00C33834">
        <w:rPr>
          <w:rFonts w:ascii="Times New Roman" w:hAnsi="Times New Roman"/>
          <w:color w:val="000000" w:themeColor="text1"/>
          <w:sz w:val="16"/>
          <w:szCs w:val="16"/>
        </w:rPr>
        <w:softHyphen/>
        <w:t>ния (во время наземных и летных ис</w:t>
      </w:r>
      <w:r w:rsidRPr="00C33834">
        <w:rPr>
          <w:rFonts w:ascii="Times New Roman" w:hAnsi="Times New Roman"/>
          <w:color w:val="000000" w:themeColor="text1"/>
          <w:sz w:val="16"/>
          <w:szCs w:val="16"/>
        </w:rPr>
        <w:softHyphen/>
        <w:t>пытаний из-за многочисленных поло</w:t>
      </w:r>
      <w:r w:rsidRPr="00C33834">
        <w:rPr>
          <w:rFonts w:ascii="Times New Roman" w:hAnsi="Times New Roman"/>
          <w:color w:val="000000" w:themeColor="text1"/>
          <w:sz w:val="16"/>
          <w:szCs w:val="16"/>
        </w:rPr>
        <w:softHyphen/>
        <w:t>мок вертолет неоднократно ремон</w:t>
      </w:r>
      <w:r w:rsidRPr="00C33834">
        <w:rPr>
          <w:rFonts w:ascii="Times New Roman" w:hAnsi="Times New Roman"/>
          <w:color w:val="000000" w:themeColor="text1"/>
          <w:sz w:val="16"/>
          <w:szCs w:val="16"/>
        </w:rPr>
        <w:softHyphen/>
        <w:t>тировался). Первые свободные полеты состоялись 2 октября 1933 года: аппа</w:t>
      </w:r>
      <w:r w:rsidRPr="00C33834">
        <w:rPr>
          <w:rFonts w:ascii="Times New Roman" w:hAnsi="Times New Roman"/>
          <w:color w:val="000000" w:themeColor="text1"/>
          <w:sz w:val="16"/>
          <w:szCs w:val="16"/>
        </w:rPr>
        <w:softHyphen/>
        <w:t>рат поднялся на высоту 3,5 м и про</w:t>
      </w:r>
      <w:r w:rsidRPr="00C33834">
        <w:rPr>
          <w:rFonts w:ascii="Times New Roman" w:hAnsi="Times New Roman"/>
          <w:color w:val="000000" w:themeColor="text1"/>
          <w:sz w:val="16"/>
          <w:szCs w:val="16"/>
        </w:rPr>
        <w:softHyphen/>
        <w:t>держался в воздухе 2 мин 54 с. 19 октября вертолет поднялся на высоту 6 м и продержался в воздухе 6 мин 30 с. Рекордную продолжительность полета - 9 мин 47 с (превышавшую рекорд вертолета д'Асканио на 1 мин 13 с) Роберт Коллин показал 25 ок</w:t>
      </w:r>
      <w:r w:rsidRPr="00C33834">
        <w:rPr>
          <w:rFonts w:ascii="Times New Roman" w:hAnsi="Times New Roman"/>
          <w:color w:val="000000" w:themeColor="text1"/>
          <w:sz w:val="16"/>
          <w:szCs w:val="16"/>
        </w:rPr>
        <w:softHyphen/>
        <w:t>тября. Это достижение было зарегист</w:t>
      </w:r>
      <w:r w:rsidRPr="00C33834">
        <w:rPr>
          <w:rFonts w:ascii="Times New Roman" w:hAnsi="Times New Roman"/>
          <w:color w:val="000000" w:themeColor="text1"/>
          <w:sz w:val="16"/>
          <w:szCs w:val="16"/>
        </w:rPr>
        <w:softHyphen/>
        <w:t>рировано официальными представите</w:t>
      </w:r>
      <w:r w:rsidRPr="00C33834">
        <w:rPr>
          <w:rFonts w:ascii="Times New Roman" w:hAnsi="Times New Roman"/>
          <w:color w:val="000000" w:themeColor="text1"/>
          <w:sz w:val="16"/>
          <w:szCs w:val="16"/>
        </w:rPr>
        <w:softHyphen/>
        <w:t>лями «Аэроклуба», однако в качестве мирового рекорда не утверждено. Отметим попутно, что и этот рекорд значительно уступает рекорду, достигнутому на вертолете ЦАГИ 1 -ЭА (11401).</w:t>
      </w:r>
    </w:p>
    <w:p w14:paraId="78C188A3"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A3DFFC" w14:textId="77777777" w:rsidR="002F34E6" w:rsidRPr="00C33834" w:rsidRDefault="002F34E6" w:rsidP="00C33834">
      <w:pPr>
        <w:pStyle w:val="rtejustify"/>
        <w:shd w:val="clear" w:color="auto" w:fill="FFFFFF"/>
        <w:spacing w:before="0" w:after="0"/>
        <w:rPr>
          <w:color w:val="000000" w:themeColor="text1"/>
          <w:sz w:val="16"/>
          <w:szCs w:val="16"/>
        </w:rPr>
      </w:pPr>
      <w:r w:rsidRPr="00C33834">
        <w:rPr>
          <w:color w:val="000000" w:themeColor="text1"/>
          <w:sz w:val="16"/>
          <w:szCs w:val="16"/>
        </w:rPr>
        <w:lastRenderedPageBreak/>
        <w:t>В начале 1933 года конструкторское бюро «Нортроп корпорейшн» приступило к проектированию военного варианта «Гаммы». В ней имелся определенный потенциал для переделки в самолет непосредственной поддержки. Цельнометаллическая машина обладала неплохой грузо</w:t>
      </w:r>
      <w:r w:rsidRPr="00C33834">
        <w:rPr>
          <w:color w:val="000000" w:themeColor="text1"/>
          <w:sz w:val="16"/>
          <w:szCs w:val="16"/>
        </w:rPr>
        <w:softHyphen/>
        <w:t>подъем</w:t>
      </w:r>
      <w:r w:rsidRPr="00C33834">
        <w:rPr>
          <w:color w:val="000000" w:themeColor="text1"/>
          <w:sz w:val="16"/>
          <w:szCs w:val="16"/>
        </w:rPr>
        <w:softHyphen/>
        <w:t>ностью, высокой живучестью (в первую очередь за счет многолонжеронного крыла), а по скорости ненамного уступала тогдашним американским истребителям.</w:t>
      </w:r>
    </w:p>
    <w:p w14:paraId="30D4894F" w14:textId="77777777" w:rsidR="002F34E6" w:rsidRPr="00C33834" w:rsidRDefault="002F34E6" w:rsidP="00C33834">
      <w:pPr>
        <w:pStyle w:val="rtejustify"/>
        <w:shd w:val="clear" w:color="auto" w:fill="FFFFFF"/>
        <w:spacing w:before="0" w:after="0"/>
        <w:rPr>
          <w:color w:val="000000" w:themeColor="text1"/>
          <w:sz w:val="16"/>
          <w:szCs w:val="16"/>
        </w:rPr>
      </w:pPr>
      <w:r w:rsidRPr="00C33834">
        <w:rPr>
          <w:color w:val="000000" w:themeColor="text1"/>
          <w:sz w:val="16"/>
          <w:szCs w:val="16"/>
        </w:rPr>
        <w:t>Основным недостатком «Гаммы» как боевого самолета являлся посредственный обзор из пилотской кабины. Поэтому для военного варианта сконструировали новый фюзеляж, у которого двухместную кабину, рассчитанную на пилота и стрелка-радиста, переместили вперед. Оба члена экипажа сидели под длинным прозрачным фонарем друг за другом, лицом вперед. Для обороны самолета сзади стрелок поворачивался вместе с сиденьем, сдвигал назад часть фонаря и переводил свой пулемет из походного в боевое положение. Вооружение запроектировали из пяти стволов: четыре 7,62-мм пулемета в крыле и еще один такой же у стрелка. Бомбы общим весом до 500 кг располагались на наружной подвеске. Мотор избрали типа R-1820-F2 (735 л.с.); он вращал двухлопастной винт (19168).</w:t>
      </w:r>
    </w:p>
    <w:p w14:paraId="64A46F78" w14:textId="77777777" w:rsidR="002F34E6" w:rsidRPr="00C33834" w:rsidRDefault="00C33834" w:rsidP="00C33834">
      <w:pPr>
        <w:pStyle w:val="rtecenter"/>
        <w:shd w:val="clear" w:color="auto" w:fill="FFFFFF"/>
        <w:spacing w:before="0" w:after="0"/>
        <w:jc w:val="both"/>
        <w:textAlignment w:val="baseline"/>
        <w:rPr>
          <w:color w:val="000000" w:themeColor="text1"/>
          <w:sz w:val="16"/>
          <w:szCs w:val="16"/>
        </w:rPr>
      </w:pPr>
      <w:hyperlink r:id="rId55" w:history="1"/>
    </w:p>
    <w:p w14:paraId="13552B4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1933-го года отметились английские авиаторы. После трехлетнего перерыва, потраченного на доводки и проведение дополнительных испытаний и исследований, они выкатили на аэродром очередной Фэйри LR, небезосновательно надеясь изменить в свою пользу рекорд дальности полета, держащийся уже полтора года. Самолету, стартовавшему с полетном весом 7600 кг, предстояло преодолеть маршрут из Лондона до Капштадта (Кейптаун) в Южной Африке. В период 6-8 февраля 1933 г. летчики Гейфорд и Николэтс пролетели расстояние 8544 км, что соответствовало новому абсолютному мировому рекорду.</w:t>
      </w:r>
    </w:p>
    <w:p w14:paraId="456A371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ТАКТИКО-ТЕХНИЧЕСКИЕ ХАРАКТЕРИСТИКИ ЕВРОПЕЙСКИХ САМОЛЕТОВ ДЛЯ ДАЛЬНИХ ПЕРЕЛЕТОВ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5"/>
        <w:gridCol w:w="1145"/>
        <w:gridCol w:w="1145"/>
        <w:gridCol w:w="1145"/>
        <w:gridCol w:w="1145"/>
        <w:gridCol w:w="1145"/>
        <w:gridCol w:w="1145"/>
        <w:gridCol w:w="1145"/>
        <w:gridCol w:w="1145"/>
      </w:tblGrid>
      <w:tr w:rsidR="00F26F01" w:rsidRPr="00C33834" w14:paraId="70ED2ADA" w14:textId="77777777">
        <w:tc>
          <w:tcPr>
            <w:tcW w:w="1145" w:type="dxa"/>
            <w:tcBorders>
              <w:top w:val="single" w:sz="12" w:space="0" w:color="auto"/>
            </w:tcBorders>
          </w:tcPr>
          <w:p w14:paraId="16CFF6E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w:t>
            </w:r>
          </w:p>
        </w:tc>
        <w:tc>
          <w:tcPr>
            <w:tcW w:w="1145" w:type="dxa"/>
            <w:tcBorders>
              <w:top w:val="single" w:sz="12" w:space="0" w:color="auto"/>
            </w:tcBorders>
          </w:tcPr>
          <w:p w14:paraId="433EA57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Двигатель(л.с.)</w:t>
            </w:r>
          </w:p>
        </w:tc>
        <w:tc>
          <w:tcPr>
            <w:tcW w:w="1145" w:type="dxa"/>
            <w:tcBorders>
              <w:top w:val="single" w:sz="12" w:space="0" w:color="auto"/>
            </w:tcBorders>
          </w:tcPr>
          <w:p w14:paraId="555EF25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Размах (м)</w:t>
            </w:r>
          </w:p>
        </w:tc>
        <w:tc>
          <w:tcPr>
            <w:tcW w:w="1145" w:type="dxa"/>
            <w:tcBorders>
              <w:top w:val="single" w:sz="12" w:space="0" w:color="auto"/>
            </w:tcBorders>
          </w:tcPr>
          <w:p w14:paraId="3683D63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крыла (мг)</w:t>
            </w:r>
          </w:p>
        </w:tc>
        <w:tc>
          <w:tcPr>
            <w:tcW w:w="1145" w:type="dxa"/>
            <w:tcBorders>
              <w:top w:val="single" w:sz="12" w:space="0" w:color="auto"/>
            </w:tcBorders>
          </w:tcPr>
          <w:p w14:paraId="7ABDB0F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Удлинение</w:t>
            </w:r>
          </w:p>
        </w:tc>
        <w:tc>
          <w:tcPr>
            <w:tcW w:w="1145" w:type="dxa"/>
            <w:tcBorders>
              <w:top w:val="single" w:sz="12" w:space="0" w:color="auto"/>
            </w:tcBorders>
          </w:tcPr>
          <w:p w14:paraId="5A3A6A9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пустого (кг)</w:t>
            </w:r>
          </w:p>
        </w:tc>
        <w:tc>
          <w:tcPr>
            <w:tcW w:w="1145" w:type="dxa"/>
            <w:tcBorders>
              <w:top w:val="single" w:sz="12" w:space="0" w:color="auto"/>
            </w:tcBorders>
          </w:tcPr>
          <w:p w14:paraId="0E17F6B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Полетный вес (кг)</w:t>
            </w:r>
          </w:p>
        </w:tc>
        <w:tc>
          <w:tcPr>
            <w:tcW w:w="1145" w:type="dxa"/>
            <w:tcBorders>
              <w:top w:val="single" w:sz="12" w:space="0" w:color="auto"/>
            </w:tcBorders>
          </w:tcPr>
          <w:p w14:paraId="486014A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Запас горючего (кг)</w:t>
            </w:r>
          </w:p>
        </w:tc>
        <w:tc>
          <w:tcPr>
            <w:tcW w:w="1145" w:type="dxa"/>
            <w:tcBorders>
              <w:top w:val="single" w:sz="12" w:space="0" w:color="auto"/>
            </w:tcBorders>
          </w:tcPr>
          <w:p w14:paraId="2906476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Нагрузка на крыло (кг/м2)</w:t>
            </w:r>
          </w:p>
        </w:tc>
      </w:tr>
      <w:tr w:rsidR="00F26F01" w:rsidRPr="00C33834" w14:paraId="7B451F92" w14:textId="77777777">
        <w:tc>
          <w:tcPr>
            <w:tcW w:w="1145" w:type="dxa"/>
          </w:tcPr>
          <w:p w14:paraId="5591EC7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5A2AB55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337C292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3D43360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567D60B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22F558E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3961584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6683C5D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684A08E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A846681" w14:textId="77777777">
        <w:tc>
          <w:tcPr>
            <w:tcW w:w="1145" w:type="dxa"/>
          </w:tcPr>
          <w:p w14:paraId="25D91C1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Фэйри LR</w:t>
            </w:r>
          </w:p>
        </w:tc>
        <w:tc>
          <w:tcPr>
            <w:tcW w:w="1145" w:type="dxa"/>
          </w:tcPr>
          <w:p w14:paraId="1516DE7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Нэпир XI (530)</w:t>
            </w:r>
          </w:p>
        </w:tc>
        <w:tc>
          <w:tcPr>
            <w:tcW w:w="1145" w:type="dxa"/>
          </w:tcPr>
          <w:p w14:paraId="2960713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145" w:type="dxa"/>
          </w:tcPr>
          <w:p w14:paraId="73E40E7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82,0</w:t>
            </w:r>
          </w:p>
        </w:tc>
        <w:tc>
          <w:tcPr>
            <w:tcW w:w="1145" w:type="dxa"/>
          </w:tcPr>
          <w:p w14:paraId="0F0CC48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p>
        </w:tc>
        <w:tc>
          <w:tcPr>
            <w:tcW w:w="1145" w:type="dxa"/>
          </w:tcPr>
          <w:p w14:paraId="77DB3C5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1145" w:type="dxa"/>
          </w:tcPr>
          <w:p w14:paraId="30A6A74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7800</w:t>
            </w:r>
          </w:p>
        </w:tc>
        <w:tc>
          <w:tcPr>
            <w:tcW w:w="1145" w:type="dxa"/>
          </w:tcPr>
          <w:p w14:paraId="046C285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4500</w:t>
            </w:r>
          </w:p>
        </w:tc>
        <w:tc>
          <w:tcPr>
            <w:tcW w:w="1145" w:type="dxa"/>
          </w:tcPr>
          <w:p w14:paraId="4454210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95,0</w:t>
            </w:r>
          </w:p>
        </w:tc>
      </w:tr>
      <w:tr w:rsidR="00F26F01" w:rsidRPr="00C33834" w14:paraId="04B5F7FD" w14:textId="77777777">
        <w:tc>
          <w:tcPr>
            <w:tcW w:w="1145" w:type="dxa"/>
          </w:tcPr>
          <w:p w14:paraId="745D55F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Савойя S-64</w:t>
            </w:r>
          </w:p>
        </w:tc>
        <w:tc>
          <w:tcPr>
            <w:tcW w:w="1145" w:type="dxa"/>
          </w:tcPr>
          <w:p w14:paraId="3BB74B7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Фиат А-22Т (620)</w:t>
            </w:r>
          </w:p>
        </w:tc>
        <w:tc>
          <w:tcPr>
            <w:tcW w:w="1145" w:type="dxa"/>
          </w:tcPr>
          <w:p w14:paraId="01D77F6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1145" w:type="dxa"/>
          </w:tcPr>
          <w:p w14:paraId="43407F5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1145" w:type="dxa"/>
          </w:tcPr>
          <w:p w14:paraId="1C6136E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7,75</w:t>
            </w:r>
          </w:p>
        </w:tc>
        <w:tc>
          <w:tcPr>
            <w:tcW w:w="1145" w:type="dxa"/>
          </w:tcPr>
          <w:p w14:paraId="5883D25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2670</w:t>
            </w:r>
          </w:p>
        </w:tc>
        <w:tc>
          <w:tcPr>
            <w:tcW w:w="1145" w:type="dxa"/>
          </w:tcPr>
          <w:p w14:paraId="5428798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7200</w:t>
            </w:r>
          </w:p>
        </w:tc>
        <w:tc>
          <w:tcPr>
            <w:tcW w:w="1145" w:type="dxa"/>
          </w:tcPr>
          <w:p w14:paraId="2FCB969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4550</w:t>
            </w:r>
          </w:p>
        </w:tc>
        <w:tc>
          <w:tcPr>
            <w:tcW w:w="1145" w:type="dxa"/>
          </w:tcPr>
          <w:p w14:paraId="305D41E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w:t>
            </w:r>
          </w:p>
        </w:tc>
      </w:tr>
      <w:tr w:rsidR="00F26F01" w:rsidRPr="00C33834" w14:paraId="24378C53" w14:textId="77777777">
        <w:tc>
          <w:tcPr>
            <w:tcW w:w="1145" w:type="dxa"/>
          </w:tcPr>
          <w:p w14:paraId="53F759C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Блерио-110</w:t>
            </w:r>
          </w:p>
        </w:tc>
        <w:tc>
          <w:tcPr>
            <w:tcW w:w="1145" w:type="dxa"/>
          </w:tcPr>
          <w:p w14:paraId="533D3D2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Испано 12МЬг (500)</w:t>
            </w:r>
          </w:p>
        </w:tc>
        <w:tc>
          <w:tcPr>
            <w:tcW w:w="1145" w:type="dxa"/>
          </w:tcPr>
          <w:p w14:paraId="6F60E58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26,5</w:t>
            </w:r>
          </w:p>
        </w:tc>
        <w:tc>
          <w:tcPr>
            <w:tcW w:w="1145" w:type="dxa"/>
          </w:tcPr>
          <w:p w14:paraId="7352416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81,0</w:t>
            </w:r>
          </w:p>
        </w:tc>
        <w:tc>
          <w:tcPr>
            <w:tcW w:w="1145" w:type="dxa"/>
          </w:tcPr>
          <w:p w14:paraId="35A3489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8,65</w:t>
            </w:r>
          </w:p>
        </w:tc>
        <w:tc>
          <w:tcPr>
            <w:tcW w:w="1145" w:type="dxa"/>
          </w:tcPr>
          <w:p w14:paraId="542553D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2700</w:t>
            </w:r>
          </w:p>
        </w:tc>
        <w:tc>
          <w:tcPr>
            <w:tcW w:w="1145" w:type="dxa"/>
          </w:tcPr>
          <w:p w14:paraId="370DA69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8500</w:t>
            </w:r>
          </w:p>
        </w:tc>
        <w:tc>
          <w:tcPr>
            <w:tcW w:w="1145" w:type="dxa"/>
          </w:tcPr>
          <w:p w14:paraId="21BD8A2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5500</w:t>
            </w:r>
          </w:p>
        </w:tc>
        <w:tc>
          <w:tcPr>
            <w:tcW w:w="1145" w:type="dxa"/>
          </w:tcPr>
          <w:p w14:paraId="7F6A186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104,5</w:t>
            </w:r>
          </w:p>
        </w:tc>
      </w:tr>
      <w:tr w:rsidR="00F26F01" w:rsidRPr="00C33834" w14:paraId="1870B78E" w14:textId="77777777">
        <w:tc>
          <w:tcPr>
            <w:tcW w:w="1145" w:type="dxa"/>
          </w:tcPr>
          <w:p w14:paraId="020F22B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Девуатин D.33</w:t>
            </w:r>
          </w:p>
        </w:tc>
        <w:tc>
          <w:tcPr>
            <w:tcW w:w="1145" w:type="dxa"/>
          </w:tcPr>
          <w:p w14:paraId="19B2D8A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Испано 12Nb (650)</w:t>
            </w:r>
          </w:p>
        </w:tc>
        <w:tc>
          <w:tcPr>
            <w:tcW w:w="1145" w:type="dxa"/>
          </w:tcPr>
          <w:p w14:paraId="7D2DB41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w:t>
            </w:r>
          </w:p>
        </w:tc>
        <w:tc>
          <w:tcPr>
            <w:tcW w:w="1145" w:type="dxa"/>
          </w:tcPr>
          <w:p w14:paraId="5D63B7A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78,0</w:t>
            </w:r>
          </w:p>
        </w:tc>
        <w:tc>
          <w:tcPr>
            <w:tcW w:w="1145" w:type="dxa"/>
          </w:tcPr>
          <w:p w14:paraId="5588F93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1145" w:type="dxa"/>
          </w:tcPr>
          <w:p w14:paraId="02CD059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3100</w:t>
            </w:r>
          </w:p>
        </w:tc>
        <w:tc>
          <w:tcPr>
            <w:tcW w:w="1145" w:type="dxa"/>
          </w:tcPr>
          <w:p w14:paraId="0E5BAF6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9200</w:t>
            </w:r>
          </w:p>
        </w:tc>
        <w:tc>
          <w:tcPr>
            <w:tcW w:w="1145" w:type="dxa"/>
          </w:tcPr>
          <w:p w14:paraId="6E648B1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5600</w:t>
            </w:r>
          </w:p>
        </w:tc>
        <w:tc>
          <w:tcPr>
            <w:tcW w:w="1145" w:type="dxa"/>
          </w:tcPr>
          <w:p w14:paraId="2239A4B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117,5</w:t>
            </w:r>
          </w:p>
        </w:tc>
      </w:tr>
      <w:tr w:rsidR="00F26F01" w:rsidRPr="00C33834" w14:paraId="33CA397E" w14:textId="77777777">
        <w:tc>
          <w:tcPr>
            <w:tcW w:w="1145" w:type="dxa"/>
            <w:tcBorders>
              <w:bottom w:val="single" w:sz="12" w:space="0" w:color="auto"/>
            </w:tcBorders>
          </w:tcPr>
          <w:p w14:paraId="373E897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Бернар-80</w:t>
            </w:r>
          </w:p>
        </w:tc>
        <w:tc>
          <w:tcPr>
            <w:tcW w:w="1145" w:type="dxa"/>
            <w:tcBorders>
              <w:bottom w:val="single" w:sz="12" w:space="0" w:color="auto"/>
            </w:tcBorders>
          </w:tcPr>
          <w:p w14:paraId="752C93F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Испано 12Nb (650)</w:t>
            </w:r>
          </w:p>
        </w:tc>
        <w:tc>
          <w:tcPr>
            <w:tcW w:w="1145" w:type="dxa"/>
            <w:tcBorders>
              <w:bottom w:val="single" w:sz="12" w:space="0" w:color="auto"/>
            </w:tcBorders>
          </w:tcPr>
          <w:p w14:paraId="4A36311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24,5</w:t>
            </w:r>
          </w:p>
        </w:tc>
        <w:tc>
          <w:tcPr>
            <w:tcW w:w="1145" w:type="dxa"/>
            <w:tcBorders>
              <w:bottom w:val="single" w:sz="12" w:space="0" w:color="auto"/>
            </w:tcBorders>
          </w:tcPr>
          <w:p w14:paraId="1C072E6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w:t>
            </w:r>
          </w:p>
        </w:tc>
        <w:tc>
          <w:tcPr>
            <w:tcW w:w="1145" w:type="dxa"/>
            <w:tcBorders>
              <w:bottom w:val="single" w:sz="12" w:space="0" w:color="auto"/>
            </w:tcBorders>
          </w:tcPr>
          <w:p w14:paraId="5A8D065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w:t>
            </w:r>
          </w:p>
        </w:tc>
        <w:tc>
          <w:tcPr>
            <w:tcW w:w="1145" w:type="dxa"/>
            <w:tcBorders>
              <w:bottom w:val="single" w:sz="12" w:space="0" w:color="auto"/>
            </w:tcBorders>
          </w:tcPr>
          <w:p w14:paraId="6F38B29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3100</w:t>
            </w:r>
          </w:p>
        </w:tc>
        <w:tc>
          <w:tcPr>
            <w:tcW w:w="1145" w:type="dxa"/>
            <w:tcBorders>
              <w:bottom w:val="single" w:sz="12" w:space="0" w:color="auto"/>
            </w:tcBorders>
          </w:tcPr>
          <w:p w14:paraId="6D27F7C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8625</w:t>
            </w:r>
          </w:p>
        </w:tc>
        <w:tc>
          <w:tcPr>
            <w:tcW w:w="1145" w:type="dxa"/>
            <w:tcBorders>
              <w:bottom w:val="single" w:sz="12" w:space="0" w:color="auto"/>
            </w:tcBorders>
          </w:tcPr>
          <w:p w14:paraId="315ABFC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1145" w:type="dxa"/>
            <w:tcBorders>
              <w:bottom w:val="single" w:sz="12" w:space="0" w:color="auto"/>
            </w:tcBorders>
          </w:tcPr>
          <w:p w14:paraId="017D023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123,0</w:t>
            </w:r>
          </w:p>
        </w:tc>
      </w:tr>
    </w:tbl>
    <w:p w14:paraId="700C5DE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Приведенные в таблице данные полетного веса и запаса горючего на самом деле имели разные значения. Так, при установлении мирового рекорда в 1933 г. полетный вес Блерио-110 указывался 9 тонн, а запас горючего составлял 6500 литров (11941).</w:t>
      </w:r>
    </w:p>
    <w:p w14:paraId="257A748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7249BF2F" w14:textId="77777777" w:rsidR="00D4328B" w:rsidRPr="00C33834" w:rsidRDefault="00D4328B"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2385F85" w14:textId="77777777" w:rsidR="00D4328B" w:rsidRPr="00C33834" w:rsidRDefault="00D4328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6395A1B" w14:textId="77777777" w:rsidR="00D4328B" w:rsidRPr="00C33834" w:rsidRDefault="00D4328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Зимой 1933 г. «СССР В-1» в ясный солнечный день вылетел в тренировочный полёт. При воз</w:t>
      </w:r>
      <w:r w:rsidRPr="00C33834">
        <w:rPr>
          <w:rFonts w:ascii="Times New Roman" w:hAnsi="Times New Roman"/>
          <w:color w:val="0070C0"/>
          <w:sz w:val="16"/>
          <w:szCs w:val="16"/>
        </w:rPr>
        <w:softHyphen/>
        <w:t>вращении на базу после захода солнца пилот по</w:t>
      </w:r>
      <w:r w:rsidRPr="00C33834">
        <w:rPr>
          <w:rFonts w:ascii="Times New Roman" w:hAnsi="Times New Roman"/>
          <w:color w:val="0070C0"/>
          <w:sz w:val="16"/>
          <w:szCs w:val="16"/>
        </w:rPr>
        <w:softHyphen/>
        <w:t>чувствовал, что корабль перетяжелён. Сброс все</w:t>
      </w:r>
      <w:r w:rsidRPr="00C33834">
        <w:rPr>
          <w:rFonts w:ascii="Times New Roman" w:hAnsi="Times New Roman"/>
          <w:color w:val="0070C0"/>
          <w:sz w:val="16"/>
          <w:szCs w:val="16"/>
        </w:rPr>
        <w:softHyphen/>
        <w:t>го имевшегося на борту балласта не уравновесил дирижабль, поэтому пилот выполнил посадку на снежный покров динамическим скользящим уда</w:t>
      </w:r>
      <w:r w:rsidRPr="00C33834">
        <w:rPr>
          <w:rFonts w:ascii="Times New Roman" w:hAnsi="Times New Roman"/>
          <w:color w:val="0070C0"/>
          <w:sz w:val="16"/>
          <w:szCs w:val="16"/>
        </w:rPr>
        <w:softHyphen/>
        <w:t>ром. «СССР В-1» не получил повреждений лишь благодаря искусству пилота, который, однако, сам создал предпосылки к аварийной ситуации, не учтя «ложную» подъёмную силу, вызванную инсоляцией газа в оболочке.</w:t>
      </w:r>
    </w:p>
    <w:p w14:paraId="21428C09" w14:textId="77777777" w:rsidR="00D4328B" w:rsidRPr="00C33834" w:rsidRDefault="00D4328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1933 г. «СССР В-1» совершил экспедицию в Севастополь. Полёт состоялся из г. Славянска, где дирижабль находился разоружённым после опытов с заменой моторов. 6 августа «СССР В-1» вылетел прямо на Мелитополь, что послужило хорошей практикой для экипажа, ранее ориенти</w:t>
      </w:r>
      <w:r w:rsidRPr="00C33834">
        <w:rPr>
          <w:rFonts w:ascii="Times New Roman" w:hAnsi="Times New Roman"/>
          <w:color w:val="0070C0"/>
          <w:sz w:val="16"/>
          <w:szCs w:val="16"/>
        </w:rPr>
        <w:softHyphen/>
        <w:t>ровавшегося по линиям железных дорог и рекам. При порывистом ветре дирижабль за 5 ч 10 мин прошёл 725 км. В Мелитополе дирижабль встре</w:t>
      </w:r>
      <w:r w:rsidRPr="00C33834">
        <w:rPr>
          <w:rFonts w:ascii="Times New Roman" w:hAnsi="Times New Roman"/>
          <w:color w:val="0070C0"/>
          <w:sz w:val="16"/>
          <w:szCs w:val="16"/>
        </w:rPr>
        <w:softHyphen/>
        <w:t>тила наземная команда. Однако горючего и сма</w:t>
      </w:r>
      <w:r w:rsidRPr="00C33834">
        <w:rPr>
          <w:rFonts w:ascii="Times New Roman" w:hAnsi="Times New Roman"/>
          <w:color w:val="0070C0"/>
          <w:sz w:val="16"/>
          <w:szCs w:val="16"/>
        </w:rPr>
        <w:softHyphen/>
        <w:t>зочных материалов для дирижабля на месте посадки не оказалось, и экипаж сам доставал ав</w:t>
      </w:r>
      <w:r w:rsidRPr="00C33834">
        <w:rPr>
          <w:rFonts w:ascii="Times New Roman" w:hAnsi="Times New Roman"/>
          <w:color w:val="0070C0"/>
          <w:sz w:val="16"/>
          <w:szCs w:val="16"/>
        </w:rPr>
        <w:softHyphen/>
        <w:t>томобильный бензин в местных организациях. Вечером того же дня, пройдя 295 км, «СССР В-1» прибыл на временную базу под Севастополем.</w:t>
      </w:r>
    </w:p>
    <w:p w14:paraId="11030106" w14:textId="77777777" w:rsidR="00D4328B" w:rsidRPr="00C33834" w:rsidRDefault="00D4328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Из Севастополя «СССР В-1» выполнил ряд по</w:t>
      </w:r>
      <w:r w:rsidRPr="00C33834">
        <w:rPr>
          <w:rFonts w:ascii="Times New Roman" w:hAnsi="Times New Roman"/>
          <w:color w:val="0070C0"/>
          <w:sz w:val="16"/>
          <w:szCs w:val="16"/>
        </w:rPr>
        <w:softHyphen/>
        <w:t>лётов над морем через прибрежные горы высо</w:t>
      </w:r>
      <w:r w:rsidRPr="00C33834">
        <w:rPr>
          <w:rFonts w:ascii="Times New Roman" w:hAnsi="Times New Roman"/>
          <w:color w:val="0070C0"/>
          <w:sz w:val="16"/>
          <w:szCs w:val="16"/>
        </w:rPr>
        <w:softHyphen/>
        <w:t>тою в 900 м, что дало опыт пилотирования над гористой местностью. В интересах Морских сил Чёрного моря корабль совершил шесть полётов общей продолжительностью 23 часа, в том чис</w:t>
      </w:r>
      <w:r w:rsidRPr="00C33834">
        <w:rPr>
          <w:rFonts w:ascii="Times New Roman" w:hAnsi="Times New Roman"/>
          <w:color w:val="0070C0"/>
          <w:sz w:val="16"/>
          <w:szCs w:val="16"/>
        </w:rPr>
        <w:softHyphen/>
        <w:t>ле — четыре ночных (20120).</w:t>
      </w:r>
    </w:p>
    <w:p w14:paraId="3B4B0F28" w14:textId="77777777" w:rsidR="00D4328B" w:rsidRPr="00C33834" w:rsidRDefault="00D4328B" w:rsidP="00C33834">
      <w:pPr>
        <w:spacing w:after="0" w:line="240" w:lineRule="auto"/>
        <w:jc w:val="both"/>
        <w:rPr>
          <w:rFonts w:ascii="Times New Roman" w:hAnsi="Times New Roman"/>
          <w:color w:val="0070C0"/>
          <w:sz w:val="16"/>
          <w:szCs w:val="16"/>
        </w:rPr>
      </w:pPr>
    </w:p>
    <w:p w14:paraId="65D5B4A9" w14:textId="77777777" w:rsidR="001031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280B220" w14:textId="77777777" w:rsidR="00103186" w:rsidRPr="00C33834" w:rsidRDefault="001031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E3E63B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Зимой-весной 1933 был изготовлен второй опытный образец саперного (мостового) танка СТ-26, первый образец который был разработан весной 1932 НИИ управления инженеров РККА на базе Т-26, изготовлен заводом им. Ворошилова и летом-осенью 1932 проходил испытания. (9527,222).</w:t>
      </w:r>
    </w:p>
    <w:p w14:paraId="2A8376F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10787ACA" w14:textId="77777777" w:rsidR="001031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90B57AB" w14:textId="77777777" w:rsidR="00103186" w:rsidRPr="00C33834" w:rsidRDefault="001031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32F357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февралю 1933 г. был изготовлен опытный образец пушки АПК-8. Вес различных вариантов пушки без боекомплекта составлял 375–400 кг. Основным выстрелом пушки была стержневая шрапнель весом 8,0–8,2 кг, но мог применяться и осколочный снаряд. Выстрел унитарный, гильза из нитроткани. Заряд 2,1 кг пороха Г248. Практическая скорострельность 25 выстр/мин. Курчевский в проекте указывал дальность стрельбы 8 км, а в другом месте — 10 км. Естественно, что при стрельбе с самолета по воздушным целям на таких дистанциях вероятность попадания была равна нулю. Кроме дальнего пушечного истребителя (ДИПа), предполагалась установка двух АПК-8 под крылом ТБ-3. Разработка ДИПа началась лишь в 1933 г., после получения в декабре 1932 г. уточненных тактико-технических требований от ВВС.</w:t>
      </w:r>
    </w:p>
    <w:p w14:paraId="05237AF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ДИП создавался по схеме двухдвигательного моноплана с низкорасположенным крылом. Разработка и совершенствование цельнометаллического двухмоторного самолета, выполненного по такой схеме и имеющего убирающиеся шасси, гладкую обшивку и закрытые кабины экипажа, велись в КБ ЦАГИ с весны 1931 г. Первым таким аппаратом стал многоместный истребитель Ми-3 (АНТ-21), полеты которого начались с мая 1933 г. ДИП во многом, с некоторым уменьшением размеров, повторял Ми-3. Основным отличием ДИП стала установка 102-мм АПК-8 в нижней части фюзеляжа. Пушка проходила сквозь фюзеляж, выступая в передней части лотком перезарядки. В задней части за хвостовое оперение выходило сопло отвода пороховых газов. Экипаж из двух человек, по сути, сидел верхом на этой пушке. АПК-8 имела боезапас 16 снарядов: из них 6 находились в трубчатом магазине, еще 10 устанавливались в дополнительной кассете. Стрелковое вооружение состояло из двух пулеметов ШКАС В центроплане (без синхронизации) и одного ШКАС на турели ТУР-9 у стрелка.</w:t>
      </w:r>
    </w:p>
    <w:p w14:paraId="3D32047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Поначалу ДИП предполагалось оснастить двумя двигателями М-34, однако уже в ходе постройки на самолет установили два двигателя «Испано-Сюиза 12», которые были собраны на Рыбинском моторостроительном заводе из французских деталей. Воздушные винты поначалу деревянные диаметром 3,4 м, в ходе испытаний были заменены на трехлопастные металлические фирмы «Ратье» с переменным шагом на земле (12091).</w:t>
      </w:r>
    </w:p>
    <w:p w14:paraId="42E1364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54ECD3E1" w14:textId="77777777" w:rsidR="002F34E6" w:rsidRPr="00C33834" w:rsidRDefault="002F34E6"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C894983" w14:textId="77777777" w:rsidR="002F34E6" w:rsidRPr="00C33834" w:rsidRDefault="002F34E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9D5FA35" w14:textId="77777777" w:rsidR="002F34E6" w:rsidRPr="00C33834" w:rsidRDefault="002F34E6"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К февралю 1933 подготовили эскизный проект артиллерийского танка, получившего обозначение Т-26-4, началась работа над чертежами. В августе изготовили опытную машину, которая испытывалась до конца 1933 года. К моменту окончания испытаний ОКМО уже прекратил своё существование. На базе ОКМО к 1 ноября 1933 года организовали опытный завод №185 им. Ворошилова, директором которого стал Н.В. Барыков, до того находившийся в руководстве ОКМО.</w:t>
      </w:r>
    </w:p>
    <w:p w14:paraId="00ECB85F" w14:textId="77777777" w:rsidR="002F34E6" w:rsidRPr="00C33834" w:rsidRDefault="002F34E6"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Параллельно ОКМО разрабатывал 76-мм танковую пушку ПС-3 — работы шли под руководством П.Н. Сячинтова. Помимо большей, чем у полковой пушки образца 1927 года, длины ствола, ПС-3 выгодно отличалась меньшей длиной отката — 420 мм против 500 мм. Кроме того, на ПС-3 использовались унитарные патроны от 76-мм полевой пушки образца 1902 года. В связи с этим существует заблуждение, что на Т-26-4 ставилась именно ПС-3, но это не совсем так.</w:t>
      </w:r>
    </w:p>
    <w:p w14:paraId="1469C452" w14:textId="77777777" w:rsidR="002F34E6" w:rsidRPr="00C33834" w:rsidRDefault="002F34E6"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Как и на предыдущих проектах, танк оборудовался 76-мм полковой пушкой с укороченной до 500 мм длиной отката. На нём действительно испытали ПС-3, при этом обнаружились проблемы с крышей башни и прочностью ходовой части. Также предполагалась установка ПС-3 на серийные Т-26-4, но на практике из пяти выпущенных Т-26-4 орудие ПС-3 поставили только на три (и то этот факт под вопросом). Далее выпуск Т-26-4 прекратился — эта машина стала первой жертвой ПС-3, чьё производство всё ещё не было налажено. Последние данные по этому танку датированы 1935 годом — к тому времени ОКМО вовсю работало над совсем другой машиной. Впервые она появилась в переписке с января 1934 года (19671).</w:t>
      </w:r>
    </w:p>
    <w:p w14:paraId="389D2CEC" w14:textId="77777777" w:rsidR="002F34E6" w:rsidRPr="00C33834" w:rsidRDefault="002F34E6" w:rsidP="00C33834">
      <w:pPr>
        <w:pStyle w:val="ae"/>
        <w:shd w:val="clear" w:color="auto" w:fill="FFFFFF"/>
        <w:spacing w:before="0" w:after="0"/>
        <w:jc w:val="both"/>
        <w:textAlignment w:val="baseline"/>
        <w:rPr>
          <w:color w:val="000000" w:themeColor="text1"/>
          <w:sz w:val="16"/>
          <w:szCs w:val="16"/>
        </w:rPr>
      </w:pPr>
    </w:p>
    <w:p w14:paraId="00D12262" w14:textId="77777777" w:rsidR="00103186"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7220ADB7" w14:textId="77777777" w:rsidR="00103186" w:rsidRPr="00C33834" w:rsidRDefault="001031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AB5347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февралю 1933 г. в ВВС числились даже семь эскадрилий Р-6. Но полностью была укомплектована всего одна, 55-я в Хабаровске. 45-я эскадрилья в Монино имела шесть самолетов, 21-я в Воронеже и 92-я в Кречевицах - по четыре. Три эскадрильи (102-я во Ржеве, 17-я в Се- ще и 35-я в Запорожье) существовали фактически только на бумаге - летать им было не на чем. А ведь предстояло оснастить Р-6 дальнеразведывательные части и морскую авиацию, тоже имевшую на "крейсера" свои виды (12036).</w:t>
      </w:r>
    </w:p>
    <w:p w14:paraId="44AA059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49A5DF6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Реально к февралю 1933 г. в ВВС РККА числились даже семь эскадрилий Р-6, именовавшихся теперь крейсерскими. Но полностью была укомплектована только одна, 55-я краэ в Хабаровске, входив-шая в ВВС ОКДВА. 45-я карэ в Монино имела шесть машин, 21-я в Воронеже и 92-я в Кречевицах - по четыре. Три эскадрильи: 102-я во Ржеве, 17-я в Сеще и 35-я в Запорожье существовали только на бумаге - летать им было не на чем. А ведь предстояло оснастить Р-6 ещё и дальнеразведывательные части и мор-скую авиацию, имевшую на «крейсера» свои виды.</w:t>
      </w:r>
    </w:p>
    <w:p w14:paraId="7B775E6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Освоение Р-6 проходило довольно легко. Этому способствовала «покла-дистость» машины в пилотировании. Инструкция по эксплуатации констати-ровала: «Взлетает самолёт просто и никаких ненормальных тенденций нет... Во время полёта на всех высотах само-лёт в продольном отношении устойчив на всех режимах... На вираже самолёт устойчив, хорошо управляем и легко на-бирает высоту».</w:t>
      </w:r>
    </w:p>
    <w:p w14:paraId="2D6EAC21"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Немецкие моторы были надёжнее и немного мощнее отечественных, и их обычно ставили на командирские маши-ны. Но на ВМ\/\/ VI иногда обламывался носок вала, улетавший вместе с винтом, а самолёт ждала вынужденная посадка с асимметрией тяги. Потом выяснилось, что виноваты не немецкие двигатели, а советские винты, изготовлявшиеся с очень большими допусками. Они болтались на валу, создавая наклёп, а уж последний приводил к разрушению носка.</w:t>
      </w:r>
    </w:p>
    <w:p w14:paraId="09CE45B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Манёвренность Р-6 как на горизонта-лях, так и на вертикалях была весьма ограниченной, примерно на уровне «стар-шего брата» - ТБ-1, и совершенно не-приемлемой для истребителя. «Из фигур высшего пилотажа... самолёт допускает только пикирование». Угол пикирования составлял не более 60°. При резком выхо-де из пике начиналась тряска, отмечались деформации хвостовой части фюзеляжа. Правда, на «крейсере» пробовали делать даже петли, но тут же столкнулись с по-ломкой колонки руля направления.</w:t>
      </w:r>
    </w:p>
    <w:p w14:paraId="4955E54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Недостаточный обзор на рулении, осо-бенно вправо (место пилота было смеще-но влево), приводил к поломкам костыля при движении по неровным площадкам. При крутых разворотах наблюдались слу-чаи смятия костылём нижних лонжеронов фюзеляжа. Техники жаловались на не-удобный доступ к ряду деталей и узлов, затруднявший ремонт и регулировку. Из поломок чаще всего отмечались трещины в кронштейне колонки руля направления и в переднем узле крепления стабили-затора. Подобные жалобы, например, поступили из 20-й бригады в Харькове в сентябре 1932 г. (там повредили подряд три машины, а потом ещё одну). Но на-ибольший процент отказов приходился на мотоустановку и радиостанцию.</w:t>
      </w:r>
    </w:p>
    <w:p w14:paraId="7F4AE163"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Нерациональным признали комплек-тование экипажа. Первоначально в его состав входил «стрелок-моторист», об-служивавший заднюю турель. Он нахо-дился возле радиостанции, но работать на ней не умел. Поэтому в частях стали сажать вместо него стрелка-радиста. Это делали сначала только на командирских самолётах, а потом на всех прочих.</w:t>
      </w:r>
    </w:p>
    <w:p w14:paraId="76B57D0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Зимой замерзали приборы - указатели скорости, поворота и скольжения («Пи-онер»).</w:t>
      </w:r>
    </w:p>
    <w:p w14:paraId="2B8BB07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Очень много претензий высказывали по поводу низкого качества окраски. Краска быстро шелушилась и отпадала. Старые лаки, подходившие для дерева и полот-на, не годились для металла. Машины приходилось часто подкрашивать и пе-рекрашивать. Справились с этим, только перейдя на новые эмали.</w:t>
      </w:r>
    </w:p>
    <w:p w14:paraId="28FCD2F7"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подъёме к потолку, выше 5000 м, Р-6 становился инертным, разворачи-ваться приходилось «блинчиком», с кре-ном не более 45° (12264).</w:t>
      </w:r>
    </w:p>
    <w:p w14:paraId="06362780" w14:textId="77777777" w:rsidR="002E1BE7" w:rsidRPr="00C33834" w:rsidRDefault="002E1BE7" w:rsidP="00C33834">
      <w:pPr>
        <w:spacing w:after="0" w:line="240" w:lineRule="auto"/>
        <w:jc w:val="both"/>
        <w:rPr>
          <w:rFonts w:ascii="Times New Roman" w:hAnsi="Times New Roman"/>
          <w:color w:val="000000" w:themeColor="text1"/>
          <w:sz w:val="16"/>
          <w:szCs w:val="16"/>
        </w:rPr>
      </w:pPr>
    </w:p>
    <w:p w14:paraId="6695FDD7" w14:textId="77777777" w:rsidR="001031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337FE9E" w14:textId="77777777" w:rsidR="00103186" w:rsidRPr="00C33834" w:rsidRDefault="001031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62FC14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февраля 1933 начались работы по АНТ-20 МГ (514).</w:t>
      </w:r>
    </w:p>
    <w:p w14:paraId="6115838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11638C44" w14:textId="77777777" w:rsidR="003F580B" w:rsidRPr="00C33834" w:rsidRDefault="003F580B" w:rsidP="00C33834">
      <w:pPr>
        <w:pStyle w:val="a3"/>
        <w:rPr>
          <w:color w:val="000000" w:themeColor="text1"/>
          <w:lang w:val="ru-RU"/>
        </w:rPr>
      </w:pPr>
      <w:r w:rsidRPr="00C33834">
        <w:rPr>
          <w:color w:val="000000" w:themeColor="text1"/>
          <w:lang w:val="ru-RU"/>
        </w:rPr>
        <w:t>1 февраля 1933 г. датирован чертеж Т-3 Вахмистрова. В начале 1933 г. Вахмистров выполнил предварительный проект самолета Т-3 («тягач звена»). Это был хорошо обте</w:t>
      </w:r>
      <w:r w:rsidRPr="00C33834">
        <w:rPr>
          <w:color w:val="000000" w:themeColor="text1"/>
          <w:lang w:val="ru-RU"/>
        </w:rPr>
        <w:softHyphen/>
        <w:t>каемый моноплан с мощным мотором водяного охлаждения, занимавшим чуть ли не половину фюзеляжа. Пилотская кабина, закрытая прозрачным фонарем, была оттеснена к самому хвосту. Маши</w:t>
      </w:r>
      <w:r w:rsidRPr="00C33834">
        <w:rPr>
          <w:color w:val="000000" w:themeColor="text1"/>
          <w:lang w:val="ru-RU"/>
        </w:rPr>
        <w:softHyphen/>
        <w:t>на отличалась непропорционально уз</w:t>
      </w:r>
      <w:r w:rsidRPr="00C33834">
        <w:rPr>
          <w:color w:val="000000" w:themeColor="text1"/>
          <w:lang w:val="ru-RU"/>
        </w:rPr>
        <w:softHyphen/>
        <w:t>ким и высоким неубирающимся шасси. Узким его сделали, чтобы колея не пре</w:t>
      </w:r>
      <w:r w:rsidRPr="00C33834">
        <w:rPr>
          <w:color w:val="000000" w:themeColor="text1"/>
          <w:lang w:val="ru-RU"/>
        </w:rPr>
        <w:softHyphen/>
        <w:t>вышала ширину фюзеляжа ТБ-3, а вы</w:t>
      </w:r>
      <w:r w:rsidRPr="00C33834">
        <w:rPr>
          <w:color w:val="000000" w:themeColor="text1"/>
          <w:lang w:val="ru-RU"/>
        </w:rPr>
        <w:softHyphen/>
        <w:t>соким - чтобы использовать винт боль</w:t>
      </w:r>
      <w:r w:rsidRPr="00C33834">
        <w:rPr>
          <w:color w:val="000000" w:themeColor="text1"/>
          <w:lang w:val="ru-RU"/>
        </w:rPr>
        <w:softHyphen/>
        <w:t xml:space="preserve">шого диаметра, потребный для снятия всей мощности с большого двигателя. </w:t>
      </w:r>
    </w:p>
    <w:p w14:paraId="3308C55A" w14:textId="77777777" w:rsidR="003F580B" w:rsidRPr="00C33834" w:rsidRDefault="003F580B" w:rsidP="00C33834">
      <w:pPr>
        <w:pStyle w:val="a3"/>
        <w:rPr>
          <w:color w:val="000000" w:themeColor="text1"/>
          <w:lang w:val="ru-RU"/>
        </w:rPr>
      </w:pPr>
      <w:r w:rsidRPr="00C33834">
        <w:rPr>
          <w:color w:val="000000" w:themeColor="text1"/>
          <w:lang w:val="ru-RU"/>
        </w:rPr>
        <w:t>Но практические эксперименты в этом направлении провели только в фев</w:t>
      </w:r>
      <w:r w:rsidRPr="00C33834">
        <w:rPr>
          <w:color w:val="000000" w:themeColor="text1"/>
          <w:lang w:val="ru-RU"/>
        </w:rPr>
        <w:softHyphen/>
        <w:t>рале 1935 г., используя элементы «Зве</w:t>
      </w:r>
      <w:r w:rsidRPr="00C33834">
        <w:rPr>
          <w:color w:val="000000" w:themeColor="text1"/>
          <w:lang w:val="ru-RU"/>
        </w:rPr>
        <w:softHyphen/>
        <w:t>на-2». Над фюзеляжем ТБ-3 с моторами М-17 установили полуразобранный ста</w:t>
      </w:r>
      <w:r w:rsidRPr="00C33834">
        <w:rPr>
          <w:color w:val="000000" w:themeColor="text1"/>
          <w:lang w:val="ru-RU"/>
        </w:rPr>
        <w:softHyphen/>
        <w:t>рый истребитель И-5. На последнем от</w:t>
      </w:r>
      <w:r w:rsidRPr="00C33834">
        <w:rPr>
          <w:color w:val="000000" w:themeColor="text1"/>
          <w:lang w:val="ru-RU"/>
        </w:rPr>
        <w:softHyphen/>
        <w:t>сутствовали коробка крыльев, оперение, колеса, костыль и кок винта. Вахмистров сначала хотел сделать тросовое управле</w:t>
      </w:r>
      <w:r w:rsidRPr="00C33834">
        <w:rPr>
          <w:color w:val="000000" w:themeColor="text1"/>
          <w:lang w:val="ru-RU"/>
        </w:rPr>
        <w:softHyphen/>
        <w:t>ние карбюратором мотора М-22 на этом «недоистребителе», чтобы обойтись без моториста, но потом решил сперва по</w:t>
      </w:r>
      <w:r w:rsidRPr="00C33834">
        <w:rPr>
          <w:color w:val="000000" w:themeColor="text1"/>
          <w:lang w:val="ru-RU"/>
        </w:rPr>
        <w:softHyphen/>
        <w:t>пробовать по</w:t>
      </w:r>
      <w:r w:rsidRPr="00C33834">
        <w:rPr>
          <w:color w:val="000000" w:themeColor="text1"/>
          <w:lang w:val="ru-RU"/>
        </w:rPr>
        <w:softHyphen/>
        <w:t>пробовать с летчиком в кабине. В таком варианте «тягач» весил 975 кг. вместе с управлявшим дополнительным двигате</w:t>
      </w:r>
      <w:r w:rsidRPr="00C33834">
        <w:rPr>
          <w:color w:val="000000" w:themeColor="text1"/>
          <w:lang w:val="ru-RU"/>
        </w:rPr>
        <w:softHyphen/>
        <w:t>лем человеком.</w:t>
      </w:r>
    </w:p>
    <w:p w14:paraId="7287CD75" w14:textId="77777777" w:rsidR="003F580B" w:rsidRPr="00C33834" w:rsidRDefault="003F580B" w:rsidP="00C33834">
      <w:pPr>
        <w:pStyle w:val="a3"/>
        <w:rPr>
          <w:color w:val="000000" w:themeColor="text1"/>
          <w:lang w:val="ru-RU"/>
        </w:rPr>
      </w:pPr>
      <w:r w:rsidRPr="00C33834">
        <w:rPr>
          <w:color w:val="000000" w:themeColor="text1"/>
          <w:lang w:val="ru-RU"/>
        </w:rPr>
        <w:t>Этим человеком стал испытатель С.П. Супрун. ТБ-3 пилотировали П.М. Сте- фановский и М.А. Нюхтиков. Испытания показали, что максимальная скорость немного выросла, достигнув 208 км/ч, потолок вместо 3500 м стал равняться 3850 м. Существенно улучшилась скоро</w:t>
      </w:r>
      <w:r w:rsidRPr="00C33834">
        <w:rPr>
          <w:color w:val="000000" w:themeColor="text1"/>
          <w:lang w:val="ru-RU"/>
        </w:rPr>
        <w:softHyphen/>
        <w:t>подъемность: подъем на высоту 3000 м занимал 28 мин вместо 35,7 мин. А вот время подъема на практический потолок почему-то увеличилось до 63,7 мин (было 57,6 мин).</w:t>
      </w:r>
    </w:p>
    <w:p w14:paraId="5EE1F172" w14:textId="77777777" w:rsidR="003F580B" w:rsidRPr="00C33834" w:rsidRDefault="003F580B" w:rsidP="00C33834">
      <w:pPr>
        <w:pStyle w:val="a3"/>
        <w:rPr>
          <w:color w:val="000000" w:themeColor="text1"/>
          <w:lang w:val="ru-RU"/>
        </w:rPr>
      </w:pPr>
      <w:r w:rsidRPr="00C33834">
        <w:rPr>
          <w:color w:val="000000" w:themeColor="text1"/>
          <w:lang w:val="ru-RU"/>
        </w:rPr>
        <w:t>На поведение ТБ-3 в воздухе «над</w:t>
      </w:r>
      <w:r w:rsidRPr="00C33834">
        <w:rPr>
          <w:color w:val="000000" w:themeColor="text1"/>
          <w:lang w:val="ru-RU"/>
        </w:rPr>
        <w:softHyphen/>
        <w:t>стройка» практически не повлияла, хотя на виражах отметили продольные ко</w:t>
      </w:r>
      <w:r w:rsidRPr="00C33834">
        <w:rPr>
          <w:color w:val="000000" w:themeColor="text1"/>
          <w:lang w:val="ru-RU"/>
        </w:rPr>
        <w:softHyphen/>
        <w:t>лебания «тягача». Но здесь сказывалось недостаточно жесткое его крепление - установка-то считалась временной. Вых</w:t>
      </w:r>
      <w:r w:rsidRPr="00C33834">
        <w:rPr>
          <w:color w:val="000000" w:themeColor="text1"/>
          <w:lang w:val="ru-RU"/>
        </w:rPr>
        <w:softHyphen/>
        <w:t>лопные газы сверху заносило в пилот</w:t>
      </w:r>
      <w:r w:rsidRPr="00C33834">
        <w:rPr>
          <w:color w:val="000000" w:themeColor="text1"/>
          <w:lang w:val="ru-RU"/>
        </w:rPr>
        <w:softHyphen/>
        <w:t>скую кабину ТБ-3. Садился бомбардиров</w:t>
      </w:r>
      <w:r w:rsidRPr="00C33834">
        <w:rPr>
          <w:color w:val="000000" w:themeColor="text1"/>
          <w:lang w:val="ru-RU"/>
        </w:rPr>
        <w:softHyphen/>
        <w:t>щик с выключенным мотором М-22.</w:t>
      </w:r>
    </w:p>
    <w:p w14:paraId="1CF88AA4" w14:textId="77777777" w:rsidR="003F580B" w:rsidRPr="00C33834" w:rsidRDefault="003F580B" w:rsidP="00C33834">
      <w:pPr>
        <w:pStyle w:val="a3"/>
        <w:rPr>
          <w:color w:val="000000" w:themeColor="text1"/>
          <w:lang w:val="ru-RU"/>
        </w:rPr>
      </w:pPr>
      <w:r w:rsidRPr="00C33834">
        <w:rPr>
          <w:color w:val="000000" w:themeColor="text1"/>
          <w:lang w:val="ru-RU"/>
        </w:rPr>
        <w:t>В целом пришли к выводу, что «на</w:t>
      </w:r>
      <w:r w:rsidRPr="00C33834">
        <w:rPr>
          <w:color w:val="000000" w:themeColor="text1"/>
          <w:lang w:val="ru-RU"/>
        </w:rPr>
        <w:softHyphen/>
        <w:t>вар» невелик. Но ведь вся установка яв</w:t>
      </w:r>
      <w:r w:rsidRPr="00C33834">
        <w:rPr>
          <w:color w:val="000000" w:themeColor="text1"/>
          <w:lang w:val="ru-RU"/>
        </w:rPr>
        <w:softHyphen/>
        <w:t>лялась чистой импровизацией. Никто не согласовывал характеристики моторов и винтов, просто хотели проверить инте</w:t>
      </w:r>
      <w:r w:rsidRPr="00C33834">
        <w:rPr>
          <w:color w:val="000000" w:themeColor="text1"/>
          <w:lang w:val="ru-RU"/>
        </w:rPr>
        <w:softHyphen/>
        <w:t>ресную идею.</w:t>
      </w:r>
    </w:p>
    <w:p w14:paraId="05EB8275" w14:textId="77777777" w:rsidR="003F580B" w:rsidRPr="00C33834" w:rsidRDefault="003F580B" w:rsidP="00C33834">
      <w:pPr>
        <w:pStyle w:val="a3"/>
        <w:rPr>
          <w:color w:val="000000" w:themeColor="text1"/>
          <w:lang w:val="ru-RU"/>
        </w:rPr>
      </w:pPr>
      <w:r w:rsidRPr="00C33834">
        <w:rPr>
          <w:color w:val="000000" w:themeColor="text1"/>
          <w:lang w:val="ru-RU"/>
        </w:rPr>
        <w:t>Чуть позже Вахмистров предложил использовать не самолет-тягач, а быстросъемную дополнительную мотоуста</w:t>
      </w:r>
      <w:r w:rsidRPr="00C33834">
        <w:rPr>
          <w:color w:val="000000" w:themeColor="text1"/>
          <w:lang w:val="ru-RU"/>
        </w:rPr>
        <w:softHyphen/>
        <w:t xml:space="preserve">новку. Ее можно было бы монтировать </w:t>
      </w:r>
      <w:r w:rsidRPr="00C33834">
        <w:rPr>
          <w:rStyle w:val="82"/>
          <w:rFonts w:ascii="Times New Roman" w:hAnsi="Times New Roman" w:cs="Times New Roman"/>
          <w:color w:val="000000" w:themeColor="text1"/>
          <w:sz w:val="16"/>
          <w:szCs w:val="16"/>
          <w:lang w:val="ru-RU"/>
        </w:rPr>
        <w:t>црм</w:t>
      </w:r>
      <w:r w:rsidRPr="00C33834">
        <w:rPr>
          <w:color w:val="000000" w:themeColor="text1"/>
          <w:lang w:val="ru-RU"/>
        </w:rPr>
        <w:t xml:space="preserve"> выполнении определенных заданий, </w:t>
      </w:r>
      <w:r w:rsidRPr="00C33834">
        <w:rPr>
          <w:rStyle w:val="82"/>
          <w:rFonts w:ascii="Times New Roman" w:hAnsi="Times New Roman" w:cs="Times New Roman"/>
          <w:i w:val="0"/>
          <w:color w:val="000000" w:themeColor="text1"/>
          <w:sz w:val="16"/>
          <w:szCs w:val="16"/>
          <w:lang w:val="ru-RU"/>
        </w:rPr>
        <w:t>требовавших</w:t>
      </w:r>
      <w:r w:rsidRPr="00C33834">
        <w:rPr>
          <w:color w:val="000000" w:themeColor="text1"/>
          <w:lang w:val="ru-RU"/>
        </w:rPr>
        <w:t xml:space="preserve"> взлета с перегрузкой, а п</w:t>
      </w:r>
      <w:r w:rsidRPr="00C33834">
        <w:rPr>
          <w:rStyle w:val="910"/>
          <w:rFonts w:ascii="Times New Roman" w:hAnsi="Times New Roman" w:cs="Times New Roman"/>
          <w:b w:val="0"/>
          <w:color w:val="000000" w:themeColor="text1"/>
          <w:spacing w:val="0"/>
          <w:sz w:val="16"/>
          <w:szCs w:val="16"/>
          <w:lang w:val="ru-RU"/>
        </w:rPr>
        <w:t xml:space="preserve">ри </w:t>
      </w:r>
      <w:r w:rsidRPr="00C33834">
        <w:rPr>
          <w:color w:val="000000" w:themeColor="text1"/>
          <w:lang w:val="ru-RU"/>
        </w:rPr>
        <w:t xml:space="preserve">отсутствии надобности - снимать. </w:t>
      </w:r>
      <w:r w:rsidRPr="00C33834">
        <w:rPr>
          <w:rStyle w:val="910"/>
          <w:rFonts w:ascii="Times New Roman" w:hAnsi="Times New Roman" w:cs="Times New Roman"/>
          <w:b w:val="0"/>
          <w:color w:val="000000" w:themeColor="text1"/>
          <w:spacing w:val="0"/>
          <w:sz w:val="16"/>
          <w:szCs w:val="16"/>
          <w:lang w:val="ru-RU"/>
        </w:rPr>
        <w:t>Но и</w:t>
      </w:r>
      <w:r w:rsidRPr="00C33834">
        <w:rPr>
          <w:rStyle w:val="82"/>
          <w:rFonts w:ascii="Times New Roman" w:hAnsi="Times New Roman" w:cs="Times New Roman"/>
          <w:color w:val="000000" w:themeColor="text1"/>
          <w:sz w:val="16"/>
          <w:szCs w:val="16"/>
          <w:lang w:val="ru-RU"/>
        </w:rPr>
        <w:t xml:space="preserve"> эта</w:t>
      </w:r>
      <w:r w:rsidRPr="00C33834">
        <w:rPr>
          <w:color w:val="000000" w:themeColor="text1"/>
          <w:lang w:val="ru-RU"/>
        </w:rPr>
        <w:t xml:space="preserve"> концепция осталась нереализованной (17741).</w:t>
      </w:r>
    </w:p>
    <w:p w14:paraId="36F883EB" w14:textId="77777777" w:rsidR="003F580B" w:rsidRPr="00C33834" w:rsidRDefault="003F580B" w:rsidP="00C33834">
      <w:pPr>
        <w:pStyle w:val="a3"/>
        <w:rPr>
          <w:color w:val="000000" w:themeColor="text1"/>
          <w:lang w:val="ru-RU"/>
        </w:rPr>
      </w:pPr>
    </w:p>
    <w:p w14:paraId="76E997CC" w14:textId="77777777" w:rsidR="005B4B1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A716D9C" w14:textId="77777777" w:rsidR="005B4B1E" w:rsidRPr="00C33834" w:rsidRDefault="005B4B1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C86E74A" w14:textId="77777777" w:rsidR="005B4B1E" w:rsidRPr="00C33834" w:rsidRDefault="005B4B1E" w:rsidP="00C33834">
      <w:pPr>
        <w:pStyle w:val="rtejustify"/>
        <w:spacing w:before="0" w:after="0"/>
        <w:rPr>
          <w:color w:val="000000" w:themeColor="text1"/>
          <w:sz w:val="16"/>
          <w:szCs w:val="16"/>
        </w:rPr>
      </w:pPr>
      <w:r w:rsidRPr="00C33834">
        <w:rPr>
          <w:rStyle w:val="af0"/>
          <w:bCs/>
          <w:i w:val="0"/>
          <w:color w:val="000000" w:themeColor="text1"/>
          <w:sz w:val="16"/>
          <w:szCs w:val="16"/>
        </w:rPr>
        <w:t xml:space="preserve">1 февраля </w:t>
      </w:r>
      <w:r w:rsidRPr="00C33834">
        <w:rPr>
          <w:color w:val="000000" w:themeColor="text1"/>
          <w:sz w:val="16"/>
          <w:szCs w:val="16"/>
        </w:rPr>
        <w:t xml:space="preserve">1933. Протокол заседания Политбюро ЦК ВКП (б) № 129. </w:t>
      </w:r>
      <w:hyperlink r:id="rId56" w:anchor="showunit&amp;id=85513" w:history="1">
        <w:r w:rsidRPr="00C33834">
          <w:rPr>
            <w:rStyle w:val="a5"/>
            <w:color w:val="000000" w:themeColor="text1"/>
            <w:sz w:val="16"/>
            <w:szCs w:val="16"/>
            <w:u w:val="none"/>
          </w:rPr>
          <w:t>20/1. Вопросы комиссии Молотова (о внешнеторговых переговорах с Клекнером)</w:t>
        </w:r>
      </w:hyperlink>
      <w:r w:rsidRPr="00C33834">
        <w:rPr>
          <w:color w:val="000000" w:themeColor="text1"/>
          <w:sz w:val="16"/>
          <w:szCs w:val="16"/>
        </w:rPr>
        <w:t xml:space="preserve"> (ПБ от 17 января 1933 г.). — ОП. Решено: а) Выделить для переговоров с Кленксом, на условиях Вольфа, 150 тысяч тонн проката сверх 13 тысяч тонн, частично заказанных и заказываемых по контингенту 1 квартала, и 40 тысяч тонн качественных сталей (также на условиях Вольфа). б) Увеличить импортный контингент 1 квартала по прокату до 100 тысяч тонн. </w:t>
      </w:r>
      <w:hyperlink r:id="rId57" w:anchor="showunit&amp;id=85568" w:history="1">
        <w:r w:rsidRPr="00C33834">
          <w:rPr>
            <w:rStyle w:val="a5"/>
            <w:color w:val="000000" w:themeColor="text1"/>
            <w:sz w:val="16"/>
            <w:szCs w:val="16"/>
            <w:u w:val="none"/>
          </w:rPr>
          <w:t>70/52. О программе производства автомашин на Горьковском автозаводе</w:t>
        </w:r>
      </w:hyperlink>
      <w:r w:rsidRPr="00C33834">
        <w:rPr>
          <w:color w:val="000000" w:themeColor="text1"/>
          <w:sz w:val="16"/>
          <w:szCs w:val="16"/>
        </w:rPr>
        <w:t xml:space="preserve"> (ПБ от 29 января 1933 г.). Решено: 1. Признать необходимым, изменить программу производства легковых машин на Горьковском автозаводе, доведя ее в 1933 году до 10 тысяч машин, сократив соответственно производство грузовых машин. 2. Выделить 6 тысяч машин для села (для предов госкомиссии по определению урожайности, для райкомов, политотделов МТС и совхозов). 3. Предложить Молотову провести в 3</w:t>
      </w:r>
      <w:r w:rsidRPr="00C33834">
        <w:rPr>
          <w:color w:val="000000" w:themeColor="text1"/>
          <w:sz w:val="16"/>
          <w:szCs w:val="16"/>
        </w:rPr>
        <w:noBreakHyphen/>
        <w:t xml:space="preserve">дневный срок пункт первый данного постановления и определить календарные сроки проведения пункта второго. </w:t>
      </w:r>
      <w:hyperlink r:id="rId58" w:anchor="showunit&amp;id=85573" w:history="1">
        <w:r w:rsidRPr="00C33834">
          <w:rPr>
            <w:rStyle w:val="a5"/>
            <w:color w:val="000000" w:themeColor="text1"/>
            <w:sz w:val="16"/>
            <w:szCs w:val="16"/>
            <w:u w:val="none"/>
          </w:rPr>
          <w:t>75/57. План производства и распределения черных и цветных металлов на 1 квартал 1933 г.</w:t>
        </w:r>
      </w:hyperlink>
      <w:r w:rsidRPr="00C33834">
        <w:rPr>
          <w:color w:val="000000" w:themeColor="text1"/>
          <w:sz w:val="16"/>
          <w:szCs w:val="16"/>
        </w:rPr>
        <w:t xml:space="preserve"> (ПБ от 16 сентября 1932 г., пр. № 116, п. 30а). Решено: Вопрос передать на рассмотрение в СТО. 99/81. О ремонте тракторов и производстве запасных частей (ПБ от 24 января 1933 г., пр. № 29, п. 31рс). Решено: Утвердить проекты постановлений ЦК и СНК СССР: 1) Постановление ЦК и СНК СССР № 1 («Правда» от 30</w:t>
      </w:r>
      <w:r w:rsidRPr="00C33834">
        <w:rPr>
          <w:color w:val="000000" w:themeColor="text1"/>
          <w:sz w:val="16"/>
          <w:szCs w:val="16"/>
        </w:rPr>
        <w:noBreakHyphen/>
        <w:t>1</w:t>
      </w:r>
      <w:r w:rsidRPr="00C33834">
        <w:rPr>
          <w:color w:val="000000" w:themeColor="text1"/>
          <w:sz w:val="16"/>
          <w:szCs w:val="16"/>
        </w:rPr>
        <w:noBreakHyphen/>
        <w:t>1933); 2) Постановление ЦК и СНК СССР № 2; 3) Постановление ЦК и СНК СССР № 3; 4) Постановление ЦК и СНК СССР № 4; 5) Постановление ЦК (15462).</w:t>
      </w:r>
    </w:p>
    <w:p w14:paraId="0E63F833" w14:textId="77777777" w:rsidR="005B4B1E" w:rsidRPr="00C33834" w:rsidRDefault="005B4B1E" w:rsidP="00C33834">
      <w:pPr>
        <w:pStyle w:val="rtejustify"/>
        <w:spacing w:before="0" w:after="0"/>
        <w:rPr>
          <w:color w:val="000000" w:themeColor="text1"/>
          <w:sz w:val="16"/>
          <w:szCs w:val="16"/>
        </w:rPr>
      </w:pPr>
    </w:p>
    <w:p w14:paraId="2C3568D0" w14:textId="77777777" w:rsidR="000259E5" w:rsidRPr="00C33834" w:rsidRDefault="000259E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 1 февраля 1933 г. в Ижевске был закончен механосборочный корпус на 2600 м2 и «приспособлены для всех прочих цехов помещения старой оружейной фабрики». В отличие от Ижастальзавода, Иомза имел неудовлетворительное оснащение оборудованием, а также весь период деятельности испытывал жесткий дефицит кадров. Поэтому к 1 мая 1933 г. из десяти запланированных удалось собрать лишь четыре мотоцикла НАТИ-А-750 и только два из них с коляской. В виду слабой оснащенности завода как временную меру для его загрузки, решили организовать изготовление «советских Декаве»: «…до момента освоения технологического процесса мотоциклов НАТИ-А 750 л.с. ИОМЗА со второго квартала 1933 г. будет строить мотоциклы «Л-300». В 1933 г. по программе завод должен дать стране 600 мотоциклов и 400 моторов». Новый мотоцикл назвали ИЖ-7. В докладе, подготовленном Автодором отмечалось: «Следует отметить, что Ленинградский завод «Красный октябрь», который должен был сдать Центральному Совету Общества Автодор в течение 1932 и 1933 гг. согласно заключенного с трестом «Вато-запчасть» в ноябре 1931 г. договора, 4000 мотоциклов Л-300, постановлением правительственных органов был передан в другое объединение и загружен специальными заказами. Данный завод хотя и предполагает в 1933 г. возобновить производство мотоциклов «Л-300», но в весьма минимальных размерах /300–350 машин/, так что на выполнение заводом договора на мотоциклы для Центрального Совета Общества Автодор в 1933 г. рассчитывать не приходится. Кроме того, за снижением программы резко увеличивается стоимость мотоциклов, достигая 6000 руб. за машину. Третий завод, производящий мотоциклы — Харьковский автосборочный Автомотовелотреста УССР имеет на 1933 г. программу лишь в 300 мотоциклов ХМЗ типа «Харлей-Дэвидсон» … и особых надежд на развитие мотоциклостроения на этом заводе в 1933 г. не имеется». На основе А-750 были выполнены проекты более мощного мотоцикла А-850 и двух легких — НАТИ-Б-375 и НАТИ-В-375, но в серийное производство эти мотоциклы не передавались. В июле все четыре А-750 и один ИЖ-7 своим ходом отправились в Москву для проведения госиспытаний, по окончании которых мотоцикл № 2 был </w:t>
      </w:r>
      <w:r w:rsidRPr="00C33834">
        <w:rPr>
          <w:rFonts w:ascii="Times New Roman" w:hAnsi="Times New Roman"/>
          <w:color w:val="000000" w:themeColor="text1"/>
          <w:sz w:val="16"/>
          <w:szCs w:val="16"/>
        </w:rPr>
        <w:lastRenderedPageBreak/>
        <w:t>передан в Политехнический музей. Судьба машины № 2 сложилась необычно. Мотоцикл был реквизирован «для нужд оборонной промышленности». После войны мотоцикл был списан и его выкупил Я. Д. Зузик, который восстановил А-750 и поддерживал в рабочем состоянии. После его смерти в 1994 г., А-750 был продан литовскому коллекционеру и сейчас находится у нового владельца. Как сложилась судьба остальных четырех машин, изготовленных ИОМЗА в мае 1933 г., неизвестно. Помимо А-750 № 2 в бывшем СССР имеется еще до нескольких десятков мотоциклов этой марки разной степени сохранности, но все они изготовлены не в Ижевске, причем комплектные машины очень большая редкость. По причине недостаточной оснащенности ИОМЗА руководство НКТП решило поручить производство Подольскому механическому заводу. Поэтому мотоцикл получил обозначение ПМЗ-А-750, ПМЗ-750 или просто ПМЗ. Первый ПМЗ-750 изготовили в начале февраля 1934 г. и отправили в Кремль на выставку, посвящённую Мотоциклы НАТИ-А-750 и ИЖ-7 постройки ИОМЗА перед пробегом в открытию XVII съезда ВКП(б). На руководство страны мотоцикл произвел хорошее впечатление, и оно отметило П. В. Можарова предоставлением отпуска и путёвки в санаторий ЦК партии в Сочи. Однако в серию А-750 пошел уже без его конструктора, так как Петр Можаров скончался при неясных обстоятельствах 11 марта 1934 г., находясь в официальном отпуске в том самом санатории ЦК ВКП(б) в Сочи. По одной из версий инженер застрелился из-за гонений властей, по другой — был убит. Там же в Сочи Петр Можаров и был похоронен. Могила Можарова долгое время считалась утерянной, но 5 февраля 2015 г. телеканал «Россия — Сочи» выпустил новостной сюжет, в котором сообщил, что сочинка Ружена Гребенюк, которая гуляла со своей собакой в районе Мемориала воинской славы в Завокзальном микрорайоне, обнаружила могильную плиту со слабо видневшейся надписью. Новость быстро облетела телевизионные и печатные СМИ, попала на интернет ресурсы. Место захоронения патриарха отечественного мотоциклостроения было обнаружено. Оставшись без конструктора, мотоцикл А-750 оказался в роли нелюбимого пасынка: за внедрение в серию и его совершенствование отвечали разные люди, что не могло не сказаться на конструктивном совершенстве и качестве постройки. Первые три серийных мотоцикла ПМЗ сдал только в 1935 г. К июлю было изготовлено еще 6, а следующие только в 1936 г. К числу существенных недостатков А-750 постройки ПМЗ относились плохая управляемость на больших скоростях из-за конструкции передней подвески, а также хронические проблемы с регулятором опережения зажигания. Двигатель был неудачно сбалансирован и вибрировал, а передачи переключались с большим трудом. Спортсмены быстро нашли способ устранить дефекты передней подвески и решить проблемы с двигателем и электрооборудованием, но в серию новшества так и не внедрили. Производство А-750 велось на ПМЗ до 1939 г. Предполагалось продолжить выпуск на заводе им. Фрунзе, но эти планы не были реализованы. В 1940 г. с уставного фонда Подольского механического завода Наркомобщмаша были списаны затраты на изготовление мотоциклов МПЗ-750 в связи со снятием с производства. По имеющимся на сегодня данным двумя заводами всего было изготовлено 4640 шт. А-750. С 1936 г. мотоциклы А-750 поступали в розничную продажу. Первоначально цена составляла 11 550 руб., а в 1937 г. ее снизили до 7760 руб. Около трети построенных мотоциклов поступило в народное хозяйство и частным владельцам, а остальные были в армии, войсках НКВД, в оборонной промышленности и у отдельных учреждений. Последние использовавшиеся военными ПМЗ-750 были списаны уже в послевоенный период с переоснащением армии мотоциклами Ирбитского завода. Хотя А-750 продолжали службу и в годы войны, военные в итоговых статистических документах их перестали учитывать отдельной строкой. Поэтому проследить судьбу этих мотоциклов можно по документам не руководящих воинских структур, а самих военных частей на основании фотоматериалов или доверившись памяти ветеранов. В годы войны не все тяжелые мотоциклы были мобилизованы в армию. По данным доклада ГАИ НКВД к 1 мая 1942 г. на предприятиях и в учреждениях народного хозяйства, а также у частных владельцев, имелось 1646 тяжелых мотоциклов с колясками, в том числе 1254 А-750. Видно, что в народном хозяйстве в годы войны из тяжелых мотоциклов А-750 составляли абсолютное большинство. Нерешенность вопроса оснащения Красной Армии мотоциклами, выпуск А-750 даже в оптимистичных планах был явно недостаточным, вынудила военных обратиться к руководству страны. От имени НКО 19 октября 1934 г. начальник Политуправления РККА Ян Гамарник направил в ЦК Партии представление №13243сс об организации производств мотоциклов. В нем говорилось: «К настоящему времени в стране производится несколько десятков мотоциклов в год полукустарным порядком. В Ленинграде на заводе «Красный Октябрь» изготовляется мотоцикл типа Л-300 — двухтактный, малосильный. Выпуск этих мотоциклов в 1934 году производится в количестве не более 50–60 штук в год. На Ижевском заводе в опытном порядке построено 4 мотоцикла. Между тем потребность в мотоцикле крайне велика, как для армии, так и для народного хозяйства. Мотоцикл нужен: 1) для армии, как важнейшее средство разведки, связи и управления 2) для службы пограничной охраны 3) для обслуживания милиции 4) как средство коммунального обслуживания города и деревни: перевозка почты, средство связи, подача первой медицинской помощи и т. д. 5) как один из видов спорта для внедрения в массы автомобильной культуры и техники, а также для подготовки кадров для армии. Мотоцикл не требует сложного технического обслуживания, не требует постройки гаражей, потребляет мало горючего. Считая этот вопрос крайне важным для армии и других нужд страны, прошу Вас рассмотреть этот вопрос с тем, чтобы обеспечить уже в 35 году значительное развертывание производства мотоциклов» (19776).</w:t>
      </w:r>
    </w:p>
    <w:p w14:paraId="1802B474" w14:textId="77777777" w:rsidR="000259E5" w:rsidRPr="00C33834" w:rsidRDefault="000259E5" w:rsidP="00C33834">
      <w:pPr>
        <w:spacing w:after="0" w:line="240" w:lineRule="auto"/>
        <w:jc w:val="both"/>
        <w:rPr>
          <w:rFonts w:ascii="Times New Roman" w:hAnsi="Times New Roman"/>
          <w:color w:val="000000" w:themeColor="text1"/>
          <w:sz w:val="16"/>
          <w:szCs w:val="16"/>
        </w:rPr>
      </w:pPr>
    </w:p>
    <w:p w14:paraId="3AD18528"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февраля 1933 г.</w:t>
      </w:r>
    </w:p>
    <w:p w14:paraId="12EE2028"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 № 1</w:t>
      </w:r>
    </w:p>
    <w:p w14:paraId="54546317"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 8 пр. ПБ № 129.</w:t>
      </w:r>
    </w:p>
    <w:p w14:paraId="446A4AEA"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w:t>
      </w:r>
    </w:p>
    <w:p w14:paraId="3CC8B984"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http://sovdoc.rusarchives.ru</w:t>
      </w:r>
    </w:p>
    <w:p w14:paraId="7B81D3DE"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Архив: </w:t>
      </w:r>
    </w:p>
    <w:p w14:paraId="3EA9E07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РГАСПИ. Ф. 17. Оп. 3. Д. 914. Л. 29-32; РГАСПИ. Ф. 17. Оп. 162. Д. 14. Л. 55-56.</w:t>
      </w:r>
    </w:p>
    <w:p w14:paraId="1614EF9A"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комиссии т. Молотова.</w:t>
      </w:r>
    </w:p>
    <w:p w14:paraId="3C38AD87"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(Утверждено Политбюро ЦК ВКП(б) 1 февраля 1933 г.)</w:t>
      </w:r>
    </w:p>
    <w:p w14:paraId="6565F1ED"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По балансу нефтепродуктов на 1933 г.</w:t>
      </w:r>
    </w:p>
    <w:p w14:paraId="12FF01CB"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Решение — особая папка.</w:t>
      </w:r>
    </w:p>
    <w:p w14:paraId="5BF4836A"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Исходя из добычи нефти и газа по Союзу на 1933 год в 24,4 млн. т, принять следующие ресурсы нефтепродуктов из производства:</w:t>
      </w:r>
    </w:p>
    <w:p w14:paraId="4E625BF7"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бензинам....................... 2.577   тыс. т</w:t>
      </w:r>
    </w:p>
    <w:p w14:paraId="2E6EE022"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лигроинам........................ 423,5 тыс. т</w:t>
      </w:r>
    </w:p>
    <w:p w14:paraId="6E99442D"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08D96BA9"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бензино-лигроиновых фракций: 3.000,5 тыс. т</w:t>
      </w:r>
    </w:p>
    <w:p w14:paraId="1803E8D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керосину....................... 4.056   тыс. т</w:t>
      </w:r>
    </w:p>
    <w:p w14:paraId="69096882"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т.ч. из запасов  50 тыс. т</w:t>
      </w:r>
    </w:p>
    <w:p w14:paraId="28FB3798"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газойлю.......................... 600   тыс. т</w:t>
      </w:r>
    </w:p>
    <w:p w14:paraId="48907911"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нефтетопливу.................. 10.535   тыс. т</w:t>
      </w:r>
    </w:p>
    <w:p w14:paraId="69815984"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Решение — особая папка.</w:t>
      </w:r>
    </w:p>
    <w:p w14:paraId="2253FCB7"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Утвердить следующее распределение нефтепродуктов между внутренним и внешним ринками: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255"/>
        <w:gridCol w:w="2805"/>
        <w:gridCol w:w="3262"/>
      </w:tblGrid>
      <w:tr w:rsidR="00F26F01" w:rsidRPr="00C33834" w14:paraId="41AEED94"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12B134"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4DE9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D659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Внутр. рынок</w:t>
            </w:r>
          </w:p>
        </w:tc>
      </w:tr>
      <w:tr w:rsidR="00F26F01" w:rsidRPr="00C33834" w14:paraId="43522C1F"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DD288B"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Бензинов и лигроинов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95E4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1.800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26DFC"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 тыс. т</w:t>
            </w:r>
          </w:p>
        </w:tc>
      </w:tr>
      <w:tr w:rsidR="00F26F01" w:rsidRPr="00C33834" w14:paraId="642148F8"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73775B"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Керосина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6AC95"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740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7B7C2"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3.316 тыс. т</w:t>
            </w:r>
          </w:p>
        </w:tc>
      </w:tr>
      <w:tr w:rsidR="00F26F01" w:rsidRPr="00C33834" w14:paraId="7E568661"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F93479"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 ч. Уотер-Уайт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EF2C1"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3A610"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3B0F423"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6E3DE2"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Газойля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8F0AE"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5F410"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21EF7038"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92B2E4"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Нефтетоплива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595F0"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61278"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8.785 тыс. т</w:t>
            </w:r>
          </w:p>
        </w:tc>
      </w:tr>
      <w:tr w:rsidR="00F26F01" w:rsidRPr="00C33834" w14:paraId="7E4633D7"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B0DA0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Сырой нефти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9158A"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BFE43"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bl>
    <w:p w14:paraId="663FC7B3"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принятых к распределению нефтепродуктов, для внутреннего рынка установить нераспределенный резерв:</w:t>
      </w:r>
    </w:p>
    <w:p w14:paraId="37DCFCF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в распоряжении Комитета резервов СТО:</w:t>
      </w:r>
    </w:p>
    <w:p w14:paraId="33E14887"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бензинам............ 100 тыс. т</w:t>
      </w:r>
    </w:p>
    <w:p w14:paraId="64A830BE"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керосину............ 200 тыс. т</w:t>
      </w:r>
    </w:p>
    <w:p w14:paraId="2362D0BA"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нефтетопливу........ 500 тыс. т</w:t>
      </w:r>
    </w:p>
    <w:p w14:paraId="20EE3209"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в резерве НКТП — 500 тыс. тонн нефтетоплива.</w:t>
      </w:r>
    </w:p>
    <w:p w14:paraId="6D023B2A"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Детальное распределение нефтепродуктов между экспортом и внутренним рынком установить согласно прилагаемого списка (см. приложение № 1).</w:t>
      </w:r>
    </w:p>
    <w:p w14:paraId="09A4A76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Предложить НК РКИ СССР представить в СТО в 15</w:t>
      </w:r>
      <w:r w:rsidRPr="00C33834">
        <w:rPr>
          <w:rFonts w:ascii="Times New Roman" w:hAnsi="Times New Roman"/>
          <w:color w:val="000000" w:themeColor="text1"/>
          <w:sz w:val="16"/>
          <w:szCs w:val="16"/>
        </w:rPr>
        <w:noBreakHyphen/>
        <w:t>дневный срок пересмотренные нормы потребления авто-тракторного горючего и проект мероприятий по максимальной экономии его расхода.</w:t>
      </w:r>
    </w:p>
    <w:p w14:paraId="0CB7F377"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Образовать постоянную комиссию под председательством тов. Куйбышева, в составе т.т. Ломова, Косиора, Антипова, Миронова и Шемятовсксго для максимального сокращения расхода нефтетоплива всеми потребителями, путем перевода их на другие виды топлива.</w:t>
      </w:r>
    </w:p>
    <w:p w14:paraId="0803E12B"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комиссию ежемесячно докладывать СТО о принятых ею мероприятиях.</w:t>
      </w:r>
    </w:p>
    <w:p w14:paraId="17E1E64C"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Поручить СТО, в целях увеличения ресурсов, до 15 февраля с. г. пересмотреть стандарты авто-бензина, осветительного керосина, тяжелого моторного топлива и топочного мазута, отпускаемых внутреннему рынку.</w:t>
      </w:r>
    </w:p>
    <w:p w14:paraId="504CA383"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6. Обязать НКТП добиться в 1933 году снижения расхода топлива на собственные нужды и потери в нефтяной промышленности на 10%, по сравнению с фактическим расходом 1932 года.</w:t>
      </w:r>
    </w:p>
    <w:p w14:paraId="2729B162"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Предложить НКВнешторгу, при регулировании поставок нефтепродуктов и нефтетоплива, добиться того, чтобы исключить простои судов и фрахтовать суда в соответствии с ресурсами, подлежащими вывозу.</w:t>
      </w:r>
    </w:p>
    <w:p w14:paraId="0586B972"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 Для обеспечения плана 1933 года.</w:t>
      </w:r>
    </w:p>
    <w:p w14:paraId="1C8510C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обеспечения программ по бурению на 193З год:</w:t>
      </w:r>
    </w:p>
    <w:p w14:paraId="37E144E9"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Предложить НКТП, с заключением Госплана, в 10</w:t>
      </w:r>
      <w:r w:rsidRPr="00C33834">
        <w:rPr>
          <w:rFonts w:ascii="Times New Roman" w:hAnsi="Times New Roman"/>
          <w:color w:val="000000" w:themeColor="text1"/>
          <w:sz w:val="16"/>
          <w:szCs w:val="16"/>
        </w:rPr>
        <w:noBreakHyphen/>
        <w:t>дневный срок, представить в Политбюро свои предложения о программе капитальных работ и о плане импорта для нефтепромышленности.</w:t>
      </w:r>
    </w:p>
    <w:p w14:paraId="581D755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Обязать НКВТ, под личную ответственность т. Розенгольца, обеспечить отгрузку выделенных для нефтяной промышленности импортных труб в первом квартале 1933 года.</w:t>
      </w:r>
    </w:p>
    <w:p w14:paraId="7D2B442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Подтвердить постановление НКТП от 14 декабря 1932 года, № 783, о поставке специального и общего оборудования для нефтяной промышленности. Обязать НКТП полностью выполнить эту поставку, с точным соблюдением сроков отгрузки.</w:t>
      </w:r>
    </w:p>
    <w:p w14:paraId="7FE252D2"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Утвердить установленные Госпланом и согласованные с НКТП, фонды труб для нефтяной промышленности (см. приложение № 2). Обязать Госплан и НКТП в квартальных планах исходить из этого количества труб для нефтяной промышленности.</w:t>
      </w:r>
    </w:p>
    <w:p w14:paraId="28904D95"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Утвердить установленные Госпланом фонды снабжения нефтяной промышленности основными материалами, согласно прилагаемой таблицы (см. приложение № 3). Обязать Госплан и НКТП при утверждении квартальных планов исходить из установленного выше количества материалов.</w:t>
      </w:r>
    </w:p>
    <w:p w14:paraId="42FD1A61"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Обязать НКЛес и НКВод (по Каспийскому пароходству) обеспечить отправку из Астрахани в период навигации по Каспийскому морю для нефтетрестов пиленого и круглого леса в количествах, установленных п. 5.</w:t>
      </w:r>
    </w:p>
    <w:p w14:paraId="02E9DF7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Распространить на нефтетресты порядок первоочередной отправки материальных и продовольственных грузов, установленный для золотоплатиновых предприятий постановлением КомСТО по перевозкам от 14.VI.1932 г., за № 30.</w:t>
      </w:r>
    </w:p>
    <w:p w14:paraId="612FBFF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Предоставить в распоряжение нефтяной промышленности 15</w:t>
      </w:r>
      <w:r w:rsidRPr="00C33834">
        <w:rPr>
          <w:rFonts w:ascii="Times New Roman" w:hAnsi="Times New Roman"/>
          <w:color w:val="000000" w:themeColor="text1"/>
          <w:sz w:val="16"/>
          <w:szCs w:val="16"/>
        </w:rPr>
        <w:noBreakHyphen/>
        <w:t>20 тракторов системы “Коммунар”.</w:t>
      </w:r>
    </w:p>
    <w:p w14:paraId="7FE41C61"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 № 1.</w:t>
      </w:r>
    </w:p>
    <w:p w14:paraId="6D21A82D"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Распределение нефтепродуктов между экспортом и внутренним рынком.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04"/>
        <w:gridCol w:w="1472"/>
        <w:gridCol w:w="2124"/>
        <w:gridCol w:w="2222"/>
      </w:tblGrid>
      <w:tr w:rsidR="00F26F01" w:rsidRPr="00C33834" w14:paraId="05531221"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3DB8C3"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Название товара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5F8C4"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54E92"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Внутренний</w:t>
            </w:r>
          </w:p>
          <w:p w14:paraId="272408F0"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рынок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7A71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за год.</w:t>
            </w:r>
          </w:p>
        </w:tc>
      </w:tr>
      <w:tr w:rsidR="00F26F01" w:rsidRPr="00C33834" w14:paraId="161D6504"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EB2280"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Бензин бакинский экспортный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7704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B1D39"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57,8</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CEDD8"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412,8</w:t>
            </w:r>
          </w:p>
        </w:tc>
      </w:tr>
      <w:tr w:rsidR="00F26F01" w:rsidRPr="00C33834" w14:paraId="13AEC7C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B9135D"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Бензин грозненский легкий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88025"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8EF79"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7C6B5"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612,5</w:t>
            </w:r>
          </w:p>
        </w:tc>
      </w:tr>
      <w:tr w:rsidR="00F26F01" w:rsidRPr="00C33834" w14:paraId="4C6B17BC"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31DADC"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Бензин грозненский тяжелый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5E6B1"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FD3B0"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8FA67"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642</w:t>
            </w:r>
          </w:p>
        </w:tc>
      </w:tr>
      <w:tr w:rsidR="00F26F01" w:rsidRPr="00C33834" w14:paraId="429E6081"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7A6ABA"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Бензин крекинг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D3CD5"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39A5B"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5933E"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704</w:t>
            </w:r>
          </w:p>
        </w:tc>
      </w:tr>
      <w:tr w:rsidR="00F26F01" w:rsidRPr="00C33834" w14:paraId="0A33C79F"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E90A6E"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Бензин авиационный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20870"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A686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5498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w:t>
            </w:r>
          </w:p>
        </w:tc>
      </w:tr>
      <w:tr w:rsidR="00F26F01" w:rsidRPr="00C33834" w14:paraId="5170DB78"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7DDBF9"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Бензин прочий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CEF0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A6D8E"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9B92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100,7</w:t>
            </w:r>
          </w:p>
        </w:tc>
      </w:tr>
      <w:tr w:rsidR="00F26F01" w:rsidRPr="00C33834" w14:paraId="2AFFE1A3"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A05D63"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бензинов: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B9427"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F794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D76B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2.577</w:t>
            </w:r>
          </w:p>
        </w:tc>
      </w:tr>
      <w:tr w:rsidR="00F26F01" w:rsidRPr="00C33834" w14:paraId="1561323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7FE290"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Лигроин бакинский экспортный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37892"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100¹</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52CBE"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2353D"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08589702"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CF2AC9"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Лигроин прочий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2A94892"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1E3ED"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1E19A"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263,5</w:t>
            </w:r>
          </w:p>
        </w:tc>
      </w:tr>
      <w:tr w:rsidR="00F26F01" w:rsidRPr="00C33834" w14:paraId="2906ADCA"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A5D4D5"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Уайт-спирт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2D68D"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DE400"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08261"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r>
      <w:tr w:rsidR="00F26F01" w:rsidRPr="00C33834" w14:paraId="1EA987DC"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45DD1A"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лигроинов: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FE333"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BCA3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941A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423,5</w:t>
            </w:r>
          </w:p>
        </w:tc>
      </w:tr>
      <w:tr w:rsidR="00F26F01" w:rsidRPr="00C33834" w14:paraId="7EAC3E13"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CDD22D"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бензинов и лигроинов: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4F0CC"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6A3E4"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A3D3D"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3.000,5</w:t>
            </w:r>
          </w:p>
        </w:tc>
      </w:tr>
      <w:tr w:rsidR="00F26F01" w:rsidRPr="00C33834" w14:paraId="3655B6C3"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D654EA"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Керосин уотер-уайт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47225"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BC6D0"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6FD72"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r>
      <w:tr w:rsidR="00F26F01" w:rsidRPr="00C33834" w14:paraId="4846F1F2"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512119"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Керосин обыкновенный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F6FC8"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0323B"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3F4E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3.856</w:t>
            </w:r>
          </w:p>
        </w:tc>
      </w:tr>
      <w:tr w:rsidR="00F26F01" w:rsidRPr="00C33834" w14:paraId="508949D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BCBB4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керосинов: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AC334"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F8540"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7962E"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4.056</w:t>
            </w:r>
          </w:p>
        </w:tc>
      </w:tr>
      <w:tr w:rsidR="00F26F01" w:rsidRPr="00C33834" w14:paraId="386AD1FB"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E18801"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Газойль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B673B"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4063E"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06120"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r>
      <w:tr w:rsidR="00F26F01" w:rsidRPr="00C33834" w14:paraId="70E5EBA5"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065D5A"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Веретенное масло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8375D"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0B364"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EDD8B"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281,4</w:t>
            </w:r>
          </w:p>
        </w:tc>
      </w:tr>
      <w:tr w:rsidR="00F26F01" w:rsidRPr="00C33834" w14:paraId="1EA0F2A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8E0417"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Машинное масло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FB69B"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180²</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D2064"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06C20"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w:t>
            </w:r>
          </w:p>
        </w:tc>
      </w:tr>
      <w:tr w:rsidR="00F26F01" w:rsidRPr="00C33834" w14:paraId="173BEDC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88A64A"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машинного и веретенного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02745"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F595B"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3E959"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461,4</w:t>
            </w:r>
          </w:p>
        </w:tc>
      </w:tr>
      <w:tr w:rsidR="00F26F01" w:rsidRPr="00C33834" w14:paraId="1183A1D1"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1CA03C"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Автолы и авиац.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C148E"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D880C"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8DC9A"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346,2</w:t>
            </w:r>
          </w:p>
        </w:tc>
      </w:tr>
      <w:tr w:rsidR="00F26F01" w:rsidRPr="00C33834" w14:paraId="39076D59"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E3864D"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Брайт-стоки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3F45E"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27D0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4A129"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w:t>
            </w:r>
          </w:p>
        </w:tc>
      </w:tr>
      <w:tr w:rsidR="00F26F01" w:rsidRPr="00C33834" w14:paraId="1F86ADC7"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FAC5CC"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Трансформаторное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31479"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55F6B"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A5048"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32,8</w:t>
            </w:r>
          </w:p>
        </w:tc>
      </w:tr>
      <w:tr w:rsidR="00F26F01" w:rsidRPr="00C33834" w14:paraId="166A2AD9"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C57A0C"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Соляровое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7CE2B"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DDCF6C0"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142,9</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0F30741"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242,9</w:t>
            </w:r>
          </w:p>
        </w:tc>
      </w:tr>
      <w:tr w:rsidR="00F26F01" w:rsidRPr="00C33834" w14:paraId="1DF29A5C"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FA7F55"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Цилиндровое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391B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8299E93" w14:textId="77777777" w:rsidR="003F580B" w:rsidRPr="00C33834" w:rsidRDefault="003F580B" w:rsidP="00C3383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FB56BB9" w14:textId="77777777" w:rsidR="003F580B" w:rsidRPr="00C33834" w:rsidRDefault="003F580B" w:rsidP="00C33834">
            <w:pPr>
              <w:spacing w:after="0" w:line="240" w:lineRule="auto"/>
              <w:jc w:val="both"/>
              <w:rPr>
                <w:rFonts w:ascii="Times New Roman" w:hAnsi="Times New Roman"/>
                <w:color w:val="000000" w:themeColor="text1"/>
                <w:sz w:val="16"/>
                <w:szCs w:val="16"/>
              </w:rPr>
            </w:pPr>
          </w:p>
        </w:tc>
      </w:tr>
      <w:tr w:rsidR="00F26F01" w:rsidRPr="00C33834" w14:paraId="6041CD25"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18828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Прочие масла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45D57"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18DCCD0" w14:textId="77777777" w:rsidR="003F580B" w:rsidRPr="00C33834" w:rsidRDefault="003F580B" w:rsidP="00C3383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7F72B37" w14:textId="77777777" w:rsidR="003F580B" w:rsidRPr="00C33834" w:rsidRDefault="003F580B" w:rsidP="00C33834">
            <w:pPr>
              <w:spacing w:after="0" w:line="240" w:lineRule="auto"/>
              <w:jc w:val="both"/>
              <w:rPr>
                <w:rFonts w:ascii="Times New Roman" w:hAnsi="Times New Roman"/>
                <w:color w:val="000000" w:themeColor="text1"/>
                <w:sz w:val="16"/>
                <w:szCs w:val="16"/>
              </w:rPr>
            </w:pPr>
          </w:p>
        </w:tc>
      </w:tr>
      <w:tr w:rsidR="00F26F01" w:rsidRPr="00C33834" w14:paraId="1EDB26E9"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68017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разных масел: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E450B"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BA404"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0124E"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301,7</w:t>
            </w:r>
          </w:p>
        </w:tc>
      </w:tr>
      <w:tr w:rsidR="00F26F01" w:rsidRPr="00C33834" w14:paraId="2877C505"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7073B0"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Парафин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305D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51B2D"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034D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23,7</w:t>
            </w:r>
          </w:p>
        </w:tc>
      </w:tr>
      <w:tr w:rsidR="00F26F01" w:rsidRPr="00C33834" w14:paraId="5CABB449"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CE0B0A"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Асфальт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A3748"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7784EB"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227,6</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31B50"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297,6</w:t>
            </w:r>
          </w:p>
        </w:tc>
      </w:tr>
      <w:tr w:rsidR="00F26F01" w:rsidRPr="00C33834" w14:paraId="736F3543"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3047D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Смазочный мазут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0A51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B81E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48857"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375</w:t>
            </w:r>
          </w:p>
        </w:tc>
      </w:tr>
      <w:tr w:rsidR="00F26F01" w:rsidRPr="00C33834" w14:paraId="00A3C9A6"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5B4C5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Моторное топливо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D83E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9C88D"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F9354"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1.309,8</w:t>
            </w:r>
          </w:p>
        </w:tc>
      </w:tr>
      <w:tr w:rsidR="00F26F01" w:rsidRPr="00C33834" w14:paraId="202E2266"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7B876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Мазут бакинский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62055"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2133EC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7.475,2</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75C04B9"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9.225,2</w:t>
            </w:r>
          </w:p>
        </w:tc>
      </w:tr>
      <w:tr w:rsidR="00F26F01" w:rsidRPr="00C33834" w14:paraId="051AAFF8"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EA59D4"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Мазут грозненский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4EB63"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F4718D7" w14:textId="77777777" w:rsidR="003F580B" w:rsidRPr="00C33834" w:rsidRDefault="003F580B" w:rsidP="00C3383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590F52D" w14:textId="77777777" w:rsidR="003F580B" w:rsidRPr="00C33834" w:rsidRDefault="003F580B" w:rsidP="00C33834">
            <w:pPr>
              <w:spacing w:after="0" w:line="240" w:lineRule="auto"/>
              <w:jc w:val="both"/>
              <w:rPr>
                <w:rFonts w:ascii="Times New Roman" w:hAnsi="Times New Roman"/>
                <w:color w:val="000000" w:themeColor="text1"/>
                <w:sz w:val="16"/>
                <w:szCs w:val="16"/>
              </w:rPr>
            </w:pPr>
          </w:p>
        </w:tc>
      </w:tr>
      <w:tr w:rsidR="00F26F01" w:rsidRPr="00C33834" w14:paraId="55D0E3E4"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DD70CB"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нефтетоплива: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D0253"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EF741"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04EE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10.535</w:t>
            </w:r>
          </w:p>
        </w:tc>
      </w:tr>
      <w:tr w:rsidR="00F26F01" w:rsidRPr="00C33834" w14:paraId="507E0E5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C37D17"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Нефть бакинская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2BE55"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CC10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731CB"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r>
      <w:tr w:rsidR="00F26F01" w:rsidRPr="00C33834" w14:paraId="10E86C35"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F7FD8A"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Нефть грозненская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64EE1"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CECFA"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ABE120"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r>
      <w:tr w:rsidR="00F26F01" w:rsidRPr="00C33834" w14:paraId="14A43AC1"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8BF017"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Нефть сахалинская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67D17"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9DA49"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7F0F7"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r>
    </w:tbl>
    <w:p w14:paraId="7B6EBDE0"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Примечания к таблице:</w:t>
      </w:r>
    </w:p>
    <w:p w14:paraId="62772A51"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¹ из них 35 тыс. т. для примеси к бензину.</w:t>
      </w:r>
    </w:p>
    <w:p w14:paraId="109F4DA7"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² из них 30 тыс. т. качест. внутр. р.</w:t>
      </w:r>
    </w:p>
    <w:p w14:paraId="4A72CC8B"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³ из них 9 тыс. т тяжелого.</w:t>
      </w:r>
    </w:p>
    <w:p w14:paraId="311DD84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 № 2.</w:t>
      </w:r>
    </w:p>
    <w:p w14:paraId="60FEBEDC"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Фонды на трубы для нефтяной промышленности на 1933 г. и 1</w:t>
      </w:r>
      <w:r w:rsidRPr="00C33834">
        <w:rPr>
          <w:rFonts w:ascii="Times New Roman" w:hAnsi="Times New Roman"/>
          <w:color w:val="000000" w:themeColor="text1"/>
          <w:sz w:val="16"/>
          <w:szCs w:val="16"/>
        </w:rPr>
        <w:noBreakHyphen/>
        <w:t>й квартал 1933 г.</w:t>
      </w:r>
    </w:p>
    <w:p w14:paraId="27ECD810"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(Установленные Госпланом СССР).</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70"/>
        <w:gridCol w:w="1023"/>
        <w:gridCol w:w="2084"/>
        <w:gridCol w:w="2645"/>
      </w:tblGrid>
      <w:tr w:rsidR="00F26F01" w:rsidRPr="00C33834" w14:paraId="69E48AE7"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29A4F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 материалов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B938C"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Учетная</w:t>
            </w:r>
          </w:p>
          <w:p w14:paraId="2D480B39"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единица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34760"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Фонды на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5F429"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Фонды на I кв. 19ЗЗ г.</w:t>
            </w:r>
          </w:p>
        </w:tc>
      </w:tr>
      <w:tr w:rsidR="00F26F01" w:rsidRPr="00C33834" w14:paraId="248FFAB2"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B1C117"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Трубы обсадные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99540"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FA8DE"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E26B7"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r>
      <w:tr w:rsidR="00F26F01" w:rsidRPr="00C33834" w14:paraId="6EC99AEA"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914BB1"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 ч. 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194A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08BDB"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22B72"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r>
      <w:tr w:rsidR="00F26F01" w:rsidRPr="00C33834" w14:paraId="7268DEA5"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48EF6E"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Трубы нефтепроводные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62281"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69D01"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23003"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7,93</w:t>
            </w:r>
          </w:p>
        </w:tc>
      </w:tr>
      <w:tr w:rsidR="00F26F01" w:rsidRPr="00C33834" w14:paraId="588468D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324E03"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Трубы бурильные и насосно-компрессорные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79C7B"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B2142"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79D25"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16,21</w:t>
            </w:r>
          </w:p>
        </w:tc>
      </w:tr>
      <w:tr w:rsidR="00F26F01" w:rsidRPr="00C33834" w14:paraId="63D124E2"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B5C6C5"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 ч. 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75592"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AB25A"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9319C"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tc>
      </w:tr>
      <w:tr w:rsidR="00F26F01" w:rsidRPr="00C33834" w14:paraId="020490B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80CB90"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Трубы специальные цельнотянутые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E4ED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488A4"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AEE4B"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r>
      <w:tr w:rsidR="00F26F01" w:rsidRPr="00C33834" w14:paraId="51F7D119"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2F507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 ч. 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E6BE7"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E4DC1"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9D5B2"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r>
      <w:tr w:rsidR="00F26F01" w:rsidRPr="00C33834" w14:paraId="591DDE67"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1D9835"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5. Трубы газовые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4E0DA"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2DC7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1AAA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r>
    </w:tbl>
    <w:p w14:paraId="69EA05A9"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 № 3.</w:t>
      </w:r>
    </w:p>
    <w:p w14:paraId="51E801FB"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Фонды снабжения нефтяной промышленности основными материалами на 1933 г. и 1</w:t>
      </w:r>
      <w:r w:rsidRPr="00C33834">
        <w:rPr>
          <w:rFonts w:ascii="Times New Roman" w:hAnsi="Times New Roman"/>
          <w:color w:val="000000" w:themeColor="text1"/>
          <w:sz w:val="16"/>
          <w:szCs w:val="16"/>
        </w:rPr>
        <w:noBreakHyphen/>
        <w:t>й кв. 1933 г.</w:t>
      </w:r>
    </w:p>
    <w:p w14:paraId="4CA0CF01"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(Установленные Госпланом СССР).</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92"/>
        <w:gridCol w:w="1477"/>
        <w:gridCol w:w="1342"/>
        <w:gridCol w:w="1611"/>
      </w:tblGrid>
      <w:tr w:rsidR="00F26F01" w:rsidRPr="00C33834" w14:paraId="61DB07BE"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322484"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 материалов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FBCE9"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Учетная</w:t>
            </w:r>
          </w:p>
          <w:p w14:paraId="26EF1222"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единица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773E0"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Фонды на</w:t>
            </w:r>
          </w:p>
          <w:p w14:paraId="194523D5"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C527D"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Фонды на</w:t>
            </w:r>
          </w:p>
          <w:p w14:paraId="18752A0E"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кв. 19ЗЗ г.</w:t>
            </w:r>
          </w:p>
        </w:tc>
      </w:tr>
      <w:tr w:rsidR="00F26F01" w:rsidRPr="00C33834" w14:paraId="0D6067D6"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C4E7C1"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Металл-прокат (на производство и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BA7E2"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481F5"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A93AE"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w:t>
            </w:r>
          </w:p>
        </w:tc>
      </w:tr>
      <w:tr w:rsidR="00F26F01" w:rsidRPr="00C33834" w14:paraId="148E5058"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7C2641"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 ч. железо листовое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45738"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2BD63"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841B9"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w:t>
            </w:r>
          </w:p>
        </w:tc>
      </w:tr>
      <w:tr w:rsidR="00F26F01" w:rsidRPr="00C33834" w14:paraId="6899E4CA"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ACF64B"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 ч. кровельное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1692C"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C933B"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8F488"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w:t>
            </w:r>
          </w:p>
        </w:tc>
      </w:tr>
      <w:tr w:rsidR="00F26F01" w:rsidRPr="00C33834" w14:paraId="63C414EC"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EAFC10"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 ч. сортовое (без обер.)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4D41E"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A68B9"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07BA4"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2,36</w:t>
            </w:r>
          </w:p>
        </w:tc>
      </w:tr>
      <w:tr w:rsidR="00F26F01" w:rsidRPr="00C33834" w14:paraId="60D71F4F"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639379"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 ч. обручное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D7ED2"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70D7D"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D4E07"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0,64</w:t>
            </w:r>
          </w:p>
        </w:tc>
      </w:tr>
      <w:tr w:rsidR="00F26F01" w:rsidRPr="00C33834" w14:paraId="46956C08"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D8FF74"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 ч. балки и швеллера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CD23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A6AD7"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19D89"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0,4</w:t>
            </w:r>
          </w:p>
        </w:tc>
      </w:tr>
      <w:tr w:rsidR="00F26F01" w:rsidRPr="00C33834" w14:paraId="61992EA6"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5E51E2"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 ч. катанка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84948"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0247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51812"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0,15</w:t>
            </w:r>
          </w:p>
        </w:tc>
      </w:tr>
      <w:tr w:rsidR="00F26F01" w:rsidRPr="00C33834" w14:paraId="5D8DB3F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9F746A"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Рельсы широкой колеи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1E5B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77EB2"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42FE1"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68D595D7"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3CD8EE"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Рельсы узкой колеи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AD4A9"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D4C10"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BAE2C"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16F28DE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E23A5C"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Гвозди (на производство и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5D2C8"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42A0E"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E4E67"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0,55</w:t>
            </w:r>
          </w:p>
        </w:tc>
      </w:tr>
      <w:tr w:rsidR="00F26F01" w:rsidRPr="00C33834" w14:paraId="1B63A4B5"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3996A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Лес круглый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55B10"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куб.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338EC"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B93D8"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w:t>
            </w:r>
          </w:p>
        </w:tc>
      </w:tr>
      <w:tr w:rsidR="00F26F01" w:rsidRPr="00C33834" w14:paraId="15094668"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B2620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 ч. завоз из Астрахани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8BD07"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куб.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89EB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EB9C2"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F10A7AE"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DED215"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Лес пиленый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E425A"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куб.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43E8E"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0887B"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r>
      <w:tr w:rsidR="00F26F01" w:rsidRPr="00C33834" w14:paraId="11A95BFE"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FDA59C"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 ч. завоз из Астрахани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744FD"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куб.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E665D"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9F06D"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64FF89FE"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3AE34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Цемент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F24D7"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52F7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A962A"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w:t>
            </w:r>
          </w:p>
        </w:tc>
      </w:tr>
      <w:tr w:rsidR="00F26F01" w:rsidRPr="00C33834" w14:paraId="0FF8C17F"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5DD314"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Толь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77F22"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кв.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4FF29"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CDB07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w:t>
            </w:r>
          </w:p>
        </w:tc>
      </w:tr>
      <w:tr w:rsidR="00F26F01" w:rsidRPr="00C33834" w14:paraId="5AF4721B"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23D1F1"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Рубероид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9FC37"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кв.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DB8D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A3C9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47,5</w:t>
            </w:r>
          </w:p>
        </w:tc>
      </w:tr>
      <w:tr w:rsidR="00F26F01" w:rsidRPr="00C33834" w14:paraId="01FDE7D3"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CA678C"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Шифер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35BB8"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кв.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29768"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74A66"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55,0</w:t>
            </w:r>
          </w:p>
        </w:tc>
      </w:tr>
      <w:tr w:rsidR="00F26F01" w:rsidRPr="00C33834" w14:paraId="2F713C6D"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B3490C"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Стекло оконное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5F819"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кв.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BC465"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7A21D7"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r>
    </w:tbl>
    <w:p w14:paraId="2627FD3D"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Примечания к таблице:</w:t>
      </w:r>
    </w:p>
    <w:p w14:paraId="672AC641"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Квартальные целевые фонды должны устанавливаться Госпланом и НКТП, исходя из полного покрытия установленных на 1933 г. годовых фондов, а на 2</w:t>
      </w:r>
      <w:r w:rsidRPr="00C33834">
        <w:rPr>
          <w:rFonts w:ascii="Times New Roman" w:hAnsi="Times New Roman"/>
          <w:color w:val="000000" w:themeColor="text1"/>
          <w:sz w:val="16"/>
          <w:szCs w:val="16"/>
        </w:rPr>
        <w:noBreakHyphen/>
        <w:t>й квартал — исходя из полного покрытия полугодовых фондов.</w:t>
      </w:r>
    </w:p>
    <w:p w14:paraId="6F04952F" w14:textId="77777777" w:rsidR="003F580B" w:rsidRPr="00C33834" w:rsidRDefault="003F58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Целевые фонды должны устанавливаться Госпланом и НКТП и на все метизы, реагенты и кабельные изделия (18034).</w:t>
      </w:r>
    </w:p>
    <w:p w14:paraId="1DDC29A8" w14:textId="77777777" w:rsidR="003F580B" w:rsidRPr="00C33834" w:rsidRDefault="003F580B" w:rsidP="00C33834">
      <w:pPr>
        <w:spacing w:after="0" w:line="240" w:lineRule="auto"/>
        <w:jc w:val="both"/>
        <w:rPr>
          <w:rFonts w:ascii="Times New Roman" w:hAnsi="Times New Roman"/>
          <w:color w:val="000000" w:themeColor="text1"/>
          <w:sz w:val="16"/>
          <w:szCs w:val="16"/>
        </w:rPr>
      </w:pPr>
    </w:p>
    <w:p w14:paraId="2236D5FE" w14:textId="77777777" w:rsidR="001031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2CBC4173" w14:textId="77777777" w:rsidR="00103186" w:rsidRPr="00C33834" w:rsidRDefault="001031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D2799E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февраля 1933 Политбюро ЦК ВКП(б) запретило всем ведомствам публиковать любые цифровые данные по итогам первой пятилетки. За период 1.11.1932-1.02.1933 гг. Чрезвычайная комиссия СНК СССР по хлебозаготовкам, возглавляемая В.Молотовым дополнительно "заготовила" в Украине 104, 6 млн.пудов зерна. Общее количество хлеба, изъятого государством с урожая 1932 г., составило 260, 7 млн. пудов. Таким образом, Молотов вывез из республики почти все наличные запасы. В начале 1933 г. практически нигде в Украине хлебных запасов не осталось (10687).</w:t>
      </w:r>
    </w:p>
    <w:p w14:paraId="034793C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4B959B37" w14:textId="77777777" w:rsidR="003146EA" w:rsidRPr="00C33834" w:rsidRDefault="003146E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shd w:val="clear" w:color="auto" w:fill="FFFFFF"/>
        </w:rPr>
        <w:t>1 февраля 1933 года Политбюро, обсудив  предложение В.В. Куйбышева объединить «Комсеверопуть» с ГУСМП, уклонилось от какого-либо решения, передало его на рассмотрение правительства, уже тем мысль о слиянии стала свершившимся фактом. Оставалось только уточнить детали чисто административного характера, для чего неделю спустя образовали комиссию Совнаркома. Возглавил ее, разумеется, Куйбышев, а членами стали представители всех заинтересованных ведомств (29467).</w:t>
      </w:r>
    </w:p>
    <w:p w14:paraId="457065D8" w14:textId="77777777" w:rsidR="003146EA" w:rsidRPr="00C33834" w:rsidRDefault="003146EA" w:rsidP="00C33834">
      <w:pPr>
        <w:spacing w:after="0" w:line="240" w:lineRule="auto"/>
        <w:jc w:val="both"/>
        <w:rPr>
          <w:rFonts w:ascii="Times New Roman" w:hAnsi="Times New Roman"/>
          <w:color w:val="0070C0"/>
          <w:sz w:val="16"/>
          <w:szCs w:val="16"/>
        </w:rPr>
      </w:pPr>
    </w:p>
    <w:p w14:paraId="03FFF9A5" w14:textId="77777777" w:rsidR="003146EA" w:rsidRPr="00C33834" w:rsidRDefault="003146E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февраля 1933 г. Постановление Политбюро и изданное на его основе постановление Президиума ЦИК от 27 марта 1933 г. потребовали прекратить практику привлечения к суду по закону от 7 августа "лиц, виновных в мелких единичных кражах общественной собственности, или трудящихся, совершивших кражи из нужды, по несознательности и при наличии других смягчающих обстоятельств" (21177).</w:t>
      </w:r>
    </w:p>
    <w:p w14:paraId="0E18F12E" w14:textId="77777777" w:rsidR="003146EA" w:rsidRPr="00C33834" w:rsidRDefault="003146EA" w:rsidP="00C33834">
      <w:pPr>
        <w:spacing w:after="0" w:line="240" w:lineRule="auto"/>
        <w:jc w:val="both"/>
        <w:rPr>
          <w:rFonts w:ascii="Times New Roman" w:hAnsi="Times New Roman"/>
          <w:color w:val="0070C0"/>
          <w:sz w:val="16"/>
          <w:szCs w:val="16"/>
        </w:rPr>
      </w:pPr>
    </w:p>
    <w:p w14:paraId="6BFBF102" w14:textId="77777777" w:rsidR="005B4B1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B59C5C7" w14:textId="77777777" w:rsidR="005B4B1E" w:rsidRPr="00C33834" w:rsidRDefault="005B4B1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E052AFF" w14:textId="77777777" w:rsidR="005B4B1E" w:rsidRPr="00C33834" w:rsidRDefault="005B4B1E"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 февраля</w:t>
      </w:r>
      <w:r w:rsidRPr="00C33834">
        <w:rPr>
          <w:rFonts w:ascii="Times New Roman" w:hAnsi="Times New Roman"/>
          <w:color w:val="000000" w:themeColor="text1"/>
          <w:sz w:val="16"/>
          <w:szCs w:val="16"/>
        </w:rPr>
        <w:t xml:space="preserve"> в 1933 году в первый полет поднялся биплан «Боинга» «Model 236» («XF6B-1»). Был построен всего один экземпляр «Model 236». Самолет «XF6B-1» (новое обозначение «XBFB-1») разбился в 1936 году при посадке. «Боинг» бипланов больше не строил (15027).</w:t>
      </w:r>
    </w:p>
    <w:p w14:paraId="274F7252" w14:textId="77777777" w:rsidR="005B4B1E" w:rsidRPr="00C33834" w:rsidRDefault="005B4B1E" w:rsidP="00C33834">
      <w:pPr>
        <w:spacing w:after="0" w:line="240" w:lineRule="auto"/>
        <w:jc w:val="both"/>
        <w:rPr>
          <w:rFonts w:ascii="Times New Roman" w:hAnsi="Times New Roman"/>
          <w:color w:val="000000" w:themeColor="text1"/>
          <w:sz w:val="16"/>
          <w:szCs w:val="16"/>
        </w:rPr>
      </w:pPr>
    </w:p>
    <w:p w14:paraId="4D6E1CF5" w14:textId="77777777" w:rsidR="00ED0B5B" w:rsidRPr="00C33834" w:rsidRDefault="00ED0B5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февраля 1933 состоялся первый полет Boeing XF6B-1, позже переименованного в Boeing XBFB-1 (20802).</w:t>
      </w:r>
    </w:p>
    <w:p w14:paraId="1459B594" w14:textId="77777777" w:rsidR="00ED0B5B" w:rsidRPr="00C33834" w:rsidRDefault="00ED0B5B" w:rsidP="00C33834">
      <w:pPr>
        <w:spacing w:after="0" w:line="240" w:lineRule="auto"/>
        <w:jc w:val="both"/>
        <w:rPr>
          <w:rFonts w:ascii="Times New Roman" w:hAnsi="Times New Roman"/>
          <w:color w:val="0070C0"/>
          <w:sz w:val="16"/>
          <w:szCs w:val="16"/>
        </w:rPr>
      </w:pPr>
    </w:p>
    <w:p w14:paraId="5097A8AF" w14:textId="77777777" w:rsidR="00ED0B5B" w:rsidRPr="00C33834" w:rsidRDefault="00ED0B5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февраля 1933 года — первый полёт палубного истребителя Boeing XF6B. /США/</w:t>
      </w:r>
    </w:p>
    <w:p w14:paraId="652F2B12" w14:textId="77777777" w:rsidR="00ED0B5B" w:rsidRPr="00C33834" w:rsidRDefault="00ED0B5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1931 году ВМФ США заказал Boeing постройку нового палубного истребителя. Развив идеи, заложенные в истребителе Boeing P-12/F4B, инженеры компании спроектировали XF6B. Он также мог использоваться в качестве лёгкого бомбардировщика.</w:t>
      </w:r>
    </w:p>
    <w:p w14:paraId="5D944826" w14:textId="77777777" w:rsidR="00ED0B5B" w:rsidRPr="00C33834" w:rsidRDefault="00ED0B5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XF6B представлял собой биплан с неубирающимся шасси. Конструкция цельнометаллическая, только на крыльях полотняная обшивка. Устанавливался двигатель Pratt &amp; Whitney R-1535-44. Максимальная скорость — 322 км/ч, дальность полёта — 845 км. Вооружение состояло из 2 × 7,62-мм пулемётов и 227 кг бомб.</w:t>
      </w:r>
    </w:p>
    <w:p w14:paraId="1CA0C840" w14:textId="77777777" w:rsidR="00ED0B5B" w:rsidRPr="00C33834" w:rsidRDefault="00ED0B5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Испытания показали, что по лётным характеристикам самолёт не устраивает ВМФ. Флот предпочёл заказать истребитель Curtiss F11C Goshawk. Единственный построенный прототип продолжал летать до 1936 года, когда потерпел аварию и был серьёзно повреждён. Восстанавливать самолёт не стали и XF6B стал последним бипланом Boeing, созданным для ВМФ США (22300).</w:t>
      </w:r>
    </w:p>
    <w:p w14:paraId="5F2F0F0C" w14:textId="77777777" w:rsidR="00ED0B5B" w:rsidRPr="00C33834" w:rsidRDefault="00ED0B5B" w:rsidP="00C33834">
      <w:pPr>
        <w:spacing w:after="0" w:line="240" w:lineRule="auto"/>
        <w:jc w:val="both"/>
        <w:rPr>
          <w:rFonts w:ascii="Times New Roman" w:hAnsi="Times New Roman"/>
          <w:color w:val="0070C0"/>
          <w:sz w:val="16"/>
          <w:szCs w:val="16"/>
        </w:rPr>
      </w:pPr>
    </w:p>
    <w:p w14:paraId="2DE18D08" w14:textId="77777777" w:rsidR="001031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0EC2C32" w14:textId="77777777" w:rsidR="00103186" w:rsidRPr="00C33834" w:rsidRDefault="001031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F684E2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февраля 1933 состоялось совещание у И.М.Косткина о внедрении ТБ-4 и Ми-3 в производство (1077,176).</w:t>
      </w:r>
    </w:p>
    <w:p w14:paraId="1F8B462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3D0DFB30" w14:textId="77777777" w:rsidR="001031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C6A37CD" w14:textId="77777777" w:rsidR="00103186" w:rsidRPr="00C33834" w:rsidRDefault="001031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1EBABB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февраля 1933 между компаниями US Wheel Track layer Corp. и Амторг был заключен договор о: “ приобретении автомобильного колесно-гусеничного шасси специального типа, последней модели 1932 года. Причем продавец подтверждает наличие у него разрешения для подобной продажи от Правительства США” От СССР подписал Смоленцев и Кристи был обязан: “продать 1 образец и переслать чертежи за сумму 33000 долл. после испытаний и доставки шасси в порт NY не позднее 31 марта 1933. Испытания проводит Амторг за счет Кристи на заводе в Роувей (Rahway), New Jersey”. Оговаривали необходимость упаковки полностью в деревянный ящик и к договору прилагались: Спецификация колесно-гусеничного шасси Кристи модели 1932 и Разрешение на посещение завода по производству шасси. Именно эта сделка встретила неодобрение в Военном ведомстве США (3879,36).</w:t>
      </w:r>
    </w:p>
    <w:p w14:paraId="7928133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1176804C" w14:textId="77777777" w:rsidR="001031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0A24B090" w14:textId="77777777" w:rsidR="00103186" w:rsidRPr="00C33834" w:rsidRDefault="001031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C964CB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февраля 1933 г. из записки зампреда ОГПУ Г. Ягоды Сталину и Молотову, </w:t>
      </w:r>
    </w:p>
    <w:p w14:paraId="6D090DF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заслонах и оперативно-розыскных группах </w:t>
      </w:r>
    </w:p>
    <w:p w14:paraId="0F69E3F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Для пресечения массового выезда из Украины, Северного Кавказа и Белоруссии транспортными органами ОГПУ организованы на дорогах: С. Кавказа, Украины, Юго-Восточной, Западной, Рязанской, Уральской, Златоустовской, Октябрьской, М-Казанской, М-Курской, Моск.-Балт.-Белор. заслоны и оперативно-розыскные </w:t>
      </w:r>
      <w:r w:rsidRPr="00C33834">
        <w:rPr>
          <w:rFonts w:ascii="Times New Roman" w:hAnsi="Times New Roman"/>
          <w:color w:val="000000" w:themeColor="text1"/>
          <w:sz w:val="16"/>
          <w:szCs w:val="16"/>
        </w:rPr>
        <w:lastRenderedPageBreak/>
        <w:t>группы. В результате проведенных мероприятий задержано 24 961 человека, бежавших с мест постоянного жительства, из них: украинцев 18 379 чел., СКК — 6225 ч.; прочих районов 357 ч. Возвращено обратно к месту жительства 16 046 ч.; арестовано 1016 ч.; остальные 7879 ч. находятся в стадии проверки (11652).</w:t>
      </w:r>
    </w:p>
    <w:p w14:paraId="6C5B8B1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0EF4D891" w14:textId="77777777" w:rsidR="00166499" w:rsidRPr="00C33834" w:rsidRDefault="0016649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февраля 1933 г. НКПрос оформил партийные рекомендации в виде Приказа «О порядке комплектования, хранения и изъятия книг из библиотек». Было признано необходимым прекратить чистки и ликвидировать спецфонды в районных, городских, сельских и областных библиотеках. Для общего руководства работой по просмотру книжного состава библиотек при Главлите создавалась Центральная постоянно действующая комиссия под руководством Б.М.Волина. Аналогичные комиссии создавались и при Краевых и Областных Отделах народного образования (ОНО) (17273). </w:t>
      </w:r>
    </w:p>
    <w:p w14:paraId="6224DE0F" w14:textId="77777777" w:rsidR="00166499" w:rsidRPr="00C33834" w:rsidRDefault="00166499" w:rsidP="00C33834">
      <w:pPr>
        <w:spacing w:after="0" w:line="240" w:lineRule="auto"/>
        <w:jc w:val="both"/>
        <w:rPr>
          <w:rFonts w:ascii="Times New Roman" w:hAnsi="Times New Roman"/>
          <w:color w:val="000000" w:themeColor="text1"/>
          <w:sz w:val="16"/>
          <w:szCs w:val="16"/>
        </w:rPr>
      </w:pPr>
    </w:p>
    <w:p w14:paraId="3B67C5CF" w14:textId="77777777" w:rsidR="00221E53" w:rsidRPr="00C33834" w:rsidRDefault="00221E53"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171C604E" w14:textId="77777777" w:rsidR="00221E53" w:rsidRPr="00C33834" w:rsidRDefault="00221E5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5B5B5E2" w14:textId="77777777" w:rsidR="00ED0B5B" w:rsidRPr="00C33834" w:rsidRDefault="00ED0B5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февраля 1933 создается компания Spartan Air Lines для использования авиалайнера Spartan Cruiser. Авиакомпания начнет полеты 12 апреля (20802).</w:t>
      </w:r>
    </w:p>
    <w:p w14:paraId="270F5008" w14:textId="77777777" w:rsidR="00ED0B5B" w:rsidRPr="00C33834" w:rsidRDefault="00ED0B5B" w:rsidP="00C33834">
      <w:pPr>
        <w:spacing w:after="0" w:line="240" w:lineRule="auto"/>
        <w:jc w:val="both"/>
        <w:rPr>
          <w:rFonts w:ascii="Times New Roman" w:hAnsi="Times New Roman"/>
          <w:color w:val="0070C0"/>
          <w:sz w:val="16"/>
          <w:szCs w:val="16"/>
        </w:rPr>
      </w:pPr>
    </w:p>
    <w:p w14:paraId="36A75C77" w14:textId="77777777" w:rsidR="00221E53" w:rsidRPr="00C33834" w:rsidRDefault="00221E5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февраля 1933 года, через три дня после вступления в должность, он произнес двухчасовую речь на встрече с генералами и адмиралами, состоявшейся в доме командующего армией генерала фон Хаммерштейна. Цель этой первой встречи нацистского канцлера с офицерским корпусом была раскрыта в Нюрнберге адмиралом Эрихом Редером. Гитлер, по его словам, рассеял опасения военной элиты относительно того, что вооруженным силам придется участвовать в гражданской войне, и заверил, что армия и флот получат возможность целиком посвятить себя решению главной задачи - быстрому перевооружению Германии. Адмирал Редер признал, что он остался чрезвычайно доволен перспективой строительства военно-морского флота, а генерал фон Бломберг, поспешивший 30 января 1933 года принять пост министра обороны, чем помог предотвратить попытки военных выступить против назначения Гитлера канцлером, указал позднее в своих неопубликованных мемуарах, что фюрер открыл "поле деятельности, таившее в себе огромные возможности на будущее" (17283).</w:t>
      </w:r>
    </w:p>
    <w:p w14:paraId="4D9309B0" w14:textId="77777777" w:rsidR="00221E53" w:rsidRPr="00C33834" w:rsidRDefault="00221E5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E77138" w14:textId="77777777" w:rsidR="00221E53" w:rsidRPr="00C33834" w:rsidRDefault="00221E53"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5EF215F" w14:textId="77777777" w:rsidR="00221E53" w:rsidRPr="00C33834" w:rsidRDefault="00221E5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1E023E8" w14:textId="77777777" w:rsidR="00221E53" w:rsidRPr="00C33834" w:rsidRDefault="00221E5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shd w:val="clear" w:color="auto" w:fill="FFFFFF"/>
        </w:rPr>
        <w:t>3 февраля 1933 г. на Дорогомиловском химкомбинате им. Фрунзе в корпусе N 11 в аппарате системы Фредеркинг была обнаружена гайка в коробке шестерни, "что привело к повреждению подшипника и остановке аппарата на ремонт". Сталина убеждали в том, что случившееся "могло быть следствием умышленного подкидывания ее (гайки. - Авт.) с целью порчи и выведения из строя важнейшего аппарата корпуса" (18727).</w:t>
      </w:r>
    </w:p>
    <w:p w14:paraId="3ECE78C9" w14:textId="77777777" w:rsidR="00221E53" w:rsidRPr="00C33834" w:rsidRDefault="00221E53" w:rsidP="00C33834">
      <w:pPr>
        <w:spacing w:after="0" w:line="240" w:lineRule="auto"/>
        <w:jc w:val="both"/>
        <w:rPr>
          <w:rFonts w:ascii="Times New Roman" w:hAnsi="Times New Roman"/>
          <w:color w:val="000000" w:themeColor="text1"/>
          <w:sz w:val="16"/>
          <w:szCs w:val="16"/>
        </w:rPr>
      </w:pPr>
    </w:p>
    <w:p w14:paraId="11FC9A74" w14:textId="77777777" w:rsidR="001031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22BE090B" w14:textId="77777777" w:rsidR="00103186" w:rsidRPr="00C33834" w:rsidRDefault="001031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F6DA79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февраля 1933 А.Гитлер выступил перед командованием Рейхсвера и произнес слова Жизненное пространство на Востоке и Германизация (2242,1).</w:t>
      </w:r>
    </w:p>
    <w:p w14:paraId="5CC409D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67BAC589" w14:textId="77777777" w:rsidR="007C00E8" w:rsidRPr="00C33834" w:rsidRDefault="007C00E8"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февраля 1933 Геббельс записал в дневнике ликовал. "Теперь будет легко вести борьбу - ибо мы сможем мобилизовать все государственные средства. В нашем распоряжении и радио, и печать. Мы развернем отличную пропаганду. И денег у нас теперь будет предостаточно" (17283).</w:t>
      </w:r>
    </w:p>
    <w:p w14:paraId="033914B4" w14:textId="77777777" w:rsidR="007C00E8" w:rsidRPr="00C33834" w:rsidRDefault="007C00E8"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DC0180" w14:textId="77777777" w:rsidR="00103186" w:rsidRPr="00C33834" w:rsidRDefault="00103186"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февраля 1933 в Кембридже (Англия) открылась Мондовская лаборатория, созданная для русского физика П. Капицы (4962).</w:t>
      </w:r>
    </w:p>
    <w:p w14:paraId="7632699C" w14:textId="77777777" w:rsidR="00103186" w:rsidRPr="00C33834" w:rsidRDefault="00103186"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0A7BEA" w14:textId="77777777" w:rsidR="001031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38406566" w14:textId="77777777" w:rsidR="00103186" w:rsidRPr="00C33834" w:rsidRDefault="001031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97EC60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4 и 10 февраля 1933. Из протокола заседания Политбюро N 130, 1933 г.</w:t>
      </w:r>
    </w:p>
    <w:p w14:paraId="2F8001C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пассажирских тарифах </w:t>
      </w:r>
    </w:p>
    <w:p w14:paraId="5CD176E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 Повысить с 10-го февраля 1933 года железнодорожные и водные (речные и внутренние морские) тарифы на перевозку пассажиров в прямом, местном и пригородном сообщении и тариф на перевозку багажа на 35%... </w:t>
      </w:r>
    </w:p>
    <w:p w14:paraId="6ACB518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Обратить все доходы, вытекающие из настоящего повышения тарифов, на увеличение предусмотренного по союзному бюджету государственного резерва (11652).</w:t>
      </w:r>
    </w:p>
    <w:p w14:paraId="1504CC6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7421F27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4 и 10 февраля 1933. Из протокола заседания Политбюро N 130, 1933 г.</w:t>
      </w:r>
    </w:p>
    <w:p w14:paraId="555FACC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Об увеличении отпуска продовольствия для лагерей ОГПУ </w:t>
      </w:r>
    </w:p>
    <w:p w14:paraId="5274175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Сверх установленного для лагерей ОГПУ с июля 1932 г. по июль 1933 г. отпуска муки и круп выделить на период времени по 1 июля 1933 г. дополнительно: муки — 10 800 тонн, крупы — 1915 тонн (11652).</w:t>
      </w:r>
    </w:p>
    <w:p w14:paraId="4AB08EF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726A820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4 и 10 февраля 1933. Из протокола заседания Политбюро N 130, 1933 г.</w:t>
      </w:r>
    </w:p>
    <w:p w14:paraId="7B0C66D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Вопрос ЦК КП(б) Белоруссии </w:t>
      </w:r>
    </w:p>
    <w:p w14:paraId="25D24DC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Удовлетворить просьбу ЦК КП(б) Белоруссии о предоставлении права тройке ПП ОГПУ Белоруссии применять высшую меру наказания по делам контрреволюционных организаций и группировок, состоящих из кулацких и белогвардейских элементов (11652).</w:t>
      </w:r>
    </w:p>
    <w:p w14:paraId="0FFF898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594B50D6" w14:textId="77777777" w:rsidR="001031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9691150" w14:textId="77777777" w:rsidR="00103186" w:rsidRPr="00C33834" w:rsidRDefault="001031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EC9EF4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февраля 1933 Зам. НКТП П.И.Б. писал Зам. НКВМД и Пред. РВС Тухачевскому письмо на N 157178 от 19 января 1933 о том, что вопрос винтовых аппаратов типа автожир стоит в плане работ ЦАГИ. Осваиваются имеющиеся результаты. Вопрос о летающем танке Камова не ясен. выделить Камову группы в 6-8 чел. не представляется возможным из-за загруженности состава стоящими заданиями. Просил отменить задания, если считаете, что предложение Камова более актуальна, однако, освобожден будет один Камов (2305,15).</w:t>
      </w:r>
    </w:p>
    <w:p w14:paraId="73EE0A2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Похоже, что так и не отправлено</w:t>
      </w:r>
    </w:p>
    <w:p w14:paraId="0E086851"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 винтовых аппаратов типа автожир стоит в плане работ ЦАГИ.</w:t>
      </w:r>
    </w:p>
    <w:p w14:paraId="73969F80"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Настоящее состояние этого вопроса находится в стадии освоения тех результатов, которые до сего времени достиг</w:t>
      </w:r>
      <w:r w:rsidRPr="00C33834">
        <w:rPr>
          <w:rFonts w:ascii="Times New Roman" w:hAnsi="Times New Roman"/>
          <w:color w:val="000000" w:themeColor="text1"/>
          <w:sz w:val="16"/>
          <w:szCs w:val="16"/>
        </w:rPr>
        <w:softHyphen/>
        <w:t>нуты. Дальнейший этапом является распространение их на типы летательных машин с прогрессивным увеличением мощ</w:t>
      </w:r>
      <w:r w:rsidRPr="00C33834">
        <w:rPr>
          <w:rFonts w:ascii="Times New Roman" w:hAnsi="Times New Roman"/>
          <w:color w:val="000000" w:themeColor="text1"/>
          <w:sz w:val="16"/>
          <w:szCs w:val="16"/>
        </w:rPr>
        <w:softHyphen/>
        <w:t>ности и тоннажа.</w:t>
      </w:r>
    </w:p>
    <w:p w14:paraId="7471D48D"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Хотя принцип вращающихся лопастей для использования их в качестве создания подъемной силы достаточно проверен, но все таки еще остается ряд технических и особенно эксплоатационных сторон, которые должны быть проанализированы и проэкспериментированы прежде чем допущены к широкому применению.</w:t>
      </w:r>
    </w:p>
    <w:p w14:paraId="4DF42A85"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виду того, что вопрос в целом еще не окончательно доработан, полагаю, что эскизный проект, "летающего танка” далеко еще не говорит за то, что проблемна о летающем танке решается с “исключительной полнотой”.</w:t>
      </w:r>
    </w:p>
    <w:p w14:paraId="2B100F8D"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Можно дать ряд преложений, представляющих большой ин</w:t>
      </w:r>
      <w:r w:rsidRPr="00C33834">
        <w:rPr>
          <w:rFonts w:ascii="Times New Roman" w:hAnsi="Times New Roman"/>
          <w:color w:val="000000" w:themeColor="text1"/>
          <w:sz w:val="16"/>
          <w:szCs w:val="16"/>
        </w:rPr>
        <w:softHyphen/>
        <w:t>терес и очень ценных по идее, но не выполнимых с исчерпыва</w:t>
      </w:r>
      <w:r w:rsidRPr="00C33834">
        <w:rPr>
          <w:rFonts w:ascii="Times New Roman" w:hAnsi="Times New Roman"/>
          <w:color w:val="000000" w:themeColor="text1"/>
          <w:sz w:val="16"/>
          <w:szCs w:val="16"/>
        </w:rPr>
        <w:softHyphen/>
        <w:t>ющей целесообразностью, из-за необходимости проводить до</w:t>
      </w:r>
      <w:r w:rsidRPr="00C33834">
        <w:rPr>
          <w:rFonts w:ascii="Times New Roman" w:hAnsi="Times New Roman"/>
          <w:color w:val="000000" w:themeColor="text1"/>
          <w:sz w:val="16"/>
          <w:szCs w:val="16"/>
        </w:rPr>
        <w:softHyphen/>
        <w:t>полнительно целый ряд предварительных работ.</w:t>
      </w:r>
    </w:p>
    <w:p w14:paraId="223168E5" w14:textId="77777777" w:rsidR="00103186" w:rsidRPr="00C33834" w:rsidRDefault="001031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Поэтому считаю реализацию предложения тов. Камова пре</w:t>
      </w:r>
      <w:r w:rsidRPr="00C33834">
        <w:rPr>
          <w:rFonts w:ascii="Times New Roman" w:hAnsi="Times New Roman"/>
          <w:color w:val="000000" w:themeColor="text1"/>
          <w:sz w:val="16"/>
          <w:szCs w:val="16"/>
        </w:rPr>
        <w:softHyphen/>
        <w:t>ждевременной. Что же касается Вашей просьбы о выделении группы в 6-8 человек для разработки.проекта т. КАМОВА, то таковую выделить в настоящее время не представляется воз</w:t>
      </w:r>
      <w:r w:rsidRPr="00C33834">
        <w:rPr>
          <w:rFonts w:ascii="Times New Roman" w:hAnsi="Times New Roman"/>
          <w:color w:val="000000" w:themeColor="text1"/>
          <w:sz w:val="16"/>
          <w:szCs w:val="16"/>
        </w:rPr>
        <w:softHyphen/>
        <w:t>можным из-за загруженности состава стоящими заданиями.</w:t>
      </w:r>
    </w:p>
    <w:p w14:paraId="5C91D66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Если же Вы найдете, что работа по предложению тов. КАМОВА более актуальна и необходима, чем те заданий, которые отоят перед СОК ЦАГИ и в частности ведутся т. КАМОВЫМ, то я со своей стороны считаю возможным освободить лишь одного тов. Камова и передать в Ваше распоряжение для организации не</w:t>
      </w:r>
      <w:r w:rsidRPr="00C33834">
        <w:rPr>
          <w:rFonts w:ascii="Times New Roman" w:hAnsi="Times New Roman"/>
          <w:color w:val="000000" w:themeColor="text1"/>
          <w:sz w:val="16"/>
          <w:szCs w:val="16"/>
        </w:rPr>
        <w:softHyphen/>
        <w:t>обходимой Вам работы (2305,15).</w:t>
      </w:r>
    </w:p>
    <w:p w14:paraId="61DB3CF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32BF43E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февраля 1933 года гл. инженер вооружения ВВС Коннэрт писал письмо N 1/007 начальнику вооружений и материально-технического снабжения ВВС.</w:t>
      </w:r>
    </w:p>
    <w:p w14:paraId="6E9D8D4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Выписка из перечня</w:t>
      </w:r>
    </w:p>
    <w:p w14:paraId="2D42914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предметов стрелкового вооружения,</w:t>
      </w:r>
    </w:p>
    <w:p w14:paraId="6DCBFD3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состоящих на вооружении ВВС</w:t>
      </w:r>
    </w:p>
    <w:p w14:paraId="45BE68E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Пулемет ПБ-1</w:t>
      </w:r>
    </w:p>
    <w:p w14:paraId="34CAF65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Пулемет ДА</w:t>
      </w:r>
    </w:p>
    <w:p w14:paraId="6958C5E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Пулемет ДА-2</w:t>
      </w:r>
    </w:p>
    <w:p w14:paraId="0DAC795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Выписка из перечня</w:t>
      </w:r>
    </w:p>
    <w:p w14:paraId="2CB803A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бомбардировочного вооружения,</w:t>
      </w:r>
    </w:p>
    <w:p w14:paraId="2A71F47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состоящих и принятых на вооружение ВВС</w:t>
      </w:r>
    </w:p>
    <w:p w14:paraId="70BC534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 Фугасная авиабомба ФАБ-50</w:t>
      </w:r>
    </w:p>
    <w:p w14:paraId="03D44AD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Фугасная авиабомба ФАБ-16</w:t>
      </w:r>
    </w:p>
    <w:p w14:paraId="02474DC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Фугасная авиабомба ФАБ-32</w:t>
      </w:r>
    </w:p>
    <w:p w14:paraId="047EBB6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Фугасная авиабомба ФАБ-100</w:t>
      </w:r>
    </w:p>
    <w:p w14:paraId="0CE94E6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Фугасная авиабомба ФАБ-250</w:t>
      </w:r>
    </w:p>
    <w:p w14:paraId="6D71449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Фугасная авиабомба ФАБ-500</w:t>
      </w:r>
    </w:p>
    <w:p w14:paraId="2D60F92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Фугасная авиабомба ФАБ-1000</w:t>
      </w:r>
    </w:p>
    <w:p w14:paraId="7C4304D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Фугасная авиабомба ФАБ-82</w:t>
      </w:r>
    </w:p>
    <w:p w14:paraId="321D845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Осколочная авиабомба АО-8</w:t>
      </w:r>
    </w:p>
    <w:p w14:paraId="316C097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Осколочная авиабомба АО-8М кв.</w:t>
      </w:r>
    </w:p>
    <w:p w14:paraId="18B371E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Осколочная авиабомба АО-10</w:t>
      </w:r>
    </w:p>
    <w:p w14:paraId="372628D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1 кг электрон. зажигат. авиабомба</w:t>
      </w:r>
    </w:p>
    <w:p w14:paraId="4DF9FCE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Светящаяся авиабомба СБ-5</w:t>
      </w:r>
    </w:p>
    <w:p w14:paraId="0A68DFC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АОС-15 из 107 мм снаряда</w:t>
      </w:r>
    </w:p>
    <w:p w14:paraId="745C7F7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АОС-25 из 122 мм снаряда</w:t>
      </w:r>
    </w:p>
    <w:p w14:paraId="1B92292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АФС-50 из 152 мм снаряда</w:t>
      </w:r>
    </w:p>
    <w:p w14:paraId="5142B1C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АФС-80 из мин Батиньоля</w:t>
      </w:r>
    </w:p>
    <w:p w14:paraId="06AB515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АБР-250 из 276 мм снаряда</w:t>
      </w:r>
    </w:p>
    <w:p w14:paraId="755BA6C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Ротативная рассеивающ. авиабомба РАБ-250, 500 и 1000</w:t>
      </w:r>
    </w:p>
    <w:p w14:paraId="581B1BE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Взрыватель АГМ-1</w:t>
      </w:r>
    </w:p>
    <w:p w14:paraId="2309681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Взрыватель АГП</w:t>
      </w:r>
    </w:p>
    <w:p w14:paraId="3AEA528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Взрыватель АД3</w:t>
      </w:r>
    </w:p>
    <w:p w14:paraId="4A6C022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Взрыватель АДО</w:t>
      </w:r>
    </w:p>
    <w:p w14:paraId="2C9B12C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Взрыватель АГДТ</w:t>
      </w:r>
    </w:p>
    <w:p w14:paraId="542BD46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Выписка из перечня</w:t>
      </w:r>
    </w:p>
    <w:p w14:paraId="308130A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предметов химического вооружения,</w:t>
      </w:r>
    </w:p>
    <w:p w14:paraId="6734C62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состоящих и принятых на вооружение ВВС</w:t>
      </w:r>
    </w:p>
    <w:p w14:paraId="6EA251D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Состоят на вооружении.</w:t>
      </w:r>
    </w:p>
    <w:p w14:paraId="642B254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ВАП-4</w:t>
      </w:r>
    </w:p>
    <w:p w14:paraId="66423C8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ДАП-Д-100</w:t>
      </w:r>
    </w:p>
    <w:p w14:paraId="161A080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ДАП-Д-200</w:t>
      </w:r>
    </w:p>
    <w:p w14:paraId="7FB2B25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Ночные патроны 4 кал. (сигнальные).</w:t>
      </w:r>
    </w:p>
    <w:p w14:paraId="057147A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Дневные сигнальные 4 кал. черного дыма</w:t>
      </w:r>
    </w:p>
    <w:p w14:paraId="65D63EB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АОХ-8, АОХ-10</w:t>
      </w:r>
    </w:p>
    <w:p w14:paraId="6730A7A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АХ32 (СОВ).</w:t>
      </w:r>
    </w:p>
    <w:p w14:paraId="509D96B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 Принятые на вооружение (снабжение).</w:t>
      </w:r>
    </w:p>
    <w:p w14:paraId="48AB3EB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АРС-1</w:t>
      </w:r>
    </w:p>
    <w:p w14:paraId="6C92160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АХ-250 (СОВ).</w:t>
      </w:r>
    </w:p>
    <w:p w14:paraId="3B64B83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АД25 (СОВ) (3029,121-124).</w:t>
      </w:r>
    </w:p>
    <w:p w14:paraId="21FB87D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49965077" w14:textId="77777777" w:rsidR="005B4B1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2699C285" w14:textId="77777777" w:rsidR="005B4B1E" w:rsidRPr="00C33834" w:rsidRDefault="005B4B1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3C82142" w14:textId="77777777" w:rsidR="005B4B1E" w:rsidRPr="00C33834" w:rsidRDefault="005B4B1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февраля 1933 года первый секретарь ЦК КП(б)У С.В.Косиор в своем докладе указал, что суммарный план для колхозов и единоличников был оказывается снижен с 356 млн. пудов (5,7 млн т) до 218 млн. пудов (3,5 млн т). Это косвенно подтверждается председателем Совета по изучению продуктивных сил Украины А.Г.Шлихтером в его речи на 17-м съезде ВКП(б) [99, 100].</w:t>
      </w:r>
    </w:p>
    <w:p w14:paraId="5FB0E2FA" w14:textId="77777777" w:rsidR="005B4B1E" w:rsidRPr="00C33834" w:rsidRDefault="005B4B1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первоначальный план хлебозаготовок по СССР к январю 1933 г. "был снижен на 17% до 17,045 млн т". Всего государство из урожая 1932 года до 1 июля 1933 года "забрало" у украинских крестьян не более 248 млн. пудов (4 млн. т) зерна. Тем не менее возник голод. Действуя, по сути вслепую, Сталин тем не менее пошел навстречу крестьянам (17264).</w:t>
      </w:r>
    </w:p>
    <w:p w14:paraId="2000705B" w14:textId="77777777" w:rsidR="005B4B1E" w:rsidRPr="00C33834" w:rsidRDefault="005B4B1E" w:rsidP="00C33834">
      <w:pPr>
        <w:spacing w:after="0" w:line="240" w:lineRule="auto"/>
        <w:jc w:val="both"/>
        <w:rPr>
          <w:rFonts w:ascii="Times New Roman" w:hAnsi="Times New Roman"/>
          <w:color w:val="000000" w:themeColor="text1"/>
          <w:sz w:val="16"/>
          <w:szCs w:val="16"/>
        </w:rPr>
      </w:pPr>
    </w:p>
    <w:p w14:paraId="2ED7742F" w14:textId="77777777" w:rsidR="00D31A5A" w:rsidRPr="00C33834" w:rsidRDefault="00D31A5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A9109BE" w14:textId="77777777" w:rsidR="00D31A5A" w:rsidRPr="00C33834" w:rsidRDefault="00D31A5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5956321" w14:textId="77777777" w:rsidR="00D31A5A" w:rsidRPr="00C33834" w:rsidRDefault="00D31A5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февраля 1933 состоялось заседание ПБ и был оформлен протокол № 130</w:t>
      </w:r>
    </w:p>
    <w:p w14:paraId="0F08CA40" w14:textId="77777777" w:rsidR="00D31A5A" w:rsidRPr="00C33834" w:rsidRDefault="00D31A5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17.-О ликвидации_договора с фирмой Фрейн</w:t>
      </w:r>
    </w:p>
    <w:p w14:paraId="5F43A3E2" w14:textId="77777777" w:rsidR="00D31A5A" w:rsidRPr="00C33834" w:rsidRDefault="00D31A5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(т. Пятаков)</w:t>
      </w:r>
    </w:p>
    <w:p w14:paraId="40F2FC81" w14:textId="77777777" w:rsidR="00D31A5A" w:rsidRPr="00C33834" w:rsidRDefault="00D31A5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Разрешить Наркомтяжпрому уплатить Американской фирме "Фрейн", в виде премии за досрочную ликвидацию договора ее с Кузнецким комбинатом, 25-30 тыс.долларов.</w:t>
      </w:r>
    </w:p>
    <w:p w14:paraId="44CDADD1" w14:textId="77777777" w:rsidR="00D31A5A" w:rsidRPr="00C33834" w:rsidRDefault="00D31A5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тют. Пятакову, Рудзутаку, Гринько, Калмановичу (22980).</w:t>
      </w:r>
    </w:p>
    <w:p w14:paraId="2191F34F" w14:textId="77777777" w:rsidR="00D31A5A" w:rsidRPr="00C33834" w:rsidRDefault="00D31A5A" w:rsidP="00C33834">
      <w:pPr>
        <w:spacing w:after="0" w:line="240" w:lineRule="auto"/>
        <w:jc w:val="both"/>
        <w:rPr>
          <w:rFonts w:ascii="Times New Roman" w:hAnsi="Times New Roman"/>
          <w:color w:val="0070C0"/>
          <w:sz w:val="16"/>
          <w:szCs w:val="16"/>
        </w:rPr>
      </w:pPr>
    </w:p>
    <w:p w14:paraId="4BE31D3D" w14:textId="77777777" w:rsidR="001031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62E58041" w14:textId="77777777" w:rsidR="00103186" w:rsidRPr="00C33834" w:rsidRDefault="001031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9762850" w14:textId="77777777" w:rsidR="00103186" w:rsidRPr="00C33834" w:rsidRDefault="00103186"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февраля 1933 в Оймяконе (СССР) зафиксирована самая низкая температура в обитаемом месте Земли - минус 68 градусов (4962).</w:t>
      </w:r>
    </w:p>
    <w:p w14:paraId="64F551B6" w14:textId="77777777" w:rsidR="00103186" w:rsidRPr="00C33834" w:rsidRDefault="00103186"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4CAC5A" w14:textId="77777777" w:rsidR="005B4B1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427CCE7D" w14:textId="77777777" w:rsidR="005B4B1E" w:rsidRPr="00C33834" w:rsidRDefault="005B4B1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90A6A6D" w14:textId="77777777" w:rsidR="005B4B1E" w:rsidRPr="00C33834" w:rsidRDefault="005B4B1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февраля 1933 на Международной конференции по разоружению в Женеве СССР предложил подписать соглашение об определении агрессии и агрессора (3186).</w:t>
      </w:r>
    </w:p>
    <w:p w14:paraId="2FA1A959" w14:textId="77777777" w:rsidR="005B4B1E" w:rsidRPr="00C33834" w:rsidRDefault="005B4B1E" w:rsidP="00C33834">
      <w:pPr>
        <w:autoSpaceDE w:val="0"/>
        <w:autoSpaceDN w:val="0"/>
        <w:adjustRightInd w:val="0"/>
        <w:spacing w:after="0" w:line="240" w:lineRule="auto"/>
        <w:jc w:val="both"/>
        <w:rPr>
          <w:rFonts w:ascii="Times New Roman" w:hAnsi="Times New Roman"/>
          <w:color w:val="000000" w:themeColor="text1"/>
          <w:sz w:val="16"/>
          <w:szCs w:val="16"/>
        </w:rPr>
      </w:pPr>
    </w:p>
    <w:p w14:paraId="67EA7553" w14:textId="77777777" w:rsidR="001031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28A3E19F" w14:textId="77777777" w:rsidR="00103186" w:rsidRPr="00C33834" w:rsidRDefault="001031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2135CE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период 6-8 февраля 1933 г. летчики Гейфорд и Николэтс на Фэйри LR пролетели расстояние 8544 км, что соответствовало новому абсолютному мировому рекорду.</w:t>
      </w:r>
    </w:p>
    <w:p w14:paraId="2BDF5F4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ТАКТИКО-ТЕХНИЧЕСКИЕ ХАРАКТЕРИСТИКИ ЕВРОПЕЙСКИХ САМОЛЕТОВ ДЛЯ ДАЛЬНИХ ПЕРЕЛЕТОВ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5"/>
        <w:gridCol w:w="1145"/>
        <w:gridCol w:w="1145"/>
        <w:gridCol w:w="1145"/>
        <w:gridCol w:w="1145"/>
        <w:gridCol w:w="1145"/>
        <w:gridCol w:w="1145"/>
        <w:gridCol w:w="1145"/>
        <w:gridCol w:w="1145"/>
      </w:tblGrid>
      <w:tr w:rsidR="00F26F01" w:rsidRPr="00C33834" w14:paraId="128678C1" w14:textId="77777777">
        <w:tc>
          <w:tcPr>
            <w:tcW w:w="1145" w:type="dxa"/>
            <w:tcBorders>
              <w:top w:val="single" w:sz="12" w:space="0" w:color="auto"/>
            </w:tcBorders>
          </w:tcPr>
          <w:p w14:paraId="33573FC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w:t>
            </w:r>
          </w:p>
        </w:tc>
        <w:tc>
          <w:tcPr>
            <w:tcW w:w="1145" w:type="dxa"/>
            <w:tcBorders>
              <w:top w:val="single" w:sz="12" w:space="0" w:color="auto"/>
            </w:tcBorders>
          </w:tcPr>
          <w:p w14:paraId="35374B8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Двигатель(л.с.)</w:t>
            </w:r>
          </w:p>
        </w:tc>
        <w:tc>
          <w:tcPr>
            <w:tcW w:w="1145" w:type="dxa"/>
            <w:tcBorders>
              <w:top w:val="single" w:sz="12" w:space="0" w:color="auto"/>
            </w:tcBorders>
          </w:tcPr>
          <w:p w14:paraId="255857E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Размах (м)</w:t>
            </w:r>
          </w:p>
        </w:tc>
        <w:tc>
          <w:tcPr>
            <w:tcW w:w="1145" w:type="dxa"/>
            <w:tcBorders>
              <w:top w:val="single" w:sz="12" w:space="0" w:color="auto"/>
            </w:tcBorders>
          </w:tcPr>
          <w:p w14:paraId="4930E9B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крыла (мг)</w:t>
            </w:r>
          </w:p>
        </w:tc>
        <w:tc>
          <w:tcPr>
            <w:tcW w:w="1145" w:type="dxa"/>
            <w:tcBorders>
              <w:top w:val="single" w:sz="12" w:space="0" w:color="auto"/>
            </w:tcBorders>
          </w:tcPr>
          <w:p w14:paraId="7482350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Удлинение</w:t>
            </w:r>
          </w:p>
        </w:tc>
        <w:tc>
          <w:tcPr>
            <w:tcW w:w="1145" w:type="dxa"/>
            <w:tcBorders>
              <w:top w:val="single" w:sz="12" w:space="0" w:color="auto"/>
            </w:tcBorders>
          </w:tcPr>
          <w:p w14:paraId="4238D51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пустого (кг)</w:t>
            </w:r>
          </w:p>
        </w:tc>
        <w:tc>
          <w:tcPr>
            <w:tcW w:w="1145" w:type="dxa"/>
            <w:tcBorders>
              <w:top w:val="single" w:sz="12" w:space="0" w:color="auto"/>
            </w:tcBorders>
          </w:tcPr>
          <w:p w14:paraId="19547A5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Полетный вес (кг)</w:t>
            </w:r>
          </w:p>
        </w:tc>
        <w:tc>
          <w:tcPr>
            <w:tcW w:w="1145" w:type="dxa"/>
            <w:tcBorders>
              <w:top w:val="single" w:sz="12" w:space="0" w:color="auto"/>
            </w:tcBorders>
          </w:tcPr>
          <w:p w14:paraId="58E686B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Запас горючего (кг)</w:t>
            </w:r>
          </w:p>
        </w:tc>
        <w:tc>
          <w:tcPr>
            <w:tcW w:w="1145" w:type="dxa"/>
            <w:tcBorders>
              <w:top w:val="single" w:sz="12" w:space="0" w:color="auto"/>
            </w:tcBorders>
          </w:tcPr>
          <w:p w14:paraId="1ECBFBC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Нагрузка на крыло (кг/м2)</w:t>
            </w:r>
          </w:p>
        </w:tc>
      </w:tr>
      <w:tr w:rsidR="00F26F01" w:rsidRPr="00C33834" w14:paraId="266B2CFF" w14:textId="77777777">
        <w:tc>
          <w:tcPr>
            <w:tcW w:w="1145" w:type="dxa"/>
          </w:tcPr>
          <w:p w14:paraId="4BD342D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02B79A2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58A0B90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28E747F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4BC0BA5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3BB8FC1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42AAB99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2A9ED68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2A980E5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1F6D950" w14:textId="77777777">
        <w:tc>
          <w:tcPr>
            <w:tcW w:w="1145" w:type="dxa"/>
          </w:tcPr>
          <w:p w14:paraId="78AA031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Фэйри LR</w:t>
            </w:r>
          </w:p>
        </w:tc>
        <w:tc>
          <w:tcPr>
            <w:tcW w:w="1145" w:type="dxa"/>
          </w:tcPr>
          <w:p w14:paraId="2D46262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Нэпир XI (530)</w:t>
            </w:r>
          </w:p>
        </w:tc>
        <w:tc>
          <w:tcPr>
            <w:tcW w:w="1145" w:type="dxa"/>
          </w:tcPr>
          <w:p w14:paraId="7732B66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145" w:type="dxa"/>
          </w:tcPr>
          <w:p w14:paraId="6F8C808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82,0</w:t>
            </w:r>
          </w:p>
        </w:tc>
        <w:tc>
          <w:tcPr>
            <w:tcW w:w="1145" w:type="dxa"/>
          </w:tcPr>
          <w:p w14:paraId="7C2AD51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p>
        </w:tc>
        <w:tc>
          <w:tcPr>
            <w:tcW w:w="1145" w:type="dxa"/>
          </w:tcPr>
          <w:p w14:paraId="123CBEE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1145" w:type="dxa"/>
          </w:tcPr>
          <w:p w14:paraId="3F75442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7800</w:t>
            </w:r>
          </w:p>
        </w:tc>
        <w:tc>
          <w:tcPr>
            <w:tcW w:w="1145" w:type="dxa"/>
          </w:tcPr>
          <w:p w14:paraId="10C4F6B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4500</w:t>
            </w:r>
          </w:p>
        </w:tc>
        <w:tc>
          <w:tcPr>
            <w:tcW w:w="1145" w:type="dxa"/>
          </w:tcPr>
          <w:p w14:paraId="6F38D2A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95,0</w:t>
            </w:r>
          </w:p>
        </w:tc>
      </w:tr>
      <w:tr w:rsidR="00F26F01" w:rsidRPr="00C33834" w14:paraId="47732948" w14:textId="77777777">
        <w:tc>
          <w:tcPr>
            <w:tcW w:w="1145" w:type="dxa"/>
          </w:tcPr>
          <w:p w14:paraId="25FBC12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Савойя S-64</w:t>
            </w:r>
          </w:p>
        </w:tc>
        <w:tc>
          <w:tcPr>
            <w:tcW w:w="1145" w:type="dxa"/>
          </w:tcPr>
          <w:p w14:paraId="462EE9F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Фиат А-22Т (620)</w:t>
            </w:r>
          </w:p>
        </w:tc>
        <w:tc>
          <w:tcPr>
            <w:tcW w:w="1145" w:type="dxa"/>
          </w:tcPr>
          <w:p w14:paraId="10D1691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1145" w:type="dxa"/>
          </w:tcPr>
          <w:p w14:paraId="4CB8729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1145" w:type="dxa"/>
          </w:tcPr>
          <w:p w14:paraId="5B10D44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7,75</w:t>
            </w:r>
          </w:p>
        </w:tc>
        <w:tc>
          <w:tcPr>
            <w:tcW w:w="1145" w:type="dxa"/>
          </w:tcPr>
          <w:p w14:paraId="2FACCEA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2670</w:t>
            </w:r>
          </w:p>
        </w:tc>
        <w:tc>
          <w:tcPr>
            <w:tcW w:w="1145" w:type="dxa"/>
          </w:tcPr>
          <w:p w14:paraId="1380F09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7200</w:t>
            </w:r>
          </w:p>
        </w:tc>
        <w:tc>
          <w:tcPr>
            <w:tcW w:w="1145" w:type="dxa"/>
          </w:tcPr>
          <w:p w14:paraId="549A26A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4550</w:t>
            </w:r>
          </w:p>
        </w:tc>
        <w:tc>
          <w:tcPr>
            <w:tcW w:w="1145" w:type="dxa"/>
          </w:tcPr>
          <w:p w14:paraId="38CA643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w:t>
            </w:r>
          </w:p>
        </w:tc>
      </w:tr>
      <w:tr w:rsidR="00F26F01" w:rsidRPr="00C33834" w14:paraId="7027D6BF" w14:textId="77777777">
        <w:tc>
          <w:tcPr>
            <w:tcW w:w="1145" w:type="dxa"/>
          </w:tcPr>
          <w:p w14:paraId="28039BC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Блерио-110</w:t>
            </w:r>
          </w:p>
        </w:tc>
        <w:tc>
          <w:tcPr>
            <w:tcW w:w="1145" w:type="dxa"/>
          </w:tcPr>
          <w:p w14:paraId="2D7CEFD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Испано 12МЬг (500)</w:t>
            </w:r>
          </w:p>
        </w:tc>
        <w:tc>
          <w:tcPr>
            <w:tcW w:w="1145" w:type="dxa"/>
          </w:tcPr>
          <w:p w14:paraId="2D0A32A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26,5</w:t>
            </w:r>
          </w:p>
        </w:tc>
        <w:tc>
          <w:tcPr>
            <w:tcW w:w="1145" w:type="dxa"/>
          </w:tcPr>
          <w:p w14:paraId="7B45C37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81,0</w:t>
            </w:r>
          </w:p>
        </w:tc>
        <w:tc>
          <w:tcPr>
            <w:tcW w:w="1145" w:type="dxa"/>
          </w:tcPr>
          <w:p w14:paraId="3E68E98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8,65</w:t>
            </w:r>
          </w:p>
        </w:tc>
        <w:tc>
          <w:tcPr>
            <w:tcW w:w="1145" w:type="dxa"/>
          </w:tcPr>
          <w:p w14:paraId="59D2A6B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2700</w:t>
            </w:r>
          </w:p>
        </w:tc>
        <w:tc>
          <w:tcPr>
            <w:tcW w:w="1145" w:type="dxa"/>
          </w:tcPr>
          <w:p w14:paraId="0153BFA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8500</w:t>
            </w:r>
          </w:p>
        </w:tc>
        <w:tc>
          <w:tcPr>
            <w:tcW w:w="1145" w:type="dxa"/>
          </w:tcPr>
          <w:p w14:paraId="04EC7AC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5500</w:t>
            </w:r>
          </w:p>
        </w:tc>
        <w:tc>
          <w:tcPr>
            <w:tcW w:w="1145" w:type="dxa"/>
          </w:tcPr>
          <w:p w14:paraId="7F30047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104,5</w:t>
            </w:r>
          </w:p>
        </w:tc>
      </w:tr>
      <w:tr w:rsidR="00F26F01" w:rsidRPr="00C33834" w14:paraId="74F0FFDE" w14:textId="77777777">
        <w:tc>
          <w:tcPr>
            <w:tcW w:w="1145" w:type="dxa"/>
          </w:tcPr>
          <w:p w14:paraId="4366610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Девуатин D.33</w:t>
            </w:r>
          </w:p>
        </w:tc>
        <w:tc>
          <w:tcPr>
            <w:tcW w:w="1145" w:type="dxa"/>
          </w:tcPr>
          <w:p w14:paraId="49A575A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Испано 12Nb (650)</w:t>
            </w:r>
          </w:p>
        </w:tc>
        <w:tc>
          <w:tcPr>
            <w:tcW w:w="1145" w:type="dxa"/>
          </w:tcPr>
          <w:p w14:paraId="6B9F6A4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w:t>
            </w:r>
          </w:p>
        </w:tc>
        <w:tc>
          <w:tcPr>
            <w:tcW w:w="1145" w:type="dxa"/>
          </w:tcPr>
          <w:p w14:paraId="5DBCDAC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78,0</w:t>
            </w:r>
          </w:p>
        </w:tc>
        <w:tc>
          <w:tcPr>
            <w:tcW w:w="1145" w:type="dxa"/>
          </w:tcPr>
          <w:p w14:paraId="31217B3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1145" w:type="dxa"/>
          </w:tcPr>
          <w:p w14:paraId="6C813AB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3100</w:t>
            </w:r>
          </w:p>
        </w:tc>
        <w:tc>
          <w:tcPr>
            <w:tcW w:w="1145" w:type="dxa"/>
          </w:tcPr>
          <w:p w14:paraId="34B70FE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9200</w:t>
            </w:r>
          </w:p>
        </w:tc>
        <w:tc>
          <w:tcPr>
            <w:tcW w:w="1145" w:type="dxa"/>
          </w:tcPr>
          <w:p w14:paraId="6DE996A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5600</w:t>
            </w:r>
          </w:p>
        </w:tc>
        <w:tc>
          <w:tcPr>
            <w:tcW w:w="1145" w:type="dxa"/>
          </w:tcPr>
          <w:p w14:paraId="3546B74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117,5</w:t>
            </w:r>
          </w:p>
        </w:tc>
      </w:tr>
      <w:tr w:rsidR="00F26F01" w:rsidRPr="00C33834" w14:paraId="3FE66A5C" w14:textId="77777777">
        <w:tc>
          <w:tcPr>
            <w:tcW w:w="1145" w:type="dxa"/>
            <w:tcBorders>
              <w:bottom w:val="single" w:sz="12" w:space="0" w:color="auto"/>
            </w:tcBorders>
          </w:tcPr>
          <w:p w14:paraId="5C94DDE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Бернар-80</w:t>
            </w:r>
          </w:p>
        </w:tc>
        <w:tc>
          <w:tcPr>
            <w:tcW w:w="1145" w:type="dxa"/>
            <w:tcBorders>
              <w:bottom w:val="single" w:sz="12" w:space="0" w:color="auto"/>
            </w:tcBorders>
          </w:tcPr>
          <w:p w14:paraId="5611193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Испано 12Nb (650)</w:t>
            </w:r>
          </w:p>
        </w:tc>
        <w:tc>
          <w:tcPr>
            <w:tcW w:w="1145" w:type="dxa"/>
            <w:tcBorders>
              <w:bottom w:val="single" w:sz="12" w:space="0" w:color="auto"/>
            </w:tcBorders>
          </w:tcPr>
          <w:p w14:paraId="6901455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24,5</w:t>
            </w:r>
          </w:p>
        </w:tc>
        <w:tc>
          <w:tcPr>
            <w:tcW w:w="1145" w:type="dxa"/>
            <w:tcBorders>
              <w:bottom w:val="single" w:sz="12" w:space="0" w:color="auto"/>
            </w:tcBorders>
          </w:tcPr>
          <w:p w14:paraId="70CD3BA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w:t>
            </w:r>
          </w:p>
        </w:tc>
        <w:tc>
          <w:tcPr>
            <w:tcW w:w="1145" w:type="dxa"/>
            <w:tcBorders>
              <w:bottom w:val="single" w:sz="12" w:space="0" w:color="auto"/>
            </w:tcBorders>
          </w:tcPr>
          <w:p w14:paraId="0C770A0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w:t>
            </w:r>
          </w:p>
        </w:tc>
        <w:tc>
          <w:tcPr>
            <w:tcW w:w="1145" w:type="dxa"/>
            <w:tcBorders>
              <w:bottom w:val="single" w:sz="12" w:space="0" w:color="auto"/>
            </w:tcBorders>
          </w:tcPr>
          <w:p w14:paraId="4DC79E0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3100</w:t>
            </w:r>
          </w:p>
        </w:tc>
        <w:tc>
          <w:tcPr>
            <w:tcW w:w="1145" w:type="dxa"/>
            <w:tcBorders>
              <w:bottom w:val="single" w:sz="12" w:space="0" w:color="auto"/>
            </w:tcBorders>
          </w:tcPr>
          <w:p w14:paraId="7E057DC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8625</w:t>
            </w:r>
          </w:p>
        </w:tc>
        <w:tc>
          <w:tcPr>
            <w:tcW w:w="1145" w:type="dxa"/>
            <w:tcBorders>
              <w:bottom w:val="single" w:sz="12" w:space="0" w:color="auto"/>
            </w:tcBorders>
          </w:tcPr>
          <w:p w14:paraId="33B821D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1145" w:type="dxa"/>
            <w:tcBorders>
              <w:bottom w:val="single" w:sz="12" w:space="0" w:color="auto"/>
            </w:tcBorders>
          </w:tcPr>
          <w:p w14:paraId="39F67B5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123,0</w:t>
            </w:r>
          </w:p>
        </w:tc>
      </w:tr>
    </w:tbl>
    <w:p w14:paraId="058B164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Приведенные в таблице данные полетного веса и запаса горючего на самом деле имели разные значения. Так, при установлении мирового рекорда в 1933 г. полетный вес Блерио-110 указывался 9 тонн, а запас горючего составлял 6500 литров (11941).</w:t>
      </w:r>
    </w:p>
    <w:p w14:paraId="43E266E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4DDBCF90" w14:textId="77777777" w:rsidR="00ED0B5B" w:rsidRPr="00C33834" w:rsidRDefault="00ED0B5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6–8 февраля 1933 командир эскадрильи Королевских ВВС Освальд Гейфорд и лейтенант Гилберт Ничолеттс совершают первый беспосадочный перелет из Англии в Южную Африку на дальнемагистральном моноплане Fairey. Полет протяженностью 5 309 миль (8 544 км) является новым рекордом расстояния и занимает 57 часов 25 минут (20802).</w:t>
      </w:r>
    </w:p>
    <w:p w14:paraId="04B6B011" w14:textId="77777777" w:rsidR="00ED0B5B" w:rsidRPr="00C33834" w:rsidRDefault="00ED0B5B" w:rsidP="00C33834">
      <w:pPr>
        <w:spacing w:after="0" w:line="240" w:lineRule="auto"/>
        <w:jc w:val="both"/>
        <w:rPr>
          <w:rFonts w:ascii="Times New Roman" w:hAnsi="Times New Roman"/>
          <w:color w:val="0070C0"/>
          <w:sz w:val="16"/>
          <w:szCs w:val="16"/>
        </w:rPr>
      </w:pPr>
    </w:p>
    <w:p w14:paraId="6F8D2D1A" w14:textId="77777777" w:rsidR="00ED0B5B" w:rsidRPr="00C33834" w:rsidRDefault="00ED0B5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6–9 февраля 1933 Джим Моллисон летит на de Havilland Puss Moth из Англии в Бразилию, через Сенегал, пересекая Южный Атлантический океан, что делает его первым человеком, совершившим одиночный перелет через Северную и Южную Атлантику (20802).</w:t>
      </w:r>
    </w:p>
    <w:p w14:paraId="16082FBD" w14:textId="77777777" w:rsidR="00ED0B5B" w:rsidRPr="00C33834" w:rsidRDefault="00ED0B5B" w:rsidP="00C33834">
      <w:pPr>
        <w:spacing w:after="0" w:line="240" w:lineRule="auto"/>
        <w:jc w:val="both"/>
        <w:rPr>
          <w:rFonts w:ascii="Times New Roman" w:hAnsi="Times New Roman"/>
          <w:color w:val="0070C0"/>
          <w:sz w:val="16"/>
          <w:szCs w:val="16"/>
        </w:rPr>
      </w:pPr>
    </w:p>
    <w:p w14:paraId="531C31B6" w14:textId="77777777" w:rsidR="00ED0B5B" w:rsidRPr="00C33834" w:rsidRDefault="00ED0B5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февраля 1933 - Шотландский пилот Джим Моллисон летит на de Havilland Puss Moth из Соединенного Королевства в Бразилию, через Сенегал и южную Атлантику за 3 дня 13 часов. Он становится первым человеком, который пролетел в одиночку через Северную и Южную Атлантику (22632).</w:t>
      </w:r>
    </w:p>
    <w:p w14:paraId="7BABFAF7" w14:textId="77777777" w:rsidR="00ED0B5B" w:rsidRPr="00C33834" w:rsidRDefault="00ED0B5B" w:rsidP="00C33834">
      <w:pPr>
        <w:spacing w:after="0" w:line="240" w:lineRule="auto"/>
        <w:jc w:val="both"/>
        <w:rPr>
          <w:rFonts w:ascii="Times New Roman" w:hAnsi="Times New Roman"/>
          <w:color w:val="0070C0"/>
          <w:sz w:val="16"/>
          <w:szCs w:val="16"/>
        </w:rPr>
      </w:pPr>
    </w:p>
    <w:p w14:paraId="0FC7CC7F" w14:textId="77777777" w:rsidR="00ED0B5B" w:rsidRPr="00C33834" w:rsidRDefault="00ED0B5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февраля 1933 - (по 8 февраля) - майор О. Р. Гейфорд и флайт-лейтенант Дж. Э. Николеттс совершили первый беспосадочный перелет из Англии в южную Африку на Fairey Fairey Long Range. Полет протяженностью 5 309 миль (8544 км) стал новым рекордом. Время полета 57 часов 25 мин. (22632).</w:t>
      </w:r>
    </w:p>
    <w:p w14:paraId="7EFCD3DD" w14:textId="77777777" w:rsidR="00ED0B5B" w:rsidRPr="00C33834" w:rsidRDefault="00ED0B5B" w:rsidP="00C33834">
      <w:pPr>
        <w:spacing w:after="0" w:line="240" w:lineRule="auto"/>
        <w:jc w:val="both"/>
        <w:rPr>
          <w:rFonts w:ascii="Times New Roman" w:hAnsi="Times New Roman"/>
          <w:color w:val="0070C0"/>
          <w:sz w:val="16"/>
          <w:szCs w:val="16"/>
        </w:rPr>
      </w:pPr>
    </w:p>
    <w:p w14:paraId="4458BA2C" w14:textId="77777777" w:rsidR="00ED0B5B" w:rsidRPr="00C33834" w:rsidRDefault="00ED0B5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февраля 1933 состоялся первый полетKawanishi E7K ( союзное название "Альф") (20802).</w:t>
      </w:r>
    </w:p>
    <w:p w14:paraId="1AEB119D" w14:textId="77777777" w:rsidR="00ED0B5B" w:rsidRPr="00C33834" w:rsidRDefault="00ED0B5B" w:rsidP="00C33834">
      <w:pPr>
        <w:spacing w:after="0" w:line="240" w:lineRule="auto"/>
        <w:jc w:val="both"/>
        <w:rPr>
          <w:rFonts w:ascii="Times New Roman" w:hAnsi="Times New Roman"/>
          <w:color w:val="0070C0"/>
          <w:sz w:val="16"/>
          <w:szCs w:val="16"/>
        </w:rPr>
      </w:pPr>
    </w:p>
    <w:p w14:paraId="470F6F87" w14:textId="77777777" w:rsidR="00ED0B5B" w:rsidRPr="00C33834" w:rsidRDefault="00ED0B5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февраля 1933 года — первый полёт разведывательного гидросамолёта Kawanishi E7K.</w:t>
      </w:r>
    </w:p>
    <w:p w14:paraId="3636706D" w14:textId="77777777" w:rsidR="00ED0B5B" w:rsidRPr="00C33834" w:rsidRDefault="00ED0B5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Разрабатывался в рамках конкурса проектов для замены дальнего морского разведчика Kawanishi E5K. Как и предшественник, E7K был двухпоплавковым бипланом с двигателем водяного охлаждения. Экипаж из 3 человек — пилота, наблюдателя и стрелка-радиста — находился в открытых кабинах. Вооружение состояло из 3 × 7,7 мм пулемётов и 4 × 30 кг или 2 × 60 кг бомб на подкрыльевой подвеске. Различные модификации отличались двигателями и винтами.</w:t>
      </w:r>
    </w:p>
    <w:p w14:paraId="6183CC07" w14:textId="77777777" w:rsidR="00ED0B5B" w:rsidRPr="00C33834" w:rsidRDefault="00ED0B5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Примечательно, что для компании Kawanishi самолёт станет первым успешным военным проектом — до этого фирма работала больше в области гражданского авиастроения. В конкурсе она победила более опытных конструкторов из Aichi, представивших самолёт Aichi AB-6, созданный на базе немецкого Heinkel He 62.</w:t>
      </w:r>
    </w:p>
    <w:p w14:paraId="18371EDC" w14:textId="77777777" w:rsidR="00ED0B5B" w:rsidRPr="00C33834" w:rsidRDefault="00ED0B5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Было выпущено 533 единицы Kawanishi E7K. Самолёты широко использовались ВВС Императорского флота Японии, в том числе и во время боевых действий на Тихом океане. На заключительных стадиях Второй мировой войны применялся для атак лётчиков-камикадзе (22300).</w:t>
      </w:r>
    </w:p>
    <w:p w14:paraId="15A78A22" w14:textId="77777777" w:rsidR="00ED0B5B" w:rsidRPr="00C33834" w:rsidRDefault="00ED0B5B" w:rsidP="00C33834">
      <w:pPr>
        <w:spacing w:after="0" w:line="240" w:lineRule="auto"/>
        <w:jc w:val="both"/>
        <w:rPr>
          <w:rFonts w:ascii="Times New Roman" w:hAnsi="Times New Roman"/>
          <w:color w:val="0070C0"/>
          <w:sz w:val="16"/>
          <w:szCs w:val="16"/>
        </w:rPr>
      </w:pPr>
    </w:p>
    <w:p w14:paraId="5F918B58" w14:textId="77777777" w:rsidR="005B4B1E" w:rsidRPr="00C33834" w:rsidRDefault="005B4B1E"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6 февраля</w:t>
      </w:r>
      <w:r w:rsidRPr="00C33834">
        <w:rPr>
          <w:rFonts w:ascii="Times New Roman" w:hAnsi="Times New Roman"/>
          <w:color w:val="000000" w:themeColor="text1"/>
          <w:sz w:val="16"/>
          <w:szCs w:val="16"/>
        </w:rPr>
        <w:t xml:space="preserve"> в 1933 году был облетан японский трехместный дальний разведчик-гидроплан </w:t>
      </w:r>
      <w:hyperlink r:id="rId59" w:tgtFrame="_blank" w:history="1">
        <w:r w:rsidRPr="00C33834">
          <w:rPr>
            <w:rFonts w:ascii="Times New Roman" w:hAnsi="Times New Roman"/>
            <w:color w:val="000000" w:themeColor="text1"/>
            <w:sz w:val="16"/>
            <w:szCs w:val="16"/>
          </w:rPr>
          <w:t xml:space="preserve">«Е7К1». </w:t>
        </w:r>
      </w:hyperlink>
      <w:r w:rsidRPr="00C33834">
        <w:rPr>
          <w:rFonts w:ascii="Times New Roman" w:hAnsi="Times New Roman"/>
          <w:color w:val="000000" w:themeColor="text1"/>
          <w:sz w:val="16"/>
          <w:szCs w:val="16"/>
        </w:rPr>
        <w:t xml:space="preserve">Двигатель 500-сильный Хиро "тип 91" - 12-цилиндровый, W-образный, жидкостного охлаждения. Его вооружение включало синхронный 7,7-мм пулемет "тип 92" и два 7,7-мм пулемета "тип 92" на подвижных установках в конце кабины и под фюзеляжем. Под центропланом были держатели на четыре 30-кг или две 60-кг бомбы. Экипаж состоял из пилота, наблюдателя и стрелка-радиста - все трое располагались в одной кабине. Лишь в мае 1934 г, после того, как в конце 1933 г был облетан второй «Е7К1», флот заказал самолет для серии под обозначением </w:t>
      </w:r>
      <w:hyperlink r:id="rId60" w:tgtFrame="_blank" w:history="1">
        <w:r w:rsidRPr="00C33834">
          <w:rPr>
            <w:rFonts w:ascii="Times New Roman" w:hAnsi="Times New Roman"/>
            <w:color w:val="000000" w:themeColor="text1"/>
            <w:sz w:val="16"/>
            <w:szCs w:val="16"/>
          </w:rPr>
          <w:t xml:space="preserve">"гидросамолет-разведчик морской тип 94 модель I". </w:t>
        </w:r>
      </w:hyperlink>
    </w:p>
    <w:p w14:paraId="6D9BA55A" w14:textId="77777777" w:rsidR="005B4B1E" w:rsidRPr="00C33834" w:rsidRDefault="005B4B1E" w:rsidP="00C33834">
      <w:pPr>
        <w:spacing w:after="0" w:line="240" w:lineRule="auto"/>
        <w:jc w:val="both"/>
        <w:rPr>
          <w:rFonts w:ascii="Times New Roman" w:hAnsi="Times New Roman"/>
          <w:color w:val="000000" w:themeColor="text1"/>
          <w:sz w:val="16"/>
          <w:szCs w:val="16"/>
        </w:rPr>
      </w:pPr>
    </w:p>
    <w:p w14:paraId="07236D9A" w14:textId="77777777" w:rsidR="005B4B1E" w:rsidRPr="00C33834" w:rsidRDefault="005B4B1E"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6 февраля</w:t>
      </w:r>
      <w:r w:rsidRPr="00C33834">
        <w:rPr>
          <w:rFonts w:ascii="Times New Roman" w:hAnsi="Times New Roman"/>
          <w:color w:val="000000" w:themeColor="text1"/>
          <w:sz w:val="16"/>
          <w:szCs w:val="16"/>
        </w:rPr>
        <w:t xml:space="preserve"> в 1933 году в ночь с 6 на 7 февраля с корабля, идущего из Манилы на Филиппинах в американский город Сан-Диего, измеряют самую высокую зарегистрированную морскую волну - 34 метра от подошвы до гребня (15032).</w:t>
      </w:r>
    </w:p>
    <w:p w14:paraId="753062D1" w14:textId="77777777" w:rsidR="005B4B1E" w:rsidRPr="00C33834" w:rsidRDefault="005B4B1E" w:rsidP="00C33834">
      <w:pPr>
        <w:spacing w:after="0" w:line="240" w:lineRule="auto"/>
        <w:jc w:val="both"/>
        <w:rPr>
          <w:rFonts w:ascii="Times New Roman" w:hAnsi="Times New Roman"/>
          <w:color w:val="000000" w:themeColor="text1"/>
          <w:sz w:val="16"/>
          <w:szCs w:val="16"/>
        </w:rPr>
      </w:pPr>
    </w:p>
    <w:p w14:paraId="5C4BDCC4" w14:textId="77777777" w:rsidR="00103186" w:rsidRPr="00C33834" w:rsidRDefault="00103186"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февраля 1933 в нацисткой Германии объявлено введение газетной цензуры (4962).</w:t>
      </w:r>
    </w:p>
    <w:p w14:paraId="65613A52" w14:textId="77777777" w:rsidR="00103186" w:rsidRPr="00C33834" w:rsidRDefault="00103186"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0743F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февраля 1933 в Рейхе была введена цензура прессы (2100).</w:t>
      </w:r>
    </w:p>
    <w:p w14:paraId="57C63A7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6ABD8666" w14:textId="77777777" w:rsidR="001031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3D9E67A" w14:textId="77777777" w:rsidR="00103186" w:rsidRPr="00C33834" w:rsidRDefault="001031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96B8D9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февраля 1933 Н.Н.П. во главе с бригадой из 14 чел. перевели из КОСОС на 39 завод, где в январе было организовано ЦКБ (222,25).</w:t>
      </w:r>
    </w:p>
    <w:p w14:paraId="0E24C23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переезд Н.Н.П. состоялся в январе (129,2).</w:t>
      </w:r>
    </w:p>
    <w:p w14:paraId="333A727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принципе это согласуется с тем, что с 9 февраля Н.Н.П. стал работать в новом ЦКБ.</w:t>
      </w:r>
    </w:p>
    <w:p w14:paraId="644646EC" w14:textId="77777777" w:rsidR="00103186" w:rsidRPr="00C33834" w:rsidRDefault="001031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6E4999E" w14:textId="77777777" w:rsidR="001911F8" w:rsidRPr="00C33834" w:rsidRDefault="001911F8"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AE60B75" w14:textId="77777777" w:rsidR="001911F8" w:rsidRPr="00C33834" w:rsidRDefault="001911F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1F272E6" w14:textId="77777777" w:rsidR="001911F8" w:rsidRPr="00C33834" w:rsidRDefault="001911F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начале февраля 1933 г. П.Д.Самсонова представил эскизный про</w:t>
      </w:r>
      <w:r w:rsidRPr="00C33834">
        <w:rPr>
          <w:rFonts w:ascii="Times New Roman" w:hAnsi="Times New Roman"/>
          <w:color w:val="0070C0"/>
          <w:sz w:val="16"/>
          <w:szCs w:val="16"/>
        </w:rPr>
        <w:softHyphen/>
        <w:t>ект тягача для ТБ-3 - изящного моноплана с верхним расположением кры</w:t>
      </w:r>
      <w:r w:rsidRPr="00C33834">
        <w:rPr>
          <w:rFonts w:ascii="Times New Roman" w:hAnsi="Times New Roman"/>
          <w:color w:val="0070C0"/>
          <w:sz w:val="16"/>
          <w:szCs w:val="16"/>
        </w:rPr>
        <w:softHyphen/>
        <w:t>ла. Полная длина самолета составляла 8,1 метра, размах крыла - 12,0 метров. При подготовке проекта использовал</w:t>
      </w:r>
      <w:r w:rsidRPr="00C33834">
        <w:rPr>
          <w:rFonts w:ascii="Times New Roman" w:hAnsi="Times New Roman"/>
          <w:color w:val="0070C0"/>
          <w:sz w:val="16"/>
          <w:szCs w:val="16"/>
        </w:rPr>
        <w:softHyphen/>
        <w:t>ся итальянский двигатель фирмы Изотта-Фраскини «Ассо-1000», развивающий на взлете мощность 1000 л.с. Двигатель был оснащен понижающим редуктором и впол</w:t>
      </w:r>
      <w:r w:rsidRPr="00C33834">
        <w:rPr>
          <w:rFonts w:ascii="Times New Roman" w:hAnsi="Times New Roman"/>
          <w:color w:val="0070C0"/>
          <w:sz w:val="16"/>
          <w:szCs w:val="16"/>
        </w:rPr>
        <w:softHyphen/>
        <w:t>не подходил для вращения воздушного винта диаметром 4,5 метра. «Ассо-1000» появился в 1928 г. и спустя не</w:t>
      </w:r>
      <w:r w:rsidRPr="00C33834">
        <w:rPr>
          <w:rFonts w:ascii="Times New Roman" w:hAnsi="Times New Roman"/>
          <w:color w:val="0070C0"/>
          <w:sz w:val="16"/>
          <w:szCs w:val="16"/>
        </w:rPr>
        <w:softHyphen/>
        <w:t>сколько лет по-прежнему считался одним из наиболее мощных двигателей в мире. При его установке на ма</w:t>
      </w:r>
      <w:r w:rsidRPr="00C33834">
        <w:rPr>
          <w:rFonts w:ascii="Times New Roman" w:hAnsi="Times New Roman"/>
          <w:color w:val="0070C0"/>
          <w:sz w:val="16"/>
          <w:szCs w:val="16"/>
        </w:rPr>
        <w:softHyphen/>
        <w:t>ленький самолет действительно получался «летающий мо</w:t>
      </w:r>
      <w:r w:rsidRPr="00C33834">
        <w:rPr>
          <w:rFonts w:ascii="Times New Roman" w:hAnsi="Times New Roman"/>
          <w:color w:val="0070C0"/>
          <w:sz w:val="16"/>
          <w:szCs w:val="16"/>
        </w:rPr>
        <w:softHyphen/>
        <w:t>тор» - «Ассо» весил около 900 кг, его полная длина превышала два метра, а габаритная ширина составляла 1060 мм. Сотрудничество с итальянскими моторными фирмами в тот период было в разгаре, поэтому возмож</w:t>
      </w:r>
      <w:r w:rsidRPr="00C33834">
        <w:rPr>
          <w:rFonts w:ascii="Times New Roman" w:hAnsi="Times New Roman"/>
          <w:color w:val="0070C0"/>
          <w:sz w:val="16"/>
          <w:szCs w:val="16"/>
        </w:rPr>
        <w:softHyphen/>
        <w:t>ности получения «Ассо» были вполне реальными (20345).</w:t>
      </w:r>
    </w:p>
    <w:p w14:paraId="7D2EC86E" w14:textId="77777777" w:rsidR="001911F8" w:rsidRPr="00C33834" w:rsidRDefault="001911F8" w:rsidP="00C33834">
      <w:pPr>
        <w:spacing w:after="0" w:line="240" w:lineRule="auto"/>
        <w:jc w:val="both"/>
        <w:rPr>
          <w:rFonts w:ascii="Times New Roman" w:hAnsi="Times New Roman"/>
          <w:color w:val="0070C0"/>
          <w:sz w:val="16"/>
          <w:szCs w:val="16"/>
        </w:rPr>
      </w:pPr>
    </w:p>
    <w:p w14:paraId="771BCA0F" w14:textId="77777777" w:rsidR="001031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023AB19" w14:textId="77777777" w:rsidR="00103186" w:rsidRPr="00C33834" w:rsidRDefault="001031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367851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февраля 1933 Известия опубликовали статью "Первое место в Европе" - рапорт самолетостроителей ХАИ И.В.С. Там было написано "...самолет ХАИ-1 с убирающимся в полете шасси при испытаниях дал скорость 290 км/ч. Этим самым советская авиация заняла первое место в Европе и второе - в мире" (1148,27).</w:t>
      </w:r>
    </w:p>
    <w:p w14:paraId="656AC21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4BA4CDB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февраля 1933 года врид начальника мобпланового сектора начальника вооружений ВВС Заикин писал письмо N МП/00105.</w:t>
      </w:r>
    </w:p>
    <w:p w14:paraId="0C73B0E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Выписка из сводной ведомости самолетного парка с 1.10.1928 г. по 1.01.1933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60"/>
        <w:gridCol w:w="772"/>
        <w:gridCol w:w="772"/>
        <w:gridCol w:w="772"/>
        <w:gridCol w:w="772"/>
        <w:gridCol w:w="4852"/>
      </w:tblGrid>
      <w:tr w:rsidR="00F26F01" w:rsidRPr="00C33834" w14:paraId="01915DA8" w14:textId="77777777">
        <w:tc>
          <w:tcPr>
            <w:tcW w:w="2660" w:type="dxa"/>
          </w:tcPr>
          <w:p w14:paraId="4D56713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 самолетов</w:t>
            </w:r>
          </w:p>
        </w:tc>
        <w:tc>
          <w:tcPr>
            <w:tcW w:w="772" w:type="dxa"/>
          </w:tcPr>
          <w:p w14:paraId="08417ED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1.10.28</w:t>
            </w:r>
          </w:p>
        </w:tc>
        <w:tc>
          <w:tcPr>
            <w:tcW w:w="772" w:type="dxa"/>
          </w:tcPr>
          <w:p w14:paraId="53AC5C6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1.10.29</w:t>
            </w:r>
          </w:p>
        </w:tc>
        <w:tc>
          <w:tcPr>
            <w:tcW w:w="772" w:type="dxa"/>
          </w:tcPr>
          <w:p w14:paraId="16624BF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1.10.30</w:t>
            </w:r>
          </w:p>
        </w:tc>
        <w:tc>
          <w:tcPr>
            <w:tcW w:w="772" w:type="dxa"/>
          </w:tcPr>
          <w:p w14:paraId="5408129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1.01.32</w:t>
            </w:r>
          </w:p>
        </w:tc>
        <w:tc>
          <w:tcPr>
            <w:tcW w:w="4852" w:type="dxa"/>
          </w:tcPr>
          <w:p w14:paraId="54BD69D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1.01.33</w:t>
            </w:r>
          </w:p>
        </w:tc>
      </w:tr>
      <w:tr w:rsidR="00F26F01" w:rsidRPr="00C33834" w14:paraId="7D712FB6" w14:textId="77777777">
        <w:tc>
          <w:tcPr>
            <w:tcW w:w="2660" w:type="dxa"/>
          </w:tcPr>
          <w:p w14:paraId="40C2AAA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Фоккер С-IV</w:t>
            </w:r>
          </w:p>
        </w:tc>
        <w:tc>
          <w:tcPr>
            <w:tcW w:w="772" w:type="dxa"/>
          </w:tcPr>
          <w:p w14:paraId="0718CFF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w:t>
            </w:r>
          </w:p>
        </w:tc>
        <w:tc>
          <w:tcPr>
            <w:tcW w:w="772" w:type="dxa"/>
          </w:tcPr>
          <w:p w14:paraId="5DEEDDC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w:t>
            </w:r>
          </w:p>
        </w:tc>
        <w:tc>
          <w:tcPr>
            <w:tcW w:w="772" w:type="dxa"/>
          </w:tcPr>
          <w:p w14:paraId="2FBE9A6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w:t>
            </w:r>
          </w:p>
        </w:tc>
        <w:tc>
          <w:tcPr>
            <w:tcW w:w="772" w:type="dxa"/>
          </w:tcPr>
          <w:p w14:paraId="3E35E7A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w:t>
            </w:r>
          </w:p>
        </w:tc>
        <w:tc>
          <w:tcPr>
            <w:tcW w:w="4852" w:type="dxa"/>
          </w:tcPr>
          <w:p w14:paraId="350434F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r>
      <w:tr w:rsidR="00F26F01" w:rsidRPr="00C33834" w14:paraId="258FE8B7" w14:textId="77777777">
        <w:tc>
          <w:tcPr>
            <w:tcW w:w="2660" w:type="dxa"/>
          </w:tcPr>
          <w:p w14:paraId="7A40519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Р1-М5</w:t>
            </w:r>
          </w:p>
        </w:tc>
        <w:tc>
          <w:tcPr>
            <w:tcW w:w="772" w:type="dxa"/>
          </w:tcPr>
          <w:p w14:paraId="10875DC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962</w:t>
            </w:r>
          </w:p>
        </w:tc>
        <w:tc>
          <w:tcPr>
            <w:tcW w:w="772" w:type="dxa"/>
          </w:tcPr>
          <w:p w14:paraId="34259D9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1209</w:t>
            </w:r>
          </w:p>
        </w:tc>
        <w:tc>
          <w:tcPr>
            <w:tcW w:w="772" w:type="dxa"/>
          </w:tcPr>
          <w:p w14:paraId="221BA53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1309</w:t>
            </w:r>
          </w:p>
        </w:tc>
        <w:tc>
          <w:tcPr>
            <w:tcW w:w="772" w:type="dxa"/>
          </w:tcPr>
          <w:p w14:paraId="199CFB8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1404</w:t>
            </w:r>
          </w:p>
        </w:tc>
        <w:tc>
          <w:tcPr>
            <w:tcW w:w="4852" w:type="dxa"/>
          </w:tcPr>
          <w:p w14:paraId="366A42C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1297</w:t>
            </w:r>
          </w:p>
        </w:tc>
      </w:tr>
      <w:tr w:rsidR="00F26F01" w:rsidRPr="00C33834" w14:paraId="5A46AEAA" w14:textId="77777777">
        <w:tc>
          <w:tcPr>
            <w:tcW w:w="2660" w:type="dxa"/>
          </w:tcPr>
          <w:p w14:paraId="1CDF7EF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Р3-ЛД</w:t>
            </w:r>
          </w:p>
        </w:tc>
        <w:tc>
          <w:tcPr>
            <w:tcW w:w="772" w:type="dxa"/>
          </w:tcPr>
          <w:p w14:paraId="45166BF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772" w:type="dxa"/>
          </w:tcPr>
          <w:p w14:paraId="083909A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93</w:t>
            </w:r>
          </w:p>
        </w:tc>
        <w:tc>
          <w:tcPr>
            <w:tcW w:w="772" w:type="dxa"/>
          </w:tcPr>
          <w:p w14:paraId="0F34D9A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89</w:t>
            </w:r>
          </w:p>
        </w:tc>
        <w:tc>
          <w:tcPr>
            <w:tcW w:w="772" w:type="dxa"/>
          </w:tcPr>
          <w:p w14:paraId="798E06F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c>
          <w:tcPr>
            <w:tcW w:w="4852" w:type="dxa"/>
          </w:tcPr>
          <w:p w14:paraId="58AF5B1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w:t>
            </w:r>
          </w:p>
        </w:tc>
      </w:tr>
      <w:tr w:rsidR="00F26F01" w:rsidRPr="00C33834" w14:paraId="2356FCBD" w14:textId="77777777">
        <w:tc>
          <w:tcPr>
            <w:tcW w:w="2660" w:type="dxa"/>
          </w:tcPr>
          <w:p w14:paraId="64A78EC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w:t>
            </w:r>
          </w:p>
        </w:tc>
        <w:tc>
          <w:tcPr>
            <w:tcW w:w="772" w:type="dxa"/>
          </w:tcPr>
          <w:p w14:paraId="0B1CDB5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72" w:type="dxa"/>
          </w:tcPr>
          <w:p w14:paraId="6D17157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772" w:type="dxa"/>
          </w:tcPr>
          <w:p w14:paraId="299F119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w:t>
            </w:r>
          </w:p>
        </w:tc>
        <w:tc>
          <w:tcPr>
            <w:tcW w:w="772" w:type="dxa"/>
          </w:tcPr>
          <w:p w14:paraId="5672402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281</w:t>
            </w:r>
          </w:p>
        </w:tc>
        <w:tc>
          <w:tcPr>
            <w:tcW w:w="4852" w:type="dxa"/>
          </w:tcPr>
          <w:p w14:paraId="78139C1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941</w:t>
            </w:r>
          </w:p>
        </w:tc>
      </w:tr>
      <w:tr w:rsidR="00F26F01" w:rsidRPr="00C33834" w14:paraId="7A54CDE0" w14:textId="77777777">
        <w:tc>
          <w:tcPr>
            <w:tcW w:w="2660" w:type="dxa"/>
          </w:tcPr>
          <w:p w14:paraId="5B2A99E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ТБ1</w:t>
            </w:r>
          </w:p>
        </w:tc>
        <w:tc>
          <w:tcPr>
            <w:tcW w:w="772" w:type="dxa"/>
          </w:tcPr>
          <w:p w14:paraId="0C600CF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72" w:type="dxa"/>
          </w:tcPr>
          <w:p w14:paraId="5BDD25F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772" w:type="dxa"/>
          </w:tcPr>
          <w:p w14:paraId="4E07035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w:t>
            </w:r>
          </w:p>
        </w:tc>
        <w:tc>
          <w:tcPr>
            <w:tcW w:w="772" w:type="dxa"/>
          </w:tcPr>
          <w:p w14:paraId="7E1930A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155</w:t>
            </w:r>
          </w:p>
        </w:tc>
        <w:tc>
          <w:tcPr>
            <w:tcW w:w="4852" w:type="dxa"/>
          </w:tcPr>
          <w:p w14:paraId="276C21A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201</w:t>
            </w:r>
          </w:p>
        </w:tc>
      </w:tr>
      <w:tr w:rsidR="00F26F01" w:rsidRPr="00C33834" w14:paraId="0B008E9B" w14:textId="77777777">
        <w:tc>
          <w:tcPr>
            <w:tcW w:w="2660" w:type="dxa"/>
          </w:tcPr>
          <w:p w14:paraId="226AF70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ЮГ1</w:t>
            </w:r>
          </w:p>
        </w:tc>
        <w:tc>
          <w:tcPr>
            <w:tcW w:w="772" w:type="dxa"/>
          </w:tcPr>
          <w:p w14:paraId="7C93635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772" w:type="dxa"/>
          </w:tcPr>
          <w:p w14:paraId="3D56E95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772" w:type="dxa"/>
          </w:tcPr>
          <w:p w14:paraId="4A431F8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c>
          <w:tcPr>
            <w:tcW w:w="772" w:type="dxa"/>
          </w:tcPr>
          <w:p w14:paraId="0C1C4A5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c>
          <w:tcPr>
            <w:tcW w:w="4852" w:type="dxa"/>
          </w:tcPr>
          <w:p w14:paraId="345DBBF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r>
      <w:tr w:rsidR="00F26F01" w:rsidRPr="00C33834" w14:paraId="2F7E63FA" w14:textId="77777777">
        <w:tc>
          <w:tcPr>
            <w:tcW w:w="2660" w:type="dxa"/>
          </w:tcPr>
          <w:p w14:paraId="2F6B99A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Фоккер Д-VII</w:t>
            </w:r>
          </w:p>
        </w:tc>
        <w:tc>
          <w:tcPr>
            <w:tcW w:w="772" w:type="dxa"/>
          </w:tcPr>
          <w:p w14:paraId="4DF2E1E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772" w:type="dxa"/>
          </w:tcPr>
          <w:p w14:paraId="79D232C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772" w:type="dxa"/>
          </w:tcPr>
          <w:p w14:paraId="0FF251B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w:t>
            </w:r>
          </w:p>
        </w:tc>
        <w:tc>
          <w:tcPr>
            <w:tcW w:w="772" w:type="dxa"/>
          </w:tcPr>
          <w:p w14:paraId="5E366C8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4852" w:type="dxa"/>
          </w:tcPr>
          <w:p w14:paraId="68EEE2C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r>
      <w:tr w:rsidR="00F26F01" w:rsidRPr="00C33834" w14:paraId="474421EF" w14:textId="77777777">
        <w:tc>
          <w:tcPr>
            <w:tcW w:w="2660" w:type="dxa"/>
          </w:tcPr>
          <w:p w14:paraId="1ECE417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Фоккер Д-XI</w:t>
            </w:r>
          </w:p>
        </w:tc>
        <w:tc>
          <w:tcPr>
            <w:tcW w:w="772" w:type="dxa"/>
          </w:tcPr>
          <w:p w14:paraId="69B15AC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115</w:t>
            </w:r>
          </w:p>
        </w:tc>
        <w:tc>
          <w:tcPr>
            <w:tcW w:w="772" w:type="dxa"/>
          </w:tcPr>
          <w:p w14:paraId="53F540A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106</w:t>
            </w:r>
          </w:p>
        </w:tc>
        <w:tc>
          <w:tcPr>
            <w:tcW w:w="772" w:type="dxa"/>
          </w:tcPr>
          <w:p w14:paraId="02BDA91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87</w:t>
            </w:r>
          </w:p>
        </w:tc>
        <w:tc>
          <w:tcPr>
            <w:tcW w:w="772" w:type="dxa"/>
          </w:tcPr>
          <w:p w14:paraId="410BFB0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w:t>
            </w:r>
          </w:p>
        </w:tc>
        <w:tc>
          <w:tcPr>
            <w:tcW w:w="4852" w:type="dxa"/>
          </w:tcPr>
          <w:p w14:paraId="03AAB73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w:t>
            </w:r>
          </w:p>
        </w:tc>
      </w:tr>
      <w:tr w:rsidR="00F26F01" w:rsidRPr="00C33834" w14:paraId="0D049BA7" w14:textId="77777777">
        <w:tc>
          <w:tcPr>
            <w:tcW w:w="2660" w:type="dxa"/>
          </w:tcPr>
          <w:p w14:paraId="1BD69CF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И2</w:t>
            </w:r>
          </w:p>
        </w:tc>
        <w:tc>
          <w:tcPr>
            <w:tcW w:w="772" w:type="dxa"/>
          </w:tcPr>
          <w:p w14:paraId="134FE8E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w:t>
            </w:r>
          </w:p>
        </w:tc>
        <w:tc>
          <w:tcPr>
            <w:tcW w:w="772" w:type="dxa"/>
          </w:tcPr>
          <w:p w14:paraId="7BA78CF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772" w:type="dxa"/>
          </w:tcPr>
          <w:p w14:paraId="65D884E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772" w:type="dxa"/>
          </w:tcPr>
          <w:p w14:paraId="3E7048C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c>
          <w:tcPr>
            <w:tcW w:w="4852" w:type="dxa"/>
          </w:tcPr>
          <w:p w14:paraId="74A585A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r>
      <w:tr w:rsidR="00F26F01" w:rsidRPr="00C33834" w14:paraId="29422505" w14:textId="77777777">
        <w:tc>
          <w:tcPr>
            <w:tcW w:w="2660" w:type="dxa"/>
          </w:tcPr>
          <w:p w14:paraId="04D41CA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И2 бис</w:t>
            </w:r>
          </w:p>
        </w:tc>
        <w:tc>
          <w:tcPr>
            <w:tcW w:w="772" w:type="dxa"/>
          </w:tcPr>
          <w:p w14:paraId="585B007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772" w:type="dxa"/>
          </w:tcPr>
          <w:p w14:paraId="362E977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w:t>
            </w:r>
          </w:p>
        </w:tc>
        <w:tc>
          <w:tcPr>
            <w:tcW w:w="772" w:type="dxa"/>
          </w:tcPr>
          <w:p w14:paraId="3476C60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p>
        </w:tc>
        <w:tc>
          <w:tcPr>
            <w:tcW w:w="772" w:type="dxa"/>
          </w:tcPr>
          <w:p w14:paraId="4B9864D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w:t>
            </w:r>
          </w:p>
        </w:tc>
        <w:tc>
          <w:tcPr>
            <w:tcW w:w="4852" w:type="dxa"/>
          </w:tcPr>
          <w:p w14:paraId="30618BE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r>
      <w:tr w:rsidR="00F26F01" w:rsidRPr="00C33834" w14:paraId="086D2D1F" w14:textId="77777777">
        <w:tc>
          <w:tcPr>
            <w:tcW w:w="2660" w:type="dxa"/>
          </w:tcPr>
          <w:p w14:paraId="6992F87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И3</w:t>
            </w:r>
          </w:p>
        </w:tc>
        <w:tc>
          <w:tcPr>
            <w:tcW w:w="772" w:type="dxa"/>
          </w:tcPr>
          <w:p w14:paraId="4652202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72" w:type="dxa"/>
          </w:tcPr>
          <w:p w14:paraId="57A76F5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w:t>
            </w:r>
          </w:p>
        </w:tc>
        <w:tc>
          <w:tcPr>
            <w:tcW w:w="772" w:type="dxa"/>
          </w:tcPr>
          <w:p w14:paraId="4D678F9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234</w:t>
            </w:r>
          </w:p>
        </w:tc>
        <w:tc>
          <w:tcPr>
            <w:tcW w:w="772" w:type="dxa"/>
          </w:tcPr>
          <w:p w14:paraId="18FD2B3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276</w:t>
            </w:r>
          </w:p>
        </w:tc>
        <w:tc>
          <w:tcPr>
            <w:tcW w:w="4852" w:type="dxa"/>
          </w:tcPr>
          <w:p w14:paraId="436EB04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249</w:t>
            </w:r>
          </w:p>
        </w:tc>
      </w:tr>
      <w:tr w:rsidR="00F26F01" w:rsidRPr="00C33834" w14:paraId="1F0972C7" w14:textId="77777777">
        <w:tc>
          <w:tcPr>
            <w:tcW w:w="2660" w:type="dxa"/>
          </w:tcPr>
          <w:p w14:paraId="5F68C0D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И4</w:t>
            </w:r>
          </w:p>
        </w:tc>
        <w:tc>
          <w:tcPr>
            <w:tcW w:w="772" w:type="dxa"/>
          </w:tcPr>
          <w:p w14:paraId="50BC173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772" w:type="dxa"/>
          </w:tcPr>
          <w:p w14:paraId="5AD3312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772" w:type="dxa"/>
          </w:tcPr>
          <w:p w14:paraId="7312A53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108</w:t>
            </w:r>
          </w:p>
        </w:tc>
        <w:tc>
          <w:tcPr>
            <w:tcW w:w="772" w:type="dxa"/>
          </w:tcPr>
          <w:p w14:paraId="2D5A658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164</w:t>
            </w:r>
          </w:p>
        </w:tc>
        <w:tc>
          <w:tcPr>
            <w:tcW w:w="4852" w:type="dxa"/>
          </w:tcPr>
          <w:p w14:paraId="7FF6182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w:t>
            </w:r>
          </w:p>
        </w:tc>
      </w:tr>
      <w:tr w:rsidR="00F26F01" w:rsidRPr="00C33834" w14:paraId="6E968592" w14:textId="77777777">
        <w:tc>
          <w:tcPr>
            <w:tcW w:w="2660" w:type="dxa"/>
          </w:tcPr>
          <w:p w14:paraId="4884F14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w:t>
            </w:r>
          </w:p>
        </w:tc>
        <w:tc>
          <w:tcPr>
            <w:tcW w:w="772" w:type="dxa"/>
          </w:tcPr>
          <w:p w14:paraId="2F28A7A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72" w:type="dxa"/>
          </w:tcPr>
          <w:p w14:paraId="45B4855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72" w:type="dxa"/>
          </w:tcPr>
          <w:p w14:paraId="396D168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72" w:type="dxa"/>
          </w:tcPr>
          <w:p w14:paraId="290524E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w:t>
            </w:r>
          </w:p>
        </w:tc>
        <w:tc>
          <w:tcPr>
            <w:tcW w:w="4852" w:type="dxa"/>
          </w:tcPr>
          <w:p w14:paraId="4565D48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143</w:t>
            </w:r>
          </w:p>
        </w:tc>
      </w:tr>
      <w:tr w:rsidR="00F26F01" w:rsidRPr="00C33834" w14:paraId="3DA0F733" w14:textId="77777777">
        <w:tc>
          <w:tcPr>
            <w:tcW w:w="2660" w:type="dxa"/>
          </w:tcPr>
          <w:p w14:paraId="1F8F260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И6</w:t>
            </w:r>
          </w:p>
        </w:tc>
        <w:tc>
          <w:tcPr>
            <w:tcW w:w="772" w:type="dxa"/>
          </w:tcPr>
          <w:p w14:paraId="51B2BB4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72" w:type="dxa"/>
          </w:tcPr>
          <w:p w14:paraId="50C7596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72" w:type="dxa"/>
          </w:tcPr>
          <w:p w14:paraId="0ABC95C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72" w:type="dxa"/>
          </w:tcPr>
          <w:p w14:paraId="7FCA242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4852" w:type="dxa"/>
          </w:tcPr>
          <w:p w14:paraId="08DA66A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w:t>
            </w:r>
          </w:p>
        </w:tc>
      </w:tr>
      <w:tr w:rsidR="00F26F01" w:rsidRPr="00C33834" w14:paraId="162180EA" w14:textId="77777777">
        <w:tc>
          <w:tcPr>
            <w:tcW w:w="2660" w:type="dxa"/>
          </w:tcPr>
          <w:p w14:paraId="633833E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МР1</w:t>
            </w:r>
          </w:p>
        </w:tc>
        <w:tc>
          <w:tcPr>
            <w:tcW w:w="772" w:type="dxa"/>
          </w:tcPr>
          <w:p w14:paraId="7E2BC64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w:t>
            </w:r>
          </w:p>
        </w:tc>
        <w:tc>
          <w:tcPr>
            <w:tcW w:w="772" w:type="dxa"/>
          </w:tcPr>
          <w:p w14:paraId="7061CBA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w:t>
            </w:r>
          </w:p>
        </w:tc>
        <w:tc>
          <w:tcPr>
            <w:tcW w:w="772" w:type="dxa"/>
          </w:tcPr>
          <w:p w14:paraId="72CEEBA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p>
        </w:tc>
        <w:tc>
          <w:tcPr>
            <w:tcW w:w="772" w:type="dxa"/>
          </w:tcPr>
          <w:p w14:paraId="07328C9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w:t>
            </w:r>
          </w:p>
        </w:tc>
        <w:tc>
          <w:tcPr>
            <w:tcW w:w="4852" w:type="dxa"/>
          </w:tcPr>
          <w:p w14:paraId="3947E4C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62</w:t>
            </w:r>
          </w:p>
        </w:tc>
      </w:tr>
      <w:tr w:rsidR="00F26F01" w:rsidRPr="00C33834" w14:paraId="07FD0DAC" w14:textId="77777777">
        <w:tc>
          <w:tcPr>
            <w:tcW w:w="2660" w:type="dxa"/>
          </w:tcPr>
          <w:p w14:paraId="1E5B4ED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НД-55</w:t>
            </w:r>
          </w:p>
        </w:tc>
        <w:tc>
          <w:tcPr>
            <w:tcW w:w="772" w:type="dxa"/>
          </w:tcPr>
          <w:p w14:paraId="2FEBC8E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72" w:type="dxa"/>
          </w:tcPr>
          <w:p w14:paraId="0385F32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72" w:type="dxa"/>
          </w:tcPr>
          <w:p w14:paraId="44CDAE0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772" w:type="dxa"/>
          </w:tcPr>
          <w:p w14:paraId="219934D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4852" w:type="dxa"/>
          </w:tcPr>
          <w:p w14:paraId="0D8D7CE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w:t>
            </w:r>
          </w:p>
        </w:tc>
      </w:tr>
      <w:tr w:rsidR="00F26F01" w:rsidRPr="00C33834" w14:paraId="062AB567" w14:textId="77777777">
        <w:tc>
          <w:tcPr>
            <w:tcW w:w="2660" w:type="dxa"/>
          </w:tcPr>
          <w:p w14:paraId="120246F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Савойя 62 бис</w:t>
            </w:r>
          </w:p>
        </w:tc>
        <w:tc>
          <w:tcPr>
            <w:tcW w:w="772" w:type="dxa"/>
          </w:tcPr>
          <w:p w14:paraId="7C69568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72" w:type="dxa"/>
          </w:tcPr>
          <w:p w14:paraId="70289ED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72" w:type="dxa"/>
          </w:tcPr>
          <w:p w14:paraId="6162108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772" w:type="dxa"/>
          </w:tcPr>
          <w:p w14:paraId="0A21832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w:t>
            </w:r>
          </w:p>
        </w:tc>
        <w:tc>
          <w:tcPr>
            <w:tcW w:w="4852" w:type="dxa"/>
          </w:tcPr>
          <w:p w14:paraId="42B072A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w:t>
            </w:r>
          </w:p>
        </w:tc>
      </w:tr>
      <w:tr w:rsidR="00F26F01" w:rsidRPr="00C33834" w14:paraId="4EA13318" w14:textId="77777777">
        <w:tc>
          <w:tcPr>
            <w:tcW w:w="2660" w:type="dxa"/>
          </w:tcPr>
          <w:p w14:paraId="2F7DF04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Дорнье-Валь</w:t>
            </w:r>
          </w:p>
        </w:tc>
        <w:tc>
          <w:tcPr>
            <w:tcW w:w="772" w:type="dxa"/>
          </w:tcPr>
          <w:p w14:paraId="0D76E48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772" w:type="dxa"/>
          </w:tcPr>
          <w:p w14:paraId="2529CCA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772" w:type="dxa"/>
          </w:tcPr>
          <w:p w14:paraId="4F9C488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772" w:type="dxa"/>
          </w:tcPr>
          <w:p w14:paraId="39974F8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w:t>
            </w:r>
          </w:p>
        </w:tc>
        <w:tc>
          <w:tcPr>
            <w:tcW w:w="4852" w:type="dxa"/>
          </w:tcPr>
          <w:p w14:paraId="7CD33B9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r>
      <w:tr w:rsidR="00F26F01" w:rsidRPr="00C33834" w14:paraId="0946A1DE" w14:textId="77777777">
        <w:tc>
          <w:tcPr>
            <w:tcW w:w="2660" w:type="dxa"/>
          </w:tcPr>
          <w:p w14:paraId="1931FEA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Авро VI</w:t>
            </w:r>
          </w:p>
        </w:tc>
        <w:tc>
          <w:tcPr>
            <w:tcW w:w="772" w:type="dxa"/>
          </w:tcPr>
          <w:p w14:paraId="2E032BD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252</w:t>
            </w:r>
          </w:p>
        </w:tc>
        <w:tc>
          <w:tcPr>
            <w:tcW w:w="772" w:type="dxa"/>
          </w:tcPr>
          <w:p w14:paraId="4AB531B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293</w:t>
            </w:r>
          </w:p>
        </w:tc>
        <w:tc>
          <w:tcPr>
            <w:tcW w:w="772" w:type="dxa"/>
          </w:tcPr>
          <w:p w14:paraId="2441212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313</w:t>
            </w:r>
          </w:p>
        </w:tc>
        <w:tc>
          <w:tcPr>
            <w:tcW w:w="772" w:type="dxa"/>
          </w:tcPr>
          <w:p w14:paraId="71A2CA8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319</w:t>
            </w:r>
          </w:p>
        </w:tc>
        <w:tc>
          <w:tcPr>
            <w:tcW w:w="4852" w:type="dxa"/>
          </w:tcPr>
          <w:p w14:paraId="0D40C80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083970B2" w14:textId="77777777">
        <w:tc>
          <w:tcPr>
            <w:tcW w:w="2660" w:type="dxa"/>
          </w:tcPr>
          <w:p w14:paraId="75BC75A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МУI</w:t>
            </w:r>
          </w:p>
        </w:tc>
        <w:tc>
          <w:tcPr>
            <w:tcW w:w="772" w:type="dxa"/>
          </w:tcPr>
          <w:p w14:paraId="59FA3D6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72" w:type="dxa"/>
          </w:tcPr>
          <w:p w14:paraId="7012084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72" w:type="dxa"/>
          </w:tcPr>
          <w:p w14:paraId="7ED5968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w:t>
            </w:r>
          </w:p>
        </w:tc>
        <w:tc>
          <w:tcPr>
            <w:tcW w:w="772" w:type="dxa"/>
          </w:tcPr>
          <w:p w14:paraId="62FC1B4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w:t>
            </w:r>
          </w:p>
        </w:tc>
        <w:tc>
          <w:tcPr>
            <w:tcW w:w="4852" w:type="dxa"/>
          </w:tcPr>
          <w:p w14:paraId="7CB0084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w:t>
            </w:r>
          </w:p>
        </w:tc>
      </w:tr>
      <w:tr w:rsidR="00F26F01" w:rsidRPr="00C33834" w14:paraId="4618BC40" w14:textId="77777777">
        <w:tc>
          <w:tcPr>
            <w:tcW w:w="2660" w:type="dxa"/>
          </w:tcPr>
          <w:p w14:paraId="1EA5107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У2-М11</w:t>
            </w:r>
          </w:p>
        </w:tc>
        <w:tc>
          <w:tcPr>
            <w:tcW w:w="772" w:type="dxa"/>
          </w:tcPr>
          <w:p w14:paraId="3D74863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72" w:type="dxa"/>
          </w:tcPr>
          <w:p w14:paraId="3A4E74B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72" w:type="dxa"/>
          </w:tcPr>
          <w:p w14:paraId="6EDFED1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w:t>
            </w:r>
          </w:p>
        </w:tc>
        <w:tc>
          <w:tcPr>
            <w:tcW w:w="772" w:type="dxa"/>
          </w:tcPr>
          <w:p w14:paraId="1F98559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184</w:t>
            </w:r>
          </w:p>
        </w:tc>
        <w:tc>
          <w:tcPr>
            <w:tcW w:w="4852" w:type="dxa"/>
          </w:tcPr>
          <w:p w14:paraId="3217620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742</w:t>
            </w:r>
          </w:p>
        </w:tc>
      </w:tr>
      <w:tr w:rsidR="00F26F01" w:rsidRPr="00C33834" w14:paraId="527DA901" w14:textId="77777777">
        <w:tc>
          <w:tcPr>
            <w:tcW w:w="2660" w:type="dxa"/>
          </w:tcPr>
          <w:p w14:paraId="3DFAB9F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772" w:type="dxa"/>
          </w:tcPr>
          <w:p w14:paraId="56BC327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72" w:type="dxa"/>
          </w:tcPr>
          <w:p w14:paraId="0CE89F8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72" w:type="dxa"/>
          </w:tcPr>
          <w:p w14:paraId="533CBC8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72" w:type="dxa"/>
          </w:tcPr>
          <w:p w14:paraId="5C1999F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52" w:type="dxa"/>
          </w:tcPr>
          <w:p w14:paraId="5D34ED3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7C3DF2F" w14:textId="77777777">
        <w:tc>
          <w:tcPr>
            <w:tcW w:w="2660" w:type="dxa"/>
          </w:tcPr>
          <w:p w14:paraId="39C96A8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разведчикам сух./ав.</w:t>
            </w:r>
          </w:p>
        </w:tc>
        <w:tc>
          <w:tcPr>
            <w:tcW w:w="772" w:type="dxa"/>
          </w:tcPr>
          <w:p w14:paraId="7F08646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1154</w:t>
            </w:r>
          </w:p>
        </w:tc>
        <w:tc>
          <w:tcPr>
            <w:tcW w:w="772" w:type="dxa"/>
          </w:tcPr>
          <w:p w14:paraId="7FFFC4E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1455</w:t>
            </w:r>
          </w:p>
        </w:tc>
        <w:tc>
          <w:tcPr>
            <w:tcW w:w="772" w:type="dxa"/>
          </w:tcPr>
          <w:p w14:paraId="1233140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1600</w:t>
            </w:r>
          </w:p>
        </w:tc>
        <w:tc>
          <w:tcPr>
            <w:tcW w:w="772" w:type="dxa"/>
          </w:tcPr>
          <w:p w14:paraId="4C93956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1786</w:t>
            </w:r>
          </w:p>
        </w:tc>
        <w:tc>
          <w:tcPr>
            <w:tcW w:w="4852" w:type="dxa"/>
          </w:tcPr>
          <w:p w14:paraId="54D8445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2326</w:t>
            </w:r>
          </w:p>
        </w:tc>
      </w:tr>
      <w:tr w:rsidR="00F26F01" w:rsidRPr="00C33834" w14:paraId="7BB37C57" w14:textId="77777777">
        <w:tc>
          <w:tcPr>
            <w:tcW w:w="2660" w:type="dxa"/>
          </w:tcPr>
          <w:p w14:paraId="0055CC6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тяжелой авиации</w:t>
            </w:r>
          </w:p>
        </w:tc>
        <w:tc>
          <w:tcPr>
            <w:tcW w:w="772" w:type="dxa"/>
          </w:tcPr>
          <w:p w14:paraId="768FDD2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772" w:type="dxa"/>
          </w:tcPr>
          <w:p w14:paraId="082397B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772" w:type="dxa"/>
          </w:tcPr>
          <w:p w14:paraId="5880A72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w:t>
            </w:r>
          </w:p>
        </w:tc>
        <w:tc>
          <w:tcPr>
            <w:tcW w:w="772" w:type="dxa"/>
          </w:tcPr>
          <w:p w14:paraId="5A98F17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164</w:t>
            </w:r>
          </w:p>
        </w:tc>
        <w:tc>
          <w:tcPr>
            <w:tcW w:w="4852" w:type="dxa"/>
          </w:tcPr>
          <w:p w14:paraId="387500F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361</w:t>
            </w:r>
          </w:p>
        </w:tc>
      </w:tr>
      <w:tr w:rsidR="00F26F01" w:rsidRPr="00C33834" w14:paraId="74230358" w14:textId="77777777">
        <w:tc>
          <w:tcPr>
            <w:tcW w:w="2660" w:type="dxa"/>
          </w:tcPr>
          <w:p w14:paraId="2FB609A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истребительной авиац.</w:t>
            </w:r>
          </w:p>
        </w:tc>
        <w:tc>
          <w:tcPr>
            <w:tcW w:w="772" w:type="dxa"/>
          </w:tcPr>
          <w:p w14:paraId="759DCCE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228</w:t>
            </w:r>
          </w:p>
        </w:tc>
        <w:tc>
          <w:tcPr>
            <w:tcW w:w="772" w:type="dxa"/>
          </w:tcPr>
          <w:p w14:paraId="41CA5CF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316</w:t>
            </w:r>
          </w:p>
        </w:tc>
        <w:tc>
          <w:tcPr>
            <w:tcW w:w="772" w:type="dxa"/>
          </w:tcPr>
          <w:p w14:paraId="0B5E09B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578</w:t>
            </w:r>
          </w:p>
        </w:tc>
        <w:tc>
          <w:tcPr>
            <w:tcW w:w="772" w:type="dxa"/>
          </w:tcPr>
          <w:p w14:paraId="31A66C1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639</w:t>
            </w:r>
          </w:p>
        </w:tc>
        <w:tc>
          <w:tcPr>
            <w:tcW w:w="4852" w:type="dxa"/>
          </w:tcPr>
          <w:p w14:paraId="588EAA2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719</w:t>
            </w:r>
          </w:p>
        </w:tc>
      </w:tr>
      <w:tr w:rsidR="00F26F01" w:rsidRPr="00C33834" w14:paraId="0CBD7BB1" w14:textId="77777777">
        <w:tc>
          <w:tcPr>
            <w:tcW w:w="2660" w:type="dxa"/>
          </w:tcPr>
          <w:p w14:paraId="7E442AF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разв. морск. авиац.</w:t>
            </w:r>
          </w:p>
        </w:tc>
        <w:tc>
          <w:tcPr>
            <w:tcW w:w="772" w:type="dxa"/>
          </w:tcPr>
          <w:p w14:paraId="1832655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83</w:t>
            </w:r>
          </w:p>
        </w:tc>
        <w:tc>
          <w:tcPr>
            <w:tcW w:w="772" w:type="dxa"/>
          </w:tcPr>
          <w:p w14:paraId="6067437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114</w:t>
            </w:r>
          </w:p>
        </w:tc>
        <w:tc>
          <w:tcPr>
            <w:tcW w:w="772" w:type="dxa"/>
          </w:tcPr>
          <w:p w14:paraId="74947CF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118</w:t>
            </w:r>
          </w:p>
        </w:tc>
        <w:tc>
          <w:tcPr>
            <w:tcW w:w="772" w:type="dxa"/>
          </w:tcPr>
          <w:p w14:paraId="7F8B84F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132</w:t>
            </w:r>
          </w:p>
        </w:tc>
        <w:tc>
          <w:tcPr>
            <w:tcW w:w="4852" w:type="dxa"/>
          </w:tcPr>
          <w:p w14:paraId="26790B91"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171*</w:t>
            </w:r>
          </w:p>
        </w:tc>
      </w:tr>
      <w:tr w:rsidR="00F26F01" w:rsidRPr="00C33834" w14:paraId="1522D618" w14:textId="77777777">
        <w:tc>
          <w:tcPr>
            <w:tcW w:w="2660" w:type="dxa"/>
          </w:tcPr>
          <w:p w14:paraId="5C3EE9C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тяж. авиац.</w:t>
            </w:r>
          </w:p>
        </w:tc>
        <w:tc>
          <w:tcPr>
            <w:tcW w:w="772" w:type="dxa"/>
          </w:tcPr>
          <w:p w14:paraId="749A4A4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772" w:type="dxa"/>
          </w:tcPr>
          <w:p w14:paraId="5E209CB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w:t>
            </w:r>
          </w:p>
        </w:tc>
        <w:tc>
          <w:tcPr>
            <w:tcW w:w="772" w:type="dxa"/>
          </w:tcPr>
          <w:p w14:paraId="2428524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w:t>
            </w:r>
          </w:p>
        </w:tc>
        <w:tc>
          <w:tcPr>
            <w:tcW w:w="772" w:type="dxa"/>
          </w:tcPr>
          <w:p w14:paraId="39E919B4"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w:t>
            </w:r>
          </w:p>
        </w:tc>
        <w:tc>
          <w:tcPr>
            <w:tcW w:w="4852" w:type="dxa"/>
          </w:tcPr>
          <w:p w14:paraId="3E8BD2C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6F86E0A" w14:textId="77777777">
        <w:tc>
          <w:tcPr>
            <w:tcW w:w="2660" w:type="dxa"/>
          </w:tcPr>
          <w:p w14:paraId="747C257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учебным с-там</w:t>
            </w:r>
          </w:p>
        </w:tc>
        <w:tc>
          <w:tcPr>
            <w:tcW w:w="772" w:type="dxa"/>
          </w:tcPr>
          <w:p w14:paraId="59B642C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tc>
        <w:tc>
          <w:tcPr>
            <w:tcW w:w="772" w:type="dxa"/>
          </w:tcPr>
          <w:p w14:paraId="402C087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455</w:t>
            </w:r>
          </w:p>
        </w:tc>
        <w:tc>
          <w:tcPr>
            <w:tcW w:w="772" w:type="dxa"/>
          </w:tcPr>
          <w:p w14:paraId="744E481F"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472</w:t>
            </w:r>
          </w:p>
        </w:tc>
        <w:tc>
          <w:tcPr>
            <w:tcW w:w="772" w:type="dxa"/>
          </w:tcPr>
          <w:p w14:paraId="7A31CD9C"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634</w:t>
            </w:r>
          </w:p>
        </w:tc>
        <w:tc>
          <w:tcPr>
            <w:tcW w:w="4852" w:type="dxa"/>
          </w:tcPr>
          <w:p w14:paraId="63A9DFB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1129</w:t>
            </w:r>
          </w:p>
        </w:tc>
      </w:tr>
      <w:tr w:rsidR="00F26F01" w:rsidRPr="00C33834" w14:paraId="08881BDD" w14:textId="77777777">
        <w:tc>
          <w:tcPr>
            <w:tcW w:w="2660" w:type="dxa"/>
          </w:tcPr>
          <w:p w14:paraId="03A22118"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Из них 145 - ТБ3. (3948,91).</w:t>
            </w:r>
          </w:p>
        </w:tc>
        <w:tc>
          <w:tcPr>
            <w:tcW w:w="772" w:type="dxa"/>
          </w:tcPr>
          <w:p w14:paraId="7DDC56AE"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72" w:type="dxa"/>
          </w:tcPr>
          <w:p w14:paraId="08F63D9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72" w:type="dxa"/>
          </w:tcPr>
          <w:p w14:paraId="69A4639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72" w:type="dxa"/>
          </w:tcPr>
          <w:p w14:paraId="628DDDD0"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52" w:type="dxa"/>
          </w:tcPr>
          <w:p w14:paraId="778370B7"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68A198AB"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323C435F" w14:textId="77777777" w:rsidR="001911F8" w:rsidRPr="00C33834" w:rsidRDefault="001911F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 февраля 1933 г. под грифом «Секретно» начальник УВИ НВ РККА Т.П. Новиков и начальник второго отдела УВИ НВ РККА Я.М. Терентьев отправляют служебную записку заместителю Председателя ЦС ОСОАВИАХИМ СССР Л.П. Малиновскому следующего содержания: «Секретный характер работ ГИРД исключает двойное подчинение, просьба передать в ведение УВИ» (ГА РФ. Фонд Р-8355. Оп. 1. д. № 374. Л. 19) (22685).</w:t>
      </w:r>
    </w:p>
    <w:p w14:paraId="4CF174D8" w14:textId="77777777" w:rsidR="001911F8" w:rsidRPr="00C33834" w:rsidRDefault="001911F8" w:rsidP="00C33834">
      <w:pPr>
        <w:spacing w:after="0" w:line="240" w:lineRule="auto"/>
        <w:jc w:val="both"/>
        <w:rPr>
          <w:rFonts w:ascii="Times New Roman" w:hAnsi="Times New Roman"/>
          <w:color w:val="0070C0"/>
          <w:sz w:val="16"/>
          <w:szCs w:val="16"/>
        </w:rPr>
      </w:pPr>
    </w:p>
    <w:p w14:paraId="1A6AB87B" w14:textId="77777777" w:rsidR="001031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0B3410CB" w14:textId="77777777" w:rsidR="00103186" w:rsidRPr="00C33834" w:rsidRDefault="001031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774E182"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февраля 1933 в Харькове завершил работу февральский Пленум ЦК КП(б)У (5-7.02.1933 г), выявивший "существенные недостатки в работе сельских партийных организаций" (10687).</w:t>
      </w:r>
    </w:p>
    <w:p w14:paraId="09FC270D"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2972C3A3" w14:textId="77777777" w:rsidR="001031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2C81A9C" w14:textId="77777777" w:rsidR="00103186" w:rsidRPr="00C33834" w:rsidRDefault="001031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1B196B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февраля 1933 нелегальный пленум ЦК КПГ принял программу борьбы против фашистской диктатуры в условиях нелегальной деятельности (3186).</w:t>
      </w:r>
    </w:p>
    <w:p w14:paraId="54EF74E5"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0164588D" w14:textId="77777777" w:rsidR="00103186" w:rsidRPr="00C33834" w:rsidRDefault="00103186"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февраля 1933 лейтенант Фредерик Марго на судне, плывшем из Манилы в Сан-Диего, зафиксировал самую высокую морскую волну - 34 метра (4962).</w:t>
      </w:r>
    </w:p>
    <w:p w14:paraId="01A5C728" w14:textId="77777777" w:rsidR="00103186" w:rsidRPr="00C33834" w:rsidRDefault="00103186"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D60A45" w14:textId="77777777" w:rsidR="005B4B1E" w:rsidRPr="00C33834" w:rsidRDefault="005B4B1E"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7 февраля</w:t>
      </w:r>
      <w:r w:rsidRPr="00C33834">
        <w:rPr>
          <w:rFonts w:ascii="Times New Roman" w:hAnsi="Times New Roman"/>
          <w:color w:val="000000" w:themeColor="text1"/>
          <w:sz w:val="16"/>
          <w:szCs w:val="16"/>
        </w:rPr>
        <w:t xml:space="preserve"> в 1933 году в ночь с 6 на 7 февраля во время урагана (126 км/ч) лейтенант Фредерик Марго на судне "Рамапо" плывущем из Манилы в Сан-Диего, регистрирует самую высокую морскую волну - 34 м (15033).</w:t>
      </w:r>
    </w:p>
    <w:p w14:paraId="6154DC01" w14:textId="77777777" w:rsidR="005B4B1E" w:rsidRPr="00C33834" w:rsidRDefault="005B4B1E" w:rsidP="00C33834">
      <w:pPr>
        <w:spacing w:after="0" w:line="240" w:lineRule="auto"/>
        <w:jc w:val="both"/>
        <w:rPr>
          <w:rFonts w:ascii="Times New Roman" w:hAnsi="Times New Roman"/>
          <w:color w:val="000000" w:themeColor="text1"/>
          <w:sz w:val="16"/>
          <w:szCs w:val="16"/>
        </w:rPr>
      </w:pPr>
    </w:p>
    <w:p w14:paraId="0F890947" w14:textId="77777777" w:rsidR="001031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735A663" w14:textId="77777777" w:rsidR="00103186" w:rsidRPr="00C33834" w:rsidRDefault="001031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03CE349"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февраля 1933 г. группа из 13 конструкторов во главе с Поликарповым появилась в ЦКБ. Очень быстро расставили столы и 9 февраля приступили к работе. С 13 февраля началось официальное зачисление сотрудников в штат организации. Дмитрий Людвигович Томашевич был назначен начальником группы крыла (9536,4).</w:t>
      </w:r>
    </w:p>
    <w:p w14:paraId="3AE8074A"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726C7C52" w14:textId="77777777" w:rsidR="00067174" w:rsidRPr="00C33834" w:rsidRDefault="0006717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февраля 1933 г. группа из 13 конструкторов во главе с Поликарповым появилась в ЦКБ. Очень быстро расставили столы и 9 февраля приступили к работе. С 13 февраля началось официальное зачисление сотрудников в штат организации. Дмитрий Людвигович Томашевич был назначен начальником группы крыла (18254).</w:t>
      </w:r>
    </w:p>
    <w:p w14:paraId="46EA473B" w14:textId="77777777" w:rsidR="00067174" w:rsidRPr="00C33834" w:rsidRDefault="00067174" w:rsidP="00C33834">
      <w:pPr>
        <w:spacing w:after="0" w:line="240" w:lineRule="auto"/>
        <w:jc w:val="both"/>
        <w:rPr>
          <w:rFonts w:ascii="Times New Roman" w:hAnsi="Times New Roman"/>
          <w:color w:val="000000" w:themeColor="text1"/>
          <w:sz w:val="16"/>
          <w:szCs w:val="16"/>
        </w:rPr>
      </w:pPr>
    </w:p>
    <w:p w14:paraId="24BB7C93"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февраля 1933 г. группа конструкторов числом 13 человек во главе с Поликарповым переехала в ЦКБ и буквально в первый день расставила столы, а с 9 февра</w:t>
      </w:r>
      <w:r w:rsidRPr="00C33834">
        <w:rPr>
          <w:rFonts w:ascii="Times New Roman" w:hAnsi="Times New Roman"/>
          <w:color w:val="000000" w:themeColor="text1"/>
          <w:sz w:val="16"/>
          <w:szCs w:val="16"/>
        </w:rPr>
        <w:softHyphen/>
        <w:t>ля уже приступила к работе. В.И.Тарасову было дано задание на руководство проектированием моторных установок, что он и делал (начиная с ЦКБ-3 и кончая «Малюткой») на всех поликарповских самолетах» (10667).</w:t>
      </w:r>
    </w:p>
    <w:p w14:paraId="47A6DA96" w14:textId="77777777" w:rsidR="00103186" w:rsidRPr="00C33834" w:rsidRDefault="00103186" w:rsidP="00C33834">
      <w:pPr>
        <w:autoSpaceDE w:val="0"/>
        <w:autoSpaceDN w:val="0"/>
        <w:adjustRightInd w:val="0"/>
        <w:spacing w:after="0" w:line="240" w:lineRule="auto"/>
        <w:jc w:val="both"/>
        <w:rPr>
          <w:rFonts w:ascii="Times New Roman" w:hAnsi="Times New Roman"/>
          <w:color w:val="000000" w:themeColor="text1"/>
          <w:sz w:val="16"/>
          <w:szCs w:val="16"/>
        </w:rPr>
      </w:pPr>
    </w:p>
    <w:p w14:paraId="13A237D8" w14:textId="77777777" w:rsidR="0049741B" w:rsidRPr="00C33834" w:rsidRDefault="0049741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8 января 1933 г. Президиум ЦС ОСОАВИАХИМ СССР заслушал доклад Королева «О выпуске ежемесячного журнала «Советская ракета». Объем издания «2,5-3 печатных листа с тиражом до 5000 экз. Журнал рассчитан на научно-популярное изложение идей реактивного движения при непосредственном участии УВИ... Журнал должен получать дотацию в размере 28000 руб. из них УВИ отпускает 18000 руб.». Причем в состав редсовета вводится начальник УВИ - Г.П. Новиков. Президиум ОСОАВИАХИМ в Постановлении № 11 от того же числа постановил в свою очередь «выпуск ежемесячного журнала «Советская ракета» утвердить и ассигновать 10000 руб. дотации на весь 1933 г. Подписи председателя ЦС ОСОАВИАХИМ члена Реввоенсовета Р.П. Эйдемана и его заместителя М.Л. Белоцкого» (ГАРФ. Ф. Р-8355. Оп. 1. д. № 75. Л. 21.) (22685).</w:t>
      </w:r>
    </w:p>
    <w:p w14:paraId="514511BD" w14:textId="77777777" w:rsidR="0049741B" w:rsidRPr="00C33834" w:rsidRDefault="0049741B" w:rsidP="00C33834">
      <w:pPr>
        <w:spacing w:after="0" w:line="240" w:lineRule="auto"/>
        <w:jc w:val="both"/>
        <w:rPr>
          <w:rFonts w:ascii="Times New Roman" w:hAnsi="Times New Roman"/>
          <w:color w:val="0070C0"/>
          <w:sz w:val="16"/>
          <w:szCs w:val="16"/>
        </w:rPr>
      </w:pPr>
    </w:p>
    <w:p w14:paraId="671C7565" w14:textId="77777777" w:rsidR="005B4B1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9D099C7" w14:textId="77777777" w:rsidR="005B4B1E" w:rsidRPr="00C33834" w:rsidRDefault="005B4B1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2A84B52" w14:textId="77777777" w:rsidR="005B4B1E" w:rsidRPr="00C33834" w:rsidRDefault="005B4B1E" w:rsidP="00C33834">
      <w:pPr>
        <w:pStyle w:val="rtejustify"/>
        <w:spacing w:before="0" w:after="0"/>
        <w:rPr>
          <w:color w:val="000000" w:themeColor="text1"/>
          <w:sz w:val="16"/>
          <w:szCs w:val="16"/>
        </w:rPr>
      </w:pPr>
      <w:r w:rsidRPr="00C33834">
        <w:rPr>
          <w:rStyle w:val="af0"/>
          <w:bCs/>
          <w:i w:val="0"/>
          <w:color w:val="000000" w:themeColor="text1"/>
          <w:sz w:val="16"/>
          <w:szCs w:val="16"/>
        </w:rPr>
        <w:t xml:space="preserve">8 февраля </w:t>
      </w:r>
      <w:r w:rsidRPr="00C33834">
        <w:rPr>
          <w:color w:val="000000" w:themeColor="text1"/>
          <w:sz w:val="16"/>
          <w:szCs w:val="16"/>
        </w:rPr>
        <w:t xml:space="preserve">1933. Протокол заседания Политбюро ЦК ВКП (б) № 130. </w:t>
      </w:r>
      <w:hyperlink r:id="rId61" w:anchor="showunit&amp;id=85608" w:history="1">
        <w:r w:rsidRPr="00C33834">
          <w:rPr>
            <w:rStyle w:val="a5"/>
            <w:color w:val="000000" w:themeColor="text1"/>
            <w:sz w:val="16"/>
            <w:szCs w:val="16"/>
            <w:u w:val="none"/>
          </w:rPr>
          <w:t>16. О закупке у фирмы «Шлеман» 15</w:t>
        </w:r>
        <w:r w:rsidRPr="00C33834">
          <w:rPr>
            <w:rStyle w:val="a5"/>
            <w:color w:val="000000" w:themeColor="text1"/>
            <w:sz w:val="16"/>
            <w:szCs w:val="16"/>
            <w:u w:val="none"/>
          </w:rPr>
          <w:noBreakHyphen/>
          <w:t>тысячетонного пресса и его установке</w:t>
        </w:r>
      </w:hyperlink>
      <w:r w:rsidRPr="00C33834">
        <w:rPr>
          <w:color w:val="000000" w:themeColor="text1"/>
          <w:sz w:val="16"/>
          <w:szCs w:val="16"/>
        </w:rPr>
        <w:t xml:space="preserve"> (Антипов, Будняк, Пятаков, Розенгольц). Решено: а) обязать НКТП в двухдекадный срок внести на утверждение в СТО предложения об использовании купленного 15000</w:t>
      </w:r>
      <w:r w:rsidRPr="00C33834">
        <w:rPr>
          <w:color w:val="000000" w:themeColor="text1"/>
          <w:sz w:val="16"/>
          <w:szCs w:val="16"/>
        </w:rPr>
        <w:noBreakHyphen/>
        <w:t xml:space="preserve">тонного пресса с установлением точных сроков установки, монтажа и пуска его в эксплуатацию; б) принять к сведению, что вопрос о виновниках, допустивших переплаты по этому заказу, будет рассмотрен Президиумом ЦКК ВКП(б). </w:t>
      </w:r>
      <w:hyperlink r:id="rId62" w:anchor="showunit&amp;id=85609" w:history="1">
        <w:r w:rsidRPr="00C33834">
          <w:rPr>
            <w:rStyle w:val="a5"/>
            <w:color w:val="000000" w:themeColor="text1"/>
            <w:sz w:val="16"/>
            <w:szCs w:val="16"/>
            <w:u w:val="none"/>
          </w:rPr>
          <w:t>17. О ликвидации договора с фирмой «Фрейн»</w:t>
        </w:r>
      </w:hyperlink>
      <w:r w:rsidRPr="00C33834">
        <w:rPr>
          <w:color w:val="000000" w:themeColor="text1"/>
          <w:sz w:val="16"/>
          <w:szCs w:val="16"/>
        </w:rPr>
        <w:t xml:space="preserve"> (Пятаков) — ОП. Решено разрешить НКТП уплатить американской фирме «Фрейн», в виде премии за досрочную ликвидацию договора ее с Кузнецким комбинатом, 25</w:t>
      </w:r>
      <w:r w:rsidRPr="00C33834">
        <w:rPr>
          <w:color w:val="000000" w:themeColor="text1"/>
          <w:sz w:val="16"/>
          <w:szCs w:val="16"/>
        </w:rPr>
        <w:noBreakHyphen/>
        <w:t xml:space="preserve">30 тыс. долларов. </w:t>
      </w:r>
      <w:hyperlink r:id="rId63" w:anchor="showunit&amp;id=85611" w:history="1">
        <w:r w:rsidRPr="00C33834">
          <w:rPr>
            <w:rStyle w:val="a5"/>
            <w:color w:val="000000" w:themeColor="text1"/>
            <w:sz w:val="16"/>
            <w:szCs w:val="16"/>
            <w:u w:val="none"/>
          </w:rPr>
          <w:t>19. О синтетическом каучуке</w:t>
        </w:r>
      </w:hyperlink>
      <w:r w:rsidRPr="00C33834">
        <w:rPr>
          <w:color w:val="000000" w:themeColor="text1"/>
          <w:sz w:val="16"/>
          <w:szCs w:val="16"/>
        </w:rPr>
        <w:t xml:space="preserve"> (ПБ от 16 декабря 1932 г., пр. № 126, п. 5) (Молотов, Осипов, Пятаков, Рудзутак). Решено утвердить постановление СНК СССР о производственной программе синтетического каучука (см. приложение). </w:t>
      </w:r>
      <w:hyperlink r:id="rId64" w:anchor="showunit&amp;id=85657" w:history="1">
        <w:r w:rsidRPr="00C33834">
          <w:rPr>
            <w:rStyle w:val="a5"/>
            <w:color w:val="000000" w:themeColor="text1"/>
            <w:sz w:val="16"/>
            <w:szCs w:val="16"/>
            <w:u w:val="none"/>
          </w:rPr>
          <w:t>60/33. б) О переговорах с фирмой «Шлеман»</w:t>
        </w:r>
      </w:hyperlink>
      <w:r w:rsidRPr="00C33834">
        <w:rPr>
          <w:color w:val="000000" w:themeColor="text1"/>
          <w:sz w:val="16"/>
          <w:szCs w:val="16"/>
        </w:rPr>
        <w:t xml:space="preserve"> (ПБ от 7 февраля 1933 г.). Решено передать в комиссию Молотова по внешторговым делам (15462).</w:t>
      </w:r>
    </w:p>
    <w:p w14:paraId="6D5E756F" w14:textId="77777777" w:rsidR="005B4B1E" w:rsidRPr="00C33834" w:rsidRDefault="005B4B1E" w:rsidP="00C33834">
      <w:pPr>
        <w:pStyle w:val="rtejustify"/>
        <w:spacing w:before="0" w:after="0"/>
        <w:rPr>
          <w:color w:val="000000" w:themeColor="text1"/>
          <w:sz w:val="16"/>
          <w:szCs w:val="16"/>
        </w:rPr>
      </w:pPr>
    </w:p>
    <w:p w14:paraId="5BCC0BB3" w14:textId="77777777" w:rsidR="005B4B1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DE9ACEA" w14:textId="77777777" w:rsidR="005B4B1E" w:rsidRPr="00C33834" w:rsidRDefault="005B4B1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89B7382" w14:textId="77777777" w:rsidR="005B4B1E" w:rsidRPr="00C33834" w:rsidRDefault="005B4B1E"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8 февраля</w:t>
      </w:r>
      <w:r w:rsidRPr="00C33834">
        <w:rPr>
          <w:rFonts w:ascii="Times New Roman" w:hAnsi="Times New Roman"/>
          <w:color w:val="000000" w:themeColor="text1"/>
          <w:sz w:val="16"/>
          <w:szCs w:val="16"/>
        </w:rPr>
        <w:t xml:space="preserve"> в 1933 году состоялся первый полет 10-местного транспортного самолета </w:t>
      </w:r>
      <w:hyperlink r:id="rId65" w:tgtFrame="_blank" w:history="1">
        <w:r w:rsidRPr="00C33834">
          <w:rPr>
            <w:rFonts w:ascii="Times New Roman" w:hAnsi="Times New Roman"/>
            <w:color w:val="000000" w:themeColor="text1"/>
            <w:sz w:val="16"/>
            <w:szCs w:val="16"/>
          </w:rPr>
          <w:t xml:space="preserve">«Boeing 247». </w:t>
        </w:r>
      </w:hyperlink>
      <w:r w:rsidRPr="00C33834">
        <w:rPr>
          <w:rFonts w:ascii="Times New Roman" w:hAnsi="Times New Roman"/>
          <w:color w:val="000000" w:themeColor="text1"/>
          <w:sz w:val="16"/>
          <w:szCs w:val="16"/>
        </w:rPr>
        <w:t>В то время как европейцы строили первые одномоторные скоростные лайнеры, американцы сделали следующий шаг, создав первый двухмоторный. В следующем году он вышел на линии «United Air Lines», а затем и других крупнейших американских компаний (15034).</w:t>
      </w:r>
    </w:p>
    <w:p w14:paraId="0EAB2EA7" w14:textId="77777777" w:rsidR="005B4B1E" w:rsidRPr="00C33834" w:rsidRDefault="005B4B1E" w:rsidP="00C33834">
      <w:pPr>
        <w:spacing w:after="0" w:line="240" w:lineRule="auto"/>
        <w:jc w:val="both"/>
        <w:rPr>
          <w:rFonts w:ascii="Times New Roman" w:hAnsi="Times New Roman"/>
          <w:color w:val="000000" w:themeColor="text1"/>
          <w:sz w:val="16"/>
          <w:szCs w:val="16"/>
        </w:rPr>
      </w:pPr>
    </w:p>
    <w:p w14:paraId="32BF8BAF" w14:textId="77777777" w:rsidR="0049741B" w:rsidRPr="00C33834" w:rsidRDefault="0049741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8 февраля 1933 состоялся первый полет Боинг 247 (20802).</w:t>
      </w:r>
    </w:p>
    <w:p w14:paraId="795E7543" w14:textId="77777777" w:rsidR="0049741B" w:rsidRPr="00C33834" w:rsidRDefault="0049741B" w:rsidP="00C33834">
      <w:pPr>
        <w:spacing w:after="0" w:line="240" w:lineRule="auto"/>
        <w:jc w:val="both"/>
        <w:rPr>
          <w:rFonts w:ascii="Times New Roman" w:hAnsi="Times New Roman"/>
          <w:color w:val="0070C0"/>
          <w:sz w:val="16"/>
          <w:szCs w:val="16"/>
        </w:rPr>
      </w:pPr>
    </w:p>
    <w:p w14:paraId="37C5907D" w14:textId="77777777" w:rsidR="0049741B" w:rsidRPr="00C33834" w:rsidRDefault="0049741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8 февраля 1933 года — первый полёт пассажирского самолёта Boeing 247.</w:t>
      </w:r>
    </w:p>
    <w:p w14:paraId="3144DCB5" w14:textId="77777777" w:rsidR="0049741B" w:rsidRPr="00C33834" w:rsidRDefault="0049741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Появился как дальнейшее развитие идей почтового самолёта Boeing Model 200 Monomail и опытного бомбардировщика Boeing YB-9. Стал первым серийным цельнометаллическим авиалайнером со свободнонесущим крылом и убирающимся шасси. Оснащался автопилотом, триммерами и противообледенительными «ботинками» (чехлами) на крыле и хвостовом оперении. За всё вышеперечисленное носил титул «Первого современного авиалайнера».</w:t>
      </w:r>
    </w:p>
    <w:p w14:paraId="39D3E8AA" w14:textId="77777777" w:rsidR="0049741B" w:rsidRPr="00C33834" w:rsidRDefault="0049741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Салон Boeing 247 вмещал 10 пассажиров и 3 членов экипажа. 2 двигателя Pratt &amp; Whitney S1H1-G Wasp помогали развить скорость 320 км/ч, что с учётом дальности полёта в 1200 км позволяло совершить полёт из Лос-Анджелеса в Нью-Йорк за 20 часов лётного времени с 7 дозаправками.</w:t>
      </w:r>
    </w:p>
    <w:p w14:paraId="1191A497" w14:textId="77777777" w:rsidR="0049741B" w:rsidRPr="00C33834" w:rsidRDefault="0049741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Всего было выпущено 75 Boeing 247 различных модификаций. Основным эксплуатантом (60 самолётов) была дочерняя компания Boeing — United Airlines. На сегодняшний день сохранилось 4 авиалайнера, в том числе и один (N13347) в лётном состоянии (22300).</w:t>
      </w:r>
    </w:p>
    <w:p w14:paraId="1B63FEBD" w14:textId="77777777" w:rsidR="0049741B" w:rsidRPr="00C33834" w:rsidRDefault="0049741B" w:rsidP="00C33834">
      <w:pPr>
        <w:spacing w:after="0" w:line="240" w:lineRule="auto"/>
        <w:jc w:val="both"/>
        <w:rPr>
          <w:rFonts w:ascii="Times New Roman" w:hAnsi="Times New Roman"/>
          <w:color w:val="0070C0"/>
          <w:sz w:val="16"/>
          <w:szCs w:val="16"/>
        </w:rPr>
      </w:pPr>
    </w:p>
    <w:p w14:paraId="582969C6" w14:textId="77777777" w:rsidR="00FC65C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7CBB81B" w14:textId="77777777" w:rsidR="00FC65C5" w:rsidRPr="00C33834" w:rsidRDefault="00FC65C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D62C237"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9 по 22 февраля 1933 проходили совместные испытания тормозных колес размером 1350х300 на самолете ТБ3-4М17.</w:t>
      </w:r>
    </w:p>
    <w:p w14:paraId="00C1B318"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22003D9E"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инженер-летчик от НИИ ВВС –Филин</w:t>
      </w:r>
    </w:p>
    <w:p w14:paraId="7E489C14"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летчик от ЦАГИ – Громов</w:t>
      </w:r>
    </w:p>
    <w:p w14:paraId="4298B41F"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7742ED70"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тормозных колес, удобство расположения управления тормозами, эффективность действия тормозов и эксплуатационные данные колес.</w:t>
      </w:r>
    </w:p>
    <w:p w14:paraId="5D9BDC45"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Заключение</w:t>
      </w:r>
    </w:p>
    <w:p w14:paraId="3F5E2333" w14:textId="77777777" w:rsidR="00FC65C5" w:rsidRPr="00C33834" w:rsidRDefault="00FC65C5"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Конструкция колес к самолету ТБ-3 4М-17 размером 1350х300 с цельными тормозными стаканами утверждается.</w:t>
      </w:r>
    </w:p>
    <w:p w14:paraId="19793718"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колес со сварными тормозными стаканами:</w:t>
      </w:r>
    </w:p>
    <w:p w14:paraId="5A4345D8"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Начаты – 16 января 1933 года</w:t>
      </w:r>
    </w:p>
    <w:p w14:paraId="61DB5D29"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Окончены 16 января 1933 года</w:t>
      </w:r>
    </w:p>
    <w:p w14:paraId="3791EB1A"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Сделано 17 посадок</w:t>
      </w:r>
    </w:p>
    <w:p w14:paraId="73F50BED"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Получение новых колес и ремонт самолета с 17 января по 9 февраля 1933 года</w:t>
      </w:r>
    </w:p>
    <w:p w14:paraId="1AD767E1"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колес с цельными тормозными стаканами:</w:t>
      </w:r>
    </w:p>
    <w:p w14:paraId="54B8E20D"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Начато 9 февраля 1933 года</w:t>
      </w:r>
    </w:p>
    <w:p w14:paraId="53C4F938"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Окончено 21 февраля 1933 года</w:t>
      </w:r>
    </w:p>
    <w:p w14:paraId="4699B3C8"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Летных дней – 2 (6634).</w:t>
      </w:r>
    </w:p>
    <w:p w14:paraId="1192E2B7"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103EE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февраля 1933 ГВФ отметил десятилетие - выставки, кинофильмы, награждения. В.В.Куйбышев произнес речь (438,639).</w:t>
      </w:r>
    </w:p>
    <w:p w14:paraId="4949F524"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70F4DC92" w14:textId="77777777" w:rsidR="00805152" w:rsidRPr="00C33834" w:rsidRDefault="00805152"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9 февраля 1933 года, празднуя десятилетие Гражданского воздушного флота страны, авиационные руководители отчитывались на страницах газет: «Если протяженность воздушных линий в 1928 году составляла 11442 км, то в 1932 году длина воздушных линий уже превышала 30200 км. В 1928 году было перевезено 7 тысяч пассажиров, в 1932 году – 28 тысяч пассажиров. Груза и багажа перевезено в 1928 году 85 тонн, а в 1932 году – 460 тонн… В 1928 году самолеты обработали авиахимическими методами 33500 га зараженных вредителем сельского и лесного хозяйства… А в 1932 году … обработано свыше одного миллиона га… В 1928 году произведена аэрофотосъемка 30700 кв. км, в 1932 году – 108 кв. км» (21249).</w:t>
      </w:r>
    </w:p>
    <w:p w14:paraId="7CBEBE1A" w14:textId="77777777" w:rsidR="00805152" w:rsidRPr="00C33834" w:rsidRDefault="00805152" w:rsidP="00C33834">
      <w:pPr>
        <w:spacing w:after="0" w:line="240" w:lineRule="auto"/>
        <w:jc w:val="both"/>
        <w:rPr>
          <w:rFonts w:ascii="Times New Roman" w:hAnsi="Times New Roman"/>
          <w:color w:val="0070C0"/>
          <w:sz w:val="16"/>
          <w:szCs w:val="16"/>
        </w:rPr>
      </w:pPr>
    </w:p>
    <w:p w14:paraId="354E3C06" w14:textId="77777777" w:rsidR="00FC65C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56172C5" w14:textId="77777777" w:rsidR="00FC65C5" w:rsidRPr="00C33834" w:rsidRDefault="00FC65C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67CB91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февраля 1933 г. постановлением коллегии Наркомата рабоче-крестьянской инспекции СССР было создано Научно-исследовательское бюро (НИБ) Всесоюзного объединения вагоностроительных и тормозных заводов. В 1956 г. переименовано в Научно-исследовательское бюро вагоностроения (НИБ вагоностроения). Постановлением Совета Министров СССР от 13 июля 1961 г. на базе бюро организован ВНИИВ (12102).</w:t>
      </w:r>
    </w:p>
    <w:p w14:paraId="09D4C8A6" w14:textId="77777777" w:rsidR="004014A7" w:rsidRPr="00C33834" w:rsidRDefault="004014A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224B5E" w14:textId="77777777" w:rsidR="00FC65C5" w:rsidRPr="00C33834" w:rsidRDefault="00FC65C5"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февраля 1933 г. прошло расширенное заседание президиума завкома завода Новое Сормово, посвященное в основном вопросам качества продукции. На нем, в частности, отмечалось, что основной брак давал кузнечный цех. В нем не было технического руководства, термических измерений, подогревательных печей и нужной температуры под молотами. В инструментальном цехе отсутствовали чертежи и допуски. Средний брак по заводу определили «примерно» в 25 %, а брак кузницы — в 60 %. Отмечалось также, что на заводе мелкие детали изготовляются небрежно, «нечем измерять температуру, неквалифицированные мастера, не разработан технологический процесс и т. д. [17 — ГУ ЦАНО, Ф. 2491, Оп. 1, Д. 48, Л. 22–36.]». Некоторые докладчики выступили против борьбы за «спасение» деталей. Отмечалось также отсутствие на заводе системы учета брака и как следствие этого невозможность ведения его статистики. В итоге президиум постановил, что брак «по отдельным цехам недопустимо высок, состояние выпущенной продукции плохое, работа ОТК неудовлетворительная». Однако никаких конкретных мер на заседании предложено не было. Наиболее объективным показателем уровня брака можно считать итоги механических испытаний партий выпущенных деталей. Они проводились в специальной лаборатории, путем подвергания изделий специальным нагрузкам. Так, согласно результатам испытаний разных деталей пушки 20-К, необходимую нагрузку выдержали 96 плавок из 185. Остальные 89 или 48 % не выдержали или оказались полностью бракованными. Аналогичные испытания кожуха той же пушки выдержали 78 плавок, не выдержали и полный брак — 113 (60 %). Несколько лучше результаты механических испытаний имела другая партия кожухов: выдержали 148 плавок, не выдержали и брак — 42 (23 %). [18 — Там же, Д. 6, Л. 1-189.] Четвертая же, взятая нами произвольно партия, выявила следующие результаты: из 380 плавок 170 выдержали испытания, остальные — 210 (55 %) — не выдержали либо полный брак. Таким образом, судя по результатам механических испытаний за 1932–1933 гг., в среднем брак составлял 48 % деталей (11741).</w:t>
      </w:r>
    </w:p>
    <w:p w14:paraId="15B21E6E" w14:textId="77777777" w:rsidR="00FC65C5" w:rsidRPr="00C33834" w:rsidRDefault="00FC65C5"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462E29" w14:textId="77777777" w:rsidR="00FC65C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3865D0AF" w14:textId="77777777" w:rsidR="00FC65C5" w:rsidRPr="00C33834" w:rsidRDefault="00FC65C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50391B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февраля 1933-го вышел приказом ОГПУ № 0056 «О соединении заключенных исправ.-трудов. лагерей ОГПУ с их семьями, высланными в порядке спецпереселения в спецпоселки» , которым предписывалось:</w:t>
      </w:r>
    </w:p>
    <w:p w14:paraId="64FA89B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уменьшения побегов из спецпоселков и закрепления хозяйственного устройства семей спецпереселенцев, главы или трудоспособные члены которых осуждены и находятся в исправительно-трудовых лагерях ОГПУ...:</w:t>
      </w:r>
    </w:p>
    <w:p w14:paraId="7A817EE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Заключенных, находящихся в исправительно-трудовых лагерях ОГПУ, соединять с их семьями, высланными в порядке спецпереселения в спецпоселки - независимо от срока, статьи осуждения и времени отбытия срока в лагерях ОГПУ.</w:t>
      </w:r>
    </w:p>
    <w:p w14:paraId="54EE4CD1"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Производить соединение только тех заключенных, которые в период пребывания в лагерях ОГПУ проявили себя с положительной стороны, не совершили преступлений и не замечены в к.-р. деятельности.</w:t>
      </w:r>
    </w:p>
    <w:p w14:paraId="5505D32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Начальнику ГУЛАГ ОГПУ затребовать от лагерей списки заключенных, семьи которых находятся в спецпоселках, и совместно с Особоуполномоченным Коллегии ОГПУ, по согласованию с соответствующими отделами ОГПУ, направлять таковых к семьям в спецпоселки» (7560).</w:t>
      </w:r>
    </w:p>
    <w:p w14:paraId="5B82683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34E4F925" w14:textId="77777777" w:rsidR="00FC65C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F36E140" w14:textId="77777777" w:rsidR="00FC65C5" w:rsidRPr="00C33834" w:rsidRDefault="00FC65C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76C21C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февраля 1933 года Базилевич писал письмо N 128/КО в СНК Куйбышеву, Рудзутаку.</w:t>
      </w:r>
    </w:p>
    <w:p w14:paraId="5A598F3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указанию Молотова направляю для ознакомления копию краткого доклада Баранова по рекордному полету на дальность.</w:t>
      </w:r>
    </w:p>
    <w:p w14:paraId="38D8E1D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Постановлением СТО на ЦАГИ возложена задача постройки самолета для рекордных полетов на дальность. Этот самолет в настоящее время находится в постройке и будет готов для предварительных испытаний в мае 1933 года, а для полетов на продолжительность и дальность к сентябрю 1933 года.</w:t>
      </w:r>
    </w:p>
    <w:p w14:paraId="735DB8C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3-х человеках экипажа этот самолет сможет покрыть расстояние без посадки в 9000-10000 км (мировой рекорд 8200 км). Самолет строится с одним мотором М-34 без редуктора, а при установке мотора М-34 с редуктором дальность полета может быть увеличена. Таким образом, на этом самолете с мотором М-34 СССР сможет поставить мировой рекорд на дальность полета без посадки. Однако проведение этой операции потребует значительной предварительной подготовки.</w:t>
      </w:r>
    </w:p>
    <w:p w14:paraId="6D8737F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Необходимо будет:</w:t>
      </w:r>
    </w:p>
    <w:p w14:paraId="777AA7B7"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подготовить 10 специально изготовленных моторов М-34 с особой надежностью работы и специфической регулировкой для наименьшего расхода горючего.</w:t>
      </w:r>
    </w:p>
    <w:p w14:paraId="3780FF1B"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Провести шестимесячную тренировку двух экипажей (основного и резервного, состоящие каждый из 2-х летчиков и 1 аэронавигатора) для полетов по приборам и длительных полетов без посадки.</w:t>
      </w:r>
    </w:p>
    <w:p w14:paraId="6AC790BD"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Выделить и подготовить обслуживающие самолеты и самолеты для перелета.</w:t>
      </w:r>
    </w:p>
    <w:p w14:paraId="05088C03"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Выделить специальную обслуживающую группу в количестве 20 человек инженерно-технического персонала, снабдив эту группу транспортом.</w:t>
      </w:r>
    </w:p>
    <w:p w14:paraId="33F0118D"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Построить специальную бетонированную дорожку для взлета (длиной 2000 м и шириной 70 м), которая необходима вследствие сильной первоначальной перегруженности самолета.</w:t>
      </w:r>
    </w:p>
    <w:p w14:paraId="1BDE2C7C"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Заблаговременно выбрать маршрут полета в зависимости от ряда политических и технических соображений</w:t>
      </w:r>
    </w:p>
    <w:p w14:paraId="355D57DB"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Обеспечить метеорологическую службу во время полета.</w:t>
      </w:r>
    </w:p>
    <w:p w14:paraId="590038F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расстоянии 9000 км и свыше могут быть намечены следующие заграничные маршруты: Москва – Южная Африка, Москва – Южная Америка, Москва – Нью-Йорк (в Западном направлении). Внутренний маршрут Москва – Владивосток длиною в 8000 км недостаточен для рекорда на дальность и труден для перелета в осеннее время.</w:t>
      </w:r>
    </w:p>
    <w:p w14:paraId="7896FFDF"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Получить в СССР специального представителя Международной организации по рекордным полетам, без визы которого никакой рекорд по Международному кодексу не признается.</w:t>
      </w:r>
    </w:p>
    <w:p w14:paraId="53E31688"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(4013,5).</w:t>
      </w:r>
    </w:p>
    <w:p w14:paraId="49E4377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532FFAA9"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февраля 1933 года происходило предварительное рассмотрение эскизного проекта паровой турбины ХАИ мощностью 6000 нр. Проект был закончен на 50 % (3516).</w:t>
      </w:r>
    </w:p>
    <w:p w14:paraId="72B014F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66300C8F" w14:textId="77777777" w:rsidR="006B0A16" w:rsidRPr="00C33834" w:rsidRDefault="006B0A16"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 xml:space="preserve">10 февраля 1933 в час пять минут ночи экипаж М.В. Водопьянова на самолете П-5 вылетел с Центрального аэродрома Москвы, имея на борту запас бензина на тринадцать часов, около ста килограммов почты, около тридцати килограммов продуктов неприкосновенного запаса, инструменты и чехлы. Через восемь с половиной </w:t>
      </w:r>
      <w:r w:rsidRPr="00C33834">
        <w:rPr>
          <w:rFonts w:ascii="Times New Roman" w:eastAsia="Times New Roman" w:hAnsi="Times New Roman"/>
          <w:color w:val="0070C0"/>
          <w:sz w:val="16"/>
          <w:szCs w:val="16"/>
          <w:lang w:eastAsia="ru-RU"/>
        </w:rPr>
        <w:lastRenderedPageBreak/>
        <w:t>часов полета самолет опустился на свердловском аэродроме, а уже через час, дозаправившись, экипаж продолжил путь по трассе Курган – Омск, планируя совершить следующую посадку в Новосибирске. Однако жизнь внесла свои коррективы.</w:t>
      </w:r>
    </w:p>
    <w:p w14:paraId="5C5EAA3B" w14:textId="77777777" w:rsidR="006B0A16" w:rsidRPr="00C33834" w:rsidRDefault="006B0A16"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Над Омском Михаила Васильевича внезапно обдало паром (позже выяснилось, что соскочил шланг с радиатора). Облако пара, окружившее самолет, заслонило землю. В двигателе закипела вода. Чтобы спасти мотор, пилот выключил его и стал планировать на аэродром. Благо, что случилось это в районе омского аэродрома. Безмоторная посадка была выполнена безукоризненно.</w:t>
      </w:r>
    </w:p>
    <w:p w14:paraId="36B582EF" w14:textId="77777777" w:rsidR="006B0A16" w:rsidRPr="00C33834" w:rsidRDefault="006B0A16"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М.В. Водопьянов рассчитывал вылететь через час после вынужденной посадки в Омске, но подготовка к вылету, в результате несогласованности и нераспорядительности омских авиационных руководителей, заняла двадцать два часа. Вылететь в Новосибирск удалось на следующий день за час до захода солнца.</w:t>
      </w:r>
    </w:p>
    <w:p w14:paraId="6C6CDB12" w14:textId="77777777" w:rsidR="006B0A16" w:rsidRPr="00C33834" w:rsidRDefault="006B0A16"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Посадку на новосибирском аэродроме М.В. Водопьянов совершил 11 февраля в 21 час 30 минут (по местному времени). Аэродром Новосибирска был хорошо оборудован для обеспечения ночных полетов: его границы были обозначены электрическими лампочками, световое «Т» показывало направление посадки, два прожектора хорошо освещали летное поле.</w:t>
      </w:r>
    </w:p>
    <w:p w14:paraId="271D2FFC" w14:textId="77777777" w:rsidR="006B0A16" w:rsidRPr="00C33834" w:rsidRDefault="006B0A16"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Самолет М.В. Водопьянова заправили «под пробку», чтобы горючего хватило до Читы. Не успев толком отдохнуть, экипаж в три часа утра вырулил на старт. В ходе взлета пилот почувствовал, что самолет перегружен и не оторвется до конца летного поля. Пришлось прервать взлет, а затем из нижнего добавочного бака слить килограммов двести бензина, и только тогда, в 5 часов 30 минут, самолету с трудом удалось оторваться от земли. Топлива до Читы не хватало, пришлось посадить самолет в Иркутске.</w:t>
      </w:r>
    </w:p>
    <w:p w14:paraId="25C6A67F" w14:textId="77777777" w:rsidR="006B0A16" w:rsidRPr="00C33834" w:rsidRDefault="006B0A16"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13 февраля в 2 часа ночи, вновь заправив самолет под завязку, М.В. Водопьянов начал разбег. Пробежав половину аэродрома, пришлось убрать газ, – машина плохо отрывалась от аэродрома. Оторвать самолет от земли удалось, только предварительно установив его на границе аэродрома.</w:t>
      </w:r>
    </w:p>
    <w:p w14:paraId="50EE28B5" w14:textId="77777777" w:rsidR="006B0A16" w:rsidRPr="00C33834" w:rsidRDefault="006B0A16"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Вскоре, летя над Байкалом, уставший Михаил Васильевич, вероятно, заснул. Неуправляемый самолет упал на лед, при этом бортмеханик Серегин погиб, а М.В. Водопьянов получил тяжелые травмы. Очнулся он только утром 16 февраля в больнице. Более полугода понадобилось Михаилу Васильевичу чтобы восстановить здоровье (21249).</w:t>
      </w:r>
    </w:p>
    <w:p w14:paraId="5B9C8809" w14:textId="77777777" w:rsidR="006B0A16" w:rsidRPr="00C33834" w:rsidRDefault="006B0A16" w:rsidP="00C33834">
      <w:pPr>
        <w:spacing w:after="0" w:line="240" w:lineRule="auto"/>
        <w:jc w:val="both"/>
        <w:rPr>
          <w:rFonts w:ascii="Times New Roman" w:hAnsi="Times New Roman"/>
          <w:color w:val="0070C0"/>
          <w:sz w:val="16"/>
          <w:szCs w:val="16"/>
        </w:rPr>
      </w:pPr>
    </w:p>
    <w:p w14:paraId="68210CF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февраля 1933 состоялся первый полет первого дирижабля полужесткой схемы В-5 объемом 2150 м с двигателем 75 нр (438,630).</w:t>
      </w:r>
    </w:p>
    <w:p w14:paraId="7DEAF29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февраля 1933 был построен первый советский полужесткий дирижабль СССР В-5 (Осоавиахим) (224,9).</w:t>
      </w:r>
    </w:p>
    <w:p w14:paraId="3968CBB1"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Якобы именно этот дирижабли строился при участии У.Нобиле, но он был моделью более крупного - В-6 (1228,9).</w:t>
      </w:r>
    </w:p>
    <w:p w14:paraId="045B1A8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2B61E89A" w14:textId="77777777" w:rsidR="006B0A16" w:rsidRPr="00C33834" w:rsidRDefault="006B0A1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 февраля 1933 г. началась эллинговая сборка ДП-3 и завершилась к концу месяца (20120).</w:t>
      </w:r>
    </w:p>
    <w:p w14:paraId="662525F9" w14:textId="77777777" w:rsidR="006B0A16" w:rsidRPr="00C33834" w:rsidRDefault="006B0A16" w:rsidP="00C33834">
      <w:pPr>
        <w:spacing w:after="0" w:line="240" w:lineRule="auto"/>
        <w:jc w:val="both"/>
        <w:rPr>
          <w:rFonts w:ascii="Times New Roman" w:hAnsi="Times New Roman"/>
          <w:color w:val="0070C0"/>
          <w:sz w:val="16"/>
          <w:szCs w:val="16"/>
        </w:rPr>
      </w:pPr>
    </w:p>
    <w:p w14:paraId="361441C5" w14:textId="77777777" w:rsidR="00FC65C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22BEEEB" w14:textId="77777777" w:rsidR="00FC65C5" w:rsidRPr="00C33834" w:rsidRDefault="00FC65C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A798AB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февраля 1933 г. состоялась первая радиотрансляция из Москвы в США. Она длилась несколько минут - американцы могли услышать бой кремлевских курантов и "Интернационал". Передачи из Нью-Йорка впервые были приняты в Москве и появились в эфире в октябре (9923).</w:t>
      </w:r>
    </w:p>
    <w:p w14:paraId="13CC0E3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1AF46118" w14:textId="77777777" w:rsidR="006B0A16" w:rsidRPr="00C33834" w:rsidRDefault="006B0A16"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2C3D94A9" w14:textId="77777777" w:rsidR="006B0A16" w:rsidRPr="00C33834" w:rsidRDefault="006B0A1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CC3A35C" w14:textId="77777777" w:rsidR="006B0A16" w:rsidRPr="00C33834" w:rsidRDefault="006B0A1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 февраля 1933 состоялся первый полет Демон Хокера (20802).</w:t>
      </w:r>
    </w:p>
    <w:p w14:paraId="485EBB8A" w14:textId="77777777" w:rsidR="006B0A16" w:rsidRPr="00C33834" w:rsidRDefault="006B0A16" w:rsidP="00C33834">
      <w:pPr>
        <w:spacing w:after="0" w:line="240" w:lineRule="auto"/>
        <w:jc w:val="both"/>
        <w:rPr>
          <w:rFonts w:ascii="Times New Roman" w:hAnsi="Times New Roman"/>
          <w:color w:val="0070C0"/>
          <w:sz w:val="16"/>
          <w:szCs w:val="16"/>
        </w:rPr>
      </w:pPr>
    </w:p>
    <w:p w14:paraId="754D8308" w14:textId="77777777" w:rsidR="006B0A16" w:rsidRPr="00C33834" w:rsidRDefault="006B0A1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 февраля 1933 года — первый полёт поршневого истребителя Hawker Demon. /Великобритания/</w:t>
      </w:r>
    </w:p>
    <w:p w14:paraId="39A8CB4F" w14:textId="77777777" w:rsidR="006B0A16" w:rsidRPr="00C33834" w:rsidRDefault="006B0A1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Впечатлившись характеристиками лёгкого бомбардировщика Hawker Hart, Королевские ВВС Великобритании в 1930 году заказали компании Hawker Aircraft разработку истребителя на его базе. Самолёт, первоначально названный Hart Fighter, позже получит имя Demon и будет разработан за 2 года.</w:t>
      </w:r>
    </w:p>
    <w:p w14:paraId="1B8C63DA" w14:textId="77777777" w:rsidR="006B0A16" w:rsidRPr="00C33834" w:rsidRDefault="006B0A1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Базовый биплан с неубирающимся шасси Hart доработали — уменьшили размеры, убрали бомбовое вооружение и поставили более мощный двигатель Rolls-Royce Kestrel IIS (позже заменили на Kestrel V(DR)). В остальном, конструкция осталась без особых изменений. Максимальная скорость — 293 км/ч, дальность полёта — 603 км. Вооружение состояло из 3 × 7,7-мм пулемётов + до 6 лёгких бомб.</w:t>
      </w:r>
    </w:p>
    <w:p w14:paraId="73DF66FA" w14:textId="77777777" w:rsidR="006B0A16" w:rsidRPr="00C33834" w:rsidRDefault="006B0A1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Hawker Demon стал промежуточным вариантом до начала поставок более современных истребителей в нужном объёме. Всего выпустили 304 самолёта. Также стоял на вооружении Королевских ВВС Австралии. Два истребителя сохранилось до наших дней (22300).</w:t>
      </w:r>
    </w:p>
    <w:p w14:paraId="5C7E7B48" w14:textId="77777777" w:rsidR="006B0A16" w:rsidRPr="00C33834" w:rsidRDefault="006B0A16" w:rsidP="00C33834">
      <w:pPr>
        <w:spacing w:after="0" w:line="240" w:lineRule="auto"/>
        <w:jc w:val="both"/>
        <w:rPr>
          <w:rFonts w:ascii="Times New Roman" w:hAnsi="Times New Roman"/>
          <w:color w:val="0070C0"/>
          <w:sz w:val="16"/>
          <w:szCs w:val="16"/>
        </w:rPr>
      </w:pPr>
    </w:p>
    <w:p w14:paraId="7B4C59BC" w14:textId="77777777" w:rsidR="006B0A16" w:rsidRPr="00C33834" w:rsidRDefault="006B0A1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 февраля 1933 - Первый полет Hawker Demon. Представлял из себя истребительный вариант  легкого бомбардировщика Hawker Hart. Всего было построено около 200 машин, часть их них была проданна Австралии, где их использовали в качестве истребителей-бомбардировщиков.Австралийские машины даже успели поучаствовать во второй мировой войне (22628).</w:t>
      </w:r>
    </w:p>
    <w:p w14:paraId="3B1B86AB" w14:textId="77777777" w:rsidR="006B0A16" w:rsidRPr="00C33834" w:rsidRDefault="006B0A16" w:rsidP="00C33834">
      <w:pPr>
        <w:spacing w:after="0" w:line="240" w:lineRule="auto"/>
        <w:jc w:val="both"/>
        <w:rPr>
          <w:rFonts w:ascii="Times New Roman" w:hAnsi="Times New Roman"/>
          <w:color w:val="0070C0"/>
          <w:sz w:val="16"/>
          <w:szCs w:val="16"/>
        </w:rPr>
      </w:pPr>
    </w:p>
    <w:p w14:paraId="164A0523" w14:textId="77777777" w:rsidR="004014A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0B3C930" w14:textId="77777777" w:rsidR="004014A7" w:rsidRPr="00C33834" w:rsidRDefault="004014A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C39F620" w14:textId="77777777" w:rsidR="004014A7" w:rsidRPr="00C33834" w:rsidRDefault="004014A7" w:rsidP="00C33834">
      <w:pPr>
        <w:pStyle w:val="rtejustify"/>
        <w:spacing w:before="0" w:after="0"/>
        <w:rPr>
          <w:color w:val="000000" w:themeColor="text1"/>
          <w:sz w:val="16"/>
          <w:szCs w:val="16"/>
        </w:rPr>
      </w:pPr>
      <w:r w:rsidRPr="00C33834">
        <w:rPr>
          <w:rStyle w:val="af0"/>
          <w:bCs/>
          <w:i w:val="0"/>
          <w:color w:val="000000" w:themeColor="text1"/>
          <w:sz w:val="16"/>
          <w:szCs w:val="16"/>
        </w:rPr>
        <w:t>11 февраля</w:t>
      </w:r>
      <w:r w:rsidRPr="00C33834">
        <w:rPr>
          <w:color w:val="000000" w:themeColor="text1"/>
          <w:sz w:val="16"/>
          <w:szCs w:val="16"/>
        </w:rPr>
        <w:t xml:space="preserve"> 1933 вышел приказ РВСС № 3. 4. О выполнении промышленностью плана заказов НКВМ за 1932 г. (Мовчин). 5. О ходе выполнения договорной кампании (Хрулев). (РГВА. Ф. 4. Оп. 18. Д. 23. Л. 38).</w:t>
      </w:r>
    </w:p>
    <w:p w14:paraId="56A41299" w14:textId="77777777" w:rsidR="004014A7" w:rsidRPr="00C33834" w:rsidRDefault="004014A7" w:rsidP="00C33834">
      <w:pPr>
        <w:pStyle w:val="rtejustify"/>
        <w:spacing w:before="0" w:after="0"/>
        <w:rPr>
          <w:rStyle w:val="af0"/>
          <w:bCs/>
          <w:i w:val="0"/>
          <w:color w:val="000000" w:themeColor="text1"/>
          <w:sz w:val="16"/>
          <w:szCs w:val="16"/>
        </w:rPr>
      </w:pPr>
    </w:p>
    <w:p w14:paraId="6F6A63DA" w14:textId="77777777" w:rsidR="00FC65C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5F858E17" w14:textId="77777777" w:rsidR="00FC65C5" w:rsidRPr="00C33834" w:rsidRDefault="00FC65C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1A8F7C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11 февраля 1933 г. Совет Народных Комиссаров СССР принял постановление “Об организации Главного управления кинофотопромышленности при СНК Союза ССР”, которое явилось первым в масштабах страны реальным руководящим органом кинематографии. ГУФК подчинялись крупные кинофабрики (“Мосфильм”, “Ленфильм”, “Союзкинохроника”) и кинотресты, а также экспортно-импортная контора “Союзинторгкино”, работающая на хозрасчете. Имеющее региональные отделения при наркоматах республик, ГУФК не только руководил кинопроцессом, но впервые осуществлял идеологические функции — утверждал планы производства фильмов и вел контроль их содержания. Существовала специальная комиссия по предварительному просмотру и выпуску на экраны новых кинофильмов (в начале 1930-х гг. при Оргбюро ЦК ВКП(б) этим занималась Кинокомиссия, затем аналогичная комиссия существовала при ЦИКе, а фактически — при Политбюро). В систему управления кинематографом было передано и кинообразование всех уровней, сначала входившее в систему Профобра Наркомпроса — школы киномехаников, кинотехникумы и вузы (ГИК и ЛИКИ), а также научные учреждения (НИКФИ, затем — НИИК). Начальником ГУКФ был назначен Борис Шумяцкий, которого вскоре стали называть “народным комиссаром кинематографии”. Профессиональный революционер и партфункционер, вхожий в “ближний круг” товарища Сталина, принялся за дело с рвением и твердым убеждением, что все выходящие под его руководством фильмы должны вписываться в рамки марксистско-ленинской идеологии. Утверждая свои художественные требования, начальник ГУКФа зачислял в “секту” формалистов Довженко (в его </w:t>
      </w:r>
      <w:r w:rsidRPr="00C33834">
        <w:rPr>
          <w:rFonts w:ascii="Times New Roman" w:hAnsi="Times New Roman"/>
          <w:iCs/>
          <w:color w:val="000000" w:themeColor="text1"/>
          <w:sz w:val="16"/>
          <w:szCs w:val="16"/>
        </w:rPr>
        <w:t>Звенигоре</w:t>
      </w:r>
      <w:r w:rsidRPr="00C33834">
        <w:rPr>
          <w:rFonts w:ascii="Times New Roman" w:hAnsi="Times New Roman"/>
          <w:color w:val="000000" w:themeColor="text1"/>
          <w:sz w:val="16"/>
          <w:szCs w:val="16"/>
        </w:rPr>
        <w:t xml:space="preserve"> (1927) Шумяцкий усмотрел “кинематографическое знамя буржуазных националистов”), без особых церемоний требовал вырезать сцены и эпизоды из </w:t>
      </w:r>
      <w:r w:rsidRPr="00C33834">
        <w:rPr>
          <w:rFonts w:ascii="Times New Roman" w:hAnsi="Times New Roman"/>
          <w:iCs/>
          <w:color w:val="000000" w:themeColor="text1"/>
          <w:sz w:val="16"/>
          <w:szCs w:val="16"/>
        </w:rPr>
        <w:t>Чапаева</w:t>
      </w:r>
      <w:r w:rsidRPr="00C33834">
        <w:rPr>
          <w:rFonts w:ascii="Times New Roman" w:hAnsi="Times New Roman"/>
          <w:color w:val="000000" w:themeColor="text1"/>
          <w:sz w:val="16"/>
          <w:szCs w:val="16"/>
        </w:rPr>
        <w:t xml:space="preserve"> (1934) братьев Васильевых, </w:t>
      </w:r>
      <w:r w:rsidRPr="00C33834">
        <w:rPr>
          <w:rFonts w:ascii="Times New Roman" w:hAnsi="Times New Roman"/>
          <w:iCs/>
          <w:color w:val="000000" w:themeColor="text1"/>
          <w:sz w:val="16"/>
          <w:szCs w:val="16"/>
        </w:rPr>
        <w:t>Последней ночи</w:t>
      </w:r>
      <w:r w:rsidRPr="00C33834">
        <w:rPr>
          <w:rFonts w:ascii="Times New Roman" w:hAnsi="Times New Roman"/>
          <w:color w:val="000000" w:themeColor="text1"/>
          <w:sz w:val="16"/>
          <w:szCs w:val="16"/>
        </w:rPr>
        <w:t xml:space="preserve"> (1936) Юлия Райзмана, </w:t>
      </w:r>
      <w:r w:rsidRPr="00C33834">
        <w:rPr>
          <w:rFonts w:ascii="Times New Roman" w:hAnsi="Times New Roman"/>
          <w:iCs/>
          <w:color w:val="000000" w:themeColor="text1"/>
          <w:sz w:val="16"/>
          <w:szCs w:val="16"/>
        </w:rPr>
        <w:t>Партийного билета</w:t>
      </w:r>
      <w:r w:rsidRPr="00C33834">
        <w:rPr>
          <w:rFonts w:ascii="Times New Roman" w:hAnsi="Times New Roman"/>
          <w:color w:val="000000" w:themeColor="text1"/>
          <w:sz w:val="16"/>
          <w:szCs w:val="16"/>
        </w:rPr>
        <w:t xml:space="preserve"> (1936) Ивана Пырьева, </w:t>
      </w:r>
      <w:r w:rsidRPr="00C33834">
        <w:rPr>
          <w:rFonts w:ascii="Times New Roman" w:hAnsi="Times New Roman"/>
          <w:iCs/>
          <w:color w:val="000000" w:themeColor="text1"/>
          <w:sz w:val="16"/>
          <w:szCs w:val="16"/>
        </w:rPr>
        <w:t>Поколения победителей</w:t>
      </w:r>
      <w:r w:rsidRPr="00C33834">
        <w:rPr>
          <w:rFonts w:ascii="Times New Roman" w:hAnsi="Times New Roman"/>
          <w:color w:val="000000" w:themeColor="text1"/>
          <w:sz w:val="16"/>
          <w:szCs w:val="16"/>
        </w:rPr>
        <w:t xml:space="preserve"> (1936) Веры Строевой и горой стоял за Григория Александрова, Григория Козинцева, Леонида Трауберга и Михаила Ромма. Благодаря его ярой защите на экран вышли </w:t>
      </w:r>
      <w:r w:rsidRPr="00C33834">
        <w:rPr>
          <w:rFonts w:ascii="Times New Roman" w:hAnsi="Times New Roman"/>
          <w:iCs/>
          <w:color w:val="000000" w:themeColor="text1"/>
          <w:sz w:val="16"/>
          <w:szCs w:val="16"/>
        </w:rPr>
        <w:t>Веселые ребята</w:t>
      </w:r>
      <w:r w:rsidRPr="00C33834">
        <w:rPr>
          <w:rFonts w:ascii="Times New Roman" w:hAnsi="Times New Roman"/>
          <w:color w:val="000000" w:themeColor="text1"/>
          <w:sz w:val="16"/>
          <w:szCs w:val="16"/>
        </w:rPr>
        <w:t xml:space="preserve"> (1934) , которых критика обвиняла во всех “буржуазных” грехах. Благодаря его деятельному участию появились </w:t>
      </w:r>
      <w:r w:rsidRPr="00C33834">
        <w:rPr>
          <w:rFonts w:ascii="Times New Roman" w:hAnsi="Times New Roman"/>
          <w:iCs/>
          <w:color w:val="000000" w:themeColor="text1"/>
          <w:sz w:val="16"/>
          <w:szCs w:val="16"/>
        </w:rPr>
        <w:t>Юность Максима</w:t>
      </w:r>
      <w:r w:rsidRPr="00C33834">
        <w:rPr>
          <w:rFonts w:ascii="Times New Roman" w:hAnsi="Times New Roman"/>
          <w:color w:val="000000" w:themeColor="text1"/>
          <w:sz w:val="16"/>
          <w:szCs w:val="16"/>
        </w:rPr>
        <w:t xml:space="preserve"> (1934) и </w:t>
      </w:r>
      <w:r w:rsidRPr="00C33834">
        <w:rPr>
          <w:rFonts w:ascii="Times New Roman" w:hAnsi="Times New Roman"/>
          <w:iCs/>
          <w:color w:val="000000" w:themeColor="text1"/>
          <w:sz w:val="16"/>
          <w:szCs w:val="16"/>
        </w:rPr>
        <w:t>Петр I</w:t>
      </w:r>
      <w:r w:rsidRPr="00C33834">
        <w:rPr>
          <w:rFonts w:ascii="Times New Roman" w:hAnsi="Times New Roman"/>
          <w:color w:val="000000" w:themeColor="text1"/>
          <w:sz w:val="16"/>
          <w:szCs w:val="16"/>
        </w:rPr>
        <w:t xml:space="preserve"> (1937—1938) . С именем Шумяцкого связан и успех советских фильмов на международных кинофестивалях в Венеции и Москве. Он первым (после своей поездки в Америку) выступил за генеральную реконструкцию советского кинематографа на основе американского опыта, намеревался совершить техническую и организационную революцию в управлении отраслью и выстроить “советский Голливуд” на Черном море, способный выпускать 200 фильмов в год. В течение двух-трех лет после прихода Шумяцкого в ГУФК советское кинопроизводство сделало заметный шаг вперед. Важнейшими задачами в этот период были организация производства собственной кинопленки, звукозаписывающей аппаратуры для киностудий, звуковоспроизводящей аппаратуры для киносети, реконструкция киностудий под производство звуковых, цветных и широкоэкранных студий. И эти задачи были успешно решены. Шумяцкий обладал врожденной деловой хваткой. Будучи главным ответственным за кремлевские кинопросмотры для Сталина, он умудрялся подать картины на суд вождя наиболее выигрышным образом и извлечь из высочайшего благоволения наибольшую выгоду для кинодела. В 1935 г. состоялась первая крупная раздача орденов, званий и премий мастерам кино (сам Шумяцкий получил Орден Ленина). С тех пор практика масштабных поощрений кинематографистов государственными “пряниками” стала обычным делом вплоть до самого конца советских времен. Одновременно вошел в обиход и “кнут”: многие кинематографисты стали жертвами массового террора, свирепствовавшего следующие два десятилетия. Не уцелел и Шумяцкий — регулярное цитирование “отца народов” и публичные заверения в преданности вождю не помогли. 8 октября 1937 г. был арестован друг Шумяцого оператор Владимир Нильсен, а в ночь с 17 на 18 января 1938 г. арестовали и самого Шумяцкого. 28 июля 1938 г. он был расстрелян (11019).</w:t>
      </w:r>
    </w:p>
    <w:p w14:paraId="6A36449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3EF230A5" w14:textId="77777777" w:rsidR="00FC65C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C40F0F9" w14:textId="77777777" w:rsidR="00FC65C5" w:rsidRPr="00C33834" w:rsidRDefault="00FC65C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26961C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13 февраля 1933 состоялось заседание комиссии т. В.М.М. по оборонным титульным спискам:</w:t>
      </w:r>
    </w:p>
    <w:p w14:paraId="6FD95A6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Присутствовали: т.т. К.Е.В., Г.К.О., Межлаук, Уншлихт</w:t>
      </w:r>
    </w:p>
    <w:p w14:paraId="006ECB7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Приглашены: т.т. Гринько, Тухачевский, Каменев, Егоров, Ефимов, Ерман, Воттер, Нейфельд, Хрулев, Кацва, Будняк</w:t>
      </w:r>
    </w:p>
    <w:p w14:paraId="35811D6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Рассмотрели: О титульном списке капитальных работ по военной и авиационной промышленности на 1933 и на 1-й кв. 1933 (2282,2).</w:t>
      </w:r>
    </w:p>
    <w:p w14:paraId="3551CB97" w14:textId="77777777" w:rsidR="00FC65C5" w:rsidRPr="00C33834" w:rsidRDefault="00FC65C5"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ПОСТАНОВИЛИ:</w:t>
      </w:r>
    </w:p>
    <w:p w14:paraId="1DFC36A0" w14:textId="77777777" w:rsidR="00FC65C5" w:rsidRPr="00C33834" w:rsidRDefault="00FC65C5"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Представленной Госпланом проект титульного списка капитальнных работ по военной и авиационной промышленности на 1933 г. и на 1-й кв. 1933 г. -утвердить (см. приложение).</w:t>
      </w:r>
    </w:p>
    <w:p w14:paraId="6FC858A3" w14:textId="77777777" w:rsidR="00FC65C5" w:rsidRPr="00C33834" w:rsidRDefault="00FC65C5"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 разногласиям между НКТП и Госпланом принять следующее перераспределение средств:</w:t>
      </w:r>
    </w:p>
    <w:p w14:paraId="73FD4E1D" w14:textId="77777777" w:rsidR="00FC65C5" w:rsidRPr="00C33834" w:rsidRDefault="00FC65C5"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военной промышленности снять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F26F01" w:rsidRPr="00C33834" w14:paraId="2ADA3F80" w14:textId="77777777">
        <w:tc>
          <w:tcPr>
            <w:tcW w:w="4788" w:type="dxa"/>
            <w:tcBorders>
              <w:top w:val="single" w:sz="12" w:space="0" w:color="auto"/>
            </w:tcBorders>
            <w:shd w:val="clear" w:color="auto" w:fill="FFFFFF"/>
          </w:tcPr>
          <w:p w14:paraId="57AA93C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 Н.Сормово </w:t>
            </w:r>
          </w:p>
        </w:tc>
        <w:tc>
          <w:tcPr>
            <w:tcW w:w="4788" w:type="dxa"/>
            <w:tcBorders>
              <w:top w:val="single" w:sz="12" w:space="0" w:color="auto"/>
            </w:tcBorders>
            <w:shd w:val="clear" w:color="auto" w:fill="FFFFFF"/>
          </w:tcPr>
          <w:p w14:paraId="45F388F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- 6 млн.руб.</w:t>
            </w:r>
          </w:p>
        </w:tc>
      </w:tr>
      <w:tr w:rsidR="00F26F01" w:rsidRPr="00C33834" w14:paraId="56FB4707" w14:textId="77777777">
        <w:tc>
          <w:tcPr>
            <w:tcW w:w="4788" w:type="dxa"/>
            <w:shd w:val="clear" w:color="auto" w:fill="FFFFFF"/>
          </w:tcPr>
          <w:p w14:paraId="11C2EE3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 Баррикады </w:t>
            </w:r>
          </w:p>
        </w:tc>
        <w:tc>
          <w:tcPr>
            <w:tcW w:w="4788" w:type="dxa"/>
            <w:shd w:val="clear" w:color="auto" w:fill="FFFFFF"/>
          </w:tcPr>
          <w:p w14:paraId="7E38755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- 1,5</w:t>
            </w:r>
          </w:p>
        </w:tc>
      </w:tr>
      <w:tr w:rsidR="00F26F01" w:rsidRPr="00C33834" w14:paraId="2D3A10E3" w14:textId="77777777">
        <w:tc>
          <w:tcPr>
            <w:tcW w:w="4788" w:type="dxa"/>
            <w:shd w:val="clear" w:color="auto" w:fill="FFFFFF"/>
          </w:tcPr>
          <w:p w14:paraId="00E0B41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Большевик</w:t>
            </w:r>
          </w:p>
        </w:tc>
        <w:tc>
          <w:tcPr>
            <w:tcW w:w="4788" w:type="dxa"/>
            <w:shd w:val="clear" w:color="auto" w:fill="FFFFFF"/>
          </w:tcPr>
          <w:p w14:paraId="4769499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- 1 </w:t>
            </w:r>
          </w:p>
        </w:tc>
      </w:tr>
      <w:tr w:rsidR="00F26F01" w:rsidRPr="00C33834" w14:paraId="38B6D6A3" w14:textId="77777777">
        <w:tc>
          <w:tcPr>
            <w:tcW w:w="4788" w:type="dxa"/>
            <w:shd w:val="clear" w:color="auto" w:fill="FFFFFF"/>
          </w:tcPr>
          <w:p w14:paraId="27A69548"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 Спецмаштреста</w:t>
            </w:r>
          </w:p>
        </w:tc>
        <w:tc>
          <w:tcPr>
            <w:tcW w:w="4788" w:type="dxa"/>
            <w:shd w:val="clear" w:color="auto" w:fill="FFFFFF"/>
          </w:tcPr>
          <w:p w14:paraId="3CB9A334"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r>
      <w:tr w:rsidR="00F26F01" w:rsidRPr="00C33834" w14:paraId="4C455077" w14:textId="77777777">
        <w:tc>
          <w:tcPr>
            <w:tcW w:w="4788" w:type="dxa"/>
            <w:shd w:val="clear" w:color="auto" w:fill="FFFFFF"/>
          </w:tcPr>
          <w:p w14:paraId="5954EF6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4788" w:type="dxa"/>
            <w:shd w:val="clear" w:color="auto" w:fill="FFFFFF"/>
          </w:tcPr>
          <w:p w14:paraId="2A71012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- 11,5 .млн.,руб.</w:t>
            </w:r>
          </w:p>
        </w:tc>
      </w:tr>
      <w:tr w:rsidR="00F26F01" w:rsidRPr="00C33834" w14:paraId="42DA6301" w14:textId="77777777">
        <w:tc>
          <w:tcPr>
            <w:tcW w:w="4788" w:type="dxa"/>
            <w:shd w:val="clear" w:color="auto" w:fill="FFFFFF"/>
          </w:tcPr>
          <w:p w14:paraId="1A2CBA4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Передать на строительство </w:t>
            </w:r>
          </w:p>
        </w:tc>
        <w:tc>
          <w:tcPr>
            <w:tcW w:w="4788" w:type="dxa"/>
            <w:shd w:val="clear" w:color="auto" w:fill="FFFFFF"/>
          </w:tcPr>
          <w:p w14:paraId="40F2EF7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BC556A8" w14:textId="77777777">
        <w:tc>
          <w:tcPr>
            <w:tcW w:w="4788" w:type="dxa"/>
            <w:shd w:val="clear" w:color="auto" w:fill="FFFFFF"/>
          </w:tcPr>
          <w:p w14:paraId="4F14F9F9"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Ижевской ТЭЦ </w:t>
            </w:r>
          </w:p>
        </w:tc>
        <w:tc>
          <w:tcPr>
            <w:tcW w:w="4788" w:type="dxa"/>
            <w:shd w:val="clear" w:color="auto" w:fill="FFFFFF"/>
          </w:tcPr>
          <w:p w14:paraId="72C6B2C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- 8 млн.руб.</w:t>
            </w:r>
          </w:p>
        </w:tc>
      </w:tr>
      <w:tr w:rsidR="00F26F01" w:rsidRPr="00C33834" w14:paraId="05FB7F9E" w14:textId="77777777">
        <w:tc>
          <w:tcPr>
            <w:tcW w:w="4788" w:type="dxa"/>
            <w:tcBorders>
              <w:bottom w:val="single" w:sz="12" w:space="0" w:color="auto"/>
            </w:tcBorders>
            <w:shd w:val="clear" w:color="auto" w:fill="FFFFFF"/>
          </w:tcPr>
          <w:p w14:paraId="6C9A4744"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Челябинского з-да крупнокалиберных сна рядов</w:t>
            </w:r>
          </w:p>
        </w:tc>
        <w:tc>
          <w:tcPr>
            <w:tcW w:w="4788" w:type="dxa"/>
            <w:tcBorders>
              <w:bottom w:val="single" w:sz="12" w:space="0" w:color="auto"/>
            </w:tcBorders>
            <w:shd w:val="clear" w:color="auto" w:fill="FFFFFF"/>
          </w:tcPr>
          <w:p w14:paraId="75ACEC8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- 3,5.</w:t>
            </w:r>
          </w:p>
        </w:tc>
      </w:tr>
    </w:tbl>
    <w:p w14:paraId="1C5B9243" w14:textId="77777777" w:rsidR="00FC65C5" w:rsidRPr="00C33834" w:rsidRDefault="00FC65C5"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ГУАП"у</w:t>
      </w:r>
    </w:p>
    <w:p w14:paraId="0006E138" w14:textId="77777777" w:rsidR="00FC65C5" w:rsidRPr="00C33834" w:rsidRDefault="00FC65C5"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счет мобилизации внутренних рессурсов авиационной ыншленности выделить дополнительно:. 6.600 тыс.-руб. на строительство завода № 126.</w:t>
      </w:r>
    </w:p>
    <w:p w14:paraId="22FAE2C2" w14:textId="77777777" w:rsidR="00FC65C5" w:rsidRPr="00C33834" w:rsidRDefault="00FC65C5"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Принять- к сведению заявление т. Орджоникидзе о том, что, им поручено проработать в 1и 1/5-2-х месячный срок вопрос о возмож</w:t>
      </w:r>
      <w:r w:rsidRPr="00C33834">
        <w:rPr>
          <w:rFonts w:ascii="Times New Roman" w:hAnsi="Times New Roman"/>
          <w:color w:val="000000" w:themeColor="text1"/>
          <w:sz w:val="16"/>
          <w:szCs w:val="16"/>
        </w:rPr>
        <w:softHyphen/>
        <w:t>ности поставить производство авиапоковок.на заводах как гражданской, так и военной промыаленности на имеющемся, оборудовании.</w:t>
      </w:r>
    </w:p>
    <w:p w14:paraId="0DD9F5E9" w14:textId="77777777" w:rsidR="00FC65C5" w:rsidRPr="00C33834" w:rsidRDefault="00FC65C5"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Если это окажется невозможным, НКТяжпроыу представить свои предложения о реконструкциил Ижевского завода с целью пастановки на_нам производства авиапоковок.</w:t>
      </w:r>
    </w:p>
    <w:p w14:paraId="7DBBAD0E" w14:textId="77777777" w:rsidR="00FC65C5" w:rsidRPr="00C33834" w:rsidRDefault="00FC65C5"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2.НКТяжпгому и Госплану в 3-х дневный срок представить окончательно уточненный титульный список с указзнием срока окончания строительетва по каждому об"екту в соответствии утвержднными ассигнованиями.</w:t>
      </w:r>
    </w:p>
    <w:p w14:paraId="23EAE1E2" w14:textId="77777777" w:rsidR="00FC65C5" w:rsidRPr="00C33834" w:rsidRDefault="00FC65C5"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Обязать НКТП произвести распределение выделенных военной промышшленности материальнкх фондов и оборудования с таким расчетом, чтобы обеспечить скорейшее окончание и ввод в экоплоатацию наибоее развернутых строительством пусковых объектов (2228,2).</w:t>
      </w:r>
    </w:p>
    <w:p w14:paraId="04E84EE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5F26D4E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февраля 1933 года зам. Наркомтяжпрома и начальника Глававиапрома Баранов представил:</w:t>
      </w:r>
    </w:p>
    <w:p w14:paraId="6FC32AA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 по опытному строительству моторов и самолетов на 1932 год</w:t>
      </w:r>
    </w:p>
    <w:p w14:paraId="2D47A54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Планом на 1932 год, утвержденным Правительством 4 июля 1932 года, перед опытным строительством ставились первоочередными задачами:</w:t>
      </w:r>
    </w:p>
    <w:p w14:paraId="309D5F01"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Создание истребительных моторов водяного и воздушного охлаждения, характеризуемых малым весом, малыми габаритами, большой мощностью, сохраняемой до большой высоты и малым расходом горючего. Конкретно же имелись ввиду моторы М-38 и М-32.</w:t>
      </w:r>
    </w:p>
    <w:p w14:paraId="20526FA6"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Указанные характеристики необходимы были для создания вполне современных самолетов как истребителей дающих быстрый подъем на большую высоту, хорошую скорость и при мощных огневых средствах боя достаточную продолжительность и радиус действия полета. Объектами намечались И-13 и И-14.</w:t>
      </w:r>
    </w:p>
    <w:p w14:paraId="1591F552"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Создание мощного бензодвигателя (М-44) характеризуемого осуществлением в одном агрегате большой мощности, долженствующего заменить 2-3 мотора существующих мощностей и устанавливаемых на тяжелых бомбовозах.</w:t>
      </w:r>
    </w:p>
    <w:p w14:paraId="1B7CFF3E"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Отсюда непосредственно вытекала задача постройки тяжелого бомбардировщика, использующего несколько мощных агрегатов дающих экономию в весе на винтомоторной группе, улучшение обтекания, простоту эксплуатации – следствием чего улучшение всех качеств самолета.</w:t>
      </w:r>
    </w:p>
    <w:p w14:paraId="2558A6B2"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Провести доводку изготовленного мотора М-34, снабдив его редуктором, нагнетателем и увеличить надежность его работы. Этой задачей преследовалась цель улучшить боевые качества самолетов среднего и тяжелого веса.</w:t>
      </w:r>
    </w:p>
    <w:p w14:paraId="54FFC4D8"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Имея в виду необеспеченность нашей гидроавиации советскими машинами, ставилась задача создания типов морских лодочных самолетов (МК-1, МДР-3).</w:t>
      </w:r>
    </w:p>
    <w:p w14:paraId="732F6590"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Создание нефтяного двигателя типа ДИЗЕЛЬ, как дающего большую надежность, дешевизну эксплуатации, уменьшение авиационного веса, вследствие меньшего удельного расхода горючего.</w:t>
      </w:r>
    </w:p>
    <w:p w14:paraId="7C58300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Над всеми этими задачами, учитывая огромное значение их, опытные организации ГУАПа работали развернутыми силами и несмотря на ряд достижений полностью с ними в установленные сроки не справились.</w:t>
      </w:r>
    </w:p>
    <w:p w14:paraId="5E36AFB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объекты, идущие с опоздание – моторы. Причинами этого послужило то, что в ЦИАМе, как в организации молодой, имеющей сложные и разнохарактерные работы, отличающиеся новизной, не имеющей еще проверенных методов производства, нормирования, учета, создался ряд больших еще трудностей как по производственной, так и оперативно-технической линии. Благодаря недостаточности опыта у молодого инженерно-технического персонала, не всегда находящего быстрое и нужное решение …………….. влекущие за собой перегрузку в цехах, высокий брак. Кроме того, производственная база ЦИАМа при многообразии типов и большого количества объектов, предусматривающих изготовление не только опытных экземпляров, но и снабжение ими выходящих опытных самолетов, оказалась недостаточной.</w:t>
      </w:r>
    </w:p>
    <w:p w14:paraId="7300DEF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Несмотря на это, все моторы предусмотренные планом 1932 года закончены производством и находятся на заводском испытании. Срок и сдача их на госиспытания зависят от степени сложности и серьезности обнаруженных при испытаниях переделок и исправлений.</w:t>
      </w:r>
    </w:p>
    <w:p w14:paraId="0376ACD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Что касается вопроса выпуска самолетов, то в основном невыполнение установленных сроков заключалось в отсутствии моторов, доведенных до возможности пуска их в эксплуатацию на самолете. Следующей причиной служило позднее установление со стороны УВВС технических требований на тот или иной тип машины, следствием чего являлась необходимость дополнительных работ, а иногда и полная переработка задания.</w:t>
      </w:r>
    </w:p>
    <w:p w14:paraId="7AD22299"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дополнение следует отметить, что в течение первого квартала 1932 года ЦАГИ переживал организационный период (слияние с заводом № 39), который не мог не отразиться на темпах его работы этого времени.</w:t>
      </w:r>
    </w:p>
    <w:p w14:paraId="6A864E0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сроки выпуска самолетов еще не выпущенных и связанных с вышеуказанными причинами, должны будут передвинуться на более позднее время.</w:t>
      </w:r>
    </w:p>
    <w:p w14:paraId="3D6B511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Результаты работ 1932 года показали, что задачи, поставленные Правительством перед опытным строительством, являются реально осуществимыми и требуют лишь доводки их в 1933 году.</w:t>
      </w:r>
    </w:p>
    <w:p w14:paraId="5913635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Состояние работ по задачам можно характеризовать следующим:</w:t>
      </w:r>
    </w:p>
    <w:p w14:paraId="57D77F23"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 для истребителей М-38 и М-32 после исправления недочетов, выявленных на предварительных испытаниях, снова поставлены на станок и дали удовлетворительные результаты. М-38Н проработал 80 режимных часов; М-32 РН – 50 часов. Оба дали проектируемую мощность. Намеченный срок госиспытаний для 1-го –июнь, для второго – март 1933 года.</w:t>
      </w:r>
    </w:p>
    <w:p w14:paraId="01353CD5"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Мощный бензодвигатель в 2000 НР (М-44) конструктивной разработкой закончен. Заканчиваются исследовательские работы в лаборатории одноцилиндровой установки. Готовность деталей оценивается в 50%.</w:t>
      </w:r>
    </w:p>
    <w:p w14:paraId="726B660E"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для самолетов среднего и тяжелого веса (М-34) изготовляется в серии и проходит доводку на самолете. Серийный мотор прошел на полном газу (максимальную мощность) 50 часов беспрерывной работы, тогда как обычно на этом режиме образец испытывается не более 30 минут.</w:t>
      </w:r>
    </w:p>
    <w:p w14:paraId="1D372D8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Тот же тип мотора с редуктором дал хорошие результаты при 46-ти часовом предварительном испытании и сейчас прошел 50-ти часовое испытание и подготавливается к 100 часовому госиспытанию.</w:t>
      </w:r>
    </w:p>
    <w:p w14:paraId="68D9B45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Тот же тип мотора с нагнетателем после внесения изменений поставлен на станок и проходит заводские испытания.</w:t>
      </w:r>
    </w:p>
    <w:p w14:paraId="02E908F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с редуктором и нагнетателем может быть пущен на испытание лишь после окончательной доведенности каждого агрегата (Р и Н) в отдельности.</w:t>
      </w:r>
    </w:p>
    <w:p w14:paraId="410A840A"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нефтяным моторам работы ведутся в ЦИАМе (Н1), в ВНИДИ (Н2) и ОКБ (Н5).</w:t>
      </w:r>
    </w:p>
    <w:p w14:paraId="4B783AF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Плановыми работами на ЦИАМ возложено изготовление двигателя Н-1. К настоящему времени конструированием закончен и в производстве находятся основные трудоемкие детали. Проведены лабораторные испытания одноцилиндровой установки, давшие вполне хорошие результаты. Двигатель в целом может выйти на заводские испытания к маю.</w:t>
      </w:r>
    </w:p>
    <w:p w14:paraId="5E7B039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внеплановом порядке ЦИАМом проводится изготовление деталей для нефтяных двигателей Мартенса (Н2) и ОКБ, с последующим испытанием их.</w:t>
      </w:r>
    </w:p>
    <w:p w14:paraId="3045032F"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выпуску истребителей и тяжелых бомбовозов работы заканчиваются в части многоместного истребителя (МИ-3) и тяжелого бомбардировщика (ТБ-4). Обе машины перейдут на аэродром для подготовки к полетам в феврале. Одноместный истребитель (14) с пушкой проектированием закончен под заграничный мотор и находится в постройке. Выход на аэродром намечен к маю, т.е. запоздает на 1,5-2 месяца.</w:t>
      </w:r>
    </w:p>
    <w:p w14:paraId="6297E15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намечается ряд работ по улучшению и усовершенствованию, по увеличению надежности и качества, по доведению до большого числа часов работы и удобству эксплуатации объектов как уже строящихся, так и переходящих в постройку.</w:t>
      </w:r>
    </w:p>
    <w:p w14:paraId="77AB9F9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Помимо указанных выше задач, перед ЦАГИ было поставлено задание создать самолет для рекордного полета на дальность со сроком окончания 1 августа 1932 года.</w:t>
      </w:r>
    </w:p>
    <w:p w14:paraId="0E16426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чрезвычайно большого объема работ как по подготовке самолетов и специальных моторов, та к и по организации всего полета, работа перенесена на 1933 год с началом вылета – в августе-сентябре.</w:t>
      </w:r>
    </w:p>
    <w:p w14:paraId="06FEBF58"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изготовляются заводом № 24 специальные моторы, а ЦАГИ проводятся работы по подготовке самолетов и тренировке летсостава.</w:t>
      </w:r>
    </w:p>
    <w:p w14:paraId="75FF367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 Отчет по опытному строительству моторов и самолетов за 1932 год (3530,88-90).</w:t>
      </w:r>
    </w:p>
    <w:p w14:paraId="5ADA10A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7ABCEBB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13 февраля 1933 г. началось официальное зачисле</w:t>
      </w:r>
      <w:r w:rsidRPr="00C33834">
        <w:rPr>
          <w:rFonts w:ascii="Times New Roman" w:hAnsi="Times New Roman"/>
          <w:color w:val="000000" w:themeColor="text1"/>
          <w:sz w:val="16"/>
          <w:szCs w:val="16"/>
        </w:rPr>
        <w:softHyphen/>
        <w:t>ние конструкторов в штат ЦКБ. Бригадой № 1 руководил С.А.Кочеригин. Здесь проектировали штур</w:t>
      </w:r>
      <w:r w:rsidRPr="00C33834">
        <w:rPr>
          <w:rFonts w:ascii="Times New Roman" w:hAnsi="Times New Roman"/>
          <w:color w:val="000000" w:themeColor="text1"/>
          <w:sz w:val="16"/>
          <w:szCs w:val="16"/>
        </w:rPr>
        <w:softHyphen/>
        <w:t>мовики и самолеты-разведчики. Н.Н.Поликарпов воз</w:t>
      </w:r>
      <w:r w:rsidRPr="00C33834">
        <w:rPr>
          <w:rFonts w:ascii="Times New Roman" w:hAnsi="Times New Roman"/>
          <w:color w:val="000000" w:themeColor="text1"/>
          <w:sz w:val="16"/>
          <w:szCs w:val="16"/>
        </w:rPr>
        <w:softHyphen/>
        <w:t>главил бригаду № 2. Основным направлением ее дея</w:t>
      </w:r>
      <w:r w:rsidRPr="00C33834">
        <w:rPr>
          <w:rFonts w:ascii="Times New Roman" w:hAnsi="Times New Roman"/>
          <w:color w:val="000000" w:themeColor="text1"/>
          <w:sz w:val="16"/>
          <w:szCs w:val="16"/>
        </w:rPr>
        <w:softHyphen/>
        <w:t>тельности были истребители. Бригада № 3 первоначаль</w:t>
      </w:r>
      <w:r w:rsidRPr="00C33834">
        <w:rPr>
          <w:rFonts w:ascii="Times New Roman" w:hAnsi="Times New Roman"/>
          <w:color w:val="000000" w:themeColor="text1"/>
          <w:sz w:val="16"/>
          <w:szCs w:val="16"/>
        </w:rPr>
        <w:softHyphen/>
        <w:t>но занималась созданием экспериментальных конструк</w:t>
      </w:r>
      <w:r w:rsidRPr="00C33834">
        <w:rPr>
          <w:rFonts w:ascii="Times New Roman" w:hAnsi="Times New Roman"/>
          <w:color w:val="000000" w:themeColor="text1"/>
          <w:sz w:val="16"/>
          <w:szCs w:val="16"/>
        </w:rPr>
        <w:softHyphen/>
        <w:t>ций. Ее работой руководил В.А.Чижевский. Через некоторое время группа Чижевского перебазировалась на Смоленский завод, а переформированная бригада под руководством С.В.Ильюшина стала строить дальние бомбардировщики. Бригада № 4 во главе с Я.И.Мальце</w:t>
      </w:r>
      <w:r w:rsidRPr="00C33834">
        <w:rPr>
          <w:rFonts w:ascii="Times New Roman" w:hAnsi="Times New Roman"/>
          <w:color w:val="000000" w:themeColor="text1"/>
          <w:sz w:val="16"/>
          <w:szCs w:val="16"/>
        </w:rPr>
        <w:softHyphen/>
        <w:t>вым проектировала вооружение. Бригада № 5 под руко</w:t>
      </w:r>
      <w:r w:rsidRPr="00C33834">
        <w:rPr>
          <w:rFonts w:ascii="Times New Roman" w:hAnsi="Times New Roman"/>
          <w:color w:val="000000" w:themeColor="text1"/>
          <w:sz w:val="16"/>
          <w:szCs w:val="16"/>
        </w:rPr>
        <w:softHyphen/>
        <w:t>водством Г.М.Бериева создавала морские самолеты. Бригада № 6 (начальник П.М.Крейсон) занималась ста</w:t>
      </w:r>
      <w:r w:rsidRPr="00C33834">
        <w:rPr>
          <w:rFonts w:ascii="Times New Roman" w:hAnsi="Times New Roman"/>
          <w:color w:val="000000" w:themeColor="text1"/>
          <w:sz w:val="16"/>
          <w:szCs w:val="16"/>
        </w:rPr>
        <w:softHyphen/>
        <w:t>тическими испытаниями (10667).</w:t>
      </w:r>
    </w:p>
    <w:p w14:paraId="3CACD08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4CC7E81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февраля 1933 арестовали К.К.Арцеулова, которого за три дня до этого представили к званию заслуженного летчика СССР (357,97). Сослали в Архангельск (1847,13).</w:t>
      </w:r>
    </w:p>
    <w:p w14:paraId="2C1E89A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2A947FDA" w14:textId="77777777" w:rsidR="00426D01" w:rsidRPr="00C33834" w:rsidRDefault="00426D01"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DF9850C" w14:textId="77777777" w:rsidR="00426D01" w:rsidRPr="00C33834" w:rsidRDefault="00426D0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871CF57" w14:textId="77777777" w:rsidR="00067174" w:rsidRPr="00C33834" w:rsidRDefault="0006717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февраля 1933 года председатель комиссии докладывал Начальнику ВМС РККА о результатах работы в Германии и ряде европейских стран: «Осмотрена ―испанская‖ подводная лодка в Картахене (Испания), строившаяся по чертежам немецкой фирмы ―I v S. Посетили конструкторское бюро фирмы ―I v S в Гааге, где в течение 2-х дней знакомились с чертежами ―испанской‖ подводной лодки. Осмотрены в Испании: подводные лодки, 2 крейсера, кораблестроительные заводы в Картахене, Ферроле, Бильбао и сталелитейный в Рейнозе. Осмотрены заводы: дизельный фирмы ―M.A.N. в Аугсбурге, аккумуляторный фирмы ―А.Ф.А. в Гагене, электротехнический фирмы ―Симменс-Шуккерт. Проведены переговоры и согласованы в технической части проекты договоров с фирмой ―I v S о технической помощи по проектированию и постройке в СССР 2-х типов подводных лодок (в 755 и 1.200 тонн водоизмещения). Начаты предварительные переговоры о приобретении дизелей с фирмой ―M.A.N., аккумуляторов с фирмой ―АФА и электродвигателей с фирмой ―Симменс-Шуккерт. Проведены переговоры с профессором Фламмом об условиях, на которых он согласен прочесть в СССР курс лекций по подводному судостроению» [3, д. 165, л. 220].</w:t>
      </w:r>
    </w:p>
    <w:p w14:paraId="112BF601" w14:textId="77777777" w:rsidR="00067174" w:rsidRPr="00C33834" w:rsidRDefault="0006717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итоге делегация рекомендовала принятие проекта подводной лодки водоизмещением 700 тонн на базе «испанской» «E-1», переделанной под советское вооружение и механизмы. Такое решение объяснялось существенной экономией времени: фирме «I v S» требовалось всего четыре недели для разработки эскизного проекта и ещѐ 15 дней для выдачи строительных чертежей (18262).</w:t>
      </w:r>
    </w:p>
    <w:p w14:paraId="5E893D15" w14:textId="77777777" w:rsidR="00067174" w:rsidRPr="00C33834" w:rsidRDefault="00067174" w:rsidP="00C33834">
      <w:pPr>
        <w:spacing w:after="0" w:line="240" w:lineRule="auto"/>
        <w:jc w:val="both"/>
        <w:rPr>
          <w:rFonts w:ascii="Times New Roman" w:hAnsi="Times New Roman"/>
          <w:color w:val="000000" w:themeColor="text1"/>
          <w:sz w:val="16"/>
          <w:szCs w:val="16"/>
        </w:rPr>
      </w:pPr>
    </w:p>
    <w:p w14:paraId="51F93BB9" w14:textId="77777777" w:rsidR="004014A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1751407" w14:textId="77777777" w:rsidR="004014A7" w:rsidRPr="00C33834" w:rsidRDefault="004014A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38E38FE" w14:textId="77777777" w:rsidR="004014A7" w:rsidRPr="00C33834" w:rsidRDefault="004014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13 февраля</w:t>
      </w:r>
      <w:r w:rsidRPr="00C33834">
        <w:rPr>
          <w:rFonts w:ascii="Times New Roman" w:hAnsi="Times New Roman"/>
          <w:color w:val="000000" w:themeColor="text1"/>
          <w:sz w:val="16"/>
          <w:szCs w:val="16"/>
        </w:rPr>
        <w:t xml:space="preserve"> в 1933 году полетел первый опытный «Do.13», дальнейшее развитие тяжелого бомбардировщика /war-arms.ru/aviaciya_germanii/bombardirovschiki_dornier_do_23" target="_blank&gt; «Do.23». С конструктивной точки зрения «Do.23» почти не отличался от «Do 11» и «Do 13» (15039).</w:t>
      </w:r>
    </w:p>
    <w:p w14:paraId="622D4A0E" w14:textId="77777777" w:rsidR="004014A7" w:rsidRPr="00C33834" w:rsidRDefault="004014A7" w:rsidP="00C33834">
      <w:pPr>
        <w:spacing w:after="0" w:line="240" w:lineRule="auto"/>
        <w:jc w:val="both"/>
        <w:rPr>
          <w:rFonts w:ascii="Times New Roman" w:hAnsi="Times New Roman"/>
          <w:color w:val="000000" w:themeColor="text1"/>
          <w:sz w:val="16"/>
          <w:szCs w:val="16"/>
        </w:rPr>
      </w:pPr>
    </w:p>
    <w:p w14:paraId="3D08DC16" w14:textId="77777777" w:rsidR="00B07C66" w:rsidRPr="00C33834" w:rsidRDefault="00B07C6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13 февраля 1933 - Полетел первый опытный Do.13, дальнейшее развитие тяжелого бомбардировщика Do.11. Летные испытания показали слабость конструкции и опасную неустойчивость с вибрацией крыла, уже знакомую по Do.11. На следующих двух опытных самолетах - Do.13b и Do.13с были внесены необходимые изменения. Последний получил вместо двигателей Sh-22b2 новый 12-цилиндровый двигатель жидкостного охлаждения ВМW-VI мощностью 750лс в течении одной минуты на взлетном режиме и 500лс на номинале. Опытный самолет с двигателями ВМW и переделками по типу Do.11d показал значительно лучшие данные. В результате комиссариат перевел заказ 222 Do.11 на Do.13c - серийную версию с двигателем BMW. Первый Do.13c был поставлен в конце осени, но через несколько недель самолет был потерян из-за поломки конструкции. В результате на полеты оставшихся Do.13c были наложены жесткие ограничения. Производство было приостановлено, пока вся конструкция не была вновь пересчитана. Когда бомбардировщик вновь стал сходить со сборочной линии Фридрихсгафена, он по чисто психологическим причинам получил обозначение Do.23. С конструктивной точки зрения Do 23 почти не отличался от Do 11 и Do 13 (22599).</w:t>
      </w:r>
    </w:p>
    <w:p w14:paraId="17F007DE" w14:textId="77777777" w:rsidR="00B07C66" w:rsidRPr="00C33834" w:rsidRDefault="00B07C66" w:rsidP="00C33834">
      <w:pPr>
        <w:spacing w:after="0" w:line="240" w:lineRule="auto"/>
        <w:jc w:val="both"/>
        <w:rPr>
          <w:rFonts w:ascii="Times New Roman" w:hAnsi="Times New Roman"/>
          <w:color w:val="0070C0"/>
          <w:sz w:val="16"/>
          <w:szCs w:val="16"/>
        </w:rPr>
      </w:pPr>
    </w:p>
    <w:p w14:paraId="7E7ED67F" w14:textId="77777777" w:rsidR="00FC65C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2F7B70D" w14:textId="77777777" w:rsidR="00FC65C5" w:rsidRPr="00C33834" w:rsidRDefault="00FC65C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43663B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февраля 1933 года начальник ПТЭС Зильберквит писал письмо N 143/41.</w:t>
      </w:r>
    </w:p>
    <w:p w14:paraId="459D005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работ по самолетостроительному тресту и зав. N 39 и ХАЗОС.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39"/>
        <w:gridCol w:w="2146"/>
        <w:gridCol w:w="992"/>
        <w:gridCol w:w="784"/>
        <w:gridCol w:w="784"/>
        <w:gridCol w:w="784"/>
        <w:gridCol w:w="4027"/>
      </w:tblGrid>
      <w:tr w:rsidR="00F26F01" w:rsidRPr="00C33834" w14:paraId="07C1F01E" w14:textId="77777777">
        <w:tc>
          <w:tcPr>
            <w:tcW w:w="939" w:type="dxa"/>
          </w:tcPr>
          <w:p w14:paraId="332393D4"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NN</w:t>
            </w:r>
          </w:p>
        </w:tc>
        <w:tc>
          <w:tcPr>
            <w:tcW w:w="2146" w:type="dxa"/>
          </w:tcPr>
          <w:p w14:paraId="76EAEDA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 изделия</w:t>
            </w:r>
          </w:p>
        </w:tc>
        <w:tc>
          <w:tcPr>
            <w:tcW w:w="992" w:type="dxa"/>
          </w:tcPr>
          <w:p w14:paraId="2DABFE01"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Годовая</w:t>
            </w:r>
          </w:p>
        </w:tc>
        <w:tc>
          <w:tcPr>
            <w:tcW w:w="784" w:type="dxa"/>
          </w:tcPr>
          <w:p w14:paraId="3A3C3A3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кварталам</w:t>
            </w:r>
          </w:p>
        </w:tc>
        <w:tc>
          <w:tcPr>
            <w:tcW w:w="784" w:type="dxa"/>
          </w:tcPr>
          <w:p w14:paraId="33921F41"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84" w:type="dxa"/>
          </w:tcPr>
          <w:p w14:paraId="07C5E13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027" w:type="dxa"/>
          </w:tcPr>
          <w:p w14:paraId="4D5D1A2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4134AF8" w14:textId="77777777">
        <w:tc>
          <w:tcPr>
            <w:tcW w:w="939" w:type="dxa"/>
          </w:tcPr>
          <w:p w14:paraId="3625521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w:t>
            </w:r>
          </w:p>
        </w:tc>
        <w:tc>
          <w:tcPr>
            <w:tcW w:w="2146" w:type="dxa"/>
          </w:tcPr>
          <w:p w14:paraId="50CC0A9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EBFE7FA"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программа</w:t>
            </w:r>
          </w:p>
        </w:tc>
        <w:tc>
          <w:tcPr>
            <w:tcW w:w="784" w:type="dxa"/>
          </w:tcPr>
          <w:p w14:paraId="63332B79"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784" w:type="dxa"/>
          </w:tcPr>
          <w:p w14:paraId="3D17B00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784" w:type="dxa"/>
          </w:tcPr>
          <w:p w14:paraId="50C7D12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4027" w:type="dxa"/>
          </w:tcPr>
          <w:p w14:paraId="1CB0C21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r>
      <w:tr w:rsidR="00F26F01" w:rsidRPr="00C33834" w14:paraId="2D7C3BA0" w14:textId="77777777">
        <w:tc>
          <w:tcPr>
            <w:tcW w:w="939" w:type="dxa"/>
          </w:tcPr>
          <w:p w14:paraId="332FD8A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2146" w:type="dxa"/>
          </w:tcPr>
          <w:p w14:paraId="4D980A6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CD351E1"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 г.</w:t>
            </w:r>
          </w:p>
        </w:tc>
        <w:tc>
          <w:tcPr>
            <w:tcW w:w="784" w:type="dxa"/>
          </w:tcPr>
          <w:p w14:paraId="31F8FD61"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84" w:type="dxa"/>
          </w:tcPr>
          <w:p w14:paraId="381D478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84" w:type="dxa"/>
          </w:tcPr>
          <w:p w14:paraId="564D14D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027" w:type="dxa"/>
          </w:tcPr>
          <w:p w14:paraId="6624D13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0B7795A" w14:textId="77777777">
        <w:tc>
          <w:tcPr>
            <w:tcW w:w="939" w:type="dxa"/>
          </w:tcPr>
          <w:p w14:paraId="1208258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5D94223A"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 М-17</w:t>
            </w:r>
          </w:p>
        </w:tc>
        <w:tc>
          <w:tcPr>
            <w:tcW w:w="992" w:type="dxa"/>
          </w:tcPr>
          <w:p w14:paraId="16F1ECC8"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w:t>
            </w:r>
          </w:p>
        </w:tc>
        <w:tc>
          <w:tcPr>
            <w:tcW w:w="784" w:type="dxa"/>
          </w:tcPr>
          <w:p w14:paraId="5A1562B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330</w:t>
            </w:r>
          </w:p>
        </w:tc>
        <w:tc>
          <w:tcPr>
            <w:tcW w:w="784" w:type="dxa"/>
          </w:tcPr>
          <w:p w14:paraId="0179BB5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370</w:t>
            </w:r>
          </w:p>
        </w:tc>
        <w:tc>
          <w:tcPr>
            <w:tcW w:w="784" w:type="dxa"/>
          </w:tcPr>
          <w:p w14:paraId="3614A171"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510</w:t>
            </w:r>
          </w:p>
        </w:tc>
        <w:tc>
          <w:tcPr>
            <w:tcW w:w="4027" w:type="dxa"/>
          </w:tcPr>
          <w:p w14:paraId="508245AA"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540</w:t>
            </w:r>
          </w:p>
        </w:tc>
      </w:tr>
      <w:tr w:rsidR="00F26F01" w:rsidRPr="00C33834" w14:paraId="2AF7C6A6" w14:textId="77777777">
        <w:tc>
          <w:tcPr>
            <w:tcW w:w="939" w:type="dxa"/>
          </w:tcPr>
          <w:p w14:paraId="09B74F6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586F11B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МР5 М17</w:t>
            </w:r>
          </w:p>
        </w:tc>
        <w:tc>
          <w:tcPr>
            <w:tcW w:w="992" w:type="dxa"/>
          </w:tcPr>
          <w:p w14:paraId="380782C1"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784" w:type="dxa"/>
          </w:tcPr>
          <w:p w14:paraId="133007D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84" w:type="dxa"/>
          </w:tcPr>
          <w:p w14:paraId="34A8D7B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784" w:type="dxa"/>
          </w:tcPr>
          <w:p w14:paraId="4C6915F9"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027" w:type="dxa"/>
          </w:tcPr>
          <w:p w14:paraId="767CC0A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7688AA75" w14:textId="77777777">
        <w:tc>
          <w:tcPr>
            <w:tcW w:w="939" w:type="dxa"/>
          </w:tcPr>
          <w:p w14:paraId="7E8C8B11"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70C0174A"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И7-М17</w:t>
            </w:r>
          </w:p>
        </w:tc>
        <w:tc>
          <w:tcPr>
            <w:tcW w:w="992" w:type="dxa"/>
          </w:tcPr>
          <w:p w14:paraId="144A658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784" w:type="dxa"/>
          </w:tcPr>
          <w:p w14:paraId="05249D78"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c>
          <w:tcPr>
            <w:tcW w:w="784" w:type="dxa"/>
          </w:tcPr>
          <w:p w14:paraId="68B9C06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c>
          <w:tcPr>
            <w:tcW w:w="784" w:type="dxa"/>
          </w:tcPr>
          <w:p w14:paraId="39166DD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c>
          <w:tcPr>
            <w:tcW w:w="4027" w:type="dxa"/>
          </w:tcPr>
          <w:p w14:paraId="2C8146D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tc>
      </w:tr>
      <w:tr w:rsidR="00F26F01" w:rsidRPr="00C33834" w14:paraId="7AA06962" w14:textId="77777777">
        <w:tc>
          <w:tcPr>
            <w:tcW w:w="939" w:type="dxa"/>
          </w:tcPr>
          <w:p w14:paraId="74003559"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2146" w:type="dxa"/>
          </w:tcPr>
          <w:p w14:paraId="470B986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4М-34</w:t>
            </w:r>
          </w:p>
        </w:tc>
        <w:tc>
          <w:tcPr>
            <w:tcW w:w="992" w:type="dxa"/>
          </w:tcPr>
          <w:p w14:paraId="22E3B2F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784" w:type="dxa"/>
          </w:tcPr>
          <w:p w14:paraId="1455830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84" w:type="dxa"/>
          </w:tcPr>
          <w:p w14:paraId="2F8F659A"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84" w:type="dxa"/>
          </w:tcPr>
          <w:p w14:paraId="2B398D2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027" w:type="dxa"/>
          </w:tcPr>
          <w:p w14:paraId="59E9D51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r>
      <w:tr w:rsidR="00F26F01" w:rsidRPr="00C33834" w14:paraId="06AE84F9" w14:textId="77777777">
        <w:tc>
          <w:tcPr>
            <w:tcW w:w="939" w:type="dxa"/>
          </w:tcPr>
          <w:p w14:paraId="76F7BDD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193C1C29"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4М-17</w:t>
            </w:r>
          </w:p>
        </w:tc>
        <w:tc>
          <w:tcPr>
            <w:tcW w:w="992" w:type="dxa"/>
          </w:tcPr>
          <w:p w14:paraId="3211060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784" w:type="dxa"/>
          </w:tcPr>
          <w:p w14:paraId="5220BF5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84" w:type="dxa"/>
          </w:tcPr>
          <w:p w14:paraId="4D59380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84" w:type="dxa"/>
          </w:tcPr>
          <w:p w14:paraId="72C86DEA"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4027" w:type="dxa"/>
          </w:tcPr>
          <w:p w14:paraId="0E2D9B61"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r>
      <w:tr w:rsidR="00F26F01" w:rsidRPr="00C33834" w14:paraId="3E3D2EC4" w14:textId="77777777">
        <w:tc>
          <w:tcPr>
            <w:tcW w:w="939" w:type="dxa"/>
          </w:tcPr>
          <w:p w14:paraId="703008CA"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2146" w:type="dxa"/>
          </w:tcPr>
          <w:p w14:paraId="7DCE206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4М-17</w:t>
            </w:r>
          </w:p>
        </w:tc>
        <w:tc>
          <w:tcPr>
            <w:tcW w:w="992" w:type="dxa"/>
          </w:tcPr>
          <w:p w14:paraId="67BDBC0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784" w:type="dxa"/>
          </w:tcPr>
          <w:p w14:paraId="74E228D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c>
          <w:tcPr>
            <w:tcW w:w="784" w:type="dxa"/>
          </w:tcPr>
          <w:p w14:paraId="2345759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c>
          <w:tcPr>
            <w:tcW w:w="784" w:type="dxa"/>
          </w:tcPr>
          <w:p w14:paraId="3ABD897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027" w:type="dxa"/>
          </w:tcPr>
          <w:p w14:paraId="144F38A8"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E3E4C9D" w14:textId="77777777">
        <w:tc>
          <w:tcPr>
            <w:tcW w:w="939" w:type="dxa"/>
          </w:tcPr>
          <w:p w14:paraId="4C37F5B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19DA1F29"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4М-34</w:t>
            </w:r>
          </w:p>
        </w:tc>
        <w:tc>
          <w:tcPr>
            <w:tcW w:w="992" w:type="dxa"/>
          </w:tcPr>
          <w:p w14:paraId="5FEA2BC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784" w:type="dxa"/>
          </w:tcPr>
          <w:p w14:paraId="359E60D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84" w:type="dxa"/>
          </w:tcPr>
          <w:p w14:paraId="17F6C38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84" w:type="dxa"/>
          </w:tcPr>
          <w:p w14:paraId="70B798D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110</w:t>
            </w:r>
          </w:p>
        </w:tc>
        <w:tc>
          <w:tcPr>
            <w:tcW w:w="4027" w:type="dxa"/>
          </w:tcPr>
          <w:p w14:paraId="4E701E11"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r>
      <w:tr w:rsidR="00F26F01" w:rsidRPr="00C33834" w14:paraId="1EAE3B9A" w14:textId="77777777">
        <w:tc>
          <w:tcPr>
            <w:tcW w:w="939" w:type="dxa"/>
          </w:tcPr>
          <w:p w14:paraId="770E061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700C7F2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 6М-34</w:t>
            </w:r>
          </w:p>
        </w:tc>
        <w:tc>
          <w:tcPr>
            <w:tcW w:w="992" w:type="dxa"/>
          </w:tcPr>
          <w:p w14:paraId="2A765961"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784" w:type="dxa"/>
          </w:tcPr>
          <w:p w14:paraId="194F94D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84" w:type="dxa"/>
          </w:tcPr>
          <w:p w14:paraId="1D0EA5B9"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84" w:type="dxa"/>
          </w:tcPr>
          <w:p w14:paraId="55F86FF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027" w:type="dxa"/>
          </w:tcPr>
          <w:p w14:paraId="36EC34B1"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r>
      <w:tr w:rsidR="00F26F01" w:rsidRPr="00C33834" w14:paraId="7993FA50" w14:textId="77777777">
        <w:tc>
          <w:tcPr>
            <w:tcW w:w="939" w:type="dxa"/>
          </w:tcPr>
          <w:p w14:paraId="1D31397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0477799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МК3 2М-34</w:t>
            </w:r>
          </w:p>
        </w:tc>
        <w:tc>
          <w:tcPr>
            <w:tcW w:w="992" w:type="dxa"/>
          </w:tcPr>
          <w:p w14:paraId="7680F92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784" w:type="dxa"/>
          </w:tcPr>
          <w:p w14:paraId="4CE4840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84" w:type="dxa"/>
          </w:tcPr>
          <w:p w14:paraId="75A9AF1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84" w:type="dxa"/>
          </w:tcPr>
          <w:p w14:paraId="09AE3E0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027" w:type="dxa"/>
          </w:tcPr>
          <w:p w14:paraId="7C8E490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r>
      <w:tr w:rsidR="00F26F01" w:rsidRPr="00C33834" w14:paraId="47AC8A22" w14:textId="77777777">
        <w:tc>
          <w:tcPr>
            <w:tcW w:w="939" w:type="dxa"/>
          </w:tcPr>
          <w:p w14:paraId="3CF6C394"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2146" w:type="dxa"/>
          </w:tcPr>
          <w:p w14:paraId="61B9C99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 М-22</w:t>
            </w:r>
          </w:p>
        </w:tc>
        <w:tc>
          <w:tcPr>
            <w:tcW w:w="992" w:type="dxa"/>
          </w:tcPr>
          <w:p w14:paraId="2F78D631"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tc>
        <w:tc>
          <w:tcPr>
            <w:tcW w:w="784" w:type="dxa"/>
          </w:tcPr>
          <w:p w14:paraId="49BDF23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c>
          <w:tcPr>
            <w:tcW w:w="784" w:type="dxa"/>
          </w:tcPr>
          <w:p w14:paraId="1700F3D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c>
          <w:tcPr>
            <w:tcW w:w="784" w:type="dxa"/>
          </w:tcPr>
          <w:p w14:paraId="1A97D8E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w:t>
            </w:r>
          </w:p>
        </w:tc>
        <w:tc>
          <w:tcPr>
            <w:tcW w:w="4027" w:type="dxa"/>
          </w:tcPr>
          <w:p w14:paraId="4E69B0B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w:t>
            </w:r>
          </w:p>
        </w:tc>
      </w:tr>
      <w:tr w:rsidR="00F26F01" w:rsidRPr="00C33834" w14:paraId="466A5296" w14:textId="77777777">
        <w:tc>
          <w:tcPr>
            <w:tcW w:w="939" w:type="dxa"/>
          </w:tcPr>
          <w:p w14:paraId="413C22A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c>
          <w:tcPr>
            <w:tcW w:w="2146" w:type="dxa"/>
          </w:tcPr>
          <w:p w14:paraId="3B0A348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 М-11</w:t>
            </w:r>
          </w:p>
        </w:tc>
        <w:tc>
          <w:tcPr>
            <w:tcW w:w="992" w:type="dxa"/>
          </w:tcPr>
          <w:p w14:paraId="118D693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1380</w:t>
            </w:r>
          </w:p>
        </w:tc>
        <w:tc>
          <w:tcPr>
            <w:tcW w:w="784" w:type="dxa"/>
          </w:tcPr>
          <w:p w14:paraId="790B5FB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190</w:t>
            </w:r>
          </w:p>
        </w:tc>
        <w:tc>
          <w:tcPr>
            <w:tcW w:w="784" w:type="dxa"/>
          </w:tcPr>
          <w:p w14:paraId="4462DFE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370</w:t>
            </w:r>
          </w:p>
        </w:tc>
        <w:tc>
          <w:tcPr>
            <w:tcW w:w="784" w:type="dxa"/>
          </w:tcPr>
          <w:p w14:paraId="2035135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4027" w:type="dxa"/>
          </w:tcPr>
          <w:p w14:paraId="2F32AED8"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420</w:t>
            </w:r>
          </w:p>
        </w:tc>
      </w:tr>
      <w:tr w:rsidR="00F26F01" w:rsidRPr="00C33834" w14:paraId="00A5EDD2" w14:textId="77777777">
        <w:tc>
          <w:tcPr>
            <w:tcW w:w="939" w:type="dxa"/>
          </w:tcPr>
          <w:p w14:paraId="77EF0E38"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2901705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 М-11</w:t>
            </w:r>
          </w:p>
        </w:tc>
        <w:tc>
          <w:tcPr>
            <w:tcW w:w="992" w:type="dxa"/>
          </w:tcPr>
          <w:p w14:paraId="3740303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784" w:type="dxa"/>
          </w:tcPr>
          <w:p w14:paraId="3485BF8A"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784" w:type="dxa"/>
          </w:tcPr>
          <w:p w14:paraId="0A11CEA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84" w:type="dxa"/>
          </w:tcPr>
          <w:p w14:paraId="6831950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027" w:type="dxa"/>
          </w:tcPr>
          <w:p w14:paraId="512E84B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2F506201" w14:textId="77777777">
        <w:tc>
          <w:tcPr>
            <w:tcW w:w="939" w:type="dxa"/>
          </w:tcPr>
          <w:p w14:paraId="78A1518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2146" w:type="dxa"/>
          </w:tcPr>
          <w:p w14:paraId="5FC08EE4"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 АССО</w:t>
            </w:r>
          </w:p>
        </w:tc>
        <w:tc>
          <w:tcPr>
            <w:tcW w:w="992" w:type="dxa"/>
          </w:tcPr>
          <w:p w14:paraId="79369BB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784" w:type="dxa"/>
          </w:tcPr>
          <w:p w14:paraId="3F00A1F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784" w:type="dxa"/>
          </w:tcPr>
          <w:p w14:paraId="1653069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784" w:type="dxa"/>
          </w:tcPr>
          <w:p w14:paraId="0A313BC8"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027" w:type="dxa"/>
          </w:tcPr>
          <w:p w14:paraId="1DCF2879"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FC5C845" w14:textId="77777777">
        <w:tc>
          <w:tcPr>
            <w:tcW w:w="939" w:type="dxa"/>
          </w:tcPr>
          <w:p w14:paraId="39CC951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7881175A"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 М-34</w:t>
            </w:r>
          </w:p>
        </w:tc>
        <w:tc>
          <w:tcPr>
            <w:tcW w:w="992" w:type="dxa"/>
          </w:tcPr>
          <w:p w14:paraId="0B69E324"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w:t>
            </w:r>
          </w:p>
        </w:tc>
        <w:tc>
          <w:tcPr>
            <w:tcW w:w="784" w:type="dxa"/>
          </w:tcPr>
          <w:p w14:paraId="783B90E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84" w:type="dxa"/>
          </w:tcPr>
          <w:p w14:paraId="2032C9E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c>
          <w:tcPr>
            <w:tcW w:w="784" w:type="dxa"/>
          </w:tcPr>
          <w:p w14:paraId="57798B6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4027" w:type="dxa"/>
          </w:tcPr>
          <w:p w14:paraId="6CE59D0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r>
      <w:tr w:rsidR="00F26F01" w:rsidRPr="00C33834" w14:paraId="40361B97" w14:textId="77777777">
        <w:tc>
          <w:tcPr>
            <w:tcW w:w="939" w:type="dxa"/>
          </w:tcPr>
          <w:p w14:paraId="21A0D7D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3285CFC4"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 М17</w:t>
            </w:r>
          </w:p>
        </w:tc>
        <w:tc>
          <w:tcPr>
            <w:tcW w:w="992" w:type="dxa"/>
          </w:tcPr>
          <w:p w14:paraId="5280588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784" w:type="dxa"/>
          </w:tcPr>
          <w:p w14:paraId="20D2554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c>
          <w:tcPr>
            <w:tcW w:w="784" w:type="dxa"/>
          </w:tcPr>
          <w:p w14:paraId="401EF4F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784" w:type="dxa"/>
          </w:tcPr>
          <w:p w14:paraId="7EA77B18"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4027" w:type="dxa"/>
          </w:tcPr>
          <w:p w14:paraId="7A2A34B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w:t>
            </w:r>
          </w:p>
        </w:tc>
      </w:tr>
      <w:tr w:rsidR="00F26F01" w:rsidRPr="00C33834" w14:paraId="0A517B81" w14:textId="77777777">
        <w:tc>
          <w:tcPr>
            <w:tcW w:w="939" w:type="dxa"/>
          </w:tcPr>
          <w:p w14:paraId="76CD3D1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3AAE191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АНТ9 2М17</w:t>
            </w:r>
          </w:p>
        </w:tc>
        <w:tc>
          <w:tcPr>
            <w:tcW w:w="992" w:type="dxa"/>
          </w:tcPr>
          <w:p w14:paraId="4404562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784" w:type="dxa"/>
          </w:tcPr>
          <w:p w14:paraId="7569D9C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84" w:type="dxa"/>
          </w:tcPr>
          <w:p w14:paraId="78D394C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784" w:type="dxa"/>
          </w:tcPr>
          <w:p w14:paraId="68009EF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4027" w:type="dxa"/>
          </w:tcPr>
          <w:p w14:paraId="7AE04F5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r>
      <w:tr w:rsidR="00F26F01" w:rsidRPr="00C33834" w14:paraId="036C33F9" w14:textId="77777777">
        <w:tc>
          <w:tcPr>
            <w:tcW w:w="939" w:type="dxa"/>
          </w:tcPr>
          <w:p w14:paraId="72FBB9B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3E115224"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АШ М-11</w:t>
            </w:r>
          </w:p>
        </w:tc>
        <w:tc>
          <w:tcPr>
            <w:tcW w:w="992" w:type="dxa"/>
          </w:tcPr>
          <w:p w14:paraId="3988F7D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784" w:type="dxa"/>
          </w:tcPr>
          <w:p w14:paraId="56988E8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w:t>
            </w:r>
          </w:p>
        </w:tc>
        <w:tc>
          <w:tcPr>
            <w:tcW w:w="784" w:type="dxa"/>
          </w:tcPr>
          <w:p w14:paraId="35A0BD51"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w:t>
            </w:r>
          </w:p>
        </w:tc>
        <w:tc>
          <w:tcPr>
            <w:tcW w:w="784" w:type="dxa"/>
          </w:tcPr>
          <w:p w14:paraId="728B91F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w:t>
            </w:r>
          </w:p>
        </w:tc>
        <w:tc>
          <w:tcPr>
            <w:tcW w:w="4027" w:type="dxa"/>
          </w:tcPr>
          <w:p w14:paraId="6F6B536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1F2E62C9" w14:textId="77777777">
        <w:tc>
          <w:tcPr>
            <w:tcW w:w="939" w:type="dxa"/>
          </w:tcPr>
          <w:p w14:paraId="691293E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08C1B4F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992" w:type="dxa"/>
          </w:tcPr>
          <w:p w14:paraId="0A48B869"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4610</w:t>
            </w:r>
          </w:p>
        </w:tc>
        <w:tc>
          <w:tcPr>
            <w:tcW w:w="784" w:type="dxa"/>
          </w:tcPr>
          <w:p w14:paraId="22D7429A"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912</w:t>
            </w:r>
          </w:p>
        </w:tc>
        <w:tc>
          <w:tcPr>
            <w:tcW w:w="784" w:type="dxa"/>
          </w:tcPr>
          <w:p w14:paraId="3722D919"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1124</w:t>
            </w:r>
          </w:p>
        </w:tc>
        <w:tc>
          <w:tcPr>
            <w:tcW w:w="784" w:type="dxa"/>
          </w:tcPr>
          <w:p w14:paraId="4EEF750A"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1309</w:t>
            </w:r>
          </w:p>
        </w:tc>
        <w:tc>
          <w:tcPr>
            <w:tcW w:w="4027" w:type="dxa"/>
          </w:tcPr>
          <w:p w14:paraId="5369DC1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1265</w:t>
            </w:r>
          </w:p>
        </w:tc>
      </w:tr>
      <w:tr w:rsidR="00F26F01" w:rsidRPr="00C33834" w14:paraId="065C6C4C" w14:textId="77777777">
        <w:tc>
          <w:tcPr>
            <w:tcW w:w="939" w:type="dxa"/>
          </w:tcPr>
          <w:p w14:paraId="51908479"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w:t>
            </w:r>
          </w:p>
        </w:tc>
        <w:tc>
          <w:tcPr>
            <w:tcW w:w="2146" w:type="dxa"/>
          </w:tcPr>
          <w:p w14:paraId="3036EC6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4М17</w:t>
            </w:r>
          </w:p>
        </w:tc>
        <w:tc>
          <w:tcPr>
            <w:tcW w:w="992" w:type="dxa"/>
          </w:tcPr>
          <w:p w14:paraId="4618DC9A"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tc>
        <w:tc>
          <w:tcPr>
            <w:tcW w:w="784" w:type="dxa"/>
          </w:tcPr>
          <w:p w14:paraId="42D3D2F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tc>
        <w:tc>
          <w:tcPr>
            <w:tcW w:w="784" w:type="dxa"/>
          </w:tcPr>
          <w:p w14:paraId="5351317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784" w:type="dxa"/>
          </w:tcPr>
          <w:p w14:paraId="6CE34CA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w:t>
            </w:r>
          </w:p>
        </w:tc>
        <w:tc>
          <w:tcPr>
            <w:tcW w:w="4027" w:type="dxa"/>
          </w:tcPr>
          <w:p w14:paraId="6700021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27CC1522" w14:textId="77777777">
        <w:tc>
          <w:tcPr>
            <w:tcW w:w="939" w:type="dxa"/>
          </w:tcPr>
          <w:p w14:paraId="22B34779"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ХАЗОС</w:t>
            </w:r>
          </w:p>
        </w:tc>
        <w:tc>
          <w:tcPr>
            <w:tcW w:w="2146" w:type="dxa"/>
          </w:tcPr>
          <w:p w14:paraId="52C9B8B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К5 М-22</w:t>
            </w:r>
          </w:p>
        </w:tc>
        <w:tc>
          <w:tcPr>
            <w:tcW w:w="992" w:type="dxa"/>
          </w:tcPr>
          <w:p w14:paraId="1FBFEA19"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784" w:type="dxa"/>
          </w:tcPr>
          <w:p w14:paraId="20847B9A"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784" w:type="dxa"/>
          </w:tcPr>
          <w:p w14:paraId="15869778"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tc>
        <w:tc>
          <w:tcPr>
            <w:tcW w:w="784" w:type="dxa"/>
          </w:tcPr>
          <w:p w14:paraId="676D85D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4027" w:type="dxa"/>
          </w:tcPr>
          <w:p w14:paraId="6FB5AD7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r>
      <w:tr w:rsidR="00F26F01" w:rsidRPr="00C33834" w14:paraId="416AA0B0" w14:textId="77777777">
        <w:tc>
          <w:tcPr>
            <w:tcW w:w="939" w:type="dxa"/>
          </w:tcPr>
          <w:p w14:paraId="5B5372A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2B63089A"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992" w:type="dxa"/>
          </w:tcPr>
          <w:p w14:paraId="114DC6C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135</w:t>
            </w:r>
          </w:p>
        </w:tc>
        <w:tc>
          <w:tcPr>
            <w:tcW w:w="784" w:type="dxa"/>
          </w:tcPr>
          <w:p w14:paraId="6FD06B8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784" w:type="dxa"/>
          </w:tcPr>
          <w:p w14:paraId="29BB128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784" w:type="dxa"/>
          </w:tcPr>
          <w:p w14:paraId="08C3C80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w:t>
            </w:r>
          </w:p>
        </w:tc>
        <w:tc>
          <w:tcPr>
            <w:tcW w:w="4027" w:type="dxa"/>
          </w:tcPr>
          <w:p w14:paraId="59DE54D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r>
      <w:tr w:rsidR="00F26F01" w:rsidRPr="00C33834" w14:paraId="62F3E1E3" w14:textId="77777777">
        <w:tc>
          <w:tcPr>
            <w:tcW w:w="939" w:type="dxa"/>
          </w:tcPr>
          <w:p w14:paraId="32A36A3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422D7CA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992" w:type="dxa"/>
          </w:tcPr>
          <w:p w14:paraId="66138B2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4745</w:t>
            </w:r>
          </w:p>
        </w:tc>
        <w:tc>
          <w:tcPr>
            <w:tcW w:w="784" w:type="dxa"/>
          </w:tcPr>
          <w:p w14:paraId="16CF10E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936</w:t>
            </w:r>
          </w:p>
        </w:tc>
        <w:tc>
          <w:tcPr>
            <w:tcW w:w="784" w:type="dxa"/>
          </w:tcPr>
          <w:p w14:paraId="20C7E8FA"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1164</w:t>
            </w:r>
          </w:p>
        </w:tc>
        <w:tc>
          <w:tcPr>
            <w:tcW w:w="784" w:type="dxa"/>
          </w:tcPr>
          <w:p w14:paraId="304172B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1350</w:t>
            </w:r>
          </w:p>
        </w:tc>
        <w:tc>
          <w:tcPr>
            <w:tcW w:w="4027" w:type="dxa"/>
          </w:tcPr>
          <w:p w14:paraId="59DBDE81"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412DB84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p w14:paraId="12043EF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Распределение резерва самолетов по заказчикам будет дано дополнительно;</w:t>
      </w:r>
    </w:p>
    <w:p w14:paraId="47F026C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Самолеты ТБ4 - 6М34 изготовить по технической готовности - 17 самолетов и по сдаче 3 самолета;</w:t>
      </w:r>
    </w:p>
    <w:p w14:paraId="630D7298"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Самолеты МИ3-2М34 изготовить по технической готовности - 20 самолетов и по сдаче 5 самолетов;</w:t>
      </w:r>
    </w:p>
    <w:p w14:paraId="15F20F2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 отношении сроков и количества изготовления самолетов Р6-2М34 будет сообщено дополнительно (2286,30).</w:t>
      </w:r>
    </w:p>
    <w:p w14:paraId="023D290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7F5B0EA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февраля 1933 вышло постановление СТО N 3сс/о "О финансировании объектов оборонного строительства тяжелой промышленности до составления техпроектов и смет" - упоминался завод 120 (2282,1).</w:t>
      </w:r>
    </w:p>
    <w:p w14:paraId="634D660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СТО постановляет:</w:t>
      </w:r>
    </w:p>
    <w:p w14:paraId="2B50BB3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Разрешить, в виде исключения, финансирование нижепоименованных объектов оборонного строительства до составления технических проектов и смет в указанные в перечне сроки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F26F01" w:rsidRPr="00C33834" w14:paraId="5B970BA8" w14:textId="77777777">
        <w:tc>
          <w:tcPr>
            <w:tcW w:w="4428" w:type="dxa"/>
            <w:tcBorders>
              <w:top w:val="single" w:sz="12" w:space="0" w:color="auto"/>
            </w:tcBorders>
            <w:shd w:val="clear" w:color="auto" w:fill="FFFFFF"/>
          </w:tcPr>
          <w:p w14:paraId="532C0E0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Завод № 120 Гдававиапрома, Москва</w:t>
            </w:r>
          </w:p>
        </w:tc>
        <w:tc>
          <w:tcPr>
            <w:tcW w:w="4428" w:type="dxa"/>
            <w:tcBorders>
              <w:top w:val="single" w:sz="12" w:space="0" w:color="auto"/>
            </w:tcBorders>
            <w:shd w:val="clear" w:color="auto" w:fill="FFFFFF"/>
          </w:tcPr>
          <w:p w14:paraId="5C2391A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1/У-1933 г.</w:t>
            </w:r>
          </w:p>
        </w:tc>
      </w:tr>
      <w:tr w:rsidR="00F26F01" w:rsidRPr="00C33834" w14:paraId="6D3B9FBE" w14:textId="77777777">
        <w:tc>
          <w:tcPr>
            <w:tcW w:w="4428" w:type="dxa"/>
            <w:shd w:val="clear" w:color="auto" w:fill="FFFFFF"/>
          </w:tcPr>
          <w:p w14:paraId="4CA7060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Завод № 32</w:t>
            </w:r>
          </w:p>
        </w:tc>
        <w:tc>
          <w:tcPr>
            <w:tcW w:w="4428" w:type="dxa"/>
            <w:shd w:val="clear" w:color="auto" w:fill="FFFFFF"/>
          </w:tcPr>
          <w:p w14:paraId="3E9ECD6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1/У-1933 г.</w:t>
            </w:r>
          </w:p>
        </w:tc>
      </w:tr>
      <w:tr w:rsidR="00F26F01" w:rsidRPr="00C33834" w14:paraId="29B06E03" w14:textId="77777777">
        <w:tc>
          <w:tcPr>
            <w:tcW w:w="4428" w:type="dxa"/>
            <w:shd w:val="clear" w:color="auto" w:fill="FFFFFF"/>
          </w:tcPr>
          <w:p w14:paraId="236C315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Кемеровокомбинатстрой:</w:t>
            </w:r>
          </w:p>
        </w:tc>
        <w:tc>
          <w:tcPr>
            <w:tcW w:w="4428" w:type="dxa"/>
            <w:shd w:val="clear" w:color="auto" w:fill="FFFFFF"/>
          </w:tcPr>
          <w:p w14:paraId="08AE81A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98C1801" w14:textId="77777777">
        <w:tc>
          <w:tcPr>
            <w:tcW w:w="4428" w:type="dxa"/>
            <w:shd w:val="clear" w:color="auto" w:fill="FFFFFF"/>
          </w:tcPr>
          <w:p w14:paraId="70791F1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Металлокомбинат</w:t>
            </w:r>
          </w:p>
        </w:tc>
        <w:tc>
          <w:tcPr>
            <w:tcW w:w="4428" w:type="dxa"/>
            <w:shd w:val="clear" w:color="auto" w:fill="FFFFFF"/>
          </w:tcPr>
          <w:p w14:paraId="71AB73F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1/Х-1933 г.</w:t>
            </w:r>
          </w:p>
        </w:tc>
      </w:tr>
      <w:tr w:rsidR="00F26F01" w:rsidRPr="00C33834" w14:paraId="35DF301A" w14:textId="77777777">
        <w:tc>
          <w:tcPr>
            <w:tcW w:w="4428" w:type="dxa"/>
            <w:shd w:val="clear" w:color="auto" w:fill="FFFFFF"/>
          </w:tcPr>
          <w:p w14:paraId="6E81B96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Химкомбинат</w:t>
            </w:r>
          </w:p>
        </w:tc>
        <w:tc>
          <w:tcPr>
            <w:tcW w:w="4428" w:type="dxa"/>
            <w:shd w:val="clear" w:color="auto" w:fill="FFFFFF"/>
          </w:tcPr>
          <w:p w14:paraId="01B2727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1/Х-1933 г.</w:t>
            </w:r>
          </w:p>
        </w:tc>
      </w:tr>
      <w:tr w:rsidR="00F26F01" w:rsidRPr="00C33834" w14:paraId="6680F459" w14:textId="77777777">
        <w:tc>
          <w:tcPr>
            <w:tcW w:w="4428" w:type="dxa"/>
            <w:shd w:val="clear" w:color="auto" w:fill="FFFFFF"/>
          </w:tcPr>
          <w:p w14:paraId="4E45379A"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ВХНИИ в Москве разрзешить финансирование переходяцих с 1932 работ обеспеченных проектами.</w:t>
            </w:r>
          </w:p>
        </w:tc>
        <w:tc>
          <w:tcPr>
            <w:tcW w:w="4428" w:type="dxa"/>
            <w:shd w:val="clear" w:color="auto" w:fill="FFFFFF"/>
          </w:tcPr>
          <w:p w14:paraId="5072FDD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5/1У-1933 г.</w:t>
            </w:r>
          </w:p>
        </w:tc>
      </w:tr>
      <w:tr w:rsidR="00F26F01" w:rsidRPr="00C33834" w14:paraId="25F9A08F" w14:textId="77777777">
        <w:tc>
          <w:tcPr>
            <w:tcW w:w="4428" w:type="dxa"/>
            <w:shd w:val="clear" w:color="auto" w:fill="FFFFFF"/>
          </w:tcPr>
          <w:p w14:paraId="7C2AF2F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Двигательстрой в Махачкала разрешить финансирование только работ по проектированию и подготовительных работ на площадке</w:t>
            </w:r>
          </w:p>
        </w:tc>
        <w:tc>
          <w:tcPr>
            <w:tcW w:w="4428" w:type="dxa"/>
            <w:shd w:val="clear" w:color="auto" w:fill="FFFFFF"/>
          </w:tcPr>
          <w:p w14:paraId="16B7D88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1/УП-1933 г.</w:t>
            </w:r>
          </w:p>
        </w:tc>
      </w:tr>
      <w:tr w:rsidR="00F26F01" w:rsidRPr="00C33834" w14:paraId="66346C90" w14:textId="77777777">
        <w:tc>
          <w:tcPr>
            <w:tcW w:w="4428" w:type="dxa"/>
            <w:shd w:val="clear" w:color="auto" w:fill="FFFFFF"/>
          </w:tcPr>
          <w:p w14:paraId="749163AA"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6. Реконструкция вавода "Дальсельмаш" в Хабаровске </w:t>
            </w:r>
          </w:p>
        </w:tc>
        <w:tc>
          <w:tcPr>
            <w:tcW w:w="4428" w:type="dxa"/>
            <w:shd w:val="clear" w:color="auto" w:fill="FFFFFF"/>
          </w:tcPr>
          <w:p w14:paraId="08A9692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1/УП-33 г.</w:t>
            </w:r>
          </w:p>
        </w:tc>
      </w:tr>
      <w:tr w:rsidR="00F26F01" w:rsidRPr="00C33834" w14:paraId="5AD1535C" w14:textId="77777777">
        <w:tc>
          <w:tcPr>
            <w:tcW w:w="4428" w:type="dxa"/>
            <w:shd w:val="clear" w:color="auto" w:fill="FFFFFF"/>
          </w:tcPr>
          <w:p w14:paraId="0435B74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Раснширение Феодоссийской пристрелочной станции</w:t>
            </w:r>
          </w:p>
        </w:tc>
        <w:tc>
          <w:tcPr>
            <w:tcW w:w="4428" w:type="dxa"/>
            <w:shd w:val="clear" w:color="auto" w:fill="FFFFFF"/>
          </w:tcPr>
          <w:p w14:paraId="1BC4753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1/УП-33 г.</w:t>
            </w:r>
          </w:p>
        </w:tc>
      </w:tr>
      <w:tr w:rsidR="00F26F01" w:rsidRPr="00C33834" w14:paraId="3768DBBD" w14:textId="77777777">
        <w:tc>
          <w:tcPr>
            <w:tcW w:w="4428" w:type="dxa"/>
            <w:shd w:val="clear" w:color="auto" w:fill="FFFFFF"/>
          </w:tcPr>
          <w:p w14:paraId="2B77D9D9"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Завод № 59 в Самаре - -разрешить-финансирование только подготовительных работ на площадке</w:t>
            </w:r>
          </w:p>
        </w:tc>
        <w:tc>
          <w:tcPr>
            <w:tcW w:w="4428" w:type="dxa"/>
            <w:shd w:val="clear" w:color="auto" w:fill="FFFFFF"/>
          </w:tcPr>
          <w:p w14:paraId="2FED231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1/У-1933 г.</w:t>
            </w:r>
          </w:p>
        </w:tc>
      </w:tr>
      <w:tr w:rsidR="00F26F01" w:rsidRPr="00C33834" w14:paraId="636BC592" w14:textId="77777777">
        <w:tc>
          <w:tcPr>
            <w:tcW w:w="4428" w:type="dxa"/>
            <w:shd w:val="clear" w:color="auto" w:fill="FFFFFF"/>
          </w:tcPr>
          <w:p w14:paraId="4CC2B11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9. Новый гильзовый завод Патрубвзрвыва в Туле </w:t>
            </w:r>
          </w:p>
        </w:tc>
        <w:tc>
          <w:tcPr>
            <w:tcW w:w="4428" w:type="dxa"/>
            <w:shd w:val="clear" w:color="auto" w:fill="FFFFFF"/>
          </w:tcPr>
          <w:p w14:paraId="6410612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1/У-1933 г.</w:t>
            </w:r>
          </w:p>
        </w:tc>
      </w:tr>
      <w:tr w:rsidR="00F26F01" w:rsidRPr="00C33834" w14:paraId="10CF3683" w14:textId="77777777">
        <w:tc>
          <w:tcPr>
            <w:tcW w:w="4428" w:type="dxa"/>
            <w:shd w:val="clear" w:color="auto" w:fill="FFFFFF"/>
          </w:tcPr>
          <w:p w14:paraId="388758E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Организация производства специального станкостроения на заводе № 70 им. Вл.Ильича в Москве - до 1/У-1933 г.</w:t>
            </w:r>
          </w:p>
        </w:tc>
        <w:tc>
          <w:tcPr>
            <w:tcW w:w="4428" w:type="dxa"/>
            <w:shd w:val="clear" w:color="auto" w:fill="FFFFFF"/>
          </w:tcPr>
          <w:p w14:paraId="3B6AF1E8"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7C5EA19" w14:textId="77777777">
        <w:tc>
          <w:tcPr>
            <w:tcW w:w="4428" w:type="dxa"/>
            <w:shd w:val="clear" w:color="auto" w:fill="FFFFFF"/>
          </w:tcPr>
          <w:p w14:paraId="786B024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Реконструхция завода № 73 им. Коваля</w:t>
            </w:r>
          </w:p>
        </w:tc>
        <w:tc>
          <w:tcPr>
            <w:tcW w:w="4428" w:type="dxa"/>
            <w:shd w:val="clear" w:color="auto" w:fill="FFFFFF"/>
          </w:tcPr>
          <w:p w14:paraId="3C432A98"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1/1У-1933 г.</w:t>
            </w:r>
          </w:p>
        </w:tc>
      </w:tr>
      <w:tr w:rsidR="00F26F01" w:rsidRPr="00C33834" w14:paraId="55D0D607" w14:textId="77777777">
        <w:tc>
          <w:tcPr>
            <w:tcW w:w="4428" w:type="dxa"/>
            <w:shd w:val="clear" w:color="auto" w:fill="FFFFFF"/>
          </w:tcPr>
          <w:p w14:paraId="7EB2BBF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Сталинградский тракторный завод (танковое производство)</w:t>
            </w:r>
          </w:p>
        </w:tc>
        <w:tc>
          <w:tcPr>
            <w:tcW w:w="4428" w:type="dxa"/>
            <w:shd w:val="clear" w:color="auto" w:fill="FFFFFF"/>
          </w:tcPr>
          <w:p w14:paraId="29E1C86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1/У-1933 г.</w:t>
            </w:r>
          </w:p>
        </w:tc>
      </w:tr>
      <w:tr w:rsidR="00F26F01" w:rsidRPr="00C33834" w14:paraId="4658436F" w14:textId="77777777">
        <w:tc>
          <w:tcPr>
            <w:tcW w:w="4428" w:type="dxa"/>
            <w:shd w:val="clear" w:color="auto" w:fill="FFFFFF"/>
          </w:tcPr>
          <w:p w14:paraId="47AFAB8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Завод "Радиоприбор" в Москве</w:t>
            </w:r>
          </w:p>
        </w:tc>
        <w:tc>
          <w:tcPr>
            <w:tcW w:w="4428" w:type="dxa"/>
            <w:shd w:val="clear" w:color="auto" w:fill="FFFFFF"/>
          </w:tcPr>
          <w:p w14:paraId="395328F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1/У-1933 г.</w:t>
            </w:r>
          </w:p>
        </w:tc>
      </w:tr>
      <w:tr w:rsidR="00F26F01" w:rsidRPr="00C33834" w14:paraId="323DEFD8" w14:textId="77777777">
        <w:tc>
          <w:tcPr>
            <w:tcW w:w="4428" w:type="dxa"/>
            <w:shd w:val="clear" w:color="auto" w:fill="FFFFFF"/>
          </w:tcPr>
          <w:p w14:paraId="431FC4C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14. "ЗАТЭМ" в Москве </w:t>
            </w:r>
          </w:p>
        </w:tc>
        <w:tc>
          <w:tcPr>
            <w:tcW w:w="4428" w:type="dxa"/>
            <w:shd w:val="clear" w:color="auto" w:fill="FFFFFF"/>
          </w:tcPr>
          <w:p w14:paraId="34CCDCC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1/У-1933 г.</w:t>
            </w:r>
          </w:p>
        </w:tc>
      </w:tr>
      <w:tr w:rsidR="00F26F01" w:rsidRPr="00C33834" w14:paraId="44BF1CDA" w14:textId="77777777">
        <w:tc>
          <w:tcPr>
            <w:tcW w:w="4428" w:type="dxa"/>
            <w:shd w:val="clear" w:color="auto" w:fill="FFFFFF"/>
          </w:tcPr>
          <w:p w14:paraId="0D27047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Хабаровская база Банзосхладстроя</w:t>
            </w:r>
          </w:p>
        </w:tc>
        <w:tc>
          <w:tcPr>
            <w:tcW w:w="4428" w:type="dxa"/>
            <w:shd w:val="clear" w:color="auto" w:fill="FFFFFF"/>
          </w:tcPr>
          <w:p w14:paraId="2CE41324"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до-1/Ш-1933 г.</w:t>
            </w:r>
          </w:p>
        </w:tc>
      </w:tr>
      <w:tr w:rsidR="00F26F01" w:rsidRPr="00C33834" w14:paraId="3927A8A8" w14:textId="77777777">
        <w:tc>
          <w:tcPr>
            <w:tcW w:w="4428" w:type="dxa"/>
            <w:tcBorders>
              <w:bottom w:val="single" w:sz="12" w:space="0" w:color="auto"/>
            </w:tcBorders>
            <w:shd w:val="clear" w:color="auto" w:fill="FFFFFF"/>
          </w:tcPr>
          <w:p w14:paraId="72C2A9B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Северная база бензоскладстроя - Кронштадт и Ораниенбаум</w:t>
            </w:r>
          </w:p>
        </w:tc>
        <w:tc>
          <w:tcPr>
            <w:tcW w:w="4428" w:type="dxa"/>
            <w:tcBorders>
              <w:bottom w:val="single" w:sz="12" w:space="0" w:color="auto"/>
            </w:tcBorders>
            <w:shd w:val="clear" w:color="auto" w:fill="FFFFFF"/>
          </w:tcPr>
          <w:p w14:paraId="30F4C49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1/У-1933 г. (2282,1)</w:t>
            </w:r>
          </w:p>
        </w:tc>
      </w:tr>
    </w:tbl>
    <w:p w14:paraId="417E04E8"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1A8F03E3" w14:textId="77777777" w:rsidR="004014A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B94D981" w14:textId="77777777" w:rsidR="004014A7" w:rsidRPr="00C33834" w:rsidRDefault="004014A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86912FE" w14:textId="77777777" w:rsidR="004014A7" w:rsidRPr="00C33834" w:rsidRDefault="004014A7" w:rsidP="00C33834">
      <w:pPr>
        <w:pStyle w:val="rtejustify"/>
        <w:spacing w:before="0" w:after="0"/>
        <w:rPr>
          <w:color w:val="000000" w:themeColor="text1"/>
          <w:sz w:val="16"/>
          <w:szCs w:val="16"/>
        </w:rPr>
      </w:pPr>
      <w:r w:rsidRPr="00C33834">
        <w:rPr>
          <w:rStyle w:val="af0"/>
          <w:bCs/>
          <w:i w:val="0"/>
          <w:color w:val="000000" w:themeColor="text1"/>
          <w:sz w:val="16"/>
          <w:szCs w:val="16"/>
        </w:rPr>
        <w:t>14 февраля</w:t>
      </w:r>
      <w:r w:rsidRPr="00C33834">
        <w:rPr>
          <w:color w:val="000000" w:themeColor="text1"/>
          <w:sz w:val="16"/>
          <w:szCs w:val="16"/>
        </w:rPr>
        <w:t xml:space="preserve"> 1933. Постановление СТО СССР № 3сс/о «О финансировании объектов оборонного строительства тяжелой промышленности до составления технических проектов и смет». (ГА РФ. Ф. Р</w:t>
      </w:r>
      <w:r w:rsidRPr="00C33834">
        <w:rPr>
          <w:color w:val="000000" w:themeColor="text1"/>
          <w:sz w:val="16"/>
          <w:szCs w:val="16"/>
        </w:rPr>
        <w:noBreakHyphen/>
        <w:t>8418. Оп. 28. Д. 1. Л. 3</w:t>
      </w:r>
      <w:r w:rsidRPr="00C33834">
        <w:rPr>
          <w:color w:val="000000" w:themeColor="text1"/>
          <w:sz w:val="16"/>
          <w:szCs w:val="16"/>
        </w:rPr>
        <w:noBreakHyphen/>
        <w:t>4) (15460).</w:t>
      </w:r>
    </w:p>
    <w:p w14:paraId="120A47C2" w14:textId="77777777" w:rsidR="004014A7" w:rsidRPr="00C33834" w:rsidRDefault="004014A7" w:rsidP="00C33834">
      <w:pPr>
        <w:pStyle w:val="rtejustify"/>
        <w:spacing w:before="0" w:after="0"/>
        <w:rPr>
          <w:color w:val="000000" w:themeColor="text1"/>
          <w:sz w:val="16"/>
          <w:szCs w:val="16"/>
        </w:rPr>
      </w:pPr>
    </w:p>
    <w:p w14:paraId="2F6F9AC5" w14:textId="77777777" w:rsidR="00FC65C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791415E" w14:textId="77777777" w:rsidR="00FC65C5" w:rsidRPr="00C33834" w:rsidRDefault="00FC65C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A85B021" w14:textId="77777777" w:rsidR="004014A7" w:rsidRPr="00C33834" w:rsidRDefault="004014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14 февраля</w:t>
      </w:r>
      <w:r w:rsidRPr="00C33834">
        <w:rPr>
          <w:rFonts w:ascii="Times New Roman" w:hAnsi="Times New Roman"/>
          <w:color w:val="000000" w:themeColor="text1"/>
          <w:sz w:val="16"/>
          <w:szCs w:val="16"/>
        </w:rPr>
        <w:t xml:space="preserve"> в 1933 году первый полёт головного серийного лёгкого вспомогательного самолёта </w:t>
      </w:r>
      <w:hyperlink r:id="rId66" w:tgtFrame="_blank" w:history="1">
        <w:r w:rsidRPr="00C33834">
          <w:rPr>
            <w:rFonts w:ascii="Times New Roman" w:hAnsi="Times New Roman"/>
            <w:color w:val="000000" w:themeColor="text1"/>
            <w:sz w:val="16"/>
            <w:szCs w:val="16"/>
          </w:rPr>
          <w:t xml:space="preserve">«Hawker Hector» </w:t>
        </w:r>
      </w:hyperlink>
      <w:r w:rsidRPr="00C33834">
        <w:rPr>
          <w:rFonts w:ascii="Times New Roman" w:hAnsi="Times New Roman"/>
          <w:color w:val="000000" w:themeColor="text1"/>
          <w:sz w:val="16"/>
          <w:szCs w:val="16"/>
        </w:rPr>
        <w:t>(компания «Hawker», Великобритания). «Hawker Hector» - многоцелевой самолёт взаимодействия с сухопутными войсками. Одномоторный цельнометаллический биплан с неубирающимся шасси был спроектирован для замены самолётов "Одекс" (Audax). Было решено использовать двигатель Нэйпиер Дэггер, который имел больший размер по высоте, в результате чего совершенно изменилась характерная для самолетов семейства Харт заостренная конструкция носовой части. Вдобавок, в результате того, что центр тяжести самолёта сместился, пришлось использовать верхнее крыло с прямой передней кромкой вместо стреловидного, применявшегося на более ранних самолетах этого семейства (15040).</w:t>
      </w:r>
    </w:p>
    <w:p w14:paraId="05C2BAEF" w14:textId="77777777" w:rsidR="004014A7" w:rsidRPr="00C33834" w:rsidRDefault="004014A7" w:rsidP="00C33834">
      <w:pPr>
        <w:spacing w:after="0" w:line="240" w:lineRule="auto"/>
        <w:jc w:val="both"/>
        <w:rPr>
          <w:rFonts w:ascii="Times New Roman" w:hAnsi="Times New Roman"/>
          <w:color w:val="000000" w:themeColor="text1"/>
          <w:sz w:val="16"/>
          <w:szCs w:val="16"/>
        </w:rPr>
      </w:pPr>
    </w:p>
    <w:p w14:paraId="1A8A073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февраля 1933 губернатор Мичигана закрыл на 8 дней все банки штата, чтобы предотвратить банкротство двух крупнейший и похожие решения приняли в других штатах (3907,179).</w:t>
      </w:r>
    </w:p>
    <w:p w14:paraId="3C4493A4" w14:textId="77777777" w:rsidR="00FC65C5" w:rsidRPr="00C33834" w:rsidRDefault="00FC65C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DE0C44F" w14:textId="77777777" w:rsidR="00FC65C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2D7DA5A" w14:textId="77777777" w:rsidR="00FC65C5" w:rsidRPr="00C33834" w:rsidRDefault="00FC65C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DE06564"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15 февраля 1933 г. были выполнены все рабочие чертежи оперения Д-1/Г-1, 98% чертежей шасси, 94% - фюзеляжа, 70% - консолей крыла, 50% - нервюр центроплана. К 1 апреля 1933 г. академия должна была предъявить макет самолета. Был ли он изготовлен - неизвестно.</w:t>
      </w:r>
    </w:p>
    <w:p w14:paraId="349E9E19"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по Г-1 (Д-1) приостановили в первом квартале 1934 г. Причина была тривиальной - кончились отпущенные деньги. Готовность опытного образца в это время определяли в 70%. По оценкам конструкторов, для завершения машины требовалось еще 508 000 рублей (12036).</w:t>
      </w:r>
    </w:p>
    <w:p w14:paraId="4423E6B8"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3056FF2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февраля 1933 года врид начальника Особого конструкторского производственного бюро ВВС Бицкий писал письмо № 5/Л врид начальника ВВС Наумову</w:t>
      </w:r>
    </w:p>
    <w:p w14:paraId="1488557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вашего распоряжения о сокращении плана работ, сметы и размещения в промышленности опытных экспериментальных объектов ОКПБ мною было доложено начальнику ОКПБ Гроховскому, находящемуся в настоящее время на дому по болезни, при чем он передал:</w:t>
      </w:r>
    </w:p>
    <w:p w14:paraId="4D4464B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сокращением плана работ и сметы он согласен и заявил:</w:t>
      </w:r>
    </w:p>
    <w:p w14:paraId="53D8A52F"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Предложенное вами размещение для постройки объектов на различных авиазаводах не обеспечивают выполнение плана, так как каждый из строящихся впервые оригинальных конструкций требуют неоднократной переделки в процессе его изготовления под личным руководством конструктора и изобретателя, чего не может дать никакая производственная единица, если она не находится в распоряжении ОКПБ и не сконцентрирована на одном заводе.</w:t>
      </w:r>
    </w:p>
    <w:p w14:paraId="3945DAB6"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Предлагаемая организация Экспериментальных мастерских в Ленинграде (2 корпуса артсклада) не может быть использована как производственная база, так как 1933 год уйдет на переоборудование помещений и подбор кадров мастерских.</w:t>
      </w:r>
    </w:p>
    <w:p w14:paraId="47E43B67"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Одновременно до сегодняшнего дня включительно не предоставлено здание, занятое Строительным управлением, что не дает возможности развернуть проектную работу объектов 1933 года.</w:t>
      </w:r>
    </w:p>
    <w:p w14:paraId="19C7BC9B"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Укомплектование штата 1933 года УВВС не проведено и в предоставлении инженеров-самолетчиков Ягушевским отказано.</w:t>
      </w:r>
    </w:p>
    <w:p w14:paraId="1E9B4626"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Прибывающий в Бюро личный состав находится в самых скверных условиях, находясь без квартир.</w:t>
      </w:r>
    </w:p>
    <w:p w14:paraId="45DEF05A"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штату 1933 года ОКПБ совсем лишено легкового транспорта, что вызывает дальнейшее увеличение штата инженеров, так как падает продуктивность работы высококвалифицированных специалистов, затрачивающих коллосальное время на трамвайные разъезды для поддержки связи с нужными учреждениями. По штату 1932 года положено 3 легковых машины, а по штату 1933 года при увеличении его в 3 раза, сокращены до двух – для выполнения плана необходимо не менее 10 автомашин.</w:t>
      </w:r>
    </w:p>
    <w:p w14:paraId="14B790A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Если все перечисленные недочеты будут устранены не позднее 1 марта, то предложенный вами план в 2, 5 млн. рублей будет выполнен. Взять же на себя ответственность за выполнение предложенного Вами плана с имеющейся в распоряжении ОКПБ кустарной базой считает преступлением.</w:t>
      </w:r>
    </w:p>
    <w:p w14:paraId="613515F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Изменение плана в ту или другую сторону зависит исключительно от объема его обеспечения.</w:t>
      </w:r>
    </w:p>
    <w:p w14:paraId="4C992AA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основании изложенного, прошу скорейшего разрешения всех перечисленных вопросов, так как без их разрешения составить сколько-нибудь реальный план 1933 года не представляется возможным (7486, 108-109).</w:t>
      </w:r>
    </w:p>
    <w:p w14:paraId="2B072FA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4DBBD65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февраля 1933 закончилась организация ЦКБ на заводе Менжинского (24,61).</w:t>
      </w:r>
    </w:p>
    <w:p w14:paraId="3A1B663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П.И.Баранов (а не С.В.Ильюшин - 5,8) (согласно приказу) сохранил бытовавшее в ЦАГИ название КБ - ЦКБ и систему самостоятельных бригад (5,8):</w:t>
      </w:r>
    </w:p>
    <w:p w14:paraId="482CD07A"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N 1 - самолеты разведчики и штурмовики, возглавляемую С.А.Кочеригиным (24.61);</w:t>
      </w:r>
    </w:p>
    <w:p w14:paraId="7A46AE4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N 2 - самолеты-истребители, возглавляемую Н.Н.Поликарповым (24,61), зам. - Д.Л.Томашевич;</w:t>
      </w:r>
    </w:p>
    <w:p w14:paraId="0498274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вооружения - Я.И.Мальцев;</w:t>
      </w:r>
    </w:p>
    <w:p w14:paraId="5C2831E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высотных самолетов - В.А.Чижевский;</w:t>
      </w:r>
    </w:p>
    <w:p w14:paraId="0D0F339A"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морских самолетов - сначала И.В.Четвериков, затем Г.М.Бериев (5,8).</w:t>
      </w:r>
    </w:p>
    <w:p w14:paraId="1B3B55C4"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Есть уже версии, что никакого П.В.Четверикова - не было и С.В.И. сразу пригласил Г.М.Бериева (79,208).</w:t>
      </w:r>
    </w:p>
    <w:p w14:paraId="4E560A3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По Пономареву (24,61) структура нового ЦКБ несколько иная:</w:t>
      </w:r>
    </w:p>
    <w:p w14:paraId="55D364F4"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- 3 - экспериментальные работы, проектирование дальнего бомбардировщика, постройка гондолы стратостата - В.А.Чижевский;</w:t>
      </w:r>
    </w:p>
    <w:p w14:paraId="29D4D79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- 4 - проектирование вооружения - Я.И.Мальцев;</w:t>
      </w:r>
    </w:p>
    <w:p w14:paraId="655F3B08"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- 5 - морские самолеты - Г.М.Бериев;</w:t>
      </w:r>
    </w:p>
    <w:p w14:paraId="11687BD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- 6 - статиспытания и веса - П.М.Крейсон.</w:t>
      </w:r>
    </w:p>
    <w:p w14:paraId="7062FFE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 В.Б.Шаврова - мнение по бригадам ЦКБ также свое:</w:t>
      </w:r>
    </w:p>
    <w:p w14:paraId="210122B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N 1 истребители (Н.Н.Поликарпов);</w:t>
      </w:r>
    </w:p>
    <w:p w14:paraId="439E2EA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N 2 штурмовики (С.А.Кочеригин);</w:t>
      </w:r>
    </w:p>
    <w:p w14:paraId="2671C5B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N 3 экспериментальные работы по дальнему бомбардировщику и гондоле стратостата - часть БОК (В.А.Чижевский);</w:t>
      </w:r>
    </w:p>
    <w:p w14:paraId="75BBDF8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N 4 часть бригады вооружения (Я.И.Мальцев);</w:t>
      </w:r>
    </w:p>
    <w:p w14:paraId="437AAE7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N 5 морские самолеты (Г.М.Бериев), а в (5,8) - И.В.Четвериков;</w:t>
      </w:r>
    </w:p>
    <w:p w14:paraId="5483A0B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N 6 статистические испытания и вес П.М.Крейсон</w:t>
      </w:r>
    </w:p>
    <w:p w14:paraId="58BA2B28"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Часть бригад постепенно выделилась в самостоятельные ОКБ (5,8). По Стражевой - 3 бригады:</w:t>
      </w:r>
    </w:p>
    <w:p w14:paraId="791675B8"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С.А.Кочеригина;</w:t>
      </w:r>
    </w:p>
    <w:p w14:paraId="6DAF0C0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В.А.Чижевского;</w:t>
      </w:r>
    </w:p>
    <w:p w14:paraId="6F6D4FD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Н.Н.Поликарпова.</w:t>
      </w:r>
    </w:p>
    <w:p w14:paraId="4F9DE41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Бригады, перешедшие в полном составе, продолжали проектирование ранее заданных машин. Группа Н.Н.Поликарпова - пришла с заданиями на разработку И-15 (66,154) и И-16 и С.В.Ильюшин должен был принять меры по укреплению группы с тем, чтобы она могла справиться с заданием (24,60).</w:t>
      </w:r>
    </w:p>
    <w:p w14:paraId="77435A1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переходе назад на 39 отдел В.П.Яценко влили в бригаду 1 С.А.Кочеригина, так как якобы схожая тематика (158,13). В.П.Яценко работал самостоятельно над ЦКБ-2 (ДИ-5), был замом. и все же сумел отделиться вопреки желанию С.В.И. от бригады 1 (158,13).</w:t>
      </w:r>
    </w:p>
    <w:p w14:paraId="6DE3C5C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распоряжение дирекции завода были переданы деньги и материалы, выделенные ЦАГИ на проектирование и постройку машин, переходящих в ЦКБ (24,61).</w:t>
      </w:r>
    </w:p>
    <w:p w14:paraId="5627175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 есть - ЦАГИ подраздели.</w:t>
      </w:r>
    </w:p>
    <w:p w14:paraId="34B85448"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группе С.В.И. в ЦКБ были В.В.Никитин, В.В.Калинин, С.Н.Черников, З.З.Жвагина, А.П.Левин и А.А.Сеньков (2346,1), а также С.М.Егер (3846,4).</w:t>
      </w:r>
    </w:p>
    <w:p w14:paraId="1E860D8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17C280F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15 февраля 1933 г. все бригады ЦКБ уже работали над плановыми заданиями (9536,4).</w:t>
      </w:r>
    </w:p>
    <w:p w14:paraId="1BDA33B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1CFDA40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февраля 1933 М.Н.Зворыгин установил рекорд затяжного прыжка с 2500 м и падал 2200 м - 41 сек. (438,640).</w:t>
      </w:r>
    </w:p>
    <w:p w14:paraId="498995A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3E3DFE1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февраля 1933 г. катер АНТ-5 был закончен постройкой и отправлен из Москвы по железной дороге в Севастополь (10675).</w:t>
      </w:r>
    </w:p>
    <w:p w14:paraId="6B4A299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172BB479" w14:textId="77777777" w:rsidR="00A76142" w:rsidRPr="00C33834" w:rsidRDefault="00A7614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февраля 1933 г. катер АНТ-5 был закончен постройкой и отправлен из Москвы по железной дороге в Севастополь.</w:t>
      </w:r>
    </w:p>
    <w:p w14:paraId="02B7353E" w14:textId="77777777" w:rsidR="00A76142" w:rsidRPr="00C33834" w:rsidRDefault="00A7614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апреля по ноябрь 1933 г. катер прошел заводские испытания в Севастополе, а с 22 ноября по декабрь — государственные испытания. Испытания АНТ-5 привели начальство буквально в восторг — катер с торпедами развивал скорость 58 узлов, а без торпед — 65,3 узла. О таких скоростях не могли и мечтать катера других стран.</w:t>
      </w:r>
    </w:p>
    <w:p w14:paraId="4982303D" w14:textId="77777777" w:rsidR="00A76142" w:rsidRPr="00C33834" w:rsidRDefault="00A7614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им. Марта, начиная с V серии (первые четыре серии — это катера Ш-4), перешел на производство Г-5 (так назывались серийные катера АНТ-5). Позже Г-5 стали строить и на заводе № 532 в Керчи, а с началом войны завод № 532 эвакуировали в Тюмень, и там на заводе № 639 также приступили к строительству катеров типа Г-5. Всего был построен 321 серийный катер Г-5 девяти серий (с VI по XII, включая Х1бис).</w:t>
      </w:r>
    </w:p>
    <w:p w14:paraId="22816E27" w14:textId="77777777" w:rsidR="00A76142" w:rsidRPr="00C33834" w:rsidRDefault="00A7614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Торпедное вооружение у всех серий было одинаково: две 533-мм торпеды в желобковых аппаратах. А вот пулеметное вооружение постоянно менялось. Так, катера VI—IX серий имели по два 7,62-мм авиационных пулемета ДА. Следующие серии имели по два 7,62-мм авиационных пулеметов ШКАС, отличавшихся большей скорострельностью.</w:t>
      </w:r>
    </w:p>
    <w:p w14:paraId="5A6B9E6A" w14:textId="77777777" w:rsidR="00A76142" w:rsidRPr="00C33834" w:rsidRDefault="00A7614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1941 г. катера стали оснащать одним-двумя 12,7-мм пулеметами ДШК. Кроме того, силами флотских умельцев были созданы импровизированные ординарные и спаренные 20-мм установки авиационных пушек ШВАК.</w:t>
      </w:r>
    </w:p>
    <w:p w14:paraId="6DA936F3" w14:textId="77777777" w:rsidR="00A76142" w:rsidRPr="00C33834" w:rsidRDefault="00A7614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Водоизмещение катеров Г-5 колебалось от 14,91 т (VI серии) до 19,94 т (XI серии). Большинство катеров имело по два отечественных бензиновых двигателя ГАМ-34БП и БС мощностью 850 л. с. каждый. 25 катеров IX серии были оснащены итальянскими двигателями «Изотто-Фраскини» А 550—1000. 40 катеров серии Х1бис оснащены форсированными двигателями ГАМ-34Ф мощностью по 1000 л. с. А в ходе войны катера снабжались двумя американскими двигателями «Паккард» мощностью по 1150 л.с.</w:t>
      </w:r>
    </w:p>
    <w:p w14:paraId="0FADFE71" w14:textId="77777777" w:rsidR="00A76142" w:rsidRPr="00C33834" w:rsidRDefault="00A7614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хода катеров составляла от 45 до 52 узлов. А стоимость постройки — от 475 тыс. руб. (первые серии) до 620 тыс. руб. (начиная с XI серии).</w:t>
      </w:r>
    </w:p>
    <w:p w14:paraId="2106F9C3" w14:textId="77777777" w:rsidR="00A76142" w:rsidRPr="00C33834" w:rsidRDefault="00A7614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Как работали эти двигатели ГАМ-34, пусть даже теоретически, можно понять из следующего документа: «Правила ухода и обслуживания катера Г-5». Полный ход достигался при 1900 об./мин. двигателя. Но работать при скорости 1900 об/мин. можно было не более 20 мин., а при скорости 1800 об/мин. — не более 1 часа. Причем полный ход можно было развивать только в боевых условиях. А «пользоваться самым полным ходом при 1800—1900 об/мин. в условиях боевой подготовки запрещается».</w:t>
      </w:r>
    </w:p>
    <w:p w14:paraId="23A876F9" w14:textId="77777777" w:rsidR="00A76142" w:rsidRPr="00C33834" w:rsidRDefault="00A7614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24, изготавливавший двигатели ГАМ-34, давал им гарантию лишь на 150 часов работы двигателя, далее должна была производиться полная переборка двигателя и ремонт (15117).</w:t>
      </w:r>
    </w:p>
    <w:p w14:paraId="10E8ECBA" w14:textId="77777777" w:rsidR="00A76142" w:rsidRPr="00C33834" w:rsidRDefault="00A76142" w:rsidP="00C33834">
      <w:pPr>
        <w:spacing w:after="0" w:line="240" w:lineRule="auto"/>
        <w:jc w:val="both"/>
        <w:rPr>
          <w:rFonts w:ascii="Times New Roman" w:hAnsi="Times New Roman"/>
          <w:color w:val="000000" w:themeColor="text1"/>
          <w:sz w:val="16"/>
          <w:szCs w:val="16"/>
        </w:rPr>
      </w:pPr>
    </w:p>
    <w:p w14:paraId="52CE4CDF" w14:textId="77777777" w:rsidR="00FC65C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F67F4C8" w14:textId="77777777" w:rsidR="00FC65C5" w:rsidRPr="00C33834" w:rsidRDefault="00FC65C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2267A77" w14:textId="77777777" w:rsidR="00A76142" w:rsidRPr="00C33834" w:rsidRDefault="00A76142" w:rsidP="00C33834">
      <w:pPr>
        <w:pStyle w:val="rtejustify"/>
        <w:spacing w:before="0" w:after="0"/>
        <w:rPr>
          <w:color w:val="000000" w:themeColor="text1"/>
          <w:sz w:val="16"/>
          <w:szCs w:val="16"/>
        </w:rPr>
      </w:pPr>
      <w:r w:rsidRPr="00C33834">
        <w:rPr>
          <w:rStyle w:val="af0"/>
          <w:bCs/>
          <w:i w:val="0"/>
          <w:color w:val="000000" w:themeColor="text1"/>
          <w:sz w:val="16"/>
          <w:szCs w:val="16"/>
        </w:rPr>
        <w:t>15 февраля</w:t>
      </w:r>
      <w:r w:rsidRPr="00C33834">
        <w:rPr>
          <w:color w:val="000000" w:themeColor="text1"/>
          <w:sz w:val="16"/>
          <w:szCs w:val="16"/>
        </w:rPr>
        <w:t xml:space="preserve"> 1933. Постановление СТО СССР № 4с/о «О передаче Наркомтяжпрому зданий бывшей Фрязинской шелкомотальной фабрики для развертывания нового завода “Радиолампа”». (ГА РФ. Ф. Р</w:t>
      </w:r>
      <w:r w:rsidRPr="00C33834">
        <w:rPr>
          <w:color w:val="000000" w:themeColor="text1"/>
          <w:sz w:val="16"/>
          <w:szCs w:val="16"/>
        </w:rPr>
        <w:noBreakHyphen/>
        <w:t>8418. Оп. 28. Д. 1. Л. 5) (15460).</w:t>
      </w:r>
    </w:p>
    <w:p w14:paraId="793510F3" w14:textId="77777777" w:rsidR="00A76142" w:rsidRPr="00C33834" w:rsidRDefault="00A76142" w:rsidP="00C33834">
      <w:pPr>
        <w:pStyle w:val="rtejustify"/>
        <w:spacing w:before="0" w:after="0"/>
        <w:rPr>
          <w:color w:val="000000" w:themeColor="text1"/>
          <w:sz w:val="16"/>
          <w:szCs w:val="16"/>
        </w:rPr>
      </w:pPr>
    </w:p>
    <w:p w14:paraId="03D845CC" w14:textId="77777777" w:rsidR="00A76142" w:rsidRPr="00C33834" w:rsidRDefault="00A76142" w:rsidP="00C33834">
      <w:pPr>
        <w:pStyle w:val="ae"/>
        <w:spacing w:before="0" w:after="0"/>
        <w:jc w:val="both"/>
        <w:rPr>
          <w:color w:val="000000" w:themeColor="text1"/>
          <w:sz w:val="16"/>
          <w:szCs w:val="16"/>
        </w:rPr>
      </w:pPr>
      <w:r w:rsidRPr="00C33834">
        <w:rPr>
          <w:color w:val="000000" w:themeColor="text1"/>
          <w:sz w:val="16"/>
          <w:szCs w:val="16"/>
        </w:rPr>
        <w:t>15 февраля 1933 года СТО СССР принял решение о строительстве электровакуумного завода «Радиолампа» в подмосковной деревне Фрязино (начиная с 1932 года в Москве было запрещено строить промышленные предприятия). Очевидно, основным критерием выбора явилось то, что здесь имелось пустующее каменное здание бывшей шелкоткацкой фабрики Капцова (это здание сохранилось на территории ФГУП «НПП «Исток» до настоящего времени). Первая очередь завода «Радиолампа» должна была вступить в строй к 1 января 1934 года, что, конечно оказалось нереально, несмотря на все усилия строителей. Организовать новое производство электровакуумных приборов было поручено небольшому коллективу отдела электронных ламп (ОЭЛ), который имелся на МЭЛЗе. В конце 1933 года отдел переезжает на «Радиолампу», во Фрязино. Эти лаборатории должны были способствовать освоению коллективом завода производства серии металлических приемно-усилительных ламп. На них была ориентирована работа радиотехнических заводов страны, разрабатывавших аппаратуру, как для широковещательного приема, так и для военных целей. В 1933 году были установлены дипломатические отношения с США, и в том же году состоялся визит на фирму RCA заместителя начальника Главэспрома А.Ф. Шорина и начальника отраслевой вакуумной лаборатории С.А. Векшинского. Руководившие фирмой выходцы из России Б. Сарнов и В.К. Зворыкин хорошо их приняли, на следующий год состоялся ответный визит Зворыкина в Ленинград. Так началось взаимодействие, которому советское правительство уделило огромное внимание, увидев возможность поднять уровень отечественной промышленности. Вопросы взаимодействия с фирмой «Радиокорпорейшн» неоднократно рассматривались на уровне высшего руководства. «Радиокорпорейшн» являлась основным производителем массовой радиопродукции в США. Она выпускала около 30 типов радиоприемников высокого качества. В 1935 г. корпорация выпустила 25 млн радиоламп, что составляло 30 % от общемирового объема. В разработке имелось еще около 80 новых типов. Фирма сотрудничала более чем с 60 смежниками-заводами, поставлявшими ей различные блоки и детали. Она занималась строительством и эксплуатацией радиовещательных и телевизионных станций. В США в условиях кризиса развивалось движение за оказание технической помощи России (15736).</w:t>
      </w:r>
    </w:p>
    <w:p w14:paraId="1AFA5EFB" w14:textId="77777777" w:rsidR="00A76142" w:rsidRPr="00C33834" w:rsidRDefault="00A76142" w:rsidP="00C33834">
      <w:pPr>
        <w:pStyle w:val="ae"/>
        <w:spacing w:before="0" w:after="0"/>
        <w:jc w:val="both"/>
        <w:rPr>
          <w:color w:val="000000" w:themeColor="text1"/>
          <w:sz w:val="16"/>
          <w:szCs w:val="16"/>
        </w:rPr>
      </w:pPr>
    </w:p>
    <w:p w14:paraId="121A7BAF" w14:textId="77777777" w:rsidR="00FC65C5" w:rsidRPr="00C33834" w:rsidRDefault="00FC65C5"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15 февраля 1933 г. на заводе Красное Сормово техническая готовность «Комсомольца» составляла 63 %. Графики работ не соблюдались. Поставщики тоже подводили, в частности, завод «Русский дизель» не поставил в срок двигатели. И все же героическими усилиями рабочих к маю того же 33-го года лодка была подготовлена к отправке для достройки на Балтийский завод. Док для нее был спешно построен на том же «Красном Сормове». Он имел размеры 72,5 на 9,6 метра и водоизмещение 950 тонн. 25 мая лодка в доке начала движение по Волге, а затем — по Мариинской системе каналов, и 1 июня 1933 г. прибыла в Ленинград. «Балтийцы» быстро поняли, что им прислали не «почти готовую» субмарину, а всего лишь полуфабрикат. После начала достроечных работ выявилось огромное количество дефектов: было необходимо заново изготовить и установить валы горизонтальных рулей, устранить дефекты топливных цистерн, заменить кабели и т. д. Согласно акту от 9 июля 1933 г., было выявлено, что «соединительные швы топливных цистерн зашпаклеваны смесью гудрона и сурика черного цвета. Это маскировка брака, могущая привести к течи». [160 — ГУ ЦАНО, Ф. 15, Оп. 3, Д. 135, Л. 142.] А в акте от 11 сентября того же года говорилось: «…при испытании гидравлическим давлением жесткого корпуса обнаружилось 250 течей». [161 — Там же, Д. 136, Л. 16.] Когда прибыли торпедные аппараты, долго задерживавшиеся заводом № 6, оказалось, что подлодка не готова к их установке. Кроме того, 40 % электромонтажных работ подлежали демонтажу и переделке, из-за брака пришлось заменить и 90 % арматуры. </w:t>
      </w:r>
      <w:r w:rsidRPr="00C33834">
        <w:rPr>
          <w:rFonts w:ascii="Times New Roman" w:hAnsi="Times New Roman"/>
          <w:color w:val="000000" w:themeColor="text1"/>
          <w:sz w:val="16"/>
          <w:szCs w:val="16"/>
        </w:rPr>
        <w:lastRenderedPageBreak/>
        <w:t>[162 — Там же, Д. 135, Л. 177.]. В связи с переходом «Красного Сормова» на производство спецсудов — так в целях секретности именовали подлодки, которое должно было стать его основным профилем, с 1933 г. стал сокращаться выпуск железнодорожных вагонов и платформ, а также трамваев. Начались командировки на Балтийский завод рабочего и технического персонала с последующей сдачей экзамена. Впоследствии в ноябре 1933 — мае 1934 гг. филиал учебно-курсового комбината в Ленинграде организовал курсы повышения квалификации инженеров — строителей подлодок. На них была отправлена группа ИТР с «Красного Сормова»: корпусники, механики и электротехники. Пять дней в неделю они работали на предприятиях Ленинграда, а один день проводились теоретические занятия. Основными темами занятий были общее устройство подлодок, технологические процессы и монтаж (11741).</w:t>
      </w:r>
    </w:p>
    <w:p w14:paraId="1D079A67" w14:textId="77777777" w:rsidR="00FC65C5" w:rsidRPr="00C33834" w:rsidRDefault="00FC65C5"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BB333D" w14:textId="77777777" w:rsidR="00FC65C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73A9927C" w14:textId="77777777" w:rsidR="00FC65C5" w:rsidRPr="00C33834" w:rsidRDefault="00FC65C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B658B65"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февраля 1933 в Москве открылся первый Всесоюзный съезд колхозников-ударников (4962).</w:t>
      </w:r>
    </w:p>
    <w:p w14:paraId="11A16E59"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12F8D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15-19 февраля 1933 состоялся I-й Всесоюзный съезд колхозников-ударников (15-19.02). В своей речи на открытии съезда И.Сталин заявил, что трудности, испытываемые колхозниками, "не стоят даже того, чтобы серьезно разговаривать о них" (10687).</w:t>
      </w:r>
    </w:p>
    <w:p w14:paraId="67E125E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4377C1A5" w14:textId="77777777" w:rsidR="00FC65C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44CAFA8" w14:textId="77777777" w:rsidR="00FC65C5" w:rsidRPr="00C33834" w:rsidRDefault="00FC65C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CFB9C44"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февраля 1933 террорист совершил покушение на только что избранного Ф.Д.Р. (3907,179).</w:t>
      </w:r>
    </w:p>
    <w:p w14:paraId="0BA6CD8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19283C9E"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февраля 1933 в Мемфисе анархист Джозеф Зангара стрелял в президента США Ф. Рузвельта и промахнулся только потому, что в момент выстрела в его руку вцепилась женщина (при этом был убит мэр Чикаго) (4962).</w:t>
      </w:r>
    </w:p>
    <w:p w14:paraId="37AA3B30"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AD6659" w14:textId="77777777" w:rsidR="00A76142" w:rsidRPr="00C33834" w:rsidRDefault="00A76142"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15 февраля</w:t>
      </w:r>
      <w:r w:rsidRPr="00C33834">
        <w:rPr>
          <w:rFonts w:ascii="Times New Roman" w:hAnsi="Times New Roman"/>
          <w:color w:val="000000" w:themeColor="text1"/>
          <w:sz w:val="16"/>
          <w:szCs w:val="16"/>
        </w:rPr>
        <w:t xml:space="preserve"> в 1933 году в Майями, штат Флорида, на Франклина Рузвельта совершено покушение. Однако убийца, Джузеппе Зангара вместо президента убил из старого пистолета стоимостью 10 долларов мэра Чикаго Энтона Кермака. По одной из версий мэр города, противник коррупции, заслонил своим телом Рузвельта, по другой версии, стрелявший просто промахнулся. Кермак скончался от ранения 6-го марта (15041).</w:t>
      </w:r>
    </w:p>
    <w:p w14:paraId="4F3C29DD" w14:textId="77777777" w:rsidR="00A76142" w:rsidRPr="00C33834" w:rsidRDefault="00A76142" w:rsidP="00C33834">
      <w:pPr>
        <w:spacing w:after="0" w:line="240" w:lineRule="auto"/>
        <w:jc w:val="both"/>
        <w:rPr>
          <w:rFonts w:ascii="Times New Roman" w:hAnsi="Times New Roman"/>
          <w:color w:val="000000" w:themeColor="text1"/>
          <w:sz w:val="16"/>
          <w:szCs w:val="16"/>
        </w:rPr>
      </w:pPr>
    </w:p>
    <w:p w14:paraId="521EF2B4" w14:textId="77777777" w:rsidR="00A76142" w:rsidRPr="00C33834" w:rsidRDefault="00A76142"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15 февраля</w:t>
      </w:r>
      <w:r w:rsidRPr="00C33834">
        <w:rPr>
          <w:rFonts w:ascii="Times New Roman" w:hAnsi="Times New Roman"/>
          <w:color w:val="000000" w:themeColor="text1"/>
          <w:sz w:val="16"/>
          <w:szCs w:val="16"/>
        </w:rPr>
        <w:t xml:space="preserve"> в 1933 году в Майами анархист Джузеппе Зангара (Giuseppe Zanarga) совершил покушение на жизнь недавно избранного президента США Франклина Рузвельта. В ноябре 1932 года новым президентом США стал больной полиомиелитом Франклин Делано Рузвельт. И хотя он постоянно передвигался на инвалидной коляске, все время норовил удрать от своей охраны. Его супруга Элеонор вспоминала: "Ничего так не веселило моего мужа в Гайд-парке или Уорм-Спрингс, как желание удрать от автомобиля с агентами Секретной службы, всегда сопровождавшими его". А между тем однажды президента спасла только его инвалидность. 15 февраля 1933 года, вскоре после победы на выборах, но еще до инаугурации. Рузвельт, выступая с речью в Майами (штат Флорида), сидел на спинке заднего автомобиля, так как из-за болезни не мог стоять в полный рост. После окончания речи, журналисты бросились к президентскому автомобилю, и никто не заметил, как в двадцати шагах от президента безработный каменщик Джузеппе Зангара с пистолетом стоимостью 10 долларов в руках взгромоздился на пустой ящик и стал стрелять. Сидевший Рузвельт оказался ниже стоявших перед ним людей, поэтому Зангара в него не попал. Правда, он смертельно ранил мэра Чикаго Энтони Чермака и легко ранил четверых журналистов. Как установило следствие, Джузеппе пытался убийством президента отомстить за свое беспросветное существование. В одежде убийцы нашли газетную вырезку с сообщением об убийстве анархистом президента Маккинли в 1901 году, а полиция сообщила, что покушавшийся заявил: «Я буду убивать каждого президента». В годы Второй мировой войны охрана первого лица государства стала архиважным делом. Машину Рузвельта «LincolnFordV8 TheSunshineSpecial» 1928 года, который до 1932 года принадлежал знаменитому гангстеру Аль Капоне, сделали бронированной. А самому ему завели двойника, который время от времени появлялся на людях, скрывая истинное местонахождение главы государства (15041).</w:t>
      </w:r>
    </w:p>
    <w:p w14:paraId="0851C10E" w14:textId="77777777" w:rsidR="00A76142" w:rsidRPr="00C33834" w:rsidRDefault="00A76142" w:rsidP="00C33834">
      <w:pPr>
        <w:spacing w:after="0" w:line="240" w:lineRule="auto"/>
        <w:jc w:val="both"/>
        <w:rPr>
          <w:rFonts w:ascii="Times New Roman" w:hAnsi="Times New Roman"/>
          <w:color w:val="000000" w:themeColor="text1"/>
          <w:sz w:val="16"/>
          <w:szCs w:val="16"/>
        </w:rPr>
      </w:pPr>
    </w:p>
    <w:p w14:paraId="4367EB83" w14:textId="77777777" w:rsidR="00FC65C5" w:rsidRPr="00C33834" w:rsidRDefault="001A42D5" w:rsidP="00C33834">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04C2C7A0"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3F710018"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февраля 1933 г. была ШИФРОВКА. № 4282 с денесением № 21239</w:t>
      </w:r>
    </w:p>
    <w:p w14:paraId="6D1D70A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Хабаровска Ягоде (доложено Сталину)</w:t>
      </w:r>
    </w:p>
    <w:p w14:paraId="1D78CCD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iCs/>
          <w:color w:val="000000" w:themeColor="text1"/>
          <w:sz w:val="16"/>
          <w:szCs w:val="16"/>
        </w:rPr>
        <w:t xml:space="preserve">Рез. Сталина: </w:t>
      </w:r>
      <w:r w:rsidRPr="00C33834">
        <w:rPr>
          <w:rFonts w:ascii="Times New Roman" w:hAnsi="Times New Roman"/>
          <w:iCs/>
          <w:color w:val="000000" w:themeColor="text1"/>
          <w:sz w:val="16"/>
          <w:szCs w:val="16"/>
          <w:u w:val="single"/>
        </w:rPr>
        <w:t>т. Молотову.</w:t>
      </w:r>
      <w:r w:rsidRPr="00C33834">
        <w:rPr>
          <w:rFonts w:ascii="Times New Roman" w:hAnsi="Times New Roman"/>
          <w:iCs/>
          <w:color w:val="000000" w:themeColor="text1"/>
          <w:sz w:val="16"/>
          <w:szCs w:val="16"/>
        </w:rPr>
        <w:t xml:space="preserve"> Надо бы опубликовать.</w:t>
      </w:r>
    </w:p>
    <w:p w14:paraId="3E57BAF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19 января Камчатке здании Устьбольшерецкой авиационной базы гражданского воздушного флота возник пожар, быстро ликвидированный силами местного морского КПП. Осмотре здания обнаружено возникновение пожара и поджога специально облитой керосином части стены нежилой кухни. Следствием установлено поджог здания охранявший базу милиционер Ирофимов перед сменой поста, по заданию кладовщика местного совхоза Селиванов (бывш. поп скрывает вторично соцпрошлое), при соучастии второго милиционера Прыгунова. Арестованные Селиванов, Прыгунов долго запирались, наконец Селиванов сознался поджоге авиационной базы заданию японца Кайзава повторяю Кайзава, проживающего Усть-Большерецком, тесно связанного администрацией завода номер 25 Ничиро, причастности выполнению этих заданий также Башкатова Николая, бывшего Пред. местной артели Мельцева Егора, Предсельсовете, давно приехавших материка, где имели крупные хутора. Тем же показанием установке японцев должен быть сожжены авиационные базы, завод АКО. Арестованный допрошенный японцем Кайзава показал подготовке поджога всех русских построек, находящихся на косе (место расположения морского КПП и авиационной базы Устьбольшерецка). Задание поджога Кайзава получил от японского консула на Камчатке Шимада повторяю Шимада, управляющего завода № 25 Пичира Усть-Большерецка Такояма повторяю Такояма, Стыкагай повторяю Стыкагай. Подбор людей выполнения был возложен ими на Судзуки, Кайзава, ими же был завербован Селиванов, Башкатов, Кальцев, Марков. Марков невыясненной задачей командирован Петропаловск, работает зав. конным двором комхоз, Петропавловске связался японцем АБЕ повторяю АБЕ, являющийся установленным японским резидентом, неоднократно посещал последнего, прибытии парохода “Смоленск” информирована АБЕ прибывшем грузе. Несомненно вскрытое дело является только частью шпионской повстанческой диверсионной организации, существующей Камчатке, руководимое японцами. Мной дано распоряжение Камчатскому Облотделу ОГПУ проведение самой тщательной агентурно следственной разработки целях вскрытия всех шпионских диверсионных ячеек, выявление руководящих центров, установлении роли японцев. Результат получения материалов будем доносить. </w:t>
      </w:r>
    </w:p>
    <w:p w14:paraId="46AC3B3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Западный.</w:t>
      </w:r>
    </w:p>
    <w:p w14:paraId="5867C01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 РФ, ф.3, оп.58, д.240, л.153-154 (11462).</w:t>
      </w:r>
    </w:p>
    <w:p w14:paraId="1F41CEE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3AAC7BB8" w14:textId="77777777" w:rsidR="00FC65C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61313F8" w14:textId="77777777" w:rsidR="00FC65C5" w:rsidRPr="00C33834" w:rsidRDefault="00FC65C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4F1C79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февраля 1933 Румыния, Югославия и Чехословакия создали малую Антанту (3186).</w:t>
      </w:r>
    </w:p>
    <w:p w14:paraId="6A81E189"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13B63923" w14:textId="77777777" w:rsidR="00FC65C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0BAAA90" w14:textId="77777777" w:rsidR="00FC65C5" w:rsidRPr="00C33834" w:rsidRDefault="00FC65C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42E2EA8"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февраля 1933 Б.Кудрин перегнал ХАИ-1 в Москву (143,23) на ЦА (562,45).</w:t>
      </w:r>
    </w:p>
    <w:p w14:paraId="1AC09C6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6A3DE0A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февраля 1933 года А.И. Писарев писал письмо Сталину, Кагановичу, Молотову, Базилевичу, Ворошилову, Тухачевскому</w:t>
      </w:r>
    </w:p>
    <w:p w14:paraId="62E1604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Докладная записка о результатах проверки нового принципа летных машин и о дальнейших путях реализации этой идеи</w:t>
      </w:r>
    </w:p>
    <w:p w14:paraId="7B387C28"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Несколько лет тому назад, еще в период моей работы на Людиновском машиностроительном заводе, у инженера А.П. Максимова (ныне технический директор того же завода) возникла идея о постройке летного аппарата, основанного на совершенно ином принципе …………………………………………..</w:t>
      </w:r>
    </w:p>
    <w:p w14:paraId="40FFF2F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только благодаря тому, что шефство над идеей Максимова взяли Каганович Л.М., Молотов и Базилевич и благодаря живейшему и непосредственному участию в этом деле Тухачевского, дело не заглохло. Тухачевский поручил провести это дело персонально инженеру УВВС Попову. С большими трудностями, в условиях полного отсутствия производственной базы, помещения для сборки и испытаний, экспериментальная машина была построена.</w:t>
      </w:r>
    </w:p>
    <w:p w14:paraId="3619691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Сейчас произведены предварительные испытания этой машины. Результаты испытания следующие:</w:t>
      </w:r>
    </w:p>
    <w:p w14:paraId="07E266E3"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Машина, имеющая площадь крыльев всего 0,25 кв. м показала при 1580 об/мин. ротора подъемную силу свыше 90 кг, т.е. свыше 350 кг нагрузки на 1 кв. метр, что является величиной в несколько раз превышающей нагрузку на 1 м кв. у существующих самолетов.</w:t>
      </w:r>
    </w:p>
    <w:p w14:paraId="1391D4C8"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Габариты построенной машины 0,8х1,0 м.</w:t>
      </w:r>
    </w:p>
    <w:p w14:paraId="5C9CA69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00B0CA74"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ближайшее время необходимо провести следующие работы:</w:t>
      </w:r>
    </w:p>
    <w:p w14:paraId="19536975"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Закончить испытание построенной уже машины после ее переделки, получив от нее все данные, которые она может дать.</w:t>
      </w:r>
    </w:p>
    <w:p w14:paraId="30017284"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Построить миниатюрную модель машины для испытания на точных аэродинамических весах.</w:t>
      </w:r>
    </w:p>
    <w:p w14:paraId="4292FC18"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Проверить экспериментом работы Рорбаха.</w:t>
      </w:r>
    </w:p>
    <w:p w14:paraId="1BDE0784"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Спроектировать и построить роторную летную машину (7486, 111-117).</w:t>
      </w:r>
    </w:p>
    <w:p w14:paraId="2FD30635" w14:textId="77777777" w:rsidR="00FC65C5" w:rsidRPr="00C33834" w:rsidRDefault="00FC65C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DA1DC05" w14:textId="77777777" w:rsidR="00FC65C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55829191"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0D175B2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февраля 1933 Приказом ОГПУ № 0070 ИНО предоставлялось право ведения следствия по возникающим в отделе делам. Таким образом, и внешняя разведка была впрямую подключена к проведению репрессий (7557).</w:t>
      </w:r>
    </w:p>
    <w:p w14:paraId="54104A6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1002E82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февраля 1933 вышел Приказ по Строительству канала и управлению лагеря № 19 оо «бережному отношению» к «конскому составу» и в числе прочего требует «принять немедленные и решительные меры к прекращению рекордсменства возчиков (особенно на лесозаготовках), делающих на своих лошадях 200 и более процентов положенных дневных норм при выматывании лошадей. Возчику не трудно ставить рекорды на спине лошади, когда он сам в этом принимает весьма малое участие и когда лошадь, как правило, после этих рекордов выходит из строя надолго или навсегда». Приказ подписан начальником строительства Коганом и зам. начальника УДМИТЛАГа ОГПУ В. Т. Радецким (7560).</w:t>
      </w:r>
    </w:p>
    <w:p w14:paraId="5A8FC88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590C9FA9" w14:textId="77777777" w:rsidR="00FC65C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455EE36" w14:textId="77777777" w:rsidR="00FC65C5" w:rsidRPr="00C33834" w:rsidRDefault="00FC65C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FA062F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февраля 1933 Лига наций обвинила Японию по радио (2100).</w:t>
      </w:r>
    </w:p>
    <w:p w14:paraId="47014CE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17F1577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февраля 1933 года основные кредиторы Германии согласились подписать очередное соглашение о невостребовании кредитов. Первое из подобных соглашений было заключено в середине сентября 1931 года, затем в 1932 году его действие дважды продлевалось. По сути это был перевод краткосрочных займов в долгосрочные (11208).</w:t>
      </w:r>
    </w:p>
    <w:p w14:paraId="20B49C7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4BE331DC" w14:textId="77777777" w:rsidR="00426D01" w:rsidRPr="00C33834" w:rsidRDefault="00426D0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февраля 1933 года основные кредиторы Германии согласились подписать очередное соглашение о невостребовании кредитов [498]. Первое из подобных соглашений было заключено в середине сентября 1931 года, затем в 1932 году его действие дважды продлевалось [499]. По сути это был перевод краткосрочных займов в долгосрочные.</w:t>
      </w:r>
    </w:p>
    <w:p w14:paraId="65FC9A57" w14:textId="77777777" w:rsidR="00426D01" w:rsidRPr="00C33834" w:rsidRDefault="00426D0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официальным немецким данным, сумма иностранной задолженности Германии составляла на 28 февраля 1933 года 18 967 млн марок, из которых на краткосрочные кредиты (со сроком уплаты до 28 февраля 1934 года) приходились 8702 млн марок и на долгосрочные -- 10 265 млн марок [495]. В том числе германский долг Англии на 30 сентября 1933 года равнялся 132 млн фунтов стерлингов, или 1718 млн марок [496]. Для сравнения: весь германский экспорт в 1933 году составил 4871 млн марок [497] (18279).</w:t>
      </w:r>
    </w:p>
    <w:p w14:paraId="26B9D825" w14:textId="77777777" w:rsidR="00426D01" w:rsidRPr="00C33834" w:rsidRDefault="00426D01" w:rsidP="00C33834">
      <w:pPr>
        <w:spacing w:after="0" w:line="240" w:lineRule="auto"/>
        <w:jc w:val="both"/>
        <w:rPr>
          <w:rFonts w:ascii="Times New Roman" w:hAnsi="Times New Roman"/>
          <w:color w:val="000000" w:themeColor="text1"/>
          <w:sz w:val="16"/>
          <w:szCs w:val="16"/>
        </w:rPr>
      </w:pPr>
    </w:p>
    <w:p w14:paraId="42A5C36E" w14:textId="77777777" w:rsidR="003E25C3" w:rsidRPr="00C33834" w:rsidRDefault="003E25C3"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17 февраля 1933 г. фашизм в Германии: Геринг приказал прусской полиции поддержать фашистов, и применять оружие, баварцы безуспешно ищут защиты от Гитлера у Гинденбурга </w:t>
      </w:r>
      <w:r w:rsidRPr="00C33834">
        <w:rPr>
          <w:rFonts w:ascii="Times New Roman" w:eastAsia="Times New Roman" w:hAnsi="Times New Roman"/>
          <w:bCs/>
          <w:iCs/>
          <w:color w:val="000000" w:themeColor="text1"/>
          <w:sz w:val="16"/>
          <w:szCs w:val="16"/>
          <w:lang w:eastAsia="ru-RU"/>
        </w:rPr>
        <w:t>ПоА.Дорпален «Германия на заре фашизма», 2008:</w:t>
      </w:r>
    </w:p>
    <w:p w14:paraId="6C473171" w14:textId="77777777" w:rsidR="003E25C3" w:rsidRPr="00C33834" w:rsidRDefault="003E25C3" w:rsidP="00C33834">
      <w:pPr>
        <w:shd w:val="clear" w:color="auto" w:fill="FFFFFF"/>
        <w:spacing w:after="0" w:line="240" w:lineRule="auto"/>
        <w:jc w:val="both"/>
        <w:rPr>
          <w:rFonts w:ascii="Times New Roman" w:eastAsia="Times New Roman" w:hAnsi="Times New Roman"/>
          <w:bCs/>
          <w:color w:val="000000" w:themeColor="text1"/>
          <w:sz w:val="16"/>
          <w:szCs w:val="16"/>
          <w:lang w:eastAsia="ru-RU"/>
        </w:rPr>
      </w:pPr>
      <w:r w:rsidRPr="00C33834">
        <w:rPr>
          <w:rFonts w:ascii="Times New Roman" w:eastAsia="Times New Roman" w:hAnsi="Times New Roman"/>
          <w:bCs/>
          <w:color w:val="000000" w:themeColor="text1"/>
          <w:sz w:val="16"/>
          <w:szCs w:val="16"/>
          <w:lang w:eastAsia="ru-RU"/>
        </w:rPr>
        <w:t>«</w:t>
      </w:r>
      <w:r w:rsidRPr="00C33834">
        <w:rPr>
          <w:rFonts w:ascii="Times New Roman" w:eastAsia="Times New Roman" w:hAnsi="Times New Roman"/>
          <w:color w:val="000000" w:themeColor="text1"/>
          <w:sz w:val="16"/>
          <w:szCs w:val="16"/>
          <w:lang w:eastAsia="ru-RU"/>
        </w:rPr>
        <w:t>17 февраля</w:t>
      </w:r>
      <w:r w:rsidRPr="00C33834">
        <w:rPr>
          <w:rFonts w:ascii="Times New Roman" w:eastAsia="Times New Roman" w:hAnsi="Times New Roman"/>
          <w:bCs/>
          <w:color w:val="000000" w:themeColor="text1"/>
          <w:sz w:val="16"/>
          <w:szCs w:val="16"/>
          <w:lang w:eastAsia="ru-RU"/>
        </w:rPr>
        <w:t xml:space="preserve"> Геринг приказал прусской полиции, теперь насквозь профильтрованной нацистами, установить отношения сотрудничества с коричневорубашечниками и бойцами «Стального шлема» в случае столкновений и поддержать их против оппозиции.» «</w:t>
      </w:r>
      <w:r w:rsidRPr="00C33834">
        <w:rPr>
          <w:rFonts w:ascii="Times New Roman" w:eastAsia="Times New Roman" w:hAnsi="Times New Roman"/>
          <w:color w:val="000000" w:themeColor="text1"/>
          <w:sz w:val="16"/>
          <w:szCs w:val="16"/>
          <w:lang w:eastAsia="ru-RU"/>
        </w:rPr>
        <w:t>17 февраля</w:t>
      </w:r>
      <w:r w:rsidRPr="00C33834">
        <w:rPr>
          <w:rFonts w:ascii="Times New Roman" w:eastAsia="Times New Roman" w:hAnsi="Times New Roman"/>
          <w:bCs/>
          <w:color w:val="000000" w:themeColor="text1"/>
          <w:sz w:val="16"/>
          <w:szCs w:val="16"/>
          <w:lang w:eastAsia="ru-RU"/>
        </w:rPr>
        <w:t xml:space="preserve"> Гинденбург был вынужден принять лидера Баварской народной партии и члена Баварского правительства Шеффера. Встреча прошла неудовлетворительно для обоих ее участников.»</w:t>
      </w:r>
    </w:p>
    <w:p w14:paraId="0240BE21" w14:textId="77777777" w:rsidR="003E25C3" w:rsidRPr="00C33834" w:rsidRDefault="003E25C3" w:rsidP="00C33834">
      <w:pPr>
        <w:pStyle w:val="ae"/>
        <w:shd w:val="clear" w:color="auto" w:fill="FFFFFF"/>
        <w:spacing w:before="0" w:after="0"/>
        <w:jc w:val="both"/>
        <w:rPr>
          <w:color w:val="000000" w:themeColor="text1"/>
          <w:sz w:val="16"/>
          <w:szCs w:val="16"/>
          <w:lang w:eastAsia="ru-RU"/>
        </w:rPr>
      </w:pPr>
      <w:r w:rsidRPr="00C33834">
        <w:rPr>
          <w:bCs/>
          <w:iCs/>
          <w:color w:val="000000" w:themeColor="text1"/>
          <w:sz w:val="16"/>
          <w:szCs w:val="16"/>
        </w:rPr>
        <w:t>По К.Гейден «История германского фашизма», М., ГСЭИ, 1935:</w:t>
      </w:r>
    </w:p>
    <w:p w14:paraId="08CAB80E" w14:textId="77777777" w:rsidR="003E25C3" w:rsidRPr="00C33834" w:rsidRDefault="003E25C3" w:rsidP="00C33834">
      <w:pPr>
        <w:pStyle w:val="ae"/>
        <w:shd w:val="clear" w:color="auto" w:fill="FFFFFF"/>
        <w:spacing w:before="0" w:after="0"/>
        <w:jc w:val="both"/>
        <w:rPr>
          <w:rFonts w:eastAsia="Times New Roman"/>
          <w:color w:val="000000" w:themeColor="text1"/>
          <w:sz w:val="16"/>
          <w:szCs w:val="16"/>
          <w:lang w:eastAsia="ru-RU"/>
        </w:rPr>
      </w:pPr>
      <w:r w:rsidRPr="00C33834">
        <w:rPr>
          <w:bCs/>
          <w:color w:val="000000" w:themeColor="text1"/>
          <w:sz w:val="16"/>
          <w:szCs w:val="16"/>
        </w:rPr>
        <w:t xml:space="preserve">«В то время как Гитлер призывал к спокойствию, Геринг издал </w:t>
      </w:r>
      <w:r w:rsidRPr="00C33834">
        <w:rPr>
          <w:color w:val="000000" w:themeColor="text1"/>
          <w:sz w:val="16"/>
          <w:szCs w:val="16"/>
        </w:rPr>
        <w:t>17 февраля</w:t>
      </w:r>
      <w:r w:rsidRPr="00C33834">
        <w:rPr>
          <w:bCs/>
          <w:color w:val="000000" w:themeColor="text1"/>
          <w:sz w:val="16"/>
          <w:szCs w:val="16"/>
        </w:rPr>
        <w:t xml:space="preserve"> свой знаменитый приказ о применении оружия. «Полицейским чиновникам, которые при исполнении свои обязанностей пустят в ход оружие, я окажу покровительство, независимо от последствий применения оружия. Напротив, всякий, кто проявит ложное мягкосердечие, должен ждать наказания по службе.»</w:t>
      </w:r>
      <w:r w:rsidRPr="00C33834">
        <w:rPr>
          <w:rFonts w:eastAsia="Times New Roman"/>
          <w:bCs/>
          <w:color w:val="000000" w:themeColor="text1"/>
          <w:sz w:val="16"/>
          <w:szCs w:val="16"/>
          <w:lang w:eastAsia="ru-RU"/>
        </w:rPr>
        <w:t xml:space="preserve"> (17325).</w:t>
      </w:r>
    </w:p>
    <w:p w14:paraId="6403B02D" w14:textId="77777777" w:rsidR="003E25C3" w:rsidRPr="00C33834" w:rsidRDefault="003E25C3" w:rsidP="00C33834">
      <w:pPr>
        <w:autoSpaceDE w:val="0"/>
        <w:autoSpaceDN w:val="0"/>
        <w:adjustRightInd w:val="0"/>
        <w:spacing w:after="0" w:line="240" w:lineRule="auto"/>
        <w:jc w:val="both"/>
        <w:rPr>
          <w:rFonts w:ascii="Times New Roman" w:hAnsi="Times New Roman"/>
          <w:color w:val="000000" w:themeColor="text1"/>
          <w:sz w:val="16"/>
          <w:szCs w:val="16"/>
        </w:rPr>
      </w:pPr>
    </w:p>
    <w:p w14:paraId="7C8A9CE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февраля 1933 вышел первый номер Newsweek (3481).</w:t>
      </w:r>
    </w:p>
    <w:p w14:paraId="6CB34B4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355B9D2A" w14:textId="77777777" w:rsidR="00A76142" w:rsidRPr="00C33834" w:rsidRDefault="00A76142"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17 февраля</w:t>
      </w:r>
      <w:r w:rsidRPr="00C33834">
        <w:rPr>
          <w:rFonts w:ascii="Times New Roman" w:hAnsi="Times New Roman"/>
          <w:color w:val="000000" w:themeColor="text1"/>
          <w:sz w:val="16"/>
          <w:szCs w:val="16"/>
        </w:rPr>
        <w:t xml:space="preserve"> в 1933 году выходит первый номер журнала «Newsweek» (носит название «News-Week») (15043).</w:t>
      </w:r>
    </w:p>
    <w:p w14:paraId="16A91AEB" w14:textId="77777777" w:rsidR="00A76142" w:rsidRPr="00C33834" w:rsidRDefault="00A76142" w:rsidP="00C33834">
      <w:pPr>
        <w:spacing w:after="0" w:line="240" w:lineRule="auto"/>
        <w:jc w:val="both"/>
        <w:rPr>
          <w:rFonts w:ascii="Times New Roman" w:hAnsi="Times New Roman"/>
          <w:color w:val="000000" w:themeColor="text1"/>
          <w:sz w:val="16"/>
          <w:szCs w:val="16"/>
        </w:rPr>
      </w:pPr>
    </w:p>
    <w:p w14:paraId="707A67DC" w14:textId="77777777" w:rsidR="00FC65C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22EF4F7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51C97641"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февраля 1933 года Запорожец из Ленинграда сообщил по прямому проводу Ягоде, что на станции Ленинград-Товарная Московской линии Октябрьской железной дороге ликвидирована контрреволюционная вредительская организация, возглавляемая сыном крупного помещика Калужской губернии Пеховым. Пехов сгруппировал весовщиков из бывших кулаков и торговцев, которые умышленно засылали не по назначению посевные и важные промышленные грузы, вели агитацию, разваливая труд и дисциплину. Производили массовые хищения грузов на сотни тысяч рублей. При обыске найдено 3 тыс. метров похищенного шелка, у одного арестованного - 23 тыс. руб. денег. Для того чтобы скрыть преступление сообщники ставили задачу сжечь склады Товарной станции и склады Союзтранса. По делу было осуждено 33 человека (11248).</w:t>
      </w:r>
    </w:p>
    <w:p w14:paraId="38CA8184"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4BD77FF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18 и 24 февраля 1933. Из протокола заседания Политбюро N 131, 1933 г</w:t>
      </w:r>
    </w:p>
    <w:p w14:paraId="2556015A"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Телеграмма Нижневолжского крайкома </w:t>
      </w:r>
    </w:p>
    <w:p w14:paraId="6F7E978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ОГПУ распространить на Нижнюю Волгу постановление СНК и ЦК ВКП(б) от 22 января 1933 года о самовольном выезде крестьян из пределов своей области, задержке их и принудительном возврате на старые места жительства (11652).</w:t>
      </w:r>
    </w:p>
    <w:p w14:paraId="668750C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7033F554"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18 и 24 февраля 1933. Из протокола заседания Политбюро N 131, 1933 г</w:t>
      </w:r>
    </w:p>
    <w:p w14:paraId="1457997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Телеграмма Н.-Волжского крайкома ВКП(б) </w:t>
      </w:r>
    </w:p>
    <w:p w14:paraId="7FA65CB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Разрешить Н.-Волжскому крайкому выселить за пределы края две тысячи домохозяйств с семьями единоличников, также колхозников, исключенных из колхоза за злостный саботаж выполнения задания по засыпке зерна (11562).</w:t>
      </w:r>
    </w:p>
    <w:p w14:paraId="2C3EC79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7F7AFAC9"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18 и 24 февраля 1933. Из протокола заседания Политбюро N 131, 1933 г</w:t>
      </w:r>
    </w:p>
    <w:p w14:paraId="2BF3ED8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Вопрос НКюста </w:t>
      </w:r>
    </w:p>
    <w:p w14:paraId="47ED0FD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Создать комиссию по вопросам немедленной разгрузки тюрем, поручив ей дать свои предложения в трехдневный срок (11652).</w:t>
      </w:r>
    </w:p>
    <w:p w14:paraId="6C8682B9"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7F51F38E" w14:textId="77777777" w:rsidR="00FC65C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05F994A3" w14:textId="77777777" w:rsidR="00FC65C5" w:rsidRPr="00C33834" w:rsidRDefault="00FC65C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2C7E30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18 и 24 февраля 1933. Из протокола заседания Политбюро N 131, 1933 г</w:t>
      </w:r>
    </w:p>
    <w:p w14:paraId="595DEED1"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Об отпуске средств на содержание советских школ за границей в 1933 году </w:t>
      </w:r>
    </w:p>
    <w:p w14:paraId="039FAF4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Утвердить следующий проект постановления СНК СССР: </w:t>
      </w:r>
    </w:p>
    <w:p w14:paraId="20131699"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 В дополнение к отпущенным по неторговой части валютного плана на 1933 г. на содержание школ и другие культурные мероприятия в Монголии, Зап. Китае и Персии — 202 000 руб. в местной валюте из резервного фонда СНК на 1933 г. 145 000 в соввалюте. </w:t>
      </w:r>
    </w:p>
    <w:p w14:paraId="1756B81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 Предложить НКИД и НКВТ, в дополнение к средствам, отпускаемым по госбюджету и получаемым от родителей учащихся в порядке самообложения,— выделить из своих смет на 1933 г. до 45 000 руб. в инвалюте, из них по НКИД — 15 000 руб. и по НКВТ — 30 000 руб. на содержание советских школ в Германии, Англии и Франции, а также детского сада в Германии. </w:t>
      </w:r>
    </w:p>
    <w:p w14:paraId="74E0E8E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Предложить НКИД представить в НКФин Союза не позднее 1 апреля 1933 г. финансовый отчет о фактических доходах и расходах по указанным школам за 1932 г., а также данные о контингенте учащих и учащихся по каждой школе в отдельности на 1 января 1933 г. </w:t>
      </w:r>
    </w:p>
    <w:p w14:paraId="7354AA21"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г) Отпускаемые на содержание школ средства отнести к смете НКИД, возложив на него общее руководство школами, наблюдение за правильным расходованием средств, составление отчетности и смет по школам на будущее время. </w:t>
      </w:r>
    </w:p>
    <w:p w14:paraId="120FB2B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Наркомпрос РСФСР возлагается подбор кадров и руководство методической частью (11652).</w:t>
      </w:r>
    </w:p>
    <w:p w14:paraId="7F471021"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6442CE67" w14:textId="77777777" w:rsidR="00FC65C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1F52E8A" w14:textId="77777777" w:rsidR="00FC65C5" w:rsidRPr="00C33834" w:rsidRDefault="00FC65C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6075E44"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19 февраля 1933 г. в составе Главсевморпути организовали Управление воздушной службы (УВС ГУСМП), которое 10 января 1936 г. преобразовали в Управление Арктической Авиации, сокращенно "АВИОАРКТИКА" (именно так, с непривычной буквой "О"). Новое название не прижилось, и уже 22 июня того же года его переименовали в Управление полярной авиации (УПА ГУСМП) с задачами: разрабатывать планы работы Главсевморпути в области авиации, непосредственно руководить работой авиационных линий, авиаотрядов и авиаремонтных заводов, вести подготовку кадров для полярной авиации через подчиненную ему школу морских летчиков. Для этого в состав УПА, кроме авиагрупп и авиаотрядов, включили Николаевскую школу морских летчиков (11970).</w:t>
      </w:r>
    </w:p>
    <w:p w14:paraId="43B8338A"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0C9E1100" w14:textId="77777777" w:rsidR="00FC65C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6FED4A4" w14:textId="77777777" w:rsidR="00FC65C5" w:rsidRPr="00C33834" w:rsidRDefault="00FC65C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9304E6E" w14:textId="77777777" w:rsidR="00FC65C5" w:rsidRPr="00C33834" w:rsidRDefault="00FC65C5"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февраля 1933 г. состоялись испытания возкой артил</w:t>
      </w:r>
      <w:r w:rsidRPr="00C33834">
        <w:rPr>
          <w:rFonts w:ascii="Times New Roman" w:hAnsi="Times New Roman"/>
          <w:color w:val="000000" w:themeColor="text1"/>
          <w:sz w:val="16"/>
          <w:szCs w:val="16"/>
        </w:rPr>
        <w:softHyphen/>
        <w:t>лерийских систем Б-3 (5К) и 20К, а 3 марта начались испы</w:t>
      </w:r>
      <w:r w:rsidRPr="00C33834">
        <w:rPr>
          <w:rFonts w:ascii="Times New Roman" w:hAnsi="Times New Roman"/>
          <w:color w:val="000000" w:themeColor="text1"/>
          <w:sz w:val="16"/>
          <w:szCs w:val="16"/>
        </w:rPr>
        <w:softHyphen/>
        <w:t>тания «стрельбой и пробегом». Целью этих испытаний было выявление прочности башни, а также безотказности работы всех систем башни после пробега, а также впервые в практи</w:t>
      </w:r>
      <w:r w:rsidRPr="00C33834">
        <w:rPr>
          <w:rFonts w:ascii="Times New Roman" w:hAnsi="Times New Roman"/>
          <w:color w:val="000000" w:themeColor="text1"/>
          <w:sz w:val="16"/>
          <w:szCs w:val="16"/>
        </w:rPr>
        <w:softHyphen/>
        <w:t>ке проектирования танков в СССР рассматривался вопрос удобства обслуживания пушки в башне на походе ив бою. испытания показали сходные результаты по обеим пушкам, хотя полуавтоматика 45-мм орудия 20К работала плохо. Один из анонимных членов комиссии (замечания на</w:t>
      </w:r>
      <w:r w:rsidRPr="00C33834">
        <w:rPr>
          <w:rFonts w:ascii="Times New Roman" w:hAnsi="Times New Roman"/>
          <w:color w:val="000000" w:themeColor="text1"/>
          <w:sz w:val="16"/>
          <w:szCs w:val="16"/>
        </w:rPr>
        <w:softHyphen/>
        <w:t>писаны от руки карандашом и подписи не имеют) с сожа</w:t>
      </w:r>
      <w:r w:rsidRPr="00C33834">
        <w:rPr>
          <w:rFonts w:ascii="Times New Roman" w:hAnsi="Times New Roman"/>
          <w:color w:val="000000" w:themeColor="text1"/>
          <w:sz w:val="16"/>
          <w:szCs w:val="16"/>
        </w:rPr>
        <w:softHyphen/>
        <w:t>лением отмечал: «Новая башня с мощным вооружением вы</w:t>
      </w:r>
      <w:r w:rsidRPr="00C33834">
        <w:rPr>
          <w:rFonts w:ascii="Times New Roman" w:hAnsi="Times New Roman"/>
          <w:color w:val="000000" w:themeColor="text1"/>
          <w:sz w:val="16"/>
          <w:szCs w:val="16"/>
        </w:rPr>
        <w:softHyphen/>
        <w:t>двигает наши танки в разряд передовых образцов... Однако не вполне понятно почему была избрана именно эта 45-мм пуш</w:t>
      </w:r>
      <w:r w:rsidRPr="00C33834">
        <w:rPr>
          <w:rFonts w:ascii="Times New Roman" w:hAnsi="Times New Roman"/>
          <w:color w:val="000000" w:themeColor="text1"/>
          <w:sz w:val="16"/>
          <w:szCs w:val="16"/>
        </w:rPr>
        <w:softHyphen/>
        <w:t>ка, отличающаяся плохой безотказностью в работе... Вновь должен заметить, что 45-мм пушка, предложенная заводом «Красный Путиловец» много перспективнее и работает луч</w:t>
      </w:r>
      <w:r w:rsidRPr="00C33834">
        <w:rPr>
          <w:rFonts w:ascii="Times New Roman" w:hAnsi="Times New Roman"/>
          <w:color w:val="000000" w:themeColor="text1"/>
          <w:sz w:val="16"/>
          <w:szCs w:val="16"/>
        </w:rPr>
        <w:softHyphen/>
        <w:t>ше, но почему-то не изготавливается и на новые танки не устанавливается» (10733,213).</w:t>
      </w:r>
    </w:p>
    <w:p w14:paraId="6D3D83F0" w14:textId="77777777" w:rsidR="00FC65C5" w:rsidRPr="00C33834" w:rsidRDefault="00FC65C5"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FB6DF2" w14:textId="77777777" w:rsidR="00FC65C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27B5BC26" w14:textId="77777777" w:rsidR="00FC65C5" w:rsidRPr="00C33834" w:rsidRDefault="00FC65C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1FFD28D"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февраля 1933 Сталин поставил целью «сделать всех колхозников зажиточными» (4962).</w:t>
      </w:r>
    </w:p>
    <w:p w14:paraId="4E3D2F68"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508DDD" w14:textId="77777777" w:rsidR="00654D18" w:rsidRPr="00C33834" w:rsidRDefault="00654D18"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февраля 1933 года</w:t>
      </w:r>
      <w:r w:rsidRPr="00C33834">
        <w:rPr>
          <w:rFonts w:ascii="Times New Roman" w:hAnsi="Times New Roman"/>
          <w:bCs/>
          <w:color w:val="000000" w:themeColor="text1"/>
          <w:sz w:val="16"/>
          <w:szCs w:val="16"/>
        </w:rPr>
        <w:t xml:space="preserve"> на первом Всесоюзном съезде колхозников—ударников товарищ Сталин выдвинул и обосновал лозунг: сделать колхозы большевистскими, а колхозников зажиточными. «Чтобы стать колхозникам зажиточными, говорил Сталин, для этого требуется теперь только одно — работать в колхозе честно, правильно использовать тракторы и машины, правильно использовать рабочий скот, правильно обрабатывать землю, беречь колхозную собственность” (17325).</w:t>
      </w:r>
    </w:p>
    <w:p w14:paraId="595F2309" w14:textId="77777777" w:rsidR="00654D18" w:rsidRPr="00C33834" w:rsidRDefault="00654D18"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EF96BA" w14:textId="77777777" w:rsidR="00B46E0E" w:rsidRPr="00C33834" w:rsidRDefault="00B46E0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19 февраля 1933 года на 1-м съезде колхозников-ударников с речью выступил И.В. Сталин. Он, в частности, сказал:</w:t>
      </w:r>
    </w:p>
    <w:p w14:paraId="117643A0" w14:textId="77777777" w:rsidR="00B46E0E" w:rsidRPr="00C33834" w:rsidRDefault="00B46E0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"Теперь несколько слов о женщинах, о колхозницах. Женский вопрос в колхозах — большой вопрос, товарищи. Я знаю, что многие из вас недооценивают женщин и даже посмеиваются над ними. Но это ошибка, товарищи, серьёзная ошибка. Дело тут не только в том, что женщины составляют половину населения. Дело прежде всего в том, что колхозное движение выдвинуло на руководящие должности целый ряд замечательных и способных женщин. Посмотрите на съезд, на его состав,—и вы увидите, что женщины давно уже продвинулись из отсталых в передовые. Женщины в колхозах - большая сила. Держать эту силу под спудом, значит допустить преступление. Наша обязанность состоит в том, чтобы выдвигать вперёд женщин в колхозах и пустить эту силу в дело.</w:t>
      </w:r>
    </w:p>
    <w:p w14:paraId="010D13BE" w14:textId="77777777" w:rsidR="00B46E0E" w:rsidRPr="00C33834" w:rsidRDefault="00B46E0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…Что касается самих колхозниц, то они должны помнить о силе и значении колхозов для женщин, должны помнить, что только в колхозе имеют они возможность стать на равную ногу с мужчиной. Без колхозов — неравенство, в колхозах — равенство прав. Пусть помнят об этом товарищи колхозницы и пусть они берегут колхозный строй, как зеницу ока. (Продолжительные аплодисменты.)"</w:t>
      </w:r>
    </w:p>
    <w:p w14:paraId="6DBAFF7E" w14:textId="77777777" w:rsidR="00B46E0E" w:rsidRPr="00C33834" w:rsidRDefault="00B46E0E" w:rsidP="00C33834">
      <w:pPr>
        <w:spacing w:after="0" w:line="240" w:lineRule="auto"/>
        <w:jc w:val="both"/>
        <w:rPr>
          <w:rFonts w:ascii="Times New Roman" w:hAnsi="Times New Roman"/>
          <w:color w:val="0070C0"/>
          <w:sz w:val="16"/>
          <w:szCs w:val="16"/>
        </w:rPr>
      </w:pPr>
    </w:p>
    <w:p w14:paraId="76BD62D3" w14:textId="77777777" w:rsidR="00B46E0E" w:rsidRPr="00C33834" w:rsidRDefault="00B46E0E"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A853DF3" w14:textId="77777777" w:rsidR="00B46E0E" w:rsidRPr="00C33834" w:rsidRDefault="00B46E0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36BC9EB" w14:textId="77777777" w:rsidR="00B46E0E" w:rsidRPr="00C33834" w:rsidRDefault="00B46E0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19 февраля1933 состоялся первый полет Vultee V-1 (20802).</w:t>
      </w:r>
    </w:p>
    <w:p w14:paraId="292DECB4" w14:textId="77777777" w:rsidR="00B46E0E" w:rsidRPr="00C33834" w:rsidRDefault="00B46E0E" w:rsidP="00C33834">
      <w:pPr>
        <w:spacing w:after="0" w:line="240" w:lineRule="auto"/>
        <w:jc w:val="both"/>
        <w:rPr>
          <w:rFonts w:ascii="Times New Roman" w:hAnsi="Times New Roman"/>
          <w:color w:val="0070C0"/>
          <w:sz w:val="16"/>
          <w:szCs w:val="16"/>
        </w:rPr>
      </w:pPr>
    </w:p>
    <w:p w14:paraId="61DE6EEF" w14:textId="77777777" w:rsidR="00B46E0E" w:rsidRPr="00C33834" w:rsidRDefault="00B46E0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19 февраля 1933 - Первый полёт лёгкого транспортного Vultee V-1 (США). Прототипом с бортовым номером X12293 управлял пилот фирмы Lockheed Маршалл Хидл (22593).</w:t>
      </w:r>
    </w:p>
    <w:p w14:paraId="2D52B3D9" w14:textId="77777777" w:rsidR="00B46E0E" w:rsidRPr="00C33834" w:rsidRDefault="00B46E0E" w:rsidP="00C33834">
      <w:pPr>
        <w:spacing w:after="0" w:line="240" w:lineRule="auto"/>
        <w:jc w:val="both"/>
        <w:rPr>
          <w:rFonts w:ascii="Times New Roman" w:hAnsi="Times New Roman"/>
          <w:color w:val="0070C0"/>
          <w:sz w:val="16"/>
          <w:szCs w:val="16"/>
        </w:rPr>
      </w:pPr>
    </w:p>
    <w:p w14:paraId="7DA4FFE3" w14:textId="77777777" w:rsidR="001748B7" w:rsidRPr="00C33834" w:rsidRDefault="001748B7"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DF997B5" w14:textId="77777777" w:rsidR="001748B7" w:rsidRPr="00C33834" w:rsidRDefault="001748B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F2AFB2B" w14:textId="77777777" w:rsidR="001748B7" w:rsidRPr="00C33834" w:rsidRDefault="001748B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20 февраля 1933 г. автожир типа А-4 с заводским № 4301, изготовленный в Кие</w:t>
      </w:r>
      <w:r w:rsidRPr="00C33834">
        <w:rPr>
          <w:rFonts w:ascii="Times New Roman" w:hAnsi="Times New Roman"/>
          <w:color w:val="0070C0"/>
          <w:sz w:val="16"/>
          <w:szCs w:val="16"/>
        </w:rPr>
        <w:softHyphen/>
        <w:t>ве, демонстрировали участникам проходящего сельскохозяйственного съезда. Во время этой торжествен</w:t>
      </w:r>
      <w:r w:rsidRPr="00C33834">
        <w:rPr>
          <w:rFonts w:ascii="Times New Roman" w:hAnsi="Times New Roman"/>
          <w:color w:val="0070C0"/>
          <w:sz w:val="16"/>
          <w:szCs w:val="16"/>
        </w:rPr>
        <w:softHyphen/>
        <w:t>ной демонстрации достижений цивилизации на Централь</w:t>
      </w:r>
      <w:r w:rsidRPr="00C33834">
        <w:rPr>
          <w:rFonts w:ascii="Times New Roman" w:hAnsi="Times New Roman"/>
          <w:color w:val="0070C0"/>
          <w:sz w:val="16"/>
          <w:szCs w:val="16"/>
        </w:rPr>
        <w:softHyphen/>
        <w:t>ном аэродроме произошла очередная неприятность. При раскрутке ротора порыв ветра переместил лопасти в за</w:t>
      </w:r>
      <w:r w:rsidRPr="00C33834">
        <w:rPr>
          <w:rFonts w:ascii="Times New Roman" w:hAnsi="Times New Roman"/>
          <w:color w:val="0070C0"/>
          <w:sz w:val="16"/>
          <w:szCs w:val="16"/>
        </w:rPr>
        <w:softHyphen/>
        <w:t>предельное нижнее положение, и они зацепили верхнюю часть руля поворота. Несмотря на эту небольшую поломку, эксперименты продолжили на следующий день. Для уменьшения вибра</w:t>
      </w:r>
      <w:r w:rsidRPr="00C33834">
        <w:rPr>
          <w:rFonts w:ascii="Times New Roman" w:hAnsi="Times New Roman"/>
          <w:color w:val="0070C0"/>
          <w:sz w:val="16"/>
          <w:szCs w:val="16"/>
        </w:rPr>
        <w:softHyphen/>
        <w:t>ции ротора несколько раз меняли угол атаки лопастей. 22 февраля при выполнении Корзинщиковым полета по кру</w:t>
      </w:r>
      <w:r w:rsidRPr="00C33834">
        <w:rPr>
          <w:rFonts w:ascii="Times New Roman" w:hAnsi="Times New Roman"/>
          <w:color w:val="0070C0"/>
          <w:sz w:val="16"/>
          <w:szCs w:val="16"/>
        </w:rPr>
        <w:softHyphen/>
        <w:t>гу на высоте 100 м автожир начал неожиданно снижаться помимо воли пилота. Для выявления причины произо</w:t>
      </w:r>
      <w:r w:rsidRPr="00C33834">
        <w:rPr>
          <w:rFonts w:ascii="Times New Roman" w:hAnsi="Times New Roman"/>
          <w:color w:val="0070C0"/>
          <w:sz w:val="16"/>
          <w:szCs w:val="16"/>
        </w:rPr>
        <w:softHyphen/>
        <w:t>шедшего вновь пришлось снять ротор и заняться его улуч</w:t>
      </w:r>
      <w:r w:rsidRPr="00C33834">
        <w:rPr>
          <w:rFonts w:ascii="Times New Roman" w:hAnsi="Times New Roman"/>
          <w:color w:val="0070C0"/>
          <w:sz w:val="16"/>
          <w:szCs w:val="16"/>
        </w:rPr>
        <w:softHyphen/>
        <w:t>шением (20361).</w:t>
      </w:r>
    </w:p>
    <w:p w14:paraId="3EF28639" w14:textId="77777777" w:rsidR="001748B7" w:rsidRPr="00C33834" w:rsidRDefault="001748B7" w:rsidP="00C33834">
      <w:pPr>
        <w:shd w:val="clear" w:color="auto" w:fill="FFFFFF"/>
        <w:spacing w:after="0" w:line="240" w:lineRule="auto"/>
        <w:jc w:val="both"/>
        <w:rPr>
          <w:rFonts w:ascii="Times New Roman" w:hAnsi="Times New Roman"/>
          <w:color w:val="0070C0"/>
          <w:sz w:val="16"/>
          <w:szCs w:val="16"/>
        </w:rPr>
      </w:pPr>
    </w:p>
    <w:p w14:paraId="31D0029C" w14:textId="77777777" w:rsidR="00694BFD" w:rsidRPr="00C33834" w:rsidRDefault="00694BFD"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400FB8F" w14:textId="77777777" w:rsidR="00694BFD" w:rsidRPr="00C33834" w:rsidRDefault="00694BFD"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4BF4B1C" w14:textId="77777777" w:rsidR="00694BFD" w:rsidRPr="00C33834" w:rsidRDefault="00694BF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февраля 1933 года по результатам работы комиссии вышло Постановление РВС СССР «О приобретении в Германии технической помощи по проектированию и постройке подводных лодок», которым определялось:</w:t>
      </w:r>
    </w:p>
    <w:p w14:paraId="39B12074" w14:textId="77777777" w:rsidR="00694BFD" w:rsidRPr="00C33834" w:rsidRDefault="00694BF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Считать необходимым приобретение иностранной технической помощи по постройке и проектированию больших и средних подводных лодок у немецкой фирмы ―I v S‖.</w:t>
      </w:r>
    </w:p>
    <w:p w14:paraId="5B36CD38" w14:textId="77777777" w:rsidR="00694BFD" w:rsidRPr="00C33834" w:rsidRDefault="00694BF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Просить разрешение у Правительства СССР заказать фирме ―I v S‖ проекты, чертежи подводных лодок в 1.200 и 755 тонн водоизмещения (с нашим вооружением), приобрести у фирмы техническую помощь по постройке подводных лодок обоих типов на судостроительных заводах в Советском Союзе.</w:t>
      </w:r>
    </w:p>
    <w:p w14:paraId="606BB755" w14:textId="77777777" w:rsidR="00694BFD" w:rsidRPr="00C33834" w:rsidRDefault="00694BF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Для ведения переговоров немедленно пригласить представителей фирмы ―I v S‖ в Москву и добиться сокращения стоимости проектов и технической помощи» [Там же, л. 257] (18262).</w:t>
      </w:r>
    </w:p>
    <w:p w14:paraId="1F65177D" w14:textId="77777777" w:rsidR="00694BFD" w:rsidRPr="00C33834" w:rsidRDefault="00694BFD" w:rsidP="00C33834">
      <w:pPr>
        <w:spacing w:after="0" w:line="240" w:lineRule="auto"/>
        <w:jc w:val="both"/>
        <w:rPr>
          <w:rFonts w:ascii="Times New Roman" w:hAnsi="Times New Roman"/>
          <w:color w:val="000000" w:themeColor="text1"/>
          <w:sz w:val="16"/>
          <w:szCs w:val="16"/>
        </w:rPr>
      </w:pPr>
    </w:p>
    <w:p w14:paraId="0442E790" w14:textId="77777777" w:rsidR="00FC65C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15BA27E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219A73C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февраля 1933 вышел Приказ ОГПУ № 32, который гласил: «Учитывая особо энергичную работу начальника Ухтино-Печорских исправительно-трудовых лагерей ОГПУ тов. Мороза Якова Моисеевича по освоению в исключительно тяжелых условиях дальнего Севера Ухтинско-Печорских нефтяных и каменно-угольных месторождений, приказываю: нефтяной промысел № 3 на реке Ярега именовать «Нефтяным промыслом имени тов. Мороза Я. М.» (Я. М. Мороз был организатором и бессменным начальником созданного летом 1931 года Ухтпечлага вплоть до своего ареста в 1938-м) (7560).</w:t>
      </w:r>
    </w:p>
    <w:p w14:paraId="3D599554"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30C29C25" w14:textId="77777777" w:rsidR="00A7614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4ED0F1C" w14:textId="77777777" w:rsidR="00A76142" w:rsidRPr="00C33834" w:rsidRDefault="00A7614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5696C95" w14:textId="77777777" w:rsidR="00A76142" w:rsidRPr="00C33834" w:rsidRDefault="00A76142"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20 февраля</w:t>
      </w:r>
      <w:r w:rsidRPr="00C33834">
        <w:rPr>
          <w:rFonts w:ascii="Times New Roman" w:hAnsi="Times New Roman"/>
          <w:color w:val="000000" w:themeColor="text1"/>
          <w:sz w:val="16"/>
          <w:szCs w:val="16"/>
        </w:rPr>
        <w:t xml:space="preserve"> в 1933 году первый полёт истребителя</w:t>
      </w:r>
      <w:hyperlink r:id="rId67" w:tgtFrame="_blank" w:history="1">
        <w:r w:rsidRPr="00C33834">
          <w:rPr>
            <w:rFonts w:ascii="Times New Roman" w:hAnsi="Times New Roman"/>
            <w:color w:val="000000" w:themeColor="text1"/>
            <w:sz w:val="16"/>
            <w:szCs w:val="16"/>
          </w:rPr>
          <w:t xml:space="preserve">«Loire 45» </w:t>
        </w:r>
      </w:hyperlink>
      <w:r w:rsidRPr="00C33834">
        <w:rPr>
          <w:rFonts w:ascii="Times New Roman" w:hAnsi="Times New Roman"/>
          <w:color w:val="000000" w:themeColor="text1"/>
          <w:sz w:val="16"/>
          <w:szCs w:val="16"/>
        </w:rPr>
        <w:t>(компания «Loire», Франция). Основными отличиями самолёта стали звездообразный двигатель воздушного охлаждения «Gnome-Rhone» «14 Kds» и измененная конструкция основного шасси. Вооружение истребителя состояло из двух 20-мм пушек «Oerlikon», установленных в специальных крыльевых отсеках. Колеса закрыли обтекателями, двухлопастный винт заменили на трехлопастный (15046).</w:t>
      </w:r>
    </w:p>
    <w:p w14:paraId="38774794" w14:textId="77777777" w:rsidR="00A76142" w:rsidRPr="00C33834" w:rsidRDefault="00A76142" w:rsidP="00C33834">
      <w:pPr>
        <w:spacing w:after="0" w:line="240" w:lineRule="auto"/>
        <w:jc w:val="both"/>
        <w:rPr>
          <w:rFonts w:ascii="Times New Roman" w:hAnsi="Times New Roman"/>
          <w:color w:val="000000" w:themeColor="text1"/>
          <w:sz w:val="16"/>
          <w:szCs w:val="16"/>
        </w:rPr>
      </w:pPr>
    </w:p>
    <w:p w14:paraId="455E84CD" w14:textId="77777777" w:rsidR="001748B7" w:rsidRPr="00C33834" w:rsidRDefault="001748B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20 февраля 1933 года — первый полёт поршневого истребителя Loire 45. /Франция/</w:t>
      </w:r>
    </w:p>
    <w:p w14:paraId="561982B7" w14:textId="77777777" w:rsidR="001748B7" w:rsidRPr="00C33834" w:rsidRDefault="001748B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рамках программы по постройке одноместных истребителей для ВВС Франции, начатой в 1930 году, компания Loire Aviation разработала лёгкий истребитель Loire 43. Но в одном из полётов прототип разбился. Поэтому компания решила создать на его базе новый истребитель — Loire 45.</w:t>
      </w:r>
    </w:p>
    <w:p w14:paraId="2BB882F2" w14:textId="77777777" w:rsidR="001748B7" w:rsidRPr="00C33834" w:rsidRDefault="001748B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Одноместный цельнометаллический Loire 45 был высокопланом с крылом типа «чайка» и неубирающимся шасси. От Loire 43 отличался прежде всего более мощным двигателем — Gnome-Rhone 14Kcs. Максимальная скорость — 370 км/ч. Вооружение состояло из 2 × 20-мм пушек Oerlikon.</w:t>
      </w:r>
    </w:p>
    <w:p w14:paraId="608436EF" w14:textId="77777777" w:rsidR="001748B7" w:rsidRPr="00C33834" w:rsidRDefault="001748B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Испытания показали, что у самолёта плохой обзор для лётчика. Попытки доработать конструкцию крыла не дали результата и Loire 45 остался построенным в единственном экземпляре. Он пережил Вторую мировую войну и летал до начала 1950-х годов с гражданской регистрацией F-AKHP. Его недостатки учли в новом истребителе Loire 46, который выпускался небольшой серией (22300).</w:t>
      </w:r>
    </w:p>
    <w:p w14:paraId="4B3C516E" w14:textId="77777777" w:rsidR="001748B7" w:rsidRPr="00C33834" w:rsidRDefault="001748B7" w:rsidP="00C33834">
      <w:pPr>
        <w:spacing w:after="0" w:line="240" w:lineRule="auto"/>
        <w:jc w:val="both"/>
        <w:rPr>
          <w:rFonts w:ascii="Times New Roman" w:hAnsi="Times New Roman"/>
          <w:color w:val="0070C0"/>
          <w:sz w:val="16"/>
          <w:szCs w:val="16"/>
        </w:rPr>
      </w:pPr>
    </w:p>
    <w:p w14:paraId="5301BC20" w14:textId="77777777" w:rsidR="007C00E8" w:rsidRPr="00C33834" w:rsidRDefault="007C00E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lastRenderedPageBreak/>
        <w:t>20 февраля 1923 во дворце Геринга, председателя рейхстага, собрались по инициативе Шахта десятка два крупнейших магнатов, в том числе Крупп фон Болен, неожиданно сделавшийся горячим сторонником нацистов, Бош и Шницлер из "И. Г. Фарбениндустри" и Феглер, глава Объединенного стального концерна. Там Геринг и Гитлер и раскрыли свои планы. Записи этого совещания сохранились.</w:t>
      </w:r>
    </w:p>
    <w:p w14:paraId="049AFCC8" w14:textId="77777777" w:rsidR="007C00E8" w:rsidRPr="00C33834" w:rsidRDefault="007C00E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Свою длинную речь Гитлер начал с льстивых слов в адрес промышленников. "Частное предприятие, - сказал он, - нельзя вести в условиях демократии; оно мыслимо, только если народ привержен авторитету личности... Всеми жизненными благами, которыми пользуемся, мы обязаны усилиям избранных... Мы не должны забывать, что преимущества культуры надо внедрять в известной мере силой железного кулака". Он обещал предпринимателям устранить марксистов и восстановить вермахт (последний являлся предметом особого интереса для таких промышленных гигантов, как Крупп, Объединенный стальной концерн, "И. Г. Фарбениндустри", которые рассчитывали умножить свои капиталы с помощью производства оружия.</w:t>
      </w:r>
    </w:p>
    <w:p w14:paraId="48E04060" w14:textId="77777777" w:rsidR="007C00E8" w:rsidRPr="00C33834" w:rsidRDefault="007C00E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"Сегодня мы стоим в преддверии последних выборов", - продолжал Гитлер, пообещав своим слушателям "не отступать, чем бы они ни кончились". Он заверил их, что в случае поражения все равно удержит в своих руках власть, только "иными средствами... с помощью иного оружия". Геринг, касаясь практической стороны дела, подчеркнул важность "финансовых жертв", которые деловым людям "гораздо легче будет нести, если они учтут, что выборы 5 марта могут стать последними, - других выборов, конечно, не будет в ближайшие десять, а может, и сто лет".</w:t>
      </w:r>
    </w:p>
    <w:p w14:paraId="5E1273CC" w14:textId="77777777" w:rsidR="007C00E8" w:rsidRPr="00C33834" w:rsidRDefault="007C00E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Все эти разъяснения промышленники сочли достаточно убедительными и с энтузиазмом восприняли обещание покончить с надоевшими выборами, с демократией и с разговорами о разоружении. Крупп, король военной промышленности, совсем недавно, точнее, 20 января уговаривавший Гинденбурга не назначать Гитлера канцлером, встал и выразил от имени деловых кругов благодарность за "ясное изложение позиции". Затем д-р Шахт пустил по кругу шляпу. "Я собрал три миллиона марок", - показал он на Нюрнбергском процессе (17283).</w:t>
      </w:r>
    </w:p>
    <w:p w14:paraId="04F1398C" w14:textId="77777777" w:rsidR="007C00E8" w:rsidRPr="00C33834" w:rsidRDefault="007C00E8" w:rsidP="00C33834">
      <w:pPr>
        <w:spacing w:after="0" w:line="240" w:lineRule="auto"/>
        <w:jc w:val="both"/>
        <w:rPr>
          <w:rFonts w:ascii="Times New Roman" w:hAnsi="Times New Roman"/>
          <w:color w:val="000000" w:themeColor="text1"/>
          <w:sz w:val="16"/>
          <w:szCs w:val="16"/>
        </w:rPr>
      </w:pPr>
    </w:p>
    <w:p w14:paraId="35395A92" w14:textId="77777777" w:rsidR="00FC65C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4545B0B" w14:textId="77777777" w:rsidR="00FC65C5" w:rsidRPr="00C33834" w:rsidRDefault="00FC65C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335A43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февраля 1933 года Инженер-механик ВВС Аузан утвердил Тактико-технические требования к амфибии МБР-5</w:t>
      </w:r>
    </w:p>
    <w:p w14:paraId="1BE8B48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Морской ближний разведчик</w:t>
      </w:r>
    </w:p>
    <w:p w14:paraId="496393B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w:t>
      </w:r>
    </w:p>
    <w:p w14:paraId="0C277F9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Основное: Разведка визуальная и фотографическая морских и озерных, речных районов. Бомбардирование легких морских судов. Несение дозорной службы над морем и сушей. Химическая атака.</w:t>
      </w:r>
    </w:p>
    <w:p w14:paraId="6255C99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Вспомогательное: Корректирование огня судовой и береговой артиллерии. Охрана судов морского флота при выходе и входе в базу. Вождение торпедных катеров.</w:t>
      </w:r>
    </w:p>
    <w:p w14:paraId="1022D57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Гражданское: Почтовый, для связи, для транспортировки легких грузов.</w:t>
      </w:r>
    </w:p>
    <w:p w14:paraId="2363C72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Метод боевого использования.</w:t>
      </w:r>
    </w:p>
    <w:p w14:paraId="45DC720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парой и одиночный, днем и ночью. Как легкий бомбардировщик летает группой. Бой против одиночных истребителей, основанный на огне и на маневре.</w:t>
      </w:r>
    </w:p>
    <w:p w14:paraId="350FFD64"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Базирование на необорудованные гидроаэродромы (морские и речные) и на плохие сухопутные площадки летом и зимой. Необходимость взлета (и посадки) с мелкой воды и с узких рек.</w:t>
      </w:r>
    </w:p>
    <w:p w14:paraId="4178C6A9"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Как исключение дежурство на плаву при предельной для самолета погоде.</w:t>
      </w:r>
    </w:p>
    <w:p w14:paraId="516A195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Подъем (и спуск) на корабль.</w:t>
      </w:r>
    </w:p>
    <w:p w14:paraId="6E5BC1B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Летно тактические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48B4A675" w14:textId="77777777">
        <w:tc>
          <w:tcPr>
            <w:tcW w:w="5636" w:type="dxa"/>
          </w:tcPr>
          <w:p w14:paraId="5122E3B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боевого применения</w:t>
            </w:r>
          </w:p>
        </w:tc>
        <w:tc>
          <w:tcPr>
            <w:tcW w:w="5636" w:type="dxa"/>
          </w:tcPr>
          <w:p w14:paraId="4286CEB4"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 м</w:t>
            </w:r>
          </w:p>
        </w:tc>
      </w:tr>
      <w:tr w:rsidR="00F26F01" w:rsidRPr="00C33834" w14:paraId="2B840A40" w14:textId="77777777">
        <w:tc>
          <w:tcPr>
            <w:tcW w:w="5636" w:type="dxa"/>
          </w:tcPr>
          <w:p w14:paraId="5562B2E4"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Практический потолок за время не более 60 мин</w:t>
            </w:r>
          </w:p>
        </w:tc>
        <w:tc>
          <w:tcPr>
            <w:tcW w:w="5636" w:type="dxa"/>
          </w:tcPr>
          <w:p w14:paraId="4675AD3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 м</w:t>
            </w:r>
          </w:p>
        </w:tc>
      </w:tr>
      <w:tr w:rsidR="00F26F01" w:rsidRPr="00C33834" w14:paraId="349EB94B" w14:textId="77777777">
        <w:tc>
          <w:tcPr>
            <w:tcW w:w="5636" w:type="dxa"/>
          </w:tcPr>
          <w:p w14:paraId="038A1438"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на боевую высоту</w:t>
            </w:r>
          </w:p>
        </w:tc>
        <w:tc>
          <w:tcPr>
            <w:tcW w:w="5636" w:type="dxa"/>
          </w:tcPr>
          <w:p w14:paraId="6336491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мин.</w:t>
            </w:r>
          </w:p>
        </w:tc>
      </w:tr>
      <w:tr w:rsidR="00F26F01" w:rsidRPr="00C33834" w14:paraId="18D470E6" w14:textId="77777777">
        <w:tc>
          <w:tcPr>
            <w:tcW w:w="5636" w:type="dxa"/>
          </w:tcPr>
          <w:p w14:paraId="48374617"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 скорость на боевой высоте</w:t>
            </w:r>
          </w:p>
        </w:tc>
        <w:tc>
          <w:tcPr>
            <w:tcW w:w="5636" w:type="dxa"/>
          </w:tcPr>
          <w:p w14:paraId="0B88C40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 км/час</w:t>
            </w:r>
          </w:p>
        </w:tc>
      </w:tr>
      <w:tr w:rsidR="00F26F01" w:rsidRPr="00C33834" w14:paraId="016CA4DC" w14:textId="77777777">
        <w:tc>
          <w:tcPr>
            <w:tcW w:w="5636" w:type="dxa"/>
          </w:tcPr>
          <w:p w14:paraId="28FBD7CF"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Посадочная скорость на воду замеренная с воды</w:t>
            </w:r>
          </w:p>
        </w:tc>
        <w:tc>
          <w:tcPr>
            <w:tcW w:w="5636" w:type="dxa"/>
          </w:tcPr>
          <w:p w14:paraId="6092F92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 км/час</w:t>
            </w:r>
          </w:p>
        </w:tc>
      </w:tr>
      <w:tr w:rsidR="00F26F01" w:rsidRPr="00C33834" w14:paraId="01A269E7" w14:textId="77777777">
        <w:tc>
          <w:tcPr>
            <w:tcW w:w="5636" w:type="dxa"/>
          </w:tcPr>
          <w:p w14:paraId="3FFD4A0A"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Техническая дальность норм. на боевой высоте</w:t>
            </w:r>
          </w:p>
        </w:tc>
        <w:tc>
          <w:tcPr>
            <w:tcW w:w="5636" w:type="dxa"/>
          </w:tcPr>
          <w:p w14:paraId="730E2B5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 км</w:t>
            </w:r>
          </w:p>
        </w:tc>
      </w:tr>
      <w:tr w:rsidR="00F26F01" w:rsidRPr="00C33834" w14:paraId="3407A5A3" w14:textId="77777777">
        <w:tc>
          <w:tcPr>
            <w:tcW w:w="5636" w:type="dxa"/>
          </w:tcPr>
          <w:p w14:paraId="4EC57199"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Техническая дальность максим. на боевой высоте</w:t>
            </w:r>
          </w:p>
        </w:tc>
        <w:tc>
          <w:tcPr>
            <w:tcW w:w="5636" w:type="dxa"/>
          </w:tcPr>
          <w:p w14:paraId="07A3DAA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1600 км</w:t>
            </w:r>
          </w:p>
        </w:tc>
      </w:tr>
      <w:tr w:rsidR="00F26F01" w:rsidRPr="00C33834" w14:paraId="49CDF185" w14:textId="77777777">
        <w:tc>
          <w:tcPr>
            <w:tcW w:w="5636" w:type="dxa"/>
          </w:tcPr>
          <w:p w14:paraId="246A32D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Экипаж:</w:t>
            </w:r>
          </w:p>
        </w:tc>
        <w:tc>
          <w:tcPr>
            <w:tcW w:w="5636" w:type="dxa"/>
          </w:tcPr>
          <w:p w14:paraId="192C0BD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069D696" w14:textId="77777777">
        <w:tc>
          <w:tcPr>
            <w:tcW w:w="5636" w:type="dxa"/>
          </w:tcPr>
          <w:p w14:paraId="7CB755A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Нормально</w:t>
            </w:r>
          </w:p>
        </w:tc>
        <w:tc>
          <w:tcPr>
            <w:tcW w:w="5636" w:type="dxa"/>
          </w:tcPr>
          <w:p w14:paraId="205ED04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чел.</w:t>
            </w:r>
          </w:p>
        </w:tc>
      </w:tr>
      <w:tr w:rsidR="00F26F01" w:rsidRPr="00C33834" w14:paraId="7CE74F95" w14:textId="77777777">
        <w:tc>
          <w:tcPr>
            <w:tcW w:w="5636" w:type="dxa"/>
          </w:tcPr>
          <w:p w14:paraId="275A36A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счет перегрузки</w:t>
            </w:r>
          </w:p>
        </w:tc>
        <w:tc>
          <w:tcPr>
            <w:tcW w:w="5636" w:type="dxa"/>
          </w:tcPr>
          <w:p w14:paraId="4AF039D4"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чел.</w:t>
            </w:r>
          </w:p>
        </w:tc>
      </w:tr>
    </w:tbl>
    <w:p w14:paraId="50E4F19A"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Требования к схеме.</w:t>
      </w:r>
    </w:p>
    <w:p w14:paraId="7A157F21"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Расположение кабин: носовая - летчик-наблюдатель, средняя - пилот, кормовая - стрелок-техник. Все три кабины сообщающиеся. Первые две - впереди крыла.</w:t>
      </w:r>
    </w:p>
    <w:p w14:paraId="25BAFB31"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Совершенно чистый обзор из передних двух кабин: вперед, в стороны, вниз, вверх.</w:t>
      </w:r>
    </w:p>
    <w:p w14:paraId="1143575A"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Обстрел из всех пулеметов вниз под 90 градусов, из кормового полный обстрел в стороны, вверх, минимальное затенение от хвостового оперения.</w:t>
      </w:r>
    </w:p>
    <w:p w14:paraId="5F7AD549"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Последовательность выполнения требований:</w:t>
      </w:r>
    </w:p>
    <w:p w14:paraId="0655373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Обзор и обстрел, удобство работы в воздухе с предметами оборудования и вооружения. Легкость зарядки на земле.</w:t>
      </w:r>
    </w:p>
    <w:p w14:paraId="0E3365AA"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Короткий взлет с плохих сухопутных площадок, посадка на мелкую воду и на узкие реки.</w:t>
      </w:r>
    </w:p>
    <w:p w14:paraId="64CFDED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 скорость.</w:t>
      </w:r>
    </w:p>
    <w:p w14:paraId="15A4747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w:t>
      </w:r>
    </w:p>
    <w:p w14:paraId="6113A51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Маневренность в воздухе.</w:t>
      </w:r>
    </w:p>
    <w:p w14:paraId="49B1F465"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Конструкция.</w:t>
      </w:r>
    </w:p>
    <w:p w14:paraId="4AF99CA2"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Крылья разрезные: в случае предкрылков, последние управляемые.</w:t>
      </w:r>
    </w:p>
    <w:p w14:paraId="64FAD9C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Желательно выполнить складывающиеся крылья; переход к ним в порядке дальнейшего усовершенствования самолета должен быть предусмотрен обязательно.</w:t>
      </w:r>
    </w:p>
    <w:p w14:paraId="06827D58"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Требуется максимальный размах крыльев.</w:t>
      </w:r>
    </w:p>
    <w:p w14:paraId="570F53B6"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Подвеска на крылья бомб на плаву и на земле должна быть удобной для быстрой зарядки.</w:t>
      </w:r>
    </w:p>
    <w:p w14:paraId="020B568C"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Материал самолета: древо, полотно и металлы, при чем последние допускаются лишь те, серийное производство которых налажено (3899,54-58).</w:t>
      </w:r>
    </w:p>
    <w:p w14:paraId="0803DBC8"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7D78A180" w14:textId="77777777" w:rsidR="001D2F8A" w:rsidRPr="00C33834" w:rsidRDefault="001D2F8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21 февраля 1933 эксперименты с автожиром типа А-4 с заводским № 4301, изготовленным в Кие</w:t>
      </w:r>
      <w:r w:rsidRPr="00C33834">
        <w:rPr>
          <w:rFonts w:ascii="Times New Roman" w:hAnsi="Times New Roman"/>
          <w:color w:val="0070C0"/>
          <w:sz w:val="16"/>
          <w:szCs w:val="16"/>
        </w:rPr>
        <w:softHyphen/>
        <w:t>ве, продолжили. Для уменьшения вибра</w:t>
      </w:r>
      <w:r w:rsidRPr="00C33834">
        <w:rPr>
          <w:rFonts w:ascii="Times New Roman" w:hAnsi="Times New Roman"/>
          <w:color w:val="0070C0"/>
          <w:sz w:val="16"/>
          <w:szCs w:val="16"/>
        </w:rPr>
        <w:softHyphen/>
        <w:t>ции ротора несколько раз меняли угол атаки лопастей. 22 февраля при выполнении Корзинщиковым полета по кру</w:t>
      </w:r>
      <w:r w:rsidRPr="00C33834">
        <w:rPr>
          <w:rFonts w:ascii="Times New Roman" w:hAnsi="Times New Roman"/>
          <w:color w:val="0070C0"/>
          <w:sz w:val="16"/>
          <w:szCs w:val="16"/>
        </w:rPr>
        <w:softHyphen/>
        <w:t>гу на высоте 100 м автожир начал неожиданно снижаться помимо воли пилота. Для выявления причины произо</w:t>
      </w:r>
      <w:r w:rsidRPr="00C33834">
        <w:rPr>
          <w:rFonts w:ascii="Times New Roman" w:hAnsi="Times New Roman"/>
          <w:color w:val="0070C0"/>
          <w:sz w:val="16"/>
          <w:szCs w:val="16"/>
        </w:rPr>
        <w:softHyphen/>
        <w:t>шедшего вновь пришлось снять ротор и заняться его улуч</w:t>
      </w:r>
      <w:r w:rsidRPr="00C33834">
        <w:rPr>
          <w:rFonts w:ascii="Times New Roman" w:hAnsi="Times New Roman"/>
          <w:color w:val="0070C0"/>
          <w:sz w:val="16"/>
          <w:szCs w:val="16"/>
        </w:rPr>
        <w:softHyphen/>
        <w:t>шением (20361).</w:t>
      </w:r>
    </w:p>
    <w:p w14:paraId="17D8AD81" w14:textId="77777777" w:rsidR="001D2F8A" w:rsidRPr="00C33834" w:rsidRDefault="001D2F8A" w:rsidP="00C33834">
      <w:pPr>
        <w:shd w:val="clear" w:color="auto" w:fill="FFFFFF"/>
        <w:spacing w:after="0" w:line="240" w:lineRule="auto"/>
        <w:jc w:val="both"/>
        <w:rPr>
          <w:rFonts w:ascii="Times New Roman" w:hAnsi="Times New Roman"/>
          <w:color w:val="0070C0"/>
          <w:sz w:val="16"/>
          <w:szCs w:val="16"/>
        </w:rPr>
      </w:pPr>
    </w:p>
    <w:p w14:paraId="17132D80"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февраля 1933 года секретарь замнаркомвоенмора Левонюк писал письмо № 0099/с начальнику УВВС Алкснису, начальнику Штаба УВВС Меженинову, зам. начальника НИИ УВВС Аузану, начальнику ГАУ РККА Ефимову, зам. начальника ГАУ РККА Симонову, зам. начальника ГАУ РККА Розынко, начальнику факультета Артиллерийской академии Сакриеру, начальнику УВП ГАУ Орлову, начальнику УБП РККА Седякину, инспектору артиллерии РККА Роговскому, начальнику 1 управления Штаба РККА Обысову, начальнику ВВА Хорькову, инженеру Курчевскому.</w:t>
      </w:r>
    </w:p>
    <w:p w14:paraId="55C5478E"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Замнаркомвоенмор и председатель РВСС Тухачевский назначил на 26 февраля 1933 года в своем кабинете совещание с Вашим участием по вопросу об артиллерийских самолетах.</w:t>
      </w:r>
    </w:p>
    <w:p w14:paraId="0C56E8CB"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Час совещания будет сообщен дополнительно (7415, 15).</w:t>
      </w:r>
    </w:p>
    <w:p w14:paraId="7D2D7993"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549E07B1" w14:textId="77777777" w:rsidR="00FC65C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D9A04EA" w14:textId="77777777" w:rsidR="00FC65C5" w:rsidRPr="00C33834" w:rsidRDefault="00FC65C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8BB6943"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февраля 1933 закончились совместные испытания тормозных колес размером 1350х300 на самолете ТБ3-4М17, которые проходили с 16 января 1933 и были продолжены 9 февраля 1933.</w:t>
      </w:r>
    </w:p>
    <w:p w14:paraId="38C20A87"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071AB90F"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инженер-летчик от НИИ ВВС –Филин</w:t>
      </w:r>
    </w:p>
    <w:p w14:paraId="273A2A06"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летчик от ЦАГИ – Громов</w:t>
      </w:r>
    </w:p>
    <w:p w14:paraId="7D6AFD25"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0C7E73E6"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тормозных колес, удобство расположения управления тормозами, эффективность действия тормозов и эксплуатационные данные колес.</w:t>
      </w:r>
    </w:p>
    <w:p w14:paraId="6A30F0FB"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7299B063" w14:textId="77777777" w:rsidR="00FC65C5" w:rsidRPr="00C33834" w:rsidRDefault="00FC65C5"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Конструкция колес к самолету ТБ-3 4М-17 размером 1350х300 с цельными тормозными стаканами утверждается.</w:t>
      </w:r>
    </w:p>
    <w:p w14:paraId="0D10B2B0"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колес со сварными тормозными стаканами:</w:t>
      </w:r>
    </w:p>
    <w:p w14:paraId="54A3D2FE"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Начаты – 16 января 1933 года</w:t>
      </w:r>
    </w:p>
    <w:p w14:paraId="2BE237EF"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Окончены 16 января 1933 года</w:t>
      </w:r>
    </w:p>
    <w:p w14:paraId="2088A79D"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Сделано 17 посадок</w:t>
      </w:r>
    </w:p>
    <w:p w14:paraId="3592F911"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Получение новых колес и ремонт самолета с 17 января по 9 февраля 1933 года</w:t>
      </w:r>
    </w:p>
    <w:p w14:paraId="6269E281"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колес с цельными тормозными стаканами:</w:t>
      </w:r>
    </w:p>
    <w:p w14:paraId="13236D32"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Начато 9 февраля 1933 года</w:t>
      </w:r>
    </w:p>
    <w:p w14:paraId="5120D414"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Окончено 21 февраля 1933 года</w:t>
      </w:r>
    </w:p>
    <w:p w14:paraId="7374F6F4"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Летных дней – 2 (6634).</w:t>
      </w:r>
    </w:p>
    <w:p w14:paraId="6932D9DC" w14:textId="77777777" w:rsidR="00FC65C5" w:rsidRPr="00C33834" w:rsidRDefault="00FC65C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4A02C5" w14:textId="77777777" w:rsidR="00E844EA" w:rsidRPr="00C33834" w:rsidRDefault="00E844E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22 февраля 1933 при выполнении Корзинщиковым полета по кру</w:t>
      </w:r>
      <w:r w:rsidRPr="00C33834">
        <w:rPr>
          <w:rFonts w:ascii="Times New Roman" w:hAnsi="Times New Roman"/>
          <w:color w:val="0070C0"/>
          <w:sz w:val="16"/>
          <w:szCs w:val="16"/>
        </w:rPr>
        <w:softHyphen/>
        <w:t>гу на высоте 100 м автожир А-4 с заводским № 4301, изготовленный в Кие</w:t>
      </w:r>
      <w:r w:rsidRPr="00C33834">
        <w:rPr>
          <w:rFonts w:ascii="Times New Roman" w:hAnsi="Times New Roman"/>
          <w:color w:val="0070C0"/>
          <w:sz w:val="16"/>
          <w:szCs w:val="16"/>
        </w:rPr>
        <w:softHyphen/>
        <w:t>ве, начал неожиданно снижаться помимо воли пилота. Для выявления причины произо</w:t>
      </w:r>
      <w:r w:rsidRPr="00C33834">
        <w:rPr>
          <w:rFonts w:ascii="Times New Roman" w:hAnsi="Times New Roman"/>
          <w:color w:val="0070C0"/>
          <w:sz w:val="16"/>
          <w:szCs w:val="16"/>
        </w:rPr>
        <w:softHyphen/>
        <w:t>шедшего вновь пришлось снять ротор и заняться его улуч</w:t>
      </w:r>
      <w:r w:rsidRPr="00C33834">
        <w:rPr>
          <w:rFonts w:ascii="Times New Roman" w:hAnsi="Times New Roman"/>
          <w:color w:val="0070C0"/>
          <w:sz w:val="16"/>
          <w:szCs w:val="16"/>
        </w:rPr>
        <w:softHyphen/>
        <w:t>шением (20361).</w:t>
      </w:r>
    </w:p>
    <w:p w14:paraId="2A592086" w14:textId="77777777" w:rsidR="00E844EA" w:rsidRPr="00C33834" w:rsidRDefault="00E844EA" w:rsidP="00C33834">
      <w:pPr>
        <w:shd w:val="clear" w:color="auto" w:fill="FFFFFF"/>
        <w:spacing w:after="0" w:line="240" w:lineRule="auto"/>
        <w:jc w:val="both"/>
        <w:rPr>
          <w:rFonts w:ascii="Times New Roman" w:hAnsi="Times New Roman"/>
          <w:color w:val="0070C0"/>
          <w:sz w:val="16"/>
          <w:szCs w:val="16"/>
        </w:rPr>
      </w:pPr>
    </w:p>
    <w:p w14:paraId="5EDCCA6D"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(21 - 1077,10) февраля 1933 А.Н.Т. наградили ОЛ, а В.М.Петлякова - ОКЗ (273,300).</w:t>
      </w:r>
    </w:p>
    <w:p w14:paraId="574E9AF4" w14:textId="77777777" w:rsidR="00FC65C5" w:rsidRPr="00C33834" w:rsidRDefault="00FC65C5" w:rsidP="00C33834">
      <w:pPr>
        <w:autoSpaceDE w:val="0"/>
        <w:autoSpaceDN w:val="0"/>
        <w:adjustRightInd w:val="0"/>
        <w:spacing w:after="0" w:line="240" w:lineRule="auto"/>
        <w:jc w:val="both"/>
        <w:rPr>
          <w:rFonts w:ascii="Times New Roman" w:hAnsi="Times New Roman"/>
          <w:color w:val="000000" w:themeColor="text1"/>
          <w:sz w:val="16"/>
          <w:szCs w:val="16"/>
        </w:rPr>
      </w:pPr>
    </w:p>
    <w:p w14:paraId="7D9B56EE" w14:textId="77777777" w:rsidR="00A76142" w:rsidRPr="00C33834" w:rsidRDefault="00A76142"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22 февраля</w:t>
      </w:r>
      <w:r w:rsidRPr="00C33834">
        <w:rPr>
          <w:rFonts w:ascii="Times New Roman" w:hAnsi="Times New Roman"/>
          <w:color w:val="000000" w:themeColor="text1"/>
          <w:sz w:val="16"/>
          <w:szCs w:val="16"/>
        </w:rPr>
        <w:t xml:space="preserve"> в 1933 году А.Н.Туполева наградили Орденом Ленина, а В.М.Петлякова - Орденом Красной Звезды. По «разнообразию» наград (5 орденов) авиаконструктор А.Н.Туполев побил своеобразный рекорд. Первым у него был орден Трудового Красного Знамени РСФСР (Постановление от 13 декабря 1932 г., знак без номера), в 1933 г. он получил 3 ордена - Ленина (Постановление от 21 февраля 1933 г., знак № 520), Красной Звезды (Постановление от 17 августа 1933 г., знак № 159) и Трудового Красного Знамени СССР (Постановление от 22 декабря 1933 г., знак № 394), в 1936 г. -орден «Знак Почета» (Постановление от 13 августа 1936 г., знак № 3053). Позднее, 27 декабря 1940 г., в связи с арестом А.Н. Туполев, продолжавший, впрочем, работу над новым самолетом в Особом Техническом бюро НКВД, был лишен особым Постановлением Президиума ЦИК своих наград. Указом от 9 декабря 1941 г. это Постановление было отменено. Ордена ему вернули еще раньше, 28 ноября 1941 г., но уже с другими номерами: орден Ленина - № 7339, Красной Звезды - № 20119, Трудового Красного Знамени - № 5618 и «Знак Почета» -№15124. Впоследствии Андрей Николаевич добавил к своему первому ордену Ленина еще семь, а также ордена Октябрьской революции, Суворова II степени и Отечественной войны I степени (Указ от 10 июня 1945 г., знак № 187772) (15048).</w:t>
      </w:r>
    </w:p>
    <w:p w14:paraId="4B62F5ED" w14:textId="77777777" w:rsidR="00A76142" w:rsidRPr="00C33834" w:rsidRDefault="00A76142" w:rsidP="00C33834">
      <w:pPr>
        <w:spacing w:after="0" w:line="240" w:lineRule="auto"/>
        <w:jc w:val="both"/>
        <w:rPr>
          <w:rFonts w:ascii="Times New Roman" w:hAnsi="Times New Roman"/>
          <w:color w:val="000000" w:themeColor="text1"/>
          <w:sz w:val="16"/>
          <w:szCs w:val="16"/>
        </w:rPr>
      </w:pPr>
    </w:p>
    <w:p w14:paraId="5CFF9B65" w14:textId="77777777" w:rsidR="001D2F8A" w:rsidRPr="00C33834" w:rsidRDefault="001D2F8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4F95CFD" w14:textId="77777777" w:rsidR="001D2F8A" w:rsidRPr="00C33834" w:rsidRDefault="001D2F8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429EB6C" w14:textId="77777777" w:rsidR="001D2F8A" w:rsidRPr="00C33834" w:rsidRDefault="001D2F8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shd w:val="clear" w:color="auto" w:fill="FFFFFF"/>
        </w:rPr>
        <w:t>22 февраля 1933 года СТО утвердил «Программу строительства военно-морского флота», рассчитаннцю на вторую пятилетку с уточнениями В.М. Орлова.</w:t>
      </w:r>
    </w:p>
    <w:p w14:paraId="77395DBB" w14:textId="77777777" w:rsidR="001D2F8A" w:rsidRPr="00C33834" w:rsidRDefault="001D2F8A"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Командующий Морскими силами РККА. В.М. Орлов, хотя и участвовал в подготовке программы, высказал собственный взгляд на вопросы обороны северного побережья. Посчитал вполне достаточным для решения поставленной боевой задачи всего 4 больших и 8 средних подводных лодок, 10 торпедных катеров. Зато счел крайне важным перевести в Баренцево море с Черного хотя бы один из имевшихся там 3 легких крейсеров — «Червону Украину» или «Профинтерн» и с Балтики — 4 эсминца. Конкретизировал Орлов и дислокацию береговой артиллерии — в горле Белого моря, у Архангельска и Мурманска, в Кольском заливе.</w:t>
      </w:r>
    </w:p>
    <w:p w14:paraId="6ECDC46B" w14:textId="77777777" w:rsidR="001D2F8A" w:rsidRPr="00C33834" w:rsidRDefault="001D2F8A"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Как единственно возможную базу дл</w:t>
      </w:r>
      <w:r w:rsidRPr="00C33834">
        <w:rPr>
          <w:rFonts w:ascii="Times New Roman" w:hAnsi="Times New Roman"/>
          <w:color w:val="0070C0"/>
          <w:sz w:val="16"/>
          <w:szCs w:val="16"/>
          <w:shd w:val="clear" w:color="auto" w:fill="FFFFFF"/>
        </w:rPr>
        <w:t>я будущего северного соединения и наркомвоенмор, и Орлов рассматривали пока только Мурманск (20467).</w:t>
      </w:r>
    </w:p>
    <w:p w14:paraId="66F535E1" w14:textId="77777777" w:rsidR="001D2F8A" w:rsidRPr="00C33834" w:rsidRDefault="001D2F8A" w:rsidP="00C33834">
      <w:pPr>
        <w:spacing w:after="0" w:line="240" w:lineRule="auto"/>
        <w:jc w:val="both"/>
        <w:rPr>
          <w:rFonts w:ascii="Times New Roman" w:hAnsi="Times New Roman"/>
          <w:color w:val="0070C0"/>
          <w:sz w:val="16"/>
          <w:szCs w:val="16"/>
        </w:rPr>
      </w:pPr>
    </w:p>
    <w:p w14:paraId="2E815C8A" w14:textId="77777777" w:rsidR="00A76142"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33C7F300" w14:textId="77777777" w:rsidR="00A76142" w:rsidRPr="00C33834" w:rsidRDefault="00A7614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8C20AD0" w14:textId="77777777" w:rsidR="00A76142" w:rsidRPr="00C33834" w:rsidRDefault="00A76142" w:rsidP="00C33834">
      <w:pPr>
        <w:pStyle w:val="27"/>
        <w:shd w:val="clear" w:color="auto" w:fill="auto"/>
        <w:spacing w:after="0" w:line="240" w:lineRule="auto"/>
        <w:ind w:firstLine="0"/>
        <w:rPr>
          <w:rFonts w:ascii="Times New Roman" w:cs="Times New Roman"/>
          <w:color w:val="000000" w:themeColor="text1"/>
          <w:spacing w:val="0"/>
        </w:rPr>
      </w:pPr>
      <w:r w:rsidRPr="00C33834">
        <w:rPr>
          <w:rFonts w:ascii="Times New Roman" w:cs="Times New Roman"/>
          <w:color w:val="000000" w:themeColor="text1"/>
          <w:spacing w:val="0"/>
        </w:rPr>
        <w:t>22 февраля 1933 г. приказом ОГПУ «О формировании и переформировании авиационных отрядов Войск ОГПУ Округов», которым было объявлено о формировании еще шести авиационных отрядов и о переформировании восьми существующих авиационных отрядов «по объявляемым в приложении штатам», а также об установлении их единой нумерации, Минский пограничный авиационный отряд был переформирован по штату № 2 и ему было присвоено наименование «6-й Авиационный отряд войск ОГПУ БССР».</w:t>
      </w:r>
    </w:p>
    <w:p w14:paraId="67258FCC" w14:textId="77777777" w:rsidR="00A76142" w:rsidRPr="00C33834" w:rsidRDefault="00A76142" w:rsidP="00C33834">
      <w:pPr>
        <w:pStyle w:val="27"/>
        <w:shd w:val="clear" w:color="auto" w:fill="auto"/>
        <w:spacing w:after="0" w:line="240" w:lineRule="auto"/>
        <w:ind w:firstLine="0"/>
        <w:rPr>
          <w:rFonts w:ascii="Times New Roman" w:cs="Times New Roman"/>
          <w:color w:val="000000" w:themeColor="text1"/>
          <w:spacing w:val="0"/>
        </w:rPr>
      </w:pPr>
      <w:r w:rsidRPr="00C33834">
        <w:rPr>
          <w:rFonts w:ascii="Times New Roman" w:cs="Times New Roman"/>
          <w:color w:val="000000" w:themeColor="text1"/>
          <w:spacing w:val="0"/>
        </w:rPr>
        <w:t>Согласно прилагаемому штату № 2, в 6-й Авиационном отряде войск ОГПУ БССР должно было быть 7 самолетов и 66 человек личного состава: командир отряда, помощник командира отряда по политчасти, начальник штаба, два командира звена, два старших летчика, два младших летчика, три старших летчика наблюдателя, два младших летчика наблюдателя, младший инженер-механик, два старших техника, шесть младших техников, семь мотористов, техник по приборам, старший метеоролог, фотолаборант, заведующий складом, вахтер, три шофера, делопроизводитель, писарь – итого 40 человек основного состава, а также 22 человека аэродромной команды и четыре радиста.</w:t>
      </w:r>
    </w:p>
    <w:p w14:paraId="270A74D4" w14:textId="77777777" w:rsidR="00A76142" w:rsidRPr="00C33834" w:rsidRDefault="00A76142" w:rsidP="00C33834">
      <w:pPr>
        <w:pStyle w:val="27"/>
        <w:shd w:val="clear" w:color="auto" w:fill="auto"/>
        <w:spacing w:after="0" w:line="240" w:lineRule="auto"/>
        <w:ind w:firstLine="0"/>
        <w:rPr>
          <w:rFonts w:ascii="Times New Roman" w:cs="Times New Roman"/>
          <w:color w:val="000000" w:themeColor="text1"/>
          <w:spacing w:val="0"/>
        </w:rPr>
      </w:pPr>
      <w:r w:rsidRPr="00C33834">
        <w:rPr>
          <w:rFonts w:ascii="Times New Roman" w:cs="Times New Roman"/>
          <w:color w:val="000000" w:themeColor="text1"/>
          <w:spacing w:val="0"/>
        </w:rPr>
        <w:t>В оперативном отношении 6-й Авиационный отряд войск ОГПУ БССР подчинялся Управлению пограничной и внутренней охраны (УПОВ) ОГПУ округа, его звенья и самолеты придавались пограничным отрядам, а контролировался авиотряд авиационной инспекцией отдела вооружения ГУПОВ ОГПУ (15231).</w:t>
      </w:r>
    </w:p>
    <w:p w14:paraId="5730BC2F" w14:textId="77777777" w:rsidR="00A76142" w:rsidRPr="00C33834" w:rsidRDefault="00A76142" w:rsidP="00C33834">
      <w:pPr>
        <w:pStyle w:val="27"/>
        <w:shd w:val="clear" w:color="auto" w:fill="auto"/>
        <w:spacing w:after="0" w:line="240" w:lineRule="auto"/>
        <w:ind w:firstLine="0"/>
        <w:rPr>
          <w:rFonts w:ascii="Times New Roman" w:cs="Times New Roman"/>
          <w:color w:val="000000" w:themeColor="text1"/>
          <w:spacing w:val="0"/>
        </w:rPr>
      </w:pPr>
    </w:p>
    <w:p w14:paraId="4FCDBDE5" w14:textId="77777777" w:rsidR="00E844EA" w:rsidRPr="00C33834" w:rsidRDefault="00E844E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22 февраля 1933 г. в Акмолинске был сфор</w:t>
      </w:r>
      <w:r w:rsidRPr="00C33834">
        <w:rPr>
          <w:rFonts w:ascii="Times New Roman" w:hAnsi="Times New Roman"/>
          <w:color w:val="0070C0"/>
          <w:sz w:val="16"/>
          <w:szCs w:val="16"/>
        </w:rPr>
        <w:softHyphen/>
        <w:t>мирован 4-й отдельный авиаотряд погранвойск Казахстана. Первым командиром авиаотряда был К. Шишков. Уже в этом же году авиаотряд в полном составе участвовал в ликвидации недобитых басмаческих банд на границе с Китаем и в китайской провинции Синьцзянь (20402).</w:t>
      </w:r>
    </w:p>
    <w:p w14:paraId="22FAD0A9" w14:textId="77777777" w:rsidR="00E844EA" w:rsidRPr="00C33834" w:rsidRDefault="00E844EA" w:rsidP="00C33834">
      <w:pPr>
        <w:spacing w:after="0" w:line="240" w:lineRule="auto"/>
        <w:jc w:val="both"/>
        <w:rPr>
          <w:rFonts w:ascii="Times New Roman" w:hAnsi="Times New Roman"/>
          <w:color w:val="0070C0"/>
          <w:sz w:val="16"/>
          <w:szCs w:val="16"/>
        </w:rPr>
      </w:pPr>
    </w:p>
    <w:p w14:paraId="03B048BF" w14:textId="77777777" w:rsidR="004C24F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CE3698E" w14:textId="77777777" w:rsidR="004C24F7" w:rsidRPr="00C33834" w:rsidRDefault="004C24F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B553FD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февраля, 5 и 9 марта 1933 на аэродроме НИИ ВВС и на полигоне ВВС в Монино проводились испытания артустановки Курчевского, установленной под левым крылом И-зет Д.П.Г. Летчиком был Пионтковский (2303,5).</w:t>
      </w:r>
    </w:p>
    <w:p w14:paraId="707EA0A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44E5EB1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февраля 1933 с И-зет проводилась стрельба с помоста на земле при горизонтальном положении самолета. Самолет сделал перелет с ЦА на аэродром НИИ ВВС в Щелково, был установлен на помосте в гор. положении на высоте 5 м над землей. В канал ствола был заложен один патрон и в магазин - 6 патронов. Все 7 выстрелов подряд были вполне нормальные с автоматической перезарядкой без каких-либо задержек. Осмотр после стрельбы показал отсутствие каких-либо повреждений или деформаций... После чего в канал ствола был заложен 1 патрон и в магазин 3 патрона для дальнейших испытаний в воздухе. При взлете т. Пионтковским была обнаружена неисправная работа мотора... Испытания были прерваны до окончания ремонта... (2303,5).</w:t>
      </w:r>
    </w:p>
    <w:p w14:paraId="437831F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7521801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февраля 1933 Зам. НКТП и Нач. ГУАП П.И.Б. писал Зам. НКВМ и Пред. РВС Тухачевскому письмо на вх. N 157178 от 19 января 1933:</w:t>
      </w:r>
    </w:p>
    <w:p w14:paraId="213B9E0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 винтовых аппаратов типа автожир стоит в плане ЦАГИ.</w:t>
      </w:r>
    </w:p>
    <w:p w14:paraId="072ABB9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Настоящее состояние этого вопроса находится в стадии освоения тех результатов, которые до сего времени достигнуты. дальнейшим этапом является распространение их на типы летательных машин с прогрессивным увеличением мощности и тоннажа.</w:t>
      </w:r>
    </w:p>
    <w:p w14:paraId="0D6ADD5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Хотя принцип вращающихся лопастей для использования их в качестве создания подъемной силы достаточно проверен, но все таки остается ряд технических и особенно эксплуатационных сторон, которые должны быть проанализированы и проэкспериментированы прежде, чем допущены к широкому применению.</w:t>
      </w:r>
    </w:p>
    <w:p w14:paraId="57BAB59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того, что вопрос в целом еще не окончательно доработан, полагаю, что эскизный проект "летающего танка" далеко еще не говорит за то, что проблема о летающем танке решается с "исключительной полнотой".</w:t>
      </w:r>
    </w:p>
    <w:p w14:paraId="30D4366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Можно дать ряд предложений, представляющих большой интерес и очень ценных по идее, но невыполнимых с исчерпывающей целесообразностью, из-за необходимости проводить дополнительно целый ряд предварительных работ.</w:t>
      </w:r>
    </w:p>
    <w:p w14:paraId="5838904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Поэтому считаю реализацию предложений т. Камова преждевременной. Что же касается Вашей просьбы о выделении группы в 6-8 чел. для разработки проекта т. Камова, то таковую выделить в настоящее время не представляется возможным из-за загруженности состава стоящими заданиями.</w:t>
      </w:r>
    </w:p>
    <w:p w14:paraId="0D047CE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Если же вы найдете, что работа по предложению т. Камова более актуально необходима, чем те задания, которые стоят перед СОК ЦАГИ и в частности ведутся Камовым, то я со своей стороны считаю возможным освободить лишь одного т. Камова и передать в Ваше распоряжение для организации необходимой Вам работы." (2305,15).</w:t>
      </w:r>
    </w:p>
    <w:p w14:paraId="0038030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7FD9195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февраля 1933 в Севастополь из ЦАГИ прибыл опытный образец торпедного катера 5Г, но по вине ЦАГИ начало испытаний задержалось (2305,26).</w:t>
      </w:r>
    </w:p>
    <w:p w14:paraId="46AD9A0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0CFB308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февраля 1933 К.Е.Ворошилов в докладе 15 лет РККА отмечал, что в ВВС удельный вес бомбардировщиков - 38%, истребителей - 31%, то есть все более боевые (66,180) и меньше разведчиков. ВВС имеют все типы авиации: И, Б, ТБ, Ш. (66,180).</w:t>
      </w:r>
    </w:p>
    <w:p w14:paraId="1B80613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271D3B3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февраля 1933 в статье "Армия пролетарской диктатуры" в Правде М.Н.Тухачевский отметил, что "тяжелая же наша авиация имеет исключительно крупные достижения и по качеству стоит не ниже тяжелой авиации наиболее вооруженных капстран" (71,170).</w:t>
      </w:r>
    </w:p>
    <w:p w14:paraId="277673F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064BBEA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23 февраля 1933 в Москву приехала Комиссия «Фиата» в составе 4-х инженеров и привезла с собой предварительный проект завода. Этот проект за период с 23 февраля по 7 марта обсуждался во всех деталях на Научно-техническом совете Гипроавио. Проект в общем признан удовлетворительным (3530,107).</w:t>
      </w:r>
    </w:p>
    <w:p w14:paraId="22DD99B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2A5E7F76" w14:textId="77777777" w:rsidR="004C24F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64C8905" w14:textId="77777777" w:rsidR="004C24F7" w:rsidRPr="00C33834" w:rsidRDefault="004C24F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1312C4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февраля 1933 г. в Ленинграде на Петровском острове вступила в строй новая судостроительная верфь Морпогранохраны ОГПУ, которая строилась с 1931, а старая верфь - бывшая верфь Золотова стала ее отделением (3898).</w:t>
      </w:r>
    </w:p>
    <w:p w14:paraId="167D7B9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66FBF04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февраля 1933 г. верфь деревянного катеростроения Морпогранохраны ОГПУ, созданная в начале 1931 и строящаяся с 5 июля 1931, вступила в строй. 21.03.1933г. на верфи заложен первый катер типа «ГК» («габаритный катер») (официально открыта 1.05.1933г.). Всего было предусмотрено 16 стапельных мест для постройки катеров. В 1934г. верфь передана в ведение НКВД.</w:t>
      </w:r>
      <w:r w:rsidRPr="00C33834">
        <w:rPr>
          <w:rFonts w:ascii="Times New Roman" w:hAnsi="Times New Roman"/>
          <w:color w:val="000000" w:themeColor="text1"/>
          <w:sz w:val="16"/>
          <w:szCs w:val="16"/>
          <w:vertAlign w:val="superscript"/>
        </w:rPr>
        <w:t>131</w:t>
      </w:r>
      <w:r w:rsidRPr="00C33834">
        <w:rPr>
          <w:rFonts w:ascii="Times New Roman" w:hAnsi="Times New Roman"/>
          <w:color w:val="000000" w:themeColor="text1"/>
          <w:sz w:val="16"/>
          <w:szCs w:val="16"/>
        </w:rPr>
        <w:t xml:space="preserve"> В начале 1939г. верфь переименована в завод № 5 НКВД (Завод № 5 НКВД, НКСП, МСП, Государственная судостроительная верфь ОГПУ, Ленинградский Приморский завод (ЛПЗ) МСП, ОАО «Судостроительная фирма (СФ) «Алмаз» /г. Ленинград/ /197110 г. Санкт-Петербург Петровский пр., 26 тел. 235-51-48). В 03.1941 г. завод № 5 передан из НКВД в НКСП.</w:t>
      </w:r>
    </w:p>
    <w:p w14:paraId="6A3CCC9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Бывшая верфь Золотова преобразована в Государственную судостроительную мастерскую для постройки пограничных судов и стала отделением верфи Морпогранохраны ОГПУ. В 1931 г. на строящейся верфи по инициативе Д.Л. Блинова организовано собственное КБ.</w:t>
      </w:r>
    </w:p>
    <w:p w14:paraId="3982D5E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 СТО № 25 от 1937г. на верфь «для обеспечения производства верфи в военное время» возложена постройка деревянных торпедных катеров.</w:t>
      </w:r>
    </w:p>
    <w:p w14:paraId="6B54556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1941 г. строительство верфи было завершено. В ее составе цехи: судосборочный (стапельный, площадь 4800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деревообрабатывающий, монтажно-сдаточный (840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механический, кузнечный, литейная мастерская.</w:t>
      </w:r>
    </w:p>
    <w:p w14:paraId="1D5D5ED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начала войны начаты работы по модернизации катеров МО-2 и МО-4 для условий военного времени.</w:t>
      </w:r>
    </w:p>
    <w:p w14:paraId="220CDCF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приказу НКСП № 185 от 12.07.1941 г. часть завода (177 чел.) эвакуирована на завод № 640, затем - на заводы № 345 НКСП и Судоверфь им. Кирова НКРП (Астрахань); всего эвакуировано 405 чел. Основная часть завода продолжила работу в Ленинграде. 31.05.1944г. завод награжден орденом Трудового Красного Знамени.</w:t>
      </w:r>
    </w:p>
    <w:p w14:paraId="6284B3C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Наряду со строительством новых выполнялся ремонт катеров, поврежденных в боях. Пост. ГКО № 473 от 13.08.1941 г. заводу предписано построить для флота в 1941 г. 30 торпедных катеров. Фактически в 1941 г. построено 3 катера и 7 переоборудовано в вариант малого охотника МО-ДЗ, в 1943г. построено 43 катера. За годы войны отремонтировано около 400 катеров.</w:t>
      </w:r>
    </w:p>
    <w:p w14:paraId="17F2F72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 1946г. завод № 5 - в ведении МСП. В 1966г. переименован в ЛПЗ. По пр. МСП № 0299 от 1.06.1970 г. завод вошел в состав Производственно-технологического объединения (с 1974г. - ПО) «Алмаз» в качестве площадки № 1 (Петровской площадки). В 1990 г. из состава ПО вышло ЦМКБ «Алмаз», и объединение переименовано в </w:t>
      </w:r>
      <w:r w:rsidRPr="00C33834">
        <w:rPr>
          <w:rFonts w:ascii="Times New Roman" w:hAnsi="Times New Roman"/>
          <w:color w:val="000000" w:themeColor="text1"/>
          <w:sz w:val="16"/>
          <w:szCs w:val="16"/>
          <w:lang w:val="en-US"/>
        </w:rPr>
        <w:t>JICO</w:t>
      </w:r>
      <w:r w:rsidRPr="00C33834">
        <w:rPr>
          <w:rFonts w:ascii="Times New Roman" w:hAnsi="Times New Roman"/>
          <w:color w:val="000000" w:themeColor="text1"/>
          <w:sz w:val="16"/>
          <w:szCs w:val="16"/>
        </w:rPr>
        <w:t>, а с 1.10.1991 г. - СО «Алмаз». 20.03.1991 г. объединение преобразовано в СФ «Алмаз».</w:t>
      </w:r>
    </w:p>
    <w:p w14:paraId="5EFF41D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1.04.1956г. пр. № 037 от 16.02.1956г. цех № 6 завода передан созданному ЦКБ-5 в качестве филиала. В 1958г. действовал филиал завода № 5 на Феодосийском ССЗ «Море».</w:t>
      </w:r>
      <w:r w:rsidRPr="00C33834">
        <w:rPr>
          <w:rFonts w:ascii="Times New Roman" w:hAnsi="Times New Roman"/>
          <w:color w:val="000000" w:themeColor="text1"/>
          <w:sz w:val="16"/>
          <w:szCs w:val="16"/>
          <w:vertAlign w:val="superscript"/>
        </w:rPr>
        <w:t>3</w:t>
      </w:r>
    </w:p>
    <w:p w14:paraId="018CDBC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ПСМ № 2521-1213сс от 29.12.1954г. начато строительство опытной серии малого охотника пр. 199.</w:t>
      </w:r>
    </w:p>
    <w:p w14:paraId="13D8F80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1950-х г. для производства стальных ракетных катеров пр. 205 проведена реконструкция завода (производство деревянных катеров сохранено). Организован корпусообрабатывающий цех, участки химической очистки и пассивирования металла, построена новая трансформаторная подстанция. Переоборудован эллинг № 3, там организованы участки узловой и секционной сборки. Рядом с эллингом был вырыт ковш, соединенный с акваторией Малой Невы, и в нем построен новый поперечный слип. С 1961 г. начата серийная постройка катеров пр. 205.</w:t>
      </w:r>
    </w:p>
    <w:p w14:paraId="05AFF2F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распоряжением правительства № 402Р от 10.03.1964г. для строительства малых ракетных кораблей (МРК) пр. 1234 проведена очередная реконструкция завода. Прекращено строительство деревянных катеров, полностью переоборудован эллинг № 1. Для спуска МРК спроектирован (ГСПИ-2) комплекс гидротехнических сооружений, включавший причал, спусковой передаточный док пр. 960 грузоподъемностью 1000 т, достроечную набережную. В 1966г. построен новый двухпролетный цех корпусообработки</w:t>
      </w:r>
    </w:p>
    <w:p w14:paraId="4A09E66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1970-х г. завод специализировался на постройке головных образцов заказов с целью отработки технологии.</w:t>
      </w:r>
    </w:p>
    <w:p w14:paraId="78D9FE9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1980-е г. на заводе начато строительство эллинга для постройки экранопланов, закончено не было.</w:t>
      </w:r>
    </w:p>
    <w:p w14:paraId="5E08A2F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1.07.1993г. в результате акционирования предприятие разделено на АООТ «СФ «Алмаз» (площадка № 1) и МЗ «Алмаз» (площадка № 2). 12.07.1996г. АООТ преобразовано в ОАО «СФ «Алмаз». Входило в состав ОАО ОМЗ (2003г.), ГК МНП (2004г.). В 08.2005г. предприятие продано Л. Грабовцу, в 07.2006г. продано ПО «Ленстройматериалы». В 02.2007г. планировалось слияние СФ «Алмаз» с МЗ «Алмаз».</w:t>
      </w:r>
    </w:p>
    <w:p w14:paraId="0C6011D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решению правительства № 22-р от 9.01.2004г. вошло в перечень стратегических предприятий.</w:t>
      </w:r>
    </w:p>
    <w:p w14:paraId="5C98CBC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1990-х г. в порядке конверсии производства были спроектированы и изготовлены рассадопосадочные машины для посадки капусты. В 1990-е г. освоено производство крейсерских яхт. Выпускались также изделия для аэрокосмической отрасли (устройства для транспортировки частей КА к местам старта), оборудование для АЭС.</w:t>
      </w:r>
    </w:p>
    <w:p w14:paraId="6CCE825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концу 1990-х г. было завершено техническое перевооружение производства. Цехи близкой направленности были объединены в отдельные производства. В 2000 г. введен в эксплуатацию новый эллинг площадью 9 тыс.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В составе предприятия (2000-е): производства: корпусообрабатывающее, сборочно-сварочное, стапельно- монтажное (11 стапельных дорожек), достроечно-сдаточное, машиностроительное; 2 эллинга (58х 150 м); достроечная набережная (250 м); два плавучих дока (грузоподъемность 1000-2500 т и 1500-3500 т); Центр информационных технологий (ЦИТ).</w:t>
      </w:r>
    </w:p>
    <w:p w14:paraId="496BE0E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к 2005г. построено более 1000 кораблей и катеров.</w:t>
      </w:r>
    </w:p>
    <w:p w14:paraId="4AA0FEA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Имелось Московское представительство (зам. директора (2006г.)- И. Вишняков).</w:t>
      </w:r>
    </w:p>
    <w:p w14:paraId="1D57022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территории (2006г.)- 16,5 га; застройки (2006г.)- около 50 тыс.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производственная (2009г.)- 30,4 тыс.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w:t>
      </w:r>
    </w:p>
    <w:p w14:paraId="2DF93FD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Численность персонала (06.1941 г.)- 2845 чел., (12.1941 г.)- 730 чел., (2009г.)- более 1000 чел.</w:t>
      </w:r>
    </w:p>
    <w:p w14:paraId="4E13207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Владелец (08.2005г.-)- Л.Г. Грабовец.</w:t>
      </w:r>
    </w:p>
    <w:p w14:paraId="4ED1CE7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(1932-33г.)- Д.Л. Блинов, (1933-34г.)- А.В. Крюков, (1934г.)- М.А. Цикановский, (1935-37г.)- Ф.Н. Глушко, (05.1937г.-)- Е.Я. Локшин. Директор (-1949г.)- Е.Я. Локшин, (1949-56г.)- И.Д. Яблоков, (1956-67г.)- В.Д. Колечицкий, (1967-70 г.)- Ю.П. Кузьмин. Гендиректор (1970-71 г.)- Е.И. Юхнин, (1972-76г.)- Ю.Г. Полухин, (1976- 86г.)- В.К. Косенков, (1986-2001 г.)- А.П. Королев, (2001-07г.-)- Л.Г. Грабовец.</w:t>
      </w:r>
    </w:p>
    <w:p w14:paraId="61E9DB5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Технический директор (2005г.)- В. Демченко. Директор по маркетингу (2006г.)- С. Галиченко.</w:t>
      </w:r>
    </w:p>
    <w:p w14:paraId="63911A2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(1933г.)- В.Е. Бурачек, (1941 г.)- И.К. Силин, (1944г.)- А.Ф. Симин, (1970-е)- А.А. Пономарев.</w:t>
      </w:r>
    </w:p>
    <w:p w14:paraId="50A46FA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цехов: (2000 г.)- М.С. Каримова.</w:t>
      </w:r>
    </w:p>
    <w:p w14:paraId="4F5C49A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строители: (1943-45г.)- А.Д. Симин, (1957г.)- Н.И. Мартынычев.</w:t>
      </w:r>
    </w:p>
    <w:p w14:paraId="2283AD9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Строители судов: (ВОВ)- Л.Н. Одинцов, (07.1941 г.)- А.А. Тимофеев, (1967г.)- Б.П. Дитятьев (пр. 1234), (1970- е&gt; И.И. Костинский, (1970-е)- В.И. Мерцалов, (1970-е)- В.И. Сибирцев, (1970-е)- М.И. Тузов, (1970-е)- М.И. Украинский.</w:t>
      </w:r>
    </w:p>
    <w:p w14:paraId="30A8679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катера: морской «ГК» ПК-110 (1933-34)- 16, представительский ГК-4 (1941)- 1; торпедные: ДТК (1936-)- 3, Д-2 (1939)- 1, Д-3 (пр. П-19, 1939-44)- 67, Д-4 (1941-, не достроен), пр. ТД-200 (1946)- 1, ТД- 200бис (1947-52)- 168; сборка американских катеров А-1 «Воспер» (1944-47)- 14 и А-3 «ЭЛКО» (1944-47)- 29; пр. 183 (1949-60)- 361 (вместе с заводами 602, 640), пр. 183ТК (1956-57)- 25, представительский пр. 183Ш (1960-е); пр. 206М (1970-76)- 24 (вместе с заводами 341, 363 и 602); сторожевые (малые охотники): II серии МО-2 (1934- 35)- 32, IV серии МО-4 (1936-41)- 228, МО-ДЗ (1942-43-)- 46; пр. ПП-19-0 (1943), ПП-19-ОК (1944-45)- всего 46; малый охотник пр. 199 (1954-55)- 52; тральщик, сторожевик КМ-2 и КМ-4 (-1941-45)- 207; БК-2 (1941)- 6; десантный К-ЗИС-5 (1941-45)- 128;</w:t>
      </w:r>
      <w:r w:rsidRPr="00C33834">
        <w:rPr>
          <w:rFonts w:ascii="Times New Roman" w:hAnsi="Times New Roman"/>
          <w:color w:val="000000" w:themeColor="text1"/>
          <w:sz w:val="16"/>
          <w:szCs w:val="16"/>
          <w:vertAlign w:val="superscript"/>
        </w:rPr>
        <w:t>115</w:t>
      </w:r>
      <w:r w:rsidRPr="00C33834">
        <w:rPr>
          <w:rFonts w:ascii="Times New Roman" w:hAnsi="Times New Roman"/>
          <w:color w:val="000000" w:themeColor="text1"/>
          <w:sz w:val="16"/>
          <w:szCs w:val="16"/>
        </w:rPr>
        <w:t xml:space="preserve"> катерный тральщик пр. Т351 (1949); ракетные: пр. 183Э переоборудованы из ТКА-14, -15 (1957)- 2, пр. 183Р (1959-65)- 26 и 30 переоборудовано по пр. 183РТР (по другим данным, всего </w:t>
      </w:r>
      <w:r w:rsidRPr="00C33834">
        <w:rPr>
          <w:rFonts w:ascii="Times New Roman" w:hAnsi="Times New Roman"/>
          <w:color w:val="000000" w:themeColor="text1"/>
          <w:sz w:val="16"/>
          <w:szCs w:val="16"/>
          <w:vertAlign w:val="subscript"/>
        </w:rPr>
        <w:t>60</w:t>
      </w:r>
      <w:r w:rsidR="000656DA" w:rsidRPr="00C33834">
        <w:rPr>
          <w:rFonts w:ascii="Times New Roman" w:hAnsi="Times New Roman"/>
          <w:color w:val="000000" w:themeColor="text1"/>
          <w:sz w:val="16"/>
          <w:szCs w:val="16"/>
        </w:rPr>
        <w:fldChar w:fldCharType="begin"/>
      </w:r>
      <w:r w:rsidR="000656DA" w:rsidRPr="00C33834">
        <w:rPr>
          <w:rFonts w:ascii="Times New Roman" w:hAnsi="Times New Roman"/>
          <w:color w:val="000000" w:themeColor="text1"/>
          <w:sz w:val="16"/>
          <w:szCs w:val="16"/>
        </w:rPr>
        <w:instrText xml:space="preserve">ref  HYPERLINK "http://www.aimazmfo"  \* MERGEFORMAT </w:instrText>
      </w:r>
      <w:r w:rsidR="000656DA" w:rsidRPr="00C33834">
        <w:rPr>
          <w:rFonts w:ascii="Times New Roman" w:hAnsi="Times New Roman"/>
          <w:color w:val="000000" w:themeColor="text1"/>
          <w:sz w:val="16"/>
          <w:szCs w:val="16"/>
        </w:rPr>
        <w:fldChar w:fldCharType="separate"/>
      </w:r>
      <w:r w:rsidRPr="00C33834">
        <w:rPr>
          <w:rFonts w:ascii="Times New Roman" w:hAnsi="Times New Roman"/>
          <w:color w:val="000000" w:themeColor="text1"/>
          <w:sz w:val="16"/>
          <w:szCs w:val="16"/>
          <w:lang w:val="en-US"/>
        </w:rPr>
        <w:t>www</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aimazmfo</w:t>
      </w:r>
      <w:r w:rsidR="000656DA" w:rsidRPr="00C33834">
        <w:rPr>
          <w:rFonts w:ascii="Times New Roman" w:hAnsi="Times New Roman"/>
          <w:color w:val="000000" w:themeColor="text1"/>
          <w:sz w:val="16"/>
          <w:szCs w:val="16"/>
          <w:lang w:val="en-US"/>
        </w:rPr>
        <w:fldChar w:fldCharType="end"/>
      </w:r>
      <w:r w:rsidRPr="00C33834">
        <w:rPr>
          <w:rFonts w:ascii="Times New Roman" w:hAnsi="Times New Roman"/>
          <w:color w:val="000000" w:themeColor="text1"/>
          <w:sz w:val="16"/>
          <w:szCs w:val="16"/>
          <w:vertAlign w:val="subscript"/>
        </w:rPr>
        <w:t>); щ 2</w:t>
      </w:r>
      <w:r w:rsidRPr="00C33834">
        <w:rPr>
          <w:rFonts w:ascii="Times New Roman" w:hAnsi="Times New Roman"/>
          <w:color w:val="000000" w:themeColor="text1"/>
          <w:sz w:val="16"/>
          <w:szCs w:val="16"/>
          <w:vertAlign w:val="subscript"/>
          <w:lang w:val="en-US"/>
        </w:rPr>
        <w:t>Q</w:t>
      </w:r>
      <w:r w:rsidRPr="00C33834">
        <w:rPr>
          <w:rFonts w:ascii="Times New Roman" w:hAnsi="Times New Roman"/>
          <w:color w:val="000000" w:themeColor="text1"/>
          <w:sz w:val="16"/>
          <w:szCs w:val="16"/>
          <w:vertAlign w:val="subscript"/>
        </w:rPr>
        <w:t>5 (1959</w:t>
      </w:r>
      <w:r w:rsidRPr="00C33834">
        <w:rPr>
          <w:rFonts w:ascii="Times New Roman" w:hAnsi="Times New Roman"/>
          <w:color w:val="000000" w:themeColor="text1"/>
          <w:sz w:val="16"/>
          <w:szCs w:val="16"/>
        </w:rPr>
        <w:t>_</w:t>
      </w:r>
      <w:r w:rsidRPr="00C33834">
        <w:rPr>
          <w:rFonts w:ascii="Times New Roman" w:hAnsi="Times New Roman"/>
          <w:color w:val="000000" w:themeColor="text1"/>
          <w:sz w:val="16"/>
          <w:szCs w:val="16"/>
          <w:vertAlign w:val="subscript"/>
        </w:rPr>
        <w:t>66)</w:t>
      </w:r>
      <w:r w:rsidRPr="00C33834">
        <w:rPr>
          <w:rFonts w:ascii="Times New Roman" w:hAnsi="Times New Roman"/>
          <w:color w:val="000000" w:themeColor="text1"/>
          <w:sz w:val="16"/>
          <w:szCs w:val="16"/>
        </w:rPr>
        <w:t xml:space="preserve">_ </w:t>
      </w:r>
      <w:r w:rsidRPr="00C33834">
        <w:rPr>
          <w:rFonts w:ascii="Times New Roman" w:hAnsi="Times New Roman"/>
          <w:color w:val="000000" w:themeColor="text1"/>
          <w:sz w:val="16"/>
          <w:szCs w:val="16"/>
          <w:vertAlign w:val="subscript"/>
        </w:rPr>
        <w:t>68? пр 2</w:t>
      </w:r>
      <w:r w:rsidRPr="00C33834">
        <w:rPr>
          <w:rFonts w:ascii="Times New Roman" w:hAnsi="Times New Roman"/>
          <w:color w:val="000000" w:themeColor="text1"/>
          <w:sz w:val="16"/>
          <w:szCs w:val="16"/>
        </w:rPr>
        <w:t>05У (1965-72)- 19 (по другим данным, всего 89); пр. 12411 «Молния-1» с ПКР «Термит» (1979-80)- 1, (1982)- 1, (1983)-1; пограничный пр. 205П (1967-89)- 111,</w:t>
      </w:r>
    </w:p>
    <w:p w14:paraId="479A892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экспериментальный пр. 205ПЭ (1970), экспортный пр. 02059 для Кубы и Кампучии (1984-89)- 8; искатель мин пр. 257Д (1961-65)- 20 (вместе с заводами 602 и 789); рабочие: бортовой КРМ-10 (1950), пр. 337; пограничные сторожевые пр. 1400, пр. 1400М, представительский пр. 1400А (1970-е)- 4, экспортный пр. 1400МЭ (1970-91)- всего более 200 (вместе с заводами «Море» и Батумским); баркас моторный БМ-16 (1949)- 1; телеуправляемая мишень пр. 1392 (1966-80); самоходные десантные баржи: типа Т-4м «Танкист», типа А-3 «Артиллерист» (1950- е); рейдовый тральщик пр. 1258 «Корунд» (1967)- 1; МРК: пр. 1234 «Буря» (01.1967-69), (-1981), пр. 1234.1 «Овод» («Бурун», 1977-91)- всего 30; экспортный пр. 1234Э для Индии «Ураган» ("</w:t>
      </w:r>
      <w:r w:rsidRPr="00C33834">
        <w:rPr>
          <w:rFonts w:ascii="Times New Roman" w:hAnsi="Times New Roman"/>
          <w:color w:val="000000" w:themeColor="text1"/>
          <w:sz w:val="16"/>
          <w:szCs w:val="16"/>
          <w:lang w:val="en-US"/>
        </w:rPr>
        <w:t>VijayDurg</w:t>
      </w:r>
      <w:r w:rsidRPr="00C33834">
        <w:rPr>
          <w:rFonts w:ascii="Times New Roman" w:hAnsi="Times New Roman"/>
          <w:color w:val="000000" w:themeColor="text1"/>
          <w:sz w:val="16"/>
          <w:szCs w:val="16"/>
        </w:rPr>
        <w:t>"), «Прибой» ("</w:t>
      </w:r>
      <w:r w:rsidRPr="00C33834">
        <w:rPr>
          <w:rFonts w:ascii="Times New Roman" w:hAnsi="Times New Roman"/>
          <w:color w:val="000000" w:themeColor="text1"/>
          <w:sz w:val="16"/>
          <w:szCs w:val="16"/>
          <w:lang w:val="en-US"/>
        </w:rPr>
        <w:t>SihdhuDurg</w:t>
      </w:r>
      <w:r w:rsidRPr="00C33834">
        <w:rPr>
          <w:rFonts w:ascii="Times New Roman" w:hAnsi="Times New Roman"/>
          <w:color w:val="000000" w:themeColor="text1"/>
          <w:sz w:val="16"/>
          <w:szCs w:val="16"/>
        </w:rPr>
        <w:t>"), «Прилив» ("</w:t>
      </w:r>
      <w:r w:rsidRPr="00C33834">
        <w:rPr>
          <w:rFonts w:ascii="Times New Roman" w:hAnsi="Times New Roman"/>
          <w:color w:val="000000" w:themeColor="text1"/>
          <w:sz w:val="16"/>
          <w:szCs w:val="16"/>
          <w:lang w:val="en-US"/>
        </w:rPr>
        <w:t>HosDurg</w:t>
      </w:r>
      <w:r w:rsidRPr="00C33834">
        <w:rPr>
          <w:rFonts w:ascii="Times New Roman" w:hAnsi="Times New Roman"/>
          <w:color w:val="000000" w:themeColor="text1"/>
          <w:sz w:val="16"/>
          <w:szCs w:val="16"/>
        </w:rPr>
        <w:t>"), для Алжира МРК-21 ("</w:t>
      </w:r>
      <w:r w:rsidRPr="00C33834">
        <w:rPr>
          <w:rFonts w:ascii="Times New Roman" w:hAnsi="Times New Roman"/>
          <w:color w:val="000000" w:themeColor="text1"/>
          <w:sz w:val="16"/>
          <w:szCs w:val="16"/>
          <w:lang w:val="en-US"/>
        </w:rPr>
        <w:t>RasHamidou</w:t>
      </w:r>
      <w:r w:rsidRPr="00C33834">
        <w:rPr>
          <w:rFonts w:ascii="Times New Roman" w:hAnsi="Times New Roman"/>
          <w:color w:val="000000" w:themeColor="text1"/>
          <w:sz w:val="16"/>
          <w:szCs w:val="16"/>
        </w:rPr>
        <w:t>"), МРК-22 ("</w:t>
      </w:r>
      <w:r w:rsidRPr="00C33834">
        <w:rPr>
          <w:rFonts w:ascii="Times New Roman" w:hAnsi="Times New Roman"/>
          <w:color w:val="000000" w:themeColor="text1"/>
          <w:sz w:val="16"/>
          <w:szCs w:val="16"/>
          <w:lang w:val="en-US"/>
        </w:rPr>
        <w:t>ReisAli</w:t>
      </w:r>
      <w:r w:rsidRPr="00C33834">
        <w:rPr>
          <w:rFonts w:ascii="Times New Roman" w:hAnsi="Times New Roman"/>
          <w:color w:val="000000" w:themeColor="text1"/>
          <w:sz w:val="16"/>
          <w:szCs w:val="16"/>
        </w:rPr>
        <w:t xml:space="preserve">"), </w:t>
      </w:r>
      <w:r w:rsidRPr="00C33834">
        <w:rPr>
          <w:rFonts w:ascii="Times New Roman" w:hAnsi="Times New Roman"/>
          <w:color w:val="000000" w:themeColor="text1"/>
          <w:sz w:val="16"/>
          <w:szCs w:val="16"/>
          <w:lang w:val="en-US"/>
        </w:rPr>
        <w:t>MPK</w:t>
      </w:r>
      <w:r w:rsidRPr="00C33834">
        <w:rPr>
          <w:rFonts w:ascii="Times New Roman" w:hAnsi="Times New Roman"/>
          <w:color w:val="000000" w:themeColor="text1"/>
          <w:sz w:val="16"/>
          <w:szCs w:val="16"/>
        </w:rPr>
        <w:t>-23 ("</w:t>
      </w:r>
      <w:r w:rsidRPr="00C33834">
        <w:rPr>
          <w:rFonts w:ascii="Times New Roman" w:hAnsi="Times New Roman"/>
          <w:color w:val="000000" w:themeColor="text1"/>
          <w:sz w:val="16"/>
          <w:szCs w:val="16"/>
          <w:lang w:val="en-US"/>
        </w:rPr>
        <w:t>SalahReis</w:t>
      </w:r>
      <w:r w:rsidRPr="00C33834">
        <w:rPr>
          <w:rFonts w:ascii="Times New Roman" w:hAnsi="Times New Roman"/>
          <w:color w:val="000000" w:themeColor="text1"/>
          <w:sz w:val="16"/>
          <w:szCs w:val="16"/>
        </w:rPr>
        <w:t xml:space="preserve">"), для Ливии </w:t>
      </w:r>
      <w:r w:rsidRPr="00C33834">
        <w:rPr>
          <w:rFonts w:ascii="Times New Roman" w:hAnsi="Times New Roman"/>
          <w:color w:val="000000" w:themeColor="text1"/>
          <w:sz w:val="16"/>
          <w:szCs w:val="16"/>
          <w:lang w:val="en-US"/>
        </w:rPr>
        <w:t>MPK</w:t>
      </w:r>
      <w:r w:rsidRPr="00C33834">
        <w:rPr>
          <w:rFonts w:ascii="Times New Roman" w:hAnsi="Times New Roman"/>
          <w:color w:val="000000" w:themeColor="text1"/>
          <w:sz w:val="16"/>
          <w:szCs w:val="16"/>
        </w:rPr>
        <w:t>-9 ("</w:t>
      </w:r>
      <w:r w:rsidRPr="00C33834">
        <w:rPr>
          <w:rFonts w:ascii="Times New Roman" w:hAnsi="Times New Roman"/>
          <w:color w:val="000000" w:themeColor="text1"/>
          <w:sz w:val="16"/>
          <w:szCs w:val="16"/>
          <w:lang w:val="en-US"/>
        </w:rPr>
        <w:t>EanMara</w:t>
      </w:r>
      <w:r w:rsidRPr="00C33834">
        <w:rPr>
          <w:rFonts w:ascii="Times New Roman" w:hAnsi="Times New Roman"/>
          <w:color w:val="000000" w:themeColor="text1"/>
          <w:sz w:val="16"/>
          <w:szCs w:val="16"/>
        </w:rPr>
        <w:t xml:space="preserve">"), </w:t>
      </w:r>
      <w:r w:rsidRPr="00C33834">
        <w:rPr>
          <w:rFonts w:ascii="Times New Roman" w:hAnsi="Times New Roman"/>
          <w:color w:val="000000" w:themeColor="text1"/>
          <w:sz w:val="16"/>
          <w:szCs w:val="16"/>
          <w:lang w:val="en-US"/>
        </w:rPr>
        <w:t>MPK</w:t>
      </w:r>
      <w:r w:rsidRPr="00C33834">
        <w:rPr>
          <w:rFonts w:ascii="Times New Roman" w:hAnsi="Times New Roman"/>
          <w:color w:val="000000" w:themeColor="text1"/>
          <w:sz w:val="16"/>
          <w:szCs w:val="16"/>
        </w:rPr>
        <w:t>-15 ("</w:t>
      </w:r>
      <w:r w:rsidRPr="00C33834">
        <w:rPr>
          <w:rFonts w:ascii="Times New Roman" w:hAnsi="Times New Roman"/>
          <w:color w:val="000000" w:themeColor="text1"/>
          <w:sz w:val="16"/>
          <w:szCs w:val="16"/>
          <w:lang w:val="en-US"/>
        </w:rPr>
        <w:t>EanZaquit</w:t>
      </w:r>
      <w:r w:rsidRPr="00C33834">
        <w:rPr>
          <w:rFonts w:ascii="Times New Roman" w:hAnsi="Times New Roman"/>
          <w:color w:val="000000" w:themeColor="text1"/>
          <w:sz w:val="16"/>
          <w:szCs w:val="16"/>
        </w:rPr>
        <w:t xml:space="preserve">"), </w:t>
      </w:r>
      <w:r w:rsidRPr="00C33834">
        <w:rPr>
          <w:rFonts w:ascii="Times New Roman" w:hAnsi="Times New Roman"/>
          <w:color w:val="000000" w:themeColor="text1"/>
          <w:sz w:val="16"/>
          <w:szCs w:val="16"/>
          <w:lang w:val="en-US"/>
        </w:rPr>
        <w:t>MPK</w:t>
      </w:r>
      <w:r w:rsidRPr="00C33834">
        <w:rPr>
          <w:rFonts w:ascii="Times New Roman" w:hAnsi="Times New Roman"/>
          <w:color w:val="000000" w:themeColor="text1"/>
          <w:sz w:val="16"/>
          <w:szCs w:val="16"/>
        </w:rPr>
        <w:t>-24 ("</w:t>
      </w:r>
      <w:r w:rsidRPr="00C33834">
        <w:rPr>
          <w:rFonts w:ascii="Times New Roman" w:hAnsi="Times New Roman"/>
          <w:color w:val="000000" w:themeColor="text1"/>
          <w:sz w:val="16"/>
          <w:szCs w:val="16"/>
          <w:lang w:val="en-US"/>
        </w:rPr>
        <w:t>EanA</w:t>
      </w:r>
      <w:r w:rsidRPr="00C33834">
        <w:rPr>
          <w:rFonts w:ascii="Times New Roman" w:hAnsi="Times New Roman"/>
          <w:color w:val="000000" w:themeColor="text1"/>
          <w:sz w:val="16"/>
          <w:szCs w:val="16"/>
        </w:rPr>
        <w:t xml:space="preserve">1 </w:t>
      </w:r>
      <w:r w:rsidRPr="00C33834">
        <w:rPr>
          <w:rFonts w:ascii="Times New Roman" w:hAnsi="Times New Roman"/>
          <w:color w:val="000000" w:themeColor="text1"/>
          <w:sz w:val="16"/>
          <w:szCs w:val="16"/>
          <w:lang w:val="en-US"/>
        </w:rPr>
        <w:t>Gazala</w:t>
      </w:r>
      <w:r w:rsidRPr="00C33834">
        <w:rPr>
          <w:rFonts w:ascii="Times New Roman" w:hAnsi="Times New Roman"/>
          <w:color w:val="000000" w:themeColor="text1"/>
          <w:sz w:val="16"/>
          <w:szCs w:val="16"/>
        </w:rPr>
        <w:t xml:space="preserve">"), </w:t>
      </w:r>
      <w:r w:rsidRPr="00C33834">
        <w:rPr>
          <w:rFonts w:ascii="Times New Roman" w:hAnsi="Times New Roman"/>
          <w:color w:val="000000" w:themeColor="text1"/>
          <w:sz w:val="16"/>
          <w:szCs w:val="16"/>
          <w:lang w:val="en-US"/>
        </w:rPr>
        <w:t>MPK</w:t>
      </w:r>
      <w:r w:rsidRPr="00C33834">
        <w:rPr>
          <w:rFonts w:ascii="Times New Roman" w:hAnsi="Times New Roman"/>
          <w:color w:val="000000" w:themeColor="text1"/>
          <w:sz w:val="16"/>
          <w:szCs w:val="16"/>
        </w:rPr>
        <w:t>-25 ("</w:t>
      </w:r>
      <w:r w:rsidRPr="00C33834">
        <w:rPr>
          <w:rFonts w:ascii="Times New Roman" w:hAnsi="Times New Roman"/>
          <w:color w:val="000000" w:themeColor="text1"/>
          <w:sz w:val="16"/>
          <w:szCs w:val="16"/>
          <w:lang w:val="en-US"/>
        </w:rPr>
        <w:t>EanZara</w:t>
      </w:r>
      <w:r w:rsidRPr="00C33834">
        <w:rPr>
          <w:rFonts w:ascii="Times New Roman" w:hAnsi="Times New Roman"/>
          <w:color w:val="000000" w:themeColor="text1"/>
          <w:sz w:val="16"/>
          <w:szCs w:val="16"/>
        </w:rPr>
        <w:t>") (1976-84)- 10;</w:t>
      </w:r>
      <w:r w:rsidRPr="00C33834">
        <w:rPr>
          <w:rFonts w:ascii="Times New Roman" w:hAnsi="Times New Roman"/>
          <w:color w:val="000000" w:themeColor="text1"/>
          <w:sz w:val="16"/>
          <w:szCs w:val="16"/>
          <w:vertAlign w:val="superscript"/>
        </w:rPr>
        <w:t>3</w:t>
      </w:r>
      <w:r w:rsidRPr="00C33834">
        <w:rPr>
          <w:rFonts w:ascii="Times New Roman" w:hAnsi="Times New Roman"/>
          <w:color w:val="000000" w:themeColor="text1"/>
          <w:sz w:val="16"/>
          <w:szCs w:val="16"/>
        </w:rPr>
        <w:t xml:space="preserve"> пр. 1240 «Ураган» (1972-76)- 1; БРК пр. 12411 «Молния»; ПСКР: пр. 10410 «Светляк» (1989-92), (-05.1999)- 1, (-05.2000)- 1, «Алмаз» (-06.2001), «Ямалец» (2004), зак. № 310 (2000-е)- всего 10; пр. 10412 «Светляк» для Вьетнама (-08.2002)-1, (-09.2002)- 1; пр. 22460 (зак. № 501, 09.2007-); ПКА пр. 12200 «Соболь» (01.2003-2006)- 1, для Туркменистана (-09.2008)- 2; СВП: десантно-штурмовые пр. 1205 «Скат» (1969- 76)- 27 (вместе с заводами 340 и 831); пр. 1206 «Кальмар» (1972-85)- 2 (площадка № 2); МДК пр. 1232 «Джейран» (1970-85)- 20 (из них 19 - на площадке № 2), пр. 12322 «Зубр» (1983-91; 1998)- 6 (площадка № 2), пр. 12322Э для Греции «Кефаллиния» (05-10.2000), «Закинтос» (зак. № 107, -05.2001), «Керкир» (01.2003-06.2004)- 1; лоцманское судно-амфибия пр. 14661 «Рысь» (-</w:t>
      </w:r>
      <w:r w:rsidRPr="00C33834">
        <w:rPr>
          <w:rFonts w:ascii="Times New Roman" w:hAnsi="Times New Roman"/>
          <w:color w:val="000000" w:themeColor="text1"/>
          <w:sz w:val="16"/>
          <w:szCs w:val="16"/>
        </w:rPr>
        <w:lastRenderedPageBreak/>
        <w:t xml:space="preserve">12.1998)- 1; пассажирское пр. 15063 «Ирбис» (10.2003-2004); малый артиллерийский корабль пр. 21630 «Буян» «Астрахань» (01.2004-03.2006), «Каспийск» (02.2005-), «Махачкала (03.2006-); правительственные яхты: пр. 360 (1960-63)- 4, пр. 1360 «Кавказ», «Крым» (1978-79г.)- 2; катера: прогулочный пр. 370У (1950-е), пассажирский на ПК пр. 1233 «Тайфун» (1969), типа </w:t>
      </w:r>
      <w:r w:rsidRPr="00C33834">
        <w:rPr>
          <w:rFonts w:ascii="Times New Roman" w:hAnsi="Times New Roman"/>
          <w:color w:val="000000" w:themeColor="text1"/>
          <w:sz w:val="16"/>
          <w:szCs w:val="16"/>
          <w:lang w:val="en-US"/>
        </w:rPr>
        <w:t>SeaHorse</w:t>
      </w:r>
      <w:r w:rsidRPr="00C33834">
        <w:rPr>
          <w:rFonts w:ascii="Times New Roman" w:hAnsi="Times New Roman"/>
          <w:color w:val="000000" w:themeColor="text1"/>
          <w:sz w:val="16"/>
          <w:szCs w:val="16"/>
        </w:rPr>
        <w:t xml:space="preserve"> (1998)- 1, многоцелевой рабочий пр. «Алмаз-11900» (-06.1999)- 1; лоцманский пр. АР-1600 «Лоцман Сажин» (-10.1998), (-09.1999)- 1; судно экологического мониторинга пр. 16220 «Экопатруль-1 (1995), -2 (1990-е), -3» (1990-е); природоохранное судно пр. 23107Э «Россия» (1999); морской испытательный комплекс пр. Р2030 для НПП «Радар-ММС» (2005), таможенное судно пр. Р-2030Т ТС-596 (-2007); буксир-ледокол пр. 2805 «Невская застава» (2007-10.2009); яхты: пр. «Алмаз-53» (1990-е)- несколько шт., крейсерская пр. СТ-1400 (-08.1999)- 1;</w:t>
      </w:r>
    </w:p>
    <w:p w14:paraId="0E8CAF0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кровати, журнальные и сервировочные столики (1980-е); рассадопосадочные машины (1990-е); опытные вагоны для скоростного поезда «Сокол-250» (1990-е); плавучий фонтанный комплекс для Санкт-Петербурга (2006);</w:t>
      </w:r>
    </w:p>
    <w:p w14:paraId="462478A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переоборудование: торпедного катера ТД-200бис подводным крылом ЦАГИ (1950-е); модернизация президентской яхты пр. 1360 «Кавказ» (принадлежавшей ранее Л.И. Брежневу, 11.2001-05.2002); теплохода «Ласточка» в яхту «Лаймарита» (-06.2000) (11982).</w:t>
      </w:r>
    </w:p>
    <w:p w14:paraId="0035DDAA" w14:textId="77777777" w:rsidR="00A76142" w:rsidRPr="00C33834" w:rsidRDefault="00A7614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D85764F" w14:textId="77777777" w:rsidR="00A76142"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74188D57" w14:textId="77777777" w:rsidR="00A76142" w:rsidRPr="00C33834" w:rsidRDefault="00A7614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CF32642" w14:textId="77777777" w:rsidR="00A76142" w:rsidRPr="00C33834" w:rsidRDefault="00A76142"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23 февраля</w:t>
      </w:r>
      <w:r w:rsidRPr="00C33834">
        <w:rPr>
          <w:rFonts w:ascii="Times New Roman" w:hAnsi="Times New Roman"/>
          <w:color w:val="000000" w:themeColor="text1"/>
          <w:sz w:val="16"/>
          <w:szCs w:val="16"/>
        </w:rPr>
        <w:t xml:space="preserve"> в 1933 году К.Е.Ворошилов в докладе 15 лет PККА отмечал, что в ВВС удельный вес бомбардировщиков - 38%, истребителей - 31%, то есть все более боевые и меньше разведчиков. ВВС имеют все типы авиации: И, Б, ТБ, Ш (15049).</w:t>
      </w:r>
    </w:p>
    <w:p w14:paraId="470FA24B" w14:textId="77777777" w:rsidR="00A76142" w:rsidRPr="00C33834" w:rsidRDefault="00A76142" w:rsidP="00C33834">
      <w:pPr>
        <w:spacing w:after="0" w:line="240" w:lineRule="auto"/>
        <w:jc w:val="both"/>
        <w:rPr>
          <w:rFonts w:ascii="Times New Roman" w:hAnsi="Times New Roman"/>
          <w:color w:val="000000" w:themeColor="text1"/>
          <w:sz w:val="16"/>
          <w:szCs w:val="16"/>
        </w:rPr>
      </w:pPr>
    </w:p>
    <w:p w14:paraId="3DD1FBE0" w14:textId="77777777" w:rsidR="00A7614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3BB8980B" w14:textId="77777777" w:rsidR="00A76142" w:rsidRPr="00C33834" w:rsidRDefault="00A7614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3ADA567" w14:textId="77777777" w:rsidR="00A76142" w:rsidRPr="00C33834" w:rsidRDefault="00A76142" w:rsidP="00C33834">
      <w:pPr>
        <w:pStyle w:val="rtejustify"/>
        <w:spacing w:before="0" w:after="0"/>
        <w:rPr>
          <w:color w:val="000000" w:themeColor="text1"/>
          <w:sz w:val="16"/>
          <w:szCs w:val="16"/>
        </w:rPr>
      </w:pPr>
      <w:r w:rsidRPr="00C33834">
        <w:rPr>
          <w:rStyle w:val="af0"/>
          <w:bCs/>
          <w:i w:val="0"/>
          <w:color w:val="000000" w:themeColor="text1"/>
          <w:sz w:val="16"/>
          <w:szCs w:val="16"/>
        </w:rPr>
        <w:t>23 февраля</w:t>
      </w:r>
      <w:r w:rsidRPr="00C33834">
        <w:rPr>
          <w:color w:val="000000" w:themeColor="text1"/>
          <w:sz w:val="16"/>
          <w:szCs w:val="16"/>
        </w:rPr>
        <w:t xml:space="preserve"> 1933. Постановление ЦИК и СНК СССР № 58/78 «Об изменении постановления ЦИК и СНК СССР от 17 декабря 1931 г. об организации Центрального управления народно-хозяйственного учета при Госплане СССР и постановления СНК СССР от 10 марта 1932 г. об утверждении положения о Центральном управлении народнохозяйственного учета при Госплане СССР» (</w:t>
      </w:r>
      <w:hyperlink r:id="rId68" w:history="1">
        <w:r w:rsidRPr="00C33834">
          <w:rPr>
            <w:rStyle w:val="a5"/>
            <w:color w:val="000000" w:themeColor="text1"/>
            <w:sz w:val="16"/>
            <w:szCs w:val="16"/>
          </w:rPr>
          <w:t xml:space="preserve"> № 11. Ст. 52</w:t>
        </w:r>
      </w:hyperlink>
      <w:r w:rsidRPr="00C33834">
        <w:rPr>
          <w:color w:val="000000" w:themeColor="text1"/>
          <w:sz w:val="16"/>
          <w:szCs w:val="16"/>
        </w:rPr>
        <w:t>) (15460).</w:t>
      </w:r>
    </w:p>
    <w:p w14:paraId="27AF3E3B" w14:textId="77777777" w:rsidR="00A76142" w:rsidRPr="00C33834" w:rsidRDefault="00A76142" w:rsidP="00C33834">
      <w:pPr>
        <w:pStyle w:val="rtejustify"/>
        <w:spacing w:before="0" w:after="0"/>
        <w:rPr>
          <w:color w:val="000000" w:themeColor="text1"/>
          <w:sz w:val="16"/>
          <w:szCs w:val="16"/>
        </w:rPr>
      </w:pPr>
    </w:p>
    <w:p w14:paraId="08F320CC" w14:textId="77777777" w:rsidR="002E47F6" w:rsidRPr="00C33834" w:rsidRDefault="002E47F6" w:rsidP="00C33834">
      <w:pPr>
        <w:pStyle w:val="rtejustify"/>
        <w:spacing w:before="0" w:after="0"/>
        <w:rPr>
          <w:color w:val="000000" w:themeColor="text1"/>
          <w:sz w:val="16"/>
          <w:szCs w:val="16"/>
        </w:rPr>
      </w:pPr>
      <w:r w:rsidRPr="00C33834">
        <w:rPr>
          <w:color w:val="000000" w:themeColor="text1"/>
          <w:sz w:val="16"/>
          <w:szCs w:val="16"/>
        </w:rPr>
        <w:t xml:space="preserve">23 </w:t>
      </w:r>
      <w:bookmarkStart w:id="6" w:name="YANDEX_45"/>
      <w:bookmarkEnd w:id="6"/>
      <w:r w:rsidRPr="00C33834">
        <w:rPr>
          <w:rStyle w:val="highlight"/>
          <w:color w:val="000000" w:themeColor="text1"/>
          <w:sz w:val="16"/>
          <w:szCs w:val="16"/>
        </w:rPr>
        <w:t> февраля </w:t>
      </w:r>
      <w:bookmarkStart w:id="7" w:name="YANDEX_46"/>
      <w:bookmarkEnd w:id="7"/>
      <w:r w:rsidRPr="00C33834">
        <w:rPr>
          <w:rStyle w:val="highlight"/>
          <w:color w:val="000000" w:themeColor="text1"/>
          <w:sz w:val="16"/>
          <w:szCs w:val="16"/>
        </w:rPr>
        <w:t> 1933 </w:t>
      </w:r>
      <w:r w:rsidRPr="00C33834">
        <w:rPr>
          <w:color w:val="000000" w:themeColor="text1"/>
          <w:sz w:val="16"/>
          <w:szCs w:val="16"/>
        </w:rPr>
        <w:t xml:space="preserve"> г. ПБ приняло постановление «О поездках по СССР иностранных корреспондентов», в котором устанавливался порядок, «в силу которого они могут разъезжать по СССР и посещать определенные пункты лишь с разрешения Главного управления милиции» (РГАСПИ. Ф. 17. Оп. 3. Д. 916. Л. 25) (17281).</w:t>
      </w:r>
    </w:p>
    <w:p w14:paraId="723DF0E6" w14:textId="77777777" w:rsidR="002E47F6" w:rsidRPr="00C33834" w:rsidRDefault="002E47F6" w:rsidP="00C33834">
      <w:pPr>
        <w:pStyle w:val="rtejustify"/>
        <w:spacing w:before="0" w:after="0"/>
        <w:rPr>
          <w:color w:val="000000" w:themeColor="text1"/>
          <w:sz w:val="16"/>
          <w:szCs w:val="16"/>
        </w:rPr>
      </w:pPr>
    </w:p>
    <w:p w14:paraId="4D4F89A3" w14:textId="77777777" w:rsidR="004C24F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7F600335" w14:textId="77777777" w:rsidR="004C24F7" w:rsidRPr="00C33834" w:rsidRDefault="004C24F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168160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февраля 1933 японская армия, наступающая их Манчжурии на юго-запад (по 12 марта), после захвата Джеола продолжила движение на юг (3907,179).</w:t>
      </w:r>
    </w:p>
    <w:p w14:paraId="31218AC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6ED56FF2" w14:textId="77777777" w:rsidR="004C24F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D348297" w14:textId="77777777" w:rsidR="004C24F7" w:rsidRPr="00C33834" w:rsidRDefault="004C24F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2828F1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февраля 1933 Нач. ВВС РККА Алкснис утвердил Положение об испытаниях самолетов и о введении их на вооружение (2264,177).</w:t>
      </w:r>
    </w:p>
    <w:p w14:paraId="55B7E34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0173ABE6" w14:textId="77777777" w:rsidR="00E844EA" w:rsidRPr="00C33834" w:rsidRDefault="00E844E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D963647" w14:textId="77777777" w:rsidR="00E844EA" w:rsidRPr="00C33834" w:rsidRDefault="00E844E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D7CF4BA" w14:textId="77777777" w:rsidR="00E844EA" w:rsidRPr="00C33834" w:rsidRDefault="00E844E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24 февраля 1933 опросом членов ПБ</w:t>
      </w:r>
    </w:p>
    <w:p w14:paraId="7DC54FEB" w14:textId="77777777" w:rsidR="00E844EA" w:rsidRPr="00C33834" w:rsidRDefault="00E844E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131/96.- Об олове для НКТП</w:t>
      </w:r>
    </w:p>
    <w:p w14:paraId="1597EE19" w14:textId="77777777" w:rsidR="00E844EA" w:rsidRPr="00C33834" w:rsidRDefault="00E844E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Для обеспечения ремонтной кампании баббитом, выдать НКТПрому из фондов. Комитета Резервов З6 тонн олова.</w:t>
      </w:r>
    </w:p>
    <w:p w14:paraId="0095F526" w14:textId="77777777" w:rsidR="00E844EA" w:rsidRPr="00C33834" w:rsidRDefault="00E844E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т.т.Куйбышеву,3ибраку, Пятакову</w:t>
      </w:r>
    </w:p>
    <w:p w14:paraId="13EA71E6" w14:textId="77777777" w:rsidR="00E844EA" w:rsidRPr="00C33834" w:rsidRDefault="00E844E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марта 1933 состоялось заседание ПБ и был оформлен протокол № 131 (22981).</w:t>
      </w:r>
    </w:p>
    <w:p w14:paraId="242035C9" w14:textId="77777777" w:rsidR="00E844EA" w:rsidRPr="00C33834" w:rsidRDefault="00E844EA" w:rsidP="00C33834">
      <w:pPr>
        <w:spacing w:after="0" w:line="240" w:lineRule="auto"/>
        <w:jc w:val="both"/>
        <w:rPr>
          <w:rFonts w:ascii="Times New Roman" w:hAnsi="Times New Roman"/>
          <w:color w:val="0070C0"/>
          <w:sz w:val="16"/>
          <w:szCs w:val="16"/>
        </w:rPr>
      </w:pPr>
    </w:p>
    <w:p w14:paraId="0A963186" w14:textId="77777777" w:rsidR="004C24F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EF68D4A" w14:textId="77777777" w:rsidR="004C24F7" w:rsidRPr="00C33834" w:rsidRDefault="004C24F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3971EC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февраля 1933 Лига Наций одобрила доклад Литтона, в котором говорилось о суверенном праве Китая на Манчжурию (3907,179).</w:t>
      </w:r>
    </w:p>
    <w:p w14:paraId="2784C2C3" w14:textId="77777777" w:rsidR="007C00E8" w:rsidRPr="00C33834" w:rsidRDefault="007C00E8" w:rsidP="00C33834">
      <w:pPr>
        <w:autoSpaceDE w:val="0"/>
        <w:autoSpaceDN w:val="0"/>
        <w:adjustRightInd w:val="0"/>
        <w:spacing w:after="0" w:line="240" w:lineRule="auto"/>
        <w:jc w:val="both"/>
        <w:rPr>
          <w:rFonts w:ascii="Times New Roman" w:hAnsi="Times New Roman"/>
          <w:color w:val="000000" w:themeColor="text1"/>
          <w:sz w:val="16"/>
          <w:szCs w:val="16"/>
        </w:rPr>
      </w:pPr>
    </w:p>
    <w:p w14:paraId="2B308018" w14:textId="77777777" w:rsidR="007C00E8" w:rsidRPr="00C33834" w:rsidRDefault="007C00E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февраля 1933 полиция Геринга устроила налет на "Карл-Либкнехт-хаус", штаб-квартиру коммунистов в Берлине. Руководство коммунистов покинуло это помещение еще за несколько недель до налета. Часть его ушла в подполье, а часть нелегально перебралась в Россию. Но в подвале осталось много пропагандистских брошюр. Этого оказалось достаточно, чтобы Геринг заявил в официальном коммюнике, будто захваченные документы свидетельствуют о намерении коммунистов совершить переворот. Общественность и даже некоторые консерваторы - члены правительства отнеслись к этому, заявлению скептически. Было очевидно, что, пока не начались выборы, требуется найти более сильное средство воздействия на публику (17283).</w:t>
      </w:r>
    </w:p>
    <w:p w14:paraId="7EAED69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146BF9DD" w14:textId="77777777" w:rsidR="004C24F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D5D4903" w14:textId="77777777" w:rsidR="004C24F7" w:rsidRPr="00C33834" w:rsidRDefault="004C24F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A790B94" w14:textId="77777777" w:rsidR="00E844EA" w:rsidRPr="00C33834" w:rsidRDefault="00E844EA" w:rsidP="00C33834">
      <w:pPr>
        <w:pStyle w:val="17"/>
        <w:shd w:val="clear" w:color="auto" w:fill="auto"/>
        <w:spacing w:before="0" w:line="240" w:lineRule="auto"/>
        <w:ind w:firstLine="0"/>
        <w:jc w:val="both"/>
        <w:rPr>
          <w:rFonts w:ascii="Times New Roman" w:hAnsi="Times New Roman" w:cs="Times New Roman"/>
          <w:color w:val="0070C0"/>
          <w:spacing w:val="0"/>
          <w:sz w:val="16"/>
          <w:szCs w:val="16"/>
        </w:rPr>
      </w:pPr>
      <w:r w:rsidRPr="00C33834">
        <w:rPr>
          <w:rFonts w:ascii="Times New Roman" w:hAnsi="Times New Roman" w:cs="Times New Roman"/>
          <w:color w:val="0070C0"/>
          <w:spacing w:val="0"/>
          <w:sz w:val="16"/>
          <w:szCs w:val="16"/>
        </w:rPr>
        <w:t>25 февраля 1933 года военные провели доста</w:t>
      </w:r>
      <w:r w:rsidRPr="00C33834">
        <w:rPr>
          <w:rFonts w:ascii="Times New Roman" w:hAnsi="Times New Roman" w:cs="Times New Roman"/>
          <w:color w:val="0070C0"/>
          <w:spacing w:val="0"/>
          <w:sz w:val="16"/>
          <w:szCs w:val="16"/>
        </w:rPr>
        <w:softHyphen/>
        <w:t>точно представительное совещание под председательством М.Н. Тухачевского, быв</w:t>
      </w:r>
      <w:r w:rsidRPr="00C33834">
        <w:rPr>
          <w:rFonts w:ascii="Times New Roman" w:hAnsi="Times New Roman" w:cs="Times New Roman"/>
          <w:color w:val="0070C0"/>
          <w:spacing w:val="0"/>
          <w:sz w:val="16"/>
          <w:szCs w:val="16"/>
        </w:rPr>
        <w:softHyphen/>
        <w:t>шего в тот момент замнаркома по вооруже</w:t>
      </w:r>
      <w:r w:rsidRPr="00C33834">
        <w:rPr>
          <w:rFonts w:ascii="Times New Roman" w:hAnsi="Times New Roman" w:cs="Times New Roman"/>
          <w:color w:val="0070C0"/>
          <w:spacing w:val="0"/>
          <w:sz w:val="16"/>
          <w:szCs w:val="16"/>
        </w:rPr>
        <w:softHyphen/>
        <w:t>нию. Кроме него в совещании участвовали начальник ГУАП П.И. Баранов и А.Н. Туполев. Дмитрий Павлович сделал обширный доклад по вопросам развития и применения безот</w:t>
      </w:r>
      <w:r w:rsidRPr="00C33834">
        <w:rPr>
          <w:rFonts w:ascii="Times New Roman" w:hAnsi="Times New Roman" w:cs="Times New Roman"/>
          <w:color w:val="0070C0"/>
          <w:spacing w:val="0"/>
          <w:sz w:val="16"/>
          <w:szCs w:val="16"/>
        </w:rPr>
        <w:softHyphen/>
        <w:t>катной артиллерии в авиации. Помимо общих вопросов интеграции ДРП и самолета на основе анализа опыта эксплуатации Избыли представлены аванпроекты истребителей и крейсера под перспективные отечественные моторы М-32, М-34 и М-38. Тем не менее, ИП-1 появился только в плане на 1934-35 годы, утвержденном 14 июля 1934 года, что трудно не связать с назначением в марте того же года Тухачевского Наркомом Обороны. В план включили еще четыре машины с 7б-мм ДРП: тяжелый и легкий крейсера, истреби</w:t>
      </w:r>
      <w:r w:rsidRPr="00C33834">
        <w:rPr>
          <w:rFonts w:ascii="Times New Roman" w:hAnsi="Times New Roman" w:cs="Times New Roman"/>
          <w:color w:val="0070C0"/>
          <w:spacing w:val="0"/>
          <w:sz w:val="16"/>
          <w:szCs w:val="16"/>
        </w:rPr>
        <w:softHyphen/>
        <w:t>тель под индексом И-20 и летающее крыло Черановского. Строить эти четыре самолета должна была недавно созданное при участии М.Н. Тухачевского Управление Специальных Работ НКТП, в котором сосредоточили все направления работ по безоткатной артилле</w:t>
      </w:r>
      <w:r w:rsidRPr="00C33834">
        <w:rPr>
          <w:rFonts w:ascii="Times New Roman" w:hAnsi="Times New Roman" w:cs="Times New Roman"/>
          <w:color w:val="0070C0"/>
          <w:spacing w:val="0"/>
          <w:sz w:val="16"/>
          <w:szCs w:val="16"/>
        </w:rPr>
        <w:softHyphen/>
        <w:t>рии. Руководил УСР НКТП Л.В. Курчевский (19933).</w:t>
      </w:r>
    </w:p>
    <w:p w14:paraId="10BE28A0" w14:textId="77777777" w:rsidR="00E844EA" w:rsidRPr="00C33834" w:rsidRDefault="00E844EA" w:rsidP="00C33834">
      <w:pPr>
        <w:pStyle w:val="17"/>
        <w:shd w:val="clear" w:color="auto" w:fill="auto"/>
        <w:spacing w:before="0" w:line="240" w:lineRule="auto"/>
        <w:ind w:firstLine="0"/>
        <w:jc w:val="both"/>
        <w:rPr>
          <w:rFonts w:ascii="Times New Roman" w:hAnsi="Times New Roman" w:cs="Times New Roman"/>
          <w:color w:val="0070C0"/>
          <w:spacing w:val="0"/>
          <w:sz w:val="16"/>
          <w:szCs w:val="16"/>
        </w:rPr>
      </w:pPr>
    </w:p>
    <w:p w14:paraId="4EC6B4A2" w14:textId="77777777" w:rsidR="004C24F7" w:rsidRPr="00C33834" w:rsidRDefault="004C24F7"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февраля 1933 года начальник управления военных изобретений НВ Г. Новиков писал письмо № 340569с зам. председателя РВС Тухачевскому, начальнику УВВС Алкснису, председателю комиссии по стратосферным самолетам по Госплану.</w:t>
      </w:r>
    </w:p>
    <w:p w14:paraId="380C7BB3" w14:textId="77777777" w:rsidR="004C24F7" w:rsidRPr="00C33834" w:rsidRDefault="004C24F7"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связи с реорганизацией ЦАГИ и слиянием бригады ЦАГИ по стратосферным самолетам с бригадой БНК по тем же самолетам с плана работ 1933 года снимается и консервируется на неопределенное время стратосферная машина БНК конструкции инженера Лавочкина. Эта машина представляет несомненный и большой интерес как по устройству герметической кабины, так и особенно по наддувающему хозяйству мотора. В этих двух решающих для стратосферного самолета вопросах машина БНК выгодно отличается от машины ЦАГИ. Мотив почему машина БНК снята с плана 1933 года, а машина ЦАГИ оставлена, сводится по видимому к тому, что машина ЦАГИ находится уже в стадии производства, а машина БНК лишь в стадии проектирования. Однако и машину ЦАГИ несомненно задержит наддувающее хозяйство мотора, которое еще только проектируется ЦИАМом.</w:t>
      </w:r>
    </w:p>
    <w:p w14:paraId="51F25B7E" w14:textId="77777777" w:rsidR="004C24F7" w:rsidRPr="00C33834" w:rsidRDefault="004C24F7"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Учитывая серьезные достижения в конструкции машины БНК Лавочкина и целесообразность экспериментирования столь важного вопроса, как стратосферный самолет в двух вариантах минимум, считаю необходимым продолжение работ по машине Лавочкина в 1933 году, хотя бы с задачей окончания в этом году проектирования машины (6779, 43).</w:t>
      </w:r>
    </w:p>
    <w:p w14:paraId="59ACC5F7" w14:textId="77777777" w:rsidR="004C24F7" w:rsidRPr="00C33834" w:rsidRDefault="004C24F7"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3382B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февраля 1933 года и.о. начальника ЦАГИ Некрасов и нач. отдела особых конструкций ЦАГИ Изаксон писали письмо N 385с начальнику ВВС Алкснису.</w:t>
      </w:r>
    </w:p>
    <w:p w14:paraId="572AE5E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результате двухгодичной работы Отдела особых конструкций ЦАГИ по разрешению проблемы летательных аппаратов типа автожира, мы имеем на сегодня достаточно удовлетворительные результаты, выражающиеся в следующем:</w:t>
      </w:r>
    </w:p>
    <w:p w14:paraId="23C36C1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Спроектирован, построен и проведены полные летные испытания автожира 2-ЭА под мотор Титан, выявившего в результате летных испытаний весьма приличные летные качества, не уступающие соответствующим заграничным машинам.</w:t>
      </w:r>
    </w:p>
    <w:p w14:paraId="1B16BB0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Спроектирован и построен автожир 4-ЭА под мотор М-26 300 л.с. Один аппарат построен в ЗОК"е ЦАГИ и второй в качестве первой головной машины на Киевском заводе N 43. И тот, и другой аппарат имели первые полеты.</w:t>
      </w:r>
    </w:p>
    <w:p w14:paraId="5210A02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Спроектирован и заканчивается постройкой автожир 6-ЭА под мотор М-11 110 л.с., который в ближайшее время поступит на летные испытания.</w:t>
      </w:r>
    </w:p>
    <w:p w14:paraId="62DCD80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Заканчивается проектированием и находится уже в постройке аппарат 7-ЭА под мотор М-22 - 480 л.с.</w:t>
      </w:r>
    </w:p>
    <w:p w14:paraId="4D575E0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со всей остротой встает в настоящее время вопрос о необходимости выписать из-за границы автожир одного из последних наиболее совершенных типов, что даст возможность получить очень ценный опыт и ряд направляющих указаний...</w:t>
      </w:r>
    </w:p>
    <w:p w14:paraId="2BC001B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Я не сомневаюсь в том, что это даст нам возможность разрешить проблему аппаратов этого типа и действительно догнать заграницу по этим машинам.</w:t>
      </w:r>
    </w:p>
    <w:p w14:paraId="000DF5D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английских автожиров, по нашему мнению, следует приобрести автожир Сиерва С-19, марка IV, выпуска 1931 года, с мотором Дженет - 100 л.с.</w:t>
      </w:r>
    </w:p>
    <w:p w14:paraId="329DDDD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американских мы бы считали нужным остановиться или на автожире Питкерн РС-А2, выпуска 1930 года, с мотором Райт 300 л.с. или автожир Келлет К-3, выпуска 1932 года под мотор Кинер - 210 л.с.</w:t>
      </w:r>
    </w:p>
    <w:p w14:paraId="6D54C15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Одновременно мы хотели бы обратить внимание, что немецкая фирма Фокке-Вульф купила лицензию на машины Сиерва С-19 м. IV и по этой лицензии начала выпускать машины этого типа. Не исключена возможность завести переговоры с этой фирмой о покупке у них этого аппарата. Кроме того, по журнальным сведениям известно, что Япония приобрела три американских автожира Келлет К-3 для ознакомления с машинами этого типа. (3029,150-152).</w:t>
      </w:r>
    </w:p>
    <w:p w14:paraId="678B446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64CD37F4" w14:textId="77777777" w:rsidR="004C24F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FE87F7B" w14:textId="77777777" w:rsidR="004C24F7" w:rsidRPr="00C33834" w:rsidRDefault="004C24F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56F647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25 февраля 1933 года были изготовлены первые 8 бронекорпусов и началась сборка первых четырех танков Т-28 (3862).</w:t>
      </w:r>
    </w:p>
    <w:p w14:paraId="1D6E918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35D1055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февраля 1933 вышло распоряжение УММ РККА, согласно которому два танка Кристи, закупленные в США - Оригинал-1 и Оригинал-2, с разобранными механизмами были отправлены на восстановление в ХПЗ (3879,15).</w:t>
      </w:r>
    </w:p>
    <w:p w14:paraId="2EC7922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393EEC69" w14:textId="77777777" w:rsidR="004C24F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3E0056DB" w14:textId="77777777" w:rsidR="004C24F7" w:rsidRPr="00C33834" w:rsidRDefault="004C24F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E10D9D0" w14:textId="77777777" w:rsidR="004C24F7" w:rsidRPr="00C33834" w:rsidRDefault="004C24F7"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февраля 1933 по обвинению в контрреволюционной деятельности арестован русский богослов, философ Павел Флоренский (4962).</w:t>
      </w:r>
    </w:p>
    <w:p w14:paraId="5780DAA0" w14:textId="77777777" w:rsidR="004C24F7" w:rsidRPr="00C33834" w:rsidRDefault="004C24F7"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5012B5" w14:textId="77777777" w:rsidR="00166499" w:rsidRPr="00C33834" w:rsidRDefault="0016649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февраля 1933 г. Всероссийское совещание заведующих Край- и ОблОНО (краевых и областных отделов народного образования) приняло резолюцию «О ликвидации вредных последствий чистки книжных фондов библиотек», в которой признало, что постановления НКПроса о прекращении чисток не выполняется. О том, что чистки не удается остановить, говорилось в секретном циркуляре ЦК ВКП (б) No 113/79 от 16 июня 1933 года "О спецхранах в библиотеках", подписанным Зав. Культпропом ЦК А.Стецким. Партийным органам предлагалось взять ситуацию под свой контроль.</w:t>
      </w:r>
    </w:p>
    <w:p w14:paraId="6BEA506A" w14:textId="77777777" w:rsidR="00166499" w:rsidRPr="00C33834" w:rsidRDefault="0016649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 местах отказ от практики чисток начался намного позднее. Так, например, в г.Горьком (Нижний Новгород) Краевая комиссия для руководства работой по ликвидации ошибок в пересмотре книжного состава библиотек создана приказом Заведующего КрайОНО только 9 сентября 1933 г. Комиссию возглавил начальник Крайлита В.Е.Бабкин, закончивший 2 класса начальной школы и библиотечные курсы Политпросвета. В одном из циркуляров районным комиссиям и органам цензуры он пересказывал приказ Б.Волина: «1. Изъятие книг из библиотек разрешается только по специальным указаниям краевой комиссии. 2. Все инструкции Главполитпросвета о пересмотре книжного состава массовых библиотек включая 1932 г. отменяются, 3. Категорически запрещается пользоваться материалами книгоцентра по списанию в макулатуру в целях изъятия книг из библиотек. 4. Под руководством краевой и районной комиссии из библиотек должна быть удалена имеющая явно контрреволюционная и религиозная литература... 5. Изъятие книг только потому, что они напечатаны по старой орфографии, запрещается» (орфография подлинника). В циркуляре отмечалось также, что спецфонды в библиотеках должны быть открыты, но произведения Троцкого и Зиновьева выдаваться не должны. </w:t>
      </w:r>
    </w:p>
    <w:p w14:paraId="171BE839" w14:textId="77777777" w:rsidR="00166499" w:rsidRPr="00C33834" w:rsidRDefault="0016649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Главлит пытался монополизировать управление чистками, но не прекратить их (что было невозможно в условиях постоянной политической и идеологической борьбы). Одновременно с этим, объем чисток был сильно сокращен. Так, например, за весь 1933 год приказами Главлита, Московского Обллита и Ленгорлита было изъято всего 87 книг, изданных в 1932-1933 годах. Среди этих книг только три произведения художественной литературы: Бандурский «Наперекор», В.Рамо «Русский остров», Ал.Тверяк «Такая жизнь» (новелла, опубликованная в самарском журнале «Волжская новь» №1-2, 1933). Остальные издания принадлежат к сельско-хозяйственной или промышленной тематике, отчасти - к политической беллетристике и публицистике. Причинами изъятия последней стали или плохой перевод книги Сталина, или изгибы внешней политики (изымались книги Братковского о польском фашизме), или иные идеологические причины (17273).</w:t>
      </w:r>
    </w:p>
    <w:p w14:paraId="24A893F9" w14:textId="77777777" w:rsidR="00166499" w:rsidRPr="00C33834" w:rsidRDefault="00166499" w:rsidP="00C33834">
      <w:pPr>
        <w:spacing w:after="0" w:line="240" w:lineRule="auto"/>
        <w:jc w:val="both"/>
        <w:rPr>
          <w:rFonts w:ascii="Times New Roman" w:hAnsi="Times New Roman"/>
          <w:color w:val="000000" w:themeColor="text1"/>
          <w:sz w:val="16"/>
          <w:szCs w:val="16"/>
        </w:rPr>
      </w:pPr>
    </w:p>
    <w:p w14:paraId="724172F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февраля 1933 приказом по ДИТЛ № 42 капельмейстер Управления Дмитлага Макс Авельевич Кюсс (автор знаменитого вальса «Амурские волны») назначался с 1 марта «на должность стрелка ВОХР с исполнением обязанностей капельмейстера» (саму должность капельмейстера, видимо, сочли излишней) (7560).</w:t>
      </w:r>
    </w:p>
    <w:p w14:paraId="53E3B6A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61E337E6" w14:textId="77777777" w:rsidR="004C24F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64E46FD5" w14:textId="77777777" w:rsidR="004C24F7" w:rsidRPr="00C33834" w:rsidRDefault="004C24F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AA3333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февраля 1933 г. был подписан заключительный протокол между советским торгпредством и двумя германскими консорциумами во главе с «Дойче Банк» и «Дрезднер Банк» о предоставлении СССР еще кредитов на общую сумму в 140 млн. марок. Однако едва ли этот кредит мог помочь сохранить динамику развития двусторонней торговли, имевшей все предыдущие годы устойчивую тенденцию к росту. В период «великой депрессии» она выглядела таким образом: (в млн. марок) (Архив НКВТ СССР, ф. Особый сектор, on. 6066, д. 233, л. 129, огп)</w:t>
      </w:r>
    </w:p>
    <w:tbl>
      <w:tblPr>
        <w:tblW w:w="0" w:type="auto"/>
        <w:tblInd w:w="3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573"/>
        <w:gridCol w:w="3223"/>
        <w:gridCol w:w="3091"/>
        <w:gridCol w:w="1633"/>
        <w:gridCol w:w="838"/>
      </w:tblGrid>
      <w:tr w:rsidR="00F26F01" w:rsidRPr="00C33834" w14:paraId="23B41D52" w14:textId="77777777">
        <w:tc>
          <w:tcPr>
            <w:tcW w:w="573" w:type="dxa"/>
            <w:tcBorders>
              <w:top w:val="single" w:sz="12" w:space="0" w:color="000000"/>
            </w:tcBorders>
          </w:tcPr>
          <w:p w14:paraId="51EFBF7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Годы</w:t>
            </w:r>
          </w:p>
        </w:tc>
        <w:tc>
          <w:tcPr>
            <w:tcW w:w="3223" w:type="dxa"/>
            <w:tcBorders>
              <w:top w:val="single" w:sz="12" w:space="0" w:color="000000"/>
            </w:tcBorders>
          </w:tcPr>
          <w:p w14:paraId="7590D17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Экспорт СССР в Германию </w:t>
            </w:r>
          </w:p>
        </w:tc>
        <w:tc>
          <w:tcPr>
            <w:tcW w:w="3091" w:type="dxa"/>
            <w:tcBorders>
              <w:top w:val="single" w:sz="12" w:space="0" w:color="000000"/>
            </w:tcBorders>
          </w:tcPr>
          <w:p w14:paraId="4FC13DB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Импорт СССР из Германии</w:t>
            </w:r>
          </w:p>
        </w:tc>
        <w:tc>
          <w:tcPr>
            <w:tcW w:w="1633" w:type="dxa"/>
            <w:tcBorders>
              <w:top w:val="single" w:sz="12" w:space="0" w:color="000000"/>
            </w:tcBorders>
          </w:tcPr>
          <w:p w14:paraId="4368794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Товарооборот</w:t>
            </w:r>
          </w:p>
        </w:tc>
        <w:tc>
          <w:tcPr>
            <w:tcW w:w="838" w:type="dxa"/>
            <w:tcBorders>
              <w:top w:val="single" w:sz="12" w:space="0" w:color="000000"/>
            </w:tcBorders>
          </w:tcPr>
          <w:p w14:paraId="1A00972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Сальдо</w:t>
            </w:r>
          </w:p>
        </w:tc>
      </w:tr>
      <w:tr w:rsidR="00F26F01" w:rsidRPr="00C33834" w14:paraId="6317F6CB" w14:textId="77777777">
        <w:tc>
          <w:tcPr>
            <w:tcW w:w="573" w:type="dxa"/>
          </w:tcPr>
          <w:p w14:paraId="4FD59E5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1929</w:t>
            </w:r>
          </w:p>
        </w:tc>
        <w:tc>
          <w:tcPr>
            <w:tcW w:w="3223" w:type="dxa"/>
          </w:tcPr>
          <w:p w14:paraId="512766D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425,7</w:t>
            </w:r>
          </w:p>
        </w:tc>
        <w:tc>
          <w:tcPr>
            <w:tcW w:w="3091" w:type="dxa"/>
          </w:tcPr>
          <w:p w14:paraId="6FA1F32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353,9</w:t>
            </w:r>
          </w:p>
        </w:tc>
        <w:tc>
          <w:tcPr>
            <w:tcW w:w="1633" w:type="dxa"/>
          </w:tcPr>
          <w:p w14:paraId="32FA8C0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779,6</w:t>
            </w:r>
          </w:p>
        </w:tc>
        <w:tc>
          <w:tcPr>
            <w:tcW w:w="838" w:type="dxa"/>
          </w:tcPr>
          <w:p w14:paraId="50DA55B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+71,8</w:t>
            </w:r>
          </w:p>
        </w:tc>
      </w:tr>
      <w:tr w:rsidR="00F26F01" w:rsidRPr="00C33834" w14:paraId="285B54D6" w14:textId="77777777">
        <w:tc>
          <w:tcPr>
            <w:tcW w:w="573" w:type="dxa"/>
          </w:tcPr>
          <w:p w14:paraId="2963C05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1930</w:t>
            </w:r>
          </w:p>
        </w:tc>
        <w:tc>
          <w:tcPr>
            <w:tcW w:w="3223" w:type="dxa"/>
          </w:tcPr>
          <w:p w14:paraId="72D7518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436,3</w:t>
            </w:r>
          </w:p>
        </w:tc>
        <w:tc>
          <w:tcPr>
            <w:tcW w:w="3091" w:type="dxa"/>
          </w:tcPr>
          <w:p w14:paraId="495E91A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430,6</w:t>
            </w:r>
          </w:p>
        </w:tc>
        <w:tc>
          <w:tcPr>
            <w:tcW w:w="1633" w:type="dxa"/>
          </w:tcPr>
          <w:p w14:paraId="4C06EB7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866,9</w:t>
            </w:r>
          </w:p>
        </w:tc>
        <w:tc>
          <w:tcPr>
            <w:tcW w:w="838" w:type="dxa"/>
          </w:tcPr>
          <w:p w14:paraId="408423B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w:t>
            </w:r>
          </w:p>
        </w:tc>
      </w:tr>
      <w:tr w:rsidR="00F26F01" w:rsidRPr="00C33834" w14:paraId="0CCF19D0" w14:textId="77777777">
        <w:tc>
          <w:tcPr>
            <w:tcW w:w="573" w:type="dxa"/>
          </w:tcPr>
          <w:p w14:paraId="52D26D6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w:t>
            </w:r>
          </w:p>
        </w:tc>
        <w:tc>
          <w:tcPr>
            <w:tcW w:w="3223" w:type="dxa"/>
          </w:tcPr>
          <w:p w14:paraId="6DBC1C8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303,5</w:t>
            </w:r>
          </w:p>
        </w:tc>
        <w:tc>
          <w:tcPr>
            <w:tcW w:w="3091" w:type="dxa"/>
          </w:tcPr>
          <w:p w14:paraId="64A02B0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762,7</w:t>
            </w:r>
          </w:p>
        </w:tc>
        <w:tc>
          <w:tcPr>
            <w:tcW w:w="1633" w:type="dxa"/>
          </w:tcPr>
          <w:p w14:paraId="6F9FBBA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1066,2</w:t>
            </w:r>
          </w:p>
        </w:tc>
        <w:tc>
          <w:tcPr>
            <w:tcW w:w="838" w:type="dxa"/>
          </w:tcPr>
          <w:p w14:paraId="5DEDF4A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-499,2</w:t>
            </w:r>
          </w:p>
        </w:tc>
      </w:tr>
      <w:tr w:rsidR="00F26F01" w:rsidRPr="00C33834" w14:paraId="6D1C457E" w14:textId="77777777">
        <w:tc>
          <w:tcPr>
            <w:tcW w:w="573" w:type="dxa"/>
          </w:tcPr>
          <w:p w14:paraId="001DF91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c>
          <w:tcPr>
            <w:tcW w:w="3223" w:type="dxa"/>
          </w:tcPr>
          <w:p w14:paraId="18E88CA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270,9</w:t>
            </w:r>
          </w:p>
        </w:tc>
        <w:tc>
          <w:tcPr>
            <w:tcW w:w="3091" w:type="dxa"/>
          </w:tcPr>
          <w:p w14:paraId="2C68416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625,8</w:t>
            </w:r>
          </w:p>
        </w:tc>
        <w:tc>
          <w:tcPr>
            <w:tcW w:w="1633" w:type="dxa"/>
          </w:tcPr>
          <w:p w14:paraId="36A1DBC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896,7</w:t>
            </w:r>
          </w:p>
        </w:tc>
        <w:tc>
          <w:tcPr>
            <w:tcW w:w="838" w:type="dxa"/>
          </w:tcPr>
          <w:p w14:paraId="7A781DC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-354,9</w:t>
            </w:r>
          </w:p>
        </w:tc>
      </w:tr>
      <w:tr w:rsidR="00F26F01" w:rsidRPr="00C33834" w14:paraId="63AEF766" w14:textId="77777777">
        <w:tc>
          <w:tcPr>
            <w:tcW w:w="573" w:type="dxa"/>
          </w:tcPr>
          <w:p w14:paraId="70A2F51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w:t>
            </w:r>
          </w:p>
        </w:tc>
        <w:tc>
          <w:tcPr>
            <w:tcW w:w="3223" w:type="dxa"/>
          </w:tcPr>
          <w:p w14:paraId="36A0AEF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194,1</w:t>
            </w:r>
          </w:p>
        </w:tc>
        <w:tc>
          <w:tcPr>
            <w:tcW w:w="3091" w:type="dxa"/>
          </w:tcPr>
          <w:p w14:paraId="4D645A0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282,2</w:t>
            </w:r>
          </w:p>
        </w:tc>
        <w:tc>
          <w:tcPr>
            <w:tcW w:w="1633" w:type="dxa"/>
          </w:tcPr>
          <w:p w14:paraId="1DDF59E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476,3</w:t>
            </w:r>
          </w:p>
        </w:tc>
        <w:tc>
          <w:tcPr>
            <w:tcW w:w="838" w:type="dxa"/>
          </w:tcPr>
          <w:p w14:paraId="1C898B3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-88,1</w:t>
            </w:r>
          </w:p>
        </w:tc>
      </w:tr>
      <w:tr w:rsidR="00F26F01" w:rsidRPr="00C33834" w14:paraId="30FFE9DA" w14:textId="77777777">
        <w:tc>
          <w:tcPr>
            <w:tcW w:w="573" w:type="dxa"/>
            <w:tcBorders>
              <w:bottom w:val="single" w:sz="12" w:space="0" w:color="000000"/>
            </w:tcBorders>
          </w:tcPr>
          <w:p w14:paraId="4A56014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1934</w:t>
            </w:r>
          </w:p>
        </w:tc>
        <w:tc>
          <w:tcPr>
            <w:tcW w:w="3223" w:type="dxa"/>
            <w:tcBorders>
              <w:bottom w:val="single" w:sz="12" w:space="0" w:color="000000"/>
            </w:tcBorders>
          </w:tcPr>
          <w:p w14:paraId="607B2ED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233,0</w:t>
            </w:r>
          </w:p>
        </w:tc>
        <w:tc>
          <w:tcPr>
            <w:tcW w:w="3091" w:type="dxa"/>
            <w:tcBorders>
              <w:bottom w:val="single" w:sz="12" w:space="0" w:color="000000"/>
            </w:tcBorders>
          </w:tcPr>
          <w:p w14:paraId="70C0131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63,31</w:t>
            </w:r>
          </w:p>
        </w:tc>
        <w:tc>
          <w:tcPr>
            <w:tcW w:w="1633" w:type="dxa"/>
            <w:tcBorders>
              <w:bottom w:val="single" w:sz="12" w:space="0" w:color="000000"/>
            </w:tcBorders>
          </w:tcPr>
          <w:p w14:paraId="13A858C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286,31</w:t>
            </w:r>
          </w:p>
        </w:tc>
        <w:tc>
          <w:tcPr>
            <w:tcW w:w="838" w:type="dxa"/>
            <w:tcBorders>
              <w:bottom w:val="single" w:sz="12" w:space="0" w:color="000000"/>
            </w:tcBorders>
          </w:tcPr>
          <w:p w14:paraId="3C62AFD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+159,7</w:t>
            </w:r>
          </w:p>
        </w:tc>
      </w:tr>
    </w:tbl>
    <w:p w14:paraId="64BB0C8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(11784).</w:t>
      </w:r>
    </w:p>
    <w:p w14:paraId="76DBDFE5" w14:textId="77777777" w:rsidR="004C24F7" w:rsidRPr="00C33834" w:rsidRDefault="004C24F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C293A04" w14:textId="77777777" w:rsidR="007B60FC" w:rsidRPr="00C33834" w:rsidRDefault="007B60F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февраля 1933 г. был подписан заключительный протокол между советским торгпредством и двумя германскими консорциумами во главе с «Дойче Банк» и «Дрезднер Банк» о предоставлении СССР еще кредитов на общую сумму в 140 млн. марок. Однако едва ли этот кредит мог помочь сохранить динамику развития двусторонней торговли, имевшей все предыдущие годы устойчивую тенденцию к росту. В период «великой депрессии» она выглядела таким образом:</w:t>
      </w:r>
    </w:p>
    <w:p w14:paraId="04A3A5F7" w14:textId="77777777" w:rsidR="007B60FC" w:rsidRPr="00C33834" w:rsidRDefault="007B60F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млн. марок)</w:t>
      </w:r>
      <w:hyperlink r:id="rId69" w:anchor="n_419" w:history="1">
        <w:r w:rsidRPr="00C33834">
          <w:rPr>
            <w:rStyle w:val="a5"/>
            <w:rFonts w:ascii="Times New Roman" w:hAnsi="Times New Roman"/>
            <w:color w:val="000000" w:themeColor="text1"/>
            <w:sz w:val="16"/>
            <w:szCs w:val="16"/>
          </w:rPr>
          <w:t>[419]</w:t>
        </w:r>
      </w:hyperlink>
    </w:p>
    <w:p w14:paraId="1522A79C" w14:textId="77777777" w:rsidR="007B60FC" w:rsidRPr="00C33834" w:rsidRDefault="007B60F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Годы / Экспорт СССР в Германию / Импорт СССР из Германии / Товарооборот / Сальдо</w:t>
      </w:r>
    </w:p>
    <w:p w14:paraId="6D84CBF5" w14:textId="77777777" w:rsidR="007B60FC" w:rsidRPr="00C33834" w:rsidRDefault="007B60F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1929 425,7 353,9 779,6 +71,8</w:t>
      </w:r>
    </w:p>
    <w:p w14:paraId="1A91705D" w14:textId="77777777" w:rsidR="007B60FC" w:rsidRPr="00C33834" w:rsidRDefault="007B60F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1930 436,3 430,6 866,9 +5,7</w:t>
      </w:r>
    </w:p>
    <w:p w14:paraId="58906B16" w14:textId="77777777" w:rsidR="007B60FC" w:rsidRPr="00C33834" w:rsidRDefault="007B60F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 303,5 762,7 1066,2 -499,2</w:t>
      </w:r>
    </w:p>
    <w:p w14:paraId="376919E3" w14:textId="77777777" w:rsidR="007B60FC" w:rsidRPr="00C33834" w:rsidRDefault="007B60F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270,9 625,8 896,7 -354,9</w:t>
      </w:r>
    </w:p>
    <w:p w14:paraId="5612ECB6" w14:textId="77777777" w:rsidR="007B60FC" w:rsidRPr="00C33834" w:rsidRDefault="007B60F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 194,1 282,2 476,3 -88,1</w:t>
      </w:r>
    </w:p>
    <w:p w14:paraId="2F0FD464" w14:textId="77777777" w:rsidR="007B60FC" w:rsidRPr="00C33834" w:rsidRDefault="007B60F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1934 233,0 63,3 1286,31 +159,7 (18265).</w:t>
      </w:r>
    </w:p>
    <w:p w14:paraId="0D53C4BE" w14:textId="77777777" w:rsidR="007B60FC" w:rsidRPr="00C33834" w:rsidRDefault="007B60FC" w:rsidP="00C33834">
      <w:pPr>
        <w:spacing w:after="0" w:line="240" w:lineRule="auto"/>
        <w:jc w:val="both"/>
        <w:rPr>
          <w:rFonts w:ascii="Times New Roman" w:hAnsi="Times New Roman"/>
          <w:color w:val="000000" w:themeColor="text1"/>
          <w:sz w:val="16"/>
          <w:szCs w:val="16"/>
        </w:rPr>
      </w:pPr>
    </w:p>
    <w:p w14:paraId="61AF5A47" w14:textId="77777777" w:rsidR="00A7614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1F274AE9" w14:textId="77777777" w:rsidR="00A76142" w:rsidRPr="00C33834" w:rsidRDefault="00A7614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4CE6E6F" w14:textId="77777777" w:rsidR="00E844EA" w:rsidRPr="00C33834" w:rsidRDefault="00E844E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25 февраля 1933 спущен на воду USS Ranger (CV-4), первый корабль ВМС США, с самого начала спроектированный как авианосец (20802).</w:t>
      </w:r>
    </w:p>
    <w:p w14:paraId="6E6F7A07" w14:textId="77777777" w:rsidR="00E844EA" w:rsidRPr="00C33834" w:rsidRDefault="00E844EA" w:rsidP="00C33834">
      <w:pPr>
        <w:spacing w:after="0" w:line="240" w:lineRule="auto"/>
        <w:jc w:val="both"/>
        <w:rPr>
          <w:rFonts w:ascii="Times New Roman" w:hAnsi="Times New Roman"/>
          <w:color w:val="0070C0"/>
          <w:sz w:val="16"/>
          <w:szCs w:val="16"/>
        </w:rPr>
      </w:pPr>
    </w:p>
    <w:p w14:paraId="41717C73" w14:textId="77777777" w:rsidR="00A76142" w:rsidRPr="00C33834" w:rsidRDefault="00A76142"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25 февраля</w:t>
      </w:r>
      <w:r w:rsidRPr="00C33834">
        <w:rPr>
          <w:rFonts w:ascii="Times New Roman" w:hAnsi="Times New Roman"/>
          <w:color w:val="000000" w:themeColor="text1"/>
          <w:sz w:val="16"/>
          <w:szCs w:val="16"/>
        </w:rPr>
        <w:t xml:space="preserve"> в 1933 году Япония исключена из Лиги Наций за развязывание войны в Маньчжурии (15051).</w:t>
      </w:r>
    </w:p>
    <w:p w14:paraId="39C01D45" w14:textId="77777777" w:rsidR="00A76142" w:rsidRPr="00C33834" w:rsidRDefault="00A76142" w:rsidP="00C33834">
      <w:pPr>
        <w:spacing w:after="0" w:line="240" w:lineRule="auto"/>
        <w:jc w:val="both"/>
        <w:rPr>
          <w:rFonts w:ascii="Times New Roman" w:hAnsi="Times New Roman"/>
          <w:color w:val="000000" w:themeColor="text1"/>
          <w:sz w:val="16"/>
          <w:szCs w:val="16"/>
        </w:rPr>
      </w:pPr>
    </w:p>
    <w:p w14:paraId="1A2FC393" w14:textId="77777777" w:rsidR="004C24F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56E9A45" w14:textId="77777777" w:rsidR="004C24F7" w:rsidRPr="00C33834" w:rsidRDefault="004C24F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F2127E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февраля 1933 письмом Нач. ОЭЛИД Стоман N 103с был направлен Нач. НТОС ГУАП, Нач. СОС ЦАГИ, Нач. ЦКБ С.В.И., Нач. 7 Сект. НИИ ВВС Горощенко и Нач. СЛИ Чесалову "Отчет об испытании двухместного бесхвостого самолета типа Параболе БИЧ-7 с м Люцифер 130 нр (2307,65):</w:t>
      </w:r>
    </w:p>
    <w:p w14:paraId="6605874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исполнитель</w:t>
      </w:r>
      <w:r w:rsidRPr="00C33834">
        <w:rPr>
          <w:rFonts w:ascii="Times New Roman" w:hAnsi="Times New Roman"/>
          <w:color w:val="000000" w:themeColor="text1"/>
          <w:sz w:val="16"/>
          <w:szCs w:val="16"/>
        </w:rPr>
        <w:tab/>
        <w:t>ст. и Б.А.Победоносцев</w:t>
      </w:r>
    </w:p>
    <w:p w14:paraId="7D23F3C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w:t>
      </w:r>
      <w:r w:rsidRPr="00C33834">
        <w:rPr>
          <w:rFonts w:ascii="Times New Roman" w:hAnsi="Times New Roman"/>
          <w:color w:val="000000" w:themeColor="text1"/>
          <w:sz w:val="16"/>
          <w:szCs w:val="16"/>
        </w:rPr>
        <w:tab/>
        <w:t>Благин</w:t>
      </w:r>
    </w:p>
    <w:p w14:paraId="674C079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Результаты испытаний</w:t>
      </w:r>
    </w:p>
    <w:p w14:paraId="6ACBEDB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Выявить летные качества бесхвостого с-та типа “Парабола” БИЧ-7, обратив особое внимание на уго устойчивость и управляемость.</w:t>
      </w:r>
    </w:p>
    <w:p w14:paraId="2C6B78B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данные о прохождении испытаний</w:t>
      </w:r>
    </w:p>
    <w:p w14:paraId="320312C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При проведении летных испытаний проделана следующая работа</w:t>
      </w:r>
    </w:p>
    <w:p w14:paraId="3AF3E6E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Произведено взвешивание и определение цт пустого с-та и нагрузок</w:t>
      </w:r>
    </w:p>
    <w:p w14:paraId="39EF30B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Устранено давление на пилотскую рукоятку, посредством устройства флетнеровского руля на рулях высоты. В результате получена возможность летать с брошенной рукояткой</w:t>
      </w:r>
    </w:p>
    <w:p w14:paraId="282CF12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Выявление устойчивости с-та с брошенными рулями</w:t>
      </w:r>
    </w:p>
    <w:p w14:paraId="5F2BB3F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Выявление маневренности с-та при центровке 38% по наибольшей хорде</w:t>
      </w:r>
    </w:p>
    <w:p w14:paraId="2AA2F16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Определение скороподъемности с-та, а также максимальной скорости у земли</w:t>
      </w:r>
    </w:p>
    <w:p w14:paraId="4814CA6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Выводы</w:t>
      </w:r>
    </w:p>
    <w:p w14:paraId="60A48E4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Аэродинамические данные с-та достаточно хорошие для данной нагрузки на 1 м2 и на 1 л.с. (см. Сравнение Параболы БИЧ-7 с с-том У-2 в результатах испытаний.</w:t>
      </w:r>
    </w:p>
    <w:p w14:paraId="23F4207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 является чрезвычайно чутким к шарнирным моментам РВ. В частности, на РВ оказывает сильное влияние струя от винта. В начале испытания, до устранения шарнирного момента, Флетнером, усилие на пилотскую рукоятку было настолько высоко, что при полете на полном газе л приходилось пилотскую рукоятку держать обеими руками, между тем, как при планировании с малыми оборотами мотора, усилие было много меньше и управлять с-том было занчительно легче.</w:t>
      </w:r>
    </w:p>
    <w:p w14:paraId="678EAF8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устранения шарнирных моментов рулей, путем устройства флетнеров, с-т стал легко управляемым в полете и появилась возможность лететь с брошенной ручкой.</w:t>
      </w:r>
    </w:p>
    <w:p w14:paraId="67EFB0C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 вполне устойчив и хорошо управляем на всех режимах полета, вплоть до скорости 165 км/час при положении ЦТ на 38% центральной хорды крыла.</w:t>
      </w:r>
    </w:p>
    <w:p w14:paraId="715D454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Управление с-том ничем не отличается от обычного управления хвостовым с-том</w:t>
      </w:r>
    </w:p>
    <w:p w14:paraId="22380BE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5B2DD65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Приведенные ниже весовые и аэродинамические данные с-та не могут считаться оптимальными для подобного тиап, т.к. у испытанного объекта БИЧ-7, имело место во-первых, очевидное перетяжеление конструкции, т.к. грузовая отдача 30% ни в коем случае не может считаться удовлетворительной при данной компоновке с-та. Здесь следует ожидать более высокого процента, а именно, порядка 40-45%, а то и выше.</w:t>
      </w:r>
    </w:p>
    <w:p w14:paraId="08859D2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Во-вторых, во время испытаний мотор Люцифер № 1072 работал неудовлетворительно: сильно трясло всю установку и обороты своегно номинала 1600 ни разу не достигались. Максимальное число оборотов было 1580 на максимальной скорости 165 км/час. Поэтолму от свмолета подобного типа можно ожидать еще более высоких летных показателей, что также вытекает из расчетных соображений.</w:t>
      </w:r>
    </w:p>
    <w:p w14:paraId="08E9D1A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Следует признать целесообразным изготовлено новых более совершенных с конструктивной т.з. самолетов бесхвостой схемы.</w:t>
      </w:r>
    </w:p>
    <w:p w14:paraId="0D1DE01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Проведенные испытания являются далеко не полными: не выяснено влияние на устойчивость перемещения ЦТ, не проведен мерный километр, не замерена посадочная скорость и т.п. вследствие исключительно плохой работы мотора и состояния машины.</w:t>
      </w:r>
    </w:p>
    <w:p w14:paraId="4E2BCBE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Сводка испытания</w:t>
      </w:r>
    </w:p>
    <w:p w14:paraId="013ADB3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краткое описание объекта</w:t>
      </w:r>
    </w:p>
    <w:p w14:paraId="49F9064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Бесхвостый с-т Парабола БИЧ-7 является летающим крылом, имеющим в плане форму паработы. Вершина параболы обращена вперед по движению. В середине крыла помещается закрытая кабина - лимузин для 2-х человек. Переднее место предназначено для пилота, заднее - для пассажира. Перед кабиной смонтирован мотор Люцифер 100 л.с. с тянущим винтом. Сзади кабины постепенно переходит в киль и РН. За спиной пассажира находятся баки с горючим. Шасси нормальное, самолетное: 2 полуоси и на каждую две стойки, из которых одна, вертикальная, снабжена резиновыми пластинами для амортизации. Вдоль задней кромки крыла снизу подвешен закрылок, составленный по длине из 4-х частей. Две средние играют роль РВ, крайние - служат в качестве элеронов.</w:t>
      </w:r>
    </w:p>
    <w:p w14:paraId="7172B33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Управление рулями ординарное. Схема управления нормальная самолетная, т.е. пилотская рукоятка для рулей высоты и элеронов и педаль для РН</w:t>
      </w:r>
    </w:p>
    <w:p w14:paraId="585195E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Программа испытаний</w:t>
      </w:r>
    </w:p>
    <w:p w14:paraId="4CF17C3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Осмотр и приемка с-та</w:t>
      </w:r>
    </w:p>
    <w:p w14:paraId="6738138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Взвешивание и определение цт пустого и с нагрузкой</w:t>
      </w:r>
    </w:p>
    <w:p w14:paraId="6D51833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Проба мотора на земле</w:t>
      </w:r>
    </w:p>
    <w:p w14:paraId="6B24EEF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Рулежка на малом и большом газе</w:t>
      </w:r>
    </w:p>
    <w:p w14:paraId="02F1375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Взлеты по прямой на высоте 2-х м над землей</w:t>
      </w:r>
    </w:p>
    <w:p w14:paraId="7AE550A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Полеты на высоте 100-120 м по замкнутому кругу</w:t>
      </w:r>
    </w:p>
    <w:p w14:paraId="4A5347F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Полеты на управляемлсть и устойчивость. Высота 1000 м</w:t>
      </w:r>
    </w:p>
    <w:p w14:paraId="77FDD6D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Полеты на всоту со снятием барограммы</w:t>
      </w:r>
    </w:p>
    <w:p w14:paraId="6027710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Полеты на мерном километре</w:t>
      </w:r>
    </w:p>
    <w:p w14:paraId="64274C7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p w14:paraId="52AC686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Этот пункт программы не был выполнен из-за неудовлетворительной работы мотора</w:t>
      </w:r>
    </w:p>
    <w:p w14:paraId="3B2E6A6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Облет с-та другим л</w:t>
      </w:r>
    </w:p>
    <w:p w14:paraId="7EB588B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Ход испытаний:</w:t>
      </w:r>
    </w:p>
    <w:p w14:paraId="154C0D9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августа 1932 был подписан Акт N 1 о сдаче самолета БИЧ-7 Парабола ЗОК ЦАГИ в ОЭЛИД для испытаний. испытания продолжались до 21 декабря 1932.</w:t>
      </w:r>
    </w:p>
    <w:p w14:paraId="21B1F34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августа 1932 состоялись взвешивание и определение ЦТ самолета БИЧ-7 Парабола ЗОК ЦАГИ в ОЭЛИД для испытаний.</w:t>
      </w:r>
    </w:p>
    <w:p w14:paraId="42CDF48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августа 1932 состоялись испытания БИЧ-7 Парабола Черановского на рулежку и подлеты.</w:t>
      </w:r>
    </w:p>
    <w:p w14:paraId="722BD3A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августа 1932 был подписан Акт № 2. При осмотре с-та обнаружен изгиб полуоси шасси у полотна правого подкоса. Признано необходимым произвести ляд переделок в самолете, использовав ЗОК и ОЭЛИД</w:t>
      </w:r>
    </w:p>
    <w:p w14:paraId="1663DFB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августа 1932 состоялся первый полет БИЧ-7 Парабола Черановского. Сделали 3 круга на высоте 1000 м за 0:25. Отмечено давление на ручку, создающее впечатление тяги с-та на нос.</w:t>
      </w:r>
    </w:p>
    <w:p w14:paraId="10899FA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октября 1932 на БИЧ-7 был выполнен тренировочный полет и выполнили 4 круга над аэродромом. Летали 40 мин. Для уменьшения давления на РВ, тяги элеронов были пдкручены на 6 ниток. Давление уменьшилось, но недостаточно.</w:t>
      </w:r>
    </w:p>
    <w:p w14:paraId="0ABFC54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октября 1932 был выполнен полет на управляемость на БИЧ-7 Черановского на испытаниях. Сделали 8 виражей вправо и 8 влево. Отметили, что машина зарывается носом, т.к. имеется большое усилие на рукоятку. Отмечена разница в управлении при моторе, работающем на полном газу и на малом. Продолжительность 0:40.</w:t>
      </w:r>
    </w:p>
    <w:p w14:paraId="79FF2FC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октября 1932 был выполнен еще один полет на управляемость на БИЧ-7 Черановского на испытаниях с перегрузочными приборами. Замеряли перегрузки и делали правые и левые виражи и восьмерки. Летали 35 мин. Время виража с заходом и выходом правого 25-26 сек., левого - 28-29 сек., восьмерка левая с заходом и выходом - 1:08, правая - 1:10 Передняя тяга на нос</w:t>
      </w:r>
    </w:p>
    <w:p w14:paraId="4DD96F2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октября 1932 по заданию № 6 было испытание на БИЧ-7 измененных рулей высоты, путем укрепления на них отогнутой металлической пластинки, играющей роль флетнеровского руля. Давление на ручку резко уменьшилось, но за счет неодинакового подгиба кромки, ст-т стало валить влево. Продолжительность 0:30.</w:t>
      </w:r>
    </w:p>
    <w:p w14:paraId="29897D3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заданию № 7 летали после изменения изгиба флетнера и подкутки тяги левого элерона на 5 ниток. Результат достигнут. Получена возможность летать с брошенной ручкой. Кправляемость сразу улучшилась и самолет легко и нормально делал глубокие виражи и восьмерки. Продолжительность 0:40 (2707).</w:t>
      </w:r>
    </w:p>
    <w:p w14:paraId="1A9659B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ноября 1932 на БИЧ-7 Черановского выполняли полет на устойчивость с увеличенной площадью фтетнеров. Получили обратные усилия на ручку, что дало впечатление кабрирования с-та в нормальном полете. Летали 30 мин. Задание № 8</w:t>
      </w:r>
    </w:p>
    <w:p w14:paraId="14FD739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ноября 1932 на БИЧ-7 Черановского выполняли полет на устойчивость с увеличенным углом фтетнеров. Получили обратные усилия на ручку, что дало впечатление кабрирования с-та в нормальном полете. Летали 40 мин. Задание № 9</w:t>
      </w:r>
    </w:p>
    <w:p w14:paraId="5A47353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Задание № 10 - то же, ручку бросить нельзя. Продолжительность - 0:40.</w:t>
      </w:r>
    </w:p>
    <w:p w14:paraId="78D1CAB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ноября 1932 на БИЧ-7 Черановского выполняли полет на устойчивость. Задание № 11 Достигли возможности лететь с брошенной ручкой на 110 км/час. при 1400 об./мин. по горизонтали. Сделали два отклонения РВ, доведя полет до скорости 120 км/час. После чего бросалось управление. С-т возвращался в исходное положение после 2-3 колебаний. Задание полностью не выполнено из-за плохой работы мотора. Летали 35 мин.</w:t>
      </w:r>
    </w:p>
    <w:p w14:paraId="235A7D6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ноября 1932 на БИЧ-7 Черановского выполняли полет на высоту по Заданию № 12 и за 37 мин. набрали 3800 м. Работа мотора во время полета все время была норовной. Должных оборотов не было. Летали 1:20 мин.</w:t>
      </w:r>
    </w:p>
    <w:p w14:paraId="61890DB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ноября 1932 на БИЧ-7 по заданию № 13 летали на высоту и площадки. Не выполнено из-за отказа мотора. Продолжительность 0:10.</w:t>
      </w:r>
    </w:p>
    <w:p w14:paraId="61DFFBA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заданию № 14 те же результаты. Мотор сдал на 100 м. Продолжительность 0:5</w:t>
      </w:r>
    </w:p>
    <w:p w14:paraId="68C5E4C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Был подготовлен Акт № 3, в котором отмечено, что при осмотре моторного хозяйства обнаружены трещины на ушах подмоторных рам</w:t>
      </w:r>
    </w:p>
    <w:p w14:paraId="0AE7499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ноября 1932 при испытаниях БИЧ-7 был составлен Акт № 4, в котором был отмечен ряд дефектов в управлении с-том, подлежащих устранению (2307).</w:t>
      </w:r>
    </w:p>
    <w:p w14:paraId="65FFEE4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декабря 1932 при испытаниях БИЧ-7 был дополнен Акт № 4.</w:t>
      </w:r>
    </w:p>
    <w:p w14:paraId="2664859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декабря 1932 при испытаниях БИЧ-7 был составлен Акт № 5, в котором были отмечены дефекты в бензопроводе.</w:t>
      </w:r>
    </w:p>
    <w:p w14:paraId="7964BD8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декабря 1932 состоялся последний, 15 полет БИЧ-7 Парабола и были закончены летные испытания машины, которые шли с 11 августа 1932 и 19 августа, когда был выполнен первый полет. Всего налетали 8:05. В последнем полете при испытании на устойчивость самолет показал возможность полета с брошенной ручкой. Макс. скорость по гор. - 165 км/час. Потом сравнивали с У-2. Летал л Благин, а ви был Победоносцев</w:t>
      </w:r>
    </w:p>
    <w:p w14:paraId="28C6CFB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Задание № 15 - полет на устойчивость.</w:t>
      </w:r>
    </w:p>
    <w:p w14:paraId="6E1A53E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 идет с брошенной ручкой по горизонтали на скорости 110 км/час при 1300 обор.</w:t>
      </w:r>
    </w:p>
    <w:p w14:paraId="03118AE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изменении скорости на +/- 15 км/час с-т самостоятельно возвращается в исходное положение. При изменении скорости на +/- 20 км/час получилось затягивание с-та до скорости 195 км/час, после чего потребовалось вмешательство пилота.</w:t>
      </w:r>
    </w:p>
    <w:p w14:paraId="530A8C9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Максимальную скорость на горизонтали с-т дает 165 км/час по прибору при 1580 об/мин. Замерено время полного круга вправо и влево. </w:t>
      </w:r>
    </w:p>
    <w:p w14:paraId="56BF8FE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Продолжительность полета 0:30.</w:t>
      </w:r>
    </w:p>
    <w:p w14:paraId="0E00CA7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Результаты испытаний</w:t>
      </w:r>
    </w:p>
    <w:p w14:paraId="4F63210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Весовая характеристика с-та</w:t>
      </w:r>
    </w:p>
    <w:p w14:paraId="28F5CF9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Взвешивание производилось в двух положениях: пустой и с нагрузкой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559"/>
      </w:tblGrid>
      <w:tr w:rsidR="00F26F01" w:rsidRPr="00C33834" w14:paraId="1A1D0222" w14:textId="77777777">
        <w:tc>
          <w:tcPr>
            <w:tcW w:w="2235" w:type="dxa"/>
            <w:tcBorders>
              <w:top w:val="single" w:sz="12" w:space="0" w:color="auto"/>
            </w:tcBorders>
          </w:tcPr>
          <w:p w14:paraId="7928F45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пустого</w:t>
            </w:r>
          </w:p>
        </w:tc>
        <w:tc>
          <w:tcPr>
            <w:tcW w:w="1559" w:type="dxa"/>
            <w:tcBorders>
              <w:top w:val="single" w:sz="12" w:space="0" w:color="auto"/>
            </w:tcBorders>
          </w:tcPr>
          <w:p w14:paraId="3331D74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610 (цт 36%)</w:t>
            </w:r>
          </w:p>
        </w:tc>
      </w:tr>
      <w:tr w:rsidR="00F26F01" w:rsidRPr="00C33834" w14:paraId="3939E443" w14:textId="77777777">
        <w:tc>
          <w:tcPr>
            <w:tcW w:w="2235" w:type="dxa"/>
          </w:tcPr>
          <w:p w14:paraId="65E79A6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пилота</w:t>
            </w:r>
          </w:p>
        </w:tc>
        <w:tc>
          <w:tcPr>
            <w:tcW w:w="1559" w:type="dxa"/>
          </w:tcPr>
          <w:p w14:paraId="011C642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69</w:t>
            </w:r>
          </w:p>
        </w:tc>
      </w:tr>
      <w:tr w:rsidR="00F26F01" w:rsidRPr="00C33834" w14:paraId="4CA435D4" w14:textId="77777777">
        <w:tc>
          <w:tcPr>
            <w:tcW w:w="2235" w:type="dxa"/>
          </w:tcPr>
          <w:p w14:paraId="7CF6A08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пассажира</w:t>
            </w:r>
          </w:p>
        </w:tc>
        <w:tc>
          <w:tcPr>
            <w:tcW w:w="1559" w:type="dxa"/>
          </w:tcPr>
          <w:p w14:paraId="1C7842B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w:t>
            </w:r>
          </w:p>
        </w:tc>
      </w:tr>
      <w:tr w:rsidR="00F26F01" w:rsidRPr="00C33834" w14:paraId="357CB0D1" w14:textId="77777777">
        <w:tc>
          <w:tcPr>
            <w:tcW w:w="2235" w:type="dxa"/>
          </w:tcPr>
          <w:p w14:paraId="52B1ED9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бензина</w:t>
            </w:r>
          </w:p>
        </w:tc>
        <w:tc>
          <w:tcPr>
            <w:tcW w:w="1559" w:type="dxa"/>
          </w:tcPr>
          <w:p w14:paraId="0EF3AE9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w:t>
            </w:r>
          </w:p>
        </w:tc>
      </w:tr>
      <w:tr w:rsidR="00F26F01" w:rsidRPr="00C33834" w14:paraId="0F60DAA2" w14:textId="77777777">
        <w:tc>
          <w:tcPr>
            <w:tcW w:w="2235" w:type="dxa"/>
          </w:tcPr>
          <w:p w14:paraId="0B9807F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масла</w:t>
            </w:r>
          </w:p>
        </w:tc>
        <w:tc>
          <w:tcPr>
            <w:tcW w:w="1559" w:type="dxa"/>
          </w:tcPr>
          <w:p w14:paraId="6277220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r>
      <w:tr w:rsidR="00F26F01" w:rsidRPr="00C33834" w14:paraId="47549A28" w14:textId="77777777">
        <w:tc>
          <w:tcPr>
            <w:tcW w:w="2235" w:type="dxa"/>
            <w:tcBorders>
              <w:bottom w:val="single" w:sz="12" w:space="0" w:color="auto"/>
            </w:tcBorders>
          </w:tcPr>
          <w:p w14:paraId="11B030E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с нагрузкой</w:t>
            </w:r>
          </w:p>
        </w:tc>
        <w:tc>
          <w:tcPr>
            <w:tcW w:w="1559" w:type="dxa"/>
            <w:tcBorders>
              <w:bottom w:val="single" w:sz="12" w:space="0" w:color="auto"/>
            </w:tcBorders>
          </w:tcPr>
          <w:p w14:paraId="2F50BC4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812 (цт 37,3%)</w:t>
            </w:r>
          </w:p>
        </w:tc>
      </w:tr>
    </w:tbl>
    <w:p w14:paraId="13AAD59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полете было: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559"/>
      </w:tblGrid>
      <w:tr w:rsidR="00F26F01" w:rsidRPr="00C33834" w14:paraId="55A165DF" w14:textId="77777777">
        <w:tc>
          <w:tcPr>
            <w:tcW w:w="2235" w:type="dxa"/>
            <w:tcBorders>
              <w:top w:val="single" w:sz="12" w:space="0" w:color="auto"/>
            </w:tcBorders>
          </w:tcPr>
          <w:p w14:paraId="1BD19CC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пустого</w:t>
            </w:r>
          </w:p>
        </w:tc>
        <w:tc>
          <w:tcPr>
            <w:tcW w:w="1559" w:type="dxa"/>
            <w:tcBorders>
              <w:top w:val="single" w:sz="12" w:space="0" w:color="auto"/>
            </w:tcBorders>
          </w:tcPr>
          <w:p w14:paraId="5378A01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610</w:t>
            </w:r>
          </w:p>
        </w:tc>
      </w:tr>
      <w:tr w:rsidR="00F26F01" w:rsidRPr="00C33834" w14:paraId="517192B1" w14:textId="77777777">
        <w:tc>
          <w:tcPr>
            <w:tcW w:w="2235" w:type="dxa"/>
          </w:tcPr>
          <w:p w14:paraId="2BCDF09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пилота с парашютом</w:t>
            </w:r>
          </w:p>
        </w:tc>
        <w:tc>
          <w:tcPr>
            <w:tcW w:w="1559" w:type="dxa"/>
          </w:tcPr>
          <w:p w14:paraId="169446E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w:t>
            </w:r>
          </w:p>
        </w:tc>
      </w:tr>
      <w:tr w:rsidR="00F26F01" w:rsidRPr="00C33834" w14:paraId="53CA5C60" w14:textId="77777777">
        <w:tc>
          <w:tcPr>
            <w:tcW w:w="2235" w:type="dxa"/>
          </w:tcPr>
          <w:p w14:paraId="0D156AA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Груз вместо пассажира</w:t>
            </w:r>
          </w:p>
        </w:tc>
        <w:tc>
          <w:tcPr>
            <w:tcW w:w="1559" w:type="dxa"/>
          </w:tcPr>
          <w:p w14:paraId="09A9D7D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r>
      <w:tr w:rsidR="00F26F01" w:rsidRPr="00C33834" w14:paraId="77657CAD" w14:textId="77777777">
        <w:tc>
          <w:tcPr>
            <w:tcW w:w="2235" w:type="dxa"/>
          </w:tcPr>
          <w:p w14:paraId="15469FB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бензина</w:t>
            </w:r>
          </w:p>
        </w:tc>
        <w:tc>
          <w:tcPr>
            <w:tcW w:w="1559" w:type="dxa"/>
          </w:tcPr>
          <w:p w14:paraId="516A55A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w:t>
            </w:r>
          </w:p>
        </w:tc>
      </w:tr>
      <w:tr w:rsidR="00F26F01" w:rsidRPr="00C33834" w14:paraId="271F2DA7" w14:textId="77777777">
        <w:tc>
          <w:tcPr>
            <w:tcW w:w="2235" w:type="dxa"/>
          </w:tcPr>
          <w:p w14:paraId="0B6CE6D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масла</w:t>
            </w:r>
          </w:p>
        </w:tc>
        <w:tc>
          <w:tcPr>
            <w:tcW w:w="1559" w:type="dxa"/>
          </w:tcPr>
          <w:p w14:paraId="6BE0B8D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r>
      <w:tr w:rsidR="00F26F01" w:rsidRPr="00C33834" w14:paraId="2F7563B5" w14:textId="77777777">
        <w:tc>
          <w:tcPr>
            <w:tcW w:w="2235" w:type="dxa"/>
            <w:tcBorders>
              <w:bottom w:val="single" w:sz="12" w:space="0" w:color="auto"/>
            </w:tcBorders>
          </w:tcPr>
          <w:p w14:paraId="72271FB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1559" w:type="dxa"/>
            <w:tcBorders>
              <w:bottom w:val="single" w:sz="12" w:space="0" w:color="auto"/>
            </w:tcBorders>
          </w:tcPr>
          <w:p w14:paraId="61F92E6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865 (цт 38%)</w:t>
            </w:r>
          </w:p>
        </w:tc>
      </w:tr>
    </w:tbl>
    <w:p w14:paraId="457EE52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Отношение полетного веса к полному весу равно 255/865 - 29,6%</w:t>
      </w:r>
    </w:p>
    <w:p w14:paraId="3028FCA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p w14:paraId="2F7262F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Указанное выше отношение веса полезной нагрузки к полному весу не является предельным и не может ни в коем случае характеризовать грузоподъемность данного типа с-та, т.к. повидимому здесь имеет место с одной стороны значительное перетяжеление конструкции и, с другой стороны, возможность дальнейшего увеличения полетной нагрузки.</w:t>
      </w:r>
    </w:p>
    <w:p w14:paraId="524ABF8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Устойчивость и управляемость с-та</w:t>
      </w:r>
    </w:p>
    <w:p w14:paraId="18A32B5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Первые полеты показали, что усилие на пилотскую рукоятку очень большое, особенно при полете с мотором, работающим на полном газе.</w:t>
      </w:r>
    </w:p>
    <w:p w14:paraId="46C2550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 усилие, являясь следствием шарнирного момента закрылка, ...</w:t>
      </w:r>
    </w:p>
    <w:p w14:paraId="28452F7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изменении скорости на +/- 15 км/час с-т самостоятельно возвращается в исходное положение после 2-3 колебаний.</w:t>
      </w:r>
    </w:p>
    <w:p w14:paraId="013A78A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изменении скорости на +/- 20 км/час получилось дальнейшее увеличение скорости до 195 км/час, после чего потребовалось вмешательство пилота для восстановления горизонтального полета.</w:t>
      </w:r>
    </w:p>
    <w:p w14:paraId="3B32FCF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нормально делает правильные глубокие виражи (до 60 гр.). Время полного круга длится 17-18 сек.. Время выполнения восьмерки 36-38 сек. Время виража и восьмерки измерено без захода и выхода.</w:t>
      </w:r>
    </w:p>
    <w:p w14:paraId="2E1EDA2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Управление с-та обычное, никаких ненормальностей, по сравнению с хвостовыми схемами с-тов отмечено не было.</w:t>
      </w:r>
    </w:p>
    <w:p w14:paraId="70A41AB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Влияние на устойчивость и управляемость изменения цт не было проведено из-за ограниченного числа полетов, обусловленного плохой работой мотора.</w:t>
      </w:r>
    </w:p>
    <w:p w14:paraId="62A153F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w:t>
      </w:r>
    </w:p>
    <w:p w14:paraId="622000A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барограмму был всего один и то, при подъеме работа мотора была все время неровная и полных оборотов не было. Максимальнане обороты были 1450 на высоте 3500 м.</w:t>
      </w:r>
    </w:p>
    <w:p w14:paraId="00C4F3A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 набрал высоту 3800 м за 37 сек. и продолжал еще набирать высоту, но облака заставили кончить подъем и перейти на снижение...</w:t>
      </w:r>
    </w:p>
    <w:p w14:paraId="1EC465B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фигуре 1 также даны оригинальные скорости высоты для с-та У-2 с инструктором и без инструктора.</w:t>
      </w:r>
    </w:p>
    <w:p w14:paraId="6F7E4C8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Данные взяты из аэродинамического расчета и проверены результатами летных испытаний У-2 в секции летных исследований.</w:t>
      </w:r>
    </w:p>
    <w:p w14:paraId="5B4BE8B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Ниже приведены аэродинамические данные с-та Парабола БИЧ-76, полученные на основании летных испытаний в сопоставлении с данными с-та У-2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30"/>
        <w:gridCol w:w="2130"/>
        <w:gridCol w:w="2130"/>
        <w:gridCol w:w="2130"/>
      </w:tblGrid>
      <w:tr w:rsidR="00F26F01" w:rsidRPr="00C33834" w14:paraId="4B4D9070" w14:textId="77777777">
        <w:tc>
          <w:tcPr>
            <w:tcW w:w="2130" w:type="dxa"/>
            <w:tcBorders>
              <w:top w:val="single" w:sz="12" w:space="0" w:color="auto"/>
            </w:tcBorders>
          </w:tcPr>
          <w:p w14:paraId="0A2AD5B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 Парабола БИЧ-7</w:t>
            </w:r>
          </w:p>
        </w:tc>
        <w:tc>
          <w:tcPr>
            <w:tcW w:w="2130" w:type="dxa"/>
            <w:tcBorders>
              <w:top w:val="single" w:sz="12" w:space="0" w:color="auto"/>
            </w:tcBorders>
          </w:tcPr>
          <w:p w14:paraId="2854F01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Borders>
              <w:top w:val="single" w:sz="12" w:space="0" w:color="auto"/>
            </w:tcBorders>
          </w:tcPr>
          <w:p w14:paraId="5D8CA2A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С-т У-2 </w:t>
            </w:r>
          </w:p>
        </w:tc>
        <w:tc>
          <w:tcPr>
            <w:tcW w:w="2130" w:type="dxa"/>
            <w:tcBorders>
              <w:top w:val="single" w:sz="12" w:space="0" w:color="auto"/>
            </w:tcBorders>
          </w:tcPr>
          <w:p w14:paraId="77491F9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E871A74" w14:textId="77777777">
        <w:tc>
          <w:tcPr>
            <w:tcW w:w="2130" w:type="dxa"/>
          </w:tcPr>
          <w:p w14:paraId="79AAF58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2E99F18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62D42FA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инструктором</w:t>
            </w:r>
          </w:p>
        </w:tc>
        <w:tc>
          <w:tcPr>
            <w:tcW w:w="2130" w:type="dxa"/>
          </w:tcPr>
          <w:p w14:paraId="0134B81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без инструктора</w:t>
            </w:r>
          </w:p>
        </w:tc>
      </w:tr>
      <w:tr w:rsidR="00F26F01" w:rsidRPr="00C33834" w14:paraId="21C24CF2" w14:textId="77777777">
        <w:tc>
          <w:tcPr>
            <w:tcW w:w="2130" w:type="dxa"/>
          </w:tcPr>
          <w:p w14:paraId="000EB4A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w:t>
            </w:r>
          </w:p>
        </w:tc>
        <w:tc>
          <w:tcPr>
            <w:tcW w:w="2130" w:type="dxa"/>
          </w:tcPr>
          <w:p w14:paraId="4F3527C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Люцифер 100 л.с.</w:t>
            </w:r>
          </w:p>
        </w:tc>
        <w:tc>
          <w:tcPr>
            <w:tcW w:w="2130" w:type="dxa"/>
          </w:tcPr>
          <w:p w14:paraId="4545126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М-11 110 л.с.</w:t>
            </w:r>
          </w:p>
        </w:tc>
        <w:tc>
          <w:tcPr>
            <w:tcW w:w="2130" w:type="dxa"/>
          </w:tcPr>
          <w:p w14:paraId="05E0F27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М-11 110 л.с.</w:t>
            </w:r>
          </w:p>
        </w:tc>
      </w:tr>
      <w:tr w:rsidR="00F26F01" w:rsidRPr="00C33834" w14:paraId="4D4F59CD" w14:textId="77777777">
        <w:tc>
          <w:tcPr>
            <w:tcW w:w="2130" w:type="dxa"/>
          </w:tcPr>
          <w:p w14:paraId="360E9C9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пустого</w:t>
            </w:r>
          </w:p>
        </w:tc>
        <w:tc>
          <w:tcPr>
            <w:tcW w:w="2130" w:type="dxa"/>
          </w:tcPr>
          <w:p w14:paraId="699AC51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610</w:t>
            </w:r>
          </w:p>
        </w:tc>
        <w:tc>
          <w:tcPr>
            <w:tcW w:w="2130" w:type="dxa"/>
          </w:tcPr>
          <w:p w14:paraId="7187FAF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665</w:t>
            </w:r>
          </w:p>
        </w:tc>
        <w:tc>
          <w:tcPr>
            <w:tcW w:w="2130" w:type="dxa"/>
          </w:tcPr>
          <w:p w14:paraId="08B2C57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665</w:t>
            </w:r>
          </w:p>
        </w:tc>
      </w:tr>
      <w:tr w:rsidR="00F26F01" w:rsidRPr="00C33834" w14:paraId="505397C7" w14:textId="77777777">
        <w:tc>
          <w:tcPr>
            <w:tcW w:w="2130" w:type="dxa"/>
          </w:tcPr>
          <w:p w14:paraId="7834DDF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Полезный груз</w:t>
            </w:r>
          </w:p>
        </w:tc>
        <w:tc>
          <w:tcPr>
            <w:tcW w:w="2130" w:type="dxa"/>
          </w:tcPr>
          <w:p w14:paraId="1F3369E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255</w:t>
            </w:r>
          </w:p>
        </w:tc>
        <w:tc>
          <w:tcPr>
            <w:tcW w:w="2130" w:type="dxa"/>
          </w:tcPr>
          <w:p w14:paraId="1272866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255</w:t>
            </w:r>
          </w:p>
        </w:tc>
        <w:tc>
          <w:tcPr>
            <w:tcW w:w="2130" w:type="dxa"/>
          </w:tcPr>
          <w:p w14:paraId="4E9BF6B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185</w:t>
            </w:r>
          </w:p>
        </w:tc>
      </w:tr>
      <w:tr w:rsidR="00F26F01" w:rsidRPr="00C33834" w14:paraId="4E779C3C" w14:textId="77777777">
        <w:tc>
          <w:tcPr>
            <w:tcW w:w="2130" w:type="dxa"/>
          </w:tcPr>
          <w:p w14:paraId="31F27EF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Полный вес</w:t>
            </w:r>
          </w:p>
        </w:tc>
        <w:tc>
          <w:tcPr>
            <w:tcW w:w="2130" w:type="dxa"/>
          </w:tcPr>
          <w:p w14:paraId="3EFDA31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865</w:t>
            </w:r>
          </w:p>
        </w:tc>
        <w:tc>
          <w:tcPr>
            <w:tcW w:w="2130" w:type="dxa"/>
          </w:tcPr>
          <w:p w14:paraId="2367AA7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920</w:t>
            </w:r>
          </w:p>
        </w:tc>
        <w:tc>
          <w:tcPr>
            <w:tcW w:w="2130" w:type="dxa"/>
          </w:tcPr>
          <w:p w14:paraId="5B04492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840</w:t>
            </w:r>
          </w:p>
        </w:tc>
      </w:tr>
      <w:tr w:rsidR="00F26F01" w:rsidRPr="00C33834" w14:paraId="07295055" w14:textId="77777777">
        <w:tc>
          <w:tcPr>
            <w:tcW w:w="2130" w:type="dxa"/>
          </w:tcPr>
          <w:p w14:paraId="5DB18AA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Нагрузка на м2</w:t>
            </w:r>
          </w:p>
        </w:tc>
        <w:tc>
          <w:tcPr>
            <w:tcW w:w="2130" w:type="dxa"/>
          </w:tcPr>
          <w:p w14:paraId="7F2209B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tc>
        <w:tc>
          <w:tcPr>
            <w:tcW w:w="2130" w:type="dxa"/>
          </w:tcPr>
          <w:p w14:paraId="57DC209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w:t>
            </w:r>
          </w:p>
        </w:tc>
        <w:tc>
          <w:tcPr>
            <w:tcW w:w="2130" w:type="dxa"/>
          </w:tcPr>
          <w:p w14:paraId="32DA98E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25,5</w:t>
            </w:r>
          </w:p>
        </w:tc>
      </w:tr>
      <w:tr w:rsidR="00F26F01" w:rsidRPr="00C33834" w14:paraId="26FF381C" w14:textId="77777777">
        <w:tc>
          <w:tcPr>
            <w:tcW w:w="2130" w:type="dxa"/>
          </w:tcPr>
          <w:p w14:paraId="56FB820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Нагрузка на л.с.</w:t>
            </w:r>
          </w:p>
        </w:tc>
        <w:tc>
          <w:tcPr>
            <w:tcW w:w="2130" w:type="dxa"/>
          </w:tcPr>
          <w:p w14:paraId="09B731E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8,95</w:t>
            </w:r>
          </w:p>
        </w:tc>
        <w:tc>
          <w:tcPr>
            <w:tcW w:w="2130" w:type="dxa"/>
          </w:tcPr>
          <w:p w14:paraId="54019CE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8,37</w:t>
            </w:r>
          </w:p>
        </w:tc>
        <w:tc>
          <w:tcPr>
            <w:tcW w:w="2130" w:type="dxa"/>
          </w:tcPr>
          <w:p w14:paraId="5CEDB9D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7,65</w:t>
            </w:r>
          </w:p>
        </w:tc>
      </w:tr>
      <w:tr w:rsidR="00F26F01" w:rsidRPr="00C33834" w14:paraId="1B2E9B92" w14:textId="77777777">
        <w:tc>
          <w:tcPr>
            <w:tcW w:w="2130" w:type="dxa"/>
          </w:tcPr>
          <w:p w14:paraId="28185D3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 скорость у земли</w:t>
            </w:r>
          </w:p>
        </w:tc>
        <w:tc>
          <w:tcPr>
            <w:tcW w:w="2130" w:type="dxa"/>
          </w:tcPr>
          <w:p w14:paraId="49BC048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165</w:t>
            </w:r>
          </w:p>
        </w:tc>
        <w:tc>
          <w:tcPr>
            <w:tcW w:w="2130" w:type="dxa"/>
          </w:tcPr>
          <w:p w14:paraId="4D06A62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w:t>
            </w:r>
          </w:p>
        </w:tc>
        <w:tc>
          <w:tcPr>
            <w:tcW w:w="2130" w:type="dxa"/>
          </w:tcPr>
          <w:p w14:paraId="1322053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w:t>
            </w:r>
          </w:p>
        </w:tc>
      </w:tr>
      <w:tr w:rsidR="00F26F01" w:rsidRPr="00C33834" w14:paraId="77A84E6A" w14:textId="77777777">
        <w:tc>
          <w:tcPr>
            <w:tcW w:w="2130" w:type="dxa"/>
          </w:tcPr>
          <w:p w14:paraId="6612F74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на 1000</w:t>
            </w:r>
          </w:p>
        </w:tc>
        <w:tc>
          <w:tcPr>
            <w:tcW w:w="2130" w:type="dxa"/>
          </w:tcPr>
          <w:p w14:paraId="00A5EE7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2130" w:type="dxa"/>
          </w:tcPr>
          <w:p w14:paraId="78BAD6A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w:t>
            </w:r>
          </w:p>
        </w:tc>
        <w:tc>
          <w:tcPr>
            <w:tcW w:w="2130" w:type="dxa"/>
          </w:tcPr>
          <w:p w14:paraId="32C982B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6,2</w:t>
            </w:r>
          </w:p>
        </w:tc>
      </w:tr>
      <w:tr w:rsidR="00F26F01" w:rsidRPr="00C33834" w14:paraId="1248E93B" w14:textId="77777777">
        <w:tc>
          <w:tcPr>
            <w:tcW w:w="2130" w:type="dxa"/>
          </w:tcPr>
          <w:p w14:paraId="0ED5319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2000</w:t>
            </w:r>
          </w:p>
        </w:tc>
        <w:tc>
          <w:tcPr>
            <w:tcW w:w="2130" w:type="dxa"/>
          </w:tcPr>
          <w:p w14:paraId="23DC5C1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w:t>
            </w:r>
          </w:p>
        </w:tc>
        <w:tc>
          <w:tcPr>
            <w:tcW w:w="2130" w:type="dxa"/>
          </w:tcPr>
          <w:p w14:paraId="57C5262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w:t>
            </w:r>
          </w:p>
        </w:tc>
        <w:tc>
          <w:tcPr>
            <w:tcW w:w="2130" w:type="dxa"/>
          </w:tcPr>
          <w:p w14:paraId="4155C3E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14,3</w:t>
            </w:r>
          </w:p>
        </w:tc>
      </w:tr>
      <w:tr w:rsidR="00F26F01" w:rsidRPr="00C33834" w14:paraId="35A83461" w14:textId="77777777">
        <w:tc>
          <w:tcPr>
            <w:tcW w:w="2130" w:type="dxa"/>
          </w:tcPr>
          <w:p w14:paraId="1228496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3000</w:t>
            </w:r>
          </w:p>
        </w:tc>
        <w:tc>
          <w:tcPr>
            <w:tcW w:w="2130" w:type="dxa"/>
          </w:tcPr>
          <w:p w14:paraId="2E94235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2130" w:type="dxa"/>
          </w:tcPr>
          <w:p w14:paraId="041CD2A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w:t>
            </w:r>
          </w:p>
        </w:tc>
        <w:tc>
          <w:tcPr>
            <w:tcW w:w="2130" w:type="dxa"/>
          </w:tcPr>
          <w:p w14:paraId="60C9B81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26,2</w:t>
            </w:r>
          </w:p>
        </w:tc>
      </w:tr>
      <w:tr w:rsidR="00F26F01" w:rsidRPr="00C33834" w14:paraId="66DEA315" w14:textId="77777777">
        <w:tc>
          <w:tcPr>
            <w:tcW w:w="2130" w:type="dxa"/>
            <w:tcBorders>
              <w:bottom w:val="single" w:sz="12" w:space="0" w:color="auto"/>
            </w:tcBorders>
          </w:tcPr>
          <w:p w14:paraId="10EE47E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 (теоретический)</w:t>
            </w:r>
          </w:p>
        </w:tc>
        <w:tc>
          <w:tcPr>
            <w:tcW w:w="2130" w:type="dxa"/>
            <w:tcBorders>
              <w:bottom w:val="single" w:sz="12" w:space="0" w:color="auto"/>
            </w:tcBorders>
          </w:tcPr>
          <w:p w14:paraId="20493A8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2130" w:type="dxa"/>
            <w:tcBorders>
              <w:bottom w:val="single" w:sz="12" w:space="0" w:color="auto"/>
            </w:tcBorders>
          </w:tcPr>
          <w:p w14:paraId="3456AC6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4100</w:t>
            </w:r>
          </w:p>
        </w:tc>
        <w:tc>
          <w:tcPr>
            <w:tcW w:w="2130" w:type="dxa"/>
            <w:tcBorders>
              <w:bottom w:val="single" w:sz="12" w:space="0" w:color="auto"/>
            </w:tcBorders>
          </w:tcPr>
          <w:p w14:paraId="7C1FB13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4600</w:t>
            </w:r>
          </w:p>
        </w:tc>
      </w:tr>
    </w:tbl>
    <w:p w14:paraId="062352A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p w14:paraId="14263AA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Мерного километра на с-те Парабола БИЧ-7 не было, т.к. максимальная скорость 165 км/час замерена по прибору, тарировки которого в полете не было. Поэтому м.б. отступления от приведенных данных</w:t>
      </w:r>
    </w:p>
    <w:p w14:paraId="19A46FF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Перечень основных конструктивных дефектов с-та Парабола БИЧ-7</w:t>
      </w:r>
    </w:p>
    <w:p w14:paraId="5468D82F"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проведении летных испытаний самолета Параболя БИЧ-7 было обращено особое внимание на ниже перечисленные дефекты конструкции, которые желательно в дальнейшем при постройке подобного типа об'ектов, по возможности избежать</w:t>
      </w:r>
    </w:p>
    <w:p w14:paraId="553A6168"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Исключительно тесна инеудобна для управления пилотская кабина, в которой с трудом помещается пилот среднего роста в зимнемодеянии с парашютом. Пилоту приходится сидеть с сильно согнутыми в коленях ногах.</w:t>
      </w:r>
    </w:p>
    <w:p w14:paraId="3BB7C6EC"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Управление педалями совершенно недопустимое, так что усилие ноги передается педялям не в упор, а за счет трения подошвы сапог о педаль. При наличии снега на сапогах трение кожи о сталь, покрытую снегом ничтожно, а а фактически управление рулем поворота отсутствует.</w:t>
      </w:r>
    </w:p>
    <w:p w14:paraId="1457140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Обслуживание мотора удобнно, доступ ко всем его частям несложен, но сам мотор выбран крайне неудачно. Трехцилиндровый мотор Люцифер 100 л.с. всегда был известен, каи очень плохо уравновешенный и трясучий мотор. Поэтому не удивительны те вибрации, которые возникали в самолете при работающем моторе. В результате этих вибраций на самолете у термометра растрясывается спирт, у показателя скорости отламывались лапки, крепящие его к крылу и т.п. Шарниры рулей от вибраций быстро разбалтывались и требовали замены болтов. Умотор</w:t>
      </w:r>
      <w:r w:rsidRPr="00C33834">
        <w:rPr>
          <w:rFonts w:ascii="Times New Roman" w:hAnsi="Times New Roman"/>
          <w:color w:val="000000" w:themeColor="text1"/>
          <w:sz w:val="16"/>
          <w:szCs w:val="16"/>
        </w:rPr>
        <w:softHyphen/>
        <w:t>ной рамы в результате вибраций появлялись трещины на ушках крепящих раму к самолету. Потребовалось снятие мотора и капитальный ремонт рамы.</w:t>
      </w:r>
    </w:p>
    <w:p w14:paraId="6BA8A85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Отмечая большую чувствительность самолета к шарнирным моментам рулей, желательно в дальнейшем предусмотреть в конструкции какие либо приспособления для уменьшения усилий на руле. Те импровизированные ...</w:t>
      </w:r>
    </w:p>
    <w:p w14:paraId="404EC9E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закатке и выкатке, а также при обтирании самолета тряпками изменячли свой угол и каждый полет был специфичен в отношении усилий на рукоятку и поведения с-та в воздухе с брошенныфми рулями.</w:t>
      </w:r>
    </w:p>
    <w:p w14:paraId="29A3801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случае устройства флетнеровских рулей для уменьшения усилий на рули желательно сделать их регулируемыми из кабины пилота во время полета на подобные изменения угла установки стабилизатора у хвостовых с-тов.</w:t>
      </w:r>
    </w:p>
    <w:p w14:paraId="0076243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На послепосадочном пробеге самолет сильно заворачивает влево, необходлимо устранить эту наклонность., т.к. разворот на большой скорости влечет за собой капот Параболы и очень нехорошие последствия для экапажа (2307,65).</w:t>
      </w:r>
    </w:p>
    <w:p w14:paraId="4F58F3E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2290CFA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26 февраля 1933 постановлением Президиума ЦС ОХА в план изданий включена брошюра СПК "Применение реактивного принципа в авиации". Тираж 4 тыс. экз. Издана в дополненном виде под названием "Ракетный полет в стратосфере" (М.: Военгиз, 1934) (ЦГАОР, ф. 8355, № 75(1), л. 33) (10676).</w:t>
      </w:r>
    </w:p>
    <w:p w14:paraId="287B724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22DC704E" w14:textId="77777777" w:rsidR="00A76142" w:rsidRPr="00C33834" w:rsidRDefault="00A7614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26 февраля по 16 апреля 1933 г. начальник КБ Нобиле находился в Кремлевской больнице [4, л.38-60; 113; 279-280] и не мог работать до конца апреля [4, л.113]. Нобиле вернулся к работе только 7 мая [4, л.277]. В это же время произошло обострение отношений Нобиле с собственным заместителем Феличе Трояни, который в числе итальянских специалистов прибыл в СССР вместе с ним. Вследствие продолжительного отсутствия Нобиле и конфликта в Конструкторском бюро верфь не получала со стороны КБ необходимые указания по строительству В-5, и тем самым делу был нанесен огромный вред [4, л.149]. Работы по сборке В-5 выполнялись молодыми советскими инженерами, которые столкнулись с серьезными препятствиями. Работать приходилось даже ночью из-за нехватки времени и квалифицированных кадров [4, л.63-66; 149] в промерзшем эллинге при температуре -25˚[8, л.12]. Технический руководитель сборки В-5 инженер Б.А. Гарф регулярно направлял руководству Дирижаблестроя рапорты с приложением «дневника работ по сборке», с указанием трудностей, возникших неполадок и переделок [4, л.63-66; 77-78; 80-81; 96-98]. Работа была осложнена «неувязкой отдельных частей корабля по вине КБ» [4, л.63-66]. Огромное количество ошибок в чертежах и в самой конструкции вызывало необходимость переделок. Ошибки содержались в 410 чертежах из 520 [4, л.148-149]. Например, киль у В-5 оказался длиннее оболочки и его пришлось переделывать [4, л.174]. Крайне низкое качество чертежей заставило руководство Дирижаблестроя усомниться в компетентности некоторых итальянских специалистов КБ из команды Нобиле [4, л.140-141] (15797).</w:t>
      </w:r>
    </w:p>
    <w:p w14:paraId="7DCD17A1" w14:textId="77777777" w:rsidR="00A76142" w:rsidRPr="00C33834" w:rsidRDefault="00A76142" w:rsidP="00C33834">
      <w:pPr>
        <w:spacing w:after="0" w:line="240" w:lineRule="auto"/>
        <w:jc w:val="both"/>
        <w:rPr>
          <w:rFonts w:ascii="Times New Roman" w:hAnsi="Times New Roman"/>
          <w:color w:val="000000" w:themeColor="text1"/>
          <w:sz w:val="16"/>
          <w:szCs w:val="16"/>
        </w:rPr>
      </w:pPr>
    </w:p>
    <w:p w14:paraId="40107DA4" w14:textId="77777777" w:rsidR="00573F2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3B0C3AF" w14:textId="77777777" w:rsidR="00573F27" w:rsidRPr="00C33834" w:rsidRDefault="00573F2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F4FF8E0" w14:textId="77777777" w:rsidR="00573F27" w:rsidRPr="00C33834" w:rsidRDefault="00573F2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 26 на 27 </w:t>
      </w:r>
      <w:r w:rsidRPr="00C33834">
        <w:rPr>
          <w:rStyle w:val="highlight"/>
          <w:rFonts w:ascii="Times New Roman" w:hAnsi="Times New Roman"/>
          <w:color w:val="000000" w:themeColor="text1"/>
          <w:sz w:val="16"/>
          <w:szCs w:val="16"/>
        </w:rPr>
        <w:t> февраля  1933 </w:t>
      </w:r>
      <w:r w:rsidRPr="00C33834">
        <w:rPr>
          <w:rFonts w:ascii="Times New Roman" w:hAnsi="Times New Roman"/>
          <w:color w:val="000000" w:themeColor="text1"/>
          <w:sz w:val="16"/>
          <w:szCs w:val="16"/>
        </w:rPr>
        <w:t xml:space="preserve"> года в ночь по официальной версии, Маринус ван дер Люббе пытался поджечь несколько общественных зданий в Берлине. После поджогарейхстага ван дер Люббе был схвачен на месте преступления. Он признался арестовавшим его полицейским в поджоге; сам он был в одной рубашке — пиджак и пальто сгорели в зале заседаний. На Лейпцигском процессе (в сентябре — декабре </w:t>
      </w:r>
      <w:r w:rsidRPr="00C33834">
        <w:rPr>
          <w:rStyle w:val="highlight"/>
          <w:rFonts w:ascii="Times New Roman" w:hAnsi="Times New Roman"/>
          <w:color w:val="000000" w:themeColor="text1"/>
          <w:sz w:val="16"/>
          <w:szCs w:val="16"/>
        </w:rPr>
        <w:t> 1933 </w:t>
      </w:r>
      <w:bookmarkStart w:id="8" w:name="YANDEX_LAST"/>
      <w:bookmarkEnd w:id="8"/>
      <w:r w:rsidRPr="00C33834">
        <w:rPr>
          <w:rFonts w:ascii="Times New Roman" w:hAnsi="Times New Roman"/>
          <w:color w:val="000000" w:themeColor="text1"/>
          <w:sz w:val="16"/>
          <w:szCs w:val="16"/>
        </w:rPr>
        <w:t xml:space="preserve"> года) он смотрел отстранённо, на задаваемые вопросы не отвечал, временами выкрикивая «Нет, нет..».</w:t>
      </w:r>
    </w:p>
    <w:p w14:paraId="7A0B7D37" w14:textId="77777777" w:rsidR="00573F27" w:rsidRPr="00C33834" w:rsidRDefault="00573F27"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color w:val="000000" w:themeColor="text1"/>
          <w:sz w:val="16"/>
          <w:szCs w:val="16"/>
        </w:rPr>
        <w:t>Кроме него обвиняемыми были один из руководителей Германской компартии — председатель фракции коммунистов в Рейхстаге Эрнст Торглер и три болгарских коммуниста, в том числе будущий генеральный секретарь Коминтерна Георгий Димитров. Своих «подельников» ван дер Люббе не выдал, взяв всю вину на себя. Свои действия он мотивировал протестом против роста влияния нацистов. Маринус ван дер Люббе был приговорён к смертной казни и обезглавлен на гильотине Лейпцигской тюрьмы 10 января 1934 года (17280).</w:t>
      </w:r>
    </w:p>
    <w:p w14:paraId="25CFB100" w14:textId="77777777" w:rsidR="00573F27" w:rsidRPr="00C33834" w:rsidRDefault="00573F2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BC616F5" w14:textId="77777777" w:rsidR="004C24F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96B7331" w14:textId="77777777" w:rsidR="004C24F7" w:rsidRPr="00C33834" w:rsidRDefault="004C24F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A2F15D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февраля 1933 года начальник материально-технического снабжения и вооружений ВВС Жаров писал письмо N УМТС/00833 Бакулову.</w:t>
      </w:r>
    </w:p>
    <w:p w14:paraId="5B668AD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сем препровождаю ведомость выполнения программы заказов на самолеты и моторы за 1932 год и ведомость заказов самолетов и моторов на 1933 год согласно личных переговоров.</w:t>
      </w:r>
    </w:p>
    <w:p w14:paraId="07E82B0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Ведомость выполнения программы заказов на самолеты и моторы за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tblGrid>
      <w:tr w:rsidR="00F26F01" w:rsidRPr="00C33834" w14:paraId="03422C60" w14:textId="77777777">
        <w:tc>
          <w:tcPr>
            <w:tcW w:w="1878" w:type="dxa"/>
          </w:tcPr>
          <w:p w14:paraId="70C665E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 самолетов и моторов</w:t>
            </w:r>
          </w:p>
        </w:tc>
        <w:tc>
          <w:tcPr>
            <w:tcW w:w="1878" w:type="dxa"/>
          </w:tcPr>
          <w:p w14:paraId="063F628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Годовое кол-во</w:t>
            </w:r>
          </w:p>
        </w:tc>
        <w:tc>
          <w:tcPr>
            <w:tcW w:w="1878" w:type="dxa"/>
          </w:tcPr>
          <w:p w14:paraId="48B2826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сдано за год</w:t>
            </w:r>
          </w:p>
        </w:tc>
      </w:tr>
      <w:tr w:rsidR="00F26F01" w:rsidRPr="00C33834" w14:paraId="515D45B3" w14:textId="77777777">
        <w:tc>
          <w:tcPr>
            <w:tcW w:w="1878" w:type="dxa"/>
          </w:tcPr>
          <w:p w14:paraId="1CAD08C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 М-22</w:t>
            </w:r>
          </w:p>
        </w:tc>
        <w:tc>
          <w:tcPr>
            <w:tcW w:w="1878" w:type="dxa"/>
          </w:tcPr>
          <w:p w14:paraId="3535E8E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345</w:t>
            </w:r>
          </w:p>
        </w:tc>
        <w:tc>
          <w:tcPr>
            <w:tcW w:w="1878" w:type="dxa"/>
          </w:tcPr>
          <w:p w14:paraId="70358C8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 (26%)</w:t>
            </w:r>
          </w:p>
        </w:tc>
      </w:tr>
      <w:tr w:rsidR="00F26F01" w:rsidRPr="00C33834" w14:paraId="01E4A21E" w14:textId="77777777">
        <w:tc>
          <w:tcPr>
            <w:tcW w:w="1878" w:type="dxa"/>
          </w:tcPr>
          <w:p w14:paraId="0247CD7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 М-17</w:t>
            </w:r>
          </w:p>
        </w:tc>
        <w:tc>
          <w:tcPr>
            <w:tcW w:w="1878" w:type="dxa"/>
          </w:tcPr>
          <w:p w14:paraId="17A1A46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w:t>
            </w:r>
          </w:p>
        </w:tc>
        <w:tc>
          <w:tcPr>
            <w:tcW w:w="1878" w:type="dxa"/>
          </w:tcPr>
          <w:p w14:paraId="2F2D8F7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 (28%)</w:t>
            </w:r>
          </w:p>
        </w:tc>
      </w:tr>
      <w:tr w:rsidR="00F26F01" w:rsidRPr="00C33834" w14:paraId="1D7B8134" w14:textId="77777777">
        <w:tc>
          <w:tcPr>
            <w:tcW w:w="1878" w:type="dxa"/>
          </w:tcPr>
          <w:p w14:paraId="3B2C17F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 М-17</w:t>
            </w:r>
          </w:p>
        </w:tc>
        <w:tc>
          <w:tcPr>
            <w:tcW w:w="1878" w:type="dxa"/>
          </w:tcPr>
          <w:p w14:paraId="25A11C8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1075</w:t>
            </w:r>
          </w:p>
        </w:tc>
        <w:tc>
          <w:tcPr>
            <w:tcW w:w="1878" w:type="dxa"/>
          </w:tcPr>
          <w:p w14:paraId="30CF584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726 (67,5%)</w:t>
            </w:r>
          </w:p>
        </w:tc>
      </w:tr>
      <w:tr w:rsidR="00F26F01" w:rsidRPr="00C33834" w14:paraId="217EC0A4" w14:textId="77777777">
        <w:tc>
          <w:tcPr>
            <w:tcW w:w="1878" w:type="dxa"/>
          </w:tcPr>
          <w:p w14:paraId="26186BB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 М-11</w:t>
            </w:r>
          </w:p>
        </w:tc>
        <w:tc>
          <w:tcPr>
            <w:tcW w:w="1878" w:type="dxa"/>
          </w:tcPr>
          <w:p w14:paraId="11E89AA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575</w:t>
            </w:r>
          </w:p>
        </w:tc>
        <w:tc>
          <w:tcPr>
            <w:tcW w:w="1878" w:type="dxa"/>
          </w:tcPr>
          <w:p w14:paraId="2380DBD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596 (103%)</w:t>
            </w:r>
          </w:p>
        </w:tc>
      </w:tr>
      <w:tr w:rsidR="00F26F01" w:rsidRPr="00C33834" w14:paraId="267AEF5B" w14:textId="77777777">
        <w:tc>
          <w:tcPr>
            <w:tcW w:w="1878" w:type="dxa"/>
          </w:tcPr>
          <w:p w14:paraId="16B11EE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ТШ М-17</w:t>
            </w:r>
          </w:p>
        </w:tc>
        <w:tc>
          <w:tcPr>
            <w:tcW w:w="1878" w:type="dxa"/>
          </w:tcPr>
          <w:p w14:paraId="23FA8CA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tc>
        <w:tc>
          <w:tcPr>
            <w:tcW w:w="1878" w:type="dxa"/>
          </w:tcPr>
          <w:p w14:paraId="5DF1F61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tc>
      </w:tr>
      <w:tr w:rsidR="00F26F01" w:rsidRPr="00C33834" w14:paraId="5A1BE11A" w14:textId="77777777">
        <w:tc>
          <w:tcPr>
            <w:tcW w:w="1878" w:type="dxa"/>
          </w:tcPr>
          <w:p w14:paraId="553D3A7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1878" w:type="dxa"/>
          </w:tcPr>
          <w:p w14:paraId="28F8E13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878" w:type="dxa"/>
          </w:tcPr>
          <w:p w14:paraId="6EE4C9B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w:t>
            </w:r>
          </w:p>
        </w:tc>
      </w:tr>
      <w:tr w:rsidR="00F26F01" w:rsidRPr="00C33834" w14:paraId="37BAE56A" w14:textId="77777777">
        <w:tc>
          <w:tcPr>
            <w:tcW w:w="1878" w:type="dxa"/>
          </w:tcPr>
          <w:p w14:paraId="7A97781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w:t>
            </w:r>
          </w:p>
        </w:tc>
        <w:tc>
          <w:tcPr>
            <w:tcW w:w="1878" w:type="dxa"/>
          </w:tcPr>
          <w:p w14:paraId="1FE6D57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878" w:type="dxa"/>
          </w:tcPr>
          <w:p w14:paraId="7596DD7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(62%)</w:t>
            </w:r>
          </w:p>
        </w:tc>
      </w:tr>
      <w:tr w:rsidR="00F26F01" w:rsidRPr="00C33834" w14:paraId="292F38EC" w14:textId="77777777">
        <w:tc>
          <w:tcPr>
            <w:tcW w:w="1878" w:type="dxa"/>
          </w:tcPr>
          <w:p w14:paraId="17FFDC9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 АССО</w:t>
            </w:r>
          </w:p>
        </w:tc>
        <w:tc>
          <w:tcPr>
            <w:tcW w:w="1878" w:type="dxa"/>
          </w:tcPr>
          <w:p w14:paraId="4DBD5DF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878" w:type="dxa"/>
          </w:tcPr>
          <w:p w14:paraId="74CAF53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(54%)</w:t>
            </w:r>
          </w:p>
        </w:tc>
      </w:tr>
      <w:tr w:rsidR="00F26F01" w:rsidRPr="00C33834" w14:paraId="0BF5CDEF" w14:textId="77777777">
        <w:tc>
          <w:tcPr>
            <w:tcW w:w="1878" w:type="dxa"/>
          </w:tcPr>
          <w:p w14:paraId="13A770B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АШ М-11</w:t>
            </w:r>
          </w:p>
        </w:tc>
        <w:tc>
          <w:tcPr>
            <w:tcW w:w="1878" w:type="dxa"/>
          </w:tcPr>
          <w:p w14:paraId="199B815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1878" w:type="dxa"/>
          </w:tcPr>
          <w:p w14:paraId="7DBE635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(100%)</w:t>
            </w:r>
          </w:p>
        </w:tc>
      </w:tr>
      <w:tr w:rsidR="00F26F01" w:rsidRPr="00C33834" w14:paraId="3348C4E4" w14:textId="77777777">
        <w:tc>
          <w:tcPr>
            <w:tcW w:w="1878" w:type="dxa"/>
          </w:tcPr>
          <w:p w14:paraId="6FEA0EA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ЗЕТ М-22</w:t>
            </w:r>
          </w:p>
        </w:tc>
        <w:tc>
          <w:tcPr>
            <w:tcW w:w="1878" w:type="dxa"/>
          </w:tcPr>
          <w:p w14:paraId="014226A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1878" w:type="dxa"/>
          </w:tcPr>
          <w:p w14:paraId="61D13E1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(100%)</w:t>
            </w:r>
          </w:p>
        </w:tc>
      </w:tr>
      <w:tr w:rsidR="00F26F01" w:rsidRPr="00C33834" w14:paraId="4869E2B8" w14:textId="77777777">
        <w:tc>
          <w:tcPr>
            <w:tcW w:w="1878" w:type="dxa"/>
          </w:tcPr>
          <w:p w14:paraId="09B6226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1878" w:type="dxa"/>
          </w:tcPr>
          <w:p w14:paraId="2B53103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2655</w:t>
            </w:r>
          </w:p>
        </w:tc>
        <w:tc>
          <w:tcPr>
            <w:tcW w:w="1878" w:type="dxa"/>
          </w:tcPr>
          <w:p w14:paraId="2CA1709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1705 (64%)</w:t>
            </w:r>
          </w:p>
        </w:tc>
      </w:tr>
      <w:tr w:rsidR="00F26F01" w:rsidRPr="00C33834" w14:paraId="04AFFA47" w14:textId="77777777">
        <w:tc>
          <w:tcPr>
            <w:tcW w:w="1878" w:type="dxa"/>
          </w:tcPr>
          <w:p w14:paraId="212B82B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w:t>
            </w:r>
          </w:p>
        </w:tc>
        <w:tc>
          <w:tcPr>
            <w:tcW w:w="1878" w:type="dxa"/>
          </w:tcPr>
          <w:p w14:paraId="1D42601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166D931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5564DB5" w14:textId="77777777">
        <w:tc>
          <w:tcPr>
            <w:tcW w:w="1878" w:type="dxa"/>
          </w:tcPr>
          <w:p w14:paraId="6E21160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1878" w:type="dxa"/>
          </w:tcPr>
          <w:p w14:paraId="06564EF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2080</w:t>
            </w:r>
          </w:p>
        </w:tc>
        <w:tc>
          <w:tcPr>
            <w:tcW w:w="1878" w:type="dxa"/>
          </w:tcPr>
          <w:p w14:paraId="3820973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1641 (78,8%)</w:t>
            </w:r>
          </w:p>
        </w:tc>
      </w:tr>
      <w:tr w:rsidR="00F26F01" w:rsidRPr="00C33834" w14:paraId="3B94447A" w14:textId="77777777">
        <w:tc>
          <w:tcPr>
            <w:tcW w:w="1878" w:type="dxa"/>
          </w:tcPr>
          <w:p w14:paraId="6AEFF71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w:t>
            </w:r>
          </w:p>
        </w:tc>
        <w:tc>
          <w:tcPr>
            <w:tcW w:w="1878" w:type="dxa"/>
          </w:tcPr>
          <w:p w14:paraId="12E6FB2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955</w:t>
            </w:r>
          </w:p>
        </w:tc>
        <w:tc>
          <w:tcPr>
            <w:tcW w:w="1878" w:type="dxa"/>
          </w:tcPr>
          <w:p w14:paraId="423D0FC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883 (92%)</w:t>
            </w:r>
          </w:p>
        </w:tc>
      </w:tr>
      <w:tr w:rsidR="00F26F01" w:rsidRPr="00C33834" w14:paraId="77F50912" w14:textId="77777777">
        <w:tc>
          <w:tcPr>
            <w:tcW w:w="1878" w:type="dxa"/>
          </w:tcPr>
          <w:p w14:paraId="4213D2B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878" w:type="dxa"/>
          </w:tcPr>
          <w:p w14:paraId="0D877A8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398</w:t>
            </w:r>
          </w:p>
        </w:tc>
        <w:tc>
          <w:tcPr>
            <w:tcW w:w="1878" w:type="dxa"/>
          </w:tcPr>
          <w:p w14:paraId="2173F11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357 (89%)</w:t>
            </w:r>
          </w:p>
        </w:tc>
      </w:tr>
      <w:tr w:rsidR="00F26F01" w:rsidRPr="00C33834" w14:paraId="7B9CBD32" w14:textId="77777777">
        <w:tc>
          <w:tcPr>
            <w:tcW w:w="1878" w:type="dxa"/>
          </w:tcPr>
          <w:p w14:paraId="0E69F23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1878" w:type="dxa"/>
          </w:tcPr>
          <w:p w14:paraId="117D4F5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1878" w:type="dxa"/>
          </w:tcPr>
          <w:p w14:paraId="0F599B0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 (16%)</w:t>
            </w:r>
          </w:p>
        </w:tc>
      </w:tr>
      <w:tr w:rsidR="00F26F01" w:rsidRPr="00C33834" w14:paraId="2E2EB99F" w14:textId="77777777">
        <w:tc>
          <w:tcPr>
            <w:tcW w:w="1878" w:type="dxa"/>
          </w:tcPr>
          <w:p w14:paraId="471311B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1878" w:type="dxa"/>
          </w:tcPr>
          <w:p w14:paraId="419B585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3833</w:t>
            </w:r>
          </w:p>
        </w:tc>
        <w:tc>
          <w:tcPr>
            <w:tcW w:w="1878" w:type="dxa"/>
          </w:tcPr>
          <w:p w14:paraId="7F99110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2945 (88%)</w:t>
            </w:r>
          </w:p>
        </w:tc>
      </w:tr>
    </w:tbl>
    <w:p w14:paraId="5193C34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Причины столь значительного недовыполнения программы 1932 года заводами сводятся к следующему:</w:t>
      </w:r>
    </w:p>
    <w:p w14:paraId="2CB775A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самолету И-5</w:t>
      </w:r>
    </w:p>
    <w:p w14:paraId="152A437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Недовыполнение программы в целом относится за счет завода N 21, который машину в 1932 году не освоил и к серийному выпуску не приступил.</w:t>
      </w:r>
    </w:p>
    <w:p w14:paraId="116C03D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самолету Р-5.</w:t>
      </w:r>
    </w:p>
    <w:p w14:paraId="77DC9C2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Недовыполнение программы произошло из-за отсутствия моторов в III и IV кварталах.</w:t>
      </w:r>
    </w:p>
    <w:p w14:paraId="656096A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самолету Р-6.</w:t>
      </w:r>
    </w:p>
    <w:p w14:paraId="458188B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N 31, в связи с поздней передачей с завода N 22 на завод N 31 серийной постройки этой машины (в первом квартале 1932 года), отсутствия подготовки завода N 31 к серийному производству металлических самолетов и благодаря недочетам организационного порядка на заводе N 31 в 1932 году ни одного самолета Р-6 не сдал; сдача указанных выше самолетов Р-6, была произведена заводом N 22.</w:t>
      </w:r>
    </w:p>
    <w:p w14:paraId="1566F02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самолету И-7.</w:t>
      </w:r>
    </w:p>
    <w:p w14:paraId="2918FFC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Недовыполнение программы произошло из-за ряда неполадок с освоением производства на заводе N 1 из-за отсутствия достаточного количества труб для оперения, центроплана и фюзеляжа и недостачи моторов в четвертом квартале.</w:t>
      </w:r>
    </w:p>
    <w:p w14:paraId="3F198B2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самолету ТБ-3.</w:t>
      </w:r>
    </w:p>
    <w:p w14:paraId="51FC156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Недовыполнение произошло по причине отсутствия моторов М-17 в четвертом квартале; частично из-за того, что завод N 22 в третьем и четвертом кварталах отставал по сборке самолетов.</w:t>
      </w:r>
    </w:p>
    <w:p w14:paraId="4ECF1AF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самолету МБР4 (С-62 бис).</w:t>
      </w:r>
    </w:p>
    <w:p w14:paraId="7A4B49A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Причинами недовыполнения программы по этим самолетам являются позднее освоение заводом N 31 серийной постройки машины, неполадки организационного порядка на самом заводе N 31 и введение ряда переделок против итальянского образца.</w:t>
      </w:r>
    </w:p>
    <w:p w14:paraId="3556760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мотору М-17.</w:t>
      </w:r>
    </w:p>
    <w:p w14:paraId="50FA878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Недовыполнение программы 1932 года заводом N 26 вызвано большим браком, как деталей, так и моторов в целом, задержкой с подачей заводу поковок, валов, цилиндров и др.</w:t>
      </w:r>
    </w:p>
    <w:p w14:paraId="362E9E4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мотору М-34.</w:t>
      </w:r>
    </w:p>
    <w:p w14:paraId="357B389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N 24 в 1932 году не справился с программой по ряду причин, из коих основные: медленное освоение серийного производства, ряд конструктивных и производственных неполадок, как-то: обрывы болтов-шатунов, поломки валов, трещины и выкрашивание баббита вкладышей, переделки в чертежах и ряд других причин.</w:t>
      </w:r>
    </w:p>
    <w:p w14:paraId="53373CD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Ведомость заказов самолетов и моторов на 1933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F26F01" w:rsidRPr="00C33834" w14:paraId="0CF85866" w14:textId="77777777">
        <w:tc>
          <w:tcPr>
            <w:tcW w:w="2818" w:type="dxa"/>
          </w:tcPr>
          <w:p w14:paraId="0926F11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 самолетов и моторов</w:t>
            </w:r>
          </w:p>
        </w:tc>
        <w:tc>
          <w:tcPr>
            <w:tcW w:w="2818" w:type="dxa"/>
          </w:tcPr>
          <w:p w14:paraId="35FB83B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Годовое кол-во</w:t>
            </w:r>
          </w:p>
        </w:tc>
      </w:tr>
      <w:tr w:rsidR="00F26F01" w:rsidRPr="00C33834" w14:paraId="6BB3D67E" w14:textId="77777777">
        <w:tc>
          <w:tcPr>
            <w:tcW w:w="2818" w:type="dxa"/>
          </w:tcPr>
          <w:p w14:paraId="2E6409E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w:t>
            </w:r>
          </w:p>
        </w:tc>
        <w:tc>
          <w:tcPr>
            <w:tcW w:w="2818" w:type="dxa"/>
          </w:tcPr>
          <w:p w14:paraId="4EDC123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DC49332" w14:textId="77777777">
        <w:tc>
          <w:tcPr>
            <w:tcW w:w="2818" w:type="dxa"/>
          </w:tcPr>
          <w:p w14:paraId="6D388C0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w:t>
            </w:r>
          </w:p>
        </w:tc>
        <w:tc>
          <w:tcPr>
            <w:tcW w:w="2818" w:type="dxa"/>
          </w:tcPr>
          <w:p w14:paraId="2D616DF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r>
      <w:tr w:rsidR="00F26F01" w:rsidRPr="00C33834" w14:paraId="15DB49E9" w14:textId="77777777">
        <w:tc>
          <w:tcPr>
            <w:tcW w:w="2818" w:type="dxa"/>
          </w:tcPr>
          <w:p w14:paraId="494F9F4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w:t>
            </w:r>
          </w:p>
        </w:tc>
        <w:tc>
          <w:tcPr>
            <w:tcW w:w="2818" w:type="dxa"/>
          </w:tcPr>
          <w:p w14:paraId="0E9F71B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1600</w:t>
            </w:r>
          </w:p>
        </w:tc>
      </w:tr>
      <w:tr w:rsidR="00F26F01" w:rsidRPr="00C33834" w14:paraId="3F29F782" w14:textId="77777777">
        <w:tc>
          <w:tcPr>
            <w:tcW w:w="2818" w:type="dxa"/>
          </w:tcPr>
          <w:p w14:paraId="18AF38D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Р-5а</w:t>
            </w:r>
          </w:p>
        </w:tc>
        <w:tc>
          <w:tcPr>
            <w:tcW w:w="2818" w:type="dxa"/>
          </w:tcPr>
          <w:p w14:paraId="1524C86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r>
      <w:tr w:rsidR="00F26F01" w:rsidRPr="00C33834" w14:paraId="17340793" w14:textId="77777777">
        <w:tc>
          <w:tcPr>
            <w:tcW w:w="2818" w:type="dxa"/>
          </w:tcPr>
          <w:p w14:paraId="4808FE0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2818" w:type="dxa"/>
          </w:tcPr>
          <w:p w14:paraId="1C056D0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r>
      <w:tr w:rsidR="00F26F01" w:rsidRPr="00C33834" w14:paraId="49D5544A" w14:textId="77777777">
        <w:tc>
          <w:tcPr>
            <w:tcW w:w="2818" w:type="dxa"/>
          </w:tcPr>
          <w:p w14:paraId="4213531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ТБ-4</w:t>
            </w:r>
          </w:p>
        </w:tc>
        <w:tc>
          <w:tcPr>
            <w:tcW w:w="2818" w:type="dxa"/>
          </w:tcPr>
          <w:p w14:paraId="7A6683A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r>
      <w:tr w:rsidR="00F26F01" w:rsidRPr="00C33834" w14:paraId="05074BBC" w14:textId="77777777">
        <w:tc>
          <w:tcPr>
            <w:tcW w:w="2818" w:type="dxa"/>
          </w:tcPr>
          <w:p w14:paraId="180F84C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w:t>
            </w:r>
          </w:p>
        </w:tc>
        <w:tc>
          <w:tcPr>
            <w:tcW w:w="2818" w:type="dxa"/>
          </w:tcPr>
          <w:p w14:paraId="2664D33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tc>
      </w:tr>
      <w:tr w:rsidR="00F26F01" w:rsidRPr="00C33834" w14:paraId="519CCE40" w14:textId="77777777">
        <w:tc>
          <w:tcPr>
            <w:tcW w:w="2818" w:type="dxa"/>
          </w:tcPr>
          <w:p w14:paraId="03F1169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w:t>
            </w:r>
          </w:p>
        </w:tc>
        <w:tc>
          <w:tcPr>
            <w:tcW w:w="2818" w:type="dxa"/>
          </w:tcPr>
          <w:p w14:paraId="52FD11B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tc>
      </w:tr>
      <w:tr w:rsidR="00F26F01" w:rsidRPr="00C33834" w14:paraId="73385D81" w14:textId="77777777">
        <w:tc>
          <w:tcPr>
            <w:tcW w:w="2818" w:type="dxa"/>
          </w:tcPr>
          <w:p w14:paraId="07A15F5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w:t>
            </w:r>
          </w:p>
        </w:tc>
        <w:tc>
          <w:tcPr>
            <w:tcW w:w="2818" w:type="dxa"/>
          </w:tcPr>
          <w:p w14:paraId="54D4652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w:t>
            </w:r>
          </w:p>
        </w:tc>
      </w:tr>
      <w:tr w:rsidR="00F26F01" w:rsidRPr="00C33834" w14:paraId="27EE56FC" w14:textId="77777777">
        <w:tc>
          <w:tcPr>
            <w:tcW w:w="2818" w:type="dxa"/>
          </w:tcPr>
          <w:p w14:paraId="546818B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w:t>
            </w:r>
          </w:p>
        </w:tc>
        <w:tc>
          <w:tcPr>
            <w:tcW w:w="2818" w:type="dxa"/>
          </w:tcPr>
          <w:p w14:paraId="388A2D0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r>
      <w:tr w:rsidR="00F26F01" w:rsidRPr="00C33834" w14:paraId="2405B863" w14:textId="77777777">
        <w:tc>
          <w:tcPr>
            <w:tcW w:w="2818" w:type="dxa"/>
          </w:tcPr>
          <w:p w14:paraId="7D8BDB8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w:t>
            </w:r>
          </w:p>
        </w:tc>
        <w:tc>
          <w:tcPr>
            <w:tcW w:w="2818" w:type="dxa"/>
          </w:tcPr>
          <w:p w14:paraId="7971F66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0C4FB35D" w14:textId="77777777">
        <w:tc>
          <w:tcPr>
            <w:tcW w:w="2818" w:type="dxa"/>
          </w:tcPr>
          <w:p w14:paraId="0A7F7D0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АШ</w:t>
            </w:r>
          </w:p>
        </w:tc>
        <w:tc>
          <w:tcPr>
            <w:tcW w:w="2818" w:type="dxa"/>
          </w:tcPr>
          <w:p w14:paraId="57EBCE2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r>
      <w:tr w:rsidR="00F26F01" w:rsidRPr="00C33834" w14:paraId="1FA65431" w14:textId="77777777">
        <w:tc>
          <w:tcPr>
            <w:tcW w:w="2818" w:type="dxa"/>
          </w:tcPr>
          <w:p w14:paraId="68A0B56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2818" w:type="dxa"/>
          </w:tcPr>
          <w:p w14:paraId="785CEAB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3615</w:t>
            </w:r>
          </w:p>
        </w:tc>
      </w:tr>
      <w:tr w:rsidR="00F26F01" w:rsidRPr="00C33834" w14:paraId="73BE8DDF" w14:textId="77777777">
        <w:tc>
          <w:tcPr>
            <w:tcW w:w="2818" w:type="dxa"/>
          </w:tcPr>
          <w:p w14:paraId="4AF8954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w:t>
            </w:r>
          </w:p>
        </w:tc>
        <w:tc>
          <w:tcPr>
            <w:tcW w:w="2818" w:type="dxa"/>
          </w:tcPr>
          <w:p w14:paraId="3D835E1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7E7A653" w14:textId="77777777">
        <w:tc>
          <w:tcPr>
            <w:tcW w:w="2818" w:type="dxa"/>
          </w:tcPr>
          <w:p w14:paraId="7055903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2818" w:type="dxa"/>
          </w:tcPr>
          <w:p w14:paraId="1D8A262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w:t>
            </w:r>
          </w:p>
        </w:tc>
      </w:tr>
      <w:tr w:rsidR="00F26F01" w:rsidRPr="00C33834" w14:paraId="5643E82E" w14:textId="77777777">
        <w:tc>
          <w:tcPr>
            <w:tcW w:w="2818" w:type="dxa"/>
          </w:tcPr>
          <w:p w14:paraId="6CE4A26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2818" w:type="dxa"/>
          </w:tcPr>
          <w:p w14:paraId="1A374AF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2C11D75A" w14:textId="77777777">
        <w:tc>
          <w:tcPr>
            <w:tcW w:w="2818" w:type="dxa"/>
          </w:tcPr>
          <w:p w14:paraId="062F0F9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w:t>
            </w:r>
          </w:p>
        </w:tc>
        <w:tc>
          <w:tcPr>
            <w:tcW w:w="2818" w:type="dxa"/>
          </w:tcPr>
          <w:p w14:paraId="5676F13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340</w:t>
            </w:r>
          </w:p>
        </w:tc>
      </w:tr>
      <w:tr w:rsidR="00F26F01" w:rsidRPr="00C33834" w14:paraId="18E03139" w14:textId="77777777">
        <w:tc>
          <w:tcPr>
            <w:tcW w:w="2818" w:type="dxa"/>
          </w:tcPr>
          <w:p w14:paraId="437F6CE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2818" w:type="dxa"/>
          </w:tcPr>
          <w:p w14:paraId="0A812E7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r>
      <w:tr w:rsidR="00F26F01" w:rsidRPr="00C33834" w14:paraId="5D1278B6" w14:textId="77777777">
        <w:tc>
          <w:tcPr>
            <w:tcW w:w="2818" w:type="dxa"/>
          </w:tcPr>
          <w:p w14:paraId="6BCD0EB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2818" w:type="dxa"/>
          </w:tcPr>
          <w:p w14:paraId="34B9F5A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1340</w:t>
            </w:r>
          </w:p>
        </w:tc>
      </w:tr>
    </w:tbl>
    <w:p w14:paraId="28ADC4E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Причинами недовыполнения программы первого квартала (январь-февраль 1933 года) являются следующие:</w:t>
      </w:r>
    </w:p>
    <w:p w14:paraId="2D684D4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самолету И-5.</w:t>
      </w:r>
    </w:p>
    <w:p w14:paraId="156A6C5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выполнении программы первого квартала 1933 года продолжают сказываться причины срыва программы по 1932 году; только сейчас завод N 21 начинает медленно налаживать выпуск самолетов.</w:t>
      </w:r>
    </w:p>
    <w:p w14:paraId="2ECA6E7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самолету МБР-4.</w:t>
      </w:r>
    </w:p>
    <w:p w14:paraId="26FC9B8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Сдача самолетов задерживается необходимостью внесения ряда изменений в самолет в целях улучшения центровки.</w:t>
      </w:r>
    </w:p>
    <w:p w14:paraId="43E865A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самолету У-2.</w:t>
      </w:r>
    </w:p>
    <w:p w14:paraId="458FE9E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Недовыполнение заводом N 23 программы за февраль вызвано тем, что завод отстал с выполнением программы по самолету АП, соответственно передвигая сроки сдачи У-2.</w:t>
      </w:r>
    </w:p>
    <w:p w14:paraId="3D0CBB3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мотору М-17.</w:t>
      </w:r>
    </w:p>
    <w:p w14:paraId="2C76788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Причиной недовыполнения программы января и февраля является большой брак, например из 93-х изготовленных моторов, лишь 41 мотор мог быть принят. Остальные признаны некондиционными. (3068,38-41).</w:t>
      </w:r>
    </w:p>
    <w:p w14:paraId="57FACD8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4BAC7363" w14:textId="77777777" w:rsidR="004C24F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1D37CA6" w14:textId="77777777" w:rsidR="004C24F7" w:rsidRPr="00C33834" w:rsidRDefault="004C24F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961C46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февраля/2 марта 1933 года вышел Приказ N 15с/019с по наркомату тяжелой промышленности и наркомату по военным и морским делам:</w:t>
      </w:r>
    </w:p>
    <w:p w14:paraId="56B92E1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ускорения производства опытных партий бронебойных и фугасных морских снарядов и бронебойных снарядов полевой артиллерии, а также бронебойных аэробомб и обеспечения постановки валового производства их для выполнения заданий, данных промышленности на 1933 г. Наркомвоенмором, организованном при ВОАО 17 декабря 1932 года. (Тухачевский). (3048,3-6).</w:t>
      </w:r>
    </w:p>
    <w:p w14:paraId="1929ED7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7886CDA8" w14:textId="77777777" w:rsidR="004C24F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68C9C6A" w14:textId="77777777" w:rsidR="004C24F7" w:rsidRPr="00C33834" w:rsidRDefault="004C24F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B598E6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февраля 1933 г. фашисты организовали провокацию с поджогом здания рейхстага, в котором были обвинены главные конкуренты нацистов - коммунисты (3871).</w:t>
      </w:r>
    </w:p>
    <w:p w14:paraId="75B92E4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5C32503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lang w:val="en-US"/>
        </w:rPr>
      </w:pPr>
      <w:r w:rsidRPr="00C33834">
        <w:rPr>
          <w:rFonts w:ascii="Times New Roman" w:hAnsi="Times New Roman"/>
          <w:color w:val="000000" w:themeColor="text1"/>
          <w:sz w:val="16"/>
          <w:szCs w:val="16"/>
          <w:lang w:val="en-US"/>
        </w:rPr>
        <w:t>February 27 1933 The Reichstag building in Germany burns (1050).</w:t>
      </w:r>
    </w:p>
    <w:p w14:paraId="113BF46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lang w:val="en-US"/>
        </w:rPr>
      </w:pPr>
    </w:p>
    <w:p w14:paraId="441C8DA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ночь на 27 февраля 1933 сгорел Рейхстаг и фашисты попытались обвинить в поджоге коммунистов в лице Г.Димитрова (2443,26).</w:t>
      </w:r>
    </w:p>
    <w:p w14:paraId="167419C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самом деле поджег голландский рабочий Маринус ван дер Люббе (3907,179).</w:t>
      </w:r>
    </w:p>
    <w:p w14:paraId="7F0D279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36B53003" w14:textId="77777777" w:rsidR="00A76142" w:rsidRPr="00C33834" w:rsidRDefault="00A76142"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27 февраля</w:t>
      </w:r>
      <w:r w:rsidRPr="00C33834">
        <w:rPr>
          <w:rFonts w:ascii="Times New Roman" w:hAnsi="Times New Roman"/>
          <w:color w:val="000000" w:themeColor="text1"/>
          <w:sz w:val="16"/>
          <w:szCs w:val="16"/>
        </w:rPr>
        <w:t xml:space="preserve"> в 1933 году в Берлине пожар уничтожает здание рейхстага (парламента). Несмотря на то, что преступление совершено голландским рабочим Маринусом ван дер Люббе, нацисты объявляют пожар результатом заговора коммунистов, обвинив в этом коммунистов — лидера коммунистической фракции Эрнста Толлера, а также болгарских эмигрантов Димитрова, Попова и Танева. На этом основании нацисты отменяют все гражданские свободы и вводят цензуру прессы. Среди антифашистов будут произведены массовые аресты, в марте фашистское правительство получит чрезвычайные полномочия, еще через два месяца будут разогнаны профсоюзы, а затем распущены все партии, кроме нацистской. Метод провокаций потом не раз будет использоваться гитлеровцами для достижения своих целей (15053).</w:t>
      </w:r>
    </w:p>
    <w:p w14:paraId="5FFFC0AC" w14:textId="77777777" w:rsidR="00A76142" w:rsidRPr="00C33834" w:rsidRDefault="00A76142" w:rsidP="00C33834">
      <w:pPr>
        <w:spacing w:after="0" w:line="240" w:lineRule="auto"/>
        <w:jc w:val="both"/>
        <w:rPr>
          <w:rFonts w:ascii="Times New Roman" w:hAnsi="Times New Roman"/>
          <w:color w:val="000000" w:themeColor="text1"/>
          <w:sz w:val="16"/>
          <w:szCs w:val="16"/>
        </w:rPr>
      </w:pPr>
    </w:p>
    <w:p w14:paraId="718F81AA" w14:textId="77777777" w:rsidR="00150BD8" w:rsidRPr="00C33834" w:rsidRDefault="00150BD8" w:rsidP="00C33834">
      <w:pPr>
        <w:pStyle w:val="ae"/>
        <w:spacing w:before="0" w:after="0"/>
        <w:jc w:val="both"/>
        <w:rPr>
          <w:color w:val="000000" w:themeColor="text1"/>
          <w:sz w:val="16"/>
          <w:szCs w:val="16"/>
        </w:rPr>
      </w:pPr>
      <w:r w:rsidRPr="00C33834">
        <w:rPr>
          <w:color w:val="000000" w:themeColor="text1"/>
          <w:sz w:val="16"/>
          <w:szCs w:val="16"/>
        </w:rPr>
        <w:t xml:space="preserve">27 февраля 1933 Геринг с подручными из СА и СС организовал </w:t>
      </w:r>
      <w:hyperlink r:id="rId70" w:tooltip="Поджог Рейхстага" w:history="1">
        <w:r w:rsidRPr="00C33834">
          <w:rPr>
            <w:rStyle w:val="a5"/>
            <w:color w:val="000000" w:themeColor="text1"/>
            <w:sz w:val="16"/>
            <w:szCs w:val="16"/>
            <w:u w:val="none"/>
          </w:rPr>
          <w:t>поджог здания рейхстага</w:t>
        </w:r>
      </w:hyperlink>
      <w:r w:rsidRPr="00C33834">
        <w:rPr>
          <w:color w:val="000000" w:themeColor="text1"/>
          <w:sz w:val="16"/>
          <w:szCs w:val="16"/>
        </w:rPr>
        <w:t>. Предполагаемые участники поджога: штурмовики Виллен, Эггерт, Ралль, Штейнле, эсэсовцы Гильдиш, Войте, Гепке, Зандер, Тойфль. С собой они взяли 60 кг фосфора и пропитанный им же шнур длиной 100 метров.</w:t>
      </w:r>
    </w:p>
    <w:p w14:paraId="296E4847" w14:textId="77777777" w:rsidR="00150BD8" w:rsidRPr="00C33834" w:rsidRDefault="00150BD8" w:rsidP="00C33834">
      <w:pPr>
        <w:pStyle w:val="ae"/>
        <w:spacing w:before="0" w:after="0"/>
        <w:jc w:val="both"/>
        <w:rPr>
          <w:color w:val="000000" w:themeColor="text1"/>
          <w:sz w:val="16"/>
          <w:szCs w:val="16"/>
        </w:rPr>
      </w:pPr>
      <w:r w:rsidRPr="00C33834">
        <w:rPr>
          <w:color w:val="000000" w:themeColor="text1"/>
          <w:sz w:val="16"/>
          <w:szCs w:val="16"/>
        </w:rPr>
        <w:t xml:space="preserve">Вину за поджог попытались свалить на пятерых человек: </w:t>
      </w:r>
      <w:hyperlink r:id="rId71" w:tooltip="Ван дер Люббе, Маринус" w:history="1">
        <w:r w:rsidRPr="00C33834">
          <w:rPr>
            <w:rStyle w:val="a5"/>
            <w:color w:val="000000" w:themeColor="text1"/>
            <w:sz w:val="16"/>
            <w:szCs w:val="16"/>
            <w:u w:val="none"/>
          </w:rPr>
          <w:t>Ван дер Люббе</w:t>
        </w:r>
      </w:hyperlink>
      <w:r w:rsidRPr="00C33834">
        <w:rPr>
          <w:color w:val="000000" w:themeColor="text1"/>
          <w:sz w:val="16"/>
          <w:szCs w:val="16"/>
        </w:rPr>
        <w:t xml:space="preserve"> (имевшего 25 % зрения), лидера парламентской фракции компартии Германии </w:t>
      </w:r>
      <w:hyperlink r:id="rId72" w:tooltip="Торглер, Эрнст" w:history="1">
        <w:r w:rsidRPr="00C33834">
          <w:rPr>
            <w:rStyle w:val="a5"/>
            <w:color w:val="000000" w:themeColor="text1"/>
            <w:sz w:val="16"/>
            <w:szCs w:val="16"/>
            <w:u w:val="none"/>
          </w:rPr>
          <w:t>Эрнста Торглера</w:t>
        </w:r>
      </w:hyperlink>
      <w:r w:rsidRPr="00C33834">
        <w:rPr>
          <w:color w:val="000000" w:themeColor="text1"/>
          <w:sz w:val="16"/>
          <w:szCs w:val="16"/>
        </w:rPr>
        <w:t xml:space="preserve"> и троих болгарских коммунистов — </w:t>
      </w:r>
      <w:hyperlink r:id="rId73" w:tooltip="Димитров, Георгий Михайлович" w:history="1">
        <w:r w:rsidRPr="00C33834">
          <w:rPr>
            <w:rStyle w:val="a5"/>
            <w:color w:val="000000" w:themeColor="text1"/>
            <w:sz w:val="16"/>
            <w:szCs w:val="16"/>
            <w:u w:val="none"/>
          </w:rPr>
          <w:t>Георгия Димитрова</w:t>
        </w:r>
      </w:hyperlink>
      <w:r w:rsidRPr="00C33834">
        <w:rPr>
          <w:color w:val="000000" w:themeColor="text1"/>
          <w:sz w:val="16"/>
          <w:szCs w:val="16"/>
        </w:rPr>
        <w:t xml:space="preserve">, </w:t>
      </w:r>
      <w:hyperlink r:id="rId74" w:tooltip="Танев, Васил" w:history="1">
        <w:r w:rsidRPr="00C33834">
          <w:rPr>
            <w:rStyle w:val="a5"/>
            <w:color w:val="000000" w:themeColor="text1"/>
            <w:sz w:val="16"/>
            <w:szCs w:val="16"/>
            <w:u w:val="none"/>
          </w:rPr>
          <w:t>Васила Танева</w:t>
        </w:r>
      </w:hyperlink>
      <w:r w:rsidRPr="00C33834">
        <w:rPr>
          <w:color w:val="000000" w:themeColor="text1"/>
          <w:sz w:val="16"/>
          <w:szCs w:val="16"/>
        </w:rPr>
        <w:t xml:space="preserve"> и </w:t>
      </w:r>
      <w:hyperlink r:id="rId75" w:tooltip="Попов, Благой" w:history="1">
        <w:r w:rsidRPr="00C33834">
          <w:rPr>
            <w:rStyle w:val="a5"/>
            <w:color w:val="000000" w:themeColor="text1"/>
            <w:sz w:val="16"/>
            <w:szCs w:val="16"/>
            <w:u w:val="none"/>
          </w:rPr>
          <w:t>Благоя Попова</w:t>
        </w:r>
      </w:hyperlink>
      <w:r w:rsidRPr="00C33834">
        <w:rPr>
          <w:color w:val="000000" w:themeColor="text1"/>
          <w:sz w:val="16"/>
          <w:szCs w:val="16"/>
        </w:rPr>
        <w:t>. На нацистском Лейпцигском процессе четыре из пяти были оправданы. Был осужден к смертной казни Ван дер Люббе (в настоящее время реабилитирован). Поджог рейхстага наиболее выгоден был нацистам, они мгновенно объявили КПГ вне закона, 28 февраля было объявлено чрезвычайное положение, действовавшее до конца гитлеровского режима.</w:t>
      </w:r>
    </w:p>
    <w:p w14:paraId="06D78677" w14:textId="77777777" w:rsidR="00150BD8" w:rsidRPr="00C33834" w:rsidRDefault="00150BD8" w:rsidP="00C33834">
      <w:pPr>
        <w:pStyle w:val="ae"/>
        <w:spacing w:before="0" w:after="0"/>
        <w:jc w:val="both"/>
        <w:rPr>
          <w:color w:val="000000" w:themeColor="text1"/>
          <w:sz w:val="16"/>
          <w:szCs w:val="16"/>
        </w:rPr>
      </w:pPr>
      <w:r w:rsidRPr="00C33834">
        <w:rPr>
          <w:color w:val="000000" w:themeColor="text1"/>
          <w:sz w:val="16"/>
          <w:szCs w:val="16"/>
        </w:rPr>
        <w:t xml:space="preserve">Но даже в таких «тепличных» условиях на </w:t>
      </w:r>
      <w:hyperlink r:id="rId76" w:tooltip="Парламентские выборы в Германии (1933, март)" w:history="1">
        <w:r w:rsidRPr="00C33834">
          <w:rPr>
            <w:rStyle w:val="a5"/>
            <w:color w:val="000000" w:themeColor="text1"/>
            <w:sz w:val="16"/>
            <w:szCs w:val="16"/>
            <w:u w:val="none"/>
          </w:rPr>
          <w:t>выборах в рейхстаг</w:t>
        </w:r>
      </w:hyperlink>
      <w:hyperlink r:id="rId77" w:tooltip="5 марта" w:history="1">
        <w:r w:rsidRPr="00C33834">
          <w:rPr>
            <w:rStyle w:val="a5"/>
            <w:color w:val="000000" w:themeColor="text1"/>
            <w:sz w:val="16"/>
            <w:szCs w:val="16"/>
            <w:u w:val="none"/>
          </w:rPr>
          <w:t>5 марта</w:t>
        </w:r>
      </w:hyperlink>
      <w:hyperlink r:id="rId78" w:tooltip="1933 год" w:history="1">
        <w:r w:rsidRPr="00C33834">
          <w:rPr>
            <w:rStyle w:val="highlight1"/>
            <w:b w:val="0"/>
            <w:color w:val="000000" w:themeColor="text1"/>
            <w:sz w:val="16"/>
            <w:szCs w:val="16"/>
          </w:rPr>
          <w:t> 1933 </w:t>
        </w:r>
      </w:hyperlink>
      <w:r w:rsidRPr="00C33834">
        <w:rPr>
          <w:color w:val="000000" w:themeColor="text1"/>
          <w:sz w:val="16"/>
          <w:szCs w:val="16"/>
        </w:rPr>
        <w:t xml:space="preserve"> года, НСДАП по официальным данным набрала 17,3 миллиона голосов — примерно на 3 миллиона меньше, чем требовалось, чтобы иметь в рейхстаге 50 % голосов (17274).</w:t>
      </w:r>
    </w:p>
    <w:p w14:paraId="154E3F53" w14:textId="77777777" w:rsidR="00150BD8" w:rsidRPr="00C33834" w:rsidRDefault="00150BD8" w:rsidP="00C33834">
      <w:pPr>
        <w:spacing w:after="0" w:line="240" w:lineRule="auto"/>
        <w:jc w:val="both"/>
        <w:rPr>
          <w:rFonts w:ascii="Times New Roman" w:hAnsi="Times New Roman"/>
          <w:color w:val="000000" w:themeColor="text1"/>
          <w:sz w:val="16"/>
          <w:szCs w:val="16"/>
        </w:rPr>
      </w:pPr>
    </w:p>
    <w:p w14:paraId="75E0208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февраля 1933 г. поджогом райхстага был дан необходимый пропагандистский повод для ужесточения репрессий против них. В ночь с 27 на 28 февраля 1933 г. были проведены массовые аресты антифашистов, заявлено, что в доме К. Либкнехта найдены подземные ходы, склады оружия, документы и план организации в Германии коммунистического переворота, что вместе с поджогом райхстага свидетельствовало о наличии «международного коммунистического заговора». 3 марта 1933 г. был арестован лидер КПГ Э. Тельман (Подробнее см.: Розанов Г. Л. Германия под властью фашизма. (1933-1939 гг.) М., 1961. С. 74-87.) (11784). После отставки Шляйхера и прихода к власти Гитлера ситуация, в том числе и в Германии,- коренным образом изменилась. В течение неполных двух месяцев пребывания нацистов у власти они буквально растерзали своих крупнейших политических оппонентов — СДПГ и КПГ, имевших по результатам выборов 6 ноября 1932 г. соответственно 121 и 100 депутатских мандатов (Grosses Universalvolkslexikon. Bd.8. S. 110.) (11784).</w:t>
      </w:r>
    </w:p>
    <w:p w14:paraId="324DB36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69E8BC74" w14:textId="77777777" w:rsidR="007B60FC" w:rsidRPr="00C33834" w:rsidRDefault="007B60F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ночь с 27 на 28 февраля 1933 г. были проведены массовые аресты антифашистов, заявлено, что в доме К. Либкнехта найдены подземные ходы, склады оружия, документы и план организации в Германии коммунистического переворота, что вместе с поджогом райхстага свидетельствовало о наличии «международного коммунистического заговора». 3 марта 1933 г. был арестован лидер КПГ Э. Тельман</w:t>
      </w:r>
      <w:hyperlink r:id="rId79" w:anchor="n_441" w:history="1">
        <w:r w:rsidRPr="00C33834">
          <w:rPr>
            <w:rStyle w:val="a5"/>
            <w:rFonts w:ascii="Times New Roman" w:hAnsi="Times New Roman"/>
            <w:color w:val="000000" w:themeColor="text1"/>
            <w:sz w:val="16"/>
            <w:szCs w:val="16"/>
          </w:rPr>
          <w:t>[441]</w:t>
        </w:r>
      </w:hyperlink>
      <w:r w:rsidRPr="00C33834">
        <w:rPr>
          <w:rFonts w:ascii="Times New Roman" w:hAnsi="Times New Roman"/>
          <w:color w:val="000000" w:themeColor="text1"/>
          <w:sz w:val="16"/>
          <w:szCs w:val="16"/>
        </w:rPr>
        <w:t>.</w:t>
      </w:r>
    </w:p>
    <w:p w14:paraId="20928AE7" w14:textId="77777777" w:rsidR="007B60FC" w:rsidRPr="00C33834" w:rsidRDefault="007B60F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марта 1933 г. были проведены назначенные на первом заседании правительства Гитлера еще одни внеочередные, на этот раз последние выборы в райхстаг. НСДАП получила на них 17,2 млн. голосов (288 мандатов), СДПГ — 7,1 млн., КПГ — 4,9 млн. (соответственно 120 и 81 мандат). Однако уже 15 марта мандаты коммунистов были объявлены недействительными, 24 марта был принят закон о наделении Гитлера чрезвычайными полномочиями, который не только де-факто, но и де-юре свел на нет роль райхстага как высшего законодательного органа страны (19269).</w:t>
      </w:r>
    </w:p>
    <w:p w14:paraId="30E794D0" w14:textId="77777777" w:rsidR="007B60FC" w:rsidRPr="00C33834" w:rsidRDefault="007B60FC" w:rsidP="00C33834">
      <w:pPr>
        <w:spacing w:after="0" w:line="240" w:lineRule="auto"/>
        <w:jc w:val="both"/>
        <w:rPr>
          <w:rFonts w:ascii="Times New Roman" w:hAnsi="Times New Roman"/>
          <w:color w:val="000000" w:themeColor="text1"/>
          <w:sz w:val="16"/>
          <w:szCs w:val="16"/>
        </w:rPr>
      </w:pPr>
    </w:p>
    <w:p w14:paraId="3F44C1AF" w14:textId="77777777" w:rsidR="007C00E8" w:rsidRPr="00C33834" w:rsidRDefault="007C00E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27 февраля 1933 в двух разных местах Берлина собрались на ужин самые могущественные люди Германии. На Фос-штрассе, в закрытом "Герренклубе", вице-канцлер фон Папен принимал президента фон Гинденбурга. В доме Геббельса, в кругу его семьи, ужинал канцлер Гитлер. По словам Геббельса, они отдыхали, слушали пластинки и рассказывали разные истории. "Вдруг, - записал он потом в дневнике, - телефонный звонок от д-ра Ханфштенгля: "Горит рейхстаг! " Я был уверен, что он говорит ерунду, и даже не сказал ничего фюреру".</w:t>
      </w:r>
    </w:p>
    <w:p w14:paraId="4BC73369" w14:textId="77777777" w:rsidR="007C00E8" w:rsidRPr="00C33834" w:rsidRDefault="007C00E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Но те, кто ужинал в "Герренклубе", находились совсем рядом с рейхстагом.</w:t>
      </w:r>
    </w:p>
    <w:p w14:paraId="340C1F02" w14:textId="77777777" w:rsidR="007C00E8" w:rsidRPr="00C33834" w:rsidRDefault="007C00E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"Вдруг, - записал Папен, - мы заметили, что окна осветились красным заревом, а с улицы донеслись крики. Ко мне быстро подошел слуга и шепнул: "Горит рейхстаг! " Эти слова я передал президенту. Он встал, и мы, подойдя к окну, посмотрели на здание рейхстага: его купол был словно освещен изнутри прожекторами. Время от времени из него вырывалось пламя, клубы дыма застилали силуэт".</w:t>
      </w:r>
    </w:p>
    <w:p w14:paraId="500E5DBA" w14:textId="77777777" w:rsidR="007C00E8" w:rsidRPr="00C33834" w:rsidRDefault="007C00E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lastRenderedPageBreak/>
        <w:t>Отправив престарелого президента домой в своем автомобиле, вице-канцлер поспешил к горящему зданию. Тем временем Геббельс, еще раз поразмыслив, согласно его записи, над "ерундой", сказанной Путци Ханфштенглем, позвонил в несколько мест и убедился, что рейхстаг действительно в огне. Несколько мгновений спустя он и фюрер уже неслись со скоростью шестьдесят миль в час по шоссе Шарлоттенбергер "к месту преступления" (17283).</w:t>
      </w:r>
    </w:p>
    <w:p w14:paraId="522E85C8" w14:textId="77777777" w:rsidR="007C00E8" w:rsidRPr="00C33834" w:rsidRDefault="007C00E8" w:rsidP="00C33834">
      <w:pPr>
        <w:autoSpaceDE w:val="0"/>
        <w:autoSpaceDN w:val="0"/>
        <w:adjustRightInd w:val="0"/>
        <w:spacing w:after="0" w:line="240" w:lineRule="auto"/>
        <w:jc w:val="both"/>
        <w:rPr>
          <w:rFonts w:ascii="Times New Roman" w:hAnsi="Times New Roman"/>
          <w:color w:val="000000" w:themeColor="text1"/>
          <w:sz w:val="16"/>
          <w:szCs w:val="16"/>
        </w:rPr>
      </w:pPr>
    </w:p>
    <w:p w14:paraId="5DCF21FF" w14:textId="77777777" w:rsidR="00F33F0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6E581364" w14:textId="77777777" w:rsidR="00F33F07" w:rsidRPr="00C33834" w:rsidRDefault="00F33F0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3ECE8C7" w14:textId="77777777" w:rsidR="00F33F07" w:rsidRPr="00C33834" w:rsidRDefault="00F33F07" w:rsidP="00C33834">
      <w:pPr>
        <w:pStyle w:val="rtejustify"/>
        <w:spacing w:before="0" w:after="0"/>
        <w:rPr>
          <w:color w:val="000000" w:themeColor="text1"/>
          <w:sz w:val="16"/>
          <w:szCs w:val="16"/>
        </w:rPr>
      </w:pPr>
      <w:r w:rsidRPr="00C33834">
        <w:rPr>
          <w:rStyle w:val="af0"/>
          <w:bCs/>
          <w:i w:val="0"/>
          <w:color w:val="000000" w:themeColor="text1"/>
          <w:sz w:val="16"/>
          <w:szCs w:val="16"/>
        </w:rPr>
        <w:t>28 февраля</w:t>
      </w:r>
      <w:r w:rsidRPr="00C33834">
        <w:rPr>
          <w:color w:val="000000" w:themeColor="text1"/>
          <w:sz w:val="16"/>
          <w:szCs w:val="16"/>
        </w:rPr>
        <w:t xml:space="preserve"> 1933. Постановление СНК СССР № 322/55с «О порядке размещения военных заказов в промкооперации». (ГА РФ. Ф. Р</w:t>
      </w:r>
      <w:r w:rsidRPr="00C33834">
        <w:rPr>
          <w:color w:val="000000" w:themeColor="text1"/>
          <w:sz w:val="16"/>
          <w:szCs w:val="16"/>
        </w:rPr>
        <w:noBreakHyphen/>
        <w:t>8418. Оп. 8. Д. 13. Л. 1) (15460).</w:t>
      </w:r>
    </w:p>
    <w:p w14:paraId="72AAE119" w14:textId="77777777" w:rsidR="00F33F07" w:rsidRPr="00C33834" w:rsidRDefault="00F33F07" w:rsidP="00C33834">
      <w:pPr>
        <w:pStyle w:val="rtejustify"/>
        <w:spacing w:before="0" w:after="0"/>
        <w:rPr>
          <w:color w:val="000000" w:themeColor="text1"/>
          <w:sz w:val="16"/>
          <w:szCs w:val="16"/>
        </w:rPr>
      </w:pPr>
    </w:p>
    <w:p w14:paraId="208A6EE0" w14:textId="77777777" w:rsidR="004C24F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79CC455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2C8CFCC3" w14:textId="77777777" w:rsidR="002E1BE7" w:rsidRPr="00C33834" w:rsidRDefault="002E1BE7" w:rsidP="00C33834">
      <w:pPr>
        <w:pStyle w:val="rtejustify"/>
        <w:spacing w:before="0" w:after="0"/>
        <w:rPr>
          <w:color w:val="000000" w:themeColor="text1"/>
          <w:sz w:val="16"/>
          <w:szCs w:val="16"/>
        </w:rPr>
      </w:pPr>
      <w:r w:rsidRPr="00C33834">
        <w:rPr>
          <w:color w:val="000000" w:themeColor="text1"/>
          <w:sz w:val="16"/>
          <w:szCs w:val="16"/>
        </w:rPr>
        <w:t>28 февраля 1933 г. в условиях голода и карточной системы ПБ приняло решение развернуть в Москве, Ленинграде и Харькове свободную продажу хлеба в специальных хлебных магазинах по повышенным ценам (Там же. Д. 916. Л. 31, 92). Постепенно это решение распространялось на другие промышленные центры. 16 октября 1933 г., после запросов Сталина, Микоян направил Кагановичу и Молотову (а Каганович, в свою очередь, разослал членам ПБ) записку. Он сообщил, что на 1 октября 1933 г. свободная торговли хлебом велась в 145 городах и после 1 октября откроется еще в 15 городах. За все время с открытия (в марте 1933 г.) до 1 октября было продано 335 тыс. тонн пшеничного и ржаного хлеба на 950 млн руб. После уборки урожая повсеместно произошло снижение объемов продаж, особенно в южных регионах с наиболее высоким урожаем. В сентябре свободная продажа хлеба была значительно ниже (в ряде мест вдвое) установленных норм. В связи с этим Микоян предлагал к концу октября снизить розничные цены на хлеб свободной продажи по ряду южных городов, где рыночные цены укрепились на уровне государственных. В остальных городах, если потребуется, Микоян предлагал произвести снижение цен не ранее ноября (АП РФ. Ф. 3. Оп. 43. Д. 46. Л. 2–5). 9 ноября 1933 г. ПБ приняло решение снизить цены на хлеб, реализуемый в порядке свободной продажи из государственных магазинов (РГАСПИ. Ф. 17. Оп. 3. Д. 934. Л. 12–13).</w:t>
      </w:r>
    </w:p>
    <w:p w14:paraId="37C99CE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Архив: РГАСПИ Ф. 558. Оп. 11. Д. 741. Л. 80–89. Автограф. </w:t>
      </w:r>
    </w:p>
    <w:p w14:paraId="4C944DF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Сталин и Каганович. Переписка. 1931–1936 гг. Москва: (РОССПЭН), 2001 Стр. 370-373 (12336).</w:t>
      </w:r>
    </w:p>
    <w:p w14:paraId="7080AC1D" w14:textId="77777777" w:rsidR="002E1BE7" w:rsidRPr="00C33834" w:rsidRDefault="002E1BE7" w:rsidP="00C33834">
      <w:pPr>
        <w:spacing w:after="0" w:line="240" w:lineRule="auto"/>
        <w:jc w:val="both"/>
        <w:rPr>
          <w:rFonts w:ascii="Times New Roman" w:hAnsi="Times New Roman"/>
          <w:color w:val="000000" w:themeColor="text1"/>
          <w:sz w:val="16"/>
          <w:szCs w:val="16"/>
          <w:u w:color="002060"/>
        </w:rPr>
      </w:pPr>
    </w:p>
    <w:p w14:paraId="1357C023" w14:textId="77777777" w:rsidR="007B60FC" w:rsidRPr="00C33834" w:rsidRDefault="007B60F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февраля 1933 г. была принята Резолюция московского городского и областного комитета партии «О ходе работ по строительству метрополитена», принятая совместно с президиумом Моссовета, которая обозначила переход ко второй, более эффективной фазе строительства. Руководству Метростроя поручалось на основе принципа единоначалия{465}ввести строжайшую дисциплину в управленческом аппарате и на строительных объектах, а также представить к 1 марта 1933 г. технический проект. Были одобрены предложенные Метростроем календарные планы работ по отдельным участкам. Что же касается способа строительства, то в резолюции молчаливо пересматривалось решение Политбюроот 23 мая 1932 г. Партия поддалась давлению аргументов Ротерта и для участков Сокольники — Красные ворота и Дворец Советов — Крымская пл. признала целесообразным открытый способ строительства. На трассе же Красные ворота — Смоленская пл. предусматривался закрытый способ. Сверх всего прочего Метрострой обязывался реорганизовать свой аппарат, сократив к 1 марта 1933 г. штат управленцев на треть{466}.</w:t>
      </w:r>
    </w:p>
    <w:p w14:paraId="2872ABE6" w14:textId="77777777" w:rsidR="007B60FC" w:rsidRPr="00C33834" w:rsidRDefault="007B60F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дополнительной резолюции перечислялись конкретные меры: руководители строительства отныне должны минимум половину своего рабочего времени проводить непосредственно на объекте, а не в конторе. От начальников требовалось полностью использовать предоставленные им административные права, не разводя «мелкобуржуазный демократизм». Ротерту приказали в течение месяца представить план механизации работ. В качестве стимулирующего фактора для рабочих вводилась сдельная оплата, причем рабочим, занятым в шахте, устанавливалась оплата на 25% выше по сравнению с обычным уровнем зарплаты в строительной отрасли. Руководство Метростроя и профсоюзный комитет обязывались организовать техническое обучение рабочих. Каждый принимаемый на шахту рабочий обязан был впредь пройти курс обучения, необходимый для усвоения «технического минимума». Партийному комитету Метростроя поручалось проверить распределение коммунистов и комсомольцев в шахтах и позаботиться о том, чтобы в каждой рабочей смене имелось твердое ядро коммунистов и комсомольцев, способное вести за собой остальных рабочих. Московская организация комсомола должна была с этой целью мобилизовать на строительство метро 1 тысячу комсомольцев московских предприятий. Перед Моссоветом была поставлена задача улучшения условий жизни метростроевцев{467}.Для придания постановлению местных партийных органов большего веса оно было представлено на утверждение Центральному комитету ВКП(б){468} (18299).</w:t>
      </w:r>
    </w:p>
    <w:p w14:paraId="52395E56" w14:textId="77777777" w:rsidR="007B60FC" w:rsidRPr="00C33834" w:rsidRDefault="007B60FC" w:rsidP="00C33834">
      <w:pPr>
        <w:spacing w:after="0" w:line="240" w:lineRule="auto"/>
        <w:jc w:val="both"/>
        <w:rPr>
          <w:rFonts w:ascii="Times New Roman" w:hAnsi="Times New Roman"/>
          <w:color w:val="000000" w:themeColor="text1"/>
          <w:sz w:val="16"/>
          <w:szCs w:val="16"/>
        </w:rPr>
      </w:pPr>
    </w:p>
    <w:p w14:paraId="7DE4E38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февраля 1933 был разослан приказ по Дмитлагу № 45 об организации «при КВО Управления ДИТЛ» особой Комиссии связи, в задачи которой входили: «а) установление письменной связи со всеми освобождающимися заключенными; б) оказание помощи всем освобождающимся». Председателем Комиссии назначался начальник КВО С. И. Ауэрбах, членами - секретарь ЦАК (Центральной аттестационной комиссии лагеря) Прокопюк и представитель лагерного парткома инспектор КВО Нестеров. Всем отделениям Дмитлага предписывалось «широко оповестить об этом лагерников через КВЧ [культурно-воспитательные части] и работников ее на местах и разъяснить освобождающимся из заключения, особенно освобождающимся женщинам, что во всех случаях, когда они встретят затруднения на местах по приискании себе работы, им надлежит немедленно обращаться за помощью и содействием в Комиссию Связи при КВО Управления». В приложенной к приказу «Инструкции о Комиссиях Связи лагерей О.Г.П.У.» уточнялось, что речь идет об «организации письменной связи с освобождающимися социально-близкими заключенными», а «письма, представляющие интерес с точки зрения воспитательного значения», предложено «передавать для широкого использования через культвоспитаппарат среди заключенных, как наглядный агитационный материал, долженствующий воздействовать на трудно-исправляющихся заключенных, при условии правильного доведения этого материала до сознания каждого из них» (7560).</w:t>
      </w:r>
    </w:p>
    <w:p w14:paraId="50F9AD8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1582D4B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февраля 1933 года в письме заместителя председателя ОГПУ Ягоды на имя Молотова говорится: «Все лагеря ОГПУ находятся на полной самоокупаемости и все расходы производят за счет собственных средств, не прибегая ни к какому банковскому кредитованию» (9044).</w:t>
      </w:r>
    </w:p>
    <w:p w14:paraId="5726F43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0C74320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28 февраля 1933 г. в письме заместителя председателя ОГПУ Ягоды на имя Молотова говорится: "Все лагеря ОГПУ находятся на полной самоокупаемости и все расходы производят за счет собственных средств, не прибегая ни к какому банковскому кредитованию". Поддержание карательного аппарата стало практически безубыточным, и это, несомненно, говорит в пользу мнения об эффективности созданной системы. </w:t>
      </w:r>
    </w:p>
    <w:p w14:paraId="60B12CE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Положении об ИТЛ было записано, что все заключенные получают продовольственный паек в соответствии с характером выполняемой работы. Общее содержание и все виды обслуживания предоставлялись бесплатно. Самым важным средством повышения производительности труда заключенных стала система зачетов: перевыполнявшим установленную норму день работы засчитывался за полтора-два календарных дня срока, а на особо тяжелых работах даже за три. В итоге срок наказания мог сократиться втрое! </w:t>
      </w:r>
    </w:p>
    <w:p w14:paraId="0813C63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Оформление системы стимулирования производительности труда заключенных позволило в дальнейшем перейти к решению масштабных задач в интересах хозяйственного и оборонного строительства в СССР (12107).</w:t>
      </w:r>
    </w:p>
    <w:p w14:paraId="79A856A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4A11AF6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25 февраля и 3 марта 1933. Из протокола заседания Политбюро N 131, 1933 г</w:t>
      </w:r>
    </w:p>
    <w:p w14:paraId="238378D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Вопрос Башобкома </w:t>
      </w:r>
    </w:p>
    <w:p w14:paraId="05C0535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Разрешить Башобкому выслать из пределов Башкирии 1000 семейств наиболее злостных единоличников (11652).</w:t>
      </w:r>
    </w:p>
    <w:p w14:paraId="3E4AB62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533BE0AC" w14:textId="77777777" w:rsidR="004C24F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B26F7C8" w14:textId="77777777" w:rsidR="004C24F7" w:rsidRPr="00C33834" w:rsidRDefault="004C24F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0FC909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февраля 1933 вышел чрезвычайный декрет гитлеровского правительства от отмене статей Веймарской конституции, гарантирующих свободу личности, слова, печати, собраний, союзов (2443,407).</w:t>
      </w:r>
    </w:p>
    <w:p w14:paraId="5442ED8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Нет, это был декрет, подписанный президентом Гинденбургом (3186).</w:t>
      </w:r>
    </w:p>
    <w:p w14:paraId="269E5E1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248D0F65" w14:textId="77777777" w:rsidR="00EB1210" w:rsidRPr="00C33834" w:rsidRDefault="00EB1210"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28 февраля</w:t>
      </w:r>
      <w:r w:rsidRPr="00C33834">
        <w:rPr>
          <w:rFonts w:ascii="Times New Roman" w:hAnsi="Times New Roman"/>
          <w:color w:val="000000" w:themeColor="text1"/>
          <w:sz w:val="16"/>
          <w:szCs w:val="16"/>
        </w:rPr>
        <w:t xml:space="preserve"> в 1933 году Адольф Гитлер подписал декрет «Об охране народа и государства», которым приостанавливалось действие семи статей конституции, гарантирующих права и свободы граждан (15054).</w:t>
      </w:r>
    </w:p>
    <w:p w14:paraId="52946A82" w14:textId="77777777" w:rsidR="00EB1210" w:rsidRPr="00C33834" w:rsidRDefault="00EB1210" w:rsidP="00C33834">
      <w:pPr>
        <w:spacing w:after="0" w:line="240" w:lineRule="auto"/>
        <w:jc w:val="both"/>
        <w:rPr>
          <w:rFonts w:ascii="Times New Roman" w:hAnsi="Times New Roman"/>
          <w:color w:val="000000" w:themeColor="text1"/>
          <w:sz w:val="16"/>
          <w:szCs w:val="16"/>
        </w:rPr>
      </w:pPr>
    </w:p>
    <w:p w14:paraId="22C6EEBF" w14:textId="77777777" w:rsidR="007C00E8" w:rsidRPr="00C33834" w:rsidRDefault="007C00E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28 февраля 1933, на следующий после пожара день, Гитлер представил на подпись президенту Гинденбургу проект декрета "Об охране народа и государства", приостанавливавшего действие семи статей конституции, которые гарантировали свободу личности и права граждан. Назвав этот проект "защитной мерой против насильственных действий коммунистов, представляющих угрозу для государства", Гитлер требовал права: ограничивать свободу личности и свободу мнений, включая свободу печати, а также свободу собраний и союзов; нарушать тайну переписки, телеграфной и телефонной связи; устраивать домашние обыски, конфисковывать имущество.</w:t>
      </w:r>
    </w:p>
    <w:p w14:paraId="44C1CFFB" w14:textId="77777777" w:rsidR="007C00E8" w:rsidRPr="00C33834" w:rsidRDefault="007C00E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lastRenderedPageBreak/>
        <w:t>Все это считалось допустимым, даже если выходило за рамки закона. Декрет предоставлял также правительству рейха право пользоваться полнотой власти в землях, когда это вызывалось необходимостью, и вводил смертную казнь за ряд преступлений, таких, как "серьезные нарушения спокойствия" со стороны вооруженных лиц (17283).</w:t>
      </w:r>
    </w:p>
    <w:p w14:paraId="5A54ABAB" w14:textId="77777777" w:rsidR="007C00E8" w:rsidRPr="00C33834" w:rsidRDefault="007C00E8"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4AB701" w14:textId="77777777" w:rsidR="004C24F7" w:rsidRPr="00C33834" w:rsidRDefault="004C24F7"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февраля 1933 в знак протеста против нацизма Германию покинул драматург Бертольд Брехт (4962).</w:t>
      </w:r>
    </w:p>
    <w:p w14:paraId="365B932E" w14:textId="77777777" w:rsidR="004C24F7" w:rsidRPr="00C33834" w:rsidRDefault="004C24F7"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2A2240" w14:textId="77777777" w:rsidR="004C24F7" w:rsidRPr="00C33834" w:rsidRDefault="004C24F7"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февраля 1933 фашистами подожжен рейхстаг (4962).</w:t>
      </w:r>
    </w:p>
    <w:p w14:paraId="5570E995" w14:textId="77777777" w:rsidR="004C24F7" w:rsidRPr="00C33834" w:rsidRDefault="004C24F7"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BDEE8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28 февраля 1933 года по официальным немецким данным, сумма иностранной задолженности Германии составляла 18 967 млн марок, из которых на краткосрочные кредиты (со сроком уплаты до 28 февраля 1934 года) приходились 8702 млн марок и на долгосрочные — 10 265 млн марок. В том числе германский долг Англии на 30 сентября 1933 года равнялся 132 млн фунтов стерлингов, или 1718 млн марок. Для сравнения: весь германский экспорт в 1933 году составил 4871 млн марок (11208).</w:t>
      </w:r>
    </w:p>
    <w:p w14:paraId="7C75162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32E0815C" w14:textId="77777777" w:rsidR="004C24F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9CF6522" w14:textId="77777777" w:rsidR="004C24F7" w:rsidRPr="00C33834" w:rsidRDefault="004C24F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467CAD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февраля 1933 года в результате совместных с русскими инженерами разработок У.Нобиле появился первый советский полужесткий дирижабль СССР В-5. Его первый полет продолжительностью 1 час 15 минут состоялся 27 апреля 1933 года. Дирижабль имел небольшой объем, всего 2340 куб. м. Малые размеры В-5 объяснялись тем, что он задумывался как опытный образец полужесткого дирижабля, предназначенный для практического ознакомления советских специалистов с итальянской полужесткой системой и выявления трудностей, которые могли встретиться при постройке дирижабля значительно большей кубатуры. На нем также предполагалось проводить обучение пилотов и наземного персонала для приобретения опыта эксплуатации и обслуживания полужесткого дирижабля (10731).</w:t>
      </w:r>
    </w:p>
    <w:p w14:paraId="2CDCFC1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34BEAB82" w14:textId="77777777" w:rsidR="004C24F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1C66ED3" w14:textId="77777777" w:rsidR="004C24F7" w:rsidRPr="00C33834" w:rsidRDefault="004C24F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4964AE8"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февраля — начале марта 1933 г. на заводе Новое Сормово работала комиссия Наркомтяжпрома СССР. Ею было, в частности, установлено, что «никто на заводе не может дать сведений о наличии оборудования, учет составлен хаотично, оборудование месяцами хранится на открытом воздухе». [10 — Там же, Л. 152.] Данные факты не являлись единичными и характеризовали общее состояние техническо-производственной и финансово-коммерческой деятельности завода. Предприятие, на которое руководство страны возлагало особые надежды, было признано «плетущимся в хвосте». [11 — Там же.] (11741).</w:t>
      </w:r>
    </w:p>
    <w:p w14:paraId="14C446E1"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DFD9BD" w14:textId="77777777" w:rsidR="004C24F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EB103BF" w14:textId="77777777" w:rsidR="004C24F7" w:rsidRPr="00C33834" w:rsidRDefault="004C24F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7E9994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года в отряде ГУАП только с привлечением в комиссию представителей Аэрофлота проводились последние испытания К-5 эталонного (7738, 12-10).</w:t>
      </w:r>
    </w:p>
    <w:p w14:paraId="57AAA31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483FA94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К.А.К. представил на гос. испытания К-5М-22 "эталон 1933" (70,172).</w:t>
      </w:r>
    </w:p>
    <w:p w14:paraId="4D4D252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2396999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были Начаты государственные испытания самолета К-5 — «эталона 1933 г.». Построен учебный самолет «Омега» конструкции А. Н. Грацианского (10674).</w:t>
      </w:r>
    </w:p>
    <w:p w14:paraId="638F029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0062E7F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февраля 1933 года производство БОК-1, которое началось в конце 1932 года в ЦАГИ, продолжалось на заводе № 39 им. Менжинского (7851).</w:t>
      </w:r>
    </w:p>
    <w:p w14:paraId="6D69E6C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12C6C699" w14:textId="77777777" w:rsidR="004539AF" w:rsidRPr="00C33834" w:rsidRDefault="004539A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февраля 1933 года постройка БОК-1 продол</w:t>
      </w:r>
      <w:r w:rsidRPr="00C33834">
        <w:rPr>
          <w:rFonts w:ascii="Times New Roman" w:hAnsi="Times New Roman"/>
          <w:color w:val="000000" w:themeColor="text1"/>
          <w:sz w:val="16"/>
          <w:szCs w:val="16"/>
        </w:rPr>
        <w:softHyphen/>
        <w:t>жилась на заводе № 39 имени Менжинско</w:t>
      </w:r>
      <w:r w:rsidRPr="00C33834">
        <w:rPr>
          <w:rFonts w:ascii="Times New Roman" w:hAnsi="Times New Roman"/>
          <w:color w:val="000000" w:themeColor="text1"/>
          <w:sz w:val="16"/>
          <w:szCs w:val="16"/>
        </w:rPr>
        <w:softHyphen/>
        <w:t>го в Москве, куда перевели Бюро особых конструкций, и завершилась в Смоленске на авиаремонтном заводе № 35, где был организован опытный цех БОКа.</w:t>
      </w:r>
    </w:p>
    <w:p w14:paraId="6EBD91E7" w14:textId="77777777" w:rsidR="004539AF" w:rsidRPr="00C33834" w:rsidRDefault="004539AF"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Style w:val="114"/>
          <w:rFonts w:eastAsia="Calibri"/>
          <w:b w:val="0"/>
          <w:i w:val="0"/>
          <w:color w:val="000000" w:themeColor="text1"/>
          <w:sz w:val="16"/>
          <w:szCs w:val="16"/>
        </w:rPr>
        <w:t>Основная тяжесть испытаний и довод</w:t>
      </w:r>
      <w:r w:rsidRPr="00C33834">
        <w:rPr>
          <w:rStyle w:val="114"/>
          <w:rFonts w:eastAsia="Calibri"/>
          <w:b w:val="0"/>
          <w:i w:val="0"/>
          <w:color w:val="000000" w:themeColor="text1"/>
          <w:sz w:val="16"/>
          <w:szCs w:val="16"/>
        </w:rPr>
        <w:softHyphen/>
        <w:t>ки БОК-1 и его систем легла на плечи летчка-испытателя НИИ ВВС И.Ф. Пет</w:t>
      </w:r>
      <w:r w:rsidRPr="00C33834">
        <w:rPr>
          <w:rStyle w:val="114"/>
          <w:rFonts w:eastAsia="Calibri"/>
          <w:b w:val="0"/>
          <w:i w:val="0"/>
          <w:color w:val="000000" w:themeColor="text1"/>
          <w:sz w:val="16"/>
          <w:szCs w:val="16"/>
        </w:rPr>
        <w:softHyphen/>
        <w:t>рова и Н.Н. Каштанова — заместителя В.АЧижевского.</w:t>
      </w:r>
      <w:r w:rsidRPr="00C33834">
        <w:rPr>
          <w:rFonts w:ascii="Times New Roman" w:hAnsi="Times New Roman" w:cs="Times New Roman"/>
          <w:b w:val="0"/>
          <w:color w:val="000000" w:themeColor="text1"/>
          <w:sz w:val="16"/>
          <w:szCs w:val="16"/>
        </w:rPr>
        <w:t xml:space="preserve"> «Заводской аэродром, — рассказывал Иван Федорович, — находился под Смоленском, и в течение полутора лет, мне еженедельно приходилось ездить в Смо</w:t>
      </w:r>
      <w:r w:rsidRPr="00C33834">
        <w:rPr>
          <w:rFonts w:ascii="Times New Roman" w:hAnsi="Times New Roman" w:cs="Times New Roman"/>
          <w:b w:val="0"/>
          <w:color w:val="000000" w:themeColor="text1"/>
          <w:sz w:val="16"/>
          <w:szCs w:val="16"/>
        </w:rPr>
        <w:softHyphen/>
        <w:t>ленск на испытания...</w:t>
      </w:r>
    </w:p>
    <w:p w14:paraId="79933F34" w14:textId="77777777" w:rsidR="004539AF" w:rsidRPr="00C33834" w:rsidRDefault="004539AF"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Говорят, первый блин комом. Естествен</w:t>
      </w:r>
      <w:r w:rsidRPr="00C33834">
        <w:rPr>
          <w:rFonts w:ascii="Times New Roman" w:hAnsi="Times New Roman" w:cs="Times New Roman"/>
          <w:b w:val="0"/>
          <w:color w:val="000000" w:themeColor="text1"/>
          <w:sz w:val="16"/>
          <w:szCs w:val="16"/>
        </w:rPr>
        <w:softHyphen/>
        <w:t>но, что и первая герметичная самолетная кабина была совсем не похожа на те ком- фортобельные салоны, в которых мы все привыкли летать. На самолете БОК-1 она представляла собой тесную цистерну с тре мя маленькими окошечками-иллюминато</w:t>
      </w:r>
      <w:r w:rsidRPr="00C33834">
        <w:rPr>
          <w:rFonts w:ascii="Times New Roman" w:hAnsi="Times New Roman" w:cs="Times New Roman"/>
          <w:b w:val="0"/>
          <w:color w:val="000000" w:themeColor="text1"/>
          <w:sz w:val="16"/>
          <w:szCs w:val="16"/>
        </w:rPr>
        <w:softHyphen/>
        <w:t>рами, не дававшими почти никакого обзора летчику. И так как располагалась эта боч</w:t>
      </w:r>
      <w:r w:rsidRPr="00C33834">
        <w:rPr>
          <w:rFonts w:ascii="Times New Roman" w:hAnsi="Times New Roman" w:cs="Times New Roman"/>
          <w:b w:val="0"/>
          <w:color w:val="000000" w:themeColor="text1"/>
          <w:sz w:val="16"/>
          <w:szCs w:val="16"/>
        </w:rPr>
        <w:softHyphen/>
        <w:t>ка над радиатором водяного охлаждения до</w:t>
      </w:r>
      <w:r w:rsidRPr="00C33834">
        <w:rPr>
          <w:rFonts w:ascii="Times New Roman" w:hAnsi="Times New Roman" w:cs="Times New Roman"/>
          <w:b w:val="0"/>
          <w:color w:val="000000" w:themeColor="text1"/>
          <w:sz w:val="16"/>
          <w:szCs w:val="16"/>
        </w:rPr>
        <w:softHyphen/>
        <w:t>вольно мощного мотора М-34РН, то летная форма моя была весьма своеобразна: трусы и шесть штук полотенец. В полете темпера</w:t>
      </w:r>
      <w:r w:rsidRPr="00C33834">
        <w:rPr>
          <w:rFonts w:ascii="Times New Roman" w:hAnsi="Times New Roman" w:cs="Times New Roman"/>
          <w:b w:val="0"/>
          <w:color w:val="000000" w:themeColor="text1"/>
          <w:sz w:val="16"/>
          <w:szCs w:val="16"/>
        </w:rPr>
        <w:softHyphen/>
        <w:t>тура из-за подогрева снизу поднималась до сорока градусов.</w:t>
      </w:r>
    </w:p>
    <w:p w14:paraId="20ECAA80" w14:textId="77777777" w:rsidR="004539AF" w:rsidRPr="00C33834" w:rsidRDefault="004539AF"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Такое мотание из Москвы в Смоленск и обратно было, конечно, изнурительным, и для продолжения испытаний я командировал в Смоленск летчика-испытателя своего от</w:t>
      </w:r>
      <w:r w:rsidRPr="00C33834">
        <w:rPr>
          <w:rFonts w:ascii="Times New Roman" w:hAnsi="Times New Roman" w:cs="Times New Roman"/>
          <w:b w:val="0"/>
          <w:color w:val="000000" w:themeColor="text1"/>
          <w:sz w:val="16"/>
          <w:szCs w:val="16"/>
        </w:rPr>
        <w:softHyphen/>
        <w:t>дела П.М. Стефановского, который успеш</w:t>
      </w:r>
      <w:r w:rsidRPr="00C33834">
        <w:rPr>
          <w:rFonts w:ascii="Times New Roman" w:hAnsi="Times New Roman" w:cs="Times New Roman"/>
          <w:b w:val="0"/>
          <w:color w:val="000000" w:themeColor="text1"/>
          <w:sz w:val="16"/>
          <w:szCs w:val="16"/>
        </w:rPr>
        <w:softHyphen/>
        <w:t>но их завершил».</w:t>
      </w:r>
    </w:p>
    <w:p w14:paraId="3255A6AD" w14:textId="77777777" w:rsidR="004539AF" w:rsidRPr="00C33834" w:rsidRDefault="004539A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Заводские испытания, проведенные в 1936 году, показали, что машина обла</w:t>
      </w:r>
      <w:r w:rsidRPr="00C33834">
        <w:rPr>
          <w:rFonts w:ascii="Times New Roman" w:hAnsi="Times New Roman"/>
          <w:color w:val="000000" w:themeColor="text1"/>
          <w:sz w:val="16"/>
          <w:szCs w:val="16"/>
        </w:rPr>
        <w:softHyphen/>
        <w:t>дает достаточными запасами устойчиво</w:t>
      </w:r>
      <w:r w:rsidRPr="00C33834">
        <w:rPr>
          <w:rFonts w:ascii="Times New Roman" w:hAnsi="Times New Roman"/>
          <w:color w:val="000000" w:themeColor="text1"/>
          <w:sz w:val="16"/>
          <w:szCs w:val="16"/>
        </w:rPr>
        <w:softHyphen/>
        <w:t>сти и хорошей управляемостью (12825).</w:t>
      </w:r>
    </w:p>
    <w:p w14:paraId="1AE7FAD7" w14:textId="77777777" w:rsidR="004539AF" w:rsidRPr="00C33834" w:rsidRDefault="004539AF" w:rsidP="00C33834">
      <w:pPr>
        <w:spacing w:after="0" w:line="240" w:lineRule="auto"/>
        <w:jc w:val="both"/>
        <w:rPr>
          <w:rFonts w:ascii="Times New Roman" w:hAnsi="Times New Roman"/>
          <w:color w:val="000000" w:themeColor="text1"/>
          <w:sz w:val="16"/>
          <w:szCs w:val="16"/>
        </w:rPr>
      </w:pPr>
    </w:p>
    <w:p w14:paraId="1715062E" w14:textId="77777777" w:rsidR="00A96A0F" w:rsidRPr="00C33834" w:rsidRDefault="00A96A0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феврале 1933 г. Бюро опытных конструкций полностью перевели в ЦКБ на территорию за</w:t>
      </w:r>
      <w:r w:rsidRPr="00C33834">
        <w:rPr>
          <w:rFonts w:ascii="Times New Roman" w:hAnsi="Times New Roman"/>
          <w:color w:val="0070C0"/>
          <w:sz w:val="16"/>
          <w:szCs w:val="16"/>
        </w:rPr>
        <w:softHyphen/>
        <w:t>вода №39, где постройка самолета БОК-1 продолжилась. Подраз</w:t>
      </w:r>
      <w:r w:rsidRPr="00C33834">
        <w:rPr>
          <w:rFonts w:ascii="Times New Roman" w:hAnsi="Times New Roman"/>
          <w:color w:val="0070C0"/>
          <w:sz w:val="16"/>
          <w:szCs w:val="16"/>
        </w:rPr>
        <w:softHyphen/>
        <w:t>деление Чижевского, которое насчитывало в тот период 40-60 сотрудников, в ЦКБ стало именоваться бригадой №3. Однако и здесь надолго ему задержаться не удалось (29363).</w:t>
      </w:r>
    </w:p>
    <w:p w14:paraId="1C9AD58D" w14:textId="77777777" w:rsidR="00A96A0F" w:rsidRPr="00C33834" w:rsidRDefault="00A96A0F" w:rsidP="00C33834">
      <w:pPr>
        <w:spacing w:after="0" w:line="240" w:lineRule="auto"/>
        <w:jc w:val="both"/>
        <w:rPr>
          <w:rFonts w:ascii="Times New Roman" w:hAnsi="Times New Roman"/>
          <w:color w:val="0070C0"/>
          <w:sz w:val="16"/>
          <w:szCs w:val="16"/>
        </w:rPr>
      </w:pPr>
    </w:p>
    <w:p w14:paraId="7AFF3698" w14:textId="77777777" w:rsidR="00A96A0F" w:rsidRPr="00C33834" w:rsidRDefault="00A96A0F" w:rsidP="00C33834">
      <w:pPr>
        <w:shd w:val="clear" w:color="auto" w:fill="FFFFFF"/>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 февраля 1933 г. постройка самолёта СС (БОК-1) была продолжена на территории завода № 39, в бригаде № 3 Чижевского. Летом 1934 г. всё хозяйство высотной бригады перевели в Смоленск, где был организован специальный опытный цех на базе ремонтного завода № 35. Постройка БОК-1 продолжилась в Смоленске и завершилась первым полётом 13 декабря 1935 г. (19876).</w:t>
      </w:r>
    </w:p>
    <w:p w14:paraId="2BDE6426" w14:textId="77777777" w:rsidR="00A96A0F" w:rsidRPr="00C33834" w:rsidRDefault="00A96A0F" w:rsidP="00C33834">
      <w:pPr>
        <w:shd w:val="clear" w:color="auto" w:fill="FFFFFF"/>
        <w:spacing w:after="0" w:line="240" w:lineRule="auto"/>
        <w:jc w:val="both"/>
        <w:rPr>
          <w:rFonts w:ascii="Times New Roman" w:hAnsi="Times New Roman"/>
          <w:color w:val="0070C0"/>
          <w:sz w:val="16"/>
          <w:szCs w:val="16"/>
        </w:rPr>
      </w:pPr>
    </w:p>
    <w:p w14:paraId="508EC23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г. начальник ГУАП Баранов распорядился в отношении ТБ-5: «Самолет разобрать. Дальнейшие работы по этому самолету прекратить. ЦАГИ проработать вопрос создания тяжелого бомбардировщика из хромомолибдено-вых труб и полотняной обшивки в качестве дублера к ТБ-Х или классом ниже». На этом все и закончилось. ТБ-5 переделывать не стали и передали в Отдел прочности авиационных конструкций ЦАГИ. ТБ-Х также не был создан, ибо уже в конце 1933 г. ВВС выдали новые требования на бомбардировщик с гораздо более высокими характеристиками.</w:t>
      </w:r>
    </w:p>
    <w:p w14:paraId="0FBE06C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Завершая рассказ о ТБ-5, необходимо упомянуть, что в 1931 г. на основе его конструкции был создан морской дальний разведчик МДР-3, имевший такое же крыло, оперение и ряд силовых элементов. Развития, так же, как и ТБ-5, этот гидросамолет не получил (5854,34).</w:t>
      </w:r>
    </w:p>
    <w:p w14:paraId="08170D1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775DC41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испытания самолета Р5 с переделанными шасси, проведенные на юге, показали, что дефект является неустраненным. ЦАГИ предложено внести ряд добавочных изменений и к 20.03.с.г. вновь предъявить Р5 с тормозными колесами на испытание (3082).</w:t>
      </w:r>
    </w:p>
    <w:p w14:paraId="6338313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7DC5183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года Испытания самолета Р5 с переделанными шасси, проведенные на юге, показали, что дефект разворачивания является не устраненным. ЦАГИ предложено внести ряд добавочных изменений и к 10 марта 1933 года вновь предъявить Р5 с тормозными колесами на испытание (3530,91).</w:t>
      </w:r>
    </w:p>
    <w:p w14:paraId="0D3F053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45B900C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февраля 1933 Н.Н.П. стал проектировать ЦКБ-3, И-15 (88,120).</w:t>
      </w:r>
    </w:p>
    <w:p w14:paraId="655EAEC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7C64BB4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началась перевозка частей АНТ-16 (ТБ-4) на аэродром и до апреля собирали и проводили мелкие доработки (2072,64).</w:t>
      </w:r>
    </w:p>
    <w:p w14:paraId="3F714D3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машину начали отправлять на аэродром в марте 1933 (2310,143).</w:t>
      </w:r>
    </w:p>
    <w:p w14:paraId="78ACEAB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1CB521E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г. на Центральный аэродром только начали вывозить готовые узлы гигантского бомбовоза ТБ-4. Цеха, где можно было бы собрать столь огромную машину, в Москве не нашлось. Ее собирали и регулировали прямо налетном поле, построив многоярусные леса. Процесс этот шел долго - вплоть до июля. Самолет так и не укомплектовали полностью. В частности, турели смонтировали без пушек и пулеметов. Вместо радиостанции 11-СК на самолете стоял макет. Радиопеленгатор отсутствовал. Даже при этом взлетный вес превышал расчетный примерно на две тонны, достигнув 33 т (12024).</w:t>
      </w:r>
    </w:p>
    <w:p w14:paraId="6BE1A5F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4AA86D1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феврале 1933 г. на Центральный аэродром только начали вывозить готовые узлы гигантского бомбовоза. Цеха, где можно было бы собрать столь огромную машину, в Москве не нашлось. Ее собирали и регулировали прямо на летном поле, построив многоярусные леса. Процесс этот шел долго - вплоть до июля. Самолет так и не </w:t>
      </w:r>
      <w:r w:rsidRPr="00C33834">
        <w:rPr>
          <w:rFonts w:ascii="Times New Roman" w:hAnsi="Times New Roman"/>
          <w:color w:val="000000" w:themeColor="text1"/>
          <w:sz w:val="16"/>
          <w:szCs w:val="16"/>
        </w:rPr>
        <w:lastRenderedPageBreak/>
        <w:t>укомплектовали полностью. В частности, турели смонтировали без пушек и пулеметов. Вместо радиостанции 11-СК на самолете стоял макет. Радиопеленгатор отсутствовал. Даже при этом взлетный вес превышал расчетный примерно на две тонны, достигнув 33 т.</w:t>
      </w:r>
    </w:p>
    <w:p w14:paraId="3A6DD11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июля 1933 г. М.М. Громов впервые поднял бомбардировщик в небо. Оценка, данная им самолету после нескольких первых полетов, была довольно высокой. Пилот счел, что осуществление взлета и посадки достаточно просто, в полете машина устойчива и послушна. Рапорт ЦАГИ гласил: "Результаты вполне благоприятны". Но усилия на штурвале и педалях были очень велики. С педалями вообще творилось что-то странное. Нагрузки "скакали", то увеличиваясь, то уменьшаясь.</w:t>
      </w:r>
    </w:p>
    <w:p w14:paraId="21FC237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почти две недели простоял на земле. Потом решили еще раз слетать для уточнения характеристик устойчивости, но обнаружили разрыв главного тормозного цилиндра. 22 июля Громов опять поднялся в воздух. Появилась гипотеза, что имеет место перекомпенсация руля направления. При одном из последующих полетов, 5 августа, с тандемной установки сорвало задний капот, который ударом расколол винт.</w:t>
      </w:r>
    </w:p>
    <w:p w14:paraId="60EA906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поставили на ремонт. Воспользовавшись паузой, переделали оперение. Изменили угол установки стабилизатора, подрезали руль направления. Это действительно улучшило путевую устойчивость. В то же время на самолете поставили новые винты: это благотворно сказалось на максимальной скорости (12036).</w:t>
      </w:r>
    </w:p>
    <w:p w14:paraId="21B3CF3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0A2213A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в НИИ ВВС утвердили более детальные требования к ТБ-6 - полезная нагрузка - 19600 кг, макс. Скорость на 5000 м - 250 км/час, бомбовая нагрузка - 15000 кг, экипаж - 17 чел. (7425, 20).</w:t>
      </w:r>
    </w:p>
    <w:p w14:paraId="5857D15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3C07E0B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на ТБ-3 (АНТ-6) поставили М-34 (92,432).</w:t>
      </w:r>
    </w:p>
    <w:p w14:paraId="1545611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21AB870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были закончены испытания тормозных колес к ТБ-3, построенному ЦАГИ к концу 1932. Эти испытания показали наряду с удовлетворительными качествами самих тормозных колес ряд дефектов в управлении ими. Устранение дефектов не должно вызвать особых затруднений. Самолет с устраненными дефектами управления тормозами должен быть предъявлен на испытание к 20.03.с.г. ЦАГИ гарантирует предъявление опытных самолетов с тормозными колесами в 1933 году, но на первых опытных самолетах ТБ-4 и МИ3 устанавливает заграничные тормозные колеса, ведя разработку своих конструкций. Основным затруднением для широкого внедрения тормозных колес в СССР является отсутствие специальной производственной базы по тормозным колесам (завода). В 1933 году ГУАП будет производить постройку тормозных колес частично путем кооперирования ряда заводов, частично на специально оборудованном под производство тормозных колес заводе N 121 (во 2-м полугодии). Доклады о состоянии опытного строительства моторов и самолетов представлялись в конце каждого квартала Председателю РВС, зам. пред. РВС и начальнику Глававиапрома (3082).</w:t>
      </w:r>
    </w:p>
    <w:p w14:paraId="4C68DEA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6E3394B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года инженер ВВС Попов получил задание Тухачевского приступить к проектированию самолета с гребными воздушными колесами тотчас же после окончания испытаний переделанной модели (4015,3-10).</w:t>
      </w:r>
    </w:p>
    <w:p w14:paraId="4BDC688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были закончены в мае 1933 года, причем результаты вполне совпали с результатами первых испытаний.</w:t>
      </w:r>
    </w:p>
    <w:p w14:paraId="61A3B4A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 как средств и людей на разработку проекта самолета не хватало, я приступил к проектированию универсальной модели, позволяющей испытание различных гребных колес. Кроме того мы спроектировали специальные аэродинамические весы для испытания гребных колес в трубе Т-1 аэродинамической лаборатории ВВА.</w:t>
      </w:r>
    </w:p>
    <w:p w14:paraId="6057275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0A8C196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Были исследованы все детали вопроса и мы вплотную подошли к созданию проекта самолета с вращающимися крыльями, способного вертикально взлетать и спускаться, висеть в воздухе и передвигаться со скоростями современных самолетов.</w:t>
      </w:r>
    </w:p>
    <w:p w14:paraId="3BB863F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………….(4015,3-10).</w:t>
      </w:r>
    </w:p>
    <w:p w14:paraId="2BE077E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5D651CC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года испытания тормозных колес на ТБ-3 были закончены. Эти испытания показали наряду с удовлетворительными качествами самих тормозных колес ряд дефектов в управлении ими. Устранение дефектов не должно вызвать особых затруднений (3530,91).</w:t>
      </w:r>
    </w:p>
    <w:p w14:paraId="0B0DF72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31CF6C7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г. Начальник ГУАП Баранов распоря</w:t>
      </w:r>
      <w:r w:rsidRPr="00C33834">
        <w:rPr>
          <w:rFonts w:ascii="Times New Roman" w:hAnsi="Times New Roman"/>
          <w:color w:val="000000" w:themeColor="text1"/>
          <w:sz w:val="16"/>
          <w:szCs w:val="16"/>
        </w:rPr>
        <w:softHyphen/>
        <w:t>дился:</w:t>
      </w:r>
    </w:p>
    <w:p w14:paraId="7D81984D"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(ТБ-5) разобрать.</w:t>
      </w:r>
    </w:p>
    <w:p w14:paraId="6FBCB835"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Дальнейшие работы по этому самолету прекратить. ЦАГИ проработать вопрос создания тяжелого бомбардировщика из хромомолибденовых труб и полотняной обшивки в качестве дублера к ТБ-Х или классом ниже».</w:t>
      </w:r>
    </w:p>
    <w:p w14:paraId="35F3BB5F"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этом история ТБ-5 закончилась. Переделывать его действительно не стали и передали в ОПАК ЦАГИ (Отдел проч</w:t>
      </w:r>
      <w:r w:rsidRPr="00C33834">
        <w:rPr>
          <w:rFonts w:ascii="Times New Roman" w:hAnsi="Times New Roman"/>
          <w:color w:val="000000" w:themeColor="text1"/>
          <w:sz w:val="16"/>
          <w:szCs w:val="16"/>
        </w:rPr>
        <w:softHyphen/>
        <w:t>ности авиационных конструкций). ТБ-Х также не был реализован, ибо уже спустя всего несколько месяцев, в конце 1933 г., согласно новым ТТТ ВВС, нужны были бомбардировщики с гораздо более высо</w:t>
      </w:r>
      <w:r w:rsidRPr="00C33834">
        <w:rPr>
          <w:rFonts w:ascii="Times New Roman" w:hAnsi="Times New Roman"/>
          <w:color w:val="000000" w:themeColor="text1"/>
          <w:sz w:val="16"/>
          <w:szCs w:val="16"/>
        </w:rPr>
        <w:softHyphen/>
        <w:t>кими характеристиками.</w:t>
      </w:r>
    </w:p>
    <w:p w14:paraId="6267F79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1931 г. конструкция ТБ-5 использова</w:t>
      </w:r>
      <w:r w:rsidRPr="00C33834">
        <w:rPr>
          <w:rFonts w:ascii="Times New Roman" w:hAnsi="Times New Roman"/>
          <w:color w:val="000000" w:themeColor="text1"/>
          <w:sz w:val="16"/>
          <w:szCs w:val="16"/>
        </w:rPr>
        <w:softHyphen/>
        <w:t>лась при создании гидросамолета МДР-3 (Самолет №11). МДР-3 имел такое же крыло, хвостовое оперение и ряд других силовых элементов, однако продолжения также как и ТБ-5 не получил.</w:t>
      </w:r>
    </w:p>
    <w:p w14:paraId="4991372A"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Бомбардировщик ТБ-5 стал не един</w:t>
      </w:r>
      <w:r w:rsidRPr="00C33834">
        <w:rPr>
          <w:rFonts w:ascii="Times New Roman" w:hAnsi="Times New Roman"/>
          <w:color w:val="000000" w:themeColor="text1"/>
          <w:sz w:val="16"/>
          <w:szCs w:val="16"/>
        </w:rPr>
        <w:softHyphen/>
        <w:t xml:space="preserve">ственным самолетом, который после успеха ВТ-11 решили спроектировать в ЦКБ ОГПУ (12611). </w:t>
      </w:r>
    </w:p>
    <w:p w14:paraId="62FE16A7" w14:textId="77777777" w:rsidR="002E1BE7" w:rsidRPr="00C33834" w:rsidRDefault="002E1BE7" w:rsidP="00C33834">
      <w:pPr>
        <w:spacing w:after="0" w:line="240" w:lineRule="auto"/>
        <w:jc w:val="both"/>
        <w:rPr>
          <w:rFonts w:ascii="Times New Roman" w:hAnsi="Times New Roman"/>
          <w:color w:val="000000" w:themeColor="text1"/>
          <w:sz w:val="16"/>
          <w:szCs w:val="16"/>
        </w:rPr>
      </w:pPr>
    </w:p>
    <w:p w14:paraId="48B8010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г. появилось пер-вое правительственное постановление о выделении Р-6 полярникам, но реализовано не было, очевидно, из-за недовыполне-ния планов промышленностью. ГУСМП получило первый поплавковый Р-ба в конце 1934 г. Этот самолёт с бортовым обозначением Н-29 весной следующего года принял экипаж И.И. Черевичного. На заводе им. Побежимова в Красноярске проём задней стрелковой точки замени-ли открывающимся люком, зашили гнез-до демонтированной нижней выпускной башни. Экипаж состоял из пилота, радис-та (в передней кабине) и двух механиков. В навигацию 1936 г. Черевичный обеспе-чивал ледовую разведку при проводке по Северному морскому пути боевых кораб-лей для усиления Тихоокеанского флота. За эту работу лётчика удостоили ордена Красной Звезды. Зимой Н-29 переставили с поплавков на лыжи и использовали для рейсов в Сибири (12264).</w:t>
      </w:r>
    </w:p>
    <w:p w14:paraId="560D1747" w14:textId="77777777" w:rsidR="002E1BE7" w:rsidRPr="00C33834" w:rsidRDefault="002E1BE7" w:rsidP="00C33834">
      <w:pPr>
        <w:spacing w:after="0" w:line="240" w:lineRule="auto"/>
        <w:jc w:val="both"/>
        <w:rPr>
          <w:rFonts w:ascii="Times New Roman" w:hAnsi="Times New Roman"/>
          <w:color w:val="000000" w:themeColor="text1"/>
          <w:sz w:val="16"/>
          <w:szCs w:val="16"/>
        </w:rPr>
      </w:pPr>
    </w:p>
    <w:p w14:paraId="4F42EA8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А.Н.Т. был избран членкором АН.</w:t>
      </w:r>
    </w:p>
    <w:p w14:paraId="552C919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29DB19F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А.Н.Т. начал работу над МДР-4 (АНТ-27) (80,265).</w:t>
      </w:r>
    </w:p>
    <w:p w14:paraId="557EE73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00796A2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КОСОС приступил к проектированию модернизированного варианта МДР-3, получившего обозначение ЦКБ-27, а в ВВС - МДР-4 (6472, 32).</w:t>
      </w:r>
    </w:p>
    <w:p w14:paraId="4CE9F19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45E734F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года начальник материально-технического снабжения и вооружений ВВС РККА Жаров писал письмо № УМТС/00833 в Кремль Бакулову</w:t>
      </w:r>
    </w:p>
    <w:p w14:paraId="51E86CC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сем препровождаю ведомость выполнения программы заказов на самолеты и моторы за 1932 год и ведомость заказов самолетов и моторов на 1933 год, согласно личных переговоров (3530,119)</w:t>
      </w:r>
    </w:p>
    <w:p w14:paraId="5CA2083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Ведомость выполнения программы заказов на самолеты и моторы за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333"/>
        <w:gridCol w:w="1418"/>
        <w:gridCol w:w="1417"/>
        <w:gridCol w:w="1418"/>
        <w:gridCol w:w="1417"/>
        <w:gridCol w:w="1418"/>
      </w:tblGrid>
      <w:tr w:rsidR="00F26F01" w:rsidRPr="00C33834" w14:paraId="58DF8326" w14:textId="77777777">
        <w:trPr>
          <w:cantSplit/>
        </w:trPr>
        <w:tc>
          <w:tcPr>
            <w:tcW w:w="1610" w:type="dxa"/>
          </w:tcPr>
          <w:p w14:paraId="4F217AA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Типы самолетов и моторов</w:t>
            </w:r>
          </w:p>
        </w:tc>
        <w:tc>
          <w:tcPr>
            <w:tcW w:w="1333" w:type="dxa"/>
          </w:tcPr>
          <w:p w14:paraId="526BF2C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Годовое количество</w:t>
            </w:r>
          </w:p>
        </w:tc>
        <w:tc>
          <w:tcPr>
            <w:tcW w:w="1418" w:type="dxa"/>
          </w:tcPr>
          <w:p w14:paraId="124D6B0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квартал</w:t>
            </w:r>
          </w:p>
        </w:tc>
        <w:tc>
          <w:tcPr>
            <w:tcW w:w="1417" w:type="dxa"/>
          </w:tcPr>
          <w:p w14:paraId="3F10926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 квартал</w:t>
            </w:r>
          </w:p>
        </w:tc>
        <w:tc>
          <w:tcPr>
            <w:tcW w:w="1418" w:type="dxa"/>
          </w:tcPr>
          <w:p w14:paraId="79CCB06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III квартал</w:t>
            </w:r>
          </w:p>
        </w:tc>
        <w:tc>
          <w:tcPr>
            <w:tcW w:w="1417" w:type="dxa"/>
          </w:tcPr>
          <w:p w14:paraId="3C9995A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IV квартал</w:t>
            </w:r>
          </w:p>
        </w:tc>
        <w:tc>
          <w:tcPr>
            <w:tcW w:w="1418" w:type="dxa"/>
          </w:tcPr>
          <w:p w14:paraId="6B0FD15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сдано за год</w:t>
            </w:r>
          </w:p>
        </w:tc>
      </w:tr>
      <w:tr w:rsidR="00F26F01" w:rsidRPr="00C33834" w14:paraId="1126EFF2" w14:textId="77777777">
        <w:trPr>
          <w:cantSplit/>
        </w:trPr>
        <w:tc>
          <w:tcPr>
            <w:tcW w:w="1610" w:type="dxa"/>
          </w:tcPr>
          <w:p w14:paraId="11B722A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w:t>
            </w:r>
          </w:p>
        </w:tc>
        <w:tc>
          <w:tcPr>
            <w:tcW w:w="1333" w:type="dxa"/>
          </w:tcPr>
          <w:p w14:paraId="39B8E59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54D916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BD0D0D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4E7FA6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27E33C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E947A5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6088FA8" w14:textId="77777777">
        <w:trPr>
          <w:cantSplit/>
        </w:trPr>
        <w:tc>
          <w:tcPr>
            <w:tcW w:w="1610" w:type="dxa"/>
          </w:tcPr>
          <w:p w14:paraId="1DCFC63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 М-22</w:t>
            </w:r>
          </w:p>
        </w:tc>
        <w:tc>
          <w:tcPr>
            <w:tcW w:w="1333" w:type="dxa"/>
          </w:tcPr>
          <w:p w14:paraId="46F3373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345</w:t>
            </w:r>
          </w:p>
        </w:tc>
        <w:tc>
          <w:tcPr>
            <w:tcW w:w="1418" w:type="dxa"/>
          </w:tcPr>
          <w:p w14:paraId="7B9B1F8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25/20</w:t>
            </w:r>
          </w:p>
        </w:tc>
        <w:tc>
          <w:tcPr>
            <w:tcW w:w="1417" w:type="dxa"/>
          </w:tcPr>
          <w:p w14:paraId="0914C43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59/52</w:t>
            </w:r>
          </w:p>
        </w:tc>
        <w:tc>
          <w:tcPr>
            <w:tcW w:w="1418" w:type="dxa"/>
          </w:tcPr>
          <w:p w14:paraId="7CB7A9A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96/3</w:t>
            </w:r>
          </w:p>
        </w:tc>
        <w:tc>
          <w:tcPr>
            <w:tcW w:w="1417" w:type="dxa"/>
          </w:tcPr>
          <w:p w14:paraId="2CF520D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165/15</w:t>
            </w:r>
          </w:p>
        </w:tc>
        <w:tc>
          <w:tcPr>
            <w:tcW w:w="1418" w:type="dxa"/>
          </w:tcPr>
          <w:p w14:paraId="52F9038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w:t>
            </w:r>
          </w:p>
        </w:tc>
      </w:tr>
      <w:tr w:rsidR="00F26F01" w:rsidRPr="00C33834" w14:paraId="14E3C068" w14:textId="77777777">
        <w:trPr>
          <w:cantSplit/>
        </w:trPr>
        <w:tc>
          <w:tcPr>
            <w:tcW w:w="1610" w:type="dxa"/>
          </w:tcPr>
          <w:p w14:paraId="017BFC6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 М-17</w:t>
            </w:r>
          </w:p>
        </w:tc>
        <w:tc>
          <w:tcPr>
            <w:tcW w:w="1333" w:type="dxa"/>
          </w:tcPr>
          <w:p w14:paraId="0C8F6D4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w:t>
            </w:r>
          </w:p>
        </w:tc>
        <w:tc>
          <w:tcPr>
            <w:tcW w:w="1418" w:type="dxa"/>
          </w:tcPr>
          <w:p w14:paraId="7560703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17" w:type="dxa"/>
          </w:tcPr>
          <w:p w14:paraId="0FBF075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c>
          <w:tcPr>
            <w:tcW w:w="1418" w:type="dxa"/>
          </w:tcPr>
          <w:p w14:paraId="2E89DD7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17" w:type="dxa"/>
          </w:tcPr>
          <w:p w14:paraId="7A02DD6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100/45</w:t>
            </w:r>
          </w:p>
        </w:tc>
        <w:tc>
          <w:tcPr>
            <w:tcW w:w="1418" w:type="dxa"/>
          </w:tcPr>
          <w:p w14:paraId="5AF5705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w:t>
            </w:r>
          </w:p>
        </w:tc>
      </w:tr>
      <w:tr w:rsidR="00F26F01" w:rsidRPr="00C33834" w14:paraId="3890CCAA" w14:textId="77777777">
        <w:trPr>
          <w:cantSplit/>
        </w:trPr>
        <w:tc>
          <w:tcPr>
            <w:tcW w:w="1610" w:type="dxa"/>
          </w:tcPr>
          <w:p w14:paraId="0059007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 М-17</w:t>
            </w:r>
          </w:p>
        </w:tc>
        <w:tc>
          <w:tcPr>
            <w:tcW w:w="1333" w:type="dxa"/>
          </w:tcPr>
          <w:p w14:paraId="7174A9C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1075</w:t>
            </w:r>
          </w:p>
        </w:tc>
        <w:tc>
          <w:tcPr>
            <w:tcW w:w="1418" w:type="dxa"/>
          </w:tcPr>
          <w:p w14:paraId="23A2267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200/211</w:t>
            </w:r>
          </w:p>
        </w:tc>
        <w:tc>
          <w:tcPr>
            <w:tcW w:w="1417" w:type="dxa"/>
          </w:tcPr>
          <w:p w14:paraId="1EAB608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250/232</w:t>
            </w:r>
          </w:p>
        </w:tc>
        <w:tc>
          <w:tcPr>
            <w:tcW w:w="1418" w:type="dxa"/>
          </w:tcPr>
          <w:p w14:paraId="2FA3E49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307/63</w:t>
            </w:r>
          </w:p>
        </w:tc>
        <w:tc>
          <w:tcPr>
            <w:tcW w:w="1417" w:type="dxa"/>
          </w:tcPr>
          <w:p w14:paraId="3D84D60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318/220</w:t>
            </w:r>
          </w:p>
        </w:tc>
        <w:tc>
          <w:tcPr>
            <w:tcW w:w="1418" w:type="dxa"/>
          </w:tcPr>
          <w:p w14:paraId="2C14E48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726</w:t>
            </w:r>
          </w:p>
        </w:tc>
      </w:tr>
      <w:tr w:rsidR="00F26F01" w:rsidRPr="00C33834" w14:paraId="10C5C3F6" w14:textId="77777777">
        <w:trPr>
          <w:cantSplit/>
        </w:trPr>
        <w:tc>
          <w:tcPr>
            <w:tcW w:w="1610" w:type="dxa"/>
          </w:tcPr>
          <w:p w14:paraId="26086EA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 М-11</w:t>
            </w:r>
          </w:p>
        </w:tc>
        <w:tc>
          <w:tcPr>
            <w:tcW w:w="1333" w:type="dxa"/>
          </w:tcPr>
          <w:p w14:paraId="2C88B3F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575</w:t>
            </w:r>
          </w:p>
        </w:tc>
        <w:tc>
          <w:tcPr>
            <w:tcW w:w="1418" w:type="dxa"/>
          </w:tcPr>
          <w:p w14:paraId="136BC06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150/173</w:t>
            </w:r>
          </w:p>
        </w:tc>
        <w:tc>
          <w:tcPr>
            <w:tcW w:w="1417" w:type="dxa"/>
          </w:tcPr>
          <w:p w14:paraId="27C1DEF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100/106</w:t>
            </w:r>
          </w:p>
        </w:tc>
        <w:tc>
          <w:tcPr>
            <w:tcW w:w="1418" w:type="dxa"/>
          </w:tcPr>
          <w:p w14:paraId="539309C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145/135</w:t>
            </w:r>
          </w:p>
        </w:tc>
        <w:tc>
          <w:tcPr>
            <w:tcW w:w="1417" w:type="dxa"/>
          </w:tcPr>
          <w:p w14:paraId="4AEC3BD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180/182</w:t>
            </w:r>
          </w:p>
        </w:tc>
        <w:tc>
          <w:tcPr>
            <w:tcW w:w="1418" w:type="dxa"/>
          </w:tcPr>
          <w:p w14:paraId="63C17C2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596</w:t>
            </w:r>
          </w:p>
        </w:tc>
      </w:tr>
      <w:tr w:rsidR="00F26F01" w:rsidRPr="00C33834" w14:paraId="57F8F4AC" w14:textId="77777777">
        <w:trPr>
          <w:cantSplit/>
        </w:trPr>
        <w:tc>
          <w:tcPr>
            <w:tcW w:w="1610" w:type="dxa"/>
          </w:tcPr>
          <w:p w14:paraId="0DFB604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ТШ М-17</w:t>
            </w:r>
          </w:p>
        </w:tc>
        <w:tc>
          <w:tcPr>
            <w:tcW w:w="1333" w:type="dxa"/>
          </w:tcPr>
          <w:p w14:paraId="7FA9483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tc>
        <w:tc>
          <w:tcPr>
            <w:tcW w:w="1418" w:type="dxa"/>
          </w:tcPr>
          <w:p w14:paraId="1C43C68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17" w:type="dxa"/>
          </w:tcPr>
          <w:p w14:paraId="6F235E5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18" w:type="dxa"/>
          </w:tcPr>
          <w:p w14:paraId="3AE705C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1417" w:type="dxa"/>
          </w:tcPr>
          <w:p w14:paraId="4BD5529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c>
          <w:tcPr>
            <w:tcW w:w="1418" w:type="dxa"/>
          </w:tcPr>
          <w:p w14:paraId="51CD9C7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D40482A" w14:textId="77777777">
        <w:trPr>
          <w:cantSplit/>
        </w:trPr>
        <w:tc>
          <w:tcPr>
            <w:tcW w:w="1610" w:type="dxa"/>
          </w:tcPr>
          <w:p w14:paraId="04CF4A1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1333" w:type="dxa"/>
          </w:tcPr>
          <w:p w14:paraId="1F5A4BD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418" w:type="dxa"/>
          </w:tcPr>
          <w:p w14:paraId="661D529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w:t>
            </w:r>
          </w:p>
        </w:tc>
        <w:tc>
          <w:tcPr>
            <w:tcW w:w="1417" w:type="dxa"/>
          </w:tcPr>
          <w:p w14:paraId="0DF788D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43/4</w:t>
            </w:r>
          </w:p>
        </w:tc>
        <w:tc>
          <w:tcPr>
            <w:tcW w:w="1418" w:type="dxa"/>
          </w:tcPr>
          <w:p w14:paraId="6C4942D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90/39</w:t>
            </w:r>
          </w:p>
        </w:tc>
        <w:tc>
          <w:tcPr>
            <w:tcW w:w="1417" w:type="dxa"/>
          </w:tcPr>
          <w:p w14:paraId="519749A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160/113</w:t>
            </w:r>
          </w:p>
        </w:tc>
        <w:tc>
          <w:tcPr>
            <w:tcW w:w="1418" w:type="dxa"/>
          </w:tcPr>
          <w:p w14:paraId="33F0F05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w:t>
            </w:r>
          </w:p>
        </w:tc>
      </w:tr>
      <w:tr w:rsidR="00F26F01" w:rsidRPr="00C33834" w14:paraId="3C82DD9C" w14:textId="77777777">
        <w:trPr>
          <w:cantSplit/>
        </w:trPr>
        <w:tc>
          <w:tcPr>
            <w:tcW w:w="1610" w:type="dxa"/>
          </w:tcPr>
          <w:p w14:paraId="661D4CF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w:t>
            </w:r>
          </w:p>
        </w:tc>
        <w:tc>
          <w:tcPr>
            <w:tcW w:w="1333" w:type="dxa"/>
          </w:tcPr>
          <w:p w14:paraId="0D1DCA0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418" w:type="dxa"/>
          </w:tcPr>
          <w:p w14:paraId="4ADBB6B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15/14</w:t>
            </w:r>
          </w:p>
        </w:tc>
        <w:tc>
          <w:tcPr>
            <w:tcW w:w="1417" w:type="dxa"/>
          </w:tcPr>
          <w:p w14:paraId="69FDA4A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w:t>
            </w:r>
          </w:p>
        </w:tc>
        <w:tc>
          <w:tcPr>
            <w:tcW w:w="1418" w:type="dxa"/>
          </w:tcPr>
          <w:p w14:paraId="42A3A05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6/2</w:t>
            </w:r>
          </w:p>
        </w:tc>
        <w:tc>
          <w:tcPr>
            <w:tcW w:w="1417" w:type="dxa"/>
          </w:tcPr>
          <w:p w14:paraId="1A4C2B5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24/7</w:t>
            </w:r>
          </w:p>
        </w:tc>
        <w:tc>
          <w:tcPr>
            <w:tcW w:w="1418" w:type="dxa"/>
          </w:tcPr>
          <w:p w14:paraId="77275F6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r>
      <w:tr w:rsidR="00F26F01" w:rsidRPr="00C33834" w14:paraId="1AD6AB96" w14:textId="77777777">
        <w:trPr>
          <w:cantSplit/>
        </w:trPr>
        <w:tc>
          <w:tcPr>
            <w:tcW w:w="1610" w:type="dxa"/>
          </w:tcPr>
          <w:p w14:paraId="037C8DB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 АССО</w:t>
            </w:r>
          </w:p>
        </w:tc>
        <w:tc>
          <w:tcPr>
            <w:tcW w:w="1333" w:type="dxa"/>
          </w:tcPr>
          <w:p w14:paraId="5C54F8A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418" w:type="dxa"/>
          </w:tcPr>
          <w:p w14:paraId="42D4C6D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1417" w:type="dxa"/>
          </w:tcPr>
          <w:p w14:paraId="77DDC0B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23/1</w:t>
            </w:r>
          </w:p>
        </w:tc>
        <w:tc>
          <w:tcPr>
            <w:tcW w:w="1418" w:type="dxa"/>
          </w:tcPr>
          <w:p w14:paraId="1137CBD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17/4</w:t>
            </w:r>
          </w:p>
        </w:tc>
        <w:tc>
          <w:tcPr>
            <w:tcW w:w="1417" w:type="dxa"/>
          </w:tcPr>
          <w:p w14:paraId="249374A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1418" w:type="dxa"/>
          </w:tcPr>
          <w:p w14:paraId="47EE44E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w:t>
            </w:r>
          </w:p>
        </w:tc>
      </w:tr>
      <w:tr w:rsidR="00F26F01" w:rsidRPr="00C33834" w14:paraId="13303C67" w14:textId="77777777">
        <w:trPr>
          <w:cantSplit/>
        </w:trPr>
        <w:tc>
          <w:tcPr>
            <w:tcW w:w="1610" w:type="dxa"/>
          </w:tcPr>
          <w:p w14:paraId="3881668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АШ М-11</w:t>
            </w:r>
          </w:p>
        </w:tc>
        <w:tc>
          <w:tcPr>
            <w:tcW w:w="1333" w:type="dxa"/>
          </w:tcPr>
          <w:p w14:paraId="5746CBA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1418" w:type="dxa"/>
          </w:tcPr>
          <w:p w14:paraId="5200204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17" w:type="dxa"/>
          </w:tcPr>
          <w:p w14:paraId="69E4519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418" w:type="dxa"/>
          </w:tcPr>
          <w:p w14:paraId="771ACDF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1417" w:type="dxa"/>
          </w:tcPr>
          <w:p w14:paraId="5A5D75B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6/10</w:t>
            </w:r>
          </w:p>
        </w:tc>
        <w:tc>
          <w:tcPr>
            <w:tcW w:w="1418" w:type="dxa"/>
          </w:tcPr>
          <w:p w14:paraId="4E79013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r>
      <w:tr w:rsidR="00F26F01" w:rsidRPr="00C33834" w14:paraId="38B968F9" w14:textId="77777777">
        <w:trPr>
          <w:cantSplit/>
        </w:trPr>
        <w:tc>
          <w:tcPr>
            <w:tcW w:w="1610" w:type="dxa"/>
          </w:tcPr>
          <w:p w14:paraId="3C89EF5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ЗЕТ М-22</w:t>
            </w:r>
          </w:p>
        </w:tc>
        <w:tc>
          <w:tcPr>
            <w:tcW w:w="1333" w:type="dxa"/>
          </w:tcPr>
          <w:p w14:paraId="12AFD81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1418" w:type="dxa"/>
          </w:tcPr>
          <w:p w14:paraId="7F01AB0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17" w:type="dxa"/>
          </w:tcPr>
          <w:p w14:paraId="7E0AAF4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1418" w:type="dxa"/>
          </w:tcPr>
          <w:p w14:paraId="7AF3870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1417" w:type="dxa"/>
          </w:tcPr>
          <w:p w14:paraId="6B8F9C4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1418" w:type="dxa"/>
          </w:tcPr>
          <w:p w14:paraId="7F6AA14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r>
      <w:tr w:rsidR="00F26F01" w:rsidRPr="00C33834" w14:paraId="170B91A0" w14:textId="77777777">
        <w:trPr>
          <w:cantSplit/>
        </w:trPr>
        <w:tc>
          <w:tcPr>
            <w:tcW w:w="1610" w:type="dxa"/>
          </w:tcPr>
          <w:p w14:paraId="3BFCE60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1333" w:type="dxa"/>
          </w:tcPr>
          <w:p w14:paraId="7010B47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2655</w:t>
            </w:r>
          </w:p>
        </w:tc>
        <w:tc>
          <w:tcPr>
            <w:tcW w:w="1418" w:type="dxa"/>
          </w:tcPr>
          <w:p w14:paraId="4BE9107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407/422</w:t>
            </w:r>
          </w:p>
        </w:tc>
        <w:tc>
          <w:tcPr>
            <w:tcW w:w="1417" w:type="dxa"/>
          </w:tcPr>
          <w:p w14:paraId="4729F5E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556/403</w:t>
            </w:r>
          </w:p>
        </w:tc>
        <w:tc>
          <w:tcPr>
            <w:tcW w:w="1418" w:type="dxa"/>
          </w:tcPr>
          <w:p w14:paraId="2FCB9A1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679/246</w:t>
            </w:r>
          </w:p>
        </w:tc>
        <w:tc>
          <w:tcPr>
            <w:tcW w:w="1417" w:type="dxa"/>
          </w:tcPr>
          <w:p w14:paraId="30E3A29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1013/634</w:t>
            </w:r>
          </w:p>
        </w:tc>
        <w:tc>
          <w:tcPr>
            <w:tcW w:w="1418" w:type="dxa"/>
          </w:tcPr>
          <w:p w14:paraId="27E1A88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1705</w:t>
            </w:r>
          </w:p>
        </w:tc>
      </w:tr>
      <w:tr w:rsidR="00F26F01" w:rsidRPr="00C33834" w14:paraId="6BECC189" w14:textId="77777777">
        <w:trPr>
          <w:cantSplit/>
        </w:trPr>
        <w:tc>
          <w:tcPr>
            <w:tcW w:w="1610" w:type="dxa"/>
          </w:tcPr>
          <w:p w14:paraId="31DE524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w:t>
            </w:r>
          </w:p>
        </w:tc>
        <w:tc>
          <w:tcPr>
            <w:tcW w:w="1333" w:type="dxa"/>
          </w:tcPr>
          <w:p w14:paraId="390785F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0AB77E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D248A1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DD2DA8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D16CAE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E72F9F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1A12742" w14:textId="77777777">
        <w:trPr>
          <w:cantSplit/>
        </w:trPr>
        <w:tc>
          <w:tcPr>
            <w:tcW w:w="1610" w:type="dxa"/>
          </w:tcPr>
          <w:p w14:paraId="74C99D2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1333" w:type="dxa"/>
          </w:tcPr>
          <w:p w14:paraId="759FC3A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2080</w:t>
            </w:r>
          </w:p>
        </w:tc>
        <w:tc>
          <w:tcPr>
            <w:tcW w:w="1418" w:type="dxa"/>
          </w:tcPr>
          <w:p w14:paraId="0D21C4B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470/421</w:t>
            </w:r>
          </w:p>
        </w:tc>
        <w:tc>
          <w:tcPr>
            <w:tcW w:w="1417" w:type="dxa"/>
          </w:tcPr>
          <w:p w14:paraId="6383B13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540/438</w:t>
            </w:r>
          </w:p>
        </w:tc>
        <w:tc>
          <w:tcPr>
            <w:tcW w:w="1418" w:type="dxa"/>
          </w:tcPr>
          <w:p w14:paraId="4E32489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565/173</w:t>
            </w:r>
          </w:p>
        </w:tc>
        <w:tc>
          <w:tcPr>
            <w:tcW w:w="1417" w:type="dxa"/>
          </w:tcPr>
          <w:p w14:paraId="7A16EEB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505/609</w:t>
            </w:r>
          </w:p>
        </w:tc>
        <w:tc>
          <w:tcPr>
            <w:tcW w:w="1418" w:type="dxa"/>
          </w:tcPr>
          <w:p w14:paraId="5CD0CEF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1641</w:t>
            </w:r>
          </w:p>
        </w:tc>
      </w:tr>
      <w:tr w:rsidR="00F26F01" w:rsidRPr="00C33834" w14:paraId="67AADB17" w14:textId="77777777">
        <w:trPr>
          <w:cantSplit/>
        </w:trPr>
        <w:tc>
          <w:tcPr>
            <w:tcW w:w="1610" w:type="dxa"/>
          </w:tcPr>
          <w:p w14:paraId="2E6BF20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w:t>
            </w:r>
          </w:p>
        </w:tc>
        <w:tc>
          <w:tcPr>
            <w:tcW w:w="1333" w:type="dxa"/>
          </w:tcPr>
          <w:p w14:paraId="7E30FBB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955</w:t>
            </w:r>
          </w:p>
        </w:tc>
        <w:tc>
          <w:tcPr>
            <w:tcW w:w="1418" w:type="dxa"/>
          </w:tcPr>
          <w:p w14:paraId="3834868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240/250</w:t>
            </w:r>
          </w:p>
        </w:tc>
        <w:tc>
          <w:tcPr>
            <w:tcW w:w="1417" w:type="dxa"/>
          </w:tcPr>
          <w:p w14:paraId="5219989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215/191</w:t>
            </w:r>
          </w:p>
        </w:tc>
        <w:tc>
          <w:tcPr>
            <w:tcW w:w="1418" w:type="dxa"/>
          </w:tcPr>
          <w:p w14:paraId="3B00F2B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260/204</w:t>
            </w:r>
          </w:p>
        </w:tc>
        <w:tc>
          <w:tcPr>
            <w:tcW w:w="1417" w:type="dxa"/>
          </w:tcPr>
          <w:p w14:paraId="2E6C1FF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240/238</w:t>
            </w:r>
          </w:p>
        </w:tc>
        <w:tc>
          <w:tcPr>
            <w:tcW w:w="1418" w:type="dxa"/>
          </w:tcPr>
          <w:p w14:paraId="0513E7A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883</w:t>
            </w:r>
          </w:p>
        </w:tc>
      </w:tr>
      <w:tr w:rsidR="00F26F01" w:rsidRPr="00C33834" w14:paraId="05DA0701" w14:textId="77777777">
        <w:trPr>
          <w:cantSplit/>
        </w:trPr>
        <w:tc>
          <w:tcPr>
            <w:tcW w:w="1610" w:type="dxa"/>
          </w:tcPr>
          <w:p w14:paraId="20A3F10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М-22</w:t>
            </w:r>
          </w:p>
        </w:tc>
        <w:tc>
          <w:tcPr>
            <w:tcW w:w="1333" w:type="dxa"/>
          </w:tcPr>
          <w:p w14:paraId="4C61593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398</w:t>
            </w:r>
          </w:p>
        </w:tc>
        <w:tc>
          <w:tcPr>
            <w:tcW w:w="1418" w:type="dxa"/>
          </w:tcPr>
          <w:p w14:paraId="4DA7EF5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76/67</w:t>
            </w:r>
          </w:p>
        </w:tc>
        <w:tc>
          <w:tcPr>
            <w:tcW w:w="1417" w:type="dxa"/>
          </w:tcPr>
          <w:p w14:paraId="3E94BE9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100/91</w:t>
            </w:r>
          </w:p>
        </w:tc>
        <w:tc>
          <w:tcPr>
            <w:tcW w:w="1418" w:type="dxa"/>
          </w:tcPr>
          <w:p w14:paraId="6B6030E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105/75</w:t>
            </w:r>
          </w:p>
        </w:tc>
        <w:tc>
          <w:tcPr>
            <w:tcW w:w="1417" w:type="dxa"/>
          </w:tcPr>
          <w:p w14:paraId="6440A81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117/124</w:t>
            </w:r>
          </w:p>
        </w:tc>
        <w:tc>
          <w:tcPr>
            <w:tcW w:w="1418" w:type="dxa"/>
          </w:tcPr>
          <w:p w14:paraId="1F7C7D2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357</w:t>
            </w:r>
          </w:p>
        </w:tc>
      </w:tr>
      <w:tr w:rsidR="00F26F01" w:rsidRPr="00C33834" w14:paraId="5BCDC4A9" w14:textId="77777777">
        <w:trPr>
          <w:cantSplit/>
        </w:trPr>
        <w:tc>
          <w:tcPr>
            <w:tcW w:w="1610" w:type="dxa"/>
          </w:tcPr>
          <w:p w14:paraId="184B6FE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1333" w:type="dxa"/>
          </w:tcPr>
          <w:p w14:paraId="2111CAA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1418" w:type="dxa"/>
          </w:tcPr>
          <w:p w14:paraId="4297AC8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17" w:type="dxa"/>
          </w:tcPr>
          <w:p w14:paraId="4FC189C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w:t>
            </w:r>
          </w:p>
        </w:tc>
        <w:tc>
          <w:tcPr>
            <w:tcW w:w="1418" w:type="dxa"/>
          </w:tcPr>
          <w:p w14:paraId="4ED0A5D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105/7</w:t>
            </w:r>
          </w:p>
        </w:tc>
        <w:tc>
          <w:tcPr>
            <w:tcW w:w="1417" w:type="dxa"/>
          </w:tcPr>
          <w:p w14:paraId="3576E23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290/52</w:t>
            </w:r>
          </w:p>
        </w:tc>
        <w:tc>
          <w:tcPr>
            <w:tcW w:w="1418" w:type="dxa"/>
          </w:tcPr>
          <w:p w14:paraId="2CD0A81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w:t>
            </w:r>
          </w:p>
        </w:tc>
      </w:tr>
      <w:tr w:rsidR="00F26F01" w:rsidRPr="00C33834" w14:paraId="2614CC3A" w14:textId="77777777">
        <w:trPr>
          <w:cantSplit/>
        </w:trPr>
        <w:tc>
          <w:tcPr>
            <w:tcW w:w="1610" w:type="dxa"/>
          </w:tcPr>
          <w:p w14:paraId="7FFE71B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1333" w:type="dxa"/>
          </w:tcPr>
          <w:p w14:paraId="5F5D700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3833</w:t>
            </w:r>
          </w:p>
        </w:tc>
        <w:tc>
          <w:tcPr>
            <w:tcW w:w="1418" w:type="dxa"/>
          </w:tcPr>
          <w:p w14:paraId="1E9F311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786/738</w:t>
            </w:r>
          </w:p>
        </w:tc>
        <w:tc>
          <w:tcPr>
            <w:tcW w:w="1417" w:type="dxa"/>
          </w:tcPr>
          <w:p w14:paraId="5C2AAE1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860/725</w:t>
            </w:r>
          </w:p>
        </w:tc>
        <w:tc>
          <w:tcPr>
            <w:tcW w:w="1418" w:type="dxa"/>
          </w:tcPr>
          <w:p w14:paraId="6C66BDA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1035/459</w:t>
            </w:r>
          </w:p>
        </w:tc>
        <w:tc>
          <w:tcPr>
            <w:tcW w:w="1417" w:type="dxa"/>
          </w:tcPr>
          <w:p w14:paraId="3C86296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1152/1023</w:t>
            </w:r>
          </w:p>
        </w:tc>
        <w:tc>
          <w:tcPr>
            <w:tcW w:w="1418" w:type="dxa"/>
          </w:tcPr>
          <w:p w14:paraId="01EE17D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2945</w:t>
            </w:r>
          </w:p>
        </w:tc>
      </w:tr>
    </w:tbl>
    <w:p w14:paraId="06EB86F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 В графе поквартальные сроки сдачи числителем показано число самолетов или моторов, подлежавших сдаче по договору, а знаменателем – число самолетов фактически сданных за квартал.</w:t>
      </w:r>
    </w:p>
    <w:p w14:paraId="14A6986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Причины толь значительного недовыполнения программы 1932 года заводами сводятся к следующему:</w:t>
      </w:r>
    </w:p>
    <w:p w14:paraId="5631E1B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самолету И-5</w:t>
      </w:r>
    </w:p>
    <w:p w14:paraId="52AC0C3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Недовыполнение программы в целом относится за счет завода № 21, который машину в 1932 году не освоил и к серийному выпуску не приступил.</w:t>
      </w:r>
    </w:p>
    <w:p w14:paraId="2D5D1CF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отсутствовала правильная подготовка и организация производства; потребовалось большое количество переделок в чертежах (до 3000).</w:t>
      </w:r>
    </w:p>
    <w:p w14:paraId="682D86D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359B1F7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самолету Р-5</w:t>
      </w:r>
    </w:p>
    <w:p w14:paraId="1B1373B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Недовыполнение программы произошло из-за отсутствия моторов М-17 в III и IV кварталах.</w:t>
      </w:r>
    </w:p>
    <w:p w14:paraId="544A4E7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самолету Р-6</w:t>
      </w:r>
    </w:p>
    <w:p w14:paraId="41B17DD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31 в связи с поздней подачей с завода № 20 на завод № 31 серийной постройки этой машины, отсутствия подготовки завода № 31 к серийному производству металлических самолетов и благодаря недочетам организационного порядка на заводе № 31, в 1932 году ни одного самолета Р-6 не сдал; сдача 31 указанных выше самолетов Р-6 была произведена заводом № 22.</w:t>
      </w:r>
    </w:p>
    <w:p w14:paraId="513604B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самолету И-7</w:t>
      </w:r>
    </w:p>
    <w:p w14:paraId="206099C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Недовыполнение программы произошло из-за ряда неполадок с освоением производства на заводе № 1, из-за отсутствия достаточного количества труб для оперения центроплана и фюзеляжа и недостачи моторов в IV квартале.</w:t>
      </w:r>
    </w:p>
    <w:p w14:paraId="34F76BD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самолету ТБ3</w:t>
      </w:r>
    </w:p>
    <w:p w14:paraId="12EFD73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Недовыполнение произошло по причине отсутствия моторов М-17 в IV квартале; частично из-за того, что завод № 22 в III и IV кварталах отставал по сборке самолетов.</w:t>
      </w:r>
    </w:p>
    <w:p w14:paraId="16202BD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самолету МБР-4 (С-62 бис)</w:t>
      </w:r>
    </w:p>
    <w:p w14:paraId="6B3F1FF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Причинами недовыполнения программы по этим самолетам являются: позднее освоение заводом № 31 серийной постройки этой машины, неполадки организационного порядка на самом заводе № 31 и введение ряда переделок против итальянского образца.</w:t>
      </w:r>
    </w:p>
    <w:p w14:paraId="6FBB05E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мотору М-17</w:t>
      </w:r>
    </w:p>
    <w:p w14:paraId="74DF26D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Недовыполнение программы 1932 года заводом № 26 вызвано большим браком, как деталей, так и моторов в целом, задержкой с подачей заводу поковок, валов, цилиндров и др.</w:t>
      </w:r>
    </w:p>
    <w:p w14:paraId="2FE20CE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мотору М-34</w:t>
      </w:r>
    </w:p>
    <w:p w14:paraId="0E15CB1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24 в 1932 году не справился с программой по ряду причин, из коих основные: медленное освоение серийного производства, ряд конструктивных и производственных неполадок, как-то: обрывы болтов-шатунов, поломки валов, трещины и выкрашивание баббита вкладышей, переделки в чертежах и ряд других причин.</w:t>
      </w:r>
    </w:p>
    <w:p w14:paraId="751C1A2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(Подписи: врид начальника 1 сектора 1 отдела УМТСиВ ВВС РККА Галдин, пом. начальника 1 сектора 1 отдела УМТСиВ ВВС РККА Кронгауз) (3530,120-121)</w:t>
      </w:r>
    </w:p>
    <w:p w14:paraId="52240EE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Ведомость заказов самолетов и моторов на 1933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64"/>
        <w:gridCol w:w="845"/>
        <w:gridCol w:w="864"/>
        <w:gridCol w:w="837"/>
        <w:gridCol w:w="993"/>
        <w:gridCol w:w="992"/>
        <w:gridCol w:w="850"/>
        <w:gridCol w:w="851"/>
        <w:gridCol w:w="992"/>
        <w:gridCol w:w="2126"/>
      </w:tblGrid>
      <w:tr w:rsidR="00F26F01" w:rsidRPr="00C33834" w14:paraId="28D1A91B" w14:textId="77777777">
        <w:trPr>
          <w:cantSplit/>
        </w:trPr>
        <w:tc>
          <w:tcPr>
            <w:tcW w:w="964" w:type="dxa"/>
          </w:tcPr>
          <w:p w14:paraId="4C5B96F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70BA872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Годовое количество</w:t>
            </w:r>
          </w:p>
        </w:tc>
        <w:tc>
          <w:tcPr>
            <w:tcW w:w="864" w:type="dxa"/>
          </w:tcPr>
          <w:p w14:paraId="3EDF905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Январь</w:t>
            </w:r>
          </w:p>
        </w:tc>
        <w:tc>
          <w:tcPr>
            <w:tcW w:w="837" w:type="dxa"/>
          </w:tcPr>
          <w:p w14:paraId="21B1948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Февраль</w:t>
            </w:r>
          </w:p>
        </w:tc>
        <w:tc>
          <w:tcPr>
            <w:tcW w:w="993" w:type="dxa"/>
          </w:tcPr>
          <w:p w14:paraId="349CC67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Март</w:t>
            </w:r>
          </w:p>
        </w:tc>
        <w:tc>
          <w:tcPr>
            <w:tcW w:w="992" w:type="dxa"/>
          </w:tcPr>
          <w:p w14:paraId="7D772DA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Всего за </w:t>
            </w:r>
          </w:p>
          <w:p w14:paraId="6020539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квартал</w:t>
            </w:r>
          </w:p>
        </w:tc>
        <w:tc>
          <w:tcPr>
            <w:tcW w:w="850" w:type="dxa"/>
          </w:tcPr>
          <w:p w14:paraId="53347AF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 квартал</w:t>
            </w:r>
          </w:p>
        </w:tc>
        <w:tc>
          <w:tcPr>
            <w:tcW w:w="851" w:type="dxa"/>
          </w:tcPr>
          <w:p w14:paraId="1F5F044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III квартал</w:t>
            </w:r>
          </w:p>
        </w:tc>
        <w:tc>
          <w:tcPr>
            <w:tcW w:w="992" w:type="dxa"/>
          </w:tcPr>
          <w:p w14:paraId="1B34768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IV квартал</w:t>
            </w:r>
          </w:p>
        </w:tc>
        <w:tc>
          <w:tcPr>
            <w:tcW w:w="2126" w:type="dxa"/>
          </w:tcPr>
          <w:p w14:paraId="46B5001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tc>
      </w:tr>
      <w:tr w:rsidR="00F26F01" w:rsidRPr="00C33834" w14:paraId="7FE1B7E1" w14:textId="77777777">
        <w:trPr>
          <w:cantSplit/>
        </w:trPr>
        <w:tc>
          <w:tcPr>
            <w:tcW w:w="964" w:type="dxa"/>
          </w:tcPr>
          <w:p w14:paraId="0E514B7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w:t>
            </w:r>
          </w:p>
        </w:tc>
        <w:tc>
          <w:tcPr>
            <w:tcW w:w="845" w:type="dxa"/>
          </w:tcPr>
          <w:p w14:paraId="5FC9328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Pr>
          <w:p w14:paraId="44A5440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132ED31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6644B4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0A8D8A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88C742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50F52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FDAA6A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23900D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D9FDD48" w14:textId="77777777">
        <w:trPr>
          <w:cantSplit/>
        </w:trPr>
        <w:tc>
          <w:tcPr>
            <w:tcW w:w="964" w:type="dxa"/>
          </w:tcPr>
          <w:p w14:paraId="11581E0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w:t>
            </w:r>
          </w:p>
        </w:tc>
        <w:tc>
          <w:tcPr>
            <w:tcW w:w="845" w:type="dxa"/>
          </w:tcPr>
          <w:p w14:paraId="7C851D4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864" w:type="dxa"/>
          </w:tcPr>
          <w:p w14:paraId="19C2119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w:t>
            </w:r>
          </w:p>
        </w:tc>
        <w:tc>
          <w:tcPr>
            <w:tcW w:w="837" w:type="dxa"/>
          </w:tcPr>
          <w:p w14:paraId="452A19E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993" w:type="dxa"/>
          </w:tcPr>
          <w:p w14:paraId="7B2FE43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15/10</w:t>
            </w:r>
          </w:p>
        </w:tc>
        <w:tc>
          <w:tcPr>
            <w:tcW w:w="992" w:type="dxa"/>
          </w:tcPr>
          <w:p w14:paraId="7754030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35/15</w:t>
            </w:r>
          </w:p>
        </w:tc>
        <w:tc>
          <w:tcPr>
            <w:tcW w:w="850" w:type="dxa"/>
          </w:tcPr>
          <w:p w14:paraId="6D04072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w:t>
            </w:r>
          </w:p>
        </w:tc>
        <w:tc>
          <w:tcPr>
            <w:tcW w:w="851" w:type="dxa"/>
          </w:tcPr>
          <w:p w14:paraId="4E93D35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w:t>
            </w:r>
          </w:p>
        </w:tc>
        <w:tc>
          <w:tcPr>
            <w:tcW w:w="992" w:type="dxa"/>
          </w:tcPr>
          <w:p w14:paraId="181E840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w:t>
            </w:r>
          </w:p>
        </w:tc>
        <w:tc>
          <w:tcPr>
            <w:tcW w:w="2126" w:type="dxa"/>
          </w:tcPr>
          <w:p w14:paraId="65BC8DF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графе «поквартальные поставки» по первому кварталу числителем показано число самолетов и моторов, подлежащих сдаче по договорам, а знаменателем – число самолетов и моторов, фактически сданных; за март по сдаче показана предполагаемая сдача.</w:t>
            </w:r>
          </w:p>
        </w:tc>
      </w:tr>
      <w:tr w:rsidR="00F26F01" w:rsidRPr="00C33834" w14:paraId="7EAC2E88" w14:textId="77777777">
        <w:trPr>
          <w:cantSplit/>
        </w:trPr>
        <w:tc>
          <w:tcPr>
            <w:tcW w:w="964" w:type="dxa"/>
          </w:tcPr>
          <w:p w14:paraId="48F8D9B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w:t>
            </w:r>
          </w:p>
        </w:tc>
        <w:tc>
          <w:tcPr>
            <w:tcW w:w="845" w:type="dxa"/>
          </w:tcPr>
          <w:p w14:paraId="0DC6058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1600</w:t>
            </w:r>
          </w:p>
        </w:tc>
        <w:tc>
          <w:tcPr>
            <w:tcW w:w="864" w:type="dxa"/>
          </w:tcPr>
          <w:p w14:paraId="00CF963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50/50</w:t>
            </w:r>
          </w:p>
        </w:tc>
        <w:tc>
          <w:tcPr>
            <w:tcW w:w="837" w:type="dxa"/>
          </w:tcPr>
          <w:p w14:paraId="36C1907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120/50</w:t>
            </w:r>
          </w:p>
        </w:tc>
        <w:tc>
          <w:tcPr>
            <w:tcW w:w="993" w:type="dxa"/>
          </w:tcPr>
          <w:p w14:paraId="3AD02E0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120/60</w:t>
            </w:r>
          </w:p>
        </w:tc>
        <w:tc>
          <w:tcPr>
            <w:tcW w:w="992" w:type="dxa"/>
          </w:tcPr>
          <w:p w14:paraId="5F83819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310/160</w:t>
            </w:r>
          </w:p>
        </w:tc>
        <w:tc>
          <w:tcPr>
            <w:tcW w:w="850" w:type="dxa"/>
          </w:tcPr>
          <w:p w14:paraId="530F41A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tc>
        <w:tc>
          <w:tcPr>
            <w:tcW w:w="851" w:type="dxa"/>
          </w:tcPr>
          <w:p w14:paraId="0B56FF5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455</w:t>
            </w:r>
          </w:p>
        </w:tc>
        <w:tc>
          <w:tcPr>
            <w:tcW w:w="992" w:type="dxa"/>
          </w:tcPr>
          <w:p w14:paraId="238F35C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485</w:t>
            </w:r>
          </w:p>
        </w:tc>
        <w:tc>
          <w:tcPr>
            <w:tcW w:w="2126" w:type="dxa"/>
          </w:tcPr>
          <w:p w14:paraId="480EE67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3F9274C" w14:textId="77777777">
        <w:trPr>
          <w:cantSplit/>
        </w:trPr>
        <w:tc>
          <w:tcPr>
            <w:tcW w:w="964" w:type="dxa"/>
          </w:tcPr>
          <w:p w14:paraId="2E82064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И5а</w:t>
            </w:r>
          </w:p>
        </w:tc>
        <w:tc>
          <w:tcPr>
            <w:tcW w:w="845" w:type="dxa"/>
          </w:tcPr>
          <w:p w14:paraId="4D388B3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864" w:type="dxa"/>
          </w:tcPr>
          <w:p w14:paraId="0D41B59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37" w:type="dxa"/>
          </w:tcPr>
          <w:p w14:paraId="2CE132C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3" w:type="dxa"/>
          </w:tcPr>
          <w:p w14:paraId="566702D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2" w:type="dxa"/>
          </w:tcPr>
          <w:p w14:paraId="48E4010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0" w:type="dxa"/>
          </w:tcPr>
          <w:p w14:paraId="6E08B2C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851" w:type="dxa"/>
          </w:tcPr>
          <w:p w14:paraId="5EC037F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2" w:type="dxa"/>
          </w:tcPr>
          <w:p w14:paraId="0F2FE25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2126" w:type="dxa"/>
          </w:tcPr>
          <w:p w14:paraId="3B09D9E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6D3C8A6" w14:textId="77777777">
        <w:trPr>
          <w:cantSplit/>
        </w:trPr>
        <w:tc>
          <w:tcPr>
            <w:tcW w:w="964" w:type="dxa"/>
          </w:tcPr>
          <w:p w14:paraId="086540D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Р3</w:t>
            </w:r>
          </w:p>
        </w:tc>
        <w:tc>
          <w:tcPr>
            <w:tcW w:w="845" w:type="dxa"/>
          </w:tcPr>
          <w:p w14:paraId="2F7439D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864" w:type="dxa"/>
          </w:tcPr>
          <w:p w14:paraId="18DCA60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15/15</w:t>
            </w:r>
          </w:p>
        </w:tc>
        <w:tc>
          <w:tcPr>
            <w:tcW w:w="837" w:type="dxa"/>
          </w:tcPr>
          <w:p w14:paraId="63D9629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23/8</w:t>
            </w:r>
          </w:p>
        </w:tc>
        <w:tc>
          <w:tcPr>
            <w:tcW w:w="993" w:type="dxa"/>
          </w:tcPr>
          <w:p w14:paraId="25A7CF6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27/20</w:t>
            </w:r>
          </w:p>
        </w:tc>
        <w:tc>
          <w:tcPr>
            <w:tcW w:w="992" w:type="dxa"/>
          </w:tcPr>
          <w:p w14:paraId="31CBD9F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65/43</w:t>
            </w:r>
          </w:p>
        </w:tc>
        <w:tc>
          <w:tcPr>
            <w:tcW w:w="850" w:type="dxa"/>
          </w:tcPr>
          <w:p w14:paraId="747599C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69</w:t>
            </w:r>
          </w:p>
        </w:tc>
        <w:tc>
          <w:tcPr>
            <w:tcW w:w="851" w:type="dxa"/>
          </w:tcPr>
          <w:p w14:paraId="5E98E78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122</w:t>
            </w:r>
          </w:p>
        </w:tc>
        <w:tc>
          <w:tcPr>
            <w:tcW w:w="992" w:type="dxa"/>
          </w:tcPr>
          <w:p w14:paraId="2AF6A1C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w:t>
            </w:r>
          </w:p>
        </w:tc>
        <w:tc>
          <w:tcPr>
            <w:tcW w:w="2126" w:type="dxa"/>
          </w:tcPr>
          <w:p w14:paraId="52A8F53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8B86406" w14:textId="77777777">
        <w:trPr>
          <w:cantSplit/>
        </w:trPr>
        <w:tc>
          <w:tcPr>
            <w:tcW w:w="964" w:type="dxa"/>
          </w:tcPr>
          <w:p w14:paraId="75C54C5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2D0E7CC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864" w:type="dxa"/>
          </w:tcPr>
          <w:p w14:paraId="1FD48ED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37" w:type="dxa"/>
          </w:tcPr>
          <w:p w14:paraId="3877C33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3" w:type="dxa"/>
          </w:tcPr>
          <w:p w14:paraId="6587EB6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2" w:type="dxa"/>
          </w:tcPr>
          <w:p w14:paraId="2A5F3FB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0" w:type="dxa"/>
          </w:tcPr>
          <w:p w14:paraId="231B184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617F57B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2" w:type="dxa"/>
          </w:tcPr>
          <w:p w14:paraId="6D553EA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2126" w:type="dxa"/>
          </w:tcPr>
          <w:p w14:paraId="7A52775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5FEEBAC" w14:textId="77777777">
        <w:trPr>
          <w:cantSplit/>
        </w:trPr>
        <w:tc>
          <w:tcPr>
            <w:tcW w:w="964" w:type="dxa"/>
          </w:tcPr>
          <w:p w14:paraId="64E20EE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w:t>
            </w:r>
          </w:p>
        </w:tc>
        <w:tc>
          <w:tcPr>
            <w:tcW w:w="845" w:type="dxa"/>
          </w:tcPr>
          <w:p w14:paraId="4F635E4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tc>
        <w:tc>
          <w:tcPr>
            <w:tcW w:w="864" w:type="dxa"/>
          </w:tcPr>
          <w:p w14:paraId="3224D53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37" w:type="dxa"/>
          </w:tcPr>
          <w:p w14:paraId="4A1539E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3" w:type="dxa"/>
          </w:tcPr>
          <w:p w14:paraId="2B5B74B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2" w:type="dxa"/>
          </w:tcPr>
          <w:p w14:paraId="6E9863F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0" w:type="dxa"/>
          </w:tcPr>
          <w:p w14:paraId="6741023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43FF6E1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2" w:type="dxa"/>
          </w:tcPr>
          <w:p w14:paraId="3930693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tc>
        <w:tc>
          <w:tcPr>
            <w:tcW w:w="2126" w:type="dxa"/>
          </w:tcPr>
          <w:p w14:paraId="11402CA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3D383D7" w14:textId="77777777">
        <w:trPr>
          <w:cantSplit/>
        </w:trPr>
        <w:tc>
          <w:tcPr>
            <w:tcW w:w="964" w:type="dxa"/>
          </w:tcPr>
          <w:p w14:paraId="7FA404D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w:t>
            </w:r>
          </w:p>
        </w:tc>
        <w:tc>
          <w:tcPr>
            <w:tcW w:w="845" w:type="dxa"/>
          </w:tcPr>
          <w:p w14:paraId="525B9B4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tc>
        <w:tc>
          <w:tcPr>
            <w:tcW w:w="864" w:type="dxa"/>
          </w:tcPr>
          <w:p w14:paraId="1F5FE7F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837" w:type="dxa"/>
          </w:tcPr>
          <w:p w14:paraId="3D523F3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20/5</w:t>
            </w:r>
          </w:p>
        </w:tc>
        <w:tc>
          <w:tcPr>
            <w:tcW w:w="993" w:type="dxa"/>
          </w:tcPr>
          <w:p w14:paraId="175067C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25/15</w:t>
            </w:r>
          </w:p>
        </w:tc>
        <w:tc>
          <w:tcPr>
            <w:tcW w:w="992" w:type="dxa"/>
          </w:tcPr>
          <w:p w14:paraId="02A99FE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60/20</w:t>
            </w:r>
          </w:p>
        </w:tc>
        <w:tc>
          <w:tcPr>
            <w:tcW w:w="850" w:type="dxa"/>
          </w:tcPr>
          <w:p w14:paraId="4068F2C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c>
          <w:tcPr>
            <w:tcW w:w="851" w:type="dxa"/>
          </w:tcPr>
          <w:p w14:paraId="1536B88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w:t>
            </w:r>
          </w:p>
        </w:tc>
        <w:tc>
          <w:tcPr>
            <w:tcW w:w="992" w:type="dxa"/>
          </w:tcPr>
          <w:p w14:paraId="6F51E3A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w:t>
            </w:r>
          </w:p>
        </w:tc>
        <w:tc>
          <w:tcPr>
            <w:tcW w:w="2126" w:type="dxa"/>
          </w:tcPr>
          <w:p w14:paraId="3397DBA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08CF13B" w14:textId="77777777">
        <w:trPr>
          <w:cantSplit/>
        </w:trPr>
        <w:tc>
          <w:tcPr>
            <w:tcW w:w="964" w:type="dxa"/>
          </w:tcPr>
          <w:p w14:paraId="4475C2F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w:t>
            </w:r>
          </w:p>
        </w:tc>
        <w:tc>
          <w:tcPr>
            <w:tcW w:w="845" w:type="dxa"/>
          </w:tcPr>
          <w:p w14:paraId="74C490B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w:t>
            </w:r>
          </w:p>
        </w:tc>
        <w:tc>
          <w:tcPr>
            <w:tcW w:w="864" w:type="dxa"/>
          </w:tcPr>
          <w:p w14:paraId="33F064F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837" w:type="dxa"/>
          </w:tcPr>
          <w:p w14:paraId="285D4EB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65/20</w:t>
            </w:r>
          </w:p>
        </w:tc>
        <w:tc>
          <w:tcPr>
            <w:tcW w:w="993" w:type="dxa"/>
          </w:tcPr>
          <w:p w14:paraId="1EA0875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75/60</w:t>
            </w:r>
          </w:p>
        </w:tc>
        <w:tc>
          <w:tcPr>
            <w:tcW w:w="992" w:type="dxa"/>
          </w:tcPr>
          <w:p w14:paraId="0F73C59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140/85</w:t>
            </w:r>
          </w:p>
        </w:tc>
        <w:tc>
          <w:tcPr>
            <w:tcW w:w="850" w:type="dxa"/>
          </w:tcPr>
          <w:p w14:paraId="676F9D7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851" w:type="dxa"/>
          </w:tcPr>
          <w:p w14:paraId="3FF91B9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992" w:type="dxa"/>
          </w:tcPr>
          <w:p w14:paraId="52A3B07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w:t>
            </w:r>
          </w:p>
        </w:tc>
        <w:tc>
          <w:tcPr>
            <w:tcW w:w="2126" w:type="dxa"/>
          </w:tcPr>
          <w:p w14:paraId="6CB5ABC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65F010F" w14:textId="77777777">
        <w:trPr>
          <w:cantSplit/>
        </w:trPr>
        <w:tc>
          <w:tcPr>
            <w:tcW w:w="964" w:type="dxa"/>
          </w:tcPr>
          <w:p w14:paraId="0A0F0D6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w:t>
            </w:r>
          </w:p>
        </w:tc>
        <w:tc>
          <w:tcPr>
            <w:tcW w:w="845" w:type="dxa"/>
          </w:tcPr>
          <w:p w14:paraId="7E82A96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c>
          <w:tcPr>
            <w:tcW w:w="864" w:type="dxa"/>
          </w:tcPr>
          <w:p w14:paraId="75AA6F1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37" w:type="dxa"/>
          </w:tcPr>
          <w:p w14:paraId="2675DED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3" w:type="dxa"/>
          </w:tcPr>
          <w:p w14:paraId="12F2AB3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992" w:type="dxa"/>
          </w:tcPr>
          <w:p w14:paraId="029EE69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850" w:type="dxa"/>
          </w:tcPr>
          <w:p w14:paraId="2500527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w:t>
            </w:r>
          </w:p>
        </w:tc>
        <w:tc>
          <w:tcPr>
            <w:tcW w:w="851" w:type="dxa"/>
          </w:tcPr>
          <w:p w14:paraId="1868A0D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992" w:type="dxa"/>
          </w:tcPr>
          <w:p w14:paraId="00EFEB8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w:t>
            </w:r>
          </w:p>
        </w:tc>
        <w:tc>
          <w:tcPr>
            <w:tcW w:w="2126" w:type="dxa"/>
          </w:tcPr>
          <w:p w14:paraId="0F2C024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6041E36" w14:textId="77777777">
        <w:trPr>
          <w:cantSplit/>
        </w:trPr>
        <w:tc>
          <w:tcPr>
            <w:tcW w:w="964" w:type="dxa"/>
          </w:tcPr>
          <w:p w14:paraId="25B8571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w:t>
            </w:r>
          </w:p>
        </w:tc>
        <w:tc>
          <w:tcPr>
            <w:tcW w:w="845" w:type="dxa"/>
          </w:tcPr>
          <w:p w14:paraId="2BF18C6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864" w:type="dxa"/>
          </w:tcPr>
          <w:p w14:paraId="6CA4C78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37" w:type="dxa"/>
          </w:tcPr>
          <w:p w14:paraId="0886DE9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w:t>
            </w:r>
          </w:p>
        </w:tc>
        <w:tc>
          <w:tcPr>
            <w:tcW w:w="993" w:type="dxa"/>
          </w:tcPr>
          <w:p w14:paraId="391641F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w:t>
            </w:r>
          </w:p>
        </w:tc>
        <w:tc>
          <w:tcPr>
            <w:tcW w:w="992" w:type="dxa"/>
          </w:tcPr>
          <w:p w14:paraId="25ED64E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w:t>
            </w:r>
          </w:p>
        </w:tc>
        <w:tc>
          <w:tcPr>
            <w:tcW w:w="850" w:type="dxa"/>
          </w:tcPr>
          <w:p w14:paraId="1F454A1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851" w:type="dxa"/>
          </w:tcPr>
          <w:p w14:paraId="4038091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992" w:type="dxa"/>
          </w:tcPr>
          <w:p w14:paraId="40C225D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2126" w:type="dxa"/>
          </w:tcPr>
          <w:p w14:paraId="7332FC4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42A2ED2" w14:textId="77777777">
        <w:trPr>
          <w:cantSplit/>
        </w:trPr>
        <w:tc>
          <w:tcPr>
            <w:tcW w:w="964" w:type="dxa"/>
          </w:tcPr>
          <w:p w14:paraId="6707B3F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2D8EF27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864" w:type="dxa"/>
          </w:tcPr>
          <w:p w14:paraId="5FF9089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837" w:type="dxa"/>
          </w:tcPr>
          <w:p w14:paraId="6FCA58C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w:t>
            </w:r>
          </w:p>
        </w:tc>
        <w:tc>
          <w:tcPr>
            <w:tcW w:w="993" w:type="dxa"/>
          </w:tcPr>
          <w:p w14:paraId="40BC835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10/15</w:t>
            </w:r>
          </w:p>
        </w:tc>
        <w:tc>
          <w:tcPr>
            <w:tcW w:w="992" w:type="dxa"/>
          </w:tcPr>
          <w:p w14:paraId="1B0676B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25/20</w:t>
            </w:r>
          </w:p>
        </w:tc>
        <w:tc>
          <w:tcPr>
            <w:tcW w:w="850" w:type="dxa"/>
          </w:tcPr>
          <w:p w14:paraId="6206395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tc>
        <w:tc>
          <w:tcPr>
            <w:tcW w:w="851" w:type="dxa"/>
          </w:tcPr>
          <w:p w14:paraId="23D2315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2" w:type="dxa"/>
          </w:tcPr>
          <w:p w14:paraId="51BBD10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2126" w:type="dxa"/>
          </w:tcPr>
          <w:p w14:paraId="2D4F3ED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A1FE2AA" w14:textId="77777777">
        <w:trPr>
          <w:cantSplit/>
        </w:trPr>
        <w:tc>
          <w:tcPr>
            <w:tcW w:w="964" w:type="dxa"/>
          </w:tcPr>
          <w:p w14:paraId="7153060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845" w:type="dxa"/>
          </w:tcPr>
          <w:p w14:paraId="191B2F4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3615</w:t>
            </w:r>
          </w:p>
        </w:tc>
        <w:tc>
          <w:tcPr>
            <w:tcW w:w="864" w:type="dxa"/>
          </w:tcPr>
          <w:p w14:paraId="42F1B6F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90/75</w:t>
            </w:r>
          </w:p>
        </w:tc>
        <w:tc>
          <w:tcPr>
            <w:tcW w:w="837" w:type="dxa"/>
          </w:tcPr>
          <w:p w14:paraId="4E06264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258/90</w:t>
            </w:r>
          </w:p>
        </w:tc>
        <w:tc>
          <w:tcPr>
            <w:tcW w:w="993" w:type="dxa"/>
          </w:tcPr>
          <w:p w14:paraId="5CF87E1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317/183</w:t>
            </w:r>
          </w:p>
        </w:tc>
        <w:tc>
          <w:tcPr>
            <w:tcW w:w="992" w:type="dxa"/>
          </w:tcPr>
          <w:p w14:paraId="440A069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665/348</w:t>
            </w:r>
          </w:p>
        </w:tc>
        <w:tc>
          <w:tcPr>
            <w:tcW w:w="850" w:type="dxa"/>
          </w:tcPr>
          <w:p w14:paraId="4FAB4DE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930</w:t>
            </w:r>
          </w:p>
        </w:tc>
        <w:tc>
          <w:tcPr>
            <w:tcW w:w="851" w:type="dxa"/>
          </w:tcPr>
          <w:p w14:paraId="79D7A31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1067</w:t>
            </w:r>
          </w:p>
        </w:tc>
        <w:tc>
          <w:tcPr>
            <w:tcW w:w="992" w:type="dxa"/>
          </w:tcPr>
          <w:p w14:paraId="6098172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953</w:t>
            </w:r>
          </w:p>
        </w:tc>
        <w:tc>
          <w:tcPr>
            <w:tcW w:w="2126" w:type="dxa"/>
          </w:tcPr>
          <w:p w14:paraId="45BCE16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F18158D" w14:textId="77777777">
        <w:trPr>
          <w:cantSplit/>
        </w:trPr>
        <w:tc>
          <w:tcPr>
            <w:tcW w:w="964" w:type="dxa"/>
          </w:tcPr>
          <w:p w14:paraId="3447811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w:t>
            </w:r>
          </w:p>
        </w:tc>
        <w:tc>
          <w:tcPr>
            <w:tcW w:w="845" w:type="dxa"/>
          </w:tcPr>
          <w:p w14:paraId="362FB6B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Pr>
          <w:p w14:paraId="5F80FA7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7214C63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20463C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D7392B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5CF774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1EC21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E09DA1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B0021A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01B4F90" w14:textId="77777777">
        <w:trPr>
          <w:cantSplit/>
        </w:trPr>
        <w:tc>
          <w:tcPr>
            <w:tcW w:w="964" w:type="dxa"/>
          </w:tcPr>
          <w:p w14:paraId="09FFB52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845" w:type="dxa"/>
          </w:tcPr>
          <w:p w14:paraId="31D5D85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w:t>
            </w:r>
          </w:p>
        </w:tc>
        <w:tc>
          <w:tcPr>
            <w:tcW w:w="864" w:type="dxa"/>
          </w:tcPr>
          <w:p w14:paraId="73D8368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837" w:type="dxa"/>
          </w:tcPr>
          <w:p w14:paraId="48B18F9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w:t>
            </w:r>
          </w:p>
        </w:tc>
        <w:tc>
          <w:tcPr>
            <w:tcW w:w="993" w:type="dxa"/>
          </w:tcPr>
          <w:p w14:paraId="5EDF9CD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10/10</w:t>
            </w:r>
          </w:p>
        </w:tc>
        <w:tc>
          <w:tcPr>
            <w:tcW w:w="992" w:type="dxa"/>
          </w:tcPr>
          <w:p w14:paraId="43914C1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20/15</w:t>
            </w:r>
          </w:p>
        </w:tc>
        <w:tc>
          <w:tcPr>
            <w:tcW w:w="850" w:type="dxa"/>
          </w:tcPr>
          <w:p w14:paraId="3820A94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w:t>
            </w:r>
          </w:p>
        </w:tc>
        <w:tc>
          <w:tcPr>
            <w:tcW w:w="851" w:type="dxa"/>
          </w:tcPr>
          <w:p w14:paraId="580A047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w:t>
            </w:r>
          </w:p>
        </w:tc>
        <w:tc>
          <w:tcPr>
            <w:tcW w:w="992" w:type="dxa"/>
          </w:tcPr>
          <w:p w14:paraId="135A51F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345</w:t>
            </w:r>
          </w:p>
        </w:tc>
        <w:tc>
          <w:tcPr>
            <w:tcW w:w="2126" w:type="dxa"/>
          </w:tcPr>
          <w:p w14:paraId="0B07AA4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0BCACD2" w14:textId="77777777">
        <w:trPr>
          <w:cantSplit/>
        </w:trPr>
        <w:tc>
          <w:tcPr>
            <w:tcW w:w="964" w:type="dxa"/>
          </w:tcPr>
          <w:p w14:paraId="72C819E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845" w:type="dxa"/>
          </w:tcPr>
          <w:p w14:paraId="0195D36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864" w:type="dxa"/>
          </w:tcPr>
          <w:p w14:paraId="6BDB402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5/11</w:t>
            </w:r>
          </w:p>
        </w:tc>
        <w:tc>
          <w:tcPr>
            <w:tcW w:w="837" w:type="dxa"/>
          </w:tcPr>
          <w:p w14:paraId="5539D59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993" w:type="dxa"/>
          </w:tcPr>
          <w:p w14:paraId="26C2EB2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10/9</w:t>
            </w:r>
          </w:p>
        </w:tc>
        <w:tc>
          <w:tcPr>
            <w:tcW w:w="992" w:type="dxa"/>
          </w:tcPr>
          <w:p w14:paraId="1EC4EC7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20/20</w:t>
            </w:r>
          </w:p>
        </w:tc>
        <w:tc>
          <w:tcPr>
            <w:tcW w:w="850" w:type="dxa"/>
          </w:tcPr>
          <w:p w14:paraId="03B0B09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851" w:type="dxa"/>
          </w:tcPr>
          <w:p w14:paraId="2C73EB3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w:t>
            </w:r>
          </w:p>
        </w:tc>
        <w:tc>
          <w:tcPr>
            <w:tcW w:w="992" w:type="dxa"/>
          </w:tcPr>
          <w:p w14:paraId="7612C28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2126" w:type="dxa"/>
          </w:tcPr>
          <w:p w14:paraId="48BE1F1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735484A" w14:textId="77777777">
        <w:trPr>
          <w:cantSplit/>
        </w:trPr>
        <w:tc>
          <w:tcPr>
            <w:tcW w:w="964" w:type="dxa"/>
          </w:tcPr>
          <w:p w14:paraId="213ED5D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w:t>
            </w:r>
          </w:p>
        </w:tc>
        <w:tc>
          <w:tcPr>
            <w:tcW w:w="845" w:type="dxa"/>
          </w:tcPr>
          <w:p w14:paraId="029EAC5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340</w:t>
            </w:r>
          </w:p>
        </w:tc>
        <w:tc>
          <w:tcPr>
            <w:tcW w:w="864" w:type="dxa"/>
          </w:tcPr>
          <w:p w14:paraId="1C465C8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10/21</w:t>
            </w:r>
          </w:p>
        </w:tc>
        <w:tc>
          <w:tcPr>
            <w:tcW w:w="837" w:type="dxa"/>
          </w:tcPr>
          <w:p w14:paraId="52584F2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993" w:type="dxa"/>
          </w:tcPr>
          <w:p w14:paraId="20E09CA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10/9</w:t>
            </w:r>
          </w:p>
        </w:tc>
        <w:tc>
          <w:tcPr>
            <w:tcW w:w="992" w:type="dxa"/>
          </w:tcPr>
          <w:p w14:paraId="63E6693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30/30</w:t>
            </w:r>
          </w:p>
        </w:tc>
        <w:tc>
          <w:tcPr>
            <w:tcW w:w="850" w:type="dxa"/>
          </w:tcPr>
          <w:p w14:paraId="195F45D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tc>
        <w:tc>
          <w:tcPr>
            <w:tcW w:w="851" w:type="dxa"/>
          </w:tcPr>
          <w:p w14:paraId="7706067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992" w:type="dxa"/>
          </w:tcPr>
          <w:p w14:paraId="3D31FAA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2126" w:type="dxa"/>
          </w:tcPr>
          <w:p w14:paraId="4169141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4EBC194" w14:textId="77777777">
        <w:trPr>
          <w:cantSplit/>
        </w:trPr>
        <w:tc>
          <w:tcPr>
            <w:tcW w:w="964" w:type="dxa"/>
          </w:tcPr>
          <w:p w14:paraId="5223421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845" w:type="dxa"/>
          </w:tcPr>
          <w:p w14:paraId="2DAAFB9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864" w:type="dxa"/>
          </w:tcPr>
          <w:p w14:paraId="1381BEA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w:t>
            </w:r>
          </w:p>
        </w:tc>
        <w:tc>
          <w:tcPr>
            <w:tcW w:w="837" w:type="dxa"/>
          </w:tcPr>
          <w:p w14:paraId="737B990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20/10</w:t>
            </w:r>
          </w:p>
        </w:tc>
        <w:tc>
          <w:tcPr>
            <w:tcW w:w="993" w:type="dxa"/>
          </w:tcPr>
          <w:p w14:paraId="67AAA09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20/10</w:t>
            </w:r>
          </w:p>
        </w:tc>
        <w:tc>
          <w:tcPr>
            <w:tcW w:w="992" w:type="dxa"/>
          </w:tcPr>
          <w:p w14:paraId="17E0D00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48/28</w:t>
            </w:r>
          </w:p>
        </w:tc>
        <w:tc>
          <w:tcPr>
            <w:tcW w:w="850" w:type="dxa"/>
          </w:tcPr>
          <w:p w14:paraId="26985A7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w:t>
            </w:r>
          </w:p>
        </w:tc>
        <w:tc>
          <w:tcPr>
            <w:tcW w:w="851" w:type="dxa"/>
          </w:tcPr>
          <w:p w14:paraId="3DD3E94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w:t>
            </w:r>
          </w:p>
        </w:tc>
        <w:tc>
          <w:tcPr>
            <w:tcW w:w="992" w:type="dxa"/>
          </w:tcPr>
          <w:p w14:paraId="05A9961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w:t>
            </w:r>
          </w:p>
        </w:tc>
        <w:tc>
          <w:tcPr>
            <w:tcW w:w="2126" w:type="dxa"/>
          </w:tcPr>
          <w:p w14:paraId="55F00B3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D120C3C" w14:textId="77777777">
        <w:trPr>
          <w:cantSplit/>
        </w:trPr>
        <w:tc>
          <w:tcPr>
            <w:tcW w:w="964" w:type="dxa"/>
          </w:tcPr>
          <w:p w14:paraId="136E413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845" w:type="dxa"/>
          </w:tcPr>
          <w:p w14:paraId="07C92EA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1340</w:t>
            </w:r>
          </w:p>
        </w:tc>
        <w:tc>
          <w:tcPr>
            <w:tcW w:w="864" w:type="dxa"/>
          </w:tcPr>
          <w:p w14:paraId="4C0F9BA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26/40</w:t>
            </w:r>
          </w:p>
        </w:tc>
        <w:tc>
          <w:tcPr>
            <w:tcW w:w="837" w:type="dxa"/>
          </w:tcPr>
          <w:p w14:paraId="0DD421F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42/15</w:t>
            </w:r>
          </w:p>
        </w:tc>
        <w:tc>
          <w:tcPr>
            <w:tcW w:w="993" w:type="dxa"/>
          </w:tcPr>
          <w:p w14:paraId="1E283D6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50/36</w:t>
            </w:r>
          </w:p>
        </w:tc>
        <w:tc>
          <w:tcPr>
            <w:tcW w:w="992" w:type="dxa"/>
          </w:tcPr>
          <w:p w14:paraId="08C85A2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118/83</w:t>
            </w:r>
          </w:p>
        </w:tc>
        <w:tc>
          <w:tcPr>
            <w:tcW w:w="850" w:type="dxa"/>
          </w:tcPr>
          <w:p w14:paraId="0936894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851" w:type="dxa"/>
          </w:tcPr>
          <w:p w14:paraId="0C3DCBE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461</w:t>
            </w:r>
          </w:p>
        </w:tc>
        <w:tc>
          <w:tcPr>
            <w:tcW w:w="992" w:type="dxa"/>
          </w:tcPr>
          <w:p w14:paraId="39C4259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561</w:t>
            </w:r>
          </w:p>
        </w:tc>
        <w:tc>
          <w:tcPr>
            <w:tcW w:w="2126" w:type="dxa"/>
          </w:tcPr>
          <w:p w14:paraId="34E33FC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086C1EF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Причинами недовыполнения программы первого квартала (январь-февраль) 1933 года являются следующие:</w:t>
      </w:r>
    </w:p>
    <w:p w14:paraId="36EC699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самолету И-5: на выполнение программы I квартала 1933 года продолжают сказываться причины срыва программы по 1932 году; только сейчас завод 3 21 начинает медленно налаживать серийный выпуск самолетов.</w:t>
      </w:r>
    </w:p>
    <w:p w14:paraId="269B450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самолету МБР-4: сдача самолетов задерживается необходимостью внесения ряда изменений в самолет в целях улучшения центровки.</w:t>
      </w:r>
    </w:p>
    <w:p w14:paraId="2DB41DD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самолету У-2: недовыполнения заводом № 23 программы за февраль вызвано тем, что завод отстал с выполнением программы по самолетам АП, соответственно передвигая сроки сдачи У-2.</w:t>
      </w:r>
    </w:p>
    <w:p w14:paraId="71E8D9E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мотору М-17: причинами недовыполнения программы января и февраля является большой брак, например: из 93-х изготовленных моторов, лишь 41 мотор может быть принят; остальные признаны некондиционными.</w:t>
      </w:r>
    </w:p>
    <w:p w14:paraId="0CFD54B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(Подписи: врид начальника 1 сектора 1 отдела УМТСиВ ВВС РККА Галдин, пом. начальника 1 сектора 1 отдела УМТСиВ ВВС РККА Кронгауз) (3530,122).</w:t>
      </w:r>
    </w:p>
    <w:p w14:paraId="6DA858A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6E5F07BD" w14:textId="77777777" w:rsidR="00C30D8A" w:rsidRPr="00C33834" w:rsidRDefault="00C30D8A"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феврале 1933 был готов окончательный проект Сталь-МАИ. Самолёты для кругосветного перелёта должны были иметь следующие данные: длина — 12,5 м, размах — 21,5 м, вес пустого — 2500 кг, полётный вес — 4620 кг, крейсерская скорость — 245 км/ч, нормальная дальность полёта — 3700 км, дальность в перегрузочном варианте (с 3000 кг топлива) — 7500 км, потолок — 5000 м. Началось изготовление опытного крыла для статических испытаний. Однако построить самолёты в срок не удавалось. И это неудивительно: всё КБ Григоровича в МАИ состояло из шести конструкторов и пяти чертёжников, а производственной базы по существу не было.</w:t>
      </w:r>
    </w:p>
    <w:p w14:paraId="4EB8D9AA" w14:textId="77777777" w:rsidR="00C30D8A" w:rsidRPr="00C33834" w:rsidRDefault="00C30D8A"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К этому времени Осоавиахим уже перевёл МАИ 350 тыс. рублей. Комиссия, летом 1933 г. проверявшая состояние работ, пришла к выводу, что часть этих средств потрачена не по назначению. «Незаконно израсходованные деньги на строительство квартир вернуть Осоавиахиму, а несгораемый шкаф и автомобиль считать собственностью Осоавиахима», — говорится в заключении комиссии </w:t>
      </w:r>
      <w:hyperlink r:id="rId80" w:history="1">
        <w:r w:rsidRPr="00C33834">
          <w:rPr>
            <w:rFonts w:ascii="Times New Roman" w:eastAsia="Times New Roman" w:hAnsi="Times New Roman"/>
            <w:color w:val="000000" w:themeColor="text1"/>
            <w:sz w:val="16"/>
            <w:szCs w:val="16"/>
            <w:lang w:eastAsia="ru-RU"/>
          </w:rPr>
          <w:t>[134]</w:t>
        </w:r>
      </w:hyperlink>
      <w:r w:rsidRPr="00C33834">
        <w:rPr>
          <w:rFonts w:ascii="Times New Roman" w:eastAsia="Times New Roman" w:hAnsi="Times New Roman"/>
          <w:color w:val="000000" w:themeColor="text1"/>
          <w:sz w:val="16"/>
          <w:szCs w:val="16"/>
          <w:lang w:eastAsia="ru-RU"/>
        </w:rPr>
        <w:t xml:space="preserve"> .</w:t>
      </w:r>
    </w:p>
    <w:p w14:paraId="24834047" w14:textId="77777777" w:rsidR="00C30D8A" w:rsidRPr="00C33834" w:rsidRDefault="00C30D8A"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lastRenderedPageBreak/>
        <w:t xml:space="preserve">Другим, более важным решением, стал вывод о необходимости изменения задания на более реальное для МАИ. В новом договоре (июнь 1933 г.) речь шла о постройке только одного самолёта, меньших размеров, о кругосветном перелёте уже не упоминалось. «В целях скорейшего и бесперебойного строительства самолёта МАИ обязуется пополнить имеющееся конструкторское бюро инженерно-техническими работниками, профессурой и аспирантами», — отмечалось в договоре </w:t>
      </w:r>
      <w:hyperlink r:id="rId81" w:history="1">
        <w:r w:rsidRPr="00C33834">
          <w:rPr>
            <w:rFonts w:ascii="Times New Roman" w:eastAsia="Times New Roman" w:hAnsi="Times New Roman"/>
            <w:color w:val="000000" w:themeColor="text1"/>
            <w:sz w:val="16"/>
            <w:szCs w:val="16"/>
            <w:lang w:eastAsia="ru-RU"/>
          </w:rPr>
          <w:t>[135]</w:t>
        </w:r>
      </w:hyperlink>
      <w:r w:rsidRPr="00C33834">
        <w:rPr>
          <w:rFonts w:ascii="Times New Roman" w:eastAsia="Times New Roman" w:hAnsi="Times New Roman"/>
          <w:color w:val="000000" w:themeColor="text1"/>
          <w:sz w:val="16"/>
          <w:szCs w:val="16"/>
          <w:lang w:eastAsia="ru-RU"/>
        </w:rPr>
        <w:t xml:space="preserve"> .</w:t>
      </w:r>
    </w:p>
    <w:p w14:paraId="5A459E63" w14:textId="77777777" w:rsidR="00C30D8A" w:rsidRPr="00C33834" w:rsidRDefault="00C30D8A"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Машина должна была быть готова к началу 1934 г. Затраты на завершение работ определили в 550 тыс. рублей, финансирование взяло на себя Главное управление ГВФ, затем — Главное управление авиационной промышленности.</w:t>
      </w:r>
    </w:p>
    <w:p w14:paraId="3BDA1774" w14:textId="77777777" w:rsidR="00C30D8A" w:rsidRPr="00C33834" w:rsidRDefault="00C30D8A"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Григорович так сформулировал назначение строящейся машины: «установление рекорда дальности полёта самолёта советской конструкции с советским мотором на основе покрытия большой дальности полёта при минимальном времени пребывания в воздухе с одновременным освоением в производстве и испытании новых элементов конструкции из нержавеющей стали по принципу применения электросварки» </w:t>
      </w:r>
      <w:hyperlink r:id="rId82" w:history="1">
        <w:r w:rsidRPr="00C33834">
          <w:rPr>
            <w:rFonts w:ascii="Times New Roman" w:eastAsia="Times New Roman" w:hAnsi="Times New Roman"/>
            <w:color w:val="000000" w:themeColor="text1"/>
            <w:sz w:val="16"/>
            <w:szCs w:val="16"/>
            <w:lang w:eastAsia="ru-RU"/>
          </w:rPr>
          <w:t>[136]</w:t>
        </w:r>
      </w:hyperlink>
      <w:r w:rsidRPr="00C33834">
        <w:rPr>
          <w:rFonts w:ascii="Times New Roman" w:eastAsia="Times New Roman" w:hAnsi="Times New Roman"/>
          <w:color w:val="000000" w:themeColor="text1"/>
          <w:sz w:val="16"/>
          <w:szCs w:val="16"/>
          <w:lang w:eastAsia="ru-RU"/>
        </w:rPr>
        <w:t xml:space="preserve"> . Таким образом, самолёт предназначался для установления скоростного рекорда дальности, с прицелом на использование этих наработок при создании дальнего бомбардировщика.</w:t>
      </w:r>
    </w:p>
    <w:p w14:paraId="38C28EAA" w14:textId="77777777" w:rsidR="00C30D8A" w:rsidRPr="00C33834" w:rsidRDefault="00C30D8A"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расширенное конструкторское бюро вошли студенты П.Д. Грушин, М.М. Пашинин, Л.П. Курбала, В.А. Федулов, А.П. Щекин и другие. Расчёты на прочность выполнил В.Д. Яровицкий. С появлением в МАИ учебно-производственных мастерских изготовлением самолёта руководил С.М. Беляйкин.</w:t>
      </w:r>
    </w:p>
    <w:p w14:paraId="1AE7DB37" w14:textId="77777777" w:rsidR="00C30D8A" w:rsidRPr="00C33834" w:rsidRDefault="00C30D8A"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«ОСО-МАИ» представлял собой одномоторный низкоплан с трапециевидным крылом однолонжеронной конструкции. Относительная толщина профиля была 16 %. В крыле размещались топливные баки. Крыло — свободнонесущей схемы, горизонтальное оперение — с подкосами. Фюзеляж — полумонокок овального сечения, с двухместной кабиной, закрытой общим фонарём. Кресла пилотов имели откидные спинки и были оборудованы таким образом, чтобы экипаж мог отдыхать в полёте. Посадка в самолёт осуществлялась через дверцы в фонаре. При необходимости экипаж мог быть увеличен до трёх человек — для этого за кабиной оборудовали небольшой отсек с иллюминаторами в боковых стенках фюзеляжа.</w:t>
      </w:r>
    </w:p>
    <w:p w14:paraId="4BD17D16" w14:textId="77777777" w:rsidR="00C30D8A" w:rsidRPr="00C33834" w:rsidRDefault="00C30D8A"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При изготовлении каркаса планера использовали опыт постройки «Сталь-2» А.И. Путилова. Основным материалом служила сталь «Энерж-6», из дюраля были только капот двигателя, элероны и хвостовое оперение. Рулевые поверхности имели полотняную обшивку. Винт — деревянный. Практически вся конструкция фюзеляжа, крыла и оперения из катаных листовых профилей была соединена точечной и роликовой электросваркой, обшивка крыла и фюзеляжа сделана из листа толщиной 0,2–0,3 мм с частыми отбортовками (рифтами или зигами) с шагом 80 мм. В.Б. Шавров пишет, что тонкая стальная обшивка образовывала многочисленные мелкие неровности на поверхности фюзеляжа </w:t>
      </w:r>
      <w:hyperlink r:id="rId83" w:history="1">
        <w:r w:rsidRPr="00C33834">
          <w:rPr>
            <w:rFonts w:ascii="Times New Roman" w:eastAsia="Times New Roman" w:hAnsi="Times New Roman"/>
            <w:color w:val="000000" w:themeColor="text1"/>
            <w:sz w:val="16"/>
            <w:szCs w:val="16"/>
            <w:lang w:eastAsia="ru-RU"/>
          </w:rPr>
          <w:t>[137]</w:t>
        </w:r>
      </w:hyperlink>
      <w:r w:rsidRPr="00C33834">
        <w:rPr>
          <w:rFonts w:ascii="Times New Roman" w:eastAsia="Times New Roman" w:hAnsi="Times New Roman"/>
          <w:color w:val="000000" w:themeColor="text1"/>
          <w:sz w:val="16"/>
          <w:szCs w:val="16"/>
          <w:lang w:eastAsia="ru-RU"/>
        </w:rPr>
        <w:t xml:space="preserve"> .</w:t>
      </w:r>
    </w:p>
    <w:p w14:paraId="3EB87FFF" w14:textId="77777777" w:rsidR="00C30D8A" w:rsidRPr="00C33834" w:rsidRDefault="00C30D8A"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Силовая установка — двигатель М-34Р с номинальной мощностью 750 л. с. Ранее он экспонировался на выставке, поэтому отличался особой тщательностью отделки (возможно, первоначально это был макетный вариант, полученный для проведения увязочных работ по винтомоторной группе) (17489).</w:t>
      </w:r>
    </w:p>
    <w:p w14:paraId="47132CA8" w14:textId="77777777" w:rsidR="00C30D8A" w:rsidRPr="00C33834" w:rsidRDefault="00C30D8A" w:rsidP="00C33834">
      <w:pPr>
        <w:spacing w:after="0" w:line="240" w:lineRule="auto"/>
        <w:jc w:val="both"/>
        <w:rPr>
          <w:rFonts w:ascii="Times New Roman" w:eastAsia="Times New Roman" w:hAnsi="Times New Roman"/>
          <w:color w:val="000000" w:themeColor="text1"/>
          <w:sz w:val="16"/>
          <w:szCs w:val="16"/>
          <w:lang w:eastAsia="ru-RU"/>
        </w:rPr>
      </w:pPr>
    </w:p>
    <w:p w14:paraId="45A50CC3" w14:textId="77777777" w:rsidR="00C30D8A" w:rsidRPr="00C33834" w:rsidRDefault="00C30D8A"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феврале 1933 года производство БОК-1, который с конца 1932 строился на заводе опытных конструкций ЦАГИ, перевели на московский авиазавод № 39, где незадолго до этого изготовили гермокабину стратостата «СССР-1». Туда же, на завод № 39, перебрался коллектив БОК.</w:t>
      </w:r>
    </w:p>
    <w:p w14:paraId="67E7659C" w14:textId="77777777" w:rsidR="00C30D8A" w:rsidRPr="00C33834" w:rsidRDefault="00C30D8A"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Большую часть приборного оборудования для БОК-1 приобрели за границей, на это было выделено 15 тыс. золотых рублей. Обсуждался вопрос о заказе у французской фирмы «Рато» турбонагнетателей — устройств, основанных на использовании турбины, вращающейся в потоке выхлопных газов. В отличие от обычных нагнетателей с приводом от двигателя, турбонагнетатель почти не потреблял мощности, однако вращающаяся со скоростью до 25 тыс. оборотов в минуту и раскаляющаяся в потоке горячих газов до температуры 800 °C крыльчатка требовала специальных конструкционных материалов, которые ещё не были созданы. Из-за ненадёжности турбин «Рато» и отсутствия собственных наработок пришлось отказаться от этой идеи.</w:t>
      </w:r>
    </w:p>
    <w:p w14:paraId="33320A88" w14:textId="77777777" w:rsidR="00C30D8A" w:rsidRPr="00C33834" w:rsidRDefault="00C30D8A"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При проектировании и постройке БОК-1 нужно было решить множество новых задач: создать гермокабину самолётного типа, обеспечить герметичность проводки тяг из кабины к рулям самолёта и двигателю, предотвратить запотевание и обмерзание стёкол в полёте, обеспечить нормальные температурные условия для экипажа и др. Но главной проблемой оставался двигатель — специалистам ЦИАМ никак не удавалось сконструировать двухступенчатый нагнетатель. Тогда было получено разрешение на постройку и испытания самолёта с мотором М-34 с одноступенчатым нагнетателем. На рекордную высоту рассчитывать не приходилось, зато можно было проверить работу системы жизнеобеспечения экипажа. Испытания наметили провести в октябре 1934 г., а в следующем году заменить мотор и осуществить полёты на близких к стратосфере высотах </w:t>
      </w:r>
      <w:hyperlink r:id="rId84" w:history="1">
        <w:r w:rsidRPr="00C33834">
          <w:rPr>
            <w:rFonts w:ascii="Times New Roman" w:eastAsia="Times New Roman" w:hAnsi="Times New Roman"/>
            <w:color w:val="000000" w:themeColor="text1"/>
            <w:sz w:val="16"/>
            <w:szCs w:val="16"/>
            <w:lang w:eastAsia="ru-RU"/>
          </w:rPr>
          <w:t>[166]</w:t>
        </w:r>
      </w:hyperlink>
      <w:r w:rsidRPr="00C33834">
        <w:rPr>
          <w:rFonts w:ascii="Times New Roman" w:eastAsia="Times New Roman" w:hAnsi="Times New Roman"/>
          <w:color w:val="000000" w:themeColor="text1"/>
          <w:sz w:val="16"/>
          <w:szCs w:val="16"/>
          <w:lang w:eastAsia="ru-RU"/>
        </w:rPr>
        <w:t xml:space="preserve"> .</w:t>
      </w:r>
    </w:p>
    <w:p w14:paraId="21CADCB9" w14:textId="77777777" w:rsidR="00C30D8A" w:rsidRPr="00C33834" w:rsidRDefault="00C30D8A"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Но и эти сроки не удалось выдержать. Из-за того, что 39-му заводу поручили осваивать серийный выпуск скоростных истребителей И-16, БОК вместе с недостроенным высотным самолётом летом 1934 г. перевели на смоленский авиаремонтный завод № 35, выделив для работы один из цехов. Обустройство на новом месте проходило непросто — не хватало опытных кадров, технологического оборудования, материалов. Первое время к станкам даже не был подведён ток. Неудивительно, что БОК-1 удалось построить только в конце 1935 г. Таким образом, изготовление первого советского стратоплана растянулась на три года (17489).</w:t>
      </w:r>
    </w:p>
    <w:p w14:paraId="7E826C76" w14:textId="77777777" w:rsidR="00C30D8A" w:rsidRPr="00C33834" w:rsidRDefault="00C30D8A" w:rsidP="00C33834">
      <w:pPr>
        <w:spacing w:after="0" w:line="240" w:lineRule="auto"/>
        <w:jc w:val="both"/>
        <w:rPr>
          <w:rFonts w:ascii="Times New Roman" w:eastAsia="Times New Roman" w:hAnsi="Times New Roman"/>
          <w:color w:val="000000" w:themeColor="text1"/>
          <w:sz w:val="16"/>
          <w:szCs w:val="16"/>
          <w:lang w:eastAsia="ru-RU"/>
        </w:rPr>
      </w:pPr>
    </w:p>
    <w:p w14:paraId="6C87E11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В.А.Чижевского назначили начальником бригады 3 ЦКБ завода 39 (95,22).</w:t>
      </w:r>
    </w:p>
    <w:p w14:paraId="33D3949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Похоже, группа С.В.Ильюшина подмяла под себя бригаду N 3 (БОК с В.А.Чижевским), однако, та была занята гондолой. С.В.Ильюшин лично принял участие в проектировании гондолы (правительство хотело запустить стратостат к сентябрю 1993 г.) и усилил группу В.А.Чижевского (95,22).</w:t>
      </w:r>
    </w:p>
    <w:p w14:paraId="56F7245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623AEBA2" w14:textId="77777777" w:rsidR="004C24F7" w:rsidRPr="00C33834" w:rsidRDefault="004C24F7"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с согласия начальника ГУАП П.И.Баранова, в рамках ЦКБ С.В.И. создал небольшую собственную группу. Она начала предварительную проработку нескольких проектов, з том числе двухмоторного ближнего бомбардировщика (6474).</w:t>
      </w:r>
    </w:p>
    <w:p w14:paraId="096E9C9E" w14:textId="77777777" w:rsidR="004C24F7" w:rsidRPr="00C33834" w:rsidRDefault="004C24F7"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7B090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года Бригада № 6, бывшее БОК, перешла на завод № 39, где слившись с личным составом Бюро новых конструкций (БНК), вошла в состав Центрального КБ завода № 39 в качестве бригады № 3 (экспериментальных самолетов).</w:t>
      </w:r>
    </w:p>
    <w:p w14:paraId="521725A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Слияние это наряду с положительным моментом – рост состава Бригады до 80-ти человек, имело и отрицательную сторону, так как мало сработанный и недисциплинированный состав БНК и различные системы, по которым работала Бригада в ЦАГИ и конструктора БНК, привело к целому ряду болезненных явлений в Бригаде: текучесть, различные настроения, падение дисциплины и т.п. Благодаря уволнения ряда лиц и большой работе, проделанной общественными организациями явления эти были изжиты.</w:t>
      </w:r>
    </w:p>
    <w:p w14:paraId="5D0BF06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Другим большим минусом перевода на завод № 39 было то, что Бригаде пришлось вновь готовить все комплекты чертежей по самолетам РК и СС для сдачи в производство завода № 39, часть из них переделывая применительно к новым обозначениям, отличным от тех, которые применялись в ЦАГИ.</w:t>
      </w:r>
    </w:p>
    <w:p w14:paraId="2E12618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Сами самолеты в виде заготовок и недоделанных агрегатов были перевезены из ЦАГИ на завод № 39 (7508, 54-58).</w:t>
      </w:r>
    </w:p>
    <w:p w14:paraId="123373A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переходе из ЦАГИ на завод № 39, начальником ЦКБ С.В.И. указывалось, что самолеты Бригады № 3 включаются в общий план на равных основаниях с другими машинами. Однако, практика показала совсем другое. Острая необходимость в скорейшем получении истребителей и разведчиков, заставила поставить работы по самолетам ЦКБ 2,5, 9 во вторую и даже третью очередь, результатом чего явилось перманентное сдвигание срока выпуска самолетов в воздух и до настоящего времени ни один самолет не закончен. Лишь благодаря сильному нажиму на производство удалось в 1933 году закончить гондолу стратостата "СССР", который совершил свой известный полет 30 сентября 1933 года (7508, 54-58).</w:t>
      </w:r>
    </w:p>
    <w:p w14:paraId="5AE85C5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1F2BD99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года новым указанием ГУАПа заводу № 39 было предписано вновь вернуться к опытному самолетостроению и организовать одновременно производство малых серий.</w:t>
      </w:r>
    </w:p>
    <w:p w14:paraId="70482B9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только с 1937 года за заводом закрепляется серийное производство самолетов и с этого года начинается его соответствующая реконструкция, не завершенная еще и на сегодняшний день (9241).</w:t>
      </w:r>
    </w:p>
    <w:p w14:paraId="1BBDD5C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5CBE8EC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вышло постановление Правительства о выделении Р-6 полярникам (2766,39).</w:t>
      </w:r>
    </w:p>
    <w:p w14:paraId="15793D1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3DFEE37B"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феврале 1933 года была подготовлена докладная записка начальника Главного управления авиационной промышленности (ГУАП) СССР П.И. Баранова, направленная на имя наркомвоенмора К.Е. Ворошилова и наркома тяжелой промышленности Г.К. Орджоникидзе, согласно которой на заводе № 26 в Рыбинске были выявлены и обезврежены члены разведывательной организации рейхсвера «Reichswehr-Kraftfahrertruppe» (РГВА. Ф. 4. Оп. 14. Д. 709. Л. 2.) (21412).</w:t>
      </w:r>
    </w:p>
    <w:p w14:paraId="7669CC1C" w14:textId="77777777" w:rsidR="00E7157B" w:rsidRPr="00C33834" w:rsidRDefault="00E7157B" w:rsidP="00C33834">
      <w:pPr>
        <w:spacing w:after="0" w:line="240" w:lineRule="auto"/>
        <w:jc w:val="both"/>
        <w:rPr>
          <w:rFonts w:ascii="Times New Roman" w:hAnsi="Times New Roman"/>
          <w:color w:val="0070C0"/>
          <w:sz w:val="16"/>
          <w:szCs w:val="16"/>
        </w:rPr>
      </w:pPr>
    </w:p>
    <w:p w14:paraId="672892E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г. собрали второй экземпляр М-58, а чуть позже третий, облегченный. С апреля 1933 г. двигатель включили в государственный план опытно-конструкторских работ. На последующих опытных образцах ввели вы</w:t>
      </w:r>
      <w:r w:rsidRPr="00C33834">
        <w:rPr>
          <w:rFonts w:ascii="Times New Roman" w:hAnsi="Times New Roman"/>
          <w:color w:val="000000" w:themeColor="text1"/>
          <w:sz w:val="16"/>
          <w:szCs w:val="16"/>
        </w:rPr>
        <w:softHyphen/>
        <w:t>хлоп назад, а не вбок, усилили головки цилиндров, раздвинули гнезда под свечи, заменили воздушное охлаждение выхлопных клапанов натрие</w:t>
      </w:r>
      <w:r w:rsidRPr="00C33834">
        <w:rPr>
          <w:rFonts w:ascii="Times New Roman" w:hAnsi="Times New Roman"/>
          <w:color w:val="000000" w:themeColor="text1"/>
          <w:sz w:val="16"/>
          <w:szCs w:val="16"/>
        </w:rPr>
        <w:softHyphen/>
        <w:t>вым, усилили шатуны и крепления противовесов коленвала. В связи с ненадежной работой ПЦН перешли к уменьшенному наддуву, для чего уменьшили обороты крыльчатки и ее диаметр. Одновременно с этим вме</w:t>
      </w:r>
      <w:r w:rsidRPr="00C33834">
        <w:rPr>
          <w:rFonts w:ascii="Times New Roman" w:hAnsi="Times New Roman"/>
          <w:color w:val="000000" w:themeColor="text1"/>
          <w:sz w:val="16"/>
          <w:szCs w:val="16"/>
        </w:rPr>
        <w:softHyphen/>
        <w:t>сто переднего подшипника скольжения смонтировали роликовый. В таком виде мотор М-58МН с апреля 1934 г. проходил стендовые испытания. В апреле — мае его испытывали без наддува, а в июле — августе двига</w:t>
      </w:r>
      <w:r w:rsidRPr="00C33834">
        <w:rPr>
          <w:rFonts w:ascii="Times New Roman" w:hAnsi="Times New Roman"/>
          <w:color w:val="000000" w:themeColor="text1"/>
          <w:sz w:val="16"/>
          <w:szCs w:val="16"/>
        </w:rPr>
        <w:softHyphen/>
        <w:t>тель прошел 50-часовые заводские испытания с ПЦН. В сентябре того же года М-58МН проходил государственные испытания. Выявлены поломки привода ПЦН, обрывы клапанов, трещины картера, поломки поршневых колец и клапанных пружин. В 1934 г. предлагалось выпустить малую се</w:t>
      </w:r>
      <w:r w:rsidRPr="00C33834">
        <w:rPr>
          <w:rFonts w:ascii="Times New Roman" w:hAnsi="Times New Roman"/>
          <w:color w:val="000000" w:themeColor="text1"/>
          <w:sz w:val="16"/>
          <w:szCs w:val="16"/>
        </w:rPr>
        <w:softHyphen/>
        <w:t>рию из 15-20 М-58МН. Один из моторов этой модификации в октябре 1935 г. на заводе № 22 в Горьком установили на самолет УТИ-3. С 30 ноября 1935 г. по 25 мая 1936 г. он испытывался в НИИ ВВС. В Запорожье готовили модификацию М-58Н с полным наддувом. Опыт</w:t>
      </w:r>
      <w:r w:rsidRPr="00C33834">
        <w:rPr>
          <w:rFonts w:ascii="Times New Roman" w:hAnsi="Times New Roman"/>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1A98D767"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Характеристики:</w:t>
      </w:r>
    </w:p>
    <w:p w14:paraId="748C4D53"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9-цилиндровый, звездообразный, четырехтактный, воздушного охлаж</w:t>
      </w:r>
      <w:r w:rsidRPr="00C33834">
        <w:rPr>
          <w:rFonts w:ascii="Times New Roman" w:hAnsi="Times New Roman"/>
          <w:color w:val="000000" w:themeColor="text1"/>
          <w:sz w:val="16"/>
          <w:szCs w:val="16"/>
        </w:rPr>
        <w:softHyphen/>
        <w:t>дения, безредукторный, с одноступенчатым односкоростным ПЦН;</w:t>
      </w:r>
    </w:p>
    <w:p w14:paraId="457F7139"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диаметр цилиндра/ход поршня 160/190 мм;</w:t>
      </w:r>
    </w:p>
    <w:p w14:paraId="45276C27"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объем 34,4 л;</w:t>
      </w:r>
    </w:p>
    <w:p w14:paraId="146CE2D8"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степень сжатия 5,5;</w:t>
      </w:r>
    </w:p>
    <w:p w14:paraId="304747AB"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мощность по проекту 630/800 л.с., реально 630/785 л.с.;</w:t>
      </w:r>
    </w:p>
    <w:p w14:paraId="399544B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вес в зависимости от модификации. Известны модификации:</w:t>
      </w:r>
    </w:p>
    <w:p w14:paraId="2E7AC36E"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М-58Н</w:t>
      </w:r>
    </w:p>
    <w:p w14:paraId="36A8125A"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М-58, три первых опытных экземпляра с полным наддувом, 630/680 л.с., вес 445^450 кг.</w:t>
      </w:r>
    </w:p>
    <w:p w14:paraId="68D4D3CB"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М-58МН, последующие два (возможно, три) образца с уменьшенным наддувом. Мощность 630/785 л.с., вес 465^476 кг.</w:t>
      </w:r>
    </w:p>
    <w:p w14:paraId="47CE0F6D"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М-58Н, отличался от М-58МН передачей к ПЦН, крыльчаткой и диф</w:t>
      </w:r>
      <w:r w:rsidRPr="00C33834">
        <w:rPr>
          <w:rFonts w:ascii="Times New Roman" w:hAnsi="Times New Roman"/>
          <w:color w:val="000000" w:themeColor="text1"/>
          <w:sz w:val="16"/>
          <w:szCs w:val="16"/>
        </w:rPr>
        <w:softHyphen/>
        <w:t>фузором.</w:t>
      </w:r>
    </w:p>
    <w:p w14:paraId="4732AC0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7DFE63CD"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47B8D1"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фев</w:t>
      </w:r>
      <w:r w:rsidRPr="00C33834">
        <w:rPr>
          <w:rFonts w:ascii="Times New Roman" w:hAnsi="Times New Roman"/>
          <w:color w:val="000000" w:themeColor="text1"/>
          <w:sz w:val="16"/>
          <w:szCs w:val="16"/>
        </w:rPr>
        <w:softHyphen/>
        <w:t>раля 1933 г. в Отделе бен</w:t>
      </w:r>
      <w:r w:rsidRPr="00C33834">
        <w:rPr>
          <w:rFonts w:ascii="Times New Roman" w:hAnsi="Times New Roman"/>
          <w:color w:val="000000" w:themeColor="text1"/>
          <w:sz w:val="16"/>
          <w:szCs w:val="16"/>
        </w:rPr>
        <w:softHyphen/>
        <w:t>зиновых двигателей НИИ АД ГВФ под руководством М.А. Коссова разрабатывался МГ-50 - самый мощный двигатель семейства МГ. Опытный образец не изготавливался.</w:t>
      </w:r>
    </w:p>
    <w:p w14:paraId="118A01D2"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Характеристики:</w:t>
      </w:r>
    </w:p>
    <w:p w14:paraId="76748B3C"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18-цилиндровый, двухрядный звездообразный, воздушного охлаждения, четырехтактный, редукторный;</w:t>
      </w:r>
    </w:p>
    <w:p w14:paraId="700E749B"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объем 31,0 л;</w:t>
      </w:r>
    </w:p>
    <w:p w14:paraId="759C493A"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диаметр цилиндра/ход поршня 125/140 мм;</w:t>
      </w:r>
    </w:p>
    <w:p w14:paraId="07B23E12"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мощность 800/950 л.с. Предназначался для самолета АНТ-14 (11852).</w:t>
      </w:r>
    </w:p>
    <w:p w14:paraId="5C03DFBA"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AABC5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года начальник Главного управления авиационной промышленности (ГУАП) СССР П.И. Баранов направил на имя наркомвоенмора К.Е. Ворошилова и наркома тяжелой промышленности Г.К. Орджоникидзе докладную записку, согласно которой на заводе № 26 были выявлены и обезврежены члены разведывательной организации рейхсвера «Reichswehr-Kraftfahrertruppe» (РГВА. Ф. 4. Оп. 14. Д. 709. Л. 2.). На 26-м моторостроительном заводе в Рыбинске работали до 100 германских и австрийских рабочих, техников и инженеров (РГВА. Ф. 4. Оп. 14. Д. 709. Л. 1—12.), среди которых были люди, ранее работавшие в фирме «Юнкерс»: Демак — конструктор авиационных тормозов; Эйхлер — специалист по монтажу; Геннинг — авиационный специалист; Эбеминг — формовщик по алюминию. В документах также упоминаются другие немецкие представители, в частности М. Бреннер — руководитель иностранного отдела завода и Ф. Вольфрам — слесарь высокой квалификации. Однако, судя по документам, либо квалификация приехавших в СССР специалистов в целом не отвечала тому, что от них ожидалось, либо работали они с прохладцей. Моторы, над которыми они трудились, имели столь большое количество дефектов, что их приходилось дорабатывать в Центральном авиамоторном институте. В последующие годы представители Главного управления ВВС Красной армии стали постепенно отказываться от услуг западных инженеров и конструкторов. Общая военно-политическая нестабильность в Европе, обстановка подозрительности и репрессии в стране не позволили советскому военному руководству развивать данное направление военно-технического сотрудничества с Западом. Но пройдут годы, отгремит война, и снова немецкие инженеры и конструкторы, попавшие в плен или отправленные из Германии в СССР, будут работать в интересах советских ВВС, но уже под покровом строжайшей секретности (11173).</w:t>
      </w:r>
    </w:p>
    <w:p w14:paraId="0007F9F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4D0C966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февралю 1933 Л.П.Курчевский изготовил опытный образец АПК-8 100 мм. Вес - 375-400 кг, основной выстрел - 8-8ю2 кг стержневая шрапнель, заряд - 2.1 кг. Скорострельность 25 выстрелов, дальность 8-10 км (3996, 103).</w:t>
      </w:r>
    </w:p>
    <w:p w14:paraId="76F3A17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7B8595AF"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г. в Ленинграде было организовано Специальное сна</w:t>
      </w:r>
      <w:r w:rsidRPr="00C33834">
        <w:rPr>
          <w:rFonts w:ascii="Times New Roman" w:hAnsi="Times New Roman"/>
          <w:color w:val="000000" w:themeColor="text1"/>
          <w:sz w:val="16"/>
          <w:szCs w:val="16"/>
        </w:rPr>
        <w:softHyphen/>
        <w:t>рядное бюро ССБ ГВМУ с чисто технологическими задачами по произ</w:t>
      </w:r>
      <w:r w:rsidRPr="00C33834">
        <w:rPr>
          <w:rFonts w:ascii="Times New Roman" w:hAnsi="Times New Roman"/>
          <w:color w:val="000000" w:themeColor="text1"/>
          <w:sz w:val="16"/>
          <w:szCs w:val="16"/>
        </w:rPr>
        <w:softHyphen/>
        <w:t>водству артбоеприпасов морской и береговой артиллерии. В 1936 г. оно было переименовано в КБ-28 Н КОП и несколько расширило круг своей научной деятельности. В частности, ее группа №5 занималась исследованиями, проектированием и изготовлением опытных образцов морских бронебойных и бетонобойных авиабомб. В 1937 г. КБ-28 ликвидировали в состав Московского НИИ-24 на правах филиала. В 1939 г. по-БРАВ и БЕТАБ шести различных калибров, специалисты группы № 5 разрабатывали авиабомбы по 14 различным темам. В группе № 5 всего 8 инженеров вели всю работу. Начальник группы Пикулев, старшие инженеры Шлеймер, Груздев, Савицкий, инженеры Гинзбург, Казачков, Кренов и Саханович. Кроме того, конструктор Федорова и техник Переборова.</w:t>
      </w:r>
    </w:p>
    <w:p w14:paraId="4ECC63C4"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Таблица 4.4 Расчетные данные 1936 г. по бетонобойным ракетным авиабомбам (для высоты бомбометания 2000 м)</w:t>
      </w:r>
    </w:p>
    <w:tbl>
      <w:tblPr>
        <w:tblW w:w="0" w:type="auto"/>
        <w:tblInd w:w="40" w:type="dxa"/>
        <w:tblLayout w:type="fixed"/>
        <w:tblCellMar>
          <w:left w:w="40" w:type="dxa"/>
          <w:right w:w="40" w:type="dxa"/>
        </w:tblCellMar>
        <w:tblLook w:val="0000" w:firstRow="0" w:lastRow="0" w:firstColumn="0" w:lastColumn="0" w:noHBand="0" w:noVBand="0"/>
      </w:tblPr>
      <w:tblGrid>
        <w:gridCol w:w="986"/>
        <w:gridCol w:w="526"/>
        <w:gridCol w:w="526"/>
        <w:gridCol w:w="533"/>
        <w:gridCol w:w="1534"/>
        <w:gridCol w:w="1786"/>
      </w:tblGrid>
      <w:tr w:rsidR="00F26F01" w:rsidRPr="00C33834" w14:paraId="53B4F0AB" w14:textId="77777777">
        <w:trPr>
          <w:trHeight w:val="245"/>
        </w:trPr>
        <w:tc>
          <w:tcPr>
            <w:tcW w:w="986" w:type="dxa"/>
            <w:tcBorders>
              <w:top w:val="single" w:sz="6" w:space="0" w:color="auto"/>
              <w:left w:val="single" w:sz="6" w:space="0" w:color="auto"/>
              <w:bottom w:val="nil"/>
              <w:right w:val="single" w:sz="6" w:space="0" w:color="auto"/>
            </w:tcBorders>
          </w:tcPr>
          <w:p w14:paraId="121C4686"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Калибр.</w:t>
            </w:r>
          </w:p>
          <w:p w14:paraId="61CA40DE"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 м/кг</w:t>
            </w:r>
          </w:p>
          <w:p w14:paraId="27277BB6"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5" w:type="dxa"/>
            <w:gridSpan w:val="3"/>
            <w:tcBorders>
              <w:top w:val="single" w:sz="6" w:space="0" w:color="auto"/>
              <w:left w:val="single" w:sz="6" w:space="0" w:color="auto"/>
              <w:bottom w:val="single" w:sz="6" w:space="0" w:color="auto"/>
              <w:right w:val="single" w:sz="6" w:space="0" w:color="auto"/>
            </w:tcBorders>
          </w:tcPr>
          <w:p w14:paraId="30C1C0A5"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Масса, кг</w:t>
            </w:r>
          </w:p>
          <w:p w14:paraId="14085761"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4" w:type="dxa"/>
            <w:tcBorders>
              <w:top w:val="single" w:sz="6" w:space="0" w:color="auto"/>
              <w:left w:val="single" w:sz="6" w:space="0" w:color="auto"/>
              <w:bottom w:val="nil"/>
              <w:right w:val="single" w:sz="6" w:space="0" w:color="auto"/>
            </w:tcBorders>
          </w:tcPr>
          <w:p w14:paraId="1F0CEB1F"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при ударе в преграду, м/с</w:t>
            </w:r>
          </w:p>
          <w:p w14:paraId="4DA4D7A8"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nil"/>
              <w:right w:val="single" w:sz="6" w:space="0" w:color="auto"/>
            </w:tcBorders>
          </w:tcPr>
          <w:p w14:paraId="47F2283D"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Толщина пробиваемого железобетона, м</w:t>
            </w:r>
          </w:p>
          <w:p w14:paraId="2FFE8EB1"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1F1330D" w14:textId="77777777">
        <w:trPr>
          <w:trHeight w:val="209"/>
        </w:trPr>
        <w:tc>
          <w:tcPr>
            <w:tcW w:w="986" w:type="dxa"/>
            <w:tcBorders>
              <w:top w:val="nil"/>
              <w:left w:val="single" w:sz="6" w:space="0" w:color="auto"/>
              <w:bottom w:val="single" w:sz="6" w:space="0" w:color="auto"/>
              <w:right w:val="single" w:sz="6" w:space="0" w:color="auto"/>
            </w:tcBorders>
          </w:tcPr>
          <w:p w14:paraId="5F81BE3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0F6A3120"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77EB4B80"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БЧ</w:t>
            </w:r>
          </w:p>
          <w:p w14:paraId="18BC5428"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0BF53051"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w:t>
            </w:r>
          </w:p>
          <w:p w14:paraId="584B463A"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5AD1FEC1"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РЗ</w:t>
            </w:r>
          </w:p>
          <w:p w14:paraId="45270A3B"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4" w:type="dxa"/>
            <w:tcBorders>
              <w:top w:val="nil"/>
              <w:left w:val="single" w:sz="6" w:space="0" w:color="auto"/>
              <w:bottom w:val="single" w:sz="6" w:space="0" w:color="auto"/>
              <w:right w:val="single" w:sz="6" w:space="0" w:color="auto"/>
            </w:tcBorders>
          </w:tcPr>
          <w:p w14:paraId="05C0444A"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088FF8"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nil"/>
              <w:left w:val="single" w:sz="6" w:space="0" w:color="auto"/>
              <w:bottom w:val="single" w:sz="6" w:space="0" w:color="auto"/>
              <w:right w:val="single" w:sz="6" w:space="0" w:color="auto"/>
            </w:tcBorders>
          </w:tcPr>
          <w:p w14:paraId="2F87E2B4"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10E36B"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DF0DBEB" w14:textId="77777777">
        <w:trPr>
          <w:trHeight w:val="223"/>
        </w:trPr>
        <w:tc>
          <w:tcPr>
            <w:tcW w:w="986" w:type="dxa"/>
            <w:tcBorders>
              <w:top w:val="single" w:sz="6" w:space="0" w:color="auto"/>
              <w:left w:val="single" w:sz="6" w:space="0" w:color="auto"/>
              <w:bottom w:val="single" w:sz="6" w:space="0" w:color="auto"/>
              <w:right w:val="single" w:sz="6" w:space="0" w:color="auto"/>
            </w:tcBorders>
          </w:tcPr>
          <w:p w14:paraId="3D402F86"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203/160,00</w:t>
            </w:r>
          </w:p>
          <w:p w14:paraId="626BEB30"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612A8387"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97,91</w:t>
            </w:r>
          </w:p>
          <w:p w14:paraId="3704ABE2"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4942CEC6"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15,42</w:t>
            </w:r>
          </w:p>
          <w:p w14:paraId="23035B52"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52D32703"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18,00</w:t>
            </w:r>
          </w:p>
          <w:p w14:paraId="098C9036"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4" w:type="dxa"/>
            <w:tcBorders>
              <w:top w:val="single" w:sz="6" w:space="0" w:color="auto"/>
              <w:left w:val="single" w:sz="6" w:space="0" w:color="auto"/>
              <w:bottom w:val="single" w:sz="6" w:space="0" w:color="auto"/>
              <w:right w:val="single" w:sz="6" w:space="0" w:color="auto"/>
            </w:tcBorders>
          </w:tcPr>
          <w:p w14:paraId="70850D3B"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3B597151"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715D0504"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p w14:paraId="18966D6E"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36F7023" w14:textId="77777777">
        <w:trPr>
          <w:trHeight w:val="216"/>
        </w:trPr>
        <w:tc>
          <w:tcPr>
            <w:tcW w:w="986" w:type="dxa"/>
            <w:tcBorders>
              <w:top w:val="single" w:sz="6" w:space="0" w:color="auto"/>
              <w:left w:val="single" w:sz="6" w:space="0" w:color="auto"/>
              <w:bottom w:val="single" w:sz="6" w:space="0" w:color="auto"/>
              <w:right w:val="single" w:sz="6" w:space="0" w:color="auto"/>
            </w:tcBorders>
          </w:tcPr>
          <w:p w14:paraId="7C31A0BB"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254/355.39</w:t>
            </w:r>
          </w:p>
          <w:p w14:paraId="16F02863"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164A1A96"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252.38</w:t>
            </w:r>
          </w:p>
          <w:p w14:paraId="33EA9DF2"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4ABA2242"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31,52</w:t>
            </w:r>
          </w:p>
          <w:p w14:paraId="61C1138B"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4717A5F8"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3 1 .94</w:t>
            </w:r>
          </w:p>
          <w:p w14:paraId="7146F933"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4" w:type="dxa"/>
            <w:tcBorders>
              <w:top w:val="single" w:sz="6" w:space="0" w:color="auto"/>
              <w:left w:val="single" w:sz="6" w:space="0" w:color="auto"/>
              <w:bottom w:val="single" w:sz="6" w:space="0" w:color="auto"/>
              <w:right w:val="single" w:sz="6" w:space="0" w:color="auto"/>
            </w:tcBorders>
          </w:tcPr>
          <w:p w14:paraId="4AD31F20"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357</w:t>
            </w:r>
          </w:p>
          <w:p w14:paraId="205DE35F"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4CE877B2"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w:t>
            </w:r>
          </w:p>
          <w:p w14:paraId="0D44CCBF"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1101E64" w14:textId="77777777">
        <w:trPr>
          <w:trHeight w:val="245"/>
        </w:trPr>
        <w:tc>
          <w:tcPr>
            <w:tcW w:w="986" w:type="dxa"/>
            <w:tcBorders>
              <w:top w:val="single" w:sz="6" w:space="0" w:color="auto"/>
              <w:left w:val="single" w:sz="6" w:space="0" w:color="auto"/>
              <w:bottom w:val="single" w:sz="6" w:space="0" w:color="auto"/>
              <w:right w:val="single" w:sz="6" w:space="0" w:color="auto"/>
            </w:tcBorders>
          </w:tcPr>
          <w:p w14:paraId="052DC3C3"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350/1100,00</w:t>
            </w:r>
          </w:p>
          <w:p w14:paraId="47BBC989"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0A2F615E"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689,80</w:t>
            </w:r>
          </w:p>
          <w:p w14:paraId="56B70965"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46F05503"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61.30</w:t>
            </w:r>
          </w:p>
          <w:p w14:paraId="0CFA2E75"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74D4F439"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94,25</w:t>
            </w:r>
          </w:p>
          <w:p w14:paraId="28AA37FA"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4" w:type="dxa"/>
            <w:tcBorders>
              <w:top w:val="single" w:sz="6" w:space="0" w:color="auto"/>
              <w:left w:val="single" w:sz="6" w:space="0" w:color="auto"/>
              <w:bottom w:val="single" w:sz="6" w:space="0" w:color="auto"/>
              <w:right w:val="single" w:sz="6" w:space="0" w:color="auto"/>
            </w:tcBorders>
          </w:tcPr>
          <w:p w14:paraId="253242AB"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p w14:paraId="14347397"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3B4316B0"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w:t>
            </w:r>
          </w:p>
          <w:p w14:paraId="17CA2592"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26ABFB1"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Поскольку сочетание ракетного двигателя с БЧ проникающего типа резко повышало проникающую способность боеприпаса за счет приращения скорости, то ракетные авиабомбы обозначали литерами ДС (до</w:t>
      </w:r>
      <w:r w:rsidRPr="00C33834">
        <w:rPr>
          <w:rFonts w:ascii="Times New Roman" w:hAnsi="Times New Roman"/>
          <w:color w:val="000000" w:themeColor="text1"/>
          <w:sz w:val="16"/>
          <w:szCs w:val="16"/>
        </w:rPr>
        <w:softHyphen/>
        <w:t>полнительная скорость). По сравнению с обычными бронебойными и бетонобойными авиабомбами крупных калибров, они позволяли достичь равного результата либо при меньшей массе, либо при сохранении весовых характеристик значительно повысить эффект.</w:t>
      </w:r>
    </w:p>
    <w:p w14:paraId="7448A936"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ракетной авиабомбы на траектории запускался от дистанционной трубки ТМ-4Б, установленной в районе соплового среза подобно пиропатрону ракетного орудия РС. Время срабатывания трубки, как и в случае с ракетными снарядами, устанавливали на земле перед вылетом. Это несколько ограничивало диапазон высот бомбометания, поскольку наибольшего эффекта боеприпас достигал при максимальной дополнительной скорости непосредственно перед ударом в преграду. Таким образом, это оружие, по аналогии с РС, требовало достаточной тренированности летчиков. Хотя, по существу, это было просто «дежурное недовольство» летчиков, у которых любое ограничение режимов пикирования неизбежно вызывает сопротивление (11402).</w:t>
      </w:r>
    </w:p>
    <w:p w14:paraId="22907A80"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8C49E9"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 феврале 1933 года главный инженер Верфи Дирижаблестроя Воробьёв жаловался Нобиле:</w:t>
      </w:r>
    </w:p>
    <w:p w14:paraId="36FC34F4"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 xml:space="preserve">До </w:t>
      </w:r>
      <w:r w:rsidRPr="00C33834">
        <w:rPr>
          <w:rFonts w:ascii="Times New Roman" w:hAnsi="Times New Roman"/>
          <w:color w:val="0070C0"/>
          <w:sz w:val="16"/>
          <w:szCs w:val="16"/>
          <w:lang w:bidi="en-US"/>
        </w:rPr>
        <w:t>1/</w:t>
      </w:r>
      <w:r w:rsidRPr="00C33834">
        <w:rPr>
          <w:rFonts w:ascii="Times New Roman" w:hAnsi="Times New Roman"/>
          <w:color w:val="0070C0"/>
          <w:sz w:val="16"/>
          <w:szCs w:val="16"/>
          <w:lang w:val="en-US" w:bidi="en-US"/>
        </w:rPr>
        <w:t>II</w:t>
      </w:r>
      <w:r w:rsidRPr="00C33834">
        <w:rPr>
          <w:rFonts w:ascii="Times New Roman" w:hAnsi="Times New Roman"/>
          <w:color w:val="0070C0"/>
          <w:sz w:val="16"/>
          <w:szCs w:val="16"/>
          <w:lang w:bidi="en-US"/>
        </w:rPr>
        <w:t xml:space="preserve"> </w:t>
      </w:r>
      <w:r w:rsidRPr="00C33834">
        <w:rPr>
          <w:rFonts w:ascii="Times New Roman" w:hAnsi="Times New Roman"/>
          <w:color w:val="0070C0"/>
          <w:sz w:val="16"/>
          <w:szCs w:val="16"/>
          <w:lang w:eastAsia="ru-RU" w:bidi="ru-RU"/>
        </w:rPr>
        <w:t>- с. г. Техотделом было спущено за соответствующими подписями в механические мастерские 368 чертежей по дирижаблю 18.500 м.</w:t>
      </w:r>
    </w:p>
    <w:p w14:paraId="04884F28"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Приступив к проверке этих чертежей, мы вынуждены были все эти чертежи изъять из мастерских, ввиду множества недоделок, неправильностей, отсутствия размеров, неясности и т. д. Из этого числа 150 чертежей для исправления и нанесения этих исправлений на кальку были переданы непосредственно в контрольный отдел Конструкторского бюро, проверка остальных производится с нашим отделом подготовки производства. В исправлениях, дополнениях и пр. нуждаются 95 % этой группы чертежей.</w:t>
      </w:r>
    </w:p>
    <w:p w14:paraId="7C517530"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Далее следовали длинный перечень дефектов, обнаруживаемых в чертежах, и призыв:</w:t>
      </w:r>
    </w:p>
    <w:p w14:paraId="5C09B376"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Всё это заставляет обратиться к Вам с настоятельной просьбой - дать распоряжение по Констр. отделу Конструкторского бюро, чтобы чертежи выпускались им без вышеперечисленных дефектов, т. к. их наличие совершенно дезорганизует работу производственных отделов Верфи, вызывает крайнее её удорожание, вызывает излишние накладные расходы и проч.</w:t>
      </w:r>
    </w:p>
    <w:p w14:paraId="7B36ADF9"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 апреле того же года специальная проверка выявила, что 75 % чертежей кабины корабля 18500 нуждалось в исправлениях и если бы они были переданы в производство, то не меньше 30 % деталей оказались бы бракованными.</w:t>
      </w:r>
    </w:p>
    <w:p w14:paraId="7BBD302D"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 мае пришлось в срочном порядке переделывать 600 чертежей - около 15 % полного комплекта по кораблю.</w:t>
      </w:r>
    </w:p>
    <w:p w14:paraId="23EE1EF8"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Жалобы на ошибки и неточности, постоянное запаздывание с передачей чертежей в цеха продолжались до самого окончания постройки 18500 (23192).</w:t>
      </w:r>
    </w:p>
    <w:p w14:paraId="0126C3E0" w14:textId="77777777" w:rsidR="00E7157B" w:rsidRPr="00C33834" w:rsidRDefault="00E7157B" w:rsidP="00C33834">
      <w:pPr>
        <w:spacing w:after="0" w:line="240" w:lineRule="auto"/>
        <w:jc w:val="both"/>
        <w:rPr>
          <w:rFonts w:ascii="Times New Roman" w:hAnsi="Times New Roman"/>
          <w:color w:val="0070C0"/>
          <w:sz w:val="16"/>
          <w:szCs w:val="16"/>
        </w:rPr>
      </w:pPr>
    </w:p>
    <w:p w14:paraId="47350932"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 феврале 1933 года Н. Куйбышев, начальник Военно-морской инспекции НК РКИ, докладывал Сталину:</w:t>
      </w:r>
    </w:p>
    <w:p w14:paraId="58AE8C12"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 xml:space="preserve">...для Нобиле созданы такие условия, при которых он имеет возможность беспрепятственно выступать в роли защитника рабочего класса. Против кого - очевидно, против органов Советской власти. «Ваша страна - самая революционная страна в мире. У вас есть профсоюзы, обязанные защищать ваши интересы. Требуйте у них улучшения своего материального положения», - вот смысл одного из его выступлений. Имеется также приказ Нобиле, которым организуется специальная комиссия </w:t>
      </w:r>
      <w:r w:rsidRPr="00C33834">
        <w:rPr>
          <w:rFonts w:ascii="Times New Roman" w:hAnsi="Times New Roman"/>
          <w:color w:val="0070C0"/>
          <w:sz w:val="16"/>
          <w:szCs w:val="16"/>
          <w:lang w:eastAsia="ru-RU" w:bidi="ru-RU"/>
        </w:rPr>
        <w:lastRenderedPageBreak/>
        <w:t>с участием в ней секретаря парторганизации, с задачей проработки вопросов улучшения быта рабочих и служащих. Знаменательно и то, что считается совершенно нормальным, когда советские инженерно-технические работники ищут у Нобиле защиты своих прав или удовлетворения своих претензий. Одним словом, в Дирижаблестрое фашист-генерал Нобиле превратился из технического консультанта в политического руководителя.</w:t>
      </w:r>
    </w:p>
    <w:p w14:paraId="3B4069BA"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Нобиле повезло: тремя-четырьмя годами позже он получил бы обвинение в контрреволюционной деятельности. Но тогда, видимо, всё ограничилось строгим внушением Гольцману и самому Нобиле, и наверх доложили: «Решениями Президиума ЦКК и МК ВКП(б) это политически недопустимое положение выправлено». Больше «фашист-генерал» не лез в советскую политику (23192).</w:t>
      </w:r>
    </w:p>
    <w:p w14:paraId="3124E095" w14:textId="77777777" w:rsidR="00E7157B" w:rsidRPr="00C33834" w:rsidRDefault="00E7157B" w:rsidP="00C33834">
      <w:pPr>
        <w:spacing w:after="0" w:line="240" w:lineRule="auto"/>
        <w:jc w:val="both"/>
        <w:rPr>
          <w:rFonts w:ascii="Times New Roman" w:hAnsi="Times New Roman"/>
          <w:color w:val="0070C0"/>
          <w:sz w:val="16"/>
          <w:szCs w:val="16"/>
        </w:rPr>
      </w:pPr>
    </w:p>
    <w:p w14:paraId="6EC89010"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 феврале 1933 года к сборке эллинга всё ещё не приступили, зато развернулась дискуссия: а достаточно ли его высоты в 32,45 метра для проектируемого корабля 55000, имевшего расчётную высоту 30,7 метра, и не следует ли, пока не поздно, нарастить метр-другой? Нобиле, по чьей просьбе высоту эллинга уже увеличили примерно на два метра, считал, что делать ничего не нужно, да и поздно. Были и другие точки зрения, в том числе неожиданные: профессор Канищев предложил эллинг не увеличивать, зато сплюснуть сам дирижабль, сохранив его общий объём за счёт удлинения корпуса. Идея не прошла.</w:t>
      </w:r>
    </w:p>
    <w:p w14:paraId="1F4BB126"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Кроме того, на Долгопрудной сооружали не только эллинг: если судить по строительному плану базы на 1932 год, даже после его урезки плановиками ВОГВФ это действительно был «мини- Фридрихсхафен».</w:t>
      </w:r>
    </w:p>
    <w:p w14:paraId="35D7B1AF"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1/Эллинг - сборочный деревянный...</w:t>
      </w:r>
    </w:p>
    <w:p w14:paraId="2EC846DD"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2/Переброска Салюзского эллинга.</w:t>
      </w:r>
    </w:p>
    <w:p w14:paraId="54536047"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3/Переброска Бердичевского эллинга.</w:t>
      </w:r>
    </w:p>
    <w:p w14:paraId="1DA17563"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4/ Постройка механических мастерских.</w:t>
      </w:r>
    </w:p>
    <w:p w14:paraId="56211887"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5/ Постройка баллонных мастерских (без бодрюшных), что составляет 40 % от общих мастерских.</w:t>
      </w:r>
    </w:p>
    <w:p w14:paraId="4EB6CA69"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6/Постройка сборочного цеха при баллонной.</w:t>
      </w:r>
    </w:p>
    <w:p w14:paraId="557FF00A"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7/ Газовый завод.</w:t>
      </w:r>
    </w:p>
    <w:p w14:paraId="28289DEE"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8/ Коллекторное помещение.</w:t>
      </w:r>
    </w:p>
    <w:p w14:paraId="393F7553"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9/ Радиостанция.</w:t>
      </w:r>
    </w:p>
    <w:p w14:paraId="5284BE07"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10/ Склад воздушного имущества.</w:t>
      </w:r>
    </w:p>
    <w:p w14:paraId="497AFA52"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11/ Склад горючего.</w:t>
      </w:r>
    </w:p>
    <w:p w14:paraId="0DE1E539"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12/ Конструкторское бюро.</w:t>
      </w:r>
    </w:p>
    <w:p w14:paraId="2E236F7C"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13/Воздухоплавательная школа.</w:t>
      </w:r>
    </w:p>
    <w:p w14:paraId="2078AF3B"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14/Постройка временного эллинга.</w:t>
      </w:r>
    </w:p>
    <w:p w14:paraId="50E73357"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15/ Постройка временного склада водородных труб.</w:t>
      </w:r>
    </w:p>
    <w:p w14:paraId="50A96054"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16/ Временный склад горючего.</w:t>
      </w:r>
    </w:p>
    <w:p w14:paraId="0CE15A8C"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17/ Постройка временного склада подсобного воздушного имущества.</w:t>
      </w:r>
    </w:p>
    <w:p w14:paraId="3C5B7325"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18/ Постройка временного склада для машин и аппаратов.</w:t>
      </w:r>
    </w:p>
    <w:p w14:paraId="1B5D1475"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19/Жилые дома 8-ми квартирные 10 шт.</w:t>
      </w:r>
    </w:p>
    <w:p w14:paraId="5CE680F4"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20/ Надстройка для квартир ИТР в Москве.</w:t>
      </w:r>
    </w:p>
    <w:p w14:paraId="11EDF02D"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21/Жел. - дор. ветка.</w:t>
      </w:r>
    </w:p>
    <w:p w14:paraId="7023B886"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22/Шоссейные дороги.</w:t>
      </w:r>
    </w:p>
    <w:p w14:paraId="256AE624"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23/ Пожарное депо.</w:t>
      </w:r>
    </w:p>
    <w:p w14:paraId="110BB77E"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24/ Столовая и кухня.</w:t>
      </w:r>
    </w:p>
    <w:p w14:paraId="098B0A09"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25/ Баня-прачечная.</w:t>
      </w:r>
    </w:p>
    <w:p w14:paraId="360CA3A8"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26/ Водонапорная башня.</w:t>
      </w:r>
    </w:p>
    <w:p w14:paraId="1DEF3A34"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27/Водопровод и канализация - 50 % от всей наружной сети.</w:t>
      </w:r>
    </w:p>
    <w:p w14:paraId="7D988C04"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28/ Временные сооружения стройорганизаций.</w:t>
      </w:r>
    </w:p>
    <w:p w14:paraId="60407F52"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Всё вместе взятое составляет сумму 4.497.000 руб. (23192).</w:t>
      </w:r>
    </w:p>
    <w:p w14:paraId="25614F06" w14:textId="77777777" w:rsidR="00E7157B" w:rsidRPr="00C33834" w:rsidRDefault="00E7157B" w:rsidP="00C33834">
      <w:pPr>
        <w:spacing w:after="0" w:line="240" w:lineRule="auto"/>
        <w:jc w:val="both"/>
        <w:rPr>
          <w:rFonts w:ascii="Times New Roman" w:hAnsi="Times New Roman"/>
          <w:color w:val="0070C0"/>
          <w:sz w:val="16"/>
          <w:szCs w:val="16"/>
        </w:rPr>
      </w:pPr>
    </w:p>
    <w:p w14:paraId="212151AE"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 феврале 1933 года завершить проектирование по дирижаблю 18.500 м конструкторскому бюро не удалось по обстоятельствам, от него не зависящим: Нобиле серьёзно заболел.</w:t>
      </w:r>
    </w:p>
    <w:p w14:paraId="1647320B"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Технического руководителя Дирижаблестроя экстренно прооперировали 28 февраля в Кремлёвской больнице, и несколько дней он находился между жизнью и смертью. Всё было настолько плохо, что в какой-то момент к нему даже пригласили из французского посольства католического священника. Однако, как и пять лет назад в Арктике, смерть отступила, и в начале мая Нобиле вернулся к работе.</w:t>
      </w:r>
    </w:p>
    <w:p w14:paraId="44577B74"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К августу конструкторы партию за партией передали в производство более чем 3500 чертежей - большую часть рабочего проекта. Только тогда проектирование можно было считать законченным, но лишь в основном: даже к концу года объём невыполненных конструкторских работ всё ещё составлял около 10 %.</w:t>
      </w:r>
    </w:p>
    <w:p w14:paraId="6B27F877"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Вместо двух месяцев, запланированных прошлой весной, проектирование заняло двенадцать. О том, чтобы выпустить дирижабль к намеченной дате - 1 октября, нечего было и говорить, и срок сдвинули на 1 октября следующего, 1934-го года (23192).</w:t>
      </w:r>
    </w:p>
    <w:p w14:paraId="7773D993" w14:textId="77777777" w:rsidR="00E7157B" w:rsidRPr="00C33834" w:rsidRDefault="00E7157B" w:rsidP="00C33834">
      <w:pPr>
        <w:spacing w:after="0" w:line="240" w:lineRule="auto"/>
        <w:jc w:val="both"/>
        <w:rPr>
          <w:rFonts w:ascii="Times New Roman" w:hAnsi="Times New Roman"/>
          <w:color w:val="0070C0"/>
          <w:sz w:val="16"/>
          <w:szCs w:val="16"/>
        </w:rPr>
      </w:pPr>
    </w:p>
    <w:p w14:paraId="326ECF6B" w14:textId="77777777" w:rsidR="00E7157B" w:rsidRPr="00C33834" w:rsidRDefault="00E7157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феврале 1933 г. М.Н. Тухачевский опять обращается к Председателю Комиссии обороны СССР В.М. Молотову с просьбой ускорить создание РНИИ и на этот раз ссылается на интенсивные работы, которые ведутся в этом направлении в Германии (Управление вооружений РККА еще в 1931 г. получило доклад сотрудника Г. Оберта - К. Риделя «Историческое развитие ракетной техники», в котором был дан обзор достижений по разработке реактивных двигателей Оберта, Винклера, фон Брауна в Германии и Годцарда в США) (22685).</w:t>
      </w:r>
    </w:p>
    <w:p w14:paraId="60180ED1" w14:textId="77777777" w:rsidR="00E7157B" w:rsidRPr="00C33834" w:rsidRDefault="00E7157B" w:rsidP="00C33834">
      <w:pPr>
        <w:spacing w:after="0" w:line="240" w:lineRule="auto"/>
        <w:jc w:val="both"/>
        <w:rPr>
          <w:rFonts w:ascii="Times New Roman" w:hAnsi="Times New Roman"/>
          <w:color w:val="0070C0"/>
          <w:sz w:val="16"/>
          <w:szCs w:val="16"/>
        </w:rPr>
      </w:pPr>
    </w:p>
    <w:p w14:paraId="1BB839F9"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г. катер АНТ-5 окончили постройкой и отправили, как и все предыдущие, на Черное море для испытаний. От своего прародителя Ш-4 новый катер отличался увеличенной за счет вставки длиной корпуса, изменениями внутри корпуса, особенно в моторном отсеке для новых моторов, и, главное, - увеличенным калибром торпед (6002).</w:t>
      </w:r>
    </w:p>
    <w:p w14:paraId="0594C52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375C056B" w14:textId="77777777" w:rsidR="004C24F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60489FB4" w14:textId="77777777" w:rsidR="004C24F7" w:rsidRPr="00C33834" w:rsidRDefault="004C24F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D23A15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г. в ведении ГВМУ НКТП было создано Специальное снарядное бюро (ССБ) НКТП, КБ-28 НКОП, Ленинградский филиал НИИ-24 НКБ / г. Ленинград ул. Герцена, 47/. Разработка снарядов к морским артсистемам, в т. ч. и особо крупных калибров (305 и 406 мм).</w:t>
      </w:r>
    </w:p>
    <w:p w14:paraId="3AF093F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 № Обсс от 30.12.1936 г. ССБ переименовано в КБ-28 НКОП. По пр. № 00100 от 8.05.1937 г. КБ-28 вошло в состав НИИ-24 и ликвидировано. В Ленинграде оставлены только конструкторские группы в качестве Ленинградского филиала НИИ-24. К концу 1937 г. в филиале вновь созданы технологическая и артиллерийская группы. В 06.1939 г. филиал находился в ведении ЗГУ НКБ. До 1.09.1939 г. филиал размещался в помещении 8-го проектного института, затем получил здание по ул. Герцена, 47. Производственной базы филиал не имел.</w:t>
      </w:r>
    </w:p>
    <w:p w14:paraId="3A694804"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1943 г. Ленинградский филиал объединен с головным НИИ-24.</w:t>
      </w:r>
    </w:p>
    <w:p w14:paraId="73FCA0C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помещений (10.1939 г.)- 850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w:t>
      </w:r>
    </w:p>
    <w:p w14:paraId="3DB0347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(1941 г.)- А.В. Берекашвили (11982).</w:t>
      </w:r>
    </w:p>
    <w:p w14:paraId="2BDA0BD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67059AB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М.Тухачевский доложил, что 37 мм ДРП Л.Курчевского приняты на вооружение РККА и становятся на массовое производство с тем, чтобы до конца года изготовить 325 шт. Эксплуатация показала небезопасность и малую маневренность и в 1935 сняли с производства (2406).</w:t>
      </w:r>
    </w:p>
    <w:p w14:paraId="5D0E17C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00B231D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на НИАП закончились испытания стрельбой танковой пушки ПС-3 завода Красный Путиловец, которые проходили с августа 1932 по. В серию на пошла (9527,23).</w:t>
      </w:r>
    </w:p>
    <w:p w14:paraId="4F2DC53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29F3A1DB"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г. начальник вооружений РККА М. Ту</w:t>
      </w:r>
      <w:r w:rsidRPr="00C33834">
        <w:rPr>
          <w:rFonts w:ascii="Times New Roman" w:hAnsi="Times New Roman"/>
          <w:color w:val="000000" w:themeColor="text1"/>
          <w:sz w:val="16"/>
          <w:szCs w:val="16"/>
        </w:rPr>
        <w:softHyphen/>
        <w:t>хачевский отдал приказ о проведении сравнительных ис</w:t>
      </w:r>
      <w:r w:rsidRPr="00C33834">
        <w:rPr>
          <w:rFonts w:ascii="Times New Roman" w:hAnsi="Times New Roman"/>
          <w:color w:val="000000" w:themeColor="text1"/>
          <w:sz w:val="16"/>
          <w:szCs w:val="16"/>
        </w:rPr>
        <w:softHyphen/>
        <w:t>пытаний систем 20-К и Б-3 в танке Т-26:</w:t>
      </w:r>
    </w:p>
    <w:p w14:paraId="02950975"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 Начальника вооружений РККА</w:t>
      </w:r>
    </w:p>
    <w:p w14:paraId="2A987824"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№4/3/с 10 февраля 33 г.</w:t>
      </w:r>
    </w:p>
    <w:p w14:paraId="3645BE1F"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p w14:paraId="2C9B68DB"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Для выявления прочности орудийных установок 45-мм пушки (20-К) и 37-мм пушки (Б-3) в танке Т-26, прочности танка, пра</w:t>
      </w:r>
      <w:r w:rsidRPr="00C33834">
        <w:rPr>
          <w:rFonts w:ascii="Times New Roman" w:hAnsi="Times New Roman"/>
          <w:color w:val="000000" w:themeColor="text1"/>
          <w:sz w:val="16"/>
          <w:szCs w:val="16"/>
        </w:rPr>
        <w:softHyphen/>
        <w:t>вильности и безотказности функционирования систем, удобства их обслуживания, провести параллельные испытания их стрель-' бой и пробегом.</w:t>
      </w:r>
    </w:p>
    <w:p w14:paraId="611258DF"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p w14:paraId="17E84F83"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Объем и характер испытаний согласно объявляемой при сем программы.</w:t>
      </w:r>
    </w:p>
    <w:p w14:paraId="463F08AA"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p w14:paraId="7B3C44CF"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чего назначаю комиссию под председательством Нач. ГАУт. ЕФИМОВА в составе членов - зам нач. УММ т. БОКИС, зам нач НТУ т. ЗАХОДЕР, нач. УМА ГАУ т. ДРОЗДОВА и представителя от промышленности по назначению нач. ВОАО</w:t>
      </w:r>
    </w:p>
    <w:p w14:paraId="5228BE59"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p w14:paraId="001B2DA2"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Начало испытания 3 марта. Заключение о результатах испытаний представить 15 марта</w:t>
      </w:r>
    </w:p>
    <w:p w14:paraId="2DB25667"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НАРКОМА по ВОЕННЫМ и МОРСКИМ ДЕЛАМ и : НАЧАЛЬНИК ВООРУЖЕНИЙ РККА ........ (ТУХАЧЕВСКИЙ)» (10733,213).</w:t>
      </w:r>
    </w:p>
    <w:p w14:paraId="2DA969E3"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5001B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года танковое производство завода "Большевик" было выделено в самостоятельный завод № 174 имени К.Е. Ворошилова. На нем КБ Н.В. Барыкова преобразовали в Опытно-конструкторский машиностроительный отдел (ОКМО), который и занялся с учетом недостатков первого, разработкой второго опытного образца танка, названного Т-35-2. По личному указанию И.В. Сталина была произведена унификация главных башен Т-35 и T-28. Т-35-2 получил также новый двигатель М-17, другую трансмиссию и коробку передач. В остальном же он практически не отличался от своего предшественника, если не считать измененной конструкции фальшборта и настоящей 76,2-мм пушки ПС-3 (3862).</w:t>
      </w:r>
    </w:p>
    <w:p w14:paraId="335F3BB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67830B69" w14:textId="77777777" w:rsidR="00AE4021" w:rsidRPr="00C33834" w:rsidRDefault="00AE402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г. танковое производство завода «Большевик» было выделено в самостоятельный завод № 174 имени K.E. Ворошилова (15117).</w:t>
      </w:r>
    </w:p>
    <w:p w14:paraId="2959A7DE" w14:textId="77777777" w:rsidR="00AE4021" w:rsidRPr="00C33834" w:rsidRDefault="00AE4021" w:rsidP="00C33834">
      <w:pPr>
        <w:spacing w:after="0" w:line="240" w:lineRule="auto"/>
        <w:jc w:val="both"/>
        <w:rPr>
          <w:rFonts w:ascii="Times New Roman" w:hAnsi="Times New Roman"/>
          <w:color w:val="000000" w:themeColor="text1"/>
          <w:sz w:val="16"/>
          <w:szCs w:val="16"/>
        </w:rPr>
      </w:pPr>
    </w:p>
    <w:p w14:paraId="6F89B8A0"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года первый образец ФАИ был изготовлен на Ижорском за</w:t>
      </w:r>
      <w:r w:rsidRPr="00C33834">
        <w:rPr>
          <w:rFonts w:ascii="Times New Roman" w:hAnsi="Times New Roman"/>
          <w:color w:val="000000" w:themeColor="text1"/>
          <w:sz w:val="16"/>
          <w:szCs w:val="16"/>
        </w:rPr>
        <w:softHyphen/>
        <w:t>воде. В качестве базы безо всяких пере</w:t>
      </w:r>
      <w:r w:rsidRPr="00C33834">
        <w:rPr>
          <w:rFonts w:ascii="Times New Roman" w:hAnsi="Times New Roman"/>
          <w:color w:val="000000" w:themeColor="text1"/>
          <w:sz w:val="16"/>
          <w:szCs w:val="16"/>
        </w:rPr>
        <w:softHyphen/>
        <w:t>делок использовалось шасси «Форд-А», с которого демон</w:t>
      </w:r>
      <w:r w:rsidRPr="00C33834">
        <w:rPr>
          <w:rFonts w:ascii="Times New Roman" w:hAnsi="Times New Roman"/>
          <w:color w:val="000000" w:themeColor="text1"/>
          <w:sz w:val="16"/>
          <w:szCs w:val="16"/>
        </w:rPr>
        <w:softHyphen/>
        <w:t>тировали кузов и заднее сиденье.</w:t>
      </w:r>
    </w:p>
    <w:p w14:paraId="117CCF2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Машина имела сварной корпус из брони толщиной 6,75—3 мм, отдельные конструктивные элементы которого заимствовались от Д-12. Для посадки экипажа, состояв</w:t>
      </w:r>
      <w:r w:rsidRPr="00C33834">
        <w:rPr>
          <w:rFonts w:ascii="Times New Roman" w:hAnsi="Times New Roman"/>
          <w:color w:val="000000" w:themeColor="text1"/>
          <w:sz w:val="16"/>
          <w:szCs w:val="16"/>
        </w:rPr>
        <w:softHyphen/>
        <w:t>шего из 3 человек, имелись две двери в бортах. Для более удобной работы в крыше корпуса над головой командира и водителя имелись две куполообразных выштамповки. Для движения задним ходом в кормовом листе с правой стороны размещался небольшой прямоугольный наблю</w:t>
      </w:r>
      <w:r w:rsidRPr="00C33834">
        <w:rPr>
          <w:rFonts w:ascii="Times New Roman" w:hAnsi="Times New Roman"/>
          <w:color w:val="000000" w:themeColor="text1"/>
          <w:sz w:val="16"/>
          <w:szCs w:val="16"/>
        </w:rPr>
        <w:softHyphen/>
        <w:t>дательный лючок.</w:t>
      </w:r>
    </w:p>
    <w:p w14:paraId="7C24F7B1"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 ФАЙ состояло из пулемета ДТ в башне с круговым обстрелом. Пулеметчик не имел сиденья, а раз</w:t>
      </w:r>
      <w:r w:rsidRPr="00C33834">
        <w:rPr>
          <w:rFonts w:ascii="Times New Roman" w:hAnsi="Times New Roman"/>
          <w:color w:val="000000" w:themeColor="text1"/>
          <w:sz w:val="16"/>
          <w:szCs w:val="16"/>
        </w:rPr>
        <w:softHyphen/>
        <w:t>мещался в брезентовой петле. В крыше башни имелся от</w:t>
      </w:r>
      <w:r w:rsidRPr="00C33834">
        <w:rPr>
          <w:rFonts w:ascii="Times New Roman" w:hAnsi="Times New Roman"/>
          <w:color w:val="000000" w:themeColor="text1"/>
          <w:sz w:val="16"/>
          <w:szCs w:val="16"/>
        </w:rPr>
        <w:softHyphen/>
        <w:t>кидной броневой колпак, а для наблюдения за полем боя служили смотровые щели в бортах. Боекомплект — 21 мага</w:t>
      </w:r>
      <w:r w:rsidRPr="00C33834">
        <w:rPr>
          <w:rFonts w:ascii="Times New Roman" w:hAnsi="Times New Roman"/>
          <w:color w:val="000000" w:themeColor="text1"/>
          <w:sz w:val="16"/>
          <w:szCs w:val="16"/>
        </w:rPr>
        <w:softHyphen/>
        <w:t>зин - размещался в одном стеллаже у кормового листа кор</w:t>
      </w:r>
      <w:r w:rsidRPr="00C33834">
        <w:rPr>
          <w:rFonts w:ascii="Times New Roman" w:hAnsi="Times New Roman"/>
          <w:color w:val="000000" w:themeColor="text1"/>
          <w:sz w:val="16"/>
          <w:szCs w:val="16"/>
        </w:rPr>
        <w:softHyphen/>
        <w:t>пуса. Боевая масса ФАИ составляла 1,75 т (11284).</w:t>
      </w:r>
    </w:p>
    <w:p w14:paraId="313F354A" w14:textId="77777777" w:rsidR="004C24F7" w:rsidRPr="00C33834" w:rsidRDefault="004C24F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EC389D" w14:textId="77777777" w:rsidR="004C24F7"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6144CBFB" w14:textId="77777777" w:rsidR="004C24F7" w:rsidRPr="00C33834" w:rsidRDefault="004C24F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7523A1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г. в округах было примерно поровну Р-5 и Р-1, а через полгода Р-5 насчитывалось 732, а Р-1 - 470. Правда, в учебных заведениях перевес старой техники оставался подавляющим: 703 против 8 (11936).</w:t>
      </w:r>
    </w:p>
    <w:p w14:paraId="188A8ED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1697BBA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г. в округах было примерно поровну Р-5 и P-I, а уже на I сентября Р-5 имелось 732, а Р-1 - 470. Правда, в учебных заведениях перевес старой техники оставался подавляющим: 703 против восьми. В сентябре 1933 г. завод № I рассылал самолеты 16 эскадрильям, 26 отдельным отрядам и четырем летным школам. К 1 декабря в ВВС насчитывалось уже 1898 Р-5 (12034).</w:t>
      </w:r>
    </w:p>
    <w:p w14:paraId="5607E4A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07DC418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1933-го 1, 3 и 4 части IV Управления были переименованы в сектора, а 2 часть стала самостоятельной лабораторией при Управлении.</w:t>
      </w:r>
    </w:p>
    <w:p w14:paraId="27CA7D8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(шифровальной) частью / 1 сектором руководил с марта 1930-го Э.Я.Озолин; 2 (производственной) / отдельной лабораторией: А.И.Гурвич-Горин - с мая 1930-го, С.М.Ляймберг - с февраля 1931-го, А.У.Филимонов - января 1934-го; 3 (административной) частью / 2 сектором: И.И.Пльчак - с марта 1930-го, М.О.Раубо - с декабря 1932-го, М.А.Стерхов - с января 1934-го; 4 (финансовой) частью / 3 сектором с марта 1930-го руководил А.И.Иванов.</w:t>
      </w:r>
    </w:p>
    <w:p w14:paraId="1E3DB72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комсостав Управления насчитывал в это время около 110 человек.</w:t>
      </w:r>
    </w:p>
    <w:p w14:paraId="40A8EFB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 "Положения о IV Управлении Штаба РККА" (март 1931-го) гласил:</w:t>
      </w:r>
    </w:p>
    <w:p w14:paraId="2C02474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"IV Управление есть орган стратегической разведки Штаба РККА.</w:t>
      </w:r>
    </w:p>
    <w:p w14:paraId="6E756746"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Ведению Управления подлежит:</w:t>
      </w:r>
    </w:p>
    <w:p w14:paraId="2907EBA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Организация и ведение стратегической разведки.</w:t>
      </w:r>
    </w:p>
    <w:p w14:paraId="2FE75B6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Изучение иностранных государств с военной, военно-политической и экономической сторон, на основе материалов стратегической разведки и изучения иностранной литературы.</w:t>
      </w:r>
    </w:p>
    <w:p w14:paraId="59AB399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Учет и оценка работы военных атташе.</w:t>
      </w:r>
    </w:p>
    <w:p w14:paraId="18CC48C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Участие в подготовке и инспектировании разведывательной службы войск и, в первую очередь, разведывательных органов штабов.</w:t>
      </w:r>
    </w:p>
    <w:p w14:paraId="70105FE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Подготовка и подбор кадров разведработников.</w:t>
      </w:r>
    </w:p>
    <w:p w14:paraId="3F3C969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Изучение и распространение среди органов и частей РККА материалов, полученных на основе всех видов разведки, в виде: сводок, бюллетеней, справок, обзоров и т.д.</w:t>
      </w:r>
    </w:p>
    <w:p w14:paraId="126AA93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Выполнение специальных заданий Председателя Реввоенсовета СССР.</w:t>
      </w:r>
    </w:p>
    <w:p w14:paraId="20EAE5A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Участие в разработке операций и мобилизационных планов в области, касающейся разведки.</w:t>
      </w:r>
    </w:p>
    <w:p w14:paraId="6E78C10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При Управлении состоят Курсы Усовершенствования комсостава по разведке, действующие на основе особого о них положения.</w:t>
      </w:r>
    </w:p>
    <w:p w14:paraId="299244C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Управление состоит из 5-ти Отделов и 4-х Частей. 1 отдел - войсковой разведки. 2 отдел - агентурной разведки. 3 отдел - информационный. 4 отдел - внешних сношений. 5 отдел - специальный. 1 часть - шифровальная. 2 часть - специальная. 3 часть - финансовая. 4 часть - административная".</w:t>
      </w:r>
    </w:p>
    <w:p w14:paraId="6B66075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том же году этот документ, за вычетом пункта 10, вошел в качестве 5 главы ("О 4-м (Разведывательном) Управлении Штаба РККА") в "Положение о Центральном Аппарате Народного Комиссариата по военным и морским делам" (7557).</w:t>
      </w:r>
    </w:p>
    <w:p w14:paraId="4435A95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59AF5DA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на заседании у зам. НКВМД М.Н.Тухачевского рассматривался вопрос о тактике применения телетанков (9527,199).</w:t>
      </w:r>
    </w:p>
    <w:p w14:paraId="37A9B09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03E80BD7" w14:textId="77777777" w:rsidR="002E6AE0" w:rsidRPr="00C33834" w:rsidRDefault="002E6AE0" w:rsidP="00C33834">
      <w:pPr>
        <w:pStyle w:val="Bodytext1"/>
        <w:shd w:val="clear" w:color="auto" w:fill="auto"/>
        <w:spacing w:line="240" w:lineRule="auto"/>
        <w:ind w:firstLine="0"/>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В феврале 1933 года на заседании у заместителя НКВМД М.Н. Тухачевского рассматривался вопрос о тактике применения телетанков. После появле</w:t>
      </w:r>
      <w:r w:rsidRPr="00C33834">
        <w:rPr>
          <w:rFonts w:ascii="Times New Roman" w:hAnsi="Times New Roman" w:cs="Times New Roman"/>
          <w:color w:val="000000" w:themeColor="text1"/>
          <w:sz w:val="16"/>
          <w:szCs w:val="16"/>
        </w:rPr>
        <w:softHyphen/>
        <w:t>ния сведений об аналогичных исследованиях за рубежом (в частности, в Великобритании), работы по телетанкам были активизированы (17745).</w:t>
      </w:r>
    </w:p>
    <w:p w14:paraId="781AE40F" w14:textId="77777777" w:rsidR="002E6AE0" w:rsidRPr="00C33834" w:rsidRDefault="002E6AE0" w:rsidP="00C33834">
      <w:pPr>
        <w:pStyle w:val="ae"/>
        <w:shd w:val="clear" w:color="auto" w:fill="FFFFFF"/>
        <w:spacing w:before="0" w:after="0"/>
        <w:jc w:val="both"/>
        <w:rPr>
          <w:iCs/>
          <w:color w:val="000000" w:themeColor="text1"/>
          <w:sz w:val="16"/>
          <w:szCs w:val="16"/>
        </w:rPr>
      </w:pPr>
    </w:p>
    <w:p w14:paraId="3AAC130E" w14:textId="77777777" w:rsidR="004C24F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7663C07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0468465C" w14:textId="77777777" w:rsidR="003004AC" w:rsidRPr="00C33834" w:rsidRDefault="003004A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феврале 1933 г. в Ростове-на-Дону на заводе трамвая им. Воровского был создан Опытный пассажирский троллейбус на базе автобуса Я-6 Эта троллейбусная машина считается первой попыткой создания в Советском Союзе нового вида наземного городского транспорта — троллейбуса. Однако далее ходовых испытаний дело не пошло, так как проект был полностью инициативным и к общесоюзной троллейбусной программе отношения не имел, поэтому не имел и финансирования. К слову, своего обозначения троллейбус также не имел.</w:t>
      </w:r>
    </w:p>
    <w:p w14:paraId="2F5FECB2" w14:textId="77777777" w:rsidR="003004AC" w:rsidRPr="00C33834" w:rsidRDefault="003004A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1932 г. по инициативе инженера управления ростовского трамвая А. Соболева был создан проект пассажирского троллейбуса, основу которого составлял списанный автобус Я-6 и трамвайное электрооборудование (тяговый двигатель, токоприемники, переключатели, реостаты). Интерес вызывает применение на троллейбусе, кроме двух токоприемников, нижнего ролика для рельса. Поэтому троллейбус мог работать как в обычном режиме с двумя токоприемниками, так и в трамвайном, когда плюсовой токоприемник находился на линии, а ролик опускался и катился по рельсе, тем самым замыкая цепь на -550 В. Сам Соболев был известен в трамвайном управлении как видный специалист в сфере горэлектротранспорта, автор статей по теории троллейбуса. В феврале 1933 г. опытный троллейбус был готов, и Соболев написал подробную докладную записку своему руководству об использовании троллейбуса и необходимости строительства инфраструктуры к нему, но поддержки не получил. Тем не менее был построен небольшой участок контактной сети, на которой совершал пробные поездки опытный троллейбус должались около года, и к январю 1934 г. доработанный троллейбус был готов к мелкосерийному производству для открытия троллейбусного движения в Ростове-наДону. Однако к этому времени уже был освоен серийный выпуск троллейбусов ЛК, которые и приобрели ростовчане для открытия троллейбусной системы в своем городе (22735).</w:t>
      </w:r>
    </w:p>
    <w:p w14:paraId="0E084820" w14:textId="77777777" w:rsidR="003004AC" w:rsidRPr="00C33834" w:rsidRDefault="003004AC" w:rsidP="00C33834">
      <w:pPr>
        <w:spacing w:after="0" w:line="240" w:lineRule="auto"/>
        <w:jc w:val="both"/>
        <w:rPr>
          <w:rFonts w:ascii="Times New Roman" w:hAnsi="Times New Roman"/>
          <w:color w:val="0070C0"/>
          <w:sz w:val="16"/>
          <w:szCs w:val="16"/>
        </w:rPr>
      </w:pPr>
    </w:p>
    <w:p w14:paraId="6BDAD6B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возникла было идея серьезной реорганизации управления местами заключения и спецпоселениями системы ОГПУ. К тому времени численность спецпоселенцев заметно превосходила число заключенных в лагерях ОГПУ, чем и диктовалась попытка создания самостоятельного Главного управления трудовыми спецпоселениями (ГУТС) ОГПУ (7557).</w:t>
      </w:r>
    </w:p>
    <w:p w14:paraId="456CFE4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0163E01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1933-го был разработан проект переименования ГУЛАГа в Главное управление трудовыми спецпоселениями (ГУТС) ОГПУ. Будь он реализован, слово «ГУЛАГ» не стало бы нарицательным и не вошло бы во все языки мира (7560).</w:t>
      </w:r>
    </w:p>
    <w:p w14:paraId="6F993E61"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64FAEF85" w14:textId="77777777" w:rsidR="004539AF"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09C3B66F" w14:textId="77777777" w:rsidR="004539AF" w:rsidRPr="00C33834" w:rsidRDefault="004539AF"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43A7021" w14:textId="77777777" w:rsidR="004539AF" w:rsidRPr="00C33834" w:rsidRDefault="004539A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норвежские браконьеры достали. Бьют в наших водах тюленей. Пограничники ничего не могут поделать - браконьеров прикрывает норвежский броненосец. Пришлось перевести с Балтики на Белое море парочку эсминцев и подводных лодок. Норвеги успокоились и перестали безобразничать (12629).</w:t>
      </w:r>
    </w:p>
    <w:p w14:paraId="40EC777B" w14:textId="77777777" w:rsidR="004539AF" w:rsidRPr="00C33834" w:rsidRDefault="004539AF"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AB08D30" w14:textId="77777777" w:rsidR="004C24F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72254CAA" w14:textId="77777777" w:rsidR="004C24F7" w:rsidRPr="00C33834" w:rsidRDefault="004C24F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BFB1AF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М.Хэдд совершил первый полет на Валти V-1 и после коротких заводских испытаний машину передали в Америкен айрлайнз для эксплуатационных испытаний (3877,17).</w:t>
      </w:r>
    </w:p>
    <w:p w14:paraId="0B46E78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3A2CDF70" w14:textId="77777777" w:rsidR="00185C06" w:rsidRPr="00C33834" w:rsidRDefault="00185C0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феврале 1933 года на самолете </w:t>
      </w:r>
      <w:r w:rsidRPr="00C33834">
        <w:rPr>
          <w:rFonts w:ascii="Times New Roman" w:hAnsi="Times New Roman"/>
          <w:color w:val="000000" w:themeColor="text1"/>
          <w:sz w:val="16"/>
          <w:szCs w:val="16"/>
          <w:lang w:val="en-US"/>
        </w:rPr>
        <w:t>LR</w:t>
      </w:r>
      <w:r w:rsidRPr="00C33834">
        <w:rPr>
          <w:rFonts w:ascii="Times New Roman" w:hAnsi="Times New Roman"/>
          <w:color w:val="000000" w:themeColor="text1"/>
          <w:sz w:val="16"/>
          <w:szCs w:val="16"/>
        </w:rPr>
        <w:t xml:space="preserve"> ком</w:t>
      </w:r>
      <w:r w:rsidRPr="00C33834">
        <w:rPr>
          <w:rFonts w:ascii="Times New Roman" w:hAnsi="Times New Roman"/>
          <w:color w:val="000000" w:themeColor="text1"/>
          <w:sz w:val="16"/>
          <w:szCs w:val="16"/>
        </w:rPr>
        <w:softHyphen/>
        <w:t>пании «Фейри» был установлен миро</w:t>
      </w:r>
      <w:r w:rsidRPr="00C33834">
        <w:rPr>
          <w:rFonts w:ascii="Times New Roman" w:hAnsi="Times New Roman"/>
          <w:color w:val="000000" w:themeColor="text1"/>
          <w:sz w:val="16"/>
          <w:szCs w:val="16"/>
        </w:rPr>
        <w:softHyphen/>
        <w:t>вой рекорд дальности полета по прямой 8544 км. Затем французы Коддос и Росси на «Блерио-110», вылетев из Нью-Йорка, добрались до Сирии, покрыв расстояние 9000 км (12725).</w:t>
      </w:r>
    </w:p>
    <w:p w14:paraId="6684AAC5" w14:textId="77777777" w:rsidR="00185C06" w:rsidRPr="00C33834" w:rsidRDefault="00185C06" w:rsidP="00C33834">
      <w:pPr>
        <w:pStyle w:val="txt1"/>
        <w:shd w:val="clear" w:color="auto" w:fill="FFFFFF"/>
        <w:spacing w:before="0" w:beforeAutospacing="0" w:after="0" w:afterAutospacing="0" w:line="240" w:lineRule="auto"/>
        <w:ind w:firstLine="0"/>
        <w:rPr>
          <w:color w:val="000000" w:themeColor="text1"/>
          <w:sz w:val="16"/>
          <w:szCs w:val="16"/>
        </w:rPr>
      </w:pPr>
    </w:p>
    <w:p w14:paraId="0A9834A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был готов второй экз. Хе-70 Блитц с БМВ 6,0Z в 680 нр. Его стали готовить к рекорду скорости (1167,24).</w:t>
      </w:r>
    </w:p>
    <w:p w14:paraId="0C29233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2138DD6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Германия принимает решение о создании Люфтваффе и об отказе от статей Версальского договора, ограничивающего вооружение Германии (226,426).</w:t>
      </w:r>
    </w:p>
    <w:p w14:paraId="1D93A6BF"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это произошло в феврале 1935.</w:t>
      </w:r>
    </w:p>
    <w:p w14:paraId="4470A270" w14:textId="77777777" w:rsidR="004C24F7" w:rsidRPr="00C33834" w:rsidRDefault="004C24F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0146D3E"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года «Пратт энд Уитни компани» предоставила БМВ лицензию на производство мотора «Хорнет-Д». В результате в 1935 году из 28 типов германских военных самолётов 11 были оснащены английскими и американскими моторами фирм «Роллс-Ройс», «Армстронг-Сидли», «Пратт энд Уитни» и других (11208).</w:t>
      </w:r>
    </w:p>
    <w:p w14:paraId="1AAFB31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61769C2C" w14:textId="77777777" w:rsidR="004C24F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E5238E0" w14:textId="77777777" w:rsidR="004C24F7" w:rsidRPr="00C33834" w:rsidRDefault="004C24F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35CAAA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феврале-марте 1933 на полигоне ВВС в Монино испытывался один из первых серийных И-Зет № 39009. Самолет имело одну действующую пушку и габаритно-весовой макет. Летал Пионтковский и сделал несколько выстрелов в воздухе (3996, 92).</w:t>
      </w:r>
    </w:p>
    <w:p w14:paraId="250B111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349AC1EC"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феврале-марте 1933 на полигоне УВВС в Монино испытывался один из первых серийных И-зет N 39009. Летал Пионтковский. На самолете была одна действующая пушка (под левым крылом) и один габаритно-весовой макет под правый. Для наземных стрельб в Щелково выстроили помост и испытания на влияние струй на конструкцию проводил И.О.Незваль. Обшивка не нагревалась и заклепки не отрывались (2692,6).</w:t>
      </w:r>
    </w:p>
    <w:p w14:paraId="300E412B"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2DE6DE92"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феврале-марте 1933 г. на полигоне ВВС в Монино испытывался один из первых серийных И-ЗЕТ (№ 39009). Полёты выполнял летчик Ю.И. Пионтковский. Самолёт нёс одну действующую пушку АПК-4 под левым крылом и её массово-габаритный макет - под правым. Для проведения наземных стрельб на аэродроме НИИ ВВС соорудили специальный помост. О ходе этих испытаний вспоминал авиаконструктор И.Ф. Незваль, который в 1932 г. был направлен из ЦАГИ на завод № 39 для помощи в освоении серийного производства бомбардировщика ТБ-3: "Однажды директор вызвал меня и просил заняться проведением испытания истребителя Д.П. Григоровича. Надо было определить воздействие реактивной струи на обшивку фюзеляжа при стрельбе из пушек Курчевского, установленных на этом самолёте. Мне показалось это поручение довольно странным, так как в то время на заводе находился и сам Григорович, и сотрудники его КБ смогли бы это испытание провести сами. Однако директор настоял, чтобы это испытание провёл я... Испытание мы проводили зимой на территории НИИ ВВС в Щёлково. Тогда эта территория была только что отведена ВВС, и никаких построек там ещё не было. Нами там был сооружён помост высотой в 5 - 6 метров с наклонной плоскостью для затаскивания самолёта.</w:t>
      </w:r>
    </w:p>
    <w:p w14:paraId="0CF5599D"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Самолёт с завода перелетел в Щёлково и там был установлен на помост, с которого и велась стрельба. Испытания особой сложности не представляли. После каждого выстрела нам надо было только на ощупь определять нагрев и следить за отрывом заклёпок. Поскольку ни отрыва заклёпок, ни нагрева обшивки нами обнаружено не было, мы составили акт с положительным заключением.</w:t>
      </w:r>
    </w:p>
    <w:p w14:paraId="3B7B95F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Казалось бы, что дело с ОКБ Григоровича на этом и окончилось. Однако спустя немного времени это дело имело для меня совсем неожиданное и при этом неприятное продолжение. Однажды утром меня просят ознакомиться с приказом директора о подчинении мне ОКБ Григоровича. Произошло ли это оттого, что директор переоценил мои способности, или просто по незнанию положения, но, во всяком случае, это было нелепое решение, и я тотчас побежал к директору, как мог, объяснил неправильность его решения и просил немедленно отменить приказ. На самом деле, Григорович был маститый, широко известный конструктор самолётов, и вдруг его подчиняют мне, совсем молодому, никому не известному конструктору. Конечно, это директор понял и тотчас отменил приказ".</w:t>
      </w:r>
    </w:p>
    <w:p w14:paraId="0F349B25"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Рассказанное Иосифом Фомичём не согласуется с результатами последующих испытаний, в которых были и сорванные заклёпки, и вздутые листы обшивки. Очевидно, что при стрельбах, которые контролировал Незваль, использовались заряды уменьшенной мощности. Что же касается вероятного назначения Незва- ля руководителем конструкторского бюро Григоровича, то здесь просто остаётся развести руками. Насколько всё-таки острой и жёсткой была борьба за лидерство в промышленности, что могли происходить столь невероятные эпизоды (12005).</w:t>
      </w:r>
    </w:p>
    <w:p w14:paraId="70308453"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1051529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 марте 1933 г. на полигоне ВВС в Монино испытывался один из первых серийных самолетов И-7 № 39 009. Самолет имел одну действующую пушку, под левым крылом справа разместили габаритно-весовой макет. Для проведения наземных стрельб был сооружен помост высотой несколько метров. Несколько выстрелов было совершено и в воздухе. Летал летчик-испытатель Пионтковский (12091).</w:t>
      </w:r>
    </w:p>
    <w:p w14:paraId="1ADA8788"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4C8E3EFA" w14:textId="77777777" w:rsidR="00185C06" w:rsidRPr="00C33834" w:rsidRDefault="00185C06" w:rsidP="00C33834">
      <w:pPr>
        <w:pStyle w:val="a3"/>
        <w:autoSpaceDE/>
        <w:autoSpaceDN/>
        <w:adjustRightInd/>
        <w:rPr>
          <w:color w:val="000000" w:themeColor="text1"/>
          <w:lang w:val="ru-RU"/>
        </w:rPr>
      </w:pPr>
      <w:r w:rsidRPr="00C33834">
        <w:rPr>
          <w:color w:val="000000" w:themeColor="text1"/>
          <w:lang w:val="ru-RU"/>
        </w:rPr>
        <w:t>В феврале-марте 1933 г на полигоне ВВС в Монино испытывался один из первых серийных И-2 (№3). Полеты выполнял летчик-испытатель Пионтковский.Самолет нес одну пушку АПК под левым крылом и ее массово-габаритный под правым крылом. Для проведения| наземных стрельб на аэродроме ВВС соорудили специальный помост. О проведении этих испытаний вспоминал И.Ф. Незваль, который в 1932 г. направлен на авиазавод №39 для помощи в освоении серийного производства ТБ-3:</w:t>
      </w:r>
      <w:r w:rsidRPr="00C33834">
        <w:rPr>
          <w:rStyle w:val="aff5"/>
          <w:rFonts w:ascii="Times New Roman" w:hAnsi="Times New Roman" w:cs="Times New Roman"/>
          <w:i w:val="0"/>
          <w:color w:val="000000" w:themeColor="text1"/>
          <w:lang w:val="ru-RU"/>
        </w:rPr>
        <w:t xml:space="preserve"> «Однажды директор вызвал меня и попросил заняться проведением испытаний истребителя Д. П. Григоровича. Надо было определить воздействие реактивной струи на </w:t>
      </w:r>
      <w:r w:rsidRPr="00C33834">
        <w:rPr>
          <w:color w:val="000000" w:themeColor="text1"/>
          <w:lang w:val="ru-RU"/>
        </w:rPr>
        <w:t>обшивку фюзеляжа при стрельбе из пушек Курчевского, установленных на этом самолете. Мне показалось это поручение довольно странным, так как в то время на заводе находился и сам Григорович, и сотрудники его КБ смогли бы это испы</w:t>
      </w:r>
      <w:r w:rsidRPr="00C33834">
        <w:rPr>
          <w:color w:val="000000" w:themeColor="text1"/>
          <w:lang w:val="ru-RU"/>
        </w:rPr>
        <w:softHyphen/>
        <w:t>тание провести сами. Однако директор настоял, чтобы это испытание провел я... Испытание мы проводили зимой на территории НИИ ВВС в Щелково. Тогда эта территория была только что отведена ВВС, и никаких построек там еще не было. Нами там был сооружен помост высотой в 5-6 м с наклонной плоскостью для затаскивания самолета. Самолет с завода перелетел в Щелково и там был установлен на помост, с которого и велась стрельба. Испытания особой сложности не представляли. После каждого выстрела нам надо было только на ощупь определять нагрев и следить за отрывом заклепок. Поскольку ни отрыва заклепок, ни нагрева обшивки нами обнаружено не было, мы составили акт с положительным заключением».</w:t>
      </w:r>
    </w:p>
    <w:p w14:paraId="0812DD1B" w14:textId="77777777" w:rsidR="00185C06" w:rsidRPr="00C33834" w:rsidRDefault="00185C0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Рассказанное Иосифом Фомичем не согласуется с результатами последующих испытаний, в которых были и сорванные заклепки, и вздутые листы обшивки (12731).</w:t>
      </w:r>
    </w:p>
    <w:p w14:paraId="56B917F1" w14:textId="77777777" w:rsidR="00185C06" w:rsidRPr="00C33834" w:rsidRDefault="00185C06" w:rsidP="00C33834">
      <w:pPr>
        <w:spacing w:after="0" w:line="240" w:lineRule="auto"/>
        <w:jc w:val="both"/>
        <w:rPr>
          <w:rFonts w:ascii="Times New Roman" w:hAnsi="Times New Roman"/>
          <w:color w:val="000000" w:themeColor="text1"/>
          <w:sz w:val="16"/>
          <w:szCs w:val="16"/>
        </w:rPr>
      </w:pPr>
    </w:p>
    <w:p w14:paraId="15D86F2A"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феврале-марте 1933 - в НИИ ВВС испытывали У-2 вооруженные ПВ-1 синхронным и ДА на турели (217,23).</w:t>
      </w:r>
    </w:p>
    <w:p w14:paraId="2B2D6657" w14:textId="77777777" w:rsidR="004C24F7" w:rsidRPr="00C33834" w:rsidRDefault="004C24F7" w:rsidP="00C33834">
      <w:pPr>
        <w:autoSpaceDE w:val="0"/>
        <w:autoSpaceDN w:val="0"/>
        <w:adjustRightInd w:val="0"/>
        <w:spacing w:after="0" w:line="240" w:lineRule="auto"/>
        <w:jc w:val="both"/>
        <w:rPr>
          <w:rFonts w:ascii="Times New Roman" w:hAnsi="Times New Roman"/>
          <w:color w:val="000000" w:themeColor="text1"/>
          <w:sz w:val="16"/>
          <w:szCs w:val="16"/>
        </w:rPr>
      </w:pPr>
    </w:p>
    <w:p w14:paraId="07BBE768" w14:textId="77777777" w:rsidR="00F4240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EA9456A" w14:textId="77777777" w:rsidR="00F42404" w:rsidRPr="00C33834" w:rsidRDefault="00F42404" w:rsidP="00C33834">
      <w:pPr>
        <w:spacing w:after="0" w:line="240" w:lineRule="auto"/>
        <w:jc w:val="both"/>
        <w:rPr>
          <w:rFonts w:ascii="Times New Roman" w:hAnsi="Times New Roman"/>
          <w:iCs/>
          <w:color w:val="000000" w:themeColor="text1"/>
          <w:sz w:val="16"/>
          <w:szCs w:val="16"/>
        </w:rPr>
      </w:pPr>
    </w:p>
    <w:p w14:paraId="4ED8DC08" w14:textId="77777777" w:rsidR="00F42404" w:rsidRPr="00C33834" w:rsidRDefault="00F42404" w:rsidP="00C33834">
      <w:pPr>
        <w:pStyle w:val="Iauiue"/>
        <w:jc w:val="both"/>
        <w:rPr>
          <w:color w:val="000000" w:themeColor="text1"/>
          <w:sz w:val="16"/>
          <w:szCs w:val="16"/>
        </w:rPr>
      </w:pPr>
      <w:r w:rsidRPr="00C33834">
        <w:rPr>
          <w:color w:val="000000" w:themeColor="text1"/>
          <w:sz w:val="16"/>
          <w:szCs w:val="16"/>
        </w:rPr>
        <w:t>Зимой 1932—1933 года на ижевском Опытном мотоциклетном заводе готовились к освоению серийного производства мотоцикла Л-300, рекомендованного советом добровольного общества Автодор и уже выпускавшегося в Ленинграде, на предприятиях треста «Тремасс», Тогда в Ижевск приехали молодые специалисты из Московского механического института, выпускники Нижегородского автомобильного техникума, инженеры с ленинградского завода «Красный Октябрь». Последние и доставили на Опытный мотоциклетный завод необходимую техническую документацию на Л-300.</w:t>
      </w:r>
    </w:p>
    <w:p w14:paraId="707E07A7" w14:textId="77777777" w:rsidR="00F42404" w:rsidRPr="00C33834" w:rsidRDefault="00F42404" w:rsidP="00C33834">
      <w:pPr>
        <w:pStyle w:val="Iauiue"/>
        <w:jc w:val="both"/>
        <w:rPr>
          <w:color w:val="000000" w:themeColor="text1"/>
          <w:sz w:val="16"/>
          <w:szCs w:val="16"/>
        </w:rPr>
      </w:pPr>
      <w:r w:rsidRPr="00C33834">
        <w:rPr>
          <w:color w:val="000000" w:themeColor="text1"/>
          <w:sz w:val="16"/>
          <w:szCs w:val="16"/>
        </w:rPr>
        <w:t>Однако ижевские конструкторы, привыкшие к точным техническим заданиям, присущим оружейному делу, нашли в ленинградских чертежах немало ошибок, неувязок. Пришлось взяться за основательную переделку привезенной документации, попутно внося в нее существенные изменения. В результате появились чертежи на во многом новую машину, получившую обозначение ИЖ-7. Эта работа была проделана настолько быстро, что в том же 1933 году удалось собрать 12 мотоциклов этой марки.</w:t>
      </w:r>
    </w:p>
    <w:p w14:paraId="2DF88F53" w14:textId="77777777" w:rsidR="00F42404" w:rsidRPr="00C33834" w:rsidRDefault="00F42404" w:rsidP="00C33834">
      <w:pPr>
        <w:pStyle w:val="Iauiue"/>
        <w:jc w:val="both"/>
        <w:rPr>
          <w:color w:val="000000" w:themeColor="text1"/>
          <w:sz w:val="16"/>
          <w:szCs w:val="16"/>
        </w:rPr>
      </w:pPr>
      <w:r w:rsidRPr="00C33834">
        <w:rPr>
          <w:color w:val="000000" w:themeColor="text1"/>
          <w:sz w:val="16"/>
          <w:szCs w:val="16"/>
        </w:rPr>
        <w:t xml:space="preserve">Работами руководил выпускник Московского механического института В. В. Рогожин, вскоре ставший главным конструктором и временно главным технологом </w:t>
      </w:r>
      <w:r w:rsidRPr="00C33834">
        <w:rPr>
          <w:color w:val="000000" w:themeColor="text1"/>
          <w:sz w:val="16"/>
          <w:szCs w:val="16"/>
        </w:rPr>
        <w:lastRenderedPageBreak/>
        <w:t>ОМЗ. Всеволод Вячеславович рассказывал мне, что когда первую десятку ИЖ-7 отправили в торговую сеть, неожиданно для заводчан всю партию вернули — оказалась некачественной система зажигания. Рекламация послужила полезным уроком, дефект оперативно устранили, и на 1934 год завод получил заказ уже на 400 мотоциклов.</w:t>
      </w:r>
    </w:p>
    <w:p w14:paraId="339F2E28" w14:textId="77777777" w:rsidR="00F42404" w:rsidRPr="00C33834" w:rsidRDefault="00F42404" w:rsidP="00C33834">
      <w:pPr>
        <w:pStyle w:val="Iauiue"/>
        <w:jc w:val="both"/>
        <w:rPr>
          <w:color w:val="000000" w:themeColor="text1"/>
          <w:sz w:val="16"/>
          <w:szCs w:val="16"/>
        </w:rPr>
      </w:pPr>
      <w:r w:rsidRPr="00C33834">
        <w:rPr>
          <w:color w:val="000000" w:themeColor="text1"/>
          <w:sz w:val="16"/>
          <w:szCs w:val="16"/>
        </w:rPr>
        <w:t>Одновременно ОМЗ поручили выпустить, используя мотоциклетный мотор, по 50 мотопил и стационарных двигателей. Изготовить их нужное количество поначалу никак не удавалось, что сказалось и на выпуске мотоциклов — их сдали всего-навсего 111.</w:t>
      </w:r>
    </w:p>
    <w:p w14:paraId="7CBA878C" w14:textId="77777777" w:rsidR="00F42404" w:rsidRPr="00C33834" w:rsidRDefault="00F42404" w:rsidP="00C33834">
      <w:pPr>
        <w:pStyle w:val="Iauiue"/>
        <w:jc w:val="both"/>
        <w:rPr>
          <w:color w:val="000000" w:themeColor="text1"/>
          <w:sz w:val="16"/>
          <w:szCs w:val="16"/>
        </w:rPr>
      </w:pPr>
      <w:r w:rsidRPr="00C33834">
        <w:rPr>
          <w:color w:val="000000" w:themeColor="text1"/>
          <w:sz w:val="16"/>
          <w:szCs w:val="16"/>
        </w:rPr>
        <w:t>Но в следующем году, хотя план и увеличили до 450 машин, заводчане не только выполнили, а и перевыполнили его на... один мотоцикл, причем рекламаций не было — производство удалось наладить (11396).</w:t>
      </w:r>
    </w:p>
    <w:p w14:paraId="1AEF0FF4" w14:textId="77777777" w:rsidR="00F42404" w:rsidRPr="00C33834" w:rsidRDefault="00F42404" w:rsidP="00C33834">
      <w:pPr>
        <w:pStyle w:val="Iauiue"/>
        <w:jc w:val="both"/>
        <w:rPr>
          <w:color w:val="000000" w:themeColor="text1"/>
          <w:sz w:val="16"/>
          <w:szCs w:val="16"/>
        </w:rPr>
      </w:pPr>
    </w:p>
    <w:p w14:paraId="6043D47D" w14:textId="77777777" w:rsidR="00F4240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53B98E0" w14:textId="77777777" w:rsidR="00F42404" w:rsidRPr="00C33834" w:rsidRDefault="00F42404" w:rsidP="00C33834">
      <w:pPr>
        <w:spacing w:after="0" w:line="240" w:lineRule="auto"/>
        <w:jc w:val="both"/>
        <w:rPr>
          <w:rFonts w:ascii="Times New Roman" w:hAnsi="Times New Roman"/>
          <w:iCs/>
          <w:color w:val="000000" w:themeColor="text1"/>
          <w:sz w:val="16"/>
          <w:szCs w:val="16"/>
        </w:rPr>
      </w:pPr>
    </w:p>
    <w:p w14:paraId="7A649E91"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весне 1933 года в частях 107-мм химические минометы использовались только как учебные. По неясным причинам в ряде документов миномет МС-107 именовался "минометом обр. 1928/30 г.". На самом деле в 1928 году этого миномета и в проекте не было (3861).</w:t>
      </w:r>
    </w:p>
    <w:p w14:paraId="01240EAD"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743B25B8" w14:textId="77777777" w:rsidR="00F90193" w:rsidRPr="00C33834" w:rsidRDefault="00F90193"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К весне 1933 г. обозначился кризис выполнения морской программы на 1932-1935 гг., в которой воплотились безрассудные оценки возможностей отечественного судостроения и развития дpyrиx отраслей промышленности. Масштабы провала были, пожалуй, беспрецедентными для мобилизационного планирования 20-30-х гг. Ни один из запланированной к постройке в 1932-1935 гг. полусотни к кадренных миноносцев и их лидеров в эти годы не вступил в строй49; из 170 предусмотренных программой субмарин в 1932 г. флот не получил пи одной. Тем не менее доклад Штаба РККА нацеливал на расширение во второй пятилетке морской программы КО от 11 июля 1931 г., для чего в предстоящие четыре года предлагалось истратить 4 млрд руб. - в десять раз больше, чем было предусмотрено ассигнованиями на 1933 г., и 30% общих планируемых расходов на боевую технику в 1934-1937 гг. Для обеспечения варианта № 18 предусматривалось модернизировать линкор "Фрунзе", увеличить число крейсеров с 3 до 15, эсминцев и лидеров - с 17 до 101, субмарин - с 73 до 244, торпедных катеров - с 76 до 236. В результате число морских орудий должно было возрасти с 1315 единиц, ожидаемых к началу 1934 г., до 5083 при пятикратном увеличении снарядного обеспечения (в основном за счет мелких выстрелов) (Доклад Начальника Штаба РККА Егорова Народному Комиссару по Военным и Морским Делам Ворошилову "О развитии РККА во вторую пятилетку", 13-12.1933 // РГВА Ф. 40442. On. 1. Д 332. Л. 45,43. К1 января 1934 г. планировалось иметь 7 строящихся эсминцев готовыми на 40% в дополнение к 17 старым эсминцам и лидерам. С учетом этого в 1934-1937 гг. предлагалась постройка еще 77 кораблей этих классов) (22725).</w:t>
      </w:r>
    </w:p>
    <w:p w14:paraId="1C22FE8B" w14:textId="77777777" w:rsidR="00F90193" w:rsidRPr="00C33834" w:rsidRDefault="00F90193" w:rsidP="00C33834">
      <w:pPr>
        <w:spacing w:after="0" w:line="240" w:lineRule="auto"/>
        <w:jc w:val="both"/>
        <w:rPr>
          <w:rFonts w:ascii="Times New Roman" w:hAnsi="Times New Roman"/>
          <w:color w:val="0070C0"/>
          <w:sz w:val="16"/>
          <w:szCs w:val="16"/>
        </w:rPr>
      </w:pPr>
    </w:p>
    <w:p w14:paraId="5F53A8D6" w14:textId="77777777" w:rsidR="00F4240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780F71B" w14:textId="77777777" w:rsidR="00F42404" w:rsidRPr="00C33834" w:rsidRDefault="00F42404" w:rsidP="00C33834">
      <w:pPr>
        <w:spacing w:after="0" w:line="240" w:lineRule="auto"/>
        <w:jc w:val="both"/>
        <w:rPr>
          <w:rFonts w:ascii="Times New Roman" w:hAnsi="Times New Roman"/>
          <w:iCs/>
          <w:color w:val="000000" w:themeColor="text1"/>
          <w:sz w:val="16"/>
          <w:szCs w:val="16"/>
        </w:rPr>
      </w:pPr>
    </w:p>
    <w:p w14:paraId="1994923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марту 1933 года были изготовлены рабочие чертежи двигателя Н-3, спроектированный Украинским институтом авиадизелей Аэрофлота под руководством проф. Майера (4223).</w:t>
      </w:r>
    </w:p>
    <w:p w14:paraId="73B90AEF"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1CE56850" w14:textId="77777777" w:rsidR="00F42404" w:rsidRPr="00C33834" w:rsidRDefault="00F42404"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марту 1933 г. из шести дизелей, находившихся на разных стади</w:t>
      </w:r>
      <w:r w:rsidRPr="00C33834">
        <w:rPr>
          <w:rFonts w:ascii="Times New Roman" w:hAnsi="Times New Roman"/>
          <w:color w:val="000000" w:themeColor="text1"/>
          <w:sz w:val="16"/>
          <w:szCs w:val="16"/>
        </w:rPr>
        <w:softHyphen/>
        <w:t>ях готовности, выбрали три — Н-1, Н-2 и Н-3, которые сочли наиболее перспективными. Работы по ним предписали форсировать, остальные же постепенно забросили. Но вскоре и среди этих трех конструкций выявился лидер — созданный в ИАМ Н-1 (АН-1). Его спроектировали в Отделе нефтяных двигателей (ОНД) ИАМ, руководимом А.Д. Чаромским (1899-1982). Большая часть это</w:t>
      </w:r>
      <w:r w:rsidRPr="00C33834">
        <w:rPr>
          <w:rFonts w:ascii="Times New Roman" w:hAnsi="Times New Roman"/>
          <w:color w:val="000000" w:themeColor="text1"/>
          <w:sz w:val="16"/>
          <w:szCs w:val="16"/>
        </w:rPr>
        <w:softHyphen/>
        <w:t>го коллектива ранее работала в группе нефтяных двигателей НАМИ, где созданием быстроходных дизелей в свое время занимались такие известные конструкторы, как А.А. Микулин и В.Я. Климов. В конце 1931 г. ОНД представил Управлению ВВС проект четырехтактного 12-цилиндрового У-образного дизеля АН-1. АН-1 стал основой большого семейства авиационных дизелей. Вслед за его первым образцом, изготовленным в 1933 г., появился ряд модифи</w:t>
      </w:r>
      <w:r w:rsidRPr="00C33834">
        <w:rPr>
          <w:rFonts w:ascii="Times New Roman" w:hAnsi="Times New Roman"/>
          <w:color w:val="000000" w:themeColor="text1"/>
          <w:sz w:val="16"/>
          <w:szCs w:val="16"/>
        </w:rPr>
        <w:softHyphen/>
        <w:t>каций — АН-1А, АН-1Р (с редуктором), АН-1РТК (с редуктором и тур-бонаддувом). Последний выпустили небольшой серией для расширенных испытаний. Этот двигатель очень долго доводился. Причиной в основном являлось отставание в области топливной аппаратуры. Форсунки, регуляторы, насо</w:t>
      </w:r>
      <w:r w:rsidRPr="00C33834">
        <w:rPr>
          <w:rFonts w:ascii="Times New Roman" w:hAnsi="Times New Roman"/>
          <w:color w:val="000000" w:themeColor="text1"/>
          <w:sz w:val="16"/>
          <w:szCs w:val="16"/>
        </w:rPr>
        <w:softHyphen/>
        <w:t>сы высокого давления импортировали из Германии. Там их делала фир</w:t>
      </w:r>
      <w:r w:rsidRPr="00C33834">
        <w:rPr>
          <w:rFonts w:ascii="Times New Roman" w:hAnsi="Times New Roman"/>
          <w:color w:val="000000" w:themeColor="text1"/>
          <w:sz w:val="16"/>
          <w:szCs w:val="16"/>
        </w:rPr>
        <w:softHyphen/>
        <w:t>ма «Бош». Лишь перед началом Великой Отечественной войны подобную аппаратуру начали выпускать в СССР. Она заимствовала компоновку и принципиальные решения немецких изделий, но не являлась их точной копией. К сожалению, советские насосы и форсунки тогда существенно уступали своим немецким прототипам по надежности и ресурсу. Длительная доводка АН-1 вновь привела к мысли скопировать запад</w:t>
      </w:r>
      <w:r w:rsidRPr="00C33834">
        <w:rPr>
          <w:rFonts w:ascii="Times New Roman" w:hAnsi="Times New Roman"/>
          <w:color w:val="000000" w:themeColor="text1"/>
          <w:sz w:val="16"/>
          <w:szCs w:val="16"/>
        </w:rPr>
        <w:softHyphen/>
        <w:t>ные авиационные дизели, на этот раз немецкие, с двумя противополож</w:t>
      </w:r>
      <w:r w:rsidRPr="00C33834">
        <w:rPr>
          <w:rFonts w:ascii="Times New Roman" w:hAnsi="Times New Roman"/>
          <w:color w:val="000000" w:themeColor="text1"/>
          <w:sz w:val="16"/>
          <w:szCs w:val="16"/>
        </w:rPr>
        <w:softHyphen/>
        <w:t>но движущимися поршнями в каждом цилиндре. Сначала довольно долго изучался 1шпо 4, затем ЦИАМ приказали скопировать захваченный в Ис</w:t>
      </w:r>
      <w:r w:rsidRPr="00C33834">
        <w:rPr>
          <w:rFonts w:ascii="Times New Roman" w:hAnsi="Times New Roman"/>
          <w:color w:val="000000" w:themeColor="text1"/>
          <w:sz w:val="16"/>
          <w:szCs w:val="16"/>
        </w:rPr>
        <w:softHyphen/>
        <w:t>пании более современный .што 205. Но в серийное производство все-таки пошли отечественные, а не иностранные авиадизели. Именно АН-1РТК стал основой для двух дизелей, выпускавшихся се</w:t>
      </w:r>
      <w:r w:rsidRPr="00C33834">
        <w:rPr>
          <w:rFonts w:ascii="Times New Roman" w:hAnsi="Times New Roman"/>
          <w:color w:val="000000" w:themeColor="text1"/>
          <w:sz w:val="16"/>
          <w:szCs w:val="16"/>
        </w:rPr>
        <w:softHyphen/>
        <w:t>рийно и состоявших на вооружении советских ВВС — М-30 и М-40. Первый из них создавался в ОКБ НКВД. Несмотря на старое название, это уже была другая организация, хотя принципы ее работы не измени</w:t>
      </w:r>
      <w:r w:rsidRPr="00C33834">
        <w:rPr>
          <w:rFonts w:ascii="Times New Roman" w:hAnsi="Times New Roman"/>
          <w:color w:val="000000" w:themeColor="text1"/>
          <w:sz w:val="16"/>
          <w:szCs w:val="16"/>
        </w:rPr>
        <w:softHyphen/>
        <w:t>лись — двигатели там проектировали инженеры-заключенные. Только те</w:t>
      </w:r>
      <w:r w:rsidRPr="00C33834">
        <w:rPr>
          <w:rFonts w:ascii="Times New Roman" w:hAnsi="Times New Roman"/>
          <w:color w:val="000000" w:themeColor="text1"/>
          <w:sz w:val="16"/>
          <w:szCs w:val="16"/>
        </w:rPr>
        <w:softHyphen/>
        <w:t>перь их именовали не «вредителями», а «врагами народа» или «иностран</w:t>
      </w:r>
      <w:r w:rsidRPr="00C33834">
        <w:rPr>
          <w:rFonts w:ascii="Times New Roman" w:hAnsi="Times New Roman"/>
          <w:color w:val="000000" w:themeColor="text1"/>
          <w:sz w:val="16"/>
          <w:szCs w:val="16"/>
        </w:rPr>
        <w:softHyphen/>
        <w:t>ными шпионами». Среди них оказались А.Д. Чаромский, Б.С. Стечкин, А.С. Назаров, В.П. Глушко и швейцарский инженер У. Келлер из фирмы «Зульцер», собиравший данные об эксплуатации ее дизелей в России и обвиненный в шпионаже. ОКБ НКВД во второй половине 1938 г. передали завод № 82 в Тушино (ныне завод им. Чернышева), ранее выпускавший звездообразные карбю</w:t>
      </w:r>
      <w:r w:rsidRPr="00C33834">
        <w:rPr>
          <w:rFonts w:ascii="Times New Roman" w:hAnsi="Times New Roman"/>
          <w:color w:val="000000" w:themeColor="text1"/>
          <w:sz w:val="16"/>
          <w:szCs w:val="16"/>
        </w:rPr>
        <w:softHyphen/>
        <w:t>раторные двигатели малой и средней мощности для нужд ГВФ. Глав</w:t>
      </w:r>
      <w:r w:rsidRPr="00C33834">
        <w:rPr>
          <w:rFonts w:ascii="Times New Roman" w:hAnsi="Times New Roman"/>
          <w:color w:val="000000" w:themeColor="text1"/>
          <w:sz w:val="16"/>
          <w:szCs w:val="16"/>
        </w:rPr>
        <w:softHyphen/>
        <w:t>ным конструкторм ОКБ являлся инженер Ф.Я. Тулупов (вольный). Там на основе АН-1РТК подготовили дизель М-30, который небольшими сериями выпускался в Тушино до октября 1941 г.</w:t>
      </w:r>
    </w:p>
    <w:p w14:paraId="27DF97B6" w14:textId="77777777" w:rsidR="00F42404" w:rsidRPr="00C33834" w:rsidRDefault="00F42404"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Параллельно с М-30 в ЦИАМ под руководством В.М. Яковлева создали другую модификацию АН-1РТК, названную М-40. Оба двигателя имели много общего и отличались в основном исполнением системы наддува. М-40 тоже запустили в серийное производство на Кировском заводе в Ленинграде. В ЦИАМ также работали над другими типами авиадизелей. В 1933 г. институту выдали задание на звездообразный дизель воздушного охлажде</w:t>
      </w:r>
      <w:r w:rsidRPr="00C33834">
        <w:rPr>
          <w:rFonts w:ascii="Times New Roman" w:hAnsi="Times New Roman"/>
          <w:color w:val="000000" w:themeColor="text1"/>
          <w:sz w:val="16"/>
          <w:szCs w:val="16"/>
        </w:rPr>
        <w:softHyphen/>
        <w:t>ния Н-9. Этот двигатель, по-видимому, даже не дошел до стадии опытного образца. Зато долго возились с М-87Д, 14-цилиндровым дизелем на базе бензинового мотора М-87. Его совместно с запорожским заводом № 29 доводили до 1940 г., но безуспешно. Перед самой Великой Отечественной войной в ЦИАМ работали над мощ</w:t>
      </w:r>
      <w:r w:rsidRPr="00C33834">
        <w:rPr>
          <w:rFonts w:ascii="Times New Roman" w:hAnsi="Times New Roman"/>
          <w:color w:val="000000" w:themeColor="text1"/>
          <w:sz w:val="16"/>
          <w:szCs w:val="16"/>
        </w:rPr>
        <w:softHyphen/>
        <w:t>ным 48-цилиндровым дизелем М-20 в 2200 л.с. (позднее 3000 л.с.). Мотор имел необычную ромбическую схему с двумя противоположно движущимися поршнями в каждом цилиндре. В 1940 г. испытали отсек такого двигателя с четырьмя цилиндрами. Затем некоторое время работали над АН-5 — «по</w:t>
      </w:r>
      <w:r w:rsidRPr="00C33834">
        <w:rPr>
          <w:rFonts w:ascii="Times New Roman" w:hAnsi="Times New Roman"/>
          <w:color w:val="000000" w:themeColor="text1"/>
          <w:sz w:val="16"/>
          <w:szCs w:val="16"/>
        </w:rPr>
        <w:softHyphen/>
        <w:t>ловинкой» от М-20 с 24 цилиндрами и мощностью до 1700 л.с. Еще одной организацией, занимавшейся перед войной авиадизелями, яв</w:t>
      </w:r>
      <w:r w:rsidRPr="00C33834">
        <w:rPr>
          <w:rFonts w:ascii="Times New Roman" w:hAnsi="Times New Roman"/>
          <w:color w:val="000000" w:themeColor="text1"/>
          <w:sz w:val="16"/>
          <w:szCs w:val="16"/>
        </w:rPr>
        <w:softHyphen/>
        <w:t>лялся НИИ ГВФ. С самого начала в его составе имелся моторный отдел, выделенный затем в самостоятельный НИИ авиадвигателей ГВФ (НИИ АД ГВФ), а потом вновь слитый с головным НИИ ГВФ. В него входил отдел двигателей тяжелого топлива, возглавлявшийся Т.М. Мелькумовым (1902-1974). Там работали над небольшим дизелем воздушного охлажде</w:t>
      </w:r>
      <w:r w:rsidRPr="00C33834">
        <w:rPr>
          <w:rFonts w:ascii="Times New Roman" w:hAnsi="Times New Roman"/>
          <w:color w:val="000000" w:themeColor="text1"/>
          <w:sz w:val="16"/>
          <w:szCs w:val="16"/>
        </w:rPr>
        <w:softHyphen/>
        <w:t>ния Д-11, использовавшим узлы и агрегаты широко распространенного звездообразного мотора М-11. Этот дизель проходил стендовые и летные (на биплане У-2) испытания. Завод № 82 начал даже изготовлять серию из 100 Д-11, но после передачи предприятия НКВД конструкторов из НИИ ГВФ перевели в Воронеж, на завод № 154. Мелькумов продолжил работу в Военно-воздушной академии, где преподавал. Там в 1939-1940 гг. в мастерских доводили Д-11, собирая их из деталей задела завода № 82. Заводу № 154 поручили на базе Д-11 сделать дизель М-10 в 130 л.с. Этот пункт стоял в плане до конца 1943 г., но М-10 так и не был создан. М-30 и М-40, устанавливавшиеся на тяжелых бомбардировщиках ТБ-7 (Пе-8), плохо проявили себя в эксплуатации. Трудно было регулировать подачу топлива, двигатели самопроизвольно глохли и не желали затем за</w:t>
      </w:r>
      <w:r w:rsidRPr="00C33834">
        <w:rPr>
          <w:rFonts w:ascii="Times New Roman" w:hAnsi="Times New Roman"/>
          <w:color w:val="000000" w:themeColor="text1"/>
          <w:sz w:val="16"/>
          <w:szCs w:val="16"/>
        </w:rPr>
        <w:softHyphen/>
        <w:t>пускаться на больших высотах, особенно на холоде. Уже с августа 1941 г. их стали снимать с самолетов, а с конца года их выпуск прекратили (11852).</w:t>
      </w:r>
    </w:p>
    <w:p w14:paraId="47CBE201"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73AA25BD" w14:textId="77777777" w:rsidR="00F4240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176BAA5" w14:textId="77777777" w:rsidR="00F42404" w:rsidRPr="00C33834" w:rsidRDefault="00F42404" w:rsidP="00C33834">
      <w:pPr>
        <w:spacing w:after="0" w:line="240" w:lineRule="auto"/>
        <w:jc w:val="both"/>
        <w:rPr>
          <w:rFonts w:ascii="Times New Roman" w:hAnsi="Times New Roman"/>
          <w:iCs/>
          <w:color w:val="000000" w:themeColor="text1"/>
          <w:sz w:val="16"/>
          <w:szCs w:val="16"/>
        </w:rPr>
      </w:pPr>
    </w:p>
    <w:p w14:paraId="4D44DF30"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марта 1933 состоялся первый полет сводный П-30 (позже ПБ-2) (20802).</w:t>
      </w:r>
    </w:p>
    <w:p w14:paraId="66331744" w14:textId="77777777" w:rsidR="002F0F01" w:rsidRPr="00C33834" w:rsidRDefault="002F0F01" w:rsidP="00C33834">
      <w:pPr>
        <w:spacing w:after="0" w:line="240" w:lineRule="auto"/>
        <w:jc w:val="both"/>
        <w:rPr>
          <w:rFonts w:ascii="Times New Roman" w:hAnsi="Times New Roman"/>
          <w:color w:val="0070C0"/>
          <w:sz w:val="16"/>
          <w:szCs w:val="16"/>
        </w:rPr>
      </w:pPr>
    </w:p>
    <w:p w14:paraId="51107BF2"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марта 1933 г. Головной самолет С.55 для СССР был собран. К этому же сроку подготовили основные детали и узлы четырех других машин. Начиная с июня, по ходу ведения приемки, самолеты начали отправлять в Одессу морским путем. Аппараты с надписью в носовой части на русском языке «С55» прошли все испытания в Севастополе, состоявшиеся под эгидой Института научных исследований военно-морского флота (21410).</w:t>
      </w:r>
    </w:p>
    <w:p w14:paraId="006FD081" w14:textId="77777777" w:rsidR="002F0F01" w:rsidRPr="00C33834" w:rsidRDefault="002F0F01" w:rsidP="00C33834">
      <w:pPr>
        <w:spacing w:after="0" w:line="240" w:lineRule="auto"/>
        <w:jc w:val="both"/>
        <w:rPr>
          <w:rFonts w:ascii="Times New Roman" w:hAnsi="Times New Roman"/>
          <w:color w:val="0070C0"/>
          <w:sz w:val="16"/>
          <w:szCs w:val="16"/>
        </w:rPr>
      </w:pPr>
    </w:p>
    <w:p w14:paraId="22E336D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марта 1933 С.В.И. писал записку Нач. ГУАП П.И.Б.:</w:t>
      </w:r>
    </w:p>
    <w:p w14:paraId="01BC9DD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Задача формулируется так: необходимо создать самолет, на котором можно было бы подняться в стратосферу (от 10-12000 м и выше) и обеспечить на этой высоте более или менее длительный полет; работу винтомоторной группы; приборов и работоспособность экипажа.</w:t>
      </w:r>
    </w:p>
    <w:p w14:paraId="3C002DF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 Можно ли уже на существующих самолетах проникнуть в стратосферу (выше 10-12000 м); например на Р-6, ТБ-1, Р-5. Можно. Но для этого необходимо:</w:t>
      </w:r>
    </w:p>
    <w:p w14:paraId="6DF0A6B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соответствующей мощности и высотности винтомоторную группу,</w:t>
      </w:r>
    </w:p>
    <w:p w14:paraId="4439861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герметическую кабину или другое сооружение обеспечивающее жизнь и работу экипажу, а также необходимые устройства и мероприятия по обеспечению работы приборов и механизмов. Отсюда следует, что ПРОБЛЕМА стратосферного самолета В ОСНОВНОМ и ГЛАВНОМ состоит из этих двух вопросов.</w:t>
      </w:r>
    </w:p>
    <w:p w14:paraId="6DDADE4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III. Известно, что все рекорды дальности поставлены не на боевых, а на специальных для этой цели самолетах (Бернар, Девуатин и последний рекорд "Фери" из Лондона в Капштадт) негодных сколько-нибудь к длительной эксплуатации.</w:t>
      </w:r>
    </w:p>
    <w:p w14:paraId="008E182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Естественно что и стратосферный самолет нужно строить как специальный самолет, так как это даст увеличение потолка на 2000-3000 м (за счет большого удлинения и малой нагрузки на метр кв.) против нормального боевого самолета, например ТБ1). Это нужно понимать так: если взять ТБ1, увеличить удлинение с 6,2 до 10-12, (уменьшить нагрузку с 56 кг/м кв. до 40-45 за счет уменьшения полной нагрузки, то при этой же винтомоторной группе самолет увеличит потолок с 4000 до 6000-6500 м).</w:t>
      </w:r>
    </w:p>
    <w:p w14:paraId="6642037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Этим имеется ввиду показать, что как бы мы ни комбинировали у ТБ1: удлинение, нагрузку на м кв., т.е. чисто самолетную часть, при существующей его винтомоторной группе он далеко не достигнет стратосферы. ИТАК: мероприятия чисто самолетного порядка лишь способствуют увеличению потолка самолета, но не являются решающими. Решающим фактором является винтомоторная группа, которая должна обеспечить прирост высоты 5-8000 м.</w:t>
      </w:r>
    </w:p>
    <w:p w14:paraId="0D8B978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IV. Что имеется на сегодня РЕАЛЬНО для винтомоторной группы стратосферного самолета? Ничего. И только в перспективе имеется: 1) М-34 с одноступенчатым импеллером, 2) М-34 с двухступенчатым импеллером. Подсчеты показывают, что при одноступенчатом импеллере можно получить потолок 10000 м; и при двухступенчатом от 13000 до 15000 м (и та и другая цифра с винтом переменного шага).</w:t>
      </w:r>
    </w:p>
    <w:p w14:paraId="3F416DF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V. Исследования показывают, что импеллер выгодно работает до высот 5-7000 м, дальше он становится маловыгодным. С поднятием на высоту вследствие уменьшения давления противодавления на выхлопе становится все меньше и потому становится выгодным использовать выхлопные газы для наддува.</w:t>
      </w:r>
    </w:p>
    <w:p w14:paraId="4C25491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Использование выхлопных газов для наддува - вопрос не новый. Всем известны турбокомпрессоры Рато. Образцы их получены УВВС еще в 1925 г. Их недостаток (очень серьезный) состоит в том, что турбокомпрессоры, работающие от выхлопных газов нагреваются до 700-800 градусов, т.е. до красного каления и опасны в пожарном отношении. У французов в 1925 году турбокомпрессор стоял на самолете истреб. Спад 61 с Лореном он был установлен на крыле и во время работы сиял огненной массой. Точно известно что именно это вынудило отказаться от их применения на самолете.</w:t>
      </w:r>
    </w:p>
    <w:p w14:paraId="4D72E54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данный момент этот вопрос нужно поручить ЦИАМ, так как кроме его никто не может сколько-нибудь успешно выполнить это сложное задание.</w:t>
      </w:r>
    </w:p>
    <w:p w14:paraId="4BD3C04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 о турбокомпрессор. является самостоятельным вопросом и его нельзя смешивать с самолетом строящимся сегодня, так как кроме грубых прикидок - не говоря уже о продуманном проекте, ничего нет.</w:t>
      </w:r>
    </w:p>
    <w:p w14:paraId="1583F63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VI. 4.7-32 г. Правительством был утвержден план опытного строительства. В этом плане ГУАП было поручено строить стратосферный самолет (сокращенно С.С.).</w:t>
      </w:r>
    </w:p>
    <w:p w14:paraId="0289DCC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было начато в первой половине 1932 г. При чем была взята следующая установка:</w:t>
      </w:r>
    </w:p>
    <w:p w14:paraId="7DE7594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Самолет делать с большим аэродинамическим качеством: с большим размахом, большим удлинением, малой нагрузкой на м кв., идя на пониженную эксплуатационную надежность.</w:t>
      </w:r>
    </w:p>
    <w:p w14:paraId="2F586E8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Самолет делать по нормальной проверенной схеме, не внося новых элементов, которые не являясь необходимыми усложнили бы лишними неизвестными и без того трудное задание.</w:t>
      </w:r>
    </w:p>
    <w:p w14:paraId="6E95264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Строить самолет под реальный двигатель, т.е. М34 со всеми возможными вариантами наддува, предусматривая возможность и место установки для турбокомпрессора, если бы таковой в течении 1-2-х лет появился на сцену.</w:t>
      </w:r>
    </w:p>
    <w:p w14:paraId="6AEB627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Схема самолета С.С. дана на рисунке N 1, которая является нормальной проверенной схемой. Самолет полностью дюралюминиевый. В данный момент... большим удлинением, малой нагрузкой на м кв. Винтомоторная группа М-34 с импеллером.</w:t>
      </w:r>
    </w:p>
    <w:p w14:paraId="632C564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 БНК решает задачу тем же способом, что и ЦКБ 39 зав., но только с менее надежными результатами.</w:t>
      </w:r>
    </w:p>
    <w:p w14:paraId="36F7AC4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БНК знал, что ЦКБ (а раньше ЦАГИ) строит самолет нормальной схемы с тянущим винтом. Если бы БНК стало строить самолет такой же схемы, то оно дублировало бы работу ЦАГИ полностью и в таком случае нельзя было бы сколько-нибудь убедительно доказать необходимость постройки такого самолета. Тогда БНК делает следующее:</w:t>
      </w:r>
    </w:p>
    <w:p w14:paraId="5699E821"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берет иную схему,</w:t>
      </w:r>
    </w:p>
    <w:p w14:paraId="696B11E1"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выдвигает положение поставить М34 с одноступенчатым импеллером и турбокомпрессором, который бы начинал работу с 5000 м.</w:t>
      </w:r>
    </w:p>
    <w:p w14:paraId="4B99C10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СХЕМЕ. Схема самолета БНК-4 дана на рис. N 2. Она отличается от самолета ЦКБ тем, что у нее: толкающий винт и вместо фюзеляжа две балки на которых закреплено хвостовое оперение. Молодые тов. из БНК не знали, что не далее, как в ЦАГИ, есть самолет точь в точь такой же схемы - это самолет И-12 пушечный, который признан ОПАСНЫМ ДЛЯ ПОЛЕТА и ЦАГИ бьется целый год, придумывая, как бы вылечить самолет, иначе его придется выбросить. Товарищи из БНК хотят повторить никому не нужный вредный эксперимент. Самым страшным дефектом в самолете является вибрация. И-12 и БНК-4 как раз и имеют этот серьезный дефект.</w:t>
      </w:r>
    </w:p>
    <w:p w14:paraId="648FE12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Товарищи из БНК необходимость такой схемы аргументируют лучшим образом, чем у фюзеляжной схемы. Но разве в самолете ЦКБ плохой обзор? Нет. Ибо самолет такой же схемы, как сотни типов боевых одномоторных самолетов. Поэтому нельзя покупать улучшение хорошего обзора самолета - ценою ОРГАНИЧЕСКОГО дефекта схемы - опасного для полета.</w:t>
      </w:r>
    </w:p>
    <w:p w14:paraId="7EBE197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 М34 С ТУРБОКОМПРЕССОРОМ.</w:t>
      </w:r>
    </w:p>
    <w:p w14:paraId="5DE3EB2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 из БНК ловко приплетают к своему самолету НЕ СУЩЕСТВУЮЩУЮ моторную группу, и довольно безапелляционно бросаются сногсшибательными цифрами.</w:t>
      </w:r>
    </w:p>
    <w:p w14:paraId="0BC234C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 а теперь ЦКБ - как серьезные организации не могут заниматься вводом в заблуждение людей. Ведь должно же быть ясно, что БНК не может ни спроектировать, ни построить сложнейший агрегат - турбокомпрессор, где уже вопрос о материале лопаток турбины, работающих при температуре 900-1000 градусов - является наитруднейшим. Тем не менее все это принимается всерьез. Была бы турбина, а на самолет ее можно будет установить когда угодно.</w:t>
      </w:r>
    </w:p>
    <w:p w14:paraId="346F93C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ИТАК: Самолет БНК-4 решает задачу полета в стратосферу тем же путем, что и самолет ЦКБ, но с той лишь разницей, что имеет в схеме серьезный дефект, такой же как у И-12.</w:t>
      </w:r>
    </w:p>
    <w:p w14:paraId="378613B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данный момент организации, проектирующие оба самолета объединились. (БОК и БНК) и таким образом становится бессмыслицей проектировать параллельно два самолета. Это привело бы не к перестраховке, а к распылению и без того малочисленных и слабых сил; к слабой и неглубокой проработке, а следовательно к ошибкам и провалам.</w:t>
      </w:r>
    </w:p>
    <w:p w14:paraId="2DAE163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 1. Не утвердить самолет БНК.</w:t>
      </w:r>
    </w:p>
    <w:p w14:paraId="0A96F63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Обязать ГУАП строящийся им по заданию правительства страт. самолет С.С. закончить в начале IV квартала и на его опыте запроектировать следующий тип, не предрешая теперь ни схемы, ни каких-либо других элементов (2304,8).</w:t>
      </w:r>
    </w:p>
    <w:p w14:paraId="5C6FE189"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65CF7B7C" w14:textId="77777777" w:rsidR="002F0F01" w:rsidRPr="00C33834" w:rsidRDefault="002F0F01" w:rsidP="00C33834">
      <w:pPr>
        <w:shd w:val="clear" w:color="auto" w:fill="FFFFFF"/>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xml:space="preserve">1 марта 1933 г. С.В.И. в письме от на имя начальника ГУАП (Главного управления авиационной промышленности) Наркомата тяжёлой промышленности СССР П.И.Баранова. [РГАЭ Ф. 8328 оп. 1 д. 702 лл. 1-8] писал по поводу проектов высотных самолетов. Начав с общих соображений, Ильюшин отметил, что решающим фактором в обеспечении высотности самолёта, наряду с крылом большого удлинения, является «винтомоторная группа, которая должна обеспечить прирост высоты 5-8000 мтр». И далее он констатировал, что на тот момент для винтомоторной группы стратосферного самолёта реально в наличии не было ничего. «И только в перспективе имеется: 1/ М-34 с одноступенчатым импеллером (по современному – приводным центробежным нагнетателем), 2/ М-34 с двухступенчатым импеллером. Подсчёты показывают, что при одноступенчатом импеллере можно получить потолок 10.000 мтр; и при двухступенчатом от 13000 до 15000 мтр /и та, и другая цифра с винтом переменного шага/» (Напомним, что в начале 1933 г. М-34 ещё только проходил опытную экплуатацию в варианте без нагнетателя). Ильюшин отмечает, что с ростом высоты полёта сверх 7000 м эффективность импеллера (ПЦН) падает, и возникает необходимость в применении турбокомпрессора, использующего энергию выхлопных газов. «В данный момент этот вопрос нужно поручить ЦИАМ, так как кроме его никто не может сколько-нибудь успешно выполнить это сложное задание». Ильюшин напоминал Баранову, что в соответствии с заданием на постройку стратосферного самолёта (СС), которое содержится в правительственном плане опытного строительства от 4 июля 1932 г., «проектирование было начато в первой половине 1932 г. При чём была взята следующая установка: 1/(…). 2/ Самолёт делать по нормальной проверенной схеме, не внося новых элементов, которые не являясь необходимыми, усложнили бы лишними неизвестными и без того трудное задание. 3/ Строить самолёт под реальный двигатель, т.е. М34 со всеми возможными вариантами наддува, предусматривая возможность и место установки для турбокомпрессора, если бы таковой в течении 1 1 /2 - 2 лет появился на сцену». (Орфография и пунктуация по подлиннику) А далее Ильюшин проводил критический разбор проекта Б.Н.К.4 в сопоставлении с проектом СС. Он отмечал, что в части применения крыла большого удлинения с малой удельной нагрузкой, и ВМГ в виде М-34 с импеллером «БНК решает задачу тем же способом, что и ЦКБ-39». (Отметим, что отсюда мы узнаём о переходе БНК к использованию М-34 вместо М-17). Однако БНК, писал Ильюшин, «желая подчеркнуть оригинальность своего проекта, …делает следующее: 1/ берёт иную схему, 2/ выдвигает предложение поставить М34 с одноступенчатым импеллером и турбокомпрессором, который бы начинал работу с 5000 мтр». Использование в проекте БНК двухбалочной схемы Ильюшин назвал «серьёзным органическим дефектом» проекта: её применение, считал он, чревато большим риском трудно устранимых вибраций, как показала работа ЦАГИ над двухбалочным истребителем И-12. Что касается использования М-34 с турбокомпрессором, то он подчеркнул, что такой ВМГ пока ещё не существует, причём «должно же быть ясно, что БНК не может ни спроектировать, ни построить сложнейший агрегат – турбокомпрессор, где уже вопрос о материале д л я л о п а т о к , работающих при Т о 9 0 0 - 1 0 0 0 о – является наитруднейшим». Р е з ю м и р у я , Ильюшин констатировал: «Самолёт Б Н К - 4 р е ш а е т з а д а ч у п о л ё т а в стратосферу таким же путём, что и самолёт Ц К Б , н о с т о й лишь разницей, что имеет в схеме серьёзный дефект такой же как у И-12». Он подчеркнул далее: «В данный момент организации, проектирующие оба самолёта (СС и БНК-4 – прим. автора) объединились и таким образом становится бессмыслицей проектировать параллельно два самолёта. Это привело бы не к перестраховке, а к распылению и без того малочисленных и слабых сил, к слабой и неглубокой проработке, а, следовательно, к ошибкам и провалам». Письмо заключалось предложением: «1. Не утверждать самолёт БНК. 2.Обязать ГУАП строющийся им по заданию правительства страт. самолёт С.С. закончить в начале IV квартала и на его опыте проектировать следующий тип, не предрешая теперь ни схемы, ни каких-либо других элементов». Что тут можно сказать? В свете того, что мы знаем сейчас, ссылка на вибрации на самолёте И-12 выглядит не вполне убедительной, поскольку на этом </w:t>
      </w:r>
      <w:r w:rsidRPr="00C33834">
        <w:rPr>
          <w:rFonts w:ascii="Times New Roman" w:hAnsi="Times New Roman"/>
          <w:color w:val="0070C0"/>
          <w:sz w:val="16"/>
          <w:szCs w:val="16"/>
        </w:rPr>
        <w:lastRenderedPageBreak/>
        <w:t>истребителе стояли весьма специфические балки в виде стальных труб, приспособленных для установки пушек Курчевского. История авиастроения показала, что на основе двухбалочной схемы вполне можно строить прочные и надёжные самолёты. Кстати, в СССР уже в 1934 г. появился двухбалочный самолёт Г-37 Гроховского/Рентеля, который успешно летал без всяких вибраций в балках. Но на тот момент такого опыта ешё не было, и опасения Ильюшина по меньшей мере понятны. Что касается его замечаний по поводу турбокомпрессора, то они выглядели резонно. Как оказалось в дальнейшем, этот агрегат явился крепким орешком для советских авиадвигателестроителей, и помучиться с ним пришлось много. Опытные варианты М-34 с ТК-1 вышли на испытания лишь к 1937 году, и доводка этих турбокомпрессоров шла трудно.</w:t>
      </w:r>
    </w:p>
    <w:p w14:paraId="63C13AE2" w14:textId="77777777" w:rsidR="002F0F01" w:rsidRPr="00C33834" w:rsidRDefault="002F0F01" w:rsidP="00C33834">
      <w:pPr>
        <w:shd w:val="clear" w:color="auto" w:fill="FFFFFF"/>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 числу недостатков схемы самолёта БНК-4 можно было, пожалуй, отнести то, что она не позволяла поставить турель для защиты задней полусферы в военном варианте. Замораживание проекта БНК-4 было с недовольством воспринято его авторами и сторонниками (19876).</w:t>
      </w:r>
    </w:p>
    <w:p w14:paraId="06FCCD17" w14:textId="77777777" w:rsidR="002F0F01" w:rsidRPr="00C33834" w:rsidRDefault="002F0F01" w:rsidP="00C33834">
      <w:pPr>
        <w:shd w:val="clear" w:color="auto" w:fill="FFFFFF"/>
        <w:spacing w:after="0" w:line="240" w:lineRule="auto"/>
        <w:jc w:val="both"/>
        <w:rPr>
          <w:rFonts w:ascii="Times New Roman" w:hAnsi="Times New Roman"/>
          <w:color w:val="0070C0"/>
          <w:sz w:val="16"/>
          <w:szCs w:val="16"/>
        </w:rPr>
      </w:pPr>
    </w:p>
    <w:p w14:paraId="4B2C2AE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марта 1933 Генштаб РККА обсуждал вопрос о развитии морской авиации. Были Я.И.Алкснис, И.М.Лудри, С.А.Меженинов, В.В.Хрипин, В.М.Орлов - начальник генштаба. А.И.Егоров - "строительство морской авиации - необходимо выдвинуть на первый план и не за счет заграничных закупок (кроме образцов), а путем постройки заводов и создания новых конструкций" (79,208).</w:t>
      </w:r>
    </w:p>
    <w:p w14:paraId="78768322"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7591976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марта 1933 г. несмотря на обилие вносимых (или отвергаемых) изменений, головной самолет Савойя S.55 собрали, основные детали остальных изготовили и пропустили через предварительную приемку. Именно так - наши приемщики действовали в соответствии с отечественными традициями и контролировали все промежуточные этапы изготовления машин. К этому же сроку завод «Изотта-Фраскини» поставил шесть моторов из заказанных 17 (5486,3).</w:t>
      </w:r>
    </w:p>
    <w:p w14:paraId="6D6B15F9"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4036E88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марта 1933 года были готовы рабочие чертежи дизеля Н-4, спроектированные Харьковским авиаинститутом ГУАПа под руководством проф. Цветкова (4223).</w:t>
      </w:r>
    </w:p>
    <w:p w14:paraId="158301EC"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5DED78C6" w14:textId="77777777" w:rsidR="00933F2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A3F2D0D" w14:textId="77777777" w:rsidR="00933F24" w:rsidRPr="00C33834" w:rsidRDefault="00933F24" w:rsidP="00C33834">
      <w:pPr>
        <w:spacing w:after="0" w:line="240" w:lineRule="auto"/>
        <w:jc w:val="both"/>
        <w:rPr>
          <w:rFonts w:ascii="Times New Roman" w:hAnsi="Times New Roman"/>
          <w:iCs/>
          <w:color w:val="000000" w:themeColor="text1"/>
          <w:sz w:val="16"/>
          <w:szCs w:val="16"/>
        </w:rPr>
      </w:pPr>
    </w:p>
    <w:p w14:paraId="64B045DB" w14:textId="77777777" w:rsidR="00933F24" w:rsidRPr="00C33834" w:rsidRDefault="00933F24" w:rsidP="00C33834">
      <w:pPr>
        <w:pStyle w:val="rtejustify"/>
        <w:spacing w:before="0" w:after="0"/>
        <w:rPr>
          <w:color w:val="000000" w:themeColor="text1"/>
          <w:sz w:val="16"/>
          <w:szCs w:val="16"/>
        </w:rPr>
      </w:pPr>
      <w:r w:rsidRPr="00C33834">
        <w:rPr>
          <w:rStyle w:val="af0"/>
          <w:bCs/>
          <w:i w:val="0"/>
          <w:color w:val="000000" w:themeColor="text1"/>
          <w:sz w:val="16"/>
          <w:szCs w:val="16"/>
        </w:rPr>
        <w:t>1 марта</w:t>
      </w:r>
      <w:r w:rsidRPr="00C33834">
        <w:rPr>
          <w:color w:val="000000" w:themeColor="text1"/>
          <w:sz w:val="16"/>
          <w:szCs w:val="16"/>
        </w:rPr>
        <w:t xml:space="preserve"> 1933. Протокол заседания Политбюро ЦК ВКП (б) № 131. </w:t>
      </w:r>
      <w:hyperlink r:id="rId85" w:anchor="showunit&amp;id=85734" w:history="1">
        <w:r w:rsidRPr="00C33834">
          <w:rPr>
            <w:rStyle w:val="a5"/>
            <w:color w:val="000000" w:themeColor="text1"/>
            <w:sz w:val="16"/>
            <w:szCs w:val="16"/>
            <w:u w:val="none"/>
          </w:rPr>
          <w:t>2. Отчетные доклады НКТП, НКЛП и НКСнаба с содокладом НК РКИ о выполнении решения СНК и ЦК о реорганизации дела рабочего снабжения</w:t>
        </w:r>
      </w:hyperlink>
      <w:r w:rsidRPr="00C33834">
        <w:rPr>
          <w:color w:val="000000" w:themeColor="text1"/>
          <w:sz w:val="16"/>
          <w:szCs w:val="16"/>
        </w:rPr>
        <w:t xml:space="preserve"> (ПБ от 30 января 1933 г., пр. № 129. п. 104/866) (Питерский, Генкин, Любимов, Анцелович, Микоян, Антипов). Решено для выработки проекта постановления на основе обмена мнений создать комиссию в составе Кагановича Л. М. (председатель), Анцеловича, Питерского, Генкина, Микояна, Перепечко, Зеленского, Гринько, Любимова, Пятакова, Калмановича, Амосова и Лобова. Срок работы комиссии – пятидневный. </w:t>
      </w:r>
      <w:hyperlink r:id="rId86" w:anchor="showunit&amp;id=85768" w:history="1">
        <w:r w:rsidRPr="00C33834">
          <w:rPr>
            <w:rStyle w:val="a5"/>
            <w:color w:val="000000" w:themeColor="text1"/>
            <w:sz w:val="16"/>
            <w:szCs w:val="16"/>
            <w:u w:val="none"/>
          </w:rPr>
          <w:t>5. О дополнительном ассигновании на капитальное строительство НКТП в 1 квартале 1933 г.</w:t>
        </w:r>
      </w:hyperlink>
      <w:r w:rsidRPr="00C33834">
        <w:rPr>
          <w:color w:val="000000" w:themeColor="text1"/>
          <w:sz w:val="16"/>
          <w:szCs w:val="16"/>
        </w:rPr>
        <w:t xml:space="preserve"> (Пятаков, В. Межлаук, Гринько). Решено: а) отпустить НКТПрому дополнительно на капитальное строительство в 1 квартале 100 миллионов рублей на счет 2 квартала, без увеличения полугодового плана капитального строительства НКТП; б) обязать НКТПром направить эти получаемые дополнительно на капитальное строительство 100 миллионов рублей исключительно на оплату неоплаченных счетов поставщикам за оборудование и материалы, и подрядчикам за произведенные работы; в) отпустить НКТПрому на покрытие сверхплановых убытков 1932 г. в первом квартале дополнительно 50 миллионов рублей. </w:t>
      </w:r>
      <w:hyperlink r:id="rId87" w:anchor="showunit&amp;id=85779" w:history="1">
        <w:r w:rsidRPr="00C33834">
          <w:rPr>
            <w:rStyle w:val="a5"/>
            <w:color w:val="000000" w:themeColor="text1"/>
            <w:sz w:val="16"/>
            <w:szCs w:val="16"/>
            <w:u w:val="none"/>
          </w:rPr>
          <w:t>6. Об объеме капитальных работ в 1933 г. (записка Межлаука).</w:t>
        </w:r>
      </w:hyperlink>
      <w:r w:rsidRPr="00C33834">
        <w:rPr>
          <w:color w:val="000000" w:themeColor="text1"/>
          <w:sz w:val="16"/>
          <w:szCs w:val="16"/>
        </w:rPr>
        <w:t xml:space="preserve"> Решено отложить. </w:t>
      </w:r>
      <w:hyperlink r:id="rId88" w:anchor="showunit&amp;id=85739" w:history="1">
        <w:r w:rsidRPr="00C33834">
          <w:rPr>
            <w:rStyle w:val="a5"/>
            <w:color w:val="000000" w:themeColor="text1"/>
            <w:sz w:val="16"/>
            <w:szCs w:val="16"/>
            <w:u w:val="none"/>
          </w:rPr>
          <w:t>24. Об организации контроля исполнения договоров между хозорганами</w:t>
        </w:r>
      </w:hyperlink>
      <w:r w:rsidRPr="00C33834">
        <w:rPr>
          <w:color w:val="000000" w:themeColor="text1"/>
          <w:sz w:val="16"/>
          <w:szCs w:val="16"/>
        </w:rPr>
        <w:t xml:space="preserve"> (ПБ от 23 декабря 1932 г., пр. № 127, п. 19г) (Антипов, Пятаков, Андреев, Яковлев, Микоян, Любимов, Ежов, Лобов, Розенгольц). Решено принять внесенный Антиповым проект постановления (см. приложение). В приложении дано постановление ЦК ВКП(б) от 1 марта 1933 года о представителях заказчиков на предприятиях и списки ответственных работников НКПС, выделяемых в качестве уполномоченных к заводам Наркомтяжпрома, представителей НКЛП СССР по сырьевым районам и заводам НКТП СССР и НКЛеса СССР, уполномоченных НКЛеса, Центросоюза по Москве, Наркомзема, Наркомснаба, Народного комиссариата Внешней Торговли. </w:t>
      </w:r>
      <w:hyperlink r:id="rId89" w:anchor="showunit&amp;id=85747" w:history="1">
        <w:r w:rsidRPr="00C33834">
          <w:rPr>
            <w:rStyle w:val="a5"/>
            <w:color w:val="000000" w:themeColor="text1"/>
            <w:sz w:val="16"/>
            <w:szCs w:val="16"/>
            <w:u w:val="none"/>
          </w:rPr>
          <w:t>30. О продлении срока заграничной комиссии ГУАП.</w:t>
        </w:r>
      </w:hyperlink>
      <w:r w:rsidRPr="00C33834">
        <w:rPr>
          <w:color w:val="000000" w:themeColor="text1"/>
          <w:sz w:val="16"/>
          <w:szCs w:val="16"/>
        </w:rPr>
        <w:t xml:space="preserve"> Решено вопрос отложить. </w:t>
      </w:r>
      <w:hyperlink r:id="rId90" w:anchor="showunit&amp;id=85696" w:history="1">
        <w:r w:rsidRPr="00C33834">
          <w:rPr>
            <w:rStyle w:val="a5"/>
            <w:color w:val="000000" w:themeColor="text1"/>
            <w:sz w:val="16"/>
            <w:szCs w:val="16"/>
            <w:u w:val="none"/>
          </w:rPr>
          <w:t>127/92. О комиссии по капитальному строительству в ДВК</w:t>
        </w:r>
      </w:hyperlink>
      <w:r w:rsidRPr="00C33834">
        <w:rPr>
          <w:color w:val="000000" w:themeColor="text1"/>
          <w:sz w:val="16"/>
          <w:szCs w:val="16"/>
        </w:rPr>
        <w:t xml:space="preserve"> (ПБ от 25 февраля 1933 г., пр. № 131, п. 31</w:t>
      </w:r>
      <w:r w:rsidRPr="00C33834">
        <w:rPr>
          <w:color w:val="000000" w:themeColor="text1"/>
          <w:sz w:val="16"/>
          <w:szCs w:val="16"/>
        </w:rPr>
        <w:noBreakHyphen/>
        <w:t xml:space="preserve">опр.) (ПБ от 27 февраля 1933 г.). Решено включить в комиссию по капитальному строительству в ДВК Смирнова (Госплан). </w:t>
      </w:r>
      <w:hyperlink r:id="rId91" w:anchor="showunit&amp;id=85701" w:history="1">
        <w:r w:rsidRPr="00C33834">
          <w:rPr>
            <w:rStyle w:val="a5"/>
            <w:color w:val="000000" w:themeColor="text1"/>
            <w:sz w:val="16"/>
            <w:szCs w:val="16"/>
            <w:u w:val="none"/>
          </w:rPr>
          <w:t>131/96. Об олове для НКТП.</w:t>
        </w:r>
      </w:hyperlink>
      <w:r w:rsidRPr="00C33834">
        <w:rPr>
          <w:color w:val="000000" w:themeColor="text1"/>
          <w:sz w:val="16"/>
          <w:szCs w:val="16"/>
        </w:rPr>
        <w:t> — ОП. Решено, для обеспечения ремонтной кампании баббитом, выдать НКТПрому из фондов Комитета Резервов 86 тонн олова (15462).</w:t>
      </w:r>
    </w:p>
    <w:p w14:paraId="5974BF65" w14:textId="6531F8FA" w:rsidR="00933F24" w:rsidRPr="00C33834" w:rsidRDefault="00933F24" w:rsidP="00C33834">
      <w:pPr>
        <w:pStyle w:val="rtejustify"/>
        <w:spacing w:before="0" w:after="0"/>
        <w:rPr>
          <w:color w:val="000000" w:themeColor="text1"/>
          <w:sz w:val="16"/>
          <w:szCs w:val="16"/>
        </w:rPr>
      </w:pPr>
    </w:p>
    <w:p w14:paraId="4BFC05D9"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марта 1933 состоялось заседание ПБ и был оформлен протокол № 131</w:t>
      </w:r>
    </w:p>
    <w:p w14:paraId="1E794062"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24 февраля 1933 опросом членов ПБ</w:t>
      </w:r>
    </w:p>
    <w:p w14:paraId="2CA7AE51"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131/96.- Об олове для НКТП</w:t>
      </w:r>
    </w:p>
    <w:p w14:paraId="37D7348A"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Для обеспечения ремонтной кампании баббитом, выдать НКТПрому из фондов. Комитета Резервов З6 тонн олова.</w:t>
      </w:r>
    </w:p>
    <w:p w14:paraId="5607672D"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т.т.Куйбышеву,3ибраку, Пятакову (22981).</w:t>
      </w:r>
    </w:p>
    <w:p w14:paraId="750E0967" w14:textId="77777777" w:rsidR="002F0F01" w:rsidRPr="00C33834" w:rsidRDefault="002F0F01" w:rsidP="00C33834">
      <w:pPr>
        <w:spacing w:after="0" w:line="240" w:lineRule="auto"/>
        <w:jc w:val="both"/>
        <w:rPr>
          <w:rFonts w:ascii="Times New Roman" w:hAnsi="Times New Roman"/>
          <w:color w:val="0070C0"/>
          <w:sz w:val="16"/>
          <w:szCs w:val="16"/>
        </w:rPr>
      </w:pPr>
    </w:p>
    <w:p w14:paraId="492968E2" w14:textId="043BE02F" w:rsidR="002F0F01" w:rsidRPr="00C33834" w:rsidRDefault="002F0F01" w:rsidP="00C33834">
      <w:pPr>
        <w:pStyle w:val="rtejustify"/>
        <w:spacing w:before="0" w:after="0"/>
        <w:rPr>
          <w:i/>
          <w:iCs/>
          <w:color w:val="000000" w:themeColor="text1"/>
          <w:sz w:val="16"/>
          <w:szCs w:val="16"/>
        </w:rPr>
      </w:pPr>
      <w:r w:rsidRPr="00C33834">
        <w:rPr>
          <w:i/>
          <w:iCs/>
          <w:color w:val="000000" w:themeColor="text1"/>
          <w:sz w:val="16"/>
          <w:szCs w:val="16"/>
        </w:rPr>
        <w:t>Армия:</w:t>
      </w:r>
    </w:p>
    <w:p w14:paraId="0786BC3E" w14:textId="77777777" w:rsidR="002F0F01" w:rsidRPr="00C33834" w:rsidRDefault="002F0F01" w:rsidP="00C33834">
      <w:pPr>
        <w:pStyle w:val="rtejustify"/>
        <w:spacing w:before="0" w:after="0"/>
        <w:rPr>
          <w:i/>
          <w:iCs/>
          <w:color w:val="000000" w:themeColor="text1"/>
          <w:sz w:val="16"/>
          <w:szCs w:val="16"/>
        </w:rPr>
      </w:pPr>
    </w:p>
    <w:p w14:paraId="20E55F44"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марта 1933 г. Штаб РККА обсудил вопрос о развитии морской авиации. В обсуждении приняли участие Я. И. Алкснис, И. М. Лудри, С. А. Меженинов, В. В. Хрипин, В. М. Орлов. В заключение выступил начальник Штаба РККА А. И. Егоров. Он считал, что развитие морской авиации должно идти по тем же принципам, что и сухопутной, что "строительство морской авиации необходимо выдвинуть на первый план, и не за счет заграничных закупок (кроме образцов), а путем постройки заводов и создания новых конструкций гидросамолетов" (19929).</w:t>
      </w:r>
    </w:p>
    <w:p w14:paraId="1A846C0D" w14:textId="77777777" w:rsidR="002F0F01" w:rsidRPr="00C33834" w:rsidRDefault="002F0F01" w:rsidP="00C33834">
      <w:pPr>
        <w:spacing w:after="0" w:line="240" w:lineRule="auto"/>
        <w:jc w:val="both"/>
        <w:rPr>
          <w:rFonts w:ascii="Times New Roman" w:hAnsi="Times New Roman"/>
          <w:color w:val="0070C0"/>
          <w:sz w:val="16"/>
          <w:szCs w:val="16"/>
        </w:rPr>
      </w:pPr>
    </w:p>
    <w:p w14:paraId="6EDF618D" w14:textId="77777777" w:rsidR="00F4240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0AAE5297"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5CA321C7" w14:textId="77777777" w:rsidR="00167BB0" w:rsidRPr="00C33834" w:rsidRDefault="00167B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марта 1933. Газета "Вечерняя Москва" сообщала: "Завтра в Москве открываются коммерческие магазины по продаже мяса. Послезавтра открываются магазины по продаже хлеба по коммерческим ценам".</w:t>
      </w:r>
    </w:p>
    <w:p w14:paraId="7953AE99" w14:textId="77777777" w:rsidR="00167BB0" w:rsidRPr="00C33834" w:rsidRDefault="00167B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книге воспоминаний "Неувядаемый свет" Н. М. Любимов пишет: "В 33-м году открываются "коммерческие" магазины, где по бешеным ценам можно купить продукты нэповского качества. А за прилавками открытых магазинов все легче "кататься шарам". Какой-то безвестный поэт скупыми, но характерными мазками написал картину тогдашней столовой:</w:t>
      </w:r>
    </w:p>
    <w:p w14:paraId="1A5E2596" w14:textId="77777777" w:rsidR="00167BB0" w:rsidRPr="00C33834" w:rsidRDefault="00167B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толовая. Припасов нет. Последний съеден винегрет.</w:t>
      </w:r>
    </w:p>
    <w:p w14:paraId="28D4A4AA" w14:textId="77777777" w:rsidR="00167BB0" w:rsidRPr="00C33834" w:rsidRDefault="00167B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Пустой буфет. В почетной раме Лишь непитательный портрет:</w:t>
      </w:r>
    </w:p>
    <w:p w14:paraId="00BDD7F1" w14:textId="77777777" w:rsidR="00167BB0" w:rsidRPr="00C33834" w:rsidRDefault="00167B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Тупой, откормленный брюнет С несимпатичными усами.</w:t>
      </w:r>
    </w:p>
    <w:p w14:paraId="0E11E549" w14:textId="77777777" w:rsidR="00167BB0" w:rsidRPr="00C33834" w:rsidRDefault="00167B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Страна со сказочной быстротой обнищала вновь" (18722).</w:t>
      </w:r>
    </w:p>
    <w:p w14:paraId="5F95E5DB" w14:textId="77777777" w:rsidR="00167BB0" w:rsidRPr="00C33834" w:rsidRDefault="00167BB0" w:rsidP="00C33834">
      <w:pPr>
        <w:spacing w:after="0" w:line="240" w:lineRule="auto"/>
        <w:jc w:val="both"/>
        <w:rPr>
          <w:rFonts w:ascii="Times New Roman" w:hAnsi="Times New Roman"/>
          <w:color w:val="000000" w:themeColor="text1"/>
          <w:sz w:val="16"/>
          <w:szCs w:val="16"/>
        </w:rPr>
      </w:pPr>
    </w:p>
    <w:p w14:paraId="149FDAB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марта 1933 совместным приказом МКС и ДИТЛ № 24 «несвоевременная выплата премвознаграждений з/к» расценивалась «как срыв системы поощрения добросовестно работающих лагерников и проводимых мероприятий по повышению производительности труда с привлечением к персональной ответственности начальников отделений, начальников производственно-технических частей и начальников финансовых частей» (7560).</w:t>
      </w:r>
    </w:p>
    <w:p w14:paraId="539659AC"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49FB085B" w14:textId="77777777" w:rsidR="001C2FB0"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3E7C61FA" w14:textId="77777777" w:rsidR="001C2FB0" w:rsidRPr="00C33834" w:rsidRDefault="001C2FB0" w:rsidP="00C33834">
      <w:pPr>
        <w:spacing w:after="0" w:line="240" w:lineRule="auto"/>
        <w:jc w:val="both"/>
        <w:rPr>
          <w:rFonts w:ascii="Times New Roman" w:hAnsi="Times New Roman"/>
          <w:color w:val="000000" w:themeColor="text1"/>
          <w:sz w:val="16"/>
          <w:szCs w:val="16"/>
        </w:rPr>
      </w:pPr>
    </w:p>
    <w:p w14:paraId="44C78245" w14:textId="77777777" w:rsidR="001C2FB0" w:rsidRPr="00C33834" w:rsidRDefault="001C2FB0"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color w:val="000000" w:themeColor="text1"/>
          <w:sz w:val="16"/>
          <w:szCs w:val="16"/>
        </w:rPr>
        <w:t>С 1 по 14 мая 1933 г. в Польше находилась советская хозяйственная делегация, возглавляемая зам. наркома внешней торговли СССР И. В. Боевым. В результате переговоров была достигнута договоренность и подписан протокол о расширении товарооборота между обеими странами. Польско-советский торговый договор был заключен только в феврале 1939 г. (см. Документы и материалы по истории советско-польских отношений. Т. 6. М., 1969. С. 39, 41, 42, 376) (17281).</w:t>
      </w:r>
    </w:p>
    <w:p w14:paraId="34DD71BA" w14:textId="77777777" w:rsidR="001C2FB0" w:rsidRPr="00C33834" w:rsidRDefault="001C2FB0" w:rsidP="00C33834">
      <w:pPr>
        <w:spacing w:after="0" w:line="240" w:lineRule="auto"/>
        <w:jc w:val="both"/>
        <w:rPr>
          <w:rFonts w:ascii="Times New Roman" w:hAnsi="Times New Roman"/>
          <w:iCs/>
          <w:color w:val="000000" w:themeColor="text1"/>
          <w:sz w:val="16"/>
          <w:szCs w:val="16"/>
        </w:rPr>
      </w:pPr>
    </w:p>
    <w:p w14:paraId="2E60AC30" w14:textId="77777777" w:rsidR="00933F2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DBA6914" w14:textId="77777777" w:rsidR="00933F24" w:rsidRPr="00C33834" w:rsidRDefault="00933F24" w:rsidP="00C33834">
      <w:pPr>
        <w:spacing w:after="0" w:line="240" w:lineRule="auto"/>
        <w:jc w:val="both"/>
        <w:rPr>
          <w:rFonts w:ascii="Times New Roman" w:hAnsi="Times New Roman"/>
          <w:iCs/>
          <w:color w:val="000000" w:themeColor="text1"/>
          <w:sz w:val="16"/>
          <w:szCs w:val="16"/>
        </w:rPr>
      </w:pPr>
    </w:p>
    <w:p w14:paraId="035E1496" w14:textId="77777777" w:rsidR="00933F24" w:rsidRPr="00C33834" w:rsidRDefault="00933F24"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 марта</w:t>
      </w:r>
      <w:r w:rsidRPr="00C33834">
        <w:rPr>
          <w:rFonts w:ascii="Times New Roman" w:hAnsi="Times New Roman"/>
          <w:color w:val="000000" w:themeColor="text1"/>
          <w:sz w:val="16"/>
          <w:szCs w:val="16"/>
        </w:rPr>
        <w:t xml:space="preserve"> в 1933 году образовано ОАО "Балашихинский литейно-механический завод". На полную мощность завод начал работать с 1939 г., обеспечивая авиационными колесами, тормозами и агрегатами управления все авиационные заводы страны. На предприятии организованы: производство штампованных изделий; алюминиевый и магниевый цеха; цех изготовления литейной оснастки; цеха металлокерамики и крупногабаритного каркасного литья; механическое производство; цех порошковой металлургии. В 1966 г. открыт цех титанового литья. Высокий уровень его технологий и технического оснащения позволили продукции завода выйти на мировой рынок. В 1992 г. завод преобразован из госпредприятия в АООТ БЛМЗ, а в 1995 г. — в ОАО "Балашихинский литейно-механический завод". В настоящее время завод является крупнейшим российским производителем фасонного литья из титановых, магниевых, алюминиевых сплавов (15056).</w:t>
      </w:r>
    </w:p>
    <w:p w14:paraId="4B487CAF" w14:textId="77777777" w:rsidR="00933F24" w:rsidRPr="00C33834" w:rsidRDefault="00933F24" w:rsidP="00C33834">
      <w:pPr>
        <w:spacing w:after="0" w:line="240" w:lineRule="auto"/>
        <w:jc w:val="both"/>
        <w:rPr>
          <w:rFonts w:ascii="Times New Roman" w:hAnsi="Times New Roman"/>
          <w:color w:val="000000" w:themeColor="text1"/>
          <w:sz w:val="16"/>
          <w:szCs w:val="16"/>
        </w:rPr>
      </w:pPr>
    </w:p>
    <w:p w14:paraId="36E41646" w14:textId="77777777" w:rsidR="00F4240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673746F5" w14:textId="77777777" w:rsidR="00F42404" w:rsidRPr="00C33834" w:rsidRDefault="00F42404" w:rsidP="00C33834">
      <w:pPr>
        <w:spacing w:after="0" w:line="240" w:lineRule="auto"/>
        <w:jc w:val="both"/>
        <w:rPr>
          <w:rFonts w:ascii="Times New Roman" w:hAnsi="Times New Roman"/>
          <w:iCs/>
          <w:color w:val="000000" w:themeColor="text1"/>
          <w:sz w:val="16"/>
          <w:szCs w:val="16"/>
        </w:rPr>
      </w:pPr>
    </w:p>
    <w:p w14:paraId="4EAA027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2 марта 1933 вышло постановление СТО N 103-24 "О ценах на продукцию военной промышленности" (2324,11).</w:t>
      </w:r>
    </w:p>
    <w:p w14:paraId="6B2C6FEE"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22CEF739" w14:textId="77777777" w:rsidR="00ED11EC" w:rsidRPr="00C33834" w:rsidRDefault="00ED11EC" w:rsidP="00C33834">
      <w:pPr>
        <w:pStyle w:val="rtejustify"/>
        <w:spacing w:before="0" w:after="0"/>
        <w:rPr>
          <w:color w:val="000000" w:themeColor="text1"/>
          <w:sz w:val="16"/>
          <w:szCs w:val="16"/>
        </w:rPr>
      </w:pPr>
      <w:r w:rsidRPr="00C33834">
        <w:rPr>
          <w:rStyle w:val="af0"/>
          <w:bCs/>
          <w:i w:val="0"/>
          <w:color w:val="000000" w:themeColor="text1"/>
          <w:sz w:val="16"/>
          <w:szCs w:val="16"/>
        </w:rPr>
        <w:t>2 марта 1933 вышел приказ НКТП № 16с.</w:t>
      </w:r>
      <w:r w:rsidRPr="00C33834">
        <w:rPr>
          <w:color w:val="000000" w:themeColor="text1"/>
          <w:sz w:val="16"/>
          <w:szCs w:val="16"/>
        </w:rPr>
        <w:t xml:space="preserve"> О задачах для Снарядного бюро по производству опытных партий бронебойных и фугасных морских снарядов и бронебойных снарядов полевой артиллерии. (РГАЭ. Ф. 7297. Оп. 38. Д. 37. Л. 24</w:t>
      </w:r>
      <w:r w:rsidRPr="00C33834">
        <w:rPr>
          <w:color w:val="000000" w:themeColor="text1"/>
          <w:sz w:val="16"/>
          <w:szCs w:val="16"/>
        </w:rPr>
        <w:noBreakHyphen/>
        <w:t>22) (15246).</w:t>
      </w:r>
    </w:p>
    <w:p w14:paraId="78EEFFA0" w14:textId="77777777" w:rsidR="00ED11EC" w:rsidRPr="00C33834" w:rsidRDefault="00ED11EC" w:rsidP="00C33834">
      <w:pPr>
        <w:pStyle w:val="rtejustify"/>
        <w:spacing w:before="0" w:after="0"/>
        <w:rPr>
          <w:color w:val="000000" w:themeColor="text1"/>
          <w:sz w:val="16"/>
          <w:szCs w:val="16"/>
        </w:rPr>
      </w:pPr>
    </w:p>
    <w:p w14:paraId="03D186A1" w14:textId="77777777" w:rsidR="00ED11EC" w:rsidRPr="00C33834" w:rsidRDefault="00ED11EC"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марта 1933 первый директор завода Новое Сормово Лисянский был уволен с формулировкой «за непринятие мер по отношению к лицам, недобросовестно относящимся к порученной работе, и расхлябанность». Новым директором был назначен Л. Радкевич. Карательные меры были применены и к другим лицам. Так, начальник бюро оборудования «Нового Сормова» Жуин был арестован на 30 суток с последующей отдачей под суд. Кроме того, суду были преданы председатель приемочной комиссии Колмаков, начальник бюро оборудования механического сектора Шумков, начальник сектора проверки, коммерческий директор, начальник капитального строительства и главный механик. [12 — ГУ ЦАНО, Ф. 2491, Оп. 1, Д. 15, Л. 152.] Были обнаруженыи финансовые злоупотребления. Так, в растрате государственных средств уличили уполномоченного финансового сектора Диментман (11741).</w:t>
      </w:r>
    </w:p>
    <w:p w14:paraId="18267860" w14:textId="77777777" w:rsidR="00ED11EC" w:rsidRPr="00C33834" w:rsidRDefault="00ED11EC" w:rsidP="00C33834">
      <w:pPr>
        <w:shd w:val="clear" w:color="auto" w:fill="FFFFFF"/>
        <w:spacing w:after="0" w:line="240" w:lineRule="auto"/>
        <w:jc w:val="both"/>
        <w:rPr>
          <w:rFonts w:ascii="Times New Roman" w:hAnsi="Times New Roman"/>
          <w:color w:val="000000" w:themeColor="text1"/>
          <w:sz w:val="16"/>
          <w:szCs w:val="16"/>
        </w:rPr>
      </w:pPr>
    </w:p>
    <w:p w14:paraId="16E4C2F5" w14:textId="77777777" w:rsidR="00F4240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611800CD"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70E3A37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марта 1933 за подписями Когана и зам. начальника Управления Дмитлага Радецкого был выпущен приказ № 25 по Строительству и лагерю:</w:t>
      </w:r>
    </w:p>
    <w:p w14:paraId="68031B1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«Система Исправительно-Трудовых Лагерей ОГПУ дает возможность людям, совершившим преступления против Советской власти, исправиться и вернуться в семью трудящихся.</w:t>
      </w:r>
    </w:p>
    <w:p w14:paraId="5A3436B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Исправительно-трудовая практика лагерей ОГПУ основана, в первую очередь, на трудовых процессах и на самодеятельности заключенных, только поэтому в лагерях ОГПУ практикуется и поощряется допущение заключенных на хозяйственные и даже административные должности.</w:t>
      </w:r>
    </w:p>
    <w:p w14:paraId="2024357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Люди, стремящиеся к исправлению, этим дорожат. Учатся работать честно и самоотверженно, берегут государственную копейку, государственное имущество.</w:t>
      </w:r>
    </w:p>
    <w:p w14:paraId="2824036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доверенному им имуществу они относятся, как подобает относиться К СВЯЩЕННОЙ ОБЩЕСТВЕННОЙ СОБСТВЕННОСТИ.</w:t>
      </w:r>
    </w:p>
    <w:p w14:paraId="08A352D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 есть заключенные, которые не хотят исправляться, есть негодяи, преступники, которые не хотят стать честными людьми.</w:t>
      </w:r>
    </w:p>
    <w:p w14:paraId="7CAE0CC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Они в лагерях продолжают быть врагами Советской Власти, борются с ней и расхищают общественную собственность.</w:t>
      </w:r>
    </w:p>
    <w:p w14:paraId="3C2DD04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Заключенные: БЕЗФАМИЛЬНЫЙ, Иван Васильевич,</w:t>
      </w:r>
    </w:p>
    <w:p w14:paraId="449B98B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ПОЛЯКОВ, Владимир Иванович,</w:t>
      </w:r>
    </w:p>
    <w:p w14:paraId="203F9B4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ТРОФИМОВ, Семен Никитич,</w:t>
      </w:r>
    </w:p>
    <w:p w14:paraId="433495A2"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СТОКЛИЦКИЙ, Зундель Израилевич,</w:t>
      </w:r>
    </w:p>
    <w:p w14:paraId="535D537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использовав свое служебное положение, занялись кражами, самоснабжением, за что Коллегией ОГПУ приговорены сроком на 10 лет каждый, с отбытием наказания на Соловецком острове.</w:t>
      </w:r>
    </w:p>
    <w:p w14:paraId="3E57365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В/наемный гражданин гор. Дмитрова МИРОНОВ, Николай Емельянович за связь с заключенными, выразившейся [так] в пособничестве, путем продажи краденных продуктов выше указанными заключенными, Коллегией ОГПУ приговорен к 10-ти годам Исправительно-Трудовых лагерей.</w:t>
      </w:r>
    </w:p>
    <w:p w14:paraId="32CBD5E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Объявляя настоящее постановление Коллегии ОГПУ, ПРЕДУПРЕЖДАЮ, что мера соц. защиты по отношению к вышеперечисленным расхитителям является мерой, предостерегающей всех остальных работников Дмитровских лагерей, и если это предостережение не даст реальных результатов, то впредь за хищения будут применяться самые суровые меры, вплоть до применения высшей меры наказания - расстрела.</w:t>
      </w:r>
    </w:p>
    <w:p w14:paraId="50DB0C1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Настоящий приказ прочесть всему лагнаселению, а КВЧ через воспитателей проработать на очередных беседах с лагерниками» (7560).</w:t>
      </w:r>
    </w:p>
    <w:p w14:paraId="7E6C89A6"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24E9B2B2" w14:textId="77777777" w:rsidR="00F4240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4792737" w14:textId="77777777" w:rsidR="00F42404" w:rsidRPr="00C33834" w:rsidRDefault="00F42404" w:rsidP="00C33834">
      <w:pPr>
        <w:spacing w:after="0" w:line="240" w:lineRule="auto"/>
        <w:jc w:val="both"/>
        <w:rPr>
          <w:rFonts w:ascii="Times New Roman" w:hAnsi="Times New Roman"/>
          <w:iCs/>
          <w:color w:val="000000" w:themeColor="text1"/>
          <w:sz w:val="16"/>
          <w:szCs w:val="16"/>
        </w:rPr>
      </w:pPr>
    </w:p>
    <w:p w14:paraId="26E22693" w14:textId="77777777" w:rsidR="00F42404" w:rsidRPr="00C33834" w:rsidRDefault="00F42404"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марта 1933 в Нью-Йорке состоялась премьера фильма «Кинг-Конг» (4962).</w:t>
      </w:r>
    </w:p>
    <w:p w14:paraId="4CEE94B7" w14:textId="77777777" w:rsidR="00F42404" w:rsidRPr="00C33834" w:rsidRDefault="00F42404" w:rsidP="00C33834">
      <w:pPr>
        <w:tabs>
          <w:tab w:val="left" w:pos="11199"/>
        </w:tabs>
        <w:spacing w:after="0" w:line="240" w:lineRule="auto"/>
        <w:jc w:val="both"/>
        <w:rPr>
          <w:rFonts w:ascii="Times New Roman" w:hAnsi="Times New Roman"/>
          <w:color w:val="000000" w:themeColor="text1"/>
          <w:sz w:val="16"/>
          <w:szCs w:val="16"/>
        </w:rPr>
      </w:pPr>
    </w:p>
    <w:p w14:paraId="77CC1CF9" w14:textId="77777777" w:rsidR="00F4240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C807D42" w14:textId="77777777" w:rsidR="00F42404" w:rsidRPr="00C33834" w:rsidRDefault="00F42404" w:rsidP="00C33834">
      <w:pPr>
        <w:spacing w:after="0" w:line="240" w:lineRule="auto"/>
        <w:jc w:val="both"/>
        <w:rPr>
          <w:rFonts w:ascii="Times New Roman" w:hAnsi="Times New Roman"/>
          <w:iCs/>
          <w:color w:val="000000" w:themeColor="text1"/>
          <w:sz w:val="16"/>
          <w:szCs w:val="16"/>
        </w:rPr>
      </w:pPr>
    </w:p>
    <w:p w14:paraId="1852301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марта 1933 ТБ-4 6М-34 вышел на аэродром (2287,131).</w:t>
      </w:r>
    </w:p>
    <w:p w14:paraId="240C61A3"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0A0A7E4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марта 1933 вышло постановление РВСС "О развитии авиационной техники на основе виденного на авиационной выставке во Франции и на заводах Германии" (2305,87).</w:t>
      </w:r>
    </w:p>
    <w:p w14:paraId="4F9B88B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нем были поставлены задания:</w:t>
      </w:r>
    </w:p>
    <w:p w14:paraId="1CD8B84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Просить НКТП</w:t>
      </w:r>
    </w:p>
    <w:p w14:paraId="4122A04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разработать и построить учебный и спортивный самолет и мотор по повышенным требованиям</w:t>
      </w:r>
    </w:p>
    <w:p w14:paraId="686AF8B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а) для первоначального обучения</w:t>
      </w:r>
    </w:p>
    <w:p w14:paraId="6AD45E2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б) для тренировки как на одноместной машине</w:t>
      </w:r>
    </w:p>
    <w:p w14:paraId="702D81B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в) для слепого полета</w:t>
      </w:r>
    </w:p>
    <w:p w14:paraId="1CD6517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г) для ночного полета и полета в строю (для обучения л-наблюдателей, приемам навигации, фото, бомбометанию, стрельбе</w:t>
      </w:r>
    </w:p>
    <w:p w14:paraId="650082D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разработать и построить тип тренировочного истребителя под мощность 150-200 нр</w:t>
      </w:r>
    </w:p>
    <w:p w14:paraId="5FA97EC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а) самолет сопровождения</w:t>
      </w:r>
    </w:p>
    <w:p w14:paraId="0471630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б) тренировочный</w:t>
      </w:r>
    </w:p>
    <w:p w14:paraId="0CEFAE2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в) местных линий</w:t>
      </w:r>
    </w:p>
    <w:p w14:paraId="61F8B5A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провести необходимые исследования и ускорить применение: подкрылков, закрылков, двойного крыла, крыла с меняющимся профилем..., имея в виду:</w:t>
      </w:r>
    </w:p>
    <w:p w14:paraId="1D5DBD4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а) получить наибольший диапазон гор. скоростей</w:t>
      </w:r>
    </w:p>
    <w:p w14:paraId="303439E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б) увеличить устойчивость при полете с предельными нагрузками</w:t>
      </w:r>
    </w:p>
    <w:p w14:paraId="5E9ECB61"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в) уменьшить посадочные скорости</w:t>
      </w:r>
    </w:p>
    <w:p w14:paraId="0CED2E5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г) увеличить скороподъемность</w:t>
      </w:r>
    </w:p>
    <w:p w14:paraId="021895B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Считать одной из важнейших задач ближайшего периода получение легкого двухместного самолета, универсального в производстве и специализированного по оборудованию для назначения:</w:t>
      </w:r>
    </w:p>
    <w:p w14:paraId="0434E8A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а) оперативный разведчик</w:t>
      </w:r>
    </w:p>
    <w:p w14:paraId="7CCDE73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б) двухместный истребитель</w:t>
      </w:r>
    </w:p>
    <w:p w14:paraId="022D3C8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в) ЛБ</w:t>
      </w:r>
    </w:p>
    <w:p w14:paraId="1C782A9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г) в части применения ЛР, как скоростного почтовика отдельно согласовать вопрос П.И.Б. с Гольцманом и Алкснисом</w:t>
      </w:r>
    </w:p>
    <w:p w14:paraId="4907908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этими требованиями испытать находящийся в постройке ЛР и только в случае получения неудовлетворительного результата по ЛР приступить к постройке специального универсального самолета.</w:t>
      </w:r>
    </w:p>
    <w:p w14:paraId="424013B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В 1933 разрешить вопрос о предупреждении баков от пожаров и недопуска течи горючего при пробитии пулей.</w:t>
      </w:r>
    </w:p>
    <w:p w14:paraId="2F41EFD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Считать необходимым переход на экранирование моторов в 1933. Обязать НКТП в 1933 установить производство экранированных моторов в серии...(2305,87).</w:t>
      </w:r>
    </w:p>
    <w:p w14:paraId="0F9AA4BC"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3AAE786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марта 1933 года РВС принял постановление «О развитии авиационной техники на основе виденного на авиационной выставке во Франции и на заводах Германии» (РГВА. Ф. 4. Оп. 14. Д. 2942. Л. 29—32.). Документ предписывал Наркомтяжпрому разработать и построить учебный самолет (с двигателем) для обучения летчиков-наблюдателей приемам навигации, фотографирования, бомбометания и стрельбы. Одной из важнейших задач, поставленных Наркомтяжпрому, была постройка легкого двухместного самолета, универсального в производстве, по назначению и оборудованию. Такой самолет мог быть одновременно оперативным разведчиком, истребителем и легким бомбардировщиком (11173).</w:t>
      </w:r>
    </w:p>
    <w:p w14:paraId="524E7C95"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280E468F" w14:textId="77777777" w:rsidR="00933F24" w:rsidRPr="00C33834" w:rsidRDefault="00933F24" w:rsidP="00C33834">
      <w:pPr>
        <w:pStyle w:val="rtejustify"/>
        <w:spacing w:before="0" w:after="0"/>
        <w:rPr>
          <w:color w:val="000000" w:themeColor="text1"/>
          <w:sz w:val="16"/>
          <w:szCs w:val="16"/>
        </w:rPr>
      </w:pPr>
      <w:r w:rsidRPr="00C33834">
        <w:rPr>
          <w:rStyle w:val="af0"/>
          <w:bCs/>
          <w:i w:val="0"/>
          <w:color w:val="000000" w:themeColor="text1"/>
          <w:sz w:val="16"/>
          <w:szCs w:val="16"/>
        </w:rPr>
        <w:t>3 марта</w:t>
      </w:r>
      <w:r w:rsidRPr="00C33834">
        <w:rPr>
          <w:rStyle w:val="af0"/>
          <w:rFonts w:eastAsiaTheme="majorEastAsia"/>
          <w:bCs/>
          <w:i w:val="0"/>
          <w:color w:val="000000" w:themeColor="text1"/>
          <w:sz w:val="16"/>
          <w:szCs w:val="16"/>
        </w:rPr>
        <w:t xml:space="preserve"> 1933</w:t>
      </w:r>
      <w:r w:rsidRPr="00C33834">
        <w:rPr>
          <w:color w:val="000000" w:themeColor="text1"/>
          <w:sz w:val="16"/>
          <w:szCs w:val="16"/>
        </w:rPr>
        <w:t>. Постановление РВСС «О развитии авиационной техники на основе виденного на авиационной выставке во Франции и на заводах Германии». (РГВА. Ф. 4. Оп. 18. Д. 23. Л. 73</w:t>
      </w:r>
      <w:r w:rsidRPr="00C33834">
        <w:rPr>
          <w:color w:val="000000" w:themeColor="text1"/>
          <w:sz w:val="16"/>
          <w:szCs w:val="16"/>
        </w:rPr>
        <w:noBreakHyphen/>
        <w:t>77) (15461).</w:t>
      </w:r>
    </w:p>
    <w:p w14:paraId="46B59B0A" w14:textId="77777777" w:rsidR="00933F24" w:rsidRPr="00C33834" w:rsidRDefault="00933F24" w:rsidP="00C33834">
      <w:pPr>
        <w:pStyle w:val="rtejustify"/>
        <w:spacing w:before="0" w:after="0"/>
        <w:rPr>
          <w:rStyle w:val="af0"/>
          <w:bCs/>
          <w:i w:val="0"/>
          <w:color w:val="000000" w:themeColor="text1"/>
          <w:sz w:val="16"/>
          <w:szCs w:val="16"/>
        </w:rPr>
      </w:pPr>
    </w:p>
    <w:p w14:paraId="4009A639" w14:textId="77777777" w:rsidR="00F4240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D3ABF82" w14:textId="77777777" w:rsidR="00F42404" w:rsidRPr="00C33834" w:rsidRDefault="00F42404" w:rsidP="00C33834">
      <w:pPr>
        <w:spacing w:after="0" w:line="240" w:lineRule="auto"/>
        <w:jc w:val="both"/>
        <w:rPr>
          <w:rFonts w:ascii="Times New Roman" w:hAnsi="Times New Roman"/>
          <w:iCs/>
          <w:color w:val="000000" w:themeColor="text1"/>
          <w:sz w:val="16"/>
          <w:szCs w:val="16"/>
        </w:rPr>
      </w:pPr>
    </w:p>
    <w:p w14:paraId="2B9CC319" w14:textId="77777777" w:rsidR="002F0F01" w:rsidRPr="00C33834" w:rsidRDefault="002F0F01" w:rsidP="00C33834">
      <w:pPr>
        <w:pStyle w:val="ae"/>
        <w:shd w:val="clear" w:color="auto" w:fill="FFFFFF"/>
        <w:spacing w:before="0" w:after="0"/>
        <w:jc w:val="both"/>
        <w:textAlignment w:val="baseline"/>
        <w:rPr>
          <w:color w:val="0070C0"/>
          <w:sz w:val="16"/>
          <w:szCs w:val="16"/>
        </w:rPr>
      </w:pPr>
      <w:r w:rsidRPr="00C33834">
        <w:rPr>
          <w:color w:val="0070C0"/>
          <w:sz w:val="16"/>
          <w:szCs w:val="16"/>
        </w:rPr>
        <w:t xml:space="preserve">3 марта 1933 года появились тактико-технические требования к проект «большого триплекса» СУ-7. Данная машина представляла собой установку 254-мм пушки, </w:t>
      </w:r>
      <w:r w:rsidRPr="00C33834">
        <w:rPr>
          <w:color w:val="0070C0"/>
          <w:sz w:val="16"/>
          <w:szCs w:val="16"/>
        </w:rPr>
        <w:lastRenderedPageBreak/>
        <w:t>305-мм гаубицы, либо 400-мм мортиры на шасси Т-35. СУ-7, как и орудия для неё, так и осталась нереализованными (19857).</w:t>
      </w:r>
    </w:p>
    <w:p w14:paraId="37F56821" w14:textId="77777777" w:rsidR="002F0F01" w:rsidRPr="00C33834" w:rsidRDefault="002F0F01" w:rsidP="00C33834">
      <w:pPr>
        <w:pStyle w:val="ae"/>
        <w:shd w:val="clear" w:color="auto" w:fill="FFFFFF"/>
        <w:spacing w:before="0" w:after="0"/>
        <w:jc w:val="both"/>
        <w:textAlignment w:val="baseline"/>
        <w:rPr>
          <w:color w:val="0070C0"/>
          <w:sz w:val="16"/>
          <w:szCs w:val="16"/>
        </w:rPr>
      </w:pPr>
    </w:p>
    <w:p w14:paraId="61D1C028" w14:textId="77777777" w:rsidR="00F42404" w:rsidRPr="00C33834" w:rsidRDefault="00F42404"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марта 1933 начались испы</w:t>
      </w:r>
      <w:r w:rsidRPr="00C33834">
        <w:rPr>
          <w:rFonts w:ascii="Times New Roman" w:hAnsi="Times New Roman"/>
          <w:color w:val="000000" w:themeColor="text1"/>
          <w:sz w:val="16"/>
          <w:szCs w:val="16"/>
        </w:rPr>
        <w:softHyphen/>
        <w:t>тания «стрельбой и пробегом» артил</w:t>
      </w:r>
      <w:r w:rsidRPr="00C33834">
        <w:rPr>
          <w:rFonts w:ascii="Times New Roman" w:hAnsi="Times New Roman"/>
          <w:color w:val="000000" w:themeColor="text1"/>
          <w:sz w:val="16"/>
          <w:szCs w:val="16"/>
        </w:rPr>
        <w:softHyphen/>
        <w:t>лерийских систем Б-3 (5К) и 20К. Целью этих испытаний было выявление прочности башни, а также безотказности работы всех систем башни после пробега, а также впервые в практи</w:t>
      </w:r>
      <w:r w:rsidRPr="00C33834">
        <w:rPr>
          <w:rFonts w:ascii="Times New Roman" w:hAnsi="Times New Roman"/>
          <w:color w:val="000000" w:themeColor="text1"/>
          <w:sz w:val="16"/>
          <w:szCs w:val="16"/>
        </w:rPr>
        <w:softHyphen/>
        <w:t>ке проектирования танков в СССР рассматривался вопрос удобства обслуживания пушки в башне на походе ив бою. испытания показали сходные результаты по обеим пушкам, хотя полуавтоматика 45-мм орудия 20К работала плохо. Один из анонимных членов комиссии (замечания на</w:t>
      </w:r>
      <w:r w:rsidRPr="00C33834">
        <w:rPr>
          <w:rFonts w:ascii="Times New Roman" w:hAnsi="Times New Roman"/>
          <w:color w:val="000000" w:themeColor="text1"/>
          <w:sz w:val="16"/>
          <w:szCs w:val="16"/>
        </w:rPr>
        <w:softHyphen/>
        <w:t>писаны от руки карандашом и подписи не имеют) с сожа</w:t>
      </w:r>
      <w:r w:rsidRPr="00C33834">
        <w:rPr>
          <w:rFonts w:ascii="Times New Roman" w:hAnsi="Times New Roman"/>
          <w:color w:val="000000" w:themeColor="text1"/>
          <w:sz w:val="16"/>
          <w:szCs w:val="16"/>
        </w:rPr>
        <w:softHyphen/>
        <w:t>лением отмечал: «Новая башня с мощным вооружением вы</w:t>
      </w:r>
      <w:r w:rsidRPr="00C33834">
        <w:rPr>
          <w:rFonts w:ascii="Times New Roman" w:hAnsi="Times New Roman"/>
          <w:color w:val="000000" w:themeColor="text1"/>
          <w:sz w:val="16"/>
          <w:szCs w:val="16"/>
        </w:rPr>
        <w:softHyphen/>
        <w:t>двигает наши танки в разряд передовых образцов... Однако не вполне понятно почему была избрана именно эта 45-мм пуш</w:t>
      </w:r>
      <w:r w:rsidRPr="00C33834">
        <w:rPr>
          <w:rFonts w:ascii="Times New Roman" w:hAnsi="Times New Roman"/>
          <w:color w:val="000000" w:themeColor="text1"/>
          <w:sz w:val="16"/>
          <w:szCs w:val="16"/>
        </w:rPr>
        <w:softHyphen/>
        <w:t>ка, отличающаяся плохой безотказностью в работе... Вновь должен заметить, что 45-мм пушка, предложенная заводом «Красный Путиловец» много перспективнее и работает луч</w:t>
      </w:r>
      <w:r w:rsidRPr="00C33834">
        <w:rPr>
          <w:rFonts w:ascii="Times New Roman" w:hAnsi="Times New Roman"/>
          <w:color w:val="000000" w:themeColor="text1"/>
          <w:sz w:val="16"/>
          <w:szCs w:val="16"/>
        </w:rPr>
        <w:softHyphen/>
        <w:t>ше, но почему-то не изготавливается и на новые танки не устанавливается» (10733,213).</w:t>
      </w:r>
    </w:p>
    <w:p w14:paraId="46C5A7E1" w14:textId="77777777" w:rsidR="00F42404" w:rsidRPr="00C33834" w:rsidRDefault="00F42404" w:rsidP="00C33834">
      <w:pPr>
        <w:shd w:val="clear" w:color="auto" w:fill="FFFFFF"/>
        <w:spacing w:after="0" w:line="240" w:lineRule="auto"/>
        <w:jc w:val="both"/>
        <w:rPr>
          <w:rFonts w:ascii="Times New Roman" w:hAnsi="Times New Roman"/>
          <w:color w:val="000000" w:themeColor="text1"/>
          <w:sz w:val="16"/>
          <w:szCs w:val="16"/>
        </w:rPr>
      </w:pPr>
    </w:p>
    <w:p w14:paraId="27C64B6A" w14:textId="77777777" w:rsidR="002E1BE7" w:rsidRPr="00C33834" w:rsidRDefault="002E1BE7" w:rsidP="00C33834">
      <w:pPr>
        <w:pStyle w:val="ae"/>
        <w:shd w:val="clear" w:color="auto" w:fill="FFFFFF"/>
        <w:spacing w:before="0" w:after="0"/>
        <w:jc w:val="both"/>
        <w:rPr>
          <w:color w:val="000000" w:themeColor="text1"/>
          <w:sz w:val="16"/>
          <w:szCs w:val="16"/>
        </w:rPr>
      </w:pPr>
      <w:r w:rsidRPr="00C33834">
        <w:rPr>
          <w:color w:val="000000" w:themeColor="text1"/>
          <w:sz w:val="16"/>
          <w:szCs w:val="16"/>
        </w:rPr>
        <w:t>3 марта 1933 года «Главтрансмаш» просит «Русский дизель» немедленно отгрузить пару дизелей «Красному Сормову». А 8 марта 1933 он же просит «Красное Сормово» связаться с «Русским дизелем» для доставки в кратчайшие сроки дизелей, которые обещают отгрузить 12 и 25 марта. В апреле они еще так и не поступили на завод. Годом раньше дизели вообще обещали поставить с Коломенского завода в мае 1932 года (?!) Даже комбинат «Красное Сормово» и тот обманул верфь — не поставил — 11,5 т стальных поковок, 18,9 т — стального и 5,3 т бронзового литья. Отставание по срокам поставок составляло 6—8 месяцев. Объективных причин отставания строительства первой подводной лодки было предостаточно. Когда заложили первую подводную лодку на стапеле, на заводе еще не было не только необходимых рабочих чертежей, но даже плазовой документации, — она поступила лишь 20 июля.</w:t>
      </w:r>
    </w:p>
    <w:p w14:paraId="7D47F1D4" w14:textId="77777777" w:rsidR="002E1BE7" w:rsidRPr="00C33834" w:rsidRDefault="002E1BE7" w:rsidP="00C33834">
      <w:pPr>
        <w:pStyle w:val="ae"/>
        <w:shd w:val="clear" w:color="auto" w:fill="FFFFFF"/>
        <w:spacing w:before="0" w:after="0"/>
        <w:jc w:val="both"/>
        <w:rPr>
          <w:color w:val="000000" w:themeColor="text1"/>
          <w:sz w:val="16"/>
          <w:szCs w:val="16"/>
        </w:rPr>
      </w:pPr>
      <w:r w:rsidRPr="00C33834">
        <w:rPr>
          <w:color w:val="000000" w:themeColor="text1"/>
          <w:sz w:val="16"/>
          <w:szCs w:val="16"/>
        </w:rPr>
        <w:t>А вот начальник морских сил РККА В. М. Орлов объективные трудности не признавал. Исходя из факта отставания строительства подводной лодки, высказал свое мнение о целесообразности передачи последующего заказа на подводную лодку с Сормовской верфи. Заместитель Наркома тяжелой промышленности т. Доценко тоже высказался за передачу строительства подлодок с «Красного Сормова» на другую верфь страны. В октябре того же года последовало указание из «Речсоюзверфи»: «Сектор специального судостроения как самостоятельную производственную единицу ликвидировать, весь личный состав передать Верфи…90 человек командировать в Хабаровск на «Востоксоюзверфь».</w:t>
      </w:r>
    </w:p>
    <w:p w14:paraId="4C15476E" w14:textId="77777777" w:rsidR="002E1BE7" w:rsidRPr="00C33834" w:rsidRDefault="002E1BE7" w:rsidP="00C33834">
      <w:pPr>
        <w:pStyle w:val="ae"/>
        <w:shd w:val="clear" w:color="auto" w:fill="FFFFFF"/>
        <w:spacing w:before="0" w:after="0"/>
        <w:jc w:val="both"/>
        <w:rPr>
          <w:color w:val="000000" w:themeColor="text1"/>
          <w:sz w:val="16"/>
          <w:szCs w:val="16"/>
        </w:rPr>
      </w:pPr>
      <w:r w:rsidRPr="00C33834">
        <w:rPr>
          <w:color w:val="000000" w:themeColor="text1"/>
          <w:sz w:val="16"/>
          <w:szCs w:val="16"/>
        </w:rPr>
        <w:t>В защиту продолжения строительства подводных лодок на заводе выступил П. И. Макаркин. Он обратился в Совет труда и обороны (СТО) с письмом: «Как начальник специального судостроения на Сормовской верфи, отдавший из-за любви к этому делу лучшие годы своей жизни, — писал он, — я не могу не высказать Вам своего мнения… Есть необходимость иметь в глубине Союза безопасную базу для постройки подлодок… Спецверфь построила корпус первой подлодки к лету 1931 года, затратив на постройку около 10 месяцев, то есть не уступая другим хорошо оборудованным верфям Союза, например, Балтийского и Николаевского заводов…»</w:t>
      </w:r>
    </w:p>
    <w:p w14:paraId="676212B6" w14:textId="77777777" w:rsidR="002E1BE7" w:rsidRPr="00C33834" w:rsidRDefault="002E1BE7" w:rsidP="00C33834">
      <w:pPr>
        <w:pStyle w:val="ae"/>
        <w:shd w:val="clear" w:color="auto" w:fill="FFFFFF"/>
        <w:spacing w:before="0" w:after="0"/>
        <w:jc w:val="both"/>
        <w:rPr>
          <w:color w:val="000000" w:themeColor="text1"/>
          <w:sz w:val="16"/>
          <w:szCs w:val="16"/>
        </w:rPr>
      </w:pPr>
      <w:r w:rsidRPr="00C33834">
        <w:rPr>
          <w:color w:val="000000" w:themeColor="text1"/>
          <w:sz w:val="16"/>
          <w:szCs w:val="16"/>
        </w:rPr>
        <w:t>Он ищет поддержку и в партийных органах. Отстаивает, доказывает, обращаясь в Москву, он просит «… установить истинные причины медленного хода постройки подлодок на Сормовской Судоверфи… и продолжить строительство подводных лодок на Сормовском заводе» (12189).</w:t>
      </w:r>
    </w:p>
    <w:p w14:paraId="3874C275" w14:textId="77777777" w:rsidR="002E1BE7" w:rsidRPr="00C33834" w:rsidRDefault="002E1BE7" w:rsidP="00C33834">
      <w:pPr>
        <w:pStyle w:val="ae"/>
        <w:shd w:val="clear" w:color="auto" w:fill="FFFFFF"/>
        <w:spacing w:before="0" w:after="0"/>
        <w:jc w:val="both"/>
        <w:rPr>
          <w:color w:val="000000" w:themeColor="text1"/>
          <w:sz w:val="16"/>
          <w:szCs w:val="16"/>
        </w:rPr>
      </w:pPr>
    </w:p>
    <w:p w14:paraId="7254E362" w14:textId="77777777" w:rsidR="00933F24" w:rsidRPr="00C33834" w:rsidRDefault="008E43FA"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3DA4217C" w14:textId="77777777" w:rsidR="00933F24" w:rsidRPr="00C33834" w:rsidRDefault="00933F24" w:rsidP="00C33834">
      <w:pPr>
        <w:spacing w:after="0" w:line="240" w:lineRule="auto"/>
        <w:jc w:val="both"/>
        <w:rPr>
          <w:rFonts w:ascii="Times New Roman" w:hAnsi="Times New Roman"/>
          <w:iCs/>
          <w:color w:val="000000" w:themeColor="text1"/>
          <w:sz w:val="16"/>
          <w:szCs w:val="16"/>
        </w:rPr>
      </w:pPr>
    </w:p>
    <w:p w14:paraId="5CA567B0" w14:textId="77777777" w:rsidR="00933F24" w:rsidRPr="00C33834" w:rsidRDefault="00933F24" w:rsidP="00C33834">
      <w:pPr>
        <w:pStyle w:val="27"/>
        <w:shd w:val="clear" w:color="auto" w:fill="auto"/>
        <w:spacing w:after="0" w:line="240" w:lineRule="auto"/>
        <w:ind w:firstLine="0"/>
        <w:rPr>
          <w:rFonts w:ascii="Times New Roman" w:cs="Times New Roman"/>
          <w:color w:val="000000" w:themeColor="text1"/>
          <w:spacing w:val="0"/>
        </w:rPr>
      </w:pPr>
      <w:r w:rsidRPr="00C33834">
        <w:rPr>
          <w:rFonts w:ascii="Times New Roman" w:cs="Times New Roman"/>
          <w:color w:val="000000" w:themeColor="text1"/>
          <w:spacing w:val="0"/>
        </w:rPr>
        <w:t>3 марта 1933 г. вышел приказ ОГПУ № 1069, во исполнение которого была сформирована 1-я авиационная эскадрилья войск ОГПУ в составе трех авиаотрядов, а к осени 1935 г. в пограничной охране уже НКВД СССР был 21 авиационный отряд (15231).</w:t>
      </w:r>
    </w:p>
    <w:p w14:paraId="5087BC61" w14:textId="77777777" w:rsidR="00933F24" w:rsidRPr="00C33834" w:rsidRDefault="00933F24" w:rsidP="00C33834">
      <w:pPr>
        <w:pStyle w:val="27"/>
        <w:shd w:val="clear" w:color="auto" w:fill="auto"/>
        <w:spacing w:after="0" w:line="240" w:lineRule="auto"/>
        <w:ind w:firstLine="0"/>
        <w:rPr>
          <w:rFonts w:ascii="Times New Roman" w:cs="Times New Roman"/>
          <w:color w:val="000000" w:themeColor="text1"/>
          <w:spacing w:val="0"/>
        </w:rPr>
      </w:pPr>
    </w:p>
    <w:p w14:paraId="0252AF3B" w14:textId="77777777" w:rsidR="00F4240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91923AE" w14:textId="77777777" w:rsidR="00F42404" w:rsidRPr="00C33834" w:rsidRDefault="00F42404" w:rsidP="00C33834">
      <w:pPr>
        <w:spacing w:after="0" w:line="240" w:lineRule="auto"/>
        <w:jc w:val="both"/>
        <w:rPr>
          <w:rFonts w:ascii="Times New Roman" w:hAnsi="Times New Roman"/>
          <w:iCs/>
          <w:color w:val="000000" w:themeColor="text1"/>
          <w:sz w:val="16"/>
          <w:szCs w:val="16"/>
        </w:rPr>
      </w:pPr>
    </w:p>
    <w:p w14:paraId="147A9B5D" w14:textId="77777777" w:rsidR="00F42404" w:rsidRPr="00C33834" w:rsidRDefault="00F42404"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марта 1933 в Потсдаме Гитлер провозгласил образование Третьего Рейха (4962).</w:t>
      </w:r>
    </w:p>
    <w:p w14:paraId="3EA6FE66" w14:textId="77777777" w:rsidR="00F42404" w:rsidRPr="00C33834" w:rsidRDefault="00F42404" w:rsidP="00C33834">
      <w:pPr>
        <w:tabs>
          <w:tab w:val="left" w:pos="11199"/>
        </w:tabs>
        <w:spacing w:after="0" w:line="240" w:lineRule="auto"/>
        <w:jc w:val="both"/>
        <w:rPr>
          <w:rFonts w:ascii="Times New Roman" w:hAnsi="Times New Roman"/>
          <w:color w:val="000000" w:themeColor="text1"/>
          <w:sz w:val="16"/>
          <w:szCs w:val="16"/>
        </w:rPr>
      </w:pPr>
    </w:p>
    <w:p w14:paraId="277A7110" w14:textId="77777777" w:rsidR="00933F24" w:rsidRPr="00C33834" w:rsidRDefault="00933F24"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3 марта</w:t>
      </w:r>
      <w:r w:rsidRPr="00C33834">
        <w:rPr>
          <w:rFonts w:ascii="Times New Roman" w:hAnsi="Times New Roman"/>
          <w:color w:val="000000" w:themeColor="text1"/>
          <w:sz w:val="16"/>
          <w:szCs w:val="16"/>
        </w:rPr>
        <w:t xml:space="preserve"> в 1933 году на выступлении в Потсдаме А.Гитлер провозглашает новое название Германии - "Третий Рейх" (немецкое название - Drittes Reich - третья империя, третье царство). Этот термин был заимствован из средневековых мистических учений о трех царствах: в мифе о "третьем", рейхе (историческим воплощением первых двух считались средневековые "Священная Римская империя" и Германская империя 1871-1918 гг.). Третья империя - "завершающая", "высшая" стадия социального развития (15057).</w:t>
      </w:r>
    </w:p>
    <w:p w14:paraId="1F503CC5" w14:textId="77777777" w:rsidR="00933F24" w:rsidRPr="00C33834" w:rsidRDefault="00933F24" w:rsidP="00C33834">
      <w:pPr>
        <w:spacing w:after="0" w:line="240" w:lineRule="auto"/>
        <w:jc w:val="both"/>
        <w:rPr>
          <w:rFonts w:ascii="Times New Roman" w:hAnsi="Times New Roman"/>
          <w:color w:val="000000" w:themeColor="text1"/>
          <w:sz w:val="16"/>
          <w:szCs w:val="16"/>
        </w:rPr>
      </w:pPr>
    </w:p>
    <w:p w14:paraId="64380FC1" w14:textId="77777777" w:rsidR="00F42404" w:rsidRPr="00C33834" w:rsidRDefault="00F42404"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марта 1933 немецким гестапо арестован глава компартии Германии Эрнст Тельман (4962).</w:t>
      </w:r>
    </w:p>
    <w:p w14:paraId="55C1562C" w14:textId="77777777" w:rsidR="00F42404" w:rsidRPr="00C33834" w:rsidRDefault="00F42404" w:rsidP="00C33834">
      <w:pPr>
        <w:tabs>
          <w:tab w:val="left" w:pos="11199"/>
        </w:tabs>
        <w:spacing w:after="0" w:line="240" w:lineRule="auto"/>
        <w:jc w:val="both"/>
        <w:rPr>
          <w:rFonts w:ascii="Times New Roman" w:hAnsi="Times New Roman"/>
          <w:color w:val="000000" w:themeColor="text1"/>
          <w:sz w:val="16"/>
          <w:szCs w:val="16"/>
        </w:rPr>
      </w:pPr>
    </w:p>
    <w:p w14:paraId="7513C7D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марта 1933 арестовали председателя ЦК КПГ Эрнста Тельмана (3186).</w:t>
      </w:r>
    </w:p>
    <w:p w14:paraId="12E7B9D0"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5ED0278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марта 1933 г. был арестован лидер КПГ Э. Тельман (Подробнее см.: Розанов Г. Л. Германия под властью фашизма. (1933-1939 гг.) М., 1961. С. 74-87.) (11784). После отставки Шляйхера и прихода к власти Гитлера ситуация, в том числе и в Германии,- коренным образом изменилась. В течение неполных двух месяцев пребывания нацистов у власти они буквально растерзали своих крупнейших политических оппонентов — СДПГ и КПГ, имевших по результатам выборов 6 ноября 1932 г. соответственно 121 и 100 депутатских мандатов (Grosses Universalvolkslexikon. Bd.8. S. 110.) (11784).</w:t>
      </w:r>
    </w:p>
    <w:p w14:paraId="7288F3AD"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0AF9364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марта 1933 в Великобритании проходил антивоенный конгресс в Лондоне (3186).</w:t>
      </w:r>
    </w:p>
    <w:p w14:paraId="15A4E498"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71E24CA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марта 1933 в Уругвае прошел южноамериканский антивоенный конгресс в (3186).</w:t>
      </w:r>
    </w:p>
    <w:p w14:paraId="11A437D5"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63FE95A8" w14:textId="77777777" w:rsidR="00F4240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8C03F79" w14:textId="77777777" w:rsidR="00F42404" w:rsidRPr="00C33834" w:rsidRDefault="00F42404" w:rsidP="00C33834">
      <w:pPr>
        <w:spacing w:after="0" w:line="240" w:lineRule="auto"/>
        <w:jc w:val="both"/>
        <w:rPr>
          <w:rFonts w:ascii="Times New Roman" w:hAnsi="Times New Roman"/>
          <w:iCs/>
          <w:color w:val="000000" w:themeColor="text1"/>
          <w:sz w:val="16"/>
          <w:szCs w:val="16"/>
        </w:rPr>
      </w:pPr>
    </w:p>
    <w:p w14:paraId="424FDEF2" w14:textId="77777777" w:rsidR="00F42404" w:rsidRPr="00C33834" w:rsidRDefault="00F42404"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марта 1933 было подготовлено Заключение по Отчету по испытанию самолета У2 М-11 (вооруженный вариант).</w:t>
      </w:r>
    </w:p>
    <w:p w14:paraId="0D28C987" w14:textId="77777777" w:rsidR="00F42404" w:rsidRPr="00C33834" w:rsidRDefault="00F42404"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исполнитель:</w:t>
      </w:r>
    </w:p>
    <w:p w14:paraId="70C7EAD3" w14:textId="77777777" w:rsidR="00F42404" w:rsidRPr="00C33834" w:rsidRDefault="00F42404"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Мируц</w:t>
      </w:r>
    </w:p>
    <w:p w14:paraId="408895FE" w14:textId="77777777" w:rsidR="00F42404" w:rsidRPr="00C33834" w:rsidRDefault="00F42404"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52EEF622" w14:textId="77777777" w:rsidR="00F42404" w:rsidRPr="00C33834" w:rsidRDefault="00F42404"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Выяснить:</w:t>
      </w:r>
    </w:p>
    <w:p w14:paraId="34654D6B" w14:textId="77777777" w:rsidR="00F42404" w:rsidRPr="00C33834" w:rsidRDefault="00F42404" w:rsidP="00C33834">
      <w:pPr>
        <w:numPr>
          <w:ilvl w:val="0"/>
          <w:numId w:val="11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Как повлияло на устойчивость и управляемость самолета увеличение нагрузки и изменение центровки.</w:t>
      </w:r>
    </w:p>
    <w:p w14:paraId="2D57DE42" w14:textId="77777777" w:rsidR="00F42404" w:rsidRPr="00C33834" w:rsidRDefault="00F42404" w:rsidP="00C33834">
      <w:pPr>
        <w:numPr>
          <w:ilvl w:val="0"/>
          <w:numId w:val="11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Оценить в условиях части как изменились летные качества вооруженного самолета по сравнению с нормальным типом.</w:t>
      </w:r>
    </w:p>
    <w:p w14:paraId="1EF66265" w14:textId="77777777" w:rsidR="00F42404" w:rsidRPr="00C33834" w:rsidRDefault="00F42404"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6D297D0D" w14:textId="77777777" w:rsidR="00F42404" w:rsidRPr="00C33834" w:rsidRDefault="00F42404"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основании испытаний можно констатировать, что вооруженный самолет У2 вполне пригоден для частичного проведения учебно-боевой подготовки и может быть рекомендован для применения в школах и частях ВВС (6647).</w:t>
      </w:r>
    </w:p>
    <w:p w14:paraId="6BAF5D0C" w14:textId="77777777" w:rsidR="00F42404" w:rsidRPr="00C33834" w:rsidRDefault="00F42404" w:rsidP="00C33834">
      <w:pPr>
        <w:tabs>
          <w:tab w:val="left" w:pos="11199"/>
        </w:tabs>
        <w:spacing w:after="0" w:line="240" w:lineRule="auto"/>
        <w:jc w:val="both"/>
        <w:rPr>
          <w:rFonts w:ascii="Times New Roman" w:hAnsi="Times New Roman"/>
          <w:color w:val="000000" w:themeColor="text1"/>
          <w:sz w:val="16"/>
          <w:szCs w:val="16"/>
        </w:rPr>
      </w:pPr>
    </w:p>
    <w:p w14:paraId="419182FB" w14:textId="77777777" w:rsidR="00F42404" w:rsidRPr="00C33834" w:rsidRDefault="00F42404"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марта 1933 г. в Тушино был организован дирижаблестроительный учебный комбинат (6395).</w:t>
      </w:r>
    </w:p>
    <w:p w14:paraId="065AA723" w14:textId="77777777" w:rsidR="00F42404" w:rsidRPr="00C33834" w:rsidRDefault="00F42404" w:rsidP="00C33834">
      <w:pPr>
        <w:tabs>
          <w:tab w:val="left" w:pos="11199"/>
        </w:tabs>
        <w:spacing w:after="0" w:line="240" w:lineRule="auto"/>
        <w:jc w:val="both"/>
        <w:rPr>
          <w:rFonts w:ascii="Times New Roman" w:hAnsi="Times New Roman"/>
          <w:color w:val="000000" w:themeColor="text1"/>
          <w:sz w:val="16"/>
          <w:szCs w:val="16"/>
        </w:rPr>
      </w:pPr>
    </w:p>
    <w:p w14:paraId="5ECA95EC" w14:textId="77777777" w:rsidR="00933F2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CE65F05" w14:textId="77777777" w:rsidR="00933F24" w:rsidRPr="00C33834" w:rsidRDefault="00933F24" w:rsidP="00C33834">
      <w:pPr>
        <w:spacing w:after="0" w:line="240" w:lineRule="auto"/>
        <w:jc w:val="both"/>
        <w:rPr>
          <w:rFonts w:ascii="Times New Roman" w:hAnsi="Times New Roman"/>
          <w:iCs/>
          <w:color w:val="000000" w:themeColor="text1"/>
          <w:sz w:val="16"/>
          <w:szCs w:val="16"/>
        </w:rPr>
      </w:pPr>
    </w:p>
    <w:p w14:paraId="4CD805F4" w14:textId="77777777" w:rsidR="00933F24" w:rsidRPr="00C33834" w:rsidRDefault="00933F24" w:rsidP="00C33834">
      <w:pPr>
        <w:pStyle w:val="rtejustify"/>
        <w:spacing w:before="0" w:after="0"/>
        <w:rPr>
          <w:color w:val="000000" w:themeColor="text1"/>
          <w:sz w:val="16"/>
          <w:szCs w:val="16"/>
        </w:rPr>
      </w:pPr>
      <w:r w:rsidRPr="00C33834">
        <w:rPr>
          <w:rStyle w:val="af0"/>
          <w:bCs/>
          <w:i w:val="0"/>
          <w:color w:val="000000" w:themeColor="text1"/>
          <w:sz w:val="16"/>
          <w:szCs w:val="16"/>
        </w:rPr>
        <w:t>4 марта</w:t>
      </w:r>
      <w:r w:rsidRPr="00C33834">
        <w:rPr>
          <w:color w:val="000000" w:themeColor="text1"/>
          <w:sz w:val="16"/>
          <w:szCs w:val="16"/>
        </w:rPr>
        <w:t xml:space="preserve"> 1933 вышел приказ РВСС № 4. 3. О железных гильзах (Ефимов). 4. О пересмотре постановления РВСС от 23 января 1929 г. о раздельной возке 203</w:t>
      </w:r>
      <w:r w:rsidRPr="00C33834">
        <w:rPr>
          <w:color w:val="000000" w:themeColor="text1"/>
          <w:sz w:val="16"/>
          <w:szCs w:val="16"/>
        </w:rPr>
        <w:noBreakHyphen/>
        <w:t>мм гаубицы марки VI (Тухачевский). 11. — 3) Сообщение о подписании председателем РВСС постановления РВСС «О развитии авиационной техники на основе виденного на авиационной выставке во Франции и на заводах Германии» от 3 марта 1933 г. (РГВА. Ф. 4. Оп. 18. Д. 23. Л. 47, 49) (15461).</w:t>
      </w:r>
    </w:p>
    <w:p w14:paraId="166931E4" w14:textId="77777777" w:rsidR="00933F24" w:rsidRPr="00C33834" w:rsidRDefault="00933F24" w:rsidP="00C33834">
      <w:pPr>
        <w:pStyle w:val="rtejustify"/>
        <w:spacing w:before="0" w:after="0"/>
        <w:rPr>
          <w:rStyle w:val="af0"/>
          <w:bCs/>
          <w:i w:val="0"/>
          <w:color w:val="000000" w:themeColor="text1"/>
          <w:sz w:val="16"/>
          <w:szCs w:val="16"/>
        </w:rPr>
      </w:pPr>
    </w:p>
    <w:p w14:paraId="76494A31"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марта 1933 опросом членов ПБ</w:t>
      </w:r>
    </w:p>
    <w:p w14:paraId="74B024CC"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49/26.- О займе  "Агроджойнта"</w:t>
      </w:r>
    </w:p>
    <w:p w14:paraId="24808EA3"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Утвердить решение Валютной комиссии от 2.Ш.33г. (см .приложение).</w:t>
      </w:r>
    </w:p>
    <w:p w14:paraId="72ECC5AC"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КОМИССИИ при СНК СССР 2 марта 1933 r (Утверждено Политбюро ЦК ВКП(б) 4.Ш.ЗЗг.).</w:t>
      </w:r>
    </w:p>
    <w:p w14:paraId="00685C1D"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ВАЛЮТНАЯ КОМИССИЯ при СНК СССР ПОСТАНОВЛЯЕТ:</w:t>
      </w:r>
    </w:p>
    <w:p w14:paraId="3EA26521"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Считать возможным принять предложение д-ра Розена, пред</w:t>
      </w:r>
      <w:r w:rsidRPr="00C33834">
        <w:rPr>
          <w:rFonts w:ascii="Times New Roman" w:hAnsi="Times New Roman"/>
          <w:color w:val="0070C0"/>
          <w:sz w:val="16"/>
          <w:szCs w:val="16"/>
        </w:rPr>
        <w:softHyphen/>
        <w:t>ставителя Ам.О-ва для земельного устройства евреев в СССР и Агроджойнта, об изменении порядка выпуска "займа Агроджойнта" и об инвестициях Агроджойнта в СССР - в следующей редак</w:t>
      </w:r>
      <w:r w:rsidRPr="00C33834">
        <w:rPr>
          <w:rFonts w:ascii="Times New Roman" w:hAnsi="Times New Roman"/>
          <w:color w:val="0070C0"/>
          <w:sz w:val="16"/>
          <w:szCs w:val="16"/>
        </w:rPr>
        <w:softHyphen/>
        <w:t>ции :</w:t>
      </w:r>
    </w:p>
    <w:p w14:paraId="770E7D5A"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Платежи названного об-ва по ’’займу Агроджойнта" за период с 1-го января 1933 года по 1-е января 1936 года на сумму 2.475 т. долл. покрываются не наличными, а:</w:t>
      </w:r>
    </w:p>
    <w:p w14:paraId="01EBD02C"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1) купонами, которым наступает срок в течение периода от 1-го января 1933 г. но 1 января 1936 г.(включительно), как по сериям " займа Агроджойнта", которые уже выданы, так и по сериям, подлежащим выдаче в течение указанного периода и</w:t>
      </w:r>
    </w:p>
    <w:p w14:paraId="4E9DDFCE"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облигациями прежних выпусков "займа Агроджойнта". Против купонов и облигаций, вносимых названным О-вом в уста</w:t>
      </w:r>
      <w:r w:rsidRPr="00C33834">
        <w:rPr>
          <w:rFonts w:ascii="Times New Roman" w:hAnsi="Times New Roman"/>
          <w:color w:val="0070C0"/>
          <w:sz w:val="16"/>
          <w:szCs w:val="16"/>
        </w:rPr>
        <w:softHyphen/>
        <w:t>новленные договором 15 февраля 1929 г. сроки, правительство СССР выдает новые облигации "займа Агроджойнта" на эквивалент</w:t>
      </w:r>
      <w:r w:rsidRPr="00C33834">
        <w:rPr>
          <w:rFonts w:ascii="Times New Roman" w:hAnsi="Times New Roman"/>
          <w:color w:val="0070C0"/>
          <w:sz w:val="16"/>
          <w:szCs w:val="16"/>
        </w:rPr>
        <w:softHyphen/>
        <w:t>ную сумму, т.е. на 2.475 т.долларов.</w:t>
      </w:r>
    </w:p>
    <w:p w14:paraId="199FC80B"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 Правительство СССР соглашается (в пределах утвержден</w:t>
      </w:r>
      <w:r w:rsidRPr="00C33834">
        <w:rPr>
          <w:rFonts w:ascii="Times New Roman" w:hAnsi="Times New Roman"/>
          <w:color w:val="0070C0"/>
          <w:sz w:val="16"/>
          <w:szCs w:val="16"/>
        </w:rPr>
        <w:softHyphen/>
        <w:t>ного Комзетом плана работ Агроджойнта и при наличии лицензий НКВнешторга) покрыть валютой импорт для оперативных нужд Агроджойнта из-заграницы в размере не свыше 60 тыс.долл, ежегодно в течение 1933, 1934 и 1935 г.г. при условии, если необходимые предметы и материалы не могут быть получены в пределах СССР в сроки, определяемые возможностью выполнения ежегодных оперативных планов Агроджойнта, утвержденных Ком</w:t>
      </w:r>
      <w:r w:rsidRPr="00C33834">
        <w:rPr>
          <w:rFonts w:ascii="Times New Roman" w:hAnsi="Times New Roman"/>
          <w:color w:val="0070C0"/>
          <w:sz w:val="16"/>
          <w:szCs w:val="16"/>
        </w:rPr>
        <w:softHyphen/>
        <w:t>зетом.</w:t>
      </w:r>
    </w:p>
    <w:p w14:paraId="21CA0F30"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Ш. Агроджойнт отказывается полностью и навсегда от вывоза заграницу всех сумм., которые были им инвестированы в СССР в связи с договорами между правительством СССР и наз</w:t>
      </w:r>
      <w:r w:rsidRPr="00C33834">
        <w:rPr>
          <w:rFonts w:ascii="Times New Roman" w:hAnsi="Times New Roman"/>
          <w:color w:val="0070C0"/>
          <w:sz w:val="16"/>
          <w:szCs w:val="16"/>
        </w:rPr>
        <w:softHyphen/>
        <w:t>ванной организацией от 16.ХП.24 г. и от 31.1.27 г.</w:t>
      </w:r>
    </w:p>
    <w:p w14:paraId="5FB558F6"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1У. Червонное финансирование Агроджойнта производится в меру его оперативных нужд, устанавливаемых Комзетом, но общая сумма финансирования в период с 1-го января 1933 г. по 1-е января 1936 г. не должна превысить 4.809.915 рублей за вычетом сумм, фактически оплаченных правительством СССР по импортным счетам Агроджойнта.</w:t>
      </w:r>
    </w:p>
    <w:p w14:paraId="4B22BBDE"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 Договор от 15 февраля 1929 г. остается в силе, посколь</w:t>
      </w:r>
      <w:r w:rsidRPr="00C33834">
        <w:rPr>
          <w:rFonts w:ascii="Times New Roman" w:hAnsi="Times New Roman"/>
          <w:color w:val="0070C0"/>
          <w:sz w:val="16"/>
          <w:szCs w:val="16"/>
        </w:rPr>
        <w:softHyphen/>
        <w:t>ку содержание его изменяется изложенными выше пунктами. На основании изложенного оформляется дополнительное к озна</w:t>
      </w:r>
      <w:r w:rsidRPr="00C33834">
        <w:rPr>
          <w:rFonts w:ascii="Times New Roman" w:hAnsi="Times New Roman"/>
          <w:color w:val="0070C0"/>
          <w:sz w:val="16"/>
          <w:szCs w:val="16"/>
        </w:rPr>
        <w:softHyphen/>
        <w:t>ченному договору соглашение, которое подписывается представите</w:t>
      </w:r>
      <w:r w:rsidRPr="00C33834">
        <w:rPr>
          <w:rFonts w:ascii="Times New Roman" w:hAnsi="Times New Roman"/>
          <w:color w:val="0070C0"/>
          <w:sz w:val="16"/>
          <w:szCs w:val="16"/>
        </w:rPr>
        <w:softHyphen/>
        <w:t>лями Комзета и Агроджойнта.</w:t>
      </w:r>
    </w:p>
    <w:p w14:paraId="0E8E2013"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т.т.Керженцеву, Рудзутаку, Гринько.</w:t>
      </w:r>
    </w:p>
    <w:p w14:paraId="7D712601"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марта 1933 опросом членов ПБ</w:t>
      </w:r>
    </w:p>
    <w:p w14:paraId="78CC01E6"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59/36.-О0 техпомощи по судостроению.</w:t>
      </w:r>
    </w:p>
    <w:p w14:paraId="4571D967"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1. Купить у фирмы JVS проект и рабочие чертежи подлодки Е-1 в 755 (с нашим вооружением), а также техническую помощь по постройке подлодок этого типа в СССР.</w:t>
      </w:r>
    </w:p>
    <w:p w14:paraId="3BAE2035"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Купить в Германии для первой подлодки дизеля, необходимое электрооборудование и вспомо</w:t>
      </w:r>
      <w:r w:rsidRPr="00C33834">
        <w:rPr>
          <w:rFonts w:ascii="Times New Roman" w:hAnsi="Times New Roman"/>
          <w:color w:val="0070C0"/>
          <w:sz w:val="16"/>
          <w:szCs w:val="16"/>
        </w:rPr>
        <w:softHyphen/>
        <w:t>гательные механизмы, а также техпомощь по постанов</w:t>
      </w:r>
      <w:r w:rsidRPr="00C33834">
        <w:rPr>
          <w:rFonts w:ascii="Times New Roman" w:hAnsi="Times New Roman"/>
          <w:color w:val="0070C0"/>
          <w:sz w:val="16"/>
          <w:szCs w:val="16"/>
        </w:rPr>
        <w:softHyphen/>
        <w:t>ке их производства в СССР.</w:t>
      </w:r>
    </w:p>
    <w:p w14:paraId="2216584A"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Определить размер валютных ассигнований па приобретение техпомощи по постройке подлодки Е-1 и покупку указанных механизмов в 1.500.000 руб.</w:t>
      </w:r>
    </w:p>
    <w:p w14:paraId="4E45C9DA"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Для окончательных переговоров немедленно пригласить представителей JVS в Москву.</w:t>
      </w:r>
    </w:p>
    <w:p w14:paraId="665D8829"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Потребовать от фирмы JVS перед заключением договора па техпомощь производства в присут</w:t>
      </w:r>
      <w:r w:rsidRPr="00C33834">
        <w:rPr>
          <w:rFonts w:ascii="Times New Roman" w:hAnsi="Times New Roman"/>
          <w:color w:val="0070C0"/>
          <w:sz w:val="16"/>
          <w:szCs w:val="16"/>
        </w:rPr>
        <w:softHyphen/>
        <w:t>ствии наших специалистов испытания подлодки Е-1 на ходу для проверки ее скорости хода над водой и под водой, скорости и глубины погружения, остойчивости, а также всех основных механизмов и устройств этой подлодки.</w:t>
      </w:r>
    </w:p>
    <w:p w14:paraId="2D3D702D"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Признать необходимый добиться ,во-первых, возможного уменьшения стоимости заказов в Германии и в Италии и, во-вторых, обязательных максимально льготных условий кредита на эти заказы.</w:t>
      </w:r>
    </w:p>
    <w:p w14:paraId="29053BAD"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6)1. Приобрести в Италии (на основе имеющейся предварительной договоренности с итальянским морским министерством и произведенного морскими комиссиями СССР изучения итальянского флота и судостроительной промышленности Италии) проект и рабочие чертежи эсминца-лидера (до 3000 т.), а также рабочие черте</w:t>
      </w:r>
      <w:r w:rsidRPr="00C33834">
        <w:rPr>
          <w:rFonts w:ascii="Times New Roman" w:hAnsi="Times New Roman"/>
          <w:color w:val="0070C0"/>
          <w:sz w:val="16"/>
          <w:szCs w:val="16"/>
        </w:rPr>
        <w:softHyphen/>
        <w:t>жи главной механической установки строящихся итальян</w:t>
      </w:r>
      <w:r w:rsidRPr="00C33834">
        <w:rPr>
          <w:rFonts w:ascii="Times New Roman" w:hAnsi="Times New Roman"/>
          <w:color w:val="0070C0"/>
          <w:sz w:val="16"/>
          <w:szCs w:val="16"/>
        </w:rPr>
        <w:softHyphen/>
        <w:t>ских крейсеров( типа "Монтекуккола"-7000 тн.).</w:t>
      </w:r>
    </w:p>
    <w:p w14:paraId="48CF20B5"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Заказать в Италии главную турбинную установку и некоторые наиболее важные вспомогательные механиз</w:t>
      </w:r>
      <w:r w:rsidRPr="00C33834">
        <w:rPr>
          <w:rFonts w:ascii="Times New Roman" w:hAnsi="Times New Roman"/>
          <w:color w:val="0070C0"/>
          <w:sz w:val="16"/>
          <w:szCs w:val="16"/>
        </w:rPr>
        <w:softHyphen/>
        <w:t>мы на первые корабли к приобрести техпомощь по по</w:t>
      </w:r>
      <w:r w:rsidRPr="00C33834">
        <w:rPr>
          <w:rFonts w:ascii="Times New Roman" w:hAnsi="Times New Roman"/>
          <w:color w:val="0070C0"/>
          <w:sz w:val="16"/>
          <w:szCs w:val="16"/>
        </w:rPr>
        <w:softHyphen/>
        <w:t>становке их производства в СССР.</w:t>
      </w:r>
    </w:p>
    <w:p w14:paraId="4D2696D2"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Определить размер валютных ассигнований на техпомощь по постройке лидеров и крейсеров и покупку механизмов для них - в 5.000.000 рубл.</w:t>
      </w:r>
    </w:p>
    <w:p w14:paraId="5C74D2AD"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Командировать в самое ближайшее время группу работников НКТГП и УВМС в Италию для ведения перего</w:t>
      </w:r>
      <w:r w:rsidRPr="00C33834">
        <w:rPr>
          <w:rFonts w:ascii="Times New Roman" w:hAnsi="Times New Roman"/>
          <w:color w:val="0070C0"/>
          <w:sz w:val="16"/>
          <w:szCs w:val="16"/>
        </w:rPr>
        <w:softHyphen/>
        <w:t>воров о техпомощи и о заказе механизмов по лидерам и крейсерам с итальянскими фирмами "Ансальдо" и "Адриатическим Об"единением Верфей".</w:t>
      </w:r>
    </w:p>
    <w:p w14:paraId="08C30F44"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Признать необходимым добиться, во-первых, возможного уменьшения стоимости заказов в Германии и в Италии и, во-вторых, обязательных максимально льготных условий кредита на эти заказы.</w:t>
      </w:r>
    </w:p>
    <w:p w14:paraId="3E2D6411"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Ворошилову, Молотову, Пятакову-все: Артузову-б)4. Розенгольцу-все.</w:t>
      </w:r>
    </w:p>
    <w:p w14:paraId="6E64BB23"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 марта 1933 опросом членов ПБ</w:t>
      </w:r>
    </w:p>
    <w:p w14:paraId="296C1B30"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67/44.-Предложения Комиссии Обороны.</w:t>
      </w:r>
    </w:p>
    <w:p w14:paraId="335BC273"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Утвердить следующее решение комиссии Сбороны о приобретении образцов и технической помощи у фирмы "Сперри".</w:t>
      </w:r>
    </w:p>
    <w:p w14:paraId="623F9097"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Принять малый вариант, а именно:</w:t>
      </w:r>
    </w:p>
    <w:p w14:paraId="3B9AD064"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a) Приборов управления огнем берего</w:t>
      </w:r>
      <w:r w:rsidRPr="00C33834">
        <w:rPr>
          <w:rFonts w:ascii="Times New Roman" w:hAnsi="Times New Roman"/>
          <w:color w:val="0070C0"/>
          <w:sz w:val="16"/>
          <w:szCs w:val="16"/>
        </w:rPr>
        <w:softHyphen/>
        <w:t>вой артиллерии с вынесенными постами, один экземпляр</w:t>
      </w:r>
      <w:r w:rsidRPr="00C33834">
        <w:rPr>
          <w:rFonts w:ascii="Times New Roman" w:hAnsi="Times New Roman"/>
          <w:color w:val="0070C0"/>
          <w:sz w:val="16"/>
          <w:szCs w:val="16"/>
        </w:rPr>
        <w:tab/>
      </w:r>
      <w:r w:rsidRPr="00C33834">
        <w:rPr>
          <w:rFonts w:ascii="Times New Roman" w:hAnsi="Times New Roman"/>
          <w:color w:val="0070C0"/>
          <w:sz w:val="16"/>
          <w:szCs w:val="16"/>
        </w:rPr>
        <w:tab/>
        <w:t>100.000</w:t>
      </w:r>
    </w:p>
    <w:p w14:paraId="3D395682"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Прибор береговой артиллерии с од</w:t>
      </w:r>
      <w:r w:rsidRPr="00C33834">
        <w:rPr>
          <w:rFonts w:ascii="Times New Roman" w:hAnsi="Times New Roman"/>
          <w:color w:val="0070C0"/>
          <w:sz w:val="16"/>
          <w:szCs w:val="16"/>
        </w:rPr>
        <w:softHyphen/>
        <w:t>ним вынесенным постом, один экземпляр</w:t>
      </w:r>
      <w:r w:rsidRPr="00C33834">
        <w:rPr>
          <w:rFonts w:ascii="Times New Roman" w:hAnsi="Times New Roman"/>
          <w:color w:val="0070C0"/>
          <w:sz w:val="16"/>
          <w:szCs w:val="16"/>
        </w:rPr>
        <w:tab/>
        <w:t xml:space="preserve"> 70.000</w:t>
      </w:r>
    </w:p>
    <w:p w14:paraId="5BB88C52"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Приборы управления зенитным огнем морской артиллерии, один экземпляр</w:t>
      </w:r>
      <w:r w:rsidRPr="00C33834">
        <w:rPr>
          <w:rFonts w:ascii="Times New Roman" w:hAnsi="Times New Roman"/>
          <w:color w:val="0070C0"/>
          <w:sz w:val="16"/>
          <w:szCs w:val="16"/>
        </w:rPr>
        <w:tab/>
        <w:t>185.000</w:t>
      </w:r>
    </w:p>
    <w:p w14:paraId="51EC107C"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 Прицелов бомбометания для самолето (5 шт.)</w:t>
      </w:r>
      <w:r w:rsidRPr="00C33834">
        <w:rPr>
          <w:rFonts w:ascii="Times New Roman" w:hAnsi="Times New Roman"/>
          <w:color w:val="0070C0"/>
          <w:sz w:val="16"/>
          <w:szCs w:val="16"/>
        </w:rPr>
        <w:tab/>
        <w:t>40.000</w:t>
      </w:r>
    </w:p>
    <w:p w14:paraId="6841580F"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xml:space="preserve">д) Автопилоты 4 штуки, из них 2 упрощенных и 2 военных </w:t>
      </w:r>
      <w:r w:rsidRPr="00C33834">
        <w:rPr>
          <w:rFonts w:ascii="Times New Roman" w:hAnsi="Times New Roman"/>
          <w:color w:val="0070C0"/>
          <w:sz w:val="16"/>
          <w:szCs w:val="16"/>
        </w:rPr>
        <w:tab/>
        <w:t>64.000</w:t>
      </w:r>
    </w:p>
    <w:p w14:paraId="2DDC30AF"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е) Гироскопов направления, типа А-С-2  6  штук)</w:t>
      </w:r>
      <w:r w:rsidRPr="00C33834">
        <w:rPr>
          <w:rFonts w:ascii="Times New Roman" w:hAnsi="Times New Roman"/>
          <w:color w:val="0070C0"/>
          <w:sz w:val="16"/>
          <w:szCs w:val="16"/>
        </w:rPr>
        <w:tab/>
      </w:r>
      <w:r w:rsidRPr="00C33834">
        <w:rPr>
          <w:rFonts w:ascii="Times New Roman" w:hAnsi="Times New Roman"/>
          <w:color w:val="0070C0"/>
          <w:sz w:val="16"/>
          <w:szCs w:val="16"/>
        </w:rPr>
        <w:tab/>
        <w:t>2.100</w:t>
      </w:r>
    </w:p>
    <w:p w14:paraId="73447F5D"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ж) Звено синхронной передачи (2 шт.)</w:t>
      </w:r>
      <w:r w:rsidRPr="00C33834">
        <w:rPr>
          <w:rFonts w:ascii="Times New Roman" w:hAnsi="Times New Roman"/>
          <w:color w:val="0070C0"/>
          <w:sz w:val="16"/>
          <w:szCs w:val="16"/>
        </w:rPr>
        <w:tab/>
        <w:t>5.000</w:t>
      </w:r>
    </w:p>
    <w:p w14:paraId="25D7122A"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з) Искусственный горизонт(6 шт.)</w:t>
      </w:r>
      <w:r w:rsidRPr="00C33834">
        <w:rPr>
          <w:rFonts w:ascii="Times New Roman" w:hAnsi="Times New Roman"/>
          <w:color w:val="0070C0"/>
          <w:sz w:val="16"/>
          <w:szCs w:val="16"/>
        </w:rPr>
        <w:tab/>
        <w:t xml:space="preserve"> 2.100</w:t>
      </w:r>
    </w:p>
    <w:p w14:paraId="46E0A701"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Итого па покупку образцов</w:t>
      </w:r>
      <w:r w:rsidRPr="00C33834">
        <w:rPr>
          <w:rFonts w:ascii="Times New Roman" w:hAnsi="Times New Roman"/>
          <w:color w:val="0070C0"/>
          <w:sz w:val="16"/>
          <w:szCs w:val="16"/>
        </w:rPr>
        <w:tab/>
        <w:t xml:space="preserve"> 468.200</w:t>
      </w:r>
    </w:p>
    <w:p w14:paraId="3373B1B9"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За техническую помощь</w:t>
      </w:r>
      <w:r w:rsidRPr="00C33834">
        <w:rPr>
          <w:rFonts w:ascii="Times New Roman" w:hAnsi="Times New Roman"/>
          <w:color w:val="0070C0"/>
          <w:sz w:val="16"/>
          <w:szCs w:val="16"/>
        </w:rPr>
        <w:tab/>
        <w:t xml:space="preserve"> 300.000</w:t>
      </w:r>
    </w:p>
    <w:p w14:paraId="7875D04F"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Оборудование</w:t>
      </w:r>
      <w:r w:rsidRPr="00C33834">
        <w:rPr>
          <w:rFonts w:ascii="Times New Roman" w:hAnsi="Times New Roman"/>
          <w:color w:val="0070C0"/>
          <w:sz w:val="16"/>
          <w:szCs w:val="16"/>
        </w:rPr>
        <w:tab/>
        <w:t xml:space="preserve"> 400.000</w:t>
      </w:r>
    </w:p>
    <w:p w14:paraId="5AC55930"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ИТОГО:</w:t>
      </w:r>
      <w:r w:rsidRPr="00C33834">
        <w:rPr>
          <w:rFonts w:ascii="Times New Roman" w:hAnsi="Times New Roman"/>
          <w:color w:val="0070C0"/>
          <w:sz w:val="16"/>
          <w:szCs w:val="16"/>
        </w:rPr>
        <w:tab/>
        <w:t>1.168.200 ам. долларов.</w:t>
      </w:r>
    </w:p>
    <w:p w14:paraId="5FFB7541"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Принять предлагаемые условия платежа: За техническую помощь начиная с 1934 года в течение 4 лет равными частями  по полугодиям.</w:t>
      </w:r>
    </w:p>
    <w:p w14:paraId="4CCE3141"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Платеж за образцы-начиная с 1934 года:</w:t>
      </w:r>
    </w:p>
    <w:p w14:paraId="1D446102"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35% против отгрузки, 25% через 6 месяцев, 20% через 12 месяцев и 20% через 18 месяцев; последний платеж-в первой половине 1936 года.</w:t>
      </w:r>
    </w:p>
    <w:p w14:paraId="634A4DC2"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тов.Базилевичу.</w:t>
      </w:r>
    </w:p>
    <w:p w14:paraId="349608FC" w14:textId="77777777" w:rsidR="002F0F01" w:rsidRPr="00C33834" w:rsidRDefault="002F0F0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8 марта 1933 состоялось заседание ПБ и был оформлен протокол № 132 (22982).</w:t>
      </w:r>
    </w:p>
    <w:p w14:paraId="7AE36889" w14:textId="77777777" w:rsidR="002F0F01" w:rsidRPr="00C33834" w:rsidRDefault="002F0F01" w:rsidP="00C33834">
      <w:pPr>
        <w:pStyle w:val="221"/>
        <w:shd w:val="clear" w:color="auto" w:fill="auto"/>
        <w:spacing w:line="240" w:lineRule="auto"/>
        <w:jc w:val="both"/>
        <w:rPr>
          <w:rFonts w:ascii="Times New Roman" w:hAnsi="Times New Roman" w:cs="Times New Roman"/>
          <w:color w:val="0070C0"/>
          <w:sz w:val="16"/>
          <w:szCs w:val="16"/>
        </w:rPr>
      </w:pPr>
    </w:p>
    <w:p w14:paraId="5CABBFE8" w14:textId="77777777" w:rsidR="00F4240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3EE1D71" w14:textId="77777777" w:rsidR="00F42404" w:rsidRPr="00C33834" w:rsidRDefault="00F42404" w:rsidP="00C33834">
      <w:pPr>
        <w:spacing w:after="0" w:line="240" w:lineRule="auto"/>
        <w:jc w:val="both"/>
        <w:rPr>
          <w:rFonts w:ascii="Times New Roman" w:hAnsi="Times New Roman"/>
          <w:iCs/>
          <w:color w:val="000000" w:themeColor="text1"/>
          <w:sz w:val="16"/>
          <w:szCs w:val="16"/>
        </w:rPr>
      </w:pPr>
    </w:p>
    <w:p w14:paraId="20EC630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марта 1933 состоялась инаугурация Президента Ф.Рузвельта (2100) и Ф.Д.Р. провозгласил политику доброго соседа для Латинской Америки (2443,407).</w:t>
      </w:r>
    </w:p>
    <w:p w14:paraId="27A0ABE3"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59EEE5DA" w14:textId="77777777" w:rsidR="00F4240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CF4B37D" w14:textId="77777777" w:rsidR="00F42404" w:rsidRPr="00C33834" w:rsidRDefault="00F42404" w:rsidP="00C33834">
      <w:pPr>
        <w:spacing w:after="0" w:line="240" w:lineRule="auto"/>
        <w:jc w:val="both"/>
        <w:rPr>
          <w:rFonts w:ascii="Times New Roman" w:hAnsi="Times New Roman"/>
          <w:iCs/>
          <w:color w:val="000000" w:themeColor="text1"/>
          <w:sz w:val="16"/>
          <w:szCs w:val="16"/>
        </w:rPr>
      </w:pPr>
    </w:p>
    <w:p w14:paraId="12968D5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марта 1933 дата присвоения опознавательного знака с литерой "Н" - СССР-Н4 - ЮГ-1, зав. № 956, моторы - Junkers L-5. Первоначальный владелец воздушного судна - Комсеверпуть. Вероятно, самолет списали в начале января 1935 года (11955).</w:t>
      </w:r>
    </w:p>
    <w:p w14:paraId="34B90EA9"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3A742AE2" w14:textId="77777777" w:rsidR="00933F24" w:rsidRPr="00C33834" w:rsidRDefault="00933F24" w:rsidP="00C33834">
      <w:pPr>
        <w:pStyle w:val="rtejustify"/>
        <w:spacing w:before="0" w:after="0"/>
        <w:rPr>
          <w:color w:val="000000" w:themeColor="text1"/>
          <w:sz w:val="16"/>
          <w:szCs w:val="16"/>
        </w:rPr>
      </w:pPr>
      <w:r w:rsidRPr="00C33834">
        <w:rPr>
          <w:rStyle w:val="af0"/>
          <w:bCs/>
          <w:i w:val="0"/>
          <w:color w:val="000000" w:themeColor="text1"/>
          <w:sz w:val="16"/>
          <w:szCs w:val="16"/>
        </w:rPr>
        <w:t>5 марта</w:t>
      </w:r>
      <w:r w:rsidRPr="00C33834">
        <w:rPr>
          <w:color w:val="000000" w:themeColor="text1"/>
          <w:sz w:val="16"/>
          <w:szCs w:val="16"/>
        </w:rPr>
        <w:t xml:space="preserve"> 1933. Постановление Комиссии обороны СССР № 1 «О приобретении образцов и технической помощи фирмы “Сперри”». (ГА РФ. Ф. Р</w:t>
      </w:r>
      <w:r w:rsidRPr="00C33834">
        <w:rPr>
          <w:color w:val="000000" w:themeColor="text1"/>
          <w:sz w:val="16"/>
          <w:szCs w:val="16"/>
        </w:rPr>
        <w:noBreakHyphen/>
        <w:t>8418. Оп. 28. Д. 25а. Л. 20) (15460).</w:t>
      </w:r>
    </w:p>
    <w:p w14:paraId="159DF081" w14:textId="77777777" w:rsidR="00933F24" w:rsidRPr="00C33834" w:rsidRDefault="00933F24" w:rsidP="00C33834">
      <w:pPr>
        <w:pStyle w:val="rtejustify"/>
        <w:spacing w:before="0" w:after="0"/>
        <w:rPr>
          <w:color w:val="000000" w:themeColor="text1"/>
          <w:sz w:val="16"/>
          <w:szCs w:val="16"/>
        </w:rPr>
      </w:pPr>
    </w:p>
    <w:p w14:paraId="2683FC01" w14:textId="77777777" w:rsidR="00396DDE" w:rsidRPr="00C33834" w:rsidRDefault="00396DD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марта 1933 г. под грифом «Секретно» был ответ Л.П. Малиновского начальнику УВИ НВ РККА Г.П. Новикову на письмо от 7 февраля: «Принципиально согласен отдать ГИРД в ведение УВИ» (ГА РФ. Фонд Р-8355. Оп. 1. Д. № 374. Л. 16.) (22685).</w:t>
      </w:r>
    </w:p>
    <w:p w14:paraId="30676BAF" w14:textId="77777777" w:rsidR="00396DDE" w:rsidRPr="00C33834" w:rsidRDefault="00396DDE" w:rsidP="00C33834">
      <w:pPr>
        <w:spacing w:after="0" w:line="240" w:lineRule="auto"/>
        <w:jc w:val="both"/>
        <w:rPr>
          <w:rFonts w:ascii="Times New Roman" w:hAnsi="Times New Roman"/>
          <w:color w:val="0070C0"/>
          <w:sz w:val="16"/>
          <w:szCs w:val="16"/>
        </w:rPr>
      </w:pPr>
    </w:p>
    <w:p w14:paraId="0A9AF0B2" w14:textId="77777777" w:rsidR="00396DDE" w:rsidRPr="00C33834" w:rsidRDefault="00396DD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5 марта 1933 после рассмотрения комиссией под председательством Валерия Межлаука вышло постановление «О строительстве эллинга» - расписанный по дням, тоннам и вагонам свод поручений различным ведомствам с назначением персонально ответственных, который должен был увенчаться к 1 июля завершением постройки первых 110 метров эллинга и к 1 ноября - его полной готовностью, включая отепление и ворота с электроприводом.</w:t>
      </w:r>
    </w:p>
    <w:p w14:paraId="75108127" w14:textId="77777777" w:rsidR="00396DDE" w:rsidRPr="00C33834" w:rsidRDefault="00396DD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Но даже такая грозная бумага помогала не всегда. Вернувшись в мае 1933 года после двухмесячной болезни на Дирижаблестрой, Нобиле обнаружил, что металлические фермы эллинга всё ещё разбросаны по полю, да и сами фундаменты под них не закончены. Стало ясно, что ни о какой сборке корабля 18500 в этом году речи быть не может.</w:t>
      </w:r>
    </w:p>
    <w:p w14:paraId="1537A09E" w14:textId="77777777" w:rsidR="00396DDE" w:rsidRPr="00C33834" w:rsidRDefault="00396DD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Впрочем, и корабль 18500 не торопился в сборку: ещё не завершилось даже его проектирование (23192).</w:t>
      </w:r>
    </w:p>
    <w:p w14:paraId="12199329" w14:textId="77777777" w:rsidR="00396DDE" w:rsidRPr="00C33834" w:rsidRDefault="00396DDE" w:rsidP="00C33834">
      <w:pPr>
        <w:spacing w:after="0" w:line="240" w:lineRule="auto"/>
        <w:jc w:val="both"/>
        <w:rPr>
          <w:rFonts w:ascii="Times New Roman" w:hAnsi="Times New Roman"/>
          <w:color w:val="0070C0"/>
          <w:sz w:val="16"/>
          <w:szCs w:val="16"/>
        </w:rPr>
      </w:pPr>
    </w:p>
    <w:p w14:paraId="67203484" w14:textId="77777777" w:rsidR="00167BB0" w:rsidRPr="00C33834" w:rsidRDefault="00167BB0"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98B99DF" w14:textId="77777777" w:rsidR="00167BB0" w:rsidRPr="00C33834" w:rsidRDefault="00167BB0" w:rsidP="00C33834">
      <w:pPr>
        <w:spacing w:after="0" w:line="240" w:lineRule="auto"/>
        <w:jc w:val="both"/>
        <w:rPr>
          <w:rFonts w:ascii="Times New Roman" w:hAnsi="Times New Roman"/>
          <w:iCs/>
          <w:color w:val="000000" w:themeColor="text1"/>
          <w:sz w:val="16"/>
          <w:szCs w:val="16"/>
        </w:rPr>
      </w:pPr>
    </w:p>
    <w:p w14:paraId="5B9AEBC2" w14:textId="77777777" w:rsidR="00167BB0" w:rsidRPr="00C33834" w:rsidRDefault="00167BB0"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5 марта 1933 года в адрес маршала Тухачевского пришло письмо за подписью Гроте. В нём конструктор предлагал построить 1000-тонный «танк-крепость» (текст письма приводится дословно):</w:t>
      </w:r>
    </w:p>
    <w:p w14:paraId="615352F5" w14:textId="77777777" w:rsidR="00167BB0" w:rsidRPr="00C33834" w:rsidRDefault="00167BB0" w:rsidP="00C33834">
      <w:pPr>
        <w:pStyle w:val="ae"/>
        <w:shd w:val="clear" w:color="auto" w:fill="FFFFFF"/>
        <w:spacing w:before="0" w:after="0"/>
        <w:jc w:val="both"/>
        <w:textAlignment w:val="baseline"/>
        <w:rPr>
          <w:iCs/>
          <w:color w:val="000000" w:themeColor="text1"/>
          <w:sz w:val="16"/>
          <w:szCs w:val="16"/>
        </w:rPr>
      </w:pPr>
      <w:r w:rsidRPr="00C33834">
        <w:rPr>
          <w:iCs/>
          <w:color w:val="000000" w:themeColor="text1"/>
          <w:sz w:val="16"/>
          <w:szCs w:val="16"/>
          <w:bdr w:val="none" w:sz="0" w:space="0" w:color="auto" w:frame="1"/>
        </w:rPr>
        <w:t>«Маршалу Духачевскому,</w:t>
      </w:r>
    </w:p>
    <w:p w14:paraId="54A266E8" w14:textId="77777777" w:rsidR="00167BB0" w:rsidRPr="00C33834" w:rsidRDefault="00167BB0" w:rsidP="00C33834">
      <w:pPr>
        <w:pStyle w:val="ae"/>
        <w:shd w:val="clear" w:color="auto" w:fill="FFFFFF"/>
        <w:spacing w:before="0" w:after="0"/>
        <w:jc w:val="both"/>
        <w:textAlignment w:val="baseline"/>
        <w:rPr>
          <w:iCs/>
          <w:color w:val="000000" w:themeColor="text1"/>
          <w:sz w:val="16"/>
          <w:szCs w:val="16"/>
        </w:rPr>
      </w:pPr>
      <w:r w:rsidRPr="00C33834">
        <w:rPr>
          <w:iCs/>
          <w:color w:val="000000" w:themeColor="text1"/>
          <w:sz w:val="16"/>
          <w:szCs w:val="16"/>
          <w:bdr w:val="none" w:sz="0" w:space="0" w:color="auto" w:frame="1"/>
        </w:rPr>
        <w:t>Военное министерство,</w:t>
      </w:r>
    </w:p>
    <w:p w14:paraId="7552AD51" w14:textId="77777777" w:rsidR="00167BB0" w:rsidRPr="00C33834" w:rsidRDefault="00167BB0" w:rsidP="00C33834">
      <w:pPr>
        <w:pStyle w:val="ae"/>
        <w:shd w:val="clear" w:color="auto" w:fill="FFFFFF"/>
        <w:spacing w:before="0" w:after="0"/>
        <w:jc w:val="both"/>
        <w:textAlignment w:val="baseline"/>
        <w:rPr>
          <w:iCs/>
          <w:color w:val="000000" w:themeColor="text1"/>
          <w:sz w:val="16"/>
          <w:szCs w:val="16"/>
        </w:rPr>
      </w:pPr>
      <w:r w:rsidRPr="00C33834">
        <w:rPr>
          <w:iCs/>
          <w:color w:val="000000" w:themeColor="text1"/>
          <w:sz w:val="16"/>
          <w:szCs w:val="16"/>
          <w:bdr w:val="none" w:sz="0" w:space="0" w:color="auto" w:frame="1"/>
        </w:rPr>
        <w:t>Москва</w:t>
      </w:r>
    </w:p>
    <w:p w14:paraId="7FCFF0DC" w14:textId="77777777" w:rsidR="00167BB0" w:rsidRPr="00C33834" w:rsidRDefault="00167BB0" w:rsidP="00C33834">
      <w:pPr>
        <w:pStyle w:val="ae"/>
        <w:shd w:val="clear" w:color="auto" w:fill="FFFFFF"/>
        <w:spacing w:before="0" w:after="0"/>
        <w:jc w:val="both"/>
        <w:textAlignment w:val="baseline"/>
        <w:rPr>
          <w:iCs/>
          <w:color w:val="000000" w:themeColor="text1"/>
          <w:sz w:val="16"/>
          <w:szCs w:val="16"/>
        </w:rPr>
      </w:pPr>
      <w:r w:rsidRPr="00C33834">
        <w:rPr>
          <w:iCs/>
          <w:color w:val="000000" w:themeColor="text1"/>
          <w:sz w:val="16"/>
          <w:szCs w:val="16"/>
          <w:bdr w:val="none" w:sz="0" w:space="0" w:color="auto" w:frame="1"/>
        </w:rPr>
        <w:t>Уважаемый товарищ Духачевский!</w:t>
      </w:r>
    </w:p>
    <w:p w14:paraId="6758329D" w14:textId="77777777" w:rsidR="00167BB0" w:rsidRPr="00C33834" w:rsidRDefault="00167BB0" w:rsidP="00C33834">
      <w:pPr>
        <w:pStyle w:val="ae"/>
        <w:shd w:val="clear" w:color="auto" w:fill="FFFFFF"/>
        <w:spacing w:before="0" w:after="0"/>
        <w:jc w:val="both"/>
        <w:textAlignment w:val="baseline"/>
        <w:rPr>
          <w:iCs/>
          <w:color w:val="000000" w:themeColor="text1"/>
          <w:sz w:val="16"/>
          <w:szCs w:val="16"/>
        </w:rPr>
      </w:pPr>
      <w:r w:rsidRPr="00C33834">
        <w:rPr>
          <w:iCs/>
          <w:color w:val="000000" w:themeColor="text1"/>
          <w:sz w:val="16"/>
          <w:szCs w:val="16"/>
          <w:bdr w:val="none" w:sz="0" w:space="0" w:color="auto" w:frame="1"/>
        </w:rPr>
        <w:t>Полагая, что Вы помните мою работу в Ленинграде, а также конструктивные предложения относительно тяжёлого танка прорыва, прошу позволить мне отправить Вам два исправления в проекте большого танка-крепости (1000 тонн) в надежде привлечь Ваше внимание к этому новейшему средству защиты СССР. Разработка полностью готова, её вполне возможно реализовать и она является весьма ценной ввиду политических волнений и войны на востоке.</w:t>
      </w:r>
    </w:p>
    <w:p w14:paraId="3D9A9344" w14:textId="77777777" w:rsidR="00167BB0" w:rsidRPr="00C33834" w:rsidRDefault="00167BB0" w:rsidP="00C33834">
      <w:pPr>
        <w:pStyle w:val="ae"/>
        <w:shd w:val="clear" w:color="auto" w:fill="FFFFFF"/>
        <w:spacing w:before="0" w:after="0"/>
        <w:jc w:val="both"/>
        <w:textAlignment w:val="baseline"/>
        <w:rPr>
          <w:iCs/>
          <w:color w:val="000000" w:themeColor="text1"/>
          <w:sz w:val="16"/>
          <w:szCs w:val="16"/>
        </w:rPr>
      </w:pPr>
      <w:r w:rsidRPr="00C33834">
        <w:rPr>
          <w:iCs/>
          <w:color w:val="000000" w:themeColor="text1"/>
          <w:sz w:val="16"/>
          <w:szCs w:val="16"/>
          <w:bdr w:val="none" w:sz="0" w:space="0" w:color="auto" w:frame="1"/>
        </w:rPr>
        <w:t>К сожалению, со времени моего годичного пребывания в Москве личные отношения не развивались благополучным для меня образом. Трудности, препятствующие осуществлению моих планов, не дают мне возможности в будущем распылять усилия только в одном направлении.</w:t>
      </w:r>
    </w:p>
    <w:p w14:paraId="6E10768F" w14:textId="77777777" w:rsidR="00167BB0" w:rsidRPr="00C33834" w:rsidRDefault="00167BB0" w:rsidP="00C33834">
      <w:pPr>
        <w:pStyle w:val="ae"/>
        <w:shd w:val="clear" w:color="auto" w:fill="FFFFFF"/>
        <w:spacing w:before="0" w:after="0"/>
        <w:jc w:val="both"/>
        <w:textAlignment w:val="baseline"/>
        <w:rPr>
          <w:iCs/>
          <w:color w:val="000000" w:themeColor="text1"/>
          <w:sz w:val="16"/>
          <w:szCs w:val="16"/>
        </w:rPr>
      </w:pPr>
      <w:r w:rsidRPr="00C33834">
        <w:rPr>
          <w:iCs/>
          <w:color w:val="000000" w:themeColor="text1"/>
          <w:sz w:val="16"/>
          <w:szCs w:val="16"/>
          <w:bdr w:val="none" w:sz="0" w:space="0" w:color="auto" w:frame="1"/>
        </w:rPr>
        <w:t>Выражаю Вам благодарность за беседу при личной встрече, которой Вы меня удостоили ранее в Ленинграде.</w:t>
      </w:r>
    </w:p>
    <w:p w14:paraId="08A14A82" w14:textId="77777777" w:rsidR="00167BB0" w:rsidRPr="00C33834" w:rsidRDefault="00167BB0" w:rsidP="00C33834">
      <w:pPr>
        <w:pStyle w:val="ae"/>
        <w:shd w:val="clear" w:color="auto" w:fill="FFFFFF"/>
        <w:spacing w:before="0" w:after="0"/>
        <w:jc w:val="both"/>
        <w:textAlignment w:val="baseline"/>
        <w:rPr>
          <w:iCs/>
          <w:color w:val="000000" w:themeColor="text1"/>
          <w:sz w:val="16"/>
          <w:szCs w:val="16"/>
        </w:rPr>
      </w:pPr>
      <w:r w:rsidRPr="00C33834">
        <w:rPr>
          <w:iCs/>
          <w:color w:val="000000" w:themeColor="text1"/>
          <w:sz w:val="16"/>
          <w:szCs w:val="16"/>
          <w:bdr w:val="none" w:sz="0" w:space="0" w:color="auto" w:frame="1"/>
        </w:rPr>
        <w:t>С глубоким почтением,преданный Вам</w:t>
      </w:r>
    </w:p>
    <w:p w14:paraId="2EB408C3" w14:textId="77777777" w:rsidR="00167BB0" w:rsidRPr="00C33834" w:rsidRDefault="00167BB0" w:rsidP="00C33834">
      <w:pPr>
        <w:pStyle w:val="ae"/>
        <w:shd w:val="clear" w:color="auto" w:fill="FFFFFF"/>
        <w:spacing w:before="0" w:after="0"/>
        <w:jc w:val="both"/>
        <w:textAlignment w:val="baseline"/>
        <w:rPr>
          <w:iCs/>
          <w:color w:val="000000" w:themeColor="text1"/>
          <w:sz w:val="16"/>
          <w:szCs w:val="16"/>
        </w:rPr>
      </w:pPr>
      <w:r w:rsidRPr="00C33834">
        <w:rPr>
          <w:iCs/>
          <w:color w:val="000000" w:themeColor="text1"/>
          <w:sz w:val="16"/>
          <w:szCs w:val="16"/>
          <w:bdr w:val="none" w:sz="0" w:space="0" w:color="auto" w:frame="1"/>
        </w:rPr>
        <w:t>Эдвард Гроте</w:t>
      </w:r>
    </w:p>
    <w:p w14:paraId="4BC0E8C5" w14:textId="77777777" w:rsidR="00167BB0" w:rsidRPr="00C33834" w:rsidRDefault="00167BB0" w:rsidP="00C33834">
      <w:pPr>
        <w:pStyle w:val="ae"/>
        <w:shd w:val="clear" w:color="auto" w:fill="FFFFFF"/>
        <w:spacing w:before="0" w:after="0"/>
        <w:jc w:val="both"/>
        <w:textAlignment w:val="baseline"/>
        <w:rPr>
          <w:iCs/>
          <w:color w:val="000000" w:themeColor="text1"/>
          <w:sz w:val="16"/>
          <w:szCs w:val="16"/>
        </w:rPr>
      </w:pPr>
      <w:r w:rsidRPr="00C33834">
        <w:rPr>
          <w:iCs/>
          <w:color w:val="000000" w:themeColor="text1"/>
          <w:sz w:val="16"/>
          <w:szCs w:val="16"/>
          <w:bdr w:val="none" w:sz="0" w:space="0" w:color="auto" w:frame="1"/>
        </w:rPr>
        <w:t>Э. Гроте, ОКГ, «Спецмаштрест»»</w:t>
      </w:r>
    </w:p>
    <w:p w14:paraId="42AEB5CB" w14:textId="77777777" w:rsidR="00167BB0" w:rsidRPr="00C33834" w:rsidRDefault="00167BB0" w:rsidP="00C33834">
      <w:pPr>
        <w:spacing w:after="0" w:line="240" w:lineRule="auto"/>
        <w:jc w:val="both"/>
        <w:rPr>
          <w:rFonts w:ascii="Times New Roman" w:hAnsi="Times New Roman"/>
          <w:color w:val="000000" w:themeColor="text1"/>
          <w:sz w:val="16"/>
          <w:szCs w:val="16"/>
          <w:shd w:val="clear" w:color="auto" w:fill="FFFFFF"/>
        </w:rPr>
      </w:pPr>
      <w:r w:rsidRPr="00C33834">
        <w:rPr>
          <w:rFonts w:ascii="Times New Roman" w:hAnsi="Times New Roman"/>
          <w:color w:val="000000" w:themeColor="text1"/>
          <w:sz w:val="16"/>
          <w:szCs w:val="16"/>
          <w:shd w:val="clear" w:color="auto" w:fill="FFFFFF"/>
        </w:rPr>
        <w:t>К письму Гроте приложил эскизы «танка-крепости» в двух вариантах. В первом, наиболее известном варианте, танк предполагалось сделать шестибашенным. В башне главного калибра размещалось два орудия калибра 305 мм, в двух носовых башнях находились по два орудия калибра 152 мм в каждом, по бортам предусматривалось две башни, в каждой из которых стояло по паре пушек калибра 76 мм, сзади стояла башня с двумя 45-мм пушками, которые предполагалось использовать как зенитные. Второй вариант отличался тем, что число башен было сокращено до четырёх, соответственно, спаренные установки 76-мм пушек отсутствовали. Поскольку было понятно, что обычная гусеница не выдержит такой нагрузки, гусеницы предусматривались строенными</w:t>
      </w:r>
    </w:p>
    <w:p w14:paraId="4380F99F" w14:textId="77777777" w:rsidR="00167BB0" w:rsidRPr="00C33834" w:rsidRDefault="00167BB0" w:rsidP="00C33834">
      <w:pPr>
        <w:spacing w:after="0" w:line="240" w:lineRule="auto"/>
        <w:jc w:val="both"/>
        <w:rPr>
          <w:rFonts w:ascii="Times New Roman" w:hAnsi="Times New Roman"/>
          <w:color w:val="000000" w:themeColor="text1"/>
          <w:sz w:val="16"/>
          <w:szCs w:val="16"/>
          <w:shd w:val="clear" w:color="auto" w:fill="FFFFFF"/>
        </w:rPr>
      </w:pPr>
      <w:r w:rsidRPr="00C33834">
        <w:rPr>
          <w:rFonts w:ascii="Times New Roman" w:hAnsi="Times New Roman"/>
          <w:color w:val="000000" w:themeColor="text1"/>
          <w:sz w:val="16"/>
          <w:szCs w:val="16"/>
          <w:shd w:val="clear" w:color="auto" w:fill="FFFFFF"/>
        </w:rPr>
        <w:t>Об этом проекте почти ничего не известно, кроме краткой переписки и пары эскизов — но это если использовать советские источники. В Германии выходил. Нередко на его страницах печатались материалы немецких конструкторов (19738).</w:t>
      </w:r>
    </w:p>
    <w:p w14:paraId="45F5308A" w14:textId="77777777" w:rsidR="00167BB0" w:rsidRPr="00C33834" w:rsidRDefault="00167BB0" w:rsidP="00C33834">
      <w:pPr>
        <w:spacing w:after="0" w:line="240" w:lineRule="auto"/>
        <w:jc w:val="both"/>
        <w:rPr>
          <w:rFonts w:ascii="Times New Roman" w:hAnsi="Times New Roman"/>
          <w:color w:val="000000" w:themeColor="text1"/>
          <w:sz w:val="16"/>
          <w:szCs w:val="16"/>
        </w:rPr>
      </w:pPr>
    </w:p>
    <w:p w14:paraId="6A53E78F" w14:textId="77777777" w:rsidR="00F4240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2FE75974" w14:textId="77777777" w:rsidR="00F42404" w:rsidRPr="00C33834" w:rsidRDefault="00F42404" w:rsidP="00C33834">
      <w:pPr>
        <w:spacing w:after="0" w:line="240" w:lineRule="auto"/>
        <w:jc w:val="both"/>
        <w:rPr>
          <w:rFonts w:ascii="Times New Roman" w:hAnsi="Times New Roman"/>
          <w:iCs/>
          <w:color w:val="000000" w:themeColor="text1"/>
          <w:sz w:val="16"/>
          <w:szCs w:val="16"/>
        </w:rPr>
      </w:pPr>
    </w:p>
    <w:p w14:paraId="595F7E52" w14:textId="77777777" w:rsidR="00933F24" w:rsidRPr="00C33834" w:rsidRDefault="00933F24"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5 марта</w:t>
      </w:r>
      <w:r w:rsidRPr="00C33834">
        <w:rPr>
          <w:rFonts w:ascii="Times New Roman" w:hAnsi="Times New Roman"/>
          <w:color w:val="000000" w:themeColor="text1"/>
          <w:sz w:val="16"/>
          <w:szCs w:val="16"/>
        </w:rPr>
        <w:t xml:space="preserve"> в 1933 году в США президент Рузвельт назначает на 9 марта специальное заседание конгресса и объявляет о закрытии всех банков с 6 по 9 марта (15059).</w:t>
      </w:r>
    </w:p>
    <w:p w14:paraId="3F7DFF0F" w14:textId="77777777" w:rsidR="00933F24" w:rsidRPr="00C33834" w:rsidRDefault="00933F24" w:rsidP="00C33834">
      <w:pPr>
        <w:spacing w:after="0" w:line="240" w:lineRule="auto"/>
        <w:jc w:val="both"/>
        <w:rPr>
          <w:rFonts w:ascii="Times New Roman" w:hAnsi="Times New Roman"/>
          <w:color w:val="000000" w:themeColor="text1"/>
          <w:sz w:val="16"/>
          <w:szCs w:val="16"/>
        </w:rPr>
      </w:pPr>
    </w:p>
    <w:p w14:paraId="5FAEB22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марта 1933 Ф.Рузвельт приказал ввести 4 дневный перерыв в работе банков для того, чтобы предотвратить отток денег (2100).</w:t>
      </w:r>
    </w:p>
    <w:p w14:paraId="4BF62603"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3D1D2DBD" w14:textId="77777777" w:rsidR="00F42404" w:rsidRPr="00C33834" w:rsidRDefault="00F42404"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марта 1933 на выборах в Германии победили нацисты (4962).</w:t>
      </w:r>
    </w:p>
    <w:p w14:paraId="23706DAD" w14:textId="77777777" w:rsidR="00F42404" w:rsidRPr="00C33834" w:rsidRDefault="00F42404" w:rsidP="00C33834">
      <w:pPr>
        <w:tabs>
          <w:tab w:val="left" w:pos="11199"/>
        </w:tabs>
        <w:spacing w:after="0" w:line="240" w:lineRule="auto"/>
        <w:jc w:val="both"/>
        <w:rPr>
          <w:rFonts w:ascii="Times New Roman" w:hAnsi="Times New Roman"/>
          <w:color w:val="000000" w:themeColor="text1"/>
          <w:sz w:val="16"/>
          <w:szCs w:val="16"/>
        </w:rPr>
      </w:pPr>
    </w:p>
    <w:p w14:paraId="2B2C3A4D" w14:textId="77777777" w:rsidR="00933F24" w:rsidRPr="00C33834" w:rsidRDefault="00933F24"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5 марта</w:t>
      </w:r>
      <w:r w:rsidRPr="00C33834">
        <w:rPr>
          <w:rFonts w:ascii="Times New Roman" w:hAnsi="Times New Roman"/>
          <w:color w:val="000000" w:themeColor="text1"/>
          <w:sz w:val="16"/>
          <w:szCs w:val="16"/>
        </w:rPr>
        <w:t xml:space="preserve"> в 1933 году на выборах в Германии победили нацисты. Они получили 288 мест в рейхстаге. С учётом примкнувшей партии националистов нацисты получили 55 процентов голосов и, как ни парадоксально, тоталитаризм пришёл к власти демократическим путём. Вскоре нацисты примут чрезвычайные законы, отменят многие гражданские свободы, лишат рейхстаг (парламент) законодательной власти, распустят профсоюзы и запретят все остальные партии «до особого распоряжения» (15059).</w:t>
      </w:r>
    </w:p>
    <w:p w14:paraId="5AC55524" w14:textId="77777777" w:rsidR="00933F24" w:rsidRPr="00C33834" w:rsidRDefault="00933F24" w:rsidP="00C33834">
      <w:pPr>
        <w:spacing w:after="0" w:line="240" w:lineRule="auto"/>
        <w:jc w:val="both"/>
        <w:rPr>
          <w:rFonts w:ascii="Times New Roman" w:hAnsi="Times New Roman"/>
          <w:color w:val="000000" w:themeColor="text1"/>
          <w:sz w:val="16"/>
          <w:szCs w:val="16"/>
        </w:rPr>
      </w:pPr>
    </w:p>
    <w:p w14:paraId="5F60369E" w14:textId="77777777" w:rsidR="00167BB0" w:rsidRPr="00C33834" w:rsidRDefault="00167B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марта 1933 г. были проведены назначенные на первом заседании правительства Гитлера еще одни внеочередные, на этот раз последние выборы в райхстаг. НСДАП получила на них 17,2 млн. голосов (288 мандатов), СДПГ — 7,1 млн., КПГ — 4,9 млн. (соответственно 120 и 81 мандат). Однако уже 15 марта мандаты коммунистов были объявлены недействительными, 24 марта был принят закон о наделении Гитлера чрезвычайными полномочиями, который не только де-факто, но и де-юре свел на нет роль райхстага как высшего законодательного органа страны (19269).</w:t>
      </w:r>
    </w:p>
    <w:p w14:paraId="091C44DC" w14:textId="77777777" w:rsidR="00167BB0" w:rsidRPr="00C33834" w:rsidRDefault="00167BB0" w:rsidP="00C33834">
      <w:pPr>
        <w:spacing w:after="0" w:line="240" w:lineRule="auto"/>
        <w:jc w:val="both"/>
        <w:rPr>
          <w:rFonts w:ascii="Times New Roman" w:hAnsi="Times New Roman"/>
          <w:color w:val="000000" w:themeColor="text1"/>
          <w:sz w:val="16"/>
          <w:szCs w:val="16"/>
        </w:rPr>
      </w:pPr>
    </w:p>
    <w:p w14:paraId="1C8A7042"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марта 1933 г. были проведены назначенные на первом заседании правительства Гитлера еще одни внеочередные, на этот раз последние выборы в райхстаг. НСДАП получила на них 17,2 млн. голосов (288 мандатов), СДПГ — 7,1 млн., КПГ — 4,9 млн. (соответственно 120 и 81 мандат). Однако уже 15 марта мандаты коммунистов были объявлены недействительными, 24 марта был принят закон о наделении Гитлера чрезвычайными полномочиями, который не только де-факто, но и де-юре свел на нет роль райхстага как высшего законодательного органа страны. «Имперские законы могут издаваться имперским правительством», — говорилось в этом законе (Dokumente der deutschen Politik. Bd. l, Berlin 1942. S. 61.). Поддерживать отношения с режимом, выступавшим с крайних позиций антикоммунизма, антисоветизма и антисемитизма и установившим в короткий срок жесточайший террор внутри страны, Москва не решилась. Военного министра Бломберга (Крестинский называл его «наш друг» и «дружественный человек» (АВП РФ, ф. 05, оп. 9, п. 45, д. 32, л. 114.)) она вряд ли могла — в отличие от Шляйхера — рассматривать как гаранта сохранения прежнего качества отношений между СССР и Германией. И хотя Гитлер в своем правительственном заявлении в райхстаге 23 марта 1933 г. заявил о своих намерениях «сохранить дружеские отношения с СССР» негативное отношение советских лидеров к Гитлеру не ослабло (11784).</w:t>
      </w:r>
    </w:p>
    <w:p w14:paraId="060160A2"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7DE4D35B" w14:textId="77777777" w:rsidR="007C00E8" w:rsidRPr="00C33834" w:rsidRDefault="007C00E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5 марта 1933 года, в день последних демократических и последних в жизни Гитлера выборов, этот народ выразил свою волю на избирательных участках. Несмотря на террор и запугивание, большая его часть отвергла Гитлера. Правда, нацисты набрали больше всех голосов - 17 277 180 (рост на 5, 5 миллиона), но это составило всего 44 процента общего числа проголосовавших. Большинство было настроено явно против Гитлера. Партия "Центр", как ни мешали ей преследования и запреты, набрала на этих выборах больше голосов, чем на предыдущих (4424900 против 4230600), а вместе с католической народной партией Баварии за нее проголосовали 5, 5 миллиона человек. Даже социал-демократы сохранили свое положение второй по численности партии, набрав 7 181 629 голосов (уменьшение на 70 тысяч). Коммунисты потеряли миллион сторонников, и все же за них проголосовали 4 848 058 избирателей. Националисты во главе с Папеном и Гугенбергом сильно обманулись в своих ожиданиях, набрав только 3 136 760 голосов (рост меньше чем на 200 тысяч), или 8 процентов общего числа голосовавших.</w:t>
      </w:r>
    </w:p>
    <w:p w14:paraId="4E8D4637" w14:textId="77777777" w:rsidR="007C00E8" w:rsidRPr="00C33834" w:rsidRDefault="007C00E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Тем не менее 52 депутатских места националистов плюс 288 мест нацистов давали правительству парламентское большинство (перевес в 16 мест). Этого, наверное, было достаточно для осуществления повседневных функций правительства, но далеко не достаточно для того, чтобы Гитлер мог провести в жизнь свой новый дерзкий план - установить при поддержке парламента личную диктатуру (17283).</w:t>
      </w:r>
    </w:p>
    <w:p w14:paraId="1CCB8513" w14:textId="77777777" w:rsidR="007C00E8" w:rsidRPr="00C33834" w:rsidRDefault="007C00E8" w:rsidP="00C33834">
      <w:pPr>
        <w:spacing w:after="0" w:line="240" w:lineRule="auto"/>
        <w:jc w:val="both"/>
        <w:rPr>
          <w:rFonts w:ascii="Times New Roman" w:hAnsi="Times New Roman"/>
          <w:color w:val="000000" w:themeColor="text1"/>
          <w:sz w:val="16"/>
          <w:szCs w:val="16"/>
        </w:rPr>
      </w:pPr>
    </w:p>
    <w:p w14:paraId="46BCDC41" w14:textId="77777777" w:rsidR="00F4240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65A85D9" w14:textId="77777777" w:rsidR="00F42404" w:rsidRPr="00C33834" w:rsidRDefault="00F42404" w:rsidP="00C33834">
      <w:pPr>
        <w:spacing w:after="0" w:line="240" w:lineRule="auto"/>
        <w:jc w:val="both"/>
        <w:rPr>
          <w:rFonts w:ascii="Times New Roman" w:hAnsi="Times New Roman"/>
          <w:iCs/>
          <w:color w:val="000000" w:themeColor="text1"/>
          <w:sz w:val="16"/>
          <w:szCs w:val="16"/>
        </w:rPr>
      </w:pPr>
    </w:p>
    <w:p w14:paraId="69CDC6A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марта 1933 проводилась стрельба (ДРП с Изет) )в воздухе над полигоном УВВС - Монино с посадками для зарядки на аэродром НИИ в Щелково. В канал ствола был заложен 1 патрон и в магазин 3 патрона. Взлет был сделан с аэродрома НИИ в Щелково и испытания стрельбой - над полигоном в Монино. Все 4 выстрела были нормальные, с автоматической перезарядкой. После посадки на аэродроме в канал ствола был заложен один и в магазин - 5 патронов. При стрельбе был сделан 1 выстрел. Перезарядки не последовало, отказал перезаряжающий механизм. При осмотре системы на земле был обнаружен разрегулированный стопорный винт питающей рейки. исправление механизма было выполнено в течение 10 мин. Самолет после посадки на аэродроме в Щелково сделал перелет в Москву (2303,5).</w:t>
      </w:r>
    </w:p>
    <w:p w14:paraId="164BA375"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6ECA735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марта 1933 С.П.К. руководил испытаниями камеры сгорания ракеты ГИРД-09 (см. Приложение 1). До 5 августа 1933 г. проведены 22 испытания (ААН, р. 4, оп. 14, № 50) (10676).</w:t>
      </w:r>
    </w:p>
    <w:p w14:paraId="67B83835"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2151347A" w14:textId="77777777" w:rsidR="00F4240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3570363" w14:textId="77777777" w:rsidR="00F42404" w:rsidRPr="00C33834" w:rsidRDefault="00F42404" w:rsidP="00C33834">
      <w:pPr>
        <w:spacing w:after="0" w:line="240" w:lineRule="auto"/>
        <w:jc w:val="both"/>
        <w:rPr>
          <w:rFonts w:ascii="Times New Roman" w:hAnsi="Times New Roman"/>
          <w:iCs/>
          <w:color w:val="000000" w:themeColor="text1"/>
          <w:sz w:val="16"/>
          <w:szCs w:val="16"/>
        </w:rPr>
      </w:pPr>
    </w:p>
    <w:p w14:paraId="7C29C959" w14:textId="77777777" w:rsidR="00F42404" w:rsidRPr="00C33834" w:rsidRDefault="00F42404"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марта 1933 года бронеавтомобиль поступил на НИБТ полигон, где до конца июля проходил испытания, показав</w:t>
      </w:r>
      <w:r w:rsidRPr="00C33834">
        <w:rPr>
          <w:rFonts w:ascii="Times New Roman" w:hAnsi="Times New Roman"/>
          <w:color w:val="000000" w:themeColor="text1"/>
          <w:sz w:val="16"/>
          <w:szCs w:val="16"/>
        </w:rPr>
        <w:softHyphen/>
        <w:t>шие неплохие результаты — максимальная скорость ФАИ составила 85 км/ч, запас хода по шоссе 210 км, по проселку до 120 км, броневик уверенно двигался по фунтовым и за</w:t>
      </w:r>
      <w:r w:rsidRPr="00C33834">
        <w:rPr>
          <w:rFonts w:ascii="Times New Roman" w:hAnsi="Times New Roman"/>
          <w:color w:val="000000" w:themeColor="text1"/>
          <w:sz w:val="16"/>
          <w:szCs w:val="16"/>
        </w:rPr>
        <w:softHyphen/>
        <w:t>снеженным дорогам. По результатам испытаний был со</w:t>
      </w:r>
      <w:r w:rsidRPr="00C33834">
        <w:rPr>
          <w:rFonts w:ascii="Times New Roman" w:hAnsi="Times New Roman"/>
          <w:color w:val="000000" w:themeColor="text1"/>
          <w:sz w:val="16"/>
          <w:szCs w:val="16"/>
        </w:rPr>
        <w:softHyphen/>
        <w:t>ставлен перечень изменений, которые предполагалось вне</w:t>
      </w:r>
      <w:r w:rsidRPr="00C33834">
        <w:rPr>
          <w:rFonts w:ascii="Times New Roman" w:hAnsi="Times New Roman"/>
          <w:color w:val="000000" w:themeColor="text1"/>
          <w:sz w:val="16"/>
          <w:szCs w:val="16"/>
        </w:rPr>
        <w:softHyphen/>
        <w:t>сти в конструкцию в ходе серийного производства (11284).</w:t>
      </w:r>
    </w:p>
    <w:p w14:paraId="6A1E5A1C" w14:textId="77777777" w:rsidR="00F42404" w:rsidRPr="00C33834" w:rsidRDefault="00F42404" w:rsidP="00C33834">
      <w:pPr>
        <w:shd w:val="clear" w:color="auto" w:fill="FFFFFF"/>
        <w:spacing w:after="0" w:line="240" w:lineRule="auto"/>
        <w:jc w:val="both"/>
        <w:rPr>
          <w:rFonts w:ascii="Times New Roman" w:hAnsi="Times New Roman"/>
          <w:color w:val="000000" w:themeColor="text1"/>
          <w:sz w:val="16"/>
          <w:szCs w:val="16"/>
        </w:rPr>
      </w:pPr>
    </w:p>
    <w:p w14:paraId="2973CAE6" w14:textId="77777777" w:rsidR="00F4240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A3BB484" w14:textId="77777777" w:rsidR="00F42404" w:rsidRPr="00C33834" w:rsidRDefault="00F42404" w:rsidP="00C33834">
      <w:pPr>
        <w:spacing w:after="0" w:line="240" w:lineRule="auto"/>
        <w:jc w:val="both"/>
        <w:rPr>
          <w:rFonts w:ascii="Times New Roman" w:hAnsi="Times New Roman"/>
          <w:iCs/>
          <w:color w:val="000000" w:themeColor="text1"/>
          <w:sz w:val="16"/>
          <w:szCs w:val="16"/>
        </w:rPr>
      </w:pPr>
    </w:p>
    <w:p w14:paraId="3F89196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марта 1933 сторонники А.Гитлера и союзники нацистов получили большинство в Рейхстаге (2100).</w:t>
      </w:r>
    </w:p>
    <w:p w14:paraId="09A12C8A"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0736579E" w14:textId="77777777" w:rsidR="00150BD8" w:rsidRPr="00C33834" w:rsidRDefault="00C33834" w:rsidP="00C33834">
      <w:pPr>
        <w:pStyle w:val="ae"/>
        <w:spacing w:before="0" w:after="0"/>
        <w:jc w:val="both"/>
        <w:rPr>
          <w:color w:val="000000" w:themeColor="text1"/>
          <w:sz w:val="16"/>
          <w:szCs w:val="16"/>
        </w:rPr>
      </w:pPr>
      <w:hyperlink r:id="rId92" w:tooltip="5 марта" w:history="1">
        <w:r w:rsidR="00150BD8" w:rsidRPr="00C33834">
          <w:rPr>
            <w:rStyle w:val="a5"/>
            <w:color w:val="000000" w:themeColor="text1"/>
            <w:sz w:val="16"/>
            <w:szCs w:val="16"/>
            <w:u w:val="none"/>
          </w:rPr>
          <w:t>5 марта</w:t>
        </w:r>
      </w:hyperlink>
      <w:hyperlink r:id="rId93" w:tooltip="1933 год" w:history="1">
        <w:r w:rsidR="00150BD8" w:rsidRPr="00C33834">
          <w:rPr>
            <w:rStyle w:val="highlight1"/>
            <w:b w:val="0"/>
            <w:color w:val="000000" w:themeColor="text1"/>
            <w:sz w:val="16"/>
            <w:szCs w:val="16"/>
          </w:rPr>
          <w:t> 1933 </w:t>
        </w:r>
      </w:hyperlink>
      <w:r w:rsidR="00150BD8" w:rsidRPr="00C33834">
        <w:rPr>
          <w:color w:val="000000" w:themeColor="text1"/>
          <w:sz w:val="16"/>
          <w:szCs w:val="16"/>
        </w:rPr>
        <w:t xml:space="preserve"> года на </w:t>
      </w:r>
      <w:hyperlink r:id="rId94" w:tooltip="Парламентские выборы в Германии (1933, март)" w:history="1">
        <w:r w:rsidR="00150BD8" w:rsidRPr="00C33834">
          <w:rPr>
            <w:rStyle w:val="a5"/>
            <w:color w:val="000000" w:themeColor="text1"/>
            <w:sz w:val="16"/>
            <w:szCs w:val="16"/>
            <w:u w:val="none"/>
          </w:rPr>
          <w:t>выборах в рейхстаг</w:t>
        </w:r>
      </w:hyperlink>
      <w:r w:rsidR="00150BD8" w:rsidRPr="00C33834">
        <w:rPr>
          <w:color w:val="000000" w:themeColor="text1"/>
          <w:sz w:val="16"/>
          <w:szCs w:val="16"/>
        </w:rPr>
        <w:t xml:space="preserve"> НСДАП по официальным данным набрала 17,3 миллиона голосов — примерно на 3 миллиона меньше, чем требовалось, </w:t>
      </w:r>
      <w:r w:rsidR="00150BD8" w:rsidRPr="00C33834">
        <w:rPr>
          <w:color w:val="000000" w:themeColor="text1"/>
          <w:sz w:val="16"/>
          <w:szCs w:val="16"/>
        </w:rPr>
        <w:lastRenderedPageBreak/>
        <w:t>чтобы иметь в рейхстаге 50 % голосов (17274).</w:t>
      </w:r>
    </w:p>
    <w:p w14:paraId="4ACC05B0" w14:textId="77777777" w:rsidR="00150BD8" w:rsidRPr="00C33834" w:rsidRDefault="00150BD8" w:rsidP="00C33834">
      <w:pPr>
        <w:spacing w:after="0" w:line="240" w:lineRule="auto"/>
        <w:jc w:val="both"/>
        <w:rPr>
          <w:rFonts w:ascii="Times New Roman" w:hAnsi="Times New Roman"/>
          <w:color w:val="000000" w:themeColor="text1"/>
          <w:sz w:val="16"/>
          <w:szCs w:val="16"/>
        </w:rPr>
      </w:pPr>
    </w:p>
    <w:p w14:paraId="1003211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марта 1933 г. в атмосфере всеобщего страха перед якобы наступающим политическим хаосом на выборах в рейхстаг Национал-социалистическая партия одержала победу. Гитлер был вновь назначен канцлером (3871).</w:t>
      </w:r>
    </w:p>
    <w:p w14:paraId="6319DF6D"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729D318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марта 1933 года, едва только сведения о победе нацистов на выборах в Германии просочились в печать, польские войска развернули демонстративные военные учения на границах с Германией. Пилсудский фактически потребовал от Берлина объяснений по поводу его будущей внешнеполитической линии. Реакция Берлина была быстрой и конструктивной. Германия сразу же согласилась совместно с Польшей "беспристрастно изучить проблемы, представляющие угрозу для общих интересов обеих стран" (3871).</w:t>
      </w:r>
    </w:p>
    <w:p w14:paraId="138245EA"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07C0E047" w14:textId="77777777" w:rsidR="00F4240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D68B519" w14:textId="77777777" w:rsidR="00F42404" w:rsidRPr="00C33834" w:rsidRDefault="00F42404" w:rsidP="00C33834">
      <w:pPr>
        <w:spacing w:after="0" w:line="240" w:lineRule="auto"/>
        <w:jc w:val="both"/>
        <w:rPr>
          <w:rFonts w:ascii="Times New Roman" w:hAnsi="Times New Roman"/>
          <w:iCs/>
          <w:color w:val="000000" w:themeColor="text1"/>
          <w:sz w:val="16"/>
          <w:szCs w:val="16"/>
        </w:rPr>
      </w:pPr>
    </w:p>
    <w:p w14:paraId="04F8477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марта 1933 Харламов совместно с Шумилиным прибыл в Париж для переговоров с фирмой Рато по поводу нагнетателя Рато для М-34. Переговоры велись с 1931 и Рато согласилась сделать нагнетатель на высотность 8000 м. 8 апреля 1932 Рато дала предложение на поставку 20 нагнетателей, но ответа не получила и решала, что мы отказались. Начав переговоры 8 марта с трудом восстановили отношения. Получили новое предложение 10 марта 1933 (2304,20).</w:t>
      </w:r>
    </w:p>
    <w:p w14:paraId="43DB6438"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52A0A211" w14:textId="77777777" w:rsidR="00F4240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7764B53" w14:textId="77777777" w:rsidR="00F42404" w:rsidRPr="00C33834" w:rsidRDefault="00F42404" w:rsidP="00C33834">
      <w:pPr>
        <w:spacing w:after="0" w:line="240" w:lineRule="auto"/>
        <w:jc w:val="both"/>
        <w:rPr>
          <w:rFonts w:ascii="Times New Roman" w:hAnsi="Times New Roman"/>
          <w:iCs/>
          <w:color w:val="000000" w:themeColor="text1"/>
          <w:sz w:val="16"/>
          <w:szCs w:val="16"/>
        </w:rPr>
      </w:pPr>
    </w:p>
    <w:p w14:paraId="1034B79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6 марта 1933 года в войсках имелось 7 203-мм гаубиц Б-4 (видимо, все ММ) (3861).</w:t>
      </w:r>
    </w:p>
    <w:p w14:paraId="51743994"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72D1CA2A" w14:textId="77777777" w:rsidR="002E1BE7"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545A092" w14:textId="77777777" w:rsidR="002E1BE7" w:rsidRPr="00C33834" w:rsidRDefault="002E1BE7" w:rsidP="00C33834">
      <w:pPr>
        <w:spacing w:after="0" w:line="240" w:lineRule="auto"/>
        <w:jc w:val="both"/>
        <w:rPr>
          <w:rFonts w:ascii="Times New Roman" w:hAnsi="Times New Roman"/>
          <w:iCs/>
          <w:color w:val="000000" w:themeColor="text1"/>
          <w:sz w:val="16"/>
          <w:szCs w:val="16"/>
        </w:rPr>
      </w:pPr>
    </w:p>
    <w:p w14:paraId="0B2DEFDD" w14:textId="77777777" w:rsidR="002E1BE7" w:rsidRPr="00C33834" w:rsidRDefault="002E1BE7" w:rsidP="00C33834">
      <w:pPr>
        <w:pStyle w:val="ae"/>
        <w:spacing w:before="0" w:after="0"/>
        <w:jc w:val="both"/>
        <w:rPr>
          <w:color w:val="000000" w:themeColor="text1"/>
          <w:sz w:val="16"/>
          <w:szCs w:val="16"/>
        </w:rPr>
      </w:pPr>
      <w:r w:rsidRPr="00C33834">
        <w:rPr>
          <w:color w:val="000000" w:themeColor="text1"/>
          <w:sz w:val="16"/>
          <w:szCs w:val="16"/>
        </w:rPr>
        <w:t>В начале марта 1933 на Ковровском заводе прошли митинги протеста против фашистского террора в Германии и арестов Э. Тельмана и других лидеров германской компартии.</w:t>
      </w:r>
    </w:p>
    <w:p w14:paraId="7C579745" w14:textId="77777777" w:rsidR="002E1BE7" w:rsidRPr="00C33834" w:rsidRDefault="002E1BE7" w:rsidP="00C33834">
      <w:pPr>
        <w:pStyle w:val="ae"/>
        <w:spacing w:before="0" w:after="0"/>
        <w:jc w:val="both"/>
        <w:rPr>
          <w:color w:val="000000" w:themeColor="text1"/>
          <w:sz w:val="16"/>
          <w:szCs w:val="16"/>
        </w:rPr>
      </w:pPr>
      <w:r w:rsidRPr="00C33834">
        <w:rPr>
          <w:color w:val="000000" w:themeColor="text1"/>
          <w:sz w:val="16"/>
          <w:szCs w:val="16"/>
        </w:rPr>
        <w:t>Испытания образцов 12,7-мм пулемета ДАК-32 по схеме ДК с приемником конструкции Шпагина. По результатам испытаний, образцы подлежали доработке, но к ней удалось приступить только после отработки основного образца пулемета ДШК, в 1937 году.</w:t>
      </w:r>
    </w:p>
    <w:p w14:paraId="475335CA" w14:textId="77777777" w:rsidR="002E1BE7" w:rsidRPr="00C33834" w:rsidRDefault="002E1BE7" w:rsidP="00C33834">
      <w:pPr>
        <w:pStyle w:val="ae"/>
        <w:spacing w:before="0" w:after="0"/>
        <w:jc w:val="both"/>
        <w:rPr>
          <w:color w:val="000000" w:themeColor="text1"/>
          <w:sz w:val="16"/>
          <w:szCs w:val="16"/>
        </w:rPr>
      </w:pPr>
      <w:r w:rsidRPr="00C33834">
        <w:rPr>
          <w:color w:val="000000" w:themeColor="text1"/>
          <w:sz w:val="16"/>
          <w:szCs w:val="16"/>
        </w:rPr>
        <w:t>И.Н. Колесников разработал легкий универсальный треножный станок массой 12 кг для пулемета ДП, универсальный колесно-треножный станок для пулемета ДС.</w:t>
      </w:r>
    </w:p>
    <w:p w14:paraId="5E436CCF" w14:textId="77777777" w:rsidR="002E1BE7" w:rsidRPr="00C33834" w:rsidRDefault="002E1BE7" w:rsidP="00C33834">
      <w:pPr>
        <w:pStyle w:val="ae"/>
        <w:spacing w:before="0" w:after="0"/>
        <w:jc w:val="both"/>
        <w:rPr>
          <w:color w:val="000000" w:themeColor="text1"/>
          <w:sz w:val="16"/>
          <w:szCs w:val="16"/>
        </w:rPr>
      </w:pPr>
      <w:r w:rsidRPr="00C33834">
        <w:rPr>
          <w:color w:val="000000" w:themeColor="text1"/>
          <w:sz w:val="16"/>
          <w:szCs w:val="16"/>
        </w:rPr>
        <w:t>Ведется разработка крупнокалиберного пулемета ШВАК. Его создал на базе 7,62-мм авиационного пулемета ШКАС конструктор СВ. Владимиров.</w:t>
      </w:r>
    </w:p>
    <w:p w14:paraId="5BB226A7" w14:textId="77777777" w:rsidR="002E1BE7" w:rsidRPr="00C33834" w:rsidRDefault="002E1BE7" w:rsidP="00C33834">
      <w:pPr>
        <w:pStyle w:val="ae"/>
        <w:spacing w:before="0" w:after="0"/>
        <w:jc w:val="both"/>
        <w:rPr>
          <w:color w:val="000000" w:themeColor="text1"/>
          <w:sz w:val="16"/>
          <w:szCs w:val="16"/>
        </w:rPr>
      </w:pPr>
      <w:r w:rsidRPr="00C33834">
        <w:rPr>
          <w:color w:val="000000" w:themeColor="text1"/>
          <w:sz w:val="16"/>
          <w:szCs w:val="16"/>
        </w:rPr>
        <w:t>Инженер-изобретатель М.С. Лазарев начал исследовательские работы по стрелковому вооружению. Он впервые стал заниматься выдавливанием (дорнованием) нарезов в канале. Сначала опыты были неудачными, но Лазарев добился своего. Уже в начале войны дорнозание почти полностью вытеснило старую дедовскую строжку (12221).</w:t>
      </w:r>
    </w:p>
    <w:p w14:paraId="5C81AC42" w14:textId="77777777" w:rsidR="002E1BE7" w:rsidRPr="00C33834" w:rsidRDefault="002E1BE7" w:rsidP="00C33834">
      <w:pPr>
        <w:pStyle w:val="ae"/>
        <w:spacing w:before="0" w:after="0"/>
        <w:jc w:val="both"/>
        <w:rPr>
          <w:color w:val="000000" w:themeColor="text1"/>
          <w:sz w:val="16"/>
          <w:szCs w:val="16"/>
        </w:rPr>
      </w:pPr>
    </w:p>
    <w:p w14:paraId="75BA46C6" w14:textId="77777777" w:rsidR="00F4240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063A223A"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7F3FCE21"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началу марта 1933 относится и приказ, подписанный, но не получивший номера, об организации ««Музея Строительства Волга-Москва» для всестороннего освещения экспонатами: а) общего значения Строительства, б) истории его, в) условий и обстановки, в которых оно протекает, г) техники производства изыскательных, проектировочных и строительных работ, д) работы по трудовому перевоспитанию заключенных. Для всестороннего использования опыта строительства Беломорско-Балтийского Водного Пути положить в основу организуемого Музея экспонаты б. «Музея Строительства Б.Б.В.П.»». Начальникам отделов Строительства и лагеря: Изыскательно-топографического, Гидрологического, Геологического, Проектного, Производственно, Механизации, Планово-экономического, КВО и Гидротехнической лаборатории, - предписывалось принять меры к обеспечению организуемого музея экспонатами. Согласно временному штату музея, подчиняемого начальнику Строительства, директором его назначался инженер Е. Е. Скорняков «в порядке совместительства с его должностью Нач. Модельно-Макетной мастерской», смотрителем - з/к Р. В. Волощак (7560).</w:t>
      </w:r>
    </w:p>
    <w:p w14:paraId="4DD3B7A2"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4E388E3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марта 1933 года ОГПУ сообщило, что только за один месяц 219 416 человек были задержаны при попытке уехать из деревень в ходе операций, призванных ограничить массовое бегство крестьян в города. 186 588 человек были возвращены на места проживания, многие арестованы и осуждены (10687).</w:t>
      </w:r>
    </w:p>
    <w:p w14:paraId="6AB43E40"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1FC50388" w14:textId="77777777" w:rsidR="00F4240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425298F" w14:textId="77777777" w:rsidR="00F42404" w:rsidRPr="00C33834" w:rsidRDefault="00F42404" w:rsidP="00C33834">
      <w:pPr>
        <w:spacing w:after="0" w:line="240" w:lineRule="auto"/>
        <w:jc w:val="both"/>
        <w:rPr>
          <w:rFonts w:ascii="Times New Roman" w:hAnsi="Times New Roman"/>
          <w:iCs/>
          <w:color w:val="000000" w:themeColor="text1"/>
          <w:sz w:val="16"/>
          <w:szCs w:val="16"/>
        </w:rPr>
      </w:pPr>
    </w:p>
    <w:p w14:paraId="00B832C9" w14:textId="77777777" w:rsidR="00F42404" w:rsidRPr="00C33834" w:rsidRDefault="00F42404"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марта 1933 было подготовлено заключение по испытаниям гидравлического управления тормозами колес размерами 1350х300 мм на самолете ТБ3 4М17с тормозными колесами. Неудачно и потом после устранения дефектов испытывался еще раз с 19 по 22 апреля 1933 (6638).</w:t>
      </w:r>
    </w:p>
    <w:p w14:paraId="358108B6" w14:textId="77777777" w:rsidR="00F42404" w:rsidRPr="00C33834" w:rsidRDefault="00F42404" w:rsidP="00C33834">
      <w:pPr>
        <w:tabs>
          <w:tab w:val="left" w:pos="11199"/>
        </w:tabs>
        <w:spacing w:after="0" w:line="240" w:lineRule="auto"/>
        <w:jc w:val="both"/>
        <w:rPr>
          <w:rFonts w:ascii="Times New Roman" w:hAnsi="Times New Roman"/>
          <w:color w:val="000000" w:themeColor="text1"/>
          <w:sz w:val="16"/>
          <w:szCs w:val="16"/>
        </w:rPr>
      </w:pPr>
    </w:p>
    <w:p w14:paraId="3237F0B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марта 1933 года инспектор ВВС Хрипин писал письмо № 25506сс наркому по военным и морским делам и председателю РВС</w:t>
      </w:r>
    </w:p>
    <w:p w14:paraId="271B073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невыполнении опытными организациями планов опытного самолетомоторостроения.</w:t>
      </w:r>
    </w:p>
    <w:p w14:paraId="52F13F5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w:t>
      </w:r>
    </w:p>
    <w:p w14:paraId="0C17F5C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Качественный рост наших самолетов находится в прямой зависимости от успешных работ наших конструкторских групп и опытных организаций. Между тем, работа основных опытных организаций: по самолетам ЦАГИ, и особенно, по моторам ЦИАМа за последние годы нельзя признать удовлетворительной, как в отношении качества, так и в смысле сроков постройки опытных самолетов и моторов.</w:t>
      </w:r>
    </w:p>
    <w:p w14:paraId="0E3D835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весь 1931 год, вместо следуемых по плану 10 моторов и 14 самолетов, было построено 4 мотора и 8 самолетов, из коих принят на вооружение ВВС только один мотор М-34 без нагнетателя и редуктора. Все восемь построенных в 1931 году самолетов (ДИ3, ТБ5, МДР2, МДР1, МДР3, МУ3, ДИ4 и И-12) не могли быть приняты на вооружение или вследствие низких летно-тактических качеств, или в силу конструктивных дефектов, настолько серьезных, что отдельные из этих самолетов (ДИ3, МДР3), не пройдя гос. испытаний, пошли на слом.</w:t>
      </w:r>
    </w:p>
    <w:p w14:paraId="68E4F14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1932 год из следуемых по плану 14 моторов и 10 самолетов на 1 января 1933 года было закончено постройкой 5 моторов (М34 с редуктором, ГМ34 с реверсом, М38 с нагнетателем, М52 и М-58) и 2 самолета ТБ4 с 6М34 и МИ3 с 2 М34, но ни один из них до настоящего времени не предъявлен на гос. испытания.</w:t>
      </w:r>
    </w:p>
    <w:p w14:paraId="32092BF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Устанавливаемые Правительством сроки постройки опытных самолетов и моторов систематически срываются нашими опытными организвциями. Это явление приняло настолько хронический характер, что за истекшие 3 года не было ни одного случая предъявления в срок того или иного опытного образца, зато сплошь и рядом опоздания по отдельным моторам и самолетам достигают 1,5 – 2 лет. Вследствие этого многие образцы технически устаревают даже в процессе их постройки.</w:t>
      </w:r>
    </w:p>
    <w:p w14:paraId="24E8E0F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результате перечисленных явлений, первый план опытного строительства на 1930-1932 годы в большей своей части оказался не выполненным. Наши опытные организации за 1931 и 1932 годы не дали ВВС ни одного нового образца боевого самолета и всего лишь один мотор М-34, но без нагнетателя и редуктора.</w:t>
      </w:r>
    </w:p>
    <w:p w14:paraId="150B916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выполнение сроков постройки опытными организациями приняло настолько затяжной характер, что в данный момент имеется опасность подобных же срывов плана и в текущем году.</w:t>
      </w:r>
    </w:p>
    <w:p w14:paraId="77D66AF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новому плану опытного самолетостроения, утвержденному Правительством 4 июля 1932 года уже по 1 марта 1933 года опоздание против установленных сроков в общей сложности достигает по 29 объектам работ над моторами 100 месяцев и по 44 объектам работ над сухопутными и морскими самолетами – 60 месяцев.</w:t>
      </w:r>
    </w:p>
    <w:p w14:paraId="77D38A2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целью положить конец этому тяжелому положению с опытным строительством, со своей стороны считаю необходимым провести следующие мероприятия:</w:t>
      </w:r>
    </w:p>
    <w:p w14:paraId="0968125A" w14:textId="77777777" w:rsidR="00F42404" w:rsidRPr="00C33834" w:rsidRDefault="00F42404" w:rsidP="00C33834">
      <w:pPr>
        <w:numPr>
          <w:ilvl w:val="0"/>
          <w:numId w:val="11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общего количества опытных работ (299 по моторам и 44 по самолетам) отобрать наиболее важные, отнеся их в разряд ударных и первоочередных и на них ориентировать главные силы и средства опытных оганизаций.</w:t>
      </w:r>
    </w:p>
    <w:p w14:paraId="7894B6DF" w14:textId="77777777" w:rsidR="00F42404" w:rsidRPr="00C33834" w:rsidRDefault="00F42404" w:rsidP="00C33834">
      <w:pPr>
        <w:numPr>
          <w:ilvl w:val="0"/>
          <w:numId w:val="11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месячный срок УВВС ГУАПу пересмотреть сроки постройки опытных моторов и самолетов с целью достигнуть наиболее полной их реальности и сделать эти сроки безусловно обязательными для наших опытных организаций.</w:t>
      </w:r>
    </w:p>
    <w:p w14:paraId="7C388158" w14:textId="77777777" w:rsidR="00F42404" w:rsidRPr="00C33834" w:rsidRDefault="00F42404" w:rsidP="00C33834">
      <w:pPr>
        <w:numPr>
          <w:ilvl w:val="0"/>
          <w:numId w:val="11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неблагополучном положении с опытным самолетостроением довести до сведения Правительства с просьбой: а) расследовать причины, столь неблагоприятно отразившиеся на качестве и сроках опытных образцов за последние два года и б) внедрить в систему работы опытных организаций принципы хозрасчета.</w:t>
      </w:r>
    </w:p>
    <w:p w14:paraId="1EC70262" w14:textId="77777777" w:rsidR="00F42404" w:rsidRPr="00C33834" w:rsidRDefault="00F42404" w:rsidP="00C33834">
      <w:pPr>
        <w:numPr>
          <w:ilvl w:val="0"/>
          <w:numId w:val="11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отношении первоочередности работ к числу важнейших опытных объектов предлагал бы отнести следующие работы:</w:t>
      </w:r>
    </w:p>
    <w:p w14:paraId="53B3355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моторам бензиновым:</w:t>
      </w:r>
    </w:p>
    <w:p w14:paraId="1D12B00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В максимально короткий срок и ценою каких -угодно затрат полностью разрешить проблему с нагнетателем к мотору М-34.</w:t>
      </w:r>
    </w:p>
    <w:p w14:paraId="70F82A2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Закончить постройку мотора М-34 с нагнетателем и редуктором.</w:t>
      </w:r>
    </w:p>
    <w:p w14:paraId="7B75EEA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Закончить постройку мотора М-38 с нагнетателем и редуктором.</w:t>
      </w:r>
    </w:p>
    <w:p w14:paraId="7652AB9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Форсировать работы над моторами М-58, М-44 и М-54 (900 л.с.).</w:t>
      </w:r>
    </w:p>
    <w:p w14:paraId="5C8D3E4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Быстрое и удачное завершение перечисленных работ над моторами позволит в короткий срок повысить летно-тактические качества всех наших самолетов, как опытных, так и многих, стоящих на вооружении.</w:t>
      </w:r>
    </w:p>
    <w:p w14:paraId="319B3131"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моторам тяжелого топлива</w:t>
      </w:r>
    </w:p>
    <w:p w14:paraId="29BAE0E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первую очередь форсировать работы над моторами:</w:t>
      </w:r>
    </w:p>
    <w:p w14:paraId="01527E9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Н-1 в 600 л.с., Н-2 в 1000 л.с. и Н-5 – в 2000 л.с.</w:t>
      </w:r>
    </w:p>
    <w:p w14:paraId="54CF590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экспериментальным моторам:</w:t>
      </w:r>
    </w:p>
    <w:p w14:paraId="3197F44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Форсировать работы над паровыми турбинами в 3000 и 6000 л.с. и над винтом переменного шага.</w:t>
      </w:r>
    </w:p>
    <w:p w14:paraId="2D843C9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сухопутным самолетам</w:t>
      </w:r>
    </w:p>
    <w:p w14:paraId="45142D3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Ускорить начало и проведение испытаний ТБ4 с 6М34 и МИ3 с 2М34, ДИ4 и Z (Зет).</w:t>
      </w:r>
    </w:p>
    <w:p w14:paraId="3216723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Форсировать постройку:</w:t>
      </w:r>
    </w:p>
    <w:p w14:paraId="2228716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Тяжелых бомбардировщиков – ТБ4 с 6М34 – второго экземпляра, К7 с 7М34 и Д-1 с 12-ю М34</w:t>
      </w:r>
    </w:p>
    <w:p w14:paraId="0493A34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Штурмовиков – ТШ3 с М34 и Х1 с 2М34</w:t>
      </w:r>
    </w:p>
    <w:p w14:paraId="2EEBEEB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Крейсеров – К1 с 2М34</w:t>
      </w:r>
    </w:p>
    <w:p w14:paraId="2C31384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Двухместных истребителей – ДИ-6</w:t>
      </w:r>
    </w:p>
    <w:p w14:paraId="77498B5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Одноместных истребителей – И14 с М38 и И15 с М38</w:t>
      </w:r>
    </w:p>
    <w:p w14:paraId="5B731FE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экспериментальным самолетам – сверхвысотный, сверхскоростной, сверхдальний и летающее крыло</w:t>
      </w:r>
    </w:p>
    <w:p w14:paraId="6A9BF40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модифицируемым – ускорить испытания ТБ3 с 4М34, Р5 с М34, Р6 с увеличенными баками и Р5 с тормозными колесами и разрезными крыльями</w:t>
      </w:r>
    </w:p>
    <w:p w14:paraId="7BEC935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морским самолетам</w:t>
      </w:r>
    </w:p>
    <w:p w14:paraId="3DDD6DA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Форсировать работы и установить срок предъявления на гос. испытания МДР3 бис с 3М34 и МБР5.</w:t>
      </w:r>
    </w:p>
    <w:p w14:paraId="72C4CC6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остальныеопытные объекты отнести к разряду второочередных.</w:t>
      </w:r>
    </w:p>
    <w:p w14:paraId="02E172DE" w14:textId="77777777" w:rsidR="00F42404" w:rsidRPr="00C33834" w:rsidRDefault="00F42404"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Пересмотреть систему вооружения и план опытного строительства ВВС на вторую пятилетку при обязательном условии одновременного расмотрения и полного согласования системы основного и воздушноартиллерийского вооружения, о чем я представлял Вам доклад от 25 января 1933 года за № 25502сс.</w:t>
      </w:r>
    </w:p>
    <w:p w14:paraId="1E006905" w14:textId="77777777" w:rsidR="00F42404" w:rsidRPr="00C33834" w:rsidRDefault="00F42404" w:rsidP="00C33834">
      <w:pPr>
        <w:pStyle w:val="24"/>
        <w:widowControl/>
        <w:rPr>
          <w:color w:val="000000" w:themeColor="text1"/>
        </w:rPr>
      </w:pPr>
      <w:r w:rsidRPr="00C33834">
        <w:rPr>
          <w:color w:val="000000" w:themeColor="text1"/>
        </w:rPr>
        <w:t>Разработку исчерпывающих предложений по этому вопросу возложить на УВВС, предоставив ему месячный срок.</w:t>
      </w:r>
    </w:p>
    <w:p w14:paraId="10C9AB6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Докладывая настоящие соображения, прошу Ваших указаний (7415, 30-33).</w:t>
      </w:r>
    </w:p>
    <w:p w14:paraId="23C15CF2"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4C17712D" w14:textId="77777777" w:rsidR="00AD1D3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A5DAD34" w14:textId="77777777" w:rsidR="00AD1D3C" w:rsidRPr="00C33834" w:rsidRDefault="00AD1D3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6CA8646" w14:textId="77777777" w:rsidR="00AD1D3C" w:rsidRPr="00C33834" w:rsidRDefault="00AD1D3C" w:rsidP="00C33834">
      <w:pPr>
        <w:pStyle w:val="rtejustify"/>
        <w:spacing w:before="0" w:after="0"/>
        <w:rPr>
          <w:color w:val="000000" w:themeColor="text1"/>
          <w:sz w:val="16"/>
          <w:szCs w:val="16"/>
        </w:rPr>
      </w:pPr>
      <w:r w:rsidRPr="00C33834">
        <w:rPr>
          <w:rStyle w:val="af0"/>
          <w:i w:val="0"/>
          <w:color w:val="000000" w:themeColor="text1"/>
          <w:sz w:val="16"/>
          <w:szCs w:val="16"/>
        </w:rPr>
        <w:t xml:space="preserve">7 марта 1933 г. </w:t>
      </w:r>
      <w:r w:rsidRPr="00C33834">
        <w:rPr>
          <w:color w:val="000000" w:themeColor="text1"/>
          <w:sz w:val="16"/>
          <w:szCs w:val="16"/>
        </w:rPr>
        <w:t>Докладная записка члена Реввоенсовета СССР¹* и начальника Военно-морских сил РККА В. М. Орлова наркому по военным и морским делам СССР К. Е. Ворошилову о ходе выполнения программы военно-морского судостроения</w:t>
      </w:r>
    </w:p>
    <w:p w14:paraId="128DF1DE" w14:textId="77777777" w:rsidR="00AD1D3C" w:rsidRPr="00C33834" w:rsidRDefault="00AD1D3C" w:rsidP="00C33834">
      <w:pPr>
        <w:pStyle w:val="rtejustify"/>
        <w:spacing w:before="0" w:after="0"/>
        <w:rPr>
          <w:color w:val="000000" w:themeColor="text1"/>
          <w:sz w:val="16"/>
          <w:szCs w:val="16"/>
        </w:rPr>
      </w:pPr>
      <w:r w:rsidRPr="00C33834">
        <w:rPr>
          <w:rStyle w:val="af0"/>
          <w:i w:val="0"/>
          <w:color w:val="000000" w:themeColor="text1"/>
          <w:sz w:val="16"/>
          <w:szCs w:val="16"/>
        </w:rPr>
        <w:t>Совершенно секретно.</w:t>
      </w:r>
    </w:p>
    <w:p w14:paraId="6A847B3B"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Постановление правительства (КО)²* от 14 ноября 1931 г.,³* определившее программу военно-морского судостроения, возложило на Народный комиссариат тяжелой промышленности весьма сложную и трудную задачу выполнения этой программы в 4 года⁴*. Однако за истекший после принятия указанного постановления период военно-морские силы РККА не получили ни одного корабля по новой программе. Из подлежавших сдаче в 1932 г. (по утвержденному правительством плану) 42 подводных лодок новой программы, строившихся при большой непосредственной поддержке правительства, до сих пор не сдано ни одной лодки. Мало того, не сданы и подводные лодки II и III серий закладки 1929 г. (6 лодок), эсминцы лидеры и сторожевые корабли II серии. Программа УВМС⁵* по кораблестроению на 1933 г. свелась поэтому в основном к выполнению недодела по 1932 г., причем и эта программа находится под явной угрозой срыва. Все судостроительные заводы по-прежнему остаются в глубоком прорыве. Не подлежит сомнению, что четырехлетняя программа военно-морского судостроения не будет выполнена в установленный срок. Более того, если в самое ближайшее время не будут приняты самые решительные меры, реализация судостроительной программы потребует очень длительных сроков.</w:t>
      </w:r>
    </w:p>
    <w:p w14:paraId="77787F5D"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Несмотря на то, что на отдельных участках военного судостроения в 1932 г. были достигнуты некоторые положительные сдвиги (например, освоение постройки корпусов подлодок в короткие сроки, своевременная поставка электрооборудования для подлодок), необходимо с особой силой подчеркнуть неудовлетворительное качество работы промышленности, выполняющей и обслуживающей судостроение. Особенно показательным является то обстоятельство, что ни один из построенных до сих пор кораблей не дал положенной проектной скорости хода.</w:t>
      </w:r>
    </w:p>
    <w:p w14:paraId="64BB196E"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Слабость конструкторских сил военного судостроения наиболее отрицательно сказывается на «начинке» корабля. Все механизмы и устройства тяжелы; особенно несовершенны все вспомогательные механизмы (трюмные помпы, лебедки для подъема перископов, турбонасосы и т. д.) и системы подводных лодок (системы затопления, осушения, вентиляции). В ряде случаев не удается получить от механизмов запроектированной мощности.</w:t>
      </w:r>
    </w:p>
    <w:p w14:paraId="78CB7A88"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Сама продукция заводов в качественном отношении также неудовлетворительна. В результате — затяжка в постройке кораблей (переделки, устранение дефектов, например, II и III серии подлодок); задержки на многие месяцы уже построенных кораблей (массовые неполадки при сдаточных испытаниях); сокращение сроков службы кораблей (подлодки первой серии уже требуют замены аккумуляторных батарей всего через 2,5 года службы), а также удорожание всего строительства.</w:t>
      </w:r>
    </w:p>
    <w:p w14:paraId="3128B0FD"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По состоянию своих производственных процессов, по методам своей работы судостроительная промышленность является едва ли не самым отсталым участком в системе НКТП. Реконструкция судостроительных заводов не проведена. Все намечавшиеся планы реконструкции систематически не выполняются (утвержденная программа реконструкции на 1933 г. снова не обеспечена фондами). Не осуществлен даже тот минимум, без которого, например, надводное военное судостроение не мыслимо сдвинуть с мертвой точки: турбинный цех Северной верфи совершенно не способен обеспечить главными турбинами и вспомогательными турбинными механизмами развернутой программы постройки лидеров и эсминцев (не говоря уже о крейсерах) и едва справляется, со срывами всех сроков, с постройкой механизмов только для двух лидеров; оцинковочная мастерская Северной верфи задерживает своей малой пропускной способностью постройку на стапеле корпуса всего лишь одного лидера; отсутствует на судостроительных заводах термическая мастерская, что не позволяет производить у себя литье из легированной стали и т. д.</w:t>
      </w:r>
    </w:p>
    <w:p w14:paraId="011A9DE0"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Новые производственные процессы как, например, электросварка, внедряются в практику заводов исключительно медленно. Требующееся для этого оборудование на заводы не поступает, и в результате переход целиком на сварные конструкции корпусов малых подводных лодок уже привел к огромной задержке в постройке этих 30 единиц.</w:t>
      </w:r>
    </w:p>
    <w:p w14:paraId="7527442F"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Иностранной технической помощи судостроение не имеет и пользуется лишь заочной консультацией германского специалиста Бауэра по отдельным вопросам.</w:t>
      </w:r>
    </w:p>
    <w:p w14:paraId="7E6FA68C"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Научно-исследовательская работа в судостроительной промышленности стоит на весьма низком уровне. НИИС представляет крайне слабую организацию, не имеющую никакой экспериментальной базы, фактически никем не руководимую и — при загруженности судостроительных заводов на 75% военным кораблестроением — вовсе вопросами военного корабля не занимающейся.</w:t>
      </w:r>
    </w:p>
    <w:p w14:paraId="1C554EC2"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Несмотря на систематическое невыполнение судостроительной промышленностью планов по своему основному производству, т. е. по судостроению, в первую очередь военному, заводы нагружаются посторонними заказами, несомненно, имеющими в своем большинстве огромное значение для страны, как, например, заказы черной металлургии (печи «Мигэ»), но еще более ухудшающими положение судостроения. Эти заказы весьма часто пользуются на заводах всеми преимуществами перед заказами на военные корабли (дополнительные фонды зарплаты, сверхурочные, фонды на чистый цветной металл).</w:t>
      </w:r>
    </w:p>
    <w:p w14:paraId="0FBB32BC"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Основной причиной столь неудовлетворительного положения с судостроением является плохая его организация и полное отсутствие руководства им в системе Наркомтяжпрома. Аппарат Главтрансмаша, объединяющий все транспортное машиностроение, совершенно не охватывает чрезвычайно сложную и специфическую технику и производство военно-морского судостроения. Весь аппарат Главтрансмаша состоит, главным образом, из работников бывшего Локомотивобъединения, имеет соответствующих специалистов и этой отраслью фактически и руководит. Судостроения в НКТП никто не знает, не понимает всей его сущности и им никто по-настоящему не руководит.</w:t>
      </w:r>
    </w:p>
    <w:p w14:paraId="1B960A00"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Лучшим доказательством не только отсутствия какого-либо руководства, но даже элементарной осведомленности и представления о положении дела может служить документ, адресованный в правительство т. Доренко и т. Павлуновским, в котором они утверждали еще в сентябре прошлого года, что «в 1932 г. из подлежащих сдаче 26 подлодок НКТП безусловно сдаст 23 подлодки, из коих на ДВ — 16 подлодок: 9 «Щук» и 7 малых.</w:t>
      </w:r>
    </w:p>
    <w:p w14:paraId="660A6236"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Наибольшей сложностью в судостроении отличаются изготовление и монтаж оборудования корабля. Главные механизмы, вспомогательные механизмы, различные устройства, электрооборудование, радиостанции, вооружение и т. д. — все это далеко не укладывается в рамки производства самих судостроительных заводов и требует участия в постройке корабля многих заводов, входящих в различные отрасли промышленности.</w:t>
      </w:r>
    </w:p>
    <w:p w14:paraId="3766A502"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Союзверфь зависит от значительного количества своих «контрагентов», влиять на которые она сама не в состоянии. Судостроение не имеет за собой забронированных производственных мощностей на металлургических заводах (прокат стали, крупные поковки), постоянно остается без основного корпусного материала, без необходимых полуфабрикатов, систематически задерживая по этой причине постройку кораблей (корпусная сталь для лидеров, сталь для лодок, поковки роторов турбин, валов, зубчатых передач, дисков и т. д.). Постройка каждого корабля сопровождается бесконечными мытарствами с размещением заказов.</w:t>
      </w:r>
    </w:p>
    <w:p w14:paraId="77D50D13"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Отсутствие в НКТП органа, осуществляющего это междуотраслевое планирование, т. е. руководство судостроением в целом — во всей его сложности и совокупности — и приводит к той необеспеченности судостроения решительно во всем, которая вызывает срывы сроков, снижение тактических элементов кораблей и удорожает их постройку.</w:t>
      </w:r>
    </w:p>
    <w:p w14:paraId="43637974"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lastRenderedPageBreak/>
        <w:t>Органы управления военно-морских сил РККА оказывают судостроительной промышленности всемерную помощь и разностороннее содействие. УВМС в центре занимается обеспечением размещения заказов судостроительной промышленности ее контрагентам, добивается издания специальных приказов и распоряжений по НКТП, систематически следит за выполнением этих приказов. В ряде случаев УВМС оказывает конструкторскую и производственную помощь в создании новых материалов и новых образцов: марганцевистая специальная сталь на Мариупольском заводе, воздухохранители на заводе «Карл Либкнехт», помпы «Рато» и турбокомпрессоры на заводе «Борец» и Северной верфи, поковки роторов турбин на заводе «Большевик» и Ижорском, эбонит на заводе «Каучук», дизели на заводе «Русский дизель», переход на бронзовые трубы для перископов.</w:t>
      </w:r>
    </w:p>
    <w:p w14:paraId="5A37322D"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На местах УВМС непосредственно участвует в техническом руководстве всем проектированием, начиная с общего проекта и кончая детальными рабочими чертежами; осуществляет технический контроль и производственную помощь через свой научный институт (НИВК)⁶* и органы приемки и наблюдения (постоянная приемная комиссия, комнабы), при слабости заводского контроля в борьбе за качество работы комнабы играют особо важную роль. Своими научно-исследовательскими институтами, при полном отсутствии научно-исследовательской работы по военному судостроению в самой системе судостроительной промышленности, УВМС также оказывает НКТП весьма существенную постоянную помощь по различным вопросам.</w:t>
      </w:r>
    </w:p>
    <w:p w14:paraId="128CDCCA"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Однако все указанные мероприятия и формы содействия при самом большом напряжении сил инженерно-технических работников УВМС не в состоянии кардинально изменить положение вещей в военном судостроении.</w:t>
      </w:r>
    </w:p>
    <w:p w14:paraId="40FEEF33"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Все это заставляет прийти к заключению, что для должного обеспечения и реализации утвержденного правительством плана, а также для дальнейшего развития военно-морского кораблестроения, стоящего на уровне современной техники, необходимо немедленно принять следующие неотложные важнейшие меры:</w:t>
      </w:r>
    </w:p>
    <w:p w14:paraId="0F2B4BC0"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1. Внутри НКТП создать (по примеру авиапромышленности) специальный достаточно мощный аппарат, ведающий только судостроением и возглавляемый самостоятельным заместителем наркома.</w:t>
      </w:r>
    </w:p>
    <w:p w14:paraId="0B05BE86"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2. Определить (в плановом порядке) и закрепить на деле за судостроением производственные мощности в смежных отраслях промышленности (Главмашпром, Главтрансмаш, ГУМП, ГУАП), предоставив замнаркому по судостроению достаточные права на фактическое использование этих мощностей для судостроения.</w:t>
      </w:r>
    </w:p>
    <w:p w14:paraId="766ACFE0"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3. Выделить на первый план военное судостроение в отношении материального снабжения, обеспечив первоочередное удовлетворение всех его потребностей соответствующими фондами.</w:t>
      </w:r>
    </w:p>
    <w:p w14:paraId="7AB5C33A"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4. Освободить судостроительные заводы от выполнения всяких заказов, не связанных непосредственно c судостроением.</w:t>
      </w:r>
    </w:p>
    <w:p w14:paraId="2A0F75D8"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5. Форсировать и осуществить в самые короткие сроки реконструкцию судостроительных заводов, обеспечив таковую соответствующими и денежными, и материальными фондами.</w:t>
      </w:r>
    </w:p>
    <w:p w14:paraId="2E2896FE"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6. Обязать НКТП широко применить иностранную техническую помощь для судостроения и в части конструкторской (проекты), и в части производственной.</w:t>
      </w:r>
    </w:p>
    <w:p w14:paraId="6635589A"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7. Поднять работу Научно-исследовательского института судостроения (НИИС), повернуть его лицом к военному кораблестроению и форсировать создание для него собственной экспериментальной базы (в первую очередь его опытового бассейна).</w:t>
      </w:r>
    </w:p>
    <w:p w14:paraId="2794ECFB"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8. Усилить органы УВМС, ведающие военным кораблестроением, в частности НИВК и комнабы.</w:t>
      </w:r>
    </w:p>
    <w:p w14:paraId="17541547" w14:textId="77777777" w:rsidR="00AD1D3C" w:rsidRPr="00C33834" w:rsidRDefault="00AD1D3C" w:rsidP="00C33834">
      <w:pPr>
        <w:pStyle w:val="ae"/>
        <w:spacing w:before="0" w:after="0"/>
        <w:jc w:val="both"/>
        <w:rPr>
          <w:color w:val="000000" w:themeColor="text1"/>
          <w:sz w:val="16"/>
          <w:szCs w:val="16"/>
        </w:rPr>
      </w:pPr>
      <w:r w:rsidRPr="00C33834">
        <w:rPr>
          <w:rStyle w:val="af0"/>
          <w:i w:val="0"/>
          <w:color w:val="000000" w:themeColor="text1"/>
          <w:sz w:val="16"/>
          <w:szCs w:val="16"/>
        </w:rPr>
        <w:t>Член Реввоенсовета СССР и начальник Военно-морских сил РККА Орлов</w:t>
      </w:r>
    </w:p>
    <w:p w14:paraId="0FC11232" w14:textId="77777777" w:rsidR="00AD1D3C" w:rsidRPr="00C33834" w:rsidRDefault="00AD1D3C" w:rsidP="00C33834">
      <w:pPr>
        <w:pStyle w:val="ae"/>
        <w:spacing w:before="0" w:after="0"/>
        <w:jc w:val="both"/>
        <w:rPr>
          <w:color w:val="000000" w:themeColor="text1"/>
          <w:sz w:val="16"/>
          <w:szCs w:val="16"/>
        </w:rPr>
      </w:pPr>
      <w:r w:rsidRPr="00C33834">
        <w:rPr>
          <w:rStyle w:val="af0"/>
          <w:i w:val="0"/>
          <w:color w:val="000000" w:themeColor="text1"/>
          <w:sz w:val="16"/>
          <w:szCs w:val="16"/>
        </w:rPr>
        <w:t>Начальник Управления кораблестроения УВМС Сивков</w:t>
      </w:r>
    </w:p>
    <w:p w14:paraId="7CE3D3FD" w14:textId="77777777" w:rsidR="00AD1D3C" w:rsidRPr="00C33834" w:rsidRDefault="00AD1D3C"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Примечания:</w:t>
      </w:r>
    </w:p>
    <w:p w14:paraId="4B488A38"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¹* </w:t>
      </w:r>
      <w:r w:rsidRPr="00C33834">
        <w:rPr>
          <w:rStyle w:val="af0"/>
          <w:bCs/>
          <w:i w:val="0"/>
          <w:color w:val="000000" w:themeColor="text1"/>
          <w:sz w:val="16"/>
          <w:szCs w:val="16"/>
        </w:rPr>
        <w:t>Революционный военный совет (РВС) СССР</w:t>
      </w:r>
      <w:r w:rsidRPr="00C33834">
        <w:rPr>
          <w:color w:val="000000" w:themeColor="text1"/>
          <w:sz w:val="16"/>
          <w:szCs w:val="16"/>
        </w:rPr>
        <w:t> — высший коллегиальный орган военной власти и политического руководства армий, фронтов, флотов Вооруженных сил СССР в 1923</w:t>
      </w:r>
      <w:r w:rsidRPr="00C33834">
        <w:rPr>
          <w:color w:val="000000" w:themeColor="text1"/>
          <w:sz w:val="16"/>
          <w:szCs w:val="16"/>
        </w:rPr>
        <w:noBreakHyphen/>
        <w:t>1934 гг. Создан 28 августа 1923 г. вместо РВС Республики. Его председателем являлся нарком по военным и морским делам, кандидатуру которого утверждал ЦИК СССР, а членов РВС — СНК СССР. Реввоенсовет руководил строительством Вооруженных сил, разрабатывал планы обороны и представлял их на рассмотрение ЦК и правительства, руководил снабжением, местными органами военного управления, формированием, комплектованием и обучением частей Красной армии и т. д. Руководство и управление Красной армией осуществлял через подчиненные ему штабы и управления. Командующие войсками, члены РВС фронтов, отдельных армий, военных округов были подчинены непосредственно Реввоенсовету. В связи с тем, что со временем деятельность Комиссии обороны при Совнаркоме СССР во многом стала дублировать функции РВС СССР, постановлением ЦИК СССР от 20 июня 1934 г. РВС СССР был упразднен.</w:t>
      </w:r>
    </w:p>
    <w:p w14:paraId="38EB632E"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 xml:space="preserve">²* 12 февраля 1927 г. постановлением СТО СССР была создана </w:t>
      </w:r>
      <w:r w:rsidRPr="00C33834">
        <w:rPr>
          <w:rStyle w:val="af0"/>
          <w:bCs/>
          <w:i w:val="0"/>
          <w:color w:val="000000" w:themeColor="text1"/>
          <w:sz w:val="16"/>
          <w:szCs w:val="16"/>
        </w:rPr>
        <w:t>Комиссия обороны (КО)</w:t>
      </w:r>
      <w:r w:rsidRPr="00C33834">
        <w:rPr>
          <w:color w:val="000000" w:themeColor="text1"/>
          <w:sz w:val="16"/>
          <w:szCs w:val="16"/>
        </w:rPr>
        <w:t>, к которой перешли полномочия Комиссии А. И. Рыкова. В ее состав вошли: Рыков, Рудзутак, Ворошилов (с заменой Бубновым), Куйбышев, Брюханов, Уншлихт, Менжинский (с заменой Ягодой), Орджоникидзе, Кржижановский, Микоян и Цюрупа. Комиссии предоставлялось право окончательного решения вопросов обороны от имени Совета труда и обороны. Она должна была собираться не реже одного раза в месяц. С 22 марта 1936 г. при Комиссии обороны существовало Военно-техническое бюро, председатель — В. М. Молотов. 27 апреля 1937 г. по постановлению ЦК ВКП(б) Комиссия обороны была заменена Комитетом обороны при СНК СССР. (РГАСПИ. Ф. 17. Оп. 3. Д. 621. Л. 11; ГАРФ. Ф. Р</w:t>
      </w:r>
      <w:r w:rsidRPr="00C33834">
        <w:rPr>
          <w:color w:val="000000" w:themeColor="text1"/>
          <w:sz w:val="16"/>
          <w:szCs w:val="16"/>
        </w:rPr>
        <w:noBreakHyphen/>
        <w:t>8418. Оп. 28. Д. 25а. Л. 64).</w:t>
      </w:r>
    </w:p>
    <w:p w14:paraId="3948B793"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³* 14 ноября 1931 г. состоялось заседание Комиссии обороны СССР, которое постановило принять за основу программу строительства морских сил, предложенную Наркомвоенмором (ГА РФ. Ф. 8418. Оп. 28. Д. 125. Л. 92</w:t>
      </w:r>
      <w:r w:rsidRPr="00C33834">
        <w:rPr>
          <w:color w:val="000000" w:themeColor="text1"/>
          <w:sz w:val="16"/>
          <w:szCs w:val="16"/>
        </w:rPr>
        <w:noBreakHyphen/>
        <w:t>94).</w:t>
      </w:r>
    </w:p>
    <w:p w14:paraId="35B75067"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⁴* </w:t>
      </w:r>
      <w:r w:rsidRPr="00C33834">
        <w:rPr>
          <w:rStyle w:val="af0"/>
          <w:bCs/>
          <w:i w:val="0"/>
          <w:color w:val="000000" w:themeColor="text1"/>
          <w:sz w:val="16"/>
          <w:szCs w:val="16"/>
        </w:rPr>
        <w:t>Наркомат тяжелой промышленности СССР</w:t>
      </w:r>
      <w:r w:rsidRPr="00C33834">
        <w:rPr>
          <w:color w:val="000000" w:themeColor="text1"/>
          <w:sz w:val="16"/>
          <w:szCs w:val="16"/>
        </w:rPr>
        <w:t xml:space="preserve"> был образован на базе ВСНХ СССР постановлением ЦИК и СНК СССР от 5 января 1932 г. в соответствии с решением ЦК ВКП(б) от 25 декабря 1931 г. Его возглавил Г. К. Орджоникидзе. Организационная структура наркомата формировалась в период с января 1932 г. по март 1934 г., когда постановлением ЦИК и СНК СССР от 15 марта 1934 г. «Об организационных мероприятиях в области советского хозяйственного строительства» были полностью ликвидированы отраслевые объединения. Вместо них были созданы главные управления — главки, осуществлявшие техническое и организационно-хозяйственное руководство отраслью и предприятиями, распоряжение финансовыми и материальными ресурсами, освоение новой техники и т. д. Вводилась двухступенчатая (главк-завод) или трехступенчатая (главк-трест-завод) система управления. НКТП через наркома и центральный аппарат (коллегию, с 1935 г. — совет) осуществлял общее планирование производства и капитального строительства на принципах централизации и специализации. На протяжении всего периода деятельности НКТП главные управления разукрупнялись: в 1932 г. в системе наркомата было 10 главков, к 1937 г. их число увеличилось до 33. Внутри главных управлений также происходили изменения — переподчинения трестов и заводов. Ряд предприятий составили сектор, непосредственно подчиненный наркому (заводы тяжелого машиностроения, Главное управление авиационной промышленности, Главное управление судостроительной промышленности). Имелись также главки межотраслевого и межведомственного значения (Главэнерго). Снабженческо-сбытовую деятельность хозяйственных органов тяжелой индустрии осуществлял Военпромснаб — хозрасчетная всесоюзная контора. Руководство всей оборонной индустрией было сосредоточено в Главном военно-мобилизационном управлении. Постановлением ЦИК СССР от 8 декабря 1936 г. из НКТП была выделена оборонная промышленность и создан Наркомат оборонной промышленности. 22 августа 1937 г. последовало очередное разукрупнение НКТП — был создан Наркомат машиностроения СССР. На протяжении следующих двух лет оборонные предприятия были переданы в НКОП, а 24 января 1939 г. НКТП был ликвидирован. (ГА РФ. Ф. Р</w:t>
      </w:r>
      <w:r w:rsidRPr="00C33834">
        <w:rPr>
          <w:color w:val="000000" w:themeColor="text1"/>
          <w:sz w:val="16"/>
          <w:szCs w:val="16"/>
        </w:rPr>
        <w:noBreakHyphen/>
        <w:t>8418. Оп 12. Д. 467. Л. 1; РГАЭ. Ф. 7297. Д/ф.).</w:t>
      </w:r>
    </w:p>
    <w:p w14:paraId="54945CA1"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⁵* </w:t>
      </w:r>
      <w:r w:rsidRPr="00C33834">
        <w:rPr>
          <w:rStyle w:val="af0"/>
          <w:bCs/>
          <w:i w:val="0"/>
          <w:color w:val="000000" w:themeColor="text1"/>
          <w:sz w:val="16"/>
          <w:szCs w:val="16"/>
        </w:rPr>
        <w:t>Управление военно-морских сил РККА</w:t>
      </w:r>
      <w:r w:rsidRPr="00C33834">
        <w:rPr>
          <w:color w:val="000000" w:themeColor="text1"/>
          <w:sz w:val="16"/>
          <w:szCs w:val="16"/>
        </w:rPr>
        <w:t xml:space="preserve"> было организовано 28 марта 1924 г. в составе Наркомата по военным и морским делам СССР. 1 июля 1929 г. РВС СССР утвердил положение об УВМС РККА, как центральном органе НКВМ по руководству боевой, организационно-мобилизационной и технической подготовкой Военно-морских сил, по комплектованию личного состава, обучению и службе, по постройке, ремонту и оборудованию военных судов, по специальному морскому снабжению, по гидрографическим работам и обеспечению безопасности плавания. На УВМС возлагались: разработка всех предположений на случай войны и мобилизации ВМС; сбор материалов о производственных возможностях промышленности в части военного судостроения, специального морского снабжения и оборудования; руководство на основе директив РВС СССР учебно-боевой подготовкой военно-морских сил, комплектованием и прохождением службы личным составом и его обучением в военно-морских учебных заведениях, отрядах и школах; разработка боевого и специального военно-морских уставов, наблюдение за применением их в ВМС; усовершенствование ВМС в техническом отношении и координирование военно-морской научно-исследовательской работы; разработка на основе оперативно-тактических заданий Штаба РККА системы вооружения ВМС; проведение на основе плана мобилизационного развертывания РККА мероприятий по обеспечению мобилизационной готовности ВМС и наблюдение за составом и мобилизационной подготовкой зачисленного в мобилизационные ресурсы ВМС водного транспорта; руководство подготовкой морских театров в навигационном отношении, гидрографическими изысканиями, работой и службой на них и мобилизационной подготовкой; руководство оборудованием морских театров, их мобподготовкой и обеспечением безопасности плавания; руководство разработкой и осуществлением планов строительства ремонта и оборудования кораблей и обеспечение ВМС специальным вооружением и имуществом; предъявление промышленности требований по обеспечению ВМС продукцией по судостроению и специальному снабжению в отношении ее количества, качества и сроков изготовления; установление дислокации и базирования кораблей в пределах утвержденного РВС СССР плана использования морских сил; установление норм и порядка содержания корабельного состава в кампании, вооруженном резерве и на хранении; распределение мобилизационных ресурсов ВМС и установление порядка ведения мобработы на кораблях, в портах и береговых частях ВМС; установление мероприятий по обеспечению безопасности плавания в морях СССР. Возглавлял управление начальник ВМС РККА, подчинявшийся непосредственно наркому по военным и морским делам. Постановлением ЦИК СССР от 15 марта 1934 г. Наркомат по военным и морским делам был реорганизован в Наркомат обороны СССР, функции УВМС были переданы Управлению Морских сил РККА.</w:t>
      </w:r>
    </w:p>
    <w:p w14:paraId="5AB264D4"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⁶* В 1931</w:t>
      </w:r>
      <w:r w:rsidRPr="00C33834">
        <w:rPr>
          <w:color w:val="000000" w:themeColor="text1"/>
          <w:sz w:val="16"/>
          <w:szCs w:val="16"/>
        </w:rPr>
        <w:noBreakHyphen/>
        <w:t xml:space="preserve">1932 гг. на базе секций Научно-технического комитета морского ведомства (НТКМ) были созданы научно-исследовательские институты Военно-морского флота (военного кораблестроения, артиллерийского, минно-торпедного, химического, связи). Функции НТКМ по координации исследований и общему руководству всех институтов ВМФ были возложены на </w:t>
      </w:r>
      <w:r w:rsidRPr="00C33834">
        <w:rPr>
          <w:rStyle w:val="af0"/>
          <w:bCs/>
          <w:i w:val="0"/>
          <w:color w:val="000000" w:themeColor="text1"/>
          <w:sz w:val="16"/>
          <w:szCs w:val="16"/>
        </w:rPr>
        <w:t>Научно-исследовательский институт военного кораблестроения (НИВК)</w:t>
      </w:r>
      <w:r w:rsidRPr="00C33834">
        <w:rPr>
          <w:color w:val="000000" w:themeColor="text1"/>
          <w:sz w:val="16"/>
          <w:szCs w:val="16"/>
        </w:rPr>
        <w:t xml:space="preserve">, который был образован в 1932 г. по распоряжению наркома по военным и морским делам на базе Опытового судостроительного бассейна. Его возглавил Н. В. Алякринский, бывший с 1930 г. начальником Опытового бассейна. В институт помимо бассейна вошли кораблестроительная секция и секция подводного плавания Научно-технического комитета ВМС РККА. На НИВК возлагалось проведение поисковых и научно-исследовательских работ в области проектирования кораблей, их гидромеханики, прочности и энергетики. По решению </w:t>
      </w:r>
      <w:r w:rsidRPr="00C33834">
        <w:rPr>
          <w:color w:val="000000" w:themeColor="text1"/>
          <w:sz w:val="16"/>
          <w:szCs w:val="16"/>
        </w:rPr>
        <w:lastRenderedPageBreak/>
        <w:t>Комитета обороны СССР от 26 мая 1938 г. НИВК ВМФ с Опытовым бассейном был передан из судостроительной промышленности в ведение Наркомата оборонной промышленности, тогда организация получила название НИИ</w:t>
      </w:r>
      <w:r w:rsidRPr="00C33834">
        <w:rPr>
          <w:color w:val="000000" w:themeColor="text1"/>
          <w:sz w:val="16"/>
          <w:szCs w:val="16"/>
        </w:rPr>
        <w:noBreakHyphen/>
        <w:t>45.</w:t>
      </w:r>
    </w:p>
    <w:p w14:paraId="08D2F8C7" w14:textId="77777777" w:rsidR="00AD1D3C" w:rsidRPr="00C33834" w:rsidRDefault="00AD1D3C" w:rsidP="00C33834">
      <w:pPr>
        <w:pStyle w:val="ae"/>
        <w:spacing w:before="0" w:after="0"/>
        <w:jc w:val="both"/>
        <w:rPr>
          <w:color w:val="000000" w:themeColor="text1"/>
          <w:sz w:val="16"/>
          <w:szCs w:val="16"/>
        </w:rPr>
      </w:pPr>
      <w:r w:rsidRPr="00C33834">
        <w:rPr>
          <w:color w:val="000000" w:themeColor="text1"/>
          <w:sz w:val="16"/>
          <w:szCs w:val="16"/>
        </w:rPr>
        <w:t>РГАВМФ. Ф. 441. Оп. 11. Д. 12. Л. 104-107 об. Заверенная копия (15253).</w:t>
      </w:r>
    </w:p>
    <w:p w14:paraId="209EA304" w14:textId="77777777" w:rsidR="00AD1D3C" w:rsidRPr="00C33834" w:rsidRDefault="00AD1D3C" w:rsidP="00C33834">
      <w:pPr>
        <w:spacing w:after="0" w:line="240" w:lineRule="auto"/>
        <w:jc w:val="both"/>
        <w:rPr>
          <w:rFonts w:ascii="Times New Roman" w:hAnsi="Times New Roman"/>
          <w:iCs/>
          <w:color w:val="000000" w:themeColor="text1"/>
          <w:sz w:val="16"/>
          <w:szCs w:val="16"/>
        </w:rPr>
      </w:pPr>
    </w:p>
    <w:p w14:paraId="00E09731" w14:textId="77777777" w:rsidR="00F4240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4314D1E5"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10C526A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марта 1933 вышел приказ за подписью Радецкого: «В ознаменование Международного Женского Дня - дня работницы и крестьянки, получивших в Стране Советов возможность со всем рабочим классом и колхозным крестьянством строить социализм, -...в день 8 марта для всех женщин работу окончить на два часа раньше; Отделу снабжения дать на места указания об улучшении пищи в этот день для женщин» (7560).</w:t>
      </w:r>
    </w:p>
    <w:p w14:paraId="76684ED2"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1AA4C80D" w14:textId="77777777" w:rsidR="00F4240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E9B54A5" w14:textId="77777777" w:rsidR="00F42404" w:rsidRPr="00C33834" w:rsidRDefault="00F42404" w:rsidP="00C33834">
      <w:pPr>
        <w:spacing w:after="0" w:line="240" w:lineRule="auto"/>
        <w:jc w:val="both"/>
        <w:rPr>
          <w:rFonts w:ascii="Times New Roman" w:hAnsi="Times New Roman"/>
          <w:iCs/>
          <w:color w:val="000000" w:themeColor="text1"/>
          <w:sz w:val="16"/>
          <w:szCs w:val="16"/>
        </w:rPr>
      </w:pPr>
    </w:p>
    <w:p w14:paraId="680B011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марта 1933 была изобретена настольная игра, названная монополия (2100).</w:t>
      </w:r>
    </w:p>
    <w:p w14:paraId="09352C84"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57F98C08" w14:textId="77777777" w:rsidR="00F42404" w:rsidRPr="00C33834" w:rsidRDefault="00F42404"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марта 1933 в Атлантик-Сити изобретена игра "Монополия" (4962).</w:t>
      </w:r>
    </w:p>
    <w:p w14:paraId="1B7E0512" w14:textId="77777777" w:rsidR="00F42404" w:rsidRPr="00C33834" w:rsidRDefault="00F42404" w:rsidP="00C33834">
      <w:pPr>
        <w:tabs>
          <w:tab w:val="left" w:pos="11199"/>
        </w:tabs>
        <w:spacing w:after="0" w:line="240" w:lineRule="auto"/>
        <w:jc w:val="both"/>
        <w:rPr>
          <w:rFonts w:ascii="Times New Roman" w:hAnsi="Times New Roman"/>
          <w:color w:val="000000" w:themeColor="text1"/>
          <w:sz w:val="16"/>
          <w:szCs w:val="16"/>
        </w:rPr>
      </w:pPr>
    </w:p>
    <w:p w14:paraId="4C95482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марта 1933 Роспуск парламента Австрии. Правительство канцлера Э.Дольфуса провозгласило установление в стране "авторитарной системы правления" (7444).</w:t>
      </w:r>
    </w:p>
    <w:p w14:paraId="15FEA883"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65936BF9" w14:textId="77777777" w:rsidR="00F4240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3A22D1C" w14:textId="77777777" w:rsidR="00F42404" w:rsidRPr="00C33834" w:rsidRDefault="00F42404" w:rsidP="00C33834">
      <w:pPr>
        <w:spacing w:after="0" w:line="240" w:lineRule="auto"/>
        <w:jc w:val="both"/>
        <w:rPr>
          <w:rFonts w:ascii="Times New Roman" w:hAnsi="Times New Roman"/>
          <w:iCs/>
          <w:color w:val="000000" w:themeColor="text1"/>
          <w:sz w:val="16"/>
          <w:szCs w:val="16"/>
        </w:rPr>
      </w:pPr>
    </w:p>
    <w:p w14:paraId="5FA97C7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марта 1933 ТБ-3 4М-34 был подготовлен к полету несмотря на то, что на аэродром машина была направлена в декабре 1933 (2310,143) и полет был выполнен (3082), но длился всего 8 минут (9086).</w:t>
      </w:r>
    </w:p>
    <w:p w14:paraId="0418AD49"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41BC8B02"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C 8 марта по 29 мая 1933 ТБ-3 (АНТ-6) N 2221 с М-34 проходил заводские испытания (1854,8). После пробного полета были вновь обнаружены дефекты ВМГ. Машина потом при полете с полным весом потерпела аварию (2310,143).</w:t>
      </w:r>
    </w:p>
    <w:p w14:paraId="792D9C1F"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65CB4DA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марта 1933 года начальник ОТЭП Гудашев писал письмо N 68/сз в ГУАП НТОС Алмазову.</w:t>
      </w:r>
    </w:p>
    <w:p w14:paraId="436E7A7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сем препровождаем Вам планы по самолетам: МИ-3 бис, И-12, И-14, РД бис, аппар. ЭА-4, Эа-6, ЭА-7 оп. кр. ТБ-3.</w:t>
      </w:r>
    </w:p>
    <w:p w14:paraId="005E45E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 Упомянутое, на 10-ти листах (2286,62).</w:t>
      </w:r>
    </w:p>
    <w:p w14:paraId="3BABD095"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496DCA0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марта 1933 Секретарь ОЭЛИД Воронцова направила в НТОС ГУАП письмо N 112с:</w:t>
      </w:r>
    </w:p>
    <w:p w14:paraId="13EC7E5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сем досылается к отчету о Параболе БИЧ-7 н 103с от 26 февраля 1933 один фотоснимок и график скороподъемности (2307,65).</w:t>
      </w:r>
    </w:p>
    <w:p w14:paraId="72B74C28"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4315EEB6" w14:textId="77777777" w:rsidR="00B70750" w:rsidRPr="00C33834" w:rsidRDefault="00B70750" w:rsidP="00C33834">
      <w:pPr>
        <w:pStyle w:val="221"/>
        <w:shd w:val="clear" w:color="auto" w:fill="auto"/>
        <w:spacing w:line="240" w:lineRule="auto"/>
        <w:jc w:val="both"/>
        <w:rPr>
          <w:rFonts w:ascii="Times New Roman" w:hAnsi="Times New Roman" w:cs="Times New Roman"/>
          <w:color w:val="0070C0"/>
          <w:sz w:val="16"/>
          <w:szCs w:val="16"/>
        </w:rPr>
      </w:pPr>
      <w:r w:rsidRPr="00C33834">
        <w:rPr>
          <w:rFonts w:ascii="Times New Roman" w:hAnsi="Times New Roman" w:cs="Times New Roman"/>
          <w:color w:val="0070C0"/>
          <w:sz w:val="16"/>
          <w:szCs w:val="16"/>
        </w:rPr>
        <w:t>8 марта</w:t>
      </w:r>
      <w:r w:rsidRPr="00C33834">
        <w:rPr>
          <w:rFonts w:ascii="Times New Roman" w:hAnsi="Times New Roman" w:cs="Times New Roman"/>
          <w:color w:val="0070C0"/>
          <w:sz w:val="16"/>
          <w:szCs w:val="16"/>
          <w:lang w:val="ru-RU"/>
        </w:rPr>
        <w:t>1933</w:t>
      </w:r>
      <w:r w:rsidRPr="00C33834">
        <w:rPr>
          <w:rFonts w:ascii="Times New Roman" w:hAnsi="Times New Roman" w:cs="Times New Roman"/>
          <w:color w:val="0070C0"/>
          <w:sz w:val="16"/>
          <w:szCs w:val="16"/>
        </w:rPr>
        <w:t xml:space="preserve"> само</w:t>
      </w:r>
      <w:r w:rsidRPr="00C33834">
        <w:rPr>
          <w:rFonts w:ascii="Times New Roman" w:hAnsi="Times New Roman" w:cs="Times New Roman"/>
          <w:color w:val="0070C0"/>
          <w:sz w:val="16"/>
          <w:szCs w:val="16"/>
        </w:rPr>
        <w:softHyphen/>
        <w:t xml:space="preserve">лет </w:t>
      </w:r>
      <w:r w:rsidRPr="00C33834">
        <w:rPr>
          <w:rFonts w:ascii="Times New Roman" w:hAnsi="Times New Roman" w:cs="Times New Roman"/>
          <w:color w:val="0070C0"/>
          <w:sz w:val="16"/>
          <w:szCs w:val="16"/>
          <w:lang w:val="ru-RU"/>
        </w:rPr>
        <w:t xml:space="preserve">Тандем МАИ </w:t>
      </w:r>
      <w:r w:rsidRPr="00C33834">
        <w:rPr>
          <w:rFonts w:ascii="Times New Roman" w:hAnsi="Times New Roman" w:cs="Times New Roman"/>
          <w:color w:val="0070C0"/>
          <w:sz w:val="16"/>
          <w:szCs w:val="16"/>
        </w:rPr>
        <w:t>поднялся в воздух. До этого бригада занималась установкой рулей с компенсацией типа Дорнье и деградацией 4 градусов 30 минут внутрь отгибных пластин, боролась с дефектом на моторе. Два подлета и полет с центровкой 35% показали, что устойчивость пути несколько улучшилась, но в правом развороте самолет по-прежнему неустойчив. В течение двух дней сверху зад</w:t>
      </w:r>
      <w:r w:rsidRPr="00C33834">
        <w:rPr>
          <w:rFonts w:ascii="Times New Roman" w:hAnsi="Times New Roman" w:cs="Times New Roman"/>
          <w:color w:val="0070C0"/>
          <w:sz w:val="16"/>
          <w:szCs w:val="16"/>
        </w:rPr>
        <w:softHyphen/>
        <w:t>него крыла установили дополнительные кили площадью 0,92 квадратных метра - так назы</w:t>
      </w:r>
      <w:r w:rsidRPr="00C33834">
        <w:rPr>
          <w:rFonts w:ascii="Times New Roman" w:hAnsi="Times New Roman" w:cs="Times New Roman"/>
          <w:color w:val="0070C0"/>
          <w:sz w:val="16"/>
          <w:szCs w:val="16"/>
        </w:rPr>
        <w:softHyphen/>
        <w:t>ваемый вариант оперения №2. Вылет 11 марта показал, что это мало повлияло на устойчи</w:t>
      </w:r>
      <w:r w:rsidRPr="00C33834">
        <w:rPr>
          <w:rFonts w:ascii="Times New Roman" w:hAnsi="Times New Roman" w:cs="Times New Roman"/>
          <w:color w:val="0070C0"/>
          <w:sz w:val="16"/>
          <w:szCs w:val="16"/>
        </w:rPr>
        <w:softHyphen/>
        <w:t>вость пути самолета. 13 марта оказалось дей</w:t>
      </w:r>
      <w:r w:rsidRPr="00C33834">
        <w:rPr>
          <w:rFonts w:ascii="Times New Roman" w:hAnsi="Times New Roman" w:cs="Times New Roman"/>
          <w:color w:val="0070C0"/>
          <w:sz w:val="16"/>
          <w:szCs w:val="16"/>
        </w:rPr>
        <w:softHyphen/>
        <w:t>ствительно несчастливым днем. При полете на определение устойчивости на высоте 1750 метров и скорости 250 км/ч вырвало купола шасси. На ремонт ушло 10 дней. Поскольку заметно потеплело и характеристики снежно</w:t>
      </w:r>
      <w:r w:rsidRPr="00C33834">
        <w:rPr>
          <w:rFonts w:ascii="Times New Roman" w:hAnsi="Times New Roman" w:cs="Times New Roman"/>
          <w:color w:val="0070C0"/>
          <w:sz w:val="16"/>
          <w:szCs w:val="16"/>
        </w:rPr>
        <w:softHyphen/>
        <w:t>го покрова изменились, самолет снова уста</w:t>
      </w:r>
      <w:r w:rsidRPr="00C33834">
        <w:rPr>
          <w:rFonts w:ascii="Times New Roman" w:hAnsi="Times New Roman" w:cs="Times New Roman"/>
          <w:color w:val="0070C0"/>
          <w:sz w:val="16"/>
          <w:szCs w:val="16"/>
        </w:rPr>
        <w:softHyphen/>
        <w:t>новили на лыжи. С ними на следующий день Стефановский выполнил два полета, оценив поведение самолета как удовлетворительное. Снова отмечалась плохая устойчивость на виражах. Стало очевидно, что «лечить» само</w:t>
      </w:r>
      <w:r w:rsidRPr="00C33834">
        <w:rPr>
          <w:rFonts w:ascii="Times New Roman" w:hAnsi="Times New Roman" w:cs="Times New Roman"/>
          <w:color w:val="0070C0"/>
          <w:sz w:val="16"/>
          <w:szCs w:val="16"/>
        </w:rPr>
        <w:softHyphen/>
        <w:t>лет надо более основательно</w:t>
      </w:r>
      <w:r w:rsidRPr="00C33834">
        <w:rPr>
          <w:rFonts w:ascii="Times New Roman" w:hAnsi="Times New Roman" w:cs="Times New Roman"/>
          <w:color w:val="0070C0"/>
          <w:sz w:val="16"/>
          <w:szCs w:val="16"/>
          <w:lang w:val="ru-RU"/>
        </w:rPr>
        <w:t xml:space="preserve"> (19866)</w:t>
      </w:r>
      <w:r w:rsidRPr="00C33834">
        <w:rPr>
          <w:rFonts w:ascii="Times New Roman" w:hAnsi="Times New Roman" w:cs="Times New Roman"/>
          <w:color w:val="0070C0"/>
          <w:sz w:val="16"/>
          <w:szCs w:val="16"/>
        </w:rPr>
        <w:t>.</w:t>
      </w:r>
    </w:p>
    <w:p w14:paraId="3B739967" w14:textId="77777777" w:rsidR="00B70750" w:rsidRPr="00C33834" w:rsidRDefault="00B70750" w:rsidP="00C33834">
      <w:pPr>
        <w:pStyle w:val="221"/>
        <w:shd w:val="clear" w:color="auto" w:fill="auto"/>
        <w:spacing w:line="240" w:lineRule="auto"/>
        <w:jc w:val="both"/>
        <w:rPr>
          <w:rFonts w:ascii="Times New Roman" w:hAnsi="Times New Roman" w:cs="Times New Roman"/>
          <w:color w:val="0070C0"/>
          <w:sz w:val="16"/>
          <w:szCs w:val="16"/>
        </w:rPr>
      </w:pPr>
    </w:p>
    <w:p w14:paraId="7CF18D1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марта 1933 Зам. нач. НТОС Машкевич писал письмо Нач. ПТЭС Зильберквит и привел сроки выхода на заводские испытания самолетов:</w:t>
      </w:r>
    </w:p>
    <w:p w14:paraId="59BEC79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4552"/>
      </w:tblGrid>
      <w:tr w:rsidR="00F26F01" w:rsidRPr="00C33834" w14:paraId="678EE31E" w14:textId="77777777">
        <w:tc>
          <w:tcPr>
            <w:tcW w:w="5636" w:type="dxa"/>
          </w:tcPr>
          <w:p w14:paraId="06FB6E5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ТБ-6 </w:t>
            </w:r>
          </w:p>
        </w:tc>
        <w:tc>
          <w:tcPr>
            <w:tcW w:w="4552" w:type="dxa"/>
          </w:tcPr>
          <w:p w14:paraId="76C4662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01.12.34</w:t>
            </w:r>
          </w:p>
        </w:tc>
      </w:tr>
      <w:tr w:rsidR="00F26F01" w:rsidRPr="00C33834" w14:paraId="771E5FEC" w14:textId="77777777">
        <w:tc>
          <w:tcPr>
            <w:tcW w:w="5636" w:type="dxa"/>
          </w:tcPr>
          <w:p w14:paraId="6FABDBB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ТБ-4 6М-34</w:t>
            </w:r>
          </w:p>
        </w:tc>
        <w:tc>
          <w:tcPr>
            <w:tcW w:w="4552" w:type="dxa"/>
          </w:tcPr>
          <w:p w14:paraId="2F1942A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01.03.33</w:t>
            </w:r>
          </w:p>
        </w:tc>
      </w:tr>
      <w:tr w:rsidR="00F26F01" w:rsidRPr="00C33834" w14:paraId="61F84427" w14:textId="77777777">
        <w:tc>
          <w:tcPr>
            <w:tcW w:w="5636" w:type="dxa"/>
          </w:tcPr>
          <w:p w14:paraId="6352D27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ТБ-4 гол.</w:t>
            </w:r>
          </w:p>
        </w:tc>
        <w:tc>
          <w:tcPr>
            <w:tcW w:w="4552" w:type="dxa"/>
          </w:tcPr>
          <w:p w14:paraId="7B6161F7" w14:textId="77777777" w:rsidR="00F42404" w:rsidRPr="00C33834" w:rsidRDefault="00F42404" w:rsidP="00C33834">
            <w:pPr>
              <w:spacing w:after="0" w:line="240" w:lineRule="auto"/>
              <w:jc w:val="both"/>
              <w:rPr>
                <w:rFonts w:ascii="Times New Roman" w:hAnsi="Times New Roman"/>
                <w:color w:val="000000" w:themeColor="text1"/>
                <w:sz w:val="16"/>
                <w:szCs w:val="16"/>
              </w:rPr>
            </w:pPr>
          </w:p>
        </w:tc>
      </w:tr>
    </w:tbl>
    <w:p w14:paraId="0C5B7D1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Нужны моторы с редукторами. После получения моторов срок выхода на аэродром через 4 мес. Срок подачи моторов намечается на апрель-май. Следовательно ориентировочно самолет м. выйти в августе-сентябре 1933.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4552"/>
      </w:tblGrid>
      <w:tr w:rsidR="00F26F01" w:rsidRPr="00C33834" w14:paraId="1F1E4818" w14:textId="77777777">
        <w:tc>
          <w:tcPr>
            <w:tcW w:w="5636" w:type="dxa"/>
          </w:tcPr>
          <w:p w14:paraId="2CDA8491"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СК-1 2М-32Н</w:t>
            </w:r>
          </w:p>
        </w:tc>
        <w:tc>
          <w:tcPr>
            <w:tcW w:w="4552" w:type="dxa"/>
          </w:tcPr>
          <w:p w14:paraId="561C84C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(тоже в зависимости от получения мотора), ориентировочно ноябрь-декабрь 1933</w:t>
            </w:r>
          </w:p>
        </w:tc>
      </w:tr>
      <w:tr w:rsidR="00F26F01" w:rsidRPr="00C33834" w14:paraId="4FA2CE03" w14:textId="77777777">
        <w:tc>
          <w:tcPr>
            <w:tcW w:w="5636" w:type="dxa"/>
          </w:tcPr>
          <w:p w14:paraId="67C081F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МИ-3 2М-34 (оп.)</w:t>
            </w:r>
          </w:p>
        </w:tc>
        <w:tc>
          <w:tcPr>
            <w:tcW w:w="4552" w:type="dxa"/>
          </w:tcPr>
          <w:p w14:paraId="5F475C0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апрель-май 1933</w:t>
            </w:r>
          </w:p>
        </w:tc>
      </w:tr>
      <w:tr w:rsidR="00F26F01" w:rsidRPr="00C33834" w14:paraId="75585613" w14:textId="77777777">
        <w:tc>
          <w:tcPr>
            <w:tcW w:w="5636" w:type="dxa"/>
          </w:tcPr>
          <w:p w14:paraId="33C635E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МИ-3 гол.</w:t>
            </w:r>
          </w:p>
        </w:tc>
        <w:tc>
          <w:tcPr>
            <w:tcW w:w="4552" w:type="dxa"/>
          </w:tcPr>
          <w:p w14:paraId="560E156A" w14:textId="77777777" w:rsidR="00F42404" w:rsidRPr="00C33834" w:rsidRDefault="00F42404" w:rsidP="00C33834">
            <w:pPr>
              <w:spacing w:after="0" w:line="240" w:lineRule="auto"/>
              <w:jc w:val="both"/>
              <w:rPr>
                <w:rFonts w:ascii="Times New Roman" w:hAnsi="Times New Roman"/>
                <w:color w:val="000000" w:themeColor="text1"/>
                <w:sz w:val="16"/>
                <w:szCs w:val="16"/>
              </w:rPr>
            </w:pPr>
          </w:p>
        </w:tc>
      </w:tr>
    </w:tbl>
    <w:p w14:paraId="58EB1D8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Нужны моторы с нагнетателями. Ориентировочный выход - август-сентябрь 1933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4552"/>
      </w:tblGrid>
      <w:tr w:rsidR="00F26F01" w:rsidRPr="00C33834" w14:paraId="15FC2275" w14:textId="77777777">
        <w:tc>
          <w:tcPr>
            <w:tcW w:w="5636" w:type="dxa"/>
          </w:tcPr>
          <w:p w14:paraId="4ED96D6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ДИП 2М-34</w:t>
            </w:r>
          </w:p>
        </w:tc>
        <w:tc>
          <w:tcPr>
            <w:tcW w:w="4552" w:type="dxa"/>
          </w:tcPr>
          <w:p w14:paraId="0648128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01.10.33</w:t>
            </w:r>
          </w:p>
        </w:tc>
      </w:tr>
      <w:tr w:rsidR="00F26F01" w:rsidRPr="00C33834" w14:paraId="03F40A13" w14:textId="77777777">
        <w:tc>
          <w:tcPr>
            <w:tcW w:w="5636" w:type="dxa"/>
          </w:tcPr>
          <w:p w14:paraId="04C2B2A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ДИП гол.</w:t>
            </w:r>
          </w:p>
        </w:tc>
        <w:tc>
          <w:tcPr>
            <w:tcW w:w="4552" w:type="dxa"/>
          </w:tcPr>
          <w:p w14:paraId="3C4D7E5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01.02.34</w:t>
            </w:r>
          </w:p>
        </w:tc>
      </w:tr>
      <w:tr w:rsidR="00F26F01" w:rsidRPr="00C33834" w14:paraId="283D3B8B" w14:textId="77777777">
        <w:tc>
          <w:tcPr>
            <w:tcW w:w="5636" w:type="dxa"/>
          </w:tcPr>
          <w:p w14:paraId="44333F2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И-13 М-38</w:t>
            </w:r>
          </w:p>
        </w:tc>
        <w:tc>
          <w:tcPr>
            <w:tcW w:w="4552" w:type="dxa"/>
          </w:tcPr>
          <w:p w14:paraId="7D0AF3F0" w14:textId="77777777" w:rsidR="00F42404" w:rsidRPr="00C33834" w:rsidRDefault="00F42404" w:rsidP="00C33834">
            <w:pPr>
              <w:spacing w:after="0" w:line="240" w:lineRule="auto"/>
              <w:jc w:val="both"/>
              <w:rPr>
                <w:rFonts w:ascii="Times New Roman" w:hAnsi="Times New Roman"/>
                <w:color w:val="000000" w:themeColor="text1"/>
                <w:sz w:val="16"/>
                <w:szCs w:val="16"/>
              </w:rPr>
            </w:pPr>
          </w:p>
        </w:tc>
      </w:tr>
    </w:tbl>
    <w:p w14:paraId="502218F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опытную ставится Бристоль-Меркур, выход на аэродром с БМ - декабрь 1933 - январь 1934</w:t>
      </w:r>
    </w:p>
    <w:p w14:paraId="4725856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И-14 М-38</w:t>
      </w:r>
    </w:p>
    <w:p w14:paraId="057C15B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опытную ставится Бристоль-Меркур, выход на аэродром с БМ - апрель 1933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598"/>
        <w:gridCol w:w="4590"/>
      </w:tblGrid>
      <w:tr w:rsidR="00F26F01" w:rsidRPr="00C33834" w14:paraId="79C51D0C" w14:textId="77777777">
        <w:tc>
          <w:tcPr>
            <w:tcW w:w="5598" w:type="dxa"/>
          </w:tcPr>
          <w:p w14:paraId="045AD28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МК-1 6М-34РН</w:t>
            </w:r>
          </w:p>
        </w:tc>
        <w:tc>
          <w:tcPr>
            <w:tcW w:w="4590" w:type="dxa"/>
          </w:tcPr>
          <w:p w14:paraId="2B4B1082"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01.12.33</w:t>
            </w:r>
          </w:p>
        </w:tc>
      </w:tr>
      <w:tr w:rsidR="00F26F01" w:rsidRPr="00C33834" w14:paraId="341C971C" w14:textId="77777777">
        <w:tc>
          <w:tcPr>
            <w:tcW w:w="5598" w:type="dxa"/>
          </w:tcPr>
          <w:p w14:paraId="19F83CB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МДР-3бис 3М-34</w:t>
            </w:r>
          </w:p>
        </w:tc>
        <w:tc>
          <w:tcPr>
            <w:tcW w:w="4590" w:type="dxa"/>
          </w:tcPr>
          <w:p w14:paraId="633CF1F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01.11.33</w:t>
            </w:r>
          </w:p>
        </w:tc>
      </w:tr>
      <w:tr w:rsidR="00F26F01" w:rsidRPr="00C33834" w14:paraId="20FAFDC0" w14:textId="77777777">
        <w:tc>
          <w:tcPr>
            <w:tcW w:w="5598" w:type="dxa"/>
          </w:tcPr>
          <w:p w14:paraId="47DDCDF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РД</w:t>
            </w:r>
          </w:p>
        </w:tc>
        <w:tc>
          <w:tcPr>
            <w:tcW w:w="4590" w:type="dxa"/>
          </w:tcPr>
          <w:p w14:paraId="23341AF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01.04.33</w:t>
            </w:r>
          </w:p>
        </w:tc>
      </w:tr>
      <w:tr w:rsidR="00F26F01" w:rsidRPr="00C33834" w14:paraId="2D0FBC08" w14:textId="77777777">
        <w:tc>
          <w:tcPr>
            <w:tcW w:w="5598" w:type="dxa"/>
          </w:tcPr>
          <w:p w14:paraId="57E572E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МГ</w:t>
            </w:r>
          </w:p>
        </w:tc>
        <w:tc>
          <w:tcPr>
            <w:tcW w:w="4590" w:type="dxa"/>
          </w:tcPr>
          <w:p w14:paraId="18771FE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01.04.33</w:t>
            </w:r>
          </w:p>
        </w:tc>
      </w:tr>
      <w:tr w:rsidR="00F26F01" w:rsidRPr="00C33834" w14:paraId="3F5AC4D6" w14:textId="77777777">
        <w:tc>
          <w:tcPr>
            <w:tcW w:w="5598" w:type="dxa"/>
          </w:tcPr>
          <w:p w14:paraId="4FAD53F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МБР-2 М-17</w:t>
            </w:r>
          </w:p>
        </w:tc>
        <w:tc>
          <w:tcPr>
            <w:tcW w:w="4590" w:type="dxa"/>
          </w:tcPr>
          <w:p w14:paraId="477A715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внедрение идет</w:t>
            </w:r>
          </w:p>
        </w:tc>
      </w:tr>
      <w:tr w:rsidR="00F26F01" w:rsidRPr="00C33834" w14:paraId="2544A7D2" w14:textId="77777777">
        <w:tc>
          <w:tcPr>
            <w:tcW w:w="5598" w:type="dxa"/>
          </w:tcPr>
          <w:p w14:paraId="183E225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ХАЗОС</w:t>
            </w:r>
          </w:p>
        </w:tc>
        <w:tc>
          <w:tcPr>
            <w:tcW w:w="4590" w:type="dxa"/>
          </w:tcPr>
          <w:p w14:paraId="22B8C405" w14:textId="77777777" w:rsidR="00F42404" w:rsidRPr="00C33834" w:rsidRDefault="00F42404" w:rsidP="00C33834">
            <w:pPr>
              <w:spacing w:after="0" w:line="240" w:lineRule="auto"/>
              <w:jc w:val="both"/>
              <w:rPr>
                <w:rFonts w:ascii="Times New Roman" w:hAnsi="Times New Roman"/>
                <w:color w:val="000000" w:themeColor="text1"/>
                <w:sz w:val="16"/>
                <w:szCs w:val="16"/>
              </w:rPr>
            </w:pPr>
          </w:p>
        </w:tc>
      </w:tr>
      <w:tr w:rsidR="00F26F01" w:rsidRPr="00C33834" w14:paraId="311E497C" w14:textId="77777777">
        <w:tc>
          <w:tcPr>
            <w:tcW w:w="5598" w:type="dxa"/>
          </w:tcPr>
          <w:p w14:paraId="55E6D90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К-7 7М-34</w:t>
            </w:r>
          </w:p>
        </w:tc>
        <w:tc>
          <w:tcPr>
            <w:tcW w:w="4590" w:type="dxa"/>
          </w:tcPr>
          <w:p w14:paraId="14202B0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01.10.33</w:t>
            </w:r>
          </w:p>
        </w:tc>
      </w:tr>
      <w:tr w:rsidR="00F26F01" w:rsidRPr="00C33834" w14:paraId="22FC8FBA" w14:textId="77777777">
        <w:tc>
          <w:tcPr>
            <w:tcW w:w="5598" w:type="dxa"/>
          </w:tcPr>
          <w:p w14:paraId="71F5F382"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ВС 2М-52</w:t>
            </w:r>
          </w:p>
        </w:tc>
        <w:tc>
          <w:tcPr>
            <w:tcW w:w="4590" w:type="dxa"/>
          </w:tcPr>
          <w:p w14:paraId="038BBDC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зависимости от поступления мотора</w:t>
            </w:r>
          </w:p>
        </w:tc>
      </w:tr>
      <w:tr w:rsidR="00F26F01" w:rsidRPr="00C33834" w14:paraId="7DC073D3" w14:textId="77777777">
        <w:tc>
          <w:tcPr>
            <w:tcW w:w="5598" w:type="dxa"/>
          </w:tcPr>
          <w:p w14:paraId="4E22A5E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У-3 М-48</w:t>
            </w:r>
          </w:p>
        </w:tc>
        <w:tc>
          <w:tcPr>
            <w:tcW w:w="4590" w:type="dxa"/>
          </w:tcPr>
          <w:p w14:paraId="2242F512"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01.09.33</w:t>
            </w:r>
          </w:p>
        </w:tc>
      </w:tr>
    </w:tbl>
    <w:p w14:paraId="5B286002"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39</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4552"/>
      </w:tblGrid>
      <w:tr w:rsidR="00F26F01" w:rsidRPr="00C33834" w14:paraId="52114AF4" w14:textId="77777777">
        <w:tc>
          <w:tcPr>
            <w:tcW w:w="5636" w:type="dxa"/>
          </w:tcPr>
          <w:p w14:paraId="36F81E6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И-15 М-38</w:t>
            </w:r>
          </w:p>
        </w:tc>
        <w:tc>
          <w:tcPr>
            <w:tcW w:w="4552" w:type="dxa"/>
          </w:tcPr>
          <w:p w14:paraId="67B2D13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зависимости от мотора, если мотор будет в апреле, то самолет выйдет в сентябре</w:t>
            </w:r>
          </w:p>
        </w:tc>
      </w:tr>
      <w:tr w:rsidR="00F26F01" w:rsidRPr="00C33834" w14:paraId="1C61A192" w14:textId="77777777">
        <w:tc>
          <w:tcPr>
            <w:tcW w:w="5636" w:type="dxa"/>
          </w:tcPr>
          <w:p w14:paraId="7C7544E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И-15 МБ</w:t>
            </w:r>
          </w:p>
        </w:tc>
        <w:tc>
          <w:tcPr>
            <w:tcW w:w="4552" w:type="dxa"/>
          </w:tcPr>
          <w:p w14:paraId="39E1896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01.09.33</w:t>
            </w:r>
          </w:p>
        </w:tc>
      </w:tr>
      <w:tr w:rsidR="00F26F01" w:rsidRPr="00C33834" w14:paraId="63AC0187" w14:textId="77777777">
        <w:tc>
          <w:tcPr>
            <w:tcW w:w="5636" w:type="dxa"/>
          </w:tcPr>
          <w:p w14:paraId="68800D6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ЛР М-34</w:t>
            </w:r>
          </w:p>
        </w:tc>
        <w:tc>
          <w:tcPr>
            <w:tcW w:w="4552" w:type="dxa"/>
          </w:tcPr>
          <w:p w14:paraId="138EADB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01.08.33</w:t>
            </w:r>
          </w:p>
        </w:tc>
      </w:tr>
      <w:tr w:rsidR="00F26F01" w:rsidRPr="00C33834" w14:paraId="0688BC5B" w14:textId="77777777">
        <w:tc>
          <w:tcPr>
            <w:tcW w:w="5636" w:type="dxa"/>
          </w:tcPr>
          <w:p w14:paraId="58C3780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ЛР дублер</w:t>
            </w:r>
          </w:p>
        </w:tc>
        <w:tc>
          <w:tcPr>
            <w:tcW w:w="4552" w:type="dxa"/>
          </w:tcPr>
          <w:p w14:paraId="5DE0722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01.08.33</w:t>
            </w:r>
          </w:p>
        </w:tc>
      </w:tr>
      <w:tr w:rsidR="00F26F01" w:rsidRPr="00C33834" w14:paraId="0C4BC990" w14:textId="77777777">
        <w:tc>
          <w:tcPr>
            <w:tcW w:w="5636" w:type="dxa"/>
          </w:tcPr>
          <w:p w14:paraId="46AEB5A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ЛР головной</w:t>
            </w:r>
          </w:p>
        </w:tc>
        <w:tc>
          <w:tcPr>
            <w:tcW w:w="4552" w:type="dxa"/>
          </w:tcPr>
          <w:p w14:paraId="377B327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01.12.33</w:t>
            </w:r>
          </w:p>
        </w:tc>
      </w:tr>
      <w:tr w:rsidR="00F26F01" w:rsidRPr="00C33834" w14:paraId="6C5FAEFA" w14:textId="77777777">
        <w:tc>
          <w:tcPr>
            <w:tcW w:w="5636" w:type="dxa"/>
          </w:tcPr>
          <w:p w14:paraId="528053F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ТШ-3 М-34</w:t>
            </w:r>
          </w:p>
        </w:tc>
        <w:tc>
          <w:tcPr>
            <w:tcW w:w="4552" w:type="dxa"/>
          </w:tcPr>
          <w:p w14:paraId="2022A6A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01.11.33</w:t>
            </w:r>
          </w:p>
        </w:tc>
      </w:tr>
      <w:tr w:rsidR="00F26F01" w:rsidRPr="00C33834" w14:paraId="182C7B09" w14:textId="77777777">
        <w:tc>
          <w:tcPr>
            <w:tcW w:w="5636" w:type="dxa"/>
          </w:tcPr>
          <w:p w14:paraId="2DC89F0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ТШ-3</w:t>
            </w:r>
          </w:p>
        </w:tc>
        <w:tc>
          <w:tcPr>
            <w:tcW w:w="4552" w:type="dxa"/>
          </w:tcPr>
          <w:p w14:paraId="0489090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01.11.33</w:t>
            </w:r>
          </w:p>
        </w:tc>
      </w:tr>
      <w:tr w:rsidR="00F26F01" w:rsidRPr="00C33834" w14:paraId="5C95AC0E" w14:textId="77777777">
        <w:tc>
          <w:tcPr>
            <w:tcW w:w="5636" w:type="dxa"/>
          </w:tcPr>
          <w:p w14:paraId="7D78B6C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ТШ головной</w:t>
            </w:r>
          </w:p>
        </w:tc>
        <w:tc>
          <w:tcPr>
            <w:tcW w:w="4552" w:type="dxa"/>
          </w:tcPr>
          <w:p w14:paraId="1B09A89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01.03.34</w:t>
            </w:r>
          </w:p>
        </w:tc>
      </w:tr>
      <w:tr w:rsidR="00F26F01" w:rsidRPr="00C33834" w14:paraId="2076C915" w14:textId="77777777">
        <w:tc>
          <w:tcPr>
            <w:tcW w:w="5636" w:type="dxa"/>
          </w:tcPr>
          <w:p w14:paraId="74F670F2"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ДИ-6 М-32</w:t>
            </w:r>
          </w:p>
        </w:tc>
        <w:tc>
          <w:tcPr>
            <w:tcW w:w="4552" w:type="dxa"/>
          </w:tcPr>
          <w:p w14:paraId="2D57E84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мес. после получения мотора</w:t>
            </w:r>
          </w:p>
        </w:tc>
      </w:tr>
      <w:tr w:rsidR="00F26F01" w:rsidRPr="00C33834" w14:paraId="57221117" w14:textId="77777777">
        <w:tc>
          <w:tcPr>
            <w:tcW w:w="5636" w:type="dxa"/>
          </w:tcPr>
          <w:p w14:paraId="080CE39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И-16</w:t>
            </w:r>
          </w:p>
        </w:tc>
        <w:tc>
          <w:tcPr>
            <w:tcW w:w="4552" w:type="dxa"/>
          </w:tcPr>
          <w:p w14:paraId="71835A0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01.04.34</w:t>
            </w:r>
          </w:p>
        </w:tc>
      </w:tr>
      <w:tr w:rsidR="00F26F01" w:rsidRPr="00C33834" w14:paraId="17714FF4" w14:textId="77777777">
        <w:tc>
          <w:tcPr>
            <w:tcW w:w="5636" w:type="dxa"/>
          </w:tcPr>
          <w:p w14:paraId="50F6891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Стратосферный сам.</w:t>
            </w:r>
          </w:p>
        </w:tc>
        <w:tc>
          <w:tcPr>
            <w:tcW w:w="4552" w:type="dxa"/>
          </w:tcPr>
          <w:p w14:paraId="1CF5A96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зависимости от М-34Н к 01.12.33</w:t>
            </w:r>
          </w:p>
        </w:tc>
      </w:tr>
      <w:tr w:rsidR="00F26F01" w:rsidRPr="00C33834" w14:paraId="59364888" w14:textId="77777777">
        <w:tc>
          <w:tcPr>
            <w:tcW w:w="5636" w:type="dxa"/>
          </w:tcPr>
          <w:p w14:paraId="7115148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12) СС</w:t>
            </w:r>
          </w:p>
        </w:tc>
        <w:tc>
          <w:tcPr>
            <w:tcW w:w="4552" w:type="dxa"/>
          </w:tcPr>
          <w:p w14:paraId="50C2B8B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01.05.34</w:t>
            </w:r>
          </w:p>
        </w:tc>
      </w:tr>
      <w:tr w:rsidR="00F26F01" w:rsidRPr="00C33834" w14:paraId="2FEBCA37" w14:textId="77777777">
        <w:tc>
          <w:tcPr>
            <w:tcW w:w="5636" w:type="dxa"/>
          </w:tcPr>
          <w:p w14:paraId="12897EB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Лет. Крыло 2М-34</w:t>
            </w:r>
          </w:p>
        </w:tc>
        <w:tc>
          <w:tcPr>
            <w:tcW w:w="4552" w:type="dxa"/>
          </w:tcPr>
          <w:p w14:paraId="3FD02A1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01.12.33</w:t>
            </w:r>
          </w:p>
        </w:tc>
      </w:tr>
      <w:tr w:rsidR="00F26F01" w:rsidRPr="00C33834" w14:paraId="29DB04FF" w14:textId="77777777">
        <w:tc>
          <w:tcPr>
            <w:tcW w:w="5636" w:type="dxa"/>
          </w:tcPr>
          <w:p w14:paraId="03B95E4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СБС</w:t>
            </w:r>
          </w:p>
        </w:tc>
        <w:tc>
          <w:tcPr>
            <w:tcW w:w="4552" w:type="dxa"/>
          </w:tcPr>
          <w:p w14:paraId="79616E8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01.08.34</w:t>
            </w:r>
          </w:p>
        </w:tc>
      </w:tr>
      <w:tr w:rsidR="00F26F01" w:rsidRPr="00C33834" w14:paraId="7F8A30BC" w14:textId="77777777">
        <w:tc>
          <w:tcPr>
            <w:tcW w:w="5636" w:type="dxa"/>
          </w:tcPr>
          <w:p w14:paraId="525B622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Самолет Кричев. М-11</w:t>
            </w:r>
          </w:p>
        </w:tc>
        <w:tc>
          <w:tcPr>
            <w:tcW w:w="4552" w:type="dxa"/>
          </w:tcPr>
          <w:p w14:paraId="16D1893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01.08.33</w:t>
            </w:r>
          </w:p>
        </w:tc>
      </w:tr>
      <w:tr w:rsidR="00F26F01" w:rsidRPr="00C33834" w14:paraId="4F5D3E9E" w14:textId="77777777">
        <w:tc>
          <w:tcPr>
            <w:tcW w:w="5636" w:type="dxa"/>
          </w:tcPr>
          <w:p w14:paraId="737CA51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Парабола М-11</w:t>
            </w:r>
          </w:p>
        </w:tc>
        <w:tc>
          <w:tcPr>
            <w:tcW w:w="4552" w:type="dxa"/>
          </w:tcPr>
          <w:p w14:paraId="0FD73D7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01.05.33</w:t>
            </w:r>
          </w:p>
        </w:tc>
      </w:tr>
      <w:tr w:rsidR="00F26F01" w:rsidRPr="00C33834" w14:paraId="4024E4B0" w14:textId="77777777">
        <w:tc>
          <w:tcPr>
            <w:tcW w:w="5636" w:type="dxa"/>
          </w:tcPr>
          <w:p w14:paraId="47380512"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Легкие самолеты для ГА</w:t>
            </w:r>
          </w:p>
        </w:tc>
        <w:tc>
          <w:tcPr>
            <w:tcW w:w="4552" w:type="dxa"/>
          </w:tcPr>
          <w:p w14:paraId="4B275CEE" w14:textId="77777777" w:rsidR="00F42404" w:rsidRPr="00C33834" w:rsidRDefault="00F42404" w:rsidP="00C33834">
            <w:pPr>
              <w:spacing w:after="0" w:line="240" w:lineRule="auto"/>
              <w:jc w:val="both"/>
              <w:rPr>
                <w:rFonts w:ascii="Times New Roman" w:hAnsi="Times New Roman"/>
                <w:color w:val="000000" w:themeColor="text1"/>
                <w:sz w:val="16"/>
                <w:szCs w:val="16"/>
              </w:rPr>
            </w:pPr>
          </w:p>
        </w:tc>
      </w:tr>
      <w:tr w:rsidR="00F26F01" w:rsidRPr="00C33834" w14:paraId="1EE485AD" w14:textId="77777777">
        <w:tc>
          <w:tcPr>
            <w:tcW w:w="5636" w:type="dxa"/>
          </w:tcPr>
          <w:p w14:paraId="6265FFB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Под 65 нр</w:t>
            </w:r>
          </w:p>
        </w:tc>
        <w:tc>
          <w:tcPr>
            <w:tcW w:w="4552" w:type="dxa"/>
          </w:tcPr>
          <w:p w14:paraId="7E0EF54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01.10.33</w:t>
            </w:r>
          </w:p>
        </w:tc>
      </w:tr>
      <w:tr w:rsidR="00F26F01" w:rsidRPr="00C33834" w14:paraId="0F6421B8" w14:textId="77777777">
        <w:tc>
          <w:tcPr>
            <w:tcW w:w="5636" w:type="dxa"/>
          </w:tcPr>
          <w:p w14:paraId="3FE91271"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Под М-51</w:t>
            </w:r>
          </w:p>
        </w:tc>
        <w:tc>
          <w:tcPr>
            <w:tcW w:w="4552" w:type="dxa"/>
          </w:tcPr>
          <w:p w14:paraId="6B7555A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01.09.33</w:t>
            </w:r>
          </w:p>
        </w:tc>
      </w:tr>
      <w:tr w:rsidR="00F26F01" w:rsidRPr="00C33834" w14:paraId="217C4162" w14:textId="77777777">
        <w:tc>
          <w:tcPr>
            <w:tcW w:w="5636" w:type="dxa"/>
          </w:tcPr>
          <w:p w14:paraId="0F6E43E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Под М-49</w:t>
            </w:r>
          </w:p>
        </w:tc>
        <w:tc>
          <w:tcPr>
            <w:tcW w:w="4552" w:type="dxa"/>
          </w:tcPr>
          <w:p w14:paraId="1430716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01710.33</w:t>
            </w:r>
          </w:p>
        </w:tc>
      </w:tr>
      <w:tr w:rsidR="00F26F01" w:rsidRPr="00C33834" w14:paraId="76CE972B" w14:textId="77777777">
        <w:tc>
          <w:tcPr>
            <w:tcW w:w="5636" w:type="dxa"/>
          </w:tcPr>
          <w:p w14:paraId="36E51DD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Р-5 М-17</w:t>
            </w:r>
          </w:p>
        </w:tc>
        <w:tc>
          <w:tcPr>
            <w:tcW w:w="4552" w:type="dxa"/>
          </w:tcPr>
          <w:p w14:paraId="0EB5FD9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01.07.33</w:t>
            </w:r>
          </w:p>
        </w:tc>
      </w:tr>
    </w:tbl>
    <w:p w14:paraId="6E8A3C7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РК и торм.</w:t>
      </w:r>
    </w:p>
    <w:p w14:paraId="483F689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Модификации ЦАГИ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4552"/>
      </w:tblGrid>
      <w:tr w:rsidR="00F26F01" w:rsidRPr="00C33834" w14:paraId="1CA13F9D" w14:textId="77777777">
        <w:tc>
          <w:tcPr>
            <w:tcW w:w="5636" w:type="dxa"/>
          </w:tcPr>
          <w:p w14:paraId="439C595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ТБ-3 4М-34</w:t>
            </w:r>
          </w:p>
        </w:tc>
        <w:tc>
          <w:tcPr>
            <w:tcW w:w="4552" w:type="dxa"/>
          </w:tcPr>
          <w:p w14:paraId="601B914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внедрение идет</w:t>
            </w:r>
          </w:p>
        </w:tc>
      </w:tr>
      <w:tr w:rsidR="00F26F01" w:rsidRPr="00C33834" w14:paraId="259F599E" w14:textId="77777777">
        <w:tc>
          <w:tcPr>
            <w:tcW w:w="5636" w:type="dxa"/>
          </w:tcPr>
          <w:p w14:paraId="7112364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С-62 М-34</w:t>
            </w:r>
          </w:p>
        </w:tc>
        <w:tc>
          <w:tcPr>
            <w:tcW w:w="4552" w:type="dxa"/>
          </w:tcPr>
          <w:p w14:paraId="62BA717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внедрение идет</w:t>
            </w:r>
          </w:p>
        </w:tc>
      </w:tr>
      <w:tr w:rsidR="00F26F01" w:rsidRPr="00C33834" w14:paraId="4A5C4D97" w14:textId="77777777">
        <w:tc>
          <w:tcPr>
            <w:tcW w:w="5636" w:type="dxa"/>
          </w:tcPr>
          <w:p w14:paraId="6D3DBA2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Р-6 на попл.</w:t>
            </w:r>
          </w:p>
        </w:tc>
        <w:tc>
          <w:tcPr>
            <w:tcW w:w="4552" w:type="dxa"/>
          </w:tcPr>
          <w:p w14:paraId="741AFCA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внедрение идет</w:t>
            </w:r>
          </w:p>
        </w:tc>
      </w:tr>
      <w:tr w:rsidR="00F26F01" w:rsidRPr="00C33834" w14:paraId="5FA57523" w14:textId="77777777">
        <w:tc>
          <w:tcPr>
            <w:tcW w:w="5636" w:type="dxa"/>
          </w:tcPr>
          <w:p w14:paraId="5219847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Р-5 с торм. кол.</w:t>
            </w:r>
          </w:p>
        </w:tc>
        <w:tc>
          <w:tcPr>
            <w:tcW w:w="4552" w:type="dxa"/>
          </w:tcPr>
          <w:p w14:paraId="37FC285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внедрение идет</w:t>
            </w:r>
          </w:p>
        </w:tc>
      </w:tr>
      <w:tr w:rsidR="00F26F01" w:rsidRPr="00C33834" w14:paraId="3E5953D6" w14:textId="77777777">
        <w:tc>
          <w:tcPr>
            <w:tcW w:w="5636" w:type="dxa"/>
          </w:tcPr>
          <w:p w14:paraId="698BBB7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Р-5 на попл.</w:t>
            </w:r>
          </w:p>
        </w:tc>
        <w:tc>
          <w:tcPr>
            <w:tcW w:w="4552" w:type="dxa"/>
          </w:tcPr>
          <w:p w14:paraId="30A4D3A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внедрение идет (2286,50)</w:t>
            </w:r>
          </w:p>
        </w:tc>
      </w:tr>
    </w:tbl>
    <w:p w14:paraId="03F2173B"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7971E7C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марта 1933 года N 001255 начальник ВВС Алкснис подготовил Справку о выполнении решений КО об опытном самолетостроении.</w:t>
      </w:r>
    </w:p>
    <w:p w14:paraId="21D5CA1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Постановление КЩ от 4.07.32 года по опытному самолетостроению:</w:t>
      </w:r>
    </w:p>
    <w:p w14:paraId="21B66D2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Создание типов вполне современных истребителей одно, двух и многоместных.</w:t>
      </w:r>
    </w:p>
    <w:p w14:paraId="6E86761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Многоместный истребитель МИ3.</w:t>
      </w:r>
    </w:p>
    <w:p w14:paraId="376D330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2М34 - срок выхода на аэродром установленный КО 1.01.33 г. Постановление не выполнено. Самолет в производстве почти закончен. Выход его на аэродром ожидается в последней декаде марта.</w:t>
      </w:r>
    </w:p>
    <w:p w14:paraId="734BC2A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Невыполнение постановления объясняется задержкой с выпуском мотора М-34. летные данные самолета не будут удовлетворять утвержденным КО ввиду установки на самолет мотора М-34 без нагнетателя.</w:t>
      </w:r>
    </w:p>
    <w:p w14:paraId="3C77471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Двухместный истребитель пушечный ДИП 2М34. Срок установлен КО 1.10.33 г. по ходу работ срок будет выдержан.</w:t>
      </w:r>
    </w:p>
    <w:p w14:paraId="46EF806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Двухместный истребитель ДИ6 с мотором М32 или М38. Срок выпуска, установленный КО 1.04.33 г. В настоящее время ведется проработка схемы самолета в 2-х вариантах под моторы М32 и М38. Ввиду того, что заводские испытания этих моторов еще до настоящего времени не закончены, самолет является необеспеченным моторами и срок его выпуска будет сорван.</w:t>
      </w:r>
    </w:p>
    <w:p w14:paraId="6D1D754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Одноместный истребитель И-13 под мотор М32. Срок выпуска по постановлению КО 1.04.33 г. Состояние заводских испытаний мотора и количество обнаруженных в нем дефектов указывают на то, что к 1.04 мотор М-32 не сможет быть установлен на самолет, что приведет к срыву его выпуска.</w:t>
      </w:r>
    </w:p>
    <w:p w14:paraId="1E286BA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ведется проработка схемы самолетов.</w:t>
      </w:r>
    </w:p>
    <w:p w14:paraId="0FB59C5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Одноместный истребитель И-14 под мотор М38. Срок выпуска по постановлению КО 15.03.33 г. Ввиду неокончания заводских испытаний мотора М38 первый экземпляр самолета строится под заграничный мотор Бристоль-Меркур. Проектирование самолета закончено. В постройке находятся: крылья, фюзеляж и оперение. Срок выпуска самолета намечается на май с.г. Невыполнение срока, поставленного КО, объясняется отсутствием мотора и недостаточными темпами работы ЦАГИ.</w:t>
      </w:r>
    </w:p>
    <w:p w14:paraId="453B667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Форсирование образцов по постройке образцов тяжелого бомбардирования (ТБ-4).</w:t>
      </w:r>
    </w:p>
    <w:p w14:paraId="12D680D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бомбардировщик ТБ-6.</w:t>
      </w:r>
    </w:p>
    <w:p w14:paraId="4A19153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постановлению КО 1.12.34 г. Закончена проработка схемы самолета. Ведется проектирование отдельных деталей конструкции. Ввиду неясности с качеством мотора М-44 и нефтяных проектирование ведется под 12 моторов М-34. Срок может быть выдержан.</w:t>
      </w:r>
    </w:p>
    <w:p w14:paraId="3F4EB9E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десантный самолет Д-1 10М34.</w:t>
      </w:r>
    </w:p>
    <w:p w14:paraId="4A3F19E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плану - 1.06.33 г. Проектирование самолета закончено. Ведется испытание передач к винтам. остается нерешенным вопрос о производственной базе для постройки самолетов. Отсутствие производственной базы уже в настоящее время делает выпуск самолета к 1.06.33 г. невозможным.</w:t>
      </w:r>
    </w:p>
    <w:p w14:paraId="71D283B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бомбовоз ТБ-4 6-М34.</w:t>
      </w:r>
    </w:p>
    <w:p w14:paraId="341415E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плану - 1.11.32 г. Указанный срок ЦАГИ не выдержан. В настоящее время самолет перевезен на аэродром, где производится его сборка. Первый полет самолета ожидается не ранее конца марта. Срыв срока объясняется с одной стороны задержкой с предоставлением ЦАГИ мотора М-34, с другой исключительно слабыми темпами, проявленными со стороны ЦИАМ"а и ЦАГИ в отношении доводки винтомоторной группы самолета.</w:t>
      </w:r>
    </w:p>
    <w:p w14:paraId="0198A2F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бомбовоз ТБ-4 6-М34-Р.</w:t>
      </w:r>
    </w:p>
    <w:p w14:paraId="57B0E77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(Головной).</w:t>
      </w:r>
    </w:p>
    <w:p w14:paraId="38ABFB1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плану - 1.06.33 г. Самолет находится в постройке в ЦАГИ. Темпы постройки не гарантируют указанного выше срока его выпуска.</w:t>
      </w:r>
    </w:p>
    <w:p w14:paraId="38CBD41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бомбардировщик К-77 М-34.</w:t>
      </w:r>
    </w:p>
    <w:p w14:paraId="7E94DF3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плану - 1.05.33 г. Постройку самолета ведет конструкторское бюро Калинина. В настоящее время постройка полностью развернута. Однако следует считать вероятным опоздание выхода самолета против срока стоящего в плане на 3-4 месяца, объясняющееся, в основном, трудностями, встретившимися у конструкторского бюро при термической обработке и сварке хромомолибденовых труб.</w:t>
      </w:r>
    </w:p>
    <w:p w14:paraId="3044C8F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Состояние постройки остальных опытных самолетов, стоящих в плане, утвержденном КО 4.07.32 г. - нижеследующее:</w:t>
      </w:r>
    </w:p>
    <w:p w14:paraId="59DE0F7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химический боевик XI 2-М34.</w:t>
      </w:r>
    </w:p>
    <w:p w14:paraId="3704CF8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плану утвержденному КО, самолет строится ГУГВФ со сроком выпуска 1.08.33 г. В настоящее время ведется проработка схемы самолета. Постройка самолета с финансовой стороны ГУГВФ"ом не обеспечена. ГУГВФ считает срок выпуска, стоящий в плане, невыполненным и гарантирует выпуск самолета на 1 год позднее.</w:t>
      </w:r>
    </w:p>
    <w:p w14:paraId="4E9A52D2"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Крейсер сухопутный К-1 2М34.</w:t>
      </w:r>
    </w:p>
    <w:p w14:paraId="116827E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плану - 1.10.33 г. В настоящее время проектирование самолета почти закончено. С точки зрения постройки самолета, срок его выпуска может безусловно быть выдержан. Однако, ввиду того, что самолет для повышения его летных качеств проектируется под 2 мотора М-32, задержка с представлением ЦАГИ этих моторов, может сорвать выпуск самолета.</w:t>
      </w:r>
    </w:p>
    <w:p w14:paraId="63CF3B5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Легкий разведчик ЛР М-34.</w:t>
      </w:r>
    </w:p>
    <w:p w14:paraId="2024F09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самолета по плану - 1.03.33 г. В настоящее время самолет спроектирован и находится в постройке. Окончание последнего намечено на июнь 1933 г. Срыв срока, установленного КО, объясняется в основном тем, что ЦАГИ развернуло проектирование самолетов до предъявления на утверждение ВВС его макета, благодаря чему 2-х месячная работа КБ над неприемлемой для ВВС схемой самолета оказалась напрасной.</w:t>
      </w:r>
    </w:p>
    <w:p w14:paraId="442FC01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Войсковой самолет ВС22М52.</w:t>
      </w:r>
    </w:p>
    <w:p w14:paraId="76E8A192"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плану - 1.07.33 г.</w:t>
      </w:r>
    </w:p>
    <w:p w14:paraId="558B43D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проектируется КБ Калинина. В настоящее время проводится проработка схемы самолета. В виду занятости КБ самолетом К-7, работа ведется медленными темпами, не обеспечивающими выдерживание срока выпуска самолета, установленного КО.</w:t>
      </w:r>
    </w:p>
    <w:p w14:paraId="5AB76FC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Переходной самолет П3 М52.</w:t>
      </w:r>
    </w:p>
    <w:p w14:paraId="4A4897E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плану - 1.05.33 г. согласно постановления КО - постройка самолета возложена на ГУГВФ. Работа по самолетам ГУГВФ"ом, ссылающимся на отсутствие средств не ведется. Несмотря на ряд требований о разворачивании работы со стороны УВВС - срок выпуска самолета, стоящий в плане, выдержан не будет.</w:t>
      </w:r>
    </w:p>
    <w:p w14:paraId="5DF8A55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Учебный самолет У-3 М-48.</w:t>
      </w:r>
    </w:p>
    <w:p w14:paraId="26EB5FA2"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плану - 1.03.33 г. Проектирование самолета было ГУАП"ом поручено Харьковскому авиационному институту. Но в настоящее время с него задание снимается и передается заводу N 23. Благодаря этому неизбежно значительное опоздание выхода самолета против срока, стоящего в плане.</w:t>
      </w:r>
    </w:p>
    <w:p w14:paraId="2EC094B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Экспериментальные сухопутные самолеты.</w:t>
      </w:r>
    </w:p>
    <w:p w14:paraId="2D15A8D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Высотный самолет он же рекордный на высоту.</w:t>
      </w:r>
    </w:p>
    <w:p w14:paraId="32FB05B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плану - 1.04.33 г. В настоящее время заканчивается проектирование самолета и он частично находится в постройке. Срок выпуска самолета определяется представлением ЦАГИ мотора М-34 с нагнетателем. Заводские испытания моторов М-34 с нагнетателем до высоты 5000 метров показали ряд крупных дефектов двухступенчатого нагнетателя, почему необходимо констатировать неизбежность опоздания выпуска самолета на 5-7 месяцев.</w:t>
      </w:r>
    </w:p>
    <w:p w14:paraId="63170D81"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Рекордный самолет на дальность.</w:t>
      </w:r>
    </w:p>
    <w:p w14:paraId="066DE76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Срок выпуска по плану - август 1932 года. В настоящее время самолет находится в постройке. Выпуск его на аэродром намечен на май с.г. Срыв выпуска самолета в срок, установленный КО, объясняется неполучение в течение лета 1932 г. ЦАГИ мотора М-34, что в свою очередь привело к резкому падению темпа работ по постройке самолета.</w:t>
      </w:r>
    </w:p>
    <w:p w14:paraId="4153369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 летающее крыл с 2 моторами М-11.</w:t>
      </w:r>
    </w:p>
    <w:p w14:paraId="3061B5A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по плану - 1.10.33 г. Ввиду благоприятный результатов испытаний летающего крыла с мотором Люцифер - 100 л.с. - ГУАП предлагает вместо постройки летающего крыла с 2 моторами М-11 - построить летающее крыло с двумя более мощными моторами (400-500 л.с.), со сроком выпуска самолета в начале 1934 г. Настоящее предложение следует считать приемлемым.</w:t>
      </w:r>
    </w:p>
    <w:p w14:paraId="2F82214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 особым типом разрезных крыльев (системы Кричевского).</w:t>
      </w:r>
    </w:p>
    <w:p w14:paraId="2E44872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плану - 1.12.32 г. В настоящее время самолет находится в постройке. Выпуск его ожидается в мае с.г. Невыполнение срока стоящего в плане объясняется недостаточным вниманием со стороны ЦАГИ к его постройке.</w:t>
      </w:r>
    </w:p>
    <w:p w14:paraId="16029B0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Геликоптер ВГ-2.</w:t>
      </w:r>
    </w:p>
    <w:p w14:paraId="7D01E83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плану - 1.07.32 г. Геликоптер при его испытаниях показал летные данные, далеко превосходящие достигнутые аналогичными заграничными геликоптерами. Основной дефект геликоптера - недостаточная устойчивость, в настоящее время устраняется путем постройки геликоптера с модифицированным винтом. Срок выпуска модифицированного геликоптера ВГ-2 намечен на июнь с.г.</w:t>
      </w:r>
    </w:p>
    <w:p w14:paraId="4D36077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 с мотором М-11.</w:t>
      </w:r>
    </w:p>
    <w:p w14:paraId="2CC9C57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плану - 1.11.32 г. Постройка автожира в настоящее время заканчивается. Срыв срока выпуска автожира, поставленного КО объясняется медленными темпами его постройки в ЦАГИ.</w:t>
      </w:r>
    </w:p>
    <w:p w14:paraId="53A825A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 с мотором М-22.</w:t>
      </w:r>
    </w:p>
    <w:p w14:paraId="74B9CBA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плану - 1.01.33 г. Постройка автожира в настоящее время только разворачивается. Окончание ее намечается на конец II квартала 1933 г. Срыв срока выпуска автожира объясняется недостаточными темпами его постройки в ЦАГИ.</w:t>
      </w:r>
    </w:p>
    <w:p w14:paraId="16C6271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 раздвижными крыльями</w:t>
      </w:r>
    </w:p>
    <w:p w14:paraId="4AD6BFB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(У3-бис М-48).</w:t>
      </w:r>
    </w:p>
    <w:p w14:paraId="2B860DA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плану - 1.05.33 г. Согласно постановления КО постройка этого самолета возложена на ГУГВФ, однако последним, работы по самолету не ведутся. Отказ от начала работ по самолету ГУГВФ объясняется отсутствием денежных средств.</w:t>
      </w:r>
    </w:p>
    <w:p w14:paraId="50C6734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 нефтяным двигателем "Паккард".</w:t>
      </w:r>
    </w:p>
    <w:p w14:paraId="6841E3D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постановления КО работа по установке мотора проводится ГУГВФ. Последним настоящая работа не производится.</w:t>
      </w:r>
    </w:p>
    <w:p w14:paraId="42CF19B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Таран.</w:t>
      </w:r>
    </w:p>
    <w:p w14:paraId="1E1A03B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по самолету не производится, так как таранение неприятельского самолета может быть произведено с использованием нормального истребителя, имеющего специальные подвески (предложение инженера Чернышева). Производство спецподвески проводится на заводе N 22.</w:t>
      </w:r>
    </w:p>
    <w:p w14:paraId="670DE1A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Модификация самолетов.</w:t>
      </w:r>
    </w:p>
    <w:p w14:paraId="1A96401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мотора М-34 на самолете ТБ-3.</w:t>
      </w:r>
    </w:p>
    <w:p w14:paraId="1124D72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по плану - 1.12.32 г. Первый полет самолета ТБ-3 М-34 произведен 8.03.33 г. Срыв срока выпуска самолета объясняется отчасти поздним представлением ЦАГИ М34 и главное исключительно медленными темпами работы ЦИАМ и ЦАГИ по доводке винтомоторной группы самолетов.</w:t>
      </w:r>
    </w:p>
    <w:p w14:paraId="4D5F644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мотора М-34 на самолете Р-5.</w:t>
      </w:r>
    </w:p>
    <w:p w14:paraId="5F97324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по плану - 1.07.32 г. выполнен с опозданием на 1 месяц.</w:t>
      </w:r>
    </w:p>
    <w:p w14:paraId="46711EB1"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 М-34 - подготовка эталона машины.</w:t>
      </w:r>
    </w:p>
    <w:p w14:paraId="7CB3560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по плану - 15.10.32 г. Срок не выполнен, до настоящего времени работа по доводке винтомоторной группы самолета не закончена. Срыв срока объясняется недостаточными темпами работы ЦИАМ и ЦАГИ в указанном направлении.</w:t>
      </w:r>
    </w:p>
    <w:p w14:paraId="06F8095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Пушечный истребитель И-2 2М22, постройки второго модифицированного экземпляра.</w:t>
      </w:r>
    </w:p>
    <w:p w14:paraId="748AE41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по плану - 1.11.32 г. Самолет находится в постройке. Выпуск намечен на II квартал 1933 г. Срыв срока, стоящего в плане - объясняется с одной стороны - несвоевременной подачей ЦАГИ от завода N 8 стальной трубы к пушке, с другой стороны - слабыми темпами постройки самолета.</w:t>
      </w:r>
    </w:p>
    <w:p w14:paraId="0F5DE50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Создание типов морских лодочных самолетов.</w:t>
      </w:r>
    </w:p>
    <w:p w14:paraId="20283C4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Морские самолеты.</w:t>
      </w:r>
    </w:p>
    <w:p w14:paraId="429C1CA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МК-1 - 6М34. Морской крейсер, бомбардир. и торпедоносец.</w:t>
      </w:r>
    </w:p>
    <w:p w14:paraId="7A03C50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 испытание 1,12,33 г. Находится в постройке, запаздывает, фактический срок предъявления следует ожидать не ранее 2-го квартала 1934 года.</w:t>
      </w:r>
    </w:p>
    <w:p w14:paraId="7DAA644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Макет самолета до сего времени не предъявлен и выполняется уже в течение 6 месяцев. При обсуждении макета может выявиться надобность в переделках, проведение которых отодвинет срок предъявления на гос. испытание. Причина запаздывания готовности макета - недостаточные темпы работ и недостаточное внимание к объекту строительства со стороны начальника КОСОС ЦАГИ (объекты морских самолетов идут по второй очереди в отношении сухопутных).</w:t>
      </w:r>
    </w:p>
    <w:p w14:paraId="0CD5BD41"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МДР-3-бис 3М34. Морской дальний разведчик (модификация самолета МДР3 4М17).</w:t>
      </w:r>
    </w:p>
    <w:p w14:paraId="7ECA28C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 испытание по плану строительства не указан.</w:t>
      </w:r>
    </w:p>
    <w:p w14:paraId="2C8B1CA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 в течение 7-ми месяцев не представляет летно-тактических данных самолетов, каковые могут быть получены из условия оставления старой лодки у модифицированного самолета.</w:t>
      </w:r>
    </w:p>
    <w:p w14:paraId="6FD816A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НИИ ВВС в силу затягивания сроков со стороны ЦАГИ предъявил последнему свои технические требования без согласования их с начальником КОСОС ЦАГИ Туполевым.</w:t>
      </w:r>
    </w:p>
    <w:p w14:paraId="4FE9DD8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 испытания ЦАГИ не указывал, по состоянию работы этот срок - ориентировочно конец 1933 г. Причины задержки в ходе строительства данного объекта:</w:t>
      </w:r>
    </w:p>
    <w:p w14:paraId="59E494B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 течение 3-х месяцев ЦАГИ отклоняло требования НИИ о модификации самолетов, предлагая новый образец.</w:t>
      </w:r>
    </w:p>
    <w:p w14:paraId="312A9A1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Недостаточность внимания со стороны начальника КОСОС ЦАГИ к данному объекту, выразившееся в том, что несмотря на подготовленность материала по основным вопросам модифицированного типа, решение задерживалось в течение почти 2-х месяцев.</w:t>
      </w:r>
    </w:p>
    <w:p w14:paraId="4A66E54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МБР5 М-34. Морской ближний разведчик - Амфибия.</w:t>
      </w:r>
    </w:p>
    <w:p w14:paraId="6876F57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 испытания - 1.08.33 г. Начальник ГУГВФ"а отказался от постройки самолета в силу слабости конструкторской и производственной базы и отсутствия денежных средств.</w:t>
      </w:r>
    </w:p>
    <w:p w14:paraId="36B2B45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настоящему моменту НИИ ВВС получено предварительное согласие начальника КОСОС ЦАГИ Туполева на принятие к постройке самолета, в связи с выделением из морской бригады КОСОС ЦАГИ отдельной бригады легких гидросамолетов.</w:t>
      </w:r>
    </w:p>
    <w:p w14:paraId="00BC26C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Вновь организованной бригадой ведется разработка предварительного эскиза самолета. Ввиду того, что поставленные планом летно-тактические требования технически (при отсутствии опыта по Амфибиям) трудно выполнимы, требуют варианта с 2 моторами - (2М34 НР)? с общим полетным весом 6,5 тонн, предлагаются изменения в техтребованиях, имеющие целью технически облегчить задачу и привести к одномоторному самолету с полетным весом 3,5 тонн. Изменения в летно-тактических данных, утвержденных планом выражаются только:</w:t>
      </w:r>
    </w:p>
    <w:p w14:paraId="4D274461"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Снятие сбрасываемого груза (бомб) в нормальном варианте в количестве 100 кг.</w:t>
      </w:r>
    </w:p>
    <w:p w14:paraId="767712A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 принятии второй огневой точки в счет перегрузки. Срок постройки и предъявления на гос. испытания следует ожидать к 1.02.34 г.</w:t>
      </w:r>
    </w:p>
    <w:p w14:paraId="51139F0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Причины задержки:</w:t>
      </w:r>
    </w:p>
    <w:p w14:paraId="78C8D43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Отсутствие технически сильной конструкторской организации.</w:t>
      </w:r>
    </w:p>
    <w:p w14:paraId="4B831C4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Первоначальный отказ ЦАГИ принять к постройке самолет деревянной конструкции.</w:t>
      </w:r>
    </w:p>
    <w:p w14:paraId="7FE17E6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СПЛ М48. Самолет подводной лодки (базирование и хранение на подводной лодке), назначение - разведка.</w:t>
      </w:r>
    </w:p>
    <w:p w14:paraId="08BC0E3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 испытания 1.01.33 г. Проектирование и постройка приняты НИИ ГУГВФ. На постройку варианта из дерева запрошен отпуск - 104000 рублей для субсидирования НИИ ГУГВФ по исполнительной смете. Ожидается предъявление на гос. испытания к 1.05.33 г. Причины задержки: увязка тех. требований с данными проектируемой подводной лодки со стороны УВМС.</w:t>
      </w:r>
    </w:p>
    <w:p w14:paraId="317B10B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Модификация самолетов, находящихся на вооружении.</w:t>
      </w:r>
    </w:p>
    <w:p w14:paraId="593C9B5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 2М17. Установка на поплавки сухопутного самолета.</w:t>
      </w:r>
    </w:p>
    <w:p w14:paraId="05210DB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-1.11.32 г. Самолет предъявлен на гос. испытания 9.12.32 г., испытание не закончено вследствие двукратной поломки винтов, требуется изготовление металлических винтов. В протекших испытаниях показал сравнительно небольшое ухудшение летных качеств против сухопутного образца. Опоздание по сроку предъявления объясняется: отсутствием достаточного внимания со стороны КОСОС ЦАГИ.</w:t>
      </w:r>
    </w:p>
    <w:p w14:paraId="6016D6A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С62-бис М34. Установка на самолет нового типа</w:t>
      </w:r>
    </w:p>
    <w:p w14:paraId="67369E7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мотора для повышения летных качеств.</w:t>
      </w:r>
    </w:p>
    <w:p w14:paraId="3569F91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Срок предъявления на гос. испытания 1.01.33 г. В качестве макета установка была выполнена на лодке самолета С62-бис в конце января с.г., что показало необходимость конструктивных переделок (установка направлена на завод N 31 для осуществления на готовом самолете). Ожидаемый срок предъявления самолета - к 1.05.33 г. Запоздание объясняется задержкой в представлении мотора и недостаточными темпами работы КОСОС ЦАГИ.</w:t>
      </w:r>
    </w:p>
    <w:p w14:paraId="3D86F57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СТО от 25.07.31 г.</w:t>
      </w:r>
    </w:p>
    <w:p w14:paraId="7D8318C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"б". Приобрести у английской фирмы Хейндлей Пейдж лицензию на разрезные крылья.</w:t>
      </w:r>
    </w:p>
    <w:p w14:paraId="295AD952"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Разрезные крылья.</w:t>
      </w:r>
    </w:p>
    <w:p w14:paraId="1D4FF3D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исполнение постановления СТО и КО ЦАГИ выполнено следующее:</w:t>
      </w:r>
    </w:p>
    <w:p w14:paraId="1F4A127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1931 года был снабжен автоматическими предкрылками самолет И4. Установка автоматических предкрылков улучшила управляемость самолета на малых скоростях, но, как и следовало ожидать, не понизило его посадочную скорость.</w:t>
      </w:r>
    </w:p>
    <w:p w14:paraId="77B2274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СТО от 16.05.32 г.</w:t>
      </w:r>
    </w:p>
    <w:p w14:paraId="0899D1C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"9". Обязать Глававиапром всемерно форсировать опытные работы по разрезным крыльям, указал на совершенно неудовлетворительные сроки окончания этих работ, "предусмотренные планом".</w:t>
      </w:r>
    </w:p>
    <w:p w14:paraId="1011398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КО от 25.07.32 г.</w:t>
      </w:r>
    </w:p>
    <w:p w14:paraId="7FD8A40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"в". Считать недостаточным развитие опытных работ ГУАП по разрезным крыльям. Заслушать вопрос вновь на КО через месяц.</w:t>
      </w:r>
    </w:p>
    <w:p w14:paraId="351A161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Поскольку серийная постройка самолетов И4 в 1931 г. не производилась, указанная работа в ЦАГИ являлась экспериментальной и не была введена, ввиду сложности переделок, в построенные самолеты.</w:t>
      </w:r>
    </w:p>
    <w:p w14:paraId="44CE069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лету 1932 года ЦАГИ установил предкрылки и закрылки на самолете Р5 М17. Испытание этого самолета в НИИ ВВС показало, что хотя посадочная скорость самолета, благодаря установке разрезных крыльев была уменьшена на 15-20%, однако летные данные самолета ухудшились и сама конструкция разрезных крыльев обладала рядом крупных дефектов, благодаря чему построенный самолет Р5 с разрезными крыльями не мог служить образцом для серийной постройки таких самолетов.</w:t>
      </w:r>
    </w:p>
    <w:p w14:paraId="2EE0667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результате испытания самолета Р5 с разрезными крыльями ЦАГИ обязался к 1.11.32 г. построить второй экземпляр Р5 с разрезными крыльями, в котором должны были быть устранены дефекты, обнаруженные на первом экземпляре. Указанный самолет был построен не к 1.11.32 г., а к 1.01.33 г.</w:t>
      </w:r>
    </w:p>
    <w:p w14:paraId="71C89EC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он проходит заводские испытания (крайне медленными темпами), при чем полеты показали чрезмерное давление на ручку управления, что требует ряда переделок в конструкции разрезных крыльев.</w:t>
      </w:r>
    </w:p>
    <w:p w14:paraId="387F27A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накопления экспериментального опыта на 1-ом экземпляре самолета с разрезными крыльями были переделаны предкрылки. Самолет находится на испытаниях в НИИ.</w:t>
      </w:r>
    </w:p>
    <w:p w14:paraId="012228D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Необходимо констатировать, что в течение всего 1932 года ЦАГИ, работая над снабжением Р5 разрезными крыльями, не добился таких результатов, которые позволили бы осуществить серийную постройку.</w:t>
      </w:r>
    </w:p>
    <w:p w14:paraId="16855F6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Последнее объясняется тем, что работа по снабжению самолета Р5 разрезными крыльями, особенно в части производства, проводилась исключительно медленными темпами без достаточного внимания руководства ЦАГИ к решению проблемы.</w:t>
      </w:r>
    </w:p>
    <w:p w14:paraId="15AAAF9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ЦАГИ разрабатывает конструкцию разрезных крыльев (закрылков) для самолета ТБ-3.</w:t>
      </w:r>
    </w:p>
    <w:p w14:paraId="501F14C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Конкретные сроки окончания этой работы ЦАГИ не установлены.</w:t>
      </w:r>
    </w:p>
    <w:p w14:paraId="536CDB1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 в настоящее время ЦКБ завода N 39, проектирует снабжать разрезными крыльями, гл. образом, в виде автоматических предкрылков, легкие самолеты, стоящие в плане опытного строительства на 1933 год (ЛР, ТШ-3).</w:t>
      </w:r>
    </w:p>
    <w:p w14:paraId="121ECE5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Отсутствие конкретных результатов по снабжению самолета Р5 разрезными крыльями ставит вопрос над успехом снабжения разрезными крыльями других самолетов, хотя задача безусловно разрешима (3082).</w:t>
      </w:r>
    </w:p>
    <w:p w14:paraId="42DE9B2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СТО от 16.05.32 г.</w:t>
      </w:r>
    </w:p>
    <w:p w14:paraId="70F3D05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8. "Обязать Глававиапром все опытные конструкции самолетов, выходящих в 32 г. выпускать с тормозными колесами с тем, чтобы самолеты новых конструкций, принятые на снабжение, строились только с тормозными колесами. Обязать Глававиапром самолет Р5 в программе 1933 г. строить также с тормозными колесами".</w:t>
      </w:r>
    </w:p>
    <w:p w14:paraId="548C358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Выписка из плана опытного строительства, утвержденного КО 4.07.32 г.</w:t>
      </w:r>
    </w:p>
    <w:p w14:paraId="21EF58F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 М17. Установка тормозного шасси и тормозных колес. Срок 15.08.32 г."</w:t>
      </w:r>
    </w:p>
    <w:p w14:paraId="7635919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КО от 25.07.32 г.</w:t>
      </w:r>
    </w:p>
    <w:p w14:paraId="001E2F3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 тормозных колесах. Баранову и Пятакову разработать к следующему заседанию КО предложения об обеспечении выпуска в 32 г. 100 самолетов Р5 и 100 ТБ-3 с тормозными колесами".</w:t>
      </w:r>
    </w:p>
    <w:p w14:paraId="2106D642"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Тормозные колеса.</w:t>
      </w:r>
    </w:p>
    <w:p w14:paraId="1E566411"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исполнение постановления КО ЦАГИ спроектированы, построены и переданы на испытание в конце октября 1932 г. тормозные колеса к самолету Р5. Испытание самолетов Р5 на тормозных колесах показали удовлетворительное качество последних. Однако самолет Р5 тормозными колесами получил тенденцию к развороту в конце пробега. Работа по устранению этого дефекта, не позволяющего устанавливать на самолет Р5 тормозные шасси велась ЦАГИ недостаточными темпами.</w:t>
      </w:r>
    </w:p>
    <w:p w14:paraId="7349A9F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самолета Р5 с переделанными шасси, проведенные в феврале с.г. на юге, показали, что дефект является неустраненным. ЦАГИ предложено внести ряд добавочных изменений и к 20.03.с.г. вновь предъявить Р5 с тормозными колесами на испытание.</w:t>
      </w:r>
    </w:p>
    <w:p w14:paraId="6C0AD8C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Тормозные колеса к самолету ТБ-3 построены ЦАГИ к концу 1932 года. В феврале с.г. испытания тормозных колес закончены. Эти испытания показали наряду с удовлетворительными качествами самих тормозных колес ряд дефектов в управлении ими. Устранение дефектов не должно вызвать особых затруднений.</w:t>
      </w:r>
    </w:p>
    <w:p w14:paraId="772C096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 устраненными дефектами управления тормозами должен быть предъявлен на испытание к 20.03.с.г. ЦАГИ гарантирует предъявление опытных самолетов с тормозными колесами в 1933 году, но на первых опытных самолетах ТБ-4 и МИ3 устанавливает заграничные тормозные колеса, ведя разработку своих конструкций.</w:t>
      </w:r>
    </w:p>
    <w:p w14:paraId="6F71F25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Основным затруднением для широкого внедрения тормозных колес в СССР является отсутствие специальной производственной базы по тормозным колесам (завода).</w:t>
      </w:r>
    </w:p>
    <w:p w14:paraId="016B9EF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ГУАП будет производить постройку тормозных колес частично путем кооперирования ряда заводов, частично на специально оборудованном под производство тормозных колес заводе N 121 (во 2-м полугодии).</w:t>
      </w:r>
    </w:p>
    <w:p w14:paraId="18BD7692"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Доклады о состоянии опытного строительства моторов и самолетов представлялись в конце каждого квартала Председателю РВС, зам. пред. РВС и начальнику Глававиапрома.</w:t>
      </w:r>
    </w:p>
    <w:p w14:paraId="377A6B8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Справка</w:t>
      </w:r>
    </w:p>
    <w:p w14:paraId="6E7CBB2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выполнении решений КО об опытном моторостроении.</w:t>
      </w:r>
    </w:p>
    <w:p w14:paraId="4224AED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КО от 4.07.32 г. по опытному самолето-моторостроению.</w:t>
      </w:r>
    </w:p>
    <w:p w14:paraId="1455637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Доводка и развитие М34 (редуктор, нагнетатель, реверс, однорядный, облегченный).</w:t>
      </w:r>
    </w:p>
    <w:p w14:paraId="2AD5F73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 испытания мотора М34 с редуктором по плану 15.11.32 г. и на заводские испытания - 15.09.32 г.</w:t>
      </w:r>
    </w:p>
    <w:p w14:paraId="6D79E62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построен, прошел 100-часовое заводское испытание. Будет предъявлен на гос. испытания в апреле 1933 г.</w:t>
      </w:r>
    </w:p>
    <w:p w14:paraId="787F329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 испытание мотора М34 с нагнетателем по плану - 15.06.1932 г</w:t>
      </w:r>
    </w:p>
    <w:p w14:paraId="42C4D58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построен и поставлен на заводские испытания 22.07.32 г.</w:t>
      </w:r>
    </w:p>
    <w:p w14:paraId="14413E1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продолжаются заводские испытания мотора М34 с нагнетателем (прошел 12 часов и потерпел аварию).</w:t>
      </w:r>
    </w:p>
    <w:p w14:paraId="25F7D73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Запроектирован второй вариант нагнетателя, как перестраховка на случай неудовлетворительной конструкции первого варианта.</w:t>
      </w:r>
    </w:p>
    <w:p w14:paraId="3008312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может быть предъявлен на гос. испытание не ранее 1.09.33 г.</w:t>
      </w:r>
    </w:p>
    <w:p w14:paraId="455336C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 испытание мотора М34 с реверсом 1.10.32 г.</w:t>
      </w:r>
    </w:p>
    <w:p w14:paraId="246A642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построен и проходит заводские испытания.</w:t>
      </w:r>
    </w:p>
    <w:p w14:paraId="2091653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встанет на гос. испытания 1.05.33 г.</w:t>
      </w:r>
    </w:p>
    <w:p w14:paraId="04E5C80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 испытание однорядного мотора М-52 по плану - 1.10.32 г.</w:t>
      </w:r>
    </w:p>
    <w:p w14:paraId="7E37797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построен и прошел на заводских испытаниях 53 часа.</w:t>
      </w:r>
    </w:p>
    <w:p w14:paraId="313C1B5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Будет предъявлен на гос. испытания 1.08.33 г.</w:t>
      </w:r>
    </w:p>
    <w:p w14:paraId="69F24A6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 испытание мотора М34 облегченного (с электронным картером) по плану 1.08.32 г.</w:t>
      </w:r>
    </w:p>
    <w:p w14:paraId="0F1D0AD1"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экз. мотора строятся на заводе N 24 и будут готовы 15.03.33 г.</w:t>
      </w:r>
    </w:p>
    <w:p w14:paraId="6834ACA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Предъявление на гос. испытания 1.06.33 г.</w:t>
      </w:r>
    </w:p>
    <w:p w14:paraId="47D0230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Создание типов истребительных моторов М-38, воздушного охлаждения и особенно М32, водяного охлаждения.</w:t>
      </w:r>
    </w:p>
    <w:p w14:paraId="16DCFC1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 испытание мотора М38 по плану 15.08.32 г.</w:t>
      </w:r>
    </w:p>
    <w:p w14:paraId="36BFE6C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построен и поставлен на заводские испытания 1.05.32 г.</w:t>
      </w:r>
    </w:p>
    <w:p w14:paraId="7B064E9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испытаниях выявлены дефекты.</w:t>
      </w:r>
    </w:p>
    <w:p w14:paraId="3C02DED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Переделанный мотор будет закончен 20.03.33 г. Предъявление на гос. испытания 1.05.33 г.</w:t>
      </w:r>
    </w:p>
    <w:p w14:paraId="552A9C1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М-38 запроектирован редуктор и запущен в производство. Срок готовности 1.10.33 г. (предъявление на гос. испытания).</w:t>
      </w:r>
    </w:p>
    <w:p w14:paraId="5EB3FA7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Срок предъявления на гос. испытание мотора М32 по плану 1.09.32 г.</w:t>
      </w:r>
    </w:p>
    <w:p w14:paraId="399CCA0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построен, прошел 47 часов на заводских испытаниях.</w:t>
      </w:r>
    </w:p>
    <w:p w14:paraId="4F00233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Обнаружены дефекты.</w:t>
      </w:r>
    </w:p>
    <w:p w14:paraId="53550F8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переделан и будет готов 20.03.33 г., после чего станет на заводские испытания с нагнетателем.</w:t>
      </w:r>
    </w:p>
    <w:p w14:paraId="0140F67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Предъявление на гос. испытания 1.08.33 г.</w:t>
      </w:r>
    </w:p>
    <w:p w14:paraId="343B55C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Создание типов мощных авиадизелей.</w:t>
      </w:r>
    </w:p>
    <w:p w14:paraId="6357398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Установленные планом мощные авиадизели Н-1, Н-2, Н-5 строятся на ряде заводов:</w:t>
      </w:r>
    </w:p>
    <w:p w14:paraId="244764F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Н-1 - опытный завод ЦИАМ</w:t>
      </w:r>
    </w:p>
    <w:p w14:paraId="61F8792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Н-2 - з-д N 26, им. Ворошилова, з-д ЦИАМ, з-д "Большевик"</w:t>
      </w:r>
    </w:p>
    <w:p w14:paraId="144D5DF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Н-5 - з-д N 26, з-д N 24 и з-д ЦИАМ</w:t>
      </w:r>
    </w:p>
    <w:p w14:paraId="771B4D9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авиадизели запаздывают предъявлением на гос. испытания:</w:t>
      </w:r>
    </w:p>
    <w:p w14:paraId="6D7C4071"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Н-1 - 1.08.33 г. вместо 1.03.33 г.</w:t>
      </w:r>
    </w:p>
    <w:p w14:paraId="52C11DD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Н-2 - 1.11.33 г. вместо 1.01.33 г.</w:t>
      </w:r>
    </w:p>
    <w:p w14:paraId="55A3C05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Н-5 - Срок предъявления на гос. испытания - 1.08.32 г. Ожидаемый срок предъявления - 1.11.33 г.</w:t>
      </w:r>
    </w:p>
    <w:p w14:paraId="06178D2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По мощным бензиновым двигателям считать первоочередной задачей постройку М-44, сосредоточив на этом все основные силы по мощным бензиновым двигателям.</w:t>
      </w:r>
    </w:p>
    <w:p w14:paraId="508EAAB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 испытание мотора М-44 - 1.07.33 г.</w:t>
      </w:r>
    </w:p>
    <w:p w14:paraId="0C382C5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строится на заводе ЦИАМ. Начало заводских испытаний 1.05.33 г.</w:t>
      </w:r>
    </w:p>
    <w:p w14:paraId="620AA541"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Прочие моторы.</w:t>
      </w:r>
    </w:p>
    <w:p w14:paraId="4D7294A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М-35 - срок предъявления на гос. испытания по плану - 1.04.33 г.</w:t>
      </w:r>
    </w:p>
    <w:p w14:paraId="3FBE26B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не строится по решению ЦИАМ.</w:t>
      </w:r>
    </w:p>
    <w:p w14:paraId="7CE0C02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М-54 (форсированный М-34). Срок предъявления по плану 1.05.33 г.</w:t>
      </w:r>
    </w:p>
    <w:p w14:paraId="553796E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строится на заводе N 24 (2 экз.). Будет готов 10.03.33 г.</w:t>
      </w:r>
    </w:p>
    <w:p w14:paraId="50A5829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 М-54 без нагнетателя 1.05.33 г. Вопрос с нагнетателем будет решен 1.09. 33 г.</w:t>
      </w:r>
    </w:p>
    <w:p w14:paraId="7890F20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М-48 - срок предъявления на гос. испытания по плану - 1.08.32 г.</w:t>
      </w:r>
    </w:p>
    <w:p w14:paraId="6BA15EA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построен.</w:t>
      </w:r>
    </w:p>
    <w:p w14:paraId="28B895A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Предъявление на гос. испытания - 1.05.33 г.</w:t>
      </w:r>
    </w:p>
    <w:p w14:paraId="4C527DB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М-51 - прошел гос. испытания (условно). Требуются переделки.</w:t>
      </w:r>
    </w:p>
    <w:p w14:paraId="13AE937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 по гос. испытаниям - 20.03.33 г.</w:t>
      </w:r>
    </w:p>
    <w:p w14:paraId="2B5C84A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М-58 (внеплановый).</w:t>
      </w:r>
    </w:p>
    <w:p w14:paraId="175A435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Построен на заводе N 29. Проходит заводские испытания.</w:t>
      </w:r>
    </w:p>
    <w:p w14:paraId="7CD5B19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Предъявление на гос. испытания - 1.05.33 г.</w:t>
      </w:r>
    </w:p>
    <w:p w14:paraId="2D0C253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Нефтяные моторы Н-3 и Н-4 - опаздывают:</w:t>
      </w:r>
    </w:p>
    <w:p w14:paraId="45FD4E0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Н-3 будет предъявлен на гос. испытания 1.09.33 г. вместо 1.01.33 г. по плану.</w:t>
      </w:r>
    </w:p>
    <w:p w14:paraId="21A75D9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Н-4 будет предъявлен на гос. испытания 1.09.33 г. вместо 1.05.33 г. по плану.</w:t>
      </w:r>
    </w:p>
    <w:p w14:paraId="2CBDB3F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Н-6 не строится из-за отсутствия производственной базы.</w:t>
      </w:r>
    </w:p>
    <w:p w14:paraId="04AE8D6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Экспериментальные работы.</w:t>
      </w:r>
    </w:p>
    <w:p w14:paraId="3772C35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 переменного шага. Срок предъявления на гос. испытание по плану - 1.09.32 г.</w:t>
      </w:r>
    </w:p>
    <w:p w14:paraId="48BCB92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 построен и проходит летные испытания на самолете Р3 с мотором "Лоррен-Дитрих".</w:t>
      </w:r>
    </w:p>
    <w:p w14:paraId="0B189B4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Газовая турбина.</w:t>
      </w:r>
    </w:p>
    <w:p w14:paraId="4A0A123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 испытание по плану - 1.09.32 г. Работа задерживается.</w:t>
      </w:r>
    </w:p>
    <w:p w14:paraId="7F6A9C6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турбины на гос. испытание не представляется возможным.</w:t>
      </w:r>
    </w:p>
    <w:p w14:paraId="37FE167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Паровая турбина (ГВФ).</w:t>
      </w:r>
    </w:p>
    <w:p w14:paraId="29B1D74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 испытание - 1.01.33 г.</w:t>
      </w:r>
    </w:p>
    <w:p w14:paraId="269CDA7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 закончен. Постановка на заводские испытания 1.07.33 г.</w:t>
      </w:r>
    </w:p>
    <w:p w14:paraId="6A76FED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Бесклапанный двигатель.</w:t>
      </w:r>
    </w:p>
    <w:p w14:paraId="721B93F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 испытание - 1.07.33 г.</w:t>
      </w:r>
    </w:p>
    <w:p w14:paraId="270828F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Разработка проекта Военно-воздушной академией.</w:t>
      </w:r>
    </w:p>
    <w:p w14:paraId="7F19966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Паровая турбина ВВС (внеплановая).</w:t>
      </w:r>
    </w:p>
    <w:p w14:paraId="13AAD59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 испытание - 1.06.34 г.</w:t>
      </w:r>
    </w:p>
    <w:p w14:paraId="1BD1C1E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Сводка</w:t>
      </w:r>
    </w:p>
    <w:p w14:paraId="5907800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выполнении решений КО.</w:t>
      </w:r>
    </w:p>
    <w:p w14:paraId="0FC825C1"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Постановление СТО за N 538/177сс от 16.05.32 г., N 1153-345сс - 14.11.32 г. и N 158 - 25.07.31 г.</w:t>
      </w:r>
    </w:p>
    <w:p w14:paraId="0C5D04F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Заключить договор Глававиапрому на техническую помощь с Американской фирмой "Райт-Кертис" - взяв в основу мотор воздушного охлаждения "Райт-Циклон" новейшей конструкции, а по водяному охлаждению новейший образец мотора "Кертис-Конкверер" с нагнетателем и редуктором.</w:t>
      </w:r>
    </w:p>
    <w:p w14:paraId="6794B692"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по закупке образцов моторов и самолетов.</w:t>
      </w:r>
    </w:p>
    <w:p w14:paraId="4F2CF161"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Были закуплены:</w:t>
      </w:r>
    </w:p>
    <w:p w14:paraId="0A34F72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1 авиадизель мотор "Мерседес-Бенц" - 16/50 НР.</w:t>
      </w:r>
    </w:p>
    <w:p w14:paraId="2CF934C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2 авиадизель мотора "ЮМО-4" - 720 НР.</w:t>
      </w:r>
    </w:p>
    <w:p w14:paraId="6F6AB24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1 авиадизель мотор "Даймлер-Бенц" - 700/750НР.</w:t>
      </w:r>
    </w:p>
    <w:p w14:paraId="6B46FF0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2 авиамотора "Райт-Циклон" 1820 2" - 725 НР.</w:t>
      </w:r>
    </w:p>
    <w:p w14:paraId="1DB36FD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2 авиамотора "Райт-Циклон" 1820 3" - 650 НР.</w:t>
      </w:r>
    </w:p>
    <w:p w14:paraId="07D7388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3 авиамотора "Суперконкверер" фирмы Кертис 600 НР.</w:t>
      </w:r>
    </w:p>
    <w:p w14:paraId="66A0FC5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2 авиамотора "Роллс-Ройс" "Кестрел 2" 480 НР.</w:t>
      </w:r>
    </w:p>
    <w:p w14:paraId="48FE941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3 мотора "Бристоль" "Меркур IV 2" - 620/650 НР.</w:t>
      </w:r>
    </w:p>
    <w:p w14:paraId="698500F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1 мотор "Армстронг Сиддлей" "Тигр" - 590 НР.</w:t>
      </w:r>
    </w:p>
    <w:p w14:paraId="2E81E05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1 самолет "Ферри" "Фарфляй" - истребитель с мотором "Кестрел".</w:t>
      </w:r>
    </w:p>
    <w:p w14:paraId="478730D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переговорам с Кертис-Райт по приобретению лицензии и техпомощи на два мотора Циклон 725 НР и Конкверер, около 650 НР - можно ожидать, что в ближайшее время договор будет подписан.</w:t>
      </w:r>
    </w:p>
    <w:p w14:paraId="28693811"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Постановление СТО N 158 от 25.07.31 г. - о реализации договора с итальянской фирмой "Фиат".</w:t>
      </w:r>
    </w:p>
    <w:p w14:paraId="6798B21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Договор заключен 6.09.32 г. по оказанию техпомощи на постройку (и проектирование) Центрального литейного завода и реконструкцию литейных заводов NN 26 и 24.</w:t>
      </w:r>
    </w:p>
    <w:p w14:paraId="67F565B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СТО за N 101/46сс от 16.02.32 г.</w:t>
      </w:r>
    </w:p>
    <w:p w14:paraId="4C4AED6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Обязать ГУАП довести годовую мощность моторостроительного завода N 26 до 10000 моторов М-17 в год к 1.01.33 г.</w:t>
      </w:r>
    </w:p>
    <w:p w14:paraId="7182417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1.01.33 г. доведено в основном по оборудованию до 7200 моторов.</w:t>
      </w:r>
    </w:p>
    <w:p w14:paraId="2D15484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Обязать ГУАП довести годовую мощность моторостроительного завода N 24 до 15000 моторов М34 в год к 1.01.33 г.</w:t>
      </w:r>
    </w:p>
    <w:p w14:paraId="2483409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1.01.33 г. доведено до 2400 моторов.</w:t>
      </w:r>
    </w:p>
    <w:p w14:paraId="5A517E1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Строительство в 1933 г. сокращено из-за нецелесообразности, т.к. не будет получено импортного оборудования.</w:t>
      </w:r>
    </w:p>
    <w:p w14:paraId="035E98F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Обязать ГУАП довести годовую мощность моторостроительного завода N 29 до 6000 моторов М11 в год к 1.01.33 г.</w:t>
      </w:r>
    </w:p>
    <w:p w14:paraId="5F1EEB1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1.01.33 г. доведено до 4500 моторов в год.</w:t>
      </w:r>
    </w:p>
    <w:p w14:paraId="402D7D0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Обязать ГУАП довести годовую мощность моторостроительного завода N 19 до 6000 моторов М22 в год к 1.01.33 г.</w:t>
      </w:r>
    </w:p>
    <w:p w14:paraId="2C22BE81"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1.01.33 г. не выполнено ничего.</w:t>
      </w:r>
    </w:p>
    <w:p w14:paraId="4BF3147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Обязать ГУАП довести годовую мощность самолетостроительного завода N 22 до 600 самолетов ТБ3 в год к 1.01.33 г.</w:t>
      </w:r>
    </w:p>
    <w:p w14:paraId="4765A6A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1.01.33 г. доведено до 500 самолетов.</w:t>
      </w:r>
    </w:p>
    <w:p w14:paraId="21B7F53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 Обязать ГУАП довести годовую мощность самолетостроительного завода N 18 до 1500 самолетов ТБ3 в год к 1.01.33 г.</w:t>
      </w:r>
    </w:p>
    <w:p w14:paraId="29472BE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На 1.01.33 г. доведено до 200 самолетов годовой мощности.</w:t>
      </w:r>
    </w:p>
    <w:p w14:paraId="2A6D00F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 Обязать ГУАП довести годовую мощность самолетостроительного завода в Казани до 1200 самолетов в год к 1.01.33 г.</w:t>
      </w:r>
    </w:p>
    <w:p w14:paraId="32CB8DE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1.01.33 г. строительство этого завода только в основном начато и будет продолжаться в небольшом объеме из-за отсутствия средств.</w:t>
      </w:r>
    </w:p>
    <w:p w14:paraId="460EAB6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СТО за N 538/177сс от 16.05.32 г.</w:t>
      </w:r>
    </w:p>
    <w:p w14:paraId="3BD2973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Обязать ГУАП изъять Контрольно-испытательные отделы заводов из подчинения директоров заводов и подчинить непосредственно ГУАП"у. Данное мероприятие провести к 1.06.32 г.</w:t>
      </w:r>
    </w:p>
    <w:p w14:paraId="1900CC9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1.01.33 г. данное постановление остается не выполненным.</w:t>
      </w:r>
    </w:p>
    <w:p w14:paraId="4EB47C2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Организация в составе ГУАП Управления по наблюдению и контролю за качеством производства и Учреждений при заводах специальных инспекторов по качеству от ГУАП - не достигает цели и не может считаться прямым выполнением данного постановления.</w:t>
      </w:r>
    </w:p>
    <w:p w14:paraId="7D0B440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Согласно п. 2 этого же постановления - Глававиапром обязан был через свои заводы сдать не позже 1.10.32 г. УВВС групповые комплекты запасных частей и отдельные детали к моторам.</w:t>
      </w:r>
    </w:p>
    <w:p w14:paraId="343D76F1"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 постановление моторостроительными заводами ГУАП было выполнено лишь в незначительной степени и на 1.01.33 г. осталась большая задолженность по запасным частям программы 1932 г.</w:t>
      </w:r>
    </w:p>
    <w:p w14:paraId="3508D09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СТО за N 343/121сс от 5.04.32 г.</w:t>
      </w:r>
    </w:p>
    <w:p w14:paraId="2E37374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размере заказа Наркомвоенмора на аэродромно-самолетные средства радиосвязи на 1932 г.</w:t>
      </w:r>
    </w:p>
    <w:p w14:paraId="1750736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Наркомат тяжелой промышленности под ответственность Жукова до 1.02.33 г. сдать НКВМ полностью 2183 радиостанции; из них 550 станций для тяжелой авиации.</w:t>
      </w:r>
    </w:p>
    <w:p w14:paraId="0467799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1.02.33 г. получено 350 самолетных радиостанций.</w:t>
      </w:r>
    </w:p>
    <w:p w14:paraId="10AFE9B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Мероприятия со стороны УВВС по реализации выполнения постановления СТО.</w:t>
      </w:r>
    </w:p>
    <w:p w14:paraId="47A63892"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 председателю СТО от 21.07.32 г.</w:t>
      </w:r>
    </w:p>
    <w:p w14:paraId="4ED5152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 обеспечении УВВС радиостанциями для тяжелых самолетов.</w:t>
      </w:r>
    </w:p>
    <w:p w14:paraId="5F984F8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 председателю РВС от 5.10.</w:t>
      </w:r>
    </w:p>
    <w:p w14:paraId="712FE54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срыве вооружения тяжелых самолетов средствами связи.</w:t>
      </w:r>
    </w:p>
    <w:p w14:paraId="557AC81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 в комиссию обороны с проектом постановления от 11.10.</w:t>
      </w:r>
    </w:p>
    <w:p w14:paraId="625A7C9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срыве постановления СТО от 5.04. и ЦК ВКП(б) от 5.07.32 г. по вооружению тяжелой авиации радиостанциями.</w:t>
      </w:r>
    </w:p>
    <w:p w14:paraId="446B423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 постановления: Обязать НКТП под ответственность Орджоникидзе поставить к 1.01.33 г.</w:t>
      </w:r>
    </w:p>
    <w:p w14:paraId="61D908A2"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радиостанции II-СК - 500 штук</w:t>
      </w:r>
    </w:p>
    <w:p w14:paraId="5E2D0CF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радиостанции II-АК - 40 штук.</w:t>
      </w:r>
    </w:p>
    <w:p w14:paraId="0157189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 пред. РВС от 20.12.32 г.</w:t>
      </w:r>
    </w:p>
    <w:p w14:paraId="0557A09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срыве поставки авиационных раций за 1932 г.</w:t>
      </w:r>
    </w:p>
    <w:p w14:paraId="0DB98A9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 пред. РВС от 23.01.33 г.</w:t>
      </w:r>
    </w:p>
    <w:p w14:paraId="22079DB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проектом в Политбюро ЦК ВКП(б).</w:t>
      </w:r>
    </w:p>
    <w:p w14:paraId="193AF0B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срыве постановления СТО и ЦК ВКП(б) по вооружению тяжелой авиации средствами связи.</w:t>
      </w:r>
    </w:p>
    <w:p w14:paraId="0530BFF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 пред. КО от 26.01.33 г.</w:t>
      </w:r>
    </w:p>
    <w:p w14:paraId="3A40743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проектом постановления.</w:t>
      </w:r>
    </w:p>
    <w:p w14:paraId="55B83362"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срыве поставок самолетных радиостанций за 1932 год и о сроках поставки на 1933 год.</w:t>
      </w:r>
    </w:p>
    <w:p w14:paraId="16980DA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 стоит в повестке КО, но до сего времени не рассматривался.</w:t>
      </w:r>
    </w:p>
    <w:p w14:paraId="62513582"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СТО за N 878/265сс от 26.07.32 г.</w:t>
      </w:r>
    </w:p>
    <w:p w14:paraId="607E94A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личную ответственность начальника ВОТИ Немова обеспечить изготовление автопилотов инженера Ниренберг с условием передачи головной серии в количестве 24-х штук для войсковых испытаний в первой половине октября.</w:t>
      </w:r>
    </w:p>
    <w:p w14:paraId="73193E4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8.03.33 г. заводом "Метрон" сдано 6 автопилотов.</w:t>
      </w:r>
    </w:p>
    <w:p w14:paraId="2A78114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6 шт. принятых - 1 смонтирован на самолет Тб-1 и произведено 3 регулировочных полета.</w:t>
      </w:r>
    </w:p>
    <w:p w14:paraId="5B3C7E3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2 полета самолет управлялся автоматом без вмешательства летчика 15-20 минут.</w:t>
      </w:r>
    </w:p>
    <w:p w14:paraId="3AC36D4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1933 год генеральным договором с ВОТИ предусмотрена поставка заводом "Метрон" ВОТИ 97 автопилотов, со сроком поставок:</w:t>
      </w:r>
    </w:p>
    <w:p w14:paraId="76453B4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II квартал 1933 года - 13 шт.</w:t>
      </w:r>
    </w:p>
    <w:p w14:paraId="5900DD6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III квартал 1933 года - 32 шт.</w:t>
      </w:r>
    </w:p>
    <w:p w14:paraId="11399501"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IV квартал 1933 года - 52 шт.</w:t>
      </w:r>
    </w:p>
    <w:p w14:paraId="6915F4C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тип автопилота, подлежащий серийному изготовлению пока еще не установлен, т.к. ни одна из опытных организаций еще не дала вполне законченного и испытанного образца.</w:t>
      </w:r>
    </w:p>
    <w:p w14:paraId="0A5C0642"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Мероприятия со стороны УВВС по реализации выполнения постановления СТО.</w:t>
      </w:r>
    </w:p>
    <w:p w14:paraId="0768B98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 пред. РВС от 5.08.32 г.</w:t>
      </w:r>
    </w:p>
    <w:p w14:paraId="57A2B96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невыполнении ВОТИ постановления правительства об изготовлении автопилотов.</w:t>
      </w:r>
    </w:p>
    <w:p w14:paraId="18AE745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Письмо зам. НКРПрома Пятакова от 26.02.32 г.</w:t>
      </w:r>
    </w:p>
    <w:p w14:paraId="77B1E69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имени зам. пред. РВС Гамарника - о невыполнении постановления правительства об изготовлении автопилотов.</w:t>
      </w:r>
    </w:p>
    <w:p w14:paraId="7EE96AB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 в СТО Базилевич от 2.12.32 г.</w:t>
      </w:r>
    </w:p>
    <w:p w14:paraId="5BB0634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ходе выполнения заказов по автопилотам.</w:t>
      </w:r>
    </w:p>
    <w:p w14:paraId="18DD381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СТО за N 204/79сс от 10.03.32 г.</w:t>
      </w:r>
    </w:p>
    <w:p w14:paraId="79BDA50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строительстве оперативных аэродромов.</w:t>
      </w:r>
    </w:p>
    <w:p w14:paraId="7B70826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выполнено.</w:t>
      </w:r>
    </w:p>
    <w:p w14:paraId="2647EF01"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ЦК ВКП(б) от 16.09.32 г.</w:t>
      </w:r>
    </w:p>
    <w:p w14:paraId="30A8D2C1"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Разработать и представить на утверждение КО календарный план устранения на самолетах ТБ-3, Р5, Р6 в последующих сериях дефекты, обнаруженные в процессе эксплуатации.</w:t>
      </w:r>
    </w:p>
    <w:p w14:paraId="57AA045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исполнения 15.10.32 г.</w:t>
      </w:r>
    </w:p>
    <w:p w14:paraId="3075495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Выполнено 6.11.32 г.</w:t>
      </w:r>
    </w:p>
    <w:p w14:paraId="1E8C1A6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Проверить устранение ГУАПом, являющихся опасными для полетов дефектов и доведение безотказной работы моторов до первой переборки до 200 часов.</w:t>
      </w:r>
    </w:p>
    <w:p w14:paraId="7FDD9BE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период времени с ноября 1932 года по февраль 1933 года было проведено ряд испытаний, из которых наиболее длительными (200 часов) являются:</w:t>
      </w:r>
    </w:p>
    <w:p w14:paraId="73B41AB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Испытание, проведенное в ЦИАМе, показавшее вполне удовлетворительные результаты с точки зрения состояния деталей и надежности работы.</w:t>
      </w:r>
    </w:p>
    <w:p w14:paraId="5F71676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Испытание, проведенное под руководством ЦИАМа на заводе N 26, показавшее совершенно неудовлетворительные результаты. Мотор проработал 195 часов после чего произошла авария.</w:t>
      </w:r>
    </w:p>
    <w:p w14:paraId="1C987F3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Ряд крайне существенных дефектов не позволяют считать вопрос о доведении срока службы этого мотора до 200 часов между переборками.</w:t>
      </w:r>
    </w:p>
    <w:p w14:paraId="2154F53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январь и февраль с.г. заводом было собрано 93 мотора пониженной кондиции, из которых к летной работе допущен лишь 41 мотор.</w:t>
      </w:r>
    </w:p>
    <w:p w14:paraId="534FF41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установление ГУАПом совместно с УВВС и ГУГВФ генеральных сроков службы деталей моторов и самолетов.</w:t>
      </w:r>
    </w:p>
    <w:p w14:paraId="3D54815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исполнения - 1.12.32 г.</w:t>
      </w:r>
    </w:p>
    <w:p w14:paraId="6DF2655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выполнено.</w:t>
      </w:r>
    </w:p>
    <w:p w14:paraId="0726445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Образование Треста горючих и смазочных материалов.</w:t>
      </w:r>
    </w:p>
    <w:p w14:paraId="6218D57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исполнения - 15.10.32 г.</w:t>
      </w:r>
    </w:p>
    <w:p w14:paraId="6DC2D70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Исполнено.</w:t>
      </w:r>
    </w:p>
    <w:p w14:paraId="66BF1CD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ВВС.</w:t>
      </w:r>
    </w:p>
    <w:p w14:paraId="4CC2A8C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Разработать и издать положение о порядке и сроках полной ликвидации обезлички в ВВС.</w:t>
      </w:r>
    </w:p>
    <w:p w14:paraId="62D2462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исполнения - 15.10.32 г.</w:t>
      </w:r>
    </w:p>
    <w:p w14:paraId="37DAB1F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указаниях частям ВВС по боевой подготовке на 1933 год приказано - к 1.12.33 г. твердо закрепить экипажи по самолетам.</w:t>
      </w:r>
    </w:p>
    <w:p w14:paraId="5BEA427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СТО за N 157/64сс от 2.03.1932 г. и Постановление СТО за N 101/46сс от 16.02.32 г. о производственной программе на 1932 г. по самолетным и моторным заводам.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tblGrid>
      <w:tr w:rsidR="00F26F01" w:rsidRPr="00C33834" w14:paraId="2511F553" w14:textId="77777777">
        <w:tc>
          <w:tcPr>
            <w:tcW w:w="1610" w:type="dxa"/>
          </w:tcPr>
          <w:p w14:paraId="4504EB7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Типы самолетов</w:t>
            </w:r>
          </w:p>
        </w:tc>
        <w:tc>
          <w:tcPr>
            <w:tcW w:w="1610" w:type="dxa"/>
          </w:tcPr>
          <w:p w14:paraId="68C9B6A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Годовое</w:t>
            </w:r>
          </w:p>
        </w:tc>
        <w:tc>
          <w:tcPr>
            <w:tcW w:w="1610" w:type="dxa"/>
          </w:tcPr>
          <w:p w14:paraId="1D70112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Сдано</w:t>
            </w:r>
          </w:p>
        </w:tc>
        <w:tc>
          <w:tcPr>
            <w:tcW w:w="1610" w:type="dxa"/>
          </w:tcPr>
          <w:p w14:paraId="6F4E2C9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выполнен.</w:t>
            </w:r>
          </w:p>
        </w:tc>
      </w:tr>
      <w:tr w:rsidR="00F26F01" w:rsidRPr="00C33834" w14:paraId="5A64170C" w14:textId="77777777">
        <w:tc>
          <w:tcPr>
            <w:tcW w:w="1610" w:type="dxa"/>
          </w:tcPr>
          <w:p w14:paraId="3CFD41DA" w14:textId="77777777" w:rsidR="00F42404" w:rsidRPr="00C33834" w:rsidRDefault="00F42404" w:rsidP="00C33834">
            <w:pPr>
              <w:spacing w:after="0" w:line="240" w:lineRule="auto"/>
              <w:jc w:val="both"/>
              <w:rPr>
                <w:rFonts w:ascii="Times New Roman" w:hAnsi="Times New Roman"/>
                <w:color w:val="000000" w:themeColor="text1"/>
                <w:sz w:val="16"/>
                <w:szCs w:val="16"/>
              </w:rPr>
            </w:pPr>
          </w:p>
        </w:tc>
        <w:tc>
          <w:tcPr>
            <w:tcW w:w="1610" w:type="dxa"/>
          </w:tcPr>
          <w:p w14:paraId="5AD413B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кол-во</w:t>
            </w:r>
          </w:p>
        </w:tc>
        <w:tc>
          <w:tcPr>
            <w:tcW w:w="1610" w:type="dxa"/>
          </w:tcPr>
          <w:p w14:paraId="15057DA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год</w:t>
            </w:r>
          </w:p>
        </w:tc>
        <w:tc>
          <w:tcPr>
            <w:tcW w:w="1610" w:type="dxa"/>
          </w:tcPr>
          <w:p w14:paraId="0EB1E9D4" w14:textId="77777777" w:rsidR="00F42404" w:rsidRPr="00C33834" w:rsidRDefault="00F42404" w:rsidP="00C33834">
            <w:pPr>
              <w:spacing w:after="0" w:line="240" w:lineRule="auto"/>
              <w:jc w:val="both"/>
              <w:rPr>
                <w:rFonts w:ascii="Times New Roman" w:hAnsi="Times New Roman"/>
                <w:color w:val="000000" w:themeColor="text1"/>
                <w:sz w:val="16"/>
                <w:szCs w:val="16"/>
              </w:rPr>
            </w:pPr>
          </w:p>
        </w:tc>
      </w:tr>
      <w:tr w:rsidR="00F26F01" w:rsidRPr="00C33834" w14:paraId="48FD50C6" w14:textId="77777777">
        <w:tc>
          <w:tcPr>
            <w:tcW w:w="1610" w:type="dxa"/>
          </w:tcPr>
          <w:p w14:paraId="4CD50791"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Истребители</w:t>
            </w:r>
          </w:p>
        </w:tc>
        <w:tc>
          <w:tcPr>
            <w:tcW w:w="1610" w:type="dxa"/>
          </w:tcPr>
          <w:p w14:paraId="2390283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525</w:t>
            </w:r>
          </w:p>
        </w:tc>
        <w:tc>
          <w:tcPr>
            <w:tcW w:w="1610" w:type="dxa"/>
          </w:tcPr>
          <w:p w14:paraId="6C634D9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155</w:t>
            </w:r>
          </w:p>
        </w:tc>
        <w:tc>
          <w:tcPr>
            <w:tcW w:w="1610" w:type="dxa"/>
          </w:tcPr>
          <w:p w14:paraId="38A5BAD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r>
      <w:tr w:rsidR="00F26F01" w:rsidRPr="00C33834" w14:paraId="29A859E5" w14:textId="77777777">
        <w:tc>
          <w:tcPr>
            <w:tcW w:w="1610" w:type="dxa"/>
          </w:tcPr>
          <w:p w14:paraId="39109C2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Разведчики</w:t>
            </w:r>
          </w:p>
        </w:tc>
        <w:tc>
          <w:tcPr>
            <w:tcW w:w="1610" w:type="dxa"/>
          </w:tcPr>
          <w:p w14:paraId="4D42CD3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1175</w:t>
            </w:r>
          </w:p>
        </w:tc>
        <w:tc>
          <w:tcPr>
            <w:tcW w:w="1610" w:type="dxa"/>
          </w:tcPr>
          <w:p w14:paraId="16C8BE42"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784</w:t>
            </w:r>
          </w:p>
        </w:tc>
        <w:tc>
          <w:tcPr>
            <w:tcW w:w="1610" w:type="dxa"/>
          </w:tcPr>
          <w:p w14:paraId="2E37B1A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w:t>
            </w:r>
          </w:p>
        </w:tc>
      </w:tr>
      <w:tr w:rsidR="00F26F01" w:rsidRPr="00C33834" w14:paraId="6C565247" w14:textId="77777777">
        <w:tc>
          <w:tcPr>
            <w:tcW w:w="1610" w:type="dxa"/>
          </w:tcPr>
          <w:p w14:paraId="3A8D7F6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 бомбардировщики</w:t>
            </w:r>
          </w:p>
        </w:tc>
        <w:tc>
          <w:tcPr>
            <w:tcW w:w="1610" w:type="dxa"/>
          </w:tcPr>
          <w:p w14:paraId="615E859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610" w:type="dxa"/>
          </w:tcPr>
          <w:p w14:paraId="0238AC0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w:t>
            </w:r>
          </w:p>
        </w:tc>
        <w:tc>
          <w:tcPr>
            <w:tcW w:w="1610" w:type="dxa"/>
          </w:tcPr>
          <w:p w14:paraId="532C7A22"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w:t>
            </w:r>
          </w:p>
        </w:tc>
      </w:tr>
      <w:tr w:rsidR="00F26F01" w:rsidRPr="00C33834" w14:paraId="6EE2CB43" w14:textId="77777777">
        <w:tc>
          <w:tcPr>
            <w:tcW w:w="1610" w:type="dxa"/>
          </w:tcPr>
          <w:p w14:paraId="469F5C2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Штурмовики</w:t>
            </w:r>
          </w:p>
        </w:tc>
        <w:tc>
          <w:tcPr>
            <w:tcW w:w="1610" w:type="dxa"/>
          </w:tcPr>
          <w:p w14:paraId="6A9F802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tc>
        <w:tc>
          <w:tcPr>
            <w:tcW w:w="1610" w:type="dxa"/>
          </w:tcPr>
          <w:p w14:paraId="04049AF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10" w:type="dxa"/>
          </w:tcPr>
          <w:p w14:paraId="3FBA733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tc>
      </w:tr>
      <w:tr w:rsidR="00F26F01" w:rsidRPr="00C33834" w14:paraId="18CC8F0B" w14:textId="77777777">
        <w:tc>
          <w:tcPr>
            <w:tcW w:w="1610" w:type="dxa"/>
          </w:tcPr>
          <w:p w14:paraId="0D9CB1B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Учебные</w:t>
            </w:r>
          </w:p>
        </w:tc>
        <w:tc>
          <w:tcPr>
            <w:tcW w:w="1610" w:type="dxa"/>
          </w:tcPr>
          <w:p w14:paraId="4F5A945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585</w:t>
            </w:r>
          </w:p>
        </w:tc>
        <w:tc>
          <w:tcPr>
            <w:tcW w:w="1610" w:type="dxa"/>
          </w:tcPr>
          <w:p w14:paraId="60FAC0A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606</w:t>
            </w:r>
          </w:p>
        </w:tc>
        <w:tc>
          <w:tcPr>
            <w:tcW w:w="1610" w:type="dxa"/>
          </w:tcPr>
          <w:p w14:paraId="0EBD8CB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103</w:t>
            </w:r>
          </w:p>
        </w:tc>
      </w:tr>
      <w:tr w:rsidR="00F26F01" w:rsidRPr="00C33834" w14:paraId="3CE52C2A" w14:textId="77777777">
        <w:tc>
          <w:tcPr>
            <w:tcW w:w="1610" w:type="dxa"/>
          </w:tcPr>
          <w:p w14:paraId="7A9859C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1610" w:type="dxa"/>
          </w:tcPr>
          <w:p w14:paraId="41BA389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2655</w:t>
            </w:r>
          </w:p>
        </w:tc>
        <w:tc>
          <w:tcPr>
            <w:tcW w:w="1610" w:type="dxa"/>
          </w:tcPr>
          <w:p w14:paraId="201A8D6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1705</w:t>
            </w:r>
          </w:p>
        </w:tc>
        <w:tc>
          <w:tcPr>
            <w:tcW w:w="1610" w:type="dxa"/>
          </w:tcPr>
          <w:p w14:paraId="35B0060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w:t>
            </w:r>
          </w:p>
        </w:tc>
      </w:tr>
      <w:tr w:rsidR="00F26F01" w:rsidRPr="00C33834" w14:paraId="7BAAB061" w14:textId="77777777">
        <w:tc>
          <w:tcPr>
            <w:tcW w:w="1610" w:type="dxa"/>
          </w:tcPr>
          <w:p w14:paraId="3EDC225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М-17</w:t>
            </w:r>
          </w:p>
        </w:tc>
        <w:tc>
          <w:tcPr>
            <w:tcW w:w="1610" w:type="dxa"/>
          </w:tcPr>
          <w:p w14:paraId="1E1F6B8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2080</w:t>
            </w:r>
          </w:p>
        </w:tc>
        <w:tc>
          <w:tcPr>
            <w:tcW w:w="1610" w:type="dxa"/>
          </w:tcPr>
          <w:p w14:paraId="366E06A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1641</w:t>
            </w:r>
          </w:p>
        </w:tc>
        <w:tc>
          <w:tcPr>
            <w:tcW w:w="1610" w:type="dxa"/>
          </w:tcPr>
          <w:p w14:paraId="3601BC8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78,8</w:t>
            </w:r>
          </w:p>
        </w:tc>
      </w:tr>
      <w:tr w:rsidR="00F26F01" w:rsidRPr="00C33834" w14:paraId="47FEF9FC" w14:textId="77777777">
        <w:tc>
          <w:tcPr>
            <w:tcW w:w="1610" w:type="dxa"/>
          </w:tcPr>
          <w:p w14:paraId="5E3D668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М11</w:t>
            </w:r>
          </w:p>
        </w:tc>
        <w:tc>
          <w:tcPr>
            <w:tcW w:w="1610" w:type="dxa"/>
          </w:tcPr>
          <w:p w14:paraId="7494566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955</w:t>
            </w:r>
          </w:p>
        </w:tc>
        <w:tc>
          <w:tcPr>
            <w:tcW w:w="1610" w:type="dxa"/>
          </w:tcPr>
          <w:p w14:paraId="79C2F70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883</w:t>
            </w:r>
          </w:p>
        </w:tc>
        <w:tc>
          <w:tcPr>
            <w:tcW w:w="1610" w:type="dxa"/>
          </w:tcPr>
          <w:p w14:paraId="478B59C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w:t>
            </w:r>
          </w:p>
        </w:tc>
      </w:tr>
      <w:tr w:rsidR="00F26F01" w:rsidRPr="00C33834" w14:paraId="32681A10" w14:textId="77777777">
        <w:tc>
          <w:tcPr>
            <w:tcW w:w="1610" w:type="dxa"/>
          </w:tcPr>
          <w:p w14:paraId="1BC90D3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М22</w:t>
            </w:r>
          </w:p>
        </w:tc>
        <w:tc>
          <w:tcPr>
            <w:tcW w:w="1610" w:type="dxa"/>
          </w:tcPr>
          <w:p w14:paraId="0B0CDA9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398</w:t>
            </w:r>
          </w:p>
        </w:tc>
        <w:tc>
          <w:tcPr>
            <w:tcW w:w="1610" w:type="dxa"/>
          </w:tcPr>
          <w:p w14:paraId="07298927"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357</w:t>
            </w:r>
          </w:p>
        </w:tc>
        <w:tc>
          <w:tcPr>
            <w:tcW w:w="1610" w:type="dxa"/>
          </w:tcPr>
          <w:p w14:paraId="5F7F518B"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89</w:t>
            </w:r>
          </w:p>
        </w:tc>
      </w:tr>
      <w:tr w:rsidR="00F26F01" w:rsidRPr="00C33834" w14:paraId="1779FA5D" w14:textId="77777777">
        <w:tc>
          <w:tcPr>
            <w:tcW w:w="1610" w:type="dxa"/>
          </w:tcPr>
          <w:p w14:paraId="5EBCA61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М34</w:t>
            </w:r>
          </w:p>
        </w:tc>
        <w:tc>
          <w:tcPr>
            <w:tcW w:w="1610" w:type="dxa"/>
          </w:tcPr>
          <w:p w14:paraId="063D794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1610" w:type="dxa"/>
          </w:tcPr>
          <w:p w14:paraId="7F61A0D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w:t>
            </w:r>
          </w:p>
        </w:tc>
        <w:tc>
          <w:tcPr>
            <w:tcW w:w="1610" w:type="dxa"/>
          </w:tcPr>
          <w:p w14:paraId="5F63ECA2"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w:t>
            </w:r>
          </w:p>
        </w:tc>
      </w:tr>
      <w:tr w:rsidR="00F26F01" w:rsidRPr="00C33834" w14:paraId="06BCBFD3" w14:textId="77777777">
        <w:tc>
          <w:tcPr>
            <w:tcW w:w="1610" w:type="dxa"/>
          </w:tcPr>
          <w:p w14:paraId="3D8690C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1610" w:type="dxa"/>
          </w:tcPr>
          <w:p w14:paraId="6E6C4D8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3833</w:t>
            </w:r>
          </w:p>
        </w:tc>
        <w:tc>
          <w:tcPr>
            <w:tcW w:w="1610" w:type="dxa"/>
          </w:tcPr>
          <w:p w14:paraId="4BE7E35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2945</w:t>
            </w:r>
          </w:p>
        </w:tc>
        <w:tc>
          <w:tcPr>
            <w:tcW w:w="1610" w:type="dxa"/>
          </w:tcPr>
          <w:p w14:paraId="1A09D854"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77 (3082,6-35).</w:t>
            </w:r>
          </w:p>
        </w:tc>
      </w:tr>
    </w:tbl>
    <w:p w14:paraId="1217A2B3"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2FC9647A"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марта 1933 года помощник начальника ГУАП Алмазов писал письмо № ОП261/рз в СТО Базилевичу</w:t>
      </w:r>
    </w:p>
    <w:p w14:paraId="5C205FA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сем представляю доклад по опытному строительству в дополнение к присланному отчету от 25 января 1933 года за № 261/30 (3530,87).</w:t>
      </w:r>
    </w:p>
    <w:p w14:paraId="61037B5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 по опытному строительству моторов и самолетов на 1932 год</w:t>
      </w:r>
    </w:p>
    <w:p w14:paraId="5DA080D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Планом на 1932 год, утвержденным Правительством 4 июля 1932 года, перед опытным строительством ставились первоочередными задачами:</w:t>
      </w:r>
    </w:p>
    <w:p w14:paraId="717C9591" w14:textId="77777777" w:rsidR="00F42404" w:rsidRPr="00C33834" w:rsidRDefault="00F42404" w:rsidP="00C33834">
      <w:pPr>
        <w:numPr>
          <w:ilvl w:val="0"/>
          <w:numId w:val="12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Создание истребительных моторов водяного и воздушного охлаждения, характеризуемых малым весом, малыми габаритами, большой мощностью, сохраняемой до большой высоты и малым расходом горючего. Конкретно же имелись ввиду моторы М-38 и М-32.</w:t>
      </w:r>
    </w:p>
    <w:p w14:paraId="5382E279" w14:textId="77777777" w:rsidR="00F42404" w:rsidRPr="00C33834" w:rsidRDefault="00F42404" w:rsidP="00C33834">
      <w:pPr>
        <w:numPr>
          <w:ilvl w:val="0"/>
          <w:numId w:val="12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Указанные характеристики необходимы были для создания вполне современных самолетов как истребителей дающих быстрый подъем на большую высоту, хорошую скорость и при мощных огневых средствах боя достаточную продолжительность и радиус действия полета. Объектами намечались И-13 и И-14.</w:t>
      </w:r>
    </w:p>
    <w:p w14:paraId="5F370D1A" w14:textId="77777777" w:rsidR="00F42404" w:rsidRPr="00C33834" w:rsidRDefault="00F42404" w:rsidP="00C33834">
      <w:pPr>
        <w:numPr>
          <w:ilvl w:val="0"/>
          <w:numId w:val="12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Создание мощного бензодвигателя (М-44) характеризуемого осуществлением в одном агрегате большой мощности, долженствующего заменить 2-3 мотора существующих мощностей и устанавливаемых на тяжелых бомбовозах.</w:t>
      </w:r>
    </w:p>
    <w:p w14:paraId="5DFE93C8" w14:textId="77777777" w:rsidR="00F42404" w:rsidRPr="00C33834" w:rsidRDefault="00F42404" w:rsidP="00C33834">
      <w:pPr>
        <w:numPr>
          <w:ilvl w:val="0"/>
          <w:numId w:val="12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Отсюда непосредственно вытекала задача постройки тяжелого бомбардировщика, использующего несколько мощных агрегатов дающих экономию в весе на винтомоторной группе, улучшение обтекания, простоту эксплуатации – следствием чего улучшение всех качеств самолета.</w:t>
      </w:r>
    </w:p>
    <w:p w14:paraId="0A784ABB" w14:textId="77777777" w:rsidR="00F42404" w:rsidRPr="00C33834" w:rsidRDefault="00F42404" w:rsidP="00C33834">
      <w:pPr>
        <w:numPr>
          <w:ilvl w:val="0"/>
          <w:numId w:val="12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Провести доводку изготовленного мотора М-34, снабдив его редуктором, нагнетателем и увеличить надежность его работы. Этой задачей преследовалась цель улучшить боевые качества самолетов среднего и тяжелого веса.</w:t>
      </w:r>
    </w:p>
    <w:p w14:paraId="43D7B110" w14:textId="77777777" w:rsidR="00F42404" w:rsidRPr="00C33834" w:rsidRDefault="00F42404" w:rsidP="00C33834">
      <w:pPr>
        <w:numPr>
          <w:ilvl w:val="0"/>
          <w:numId w:val="12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Имея в виду необеспеченность нашей гидроавиации советскими машинами, ставилась задача создания типов морских лодочных самолетов (МК-1, МДР-3).</w:t>
      </w:r>
    </w:p>
    <w:p w14:paraId="44B09771" w14:textId="77777777" w:rsidR="00F42404" w:rsidRPr="00C33834" w:rsidRDefault="00F42404" w:rsidP="00C33834">
      <w:pPr>
        <w:numPr>
          <w:ilvl w:val="0"/>
          <w:numId w:val="12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Создание нефтяного двигателя типа ДИЗЕЛЬ, как дающего большую надежность, дешевизну эксплуатации, уменьшение авиационного веса, вследствие меньшего удельного расхода горючего.</w:t>
      </w:r>
    </w:p>
    <w:p w14:paraId="45AEA1B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Над всеми этими задачами, учитывая огромное значение их, опытные организации ГУАПа работали развернутыми силами и несмотря на ряд достижений полностью с ними в установленные сроки не справились.</w:t>
      </w:r>
    </w:p>
    <w:p w14:paraId="577ED74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объекты, идущие с опоздание – моторы. Причинами этого послужило то, что в ЦИАМе, как в организации молодой, имеющей сложные и разнохарактерные работы, отличающиеся новизной, не имеющей еще проверенных методов производства, нормирования, учета, создался ряд больших еще трудностей как по производственной, так и оперативно-технической линии. Благодаря недостаточности опыта у молодого инженерно-технического персонала, не всегда находящего быстрое и нужное решение …………….. влекущие за собой перегрузку в цехах, высокий брак. Кроме того, производственная база ЦИАМа при многообразии типов и большого количества объектов, предусматривающих изготовление не только опытных экземпляров, но и снабжение ими выходящих опытных самолетов, оказалась недостаточной.</w:t>
      </w:r>
    </w:p>
    <w:p w14:paraId="3814901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Несмотря на это, все моторы предусмотренные планом 1932 года закончены производством и находятся на заводском испытании. Срок и сдача их на госиспытания зависят от степени сложности и серьезности обнаруженных при испытаниях переделок и исправлений.</w:t>
      </w:r>
    </w:p>
    <w:p w14:paraId="07E7792D"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Что касается вопроса выпуска самолетов, то в основном невыполнение установленных сроков заключалось в отсутствии моторов, доведенных до возможности пуска их в эксплуатацию на самолете. Следующей причиной служило позднее установление со стороны УВВС технических требований на тот или иной тип машины, следствием чего являлась необходимость дополнительных работ, а иногда и полная переработка задания.</w:t>
      </w:r>
    </w:p>
    <w:p w14:paraId="5620722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дополнение следует отметить, что в течение первого квартала 1932 года ЦАГИ переживал организационный период (слияние с заводом № 39), который не мог не отразиться на темпах его работы этого времени.</w:t>
      </w:r>
    </w:p>
    <w:p w14:paraId="35C78AC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сроки выпуска самолетов еще не выпущенных и связанных с вышеуказанными причинами, должны будут передвинуться на более позднее время.</w:t>
      </w:r>
    </w:p>
    <w:p w14:paraId="4324850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Результаты работ 1932 года показали, что задачи, поставленные Правительством перед опытным строительством, являются реально осуществимыми и требуют лишь доводки их в 1933 году.</w:t>
      </w:r>
    </w:p>
    <w:p w14:paraId="6B10645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Состояние работ по задачам можно характеризовать следующим:</w:t>
      </w:r>
    </w:p>
    <w:p w14:paraId="6EE62EAD" w14:textId="77777777" w:rsidR="00F42404" w:rsidRPr="00C33834" w:rsidRDefault="00F42404" w:rsidP="00C33834">
      <w:pPr>
        <w:numPr>
          <w:ilvl w:val="0"/>
          <w:numId w:val="12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 для истребителей М-38 и М-32 после исправления недочетов, выявленных на предварительных испытаниях, снова поставлены на станок и дали удовлетворительные результаты. М-38Н проработал 80 режимных часов; М-32 РН – 50 часов. Оба дали проектируемую мощность. Намеченный срок госиспытаний для 1-го –июнь, для второго – март 1933 года.</w:t>
      </w:r>
    </w:p>
    <w:p w14:paraId="0F99915F" w14:textId="77777777" w:rsidR="00F42404" w:rsidRPr="00C33834" w:rsidRDefault="00F42404" w:rsidP="00C33834">
      <w:pPr>
        <w:numPr>
          <w:ilvl w:val="0"/>
          <w:numId w:val="12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Мощный бензодвигатель в 2000 НР (М-44) конструктивной разработкой закончен. Заканчиваются исследовательские работы в лаборатории одноцилиндровой установки. Готовность деталей оценивается в 50%.</w:t>
      </w:r>
    </w:p>
    <w:p w14:paraId="116A99FE" w14:textId="77777777" w:rsidR="00F42404" w:rsidRPr="00C33834" w:rsidRDefault="00F42404" w:rsidP="00C33834">
      <w:pPr>
        <w:numPr>
          <w:ilvl w:val="0"/>
          <w:numId w:val="12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для самолетов среднего и тяжелого веса (М-34) изготовляется в серии и проходит доводку на самолете. Серийный мотор прошел на полном газу (максимальную мощность) 50 часов беспрерывной работы, тогда как обычно на этом режиме образец испытывается не более 30 минут.</w:t>
      </w:r>
    </w:p>
    <w:p w14:paraId="41A26CC1"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Тот же тип мотора с редуктором дал хорошие результаты при 46-ти часовом предварительном испытании и сейчас прошел 50-ти часовое испытание и подготавливается к 100 часовому госиспытанию.</w:t>
      </w:r>
    </w:p>
    <w:p w14:paraId="0F330CE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Тот же тип мотора с нагнетателем после внесения изменений поставлен на станок и проходит заводские испытания.</w:t>
      </w:r>
    </w:p>
    <w:p w14:paraId="34826C6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с редуктором и нагнетателем может быть пущен на испытание лишь после окончательной доведенности каждого агрегата (Р и Н) в отдельности.</w:t>
      </w:r>
    </w:p>
    <w:p w14:paraId="0A869D7E" w14:textId="77777777" w:rsidR="00F42404" w:rsidRPr="00C33834" w:rsidRDefault="00F42404" w:rsidP="00C33834">
      <w:pPr>
        <w:numPr>
          <w:ilvl w:val="0"/>
          <w:numId w:val="13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нефтяным моторам работы ведутся в ЦИАМе (Н1), в ВНИДИ (Н2) и ОКБ (Н5).</w:t>
      </w:r>
    </w:p>
    <w:p w14:paraId="6954A2F8"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Плановыми работами на ЦИАМ возложено изготовление двигателя Н-1. К настоящему времени конструированием закончен и в производстве находятся основные трудоемкие детали. Проведены лабораторные испытания одноцилиндровой установки, давшие вполне хорошие результаты. Двигатель в целом может выйти на заводские испытания к маю.</w:t>
      </w:r>
    </w:p>
    <w:p w14:paraId="6EFCE6C6"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внеплановом порядке ЦИАМом проводится изготовление деталей для нефтяных двигателей Мартенса (Н2) и ОКБ, с последующим испытанием их.</w:t>
      </w:r>
    </w:p>
    <w:p w14:paraId="772E1C3C" w14:textId="77777777" w:rsidR="00F42404" w:rsidRPr="00C33834" w:rsidRDefault="00F42404" w:rsidP="00C33834">
      <w:pPr>
        <w:numPr>
          <w:ilvl w:val="0"/>
          <w:numId w:val="13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выпуску истребителей и тяжелых бомбовозов работы заканчиваются в части многоместного истребителя (МИ-3) и тяжелого бомбардировщика (ТБ-4). Обе машины перейдут на аэродром для подготовки к полетам в феврале. Одноместный истребитель (14) с пушкой проектированием закончен под заграничный мотор и находится в постройке. Выход на аэродром намечен к маю, т.е. запоздает на 1,5-2 месяца.</w:t>
      </w:r>
    </w:p>
    <w:p w14:paraId="3EFE0FA0"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намечается ряд работ по улучшению и усовершенствованию, по увеличению надежности и качества, по доведению до большого числа часов работы и удобству эксплуатации объектов как уже строящихся, так и переходящих в постройку.</w:t>
      </w:r>
    </w:p>
    <w:p w14:paraId="33AA4145"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Помимо указанных выше задач, перед ЦАГИ было поставлено задание создать самолет для рекордного полета на дальность со сроком окончания 1 августа 1932 года.</w:t>
      </w:r>
    </w:p>
    <w:p w14:paraId="2596CD3C"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чрезвычайно большого объема работ как по подготовке самолетов и специальных моторов, та к и по организации всего полета, работа перенесена на 1933 год с началом вылета – в августе-сентябре.</w:t>
      </w:r>
    </w:p>
    <w:p w14:paraId="254C301E"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изготовляются заводом № 24 специальные моторы, а ЦАГИ проводятся работы по подготовке самолетов и тренировке летсостава.</w:t>
      </w:r>
    </w:p>
    <w:p w14:paraId="76DEC703"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 Отчет по опытному строительству моторов и самолетов за 1932 год (3530,88-90).</w:t>
      </w:r>
    </w:p>
    <w:p w14:paraId="5B85AF4E"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32A32EDC" w14:textId="77777777" w:rsidR="00AD1D3C" w:rsidRPr="00C33834" w:rsidRDefault="00AD1D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марта 1933 г. Протокол ПБ № 132 п.67/44: Предложение Комиссии Обороны – ОП. Решено утвердить следующее решение Комиссии Обороны о приобретении образцов и технической помощи у фирмы «Сперри». Принять малый вариант, а именно: а) приборы управления огнем береговой артиллерии с вынесенными постами, один экземпляр; б) приборы управления зенитным огнем морской артиллерии, один экземпляр; в) приборы управления зенитным огнем морской артиллерии, один экземпляр; г) прицелы бомбометания для самолетов - 5 штук; д) автопилоты - 4 штуки, из них 2 упрощенных, 2 военных; е) гироскопов направления – 6 штук; ж) звено синхронной передачи - 2 штуки; з) искусственный горизонт – 6 штук. Итого за покупку образцов – 486 200 долларов, за техническую помощь – 300 тысяч долларов, за оборудование 400 тысяч долларов – итого 1168 200 долларов. Принять предлагаемые условия платежа: За техническую помощь, начиная с 1934 года, в течение 4 лет равными частями по полугодиям. Платеж за образцы, начиная с 1934 года: 35 % против отгрузки, 25 % через 6 месяцев, 20 % через 12 месяцев и 20 % через 18 месяцев; последний платеж – в первой половине 1936 г. (15906).</w:t>
      </w:r>
    </w:p>
    <w:p w14:paraId="39497A80" w14:textId="77777777" w:rsidR="00AD1D3C" w:rsidRPr="00C33834" w:rsidRDefault="00AD1D3C" w:rsidP="00C33834">
      <w:pPr>
        <w:spacing w:after="0" w:line="240" w:lineRule="auto"/>
        <w:jc w:val="both"/>
        <w:rPr>
          <w:rFonts w:ascii="Times New Roman" w:hAnsi="Times New Roman"/>
          <w:color w:val="000000" w:themeColor="text1"/>
          <w:sz w:val="16"/>
          <w:szCs w:val="16"/>
        </w:rPr>
      </w:pPr>
    </w:p>
    <w:p w14:paraId="52ED4C67" w14:textId="77777777" w:rsidR="00AD1D3C" w:rsidRPr="00C33834" w:rsidRDefault="00AD1D3C" w:rsidP="00C33834">
      <w:pPr>
        <w:pStyle w:val="rtejustify"/>
        <w:spacing w:before="0" w:after="0"/>
        <w:rPr>
          <w:color w:val="000000" w:themeColor="text1"/>
          <w:sz w:val="16"/>
          <w:szCs w:val="16"/>
        </w:rPr>
      </w:pPr>
      <w:r w:rsidRPr="00C33834">
        <w:rPr>
          <w:rStyle w:val="af0"/>
          <w:bCs/>
          <w:i w:val="0"/>
          <w:color w:val="000000" w:themeColor="text1"/>
          <w:sz w:val="16"/>
          <w:szCs w:val="16"/>
        </w:rPr>
        <w:t>8 марта</w:t>
      </w:r>
      <w:r w:rsidRPr="00C33834">
        <w:rPr>
          <w:color w:val="000000" w:themeColor="text1"/>
          <w:sz w:val="16"/>
          <w:szCs w:val="16"/>
        </w:rPr>
        <w:t xml:space="preserve"> 1933. Протокол заседания Политбюро ЦК ВКП (б) № 132. 11. </w:t>
      </w:r>
      <w:hyperlink r:id="rId95" w:anchor="showunit&amp;id=85829" w:history="1">
        <w:r w:rsidRPr="00C33834">
          <w:rPr>
            <w:rStyle w:val="a5"/>
            <w:color w:val="000000" w:themeColor="text1"/>
            <w:sz w:val="16"/>
            <w:szCs w:val="16"/>
            <w:u w:val="none"/>
          </w:rPr>
          <w:t>О программе капитальных работ и о плане импорта для нефтепромышленности в 1933 г.</w:t>
        </w:r>
      </w:hyperlink>
      <w:r w:rsidRPr="00C33834">
        <w:rPr>
          <w:color w:val="000000" w:themeColor="text1"/>
          <w:sz w:val="16"/>
          <w:szCs w:val="16"/>
        </w:rPr>
        <w:t xml:space="preserve"> (ПБ от 1 февраля 1933 г., пр. № 129, п. 8, из приложений раздел 2, п. 1). Решено отложить вопрос до 9</w:t>
      </w:r>
      <w:r w:rsidRPr="00C33834">
        <w:rPr>
          <w:color w:val="000000" w:themeColor="text1"/>
          <w:sz w:val="16"/>
          <w:szCs w:val="16"/>
        </w:rPr>
        <w:noBreakHyphen/>
        <w:t>4</w:t>
      </w:r>
      <w:r w:rsidRPr="00C33834">
        <w:rPr>
          <w:color w:val="000000" w:themeColor="text1"/>
          <w:sz w:val="16"/>
          <w:szCs w:val="16"/>
        </w:rPr>
        <w:noBreakHyphen/>
        <w:t xml:space="preserve">1933. </w:t>
      </w:r>
      <w:hyperlink r:id="rId96" w:anchor="showunit&amp;id=85884" w:history="1">
        <w:r w:rsidRPr="00C33834">
          <w:rPr>
            <w:rStyle w:val="a5"/>
            <w:color w:val="000000" w:themeColor="text1"/>
            <w:sz w:val="16"/>
            <w:szCs w:val="16"/>
            <w:u w:val="none"/>
          </w:rPr>
          <w:t>59/36. О техпомощи по судостроению.</w:t>
        </w:r>
      </w:hyperlink>
      <w:r w:rsidRPr="00C33834">
        <w:rPr>
          <w:color w:val="000000" w:themeColor="text1"/>
          <w:sz w:val="16"/>
          <w:szCs w:val="16"/>
        </w:rPr>
        <w:t> — ОП. Решено: 1. Купить у фирмы JVS проект и рабочие чертежи подлодки Е</w:t>
      </w:r>
      <w:r w:rsidRPr="00C33834">
        <w:rPr>
          <w:color w:val="000000" w:themeColor="text1"/>
          <w:sz w:val="16"/>
          <w:szCs w:val="16"/>
        </w:rPr>
        <w:noBreakHyphen/>
        <w:t>1 в 755 (с нашим вооружением), а также техническую помощь по постройке подлодок этого типа в СССР. 2. Купить в Германии для первой подлодки дизеля, необходимое электрооборудование и вспомогательные механизмы, а также техпомощь по постановке их производства в СССР. 3. Определить размер валютных ассигнований на приобретение техпомощи по постройке подлодки Е</w:t>
      </w:r>
      <w:r w:rsidRPr="00C33834">
        <w:rPr>
          <w:color w:val="000000" w:themeColor="text1"/>
          <w:sz w:val="16"/>
          <w:szCs w:val="16"/>
        </w:rPr>
        <w:noBreakHyphen/>
        <w:t>1 и покупку указанных механизмов в 1500 тысяч рублей. 4. Для окончательных переговоров немедленно пригласить представителей JVS в Москву. 5. Потребовать от фирмы JVS перед заключением договора на техпомощь производства в присутствии наших специалистов испытания подлодки Е</w:t>
      </w:r>
      <w:r w:rsidRPr="00C33834">
        <w:rPr>
          <w:color w:val="000000" w:themeColor="text1"/>
          <w:sz w:val="16"/>
          <w:szCs w:val="16"/>
        </w:rPr>
        <w:noBreakHyphen/>
        <w:t xml:space="preserve">1 на ходу для проверки ее скорости хода над водой и под водой, скорости и глубины погружения, устойчивости, а также всех основных механизмов и устройства этой подлодки. 6. Признать необходимым добиться возможного уменьшения стоимости заказов в Германии и в Италии и обязательных льготных условий кредита на эти заказы. б) 1. Приобрести в Италии проект и рабочие чертежи эсминца – лидера, а также рабочие чертежи главной механической установки строящихся итальянских крейсеров. 2. Заказать в Италии главную турбинную установку и некоторые важные вспомогательные механизмы на первые корабли и приобрести техпомощь по постановке их производства в СССР. 3. Определить размер валютных ассигнований на техпомощь по постройке лидеров и крейсеров и покупку механизмов для них в 5 млн. рублей. 4. Командировать группу работников НКТП и УВМС в Италию для ведения переговоров о техпомощи и о заказе механизмов по лидерам и крейсерам с итальянскими фирмами «Ансальдо» и «Адриатическим объединением верфей». 5. Признать необходимым добиться возможного уменьшения стоимости заказов в Германии и Италии и обязательных льготных условий кредита на эти заказы. </w:t>
      </w:r>
      <w:hyperlink r:id="rId97" w:anchor="showunit&amp;id=85893" w:history="1">
        <w:r w:rsidRPr="00C33834">
          <w:rPr>
            <w:rStyle w:val="a5"/>
            <w:color w:val="000000" w:themeColor="text1"/>
            <w:sz w:val="16"/>
            <w:szCs w:val="16"/>
            <w:u w:val="none"/>
          </w:rPr>
          <w:t>67/44. Предложения Комиссии обороны.</w:t>
        </w:r>
      </w:hyperlink>
      <w:r w:rsidRPr="00C33834">
        <w:rPr>
          <w:color w:val="000000" w:themeColor="text1"/>
          <w:sz w:val="16"/>
          <w:szCs w:val="16"/>
        </w:rPr>
        <w:t xml:space="preserve"> — ОП. (ПБ от 7 марта 1933 г.). Решено утвердить следующее решение Комиссии Обороны о приобретении образцов и технической помощи у фирмы «Сперри». Принять малый вариант, а именно: а) приборы управления огнем береговой артиллерии с вынесенными постами, один экземпляр; б) приборы управления зенитным огнем морской артиллерии, один экземпляр; в) приборы управления зенитным огнем морской артиллерии, один экземпляр; г) прицелы бомбометания для самолетов — 5 штук; д) автопилоты – 4 штуки, из них 2 упрощенных, 2 военных; е) гироскопов направления – 6 штук; ж) звено синхронной передачи — 2 штуки; з) искусственный горизонт – 6 штук. Итого за покупку образцов – 486 200 долларов, за техническую помощь – 300 тысяч долларов, за оборудование 400 тысяч долларов – итого 1168 200 долларов. Принять предлагаемые условия платежа: За техническую помощь, начиная с 1934 года, в течение 4 лет равными частями по полугодиям. Платеж за образцы, начиная с 1934 года: 35% против отгрузки, 25% через 6 месяцев, 20% через 12 месяцев и 20% через 18 месяцев; последний платеж – в первой половине 1936 г. </w:t>
      </w:r>
      <w:hyperlink r:id="rId98" w:anchor="showunit&amp;id=85894" w:history="1">
        <w:r w:rsidRPr="00C33834">
          <w:rPr>
            <w:rStyle w:val="a5"/>
            <w:color w:val="000000" w:themeColor="text1"/>
            <w:sz w:val="16"/>
            <w:szCs w:val="16"/>
            <w:u w:val="none"/>
          </w:rPr>
          <w:t>68/45. Предложения Ворошилова (о разрешении иметь НКВМ в торгпредствах своих работников).</w:t>
        </w:r>
      </w:hyperlink>
      <w:r w:rsidRPr="00C33834">
        <w:rPr>
          <w:color w:val="000000" w:themeColor="text1"/>
          <w:sz w:val="16"/>
          <w:szCs w:val="16"/>
        </w:rPr>
        <w:t xml:space="preserve"> — ОП. </w:t>
      </w:r>
      <w:hyperlink r:id="rId99" w:anchor="showunit&amp;id=85902" w:history="1">
        <w:r w:rsidRPr="00C33834">
          <w:rPr>
            <w:rStyle w:val="a5"/>
            <w:color w:val="000000" w:themeColor="text1"/>
            <w:sz w:val="16"/>
            <w:szCs w:val="16"/>
            <w:u w:val="none"/>
          </w:rPr>
          <w:t>75/52. О состоянии Волховского алюминиевого комбината</w:t>
        </w:r>
      </w:hyperlink>
      <w:r w:rsidRPr="00C33834">
        <w:rPr>
          <w:color w:val="000000" w:themeColor="text1"/>
          <w:sz w:val="16"/>
          <w:szCs w:val="16"/>
        </w:rPr>
        <w:t>. (ПБ от 7 марта 1933 г.). Решено передать вопрос на рассмотрение в Комиссию исполнения СНК СССР (15462).</w:t>
      </w:r>
    </w:p>
    <w:p w14:paraId="7498E554" w14:textId="77777777" w:rsidR="00AD1D3C" w:rsidRPr="00C33834" w:rsidRDefault="00AD1D3C" w:rsidP="00C33834">
      <w:pPr>
        <w:pStyle w:val="rtejustify"/>
        <w:spacing w:before="0" w:after="0"/>
        <w:rPr>
          <w:color w:val="000000" w:themeColor="text1"/>
          <w:sz w:val="16"/>
          <w:szCs w:val="16"/>
        </w:rPr>
      </w:pPr>
    </w:p>
    <w:p w14:paraId="2B3778A7"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марта 1933 года начальник ВВС Алкснис подготовил:</w:t>
      </w:r>
    </w:p>
    <w:p w14:paraId="0A1C7909"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Сводка о выполнении решений КО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78"/>
        <w:gridCol w:w="2376"/>
        <w:gridCol w:w="2376"/>
        <w:gridCol w:w="2376"/>
        <w:gridCol w:w="584"/>
      </w:tblGrid>
      <w:tr w:rsidR="002C3CAD" w:rsidRPr="00C33834" w14:paraId="491D578F" w14:textId="77777777" w:rsidTr="003D0776">
        <w:tc>
          <w:tcPr>
            <w:tcW w:w="2178" w:type="dxa"/>
          </w:tcPr>
          <w:p w14:paraId="015C03FF"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Содержание заданий</w:t>
            </w:r>
          </w:p>
        </w:tc>
        <w:tc>
          <w:tcPr>
            <w:tcW w:w="7711" w:type="dxa"/>
            <w:gridSpan w:val="4"/>
          </w:tcPr>
          <w:p w14:paraId="42120A2E"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заданий</w:t>
            </w:r>
          </w:p>
        </w:tc>
      </w:tr>
      <w:tr w:rsidR="002C3CAD" w:rsidRPr="00C33834" w14:paraId="43B4F74B" w14:textId="77777777" w:rsidTr="003D0776">
        <w:tc>
          <w:tcPr>
            <w:tcW w:w="2178" w:type="dxa"/>
          </w:tcPr>
          <w:p w14:paraId="05B4EDE2" w14:textId="77777777" w:rsidR="002C3CAD" w:rsidRPr="00C33834" w:rsidRDefault="002C3CAD" w:rsidP="00C33834">
            <w:pPr>
              <w:spacing w:after="0" w:line="240" w:lineRule="auto"/>
              <w:jc w:val="both"/>
              <w:rPr>
                <w:rFonts w:ascii="Times New Roman" w:hAnsi="Times New Roman"/>
                <w:color w:val="000000" w:themeColor="text1"/>
                <w:sz w:val="16"/>
                <w:szCs w:val="16"/>
              </w:rPr>
            </w:pPr>
          </w:p>
        </w:tc>
        <w:tc>
          <w:tcPr>
            <w:tcW w:w="7711" w:type="dxa"/>
            <w:gridSpan w:val="4"/>
          </w:tcPr>
          <w:p w14:paraId="09169DEB"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закупке образцов моторов и самолетов.</w:t>
            </w:r>
          </w:p>
        </w:tc>
      </w:tr>
      <w:tr w:rsidR="002C3CAD" w:rsidRPr="00C33834" w14:paraId="2E975D0F" w14:textId="77777777" w:rsidTr="003D0776">
        <w:tc>
          <w:tcPr>
            <w:tcW w:w="2178" w:type="dxa"/>
          </w:tcPr>
          <w:p w14:paraId="107FD78F"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СТО № 538/177сс от 16 мая 1932 года, № 1153/345сс – 14 ноября 1932 года; № 158 – 25 июля 1931 года.</w:t>
            </w:r>
          </w:p>
          <w:p w14:paraId="137D3E3A"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Заключить договор Глававиапрому на техническую помощь с американской фирмой «Райт-Кертис», взяв в основу мотор воздушного охлаждения «Райт-Циклон» – НР 600-700 новейшей конструкции, а по водяному охлаждению новейший образец мотора «Кертис-Конкверер» с нагнетателем и редуктором.</w:t>
            </w:r>
          </w:p>
        </w:tc>
        <w:tc>
          <w:tcPr>
            <w:tcW w:w="7711" w:type="dxa"/>
            <w:gridSpan w:val="4"/>
          </w:tcPr>
          <w:p w14:paraId="46C8F02A"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Сумма в 1 миллион рублей была первоначально отпущена и затем сокращена (вернее, как специальный кредит аннулирована). Образцы закуплены за счет основного контингента Глававиапрома по техническому снабжению.</w:t>
            </w:r>
          </w:p>
          <w:p w14:paraId="25B264D5"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результате выезда инженеров ГУАП а границу были закуплены:</w:t>
            </w:r>
          </w:p>
          <w:p w14:paraId="47D31698"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r w:rsidRPr="00C33834">
              <w:rPr>
                <w:rFonts w:ascii="Times New Roman" w:hAnsi="Times New Roman"/>
                <w:color w:val="000000" w:themeColor="text1"/>
                <w:sz w:val="16"/>
                <w:szCs w:val="16"/>
              </w:rPr>
              <w:tab/>
              <w:t>1 авиадизель мотор «Мерседес-Бенц» – 16/50 НР.</w:t>
            </w:r>
          </w:p>
          <w:p w14:paraId="0816AF8C"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r w:rsidRPr="00C33834">
              <w:rPr>
                <w:rFonts w:ascii="Times New Roman" w:hAnsi="Times New Roman"/>
                <w:color w:val="000000" w:themeColor="text1"/>
                <w:sz w:val="16"/>
                <w:szCs w:val="16"/>
              </w:rPr>
              <w:tab/>
              <w:t>2 авиадизель-мотора «ЮМО-4» – 720 НР.</w:t>
            </w:r>
          </w:p>
          <w:p w14:paraId="695937AB"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r w:rsidRPr="00C33834">
              <w:rPr>
                <w:rFonts w:ascii="Times New Roman" w:hAnsi="Times New Roman"/>
                <w:color w:val="000000" w:themeColor="text1"/>
                <w:sz w:val="16"/>
                <w:szCs w:val="16"/>
              </w:rPr>
              <w:tab/>
              <w:t>1 авиадизель мотор «Даймлер-Бенц» – 700/750 НР.</w:t>
            </w:r>
          </w:p>
          <w:p w14:paraId="1EB98299"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r w:rsidRPr="00C33834">
              <w:rPr>
                <w:rFonts w:ascii="Times New Roman" w:hAnsi="Times New Roman"/>
                <w:color w:val="000000" w:themeColor="text1"/>
                <w:sz w:val="16"/>
                <w:szCs w:val="16"/>
              </w:rPr>
              <w:tab/>
              <w:t>2 авиамотора «Райт-Циклон» 1820 2” – 725 НР.</w:t>
            </w:r>
          </w:p>
          <w:p w14:paraId="4DD3FB80"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r w:rsidRPr="00C33834">
              <w:rPr>
                <w:rFonts w:ascii="Times New Roman" w:hAnsi="Times New Roman"/>
                <w:color w:val="000000" w:themeColor="text1"/>
                <w:sz w:val="16"/>
                <w:szCs w:val="16"/>
              </w:rPr>
              <w:tab/>
              <w:t>2 авиамотора «Райт-Циклон» 1820 3” – 650 НР.</w:t>
            </w:r>
          </w:p>
          <w:p w14:paraId="5864481F"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r w:rsidRPr="00C33834">
              <w:rPr>
                <w:rFonts w:ascii="Times New Roman" w:hAnsi="Times New Roman"/>
                <w:color w:val="000000" w:themeColor="text1"/>
                <w:sz w:val="16"/>
                <w:szCs w:val="16"/>
              </w:rPr>
              <w:tab/>
              <w:t>3 авиамотора «Суперконкверор» фирмы Кертис 600 НР.</w:t>
            </w:r>
          </w:p>
          <w:p w14:paraId="1A2FB950"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r w:rsidRPr="00C33834">
              <w:rPr>
                <w:rFonts w:ascii="Times New Roman" w:hAnsi="Times New Roman"/>
                <w:color w:val="000000" w:themeColor="text1"/>
                <w:sz w:val="16"/>
                <w:szCs w:val="16"/>
              </w:rPr>
              <w:tab/>
              <w:t>2 авиамотора «Рольс-Ройс» «Кестрел 2» 480 НР.</w:t>
            </w:r>
          </w:p>
          <w:p w14:paraId="33E4E2B1"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r w:rsidRPr="00C33834">
              <w:rPr>
                <w:rFonts w:ascii="Times New Roman" w:hAnsi="Times New Roman"/>
                <w:color w:val="000000" w:themeColor="text1"/>
                <w:sz w:val="16"/>
                <w:szCs w:val="16"/>
              </w:rPr>
              <w:tab/>
              <w:t>3 мотора «Бристоль» «Меркур IV 2» – 620/650 НР.</w:t>
            </w:r>
          </w:p>
          <w:p w14:paraId="6ED975B7"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r w:rsidRPr="00C33834">
              <w:rPr>
                <w:rFonts w:ascii="Times New Roman" w:hAnsi="Times New Roman"/>
                <w:color w:val="000000" w:themeColor="text1"/>
                <w:sz w:val="16"/>
                <w:szCs w:val="16"/>
              </w:rPr>
              <w:tab/>
              <w:t>1 мотор «Армстронг Сиддлей» «Тигр» – 590 НР.</w:t>
            </w:r>
          </w:p>
          <w:p w14:paraId="2785F062"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r w:rsidRPr="00C33834">
              <w:rPr>
                <w:rFonts w:ascii="Times New Roman" w:hAnsi="Times New Roman"/>
                <w:color w:val="000000" w:themeColor="text1"/>
                <w:sz w:val="16"/>
                <w:szCs w:val="16"/>
              </w:rPr>
              <w:tab/>
              <w:t>1 самолет «Ферии» «Фарфляй» – истребитель с мотором «Кестрел».</w:t>
            </w:r>
          </w:p>
          <w:p w14:paraId="58639FAA"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переговорам с Кертис-Райт по приобретению лиценза и техпомощи на два мотора Циклон 725 НР и Конкверер, около 650 НР.</w:t>
            </w:r>
          </w:p>
          <w:p w14:paraId="00F12237"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Америке находится сейчас комиссия ГУАП под председательством Побережского.</w:t>
            </w:r>
          </w:p>
          <w:p w14:paraId="3DBA4935"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Фирмой уже названы цифры. ГУАПом даны контрпредложения. Переговоры протекают сравнительно благоприятно и можно ожидать, что в ближайшее время договор будет подписан.</w:t>
            </w:r>
          </w:p>
        </w:tc>
      </w:tr>
      <w:tr w:rsidR="002C3CAD" w:rsidRPr="00C33834" w14:paraId="78151362" w14:textId="77777777" w:rsidTr="003D0776">
        <w:tc>
          <w:tcPr>
            <w:tcW w:w="2178" w:type="dxa"/>
          </w:tcPr>
          <w:p w14:paraId="7FD9CF7A"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СТО за № 158 от 25 июля 1931 года – реализация договора с итальянской фирмой «Фиат».</w:t>
            </w:r>
          </w:p>
        </w:tc>
        <w:tc>
          <w:tcPr>
            <w:tcW w:w="7711" w:type="dxa"/>
            <w:gridSpan w:val="4"/>
          </w:tcPr>
          <w:p w14:paraId="61F98304"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Договор заключен 6 сентября 1932 года по оказанию техпомощи на постройку (и проектирование) Центрального литейного завода и реконструкцию литейных заводов №№ 26 и 24. После заключения договора выехала в Турин комиссия Голававиапрома, которой на месте совместно с фирмой «Фиат» проработан предварительный проект завода № 120. Изготовлена часть чертежей формовочного и литейного хозяйства. Изготовлены деревянные модели по которым отливаются детали наших моторов. Начались работы по новым сплавам. Наши инженеры все время сидят в литейной «Фиата» и перенимают опыт фирмы.</w:t>
            </w:r>
          </w:p>
          <w:p w14:paraId="3C24087F"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февраля в Москву приехала Комиссия «Фиата» в составе 4-х инженеров и привезла с собой предварительный проект завода. Этот проект за период с 23 февраля по 7 марта обсуждался во всех деталях на Научно-техническом совете Гипроавио. Проект в общем признан удовлетворительным.</w:t>
            </w:r>
          </w:p>
          <w:p w14:paraId="4D66B405"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Дальнейший ход работ: итальянцы увозят проект в Турин и совместно с Комиссией ГУАП дорабатывают его, внося коррективы НТСа.</w:t>
            </w:r>
          </w:p>
        </w:tc>
      </w:tr>
      <w:tr w:rsidR="002C3CAD" w:rsidRPr="00C33834" w14:paraId="42AC4AAF" w14:textId="77777777" w:rsidTr="003D0776">
        <w:tc>
          <w:tcPr>
            <w:tcW w:w="2178" w:type="dxa"/>
          </w:tcPr>
          <w:p w14:paraId="5B958232"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СТО за № 101/46сс от 16 февраля 1932 года</w:t>
            </w:r>
          </w:p>
        </w:tc>
        <w:tc>
          <w:tcPr>
            <w:tcW w:w="7711" w:type="dxa"/>
            <w:gridSpan w:val="4"/>
          </w:tcPr>
          <w:p w14:paraId="11B0B213" w14:textId="77777777" w:rsidR="002C3CAD" w:rsidRPr="00C33834" w:rsidRDefault="002C3CAD" w:rsidP="00C33834">
            <w:pPr>
              <w:spacing w:after="0" w:line="240" w:lineRule="auto"/>
              <w:jc w:val="both"/>
              <w:rPr>
                <w:rFonts w:ascii="Times New Roman" w:hAnsi="Times New Roman"/>
                <w:color w:val="000000" w:themeColor="text1"/>
                <w:sz w:val="16"/>
                <w:szCs w:val="16"/>
              </w:rPr>
            </w:pPr>
          </w:p>
        </w:tc>
      </w:tr>
      <w:tr w:rsidR="002C3CAD" w:rsidRPr="00C33834" w14:paraId="25F38065" w14:textId="77777777" w:rsidTr="003D0776">
        <w:tc>
          <w:tcPr>
            <w:tcW w:w="2178" w:type="dxa"/>
          </w:tcPr>
          <w:p w14:paraId="66B9F5DC"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Обязать ГУАП довести годовую мощность моторостроительного завода № 26 до 10000 моторов М-17 в год к 1 января 1933 года.</w:t>
            </w:r>
          </w:p>
        </w:tc>
        <w:tc>
          <w:tcPr>
            <w:tcW w:w="7711" w:type="dxa"/>
            <w:gridSpan w:val="4"/>
          </w:tcPr>
          <w:p w14:paraId="0719F468"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года доведено в основном по оборудованию до 7200 моторов.</w:t>
            </w:r>
          </w:p>
          <w:p w14:paraId="09C1FA73"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выполнено полностью из-за:</w:t>
            </w:r>
          </w:p>
          <w:p w14:paraId="71B1B7E2"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r w:rsidRPr="00C33834">
              <w:rPr>
                <w:rFonts w:ascii="Times New Roman" w:hAnsi="Times New Roman"/>
                <w:color w:val="000000" w:themeColor="text1"/>
                <w:sz w:val="16"/>
                <w:szCs w:val="16"/>
              </w:rPr>
              <w:tab/>
              <w:t>Опоздания строительства, которое закончится в 1933 году.</w:t>
            </w:r>
          </w:p>
          <w:p w14:paraId="49E85C73"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r w:rsidRPr="00C33834">
              <w:rPr>
                <w:rFonts w:ascii="Times New Roman" w:hAnsi="Times New Roman"/>
                <w:color w:val="000000" w:themeColor="text1"/>
                <w:sz w:val="16"/>
                <w:szCs w:val="16"/>
              </w:rPr>
              <w:tab/>
              <w:t>Неполучения части оборудования из-за границы.</w:t>
            </w:r>
          </w:p>
          <w:p w14:paraId="722F91A6"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r w:rsidRPr="00C33834">
              <w:rPr>
                <w:rFonts w:ascii="Times New Roman" w:hAnsi="Times New Roman"/>
                <w:color w:val="000000" w:themeColor="text1"/>
                <w:sz w:val="16"/>
                <w:szCs w:val="16"/>
              </w:rPr>
              <w:tab/>
              <w:t>Не закончено оборудование литейной мастерской, на что отпущено вместо полагающихся, примерно, 10000 рублей, только 5000 рублей, контингента.</w:t>
            </w:r>
          </w:p>
        </w:tc>
      </w:tr>
      <w:tr w:rsidR="002C3CAD" w:rsidRPr="00C33834" w14:paraId="3CF01EE9" w14:textId="77777777" w:rsidTr="003D0776">
        <w:tc>
          <w:tcPr>
            <w:tcW w:w="2178" w:type="dxa"/>
          </w:tcPr>
          <w:p w14:paraId="09917C89"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Обязать ГУАП довести годовую мощность моторостроительного завода № 24 до 15000 моторов М-34 в год к 1 января 1933 года.</w:t>
            </w:r>
          </w:p>
        </w:tc>
        <w:tc>
          <w:tcPr>
            <w:tcW w:w="7711" w:type="dxa"/>
            <w:gridSpan w:val="4"/>
          </w:tcPr>
          <w:p w14:paraId="2D633F14"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года доведено до 2400 моторов. Основные причины невыполнения:</w:t>
            </w:r>
          </w:p>
          <w:p w14:paraId="5377BBA7"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r w:rsidRPr="00C33834">
              <w:rPr>
                <w:rFonts w:ascii="Times New Roman" w:hAnsi="Times New Roman"/>
                <w:color w:val="000000" w:themeColor="text1"/>
                <w:sz w:val="16"/>
                <w:szCs w:val="16"/>
              </w:rPr>
              <w:tab/>
              <w:t>Не закончено строительство.</w:t>
            </w:r>
          </w:p>
          <w:p w14:paraId="3366EA42"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r w:rsidRPr="00C33834">
              <w:rPr>
                <w:rFonts w:ascii="Times New Roman" w:hAnsi="Times New Roman"/>
                <w:color w:val="000000" w:themeColor="text1"/>
                <w:sz w:val="16"/>
                <w:szCs w:val="16"/>
              </w:rPr>
              <w:tab/>
              <w:t>Из предназначенных 9000000 рублей на импортное оборудование пока ничего не отпущено.</w:t>
            </w:r>
          </w:p>
          <w:p w14:paraId="0E35B1BC"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Строительство в 1933 году сокращено из-за нецелесообразности, так как не будет получено импортного оборудования.</w:t>
            </w:r>
          </w:p>
        </w:tc>
      </w:tr>
      <w:tr w:rsidR="002C3CAD" w:rsidRPr="00C33834" w14:paraId="5C8D2ABF" w14:textId="77777777" w:rsidTr="003D0776">
        <w:tc>
          <w:tcPr>
            <w:tcW w:w="2178" w:type="dxa"/>
          </w:tcPr>
          <w:p w14:paraId="62DEB186"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Обязать ГУАП довести годовую мощность моторостроительного завода № 29 до 6000 моторов М-11 в год к 1 января 1933 года.</w:t>
            </w:r>
          </w:p>
        </w:tc>
        <w:tc>
          <w:tcPr>
            <w:tcW w:w="7711" w:type="dxa"/>
            <w:gridSpan w:val="4"/>
          </w:tcPr>
          <w:p w14:paraId="144D5C91"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года доведено до 4500 моторов. Основные причины невыполнения:</w:t>
            </w:r>
          </w:p>
          <w:p w14:paraId="76E4D5F4"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r w:rsidRPr="00C33834">
              <w:rPr>
                <w:rFonts w:ascii="Times New Roman" w:hAnsi="Times New Roman"/>
                <w:color w:val="000000" w:themeColor="text1"/>
                <w:sz w:val="16"/>
                <w:szCs w:val="16"/>
              </w:rPr>
              <w:tab/>
              <w:t>Строительство хотя в основном и незакончено, но недостаток площадей компенсируется за счет соседних заводов.</w:t>
            </w:r>
          </w:p>
          <w:p w14:paraId="43F0E315"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r w:rsidRPr="00C33834">
              <w:rPr>
                <w:rFonts w:ascii="Times New Roman" w:hAnsi="Times New Roman"/>
                <w:color w:val="000000" w:themeColor="text1"/>
                <w:sz w:val="16"/>
                <w:szCs w:val="16"/>
              </w:rPr>
              <w:tab/>
              <w:t>Не получено основное станочное оборудование полностью, как заграничное, так и внутри страны, хотя оно заказано и предполагается получить в текущем году.</w:t>
            </w:r>
          </w:p>
          <w:p w14:paraId="0B4476C5"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r w:rsidRPr="00C33834">
              <w:rPr>
                <w:rFonts w:ascii="Times New Roman" w:hAnsi="Times New Roman"/>
                <w:color w:val="000000" w:themeColor="text1"/>
                <w:sz w:val="16"/>
                <w:szCs w:val="16"/>
              </w:rPr>
              <w:tab/>
              <w:t>На 1933 год завод кредитами обеспечен и строительство должно быть закончено к концу года.</w:t>
            </w:r>
          </w:p>
        </w:tc>
      </w:tr>
      <w:tr w:rsidR="002C3CAD" w:rsidRPr="00C33834" w14:paraId="31E6CDBA" w14:textId="77777777" w:rsidTr="003D0776">
        <w:tc>
          <w:tcPr>
            <w:tcW w:w="2178" w:type="dxa"/>
          </w:tcPr>
          <w:p w14:paraId="2EADD0A8"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г) Обязать ГУАП довести годовую мощность моторостроительного завода </w:t>
            </w:r>
            <w:r w:rsidRPr="00C33834">
              <w:rPr>
                <w:rFonts w:ascii="Times New Roman" w:hAnsi="Times New Roman"/>
                <w:color w:val="000000" w:themeColor="text1"/>
                <w:sz w:val="16"/>
                <w:szCs w:val="16"/>
              </w:rPr>
              <w:lastRenderedPageBreak/>
              <w:t>№ 19 до 6000 моторов М-22 в год к 1 января 1933 года.</w:t>
            </w:r>
          </w:p>
        </w:tc>
        <w:tc>
          <w:tcPr>
            <w:tcW w:w="7711" w:type="dxa"/>
            <w:gridSpan w:val="4"/>
          </w:tcPr>
          <w:p w14:paraId="5D2A8CC1"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На 1 января 1933 года не выполнено ничего, за исключением строительства, которое произведено в объеме примерно на 1000 моторов.</w:t>
            </w:r>
          </w:p>
          <w:p w14:paraId="4466AC25"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оборудованием не обеспечен и в 1933 году не предполагается таковое заказывать, так как из полагающихся 12000000 рублей контингента, согласно комиссии Куйбышева ничего пока не отпущено.</w:t>
            </w:r>
          </w:p>
        </w:tc>
      </w:tr>
      <w:tr w:rsidR="002C3CAD" w:rsidRPr="00C33834" w14:paraId="0D7A9F2D" w14:textId="77777777" w:rsidTr="003D0776">
        <w:tc>
          <w:tcPr>
            <w:tcW w:w="2178" w:type="dxa"/>
          </w:tcPr>
          <w:p w14:paraId="7E6F1A94"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Обязать ГУАП довести годовую мощность самолетостроительного завода № 22 до 600 самолетов ТБ3 в год к 1 января 1933 года.</w:t>
            </w:r>
          </w:p>
        </w:tc>
        <w:tc>
          <w:tcPr>
            <w:tcW w:w="7711" w:type="dxa"/>
            <w:gridSpan w:val="4"/>
          </w:tcPr>
          <w:p w14:paraId="075BA0F2"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года доведено до 500 самолетов. Недоведение в основном объясняется за счет одного корпуса, который должен быть построен в течении 1933 года.</w:t>
            </w:r>
          </w:p>
          <w:p w14:paraId="613A1D15"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оборудованием обеспечен.</w:t>
            </w:r>
          </w:p>
        </w:tc>
      </w:tr>
      <w:tr w:rsidR="002C3CAD" w:rsidRPr="00C33834" w14:paraId="3F934AC4" w14:textId="77777777" w:rsidTr="003D0776">
        <w:tc>
          <w:tcPr>
            <w:tcW w:w="2178" w:type="dxa"/>
          </w:tcPr>
          <w:p w14:paraId="34392E15"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 Обязать ГУАП довести годовую мощность самолетостроительного завода № 18 до 1500 самолетов ТБ3 в год к 1 января 1933 года.</w:t>
            </w:r>
          </w:p>
        </w:tc>
        <w:tc>
          <w:tcPr>
            <w:tcW w:w="7711" w:type="dxa"/>
            <w:gridSpan w:val="4"/>
          </w:tcPr>
          <w:p w14:paraId="10A99FF7"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года доведено до 200 самолетов годовой мощности. Основные причины невыполнения:</w:t>
            </w:r>
          </w:p>
          <w:p w14:paraId="566A9362"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r w:rsidRPr="00C33834">
              <w:rPr>
                <w:rFonts w:ascii="Times New Roman" w:hAnsi="Times New Roman"/>
                <w:color w:val="000000" w:themeColor="text1"/>
                <w:sz w:val="16"/>
                <w:szCs w:val="16"/>
              </w:rPr>
              <w:tab/>
              <w:t>Не развернуто и не закончено строительство, из-за отсутствия материалов и денежных средств.</w:t>
            </w:r>
          </w:p>
          <w:p w14:paraId="51A4E979"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r w:rsidRPr="00C33834">
              <w:rPr>
                <w:rFonts w:ascii="Times New Roman" w:hAnsi="Times New Roman"/>
                <w:color w:val="000000" w:themeColor="text1"/>
                <w:sz w:val="16"/>
                <w:szCs w:val="16"/>
              </w:rPr>
              <w:tab/>
              <w:t>Отсутствуют и на 1933 год не отпущены средства на оборудование больше чем на, примерно, 250 самолетов.</w:t>
            </w:r>
          </w:p>
          <w:p w14:paraId="3E9D9CC0"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Вследствие неполучения оборудования, строительство также в 1933 году будет производиться в полузаконсервированном виде.</w:t>
            </w:r>
          </w:p>
        </w:tc>
      </w:tr>
      <w:tr w:rsidR="002C3CAD" w:rsidRPr="00C33834" w14:paraId="64493B51" w14:textId="77777777" w:rsidTr="003D0776">
        <w:tc>
          <w:tcPr>
            <w:tcW w:w="2178" w:type="dxa"/>
          </w:tcPr>
          <w:p w14:paraId="10A812F4"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 Обязать ГУАП довести годовую мощность самолетостроительного завода в Казани до 1200 самолетов в год к 1 января 1933 года.</w:t>
            </w:r>
          </w:p>
        </w:tc>
        <w:tc>
          <w:tcPr>
            <w:tcW w:w="7711" w:type="dxa"/>
            <w:gridSpan w:val="4"/>
          </w:tcPr>
          <w:p w14:paraId="1AEBD4A3"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года строительство этого завода как промышленное, так и жилищное только в основном начато и будет продолжаться в небольшом объеме из-за отсутствия средств.</w:t>
            </w:r>
          </w:p>
        </w:tc>
      </w:tr>
      <w:tr w:rsidR="002C3CAD" w:rsidRPr="00C33834" w14:paraId="5E2ED84B" w14:textId="77777777" w:rsidTr="003D0776">
        <w:tc>
          <w:tcPr>
            <w:tcW w:w="2178" w:type="dxa"/>
          </w:tcPr>
          <w:p w14:paraId="687584EA"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СТО за № 538/177сс от 16 мая 1932 года</w:t>
            </w:r>
          </w:p>
        </w:tc>
        <w:tc>
          <w:tcPr>
            <w:tcW w:w="7711" w:type="dxa"/>
            <w:gridSpan w:val="4"/>
          </w:tcPr>
          <w:p w14:paraId="7F78F3D3" w14:textId="77777777" w:rsidR="002C3CAD" w:rsidRPr="00C33834" w:rsidRDefault="002C3CAD" w:rsidP="00C33834">
            <w:pPr>
              <w:spacing w:after="0" w:line="240" w:lineRule="auto"/>
              <w:jc w:val="both"/>
              <w:rPr>
                <w:rFonts w:ascii="Times New Roman" w:hAnsi="Times New Roman"/>
                <w:color w:val="000000" w:themeColor="text1"/>
                <w:sz w:val="16"/>
                <w:szCs w:val="16"/>
              </w:rPr>
            </w:pPr>
          </w:p>
        </w:tc>
      </w:tr>
      <w:tr w:rsidR="002C3CAD" w:rsidRPr="00C33834" w14:paraId="6AD96E1B" w14:textId="77777777" w:rsidTr="003D0776">
        <w:tc>
          <w:tcPr>
            <w:tcW w:w="2178" w:type="dxa"/>
          </w:tcPr>
          <w:p w14:paraId="462C8BCA"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Обязать ГУАП изъять Контрольно-испытательные отделы заводов из подчинения директоров заводов и подчинить непосредственно ГУАПу. Данное мероприятие провести к 1 июня 1932 года.</w:t>
            </w:r>
          </w:p>
        </w:tc>
        <w:tc>
          <w:tcPr>
            <w:tcW w:w="7711" w:type="dxa"/>
            <w:gridSpan w:val="4"/>
          </w:tcPr>
          <w:p w14:paraId="35FB965B"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года данное постановление остается не выполненным и Контрольные отделы заводов находятся в непосредственном подчинении директоров заводов.</w:t>
            </w:r>
          </w:p>
          <w:p w14:paraId="0FC3EFF6"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Организация в составе ГУАП, Управление по наблюдению и контролю за качеством производства и учреждений при заводах, специальных инспекторов по качеству от ГУАП не достигает цели и не может считаться прямым выполнением данного Постановления.</w:t>
            </w:r>
          </w:p>
        </w:tc>
      </w:tr>
      <w:tr w:rsidR="002C3CAD" w:rsidRPr="00C33834" w14:paraId="714EBA77" w14:textId="77777777" w:rsidTr="003D0776">
        <w:tc>
          <w:tcPr>
            <w:tcW w:w="2178" w:type="dxa"/>
          </w:tcPr>
          <w:p w14:paraId="3261F56D"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Согласно этого же постановления ГУАП обязан был провести проверку работников Контрольно-испытательных отделов заводов в смысле их квалификации.</w:t>
            </w:r>
          </w:p>
        </w:tc>
        <w:tc>
          <w:tcPr>
            <w:tcW w:w="7711" w:type="dxa"/>
            <w:gridSpan w:val="4"/>
          </w:tcPr>
          <w:p w14:paraId="73111490"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года в основном состав работников Контрольно-испытательных отделов заводов остается прежним и серьезного улучшения не имеется.</w:t>
            </w:r>
          </w:p>
        </w:tc>
      </w:tr>
      <w:tr w:rsidR="002C3CAD" w:rsidRPr="00C33834" w14:paraId="7CB0A898" w14:textId="77777777" w:rsidTr="003D0776">
        <w:tc>
          <w:tcPr>
            <w:tcW w:w="2178" w:type="dxa"/>
          </w:tcPr>
          <w:p w14:paraId="745465A2"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Согласно этого же постановления ГУАП обязан был увеличить ставки работников КИО заводов, а содержание их изъять из ведения заводов и передать в ГУАП.</w:t>
            </w:r>
          </w:p>
        </w:tc>
        <w:tc>
          <w:tcPr>
            <w:tcW w:w="7711" w:type="dxa"/>
            <w:gridSpan w:val="4"/>
          </w:tcPr>
          <w:p w14:paraId="64CBE22C"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года этот вопрос остается по старому в ведении директоров заводов непосредственно.</w:t>
            </w:r>
          </w:p>
        </w:tc>
      </w:tr>
      <w:tr w:rsidR="002C3CAD" w:rsidRPr="00C33834" w14:paraId="6E683C95" w14:textId="77777777" w:rsidTr="003D0776">
        <w:tc>
          <w:tcPr>
            <w:tcW w:w="2178" w:type="dxa"/>
          </w:tcPr>
          <w:p w14:paraId="2040BDAA"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Согласно пн. 2 этого же постановления (№ 538/177сс) Глававиапром обязан был через свои заводы сдать не позже 1 октября 1932 года правлению ВВС групповые комплекты запасных частей и отдельные детали к моторам.</w:t>
            </w:r>
          </w:p>
        </w:tc>
        <w:tc>
          <w:tcPr>
            <w:tcW w:w="7711" w:type="dxa"/>
            <w:gridSpan w:val="4"/>
          </w:tcPr>
          <w:p w14:paraId="6EB8F2B4"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 постановление моторостроительными заводами ГУАП было выполнено лишь в незначительной степени и на 1 января 1933 года осталась большая задолженность по запасным частям программы 1932 года.</w:t>
            </w:r>
          </w:p>
          <w:p w14:paraId="4843DC53"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лучше обстоит со сдачей запасных частей к моторам и на 1 марта 1935 года, так например, завод № 26 к мотору М-17 не сдал запасные части совершенно, а завод № 29 лишь частично.</w:t>
            </w:r>
          </w:p>
        </w:tc>
      </w:tr>
      <w:tr w:rsidR="002C3CAD" w:rsidRPr="00C33834" w14:paraId="168859E2" w14:textId="77777777" w:rsidTr="003D0776">
        <w:tc>
          <w:tcPr>
            <w:tcW w:w="2178" w:type="dxa"/>
          </w:tcPr>
          <w:p w14:paraId="2FE91791"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СТО за № …3/121/сс от 5 апреля 1932 года</w:t>
            </w:r>
          </w:p>
          <w:p w14:paraId="1C39DDD6" w14:textId="77777777" w:rsidR="002C3CAD" w:rsidRPr="00C33834" w:rsidRDefault="002C3CAD" w:rsidP="00C33834">
            <w:pPr>
              <w:spacing w:after="0" w:line="240" w:lineRule="auto"/>
              <w:jc w:val="both"/>
              <w:rPr>
                <w:rFonts w:ascii="Times New Roman" w:hAnsi="Times New Roman"/>
                <w:color w:val="000000" w:themeColor="text1"/>
                <w:sz w:val="16"/>
                <w:szCs w:val="16"/>
              </w:rPr>
            </w:pPr>
          </w:p>
          <w:p w14:paraId="73000B25"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размере заказа Наркомвоенмора на аэродромно-самолетные средства радиосвязи в 1932 году.</w:t>
            </w:r>
          </w:p>
          <w:p w14:paraId="63B87151" w14:textId="77777777" w:rsidR="002C3CAD" w:rsidRPr="00C33834" w:rsidRDefault="002C3CAD" w:rsidP="00C33834">
            <w:pPr>
              <w:spacing w:after="0" w:line="240" w:lineRule="auto"/>
              <w:jc w:val="both"/>
              <w:rPr>
                <w:rFonts w:ascii="Times New Roman" w:hAnsi="Times New Roman"/>
                <w:color w:val="000000" w:themeColor="text1"/>
                <w:sz w:val="16"/>
                <w:szCs w:val="16"/>
              </w:rPr>
            </w:pPr>
          </w:p>
          <w:p w14:paraId="35E01967"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Весь заказ Наркомвоенмора по аэродромно-самолетным радиостанциям установлен в 2183 штуки.</w:t>
            </w:r>
          </w:p>
          <w:p w14:paraId="713B4A40" w14:textId="77777777" w:rsidR="002C3CAD" w:rsidRPr="00C33834" w:rsidRDefault="002C3CAD" w:rsidP="00C33834">
            <w:pPr>
              <w:spacing w:after="0" w:line="240" w:lineRule="auto"/>
              <w:jc w:val="both"/>
              <w:rPr>
                <w:rFonts w:ascii="Times New Roman" w:hAnsi="Times New Roman"/>
                <w:color w:val="000000" w:themeColor="text1"/>
                <w:sz w:val="16"/>
                <w:szCs w:val="16"/>
              </w:rPr>
            </w:pPr>
          </w:p>
          <w:p w14:paraId="0A9C5E2F"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НКТП под ответственность Жукова до 1 февраля 1933 года дать НКВМ полностью 2183 радиостанции; из них: 550 станций для тяжелой авиации.</w:t>
            </w:r>
          </w:p>
        </w:tc>
        <w:tc>
          <w:tcPr>
            <w:tcW w:w="7711" w:type="dxa"/>
            <w:gridSpan w:val="4"/>
          </w:tcPr>
          <w:p w14:paraId="2BD5D7F7"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февраля 1933 года получено: 350 самолетных радиостанций. Из них: 1 станция 11-СК для тяжелых кораблей и то, как образец.</w:t>
            </w:r>
          </w:p>
          <w:p w14:paraId="45CADC9F"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Причины невыполнения:</w:t>
            </w:r>
          </w:p>
          <w:p w14:paraId="127E9AF4"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r w:rsidRPr="00C33834">
              <w:rPr>
                <w:rFonts w:ascii="Times New Roman" w:hAnsi="Times New Roman"/>
                <w:color w:val="000000" w:themeColor="text1"/>
                <w:sz w:val="16"/>
                <w:szCs w:val="16"/>
              </w:rPr>
              <w:tab/>
              <w:t>Отсутствие материалов.</w:t>
            </w:r>
          </w:p>
          <w:p w14:paraId="1E0B384B"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r w:rsidRPr="00C33834">
              <w:rPr>
                <w:rFonts w:ascii="Times New Roman" w:hAnsi="Times New Roman"/>
                <w:color w:val="000000" w:themeColor="text1"/>
                <w:sz w:val="16"/>
                <w:szCs w:val="16"/>
              </w:rPr>
              <w:tab/>
              <w:t>Промышленность не освоила в производстве новых образцов радиостанций.</w:t>
            </w:r>
          </w:p>
          <w:p w14:paraId="2F7B4AD2" w14:textId="77777777" w:rsidR="002C3CAD" w:rsidRPr="00C33834" w:rsidRDefault="002C3CAD" w:rsidP="00C33834">
            <w:pPr>
              <w:spacing w:after="0" w:line="240" w:lineRule="auto"/>
              <w:jc w:val="both"/>
              <w:rPr>
                <w:rFonts w:ascii="Times New Roman" w:hAnsi="Times New Roman"/>
                <w:color w:val="000000" w:themeColor="text1"/>
                <w:sz w:val="16"/>
                <w:szCs w:val="16"/>
              </w:rPr>
            </w:pPr>
          </w:p>
          <w:p w14:paraId="27F22F42"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Мероприятия со стороны УВВС по реализации выполнения постановления СТО.</w:t>
            </w:r>
          </w:p>
          <w:p w14:paraId="110BD012" w14:textId="77777777" w:rsidR="002C3CAD" w:rsidRPr="00C33834" w:rsidRDefault="002C3CAD" w:rsidP="00C33834">
            <w:pPr>
              <w:spacing w:after="0" w:line="240" w:lineRule="auto"/>
              <w:jc w:val="both"/>
              <w:rPr>
                <w:rFonts w:ascii="Times New Roman" w:hAnsi="Times New Roman"/>
                <w:color w:val="000000" w:themeColor="text1"/>
                <w:sz w:val="16"/>
                <w:szCs w:val="16"/>
              </w:rPr>
            </w:pPr>
          </w:p>
          <w:p w14:paraId="0D39F4E5"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 председателю СТО от 21 июля 1932 года.</w:t>
            </w:r>
          </w:p>
          <w:p w14:paraId="0374AB12"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 обеспечении УВВС радиостанциями для тяжелых самолетов со сроком поставки:</w:t>
            </w:r>
          </w:p>
          <w:p w14:paraId="2DD375A8"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октября – 11-СК – 150 штук; 11-АК – 10 штук</w:t>
            </w:r>
          </w:p>
          <w:p w14:paraId="245576A4"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ноября – 11-СК – 150 штук; 11-АК – 10 штук</w:t>
            </w:r>
          </w:p>
          <w:p w14:paraId="7DB5256D"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15 декабря - 11-СК – 250 штук; 11-АК – 20 штук</w:t>
            </w:r>
          </w:p>
          <w:p w14:paraId="2969BB1D" w14:textId="77777777" w:rsidR="002C3CAD" w:rsidRPr="00C33834" w:rsidRDefault="002C3CAD" w:rsidP="00C33834">
            <w:pPr>
              <w:spacing w:after="0" w:line="240" w:lineRule="auto"/>
              <w:jc w:val="both"/>
              <w:rPr>
                <w:rFonts w:ascii="Times New Roman" w:hAnsi="Times New Roman"/>
                <w:color w:val="000000" w:themeColor="text1"/>
                <w:sz w:val="16"/>
                <w:szCs w:val="16"/>
              </w:rPr>
            </w:pPr>
          </w:p>
          <w:p w14:paraId="583C0C65"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 в КО с проектом постановления от 11 октября</w:t>
            </w:r>
          </w:p>
          <w:p w14:paraId="12B455C3"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срыве постановлений СТО от 15 апреля и ЦК ВКП(б) от 5 июля 1932 года по вооружению тяжелой авиации радиостанциями.</w:t>
            </w:r>
          </w:p>
          <w:p w14:paraId="2B4ACFDD"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 постановления: обязать НКТП под ответственность Орджоникидзе поставить к 1 января 1933 года:</w:t>
            </w:r>
          </w:p>
          <w:p w14:paraId="701529B3"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радиостанции 11-СК – 500 штук</w:t>
            </w:r>
          </w:p>
          <w:p w14:paraId="76ED9EC0"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радиостанции 11-АК – 40 штук</w:t>
            </w:r>
          </w:p>
          <w:p w14:paraId="14F02D27" w14:textId="77777777" w:rsidR="002C3CAD" w:rsidRPr="00C33834" w:rsidRDefault="002C3CAD" w:rsidP="00C33834">
            <w:pPr>
              <w:spacing w:after="0" w:line="240" w:lineRule="auto"/>
              <w:jc w:val="both"/>
              <w:rPr>
                <w:rFonts w:ascii="Times New Roman" w:hAnsi="Times New Roman"/>
                <w:color w:val="000000" w:themeColor="text1"/>
                <w:sz w:val="16"/>
                <w:szCs w:val="16"/>
              </w:rPr>
            </w:pPr>
          </w:p>
          <w:p w14:paraId="5D00FF51"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 пред. РВС от 20 декабря 1932 года</w:t>
            </w:r>
          </w:p>
          <w:p w14:paraId="0A4FB194"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срыве поставки авиационных раций за 1932 год.</w:t>
            </w:r>
          </w:p>
          <w:p w14:paraId="2E5C2481" w14:textId="77777777" w:rsidR="002C3CAD" w:rsidRPr="00C33834" w:rsidRDefault="002C3CAD" w:rsidP="00C33834">
            <w:pPr>
              <w:spacing w:after="0" w:line="240" w:lineRule="auto"/>
              <w:jc w:val="both"/>
              <w:rPr>
                <w:rFonts w:ascii="Times New Roman" w:hAnsi="Times New Roman"/>
                <w:color w:val="000000" w:themeColor="text1"/>
                <w:sz w:val="16"/>
                <w:szCs w:val="16"/>
              </w:rPr>
            </w:pPr>
          </w:p>
          <w:p w14:paraId="1FF12303"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 пред. РВС от 23 января 1933 года</w:t>
            </w:r>
          </w:p>
          <w:p w14:paraId="00D8DBC6"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проектом Политбюро ЦК ВКП(б)</w:t>
            </w:r>
          </w:p>
          <w:p w14:paraId="1A73D874"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срыве выполнения постановления СТО и ЦК ВКП(б) по вооружению тяжелой авиации средствами связи.</w:t>
            </w:r>
          </w:p>
          <w:p w14:paraId="6943A358" w14:textId="77777777" w:rsidR="002C3CAD" w:rsidRPr="00C33834" w:rsidRDefault="002C3CAD" w:rsidP="00C33834">
            <w:pPr>
              <w:spacing w:after="0" w:line="240" w:lineRule="auto"/>
              <w:jc w:val="both"/>
              <w:rPr>
                <w:rFonts w:ascii="Times New Roman" w:hAnsi="Times New Roman"/>
                <w:color w:val="000000" w:themeColor="text1"/>
                <w:sz w:val="16"/>
                <w:szCs w:val="16"/>
              </w:rPr>
            </w:pPr>
          </w:p>
          <w:p w14:paraId="62DE5E11"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 пред. КО от 26 января 1933 года с проектом постановления</w:t>
            </w:r>
          </w:p>
          <w:p w14:paraId="07CB9456"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О срыве поставок самолетных радиостанций за 1932 год и о сроках поставки на 1933 год.</w:t>
            </w:r>
          </w:p>
          <w:p w14:paraId="280658C6"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 стоит в повестке КО, но до сего времени не рассматривался.</w:t>
            </w:r>
          </w:p>
        </w:tc>
      </w:tr>
      <w:tr w:rsidR="002C3CAD" w:rsidRPr="00C33834" w14:paraId="634F4E97" w14:textId="77777777" w:rsidTr="003D0776">
        <w:tc>
          <w:tcPr>
            <w:tcW w:w="2178" w:type="dxa"/>
          </w:tcPr>
          <w:p w14:paraId="07ECDE30"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Постановление СТО за № 878/265сс от 26 февраля 1932 года</w:t>
            </w:r>
          </w:p>
          <w:p w14:paraId="25149BED"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 личную ответственность начальника ВОТИ Немова обеспечить изготовление автопилотов инженера Ниренберга с условием передачи головной серии в количестве 24 штук для войсковых испытаний в первой половине октября.</w:t>
            </w:r>
          </w:p>
        </w:tc>
        <w:tc>
          <w:tcPr>
            <w:tcW w:w="7711" w:type="dxa"/>
            <w:gridSpan w:val="4"/>
          </w:tcPr>
          <w:p w14:paraId="22AE8753"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8 марта 1933 года заводом «Метрон» из 24 штук заказанных, сдано 6 штук автопилотов. В процессе сборки и подготовки к сдаче – 18 штук, которые заводом представляются к приемке во второй половине марта 1933 года.</w:t>
            </w:r>
          </w:p>
          <w:p w14:paraId="1C8A45C9"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6 штук принятых – 1 смонтирован на самолет ТБ-1 и произведено 3 регулировочных полета.</w:t>
            </w:r>
          </w:p>
          <w:p w14:paraId="7FA3E032"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первом полете испытывались только компрессоры.</w:t>
            </w:r>
          </w:p>
          <w:p w14:paraId="4CDCD680"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втором полета лопнул мех и в рулевой машинке поперечной устойчивости.</w:t>
            </w:r>
          </w:p>
          <w:p w14:paraId="4F1DBB8C"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третьем – регулировочном полете заел золотник в автомате поперечной устойчивости.</w:t>
            </w:r>
          </w:p>
          <w:p w14:paraId="42B0DBE7"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два полета самолет управлялся автоматом, без вмешательства летчика 15-20 минут. При испытании автоматов, каждой стабилизации в отдельности – работа была удовлетворительной.</w:t>
            </w:r>
          </w:p>
          <w:p w14:paraId="15F0F1EE"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этого из числа тех же 6 принятых – 2 автопилота заканчиваются к 1 ноября 1933 года монтажем на самолет ТБ-1, после чего будет приступлено к их летным испытаниям. Сейчас монтаж задерживается, гл. образом из-за сварки.</w:t>
            </w:r>
          </w:p>
          <w:p w14:paraId="577DF61A"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1933 год генеральным договором с ВОТИ предусмотрена поставка заводом «Метрон» ВОТИ 97 штук автопилотов со сроками поставок:</w:t>
            </w:r>
          </w:p>
          <w:p w14:paraId="16571798"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II квартал 1933 года – 13 штук</w:t>
            </w:r>
          </w:p>
          <w:p w14:paraId="2630D506"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III квартал 1933 года – 32 штуки</w:t>
            </w:r>
          </w:p>
          <w:p w14:paraId="3A690080"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IV квартал 1933 года – 52 штуки</w:t>
            </w:r>
          </w:p>
          <w:p w14:paraId="6945069D"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тип автопилота, подлежащий серийному изготовлению пока еще не установлен, так как ни одна из опытных организаций еще не дала вполне законченного и испытанного образца.</w:t>
            </w:r>
          </w:p>
          <w:p w14:paraId="181BA641"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Причины невыполнения:</w:t>
            </w:r>
          </w:p>
          <w:p w14:paraId="77C5D0B2"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r w:rsidRPr="00C33834">
              <w:rPr>
                <w:rFonts w:ascii="Times New Roman" w:hAnsi="Times New Roman"/>
                <w:color w:val="000000" w:themeColor="text1"/>
                <w:sz w:val="16"/>
                <w:szCs w:val="16"/>
              </w:rPr>
              <w:tab/>
              <w:t>Новизна дела – техперсонал завода «Метрон» впервые в процессе производства знакомился с жироскопическими приборами.</w:t>
            </w:r>
          </w:p>
          <w:p w14:paraId="7AE428A2"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r w:rsidRPr="00C33834">
              <w:rPr>
                <w:rFonts w:ascii="Times New Roman" w:hAnsi="Times New Roman"/>
                <w:color w:val="000000" w:themeColor="text1"/>
                <w:sz w:val="16"/>
                <w:szCs w:val="16"/>
              </w:rPr>
              <w:tab/>
              <w:t>Отсутствие монтажной схемы, которая своевременно не была дана Ниренбергом.</w:t>
            </w:r>
          </w:p>
          <w:p w14:paraId="1DF7C551"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r w:rsidRPr="00C33834">
              <w:rPr>
                <w:rFonts w:ascii="Times New Roman" w:hAnsi="Times New Roman"/>
                <w:color w:val="000000" w:themeColor="text1"/>
                <w:sz w:val="16"/>
                <w:szCs w:val="16"/>
              </w:rPr>
              <w:tab/>
              <w:t>Морозы, замедлившие темпы работ по монтажу.</w:t>
            </w:r>
          </w:p>
          <w:p w14:paraId="45596EA5"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r w:rsidRPr="00C33834">
              <w:rPr>
                <w:rFonts w:ascii="Times New Roman" w:hAnsi="Times New Roman"/>
                <w:color w:val="000000" w:themeColor="text1"/>
                <w:sz w:val="16"/>
                <w:szCs w:val="16"/>
              </w:rPr>
              <w:tab/>
              <w:t>Большие трудности в изготовлении рулевых машинок и главного ……</w:t>
            </w:r>
          </w:p>
          <w:p w14:paraId="12F68EF4" w14:textId="77777777" w:rsidR="002C3CAD" w:rsidRPr="00C33834" w:rsidRDefault="002C3CAD" w:rsidP="00C33834">
            <w:pPr>
              <w:spacing w:after="0" w:line="240" w:lineRule="auto"/>
              <w:jc w:val="both"/>
              <w:rPr>
                <w:rFonts w:ascii="Times New Roman" w:hAnsi="Times New Roman"/>
                <w:color w:val="000000" w:themeColor="text1"/>
                <w:sz w:val="16"/>
                <w:szCs w:val="16"/>
              </w:rPr>
            </w:pPr>
          </w:p>
          <w:p w14:paraId="17D6E668"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Мероприятия со стороны УВВС в организации выполнения постановления</w:t>
            </w:r>
          </w:p>
          <w:p w14:paraId="2A51ED5D" w14:textId="77777777" w:rsidR="002C3CAD" w:rsidRPr="00C33834" w:rsidRDefault="002C3CAD" w:rsidP="00C33834">
            <w:pPr>
              <w:spacing w:after="0" w:line="240" w:lineRule="auto"/>
              <w:jc w:val="both"/>
              <w:rPr>
                <w:rFonts w:ascii="Times New Roman" w:hAnsi="Times New Roman"/>
                <w:color w:val="000000" w:themeColor="text1"/>
                <w:sz w:val="16"/>
                <w:szCs w:val="16"/>
              </w:rPr>
            </w:pPr>
          </w:p>
          <w:p w14:paraId="240BCA80"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 пред. РВС от 5 ………</w:t>
            </w:r>
          </w:p>
          <w:p w14:paraId="73644F70"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невыполнении ВОТИ постановления Правительства об изготовлении автопилотов.</w:t>
            </w:r>
          </w:p>
          <w:p w14:paraId="6A486BB4" w14:textId="77777777" w:rsidR="002C3CAD" w:rsidRPr="00C33834" w:rsidRDefault="002C3CAD" w:rsidP="00C33834">
            <w:pPr>
              <w:spacing w:after="0" w:line="240" w:lineRule="auto"/>
              <w:jc w:val="both"/>
              <w:rPr>
                <w:rFonts w:ascii="Times New Roman" w:hAnsi="Times New Roman"/>
                <w:color w:val="000000" w:themeColor="text1"/>
                <w:sz w:val="16"/>
                <w:szCs w:val="16"/>
              </w:rPr>
            </w:pPr>
          </w:p>
          <w:p w14:paraId="7758C782"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Письмо зам. НКТП Пятакову от 26 февраля 1932 года от имени зам. председателя РВС Гамарника – о невыполнении постановления Правительства по изготовлению автопилотов.</w:t>
            </w:r>
          </w:p>
          <w:p w14:paraId="23EAAE61" w14:textId="77777777" w:rsidR="002C3CAD" w:rsidRPr="00C33834" w:rsidRDefault="002C3CAD" w:rsidP="00C33834">
            <w:pPr>
              <w:spacing w:after="0" w:line="240" w:lineRule="auto"/>
              <w:jc w:val="both"/>
              <w:rPr>
                <w:rFonts w:ascii="Times New Roman" w:hAnsi="Times New Roman"/>
                <w:color w:val="000000" w:themeColor="text1"/>
                <w:sz w:val="16"/>
                <w:szCs w:val="16"/>
              </w:rPr>
            </w:pPr>
          </w:p>
          <w:p w14:paraId="7D30854B"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 в СТО Базилевича</w:t>
            </w:r>
          </w:p>
          <w:p w14:paraId="49768814"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ходе выполнения заказов по автопилотам.</w:t>
            </w:r>
          </w:p>
        </w:tc>
      </w:tr>
      <w:tr w:rsidR="002C3CAD" w:rsidRPr="00C33834" w14:paraId="47CB2783" w14:textId="77777777" w:rsidTr="003D0776">
        <w:tc>
          <w:tcPr>
            <w:tcW w:w="2178" w:type="dxa"/>
          </w:tcPr>
          <w:p w14:paraId="7486E333"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СТО за № 204/79сс от 10 марта 1932 года</w:t>
            </w:r>
          </w:p>
          <w:p w14:paraId="75C70E64"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строительстве оперативных аэродромов.</w:t>
            </w:r>
          </w:p>
        </w:tc>
        <w:tc>
          <w:tcPr>
            <w:tcW w:w="7711" w:type="dxa"/>
            <w:gridSpan w:val="4"/>
          </w:tcPr>
          <w:p w14:paraId="707FFDB3"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r w:rsidRPr="00C33834">
              <w:rPr>
                <w:rFonts w:ascii="Times New Roman" w:hAnsi="Times New Roman"/>
                <w:color w:val="000000" w:themeColor="text1"/>
                <w:sz w:val="16"/>
                <w:szCs w:val="16"/>
              </w:rPr>
              <w:tab/>
              <w:t>Найдено аэродромов – 276</w:t>
            </w:r>
          </w:p>
          <w:p w14:paraId="7934A11A"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r w:rsidRPr="00C33834">
              <w:rPr>
                <w:rFonts w:ascii="Times New Roman" w:hAnsi="Times New Roman"/>
                <w:color w:val="000000" w:themeColor="text1"/>
                <w:sz w:val="16"/>
                <w:szCs w:val="16"/>
              </w:rPr>
              <w:tab/>
              <w:t>Начаты работы на 256 аэродромах</w:t>
            </w:r>
          </w:p>
          <w:p w14:paraId="731563FE"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r w:rsidRPr="00C33834">
              <w:rPr>
                <w:rFonts w:ascii="Times New Roman" w:hAnsi="Times New Roman"/>
                <w:color w:val="000000" w:themeColor="text1"/>
                <w:sz w:val="16"/>
                <w:szCs w:val="16"/>
              </w:rPr>
              <w:tab/>
              <w:t>Законченных летных полей – 164</w:t>
            </w:r>
          </w:p>
          <w:p w14:paraId="16AA09BA"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r w:rsidRPr="00C33834">
              <w:rPr>
                <w:rFonts w:ascii="Times New Roman" w:hAnsi="Times New Roman"/>
                <w:color w:val="000000" w:themeColor="text1"/>
                <w:sz w:val="16"/>
                <w:szCs w:val="16"/>
              </w:rPr>
              <w:tab/>
              <w:t>Незаконченных летных полей – 112</w:t>
            </w:r>
          </w:p>
          <w:p w14:paraId="1443E131"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r w:rsidRPr="00C33834">
              <w:rPr>
                <w:rFonts w:ascii="Times New Roman" w:hAnsi="Times New Roman"/>
                <w:color w:val="000000" w:themeColor="text1"/>
                <w:sz w:val="16"/>
                <w:szCs w:val="16"/>
              </w:rPr>
              <w:tab/>
              <w:t>Бомбохранилищ законченных – 14</w:t>
            </w:r>
          </w:p>
          <w:p w14:paraId="0B22C642"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r w:rsidRPr="00C33834">
              <w:rPr>
                <w:rFonts w:ascii="Times New Roman" w:hAnsi="Times New Roman"/>
                <w:color w:val="000000" w:themeColor="text1"/>
                <w:sz w:val="16"/>
                <w:szCs w:val="16"/>
              </w:rPr>
              <w:tab/>
              <w:t>Бомбохранилищ не законченных – 89</w:t>
            </w:r>
          </w:p>
          <w:p w14:paraId="501C80F5"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Причины невыполнения</w:t>
            </w:r>
          </w:p>
          <w:p w14:paraId="708C0C92"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Необеспеченность полностью строительными материалами и строймеханизмами (тракторами, корчевальными машинами, экскаваторами, скреперами и катками).</w:t>
            </w:r>
          </w:p>
        </w:tc>
      </w:tr>
      <w:tr w:rsidR="002C3CAD" w:rsidRPr="00C33834" w14:paraId="625B6CAC" w14:textId="77777777" w:rsidTr="003D0776">
        <w:tc>
          <w:tcPr>
            <w:tcW w:w="2178" w:type="dxa"/>
          </w:tcPr>
          <w:p w14:paraId="57B7AAC6"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ЦК ВКП(б) от 16 сентября 1932 года</w:t>
            </w:r>
          </w:p>
          <w:p w14:paraId="3C1F5422"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r w:rsidRPr="00C33834">
              <w:rPr>
                <w:rFonts w:ascii="Times New Roman" w:hAnsi="Times New Roman"/>
                <w:color w:val="000000" w:themeColor="text1"/>
                <w:sz w:val="16"/>
                <w:szCs w:val="16"/>
              </w:rPr>
              <w:tab/>
              <w:t>Разработать и представить на утверждение КО календарный план устранения на самолетах ТБ-3, Р5 и Р6 в последующих сериях дефекты, обнаруженные в процессе эксплуатации.</w:t>
            </w:r>
          </w:p>
          <w:p w14:paraId="18EB6CE7"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исполнения 15 октября 1932 года.</w:t>
            </w:r>
          </w:p>
          <w:p w14:paraId="1ABD9783"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r w:rsidRPr="00C33834">
              <w:rPr>
                <w:rFonts w:ascii="Times New Roman" w:hAnsi="Times New Roman"/>
                <w:color w:val="000000" w:themeColor="text1"/>
                <w:sz w:val="16"/>
                <w:szCs w:val="16"/>
              </w:rPr>
              <w:tab/>
              <w:t>Проверить устранение ГУАПом, являющихся опасными для полетов, дефектов и доведение безотказной работы моторов до первой переборки – 200 часов.</w:t>
            </w:r>
          </w:p>
        </w:tc>
        <w:tc>
          <w:tcPr>
            <w:tcW w:w="7711" w:type="dxa"/>
            <w:gridSpan w:val="4"/>
          </w:tcPr>
          <w:p w14:paraId="766A3BE7" w14:textId="77777777" w:rsidR="002C3CAD" w:rsidRPr="00C33834" w:rsidRDefault="002C3CAD" w:rsidP="00C33834">
            <w:pPr>
              <w:pStyle w:val="a3"/>
              <w:widowControl/>
              <w:rPr>
                <w:color w:val="000000" w:themeColor="text1"/>
                <w:lang w:val="ru-RU"/>
              </w:rPr>
            </w:pPr>
            <w:r w:rsidRPr="00C33834">
              <w:rPr>
                <w:color w:val="000000" w:themeColor="text1"/>
                <w:lang w:val="ru-RU"/>
              </w:rPr>
              <w:t>Выполнено 6 ноября 1932 года.</w:t>
            </w:r>
          </w:p>
          <w:p w14:paraId="6488F96A" w14:textId="77777777" w:rsidR="002C3CAD" w:rsidRPr="00C33834" w:rsidRDefault="002C3CAD" w:rsidP="00C33834">
            <w:pPr>
              <w:pStyle w:val="a3"/>
              <w:widowControl/>
              <w:rPr>
                <w:color w:val="000000" w:themeColor="text1"/>
                <w:lang w:val="ru-RU"/>
              </w:rPr>
            </w:pPr>
          </w:p>
          <w:p w14:paraId="75D531F1" w14:textId="77777777" w:rsidR="002C3CAD" w:rsidRPr="00C33834" w:rsidRDefault="002C3CAD" w:rsidP="00C33834">
            <w:pPr>
              <w:spacing w:after="0" w:line="240" w:lineRule="auto"/>
              <w:jc w:val="both"/>
              <w:rPr>
                <w:rFonts w:ascii="Times New Roman" w:hAnsi="Times New Roman"/>
                <w:color w:val="000000" w:themeColor="text1"/>
                <w:sz w:val="16"/>
                <w:szCs w:val="16"/>
              </w:rPr>
            </w:pPr>
          </w:p>
          <w:p w14:paraId="0EE9F3F9" w14:textId="77777777" w:rsidR="002C3CAD" w:rsidRPr="00C33834" w:rsidRDefault="002C3CAD" w:rsidP="00C33834">
            <w:pPr>
              <w:spacing w:after="0" w:line="240" w:lineRule="auto"/>
              <w:jc w:val="both"/>
              <w:rPr>
                <w:rFonts w:ascii="Times New Roman" w:hAnsi="Times New Roman"/>
                <w:color w:val="000000" w:themeColor="text1"/>
                <w:sz w:val="16"/>
                <w:szCs w:val="16"/>
              </w:rPr>
            </w:pPr>
          </w:p>
          <w:p w14:paraId="40415007"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период времени с ноября 1932 года по февраль 1933 года было проведено ряд испытаний, из которых наиболее длительными (200 часов) являются:</w:t>
            </w:r>
          </w:p>
          <w:p w14:paraId="24A7FBB4"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r w:rsidRPr="00C33834">
              <w:rPr>
                <w:rFonts w:ascii="Times New Roman" w:hAnsi="Times New Roman"/>
                <w:color w:val="000000" w:themeColor="text1"/>
                <w:sz w:val="16"/>
                <w:szCs w:val="16"/>
              </w:rPr>
              <w:tab/>
              <w:t>Испытание, проведенное в ЦИАМе, показавшее вполне удовлетворительные результаты с точки зрения состояния деталей и надежности работы.</w:t>
            </w:r>
          </w:p>
          <w:p w14:paraId="5B6FF617" w14:textId="77777777" w:rsidR="002C3CAD" w:rsidRPr="00C33834" w:rsidRDefault="002C3CAD"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r w:rsidRPr="00C33834">
              <w:rPr>
                <w:rFonts w:ascii="Times New Roman" w:hAnsi="Times New Roman"/>
                <w:color w:val="000000" w:themeColor="text1"/>
                <w:sz w:val="16"/>
                <w:szCs w:val="16"/>
              </w:rPr>
              <w:tab/>
              <w:t>Испытание проведенное под руководством ЦИАМа на заводе № 26, показавшее совершенно неудовлетворительные результаты. Мотор проработал 195 часов, после чего произошла авария из-за обрыва цилиндра.</w:t>
            </w:r>
          </w:p>
          <w:p w14:paraId="7140B80E"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Ряд крайне существенных дефектов: обрыв 4-х цилиндров, сильное выкрашивание цементационного слоя шатунных шеек коленчатого вала, большой износ боковой поверхности роликовых обойм гл. шатунов и др., выявленных на последнем испытании, а также совершенно неудовлетворительное состояние производства на заводе № 26, не позволяют считать вопрос о доведении срока службы этого мотора до 200 часов между переборками.</w:t>
            </w:r>
          </w:p>
          <w:p w14:paraId="5AE1D9E9"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необходимо отметить, что большинство уже давно известных дефектов мотора М-17 не устранены и проведение в жизнь намеченных улучшений удерживается введением в производство.</w:t>
            </w:r>
          </w:p>
          <w:p w14:paraId="25719DFB"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Вышеизложенное, а также пропуск заводом на сборку большого количества некондиционных деталей, привело к тому, что по январь и февраль 1933 года заводом было собрано 93 мотора пониженной кондиции, из которых к летной работе допущено лишь 11 моторов.</w:t>
            </w:r>
          </w:p>
          <w:p w14:paraId="12C673F6"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Такая работа завода № 26 привела к тому, что большинство моторов, находящихся в эксплуатации, заражено рядом дефектов (трещины головок цилиндров, износ верхних головок шатунов, поломка шестерен, передачи к помпам и др.), что в условиях недостатка запасных частей, крайне тяжело отзывается на эксплуатации.</w:t>
            </w:r>
          </w:p>
        </w:tc>
      </w:tr>
      <w:tr w:rsidR="002C3CAD" w:rsidRPr="00C33834" w14:paraId="6D513F93" w14:textId="77777777" w:rsidTr="003D0776">
        <w:tc>
          <w:tcPr>
            <w:tcW w:w="2178" w:type="dxa"/>
          </w:tcPr>
          <w:p w14:paraId="6864E730"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Установление ГУАПом совместно с УВВС и ГУГВФ генеральных сроков службы деталей моторов и самолетов.</w:t>
            </w:r>
          </w:p>
          <w:p w14:paraId="0205FB13"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исполнения – декабрь 1932 года.</w:t>
            </w:r>
          </w:p>
        </w:tc>
        <w:tc>
          <w:tcPr>
            <w:tcW w:w="7711" w:type="dxa"/>
            <w:gridSpan w:val="4"/>
          </w:tcPr>
          <w:p w14:paraId="3A7DCB30" w14:textId="77777777" w:rsidR="002C3CAD" w:rsidRPr="00C33834" w:rsidRDefault="002C3CAD" w:rsidP="00C33834">
            <w:pPr>
              <w:pStyle w:val="a3"/>
              <w:widowControl/>
              <w:rPr>
                <w:color w:val="000000" w:themeColor="text1"/>
                <w:lang w:val="ru-RU"/>
              </w:rPr>
            </w:pPr>
            <w:r w:rsidRPr="00C33834">
              <w:rPr>
                <w:color w:val="000000" w:themeColor="text1"/>
                <w:lang w:val="ru-RU"/>
              </w:rPr>
              <w:t>Не выполнено.</w:t>
            </w:r>
          </w:p>
          <w:p w14:paraId="06E8CEA1" w14:textId="77777777" w:rsidR="002C3CAD" w:rsidRPr="00C33834" w:rsidRDefault="002C3CAD" w:rsidP="00C33834">
            <w:pPr>
              <w:pStyle w:val="a3"/>
              <w:widowControl/>
              <w:rPr>
                <w:color w:val="000000" w:themeColor="text1"/>
                <w:lang w:val="ru-RU"/>
              </w:rPr>
            </w:pPr>
            <w:r w:rsidRPr="00C33834">
              <w:rPr>
                <w:color w:val="000000" w:themeColor="text1"/>
                <w:lang w:val="ru-RU"/>
              </w:rPr>
              <w:t>Причины невыполнения:</w:t>
            </w:r>
          </w:p>
          <w:p w14:paraId="2C4BA6F8" w14:textId="77777777" w:rsidR="002C3CAD" w:rsidRPr="00C33834" w:rsidRDefault="002C3CAD" w:rsidP="00C33834">
            <w:pPr>
              <w:pStyle w:val="a3"/>
              <w:widowControl/>
              <w:rPr>
                <w:color w:val="000000" w:themeColor="text1"/>
                <w:lang w:val="ru-RU"/>
              </w:rPr>
            </w:pPr>
            <w:r w:rsidRPr="00C33834">
              <w:rPr>
                <w:color w:val="000000" w:themeColor="text1"/>
                <w:lang w:val="ru-RU"/>
              </w:rPr>
              <w:t>Отсутствие статистического учета по износу отдельных деталей самолетов и моторов как по реморганам ГУАПа, так и по всем частям ВВС. Только с января 1933 года в штат НИИ введен специальный Сектор по учету и техстатистике, который будет специально заниматься этими вопросами.</w:t>
            </w:r>
          </w:p>
        </w:tc>
      </w:tr>
      <w:tr w:rsidR="002C3CAD" w:rsidRPr="00C33834" w14:paraId="4B67A84E" w14:textId="77777777" w:rsidTr="003D0776">
        <w:tc>
          <w:tcPr>
            <w:tcW w:w="2178" w:type="dxa"/>
          </w:tcPr>
          <w:p w14:paraId="6100CF2E"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Составить план инспектирования и инструктирования реморганов ВВС ГУАПом и Рем. управл. ВВС.</w:t>
            </w:r>
          </w:p>
          <w:p w14:paraId="7718FD63"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Срок выполнения – 15 октября 1932 года.</w:t>
            </w:r>
          </w:p>
        </w:tc>
        <w:tc>
          <w:tcPr>
            <w:tcW w:w="7711" w:type="dxa"/>
            <w:gridSpan w:val="4"/>
          </w:tcPr>
          <w:p w14:paraId="14BDAB77" w14:textId="77777777" w:rsidR="002C3CAD" w:rsidRPr="00C33834" w:rsidRDefault="002C3CAD" w:rsidP="00C33834">
            <w:pPr>
              <w:pStyle w:val="a3"/>
              <w:widowControl/>
              <w:rPr>
                <w:color w:val="000000" w:themeColor="text1"/>
                <w:lang w:val="ru-RU"/>
              </w:rPr>
            </w:pPr>
            <w:r w:rsidRPr="00C33834">
              <w:rPr>
                <w:color w:val="000000" w:themeColor="text1"/>
                <w:lang w:val="ru-RU"/>
              </w:rPr>
              <w:lastRenderedPageBreak/>
              <w:t>Выполнен в срок.</w:t>
            </w:r>
          </w:p>
        </w:tc>
      </w:tr>
      <w:tr w:rsidR="002C3CAD" w:rsidRPr="00C33834" w14:paraId="6294C76B" w14:textId="77777777" w:rsidTr="003D0776">
        <w:tc>
          <w:tcPr>
            <w:tcW w:w="2178" w:type="dxa"/>
          </w:tcPr>
          <w:p w14:paraId="62B09B64"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Разработать положение о взаимоотношениях ГУАПа и УВВС о приемке и сдаче материальной части для утверждения и объявления в приказе Нарокмтяжпромаи Наркомвоенмора.</w:t>
            </w:r>
          </w:p>
          <w:p w14:paraId="2C462A1D"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исполнения – 1 ноября 1932 года.</w:t>
            </w:r>
          </w:p>
        </w:tc>
        <w:tc>
          <w:tcPr>
            <w:tcW w:w="7711" w:type="dxa"/>
            <w:gridSpan w:val="4"/>
          </w:tcPr>
          <w:p w14:paraId="1ACA6BC3" w14:textId="77777777" w:rsidR="002C3CAD" w:rsidRPr="00C33834" w:rsidRDefault="002C3CAD" w:rsidP="00C33834">
            <w:pPr>
              <w:pStyle w:val="a3"/>
              <w:widowControl/>
              <w:rPr>
                <w:color w:val="000000" w:themeColor="text1"/>
                <w:lang w:val="ru-RU"/>
              </w:rPr>
            </w:pPr>
            <w:r w:rsidRPr="00C33834">
              <w:rPr>
                <w:color w:val="000000" w:themeColor="text1"/>
                <w:lang w:val="ru-RU"/>
              </w:rPr>
              <w:t>Проект разработан в срок. Представлен ГУАПу для согласования и увязки спорных вопросов с трестами и заводами.</w:t>
            </w:r>
          </w:p>
        </w:tc>
      </w:tr>
      <w:tr w:rsidR="002C3CAD" w:rsidRPr="00C33834" w14:paraId="4B902F2D" w14:textId="77777777" w:rsidTr="003D0776">
        <w:tc>
          <w:tcPr>
            <w:tcW w:w="2178" w:type="dxa"/>
          </w:tcPr>
          <w:p w14:paraId="00B33AD4"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Образование Треста горючих и смазочных материалов.</w:t>
            </w:r>
          </w:p>
          <w:p w14:paraId="76E47A27"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исполнения – 15 октября 1932 года.</w:t>
            </w:r>
          </w:p>
        </w:tc>
        <w:tc>
          <w:tcPr>
            <w:tcW w:w="7711" w:type="dxa"/>
            <w:gridSpan w:val="4"/>
          </w:tcPr>
          <w:p w14:paraId="362F31A4" w14:textId="77777777" w:rsidR="002C3CAD" w:rsidRPr="00C33834" w:rsidRDefault="002C3CAD" w:rsidP="00C33834">
            <w:pPr>
              <w:pStyle w:val="a3"/>
              <w:widowControl/>
              <w:rPr>
                <w:color w:val="000000" w:themeColor="text1"/>
                <w:lang w:val="ru-RU"/>
              </w:rPr>
            </w:pPr>
            <w:r w:rsidRPr="00C33834">
              <w:rPr>
                <w:color w:val="000000" w:themeColor="text1"/>
                <w:lang w:val="ru-RU"/>
              </w:rPr>
              <w:t>Исполнено.</w:t>
            </w:r>
          </w:p>
        </w:tc>
      </w:tr>
      <w:tr w:rsidR="002C3CAD" w:rsidRPr="00C33834" w14:paraId="391BF95A" w14:textId="77777777" w:rsidTr="003D0776">
        <w:tc>
          <w:tcPr>
            <w:tcW w:w="2178" w:type="dxa"/>
          </w:tcPr>
          <w:p w14:paraId="756EBFF0"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ВВС</w:t>
            </w:r>
          </w:p>
        </w:tc>
        <w:tc>
          <w:tcPr>
            <w:tcW w:w="7711" w:type="dxa"/>
            <w:gridSpan w:val="4"/>
          </w:tcPr>
          <w:p w14:paraId="34C65E49" w14:textId="77777777" w:rsidR="002C3CAD" w:rsidRPr="00C33834" w:rsidRDefault="002C3CAD" w:rsidP="00C33834">
            <w:pPr>
              <w:pStyle w:val="a3"/>
              <w:widowControl/>
              <w:rPr>
                <w:color w:val="000000" w:themeColor="text1"/>
                <w:lang w:val="ru-RU"/>
              </w:rPr>
            </w:pPr>
          </w:p>
        </w:tc>
      </w:tr>
      <w:tr w:rsidR="002C3CAD" w:rsidRPr="00C33834" w14:paraId="72BD8D96" w14:textId="77777777" w:rsidTr="003D0776">
        <w:tc>
          <w:tcPr>
            <w:tcW w:w="2178" w:type="dxa"/>
          </w:tcPr>
          <w:p w14:paraId="0139BB94"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Переиздать инструкцию технической эксплуатации основных типов самолетов и моторов.</w:t>
            </w:r>
          </w:p>
          <w:p w14:paraId="1EDDD3FD"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исполнения – 1 января 1933 года.</w:t>
            </w:r>
          </w:p>
        </w:tc>
        <w:tc>
          <w:tcPr>
            <w:tcW w:w="7711" w:type="dxa"/>
            <w:gridSpan w:val="4"/>
          </w:tcPr>
          <w:p w14:paraId="3F1A65BB" w14:textId="77777777" w:rsidR="002C3CAD" w:rsidRPr="00C33834" w:rsidRDefault="002C3CAD" w:rsidP="00C33834">
            <w:pPr>
              <w:pStyle w:val="a3"/>
              <w:widowControl/>
              <w:rPr>
                <w:color w:val="000000" w:themeColor="text1"/>
                <w:lang w:val="ru-RU"/>
              </w:rPr>
            </w:pPr>
            <w:r w:rsidRPr="00C33834">
              <w:rPr>
                <w:color w:val="000000" w:themeColor="text1"/>
                <w:lang w:val="ru-RU"/>
              </w:rPr>
              <w:t>Инструкция по эксплуатации самолета Р5 переиздана, инструкции по эксплуатации самолетов ТБ-3, ТБ-1, Р-6, И-5, И-7, переработаны и находятся в печати (инструкции охватывают эксплуатацию не только самолетов, но и моторов, специального оборудования и вооружения установленного на самолетах).</w:t>
            </w:r>
          </w:p>
        </w:tc>
      </w:tr>
      <w:tr w:rsidR="002C3CAD" w:rsidRPr="00C33834" w14:paraId="6CF89EA2" w14:textId="77777777" w:rsidTr="003D0776">
        <w:tc>
          <w:tcPr>
            <w:tcW w:w="2178" w:type="dxa"/>
          </w:tcPr>
          <w:p w14:paraId="6CEDA322"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Издать положение о взаимоотношении между командным и техническим составом частей ВВС.</w:t>
            </w:r>
          </w:p>
          <w:p w14:paraId="73984210"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исполнения – 10 октября 1932 года.</w:t>
            </w:r>
          </w:p>
        </w:tc>
        <w:tc>
          <w:tcPr>
            <w:tcW w:w="7711" w:type="dxa"/>
            <w:gridSpan w:val="4"/>
          </w:tcPr>
          <w:p w14:paraId="332B639D" w14:textId="77777777" w:rsidR="002C3CAD" w:rsidRPr="00C33834" w:rsidRDefault="002C3CAD" w:rsidP="00C33834">
            <w:pPr>
              <w:pStyle w:val="a3"/>
              <w:widowControl/>
              <w:rPr>
                <w:color w:val="000000" w:themeColor="text1"/>
                <w:lang w:val="ru-RU"/>
              </w:rPr>
            </w:pPr>
            <w:r w:rsidRPr="00C33834">
              <w:rPr>
                <w:color w:val="000000" w:themeColor="text1"/>
                <w:lang w:val="ru-RU"/>
              </w:rPr>
              <w:t>Положение о правах и обязанностях командного и технического состава частей ВВС разработано, напечатано и разослано на места 2 октября 1932 года.</w:t>
            </w:r>
          </w:p>
          <w:p w14:paraId="229944FF" w14:textId="77777777" w:rsidR="002C3CAD" w:rsidRPr="00C33834" w:rsidRDefault="002C3CAD" w:rsidP="00C33834">
            <w:pPr>
              <w:pStyle w:val="a3"/>
              <w:widowControl/>
              <w:rPr>
                <w:color w:val="000000" w:themeColor="text1"/>
                <w:lang w:val="ru-RU"/>
              </w:rPr>
            </w:pPr>
            <w:r w:rsidRPr="00C33834">
              <w:rPr>
                <w:color w:val="000000" w:themeColor="text1"/>
                <w:lang w:val="ru-RU"/>
              </w:rPr>
              <w:t>Права бригадирного инженера расширены, что регламентировано в особом положении, изданном 2 октября 1932 года.</w:t>
            </w:r>
          </w:p>
        </w:tc>
      </w:tr>
      <w:tr w:rsidR="002C3CAD" w:rsidRPr="00C33834" w14:paraId="2671C67A" w14:textId="77777777" w:rsidTr="003D0776">
        <w:tc>
          <w:tcPr>
            <w:tcW w:w="2178" w:type="dxa"/>
          </w:tcPr>
          <w:p w14:paraId="18EAAF4E"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Разработать и издать положение о порядке и сроках полной ликвидации обезлички в ВВС.</w:t>
            </w:r>
          </w:p>
          <w:p w14:paraId="7E53FFF3"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исполнения – 15 октября 1932 года.</w:t>
            </w:r>
          </w:p>
        </w:tc>
        <w:tc>
          <w:tcPr>
            <w:tcW w:w="7711" w:type="dxa"/>
            <w:gridSpan w:val="4"/>
          </w:tcPr>
          <w:p w14:paraId="778F0B74" w14:textId="77777777" w:rsidR="002C3CAD" w:rsidRPr="00C33834" w:rsidRDefault="002C3CAD" w:rsidP="00C33834">
            <w:pPr>
              <w:pStyle w:val="a3"/>
              <w:widowControl/>
              <w:rPr>
                <w:color w:val="000000" w:themeColor="text1"/>
                <w:lang w:val="ru-RU"/>
              </w:rPr>
            </w:pPr>
            <w:r w:rsidRPr="00C33834">
              <w:rPr>
                <w:color w:val="000000" w:themeColor="text1"/>
                <w:lang w:val="ru-RU"/>
              </w:rPr>
              <w:t>В указаниях частям ВВС по боевой подготовке на 1933 год приказано – к 1 декабря 1933 года твердо закрепить экипажи по самолетам.</w:t>
            </w:r>
          </w:p>
          <w:p w14:paraId="45B75CD9" w14:textId="77777777" w:rsidR="002C3CAD" w:rsidRPr="00C33834" w:rsidRDefault="002C3CAD" w:rsidP="00C33834">
            <w:pPr>
              <w:pStyle w:val="a3"/>
              <w:widowControl/>
              <w:rPr>
                <w:color w:val="000000" w:themeColor="text1"/>
                <w:lang w:val="ru-RU"/>
              </w:rPr>
            </w:pPr>
            <w:r w:rsidRPr="00C33834">
              <w:rPr>
                <w:color w:val="000000" w:themeColor="text1"/>
                <w:lang w:val="ru-RU"/>
              </w:rPr>
              <w:t>Проверочные комиссии по планированию боевой подготовки поверяли исполнение этого путем выезда на места. Нарушения еще имеют место. Меры к полной ликвидации обезлички приняты.</w:t>
            </w:r>
          </w:p>
        </w:tc>
      </w:tr>
      <w:tr w:rsidR="002C3CAD" w:rsidRPr="00C33834" w14:paraId="1F503565" w14:textId="77777777" w:rsidTr="003D0776">
        <w:tc>
          <w:tcPr>
            <w:tcW w:w="2178" w:type="dxa"/>
          </w:tcPr>
          <w:p w14:paraId="75D80165"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Разработать и представить на утверждение наркому мероприятия по сокращению текучести состава ВВС.</w:t>
            </w:r>
          </w:p>
          <w:p w14:paraId="7ABA800A"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исполнения – 1 ноября 1932 года.</w:t>
            </w:r>
          </w:p>
        </w:tc>
        <w:tc>
          <w:tcPr>
            <w:tcW w:w="7711" w:type="dxa"/>
            <w:gridSpan w:val="4"/>
          </w:tcPr>
          <w:p w14:paraId="5FCF05AE" w14:textId="77777777" w:rsidR="002C3CAD" w:rsidRPr="00C33834" w:rsidRDefault="002C3CAD" w:rsidP="00C33834">
            <w:pPr>
              <w:pStyle w:val="a3"/>
              <w:widowControl/>
              <w:rPr>
                <w:color w:val="000000" w:themeColor="text1"/>
                <w:lang w:val="ru-RU"/>
              </w:rPr>
            </w:pPr>
            <w:r w:rsidRPr="00C33834">
              <w:rPr>
                <w:color w:val="000000" w:themeColor="text1"/>
                <w:lang w:val="ru-RU"/>
              </w:rPr>
              <w:t>Для борьбы с текучестью проведен ряд практических мероприятий:</w:t>
            </w:r>
          </w:p>
          <w:p w14:paraId="2419BC67" w14:textId="77777777" w:rsidR="002C3CAD" w:rsidRPr="00C33834" w:rsidRDefault="002C3CAD" w:rsidP="00C33834">
            <w:pPr>
              <w:pStyle w:val="a3"/>
              <w:widowControl/>
              <w:rPr>
                <w:color w:val="000000" w:themeColor="text1"/>
                <w:lang w:val="ru-RU"/>
              </w:rPr>
            </w:pPr>
            <w:r w:rsidRPr="00C33834">
              <w:rPr>
                <w:color w:val="000000" w:themeColor="text1"/>
                <w:lang w:val="ru-RU"/>
              </w:rPr>
              <w:t>а) перемещение в основном проводится внутри округов;</w:t>
            </w:r>
          </w:p>
          <w:p w14:paraId="0A5D8D3E" w14:textId="77777777" w:rsidR="002C3CAD" w:rsidRPr="00C33834" w:rsidRDefault="002C3CAD" w:rsidP="00C33834">
            <w:pPr>
              <w:pStyle w:val="a3"/>
              <w:widowControl/>
              <w:rPr>
                <w:color w:val="000000" w:themeColor="text1"/>
                <w:lang w:val="ru-RU"/>
              </w:rPr>
            </w:pPr>
            <w:r w:rsidRPr="00C33834">
              <w:rPr>
                <w:color w:val="000000" w:themeColor="text1"/>
                <w:lang w:val="ru-RU"/>
              </w:rPr>
              <w:t>б) перемещение штабных командиров не производится ранее выслуги установленных приказом наркома сроков;</w:t>
            </w:r>
          </w:p>
          <w:p w14:paraId="4200447D" w14:textId="77777777" w:rsidR="002C3CAD" w:rsidRPr="00C33834" w:rsidRDefault="002C3CAD" w:rsidP="00C33834">
            <w:pPr>
              <w:pStyle w:val="a3"/>
              <w:widowControl/>
              <w:rPr>
                <w:color w:val="000000" w:themeColor="text1"/>
                <w:lang w:val="ru-RU"/>
              </w:rPr>
            </w:pPr>
            <w:r w:rsidRPr="00C33834">
              <w:rPr>
                <w:color w:val="000000" w:themeColor="text1"/>
                <w:lang w:val="ru-RU"/>
              </w:rPr>
              <w:t>в) сокращение до минимума перемещения командиров на однородные должности той же категории.</w:t>
            </w:r>
          </w:p>
        </w:tc>
      </w:tr>
      <w:tr w:rsidR="002C3CAD" w:rsidRPr="00C33834" w14:paraId="69D9EB3D" w14:textId="77777777" w:rsidTr="003D0776">
        <w:tc>
          <w:tcPr>
            <w:tcW w:w="2178" w:type="dxa"/>
          </w:tcPr>
          <w:p w14:paraId="631D3031"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Издать положение о бригаде, эскадрилье, отряде и звене.</w:t>
            </w:r>
          </w:p>
          <w:p w14:paraId="71CEB318"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исполнения – 1 ноября 1932 года.</w:t>
            </w:r>
          </w:p>
        </w:tc>
        <w:tc>
          <w:tcPr>
            <w:tcW w:w="7711" w:type="dxa"/>
            <w:gridSpan w:val="4"/>
          </w:tcPr>
          <w:p w14:paraId="21B9A41F" w14:textId="77777777" w:rsidR="002C3CAD" w:rsidRPr="00C33834" w:rsidRDefault="002C3CAD" w:rsidP="00C33834">
            <w:pPr>
              <w:pStyle w:val="a3"/>
              <w:widowControl/>
              <w:rPr>
                <w:color w:val="000000" w:themeColor="text1"/>
                <w:lang w:val="ru-RU"/>
              </w:rPr>
            </w:pPr>
            <w:r w:rsidRPr="00C33834">
              <w:rPr>
                <w:color w:val="000000" w:themeColor="text1"/>
                <w:lang w:val="ru-RU"/>
              </w:rPr>
              <w:t>Положение о правах и обязанностях командира звена разработано и представляется на утверждение наркому.</w:t>
            </w:r>
          </w:p>
        </w:tc>
      </w:tr>
      <w:tr w:rsidR="002C3CAD" w:rsidRPr="00C33834" w14:paraId="630DCC9E" w14:textId="77777777" w:rsidTr="003D0776">
        <w:tc>
          <w:tcPr>
            <w:tcW w:w="2178" w:type="dxa"/>
          </w:tcPr>
          <w:p w14:paraId="682262EB"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Разработать новые штаты и положение НИИ ВВС.</w:t>
            </w:r>
          </w:p>
          <w:p w14:paraId="0A39B075"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исполнения – 10 октября 1932 года.</w:t>
            </w:r>
          </w:p>
        </w:tc>
        <w:tc>
          <w:tcPr>
            <w:tcW w:w="7711" w:type="dxa"/>
            <w:gridSpan w:val="4"/>
          </w:tcPr>
          <w:p w14:paraId="62333F3C" w14:textId="77777777" w:rsidR="002C3CAD" w:rsidRPr="00C33834" w:rsidRDefault="002C3CAD" w:rsidP="00C33834">
            <w:pPr>
              <w:pStyle w:val="a3"/>
              <w:widowControl/>
              <w:rPr>
                <w:color w:val="000000" w:themeColor="text1"/>
                <w:lang w:val="ru-RU"/>
              </w:rPr>
            </w:pPr>
            <w:r w:rsidRPr="00C33834">
              <w:rPr>
                <w:color w:val="000000" w:themeColor="text1"/>
                <w:lang w:val="ru-RU"/>
              </w:rPr>
              <w:t>Штат НИИ разработан, утвержден наркомом и введен в действие с 1 января 1933 года. Положение разработано и представлено на утверждение наркома.</w:t>
            </w:r>
          </w:p>
        </w:tc>
      </w:tr>
      <w:tr w:rsidR="002C3CAD" w:rsidRPr="00C33834" w14:paraId="294B2B55" w14:textId="77777777" w:rsidTr="003D0776">
        <w:tc>
          <w:tcPr>
            <w:tcW w:w="2178" w:type="dxa"/>
          </w:tcPr>
          <w:p w14:paraId="236FB1DA"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Провести второй раз производственно-технические совещания на заводах.</w:t>
            </w:r>
          </w:p>
          <w:p w14:paraId="0F06B39E"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исполнения – январь-февраль 1933 года.</w:t>
            </w:r>
          </w:p>
        </w:tc>
        <w:tc>
          <w:tcPr>
            <w:tcW w:w="7711" w:type="dxa"/>
            <w:gridSpan w:val="4"/>
          </w:tcPr>
          <w:p w14:paraId="0F256973" w14:textId="77777777" w:rsidR="002C3CAD" w:rsidRPr="00C33834" w:rsidRDefault="002C3CAD" w:rsidP="00C33834">
            <w:pPr>
              <w:pStyle w:val="a3"/>
              <w:widowControl/>
              <w:rPr>
                <w:color w:val="000000" w:themeColor="text1"/>
                <w:lang w:val="ru-RU"/>
              </w:rPr>
            </w:pPr>
            <w:r w:rsidRPr="00C33834">
              <w:rPr>
                <w:color w:val="000000" w:themeColor="text1"/>
                <w:lang w:val="ru-RU"/>
              </w:rPr>
              <w:t>Исполнено.</w:t>
            </w:r>
          </w:p>
        </w:tc>
      </w:tr>
      <w:tr w:rsidR="002C3CAD" w:rsidRPr="00C33834" w14:paraId="01DAE753" w14:textId="77777777" w:rsidTr="003D0776">
        <w:tc>
          <w:tcPr>
            <w:tcW w:w="2178" w:type="dxa"/>
          </w:tcPr>
          <w:p w14:paraId="43CA2B74"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Провести окружные сборы командиров и начальников Штабов, инженеров Бригад и отдельных частей.</w:t>
            </w:r>
          </w:p>
        </w:tc>
        <w:tc>
          <w:tcPr>
            <w:tcW w:w="7711" w:type="dxa"/>
            <w:gridSpan w:val="4"/>
          </w:tcPr>
          <w:p w14:paraId="3DF1D73C" w14:textId="77777777" w:rsidR="002C3CAD" w:rsidRPr="00C33834" w:rsidRDefault="002C3CAD" w:rsidP="00C33834">
            <w:pPr>
              <w:pStyle w:val="a3"/>
              <w:widowControl/>
              <w:rPr>
                <w:color w:val="000000" w:themeColor="text1"/>
                <w:lang w:val="ru-RU"/>
              </w:rPr>
            </w:pPr>
            <w:r w:rsidRPr="00C33834">
              <w:rPr>
                <w:color w:val="000000" w:themeColor="text1"/>
                <w:lang w:val="ru-RU"/>
              </w:rPr>
              <w:t>Сбор в ЛВО и БВО проведены.</w:t>
            </w:r>
          </w:p>
        </w:tc>
      </w:tr>
      <w:tr w:rsidR="002C3CAD" w:rsidRPr="00C33834" w14:paraId="0D4F0118" w14:textId="77777777" w:rsidTr="003D0776">
        <w:trPr>
          <w:cantSplit/>
          <w:trHeight w:val="376"/>
        </w:trPr>
        <w:tc>
          <w:tcPr>
            <w:tcW w:w="2178" w:type="dxa"/>
          </w:tcPr>
          <w:p w14:paraId="45E91C6A"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СТО за № …-157/64сс от 2 марта 1932 года и постановление СТО № 101/46сс от 16 февраля 1932 года (п. 2), о производственной программе на 1932 года по самолетным и моторным заводам.</w:t>
            </w:r>
          </w:p>
        </w:tc>
        <w:tc>
          <w:tcPr>
            <w:tcW w:w="2376" w:type="dxa"/>
          </w:tcPr>
          <w:p w14:paraId="1AF3F05E" w14:textId="77777777" w:rsidR="002C3CAD" w:rsidRPr="00C33834" w:rsidRDefault="002C3CAD" w:rsidP="00C33834">
            <w:pPr>
              <w:pStyle w:val="a3"/>
              <w:widowControl/>
              <w:rPr>
                <w:color w:val="000000" w:themeColor="text1"/>
                <w:lang w:val="ru-RU"/>
              </w:rPr>
            </w:pPr>
            <w:r w:rsidRPr="00C33834">
              <w:rPr>
                <w:color w:val="000000" w:themeColor="text1"/>
                <w:lang w:val="ru-RU"/>
              </w:rPr>
              <w:t>Типы самолетов</w:t>
            </w:r>
          </w:p>
        </w:tc>
        <w:tc>
          <w:tcPr>
            <w:tcW w:w="2376" w:type="dxa"/>
          </w:tcPr>
          <w:p w14:paraId="1B59192C" w14:textId="77777777" w:rsidR="002C3CAD" w:rsidRPr="00C33834" w:rsidRDefault="002C3CAD" w:rsidP="00C33834">
            <w:pPr>
              <w:pStyle w:val="a3"/>
              <w:widowControl/>
              <w:rPr>
                <w:color w:val="000000" w:themeColor="text1"/>
                <w:lang w:val="ru-RU"/>
              </w:rPr>
            </w:pPr>
            <w:r w:rsidRPr="00C33834">
              <w:rPr>
                <w:color w:val="000000" w:themeColor="text1"/>
                <w:lang w:val="ru-RU"/>
              </w:rPr>
              <w:t>Годовое количество</w:t>
            </w:r>
          </w:p>
        </w:tc>
        <w:tc>
          <w:tcPr>
            <w:tcW w:w="2376" w:type="dxa"/>
          </w:tcPr>
          <w:p w14:paraId="44276A5A" w14:textId="77777777" w:rsidR="002C3CAD" w:rsidRPr="00C33834" w:rsidRDefault="002C3CAD" w:rsidP="00C33834">
            <w:pPr>
              <w:pStyle w:val="a3"/>
              <w:widowControl/>
              <w:rPr>
                <w:color w:val="000000" w:themeColor="text1"/>
                <w:lang w:val="ru-RU"/>
              </w:rPr>
            </w:pPr>
            <w:r w:rsidRPr="00C33834">
              <w:rPr>
                <w:color w:val="000000" w:themeColor="text1"/>
                <w:lang w:val="ru-RU"/>
              </w:rPr>
              <w:t>Сдано за год</w:t>
            </w:r>
          </w:p>
        </w:tc>
        <w:tc>
          <w:tcPr>
            <w:tcW w:w="584" w:type="dxa"/>
          </w:tcPr>
          <w:p w14:paraId="3727CF78" w14:textId="77777777" w:rsidR="002C3CAD" w:rsidRPr="00C33834" w:rsidRDefault="002C3CAD" w:rsidP="00C33834">
            <w:pPr>
              <w:pStyle w:val="a3"/>
              <w:widowControl/>
              <w:rPr>
                <w:color w:val="000000" w:themeColor="text1"/>
                <w:lang w:val="ru-RU"/>
              </w:rPr>
            </w:pPr>
            <w:r w:rsidRPr="00C33834">
              <w:rPr>
                <w:color w:val="000000" w:themeColor="text1"/>
                <w:lang w:val="ru-RU"/>
              </w:rPr>
              <w:t>% выполнения</w:t>
            </w:r>
          </w:p>
        </w:tc>
      </w:tr>
      <w:tr w:rsidR="002C3CAD" w:rsidRPr="00C33834" w14:paraId="671E7BF2" w14:textId="77777777" w:rsidTr="003D0776">
        <w:trPr>
          <w:cantSplit/>
          <w:trHeight w:val="375"/>
        </w:trPr>
        <w:tc>
          <w:tcPr>
            <w:tcW w:w="2178" w:type="dxa"/>
          </w:tcPr>
          <w:p w14:paraId="2AE9A8AC" w14:textId="77777777" w:rsidR="002C3CAD" w:rsidRPr="00C33834" w:rsidRDefault="002C3CAD" w:rsidP="00C33834">
            <w:pPr>
              <w:spacing w:after="0" w:line="240" w:lineRule="auto"/>
              <w:jc w:val="both"/>
              <w:rPr>
                <w:rFonts w:ascii="Times New Roman" w:hAnsi="Times New Roman"/>
                <w:color w:val="000000" w:themeColor="text1"/>
                <w:sz w:val="16"/>
                <w:szCs w:val="16"/>
              </w:rPr>
            </w:pPr>
          </w:p>
        </w:tc>
        <w:tc>
          <w:tcPr>
            <w:tcW w:w="2376" w:type="dxa"/>
          </w:tcPr>
          <w:p w14:paraId="60F895BD" w14:textId="77777777" w:rsidR="002C3CAD" w:rsidRPr="00C33834" w:rsidRDefault="002C3CAD" w:rsidP="00C33834">
            <w:pPr>
              <w:pStyle w:val="a3"/>
              <w:widowControl/>
              <w:rPr>
                <w:color w:val="000000" w:themeColor="text1"/>
                <w:lang w:val="ru-RU"/>
              </w:rPr>
            </w:pPr>
            <w:r w:rsidRPr="00C33834">
              <w:rPr>
                <w:color w:val="000000" w:themeColor="text1"/>
                <w:lang w:val="ru-RU"/>
              </w:rPr>
              <w:t>Истребители</w:t>
            </w:r>
          </w:p>
        </w:tc>
        <w:tc>
          <w:tcPr>
            <w:tcW w:w="2376" w:type="dxa"/>
          </w:tcPr>
          <w:p w14:paraId="3B9569E6" w14:textId="77777777" w:rsidR="002C3CAD" w:rsidRPr="00C33834" w:rsidRDefault="002C3CAD" w:rsidP="00C33834">
            <w:pPr>
              <w:pStyle w:val="a3"/>
              <w:widowControl/>
              <w:rPr>
                <w:color w:val="000000" w:themeColor="text1"/>
                <w:lang w:val="ru-RU"/>
              </w:rPr>
            </w:pPr>
            <w:r w:rsidRPr="00C33834">
              <w:rPr>
                <w:color w:val="000000" w:themeColor="text1"/>
                <w:lang w:val="ru-RU"/>
              </w:rPr>
              <w:t>525</w:t>
            </w:r>
          </w:p>
        </w:tc>
        <w:tc>
          <w:tcPr>
            <w:tcW w:w="2376" w:type="dxa"/>
          </w:tcPr>
          <w:p w14:paraId="6E0C6828" w14:textId="77777777" w:rsidR="002C3CAD" w:rsidRPr="00C33834" w:rsidRDefault="002C3CAD" w:rsidP="00C33834">
            <w:pPr>
              <w:pStyle w:val="a3"/>
              <w:widowControl/>
              <w:rPr>
                <w:color w:val="000000" w:themeColor="text1"/>
                <w:lang w:val="ru-RU"/>
              </w:rPr>
            </w:pPr>
            <w:r w:rsidRPr="00C33834">
              <w:rPr>
                <w:color w:val="000000" w:themeColor="text1"/>
                <w:lang w:val="ru-RU"/>
              </w:rPr>
              <w:t>155</w:t>
            </w:r>
          </w:p>
        </w:tc>
        <w:tc>
          <w:tcPr>
            <w:tcW w:w="584" w:type="dxa"/>
          </w:tcPr>
          <w:p w14:paraId="6D04AAEF" w14:textId="77777777" w:rsidR="002C3CAD" w:rsidRPr="00C33834" w:rsidRDefault="002C3CAD" w:rsidP="00C33834">
            <w:pPr>
              <w:pStyle w:val="a3"/>
              <w:widowControl/>
              <w:rPr>
                <w:color w:val="000000" w:themeColor="text1"/>
                <w:lang w:val="ru-RU"/>
              </w:rPr>
            </w:pPr>
            <w:r w:rsidRPr="00C33834">
              <w:rPr>
                <w:color w:val="000000" w:themeColor="text1"/>
                <w:lang w:val="ru-RU"/>
              </w:rPr>
              <w:t>29</w:t>
            </w:r>
          </w:p>
        </w:tc>
      </w:tr>
      <w:tr w:rsidR="002C3CAD" w:rsidRPr="00C33834" w14:paraId="3F572743" w14:textId="77777777" w:rsidTr="003D0776">
        <w:trPr>
          <w:cantSplit/>
          <w:trHeight w:val="375"/>
        </w:trPr>
        <w:tc>
          <w:tcPr>
            <w:tcW w:w="2178" w:type="dxa"/>
          </w:tcPr>
          <w:p w14:paraId="1785ED20" w14:textId="77777777" w:rsidR="002C3CAD" w:rsidRPr="00C33834" w:rsidRDefault="002C3CAD" w:rsidP="00C33834">
            <w:pPr>
              <w:spacing w:after="0" w:line="240" w:lineRule="auto"/>
              <w:jc w:val="both"/>
              <w:rPr>
                <w:rFonts w:ascii="Times New Roman" w:hAnsi="Times New Roman"/>
                <w:color w:val="000000" w:themeColor="text1"/>
                <w:sz w:val="16"/>
                <w:szCs w:val="16"/>
              </w:rPr>
            </w:pPr>
          </w:p>
        </w:tc>
        <w:tc>
          <w:tcPr>
            <w:tcW w:w="2376" w:type="dxa"/>
          </w:tcPr>
          <w:p w14:paraId="07E6A1EC" w14:textId="77777777" w:rsidR="002C3CAD" w:rsidRPr="00C33834" w:rsidRDefault="002C3CAD" w:rsidP="00C33834">
            <w:pPr>
              <w:pStyle w:val="a3"/>
              <w:widowControl/>
              <w:rPr>
                <w:color w:val="000000" w:themeColor="text1"/>
                <w:lang w:val="ru-RU"/>
              </w:rPr>
            </w:pPr>
            <w:r w:rsidRPr="00C33834">
              <w:rPr>
                <w:color w:val="000000" w:themeColor="text1"/>
                <w:lang w:val="ru-RU"/>
              </w:rPr>
              <w:t>Разведчики</w:t>
            </w:r>
          </w:p>
        </w:tc>
        <w:tc>
          <w:tcPr>
            <w:tcW w:w="2376" w:type="dxa"/>
          </w:tcPr>
          <w:p w14:paraId="35DE7E2D" w14:textId="77777777" w:rsidR="002C3CAD" w:rsidRPr="00C33834" w:rsidRDefault="002C3CAD" w:rsidP="00C33834">
            <w:pPr>
              <w:pStyle w:val="a3"/>
              <w:widowControl/>
              <w:rPr>
                <w:color w:val="000000" w:themeColor="text1"/>
                <w:lang w:val="ru-RU"/>
              </w:rPr>
            </w:pPr>
            <w:r w:rsidRPr="00C33834">
              <w:rPr>
                <w:color w:val="000000" w:themeColor="text1"/>
                <w:lang w:val="ru-RU"/>
              </w:rPr>
              <w:t>1175</w:t>
            </w:r>
          </w:p>
        </w:tc>
        <w:tc>
          <w:tcPr>
            <w:tcW w:w="2376" w:type="dxa"/>
          </w:tcPr>
          <w:p w14:paraId="339B5AF7" w14:textId="77777777" w:rsidR="002C3CAD" w:rsidRPr="00C33834" w:rsidRDefault="002C3CAD" w:rsidP="00C33834">
            <w:pPr>
              <w:pStyle w:val="a3"/>
              <w:widowControl/>
              <w:rPr>
                <w:color w:val="000000" w:themeColor="text1"/>
                <w:lang w:val="ru-RU"/>
              </w:rPr>
            </w:pPr>
            <w:r w:rsidRPr="00C33834">
              <w:rPr>
                <w:color w:val="000000" w:themeColor="text1"/>
                <w:lang w:val="ru-RU"/>
              </w:rPr>
              <w:t>784</w:t>
            </w:r>
          </w:p>
        </w:tc>
        <w:tc>
          <w:tcPr>
            <w:tcW w:w="584" w:type="dxa"/>
          </w:tcPr>
          <w:p w14:paraId="69FD8EAB" w14:textId="77777777" w:rsidR="002C3CAD" w:rsidRPr="00C33834" w:rsidRDefault="002C3CAD" w:rsidP="00C33834">
            <w:pPr>
              <w:pStyle w:val="a3"/>
              <w:widowControl/>
              <w:rPr>
                <w:color w:val="000000" w:themeColor="text1"/>
                <w:lang w:val="ru-RU"/>
              </w:rPr>
            </w:pPr>
            <w:r w:rsidRPr="00C33834">
              <w:rPr>
                <w:color w:val="000000" w:themeColor="text1"/>
                <w:lang w:val="ru-RU"/>
              </w:rPr>
              <w:t>66</w:t>
            </w:r>
          </w:p>
        </w:tc>
      </w:tr>
      <w:tr w:rsidR="002C3CAD" w:rsidRPr="00C33834" w14:paraId="714EE761" w14:textId="77777777" w:rsidTr="003D0776">
        <w:trPr>
          <w:cantSplit/>
          <w:trHeight w:val="375"/>
        </w:trPr>
        <w:tc>
          <w:tcPr>
            <w:tcW w:w="2178" w:type="dxa"/>
          </w:tcPr>
          <w:p w14:paraId="0D8A19D2" w14:textId="77777777" w:rsidR="002C3CAD" w:rsidRPr="00C33834" w:rsidRDefault="002C3CAD" w:rsidP="00C33834">
            <w:pPr>
              <w:spacing w:after="0" w:line="240" w:lineRule="auto"/>
              <w:jc w:val="both"/>
              <w:rPr>
                <w:rFonts w:ascii="Times New Roman" w:hAnsi="Times New Roman"/>
                <w:color w:val="000000" w:themeColor="text1"/>
                <w:sz w:val="16"/>
                <w:szCs w:val="16"/>
              </w:rPr>
            </w:pPr>
          </w:p>
        </w:tc>
        <w:tc>
          <w:tcPr>
            <w:tcW w:w="2376" w:type="dxa"/>
          </w:tcPr>
          <w:p w14:paraId="060D5706" w14:textId="77777777" w:rsidR="002C3CAD" w:rsidRPr="00C33834" w:rsidRDefault="002C3CAD" w:rsidP="00C33834">
            <w:pPr>
              <w:pStyle w:val="a3"/>
              <w:widowControl/>
              <w:rPr>
                <w:color w:val="000000" w:themeColor="text1"/>
                <w:lang w:val="ru-RU"/>
              </w:rPr>
            </w:pPr>
            <w:r w:rsidRPr="00C33834">
              <w:rPr>
                <w:color w:val="000000" w:themeColor="text1"/>
                <w:lang w:val="ru-RU"/>
              </w:rPr>
              <w:t>Тяжелые бомбардировщики</w:t>
            </w:r>
          </w:p>
        </w:tc>
        <w:tc>
          <w:tcPr>
            <w:tcW w:w="2376" w:type="dxa"/>
          </w:tcPr>
          <w:p w14:paraId="48D02A77" w14:textId="77777777" w:rsidR="002C3CAD" w:rsidRPr="00C33834" w:rsidRDefault="002C3CAD" w:rsidP="00C33834">
            <w:pPr>
              <w:pStyle w:val="a3"/>
              <w:widowControl/>
              <w:rPr>
                <w:color w:val="000000" w:themeColor="text1"/>
                <w:lang w:val="ru-RU"/>
              </w:rPr>
            </w:pPr>
            <w:r w:rsidRPr="00C33834">
              <w:rPr>
                <w:color w:val="000000" w:themeColor="text1"/>
                <w:lang w:val="ru-RU"/>
              </w:rPr>
              <w:t>300</w:t>
            </w:r>
          </w:p>
        </w:tc>
        <w:tc>
          <w:tcPr>
            <w:tcW w:w="2376" w:type="dxa"/>
          </w:tcPr>
          <w:p w14:paraId="74F9F44A" w14:textId="77777777" w:rsidR="002C3CAD" w:rsidRPr="00C33834" w:rsidRDefault="002C3CAD" w:rsidP="00C33834">
            <w:pPr>
              <w:pStyle w:val="a3"/>
              <w:widowControl/>
              <w:rPr>
                <w:color w:val="000000" w:themeColor="text1"/>
                <w:lang w:val="ru-RU"/>
              </w:rPr>
            </w:pPr>
            <w:r w:rsidRPr="00C33834">
              <w:rPr>
                <w:color w:val="000000" w:themeColor="text1"/>
                <w:lang w:val="ru-RU"/>
              </w:rPr>
              <w:t>160</w:t>
            </w:r>
          </w:p>
        </w:tc>
        <w:tc>
          <w:tcPr>
            <w:tcW w:w="584" w:type="dxa"/>
          </w:tcPr>
          <w:p w14:paraId="341DABA7" w14:textId="77777777" w:rsidR="002C3CAD" w:rsidRPr="00C33834" w:rsidRDefault="002C3CAD" w:rsidP="00C33834">
            <w:pPr>
              <w:pStyle w:val="a3"/>
              <w:widowControl/>
              <w:rPr>
                <w:color w:val="000000" w:themeColor="text1"/>
                <w:lang w:val="ru-RU"/>
              </w:rPr>
            </w:pPr>
            <w:r w:rsidRPr="00C33834">
              <w:rPr>
                <w:color w:val="000000" w:themeColor="text1"/>
                <w:lang w:val="ru-RU"/>
              </w:rPr>
              <w:t>53</w:t>
            </w:r>
          </w:p>
        </w:tc>
      </w:tr>
      <w:tr w:rsidR="002C3CAD" w:rsidRPr="00C33834" w14:paraId="75E03A7B" w14:textId="77777777" w:rsidTr="003D0776">
        <w:trPr>
          <w:cantSplit/>
          <w:trHeight w:val="375"/>
        </w:trPr>
        <w:tc>
          <w:tcPr>
            <w:tcW w:w="2178" w:type="dxa"/>
          </w:tcPr>
          <w:p w14:paraId="7B0F598A" w14:textId="77777777" w:rsidR="002C3CAD" w:rsidRPr="00C33834" w:rsidRDefault="002C3CAD" w:rsidP="00C33834">
            <w:pPr>
              <w:spacing w:after="0" w:line="240" w:lineRule="auto"/>
              <w:jc w:val="both"/>
              <w:rPr>
                <w:rFonts w:ascii="Times New Roman" w:hAnsi="Times New Roman"/>
                <w:color w:val="000000" w:themeColor="text1"/>
                <w:sz w:val="16"/>
                <w:szCs w:val="16"/>
              </w:rPr>
            </w:pPr>
          </w:p>
        </w:tc>
        <w:tc>
          <w:tcPr>
            <w:tcW w:w="2376" w:type="dxa"/>
          </w:tcPr>
          <w:p w14:paraId="16EAF327" w14:textId="77777777" w:rsidR="002C3CAD" w:rsidRPr="00C33834" w:rsidRDefault="002C3CAD" w:rsidP="00C33834">
            <w:pPr>
              <w:pStyle w:val="a3"/>
              <w:widowControl/>
              <w:rPr>
                <w:color w:val="000000" w:themeColor="text1"/>
                <w:lang w:val="ru-RU"/>
              </w:rPr>
            </w:pPr>
            <w:r w:rsidRPr="00C33834">
              <w:rPr>
                <w:color w:val="000000" w:themeColor="text1"/>
                <w:lang w:val="ru-RU"/>
              </w:rPr>
              <w:t>Штурмовики</w:t>
            </w:r>
          </w:p>
        </w:tc>
        <w:tc>
          <w:tcPr>
            <w:tcW w:w="2376" w:type="dxa"/>
          </w:tcPr>
          <w:p w14:paraId="4E7EE7EC" w14:textId="77777777" w:rsidR="002C3CAD" w:rsidRPr="00C33834" w:rsidRDefault="002C3CAD" w:rsidP="00C33834">
            <w:pPr>
              <w:pStyle w:val="a3"/>
              <w:widowControl/>
              <w:rPr>
                <w:color w:val="000000" w:themeColor="text1"/>
                <w:lang w:val="ru-RU"/>
              </w:rPr>
            </w:pPr>
            <w:r w:rsidRPr="00C33834">
              <w:rPr>
                <w:color w:val="000000" w:themeColor="text1"/>
                <w:lang w:val="ru-RU"/>
              </w:rPr>
              <w:t>70</w:t>
            </w:r>
          </w:p>
        </w:tc>
        <w:tc>
          <w:tcPr>
            <w:tcW w:w="2376" w:type="dxa"/>
          </w:tcPr>
          <w:p w14:paraId="759430E2" w14:textId="77777777" w:rsidR="002C3CAD" w:rsidRPr="00C33834" w:rsidRDefault="002C3CAD" w:rsidP="00C33834">
            <w:pPr>
              <w:pStyle w:val="a3"/>
              <w:widowControl/>
              <w:rPr>
                <w:color w:val="000000" w:themeColor="text1"/>
                <w:lang w:val="ru-RU"/>
              </w:rPr>
            </w:pPr>
            <w:r w:rsidRPr="00C33834">
              <w:rPr>
                <w:color w:val="000000" w:themeColor="text1"/>
                <w:lang w:val="ru-RU"/>
              </w:rPr>
              <w:t>-</w:t>
            </w:r>
          </w:p>
        </w:tc>
        <w:tc>
          <w:tcPr>
            <w:tcW w:w="584" w:type="dxa"/>
          </w:tcPr>
          <w:p w14:paraId="51243A5F" w14:textId="77777777" w:rsidR="002C3CAD" w:rsidRPr="00C33834" w:rsidRDefault="002C3CAD" w:rsidP="00C33834">
            <w:pPr>
              <w:pStyle w:val="a3"/>
              <w:widowControl/>
              <w:rPr>
                <w:color w:val="000000" w:themeColor="text1"/>
                <w:lang w:val="ru-RU"/>
              </w:rPr>
            </w:pPr>
            <w:r w:rsidRPr="00C33834">
              <w:rPr>
                <w:color w:val="000000" w:themeColor="text1"/>
                <w:lang w:val="ru-RU"/>
              </w:rPr>
              <w:t>0</w:t>
            </w:r>
          </w:p>
        </w:tc>
      </w:tr>
      <w:tr w:rsidR="002C3CAD" w:rsidRPr="00C33834" w14:paraId="346C9258" w14:textId="77777777" w:rsidTr="003D0776">
        <w:trPr>
          <w:cantSplit/>
          <w:trHeight w:val="375"/>
        </w:trPr>
        <w:tc>
          <w:tcPr>
            <w:tcW w:w="2178" w:type="dxa"/>
          </w:tcPr>
          <w:p w14:paraId="36307712" w14:textId="77777777" w:rsidR="002C3CAD" w:rsidRPr="00C33834" w:rsidRDefault="002C3CAD" w:rsidP="00C33834">
            <w:pPr>
              <w:spacing w:after="0" w:line="240" w:lineRule="auto"/>
              <w:jc w:val="both"/>
              <w:rPr>
                <w:rFonts w:ascii="Times New Roman" w:hAnsi="Times New Roman"/>
                <w:color w:val="000000" w:themeColor="text1"/>
                <w:sz w:val="16"/>
                <w:szCs w:val="16"/>
              </w:rPr>
            </w:pPr>
          </w:p>
        </w:tc>
        <w:tc>
          <w:tcPr>
            <w:tcW w:w="2376" w:type="dxa"/>
          </w:tcPr>
          <w:p w14:paraId="7C54C713" w14:textId="77777777" w:rsidR="002C3CAD" w:rsidRPr="00C33834" w:rsidRDefault="002C3CAD" w:rsidP="00C33834">
            <w:pPr>
              <w:pStyle w:val="a3"/>
              <w:widowControl/>
              <w:rPr>
                <w:color w:val="000000" w:themeColor="text1"/>
                <w:lang w:val="ru-RU"/>
              </w:rPr>
            </w:pPr>
            <w:r w:rsidRPr="00C33834">
              <w:rPr>
                <w:color w:val="000000" w:themeColor="text1"/>
                <w:lang w:val="ru-RU"/>
              </w:rPr>
              <w:t>Учебные</w:t>
            </w:r>
          </w:p>
        </w:tc>
        <w:tc>
          <w:tcPr>
            <w:tcW w:w="2376" w:type="dxa"/>
          </w:tcPr>
          <w:p w14:paraId="5B66266D" w14:textId="77777777" w:rsidR="002C3CAD" w:rsidRPr="00C33834" w:rsidRDefault="002C3CAD" w:rsidP="00C33834">
            <w:pPr>
              <w:pStyle w:val="a3"/>
              <w:widowControl/>
              <w:rPr>
                <w:color w:val="000000" w:themeColor="text1"/>
                <w:lang w:val="ru-RU"/>
              </w:rPr>
            </w:pPr>
            <w:r w:rsidRPr="00C33834">
              <w:rPr>
                <w:color w:val="000000" w:themeColor="text1"/>
                <w:lang w:val="ru-RU"/>
              </w:rPr>
              <w:t>2655</w:t>
            </w:r>
          </w:p>
        </w:tc>
        <w:tc>
          <w:tcPr>
            <w:tcW w:w="2376" w:type="dxa"/>
          </w:tcPr>
          <w:p w14:paraId="78DD0D9E" w14:textId="77777777" w:rsidR="002C3CAD" w:rsidRPr="00C33834" w:rsidRDefault="002C3CAD" w:rsidP="00C33834">
            <w:pPr>
              <w:pStyle w:val="a3"/>
              <w:widowControl/>
              <w:rPr>
                <w:color w:val="000000" w:themeColor="text1"/>
                <w:lang w:val="ru-RU"/>
              </w:rPr>
            </w:pPr>
            <w:r w:rsidRPr="00C33834">
              <w:rPr>
                <w:color w:val="000000" w:themeColor="text1"/>
                <w:lang w:val="ru-RU"/>
              </w:rPr>
              <w:t>1705</w:t>
            </w:r>
          </w:p>
        </w:tc>
        <w:tc>
          <w:tcPr>
            <w:tcW w:w="584" w:type="dxa"/>
          </w:tcPr>
          <w:p w14:paraId="5360676D" w14:textId="77777777" w:rsidR="002C3CAD" w:rsidRPr="00C33834" w:rsidRDefault="002C3CAD" w:rsidP="00C33834">
            <w:pPr>
              <w:pStyle w:val="a3"/>
              <w:widowControl/>
              <w:rPr>
                <w:color w:val="000000" w:themeColor="text1"/>
                <w:lang w:val="ru-RU"/>
              </w:rPr>
            </w:pPr>
            <w:r w:rsidRPr="00C33834">
              <w:rPr>
                <w:color w:val="000000" w:themeColor="text1"/>
                <w:lang w:val="ru-RU"/>
              </w:rPr>
              <w:t>64</w:t>
            </w:r>
          </w:p>
        </w:tc>
      </w:tr>
      <w:tr w:rsidR="002C3CAD" w:rsidRPr="00C33834" w14:paraId="17580C81" w14:textId="77777777" w:rsidTr="003D0776">
        <w:trPr>
          <w:cantSplit/>
          <w:trHeight w:val="375"/>
        </w:trPr>
        <w:tc>
          <w:tcPr>
            <w:tcW w:w="2178" w:type="dxa"/>
          </w:tcPr>
          <w:p w14:paraId="44371A54" w14:textId="77777777" w:rsidR="002C3CAD" w:rsidRPr="00C33834" w:rsidRDefault="002C3CAD" w:rsidP="00C33834">
            <w:pPr>
              <w:spacing w:after="0" w:line="240" w:lineRule="auto"/>
              <w:jc w:val="both"/>
              <w:rPr>
                <w:rFonts w:ascii="Times New Roman" w:hAnsi="Times New Roman"/>
                <w:color w:val="000000" w:themeColor="text1"/>
                <w:sz w:val="16"/>
                <w:szCs w:val="16"/>
              </w:rPr>
            </w:pPr>
          </w:p>
        </w:tc>
        <w:tc>
          <w:tcPr>
            <w:tcW w:w="2376" w:type="dxa"/>
          </w:tcPr>
          <w:p w14:paraId="10F9D29F" w14:textId="77777777" w:rsidR="002C3CAD" w:rsidRPr="00C33834" w:rsidRDefault="002C3CAD" w:rsidP="00C33834">
            <w:pPr>
              <w:pStyle w:val="a3"/>
              <w:widowControl/>
              <w:rPr>
                <w:color w:val="000000" w:themeColor="text1"/>
                <w:lang w:val="ru-RU"/>
              </w:rPr>
            </w:pPr>
            <w:r w:rsidRPr="00C33834">
              <w:rPr>
                <w:color w:val="000000" w:themeColor="text1"/>
                <w:lang w:val="ru-RU"/>
              </w:rPr>
              <w:t>Мотор М-17</w:t>
            </w:r>
          </w:p>
        </w:tc>
        <w:tc>
          <w:tcPr>
            <w:tcW w:w="2376" w:type="dxa"/>
          </w:tcPr>
          <w:p w14:paraId="5B11E9E3" w14:textId="77777777" w:rsidR="002C3CAD" w:rsidRPr="00C33834" w:rsidRDefault="002C3CAD" w:rsidP="00C33834">
            <w:pPr>
              <w:pStyle w:val="a3"/>
              <w:widowControl/>
              <w:rPr>
                <w:color w:val="000000" w:themeColor="text1"/>
                <w:lang w:val="ru-RU"/>
              </w:rPr>
            </w:pPr>
            <w:r w:rsidRPr="00C33834">
              <w:rPr>
                <w:color w:val="000000" w:themeColor="text1"/>
                <w:lang w:val="ru-RU"/>
              </w:rPr>
              <w:t>2080</w:t>
            </w:r>
          </w:p>
        </w:tc>
        <w:tc>
          <w:tcPr>
            <w:tcW w:w="2376" w:type="dxa"/>
          </w:tcPr>
          <w:p w14:paraId="59469848" w14:textId="77777777" w:rsidR="002C3CAD" w:rsidRPr="00C33834" w:rsidRDefault="002C3CAD" w:rsidP="00C33834">
            <w:pPr>
              <w:pStyle w:val="a3"/>
              <w:widowControl/>
              <w:rPr>
                <w:color w:val="000000" w:themeColor="text1"/>
                <w:lang w:val="ru-RU"/>
              </w:rPr>
            </w:pPr>
            <w:r w:rsidRPr="00C33834">
              <w:rPr>
                <w:color w:val="000000" w:themeColor="text1"/>
                <w:lang w:val="ru-RU"/>
              </w:rPr>
              <w:t>1641</w:t>
            </w:r>
          </w:p>
        </w:tc>
        <w:tc>
          <w:tcPr>
            <w:tcW w:w="584" w:type="dxa"/>
          </w:tcPr>
          <w:p w14:paraId="044CF4CD" w14:textId="77777777" w:rsidR="002C3CAD" w:rsidRPr="00C33834" w:rsidRDefault="002C3CAD" w:rsidP="00C33834">
            <w:pPr>
              <w:pStyle w:val="a3"/>
              <w:widowControl/>
              <w:rPr>
                <w:color w:val="000000" w:themeColor="text1"/>
                <w:lang w:val="ru-RU"/>
              </w:rPr>
            </w:pPr>
            <w:r w:rsidRPr="00C33834">
              <w:rPr>
                <w:color w:val="000000" w:themeColor="text1"/>
                <w:lang w:val="ru-RU"/>
              </w:rPr>
              <w:t>78,8</w:t>
            </w:r>
          </w:p>
        </w:tc>
      </w:tr>
      <w:tr w:rsidR="002C3CAD" w:rsidRPr="00C33834" w14:paraId="53589C31" w14:textId="77777777" w:rsidTr="003D0776">
        <w:trPr>
          <w:cantSplit/>
          <w:trHeight w:val="375"/>
        </w:trPr>
        <w:tc>
          <w:tcPr>
            <w:tcW w:w="2178" w:type="dxa"/>
          </w:tcPr>
          <w:p w14:paraId="27E474E6" w14:textId="77777777" w:rsidR="002C3CAD" w:rsidRPr="00C33834" w:rsidRDefault="002C3CAD" w:rsidP="00C33834">
            <w:pPr>
              <w:spacing w:after="0" w:line="240" w:lineRule="auto"/>
              <w:jc w:val="both"/>
              <w:rPr>
                <w:rFonts w:ascii="Times New Roman" w:hAnsi="Times New Roman"/>
                <w:color w:val="000000" w:themeColor="text1"/>
                <w:sz w:val="16"/>
                <w:szCs w:val="16"/>
              </w:rPr>
            </w:pPr>
          </w:p>
        </w:tc>
        <w:tc>
          <w:tcPr>
            <w:tcW w:w="2376" w:type="dxa"/>
          </w:tcPr>
          <w:p w14:paraId="026572B3" w14:textId="77777777" w:rsidR="002C3CAD" w:rsidRPr="00C33834" w:rsidRDefault="002C3CAD" w:rsidP="00C33834">
            <w:pPr>
              <w:pStyle w:val="a3"/>
              <w:widowControl/>
              <w:rPr>
                <w:color w:val="000000" w:themeColor="text1"/>
                <w:lang w:val="ru-RU"/>
              </w:rPr>
            </w:pPr>
            <w:r w:rsidRPr="00C33834">
              <w:rPr>
                <w:color w:val="000000" w:themeColor="text1"/>
                <w:lang w:val="ru-RU"/>
              </w:rPr>
              <w:t>Мотор М-11</w:t>
            </w:r>
          </w:p>
        </w:tc>
        <w:tc>
          <w:tcPr>
            <w:tcW w:w="2376" w:type="dxa"/>
          </w:tcPr>
          <w:p w14:paraId="08EDFA06" w14:textId="77777777" w:rsidR="002C3CAD" w:rsidRPr="00C33834" w:rsidRDefault="002C3CAD" w:rsidP="00C33834">
            <w:pPr>
              <w:pStyle w:val="a3"/>
              <w:widowControl/>
              <w:rPr>
                <w:color w:val="000000" w:themeColor="text1"/>
                <w:lang w:val="ru-RU"/>
              </w:rPr>
            </w:pPr>
            <w:r w:rsidRPr="00C33834">
              <w:rPr>
                <w:color w:val="000000" w:themeColor="text1"/>
                <w:lang w:val="ru-RU"/>
              </w:rPr>
              <w:t>955</w:t>
            </w:r>
          </w:p>
        </w:tc>
        <w:tc>
          <w:tcPr>
            <w:tcW w:w="2376" w:type="dxa"/>
          </w:tcPr>
          <w:p w14:paraId="2C9D661D" w14:textId="77777777" w:rsidR="002C3CAD" w:rsidRPr="00C33834" w:rsidRDefault="002C3CAD" w:rsidP="00C33834">
            <w:pPr>
              <w:pStyle w:val="a3"/>
              <w:widowControl/>
              <w:rPr>
                <w:color w:val="000000" w:themeColor="text1"/>
                <w:lang w:val="ru-RU"/>
              </w:rPr>
            </w:pPr>
            <w:r w:rsidRPr="00C33834">
              <w:rPr>
                <w:color w:val="000000" w:themeColor="text1"/>
                <w:lang w:val="ru-RU"/>
              </w:rPr>
              <w:t>883</w:t>
            </w:r>
          </w:p>
        </w:tc>
        <w:tc>
          <w:tcPr>
            <w:tcW w:w="584" w:type="dxa"/>
          </w:tcPr>
          <w:p w14:paraId="2D633E45" w14:textId="77777777" w:rsidR="002C3CAD" w:rsidRPr="00C33834" w:rsidRDefault="002C3CAD" w:rsidP="00C33834">
            <w:pPr>
              <w:pStyle w:val="a3"/>
              <w:widowControl/>
              <w:rPr>
                <w:color w:val="000000" w:themeColor="text1"/>
                <w:lang w:val="ru-RU"/>
              </w:rPr>
            </w:pPr>
            <w:r w:rsidRPr="00C33834">
              <w:rPr>
                <w:color w:val="000000" w:themeColor="text1"/>
                <w:lang w:val="ru-RU"/>
              </w:rPr>
              <w:t>92</w:t>
            </w:r>
          </w:p>
        </w:tc>
      </w:tr>
      <w:tr w:rsidR="002C3CAD" w:rsidRPr="00C33834" w14:paraId="60EB623A" w14:textId="77777777" w:rsidTr="003D0776">
        <w:trPr>
          <w:cantSplit/>
          <w:trHeight w:val="375"/>
        </w:trPr>
        <w:tc>
          <w:tcPr>
            <w:tcW w:w="2178" w:type="dxa"/>
          </w:tcPr>
          <w:p w14:paraId="096CF210" w14:textId="77777777" w:rsidR="002C3CAD" w:rsidRPr="00C33834" w:rsidRDefault="002C3CAD" w:rsidP="00C33834">
            <w:pPr>
              <w:spacing w:after="0" w:line="240" w:lineRule="auto"/>
              <w:jc w:val="both"/>
              <w:rPr>
                <w:rFonts w:ascii="Times New Roman" w:hAnsi="Times New Roman"/>
                <w:color w:val="000000" w:themeColor="text1"/>
                <w:sz w:val="16"/>
                <w:szCs w:val="16"/>
              </w:rPr>
            </w:pPr>
          </w:p>
        </w:tc>
        <w:tc>
          <w:tcPr>
            <w:tcW w:w="2376" w:type="dxa"/>
          </w:tcPr>
          <w:p w14:paraId="338EFAF9" w14:textId="77777777" w:rsidR="002C3CAD" w:rsidRPr="00C33834" w:rsidRDefault="002C3CAD" w:rsidP="00C33834">
            <w:pPr>
              <w:pStyle w:val="a3"/>
              <w:widowControl/>
              <w:rPr>
                <w:color w:val="000000" w:themeColor="text1"/>
                <w:lang w:val="ru-RU"/>
              </w:rPr>
            </w:pPr>
            <w:r w:rsidRPr="00C33834">
              <w:rPr>
                <w:color w:val="000000" w:themeColor="text1"/>
                <w:lang w:val="ru-RU"/>
              </w:rPr>
              <w:t>Мотор М-22</w:t>
            </w:r>
          </w:p>
        </w:tc>
        <w:tc>
          <w:tcPr>
            <w:tcW w:w="2376" w:type="dxa"/>
          </w:tcPr>
          <w:p w14:paraId="0F3EEDEA" w14:textId="77777777" w:rsidR="002C3CAD" w:rsidRPr="00C33834" w:rsidRDefault="002C3CAD" w:rsidP="00C33834">
            <w:pPr>
              <w:pStyle w:val="a3"/>
              <w:widowControl/>
              <w:rPr>
                <w:color w:val="000000" w:themeColor="text1"/>
                <w:lang w:val="ru-RU"/>
              </w:rPr>
            </w:pPr>
            <w:r w:rsidRPr="00C33834">
              <w:rPr>
                <w:color w:val="000000" w:themeColor="text1"/>
                <w:lang w:val="ru-RU"/>
              </w:rPr>
              <w:t>398</w:t>
            </w:r>
          </w:p>
        </w:tc>
        <w:tc>
          <w:tcPr>
            <w:tcW w:w="2376" w:type="dxa"/>
          </w:tcPr>
          <w:p w14:paraId="7C39DA1C" w14:textId="77777777" w:rsidR="002C3CAD" w:rsidRPr="00C33834" w:rsidRDefault="002C3CAD" w:rsidP="00C33834">
            <w:pPr>
              <w:pStyle w:val="a3"/>
              <w:widowControl/>
              <w:rPr>
                <w:color w:val="000000" w:themeColor="text1"/>
                <w:lang w:val="ru-RU"/>
              </w:rPr>
            </w:pPr>
            <w:r w:rsidRPr="00C33834">
              <w:rPr>
                <w:color w:val="000000" w:themeColor="text1"/>
                <w:lang w:val="ru-RU"/>
              </w:rPr>
              <w:t>357</w:t>
            </w:r>
          </w:p>
        </w:tc>
        <w:tc>
          <w:tcPr>
            <w:tcW w:w="584" w:type="dxa"/>
          </w:tcPr>
          <w:p w14:paraId="5271558A" w14:textId="77777777" w:rsidR="002C3CAD" w:rsidRPr="00C33834" w:rsidRDefault="002C3CAD" w:rsidP="00C33834">
            <w:pPr>
              <w:pStyle w:val="a3"/>
              <w:widowControl/>
              <w:rPr>
                <w:color w:val="000000" w:themeColor="text1"/>
                <w:lang w:val="ru-RU"/>
              </w:rPr>
            </w:pPr>
            <w:r w:rsidRPr="00C33834">
              <w:rPr>
                <w:color w:val="000000" w:themeColor="text1"/>
                <w:lang w:val="ru-RU"/>
              </w:rPr>
              <w:t>89</w:t>
            </w:r>
          </w:p>
        </w:tc>
      </w:tr>
      <w:tr w:rsidR="002C3CAD" w:rsidRPr="00C33834" w14:paraId="182C0AAA" w14:textId="77777777" w:rsidTr="003D0776">
        <w:trPr>
          <w:cantSplit/>
          <w:trHeight w:val="375"/>
        </w:trPr>
        <w:tc>
          <w:tcPr>
            <w:tcW w:w="2178" w:type="dxa"/>
          </w:tcPr>
          <w:p w14:paraId="412435C5" w14:textId="77777777" w:rsidR="002C3CAD" w:rsidRPr="00C33834" w:rsidRDefault="002C3CAD" w:rsidP="00C33834">
            <w:pPr>
              <w:spacing w:after="0" w:line="240" w:lineRule="auto"/>
              <w:jc w:val="both"/>
              <w:rPr>
                <w:rFonts w:ascii="Times New Roman" w:hAnsi="Times New Roman"/>
                <w:color w:val="000000" w:themeColor="text1"/>
                <w:sz w:val="16"/>
                <w:szCs w:val="16"/>
              </w:rPr>
            </w:pPr>
          </w:p>
        </w:tc>
        <w:tc>
          <w:tcPr>
            <w:tcW w:w="2376" w:type="dxa"/>
          </w:tcPr>
          <w:p w14:paraId="252F9338" w14:textId="77777777" w:rsidR="002C3CAD" w:rsidRPr="00C33834" w:rsidRDefault="002C3CAD" w:rsidP="00C33834">
            <w:pPr>
              <w:pStyle w:val="a3"/>
              <w:widowControl/>
              <w:rPr>
                <w:color w:val="000000" w:themeColor="text1"/>
                <w:lang w:val="ru-RU"/>
              </w:rPr>
            </w:pPr>
            <w:r w:rsidRPr="00C33834">
              <w:rPr>
                <w:color w:val="000000" w:themeColor="text1"/>
                <w:lang w:val="ru-RU"/>
              </w:rPr>
              <w:t>Мотор М-34</w:t>
            </w:r>
          </w:p>
        </w:tc>
        <w:tc>
          <w:tcPr>
            <w:tcW w:w="2376" w:type="dxa"/>
          </w:tcPr>
          <w:p w14:paraId="2D2F9E37" w14:textId="77777777" w:rsidR="002C3CAD" w:rsidRPr="00C33834" w:rsidRDefault="002C3CAD" w:rsidP="00C33834">
            <w:pPr>
              <w:pStyle w:val="a3"/>
              <w:widowControl/>
              <w:rPr>
                <w:color w:val="000000" w:themeColor="text1"/>
                <w:lang w:val="ru-RU"/>
              </w:rPr>
            </w:pPr>
            <w:r w:rsidRPr="00C33834">
              <w:rPr>
                <w:color w:val="000000" w:themeColor="text1"/>
                <w:lang w:val="ru-RU"/>
              </w:rPr>
              <w:t>400</w:t>
            </w:r>
          </w:p>
        </w:tc>
        <w:tc>
          <w:tcPr>
            <w:tcW w:w="2376" w:type="dxa"/>
          </w:tcPr>
          <w:p w14:paraId="16D579C7" w14:textId="77777777" w:rsidR="002C3CAD" w:rsidRPr="00C33834" w:rsidRDefault="002C3CAD" w:rsidP="00C33834">
            <w:pPr>
              <w:pStyle w:val="a3"/>
              <w:widowControl/>
              <w:rPr>
                <w:color w:val="000000" w:themeColor="text1"/>
                <w:lang w:val="ru-RU"/>
              </w:rPr>
            </w:pPr>
            <w:r w:rsidRPr="00C33834">
              <w:rPr>
                <w:color w:val="000000" w:themeColor="text1"/>
                <w:lang w:val="ru-RU"/>
              </w:rPr>
              <w:t>64</w:t>
            </w:r>
          </w:p>
        </w:tc>
        <w:tc>
          <w:tcPr>
            <w:tcW w:w="584" w:type="dxa"/>
          </w:tcPr>
          <w:p w14:paraId="16AD79F3" w14:textId="77777777" w:rsidR="002C3CAD" w:rsidRPr="00C33834" w:rsidRDefault="002C3CAD" w:rsidP="00C33834">
            <w:pPr>
              <w:pStyle w:val="a3"/>
              <w:widowControl/>
              <w:rPr>
                <w:color w:val="000000" w:themeColor="text1"/>
                <w:lang w:val="ru-RU"/>
              </w:rPr>
            </w:pPr>
            <w:r w:rsidRPr="00C33834">
              <w:rPr>
                <w:color w:val="000000" w:themeColor="text1"/>
                <w:lang w:val="ru-RU"/>
              </w:rPr>
              <w:t>16</w:t>
            </w:r>
          </w:p>
        </w:tc>
      </w:tr>
      <w:tr w:rsidR="002C3CAD" w:rsidRPr="00C33834" w14:paraId="782DEC9D" w14:textId="77777777" w:rsidTr="003D0776">
        <w:trPr>
          <w:cantSplit/>
          <w:trHeight w:val="375"/>
        </w:trPr>
        <w:tc>
          <w:tcPr>
            <w:tcW w:w="2178" w:type="dxa"/>
          </w:tcPr>
          <w:p w14:paraId="6CA1D5C0" w14:textId="77777777" w:rsidR="002C3CAD" w:rsidRPr="00C33834" w:rsidRDefault="002C3CAD" w:rsidP="00C33834">
            <w:pPr>
              <w:spacing w:after="0" w:line="240" w:lineRule="auto"/>
              <w:jc w:val="both"/>
              <w:rPr>
                <w:rFonts w:ascii="Times New Roman" w:hAnsi="Times New Roman"/>
                <w:color w:val="000000" w:themeColor="text1"/>
                <w:sz w:val="16"/>
                <w:szCs w:val="16"/>
              </w:rPr>
            </w:pPr>
          </w:p>
        </w:tc>
        <w:tc>
          <w:tcPr>
            <w:tcW w:w="2376" w:type="dxa"/>
          </w:tcPr>
          <w:p w14:paraId="17921738" w14:textId="77777777" w:rsidR="002C3CAD" w:rsidRPr="00C33834" w:rsidRDefault="002C3CAD" w:rsidP="00C33834">
            <w:pPr>
              <w:pStyle w:val="a3"/>
              <w:widowControl/>
              <w:rPr>
                <w:color w:val="000000" w:themeColor="text1"/>
                <w:lang w:val="ru-RU"/>
              </w:rPr>
            </w:pPr>
            <w:r w:rsidRPr="00C33834">
              <w:rPr>
                <w:color w:val="000000" w:themeColor="text1"/>
                <w:lang w:val="ru-RU"/>
              </w:rPr>
              <w:t>Всего моторов</w:t>
            </w:r>
          </w:p>
        </w:tc>
        <w:tc>
          <w:tcPr>
            <w:tcW w:w="2376" w:type="dxa"/>
          </w:tcPr>
          <w:p w14:paraId="5A918B8B" w14:textId="77777777" w:rsidR="002C3CAD" w:rsidRPr="00C33834" w:rsidRDefault="002C3CAD" w:rsidP="00C33834">
            <w:pPr>
              <w:pStyle w:val="a3"/>
              <w:widowControl/>
              <w:rPr>
                <w:color w:val="000000" w:themeColor="text1"/>
                <w:lang w:val="ru-RU"/>
              </w:rPr>
            </w:pPr>
            <w:r w:rsidRPr="00C33834">
              <w:rPr>
                <w:color w:val="000000" w:themeColor="text1"/>
                <w:lang w:val="ru-RU"/>
              </w:rPr>
              <w:t>3833</w:t>
            </w:r>
          </w:p>
        </w:tc>
        <w:tc>
          <w:tcPr>
            <w:tcW w:w="2376" w:type="dxa"/>
          </w:tcPr>
          <w:p w14:paraId="1CA34949" w14:textId="77777777" w:rsidR="002C3CAD" w:rsidRPr="00C33834" w:rsidRDefault="002C3CAD" w:rsidP="00C33834">
            <w:pPr>
              <w:pStyle w:val="a3"/>
              <w:widowControl/>
              <w:rPr>
                <w:color w:val="000000" w:themeColor="text1"/>
                <w:lang w:val="ru-RU"/>
              </w:rPr>
            </w:pPr>
            <w:r w:rsidRPr="00C33834">
              <w:rPr>
                <w:color w:val="000000" w:themeColor="text1"/>
                <w:lang w:val="ru-RU"/>
              </w:rPr>
              <w:t>2945</w:t>
            </w:r>
          </w:p>
        </w:tc>
        <w:tc>
          <w:tcPr>
            <w:tcW w:w="584" w:type="dxa"/>
          </w:tcPr>
          <w:p w14:paraId="3F3F3DAD" w14:textId="77777777" w:rsidR="002C3CAD" w:rsidRPr="00C33834" w:rsidRDefault="002C3CAD" w:rsidP="00C33834">
            <w:pPr>
              <w:pStyle w:val="a3"/>
              <w:widowControl/>
              <w:rPr>
                <w:color w:val="000000" w:themeColor="text1"/>
                <w:lang w:val="ru-RU"/>
              </w:rPr>
            </w:pPr>
            <w:r w:rsidRPr="00C33834">
              <w:rPr>
                <w:color w:val="000000" w:themeColor="text1"/>
                <w:lang w:val="ru-RU"/>
              </w:rPr>
              <w:t>77</w:t>
            </w:r>
          </w:p>
        </w:tc>
      </w:tr>
    </w:tbl>
    <w:p w14:paraId="14DB29EA" w14:textId="77777777" w:rsidR="002C3CAD" w:rsidRPr="00C33834" w:rsidRDefault="002C3C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(3530,107-116).</w:t>
      </w:r>
    </w:p>
    <w:p w14:paraId="36E3B89F" w14:textId="77777777" w:rsidR="002C3CAD" w:rsidRPr="00C33834" w:rsidRDefault="002C3CAD" w:rsidP="00C33834">
      <w:pPr>
        <w:spacing w:after="0" w:line="240" w:lineRule="auto"/>
        <w:jc w:val="both"/>
        <w:rPr>
          <w:rFonts w:ascii="Times New Roman" w:hAnsi="Times New Roman"/>
          <w:color w:val="000000" w:themeColor="text1"/>
          <w:sz w:val="16"/>
          <w:szCs w:val="16"/>
        </w:rPr>
      </w:pPr>
    </w:p>
    <w:p w14:paraId="28A2C685" w14:textId="77777777" w:rsidR="00AD1D3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7A6B1AA" w14:textId="77777777" w:rsidR="00AD1D3C" w:rsidRPr="00C33834" w:rsidRDefault="00AD1D3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08071DE"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8 марта 1933 состоялось заседание ПБ и был оформлен протокол № 132</w:t>
      </w:r>
    </w:p>
    <w:p w14:paraId="0A9D48A3"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12. - О строительстве Байкало-Амурской магистрали и вторых путей Карымская – Уруша</w:t>
      </w:r>
    </w:p>
    <w:p w14:paraId="4EF859C6"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(ПБ от 25.П.33 пр. № 131, п. 119/84)</w:t>
      </w:r>
    </w:p>
    <w:p w14:paraId="2898E27D"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(т.т. Гамарник, Благонравов, Ягода, Егоров, Аппога, Уншлихт).</w:t>
      </w:r>
    </w:p>
    <w:p w14:paraId="0C359BEC"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Принять внесенный т.Гамарником проект поста</w:t>
      </w:r>
      <w:r w:rsidRPr="00C33834">
        <w:rPr>
          <w:rFonts w:ascii="Times New Roman" w:hAnsi="Times New Roman"/>
          <w:color w:val="0070C0"/>
          <w:sz w:val="16"/>
          <w:szCs w:val="16"/>
        </w:rPr>
        <w:softHyphen/>
        <w:t>новления (см. приложение).</w:t>
      </w:r>
    </w:p>
    <w:p w14:paraId="7FAB5D49"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ПРИЛОЖЕНИЕ</w:t>
      </w:r>
    </w:p>
    <w:p w14:paraId="6C26AE55"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 п.12 (о.п.) пр. ПБ № 132.</w:t>
      </w:r>
    </w:p>
    <w:p w14:paraId="22FAD39D"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 СТРОИТЕЛЬСТВЕ БАЙКАЛО-АМУРСКОЙ МАГИСТРАЛИ И 2-х ПУТЕЙ КАРЫМСКАЯ-УРУША</w:t>
      </w:r>
    </w:p>
    <w:p w14:paraId="0B94F4B2"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(Принято Политбюро ЦК ВКП(б) 8.Ш.1933 года).</w:t>
      </w:r>
    </w:p>
    <w:p w14:paraId="6C7C0F27"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целях Форсирования постройки вторых путей на Забайкаль</w:t>
      </w:r>
      <w:r w:rsidRPr="00C33834">
        <w:rPr>
          <w:rFonts w:ascii="Times New Roman" w:hAnsi="Times New Roman"/>
          <w:color w:val="0070C0"/>
          <w:sz w:val="16"/>
          <w:szCs w:val="16"/>
        </w:rPr>
        <w:softHyphen/>
        <w:t>ской ж.д. на участке Карымская-Уруша, а также в силу задержки готовности проекта строительства БАМ"а, признать необходимым:</w:t>
      </w:r>
    </w:p>
    <w:p w14:paraId="6E5E37BD"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Работы по БАМ у в 33 году сосредоточить на голов</w:t>
      </w:r>
      <w:r w:rsidRPr="00C33834">
        <w:rPr>
          <w:rFonts w:ascii="Times New Roman" w:hAnsi="Times New Roman"/>
          <w:color w:val="0070C0"/>
          <w:sz w:val="16"/>
          <w:szCs w:val="16"/>
        </w:rPr>
        <w:softHyphen/>
        <w:t>ном участке Тагдамыгда-Тында, протяжением 120 клм., с уклад</w:t>
      </w:r>
      <w:r w:rsidRPr="00C33834">
        <w:rPr>
          <w:rFonts w:ascii="Times New Roman" w:hAnsi="Times New Roman"/>
          <w:color w:val="0070C0"/>
          <w:sz w:val="16"/>
          <w:szCs w:val="16"/>
        </w:rPr>
        <w:softHyphen/>
        <w:t>кой рельс на этом участке к 1 января 1934 года и максималь</w:t>
      </w:r>
      <w:r w:rsidRPr="00C33834">
        <w:rPr>
          <w:rFonts w:ascii="Times New Roman" w:hAnsi="Times New Roman"/>
          <w:color w:val="0070C0"/>
          <w:sz w:val="16"/>
          <w:szCs w:val="16"/>
        </w:rPr>
        <w:softHyphen/>
        <w:t>но форсиоовать изыскания на участке Тында-Комсомольское.</w:t>
      </w:r>
    </w:p>
    <w:p w14:paraId="2F8D2F25"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Сократить o6"eм капиталовложений по БАМ"у на 33 год с 100 млн. рублей до 66 млн. рублей.</w:t>
      </w:r>
    </w:p>
    <w:p w14:paraId="56565E0E"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Определить, как минимум, следующий об"ем работ на 33 год по вторым путям Уруша-Каримская:</w:t>
      </w:r>
    </w:p>
    <w:p w14:paraId="4A632118"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устройство земляного полотна и искусственных сооруже</w:t>
      </w:r>
      <w:r w:rsidRPr="00C33834">
        <w:rPr>
          <w:rFonts w:ascii="Times New Roman" w:hAnsi="Times New Roman"/>
          <w:color w:val="0070C0"/>
          <w:sz w:val="16"/>
          <w:szCs w:val="16"/>
        </w:rPr>
        <w:softHyphen/>
        <w:t>ний на протяжении 310 клм.;</w:t>
      </w:r>
    </w:p>
    <w:p w14:paraId="57F95FAC"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укладка рельс на главных путях с балластировкой - 160 клм.;</w:t>
      </w:r>
    </w:p>
    <w:p w14:paraId="14D82E0B"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устройство необходимого числа остановочных пунктов с укладкой 40 клм. рельс.</w:t>
      </w:r>
    </w:p>
    <w:p w14:paraId="446B0655"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Указанный об"ем работ должен увеличить пропускную способность по воинскому графику на 2,5 пары поездов.</w:t>
      </w:r>
    </w:p>
    <w:p w14:paraId="58DEB668"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Ассигнования на эти работы определить в 46 млн. руб. из них 12 млн., ассигнованных по смете НКПС, и 34 млн. рублей за счет сокращения ассигнований по БАМ “у.</w:t>
      </w:r>
    </w:p>
    <w:p w14:paraId="73089137"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Строительство вторых путей Карымская-Уруша возло</w:t>
      </w:r>
      <w:r w:rsidRPr="00C33834">
        <w:rPr>
          <w:rFonts w:ascii="Times New Roman" w:hAnsi="Times New Roman"/>
          <w:color w:val="0070C0"/>
          <w:sz w:val="16"/>
          <w:szCs w:val="16"/>
        </w:rPr>
        <w:softHyphen/>
        <w:t>жить на ОГПУ (начальника строительства БАМ т.Мрачкрвского), за исключением мостов с кессонными работами, связи и работ на остановочных пунктах, которые возложить на НКПС.</w:t>
      </w:r>
    </w:p>
    <w:p w14:paraId="2AB7D83A"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НКПС в пятидневный срок заключить соглашение с ОГПУ о порядке производства работ, в частности по земляным работам, исходя при этом из такого порядка работ, чтобы не снижалась пропускная способность Забайкальской жел.дороги.</w:t>
      </w:r>
    </w:p>
    <w:p w14:paraId="69EEFC9D"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НКПС"у выделить в распоряжение ОГПУ 30 инженеров и 100 техников со стажем не менее 2-х лет и обеспечить строи</w:t>
      </w:r>
      <w:r w:rsidRPr="00C33834">
        <w:rPr>
          <w:rFonts w:ascii="Times New Roman" w:hAnsi="Times New Roman"/>
          <w:color w:val="0070C0"/>
          <w:sz w:val="16"/>
          <w:szCs w:val="16"/>
        </w:rPr>
        <w:softHyphen/>
        <w:t>тельные работы проектами в соответствии с календарным пла</w:t>
      </w:r>
      <w:r w:rsidRPr="00C33834">
        <w:rPr>
          <w:rFonts w:ascii="Times New Roman" w:hAnsi="Times New Roman"/>
          <w:color w:val="0070C0"/>
          <w:sz w:val="16"/>
          <w:szCs w:val="16"/>
        </w:rPr>
        <w:softHyphen/>
        <w:t>ном работ постройки вторых путей.</w:t>
      </w:r>
    </w:p>
    <w:p w14:paraId="105E012F"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Материальное обеспечение строительства вторых пу</w:t>
      </w:r>
      <w:r w:rsidRPr="00C33834">
        <w:rPr>
          <w:rFonts w:ascii="Times New Roman" w:hAnsi="Times New Roman"/>
          <w:color w:val="0070C0"/>
          <w:sz w:val="16"/>
          <w:szCs w:val="16"/>
        </w:rPr>
        <w:softHyphen/>
        <w:t>тей Карымская-Уруша произвести за счет фондов, выделенных БАМ"у и НКПС. Госплану Союза рассмотреть этот вопрос и обеспечить необходимыми материалами и оборудованием приня</w:t>
      </w:r>
      <w:r w:rsidRPr="00C33834">
        <w:rPr>
          <w:rFonts w:ascii="Times New Roman" w:hAnsi="Times New Roman"/>
          <w:color w:val="0070C0"/>
          <w:sz w:val="16"/>
          <w:szCs w:val="16"/>
        </w:rPr>
        <w:softHyphen/>
        <w:t>тый настоящим постановлением об"ем работ Карымская-Уруша.</w:t>
      </w:r>
    </w:p>
    <w:p w14:paraId="01601C01"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Поручить Комитету по перевозкам при СТО обеспечить перевозки людей, продовольствия и оборудования для строи</w:t>
      </w:r>
      <w:r w:rsidRPr="00C33834">
        <w:rPr>
          <w:rFonts w:ascii="Times New Roman" w:hAnsi="Times New Roman"/>
          <w:color w:val="0070C0"/>
          <w:sz w:val="16"/>
          <w:szCs w:val="16"/>
        </w:rPr>
        <w:softHyphen/>
        <w:t>тельства вторых путей, выделив для этого специальные нормы. НКПС"у обеспечить внутридорожные перевозки как людей,так и строительных материалов.</w:t>
      </w:r>
    </w:p>
    <w:p w14:paraId="5F1F011E"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 1-го июня заслушать доклад НКПС и ОГПУ о ходе ра</w:t>
      </w:r>
      <w:r w:rsidRPr="00C33834">
        <w:rPr>
          <w:rFonts w:ascii="Times New Roman" w:hAnsi="Times New Roman"/>
          <w:color w:val="0070C0"/>
          <w:sz w:val="16"/>
          <w:szCs w:val="16"/>
        </w:rPr>
        <w:softHyphen/>
        <w:t>бот по строительству Карымская-Уруща и о возможности увели</w:t>
      </w:r>
      <w:r w:rsidRPr="00C33834">
        <w:rPr>
          <w:rFonts w:ascii="Times New Roman" w:hAnsi="Times New Roman"/>
          <w:color w:val="0070C0"/>
          <w:sz w:val="16"/>
          <w:szCs w:val="16"/>
        </w:rPr>
        <w:softHyphen/>
        <w:t>чения об"ёма работ в текущем году с тем,чтобы все строи</w:t>
      </w:r>
      <w:r w:rsidRPr="00C33834">
        <w:rPr>
          <w:rFonts w:ascii="Times New Roman" w:hAnsi="Times New Roman"/>
          <w:color w:val="0070C0"/>
          <w:sz w:val="16"/>
          <w:szCs w:val="16"/>
        </w:rPr>
        <w:softHyphen/>
        <w:t>тельство окончить полностью в 1934 году.</w:t>
      </w:r>
    </w:p>
    <w:p w14:paraId="437AC2ED"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.Благонравову, Ягоде, Керженцеву.</w:t>
      </w:r>
    </w:p>
    <w:p w14:paraId="5794DA09"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марта 1933 опросом членов ПБ</w:t>
      </w:r>
    </w:p>
    <w:p w14:paraId="047D603E"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49/26.- О займе  "Агроджойнта"</w:t>
      </w:r>
    </w:p>
    <w:p w14:paraId="58E1DD40"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Утвердить решение Валютной комиссии от 2.Ш.33г. (см .приложение).</w:t>
      </w:r>
    </w:p>
    <w:p w14:paraId="6BF1B8F6"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КОМИССИИ при СНК СССР 2 марта 1933 r (Утверждено Политбюро ЦК ВКП(б) 4.Ш.ЗЗг.).</w:t>
      </w:r>
    </w:p>
    <w:p w14:paraId="3351B7F8"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ВАЛЮТНАЯ КОМИССИЯ при СНК СССР ПОСТАНОВЛЯЕТ:</w:t>
      </w:r>
    </w:p>
    <w:p w14:paraId="610B6FA5"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Считать возможным принять предложение д-ра Розена, пред</w:t>
      </w:r>
      <w:r w:rsidRPr="00C33834">
        <w:rPr>
          <w:rFonts w:ascii="Times New Roman" w:hAnsi="Times New Roman"/>
          <w:color w:val="0070C0"/>
          <w:sz w:val="16"/>
          <w:szCs w:val="16"/>
        </w:rPr>
        <w:softHyphen/>
        <w:t>ставителя Ам.О-ва для земельного устройства евреев в СССР и Агроджойнта, об изменении порядка выпуска "займа Агроджойнта" и об инвестициях Агроджойнта в СССР - в следующей редак</w:t>
      </w:r>
      <w:r w:rsidRPr="00C33834">
        <w:rPr>
          <w:rFonts w:ascii="Times New Roman" w:hAnsi="Times New Roman"/>
          <w:color w:val="0070C0"/>
          <w:sz w:val="16"/>
          <w:szCs w:val="16"/>
        </w:rPr>
        <w:softHyphen/>
        <w:t>ции :</w:t>
      </w:r>
    </w:p>
    <w:p w14:paraId="0EC702E2"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Платежи названного об-ва по ’’займу Агроджойнта" за период с 1-го января 1933 года по 1-е января 1936 года на сумму 2.475 т. долл. покрываются не наличными, а:</w:t>
      </w:r>
    </w:p>
    <w:p w14:paraId="03C647D6"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купонами, которым наступает срок в течение периода от 1-го января 1933 г. но 1 января 1936 г.(включительно), как по сериям " займа Агроджойнта", которые уже выданы, так и по сериям, подлежащим выдаче в течение указанного периода и</w:t>
      </w:r>
    </w:p>
    <w:p w14:paraId="68BE84E7"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облигациями прежних выпусков "займа Агроджойнта". Против купонов и облигаций, вносимых названным О-вом в уста</w:t>
      </w:r>
      <w:r w:rsidRPr="00C33834">
        <w:rPr>
          <w:rFonts w:ascii="Times New Roman" w:hAnsi="Times New Roman"/>
          <w:color w:val="0070C0"/>
          <w:sz w:val="16"/>
          <w:szCs w:val="16"/>
        </w:rPr>
        <w:softHyphen/>
        <w:t>новленные договором 15 февраля 1929 г. сроки, правительство СССР выдает новые облигации "займа Агроджойнта" на эквивалент</w:t>
      </w:r>
      <w:r w:rsidRPr="00C33834">
        <w:rPr>
          <w:rFonts w:ascii="Times New Roman" w:hAnsi="Times New Roman"/>
          <w:color w:val="0070C0"/>
          <w:sz w:val="16"/>
          <w:szCs w:val="16"/>
        </w:rPr>
        <w:softHyphen/>
        <w:t>ную сумму, т.е. на 2.475 т.долларов.</w:t>
      </w:r>
    </w:p>
    <w:p w14:paraId="6FFD798B"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 Правительство СССР соглашается (в пределах утвержден</w:t>
      </w:r>
      <w:r w:rsidRPr="00C33834">
        <w:rPr>
          <w:rFonts w:ascii="Times New Roman" w:hAnsi="Times New Roman"/>
          <w:color w:val="0070C0"/>
          <w:sz w:val="16"/>
          <w:szCs w:val="16"/>
        </w:rPr>
        <w:softHyphen/>
        <w:t>ного Комзетом плана работ Агроджойнта и при наличии лицензий НКВнешторга) покрыть валютой импорт для оперативных нужд Агроджойнта из-заграницы в размере не свыше 60 тыс.долл, ежегодно в течение 1933, 1934 и 1935 г.г. при условии, если необходимые предметы и материалы не могут быть получены в пределах СССР в сроки, определяемые возможностью выполнения ежегодных оперативных планов Агроджойнта, утвержденных Ком</w:t>
      </w:r>
      <w:r w:rsidRPr="00C33834">
        <w:rPr>
          <w:rFonts w:ascii="Times New Roman" w:hAnsi="Times New Roman"/>
          <w:color w:val="0070C0"/>
          <w:sz w:val="16"/>
          <w:szCs w:val="16"/>
        </w:rPr>
        <w:softHyphen/>
        <w:t>зетом.</w:t>
      </w:r>
    </w:p>
    <w:p w14:paraId="6A2CAB5A"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Ш. Агроджойнт отказывается полностью и навсегда от вывоза заграницу всех сумм., которые были им инвестированы в СССР в связи с договорами между правительством СССР и наз</w:t>
      </w:r>
      <w:r w:rsidRPr="00C33834">
        <w:rPr>
          <w:rFonts w:ascii="Times New Roman" w:hAnsi="Times New Roman"/>
          <w:color w:val="0070C0"/>
          <w:sz w:val="16"/>
          <w:szCs w:val="16"/>
        </w:rPr>
        <w:softHyphen/>
        <w:t>ванной организацией от 16.ХП.24 г. и от 31.1.27 г.</w:t>
      </w:r>
    </w:p>
    <w:p w14:paraId="4EB67E3A"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1У. Червонное финансирование Агроджойнта производится в меру его оперативных нужд, устанавливаемых Комзетом, но общая сумма финансирования в период с 1-го января 1933 г. по 1-е января 1936 г. не должна превысить 4.809.915 рублей за вычетом сумм, фактически оплаченных правительством СССР по импортным счетам Агроджойнта.</w:t>
      </w:r>
    </w:p>
    <w:p w14:paraId="4A154B70"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 Договор от 15 февраля 1929 г. остается в силе, посколь</w:t>
      </w:r>
      <w:r w:rsidRPr="00C33834">
        <w:rPr>
          <w:rFonts w:ascii="Times New Roman" w:hAnsi="Times New Roman"/>
          <w:color w:val="0070C0"/>
          <w:sz w:val="16"/>
          <w:szCs w:val="16"/>
        </w:rPr>
        <w:softHyphen/>
        <w:t>ку содержание его изменяется изложенными выше пунктами. На основании изложенного оформляется дополнительное к озна</w:t>
      </w:r>
      <w:r w:rsidRPr="00C33834">
        <w:rPr>
          <w:rFonts w:ascii="Times New Roman" w:hAnsi="Times New Roman"/>
          <w:color w:val="0070C0"/>
          <w:sz w:val="16"/>
          <w:szCs w:val="16"/>
        </w:rPr>
        <w:softHyphen/>
        <w:t>ченному договору соглашение, которое подписывается представите</w:t>
      </w:r>
      <w:r w:rsidRPr="00C33834">
        <w:rPr>
          <w:rFonts w:ascii="Times New Roman" w:hAnsi="Times New Roman"/>
          <w:color w:val="0070C0"/>
          <w:sz w:val="16"/>
          <w:szCs w:val="16"/>
        </w:rPr>
        <w:softHyphen/>
        <w:t>лями Комзета и Агроджойнта.</w:t>
      </w:r>
    </w:p>
    <w:p w14:paraId="2DFBF5C2"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т.т.Керженцеву, Рудзутаку, Гринько.</w:t>
      </w:r>
    </w:p>
    <w:p w14:paraId="360FE6CC"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марта 1933 опросом членов ПБ</w:t>
      </w:r>
    </w:p>
    <w:p w14:paraId="1B15F95A"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59/36.-О0 техпомощи по судостроению.</w:t>
      </w:r>
    </w:p>
    <w:p w14:paraId="350BB1FC"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1. Купить у фирмы JVS проект и рабочие чертежи подлодки Е-1 в 755 (с нашим вооружением), а также техническую помощь по постройке подлодок этого типа в СССР.</w:t>
      </w:r>
    </w:p>
    <w:p w14:paraId="1CB7E48B"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Купить в Германии для первой подлодки дизеля, необходимое электрооборудование и вспомо</w:t>
      </w:r>
      <w:r w:rsidRPr="00C33834">
        <w:rPr>
          <w:rFonts w:ascii="Times New Roman" w:hAnsi="Times New Roman"/>
          <w:color w:val="0070C0"/>
          <w:sz w:val="16"/>
          <w:szCs w:val="16"/>
        </w:rPr>
        <w:softHyphen/>
        <w:t>гательные механизмы, а также техпомощь по постанов</w:t>
      </w:r>
      <w:r w:rsidRPr="00C33834">
        <w:rPr>
          <w:rFonts w:ascii="Times New Roman" w:hAnsi="Times New Roman"/>
          <w:color w:val="0070C0"/>
          <w:sz w:val="16"/>
          <w:szCs w:val="16"/>
        </w:rPr>
        <w:softHyphen/>
        <w:t>ке их производства в СССР.</w:t>
      </w:r>
    </w:p>
    <w:p w14:paraId="55C773B9"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Определить размер валютных ассигнований па приобретение техпомощи по постройке подлодки Е-1 и покупку указанных механизмов в 1.500.000 руб.</w:t>
      </w:r>
    </w:p>
    <w:p w14:paraId="5FAF6822"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Для окончательных переговоров немедленно пригласить представителей JVS в Москву.</w:t>
      </w:r>
    </w:p>
    <w:p w14:paraId="673AB7B7"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Потребовать от фирмы JVS перед заключением договора па техпомощь производства в присут</w:t>
      </w:r>
      <w:r w:rsidRPr="00C33834">
        <w:rPr>
          <w:rFonts w:ascii="Times New Roman" w:hAnsi="Times New Roman"/>
          <w:color w:val="0070C0"/>
          <w:sz w:val="16"/>
          <w:szCs w:val="16"/>
        </w:rPr>
        <w:softHyphen/>
        <w:t>ствии наших специалистов испытания подлодки Е-1 на ходу для проверки ее скорости хода над водой и под водой, скорости и глубины погружения, остойчивости, а также всех основных механизмов и устройств этой подлодки.</w:t>
      </w:r>
    </w:p>
    <w:p w14:paraId="52A6DFBD"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Признать необходимый добиться ,во-первых, возможного уменьшения стоимости заказов в Германии и в Италии и, во-вторых, обязательных максимально льготных условий кредита на эти заказы.</w:t>
      </w:r>
    </w:p>
    <w:p w14:paraId="66E243F4"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6)1. Приобрести в Италии (на основе имеющейся предварительной договоренности с итальянским морским министерством и произведенного морскими комиссиями СССР изучения итальянского флота и судостроительной промышленности Италии) проект и рабочие чертежи эсминца-лидера (до 3000 т.), а также рабочие черте</w:t>
      </w:r>
      <w:r w:rsidRPr="00C33834">
        <w:rPr>
          <w:rFonts w:ascii="Times New Roman" w:hAnsi="Times New Roman"/>
          <w:color w:val="0070C0"/>
          <w:sz w:val="16"/>
          <w:szCs w:val="16"/>
        </w:rPr>
        <w:softHyphen/>
        <w:t>жи главной механической установки строящихся итальян</w:t>
      </w:r>
      <w:r w:rsidRPr="00C33834">
        <w:rPr>
          <w:rFonts w:ascii="Times New Roman" w:hAnsi="Times New Roman"/>
          <w:color w:val="0070C0"/>
          <w:sz w:val="16"/>
          <w:szCs w:val="16"/>
        </w:rPr>
        <w:softHyphen/>
        <w:t>ских крейсеров( типа "Монтекуккола"-7000 тн.).</w:t>
      </w:r>
    </w:p>
    <w:p w14:paraId="1155CFDE"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Заказать в Италии главную турбинную установку и некоторые наиболее важные вспомогательные механиз</w:t>
      </w:r>
      <w:r w:rsidRPr="00C33834">
        <w:rPr>
          <w:rFonts w:ascii="Times New Roman" w:hAnsi="Times New Roman"/>
          <w:color w:val="0070C0"/>
          <w:sz w:val="16"/>
          <w:szCs w:val="16"/>
        </w:rPr>
        <w:softHyphen/>
        <w:t>мы на первые корабли к приобрести техпомощь по по</w:t>
      </w:r>
      <w:r w:rsidRPr="00C33834">
        <w:rPr>
          <w:rFonts w:ascii="Times New Roman" w:hAnsi="Times New Roman"/>
          <w:color w:val="0070C0"/>
          <w:sz w:val="16"/>
          <w:szCs w:val="16"/>
        </w:rPr>
        <w:softHyphen/>
        <w:t>становке их производства в СССР.</w:t>
      </w:r>
    </w:p>
    <w:p w14:paraId="24144487"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Определить размер валютных ассигнований на техпомощь по постройке лидеров и крейсеров и покупку механизмов для них - в 5.000.000 рубл.</w:t>
      </w:r>
    </w:p>
    <w:p w14:paraId="3895B075"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Командировать в самое ближайшее время группу работников НКТГП и УВМС в Италию для ведения перего</w:t>
      </w:r>
      <w:r w:rsidRPr="00C33834">
        <w:rPr>
          <w:rFonts w:ascii="Times New Roman" w:hAnsi="Times New Roman"/>
          <w:color w:val="0070C0"/>
          <w:sz w:val="16"/>
          <w:szCs w:val="16"/>
        </w:rPr>
        <w:softHyphen/>
        <w:t>воров о техпомощи и о заказе механизмов по лидерам и крейсерам с итальянскими фирмами "Ансальдо" и "Адриатическим Об"единением Верфей".</w:t>
      </w:r>
    </w:p>
    <w:p w14:paraId="619F41EF"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Признать необходимым добиться, во-первых, возможного уменьшения стоимости заказов в Германии и в Италии и, во-вторых, обязательных максимально льготных условий кредита на эти заказы.</w:t>
      </w:r>
    </w:p>
    <w:p w14:paraId="35B147F7"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Ворошилову, Молотову, Пятакову-все: Артузову-б)4. Розенгольцу-все.</w:t>
      </w:r>
    </w:p>
    <w:p w14:paraId="6D2295E9"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 марта 1933 опросом членов ПБ</w:t>
      </w:r>
    </w:p>
    <w:p w14:paraId="62DDFAE9"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67/44.-Предложения Комиссии Обороны.</w:t>
      </w:r>
    </w:p>
    <w:p w14:paraId="78EFB2CE"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Утвердить следующее решение комиссии Сбороны о приобретении образцов и технической помощи у фирмы "Сперри".</w:t>
      </w:r>
    </w:p>
    <w:p w14:paraId="1EAB73D6"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Принять малый вариант, а именно:</w:t>
      </w:r>
    </w:p>
    <w:p w14:paraId="32879AE8"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a) Приборов управления огнем берего</w:t>
      </w:r>
      <w:r w:rsidRPr="00C33834">
        <w:rPr>
          <w:rFonts w:ascii="Times New Roman" w:hAnsi="Times New Roman"/>
          <w:color w:val="0070C0"/>
          <w:sz w:val="16"/>
          <w:szCs w:val="16"/>
        </w:rPr>
        <w:softHyphen/>
        <w:t>вой артиллерии с вынесенными постами, один экземпляр</w:t>
      </w:r>
      <w:r w:rsidRPr="00C33834">
        <w:rPr>
          <w:rFonts w:ascii="Times New Roman" w:hAnsi="Times New Roman"/>
          <w:color w:val="0070C0"/>
          <w:sz w:val="16"/>
          <w:szCs w:val="16"/>
        </w:rPr>
        <w:tab/>
      </w:r>
      <w:r w:rsidRPr="00C33834">
        <w:rPr>
          <w:rFonts w:ascii="Times New Roman" w:hAnsi="Times New Roman"/>
          <w:color w:val="0070C0"/>
          <w:sz w:val="16"/>
          <w:szCs w:val="16"/>
        </w:rPr>
        <w:tab/>
        <w:t>100.000</w:t>
      </w:r>
    </w:p>
    <w:p w14:paraId="174E78AC"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Прибор береговой артиллерии с од</w:t>
      </w:r>
      <w:r w:rsidRPr="00C33834">
        <w:rPr>
          <w:rFonts w:ascii="Times New Roman" w:hAnsi="Times New Roman"/>
          <w:color w:val="0070C0"/>
          <w:sz w:val="16"/>
          <w:szCs w:val="16"/>
        </w:rPr>
        <w:softHyphen/>
        <w:t>ним вынесенным постом, один экземпляр</w:t>
      </w:r>
      <w:r w:rsidRPr="00C33834">
        <w:rPr>
          <w:rFonts w:ascii="Times New Roman" w:hAnsi="Times New Roman"/>
          <w:color w:val="0070C0"/>
          <w:sz w:val="16"/>
          <w:szCs w:val="16"/>
        </w:rPr>
        <w:tab/>
        <w:t xml:space="preserve"> 70.000</w:t>
      </w:r>
    </w:p>
    <w:p w14:paraId="38780F6A"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Приборы управления зенитным огнем морской артиллерии, один экземпляр</w:t>
      </w:r>
      <w:r w:rsidRPr="00C33834">
        <w:rPr>
          <w:rFonts w:ascii="Times New Roman" w:hAnsi="Times New Roman"/>
          <w:color w:val="0070C0"/>
          <w:sz w:val="16"/>
          <w:szCs w:val="16"/>
        </w:rPr>
        <w:tab/>
        <w:t>185.000</w:t>
      </w:r>
    </w:p>
    <w:p w14:paraId="70F4206F"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 Прицелов бомбометания для самолето (5 шт.)</w:t>
      </w:r>
      <w:r w:rsidRPr="00C33834">
        <w:rPr>
          <w:rFonts w:ascii="Times New Roman" w:hAnsi="Times New Roman"/>
          <w:color w:val="0070C0"/>
          <w:sz w:val="16"/>
          <w:szCs w:val="16"/>
        </w:rPr>
        <w:tab/>
        <w:t>40.000</w:t>
      </w:r>
    </w:p>
    <w:p w14:paraId="608D34BD"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xml:space="preserve">д) Автопилоты 4 штуки, из них 2 упрощенных и 2 военных </w:t>
      </w:r>
      <w:r w:rsidRPr="00C33834">
        <w:rPr>
          <w:rFonts w:ascii="Times New Roman" w:hAnsi="Times New Roman"/>
          <w:color w:val="0070C0"/>
          <w:sz w:val="16"/>
          <w:szCs w:val="16"/>
        </w:rPr>
        <w:tab/>
        <w:t>64.000</w:t>
      </w:r>
    </w:p>
    <w:p w14:paraId="242D1E96"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е) Гироскопов направления, типа А-С-2  6  штук)</w:t>
      </w:r>
      <w:r w:rsidRPr="00C33834">
        <w:rPr>
          <w:rFonts w:ascii="Times New Roman" w:hAnsi="Times New Roman"/>
          <w:color w:val="0070C0"/>
          <w:sz w:val="16"/>
          <w:szCs w:val="16"/>
        </w:rPr>
        <w:tab/>
      </w:r>
      <w:r w:rsidRPr="00C33834">
        <w:rPr>
          <w:rFonts w:ascii="Times New Roman" w:hAnsi="Times New Roman"/>
          <w:color w:val="0070C0"/>
          <w:sz w:val="16"/>
          <w:szCs w:val="16"/>
        </w:rPr>
        <w:tab/>
        <w:t>2.100</w:t>
      </w:r>
    </w:p>
    <w:p w14:paraId="71FB37DB"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ж) Звено синхронной передачи (2 шт.)</w:t>
      </w:r>
      <w:r w:rsidRPr="00C33834">
        <w:rPr>
          <w:rFonts w:ascii="Times New Roman" w:hAnsi="Times New Roman"/>
          <w:color w:val="0070C0"/>
          <w:sz w:val="16"/>
          <w:szCs w:val="16"/>
        </w:rPr>
        <w:tab/>
        <w:t>5.000</w:t>
      </w:r>
    </w:p>
    <w:p w14:paraId="4D9AC4D1"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з) Искусственный горизонт(6 шт.)</w:t>
      </w:r>
      <w:r w:rsidRPr="00C33834">
        <w:rPr>
          <w:rFonts w:ascii="Times New Roman" w:hAnsi="Times New Roman"/>
          <w:color w:val="0070C0"/>
          <w:sz w:val="16"/>
          <w:szCs w:val="16"/>
        </w:rPr>
        <w:tab/>
        <w:t xml:space="preserve"> 2.100</w:t>
      </w:r>
    </w:p>
    <w:p w14:paraId="457D744C"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Итого па покупку образцов</w:t>
      </w:r>
      <w:r w:rsidRPr="00C33834">
        <w:rPr>
          <w:rFonts w:ascii="Times New Roman" w:hAnsi="Times New Roman"/>
          <w:color w:val="0070C0"/>
          <w:sz w:val="16"/>
          <w:szCs w:val="16"/>
        </w:rPr>
        <w:tab/>
        <w:t xml:space="preserve"> 468.200</w:t>
      </w:r>
    </w:p>
    <w:p w14:paraId="78E35070"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За техническую помощь</w:t>
      </w:r>
      <w:r w:rsidRPr="00C33834">
        <w:rPr>
          <w:rFonts w:ascii="Times New Roman" w:hAnsi="Times New Roman"/>
          <w:color w:val="0070C0"/>
          <w:sz w:val="16"/>
          <w:szCs w:val="16"/>
        </w:rPr>
        <w:tab/>
        <w:t xml:space="preserve"> 300.000</w:t>
      </w:r>
    </w:p>
    <w:p w14:paraId="4391C7CE"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Оборудование</w:t>
      </w:r>
      <w:r w:rsidRPr="00C33834">
        <w:rPr>
          <w:rFonts w:ascii="Times New Roman" w:hAnsi="Times New Roman"/>
          <w:color w:val="0070C0"/>
          <w:sz w:val="16"/>
          <w:szCs w:val="16"/>
        </w:rPr>
        <w:tab/>
        <w:t xml:space="preserve"> 400.000</w:t>
      </w:r>
    </w:p>
    <w:p w14:paraId="4AAB1210"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ИТОГО:</w:t>
      </w:r>
      <w:r w:rsidRPr="00C33834">
        <w:rPr>
          <w:rFonts w:ascii="Times New Roman" w:hAnsi="Times New Roman"/>
          <w:color w:val="0070C0"/>
          <w:sz w:val="16"/>
          <w:szCs w:val="16"/>
        </w:rPr>
        <w:tab/>
        <w:t>1.168.200 ам. долларов.</w:t>
      </w:r>
    </w:p>
    <w:p w14:paraId="1FE0BCB1"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Принять предлагаемые условия платежа: За техническую помощь начиная с 1934 года в течение 4 лет равными частями  по полугодиям.</w:t>
      </w:r>
    </w:p>
    <w:p w14:paraId="0BB393B7"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Платеж за образцы-начиная с 1934 года:</w:t>
      </w:r>
    </w:p>
    <w:p w14:paraId="03369CEA"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35% против отгрузки, 25% через 6 месяцев, 20% через 12 месяцев и 20% через 18 месяцев; последний платеж-в первой половине 1936 года.</w:t>
      </w:r>
    </w:p>
    <w:p w14:paraId="612E70C8" w14:textId="77777777" w:rsidR="00B70750" w:rsidRPr="00C33834" w:rsidRDefault="00B7075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тов.Базилевичу (22982).</w:t>
      </w:r>
    </w:p>
    <w:p w14:paraId="4DA99634" w14:textId="77777777" w:rsidR="00B70750" w:rsidRPr="00C33834" w:rsidRDefault="00B70750" w:rsidP="00C33834">
      <w:pPr>
        <w:pStyle w:val="221"/>
        <w:shd w:val="clear" w:color="auto" w:fill="auto"/>
        <w:spacing w:line="240" w:lineRule="auto"/>
        <w:jc w:val="both"/>
        <w:rPr>
          <w:rFonts w:ascii="Times New Roman" w:hAnsi="Times New Roman" w:cs="Times New Roman"/>
          <w:color w:val="0070C0"/>
          <w:sz w:val="16"/>
          <w:szCs w:val="16"/>
        </w:rPr>
      </w:pPr>
    </w:p>
    <w:p w14:paraId="20FA75F7" w14:textId="77777777" w:rsidR="00AD1D3C" w:rsidRPr="00C33834" w:rsidRDefault="00AD1D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марта 1933 г. Протокол ПБ № 132 п.59/36: О техпомощи по судостроению – ОП. Решено: 1. Купить у фирмы JVS проект и рабочие чертежи подлодки Е-1 в 755 (с нашим вооружением), а также техническую помощь по постройке подлодок этого типа в СССР. 2. Купить в Германии для первой подлодки дизеля, необходимое электрооборудование и вспомогательные механизмы, а также техпомощь по постановке их производства в СССР. 3. Определить размер валютных ассигнований на приобретение техпомощи по постройке подлодки Е-1 и покупку указанных механизмов в 1500 тысяч рублей. 4. Для окончательных переговоров немедленно пригласить представителей JVS в Москву. 5. Потребовать от фирмы JVS перед заключением договора на техпомощь производства в присутствии наших специалистов испытания подлодки Е-1 на ходу для проверки ее скорости хода над водой и под водой, скорости и глубины погружения, устойчивости, а также всех основных механизмов и устройства этой подлодки. 6. Признать необходимым добиться возможного уменьшения стоимости заказов в Германии и в Италии и обязательных льготных условий кредита на эти заказы. б) 1. Приобрести в Италии проект и рабочие чертежи эсминца – лидера, а также рабочие чертежи главной механической установки строящихся итальянских крейсеров. 2. Заказать в Италии главную турбинную установку и некоторые важные вспомогательные механизмы на первые корабли и приобрести техпомощь по постановке их производства в СССР. 3. Определить размер валютных ассигнований на техпомощь по постройке лидеров и крейсеров и покупку механизмов для них в 5 млн рублей. 4. Командировать группу работников НКТП и УВМС в Италию для ведения переговоров о техпомощи и о заказе механизмов по лидерам и крейсерам с итальянскими фирмами «Ансальдо» и «Адриатическим объединением верфей». 5. Признать необходимым добиться возможного уменьшения стоимости заказов в Германии и Италии и обязательных льготных условий кредита на эти заказы (15969).</w:t>
      </w:r>
    </w:p>
    <w:p w14:paraId="438C48D7" w14:textId="77777777" w:rsidR="00AD1D3C" w:rsidRPr="00C33834" w:rsidRDefault="00AD1D3C" w:rsidP="00C33834">
      <w:pPr>
        <w:spacing w:after="0" w:line="240" w:lineRule="auto"/>
        <w:jc w:val="both"/>
        <w:rPr>
          <w:rFonts w:ascii="Times New Roman" w:hAnsi="Times New Roman"/>
          <w:color w:val="000000" w:themeColor="text1"/>
          <w:sz w:val="16"/>
          <w:szCs w:val="16"/>
        </w:rPr>
      </w:pPr>
    </w:p>
    <w:p w14:paraId="77D33E36" w14:textId="77777777" w:rsidR="00167BB0" w:rsidRPr="00C33834" w:rsidRDefault="00167B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марта 1933</w:t>
      </w:r>
    </w:p>
    <w:p w14:paraId="7E06A336" w14:textId="77777777" w:rsidR="00167BB0" w:rsidRPr="00C33834" w:rsidRDefault="00167B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Протокол № 132 заседания Политбюро ЦК ВКП(б) от 8 марта 1933 года</w:t>
      </w:r>
    </w:p>
    <w:p w14:paraId="5FB049B9" w14:textId="77777777" w:rsidR="00167BB0" w:rsidRPr="00C33834" w:rsidRDefault="00167B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Заседание Политбюро ЦК ВКП(б) от 8</w:t>
      </w:r>
      <w:r w:rsidRPr="00C33834">
        <w:rPr>
          <w:rFonts w:ascii="Times New Roman" w:hAnsi="Times New Roman"/>
          <w:color w:val="000000" w:themeColor="text1"/>
          <w:sz w:val="16"/>
          <w:szCs w:val="16"/>
        </w:rPr>
        <w:noBreakHyphen/>
        <w:t>го марта 1933 года</w:t>
      </w:r>
    </w:p>
    <w:p w14:paraId="090928D5" w14:textId="77777777" w:rsidR="00167BB0" w:rsidRPr="00C33834" w:rsidRDefault="00167B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59/36: О техпомощи судостроению</w:t>
      </w:r>
    </w:p>
    <w:p w14:paraId="3F703910" w14:textId="77777777" w:rsidR="00167BB0" w:rsidRPr="00C33834" w:rsidRDefault="00167B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 особая папка.</w:t>
      </w:r>
    </w:p>
    <w:p w14:paraId="4F49F1CE" w14:textId="77777777" w:rsidR="00167BB0" w:rsidRPr="00C33834" w:rsidRDefault="00167B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1. Купить у фирмы JVS проект и рабочие чертежи подлодки Е</w:t>
      </w:r>
      <w:r w:rsidRPr="00C33834">
        <w:rPr>
          <w:rFonts w:ascii="Times New Roman" w:hAnsi="Times New Roman"/>
          <w:color w:val="000000" w:themeColor="text1"/>
          <w:sz w:val="16"/>
          <w:szCs w:val="16"/>
        </w:rPr>
        <w:noBreakHyphen/>
        <w:t>1 в 755 (с нашим вооружением), а также техническую помощь по постройке подлодок этого типа в СССР.</w:t>
      </w:r>
    </w:p>
    <w:p w14:paraId="62CE4141" w14:textId="77777777" w:rsidR="00167BB0" w:rsidRPr="00C33834" w:rsidRDefault="00167B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Купить в Германии для первой подлодки дизеля, необходимое электрооборудование и вспомогательные механизмы, а также техпомощь по постановке их производства в СССР.</w:t>
      </w:r>
    </w:p>
    <w:p w14:paraId="1DAA3727" w14:textId="77777777" w:rsidR="00167BB0" w:rsidRPr="00C33834" w:rsidRDefault="00167B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Определить размер валютных ассигнований на приобретение техпомощи по постройке подлодки Е</w:t>
      </w:r>
      <w:r w:rsidRPr="00C33834">
        <w:rPr>
          <w:rFonts w:ascii="Times New Roman" w:hAnsi="Times New Roman"/>
          <w:color w:val="000000" w:themeColor="text1"/>
          <w:sz w:val="16"/>
          <w:szCs w:val="16"/>
        </w:rPr>
        <w:noBreakHyphen/>
        <w:t>1 и покупку указанных механизмов в 1.500 000 рублей.</w:t>
      </w:r>
    </w:p>
    <w:p w14:paraId="26129329" w14:textId="77777777" w:rsidR="00167BB0" w:rsidRPr="00C33834" w:rsidRDefault="00167B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Для окончательных переговоров немедленно пригласить представителей JVS в Москву.</w:t>
      </w:r>
    </w:p>
    <w:p w14:paraId="31A44404" w14:textId="77777777" w:rsidR="00167BB0" w:rsidRPr="00C33834" w:rsidRDefault="00167B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Потребовать от фирмы JVS перед заключением договора на техпомощь производства в присутствии наших специалистов испытания подлодки Е</w:t>
      </w:r>
      <w:r w:rsidRPr="00C33834">
        <w:rPr>
          <w:rFonts w:ascii="Times New Roman" w:hAnsi="Times New Roman"/>
          <w:color w:val="000000" w:themeColor="text1"/>
          <w:sz w:val="16"/>
          <w:szCs w:val="16"/>
        </w:rPr>
        <w:noBreakHyphen/>
        <w:t>1 на ходу для проверки ее скорости хода над водой и под водой, скорости и глубины погружения, остойчивости, а также всех основных механизмов и устройств этой подлодки.</w:t>
      </w:r>
    </w:p>
    <w:p w14:paraId="05D2292B" w14:textId="77777777" w:rsidR="00167BB0" w:rsidRPr="00C33834" w:rsidRDefault="00167B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Признать необходимым добиться, во-первых, возможного уменьшения стоимости заказов в Германии и в Италии и, во-вторых, обязательных максимально льготных условий кредита на эти заказы.</w:t>
      </w:r>
    </w:p>
    <w:p w14:paraId="6A8216AF" w14:textId="77777777" w:rsidR="00167BB0" w:rsidRPr="00C33834" w:rsidRDefault="00167B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1. Приобрести в Италии (на основе имеющейся предварительной договоренности с итальянским морским министерством и произведенного морскими комиссиями СССР изучения итальянского флота и судостроительной промышленности Италии) проект и рабочие чертежи эсминца-лидера (до 3000 т), а также рабочие чертежи главной механической установки строящихся итальянских крейсеров( типа “Монтекуккола” — 7000 т).</w:t>
      </w:r>
    </w:p>
    <w:p w14:paraId="1BAD1D08" w14:textId="77777777" w:rsidR="00167BB0" w:rsidRPr="00C33834" w:rsidRDefault="00167B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Заказать в Италии главную турбинную установку и некоторые наиболее важные вспомогательные механизмы на первые корабли и приобрести техпомощь по постановке их производства в СССР.</w:t>
      </w:r>
    </w:p>
    <w:p w14:paraId="5B3F6D22" w14:textId="77777777" w:rsidR="00167BB0" w:rsidRPr="00C33834" w:rsidRDefault="00167B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Определить размер валютных ассигнований на техпомощь по постройке лидеров и крейсеров и покупку механизмов для них — в 5.000.000 руб.</w:t>
      </w:r>
    </w:p>
    <w:p w14:paraId="2B4A9828" w14:textId="77777777" w:rsidR="00167BB0" w:rsidRPr="00C33834" w:rsidRDefault="00167B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Командировать в самое ближайшее время группу работников НКТП и УВМС в Италию для ведения переговоров о техпомощи и о заказе механизмов по лидерам и крейсерам с итальянскими фирмами “Ансальдо” и “Адриатическим Объединением Верфей”.</w:t>
      </w:r>
    </w:p>
    <w:p w14:paraId="67BBF219" w14:textId="77777777" w:rsidR="00167BB0" w:rsidRPr="00C33834" w:rsidRDefault="00167B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Признать необходимым добиться, во-первых, возможного уменьшения стоимости заказов в Германии и в Италии и, во-вторых, обязательных максимально льготных условий кредита на эти заказы.</w:t>
      </w:r>
    </w:p>
    <w:p w14:paraId="3043926F" w14:textId="77777777" w:rsidR="00167BB0" w:rsidRPr="00C33834" w:rsidRDefault="00167B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Выписки посланы:</w:t>
      </w:r>
    </w:p>
    <w:p w14:paraId="2B556EA3" w14:textId="77777777" w:rsidR="00167BB0" w:rsidRPr="00C33834" w:rsidRDefault="00167B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Ворошилову, Молотову, Пятакову, Розенгольцу  — все;</w:t>
      </w:r>
    </w:p>
    <w:p w14:paraId="0782338B" w14:textId="77777777" w:rsidR="00167BB0" w:rsidRPr="00C33834" w:rsidRDefault="00167B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Артузову — п. “б-4”.</w:t>
      </w:r>
    </w:p>
    <w:p w14:paraId="2900042F" w14:textId="77777777" w:rsidR="00167BB0" w:rsidRPr="00C33834" w:rsidRDefault="00167B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(18138).</w:t>
      </w:r>
    </w:p>
    <w:p w14:paraId="00AD4AC2" w14:textId="77777777" w:rsidR="00167BB0" w:rsidRPr="00C33834" w:rsidRDefault="00167BB0" w:rsidP="00C33834">
      <w:pPr>
        <w:spacing w:after="0" w:line="240" w:lineRule="auto"/>
        <w:jc w:val="both"/>
        <w:rPr>
          <w:rFonts w:ascii="Times New Roman" w:hAnsi="Times New Roman"/>
          <w:color w:val="000000" w:themeColor="text1"/>
          <w:sz w:val="16"/>
          <w:szCs w:val="16"/>
        </w:rPr>
      </w:pPr>
    </w:p>
    <w:p w14:paraId="13199320" w14:textId="77777777" w:rsidR="00F4240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572DF144" w14:textId="77777777" w:rsidR="00F42404" w:rsidRPr="00C33834" w:rsidRDefault="00F42404" w:rsidP="00C33834">
      <w:pPr>
        <w:spacing w:after="0" w:line="240" w:lineRule="auto"/>
        <w:jc w:val="both"/>
        <w:rPr>
          <w:rFonts w:ascii="Times New Roman" w:hAnsi="Times New Roman"/>
          <w:iCs/>
          <w:color w:val="000000" w:themeColor="text1"/>
          <w:sz w:val="16"/>
          <w:szCs w:val="16"/>
        </w:rPr>
      </w:pPr>
    </w:p>
    <w:p w14:paraId="188D9D5A" w14:textId="77777777" w:rsidR="00AD1D3C" w:rsidRPr="00C33834" w:rsidRDefault="00AD1D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8 марта</w:t>
      </w:r>
      <w:r w:rsidRPr="00C33834">
        <w:rPr>
          <w:rFonts w:ascii="Times New Roman" w:hAnsi="Times New Roman"/>
          <w:color w:val="000000" w:themeColor="text1"/>
          <w:sz w:val="16"/>
          <w:szCs w:val="16"/>
        </w:rPr>
        <w:t xml:space="preserve"> в 1933 году открылось железнодорожное движение по первому электрифицированному пути на участке Москва - Обираловка. Локомотивное депо «Железнодорожная» ведет от этой даты отсчет своего существования (15062).</w:t>
      </w:r>
    </w:p>
    <w:p w14:paraId="0BDA4730" w14:textId="77777777" w:rsidR="00AD1D3C" w:rsidRPr="00C33834" w:rsidRDefault="00AD1D3C" w:rsidP="00C33834">
      <w:pPr>
        <w:spacing w:after="0" w:line="240" w:lineRule="auto"/>
        <w:jc w:val="both"/>
        <w:rPr>
          <w:rFonts w:ascii="Times New Roman" w:hAnsi="Times New Roman"/>
          <w:color w:val="000000" w:themeColor="text1"/>
          <w:sz w:val="16"/>
          <w:szCs w:val="16"/>
        </w:rPr>
      </w:pPr>
    </w:p>
    <w:p w14:paraId="4FE9A679"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марта 1933 в Харькове вышло Постановление ВУЦИК о ликвидации комитетов незаможных селян (10687).</w:t>
      </w:r>
    </w:p>
    <w:p w14:paraId="51A445F9"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261D4F61" w14:textId="77777777" w:rsidR="00F4240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D7B019F" w14:textId="77777777" w:rsidR="00F42404" w:rsidRPr="00C33834" w:rsidRDefault="00F42404" w:rsidP="00C33834">
      <w:pPr>
        <w:spacing w:after="0" w:line="240" w:lineRule="auto"/>
        <w:jc w:val="both"/>
        <w:rPr>
          <w:rFonts w:ascii="Times New Roman" w:hAnsi="Times New Roman"/>
          <w:iCs/>
          <w:color w:val="000000" w:themeColor="text1"/>
          <w:sz w:val="16"/>
          <w:szCs w:val="16"/>
        </w:rPr>
      </w:pPr>
    </w:p>
    <w:p w14:paraId="02FA123F" w14:textId="77777777" w:rsidR="00F42404" w:rsidRPr="00C33834" w:rsidRDefault="00F4240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8 марта 1933 в США был принят чрезвычайный банковский акт. Срочно созванная сессия Конгресса приняла целый пакет реформ нового курса (3481).</w:t>
      </w:r>
    </w:p>
    <w:p w14:paraId="4E9ABA6D" w14:textId="77777777" w:rsidR="00F42404" w:rsidRPr="00C33834" w:rsidRDefault="00F42404" w:rsidP="00C33834">
      <w:pPr>
        <w:spacing w:after="0" w:line="240" w:lineRule="auto"/>
        <w:jc w:val="both"/>
        <w:rPr>
          <w:rFonts w:ascii="Times New Roman" w:hAnsi="Times New Roman"/>
          <w:color w:val="000000" w:themeColor="text1"/>
          <w:sz w:val="16"/>
          <w:szCs w:val="16"/>
        </w:rPr>
      </w:pPr>
    </w:p>
    <w:p w14:paraId="20EEC2A4" w14:textId="77777777" w:rsidR="007E5FA7"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2ADCC4C" w14:textId="77777777" w:rsidR="007E5FA7" w:rsidRPr="00C33834" w:rsidRDefault="007E5FA7" w:rsidP="00C33834">
      <w:pPr>
        <w:spacing w:after="0" w:line="240" w:lineRule="auto"/>
        <w:jc w:val="both"/>
        <w:rPr>
          <w:rFonts w:ascii="Times New Roman" w:hAnsi="Times New Roman"/>
          <w:iCs/>
          <w:color w:val="000000" w:themeColor="text1"/>
          <w:sz w:val="16"/>
          <w:szCs w:val="16"/>
        </w:rPr>
      </w:pPr>
    </w:p>
    <w:p w14:paraId="6083345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марта 1933 года начальник ВВС Алкснис писал письмо № 316сс председателю РВС</w:t>
      </w:r>
    </w:p>
    <w:p w14:paraId="247C827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включении в план опытного строительства предложений инженера НИИ ВВС Вахмистрова</w:t>
      </w:r>
    </w:p>
    <w:p w14:paraId="57A6064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w:t>
      </w:r>
    </w:p>
    <w:p w14:paraId="174C36C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декабря 1931 года по июнь 1932 года НИИ ВВС проводил устройство, установку и испытание "Самолета Звена" ("З-1"), сконструированного инженером НИИ ВВС Вахмистровым В.С.</w:t>
      </w:r>
    </w:p>
    <w:p w14:paraId="61DE275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"З-1" представляет собой соединение двух истребителей И-4 с тяжелым бомбардировщиком ТБ1. Самолеты И-4 устанавливаются на крыльях ТБ1 в специальных замках и могут быть отцеплены в воздухе особым сбрасывателем.</w:t>
      </w:r>
    </w:p>
    <w:p w14:paraId="2299080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взлете и в полете моторы всех трех самолетов работают и таким образом получается один целый 4-моторный самолет. Питание горючим истребителей в полете производится из баков бомбардировщика.</w:t>
      </w:r>
    </w:p>
    <w:p w14:paraId="63D5EE4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 комбинация представляет следующие основные выгоды:</w:t>
      </w:r>
    </w:p>
    <w:p w14:paraId="2123E02F" w14:textId="77777777" w:rsidR="007E5FA7" w:rsidRPr="00C33834" w:rsidRDefault="007E5FA7" w:rsidP="00C33834">
      <w:pPr>
        <w:numPr>
          <w:ilvl w:val="0"/>
          <w:numId w:val="13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 истребителей увеличивают мощность бомбардировщика, а следовательно и его грузоподъемность, скороподъемность, потолок и скорость.</w:t>
      </w:r>
    </w:p>
    <w:p w14:paraId="785C273D" w14:textId="77777777" w:rsidR="007E5FA7" w:rsidRPr="00C33834" w:rsidRDefault="007E5FA7" w:rsidP="00C33834">
      <w:pPr>
        <w:numPr>
          <w:ilvl w:val="0"/>
          <w:numId w:val="13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 истребителей увеличивается в два раза, так как по пути к цели они питаются горючим из баков бомбардировщика.</w:t>
      </w:r>
    </w:p>
    <w:p w14:paraId="025A49E6" w14:textId="77777777" w:rsidR="007E5FA7" w:rsidRPr="00C33834" w:rsidRDefault="007E5FA7" w:rsidP="00C33834">
      <w:pPr>
        <w:numPr>
          <w:ilvl w:val="0"/>
          <w:numId w:val="13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Бомбардировщик в глубоком тылу противника имеет свою истребительную охрану, а не только при прохождении полосы фронта.</w:t>
      </w:r>
    </w:p>
    <w:p w14:paraId="5CD19E0C" w14:textId="77777777" w:rsidR="007E5FA7" w:rsidRPr="00C33834" w:rsidRDefault="007E5FA7" w:rsidP="00C33834">
      <w:pPr>
        <w:numPr>
          <w:ilvl w:val="0"/>
          <w:numId w:val="13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показали, что эксплуатация самолета "З-1" как в зимних, так и в летних условиях особых трудностей не представляет ни в подготовке к полету, ни в самом полете.</w:t>
      </w:r>
    </w:p>
    <w:p w14:paraId="70A9139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Сравнительные данные изолированного ТБ-1 и его же с двумя И-4 таковы: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1160"/>
        <w:gridCol w:w="1160"/>
        <w:gridCol w:w="1160"/>
        <w:gridCol w:w="1160"/>
        <w:gridCol w:w="1160"/>
        <w:gridCol w:w="1160"/>
        <w:gridCol w:w="1160"/>
        <w:gridCol w:w="1160"/>
        <w:gridCol w:w="1160"/>
      </w:tblGrid>
      <w:tr w:rsidR="00F26F01" w:rsidRPr="00C33834" w14:paraId="4D04DC68" w14:textId="77777777">
        <w:tc>
          <w:tcPr>
            <w:tcW w:w="1160" w:type="dxa"/>
          </w:tcPr>
          <w:p w14:paraId="21627C6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w:t>
            </w:r>
          </w:p>
        </w:tc>
        <w:tc>
          <w:tcPr>
            <w:tcW w:w="1160" w:type="dxa"/>
          </w:tcPr>
          <w:p w14:paraId="5A4B336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пустого</w:t>
            </w:r>
          </w:p>
        </w:tc>
        <w:tc>
          <w:tcPr>
            <w:tcW w:w="1160" w:type="dxa"/>
          </w:tcPr>
          <w:p w14:paraId="11FF511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Полная нагрузка ТБ1</w:t>
            </w:r>
          </w:p>
        </w:tc>
        <w:tc>
          <w:tcPr>
            <w:tcW w:w="1160" w:type="dxa"/>
          </w:tcPr>
          <w:p w14:paraId="0AD7411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бомб</w:t>
            </w:r>
          </w:p>
        </w:tc>
        <w:tc>
          <w:tcPr>
            <w:tcW w:w="1160" w:type="dxa"/>
          </w:tcPr>
          <w:p w14:paraId="7EE9DA3C"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самолетов</w:t>
            </w:r>
          </w:p>
          <w:p w14:paraId="6C6634C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И-4</w:t>
            </w:r>
          </w:p>
        </w:tc>
        <w:tc>
          <w:tcPr>
            <w:tcW w:w="1160" w:type="dxa"/>
          </w:tcPr>
          <w:p w14:paraId="2804397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разбега</w:t>
            </w:r>
          </w:p>
        </w:tc>
        <w:tc>
          <w:tcPr>
            <w:tcW w:w="1160" w:type="dxa"/>
          </w:tcPr>
          <w:p w14:paraId="451D95D2"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Максимальн. скорость </w:t>
            </w:r>
          </w:p>
        </w:tc>
        <w:tc>
          <w:tcPr>
            <w:tcW w:w="1160" w:type="dxa"/>
          </w:tcPr>
          <w:p w14:paraId="1B09825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Подъем на 3000 м</w:t>
            </w:r>
          </w:p>
        </w:tc>
        <w:tc>
          <w:tcPr>
            <w:tcW w:w="1160" w:type="dxa"/>
          </w:tcPr>
          <w:p w14:paraId="56DA106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1160" w:type="dxa"/>
          </w:tcPr>
          <w:p w14:paraId="06B4469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w:t>
            </w:r>
          </w:p>
        </w:tc>
      </w:tr>
      <w:tr w:rsidR="00F26F01" w:rsidRPr="00C33834" w14:paraId="5803DCEF" w14:textId="77777777">
        <w:tc>
          <w:tcPr>
            <w:tcW w:w="1160" w:type="dxa"/>
          </w:tcPr>
          <w:p w14:paraId="4E885B8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ТБ1</w:t>
            </w:r>
          </w:p>
        </w:tc>
        <w:tc>
          <w:tcPr>
            <w:tcW w:w="1160" w:type="dxa"/>
          </w:tcPr>
          <w:p w14:paraId="602CD49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4525</w:t>
            </w:r>
          </w:p>
        </w:tc>
        <w:tc>
          <w:tcPr>
            <w:tcW w:w="1160" w:type="dxa"/>
          </w:tcPr>
          <w:p w14:paraId="32E375D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2285</w:t>
            </w:r>
          </w:p>
        </w:tc>
        <w:tc>
          <w:tcPr>
            <w:tcW w:w="1160" w:type="dxa"/>
          </w:tcPr>
          <w:p w14:paraId="5B2BED8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w:t>
            </w:r>
          </w:p>
        </w:tc>
        <w:tc>
          <w:tcPr>
            <w:tcW w:w="1160" w:type="dxa"/>
          </w:tcPr>
          <w:p w14:paraId="3F433D2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60" w:type="dxa"/>
          </w:tcPr>
          <w:p w14:paraId="118D484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1160" w:type="dxa"/>
          </w:tcPr>
          <w:p w14:paraId="741B6A9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211</w:t>
            </w:r>
          </w:p>
        </w:tc>
        <w:tc>
          <w:tcPr>
            <w:tcW w:w="1160" w:type="dxa"/>
          </w:tcPr>
          <w:p w14:paraId="5AD6158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21,3</w:t>
            </w:r>
          </w:p>
        </w:tc>
        <w:tc>
          <w:tcPr>
            <w:tcW w:w="1160" w:type="dxa"/>
          </w:tcPr>
          <w:p w14:paraId="6204A5B2"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4800</w:t>
            </w:r>
          </w:p>
        </w:tc>
        <w:tc>
          <w:tcPr>
            <w:tcW w:w="1160" w:type="dxa"/>
          </w:tcPr>
          <w:p w14:paraId="67558CB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w:t>
            </w:r>
          </w:p>
        </w:tc>
      </w:tr>
      <w:tr w:rsidR="00F26F01" w:rsidRPr="00C33834" w14:paraId="5F1FDB91" w14:textId="77777777">
        <w:tc>
          <w:tcPr>
            <w:tcW w:w="1160" w:type="dxa"/>
          </w:tcPr>
          <w:p w14:paraId="273FAD38" w14:textId="77777777" w:rsidR="007E5FA7" w:rsidRPr="00C33834" w:rsidRDefault="007E5FA7" w:rsidP="00C33834">
            <w:pPr>
              <w:spacing w:after="0" w:line="240" w:lineRule="auto"/>
              <w:jc w:val="both"/>
              <w:rPr>
                <w:rFonts w:ascii="Times New Roman" w:hAnsi="Times New Roman"/>
                <w:color w:val="000000" w:themeColor="text1"/>
                <w:sz w:val="16"/>
                <w:szCs w:val="16"/>
              </w:rPr>
            </w:pPr>
          </w:p>
        </w:tc>
        <w:tc>
          <w:tcPr>
            <w:tcW w:w="1160" w:type="dxa"/>
          </w:tcPr>
          <w:p w14:paraId="50E5028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4525</w:t>
            </w:r>
          </w:p>
        </w:tc>
        <w:tc>
          <w:tcPr>
            <w:tcW w:w="1160" w:type="dxa"/>
          </w:tcPr>
          <w:p w14:paraId="7C9DDB7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3400</w:t>
            </w:r>
          </w:p>
        </w:tc>
        <w:tc>
          <w:tcPr>
            <w:tcW w:w="1160" w:type="dxa"/>
          </w:tcPr>
          <w:p w14:paraId="4EF849F4"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1160" w:type="dxa"/>
          </w:tcPr>
          <w:p w14:paraId="2639EFA2"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60" w:type="dxa"/>
          </w:tcPr>
          <w:p w14:paraId="17AAD31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160" w:type="dxa"/>
          </w:tcPr>
          <w:p w14:paraId="0F71373C"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1160" w:type="dxa"/>
          </w:tcPr>
          <w:p w14:paraId="0560A16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38,1</w:t>
            </w:r>
          </w:p>
        </w:tc>
        <w:tc>
          <w:tcPr>
            <w:tcW w:w="1160" w:type="dxa"/>
          </w:tcPr>
          <w:p w14:paraId="671CFDD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3790</w:t>
            </w:r>
          </w:p>
        </w:tc>
        <w:tc>
          <w:tcPr>
            <w:tcW w:w="1160" w:type="dxa"/>
          </w:tcPr>
          <w:p w14:paraId="5E4383B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r>
      <w:tr w:rsidR="00F26F01" w:rsidRPr="00C33834" w14:paraId="2AB485DB" w14:textId="77777777">
        <w:tc>
          <w:tcPr>
            <w:tcW w:w="1160" w:type="dxa"/>
          </w:tcPr>
          <w:p w14:paraId="6437215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"З-1"</w:t>
            </w:r>
          </w:p>
          <w:p w14:paraId="3206F46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ТБ1+2И-4</w:t>
            </w:r>
          </w:p>
        </w:tc>
        <w:tc>
          <w:tcPr>
            <w:tcW w:w="1160" w:type="dxa"/>
          </w:tcPr>
          <w:p w14:paraId="4FD9E4A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6532</w:t>
            </w:r>
          </w:p>
        </w:tc>
        <w:tc>
          <w:tcPr>
            <w:tcW w:w="1160" w:type="dxa"/>
          </w:tcPr>
          <w:p w14:paraId="7526F74C"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3968</w:t>
            </w:r>
          </w:p>
        </w:tc>
        <w:tc>
          <w:tcPr>
            <w:tcW w:w="1160" w:type="dxa"/>
          </w:tcPr>
          <w:p w14:paraId="72EA03C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1160" w:type="dxa"/>
          </w:tcPr>
          <w:p w14:paraId="169F321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1450</w:t>
            </w:r>
          </w:p>
        </w:tc>
        <w:tc>
          <w:tcPr>
            <w:tcW w:w="1160" w:type="dxa"/>
          </w:tcPr>
          <w:p w14:paraId="7450BB7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1160" w:type="dxa"/>
          </w:tcPr>
          <w:p w14:paraId="5834F01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1160" w:type="dxa"/>
          </w:tcPr>
          <w:p w14:paraId="01EC7CC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24,6</w:t>
            </w:r>
          </w:p>
        </w:tc>
        <w:tc>
          <w:tcPr>
            <w:tcW w:w="1160" w:type="dxa"/>
          </w:tcPr>
          <w:p w14:paraId="687AA10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4630</w:t>
            </w:r>
          </w:p>
        </w:tc>
        <w:tc>
          <w:tcPr>
            <w:tcW w:w="1160" w:type="dxa"/>
          </w:tcPr>
          <w:p w14:paraId="438043C4"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r>
      <w:tr w:rsidR="00F26F01" w:rsidRPr="00C33834" w14:paraId="6B7AFCAE" w14:textId="77777777">
        <w:tc>
          <w:tcPr>
            <w:tcW w:w="1160" w:type="dxa"/>
          </w:tcPr>
          <w:p w14:paraId="6A7FD941" w14:textId="77777777" w:rsidR="007E5FA7" w:rsidRPr="00C33834" w:rsidRDefault="007E5FA7" w:rsidP="00C33834">
            <w:pPr>
              <w:spacing w:after="0" w:line="240" w:lineRule="auto"/>
              <w:jc w:val="both"/>
              <w:rPr>
                <w:rFonts w:ascii="Times New Roman" w:hAnsi="Times New Roman"/>
                <w:color w:val="000000" w:themeColor="text1"/>
                <w:sz w:val="16"/>
                <w:szCs w:val="16"/>
              </w:rPr>
            </w:pPr>
          </w:p>
        </w:tc>
        <w:tc>
          <w:tcPr>
            <w:tcW w:w="1160" w:type="dxa"/>
          </w:tcPr>
          <w:p w14:paraId="45BE836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6532</w:t>
            </w:r>
          </w:p>
        </w:tc>
        <w:tc>
          <w:tcPr>
            <w:tcW w:w="1160" w:type="dxa"/>
          </w:tcPr>
          <w:p w14:paraId="38C3083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5968</w:t>
            </w:r>
          </w:p>
        </w:tc>
        <w:tc>
          <w:tcPr>
            <w:tcW w:w="1160" w:type="dxa"/>
          </w:tcPr>
          <w:p w14:paraId="2D1FEA7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1160" w:type="dxa"/>
          </w:tcPr>
          <w:p w14:paraId="3C73D7E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1450</w:t>
            </w:r>
          </w:p>
        </w:tc>
        <w:tc>
          <w:tcPr>
            <w:tcW w:w="1160" w:type="dxa"/>
          </w:tcPr>
          <w:p w14:paraId="432EF45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290</w:t>
            </w:r>
          </w:p>
        </w:tc>
        <w:tc>
          <w:tcPr>
            <w:tcW w:w="1160" w:type="dxa"/>
          </w:tcPr>
          <w:p w14:paraId="7B5F85C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60" w:type="dxa"/>
          </w:tcPr>
          <w:p w14:paraId="1A9B8ED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60" w:type="dxa"/>
          </w:tcPr>
          <w:p w14:paraId="5CC3917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60" w:type="dxa"/>
          </w:tcPr>
          <w:p w14:paraId="55B06762"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r>
    </w:tbl>
    <w:p w14:paraId="683C967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периоде испытаний был произведен демонстративный налет на Киев, где сброшено 1000 кг бомб, при этом пройдено без посадки 1275 км.</w:t>
      </w:r>
    </w:p>
    <w:p w14:paraId="7766669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полного выявления эксплуатационных свойств самолета "З-1" в настоящее время изготовляется войсковая серия этих установок в количестве 6 штук для широких войсковых испытаний и отработки тактики и боевого применения.</w:t>
      </w:r>
    </w:p>
    <w:p w14:paraId="2E79C01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Дальнейшие работы инженера Вахмистрова по конструированию перенести на самолет ТБ-3, на котором спроектированы два типа установок "З-2" – установка з-х самолетов И-5 сверху на крыльях ТБ3 и "З-3" – 2-х самолетов "Z" снизу под крыльями ТБ3, таким образом на ТБ3 может быть одновременно установлено 5 истребителей. Проектирование этих двух установок (сверху и снизу) закончено и они изготовляются на заводе ЦАГИ.</w:t>
      </w:r>
    </w:p>
    <w:p w14:paraId="0FCBE0B2"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Расчетные данные самолета ТБ-3 с тремя самолетами "И-5" по сравнению с изолированным ТБ3 таковы: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50"/>
        <w:gridCol w:w="1450"/>
        <w:gridCol w:w="1450"/>
        <w:gridCol w:w="1450"/>
        <w:gridCol w:w="1450"/>
        <w:gridCol w:w="1450"/>
        <w:gridCol w:w="1450"/>
        <w:gridCol w:w="1450"/>
      </w:tblGrid>
      <w:tr w:rsidR="00F26F01" w:rsidRPr="00C33834" w14:paraId="06B4CDD7" w14:textId="77777777">
        <w:tc>
          <w:tcPr>
            <w:tcW w:w="1450" w:type="dxa"/>
          </w:tcPr>
          <w:p w14:paraId="1B77BD12"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w:t>
            </w:r>
          </w:p>
        </w:tc>
        <w:tc>
          <w:tcPr>
            <w:tcW w:w="1450" w:type="dxa"/>
          </w:tcPr>
          <w:p w14:paraId="5B9D1C0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Полетный вес</w:t>
            </w:r>
          </w:p>
        </w:tc>
        <w:tc>
          <w:tcPr>
            <w:tcW w:w="1450" w:type="dxa"/>
          </w:tcPr>
          <w:p w14:paraId="354A07A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Нагрузка</w:t>
            </w:r>
          </w:p>
        </w:tc>
        <w:tc>
          <w:tcPr>
            <w:tcW w:w="1450" w:type="dxa"/>
          </w:tcPr>
          <w:p w14:paraId="741343F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 скорость у земли</w:t>
            </w:r>
          </w:p>
        </w:tc>
        <w:tc>
          <w:tcPr>
            <w:tcW w:w="1450" w:type="dxa"/>
          </w:tcPr>
          <w:p w14:paraId="222429F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 скорость на 3000 м</w:t>
            </w:r>
          </w:p>
        </w:tc>
        <w:tc>
          <w:tcPr>
            <w:tcW w:w="1450" w:type="dxa"/>
          </w:tcPr>
          <w:p w14:paraId="606A8F5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Скороподъемн. на 1000 м </w:t>
            </w:r>
          </w:p>
        </w:tc>
        <w:tc>
          <w:tcPr>
            <w:tcW w:w="1450" w:type="dxa"/>
          </w:tcPr>
          <w:p w14:paraId="7309052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 на 3000 м</w:t>
            </w:r>
          </w:p>
        </w:tc>
        <w:tc>
          <w:tcPr>
            <w:tcW w:w="1450" w:type="dxa"/>
          </w:tcPr>
          <w:p w14:paraId="3C182E4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r>
      <w:tr w:rsidR="00F26F01" w:rsidRPr="00C33834" w14:paraId="3B33852C" w14:textId="77777777">
        <w:tc>
          <w:tcPr>
            <w:tcW w:w="1450" w:type="dxa"/>
          </w:tcPr>
          <w:p w14:paraId="6149555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1450" w:type="dxa"/>
          </w:tcPr>
          <w:p w14:paraId="555CF40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17200</w:t>
            </w:r>
          </w:p>
        </w:tc>
        <w:tc>
          <w:tcPr>
            <w:tcW w:w="1450" w:type="dxa"/>
          </w:tcPr>
          <w:p w14:paraId="6A0B8F0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7000</w:t>
            </w:r>
          </w:p>
        </w:tc>
        <w:tc>
          <w:tcPr>
            <w:tcW w:w="1450" w:type="dxa"/>
          </w:tcPr>
          <w:p w14:paraId="587C015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198</w:t>
            </w:r>
          </w:p>
        </w:tc>
        <w:tc>
          <w:tcPr>
            <w:tcW w:w="1450" w:type="dxa"/>
          </w:tcPr>
          <w:p w14:paraId="284C977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166</w:t>
            </w:r>
          </w:p>
        </w:tc>
        <w:tc>
          <w:tcPr>
            <w:tcW w:w="1450" w:type="dxa"/>
          </w:tcPr>
          <w:p w14:paraId="1D5A70F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9,40</w:t>
            </w:r>
          </w:p>
        </w:tc>
        <w:tc>
          <w:tcPr>
            <w:tcW w:w="1450" w:type="dxa"/>
          </w:tcPr>
          <w:p w14:paraId="31AB8B7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46,5</w:t>
            </w:r>
          </w:p>
        </w:tc>
        <w:tc>
          <w:tcPr>
            <w:tcW w:w="1450" w:type="dxa"/>
          </w:tcPr>
          <w:p w14:paraId="1D11493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3700</w:t>
            </w:r>
          </w:p>
        </w:tc>
      </w:tr>
      <w:tr w:rsidR="00F26F01" w:rsidRPr="00C33834" w14:paraId="42EE1B17" w14:textId="77777777">
        <w:tc>
          <w:tcPr>
            <w:tcW w:w="1450" w:type="dxa"/>
          </w:tcPr>
          <w:p w14:paraId="4288C4EC"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"З-2"</w:t>
            </w:r>
          </w:p>
          <w:p w14:paraId="13F766B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ТБ3+3И5</w:t>
            </w:r>
          </w:p>
        </w:tc>
        <w:tc>
          <w:tcPr>
            <w:tcW w:w="1450" w:type="dxa"/>
          </w:tcPr>
          <w:p w14:paraId="152BE07C"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21250</w:t>
            </w:r>
          </w:p>
        </w:tc>
        <w:tc>
          <w:tcPr>
            <w:tcW w:w="1450" w:type="dxa"/>
          </w:tcPr>
          <w:p w14:paraId="4F4FA76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8200</w:t>
            </w:r>
          </w:p>
        </w:tc>
        <w:tc>
          <w:tcPr>
            <w:tcW w:w="1450" w:type="dxa"/>
          </w:tcPr>
          <w:p w14:paraId="3DD5D04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201</w:t>
            </w:r>
          </w:p>
        </w:tc>
        <w:tc>
          <w:tcPr>
            <w:tcW w:w="1450" w:type="dxa"/>
          </w:tcPr>
          <w:p w14:paraId="4EA497B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174</w:t>
            </w:r>
          </w:p>
        </w:tc>
        <w:tc>
          <w:tcPr>
            <w:tcW w:w="1450" w:type="dxa"/>
          </w:tcPr>
          <w:p w14:paraId="1B5D832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4,93</w:t>
            </w:r>
          </w:p>
        </w:tc>
        <w:tc>
          <w:tcPr>
            <w:tcW w:w="1450" w:type="dxa"/>
          </w:tcPr>
          <w:p w14:paraId="6D7E2F8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24,17</w:t>
            </w:r>
          </w:p>
        </w:tc>
        <w:tc>
          <w:tcPr>
            <w:tcW w:w="1450" w:type="dxa"/>
          </w:tcPr>
          <w:p w14:paraId="1CF3757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4800</w:t>
            </w:r>
          </w:p>
        </w:tc>
      </w:tr>
    </w:tbl>
    <w:p w14:paraId="4392186C"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этих двух установок, инженером Вахмистровым разработана методика посадки И5 на ТБ3 в воздухе и заканчивается конструирование соответствующих приспособлений.</w:t>
      </w:r>
    </w:p>
    <w:p w14:paraId="56BFC39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этой проблемы неограниченно увеличивает радиус действия истребителей до пределов запасов горючего в бомбардировщике. Наличие истребителей при бомбардировщиках заставляет произвести переоценку обороноспособности тяжелых самолетов, которая при этом увеличивается во много раз.</w:t>
      </w:r>
    </w:p>
    <w:p w14:paraId="15C0832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основе произведенных работ в развитие идеи "Самолета-Звена" инженером Вахмистровым предложены три новых типа самолетов:</w:t>
      </w:r>
    </w:p>
    <w:p w14:paraId="15753C14" w14:textId="77777777" w:rsidR="007E5FA7" w:rsidRPr="00C33834" w:rsidRDefault="007E5FA7" w:rsidP="00C33834">
      <w:pPr>
        <w:numPr>
          <w:ilvl w:val="0"/>
          <w:numId w:val="13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"Тягач", представляющий собою летающий добавочный мотор. Это – простейший самолет с мощным мотором, назначение которого помочь взлететь тяжелому самолету и подняться до боевой высоты, а затем этот "Тягач", снимается и возвращается на свой аэродром. Это же "тягач", как самолет с очень большим избытком мощности, может быть с успехом использован в качестве буксировщика тяжелых планеров в своем тылу и в тылу противника для высадки десантов.</w:t>
      </w:r>
    </w:p>
    <w:p w14:paraId="4D8E7FDD" w14:textId="77777777" w:rsidR="007E5FA7" w:rsidRPr="00C33834" w:rsidRDefault="007E5FA7" w:rsidP="00C33834">
      <w:pPr>
        <w:numPr>
          <w:ilvl w:val="0"/>
          <w:numId w:val="13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Сверхскоростной истребитель работа которого производится исключительно с тяжелого самолета-матки, с которой он слетает для боя и на которую садится после боя. У этого самолета можно получить скорость до 400-500 км/час за счет большой посадочной скорости, так как садясь на подвижную базу-матку он посадочной скоростью не ограничен. Этот самолет может получить боевое применение при полетах на цели в глубоком тылу страны противника, где он будет щупальцем бомбардировщика, разведывая впереди лежащие цели, не боясь воздушного противника. Кроме того, это самолет будет оборонять своего бомбардировщика, перехватывая прорывающиеся к нему самолеты противника.</w:t>
      </w:r>
    </w:p>
    <w:p w14:paraId="6ECC2EC1" w14:textId="77777777" w:rsidR="007E5FA7" w:rsidRPr="00C33834" w:rsidRDefault="007E5FA7" w:rsidP="00C33834">
      <w:pPr>
        <w:numPr>
          <w:ilvl w:val="0"/>
          <w:numId w:val="13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"Авмаматка" – тяжелый многомоторный самолет – летающее крыло типа параболы Чарановского. На этом самолете при размахе его в 100 м по расчету можно будет установить 15 самолетов И5 сверху и 5-6 самолетов типа "Z" снизу.</w:t>
      </w:r>
    </w:p>
    <w:p w14:paraId="2A2A8A6A" w14:textId="77777777" w:rsidR="007E5FA7" w:rsidRPr="00C33834" w:rsidRDefault="007E5FA7" w:rsidP="00C33834">
      <w:pPr>
        <w:pStyle w:val="24"/>
        <w:widowControl/>
        <w:rPr>
          <w:color w:val="000000" w:themeColor="text1"/>
        </w:rPr>
      </w:pPr>
      <w:r w:rsidRPr="00C33834">
        <w:rPr>
          <w:color w:val="000000" w:themeColor="text1"/>
        </w:rPr>
        <w:t>Самолет представляет огромный интерес для ВВС. При его осуществлении радикально разрешается вопрос транспортной авиации и ПВО.</w:t>
      </w:r>
    </w:p>
    <w:p w14:paraId="3D0CD85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Он может быть использован, как тарнспортировщик любых грузов, в том числе и горючего, и как тяжелый бомбардировщик.</w:t>
      </w:r>
    </w:p>
    <w:p w14:paraId="30D4D85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нем можно перебрасывать истребительные эскадрильи на 1000 км, причем истребители по прилете будет с полной нагрузкой горючим и боеприпасами. Как самолет сопровождения, он разрешает вопрос истребительной охраны бомбардировщика.</w:t>
      </w:r>
    </w:p>
    <w:p w14:paraId="707CBE7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цели ПВО – может часами держать на боевой высоте эскадрильи истребителей с полным запасом горючего.</w:t>
      </w:r>
    </w:p>
    <w:p w14:paraId="7CA50B1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Общие выводы</w:t>
      </w:r>
    </w:p>
    <w:p w14:paraId="62A856D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Изобретения Вахмистрова открывают совершенно новую область авиации и значительно расширяют возможности применения последней на войне. В этой области СССР стоит в настоящее время на первом месте. Необходимо широко и быстрыми темпами развернуть начатую работу, отпустить на нее необходимые средства и дать производственную базу.</w:t>
      </w:r>
    </w:p>
    <w:p w14:paraId="6F1840F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Практические предложения</w:t>
      </w:r>
    </w:p>
    <w:p w14:paraId="1080E274" w14:textId="77777777" w:rsidR="007E5FA7" w:rsidRPr="00C33834" w:rsidRDefault="007E5FA7" w:rsidP="00C33834">
      <w:pPr>
        <w:numPr>
          <w:ilvl w:val="0"/>
          <w:numId w:val="13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Включить в план опытного строительства ВВС на 1933 год работы по проектированию и постройке предложенных Вахмистровым самолетов "Тягач" и скоростной истребитель, а также исследовательские работы по самолету авиаматке.</w:t>
      </w:r>
    </w:p>
    <w:p w14:paraId="3B7C41E6" w14:textId="77777777" w:rsidR="007E5FA7" w:rsidRPr="00C33834" w:rsidRDefault="007E5FA7" w:rsidP="00C33834">
      <w:pPr>
        <w:numPr>
          <w:ilvl w:val="0"/>
          <w:numId w:val="14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Денежную сумму на проектирование и постройку опытных самолетов "Тягач" и скоростной истребитель, а также на исследовательские работы по авиаматке – в размере восемьсот тридцать пять тысяч рублей по смете Вахмистрова отпустить из средств ПВО.</w:t>
      </w:r>
    </w:p>
    <w:p w14:paraId="28F8F284" w14:textId="77777777" w:rsidR="007E5FA7" w:rsidRPr="00C33834" w:rsidRDefault="007E5FA7" w:rsidP="00C33834">
      <w:pPr>
        <w:numPr>
          <w:ilvl w:val="0"/>
          <w:numId w:val="14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качестве производственной базы использовать бывший завод № 39, где создать специальную группу инженера Вахмистрова с тем, что все работы его по легким самолетам производятся на 39 заводе, а по тяжелым – в ЦАГИ.</w:t>
      </w:r>
    </w:p>
    <w:p w14:paraId="717C833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Баранов согласен с этим при условии финансирования указанных работ по линии НКВМ (7439, 201-203).</w:t>
      </w:r>
    </w:p>
    <w:p w14:paraId="50C40B29"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0BED06B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марта 1933 года зам. начальника НТОС Машкевич писал письмо N ОП 257/109 начальнику ПТЭС ГУАП Зильберквиту.</w:t>
      </w:r>
    </w:p>
    <w:p w14:paraId="1F27D774"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В/N 1/НИС сообщаю, что данные по п.п. 2, 3, 4 и 5 имеются у Вас в плане опытного строительства, утвержденного Правительством 4/VII-32 г.; по п. 6 сведения даются ниже; по п.п. 7, 8 можно дать только ориентировочные сроки, ибо неизвестно сколь сложные возникнут переделки в процессе испытаний и доводки. На основании опыта, при благоприятных условиях, на заводские испытания уходит 1-2 месяца (в зависимости от времени года и сложности машины), столько же на гос. испытания, то же время на переделки после гос. испытаний и подготовку эталона; по п. 9 следует считать, что готовность конструктивных чертежей обычно ведется так, чтобы они были закончены к сроку готовности эталона. Внедрение 6-8 месяцев.</w:t>
      </w:r>
    </w:p>
    <w:p w14:paraId="5681345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на заводские испытания самолетов ЦАГИ:</w:t>
      </w:r>
    </w:p>
    <w:p w14:paraId="35C2A89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ТБ-6 - 1/XII-34 г.</w:t>
      </w:r>
    </w:p>
    <w:p w14:paraId="07CB0D7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ТБ-4-6М34 - III-33 г. (опытн.).</w:t>
      </w:r>
    </w:p>
    <w:p w14:paraId="13D048D4"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3. ТБ4 головн. - нужны моторы с редукторами. После получения моторов срок выхода на аэродром через 4 месяца. Срок подачи моторов намечается в IV-V. Следовательно, ориентировочно самолет может выйти VIII-IX-33 г.</w:t>
      </w:r>
    </w:p>
    <w:p w14:paraId="3886A224"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СК1-2М32Н (тоже в зависимости от получения моторов), т.е. ориентировочно выход на аэродром - XI-XII-33 г.</w:t>
      </w:r>
    </w:p>
    <w:p w14:paraId="2007109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МИ3-2М34 (опытный) - IV-III33 г.</w:t>
      </w:r>
    </w:p>
    <w:p w14:paraId="4A14AF6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МИ3 - головн. - нужны моторы с нагнетат. Ориентировочно выход на аэродром - VIII-IX-33 г.</w:t>
      </w:r>
    </w:p>
    <w:p w14:paraId="1699B28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ДИП-2М34 - X-XI-33 г.</w:t>
      </w:r>
    </w:p>
    <w:p w14:paraId="216289A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ДИП - головн. - II-34 г.</w:t>
      </w:r>
    </w:p>
    <w:p w14:paraId="5C48D19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И13-М32Н - в зависимости от моторов; ориентировочно выход на аэродром - XII-33 г., I-34 г.</w:t>
      </w:r>
    </w:p>
    <w:p w14:paraId="709D97F2"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И14-М38 - на опытную ставится Бристоль-Меркур; выход на аэродром с Б.М. - IV-33 г.</w:t>
      </w:r>
    </w:p>
    <w:p w14:paraId="68DB160C"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МК1-6М34 РН - XII-33 г.</w:t>
      </w:r>
    </w:p>
    <w:p w14:paraId="37E9C35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МДР3 бис-3М34 - XI-XII-33 г.</w:t>
      </w:r>
    </w:p>
    <w:p w14:paraId="1DF8D46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Рекордн. дальности - V-33 г.</w:t>
      </w:r>
    </w:p>
    <w:p w14:paraId="6DF9326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"Максим Горький" - IV-34 г.</w:t>
      </w:r>
    </w:p>
    <w:p w14:paraId="0C109CF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МБР2-М17 - внедрение идет.</w:t>
      </w:r>
    </w:p>
    <w:p w14:paraId="7461DAD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К7-7М34 - X-XI-33 г. ХАЗОС.</w:t>
      </w:r>
    </w:p>
    <w:p w14:paraId="6915254C"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В.С. - 2М52 - в зависимости от мотора....</w:t>
      </w:r>
    </w:p>
    <w:p w14:paraId="6B44C1A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У3-М48 - IX-Х-33 г. Завод N 23.</w:t>
      </w:r>
    </w:p>
    <w:p w14:paraId="47C5225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 (завод N 39).</w:t>
      </w:r>
    </w:p>
    <w:p w14:paraId="70C3505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И15-М38 (М58) - в зависимости от мотора; если мотор будет IV, то самолет выйдет - IX-33 г.</w:t>
      </w:r>
    </w:p>
    <w:p w14:paraId="0FED6F8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И15-М.Б. - 1/IX-33 г.</w:t>
      </w:r>
    </w:p>
    <w:p w14:paraId="22DB31F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Л.Р.-М34Н - 1/VIII-33 г.</w:t>
      </w:r>
    </w:p>
    <w:p w14:paraId="4E1931A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Л.Р. - 1/VIII-33 г.</w:t>
      </w:r>
    </w:p>
    <w:p w14:paraId="37932B8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Л.Р. - головной - 1/Х-33 г.</w:t>
      </w:r>
    </w:p>
    <w:p w14:paraId="23FA0C6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ТШ-М34 - 1/XI-33 г.</w:t>
      </w:r>
    </w:p>
    <w:p w14:paraId="4AB97E0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ТШ3 - 1/XI-33 г.</w:t>
      </w:r>
    </w:p>
    <w:p w14:paraId="4925243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ТШ - головной - III-34 г.</w:t>
      </w:r>
    </w:p>
    <w:p w14:paraId="30EA4E7C"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ДИ6-М32Н - 6 месяцев, после получения мотора - XII-33 г.</w:t>
      </w:r>
    </w:p>
    <w:p w14:paraId="27D1A6F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Стратосферный самолет - в зависимости от М34Н - к 1/IX.</w:t>
      </w:r>
    </w:p>
    <w:p w14:paraId="31001DB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Летающее крыло - 2М34 - XII-33 г.</w:t>
      </w:r>
    </w:p>
    <w:p w14:paraId="6C81AFB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Самолет Кричевского-М11 - VIII-33 г.</w:t>
      </w:r>
    </w:p>
    <w:p w14:paraId="463F6B2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Парабола-М11 V-33 г.</w:t>
      </w:r>
    </w:p>
    <w:p w14:paraId="09FDB4D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Легкие самолеты для гражданской авиации:</w:t>
      </w:r>
    </w:p>
    <w:p w14:paraId="6510875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Под мотор 65НР - Х-33 г.</w:t>
      </w:r>
    </w:p>
    <w:p w14:paraId="46259EA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Под М-51 - IX-33 г.</w:t>
      </w:r>
    </w:p>
    <w:p w14:paraId="2C452CE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Под М-49 - Х-33 г.</w:t>
      </w:r>
    </w:p>
    <w:p w14:paraId="74D8CD3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Модификации ЦАГИ:</w:t>
      </w:r>
    </w:p>
    <w:p w14:paraId="3C45D0BC"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ТБ3-4М34 - внедрение идет.</w:t>
      </w:r>
    </w:p>
    <w:p w14:paraId="5D658BA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С62-М34 - внедрение идет; самолет отправлен на завод N 31 для испытаний.</w:t>
      </w:r>
    </w:p>
    <w:p w14:paraId="1BAB207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Р6 на поплавках -внедрение идет.</w:t>
      </w:r>
    </w:p>
    <w:p w14:paraId="0F0A5CA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Р5 с тормозными колесами - внедрение идет.</w:t>
      </w:r>
    </w:p>
    <w:p w14:paraId="1B91A5E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Р5 на поплавках - внедрение идет (2286,50).</w:t>
      </w:r>
    </w:p>
    <w:p w14:paraId="3D962E9D"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4587108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марта 1933 от Алмазова был получен проект Постановления РВСР N 114с по докладу Нач. Штаба ВВС РККА Меженинова "О развитии авиационной техники на основе виденного на авиационной выставке и на заводах Германии." - просили НКТП разработать и построить учебный и спортивный самолет, тренировочный самолет, проработать вопрос о механизации крыла... (2305,9).</w:t>
      </w:r>
    </w:p>
    <w:p w14:paraId="69910C0A"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7C87BA0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марта 1933 проводилась стрельба в воздухе над полигоном УВВС - Монино с посадками для зарядки на аэродром в Москве. В канал ствола был заложен 1 патрон и в магазин - 6. Самолет сделал перелет с аэродрома Москва до полигона в Монино и произвел там стрельбу. Все 7 выстрелов были нормальные и без посадки самолет вернулся на аэродром в Москве. Осмотр показал отсутствие к-л повреждений. Заключение:... комиссия считает состояние самолета и спец. вооружения на нем удовлетворительным и доведенным до состояния, в котором самолет и установка м.б. переданы для гос. испытаний и может быть произведено уже теперь вооружение головных серий этих самолетов указанной спецустановкой... (2303,5).</w:t>
      </w:r>
    </w:p>
    <w:p w14:paraId="7DF90CBD"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566A994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февраля, 5 и 9 марта 1933 на аэродроме НИИ ВВС и на полигоне ВВС в Монино проводились испытания артустановки Курчевского, установленной под левым крылом И-зет Д.П.Г. Летчиком был Пионтковский (2303,5).</w:t>
      </w:r>
    </w:p>
    <w:p w14:paraId="52874B47"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2B5FC0C1" w14:textId="77777777" w:rsidR="007E5FA7"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13727D6A" w14:textId="77777777" w:rsidR="007E5FA7" w:rsidRPr="00C33834" w:rsidRDefault="007E5FA7" w:rsidP="00C33834">
      <w:pPr>
        <w:spacing w:after="0" w:line="240" w:lineRule="auto"/>
        <w:jc w:val="both"/>
        <w:rPr>
          <w:rFonts w:ascii="Times New Roman" w:hAnsi="Times New Roman"/>
          <w:iCs/>
          <w:color w:val="000000" w:themeColor="text1"/>
          <w:sz w:val="16"/>
          <w:szCs w:val="16"/>
        </w:rPr>
      </w:pPr>
    </w:p>
    <w:p w14:paraId="2A42020F" w14:textId="77777777" w:rsidR="00AD1D3C" w:rsidRPr="00C33834" w:rsidRDefault="00AD1D3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марта 1933 был отменен золотой стандарт в США (3960, 96).</w:t>
      </w:r>
    </w:p>
    <w:p w14:paraId="4155B5EB" w14:textId="77777777" w:rsidR="00AD1D3C" w:rsidRPr="00C33834" w:rsidRDefault="00AD1D3C" w:rsidP="00C33834">
      <w:pPr>
        <w:tabs>
          <w:tab w:val="left" w:pos="11199"/>
        </w:tabs>
        <w:spacing w:after="0" w:line="240" w:lineRule="auto"/>
        <w:jc w:val="both"/>
        <w:rPr>
          <w:rFonts w:ascii="Times New Roman" w:hAnsi="Times New Roman"/>
          <w:color w:val="000000" w:themeColor="text1"/>
          <w:sz w:val="16"/>
          <w:szCs w:val="16"/>
        </w:rPr>
      </w:pPr>
    </w:p>
    <w:p w14:paraId="1030C241" w14:textId="77777777" w:rsidR="00AD1D3C" w:rsidRPr="00C33834" w:rsidRDefault="00AD1D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9 марта</w:t>
      </w:r>
      <w:r w:rsidRPr="00C33834">
        <w:rPr>
          <w:rFonts w:ascii="Times New Roman" w:hAnsi="Times New Roman"/>
          <w:color w:val="000000" w:themeColor="text1"/>
          <w:sz w:val="16"/>
          <w:szCs w:val="16"/>
        </w:rPr>
        <w:t xml:space="preserve"> в 1933 году в Вашингтоне проходит специальное заседание конгресса по экономическим и социальным вопросам (по 16 июня). Он в срочном порядке передает президенту Рузвельту контроль над золотыми, серебряными и валютными запасами страны. В течение первых ста дней нахождения Рузвельта у власти конгресс принимает 15 важнейших законопроектов (15063).</w:t>
      </w:r>
    </w:p>
    <w:p w14:paraId="3998EED6" w14:textId="77777777" w:rsidR="00AD1D3C" w:rsidRPr="00C33834" w:rsidRDefault="00AD1D3C" w:rsidP="00C33834">
      <w:pPr>
        <w:spacing w:after="0" w:line="240" w:lineRule="auto"/>
        <w:jc w:val="both"/>
        <w:rPr>
          <w:rFonts w:ascii="Times New Roman" w:hAnsi="Times New Roman"/>
          <w:color w:val="000000" w:themeColor="text1"/>
          <w:sz w:val="16"/>
          <w:szCs w:val="16"/>
        </w:rPr>
      </w:pPr>
    </w:p>
    <w:p w14:paraId="3B0F5C90" w14:textId="77777777" w:rsidR="007E5FA7" w:rsidRPr="00C33834" w:rsidRDefault="007E5FA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марта 1933 по обвинению в поджоге рейхстага арестован Георгий Димитров (4962).</w:t>
      </w:r>
    </w:p>
    <w:p w14:paraId="575ECB77" w14:textId="77777777" w:rsidR="007E5FA7" w:rsidRPr="00C33834" w:rsidRDefault="007E5FA7" w:rsidP="00C33834">
      <w:pPr>
        <w:tabs>
          <w:tab w:val="left" w:pos="11199"/>
        </w:tabs>
        <w:spacing w:after="0" w:line="240" w:lineRule="auto"/>
        <w:jc w:val="both"/>
        <w:rPr>
          <w:rFonts w:ascii="Times New Roman" w:hAnsi="Times New Roman"/>
          <w:color w:val="000000" w:themeColor="text1"/>
          <w:sz w:val="16"/>
          <w:szCs w:val="16"/>
        </w:rPr>
      </w:pPr>
    </w:p>
    <w:p w14:paraId="6AB0752F" w14:textId="77777777" w:rsidR="007E5FA7"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E8C8DEE" w14:textId="77777777" w:rsidR="007E5FA7" w:rsidRPr="00C33834" w:rsidRDefault="007E5FA7" w:rsidP="00C33834">
      <w:pPr>
        <w:spacing w:after="0" w:line="240" w:lineRule="auto"/>
        <w:jc w:val="both"/>
        <w:rPr>
          <w:rFonts w:ascii="Times New Roman" w:hAnsi="Times New Roman"/>
          <w:iCs/>
          <w:color w:val="000000" w:themeColor="text1"/>
          <w:sz w:val="16"/>
          <w:szCs w:val="16"/>
        </w:rPr>
      </w:pPr>
    </w:p>
    <w:p w14:paraId="412D8E9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марта 1933 года Гл. инженер-механик ВВС Аузан утвердил Технические требования к экспериментальному самолету ТШ с мотором М34</w:t>
      </w:r>
    </w:p>
    <w:p w14:paraId="0BC5353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Летно-тактические данные</w:t>
      </w:r>
    </w:p>
    <w:p w14:paraId="2797557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Самолет с полезной нагрузкой 780 кг и запасом горючего и смазочного, обеспечивающим надежный тактический радиус действия 160 км, должен обладать нижеследующими летными данными:</w:t>
      </w:r>
    </w:p>
    <w:p w14:paraId="73B5E7C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Максимальной горизонтальной скоростью у земли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609A7489" w14:textId="77777777">
        <w:tc>
          <w:tcPr>
            <w:tcW w:w="5636" w:type="dxa"/>
          </w:tcPr>
          <w:p w14:paraId="2489B6A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высоте 15-20 км</w:t>
            </w:r>
          </w:p>
        </w:tc>
        <w:tc>
          <w:tcPr>
            <w:tcW w:w="5636" w:type="dxa"/>
          </w:tcPr>
          <w:p w14:paraId="5231EE94"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250-260 км/час</w:t>
            </w:r>
          </w:p>
        </w:tc>
      </w:tr>
      <w:tr w:rsidR="00F26F01" w:rsidRPr="00C33834" w14:paraId="2701DF18" w14:textId="77777777">
        <w:tc>
          <w:tcPr>
            <w:tcW w:w="5636" w:type="dxa"/>
          </w:tcPr>
          <w:p w14:paraId="2075A4A2"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на 3000 м</w:t>
            </w:r>
          </w:p>
        </w:tc>
        <w:tc>
          <w:tcPr>
            <w:tcW w:w="5636" w:type="dxa"/>
          </w:tcPr>
          <w:p w14:paraId="5C398DC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15-16 м</w:t>
            </w:r>
          </w:p>
        </w:tc>
      </w:tr>
      <w:tr w:rsidR="00F26F01" w:rsidRPr="00C33834" w14:paraId="39AF69B2" w14:textId="77777777">
        <w:tc>
          <w:tcPr>
            <w:tcW w:w="5636" w:type="dxa"/>
          </w:tcPr>
          <w:p w14:paraId="0DD86B9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Практическим потолком</w:t>
            </w:r>
          </w:p>
        </w:tc>
        <w:tc>
          <w:tcPr>
            <w:tcW w:w="5636" w:type="dxa"/>
          </w:tcPr>
          <w:p w14:paraId="42A471D2"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 м</w:t>
            </w:r>
          </w:p>
        </w:tc>
      </w:tr>
      <w:tr w:rsidR="00F26F01" w:rsidRPr="00C33834" w14:paraId="3E270BD6" w14:textId="77777777">
        <w:tc>
          <w:tcPr>
            <w:tcW w:w="5636" w:type="dxa"/>
          </w:tcPr>
          <w:p w14:paraId="1976946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Посадочной скоростью</w:t>
            </w:r>
          </w:p>
        </w:tc>
        <w:tc>
          <w:tcPr>
            <w:tcW w:w="5636" w:type="dxa"/>
          </w:tcPr>
          <w:p w14:paraId="7528ED5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80-90 км/час</w:t>
            </w:r>
          </w:p>
        </w:tc>
      </w:tr>
    </w:tbl>
    <w:p w14:paraId="7AFDDEB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должен быть сконструирован под мотор М34 без редуктора и нагнетателя с гидравлической (масляной) передачей на винт системы Кожевникова.</w:t>
      </w:r>
    </w:p>
    <w:p w14:paraId="7856FC3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должен быть снабжен гусеничным, многоколесным шасси, с возможностью пользования как гусеничным ходом, так и колесным при снятой гусенице.</w:t>
      </w:r>
    </w:p>
    <w:p w14:paraId="3C17622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Должен быть проработан вопрос применения этого шасси в зимних условиях на глубоком снегу.</w:t>
      </w:r>
    </w:p>
    <w:p w14:paraId="681CB88C"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жизненные части самолета: мотор, весь его агрегат, система охлаждения мотора, не менее 50% запаса горючего, боевой комплект патронов и бомб, а также кабины пилота и наблюдателя должны быть защищены броней.</w:t>
      </w:r>
    </w:p>
    <w:p w14:paraId="30E0B8E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случае невозможности уложиться в заданный полетный вес при установленных требованиях к самолету, конструкторам предоставляется право изменения бронирования, вооружения и запаса горючего в меньшую сторону по согласованию каждый раз с НИИ ВВС.</w:t>
      </w:r>
    </w:p>
    <w:p w14:paraId="3822AB9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Конструкция самолета должна стремиться к максимальному обеспечению и сохранению свойств самолета после попадания пуль в неброневые части самолета.</w:t>
      </w:r>
    </w:p>
    <w:p w14:paraId="251EB89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целях увеличения надежности при повреждении пулями, стабилизатор, киль, все рули и элероны должны быть металлическими.</w:t>
      </w:r>
    </w:p>
    <w:p w14:paraId="269C842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Экипаж 2 человека.</w:t>
      </w:r>
    </w:p>
    <w:p w14:paraId="5D8672F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Стрелковое вооружение</w:t>
      </w:r>
    </w:p>
    <w:p w14:paraId="09F5E47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Передний огонь:</w:t>
      </w:r>
    </w:p>
    <w:p w14:paraId="394AAEE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 пулеметов Шкасс</w:t>
      </w:r>
    </w:p>
    <w:p w14:paraId="0124AF8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Патронов по 1000 шт. на пулемет</w:t>
      </w:r>
    </w:p>
    <w:p w14:paraId="776FBA0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Задний огонь</w:t>
      </w:r>
    </w:p>
    <w:p w14:paraId="1441219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Пулемет Шкасс 1 шт.</w:t>
      </w:r>
    </w:p>
    <w:p w14:paraId="21B1C0D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Патронов 1500 шт.</w:t>
      </w:r>
    </w:p>
    <w:p w14:paraId="3B40F4E4"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Бомбардировочное вооружение</w:t>
      </w:r>
    </w:p>
    <w:p w14:paraId="45FFAC6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Бомбы 200 кг (3539).</w:t>
      </w:r>
    </w:p>
    <w:p w14:paraId="7C863353"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436BE8A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марта 1933 Всесоюзный комитет по постройке агитсамолета-гиганта МГ подписал договор с ЦАГИ. В марте был утвержден состав эскадрилью - МГ, АНТ-14, АНТ-9, У-2, Г-1, Сталь-2, дирижабль В-3 (273,300).</w:t>
      </w:r>
    </w:p>
    <w:p w14:paraId="1DC9C928"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6136BF9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марта 1933 года постройка самолета была передана Центральному аэро-гидродинамическому институту имени профессора Жуковского в Москве - ЦАГИ. К 1 апреля 1934 года самолет был закончен и перевезен на аэродром, где и приступили к испытанию и освоению его сложного оборудования (12024).</w:t>
      </w:r>
    </w:p>
    <w:p w14:paraId="0C622A88"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2A9BEBE3" w14:textId="77777777" w:rsidR="002C3CAD" w:rsidRPr="00C33834" w:rsidRDefault="002C3CA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 марта 1933 г. в 9 часов вечера в особняке, где размещался Дом печати, в торжественной обстановке Комитет за</w:t>
      </w:r>
      <w:r w:rsidRPr="00C33834">
        <w:rPr>
          <w:rFonts w:ascii="Times New Roman" w:hAnsi="Times New Roman"/>
          <w:color w:val="0070C0"/>
          <w:sz w:val="16"/>
          <w:szCs w:val="16"/>
        </w:rPr>
        <w:softHyphen/>
        <w:t>ключил с ЦАГИ договор на постройку самолета «Максим Горький». По догово</w:t>
      </w:r>
      <w:r w:rsidRPr="00C33834">
        <w:rPr>
          <w:rFonts w:ascii="Times New Roman" w:hAnsi="Times New Roman"/>
          <w:color w:val="0070C0"/>
          <w:sz w:val="16"/>
          <w:szCs w:val="16"/>
        </w:rPr>
        <w:softHyphen/>
        <w:t>ру самолет, удовлетворяющий техничес</w:t>
      </w:r>
      <w:r w:rsidRPr="00C33834">
        <w:rPr>
          <w:rFonts w:ascii="Times New Roman" w:hAnsi="Times New Roman"/>
          <w:color w:val="0070C0"/>
          <w:sz w:val="16"/>
          <w:szCs w:val="16"/>
        </w:rPr>
        <w:softHyphen/>
        <w:t>ким требованиям, разработанным Тех- советом Комитета, должен быть постро</w:t>
      </w:r>
      <w:r w:rsidRPr="00C33834">
        <w:rPr>
          <w:rFonts w:ascii="Times New Roman" w:hAnsi="Times New Roman"/>
          <w:color w:val="0070C0"/>
          <w:sz w:val="16"/>
          <w:szCs w:val="16"/>
        </w:rPr>
        <w:softHyphen/>
        <w:t>ен и собран на аэродроме для начала за</w:t>
      </w:r>
      <w:r w:rsidRPr="00C33834">
        <w:rPr>
          <w:rFonts w:ascii="Times New Roman" w:hAnsi="Times New Roman"/>
          <w:color w:val="0070C0"/>
          <w:sz w:val="16"/>
          <w:szCs w:val="16"/>
        </w:rPr>
        <w:softHyphen/>
        <w:t>водских испытаний к 1 мая 1934 г. Дого</w:t>
      </w:r>
      <w:r w:rsidRPr="00C33834">
        <w:rPr>
          <w:rFonts w:ascii="Times New Roman" w:hAnsi="Times New Roman"/>
          <w:color w:val="0070C0"/>
          <w:sz w:val="16"/>
          <w:szCs w:val="16"/>
        </w:rPr>
        <w:softHyphen/>
        <w:t>вор подписали председатель Всесоюзно</w:t>
      </w:r>
      <w:r w:rsidRPr="00C33834">
        <w:rPr>
          <w:rFonts w:ascii="Times New Roman" w:hAnsi="Times New Roman"/>
          <w:color w:val="0070C0"/>
          <w:sz w:val="16"/>
          <w:szCs w:val="16"/>
        </w:rPr>
        <w:softHyphen/>
        <w:t>го комитета М.Е. Кольцов, председатель строительного отдела А. Г. Горя нов, заме</w:t>
      </w:r>
      <w:r w:rsidRPr="00C33834">
        <w:rPr>
          <w:rFonts w:ascii="Times New Roman" w:hAnsi="Times New Roman"/>
          <w:color w:val="0070C0"/>
          <w:sz w:val="16"/>
          <w:szCs w:val="16"/>
        </w:rPr>
        <w:softHyphen/>
        <w:t>ститель начальника ЦАГИ А.И. Некра</w:t>
      </w:r>
      <w:r w:rsidRPr="00C33834">
        <w:rPr>
          <w:rFonts w:ascii="Times New Roman" w:hAnsi="Times New Roman"/>
          <w:color w:val="0070C0"/>
          <w:sz w:val="16"/>
          <w:szCs w:val="16"/>
        </w:rPr>
        <w:softHyphen/>
        <w:t>сов, главный конструктор А.Н. Туполев. После того как договор был подписан. ЦАГИ получил аванс в полмиллиона рублей (21240).</w:t>
      </w:r>
    </w:p>
    <w:p w14:paraId="3AB53AD5" w14:textId="77777777" w:rsidR="002C3CAD" w:rsidRPr="00C33834" w:rsidRDefault="002C3CAD" w:rsidP="00C33834">
      <w:pPr>
        <w:spacing w:after="0" w:line="240" w:lineRule="auto"/>
        <w:jc w:val="both"/>
        <w:rPr>
          <w:rFonts w:ascii="Times New Roman" w:hAnsi="Times New Roman"/>
          <w:color w:val="0070C0"/>
          <w:sz w:val="16"/>
          <w:szCs w:val="16"/>
        </w:rPr>
      </w:pPr>
    </w:p>
    <w:p w14:paraId="2D0648D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марта 1933 был полностью собран фюзеляж И-14; 21 апреля установили шасси (правда, без подъемного механизма - его не успели довести в срок); 16 апреля 1933 г. сдали центроплан И-14; консоли крыла сдали 25 апреля 1933 г.;. Установка мотора на самолет состоялась 28 марта 1933 г. (12037).</w:t>
      </w:r>
    </w:p>
    <w:p w14:paraId="652665F5"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0D2244C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марта 1933 года за № 739 была подготовлена Справка о выполнении решений КО об опытном моторостроении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69"/>
        <w:gridCol w:w="6487"/>
      </w:tblGrid>
      <w:tr w:rsidR="00F26F01" w:rsidRPr="00C33834" w14:paraId="40F17CBA" w14:textId="77777777">
        <w:tc>
          <w:tcPr>
            <w:tcW w:w="3969" w:type="dxa"/>
          </w:tcPr>
          <w:p w14:paraId="76B4E81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Содержания задания</w:t>
            </w:r>
          </w:p>
        </w:tc>
        <w:tc>
          <w:tcPr>
            <w:tcW w:w="6487" w:type="dxa"/>
          </w:tcPr>
          <w:p w14:paraId="1538D93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задания</w:t>
            </w:r>
          </w:p>
        </w:tc>
      </w:tr>
      <w:tr w:rsidR="00F26F01" w:rsidRPr="00C33834" w14:paraId="5F0C3C5D" w14:textId="77777777">
        <w:tc>
          <w:tcPr>
            <w:tcW w:w="3969" w:type="dxa"/>
          </w:tcPr>
          <w:p w14:paraId="0B4AC77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КО от 4 июля 1932 года по опытному самолето- моторостроению.</w:t>
            </w:r>
          </w:p>
        </w:tc>
        <w:tc>
          <w:tcPr>
            <w:tcW w:w="6487" w:type="dxa"/>
          </w:tcPr>
          <w:p w14:paraId="4ED1BB53" w14:textId="77777777" w:rsidR="007E5FA7" w:rsidRPr="00C33834" w:rsidRDefault="007E5FA7" w:rsidP="00C33834">
            <w:pPr>
              <w:spacing w:after="0" w:line="240" w:lineRule="auto"/>
              <w:jc w:val="both"/>
              <w:rPr>
                <w:rFonts w:ascii="Times New Roman" w:hAnsi="Times New Roman"/>
                <w:color w:val="000000" w:themeColor="text1"/>
                <w:sz w:val="16"/>
                <w:szCs w:val="16"/>
              </w:rPr>
            </w:pPr>
          </w:p>
        </w:tc>
      </w:tr>
      <w:tr w:rsidR="00F26F01" w:rsidRPr="00C33834" w14:paraId="0619F338" w14:textId="77777777">
        <w:tc>
          <w:tcPr>
            <w:tcW w:w="3969" w:type="dxa"/>
          </w:tcPr>
          <w:p w14:paraId="7374941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Доводка и развитие М34 (редуктор, нагнетатель, реверс, однорядный, облегченный).</w:t>
            </w:r>
          </w:p>
        </w:tc>
        <w:tc>
          <w:tcPr>
            <w:tcW w:w="6487" w:type="dxa"/>
          </w:tcPr>
          <w:p w14:paraId="5A636F62"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госиспытания мотора М34 с редуктором по плану 15 ноября 1932 года и на заводские испытания – 15 сентября 1932 года.</w:t>
            </w:r>
          </w:p>
          <w:p w14:paraId="33B4E1D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построен, прошел 100-часовые заводские испытания. Редуктор в удовлетворительном состоянии.</w:t>
            </w:r>
          </w:p>
          <w:p w14:paraId="3D48A36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будет предъявлен на госиспытания в апреле 1933 года.</w:t>
            </w:r>
          </w:p>
          <w:p w14:paraId="26B1D6B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Опоздание на 5-6 месяцев из-за задержки заводских испытаний, по причине ряда поломок мотора М34.</w:t>
            </w:r>
          </w:p>
          <w:p w14:paraId="0F87606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госиспытания мотора М34 с нагнетателем по плану – 15 июня 1932 года.</w:t>
            </w:r>
          </w:p>
          <w:p w14:paraId="578A508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построен и поставлен на заводские испытания 22 июля 1932 года.</w:t>
            </w:r>
          </w:p>
          <w:p w14:paraId="703FD6E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заводских испытаниях мотор имел ряд аварий, потребовавших усиления нагнетателя.</w:t>
            </w:r>
          </w:p>
          <w:p w14:paraId="5C236A6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Усиленный нагнетатель прошел длительные лабораторные испытания.</w:t>
            </w:r>
          </w:p>
          <w:p w14:paraId="55B5C43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продолжаются заводские испытания мотора М34 с нагнетателем (прошел 12 часов и потерпел аварию).</w:t>
            </w:r>
          </w:p>
          <w:p w14:paraId="393540CE"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4B03FBF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Запроектирован второй вариант нагнетателя, как перестраховка на случай неудовлетворительной конструкции первого варианта.</w:t>
            </w:r>
          </w:p>
          <w:p w14:paraId="72E650D4"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с нагнетателем может быть предъявлен на госиспытание не ранее 1 сентября 1933 года.</w:t>
            </w:r>
          </w:p>
          <w:p w14:paraId="08B7B8E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Опоздание против плана на 15 месяцев, вследствие сложности механизма, переключающейся передачи к нагнетателю, с которой до настоящего времени не справился ЦИАМ.</w:t>
            </w:r>
          </w:p>
          <w:p w14:paraId="0B3D07F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госиспытания М34 с реверсом 1 октября 1932 года.</w:t>
            </w:r>
          </w:p>
          <w:p w14:paraId="3F67D30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построен и проходит заводские испытания. Выявлена неудовлетворительная работа водяной и масляной помп, которые переделываются.</w:t>
            </w:r>
          </w:p>
          <w:p w14:paraId="0D1822F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станет на госиспытания 1 мая 1933 года.</w:t>
            </w:r>
          </w:p>
          <w:p w14:paraId="7201382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Опоздание на 7 месяцев, против плана из-за задержки изготовления реверса на заводе ЦИАМ и затяжки заводских испытаний из-за неудовлетворительной работы помп.</w:t>
            </w:r>
          </w:p>
          <w:p w14:paraId="33D3869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госиспытания однорядного мотора М-52 по плану – 1 октября 1932 года.</w:t>
            </w:r>
          </w:p>
          <w:p w14:paraId="54DEE34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построен и прошел на заводских испытаниях 53 часа. Снят из-за трещины в картере.</w:t>
            </w:r>
          </w:p>
          <w:p w14:paraId="05C33E1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Будет предъявлен на госиспытания 1 августа 1933 года.</w:t>
            </w:r>
          </w:p>
          <w:p w14:paraId="2E31E3E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Опоздание на 10 месяцев из-за затяжки заводских испытаний, вследствие поломки картера.</w:t>
            </w:r>
          </w:p>
          <w:p w14:paraId="4AFFFB5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госиспытания мотора М34 облегченного (с электронным картером) по плану 1 августа 1932 года.</w:t>
            </w:r>
          </w:p>
          <w:p w14:paraId="59591E54"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экземпляра мотора строятся на заводе № 24, будут готовы 15 марта 1933 года.</w:t>
            </w:r>
          </w:p>
          <w:p w14:paraId="4AED566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Предъявление на госиспытания 1 июня 1933 года.</w:t>
            </w:r>
          </w:p>
          <w:p w14:paraId="0E19929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Опоздание на 10 месяцев из-за задержки изготовления электронных картеров и поломки на заводских испытаниях первых образцов.</w:t>
            </w:r>
          </w:p>
        </w:tc>
      </w:tr>
      <w:tr w:rsidR="00F26F01" w:rsidRPr="00C33834" w14:paraId="701B8301" w14:textId="77777777">
        <w:tc>
          <w:tcPr>
            <w:tcW w:w="3969" w:type="dxa"/>
          </w:tcPr>
          <w:p w14:paraId="2C94539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Создание типов истребительных моторов М-38, воздушного охлаждения и особенно М32, водяного охлаждения.</w:t>
            </w:r>
          </w:p>
        </w:tc>
        <w:tc>
          <w:tcPr>
            <w:tcW w:w="6487" w:type="dxa"/>
          </w:tcPr>
          <w:p w14:paraId="5157435C"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госиспытания М38 по плану 15 августа 1932 года.</w:t>
            </w:r>
          </w:p>
          <w:p w14:paraId="1BBFFE2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построен и поставлен на заводские испытания 1 мая 1932 года.</w:t>
            </w:r>
          </w:p>
          <w:p w14:paraId="2F86274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испытаниях выявлена неудовлетворительная конструкция головки цилиндра, поршней и распределительных шайб.</w:t>
            </w:r>
          </w:p>
          <w:p w14:paraId="489E04C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конструктивно переработан.</w:t>
            </w:r>
          </w:p>
          <w:p w14:paraId="712AC17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Переделанный мотор будет закончен 20 марта 1933 года. Предъявление на госиспытания 1 мая 1933 года.</w:t>
            </w:r>
          </w:p>
          <w:p w14:paraId="104C539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Опоздание на 8 месяцев против плана из-за необходимости переделки ряда деталей и задержке в изготовлении головок на заводе ЦИАМ (трудность литья).</w:t>
            </w:r>
          </w:p>
          <w:p w14:paraId="5B2F703E"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45F1D0B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М-38 запроектирован редуктор и запущен в производство. Срок готовности 1 октября 1933 года (предъявление на госиспытания).</w:t>
            </w:r>
          </w:p>
          <w:p w14:paraId="68DFEBCB"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7165AE4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мотора М-32 на госиспытания по плану 1 сентября 1932 года.</w:t>
            </w:r>
          </w:p>
          <w:p w14:paraId="64DAAF7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построен, прошел 47 часов на заводских испытаниях.</w:t>
            </w:r>
          </w:p>
          <w:p w14:paraId="348AE09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Обнаружено: недостаточная жесткость водяных рубашек и головки цилиндров.</w:t>
            </w:r>
          </w:p>
          <w:p w14:paraId="4ED7EC8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переделан и будет готов 20 марта 1933 года, после чего станет на заводские испытания с нагнетателем.</w:t>
            </w:r>
          </w:p>
          <w:p w14:paraId="4C9AF7A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Предъявление на госиспытания – 1 августа 1933 года. Опоздание на 10 месяцев, из-за неудовлетворительной конструкции водяной рубашки и головок цилиндров.</w:t>
            </w:r>
          </w:p>
        </w:tc>
      </w:tr>
      <w:tr w:rsidR="00F26F01" w:rsidRPr="00C33834" w14:paraId="0DAB1A76" w14:textId="77777777">
        <w:tc>
          <w:tcPr>
            <w:tcW w:w="3969" w:type="dxa"/>
          </w:tcPr>
          <w:p w14:paraId="6A7DA63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Создание типов мощных авиадизелей.</w:t>
            </w:r>
          </w:p>
        </w:tc>
        <w:tc>
          <w:tcPr>
            <w:tcW w:w="6487" w:type="dxa"/>
          </w:tcPr>
          <w:p w14:paraId="715D5DC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Установленные планом мощные авиадизели: Н1, Н-2 и Н-5 строятся на ряде заводов:</w:t>
            </w:r>
          </w:p>
          <w:p w14:paraId="25E342B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Н-1 –опытный завод ЦИАМ</w:t>
            </w:r>
          </w:p>
          <w:p w14:paraId="1A82E23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Н-2 – завод № 26, им. Ворошилова, завод ЦИАМ, завод «Большевик»</w:t>
            </w:r>
          </w:p>
          <w:p w14:paraId="2A2CFDE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Н-5 – завод № 26, завод № 24 и завод ЦИАМ</w:t>
            </w:r>
          </w:p>
          <w:p w14:paraId="1B15109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авиадизели запаздывают предъявлением на госиспытания:</w:t>
            </w:r>
          </w:p>
          <w:p w14:paraId="122A0E8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Н-1 – на 5 месяцев (1 августа 1933 года вместо 1 марта 1933 года – из-за задержки изготовления литья на заводе ЦИАМ (сплошной брак литья, вследствие неналаженности процесса);</w:t>
            </w:r>
          </w:p>
          <w:p w14:paraId="727C282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Н-2 – предъявление на госиспытания 1 ноября 1933 года вместо 1 января 1933 года: опоздание против плана на 10 месяцев, вследствие затяжки с размещением заказа на разных заводах и отсутствию литья, с которым не справляется завод «Большевик»;</w:t>
            </w:r>
          </w:p>
          <w:p w14:paraId="201E766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Н-5 – срок предъявления на госисрытания 1 августа 1932 года. Ожидаемый срок предъявления 1 ноября 1933 года. Опоздание на 15 месяцев, вследствие затяжки разработки проекта и задержки с размещением заказа в промышленности.</w:t>
            </w:r>
          </w:p>
          <w:p w14:paraId="4BB22E6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строится на заводе № 26, ЦИАМ и заводе № 24. Изготовление мотора задерживается литьем на заводе № 26, которое идет сплошным браком, благодаря неосвоенности процесса.</w:t>
            </w:r>
          </w:p>
        </w:tc>
      </w:tr>
      <w:tr w:rsidR="00F26F01" w:rsidRPr="00C33834" w14:paraId="2CA20DC3" w14:textId="77777777">
        <w:tc>
          <w:tcPr>
            <w:tcW w:w="3969" w:type="dxa"/>
          </w:tcPr>
          <w:p w14:paraId="7822C9B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мощным бензиновым двигателям считать первоочередной задачей постройку М-44, сосредоточив на этом все основные силы по мощным бензиновым двигателям.</w:t>
            </w:r>
          </w:p>
        </w:tc>
        <w:tc>
          <w:tcPr>
            <w:tcW w:w="6487" w:type="dxa"/>
          </w:tcPr>
          <w:p w14:paraId="69A0D80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госиспытания М-44 – 1 июля 1933 года.</w:t>
            </w:r>
          </w:p>
          <w:p w14:paraId="5A8B817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строится на заводе ЦИАМ. Все детали в механической обработке.</w:t>
            </w:r>
          </w:p>
          <w:p w14:paraId="34F3A48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Начало заводских испытаний 1 мая 1933 года.</w:t>
            </w:r>
          </w:p>
          <w:p w14:paraId="01FB9C2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Срок предъявления на госиспытания может быть выдержан ЦИАМом (возможно опоздание на 2 месяца). </w:t>
            </w:r>
          </w:p>
        </w:tc>
      </w:tr>
      <w:tr w:rsidR="00F26F01" w:rsidRPr="00C33834" w14:paraId="284EE4C5" w14:textId="77777777">
        <w:tc>
          <w:tcPr>
            <w:tcW w:w="3969" w:type="dxa"/>
          </w:tcPr>
          <w:p w14:paraId="5FF6AEE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Прочие моторы.</w:t>
            </w:r>
          </w:p>
        </w:tc>
        <w:tc>
          <w:tcPr>
            <w:tcW w:w="6487" w:type="dxa"/>
          </w:tcPr>
          <w:p w14:paraId="15A0EC8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М-35 – срок предъявления на госиспытания по плану – 1 апреля 1933 года.</w:t>
            </w:r>
          </w:p>
          <w:p w14:paraId="599F90C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не строится по решению ЦИАМа: план РВС в этом пункте не выполняется.</w:t>
            </w:r>
          </w:p>
          <w:p w14:paraId="5981D492"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64C4BA4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М-54 (форсированный М-34). Срок предъявления по плану 1 мая 1933 году.</w:t>
            </w:r>
          </w:p>
          <w:p w14:paraId="6A2C374C"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строится на заводе № 24 (2 экземпляра). Будет готов 10 марта 1933 года.</w:t>
            </w:r>
          </w:p>
          <w:p w14:paraId="3D524D34"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Госиспытания М-54 без нагнетателя 1 мая 1933 года. Вопрос с нагнетателем будет решен 1 сентября 1933 года.</w:t>
            </w:r>
          </w:p>
          <w:p w14:paraId="1968A1A1"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5E0D59E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М-48 – срок предъявления на госиспытания по плану 1 августа 1932 года.</w:t>
            </w:r>
          </w:p>
          <w:p w14:paraId="413DF60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построен. На заводских испытаниях выявлена неудовлетворительная конструкция упругой муфты передачи к импеллеру.</w:t>
            </w:r>
          </w:p>
          <w:p w14:paraId="0113B2C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Муфта переделана. Мотор проходит заводские испытания. Предъявление на госиспытания – 1 мая 1933 года.</w:t>
            </w:r>
          </w:p>
          <w:p w14:paraId="6BBF108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Опоздание на 9 месяцев из-за неудовлетворительных темпов доводки мотора на заводе № 29.</w:t>
            </w:r>
          </w:p>
          <w:p w14:paraId="1BEAE644"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1D90731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М-51 – прошел госиспытание (условно), обнаружена недостаточная прочность поршней. Переделанные поршни проходят специальные длительные испытания.</w:t>
            </w:r>
          </w:p>
          <w:p w14:paraId="499B9ED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Окончание испытаний поршней 10 марта 1933 года. Заключение по госиспытаниям – 20 марта 1933 года.</w:t>
            </w:r>
          </w:p>
          <w:p w14:paraId="72291FAD"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2EB128E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М-58 – внеплановый.</w:t>
            </w:r>
          </w:p>
          <w:p w14:paraId="5D7C20A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Построен на заводе № 29. Номинальная мощность – 630 л.с. Вес – 450 кг. Высотность – 4000 м. Воздушное охлаждение.</w:t>
            </w:r>
          </w:p>
          <w:p w14:paraId="7DFE947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Проходит заводские испытания. Предъявление на госиспытания – 1 мая 1933 года.</w:t>
            </w:r>
          </w:p>
          <w:p w14:paraId="2A92909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Нефтяные моторы Н-3 и Н-4 опаздывают:</w:t>
            </w:r>
          </w:p>
          <w:p w14:paraId="53C1D85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Н-3 будет предъявлен на госипытания 1 сентября 1933 года вместо 1 января 1933 года по плану.</w:t>
            </w:r>
          </w:p>
          <w:p w14:paraId="4E9508CC"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Опоздание на 8 месяцев, из-за затяжки проекта на 3 месяца и опоздания размещения заказа в промышленности.</w:t>
            </w:r>
          </w:p>
          <w:p w14:paraId="467F64B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Н-4 будет предъявлен на госиспытания 1 сентября 1933 года вместо 1 мая 1933 года по плану.</w:t>
            </w:r>
          </w:p>
          <w:p w14:paraId="204845FC"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Опоздание на 4 месяца, из-за затяжки размещения заказа в промышленности.</w:t>
            </w:r>
          </w:p>
          <w:p w14:paraId="0FB1852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Н-6 – не строится, из-за отсутствия производственной базы.</w:t>
            </w:r>
          </w:p>
        </w:tc>
      </w:tr>
      <w:tr w:rsidR="00F26F01" w:rsidRPr="00C33834" w14:paraId="75DECDB9" w14:textId="77777777">
        <w:tc>
          <w:tcPr>
            <w:tcW w:w="3969" w:type="dxa"/>
          </w:tcPr>
          <w:p w14:paraId="75AB0FB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Экспериментальные работы.</w:t>
            </w:r>
          </w:p>
        </w:tc>
        <w:tc>
          <w:tcPr>
            <w:tcW w:w="6487" w:type="dxa"/>
          </w:tcPr>
          <w:p w14:paraId="3E87AC03" w14:textId="77777777" w:rsidR="007E5FA7" w:rsidRPr="00C33834" w:rsidRDefault="007E5FA7" w:rsidP="00C33834">
            <w:pPr>
              <w:spacing w:after="0" w:line="240" w:lineRule="auto"/>
              <w:jc w:val="both"/>
              <w:rPr>
                <w:rFonts w:ascii="Times New Roman" w:hAnsi="Times New Roman"/>
                <w:color w:val="000000" w:themeColor="text1"/>
                <w:sz w:val="16"/>
                <w:szCs w:val="16"/>
              </w:rPr>
            </w:pPr>
          </w:p>
        </w:tc>
      </w:tr>
      <w:tr w:rsidR="00F26F01" w:rsidRPr="00C33834" w14:paraId="6793A658" w14:textId="77777777">
        <w:tc>
          <w:tcPr>
            <w:tcW w:w="3969" w:type="dxa"/>
          </w:tcPr>
          <w:p w14:paraId="7F871BDA" w14:textId="77777777" w:rsidR="007E5FA7" w:rsidRPr="00C33834" w:rsidRDefault="007E5FA7" w:rsidP="00C33834">
            <w:pPr>
              <w:spacing w:after="0" w:line="240" w:lineRule="auto"/>
              <w:jc w:val="both"/>
              <w:rPr>
                <w:rFonts w:ascii="Times New Roman" w:hAnsi="Times New Roman"/>
                <w:color w:val="000000" w:themeColor="text1"/>
                <w:sz w:val="16"/>
                <w:szCs w:val="16"/>
              </w:rPr>
            </w:pPr>
          </w:p>
        </w:tc>
        <w:tc>
          <w:tcPr>
            <w:tcW w:w="6487" w:type="dxa"/>
          </w:tcPr>
          <w:p w14:paraId="7D447EE4"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 переменного шага. Срок предъявления на госиспытания по плану – 1 сентября 1932 года.</w:t>
            </w:r>
          </w:p>
          <w:p w14:paraId="47C4E50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 построен и проходит летные испытания на самолете Р3 с мотором «Лоррен-Дитрих», винт показал удовлетворительные эксплуатационные данные и удовлетворительную надежность работы (прошел 72 часа).</w:t>
            </w:r>
          </w:p>
        </w:tc>
      </w:tr>
      <w:tr w:rsidR="00F26F01" w:rsidRPr="00C33834" w14:paraId="6279E3BB" w14:textId="77777777">
        <w:tc>
          <w:tcPr>
            <w:tcW w:w="3969" w:type="dxa"/>
          </w:tcPr>
          <w:p w14:paraId="26616586" w14:textId="77777777" w:rsidR="007E5FA7" w:rsidRPr="00C33834" w:rsidRDefault="007E5FA7" w:rsidP="00C33834">
            <w:pPr>
              <w:spacing w:after="0" w:line="240" w:lineRule="auto"/>
              <w:jc w:val="both"/>
              <w:rPr>
                <w:rFonts w:ascii="Times New Roman" w:hAnsi="Times New Roman"/>
                <w:color w:val="000000" w:themeColor="text1"/>
                <w:sz w:val="16"/>
                <w:szCs w:val="16"/>
              </w:rPr>
            </w:pPr>
          </w:p>
        </w:tc>
        <w:tc>
          <w:tcPr>
            <w:tcW w:w="6487" w:type="dxa"/>
          </w:tcPr>
          <w:p w14:paraId="01807A3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Газовая турбина.</w:t>
            </w:r>
          </w:p>
          <w:p w14:paraId="38DD036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госиспытания по плану 1 сентября 1932 года.</w:t>
            </w:r>
          </w:p>
          <w:p w14:paraId="11D7FFC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Ведутся экспериментальные работы: испытывается опытная модель турбины. Работа задерживается отсутствием производственной базы.</w:t>
            </w:r>
          </w:p>
          <w:p w14:paraId="267B47B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турбины на госиспытания установить не представляется возможным.</w:t>
            </w:r>
          </w:p>
        </w:tc>
      </w:tr>
      <w:tr w:rsidR="00F26F01" w:rsidRPr="00C33834" w14:paraId="09EB17A5" w14:textId="77777777">
        <w:tc>
          <w:tcPr>
            <w:tcW w:w="3969" w:type="dxa"/>
          </w:tcPr>
          <w:p w14:paraId="792270FF" w14:textId="77777777" w:rsidR="007E5FA7" w:rsidRPr="00C33834" w:rsidRDefault="007E5FA7" w:rsidP="00C33834">
            <w:pPr>
              <w:spacing w:after="0" w:line="240" w:lineRule="auto"/>
              <w:jc w:val="both"/>
              <w:rPr>
                <w:rFonts w:ascii="Times New Roman" w:hAnsi="Times New Roman"/>
                <w:color w:val="000000" w:themeColor="text1"/>
                <w:sz w:val="16"/>
                <w:szCs w:val="16"/>
              </w:rPr>
            </w:pPr>
          </w:p>
        </w:tc>
        <w:tc>
          <w:tcPr>
            <w:tcW w:w="6487" w:type="dxa"/>
          </w:tcPr>
          <w:p w14:paraId="3955CE5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Паровая турбина (ГВФ).</w:t>
            </w:r>
          </w:p>
          <w:p w14:paraId="2BD9A212"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572B446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госиспытания 1 января 1933 года.</w:t>
            </w:r>
          </w:p>
          <w:p w14:paraId="31ED437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 закончен. Заказ ращмещен в промышленности на ленинградских заводах. Постановка на заводские испытания 1 июля 1933 года.</w:t>
            </w:r>
          </w:p>
          <w:p w14:paraId="76432B9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Опоздание на 6-8 месяцев из-за отсутствия валюты и затяжки размещения заказа в промышленности.</w:t>
            </w:r>
          </w:p>
        </w:tc>
      </w:tr>
      <w:tr w:rsidR="00F26F01" w:rsidRPr="00C33834" w14:paraId="1FAF3462" w14:textId="77777777">
        <w:tc>
          <w:tcPr>
            <w:tcW w:w="3969" w:type="dxa"/>
          </w:tcPr>
          <w:p w14:paraId="1AF6D0D0" w14:textId="77777777" w:rsidR="007E5FA7" w:rsidRPr="00C33834" w:rsidRDefault="007E5FA7" w:rsidP="00C33834">
            <w:pPr>
              <w:spacing w:after="0" w:line="240" w:lineRule="auto"/>
              <w:jc w:val="both"/>
              <w:rPr>
                <w:rFonts w:ascii="Times New Roman" w:hAnsi="Times New Roman"/>
                <w:color w:val="000000" w:themeColor="text1"/>
                <w:sz w:val="16"/>
                <w:szCs w:val="16"/>
              </w:rPr>
            </w:pPr>
          </w:p>
        </w:tc>
        <w:tc>
          <w:tcPr>
            <w:tcW w:w="6487" w:type="dxa"/>
          </w:tcPr>
          <w:p w14:paraId="09B5741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Бесклапанный двигатель.</w:t>
            </w:r>
          </w:p>
          <w:p w14:paraId="11323BA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госиспытания 1 июля 1933 года.</w:t>
            </w:r>
          </w:p>
          <w:p w14:paraId="4F26D46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Разработка проекта ВВА.</w:t>
            </w:r>
          </w:p>
        </w:tc>
      </w:tr>
      <w:tr w:rsidR="00F26F01" w:rsidRPr="00C33834" w14:paraId="05F2060F" w14:textId="77777777">
        <w:tc>
          <w:tcPr>
            <w:tcW w:w="3969" w:type="dxa"/>
          </w:tcPr>
          <w:p w14:paraId="1F795996" w14:textId="77777777" w:rsidR="007E5FA7" w:rsidRPr="00C33834" w:rsidRDefault="007E5FA7" w:rsidP="00C33834">
            <w:pPr>
              <w:spacing w:after="0" w:line="240" w:lineRule="auto"/>
              <w:jc w:val="both"/>
              <w:rPr>
                <w:rFonts w:ascii="Times New Roman" w:hAnsi="Times New Roman"/>
                <w:color w:val="000000" w:themeColor="text1"/>
                <w:sz w:val="16"/>
                <w:szCs w:val="16"/>
              </w:rPr>
            </w:pPr>
          </w:p>
        </w:tc>
        <w:tc>
          <w:tcPr>
            <w:tcW w:w="6487" w:type="dxa"/>
          </w:tcPr>
          <w:p w14:paraId="0D6E9BF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Паровая турбина ВВС (внеплановая).</w:t>
            </w:r>
          </w:p>
          <w:p w14:paraId="67634A92"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6730A112"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агрегата мощностью 15000 л.с., высотность 5000 м, удельный вес 1,2 кг на л.с.</w:t>
            </w:r>
          </w:p>
          <w:p w14:paraId="4FA02E2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Срок предъявления на госиспытания 1 июня 1934 года.</w:t>
            </w:r>
          </w:p>
          <w:p w14:paraId="4F18006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Разрабатывается экспериментальная паровая турбина.</w:t>
            </w:r>
          </w:p>
          <w:p w14:paraId="66D49F5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 закончен на 50%. Производственной базой паровая турбина обеспечена.</w:t>
            </w:r>
          </w:p>
        </w:tc>
      </w:tr>
    </w:tbl>
    <w:p w14:paraId="30DF101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Справка о выполнении решений КО об опытном самолетостроении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78"/>
        <w:gridCol w:w="8278"/>
      </w:tblGrid>
      <w:tr w:rsidR="00F26F01" w:rsidRPr="00C33834" w14:paraId="75868A9B" w14:textId="77777777">
        <w:tc>
          <w:tcPr>
            <w:tcW w:w="2178" w:type="dxa"/>
          </w:tcPr>
          <w:p w14:paraId="787832D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КО от 4 июля 1932 года по опытному самолето- моторостроению.</w:t>
            </w:r>
          </w:p>
        </w:tc>
        <w:tc>
          <w:tcPr>
            <w:tcW w:w="8278" w:type="dxa"/>
          </w:tcPr>
          <w:p w14:paraId="36444E8F" w14:textId="77777777" w:rsidR="007E5FA7" w:rsidRPr="00C33834" w:rsidRDefault="007E5FA7" w:rsidP="00C33834">
            <w:pPr>
              <w:spacing w:after="0" w:line="240" w:lineRule="auto"/>
              <w:jc w:val="both"/>
              <w:rPr>
                <w:rFonts w:ascii="Times New Roman" w:hAnsi="Times New Roman"/>
                <w:color w:val="000000" w:themeColor="text1"/>
                <w:sz w:val="16"/>
                <w:szCs w:val="16"/>
              </w:rPr>
            </w:pPr>
          </w:p>
        </w:tc>
      </w:tr>
      <w:tr w:rsidR="00F26F01" w:rsidRPr="00C33834" w14:paraId="04F3EB3C" w14:textId="77777777">
        <w:tc>
          <w:tcPr>
            <w:tcW w:w="2178" w:type="dxa"/>
          </w:tcPr>
          <w:p w14:paraId="4580412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Создание типов вполне современных истребителей одно, двух и многоместных.</w:t>
            </w:r>
          </w:p>
        </w:tc>
        <w:tc>
          <w:tcPr>
            <w:tcW w:w="8278" w:type="dxa"/>
          </w:tcPr>
          <w:p w14:paraId="6450AE9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Многоместный истребитель МИ3-2М34 – срок выхода на аэродром установленный КО 1 января 1933 года. Постановление не выполнено. Самолет в производстве почти закончен. Выход его на аэродром ожидается в последней декаде марта.</w:t>
            </w:r>
          </w:p>
          <w:p w14:paraId="0647AC62"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Невыполнение постановления объясняется задержкой с выпуском моторов М34. Летные данные самолета не будут удовлетворять утвержденным КО ввиду установки на самолет мотора М34 без нагнетателя.</w:t>
            </w:r>
          </w:p>
          <w:p w14:paraId="06ACDBEF"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307E195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Двухместный истребитель пушечный ДИП 2М34. Срок установлен КО 1 октября 1933 года, по ходу работ срок будет выдержан.</w:t>
            </w:r>
          </w:p>
          <w:p w14:paraId="70A0182B"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48CC0E7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Двухместный истребитель пушечный ДИ6 с мотором М32 или М38. Срок выпуска установленный КО 1 июня 1933 года. В настоящее время ведется проработка схемы самолета в двух вариантах под моторы М32 и М38. Ввиду того, что заводские испытания этих моторов еще до настоящего времени не закончены, самолет является необеспеченным моторами и срок его выпуска будет сорван.</w:t>
            </w:r>
          </w:p>
          <w:p w14:paraId="575424AD"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520FF03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Одноместный истребитель И-13 под мотор М32. Срок выпуска по постановлению КО 1 июня 1933 года. Состояние заводских испытаний мотора и количество обнаруженных в нем дефектов указывают на то, что к 1 июня мотор М-32 не сможет быть установлен на самолет, что приведет к срыву срока его выпуска. В настоящее время ведется проработка схемы самолета.</w:t>
            </w:r>
          </w:p>
          <w:p w14:paraId="487E5E7E"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32FBE7A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Одноместный истребитель И-14 под мотор М38. Срок выпуска по постановлению КО 15 марта 1933 года. Ввиду окончания заводских испытаний мотора М-38 первый экземпляр самолета строится под заграничный мотор Бристоль-Меркур. Проектирование самолета закончено. В постройке находятся: крылья, фюзеляж и оперение. Срок выпуска самолета намечается на май 1933 года. Невыполнение срока, поставленного КО объясняется отсутствием мотора и недостаточными темпами работы ЦАГИ.</w:t>
            </w:r>
          </w:p>
        </w:tc>
      </w:tr>
      <w:tr w:rsidR="00F26F01" w:rsidRPr="00C33834" w14:paraId="2FC96072" w14:textId="77777777">
        <w:tc>
          <w:tcPr>
            <w:tcW w:w="2178" w:type="dxa"/>
          </w:tcPr>
          <w:p w14:paraId="1C941B4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Форсирование работ по постройке образцов тяжелого бомбардировщика (ТБ-4).</w:t>
            </w:r>
          </w:p>
        </w:tc>
        <w:tc>
          <w:tcPr>
            <w:tcW w:w="8278" w:type="dxa"/>
          </w:tcPr>
          <w:p w14:paraId="78E7AC1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бомбардировщик ТБ-6. Срок выпуска по постановлению КО 1 декабря 1934 года. Закончена проработка схемы самолета. Ведется проектирование отдельных деталей конструкции. Ввиду неясности с качеством мотора М-44 и нефтяных, проектирование ведется под 12 моторов М-34. Срок может быть выдержан.</w:t>
            </w:r>
          </w:p>
          <w:p w14:paraId="6AC1CFC3"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284C4AC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десантный самолет Д-1 10М-34. Срок выпуска по плану – 1 июня 1933 года. Проектирование самолета закончено. Ведется испытание передач к винтам. Остается нерешенным вопрос о производственной базе для постройки самолетов. Отсутствие производственной базы уже в настоящее время делает выпуск самолета к 1 июня 1933 года невозможным.</w:t>
            </w:r>
          </w:p>
          <w:p w14:paraId="11DD6D17"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76AED90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бомбовоз ТБ-4 6М-34.</w:t>
            </w:r>
          </w:p>
          <w:p w14:paraId="2CC9D5C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плану – 1 ноября 1932 года. Указанный срок ЦАГИ не выдержан.. В настоящее время самолет перевезен на аэродром, где производится его сборка. Первый полет самолета ожидается не ранее конца марта. Срыв срока объясняется с одной стороны задержкой с предоставлением ЦАГИ мотора М-34, с другой исключительно слабыми темпами, проявленными со стороны ЦИАМа и ЦАГИ в отношении доводки винтомоторной группы самолета.</w:t>
            </w:r>
          </w:p>
          <w:p w14:paraId="561B68D8"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749204B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бомбовоз ТБ-4 6М-34Р (головной).</w:t>
            </w:r>
          </w:p>
          <w:p w14:paraId="20CC40BE"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56DC858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плану – 1 июня 1933 года. Самолет находится в постройке в ЦАГИ. Темпы постройки не гарантируют указанного выше срока его выпуска.</w:t>
            </w:r>
          </w:p>
          <w:p w14:paraId="64FB50FA"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185E64DC"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бомбардировщик К-7 7М-34.</w:t>
            </w:r>
          </w:p>
          <w:p w14:paraId="784FFDD2"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плану – 1 мая 1933 года. Постройку самолета ведет КБ Калинина. В настоящее время постройка полностью развернута. Однако следует считать вероятным опоздание выхода самолета против срока стоящего в плане – на 3-4 месяца, объясняющееся в основном, трудностями, встретившимися у КБ при термической обработке и сварке хромомолибденовых труб.</w:t>
            </w:r>
          </w:p>
        </w:tc>
      </w:tr>
      <w:tr w:rsidR="00F26F01" w:rsidRPr="00C33834" w14:paraId="1C3A9A1E" w14:textId="77777777">
        <w:tc>
          <w:tcPr>
            <w:tcW w:w="2178" w:type="dxa"/>
          </w:tcPr>
          <w:p w14:paraId="5B85B254"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Состояние постройки остальных опытных сухопутных самолетов, стоящих в плане, утвержденном КО 4 июля 1932 года.</w:t>
            </w:r>
          </w:p>
        </w:tc>
        <w:tc>
          <w:tcPr>
            <w:tcW w:w="8278" w:type="dxa"/>
          </w:tcPr>
          <w:p w14:paraId="33173435" w14:textId="77777777" w:rsidR="007E5FA7" w:rsidRPr="00C33834" w:rsidRDefault="007E5FA7" w:rsidP="00C33834">
            <w:pPr>
              <w:spacing w:after="0" w:line="240" w:lineRule="auto"/>
              <w:jc w:val="both"/>
              <w:rPr>
                <w:rFonts w:ascii="Times New Roman" w:hAnsi="Times New Roman"/>
                <w:color w:val="000000" w:themeColor="text1"/>
                <w:sz w:val="16"/>
                <w:szCs w:val="16"/>
              </w:rPr>
            </w:pPr>
          </w:p>
        </w:tc>
      </w:tr>
      <w:tr w:rsidR="00F26F01" w:rsidRPr="00C33834" w14:paraId="7CD39BD7" w14:textId="77777777">
        <w:tc>
          <w:tcPr>
            <w:tcW w:w="2178" w:type="dxa"/>
          </w:tcPr>
          <w:p w14:paraId="0F37219B" w14:textId="77777777" w:rsidR="007E5FA7" w:rsidRPr="00C33834" w:rsidRDefault="007E5FA7" w:rsidP="00C33834">
            <w:pPr>
              <w:spacing w:after="0" w:line="240" w:lineRule="auto"/>
              <w:jc w:val="both"/>
              <w:rPr>
                <w:rFonts w:ascii="Times New Roman" w:hAnsi="Times New Roman"/>
                <w:color w:val="000000" w:themeColor="text1"/>
                <w:sz w:val="16"/>
                <w:szCs w:val="16"/>
              </w:rPr>
            </w:pPr>
          </w:p>
        </w:tc>
        <w:tc>
          <w:tcPr>
            <w:tcW w:w="8278" w:type="dxa"/>
          </w:tcPr>
          <w:p w14:paraId="5110ED5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химический боевик Х1 2М-34. По плану, утвержденному КО самолет строит ГУГВФ со сроком выпуска 1 августа 1933 года. В настоящее время ведется проработка схемы самолета. Постройка самолета с финансовой стороны ГУГВФом не обеспечена. ГУГВФ считает срок выпуска, стоящий в плане невыполнимым и гарантирует выпуск самолета на 1 год позднее.</w:t>
            </w:r>
          </w:p>
          <w:p w14:paraId="116DAE4C"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37C459F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Крейсер сухопутный К-1 2М-34.</w:t>
            </w:r>
          </w:p>
          <w:p w14:paraId="02BC806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плану – 1 октября 1933 года. В настоящее время проектирование самолета почти закончено. С точки зрения постройки самолетов, срок его выпуска может безусловно быть выдержан. Однако, ввиду того, что самолет для повышения его летных качеств проектируется под 2 мотора М-32, задержка с предоставлением ЦАГИ этих моторов может сорвать выпуск самолета.</w:t>
            </w:r>
          </w:p>
          <w:p w14:paraId="14977658"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11A3CFE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Легкий разведчик ЛР М-34.</w:t>
            </w:r>
          </w:p>
          <w:p w14:paraId="546BE22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самолета по плану – 1 марта 1933 года. В настоящее время самолет спроектирован и находится в постройке. Окончание последнего намечено на июнь 1933 года. Срыв срока, установленного КО объясняется в основном тем, что ЦАГИ развернуло проектирование самолетов до предъявления на утверждение ВВС его макета, благодаря чему 2-х месячная работа КБ над неприемлемой для ВВС схемой самолета оказалась напрасной.</w:t>
            </w:r>
          </w:p>
          <w:p w14:paraId="49CEE694"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2170866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Войсковой самолет ВС2 2М-52.</w:t>
            </w:r>
          </w:p>
          <w:p w14:paraId="74E0A73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самолета по плану – 1 июля 1933 года. Самолет проектируется КБ Калинина. В настоящее время проводится проработка схемы самолета. Ввиду занятости КБ самолетом К-7, работа ведется медленными темпами, не обеспечивающими выдерживание срока выпуска самолета, установленного КО.</w:t>
            </w:r>
          </w:p>
          <w:p w14:paraId="697C7AC4"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677EA69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Переходный самолет П3 М-52.</w:t>
            </w:r>
          </w:p>
          <w:p w14:paraId="00CAC71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плану – 1 мая 1933 года. Согласно постановления КО постройка самолета возложена на ГУГВФ. Работа по самолетам ГУГВФом, ссылающимся на отсутствие средств не ведется, несмотря на ряд требований о разворачивании работы со стороны УВВС срок выпуска самолетов, стоящий в плане выдержан не будет.</w:t>
            </w:r>
          </w:p>
          <w:p w14:paraId="7E440F45"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140AD57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Учебный самолет У-3 М-48.</w:t>
            </w:r>
          </w:p>
          <w:p w14:paraId="7EAAE30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самолета по плану – 1 марта 1933 года. Проектирование самолета было ГУАПом поручено ХАИ. В настоящее время с него задание снимается и передается заводу № 23. Благодаря этому неизбежно значительное опоздание выхода самолета против срока, стоящего в плане.</w:t>
            </w:r>
          </w:p>
        </w:tc>
      </w:tr>
      <w:tr w:rsidR="00F26F01" w:rsidRPr="00C33834" w14:paraId="781342A3" w14:textId="77777777">
        <w:tc>
          <w:tcPr>
            <w:tcW w:w="2178" w:type="dxa"/>
          </w:tcPr>
          <w:p w14:paraId="5D0E7852"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Экспериментальные сухопутные самолеты.</w:t>
            </w:r>
          </w:p>
        </w:tc>
        <w:tc>
          <w:tcPr>
            <w:tcW w:w="8278" w:type="dxa"/>
          </w:tcPr>
          <w:p w14:paraId="0F2ACD51" w14:textId="77777777" w:rsidR="007E5FA7" w:rsidRPr="00C33834" w:rsidRDefault="007E5FA7" w:rsidP="00C33834">
            <w:pPr>
              <w:spacing w:after="0" w:line="240" w:lineRule="auto"/>
              <w:jc w:val="both"/>
              <w:rPr>
                <w:rFonts w:ascii="Times New Roman" w:hAnsi="Times New Roman"/>
                <w:color w:val="000000" w:themeColor="text1"/>
                <w:sz w:val="16"/>
                <w:szCs w:val="16"/>
              </w:rPr>
            </w:pPr>
          </w:p>
        </w:tc>
      </w:tr>
      <w:tr w:rsidR="00F26F01" w:rsidRPr="00C33834" w14:paraId="7B6998C6" w14:textId="77777777">
        <w:tc>
          <w:tcPr>
            <w:tcW w:w="2178" w:type="dxa"/>
          </w:tcPr>
          <w:p w14:paraId="15F0597C" w14:textId="77777777" w:rsidR="007E5FA7" w:rsidRPr="00C33834" w:rsidRDefault="007E5FA7" w:rsidP="00C33834">
            <w:pPr>
              <w:spacing w:after="0" w:line="240" w:lineRule="auto"/>
              <w:jc w:val="both"/>
              <w:rPr>
                <w:rFonts w:ascii="Times New Roman" w:hAnsi="Times New Roman"/>
                <w:color w:val="000000" w:themeColor="text1"/>
                <w:sz w:val="16"/>
                <w:szCs w:val="16"/>
              </w:rPr>
            </w:pPr>
          </w:p>
        </w:tc>
        <w:tc>
          <w:tcPr>
            <w:tcW w:w="8278" w:type="dxa"/>
          </w:tcPr>
          <w:p w14:paraId="40A59DAC"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Высотный самолет, он же рекордный на высоту.</w:t>
            </w:r>
          </w:p>
          <w:p w14:paraId="2C9EAF1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плану – 1 апреля 1933 года. в настоящее время заканчивается проектирование самолета и он частично находится в постройке. Срок выпуска самолета определяется предоставлением ЦАГИ мотора М-34 с нагнетателем. Заводские испытания моторов М-34 с нагнетателем до высоты 5000 метров показали ряд крупных дефектов двухступенчатого нагнетателя, почему необходимо констатировать неизбежность опоздания выпуска самолета на 5-7 месяцев.</w:t>
            </w:r>
          </w:p>
          <w:p w14:paraId="5EAFFCDD"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20849FA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Рекордный самолет на дальность.</w:t>
            </w:r>
          </w:p>
          <w:p w14:paraId="1AEC81D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плану – август 1932 года. В настоящее время самолет находится в постройке. Выпуск его н аэродром намечен на май 1933 года. Срыв выпуска самолета в срок, установленный КО, объясняется неполучением в течение лета 1932 года ЦАГИ мотора М-34, что в свою очередь привело к резкому падению темпа работ по постройке самолета.</w:t>
            </w:r>
          </w:p>
          <w:p w14:paraId="7E3DB7DE"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20C3CAA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 летающее крыло с 2 моторами МП.</w:t>
            </w:r>
          </w:p>
          <w:p w14:paraId="1241CD5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по плану – 1 октября 1933 года. Ввиду благоприятных результатов испытаний летающего крыла с мотором Люцифер – 100 л.с. – ГУАП предлагает вместо постройки летающего крыла с 2 моторами М-11 – построить летающее крыло с двумя более мощными моторами (400-500 л.с.) со сроком выпуска самолета в начале 1934 года. Настоящее предложение следует считать приемлемым.</w:t>
            </w:r>
          </w:p>
          <w:p w14:paraId="016E912B"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09C3D1F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 особым типом разрезных крыльев (системы Кричевского). Срок выпуска по плану – 1 декабря 1932 года. Самолет в настоящее время находится в постройке. Его выпуск ожидается в мае 1933 года. Невыполнение срока стоящего в плане объясняется недостаточным вниманием со стороны ЦАГИ к его постройке.</w:t>
            </w:r>
          </w:p>
          <w:p w14:paraId="385A1B04"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73CB2F3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Геликоптер ВГ-2.</w:t>
            </w:r>
          </w:p>
          <w:p w14:paraId="54DF79D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плану – 1 июля 1932 года. Геликоптер при его испытаниях показал летные данные, далеко превосходящие достигнутые аналогичными заграничными геликоптерами. Основной дефект геликоптера – недостаточная устойчивость, в настоящее время устраняется путем постройки геликоптера с модифицированным винтом. Срок выпуска модифицированного геликоптера ВГ-2 намечен на июнь 1933 года.</w:t>
            </w:r>
          </w:p>
          <w:p w14:paraId="1C5323AD"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3C8C582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 с мотором М-11.</w:t>
            </w:r>
          </w:p>
          <w:p w14:paraId="6F1E7B6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плану – 1 ноября 1932 года. Постройка автожира в настоящее время заканчивается. Срыв срока выпуска автожира, поставленного КО объясняется медленными темпами его постройки в ЦАГИ.</w:t>
            </w:r>
          </w:p>
          <w:p w14:paraId="7F70F0D6"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2AD43A74"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 с мотором М-22.</w:t>
            </w:r>
          </w:p>
          <w:p w14:paraId="2AD33F9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плану – 1 января 1933 года.</w:t>
            </w:r>
          </w:p>
          <w:p w14:paraId="053B80B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Постройка автожира в настоящее время только разворачивается. Окончив ее намечается на конец II квартала 1933 года. Срыв срока выпуска автожира объясняется недостаточными темпами его постройки в ЦАГИ.</w:t>
            </w:r>
          </w:p>
          <w:p w14:paraId="56C4AAF1"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51DEB292"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 реактивным двигателем.</w:t>
            </w:r>
          </w:p>
          <w:p w14:paraId="67756EC4"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Работу ведет Газодинамическая лаборатория. Создание самолета реактивным двигателем в основном зависит от успешности решения вопроса с постройкой самого реактивного двигателя. Один из образцов таких двигателей проходит в настоящее время исследовательские испытания.</w:t>
            </w:r>
          </w:p>
          <w:p w14:paraId="1F274C57"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41A8781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 раздвижными крыльями (У3 бис М-48).</w:t>
            </w:r>
          </w:p>
          <w:p w14:paraId="771456C2"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62513E1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плану – 1 мая 1933 года согласно постановления КО постройке этого самолета возложена на ГУГВФ, однако последним работы по самолету не ведутся. Отказ от начала работ по самолету – ГУГВФ объясняется отсутствием денежных средств.</w:t>
            </w:r>
          </w:p>
          <w:p w14:paraId="61C81507"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53DBA67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 нефтяным двигателем Пакард.</w:t>
            </w:r>
          </w:p>
          <w:p w14:paraId="2C8E769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постановления КО работа по установке мотора проводится ГУГВФом. Последним настоящая работа не производится.</w:t>
            </w:r>
          </w:p>
          <w:p w14:paraId="7068DB71"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01B774A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Таран.</w:t>
            </w:r>
          </w:p>
          <w:p w14:paraId="760365E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по самолету не производится, так как тараненье неприятельского самолета может быть произведено с использованием нормального истребителя, имеющего специальные подвески (предложение инженера Чернышева). Производство спецподвески проводится на заводе № 22.</w:t>
            </w:r>
          </w:p>
        </w:tc>
      </w:tr>
      <w:tr w:rsidR="00F26F01" w:rsidRPr="00C33834" w14:paraId="065B3CB9" w14:textId="77777777">
        <w:tc>
          <w:tcPr>
            <w:tcW w:w="2178" w:type="dxa"/>
          </w:tcPr>
          <w:p w14:paraId="1D16E1E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Модификация самолетов.</w:t>
            </w:r>
          </w:p>
        </w:tc>
        <w:tc>
          <w:tcPr>
            <w:tcW w:w="8278" w:type="dxa"/>
          </w:tcPr>
          <w:p w14:paraId="11E481FB" w14:textId="77777777" w:rsidR="007E5FA7" w:rsidRPr="00C33834" w:rsidRDefault="007E5FA7" w:rsidP="00C33834">
            <w:pPr>
              <w:spacing w:after="0" w:line="240" w:lineRule="auto"/>
              <w:jc w:val="both"/>
              <w:rPr>
                <w:rFonts w:ascii="Times New Roman" w:hAnsi="Times New Roman"/>
                <w:color w:val="000000" w:themeColor="text1"/>
                <w:sz w:val="16"/>
                <w:szCs w:val="16"/>
              </w:rPr>
            </w:pPr>
          </w:p>
        </w:tc>
      </w:tr>
      <w:tr w:rsidR="00F26F01" w:rsidRPr="00C33834" w14:paraId="0CDB74B3" w14:textId="77777777">
        <w:tc>
          <w:tcPr>
            <w:tcW w:w="2178" w:type="dxa"/>
          </w:tcPr>
          <w:p w14:paraId="75354412" w14:textId="77777777" w:rsidR="007E5FA7" w:rsidRPr="00C33834" w:rsidRDefault="007E5FA7" w:rsidP="00C33834">
            <w:pPr>
              <w:spacing w:after="0" w:line="240" w:lineRule="auto"/>
              <w:jc w:val="both"/>
              <w:rPr>
                <w:rFonts w:ascii="Times New Roman" w:hAnsi="Times New Roman"/>
                <w:color w:val="000000" w:themeColor="text1"/>
                <w:sz w:val="16"/>
                <w:szCs w:val="16"/>
              </w:rPr>
            </w:pPr>
          </w:p>
        </w:tc>
        <w:tc>
          <w:tcPr>
            <w:tcW w:w="8278" w:type="dxa"/>
          </w:tcPr>
          <w:p w14:paraId="17814F9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мотора М-34 на самолете ТБ-3.</w:t>
            </w:r>
          </w:p>
          <w:p w14:paraId="56D720C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по плану – 1 декабря 1932 года. Первый полет самолета ТБ-3 М-34 произведен 8 марта 1933 года. Срыв срока выпуска самолета объясняется отчасти поздним представлением ЦАГИ М-34 и главное исключительно медленными темпами работы ЦИАМ и ЦАГИ по доводке винтомоторной группы самолетов.</w:t>
            </w:r>
          </w:p>
          <w:p w14:paraId="16126D95"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5C02B27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мотора М-34 на самолет Р-5.</w:t>
            </w:r>
          </w:p>
          <w:p w14:paraId="6E844D3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по плану – 1 июля 1932 года выполнен с опозданием на 1 месяц.</w:t>
            </w:r>
          </w:p>
          <w:p w14:paraId="6492878D"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646706F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 М-34 – подготовка эталона машины.</w:t>
            </w:r>
          </w:p>
          <w:p w14:paraId="5F82E3E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по плану – 15 октября 1932 года. Срок не выполнен, до настоящего времени работа по доводке винтомоторной группы самолета не закончена. Срыв срока объясняется недостаточными темпами работы ЦИАМ и ЦАГИ в указанном направлении.</w:t>
            </w:r>
          </w:p>
          <w:p w14:paraId="3B6F1620"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2FB09C5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Пушечный истребитель И2 2М-22 постройки второго модифицированного экземпляра.</w:t>
            </w:r>
          </w:p>
          <w:p w14:paraId="256ACA3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Срок по плану – 1 ноября 1932 года. Самолет находится в постройке. Выпуск намечен на II квартал 1933 года. Срыв срока, стоящего в плане объясняется с одной стороны несвоевременной подачей ЦАГИ от завода № 8 стальной трубы к пушке, с другой стороны – слабыми темпами постройки самолета.</w:t>
            </w:r>
          </w:p>
        </w:tc>
      </w:tr>
      <w:tr w:rsidR="00F26F01" w:rsidRPr="00C33834" w14:paraId="2FDDDA10" w14:textId="77777777">
        <w:tc>
          <w:tcPr>
            <w:tcW w:w="2178" w:type="dxa"/>
          </w:tcPr>
          <w:p w14:paraId="5A18A1A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Морские самолеты.</w:t>
            </w:r>
          </w:p>
        </w:tc>
        <w:tc>
          <w:tcPr>
            <w:tcW w:w="8278" w:type="dxa"/>
          </w:tcPr>
          <w:p w14:paraId="7DFEB7CB" w14:textId="77777777" w:rsidR="007E5FA7" w:rsidRPr="00C33834" w:rsidRDefault="007E5FA7" w:rsidP="00C33834">
            <w:pPr>
              <w:spacing w:after="0" w:line="240" w:lineRule="auto"/>
              <w:jc w:val="both"/>
              <w:rPr>
                <w:rFonts w:ascii="Times New Roman" w:hAnsi="Times New Roman"/>
                <w:color w:val="000000" w:themeColor="text1"/>
                <w:sz w:val="16"/>
                <w:szCs w:val="16"/>
              </w:rPr>
            </w:pPr>
          </w:p>
        </w:tc>
      </w:tr>
      <w:tr w:rsidR="00F26F01" w:rsidRPr="00C33834" w14:paraId="5F55CF64" w14:textId="77777777">
        <w:tc>
          <w:tcPr>
            <w:tcW w:w="2178" w:type="dxa"/>
          </w:tcPr>
          <w:p w14:paraId="6D036044"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Создание типов морских лодочных самолетов.</w:t>
            </w:r>
          </w:p>
        </w:tc>
        <w:tc>
          <w:tcPr>
            <w:tcW w:w="8278" w:type="dxa"/>
          </w:tcPr>
          <w:p w14:paraId="3591035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МК-1 6М-34. Морской крейсер, бомбардировщик и торпедоносец.</w:t>
            </w:r>
          </w:p>
          <w:p w14:paraId="173A1D84"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госиспытание 1 декабря 1933 года. Находится в постройке, запаздывает, фактический срок предъявления следует ожидать не ранее II квартала 1934 года.</w:t>
            </w:r>
          </w:p>
          <w:p w14:paraId="2B8AFC9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Макет самолета до сего времени не предъявлен и выполняется уже в течение 6 месяцев. При обсуждении макета может выявиться надобность в переделках, проведение которых отодвинет срок предъявления на госиспытание. Причина запаздывания готовности макета недостаточные темпы работ и недостаточное внимание к объекту строительства со стороны начальника КОСОС ЦАГИ (объекты морских самолетов идут по второй очереди в отношении сухопутных).</w:t>
            </w:r>
          </w:p>
          <w:p w14:paraId="0E07EF37"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6170CEB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МДР-3 бис 3М-34. Морской дальний разведчик (модификация самолета МДР3 4М-17).</w:t>
            </w:r>
          </w:p>
          <w:p w14:paraId="3FB75C75"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7862D8C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госиспытание по плану строительства не указан.</w:t>
            </w:r>
          </w:p>
          <w:p w14:paraId="032265A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 в течение 7-ми месяцев не представляет летно-тактических данных самолетов, каковые могут быть получены из условия оставления старой лодки у модифицированного самолета.</w:t>
            </w:r>
          </w:p>
          <w:p w14:paraId="59A306D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НИИ ВВС в силу затягивания сроков со стороны ЦАГИ предъявил последнему свои технические требования без согласования их с начальником КОСОС ЦАГИ Туполевым.</w:t>
            </w:r>
          </w:p>
          <w:p w14:paraId="5E4A6F6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представления на госиспытания ЦАГИ не указывал, по состоянию работы этот срок – ориентировочно конец 1933 года. Причины задержки в ходе строительства данного объекта:</w:t>
            </w:r>
          </w:p>
          <w:p w14:paraId="689F9DB9" w14:textId="77777777" w:rsidR="007E5FA7" w:rsidRPr="00C33834" w:rsidRDefault="007E5FA7"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r w:rsidRPr="00C33834">
              <w:rPr>
                <w:rFonts w:ascii="Times New Roman" w:hAnsi="Times New Roman"/>
                <w:color w:val="000000" w:themeColor="text1"/>
                <w:sz w:val="16"/>
                <w:szCs w:val="16"/>
              </w:rPr>
              <w:tab/>
              <w:t>В течение трех месяцев ЦАГИ отклоняло требования НИИ о модификации самолетов, предлагая новый образец.</w:t>
            </w:r>
          </w:p>
          <w:p w14:paraId="4E72B8F8" w14:textId="77777777" w:rsidR="007E5FA7" w:rsidRPr="00C33834" w:rsidRDefault="007E5FA7"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r w:rsidRPr="00C33834">
              <w:rPr>
                <w:rFonts w:ascii="Times New Roman" w:hAnsi="Times New Roman"/>
                <w:color w:val="000000" w:themeColor="text1"/>
                <w:sz w:val="16"/>
                <w:szCs w:val="16"/>
              </w:rPr>
              <w:tab/>
              <w:t>Недостаточность внимания со стороны начальника КОСОС ЦАГИ к данному объекту, выразившееся в том, что несмотря на подготовленность материала по основным вопросам модифицированного типа, решение задерживалось в течение почти 2-х месяцев.</w:t>
            </w:r>
          </w:p>
          <w:p w14:paraId="222ED81D"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7A25981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МБР5 М34. Морской ближний разведчик – Амфибия.</w:t>
            </w:r>
          </w:p>
          <w:p w14:paraId="0F48961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госиспытания – 1 августа 1933 года. Начальник ГУГВФа отказался от постройки самолета в силу слабости конструкторской и производственной базы и отсутствия денежных средств.</w:t>
            </w:r>
          </w:p>
          <w:p w14:paraId="6EB3451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настоящему моменту НИИ ВВС получено предварительное согласие начальника КОСОС ЦАГИ Туполева не принятие к постройке самолета, в связи с выделением из морской бригады КОСОС ЦАГИ отдельной бригады легких гидросамолетов.</w:t>
            </w:r>
          </w:p>
          <w:p w14:paraId="6E6DDDB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Вновь организованной бригадой ведется разработка предварительного эскиза самолета. Ввиду того, что поставленные планом летно-технические требования технически (при отсутствии опыта по Амфибиям) трудно выполнимы, требуют варианта с 2 моторами (2М-34НР) с общим полетным весом 6,5 тонн, предлагаются изменения в технических требованиях, имеющие целью технически облегчить задачу и привести к одномоторному самолету с полетным весом в 3,5 тонн. Изменения в летно-тактических данных, утвержденных планом, выражаются только:</w:t>
            </w:r>
          </w:p>
          <w:p w14:paraId="07E094F9" w14:textId="77777777" w:rsidR="007E5FA7" w:rsidRPr="00C33834" w:rsidRDefault="007E5FA7"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r w:rsidRPr="00C33834">
              <w:rPr>
                <w:rFonts w:ascii="Times New Roman" w:hAnsi="Times New Roman"/>
                <w:color w:val="000000" w:themeColor="text1"/>
                <w:sz w:val="16"/>
                <w:szCs w:val="16"/>
              </w:rPr>
              <w:tab/>
              <w:t>Снятие сбрасываемого груза (бомб) в нормальном варианте в количестве 100 кг.</w:t>
            </w:r>
          </w:p>
          <w:p w14:paraId="4DBFCAEE" w14:textId="77777777" w:rsidR="007E5FA7" w:rsidRPr="00C33834" w:rsidRDefault="007E5FA7"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r w:rsidRPr="00C33834">
              <w:rPr>
                <w:rFonts w:ascii="Times New Roman" w:hAnsi="Times New Roman"/>
                <w:color w:val="000000" w:themeColor="text1"/>
                <w:sz w:val="16"/>
                <w:szCs w:val="16"/>
              </w:rPr>
              <w:tab/>
              <w:t>В принятии второй огневой точки в счет перегрузки.</w:t>
            </w:r>
          </w:p>
          <w:p w14:paraId="51D8E852"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постройки и предъявления на госиспытания следует ожидать к 1 февраля 1934 года.</w:t>
            </w:r>
          </w:p>
          <w:p w14:paraId="0955862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Причины задержки:</w:t>
            </w:r>
          </w:p>
          <w:p w14:paraId="31086361" w14:textId="77777777" w:rsidR="007E5FA7" w:rsidRPr="00C33834" w:rsidRDefault="007E5FA7"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r w:rsidRPr="00C33834">
              <w:rPr>
                <w:rFonts w:ascii="Times New Roman" w:hAnsi="Times New Roman"/>
                <w:color w:val="000000" w:themeColor="text1"/>
                <w:sz w:val="16"/>
                <w:szCs w:val="16"/>
              </w:rPr>
              <w:tab/>
              <w:t>Отсутствие технически сильной конструкторской организации.</w:t>
            </w:r>
          </w:p>
          <w:p w14:paraId="29D95895" w14:textId="77777777" w:rsidR="007E5FA7" w:rsidRPr="00C33834" w:rsidRDefault="007E5FA7"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r w:rsidRPr="00C33834">
              <w:rPr>
                <w:rFonts w:ascii="Times New Roman" w:hAnsi="Times New Roman"/>
                <w:color w:val="000000" w:themeColor="text1"/>
                <w:sz w:val="16"/>
                <w:szCs w:val="16"/>
              </w:rPr>
              <w:tab/>
              <w:t>Первоначальный отказ ЦАГИ принять к постройке самолет деревянной конструкции.</w:t>
            </w:r>
          </w:p>
          <w:p w14:paraId="12280587"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2468C4C4"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СПЛ М-48 самолет подводной лодки (базирование и хранение на подводной лодке), назначение – разведка.</w:t>
            </w:r>
          </w:p>
          <w:p w14:paraId="625159E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госиспытания – 1 января 1933 года. Проектирование и постройка приняты НИИ ГУГВФ. На постройку варианта из дерева запрошен отпуск 104000 рублей для субсидирования НИИ ГУГВФ по исполнительной смете. Ожидается предъявление на госиспытания к 1 мая 1933 года.</w:t>
            </w:r>
          </w:p>
          <w:p w14:paraId="65F411A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Причины задержки: увязка технических требований с данными проектируемой подводной лодки со стороны УВМС.</w:t>
            </w:r>
          </w:p>
        </w:tc>
      </w:tr>
      <w:tr w:rsidR="00F26F01" w:rsidRPr="00C33834" w14:paraId="796F570B" w14:textId="77777777">
        <w:tc>
          <w:tcPr>
            <w:tcW w:w="2178" w:type="dxa"/>
          </w:tcPr>
          <w:p w14:paraId="7A02111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Модификация самолетов, находящихся на вооружении.</w:t>
            </w:r>
          </w:p>
        </w:tc>
        <w:tc>
          <w:tcPr>
            <w:tcW w:w="8278" w:type="dxa"/>
          </w:tcPr>
          <w:p w14:paraId="3C573A96" w14:textId="77777777" w:rsidR="007E5FA7" w:rsidRPr="00C33834" w:rsidRDefault="007E5FA7" w:rsidP="00C33834">
            <w:pPr>
              <w:spacing w:after="0" w:line="240" w:lineRule="auto"/>
              <w:jc w:val="both"/>
              <w:rPr>
                <w:rFonts w:ascii="Times New Roman" w:hAnsi="Times New Roman"/>
                <w:color w:val="000000" w:themeColor="text1"/>
                <w:sz w:val="16"/>
                <w:szCs w:val="16"/>
              </w:rPr>
            </w:pPr>
          </w:p>
        </w:tc>
      </w:tr>
      <w:tr w:rsidR="00F26F01" w:rsidRPr="00C33834" w14:paraId="26BCF0C5" w14:textId="77777777">
        <w:tc>
          <w:tcPr>
            <w:tcW w:w="2178" w:type="dxa"/>
          </w:tcPr>
          <w:p w14:paraId="3F6B36EF" w14:textId="77777777" w:rsidR="007E5FA7" w:rsidRPr="00C33834" w:rsidRDefault="007E5FA7" w:rsidP="00C33834">
            <w:pPr>
              <w:spacing w:after="0" w:line="240" w:lineRule="auto"/>
              <w:jc w:val="both"/>
              <w:rPr>
                <w:rFonts w:ascii="Times New Roman" w:hAnsi="Times New Roman"/>
                <w:color w:val="000000" w:themeColor="text1"/>
                <w:sz w:val="16"/>
                <w:szCs w:val="16"/>
              </w:rPr>
            </w:pPr>
          </w:p>
        </w:tc>
        <w:tc>
          <w:tcPr>
            <w:tcW w:w="8278" w:type="dxa"/>
          </w:tcPr>
          <w:p w14:paraId="0F274512"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 2М-17. Установка на поплавки сухопутного самолета.</w:t>
            </w:r>
          </w:p>
          <w:p w14:paraId="709179A2"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 1 ноября 1932 года. Самолет предъявлен на госиспытания 9 декабря 1932 года, испытание не закончено вследствие двухкратной поломки винтов, требуется изготовление металлических винтов. В протекших испытаниях показал сравнительно небольшое ухудшение летных качеств против сухопутного образца. Опоздание по сроку предъявления объясняется: отсутствием достаточного внимания со стороны КОСОС ЦАГИ.</w:t>
            </w:r>
          </w:p>
          <w:p w14:paraId="17F4419A"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10856D44"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С62 бис М-34. Установка на самолет нового типа мотора для повышения летных качеств.</w:t>
            </w:r>
          </w:p>
          <w:p w14:paraId="69BD85A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госиспытания – 1 января 1933 года. В качестве макета установка была выполнена на лодке самолета С62 бис в конце января 1933 года, что показало необходимость конструктивных переделок (установка направлена на завод № 31 для осуществления на готовом самолете). Ожидаемый срок предъявления самолета 1 мая 1933 года. Запоздание объясняется задержкой в представлении мотора и недостаточными темпами работы КОСОС ЦАГИ.</w:t>
            </w:r>
          </w:p>
        </w:tc>
      </w:tr>
      <w:tr w:rsidR="00F26F01" w:rsidRPr="00C33834" w14:paraId="2B2413F3" w14:textId="77777777">
        <w:tc>
          <w:tcPr>
            <w:tcW w:w="2178" w:type="dxa"/>
          </w:tcPr>
          <w:p w14:paraId="396D89A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Разрезные крылья.</w:t>
            </w:r>
          </w:p>
        </w:tc>
        <w:tc>
          <w:tcPr>
            <w:tcW w:w="8278" w:type="dxa"/>
          </w:tcPr>
          <w:p w14:paraId="3A460469" w14:textId="77777777" w:rsidR="007E5FA7" w:rsidRPr="00C33834" w:rsidRDefault="007E5FA7" w:rsidP="00C33834">
            <w:pPr>
              <w:spacing w:after="0" w:line="240" w:lineRule="auto"/>
              <w:jc w:val="both"/>
              <w:rPr>
                <w:rFonts w:ascii="Times New Roman" w:hAnsi="Times New Roman"/>
                <w:color w:val="000000" w:themeColor="text1"/>
                <w:sz w:val="16"/>
                <w:szCs w:val="16"/>
              </w:rPr>
            </w:pPr>
          </w:p>
        </w:tc>
      </w:tr>
      <w:tr w:rsidR="00F26F01" w:rsidRPr="00C33834" w14:paraId="37FDAE47" w14:textId="77777777">
        <w:tc>
          <w:tcPr>
            <w:tcW w:w="2178" w:type="dxa"/>
          </w:tcPr>
          <w:p w14:paraId="221E290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СТО от 15 июля 1931 года</w:t>
            </w:r>
          </w:p>
          <w:p w14:paraId="7A18733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б «Приобрести у английской фирмы Хейндлей Педж лиценз на разрезные крылья».</w:t>
            </w:r>
          </w:p>
          <w:p w14:paraId="1707F87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СТО от 16 мая 1932 года</w:t>
            </w:r>
          </w:p>
          <w:p w14:paraId="27D4BD9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9 «Обязать Глававиапром всемерно форсировать опытные работы по разрезным крыльям, указав на совершенно неудовлетворительные сроки окончания этих работ, предусмотренные планом».</w:t>
            </w:r>
          </w:p>
          <w:p w14:paraId="2779E5B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КО от 25 июля 1932 года</w:t>
            </w:r>
          </w:p>
          <w:p w14:paraId="0A6F004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 в «Считать недостаточным развитие опытных работ ГУАП по разрезным крыльям. Заслушать вопрос вновь на КО через месяц».</w:t>
            </w:r>
          </w:p>
        </w:tc>
        <w:tc>
          <w:tcPr>
            <w:tcW w:w="8278" w:type="dxa"/>
          </w:tcPr>
          <w:p w14:paraId="5F6AEA0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Во исполнение постановления СТО и КО ЦАГИ выполнено нижеследующее:</w:t>
            </w:r>
          </w:p>
          <w:p w14:paraId="23A1E664"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1931 года был снабжен автоматическими предкрылками самолет И4. Установка автоматических предкрылков улучшила управляемость самолета на малых скоростях, но как и следовало ожидать не понизило его посадочную скорость. Поскольку серийная постройка самолетов И4 в 1931 году не производилась, указанная работа в ЦАГИ являлась экспериментальной и не была введена, ввиду сложности переделок в построенные самолеты.</w:t>
            </w:r>
          </w:p>
          <w:p w14:paraId="151052D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лету 1932 года ЦАГИ установил предкрылки и закрылки на самолете Р5 М-17. Испытание этого самолета в НИИ ВВС показало, что хотя посадочная скорость самолета, благодаря установке разрезных крыльев была уменьшена на 15-20%, однако летные данные самолета ухудшились и сама конструкция разрезных крыльев обладала рядом крупных дефектов, благодаря чему построенный самолет Р5 с разрезными крыльями не мог служить образцом для серийной постройки таких самолетов.</w:t>
            </w:r>
          </w:p>
          <w:p w14:paraId="2E47952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результате испытаний самолета Р5 с разрезными крыльями ЦАГИ обязался к 1 ноября 1932 года построить второй экземпляр Р5 с разрезными крыльями, в котором должны были быть устранены дефекты, обнаруженные на первом экземпляре. Указанный самолет был построен не к 1 ноября 1932 года, а к 1 января 1933 года.</w:t>
            </w:r>
          </w:p>
          <w:p w14:paraId="0B3264E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он проходит заводские испытания (крайне медленными темпами), причем полеты показали чрезмерное давление на ручку управления, что требует ряда переделок в конструкции разрезных крыльев.</w:t>
            </w:r>
          </w:p>
          <w:p w14:paraId="2755699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накопления экспериментального опыта на первом экземпляре самолета с разрезными крыльями были переделаны предкрылки. Самолет находится на испытаниях в НИИ.</w:t>
            </w:r>
          </w:p>
          <w:p w14:paraId="12C10C92"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Необходимо констатировать, что в течение всего 1932 года ЦАГИ, работая над снабжением Р5 разрезными крыльями, не добился таких результатов, которые позволили бы осуществить серийную постройку.</w:t>
            </w:r>
          </w:p>
          <w:p w14:paraId="130BE56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Последнее объясняется тем, что работа по снабжению самолета Р5 разрезными крыльями, особенно в части производства, проводилась исключительно медленными темпами без достаточного внимания руководства ЦАГИ к решению проблемы.</w:t>
            </w:r>
          </w:p>
          <w:p w14:paraId="4A6D5CC4"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ЦАГИ разрабатывает конструкцию разрезных крыльев (закрылков) для самолета ТБ-3.</w:t>
            </w:r>
          </w:p>
          <w:p w14:paraId="608CA0B2"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Конкретные сроки окончания этой работы ЦАГИ не установлены.</w:t>
            </w:r>
          </w:p>
          <w:p w14:paraId="0DFDB02C"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 в настоящее время ЦКБ завода № 39 проектирует снабжать разрезными крыльями, гл. образом, в виде автоматических предкрылков легкие самолеты, стоящие в плане опытного строительства на 1933 год (ЛР, ТШ-3).</w:t>
            </w:r>
          </w:p>
          <w:p w14:paraId="585C43DA"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66A3E10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Отсутствие конкретных результатов по снабжению самолетов Р5 разрезными крыльями ставит вопрос над успехом снабжения разрезными крыльями других самолетов, хотя задача безусловно разрешима.</w:t>
            </w:r>
          </w:p>
        </w:tc>
      </w:tr>
      <w:tr w:rsidR="00F26F01" w:rsidRPr="00C33834" w14:paraId="735AEEC4" w14:textId="77777777">
        <w:tc>
          <w:tcPr>
            <w:tcW w:w="2178" w:type="dxa"/>
          </w:tcPr>
          <w:p w14:paraId="1A13AB9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Тормозные колеса.</w:t>
            </w:r>
          </w:p>
        </w:tc>
        <w:tc>
          <w:tcPr>
            <w:tcW w:w="8278" w:type="dxa"/>
          </w:tcPr>
          <w:p w14:paraId="7FAB8D5C" w14:textId="77777777" w:rsidR="007E5FA7" w:rsidRPr="00C33834" w:rsidRDefault="007E5FA7" w:rsidP="00C33834">
            <w:pPr>
              <w:spacing w:after="0" w:line="240" w:lineRule="auto"/>
              <w:jc w:val="both"/>
              <w:rPr>
                <w:rFonts w:ascii="Times New Roman" w:hAnsi="Times New Roman"/>
                <w:color w:val="000000" w:themeColor="text1"/>
                <w:sz w:val="16"/>
                <w:szCs w:val="16"/>
              </w:rPr>
            </w:pPr>
          </w:p>
        </w:tc>
      </w:tr>
      <w:tr w:rsidR="00F26F01" w:rsidRPr="00C33834" w14:paraId="5B5B522C" w14:textId="77777777">
        <w:tc>
          <w:tcPr>
            <w:tcW w:w="2178" w:type="dxa"/>
          </w:tcPr>
          <w:p w14:paraId="0286C83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СТО от 16 мая 1932 года</w:t>
            </w:r>
          </w:p>
          <w:p w14:paraId="07BBDF4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8 «Обязать Глававиапром все опытные конструкции самолетов, выходящих в 1932 году, выпускать с тормозными колесами с тем, чтобы самолеты новых конструкций принятые на снабжение. Строились только с тормозными колесами. Обязать Глававиапром самолет Р5 в программе 1933 года строить также с тормозными колесами».</w:t>
            </w:r>
          </w:p>
          <w:p w14:paraId="4D71F6A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Выписка из плана опытного строительства, утвержденного КО 4 июля 1932 года.</w:t>
            </w:r>
          </w:p>
          <w:p w14:paraId="281003D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КО от 25 июля 1932 года</w:t>
            </w:r>
          </w:p>
          <w:p w14:paraId="096FBC2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б «О тормозных колесах. Баранову и Пятакову разработать к следующему заседанию КО предложения об обеспечении выпуска в 1932 году 100 самолетов Р5 и 100 ТБ-3 с тормозными колесами».</w:t>
            </w:r>
          </w:p>
        </w:tc>
        <w:tc>
          <w:tcPr>
            <w:tcW w:w="8278" w:type="dxa"/>
          </w:tcPr>
          <w:p w14:paraId="1E91D95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исполнение постановления КО ЦАГИ спроектированы, построены и переданы на испытание в конце октября 1932 года тормозные колеса к самолету Р5. Испытание самолета Р5 на тормозных колесах показали удовлетворительное качество последних. Однако самолет Р5 тормозными колесами получил тенденцию к развороту в конце пробега. Работа по устранению этого дефекта, не позволяющего устанавливать на самолет Р5 тормозные шасси, велась ЦАГИ недостаточными темпами.</w:t>
            </w:r>
          </w:p>
          <w:p w14:paraId="5C4CC3A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самолета Р5 с переделанными шасси, проведенные в феврале 1933 года на юге, показали, что дефект является не устраненным. ЦАГИ предложено внести ряд добавочных изменений и к 10 марта 1933 года вновь предъявить Р5 с тормозными колесами на испытание.</w:t>
            </w:r>
          </w:p>
          <w:p w14:paraId="07FA31E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Тормозные колеса к самолету ТБ-3 построены ЦАГИ к концу 1932 года. В феврале 1933 года испытания тормозных колес закончены. Эти испытания показали наряду с удовлетворительными качествами самих тормозных колес ряд дефектов в управлении ими. Устранение дефектов не должно вызвать особых затруднений.</w:t>
            </w:r>
          </w:p>
          <w:p w14:paraId="24598E7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 устраненными дефектами управления тормозами должен быть предъявлен на испытание к 20 марта 1933 года. ЦАГИ гарантирует предъявление опытных самолетов с тормозными колесами в 1933 году, но на первых опытных самолетах ТБ-4 и МИ3 устанавливает заграничные тормозные колеса, ведя разработку своих конструкций.</w:t>
            </w:r>
          </w:p>
          <w:p w14:paraId="1ABC18E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Основным затруднением для широкого внедрения тормозных колес в СССР является отсутствие специальной производственной базы по тормозным колесам (завода).</w:t>
            </w:r>
          </w:p>
          <w:p w14:paraId="3D13C79B"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3ADD6AE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ГУАП будет производить постройку тормозных колес частично путем кооперирования ряда заводов, частично на специально оборудованном под производство тормозных колес заводе № 121 (во втором полугодии).</w:t>
            </w:r>
          </w:p>
        </w:tc>
      </w:tr>
    </w:tbl>
    <w:p w14:paraId="596C408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Доклады о состоянии опытного строительства моторов и самолетов представлялись в конце каждого квартала председателю РВС, зам. председателя РВС и начальнику Глававиапрома (3530,91-106).</w:t>
      </w:r>
    </w:p>
    <w:p w14:paraId="28F4F72E"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2E02E280" w14:textId="77777777" w:rsidR="00AD1D3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FB8130E" w14:textId="77777777" w:rsidR="00AD1D3C" w:rsidRPr="00C33834" w:rsidRDefault="00AD1D3C" w:rsidP="00C33834">
      <w:pPr>
        <w:spacing w:after="0" w:line="240" w:lineRule="auto"/>
        <w:jc w:val="both"/>
        <w:rPr>
          <w:rFonts w:ascii="Times New Roman" w:hAnsi="Times New Roman"/>
          <w:iCs/>
          <w:color w:val="000000" w:themeColor="text1"/>
          <w:sz w:val="16"/>
          <w:szCs w:val="16"/>
        </w:rPr>
      </w:pPr>
    </w:p>
    <w:p w14:paraId="5610076E" w14:textId="77777777" w:rsidR="002C3CAD" w:rsidRPr="00C33834" w:rsidRDefault="002C3CA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 марта 1933 г. Н. А. Доровлевым, который в составе советской делегации посетил фирму Брандта в 1932, было направлено письмо на имя начальника НТУ АУ Я. М. Железнякова, в котором он указывал на необходимость скорейшего определения статуса орудий сопровождения пехоты в части того, насколько они необходимы Красной Армии. Кроме этого, для максимально эффективной реализации информации, полученной в ходе визита во Францию и воплощения ее на практике, Н. А. Доровлевым было предложено пересмотреть организационную принадлежность возглавляемого им подразделения и передать группу «Д» из ведения ГДЛ в АНИИ, создав при Институте особое конструкторско-испытательное бюро с подчинением НТУ АУ и с производственной базой на основе военно-опытного отдела Ленинградского машиностроительного завода №7 и мастерских НИАПа (см. Приложение Г).2 (20074).</w:t>
      </w:r>
    </w:p>
    <w:p w14:paraId="3FF9FA33" w14:textId="77777777" w:rsidR="002C3CAD" w:rsidRPr="00C33834" w:rsidRDefault="002C3CAD" w:rsidP="00C33834">
      <w:pPr>
        <w:spacing w:after="0" w:line="240" w:lineRule="auto"/>
        <w:jc w:val="both"/>
        <w:rPr>
          <w:rFonts w:ascii="Times New Roman" w:hAnsi="Times New Roman"/>
          <w:color w:val="0070C0"/>
          <w:sz w:val="16"/>
          <w:szCs w:val="16"/>
        </w:rPr>
      </w:pPr>
    </w:p>
    <w:p w14:paraId="13BFCFAA" w14:textId="77777777" w:rsidR="00AD1D3C" w:rsidRPr="00C33834" w:rsidRDefault="00AD1D3C" w:rsidP="00C33834">
      <w:pPr>
        <w:pStyle w:val="rtejustify"/>
        <w:spacing w:before="0" w:after="0"/>
        <w:rPr>
          <w:color w:val="000000" w:themeColor="text1"/>
          <w:sz w:val="16"/>
          <w:szCs w:val="16"/>
        </w:rPr>
      </w:pPr>
      <w:r w:rsidRPr="00C33834">
        <w:rPr>
          <w:rStyle w:val="af0"/>
          <w:bCs/>
          <w:i w:val="0"/>
          <w:color w:val="000000" w:themeColor="text1"/>
          <w:sz w:val="16"/>
          <w:szCs w:val="16"/>
        </w:rPr>
        <w:t>10 марта 1933 вышел приказ НКТП № 25сс.</w:t>
      </w:r>
      <w:r w:rsidRPr="00C33834">
        <w:rPr>
          <w:color w:val="000000" w:themeColor="text1"/>
          <w:sz w:val="16"/>
          <w:szCs w:val="16"/>
        </w:rPr>
        <w:t xml:space="preserve"> Об обеспечении заводов военной промышленности инженерно-техническим персоналом. (РГАЭ. Ф. 7297. Оп. 38. Д. 38. Л. 238</w:t>
      </w:r>
      <w:r w:rsidRPr="00C33834">
        <w:rPr>
          <w:color w:val="000000" w:themeColor="text1"/>
          <w:sz w:val="16"/>
          <w:szCs w:val="16"/>
        </w:rPr>
        <w:noBreakHyphen/>
        <w:t>237) (15246).</w:t>
      </w:r>
    </w:p>
    <w:p w14:paraId="408E5C7D" w14:textId="77777777" w:rsidR="00AD1D3C" w:rsidRPr="00C33834" w:rsidRDefault="00AD1D3C" w:rsidP="00C33834">
      <w:pPr>
        <w:pStyle w:val="rtejustify"/>
        <w:spacing w:before="0" w:after="0"/>
        <w:rPr>
          <w:color w:val="000000" w:themeColor="text1"/>
          <w:sz w:val="16"/>
          <w:szCs w:val="16"/>
        </w:rPr>
      </w:pPr>
    </w:p>
    <w:p w14:paraId="307EF5F0" w14:textId="77777777" w:rsidR="007E5FA7"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11ADB974" w14:textId="77777777" w:rsidR="007E5FA7" w:rsidRPr="00C33834" w:rsidRDefault="007E5FA7" w:rsidP="00C33834">
      <w:pPr>
        <w:spacing w:after="0" w:line="240" w:lineRule="auto"/>
        <w:jc w:val="both"/>
        <w:rPr>
          <w:rFonts w:ascii="Times New Roman" w:hAnsi="Times New Roman"/>
          <w:iCs/>
          <w:color w:val="000000" w:themeColor="text1"/>
          <w:sz w:val="16"/>
          <w:szCs w:val="16"/>
        </w:rPr>
      </w:pPr>
    </w:p>
    <w:p w14:paraId="142C366C" w14:textId="77777777" w:rsidR="007251CB" w:rsidRPr="00C33834" w:rsidRDefault="007251C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 марта 1933 опросом членов ПБ</w:t>
      </w:r>
    </w:p>
    <w:p w14:paraId="7F309C21" w14:textId="77777777" w:rsidR="007251CB" w:rsidRPr="00C33834" w:rsidRDefault="007251C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28/5.- Вопрос ОГПУ.</w:t>
      </w:r>
    </w:p>
    <w:p w14:paraId="06E2A876" w14:textId="77777777" w:rsidR="007251CB" w:rsidRPr="00C33834" w:rsidRDefault="007251C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Принять в основном предложение ОГГУ об обосновании трудовых поселков в районах Западной Сибири и Казах</w:t>
      </w:r>
      <w:r w:rsidRPr="00C33834">
        <w:rPr>
          <w:rFonts w:ascii="Times New Roman" w:hAnsi="Times New Roman"/>
          <w:color w:val="0070C0"/>
          <w:sz w:val="16"/>
          <w:szCs w:val="16"/>
        </w:rPr>
        <w:softHyphen/>
        <w:t>стана (на 500 тыс. человек в каждом крае).</w:t>
      </w:r>
    </w:p>
    <w:p w14:paraId="40655DC1" w14:textId="77777777" w:rsidR="007251CB" w:rsidRPr="00C33834" w:rsidRDefault="007251C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П сложить комиссии в составе т.т. Ягода (созыв), Межлaука В. И., Благонравова, Чернова, Гринько, Яклвлева, Фомина, Бермана - рассмотреть и произвести проверку заявок ОГПУ, установив окончательно цифры и дать проект поста</w:t>
      </w:r>
      <w:r w:rsidRPr="00C33834">
        <w:rPr>
          <w:rFonts w:ascii="Times New Roman" w:hAnsi="Times New Roman"/>
          <w:color w:val="0070C0"/>
          <w:sz w:val="16"/>
          <w:szCs w:val="16"/>
        </w:rPr>
        <w:softHyphen/>
        <w:t>новления по всему вопросу в целом.</w:t>
      </w:r>
    </w:p>
    <w:p w14:paraId="0BCA995F" w14:textId="77777777" w:rsidR="007251CB" w:rsidRPr="00C33834" w:rsidRDefault="007251C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Срок работы комиссии - 5 дней.</w:t>
      </w:r>
    </w:p>
    <w:p w14:paraId="766A8655" w14:textId="77777777" w:rsidR="007251CB" w:rsidRPr="00C33834" w:rsidRDefault="007251C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т.т.Ягоде, Межлауку В.И., Благонравову, Чернову, Гринько, Яковлеву, Фомину, Берману.</w:t>
      </w:r>
    </w:p>
    <w:p w14:paraId="6FB06D40" w14:textId="77777777" w:rsidR="007251CB" w:rsidRPr="00C33834" w:rsidRDefault="007251C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35/12. – О перерегистрации оружия по СССР</w:t>
      </w:r>
    </w:p>
    <w:p w14:paraId="5E5C328C" w14:textId="77777777" w:rsidR="007251CB" w:rsidRPr="00C33834" w:rsidRDefault="007251C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Предложить Президиуму ЦИК Союза ССР провести через ЦИК''и Союзных республик следующее изменение ст. 182 УК РСФСР и соответствующих статей Союзных Республик:</w:t>
      </w:r>
    </w:p>
    <w:p w14:paraId="120C2045" w14:textId="77777777" w:rsidR="007251CB" w:rsidRPr="00C33834" w:rsidRDefault="007251C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Изготовление, хранение, покупка и сбыт взрывчатых веществ и снарядов, а равно огнестрельного (кроме охотничьего) оружия без надлежащего разрешения влечет за собой лишение свободы на срок до пяти лет, с конфискацией названных веществ, сна</w:t>
      </w:r>
      <w:r w:rsidRPr="00C33834">
        <w:rPr>
          <w:rFonts w:ascii="Times New Roman" w:hAnsi="Times New Roman"/>
          <w:color w:val="0070C0"/>
          <w:sz w:val="16"/>
          <w:szCs w:val="16"/>
        </w:rPr>
        <w:softHyphen/>
        <w:t>рядов и оружия.</w:t>
      </w:r>
    </w:p>
    <w:p w14:paraId="763EB0C2" w14:textId="77777777" w:rsidR="007251CB" w:rsidRPr="00C33834" w:rsidRDefault="007251C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Пересылка по почте и другими способами огнестрельного оружия (не охотничьего), взрыв</w:t>
      </w:r>
      <w:r w:rsidRPr="00C33834">
        <w:rPr>
          <w:rFonts w:ascii="Times New Roman" w:hAnsi="Times New Roman"/>
          <w:color w:val="0070C0"/>
          <w:sz w:val="16"/>
          <w:szCs w:val="16"/>
        </w:rPr>
        <w:softHyphen/>
        <w:t>чатых и легко воспламеняющихся веществ и предметов, как-то: порох, патроны и т.п. - лишение свободы на срок до пяти лет.</w:t>
      </w:r>
    </w:p>
    <w:p w14:paraId="5E0FFD6F" w14:textId="77777777" w:rsidR="007251CB" w:rsidRPr="00C33834" w:rsidRDefault="007251C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Предложить ОГПУ произвести по всему СССР перерегистрацию оружия, имея ввиду из"ятие наибольшего коли</w:t>
      </w:r>
      <w:r w:rsidRPr="00C33834">
        <w:rPr>
          <w:rFonts w:ascii="Times New Roman" w:hAnsi="Times New Roman"/>
          <w:color w:val="0070C0"/>
          <w:sz w:val="16"/>
          <w:szCs w:val="16"/>
        </w:rPr>
        <w:softHyphen/>
        <w:t>чества оружия у населения и сокращение количества лиц, пользующихся правом приобретения и хранения его.</w:t>
      </w:r>
    </w:p>
    <w:p w14:paraId="267A6803" w14:textId="77777777" w:rsidR="007251CB" w:rsidRPr="00C33834" w:rsidRDefault="007251C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т.т.Ягоде, Енукидзе, Крыленко</w:t>
      </w:r>
    </w:p>
    <w:p w14:paraId="40F50904" w14:textId="77777777" w:rsidR="007251CB" w:rsidRPr="00C33834" w:rsidRDefault="007251C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20 марта 1933 состоялось заседание ПБ и был оформлен протокол № 133 (22983).</w:t>
      </w:r>
    </w:p>
    <w:p w14:paraId="1367B4B3" w14:textId="77777777" w:rsidR="007251CB" w:rsidRPr="00C33834" w:rsidRDefault="007251CB" w:rsidP="00C33834">
      <w:pPr>
        <w:spacing w:after="0" w:line="240" w:lineRule="auto"/>
        <w:jc w:val="both"/>
        <w:rPr>
          <w:rFonts w:ascii="Times New Roman" w:hAnsi="Times New Roman"/>
          <w:color w:val="0070C0"/>
          <w:sz w:val="16"/>
          <w:szCs w:val="16"/>
        </w:rPr>
      </w:pPr>
    </w:p>
    <w:p w14:paraId="50B052A2" w14:textId="77777777" w:rsidR="007E5FA7" w:rsidRPr="00C33834" w:rsidRDefault="007E5FA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марта 1933 Совнарком УССР принял решение об организации на Украине государственных университетов (4962).</w:t>
      </w:r>
    </w:p>
    <w:p w14:paraId="175EF33C" w14:textId="77777777" w:rsidR="007E5FA7" w:rsidRPr="00C33834" w:rsidRDefault="007E5FA7" w:rsidP="00C33834">
      <w:pPr>
        <w:tabs>
          <w:tab w:val="left" w:pos="11199"/>
        </w:tabs>
        <w:spacing w:after="0" w:line="240" w:lineRule="auto"/>
        <w:jc w:val="both"/>
        <w:rPr>
          <w:rFonts w:ascii="Times New Roman" w:hAnsi="Times New Roman"/>
          <w:color w:val="000000" w:themeColor="text1"/>
          <w:sz w:val="16"/>
          <w:szCs w:val="16"/>
        </w:rPr>
      </w:pPr>
    </w:p>
    <w:p w14:paraId="30A60B3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10 и 16 марта 1933. Из протокола заседания Политбюро N 133, 1933 г.</w:t>
      </w:r>
    </w:p>
    <w:p w14:paraId="6D09A66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перерегистрации оружия по СССР </w:t>
      </w:r>
    </w:p>
    <w:p w14:paraId="2640D02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Предложить Президиуму ЦИК Союза ССР провести через ЦИКи Союзных республик следующее изменение ст. 182 УК РСФСР и соответствующих статей УК Союзных Республик: </w:t>
      </w:r>
    </w:p>
    <w:p w14:paraId="1F7F086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xml:space="preserve">Изготовление, хранение, покупка и сбыт взрывчатых веществ или снарядов, а равно огнестрельного (кроме охотничьего) оружия без надлежащего разрешения влечет за собой лишение свободы на срок до пяти лет с конфискацией названных веществ, снарядов и оружия. Пересылка по почте и другими способами огнестрельного оружия (не охотничьего), взрывчатых и легко воспламеняющихся веществ и предметов, как-то: порох, патроны и т. п.— лишение свободы на срок до пяти лет. </w:t>
      </w:r>
    </w:p>
    <w:p w14:paraId="6772C1F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Предложить ОГПУ произвести по всему СССР перерегистрацию оружия, имея в виду изъятие наибольшего количества оружия у населения и сокращение количества лиц, пользующихся правом приобретения и хранения его (11652).</w:t>
      </w:r>
    </w:p>
    <w:p w14:paraId="388728EC"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3439AE91" w14:textId="77777777" w:rsidR="007E5FA7"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3EAB96F" w14:textId="77777777" w:rsidR="007E5FA7" w:rsidRPr="00C33834" w:rsidRDefault="007E5FA7" w:rsidP="00C33834">
      <w:pPr>
        <w:spacing w:after="0" w:line="240" w:lineRule="auto"/>
        <w:jc w:val="both"/>
        <w:rPr>
          <w:rFonts w:ascii="Times New Roman" w:hAnsi="Times New Roman"/>
          <w:iCs/>
          <w:color w:val="000000" w:themeColor="text1"/>
          <w:sz w:val="16"/>
          <w:szCs w:val="16"/>
        </w:rPr>
      </w:pPr>
    </w:p>
    <w:p w14:paraId="7ED8991C"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марта 1933 состоялось заседание Комиссии по вопросам сверхвысотной авиации при Госплане СССР (2304,8).</w:t>
      </w:r>
    </w:p>
    <w:p w14:paraId="5676B37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Госплана были Зарзар, Соловьев, Кирилов, от ВА Дубенский, от Упр. воен. изобретений Терентьев, от НИИ ВВС Жемчужин, от ГУАП Дубровский, от ЦИАМ Ворогушин, от НТУ ГУГВФ Бородач, от ЦКБ завода 39 Чижевский и С.А.Л. (2394,4).</w:t>
      </w:r>
    </w:p>
    <w:p w14:paraId="22CEE20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С.А.Л. выступил со сравнением своей машины БНК с машиной БОК Чижевского и признав, что вторая продвинута больше предложил работать над обеими. Военные поддержали.</w:t>
      </w:r>
    </w:p>
    <w:p w14:paraId="75C1D03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Постановили отметить медленный ход работ и невнимание со стороны ЦИАМ, считать недопустимым консервацию машины БНК, согласовать внесенный Госпланом в докладе от 17 января текст постановления (2394,4).</w:t>
      </w:r>
    </w:p>
    <w:p w14:paraId="275D346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ПРОТОКОЛ</w:t>
      </w:r>
    </w:p>
    <w:p w14:paraId="3DB13C3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Заседания комиссии по вопросам сверхвысотной авиации при Госплане СССР</w:t>
      </w:r>
    </w:p>
    <w:p w14:paraId="535F3B0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Присутствовали:</w:t>
      </w:r>
    </w:p>
    <w:p w14:paraId="0767845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Госплана</w:t>
      </w:r>
      <w:r w:rsidRPr="00C33834">
        <w:rPr>
          <w:rFonts w:ascii="Times New Roman" w:hAnsi="Times New Roman"/>
          <w:color w:val="000000" w:themeColor="text1"/>
          <w:sz w:val="16"/>
          <w:szCs w:val="16"/>
        </w:rPr>
        <w:tab/>
        <w:t>тт. Зарзар, Соловьев, Кириллов</w:t>
      </w:r>
    </w:p>
    <w:p w14:paraId="294C8B1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ВВА</w:t>
      </w:r>
      <w:r w:rsidRPr="00C33834">
        <w:rPr>
          <w:rFonts w:ascii="Times New Roman" w:hAnsi="Times New Roman"/>
          <w:color w:val="000000" w:themeColor="text1"/>
          <w:sz w:val="16"/>
          <w:szCs w:val="16"/>
        </w:rPr>
        <w:tab/>
        <w:t>т. Дубенский</w:t>
      </w:r>
    </w:p>
    <w:p w14:paraId="7880E5D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Упр. воен. Изобретений</w:t>
      </w:r>
      <w:r w:rsidRPr="00C33834">
        <w:rPr>
          <w:rFonts w:ascii="Times New Roman" w:hAnsi="Times New Roman"/>
          <w:color w:val="000000" w:themeColor="text1"/>
          <w:sz w:val="16"/>
          <w:szCs w:val="16"/>
        </w:rPr>
        <w:tab/>
        <w:t>т. Терентьев</w:t>
      </w:r>
    </w:p>
    <w:p w14:paraId="03FF60C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НИИ ВВС</w:t>
      </w:r>
      <w:r w:rsidRPr="00C33834">
        <w:rPr>
          <w:rFonts w:ascii="Times New Roman" w:hAnsi="Times New Roman"/>
          <w:color w:val="000000" w:themeColor="text1"/>
          <w:sz w:val="16"/>
          <w:szCs w:val="16"/>
        </w:rPr>
        <w:tab/>
        <w:t>т. Жемчужин,</w:t>
      </w:r>
    </w:p>
    <w:p w14:paraId="7731425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ГУАП</w:t>
      </w:r>
      <w:r w:rsidRPr="00C33834">
        <w:rPr>
          <w:rFonts w:ascii="Times New Roman" w:hAnsi="Times New Roman"/>
          <w:color w:val="000000" w:themeColor="text1"/>
          <w:sz w:val="16"/>
          <w:szCs w:val="16"/>
        </w:rPr>
        <w:tab/>
        <w:t xml:space="preserve"> т. Дубровский,</w:t>
      </w:r>
    </w:p>
    <w:p w14:paraId="37CB8B8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ЦИАМ</w:t>
      </w:r>
      <w:r w:rsidRPr="00C33834">
        <w:rPr>
          <w:rFonts w:ascii="Times New Roman" w:hAnsi="Times New Roman"/>
          <w:color w:val="000000" w:themeColor="text1"/>
          <w:sz w:val="16"/>
          <w:szCs w:val="16"/>
        </w:rPr>
        <w:tab/>
        <w:t>т. Ворогушин,</w:t>
      </w:r>
    </w:p>
    <w:p w14:paraId="16B3A3D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НТУ ГУГВФ</w:t>
      </w:r>
      <w:r w:rsidRPr="00C33834">
        <w:rPr>
          <w:rFonts w:ascii="Times New Roman" w:hAnsi="Times New Roman"/>
          <w:color w:val="000000" w:themeColor="text1"/>
          <w:sz w:val="16"/>
          <w:szCs w:val="16"/>
        </w:rPr>
        <w:tab/>
        <w:t>т. Бородач,</w:t>
      </w:r>
    </w:p>
    <w:p w14:paraId="04A0352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ЦКБ завода 39</w:t>
      </w:r>
      <w:r w:rsidRPr="00C33834">
        <w:rPr>
          <w:rFonts w:ascii="Times New Roman" w:hAnsi="Times New Roman"/>
          <w:color w:val="000000" w:themeColor="text1"/>
          <w:sz w:val="16"/>
          <w:szCs w:val="16"/>
        </w:rPr>
        <w:tab/>
        <w:t>тт. Чижевский и С.А.Л</w:t>
      </w:r>
    </w:p>
    <w:p w14:paraId="112339A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Председатель: В.А.Зарзар</w:t>
      </w:r>
    </w:p>
    <w:p w14:paraId="0F66E55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Секретарь: Н.П.Кириллов</w:t>
      </w:r>
    </w:p>
    <w:p w14:paraId="79797DF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Повестка дня: О ходе работ - информация соответствующих организаций</w:t>
      </w:r>
    </w:p>
    <w:p w14:paraId="44E174F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Слушали:</w:t>
      </w:r>
    </w:p>
    <w:p w14:paraId="18522A9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Тов. Зарзар информирует собравшихся о задачах настоящего заседания Комиссии в целях выявления положения в соответствующих организациях дела с работой по сверхвысотной авиации и происходящих в ходе работ изменениях на предмет возможного дополнения представленного в СТО по вопросу организации изучения стратосферы доклада от 17 января 1933 г.</w:t>
      </w:r>
    </w:p>
    <w:p w14:paraId="23388F1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Тов. Долгушин (ЦИАМ) - сообщает, что работы по приспособлению мотора М-34 к высотным полетам и обеспечению его импеллерами идут плохо и готовность мотора к ранее намечавшемуся сроку - 1 мая с.г. ЦИАМом не обеспечивается. Причиной является отсутствие как твердого включения в план изготовления импеллеров и приспособления мотора и конструирования втулки винта, лопасти которого дает ЦАГИ, так и соответствующих ассигнований ЦПАМу. Это не дает возможности организовать должным образом работы в нужных темпах и включить в план работы института большую группу исследовательских работ.</w:t>
      </w:r>
    </w:p>
    <w:p w14:paraId="4BD5391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Тов. Чижевский (ЦКБ зав. № 39) - сообщает о происшедших организационных переменах - слиянии бригад ЦАГИ...</w:t>
      </w:r>
    </w:p>
    <w:p w14:paraId="4DFC373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чертежей, за исключением моторного оборудования, готовы в основном к сдаче их в производство.</w:t>
      </w:r>
    </w:p>
    <w:p w14:paraId="5FDF2F9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Вследствие того, что мотор поступлением из ЦИАМа задерживается, срок готовности с-та м.ь. определен как 1 октября с.г.</w:t>
      </w:r>
    </w:p>
    <w:p w14:paraId="1031A24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в результате слияния БНК с 5-й бригадой ЦАГИ решено в первую очередь строить машину ЦАГИ, как более подготовленную к производству и обеспечиваемую мотором. Машина же БНК, готовность которой расценивается в 15%, по мнению т. Чижовского, требует еще ряда поверочных пересчетов с аэродинамической т.з. (опасение вибрации, имея в виду двухвостую конструкцию самолета БНК, отсутствие окончательно установленных размеров, рабочих чертежей и т.п.</w:t>
      </w:r>
    </w:p>
    <w:p w14:paraId="5B2C33C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з-д № 39 не может обеспечить с-ту БНК турбокомпрессора, который, по мнению т. Чижевского, необходимо передать на изготовление в ЦИАМ, с передачей в институт и проводившего расчет ТК инж. Т. Франкенберга.</w:t>
      </w:r>
    </w:p>
    <w:p w14:paraId="49CAF79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Тов. С.А.Л. (ЦКБ з-да № 39) отмечает, что проектируемый им цельнометаллический сверхвысотный с-т представляет собой моноплан с одним толкающим мотором М-34, работающим до 5000 м с импеллером, изготовляемым ЦИАМом. При подъеме на всоту более 5000 м вступает в действие газовый ТК, который должен быть изготовлен особо и может проектироваться параллельно с работами ЦИАМа по риспособлению мотора М-34 к полетам в стратосферу.. Общий полетный вес проектируемой машины около 3800 кг, теоретический потолок - примерно 15000 м, скорость на высоте 12000 м 250 км/час.</w:t>
      </w:r>
    </w:p>
    <w:p w14:paraId="0A8837D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Далее тов. Лавочкин сообщает, что работы по проектируемому им с-ту приостановилось с начала февраля месяца с.г., когда стало известно, что БНК ликвидируется и переходит в ЦКБ з-да № 39.</w:t>
      </w:r>
    </w:p>
    <w:p w14:paraId="26D2F57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о кнсервировании проектирования с-та его конструкции т. С.А.Л. считает неправильным и полагает, что целесообразнее было бы продолжать вместе с с-том ЦАГИ и работу над его машиной, но в особой группе.</w:t>
      </w:r>
    </w:p>
    <w:p w14:paraId="0620BA12"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 С.А.Л. соглашается, что машина ЦАГИ, как переделываемая в основном из дальней машины (РД) инж. А.Н.Т., по состоянию работ ближе к производству, чем его машина, которая задерждивается подготовкой рабочих чертежей, но в БНК отдельные части машины являлось возможным пускать в производство без рабочих чертежей, что не является возможным теперь в условиях работы на заводе № 39.</w:t>
      </w:r>
    </w:p>
    <w:p w14:paraId="308EE91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 С.А.Л. опровергает опасения т. Чижевского о вибрации хвостовой части с-та БНК, указывая, что вибрация бывает и при однозвостых машинах. Необходимо в этом случае лишь уточнить расчеты и специально изучить этот вопрос, учитывая, что вибрация хвостовой части вызывается завихрением воздуха: задача заключается в том, чтобы хвостовое оперение не попадало в зону завихрения. С-т хорош, ВМГ продумана и в стратосферу обе машины могут прийти одновременно. Поскольку ЦИАМ делает несколько опытных моторов с импеллерами и ЦАГИ придется не останавливаться на одной машине, делать две, гораздо целесообразнее одновременно осуществить два оригинальных типа - ЦАГИ и БНК.</w:t>
      </w:r>
    </w:p>
    <w:p w14:paraId="75917CDC"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Работу по ТК ЦИАМу передавать не следует, а необходимо осуществлять самостоятельно с помощь. ВТИ, договоренность с которым имеется. Для начала можно использовать имеющиеся на складе два ТК системы РАТО, которые дадут возможность мотору работать до 9000 м.</w:t>
      </w:r>
    </w:p>
    <w:p w14:paraId="696FEBC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Тов. Дубровский (ГУАП) - сообщает, что ГУАП решил до выяснения всех вопросов с машиной БНК не строить с-т ЦАГИ, отложив продолжение работ над машиной БНК до 1934. Вопрос задерживается также и в отношении моторного хозяйства из-за газовой турбины. В основном же ГУАП не считает возможным вести параллельные работы по этим с-там из-за недостаточности денежных средств.</w:t>
      </w:r>
    </w:p>
    <w:p w14:paraId="05B4DB7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Тов. Дубенский (ВВА) - сообщает, что работа Академии по вопросам сверхвысокой авиации задерживается крайней ограниченностью денежных средств, отпускаемых на эти цели в распоряжение ВВА (на 2 кв. Обещали дать 10000 руб.)</w:t>
      </w:r>
    </w:p>
    <w:p w14:paraId="0654BB4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Одновременно т. Дубенский считает, что работу с стамолетом т. С.А.Л. откладывать до 1934 не следует, т.к. никаких оснований к этому , по его мнению, не имеется, а, наоборот, работу по с-ту БНК нужно форсировать.</w:t>
      </w:r>
    </w:p>
    <w:p w14:paraId="7BA1521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отношение работ, осуществляемых ЦИАМом, т. Дубенский считает, что ЦИАМу надлежит, не изменяя срока работ, выделить в самостоятельную первоочередную задачу работы по импеллерам и втулке винта, ассигновать на эти цели специальные средства и всю работу ЦИАМа по вопросам сверхвысокой авиации взять под жесткий контроль.</w:t>
      </w:r>
    </w:p>
    <w:p w14:paraId="76D7C24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 Терентьев ( УВИ) - отмечает, что с т.з. УВИ необходимо форсировать работу по сверхвысотной машине т. С.А.Л.</w:t>
      </w:r>
    </w:p>
    <w:p w14:paraId="4E4604C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 Бородач (НТУ ГУГВФ) - сообщает, что работы пао сверхвысотным с-там Ленинградским НИАИ законсервированы из-за отсутствия кредитов на данные работы.</w:t>
      </w:r>
    </w:p>
    <w:p w14:paraId="6F32030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 Зарзар - информирует комиссию о ходе работ ГИРДа по РД и отмечает имеющиеся у группы нужды, сводящиеся в основном к денежным ассигнованиям и некоторым организационным вероприятиям (ИРД...</w:t>
      </w:r>
    </w:p>
    <w:p w14:paraId="6CAC3C3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Постановили:</w:t>
      </w:r>
    </w:p>
    <w:p w14:paraId="268E642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Отметить крайне медленный ход работы и невнимание со стороны ЦИАМа к работе по вопросам сверхвысокой авиации, что видно по результатам и организации работ.</w:t>
      </w:r>
    </w:p>
    <w:p w14:paraId="3FA49D6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Считать, нецелесообразным консервацию работ по проектированию машины БНК, о чем доведено до сведения нач. ГУАП П.И.Б.</w:t>
      </w:r>
    </w:p>
    <w:p w14:paraId="293780F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Проект постановления Правительства, внесенный Госпланом СССР при докладе в СТО 17 января с.г. оставить без изменения (2394,4).</w:t>
      </w:r>
    </w:p>
    <w:p w14:paraId="515A4F14"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1823CA9D" w14:textId="77777777" w:rsidR="007E4C1C" w:rsidRPr="00C33834" w:rsidRDefault="007E4C1C" w:rsidP="00C33834">
      <w:pPr>
        <w:shd w:val="clear" w:color="auto" w:fill="FFFFFF"/>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11 марта 1933 г. состоялось заседании Комиссии по вопросам сверхвысотной авиации при Госплане СССР, в котором участвовали и конструкторы Чижевский и Лавочкин (к тому времени оба – сотрудники ЦКБ завода 39). Чижевский в своём выступлении отметил, что незадолго до этого заседания произошло слияние БНК с 6-й бригадой ЦАГИ и концентрация всего дела по высотным самолётам в ЦКБ. В результате этого слияния было решено строить в первую очередь машину ЦАГИ, как более подготовленную к производству и обеспеченную мотором. Что же касается БНК-4, то эта машина, готовность которой оценивалась в 15%, требовала, по мнению Чижевского, ещё ряда проверочных пересчётов с аэродинамической точки зрения с учётом, в частности, риска вибраций в связи с применением двухбалочной схемы. Кроме того, сказал он, завод № 39 не сможет обеспечить самолёту БНК турбокомпрессора, который «необходимо передать на изготовление в ЦИАМ, с передачей в Институт и производившего тепловой расчёт турбокомпрессора инж. Франкенберга». С.А.Лавочкин ответил на критику своего проекта. Он отметил, что проектируемый им цельнометаллический сверхвысотный самолёт представляет собой моноплан с одним толкающим мотором М-34, работающим до высоты 5000 м с импеллером, изготовляемым в ЦИАМ’е. При подъёме на высоту свыше 5000 м вступает в действие газовый турбокомпрессор, который должен быть изготовлен особо и может проектироваться параллельно с работами ЦИАМ’а по приспосабливанию мотора М-34 к полётам в стратосферу. Общий полётный вес проектируемой машины около 3800 кг; теоретический потолок – примерно 15000 м; скорость на высоте 12000 м – около 360 км/ час. (Сравните с приведёнными выше данными для начального варианта с М-17). Лавочкин сообщил, что работы по БНК-4 приостановились с начала февраля 1933 г., когда стало известно, что БНК ликвидируется и переходит в ЦКБ завода № 39. Решение о консервировании проекта самолёта его конструкции Лавочкин расценил как неправильное и высказал мнение, что целесообразнее было бы продолжать вместе с самолётом ЦАГИ и работу над его машиной, но в особой группе. Опровергая опасения о вибрации хвостовой части самолёта БНК, Лавочкин указал, что вибрация бывает и при однохвостых машинах. Нужно лишь уточнить расчёты и специально изучить вопрос, учитывая, что вибрация хвостовой части вызывается завихрением воздуха, идущего от крыла: задача заключается в том, чтобы хвостовое оперение не попадало в зону завихрения. Работу по турбокомпрессору, добавил Лавочкин, в ЦИАМ передавать не следует – необходимо осуществить её самостоятельно с помощью Теплотехнического института, договорённость с которым имеется. Для начала же можно использовать имеющиеся на складе два турбокомпрессора системы РАТО (импортные), которые дадут мотору возможность работать до 9 тыс. метров. Представитель ГУАП Дубровский сообщил, что ГУАП решил до выяснения всех вопросов с машиной БНК строить самолёт ЦАГИ, отложив продолжение работ над машиной БНК до 1934 г. В основном же ГУАП не считает возможным вести параллельные работы по этим самолётам из-за недостаточности денежных средств. Представитель Военно-Воздушной Академии (ВВА) Дубенский призвал не откладывать работы по БНК-4 до 1934 г., а, наоборот, форсировать их. Его поддержал Терентьев из Управления Военных Изобретений. В итоге в разделе Постановили протокола заседания содержался пункт: «Считать недопустимой консервацию работ по проектированию машины БНК, о чём доведено до сведения Нач. ГУАП’а т. Баранова П.Н.» Такой итог заседания Комиссии при Госплане, однако, не повлиял на позицию ГУАП’а (19876).</w:t>
      </w:r>
    </w:p>
    <w:p w14:paraId="302096D1" w14:textId="77777777" w:rsidR="007E4C1C" w:rsidRPr="00C33834" w:rsidRDefault="007E4C1C" w:rsidP="00C33834">
      <w:pPr>
        <w:shd w:val="clear" w:color="auto" w:fill="FFFFFF"/>
        <w:spacing w:after="0" w:line="240" w:lineRule="auto"/>
        <w:jc w:val="both"/>
        <w:rPr>
          <w:rFonts w:ascii="Times New Roman" w:hAnsi="Times New Roman"/>
          <w:color w:val="0070C0"/>
          <w:sz w:val="16"/>
          <w:szCs w:val="16"/>
        </w:rPr>
      </w:pPr>
    </w:p>
    <w:p w14:paraId="10988E9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марта 1933 завод 39 направил в ГУАП с письмом N 348/сс Протокол испытания стрельбой самолета Зет N 39009 завода 30 со специальной артустановкой.</w:t>
      </w:r>
    </w:p>
    <w:p w14:paraId="47A2953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Боевая артиллерийская установка с магазином и питающим механизмом системы инж. Курчевского монтирована под левым крылом самолета под правым крылом монтирован макет установки. Полуавтоматический механизм для перезаряжания и магазин для 6 шт. патронов монтированы над стволом пушки.</w:t>
      </w:r>
    </w:p>
    <w:p w14:paraId="4343237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Место испытания:</w:t>
      </w:r>
    </w:p>
    <w:p w14:paraId="01B466D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аэродром Москва</w:t>
      </w:r>
    </w:p>
    <w:p w14:paraId="00D950EC"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аэродром НИИ Щелково</w:t>
      </w:r>
    </w:p>
    <w:p w14:paraId="2C021DE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Полигон ВВС Монино</w:t>
      </w:r>
    </w:p>
    <w:p w14:paraId="684282F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Дата испытания:</w:t>
      </w:r>
    </w:p>
    <w:p w14:paraId="5AA789D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февраля 1933 г.</w:t>
      </w:r>
    </w:p>
    <w:p w14:paraId="6861187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марта 1933 г.</w:t>
      </w:r>
    </w:p>
    <w:p w14:paraId="6FF448A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марта 1933 г.</w:t>
      </w:r>
    </w:p>
    <w:p w14:paraId="0993E3B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Состав комиссии:</w:t>
      </w:r>
    </w:p>
    <w:p w14:paraId="0993D46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завода N 39</w:t>
      </w:r>
    </w:p>
    <w:p w14:paraId="07481CA2"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завода Марголин</w:t>
      </w:r>
    </w:p>
    <w:p w14:paraId="747F2294"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консультант Григорович</w:t>
      </w:r>
    </w:p>
    <w:p w14:paraId="4C5E7CA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дир. з-да по техчасти - Таиров</w:t>
      </w:r>
    </w:p>
    <w:p w14:paraId="5FE0FA4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 цеха N 20 Петров</w:t>
      </w:r>
    </w:p>
    <w:p w14:paraId="54EEF11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 сект. вооруж. Кутепов</w:t>
      </w:r>
    </w:p>
    <w:p w14:paraId="6DA454D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 техн. контр. Днепров</w:t>
      </w:r>
    </w:p>
    <w:p w14:paraId="54570F7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з-да N 39 Пионтковский</w:t>
      </w:r>
    </w:p>
    <w:p w14:paraId="2AF87EB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завода N 8</w:t>
      </w:r>
    </w:p>
    <w:p w14:paraId="1A227825"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Курчевский, Каплюр</w:t>
      </w:r>
    </w:p>
    <w:p w14:paraId="3767DD5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НИИ ВВС</w:t>
      </w:r>
    </w:p>
    <w:p w14:paraId="26A3FBEC"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Ратафьев, Мельников, Салищев, Безлюдов.</w:t>
      </w:r>
    </w:p>
    <w:p w14:paraId="7C045CF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производилось:</w:t>
      </w:r>
    </w:p>
    <w:p w14:paraId="4E6FF7A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февраля 1933 г. стрельбой с помоста на земле при горизонтальном положении самолета.</w:t>
      </w:r>
    </w:p>
    <w:p w14:paraId="387BAB7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марта 1933 года стрельбой в воздухе над полигоном УВВС - Монино с посадками для зарядки на аэродр. НИИ Щелково.</w:t>
      </w:r>
    </w:p>
    <w:p w14:paraId="7B6CBA41"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марта 1933 г. стрельбой в воздухе над полигоном УВВС - Монино с посадкой для зарядки на аэродроме Москва.</w:t>
      </w:r>
    </w:p>
    <w:p w14:paraId="1532564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Программа испытания:</w:t>
      </w:r>
    </w:p>
    <w:p w14:paraId="47240B8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выстрелов подряд при испытании с помоста на земле.</w:t>
      </w:r>
    </w:p>
    <w:p w14:paraId="4CDBF77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Осмотр системы и самолета.</w:t>
      </w:r>
    </w:p>
    <w:p w14:paraId="2DB06E0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выстрела с самолета в воздухе.</w:t>
      </w:r>
    </w:p>
    <w:p w14:paraId="6479394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выстрелов с самолета в воздухе.</w:t>
      </w:r>
    </w:p>
    <w:p w14:paraId="1996A6D2"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выстрелов самолета в воздухе.</w:t>
      </w:r>
    </w:p>
    <w:p w14:paraId="438A73D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Результаты испытания.</w:t>
      </w:r>
    </w:p>
    <w:p w14:paraId="318B101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февраля 1933 года.</w:t>
      </w:r>
    </w:p>
    <w:p w14:paraId="3EF52E6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сделал перелет с аэродрома Москва на аэродром НИИ-Щелково; был установлен на помосте в горизонтальное положение на высоте 5 м от земли.</w:t>
      </w:r>
    </w:p>
    <w:p w14:paraId="5F01FC6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канал ствола был заложен 1 патрон и в магазин 6 патронов.</w:t>
      </w:r>
    </w:p>
    <w:p w14:paraId="6A3D1D8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выстрелы (7 шт.) были вполне нормальные с автоматической перезарядкой без каких-либо задержек.</w:t>
      </w:r>
    </w:p>
    <w:p w14:paraId="45A3F9D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Осмотр самолета после стрельбы показал отсутствие каких-либо повреждений или деформаций, возникших в результате стрельбы. После чего в канал ствола был заложен 1 патрон и в магазин 3 патрона для дальнейших испытаний в воздухе.</w:t>
      </w:r>
    </w:p>
    <w:p w14:paraId="3EB4E02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взлете Пионтковским была обнаружена неисправная работа мотора.</w:t>
      </w:r>
    </w:p>
    <w:p w14:paraId="3C09498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Осмотр мотора на земле показал неисправную работу 7-го цилиндра в каковом заел выпускной клапан.</w:t>
      </w:r>
    </w:p>
    <w:p w14:paraId="4B57CEA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Дальнейшие испытания были прерваны до окончания ремонта мотора (смена цилиндра и поршня).</w:t>
      </w:r>
    </w:p>
    <w:p w14:paraId="02A00FD3"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марта 1933 года.</w:t>
      </w:r>
    </w:p>
    <w:p w14:paraId="518BD0B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канал ствола был заложен 1 патрон и в магазин 3 патрона. Взлет самолета был сделан с аэродрома НИИ-Щелково и испытание стрельбой над полигоном Монино.</w:t>
      </w:r>
    </w:p>
    <w:p w14:paraId="7BD3E09D"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4 выстрела были нормальные с автоматической перезарядкой. После посадки на аэродроме Щелково в канал ствола был заложен 1 патрон и в магазин 5 патронов.</w:t>
      </w:r>
    </w:p>
    <w:p w14:paraId="0A5CE4D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стрельбе над полигоном Монино был сделан 1 выстрел - перезарядка не последовала отказал перезаряжающий механизм. При осмотре системы на земле обнаружен разрегулировавшийся стопорный болт питающей рейки. Исправление механизма было исполнено в течение 10 минут на аэродроме.</w:t>
      </w:r>
    </w:p>
    <w:p w14:paraId="28C3E50C"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после посадки на аэродроме Щелково сделал перелет на аэродром Москва.</w:t>
      </w:r>
    </w:p>
    <w:p w14:paraId="7E36C822"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марта 1933 года.</w:t>
      </w:r>
    </w:p>
    <w:p w14:paraId="16A8CB32"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канал ствола был заложен 1 патрон и в магазин 6 патронов. Самолет сделал перелет с аэродрома Москва до полигона Монино произвел там стрельбу; все 7 выстрелов были нормальные и без посадки самолет вернулся на аэродром Москва.</w:t>
      </w:r>
    </w:p>
    <w:p w14:paraId="648806F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Осмотр самолета после стрельб показал отсутствие каких-либо повреждений или деформаций возникших в результате стрельбы.</w:t>
      </w:r>
    </w:p>
    <w:p w14:paraId="51802EB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3D8CD50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Учитывая, что самолет и спец. установка из четырех испытаний дала три вполне удовлетворительные, ибо испытание с помоста на земле является для самолета более тяжелым, чем аналогичное испытание в воздухе, а для спецустановки оба испытания совершенно тождественны; комиссия считает состояние самолета и спец. вооружения на нем удовлетворительным и доведенным до состояния, в котором самолет и спец. установка могут быть переданы для государственных испытаний и может быть произведено уже теперь вооружение головных серий этих самолетов, указанной спецустановкой.</w:t>
      </w:r>
    </w:p>
    <w:p w14:paraId="5ED66B3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Ввиду того, что артиллерийская установка на самолете N 39009 произвела уже около 500 выстрелов и тем самым имеет значительный износ, считать необходимым государственные испытания произвести с новой артиллерийской установкой, поставленной под обоими крыльями.</w:t>
      </w:r>
    </w:p>
    <w:p w14:paraId="62DC748C"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Предложить Курчевскому обеспечить подачу на завод N 39 к 25/III-с.г. 2-х артиллерийских установок, а заводу N 39 к 1/IV с.г. установить их на самолет и произвести одно контрольное испытание в воздухе, после чего передать в НИИ УВВС.</w:t>
      </w:r>
    </w:p>
    <w:p w14:paraId="3E700EF4"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 4 снимка самолета "Z" на помосте на аэродроме Щелково.</w:t>
      </w:r>
    </w:p>
    <w:p w14:paraId="6BFA764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Особое мнение Курчевского по пункту о причине задержки в работе автоматики при испытании 5/III с.г. (второй полет) и о сроках изготовления новых образцов (см. заключение) им еще не представлено и будет приложено к акту дополнительно (2303,5).</w:t>
      </w:r>
    </w:p>
    <w:p w14:paraId="0298D1F3"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3BBAFB78" w14:textId="77777777" w:rsidR="007E5FA7"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F4DFA2C" w14:textId="77777777" w:rsidR="007E5FA7" w:rsidRPr="00C33834" w:rsidRDefault="007E5FA7" w:rsidP="00C33834">
      <w:pPr>
        <w:spacing w:after="0" w:line="240" w:lineRule="auto"/>
        <w:jc w:val="both"/>
        <w:rPr>
          <w:rFonts w:ascii="Times New Roman" w:hAnsi="Times New Roman"/>
          <w:iCs/>
          <w:color w:val="000000" w:themeColor="text1"/>
          <w:sz w:val="16"/>
          <w:szCs w:val="16"/>
        </w:rPr>
      </w:pPr>
    </w:p>
    <w:p w14:paraId="3D8330B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марта 1933 г. был утвержден отчет полигона № 1Н/268 об испытании стрельбой с тумбы доработанной 76 мм танковой пушки П.Сячентова ПС-3 № 2. Было произведено 1079 выстрелов, в ходе которых все механизмы пушки работали нормально (6208, 42).</w:t>
      </w:r>
    </w:p>
    <w:p w14:paraId="6CF0C84D"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6C411A6C" w14:textId="77777777" w:rsidR="00AD1D3C" w:rsidRPr="00C33834" w:rsidRDefault="00AD1D3C" w:rsidP="00C33834">
      <w:pPr>
        <w:pStyle w:val="rtejustify"/>
        <w:spacing w:before="0" w:after="0"/>
        <w:rPr>
          <w:color w:val="000000" w:themeColor="text1"/>
          <w:sz w:val="16"/>
          <w:szCs w:val="16"/>
        </w:rPr>
      </w:pPr>
      <w:r w:rsidRPr="00C33834">
        <w:rPr>
          <w:rStyle w:val="af0"/>
          <w:bCs/>
          <w:i w:val="0"/>
          <w:color w:val="000000" w:themeColor="text1"/>
          <w:sz w:val="16"/>
          <w:szCs w:val="16"/>
        </w:rPr>
        <w:t>11 марта</w:t>
      </w:r>
      <w:r w:rsidRPr="00C33834">
        <w:rPr>
          <w:color w:val="000000" w:themeColor="text1"/>
          <w:sz w:val="16"/>
          <w:szCs w:val="16"/>
        </w:rPr>
        <w:t xml:space="preserve"> 1933. Постановление СТО СССР № 5сс/о «О титульных списках оборонных капитальных работ на 1933 г.». (ГАРФ. Ф. Р</w:t>
      </w:r>
      <w:r w:rsidRPr="00C33834">
        <w:rPr>
          <w:color w:val="000000" w:themeColor="text1"/>
          <w:sz w:val="16"/>
          <w:szCs w:val="16"/>
        </w:rPr>
        <w:noBreakHyphen/>
        <w:t>8418. Оп. 28. Д. 1. Л. 6</w:t>
      </w:r>
      <w:r w:rsidRPr="00C33834">
        <w:rPr>
          <w:color w:val="000000" w:themeColor="text1"/>
          <w:sz w:val="16"/>
          <w:szCs w:val="16"/>
        </w:rPr>
        <w:noBreakHyphen/>
        <w:t>70) (15460).</w:t>
      </w:r>
    </w:p>
    <w:p w14:paraId="189F832B" w14:textId="77777777" w:rsidR="00AD1D3C" w:rsidRPr="00C33834" w:rsidRDefault="00AD1D3C" w:rsidP="00C33834">
      <w:pPr>
        <w:pStyle w:val="rtejustify"/>
        <w:spacing w:before="0" w:after="0"/>
        <w:rPr>
          <w:color w:val="000000" w:themeColor="text1"/>
          <w:sz w:val="16"/>
          <w:szCs w:val="16"/>
        </w:rPr>
      </w:pPr>
    </w:p>
    <w:p w14:paraId="3A77CBAF" w14:textId="77777777" w:rsidR="00AD1D3C" w:rsidRPr="00C33834" w:rsidRDefault="00AD1D3C" w:rsidP="00C33834">
      <w:pPr>
        <w:spacing w:after="0" w:line="240" w:lineRule="auto"/>
        <w:jc w:val="both"/>
        <w:rPr>
          <w:rStyle w:val="af0"/>
          <w:rFonts w:ascii="Times New Roman" w:hAnsi="Times New Roman"/>
          <w:i w:val="0"/>
          <w:color w:val="000000" w:themeColor="text1"/>
          <w:sz w:val="16"/>
          <w:szCs w:val="16"/>
        </w:rPr>
      </w:pPr>
      <w:r w:rsidRPr="00C33834">
        <w:rPr>
          <w:rStyle w:val="af0"/>
          <w:rFonts w:ascii="Times New Roman" w:hAnsi="Times New Roman"/>
          <w:i w:val="0"/>
          <w:color w:val="000000" w:themeColor="text1"/>
          <w:sz w:val="16"/>
          <w:szCs w:val="16"/>
        </w:rPr>
        <w:t xml:space="preserve">11 марта 1933 г. </w:t>
      </w:r>
      <w:r w:rsidRPr="00C33834">
        <w:rPr>
          <w:rFonts w:ascii="Times New Roman" w:hAnsi="Times New Roman"/>
          <w:color w:val="000000" w:themeColor="text1"/>
          <w:sz w:val="16"/>
          <w:szCs w:val="16"/>
        </w:rPr>
        <w:t>Постановление СТО СССР¹* № 5сс/о «О титульных списках оборонных капитальных работ на 1933 г.»</w:t>
      </w:r>
    </w:p>
    <w:p w14:paraId="20CDC1DB" w14:textId="77777777" w:rsidR="00AD1D3C" w:rsidRPr="00C33834" w:rsidRDefault="00AD1D3C"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Совершенно секретно.</w:t>
      </w:r>
    </w:p>
    <w:p w14:paraId="1092BAC4"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Совет труда и обороны постановляет:</w:t>
      </w:r>
    </w:p>
    <w:p w14:paraId="68139A43"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По Наркомтяжпрому: 1. Утвердить объем капитальных работ и прилагаемые титульные списки военной и авиационной промышленности²* в нижеследующих по объединениям и трестам суммах: Глававиапром³* — 186 500 тыс. руб.; Орудийно-арсенальное объединение — 92 625 тыс. руб.; Ружпулетрест — 54 283 тыс. руб.; Патрубвзрыв — 30 410 тыс. руб.; Снарядный трест — 40 134 тыс. руб.; Спецмаштрест — 16 303 тыс. руб.; Вохимтрест — 58 733 тыс. руб.; Всесоюзный трест искусственного волокна (ВИВ) — 52 183 тыс. руб.; Пермский химкомбинат — 6000 тыс. руб.; ВХНИИ (Москва) — 4056 тыс. руб.; ВХНИИ (Харьков) — 1000 тыс. руб.; Кемеровский комбинат — 12 700 тыс. руб.; Бензоскладстрой — 17 456 тыс. руб.; перспективное проектирование и жилстроительство ГВМУ⁴* — 717 тыс. руб. Итого — 573 100 тыс. руб.</w:t>
      </w:r>
    </w:p>
    <w:p w14:paraId="5311EADC"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2. Утвердить титульный список капитальных работ узкооборонного значения по промышленности НКТП в объеме 136 410 тыс. руб.</w:t>
      </w:r>
    </w:p>
    <w:p w14:paraId="716BD0B0"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И по прочим наркоматам: по Наркомлегпрому — 2839 руб.; по Наркомлеспрому — 36 296 руб.; по Наркомснабу — 29 200 руб.; по НКПС⁵* — 112 000 руб.; по НКВоду — 38 000 руб.; по Цудотрансу⁶* — 53 000 руб.; по НКСвязи⁷* — 22 400 руб.; по сельскому хозяйству — 26 059,3 руб.; по Центросоюзу — 12 230 руб.; по Комзаготовок при СНК⁸* — 5530 руб.; по войскам ОГПУ⁹* — 93 000 руб.; по конвойным войскам — 3000 руб.; по противовоздушной обороне — 21 993,4 руб.; по Осоавиахиму¹⁰* — 9000 руб.</w:t>
      </w:r>
    </w:p>
    <w:p w14:paraId="5031D6D0" w14:textId="77777777" w:rsidR="00AD1D3C" w:rsidRPr="00C33834" w:rsidRDefault="00AD1D3C" w:rsidP="00C33834">
      <w:pPr>
        <w:pStyle w:val="ae"/>
        <w:spacing w:before="0" w:after="0"/>
        <w:jc w:val="both"/>
        <w:rPr>
          <w:color w:val="000000" w:themeColor="text1"/>
          <w:sz w:val="16"/>
          <w:szCs w:val="16"/>
        </w:rPr>
      </w:pPr>
      <w:r w:rsidRPr="00C33834">
        <w:rPr>
          <w:rStyle w:val="af0"/>
          <w:i w:val="0"/>
          <w:color w:val="000000" w:themeColor="text1"/>
          <w:sz w:val="16"/>
          <w:szCs w:val="16"/>
        </w:rPr>
        <w:t>Председатель Совета труда и обороны СССР В. Молотов/Скрябин</w:t>
      </w:r>
    </w:p>
    <w:p w14:paraId="230AD28A" w14:textId="77777777" w:rsidR="00AD1D3C" w:rsidRPr="00C33834" w:rsidRDefault="00AD1D3C"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Примечания</w:t>
      </w:r>
      <w:r w:rsidRPr="00C33834">
        <w:rPr>
          <w:color w:val="000000" w:themeColor="text1"/>
          <w:sz w:val="16"/>
          <w:szCs w:val="16"/>
        </w:rPr>
        <w:t>:</w:t>
      </w:r>
    </w:p>
    <w:p w14:paraId="713BBDF7"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¹* </w:t>
      </w:r>
      <w:r w:rsidRPr="00C33834">
        <w:rPr>
          <w:rStyle w:val="af0"/>
          <w:bCs/>
          <w:i w:val="0"/>
          <w:color w:val="000000" w:themeColor="text1"/>
          <w:sz w:val="16"/>
          <w:szCs w:val="16"/>
        </w:rPr>
        <w:t>Совет труда и обороны (СТО) при Совете народных комиссаров СССР</w:t>
      </w:r>
      <w:r w:rsidRPr="00C33834">
        <w:rPr>
          <w:color w:val="000000" w:themeColor="text1"/>
          <w:sz w:val="16"/>
          <w:szCs w:val="16"/>
        </w:rPr>
        <w:t xml:space="preserve"> был образован постановлением СНК СССР от 17 июля 1923 г. в соответствии с решением 2</w:t>
      </w:r>
      <w:r w:rsidRPr="00C33834">
        <w:rPr>
          <w:color w:val="000000" w:themeColor="text1"/>
          <w:sz w:val="16"/>
          <w:szCs w:val="16"/>
        </w:rPr>
        <w:noBreakHyphen/>
        <w:t>й сессии ЦИК СССР. Состав СТО СССР назначался Совнаркомом СССР. СТО СССР составлял хозяйственные и финансовые планы, корректировал их в соответствии с экономической и политической обстановкой, руководил работой наркоматов в области хозяйственных и оборонных мероприятий, ведал рассмотрением вопросов обороны страны и мерами по улучшению военного дела. СТО СССР издавал обязательные для всех центральных и местных органов власти постановления, распоряжения и инструкции, рассматривал вопросы управления и финансирования различных отраслей народного хозяйства. СТО действовал на правах комиссии СНК СССР, для обеспечения текущей работы пользовался рабочим аппаратом СНК СССР. 28 апреля 1937 г. был упразднен постановлением ЦИК СССР, его функции были переданы Экономическому совету при СНК СССР.</w:t>
      </w:r>
    </w:p>
    <w:p w14:paraId="1BF391A9"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²* Приложения не публикуются (см. там же л. 8</w:t>
      </w:r>
      <w:r w:rsidRPr="00C33834">
        <w:rPr>
          <w:color w:val="000000" w:themeColor="text1"/>
          <w:sz w:val="16"/>
          <w:szCs w:val="16"/>
        </w:rPr>
        <w:noBreakHyphen/>
        <w:t>10).</w:t>
      </w:r>
    </w:p>
    <w:p w14:paraId="6A27CDA5"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 xml:space="preserve">³* На основании постановления ЦИК и СНК СССР от 5 января 1932 г. и приказа НКТП СССР № 1 от 10 января 1932 г. </w:t>
      </w:r>
      <w:r w:rsidRPr="00C33834">
        <w:rPr>
          <w:rStyle w:val="af0"/>
          <w:bCs/>
          <w:i w:val="0"/>
          <w:color w:val="000000" w:themeColor="text1"/>
          <w:sz w:val="16"/>
          <w:szCs w:val="16"/>
        </w:rPr>
        <w:t>Главное управление авиационной промышленности (Глававиапром, ГУАП)</w:t>
      </w:r>
      <w:r w:rsidRPr="00C33834">
        <w:rPr>
          <w:color w:val="000000" w:themeColor="text1"/>
          <w:sz w:val="16"/>
          <w:szCs w:val="16"/>
        </w:rPr>
        <w:t xml:space="preserve"> ВСНХ СССР было передано в ведение НКТП СССР. Глававиапром сохранил прежние функции и структуру: завод — трест — управление, и был подчинен непосредственно наркому тяжелой промышленности. Главк осуществлял техническое и организационно-хозяйственное руководство отраслью и предприятиями, распоряжение финансовыми и материальными ресурсами. В соответствии с постановлением СНК СССР № 2139-425с от 21 декабря 1936^. и на основании приказа НКОП № 454сс от 23 декабря 1936 г. Глававиапром был передан в ведение Наркомата оборонной промышленности СССР. Приказом НКОП № 6сс от 30 декабря 1936 г. Глававиапром переименован в 1</w:t>
      </w:r>
      <w:r w:rsidRPr="00C33834">
        <w:rPr>
          <w:color w:val="000000" w:themeColor="text1"/>
          <w:sz w:val="16"/>
          <w:szCs w:val="16"/>
        </w:rPr>
        <w:noBreakHyphen/>
        <w:t>е Главное управление НКОП. В его состав вошли 45 номерных заводов, Центральный аэрогидродинамический институт им. Жуковского (ЦАГИ), Центральный научно-исследовательский институт авиационного моторостроения (ЦИАМ), Всесоюзный научно-исследовательский институт авиационных материалов (ВИАМ), ряд других авиационных институтов и техникумов, объединение «Дирежаблестрой». (ГАРФ. Ф. 8418. Оп. 5. Д. 163. Л. 43</w:t>
      </w:r>
      <w:r w:rsidRPr="00C33834">
        <w:rPr>
          <w:color w:val="000000" w:themeColor="text1"/>
          <w:sz w:val="16"/>
          <w:szCs w:val="16"/>
        </w:rPr>
        <w:noBreakHyphen/>
        <w:t>43 об.; РГАЭ. Ф. 8328. Оп. 3. И/с; Ф. 7515. И/с).</w:t>
      </w:r>
    </w:p>
    <w:p w14:paraId="14091733"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⁴* </w:t>
      </w:r>
      <w:r w:rsidRPr="00C33834">
        <w:rPr>
          <w:rStyle w:val="af0"/>
          <w:bCs/>
          <w:i w:val="0"/>
          <w:color w:val="000000" w:themeColor="text1"/>
          <w:sz w:val="16"/>
          <w:szCs w:val="16"/>
        </w:rPr>
        <w:t>Главное военно-мобилизационном управление (ГВМУ)</w:t>
      </w:r>
      <w:r w:rsidRPr="00C33834">
        <w:rPr>
          <w:color w:val="000000" w:themeColor="text1"/>
          <w:sz w:val="16"/>
          <w:szCs w:val="16"/>
        </w:rPr>
        <w:t xml:space="preserve"> НКТП СССР было организовано на основании приказа № 25с НКТП от 7 февраля 1932 г. и подчинено непосредственно наркомату. ГВМУ с 1932 г. по 1935 г. объединяло в своей структуре Авиатрест, Орудийно-арсенальное объединение, Оружейно-пулеметный трест, объединение «Паттрубвзрыв», Военно-химический трест, Снарядный трест, Спецмаштрест, Всесоюзный трест искусственного волокна, Бензоскладстрой (всего более 120 заводов). Выполняло следующие функции: планирование и руководство всей военной промышленностью, регулирование и контроль деятельности предприятий, руководство технической реконструкцией, освоение новой техники и производств, организация финансовой политики и труда. ГВМУ ликвидировано на основании постановления № 51с СНК СССР от 17 декабря 1935 г. и приказа № 1337 НКТП от 19 декабря 1935 г. На его базе было создано два новых управления — Главное управление военной промышленности и Главное управление боеприпасов, выполнявших те же функции.</w:t>
      </w:r>
    </w:p>
    <w:p w14:paraId="3BCBB45A"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⁵* </w:t>
      </w:r>
      <w:r w:rsidRPr="00C33834">
        <w:rPr>
          <w:rStyle w:val="af0"/>
          <w:bCs/>
          <w:i w:val="0"/>
          <w:color w:val="000000" w:themeColor="text1"/>
          <w:sz w:val="16"/>
          <w:szCs w:val="16"/>
        </w:rPr>
        <w:t>Народный комиссариат путей сообщения (НКПС)</w:t>
      </w:r>
      <w:r w:rsidRPr="00C33834">
        <w:rPr>
          <w:color w:val="000000" w:themeColor="text1"/>
          <w:sz w:val="16"/>
          <w:szCs w:val="16"/>
        </w:rPr>
        <w:t xml:space="preserve"> СССР был создан в 1923 г., как орган руководства железнодорожным морским и речным транспортом, шоссейными и грунтовыми дорогами, а также общего надзора за всеми видами транспорта. В конце 1932 г. — 1934 г. в структуре НКПС было проведено несколько реорганизаций, в том числе, центрального аппарата, управлений, отделов, трестов, объединений, институтов, хозрасчетных органов, были созданы политотделы на железнодорожном транспорте, а также отдел по рабочему снабжению. Вопросами мобилизации железнодорожного транспорта занимался мобилизационный отдел. Постановлением СНК от 10 февраля 1935 г. был утвержден новый Устав железных дорог СССР, который был введен с 15 марта 1935 г. В 1935 г. была также проведена организационная перестройка аппарата управления транспорта: ликвидировалось Центральное управление делами при наркоме, и взамен его создан секретариат; Административно-организационное управление реорганизовано в Управление делами НКПС; при Управлении делами создан Особый сектор, который в оперативном отношении подчинялся секретариату наркома; группа контроля и инспекция при наркоме соединялись в единую контрольно-инспекторскую группу; Техническое совещание реорганизовано в Научно-технический совет при наркоме для решения вопросов реконструкции железнодорожного транспорта. Некоторые структурные изменения были внесены приказом НКПС № 320 от 16 апреля 1936 г., тогда были созданы новые управления (движения, пассажирское, грузовое и др.). (РГАЭ. Ф. 1884. И/с).</w:t>
      </w:r>
    </w:p>
    <w:p w14:paraId="10D2BCB6"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 xml:space="preserve">⁶* В 1931 г. из НКПС в самостоятельную отрасль управления были выделены автотранспорт и дороги, для чего автомобильный отдел Центрального управления местного транспорта был реорганизован в </w:t>
      </w:r>
      <w:r w:rsidRPr="00C33834">
        <w:rPr>
          <w:rStyle w:val="af0"/>
          <w:bCs/>
          <w:i w:val="0"/>
          <w:color w:val="000000" w:themeColor="text1"/>
          <w:sz w:val="16"/>
          <w:szCs w:val="16"/>
        </w:rPr>
        <w:t>Центральное управление шоссейных и грунтовых дорог и автомобильного транспорта (Цудотранс)</w:t>
      </w:r>
      <w:r w:rsidRPr="00C33834">
        <w:rPr>
          <w:color w:val="000000" w:themeColor="text1"/>
          <w:sz w:val="16"/>
          <w:szCs w:val="16"/>
        </w:rPr>
        <w:t>. С 1931 г. по 1935 г. Цудотранс был подчинен СНК СССР. Постановлением СНК СССР от 13 января 1932 г. было утверждено «Положение о Всесоюзном центральном управлении шоссейных и грунтовых дорог и автомобильного транспорта при СНК СССР», которое расширило задачи Цудотранса. Оно определило, что «Всесоюзное центральное управление шоссейных и грунтовых дорог и автомобильного транспорта при Совете народных комиссаров СССР имеет задачи руководства, планирования и регулирования дорожного хозяйства и автомобильного транспорта, а также транспортно-эксплуатационного и складского дела». Постановлением ЦИК и СНК СССР от 28 октября 1935 г. Цудотранс передан в состав НКВД СССР, а в марте 1936 г. реорганизован в Главное управление шоссейных дорог (Гушосдор) НКВД СССР.</w:t>
      </w:r>
    </w:p>
    <w:p w14:paraId="7F9E47B0"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 xml:space="preserve">⁷* В 1932 г. Народный комиссариат почт и телеграфов СССР был преобразован в </w:t>
      </w:r>
      <w:r w:rsidRPr="00C33834">
        <w:rPr>
          <w:rStyle w:val="af0"/>
          <w:bCs/>
          <w:i w:val="0"/>
          <w:color w:val="000000" w:themeColor="text1"/>
          <w:sz w:val="16"/>
          <w:szCs w:val="16"/>
        </w:rPr>
        <w:t>Наркомат связи СССР</w:t>
      </w:r>
      <w:r w:rsidRPr="00C33834">
        <w:rPr>
          <w:color w:val="000000" w:themeColor="text1"/>
          <w:sz w:val="16"/>
          <w:szCs w:val="16"/>
        </w:rPr>
        <w:t>. Функции наркомата расширились: в его ведении находились почта, телеграф, телефон, радио, контроль за строительством и эксплуатацией всех видов электросвязи и радиовещания, находящихся в ведении других ведомств, обеспечение связи с иностранными государствами. В 1934 г. Наркомат связи СССР и местные управления связи перестроились по производственно-отраслевому принципу. В 1935 г. в органах связи был введен дисциплинарный устав.</w:t>
      </w:r>
    </w:p>
    <w:p w14:paraId="76312644"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⁸* </w:t>
      </w:r>
      <w:r w:rsidRPr="00C33834">
        <w:rPr>
          <w:rStyle w:val="af0"/>
          <w:bCs/>
          <w:i w:val="0"/>
          <w:color w:val="000000" w:themeColor="text1"/>
          <w:sz w:val="16"/>
          <w:szCs w:val="16"/>
        </w:rPr>
        <w:t>Совет народных комиссаров СССР</w:t>
      </w:r>
      <w:r w:rsidRPr="00C33834">
        <w:rPr>
          <w:color w:val="000000" w:themeColor="text1"/>
          <w:sz w:val="16"/>
          <w:szCs w:val="16"/>
        </w:rPr>
        <w:t xml:space="preserve"> был образован 2</w:t>
      </w:r>
      <w:r w:rsidRPr="00C33834">
        <w:rPr>
          <w:color w:val="000000" w:themeColor="text1"/>
          <w:sz w:val="16"/>
          <w:szCs w:val="16"/>
        </w:rPr>
        <w:noBreakHyphen/>
        <w:t>й сессией ЦИК 6 июля 1923 г., 17 июля правительство приступило к своим обязанностям. Согласно Конституции 1924 г. СНК являлся исполнительным и распорядительным органом ЦИК СССР, образовывался им на срок полномочий ЦИК и должен был регулярно отчитываться на съездах Советов СССР и сессиях ЦИК СССР. СНК занимался организацией непосредственного руководства народным хозяйством и всеми другими отраслями государственной жизни. СНК руководил деятельностью наркоматов, улаживал разногласия между отдельными ведомствами, утверждал концессионные договоры, разрешал споры между совнаркомами союзных республик, рассматривал жалобы на постановления СТО СССР, на распоряжения наркомов, утверждал штаты общесоюзных учреждений, назначал их руководителей. На СНК возлагалась также и законодательная работа — предварительное рассмотрение проектов декретов и постановлений, которые затем представлялись на утверждение ЦИК СССР и его президиума. С начала 30</w:t>
      </w:r>
      <w:r w:rsidRPr="00C33834">
        <w:rPr>
          <w:color w:val="000000" w:themeColor="text1"/>
          <w:sz w:val="16"/>
          <w:szCs w:val="16"/>
        </w:rPr>
        <w:noBreakHyphen/>
        <w:t>х годов все законопроекты должны были предварительно вноситься на рассмотрение СНК СССР.</w:t>
      </w:r>
    </w:p>
    <w:p w14:paraId="5695FE4E"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lastRenderedPageBreak/>
        <w:t>⁹* </w:t>
      </w:r>
      <w:r w:rsidRPr="00C33834">
        <w:rPr>
          <w:rStyle w:val="af0"/>
          <w:bCs/>
          <w:i w:val="0"/>
          <w:color w:val="000000" w:themeColor="text1"/>
          <w:sz w:val="16"/>
          <w:szCs w:val="16"/>
        </w:rPr>
        <w:t>Объединенное государственное политическое управление (ОГПУ)</w:t>
      </w:r>
      <w:r w:rsidRPr="00C33834">
        <w:rPr>
          <w:color w:val="000000" w:themeColor="text1"/>
          <w:sz w:val="16"/>
          <w:szCs w:val="16"/>
        </w:rPr>
        <w:t xml:space="preserve"> при СНК СССР было создано на основе ГПУ РСФСР и союзных республик в 1923 г. для координации действий союзных республик в области укрепления госбезопасности. В подчинении ОГПУ находились пограничные войска и особые отделы РККА. Рассмотрением вопросов военной промышленности занимался Особый отдел. 19 ноября 1927 г. приказом ОГПУ обслуживание военной промышленности было передано в Экономическое управление ОГПУ, для чего в его составе было организовано специальное 9</w:t>
      </w:r>
      <w:r w:rsidRPr="00C33834">
        <w:rPr>
          <w:color w:val="000000" w:themeColor="text1"/>
          <w:sz w:val="16"/>
          <w:szCs w:val="16"/>
        </w:rPr>
        <w:noBreakHyphen/>
        <w:t>е отделение со следующими функциями: «1) обслуживание военной промышленности и военного производства на гражданских предприятиях; 2) наблюдение за мобготовностью промышленности и гражданских наркоматов». Руководство работой отделения возлагалось на помощника начальника Экономического управления, с одновременным подчинением его начальникам Особого и Контрразведывательного отделов ОГПУ. Постановлением ЦИК СССР 10 июля 1934 г. на базе ОГПУ СССР был создан Народный комиссариат внутренних дел (НКВД) СССР. (ЦА ФСБ РФ. Ф. 66. Оп. 1</w:t>
      </w:r>
      <w:r w:rsidRPr="00C33834">
        <w:rPr>
          <w:color w:val="000000" w:themeColor="text1"/>
          <w:sz w:val="16"/>
          <w:szCs w:val="16"/>
        </w:rPr>
        <w:noBreakHyphen/>
        <w:t>т. Пор. 4. Л. 9).</w:t>
      </w:r>
    </w:p>
    <w:p w14:paraId="5349DD10" w14:textId="77777777" w:rsidR="00AD1D3C" w:rsidRPr="00C33834" w:rsidRDefault="00AD1D3C" w:rsidP="00C33834">
      <w:pPr>
        <w:pStyle w:val="rtejustify"/>
        <w:spacing w:before="0" w:after="0"/>
        <w:rPr>
          <w:color w:val="000000" w:themeColor="text1"/>
          <w:sz w:val="16"/>
          <w:szCs w:val="16"/>
        </w:rPr>
      </w:pPr>
      <w:r w:rsidRPr="00C33834">
        <w:rPr>
          <w:color w:val="000000" w:themeColor="text1"/>
          <w:sz w:val="16"/>
          <w:szCs w:val="16"/>
        </w:rPr>
        <w:t>¹⁰* </w:t>
      </w:r>
      <w:r w:rsidRPr="00C33834">
        <w:rPr>
          <w:rStyle w:val="af0"/>
          <w:bCs/>
          <w:i w:val="0"/>
          <w:color w:val="000000" w:themeColor="text1"/>
          <w:sz w:val="16"/>
          <w:szCs w:val="16"/>
        </w:rPr>
        <w:t>Общество содействия обороне, авиационному и химическому строительству (Осоавиахим)</w:t>
      </w:r>
      <w:r w:rsidRPr="00C33834">
        <w:rPr>
          <w:color w:val="000000" w:themeColor="text1"/>
          <w:sz w:val="16"/>
          <w:szCs w:val="16"/>
        </w:rPr>
        <w:t> — добровольная общественная военно-патриотическая организация, созданная 23 января 1927 г. слиянием Авиахима и Общества содействия обороне СССР. Основными задачами Осоавиахима являлись: развертывание оборонно-массовой работы, содействие развитию авиационной и химической промышленности, распространение военных знаний среди населения и воспитание его в духе советского патриотизма. Общество просуществовало до 1948 г.</w:t>
      </w:r>
    </w:p>
    <w:p w14:paraId="53B289C6" w14:textId="77777777" w:rsidR="00AD1D3C" w:rsidRPr="00C33834" w:rsidRDefault="00AD1D3C" w:rsidP="00C33834">
      <w:pPr>
        <w:pStyle w:val="ae"/>
        <w:spacing w:before="0" w:after="0"/>
        <w:jc w:val="both"/>
        <w:rPr>
          <w:color w:val="000000" w:themeColor="text1"/>
          <w:sz w:val="16"/>
          <w:szCs w:val="16"/>
        </w:rPr>
      </w:pPr>
      <w:r w:rsidRPr="00C33834">
        <w:rPr>
          <w:color w:val="000000" w:themeColor="text1"/>
          <w:sz w:val="16"/>
          <w:szCs w:val="16"/>
        </w:rPr>
        <w:t>ГА РФ. Ф. Р-8418. Оп. 28. Д. 1. Л. 6-7. Подлинник (15254).</w:t>
      </w:r>
    </w:p>
    <w:p w14:paraId="035C5E67" w14:textId="77777777" w:rsidR="00AD1D3C" w:rsidRPr="00C33834" w:rsidRDefault="00AD1D3C" w:rsidP="00C33834">
      <w:pPr>
        <w:spacing w:after="0" w:line="240" w:lineRule="auto"/>
        <w:jc w:val="both"/>
        <w:rPr>
          <w:rFonts w:ascii="Times New Roman" w:hAnsi="Times New Roman"/>
          <w:iCs/>
          <w:color w:val="000000" w:themeColor="text1"/>
          <w:sz w:val="16"/>
          <w:szCs w:val="16"/>
        </w:rPr>
      </w:pPr>
    </w:p>
    <w:p w14:paraId="099E575C" w14:textId="77777777" w:rsidR="001512A9" w:rsidRPr="00C33834" w:rsidRDefault="001512A9" w:rsidP="00C33834">
      <w:pPr>
        <w:spacing w:after="0" w:line="240" w:lineRule="auto"/>
        <w:jc w:val="both"/>
        <w:rPr>
          <w:rFonts w:ascii="Times New Roman" w:hAnsi="Times New Roman"/>
          <w:color w:val="000000" w:themeColor="text1"/>
          <w:sz w:val="16"/>
          <w:szCs w:val="16"/>
          <w:shd w:val="clear" w:color="auto" w:fill="E4E3E3"/>
        </w:rPr>
      </w:pPr>
      <w:r w:rsidRPr="00C33834">
        <w:rPr>
          <w:rFonts w:ascii="Times New Roman" w:hAnsi="Times New Roman"/>
          <w:color w:val="000000" w:themeColor="text1"/>
          <w:sz w:val="16"/>
          <w:szCs w:val="16"/>
        </w:rPr>
        <w:t>11 марта 1933 г. в показаниях Мовчана по поводу Угрешского химзавода от читаем: "В отношении вредительства было решено: поддерживать существующие неполадки завода, производить задержку работ завода и принимать все меры к срыву производственной программы завода". Но уже 16 марта тот же подследственный заявил, что даже в этом, совершенно невинном по сравнению с "фашистской диктатурой" направлении не было сделано практически ничего, ибо вместо "организованного вредительства" постановили: "на первое время в целях маскировки целесообразно ограничиться тем, что пассивно относиться к существующим неполадкам на заводе и задержке ремонта, производимого механическим цехом".</w:t>
      </w:r>
    </w:p>
    <w:p w14:paraId="1A8A11E8" w14:textId="77777777" w:rsidR="001512A9" w:rsidRPr="00C33834" w:rsidRDefault="001512A9" w:rsidP="00C33834">
      <w:pPr>
        <w:spacing w:after="0" w:line="240" w:lineRule="auto"/>
        <w:jc w:val="both"/>
        <w:rPr>
          <w:rFonts w:ascii="Times New Roman" w:hAnsi="Times New Roman"/>
          <w:color w:val="000000" w:themeColor="text1"/>
          <w:sz w:val="16"/>
          <w:szCs w:val="16"/>
          <w:shd w:val="clear" w:color="auto" w:fill="E4E3E3"/>
        </w:rPr>
      </w:pPr>
      <w:r w:rsidRPr="00C33834">
        <w:rPr>
          <w:rFonts w:ascii="Times New Roman" w:hAnsi="Times New Roman"/>
          <w:color w:val="000000" w:themeColor="text1"/>
          <w:sz w:val="16"/>
          <w:szCs w:val="16"/>
        </w:rPr>
        <w:t>Следом Мовчан приводил целый список мелких вредительских деяний, которые не тянут не то что на расстрельную статью, но и, скорее всего, на наказание в виде несоответствия занимаемой должности. Сам допрашиваемый каялся, к примеру, в том, что "сорван пуск блоков "Х" и "Ж" умышленным пуском мною чертежей в работу с явными ошибками". Вряд ли и производивший допрос чекист Столяров понимал вредительскую сущность такого, например, деяния: "С ведома технорука инж. Галковича и нач. бл. "Э" инж. Соловьева на электролитические ванны "Кребс" нередко подавался рассол, не отстоявшийся и не отфильтрованный, т.е. не чистый, под предлогом невозможности создать запас чистого рассола из затвердевшей на складе соли" (19523).</w:t>
      </w:r>
    </w:p>
    <w:p w14:paraId="3DDDAE93" w14:textId="77777777" w:rsidR="001512A9" w:rsidRPr="00C33834" w:rsidRDefault="001512A9" w:rsidP="00C33834">
      <w:pPr>
        <w:spacing w:after="0" w:line="240" w:lineRule="auto"/>
        <w:jc w:val="both"/>
        <w:rPr>
          <w:rFonts w:ascii="Times New Roman" w:hAnsi="Times New Roman"/>
          <w:color w:val="000000" w:themeColor="text1"/>
          <w:sz w:val="16"/>
          <w:szCs w:val="16"/>
        </w:rPr>
      </w:pPr>
    </w:p>
    <w:p w14:paraId="7C7F0734" w14:textId="77777777" w:rsidR="007E5FA7"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304452DF" w14:textId="77777777" w:rsidR="007E5FA7" w:rsidRPr="00C33834" w:rsidRDefault="007E5FA7" w:rsidP="00C33834">
      <w:pPr>
        <w:spacing w:after="0" w:line="240" w:lineRule="auto"/>
        <w:jc w:val="both"/>
        <w:rPr>
          <w:rFonts w:ascii="Times New Roman" w:hAnsi="Times New Roman"/>
          <w:iCs/>
          <w:color w:val="000000" w:themeColor="text1"/>
          <w:sz w:val="16"/>
          <w:szCs w:val="16"/>
        </w:rPr>
      </w:pPr>
    </w:p>
    <w:p w14:paraId="3B6CDD4C" w14:textId="77777777" w:rsidR="00B02BDF" w:rsidRPr="00C33834" w:rsidRDefault="00B02BDF"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11 марта 1933 СТО утвердило предложения, подготовленные комиссией Куйбышева. Оно установило принципиально новые ориентиры для фактически реорганизованного ГУСМП, теперь мало напоминавшего тот, что был образован только два месяца назад.</w:t>
      </w:r>
    </w:p>
    <w:p w14:paraId="5A72827A" w14:textId="77777777" w:rsidR="00B02BDF" w:rsidRPr="00C33834" w:rsidRDefault="00B02BDF"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«В целях развития естественных производительных сил Севера, правильной их эксплуатации, наиболее эффективного их использования, усиления руководства и лучшего использования кадров, Совет труда и обороны постановляет: 1. Всесоюзное объединение НК Внешторга «Комсеверопуть» со всеми его активами и пассивами передать Главному управлению Северного морского пути при СНК СССР. 2. Поручить Главному управлению Северного морского пути ликвидировать «Комсеверопуть» как объединение и на его базе создать в системе ГУСМП следующие хозрасчетные организации: а) Таймырский трест с центром в Игарке, б) Северо-Уральский трест с центром в Обдорске, в) Якутский комбинат с центром в Якутске» (20467).</w:t>
      </w:r>
    </w:p>
    <w:p w14:paraId="7604624D" w14:textId="77777777" w:rsidR="00B02BDF" w:rsidRPr="00C33834" w:rsidRDefault="00B02BDF" w:rsidP="00C33834">
      <w:pPr>
        <w:spacing w:after="0" w:line="240" w:lineRule="auto"/>
        <w:jc w:val="both"/>
        <w:rPr>
          <w:rFonts w:ascii="Times New Roman" w:hAnsi="Times New Roman"/>
          <w:color w:val="0070C0"/>
          <w:sz w:val="16"/>
          <w:szCs w:val="16"/>
        </w:rPr>
      </w:pPr>
    </w:p>
    <w:p w14:paraId="482C0DF4" w14:textId="77777777" w:rsidR="007E5FA7" w:rsidRPr="00C33834" w:rsidRDefault="007E5FA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марта 1933 в Москве 35 сотрудников Наркомзема и Наркомата совхозов приговорены к расстрелу за «вредительство» (4962).</w:t>
      </w:r>
    </w:p>
    <w:p w14:paraId="5D20146B" w14:textId="77777777" w:rsidR="007E5FA7" w:rsidRPr="00C33834" w:rsidRDefault="007E5FA7" w:rsidP="00C33834">
      <w:pPr>
        <w:tabs>
          <w:tab w:val="left" w:pos="11199"/>
        </w:tabs>
        <w:spacing w:after="0" w:line="240" w:lineRule="auto"/>
        <w:jc w:val="both"/>
        <w:rPr>
          <w:rFonts w:ascii="Times New Roman" w:hAnsi="Times New Roman"/>
          <w:color w:val="000000" w:themeColor="text1"/>
          <w:sz w:val="16"/>
          <w:szCs w:val="16"/>
        </w:rPr>
      </w:pPr>
    </w:p>
    <w:p w14:paraId="32BC315A"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марта 1933 СНК СССР принял постановление № 451/76сс «О разгрузке мест лишения свободы», которым ОГПУ предлагалось:</w:t>
      </w:r>
    </w:p>
    <w:p w14:paraId="78BE136C"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 Украине...</w:t>
      </w:r>
    </w:p>
    <w:p w14:paraId="2EFC0C3F"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в течение марта месяца вывезти 25.000 человек осужденных на срок свыше 3-х лет в свои [ОГПУ] лагеря;</w:t>
      </w:r>
    </w:p>
    <w:p w14:paraId="166EAA0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всех осужденных на срок от 2 до 3-х лет вывезти в течение марта-апреля месяца в организуемые спецпоселки.</w:t>
      </w:r>
    </w:p>
    <w:p w14:paraId="2E7D798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Вывозу подлежат все осужденные, независимо от их физического состояния и возраста.</w:t>
      </w:r>
    </w:p>
    <w:p w14:paraId="1EACFA1B"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 Северному Кавказу...</w:t>
      </w:r>
    </w:p>
    <w:p w14:paraId="6D039627"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всех осужденных на срок свыше 3-х лет (в том числе и кассационных) в количестве не менее 10.000 человек вывезти в течение марта месяца в свои лагеря. Инвалидов и больных оставить в пределах [Северо-Кавказского] края;</w:t>
      </w:r>
    </w:p>
    <w:p w14:paraId="3DA446C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всех осужденных судами на срок от 2-х до 3-х лет (в том числе и кассационных) вывезти в течение марта-апреля из пределов края в организуемые спецпоселки.</w:t>
      </w:r>
    </w:p>
    <w:p w14:paraId="623C6728"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 ЦЧО [Центрально-Черноземной области]...</w:t>
      </w:r>
    </w:p>
    <w:p w14:paraId="424E5714"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вывезти в марте месяце из пределов области в свои лагеря осужденных на срок свыше 3-х лет (в том числе и кассационных) - 15.000 человек.</w:t>
      </w:r>
    </w:p>
    <w:p w14:paraId="526F632C"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По Нижней Волге...</w:t>
      </w:r>
    </w:p>
    <w:p w14:paraId="163C5EB6"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вывезти в марте месяце из пределов края в свои лагеря осужденных на срок свыше 3-х лет (в том числе и кассационных) - 7.000 человек».</w:t>
      </w:r>
    </w:p>
    <w:p w14:paraId="250A29C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Этим же постановлением предлагалось «НКЮ РСФСР тов. Крыленко и ОГПУ т. Ягоде разработать соответствующие мероприятия в отношении вывоза осужденных из остальных областей и краев и размещения их в пределах соответствующего края-области и провести эти мероприятия в марте-апреле месяце» (7560).</w:t>
      </w:r>
    </w:p>
    <w:p w14:paraId="11F1CA4E"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03EAD45A" w14:textId="77777777" w:rsidR="007E5FA7"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2E13525" w14:textId="77777777" w:rsidR="007E5FA7" w:rsidRPr="00C33834" w:rsidRDefault="007E5FA7" w:rsidP="00C33834">
      <w:pPr>
        <w:spacing w:after="0" w:line="240" w:lineRule="auto"/>
        <w:jc w:val="both"/>
        <w:rPr>
          <w:rFonts w:ascii="Times New Roman" w:hAnsi="Times New Roman"/>
          <w:iCs/>
          <w:color w:val="000000" w:themeColor="text1"/>
          <w:sz w:val="16"/>
          <w:szCs w:val="16"/>
        </w:rPr>
      </w:pPr>
    </w:p>
    <w:p w14:paraId="74C0ABF9"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11 марта 1933 года ZRS-5, заказанный флотом, получил имя «Мэкон». В свой первый полет дирижабль отправился 21 апреля 1933 года. Еще в то время, когда строительство «Акрона» продолжалось, высказывалось мнение, что следующий дирижабль не должен быть просто копией предыдущего. Летный отдел ВМФ предложил увеличить корпус корабля и установить еще одну секцию длиной 22,5 м, что значительно повышало грузоподъемность дирижабля. Проявилось также недоверие к немецким двигателям «Майбах» VL-II и вместо них было предложено установить отечественные двенадцатицилиндровые «Аллисон» VG-1710, которые, правда, имелись еще в виде опытных образцов. Все эти доработки преследовали своей целью добиться увеличения радиуса действия «Мэкона». </w:t>
      </w:r>
    </w:p>
    <w:p w14:paraId="1E926000"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Между тем на реализацию этих планов не было отпущено дополнительных финансовых средств, да и военно-политическая обстановка на Тихом океане требовала пристального внимания к этому региону, поэтому «Мэкон» остался полностью подобен своему старшему собрату. </w:t>
      </w:r>
    </w:p>
    <w:p w14:paraId="7079B33E" w14:textId="77777777" w:rsidR="007E5FA7" w:rsidRPr="00C33834" w:rsidRDefault="007E5F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Ангар для самолетов был доработан таким образом, чтобы там можно было разместить 5 самолетов, но в действительности находилось 4 — трапеция всегда была свободна. Опыт практических полетов показал, что пропускная способность одной трапеции является недостаточной для эффективного использования самолетов в реальной боевой обстановке. Появилась идея разместить под нижней [442] частью дирижабля рельсы, на которых можно было на кран-балке вывозить самолет из ангара наружу и оставлять его в боевой готовности вне дирижабля. Эта идея так и не была полностью реализована, но в результате за ангаром была установлена небольшая дополнительная перекладина, на которой висел самолет Кертисс F9C-2 в полной готовности к немедленному вылету, при этом обычно шасси на них отсутствовало (11324).</w:t>
      </w:r>
    </w:p>
    <w:p w14:paraId="07DE4A29" w14:textId="77777777" w:rsidR="007E5FA7" w:rsidRPr="00C33834" w:rsidRDefault="007E5FA7" w:rsidP="00C33834">
      <w:pPr>
        <w:spacing w:after="0" w:line="240" w:lineRule="auto"/>
        <w:jc w:val="both"/>
        <w:rPr>
          <w:rFonts w:ascii="Times New Roman" w:hAnsi="Times New Roman"/>
          <w:color w:val="000000" w:themeColor="text1"/>
          <w:sz w:val="16"/>
          <w:szCs w:val="16"/>
        </w:rPr>
      </w:pPr>
    </w:p>
    <w:p w14:paraId="75CFCB73" w14:textId="77777777" w:rsidR="00AD1D3C" w:rsidRPr="00C33834" w:rsidRDefault="00AD1D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11 марта</w:t>
      </w:r>
      <w:r w:rsidRPr="00C33834">
        <w:rPr>
          <w:rFonts w:ascii="Times New Roman" w:hAnsi="Times New Roman"/>
          <w:color w:val="000000" w:themeColor="text1"/>
          <w:sz w:val="16"/>
          <w:szCs w:val="16"/>
        </w:rPr>
        <w:t xml:space="preserve"> в 1933 году закончено строительство второго дирижабля – летающего авианосца, разработанного совместной американо-германской фирме «Goodyear-Zeppelin». В торжественной обстановке ему присвоили имя «USS Macon». В качестве носимого истребителя использовали многоцелевой истребитель </w:t>
      </w:r>
      <w:hyperlink r:id="rId100" w:tgtFrame="_blank" w:history="1">
        <w:r w:rsidRPr="00C33834">
          <w:rPr>
            <w:rFonts w:ascii="Times New Roman" w:hAnsi="Times New Roman"/>
            <w:color w:val="000000" w:themeColor="text1"/>
            <w:sz w:val="16"/>
            <w:szCs w:val="16"/>
          </w:rPr>
          <w:t xml:space="preserve">«F9C» «Sparrowhawk» </w:t>
        </w:r>
      </w:hyperlink>
      <w:r w:rsidRPr="00C33834">
        <w:rPr>
          <w:rFonts w:ascii="Times New Roman" w:hAnsi="Times New Roman"/>
          <w:color w:val="000000" w:themeColor="text1"/>
          <w:sz w:val="16"/>
          <w:szCs w:val="16"/>
        </w:rPr>
        <w:t>(разработчик: Curtiss, США) (15065).</w:t>
      </w:r>
    </w:p>
    <w:p w14:paraId="3FBD02B3" w14:textId="77777777" w:rsidR="00AD1D3C" w:rsidRPr="00C33834" w:rsidRDefault="00AD1D3C" w:rsidP="00C33834">
      <w:pPr>
        <w:spacing w:after="0" w:line="240" w:lineRule="auto"/>
        <w:jc w:val="both"/>
        <w:rPr>
          <w:rFonts w:ascii="Times New Roman" w:hAnsi="Times New Roman"/>
          <w:color w:val="000000" w:themeColor="text1"/>
          <w:sz w:val="16"/>
          <w:szCs w:val="16"/>
        </w:rPr>
      </w:pPr>
    </w:p>
    <w:p w14:paraId="511D53AF" w14:textId="77777777" w:rsidR="00393D9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D20456D" w14:textId="77777777" w:rsidR="00393D95" w:rsidRPr="00C33834" w:rsidRDefault="00393D9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A14532C"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марта 1933 года с Исх. N 72сс были направлены Технические требования к экспериментальному самолету ТШ с мотором М34, которые 10 марта 1933 года утвердил Гл. инженер-механик ВВС Аузан утвердил</w:t>
      </w:r>
    </w:p>
    <w:p w14:paraId="48C77A1A"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Летно-тактические данные</w:t>
      </w:r>
    </w:p>
    <w:p w14:paraId="27A41D59"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Самолет с полезной нагрузкой 780 кг и запасом горючего и смазочного, обеспечивающим надежный тактический радиус действия 160 км, должен обладать нижеследующими летными данными:</w:t>
      </w:r>
    </w:p>
    <w:p w14:paraId="5E06BA5E"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Максимальной горизонтальной скоростью у земли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51023CB4" w14:textId="77777777">
        <w:tc>
          <w:tcPr>
            <w:tcW w:w="5636" w:type="dxa"/>
          </w:tcPr>
          <w:p w14:paraId="43289C96"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высоте 15-20 км</w:t>
            </w:r>
          </w:p>
        </w:tc>
        <w:tc>
          <w:tcPr>
            <w:tcW w:w="5636" w:type="dxa"/>
          </w:tcPr>
          <w:p w14:paraId="080C0AAD"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250-260 км/час</w:t>
            </w:r>
          </w:p>
        </w:tc>
      </w:tr>
      <w:tr w:rsidR="00F26F01" w:rsidRPr="00C33834" w14:paraId="4616E004" w14:textId="77777777">
        <w:tc>
          <w:tcPr>
            <w:tcW w:w="5636" w:type="dxa"/>
          </w:tcPr>
          <w:p w14:paraId="5DDFA586"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на 3000 м</w:t>
            </w:r>
          </w:p>
        </w:tc>
        <w:tc>
          <w:tcPr>
            <w:tcW w:w="5636" w:type="dxa"/>
          </w:tcPr>
          <w:p w14:paraId="67DDE13D"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15-16 м</w:t>
            </w:r>
          </w:p>
        </w:tc>
      </w:tr>
      <w:tr w:rsidR="00F26F01" w:rsidRPr="00C33834" w14:paraId="74F9A6D7" w14:textId="77777777">
        <w:tc>
          <w:tcPr>
            <w:tcW w:w="5636" w:type="dxa"/>
          </w:tcPr>
          <w:p w14:paraId="769CC0C8"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Практическим потолком</w:t>
            </w:r>
          </w:p>
        </w:tc>
        <w:tc>
          <w:tcPr>
            <w:tcW w:w="5636" w:type="dxa"/>
          </w:tcPr>
          <w:p w14:paraId="769CB5DC"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 м</w:t>
            </w:r>
          </w:p>
        </w:tc>
      </w:tr>
      <w:tr w:rsidR="00F26F01" w:rsidRPr="00C33834" w14:paraId="169BB184" w14:textId="77777777">
        <w:tc>
          <w:tcPr>
            <w:tcW w:w="5636" w:type="dxa"/>
          </w:tcPr>
          <w:p w14:paraId="288271EE"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Посадочной скоростью</w:t>
            </w:r>
          </w:p>
        </w:tc>
        <w:tc>
          <w:tcPr>
            <w:tcW w:w="5636" w:type="dxa"/>
          </w:tcPr>
          <w:p w14:paraId="2F5979A0"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80-90 км/час</w:t>
            </w:r>
          </w:p>
        </w:tc>
      </w:tr>
    </w:tbl>
    <w:p w14:paraId="6DF5C5E1"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должен быть сконструирован под мотор М34 без редуктора и нагнетателя с гидравлической (масляной) передачей на винт системы Кожевникова.</w:t>
      </w:r>
    </w:p>
    <w:p w14:paraId="08B53A09"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должен быть снабжен гусеничным, многоколесным шасси, с возможностью пользования как гусеничным ходом, так и колесным при снятой гусенице.</w:t>
      </w:r>
    </w:p>
    <w:p w14:paraId="2B8010F6"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Должен быть проработан вопрос применения этого шасси в зимних условиях на глубоком снегу.</w:t>
      </w:r>
    </w:p>
    <w:p w14:paraId="6B176EDA"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жизненные части самолета: мотор, весь его агрегат, система охлаждения мотора, не менее 50% запаса горючего, боевой комплект патронов и бомб, а также кабины пилота и наблюдателя должны быть защищены броней.</w:t>
      </w:r>
    </w:p>
    <w:p w14:paraId="7D0497F4"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случае невозможности уложиться в заданный полетный вес при установленных требованиях к самолету, конструкторам предоставляется право изменения бронирования, вооружения и запаса горючего в меньшую сторону по согласованию каждый раз с НИИ ВВС.</w:t>
      </w:r>
    </w:p>
    <w:p w14:paraId="34466819"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Конструкция самолета должна стремиться к максимальному обеспечению и сохранению свойств самолета после попадания пуль в неброневые части самолета.</w:t>
      </w:r>
    </w:p>
    <w:p w14:paraId="0C1455AF"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увеличения надежности при повреждении пулями, стабилизатор, киль, все рули и элероны должны быть металлическими.</w:t>
      </w:r>
    </w:p>
    <w:p w14:paraId="0327E2CF"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Экипаж 2 человека.</w:t>
      </w:r>
    </w:p>
    <w:p w14:paraId="2C34D693"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Стрелковое вооружение</w:t>
      </w:r>
    </w:p>
    <w:p w14:paraId="021881CD"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Передний огонь:</w:t>
      </w:r>
    </w:p>
    <w:p w14:paraId="0138490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 пулеметов Шкасс</w:t>
      </w:r>
    </w:p>
    <w:p w14:paraId="675643D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Патронов по 1000 шт. на пулемет</w:t>
      </w:r>
    </w:p>
    <w:p w14:paraId="7374BB8D"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Задний огонь</w:t>
      </w:r>
    </w:p>
    <w:p w14:paraId="604C0F60"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Пулемет Шкасс 1 шт.</w:t>
      </w:r>
    </w:p>
    <w:p w14:paraId="60F6B92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Патронов 1500 шт.</w:t>
      </w:r>
    </w:p>
    <w:p w14:paraId="742A00DB"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Бомбардировочное вооружение</w:t>
      </w:r>
    </w:p>
    <w:p w14:paraId="0A6FBCC9"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Бомбы 200 кг (3539).</w:t>
      </w:r>
    </w:p>
    <w:p w14:paraId="7BAA1BCB"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p w14:paraId="47F94477" w14:textId="77777777" w:rsidR="00393D9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40C45DAD" w14:textId="77777777" w:rsidR="00393D95" w:rsidRPr="00C33834" w:rsidRDefault="00393D9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84A8486" w14:textId="77777777" w:rsidR="00161F61" w:rsidRPr="00C33834" w:rsidRDefault="00161F61"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12 марта</w:t>
      </w:r>
      <w:r w:rsidRPr="00C33834">
        <w:rPr>
          <w:rFonts w:ascii="Times New Roman" w:hAnsi="Times New Roman"/>
          <w:color w:val="000000" w:themeColor="text1"/>
          <w:sz w:val="16"/>
          <w:szCs w:val="16"/>
        </w:rPr>
        <w:t xml:space="preserve"> в 1933 году в Москве по обвинению в шпионаже и диверсионной деятельности арестованы 6 англичан и 10 советских граждан – служащие английской электротехнической компании «Метро Виккерс». В апреле состоялся судебный процесс, в результате которого четверо англичан были высланы из СССР, а двое получили по 2 и 3 года тюрьмы. В ответ Англия ввела торговое эмбарго (15066).</w:t>
      </w:r>
    </w:p>
    <w:p w14:paraId="6DCAD7E0" w14:textId="77777777" w:rsidR="00161F61" w:rsidRPr="00C33834" w:rsidRDefault="00161F61" w:rsidP="00C33834">
      <w:pPr>
        <w:spacing w:after="0" w:line="240" w:lineRule="auto"/>
        <w:jc w:val="both"/>
        <w:rPr>
          <w:rFonts w:ascii="Times New Roman" w:hAnsi="Times New Roman"/>
          <w:color w:val="000000" w:themeColor="text1"/>
          <w:sz w:val="16"/>
          <w:szCs w:val="16"/>
        </w:rPr>
      </w:pPr>
    </w:p>
    <w:p w14:paraId="19C8AC5B" w14:textId="77777777" w:rsidR="00393D95" w:rsidRPr="00C33834" w:rsidRDefault="00393D9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марта 1933 донецкая шахта имени Сталина призвала развернуть вседонецкое соревнование (4962).</w:t>
      </w:r>
    </w:p>
    <w:p w14:paraId="4288DBD3" w14:textId="77777777" w:rsidR="00393D95" w:rsidRPr="00C33834" w:rsidRDefault="00393D9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661368" w14:textId="77777777" w:rsidR="00393D9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20349E2" w14:textId="77777777" w:rsidR="00393D95" w:rsidRPr="00C33834" w:rsidRDefault="00393D9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336396C"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марта 1933 в Ораниенбурге был открыт первый концлагерь (1796).</w:t>
      </w:r>
    </w:p>
    <w:p w14:paraId="2245A14E"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p w14:paraId="6449E23C"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марта 1933 президент Гинденбург спустил флаг Немецкой республики и приказал, чтобы флаг со свастикой и имперский флаг висели рядом (2100).</w:t>
      </w:r>
    </w:p>
    <w:p w14:paraId="0178FAC8"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p w14:paraId="19397C1D" w14:textId="77777777" w:rsidR="00161F61" w:rsidRPr="00C33834" w:rsidRDefault="00161F61"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12 марта</w:t>
      </w:r>
      <w:r w:rsidRPr="00C33834">
        <w:rPr>
          <w:rFonts w:ascii="Times New Roman" w:hAnsi="Times New Roman"/>
          <w:color w:val="000000" w:themeColor="text1"/>
          <w:sz w:val="16"/>
          <w:szCs w:val="16"/>
        </w:rPr>
        <w:t xml:space="preserve"> в 1933 году президент Германии Гинденбург запретил республиканский флаг и приказал вывешивать бок о бок имперский и нацистский флаги (15066).</w:t>
      </w:r>
    </w:p>
    <w:p w14:paraId="4D5B1384" w14:textId="77777777" w:rsidR="00161F61" w:rsidRPr="00C33834" w:rsidRDefault="00161F61" w:rsidP="00C33834">
      <w:pPr>
        <w:spacing w:after="0" w:line="240" w:lineRule="auto"/>
        <w:jc w:val="both"/>
        <w:rPr>
          <w:rFonts w:ascii="Times New Roman" w:hAnsi="Times New Roman"/>
          <w:color w:val="000000" w:themeColor="text1"/>
          <w:sz w:val="16"/>
          <w:szCs w:val="16"/>
        </w:rPr>
      </w:pPr>
    </w:p>
    <w:p w14:paraId="3A089006" w14:textId="77777777" w:rsidR="00161F61" w:rsidRPr="00C33834" w:rsidRDefault="00161F61"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12 марта</w:t>
      </w:r>
      <w:r w:rsidRPr="00C33834">
        <w:rPr>
          <w:rFonts w:ascii="Times New Roman" w:hAnsi="Times New Roman"/>
          <w:color w:val="000000" w:themeColor="text1"/>
          <w:sz w:val="16"/>
          <w:szCs w:val="16"/>
        </w:rPr>
        <w:t xml:space="preserve"> в 1933 году первая транслируемая по радио "беседа у камелька" президента Рузвельта с народом. В ней он заверяет граждан в полной безопасности их банковских вкладов (15066).</w:t>
      </w:r>
    </w:p>
    <w:p w14:paraId="758A08E6" w14:textId="77777777" w:rsidR="00161F61" w:rsidRPr="00C33834" w:rsidRDefault="00161F61" w:rsidP="00C33834">
      <w:pPr>
        <w:spacing w:after="0" w:line="240" w:lineRule="auto"/>
        <w:jc w:val="both"/>
        <w:rPr>
          <w:rFonts w:ascii="Times New Roman" w:hAnsi="Times New Roman"/>
          <w:color w:val="000000" w:themeColor="text1"/>
          <w:sz w:val="16"/>
          <w:szCs w:val="16"/>
        </w:rPr>
      </w:pPr>
    </w:p>
    <w:p w14:paraId="4B844DC6" w14:textId="77777777" w:rsidR="00393D9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DA88643" w14:textId="77777777" w:rsidR="00393D95" w:rsidRPr="00C33834" w:rsidRDefault="00393D9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533904F"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марта 1933 года начальник 7 сектора Горощенко</w:t>
      </w:r>
    </w:p>
    <w:p w14:paraId="1633E39E"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Состояние опытных сухопутных самолетов ЦКБ завода № 39</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9"/>
        <w:gridCol w:w="1289"/>
        <w:gridCol w:w="1289"/>
        <w:gridCol w:w="1289"/>
        <w:gridCol w:w="1289"/>
        <w:gridCol w:w="1289"/>
        <w:gridCol w:w="1289"/>
        <w:gridCol w:w="895"/>
        <w:gridCol w:w="1683"/>
      </w:tblGrid>
      <w:tr w:rsidR="00F26F01" w:rsidRPr="00C33834" w14:paraId="346C5BFC" w14:textId="77777777">
        <w:tc>
          <w:tcPr>
            <w:tcW w:w="1289" w:type="dxa"/>
          </w:tcPr>
          <w:p w14:paraId="5FAFF1B9"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 объекта</w:t>
            </w:r>
          </w:p>
        </w:tc>
        <w:tc>
          <w:tcPr>
            <w:tcW w:w="1289" w:type="dxa"/>
          </w:tcPr>
          <w:p w14:paraId="7BD9316D"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плану</w:t>
            </w:r>
          </w:p>
        </w:tc>
        <w:tc>
          <w:tcPr>
            <w:tcW w:w="1289" w:type="dxa"/>
          </w:tcPr>
          <w:p w14:paraId="564A200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предложению организации</w:t>
            </w:r>
          </w:p>
        </w:tc>
        <w:tc>
          <w:tcPr>
            <w:tcW w:w="1289" w:type="dxa"/>
          </w:tcPr>
          <w:p w14:paraId="74BB8914"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дачи техтребований</w:t>
            </w:r>
          </w:p>
        </w:tc>
        <w:tc>
          <w:tcPr>
            <w:tcW w:w="1289" w:type="dxa"/>
          </w:tcPr>
          <w:p w14:paraId="5986AA9E"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Прислана боевая схема</w:t>
            </w:r>
          </w:p>
        </w:tc>
        <w:tc>
          <w:tcPr>
            <w:tcW w:w="1289" w:type="dxa"/>
          </w:tcPr>
          <w:p w14:paraId="1E4C4E09"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Утверждение макета</w:t>
            </w:r>
          </w:p>
        </w:tc>
        <w:tc>
          <w:tcPr>
            <w:tcW w:w="1289" w:type="dxa"/>
          </w:tcPr>
          <w:p w14:paraId="705A728D"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Фактическое получение мотора</w:t>
            </w:r>
          </w:p>
        </w:tc>
        <w:tc>
          <w:tcPr>
            <w:tcW w:w="895" w:type="dxa"/>
          </w:tcPr>
          <w:p w14:paraId="58E98FC5"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получения мотора – выход по плану</w:t>
            </w:r>
          </w:p>
        </w:tc>
        <w:tc>
          <w:tcPr>
            <w:tcW w:w="1683" w:type="dxa"/>
          </w:tcPr>
          <w:p w14:paraId="133D5ED9"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Состояние работы</w:t>
            </w:r>
          </w:p>
        </w:tc>
      </w:tr>
      <w:tr w:rsidR="00F26F01" w:rsidRPr="00C33834" w14:paraId="734B2F0C" w14:textId="77777777">
        <w:tc>
          <w:tcPr>
            <w:tcW w:w="1289" w:type="dxa"/>
          </w:tcPr>
          <w:p w14:paraId="3C11B261"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ЛР-М34НР </w:t>
            </w:r>
          </w:p>
        </w:tc>
        <w:tc>
          <w:tcPr>
            <w:tcW w:w="1289" w:type="dxa"/>
          </w:tcPr>
          <w:p w14:paraId="0DF5194B"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марта 1933</w:t>
            </w:r>
          </w:p>
        </w:tc>
        <w:tc>
          <w:tcPr>
            <w:tcW w:w="1289" w:type="dxa"/>
          </w:tcPr>
          <w:p w14:paraId="0ED814DC"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1933</w:t>
            </w:r>
          </w:p>
        </w:tc>
        <w:tc>
          <w:tcPr>
            <w:tcW w:w="1289" w:type="dxa"/>
          </w:tcPr>
          <w:p w14:paraId="12A501C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октября 1932</w:t>
            </w:r>
          </w:p>
        </w:tc>
        <w:tc>
          <w:tcPr>
            <w:tcW w:w="1289" w:type="dxa"/>
          </w:tcPr>
          <w:p w14:paraId="5F412E0A"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6290292C"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декабря 1932</w:t>
            </w:r>
          </w:p>
        </w:tc>
        <w:tc>
          <w:tcPr>
            <w:tcW w:w="1289" w:type="dxa"/>
          </w:tcPr>
          <w:p w14:paraId="4F885A45"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95" w:type="dxa"/>
          </w:tcPr>
          <w:p w14:paraId="3CFBE860"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1934</w:t>
            </w:r>
          </w:p>
        </w:tc>
        <w:tc>
          <w:tcPr>
            <w:tcW w:w="1683" w:type="dxa"/>
          </w:tcPr>
          <w:p w14:paraId="270E8684"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Чертежи готовы на 100%. Производится подготовка производства. Изготовляются детали для статиспытаний.</w:t>
            </w:r>
          </w:p>
        </w:tc>
      </w:tr>
      <w:tr w:rsidR="00F26F01" w:rsidRPr="00C33834" w14:paraId="4E82AC36" w14:textId="77777777">
        <w:tc>
          <w:tcPr>
            <w:tcW w:w="1289" w:type="dxa"/>
          </w:tcPr>
          <w:p w14:paraId="2658C8EF"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ДИ6-М32 (М38)</w:t>
            </w:r>
          </w:p>
        </w:tc>
        <w:tc>
          <w:tcPr>
            <w:tcW w:w="1289" w:type="dxa"/>
          </w:tcPr>
          <w:p w14:paraId="3721501E"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w:t>
            </w:r>
          </w:p>
        </w:tc>
        <w:tc>
          <w:tcPr>
            <w:tcW w:w="1289" w:type="dxa"/>
          </w:tcPr>
          <w:p w14:paraId="140B59D4"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Декабрь 1933 – 1 января 1934</w:t>
            </w:r>
          </w:p>
        </w:tc>
        <w:tc>
          <w:tcPr>
            <w:tcW w:w="1289" w:type="dxa"/>
          </w:tcPr>
          <w:p w14:paraId="1281E61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января 1933</w:t>
            </w:r>
          </w:p>
        </w:tc>
        <w:tc>
          <w:tcPr>
            <w:tcW w:w="1289" w:type="dxa"/>
          </w:tcPr>
          <w:p w14:paraId="1C64020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43AE96F1"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1BE1719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95" w:type="dxa"/>
          </w:tcPr>
          <w:p w14:paraId="32CEB599"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1933 М32Н</w:t>
            </w:r>
          </w:p>
        </w:tc>
        <w:tc>
          <w:tcPr>
            <w:tcW w:w="1683" w:type="dxa"/>
          </w:tcPr>
          <w:p w14:paraId="3F1973F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Происходит разработка схем под М32 и М58.</w:t>
            </w:r>
          </w:p>
        </w:tc>
      </w:tr>
      <w:tr w:rsidR="00F26F01" w:rsidRPr="00C33834" w14:paraId="51E3535A" w14:textId="77777777">
        <w:tc>
          <w:tcPr>
            <w:tcW w:w="1289" w:type="dxa"/>
          </w:tcPr>
          <w:p w14:paraId="06157986"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И-15 М-58 (М38)</w:t>
            </w:r>
          </w:p>
        </w:tc>
        <w:tc>
          <w:tcPr>
            <w:tcW w:w="1289" w:type="dxa"/>
          </w:tcPr>
          <w:p w14:paraId="00E3BE5C"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3C0A772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w:t>
            </w:r>
          </w:p>
        </w:tc>
        <w:tc>
          <w:tcPr>
            <w:tcW w:w="1289" w:type="dxa"/>
          </w:tcPr>
          <w:p w14:paraId="7889378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октября 1932</w:t>
            </w:r>
          </w:p>
          <w:p w14:paraId="43243C1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декабря 1932</w:t>
            </w:r>
          </w:p>
        </w:tc>
        <w:tc>
          <w:tcPr>
            <w:tcW w:w="1289" w:type="dxa"/>
          </w:tcPr>
          <w:p w14:paraId="6022168B"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декабря 1932</w:t>
            </w:r>
          </w:p>
        </w:tc>
        <w:tc>
          <w:tcPr>
            <w:tcW w:w="1289" w:type="dxa"/>
          </w:tcPr>
          <w:p w14:paraId="16C7CAAF"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09B75C8A"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января 1933 Меркур</w:t>
            </w:r>
          </w:p>
        </w:tc>
        <w:tc>
          <w:tcPr>
            <w:tcW w:w="895" w:type="dxa"/>
          </w:tcPr>
          <w:p w14:paraId="5A65E01D"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1933</w:t>
            </w:r>
          </w:p>
        </w:tc>
        <w:tc>
          <w:tcPr>
            <w:tcW w:w="1683" w:type="dxa"/>
          </w:tcPr>
          <w:p w14:paraId="1153AB6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Идет проработка эскизного проекта и продувки.</w:t>
            </w:r>
          </w:p>
        </w:tc>
      </w:tr>
      <w:tr w:rsidR="00F26F01" w:rsidRPr="00C33834" w14:paraId="13FF2B52" w14:textId="77777777">
        <w:tc>
          <w:tcPr>
            <w:tcW w:w="1289" w:type="dxa"/>
          </w:tcPr>
          <w:p w14:paraId="190181BC"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РК-1-М52 (Кричевского)</w:t>
            </w:r>
          </w:p>
        </w:tc>
        <w:tc>
          <w:tcPr>
            <w:tcW w:w="1289" w:type="dxa"/>
          </w:tcPr>
          <w:p w14:paraId="69DABB3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1932</w:t>
            </w:r>
          </w:p>
        </w:tc>
        <w:tc>
          <w:tcPr>
            <w:tcW w:w="1289" w:type="dxa"/>
          </w:tcPr>
          <w:p w14:paraId="074C6C5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1933</w:t>
            </w:r>
          </w:p>
        </w:tc>
        <w:tc>
          <w:tcPr>
            <w:tcW w:w="1289" w:type="dxa"/>
          </w:tcPr>
          <w:p w14:paraId="19E442A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64DD0735"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0E6A6B9A"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23AEA34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95" w:type="dxa"/>
          </w:tcPr>
          <w:p w14:paraId="7DBA9456"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83" w:type="dxa"/>
          </w:tcPr>
          <w:p w14:paraId="79D9944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Фюзеляж, оперение, шасси готовы. Крыло моноспар передано в ОПАК для статиспытаний. Изготовляется крыло с меньшим размахом двухлонжерон.</w:t>
            </w:r>
          </w:p>
          <w:p w14:paraId="2B19B345"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Задержка переходом на завод № 39.</w:t>
            </w:r>
          </w:p>
        </w:tc>
      </w:tr>
      <w:tr w:rsidR="00F26F01" w:rsidRPr="00C33834" w14:paraId="2FB1B6B3" w14:textId="77777777">
        <w:tc>
          <w:tcPr>
            <w:tcW w:w="1289" w:type="dxa"/>
          </w:tcPr>
          <w:p w14:paraId="3F2DA6AE"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ТШ-3-М34</w:t>
            </w:r>
          </w:p>
        </w:tc>
        <w:tc>
          <w:tcPr>
            <w:tcW w:w="1289" w:type="dxa"/>
          </w:tcPr>
          <w:p w14:paraId="55603C66"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апреля 1933</w:t>
            </w:r>
          </w:p>
        </w:tc>
        <w:tc>
          <w:tcPr>
            <w:tcW w:w="1289" w:type="dxa"/>
          </w:tcPr>
          <w:p w14:paraId="67F9F111"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1933</w:t>
            </w:r>
          </w:p>
        </w:tc>
        <w:tc>
          <w:tcPr>
            <w:tcW w:w="1289" w:type="dxa"/>
          </w:tcPr>
          <w:p w14:paraId="7AA1F51C"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января 1933</w:t>
            </w:r>
          </w:p>
        </w:tc>
        <w:tc>
          <w:tcPr>
            <w:tcW w:w="1289" w:type="dxa"/>
          </w:tcPr>
          <w:p w14:paraId="32452E81"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2315E41B"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19DCA01A"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95" w:type="dxa"/>
          </w:tcPr>
          <w:p w14:paraId="3FF6B314"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83" w:type="dxa"/>
          </w:tcPr>
          <w:p w14:paraId="7640D17E"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Проделаны изыскания по 6 схемам. Окончательно подготовляется схема моноплана.</w:t>
            </w:r>
          </w:p>
        </w:tc>
      </w:tr>
      <w:tr w:rsidR="00F26F01" w:rsidRPr="00C33834" w14:paraId="5557A3DC" w14:textId="77777777">
        <w:tc>
          <w:tcPr>
            <w:tcW w:w="1289" w:type="dxa"/>
          </w:tcPr>
          <w:p w14:paraId="4FBAC878"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Сверхвысотн. М34НР</w:t>
            </w:r>
          </w:p>
        </w:tc>
        <w:tc>
          <w:tcPr>
            <w:tcW w:w="1289" w:type="dxa"/>
          </w:tcPr>
          <w:p w14:paraId="4BA97C75"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апреля 1933</w:t>
            </w:r>
          </w:p>
        </w:tc>
        <w:tc>
          <w:tcPr>
            <w:tcW w:w="1289" w:type="dxa"/>
          </w:tcPr>
          <w:p w14:paraId="40187EAD"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1933</w:t>
            </w:r>
          </w:p>
        </w:tc>
        <w:tc>
          <w:tcPr>
            <w:tcW w:w="1289" w:type="dxa"/>
          </w:tcPr>
          <w:p w14:paraId="06C09B74"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2618542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0E606F86"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24A332FC"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95" w:type="dxa"/>
          </w:tcPr>
          <w:p w14:paraId="23E7B614"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1934</w:t>
            </w:r>
          </w:p>
        </w:tc>
        <w:tc>
          <w:tcPr>
            <w:tcW w:w="1683" w:type="dxa"/>
          </w:tcPr>
          <w:p w14:paraId="0B40F084"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Чертежи готовы на 95%. Изготовлены: лонжероны крыла, нервюры. Чертежи с ЗОКа изъяты. Работы с переездом </w:t>
            </w:r>
            <w:r w:rsidRPr="00C33834">
              <w:rPr>
                <w:rFonts w:ascii="Times New Roman" w:hAnsi="Times New Roman"/>
                <w:color w:val="000000" w:themeColor="text1"/>
                <w:sz w:val="16"/>
                <w:szCs w:val="16"/>
              </w:rPr>
              <w:lastRenderedPageBreak/>
              <w:t>свернуты – только начали разворачиваться на новом месте.Вопрос с готовностью мотора не ясен.</w:t>
            </w:r>
          </w:p>
        </w:tc>
      </w:tr>
      <w:tr w:rsidR="00F26F01" w:rsidRPr="00C33834" w14:paraId="095FE756" w14:textId="77777777">
        <w:tc>
          <w:tcPr>
            <w:tcW w:w="1289" w:type="dxa"/>
          </w:tcPr>
          <w:p w14:paraId="1E3619B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Парабола 2М11</w:t>
            </w:r>
          </w:p>
        </w:tc>
        <w:tc>
          <w:tcPr>
            <w:tcW w:w="1289" w:type="dxa"/>
          </w:tcPr>
          <w:p w14:paraId="1C849549"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w:t>
            </w:r>
          </w:p>
        </w:tc>
        <w:tc>
          <w:tcPr>
            <w:tcW w:w="1289" w:type="dxa"/>
          </w:tcPr>
          <w:p w14:paraId="255FE045"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89" w:type="dxa"/>
          </w:tcPr>
          <w:p w14:paraId="6A2B8D3B"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23D60C4B"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65A25663"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1FD8F633"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95" w:type="dxa"/>
          </w:tcPr>
          <w:p w14:paraId="6169BB06"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83" w:type="dxa"/>
          </w:tcPr>
          <w:p w14:paraId="3038AD5F"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ГУАП предлагает вместо этого самолета построить летающее крыло с двумя моторами по 400-500 НР со сроком выхода в начале 1934 года. Работа фактически не начата.</w:t>
            </w:r>
          </w:p>
        </w:tc>
      </w:tr>
      <w:tr w:rsidR="00F26F01" w:rsidRPr="00C33834" w14:paraId="5628B118" w14:textId="77777777">
        <w:tc>
          <w:tcPr>
            <w:tcW w:w="1289" w:type="dxa"/>
          </w:tcPr>
          <w:p w14:paraId="3F3A8F35"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 М34 эталон</w:t>
            </w:r>
          </w:p>
        </w:tc>
        <w:tc>
          <w:tcPr>
            <w:tcW w:w="1289" w:type="dxa"/>
          </w:tcPr>
          <w:p w14:paraId="4494AA3D"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октября 1932</w:t>
            </w:r>
          </w:p>
        </w:tc>
        <w:tc>
          <w:tcPr>
            <w:tcW w:w="1289" w:type="dxa"/>
          </w:tcPr>
          <w:p w14:paraId="1653B2AA"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23F9E8B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4560AC56"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28C0378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711E4F04"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95" w:type="dxa"/>
          </w:tcPr>
          <w:p w14:paraId="32CA2FA9"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83" w:type="dxa"/>
          </w:tcPr>
          <w:p w14:paraId="11932CC1"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совершенно не производится. В плане ЦКБ завода № 39 не стоит.</w:t>
            </w:r>
          </w:p>
        </w:tc>
      </w:tr>
      <w:tr w:rsidR="00F26F01" w:rsidRPr="00C33834" w14:paraId="04343989" w14:textId="77777777">
        <w:tc>
          <w:tcPr>
            <w:tcW w:w="1289" w:type="dxa"/>
          </w:tcPr>
          <w:p w14:paraId="721EBC68"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Р5-М17 разрезное крыло 2-й вариант</w:t>
            </w:r>
          </w:p>
        </w:tc>
        <w:tc>
          <w:tcPr>
            <w:tcW w:w="1289" w:type="dxa"/>
          </w:tcPr>
          <w:p w14:paraId="202EE80E"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428927BE"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марта 1933</w:t>
            </w:r>
          </w:p>
        </w:tc>
        <w:tc>
          <w:tcPr>
            <w:tcW w:w="1289" w:type="dxa"/>
          </w:tcPr>
          <w:p w14:paraId="22C688E1"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357DE5F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39EB565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145B66BA"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Есть</w:t>
            </w:r>
          </w:p>
        </w:tc>
        <w:tc>
          <w:tcPr>
            <w:tcW w:w="895" w:type="dxa"/>
          </w:tcPr>
          <w:p w14:paraId="1180A65E"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83" w:type="dxa"/>
          </w:tcPr>
          <w:p w14:paraId="0F7B31DA"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заканчивает испытание в ОЭЛИД.</w:t>
            </w:r>
          </w:p>
        </w:tc>
      </w:tr>
    </w:tbl>
    <w:p w14:paraId="628FFF3B"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Состояние постройки опытных самолетов, строящихся вне ЦАГИ и ЦКБ завода № 39</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9"/>
        <w:gridCol w:w="1289"/>
        <w:gridCol w:w="1289"/>
        <w:gridCol w:w="1289"/>
        <w:gridCol w:w="1289"/>
        <w:gridCol w:w="1289"/>
        <w:gridCol w:w="2574"/>
        <w:gridCol w:w="1289"/>
      </w:tblGrid>
      <w:tr w:rsidR="00F26F01" w:rsidRPr="00C33834" w14:paraId="51B8CA85" w14:textId="77777777">
        <w:tc>
          <w:tcPr>
            <w:tcW w:w="1289" w:type="dxa"/>
          </w:tcPr>
          <w:p w14:paraId="493F58B1"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 объекта</w:t>
            </w:r>
          </w:p>
        </w:tc>
        <w:tc>
          <w:tcPr>
            <w:tcW w:w="1289" w:type="dxa"/>
          </w:tcPr>
          <w:p w14:paraId="1E3A6B79"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окнчания по плану, утвержденному СТО</w:t>
            </w:r>
          </w:p>
        </w:tc>
        <w:tc>
          <w:tcPr>
            <w:tcW w:w="1289" w:type="dxa"/>
          </w:tcPr>
          <w:p w14:paraId="4239CD6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предполагаемого выхода</w:t>
            </w:r>
          </w:p>
        </w:tc>
        <w:tc>
          <w:tcPr>
            <w:tcW w:w="1289" w:type="dxa"/>
          </w:tcPr>
          <w:p w14:paraId="3E890CEE"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дачи техтребований</w:t>
            </w:r>
          </w:p>
        </w:tc>
        <w:tc>
          <w:tcPr>
            <w:tcW w:w="1289" w:type="dxa"/>
          </w:tcPr>
          <w:p w14:paraId="2AC1E89E"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утверждения макета</w:t>
            </w:r>
          </w:p>
        </w:tc>
        <w:tc>
          <w:tcPr>
            <w:tcW w:w="1289" w:type="dxa"/>
          </w:tcPr>
          <w:p w14:paraId="6C05CD49"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утверждения схемы</w:t>
            </w:r>
          </w:p>
        </w:tc>
        <w:tc>
          <w:tcPr>
            <w:tcW w:w="2574" w:type="dxa"/>
          </w:tcPr>
          <w:p w14:paraId="35A16C3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Состояние</w:t>
            </w:r>
          </w:p>
        </w:tc>
        <w:tc>
          <w:tcPr>
            <w:tcW w:w="1289" w:type="dxa"/>
          </w:tcPr>
          <w:p w14:paraId="0CC08B9D"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получения мотора</w:t>
            </w:r>
          </w:p>
        </w:tc>
      </w:tr>
      <w:tr w:rsidR="00F26F01" w:rsidRPr="00C33834" w14:paraId="553E018F" w14:textId="77777777">
        <w:tc>
          <w:tcPr>
            <w:tcW w:w="1289" w:type="dxa"/>
          </w:tcPr>
          <w:p w14:paraId="393E2AE8"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Д1-10М34</w:t>
            </w:r>
          </w:p>
        </w:tc>
        <w:tc>
          <w:tcPr>
            <w:tcW w:w="1289" w:type="dxa"/>
          </w:tcPr>
          <w:p w14:paraId="2100D0E9"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w:t>
            </w:r>
          </w:p>
        </w:tc>
        <w:tc>
          <w:tcPr>
            <w:tcW w:w="1289" w:type="dxa"/>
          </w:tcPr>
          <w:p w14:paraId="375B5130"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отсутствия производствен. базы установить трудно.</w:t>
            </w:r>
          </w:p>
        </w:tc>
        <w:tc>
          <w:tcPr>
            <w:tcW w:w="1289" w:type="dxa"/>
          </w:tcPr>
          <w:p w14:paraId="45467069"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Июль 1932</w:t>
            </w:r>
          </w:p>
        </w:tc>
        <w:tc>
          <w:tcPr>
            <w:tcW w:w="1289" w:type="dxa"/>
          </w:tcPr>
          <w:p w14:paraId="3A533B0B"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Предпол. 1 апреля 1933</w:t>
            </w:r>
          </w:p>
        </w:tc>
        <w:tc>
          <w:tcPr>
            <w:tcW w:w="1289" w:type="dxa"/>
          </w:tcPr>
          <w:p w14:paraId="260CF91A"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сентября 1932</w:t>
            </w:r>
          </w:p>
        </w:tc>
        <w:tc>
          <w:tcPr>
            <w:tcW w:w="2574" w:type="dxa"/>
          </w:tcPr>
          <w:p w14:paraId="5ABD27B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Ряд элементов конструкции готов для сдачи в производство. Заканчивается разработка чертежей. (Вопрос постройки задерживается испытанием редукторов (предполагается 13-15 марта) и отсутствием производственной базы.</w:t>
            </w:r>
          </w:p>
        </w:tc>
        <w:tc>
          <w:tcPr>
            <w:tcW w:w="1289" w:type="dxa"/>
          </w:tcPr>
          <w:p w14:paraId="25A8BBEC"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9EB970E" w14:textId="77777777">
        <w:tc>
          <w:tcPr>
            <w:tcW w:w="1289" w:type="dxa"/>
          </w:tcPr>
          <w:p w14:paraId="46CEA6F6"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Х1-2М34</w:t>
            </w:r>
          </w:p>
        </w:tc>
        <w:tc>
          <w:tcPr>
            <w:tcW w:w="1289" w:type="dxa"/>
          </w:tcPr>
          <w:p w14:paraId="00E8074F"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1933</w:t>
            </w:r>
          </w:p>
        </w:tc>
        <w:tc>
          <w:tcPr>
            <w:tcW w:w="1289" w:type="dxa"/>
          </w:tcPr>
          <w:p w14:paraId="606D104E"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Заявлен ГУГВФ 1 августа 1934</w:t>
            </w:r>
          </w:p>
        </w:tc>
        <w:tc>
          <w:tcPr>
            <w:tcW w:w="1289" w:type="dxa"/>
          </w:tcPr>
          <w:p w14:paraId="5317596D"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января 1933</w:t>
            </w:r>
          </w:p>
        </w:tc>
        <w:tc>
          <w:tcPr>
            <w:tcW w:w="1289" w:type="dxa"/>
          </w:tcPr>
          <w:p w14:paraId="41CE8EC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Предпол. предварит. 1 августа 1933</w:t>
            </w:r>
          </w:p>
        </w:tc>
        <w:tc>
          <w:tcPr>
            <w:tcW w:w="1289" w:type="dxa"/>
          </w:tcPr>
          <w:p w14:paraId="2C483C84"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Предп. 25 апреля 1933</w:t>
            </w:r>
          </w:p>
        </w:tc>
        <w:tc>
          <w:tcPr>
            <w:tcW w:w="2574" w:type="dxa"/>
          </w:tcPr>
          <w:p w14:paraId="6A464DB8"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Делается эскизный проект.</w:t>
            </w:r>
          </w:p>
        </w:tc>
        <w:tc>
          <w:tcPr>
            <w:tcW w:w="1289" w:type="dxa"/>
          </w:tcPr>
          <w:p w14:paraId="26208DC5"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0BDDF0E" w14:textId="77777777">
        <w:tc>
          <w:tcPr>
            <w:tcW w:w="1289" w:type="dxa"/>
          </w:tcPr>
          <w:p w14:paraId="6E0EE1C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ВС2-2М52</w:t>
            </w:r>
          </w:p>
        </w:tc>
        <w:tc>
          <w:tcPr>
            <w:tcW w:w="1289" w:type="dxa"/>
          </w:tcPr>
          <w:p w14:paraId="4BF88C7F"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1933</w:t>
            </w:r>
          </w:p>
        </w:tc>
        <w:tc>
          <w:tcPr>
            <w:tcW w:w="1289" w:type="dxa"/>
          </w:tcPr>
          <w:p w14:paraId="1932D20F"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соответств. темпе работы КБ 1 сентября 1933</w:t>
            </w:r>
          </w:p>
        </w:tc>
        <w:tc>
          <w:tcPr>
            <w:tcW w:w="1289" w:type="dxa"/>
          </w:tcPr>
          <w:p w14:paraId="4DB14ED5"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декабря 1932</w:t>
            </w:r>
          </w:p>
        </w:tc>
        <w:tc>
          <w:tcPr>
            <w:tcW w:w="1289" w:type="dxa"/>
          </w:tcPr>
          <w:p w14:paraId="262A22DD"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89" w:type="dxa"/>
          </w:tcPr>
          <w:p w14:paraId="398837D3"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574" w:type="dxa"/>
          </w:tcPr>
          <w:p w14:paraId="39D274B1"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Предварительные изыскания.</w:t>
            </w:r>
          </w:p>
        </w:tc>
        <w:tc>
          <w:tcPr>
            <w:tcW w:w="1289" w:type="dxa"/>
          </w:tcPr>
          <w:p w14:paraId="59D37860"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w:t>
            </w:r>
          </w:p>
        </w:tc>
      </w:tr>
      <w:tr w:rsidR="00F26F01" w:rsidRPr="00C33834" w14:paraId="2855EB02" w14:textId="77777777">
        <w:tc>
          <w:tcPr>
            <w:tcW w:w="1289" w:type="dxa"/>
          </w:tcPr>
          <w:p w14:paraId="2F22F04F"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П3-М52</w:t>
            </w:r>
          </w:p>
        </w:tc>
        <w:tc>
          <w:tcPr>
            <w:tcW w:w="1289" w:type="dxa"/>
          </w:tcPr>
          <w:p w14:paraId="6A69C07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w:t>
            </w:r>
          </w:p>
        </w:tc>
        <w:tc>
          <w:tcPr>
            <w:tcW w:w="1289" w:type="dxa"/>
          </w:tcPr>
          <w:p w14:paraId="7609972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отпуске денег м.б. дан 1 ноября 1933</w:t>
            </w:r>
          </w:p>
        </w:tc>
        <w:tc>
          <w:tcPr>
            <w:tcW w:w="1289" w:type="dxa"/>
          </w:tcPr>
          <w:p w14:paraId="68F8B205"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декабря 1932</w:t>
            </w:r>
          </w:p>
        </w:tc>
        <w:tc>
          <w:tcPr>
            <w:tcW w:w="1289" w:type="dxa"/>
          </w:tcPr>
          <w:p w14:paraId="27D2579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89" w:type="dxa"/>
          </w:tcPr>
          <w:p w14:paraId="4B76F34D"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574" w:type="dxa"/>
          </w:tcPr>
          <w:p w14:paraId="2D60BAB3"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делается, нет денег.</w:t>
            </w:r>
          </w:p>
        </w:tc>
        <w:tc>
          <w:tcPr>
            <w:tcW w:w="1289" w:type="dxa"/>
          </w:tcPr>
          <w:p w14:paraId="72E723D1"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w:t>
            </w:r>
          </w:p>
        </w:tc>
      </w:tr>
      <w:tr w:rsidR="00F26F01" w:rsidRPr="00C33834" w14:paraId="278F6CC0" w14:textId="77777777">
        <w:tc>
          <w:tcPr>
            <w:tcW w:w="1289" w:type="dxa"/>
          </w:tcPr>
          <w:p w14:paraId="03257CBA"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У3-М48</w:t>
            </w:r>
          </w:p>
        </w:tc>
        <w:tc>
          <w:tcPr>
            <w:tcW w:w="1289" w:type="dxa"/>
          </w:tcPr>
          <w:p w14:paraId="502EAC9B"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марта 1933</w:t>
            </w:r>
          </w:p>
        </w:tc>
        <w:tc>
          <w:tcPr>
            <w:tcW w:w="1289" w:type="dxa"/>
          </w:tcPr>
          <w:p w14:paraId="29A0A9A1"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w:t>
            </w:r>
          </w:p>
        </w:tc>
        <w:tc>
          <w:tcPr>
            <w:tcW w:w="1289" w:type="dxa"/>
          </w:tcPr>
          <w:p w14:paraId="13983E83"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августа 1932 (предварит.)</w:t>
            </w:r>
          </w:p>
        </w:tc>
        <w:tc>
          <w:tcPr>
            <w:tcW w:w="1289" w:type="dxa"/>
          </w:tcPr>
          <w:p w14:paraId="52A2E3D5"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89" w:type="dxa"/>
          </w:tcPr>
          <w:p w14:paraId="4E0B3DB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574" w:type="dxa"/>
          </w:tcPr>
          <w:p w14:paraId="204B7F6E"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Начинают делать снова на заводе № 23.</w:t>
            </w:r>
          </w:p>
        </w:tc>
        <w:tc>
          <w:tcPr>
            <w:tcW w:w="1289" w:type="dxa"/>
          </w:tcPr>
          <w:p w14:paraId="0B6472A9"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1933</w:t>
            </w:r>
          </w:p>
        </w:tc>
      </w:tr>
    </w:tbl>
    <w:p w14:paraId="444BD3CC"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9"/>
        <w:gridCol w:w="1289"/>
        <w:gridCol w:w="1289"/>
        <w:gridCol w:w="1289"/>
        <w:gridCol w:w="1289"/>
        <w:gridCol w:w="1289"/>
        <w:gridCol w:w="1289"/>
        <w:gridCol w:w="1289"/>
        <w:gridCol w:w="1289"/>
      </w:tblGrid>
      <w:tr w:rsidR="00F26F01" w:rsidRPr="00C33834" w14:paraId="4A48D855" w14:textId="77777777">
        <w:tc>
          <w:tcPr>
            <w:tcW w:w="1289" w:type="dxa"/>
          </w:tcPr>
          <w:p w14:paraId="2C090EFB"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 объекта</w:t>
            </w:r>
          </w:p>
        </w:tc>
        <w:tc>
          <w:tcPr>
            <w:tcW w:w="1289" w:type="dxa"/>
          </w:tcPr>
          <w:p w14:paraId="72906CCD"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плану</w:t>
            </w:r>
          </w:p>
        </w:tc>
        <w:tc>
          <w:tcPr>
            <w:tcW w:w="1289" w:type="dxa"/>
          </w:tcPr>
          <w:p w14:paraId="29AAE87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 по предложению организации</w:t>
            </w:r>
          </w:p>
        </w:tc>
        <w:tc>
          <w:tcPr>
            <w:tcW w:w="1289" w:type="dxa"/>
          </w:tcPr>
          <w:p w14:paraId="1CA4D79A"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дачи техтребований</w:t>
            </w:r>
          </w:p>
        </w:tc>
        <w:tc>
          <w:tcPr>
            <w:tcW w:w="1289" w:type="dxa"/>
          </w:tcPr>
          <w:p w14:paraId="7AEFF586"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Прислана боевая схема</w:t>
            </w:r>
          </w:p>
        </w:tc>
        <w:tc>
          <w:tcPr>
            <w:tcW w:w="1289" w:type="dxa"/>
          </w:tcPr>
          <w:p w14:paraId="62AB19ED"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Утверждение макета</w:t>
            </w:r>
          </w:p>
        </w:tc>
        <w:tc>
          <w:tcPr>
            <w:tcW w:w="1289" w:type="dxa"/>
          </w:tcPr>
          <w:p w14:paraId="590E89DD"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Фактическое получение мотора</w:t>
            </w:r>
          </w:p>
        </w:tc>
        <w:tc>
          <w:tcPr>
            <w:tcW w:w="1289" w:type="dxa"/>
          </w:tcPr>
          <w:p w14:paraId="1DCBCB4A"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получения мотора – выход по плану</w:t>
            </w:r>
          </w:p>
        </w:tc>
        <w:tc>
          <w:tcPr>
            <w:tcW w:w="1289" w:type="dxa"/>
          </w:tcPr>
          <w:p w14:paraId="2E428DDB"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Состояние работы</w:t>
            </w:r>
          </w:p>
        </w:tc>
      </w:tr>
      <w:tr w:rsidR="00F26F01" w:rsidRPr="00C33834" w14:paraId="3E54F59C" w14:textId="77777777">
        <w:tc>
          <w:tcPr>
            <w:tcW w:w="1289" w:type="dxa"/>
          </w:tcPr>
          <w:p w14:paraId="67A0238C"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МИ3-2М34 опытный</w:t>
            </w:r>
          </w:p>
        </w:tc>
        <w:tc>
          <w:tcPr>
            <w:tcW w:w="1289" w:type="dxa"/>
          </w:tcPr>
          <w:p w14:paraId="05809691"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1933 аэродром</w:t>
            </w:r>
          </w:p>
        </w:tc>
        <w:tc>
          <w:tcPr>
            <w:tcW w:w="1289" w:type="dxa"/>
          </w:tcPr>
          <w:p w14:paraId="311CF0F3"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марта 1933 аэродром</w:t>
            </w:r>
          </w:p>
        </w:tc>
        <w:tc>
          <w:tcPr>
            <w:tcW w:w="1289" w:type="dxa"/>
          </w:tcPr>
          <w:p w14:paraId="3E545D90"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марта 1931</w:t>
            </w:r>
          </w:p>
        </w:tc>
        <w:tc>
          <w:tcPr>
            <w:tcW w:w="1289" w:type="dxa"/>
          </w:tcPr>
          <w:p w14:paraId="45963B7F"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июля 1933</w:t>
            </w:r>
          </w:p>
        </w:tc>
        <w:tc>
          <w:tcPr>
            <w:tcW w:w="1289" w:type="dxa"/>
          </w:tcPr>
          <w:p w14:paraId="2F755D5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июля 1931</w:t>
            </w:r>
          </w:p>
          <w:p w14:paraId="448AA32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1931</w:t>
            </w:r>
          </w:p>
          <w:p w14:paraId="15A1F320"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апрель 1932</w:t>
            </w:r>
          </w:p>
        </w:tc>
        <w:tc>
          <w:tcPr>
            <w:tcW w:w="1289" w:type="dxa"/>
          </w:tcPr>
          <w:p w14:paraId="00F8D1F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Получены</w:t>
            </w:r>
          </w:p>
        </w:tc>
        <w:tc>
          <w:tcPr>
            <w:tcW w:w="1289" w:type="dxa"/>
          </w:tcPr>
          <w:p w14:paraId="649AD0AF"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2244A404"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Устранение дефектов монтажного порядка для передачи на ОЭЛИД.</w:t>
            </w:r>
          </w:p>
        </w:tc>
      </w:tr>
      <w:tr w:rsidR="00F26F01" w:rsidRPr="00C33834" w14:paraId="7C3B3491" w14:textId="77777777">
        <w:tc>
          <w:tcPr>
            <w:tcW w:w="1289" w:type="dxa"/>
          </w:tcPr>
          <w:p w14:paraId="5C5F3870"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МИ3-2М34 дублер</w:t>
            </w:r>
          </w:p>
        </w:tc>
        <w:tc>
          <w:tcPr>
            <w:tcW w:w="1289" w:type="dxa"/>
          </w:tcPr>
          <w:p w14:paraId="4C050790"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78000836"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1933 аэродром</w:t>
            </w:r>
          </w:p>
        </w:tc>
        <w:tc>
          <w:tcPr>
            <w:tcW w:w="1289" w:type="dxa"/>
          </w:tcPr>
          <w:p w14:paraId="3447E4D9"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марта 1931</w:t>
            </w:r>
          </w:p>
        </w:tc>
        <w:tc>
          <w:tcPr>
            <w:tcW w:w="1289" w:type="dxa"/>
          </w:tcPr>
          <w:p w14:paraId="45231B98"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июля 1933</w:t>
            </w:r>
          </w:p>
        </w:tc>
        <w:tc>
          <w:tcPr>
            <w:tcW w:w="1289" w:type="dxa"/>
          </w:tcPr>
          <w:p w14:paraId="6EE669FC"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июля 1931</w:t>
            </w:r>
          </w:p>
          <w:p w14:paraId="187CEB99"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1931</w:t>
            </w:r>
          </w:p>
          <w:p w14:paraId="0B671A96"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апрель 1932</w:t>
            </w:r>
          </w:p>
        </w:tc>
        <w:tc>
          <w:tcPr>
            <w:tcW w:w="1289" w:type="dxa"/>
          </w:tcPr>
          <w:p w14:paraId="0D73A358"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284E18F3"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89" w:type="dxa"/>
          </w:tcPr>
          <w:p w14:paraId="571FDBAC"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Изготовлены: каркас фюзеляжа, каркас крыльев. Работы задерживаются до получения результатов опытной машины.</w:t>
            </w:r>
          </w:p>
        </w:tc>
      </w:tr>
      <w:tr w:rsidR="00F26F01" w:rsidRPr="00C33834" w14:paraId="03E25F8F" w14:textId="77777777">
        <w:tc>
          <w:tcPr>
            <w:tcW w:w="1289" w:type="dxa"/>
          </w:tcPr>
          <w:p w14:paraId="065C8BC6"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ДИП-2М34РН</w:t>
            </w:r>
          </w:p>
        </w:tc>
        <w:tc>
          <w:tcPr>
            <w:tcW w:w="1289" w:type="dxa"/>
          </w:tcPr>
          <w:p w14:paraId="276AF064"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w:t>
            </w:r>
          </w:p>
        </w:tc>
        <w:tc>
          <w:tcPr>
            <w:tcW w:w="1289" w:type="dxa"/>
          </w:tcPr>
          <w:p w14:paraId="4C94EE6A"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аэродром</w:t>
            </w:r>
          </w:p>
        </w:tc>
        <w:tc>
          <w:tcPr>
            <w:tcW w:w="1289" w:type="dxa"/>
          </w:tcPr>
          <w:p w14:paraId="088B3A4B"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декабря 1932</w:t>
            </w:r>
          </w:p>
        </w:tc>
        <w:tc>
          <w:tcPr>
            <w:tcW w:w="1289" w:type="dxa"/>
          </w:tcPr>
          <w:p w14:paraId="6048044B"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45D9A22A"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492EF4D5"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29736579"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1934</w:t>
            </w:r>
          </w:p>
        </w:tc>
        <w:tc>
          <w:tcPr>
            <w:tcW w:w="1289" w:type="dxa"/>
          </w:tcPr>
          <w:p w14:paraId="4B08A17B"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Готовы рабочие чертежи крыла, шасси, оперения, фюзеляжа. 30%.</w:t>
            </w:r>
          </w:p>
          <w:p w14:paraId="2527D350"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Находятся в производстве шасси и крылья </w:t>
            </w:r>
            <w:r w:rsidRPr="00C33834">
              <w:rPr>
                <w:rFonts w:ascii="Times New Roman" w:hAnsi="Times New Roman"/>
                <w:color w:val="000000" w:themeColor="text1"/>
                <w:sz w:val="16"/>
                <w:szCs w:val="16"/>
              </w:rPr>
              <w:lastRenderedPageBreak/>
              <w:t>(по чертежам МИ3).</w:t>
            </w:r>
          </w:p>
        </w:tc>
      </w:tr>
      <w:tr w:rsidR="00F26F01" w:rsidRPr="00C33834" w14:paraId="60C7D53E" w14:textId="77777777">
        <w:tc>
          <w:tcPr>
            <w:tcW w:w="1289" w:type="dxa"/>
          </w:tcPr>
          <w:p w14:paraId="1E78ACF8"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И-14 М-38</w:t>
            </w:r>
          </w:p>
        </w:tc>
        <w:tc>
          <w:tcPr>
            <w:tcW w:w="1289" w:type="dxa"/>
          </w:tcPr>
          <w:p w14:paraId="16906C8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марта 1933</w:t>
            </w:r>
          </w:p>
        </w:tc>
        <w:tc>
          <w:tcPr>
            <w:tcW w:w="1289" w:type="dxa"/>
          </w:tcPr>
          <w:p w14:paraId="3DA046FE"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апреля 1933 аэродром</w:t>
            </w:r>
          </w:p>
        </w:tc>
        <w:tc>
          <w:tcPr>
            <w:tcW w:w="1289" w:type="dxa"/>
          </w:tcPr>
          <w:p w14:paraId="48D050D8"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октября 1932</w:t>
            </w:r>
          </w:p>
          <w:p w14:paraId="7ABA4EC0"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декабря 1932</w:t>
            </w:r>
          </w:p>
        </w:tc>
        <w:tc>
          <w:tcPr>
            <w:tcW w:w="1289" w:type="dxa"/>
          </w:tcPr>
          <w:p w14:paraId="586C053F"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декабря 1932</w:t>
            </w:r>
          </w:p>
        </w:tc>
        <w:tc>
          <w:tcPr>
            <w:tcW w:w="1289" w:type="dxa"/>
          </w:tcPr>
          <w:p w14:paraId="43123880"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января 1933</w:t>
            </w:r>
          </w:p>
        </w:tc>
        <w:tc>
          <w:tcPr>
            <w:tcW w:w="1289" w:type="dxa"/>
          </w:tcPr>
          <w:p w14:paraId="2D0E4E95"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января 1933 Меркур</w:t>
            </w:r>
          </w:p>
        </w:tc>
        <w:tc>
          <w:tcPr>
            <w:tcW w:w="1289" w:type="dxa"/>
          </w:tcPr>
          <w:p w14:paraId="18E979EE"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1933 (М38)</w:t>
            </w:r>
          </w:p>
        </w:tc>
        <w:tc>
          <w:tcPr>
            <w:tcW w:w="1289" w:type="dxa"/>
          </w:tcPr>
          <w:p w14:paraId="4FF76418"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Общая готовность 60%.</w:t>
            </w:r>
          </w:p>
        </w:tc>
      </w:tr>
      <w:tr w:rsidR="00F26F01" w:rsidRPr="00C33834" w14:paraId="1C554A9E" w14:textId="77777777">
        <w:tc>
          <w:tcPr>
            <w:tcW w:w="1289" w:type="dxa"/>
          </w:tcPr>
          <w:p w14:paraId="6D4C9445"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И-13 М32Н</w:t>
            </w:r>
          </w:p>
        </w:tc>
        <w:tc>
          <w:tcPr>
            <w:tcW w:w="1289" w:type="dxa"/>
          </w:tcPr>
          <w:p w14:paraId="2DE118B9"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w:t>
            </w:r>
          </w:p>
        </w:tc>
        <w:tc>
          <w:tcPr>
            <w:tcW w:w="1289" w:type="dxa"/>
          </w:tcPr>
          <w:p w14:paraId="2F7E3C36"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w:t>
            </w:r>
          </w:p>
        </w:tc>
        <w:tc>
          <w:tcPr>
            <w:tcW w:w="1289" w:type="dxa"/>
          </w:tcPr>
          <w:p w14:paraId="18D8B6A4"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декабря 1932</w:t>
            </w:r>
          </w:p>
        </w:tc>
        <w:tc>
          <w:tcPr>
            <w:tcW w:w="1289" w:type="dxa"/>
          </w:tcPr>
          <w:p w14:paraId="4CE36EF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4C240AB0"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1DBAD470"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23747FA4"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1933</w:t>
            </w:r>
          </w:p>
        </w:tc>
        <w:tc>
          <w:tcPr>
            <w:tcW w:w="1289" w:type="dxa"/>
          </w:tcPr>
          <w:p w14:paraId="47517DD6"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Приступлено к разработке схемы самолета.</w:t>
            </w:r>
          </w:p>
        </w:tc>
      </w:tr>
      <w:tr w:rsidR="00F26F01" w:rsidRPr="00C33834" w14:paraId="645D90F7" w14:textId="77777777">
        <w:tc>
          <w:tcPr>
            <w:tcW w:w="1289" w:type="dxa"/>
          </w:tcPr>
          <w:p w14:paraId="0F1C5B01"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РД-М34Р</w:t>
            </w:r>
          </w:p>
        </w:tc>
        <w:tc>
          <w:tcPr>
            <w:tcW w:w="1289" w:type="dxa"/>
          </w:tcPr>
          <w:p w14:paraId="4DDBF36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1932</w:t>
            </w:r>
          </w:p>
        </w:tc>
        <w:tc>
          <w:tcPr>
            <w:tcW w:w="1289" w:type="dxa"/>
          </w:tcPr>
          <w:p w14:paraId="0A159F8C"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w:t>
            </w:r>
          </w:p>
        </w:tc>
        <w:tc>
          <w:tcPr>
            <w:tcW w:w="1289" w:type="dxa"/>
          </w:tcPr>
          <w:p w14:paraId="7A966B43"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779DEC63"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00828655"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2A6821CE"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Февраль 1933 тренир.</w:t>
            </w:r>
          </w:p>
        </w:tc>
        <w:tc>
          <w:tcPr>
            <w:tcW w:w="1289" w:type="dxa"/>
          </w:tcPr>
          <w:p w14:paraId="77E594C8"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Июль 1933 спецсборки</w:t>
            </w:r>
          </w:p>
        </w:tc>
        <w:tc>
          <w:tcPr>
            <w:tcW w:w="1289" w:type="dxa"/>
          </w:tcPr>
          <w:p w14:paraId="3D89A3CC"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Фюзеляж, управление, оперение, каркас крыла готовы.</w:t>
            </w:r>
          </w:p>
        </w:tc>
      </w:tr>
      <w:tr w:rsidR="00F26F01" w:rsidRPr="00C33834" w14:paraId="57326ED8" w14:textId="77777777">
        <w:tc>
          <w:tcPr>
            <w:tcW w:w="1289" w:type="dxa"/>
          </w:tcPr>
          <w:p w14:paraId="748F34FC"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И-12 2М-22 дублер</w:t>
            </w:r>
          </w:p>
        </w:tc>
        <w:tc>
          <w:tcPr>
            <w:tcW w:w="1289" w:type="dxa"/>
          </w:tcPr>
          <w:p w14:paraId="34F09EE9"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февраля 1932</w:t>
            </w:r>
          </w:p>
        </w:tc>
        <w:tc>
          <w:tcPr>
            <w:tcW w:w="1289" w:type="dxa"/>
          </w:tcPr>
          <w:p w14:paraId="0E0D11C3"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w:t>
            </w:r>
          </w:p>
        </w:tc>
        <w:tc>
          <w:tcPr>
            <w:tcW w:w="1289" w:type="dxa"/>
          </w:tcPr>
          <w:p w14:paraId="266F1366"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0E47F451"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79748D1B"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0756422B"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Есть</w:t>
            </w:r>
          </w:p>
        </w:tc>
        <w:tc>
          <w:tcPr>
            <w:tcW w:w="1289" w:type="dxa"/>
          </w:tcPr>
          <w:p w14:paraId="13351AC1"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89" w:type="dxa"/>
          </w:tcPr>
          <w:p w14:paraId="77501B40"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Каркас готов.</w:t>
            </w:r>
          </w:p>
        </w:tc>
      </w:tr>
    </w:tbl>
    <w:p w14:paraId="44D3336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(7415, 16-19).</w:t>
      </w:r>
    </w:p>
    <w:p w14:paraId="7567D593"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p w14:paraId="2B795C78"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марта 1933 состоялось заседание у нач. ГУАП П.И.Б. о состоянии производства тормозных колес (2292,73).</w:t>
      </w:r>
    </w:p>
    <w:p w14:paraId="69DD2901"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p w14:paraId="647AFB28"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марта 1933 были подготовлены два проекта Постановления СТО о полетах в стратосферу (ГУАП и ВВС) - хотели, чтобы для быстрейшего проведения испытаний и исследований сверхвысотного полета ГУАП выпустил на аэродром высотный самолет с потолком 10-12000 м под М-34 с высотностью 5000 м в 4 кв. 1933, для чего ЦИАМ передать ЦКБ завода 39 М-34РН 1 июля (военные хотели, чтобы не ЦКБ, а ЦАГИ - но не ясно - КО ЦАГИ (бригада 6) или БНТ ЦАГИ - сделал это), ЦИАМ выпустил в 4 кв. М-34 с двухступенчатом импеллером, а ГУАП в 1934 - выпустил на аэродром последний вариант сверхвысотного самолета с потолком 15000 м (ГУАП - 15000 м) и этим мотором...(2304,34).</w:t>
      </w:r>
    </w:p>
    <w:p w14:paraId="5D0207AB"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 1</w:t>
      </w:r>
    </w:p>
    <w:p w14:paraId="31ED18AB"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СТО о полете в стратосферу</w:t>
      </w:r>
    </w:p>
    <w:p w14:paraId="6FD82106"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p w14:paraId="5177D944"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Придавая большое военное и научное значение вопросу полета в стратосферу, признать работы, ведущиеся по высотным самолетам в БНТ завода № 39 и по соответствующим моторам в ЦИАМе особо важными.</w:t>
      </w:r>
    </w:p>
    <w:p w14:paraId="7DD6E9BB"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p w14:paraId="38D19795"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быстрейшего производства предварительных испытаний и исследований сверхвысотного полета и связанных с ним вопросов (кабины, нагнетатели, кислородные приборы и проч.) во изменение Постановления КО от 4 июля 1932 г. выпустить на аэродром высотный с-т с потолком 10-12 т мпод мотор М-34 с высотностью 5000 м в 1У кв. 1933, для чего ЦИАМ обязан передать ЦКБ завода № 39 мотор М34РН 1 июля 1933.</w:t>
      </w:r>
    </w:p>
    <w:p w14:paraId="5BB0F14A"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p w14:paraId="2E258CA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ЦИАМвыпустить в 1У кв. 1933 опытный образец мотора М-34 с двкхстепенчатым импеллером, редуктором и винтом с поворотными лопастями, предназначенными для полета в стратосфере.</w:t>
      </w:r>
    </w:p>
    <w:p w14:paraId="7190FA24"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p w14:paraId="61D9285E"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ГУАП в 1934 выпустить на аэродром последний вариант сверхвысотного с-та с потолком не ниже 15000 м с доведенным мотором по пар. 3</w:t>
      </w:r>
    </w:p>
    <w:p w14:paraId="62EE9090"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p w14:paraId="752CCC29"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ГУАП немедленно вступить в переговоры с фирмой Рато на предмет постройки ею, по нашему заданию, в кратчайший срок, нагнетателя под мотор М-34 с высотностью 12-15 тыс. м.</w:t>
      </w:r>
    </w:p>
    <w:p w14:paraId="52A137A8"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p w14:paraId="0DE0FE21"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ГУАП приобрести три комплекта всех необходимых приборов для оборудования стратосферного с-та и импортные организации реализовать и доставить не позднее 1 мая.</w:t>
      </w:r>
    </w:p>
    <w:p w14:paraId="0B81E02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Стоимость оборудования утвердить в сумме 15000 руб. В инвалюте.</w:t>
      </w:r>
    </w:p>
    <w:p w14:paraId="1080F96F"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 2</w:t>
      </w:r>
    </w:p>
    <w:p w14:paraId="3EEDD2D1"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СТО о полете в стратосферу</w:t>
      </w:r>
    </w:p>
    <w:p w14:paraId="44BD7E4F"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p w14:paraId="34A3632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Придавая большое военное и научное значение вопросу полета в стратосферу, признать работы, ведущиеся по высотным самолетам в БНТ завода № 39 и по соответствующим моторам в ЦИАМе особо важными.</w:t>
      </w:r>
    </w:p>
    <w:p w14:paraId="7B1EDF4C"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p w14:paraId="6A695F8B"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быстрейшего производства предварительных испытаний и исследований сверхвысотного полета и связанных с ним вопросов (кабины, нагнетатели, кислородные приборы и проч.) во изменение Постановления КО от 4 июля 1932 г. выпустить на аэродром высотный с-т с потолком 10-12 т мпод мотор М-34 с высотностью 5000 м в 1У кв. 1933, для чего ЦИАМ обязан передать ЦКБ завода № 39 мотор М34РН 1 июля 1933.</w:t>
      </w:r>
    </w:p>
    <w:p w14:paraId="678337ED"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p w14:paraId="30057689"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ЦИАМвыпустить в 1У кв. 1933 опытный образец мотора М-34 с двкхстепенчатым импеллером, редуктором и винтом с поворотными лопастями, предназначенными для полета в стратосфере.</w:t>
      </w:r>
    </w:p>
    <w:p w14:paraId="5CA12DC6"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p w14:paraId="2E65F420"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ГУАП в 1934 выпустить на аэродром последний вариант сверхвысотного с-та с потолком не ниже 15000 м с доведенным мотором по пар. 3</w:t>
      </w:r>
    </w:p>
    <w:p w14:paraId="1853386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p w14:paraId="4BA6C963"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ГУАП немедленно вступить в переговоры с фирмой Рато на предмет постройки ею, по нашему заданию, в кратчайший срок, нагнетателя под мотор М-34 с высотностью 12-15 тыс. м.</w:t>
      </w:r>
    </w:p>
    <w:p w14:paraId="5888C73C"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p w14:paraId="125034B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ГУАП приобрести три комплекта всех необходимых приборов для оборудования стратосферного с-та и импортные организации реализовать и доставить не позднее 1 мая.</w:t>
      </w:r>
    </w:p>
    <w:p w14:paraId="2A0259B9"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Стоимость оборудования утвердить в сумме 15000 руб. В инвалюте.</w:t>
      </w:r>
    </w:p>
    <w:p w14:paraId="3738C581"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p w14:paraId="17FDC1A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ГУАП приобрести (или заказать) у фирмы Юнкерс один стратосферный с-т</w:t>
      </w:r>
    </w:p>
    <w:p w14:paraId="7CFAEAB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p w14:paraId="410AB65C"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Отпустить ГУАП для этих целей необходимую валюту</w:t>
      </w:r>
    </w:p>
    <w:p w14:paraId="5302BF76"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p w14:paraId="2B77FC1E"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форсирования создания высотного двигателя считать особо важными работы по конструированию и постройке паровых и газовых турбин, а также нагнетателей к двигателям на легком и тяжелом топливе</w:t>
      </w:r>
    </w:p>
    <w:p w14:paraId="350FD41B"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p w14:paraId="3B48D50B"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Отпустить ЦАГИ специальные кредиты на постройку и оборудование мастерских и ангарных площадей летной станции ЦАГИ в 1933 - 2 млн. Руб, и на пристройку к опытному заводу - 1,5 млн. руб.</w:t>
      </w:r>
    </w:p>
    <w:p w14:paraId="7421DA8A"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Расхождения</w:t>
      </w:r>
    </w:p>
    <w:p w14:paraId="51C9CE4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проектом постановления по вопросу о сверхвысотном с-те между ГУАП и ВВС</w:t>
      </w:r>
    </w:p>
    <w:p w14:paraId="45FB543B"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 1</w:t>
      </w:r>
      <w:r w:rsidRPr="00C33834">
        <w:rPr>
          <w:rFonts w:ascii="Times New Roman" w:hAnsi="Times New Roman"/>
          <w:color w:val="000000" w:themeColor="text1"/>
          <w:sz w:val="16"/>
          <w:szCs w:val="16"/>
        </w:rPr>
        <w:tab/>
        <w:t>разногласий нет</w:t>
      </w:r>
    </w:p>
    <w:p w14:paraId="55DB3E7D"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 2</w:t>
      </w:r>
      <w:r w:rsidRPr="00C33834">
        <w:rPr>
          <w:rFonts w:ascii="Times New Roman" w:hAnsi="Times New Roman"/>
          <w:color w:val="000000" w:themeColor="text1"/>
          <w:sz w:val="16"/>
          <w:szCs w:val="16"/>
        </w:rPr>
        <w:tab/>
        <w:t>редакция ВВС: Для быстрейшего производства предварительных испытаний и исследований сверхвысотного полета и связанных с ним вопросов (кабины, нагнетатели, кислородные приборы и проч.) во изменение Постановления КО от 4 июля 1932 г. обязать ЦИАМ представить ЦАГИ в марте 1933 мотор М-34 РН с высотностью 5000 м и ЦАГИ выпустить в воздух в мае 1933 высотный с-т с потолком 11-12 тыс. м.</w:t>
      </w:r>
    </w:p>
    <w:p w14:paraId="56F9203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 3</w:t>
      </w:r>
      <w:r w:rsidRPr="00C33834">
        <w:rPr>
          <w:rFonts w:ascii="Times New Roman" w:hAnsi="Times New Roman"/>
          <w:color w:val="000000" w:themeColor="text1"/>
          <w:sz w:val="16"/>
          <w:szCs w:val="16"/>
        </w:rPr>
        <w:tab/>
        <w:t>разногласий нет</w:t>
      </w:r>
    </w:p>
    <w:p w14:paraId="2E54EF63"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пар. 4</w:t>
      </w:r>
      <w:r w:rsidRPr="00C33834">
        <w:rPr>
          <w:rFonts w:ascii="Times New Roman" w:hAnsi="Times New Roman"/>
          <w:color w:val="000000" w:themeColor="text1"/>
          <w:sz w:val="16"/>
          <w:szCs w:val="16"/>
        </w:rPr>
        <w:tab/>
        <w:t>Редакция ВВС :Обязать ГУАП в 1 кв. 1934 выпустить на аэродром последний вариант сверхвысотного с-та с потолком не ниже 15000 м с доведенным мотором по пар. 3</w:t>
      </w:r>
    </w:p>
    <w:p w14:paraId="0B707EE9"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пар. 5-10</w:t>
      </w:r>
      <w:r w:rsidRPr="00C33834">
        <w:rPr>
          <w:rFonts w:ascii="Times New Roman" w:hAnsi="Times New Roman"/>
          <w:color w:val="000000" w:themeColor="text1"/>
          <w:sz w:val="16"/>
          <w:szCs w:val="16"/>
        </w:rPr>
        <w:tab/>
        <w:t>разногласий нет (2304,34).</w:t>
      </w:r>
    </w:p>
    <w:p w14:paraId="75C1713B"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p w14:paraId="1921D44E"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марта 1933 года был подписан:</w:t>
      </w:r>
    </w:p>
    <w:p w14:paraId="41DA6F28"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Краткий доклад по рекордному полету на дальность</w:t>
      </w:r>
    </w:p>
    <w:p w14:paraId="73E71B8F"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Постановлением СТО на ЦАГИ возложена задача постройки самолета для рекордных полетов на дальность. Этот самолет в настоящее время находится в постройке и будет готов для предварительных испытаний в мае 1933 года, а для полетов на продолжительность и дальность к сентябрю 1933 года. При трех человеках экипажа этот самолет сможет покрыть расстояние без посадки в 9000-10000 км (мировой рекорд 8200 км). Самолет строится с одним мотором М-34 без редуктора, а при установке мотора М-34 с редуктором дальность полета может быть увеличена. Таким образом, на этом самолете с мотором М-34 СССР сможет поставить мировой рекорд на дальность полета без посадки. Однако, проведение этой операции потребует значительной предварительной подготовки.</w:t>
      </w:r>
    </w:p>
    <w:p w14:paraId="0419287A"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Необходимо будет:</w:t>
      </w:r>
    </w:p>
    <w:p w14:paraId="5432769C" w14:textId="77777777" w:rsidR="00393D95" w:rsidRPr="00C33834" w:rsidRDefault="00393D9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Подготовить 10 специально изготовленных моторов М-34 с особой надежностью работы и специфической регулировкой для наименьшего расхода горючего.</w:t>
      </w:r>
    </w:p>
    <w:p w14:paraId="2EFD118B" w14:textId="77777777" w:rsidR="00393D95" w:rsidRPr="00C33834" w:rsidRDefault="00393D9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Иметь два экипажа (основной и резервный), состоящие каждый из двух летчиков и одного аэронавигатора.</w:t>
      </w:r>
    </w:p>
    <w:p w14:paraId="3D96D74A" w14:textId="77777777" w:rsidR="00393D95" w:rsidRPr="00C33834" w:rsidRDefault="00393D9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Провести шестимесячную тренировку обоих экипажей для полетов по приборам и длительных полетов без посадки.</w:t>
      </w:r>
    </w:p>
    <w:p w14:paraId="5ECE0AE5" w14:textId="77777777" w:rsidR="00393D95" w:rsidRPr="00C33834" w:rsidRDefault="00393D9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Выделить и подготовить обслуживающие самолеты и самолет для полета.</w:t>
      </w:r>
    </w:p>
    <w:p w14:paraId="2184EB4E" w14:textId="77777777" w:rsidR="00393D95" w:rsidRPr="00C33834" w:rsidRDefault="00393D9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Назначить специальную обслуживающую группу в количестве 20 человек инженерно-технического персонала, снабдив эту группу транспортом.</w:t>
      </w:r>
    </w:p>
    <w:p w14:paraId="0343C956" w14:textId="77777777" w:rsidR="00393D95" w:rsidRPr="00C33834" w:rsidRDefault="00393D9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Построить специальную бетонированную дорожку для взлета длиной в 2000 м и шириной в 70 м, которая необходима вследствие первоначальной сильной нагруженности самолета.</w:t>
      </w:r>
    </w:p>
    <w:p w14:paraId="5A8F8BFB" w14:textId="77777777" w:rsidR="00393D95" w:rsidRPr="00C33834" w:rsidRDefault="00393D9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Заблаговременно выбрать маршрут полета в зависимости от ряда политических и технических соображений.</w:t>
      </w:r>
    </w:p>
    <w:p w14:paraId="4FFA0EAD"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расстоянии 9000 км и свыше могут быть намечены следующие заграничные маршруты: Москва – Южная Африка, Москва – Южная Америка, Москва – Нью-Йорк (в западном направлении). Внутренний маршрут Москва – Владивосток длиною в 8000 км недостаточен для рекорда на дальность и труден для перелета в осеннее время.</w:t>
      </w:r>
    </w:p>
    <w:p w14:paraId="4711E24E" w14:textId="77777777" w:rsidR="00393D95" w:rsidRPr="00C33834" w:rsidRDefault="00393D9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Получить в СССР специального представителя Международной организации по рекордным полетам Federation Aeronautique Internationale, без визы которого никакой рекорд по Международному кодексу не признается.</w:t>
      </w:r>
    </w:p>
    <w:p w14:paraId="1423B3EA" w14:textId="77777777" w:rsidR="00393D95" w:rsidRPr="00C33834" w:rsidRDefault="00393D95"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Обеспечить метеорологическую службу во время полета.</w:t>
      </w:r>
    </w:p>
    <w:p w14:paraId="38B9C8DD"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мероприятия по проведению этого рекордного полета потребуют специальных денежных затрат в советской и иностранной валюте, согласно сметы, которая будет представлена дополнительно.</w:t>
      </w:r>
    </w:p>
    <w:p w14:paraId="4A5B8A3F"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случае признания целесообразности организации этого полета, необходимо получить соответсвующее постановление Правительства, проект которого прилагается (7432, 1-2).</w:t>
      </w:r>
    </w:p>
    <w:p w14:paraId="34D36310"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p w14:paraId="2C8C1DED"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марта 1933 Пом. Нач. ГУАП, нач. НТОС Алмазов писал Нач. ВВС Алкснису, Нач. НИИ ВВС Зильбергу и Нач. ЦКБ С.В.И. письмо N 282/с о работах, порученных ГУАП согласно постановлению РВС от 3 марта 1933 - по разработке учебного и спортивного, тренировочного и др. Самолетов</w:t>
      </w:r>
    </w:p>
    <w:p w14:paraId="1664E105"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постановления Р.В.С. СССР от 3 марта 1933 Глававиапрому поручается:</w:t>
      </w:r>
    </w:p>
    <w:p w14:paraId="37194114"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Разработать и построить учебный и спортивный самолет и мотор по повышенным требованиям</w:t>
      </w:r>
    </w:p>
    <w:p w14:paraId="5EE261F3"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для первоначального обучения</w:t>
      </w:r>
    </w:p>
    <w:p w14:paraId="2DD47E45"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для тренировки как на одноместной машине</w:t>
      </w:r>
    </w:p>
    <w:p w14:paraId="4BFCF27C"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для слепого полета</w:t>
      </w:r>
    </w:p>
    <w:p w14:paraId="41EF5B95"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для ночного полета и полета в строю (для обучения л-наблюдателей, приемам навигации, фото, бомбометанию, стрельбе</w:t>
      </w:r>
    </w:p>
    <w:p w14:paraId="1699497C"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Разработать и построить тип тренировочного истребителя под мощность 150-200 нр</w:t>
      </w:r>
    </w:p>
    <w:p w14:paraId="11A4D22C"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самолет сопровождения</w:t>
      </w:r>
    </w:p>
    <w:p w14:paraId="7B1F9754"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тренировочный</w:t>
      </w:r>
    </w:p>
    <w:p w14:paraId="05FD7E4F"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местных линий</w:t>
      </w:r>
    </w:p>
    <w:p w14:paraId="68E35BDD"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Провести необходимые исследования и ускорить применение: подкрылков, закрылков, двойного крыла, крыла с меняющимся профилем..., имея в виду:</w:t>
      </w:r>
    </w:p>
    <w:p w14:paraId="75480BD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получить наибольший диапазон гор. скоростей</w:t>
      </w:r>
    </w:p>
    <w:p w14:paraId="67FB4026"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увеличить устойчивость при полете с предельными нагрузками</w:t>
      </w:r>
    </w:p>
    <w:p w14:paraId="2CD8D430"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уменьшить посадочные скорости</w:t>
      </w:r>
    </w:p>
    <w:p w14:paraId="1550FBDF"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увеличить скороподъемность</w:t>
      </w:r>
    </w:p>
    <w:p w14:paraId="5EDB69F5"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Считать одной из важнейших задач ближайшего периода получение легкого двухместного самолета, универсального в производстве и специализированного по оборудованию для назначения:</w:t>
      </w:r>
    </w:p>
    <w:p w14:paraId="227CD4F1"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оперативный разведчик</w:t>
      </w:r>
    </w:p>
    <w:p w14:paraId="2A01DB79"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двухместный истребитель</w:t>
      </w:r>
    </w:p>
    <w:p w14:paraId="244D7418"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ЛБ</w:t>
      </w:r>
    </w:p>
    <w:p w14:paraId="4A6B8CF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в части применения ЛР, как скоростного почтовика отдельно согласовать вопрос П.И.Б. с Гольцманом и Алкснисом</w:t>
      </w:r>
    </w:p>
    <w:p w14:paraId="1B0BCE2D"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В случае получения неудовлетворительного результата испытания ЛР приступить к постройке специального универсального самолета.</w:t>
      </w:r>
    </w:p>
    <w:p w14:paraId="2EF16426"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определения объема работ по этим заданиям и возможности включения их в план - прошу о направлении в НТОС ГУАП требований на указанные выше объекты (2305,87).</w:t>
      </w:r>
    </w:p>
    <w:p w14:paraId="7D9BCA70"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p w14:paraId="5CB21336" w14:textId="77777777" w:rsidR="00161F61" w:rsidRPr="00C33834" w:rsidRDefault="00161F61"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13 марта</w:t>
      </w:r>
      <w:r w:rsidRPr="00C33834">
        <w:rPr>
          <w:rFonts w:ascii="Times New Roman" w:hAnsi="Times New Roman"/>
          <w:color w:val="000000" w:themeColor="text1"/>
          <w:sz w:val="16"/>
          <w:szCs w:val="16"/>
        </w:rPr>
        <w:t xml:space="preserve"> в 1933 году начаты огневые испытания двигателя Ф.А.Цандера «ОР-2», первого советского ЖРД, предназначенного для установки на летательный аппарат. «ОР-2» — жидкостный ракетный двигатель конструкции Ф.А.Цандера. Предназначался для установки на бесхвостый ракетоплан «РП-1» конструкции Б.И.Черановского.Первый жидкостный ракетный двигатель конструкции Ф.А.Цандера («ОР-2») с проектной тягой 50 кгс, охлаждением сопла водой, а камеры сгорания — газообразным кислородом был изготовлен в МосГИРД в декабре 1932 года и испытан на кислородно-бензиновом топливе в марте 1933 года без участия его автора, умершего в том же месяце. При первых испытаниях двигатель разрушался. Учениками Цандера «ОР-2» был переконструирован, бензин заменен этиловым спиртом для снижения температуры газов и облегчения охлаждения, введена керамическая облицовка камеры, а шифр двигателя изменен на 02 (15067).</w:t>
      </w:r>
    </w:p>
    <w:p w14:paraId="3697E771" w14:textId="77777777" w:rsidR="00161F61" w:rsidRPr="00C33834" w:rsidRDefault="00161F61" w:rsidP="00C33834">
      <w:pPr>
        <w:spacing w:after="0" w:line="240" w:lineRule="auto"/>
        <w:jc w:val="both"/>
        <w:rPr>
          <w:rFonts w:ascii="Times New Roman" w:hAnsi="Times New Roman"/>
          <w:color w:val="000000" w:themeColor="text1"/>
          <w:sz w:val="16"/>
          <w:szCs w:val="16"/>
        </w:rPr>
      </w:pPr>
    </w:p>
    <w:p w14:paraId="7C96B84F" w14:textId="77777777" w:rsidR="00393D9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3D299BDF"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p w14:paraId="004D8685"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13-16 марта 1933 в Воронеже состоялся I областной съезд колхозников-ударников (13-16.03). В то время, когда во многих районах области голод начал активно увеличивать свои масштабы, в Большом советском театре первый секретарь обкома ВКП(б) И.Варейкис в присутствии 600 делегатов съезда торжественно объявил о победе колхозного строя в Центрально-Черноземной области (10687).</w:t>
      </w:r>
    </w:p>
    <w:p w14:paraId="392E3AE3"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p w14:paraId="3D95F480" w14:textId="77777777" w:rsidR="00393D9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CD1B927" w14:textId="77777777" w:rsidR="00393D95" w:rsidRPr="00C33834" w:rsidRDefault="00393D9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4B8E129" w14:textId="77777777" w:rsidR="00161F61" w:rsidRPr="00C33834" w:rsidRDefault="00161F61"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13 марта</w:t>
      </w:r>
      <w:r w:rsidRPr="00C33834">
        <w:rPr>
          <w:rFonts w:ascii="Times New Roman" w:hAnsi="Times New Roman"/>
          <w:color w:val="000000" w:themeColor="text1"/>
          <w:sz w:val="16"/>
          <w:szCs w:val="16"/>
        </w:rPr>
        <w:t xml:space="preserve"> в 1933 году все американские банки были вновь открыты после приостановления в США обычной банковской деятельности, так называемых «банковских каникул», объявленных президентом США Франклином Рузвельтом (1882–1945) на следующий день после его инаугурации. В условиях Великой депрессии люди стремились забирать все свои вклады, что грозило застопорить финансовые потоки и негативным образом повлиять на экономику страны. Выступив по радио, Рузвельт сказал всю правду о необходимости принятия столь экстренных мер, введенных в период с 6 до 13 марта. Президенту удалось определить платежеспособность банков и прекратить падение акций, продолжавшееся с осени 1929 года (15067).</w:t>
      </w:r>
    </w:p>
    <w:p w14:paraId="53A2D37C" w14:textId="77777777" w:rsidR="00161F61" w:rsidRPr="00C33834" w:rsidRDefault="00161F61" w:rsidP="00C33834">
      <w:pPr>
        <w:spacing w:after="0" w:line="240" w:lineRule="auto"/>
        <w:jc w:val="both"/>
        <w:rPr>
          <w:rFonts w:ascii="Times New Roman" w:hAnsi="Times New Roman"/>
          <w:color w:val="000000" w:themeColor="text1"/>
          <w:sz w:val="16"/>
          <w:szCs w:val="16"/>
        </w:rPr>
      </w:pPr>
    </w:p>
    <w:p w14:paraId="289823F9"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марта 1933 Й.Гебельс стал райхсминистром пропаганды. С марта 1933 по январь 1934 государство переходило под контроль нацистов в рамках процесса, названного Gleichschaltung. В марте 1933 открыли концлагерь Дахау поблизости от Мюнхена (2242,2).</w:t>
      </w:r>
    </w:p>
    <w:p w14:paraId="6FA8DED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p w14:paraId="3C79168D" w14:textId="77777777" w:rsidR="00393D9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C62E73B" w14:textId="77777777" w:rsidR="00393D95" w:rsidRPr="00C33834" w:rsidRDefault="00393D9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94D8B43"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14 марта 1933 состоялось совещание в штабе РККА по вопросам развития морской авиации и Нач. ВМС Орлов, помня у неудачах советских конструкторов, ратовал за покупку в Италии Савойй S.55. Нач. Штаба ВВС В.В.Хрипин возразил и сказал, что создание МДР-4 (АНТ-27) вполне реально. Хрипина поддержали (6472, 32).</w:t>
      </w:r>
    </w:p>
    <w:p w14:paraId="3EE47875"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p w14:paraId="5DEE08A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марта 1933 года штаб РККА в очередной раз обсудил ряд вопросов, связанных с развитием морской авиации. В принятом решении было записано: "Строительство морской авиации необходимо выдвинуть на первый план, и не за счёт заграничных закупок (кроме образцов), а путём постройки заводов и создания новых конструкций гидросамолётов". Однако быстро выяснилось, что на этот момент практически единственным полностью отечественным гидросамолётом, не требующим покупки лицензии или комплектующих за границей и готовым для быстрого запуска в серию, оказался МБР-2 (12003).</w:t>
      </w:r>
    </w:p>
    <w:p w14:paraId="0FCEDAF1"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p w14:paraId="0DB21516" w14:textId="77777777" w:rsidR="00393D9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03DFB60D"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p w14:paraId="3857C805" w14:textId="77777777" w:rsidR="00161F61" w:rsidRPr="00C33834" w:rsidRDefault="00161F61"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14 марта</w:t>
      </w:r>
      <w:r w:rsidRPr="00C33834">
        <w:rPr>
          <w:rFonts w:ascii="Times New Roman" w:hAnsi="Times New Roman"/>
          <w:color w:val="000000" w:themeColor="text1"/>
          <w:sz w:val="16"/>
          <w:szCs w:val="16"/>
        </w:rPr>
        <w:t xml:space="preserve"> в 1933 году ЦК ВКП(б) принял Постановление «Об ответственности служащих в государственных учреждениях и предприятиях за вредительские акты». В тот же день ОГПУ сообщило об аресте 31 человека по делу «о вредительской деятельности» в системе Наркомата тяжелой промышленности. Арестованных обвинили в организации ряда аварий на Московской, Челябинской, Златоустовской и др. электростанциях. Процессы были открыты практически во всех областях народного хозяйства (15068).</w:t>
      </w:r>
    </w:p>
    <w:p w14:paraId="1AA1439B" w14:textId="77777777" w:rsidR="00161F61" w:rsidRPr="00C33834" w:rsidRDefault="00161F61" w:rsidP="00C33834">
      <w:pPr>
        <w:spacing w:after="0" w:line="240" w:lineRule="auto"/>
        <w:jc w:val="both"/>
        <w:rPr>
          <w:rFonts w:ascii="Times New Roman" w:hAnsi="Times New Roman"/>
          <w:color w:val="000000" w:themeColor="text1"/>
          <w:sz w:val="16"/>
          <w:szCs w:val="16"/>
        </w:rPr>
      </w:pPr>
    </w:p>
    <w:p w14:paraId="37AB5857"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марта 1933 начальник ГУЛАГа М. Д. Берман подписал направленную всем лагерям ОГПУ директиву:</w:t>
      </w:r>
    </w:p>
    <w:p w14:paraId="4368E2F0"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значительной истощенности прибываемых из домзаков в лагеря контингентов, а отсюда и неработоспособности очень многих из них ГУЛАГ предлагает:</w:t>
      </w:r>
    </w:p>
    <w:p w14:paraId="29D6E928"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При медосвидетельствовании прибываемых этапов, помимо существующих категорий, установить группу «Слабосильных», куда определяется состав заключенных, не имеющих физических пороков, но не могущих работать на производстве тотчас же по прибытии в лагерь в силу своей истощенности, а отсюда и ослабления организма.</w:t>
      </w:r>
    </w:p>
    <w:p w14:paraId="34BB6073"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Эту группу в течение 14 дней на производстве не использовать, а привлекать для работы внутри лагеря. Питание отпускается им по производственной норме.</w:t>
      </w:r>
    </w:p>
    <w:p w14:paraId="136FE91B"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 к установленному льготному сроку механически подходить не следует.</w:t>
      </w:r>
    </w:p>
    <w:p w14:paraId="474E75AB"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истечении 14 дней эта группа привлекается на производственные работы наравне с другими заключенными и, выполняя 60 % задания в течение 14 дней, получает питание в размере полного производственного пайка.</w:t>
      </w:r>
    </w:p>
    <w:p w14:paraId="2804F831"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истечении этого срока, т. е. 14 дней, норму задания для этой группы заключенных увеличить до 80 % и при выполнении этой нормы в течение 30 дней, получает полный производственный паек.</w:t>
      </w:r>
    </w:p>
    <w:p w14:paraId="61B225D3"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 мероприятие обосновано на необходимости полного, наиболее рационального использования рабочей силы лагерей и требует постоянного контроля как со стороны руководства лагерей, так и нач. отделений, лагерных пунктов, санитарных частей, дабы не было на этой почве злоупотреблений» (7560).</w:t>
      </w:r>
    </w:p>
    <w:p w14:paraId="0A61E812"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p w14:paraId="6910BAE6" w14:textId="77777777" w:rsidR="00393D9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1DF0AE2" w14:textId="77777777" w:rsidR="00393D95" w:rsidRPr="00C33834" w:rsidRDefault="00393D9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4B14736"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14 марта по 28 апреля 1933 на испытаниях Хе-70 Блитц показал 347.5 км/час как среднюю на 1000 км, когда ставились рекорды. Был прообразом Хе-111 (88,116).</w:t>
      </w:r>
    </w:p>
    <w:p w14:paraId="4005A48E"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p w14:paraId="3386AF6F"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марта 1933 была запрещена КПГ (3186).</w:t>
      </w:r>
    </w:p>
    <w:p w14:paraId="5104F29D" w14:textId="77777777" w:rsidR="00393D95" w:rsidRPr="00C33834" w:rsidRDefault="00393D95" w:rsidP="00C33834">
      <w:pPr>
        <w:autoSpaceDE w:val="0"/>
        <w:autoSpaceDN w:val="0"/>
        <w:adjustRightInd w:val="0"/>
        <w:spacing w:after="0" w:line="240" w:lineRule="auto"/>
        <w:jc w:val="both"/>
        <w:rPr>
          <w:rFonts w:ascii="Times New Roman" w:hAnsi="Times New Roman"/>
          <w:color w:val="000000" w:themeColor="text1"/>
          <w:sz w:val="16"/>
          <w:szCs w:val="16"/>
        </w:rPr>
      </w:pPr>
    </w:p>
    <w:p w14:paraId="45DC6134" w14:textId="77777777" w:rsidR="00393D95" w:rsidRPr="00C33834" w:rsidRDefault="00393D9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марта 1933 в Германии запрещена компартия (4962).</w:t>
      </w:r>
    </w:p>
    <w:p w14:paraId="3289DE82" w14:textId="77777777" w:rsidR="00393D95" w:rsidRPr="00C33834" w:rsidRDefault="00393D95"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29FA2A" w14:textId="77777777" w:rsidR="0047435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B6F0E66" w14:textId="77777777" w:rsidR="00474353" w:rsidRPr="00C33834" w:rsidRDefault="0047435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E8843A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марта 1933 Зам. нач. КОСОС и Нач. ПТС ЦАГИ писали в НТОС ГУАП письмо N 409с:</w:t>
      </w:r>
    </w:p>
    <w:p w14:paraId="5C99683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уточнения планировки выпуска самолета И-14 голов. КОСОС ЦАГИ просит Вас сообщить, какой мотор имеется в виду на него поставить и когда следует ожидать прибытия мотора." (2303).</w:t>
      </w:r>
    </w:p>
    <w:p w14:paraId="0440D9E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46F55D4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марта 1933 вышло постановление КО, в котором был установлен срок выпуска И-14 М-38 (3082).</w:t>
      </w:r>
    </w:p>
    <w:p w14:paraId="4E0809C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256C6F8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марта 1933 состоялось совещание у директора завода п/я 747 о центровке ТБ-3 (АНТ-6) с М-34 и его модификации. Были П.И.Б., Я.И.А., А.Н.Т., В.М.П. (1077,127).</w:t>
      </w:r>
    </w:p>
    <w:p w14:paraId="4BFFBCD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2CFCC81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марта 1933 директор завода 39 Марголин писал Нач. ГУАП П.И.Б. докладную записку N 360с (вход. 22 марта N 370):</w:t>
      </w:r>
    </w:p>
    <w:p w14:paraId="7896075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"Представляя при сем протокол испытания самолета Зет с установленной на нем артиллерийской установкой, докладываю, что завод считает экспериментальную работу, связанную с вооружением самолета Зет автоматической артустановкой законченной и как самолет, так и артустановки на нем доведенными до состояния, в котором они по заключению комиссии (см. акт) могут быть переданы на гос. испытания.</w:t>
      </w:r>
    </w:p>
    <w:p w14:paraId="2EA418F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Т.к. т. Курчевский не согласен (по заявлению его представителя т. Каплюр) с п. акта комиссии, обязывающим его подать к 25 марта с.г. новую установку (ввиду изношенности установки, смонтированной сейчас на самолете) - прошу Вас получить у зам. Наркомвоенмора т. Тухачевского категорическое распоряжение т. Курчевскому на изготовление в кратчайший срок этих установок, т.к. задержка в изготовлении их естественно, в свою очередь, задержит гос. испытания самолета и чрезвычайно отдалит подачу УВВС 20 самолетов Зет, вооруженных автоматической артиллерийской установкой.</w:t>
      </w:r>
    </w:p>
    <w:p w14:paraId="685E10C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Наряду с этим, в связи с необходимостью дальнейшего вооружения самолетов и предполагаемого к изданию соответственно Вашего и т. Тухачевского решения совместного приказа по этому вопросу, считаю необходимым:</w:t>
      </w:r>
    </w:p>
    <w:p w14:paraId="7BB738D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чтобы соответствующая комиссия в составе представителей ГАУ, НИИ УВВС, завода и представителя т. Курчевского осмотрела бы заказанные заводом 39 и изготовленные в настоящий момент заводом 7 в Ленинграде 40 стволов с соответствующими комплектами диффузоров к ним, на предмет определения их годности или же необходимости внесения соответствующих конструктивных переделок для установки на самолет Зет.</w:t>
      </w:r>
    </w:p>
    <w:p w14:paraId="3F0DD04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обязать т. Курчевского в его мастерской или на заводе 8, но под его руководством, изготовить 20 автоматов артустановки (на 10 самолетов) до 1 мая с.г.</w:t>
      </w:r>
    </w:p>
    <w:p w14:paraId="0FFB103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 виду крайней желательности и явной целесообразности усиления огневых свойств артвооружения самолета Зет (учитывая небольшой радиус его действия, что связано с увеличением числа снарядов), обязать т. Курчевского совместно с заводом 39 разрешить вопрос об увеличении магазина путем сконструирования дополнительной коробки (магазинной), убранной в крыло самолета, доведя таким образом запас снарядов на каждую пушку до 12-14 снарядов. В соответствии с этим опять таки прошу Вас обязать т. Курчевского либо завод 8 изготовить эти пушки (с увеличенным магазином) к 1 мая с.г. Хотя указанное мероприятие и вызовет некоторую конструктивную переделку самолета, в частности крыльев, однако, со своей стороны считаю это целесообразным в виду значительного усиления огневой мощи артустановки самолета.</w:t>
      </w:r>
    </w:p>
    <w:p w14:paraId="2DAA46E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Одновременно докладываю, что завод имеет договоренность с Нач. Управления Военных приборов РККА т. Орловым о проектировании и постройке при участии нашего консультанта проф. Петрова опытного экз. прицела для самолета Зет. Одновременно заводом уже приступлено к изготовлению 2-го экз. имеющегося образца прицела. Докладывая о вышеизложенном, прошу Ваших соответствующих распоряжений." (2303,6).</w:t>
      </w:r>
    </w:p>
    <w:p w14:paraId="786EF0D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531A8202" w14:textId="77777777" w:rsidR="00B06AD3" w:rsidRPr="00C33834" w:rsidRDefault="00B06AD3" w:rsidP="00C33834">
      <w:pPr>
        <w:pStyle w:val="47"/>
        <w:shd w:val="clear" w:color="auto" w:fill="auto"/>
        <w:spacing w:line="240" w:lineRule="auto"/>
        <w:ind w:firstLine="0"/>
        <w:jc w:val="both"/>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В период с 15 по 25 марта 1933 г. в ЦАГИ велись официальные летные испытания БИЧ-7А, целью которых стало выявление летных качеств, характеристик устойчи</w:t>
      </w:r>
      <w:r w:rsidRPr="00C33834">
        <w:rPr>
          <w:rFonts w:ascii="Times New Roman" w:hAnsi="Times New Roman" w:cs="Times New Roman"/>
          <w:color w:val="000000" w:themeColor="text1"/>
          <w:sz w:val="16"/>
          <w:szCs w:val="16"/>
        </w:rPr>
        <w:softHyphen/>
        <w:t>вости и управляемости. Руково</w:t>
      </w:r>
      <w:r w:rsidRPr="00C33834">
        <w:rPr>
          <w:rFonts w:ascii="Times New Roman" w:hAnsi="Times New Roman" w:cs="Times New Roman"/>
          <w:color w:val="000000" w:themeColor="text1"/>
          <w:sz w:val="16"/>
          <w:szCs w:val="16"/>
        </w:rPr>
        <w:softHyphen/>
        <w:t>дил испытаниями инженер Ю.А. Победо</w:t>
      </w:r>
      <w:r w:rsidRPr="00C33834">
        <w:rPr>
          <w:rFonts w:ascii="Times New Roman" w:hAnsi="Times New Roman" w:cs="Times New Roman"/>
          <w:color w:val="000000" w:themeColor="text1"/>
          <w:sz w:val="16"/>
          <w:szCs w:val="16"/>
        </w:rPr>
        <w:softHyphen/>
        <w:t>носцев, летали Благин и Корзинщиков.</w:t>
      </w:r>
    </w:p>
    <w:p w14:paraId="3AFA642A" w14:textId="77777777" w:rsidR="00B06AD3" w:rsidRPr="00C33834" w:rsidRDefault="00B06AD3" w:rsidP="00C33834">
      <w:pPr>
        <w:pStyle w:val="47"/>
        <w:shd w:val="clear" w:color="auto" w:fill="auto"/>
        <w:spacing w:line="240" w:lineRule="auto"/>
        <w:ind w:firstLine="0"/>
        <w:jc w:val="both"/>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Признавалось, что для имеющейся нагрузки на крыло аэродинамические данные достаточно хорошие, самолет вполне устойчив и легко управляем на всех режимах полета вплоть до скоро</w:t>
      </w:r>
      <w:r w:rsidRPr="00C33834">
        <w:rPr>
          <w:rFonts w:ascii="Times New Roman" w:hAnsi="Times New Roman" w:cs="Times New Roman"/>
          <w:color w:val="000000" w:themeColor="text1"/>
          <w:sz w:val="16"/>
          <w:szCs w:val="16"/>
        </w:rPr>
        <w:softHyphen/>
        <w:t>сти 193 км/ч при центровке 38% САХ.</w:t>
      </w:r>
    </w:p>
    <w:p w14:paraId="32E16624" w14:textId="77777777" w:rsidR="00B06AD3" w:rsidRPr="00C33834" w:rsidRDefault="00B06AD3" w:rsidP="00C33834">
      <w:pPr>
        <w:pStyle w:val="47"/>
        <w:shd w:val="clear" w:color="auto" w:fill="auto"/>
        <w:spacing w:line="240" w:lineRule="auto"/>
        <w:ind w:firstLine="0"/>
        <w:jc w:val="both"/>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Мотор «Люцифер», заводской №1079, работал неудовлетворительно - этот двигатель отличался неуравнове</w:t>
      </w:r>
      <w:r w:rsidRPr="00C33834">
        <w:rPr>
          <w:rFonts w:ascii="Times New Roman" w:hAnsi="Times New Roman" w:cs="Times New Roman"/>
          <w:color w:val="000000" w:themeColor="text1"/>
          <w:sz w:val="16"/>
          <w:szCs w:val="16"/>
        </w:rPr>
        <w:softHyphen/>
        <w:t>шенностью и заметной тряской в рабо</w:t>
      </w:r>
      <w:r w:rsidRPr="00C33834">
        <w:rPr>
          <w:rFonts w:ascii="Times New Roman" w:hAnsi="Times New Roman" w:cs="Times New Roman"/>
          <w:color w:val="000000" w:themeColor="text1"/>
          <w:sz w:val="16"/>
          <w:szCs w:val="16"/>
        </w:rPr>
        <w:softHyphen/>
        <w:t>те. В дальнейшем предлагалось исполь</w:t>
      </w:r>
      <w:r w:rsidRPr="00C33834">
        <w:rPr>
          <w:rFonts w:ascii="Times New Roman" w:hAnsi="Times New Roman" w:cs="Times New Roman"/>
          <w:color w:val="000000" w:themeColor="text1"/>
          <w:sz w:val="16"/>
          <w:szCs w:val="16"/>
        </w:rPr>
        <w:softHyphen/>
        <w:t>зовать отечественный двигатель М-11 мощностью 100 л.с.</w:t>
      </w:r>
    </w:p>
    <w:p w14:paraId="0C18467A" w14:textId="77777777" w:rsidR="00B06AD3" w:rsidRPr="00C33834" w:rsidRDefault="00B06A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Конструкция БИЧ-7А оценивалась как перетяжеленная, в случае уменьше</w:t>
      </w:r>
      <w:r w:rsidRPr="00C33834">
        <w:rPr>
          <w:rFonts w:ascii="Times New Roman" w:hAnsi="Times New Roman"/>
          <w:color w:val="000000" w:themeColor="text1"/>
          <w:sz w:val="16"/>
          <w:szCs w:val="16"/>
        </w:rPr>
        <w:softHyphen/>
        <w:t>ния полетного веса ожидались более высокие летные показатели. Общим вы</w:t>
      </w:r>
      <w:r w:rsidRPr="00C33834">
        <w:rPr>
          <w:rFonts w:ascii="Times New Roman" w:hAnsi="Times New Roman"/>
          <w:color w:val="000000" w:themeColor="text1"/>
          <w:sz w:val="16"/>
          <w:szCs w:val="16"/>
        </w:rPr>
        <w:softHyphen/>
        <w:t>водом стало признание целесообразно</w:t>
      </w:r>
      <w:r w:rsidRPr="00C33834">
        <w:rPr>
          <w:rFonts w:ascii="Times New Roman" w:hAnsi="Times New Roman"/>
          <w:color w:val="000000" w:themeColor="text1"/>
          <w:sz w:val="16"/>
          <w:szCs w:val="16"/>
        </w:rPr>
        <w:softHyphen/>
        <w:t>сти дальнейшего изготовления новых, более совершенных с конструктивной стороны, самолетов бесхвостого типа по испытанной схеме. Б.И. Черановский за создание БИЧ-7А был награжден Ор</w:t>
      </w:r>
      <w:r w:rsidRPr="00C33834">
        <w:rPr>
          <w:rFonts w:ascii="Times New Roman" w:hAnsi="Times New Roman"/>
          <w:color w:val="000000" w:themeColor="text1"/>
          <w:sz w:val="16"/>
          <w:szCs w:val="16"/>
        </w:rPr>
        <w:softHyphen/>
        <w:t>деном Красной Звезды (17470).</w:t>
      </w:r>
    </w:p>
    <w:p w14:paraId="1A54702B" w14:textId="77777777" w:rsidR="00B06AD3" w:rsidRPr="00C33834" w:rsidRDefault="00B06AD3" w:rsidP="00C33834">
      <w:pPr>
        <w:spacing w:after="0" w:line="240" w:lineRule="auto"/>
        <w:jc w:val="both"/>
        <w:rPr>
          <w:rFonts w:ascii="Times New Roman" w:hAnsi="Times New Roman"/>
          <w:color w:val="000000" w:themeColor="text1"/>
          <w:sz w:val="16"/>
          <w:szCs w:val="16"/>
        </w:rPr>
      </w:pPr>
    </w:p>
    <w:p w14:paraId="345FDDCA" w14:textId="77777777" w:rsidR="001512A9" w:rsidRPr="00C33834" w:rsidRDefault="001512A9"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CCC62C0" w14:textId="77777777" w:rsidR="001512A9" w:rsidRPr="00C33834" w:rsidRDefault="001512A9" w:rsidP="00C33834">
      <w:pPr>
        <w:spacing w:after="0" w:line="240" w:lineRule="auto"/>
        <w:jc w:val="both"/>
        <w:rPr>
          <w:rFonts w:ascii="Times New Roman" w:hAnsi="Times New Roman"/>
          <w:iCs/>
          <w:color w:val="000000" w:themeColor="text1"/>
          <w:sz w:val="16"/>
          <w:szCs w:val="16"/>
        </w:rPr>
      </w:pPr>
    </w:p>
    <w:p w14:paraId="27F54DD2" w14:textId="77777777" w:rsidR="001512A9" w:rsidRPr="00C33834" w:rsidRDefault="001512A9" w:rsidP="00C33834">
      <w:pPr>
        <w:spacing w:after="0" w:line="240" w:lineRule="auto"/>
        <w:jc w:val="both"/>
        <w:rPr>
          <w:rFonts w:ascii="Times New Roman" w:hAnsi="Times New Roman"/>
          <w:bCs/>
          <w:color w:val="000000" w:themeColor="text1"/>
          <w:sz w:val="16"/>
          <w:szCs w:val="16"/>
        </w:rPr>
      </w:pPr>
      <w:r w:rsidRPr="00C33834">
        <w:rPr>
          <w:rFonts w:ascii="Times New Roman" w:hAnsi="Times New Roman"/>
          <w:color w:val="000000" w:themeColor="text1"/>
          <w:sz w:val="16"/>
          <w:szCs w:val="16"/>
        </w:rPr>
        <w:t>15 марта 1933 г.</w:t>
      </w:r>
    </w:p>
    <w:p w14:paraId="08B7449D" w14:textId="77777777" w:rsidR="001512A9" w:rsidRPr="00C33834" w:rsidRDefault="001512A9" w:rsidP="00C33834">
      <w:pPr>
        <w:spacing w:after="0" w:line="240" w:lineRule="auto"/>
        <w:jc w:val="both"/>
        <w:rPr>
          <w:rFonts w:ascii="Times New Roman" w:hAnsi="Times New Roman"/>
          <w:bCs/>
          <w:color w:val="000000" w:themeColor="text1"/>
          <w:sz w:val="16"/>
          <w:szCs w:val="16"/>
        </w:rPr>
      </w:pPr>
      <w:r w:rsidRPr="00C33834">
        <w:rPr>
          <w:rFonts w:ascii="Times New Roman" w:hAnsi="Times New Roman"/>
          <w:color w:val="000000" w:themeColor="text1"/>
          <w:sz w:val="16"/>
          <w:szCs w:val="16"/>
        </w:rPr>
        <w:t>Спецсправка СПО ОГПУ о положении на Шосткинском заводе № 9. 15 марта 1933 г.</w:t>
      </w:r>
    </w:p>
    <w:p w14:paraId="79CFEDE9" w14:textId="77777777" w:rsidR="001512A9" w:rsidRPr="00C33834" w:rsidRDefault="001512A9" w:rsidP="00C33834">
      <w:pPr>
        <w:spacing w:after="0" w:line="240" w:lineRule="auto"/>
        <w:jc w:val="both"/>
        <w:rPr>
          <w:rFonts w:ascii="Times New Roman" w:hAnsi="Times New Roman"/>
          <w:bCs/>
          <w:color w:val="000000" w:themeColor="text1"/>
          <w:sz w:val="16"/>
          <w:szCs w:val="16"/>
        </w:rPr>
      </w:pPr>
      <w:r w:rsidRPr="00C33834">
        <w:rPr>
          <w:rFonts w:ascii="Times New Roman" w:hAnsi="Times New Roman"/>
          <w:bCs/>
          <w:color w:val="000000" w:themeColor="text1"/>
          <w:sz w:val="16"/>
          <w:szCs w:val="16"/>
        </w:rPr>
        <w:lastRenderedPageBreak/>
        <w:t>Источник: </w:t>
      </w:r>
    </w:p>
    <w:p w14:paraId="38E6EA4C" w14:textId="77777777" w:rsidR="001512A9" w:rsidRPr="00C33834" w:rsidRDefault="001512A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«Совершенно секретно»: Лубянка — Сталину о положении в стране (1922-1934 гг.)</w:t>
      </w:r>
    </w:p>
    <w:p w14:paraId="0DB739C2" w14:textId="77777777" w:rsidR="001512A9" w:rsidRPr="00C33834" w:rsidRDefault="001512A9" w:rsidP="00C33834">
      <w:pPr>
        <w:spacing w:after="0" w:line="240" w:lineRule="auto"/>
        <w:jc w:val="both"/>
        <w:rPr>
          <w:rFonts w:ascii="Times New Roman" w:hAnsi="Times New Roman"/>
          <w:bCs/>
          <w:color w:val="000000" w:themeColor="text1"/>
          <w:sz w:val="16"/>
          <w:szCs w:val="16"/>
        </w:rPr>
      </w:pPr>
      <w:r w:rsidRPr="00C33834">
        <w:rPr>
          <w:rFonts w:ascii="Times New Roman" w:hAnsi="Times New Roman"/>
          <w:bCs/>
          <w:color w:val="000000" w:themeColor="text1"/>
          <w:sz w:val="16"/>
          <w:szCs w:val="16"/>
        </w:rPr>
        <w:t>Архив: </w:t>
      </w:r>
    </w:p>
    <w:p w14:paraId="492F7A47" w14:textId="77777777" w:rsidR="001512A9" w:rsidRPr="00C33834" w:rsidRDefault="001512A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 2. Оп. 11. Д. 37. Л. 319-321. Подлинник</w:t>
      </w:r>
    </w:p>
    <w:p w14:paraId="3D72D57A" w14:textId="77777777" w:rsidR="001512A9" w:rsidRPr="00C33834" w:rsidRDefault="001512A9" w:rsidP="00C33834">
      <w:pPr>
        <w:pStyle w:val="rteright"/>
        <w:spacing w:before="0" w:after="0"/>
        <w:jc w:val="both"/>
        <w:rPr>
          <w:color w:val="000000" w:themeColor="text1"/>
          <w:sz w:val="16"/>
          <w:szCs w:val="16"/>
        </w:rPr>
      </w:pPr>
      <w:r w:rsidRPr="00C33834">
        <w:rPr>
          <w:color w:val="000000" w:themeColor="text1"/>
          <w:sz w:val="16"/>
          <w:szCs w:val="16"/>
        </w:rPr>
        <w:t>15 марта 1933 г.</w:t>
      </w:r>
    </w:p>
    <w:p w14:paraId="7974816F" w14:textId="77777777" w:rsidR="001512A9" w:rsidRPr="00C33834" w:rsidRDefault="001512A9" w:rsidP="00C33834">
      <w:pPr>
        <w:pStyle w:val="rteright"/>
        <w:spacing w:before="0" w:after="0"/>
        <w:jc w:val="both"/>
        <w:rPr>
          <w:color w:val="000000" w:themeColor="text1"/>
          <w:sz w:val="16"/>
          <w:szCs w:val="16"/>
        </w:rPr>
      </w:pPr>
      <w:r w:rsidRPr="00C33834">
        <w:rPr>
          <w:color w:val="000000" w:themeColor="text1"/>
          <w:sz w:val="16"/>
          <w:szCs w:val="16"/>
        </w:rPr>
        <w:t>№ 14340</w:t>
      </w:r>
    </w:p>
    <w:p w14:paraId="0596708B" w14:textId="77777777" w:rsidR="001512A9" w:rsidRPr="00C33834" w:rsidRDefault="001512A9" w:rsidP="00C33834">
      <w:pPr>
        <w:pStyle w:val="rteright"/>
        <w:spacing w:before="0" w:after="0"/>
        <w:jc w:val="both"/>
        <w:rPr>
          <w:color w:val="000000" w:themeColor="text1"/>
          <w:sz w:val="16"/>
          <w:szCs w:val="16"/>
        </w:rPr>
      </w:pPr>
      <w:r w:rsidRPr="00C33834">
        <w:rPr>
          <w:color w:val="000000" w:themeColor="text1"/>
          <w:sz w:val="16"/>
          <w:szCs w:val="16"/>
        </w:rPr>
        <w:t>Совершенно секретно</w:t>
      </w:r>
    </w:p>
    <w:p w14:paraId="776849A7" w14:textId="77777777" w:rsidR="001512A9" w:rsidRPr="00C33834" w:rsidRDefault="001512A9" w:rsidP="00C33834">
      <w:pPr>
        <w:pStyle w:val="rtejustify"/>
        <w:spacing w:before="0" w:after="0"/>
        <w:rPr>
          <w:color w:val="000000" w:themeColor="text1"/>
          <w:sz w:val="16"/>
          <w:szCs w:val="16"/>
        </w:rPr>
      </w:pPr>
      <w:r w:rsidRPr="00C33834">
        <w:rPr>
          <w:color w:val="000000" w:themeColor="text1"/>
          <w:sz w:val="16"/>
          <w:szCs w:val="16"/>
        </w:rPr>
        <w:t>Продукция завода № 9 (Черниговская обл., УССР), входящего в систему Всесоюзного объединения искусственного волокна, исчисляется в ценах 1926-1927 гг. в 18 млн руб., в т.ч. военной продукции на 8,5 млн руб. В результате ряда производственных недочетов: плохого адм[инистративно]-технич[еского] руководства, частой его смены, неполного овладения технологическим процессом, несвоевременной доставки сырья, плохого ремонта оборудования, завод имеет крупные прорывы в выполнении производственной программы. Так, по группе производства пироксилина для порохов и кинопленок программа в III квартале 1932 г. выполнена на 65,1 %. За тот же период по группе бездымных порохов и зарядов программа выполнена на 49,4 %, по производству шрапнельных столбиков и дымных порохов — на 61,1 %.</w:t>
      </w:r>
    </w:p>
    <w:p w14:paraId="76DE7E9B" w14:textId="77777777" w:rsidR="001512A9" w:rsidRPr="00C33834" w:rsidRDefault="001512A9" w:rsidP="00C33834">
      <w:pPr>
        <w:pStyle w:val="rtejustify"/>
        <w:spacing w:before="0" w:after="0"/>
        <w:rPr>
          <w:color w:val="000000" w:themeColor="text1"/>
          <w:sz w:val="16"/>
          <w:szCs w:val="16"/>
        </w:rPr>
      </w:pPr>
      <w:r w:rsidRPr="00C33834">
        <w:rPr>
          <w:color w:val="000000" w:themeColor="text1"/>
          <w:sz w:val="16"/>
          <w:szCs w:val="16"/>
        </w:rPr>
        <w:t>В 1932 г. фонд зарплаты перерасходован на 9,6 %, производительность труда составляла 88,1 % и зарплата 97,7 % плана.</w:t>
      </w:r>
    </w:p>
    <w:p w14:paraId="50ABF2B9" w14:textId="77777777" w:rsidR="001512A9" w:rsidRPr="00C33834" w:rsidRDefault="001512A9" w:rsidP="00C33834">
      <w:pPr>
        <w:pStyle w:val="rtejustify"/>
        <w:spacing w:before="0" w:after="0"/>
        <w:rPr>
          <w:color w:val="000000" w:themeColor="text1"/>
          <w:sz w:val="16"/>
          <w:szCs w:val="16"/>
        </w:rPr>
      </w:pPr>
      <w:r w:rsidRPr="00C33834">
        <w:rPr>
          <w:color w:val="000000" w:themeColor="text1"/>
          <w:sz w:val="16"/>
          <w:szCs w:val="16"/>
        </w:rPr>
        <w:t>Материалы о производственных недочетах переданы в ЭКО облотдела для разработки и принятия мер.</w:t>
      </w:r>
    </w:p>
    <w:p w14:paraId="6F8B8B21" w14:textId="77777777" w:rsidR="001512A9" w:rsidRPr="00C33834" w:rsidRDefault="001512A9" w:rsidP="00C33834">
      <w:pPr>
        <w:pStyle w:val="rtejustify"/>
        <w:spacing w:before="0" w:after="0"/>
        <w:rPr>
          <w:color w:val="000000" w:themeColor="text1"/>
          <w:sz w:val="16"/>
          <w:szCs w:val="16"/>
        </w:rPr>
      </w:pPr>
      <w:r w:rsidRPr="00C33834">
        <w:rPr>
          <w:color w:val="000000" w:themeColor="text1"/>
          <w:sz w:val="16"/>
          <w:szCs w:val="16"/>
        </w:rPr>
        <w:t>Аппарат ТНБ засорен социально] чуждыми элементами. Начальник ТНБ — сын попа; один из нормировщиков и хронометражист по несколько раз увольнялись за разные проступки с завода. Нормировщики не имеют соответствующей квалификации. В результате работа ТНБ имеет существенные недочеты. В расценках и нормах разнобой, более квалифицированные рабочие получают меньше, чем менее квалифицированные.</w:t>
      </w:r>
    </w:p>
    <w:p w14:paraId="57656EB8" w14:textId="77777777" w:rsidR="001512A9" w:rsidRPr="00C33834" w:rsidRDefault="001512A9" w:rsidP="00C33834">
      <w:pPr>
        <w:pStyle w:val="rtejustify"/>
        <w:spacing w:before="0" w:after="0"/>
        <w:rPr>
          <w:color w:val="000000" w:themeColor="text1"/>
          <w:sz w:val="16"/>
          <w:szCs w:val="16"/>
        </w:rPr>
      </w:pPr>
      <w:r w:rsidRPr="00C33834">
        <w:rPr>
          <w:color w:val="000000" w:themeColor="text1"/>
          <w:sz w:val="16"/>
          <w:szCs w:val="16"/>
        </w:rPr>
        <w:t>Систематически задерживается зарплата рабочим на 2-3 недели и больше. Причиной этого является несвоевременная сдача заводом готовой продукции и недостаток денег в банке.</w:t>
      </w:r>
    </w:p>
    <w:p w14:paraId="69555AE3" w14:textId="77777777" w:rsidR="001512A9" w:rsidRPr="00C33834" w:rsidRDefault="001512A9" w:rsidP="00C33834">
      <w:pPr>
        <w:pStyle w:val="rtejustify"/>
        <w:spacing w:before="0" w:after="0"/>
        <w:rPr>
          <w:color w:val="000000" w:themeColor="text1"/>
          <w:sz w:val="16"/>
          <w:szCs w:val="16"/>
        </w:rPr>
      </w:pPr>
      <w:r w:rsidRPr="00C33834">
        <w:rPr>
          <w:color w:val="000000" w:themeColor="text1"/>
          <w:sz w:val="16"/>
          <w:szCs w:val="16"/>
        </w:rPr>
        <w:t>Состояние снабжения рабочих и общественного питания неудовлетворительное. ЗРК почти не проводил самозаготовок. В столовых очереди, часто не бывает хлеба. В декабре 1932 г. нами арестован и предан суду ряд работников Коопхарча за различные злоупотребления.</w:t>
      </w:r>
    </w:p>
    <w:p w14:paraId="0A8CB2B3" w14:textId="77777777" w:rsidR="001512A9" w:rsidRPr="00C33834" w:rsidRDefault="001512A9" w:rsidP="00C33834">
      <w:pPr>
        <w:pStyle w:val="rtejustify"/>
        <w:spacing w:before="0" w:after="0"/>
        <w:rPr>
          <w:color w:val="000000" w:themeColor="text1"/>
          <w:sz w:val="16"/>
          <w:szCs w:val="16"/>
        </w:rPr>
      </w:pPr>
      <w:r w:rsidRPr="00C33834">
        <w:rPr>
          <w:color w:val="000000" w:themeColor="text1"/>
          <w:sz w:val="16"/>
          <w:szCs w:val="16"/>
        </w:rPr>
        <w:t>Выездной сессией Киевского облсуда зав. базой Коопхарча — бывший стражник, приговорен к расстрелу, остальные — к лишению свободы на разные сроки.</w:t>
      </w:r>
    </w:p>
    <w:p w14:paraId="52B036A5" w14:textId="77777777" w:rsidR="001512A9" w:rsidRPr="00C33834" w:rsidRDefault="001512A9" w:rsidP="00C33834">
      <w:pPr>
        <w:pStyle w:val="rtejustify"/>
        <w:spacing w:before="0" w:after="0"/>
        <w:rPr>
          <w:color w:val="000000" w:themeColor="text1"/>
          <w:sz w:val="16"/>
          <w:szCs w:val="16"/>
        </w:rPr>
      </w:pPr>
      <w:r w:rsidRPr="00C33834">
        <w:rPr>
          <w:color w:val="000000" w:themeColor="text1"/>
          <w:sz w:val="16"/>
          <w:szCs w:val="16"/>
        </w:rPr>
        <w:t>Совершенно неудовлетворительны жилищные условия рабочих. Заводские дома и бараки в большинстве не приспособлены для жилья и вмещают всего 20 % рабочих. Остальные живут по деревням.</w:t>
      </w:r>
    </w:p>
    <w:p w14:paraId="4D2D4BEE" w14:textId="77777777" w:rsidR="001512A9" w:rsidRPr="00C33834" w:rsidRDefault="001512A9" w:rsidP="00C33834">
      <w:pPr>
        <w:pStyle w:val="rtejustify"/>
        <w:spacing w:before="0" w:after="0"/>
        <w:rPr>
          <w:color w:val="000000" w:themeColor="text1"/>
          <w:sz w:val="16"/>
          <w:szCs w:val="16"/>
        </w:rPr>
      </w:pPr>
      <w:r w:rsidRPr="00C33834">
        <w:rPr>
          <w:color w:val="000000" w:themeColor="text1"/>
          <w:sz w:val="16"/>
          <w:szCs w:val="16"/>
        </w:rPr>
        <w:t>В результате всего этого имеется большая текучесть рабсилы. При общем количестве рабочих в 4500 человек за 5 м[еся]цев 1932 г. ушло 1911 человек, вновь принято 1600 человек.</w:t>
      </w:r>
    </w:p>
    <w:p w14:paraId="5DC6CA31" w14:textId="77777777" w:rsidR="001512A9" w:rsidRPr="00C33834" w:rsidRDefault="001512A9" w:rsidP="00C33834">
      <w:pPr>
        <w:pStyle w:val="rtejustify"/>
        <w:spacing w:before="0" w:after="0"/>
        <w:rPr>
          <w:color w:val="000000" w:themeColor="text1"/>
          <w:sz w:val="16"/>
          <w:szCs w:val="16"/>
        </w:rPr>
      </w:pPr>
      <w:r w:rsidRPr="00C33834">
        <w:rPr>
          <w:color w:val="000000" w:themeColor="text1"/>
          <w:sz w:val="16"/>
          <w:szCs w:val="16"/>
        </w:rPr>
        <w:t>Значительная прослойка связанных с сельским хозяйством рабочих создает благоприятную почву для распространения а/с настроений на заводе.</w:t>
      </w:r>
    </w:p>
    <w:p w14:paraId="2E47A6BF" w14:textId="77777777" w:rsidR="001512A9" w:rsidRPr="00C33834" w:rsidRDefault="001512A9" w:rsidP="00C33834">
      <w:pPr>
        <w:pStyle w:val="rtejustify"/>
        <w:spacing w:before="0" w:after="0"/>
        <w:rPr>
          <w:color w:val="000000" w:themeColor="text1"/>
          <w:sz w:val="16"/>
          <w:szCs w:val="16"/>
        </w:rPr>
      </w:pPr>
      <w:r w:rsidRPr="00C33834">
        <w:rPr>
          <w:color w:val="000000" w:themeColor="text1"/>
          <w:sz w:val="16"/>
          <w:szCs w:val="16"/>
        </w:rPr>
        <w:t>В 1932 г. органами ОГПУ удалено с завода как социально] чужд[ого] элемента 175 человек, а также ликвидирована а/с группировка рабочих в количестве 5 человек, руководимая бывшим меньшевиком и ставившая задачей подготовку вооруженного восстания.</w:t>
      </w:r>
    </w:p>
    <w:p w14:paraId="0DD4CB46" w14:textId="77777777" w:rsidR="001512A9" w:rsidRPr="00C33834" w:rsidRDefault="001512A9" w:rsidP="00C33834">
      <w:pPr>
        <w:pStyle w:val="rtejustify"/>
        <w:spacing w:before="0" w:after="0"/>
        <w:rPr>
          <w:color w:val="000000" w:themeColor="text1"/>
          <w:sz w:val="16"/>
          <w:szCs w:val="16"/>
        </w:rPr>
      </w:pPr>
      <w:r w:rsidRPr="00C33834">
        <w:rPr>
          <w:color w:val="000000" w:themeColor="text1"/>
          <w:sz w:val="16"/>
          <w:szCs w:val="16"/>
        </w:rPr>
        <w:t>СПО ГПУ УССР приняты меры к усилению агентурно-опер[ативного] обслуживания завода.</w:t>
      </w:r>
    </w:p>
    <w:p w14:paraId="378706C2" w14:textId="77777777" w:rsidR="001512A9" w:rsidRPr="00C33834" w:rsidRDefault="001512A9" w:rsidP="00C33834">
      <w:pPr>
        <w:pStyle w:val="rteright"/>
        <w:spacing w:before="0" w:after="0"/>
        <w:jc w:val="both"/>
        <w:rPr>
          <w:color w:val="000000" w:themeColor="text1"/>
          <w:sz w:val="16"/>
          <w:szCs w:val="16"/>
        </w:rPr>
      </w:pPr>
      <w:r w:rsidRPr="00C33834">
        <w:rPr>
          <w:color w:val="000000" w:themeColor="text1"/>
          <w:sz w:val="16"/>
          <w:szCs w:val="16"/>
        </w:rPr>
        <w:t>Начальник СПО ОГПУ Молчанов</w:t>
      </w:r>
    </w:p>
    <w:p w14:paraId="521B2182" w14:textId="77777777" w:rsidR="001512A9" w:rsidRPr="00C33834" w:rsidRDefault="001512A9" w:rsidP="00C33834">
      <w:pPr>
        <w:pStyle w:val="rteright"/>
        <w:spacing w:before="0" w:after="0"/>
        <w:jc w:val="both"/>
        <w:rPr>
          <w:color w:val="000000" w:themeColor="text1"/>
          <w:sz w:val="16"/>
          <w:szCs w:val="16"/>
        </w:rPr>
      </w:pPr>
      <w:r w:rsidRPr="00C33834">
        <w:rPr>
          <w:color w:val="000000" w:themeColor="text1"/>
          <w:sz w:val="16"/>
          <w:szCs w:val="16"/>
        </w:rPr>
        <w:t>Начальник 1-го отделения СПО Рутковский</w:t>
      </w:r>
    </w:p>
    <w:p w14:paraId="75E15AAE" w14:textId="77777777" w:rsidR="001512A9" w:rsidRPr="00C33834" w:rsidRDefault="001512A9" w:rsidP="00C33834">
      <w:pPr>
        <w:pStyle w:val="ae"/>
        <w:spacing w:before="0" w:after="0"/>
        <w:jc w:val="both"/>
        <w:rPr>
          <w:color w:val="000000" w:themeColor="text1"/>
          <w:sz w:val="16"/>
          <w:szCs w:val="16"/>
        </w:rPr>
      </w:pPr>
      <w:r w:rsidRPr="00C33834">
        <w:rPr>
          <w:color w:val="000000" w:themeColor="text1"/>
          <w:sz w:val="16"/>
          <w:szCs w:val="16"/>
        </w:rPr>
        <w:t>Рассылается:</w:t>
      </w:r>
    </w:p>
    <w:p w14:paraId="6160B8F9" w14:textId="77777777" w:rsidR="001512A9" w:rsidRPr="00C33834" w:rsidRDefault="001512A9" w:rsidP="00C33834">
      <w:pPr>
        <w:pStyle w:val="ae"/>
        <w:spacing w:before="0" w:after="0"/>
        <w:jc w:val="both"/>
        <w:rPr>
          <w:color w:val="000000" w:themeColor="text1"/>
          <w:sz w:val="16"/>
          <w:szCs w:val="16"/>
        </w:rPr>
      </w:pPr>
      <w:r w:rsidRPr="00C33834">
        <w:rPr>
          <w:color w:val="000000" w:themeColor="text1"/>
          <w:sz w:val="16"/>
          <w:szCs w:val="16"/>
        </w:rPr>
        <w:t>1) Менжинскому; 2) Ягоде; 3) Прокофьеву; 4) Агранову.</w:t>
      </w:r>
    </w:p>
    <w:p w14:paraId="56A51AB9" w14:textId="77777777" w:rsidR="001512A9" w:rsidRPr="00C33834" w:rsidRDefault="001512A9" w:rsidP="00C33834">
      <w:pPr>
        <w:pStyle w:val="ae"/>
        <w:spacing w:before="0" w:after="0"/>
        <w:jc w:val="both"/>
        <w:rPr>
          <w:color w:val="000000" w:themeColor="text1"/>
          <w:sz w:val="16"/>
          <w:szCs w:val="16"/>
        </w:rPr>
      </w:pPr>
      <w:r w:rsidRPr="00C33834">
        <w:rPr>
          <w:rStyle w:val="af0"/>
          <w:i w:val="0"/>
          <w:color w:val="000000" w:themeColor="text1"/>
          <w:sz w:val="16"/>
          <w:szCs w:val="16"/>
        </w:rPr>
        <w:t>Ф. 2. Оп. 11. Д. 37. Л. 319-321. Подлинник (19173)</w:t>
      </w:r>
      <w:r w:rsidRPr="00C33834">
        <w:rPr>
          <w:color w:val="000000" w:themeColor="text1"/>
          <w:sz w:val="16"/>
          <w:szCs w:val="16"/>
        </w:rPr>
        <w:t>.</w:t>
      </w:r>
    </w:p>
    <w:p w14:paraId="16FF0520" w14:textId="77777777" w:rsidR="001512A9" w:rsidRPr="00C33834" w:rsidRDefault="001512A9" w:rsidP="00C33834">
      <w:pPr>
        <w:spacing w:after="0" w:line="240" w:lineRule="auto"/>
        <w:jc w:val="both"/>
        <w:rPr>
          <w:rFonts w:ascii="Times New Roman" w:hAnsi="Times New Roman"/>
          <w:color w:val="000000" w:themeColor="text1"/>
          <w:sz w:val="16"/>
          <w:szCs w:val="16"/>
        </w:rPr>
      </w:pPr>
    </w:p>
    <w:p w14:paraId="50744EE7" w14:textId="77777777" w:rsidR="0047435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1903C930" w14:textId="77777777" w:rsidR="00474353" w:rsidRPr="00C33834" w:rsidRDefault="0047435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14A050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марта 1933 г. из письма Кризского-Пархоменко Ворошилову</w:t>
      </w:r>
    </w:p>
    <w:p w14:paraId="4FB018D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Клим Ефремович, я писал тебе одно письмо, в котором касался посевного вопроса. Сейчас на этот участок обращено большое внимание. Что, конечно, меня радует и успокаивает; я не хочу этим сказать, что мой сигнал был своевременным, я скорей думаю, что это совпадение. Я написал, а Вы уж к этому готовились, но я думаю, что нет большой беды, что кой-когда пишу. Я думаю и надеюсь, что обижаться не будешь, если у тебя не изменился характер, когда ты получил аттестат зрелости, т. е. образование. Я хочу себя упокоить, еще написать о некоторых недостатках. Эти недостатки покажутся тебе мелочными, но я убедился, что надо всякие мелочи пропускать через Вас. На местах без особых директив дела продвигаются скверно, чтобы выправить социалистическое хозяйство необходимо все предусмотренные недостатки проводить законодательным порядком. Мною наблюдалось следующее: </w:t>
      </w:r>
    </w:p>
    <w:p w14:paraId="31B6B40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Мы получаем дорогостоящее импортное оборудование. И вот как получили, установили, ну и крути, а вот машины очень сложного характера, они имеют еще десятки приспособлений. Так вот, за этими приспособлениями никто не смотрит, а без них машины, любой станок — грош стоит, а у нас уже многие станки остались без приспособлений. </w:t>
      </w:r>
    </w:p>
    <w:p w14:paraId="4925069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Я предлагаю метод сохранности. Надо на каждый станок и на каждую машину иметь прейскурант, чтобы с каждого станка все запчасти были бы вычерчены, начиная от станины и кончая масленкой, ключом и отверткой, непременно в двух экземплярах. Один должен храниться в материальной бухгалтерии, другой в цеху в конторе, для чего? А вот для чего: в материальной бухгалтерии как документ основного капитала и проверки, а в цех. конторе для росписи рабочему, получившему станок, чтобы он взял прейскурант и по нем проверял бы все запчасти и приспособления, и тут же в нем самом прейскуранте расписался бы, что он принял и обязуется хранить, и, уходя, должен все сдать. </w:t>
      </w:r>
    </w:p>
    <w:p w14:paraId="2C79F85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Без этого у нас обезличка еще долго будет разгуливать. Вы бы посмотрели: на местах еще, жутко сказать, бывает на 6-7 станков один ключ для перестановки резцов, где же тут может производительность труда — ежели понадобится приспособление в виде стойки или патрончика, или какой шестерни для нарезки резьбы, так всю мастерскую излазит — ищет, а ее уже давно свезли в мусор, в лом попала. И так очень много времени пропадает на напрасные розыски. Следовательно, в прейскуранте есть большая нужда, он сохранит имущество, даст производительность и приучит молодежь беречь. </w:t>
      </w:r>
    </w:p>
    <w:p w14:paraId="5E37F6C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Я стараюсь меньше писать, я знаю тебя, что ты это лучше меня найдешь необходимым основанием. Я только стараюсь напомнить... Так вот, дорогой товарищ Клим Ефремович, я тебе напоминаю, а может, это все уже подготовлено, я не знаю, а вполне надеюсь, что все хорошее примешь, а ворошить ты хороший мастер — недаром же твоя фамилия Ворошилов. Очевидно, твои предки тоже ворошили... </w:t>
      </w:r>
    </w:p>
    <w:p w14:paraId="2402B80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Клим Ефремович, я думаю, что ты хоть и получил аттестат зрелости, но характер у тебя должен остаться природный, а раз так, так продумаешь это дело. Сообщаю, что я сейчас переехал в Харьков... Хотел было в Москву удрать, побоялся, сам не устроюсь, к тебе звонить насчет помощи — боюсь надоедать. Поступаю по коммерческой части. Завом торготдела. Поработаю (11652).</w:t>
      </w:r>
    </w:p>
    <w:p w14:paraId="175A19C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769B4366" w14:textId="77777777" w:rsidR="0047435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D75A008" w14:textId="77777777" w:rsidR="00474353" w:rsidRPr="00C33834" w:rsidRDefault="0047435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489360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марта 1933 А.Гитлер провозгласил Третий Рейх в германии, запретил левые газеты и кошерную пищу (3481).</w:t>
      </w:r>
    </w:p>
    <w:p w14:paraId="7EEADD0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132DFC4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марта 1933 мандаты коммунистов были объявлены недействительными, 24 марта был принят закон о наделении Гитлера чрезвычайными полномочиями, который не только де-факто, но и де-юре свел на нет роль райхстага как высшего законодательного органа страны. «Имперские законы могут издаваться имперским правительством», — говорилось в этом законе (Dokumente der deutschen Politik. Bd. l, Berlin 1942. S. 61.). Поддерживать отношения с режимом, выступавшим с крайних позиций антикоммунизма, антисоветизма и антисемитизма и установившим в короткий срок жесточайший террор внутри страны, Москва не решилась. Военного министра Бломберга (Крестинский называл его «наш друг» и «дружественный человек» (АВП РФ, ф. 05, оп. 9, п. 45, д. 32, л. 114.)) она вряд ли могла — в отличие от Шляйхера — рассматривать как гаранта сохранения прежнего качества отношений между СССР и Германией. И хотя Гитлер в своем правительственном заявлении в райхстаге 23 марта 1933 г. заявил о своих намерениях «сохранить дружеские отношения с СССР» негативное отношение советских лидеров к Гитлеру не ослабло (11784).</w:t>
      </w:r>
    </w:p>
    <w:p w14:paraId="66342C8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7A9DE141" w14:textId="77777777" w:rsidR="0047435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5D7781F" w14:textId="77777777" w:rsidR="00474353" w:rsidRPr="00C33834" w:rsidRDefault="0047435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627FA5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марта 1933 была подготовлена Справка о состоянии работ по выполнению заданий Правительства на 10.III-1933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7493"/>
      </w:tblGrid>
      <w:tr w:rsidR="00F26F01" w:rsidRPr="00C33834" w14:paraId="16F7B140" w14:textId="77777777">
        <w:tc>
          <w:tcPr>
            <w:tcW w:w="2254" w:type="dxa"/>
          </w:tcPr>
          <w:p w14:paraId="46BB43C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Задание</w:t>
            </w:r>
          </w:p>
        </w:tc>
        <w:tc>
          <w:tcPr>
            <w:tcW w:w="7493" w:type="dxa"/>
          </w:tcPr>
          <w:p w14:paraId="19240C4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Краткое состояние.</w:t>
            </w:r>
          </w:p>
        </w:tc>
      </w:tr>
      <w:tr w:rsidR="00F26F01" w:rsidRPr="00C33834" w14:paraId="71E42E78" w14:textId="77777777">
        <w:tc>
          <w:tcPr>
            <w:tcW w:w="2254" w:type="dxa"/>
          </w:tcPr>
          <w:p w14:paraId="3757933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Изготовить 20 самолетов</w:t>
            </w:r>
          </w:p>
        </w:tc>
        <w:tc>
          <w:tcPr>
            <w:tcW w:w="7493" w:type="dxa"/>
          </w:tcPr>
          <w:p w14:paraId="35B8140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 типа Z, с пушечными установками</w:t>
            </w:r>
          </w:p>
        </w:tc>
      </w:tr>
      <w:tr w:rsidR="00F26F01" w:rsidRPr="00C33834" w14:paraId="4F5455D0" w14:textId="77777777">
        <w:tc>
          <w:tcPr>
            <w:tcW w:w="2254" w:type="dxa"/>
          </w:tcPr>
          <w:p w14:paraId="59D7B61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перехватч. 7.XII-31 г.</w:t>
            </w:r>
          </w:p>
        </w:tc>
        <w:tc>
          <w:tcPr>
            <w:tcW w:w="7493" w:type="dxa"/>
          </w:tcPr>
          <w:p w14:paraId="4370896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д.б. изготовить завод N 39. Выпуск самолетов</w:t>
            </w:r>
          </w:p>
        </w:tc>
      </w:tr>
      <w:tr w:rsidR="00F26F01" w:rsidRPr="00C33834" w14:paraId="340A4488" w14:textId="77777777">
        <w:tc>
          <w:tcPr>
            <w:tcW w:w="2254" w:type="dxa"/>
          </w:tcPr>
          <w:p w14:paraId="716CF02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B457E4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задерживался недоработанностью специального</w:t>
            </w:r>
          </w:p>
        </w:tc>
      </w:tr>
      <w:tr w:rsidR="00F26F01" w:rsidRPr="00C33834" w14:paraId="4B974A16" w14:textId="77777777">
        <w:tc>
          <w:tcPr>
            <w:tcW w:w="2254" w:type="dxa"/>
          </w:tcPr>
          <w:p w14:paraId="08F3EE0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10017A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вооружения. В настоящее время на одном из</w:t>
            </w:r>
          </w:p>
        </w:tc>
      </w:tr>
      <w:tr w:rsidR="00F26F01" w:rsidRPr="00C33834" w14:paraId="605087D3" w14:textId="77777777">
        <w:tc>
          <w:tcPr>
            <w:tcW w:w="2254" w:type="dxa"/>
          </w:tcPr>
          <w:p w14:paraId="06021C9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A0F843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самолетов опробована стрельба в воздухе.</w:t>
            </w:r>
          </w:p>
        </w:tc>
      </w:tr>
      <w:tr w:rsidR="00F26F01" w:rsidRPr="00C33834" w14:paraId="296A0648" w14:textId="77777777">
        <w:tc>
          <w:tcPr>
            <w:tcW w:w="2254" w:type="dxa"/>
          </w:tcPr>
          <w:p w14:paraId="0C7792E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24C6FC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Предварительные результаты удовлетворительны.</w:t>
            </w:r>
          </w:p>
        </w:tc>
      </w:tr>
      <w:tr w:rsidR="00F26F01" w:rsidRPr="00C33834" w14:paraId="4C7F0F61" w14:textId="77777777">
        <w:tc>
          <w:tcPr>
            <w:tcW w:w="2254" w:type="dxa"/>
          </w:tcPr>
          <w:p w14:paraId="637FC6D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37FBA89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Подготовляются к сдаче 10 самолетов. Самолеты</w:t>
            </w:r>
          </w:p>
        </w:tc>
      </w:tr>
      <w:tr w:rsidR="00F26F01" w:rsidRPr="00C33834" w14:paraId="2FB5B105" w14:textId="77777777">
        <w:tc>
          <w:tcPr>
            <w:tcW w:w="2254" w:type="dxa"/>
          </w:tcPr>
          <w:p w14:paraId="417DDF5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4EEFEE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могут сдаваться по мере доставки специального</w:t>
            </w:r>
          </w:p>
        </w:tc>
      </w:tr>
      <w:tr w:rsidR="00F26F01" w:rsidRPr="00C33834" w14:paraId="0F323DEC" w14:textId="77777777">
        <w:tc>
          <w:tcPr>
            <w:tcW w:w="2254" w:type="dxa"/>
          </w:tcPr>
          <w:p w14:paraId="6854E32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B9A72C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вооружения.</w:t>
            </w:r>
          </w:p>
        </w:tc>
      </w:tr>
      <w:tr w:rsidR="00F26F01" w:rsidRPr="00C33834" w14:paraId="70C295EE" w14:textId="77777777">
        <w:tc>
          <w:tcPr>
            <w:tcW w:w="2254" w:type="dxa"/>
          </w:tcPr>
          <w:p w14:paraId="157E435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Изготовить самолет</w:t>
            </w:r>
          </w:p>
        </w:tc>
        <w:tc>
          <w:tcPr>
            <w:tcW w:w="7493" w:type="dxa"/>
          </w:tcPr>
          <w:p w14:paraId="27EAAB8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находится в постройке и будет готов</w:t>
            </w:r>
          </w:p>
        </w:tc>
      </w:tr>
      <w:tr w:rsidR="00F26F01" w:rsidRPr="00C33834" w14:paraId="3D6D2366" w14:textId="77777777">
        <w:tc>
          <w:tcPr>
            <w:tcW w:w="2254" w:type="dxa"/>
          </w:tcPr>
          <w:p w14:paraId="73FEC76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рекорда на</w:t>
            </w:r>
          </w:p>
        </w:tc>
        <w:tc>
          <w:tcPr>
            <w:tcW w:w="7493" w:type="dxa"/>
          </w:tcPr>
          <w:p w14:paraId="103431F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предварительных полетов в мае с.г.</w:t>
            </w:r>
          </w:p>
        </w:tc>
      </w:tr>
      <w:tr w:rsidR="00F26F01" w:rsidRPr="00C33834" w14:paraId="672472A9" w14:textId="77777777">
        <w:tc>
          <w:tcPr>
            <w:tcW w:w="2254" w:type="dxa"/>
          </w:tcPr>
          <w:p w14:paraId="1EF3DE0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7.XII-31 г.</w:t>
            </w:r>
          </w:p>
        </w:tc>
        <w:tc>
          <w:tcPr>
            <w:tcW w:w="7493" w:type="dxa"/>
          </w:tcPr>
          <w:p w14:paraId="0C9910C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проведения рекорда необходимы:</w:t>
            </w:r>
          </w:p>
        </w:tc>
      </w:tr>
      <w:tr w:rsidR="00F26F01" w:rsidRPr="00C33834" w14:paraId="65BF3A03" w14:textId="77777777">
        <w:tc>
          <w:tcPr>
            <w:tcW w:w="2254" w:type="dxa"/>
          </w:tcPr>
          <w:p w14:paraId="7C4FA03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5C29AF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Изготовление специальных моторов (10 шт. М34),</w:t>
            </w:r>
          </w:p>
        </w:tc>
      </w:tr>
      <w:tr w:rsidR="00F26F01" w:rsidRPr="00C33834" w14:paraId="636B04CE" w14:textId="77777777">
        <w:tc>
          <w:tcPr>
            <w:tcW w:w="2254" w:type="dxa"/>
          </w:tcPr>
          <w:p w14:paraId="742167D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4099B2B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Подготовить и натренировать двойной экипаж,</w:t>
            </w:r>
          </w:p>
        </w:tc>
      </w:tr>
      <w:tr w:rsidR="00F26F01" w:rsidRPr="00C33834" w14:paraId="0091096A" w14:textId="77777777">
        <w:tc>
          <w:tcPr>
            <w:tcW w:w="2254" w:type="dxa"/>
          </w:tcPr>
          <w:p w14:paraId="1BA42E4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048F17C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Подготовить бронированную взлетную дорожку,</w:t>
            </w:r>
          </w:p>
        </w:tc>
      </w:tr>
      <w:tr w:rsidR="00F26F01" w:rsidRPr="00C33834" w14:paraId="4021E5AA" w14:textId="77777777">
        <w:tc>
          <w:tcPr>
            <w:tcW w:w="2254" w:type="dxa"/>
          </w:tcPr>
          <w:p w14:paraId="5722D73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EA80DA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4. Выбрать маршрут и изучить метеорологические </w:t>
            </w:r>
          </w:p>
        </w:tc>
      </w:tr>
      <w:tr w:rsidR="00F26F01" w:rsidRPr="00C33834" w14:paraId="495C9E27" w14:textId="77777777">
        <w:tc>
          <w:tcPr>
            <w:tcW w:w="2254" w:type="dxa"/>
          </w:tcPr>
          <w:p w14:paraId="6F74849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40FB34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условия,</w:t>
            </w:r>
          </w:p>
        </w:tc>
      </w:tr>
      <w:tr w:rsidR="00F26F01" w:rsidRPr="00C33834" w14:paraId="1D31B30F" w14:textId="77777777">
        <w:tc>
          <w:tcPr>
            <w:tcW w:w="2254" w:type="dxa"/>
          </w:tcPr>
          <w:p w14:paraId="012C1A5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3FAF26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Подготовить и изучить самолет с мотором.</w:t>
            </w:r>
          </w:p>
        </w:tc>
      </w:tr>
      <w:tr w:rsidR="00F26F01" w:rsidRPr="00C33834" w14:paraId="0BC63F2D" w14:textId="77777777">
        <w:tc>
          <w:tcPr>
            <w:tcW w:w="2254" w:type="dxa"/>
          </w:tcPr>
          <w:p w14:paraId="16AF056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37006E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этого необходимо отдельные денежные средства</w:t>
            </w:r>
          </w:p>
        </w:tc>
      </w:tr>
      <w:tr w:rsidR="00F26F01" w:rsidRPr="00C33834" w14:paraId="096DB481" w14:textId="77777777">
        <w:tc>
          <w:tcPr>
            <w:tcW w:w="2254" w:type="dxa"/>
          </w:tcPr>
          <w:p w14:paraId="4F725C6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14F474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 м.р.). При наличии указанного полет на дальность</w:t>
            </w:r>
          </w:p>
        </w:tc>
      </w:tr>
      <w:tr w:rsidR="00F26F01" w:rsidRPr="00C33834" w14:paraId="07CEA9AE" w14:textId="77777777">
        <w:tc>
          <w:tcPr>
            <w:tcW w:w="2254" w:type="dxa"/>
          </w:tcPr>
          <w:p w14:paraId="50B2605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6272BF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(9000 - 13000 км) может быть совершен - IX-33 г.</w:t>
            </w:r>
          </w:p>
        </w:tc>
      </w:tr>
      <w:tr w:rsidR="00F26F01" w:rsidRPr="00C33834" w14:paraId="14525485" w14:textId="77777777">
        <w:tc>
          <w:tcPr>
            <w:tcW w:w="2254" w:type="dxa"/>
          </w:tcPr>
          <w:p w14:paraId="1E5030D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056F27B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 докладывался неоднократно и имеется в отчете</w:t>
            </w:r>
          </w:p>
        </w:tc>
      </w:tr>
      <w:tr w:rsidR="00F26F01" w:rsidRPr="00C33834" w14:paraId="32D9AF7D" w14:textId="77777777">
        <w:tc>
          <w:tcPr>
            <w:tcW w:w="2254" w:type="dxa"/>
          </w:tcPr>
          <w:p w14:paraId="3581340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38B5D5D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1932 г., посланный в СТО 25.I-33 г.</w:t>
            </w:r>
          </w:p>
        </w:tc>
      </w:tr>
      <w:tr w:rsidR="00F26F01" w:rsidRPr="00C33834" w14:paraId="348CAE2A" w14:textId="77777777">
        <w:tc>
          <w:tcPr>
            <w:tcW w:w="2254" w:type="dxa"/>
          </w:tcPr>
          <w:p w14:paraId="642E171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Проработать установку</w:t>
            </w:r>
          </w:p>
        </w:tc>
        <w:tc>
          <w:tcPr>
            <w:tcW w:w="7493" w:type="dxa"/>
          </w:tcPr>
          <w:p w14:paraId="5738AE8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Помимо проработки вопроса в научно-исследовательском</w:t>
            </w:r>
          </w:p>
        </w:tc>
      </w:tr>
      <w:tr w:rsidR="00F26F01" w:rsidRPr="00C33834" w14:paraId="59AC5EAE" w14:textId="77777777">
        <w:tc>
          <w:tcPr>
            <w:tcW w:w="2254" w:type="dxa"/>
          </w:tcPr>
          <w:p w14:paraId="1402466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разрезных крыльев на</w:t>
            </w:r>
          </w:p>
        </w:tc>
        <w:tc>
          <w:tcPr>
            <w:tcW w:w="7493" w:type="dxa"/>
          </w:tcPr>
          <w:p w14:paraId="3654437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порядке, был выбран серийный самолет Р-5-М17 и</w:t>
            </w:r>
          </w:p>
        </w:tc>
      </w:tr>
      <w:tr w:rsidR="00F26F01" w:rsidRPr="00C33834" w14:paraId="542E84F8" w14:textId="77777777">
        <w:tc>
          <w:tcPr>
            <w:tcW w:w="2254" w:type="dxa"/>
          </w:tcPr>
          <w:p w14:paraId="44B9132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самолете серийного</w:t>
            </w:r>
          </w:p>
        </w:tc>
        <w:tc>
          <w:tcPr>
            <w:tcW w:w="7493" w:type="dxa"/>
          </w:tcPr>
          <w:p w14:paraId="0B1F8B4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изготовлены к нему два варианта разрезных крыльев</w:t>
            </w:r>
          </w:p>
        </w:tc>
      </w:tr>
      <w:tr w:rsidR="00F26F01" w:rsidRPr="00C33834" w14:paraId="6EEC66F2" w14:textId="77777777">
        <w:tc>
          <w:tcPr>
            <w:tcW w:w="2254" w:type="dxa"/>
          </w:tcPr>
          <w:p w14:paraId="17B0130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производства 7.II.32 г.</w:t>
            </w:r>
          </w:p>
        </w:tc>
        <w:tc>
          <w:tcPr>
            <w:tcW w:w="7493" w:type="dxa"/>
          </w:tcPr>
          <w:p w14:paraId="58D7EEA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(механического и автоматического управления). Оба</w:t>
            </w:r>
          </w:p>
        </w:tc>
      </w:tr>
      <w:tr w:rsidR="00F26F01" w:rsidRPr="00C33834" w14:paraId="196A5D38" w14:textId="77777777">
        <w:tc>
          <w:tcPr>
            <w:tcW w:w="2254" w:type="dxa"/>
          </w:tcPr>
          <w:p w14:paraId="7E3634A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008F6D8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варианта испытаны. 1-й в ЦАГИ и НИИ ВВС, а 2-й</w:t>
            </w:r>
          </w:p>
        </w:tc>
      </w:tr>
      <w:tr w:rsidR="00F26F01" w:rsidRPr="00C33834" w14:paraId="75A287A2" w14:textId="77777777">
        <w:tc>
          <w:tcPr>
            <w:tcW w:w="2254" w:type="dxa"/>
          </w:tcPr>
          <w:p w14:paraId="2086DA2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06BE0F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заканчивает испытание в ЦАГИ и на днях должен быть</w:t>
            </w:r>
          </w:p>
        </w:tc>
      </w:tr>
      <w:tr w:rsidR="00F26F01" w:rsidRPr="00C33834" w14:paraId="2D1A44C7" w14:textId="77777777">
        <w:tc>
          <w:tcPr>
            <w:tcW w:w="2254" w:type="dxa"/>
          </w:tcPr>
          <w:p w14:paraId="773A4BE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27EFF7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передан НИИ ВВС.</w:t>
            </w:r>
          </w:p>
        </w:tc>
      </w:tr>
      <w:tr w:rsidR="00F26F01" w:rsidRPr="00C33834" w14:paraId="3F4BED36" w14:textId="77777777">
        <w:tc>
          <w:tcPr>
            <w:tcW w:w="2254" w:type="dxa"/>
          </w:tcPr>
          <w:p w14:paraId="63CD5F0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8C2ABF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дали удовлетворительные результаты в</w:t>
            </w:r>
          </w:p>
        </w:tc>
      </w:tr>
      <w:tr w:rsidR="00F26F01" w:rsidRPr="00C33834" w14:paraId="503500E2" w14:textId="77777777">
        <w:tc>
          <w:tcPr>
            <w:tcW w:w="2254" w:type="dxa"/>
          </w:tcPr>
          <w:p w14:paraId="5ED7F93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E80D9E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отношении уменьшения посадочной скорости и управляемости</w:t>
            </w:r>
          </w:p>
        </w:tc>
      </w:tr>
      <w:tr w:rsidR="00F26F01" w:rsidRPr="00C33834" w14:paraId="17B172D8" w14:textId="77777777">
        <w:tc>
          <w:tcPr>
            <w:tcW w:w="2254" w:type="dxa"/>
          </w:tcPr>
          <w:p w14:paraId="1C6FC94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07886C5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малых скоростях. Вопрос пуска в серию и утверждения</w:t>
            </w:r>
          </w:p>
        </w:tc>
      </w:tr>
      <w:tr w:rsidR="00F26F01" w:rsidRPr="00C33834" w14:paraId="46F29A81" w14:textId="77777777">
        <w:tc>
          <w:tcPr>
            <w:tcW w:w="2254" w:type="dxa"/>
          </w:tcPr>
          <w:p w14:paraId="0D8F7A2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44DC7B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конструкции остается за НИИ ВВС.</w:t>
            </w:r>
          </w:p>
        </w:tc>
      </w:tr>
      <w:tr w:rsidR="00F26F01" w:rsidRPr="00C33834" w14:paraId="311D264A" w14:textId="77777777">
        <w:tc>
          <w:tcPr>
            <w:tcW w:w="2254" w:type="dxa"/>
          </w:tcPr>
          <w:p w14:paraId="641E327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582AC6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Помимо сам. Р5 находится в производстве сам. с разрезным</w:t>
            </w:r>
          </w:p>
        </w:tc>
      </w:tr>
      <w:tr w:rsidR="00F26F01" w:rsidRPr="00C33834" w14:paraId="7ED53040" w14:textId="77777777">
        <w:tc>
          <w:tcPr>
            <w:tcW w:w="2254" w:type="dxa"/>
          </w:tcPr>
          <w:p w14:paraId="4652BF5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F828FD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крылом Кричевского, основанного на принципе полета на</w:t>
            </w:r>
          </w:p>
        </w:tc>
      </w:tr>
      <w:tr w:rsidR="00F26F01" w:rsidRPr="00C33834" w14:paraId="083FC34A" w14:textId="77777777">
        <w:tc>
          <w:tcPr>
            <w:tcW w:w="2254" w:type="dxa"/>
          </w:tcPr>
          <w:p w14:paraId="53A8FEE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5480DA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наивыгоднейшем углу атаки: Работа экспериментальная.</w:t>
            </w:r>
          </w:p>
        </w:tc>
      </w:tr>
      <w:tr w:rsidR="00F26F01" w:rsidRPr="00C33834" w14:paraId="4040176E" w14:textId="77777777">
        <w:tc>
          <w:tcPr>
            <w:tcW w:w="2254" w:type="dxa"/>
          </w:tcPr>
          <w:p w14:paraId="1133B3A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Сконструировать и</w:t>
            </w:r>
          </w:p>
        </w:tc>
        <w:tc>
          <w:tcPr>
            <w:tcW w:w="7493" w:type="dxa"/>
          </w:tcPr>
          <w:p w14:paraId="077F788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Тормозные колеса всех размеров сконструированы. К ним</w:t>
            </w:r>
          </w:p>
        </w:tc>
      </w:tr>
      <w:tr w:rsidR="00F26F01" w:rsidRPr="00C33834" w14:paraId="3EA7AC6C" w14:textId="77777777">
        <w:tc>
          <w:tcPr>
            <w:tcW w:w="2254" w:type="dxa"/>
          </w:tcPr>
          <w:p w14:paraId="75CFB3D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изготовить тормозные</w:t>
            </w:r>
          </w:p>
        </w:tc>
        <w:tc>
          <w:tcPr>
            <w:tcW w:w="7493" w:type="dxa"/>
          </w:tcPr>
          <w:p w14:paraId="3C3454D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разработаны все конструктивные чертежи. Изготовлены и</w:t>
            </w:r>
          </w:p>
        </w:tc>
      </w:tr>
      <w:tr w:rsidR="00F26F01" w:rsidRPr="00C33834" w14:paraId="487C3628" w14:textId="77777777">
        <w:tc>
          <w:tcPr>
            <w:tcW w:w="2254" w:type="dxa"/>
          </w:tcPr>
          <w:p w14:paraId="418E8FC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493" w:type="dxa"/>
          </w:tcPr>
          <w:p w14:paraId="152F091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испытаны на самолетах.</w:t>
            </w:r>
          </w:p>
        </w:tc>
      </w:tr>
      <w:tr w:rsidR="00F26F01" w:rsidRPr="00C33834" w14:paraId="6F107B37" w14:textId="77777777">
        <w:tc>
          <w:tcPr>
            <w:tcW w:w="2254" w:type="dxa"/>
          </w:tcPr>
          <w:p w14:paraId="603679F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Обеспечение выпуска</w:t>
            </w:r>
          </w:p>
        </w:tc>
        <w:tc>
          <w:tcPr>
            <w:tcW w:w="7493" w:type="dxa"/>
          </w:tcPr>
          <w:p w14:paraId="24F1E5F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Колеса оказались вполне удовлетворительными. Схема и</w:t>
            </w:r>
          </w:p>
        </w:tc>
      </w:tr>
      <w:tr w:rsidR="00F26F01" w:rsidRPr="00C33834" w14:paraId="1573DA77" w14:textId="77777777">
        <w:tc>
          <w:tcPr>
            <w:tcW w:w="2254" w:type="dxa"/>
          </w:tcPr>
          <w:p w14:paraId="6653CD3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тормозных колес к</w:t>
            </w:r>
          </w:p>
        </w:tc>
        <w:tc>
          <w:tcPr>
            <w:tcW w:w="7493" w:type="dxa"/>
          </w:tcPr>
          <w:p w14:paraId="37F38CF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 тормозов и управления (масл. и механическая) утверждена</w:t>
            </w:r>
          </w:p>
        </w:tc>
      </w:tr>
      <w:tr w:rsidR="00F26F01" w:rsidRPr="00C33834" w14:paraId="1D9D7478" w14:textId="77777777">
        <w:tc>
          <w:tcPr>
            <w:tcW w:w="2254" w:type="dxa"/>
          </w:tcPr>
          <w:p w14:paraId="1890CEF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в 1933 г.</w:t>
            </w:r>
          </w:p>
        </w:tc>
        <w:tc>
          <w:tcPr>
            <w:tcW w:w="7493" w:type="dxa"/>
          </w:tcPr>
          <w:p w14:paraId="065FA08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НИИ ВВС. Остались доделки и доводки некоторых деталей и</w:t>
            </w:r>
          </w:p>
        </w:tc>
      </w:tr>
      <w:tr w:rsidR="00F26F01" w:rsidRPr="00C33834" w14:paraId="1C564B50" w14:textId="77777777">
        <w:tc>
          <w:tcPr>
            <w:tcW w:w="2254" w:type="dxa"/>
          </w:tcPr>
          <w:p w14:paraId="3C89DFE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05EB51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проверка усовершенствованных вариантов. Нужно считать, что</w:t>
            </w:r>
          </w:p>
        </w:tc>
      </w:tr>
      <w:tr w:rsidR="00F26F01" w:rsidRPr="00C33834" w14:paraId="048045AD" w14:textId="77777777">
        <w:tc>
          <w:tcPr>
            <w:tcW w:w="2254" w:type="dxa"/>
          </w:tcPr>
          <w:p w14:paraId="3593FDA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0975BA7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 решен за исключением колес 2000х450 для самолетов</w:t>
            </w:r>
          </w:p>
        </w:tc>
      </w:tr>
      <w:tr w:rsidR="00F26F01" w:rsidRPr="00C33834" w14:paraId="201F322D" w14:textId="77777777">
        <w:tc>
          <w:tcPr>
            <w:tcW w:w="2254" w:type="dxa"/>
          </w:tcPr>
          <w:p w14:paraId="47FD9F6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7D98DB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гигантов. Задерживается из-за отсутствия оборудования для</w:t>
            </w:r>
          </w:p>
        </w:tc>
      </w:tr>
      <w:tr w:rsidR="00F26F01" w:rsidRPr="00C33834" w14:paraId="53639C34" w14:textId="77777777">
        <w:tc>
          <w:tcPr>
            <w:tcW w:w="2254" w:type="dxa"/>
          </w:tcPr>
          <w:p w14:paraId="67D4A9C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481674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получения таких ободов. Опытные самолеты 33 г. (кроме тех,</w:t>
            </w:r>
          </w:p>
        </w:tc>
      </w:tr>
      <w:tr w:rsidR="00F26F01" w:rsidRPr="00C33834" w14:paraId="3655C7F2" w14:textId="77777777">
        <w:tc>
          <w:tcPr>
            <w:tcW w:w="2254" w:type="dxa"/>
          </w:tcPr>
          <w:p w14:paraId="2F6C647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C55E59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которых надо колеса 2000х450) по настоящему положению</w:t>
            </w:r>
          </w:p>
        </w:tc>
      </w:tr>
      <w:tr w:rsidR="00F26F01" w:rsidRPr="00C33834" w14:paraId="0B14C286" w14:textId="77777777">
        <w:tc>
          <w:tcPr>
            <w:tcW w:w="2254" w:type="dxa"/>
          </w:tcPr>
          <w:p w14:paraId="13E44C9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385AB66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вещей могут выходить с тормозными колесами.</w:t>
            </w:r>
          </w:p>
        </w:tc>
      </w:tr>
      <w:tr w:rsidR="00F26F01" w:rsidRPr="00C33834" w14:paraId="62BA66DB" w14:textId="77777777">
        <w:tc>
          <w:tcPr>
            <w:tcW w:w="2254" w:type="dxa"/>
          </w:tcPr>
          <w:p w14:paraId="3677432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Объем компл. торм.</w:t>
            </w:r>
          </w:p>
        </w:tc>
        <w:tc>
          <w:tcPr>
            <w:tcW w:w="7493" w:type="dxa"/>
          </w:tcPr>
          <w:p w14:paraId="1857288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виду отсутствия у авиапромышленности подготовленных кадров,</w:t>
            </w:r>
          </w:p>
        </w:tc>
      </w:tr>
      <w:tr w:rsidR="00F26F01" w:rsidRPr="00C33834" w14:paraId="2ABAF9D2" w14:textId="77777777">
        <w:tc>
          <w:tcPr>
            <w:tcW w:w="2254" w:type="dxa"/>
          </w:tcPr>
          <w:p w14:paraId="2408D90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колес....</w:t>
            </w:r>
          </w:p>
        </w:tc>
        <w:tc>
          <w:tcPr>
            <w:tcW w:w="7493" w:type="dxa"/>
          </w:tcPr>
          <w:p w14:paraId="027A592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производственной базы, обладающей технологическим навыком по</w:t>
            </w:r>
          </w:p>
        </w:tc>
      </w:tr>
      <w:tr w:rsidR="00F26F01" w:rsidRPr="00C33834" w14:paraId="66EF433F" w14:textId="77777777">
        <w:tc>
          <w:tcPr>
            <w:tcW w:w="2254" w:type="dxa"/>
          </w:tcPr>
          <w:p w14:paraId="620EC02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AEED1B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линии производства тормозных колес, изготовление опытной партии</w:t>
            </w:r>
          </w:p>
        </w:tc>
      </w:tr>
      <w:tr w:rsidR="00F26F01" w:rsidRPr="00C33834" w14:paraId="4CB6EC6E" w14:textId="77777777">
        <w:tc>
          <w:tcPr>
            <w:tcW w:w="2254" w:type="dxa"/>
          </w:tcPr>
          <w:p w14:paraId="03F3C0E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393BF87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ведется методом кооперирования на ряде московских заводов.</w:t>
            </w:r>
          </w:p>
        </w:tc>
      </w:tr>
      <w:tr w:rsidR="00F26F01" w:rsidRPr="00C33834" w14:paraId="3D45FF48" w14:textId="77777777">
        <w:tc>
          <w:tcPr>
            <w:tcW w:w="2254" w:type="dxa"/>
          </w:tcPr>
          <w:p w14:paraId="2099089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29EB270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компл. для сам. Р5 намечается к выпуску в апреле с.г., 10</w:t>
            </w:r>
          </w:p>
        </w:tc>
      </w:tr>
      <w:tr w:rsidR="00F26F01" w:rsidRPr="00C33834" w14:paraId="5157D64C" w14:textId="77777777">
        <w:tc>
          <w:tcPr>
            <w:tcW w:w="2254" w:type="dxa"/>
          </w:tcPr>
          <w:p w14:paraId="415F33A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C4DD7A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компл. для сам. ТБ3 - в мае с.г. В результате обследования 9-ти</w:t>
            </w:r>
          </w:p>
        </w:tc>
      </w:tr>
      <w:tr w:rsidR="00F26F01" w:rsidRPr="00C33834" w14:paraId="523CEF1B" w14:textId="77777777">
        <w:tc>
          <w:tcPr>
            <w:tcW w:w="2254" w:type="dxa"/>
          </w:tcPr>
          <w:p w14:paraId="31C5025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DF7B08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московских заводов из соображений технологической непригодности</w:t>
            </w:r>
          </w:p>
        </w:tc>
      </w:tr>
      <w:tr w:rsidR="00F26F01" w:rsidRPr="00C33834" w14:paraId="2791A7C1" w14:textId="77777777">
        <w:tc>
          <w:tcPr>
            <w:tcW w:w="2254" w:type="dxa"/>
          </w:tcPr>
          <w:p w14:paraId="06ADCF9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501226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хозяйственной нецелесообразности. Они все отвергнуты и в</w:t>
            </w:r>
          </w:p>
        </w:tc>
      </w:tr>
      <w:tr w:rsidR="00F26F01" w:rsidRPr="00C33834" w14:paraId="50D9C80E" w14:textId="77777777">
        <w:tc>
          <w:tcPr>
            <w:tcW w:w="2254" w:type="dxa"/>
          </w:tcPr>
          <w:p w14:paraId="19DD64E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D74472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настоящее время производство тормозн. колес передано на завод</w:t>
            </w:r>
          </w:p>
        </w:tc>
      </w:tr>
      <w:tr w:rsidR="00F26F01" w:rsidRPr="00C33834" w14:paraId="1FD8A2F6" w14:textId="77777777">
        <w:tc>
          <w:tcPr>
            <w:tcW w:w="2254" w:type="dxa"/>
          </w:tcPr>
          <w:p w14:paraId="4DDC9FB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23E83F7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N 121.</w:t>
            </w:r>
          </w:p>
        </w:tc>
      </w:tr>
      <w:tr w:rsidR="00F26F01" w:rsidRPr="00C33834" w14:paraId="0804286E" w14:textId="77777777">
        <w:tc>
          <w:tcPr>
            <w:tcW w:w="2254" w:type="dxa"/>
          </w:tcPr>
          <w:p w14:paraId="54F0773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Спроектировать с-т</w:t>
            </w:r>
          </w:p>
        </w:tc>
        <w:tc>
          <w:tcPr>
            <w:tcW w:w="7493" w:type="dxa"/>
          </w:tcPr>
          <w:p w14:paraId="2819FCC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Разрешение проблемы полета в стратосферу связано с разрешением</w:t>
            </w:r>
          </w:p>
        </w:tc>
      </w:tr>
      <w:tr w:rsidR="00F26F01" w:rsidRPr="00C33834" w14:paraId="2F1E9E8A" w14:textId="77777777">
        <w:tc>
          <w:tcPr>
            <w:tcW w:w="2254" w:type="dxa"/>
          </w:tcPr>
          <w:p w14:paraId="228FC34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полетов в</w:t>
            </w:r>
          </w:p>
        </w:tc>
        <w:tc>
          <w:tcPr>
            <w:tcW w:w="7493" w:type="dxa"/>
          </w:tcPr>
          <w:p w14:paraId="004340E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трех основных задач:</w:t>
            </w:r>
          </w:p>
        </w:tc>
      </w:tr>
      <w:tr w:rsidR="00F26F01" w:rsidRPr="00C33834" w14:paraId="36843A15" w14:textId="77777777">
        <w:tc>
          <w:tcPr>
            <w:tcW w:w="2254" w:type="dxa"/>
          </w:tcPr>
          <w:p w14:paraId="44B4D0D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стратосферу...</w:t>
            </w:r>
          </w:p>
        </w:tc>
        <w:tc>
          <w:tcPr>
            <w:tcW w:w="7493" w:type="dxa"/>
          </w:tcPr>
          <w:p w14:paraId="67BC1BD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Создание сверхвысотного двигателя.</w:t>
            </w:r>
          </w:p>
        </w:tc>
      </w:tr>
      <w:tr w:rsidR="00F26F01" w:rsidRPr="00C33834" w14:paraId="451AFCC4" w14:textId="77777777">
        <w:tc>
          <w:tcPr>
            <w:tcW w:w="2254" w:type="dxa"/>
          </w:tcPr>
          <w:p w14:paraId="09B4F59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E3EAA5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Создание винта с переменным шагом в полете.</w:t>
            </w:r>
          </w:p>
        </w:tc>
      </w:tr>
      <w:tr w:rsidR="00F26F01" w:rsidRPr="00C33834" w14:paraId="640E71CB" w14:textId="77777777">
        <w:tc>
          <w:tcPr>
            <w:tcW w:w="2254" w:type="dxa"/>
          </w:tcPr>
          <w:p w14:paraId="375FC79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078C44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Создание герметической кабины. Все относящиеся к самолету</w:t>
            </w:r>
          </w:p>
        </w:tc>
      </w:tr>
      <w:tr w:rsidR="00F26F01" w:rsidRPr="00C33834" w14:paraId="3A0EC0E6" w14:textId="77777777">
        <w:tc>
          <w:tcPr>
            <w:tcW w:w="2254" w:type="dxa"/>
          </w:tcPr>
          <w:p w14:paraId="193053C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E0B141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сконструировано ЦАГИ и самолет находится в постройке (сейчас на</w:t>
            </w:r>
          </w:p>
        </w:tc>
      </w:tr>
      <w:tr w:rsidR="00F26F01" w:rsidRPr="00C33834" w14:paraId="585D2A44" w14:textId="77777777">
        <w:tc>
          <w:tcPr>
            <w:tcW w:w="2254" w:type="dxa"/>
          </w:tcPr>
          <w:p w14:paraId="630B0BD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39D26AE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N 39). Винт и мотор конструируются в ЦИАМ"е. Готовность</w:t>
            </w:r>
          </w:p>
        </w:tc>
      </w:tr>
      <w:tr w:rsidR="00F26F01" w:rsidRPr="00C33834" w14:paraId="3977E46F" w14:textId="77777777">
        <w:tc>
          <w:tcPr>
            <w:tcW w:w="2254" w:type="dxa"/>
          </w:tcPr>
          <w:p w14:paraId="092B4B9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CFEE3D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сверхвысотного мотора определяется первой половиной 34 г.</w:t>
            </w:r>
          </w:p>
        </w:tc>
      </w:tr>
      <w:tr w:rsidR="00F26F01" w:rsidRPr="00C33834" w14:paraId="4AF07FE7" w14:textId="77777777">
        <w:tc>
          <w:tcPr>
            <w:tcW w:w="2254" w:type="dxa"/>
          </w:tcPr>
          <w:p w14:paraId="47833FA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12EC96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Предварительные полеты намечаются с высотным мотором до 5000 м</w:t>
            </w:r>
          </w:p>
        </w:tc>
      </w:tr>
      <w:tr w:rsidR="00F26F01" w:rsidRPr="00C33834" w14:paraId="6F768478" w14:textId="77777777">
        <w:tc>
          <w:tcPr>
            <w:tcW w:w="2254" w:type="dxa"/>
          </w:tcPr>
          <w:p w14:paraId="0767AFD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2FD091C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IV кварт. 1933 г.</w:t>
            </w:r>
          </w:p>
        </w:tc>
      </w:tr>
      <w:tr w:rsidR="00F26F01" w:rsidRPr="00C33834" w14:paraId="380B0330" w14:textId="77777777">
        <w:tc>
          <w:tcPr>
            <w:tcW w:w="2254" w:type="dxa"/>
          </w:tcPr>
          <w:p w14:paraId="30C4DA5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Обеспечить многоместн.</w:t>
            </w:r>
          </w:p>
        </w:tc>
        <w:tc>
          <w:tcPr>
            <w:tcW w:w="7493" w:type="dxa"/>
          </w:tcPr>
          <w:p w14:paraId="0AFA1BD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Постройкой намечены самолеты: И-14 М38Н; И-15 М38Н, И-13 М32Н;</w:t>
            </w:r>
          </w:p>
        </w:tc>
      </w:tr>
      <w:tr w:rsidR="00F26F01" w:rsidRPr="00C33834" w14:paraId="10D1DCFF" w14:textId="77777777">
        <w:tc>
          <w:tcPr>
            <w:tcW w:w="2254" w:type="dxa"/>
          </w:tcPr>
          <w:p w14:paraId="19861A7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одноместные истребит.</w:t>
            </w:r>
          </w:p>
        </w:tc>
        <w:tc>
          <w:tcPr>
            <w:tcW w:w="7493" w:type="dxa"/>
          </w:tcPr>
          <w:p w14:paraId="48B2DCE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ДИ6-М32. Получение высоких скоростей в большей части зависит от</w:t>
            </w:r>
          </w:p>
        </w:tc>
      </w:tr>
      <w:tr w:rsidR="00F26F01" w:rsidRPr="00C33834" w14:paraId="696CA677" w14:textId="77777777">
        <w:tc>
          <w:tcPr>
            <w:tcW w:w="2254" w:type="dxa"/>
          </w:tcPr>
          <w:p w14:paraId="5E17C9E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высокими свойствами.</w:t>
            </w:r>
          </w:p>
        </w:tc>
        <w:tc>
          <w:tcPr>
            <w:tcW w:w="7493" w:type="dxa"/>
          </w:tcPr>
          <w:p w14:paraId="51A95D4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мощного высококачественного мотора. Таковые отечественные моторы</w:t>
            </w:r>
          </w:p>
        </w:tc>
      </w:tr>
      <w:tr w:rsidR="00F26F01" w:rsidRPr="00C33834" w14:paraId="4643E01A" w14:textId="77777777">
        <w:tc>
          <w:tcPr>
            <w:tcW w:w="2254" w:type="dxa"/>
          </w:tcPr>
          <w:p w14:paraId="083B011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AA6A63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находятся в стадии заводских испытаний и доводки. Выпуск самолетов</w:t>
            </w:r>
          </w:p>
        </w:tc>
      </w:tr>
      <w:tr w:rsidR="00F26F01" w:rsidRPr="00C33834" w14:paraId="279F939E" w14:textId="77777777">
        <w:tc>
          <w:tcPr>
            <w:tcW w:w="2254" w:type="dxa"/>
          </w:tcPr>
          <w:p w14:paraId="34F927E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57C965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зависит от окончания этих работ и ориентировочно намечается на</w:t>
            </w:r>
          </w:p>
        </w:tc>
      </w:tr>
      <w:tr w:rsidR="00F26F01" w:rsidRPr="00C33834" w14:paraId="2D8595D4" w14:textId="77777777">
        <w:tc>
          <w:tcPr>
            <w:tcW w:w="2254" w:type="dxa"/>
          </w:tcPr>
          <w:p w14:paraId="2FEEE75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B2DF7B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4-й квартал 1933 г. Для ускорения выпуска машин и их доводки </w:t>
            </w:r>
          </w:p>
        </w:tc>
      </w:tr>
      <w:tr w:rsidR="00F26F01" w:rsidRPr="00C33834" w14:paraId="087FADFB" w14:textId="77777777">
        <w:tc>
          <w:tcPr>
            <w:tcW w:w="2254" w:type="dxa"/>
          </w:tcPr>
          <w:p w14:paraId="78D1B83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2094D36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предположено на И-14 и И-15 поставить моторы Меркур-Бристоль. И-14</w:t>
            </w:r>
          </w:p>
        </w:tc>
      </w:tr>
      <w:tr w:rsidR="00F26F01" w:rsidRPr="00C33834" w14:paraId="698ABE4B" w14:textId="77777777">
        <w:tc>
          <w:tcPr>
            <w:tcW w:w="2254" w:type="dxa"/>
          </w:tcPr>
          <w:p w14:paraId="25421E3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48D3DD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должен выйти на заводские испытания в апреле; И-15 - в конце 3-го</w:t>
            </w:r>
          </w:p>
        </w:tc>
      </w:tr>
      <w:tr w:rsidR="00F26F01" w:rsidRPr="00C33834" w14:paraId="66F4A5C6" w14:textId="77777777">
        <w:tc>
          <w:tcPr>
            <w:tcW w:w="2254" w:type="dxa"/>
          </w:tcPr>
          <w:p w14:paraId="0AB324E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59A993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или в начале 4-го кварталов.</w:t>
            </w:r>
          </w:p>
        </w:tc>
      </w:tr>
      <w:tr w:rsidR="00F26F01" w:rsidRPr="00C33834" w14:paraId="130938A5" w14:textId="77777777">
        <w:tc>
          <w:tcPr>
            <w:tcW w:w="2254" w:type="dxa"/>
          </w:tcPr>
          <w:p w14:paraId="5288921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Закупить заграничные</w:t>
            </w:r>
          </w:p>
        </w:tc>
        <w:tc>
          <w:tcPr>
            <w:tcW w:w="7493" w:type="dxa"/>
          </w:tcPr>
          <w:p w14:paraId="5C5A660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закупок определен в 1000000 руб. Правительством была утверждена</w:t>
            </w:r>
          </w:p>
        </w:tc>
      </w:tr>
      <w:tr w:rsidR="00F26F01" w:rsidRPr="00C33834" w14:paraId="759DFA3B" w14:textId="77777777">
        <w:tc>
          <w:tcPr>
            <w:tcW w:w="2254" w:type="dxa"/>
          </w:tcPr>
          <w:p w14:paraId="63CECF7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 и радиаторы.</w:t>
            </w:r>
          </w:p>
        </w:tc>
        <w:tc>
          <w:tcPr>
            <w:tcW w:w="7493" w:type="dxa"/>
          </w:tcPr>
          <w:p w14:paraId="0FF99A3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закупка без ассигнования сумм. Глававиапром, надеясь получить эти</w:t>
            </w:r>
          </w:p>
        </w:tc>
      </w:tr>
      <w:tr w:rsidR="00F26F01" w:rsidRPr="00C33834" w14:paraId="5C0A1244" w14:textId="77777777">
        <w:tc>
          <w:tcPr>
            <w:tcW w:w="2254" w:type="dxa"/>
          </w:tcPr>
          <w:p w14:paraId="4895A9D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30A243A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средства израсходовал из своего контингента технического снабжения и</w:t>
            </w:r>
          </w:p>
        </w:tc>
      </w:tr>
      <w:tr w:rsidR="00F26F01" w:rsidRPr="00C33834" w14:paraId="0EBC2C5E" w14:textId="77777777">
        <w:tc>
          <w:tcPr>
            <w:tcW w:w="2254" w:type="dxa"/>
          </w:tcPr>
          <w:p w14:paraId="096BA82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021F884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оборудования 518000. Закуплено и получено:</w:t>
            </w:r>
          </w:p>
        </w:tc>
      </w:tr>
      <w:tr w:rsidR="00F26F01" w:rsidRPr="00C33834" w14:paraId="749F7F78" w14:textId="77777777">
        <w:tc>
          <w:tcPr>
            <w:tcW w:w="2254" w:type="dxa"/>
          </w:tcPr>
          <w:p w14:paraId="63FECF7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416902D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1 экз. самолет Ферри Файрфляйт с мотор. Роллс Ройс.</w:t>
            </w:r>
          </w:p>
        </w:tc>
      </w:tr>
      <w:tr w:rsidR="00F26F01" w:rsidRPr="00C33834" w14:paraId="7B56ACE5" w14:textId="77777777">
        <w:tc>
          <w:tcPr>
            <w:tcW w:w="2254" w:type="dxa"/>
          </w:tcPr>
          <w:p w14:paraId="25EA1EB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21A96A1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3 экз. мотора Бристоль-Меркур.</w:t>
            </w:r>
          </w:p>
        </w:tc>
      </w:tr>
      <w:tr w:rsidR="00F26F01" w:rsidRPr="00C33834" w14:paraId="653E9390" w14:textId="77777777">
        <w:tc>
          <w:tcPr>
            <w:tcW w:w="2254" w:type="dxa"/>
          </w:tcPr>
          <w:p w14:paraId="4733B92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2653505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2 экз. мотора Роллс-Ройс. Закуплено и ожидается прибытием:</w:t>
            </w:r>
          </w:p>
        </w:tc>
      </w:tr>
      <w:tr w:rsidR="00F26F01" w:rsidRPr="00C33834" w14:paraId="3D938E24" w14:textId="77777777">
        <w:tc>
          <w:tcPr>
            <w:tcW w:w="2254" w:type="dxa"/>
          </w:tcPr>
          <w:p w14:paraId="2CAFF9B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60BCBB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мотора Райт-Циклон (апрель)</w:t>
            </w:r>
          </w:p>
        </w:tc>
      </w:tr>
      <w:tr w:rsidR="00F26F01" w:rsidRPr="00C33834" w14:paraId="1564E259" w14:textId="77777777">
        <w:tc>
          <w:tcPr>
            <w:tcW w:w="2254" w:type="dxa"/>
          </w:tcPr>
          <w:p w14:paraId="60C0C06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DA1707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мотор Армстронг-Сиддлей "Тигр" (апрель)</w:t>
            </w:r>
          </w:p>
        </w:tc>
      </w:tr>
      <w:tr w:rsidR="00F26F01" w:rsidRPr="00C33834" w14:paraId="71840A32" w14:textId="77777777">
        <w:tc>
          <w:tcPr>
            <w:tcW w:w="2254" w:type="dxa"/>
          </w:tcPr>
          <w:p w14:paraId="5A4C24A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36262C7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авиадизель Бенц (апрель)</w:t>
            </w:r>
          </w:p>
        </w:tc>
      </w:tr>
      <w:tr w:rsidR="00F26F01" w:rsidRPr="00C33834" w14:paraId="623EDF8E" w14:textId="77777777">
        <w:tc>
          <w:tcPr>
            <w:tcW w:w="2254" w:type="dxa"/>
          </w:tcPr>
          <w:p w14:paraId="718818D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0D2F14D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 авиадизеля Юнкерса (принимаются)</w:t>
            </w:r>
          </w:p>
        </w:tc>
      </w:tr>
      <w:tr w:rsidR="00F26F01" w:rsidRPr="00C33834" w14:paraId="1005F8F6" w14:textId="77777777">
        <w:tc>
          <w:tcPr>
            <w:tcW w:w="2254" w:type="dxa"/>
          </w:tcPr>
          <w:p w14:paraId="211342E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AFB26A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 мотора Кертис Супер-Конкверрор</w:t>
            </w:r>
          </w:p>
        </w:tc>
      </w:tr>
      <w:tr w:rsidR="00F26F01" w:rsidRPr="00C33834" w14:paraId="147F18D7" w14:textId="77777777">
        <w:tc>
          <w:tcPr>
            <w:tcW w:w="2254" w:type="dxa"/>
          </w:tcPr>
          <w:p w14:paraId="502C9C4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A734DD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 авиадизель Мерседес- Бенц</w:t>
            </w:r>
          </w:p>
        </w:tc>
      </w:tr>
      <w:tr w:rsidR="00F26F01" w:rsidRPr="00C33834" w14:paraId="7A66FCC3" w14:textId="77777777">
        <w:tc>
          <w:tcPr>
            <w:tcW w:w="2254" w:type="dxa"/>
          </w:tcPr>
          <w:p w14:paraId="6AE8A5C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A2BB90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Установка д/испытания топлива "Вокешь".</w:t>
            </w:r>
          </w:p>
        </w:tc>
      </w:tr>
      <w:tr w:rsidR="00F26F01" w:rsidRPr="00C33834" w14:paraId="584E0032" w14:textId="77777777">
        <w:tc>
          <w:tcPr>
            <w:tcW w:w="2254" w:type="dxa"/>
          </w:tcPr>
          <w:p w14:paraId="5BFBCB5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5B47DE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Остальные потребности импортных образцов не реализуются из-за отсутствия</w:t>
            </w:r>
          </w:p>
        </w:tc>
      </w:tr>
      <w:tr w:rsidR="00F26F01" w:rsidRPr="00C33834" w14:paraId="6ACE3FB2" w14:textId="77777777">
        <w:tc>
          <w:tcPr>
            <w:tcW w:w="2254" w:type="dxa"/>
          </w:tcPr>
          <w:p w14:paraId="436A67B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41A94E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ассигнований.</w:t>
            </w:r>
          </w:p>
        </w:tc>
      </w:tr>
      <w:tr w:rsidR="00F26F01" w:rsidRPr="00C33834" w14:paraId="5506CC06" w14:textId="77777777">
        <w:tc>
          <w:tcPr>
            <w:tcW w:w="2254" w:type="dxa"/>
          </w:tcPr>
          <w:p w14:paraId="056E863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Приступить к летным</w:t>
            </w:r>
          </w:p>
        </w:tc>
        <w:tc>
          <w:tcPr>
            <w:tcW w:w="7493" w:type="dxa"/>
          </w:tcPr>
          <w:p w14:paraId="7C1F3A2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Опытный экземпляр во время испытаний потерпел аварию (оторвался один из</w:t>
            </w:r>
          </w:p>
        </w:tc>
      </w:tr>
      <w:tr w:rsidR="00F26F01" w:rsidRPr="00C33834" w14:paraId="2B88F91F" w14:textId="77777777">
        <w:tc>
          <w:tcPr>
            <w:tcW w:w="2254" w:type="dxa"/>
          </w:tcPr>
          <w:p w14:paraId="00CDE4B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испытаниям ТБ5.</w:t>
            </w:r>
          </w:p>
        </w:tc>
        <w:tc>
          <w:tcPr>
            <w:tcW w:w="7493" w:type="dxa"/>
          </w:tcPr>
          <w:p w14:paraId="75CBEE7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4-х моторов в воздухе). Специально созданная комиссия определила</w:t>
            </w:r>
          </w:p>
        </w:tc>
      </w:tr>
      <w:tr w:rsidR="00F26F01" w:rsidRPr="00C33834" w14:paraId="2CE2BFD6" w14:textId="77777777">
        <w:tc>
          <w:tcPr>
            <w:tcW w:w="2254" w:type="dxa"/>
          </w:tcPr>
          <w:p w14:paraId="40C9D2D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16.V-32 г.</w:t>
            </w:r>
          </w:p>
        </w:tc>
        <w:tc>
          <w:tcPr>
            <w:tcW w:w="7493" w:type="dxa"/>
          </w:tcPr>
          <w:p w14:paraId="19AA148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необходимые переделки и возможные тактические данные. ВВС нашло, что</w:t>
            </w:r>
          </w:p>
        </w:tc>
      </w:tr>
      <w:tr w:rsidR="00F26F01" w:rsidRPr="00C33834" w14:paraId="19E5FE9E" w14:textId="77777777">
        <w:tc>
          <w:tcPr>
            <w:tcW w:w="2254" w:type="dxa"/>
          </w:tcPr>
          <w:p w14:paraId="11E6361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47B5861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продолжать работы по этой машине нерационально. Распоряжением начальника</w:t>
            </w:r>
          </w:p>
        </w:tc>
      </w:tr>
      <w:tr w:rsidR="00F26F01" w:rsidRPr="00C33834" w14:paraId="54EEAA8A" w14:textId="77777777">
        <w:tc>
          <w:tcPr>
            <w:tcW w:w="2254" w:type="dxa"/>
          </w:tcPr>
          <w:p w14:paraId="2765BA3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04A54FA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ГУАП работы прекращены, машина разобрана и передана для экспериментально</w:t>
            </w:r>
          </w:p>
        </w:tc>
      </w:tr>
      <w:tr w:rsidR="00F26F01" w:rsidRPr="00C33834" w14:paraId="4053603E" w14:textId="77777777">
        <w:tc>
          <w:tcPr>
            <w:tcW w:w="2254" w:type="dxa"/>
          </w:tcPr>
          <w:p w14:paraId="6311524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2A8EB8C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исследовательских работ в ОПАК ЦАГИ.</w:t>
            </w:r>
          </w:p>
        </w:tc>
      </w:tr>
      <w:tr w:rsidR="00F26F01" w:rsidRPr="00C33834" w14:paraId="2B454F24" w14:textId="77777777">
        <w:tc>
          <w:tcPr>
            <w:tcW w:w="2254" w:type="dxa"/>
          </w:tcPr>
          <w:p w14:paraId="599FFBF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Постройка моторов</w:t>
            </w:r>
          </w:p>
        </w:tc>
        <w:tc>
          <w:tcPr>
            <w:tcW w:w="7493" w:type="dxa"/>
          </w:tcPr>
          <w:p w14:paraId="699243F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моторы стоят в плане опытного строительства, утвержденного Правительством</w:t>
            </w:r>
          </w:p>
        </w:tc>
      </w:tr>
      <w:tr w:rsidR="00F26F01" w:rsidRPr="00C33834" w14:paraId="412D0595" w14:textId="77777777">
        <w:tc>
          <w:tcPr>
            <w:tcW w:w="2254" w:type="dxa"/>
          </w:tcPr>
          <w:p w14:paraId="1CF9E2B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Р.Н. однорядного</w:t>
            </w:r>
          </w:p>
        </w:tc>
        <w:tc>
          <w:tcPr>
            <w:tcW w:w="7493" w:type="dxa"/>
          </w:tcPr>
          <w:p w14:paraId="397B104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4.VII-32 г. Состояние работ по ним изложено в отчете за 32 г. посланного в СТО 25.I-33 г. </w:t>
            </w:r>
          </w:p>
        </w:tc>
      </w:tr>
      <w:tr w:rsidR="00F26F01" w:rsidRPr="00C33834" w14:paraId="6E0C718E" w14:textId="77777777">
        <w:tc>
          <w:tcPr>
            <w:tcW w:w="2254" w:type="dxa"/>
          </w:tcPr>
          <w:p w14:paraId="773BF40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М-52, М-32, М-44</w:t>
            </w:r>
          </w:p>
        </w:tc>
        <w:tc>
          <w:tcPr>
            <w:tcW w:w="7493" w:type="dxa"/>
          </w:tcPr>
          <w:p w14:paraId="520D94A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 М-34 Р и Н, М-52 (однорядный) М-32 находятся в настоящее время на</w:t>
            </w:r>
          </w:p>
        </w:tc>
      </w:tr>
      <w:tr w:rsidR="00F26F01" w:rsidRPr="00C33834" w14:paraId="4968B813" w14:textId="77777777">
        <w:tc>
          <w:tcPr>
            <w:tcW w:w="2254" w:type="dxa"/>
          </w:tcPr>
          <w:p w14:paraId="6E6D38D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4.VII-32 г.</w:t>
            </w:r>
          </w:p>
        </w:tc>
        <w:tc>
          <w:tcPr>
            <w:tcW w:w="7493" w:type="dxa"/>
          </w:tcPr>
          <w:p w14:paraId="6F2A6B7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заводском испытании. Все указанные моторы, кроме М-44, намечены к передаче на</w:t>
            </w:r>
          </w:p>
        </w:tc>
      </w:tr>
      <w:tr w:rsidR="00F26F01" w:rsidRPr="00C33834" w14:paraId="4FF8B8BE" w14:textId="77777777">
        <w:tc>
          <w:tcPr>
            <w:tcW w:w="2254" w:type="dxa"/>
          </w:tcPr>
          <w:p w14:paraId="516A8BA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F7BEB2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 в мае с.г. М-44 намечен на заводские испытания в июне с.г.</w:t>
            </w:r>
          </w:p>
        </w:tc>
      </w:tr>
      <w:tr w:rsidR="00F26F01" w:rsidRPr="00C33834" w14:paraId="59177BAB" w14:textId="77777777">
        <w:tc>
          <w:tcPr>
            <w:tcW w:w="2254" w:type="dxa"/>
          </w:tcPr>
          <w:p w14:paraId="13D423D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Форсировать постройку</w:t>
            </w:r>
          </w:p>
        </w:tc>
        <w:tc>
          <w:tcPr>
            <w:tcW w:w="7493" w:type="dxa"/>
          </w:tcPr>
          <w:p w14:paraId="4C6EFE1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Опытный экземпляр ТБ-4 вышел на аэродром и находится в сборке и дооборудовании.</w:t>
            </w:r>
          </w:p>
        </w:tc>
      </w:tr>
      <w:tr w:rsidR="00F26F01" w:rsidRPr="00C33834" w14:paraId="31EB5E79" w14:textId="77777777">
        <w:tc>
          <w:tcPr>
            <w:tcW w:w="2254" w:type="dxa"/>
          </w:tcPr>
          <w:p w14:paraId="74F046D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самолетов ТБ4, МК-1,</w:t>
            </w:r>
          </w:p>
        </w:tc>
        <w:tc>
          <w:tcPr>
            <w:tcW w:w="7493" w:type="dxa"/>
          </w:tcPr>
          <w:p w14:paraId="40DB237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Выпуск в воздух намечается в апреле-мае. В ЦАГИ находится в постройке 2-й,</w:t>
            </w:r>
          </w:p>
        </w:tc>
      </w:tr>
      <w:tr w:rsidR="00F26F01" w:rsidRPr="00C33834" w14:paraId="25A9209F" w14:textId="77777777">
        <w:tc>
          <w:tcPr>
            <w:tcW w:w="2254" w:type="dxa"/>
          </w:tcPr>
          <w:p w14:paraId="2D94192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МДР3. 4.VII-32 г.</w:t>
            </w:r>
          </w:p>
        </w:tc>
        <w:tc>
          <w:tcPr>
            <w:tcW w:w="7493" w:type="dxa"/>
          </w:tcPr>
          <w:p w14:paraId="2596CFA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улучшенный экземпляр (ТБ4 головной), чертежи которого передаются на зав. 22 для</w:t>
            </w:r>
          </w:p>
        </w:tc>
      </w:tr>
      <w:tr w:rsidR="00F26F01" w:rsidRPr="00C33834" w14:paraId="170900A0" w14:textId="77777777">
        <w:tc>
          <w:tcPr>
            <w:tcW w:w="2254" w:type="dxa"/>
          </w:tcPr>
          <w:p w14:paraId="64553D4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351C3AD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подготовки серии. На этот самолет должны быть установлены моторы с редукторами.</w:t>
            </w:r>
          </w:p>
        </w:tc>
      </w:tr>
      <w:tr w:rsidR="00F26F01" w:rsidRPr="00C33834" w14:paraId="16E8EAF9" w14:textId="77777777">
        <w:tc>
          <w:tcPr>
            <w:tcW w:w="2254" w:type="dxa"/>
          </w:tcPr>
          <w:p w14:paraId="4F69C36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277A38F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 как на установку 6-ти моторов и доработку проводок и агрегатов необходимо</w:t>
            </w:r>
          </w:p>
        </w:tc>
      </w:tr>
      <w:tr w:rsidR="00F26F01" w:rsidRPr="00C33834" w14:paraId="6298D259" w14:textId="77777777">
        <w:tc>
          <w:tcPr>
            <w:tcW w:w="2254" w:type="dxa"/>
          </w:tcPr>
          <w:p w14:paraId="008B1A9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388CFC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месяца, то самолет намечается к выходу на заводские испытания в августе-сентябре.</w:t>
            </w:r>
          </w:p>
        </w:tc>
      </w:tr>
      <w:tr w:rsidR="00F26F01" w:rsidRPr="00C33834" w14:paraId="00C03680" w14:textId="77777777">
        <w:tc>
          <w:tcPr>
            <w:tcW w:w="2254" w:type="dxa"/>
          </w:tcPr>
          <w:p w14:paraId="1BCA94D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45BD0D9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Гидросамолеты МК-1 и МДР-3 идут по плану и должны выйти на испытания в XII-33 г.</w:t>
            </w:r>
          </w:p>
        </w:tc>
      </w:tr>
      <w:tr w:rsidR="00F26F01" w:rsidRPr="00C33834" w14:paraId="2DA475E6" w14:textId="77777777">
        <w:tc>
          <w:tcPr>
            <w:tcW w:w="2254" w:type="dxa"/>
          </w:tcPr>
          <w:p w14:paraId="68F786A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Оборудовать рациями</w:t>
            </w:r>
          </w:p>
        </w:tc>
        <w:tc>
          <w:tcPr>
            <w:tcW w:w="7493" w:type="dxa"/>
          </w:tcPr>
          <w:p w14:paraId="7AF53FF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Легкие самолеты И5, Р5, Р6 были оборудованы действующими рациями типа 15 СК и</w:t>
            </w:r>
          </w:p>
        </w:tc>
      </w:tr>
      <w:tr w:rsidR="00F26F01" w:rsidRPr="00C33834" w14:paraId="54D4A309" w14:textId="77777777">
        <w:tc>
          <w:tcPr>
            <w:tcW w:w="2254" w:type="dxa"/>
          </w:tcPr>
          <w:p w14:paraId="194BB9D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 выходящие</w:t>
            </w:r>
          </w:p>
        </w:tc>
        <w:tc>
          <w:tcPr>
            <w:tcW w:w="7493" w:type="dxa"/>
          </w:tcPr>
          <w:p w14:paraId="092468C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всесторонне испытаны. На тяжелые машины ТБ3, ТБ4 за отсутствием действующий</w:t>
            </w:r>
          </w:p>
        </w:tc>
      </w:tr>
      <w:tr w:rsidR="00F26F01" w:rsidRPr="00C33834" w14:paraId="59B02F45" w14:textId="77777777">
        <w:tc>
          <w:tcPr>
            <w:tcW w:w="2254" w:type="dxa"/>
          </w:tcPr>
          <w:p w14:paraId="7C7F7D1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33 г. 5.VII-32 г.</w:t>
            </w:r>
          </w:p>
        </w:tc>
        <w:tc>
          <w:tcPr>
            <w:tcW w:w="7493" w:type="dxa"/>
          </w:tcPr>
          <w:p w14:paraId="41EDC52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раций были установлены макеты, поэтому вопрос с тяжелыми машинами не может считаться</w:t>
            </w:r>
          </w:p>
        </w:tc>
      </w:tr>
      <w:tr w:rsidR="00F26F01" w:rsidRPr="00C33834" w14:paraId="7CA23075" w14:textId="77777777">
        <w:tc>
          <w:tcPr>
            <w:tcW w:w="2254" w:type="dxa"/>
          </w:tcPr>
          <w:p w14:paraId="5712515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4C675C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доработанным (2286,18).</w:t>
            </w:r>
          </w:p>
        </w:tc>
      </w:tr>
    </w:tbl>
    <w:p w14:paraId="7529E36C" w14:textId="77777777" w:rsidR="00474353" w:rsidRPr="00C33834" w:rsidRDefault="0047435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306AE3A" w14:textId="77777777" w:rsidR="0047435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256DAFD" w14:textId="77777777" w:rsidR="00474353" w:rsidRPr="00C33834" w:rsidRDefault="0047435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91BCF5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марта 1932 года пом. нач. сектора УВВС Евстигнеев писал письмо N 0315с начальнику 1 отдела НИИ.</w:t>
      </w:r>
    </w:p>
    <w:p w14:paraId="2AECFAC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сего времени нет конструкций винтов к самолетам ТШ, АНТ9, ТБ3, МДР3 и И5-М22 и лыж к самолетам ТШ и ТБ3. (3069,4).</w:t>
      </w:r>
    </w:p>
    <w:p w14:paraId="605D0EB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5762F284" w14:textId="77777777" w:rsidR="00662C0F" w:rsidRPr="00C33834" w:rsidRDefault="00662C0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16 марта 1933 г. Президиум ЦКК и комиссия при ЦКИ СССР издали специальное постановление «О состоянии ХАЗ» (харьковского авиазавода № 135) (23098).</w:t>
      </w:r>
    </w:p>
    <w:p w14:paraId="09FE84D4" w14:textId="77777777" w:rsidR="00662C0F" w:rsidRPr="00C33834" w:rsidRDefault="00662C0F" w:rsidP="00C33834">
      <w:pPr>
        <w:shd w:val="clear" w:color="auto" w:fill="FFFFFF"/>
        <w:spacing w:after="0" w:line="240" w:lineRule="auto"/>
        <w:jc w:val="both"/>
        <w:rPr>
          <w:rFonts w:ascii="Times New Roman" w:hAnsi="Times New Roman"/>
          <w:color w:val="0070C0"/>
          <w:sz w:val="16"/>
          <w:szCs w:val="16"/>
        </w:rPr>
      </w:pPr>
    </w:p>
    <w:p w14:paraId="6D0A505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марта 1933 года пом. нач. Глававиапрома и начальник НТОС писал письмо N АП232/128с Алкснису, Зильберту, нач. ЦКБ завода N 39 С.В.И.</w:t>
      </w:r>
    </w:p>
    <w:p w14:paraId="3FB89C2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постановления РВС от 3 марта 1933 года Глававиапрому поручается:</w:t>
      </w:r>
    </w:p>
    <w:p w14:paraId="284B64E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Разработать и построить учебный и спортивный самолет и мотор по повышенным требованиям, давая предназначения:</w:t>
      </w:r>
    </w:p>
    <w:p w14:paraId="6F6AB87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для первоначального обучения;</w:t>
      </w:r>
    </w:p>
    <w:p w14:paraId="6C34E46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для тренировки, как одноместной машины;</w:t>
      </w:r>
    </w:p>
    <w:p w14:paraId="442A745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для слепого полета;</w:t>
      </w:r>
    </w:p>
    <w:p w14:paraId="2BBF223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для ночного полета и полета в строю. Этот же тип для обучения летчиков-наблюдателей, приемам навигации, фото, бомбардированию и стрельбе._</w:t>
      </w:r>
    </w:p>
    <w:p w14:paraId="5E90CA0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Разработать и построить тип тренировочного самолета под мощность 150-200 НР с назначением:</w:t>
      </w:r>
    </w:p>
    <w:p w14:paraId="73A29EB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самолет сопровождения;</w:t>
      </w:r>
    </w:p>
    <w:p w14:paraId="40B0CE1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самолет тренировочный;</w:t>
      </w:r>
    </w:p>
    <w:p w14:paraId="59DE438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самолет местных сообщений.</w:t>
      </w:r>
    </w:p>
    <w:p w14:paraId="3ED0AA3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Провести необходимые исследования и ускорить применение: предкрылков, закрылков, двойного крыла, крыла с меняющимся профилем соответственно этому типу самолетов, имея в виду:</w:t>
      </w:r>
    </w:p>
    <w:p w14:paraId="661DFD1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получить наибольший диапазон горизонтальных скоростей;</w:t>
      </w:r>
    </w:p>
    <w:p w14:paraId="2782DBF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увеличить устойчивость при полете с предельными нагрузками;</w:t>
      </w:r>
    </w:p>
    <w:p w14:paraId="623D0AD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уменьшить посадочные скорости;</w:t>
      </w:r>
    </w:p>
    <w:p w14:paraId="5AD6975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увеличить скороподъемность.</w:t>
      </w:r>
    </w:p>
    <w:p w14:paraId="7579341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Считать одной из важнейших задач ближайшего периода получение легкого 2-х местного самолета, универсального в производстве и специализированного по оборудованию для назначения:</w:t>
      </w:r>
    </w:p>
    <w:p w14:paraId="45CFE20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оперативный разведчик;</w:t>
      </w:r>
    </w:p>
    <w:p w14:paraId="531FA6B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двухместный истребитель;</w:t>
      </w:r>
    </w:p>
    <w:p w14:paraId="004BE22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легкий бомбардировщик.</w:t>
      </w:r>
    </w:p>
    <w:p w14:paraId="7A30791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случае получения неудовлетворительных результатов испытания ЛР, приступить к постройке специального универсального самолета (3899,61).</w:t>
      </w:r>
    </w:p>
    <w:p w14:paraId="30A24FA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5DD6C24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марта 1933 состоялось 19 совещание в ЦАГИ с участием представителей Самолетного треста и НИИ ВВС, а также завода п/я 747 под председательством Малахова. Обсуждали изменения и переделки для серии Ми-3 и сроки представления чертежей (1077,246).</w:t>
      </w:r>
    </w:p>
    <w:p w14:paraId="12E7633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51D573B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марта 1933 вышло спецпостановление Президиума ЦКК и комиссии ЦК РКИ УССР N 15/II "О состоянии ХАЗ" - предложили наказать молодых за склоки. Дело в том, что в начале 1933 П.И.Б. приезжал на ХАЗОС разбираться с К.А.К., так как в конце 1932 группа из 18 человек написала письмо в ЦК и потом комиссия от ВВС разобраться не смогла. Среди подписантов был и З.И.Ицкович, возглавлявший группу и переброшенный П.И.Б. в Казань в КАИ. В ХАЗОС пришли новые люди (70,224).</w:t>
      </w:r>
    </w:p>
    <w:p w14:paraId="04C52BA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"Рассмотрев материалы комиссий (ГПК, ГУАПа, РКК НК РКИ СССР и УССР), обследовавших ХАЗ, Президиум ЦКК и Коллегия НК РКИ УССР - констатируют, что в результате отсутствия до настоящего времени исчерпывающего решения по вопросу определения перспектив существования ХАЗ, а отсюда и необходимой стабильной и планомерной его организации - этот завод фактически подвергался лишь отдельным и эпизодическим реорганизационным мероприятиям, направленным на разрешение поставленных перед ним задач на данный отрезок времени. такое положение порождало как в среде руководства завода, так и основных инженерно-технических кадров неуверенность и бесперспективность в работе, приводя на деле к бесплановости всю работу и дезорганизуя выполнение программных заданий.</w:t>
      </w:r>
    </w:p>
    <w:p w14:paraId="1B29001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Этот вопрос неоднократно поднимавшийся как в ВАО, так и ГУАП до последнего времени не получил окончательного и четкого разрешения и организационно-финансовые мероприятия по данному заводу оказались крайне незначительными и не обеспечили укрепление завода в целом (2305).</w:t>
      </w:r>
    </w:p>
    <w:p w14:paraId="0EF511F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Наряду с этим опытные работы по самолетостроению на заводе, проводящиеся под непосредственным практическим руководством ГК и директора з-да тов. Калинина - наткнулись на некоторое сопротивление ряда специалистов Харьковского Авиа Института, а также и самого завода в конструировании нового вида тяжелого с-та, породив в результате длительную склоку и юеспринципную борьбу, возглавляемую как бывш. Работниками Авиазавода, так и работниками ХАИ (Александров, Котляренко, Нейман и др.) вредно отразившуюся на производственной работе ХАЗа. Благодаря этому был создан повод к заявлению, поданному группой и ХАЗа (все 18 чел. Являются ответственными техническими специалистами завода), направленному фактически к подрыву авторитета директора тов. Калинина и его работы по организации как серийного, так и опытного пр-ва...</w:t>
      </w:r>
    </w:p>
    <w:p w14:paraId="6ABF705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товно-хозяйственных работников (Петров). Одновременно тов. Калинин как ГК допустил уход некоторых ценных специалистов с завода (Беннинг, Нейман).</w:t>
      </w:r>
    </w:p>
    <w:p w14:paraId="4D44E51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Руководство же ГУАП не уделяло нужного внимания этому заводу, не обеспечило систематического и планомерного руководства.</w:t>
      </w:r>
    </w:p>
    <w:p w14:paraId="67155B0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Парторнизация завода не организовала своевременной должной борьбы с нездоровой обстановкой на заводе, не мобилизовала в должной мере заводской коллектив на выполнение поставленных перед заводом задач, а наоборот, быв. Секретарь партколлектива завода тов. Юфа ввязался в склоку, чем усугубил положение на заводе.</w:t>
      </w:r>
    </w:p>
    <w:p w14:paraId="3951F3C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Дзержинский РПК будучи осведомленным о склоке и о заявлении специалистов через члена бюро РПК т. Котляренко не обеспечил своевыременного раскрытия перед массами завода корней происхождения заявления. 18 специалистов и сложившейся обстановки на заводе, ограничиваясь постановкой общих докладов директора завода тов. Калинина на бюро РПК, благодаря чему нездоровая обстановка на заводе продолжалась.</w:t>
      </w:r>
    </w:p>
    <w:p w14:paraId="180324F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Исходя из этого Президиум ЦКК и Коллегия НК РКИ УССР постановляет:</w:t>
      </w:r>
    </w:p>
    <w:p w14:paraId="4BAEE11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Предложить директору завода К.А.К.:</w:t>
      </w:r>
    </w:p>
    <w:p w14:paraId="0EFF024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принять реальные меры к снижению с/с продукции, снижению брака, ликвидировать простои и прогулы на основе укрепления внутризаводской дисциплины и повышения производительности труда,</w:t>
      </w:r>
    </w:p>
    <w:p w14:paraId="680666F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переработать и установить правильный технологический процесс серийного производства, технормирование и планировани,</w:t>
      </w:r>
    </w:p>
    <w:p w14:paraId="58A89BB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укрепить рационализаторскую работу на заводе, привлекая к этой работе ИТР завода, широко практикуя производственные и технические совещания на заводе в целом, так и в цехах и отделах,</w:t>
      </w:r>
    </w:p>
    <w:p w14:paraId="5769DB9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разграничить финансирование завода по серийному и опытному производству отдельно, не допуская смешивания отпускаемых кредитов и их расходование,</w:t>
      </w:r>
    </w:p>
    <w:p w14:paraId="13195D1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произвести расчистку счетов, упорядочив работу бухгалтерии завода,</w:t>
      </w:r>
    </w:p>
    <w:p w14:paraId="4F13ED4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 совместно с бюро партколлегии и завкомов пересмотреть кадры техработников, сняв с руководящей работы лиц, проявивших саботаж в постройке К-7 и вносящих дезорганизацию в работу завода, обеспечив всеми мерами нужные темпы со стороны работников завода - для своевременного окончания работ по К-7 и выполнении программных заданий в целом.</w:t>
      </w:r>
    </w:p>
    <w:p w14:paraId="4A838F8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 линии Харьковского горпарткома и Дзержинского РПК принять реальные меры с оздоровлению обстановки на заводе, как путем укрепления руководящих кадров. Могущих обеспечить помощь директору завода тов. Калинину и разгрузить его от повседневных административно-хозяйственных вопросов, так и путем широкой мобилизации всего заводского коллектива на преолдоление имеющихся прорывов на заводе и ликвидацию нездоровых тенденций со стороны ряда работников завода, обеспечив безусловную повседневную борьбу за выполнение промфинплана и своевременное окончание постройки с-та К-7</w:t>
      </w:r>
    </w:p>
    <w:p w14:paraId="3426A8E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За небрежное и халатное отношение к постановки производства, приводящую к срыву программы работ по серийному производству ХАЗ б. ГИ тов. Петрову - объявить строгий выговор, подтвердив правильность решения о его снятии с работы.</w:t>
      </w:r>
    </w:p>
    <w:p w14:paraId="4A2A84D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Указать директору з-да тов. Калинину на недостаточную организацию работы по производству и слабую мобилизацию с его стороны технических работников на выполнение производственной программы, обязав его принять меры по правильной расстановке кадров и экономному рсходованию средств.</w:t>
      </w:r>
    </w:p>
    <w:p w14:paraId="5C377E5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Поручить Харьковской горКК привлечь к партийной ответственности работников ХАИ тт. Котляренко (член бюро РПК и члена ГПК) и Александрова за нездоровую тенденцию мешатьт работе ХАЗа, за создание склочной обстановки на заводе, направленной против т. Калинина и фактически подрывающих тем самым успешное выполнение работ по с-ту К-7</w:t>
      </w:r>
    </w:p>
    <w:p w14:paraId="57F736C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Просить ЦКК-НК РКИ СССР:</w:t>
      </w:r>
    </w:p>
    <w:p w14:paraId="41FC982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обязать ГУАП в срочном порядке окончательно определтить дальнейшее сушествование ХАЗЮ как завода опытного самолетостроения, с необходимым производством с-тов, обеспечив ему необходимую реконструкцию, направленную в сторону создания необходимого специального лабораторного оборудования для исследовательских работ, с учетом использования этого завода также в интересах оборонных мероприятий.</w:t>
      </w:r>
    </w:p>
    <w:p w14:paraId="1266DF2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обязать ГУАП обеспечить бесперебойное финансирование ХПЗа в связи с большими убытками, понесенными заводом (до 3 млн. руб.) дабы обеспечить выполнение его программы.</w:t>
      </w:r>
    </w:p>
    <w:p w14:paraId="0F8C793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предложить ГУАП усилить с его стороны руководство заводом, оказав практическую помощь в деле дальнейшей организации работы на заводе, исходя из необходимости укрепления данного з-да в целом (2305,74).</w:t>
      </w:r>
    </w:p>
    <w:p w14:paraId="1B142CB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7003751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марта 1933 г. в Италии были закончены полетные испытания первого самолета С-55, предназначенного для СССР. Второй гидросамолет С-55, который ожидается к испытаниям в самом конце марта, намечен мной для более полных испытаний (согласно наших технических условий). Этот гидросамолет будет первым (из 4-х) с килеватыми лодками. При проведенном испытании имела место некоторая авария моторов, выразившаяся в том, что перегорели обогреватели карбюраторов в силу недостаточно хорошего материала и несоответствия примененной на этот раз электросварки. Все обогреватели фирмой Изота Фраскини заменены. (3029,172-176).</w:t>
      </w:r>
    </w:p>
    <w:p w14:paraId="4FAFD7A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6EF46BB5" w14:textId="77777777" w:rsidR="00662C0F" w:rsidRPr="00C33834" w:rsidRDefault="00662C0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16 и 18 марта 1933 г. «СССР В-3» выполнил два полёта продолжительностью 5 ч 47 мин и 7 ч 41 мин по заданию Народного комиссариа</w:t>
      </w:r>
      <w:r w:rsidRPr="00C33834">
        <w:rPr>
          <w:rFonts w:ascii="Times New Roman" w:hAnsi="Times New Roman"/>
          <w:color w:val="0070C0"/>
          <w:sz w:val="16"/>
          <w:szCs w:val="16"/>
        </w:rPr>
        <w:softHyphen/>
        <w:t>та связи для измерения напряжённости электро</w:t>
      </w:r>
      <w:r w:rsidRPr="00C33834">
        <w:rPr>
          <w:rFonts w:ascii="Times New Roman" w:hAnsi="Times New Roman"/>
          <w:color w:val="0070C0"/>
          <w:sz w:val="16"/>
          <w:szCs w:val="16"/>
        </w:rPr>
        <w:softHyphen/>
        <w:t>магнитного поля радиовещательной станции в г. Ногинске. За несколько часов он выполнил работу, на которую уходило обычно несколько недель (20120).</w:t>
      </w:r>
    </w:p>
    <w:p w14:paraId="31D4DF1D" w14:textId="77777777" w:rsidR="00662C0F" w:rsidRPr="00C33834" w:rsidRDefault="00662C0F" w:rsidP="00C33834">
      <w:pPr>
        <w:spacing w:after="0" w:line="240" w:lineRule="auto"/>
        <w:jc w:val="both"/>
        <w:rPr>
          <w:rFonts w:ascii="Times New Roman" w:hAnsi="Times New Roman"/>
          <w:color w:val="0070C0"/>
          <w:sz w:val="16"/>
          <w:szCs w:val="16"/>
        </w:rPr>
      </w:pPr>
    </w:p>
    <w:p w14:paraId="27F236CF" w14:textId="77777777" w:rsidR="00161F6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22D5BB3" w14:textId="77777777" w:rsidR="00161F61" w:rsidRPr="00C33834" w:rsidRDefault="00161F6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12393DA" w14:textId="77777777" w:rsidR="00161F61" w:rsidRPr="00C33834" w:rsidRDefault="00161F61" w:rsidP="00C33834">
      <w:pPr>
        <w:pStyle w:val="rtejustify"/>
        <w:spacing w:before="0" w:after="0"/>
        <w:rPr>
          <w:color w:val="000000" w:themeColor="text1"/>
          <w:sz w:val="16"/>
          <w:szCs w:val="16"/>
        </w:rPr>
      </w:pPr>
      <w:r w:rsidRPr="00C33834">
        <w:rPr>
          <w:rStyle w:val="af0"/>
          <w:bCs/>
          <w:i w:val="0"/>
          <w:color w:val="000000" w:themeColor="text1"/>
          <w:sz w:val="16"/>
          <w:szCs w:val="16"/>
        </w:rPr>
        <w:t>16 марта</w:t>
      </w:r>
      <w:r w:rsidRPr="00C33834">
        <w:rPr>
          <w:color w:val="000000" w:themeColor="text1"/>
          <w:sz w:val="16"/>
          <w:szCs w:val="16"/>
        </w:rPr>
        <w:t xml:space="preserve"> 1933. Постановление СТО СССР № 6сс/о «О мероприятиях по постройке спецсудов на Дальнем Востоке». (ГА РФ. Ф. Р</w:t>
      </w:r>
      <w:r w:rsidRPr="00C33834">
        <w:rPr>
          <w:color w:val="000000" w:themeColor="text1"/>
          <w:sz w:val="16"/>
          <w:szCs w:val="16"/>
        </w:rPr>
        <w:noBreakHyphen/>
        <w:t>8418. Оп. 28. Д. 1. Л. 72</w:t>
      </w:r>
      <w:r w:rsidRPr="00C33834">
        <w:rPr>
          <w:color w:val="000000" w:themeColor="text1"/>
          <w:sz w:val="16"/>
          <w:szCs w:val="16"/>
        </w:rPr>
        <w:noBreakHyphen/>
        <w:t>75) (15460).</w:t>
      </w:r>
    </w:p>
    <w:p w14:paraId="7CEC0A60" w14:textId="77777777" w:rsidR="00161F61" w:rsidRPr="00C33834" w:rsidRDefault="00161F61" w:rsidP="00C33834">
      <w:pPr>
        <w:pStyle w:val="rtejustify"/>
        <w:spacing w:before="0" w:after="0"/>
        <w:rPr>
          <w:color w:val="000000" w:themeColor="text1"/>
          <w:sz w:val="16"/>
          <w:szCs w:val="16"/>
        </w:rPr>
      </w:pPr>
    </w:p>
    <w:p w14:paraId="06571291" w14:textId="77777777" w:rsidR="0047435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5700ABC" w14:textId="77777777" w:rsidR="00474353" w:rsidRPr="00C33834" w:rsidRDefault="0047435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658A1C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марта 1933 года N 81сс. НИИ ВВС.</w:t>
      </w:r>
    </w:p>
    <w:p w14:paraId="5142C36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Выписка из плана опытного строительства, утвержден. СТО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51"/>
        <w:gridCol w:w="751"/>
        <w:gridCol w:w="751"/>
        <w:gridCol w:w="751"/>
        <w:gridCol w:w="751"/>
        <w:gridCol w:w="751"/>
        <w:gridCol w:w="751"/>
        <w:gridCol w:w="751"/>
        <w:gridCol w:w="751"/>
        <w:gridCol w:w="751"/>
        <w:gridCol w:w="751"/>
        <w:gridCol w:w="751"/>
        <w:gridCol w:w="751"/>
        <w:gridCol w:w="751"/>
        <w:gridCol w:w="751"/>
      </w:tblGrid>
      <w:tr w:rsidR="00F26F01" w:rsidRPr="00C33834" w14:paraId="1F3521E8" w14:textId="77777777">
        <w:tc>
          <w:tcPr>
            <w:tcW w:w="751" w:type="dxa"/>
          </w:tcPr>
          <w:p w14:paraId="094E3EA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Сам-ты</w:t>
            </w:r>
          </w:p>
        </w:tc>
        <w:tc>
          <w:tcPr>
            <w:tcW w:w="751" w:type="dxa"/>
          </w:tcPr>
          <w:p w14:paraId="19C63B0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Сроки</w:t>
            </w:r>
          </w:p>
        </w:tc>
        <w:tc>
          <w:tcPr>
            <w:tcW w:w="751" w:type="dxa"/>
          </w:tcPr>
          <w:p w14:paraId="64D425E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w:t>
            </w:r>
          </w:p>
        </w:tc>
        <w:tc>
          <w:tcPr>
            <w:tcW w:w="751" w:type="dxa"/>
          </w:tcPr>
          <w:p w14:paraId="39BF1A5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Гориз.</w:t>
            </w:r>
          </w:p>
        </w:tc>
        <w:tc>
          <w:tcPr>
            <w:tcW w:w="751" w:type="dxa"/>
          </w:tcPr>
          <w:p w14:paraId="7363168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w:t>
            </w:r>
          </w:p>
        </w:tc>
        <w:tc>
          <w:tcPr>
            <w:tcW w:w="751" w:type="dxa"/>
          </w:tcPr>
          <w:p w14:paraId="3B645AD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w:t>
            </w:r>
          </w:p>
        </w:tc>
        <w:tc>
          <w:tcPr>
            <w:tcW w:w="751" w:type="dxa"/>
          </w:tcPr>
          <w:p w14:paraId="13FCBDB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w:t>
            </w:r>
          </w:p>
        </w:tc>
        <w:tc>
          <w:tcPr>
            <w:tcW w:w="751" w:type="dxa"/>
          </w:tcPr>
          <w:p w14:paraId="6206313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w:t>
            </w:r>
          </w:p>
        </w:tc>
        <w:tc>
          <w:tcPr>
            <w:tcW w:w="751" w:type="dxa"/>
          </w:tcPr>
          <w:p w14:paraId="229B569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w:t>
            </w:r>
          </w:p>
        </w:tc>
        <w:tc>
          <w:tcPr>
            <w:tcW w:w="751" w:type="dxa"/>
          </w:tcPr>
          <w:p w14:paraId="3C5499A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Норма</w:t>
            </w:r>
          </w:p>
        </w:tc>
        <w:tc>
          <w:tcPr>
            <w:tcW w:w="751" w:type="dxa"/>
          </w:tcPr>
          <w:p w14:paraId="149725C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w:t>
            </w:r>
          </w:p>
        </w:tc>
        <w:tc>
          <w:tcPr>
            <w:tcW w:w="751" w:type="dxa"/>
          </w:tcPr>
          <w:p w14:paraId="0591578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Калиб.</w:t>
            </w:r>
          </w:p>
        </w:tc>
        <w:tc>
          <w:tcPr>
            <w:tcW w:w="751" w:type="dxa"/>
          </w:tcPr>
          <w:p w14:paraId="33D6AE4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Матер.</w:t>
            </w:r>
          </w:p>
        </w:tc>
        <w:tc>
          <w:tcPr>
            <w:tcW w:w="751" w:type="dxa"/>
          </w:tcPr>
          <w:p w14:paraId="4DE8BF6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Какие</w:t>
            </w:r>
          </w:p>
        </w:tc>
        <w:tc>
          <w:tcPr>
            <w:tcW w:w="751" w:type="dxa"/>
          </w:tcPr>
          <w:p w14:paraId="75036B3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w:t>
            </w:r>
          </w:p>
        </w:tc>
      </w:tr>
      <w:tr w:rsidR="00F26F01" w:rsidRPr="00C33834" w14:paraId="49272824" w14:textId="77777777">
        <w:tc>
          <w:tcPr>
            <w:tcW w:w="751" w:type="dxa"/>
          </w:tcPr>
          <w:p w14:paraId="54627DB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17EF8A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w:t>
            </w:r>
          </w:p>
        </w:tc>
        <w:tc>
          <w:tcPr>
            <w:tcW w:w="751" w:type="dxa"/>
          </w:tcPr>
          <w:p w14:paraId="5F15161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6FCABB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w:t>
            </w:r>
          </w:p>
        </w:tc>
        <w:tc>
          <w:tcPr>
            <w:tcW w:w="751" w:type="dxa"/>
          </w:tcPr>
          <w:p w14:paraId="6654A35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подъема</w:t>
            </w:r>
          </w:p>
        </w:tc>
        <w:tc>
          <w:tcPr>
            <w:tcW w:w="751" w:type="dxa"/>
          </w:tcPr>
          <w:p w14:paraId="580BE16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751" w:type="dxa"/>
          </w:tcPr>
          <w:p w14:paraId="5AD221B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w:t>
            </w:r>
          </w:p>
        </w:tc>
        <w:tc>
          <w:tcPr>
            <w:tcW w:w="751" w:type="dxa"/>
          </w:tcPr>
          <w:p w14:paraId="4A64AE1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действ.</w:t>
            </w:r>
          </w:p>
        </w:tc>
        <w:tc>
          <w:tcPr>
            <w:tcW w:w="751" w:type="dxa"/>
          </w:tcPr>
          <w:p w14:paraId="13779A2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w:t>
            </w:r>
          </w:p>
        </w:tc>
        <w:tc>
          <w:tcPr>
            <w:tcW w:w="751" w:type="dxa"/>
          </w:tcPr>
          <w:p w14:paraId="6E62607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сбрас.</w:t>
            </w:r>
          </w:p>
        </w:tc>
        <w:tc>
          <w:tcPr>
            <w:tcW w:w="751" w:type="dxa"/>
          </w:tcPr>
          <w:p w14:paraId="4F1B0D2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BD4178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w:t>
            </w:r>
          </w:p>
        </w:tc>
        <w:tc>
          <w:tcPr>
            <w:tcW w:w="751" w:type="dxa"/>
          </w:tcPr>
          <w:p w14:paraId="7297CD7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4B2413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с-ты</w:t>
            </w:r>
          </w:p>
        </w:tc>
        <w:tc>
          <w:tcPr>
            <w:tcW w:w="751" w:type="dxa"/>
          </w:tcPr>
          <w:p w14:paraId="057DE0D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6A0C98D" w14:textId="77777777">
        <w:tc>
          <w:tcPr>
            <w:tcW w:w="751" w:type="dxa"/>
          </w:tcPr>
          <w:p w14:paraId="7E3BC1F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58D3F9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w:t>
            </w:r>
          </w:p>
        </w:tc>
        <w:tc>
          <w:tcPr>
            <w:tcW w:w="751" w:type="dxa"/>
          </w:tcPr>
          <w:p w14:paraId="26CCED9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EC408C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w:t>
            </w:r>
          </w:p>
        </w:tc>
        <w:tc>
          <w:tcPr>
            <w:tcW w:w="751" w:type="dxa"/>
          </w:tcPr>
          <w:p w14:paraId="6192BB3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w:t>
            </w:r>
          </w:p>
        </w:tc>
        <w:tc>
          <w:tcPr>
            <w:tcW w:w="751" w:type="dxa"/>
          </w:tcPr>
          <w:p w14:paraId="552470B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205DAF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5AF6EC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638E7B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перегр.</w:t>
            </w:r>
          </w:p>
        </w:tc>
        <w:tc>
          <w:tcPr>
            <w:tcW w:w="751" w:type="dxa"/>
          </w:tcPr>
          <w:p w14:paraId="201E05C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груза</w:t>
            </w:r>
          </w:p>
        </w:tc>
        <w:tc>
          <w:tcPr>
            <w:tcW w:w="751" w:type="dxa"/>
          </w:tcPr>
          <w:p w14:paraId="3AD0D39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8527DC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FB03C6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709C75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замен.</w:t>
            </w:r>
          </w:p>
        </w:tc>
        <w:tc>
          <w:tcPr>
            <w:tcW w:w="751" w:type="dxa"/>
          </w:tcPr>
          <w:p w14:paraId="4D30DD2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E2CE5BF" w14:textId="77777777">
        <w:tc>
          <w:tcPr>
            <w:tcW w:w="751" w:type="dxa"/>
          </w:tcPr>
          <w:p w14:paraId="416122C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67F1B9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w:t>
            </w:r>
          </w:p>
        </w:tc>
        <w:tc>
          <w:tcPr>
            <w:tcW w:w="751" w:type="dxa"/>
          </w:tcPr>
          <w:p w14:paraId="1552ECD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953C9C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высоте</w:t>
            </w:r>
          </w:p>
        </w:tc>
        <w:tc>
          <w:tcPr>
            <w:tcW w:w="751" w:type="dxa"/>
          </w:tcPr>
          <w:p w14:paraId="0E714F9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высоту</w:t>
            </w:r>
          </w:p>
        </w:tc>
        <w:tc>
          <w:tcPr>
            <w:tcW w:w="751" w:type="dxa"/>
          </w:tcPr>
          <w:p w14:paraId="2C07C58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130915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F43DE1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9ACEAE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9BBACC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FDF3AF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1E6AB5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948019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A73028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при </w:t>
            </w:r>
          </w:p>
        </w:tc>
        <w:tc>
          <w:tcPr>
            <w:tcW w:w="751" w:type="dxa"/>
          </w:tcPr>
          <w:p w14:paraId="2934159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619E64C" w14:textId="77777777">
        <w:tc>
          <w:tcPr>
            <w:tcW w:w="751" w:type="dxa"/>
          </w:tcPr>
          <w:p w14:paraId="2B76AA7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275E45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FC6441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42ECF5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2D53B2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94B65C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C8CE4A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42DA91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6BC0AC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6F65C1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436E7F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96DEF3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97F97F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EF6411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82BDF1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выходе</w:t>
            </w:r>
          </w:p>
        </w:tc>
      </w:tr>
      <w:tr w:rsidR="00F26F01" w:rsidRPr="00C33834" w14:paraId="62C1A1B6" w14:textId="77777777">
        <w:tc>
          <w:tcPr>
            <w:tcW w:w="751" w:type="dxa"/>
          </w:tcPr>
          <w:p w14:paraId="7AA4B7E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Д110М34</w:t>
            </w:r>
          </w:p>
        </w:tc>
        <w:tc>
          <w:tcPr>
            <w:tcW w:w="751" w:type="dxa"/>
          </w:tcPr>
          <w:p w14:paraId="1C2F8E3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1.06.33</w:t>
            </w:r>
          </w:p>
        </w:tc>
        <w:tc>
          <w:tcPr>
            <w:tcW w:w="751" w:type="dxa"/>
          </w:tcPr>
          <w:p w14:paraId="676F3BC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51" w:type="dxa"/>
          </w:tcPr>
          <w:p w14:paraId="315527C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751" w:type="dxa"/>
          </w:tcPr>
          <w:p w14:paraId="2AE4832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51" w:type="dxa"/>
          </w:tcPr>
          <w:p w14:paraId="1B88DC1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751" w:type="dxa"/>
          </w:tcPr>
          <w:p w14:paraId="6C70458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c>
          <w:tcPr>
            <w:tcW w:w="751" w:type="dxa"/>
          </w:tcPr>
          <w:p w14:paraId="2A2850D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c>
          <w:tcPr>
            <w:tcW w:w="751" w:type="dxa"/>
          </w:tcPr>
          <w:p w14:paraId="67B136A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51" w:type="dxa"/>
          </w:tcPr>
          <w:p w14:paraId="148B28A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15000</w:t>
            </w:r>
          </w:p>
        </w:tc>
        <w:tc>
          <w:tcPr>
            <w:tcW w:w="751" w:type="dxa"/>
          </w:tcPr>
          <w:p w14:paraId="39A40D3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51" w:type="dxa"/>
          </w:tcPr>
          <w:p w14:paraId="659B38A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51" w:type="dxa"/>
          </w:tcPr>
          <w:p w14:paraId="0ED8C0A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Сталь</w:t>
            </w:r>
          </w:p>
        </w:tc>
        <w:tc>
          <w:tcPr>
            <w:tcW w:w="751" w:type="dxa"/>
          </w:tcPr>
          <w:p w14:paraId="2C6273D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80213E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w:t>
            </w:r>
          </w:p>
        </w:tc>
      </w:tr>
      <w:tr w:rsidR="00F26F01" w:rsidRPr="00C33834" w14:paraId="014718D9" w14:textId="77777777">
        <w:tc>
          <w:tcPr>
            <w:tcW w:w="751" w:type="dxa"/>
          </w:tcPr>
          <w:p w14:paraId="3965B07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D2E930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ECC35C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B39291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751" w:type="dxa"/>
          </w:tcPr>
          <w:p w14:paraId="2AEAC1A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B14238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EA2945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E21488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DE795F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8701BE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FEB9FE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D62F85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8DD6F0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1F9487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35CFC4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постр.</w:t>
            </w:r>
          </w:p>
        </w:tc>
      </w:tr>
      <w:tr w:rsidR="00F26F01" w:rsidRPr="00C33834" w14:paraId="7F9EC0AE" w14:textId="77777777">
        <w:tc>
          <w:tcPr>
            <w:tcW w:w="751" w:type="dxa"/>
          </w:tcPr>
          <w:p w14:paraId="1F90E34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46BAEE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220A06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8B75E0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D9E643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077268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60D40B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57961B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CA64EC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329AD1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0E33CF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8A71DE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E342ED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2F6DAB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331268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ВВА</w:t>
            </w:r>
          </w:p>
        </w:tc>
      </w:tr>
      <w:tr w:rsidR="00F26F01" w:rsidRPr="00C33834" w14:paraId="35DE768C" w14:textId="77777777">
        <w:tc>
          <w:tcPr>
            <w:tcW w:w="751" w:type="dxa"/>
          </w:tcPr>
          <w:p w14:paraId="0852DEA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ТБ6 М44</w:t>
            </w:r>
          </w:p>
        </w:tc>
        <w:tc>
          <w:tcPr>
            <w:tcW w:w="751" w:type="dxa"/>
          </w:tcPr>
          <w:p w14:paraId="6E3487D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1.12.34</w:t>
            </w:r>
          </w:p>
        </w:tc>
        <w:tc>
          <w:tcPr>
            <w:tcW w:w="751" w:type="dxa"/>
          </w:tcPr>
          <w:p w14:paraId="704CB89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751" w:type="dxa"/>
          </w:tcPr>
          <w:p w14:paraId="4A5194F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751" w:type="dxa"/>
          </w:tcPr>
          <w:p w14:paraId="36CD0FD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51" w:type="dxa"/>
          </w:tcPr>
          <w:p w14:paraId="73E6715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7000</w:t>
            </w:r>
          </w:p>
        </w:tc>
        <w:tc>
          <w:tcPr>
            <w:tcW w:w="751" w:type="dxa"/>
          </w:tcPr>
          <w:p w14:paraId="6A97118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70-80</w:t>
            </w:r>
          </w:p>
        </w:tc>
        <w:tc>
          <w:tcPr>
            <w:tcW w:w="751" w:type="dxa"/>
          </w:tcPr>
          <w:p w14:paraId="40899E0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c>
          <w:tcPr>
            <w:tcW w:w="751" w:type="dxa"/>
          </w:tcPr>
          <w:p w14:paraId="7A7F33E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751" w:type="dxa"/>
          </w:tcPr>
          <w:p w14:paraId="7CF7E15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15000</w:t>
            </w:r>
          </w:p>
        </w:tc>
        <w:tc>
          <w:tcPr>
            <w:tcW w:w="751" w:type="dxa"/>
          </w:tcPr>
          <w:p w14:paraId="4C8CA32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w:t>
            </w:r>
          </w:p>
        </w:tc>
        <w:tc>
          <w:tcPr>
            <w:tcW w:w="751" w:type="dxa"/>
          </w:tcPr>
          <w:p w14:paraId="4A5B828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250-500</w:t>
            </w:r>
          </w:p>
        </w:tc>
        <w:tc>
          <w:tcPr>
            <w:tcW w:w="751" w:type="dxa"/>
          </w:tcPr>
          <w:p w14:paraId="33AA745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Сталь</w:t>
            </w:r>
          </w:p>
        </w:tc>
        <w:tc>
          <w:tcPr>
            <w:tcW w:w="751" w:type="dxa"/>
          </w:tcPr>
          <w:p w14:paraId="2D3D1F0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 К-7</w:t>
            </w:r>
          </w:p>
        </w:tc>
        <w:tc>
          <w:tcPr>
            <w:tcW w:w="751" w:type="dxa"/>
          </w:tcPr>
          <w:p w14:paraId="1CDBC34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AB81D27" w14:textId="77777777">
        <w:tc>
          <w:tcPr>
            <w:tcW w:w="751" w:type="dxa"/>
          </w:tcPr>
          <w:p w14:paraId="32769BD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B45962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аэродр.</w:t>
            </w:r>
          </w:p>
        </w:tc>
        <w:tc>
          <w:tcPr>
            <w:tcW w:w="751" w:type="dxa"/>
          </w:tcPr>
          <w:p w14:paraId="079DD9C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DB8034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761A04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74F224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1E1FC9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5A50D8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80566A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240411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60D746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w:t>
            </w:r>
          </w:p>
        </w:tc>
        <w:tc>
          <w:tcPr>
            <w:tcW w:w="751" w:type="dxa"/>
          </w:tcPr>
          <w:p w14:paraId="1D369E7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1000-2000</w:t>
            </w:r>
          </w:p>
        </w:tc>
        <w:tc>
          <w:tcPr>
            <w:tcW w:w="751" w:type="dxa"/>
          </w:tcPr>
          <w:p w14:paraId="5369B39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91B6D7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C433E4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69F2C62" w14:textId="77777777">
        <w:tc>
          <w:tcPr>
            <w:tcW w:w="751" w:type="dxa"/>
          </w:tcPr>
          <w:p w14:paraId="14433D5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294A96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C332E0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27AA8E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6AF5DC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0AD27F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DE2B03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C8F933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B0E647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231F74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1E795B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пушки</w:t>
            </w:r>
          </w:p>
        </w:tc>
        <w:tc>
          <w:tcPr>
            <w:tcW w:w="751" w:type="dxa"/>
          </w:tcPr>
          <w:p w14:paraId="4C6849A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7DF5FC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F69CDF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90EC4C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AFF5387" w14:textId="77777777">
        <w:tc>
          <w:tcPr>
            <w:tcW w:w="751" w:type="dxa"/>
          </w:tcPr>
          <w:p w14:paraId="7376604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К7 7М34</w:t>
            </w:r>
          </w:p>
        </w:tc>
        <w:tc>
          <w:tcPr>
            <w:tcW w:w="751" w:type="dxa"/>
          </w:tcPr>
          <w:p w14:paraId="1F5851D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1.05.33</w:t>
            </w:r>
          </w:p>
        </w:tc>
        <w:tc>
          <w:tcPr>
            <w:tcW w:w="751" w:type="dxa"/>
          </w:tcPr>
          <w:p w14:paraId="1A4995F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51" w:type="dxa"/>
          </w:tcPr>
          <w:p w14:paraId="140B79F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213</w:t>
            </w:r>
          </w:p>
        </w:tc>
        <w:tc>
          <w:tcPr>
            <w:tcW w:w="751" w:type="dxa"/>
          </w:tcPr>
          <w:p w14:paraId="175343B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51" w:type="dxa"/>
          </w:tcPr>
          <w:p w14:paraId="7059796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3650</w:t>
            </w:r>
          </w:p>
        </w:tc>
        <w:tc>
          <w:tcPr>
            <w:tcW w:w="751" w:type="dxa"/>
          </w:tcPr>
          <w:p w14:paraId="3394426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51" w:type="dxa"/>
          </w:tcPr>
          <w:p w14:paraId="59C47AB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751" w:type="dxa"/>
          </w:tcPr>
          <w:p w14:paraId="61A42CF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51" w:type="dxa"/>
          </w:tcPr>
          <w:p w14:paraId="725D2CC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751" w:type="dxa"/>
          </w:tcPr>
          <w:p w14:paraId="7B8BF1E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 и</w:t>
            </w:r>
          </w:p>
        </w:tc>
        <w:tc>
          <w:tcPr>
            <w:tcW w:w="751" w:type="dxa"/>
          </w:tcPr>
          <w:p w14:paraId="42CD52A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250-500</w:t>
            </w:r>
          </w:p>
        </w:tc>
        <w:tc>
          <w:tcPr>
            <w:tcW w:w="751" w:type="dxa"/>
          </w:tcPr>
          <w:p w14:paraId="59E817F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Сталь</w:t>
            </w:r>
          </w:p>
        </w:tc>
        <w:tc>
          <w:tcPr>
            <w:tcW w:w="751" w:type="dxa"/>
          </w:tcPr>
          <w:p w14:paraId="37EB8BD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26154C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Гросс</w:t>
            </w:r>
          </w:p>
        </w:tc>
      </w:tr>
      <w:tr w:rsidR="00F26F01" w:rsidRPr="00C33834" w14:paraId="5A2D1187" w14:textId="77777777">
        <w:tc>
          <w:tcPr>
            <w:tcW w:w="751" w:type="dxa"/>
          </w:tcPr>
          <w:p w14:paraId="4034431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FFE125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аэродр.</w:t>
            </w:r>
          </w:p>
        </w:tc>
        <w:tc>
          <w:tcPr>
            <w:tcW w:w="751" w:type="dxa"/>
          </w:tcPr>
          <w:p w14:paraId="411320D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5DF0A7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8A1E3A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5A6743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DC6902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594AD9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3D34A2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BD06FA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9000</w:t>
            </w:r>
          </w:p>
        </w:tc>
        <w:tc>
          <w:tcPr>
            <w:tcW w:w="751" w:type="dxa"/>
          </w:tcPr>
          <w:p w14:paraId="1658C12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w:t>
            </w:r>
          </w:p>
        </w:tc>
        <w:tc>
          <w:tcPr>
            <w:tcW w:w="751" w:type="dxa"/>
          </w:tcPr>
          <w:p w14:paraId="65F59F7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751" w:type="dxa"/>
          </w:tcPr>
          <w:p w14:paraId="1AF3BD4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3B1EC5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BC5B13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9480A1B" w14:textId="77777777">
        <w:tc>
          <w:tcPr>
            <w:tcW w:w="751" w:type="dxa"/>
          </w:tcPr>
          <w:p w14:paraId="0E0653D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3CC2DB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B03671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C9645A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BFBEEC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B03A4D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5D81C4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EC0DA8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78C62F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FBE0D4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9102B5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w:t>
            </w:r>
          </w:p>
        </w:tc>
        <w:tc>
          <w:tcPr>
            <w:tcW w:w="751" w:type="dxa"/>
          </w:tcPr>
          <w:p w14:paraId="0C5AAA0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D3A969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BAF8E2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8ED0E3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8C9F5CD" w14:textId="77777777">
        <w:tc>
          <w:tcPr>
            <w:tcW w:w="751" w:type="dxa"/>
          </w:tcPr>
          <w:p w14:paraId="5BB8A6B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5E1A77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CE2049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5D669C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DA499C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EAB969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7BD2D5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F825B6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6FA03C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06F659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C9A626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пушки</w:t>
            </w:r>
          </w:p>
        </w:tc>
        <w:tc>
          <w:tcPr>
            <w:tcW w:w="751" w:type="dxa"/>
          </w:tcPr>
          <w:p w14:paraId="39BEA50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1CD9E3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83B5EF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8B6683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56E7AD2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(3029,171).</w:t>
      </w:r>
    </w:p>
    <w:p w14:paraId="10EAE91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1EFDFAF8" w14:textId="77777777" w:rsidR="00161F61" w:rsidRPr="00C33834" w:rsidRDefault="00161F6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марта 1933 г. Постановление РВС СССР от установило новый срок сдачи самолёта ДИП на государственные испытания — 1 июня 1934 г. (15823).</w:t>
      </w:r>
    </w:p>
    <w:p w14:paraId="1091B21F" w14:textId="77777777" w:rsidR="00161F61" w:rsidRPr="00C33834" w:rsidRDefault="00161F61" w:rsidP="00C33834">
      <w:pPr>
        <w:spacing w:after="0" w:line="240" w:lineRule="auto"/>
        <w:jc w:val="both"/>
        <w:rPr>
          <w:rFonts w:ascii="Times New Roman" w:hAnsi="Times New Roman"/>
          <w:color w:val="000000" w:themeColor="text1"/>
          <w:sz w:val="16"/>
          <w:szCs w:val="16"/>
        </w:rPr>
      </w:pPr>
    </w:p>
    <w:p w14:paraId="406B0150" w14:textId="77777777" w:rsidR="00161F61" w:rsidRPr="00C33834" w:rsidRDefault="00161F61"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17 марта</w:t>
      </w:r>
      <w:r w:rsidRPr="00C33834">
        <w:rPr>
          <w:rFonts w:ascii="Times New Roman" w:hAnsi="Times New Roman"/>
          <w:color w:val="000000" w:themeColor="text1"/>
          <w:sz w:val="16"/>
          <w:szCs w:val="16"/>
        </w:rPr>
        <w:t xml:space="preserve"> в 1933 году сформирована особая сводная авиаэскадрилья имени М.Горького, командир - Михаил Кольцов, журналист (15071).</w:t>
      </w:r>
    </w:p>
    <w:p w14:paraId="641E40CA" w14:textId="77777777" w:rsidR="00161F61" w:rsidRPr="00C33834" w:rsidRDefault="00161F61" w:rsidP="00C33834">
      <w:pPr>
        <w:spacing w:after="0" w:line="240" w:lineRule="auto"/>
        <w:jc w:val="both"/>
        <w:rPr>
          <w:rFonts w:ascii="Times New Roman" w:hAnsi="Times New Roman"/>
          <w:color w:val="000000" w:themeColor="text1"/>
          <w:sz w:val="16"/>
          <w:szCs w:val="16"/>
        </w:rPr>
      </w:pPr>
    </w:p>
    <w:p w14:paraId="77A8605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марта 1933 была сформирована агитэскадрилья МГ (356,422) - Особая сводная агатационная эскадрилья имени Максима Горького - в ознаменование 40 летия литературной деятельности. Командиром назначили М.Е.Кольцова, а зам. по летной части - Е.Ф.Бурче (438,640).</w:t>
      </w:r>
    </w:p>
    <w:p w14:paraId="1184FD7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5DB1C136" w14:textId="77777777" w:rsidR="004F587F" w:rsidRPr="00C33834" w:rsidRDefault="004F587F" w:rsidP="00C33834">
      <w:pPr>
        <w:spacing w:after="0" w:line="240" w:lineRule="auto"/>
        <w:jc w:val="both"/>
        <w:rPr>
          <w:rFonts w:ascii="Times New Roman" w:hAnsi="Times New Roman"/>
          <w:color w:val="0070C0"/>
          <w:sz w:val="16"/>
          <w:szCs w:val="16"/>
          <w:lang w:eastAsia="ru-RU" w:bidi="ru-RU"/>
        </w:rPr>
      </w:pPr>
      <w:r w:rsidRPr="00C33834">
        <w:rPr>
          <w:rFonts w:ascii="Times New Roman" w:hAnsi="Times New Roman"/>
          <w:color w:val="0070C0"/>
          <w:sz w:val="16"/>
          <w:szCs w:val="16"/>
          <w:lang w:eastAsia="ru-RU" w:bidi="ru-RU"/>
        </w:rPr>
        <w:t>17 марта 1933 г. вышел при</w:t>
      </w:r>
      <w:r w:rsidRPr="00C33834">
        <w:rPr>
          <w:rFonts w:ascii="Times New Roman" w:hAnsi="Times New Roman"/>
          <w:color w:val="0070C0"/>
          <w:sz w:val="16"/>
          <w:szCs w:val="16"/>
          <w:lang w:eastAsia="ru-RU" w:bidi="ru-RU"/>
        </w:rPr>
        <w:softHyphen/>
        <w:t>каз по Гражданскому Воздушному Флоту о создании специальной агитэскадрильи имени Максима Горького.</w:t>
      </w:r>
    </w:p>
    <w:p w14:paraId="074E0CE3" w14:textId="77777777" w:rsidR="004F587F" w:rsidRPr="00C33834" w:rsidRDefault="004F587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ПРИКАЗ ПО ГРАЖДАНСКОМУ ВОЗДУШНОМУ ФЛОТУ</w:t>
      </w:r>
    </w:p>
    <w:p w14:paraId="585112E4" w14:textId="77777777" w:rsidR="004F587F" w:rsidRPr="00C33834" w:rsidRDefault="004F587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г. Москва №332 17марта 1933 г.</w:t>
      </w:r>
    </w:p>
    <w:p w14:paraId="394E9809" w14:textId="77777777" w:rsidR="004F587F" w:rsidRPr="00C33834" w:rsidRDefault="004F587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О СФОРМИРОВАНИИ ОСОБОЙ СВОДНОЙ АВИАНИОННО-ВОЗДУХОПЛАВАТЕЛЬНОЙ АГИТЭСКАДРИЛЬИ им. МАКСИМА ГОРЬКОГО</w:t>
      </w:r>
    </w:p>
    <w:p w14:paraId="172B57A1" w14:textId="77777777" w:rsidR="004F587F" w:rsidRPr="00C33834" w:rsidRDefault="004F587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По инициативе работников Журналь</w:t>
      </w:r>
      <w:r w:rsidRPr="00C33834">
        <w:rPr>
          <w:rFonts w:ascii="Times New Roman" w:hAnsi="Times New Roman"/>
          <w:color w:val="0070C0"/>
          <w:sz w:val="16"/>
          <w:szCs w:val="16"/>
          <w:lang w:eastAsia="ru-RU" w:bidi="ru-RU"/>
        </w:rPr>
        <w:softHyphen/>
        <w:t>но-газетного объединения в дни 40-летнего юбилея литературной деятельности вели</w:t>
      </w:r>
      <w:r w:rsidRPr="00C33834">
        <w:rPr>
          <w:rFonts w:ascii="Times New Roman" w:hAnsi="Times New Roman"/>
          <w:color w:val="0070C0"/>
          <w:sz w:val="16"/>
          <w:szCs w:val="16"/>
          <w:lang w:eastAsia="ru-RU" w:bidi="ru-RU"/>
        </w:rPr>
        <w:softHyphen/>
        <w:t>кого пролетарского писателя Алексея Мак</w:t>
      </w:r>
      <w:r w:rsidRPr="00C33834">
        <w:rPr>
          <w:rFonts w:ascii="Times New Roman" w:hAnsi="Times New Roman"/>
          <w:color w:val="0070C0"/>
          <w:sz w:val="16"/>
          <w:szCs w:val="16"/>
          <w:lang w:eastAsia="ru-RU" w:bidi="ru-RU"/>
        </w:rPr>
        <w:softHyphen/>
        <w:t>симовича Горького начата кампания по со</w:t>
      </w:r>
      <w:r w:rsidRPr="00C33834">
        <w:rPr>
          <w:rFonts w:ascii="Times New Roman" w:hAnsi="Times New Roman"/>
          <w:color w:val="0070C0"/>
          <w:sz w:val="16"/>
          <w:szCs w:val="16"/>
          <w:lang w:eastAsia="ru-RU" w:bidi="ru-RU"/>
        </w:rPr>
        <w:softHyphen/>
        <w:t>оружению на добровольные взносы трудя</w:t>
      </w:r>
      <w:r w:rsidRPr="00C33834">
        <w:rPr>
          <w:rFonts w:ascii="Times New Roman" w:hAnsi="Times New Roman"/>
          <w:color w:val="0070C0"/>
          <w:sz w:val="16"/>
          <w:szCs w:val="16"/>
          <w:lang w:eastAsia="ru-RU" w:bidi="ru-RU"/>
        </w:rPr>
        <w:softHyphen/>
        <w:t>щихся агитсамолета-гиганта « Максим Горький».</w:t>
      </w:r>
    </w:p>
    <w:p w14:paraId="74CD8477" w14:textId="77777777" w:rsidR="004F587F" w:rsidRPr="00C33834" w:rsidRDefault="004F587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 целях скорейшего претворения в жизнь выдвинутой идеи и широкого развер</w:t>
      </w:r>
      <w:r w:rsidRPr="00C33834">
        <w:rPr>
          <w:rFonts w:ascii="Times New Roman" w:hAnsi="Times New Roman"/>
          <w:color w:val="0070C0"/>
          <w:sz w:val="16"/>
          <w:szCs w:val="16"/>
          <w:lang w:eastAsia="ru-RU" w:bidi="ru-RU"/>
        </w:rPr>
        <w:softHyphen/>
        <w:t>тывания пропагандистской и агитацион</w:t>
      </w:r>
      <w:r w:rsidRPr="00C33834">
        <w:rPr>
          <w:rFonts w:ascii="Times New Roman" w:hAnsi="Times New Roman"/>
          <w:color w:val="0070C0"/>
          <w:sz w:val="16"/>
          <w:szCs w:val="16"/>
          <w:lang w:eastAsia="ru-RU" w:bidi="ru-RU"/>
        </w:rPr>
        <w:softHyphen/>
        <w:t>ной работы — приказываю:</w:t>
      </w:r>
    </w:p>
    <w:p w14:paraId="0B5FC64A" w14:textId="77777777" w:rsidR="004F587F" w:rsidRPr="00C33834" w:rsidRDefault="004F587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1. Сформировать при коллегии Аэро</w:t>
      </w:r>
      <w:r w:rsidRPr="00C33834">
        <w:rPr>
          <w:rFonts w:ascii="Times New Roman" w:hAnsi="Times New Roman"/>
          <w:color w:val="0070C0"/>
          <w:sz w:val="16"/>
          <w:szCs w:val="16"/>
          <w:lang w:eastAsia="ru-RU" w:bidi="ru-RU"/>
        </w:rPr>
        <w:softHyphen/>
        <w:t>флота Особую сводную агитационно-воз</w:t>
      </w:r>
      <w:r w:rsidRPr="00C33834">
        <w:rPr>
          <w:rFonts w:ascii="Times New Roman" w:hAnsi="Times New Roman"/>
          <w:color w:val="0070C0"/>
          <w:sz w:val="16"/>
          <w:szCs w:val="16"/>
          <w:lang w:eastAsia="ru-RU" w:bidi="ru-RU"/>
        </w:rPr>
        <w:softHyphen/>
        <w:t>духоплавательную агитэскадрилью им. Максима Горького в следующем составе:</w:t>
      </w:r>
    </w:p>
    <w:p w14:paraId="7446BE80" w14:textId="77777777" w:rsidR="004F587F" w:rsidRPr="00C33834" w:rsidRDefault="004F587F" w:rsidP="00C33834">
      <w:pPr>
        <w:widowControl w:val="0"/>
        <w:tabs>
          <w:tab w:val="left" w:pos="562"/>
        </w:tabs>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а) самолеты АНТ-14. АНТ-9, Сталь-2, К-5. У-2;</w:t>
      </w:r>
    </w:p>
    <w:p w14:paraId="5907287D" w14:textId="77777777" w:rsidR="004F587F" w:rsidRPr="00C33834" w:rsidRDefault="004F587F" w:rsidP="00C33834">
      <w:pPr>
        <w:widowControl w:val="0"/>
        <w:tabs>
          <w:tab w:val="left" w:pos="800"/>
        </w:tabs>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б) дирижабль В-3.</w:t>
      </w:r>
    </w:p>
    <w:p w14:paraId="02A92426" w14:textId="77777777" w:rsidR="004F587F" w:rsidRPr="00C33834" w:rsidRDefault="004F587F" w:rsidP="00C33834">
      <w:pPr>
        <w:spacing w:after="0" w:line="240" w:lineRule="auto"/>
        <w:jc w:val="both"/>
        <w:rPr>
          <w:rFonts w:ascii="Times New Roman" w:hAnsi="Times New Roman"/>
          <w:color w:val="0070C0"/>
          <w:sz w:val="16"/>
          <w:szCs w:val="16"/>
          <w:lang w:eastAsia="ru-RU" w:bidi="ru-RU"/>
        </w:rPr>
      </w:pPr>
      <w:r w:rsidRPr="00C33834">
        <w:rPr>
          <w:rFonts w:ascii="Times New Roman" w:hAnsi="Times New Roman"/>
          <w:color w:val="0070C0"/>
          <w:sz w:val="16"/>
          <w:szCs w:val="16"/>
          <w:lang w:eastAsia="ru-RU" w:bidi="ru-RU"/>
        </w:rPr>
        <w:t>Флагманским кораблем эскадрильи счи</w:t>
      </w:r>
      <w:r w:rsidRPr="00C33834">
        <w:rPr>
          <w:rFonts w:ascii="Times New Roman" w:hAnsi="Times New Roman"/>
          <w:color w:val="0070C0"/>
          <w:sz w:val="16"/>
          <w:szCs w:val="16"/>
          <w:lang w:eastAsia="ru-RU" w:bidi="ru-RU"/>
        </w:rPr>
        <w:softHyphen/>
        <w:t>тать агитсамолет-гигант «Максим Горь</w:t>
      </w:r>
      <w:r w:rsidRPr="00C33834">
        <w:rPr>
          <w:rFonts w:ascii="Times New Roman" w:hAnsi="Times New Roman"/>
          <w:color w:val="0070C0"/>
          <w:sz w:val="16"/>
          <w:szCs w:val="16"/>
          <w:lang w:eastAsia="ru-RU" w:bidi="ru-RU"/>
        </w:rPr>
        <w:softHyphen/>
        <w:t>кий», выходящий из производства к 1 мая 1934 г. До выпуска этого самолета флаг</w:t>
      </w:r>
      <w:r w:rsidRPr="00C33834">
        <w:rPr>
          <w:rFonts w:ascii="Times New Roman" w:hAnsi="Times New Roman"/>
          <w:color w:val="0070C0"/>
          <w:sz w:val="16"/>
          <w:szCs w:val="16"/>
          <w:lang w:eastAsia="ru-RU" w:bidi="ru-RU"/>
        </w:rPr>
        <w:softHyphen/>
        <w:t>манским кораблем эскадрильи является АНТ-14.</w:t>
      </w:r>
    </w:p>
    <w:p w14:paraId="2DDC6606" w14:textId="77777777" w:rsidR="004F587F" w:rsidRPr="00C33834" w:rsidRDefault="004F587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2. Местом базирования эскадрильи оп</w:t>
      </w:r>
      <w:r w:rsidRPr="00C33834">
        <w:rPr>
          <w:rFonts w:ascii="Times New Roman" w:hAnsi="Times New Roman"/>
          <w:color w:val="0070C0"/>
          <w:sz w:val="16"/>
          <w:szCs w:val="16"/>
          <w:lang w:eastAsia="ru-RU" w:bidi="ru-RU"/>
        </w:rPr>
        <w:softHyphen/>
        <w:t>ределяется г. Москва.</w:t>
      </w:r>
    </w:p>
    <w:p w14:paraId="7B42D210" w14:textId="77777777" w:rsidR="004F587F" w:rsidRPr="00C33834" w:rsidRDefault="004F587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3. Командиром Особой сводной авиаци- онно-воздухоплавательной эскадрильи им. М. Горького назначен летчик-наблюдатель т. Кольцов М.Е.».</w:t>
      </w:r>
    </w:p>
    <w:p w14:paraId="4D81B782" w14:textId="77777777" w:rsidR="004F587F" w:rsidRPr="00C33834" w:rsidRDefault="004F587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Прочтя пункт 3 приказа, где говорит</w:t>
      </w:r>
      <w:r w:rsidRPr="00C33834">
        <w:rPr>
          <w:rFonts w:ascii="Times New Roman" w:hAnsi="Times New Roman"/>
          <w:color w:val="0070C0"/>
          <w:sz w:val="16"/>
          <w:szCs w:val="16"/>
          <w:lang w:eastAsia="ru-RU" w:bidi="ru-RU"/>
        </w:rPr>
        <w:softHyphen/>
        <w:t>ся о летчике-наблюдателе М.Е. Кольцо</w:t>
      </w:r>
      <w:r w:rsidRPr="00C33834">
        <w:rPr>
          <w:rFonts w:ascii="Times New Roman" w:hAnsi="Times New Roman"/>
          <w:color w:val="0070C0"/>
          <w:sz w:val="16"/>
          <w:szCs w:val="16"/>
          <w:lang w:eastAsia="ru-RU" w:bidi="ru-RU"/>
        </w:rPr>
        <w:softHyphen/>
        <w:t>ве. нынешний читатель может подумать, что это звание было «придумано к месту» руководством ГВФ. Это не так. Приказом Реввоенсовета СССР от 6 ноября 1930 г. М.Е. Кольцову, члену Н-ской авиабрига</w:t>
      </w:r>
      <w:r w:rsidRPr="00C33834">
        <w:rPr>
          <w:rFonts w:ascii="Times New Roman" w:hAnsi="Times New Roman"/>
          <w:color w:val="0070C0"/>
          <w:sz w:val="16"/>
          <w:szCs w:val="16"/>
          <w:lang w:eastAsia="ru-RU" w:bidi="ru-RU"/>
        </w:rPr>
        <w:softHyphen/>
        <w:t>ды ВВС РККА, было присвоено звание летчика-наблюдателя за участие «во всех больших советских перелетах, сопряжен</w:t>
      </w:r>
      <w:r w:rsidRPr="00C33834">
        <w:rPr>
          <w:rFonts w:ascii="Times New Roman" w:hAnsi="Times New Roman"/>
          <w:color w:val="0070C0"/>
          <w:sz w:val="16"/>
          <w:szCs w:val="16"/>
          <w:lang w:eastAsia="ru-RU" w:bidi="ru-RU"/>
        </w:rPr>
        <w:softHyphen/>
        <w:t>ных с большими трудностями». Этот мало</w:t>
      </w:r>
      <w:r w:rsidRPr="00C33834">
        <w:rPr>
          <w:rFonts w:ascii="Times New Roman" w:hAnsi="Times New Roman"/>
          <w:color w:val="0070C0"/>
          <w:sz w:val="16"/>
          <w:szCs w:val="16"/>
          <w:lang w:eastAsia="ru-RU" w:bidi="ru-RU"/>
        </w:rPr>
        <w:softHyphen/>
        <w:t>известный факт проливает свет на причи</w:t>
      </w:r>
      <w:r w:rsidRPr="00C33834">
        <w:rPr>
          <w:rFonts w:ascii="Times New Roman" w:hAnsi="Times New Roman"/>
          <w:color w:val="0070C0"/>
          <w:sz w:val="16"/>
          <w:szCs w:val="16"/>
          <w:lang w:eastAsia="ru-RU" w:bidi="ru-RU"/>
        </w:rPr>
        <w:softHyphen/>
        <w:t>ну привязанности и любви журналиста Кольцова к авиации (21240).</w:t>
      </w:r>
    </w:p>
    <w:p w14:paraId="0469CE45" w14:textId="77777777" w:rsidR="004F587F" w:rsidRPr="00C33834" w:rsidRDefault="004F587F" w:rsidP="00C33834">
      <w:pPr>
        <w:spacing w:after="0" w:line="240" w:lineRule="auto"/>
        <w:jc w:val="both"/>
        <w:rPr>
          <w:rFonts w:ascii="Times New Roman" w:hAnsi="Times New Roman"/>
          <w:color w:val="0070C0"/>
          <w:sz w:val="16"/>
          <w:szCs w:val="16"/>
        </w:rPr>
      </w:pPr>
    </w:p>
    <w:p w14:paraId="35FB9A10" w14:textId="77777777" w:rsidR="0047435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05232A1" w14:textId="77777777" w:rsidR="00474353" w:rsidRPr="00C33834" w:rsidRDefault="0047435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C6D03A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17 по 21 марта 1933 орудие ПС-3 П.Сячентова № 4 было установлено в башню танка Т-35, которая была смонтирована на специально построенном бревенчатом срубе. Под основанием башни был укреплен стальной лист толщиной 8 мм, на который приклепали зубчатый венец с шарикоподшипниками для горизонтальной наводки. Сруб был дополнительно скреплен железными скобами и болтами с накладками для обеспечения необходимой жесткости. Всего из этой установки было выполнено 465 выстрелов, после чего башня была установлена на танк Т-35, потом - Т-28, где испытывалась до 1934 г (6208, 42).</w:t>
      </w:r>
    </w:p>
    <w:p w14:paraId="3D32349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4A17BE7F" w14:textId="77777777" w:rsidR="0047435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0BF3F8D7" w14:textId="77777777" w:rsidR="00474353" w:rsidRPr="00C33834" w:rsidRDefault="0047435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99DF66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17 марта 1933 года вышло постановление ЦИК и Совнаркома СССР “О порядке отходничества из колхозов” обязывало правления колхозов “исключать из колхоза тех колхозников, которые самовольно, без зарегистрированного в правлении колхоза договора с хозорганами бросают свое колхозное хозяйство” </w:t>
      </w:r>
      <w:r w:rsidRPr="00C33834">
        <w:rPr>
          <w:rFonts w:ascii="Times New Roman" w:hAnsi="Times New Roman"/>
          <w:color w:val="000000" w:themeColor="text1"/>
          <w:sz w:val="16"/>
          <w:szCs w:val="16"/>
          <w:vertAlign w:val="superscript"/>
        </w:rPr>
        <w:t>10</w:t>
      </w:r>
      <w:r w:rsidRPr="00C33834">
        <w:rPr>
          <w:rFonts w:ascii="Times New Roman" w:hAnsi="Times New Roman"/>
          <w:color w:val="000000" w:themeColor="text1"/>
          <w:sz w:val="16"/>
          <w:szCs w:val="16"/>
        </w:rPr>
        <w:t>. Необходимость иметь на руках договор перед выездом из деревни (9985).</w:t>
      </w:r>
    </w:p>
    <w:p w14:paraId="2C02539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704C911A" w14:textId="77777777" w:rsidR="00654D18"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446791D3" w14:textId="77777777" w:rsidR="00654D18" w:rsidRPr="00C33834" w:rsidRDefault="00654D1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4521D66" w14:textId="77777777" w:rsidR="00654D18" w:rsidRPr="00C33834" w:rsidRDefault="00654D1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17 марта 1933 г. фашизм в Германии: </w:t>
      </w:r>
      <w:r w:rsidRPr="00C33834">
        <w:rPr>
          <w:rFonts w:ascii="Times New Roman" w:eastAsia="Times New Roman" w:hAnsi="Times New Roman"/>
          <w:iCs/>
          <w:color w:val="000000" w:themeColor="text1"/>
          <w:sz w:val="16"/>
          <w:szCs w:val="16"/>
          <w:lang w:eastAsia="ru-RU"/>
        </w:rPr>
        <w:t>убит</w:t>
      </w:r>
      <w:r w:rsidRPr="00C33834">
        <w:rPr>
          <w:rFonts w:ascii="Times New Roman" w:eastAsia="Times New Roman" w:hAnsi="Times New Roman"/>
          <w:color w:val="000000" w:themeColor="text1"/>
          <w:sz w:val="16"/>
          <w:szCs w:val="16"/>
          <w:lang w:eastAsia="ru-RU"/>
        </w:rPr>
        <w:t xml:space="preserve"> агент ИНО-ОГПУ в Берлине барон Курт фон Поссанер. </w:t>
      </w:r>
      <w:r w:rsidRPr="00C33834">
        <w:rPr>
          <w:rFonts w:ascii="Times New Roman" w:hAnsi="Times New Roman"/>
          <w:bCs/>
          <w:color w:val="000000" w:themeColor="text1"/>
          <w:sz w:val="16"/>
          <w:szCs w:val="16"/>
        </w:rPr>
        <w:t xml:space="preserve">Он был лично знаком с Гитлером, Ремом, Герингом, Геббельсом, Розенбергом, Гиммлером и другими видными нацистами. Достаточно сказать, что он представил в резидентуру список из 51 фамилии политиков, промышленников, военных, дипломатов, немецких и иностранных журналистов, которые могли быть завербованы советской разведкой или использоваться Поссанером «втемную». Отныне Иностранный отдел ОГПУ имел достаточно полное представление о том, что происходило в верхушке нацистской партии и даже в ближайшем окружении Гитлера. Как бы то ни было, но в целом информация А/270 представляла значительную ценность. Когда Гитлер пришел к власти, в Москве имели достаточно точную характеристику его личности, а также многих других нацистов, занявших министерские и другие важные государственные посты. К сожалению, фон Поссанер не сумел предпринять должных мер для обеспечения своей безопасности. </w:t>
      </w:r>
      <w:r w:rsidRPr="00C33834">
        <w:rPr>
          <w:rFonts w:ascii="Times New Roman" w:hAnsi="Times New Roman"/>
          <w:color w:val="000000" w:themeColor="text1"/>
          <w:sz w:val="16"/>
          <w:szCs w:val="16"/>
        </w:rPr>
        <w:t>17 марта 1933 года</w:t>
      </w:r>
      <w:r w:rsidRPr="00C33834">
        <w:rPr>
          <w:rFonts w:ascii="Times New Roman" w:hAnsi="Times New Roman"/>
          <w:bCs/>
          <w:color w:val="000000" w:themeColor="text1"/>
          <w:sz w:val="16"/>
          <w:szCs w:val="16"/>
        </w:rPr>
        <w:t xml:space="preserve"> его обезображенное несколькими ножевыми и огнестрельными ранениями тело было найдено в лесу близ Потсдама</w:t>
      </w:r>
      <w:r w:rsidRPr="00C33834">
        <w:rPr>
          <w:rFonts w:ascii="Times New Roman" w:eastAsia="Times New Roman" w:hAnsi="Times New Roman"/>
          <w:color w:val="000000" w:themeColor="text1"/>
          <w:sz w:val="16"/>
          <w:szCs w:val="16"/>
          <w:lang w:eastAsia="ru-RU"/>
        </w:rPr>
        <w:t xml:space="preserve"> (17325).</w:t>
      </w:r>
    </w:p>
    <w:p w14:paraId="6D3EB269" w14:textId="77777777" w:rsidR="00654D18" w:rsidRPr="00C33834" w:rsidRDefault="00654D18" w:rsidP="00C33834">
      <w:pPr>
        <w:spacing w:after="0" w:line="240" w:lineRule="auto"/>
        <w:jc w:val="both"/>
        <w:rPr>
          <w:rFonts w:ascii="Times New Roman" w:hAnsi="Times New Roman"/>
          <w:color w:val="000000" w:themeColor="text1"/>
          <w:sz w:val="16"/>
          <w:szCs w:val="16"/>
        </w:rPr>
      </w:pPr>
    </w:p>
    <w:p w14:paraId="194F569D" w14:textId="77777777" w:rsidR="00161F6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13BA913E" w14:textId="77777777" w:rsidR="00161F61" w:rsidRPr="00C33834" w:rsidRDefault="00161F6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762A095" w14:textId="77777777" w:rsidR="00161F61" w:rsidRPr="00C33834" w:rsidRDefault="00161F61"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17 марта</w:t>
      </w:r>
      <w:r w:rsidRPr="00C33834">
        <w:rPr>
          <w:rFonts w:ascii="Times New Roman" w:hAnsi="Times New Roman"/>
          <w:color w:val="000000" w:themeColor="text1"/>
          <w:sz w:val="16"/>
          <w:szCs w:val="16"/>
        </w:rPr>
        <w:t xml:space="preserve"> в 1933 году во время очередного испытательного полета польский легкий бомбардировщик </w:t>
      </w:r>
      <w:hyperlink r:id="rId101" w:tgtFrame="_blank" w:history="1">
        <w:r w:rsidRPr="00C33834">
          <w:rPr>
            <w:rFonts w:ascii="Times New Roman" w:hAnsi="Times New Roman"/>
            <w:color w:val="000000" w:themeColor="text1"/>
            <w:sz w:val="16"/>
            <w:szCs w:val="16"/>
          </w:rPr>
          <w:t xml:space="preserve">«PWS-19» </w:t>
        </w:r>
      </w:hyperlink>
      <w:r w:rsidRPr="00C33834">
        <w:rPr>
          <w:rFonts w:ascii="Times New Roman" w:hAnsi="Times New Roman"/>
          <w:color w:val="000000" w:themeColor="text1"/>
          <w:sz w:val="16"/>
          <w:szCs w:val="16"/>
        </w:rPr>
        <w:t>вошел в штопор и разбился. Летчик успел воспользоваться парашютом. Больше к проекту не возвращались (15071).</w:t>
      </w:r>
    </w:p>
    <w:p w14:paraId="1DB762A7" w14:textId="77777777" w:rsidR="00161F61" w:rsidRPr="00C33834" w:rsidRDefault="00161F61" w:rsidP="00C33834">
      <w:pPr>
        <w:spacing w:after="0" w:line="240" w:lineRule="auto"/>
        <w:jc w:val="both"/>
        <w:rPr>
          <w:rFonts w:ascii="Times New Roman" w:hAnsi="Times New Roman"/>
          <w:color w:val="000000" w:themeColor="text1"/>
          <w:sz w:val="16"/>
          <w:szCs w:val="16"/>
        </w:rPr>
      </w:pPr>
    </w:p>
    <w:p w14:paraId="1F505126" w14:textId="77777777" w:rsidR="00654D18" w:rsidRPr="00C33834" w:rsidRDefault="00654D1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17 марта 1933 г. депутат Нусбаум </w:t>
      </w:r>
      <w:r w:rsidRPr="00C33834">
        <w:rPr>
          <w:rFonts w:ascii="Times New Roman" w:eastAsia="Times New Roman" w:hAnsi="Times New Roman"/>
          <w:iCs/>
          <w:color w:val="000000" w:themeColor="text1"/>
          <w:sz w:val="16"/>
          <w:szCs w:val="16"/>
          <w:lang w:eastAsia="ru-RU"/>
        </w:rPr>
        <w:t>убил</w:t>
      </w:r>
      <w:r w:rsidRPr="00C33834">
        <w:rPr>
          <w:rFonts w:ascii="Times New Roman" w:eastAsia="Times New Roman" w:hAnsi="Times New Roman"/>
          <w:color w:val="000000" w:themeColor="text1"/>
          <w:sz w:val="16"/>
          <w:szCs w:val="16"/>
          <w:lang w:eastAsia="ru-RU"/>
        </w:rPr>
        <w:t xml:space="preserve"> во Фрайбурге 2-х полицейских – репрессии против СДПГ, Гитлер создает свою личную охрану</w:t>
      </w:r>
    </w:p>
    <w:p w14:paraId="6745E649" w14:textId="77777777" w:rsidR="00654D18" w:rsidRPr="00C33834" w:rsidRDefault="00654D1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bCs/>
          <w:iCs/>
          <w:color w:val="000000" w:themeColor="text1"/>
          <w:sz w:val="16"/>
          <w:szCs w:val="16"/>
          <w:lang w:eastAsia="ru-RU"/>
        </w:rPr>
        <w:t>Рюдигер Сафранский «Хайдеггер – германский мастер и его время»:</w:t>
      </w:r>
    </w:p>
    <w:p w14:paraId="7FA0634B" w14:textId="77777777" w:rsidR="00654D18" w:rsidRPr="00C33834" w:rsidRDefault="00654D18" w:rsidP="00C33834">
      <w:pPr>
        <w:shd w:val="clear" w:color="auto" w:fill="FFFFFF"/>
        <w:spacing w:after="0" w:line="240" w:lineRule="auto"/>
        <w:jc w:val="both"/>
        <w:rPr>
          <w:rFonts w:ascii="Times New Roman" w:eastAsia="Times New Roman" w:hAnsi="Times New Roman"/>
          <w:bCs/>
          <w:color w:val="000000" w:themeColor="text1"/>
          <w:sz w:val="16"/>
          <w:szCs w:val="16"/>
          <w:lang w:eastAsia="ru-RU"/>
        </w:rPr>
      </w:pPr>
      <w:r w:rsidRPr="00C33834">
        <w:rPr>
          <w:rFonts w:ascii="Times New Roman" w:eastAsia="Times New Roman" w:hAnsi="Times New Roman"/>
          <w:bCs/>
          <w:color w:val="000000" w:themeColor="text1"/>
          <w:sz w:val="16"/>
          <w:szCs w:val="16"/>
          <w:lang w:eastAsia="ru-RU"/>
        </w:rPr>
        <w:t xml:space="preserve">Сомнения социал-демократа Мёллендорфа относительно того, стоит ли ему принимать должность ректора, как нельзя более понятны, ибо во Фрайбурге, как и повсюду, тогда уже начались преследования социал-демократов. Под руководством имперского комиссара Роберта Вагнера эти гонения приобрели особую ожесточенность. Уже в начале марта были разгромлены дом профсоюзов и центральный офис местной организации СДПГ, производились аресты и домашние обыски. </w:t>
      </w:r>
      <w:r w:rsidRPr="00C33834">
        <w:rPr>
          <w:rFonts w:ascii="Times New Roman" w:eastAsia="Times New Roman" w:hAnsi="Times New Roman"/>
          <w:color w:val="000000" w:themeColor="text1"/>
          <w:sz w:val="16"/>
          <w:szCs w:val="16"/>
          <w:lang w:eastAsia="ru-RU"/>
        </w:rPr>
        <w:t>17 марта (1933)</w:t>
      </w:r>
      <w:r w:rsidRPr="00C33834">
        <w:rPr>
          <w:rFonts w:ascii="Times New Roman" w:eastAsia="Times New Roman" w:hAnsi="Times New Roman"/>
          <w:bCs/>
          <w:color w:val="000000" w:themeColor="text1"/>
          <w:sz w:val="16"/>
          <w:szCs w:val="16"/>
          <w:lang w:eastAsia="ru-RU"/>
        </w:rPr>
        <w:t xml:space="preserve"> произошел неприятный инцидент с депутатом ландтага Нусбаумом. Нусбаум, как раз перед тем прошедший многонедельный курс лечения в психиатрической клинике, защищаясь от двух полицейских, смертельно их ранил, после чего в городе усилилась травля СДПГ. На площади у кафедрального собора состоялась демонстрация против марксизма – агитаторы говорили о том, что его нужно «вырвать с корнем». Недалеко от Хойберга уже построили два концентрационных лагеря. Местная пресса публиковала фотографии, запечатлевшие отправку туда первых партий заключенных (17325).</w:t>
      </w:r>
    </w:p>
    <w:p w14:paraId="470E4036" w14:textId="77777777" w:rsidR="00654D18" w:rsidRPr="00C33834" w:rsidRDefault="00654D1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8C23D26" w14:textId="77777777" w:rsidR="00654D18" w:rsidRPr="00C33834" w:rsidRDefault="00654D1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17 марта 1933 г. Гитлер принял решение создать из членов СС отряд охраны рейхсканцелярии. Новую часть назвали «Охрана штаба СС», ее возглавил Йозеф Дитрих — телохранитель Адольфа Гитлера (17325).</w:t>
      </w:r>
    </w:p>
    <w:p w14:paraId="1EB09301" w14:textId="77777777" w:rsidR="00654D18" w:rsidRPr="00C33834" w:rsidRDefault="00654D1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70449AD" w14:textId="77777777" w:rsidR="0047435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A8B7A83" w14:textId="77777777" w:rsidR="00474353" w:rsidRPr="00C33834" w:rsidRDefault="0047435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3E7FFC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марта 1933 начались испытания двигателя ОР-2 Ф.А.Цандера (уже без него), а 28 марта 1933 он умер (271,131).</w:t>
      </w:r>
    </w:p>
    <w:p w14:paraId="064C6FC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3D69E4A3" w14:textId="77777777" w:rsidR="00161F61" w:rsidRPr="00C33834" w:rsidRDefault="00161F61"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 xml:space="preserve">18 марта </w:t>
      </w:r>
      <w:r w:rsidRPr="00C33834">
        <w:rPr>
          <w:rFonts w:ascii="Times New Roman" w:hAnsi="Times New Roman"/>
          <w:color w:val="000000" w:themeColor="text1"/>
          <w:sz w:val="16"/>
          <w:szCs w:val="16"/>
        </w:rPr>
        <w:t xml:space="preserve">в 1933 году первый и единственный испытательный запуск жидкостного ракетного двигателя </w:t>
      </w:r>
      <w:hyperlink r:id="rId102" w:tgtFrame="_blank" w:history="1">
        <w:r w:rsidRPr="00C33834">
          <w:rPr>
            <w:rFonts w:ascii="Times New Roman" w:hAnsi="Times New Roman"/>
            <w:color w:val="000000" w:themeColor="text1"/>
            <w:sz w:val="16"/>
            <w:szCs w:val="16"/>
          </w:rPr>
          <w:t xml:space="preserve">«ОР-2», </w:t>
        </w:r>
      </w:hyperlink>
      <w:r w:rsidRPr="00C33834">
        <w:rPr>
          <w:rFonts w:ascii="Times New Roman" w:hAnsi="Times New Roman"/>
          <w:color w:val="000000" w:themeColor="text1"/>
          <w:sz w:val="16"/>
          <w:szCs w:val="16"/>
        </w:rPr>
        <w:t>конструкции Ф. А. Цандера. Предназначался для установки на бесхвостый ракетоплан «РП-1» разработанного коллективом Группы изучения реактивного движения (ГИРД) и планер-летающее крыло «БИЧ-11» конструкции Б. И. Черановского. Проектная тяга составляла 50 кгс, охлаждение сопла производилось водой, а камеры сгорания — газообразным кислородом. При первых испытаниях двигатель разрушался (15072).</w:t>
      </w:r>
    </w:p>
    <w:p w14:paraId="227520E7" w14:textId="77777777" w:rsidR="00161F61" w:rsidRPr="00C33834" w:rsidRDefault="00161F61" w:rsidP="00C33834">
      <w:pPr>
        <w:spacing w:after="0" w:line="240" w:lineRule="auto"/>
        <w:jc w:val="both"/>
        <w:rPr>
          <w:rFonts w:ascii="Times New Roman" w:hAnsi="Times New Roman"/>
          <w:color w:val="000000" w:themeColor="text1"/>
          <w:sz w:val="16"/>
          <w:szCs w:val="16"/>
        </w:rPr>
      </w:pPr>
    </w:p>
    <w:p w14:paraId="027BEFAD" w14:textId="77777777" w:rsidR="0047435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7A66456" w14:textId="77777777" w:rsidR="00474353" w:rsidRPr="00C33834" w:rsidRDefault="0047435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56422B0" w14:textId="77777777" w:rsidR="00474353" w:rsidRPr="00C33834" w:rsidRDefault="0047435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марта 1933 еврейским врачам запрещена практика в Германии (4962).</w:t>
      </w:r>
    </w:p>
    <w:p w14:paraId="1D93BCEA" w14:textId="77777777" w:rsidR="00474353" w:rsidRPr="00C33834" w:rsidRDefault="0047435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C323F7" w14:textId="77777777" w:rsidR="00654D18" w:rsidRPr="00C33834" w:rsidRDefault="00654D18"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18 марта 1933 г. комиссар юстиции Германии Ганс Франк выступил с речью по радио Мюнхена. Франк заявил, что Австрия это последняя часть Германии, в которой осмеливаются подавлять немецкие национальные стремления. Он «дружески» предупредил австрийское правительство не заставлять национал-социалистов Германии решать задачу обеспечения свобод для своих единомышленников в Австрии (17325).</w:t>
      </w:r>
    </w:p>
    <w:p w14:paraId="24479519" w14:textId="77777777" w:rsidR="00654D18" w:rsidRPr="00C33834" w:rsidRDefault="00654D18"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2F95CE" w14:textId="77777777" w:rsidR="0047435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192E2BD" w14:textId="77777777" w:rsidR="00474353" w:rsidRPr="00C33834" w:rsidRDefault="0047435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B1163D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марта 1933 года предъявлен макет самолета МК1-6М34 РН (3516).</w:t>
      </w:r>
    </w:p>
    <w:p w14:paraId="45313B7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0CC38C8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марта 1933 года N с11/001541сс начальник 1 отдела УМТСиВ УВВС Янсон, начальник 1 сектора 1 отдела Галдин.</w:t>
      </w:r>
    </w:p>
    <w:p w14:paraId="44F26B9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Сводка заказа авиапромышленности и выполнения продукции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tblGrid>
      <w:tr w:rsidR="00F26F01" w:rsidRPr="00C33834" w14:paraId="15140839" w14:textId="77777777">
        <w:tc>
          <w:tcPr>
            <w:tcW w:w="1127" w:type="dxa"/>
          </w:tcPr>
          <w:p w14:paraId="231625D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w:t>
            </w:r>
          </w:p>
        </w:tc>
        <w:tc>
          <w:tcPr>
            <w:tcW w:w="1127" w:type="dxa"/>
          </w:tcPr>
          <w:p w14:paraId="23B6ACD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 год</w:t>
            </w:r>
          </w:p>
        </w:tc>
        <w:tc>
          <w:tcPr>
            <w:tcW w:w="1127" w:type="dxa"/>
          </w:tcPr>
          <w:p w14:paraId="3211274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71D3FC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w:t>
            </w:r>
          </w:p>
        </w:tc>
        <w:tc>
          <w:tcPr>
            <w:tcW w:w="1127" w:type="dxa"/>
          </w:tcPr>
          <w:p w14:paraId="1823FBA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377ADB8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 год</w:t>
            </w:r>
          </w:p>
        </w:tc>
        <w:tc>
          <w:tcPr>
            <w:tcW w:w="1127" w:type="dxa"/>
          </w:tcPr>
          <w:p w14:paraId="7F44FFB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4004719" w14:textId="77777777">
        <w:tc>
          <w:tcPr>
            <w:tcW w:w="1127" w:type="dxa"/>
          </w:tcPr>
          <w:p w14:paraId="3C8C314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94B179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Заказ</w:t>
            </w:r>
          </w:p>
        </w:tc>
        <w:tc>
          <w:tcPr>
            <w:tcW w:w="1127" w:type="dxa"/>
          </w:tcPr>
          <w:p w14:paraId="00D5729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w:t>
            </w:r>
          </w:p>
        </w:tc>
        <w:tc>
          <w:tcPr>
            <w:tcW w:w="1127" w:type="dxa"/>
          </w:tcPr>
          <w:p w14:paraId="179A108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Заказ</w:t>
            </w:r>
          </w:p>
        </w:tc>
        <w:tc>
          <w:tcPr>
            <w:tcW w:w="1127" w:type="dxa"/>
          </w:tcPr>
          <w:p w14:paraId="0C78E6A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w:t>
            </w:r>
          </w:p>
        </w:tc>
        <w:tc>
          <w:tcPr>
            <w:tcW w:w="1127" w:type="dxa"/>
          </w:tcPr>
          <w:p w14:paraId="15368C2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Заказ</w:t>
            </w:r>
          </w:p>
        </w:tc>
        <w:tc>
          <w:tcPr>
            <w:tcW w:w="1127" w:type="dxa"/>
          </w:tcPr>
          <w:p w14:paraId="68AC45D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w:t>
            </w:r>
          </w:p>
        </w:tc>
      </w:tr>
      <w:tr w:rsidR="00F26F01" w:rsidRPr="00C33834" w14:paraId="394E359C" w14:textId="77777777">
        <w:tc>
          <w:tcPr>
            <w:tcW w:w="1127" w:type="dxa"/>
          </w:tcPr>
          <w:p w14:paraId="09B4612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Р1</w:t>
            </w:r>
          </w:p>
        </w:tc>
        <w:tc>
          <w:tcPr>
            <w:tcW w:w="1127" w:type="dxa"/>
          </w:tcPr>
          <w:p w14:paraId="67FFCB3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302</w:t>
            </w:r>
          </w:p>
        </w:tc>
        <w:tc>
          <w:tcPr>
            <w:tcW w:w="1127" w:type="dxa"/>
          </w:tcPr>
          <w:p w14:paraId="5B22EF3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266</w:t>
            </w:r>
          </w:p>
        </w:tc>
        <w:tc>
          <w:tcPr>
            <w:tcW w:w="1127" w:type="dxa"/>
          </w:tcPr>
          <w:p w14:paraId="663FF7B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3F0EB5B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325E1AF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5F3CC49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5EB08948" w14:textId="77777777">
        <w:tc>
          <w:tcPr>
            <w:tcW w:w="1127" w:type="dxa"/>
          </w:tcPr>
          <w:p w14:paraId="086B855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w:t>
            </w:r>
          </w:p>
        </w:tc>
        <w:tc>
          <w:tcPr>
            <w:tcW w:w="1127" w:type="dxa"/>
          </w:tcPr>
          <w:p w14:paraId="1FE6B15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675</w:t>
            </w:r>
          </w:p>
        </w:tc>
        <w:tc>
          <w:tcPr>
            <w:tcW w:w="1127" w:type="dxa"/>
          </w:tcPr>
          <w:p w14:paraId="702D6D6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303</w:t>
            </w:r>
          </w:p>
        </w:tc>
        <w:tc>
          <w:tcPr>
            <w:tcW w:w="1127" w:type="dxa"/>
          </w:tcPr>
          <w:p w14:paraId="19CB07B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1075</w:t>
            </w:r>
          </w:p>
        </w:tc>
        <w:tc>
          <w:tcPr>
            <w:tcW w:w="1127" w:type="dxa"/>
          </w:tcPr>
          <w:p w14:paraId="1CF40F1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736</w:t>
            </w:r>
          </w:p>
        </w:tc>
        <w:tc>
          <w:tcPr>
            <w:tcW w:w="1127" w:type="dxa"/>
          </w:tcPr>
          <w:p w14:paraId="59F29DE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1650</w:t>
            </w:r>
          </w:p>
        </w:tc>
        <w:tc>
          <w:tcPr>
            <w:tcW w:w="1127" w:type="dxa"/>
          </w:tcPr>
          <w:p w14:paraId="4BA0462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97</w:t>
            </w:r>
          </w:p>
        </w:tc>
      </w:tr>
      <w:tr w:rsidR="00F26F01" w:rsidRPr="00C33834" w14:paraId="2A618760" w14:textId="77777777">
        <w:tc>
          <w:tcPr>
            <w:tcW w:w="1127" w:type="dxa"/>
          </w:tcPr>
          <w:p w14:paraId="358F68B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И3</w:t>
            </w:r>
          </w:p>
        </w:tc>
        <w:tc>
          <w:tcPr>
            <w:tcW w:w="1127" w:type="dxa"/>
          </w:tcPr>
          <w:p w14:paraId="59B050D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w:t>
            </w:r>
          </w:p>
        </w:tc>
        <w:tc>
          <w:tcPr>
            <w:tcW w:w="1127" w:type="dxa"/>
          </w:tcPr>
          <w:p w14:paraId="5C19988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w:t>
            </w:r>
          </w:p>
        </w:tc>
        <w:tc>
          <w:tcPr>
            <w:tcW w:w="1127" w:type="dxa"/>
          </w:tcPr>
          <w:p w14:paraId="5CFD3FC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7A84426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3EF4617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404B78A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2C0814B4" w14:textId="77777777">
        <w:tc>
          <w:tcPr>
            <w:tcW w:w="1127" w:type="dxa"/>
          </w:tcPr>
          <w:p w14:paraId="7A93316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И4</w:t>
            </w:r>
          </w:p>
        </w:tc>
        <w:tc>
          <w:tcPr>
            <w:tcW w:w="1127" w:type="dxa"/>
          </w:tcPr>
          <w:p w14:paraId="7BDA6FB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w:t>
            </w:r>
          </w:p>
        </w:tc>
        <w:tc>
          <w:tcPr>
            <w:tcW w:w="1127" w:type="dxa"/>
          </w:tcPr>
          <w:p w14:paraId="05FBB32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w:t>
            </w:r>
          </w:p>
        </w:tc>
        <w:tc>
          <w:tcPr>
            <w:tcW w:w="1127" w:type="dxa"/>
          </w:tcPr>
          <w:p w14:paraId="24143DD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3794A80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5CFE453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21B15B4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5615171B" w14:textId="77777777">
        <w:tc>
          <w:tcPr>
            <w:tcW w:w="1127" w:type="dxa"/>
          </w:tcPr>
          <w:p w14:paraId="4D0F09A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w:t>
            </w:r>
          </w:p>
        </w:tc>
        <w:tc>
          <w:tcPr>
            <w:tcW w:w="1127" w:type="dxa"/>
          </w:tcPr>
          <w:p w14:paraId="54F2BB8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127" w:type="dxa"/>
          </w:tcPr>
          <w:p w14:paraId="7F107AF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w:t>
            </w:r>
          </w:p>
        </w:tc>
        <w:tc>
          <w:tcPr>
            <w:tcW w:w="1127" w:type="dxa"/>
          </w:tcPr>
          <w:p w14:paraId="364B130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345</w:t>
            </w:r>
          </w:p>
        </w:tc>
        <w:tc>
          <w:tcPr>
            <w:tcW w:w="1127" w:type="dxa"/>
          </w:tcPr>
          <w:p w14:paraId="7926BD2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w:t>
            </w:r>
          </w:p>
        </w:tc>
        <w:tc>
          <w:tcPr>
            <w:tcW w:w="1127" w:type="dxa"/>
          </w:tcPr>
          <w:p w14:paraId="5E335C6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tc>
        <w:tc>
          <w:tcPr>
            <w:tcW w:w="1127" w:type="dxa"/>
          </w:tcPr>
          <w:p w14:paraId="736DCB1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731BA90D" w14:textId="77777777">
        <w:tc>
          <w:tcPr>
            <w:tcW w:w="1127" w:type="dxa"/>
          </w:tcPr>
          <w:p w14:paraId="02245A6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w:t>
            </w:r>
          </w:p>
        </w:tc>
        <w:tc>
          <w:tcPr>
            <w:tcW w:w="1127" w:type="dxa"/>
          </w:tcPr>
          <w:p w14:paraId="47ADC57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c>
          <w:tcPr>
            <w:tcW w:w="1127" w:type="dxa"/>
          </w:tcPr>
          <w:p w14:paraId="707E279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32C20B9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w:t>
            </w:r>
          </w:p>
        </w:tc>
        <w:tc>
          <w:tcPr>
            <w:tcW w:w="1127" w:type="dxa"/>
          </w:tcPr>
          <w:p w14:paraId="5943BF8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w:t>
            </w:r>
          </w:p>
        </w:tc>
        <w:tc>
          <w:tcPr>
            <w:tcW w:w="1127" w:type="dxa"/>
          </w:tcPr>
          <w:p w14:paraId="17177AC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127" w:type="dxa"/>
          </w:tcPr>
          <w:p w14:paraId="7ACF05B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r>
      <w:tr w:rsidR="00F26F01" w:rsidRPr="00C33834" w14:paraId="4C264BED" w14:textId="77777777">
        <w:tc>
          <w:tcPr>
            <w:tcW w:w="1127" w:type="dxa"/>
          </w:tcPr>
          <w:p w14:paraId="07315AE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w:t>
            </w:r>
          </w:p>
        </w:tc>
        <w:tc>
          <w:tcPr>
            <w:tcW w:w="1127" w:type="dxa"/>
          </w:tcPr>
          <w:p w14:paraId="0B79EBA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127" w:type="dxa"/>
          </w:tcPr>
          <w:p w14:paraId="5F52FA7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1127" w:type="dxa"/>
          </w:tcPr>
          <w:p w14:paraId="0D5F0D3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127" w:type="dxa"/>
          </w:tcPr>
          <w:p w14:paraId="128B692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1127" w:type="dxa"/>
          </w:tcPr>
          <w:p w14:paraId="094DB30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1127" w:type="dxa"/>
          </w:tcPr>
          <w:p w14:paraId="04DA777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6FF6C09D" w14:textId="77777777">
        <w:tc>
          <w:tcPr>
            <w:tcW w:w="1127" w:type="dxa"/>
          </w:tcPr>
          <w:p w14:paraId="743B9D4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ТБ1</w:t>
            </w:r>
          </w:p>
        </w:tc>
        <w:tc>
          <w:tcPr>
            <w:tcW w:w="1127" w:type="dxa"/>
          </w:tcPr>
          <w:p w14:paraId="2E0ED43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146</w:t>
            </w:r>
          </w:p>
        </w:tc>
        <w:tc>
          <w:tcPr>
            <w:tcW w:w="1127" w:type="dxa"/>
          </w:tcPr>
          <w:p w14:paraId="09F006D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146</w:t>
            </w:r>
          </w:p>
        </w:tc>
        <w:tc>
          <w:tcPr>
            <w:tcW w:w="1127" w:type="dxa"/>
          </w:tcPr>
          <w:p w14:paraId="58433D2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268E9D5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48381DE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2BE0F3D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471FB9CA" w14:textId="77777777">
        <w:tc>
          <w:tcPr>
            <w:tcW w:w="1127" w:type="dxa"/>
          </w:tcPr>
          <w:p w14:paraId="6848348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АНТ-9</w:t>
            </w:r>
          </w:p>
        </w:tc>
        <w:tc>
          <w:tcPr>
            <w:tcW w:w="1127" w:type="dxa"/>
          </w:tcPr>
          <w:p w14:paraId="3513213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1127" w:type="dxa"/>
          </w:tcPr>
          <w:p w14:paraId="39EEFBF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1127" w:type="dxa"/>
          </w:tcPr>
          <w:p w14:paraId="20455EF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1127" w:type="dxa"/>
          </w:tcPr>
          <w:p w14:paraId="205A007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37D0353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4997297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1410E440" w14:textId="77777777">
        <w:tc>
          <w:tcPr>
            <w:tcW w:w="1127" w:type="dxa"/>
          </w:tcPr>
          <w:p w14:paraId="27274D4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1127" w:type="dxa"/>
          </w:tcPr>
          <w:p w14:paraId="29CB8C6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1127" w:type="dxa"/>
          </w:tcPr>
          <w:p w14:paraId="00D64AC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380045D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127" w:type="dxa"/>
          </w:tcPr>
          <w:p w14:paraId="7D84C2E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w:t>
            </w:r>
          </w:p>
        </w:tc>
        <w:tc>
          <w:tcPr>
            <w:tcW w:w="1127" w:type="dxa"/>
          </w:tcPr>
          <w:p w14:paraId="693686F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127" w:type="dxa"/>
          </w:tcPr>
          <w:p w14:paraId="6BE38FC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w:t>
            </w:r>
          </w:p>
        </w:tc>
      </w:tr>
      <w:tr w:rsidR="00F26F01" w:rsidRPr="00C33834" w14:paraId="2F9EC76F" w14:textId="77777777">
        <w:tc>
          <w:tcPr>
            <w:tcW w:w="1127" w:type="dxa"/>
          </w:tcPr>
          <w:p w14:paraId="67111C0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У1</w:t>
            </w:r>
          </w:p>
        </w:tc>
        <w:tc>
          <w:tcPr>
            <w:tcW w:w="1127" w:type="dxa"/>
          </w:tcPr>
          <w:p w14:paraId="166D1BE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w:t>
            </w:r>
          </w:p>
        </w:tc>
        <w:tc>
          <w:tcPr>
            <w:tcW w:w="1127" w:type="dxa"/>
          </w:tcPr>
          <w:p w14:paraId="72D41AD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w:t>
            </w:r>
          </w:p>
        </w:tc>
        <w:tc>
          <w:tcPr>
            <w:tcW w:w="1127" w:type="dxa"/>
          </w:tcPr>
          <w:p w14:paraId="4E16DDE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5E4CF14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48D0969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052D22D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2835DCE1" w14:textId="77777777">
        <w:tc>
          <w:tcPr>
            <w:tcW w:w="1127" w:type="dxa"/>
          </w:tcPr>
          <w:p w14:paraId="7955B6A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w:t>
            </w:r>
          </w:p>
        </w:tc>
        <w:tc>
          <w:tcPr>
            <w:tcW w:w="1127" w:type="dxa"/>
          </w:tcPr>
          <w:p w14:paraId="684E046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365</w:t>
            </w:r>
          </w:p>
        </w:tc>
        <w:tc>
          <w:tcPr>
            <w:tcW w:w="1127" w:type="dxa"/>
          </w:tcPr>
          <w:p w14:paraId="140AEF0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1127" w:type="dxa"/>
          </w:tcPr>
          <w:p w14:paraId="0281C28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575</w:t>
            </w:r>
          </w:p>
        </w:tc>
        <w:tc>
          <w:tcPr>
            <w:tcW w:w="1127" w:type="dxa"/>
          </w:tcPr>
          <w:p w14:paraId="47118C9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596</w:t>
            </w:r>
          </w:p>
        </w:tc>
        <w:tc>
          <w:tcPr>
            <w:tcW w:w="1127" w:type="dxa"/>
          </w:tcPr>
          <w:p w14:paraId="074B4FE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w:t>
            </w:r>
          </w:p>
        </w:tc>
        <w:tc>
          <w:tcPr>
            <w:tcW w:w="1127" w:type="dxa"/>
          </w:tcPr>
          <w:p w14:paraId="6F443F1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w:t>
            </w:r>
          </w:p>
        </w:tc>
      </w:tr>
      <w:tr w:rsidR="00F26F01" w:rsidRPr="00C33834" w14:paraId="71EA0F28" w14:textId="77777777">
        <w:tc>
          <w:tcPr>
            <w:tcW w:w="1127" w:type="dxa"/>
          </w:tcPr>
          <w:p w14:paraId="3567772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w:t>
            </w:r>
          </w:p>
        </w:tc>
        <w:tc>
          <w:tcPr>
            <w:tcW w:w="1127" w:type="dxa"/>
          </w:tcPr>
          <w:p w14:paraId="5D52338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1127" w:type="dxa"/>
          </w:tcPr>
          <w:p w14:paraId="3590D77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10A75E0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127" w:type="dxa"/>
          </w:tcPr>
          <w:p w14:paraId="7FD006C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w:t>
            </w:r>
          </w:p>
        </w:tc>
        <w:tc>
          <w:tcPr>
            <w:tcW w:w="1127" w:type="dxa"/>
          </w:tcPr>
          <w:p w14:paraId="6AA16D1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c>
          <w:tcPr>
            <w:tcW w:w="1127" w:type="dxa"/>
          </w:tcPr>
          <w:p w14:paraId="4DE1FE6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9D169C3" w14:textId="77777777">
        <w:tc>
          <w:tcPr>
            <w:tcW w:w="1127" w:type="dxa"/>
          </w:tcPr>
          <w:p w14:paraId="3B546BE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АШ</w:t>
            </w:r>
          </w:p>
        </w:tc>
        <w:tc>
          <w:tcPr>
            <w:tcW w:w="1127" w:type="dxa"/>
          </w:tcPr>
          <w:p w14:paraId="30BBD52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30EC41E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72A84E5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1127" w:type="dxa"/>
          </w:tcPr>
          <w:p w14:paraId="3DD27E9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1127" w:type="dxa"/>
          </w:tcPr>
          <w:p w14:paraId="4F4FC4D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127" w:type="dxa"/>
          </w:tcPr>
          <w:p w14:paraId="42405A3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640F18AD" w14:textId="77777777">
        <w:tc>
          <w:tcPr>
            <w:tcW w:w="1127" w:type="dxa"/>
          </w:tcPr>
          <w:p w14:paraId="31D334C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ЗЕТ</w:t>
            </w:r>
          </w:p>
        </w:tc>
        <w:tc>
          <w:tcPr>
            <w:tcW w:w="1127" w:type="dxa"/>
          </w:tcPr>
          <w:p w14:paraId="0E9BC4E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08DE98C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5E970A1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1127" w:type="dxa"/>
          </w:tcPr>
          <w:p w14:paraId="636AF65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1127" w:type="dxa"/>
          </w:tcPr>
          <w:p w14:paraId="197A17B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7BED923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7EE46314" w14:textId="77777777">
        <w:tc>
          <w:tcPr>
            <w:tcW w:w="1127" w:type="dxa"/>
          </w:tcPr>
          <w:p w14:paraId="323296D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ТШ</w:t>
            </w:r>
          </w:p>
        </w:tc>
        <w:tc>
          <w:tcPr>
            <w:tcW w:w="1127" w:type="dxa"/>
          </w:tcPr>
          <w:p w14:paraId="59D08DF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1127" w:type="dxa"/>
          </w:tcPr>
          <w:p w14:paraId="30E325D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1530165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tc>
        <w:tc>
          <w:tcPr>
            <w:tcW w:w="1127" w:type="dxa"/>
          </w:tcPr>
          <w:p w14:paraId="70D5713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4764A5D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7B3A192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33E324D" w14:textId="77777777">
        <w:tc>
          <w:tcPr>
            <w:tcW w:w="1127" w:type="dxa"/>
          </w:tcPr>
          <w:p w14:paraId="1AB9FC2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w:t>
            </w:r>
          </w:p>
        </w:tc>
        <w:tc>
          <w:tcPr>
            <w:tcW w:w="1127" w:type="dxa"/>
          </w:tcPr>
          <w:p w14:paraId="6C0BA18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153FF8A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5233056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0A62CEA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0B9ECA2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1127" w:type="dxa"/>
          </w:tcPr>
          <w:p w14:paraId="65BD890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6EA114EB" w14:textId="77777777">
        <w:tc>
          <w:tcPr>
            <w:tcW w:w="1127" w:type="dxa"/>
          </w:tcPr>
          <w:p w14:paraId="741C714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w:t>
            </w:r>
          </w:p>
        </w:tc>
        <w:tc>
          <w:tcPr>
            <w:tcW w:w="1127" w:type="dxa"/>
          </w:tcPr>
          <w:p w14:paraId="0232078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5456DCE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2366034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1B98BED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4DDD33B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tc>
        <w:tc>
          <w:tcPr>
            <w:tcW w:w="1127" w:type="dxa"/>
          </w:tcPr>
          <w:p w14:paraId="3A15BA8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5C5D2A91" w14:textId="77777777">
        <w:tc>
          <w:tcPr>
            <w:tcW w:w="1127" w:type="dxa"/>
          </w:tcPr>
          <w:p w14:paraId="34AC79B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самолетов:</w:t>
            </w:r>
          </w:p>
        </w:tc>
        <w:tc>
          <w:tcPr>
            <w:tcW w:w="1127" w:type="dxa"/>
          </w:tcPr>
          <w:p w14:paraId="57C5AB7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2018</w:t>
            </w:r>
          </w:p>
        </w:tc>
        <w:tc>
          <w:tcPr>
            <w:tcW w:w="1127" w:type="dxa"/>
          </w:tcPr>
          <w:p w14:paraId="554F82C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1058</w:t>
            </w:r>
          </w:p>
        </w:tc>
        <w:tc>
          <w:tcPr>
            <w:tcW w:w="1127" w:type="dxa"/>
          </w:tcPr>
          <w:p w14:paraId="66587C2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2660</w:t>
            </w:r>
          </w:p>
        </w:tc>
        <w:tc>
          <w:tcPr>
            <w:tcW w:w="1127" w:type="dxa"/>
          </w:tcPr>
          <w:p w14:paraId="6BA0EEE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1715</w:t>
            </w:r>
          </w:p>
        </w:tc>
        <w:tc>
          <w:tcPr>
            <w:tcW w:w="1127" w:type="dxa"/>
          </w:tcPr>
          <w:p w14:paraId="17F9762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3615</w:t>
            </w:r>
          </w:p>
        </w:tc>
        <w:tc>
          <w:tcPr>
            <w:tcW w:w="1127" w:type="dxa"/>
          </w:tcPr>
          <w:p w14:paraId="58374BA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 (3068,47).</w:t>
            </w:r>
          </w:p>
        </w:tc>
      </w:tr>
    </w:tbl>
    <w:p w14:paraId="7D36D6A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3BD6175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марта 1933 года Н. П. Сердюков, конструктор М-44 подготовил:</w:t>
      </w:r>
    </w:p>
    <w:p w14:paraId="1F4B424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Докладная записка</w:t>
      </w:r>
    </w:p>
    <w:p w14:paraId="253B2C9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состоянии производства мотора М-44</w:t>
      </w:r>
    </w:p>
    <w:p w14:paraId="6A2A3B3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Опытные образцы мотора М-44 не обеспечены поковками коленчатых валов. В данное время Институт располагает только одной не вполне кондиционной поковкой вала.</w:t>
      </w:r>
    </w:p>
    <w:p w14:paraId="712E030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поковки других деталей были изготовлены к октябрю 1931 года другими заводами.</w:t>
      </w:r>
    </w:p>
    <w:p w14:paraId="0D36BB7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Заказ на поковки коленчатых валов М-44 заводу им. Молотова дан был в апреле 1931 года. Завод неоднократно под всевозможными предлогами пытался отказаться от исполнения этого заказа. После приказа Наркомтяжпрома от 15 мая 1932 года об изготовлении коленчатых валов к 15 июля 1932 года, заводом были изготовлены штампы и откованы два вала. Но вследствие невнимательности к делу со стороны непосредственных исполнителей заказа, штампы были изготовлены с неправильными размерами (передняя шейка на 30 мм короче указанного в чертеже размера) и отштампованные в них валы были забракованы. После этого была попытка отодвинуть изготовление валов на … месяца под предлогом ремонта пресса. Повторным приказом наркома тяжпрома от 8 октября 1932 года эта попытка была пресечена. Штампы были исправлены и изготовлены новые слитки для ковки валов. Но благодаря неумелому ведению процессов нагрева и ковки, поковки дважды вышли в брак. Представителем института неоднократно указывалось на неправильность ведения процессов нагрева и ковки, но заводом им. Молотова даны новые сроки производства поковок валов: 1 вал к 15 февраля 1933 года и 5 валов к 15 апреля 1933 года приведут к срыву сроков Правительства по выпуску опытных моторов.</w:t>
      </w:r>
    </w:p>
    <w:p w14:paraId="07C1DC2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Сроки выпуска мотора М-44 из производства опытного завода Института изменяются из месяца в месяц, только один мотор обеспечен всеми необходимыми поковками. Срок выпуска мотора М-44 Правительством был установлен к 1 февраля 1933 года. руководством Института этот срок постановлением от 12 ноября 1932 года отложен до 1 марта 1933 года, а в декабре срок снова перенесен с 1 марта на 1 апреля 1933 года.</w:t>
      </w:r>
    </w:p>
    <w:p w14:paraId="3327B8E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сегодняшний день состояние деталей мотора в производстве таково, что не обеспечивает выход мотора и на 1 апреля 1933 года.</w:t>
      </w:r>
    </w:p>
    <w:p w14:paraId="15ED75F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опытной одноцилиндровой установки спроектированного мотора подтвердили правильность выбора параметров мотора М-44.</w:t>
      </w:r>
    </w:p>
    <w:p w14:paraId="51D3953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 Основные данные мотора М-44: n=1500 об/мин., высотность Н=3500 м, уд. вес 0,8 кг/лс и расход топлива 200 г/л.с./час (3530,51).</w:t>
      </w:r>
    </w:p>
    <w:p w14:paraId="3D0F5A6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110D21CE"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марта 1933 г. вышел приказ №015/с начальника КО РККА Ефимова по отработке РС (11402).</w:t>
      </w:r>
    </w:p>
    <w:p w14:paraId="3FD68845" w14:textId="77777777" w:rsidR="00474353" w:rsidRPr="00C33834" w:rsidRDefault="0047435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4368DE5" w14:textId="77777777" w:rsidR="0047435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BEE40F6" w14:textId="77777777" w:rsidR="00474353" w:rsidRPr="00C33834" w:rsidRDefault="0047435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E3F151A" w14:textId="77777777" w:rsidR="00654D18" w:rsidRPr="00C33834" w:rsidRDefault="00654D18" w:rsidP="00C33834">
      <w:pPr>
        <w:spacing w:after="0" w:line="240" w:lineRule="auto"/>
        <w:jc w:val="both"/>
        <w:rPr>
          <w:rStyle w:val="af0"/>
          <w:rFonts w:ascii="Times New Roman" w:hAnsi="Times New Roman"/>
          <w:i w:val="0"/>
          <w:color w:val="000000" w:themeColor="text1"/>
          <w:sz w:val="16"/>
          <w:szCs w:val="16"/>
        </w:rPr>
      </w:pPr>
      <w:r w:rsidRPr="00C33834">
        <w:rPr>
          <w:rStyle w:val="af0"/>
          <w:rFonts w:ascii="Times New Roman" w:hAnsi="Times New Roman"/>
          <w:i w:val="0"/>
          <w:color w:val="000000" w:themeColor="text1"/>
          <w:sz w:val="16"/>
          <w:szCs w:val="16"/>
        </w:rPr>
        <w:t xml:space="preserve">Не позднее 19 марта 1933 г. </w:t>
      </w:r>
      <w:r w:rsidRPr="00C33834">
        <w:rPr>
          <w:rFonts w:ascii="Times New Roman" w:hAnsi="Times New Roman"/>
          <w:color w:val="000000" w:themeColor="text1"/>
          <w:sz w:val="16"/>
          <w:szCs w:val="16"/>
        </w:rPr>
        <w:t>Справка Экономического управления ОГПУ СССР к докладу комиссии В. М. Молотова по порохам и взрывателям</w:t>
      </w:r>
    </w:p>
    <w:p w14:paraId="35196A53" w14:textId="77777777" w:rsidR="00161F61" w:rsidRPr="00C33834" w:rsidRDefault="00161F61"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Совершенно секретно.</w:t>
      </w:r>
    </w:p>
    <w:p w14:paraId="2B10D0DD" w14:textId="77777777" w:rsidR="00161F61" w:rsidRPr="00C33834" w:rsidRDefault="00161F61" w:rsidP="00C33834">
      <w:pPr>
        <w:pStyle w:val="rtejustify"/>
        <w:spacing w:before="0" w:after="0"/>
        <w:rPr>
          <w:color w:val="000000" w:themeColor="text1"/>
          <w:sz w:val="16"/>
          <w:szCs w:val="16"/>
        </w:rPr>
      </w:pPr>
      <w:r w:rsidRPr="00C33834">
        <w:rPr>
          <w:color w:val="000000" w:themeColor="text1"/>
          <w:sz w:val="16"/>
          <w:szCs w:val="16"/>
        </w:rPr>
        <w:t>Комиссией т. Молотова рассмотрены задания НКТП по производству порохов и взрыввеществ и обсуждены вопросы орг[анизационного] порядка для военно-химической промышленности, переданные для детальной разработки в подкомиссию т. Куйбышева Н.</w:t>
      </w:r>
    </w:p>
    <w:p w14:paraId="3F29788A" w14:textId="77777777" w:rsidR="00161F61" w:rsidRPr="00C33834" w:rsidRDefault="00161F61" w:rsidP="00C33834">
      <w:pPr>
        <w:pStyle w:val="rtejustify"/>
        <w:spacing w:before="0" w:after="0"/>
        <w:rPr>
          <w:color w:val="000000" w:themeColor="text1"/>
          <w:sz w:val="16"/>
          <w:szCs w:val="16"/>
        </w:rPr>
      </w:pPr>
      <w:r w:rsidRPr="00C33834">
        <w:rPr>
          <w:color w:val="000000" w:themeColor="text1"/>
          <w:sz w:val="16"/>
          <w:szCs w:val="16"/>
        </w:rPr>
        <w:t>Не имея никаких замечаний в отношении обязательности для НКТП принятых заданий, в отношении оргвопроса необходимо отметить его крупнейшее значение и вытекающую важность тщательной его разработки. Так как при данном состоянии технического руководства военно-химической промышленности все принятые НКТП цифры являются чисто теоретическими и не обеспечиваются. Об этом можно судить по систематическому из года в год невыполнению программ текущего производства, составляющих незначительную долю мобилизационных заданий.</w:t>
      </w:r>
    </w:p>
    <w:p w14:paraId="35022033" w14:textId="77777777" w:rsidR="00161F61" w:rsidRPr="00C33834" w:rsidRDefault="00161F61" w:rsidP="00C33834">
      <w:pPr>
        <w:pStyle w:val="rtejustify"/>
        <w:spacing w:before="0" w:after="0"/>
        <w:rPr>
          <w:color w:val="000000" w:themeColor="text1"/>
          <w:sz w:val="16"/>
          <w:szCs w:val="16"/>
        </w:rPr>
      </w:pPr>
      <w:r w:rsidRPr="00C33834">
        <w:rPr>
          <w:rStyle w:val="af0"/>
          <w:bCs/>
          <w:i w:val="0"/>
          <w:color w:val="000000" w:themeColor="text1"/>
          <w:sz w:val="16"/>
          <w:szCs w:val="16"/>
        </w:rPr>
        <w:t>По пороху</w:t>
      </w:r>
      <w:r w:rsidRPr="00C33834">
        <w:rPr>
          <w:color w:val="000000" w:themeColor="text1"/>
          <w:sz w:val="16"/>
          <w:szCs w:val="16"/>
        </w:rPr>
        <w:t>. При мобзадании в 57 тыс. т, сниженном до 47 тыс. т, программа текущего производства в 1932 г. с 13 тыс. т была снижена до 7 тыс. т и выполнена лишь в количестве 5 тыс. т, причем по ряду марок порохов (для м/к артиллерии, ВГ) подачи не было.</w:t>
      </w:r>
    </w:p>
    <w:p w14:paraId="2D9A04BE" w14:textId="77777777" w:rsidR="00161F61" w:rsidRPr="00C33834" w:rsidRDefault="00161F61" w:rsidP="00C33834">
      <w:pPr>
        <w:pStyle w:val="rtejustify"/>
        <w:spacing w:before="0" w:after="0"/>
        <w:rPr>
          <w:color w:val="000000" w:themeColor="text1"/>
          <w:sz w:val="16"/>
          <w:szCs w:val="16"/>
        </w:rPr>
      </w:pPr>
      <w:r w:rsidRPr="00C33834">
        <w:rPr>
          <w:rStyle w:val="af0"/>
          <w:bCs/>
          <w:i w:val="0"/>
          <w:color w:val="000000" w:themeColor="text1"/>
          <w:sz w:val="16"/>
          <w:szCs w:val="16"/>
        </w:rPr>
        <w:t>По заводам Военно-химического треста</w:t>
      </w:r>
      <w:r w:rsidRPr="00C33834">
        <w:rPr>
          <w:color w:val="000000" w:themeColor="text1"/>
          <w:sz w:val="16"/>
          <w:szCs w:val="16"/>
        </w:rPr>
        <w:t xml:space="preserve"> (взрывчатые вещества, капсюли, снаряжение) положение аналогично: при уменьшенности в течение года общем задании по текущему производству выполнено 72%, а по отдельным производствам еще ниже (мелинит — 57%, аммонал — 69%, по снаряжению снарядов — 59%, капсюльному снаряжению — 73%, противогазы — 65%. По отдельно взятым заводам положение с выполнением программы обстоит совершенно неудовлетворительно. Так, например, завод № 15 при росте основного капитала за пятилетие с 15 до 60 млн. руб. программу 1932 г. выполнил менее 50%.</w:t>
      </w:r>
    </w:p>
    <w:p w14:paraId="08B4BA0E" w14:textId="77777777" w:rsidR="00161F61" w:rsidRPr="00C33834" w:rsidRDefault="00161F61" w:rsidP="00C33834">
      <w:pPr>
        <w:pStyle w:val="rtejustify"/>
        <w:spacing w:before="0" w:after="0"/>
        <w:rPr>
          <w:color w:val="000000" w:themeColor="text1"/>
          <w:sz w:val="16"/>
          <w:szCs w:val="16"/>
        </w:rPr>
      </w:pPr>
      <w:r w:rsidRPr="00C33834">
        <w:rPr>
          <w:color w:val="000000" w:themeColor="text1"/>
          <w:sz w:val="16"/>
          <w:szCs w:val="16"/>
        </w:rPr>
        <w:t>Основными причинами этого, упирающимися в систему организации производства, являются:</w:t>
      </w:r>
    </w:p>
    <w:p w14:paraId="18525413" w14:textId="77777777" w:rsidR="00161F61" w:rsidRPr="00C33834" w:rsidRDefault="00161F6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Неправильное использование кадров</w:t>
      </w:r>
    </w:p>
    <w:p w14:paraId="29701E17" w14:textId="77777777" w:rsidR="00161F61" w:rsidRPr="00C33834" w:rsidRDefault="00161F61" w:rsidP="00C33834">
      <w:pPr>
        <w:pStyle w:val="rtejustify"/>
        <w:spacing w:before="0" w:after="0"/>
        <w:rPr>
          <w:color w:val="000000" w:themeColor="text1"/>
          <w:sz w:val="16"/>
          <w:szCs w:val="16"/>
        </w:rPr>
      </w:pPr>
      <w:r w:rsidRPr="00C33834">
        <w:rPr>
          <w:color w:val="000000" w:themeColor="text1"/>
          <w:sz w:val="16"/>
          <w:szCs w:val="16"/>
        </w:rPr>
        <w:t>При постоянных требованиях инженерно-технических кадров имеющиеся в изобилии силы используются явно нерационально. Так, при наличии в системе Вохимтреста 2313 ИТР около 50% их находится в аппаратах треста и заводоуправлений.</w:t>
      </w:r>
    </w:p>
    <w:p w14:paraId="4D3F333E" w14:textId="77777777" w:rsidR="00161F61" w:rsidRPr="00C33834" w:rsidRDefault="00161F61" w:rsidP="00C33834">
      <w:pPr>
        <w:pStyle w:val="rtejustify"/>
        <w:spacing w:before="0" w:after="0"/>
        <w:rPr>
          <w:color w:val="000000" w:themeColor="text1"/>
          <w:sz w:val="16"/>
          <w:szCs w:val="16"/>
        </w:rPr>
      </w:pPr>
      <w:r w:rsidRPr="00C33834">
        <w:rPr>
          <w:color w:val="000000" w:themeColor="text1"/>
          <w:sz w:val="16"/>
          <w:szCs w:val="16"/>
        </w:rPr>
        <w:t xml:space="preserve">В среднем 1 инженерно-технический работник приходится на 9 рабочих, и на каждые 25 рабочих — 1 ИТР с высшим или специальным средним образованием. По 4 пороховым заводам ВИВа (№ 25, № 14, № 40, № 9) на 16 тыс. рабочих имеется 1700 служащих и 1900 ИТР, из них 428 инженеров с высшим специальным образованием, 407 с законченным средним образованием и 1040 практиков. Таким образом, приходится на каждые 8 рабочих — 1 инженерно-технический работник, в том числе [на] 37 рабочих — 1 инженер с высшим и 1 техник со средним спецобразованием. Насколько это количество инженерно-технических работников велико, </w:t>
      </w:r>
      <w:r w:rsidRPr="00C33834">
        <w:rPr>
          <w:color w:val="000000" w:themeColor="text1"/>
          <w:sz w:val="16"/>
          <w:szCs w:val="16"/>
        </w:rPr>
        <w:lastRenderedPageBreak/>
        <w:t>можно судить из того, что на крупнейшем пороховом заводе Германии — «Вазаг» во время войны при наличии 14 тыс. рабочих и производстве 24 тыс. т пороха имелось всего 23 инженера, 20 техников, 200 мастеров и 200 конторских работников, т. е. 1 инженер приходился почти на 700 рабочих (против наших 1 на 37).</w:t>
      </w:r>
    </w:p>
    <w:p w14:paraId="0C9DB807" w14:textId="77777777" w:rsidR="00161F61" w:rsidRPr="00C33834" w:rsidRDefault="00161F6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Произвольное ведение производственных процессов</w:t>
      </w:r>
    </w:p>
    <w:p w14:paraId="19A9AA9B" w14:textId="77777777" w:rsidR="00161F61" w:rsidRPr="00C33834" w:rsidRDefault="00161F61" w:rsidP="00C33834">
      <w:pPr>
        <w:pStyle w:val="rtejustify"/>
        <w:spacing w:before="0" w:after="0"/>
        <w:rPr>
          <w:color w:val="000000" w:themeColor="text1"/>
          <w:sz w:val="16"/>
          <w:szCs w:val="16"/>
        </w:rPr>
      </w:pPr>
      <w:r w:rsidRPr="00C33834">
        <w:rPr>
          <w:color w:val="000000" w:themeColor="text1"/>
          <w:sz w:val="16"/>
          <w:szCs w:val="16"/>
        </w:rPr>
        <w:t>Особая опасность производства наряду с высокими требованиями к качеству продукции требуют особой четкости и точности ведения производственных процессов во всех его стадиях, включительно до мелочей. Однако этого необходимого условия в производстве нет, о чем можно судить и по невыполнению программ, и по высокому проценту брака (по заводу № 15 брак по тротилу доходил до 70%, брак по капсюльным изделиям по заводу № 5 до 50% и т. д.). И, наконец, по количеству аварий и взрывов (только за 1932 г. по заводам Вохимтреста учтено 103 крупных взрыва, вспышек и аварий). Прежде всего это является результатом неправильного ведения технологического процесса, отсутствия письменных конструкций для техперсонала и грубейших нарушений правил техники безопасности, что признано в конъюнктурном отчете и самим ВХТ (см.²*) и зафиксировано особой правительственной комиссией. Технологическим процессом экспериментируют как и кому угодно, т. к. нигде не предусмотрена необходимость его утверждения и не запрещены изменения.</w:t>
      </w:r>
    </w:p>
    <w:p w14:paraId="1D02A96B" w14:textId="77777777" w:rsidR="00161F61" w:rsidRPr="00C33834" w:rsidRDefault="00161F61" w:rsidP="00C33834">
      <w:pPr>
        <w:pStyle w:val="rtejustify"/>
        <w:spacing w:before="0" w:after="0"/>
        <w:rPr>
          <w:color w:val="000000" w:themeColor="text1"/>
          <w:sz w:val="16"/>
          <w:szCs w:val="16"/>
        </w:rPr>
      </w:pPr>
      <w:r w:rsidRPr="00C33834">
        <w:rPr>
          <w:color w:val="000000" w:themeColor="text1"/>
          <w:sz w:val="16"/>
          <w:szCs w:val="16"/>
        </w:rPr>
        <w:t>Трестами также не было обеспечено техническое руководство заводами. (Подробно состояние технологии см. прилагаемую выборку из актов правительственной комиссии³*).</w:t>
      </w:r>
    </w:p>
    <w:p w14:paraId="0A2A2EB0" w14:textId="77777777" w:rsidR="00161F61" w:rsidRPr="00C33834" w:rsidRDefault="00161F6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Неправильное направление работы научно-исследовательского института</w:t>
      </w:r>
    </w:p>
    <w:p w14:paraId="0F4DCDFD" w14:textId="77777777" w:rsidR="00161F61" w:rsidRPr="00C33834" w:rsidRDefault="00161F61" w:rsidP="00C33834">
      <w:pPr>
        <w:pStyle w:val="rtejustify"/>
        <w:spacing w:before="0" w:after="0"/>
        <w:rPr>
          <w:color w:val="000000" w:themeColor="text1"/>
          <w:sz w:val="16"/>
          <w:szCs w:val="16"/>
        </w:rPr>
      </w:pPr>
      <w:r w:rsidRPr="00C33834">
        <w:rPr>
          <w:color w:val="000000" w:themeColor="text1"/>
          <w:sz w:val="16"/>
          <w:szCs w:val="16"/>
        </w:rPr>
        <w:t>Имеющийся Всесоюзный НИИ военно-химической промышленности (ВХНИИ) в составе 821 человека, в том числе 292 инженерно-технических работников и 171 служащих, в результате оторванности от нужд производства необходимой последнему помощи не оказывает. При расходе в 1932 г. около 2 млн. руб. из намеченных 266 тем закончено 84, из которых реализовано в промышленности всего 10, в том числе три темы, не имеющие сколько-нибудь серьезного практического значения. Темы же актуальные, как, например, установление процесса производства тротила, начинается в течение 3 лет каждый раз с начала, и до сего времени не проработана, также как, например, не дано анализа полученных образцов итальянского тротила для сравнения его с нашим. В стадии начальной проработки находятся вопросы производства мощных взрывных веществ — тэна и гексогена, для производства которых должны строиться новые заводы. Вопросы технологии производства на заводах также не охватываются НИИ.</w:t>
      </w:r>
    </w:p>
    <w:p w14:paraId="36E4114B" w14:textId="77777777" w:rsidR="00161F61" w:rsidRPr="00C33834" w:rsidRDefault="00161F61" w:rsidP="00C33834">
      <w:pPr>
        <w:pStyle w:val="rtejustify"/>
        <w:spacing w:before="0" w:after="0"/>
        <w:rPr>
          <w:color w:val="000000" w:themeColor="text1"/>
          <w:sz w:val="16"/>
          <w:szCs w:val="16"/>
        </w:rPr>
      </w:pPr>
      <w:r w:rsidRPr="00C33834">
        <w:rPr>
          <w:color w:val="000000" w:themeColor="text1"/>
          <w:sz w:val="16"/>
          <w:szCs w:val="16"/>
        </w:rPr>
        <w:t>Особого внимания в разрезе вопроса организации руководства заслуживает капитальное строительство военно-химической промышленности. За пятилетие в военно-химическое производство вложено около 300 млн. руб., в том числе в предприятия Вохимтреста вложено 165 млн. руб., из этой суммы 70 млн. руб. находятся в незавершенной стадии. Аналогично положение по пороховым заводам. Несмотря на колоссальность вложений и удвоение основного капитала (по ВХТ с 90 до 184 млн. руб.) мощности заводов лимитируются узкими местами, к которым, как правило, относятся пароэнергосиловое и водное хозяйства, также не произведено и соответствующей размеру капиталовложений технической реконструкции, и все основные производства остаются при старых методах.</w:t>
      </w:r>
    </w:p>
    <w:p w14:paraId="66782E6E" w14:textId="77777777" w:rsidR="00161F61" w:rsidRPr="00C33834" w:rsidRDefault="00161F61" w:rsidP="00C33834">
      <w:pPr>
        <w:pStyle w:val="rtejustify"/>
        <w:spacing w:before="0" w:after="0"/>
        <w:rPr>
          <w:color w:val="000000" w:themeColor="text1"/>
          <w:sz w:val="16"/>
          <w:szCs w:val="16"/>
        </w:rPr>
      </w:pPr>
      <w:r w:rsidRPr="00C33834">
        <w:rPr>
          <w:color w:val="000000" w:themeColor="text1"/>
          <w:sz w:val="16"/>
          <w:szCs w:val="16"/>
        </w:rPr>
        <w:t>В заключение особо следует отметить, что на заседании комиссии т. Молотова начальник ВХТ т. Сырцов сделал заявление, что облегчить наличное положение треста могло бы предоставление в распоряжение треста из ОГПУ осужденных специалистов, где они, по заявлению т. Сырцова, «задерживаются по коммерческим соображениям ОГПУ». Насколько тресты насыщены специалистами, показано выше.</w:t>
      </w:r>
    </w:p>
    <w:p w14:paraId="2B9A170A" w14:textId="77777777" w:rsidR="00161F61" w:rsidRPr="00C33834" w:rsidRDefault="00161F61" w:rsidP="00C33834">
      <w:pPr>
        <w:pStyle w:val="rtejustify"/>
        <w:spacing w:before="0" w:after="0"/>
        <w:rPr>
          <w:color w:val="000000" w:themeColor="text1"/>
          <w:sz w:val="16"/>
          <w:szCs w:val="16"/>
        </w:rPr>
      </w:pPr>
      <w:r w:rsidRPr="00C33834">
        <w:rPr>
          <w:color w:val="000000" w:themeColor="text1"/>
          <w:sz w:val="16"/>
          <w:szCs w:val="16"/>
        </w:rPr>
        <w:t>В этих ОКБ ЭКУ ОГПУ⁴* занято осужденных специалистов 14⁵*. Этой группой специалистов проведена и ведется для военной химии исключительно большая и эффективная работа, не сравнимая ни с результатами, ни с затратами ВХНИИ (см. прилагаемую справку).</w:t>
      </w:r>
    </w:p>
    <w:p w14:paraId="5172B5BF" w14:textId="77777777" w:rsidR="00161F61" w:rsidRPr="00C33834" w:rsidRDefault="00161F61" w:rsidP="00C33834">
      <w:pPr>
        <w:pStyle w:val="rtejustify"/>
        <w:spacing w:before="0" w:after="0"/>
        <w:rPr>
          <w:color w:val="000000" w:themeColor="text1"/>
          <w:sz w:val="16"/>
          <w:szCs w:val="16"/>
        </w:rPr>
      </w:pPr>
      <w:r w:rsidRPr="00C33834">
        <w:rPr>
          <w:rStyle w:val="af0"/>
          <w:i w:val="0"/>
          <w:color w:val="000000" w:themeColor="text1"/>
          <w:sz w:val="16"/>
          <w:szCs w:val="16"/>
        </w:rPr>
        <w:t>Приложение</w:t>
      </w:r>
      <w:r w:rsidRPr="00C33834">
        <w:rPr>
          <w:color w:val="000000" w:themeColor="text1"/>
          <w:sz w:val="16"/>
          <w:szCs w:val="16"/>
        </w:rPr>
        <w:t>: Докладная записка о работах по порохам и взрывчатым веществам ОКБ⁶*.</w:t>
      </w:r>
    </w:p>
    <w:p w14:paraId="38B3356E" w14:textId="77777777" w:rsidR="00161F61" w:rsidRPr="00C33834" w:rsidRDefault="00161F61" w:rsidP="00C33834">
      <w:pPr>
        <w:pStyle w:val="ae"/>
        <w:spacing w:before="0" w:after="0"/>
        <w:jc w:val="both"/>
        <w:rPr>
          <w:color w:val="000000" w:themeColor="text1"/>
          <w:sz w:val="16"/>
          <w:szCs w:val="16"/>
        </w:rPr>
      </w:pPr>
      <w:r w:rsidRPr="00C33834">
        <w:rPr>
          <w:rStyle w:val="af0"/>
          <w:i w:val="0"/>
          <w:color w:val="000000" w:themeColor="text1"/>
          <w:sz w:val="16"/>
          <w:szCs w:val="16"/>
        </w:rPr>
        <w:t>Начальник ЭКУ ОГПУ Миронов</w:t>
      </w:r>
    </w:p>
    <w:p w14:paraId="4E159D05" w14:textId="77777777" w:rsidR="00161F61" w:rsidRPr="00C33834" w:rsidRDefault="00161F61" w:rsidP="00C33834">
      <w:pPr>
        <w:pStyle w:val="ae"/>
        <w:spacing w:before="0" w:after="0"/>
        <w:jc w:val="both"/>
        <w:rPr>
          <w:color w:val="000000" w:themeColor="text1"/>
          <w:sz w:val="16"/>
          <w:szCs w:val="16"/>
        </w:rPr>
      </w:pPr>
      <w:r w:rsidRPr="00C33834">
        <w:rPr>
          <w:rStyle w:val="af0"/>
          <w:i w:val="0"/>
          <w:color w:val="000000" w:themeColor="text1"/>
          <w:sz w:val="16"/>
          <w:szCs w:val="16"/>
        </w:rPr>
        <w:t>Начальник 4 отд. ЭКУ Калецкий</w:t>
      </w:r>
    </w:p>
    <w:p w14:paraId="2E359D69" w14:textId="77777777" w:rsidR="00161F61" w:rsidRPr="00C33834" w:rsidRDefault="00161F61"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Примечания</w:t>
      </w:r>
      <w:r w:rsidRPr="00C33834">
        <w:rPr>
          <w:color w:val="000000" w:themeColor="text1"/>
          <w:sz w:val="16"/>
          <w:szCs w:val="16"/>
        </w:rPr>
        <w:t>:</w:t>
      </w:r>
    </w:p>
    <w:p w14:paraId="59E4A1C1" w14:textId="77777777" w:rsidR="00161F61" w:rsidRPr="00C33834" w:rsidRDefault="00161F61" w:rsidP="00C33834">
      <w:pPr>
        <w:pStyle w:val="rtejustify"/>
        <w:spacing w:before="0" w:after="0"/>
        <w:rPr>
          <w:color w:val="000000" w:themeColor="text1"/>
          <w:sz w:val="16"/>
          <w:szCs w:val="16"/>
        </w:rPr>
      </w:pPr>
      <w:r w:rsidRPr="00C33834">
        <w:rPr>
          <w:color w:val="000000" w:themeColor="text1"/>
          <w:sz w:val="16"/>
          <w:szCs w:val="16"/>
        </w:rPr>
        <w:t>¹* Дата проведения заседания комиссии В. М. Молотова.</w:t>
      </w:r>
    </w:p>
    <w:p w14:paraId="331E566F" w14:textId="77777777" w:rsidR="00161F61" w:rsidRPr="00C33834" w:rsidRDefault="00161F61" w:rsidP="00C33834">
      <w:pPr>
        <w:pStyle w:val="rtejustify"/>
        <w:spacing w:before="0" w:after="0"/>
        <w:rPr>
          <w:color w:val="000000" w:themeColor="text1"/>
          <w:sz w:val="16"/>
          <w:szCs w:val="16"/>
        </w:rPr>
      </w:pPr>
      <w:r w:rsidRPr="00C33834">
        <w:rPr>
          <w:color w:val="000000" w:themeColor="text1"/>
          <w:sz w:val="16"/>
          <w:szCs w:val="16"/>
        </w:rPr>
        <w:t>²* Данные в тексте отсутствуют.</w:t>
      </w:r>
    </w:p>
    <w:p w14:paraId="2DE6BAB0" w14:textId="77777777" w:rsidR="00161F61" w:rsidRPr="00C33834" w:rsidRDefault="00161F61" w:rsidP="00C33834">
      <w:pPr>
        <w:pStyle w:val="rtejustify"/>
        <w:spacing w:before="0" w:after="0"/>
        <w:rPr>
          <w:color w:val="000000" w:themeColor="text1"/>
          <w:sz w:val="16"/>
          <w:szCs w:val="16"/>
        </w:rPr>
      </w:pPr>
      <w:r w:rsidRPr="00C33834">
        <w:rPr>
          <w:color w:val="000000" w:themeColor="text1"/>
          <w:sz w:val="16"/>
          <w:szCs w:val="16"/>
        </w:rPr>
        <w:t>³* Приложение не публикуется (см. ЦА ФСБ РФ. Ф. 2. Оп. 11. Д. 405. Л. 19</w:t>
      </w:r>
      <w:r w:rsidRPr="00C33834">
        <w:rPr>
          <w:color w:val="000000" w:themeColor="text1"/>
          <w:sz w:val="16"/>
          <w:szCs w:val="16"/>
        </w:rPr>
        <w:noBreakHyphen/>
        <w:t>27).</w:t>
      </w:r>
    </w:p>
    <w:p w14:paraId="0794CE07" w14:textId="77777777" w:rsidR="00161F61" w:rsidRPr="00C33834" w:rsidRDefault="00161F61" w:rsidP="00C33834">
      <w:pPr>
        <w:pStyle w:val="rtejustify"/>
        <w:spacing w:before="0" w:after="0"/>
        <w:rPr>
          <w:color w:val="000000" w:themeColor="text1"/>
          <w:sz w:val="16"/>
          <w:szCs w:val="16"/>
        </w:rPr>
      </w:pPr>
      <w:r w:rsidRPr="00C33834">
        <w:rPr>
          <w:color w:val="000000" w:themeColor="text1"/>
          <w:sz w:val="16"/>
          <w:szCs w:val="16"/>
        </w:rPr>
        <w:t>⁴* Особое значение в 1930</w:t>
      </w:r>
      <w:r w:rsidRPr="00C33834">
        <w:rPr>
          <w:color w:val="000000" w:themeColor="text1"/>
          <w:sz w:val="16"/>
          <w:szCs w:val="16"/>
        </w:rPr>
        <w:noBreakHyphen/>
        <w:t xml:space="preserve">е гг. приобрела сеть секретных научно-исследовательских или проектных учреждений — </w:t>
      </w:r>
      <w:r w:rsidRPr="00C33834">
        <w:rPr>
          <w:rStyle w:val="af0"/>
          <w:bCs/>
          <w:i w:val="0"/>
          <w:color w:val="000000" w:themeColor="text1"/>
          <w:sz w:val="16"/>
          <w:szCs w:val="16"/>
        </w:rPr>
        <w:t>особые конструкторские бюро, специальные технические бюро</w:t>
      </w:r>
      <w:r w:rsidRPr="00C33834">
        <w:rPr>
          <w:color w:val="000000" w:themeColor="text1"/>
          <w:sz w:val="16"/>
          <w:szCs w:val="16"/>
        </w:rPr>
        <w:t xml:space="preserve"> и др., существовавшие в 1931</w:t>
      </w:r>
      <w:r w:rsidRPr="00C33834">
        <w:rPr>
          <w:color w:val="000000" w:themeColor="text1"/>
          <w:sz w:val="16"/>
          <w:szCs w:val="16"/>
        </w:rPr>
        <w:noBreakHyphen/>
        <w:t>1955 гг. в системе ОГПУ-НКВД, так называемые «шарашки». Основной состав «шарашек» — заключенные специалисты. В их числе действовали: ОКБ</w:t>
      </w:r>
      <w:r w:rsidRPr="00C33834">
        <w:rPr>
          <w:color w:val="000000" w:themeColor="text1"/>
          <w:sz w:val="16"/>
          <w:szCs w:val="16"/>
        </w:rPr>
        <w:noBreakHyphen/>
        <w:t>12, которое в 1931</w:t>
      </w:r>
      <w:r w:rsidRPr="00C33834">
        <w:rPr>
          <w:color w:val="000000" w:themeColor="text1"/>
          <w:sz w:val="16"/>
          <w:szCs w:val="16"/>
        </w:rPr>
        <w:noBreakHyphen/>
        <w:t>1932 гг., помещалось в Доме предварительного заключения и специализировалось на архитектурно-проектных работах, ОКБ Управления НКВД по Ленинградской области, которое помещалось в здании тюрьмы «Кресты» и специализировалось на разработках в области артиллерии, ОКБ</w:t>
      </w:r>
      <w:r w:rsidRPr="00C33834">
        <w:rPr>
          <w:color w:val="000000" w:themeColor="text1"/>
          <w:sz w:val="16"/>
          <w:szCs w:val="16"/>
        </w:rPr>
        <w:noBreakHyphen/>
        <w:t>5 — Судоверфь Морпогранохраны НКВД, ныне морской завод «Алмаз», ОКБ</w:t>
      </w:r>
      <w:r w:rsidRPr="00C33834">
        <w:rPr>
          <w:color w:val="000000" w:themeColor="text1"/>
          <w:sz w:val="16"/>
          <w:szCs w:val="16"/>
        </w:rPr>
        <w:noBreakHyphen/>
        <w:t>196 — конструирование подводных лодок, ныне ЦКБ «Рубин», ОКБ на Кировском заводе в Ленинграде вело работы по разработке береговой артиллерии.</w:t>
      </w:r>
    </w:p>
    <w:p w14:paraId="72B09F15" w14:textId="77777777" w:rsidR="00161F61" w:rsidRPr="00C33834" w:rsidRDefault="00161F61" w:rsidP="00C33834">
      <w:pPr>
        <w:pStyle w:val="rtejustify"/>
        <w:spacing w:before="0" w:after="0"/>
        <w:rPr>
          <w:color w:val="000000" w:themeColor="text1"/>
          <w:sz w:val="16"/>
          <w:szCs w:val="16"/>
        </w:rPr>
      </w:pPr>
      <w:r w:rsidRPr="00C33834">
        <w:rPr>
          <w:color w:val="000000" w:themeColor="text1"/>
          <w:sz w:val="16"/>
          <w:szCs w:val="16"/>
        </w:rPr>
        <w:t>⁵* Цифра вписана от руки.</w:t>
      </w:r>
    </w:p>
    <w:p w14:paraId="7CD3DFD6" w14:textId="77777777" w:rsidR="00161F61" w:rsidRPr="00C33834" w:rsidRDefault="00161F61" w:rsidP="00C33834">
      <w:pPr>
        <w:pStyle w:val="rtejustify"/>
        <w:spacing w:before="0" w:after="0"/>
        <w:rPr>
          <w:color w:val="000000" w:themeColor="text1"/>
          <w:sz w:val="16"/>
          <w:szCs w:val="16"/>
        </w:rPr>
      </w:pPr>
      <w:r w:rsidRPr="00C33834">
        <w:rPr>
          <w:color w:val="000000" w:themeColor="text1"/>
          <w:sz w:val="16"/>
          <w:szCs w:val="16"/>
        </w:rPr>
        <w:t>⁶* Приложение не публикуется.</w:t>
      </w:r>
    </w:p>
    <w:p w14:paraId="673F14A5" w14:textId="77777777" w:rsidR="00161F61" w:rsidRPr="00C33834" w:rsidRDefault="00161F61" w:rsidP="00C33834">
      <w:pPr>
        <w:pStyle w:val="ae"/>
        <w:spacing w:before="0" w:after="0"/>
        <w:jc w:val="both"/>
        <w:rPr>
          <w:color w:val="000000" w:themeColor="text1"/>
          <w:sz w:val="16"/>
          <w:szCs w:val="16"/>
        </w:rPr>
      </w:pPr>
      <w:r w:rsidRPr="00C33834">
        <w:rPr>
          <w:color w:val="000000" w:themeColor="text1"/>
          <w:sz w:val="16"/>
          <w:szCs w:val="16"/>
        </w:rPr>
        <w:t>ЦА ФСБ. Ф. 2. Оп. 11. Д. 278. Л. 6-10. Подлинник (15255).</w:t>
      </w:r>
    </w:p>
    <w:p w14:paraId="7A07DA2D" w14:textId="77777777" w:rsidR="00161F61" w:rsidRPr="00C33834" w:rsidRDefault="00161F6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49E131"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19 марта 1933 г. на вооружение РККА было принято 1411 танков Т-26, 2146 танкеток Т-27 и 522 танка БТ. Причем качество изготовления практически всех этих танков было никуда не годным, что являлось прямым след</w:t>
      </w:r>
      <w:r w:rsidRPr="00C33834">
        <w:rPr>
          <w:rFonts w:ascii="Times New Roman" w:hAnsi="Times New Roman"/>
          <w:color w:val="000000" w:themeColor="text1"/>
          <w:sz w:val="16"/>
          <w:szCs w:val="16"/>
        </w:rPr>
        <w:softHyphen/>
        <w:t>ствием поспешности изготовления и неподготовленности производства. Несмотря на то что в 1933 г. на вооружении уже состоял однобашенный пушечный танк Т-26, производство двухбашенных машин продолжалось (10733,180).</w:t>
      </w:r>
    </w:p>
    <w:p w14:paraId="1F50DD8F"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5078BC" w14:textId="77777777" w:rsidR="002E1BE7" w:rsidRPr="00C33834" w:rsidRDefault="002E1BE7" w:rsidP="00C33834">
      <w:pPr>
        <w:pStyle w:val="ae"/>
        <w:spacing w:before="0" w:after="0"/>
        <w:jc w:val="both"/>
        <w:rPr>
          <w:color w:val="000000" w:themeColor="text1"/>
          <w:sz w:val="16"/>
          <w:szCs w:val="16"/>
        </w:rPr>
      </w:pPr>
      <w:r w:rsidRPr="00C33834">
        <w:rPr>
          <w:iCs/>
          <w:color w:val="000000" w:themeColor="text1"/>
          <w:sz w:val="16"/>
          <w:szCs w:val="16"/>
        </w:rPr>
        <w:t xml:space="preserve">«К 19 марта 1933 г. на вооружение РККА было принято 1411 танков Т-26, 2146 танкеток Т-27 и 522 танка БТ. </w:t>
      </w:r>
      <w:r w:rsidRPr="00C33834">
        <w:rPr>
          <w:bCs/>
          <w:iCs/>
          <w:color w:val="000000" w:themeColor="text1"/>
          <w:sz w:val="16"/>
          <w:szCs w:val="16"/>
        </w:rPr>
        <w:t>Причем качество изготовления практически всех этих танков было никуда не годным, что являлось прямым следствием поспешности изготовления и неподготовленности производства</w:t>
      </w:r>
      <w:r w:rsidRPr="00C33834">
        <w:rPr>
          <w:iCs/>
          <w:color w:val="000000" w:themeColor="text1"/>
          <w:sz w:val="16"/>
          <w:szCs w:val="16"/>
        </w:rPr>
        <w:t>»</w:t>
      </w:r>
      <w:hyperlink r:id="rId103" w:anchor="n_9" w:history="1">
        <w:r w:rsidRPr="00C33834">
          <w:rPr>
            <w:rStyle w:val="a5"/>
            <w:color w:val="000000" w:themeColor="text1"/>
            <w:sz w:val="16"/>
            <w:szCs w:val="16"/>
          </w:rPr>
          <w:t>[</w:t>
        </w:r>
        <w:r w:rsidRPr="00C33834">
          <w:rPr>
            <w:iCs/>
            <w:color w:val="000000" w:themeColor="text1"/>
            <w:sz w:val="16"/>
            <w:szCs w:val="16"/>
          </w:rPr>
          <w:t xml:space="preserve"> Свирин М. Н.</w:t>
        </w:r>
        <w:r w:rsidRPr="00C33834">
          <w:rPr>
            <w:color w:val="000000" w:themeColor="text1"/>
            <w:sz w:val="16"/>
            <w:szCs w:val="16"/>
          </w:rPr>
          <w:t xml:space="preserve"> Танковая мощь СССР. М.: Яуза-Эксмо, 2009, с. 101.</w:t>
        </w:r>
        <w:r w:rsidRPr="00C33834">
          <w:rPr>
            <w:rStyle w:val="a5"/>
            <w:color w:val="000000" w:themeColor="text1"/>
            <w:sz w:val="16"/>
            <w:szCs w:val="16"/>
          </w:rPr>
          <w:t>9]</w:t>
        </w:r>
      </w:hyperlink>
      <w:r w:rsidRPr="00C33834">
        <w:rPr>
          <w:rStyle w:val="a5"/>
          <w:color w:val="000000" w:themeColor="text1"/>
          <w:sz w:val="16"/>
          <w:szCs w:val="16"/>
        </w:rPr>
        <w:t xml:space="preserve"> (12624)</w:t>
      </w:r>
      <w:r w:rsidRPr="00C33834">
        <w:rPr>
          <w:color w:val="000000" w:themeColor="text1"/>
          <w:sz w:val="16"/>
          <w:szCs w:val="16"/>
        </w:rPr>
        <w:t>.</w:t>
      </w:r>
    </w:p>
    <w:p w14:paraId="3634B092" w14:textId="77777777" w:rsidR="002E1BE7" w:rsidRPr="00C33834" w:rsidRDefault="002E1BE7" w:rsidP="00C33834">
      <w:pPr>
        <w:pStyle w:val="ae"/>
        <w:spacing w:before="0" w:after="0"/>
        <w:jc w:val="both"/>
        <w:rPr>
          <w:color w:val="000000" w:themeColor="text1"/>
          <w:sz w:val="16"/>
          <w:szCs w:val="16"/>
        </w:rPr>
      </w:pPr>
    </w:p>
    <w:p w14:paraId="1E6696A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19 марта 1933 года на вооружение РККА было принято 1411 Т-26, 2146 танкеток и 522 танка БТ. Причем качество изготовления практически всех этих машин было отвратительным. Например, в 1932 году было изготовлено 1410 Т-26, предъявлено к сдаче 1361 танк, а войска приняли лишь 950 (11809).</w:t>
      </w:r>
    </w:p>
    <w:p w14:paraId="60AE2E5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1534260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марта 1933 г. «Гипроив» (6-й Государственный проектный институт (ГСПИ-6) НКОП, НКБ, Специальная государственная контора по проектированию фабрик искусственного волокна («Стройволокно») ВСНХ, Государственная проектная контора «Воивпроект», Государственный институт проектирования предприятий искусственного волокна «Гипроив», «Гипроспецхим» (ГСХ) НКТП /г. Москва/) был объединен с институтом «Вохимпроект» в единый проектный институт военно-химической промышленности «Гипроспецхим», который стал генеральным проектировщиком всех заводов по производству спецхимии. В соответствии с пост. СНК № 2139-425сс от 21.12.1936г. и пр. НКОП № 05с от 29.12.1936г. «Гипроспецхим» передан из НКТП в ГУ военно-химической промышленности НКОП. По пр. НКОП № 011с от 28.01.1937г. «Гипроспецхим» переименован в 6-й ГПИ, пр. № 433 от 22.12.1937г. утвержден Устав института. В 1937 г. он разделен на два института: ГССПИ-1 и ГСПИ-6. В 03.1937г. ГПИ-6 - в ведении 6ГУ, по пр. № 0089 от 20.04.1937г. передан из 6ГУ в новое 11ГУ. В 02.1939г. ГПИ № 6 11ГУ НКОП передан в ведение 11ГУ НКБ.</w:t>
      </w:r>
      <w:r w:rsidRPr="00C33834">
        <w:rPr>
          <w:rFonts w:ascii="Times New Roman" w:hAnsi="Times New Roman"/>
          <w:color w:val="000000" w:themeColor="text1"/>
          <w:sz w:val="16"/>
          <w:szCs w:val="16"/>
          <w:vertAlign w:val="superscript"/>
        </w:rPr>
        <w:t>132</w:t>
      </w:r>
      <w:r w:rsidRPr="00C33834">
        <w:rPr>
          <w:rFonts w:ascii="Times New Roman" w:hAnsi="Times New Roman"/>
          <w:color w:val="000000" w:themeColor="text1"/>
          <w:sz w:val="16"/>
          <w:szCs w:val="16"/>
        </w:rPr>
        <w:t xml:space="preserve"> В 1948г. ГСПИ-6 вновь влит в состав ГССПИ-1.</w:t>
      </w:r>
    </w:p>
    <w:p w14:paraId="0CA4C34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Институт по проектированию предприятий - производителей сырья для пороховой промышленности. С 1933г. по проектам института проводилась реконструкция действующих производств и строительство новых производств- баллиститных порохов, ТЭНа, гексогена. Приказом № 0065 от 29.03.1937г. институту предписано закончить к 1.04.1937г. все проектные работы по Кемеровскому химкомбинату; приказом № 0074 от 11.04.1937г. - выделить из состава института спецбригаду проектировщиков для окончания проектирования завода № 98; приказом № 00103 от 9.05.1937г. - закончить к 15.07.1937г. техпроект завода № 80. Приказом № 0198 от 9.09.1937г. на институт возложено проектирование пороховых заводов, в связи с этим ему переданы из КБ-25 отделы , по проектированию снаряжения ВВ, пиротехники и сектора: строительный, сантехнический, электротехнический, оборудования ТЭС, сметный и подсобные сектора со всем личным составом. По пр. № 201с от 4/7.06.1938г. организованы группы по пироксилину и по пороху; институту поручено спроектировать по заданию НИИ-6 опытно-заводские установки для проверки ускоренного прессования пороха для завода № 9.</w:t>
      </w:r>
    </w:p>
    <w:p w14:paraId="27E331C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(-03.1937-06.1938г.-)- А.С. Скобелев, (11.1943г.)- Трилестник.</w:t>
      </w:r>
    </w:p>
    <w:p w14:paraId="51F8D29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(-05.1937-38г.-)- Лясоцкий.</w:t>
      </w:r>
    </w:p>
    <w:p w14:paraId="51B2DE8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инженеры проектов: (1938г.)- Коваленко (завод № 204), Акин (завод № 144), (-09.1938г.)- Лихушин.</w:t>
      </w:r>
    </w:p>
    <w:p w14:paraId="560F3FA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отделов: механического (11.1943г.)- Зимин.</w:t>
      </w:r>
      <w:r w:rsidRPr="00C33834">
        <w:rPr>
          <w:rFonts w:ascii="Times New Roman" w:hAnsi="Times New Roman"/>
          <w:color w:val="000000" w:themeColor="text1"/>
          <w:sz w:val="16"/>
          <w:szCs w:val="16"/>
          <w:vertAlign w:val="superscript"/>
        </w:rPr>
        <w:t>132</w:t>
      </w:r>
    </w:p>
    <w:p w14:paraId="2208B68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секторов: водоснабжения (1938г.)- Сидоров.</w:t>
      </w:r>
    </w:p>
    <w:p w14:paraId="434EB42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начальника сектора: энергетического (1938г.)- Хотеев.</w:t>
      </w:r>
    </w:p>
    <w:p w14:paraId="3D63147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групп: по пироксилину (06.1938г.-)- Тарасов; по пороху (06.1938г.-)- Ауэр (11982).</w:t>
      </w:r>
    </w:p>
    <w:p w14:paraId="1D14E53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45AA0323" w14:textId="77777777" w:rsidR="00161F61" w:rsidRPr="00C33834" w:rsidRDefault="00161F61" w:rsidP="00C33834">
      <w:pPr>
        <w:pStyle w:val="ae"/>
        <w:spacing w:before="0" w:after="0"/>
        <w:jc w:val="both"/>
        <w:rPr>
          <w:color w:val="000000" w:themeColor="text1"/>
          <w:sz w:val="16"/>
          <w:szCs w:val="16"/>
        </w:rPr>
      </w:pPr>
      <w:r w:rsidRPr="00C33834">
        <w:rPr>
          <w:color w:val="000000" w:themeColor="text1"/>
          <w:sz w:val="16"/>
          <w:szCs w:val="16"/>
        </w:rPr>
        <w:t xml:space="preserve">19 марта 1933 г. Наморси Орлов утвердил «тактическое задание на легкий крейсер с механизмами (турбинами) итальянского крейсера «Монтекукколи». Крейсер был спущен на воду в рекордно короткие сроки – уже 30 ноября 1936 г., а 12 марта 1937 г. на нем впервые подняли пары и проверили работу турбин (итальянской поставки). Советское руководство стало считать, что строительство первого советского крейсера (Киров) завершится в ближайшее время, но тут начались задержки </w:t>
      </w:r>
      <w:r w:rsidRPr="00C33834">
        <w:rPr>
          <w:color w:val="000000" w:themeColor="text1"/>
          <w:sz w:val="16"/>
          <w:szCs w:val="16"/>
        </w:rPr>
        <w:lastRenderedPageBreak/>
        <w:t>с производством артиллерийского и радиовооружения и других компонент. Причины задержек были непонятны и стали вызывать раздражение.</w:t>
      </w:r>
    </w:p>
    <w:p w14:paraId="26472A3C" w14:textId="77777777" w:rsidR="00161F61" w:rsidRPr="00C33834" w:rsidRDefault="00161F61" w:rsidP="00C33834">
      <w:pPr>
        <w:pStyle w:val="ae"/>
        <w:spacing w:before="0" w:after="0"/>
        <w:jc w:val="both"/>
        <w:rPr>
          <w:color w:val="000000" w:themeColor="text1"/>
          <w:sz w:val="16"/>
          <w:szCs w:val="16"/>
        </w:rPr>
      </w:pPr>
      <w:r w:rsidRPr="00C33834">
        <w:rPr>
          <w:color w:val="000000" w:themeColor="text1"/>
          <w:sz w:val="16"/>
          <w:szCs w:val="16"/>
        </w:rPr>
        <w:t>Дело, однако, продолжало двигаться крайне медленно. Стали задумываться на крайний случай для главного калибра использовать ПУС «Мина-7», а для зенитного калибра заказать МПУАЗО и силовые следящие приводы заказать в Италии (15736).</w:t>
      </w:r>
    </w:p>
    <w:p w14:paraId="132C1571" w14:textId="77777777" w:rsidR="00161F61" w:rsidRPr="00C33834" w:rsidRDefault="00161F61" w:rsidP="00C33834">
      <w:pPr>
        <w:pStyle w:val="ae"/>
        <w:spacing w:before="0" w:after="0"/>
        <w:jc w:val="both"/>
        <w:rPr>
          <w:color w:val="000000" w:themeColor="text1"/>
          <w:sz w:val="16"/>
          <w:szCs w:val="16"/>
        </w:rPr>
      </w:pPr>
    </w:p>
    <w:p w14:paraId="1D3F5B22" w14:textId="77777777" w:rsidR="0047435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2297DAFB" w14:textId="77777777" w:rsidR="00474353" w:rsidRPr="00C33834" w:rsidRDefault="0047435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6B8886E" w14:textId="77777777" w:rsidR="00161F61" w:rsidRPr="00C33834" w:rsidRDefault="00161F61"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19 марта</w:t>
      </w:r>
      <w:r w:rsidRPr="00C33834">
        <w:rPr>
          <w:rFonts w:ascii="Times New Roman" w:hAnsi="Times New Roman"/>
          <w:color w:val="000000" w:themeColor="text1"/>
          <w:sz w:val="16"/>
          <w:szCs w:val="16"/>
        </w:rPr>
        <w:t xml:space="preserve"> в 1933 году Бенито Муссолини, премьер-министр Италии, предлагает заключить пакт с Великобританией, Францией и Германией (будет подписан 15 июля) (15073).</w:t>
      </w:r>
    </w:p>
    <w:p w14:paraId="6056B51B" w14:textId="77777777" w:rsidR="00161F61" w:rsidRPr="00C33834" w:rsidRDefault="00161F61" w:rsidP="00C33834">
      <w:pPr>
        <w:spacing w:after="0" w:line="240" w:lineRule="auto"/>
        <w:jc w:val="both"/>
        <w:rPr>
          <w:rFonts w:ascii="Times New Roman" w:hAnsi="Times New Roman"/>
          <w:color w:val="000000" w:themeColor="text1"/>
          <w:sz w:val="16"/>
          <w:szCs w:val="16"/>
        </w:rPr>
      </w:pPr>
    </w:p>
    <w:p w14:paraId="796EC22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марта 1933 Салазар в Португалии издал новую конституцию, давшую ему диктаторские полномочия (3186).</w:t>
      </w:r>
    </w:p>
    <w:p w14:paraId="291AF08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0989C129" w14:textId="77777777" w:rsidR="00474353" w:rsidRPr="00C33834" w:rsidRDefault="0047435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марта 1933 премьер-министр Португалии Антониу Салазар наделен диктаторскими полномочиями (4962).</w:t>
      </w:r>
    </w:p>
    <w:p w14:paraId="04C40722" w14:textId="77777777" w:rsidR="00474353" w:rsidRPr="00C33834" w:rsidRDefault="0047435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525088" w14:textId="77777777" w:rsidR="0047435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3E85F8D" w14:textId="77777777" w:rsidR="00474353" w:rsidRPr="00C33834" w:rsidRDefault="0047435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4A67EA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марта 1933 Харламов подписал Письмо Нач. ГУАП П.И.Б. (копии УВВС Алкснису, ЦАГИ, ЦИАМ) по вопросу о приобретении нагнетателя Рато к М-34. Он прибыл в Париж 6 марта совместно с Шумилиным. Переговоры велись 8 марта и были успешными. Согласно запроса ГУАП 1931 РАТО согласилась изготовить нагнетатель к М-34 на 8000 м. 8 апреля 1932 фирма РАТО согласилась поставить 20 нагнетателей к М-34 по цене 90 тыс. франков за штуку со сроком поставки 6 мес. Не получая ответа фирма прекратила переговоры с Торгпредством. Потом согласилась (2304,20).</w:t>
      </w:r>
    </w:p>
    <w:p w14:paraId="4255FC73"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вопросу о нагнетателе Рато к М34 я, б/Ш-33 года, совместно с тов. ШУМИЛИНВМ, прибыл в Париж. На наш запрос от 31 г. фирма РАТО была согласна изготовить нагнетатель к М34 на высотность 8000 м.</w:t>
      </w:r>
    </w:p>
    <w:p w14:paraId="77C2A68F"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8/1У -32 г. фирма дала свое предложение на поставку нам 20 нагнетателей к М34 по цене 90.000 франков за штуку со сроком поставки через 6месяцев первый, а далее через месяц второй и затем в каждые 2 недели по одному. Условия платежа - 50% наличными при заказе, а 50% по сдаче. </w:t>
      </w:r>
    </w:p>
    <w:p w14:paraId="017CB38A"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получая никакого ответа на свое предложение, фирма прекратила разговоры с нашим Торгпредством. Когда в феврале с.г. т. МАЛЕВИЧ хотел через фирму РАТО получить для въезда во Францию визы для меня и т. ШУМИЛИНА, как едущих для переговоров с фирмой, то она отказалась поддержать ходатайство, считая,что мы не имеем с ней дело. Визы были получены через Гном-Рон.</w:t>
      </w:r>
    </w:p>
    <w:p w14:paraId="280064B7"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Однако, по вызову тов. МАЛЕВИЧА, представитель фирмы явился для переговоров по поводу своего предложения от 8/1У-32 г. и заявил, что это предложение остается в силе и в данный момент, т.е. на 8/Ш-33 г. Заказ -большого количества компрессоров (20 шт.) фирма мотивировала тем, что ей придется произвести большие затраты на инструмент...</w:t>
      </w:r>
    </w:p>
    <w:p w14:paraId="3224811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10/Ш-19333 в Торгпредство прибыл представитель фирмы, который демонстрировал нам :а) литье (маке т) нагнетателя на 5800 м...</w:t>
      </w:r>
    </w:p>
    <w:p w14:paraId="3D78648C"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моменты указанного выше предложения фирмы записаны в ее письменном предложении от 10/Ш-33 г.</w:t>
      </w:r>
    </w:p>
    <w:p w14:paraId="4EB61840"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того, чтобы дальше иметь возможность вести переговоры с фирмой нужно указание Парижскому Торгпредству о заключении договора с фирмой и указания суммы (лицензии).</w:t>
      </w:r>
    </w:p>
    <w:p w14:paraId="3ACD390D"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Следует сказать, что цена 900.000 фр. не окончательная и по-моему мнению ее можно будет при детальных переговорах с фир</w:t>
      </w:r>
      <w:r w:rsidRPr="00C33834">
        <w:rPr>
          <w:rFonts w:ascii="Times New Roman" w:hAnsi="Times New Roman"/>
          <w:color w:val="000000" w:themeColor="text1"/>
          <w:sz w:val="16"/>
          <w:szCs w:val="16"/>
        </w:rPr>
        <w:softHyphen/>
        <w:t>мой уменьшить.</w:t>
      </w:r>
    </w:p>
    <w:p w14:paraId="6E126D7A"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Получитьк какую либо дальнейшую техническую информацию без конкретного договора на заказ -чрезвычайно трудно.</w:t>
      </w:r>
    </w:p>
    <w:p w14:paraId="53FEE5A5"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Уезжая из Парижа, я оставил там до 23/Ш т. ШУМИЛИНА, которому поручил подготовить техусловия к договору и принять участие в разработке договора, если будет распоряжение из Москвы.</w:t>
      </w:r>
    </w:p>
    <w:p w14:paraId="74BCBC63"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Лично я считаю, что следует заказать фирме РАТО компрес</w:t>
      </w:r>
      <w:r w:rsidRPr="00C33834">
        <w:rPr>
          <w:rFonts w:ascii="Times New Roman" w:hAnsi="Times New Roman"/>
          <w:color w:val="000000" w:themeColor="text1"/>
          <w:sz w:val="16"/>
          <w:szCs w:val="16"/>
        </w:rPr>
        <w:softHyphen/>
        <w:t>сор к М34 на 8000 мт. высотности весом в 35 клг., включив в дого</w:t>
      </w:r>
      <w:r w:rsidRPr="00C33834">
        <w:rPr>
          <w:rFonts w:ascii="Times New Roman" w:hAnsi="Times New Roman"/>
          <w:color w:val="000000" w:themeColor="text1"/>
          <w:sz w:val="16"/>
          <w:szCs w:val="16"/>
        </w:rPr>
        <w:softHyphen/>
        <w:t>вор все необходимые гарантии, как их давала фирма или требовали мы. Риск в этом заказе, безусловно, есть, т.к. мы будем заказы</w:t>
      </w:r>
      <w:r w:rsidRPr="00C33834">
        <w:rPr>
          <w:rFonts w:ascii="Times New Roman" w:hAnsi="Times New Roman"/>
          <w:color w:val="000000" w:themeColor="text1"/>
          <w:sz w:val="16"/>
          <w:szCs w:val="16"/>
        </w:rPr>
        <w:softHyphen/>
        <w:t>вать нагнетатель на 8000 м., который фирма в серии не строит, а будет изготовлять специально для нас. Однако, следует сказать, что ни у Юнкерса, ни у Фармана также нет нагнетателей на 8000м, которые строились бы серийно.</w:t>
      </w:r>
    </w:p>
    <w:p w14:paraId="07940CD1"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 ШУМИЛИН, участвовавший в переговорах с фирмой, также считает необходимым выдать заказ фирме РАТО (2304,20).</w:t>
      </w:r>
    </w:p>
    <w:p w14:paraId="55BC624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3713FC8A" w14:textId="77777777" w:rsidR="0047435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4CC0870" w14:textId="77777777" w:rsidR="00474353" w:rsidRPr="00C33834" w:rsidRDefault="0047435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26C5D0B" w14:textId="77777777" w:rsidR="00161F61" w:rsidRPr="00C33834" w:rsidRDefault="00161F61" w:rsidP="00C33834">
      <w:pPr>
        <w:pStyle w:val="rtejustify"/>
        <w:spacing w:before="0" w:after="0"/>
        <w:rPr>
          <w:color w:val="000000" w:themeColor="text1"/>
          <w:sz w:val="16"/>
          <w:szCs w:val="16"/>
        </w:rPr>
      </w:pPr>
      <w:r w:rsidRPr="00C33834">
        <w:rPr>
          <w:rStyle w:val="af0"/>
          <w:bCs/>
          <w:i w:val="0"/>
          <w:color w:val="000000" w:themeColor="text1"/>
          <w:sz w:val="16"/>
          <w:szCs w:val="16"/>
        </w:rPr>
        <w:t>20/28 марта 1933 вышел приказ НКТП № 32/027/с.</w:t>
      </w:r>
      <w:r w:rsidRPr="00C33834">
        <w:rPr>
          <w:color w:val="000000" w:themeColor="text1"/>
          <w:sz w:val="16"/>
          <w:szCs w:val="16"/>
        </w:rPr>
        <w:t xml:space="preserve"> Об организации бригад по контролю за производством капсюлей на заводах НКТП. (РГАЭ. Ф. 7297. Оп. 38. Д. 37. Л. 35</w:t>
      </w:r>
      <w:r w:rsidRPr="00C33834">
        <w:rPr>
          <w:color w:val="000000" w:themeColor="text1"/>
          <w:sz w:val="16"/>
          <w:szCs w:val="16"/>
        </w:rPr>
        <w:noBreakHyphen/>
        <w:t>34). (</w:t>
      </w:r>
      <w:r w:rsidRPr="00C33834">
        <w:rPr>
          <w:rStyle w:val="af0"/>
          <w:i w:val="0"/>
          <w:color w:val="000000" w:themeColor="text1"/>
          <w:sz w:val="16"/>
          <w:szCs w:val="16"/>
        </w:rPr>
        <w:t>Объединенный с НКВМ СССР</w:t>
      </w:r>
      <w:r w:rsidRPr="00C33834">
        <w:rPr>
          <w:color w:val="000000" w:themeColor="text1"/>
          <w:sz w:val="16"/>
          <w:szCs w:val="16"/>
        </w:rPr>
        <w:t>) (15246).</w:t>
      </w:r>
    </w:p>
    <w:p w14:paraId="423A5D37" w14:textId="77777777" w:rsidR="00161F61" w:rsidRPr="00C33834" w:rsidRDefault="00161F61" w:rsidP="00C33834">
      <w:pPr>
        <w:pStyle w:val="rtejustify"/>
        <w:spacing w:before="0" w:after="0"/>
        <w:rPr>
          <w:color w:val="000000" w:themeColor="text1"/>
          <w:sz w:val="16"/>
          <w:szCs w:val="16"/>
        </w:rPr>
      </w:pPr>
    </w:p>
    <w:p w14:paraId="5416E850" w14:textId="77777777" w:rsidR="00161F61" w:rsidRPr="00C33834" w:rsidRDefault="00161F61"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color w:val="000000" w:themeColor="text1"/>
          <w:sz w:val="16"/>
          <w:szCs w:val="16"/>
        </w:rPr>
        <w:t>20 марта 1933 г. Протокол ПБ № 133 п.106/89: О размещении заводов "Изолит" и ртутных выпрямителей. Решено утвердить следующий проект постановления СТО: "Во изменение своего постановления от 28-8-1932 № 1064, согласиться с предложением НКТП о выборе местом для строительства заводов "Изолит" и ртутных выпрямителей ст. Хотьково Северных железных дорог (около г. Загорска Московской области) (15877).</w:t>
      </w:r>
    </w:p>
    <w:p w14:paraId="0DDB1D08" w14:textId="77777777" w:rsidR="00161F61" w:rsidRPr="00C33834" w:rsidRDefault="00161F61" w:rsidP="00C33834">
      <w:pPr>
        <w:spacing w:after="0" w:line="240" w:lineRule="auto"/>
        <w:jc w:val="both"/>
        <w:rPr>
          <w:rFonts w:ascii="Times New Roman" w:hAnsi="Times New Roman"/>
          <w:iCs/>
          <w:color w:val="000000" w:themeColor="text1"/>
          <w:sz w:val="16"/>
          <w:szCs w:val="16"/>
        </w:rPr>
      </w:pPr>
    </w:p>
    <w:p w14:paraId="29F578D3" w14:textId="77777777" w:rsidR="001512A9" w:rsidRPr="00C33834" w:rsidRDefault="001512A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марта 1933</w:t>
      </w:r>
    </w:p>
    <w:p w14:paraId="492903FA" w14:textId="77777777" w:rsidR="001512A9" w:rsidRPr="00C33834" w:rsidRDefault="001512A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Протокол № 133 заседания Политбюро ЦК ВКП(б) от 20 марта 1933 года</w:t>
      </w:r>
    </w:p>
    <w:p w14:paraId="458A790B" w14:textId="77777777" w:rsidR="001512A9" w:rsidRPr="00C33834" w:rsidRDefault="001512A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Заседание Политбюро ЦК ВКП(б) от 20</w:t>
      </w:r>
      <w:r w:rsidRPr="00C33834">
        <w:rPr>
          <w:rFonts w:ascii="Times New Roman" w:hAnsi="Times New Roman"/>
          <w:color w:val="000000" w:themeColor="text1"/>
          <w:sz w:val="16"/>
          <w:szCs w:val="16"/>
        </w:rPr>
        <w:noBreakHyphen/>
        <w:t>го марта 1933 года.</w:t>
      </w:r>
    </w:p>
    <w:p w14:paraId="6C52720F" w14:textId="77777777" w:rsidR="001512A9" w:rsidRPr="00C33834" w:rsidRDefault="001512A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106/89: О размещении заводов “Изолит” и ртутных выпрямителей</w:t>
      </w:r>
    </w:p>
    <w:p w14:paraId="31EEAC33" w14:textId="77777777" w:rsidR="001512A9" w:rsidRPr="00C33834" w:rsidRDefault="001512A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Утвердить следующий проект постановления СТО: Во изменение своего постановления от 28.VIII.1932 г. № 1064, согласиться с предложением НКТП о выборе местом для строительства заводов “Изолит” и ртутных выпрямителей ст. Хотьково Северных железных дорог (около г. Загорска, Московской области) (18139).</w:t>
      </w:r>
    </w:p>
    <w:p w14:paraId="2C50F905" w14:textId="77777777" w:rsidR="001512A9" w:rsidRPr="00C33834" w:rsidRDefault="001512A9" w:rsidP="00C33834">
      <w:pPr>
        <w:spacing w:after="0" w:line="240" w:lineRule="auto"/>
        <w:jc w:val="both"/>
        <w:rPr>
          <w:rFonts w:ascii="Times New Roman" w:hAnsi="Times New Roman"/>
          <w:color w:val="000000" w:themeColor="text1"/>
          <w:sz w:val="16"/>
          <w:szCs w:val="16"/>
        </w:rPr>
      </w:pPr>
    </w:p>
    <w:p w14:paraId="396DFC2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марта 1933 представители ХПЗ и заводов, разработавших радиостанции 71ТК и 72ТК испытывали эти станции, установленные на БТ-5. Оказалось, что неудачная экранировка высоковольтных проводов недостаточна и ничего не слышно (3880,7).</w:t>
      </w:r>
    </w:p>
    <w:p w14:paraId="4B6F14A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7F77EBC8" w14:textId="77777777" w:rsidR="00A36FFD" w:rsidRPr="00C33834" w:rsidRDefault="00A36FF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марта 1933 вступила в строй крупнейшая в мире радиовещательная станция им. Коминтерна мощностью 500 кВт, все оборудование для которой изготовлялось на советских заводах. С введением в эксплуатацию этой радиостанции СССР по мощности своей радиовещательной сети занял первое место в Европе. Автор проекта и руководитель строительства А. Л. Минц впервые применил блочную систему, благодаря чему была создана радиовещательная станция непрерывного действия (9923).</w:t>
      </w:r>
    </w:p>
    <w:p w14:paraId="369D62CD" w14:textId="77777777" w:rsidR="00A36FFD" w:rsidRPr="00C33834" w:rsidRDefault="00A36FFD" w:rsidP="00C33834">
      <w:pPr>
        <w:autoSpaceDE w:val="0"/>
        <w:autoSpaceDN w:val="0"/>
        <w:adjustRightInd w:val="0"/>
        <w:spacing w:after="0" w:line="240" w:lineRule="auto"/>
        <w:jc w:val="both"/>
        <w:rPr>
          <w:rFonts w:ascii="Times New Roman" w:hAnsi="Times New Roman"/>
          <w:color w:val="000000" w:themeColor="text1"/>
          <w:sz w:val="16"/>
          <w:szCs w:val="16"/>
        </w:rPr>
      </w:pPr>
    </w:p>
    <w:p w14:paraId="4EE411C9" w14:textId="77777777" w:rsidR="00161F61" w:rsidRPr="00C33834" w:rsidRDefault="00161F61"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20 марта</w:t>
      </w:r>
      <w:r w:rsidRPr="00C33834">
        <w:rPr>
          <w:rFonts w:ascii="Times New Roman" w:hAnsi="Times New Roman"/>
          <w:color w:val="000000" w:themeColor="text1"/>
          <w:sz w:val="16"/>
          <w:szCs w:val="16"/>
        </w:rPr>
        <w:t xml:space="preserve"> в 1933 году вводится в строй радиовещательная станция имени Коминтерна, в то время крупнейшая в мире. В начале 1930-х годов для обеспечения надежного приема московских радиовещательных программ принимается решение по сооружению новой длинноволновой радиовещательной станции мощностью 500 кВт и с заданной диаграммой направленности излучения (в то время самая крупная станция США имела мощность лишь 50 кВт, а Европы - 120 кВт). Работы по строительству станции возглавил выдающийся ученый в области радиоэлектроники, радиолокации и ускорителей элементарных частиц академик Александр Львович Минц. Для получения столь большой мощности ученый предложил выходной каскад станции выполнить из нескольких параллельно работающих 100-кВт блоков. Сейчас такая схема принята во всем мире. Новая мощная станция была введена в строй 20 марта 1033 года. Следующим этапом творческого пути Александра Минца явилось создание в 1936-1938 годах самой мощной в мире коротковолновой радиовещательной станции РВ-96 мощностью 120 кВт. Она проектировалась для целей международного вещания, позволяет осуществлять радиовещание в сторону Дальнего Востока, Соединенных Штатов Америки и Австралии. Новые идеи, вложенные Александром Минцем в проект передатчика и антенны, до сих пор сохраняют свою актуальность и делают эту станцию образцовой (15074).</w:t>
      </w:r>
    </w:p>
    <w:p w14:paraId="1E8B3885" w14:textId="77777777" w:rsidR="00161F61" w:rsidRPr="00C33834" w:rsidRDefault="00161F61" w:rsidP="00C33834">
      <w:pPr>
        <w:spacing w:after="0" w:line="240" w:lineRule="auto"/>
        <w:jc w:val="both"/>
        <w:rPr>
          <w:rFonts w:ascii="Times New Roman" w:hAnsi="Times New Roman"/>
          <w:color w:val="000000" w:themeColor="text1"/>
          <w:sz w:val="16"/>
          <w:szCs w:val="16"/>
        </w:rPr>
      </w:pPr>
    </w:p>
    <w:p w14:paraId="41CA14DB" w14:textId="77777777" w:rsidR="004F587F" w:rsidRPr="00C33834" w:rsidRDefault="004F587F"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20 марта 1933 появилась Записка Сектора Обороны Госплана "Вопросы оборонной пятилетки промышленности (материалы для директивы)", подготовленная в феврале-марте 1932 г., когда сектор обороны Госплана составил развернутые "материалы для директивы" по оборонной пятилетке в промышленности, были сделаны первые подступы к определению задач мобилизационной подготовки промышленности и вооруженных сил на вторую пятилетку. Записка СО была нацелена на предотвращение хаотичности и несбалансированности развития военных производств и мобилизационной подготовки промышленности в целом, которые отличали период 1929-1932 гг. Значение этого документа, однако, было более масштабным. Один из разделов записки определял "общие условия и задачи подготовки к войне во втором пятилетии в отношении развития вооруженных сил". Он гласил: "Основные задачи развития вооруженных сил Союза, вытекающие из внешней обстановки и внутренних возможностей:</w:t>
      </w:r>
    </w:p>
    <w:p w14:paraId="008EEA3B" w14:textId="77777777" w:rsidR="004F587F" w:rsidRPr="00C33834" w:rsidRDefault="004F587F"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а) общая численность армии сохраняется примерно на нынешнем уровне. Численное увеличение в известных пределах возможно по линии технических войск;</w:t>
      </w:r>
    </w:p>
    <w:p w14:paraId="05BC96A7" w14:textId="77777777" w:rsidR="004F587F" w:rsidRPr="00C33834" w:rsidRDefault="004F587F"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б) техническое оснащение Кр[асной] Армии должно быть доведено до уровня самых передовых армий капиталистического мира (Франция, САСШ);</w:t>
      </w:r>
    </w:p>
    <w:p w14:paraId="2EEC4782" w14:textId="77777777" w:rsidR="004F587F" w:rsidRPr="00C33834" w:rsidRDefault="004F587F"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в) Красная Армия должна быть способна вести активную войну одновременно на Западе и на Востоке;</w:t>
      </w:r>
    </w:p>
    <w:p w14:paraId="39800619" w14:textId="77777777" w:rsidR="004F587F" w:rsidRPr="00C33834" w:rsidRDefault="004F587F"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lastRenderedPageBreak/>
        <w:t>г) качество вооружения Красной Армии не должно уступать, а по некоторым видам должно превосходить качество вооружения наиболее передовых армий;</w:t>
      </w:r>
    </w:p>
    <w:p w14:paraId="7F76CCA6" w14:textId="77777777" w:rsidR="004F587F" w:rsidRPr="00C33834" w:rsidRDefault="004F587F"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д) должна быть решена проблема мобилизационных запасов, накопление которых в известных размерах совершенно необходимо для обеспечения устойчивой обороны в первые месяцы войны;</w:t>
      </w:r>
    </w:p>
    <w:p w14:paraId="0B96037B" w14:textId="77777777" w:rsidR="004F587F" w:rsidRPr="00C33834" w:rsidRDefault="004F587F"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 xml:space="preserve">е) должна быть обеспечена максимально возможная и целесообразная механизация и моторизация Красной Армии". Соответственно основной задачей оборонной подготовки промышленности во втором пятилетии объявлялась подготовка "такого развития военно-производственной базы, которое обеспечило бы Советскому Союзу превосходство вооружения над самым могущественным европейским противником - Францией и ее союзниками на нашей западной границе - Полыней и Румынией, особенно по главным видам новой боевой техники - авиации, танкам и химии". Авторы записки тут же давали понять, что вариант войны с этими тремя государствами важен не столько сам по себе, сколько для определения правильного масштаба общих приготовлений, и продолжали: "Такой уровень развития военно-производственной базы наряду с подготовкой по другим отраслям хозяйства преимуществами политического порядка, высоким развитием производительных сил и полной независимостью от заграницы позволит СССР успешно противостоять коалиции нескольких крупнейших империалистических противников". Размеры потребления фронта предлагалось определить на основе проектируемой на вторую пятилетку производственной базы по металлу и химии и исходя из длительного характера будущей войны (2-3 года) (Записка Сектора Обороны Госплана "Вопросы оборонной пятилетки промышленности (материалы для директивы)", 20.03.1932 // РГАЭ. Ф. 4372. Оп. 91. Д 1097. Л. 156-158. О подготовке этого документа и сопровождающих его первых набросках СО (март 1932 г.) см.: </w:t>
      </w:r>
      <w:r w:rsidRPr="00C33834">
        <w:rPr>
          <w:rFonts w:ascii="Times New Roman" w:eastAsia="Times New Roman" w:hAnsi="Times New Roman"/>
          <w:color w:val="0070C0"/>
          <w:sz w:val="16"/>
          <w:szCs w:val="16"/>
          <w:lang w:val="en-US" w:eastAsia="ru-RU"/>
        </w:rPr>
        <w:t>SAMUELSON</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L</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Soviet</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Defence</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Industry</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Planning</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Tukhachevskii</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and</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Military</w:t>
      </w:r>
      <w:r w:rsidRPr="00C33834">
        <w:rPr>
          <w:rFonts w:ascii="Times New Roman" w:eastAsia="Times New Roman" w:hAnsi="Times New Roman"/>
          <w:color w:val="0070C0"/>
          <w:sz w:val="16"/>
          <w:szCs w:val="16"/>
          <w:lang w:eastAsia="ru-RU"/>
        </w:rPr>
        <w:t>-</w:t>
      </w:r>
      <w:r w:rsidRPr="00C33834">
        <w:rPr>
          <w:rFonts w:ascii="Times New Roman" w:eastAsia="Times New Roman" w:hAnsi="Times New Roman"/>
          <w:color w:val="0070C0"/>
          <w:sz w:val="16"/>
          <w:szCs w:val="16"/>
          <w:lang w:val="en-US" w:eastAsia="ru-RU"/>
        </w:rPr>
        <w:t>Industrial</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Mobilisation</w:t>
      </w:r>
      <w:r w:rsidRPr="00C33834">
        <w:rPr>
          <w:rFonts w:ascii="Times New Roman" w:eastAsia="Times New Roman" w:hAnsi="Times New Roman"/>
          <w:color w:val="0070C0"/>
          <w:sz w:val="16"/>
          <w:szCs w:val="16"/>
          <w:lang w:eastAsia="ru-RU"/>
        </w:rPr>
        <w:t>, 1926-1937. Stockholm, 1996. P. 198-200) (22725).</w:t>
      </w:r>
    </w:p>
    <w:p w14:paraId="15102CE0" w14:textId="77777777" w:rsidR="004F587F" w:rsidRPr="00C33834" w:rsidRDefault="004F587F" w:rsidP="00C33834">
      <w:pPr>
        <w:spacing w:after="0" w:line="240" w:lineRule="auto"/>
        <w:jc w:val="both"/>
        <w:rPr>
          <w:rFonts w:ascii="Times New Roman" w:hAnsi="Times New Roman"/>
          <w:color w:val="0070C0"/>
          <w:sz w:val="16"/>
          <w:szCs w:val="16"/>
        </w:rPr>
      </w:pPr>
    </w:p>
    <w:p w14:paraId="5E03FA64" w14:textId="77777777" w:rsidR="00161F61" w:rsidRPr="00C33834" w:rsidRDefault="00161F61" w:rsidP="00C33834">
      <w:pPr>
        <w:pStyle w:val="rtejustify"/>
        <w:spacing w:before="0" w:after="0"/>
        <w:rPr>
          <w:color w:val="000000" w:themeColor="text1"/>
          <w:sz w:val="16"/>
          <w:szCs w:val="16"/>
        </w:rPr>
      </w:pPr>
      <w:r w:rsidRPr="00C33834">
        <w:rPr>
          <w:rStyle w:val="af0"/>
          <w:bCs/>
          <w:i w:val="0"/>
          <w:color w:val="000000" w:themeColor="text1"/>
          <w:sz w:val="16"/>
          <w:szCs w:val="16"/>
        </w:rPr>
        <w:t>20 марта</w:t>
      </w:r>
      <w:r w:rsidRPr="00C33834">
        <w:rPr>
          <w:color w:val="000000" w:themeColor="text1"/>
          <w:sz w:val="16"/>
          <w:szCs w:val="16"/>
        </w:rPr>
        <w:t xml:space="preserve">. № 133. </w:t>
      </w:r>
      <w:hyperlink r:id="rId104" w:anchor="showunit&amp;id=85920" w:history="1">
        <w:r w:rsidRPr="00C33834">
          <w:rPr>
            <w:rStyle w:val="a5"/>
            <w:color w:val="000000" w:themeColor="text1"/>
            <w:sz w:val="16"/>
            <w:szCs w:val="16"/>
            <w:u w:val="none"/>
          </w:rPr>
          <w:t>1. О программе морского и речного судостроения на 1933 г.</w:t>
        </w:r>
      </w:hyperlink>
      <w:r w:rsidRPr="00C33834">
        <w:rPr>
          <w:color w:val="000000" w:themeColor="text1"/>
          <w:sz w:val="16"/>
          <w:szCs w:val="16"/>
        </w:rPr>
        <w:t xml:space="preserve"> (Куйбышев). Решено передать вопрос о программе морского и речного судостроения на рассмотрение и окончательное решение Комиссии обороны. </w:t>
      </w:r>
      <w:hyperlink r:id="rId105" w:anchor="showunit&amp;id=86006" w:history="1">
        <w:r w:rsidRPr="00C33834">
          <w:rPr>
            <w:rStyle w:val="a5"/>
            <w:color w:val="000000" w:themeColor="text1"/>
            <w:sz w:val="16"/>
            <w:szCs w:val="16"/>
            <w:u w:val="none"/>
          </w:rPr>
          <w:t>76/58. О создании Реввоенсовета морских сил Дальнего Востока</w:t>
        </w:r>
      </w:hyperlink>
      <w:r w:rsidRPr="00C33834">
        <w:rPr>
          <w:color w:val="000000" w:themeColor="text1"/>
          <w:sz w:val="16"/>
          <w:szCs w:val="16"/>
        </w:rPr>
        <w:t xml:space="preserve"> (ПБ от 17 марта 1933 г.). Решено принять предложение Ворошилова о создании РBC морских сил на Дальнем Востоке в составе командующего морскими силами Викторова и члена РВС Булышкина. </w:t>
      </w:r>
      <w:hyperlink r:id="rId106" w:anchor="showunit&amp;id=86031" w:history="1">
        <w:r w:rsidRPr="00C33834">
          <w:rPr>
            <w:rStyle w:val="a5"/>
            <w:color w:val="000000" w:themeColor="text1"/>
            <w:sz w:val="16"/>
            <w:szCs w:val="16"/>
            <w:u w:val="none"/>
          </w:rPr>
          <w:t>85/67. а) О каучуке для резиновой промышленности</w:t>
        </w:r>
      </w:hyperlink>
      <w:r w:rsidRPr="00C33834">
        <w:rPr>
          <w:color w:val="000000" w:themeColor="text1"/>
          <w:sz w:val="16"/>
          <w:szCs w:val="16"/>
        </w:rPr>
        <w:t xml:space="preserve"> (ПБ от 19 марта 1933 г.). Решено передать вопрос на рассмотрение комиссии Молотова по внешнеторговым делам. </w:t>
      </w:r>
      <w:hyperlink r:id="rId107" w:anchor="showunit&amp;id=86027" w:history="1">
        <w:r w:rsidRPr="00C33834">
          <w:rPr>
            <w:rStyle w:val="a5"/>
            <w:color w:val="000000" w:themeColor="text1"/>
            <w:sz w:val="16"/>
            <w:szCs w:val="16"/>
            <w:u w:val="none"/>
          </w:rPr>
          <w:t>96/78. Об импорте цветных металлов</w:t>
        </w:r>
      </w:hyperlink>
      <w:r w:rsidRPr="00C33834">
        <w:rPr>
          <w:color w:val="000000" w:themeColor="text1"/>
          <w:sz w:val="16"/>
          <w:szCs w:val="16"/>
        </w:rPr>
        <w:t xml:space="preserve"> (ПБ от 15 февраля 1933 г., пр. № 131, п. 70/36</w:t>
      </w:r>
      <w:r w:rsidRPr="00C33834">
        <w:rPr>
          <w:color w:val="000000" w:themeColor="text1"/>
          <w:sz w:val="16"/>
          <w:szCs w:val="16"/>
        </w:rPr>
        <w:noBreakHyphen/>
        <w:t>4), (ПБ от 19 марта 1933 г.). Решено принять к сведению, постановление СТО от 23</w:t>
      </w:r>
      <w:r w:rsidRPr="00C33834">
        <w:rPr>
          <w:color w:val="000000" w:themeColor="text1"/>
          <w:sz w:val="16"/>
          <w:szCs w:val="16"/>
        </w:rPr>
        <w:noBreakHyphen/>
        <w:t>2</w:t>
      </w:r>
      <w:r w:rsidRPr="00C33834">
        <w:rPr>
          <w:color w:val="000000" w:themeColor="text1"/>
          <w:sz w:val="16"/>
          <w:szCs w:val="16"/>
        </w:rPr>
        <w:noBreakHyphen/>
        <w:t xml:space="preserve">1933. </w:t>
      </w:r>
      <w:hyperlink r:id="rId108" w:anchor="showunit&amp;id=85928" w:history="1">
        <w:r w:rsidRPr="00C33834">
          <w:rPr>
            <w:rStyle w:val="a5"/>
            <w:color w:val="000000" w:themeColor="text1"/>
            <w:sz w:val="16"/>
            <w:szCs w:val="16"/>
            <w:u w:val="none"/>
          </w:rPr>
          <w:t>106/89. О размещении заводов «Изолит» и ртутных выпрямителей.</w:t>
        </w:r>
      </w:hyperlink>
      <w:r w:rsidRPr="00C33834">
        <w:rPr>
          <w:color w:val="000000" w:themeColor="text1"/>
          <w:sz w:val="16"/>
          <w:szCs w:val="16"/>
        </w:rPr>
        <w:t xml:space="preserve"> Решено утвердить следующий проект постановления СТО: «Во изменение своего постановления от 28</w:t>
      </w:r>
      <w:r w:rsidRPr="00C33834">
        <w:rPr>
          <w:color w:val="000000" w:themeColor="text1"/>
          <w:sz w:val="16"/>
          <w:szCs w:val="16"/>
        </w:rPr>
        <w:noBreakHyphen/>
        <w:t>8</w:t>
      </w:r>
      <w:r w:rsidRPr="00C33834">
        <w:rPr>
          <w:color w:val="000000" w:themeColor="text1"/>
          <w:sz w:val="16"/>
          <w:szCs w:val="16"/>
        </w:rPr>
        <w:noBreakHyphen/>
        <w:t>1932 № 1064, согласиться с предложением НКТП о выборе местом для строительства заводов “Изолит” и ртутных выпрямителей ст. Хотьково Северных железных дорог (около г. Загорска Московской области)» (15462).</w:t>
      </w:r>
    </w:p>
    <w:p w14:paraId="59A9B162" w14:textId="77777777" w:rsidR="00161F61" w:rsidRPr="00C33834" w:rsidRDefault="00161F61" w:rsidP="00C33834">
      <w:pPr>
        <w:pStyle w:val="rtejustify"/>
        <w:spacing w:before="0" w:after="0"/>
        <w:rPr>
          <w:color w:val="000000" w:themeColor="text1"/>
          <w:sz w:val="16"/>
          <w:szCs w:val="16"/>
        </w:rPr>
      </w:pPr>
    </w:p>
    <w:p w14:paraId="5E06DB62" w14:textId="77777777" w:rsidR="0047435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481B3630" w14:textId="77777777" w:rsidR="00474353" w:rsidRPr="00C33834" w:rsidRDefault="0047435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CC0C618" w14:textId="77777777" w:rsidR="004F587F" w:rsidRPr="00C33834" w:rsidRDefault="004F587F"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20 марта 1933 года, и судя по всему — обсудив вопрос с О.Ю. Шмидтом, Куйбышев предложил в предстоящую навигацию повторить сквозное плавание от Архангельска до Владивостока.</w:t>
      </w:r>
    </w:p>
    <w:p w14:paraId="0A7C783D" w14:textId="77777777" w:rsidR="004F587F" w:rsidRPr="00C33834" w:rsidRDefault="004F587F"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«Поход «Сибирякова», — писал В.В. Куйбышев в Политбюро, — открыл новые перспективы в деле освоения и использования Северного морского пути. В настоящем 1933 году необходимо повторить этот поход на одном из ледокольных судов. Наиболее подходящим является строящийся в настоящее время в Дании ледокольный пароход «Лена» (он же — «Челюскин»). С Наркомводом вопрос о передаче «Лены» ГУСМП согласован».</w:t>
      </w:r>
    </w:p>
    <w:p w14:paraId="641D76D4" w14:textId="77777777" w:rsidR="004F587F" w:rsidRPr="00C33834" w:rsidRDefault="004F587F"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Однако подготовленный документ внес в Политбюро не В.В. Куйбышев, а О.Ю. Шмидт. И вновь партийный орган не взял на себя ответственность за столь непредсказуемое по своим последствиям решение. Переадресовав его 31 марта в Совнарком СССР5, который и утвердил его 3 апреля: «1. Предложить Главному управлению Северного морского пути под личным руководством т. Шмидта О.Ю. повторить в 1933 году сплошное плавание по Ледовитому океану. 2. Обязать Главное управление Северного морского пути на том же пароходе выполнить задачу снабжения о. Врангеля (продовольствие, оборудование, персонал радиостанции и т. д.) и вывоз с острова Врангеля пушнины» (20467).</w:t>
      </w:r>
    </w:p>
    <w:p w14:paraId="59648578" w14:textId="77777777" w:rsidR="004F587F" w:rsidRPr="00C33834" w:rsidRDefault="004F587F" w:rsidP="00C33834">
      <w:pPr>
        <w:spacing w:after="0" w:line="240" w:lineRule="auto"/>
        <w:jc w:val="both"/>
        <w:rPr>
          <w:rFonts w:ascii="Times New Roman" w:hAnsi="Times New Roman"/>
          <w:color w:val="0070C0"/>
          <w:sz w:val="16"/>
          <w:szCs w:val="16"/>
        </w:rPr>
      </w:pPr>
    </w:p>
    <w:p w14:paraId="0061405D" w14:textId="77777777" w:rsidR="004F587F" w:rsidRPr="00C33834" w:rsidRDefault="004F587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20 марта 1933 состоялось заседание ПБ и был оформлен протокол № 133</w:t>
      </w:r>
    </w:p>
    <w:p w14:paraId="2DEED540" w14:textId="77777777" w:rsidR="004F587F" w:rsidRPr="00C33834" w:rsidRDefault="004F587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 марта 1933 опросом членов ПБ</w:t>
      </w:r>
    </w:p>
    <w:p w14:paraId="3E77CB33" w14:textId="77777777" w:rsidR="004F587F" w:rsidRPr="00C33834" w:rsidRDefault="004F587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28/5.- Вопрос ОГПУ.</w:t>
      </w:r>
    </w:p>
    <w:p w14:paraId="14BB2851" w14:textId="77777777" w:rsidR="004F587F" w:rsidRPr="00C33834" w:rsidRDefault="004F587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Принять в основном предложение ОГГУ об обосновании трудовых поселков в районах Западной Сибири и Казах</w:t>
      </w:r>
      <w:r w:rsidRPr="00C33834">
        <w:rPr>
          <w:rFonts w:ascii="Times New Roman" w:hAnsi="Times New Roman"/>
          <w:color w:val="0070C0"/>
          <w:sz w:val="16"/>
          <w:szCs w:val="16"/>
        </w:rPr>
        <w:softHyphen/>
        <w:t>стана (на 500 тыс. человек в каждом крае).</w:t>
      </w:r>
    </w:p>
    <w:p w14:paraId="6B065529" w14:textId="77777777" w:rsidR="004F587F" w:rsidRPr="00C33834" w:rsidRDefault="004F587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П сложить комиссии в составе т.т. Ягода (созыв), Межлaука В. И., Благонравова, Чернова, Гринько, Яклвлева, Фомина, Бермана - рассмотреть и произвести проверку заявок ОГПУ, установив окончательно цифры и дать проект поста</w:t>
      </w:r>
      <w:r w:rsidRPr="00C33834">
        <w:rPr>
          <w:rFonts w:ascii="Times New Roman" w:hAnsi="Times New Roman"/>
          <w:color w:val="0070C0"/>
          <w:sz w:val="16"/>
          <w:szCs w:val="16"/>
        </w:rPr>
        <w:softHyphen/>
        <w:t>новления по всему вопросу в целом.</w:t>
      </w:r>
    </w:p>
    <w:p w14:paraId="6CFDE666" w14:textId="77777777" w:rsidR="004F587F" w:rsidRPr="00C33834" w:rsidRDefault="004F587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Срок работы комиссии - 5 дней.</w:t>
      </w:r>
    </w:p>
    <w:p w14:paraId="637CD575" w14:textId="77777777" w:rsidR="004F587F" w:rsidRPr="00C33834" w:rsidRDefault="004F587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т.т.Ягоде, Межлауку В.И., Благонравову, Чернову, Гринько, Яковлеву, Фомину, Берману.</w:t>
      </w:r>
    </w:p>
    <w:p w14:paraId="4715D3D4" w14:textId="77777777" w:rsidR="004F587F" w:rsidRPr="00C33834" w:rsidRDefault="004F587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35/12. – О перерегистрации оружия по СССР</w:t>
      </w:r>
    </w:p>
    <w:p w14:paraId="2B6C3C31" w14:textId="77777777" w:rsidR="004F587F" w:rsidRPr="00C33834" w:rsidRDefault="004F587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Предложить Президиуму ЦИК Союза ССР провести через ЦИК''и Союзных республик следующее изменение ст. 182 УК РСФСР и соответствующих статей Союзных Республик:</w:t>
      </w:r>
    </w:p>
    <w:p w14:paraId="724DE4E9" w14:textId="77777777" w:rsidR="004F587F" w:rsidRPr="00C33834" w:rsidRDefault="004F587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Изготовление, хранение, покупка и сбыт взрывчатых веществ и снарядов, а равно огнестрельного (кроме охотничьего) оружия без надлежащего разрешения влечет за собой лишение свободы на срок до пяти лет, с конфискацией названных веществ, сна</w:t>
      </w:r>
      <w:r w:rsidRPr="00C33834">
        <w:rPr>
          <w:rFonts w:ascii="Times New Roman" w:hAnsi="Times New Roman"/>
          <w:color w:val="0070C0"/>
          <w:sz w:val="16"/>
          <w:szCs w:val="16"/>
        </w:rPr>
        <w:softHyphen/>
        <w:t>рядов и оружия.</w:t>
      </w:r>
    </w:p>
    <w:p w14:paraId="3153B8EE" w14:textId="77777777" w:rsidR="004F587F" w:rsidRPr="00C33834" w:rsidRDefault="004F587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Пересылка по почте и другими способами огнестрельного оружия (не охотничьего), взрыв</w:t>
      </w:r>
      <w:r w:rsidRPr="00C33834">
        <w:rPr>
          <w:rFonts w:ascii="Times New Roman" w:hAnsi="Times New Roman"/>
          <w:color w:val="0070C0"/>
          <w:sz w:val="16"/>
          <w:szCs w:val="16"/>
        </w:rPr>
        <w:softHyphen/>
        <w:t>чатых и легко воспламеняющихся веществ и предметов, как-то: порох, патроны и т.п. - лишение свободы на срок до пяти лет.</w:t>
      </w:r>
    </w:p>
    <w:p w14:paraId="73EA46B8" w14:textId="77777777" w:rsidR="004F587F" w:rsidRPr="00C33834" w:rsidRDefault="004F587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Предложить ОГПУ произвести по всему СССР перерегистрацию оружия, имея ввиду из"ятие наибольшего коли</w:t>
      </w:r>
      <w:r w:rsidRPr="00C33834">
        <w:rPr>
          <w:rFonts w:ascii="Times New Roman" w:hAnsi="Times New Roman"/>
          <w:color w:val="0070C0"/>
          <w:sz w:val="16"/>
          <w:szCs w:val="16"/>
        </w:rPr>
        <w:softHyphen/>
        <w:t>чества оружия у населения и сокращение количества лиц, пользующихся правом приобретения и хранения его.</w:t>
      </w:r>
    </w:p>
    <w:p w14:paraId="7DA7ECE3" w14:textId="77777777" w:rsidR="004F587F" w:rsidRPr="00C33834" w:rsidRDefault="004F587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т.т.Ягоде, Енукидзе, Крыленко (22983).</w:t>
      </w:r>
    </w:p>
    <w:p w14:paraId="2E37BDF9" w14:textId="77777777" w:rsidR="004F587F" w:rsidRPr="00C33834" w:rsidRDefault="004F587F" w:rsidP="00C33834">
      <w:pPr>
        <w:spacing w:after="0" w:line="240" w:lineRule="auto"/>
        <w:jc w:val="both"/>
        <w:rPr>
          <w:rFonts w:ascii="Times New Roman" w:hAnsi="Times New Roman"/>
          <w:color w:val="0070C0"/>
          <w:sz w:val="16"/>
          <w:szCs w:val="16"/>
        </w:rPr>
      </w:pPr>
    </w:p>
    <w:p w14:paraId="56FAA56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марта 1933 было принято решение ЦК ВКП(б) "О строительстве Московского метрополитена" (3481).</w:t>
      </w:r>
    </w:p>
    <w:p w14:paraId="68A7613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78485E4D"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20 марта</w:t>
      </w:r>
      <w:r w:rsidRPr="00C33834">
        <w:rPr>
          <w:rFonts w:ascii="Times New Roman" w:hAnsi="Times New Roman"/>
          <w:color w:val="000000" w:themeColor="text1"/>
          <w:sz w:val="16"/>
          <w:szCs w:val="16"/>
        </w:rPr>
        <w:t xml:space="preserve"> в 1933 году ЦК ВКП(б) принял решение начать строительство Московского метрополитена, выполнив тем самым постановление июньского пленума 1931 года "О строительстве в городе Москве метрополитена с 1933 года". Метро создали в рекордные сроки. Уже 15 мая 1935 года на первой линии из 13 станций открылось движение поездов (15074).</w:t>
      </w:r>
    </w:p>
    <w:p w14:paraId="0B56B772" w14:textId="77777777" w:rsidR="002E6AE0" w:rsidRPr="00C33834" w:rsidRDefault="002E6AE0" w:rsidP="00C33834">
      <w:pPr>
        <w:spacing w:after="0" w:line="240" w:lineRule="auto"/>
        <w:jc w:val="both"/>
        <w:rPr>
          <w:rFonts w:ascii="Times New Roman" w:hAnsi="Times New Roman"/>
          <w:color w:val="000000" w:themeColor="text1"/>
          <w:sz w:val="16"/>
          <w:szCs w:val="16"/>
        </w:rPr>
      </w:pPr>
    </w:p>
    <w:p w14:paraId="18C8537A"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марта 1933</w:t>
      </w:r>
    </w:p>
    <w:p w14:paraId="58373899"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w:t>
      </w:r>
    </w:p>
    <w:p w14:paraId="59833825"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http://sovdoc.rusarchives.ru</w:t>
      </w:r>
    </w:p>
    <w:p w14:paraId="1A0DD93B"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Архив: </w:t>
      </w:r>
    </w:p>
    <w:p w14:paraId="20537498"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РГАСПИ. Ф. 17. Оп. 3. Д. 918. Л. 55-56.</w:t>
      </w:r>
    </w:p>
    <w:p w14:paraId="3CAC9B9F"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 № 13</w:t>
      </w:r>
    </w:p>
    <w:p w14:paraId="44DB09A3"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 107/90 пр. ПБ № 133.</w:t>
      </w:r>
    </w:p>
    <w:p w14:paraId="220D9B1E"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строительстве Московского метрополитена.</w:t>
      </w:r>
    </w:p>
    <w:p w14:paraId="7F048CC2"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ЦК ВКП(б) от 20.III.1933 г.</w:t>
      </w:r>
    </w:p>
    <w:p w14:paraId="6C98FDE3"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Утвердить следующую схему линий Московского метрополитена, разработанную Метростроем и одобренную советской и иностранной экспертизами:</w:t>
      </w:r>
    </w:p>
    <w:p w14:paraId="4450E0C8"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Мясницкий радиус         — 10,0 км</w:t>
      </w:r>
    </w:p>
    <w:p w14:paraId="6DCC211C"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Фрунзенский радиус       —  6,0 км</w:t>
      </w:r>
    </w:p>
    <w:p w14:paraId="4B1F21D0"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Арбатский радиус         —  5,0 км</w:t>
      </w:r>
    </w:p>
    <w:p w14:paraId="0460FF1C"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Тверской радиус          —  9,5 км</w:t>
      </w:r>
    </w:p>
    <w:p w14:paraId="182780C8"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Таганский радиус         — 10,6 км</w:t>
      </w:r>
    </w:p>
    <w:p w14:paraId="3E84478E"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Покровский радиус        —  9,3 км</w:t>
      </w:r>
    </w:p>
    <w:p w14:paraId="73B9F6B0"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Замоскворецкий радиус    —  8,0 км</w:t>
      </w:r>
    </w:p>
    <w:p w14:paraId="4039B18D"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Рогожский радиус         —  9,6 км</w:t>
      </w:r>
    </w:p>
    <w:p w14:paraId="005D528E"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Краснопресненский радиус —  4,5 км</w:t>
      </w:r>
    </w:p>
    <w:p w14:paraId="1734CD62"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Дзержинский радиус      —  7,8 км</w:t>
      </w:r>
    </w:p>
    <w:p w14:paraId="5FB7DA21"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2B380EAB"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80,3 км</w:t>
      </w:r>
    </w:p>
    <w:p w14:paraId="20978AA4"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2. На основании заключения большинства специально-организованных экспертиз советской, английской, французской и, исходя из учета уже накопленного опыта строительства установить, что строительство Московского метрополитена должно производиться путем комбинирования закрытого и открытого способа работ, применительно к конкретным особенностям отдельных участков.</w:t>
      </w:r>
    </w:p>
    <w:p w14:paraId="70AE8B38"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первоочередных линий метрополитена: Сокольники — Крымская площадь, им. Ленина — Смоленский рынок общим протяжением 11,6 км установить 7,4 км закрытым тоннельным способом и 4,2 км открытым способом, а именно по отдельным участкам:</w:t>
      </w:r>
    </w:p>
    <w:p w14:paraId="731FD4C8"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Линия Сокольники — пл. Свердлова.</w:t>
      </w:r>
    </w:p>
    <w:p w14:paraId="2732FD29"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Участок от Красных ворот до площади Свердлова проходится закрытым тоннельным способом. На участке по направлению от Красноворотской площади к Сокольникам, во изменение постановления ЦК ВКП(б) от 8.I.1932 г., применить открытый способ работ, с частичной проходкой этого участка закрытым способом в районе Митьковской ветки.</w:t>
      </w:r>
    </w:p>
    <w:p w14:paraId="6A26D526"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Линия площадь Свердлова — Крымская площадь.</w:t>
      </w:r>
    </w:p>
    <w:p w14:paraId="6ECC090A"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Участок от площади Свердлова до библиотеки им. Ленина проходится закрытым тоннельным способом работ с глубоким заложением. Участок от библиотеки им. Ленина до Крапоткинской площади проходится закрытым тоннельным способом и от Крапоткинской площади до Крымской площади, принимая во внимание незначительность уличного движения по Остоженке и возможность перевода этого движения частично на набережную реки Москвы и на улицу Крапоткина, — открытым способом.</w:t>
      </w:r>
    </w:p>
    <w:p w14:paraId="2483B69A"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Арбатский радиус.</w:t>
      </w:r>
    </w:p>
    <w:p w14:paraId="6C00F00F"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библиотеки им. Ленина до Смоленского рынка, ввиду чрезвычайно, интенсивного уличного движения и невозможности перевода этого движения на другую улицу, вести работы закрытым тоннельным способом.</w:t>
      </w:r>
    </w:p>
    <w:p w14:paraId="7B065F8A"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Установить предельные сроки окончания строительства первоочередных линий метрополитена, вместо 1.I.1934 г. — 1.XII.1934 г.</w:t>
      </w:r>
    </w:p>
    <w:p w14:paraId="3E8C2725"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Капиталовложения на 1933 г. по метрополитену увеличить с 80 млн. руб. до 110 млн. руб. соответственно уменьшив на 30 млн. руб. ассигнование на строительство канала Волга — Москва, с 138 млн. руб. до 108 млн. руб.</w:t>
      </w:r>
    </w:p>
    <w:p w14:paraId="21C69394"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Одобрить решения МК, МГК ВКП(б) и Моссовета о передаче метрострою, сверх ассигнованных 110 млн. руб., уже готовых подсобных предприятий, складов и часть жилфонда общей стоимостью не менее 20 млн. рублей.</w:t>
      </w:r>
    </w:p>
    <w:p w14:paraId="5A186623"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Признать необходимым привлечь на постоянную работу по строительству метрополитена крупных иностранных специалистов в количестве 7 чел., ассигновав на содержание иностранной консультации в 1933 г. — 50.000 руб. валютой.</w:t>
      </w:r>
    </w:p>
    <w:p w14:paraId="75133097"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Разрешить Метрострою в течение 1933 г. командировать заграницу 10 чел. инженеров, для ознакомления со строительством метрополитенов, для чего выделить соответствующие валютные контингенты.</w:t>
      </w:r>
    </w:p>
    <w:p w14:paraId="7C3C15ED"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Считать, что отпущенные Госпланом фонды недостаточны для обеспечения строительства метрополитена.</w:t>
      </w:r>
    </w:p>
    <w:p w14:paraId="282215B7"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Прёдложить СТО в 10</w:t>
      </w:r>
      <w:r w:rsidRPr="00C33834">
        <w:rPr>
          <w:rFonts w:ascii="Times New Roman" w:hAnsi="Times New Roman"/>
          <w:color w:val="000000" w:themeColor="text1"/>
          <w:sz w:val="16"/>
          <w:szCs w:val="16"/>
        </w:rPr>
        <w:noBreakHyphen/>
        <w:t>дневный срок разобрать жалобу Метростроя и увеличить отпуск фондов строительных материалов и оборудования до размеров, полностью обеспечивающих выполнение установленной программы, включив Метрострой в титульный список первоочередных строек.</w:t>
      </w:r>
    </w:p>
    <w:p w14:paraId="3EA7E79F"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Утвердить постановление МК, МГК и Моссовета о конкретных мероприятиях по обеспечению выполнения плана строительства на 1933 г.</w:t>
      </w:r>
    </w:p>
    <w:p w14:paraId="4A6D85F1" w14:textId="77777777" w:rsidR="002E6AE0" w:rsidRPr="00C33834" w:rsidRDefault="002E6AE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ЦК обязывает МГК ВКП(б), Моссовет и руководство Метростроя, на основе решения ЦК и мероприятий, намеченных МК, МГК ВКП(б) и Моссоветом, обеспечить в дальнейшем исправление недостатков строительства, указанных в постановлении МК, МГК и Моссовета, вскрытых в процессе работ 1932 г., в особенности по качественным показателям и добиться лучшей организации труда и установления твердой финансовой дисциплины (18051).</w:t>
      </w:r>
    </w:p>
    <w:p w14:paraId="66B85DD1" w14:textId="77777777" w:rsidR="002E6AE0" w:rsidRPr="00C33834" w:rsidRDefault="002E6AE0" w:rsidP="00C33834">
      <w:pPr>
        <w:spacing w:after="0" w:line="240" w:lineRule="auto"/>
        <w:jc w:val="both"/>
        <w:rPr>
          <w:rFonts w:ascii="Times New Roman" w:hAnsi="Times New Roman"/>
          <w:color w:val="000000" w:themeColor="text1"/>
          <w:sz w:val="16"/>
          <w:szCs w:val="16"/>
        </w:rPr>
      </w:pPr>
    </w:p>
    <w:p w14:paraId="49F41103" w14:textId="77777777" w:rsidR="00BF70BD" w:rsidRPr="00C33834" w:rsidRDefault="00BF70B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и 21 марта 1933 г. после того как Метрострой представил технический проект, Политбюро и Совнарком соответственно опубликовали обширное постановление о строительстве метрополитена.</w:t>
      </w:r>
    </w:p>
    <w:p w14:paraId="333D841F" w14:textId="77777777" w:rsidR="00BF70BD" w:rsidRPr="00C33834" w:rsidRDefault="00BF70B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Высшие инстанции на основе заключений экспертных комиссий и новейшего проекта Метростроя вынесли следующее решение: утвердить схему линий, в основе повторяющую предложенный в ноябре 1931 г. вариант (см. рис. 19, табл. 4), общей протяженностью 80,3 км[45].</w:t>
      </w:r>
    </w:p>
    <w:p w14:paraId="5A025F8B" w14:textId="77777777" w:rsidR="00BF70BD" w:rsidRPr="00C33834" w:rsidRDefault="00BF70B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по поводу способа строительства обосновывалось для каждого отдельного участка: от Сокольников до Красных ворот линия прокладывалась открытым способом, поскольку улицы здесь были достаточной ширины, а геологические условия неблагоприятны для строительства закрытым способом. Последний должен был применяться только у Митьковской эстакады (экспериментальный участок). Между Красными воротами и библиотекой Ленина намечалась прокладка тоннелей глубокого залегания, поскольку этот участок располагался в центральной части города с оживленным уличным движением. От библиотеки Ленина до Кропоткинской пл. стройка должна была вестись снова открытым способом. Последний участок пересекал ул. Остоженка, движение на которой было невелико, и эту улицу можно было миновать по параллельным трассам. Для Арбатского же радиуса предусмотрели закрытый способ, чтобы не направлять оживленное уличное движение по объездным путям.</w:t>
      </w:r>
    </w:p>
    <w:p w14:paraId="28183FDF" w14:textId="77777777" w:rsidR="00BF70BD" w:rsidRPr="00C33834" w:rsidRDefault="00BF70B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окончания первой очереди метро был перенесен с 1 января на 1 декабря 1934 г., одновременно инвестиции на 1933 г. по статье строительства канала Москва-Волга были повышены с 80 до 110 млн. руб. Госплану и Совету труда и обороны было дано указание снабжать Метрострой материалами и оборудованием лучше, чем прежде. Московский комитет партии, Моссовет и Метрострой обязывались устранить недостатки при организации работ, обеспечив также финансовую дисциплину и высокое качество строительства{470} (18299).</w:t>
      </w:r>
    </w:p>
    <w:p w14:paraId="455728D3" w14:textId="77777777" w:rsidR="00BF70BD" w:rsidRPr="00C33834" w:rsidRDefault="00BF70BD" w:rsidP="00C33834">
      <w:pPr>
        <w:spacing w:after="0" w:line="240" w:lineRule="auto"/>
        <w:jc w:val="both"/>
        <w:rPr>
          <w:rFonts w:ascii="Times New Roman" w:hAnsi="Times New Roman"/>
          <w:color w:val="000000" w:themeColor="text1"/>
          <w:sz w:val="16"/>
          <w:szCs w:val="16"/>
        </w:rPr>
      </w:pPr>
    </w:p>
    <w:p w14:paraId="3BC60630" w14:textId="77777777" w:rsidR="00BF70BD" w:rsidRPr="00C33834" w:rsidRDefault="00BF70B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марта 1933 г., Политбюро приняло основополагающее постановление о реорганизации работы на шахтах Донбасса, на которых возникли затруднения. Постановление имело в виду и Метрострой, став основой его реорганизации, хотя прямо в документе об этом не говорилось{471}.Реформа была нацелена на то, чтобы эффективнее наладить работу с помощью механизации, строгого единоначалия, лучшей организации труда, социалистического соревнования, сдельной оплаты на основе норм, разработанных при хронометрическом изучении трудового процесса, перехода к хозрасчету и лучшего снабжения рабочих[46].</w:t>
      </w:r>
    </w:p>
    <w:p w14:paraId="36E8299E" w14:textId="77777777" w:rsidR="00BF70BD" w:rsidRPr="00C33834" w:rsidRDefault="00BF70B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этим была тесно связана четкая организация управленческого аппарата Метростроя. Участки, которые разрослись до громоздкого средостения между центральным аппаратом и строительными объектами, по настоянию Кагановича и Хрущева были ликвидированы, несмотря на сопротивление Ротерта{472}.Основными административными единицами стали теперь шахты (при закрытом способе строительства) и дистанции (открытый способ). Отчасти им было придано новое руководство. С этой целью к строительству метрополитена привлекли опытных горных инженеров из Донбасса и переместили на стройплощадки инженеров из руководящего аппарата{473} (18299).</w:t>
      </w:r>
    </w:p>
    <w:p w14:paraId="0391657F" w14:textId="77777777" w:rsidR="00BF70BD" w:rsidRPr="00C33834" w:rsidRDefault="00BF70BD" w:rsidP="00C33834">
      <w:pPr>
        <w:spacing w:after="0" w:line="240" w:lineRule="auto"/>
        <w:jc w:val="both"/>
        <w:rPr>
          <w:rFonts w:ascii="Times New Roman" w:hAnsi="Times New Roman"/>
          <w:color w:val="000000" w:themeColor="text1"/>
          <w:sz w:val="16"/>
          <w:szCs w:val="16"/>
        </w:rPr>
      </w:pPr>
    </w:p>
    <w:p w14:paraId="7BEF7D7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марта 1933 была введена в строй радиовещательная станция им. Коминтерна, в то время крупнейшая в мире (3960, 111).</w:t>
      </w:r>
    </w:p>
    <w:p w14:paraId="2DAD579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6E06CE9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марта 1933 в Белорусской ССР в р-не с.Тряпичино на территории Афанасьеево-Слободского сельсовета появилась кулацкая банда в составе 5 человек (10687).</w:t>
      </w:r>
    </w:p>
    <w:p w14:paraId="1631602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7F42D9EF" w14:textId="77777777" w:rsidR="0047435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2AFAC3F" w14:textId="77777777" w:rsidR="00474353" w:rsidRPr="00C33834" w:rsidRDefault="0047435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86FC1A1" w14:textId="77777777" w:rsidR="007461D7" w:rsidRPr="00C33834" w:rsidRDefault="007461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20 марта</w:t>
      </w:r>
      <w:r w:rsidRPr="00C33834">
        <w:rPr>
          <w:rFonts w:ascii="Times New Roman" w:hAnsi="Times New Roman"/>
          <w:color w:val="000000" w:themeColor="text1"/>
          <w:sz w:val="16"/>
          <w:szCs w:val="16"/>
        </w:rPr>
        <w:t xml:space="preserve"> 1933 - приведен в исполнение приговор Джузеппе Зангара (Giuseppe Zangara). Каменщик из Италии, получивший американское гражданство, страдал сильными болями в животе. Как выяснилось позднее, они были вызваны спайками желчного пузыря. Боли отразились на психическом здоровье мужчины. Он решил, что в его плохом самочувствии виноват президент США, Херберт Хувер (Herbert Hoover). Однако в стране произошли очередные выборы, и под гнев каменщика попал новый глава страны – Франклин Рузвельт (Franklin Roosevelt). Зангара предпринял попытку застрелить президента во время одного из публичных выступлений. Однако в результате стрельбы Рузвельт не пострадал, но были ранены пять других человек, среди которых был и мэр Чикаго. Через 20 дней мэр скончался от осложнений после ранения в живот, а Джузеппе был приговорен к смертной казни за убийство (15074).</w:t>
      </w:r>
    </w:p>
    <w:p w14:paraId="2264280A" w14:textId="77777777" w:rsidR="007461D7" w:rsidRPr="00C33834" w:rsidRDefault="007461D7" w:rsidP="00C33834">
      <w:pPr>
        <w:spacing w:after="0" w:line="240" w:lineRule="auto"/>
        <w:jc w:val="both"/>
        <w:rPr>
          <w:rFonts w:ascii="Times New Roman" w:hAnsi="Times New Roman"/>
          <w:color w:val="000000" w:themeColor="text1"/>
          <w:sz w:val="16"/>
          <w:szCs w:val="16"/>
        </w:rPr>
      </w:pPr>
    </w:p>
    <w:p w14:paraId="7760C658" w14:textId="77777777" w:rsidR="007461D7" w:rsidRPr="00C33834" w:rsidRDefault="007461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20 марта</w:t>
      </w:r>
      <w:r w:rsidRPr="00C33834">
        <w:rPr>
          <w:rFonts w:ascii="Times New Roman" w:hAnsi="Times New Roman"/>
          <w:color w:val="000000" w:themeColor="text1"/>
          <w:sz w:val="16"/>
          <w:szCs w:val="16"/>
        </w:rPr>
        <w:t xml:space="preserve"> в 1933 году в нацистской Германии под Мюнхеном открыт первый концлагерь - Дахау, в который бросали цыган, евреев, политзаключенных и всех остальных, кто попадал под категорию "нежелательных элементов". С началом мировой войны появится новая разновидность концлагерей - лагеря смерти, в которых уничтожение людей будет поставлено на поток (15074).</w:t>
      </w:r>
    </w:p>
    <w:p w14:paraId="56A61F72" w14:textId="77777777" w:rsidR="007461D7" w:rsidRPr="00C33834" w:rsidRDefault="007461D7" w:rsidP="00C33834">
      <w:pPr>
        <w:spacing w:after="0" w:line="240" w:lineRule="auto"/>
        <w:jc w:val="both"/>
        <w:rPr>
          <w:rFonts w:ascii="Times New Roman" w:hAnsi="Times New Roman"/>
          <w:color w:val="000000" w:themeColor="text1"/>
          <w:sz w:val="16"/>
          <w:szCs w:val="16"/>
        </w:rPr>
      </w:pPr>
    </w:p>
    <w:p w14:paraId="3E112D75" w14:textId="77777777" w:rsidR="00474353" w:rsidRPr="00C33834" w:rsidRDefault="0047435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марта 1933 нацистами создан концлагерь Дахау (4962). В нацистской Германии под Мюнхеном открыт первый концлагерь - Дахау, в который бросали цыган, евреев, политзаключенных и всех остальных, кто попадал под категорию "нежелательных элементов" (4963 ).</w:t>
      </w:r>
    </w:p>
    <w:p w14:paraId="3409C190" w14:textId="77777777" w:rsidR="00474353" w:rsidRPr="00C33834" w:rsidRDefault="0047435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5385E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марта 1933 в Брно Собрание русского "Всеказацкого земледельческого союза" заслушало доклад Мейснера о скором крушении коммунистического строя в СССР (10687).</w:t>
      </w:r>
    </w:p>
    <w:p w14:paraId="2044F1E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1000A527" w14:textId="77777777" w:rsidR="0047435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3CC7D2C" w14:textId="77777777" w:rsidR="00474353" w:rsidRPr="00C33834" w:rsidRDefault="0047435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6EAB6B5" w14:textId="77777777" w:rsidR="00474353" w:rsidRPr="00C33834" w:rsidRDefault="0047435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21 марта 1933 года выписка из протокола № 2 КО</w:t>
      </w:r>
    </w:p>
    <w:p w14:paraId="057020AA" w14:textId="77777777" w:rsidR="00474353" w:rsidRPr="00C33834" w:rsidRDefault="0047435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 очередном заседании КО</w:t>
      </w:r>
    </w:p>
    <w:p w14:paraId="39A1C43E" w14:textId="77777777" w:rsidR="00474353" w:rsidRPr="00C33834" w:rsidRDefault="0047435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заседании КО 2 апреля заслушать вопросы:</w:t>
      </w:r>
    </w:p>
    <w:p w14:paraId="0DF257FE" w14:textId="77777777" w:rsidR="00474353" w:rsidRPr="00C33834" w:rsidRDefault="0047435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Авиация:</w:t>
      </w:r>
    </w:p>
    <w:p w14:paraId="25265A1B" w14:textId="77777777" w:rsidR="00474353" w:rsidRPr="00C33834" w:rsidRDefault="0047435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доклад Меженинова о поездке за границу (Базилевич) (4191, 24).</w:t>
      </w:r>
    </w:p>
    <w:p w14:paraId="4B5B8571" w14:textId="77777777" w:rsidR="00474353" w:rsidRPr="00C33834" w:rsidRDefault="0047435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1B0C6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марта 1933 года выписка из протокола № 2 КО</w:t>
      </w:r>
    </w:p>
    <w:p w14:paraId="55B7A8C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Об очередном заседании КО.</w:t>
      </w:r>
    </w:p>
    <w:p w14:paraId="01D2C09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заседании КО 2 апреля заслушать вопросы:</w:t>
      </w:r>
    </w:p>
    <w:p w14:paraId="0D32788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Авиация:</w:t>
      </w:r>
    </w:p>
    <w:p w14:paraId="6447BF6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 рекордном полете на дальность (7503, 2).</w:t>
      </w:r>
    </w:p>
    <w:p w14:paraId="2F8768E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78D0CFF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марта 1933 года выписка из протокола № 2 КО</w:t>
      </w:r>
    </w:p>
    <w:p w14:paraId="7DC82E3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Об очередном заседании КО.</w:t>
      </w:r>
    </w:p>
    <w:p w14:paraId="03A115C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заседании КО 2 апреля заслушать вопросы:</w:t>
      </w:r>
    </w:p>
    <w:p w14:paraId="55CE00A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Авиация:</w:t>
      </w:r>
    </w:p>
    <w:p w14:paraId="5AFC2D2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 полете в стратосферу (7503, 3).</w:t>
      </w:r>
    </w:p>
    <w:p w14:paraId="175D489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70B6F31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марта 1933 года выписка из протокола № 2 КО</w:t>
      </w:r>
    </w:p>
    <w:p w14:paraId="3598AD9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Авиация.</w:t>
      </w:r>
    </w:p>
    <w:p w14:paraId="3D47896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Поручить комиссии в составе Куйбышева В.В. (председатель), Ворошилова, Тухачевского, Кагановича М.М., Павлуновского, Баранова, Алксниса, Куйбышева, Н. Рассмотреть и доложить КО следующие вопросы:</w:t>
      </w:r>
    </w:p>
    <w:p w14:paraId="7C6E8283" w14:textId="77777777" w:rsidR="00474353" w:rsidRPr="00C33834" w:rsidRDefault="0047435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Механизация аэродромной службы.</w:t>
      </w:r>
    </w:p>
    <w:p w14:paraId="3691DCD8" w14:textId="77777777" w:rsidR="00474353" w:rsidRPr="00C33834" w:rsidRDefault="0047435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Строительство взлетно-посадочных полос и рулежных дорожек к ним на аэродромах.</w:t>
      </w:r>
    </w:p>
    <w:p w14:paraId="14D20AAF" w14:textId="77777777" w:rsidR="00474353" w:rsidRPr="00C33834" w:rsidRDefault="0047435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рациях для тяжелых самолетов.</w:t>
      </w:r>
    </w:p>
    <w:p w14:paraId="58F0A899" w14:textId="77777777" w:rsidR="00474353" w:rsidRPr="00C33834" w:rsidRDefault="0047435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Тормозные колеса.</w:t>
      </w:r>
    </w:p>
    <w:p w14:paraId="2380EB4C" w14:textId="77777777" w:rsidR="00474353" w:rsidRPr="00C33834" w:rsidRDefault="0047435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Разрезные крылья.</w:t>
      </w:r>
    </w:p>
    <w:p w14:paraId="23CF83CD" w14:textId="77777777" w:rsidR="00474353" w:rsidRPr="00C33834" w:rsidRDefault="0047435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 изготовлении автопилотов системы инженера Ниренберга.</w:t>
      </w:r>
    </w:p>
    <w:p w14:paraId="6B0003FF" w14:textId="77777777" w:rsidR="00474353" w:rsidRPr="00C33834" w:rsidRDefault="0047435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 испытании аппарата 1-ЭА "Геликоптер".</w:t>
      </w:r>
    </w:p>
    <w:p w14:paraId="7AA6342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работы – 2-х декадный (7503, 4).</w:t>
      </w:r>
    </w:p>
    <w:p w14:paraId="552B0F2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6FF0854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марта 1933 года вышел Приказ РВС и наркомата тяжелой промышленности</w:t>
      </w:r>
    </w:p>
    <w:p w14:paraId="7935231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N 009:</w:t>
      </w:r>
    </w:p>
    <w:p w14:paraId="069136B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Принять к исполнению перечень заданий в связи с разрешением проблемы вооружения авиации артиллерией и пулеметами.</w:t>
      </w:r>
    </w:p>
    <w:p w14:paraId="0BEC542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Перечень</w:t>
      </w:r>
    </w:p>
    <w:p w14:paraId="0465684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 по обеспечению разработки</w:t>
      </w:r>
    </w:p>
    <w:p w14:paraId="415E859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проблемы вооружения авиации артиллерией и пулеметами.</w:t>
      </w:r>
    </w:p>
    <w:p w14:paraId="6238FB1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Планировка испытаний авиационных систем Курчевского.</w:t>
      </w:r>
    </w:p>
    <w:p w14:paraId="3F0511B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Испытание самолетов вооруженных пушками (ЗЕТ, И-4).</w:t>
      </w:r>
    </w:p>
    <w:p w14:paraId="4084B4E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в НИИ ВВС:</w:t>
      </w:r>
    </w:p>
    <w:p w14:paraId="3E1DCB1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исполнения по самолетам ЗЕТ 15 июля, по самолетам И-4 1 мая.</w:t>
      </w:r>
    </w:p>
    <w:p w14:paraId="1804961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Отстрел пушки АПК-76, установленной на самолете ТБ1 для стрельбы по земным целям.</w:t>
      </w:r>
    </w:p>
    <w:p w14:paraId="02FE78F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НИИ ВВС испытаний в воздухе - срок исполнения 15 августа.</w:t>
      </w:r>
    </w:p>
    <w:p w14:paraId="7773BE0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Установка на самолет Р-6 четырех 76 мм авиационных пушек и прибора управления огнем.</w:t>
      </w:r>
    </w:p>
    <w:p w14:paraId="2E4DD6A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Проведение НИИ ВВС испытаний - срок исполнения 1 ноября.</w:t>
      </w:r>
    </w:p>
    <w:p w14:paraId="7B30B9C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Определение тактических форм применения артиллерийских самолетов.</w:t>
      </w:r>
    </w:p>
    <w:p w14:paraId="175403D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Проведение НИИ ВВС широких опытов по определению тактических форм.</w:t>
      </w:r>
    </w:p>
    <w:p w14:paraId="0D238B4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исполнения 1 ноября.</w:t>
      </w:r>
    </w:p>
    <w:p w14:paraId="27A3ADB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Испытание самолетов, вооруженных 20 мм пушками и крупнокалиберными пулеметами.</w:t>
      </w:r>
    </w:p>
    <w:p w14:paraId="4D4B12E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заводских испытаний самолета МИ3. Предъявление на гос. испытание в НИИ ВВС.</w:t>
      </w:r>
    </w:p>
    <w:p w14:paraId="5421EDB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предъявляется на гос. испытание в двух вариантах:</w:t>
      </w:r>
    </w:p>
    <w:p w14:paraId="34A909E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 двумя крупнокалиберными пулеметами в носовом отсеке.</w:t>
      </w:r>
    </w:p>
    <w:p w14:paraId="53EDB1E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 20 мм пушкой в носовом отсеке.</w:t>
      </w:r>
    </w:p>
    <w:p w14:paraId="60CE62E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исполнения 15 мая.</w:t>
      </w:r>
    </w:p>
    <w:p w14:paraId="68B5010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в НИИ ВВС.</w:t>
      </w:r>
    </w:p>
    <w:p w14:paraId="02F60DF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исполнения:</w:t>
      </w:r>
    </w:p>
    <w:p w14:paraId="34837A9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 самолету типа МИ-З 15 июня.</w:t>
      </w:r>
    </w:p>
    <w:p w14:paraId="3302472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 самолету типа СА-2 1 мая.</w:t>
      </w:r>
    </w:p>
    <w:p w14:paraId="797157C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Испытания 20 м пушек установленных на турель.</w:t>
      </w:r>
    </w:p>
    <w:p w14:paraId="0C420DC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(Мадсен, Эрликон "S" и "L" и обр. 30 г.).</w:t>
      </w:r>
    </w:p>
    <w:p w14:paraId="5D16FE5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в НИИ ВВС.</w:t>
      </w:r>
    </w:p>
    <w:p w14:paraId="5627CC7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исполнения:</w:t>
      </w:r>
    </w:p>
    <w:p w14:paraId="4FDB8C9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Эрликон типа "L" - 15 апреля</w:t>
      </w:r>
    </w:p>
    <w:p w14:paraId="34ACEF1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Пушка обр. 1930 г. - 20 апреля</w:t>
      </w:r>
    </w:p>
    <w:p w14:paraId="695C4F3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Пушка Мадсен - 25 апреля</w:t>
      </w:r>
    </w:p>
    <w:p w14:paraId="1556F9D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Эрликон типа "S" - 30 апреля.</w:t>
      </w:r>
    </w:p>
    <w:p w14:paraId="44BBB4A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Изучение действий снаряда у цели.</w:t>
      </w:r>
    </w:p>
    <w:p w14:paraId="700E34B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Действие изучается по действительной материальной части - собранным самолетам. Калибры в мм: 7,62, 12,7 пулемет; 20, 37, 45 и 76 (с весом снаряда 6,5 и 7,1 кг) пушки, а также система на принципе ДРП - 37, 65, 76 и 100 мм калибра (АПК).</w:t>
      </w:r>
    </w:p>
    <w:p w14:paraId="6C087C2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Снаряды: 12,7 мм бронебойный и бронебойно-трассирующий, 20 мм осколочный и трассирующий, 37 мм и 45 мм - осколочные, 76 мм, осколочный и шрапнель (весом 6,5 кг и 7,1 кг).</w:t>
      </w:r>
    </w:p>
    <w:p w14:paraId="1C910A1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Отдельные задания.</w:t>
      </w:r>
    </w:p>
    <w:p w14:paraId="033CE74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Начальнику ЦАГИ и директору завода N 39 организовать бригаду по вооружению самолетов артиллерией и пулеметами. Срок - 1 апреля.</w:t>
      </w:r>
    </w:p>
    <w:p w14:paraId="528251B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Начальнику ВВС путем созыва совещания подготовить соображения по бронированию самолетов и способам предохранения баков от зажжения (3057,9-12).</w:t>
      </w:r>
    </w:p>
    <w:p w14:paraId="6C866E3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7C3E36E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марта 1933 года начальник ВВС Алкснис писал письмо N 0089сс Ворошилову.</w:t>
      </w:r>
    </w:p>
    <w:p w14:paraId="79CDF5F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состоянии опытного моторо- и самолетостроения.</w:t>
      </w:r>
    </w:p>
    <w:p w14:paraId="6D61024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опытного моторо- и самолетостроения на 1932-34 г.г., утвержденный Правительством 4 июля 1932 года промышленностью не выполняется в обусловленные сроки.</w:t>
      </w:r>
    </w:p>
    <w:p w14:paraId="3DA1550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Срыв плана, в первую очередь идет по моторам, а это в свою очередь влечет за собой срыв плана по самолетам, поскольку все самолеты по плану опытного строительства идут под опытные моторы.</w:t>
      </w:r>
    </w:p>
    <w:p w14:paraId="7146E0E6"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Высокие летные данные иностранных самолетов объясняются не столько аэродинамикой самолетов, сколько каче</w:t>
      </w:r>
      <w:r w:rsidRPr="00C33834">
        <w:rPr>
          <w:rFonts w:ascii="Times New Roman" w:hAnsi="Times New Roman"/>
          <w:color w:val="000000" w:themeColor="text1"/>
          <w:sz w:val="16"/>
          <w:szCs w:val="16"/>
        </w:rPr>
        <w:softHyphen/>
        <w:t>ством мотора. Качество мотора прежде всего зависит от наличия на нем нагнетателя и редуктора.</w:t>
      </w:r>
    </w:p>
    <w:p w14:paraId="472EDA14"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Роль редуктора и особенно нагнетателя в повышении летных данных самолета отчетливо видна из следующей сравнительной таблицы: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843"/>
        <w:gridCol w:w="1701"/>
        <w:gridCol w:w="1701"/>
        <w:gridCol w:w="1701"/>
      </w:tblGrid>
      <w:tr w:rsidR="00F26F01" w:rsidRPr="00C33834" w14:paraId="4BACA62A" w14:textId="77777777">
        <w:tc>
          <w:tcPr>
            <w:tcW w:w="959" w:type="dxa"/>
            <w:tcBorders>
              <w:top w:val="single" w:sz="12" w:space="0" w:color="auto"/>
            </w:tcBorders>
          </w:tcPr>
          <w:p w14:paraId="6B711B4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Самолет</w:t>
            </w:r>
          </w:p>
        </w:tc>
        <w:tc>
          <w:tcPr>
            <w:tcW w:w="1843" w:type="dxa"/>
            <w:tcBorders>
              <w:top w:val="single" w:sz="12" w:space="0" w:color="auto"/>
            </w:tcBorders>
          </w:tcPr>
          <w:p w14:paraId="6D30C08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w:t>
            </w:r>
          </w:p>
        </w:tc>
        <w:tc>
          <w:tcPr>
            <w:tcW w:w="1701" w:type="dxa"/>
            <w:tcBorders>
              <w:top w:val="single" w:sz="12" w:space="0" w:color="auto"/>
            </w:tcBorders>
          </w:tcPr>
          <w:p w14:paraId="02578C9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без редуктора и нагнетателя</w:t>
            </w:r>
          </w:p>
        </w:tc>
        <w:tc>
          <w:tcPr>
            <w:tcW w:w="1701" w:type="dxa"/>
            <w:tcBorders>
              <w:top w:val="single" w:sz="12" w:space="0" w:color="auto"/>
            </w:tcBorders>
          </w:tcPr>
          <w:p w14:paraId="73B9F6B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с редуктором</w:t>
            </w:r>
          </w:p>
        </w:tc>
        <w:tc>
          <w:tcPr>
            <w:tcW w:w="1701" w:type="dxa"/>
            <w:tcBorders>
              <w:top w:val="single" w:sz="12" w:space="0" w:color="auto"/>
            </w:tcBorders>
          </w:tcPr>
          <w:p w14:paraId="403BA81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с нагнетателем до 5000 м</w:t>
            </w:r>
          </w:p>
        </w:tc>
      </w:tr>
      <w:tr w:rsidR="00F26F01" w:rsidRPr="00C33834" w14:paraId="24B70A1B" w14:textId="77777777">
        <w:tc>
          <w:tcPr>
            <w:tcW w:w="959" w:type="dxa"/>
          </w:tcPr>
          <w:p w14:paraId="396F865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1843" w:type="dxa"/>
          </w:tcPr>
          <w:p w14:paraId="0682168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на 5000 м</w:t>
            </w:r>
          </w:p>
        </w:tc>
        <w:tc>
          <w:tcPr>
            <w:tcW w:w="1701" w:type="dxa"/>
          </w:tcPr>
          <w:p w14:paraId="47A6AE6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w:t>
            </w:r>
          </w:p>
        </w:tc>
        <w:tc>
          <w:tcPr>
            <w:tcW w:w="1701" w:type="dxa"/>
          </w:tcPr>
          <w:p w14:paraId="607D873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w:t>
            </w:r>
          </w:p>
        </w:tc>
        <w:tc>
          <w:tcPr>
            <w:tcW w:w="1701" w:type="dxa"/>
          </w:tcPr>
          <w:p w14:paraId="4AB88AF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w:t>
            </w:r>
          </w:p>
        </w:tc>
      </w:tr>
      <w:tr w:rsidR="00F26F01" w:rsidRPr="00C33834" w14:paraId="52C0A380" w14:textId="77777777">
        <w:tc>
          <w:tcPr>
            <w:tcW w:w="959" w:type="dxa"/>
          </w:tcPr>
          <w:p w14:paraId="1D0B7D6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CD5EEB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1701" w:type="dxa"/>
          </w:tcPr>
          <w:p w14:paraId="1632F13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5100</w:t>
            </w:r>
          </w:p>
        </w:tc>
        <w:tc>
          <w:tcPr>
            <w:tcW w:w="1701" w:type="dxa"/>
          </w:tcPr>
          <w:p w14:paraId="3B5BA61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5500</w:t>
            </w:r>
          </w:p>
        </w:tc>
        <w:tc>
          <w:tcPr>
            <w:tcW w:w="1701" w:type="dxa"/>
          </w:tcPr>
          <w:p w14:paraId="45FE95A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7100</w:t>
            </w:r>
          </w:p>
        </w:tc>
      </w:tr>
      <w:tr w:rsidR="00F26F01" w:rsidRPr="00C33834" w14:paraId="17959BE1" w14:textId="77777777">
        <w:tc>
          <w:tcPr>
            <w:tcW w:w="959" w:type="dxa"/>
          </w:tcPr>
          <w:p w14:paraId="434D524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w:t>
            </w:r>
          </w:p>
        </w:tc>
        <w:tc>
          <w:tcPr>
            <w:tcW w:w="1843" w:type="dxa"/>
          </w:tcPr>
          <w:p w14:paraId="085AFD9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на 5000 м</w:t>
            </w:r>
          </w:p>
        </w:tc>
        <w:tc>
          <w:tcPr>
            <w:tcW w:w="1701" w:type="dxa"/>
          </w:tcPr>
          <w:p w14:paraId="25BE298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255</w:t>
            </w:r>
          </w:p>
        </w:tc>
        <w:tc>
          <w:tcPr>
            <w:tcW w:w="1701" w:type="dxa"/>
          </w:tcPr>
          <w:p w14:paraId="0B4BB39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701" w:type="dxa"/>
          </w:tcPr>
          <w:p w14:paraId="7235DE1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320</w:t>
            </w:r>
          </w:p>
        </w:tc>
      </w:tr>
      <w:tr w:rsidR="00F26F01" w:rsidRPr="00C33834" w14:paraId="538929F0" w14:textId="77777777">
        <w:tc>
          <w:tcPr>
            <w:tcW w:w="959" w:type="dxa"/>
            <w:tcBorders>
              <w:bottom w:val="single" w:sz="12" w:space="0" w:color="auto"/>
            </w:tcBorders>
          </w:tcPr>
          <w:p w14:paraId="6189CEE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bottom w:val="single" w:sz="12" w:space="0" w:color="auto"/>
            </w:tcBorders>
          </w:tcPr>
          <w:p w14:paraId="7ED2FDF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1701" w:type="dxa"/>
            <w:tcBorders>
              <w:bottom w:val="single" w:sz="12" w:space="0" w:color="auto"/>
            </w:tcBorders>
          </w:tcPr>
          <w:p w14:paraId="7F6586E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7000</w:t>
            </w:r>
          </w:p>
        </w:tc>
        <w:tc>
          <w:tcPr>
            <w:tcW w:w="1701" w:type="dxa"/>
            <w:tcBorders>
              <w:bottom w:val="single" w:sz="12" w:space="0" w:color="auto"/>
            </w:tcBorders>
          </w:tcPr>
          <w:p w14:paraId="74F44EB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bottom w:val="single" w:sz="12" w:space="0" w:color="auto"/>
            </w:tcBorders>
          </w:tcPr>
          <w:p w14:paraId="5B7C886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8500</w:t>
            </w:r>
          </w:p>
        </w:tc>
      </w:tr>
    </w:tbl>
    <w:p w14:paraId="501AAC3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Строящийся нами серийный мотор М34 без нагнетателя и редуктора по своей мощности и малому удельному весу на земле может быть отнесен к разряду лучших заграничных моторов. Но если сравнить его с лучшими заграничными моторами на боевой высоте, т.е. на 5000 м, то он оказывается по своим качествам ниже средних современных заграничных моторов (т.к. без редуктора и нагнетателя).</w:t>
      </w:r>
    </w:p>
    <w:p w14:paraId="2A4D6D2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наши тяжелые бомбардировщики и разведчики должны были базироваться на моторе М34 с нагнетателем и редуктором. Но М34 мы получаем без нагнетателя и редуктора.</w:t>
      </w:r>
    </w:p>
    <w:p w14:paraId="776173B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Опытные образцы истребителей по плану должны обеспечить моторы М38, М58 и М32 - все с нагнетателем. На сверх тяжелый бомбовоз ТБ-6, который выйдет в конце 1934 года по плану предусмотрено установить моторы М-44 по 2000 л.с. с нагнетателями.</w:t>
      </w:r>
    </w:p>
    <w:p w14:paraId="70A0372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 одного из перечисленных моторов на сегодняшний день мы не имеем, хотя по плану срок выхода первых трех моторов был в 1932 году. Все эти моторы являлись главнейшими и от их выпуска зависит выполнение плана опытного самолетостроения.</w:t>
      </w:r>
    </w:p>
    <w:p w14:paraId="4D718626"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Если промышленность не справится в кратчайший срок с выпуском мотора М-34 с нагнетателем и М-34 с редуктором, М38 с нагнетателем, М58 с нагнетателем, М32 с редуктором и нагнетателем и М-14 с нагнетагелец, то фактически план опытного самолет остр будет сорван, и в таком случае наша отсталость угрожающе увеличится, ибо все без исключения воздушные флоты переходят на моторы с нагнетателем и редуктором.</w:t>
      </w:r>
    </w:p>
    <w:p w14:paraId="173440B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Если строительство сухопутных самолетов зависит в основном от состояния моторостроения, то по морским самолетам невыполнение плана опытного строительства объясняется не только отставанием моторостроения, но и разбросанность конструкторских сил и недостаточным вниманием делу морского самолетостроения со стороны ЦАГИ.</w:t>
      </w:r>
    </w:p>
    <w:p w14:paraId="4AA2747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Считаю необходимым провести следующие мероприятия:</w:t>
      </w:r>
    </w:p>
    <w:p w14:paraId="555A822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Доложить КО о невыполнении промышленностью плана по моторам и просить установить следующие предельные жесткие сроки предъявления главнейших моторов на гос.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1685"/>
        <w:gridCol w:w="1685"/>
      </w:tblGrid>
      <w:tr w:rsidR="00F26F01" w:rsidRPr="00C33834" w14:paraId="7F1A47E0" w14:textId="77777777">
        <w:tc>
          <w:tcPr>
            <w:tcW w:w="2818" w:type="dxa"/>
          </w:tcPr>
          <w:p w14:paraId="0C3FB6E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мотора М34 с нагнетателем до 3500 м</w:t>
            </w:r>
          </w:p>
        </w:tc>
        <w:tc>
          <w:tcPr>
            <w:tcW w:w="1685" w:type="dxa"/>
          </w:tcPr>
          <w:p w14:paraId="0357D61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июля 1933 года</w:t>
            </w:r>
          </w:p>
        </w:tc>
        <w:tc>
          <w:tcPr>
            <w:tcW w:w="1685" w:type="dxa"/>
          </w:tcPr>
          <w:p w14:paraId="5BBD0FF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- 1 октября</w:t>
            </w:r>
          </w:p>
        </w:tc>
      </w:tr>
      <w:tr w:rsidR="00F26F01" w:rsidRPr="00C33834" w14:paraId="622610DF" w14:textId="77777777">
        <w:tc>
          <w:tcPr>
            <w:tcW w:w="2818" w:type="dxa"/>
          </w:tcPr>
          <w:p w14:paraId="2E4451B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мотора М34 с редуктором</w:t>
            </w:r>
          </w:p>
        </w:tc>
        <w:tc>
          <w:tcPr>
            <w:tcW w:w="1685" w:type="dxa"/>
          </w:tcPr>
          <w:p w14:paraId="0DFF9E5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апреля 1933 года</w:t>
            </w:r>
          </w:p>
        </w:tc>
        <w:tc>
          <w:tcPr>
            <w:tcW w:w="1685" w:type="dxa"/>
          </w:tcPr>
          <w:p w14:paraId="226A46A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апреля - 1 мая</w:t>
            </w:r>
          </w:p>
        </w:tc>
      </w:tr>
      <w:tr w:rsidR="00F26F01" w:rsidRPr="00C33834" w14:paraId="2E660028" w14:textId="77777777">
        <w:tc>
          <w:tcPr>
            <w:tcW w:w="2818" w:type="dxa"/>
          </w:tcPr>
          <w:p w14:paraId="6962136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мотора М38 с нагнетателем</w:t>
            </w:r>
          </w:p>
        </w:tc>
        <w:tc>
          <w:tcPr>
            <w:tcW w:w="1685" w:type="dxa"/>
          </w:tcPr>
          <w:p w14:paraId="7290235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года</w:t>
            </w:r>
          </w:p>
        </w:tc>
        <w:tc>
          <w:tcPr>
            <w:tcW w:w="1685" w:type="dxa"/>
          </w:tcPr>
          <w:p w14:paraId="1EA8021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- 1 сентября</w:t>
            </w:r>
          </w:p>
        </w:tc>
      </w:tr>
      <w:tr w:rsidR="00F26F01" w:rsidRPr="00C33834" w14:paraId="1583027E" w14:textId="77777777">
        <w:tc>
          <w:tcPr>
            <w:tcW w:w="2818" w:type="dxa"/>
          </w:tcPr>
          <w:p w14:paraId="1A20CE6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мотора М58 с нагнетателем</w:t>
            </w:r>
          </w:p>
        </w:tc>
        <w:tc>
          <w:tcPr>
            <w:tcW w:w="1685" w:type="dxa"/>
          </w:tcPr>
          <w:p w14:paraId="779B376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года</w:t>
            </w:r>
          </w:p>
        </w:tc>
        <w:tc>
          <w:tcPr>
            <w:tcW w:w="1685" w:type="dxa"/>
          </w:tcPr>
          <w:p w14:paraId="18A88F0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- 1 июля</w:t>
            </w:r>
          </w:p>
        </w:tc>
      </w:tr>
      <w:tr w:rsidR="00F26F01" w:rsidRPr="00C33834" w14:paraId="08C2676E" w14:textId="77777777">
        <w:tc>
          <w:tcPr>
            <w:tcW w:w="2818" w:type="dxa"/>
          </w:tcPr>
          <w:p w14:paraId="5E03492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мотора М32 с нагнетателем и редуктором</w:t>
            </w:r>
          </w:p>
        </w:tc>
        <w:tc>
          <w:tcPr>
            <w:tcW w:w="1685" w:type="dxa"/>
          </w:tcPr>
          <w:p w14:paraId="3F1B466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1933 года</w:t>
            </w:r>
          </w:p>
        </w:tc>
        <w:tc>
          <w:tcPr>
            <w:tcW w:w="1685" w:type="dxa"/>
          </w:tcPr>
          <w:p w14:paraId="146884F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августа - 15 сентября</w:t>
            </w:r>
          </w:p>
        </w:tc>
      </w:tr>
      <w:tr w:rsidR="00F26F01" w:rsidRPr="00C33834" w14:paraId="35B4B6E3" w14:textId="77777777">
        <w:tc>
          <w:tcPr>
            <w:tcW w:w="2818" w:type="dxa"/>
          </w:tcPr>
          <w:p w14:paraId="25069D1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мотора М44 с нагнетателем</w:t>
            </w:r>
          </w:p>
        </w:tc>
        <w:tc>
          <w:tcPr>
            <w:tcW w:w="1685" w:type="dxa"/>
          </w:tcPr>
          <w:p w14:paraId="09C427D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1933 года</w:t>
            </w:r>
          </w:p>
        </w:tc>
        <w:tc>
          <w:tcPr>
            <w:tcW w:w="1685" w:type="dxa"/>
          </w:tcPr>
          <w:p w14:paraId="4538F8F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заводские испытания</w:t>
            </w:r>
          </w:p>
        </w:tc>
      </w:tr>
    </w:tbl>
    <w:p w14:paraId="70D8E60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Для решения вопроса с выключающимся нагнетателем, высотностью не менее 5000 м, заказать фирме РАТО образцы нагнетателей к мотору М34, М32, М44.</w:t>
      </w:r>
    </w:p>
    <w:p w14:paraId="4BFE546B"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Для форсировки производства моторов закупить техпомощь на методику и цроцесс заливки подшипников у заграничной фирмы (Ролльс-Ройс).</w:t>
      </w:r>
    </w:p>
    <w:p w14:paraId="76F962A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Доложить КО о срыве сроков по самолетам и просить установить нижеследующие жесткие сроки выпуска главнейших опытных самолетов на гос.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8"/>
        <w:gridCol w:w="1695"/>
        <w:gridCol w:w="1695"/>
      </w:tblGrid>
      <w:tr w:rsidR="00F26F01" w:rsidRPr="00C33834" w14:paraId="7616F55B" w14:textId="77777777">
        <w:tc>
          <w:tcPr>
            <w:tcW w:w="2808" w:type="dxa"/>
          </w:tcPr>
          <w:p w14:paraId="584AECC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ТБ4-6М34</w:t>
            </w:r>
          </w:p>
        </w:tc>
        <w:tc>
          <w:tcPr>
            <w:tcW w:w="1695" w:type="dxa"/>
          </w:tcPr>
          <w:p w14:paraId="4D6A39A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мая 1933 года</w:t>
            </w:r>
          </w:p>
        </w:tc>
        <w:tc>
          <w:tcPr>
            <w:tcW w:w="1695" w:type="dxa"/>
          </w:tcPr>
          <w:p w14:paraId="7F33823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w:t>
            </w:r>
          </w:p>
        </w:tc>
      </w:tr>
      <w:tr w:rsidR="00F26F01" w:rsidRPr="00C33834" w14:paraId="3CCE2DE5" w14:textId="77777777">
        <w:tc>
          <w:tcPr>
            <w:tcW w:w="2808" w:type="dxa"/>
          </w:tcPr>
          <w:p w14:paraId="69CF969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МИ3-2М34</w:t>
            </w:r>
          </w:p>
        </w:tc>
        <w:tc>
          <w:tcPr>
            <w:tcW w:w="1695" w:type="dxa"/>
          </w:tcPr>
          <w:p w14:paraId="5BD2479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мая 1933 года</w:t>
            </w:r>
          </w:p>
        </w:tc>
        <w:tc>
          <w:tcPr>
            <w:tcW w:w="1695" w:type="dxa"/>
          </w:tcPr>
          <w:p w14:paraId="2D12944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w:t>
            </w:r>
          </w:p>
        </w:tc>
      </w:tr>
      <w:tr w:rsidR="00F26F01" w:rsidRPr="00C33834" w14:paraId="1619240E" w14:textId="77777777">
        <w:tc>
          <w:tcPr>
            <w:tcW w:w="2808" w:type="dxa"/>
          </w:tcPr>
          <w:p w14:paraId="4CC3917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 с иностранным мотором</w:t>
            </w:r>
          </w:p>
        </w:tc>
        <w:tc>
          <w:tcPr>
            <w:tcW w:w="1695" w:type="dxa"/>
          </w:tcPr>
          <w:p w14:paraId="05AF816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года</w:t>
            </w:r>
          </w:p>
        </w:tc>
        <w:tc>
          <w:tcPr>
            <w:tcW w:w="1695" w:type="dxa"/>
          </w:tcPr>
          <w:p w14:paraId="3905299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июня</w:t>
            </w:r>
          </w:p>
        </w:tc>
      </w:tr>
      <w:tr w:rsidR="00F26F01" w:rsidRPr="00C33834" w14:paraId="43AE634C" w14:textId="77777777">
        <w:tc>
          <w:tcPr>
            <w:tcW w:w="2808" w:type="dxa"/>
          </w:tcPr>
          <w:p w14:paraId="5D88E84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с М38 или М58</w:t>
            </w:r>
          </w:p>
        </w:tc>
        <w:tc>
          <w:tcPr>
            <w:tcW w:w="1695" w:type="dxa"/>
          </w:tcPr>
          <w:p w14:paraId="6843D8A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1933 года</w:t>
            </w:r>
          </w:p>
        </w:tc>
        <w:tc>
          <w:tcPr>
            <w:tcW w:w="1695" w:type="dxa"/>
          </w:tcPr>
          <w:p w14:paraId="0DDBC8A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- 1 декабря</w:t>
            </w:r>
          </w:p>
        </w:tc>
      </w:tr>
      <w:tr w:rsidR="00F26F01" w:rsidRPr="00C33834" w14:paraId="4EC59C4C" w14:textId="77777777">
        <w:tc>
          <w:tcPr>
            <w:tcW w:w="2808" w:type="dxa"/>
          </w:tcPr>
          <w:p w14:paraId="14243B4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И15 с М38 или М58</w:t>
            </w:r>
          </w:p>
        </w:tc>
        <w:tc>
          <w:tcPr>
            <w:tcW w:w="1695" w:type="dxa"/>
          </w:tcPr>
          <w:p w14:paraId="4D0285A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 года</w:t>
            </w:r>
          </w:p>
        </w:tc>
        <w:tc>
          <w:tcPr>
            <w:tcW w:w="1695" w:type="dxa"/>
          </w:tcPr>
          <w:p w14:paraId="74CF463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госиспытания через 5 месяцев после получения мотора, прошедшего госиспытания</w:t>
            </w:r>
          </w:p>
        </w:tc>
      </w:tr>
      <w:tr w:rsidR="00F26F01" w:rsidRPr="00C33834" w14:paraId="0376C00C" w14:textId="77777777">
        <w:tc>
          <w:tcPr>
            <w:tcW w:w="2808" w:type="dxa"/>
          </w:tcPr>
          <w:p w14:paraId="0E09F43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ДИ6 с М32 или М58</w:t>
            </w:r>
          </w:p>
        </w:tc>
        <w:tc>
          <w:tcPr>
            <w:tcW w:w="1695" w:type="dxa"/>
          </w:tcPr>
          <w:p w14:paraId="2EEB9FD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1933 года</w:t>
            </w:r>
          </w:p>
        </w:tc>
        <w:tc>
          <w:tcPr>
            <w:tcW w:w="1695" w:type="dxa"/>
          </w:tcPr>
          <w:p w14:paraId="205F4F6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госиспытания через 5 месяцев после получения мотора, прошедшего госиспытания</w:t>
            </w:r>
          </w:p>
        </w:tc>
      </w:tr>
      <w:tr w:rsidR="00F26F01" w:rsidRPr="00C33834" w14:paraId="6D21D581" w14:textId="77777777">
        <w:tc>
          <w:tcPr>
            <w:tcW w:w="2808" w:type="dxa"/>
          </w:tcPr>
          <w:p w14:paraId="7DB24FB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ЛР-М34</w:t>
            </w:r>
          </w:p>
        </w:tc>
        <w:tc>
          <w:tcPr>
            <w:tcW w:w="1695" w:type="dxa"/>
          </w:tcPr>
          <w:p w14:paraId="3CA92AF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1933 года</w:t>
            </w:r>
          </w:p>
        </w:tc>
        <w:tc>
          <w:tcPr>
            <w:tcW w:w="1695" w:type="dxa"/>
          </w:tcPr>
          <w:p w14:paraId="40E35AD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w:t>
            </w:r>
          </w:p>
        </w:tc>
      </w:tr>
      <w:tr w:rsidR="00F26F01" w:rsidRPr="00C33834" w14:paraId="0450975E" w14:textId="77777777">
        <w:tc>
          <w:tcPr>
            <w:tcW w:w="2808" w:type="dxa"/>
          </w:tcPr>
          <w:p w14:paraId="4608B46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ЛР-М34 с нагнетателем</w:t>
            </w:r>
          </w:p>
        </w:tc>
        <w:tc>
          <w:tcPr>
            <w:tcW w:w="1695" w:type="dxa"/>
          </w:tcPr>
          <w:p w14:paraId="56FE3EC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сентября 1933 года</w:t>
            </w:r>
          </w:p>
        </w:tc>
        <w:tc>
          <w:tcPr>
            <w:tcW w:w="1695" w:type="dxa"/>
          </w:tcPr>
          <w:p w14:paraId="72BAD37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w:t>
            </w:r>
          </w:p>
        </w:tc>
      </w:tr>
      <w:tr w:rsidR="00F26F01" w:rsidRPr="00C33834" w14:paraId="155E8FED" w14:textId="77777777">
        <w:tc>
          <w:tcPr>
            <w:tcW w:w="2808" w:type="dxa"/>
          </w:tcPr>
          <w:p w14:paraId="22CB97B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МДР3бис</w:t>
            </w:r>
          </w:p>
        </w:tc>
        <w:tc>
          <w:tcPr>
            <w:tcW w:w="1695" w:type="dxa"/>
          </w:tcPr>
          <w:p w14:paraId="7788F60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года</w:t>
            </w:r>
          </w:p>
        </w:tc>
        <w:tc>
          <w:tcPr>
            <w:tcW w:w="1695" w:type="dxa"/>
          </w:tcPr>
          <w:p w14:paraId="5C53C94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апреля - 1934</w:t>
            </w:r>
          </w:p>
        </w:tc>
      </w:tr>
      <w:tr w:rsidR="00F26F01" w:rsidRPr="00C33834" w14:paraId="148AB747" w14:textId="77777777">
        <w:tc>
          <w:tcPr>
            <w:tcW w:w="2808" w:type="dxa"/>
          </w:tcPr>
          <w:p w14:paraId="67C441B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МБР2 эталон</w:t>
            </w:r>
          </w:p>
        </w:tc>
        <w:tc>
          <w:tcPr>
            <w:tcW w:w="1695" w:type="dxa"/>
          </w:tcPr>
          <w:p w14:paraId="6F1A531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мая 1933 года (3516,1-2)</w:t>
            </w:r>
          </w:p>
        </w:tc>
        <w:tc>
          <w:tcPr>
            <w:tcW w:w="1695" w:type="dxa"/>
          </w:tcPr>
          <w:p w14:paraId="5FF3518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марта 1934</w:t>
            </w:r>
          </w:p>
        </w:tc>
      </w:tr>
    </w:tbl>
    <w:p w14:paraId="28A5EA7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Просить КО обязать Нач. ГУАП П.И.Б. перестроить работу своих КБ так, чтобы сроки подачи на гос. испытания перечисленных выше моторов и самолетов были строго выдержаны... (2305).</w:t>
      </w:r>
    </w:p>
    <w:p w14:paraId="0020E8F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099630B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марта 1933 Нач. ВВС Алкснис писал НКВМ К.Е.В. письмо N 0089сс о состоянии опытного моторо- и самолетостроения:</w:t>
      </w:r>
    </w:p>
    <w:p w14:paraId="61D8707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опытного моторо- и самолетостроения на 1932-1934, утвержденный Правительством 4 июля 1932, промышленностью не выполняется в установленные сроки.</w:t>
      </w:r>
    </w:p>
    <w:p w14:paraId="475E869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Срыв плана в первую очередь идет по моторам, а это, в свою очередь, влечет за собой срыв плана по самолетам, поскольку все самолеты по плану опытного строительства идут под опытные моторы...</w:t>
      </w:r>
    </w:p>
    <w:p w14:paraId="105E40D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Строящийся нами серийный мотор М-34 без нагнетателя и редуктора по своей мощности и малому удельному весу на земле м.б. отнесен к разряду лучших заграничных моторов. Но если сравнить его с лучшими заграничными моторами на боевой высоте, т.е. 5000 м, то он оказывается по своим качествам ниже средних современных заграничных моторов...</w:t>
      </w:r>
    </w:p>
    <w:p w14:paraId="0AE99CB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Для решения вопроса с включающимся нагнетателем высотностью не менее 5000 м, заказать фирме Рато образец нагнетателя к М-34, М-32 и М-44...</w:t>
      </w:r>
    </w:p>
    <w:p w14:paraId="3F2D1B6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Доложить КО о срыве сроков по самолетам и просить установить нижеследующие жесткие сроки выпуска главных опытных самолетов на гос.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F26F01" w:rsidRPr="00C33834" w14:paraId="160681AC" w14:textId="77777777">
        <w:tc>
          <w:tcPr>
            <w:tcW w:w="2818" w:type="dxa"/>
          </w:tcPr>
          <w:p w14:paraId="4081F85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 6М-34</w:t>
            </w:r>
          </w:p>
        </w:tc>
        <w:tc>
          <w:tcPr>
            <w:tcW w:w="2818" w:type="dxa"/>
          </w:tcPr>
          <w:p w14:paraId="55220AD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15.05.33/01.08.33 (вписано чернилами)</w:t>
            </w:r>
          </w:p>
        </w:tc>
      </w:tr>
      <w:tr w:rsidR="00F26F01" w:rsidRPr="00C33834" w14:paraId="04539746" w14:textId="77777777">
        <w:tc>
          <w:tcPr>
            <w:tcW w:w="2818" w:type="dxa"/>
          </w:tcPr>
          <w:p w14:paraId="12A9535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 2М-34</w:t>
            </w:r>
          </w:p>
        </w:tc>
        <w:tc>
          <w:tcPr>
            <w:tcW w:w="2818" w:type="dxa"/>
          </w:tcPr>
          <w:p w14:paraId="04EFF34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15.05.33/01.06.33</w:t>
            </w:r>
          </w:p>
        </w:tc>
      </w:tr>
      <w:tr w:rsidR="00F26F01" w:rsidRPr="00C33834" w14:paraId="7E05933C" w14:textId="77777777">
        <w:tc>
          <w:tcPr>
            <w:tcW w:w="2818" w:type="dxa"/>
          </w:tcPr>
          <w:p w14:paraId="15DF14A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с ин. мот.</w:t>
            </w:r>
          </w:p>
        </w:tc>
        <w:tc>
          <w:tcPr>
            <w:tcW w:w="2818" w:type="dxa"/>
          </w:tcPr>
          <w:p w14:paraId="2A28E5D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01.05.33/15.06.33</w:t>
            </w:r>
          </w:p>
        </w:tc>
      </w:tr>
      <w:tr w:rsidR="00F26F01" w:rsidRPr="00C33834" w14:paraId="0007CEB7" w14:textId="77777777">
        <w:tc>
          <w:tcPr>
            <w:tcW w:w="2818" w:type="dxa"/>
          </w:tcPr>
          <w:p w14:paraId="36EE5ED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М-38/М-58</w:t>
            </w:r>
          </w:p>
        </w:tc>
        <w:tc>
          <w:tcPr>
            <w:tcW w:w="2818" w:type="dxa"/>
          </w:tcPr>
          <w:p w14:paraId="71B9CD59"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01.07.33/01.11.33</w:t>
            </w:r>
          </w:p>
        </w:tc>
      </w:tr>
      <w:tr w:rsidR="00F26F01" w:rsidRPr="00C33834" w14:paraId="461AECAF" w14:textId="77777777">
        <w:tc>
          <w:tcPr>
            <w:tcW w:w="2818" w:type="dxa"/>
          </w:tcPr>
          <w:p w14:paraId="4691EDD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И-15 РЦ</w:t>
            </w:r>
          </w:p>
        </w:tc>
        <w:tc>
          <w:tcPr>
            <w:tcW w:w="2818" w:type="dxa"/>
          </w:tcPr>
          <w:p w14:paraId="675F17A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01.10.33/</w:t>
            </w:r>
          </w:p>
        </w:tc>
      </w:tr>
      <w:tr w:rsidR="00F26F01" w:rsidRPr="00C33834" w14:paraId="11BF5FD5" w14:textId="77777777">
        <w:tc>
          <w:tcPr>
            <w:tcW w:w="2818" w:type="dxa"/>
          </w:tcPr>
          <w:p w14:paraId="11F6C3F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И-15 М-38/М-44</w:t>
            </w:r>
          </w:p>
        </w:tc>
        <w:tc>
          <w:tcPr>
            <w:tcW w:w="2818" w:type="dxa"/>
          </w:tcPr>
          <w:p w14:paraId="42C81AF7"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01.10.33/+ 5 мес. после получ. мотора</w:t>
            </w:r>
          </w:p>
        </w:tc>
      </w:tr>
      <w:tr w:rsidR="00F26F01" w:rsidRPr="00C33834" w14:paraId="5E19D59A" w14:textId="77777777">
        <w:tc>
          <w:tcPr>
            <w:tcW w:w="2818" w:type="dxa"/>
          </w:tcPr>
          <w:p w14:paraId="75CC29A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ДИ-6 М-32/М-58</w:t>
            </w:r>
          </w:p>
        </w:tc>
        <w:tc>
          <w:tcPr>
            <w:tcW w:w="2818" w:type="dxa"/>
          </w:tcPr>
          <w:p w14:paraId="346692C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01.11.33/</w:t>
            </w:r>
          </w:p>
        </w:tc>
      </w:tr>
      <w:tr w:rsidR="00F26F01" w:rsidRPr="00C33834" w14:paraId="6231EF6D" w14:textId="77777777">
        <w:tc>
          <w:tcPr>
            <w:tcW w:w="2818" w:type="dxa"/>
          </w:tcPr>
          <w:p w14:paraId="202451B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ЛР М-34</w:t>
            </w:r>
          </w:p>
        </w:tc>
        <w:tc>
          <w:tcPr>
            <w:tcW w:w="2818" w:type="dxa"/>
          </w:tcPr>
          <w:p w14:paraId="2C5F61A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01.08.33/01.09.33</w:t>
            </w:r>
          </w:p>
        </w:tc>
      </w:tr>
      <w:tr w:rsidR="00F26F01" w:rsidRPr="00C33834" w14:paraId="6606B270" w14:textId="77777777">
        <w:tc>
          <w:tcPr>
            <w:tcW w:w="2818" w:type="dxa"/>
          </w:tcPr>
          <w:p w14:paraId="30BB056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ЛР М-34Н</w:t>
            </w:r>
          </w:p>
        </w:tc>
        <w:tc>
          <w:tcPr>
            <w:tcW w:w="2818" w:type="dxa"/>
          </w:tcPr>
          <w:p w14:paraId="11CC4F3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15.09.33/01.12.33</w:t>
            </w:r>
          </w:p>
        </w:tc>
      </w:tr>
      <w:tr w:rsidR="00F26F01" w:rsidRPr="00C33834" w14:paraId="3861EAF3" w14:textId="77777777">
        <w:tc>
          <w:tcPr>
            <w:tcW w:w="2818" w:type="dxa"/>
          </w:tcPr>
          <w:p w14:paraId="29F84FE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МДР-3бис</w:t>
            </w:r>
          </w:p>
        </w:tc>
        <w:tc>
          <w:tcPr>
            <w:tcW w:w="2818" w:type="dxa"/>
          </w:tcPr>
          <w:p w14:paraId="361E02E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01.09.33/01.04.34</w:t>
            </w:r>
          </w:p>
        </w:tc>
      </w:tr>
      <w:tr w:rsidR="00F26F01" w:rsidRPr="00C33834" w14:paraId="1529B4C7" w14:textId="77777777">
        <w:tc>
          <w:tcPr>
            <w:tcW w:w="2818" w:type="dxa"/>
          </w:tcPr>
          <w:p w14:paraId="1F7F4B5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МБР-2 эталон</w:t>
            </w:r>
          </w:p>
        </w:tc>
        <w:tc>
          <w:tcPr>
            <w:tcW w:w="2818" w:type="dxa"/>
          </w:tcPr>
          <w:p w14:paraId="717AF58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15.05.33/01.03.34</w:t>
            </w:r>
          </w:p>
        </w:tc>
      </w:tr>
    </w:tbl>
    <w:p w14:paraId="7C08F87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Просить КО обязать Нач. ГУАП П.И.Б. перестроить работу своих КБ так, чтобы сроки подачи на гос. испытания перечисленных выше моторов и самолетов были строго выдержаны (2305).</w:t>
      </w:r>
    </w:p>
    <w:p w14:paraId="7F3062E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p>
    <w:p w14:paraId="7E4E9C44"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lastRenderedPageBreak/>
        <w:t>21 марта 1933 г.</w:t>
      </w:r>
      <w:r w:rsidRPr="00C33834">
        <w:rPr>
          <w:rFonts w:ascii="Times New Roman" w:hAnsi="Times New Roman"/>
          <w:color w:val="000000" w:themeColor="text1"/>
          <w:sz w:val="16"/>
          <w:szCs w:val="16"/>
        </w:rPr>
        <w:t>Докладная записка начальника Военно-воздушных сил РККА Я. И. Алксниса наркому по военным и морским делам СССР и председателю Реввоенсовета СССР К. Е. Ворошилову о ходе выполнения плана опытного моторо- и самолетостроения на 1932-1934 гг.</w:t>
      </w:r>
    </w:p>
    <w:p w14:paraId="28CDDC02"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Совершенно секретно.</w:t>
      </w:r>
    </w:p>
    <w:p w14:paraId="7C7E0394" w14:textId="77777777" w:rsidR="00116626" w:rsidRPr="00C33834" w:rsidRDefault="00116626" w:rsidP="00C33834">
      <w:pPr>
        <w:pStyle w:val="rtejustify"/>
        <w:spacing w:before="0" w:after="0"/>
        <w:rPr>
          <w:color w:val="000000" w:themeColor="text1"/>
          <w:sz w:val="16"/>
          <w:szCs w:val="16"/>
        </w:rPr>
      </w:pPr>
      <w:r w:rsidRPr="00C33834">
        <w:rPr>
          <w:color w:val="000000" w:themeColor="text1"/>
          <w:sz w:val="16"/>
          <w:szCs w:val="16"/>
        </w:rPr>
        <w:t>План опытного моторо- и самолетостроения на 1932</w:t>
      </w:r>
      <w:r w:rsidRPr="00C33834">
        <w:rPr>
          <w:color w:val="000000" w:themeColor="text1"/>
          <w:sz w:val="16"/>
          <w:szCs w:val="16"/>
        </w:rPr>
        <w:noBreakHyphen/>
        <w:t>1934 гг., утвержденный правительством 4 июля 1932 г., промышленностью не выполняется в обусловленные сроки.</w:t>
      </w:r>
    </w:p>
    <w:p w14:paraId="095C3037"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состоянии опытного моторо- и самолетостроения</w:t>
      </w:r>
    </w:p>
    <w:p w14:paraId="30B273BD" w14:textId="77777777" w:rsidR="00116626" w:rsidRPr="00C33834" w:rsidRDefault="00116626" w:rsidP="00C33834">
      <w:pPr>
        <w:pStyle w:val="rtejustify"/>
        <w:spacing w:before="0" w:after="0"/>
        <w:rPr>
          <w:color w:val="000000" w:themeColor="text1"/>
          <w:sz w:val="16"/>
          <w:szCs w:val="16"/>
        </w:rPr>
      </w:pPr>
      <w:r w:rsidRPr="00C33834">
        <w:rPr>
          <w:color w:val="000000" w:themeColor="text1"/>
          <w:sz w:val="16"/>
          <w:szCs w:val="16"/>
        </w:rPr>
        <w:t>Срыв плана, в первую очередь, идет по моторам, а это, в свою очередь, влечет за собой срыв плана по самолетам, поскольку все самолеты, по плану опытного строительства, идут под опытные моторы.</w:t>
      </w:r>
    </w:p>
    <w:p w14:paraId="490EF79F" w14:textId="77777777" w:rsidR="00116626" w:rsidRPr="00C33834" w:rsidRDefault="00116626" w:rsidP="00C33834">
      <w:pPr>
        <w:pStyle w:val="rtejustify"/>
        <w:spacing w:before="0" w:after="0"/>
        <w:rPr>
          <w:color w:val="000000" w:themeColor="text1"/>
          <w:sz w:val="16"/>
          <w:szCs w:val="16"/>
        </w:rPr>
      </w:pPr>
      <w:r w:rsidRPr="00C33834">
        <w:rPr>
          <w:color w:val="000000" w:themeColor="text1"/>
          <w:sz w:val="16"/>
          <w:szCs w:val="16"/>
        </w:rPr>
        <w:t>Высокие летные данные иностранных самолетов объясняются не столько аэродинамикой самолетов, сколько качеством мотора. Качество мотора прежде всего зависит от наличия на нем нагнетателя и редуктора. Роль редуктора и особенно нагнетателя в повышении летных данных самолета отчетливо видна из следующей сравнительной таблицы: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39"/>
        <w:gridCol w:w="3155"/>
        <w:gridCol w:w="2142"/>
        <w:gridCol w:w="2123"/>
        <w:gridCol w:w="2363"/>
      </w:tblGrid>
      <w:tr w:rsidR="00F26F01" w:rsidRPr="00C33834" w14:paraId="660FDF7E" w14:textId="77777777" w:rsidTr="003417C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E3E600F"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F7FC5D"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9993840"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 М-34</w:t>
            </w:r>
          </w:p>
        </w:tc>
      </w:tr>
      <w:tr w:rsidR="00F26F01" w:rsidRPr="00C33834" w14:paraId="16230971" w14:textId="77777777" w:rsidTr="003417C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9FDC25D" w14:textId="77777777" w:rsidR="00116626" w:rsidRPr="00C33834" w:rsidRDefault="00116626" w:rsidP="00C3383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716183D" w14:textId="77777777" w:rsidR="00116626" w:rsidRPr="00C33834" w:rsidRDefault="00116626"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ACCDAD"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Без редуктора</w:t>
            </w:r>
          </w:p>
          <w:p w14:paraId="615B46CE"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нагнетателя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82854"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редуктором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FC9AE"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нагнетателем</w:t>
            </w:r>
          </w:p>
          <w:p w14:paraId="7E18BD4C"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5 тыс. м</w:t>
            </w:r>
          </w:p>
        </w:tc>
      </w:tr>
      <w:tr w:rsidR="00F26F01" w:rsidRPr="00C33834" w14:paraId="6BFC4FF8"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2DFF34"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w:t>
            </w:r>
            <w:r w:rsidRPr="00C33834">
              <w:rPr>
                <w:rFonts w:ascii="Times New Roman" w:hAnsi="Times New Roman"/>
                <w:color w:val="000000" w:themeColor="text1"/>
                <w:sz w:val="16"/>
                <w:szCs w:val="16"/>
              </w:rPr>
              <w:noBreakHyphen/>
              <w:t>316¹*</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44ED9"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на 5 тыс. м</w:t>
            </w:r>
          </w:p>
          <w:p w14:paraId="3E71B652"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C3950"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w:t>
            </w:r>
          </w:p>
          <w:p w14:paraId="71DF7D83"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F076C"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w:t>
            </w:r>
          </w:p>
          <w:p w14:paraId="782C8562"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607EC"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w:t>
            </w:r>
          </w:p>
          <w:p w14:paraId="056AC460"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7100</w:t>
            </w:r>
          </w:p>
        </w:tc>
      </w:tr>
      <w:tr w:rsidR="00F26F01" w:rsidRPr="00C33834" w14:paraId="318C10E2"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94C6AB"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w:t>
            </w:r>
            <w:r w:rsidRPr="00C33834">
              <w:rPr>
                <w:rFonts w:ascii="Times New Roman" w:hAnsi="Times New Roman"/>
                <w:color w:val="000000" w:themeColor="text1"/>
                <w:sz w:val="16"/>
                <w:szCs w:val="16"/>
              </w:rPr>
              <w:noBreakHyphen/>
              <w:t>317²*</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66569"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на 5 тыс. м</w:t>
            </w:r>
          </w:p>
          <w:p w14:paraId="03BD5E71"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CBABE"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255</w:t>
            </w:r>
          </w:p>
          <w:p w14:paraId="38F4CC83"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68DFD"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6D91F8ED"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78A05"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320</w:t>
            </w:r>
          </w:p>
          <w:p w14:paraId="0046A747"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8500</w:t>
            </w:r>
          </w:p>
        </w:tc>
      </w:tr>
    </w:tbl>
    <w:p w14:paraId="65706985" w14:textId="77777777" w:rsidR="00116626" w:rsidRPr="00C33834" w:rsidRDefault="00116626" w:rsidP="00C33834">
      <w:pPr>
        <w:pStyle w:val="rtejustify"/>
        <w:spacing w:before="0" w:after="0"/>
        <w:rPr>
          <w:color w:val="000000" w:themeColor="text1"/>
          <w:sz w:val="16"/>
          <w:szCs w:val="16"/>
        </w:rPr>
      </w:pPr>
      <w:r w:rsidRPr="00C33834">
        <w:rPr>
          <w:color w:val="000000" w:themeColor="text1"/>
          <w:sz w:val="16"/>
          <w:szCs w:val="16"/>
        </w:rPr>
        <w:t>Строящийся нами серийный мотор М</w:t>
      </w:r>
      <w:r w:rsidRPr="00C33834">
        <w:rPr>
          <w:color w:val="000000" w:themeColor="text1"/>
          <w:sz w:val="16"/>
          <w:szCs w:val="16"/>
        </w:rPr>
        <w:noBreakHyphen/>
        <w:t>34 без нагнетателя и редуктора по своей мощности и малому удельному весу на земле может быть отнесен к разряду лучших заграничных моторов. Но если сравнить его с лучшими заграничными моторами на боевой высоте, т. е. на 5 тыс. м, то он оказывается по своим качествам ниже средних современных заграничных моторов.</w:t>
      </w:r>
    </w:p>
    <w:p w14:paraId="248CFD1E" w14:textId="77777777" w:rsidR="00116626" w:rsidRPr="00C33834" w:rsidRDefault="00116626" w:rsidP="00C33834">
      <w:pPr>
        <w:pStyle w:val="rtejustify"/>
        <w:spacing w:before="0" w:after="0"/>
        <w:rPr>
          <w:color w:val="000000" w:themeColor="text1"/>
          <w:sz w:val="16"/>
          <w:szCs w:val="16"/>
        </w:rPr>
      </w:pPr>
      <w:r w:rsidRPr="00C33834">
        <w:rPr>
          <w:color w:val="000000" w:themeColor="text1"/>
          <w:sz w:val="16"/>
          <w:szCs w:val="16"/>
        </w:rPr>
        <w:t>Все наши тяжелые бомбардировщики и разведчики должны были базироваться на моторе М</w:t>
      </w:r>
      <w:r w:rsidRPr="00C33834">
        <w:rPr>
          <w:color w:val="000000" w:themeColor="text1"/>
          <w:sz w:val="16"/>
          <w:szCs w:val="16"/>
        </w:rPr>
        <w:noBreakHyphen/>
        <w:t>34 с нагнетателем и редуктором. С помощью этого мотора с нагнетателем и редуктором мы могли бы выйти в первые ряды современной авиационной техники. Но так как вместо этого мотора мы получаем из серии М</w:t>
      </w:r>
      <w:r w:rsidRPr="00C33834">
        <w:rPr>
          <w:color w:val="000000" w:themeColor="text1"/>
          <w:sz w:val="16"/>
          <w:szCs w:val="16"/>
        </w:rPr>
        <w:noBreakHyphen/>
        <w:t>34 [моторы] без нагнетателя и редуктора, то наши самолеты на боевой высоте оказываются значительно хуже заграничных.</w:t>
      </w:r>
    </w:p>
    <w:p w14:paraId="4FD72DA8" w14:textId="77777777" w:rsidR="00116626" w:rsidRPr="00C33834" w:rsidRDefault="00116626" w:rsidP="00C33834">
      <w:pPr>
        <w:pStyle w:val="rtejustify"/>
        <w:spacing w:before="0" w:after="0"/>
        <w:rPr>
          <w:color w:val="000000" w:themeColor="text1"/>
          <w:sz w:val="16"/>
          <w:szCs w:val="16"/>
        </w:rPr>
      </w:pPr>
      <w:r w:rsidRPr="00C33834">
        <w:rPr>
          <w:color w:val="000000" w:themeColor="text1"/>
          <w:sz w:val="16"/>
          <w:szCs w:val="16"/>
        </w:rPr>
        <w:t>Опытные образцы истребителей по плану должны обеспечить моторы М</w:t>
      </w:r>
      <w:r w:rsidRPr="00C33834">
        <w:rPr>
          <w:color w:val="000000" w:themeColor="text1"/>
          <w:sz w:val="16"/>
          <w:szCs w:val="16"/>
        </w:rPr>
        <w:noBreakHyphen/>
        <w:t>38, М</w:t>
      </w:r>
      <w:r w:rsidRPr="00C33834">
        <w:rPr>
          <w:color w:val="000000" w:themeColor="text1"/>
          <w:sz w:val="16"/>
          <w:szCs w:val="16"/>
        </w:rPr>
        <w:noBreakHyphen/>
        <w:t>58 и М</w:t>
      </w:r>
      <w:r w:rsidRPr="00C33834">
        <w:rPr>
          <w:color w:val="000000" w:themeColor="text1"/>
          <w:sz w:val="16"/>
          <w:szCs w:val="16"/>
        </w:rPr>
        <w:noBreakHyphen/>
        <w:t>32 — все с нагнетателями. На сверхтяжелый бомбовоз ТБ</w:t>
      </w:r>
      <w:r w:rsidRPr="00C33834">
        <w:rPr>
          <w:color w:val="000000" w:themeColor="text1"/>
          <w:sz w:val="16"/>
          <w:szCs w:val="16"/>
        </w:rPr>
        <w:noBreakHyphen/>
        <w:t>6, который выйдет в конце 1934 г. по плану предусмотрено установить моторы М</w:t>
      </w:r>
      <w:r w:rsidRPr="00C33834">
        <w:rPr>
          <w:color w:val="000000" w:themeColor="text1"/>
          <w:sz w:val="16"/>
          <w:szCs w:val="16"/>
        </w:rPr>
        <w:noBreakHyphen/>
        <w:t>44 по 2 тыс. л. с. с нагнетателями. Ни одного из перечисленных моторов на сегодняшний день мы не имеем, хотя по плану срок выхода первых трех моторов был в 1932 г. Все эти моторы являлись главнейшими, и от их выпуска зависит выполнение плана опытного самолетостроения. Если промышленность не справится в кратчайший срок с выпуском мотора М</w:t>
      </w:r>
      <w:r w:rsidRPr="00C33834">
        <w:rPr>
          <w:color w:val="000000" w:themeColor="text1"/>
          <w:sz w:val="16"/>
          <w:szCs w:val="16"/>
        </w:rPr>
        <w:noBreakHyphen/>
        <w:t>34 с нагнетателем и М</w:t>
      </w:r>
      <w:r w:rsidRPr="00C33834">
        <w:rPr>
          <w:color w:val="000000" w:themeColor="text1"/>
          <w:sz w:val="16"/>
          <w:szCs w:val="16"/>
        </w:rPr>
        <w:noBreakHyphen/>
        <w:t>34 с редуктором, М</w:t>
      </w:r>
      <w:r w:rsidRPr="00C33834">
        <w:rPr>
          <w:color w:val="000000" w:themeColor="text1"/>
          <w:sz w:val="16"/>
          <w:szCs w:val="16"/>
        </w:rPr>
        <w:noBreakHyphen/>
        <w:t>38 с нагнетателем, М</w:t>
      </w:r>
      <w:r w:rsidRPr="00C33834">
        <w:rPr>
          <w:color w:val="000000" w:themeColor="text1"/>
          <w:sz w:val="16"/>
          <w:szCs w:val="16"/>
        </w:rPr>
        <w:noBreakHyphen/>
        <w:t>58 с нагнетателем, М</w:t>
      </w:r>
      <w:r w:rsidRPr="00C33834">
        <w:rPr>
          <w:color w:val="000000" w:themeColor="text1"/>
          <w:sz w:val="16"/>
          <w:szCs w:val="16"/>
        </w:rPr>
        <w:noBreakHyphen/>
        <w:t>32 с редуктором и нагнетателем и М</w:t>
      </w:r>
      <w:r w:rsidRPr="00C33834">
        <w:rPr>
          <w:color w:val="000000" w:themeColor="text1"/>
          <w:sz w:val="16"/>
          <w:szCs w:val="16"/>
        </w:rPr>
        <w:noBreakHyphen/>
        <w:t>44 с нагнетателем, то фактически план опытного самолетостроения будет сорван, и в таком случае наша отсталость угрожающе увеличится, ибо все без исключения воздушные флоты переходят на моторы с нагнетателем и редуктором.</w:t>
      </w:r>
    </w:p>
    <w:p w14:paraId="0CFF63FF" w14:textId="77777777" w:rsidR="00116626" w:rsidRPr="00C33834" w:rsidRDefault="00116626" w:rsidP="00C33834">
      <w:pPr>
        <w:pStyle w:val="rtejustify"/>
        <w:spacing w:before="0" w:after="0"/>
        <w:rPr>
          <w:color w:val="000000" w:themeColor="text1"/>
          <w:sz w:val="16"/>
          <w:szCs w:val="16"/>
        </w:rPr>
      </w:pPr>
      <w:r w:rsidRPr="00C33834">
        <w:rPr>
          <w:color w:val="000000" w:themeColor="text1"/>
          <w:sz w:val="16"/>
          <w:szCs w:val="16"/>
        </w:rPr>
        <w:t>Если строительство сухопутных самолетов зависит в основном от состояния моторостроения, то по морским самолетам невыполнение плана опытного строительства объясняется не только отставанием моторостроения, но и разбросанностью конструкторских сил и недостаточным вниманием делу морского самолетостроения со стороны ЦАГИ³*.</w:t>
      </w:r>
    </w:p>
    <w:p w14:paraId="3CABD892" w14:textId="77777777" w:rsidR="00116626" w:rsidRPr="00C33834" w:rsidRDefault="00116626" w:rsidP="00C33834">
      <w:pPr>
        <w:pStyle w:val="rtejustify"/>
        <w:spacing w:before="0" w:after="0"/>
        <w:rPr>
          <w:color w:val="000000" w:themeColor="text1"/>
          <w:sz w:val="16"/>
          <w:szCs w:val="16"/>
        </w:rPr>
      </w:pPr>
      <w:r w:rsidRPr="00C33834">
        <w:rPr>
          <w:color w:val="000000" w:themeColor="text1"/>
          <w:sz w:val="16"/>
          <w:szCs w:val="16"/>
        </w:rPr>
        <w:t>Считаю необходимым провести следующие мероприятия:</w:t>
      </w:r>
    </w:p>
    <w:p w14:paraId="27A035F4" w14:textId="77777777" w:rsidR="00116626" w:rsidRPr="00C33834" w:rsidRDefault="00116626" w:rsidP="00C33834">
      <w:pPr>
        <w:pStyle w:val="rtejustify"/>
        <w:spacing w:before="0" w:after="0"/>
        <w:rPr>
          <w:color w:val="000000" w:themeColor="text1"/>
          <w:sz w:val="16"/>
          <w:szCs w:val="16"/>
        </w:rPr>
      </w:pPr>
      <w:r w:rsidRPr="00C33834">
        <w:rPr>
          <w:color w:val="000000" w:themeColor="text1"/>
          <w:sz w:val="16"/>
          <w:szCs w:val="16"/>
        </w:rPr>
        <w:t>1. Доложить КО о невыполнении промышленностью плана по моторам и просить установить следующие предельные жесткие сроки предъявления главнейших моторов на гос. испытания: для мотора М</w:t>
      </w:r>
      <w:r w:rsidRPr="00C33834">
        <w:rPr>
          <w:color w:val="000000" w:themeColor="text1"/>
          <w:sz w:val="16"/>
          <w:szCs w:val="16"/>
        </w:rPr>
        <w:noBreakHyphen/>
        <w:t>34 с нагнетателем до 3500 м — 15 июля 1933 г. (1 сентября —1 октября 1933 г.)⁴*; для мотора М</w:t>
      </w:r>
      <w:r w:rsidRPr="00C33834">
        <w:rPr>
          <w:color w:val="000000" w:themeColor="text1"/>
          <w:sz w:val="16"/>
          <w:szCs w:val="16"/>
        </w:rPr>
        <w:noBreakHyphen/>
        <w:t>34 с редуктором — 15 апреля 1933 г. (1 апреля — 1 мая 1933 г.); для мотора М</w:t>
      </w:r>
      <w:r w:rsidRPr="00C33834">
        <w:rPr>
          <w:color w:val="000000" w:themeColor="text1"/>
          <w:sz w:val="16"/>
          <w:szCs w:val="16"/>
        </w:rPr>
        <w:noBreakHyphen/>
        <w:t>38 с нагнетателем — 1 мая 1933 г. (1 августа — 1 сентября 1933 г.)⁵*; для мотора М</w:t>
      </w:r>
      <w:r w:rsidRPr="00C33834">
        <w:rPr>
          <w:color w:val="000000" w:themeColor="text1"/>
          <w:sz w:val="16"/>
          <w:szCs w:val="16"/>
        </w:rPr>
        <w:noBreakHyphen/>
        <w:t>58 с нагнетателем — 1 мая 1933 г. (1 июня — 1 июля 1933 г.); для мотора М</w:t>
      </w:r>
      <w:r w:rsidRPr="00C33834">
        <w:rPr>
          <w:color w:val="000000" w:themeColor="text1"/>
          <w:sz w:val="16"/>
          <w:szCs w:val="16"/>
        </w:rPr>
        <w:noBreakHyphen/>
        <w:t>32 с нагнетателем и редуктором — 1 июля 1933 г. (15 августа — 15 сентября 1933 г.); для мотора М</w:t>
      </w:r>
      <w:r w:rsidRPr="00C33834">
        <w:rPr>
          <w:color w:val="000000" w:themeColor="text1"/>
          <w:sz w:val="16"/>
          <w:szCs w:val="16"/>
        </w:rPr>
        <w:noBreakHyphen/>
        <w:t>44 с нагнетателем — 1 августа 1933 г. (1 августа 1933 г., заявка).</w:t>
      </w:r>
    </w:p>
    <w:p w14:paraId="48428E1C" w14:textId="77777777" w:rsidR="00116626" w:rsidRPr="00C33834" w:rsidRDefault="00116626" w:rsidP="00C33834">
      <w:pPr>
        <w:pStyle w:val="rtejustify"/>
        <w:spacing w:before="0" w:after="0"/>
        <w:rPr>
          <w:color w:val="000000" w:themeColor="text1"/>
          <w:sz w:val="16"/>
          <w:szCs w:val="16"/>
        </w:rPr>
      </w:pPr>
      <w:r w:rsidRPr="00C33834">
        <w:rPr>
          <w:color w:val="000000" w:themeColor="text1"/>
          <w:sz w:val="16"/>
          <w:szCs w:val="16"/>
        </w:rPr>
        <w:t>2. Для решения вопроса с выключающимся нагнетателем, высотностью не менее 5 тыс. м, заказать фирме «Рато» образец нагнетателей к моторам М</w:t>
      </w:r>
      <w:r w:rsidRPr="00C33834">
        <w:rPr>
          <w:color w:val="000000" w:themeColor="text1"/>
          <w:sz w:val="16"/>
          <w:szCs w:val="16"/>
        </w:rPr>
        <w:noBreakHyphen/>
        <w:t>34, М</w:t>
      </w:r>
      <w:r w:rsidRPr="00C33834">
        <w:rPr>
          <w:color w:val="000000" w:themeColor="text1"/>
          <w:sz w:val="16"/>
          <w:szCs w:val="16"/>
        </w:rPr>
        <w:noBreakHyphen/>
        <w:t>32 и М</w:t>
      </w:r>
      <w:r w:rsidRPr="00C33834">
        <w:rPr>
          <w:color w:val="000000" w:themeColor="text1"/>
          <w:sz w:val="16"/>
          <w:szCs w:val="16"/>
        </w:rPr>
        <w:noBreakHyphen/>
        <w:t>44.</w:t>
      </w:r>
    </w:p>
    <w:p w14:paraId="3C52920D" w14:textId="77777777" w:rsidR="00116626" w:rsidRPr="00C33834" w:rsidRDefault="00116626" w:rsidP="00C33834">
      <w:pPr>
        <w:pStyle w:val="rtejustify"/>
        <w:spacing w:before="0" w:after="0"/>
        <w:rPr>
          <w:color w:val="000000" w:themeColor="text1"/>
          <w:sz w:val="16"/>
          <w:szCs w:val="16"/>
        </w:rPr>
      </w:pPr>
      <w:r w:rsidRPr="00C33834">
        <w:rPr>
          <w:color w:val="000000" w:themeColor="text1"/>
          <w:sz w:val="16"/>
          <w:szCs w:val="16"/>
        </w:rPr>
        <w:t>3. Для форсировки производства моторов закупить техпомощь на методику и процесс заливки подшипников у заграничной фирмы («Роллс-Ройс»).</w:t>
      </w:r>
    </w:p>
    <w:p w14:paraId="46B9DA4F" w14:textId="77777777" w:rsidR="00116626" w:rsidRPr="00C33834" w:rsidRDefault="00116626" w:rsidP="00C33834">
      <w:pPr>
        <w:pStyle w:val="rtejustify"/>
        <w:spacing w:before="0" w:after="0"/>
        <w:rPr>
          <w:color w:val="000000" w:themeColor="text1"/>
          <w:sz w:val="16"/>
          <w:szCs w:val="16"/>
        </w:rPr>
      </w:pPr>
      <w:r w:rsidRPr="00C33834">
        <w:rPr>
          <w:color w:val="000000" w:themeColor="text1"/>
          <w:sz w:val="16"/>
          <w:szCs w:val="16"/>
        </w:rPr>
        <w:t>4. Доложить КО о срыве сроков по самолетам и просить установить нижеследующие жесткие сроки выпуска главнейших опытных самолетов на гос. испытания: ТБ</w:t>
      </w:r>
      <w:r w:rsidRPr="00C33834">
        <w:rPr>
          <w:color w:val="000000" w:themeColor="text1"/>
          <w:sz w:val="16"/>
          <w:szCs w:val="16"/>
        </w:rPr>
        <w:noBreakHyphen/>
        <w:t>4</w:t>
      </w:r>
      <w:r w:rsidRPr="00C33834">
        <w:rPr>
          <w:color w:val="000000" w:themeColor="text1"/>
          <w:sz w:val="16"/>
          <w:szCs w:val="16"/>
        </w:rPr>
        <w:noBreakHyphen/>
        <w:t>6М</w:t>
      </w:r>
      <w:r w:rsidRPr="00C33834">
        <w:rPr>
          <w:color w:val="000000" w:themeColor="text1"/>
          <w:sz w:val="16"/>
          <w:szCs w:val="16"/>
        </w:rPr>
        <w:noBreakHyphen/>
        <w:t>34 — 15 мая 1933 г. (1 июля 1933 г.)⁶*; МИ</w:t>
      </w:r>
      <w:r w:rsidRPr="00C33834">
        <w:rPr>
          <w:color w:val="000000" w:themeColor="text1"/>
          <w:sz w:val="16"/>
          <w:szCs w:val="16"/>
        </w:rPr>
        <w:noBreakHyphen/>
        <w:t>3</w:t>
      </w:r>
      <w:r w:rsidRPr="00C33834">
        <w:rPr>
          <w:color w:val="000000" w:themeColor="text1"/>
          <w:sz w:val="16"/>
          <w:szCs w:val="16"/>
        </w:rPr>
        <w:noBreakHyphen/>
        <w:t>2М</w:t>
      </w:r>
      <w:r w:rsidRPr="00C33834">
        <w:rPr>
          <w:color w:val="000000" w:themeColor="text1"/>
          <w:sz w:val="16"/>
          <w:szCs w:val="16"/>
        </w:rPr>
        <w:noBreakHyphen/>
        <w:t>34 — 15 мая 1933 г. (1 июня 1933 г.); И</w:t>
      </w:r>
      <w:r w:rsidRPr="00C33834">
        <w:rPr>
          <w:color w:val="000000" w:themeColor="text1"/>
          <w:sz w:val="16"/>
          <w:szCs w:val="16"/>
        </w:rPr>
        <w:noBreakHyphen/>
        <w:t>14 с иностранным мотором — 1 мая 1933 г. (15 июня 1933 г.); И</w:t>
      </w:r>
      <w:r w:rsidRPr="00C33834">
        <w:rPr>
          <w:color w:val="000000" w:themeColor="text1"/>
          <w:sz w:val="16"/>
          <w:szCs w:val="16"/>
        </w:rPr>
        <w:noBreakHyphen/>
        <w:t>14 с М</w:t>
      </w:r>
      <w:r w:rsidRPr="00C33834">
        <w:rPr>
          <w:color w:val="000000" w:themeColor="text1"/>
          <w:sz w:val="16"/>
          <w:szCs w:val="16"/>
        </w:rPr>
        <w:noBreakHyphen/>
        <w:t>38 или М</w:t>
      </w:r>
      <w:r w:rsidRPr="00C33834">
        <w:rPr>
          <w:color w:val="000000" w:themeColor="text1"/>
          <w:sz w:val="16"/>
          <w:szCs w:val="16"/>
        </w:rPr>
        <w:noBreakHyphen/>
        <w:t>58 — 1 июля 1933 г. (1 ноября — 1 декабря 1933 г.); И</w:t>
      </w:r>
      <w:r w:rsidRPr="00C33834">
        <w:rPr>
          <w:color w:val="000000" w:themeColor="text1"/>
          <w:sz w:val="16"/>
          <w:szCs w:val="16"/>
        </w:rPr>
        <w:noBreakHyphen/>
        <w:t>15 с «Райт-Циклон» — 1 октября⁷*; И</w:t>
      </w:r>
      <w:r w:rsidRPr="00C33834">
        <w:rPr>
          <w:color w:val="000000" w:themeColor="text1"/>
          <w:sz w:val="16"/>
          <w:szCs w:val="16"/>
        </w:rPr>
        <w:noBreakHyphen/>
        <w:t>15 с М</w:t>
      </w:r>
      <w:r w:rsidRPr="00C33834">
        <w:rPr>
          <w:color w:val="000000" w:themeColor="text1"/>
          <w:sz w:val="16"/>
          <w:szCs w:val="16"/>
        </w:rPr>
        <w:noBreakHyphen/>
        <w:t>38 или М</w:t>
      </w:r>
      <w:r w:rsidRPr="00C33834">
        <w:rPr>
          <w:color w:val="000000" w:themeColor="text1"/>
          <w:sz w:val="16"/>
          <w:szCs w:val="16"/>
        </w:rPr>
        <w:noBreakHyphen/>
        <w:t>58 — 1 октября 1933 г.; ДИ</w:t>
      </w:r>
      <w:r w:rsidRPr="00C33834">
        <w:rPr>
          <w:color w:val="000000" w:themeColor="text1"/>
          <w:sz w:val="16"/>
          <w:szCs w:val="16"/>
        </w:rPr>
        <w:noBreakHyphen/>
        <w:t>6⁸* с М</w:t>
      </w:r>
      <w:r w:rsidRPr="00C33834">
        <w:rPr>
          <w:color w:val="000000" w:themeColor="text1"/>
          <w:sz w:val="16"/>
          <w:szCs w:val="16"/>
        </w:rPr>
        <w:noBreakHyphen/>
        <w:t>32 или М</w:t>
      </w:r>
      <w:r w:rsidRPr="00C33834">
        <w:rPr>
          <w:color w:val="000000" w:themeColor="text1"/>
          <w:sz w:val="16"/>
          <w:szCs w:val="16"/>
        </w:rPr>
        <w:noBreakHyphen/>
        <w:t>58 — 1 ноября 1933 г.⁹*; ЛР</w:t>
      </w:r>
      <w:r w:rsidRPr="00C33834">
        <w:rPr>
          <w:color w:val="000000" w:themeColor="text1"/>
          <w:sz w:val="16"/>
          <w:szCs w:val="16"/>
        </w:rPr>
        <w:noBreakHyphen/>
        <w:t>М</w:t>
      </w:r>
      <w:r w:rsidRPr="00C33834">
        <w:rPr>
          <w:color w:val="000000" w:themeColor="text1"/>
          <w:sz w:val="16"/>
          <w:szCs w:val="16"/>
        </w:rPr>
        <w:noBreakHyphen/>
        <w:t>34 — 1 августа 1933 г. (1 сентября 1933 г.); ЛР</w:t>
      </w:r>
      <w:r w:rsidRPr="00C33834">
        <w:rPr>
          <w:color w:val="000000" w:themeColor="text1"/>
          <w:sz w:val="16"/>
          <w:szCs w:val="16"/>
        </w:rPr>
        <w:noBreakHyphen/>
        <w:t>М</w:t>
      </w:r>
      <w:r w:rsidRPr="00C33834">
        <w:rPr>
          <w:color w:val="000000" w:themeColor="text1"/>
          <w:sz w:val="16"/>
          <w:szCs w:val="16"/>
        </w:rPr>
        <w:noBreakHyphen/>
        <w:t>34 с нагнетателем — 15 сентября 1933 г. (1 декабря 1933 г.); МДР</w:t>
      </w:r>
      <w:r w:rsidRPr="00C33834">
        <w:rPr>
          <w:color w:val="000000" w:themeColor="text1"/>
          <w:sz w:val="16"/>
          <w:szCs w:val="16"/>
        </w:rPr>
        <w:noBreakHyphen/>
        <w:t>З бис — 1 сентября 1933 г. (1 апреля 1934 г.); МБР</w:t>
      </w:r>
      <w:r w:rsidRPr="00C33834">
        <w:rPr>
          <w:color w:val="000000" w:themeColor="text1"/>
          <w:sz w:val="16"/>
          <w:szCs w:val="16"/>
        </w:rPr>
        <w:noBreakHyphen/>
        <w:t>2 эталон — 15 мая 1933 г.</w:t>
      </w:r>
    </w:p>
    <w:p w14:paraId="62F8DD84" w14:textId="77777777" w:rsidR="00116626" w:rsidRPr="00C33834" w:rsidRDefault="00116626" w:rsidP="00C33834">
      <w:pPr>
        <w:pStyle w:val="rtejustify"/>
        <w:spacing w:before="0" w:after="0"/>
        <w:rPr>
          <w:color w:val="000000" w:themeColor="text1"/>
          <w:sz w:val="16"/>
          <w:szCs w:val="16"/>
        </w:rPr>
      </w:pPr>
      <w:r w:rsidRPr="00C33834">
        <w:rPr>
          <w:color w:val="000000" w:themeColor="text1"/>
          <w:sz w:val="16"/>
          <w:szCs w:val="16"/>
        </w:rPr>
        <w:t>5. Просить КО обязать начальника Глававиапрома т. Баранова перестроить работу своих конструкторских бюро так, чтобы сроки подачи на гос. испытания перечисленных выше моторов и самолетов были строго выдержаны.</w:t>
      </w:r>
    </w:p>
    <w:p w14:paraId="00570279" w14:textId="77777777" w:rsidR="00116626" w:rsidRPr="00C33834" w:rsidRDefault="00116626" w:rsidP="00C33834">
      <w:pPr>
        <w:pStyle w:val="rtejustify"/>
        <w:spacing w:before="0" w:after="0"/>
        <w:rPr>
          <w:color w:val="000000" w:themeColor="text1"/>
          <w:sz w:val="16"/>
          <w:szCs w:val="16"/>
        </w:rPr>
      </w:pPr>
      <w:r w:rsidRPr="00C33834">
        <w:rPr>
          <w:color w:val="000000" w:themeColor="text1"/>
          <w:sz w:val="16"/>
          <w:szCs w:val="16"/>
        </w:rPr>
        <w:t>6. Просить КО обязать Наркомтяжпром выделить все опытное гидросамолетостроение в системе ГУАПа в самостоятельную организационную и административную единицу с приданием ей производственной базы и пополнением конструкторскими силами, имеющими опыт в этой отрасли самолетостроения¹⁰*.</w:t>
      </w:r>
    </w:p>
    <w:tbl>
      <w:tblPr>
        <w:tblW w:w="5000" w:type="pct"/>
        <w:tblCellSpacing w:w="0" w:type="dxa"/>
        <w:tblCellMar>
          <w:left w:w="0" w:type="dxa"/>
          <w:right w:w="0" w:type="dxa"/>
        </w:tblCellMar>
        <w:tblLook w:val="04A0" w:firstRow="1" w:lastRow="0" w:firstColumn="1" w:lastColumn="0" w:noHBand="0" w:noVBand="1"/>
      </w:tblPr>
      <w:tblGrid>
        <w:gridCol w:w="2124"/>
        <w:gridCol w:w="9214"/>
      </w:tblGrid>
      <w:tr w:rsidR="00F26F01" w:rsidRPr="00C33834" w14:paraId="5AD27806" w14:textId="77777777" w:rsidTr="003417C8">
        <w:trPr>
          <w:tblCellSpacing w:w="0" w:type="dxa"/>
        </w:trPr>
        <w:tc>
          <w:tcPr>
            <w:tcW w:w="0" w:type="auto"/>
            <w:vAlign w:val="center"/>
            <w:hideMark/>
          </w:tcPr>
          <w:p w14:paraId="2506968E"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Приложение</w:t>
            </w:r>
            <w:r w:rsidRPr="00C33834">
              <w:rPr>
                <w:rFonts w:ascii="Times New Roman" w:hAnsi="Times New Roman"/>
                <w:color w:val="000000" w:themeColor="text1"/>
                <w:sz w:val="16"/>
                <w:szCs w:val="16"/>
              </w:rPr>
              <w:t>:</w:t>
            </w:r>
          </w:p>
        </w:tc>
        <w:tc>
          <w:tcPr>
            <w:tcW w:w="0" w:type="auto"/>
            <w:vAlign w:val="center"/>
            <w:hideMark/>
          </w:tcPr>
          <w:p w14:paraId="08CA7AB7"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Таблица состояния моторостроения на 15 марта 1933 г.</w:t>
            </w:r>
          </w:p>
        </w:tc>
      </w:tr>
      <w:tr w:rsidR="00F26F01" w:rsidRPr="00C33834" w14:paraId="79653DCE" w14:textId="77777777" w:rsidTr="003417C8">
        <w:trPr>
          <w:tblCellSpacing w:w="0" w:type="dxa"/>
        </w:trPr>
        <w:tc>
          <w:tcPr>
            <w:tcW w:w="0" w:type="auto"/>
            <w:vAlign w:val="center"/>
            <w:hideMark/>
          </w:tcPr>
          <w:p w14:paraId="57536B33"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vAlign w:val="center"/>
            <w:hideMark/>
          </w:tcPr>
          <w:p w14:paraId="36446862" w14:textId="77777777" w:rsidR="00116626" w:rsidRPr="00C33834" w:rsidRDefault="001166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Таблица состояния самолетостроения¹¹*.</w:t>
            </w:r>
          </w:p>
        </w:tc>
      </w:tr>
    </w:tbl>
    <w:p w14:paraId="3C010F9B" w14:textId="77777777" w:rsidR="00116626" w:rsidRPr="00C33834" w:rsidRDefault="00116626" w:rsidP="00C33834">
      <w:pPr>
        <w:pStyle w:val="ae"/>
        <w:spacing w:before="0" w:after="0"/>
        <w:jc w:val="both"/>
        <w:rPr>
          <w:color w:val="000000" w:themeColor="text1"/>
          <w:sz w:val="16"/>
          <w:szCs w:val="16"/>
        </w:rPr>
      </w:pPr>
      <w:r w:rsidRPr="00C33834">
        <w:rPr>
          <w:rStyle w:val="af0"/>
          <w:i w:val="0"/>
          <w:color w:val="000000" w:themeColor="text1"/>
          <w:sz w:val="16"/>
          <w:szCs w:val="16"/>
        </w:rPr>
        <w:t>Начальник Военных воздушных сил РККА Алкснис</w:t>
      </w:r>
    </w:p>
    <w:p w14:paraId="0FC08C3F" w14:textId="77777777" w:rsidR="00116626" w:rsidRPr="00C33834" w:rsidRDefault="00116626"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Примечания</w:t>
      </w:r>
      <w:r w:rsidRPr="00C33834">
        <w:rPr>
          <w:color w:val="000000" w:themeColor="text1"/>
          <w:sz w:val="16"/>
          <w:szCs w:val="16"/>
        </w:rPr>
        <w:t>:</w:t>
      </w:r>
    </w:p>
    <w:p w14:paraId="68D105AE" w14:textId="77777777" w:rsidR="00116626" w:rsidRPr="00C33834" w:rsidRDefault="00116626" w:rsidP="00C33834">
      <w:pPr>
        <w:pStyle w:val="rtejustify"/>
        <w:spacing w:before="0" w:after="0"/>
        <w:rPr>
          <w:color w:val="000000" w:themeColor="text1"/>
          <w:sz w:val="16"/>
          <w:szCs w:val="16"/>
        </w:rPr>
      </w:pPr>
      <w:r w:rsidRPr="00C33834">
        <w:rPr>
          <w:color w:val="000000" w:themeColor="text1"/>
          <w:sz w:val="16"/>
          <w:szCs w:val="16"/>
        </w:rPr>
        <w:t>¹* </w:t>
      </w:r>
      <w:r w:rsidRPr="00C33834">
        <w:rPr>
          <w:rStyle w:val="af0"/>
          <w:bCs/>
          <w:i w:val="0"/>
          <w:color w:val="000000" w:themeColor="text1"/>
          <w:sz w:val="16"/>
          <w:szCs w:val="16"/>
        </w:rPr>
        <w:t>Тяжелый бомбардировщик ТБ</w:t>
      </w:r>
      <w:r w:rsidRPr="00C33834">
        <w:rPr>
          <w:rStyle w:val="af0"/>
          <w:bCs/>
          <w:i w:val="0"/>
          <w:color w:val="000000" w:themeColor="text1"/>
          <w:sz w:val="16"/>
          <w:szCs w:val="16"/>
        </w:rPr>
        <w:noBreakHyphen/>
        <w:t>3 (АНТ</w:t>
      </w:r>
      <w:r w:rsidRPr="00C33834">
        <w:rPr>
          <w:rStyle w:val="af0"/>
          <w:bCs/>
          <w:i w:val="0"/>
          <w:color w:val="000000" w:themeColor="text1"/>
          <w:sz w:val="16"/>
          <w:szCs w:val="16"/>
        </w:rPr>
        <w:noBreakHyphen/>
        <w:t>6)</w:t>
      </w:r>
      <w:r w:rsidRPr="00C33834">
        <w:rPr>
          <w:color w:val="000000" w:themeColor="text1"/>
          <w:sz w:val="16"/>
          <w:szCs w:val="16"/>
        </w:rPr>
        <w:t xml:space="preserve"> с мотором 4М</w:t>
      </w:r>
      <w:r w:rsidRPr="00C33834">
        <w:rPr>
          <w:color w:val="000000" w:themeColor="text1"/>
          <w:sz w:val="16"/>
          <w:szCs w:val="16"/>
        </w:rPr>
        <w:noBreakHyphen/>
        <w:t>17 конструкции А. Н. Туполева и коллектива отдела авиации, гидроавиации и опытного строительства ЦАГИ принадлежал к числу наиболее выдающихся самолетов своего времени. Он был первым в мире четырехмоторным свободнонесущим монопланом-бомбардировщиком с двигателями, установленными в ряд по размаху крыла. Его схема — развитие схемы ТБ</w:t>
      </w:r>
      <w:r w:rsidRPr="00C33834">
        <w:rPr>
          <w:color w:val="000000" w:themeColor="text1"/>
          <w:sz w:val="16"/>
          <w:szCs w:val="16"/>
        </w:rPr>
        <w:noBreakHyphen/>
        <w:t xml:space="preserve">1 — стала господствующей для всех самолетов подобного типа и разного назначения. Вместе с ним была освоена конструкция и технология подобных машин и налажен их серийный выпуск в 1932 г. Эти самолеты состояли на вооружении с 1932 по 1939 г. и на протяжении этих лет модернизировалась и усовершенствовалась конструкция самолета. Самолет </w:t>
      </w:r>
      <w:r w:rsidRPr="00C33834">
        <w:rPr>
          <w:rStyle w:val="af0"/>
          <w:bCs/>
          <w:i w:val="0"/>
          <w:color w:val="000000" w:themeColor="text1"/>
          <w:sz w:val="16"/>
          <w:szCs w:val="16"/>
        </w:rPr>
        <w:t>ТБ</w:t>
      </w:r>
      <w:r w:rsidRPr="00C33834">
        <w:rPr>
          <w:rStyle w:val="af0"/>
          <w:bCs/>
          <w:i w:val="0"/>
          <w:color w:val="000000" w:themeColor="text1"/>
          <w:sz w:val="16"/>
          <w:szCs w:val="16"/>
        </w:rPr>
        <w:noBreakHyphen/>
        <w:t>4 (АНТ</w:t>
      </w:r>
      <w:r w:rsidRPr="00C33834">
        <w:rPr>
          <w:rStyle w:val="af0"/>
          <w:bCs/>
          <w:i w:val="0"/>
          <w:color w:val="000000" w:themeColor="text1"/>
          <w:sz w:val="16"/>
          <w:szCs w:val="16"/>
        </w:rPr>
        <w:noBreakHyphen/>
        <w:t>16)</w:t>
      </w:r>
      <w:r w:rsidRPr="00C33834">
        <w:rPr>
          <w:color w:val="000000" w:themeColor="text1"/>
          <w:sz w:val="16"/>
          <w:szCs w:val="16"/>
        </w:rPr>
        <w:t xml:space="preserve"> представлял собою развитие ТБ</w:t>
      </w:r>
      <w:r w:rsidRPr="00C33834">
        <w:rPr>
          <w:color w:val="000000" w:themeColor="text1"/>
          <w:sz w:val="16"/>
          <w:szCs w:val="16"/>
        </w:rPr>
        <w:noBreakHyphen/>
        <w:t>3 в направлении увеличения площадей и массы с шестью двигателями М</w:t>
      </w:r>
      <w:r w:rsidRPr="00C33834">
        <w:rPr>
          <w:color w:val="000000" w:themeColor="text1"/>
          <w:sz w:val="16"/>
          <w:szCs w:val="16"/>
        </w:rPr>
        <w:noBreakHyphen/>
        <w:t>34. Особенностью самолета была конструкция его фюзеляжа с двумя большими бомбовыми отсеками, столь крупные отсеки в фюзеляже сделаны были впервые в мире. Самолет не был принят, но работы по нему не пропали даром — они были использованы для создания в самый короткий срок еще большего самолета «Максим Горький».</w:t>
      </w:r>
    </w:p>
    <w:p w14:paraId="35D3D847" w14:textId="77777777" w:rsidR="00116626" w:rsidRPr="00C33834" w:rsidRDefault="00116626" w:rsidP="00C33834">
      <w:pPr>
        <w:pStyle w:val="rtejustify"/>
        <w:spacing w:before="0" w:after="0"/>
        <w:rPr>
          <w:color w:val="000000" w:themeColor="text1"/>
          <w:sz w:val="16"/>
          <w:szCs w:val="16"/>
        </w:rPr>
      </w:pPr>
      <w:r w:rsidRPr="00C33834">
        <w:rPr>
          <w:color w:val="000000" w:themeColor="text1"/>
          <w:sz w:val="16"/>
          <w:szCs w:val="16"/>
        </w:rPr>
        <w:t xml:space="preserve">²* Самолет </w:t>
      </w:r>
      <w:r w:rsidRPr="00C33834">
        <w:rPr>
          <w:rStyle w:val="af0"/>
          <w:bCs/>
          <w:i w:val="0"/>
          <w:color w:val="000000" w:themeColor="text1"/>
          <w:sz w:val="16"/>
          <w:szCs w:val="16"/>
        </w:rPr>
        <w:t>МИ</w:t>
      </w:r>
      <w:r w:rsidRPr="00C33834">
        <w:rPr>
          <w:rStyle w:val="af0"/>
          <w:bCs/>
          <w:i w:val="0"/>
          <w:color w:val="000000" w:themeColor="text1"/>
          <w:sz w:val="16"/>
          <w:szCs w:val="16"/>
        </w:rPr>
        <w:noBreakHyphen/>
        <w:t>3 (АНТ</w:t>
      </w:r>
      <w:r w:rsidRPr="00C33834">
        <w:rPr>
          <w:rStyle w:val="af0"/>
          <w:bCs/>
          <w:i w:val="0"/>
          <w:color w:val="000000" w:themeColor="text1"/>
          <w:sz w:val="16"/>
          <w:szCs w:val="16"/>
        </w:rPr>
        <w:noBreakHyphen/>
        <w:t>21)</w:t>
      </w:r>
      <w:r w:rsidRPr="00C33834">
        <w:rPr>
          <w:color w:val="000000" w:themeColor="text1"/>
          <w:sz w:val="16"/>
          <w:szCs w:val="16"/>
        </w:rPr>
        <w:t xml:space="preserve"> представлял собой многоместный истребитель и также многоцелевой самолет, его проектирование было начато А. Н. Туполевым в январе 1932 г. на базе многоцелевого самолета Р</w:t>
      </w:r>
      <w:r w:rsidRPr="00C33834">
        <w:rPr>
          <w:color w:val="000000" w:themeColor="text1"/>
          <w:sz w:val="16"/>
          <w:szCs w:val="16"/>
        </w:rPr>
        <w:noBreakHyphen/>
        <w:t>6. МИ</w:t>
      </w:r>
      <w:r w:rsidRPr="00C33834">
        <w:rPr>
          <w:color w:val="000000" w:themeColor="text1"/>
          <w:sz w:val="16"/>
          <w:szCs w:val="16"/>
        </w:rPr>
        <w:noBreakHyphen/>
        <w:t>3 стал предшественником скоростного бомбардировщика СБ. Работа по этим двум самолетам шла практически одновременно. МИ</w:t>
      </w:r>
      <w:r w:rsidRPr="00C33834">
        <w:rPr>
          <w:color w:val="000000" w:themeColor="text1"/>
          <w:sz w:val="16"/>
          <w:szCs w:val="16"/>
        </w:rPr>
        <w:noBreakHyphen/>
        <w:t>3 с двигателем М</w:t>
      </w:r>
      <w:r w:rsidRPr="00C33834">
        <w:rPr>
          <w:color w:val="000000" w:themeColor="text1"/>
          <w:sz w:val="16"/>
          <w:szCs w:val="16"/>
        </w:rPr>
        <w:noBreakHyphen/>
        <w:t>17 уже в 1934 г. не представлял интереса по сравнению с СБ (АНТ</w:t>
      </w:r>
      <w:r w:rsidRPr="00C33834">
        <w:rPr>
          <w:color w:val="000000" w:themeColor="text1"/>
          <w:sz w:val="16"/>
          <w:szCs w:val="16"/>
        </w:rPr>
        <w:noBreakHyphen/>
        <w:t>40), обладавшим при такой же конструкции более высокими качествами. Поэтому работы по МИ</w:t>
      </w:r>
      <w:r w:rsidRPr="00C33834">
        <w:rPr>
          <w:color w:val="000000" w:themeColor="text1"/>
          <w:sz w:val="16"/>
          <w:szCs w:val="16"/>
        </w:rPr>
        <w:noBreakHyphen/>
        <w:t>3 были прекращены. Опытный экземпляр СБ, спроектированный и разработанный бригадой А. А. Архангельского под руководством А. Н. Туполева, был построен в октябре 1934 г. и стал наиболее удачной моделью скоростного бомбардировщика этого типа. В 1936 г. была развернута его серийная постройка, продолжавшаяся до 1941 г.</w:t>
      </w:r>
    </w:p>
    <w:p w14:paraId="1B1CDD22" w14:textId="77777777" w:rsidR="00116626" w:rsidRPr="00C33834" w:rsidRDefault="00116626" w:rsidP="00C33834">
      <w:pPr>
        <w:pStyle w:val="rtejustify"/>
        <w:spacing w:before="0" w:after="0"/>
        <w:rPr>
          <w:color w:val="000000" w:themeColor="text1"/>
          <w:sz w:val="16"/>
          <w:szCs w:val="16"/>
        </w:rPr>
      </w:pPr>
      <w:r w:rsidRPr="00C33834">
        <w:rPr>
          <w:color w:val="000000" w:themeColor="text1"/>
          <w:sz w:val="16"/>
          <w:szCs w:val="16"/>
        </w:rPr>
        <w:t>³* </w:t>
      </w:r>
      <w:r w:rsidRPr="00C33834">
        <w:rPr>
          <w:rStyle w:val="af0"/>
          <w:bCs/>
          <w:i w:val="0"/>
          <w:color w:val="000000" w:themeColor="text1"/>
          <w:sz w:val="16"/>
          <w:szCs w:val="16"/>
        </w:rPr>
        <w:t>Центральный аэрогидродинамический институт (ЦАГИ)</w:t>
      </w:r>
      <w:r w:rsidRPr="00C33834">
        <w:rPr>
          <w:color w:val="000000" w:themeColor="text1"/>
          <w:sz w:val="16"/>
          <w:szCs w:val="16"/>
        </w:rPr>
        <w:t xml:space="preserve"> основан постановлением ВСНХ СССР от 1 декабря 1918 г. Организатором и первым руководителем института был основоположник современной аэродинамики, член-корреспондент Петербургской Академии наук и Российской академии наук И. Е. Жуковский, имя которого было присвоено институту в 1921 г. В 1930</w:t>
      </w:r>
      <w:r w:rsidRPr="00C33834">
        <w:rPr>
          <w:color w:val="000000" w:themeColor="text1"/>
          <w:sz w:val="16"/>
          <w:szCs w:val="16"/>
        </w:rPr>
        <w:noBreakHyphen/>
        <w:t>1932 гг. на базе отделов и лабораторий ЦАГИ были созданы новые научно-исследовательские учреждения: конструкторское бюро А. Н. Туполева, Всесоюзный институт авиационных материалов (ВИАМ), Центральный ветроэнергетический институт (ЦВЭИ), Всесоюзный институт гидромашиностроения (ВИГМ). ЦАГИ развивался как комплексный институт, тесно связанный с промышленностью. Он осуществлял научное сопровождение при создании практически любого летательного аппарата, разрабатывал методы расчета для конструкторов. Без его санкции ни один опытный самолет не мог подняться в воздух. В ноябре 1935 г. была заложена новая база института в Подмосковье. Новые задачи, стоящие перед ЦАГИ были сформулированы в постановлении СТО № ОК</w:t>
      </w:r>
      <w:r w:rsidRPr="00C33834">
        <w:rPr>
          <w:color w:val="000000" w:themeColor="text1"/>
          <w:sz w:val="16"/>
          <w:szCs w:val="16"/>
        </w:rPr>
        <w:noBreakHyphen/>
        <w:t>131с от 28 мая 1936 г. «О научно-исследовательском экспериментальном авиационном институте (ЦАГИ)». В нем говорилось, что ЦАГИ должен быть превращен в научно-исследовательский экспериментальный авиационный институт для обслуживания конструкторских бюро и заводов серийного производства авиационной промышленности. Его задача — «обеспечение авиационной промышленности научно-техническими проверенными данными в законченной форме, непосредственно прилагаемыми к практике, позволяющими производить выпуск технически совершенных самолетов». Из ЦАГИ выделялись в самостоятельное подразделение, подчиненное непосредственно Глававиапрому, ряд конструкторских бюро и завод опытных конструкций. Усиливалась экспериментальная работа по вооружению, оборудованию и снаряжению самолетов, для чего было создано 6 лабораторий: моторного оборудования, винтовая, высотная, по вооружению, самолетного оборудования, механического оборудования самолетов и глиссеров и посадочных приспособлений. (ГА РФ. Ф. Р</w:t>
      </w:r>
      <w:r w:rsidRPr="00C33834">
        <w:rPr>
          <w:color w:val="000000" w:themeColor="text1"/>
          <w:sz w:val="16"/>
          <w:szCs w:val="16"/>
        </w:rPr>
        <w:noBreakHyphen/>
        <w:t>8418. Оп. 28. Д. 9. Л. 164</w:t>
      </w:r>
      <w:r w:rsidRPr="00C33834">
        <w:rPr>
          <w:color w:val="000000" w:themeColor="text1"/>
          <w:sz w:val="16"/>
          <w:szCs w:val="16"/>
        </w:rPr>
        <w:noBreakHyphen/>
        <w:t>165).</w:t>
      </w:r>
    </w:p>
    <w:p w14:paraId="3D5C23D0" w14:textId="77777777" w:rsidR="00116626" w:rsidRPr="00C33834" w:rsidRDefault="00116626" w:rsidP="00C33834">
      <w:pPr>
        <w:pStyle w:val="rtejustify"/>
        <w:spacing w:before="0" w:after="0"/>
        <w:rPr>
          <w:color w:val="000000" w:themeColor="text1"/>
          <w:sz w:val="16"/>
          <w:szCs w:val="16"/>
        </w:rPr>
      </w:pPr>
      <w:r w:rsidRPr="00C33834">
        <w:rPr>
          <w:color w:val="000000" w:themeColor="text1"/>
          <w:sz w:val="16"/>
          <w:szCs w:val="16"/>
        </w:rPr>
        <w:t>⁴* Здесь и далее даты в скобках вписаны от руки.</w:t>
      </w:r>
    </w:p>
    <w:p w14:paraId="12D6C0D3" w14:textId="77777777" w:rsidR="00116626" w:rsidRPr="00C33834" w:rsidRDefault="00116626" w:rsidP="00C33834">
      <w:pPr>
        <w:pStyle w:val="rtejustify"/>
        <w:spacing w:before="0" w:after="0"/>
        <w:rPr>
          <w:color w:val="000000" w:themeColor="text1"/>
          <w:sz w:val="16"/>
          <w:szCs w:val="16"/>
        </w:rPr>
      </w:pPr>
      <w:r w:rsidRPr="00C33834">
        <w:rPr>
          <w:color w:val="000000" w:themeColor="text1"/>
          <w:sz w:val="16"/>
          <w:szCs w:val="16"/>
        </w:rPr>
        <w:lastRenderedPageBreak/>
        <w:t>⁵* Над рукописной датой карандашом вписано — «1 ноября».</w:t>
      </w:r>
    </w:p>
    <w:p w14:paraId="53B02575" w14:textId="77777777" w:rsidR="00116626" w:rsidRPr="00C33834" w:rsidRDefault="00116626" w:rsidP="00C33834">
      <w:pPr>
        <w:pStyle w:val="rtejustify"/>
        <w:spacing w:before="0" w:after="0"/>
        <w:rPr>
          <w:color w:val="000000" w:themeColor="text1"/>
          <w:sz w:val="16"/>
          <w:szCs w:val="16"/>
        </w:rPr>
      </w:pPr>
      <w:r w:rsidRPr="00C33834">
        <w:rPr>
          <w:color w:val="000000" w:themeColor="text1"/>
          <w:sz w:val="16"/>
          <w:szCs w:val="16"/>
        </w:rPr>
        <w:t>⁶* Здесь и далее: даты в скобках вписаны от руки.</w:t>
      </w:r>
    </w:p>
    <w:p w14:paraId="2799EC4C" w14:textId="77777777" w:rsidR="00116626" w:rsidRPr="00C33834" w:rsidRDefault="00116626" w:rsidP="00C33834">
      <w:pPr>
        <w:pStyle w:val="rtejustify"/>
        <w:spacing w:before="0" w:after="0"/>
        <w:rPr>
          <w:color w:val="000000" w:themeColor="text1"/>
          <w:sz w:val="16"/>
          <w:szCs w:val="16"/>
        </w:rPr>
      </w:pPr>
      <w:r w:rsidRPr="00C33834">
        <w:rPr>
          <w:color w:val="000000" w:themeColor="text1"/>
          <w:sz w:val="16"/>
          <w:szCs w:val="16"/>
        </w:rPr>
        <w:t>⁷* Строка вписана карандашом.</w:t>
      </w:r>
    </w:p>
    <w:p w14:paraId="570ADD93" w14:textId="77777777" w:rsidR="00116626" w:rsidRPr="00C33834" w:rsidRDefault="00116626" w:rsidP="00C33834">
      <w:pPr>
        <w:pStyle w:val="rtejustify"/>
        <w:spacing w:before="0" w:after="0"/>
        <w:rPr>
          <w:color w:val="000000" w:themeColor="text1"/>
          <w:sz w:val="16"/>
          <w:szCs w:val="16"/>
        </w:rPr>
      </w:pPr>
      <w:r w:rsidRPr="00C33834">
        <w:rPr>
          <w:color w:val="000000" w:themeColor="text1"/>
          <w:sz w:val="16"/>
          <w:szCs w:val="16"/>
        </w:rPr>
        <w:t>⁸* </w:t>
      </w:r>
      <w:r w:rsidRPr="00C33834">
        <w:rPr>
          <w:rStyle w:val="af0"/>
          <w:bCs/>
          <w:i w:val="0"/>
          <w:color w:val="000000" w:themeColor="text1"/>
          <w:sz w:val="16"/>
          <w:szCs w:val="16"/>
        </w:rPr>
        <w:t>Двухместный истребитель ДИ</w:t>
      </w:r>
      <w:r w:rsidRPr="00C33834">
        <w:rPr>
          <w:rStyle w:val="af0"/>
          <w:bCs/>
          <w:i w:val="0"/>
          <w:color w:val="000000" w:themeColor="text1"/>
          <w:sz w:val="16"/>
          <w:szCs w:val="16"/>
        </w:rPr>
        <w:noBreakHyphen/>
        <w:t>6</w:t>
      </w:r>
      <w:r w:rsidRPr="00C33834">
        <w:rPr>
          <w:color w:val="000000" w:themeColor="text1"/>
          <w:sz w:val="16"/>
          <w:szCs w:val="16"/>
        </w:rPr>
        <w:t xml:space="preserve"> (ЦКБ</w:t>
      </w:r>
      <w:r w:rsidRPr="00C33834">
        <w:rPr>
          <w:color w:val="000000" w:themeColor="text1"/>
          <w:sz w:val="16"/>
          <w:szCs w:val="16"/>
        </w:rPr>
        <w:noBreakHyphen/>
        <w:t>11) был выпущен бригадой С. А. Кочеригина в конце 1934 г. при непосредственном участии В. П. Яценко. Это был первый в мире истребитель бипланной схемы с убирающимися шасси с двигателем «Райт-Циклон» Ф</w:t>
      </w:r>
      <w:r w:rsidRPr="00C33834">
        <w:rPr>
          <w:color w:val="000000" w:themeColor="text1"/>
          <w:sz w:val="16"/>
          <w:szCs w:val="16"/>
        </w:rPr>
        <w:noBreakHyphen/>
        <w:t>3 в 600 л. с., впоследствии замененным М</w:t>
      </w:r>
      <w:r w:rsidRPr="00C33834">
        <w:rPr>
          <w:color w:val="000000" w:themeColor="text1"/>
          <w:sz w:val="16"/>
          <w:szCs w:val="16"/>
        </w:rPr>
        <w:noBreakHyphen/>
        <w:t>25 в 630/700 л. с. Самолет прошел испытания в мае-ноябре 1935 г. и был принят в серийное производство. За 1937</w:t>
      </w:r>
      <w:r w:rsidRPr="00C33834">
        <w:rPr>
          <w:color w:val="000000" w:themeColor="text1"/>
          <w:sz w:val="16"/>
          <w:szCs w:val="16"/>
        </w:rPr>
        <w:noBreakHyphen/>
        <w:t>1938 гг. было построено 200 самолетов.</w:t>
      </w:r>
    </w:p>
    <w:p w14:paraId="56E3328F" w14:textId="77777777" w:rsidR="00116626" w:rsidRPr="00C33834" w:rsidRDefault="00116626" w:rsidP="00C33834">
      <w:pPr>
        <w:pStyle w:val="rtejustify"/>
        <w:spacing w:before="0" w:after="0"/>
        <w:rPr>
          <w:color w:val="000000" w:themeColor="text1"/>
          <w:sz w:val="16"/>
          <w:szCs w:val="16"/>
        </w:rPr>
      </w:pPr>
      <w:r w:rsidRPr="00C33834">
        <w:rPr>
          <w:color w:val="000000" w:themeColor="text1"/>
          <w:sz w:val="16"/>
          <w:szCs w:val="16"/>
        </w:rPr>
        <w:t>⁹* Напротив двух последних строк вписано: «гос. испытания через 5 месяцев после получения мотора, прошедшего гос. испытания».</w:t>
      </w:r>
    </w:p>
    <w:p w14:paraId="65176FD7" w14:textId="77777777" w:rsidR="00116626" w:rsidRPr="00C33834" w:rsidRDefault="00116626" w:rsidP="00C33834">
      <w:pPr>
        <w:pStyle w:val="rtejustify"/>
        <w:spacing w:before="0" w:after="0"/>
        <w:rPr>
          <w:color w:val="000000" w:themeColor="text1"/>
          <w:sz w:val="16"/>
          <w:szCs w:val="16"/>
        </w:rPr>
      </w:pPr>
      <w:r w:rsidRPr="00C33834">
        <w:rPr>
          <w:color w:val="000000" w:themeColor="text1"/>
          <w:sz w:val="16"/>
          <w:szCs w:val="16"/>
        </w:rPr>
        <w:t>¹⁰* В годы первой и второй пятилеток одной из важнейших отраслей деятельности отечественной авиапромышленности стало опытное строительство сухопутных и морских самолетов. В середине 20</w:t>
      </w:r>
      <w:r w:rsidRPr="00C33834">
        <w:rPr>
          <w:color w:val="000000" w:themeColor="text1"/>
          <w:sz w:val="16"/>
          <w:szCs w:val="16"/>
        </w:rPr>
        <w:noBreakHyphen/>
        <w:t xml:space="preserve">х годов разработка новых образцов </w:t>
      </w:r>
      <w:r w:rsidRPr="00C33834">
        <w:rPr>
          <w:rStyle w:val="af0"/>
          <w:bCs/>
          <w:i w:val="0"/>
          <w:color w:val="000000" w:themeColor="text1"/>
          <w:sz w:val="16"/>
          <w:szCs w:val="16"/>
        </w:rPr>
        <w:t>гидросамолетов</w:t>
      </w:r>
      <w:r w:rsidRPr="00C33834">
        <w:rPr>
          <w:color w:val="000000" w:themeColor="text1"/>
          <w:sz w:val="16"/>
          <w:szCs w:val="16"/>
        </w:rPr>
        <w:t xml:space="preserve"> осуществлялась в ЦАГИ в отделах морского самолетостроения (ОМОС) под руководством Д. П. Григоровича и отделе авиации, гидроавиации и опытного строительства (АГОС) под руководством А. Н. Туполева. Существенные трудности создавало отсутствие в СССР алюминиевого производства. В объяснительной записке Авиатреста к 5</w:t>
      </w:r>
      <w:r w:rsidRPr="00C33834">
        <w:rPr>
          <w:color w:val="000000" w:themeColor="text1"/>
          <w:sz w:val="16"/>
          <w:szCs w:val="16"/>
        </w:rPr>
        <w:noBreakHyphen/>
        <w:t>летнему плану работы на 1928/29</w:t>
      </w:r>
      <w:r w:rsidRPr="00C33834">
        <w:rPr>
          <w:color w:val="000000" w:themeColor="text1"/>
          <w:sz w:val="16"/>
          <w:szCs w:val="16"/>
        </w:rPr>
        <w:noBreakHyphen/>
        <w:t>1932/33 гг. «Об опытном строительстве» от 5 октября 1929 г. был намечен целый ряд мероприятий, направленных на форсирование разработки и внедрения новых гидросамолетов. Эта работа велась по трем основным направлениям: привлечение иностранной технической помощи; создание необходимой испытательной и производственной базы для серийного производства (на заводе № 22 создавался опытный отдел морского самолетостроения и выделялся в самостоятельную хозяйственную и административную единицу); создание новых высокосортных сталей, легких сплавов (кольчугалюминия) в промышленных масштабах. На эти мероприятия правительством в 1932</w:t>
      </w:r>
      <w:r w:rsidRPr="00C33834">
        <w:rPr>
          <w:color w:val="000000" w:themeColor="text1"/>
          <w:sz w:val="16"/>
          <w:szCs w:val="16"/>
        </w:rPr>
        <w:noBreakHyphen/>
        <w:t>1933 гг. было выделено 11 млн. руб. 13 августа 1933 г. СТО СССР принял постановление № 72сс «О форсировании морского гидросамолетостроения». В справке, составленной начальником ГУАП Г. Н. Королевым 21 декабря 1933 г. были даны сведения по заводам морского самолетостроения о состоянии работ по указанному постановлению. Завод № 31 приступил к подготовке серийного производства гидросамолета МБР</w:t>
      </w:r>
      <w:r w:rsidRPr="00C33834">
        <w:rPr>
          <w:color w:val="000000" w:themeColor="text1"/>
          <w:sz w:val="16"/>
          <w:szCs w:val="16"/>
        </w:rPr>
        <w:noBreakHyphen/>
        <w:t>2, который в 1934 г. планировалось выпустить в количестве 250 шт. По гидросамолету МДР</w:t>
      </w:r>
      <w:r w:rsidRPr="00C33834">
        <w:rPr>
          <w:color w:val="000000" w:themeColor="text1"/>
          <w:sz w:val="16"/>
          <w:szCs w:val="16"/>
        </w:rPr>
        <w:noBreakHyphen/>
        <w:t>4 планировалось выпустить 3 самолета и к концу 1934 г. приступить к серийному производству. На заводе № 22 проходила разработка технологического процесса для постановки производства этих самолетов. На заводах № 125 и № 126 также готовилась технологическая база для указанных самолетов. Имеется также докладная записка Г. Н. Королева в ЦК ВКП(б) от 5 сентября 1935 г., в которой даны сведения о производстве заводом № 31 самолетов МБР-2. Несмотря на все усилия, указанные образцы морских самолетов после ряда испытаний не были внедрены в серийное производство и так и остались экспериментальными моделями отечественного цельнометаллического гидросамолетостроения, однако, полученный опыт составил основу для дальнейшего развития отечественной морской авиации. (РГАЭ. Ф. 8328. Оп. 1. Д. 449. Л. 336 об.</w:t>
      </w:r>
      <w:r w:rsidRPr="00C33834">
        <w:rPr>
          <w:color w:val="000000" w:themeColor="text1"/>
          <w:sz w:val="16"/>
          <w:szCs w:val="16"/>
        </w:rPr>
        <w:noBreakHyphen/>
        <w:t>329 об.; ГАРФ. Ф. Р</w:t>
      </w:r>
      <w:r w:rsidRPr="00C33834">
        <w:rPr>
          <w:color w:val="000000" w:themeColor="text1"/>
          <w:sz w:val="16"/>
          <w:szCs w:val="16"/>
        </w:rPr>
        <w:noBreakHyphen/>
        <w:t>8418. Оп. 8. Д. 67. Л. 54</w:t>
      </w:r>
      <w:r w:rsidRPr="00C33834">
        <w:rPr>
          <w:color w:val="000000" w:themeColor="text1"/>
          <w:sz w:val="16"/>
          <w:szCs w:val="16"/>
        </w:rPr>
        <w:noBreakHyphen/>
        <w:t>55; АП РФ. Ф. 3. Оп. 46. Д. 7. Л. 17</w:t>
      </w:r>
      <w:r w:rsidRPr="00C33834">
        <w:rPr>
          <w:color w:val="000000" w:themeColor="text1"/>
          <w:sz w:val="16"/>
          <w:szCs w:val="16"/>
        </w:rPr>
        <w:noBreakHyphen/>
        <w:t>23).</w:t>
      </w:r>
    </w:p>
    <w:p w14:paraId="4F2A676B" w14:textId="77777777" w:rsidR="00116626" w:rsidRPr="00C33834" w:rsidRDefault="00116626" w:rsidP="00C33834">
      <w:pPr>
        <w:pStyle w:val="rtejustify"/>
        <w:spacing w:before="0" w:after="0"/>
        <w:rPr>
          <w:color w:val="000000" w:themeColor="text1"/>
          <w:sz w:val="16"/>
          <w:szCs w:val="16"/>
        </w:rPr>
      </w:pPr>
      <w:r w:rsidRPr="00C33834">
        <w:rPr>
          <w:color w:val="000000" w:themeColor="text1"/>
          <w:sz w:val="16"/>
          <w:szCs w:val="16"/>
        </w:rPr>
        <w:t>¹¹* Приложения в деле отсутствуют.</w:t>
      </w:r>
    </w:p>
    <w:p w14:paraId="28CE4552" w14:textId="77777777" w:rsidR="00116626" w:rsidRPr="00C33834" w:rsidRDefault="00116626" w:rsidP="00C33834">
      <w:pPr>
        <w:pStyle w:val="ae"/>
        <w:spacing w:before="0" w:after="0"/>
        <w:jc w:val="both"/>
        <w:rPr>
          <w:color w:val="000000" w:themeColor="text1"/>
          <w:sz w:val="16"/>
          <w:szCs w:val="16"/>
        </w:rPr>
      </w:pPr>
      <w:r w:rsidRPr="00C33834">
        <w:rPr>
          <w:color w:val="000000" w:themeColor="text1"/>
          <w:sz w:val="16"/>
          <w:szCs w:val="16"/>
        </w:rPr>
        <w:t>РГАЭ. Ф.8328. Оп.1. Д. 698. Л.23-22 об. Заверенная копия (15256).</w:t>
      </w:r>
    </w:p>
    <w:p w14:paraId="0C461F47" w14:textId="77777777" w:rsidR="00116626" w:rsidRPr="00C33834" w:rsidRDefault="00116626" w:rsidP="00C33834">
      <w:pPr>
        <w:autoSpaceDE w:val="0"/>
        <w:autoSpaceDN w:val="0"/>
        <w:adjustRightInd w:val="0"/>
        <w:spacing w:after="0" w:line="240" w:lineRule="auto"/>
        <w:jc w:val="both"/>
        <w:rPr>
          <w:rFonts w:ascii="Times New Roman" w:hAnsi="Times New Roman"/>
          <w:color w:val="000000" w:themeColor="text1"/>
          <w:sz w:val="16"/>
          <w:szCs w:val="16"/>
        </w:rPr>
      </w:pPr>
    </w:p>
    <w:p w14:paraId="792A9B0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марта 1933 состоялось совещание у Нач. УМТСиВ ВВС РККА по вопросу выполнения постановления СНК СССР от 17 сентября 1932 N 1455/308с "О постройке паротурбинного авиадвигателя." (2305,18).</w:t>
      </w:r>
    </w:p>
    <w:p w14:paraId="7289D971"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Протокол</w:t>
      </w:r>
    </w:p>
    <w:p w14:paraId="2D67C0F5"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совещание у начальника УМТС ВВС РККА от 21 марта 1933</w:t>
      </w:r>
    </w:p>
    <w:p w14:paraId="0062490E"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вопросу выполнения постановления СНК СССР от 17.1Х-32 г. за № № 1455/308с "О постройке паротурбинного авиационного двигателя".</w:t>
      </w:r>
    </w:p>
    <w:p w14:paraId="55994D97"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ПРИСУТСТВОВАЛИ: Начальник УМТСиВ ВВС РККА </w:t>
      </w:r>
      <w:r w:rsidRPr="00C33834">
        <w:rPr>
          <w:rFonts w:ascii="Times New Roman" w:hAnsi="Times New Roman"/>
          <w:color w:val="000000" w:themeColor="text1"/>
          <w:sz w:val="16"/>
          <w:szCs w:val="16"/>
        </w:rPr>
        <w:tab/>
        <w:t>т. МАРОВ.</w:t>
      </w:r>
    </w:p>
    <w:p w14:paraId="754279D6"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Пом. Начальника ГУАПа....</w:t>
      </w:r>
      <w:r w:rsidRPr="00C33834">
        <w:rPr>
          <w:rFonts w:ascii="Times New Roman" w:hAnsi="Times New Roman"/>
          <w:color w:val="000000" w:themeColor="text1"/>
          <w:sz w:val="16"/>
          <w:szCs w:val="16"/>
        </w:rPr>
        <w:tab/>
        <w:t>т. АЛМАЗОВ.</w:t>
      </w:r>
    </w:p>
    <w:p w14:paraId="1249091F"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Главный Иженер НИИ..... - т. АУЗАН.</w:t>
      </w:r>
    </w:p>
    <w:p w14:paraId="16EF9FD7"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л у ш а л и :</w:t>
      </w:r>
    </w:p>
    <w:p w14:paraId="01D3A9B7"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материально-технического снабжения и воору</w:t>
      </w:r>
      <w:r w:rsidRPr="00C33834">
        <w:rPr>
          <w:rFonts w:ascii="Times New Roman" w:hAnsi="Times New Roman"/>
          <w:color w:val="000000" w:themeColor="text1"/>
          <w:sz w:val="16"/>
          <w:szCs w:val="16"/>
        </w:rPr>
        <w:softHyphen/>
        <w:t>жений тов</w:t>
      </w:r>
      <w:r w:rsidRPr="00C33834">
        <w:rPr>
          <w:rFonts w:ascii="Times New Roman" w:hAnsi="Times New Roman"/>
          <w:smallCaps/>
          <w:color w:val="000000" w:themeColor="text1"/>
          <w:sz w:val="16"/>
          <w:szCs w:val="16"/>
        </w:rPr>
        <w:t xml:space="preserve">. МАРОВ </w:t>
      </w:r>
      <w:r w:rsidRPr="00C33834">
        <w:rPr>
          <w:rFonts w:ascii="Times New Roman" w:hAnsi="Times New Roman"/>
          <w:color w:val="000000" w:themeColor="text1"/>
          <w:sz w:val="16"/>
          <w:szCs w:val="16"/>
        </w:rPr>
        <w:t>поставил вопросы:</w:t>
      </w:r>
    </w:p>
    <w:p w14:paraId="30228435"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Что сделано ГУАПом во исполнение постановления Правительства?</w:t>
      </w:r>
    </w:p>
    <w:p w14:paraId="3736BDF9"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Предусмотрено ли ГУАПом для выполнения постановления - 1.000.000 рублей?</w:t>
      </w:r>
    </w:p>
    <w:p w14:paraId="4A22C655"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Выл ли ГУАПом согласован вопрос с НИИ ВВС о проведение работ, вытекающих из постановления СНК?</w:t>
      </w:r>
    </w:p>
    <w:p w14:paraId="331F92A8"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Что намечено ГУАПом во исполнение постановления СНК на 1933 год?</w:t>
      </w:r>
    </w:p>
    <w:p w14:paraId="5D4A0076"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 АЛМАЗОВ:</w:t>
      </w:r>
    </w:p>
    <w:p w14:paraId="7B008901"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ГУАП знает, что ХАИ — по заключенному договору с НИИ ВВС строит и турбины. На основании заключенного договора ХАИ с НИИ ВВС - ГУАП помогал размещению заказов и выполнению фондов. Но посколько ХАИ заявлял, что он субсидируется НИИ ВВС, ГУАП для получения указанной суммы целевого назначения, - ничего не предпринимал и ходатайства не возбуждал.</w:t>
      </w:r>
    </w:p>
    <w:p w14:paraId="5E94D8E8"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части согласования о проведении данной работы, НИИ ВВС перед ГУАПом официально вопроса не ставил. ГУАП, зная о сог</w:t>
      </w:r>
      <w:r w:rsidRPr="00C33834">
        <w:rPr>
          <w:rFonts w:ascii="Times New Roman" w:hAnsi="Times New Roman"/>
          <w:color w:val="000000" w:themeColor="text1"/>
          <w:sz w:val="16"/>
          <w:szCs w:val="16"/>
        </w:rPr>
        <w:softHyphen/>
        <w:t>лашении ХАИ с НИИ ВВС, о постройке турбины - одобрял эти ме</w:t>
      </w:r>
      <w:r w:rsidRPr="00C33834">
        <w:rPr>
          <w:rFonts w:ascii="Times New Roman" w:hAnsi="Times New Roman"/>
          <w:color w:val="000000" w:themeColor="text1"/>
          <w:sz w:val="16"/>
          <w:szCs w:val="16"/>
        </w:rPr>
        <w:softHyphen/>
        <w:t>роприятия.</w:t>
      </w:r>
    </w:p>
    <w:p w14:paraId="0F522BB4"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1933 г. ГУАПом по турбиностроительстау разворачива</w:t>
      </w:r>
      <w:r w:rsidRPr="00C33834">
        <w:rPr>
          <w:rFonts w:ascii="Times New Roman" w:hAnsi="Times New Roman"/>
          <w:color w:val="000000" w:themeColor="text1"/>
          <w:sz w:val="16"/>
          <w:szCs w:val="16"/>
        </w:rPr>
        <w:softHyphen/>
        <w:t>ется группа - ЦИАН, а в остальном интересуемся работой ХАИ.</w:t>
      </w:r>
    </w:p>
    <w:p w14:paraId="5E634FB0"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отношении финансирования, посколько ХАИ заявил, что он обеспечен, согласно договора с НИИ ВВС, потому ГУАПом не предусмотрено никаких средств, однако, оказываем всемерную мо</w:t>
      </w:r>
      <w:r w:rsidRPr="00C33834">
        <w:rPr>
          <w:rFonts w:ascii="Times New Roman" w:hAnsi="Times New Roman"/>
          <w:color w:val="000000" w:themeColor="text1"/>
          <w:sz w:val="16"/>
          <w:szCs w:val="16"/>
        </w:rPr>
        <w:softHyphen/>
        <w:t>ральную помощь, согласовывая эту работу...(2505,18).</w:t>
      </w:r>
    </w:p>
    <w:p w14:paraId="22F4EEBA" w14:textId="77777777" w:rsidR="00474353" w:rsidRPr="00C33834" w:rsidRDefault="0047435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771C9B" w14:textId="77777777" w:rsidR="0047435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9912147" w14:textId="77777777" w:rsidR="00474353" w:rsidRPr="00C33834" w:rsidRDefault="0047435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FB678C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марта 1933г. на верфи деревянного катеростроения Морпогранохраны ОГПУ, созданной в начале 1931, строящейся с 5 июля 1931 и вступившей в строй 23 февраля 1933 г., был заложен первый катер типа «ГК» («габаритный катер») (официально открыта 1.05.1933г.). Всего было предусмотрено 16 стапельных мест для постройки катеров. В 1934 г. верфь передана в ведение НКВД.</w:t>
      </w:r>
      <w:r w:rsidRPr="00C33834">
        <w:rPr>
          <w:rFonts w:ascii="Times New Roman" w:hAnsi="Times New Roman"/>
          <w:color w:val="000000" w:themeColor="text1"/>
          <w:sz w:val="16"/>
          <w:szCs w:val="16"/>
          <w:vertAlign w:val="superscript"/>
        </w:rPr>
        <w:t>131</w:t>
      </w:r>
      <w:r w:rsidRPr="00C33834">
        <w:rPr>
          <w:rFonts w:ascii="Times New Roman" w:hAnsi="Times New Roman"/>
          <w:color w:val="000000" w:themeColor="text1"/>
          <w:sz w:val="16"/>
          <w:szCs w:val="16"/>
        </w:rPr>
        <w:t xml:space="preserve"> В начале 1939г. верфь переименована в завод № 5 НКВД (Завод № 5 НКВД, НКСП, МСП, Государственная судостроительная верфь ОГПУ, Ленинградский Приморский завод (ЛПЗ) МСП, ОАО «Судостроительная фирма (СФ) «Алмаз» /г. Ленинград/ /197110 г. Санкт-Петербург Петровский пр., 26 тел. 235-51-48). В 03.1941 г. завод № 5 передан из НКВД в НКСП.</w:t>
      </w:r>
    </w:p>
    <w:p w14:paraId="06438DC3"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Бывшая верфь Золотова преобразована в Государственную судостроительную мастерскую для постройки пограничных судов и стала отделением верфи Морпогранохраны ОГПУ. В 1931 г. на строящейся верфи по инициативе Д.Л. Блинова организовано собственное КБ.</w:t>
      </w:r>
    </w:p>
    <w:p w14:paraId="68A218C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 СТО № 25 от 1937г. на верфь «для обеспечения производства верфи в военное время» возложена постройка деревянных торпедных катеров.</w:t>
      </w:r>
    </w:p>
    <w:p w14:paraId="2D9E5BB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1941 г. строительство верфи было завершено. В ее составе цехи: судосборочный (стапельный, площадь 4800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деревообрабатывающий, монтажно-сдаточный (840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механический, кузнечный, литейная мастерская.</w:t>
      </w:r>
    </w:p>
    <w:p w14:paraId="2F3092B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начала войны начаты работы по модернизации катеров МО-2 и МО-4 для условий военного времени.</w:t>
      </w:r>
    </w:p>
    <w:p w14:paraId="7579EC5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приказу НКСП № 185 от 12.07.1941 г. часть завода (177 чел.) эвакуирована на завод № 640, затем - на заводы № 345 НКСП и Судоверфь им. Кирова НКРП (Астрахань); всего эвакуировано 405 чел. Основная часть завода продолжила работу в Ленинграде. 31.05.1944г. завод награжден орденом Трудового Красного Знамени.</w:t>
      </w:r>
    </w:p>
    <w:p w14:paraId="616BDE34"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Наряду со строительством новых выполнялся ремонт катеров, поврежденных в боях. Пост. ГКО № 473 от 13.08.1941 г. заводу предписано построить для флота в 1941 г. 30 торпедных катеров. Фактически в 1941 г. построено 3 катера и 7 переоборудовано в вариант малого охотника МО-ДЗ, в 1943г. построено 43 катера. За годы войны отремонтировано около 400 катеров.</w:t>
      </w:r>
    </w:p>
    <w:p w14:paraId="0238579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 1946г. завод № 5 - в ведении МСП. В 1966г. переименован в ЛПЗ. По пр. МСП № 0299 от 1.06.1970 г. завод вошел в состав Производственно-технологического объединения (с 1974г. - ПО) «Алмаз» в качестве площадки № 1 (Петровской площадки). В 1990 г. из состава ПО вышло ЦМКБ «Алмаз», и объединение переименовано в </w:t>
      </w:r>
      <w:r w:rsidRPr="00C33834">
        <w:rPr>
          <w:rFonts w:ascii="Times New Roman" w:hAnsi="Times New Roman"/>
          <w:color w:val="000000" w:themeColor="text1"/>
          <w:sz w:val="16"/>
          <w:szCs w:val="16"/>
          <w:lang w:val="en-US"/>
        </w:rPr>
        <w:t>JICO</w:t>
      </w:r>
      <w:r w:rsidRPr="00C33834">
        <w:rPr>
          <w:rFonts w:ascii="Times New Roman" w:hAnsi="Times New Roman"/>
          <w:color w:val="000000" w:themeColor="text1"/>
          <w:sz w:val="16"/>
          <w:szCs w:val="16"/>
        </w:rPr>
        <w:t>, а с 1.10.1991 г. - СО «Алмаз». 20.03.1991 г. объединение преобразовано в СФ «Алмаз».</w:t>
      </w:r>
    </w:p>
    <w:p w14:paraId="4686235C"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1.04.1956г. пр. № 037 от 16.02.1956г. цех № 6 завода передан созданному ЦКБ-5 в качестве филиала. В 1958г. действовал филиал завода № 5 на Феодосийском ССЗ «Море».</w:t>
      </w:r>
      <w:r w:rsidRPr="00C33834">
        <w:rPr>
          <w:rFonts w:ascii="Times New Roman" w:hAnsi="Times New Roman"/>
          <w:color w:val="000000" w:themeColor="text1"/>
          <w:sz w:val="16"/>
          <w:szCs w:val="16"/>
          <w:vertAlign w:val="superscript"/>
        </w:rPr>
        <w:t>3</w:t>
      </w:r>
    </w:p>
    <w:p w14:paraId="23076DE6"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ПСМ № 2521-1213сс от 29.12.1954г. начато строительство опытной серии малого охотника пр. 199.</w:t>
      </w:r>
    </w:p>
    <w:p w14:paraId="6F0FC32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1950-х г. для производства стальных ракетных катеров пр. 205 проведена реконструкция завода (производство деревянных катеров сохранено). Организован корпусообрабатывающий цех, участки химической очистки и пассивирования металла, построена новая трансформаторная подстанция. Переоборудован эллинг № 3, там организованы участки узловой и секционной сборки. Рядом с эллингом был вырыт ковш, соединенный с акваторией Малой Невы, и в нем построен новый поперечный слип. С 1961 г. начата серийная постройка катеров пр. 205.</w:t>
      </w:r>
    </w:p>
    <w:p w14:paraId="4ABDBA2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распоряжением правительства № 402Р от 10.03.1964г. для строительства малых ракетных кораблей (МРК) пр. 1234 проведена очередная реконструкция завода. Прекращено строительство деревянных катеров, полностью переоборудован эллинг № 1. Для спуска МРК спроектирован (ГСПИ-2) комплекс гидротехнических сооружений, включавший причал, спусковой передаточный док пр. 960 грузоподъемностью 1000 т, достроечную набережную. В 1966г. построен новый двухпролетный цех корпусообработки</w:t>
      </w:r>
    </w:p>
    <w:p w14:paraId="6B9A689D"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1970-х г. завод специализировался на постройке головных образцов заказов с целью отработки технологии.</w:t>
      </w:r>
    </w:p>
    <w:p w14:paraId="1DAC4D1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1980-е г. на заводе начато строительство эллинга для постройки экранопланов, закончено не было.</w:t>
      </w:r>
    </w:p>
    <w:p w14:paraId="76154CB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1.07.1993г. в результате акционирования предприятие разделено на АООТ «СФ «Алмаз» (площадка № 1) и МЗ «Алмаз» (площадка № 2). 12.07.1996г. АООТ преобразовано в ОАО «СФ «Алмаз». Входило в состав ОАО ОМЗ (2003г.), ГК МНП (2004г.). В 08.2005г. предприятие продано Л. Грабовцу, в 07.2006г. продано ПО «Ленстройматериалы». В 02.2007г. планировалось слияние СФ «Алмаз» с МЗ «Алмаз».</w:t>
      </w:r>
    </w:p>
    <w:p w14:paraId="2A2D8DA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решению правительства № 22-р от 9.01.2004г. вошло в перечень стратегических предприятий.</w:t>
      </w:r>
    </w:p>
    <w:p w14:paraId="30A12DD8"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1990-х г. в порядке конверсии производства были спроектированы и изготовлены рассадопосадочные машины для посадки капусты. В 1990-е г. освоено производство крейсерских яхт. Выпускались также изделия для аэрокосмической отрасли (устройства для транспортировки частей КА к местам старта), оборудование для АЭС.</w:t>
      </w:r>
    </w:p>
    <w:p w14:paraId="326884F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концу 1990-х г. было завершено техническое перевооружение производства. Цехи близкой направленности были объединены в отдельные производства. В 2000 г. введен в эксплуатацию новый эллинг площадью 9 тыс.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В составе предприятия (2000-е): производства: корпусообрабатывающее, сборочно-сварочное, стапельно- монтажное (11 стапельных дорожек), достроечно-сдаточное, машиностроительное; 2 эллинга (58х 150 м); достроечная набережная (250 м); два плавучих дока (грузоподъемность 1000-2500 т и 1500-3500 т); Центр информационных технологий (ЦИТ).</w:t>
      </w:r>
    </w:p>
    <w:p w14:paraId="6EC10AB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к 2005г. построено более 1000 кораблей и катеров.</w:t>
      </w:r>
    </w:p>
    <w:p w14:paraId="7EC4B6F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Имелось Московское представительство (зам. директора (2006г.)- И. Вишняков).</w:t>
      </w:r>
    </w:p>
    <w:p w14:paraId="5BAB18AF"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территории (2006г.)- 16,5 га; застройки (2006г.)- около 50 тыс.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производственная (2009г.)- 30,4 тыс.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w:t>
      </w:r>
    </w:p>
    <w:p w14:paraId="4DDEE96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Численность персонала (06.1941 г.)- 2845 чел., (12.1941 г.)- 730 чел., (2009г.)- более 1000 чел.</w:t>
      </w:r>
    </w:p>
    <w:p w14:paraId="7BAC3F72"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Владелец (08.2005г.-)- Л.Г. Грабовец.</w:t>
      </w:r>
    </w:p>
    <w:p w14:paraId="1A0AF95E"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(1932-33г.)- Д.Л. Блинов, (1933-34г.)- А.В. Крюков, (1934г.)- М.А. Цикановский, (1935-37г.)- Ф.Н. Глушко, (05.1937г.-)- Е.Я. Локшин. Директор (-1949г.)- Е.Я. Локшин, (1949-56г.)- И.Д. Яблоков, (1956-67г.)- В.Д. Колечицкий, (1967-70 г.)- Ю.П. Кузьмин. Гендиректор (1970-71 г.)- Е.И. Юхнин, (1972-76г.)- Ю.Г. Полухин, (1976- 86г.)- В.К. Косенков, (1986-2001 г.)- А.П. Королев, (2001-07г.-)- Л.Г. Грабовец.</w:t>
      </w:r>
    </w:p>
    <w:p w14:paraId="320D55DA"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Технический директор (2005г.)- В. Демченко. Директор по маркетингу (2006г.)- С. Галиченко.</w:t>
      </w:r>
    </w:p>
    <w:p w14:paraId="44A369B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(1933г.)- В.Е. Бурачек, (1941 г.)- И.К. Силин, (1944г.)- А.Ф. Симин, (1970-е)- А.А. Пономарев.</w:t>
      </w:r>
    </w:p>
    <w:p w14:paraId="4C1B129B"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цехов: (2000 г.)- М.С. Каримова.</w:t>
      </w:r>
    </w:p>
    <w:p w14:paraId="45A5939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строители: (1943-45г.)- А.Д. Симин, (1957г.)- Н.И. Мартынычев.</w:t>
      </w:r>
    </w:p>
    <w:p w14:paraId="7C1B9BB5"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Строители судов: (ВОВ)- Л.Н. Одинцов, (07.1941 г.)- А.А. Тимофеев, (1967г.)- Б.П. Дитятьев (пр. 1234), (1970- е&gt; И.И. Костинский, (1970-е)- В.И. Мерцалов, (1970-е)- В.И. Сибирцев, (1970-е)- М.И. Тузов, (1970-е)- М.И. Украинский.</w:t>
      </w:r>
    </w:p>
    <w:p w14:paraId="4A31742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катера: морской «ГК» ПК-110 (1933-34)- 16, представительский ГК-4 (1941)- 1; торпедные: ДТК (1936-)- 3, Д-2 (1939)- 1, Д-3 (пр. П-19, 1939-44)- 67, Д-4 (1941-, не достроен), пр. ТД-200 (1946)- 1, ТД- 200бис (1947-52)- 168; сборка американских катеров А-1 «Воспер» (1944-47)- 14 и А-3 «ЭЛКО» (1944-47)- 29; пр. 183 (1949-60)- 361 (вместе с заводами 602, 640), пр. 183ТК (1956-57)- 25, представительский пр. 183Ш (1960-е); пр. 206М (1970-76)- 24 (вместе с заводами 341, 363 и 602); сторожевые (малые охотники): II серии МО-2 (1934- 35)- 32, IV серии МО-4 (1936-41)- 228, МО-ДЗ (1942-43-)- 46; пр. ПП-19-0 (1943), ПП-19-ОК (1944-45)- всего 46; малый охотник пр. 199 (1954-55)- 52; тральщик, сторожевик КМ-2 и КМ-4 (-1941-45)- 207; БК-2 (1941)- 6; десантный К-ЗИС-5 (1941-45)- 128;</w:t>
      </w:r>
      <w:r w:rsidRPr="00C33834">
        <w:rPr>
          <w:rFonts w:ascii="Times New Roman" w:hAnsi="Times New Roman"/>
          <w:color w:val="000000" w:themeColor="text1"/>
          <w:sz w:val="16"/>
          <w:szCs w:val="16"/>
          <w:vertAlign w:val="superscript"/>
        </w:rPr>
        <w:t>115</w:t>
      </w:r>
      <w:r w:rsidRPr="00C33834">
        <w:rPr>
          <w:rFonts w:ascii="Times New Roman" w:hAnsi="Times New Roman"/>
          <w:color w:val="000000" w:themeColor="text1"/>
          <w:sz w:val="16"/>
          <w:szCs w:val="16"/>
        </w:rPr>
        <w:t xml:space="preserve"> катерный тральщик пр. Т351 (1949); ракетные: пр. 183Э переоборудованы из ТКА-14, -15 (1957)- 2, пр. 183Р (1959-65)- 26 и 30 переоборудовано по пр. 183РТР (по другим данным, всего </w:t>
      </w:r>
      <w:r w:rsidRPr="00C33834">
        <w:rPr>
          <w:rFonts w:ascii="Times New Roman" w:hAnsi="Times New Roman"/>
          <w:color w:val="000000" w:themeColor="text1"/>
          <w:sz w:val="16"/>
          <w:szCs w:val="16"/>
          <w:vertAlign w:val="subscript"/>
        </w:rPr>
        <w:t>60</w:t>
      </w:r>
      <w:r w:rsidR="000656DA" w:rsidRPr="00C33834">
        <w:rPr>
          <w:rFonts w:ascii="Times New Roman" w:hAnsi="Times New Roman"/>
          <w:color w:val="000000" w:themeColor="text1"/>
          <w:sz w:val="16"/>
          <w:szCs w:val="16"/>
        </w:rPr>
        <w:fldChar w:fldCharType="begin"/>
      </w:r>
      <w:r w:rsidR="000656DA" w:rsidRPr="00C33834">
        <w:rPr>
          <w:rFonts w:ascii="Times New Roman" w:hAnsi="Times New Roman"/>
          <w:color w:val="000000" w:themeColor="text1"/>
          <w:sz w:val="16"/>
          <w:szCs w:val="16"/>
        </w:rPr>
        <w:instrText xml:space="preserve">ref  HYPERLINK "http://www.aimazmfo"  \* MERGEFORMAT </w:instrText>
      </w:r>
      <w:r w:rsidR="000656DA" w:rsidRPr="00C33834">
        <w:rPr>
          <w:rFonts w:ascii="Times New Roman" w:hAnsi="Times New Roman"/>
          <w:color w:val="000000" w:themeColor="text1"/>
          <w:sz w:val="16"/>
          <w:szCs w:val="16"/>
        </w:rPr>
        <w:fldChar w:fldCharType="separate"/>
      </w:r>
      <w:r w:rsidRPr="00C33834">
        <w:rPr>
          <w:rFonts w:ascii="Times New Roman" w:hAnsi="Times New Roman"/>
          <w:color w:val="000000" w:themeColor="text1"/>
          <w:sz w:val="16"/>
          <w:szCs w:val="16"/>
          <w:lang w:val="en-US"/>
        </w:rPr>
        <w:t>www</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aimazmfo</w:t>
      </w:r>
      <w:r w:rsidR="000656DA" w:rsidRPr="00C33834">
        <w:rPr>
          <w:rFonts w:ascii="Times New Roman" w:hAnsi="Times New Roman"/>
          <w:color w:val="000000" w:themeColor="text1"/>
          <w:sz w:val="16"/>
          <w:szCs w:val="16"/>
          <w:lang w:val="en-US"/>
        </w:rPr>
        <w:fldChar w:fldCharType="end"/>
      </w:r>
      <w:r w:rsidRPr="00C33834">
        <w:rPr>
          <w:rFonts w:ascii="Times New Roman" w:hAnsi="Times New Roman"/>
          <w:color w:val="000000" w:themeColor="text1"/>
          <w:sz w:val="16"/>
          <w:szCs w:val="16"/>
          <w:vertAlign w:val="subscript"/>
        </w:rPr>
        <w:t>); щ 2</w:t>
      </w:r>
      <w:r w:rsidRPr="00C33834">
        <w:rPr>
          <w:rFonts w:ascii="Times New Roman" w:hAnsi="Times New Roman"/>
          <w:color w:val="000000" w:themeColor="text1"/>
          <w:sz w:val="16"/>
          <w:szCs w:val="16"/>
          <w:vertAlign w:val="subscript"/>
          <w:lang w:val="en-US"/>
        </w:rPr>
        <w:t>Q</w:t>
      </w:r>
      <w:r w:rsidRPr="00C33834">
        <w:rPr>
          <w:rFonts w:ascii="Times New Roman" w:hAnsi="Times New Roman"/>
          <w:color w:val="000000" w:themeColor="text1"/>
          <w:sz w:val="16"/>
          <w:szCs w:val="16"/>
          <w:vertAlign w:val="subscript"/>
        </w:rPr>
        <w:t>5 (1959</w:t>
      </w:r>
      <w:r w:rsidRPr="00C33834">
        <w:rPr>
          <w:rFonts w:ascii="Times New Roman" w:hAnsi="Times New Roman"/>
          <w:color w:val="000000" w:themeColor="text1"/>
          <w:sz w:val="16"/>
          <w:szCs w:val="16"/>
        </w:rPr>
        <w:t>_</w:t>
      </w:r>
      <w:r w:rsidRPr="00C33834">
        <w:rPr>
          <w:rFonts w:ascii="Times New Roman" w:hAnsi="Times New Roman"/>
          <w:color w:val="000000" w:themeColor="text1"/>
          <w:sz w:val="16"/>
          <w:szCs w:val="16"/>
          <w:vertAlign w:val="subscript"/>
        </w:rPr>
        <w:t>66)</w:t>
      </w:r>
      <w:r w:rsidRPr="00C33834">
        <w:rPr>
          <w:rFonts w:ascii="Times New Roman" w:hAnsi="Times New Roman"/>
          <w:color w:val="000000" w:themeColor="text1"/>
          <w:sz w:val="16"/>
          <w:szCs w:val="16"/>
        </w:rPr>
        <w:t xml:space="preserve">_ </w:t>
      </w:r>
      <w:r w:rsidRPr="00C33834">
        <w:rPr>
          <w:rFonts w:ascii="Times New Roman" w:hAnsi="Times New Roman"/>
          <w:color w:val="000000" w:themeColor="text1"/>
          <w:sz w:val="16"/>
          <w:szCs w:val="16"/>
          <w:vertAlign w:val="subscript"/>
        </w:rPr>
        <w:t>68? пр 2</w:t>
      </w:r>
      <w:r w:rsidRPr="00C33834">
        <w:rPr>
          <w:rFonts w:ascii="Times New Roman" w:hAnsi="Times New Roman"/>
          <w:color w:val="000000" w:themeColor="text1"/>
          <w:sz w:val="16"/>
          <w:szCs w:val="16"/>
        </w:rPr>
        <w:t>05У (1965-72)- 19 (по другим данным, всего 89); пр. 12411 «Молния-1» с ПКР «Термит» (1979-80)- 1, (1982)- 1, (1983)-1; пограничный пр. 205П (1967-89)- 111,</w:t>
      </w:r>
    </w:p>
    <w:p w14:paraId="6640D5C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экспериментальный пр. 205ПЭ (1970), экспортный пр. 02059 для Кубы и Кампучии (1984-89)- 8; искатель мин пр. 257Д (1961-65)- 20 (вместе с заводами 602 и 789); рабочие: бортовой КРМ-10 (1950), пр. 337; пограничные сторожевые пр. 1400, пр. 1400М, представительский пр. 1400А (1970-е)- 4, экспортный пр. 1400МЭ (1970-91)- всего более 200 (вместе с заводами «Море» и Батумским); баркас моторный БМ-16 (1949)- 1; телеуправляемая мишень пр. 1392 (1966-80); самоходные десантные баржи: типа Т-4м «Танкист», типа А-3 «Артиллерист» (1950- е); рейдовый тральщик пр. 1258 «Корунд» (1967)- 1; МРК: пр. 1234 «Буря» (01.1967-69), (-1981), пр. 1234.1 «Овод» («Бурун», 1977-91)- всего 30; экспортный пр. 1234Э для Индии «Ураган» ("</w:t>
      </w:r>
      <w:r w:rsidRPr="00C33834">
        <w:rPr>
          <w:rFonts w:ascii="Times New Roman" w:hAnsi="Times New Roman"/>
          <w:color w:val="000000" w:themeColor="text1"/>
          <w:sz w:val="16"/>
          <w:szCs w:val="16"/>
          <w:lang w:val="en-US"/>
        </w:rPr>
        <w:t>VijayDurg</w:t>
      </w:r>
      <w:r w:rsidRPr="00C33834">
        <w:rPr>
          <w:rFonts w:ascii="Times New Roman" w:hAnsi="Times New Roman"/>
          <w:color w:val="000000" w:themeColor="text1"/>
          <w:sz w:val="16"/>
          <w:szCs w:val="16"/>
        </w:rPr>
        <w:t>"), «Прибой» ("</w:t>
      </w:r>
      <w:r w:rsidRPr="00C33834">
        <w:rPr>
          <w:rFonts w:ascii="Times New Roman" w:hAnsi="Times New Roman"/>
          <w:color w:val="000000" w:themeColor="text1"/>
          <w:sz w:val="16"/>
          <w:szCs w:val="16"/>
          <w:lang w:val="en-US"/>
        </w:rPr>
        <w:t>SihdhuDurg</w:t>
      </w:r>
      <w:r w:rsidRPr="00C33834">
        <w:rPr>
          <w:rFonts w:ascii="Times New Roman" w:hAnsi="Times New Roman"/>
          <w:color w:val="000000" w:themeColor="text1"/>
          <w:sz w:val="16"/>
          <w:szCs w:val="16"/>
        </w:rPr>
        <w:t>"), «Прилив» ("</w:t>
      </w:r>
      <w:r w:rsidRPr="00C33834">
        <w:rPr>
          <w:rFonts w:ascii="Times New Roman" w:hAnsi="Times New Roman"/>
          <w:color w:val="000000" w:themeColor="text1"/>
          <w:sz w:val="16"/>
          <w:szCs w:val="16"/>
          <w:lang w:val="en-US"/>
        </w:rPr>
        <w:t>HosDurg</w:t>
      </w:r>
      <w:r w:rsidRPr="00C33834">
        <w:rPr>
          <w:rFonts w:ascii="Times New Roman" w:hAnsi="Times New Roman"/>
          <w:color w:val="000000" w:themeColor="text1"/>
          <w:sz w:val="16"/>
          <w:szCs w:val="16"/>
        </w:rPr>
        <w:t>"), для Алжира МРК-21 ("</w:t>
      </w:r>
      <w:r w:rsidRPr="00C33834">
        <w:rPr>
          <w:rFonts w:ascii="Times New Roman" w:hAnsi="Times New Roman"/>
          <w:color w:val="000000" w:themeColor="text1"/>
          <w:sz w:val="16"/>
          <w:szCs w:val="16"/>
          <w:lang w:val="en-US"/>
        </w:rPr>
        <w:t>RasHamidou</w:t>
      </w:r>
      <w:r w:rsidRPr="00C33834">
        <w:rPr>
          <w:rFonts w:ascii="Times New Roman" w:hAnsi="Times New Roman"/>
          <w:color w:val="000000" w:themeColor="text1"/>
          <w:sz w:val="16"/>
          <w:szCs w:val="16"/>
        </w:rPr>
        <w:t>"), МРК-22 ("</w:t>
      </w:r>
      <w:r w:rsidRPr="00C33834">
        <w:rPr>
          <w:rFonts w:ascii="Times New Roman" w:hAnsi="Times New Roman"/>
          <w:color w:val="000000" w:themeColor="text1"/>
          <w:sz w:val="16"/>
          <w:szCs w:val="16"/>
          <w:lang w:val="en-US"/>
        </w:rPr>
        <w:t>ReisAli</w:t>
      </w:r>
      <w:r w:rsidRPr="00C33834">
        <w:rPr>
          <w:rFonts w:ascii="Times New Roman" w:hAnsi="Times New Roman"/>
          <w:color w:val="000000" w:themeColor="text1"/>
          <w:sz w:val="16"/>
          <w:szCs w:val="16"/>
        </w:rPr>
        <w:t xml:space="preserve">"), </w:t>
      </w:r>
      <w:r w:rsidRPr="00C33834">
        <w:rPr>
          <w:rFonts w:ascii="Times New Roman" w:hAnsi="Times New Roman"/>
          <w:color w:val="000000" w:themeColor="text1"/>
          <w:sz w:val="16"/>
          <w:szCs w:val="16"/>
          <w:lang w:val="en-US"/>
        </w:rPr>
        <w:t>MPK</w:t>
      </w:r>
      <w:r w:rsidRPr="00C33834">
        <w:rPr>
          <w:rFonts w:ascii="Times New Roman" w:hAnsi="Times New Roman"/>
          <w:color w:val="000000" w:themeColor="text1"/>
          <w:sz w:val="16"/>
          <w:szCs w:val="16"/>
        </w:rPr>
        <w:t>-23 ("</w:t>
      </w:r>
      <w:r w:rsidRPr="00C33834">
        <w:rPr>
          <w:rFonts w:ascii="Times New Roman" w:hAnsi="Times New Roman"/>
          <w:color w:val="000000" w:themeColor="text1"/>
          <w:sz w:val="16"/>
          <w:szCs w:val="16"/>
          <w:lang w:val="en-US"/>
        </w:rPr>
        <w:t>SalahReis</w:t>
      </w:r>
      <w:r w:rsidRPr="00C33834">
        <w:rPr>
          <w:rFonts w:ascii="Times New Roman" w:hAnsi="Times New Roman"/>
          <w:color w:val="000000" w:themeColor="text1"/>
          <w:sz w:val="16"/>
          <w:szCs w:val="16"/>
        </w:rPr>
        <w:t xml:space="preserve">"), для Ливии </w:t>
      </w:r>
      <w:r w:rsidRPr="00C33834">
        <w:rPr>
          <w:rFonts w:ascii="Times New Roman" w:hAnsi="Times New Roman"/>
          <w:color w:val="000000" w:themeColor="text1"/>
          <w:sz w:val="16"/>
          <w:szCs w:val="16"/>
          <w:lang w:val="en-US"/>
        </w:rPr>
        <w:t>MPK</w:t>
      </w:r>
      <w:r w:rsidRPr="00C33834">
        <w:rPr>
          <w:rFonts w:ascii="Times New Roman" w:hAnsi="Times New Roman"/>
          <w:color w:val="000000" w:themeColor="text1"/>
          <w:sz w:val="16"/>
          <w:szCs w:val="16"/>
        </w:rPr>
        <w:t>-9 ("</w:t>
      </w:r>
      <w:r w:rsidRPr="00C33834">
        <w:rPr>
          <w:rFonts w:ascii="Times New Roman" w:hAnsi="Times New Roman"/>
          <w:color w:val="000000" w:themeColor="text1"/>
          <w:sz w:val="16"/>
          <w:szCs w:val="16"/>
          <w:lang w:val="en-US"/>
        </w:rPr>
        <w:t>EanMara</w:t>
      </w:r>
      <w:r w:rsidRPr="00C33834">
        <w:rPr>
          <w:rFonts w:ascii="Times New Roman" w:hAnsi="Times New Roman"/>
          <w:color w:val="000000" w:themeColor="text1"/>
          <w:sz w:val="16"/>
          <w:szCs w:val="16"/>
        </w:rPr>
        <w:t xml:space="preserve">"), </w:t>
      </w:r>
      <w:r w:rsidRPr="00C33834">
        <w:rPr>
          <w:rFonts w:ascii="Times New Roman" w:hAnsi="Times New Roman"/>
          <w:color w:val="000000" w:themeColor="text1"/>
          <w:sz w:val="16"/>
          <w:szCs w:val="16"/>
          <w:lang w:val="en-US"/>
        </w:rPr>
        <w:t>MPK</w:t>
      </w:r>
      <w:r w:rsidRPr="00C33834">
        <w:rPr>
          <w:rFonts w:ascii="Times New Roman" w:hAnsi="Times New Roman"/>
          <w:color w:val="000000" w:themeColor="text1"/>
          <w:sz w:val="16"/>
          <w:szCs w:val="16"/>
        </w:rPr>
        <w:t>-15 ("</w:t>
      </w:r>
      <w:r w:rsidRPr="00C33834">
        <w:rPr>
          <w:rFonts w:ascii="Times New Roman" w:hAnsi="Times New Roman"/>
          <w:color w:val="000000" w:themeColor="text1"/>
          <w:sz w:val="16"/>
          <w:szCs w:val="16"/>
          <w:lang w:val="en-US"/>
        </w:rPr>
        <w:t>EanZaquit</w:t>
      </w:r>
      <w:r w:rsidRPr="00C33834">
        <w:rPr>
          <w:rFonts w:ascii="Times New Roman" w:hAnsi="Times New Roman"/>
          <w:color w:val="000000" w:themeColor="text1"/>
          <w:sz w:val="16"/>
          <w:szCs w:val="16"/>
        </w:rPr>
        <w:t xml:space="preserve">"), </w:t>
      </w:r>
      <w:r w:rsidRPr="00C33834">
        <w:rPr>
          <w:rFonts w:ascii="Times New Roman" w:hAnsi="Times New Roman"/>
          <w:color w:val="000000" w:themeColor="text1"/>
          <w:sz w:val="16"/>
          <w:szCs w:val="16"/>
          <w:lang w:val="en-US"/>
        </w:rPr>
        <w:t>MPK</w:t>
      </w:r>
      <w:r w:rsidRPr="00C33834">
        <w:rPr>
          <w:rFonts w:ascii="Times New Roman" w:hAnsi="Times New Roman"/>
          <w:color w:val="000000" w:themeColor="text1"/>
          <w:sz w:val="16"/>
          <w:szCs w:val="16"/>
        </w:rPr>
        <w:t>-24 ("</w:t>
      </w:r>
      <w:r w:rsidRPr="00C33834">
        <w:rPr>
          <w:rFonts w:ascii="Times New Roman" w:hAnsi="Times New Roman"/>
          <w:color w:val="000000" w:themeColor="text1"/>
          <w:sz w:val="16"/>
          <w:szCs w:val="16"/>
          <w:lang w:val="en-US"/>
        </w:rPr>
        <w:t>EanA</w:t>
      </w:r>
      <w:r w:rsidRPr="00C33834">
        <w:rPr>
          <w:rFonts w:ascii="Times New Roman" w:hAnsi="Times New Roman"/>
          <w:color w:val="000000" w:themeColor="text1"/>
          <w:sz w:val="16"/>
          <w:szCs w:val="16"/>
        </w:rPr>
        <w:t xml:space="preserve">1 </w:t>
      </w:r>
      <w:r w:rsidRPr="00C33834">
        <w:rPr>
          <w:rFonts w:ascii="Times New Roman" w:hAnsi="Times New Roman"/>
          <w:color w:val="000000" w:themeColor="text1"/>
          <w:sz w:val="16"/>
          <w:szCs w:val="16"/>
          <w:lang w:val="en-US"/>
        </w:rPr>
        <w:t>Gazala</w:t>
      </w:r>
      <w:r w:rsidRPr="00C33834">
        <w:rPr>
          <w:rFonts w:ascii="Times New Roman" w:hAnsi="Times New Roman"/>
          <w:color w:val="000000" w:themeColor="text1"/>
          <w:sz w:val="16"/>
          <w:szCs w:val="16"/>
        </w:rPr>
        <w:t xml:space="preserve">"), </w:t>
      </w:r>
      <w:r w:rsidRPr="00C33834">
        <w:rPr>
          <w:rFonts w:ascii="Times New Roman" w:hAnsi="Times New Roman"/>
          <w:color w:val="000000" w:themeColor="text1"/>
          <w:sz w:val="16"/>
          <w:szCs w:val="16"/>
          <w:lang w:val="en-US"/>
        </w:rPr>
        <w:t>MPK</w:t>
      </w:r>
      <w:r w:rsidRPr="00C33834">
        <w:rPr>
          <w:rFonts w:ascii="Times New Roman" w:hAnsi="Times New Roman"/>
          <w:color w:val="000000" w:themeColor="text1"/>
          <w:sz w:val="16"/>
          <w:szCs w:val="16"/>
        </w:rPr>
        <w:t>-25 ("</w:t>
      </w:r>
      <w:r w:rsidRPr="00C33834">
        <w:rPr>
          <w:rFonts w:ascii="Times New Roman" w:hAnsi="Times New Roman"/>
          <w:color w:val="000000" w:themeColor="text1"/>
          <w:sz w:val="16"/>
          <w:szCs w:val="16"/>
          <w:lang w:val="en-US"/>
        </w:rPr>
        <w:t>EanZara</w:t>
      </w:r>
      <w:r w:rsidRPr="00C33834">
        <w:rPr>
          <w:rFonts w:ascii="Times New Roman" w:hAnsi="Times New Roman"/>
          <w:color w:val="000000" w:themeColor="text1"/>
          <w:sz w:val="16"/>
          <w:szCs w:val="16"/>
        </w:rPr>
        <w:t>") (1976-84)- 10;</w:t>
      </w:r>
      <w:r w:rsidRPr="00C33834">
        <w:rPr>
          <w:rFonts w:ascii="Times New Roman" w:hAnsi="Times New Roman"/>
          <w:color w:val="000000" w:themeColor="text1"/>
          <w:sz w:val="16"/>
          <w:szCs w:val="16"/>
          <w:vertAlign w:val="superscript"/>
        </w:rPr>
        <w:t>3</w:t>
      </w:r>
      <w:r w:rsidRPr="00C33834">
        <w:rPr>
          <w:rFonts w:ascii="Times New Roman" w:hAnsi="Times New Roman"/>
          <w:color w:val="000000" w:themeColor="text1"/>
          <w:sz w:val="16"/>
          <w:szCs w:val="16"/>
        </w:rPr>
        <w:t xml:space="preserve"> пр. 1240 «Ураган» (1972-76)- 1; БРК пр. 12411 «Молния»; ПСКР: пр. 10410 «Светляк» (1989-92), (-05.1999)- 1, (-05.2000)- 1, «Алмаз» (-06.2001), «Ямалец» (2004), зак. № 310 (2000-е)- всего 10; пр. 10412 «Светляк» для Вьетнама (-08.2002)-1, (-09.2002)- 1; пр. 22460 (зак. № 501, 09.2007-); ПКА пр. 12200 «Соболь» (01.2003-2006)- 1, для Туркменистана (-09.2008)- 2; СВП: десантно-штурмовые пр. 1205 «Скат» (1969- 76)- 27 (вместе с заводами 340 и 831); пр. 1206 «Кальмар» (1972-85)- 2 (площадка № 2); МДК пр. 1232 «Джейран» (1970-85)- 20 (из них 19 - на площадке № 2), пр. 12322 «Зубр» (1983-91; 1998)- 6 (площадка № 2), пр. 12322Э для Греции «Кефаллиния» (05-10.2000), «Закинтос» (зак. № 107, -05.2001), «Керкир» (01.2003-06.2004)- 1; лоцманское судно-амфибия пр. 14661 «Рысь» (-12.1998)- 1; пассажирское пр. 15063 «Ирбис» (10.2003-2004); малый артиллерийский корабль пр. 21630 «Буян» «Астрахань» (01.2004-03.2006), «Каспийск» (02.2005-), «Махачкала (03.2006-); правительственные яхты: пр. 360 (1960-63)- 4, пр. 1360 «Кавказ», «Крым» (1978-79г.)- 2; катера: прогулочный пр. 370У (1950-е), пассажирский на ПК пр. 1233 «Тайфун» (1969), типа </w:t>
      </w:r>
      <w:r w:rsidRPr="00C33834">
        <w:rPr>
          <w:rFonts w:ascii="Times New Roman" w:hAnsi="Times New Roman"/>
          <w:color w:val="000000" w:themeColor="text1"/>
          <w:sz w:val="16"/>
          <w:szCs w:val="16"/>
          <w:lang w:val="en-US"/>
        </w:rPr>
        <w:t>SeaHorse</w:t>
      </w:r>
      <w:r w:rsidRPr="00C33834">
        <w:rPr>
          <w:rFonts w:ascii="Times New Roman" w:hAnsi="Times New Roman"/>
          <w:color w:val="000000" w:themeColor="text1"/>
          <w:sz w:val="16"/>
          <w:szCs w:val="16"/>
        </w:rPr>
        <w:t xml:space="preserve"> (1998)- 1, многоцелевой рабочий пр. «Алмаз-11900» (-06.1999)- 1; лоцманский пр. АР-1600 «Лоцман Сажин» (-10.1998), (-09.1999)- 1; судно экологического мониторинга пр. 16220 «Экопатруль-1 (1995), -2 (1990-е), -3» (1990-е); природоохранное судно пр. 23107Э «Россия» (1999); морской испытательный комплекс пр. Р2030 для НПП «Радар-ММС» (2005), таможенное судно пр. Р-2030Т ТС-596 (-2007); буксир-ледокол пр. 2805 «Невская застава» (2007-10.2009); яхты: пр. «Алмаз-53» (1990-е)- несколько шт., крейсерская пр. СТ-1400 (-08.1999)- 1;</w:t>
      </w:r>
    </w:p>
    <w:p w14:paraId="605516B1"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кровати, журнальные и сервировочные столики (1980-е); рассадопосадочные машины (1990-е); опытные вагоны для скоростного поезда «Сокол-250» (1990-е); плавучий фонтанный комплекс для Санкт-Петербурга (2006);</w:t>
      </w:r>
    </w:p>
    <w:p w14:paraId="3B546C60" w14:textId="77777777" w:rsidR="00474353" w:rsidRPr="00C33834" w:rsidRDefault="0047435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переоборудование: торпедного катера ТД-200бис подводным крылом ЦАГИ (1950-е); модернизация президентской яхты пр. 1360 «Кавказ» (принадлежавшей ранее Л.И. Брежневу, 11.2001-05.2002); теплохода «Ласточка» в яхту «Лаймарита» (-06.2000) (11982).</w:t>
      </w:r>
    </w:p>
    <w:p w14:paraId="30CE842E" w14:textId="387FD3CB" w:rsidR="00DF064F" w:rsidRPr="00C33834" w:rsidRDefault="00DF064F"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AECD9B5" w14:textId="335DE9B5" w:rsidR="000D2C28" w:rsidRPr="00C33834" w:rsidRDefault="000D2C28" w:rsidP="00C33834">
      <w:pPr>
        <w:autoSpaceDE w:val="0"/>
        <w:autoSpaceDN w:val="0"/>
        <w:adjustRightInd w:val="0"/>
        <w:spacing w:after="0" w:line="240" w:lineRule="auto"/>
        <w:jc w:val="both"/>
        <w:rPr>
          <w:rFonts w:ascii="Times New Roman" w:hAnsi="Times New Roman"/>
          <w:i/>
          <w:color w:val="000000" w:themeColor="text1"/>
          <w:sz w:val="16"/>
          <w:szCs w:val="16"/>
        </w:rPr>
      </w:pPr>
      <w:r w:rsidRPr="00C33834">
        <w:rPr>
          <w:rFonts w:ascii="Times New Roman" w:hAnsi="Times New Roman"/>
          <w:i/>
          <w:color w:val="000000" w:themeColor="text1"/>
          <w:sz w:val="16"/>
          <w:szCs w:val="16"/>
        </w:rPr>
        <w:t>Армия:</w:t>
      </w:r>
    </w:p>
    <w:p w14:paraId="491ED033" w14:textId="77777777" w:rsidR="000D2C28" w:rsidRPr="00C33834" w:rsidRDefault="000D2C28" w:rsidP="00C33834">
      <w:pPr>
        <w:autoSpaceDE w:val="0"/>
        <w:autoSpaceDN w:val="0"/>
        <w:adjustRightInd w:val="0"/>
        <w:spacing w:after="0" w:line="240" w:lineRule="auto"/>
        <w:jc w:val="both"/>
        <w:rPr>
          <w:rFonts w:ascii="Times New Roman" w:hAnsi="Times New Roman"/>
          <w:i/>
          <w:color w:val="000000" w:themeColor="text1"/>
          <w:sz w:val="16"/>
          <w:szCs w:val="16"/>
        </w:rPr>
      </w:pPr>
    </w:p>
    <w:p w14:paraId="0608C138"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21 марта 1933 г.</w:t>
      </w:r>
    </w:p>
    <w:p w14:paraId="18E93127"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СПРАВКА ОО ОГПУ</w:t>
      </w:r>
    </w:p>
    <w:p w14:paraId="450F544C"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 вскрытых к.-р. организациях в армии</w:t>
      </w:r>
    </w:p>
    <w:p w14:paraId="7821CB1C"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21 марта 1933 г.</w:t>
      </w:r>
    </w:p>
    <w:p w14:paraId="4379F9C4"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Совершенно секретно</w:t>
      </w:r>
    </w:p>
    <w:p w14:paraId="396FB323"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Внутренняя контрреволюция (Офицерство)</w:t>
      </w:r>
    </w:p>
    <w:p w14:paraId="0D3824E1"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ОО ОГПУ в Москве ликвидирован ряд к.-р. офицерских диверсионно-вредительских и повстанческих организаций, ставящих своей целью реставрацию буржуазного строя в стране (Организация офицеров-кавалеристов, Организация офицеров-артиллеристов, Организация офицеров -колчаковцев, Организация бывших офицеров народной армии, [Организация] Самарского учредительного собрания, Организация евразийцев и др.). Организации строились по принципу привлечения в свои ряды бывших однополчан, однобригадников и однокашников, имели разветвленную периферию в различных городах Союза, носили массовый характер и образовывались на началах использования широких людских резервов, включая сюда беглое и репрессированное кулачество, для создания из него боевых повстанческих отрядов.</w:t>
      </w:r>
    </w:p>
    <w:p w14:paraId="3DEB7313"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качестве прикрытия для работы по собиранию и стягиванию единомышленников организациями использовались школы и учреждения Осоавиахима и подсобные аппараты Наркомзема, и отдельные крупные заводы (Госконебракераж, Заготконь, Коневодтрест, завод «б. Леисс», завод им. т. Сталина, кавшкола и манеж Осоавиахима, строительство Красного стадиона как в центре, так и на периферии.</w:t>
      </w:r>
    </w:p>
    <w:p w14:paraId="0CAA879B"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Основные установки организацией сводились:</w:t>
      </w:r>
    </w:p>
    <w:p w14:paraId="052107C6"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к вредительству и диверсии по месту службы;</w:t>
      </w:r>
    </w:p>
    <w:p w14:paraId="5F33EED3"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xml:space="preserve">2) к проведению террора над представителями партии и власти; </w:t>
      </w:r>
    </w:p>
    <w:p w14:paraId="665E01D2"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к проникновению в ряды РККА для создания повстанческих кадров и разложения армии; 4) к подготовке вооруженных восстаний в момент войны;</w:t>
      </w:r>
    </w:p>
    <w:p w14:paraId="3F78C814"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к шпионажу в пользу противника.</w:t>
      </w:r>
    </w:p>
    <w:p w14:paraId="17A08B99"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Отдельные организации были связаны с закордонными белоэмигрантскими центрами и иностранными разведками (немецкой разведкой и РОВСом, кадетской партией). По делам арестовано 149 человек.</w:t>
      </w:r>
    </w:p>
    <w:p w14:paraId="05182861"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Шпионаж</w:t>
      </w:r>
    </w:p>
    <w:p w14:paraId="0AD1C2C5"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Французская линия</w:t>
      </w:r>
    </w:p>
    <w:p w14:paraId="2C29B584"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Ликвидирована французская разведывательная сеть, представленная резидентом французского генштаба проф. Понсом, преподавателем ряда гражданских и военных школ и вузов г. Москвы. Работой Понса руководили периодически приезжавшие в СССР под видом научных командировок профессора-ориенталисты Мазон и Мартель.</w:t>
      </w:r>
    </w:p>
    <w:p w14:paraId="57255A66"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Помимо собирания сведений по линии военного и политического шпионажа (авиация, флот, береговая оборона, артиллерия, техника), центральное место в работе резидентуры уделялось установлению связей с украинскими националистическими организациями для подготовки плацдарма и развертывания повстанческого движения на Украине (в прошлом - связь с «СВУ»), Одновременно, как Мазон и Мартель, так и Понс, были связаны с другой к.-р. организаций под названием «Союз Возрождения России», объединявшей инженерно-техническую интеллигенцию и профессуру ряда вузов Москвы, Харькова, Киева и Одессы.</w:t>
      </w:r>
    </w:p>
    <w:p w14:paraId="4F09E5E7"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Арестованы: 9 человек агентов Мазона и Мартеля и сеть Понса в составе 13 человек.</w:t>
      </w:r>
    </w:p>
    <w:p w14:paraId="49C5A982"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Польская линия</w:t>
      </w:r>
    </w:p>
    <w:p w14:paraId="3F04AADB"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xml:space="preserve">Ликвидирована в Москве сеть польского военного атташата, ряд агентов нелегальных резидентур и связей 2-го отдела поль[ского] генштаба. </w:t>
      </w:r>
    </w:p>
    <w:p w14:paraId="311B6A1A"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Полученные следственные материалы показывают, что вскрытая шпионская сеть атташата (дела «Знатные», «Орлы», «Жук», «Переправа») строилась главным образом на внедрении агентуры в основные точки военной промышленности (авиационные заводы, Завод № 176 и Завод им. Сталина).</w:t>
      </w:r>
    </w:p>
    <w:p w14:paraId="03C2396C"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Наряду с этим ликвидированы связи атташата среди комсостава конвойной стражи. Нелегальная резидентура 2-го отдела ПГШ в Москве характеризует как метод работы польской разведки переключение провокаторов внутри компартии Польши на шпионскую работу в СССР путем переброски их под видом политэмигрантов.</w:t>
      </w:r>
    </w:p>
    <w:p w14:paraId="4D218CC5"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Наряду с эти отмечается использование потребностей в рабочей силе на военных строительствах для внедрения шпионско-диверсионной агентуры в стратегическом и оборонном строительстве (дело поль[ского] агента на строительстве Монинского аэродрома).</w:t>
      </w:r>
    </w:p>
    <w:p w14:paraId="1B2245AC"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Национальная контрреволюция</w:t>
      </w:r>
    </w:p>
    <w:p w14:paraId="0CD7A4BD"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Ликвидирован в Москве по указаниям ОО на периферии (Татария, Башкирия, Крым, Туркмения, Западная Сибирь) ряд к.-р. националистических повстанческих организаций, связанных с закордонными белоэмигрантскими и иностранными разведками (дело «Сибирские тюрки», «Туркмен Азатлыги», «Софин-федералисты», «Ислам-диктовка», «Крестьянский Иттифак») и подготовлявших восстание под лозунгом образования самостоятельных национальных буржуазно-демократических государств.</w:t>
      </w:r>
    </w:p>
    <w:p w14:paraId="47D7A48D"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Организации имели широко разветвленную периферию и строились на началах захвата в свои руки советского, хозяйственного и, отчасти, партийного аппарата города и села. Основная ставка делалась на привлечение в свои ряды контрреволюционно-настроенной интеллигенции, бывших людей и, главным образом, зажиточной и кулацкой части деревни.</w:t>
      </w:r>
    </w:p>
    <w:p w14:paraId="36D09069"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Связь с иностранными разведками определяла практическую работу организаций, приурочивающих сроки восстаний к началу войны и планы действий, заключающиеся в захвате Сибирской магистрали (японская ориентация - сибирские тюрки), в лишении Союза хлопководческих и нефтяных районов (Англия-Туркмения), в перерезывании ж.-д. путей, соединяющих европейскую часть Союза с Сибирью (Полына-Башкирия-Татария), в проведении диверсий на заводах и фабриках оборонного значения (Финляндия-Горькрай) и в практике массового террора над представителями партии и власти. Отдельные организации устанавливали связи с аналогичными к.-р. образованиями в смежных национальных областях для создания единого фронта. По делам арестовано 350 человек.</w:t>
      </w:r>
    </w:p>
    <w:p w14:paraId="7A40E827"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Зам. начальника ОО ОГПУ</w:t>
      </w:r>
    </w:p>
    <w:p w14:paraId="27172278"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Гай</w:t>
      </w:r>
    </w:p>
    <w:p w14:paraId="3D922AA3"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Ф. 2. Оп. 11. Д. 1026. Л. 64-67. Подлинник.</w:t>
      </w:r>
    </w:p>
    <w:p w14:paraId="2B7A8F46" w14:textId="77777777" w:rsidR="000D2C28" w:rsidRPr="00C33834" w:rsidRDefault="000D2C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 документе имеется помета: «т. Агасу» (20769).</w:t>
      </w:r>
    </w:p>
    <w:p w14:paraId="17D74507" w14:textId="77777777" w:rsidR="000D2C28" w:rsidRPr="00C33834" w:rsidRDefault="000D2C28" w:rsidP="00C33834">
      <w:pPr>
        <w:spacing w:after="0" w:line="240" w:lineRule="auto"/>
        <w:jc w:val="both"/>
        <w:rPr>
          <w:rFonts w:ascii="Times New Roman" w:hAnsi="Times New Roman"/>
          <w:color w:val="0070C0"/>
          <w:sz w:val="16"/>
          <w:szCs w:val="16"/>
        </w:rPr>
      </w:pPr>
    </w:p>
    <w:p w14:paraId="7DB1A25D" w14:textId="77777777" w:rsidR="00F277B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22AEB8D5" w14:textId="77777777" w:rsidR="00F277B1" w:rsidRPr="00C33834" w:rsidRDefault="00F277B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3F57E59" w14:textId="77777777" w:rsidR="00DF064F" w:rsidRPr="00C33834" w:rsidRDefault="00DF064F"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21 марта</w:t>
      </w:r>
      <w:r w:rsidRPr="00C33834">
        <w:rPr>
          <w:rFonts w:ascii="Times New Roman" w:hAnsi="Times New Roman"/>
          <w:color w:val="000000" w:themeColor="text1"/>
          <w:sz w:val="16"/>
          <w:szCs w:val="16"/>
        </w:rPr>
        <w:t xml:space="preserve"> в 1933 году состоялся первый полет прототипа английского легкого торпедоносца «Fairey» «S.9/30» («TSR.1»). Уже после первых полетов самолет получил новый двигатель - девятицилиндровый воздушного охлаждения «Bristol Pegasus» «IIM» мощностью 635 л.с. После чего ему было присвоено обозначение «TSR.1» («Torpedo-Spotter-Reconnaissance»). 11 сентября 1933 года в ходе испытательного полета самолет вошел в самопроизвольное вращение и разбился. Было решено не восстанавливать самолет, а создать новую версию – «TSR.II», ставшим впоследствии знаменитым «Swordfish» (15075).</w:t>
      </w:r>
    </w:p>
    <w:p w14:paraId="1BFCF44D" w14:textId="77777777" w:rsidR="00DF064F" w:rsidRPr="00C33834" w:rsidRDefault="00DF064F" w:rsidP="00C33834">
      <w:pPr>
        <w:spacing w:after="0" w:line="240" w:lineRule="auto"/>
        <w:jc w:val="both"/>
        <w:rPr>
          <w:rFonts w:ascii="Times New Roman" w:hAnsi="Times New Roman"/>
          <w:color w:val="000000" w:themeColor="text1"/>
          <w:sz w:val="16"/>
          <w:szCs w:val="16"/>
        </w:rPr>
      </w:pPr>
    </w:p>
    <w:p w14:paraId="5234EAE3"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lang w:val="en-US"/>
        </w:rPr>
      </w:pPr>
      <w:r w:rsidRPr="00C33834">
        <w:rPr>
          <w:rFonts w:ascii="Times New Roman" w:hAnsi="Times New Roman"/>
          <w:color w:val="000000" w:themeColor="text1"/>
          <w:sz w:val="16"/>
          <w:szCs w:val="16"/>
          <w:lang w:val="en-US"/>
        </w:rPr>
        <w:t>March 21 1933 First concentration camp opened at Oranienburg outside Berlin (1050).</w:t>
      </w:r>
    </w:p>
    <w:p w14:paraId="5323FA27"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lang w:val="en-US"/>
        </w:rPr>
      </w:pPr>
    </w:p>
    <w:p w14:paraId="26409564"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марта 1933 в Ораниенбауме под Берлином открылся первый концлагерь (1050).</w:t>
      </w:r>
    </w:p>
    <w:p w14:paraId="16AFF466"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p>
    <w:p w14:paraId="773FA313"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марта 1933 был открыт первый нацистский парламент на церемонии в церкви в Потсдаме (3481).</w:t>
      </w:r>
    </w:p>
    <w:p w14:paraId="5F600EAE"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p>
    <w:p w14:paraId="03200FF1" w14:textId="77777777" w:rsidR="00DF064F" w:rsidRPr="00C33834" w:rsidRDefault="00DF064F"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21 марта</w:t>
      </w:r>
      <w:r w:rsidRPr="00C33834">
        <w:rPr>
          <w:rFonts w:ascii="Times New Roman" w:hAnsi="Times New Roman"/>
          <w:color w:val="000000" w:themeColor="text1"/>
          <w:sz w:val="16"/>
          <w:szCs w:val="16"/>
        </w:rPr>
        <w:t xml:space="preserve"> в 1933 году первый Нацистский парламент Германии официально был открыт на церемонии в гарнизонной церкви в Потсдаме (15075).</w:t>
      </w:r>
    </w:p>
    <w:p w14:paraId="00104528" w14:textId="77777777" w:rsidR="00DF064F" w:rsidRPr="00C33834" w:rsidRDefault="00DF064F" w:rsidP="00C33834">
      <w:pPr>
        <w:spacing w:after="0" w:line="240" w:lineRule="auto"/>
        <w:jc w:val="both"/>
        <w:rPr>
          <w:rFonts w:ascii="Times New Roman" w:hAnsi="Times New Roman"/>
          <w:color w:val="000000" w:themeColor="text1"/>
          <w:sz w:val="16"/>
          <w:szCs w:val="16"/>
        </w:rPr>
      </w:pPr>
    </w:p>
    <w:p w14:paraId="0B39B048" w14:textId="77777777" w:rsidR="00F277B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F2C6CBA" w14:textId="77777777" w:rsidR="00F277B1" w:rsidRPr="00C33834" w:rsidRDefault="00F277B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653FBBE"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марта 1933 состоялось заседание у нач. ЦАГИ Харламова:</w:t>
      </w:r>
    </w:p>
    <w:p w14:paraId="7EED73D9"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Слушали: О выходе самолетов на испытания</w:t>
      </w:r>
    </w:p>
    <w:p w14:paraId="76824523"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Постановили:</w:t>
      </w:r>
    </w:p>
    <w:p w14:paraId="7EA352E9"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ТБ-4 запоздал выходом на аэродром на 5 месяцев вследствие отсутствия моторов. В полет выйдет не позже 15 мая.</w:t>
      </w:r>
    </w:p>
    <w:p w14:paraId="5AB0B6F2"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МИ-3 2М-34 - причина запоздания - позднее получение моторов. Самолет выйдет на заводские испытания не позже 15 мая</w:t>
      </w:r>
    </w:p>
    <w:p w14:paraId="486736F5"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И-14 с иностранным мотором. Самолет в производстве. Готовность - 75%. Самолет выйдет на заводские испытания не позже 1 мая.</w:t>
      </w:r>
    </w:p>
    <w:p w14:paraId="3AB43510"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И-14 с М-38 или 58. При условии получения одного из указанных моторов не позже 1 мая, самолет выйдет на аэродром 1 сентября 1933. Срок УВВС 1 августа 1933 - неприемлем.</w:t>
      </w:r>
    </w:p>
    <w:p w14:paraId="2E647B68"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МДР-4. Самолет может быть выпущен на заводские испытания через 10 месяцев по согласованию ТТ и при условии получения мотора М-34Р</w:t>
      </w:r>
    </w:p>
    <w:p w14:paraId="5FDF2164"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МБР-2. Разрабатывается пассажирский вариант.</w:t>
      </w:r>
    </w:p>
    <w:p w14:paraId="0E10E6A7"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Все самолеты выходят:</w:t>
      </w:r>
    </w:p>
    <w:p w14:paraId="396D48AB"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без радиооборудования</w:t>
      </w:r>
    </w:p>
    <w:p w14:paraId="3089A436"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без фотооборудования." (2292,142).</w:t>
      </w:r>
    </w:p>
    <w:p w14:paraId="2B6D6829"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p>
    <w:p w14:paraId="1F41BDBF"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марта 1933 года представитель Аэрофлота Филиппович писал письмо начальнику ГУГВФ Гольцману, начальнику Снабаэрофлота ГУГВФ Онефатеру, начальнику ОВЗ НКВТ Гиттису, начальнику иноотлела УВВС Федорову, начальнику инженерного отдела торгпредства СССР в Италии Сучкову.</w:t>
      </w:r>
    </w:p>
    <w:p w14:paraId="3818FB7D"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Результаты испытаний нашего первого С-55.</w:t>
      </w:r>
    </w:p>
    <w:p w14:paraId="3174BF9B"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марта с.г. были закончены полетные испытания нашего первого самолета С-55.</w:t>
      </w:r>
    </w:p>
    <w:p w14:paraId="66E764F0"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Второй гидросамолет С-55, который ожидается к испытаниям в самом конце этого месяца, намечен мной для более полных испытаний (согласно наших технических условий). Этот гидросамолет будет первым (из 4-х) с килеватыми лодками.</w:t>
      </w:r>
    </w:p>
    <w:p w14:paraId="56183DE7"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проведенном испытании имела место некоторая авария моторов, выразившаяся в том, что перегорели обогреватели карбюраторов в силу недостаточно хорошего материала и несоответствия примененной на этот раз электросварки.</w:t>
      </w:r>
    </w:p>
    <w:p w14:paraId="7B0BA446"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обогреватели будут фирмой Изота Фраскини заменены. (3029,172-176).</w:t>
      </w:r>
    </w:p>
    <w:p w14:paraId="08AA1E13"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p>
    <w:p w14:paraId="7D1C6914" w14:textId="77777777" w:rsidR="00F7433B" w:rsidRPr="00C33834" w:rsidRDefault="00F7433B" w:rsidP="00C33834">
      <w:pPr>
        <w:spacing w:after="0" w:line="240" w:lineRule="auto"/>
        <w:jc w:val="both"/>
        <w:rPr>
          <w:rFonts w:ascii="Times New Roman" w:hAnsi="Times New Roman"/>
          <w:color w:val="0070C0"/>
          <w:sz w:val="16"/>
          <w:szCs w:val="16"/>
          <w:lang w:eastAsia="ru-RU" w:bidi="ru-RU"/>
        </w:rPr>
      </w:pPr>
      <w:r w:rsidRPr="00C33834">
        <w:rPr>
          <w:rFonts w:ascii="Times New Roman" w:hAnsi="Times New Roman"/>
          <w:color w:val="0070C0"/>
          <w:sz w:val="16"/>
          <w:szCs w:val="16"/>
          <w:lang w:eastAsia="ru-RU" w:bidi="ru-RU"/>
        </w:rPr>
        <w:t>22 марта 1933 года была создана агитаци</w:t>
      </w:r>
      <w:r w:rsidRPr="00C33834">
        <w:rPr>
          <w:rFonts w:ascii="Times New Roman" w:hAnsi="Times New Roman"/>
          <w:color w:val="0070C0"/>
          <w:sz w:val="16"/>
          <w:szCs w:val="16"/>
          <w:lang w:eastAsia="ru-RU" w:bidi="ru-RU"/>
        </w:rPr>
        <w:softHyphen/>
        <w:t>онная эскадрилья имени М.Горького и действовала вплоть до 1939 го</w:t>
      </w:r>
      <w:r w:rsidRPr="00C33834">
        <w:rPr>
          <w:rFonts w:ascii="Times New Roman" w:hAnsi="Times New Roman"/>
          <w:color w:val="0070C0"/>
          <w:sz w:val="16"/>
          <w:szCs w:val="16"/>
          <w:lang w:eastAsia="ru-RU" w:bidi="ru-RU"/>
        </w:rPr>
        <w:softHyphen/>
        <w:t>да. С именем собственным «Известия ЦИК» Сталь-2 первым вошел в состав эскадрильи. Эскадрилья им. Горького была весьма необычным об</w:t>
      </w:r>
      <w:r w:rsidRPr="00C33834">
        <w:rPr>
          <w:rFonts w:ascii="Times New Roman" w:hAnsi="Times New Roman"/>
          <w:color w:val="0070C0"/>
          <w:sz w:val="16"/>
          <w:szCs w:val="16"/>
          <w:lang w:eastAsia="ru-RU" w:bidi="ru-RU"/>
        </w:rPr>
        <w:softHyphen/>
        <w:t>разованием, можно предположить, что даже само ее появление предназначалось для повышения значимости гражданского воздушного флота, а не только для агитаци</w:t>
      </w:r>
      <w:r w:rsidRPr="00C33834">
        <w:rPr>
          <w:rFonts w:ascii="Times New Roman" w:hAnsi="Times New Roman"/>
          <w:color w:val="0070C0"/>
          <w:sz w:val="16"/>
          <w:szCs w:val="16"/>
          <w:lang w:eastAsia="ru-RU" w:bidi="ru-RU"/>
        </w:rPr>
        <w:softHyphen/>
        <w:t>онных полетов.</w:t>
      </w:r>
    </w:p>
    <w:p w14:paraId="45F81CAD" w14:textId="77777777" w:rsidR="00F7433B" w:rsidRPr="00C33834" w:rsidRDefault="00F7433B" w:rsidP="00C33834">
      <w:pPr>
        <w:spacing w:after="0" w:line="240" w:lineRule="auto"/>
        <w:jc w:val="both"/>
        <w:rPr>
          <w:rFonts w:ascii="Times New Roman" w:hAnsi="Times New Roman"/>
          <w:color w:val="0070C0"/>
          <w:sz w:val="16"/>
          <w:szCs w:val="16"/>
          <w:lang w:eastAsia="ru-RU" w:bidi="ru-RU"/>
        </w:rPr>
      </w:pPr>
      <w:r w:rsidRPr="00C33834">
        <w:rPr>
          <w:rFonts w:ascii="Times New Roman" w:hAnsi="Times New Roman"/>
          <w:color w:val="0070C0"/>
          <w:sz w:val="16"/>
          <w:szCs w:val="16"/>
          <w:lang w:eastAsia="ru-RU" w:bidi="ru-RU"/>
        </w:rPr>
        <w:t xml:space="preserve">Поначалу в эскадрилью вошли АНТ-14, АНТ-9, К-5, Сталь-2 и У-2. На всех этих самолетах, за исключением </w:t>
      </w:r>
      <w:r w:rsidRPr="00C33834">
        <w:rPr>
          <w:rFonts w:ascii="Times New Roman" w:hAnsi="Times New Roman"/>
          <w:color w:val="0070C0"/>
          <w:sz w:val="16"/>
          <w:szCs w:val="16"/>
          <w:lang w:val="en-US" w:bidi="en-US"/>
        </w:rPr>
        <w:t>URSS</w:t>
      </w:r>
      <w:r w:rsidRPr="00C33834">
        <w:rPr>
          <w:rFonts w:ascii="Times New Roman" w:hAnsi="Times New Roman"/>
          <w:color w:val="0070C0"/>
          <w:sz w:val="16"/>
          <w:szCs w:val="16"/>
          <w:lang w:bidi="en-US"/>
        </w:rPr>
        <w:t>-</w:t>
      </w:r>
      <w:r w:rsidRPr="00C33834">
        <w:rPr>
          <w:rFonts w:ascii="Times New Roman" w:hAnsi="Times New Roman"/>
          <w:color w:val="0070C0"/>
          <w:sz w:val="16"/>
          <w:szCs w:val="16"/>
          <w:lang w:val="en-US" w:bidi="en-US"/>
        </w:rPr>
        <w:t>N</w:t>
      </w:r>
      <w:r w:rsidRPr="00C33834">
        <w:rPr>
          <w:rFonts w:ascii="Times New Roman" w:hAnsi="Times New Roman"/>
          <w:color w:val="0070C0"/>
          <w:sz w:val="16"/>
          <w:szCs w:val="16"/>
          <w:lang w:bidi="en-US"/>
        </w:rPr>
        <w:t xml:space="preserve">800, </w:t>
      </w:r>
      <w:r w:rsidRPr="00C33834">
        <w:rPr>
          <w:rFonts w:ascii="Times New Roman" w:hAnsi="Times New Roman"/>
          <w:color w:val="0070C0"/>
          <w:sz w:val="16"/>
          <w:szCs w:val="16"/>
          <w:lang w:eastAsia="ru-RU" w:bidi="ru-RU"/>
        </w:rPr>
        <w:t xml:space="preserve">опознавательные знаки отличались буквами «СССР», написанными кириллицей, но с латинской литерой </w:t>
      </w:r>
      <w:r w:rsidRPr="00C33834">
        <w:rPr>
          <w:rFonts w:ascii="Times New Roman" w:hAnsi="Times New Roman"/>
          <w:color w:val="0070C0"/>
          <w:sz w:val="16"/>
          <w:szCs w:val="16"/>
          <w:lang w:bidi="en-US"/>
        </w:rPr>
        <w:t>«</w:t>
      </w:r>
      <w:r w:rsidRPr="00C33834">
        <w:rPr>
          <w:rFonts w:ascii="Times New Roman" w:hAnsi="Times New Roman"/>
          <w:color w:val="0070C0"/>
          <w:sz w:val="16"/>
          <w:szCs w:val="16"/>
          <w:lang w:val="en-US" w:bidi="en-US"/>
        </w:rPr>
        <w:t>N</w:t>
      </w:r>
      <w:r w:rsidRPr="00C33834">
        <w:rPr>
          <w:rFonts w:ascii="Times New Roman" w:hAnsi="Times New Roman"/>
          <w:color w:val="0070C0"/>
          <w:sz w:val="16"/>
          <w:szCs w:val="16"/>
          <w:lang w:bidi="en-US"/>
        </w:rPr>
        <w:t xml:space="preserve">». </w:t>
      </w:r>
      <w:r w:rsidRPr="00C33834">
        <w:rPr>
          <w:rFonts w:ascii="Times New Roman" w:hAnsi="Times New Roman"/>
          <w:color w:val="0070C0"/>
          <w:sz w:val="16"/>
          <w:szCs w:val="16"/>
          <w:lang w:eastAsia="ru-RU" w:bidi="ru-RU"/>
        </w:rPr>
        <w:t xml:space="preserve">Лишь флагман эскадрильи АНТ-14, предполагавшийся </w:t>
      </w:r>
      <w:r w:rsidRPr="00C33834">
        <w:rPr>
          <w:rFonts w:ascii="Times New Roman" w:hAnsi="Times New Roman"/>
          <w:color w:val="0070C0"/>
          <w:sz w:val="16"/>
          <w:szCs w:val="16"/>
        </w:rPr>
        <w:t>для международных полетов, позднее сменил опознаватель</w:t>
      </w:r>
      <w:r w:rsidRPr="00C33834">
        <w:rPr>
          <w:rFonts w:ascii="Times New Roman" w:hAnsi="Times New Roman"/>
          <w:color w:val="0070C0"/>
          <w:sz w:val="16"/>
          <w:szCs w:val="16"/>
        </w:rPr>
        <w:softHyphen/>
        <w:t xml:space="preserve">ный знак СССР-Ш001 на </w:t>
      </w:r>
      <w:r w:rsidRPr="00C33834">
        <w:rPr>
          <w:rFonts w:ascii="Times New Roman" w:hAnsi="Times New Roman"/>
          <w:color w:val="0070C0"/>
          <w:sz w:val="16"/>
          <w:szCs w:val="16"/>
          <w:lang w:val="en-US" w:bidi="en-US"/>
        </w:rPr>
        <w:t>URSS</w:t>
      </w:r>
      <w:r w:rsidRPr="00C33834">
        <w:rPr>
          <w:rFonts w:ascii="Times New Roman" w:hAnsi="Times New Roman"/>
          <w:color w:val="0070C0"/>
          <w:sz w:val="16"/>
          <w:szCs w:val="16"/>
          <w:lang w:bidi="en-US"/>
        </w:rPr>
        <w:t>-</w:t>
      </w:r>
      <w:r w:rsidRPr="00C33834">
        <w:rPr>
          <w:rFonts w:ascii="Times New Roman" w:hAnsi="Times New Roman"/>
          <w:color w:val="0070C0"/>
          <w:sz w:val="16"/>
          <w:szCs w:val="16"/>
          <w:lang w:val="en-US" w:bidi="en-US"/>
        </w:rPr>
        <w:t>N</w:t>
      </w:r>
      <w:r w:rsidRPr="00C33834">
        <w:rPr>
          <w:rFonts w:ascii="Times New Roman" w:hAnsi="Times New Roman"/>
          <w:color w:val="0070C0"/>
          <w:sz w:val="16"/>
          <w:szCs w:val="16"/>
          <w:lang w:bidi="en-US"/>
        </w:rPr>
        <w:t xml:space="preserve">1001. </w:t>
      </w:r>
      <w:r w:rsidRPr="00C33834">
        <w:rPr>
          <w:rFonts w:ascii="Times New Roman" w:hAnsi="Times New Roman"/>
          <w:color w:val="0070C0"/>
          <w:sz w:val="16"/>
          <w:szCs w:val="16"/>
        </w:rPr>
        <w:t xml:space="preserve">В состав экипажа Сталь-2 </w:t>
      </w:r>
      <w:r w:rsidRPr="00C33834">
        <w:rPr>
          <w:rFonts w:ascii="Times New Roman" w:hAnsi="Times New Roman"/>
          <w:color w:val="0070C0"/>
          <w:sz w:val="16"/>
          <w:szCs w:val="16"/>
          <w:lang w:val="en-US" w:bidi="en-US"/>
        </w:rPr>
        <w:t>URSS</w:t>
      </w:r>
      <w:r w:rsidRPr="00C33834">
        <w:rPr>
          <w:rFonts w:ascii="Times New Roman" w:hAnsi="Times New Roman"/>
          <w:color w:val="0070C0"/>
          <w:sz w:val="16"/>
          <w:szCs w:val="16"/>
          <w:lang w:bidi="en-US"/>
        </w:rPr>
        <w:t>-</w:t>
      </w:r>
      <w:r w:rsidRPr="00C33834">
        <w:rPr>
          <w:rFonts w:ascii="Times New Roman" w:hAnsi="Times New Roman"/>
          <w:color w:val="0070C0"/>
          <w:sz w:val="16"/>
          <w:szCs w:val="16"/>
          <w:lang w:val="en-US" w:bidi="en-US"/>
        </w:rPr>
        <w:t>N</w:t>
      </w:r>
      <w:r w:rsidRPr="00C33834">
        <w:rPr>
          <w:rFonts w:ascii="Times New Roman" w:hAnsi="Times New Roman"/>
          <w:color w:val="0070C0"/>
          <w:sz w:val="16"/>
          <w:szCs w:val="16"/>
          <w:lang w:bidi="en-US"/>
        </w:rPr>
        <w:t xml:space="preserve">800 </w:t>
      </w:r>
      <w:r w:rsidRPr="00C33834">
        <w:rPr>
          <w:rFonts w:ascii="Times New Roman" w:hAnsi="Times New Roman"/>
          <w:color w:val="0070C0"/>
          <w:sz w:val="16"/>
          <w:szCs w:val="16"/>
        </w:rPr>
        <w:t>вошли летчик Фарих Ф.Б. и механик Шекуров В.А.</w:t>
      </w:r>
      <w:r w:rsidRPr="00C33834">
        <w:rPr>
          <w:rFonts w:ascii="Times New Roman" w:hAnsi="Times New Roman"/>
          <w:color w:val="0070C0"/>
          <w:sz w:val="16"/>
          <w:szCs w:val="16"/>
          <w:lang w:eastAsia="ru-RU" w:bidi="ru-RU"/>
        </w:rPr>
        <w:t xml:space="preserve"> (20365).</w:t>
      </w:r>
    </w:p>
    <w:p w14:paraId="5A70EECA" w14:textId="77777777" w:rsidR="00F7433B" w:rsidRPr="00C33834" w:rsidRDefault="00F7433B" w:rsidP="00C33834">
      <w:pPr>
        <w:spacing w:after="0" w:line="240" w:lineRule="auto"/>
        <w:jc w:val="both"/>
        <w:rPr>
          <w:rFonts w:ascii="Times New Roman" w:hAnsi="Times New Roman"/>
          <w:color w:val="0070C0"/>
          <w:sz w:val="16"/>
          <w:szCs w:val="16"/>
        </w:rPr>
      </w:pPr>
    </w:p>
    <w:p w14:paraId="01507022" w14:textId="77777777" w:rsidR="00F277B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5EA88CB" w14:textId="77777777" w:rsidR="00F277B1" w:rsidRPr="00C33834" w:rsidRDefault="00F277B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18E8F52" w14:textId="77777777" w:rsidR="00DF064F" w:rsidRPr="00C33834" w:rsidRDefault="00DF064F" w:rsidP="00C33834">
      <w:pPr>
        <w:pStyle w:val="rtejustify"/>
        <w:spacing w:before="0" w:after="0"/>
        <w:rPr>
          <w:color w:val="000000" w:themeColor="text1"/>
          <w:sz w:val="16"/>
          <w:szCs w:val="16"/>
        </w:rPr>
      </w:pPr>
      <w:r w:rsidRPr="00C33834">
        <w:rPr>
          <w:rStyle w:val="af0"/>
          <w:bCs/>
          <w:i w:val="0"/>
          <w:color w:val="000000" w:themeColor="text1"/>
          <w:sz w:val="16"/>
          <w:szCs w:val="16"/>
        </w:rPr>
        <w:t>22 марта</w:t>
      </w:r>
      <w:r w:rsidRPr="00C33834">
        <w:rPr>
          <w:color w:val="000000" w:themeColor="text1"/>
          <w:sz w:val="16"/>
          <w:szCs w:val="16"/>
        </w:rPr>
        <w:t xml:space="preserve">. </w:t>
      </w:r>
      <w:hyperlink r:id="rId109" w:history="1">
        <w:r w:rsidRPr="00C33834">
          <w:rPr>
            <w:rStyle w:val="a5"/>
            <w:color w:val="000000" w:themeColor="text1"/>
            <w:sz w:val="16"/>
            <w:szCs w:val="16"/>
          </w:rPr>
          <w:t>Постановление СТО СССР № 7сс/о «По порохам и взрывчатым веществам»</w:t>
        </w:r>
      </w:hyperlink>
      <w:r w:rsidRPr="00C33834">
        <w:rPr>
          <w:color w:val="000000" w:themeColor="text1"/>
          <w:sz w:val="16"/>
          <w:szCs w:val="16"/>
        </w:rPr>
        <w:t>. (ГА РФ. Ф. Р</w:t>
      </w:r>
      <w:r w:rsidRPr="00C33834">
        <w:rPr>
          <w:color w:val="000000" w:themeColor="text1"/>
          <w:sz w:val="16"/>
          <w:szCs w:val="16"/>
        </w:rPr>
        <w:noBreakHyphen/>
        <w:t>8418. Оп. 28. Д. 1. Л. 76</w:t>
      </w:r>
      <w:r w:rsidRPr="00C33834">
        <w:rPr>
          <w:color w:val="000000" w:themeColor="text1"/>
          <w:sz w:val="16"/>
          <w:szCs w:val="16"/>
        </w:rPr>
        <w:noBreakHyphen/>
        <w:t>79) (15460).</w:t>
      </w:r>
    </w:p>
    <w:p w14:paraId="251CE4E9" w14:textId="77777777" w:rsidR="00DF064F" w:rsidRPr="00C33834" w:rsidRDefault="00DF064F" w:rsidP="00C33834">
      <w:pPr>
        <w:pStyle w:val="rtejustify"/>
        <w:spacing w:before="0" w:after="0"/>
        <w:rPr>
          <w:color w:val="000000" w:themeColor="text1"/>
          <w:sz w:val="16"/>
          <w:szCs w:val="16"/>
        </w:rPr>
      </w:pPr>
    </w:p>
    <w:p w14:paraId="608687FB" w14:textId="77777777" w:rsidR="00DF064F" w:rsidRPr="00C33834" w:rsidRDefault="00DF064F"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22 марта 1933 г.</w:t>
      </w:r>
      <w:r w:rsidRPr="00C33834">
        <w:rPr>
          <w:rFonts w:ascii="Times New Roman" w:hAnsi="Times New Roman"/>
          <w:color w:val="000000" w:themeColor="text1"/>
          <w:sz w:val="16"/>
          <w:szCs w:val="16"/>
        </w:rPr>
        <w:t xml:space="preserve"> Постановление СТО СССР № 7сс/о «По порохам и взрывчатым веществам»</w:t>
      </w:r>
    </w:p>
    <w:p w14:paraId="241B8339" w14:textId="77777777" w:rsidR="00DF064F" w:rsidRPr="00C33834" w:rsidRDefault="00DF064F"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Совершенно секретно.</w:t>
      </w:r>
    </w:p>
    <w:p w14:paraId="4E85EFC8" w14:textId="77777777" w:rsidR="00DF064F" w:rsidRPr="00C33834" w:rsidRDefault="00DF064F" w:rsidP="00C33834">
      <w:pPr>
        <w:pStyle w:val="rtejustify"/>
        <w:spacing w:before="0" w:after="0"/>
        <w:rPr>
          <w:color w:val="000000" w:themeColor="text1"/>
          <w:sz w:val="16"/>
          <w:szCs w:val="16"/>
        </w:rPr>
      </w:pPr>
      <w:r w:rsidRPr="00C33834">
        <w:rPr>
          <w:color w:val="000000" w:themeColor="text1"/>
          <w:sz w:val="16"/>
          <w:szCs w:val="16"/>
        </w:rPr>
        <w:lastRenderedPageBreak/>
        <w:t>Совет труда и обороны постановляет:</w:t>
      </w:r>
    </w:p>
    <w:p w14:paraId="034CAFD7" w14:textId="77777777" w:rsidR="00DF064F" w:rsidRPr="00C33834" w:rsidRDefault="00DF064F" w:rsidP="00C33834">
      <w:pPr>
        <w:pStyle w:val="rtejustify"/>
        <w:spacing w:before="0" w:after="0"/>
        <w:rPr>
          <w:color w:val="000000" w:themeColor="text1"/>
          <w:sz w:val="16"/>
          <w:szCs w:val="16"/>
        </w:rPr>
      </w:pPr>
      <w:r w:rsidRPr="00C33834">
        <w:rPr>
          <w:color w:val="000000" w:themeColor="text1"/>
          <w:sz w:val="16"/>
          <w:szCs w:val="16"/>
        </w:rPr>
        <w:t>Обязать НКТяжпром: 1. Довести к концу 1933 г. мощности по порохам до 63 тыс. т, из них 47 тыс. т пироксилиновых, 5 тыс. т нитроглицериновых и 11 тыс. т селитроугольных довесков и по взрывчатым веществам до 186 тыс. т, из них 130 тыс. т амселитры. При мощностях по амселитре 130 тыс. т установками слабой азотной кислоты обеспечено получение 105 тыс. т амселитры в 1933 г.</w:t>
      </w:r>
    </w:p>
    <w:p w14:paraId="300278F6" w14:textId="77777777" w:rsidR="00DF064F" w:rsidRPr="00C33834" w:rsidRDefault="00DF064F" w:rsidP="00C33834">
      <w:pPr>
        <w:pStyle w:val="rtejustify"/>
        <w:spacing w:before="0" w:after="0"/>
        <w:rPr>
          <w:color w:val="000000" w:themeColor="text1"/>
          <w:sz w:val="16"/>
          <w:szCs w:val="16"/>
        </w:rPr>
      </w:pPr>
      <w:r w:rsidRPr="00C33834">
        <w:rPr>
          <w:color w:val="000000" w:themeColor="text1"/>
          <w:sz w:val="16"/>
          <w:szCs w:val="16"/>
        </w:rPr>
        <w:t>Принять к сведению заявление НКВМ¹*, а) что 11 тыс. т селитроугольных довесков будут целиком использованы для снаряжения и б) что рецептура ВВ будет изменена с расчетом полного использования 130 тыс. т амселитры.</w:t>
      </w:r>
    </w:p>
    <w:p w14:paraId="69E75580" w14:textId="77777777" w:rsidR="00DF064F" w:rsidRPr="00C33834" w:rsidRDefault="00DF064F" w:rsidP="00C33834">
      <w:pPr>
        <w:pStyle w:val="rtejustify"/>
        <w:spacing w:before="0" w:after="0"/>
        <w:rPr>
          <w:color w:val="000000" w:themeColor="text1"/>
          <w:sz w:val="16"/>
          <w:szCs w:val="16"/>
        </w:rPr>
      </w:pPr>
      <w:r w:rsidRPr="00C33834">
        <w:rPr>
          <w:color w:val="000000" w:themeColor="text1"/>
          <w:sz w:val="16"/>
          <w:szCs w:val="16"/>
        </w:rPr>
        <w:t>2. Довести к концу 1934 г. мощности по порохам до 75 тыс. т, из них 11 тыс. т селитроугольных довесков и по взрывчатым веществам 246 тыс. т, из них 160 тыс. т амселитры.</w:t>
      </w:r>
    </w:p>
    <w:p w14:paraId="6AC80210" w14:textId="77777777" w:rsidR="00DF064F" w:rsidRPr="00C33834" w:rsidRDefault="00DF064F" w:rsidP="00C33834">
      <w:pPr>
        <w:pStyle w:val="rtejustify"/>
        <w:spacing w:before="0" w:after="0"/>
        <w:rPr>
          <w:color w:val="000000" w:themeColor="text1"/>
          <w:sz w:val="16"/>
          <w:szCs w:val="16"/>
        </w:rPr>
      </w:pPr>
      <w:r w:rsidRPr="00C33834">
        <w:rPr>
          <w:color w:val="000000" w:themeColor="text1"/>
          <w:sz w:val="16"/>
          <w:szCs w:val="16"/>
        </w:rPr>
        <w:t>3. Предрешить форсирование строительства в 1934 г. мелинитового завода в Березниках с окончанием его в первом полугодии 1935 г. Точный срок определить после утверждения проекта при рассмотрении контрольных цифр 1934 г.</w:t>
      </w:r>
    </w:p>
    <w:p w14:paraId="1604159A" w14:textId="77777777" w:rsidR="00DF064F" w:rsidRPr="00C33834" w:rsidRDefault="00DF064F" w:rsidP="00C33834">
      <w:pPr>
        <w:pStyle w:val="rtejustify"/>
        <w:spacing w:before="0" w:after="0"/>
        <w:rPr>
          <w:color w:val="000000" w:themeColor="text1"/>
          <w:sz w:val="16"/>
          <w:szCs w:val="16"/>
        </w:rPr>
      </w:pPr>
      <w:r w:rsidRPr="00C33834">
        <w:rPr>
          <w:color w:val="000000" w:themeColor="text1"/>
          <w:sz w:val="16"/>
          <w:szCs w:val="16"/>
        </w:rPr>
        <w:t>4. Приступить в 1933 г. к строительству нового тротилового завода в Горловке мощностью на 16 тыс. т с окончанием его в 1934 г., определив объем капиталовложений в 1933 г. в 5 млн. руб.</w:t>
      </w:r>
    </w:p>
    <w:p w14:paraId="35BD7D1A" w14:textId="77777777" w:rsidR="00DF064F" w:rsidRPr="00C33834" w:rsidRDefault="00DF064F" w:rsidP="00C33834">
      <w:pPr>
        <w:pStyle w:val="rtejustify"/>
        <w:spacing w:before="0" w:after="0"/>
        <w:rPr>
          <w:color w:val="000000" w:themeColor="text1"/>
          <w:sz w:val="16"/>
          <w:szCs w:val="16"/>
        </w:rPr>
      </w:pPr>
      <w:r w:rsidRPr="00C33834">
        <w:rPr>
          <w:color w:val="000000" w:themeColor="text1"/>
          <w:sz w:val="16"/>
          <w:szCs w:val="16"/>
        </w:rPr>
        <w:t>НКТяжпрому изыскать недостающие 3,8 млн. руб. внутри ассигнований по военной промышленности. В соответствии с этим НКТП представить в пятидневный срок в Комиссию т. Молотова согласованные с Госпланом²* и НКВМором предложения, с каких именно объектов снять 3,8 млн. руб.</w:t>
      </w:r>
    </w:p>
    <w:p w14:paraId="41752536" w14:textId="77777777" w:rsidR="00DF064F" w:rsidRPr="00C33834" w:rsidRDefault="00DF064F" w:rsidP="00C33834">
      <w:pPr>
        <w:pStyle w:val="rtejustify"/>
        <w:spacing w:before="0" w:after="0"/>
        <w:rPr>
          <w:color w:val="000000" w:themeColor="text1"/>
          <w:sz w:val="16"/>
          <w:szCs w:val="16"/>
        </w:rPr>
      </w:pPr>
      <w:r w:rsidRPr="00C33834">
        <w:rPr>
          <w:color w:val="000000" w:themeColor="text1"/>
          <w:sz w:val="16"/>
          <w:szCs w:val="16"/>
        </w:rPr>
        <w:t>5. Обеспечить в течение 1933 г. мощности по снаряжению в соответствии с наличием взрывчатых веществ, обратив особое внимание на окончание мощностей по снаряжению суррогатному и снаряжению крупных аэробомб, для чего форсировать следующие работы, предусмотренные в плане 1933 г.: а) продолжение работ по вискозным порохам в Клину с окончанием на полную мощность в 7 тыс. т пороха в 1934 г.; б) строительство завода нитроглицериновых порохов на 5 тыс. т в Перми с окончанием на полную мощность к концу 1934 г. и селитроугольных довесков на 9 тыс. т к концу 1933 г.; в) строительство мелинитового завода в Бобриках с окончанием его на полную мощность 14 тыс. т в 1934 г.</w:t>
      </w:r>
    </w:p>
    <w:p w14:paraId="46216F7E" w14:textId="77777777" w:rsidR="00DF064F" w:rsidRPr="00C33834" w:rsidRDefault="00DF064F" w:rsidP="00C33834">
      <w:pPr>
        <w:pStyle w:val="rtejustify"/>
        <w:spacing w:before="0" w:after="0"/>
        <w:rPr>
          <w:color w:val="000000" w:themeColor="text1"/>
          <w:sz w:val="16"/>
          <w:szCs w:val="16"/>
        </w:rPr>
      </w:pPr>
      <w:r w:rsidRPr="00C33834">
        <w:rPr>
          <w:color w:val="000000" w:themeColor="text1"/>
          <w:sz w:val="16"/>
          <w:szCs w:val="16"/>
        </w:rPr>
        <w:t>6. В связи с ликвидацией Пермьволокна предложить НКТП наметить новые точки двух пороховых заводов на базе нитрошелка. Вопрос о строительстве этих двух пороховых заводов обсудить особо.</w:t>
      </w:r>
    </w:p>
    <w:p w14:paraId="0BBF1DAD" w14:textId="77777777" w:rsidR="00DF064F" w:rsidRPr="00C33834" w:rsidRDefault="00DF064F" w:rsidP="00C33834">
      <w:pPr>
        <w:pStyle w:val="rtejustify"/>
        <w:spacing w:before="0" w:after="0"/>
        <w:rPr>
          <w:color w:val="000000" w:themeColor="text1"/>
          <w:sz w:val="16"/>
          <w:szCs w:val="16"/>
        </w:rPr>
      </w:pPr>
      <w:r w:rsidRPr="00C33834">
        <w:rPr>
          <w:color w:val="000000" w:themeColor="text1"/>
          <w:sz w:val="16"/>
          <w:szCs w:val="16"/>
        </w:rPr>
        <w:t>7. Принять к сведению, что НКТП для обеспечения олеумом указанной программы по порохам и взрывчатым веществам, а также для улучшения кислотооборота на существующих заводах: а) приступил в 1933 г. к строительству трех олеумных установок на 16 тыс. т каждая на заводах № 80, 15 и 14 с окончанием в 1934 г.; б) заканчивает в 1933 г. установку по денитрации и концентрации отработанных кислот полностью на заводе № 15 и первую очередь на заводе № 80.</w:t>
      </w:r>
    </w:p>
    <w:p w14:paraId="3DE234B7" w14:textId="77777777" w:rsidR="00DF064F" w:rsidRPr="00C33834" w:rsidRDefault="00DF064F" w:rsidP="00C33834">
      <w:pPr>
        <w:pStyle w:val="rtejustify"/>
        <w:spacing w:before="0" w:after="0"/>
        <w:rPr>
          <w:color w:val="000000" w:themeColor="text1"/>
          <w:sz w:val="16"/>
          <w:szCs w:val="16"/>
        </w:rPr>
      </w:pPr>
      <w:r w:rsidRPr="00C33834">
        <w:rPr>
          <w:color w:val="000000" w:themeColor="text1"/>
          <w:sz w:val="16"/>
          <w:szCs w:val="16"/>
        </w:rPr>
        <w:t>8. Принять к сведению, что НКТП в 1933 г. отпущено 12,7 млн. руб. на подготовительные работы по строительству Кемеровского комбината, мощностью по пороховому заводу 18 тыс. т порохов (на базе нитрошелка) и оборонного завода мощностью 1,5 млрд. винтпатронов.</w:t>
      </w:r>
    </w:p>
    <w:p w14:paraId="2A0D132B" w14:textId="77777777" w:rsidR="00DF064F" w:rsidRPr="00C33834" w:rsidRDefault="00DF064F" w:rsidP="00C33834">
      <w:pPr>
        <w:pStyle w:val="rtejustify"/>
        <w:spacing w:before="0" w:after="0"/>
        <w:rPr>
          <w:color w:val="000000" w:themeColor="text1"/>
          <w:sz w:val="16"/>
          <w:szCs w:val="16"/>
        </w:rPr>
      </w:pPr>
      <w:r w:rsidRPr="00C33834">
        <w:rPr>
          <w:color w:val="000000" w:themeColor="text1"/>
          <w:sz w:val="16"/>
          <w:szCs w:val="16"/>
        </w:rPr>
        <w:t>9. Обязать НКТП обеспечить в квартальных планах необходимым финансированием капитальные работы по военной химии в соответствии с принятыми решениями.</w:t>
      </w:r>
    </w:p>
    <w:p w14:paraId="52A5256C" w14:textId="77777777" w:rsidR="00DF064F" w:rsidRPr="00C33834" w:rsidRDefault="00DF064F" w:rsidP="00C33834">
      <w:pPr>
        <w:pStyle w:val="rtejustify"/>
        <w:spacing w:before="0" w:after="0"/>
        <w:rPr>
          <w:color w:val="000000" w:themeColor="text1"/>
          <w:sz w:val="16"/>
          <w:szCs w:val="16"/>
        </w:rPr>
      </w:pPr>
      <w:r w:rsidRPr="00C33834">
        <w:rPr>
          <w:color w:val="000000" w:themeColor="text1"/>
          <w:sz w:val="16"/>
          <w:szCs w:val="16"/>
        </w:rPr>
        <w:t>10. Ввиду того, что наиболее узким местом заводов по порохам и взрывчатым веществам является водо- и пароснабжение, обязать НКТП в поквартальном распределении отпущенных ему контингентов труб обеспечить обозначенные заводы полностью потребными трубами.</w:t>
      </w:r>
    </w:p>
    <w:p w14:paraId="2499810B" w14:textId="77777777" w:rsidR="00DF064F" w:rsidRPr="00C33834" w:rsidRDefault="00DF064F" w:rsidP="00C33834">
      <w:pPr>
        <w:pStyle w:val="rtejustify"/>
        <w:spacing w:before="0" w:after="0"/>
        <w:rPr>
          <w:color w:val="000000" w:themeColor="text1"/>
          <w:sz w:val="16"/>
          <w:szCs w:val="16"/>
        </w:rPr>
      </w:pPr>
      <w:r w:rsidRPr="00C33834">
        <w:rPr>
          <w:color w:val="000000" w:themeColor="text1"/>
          <w:sz w:val="16"/>
          <w:szCs w:val="16"/>
        </w:rPr>
        <w:t>11. а) Комиссии в составе тт. Куйбышева Н. (председатель), Белова, Ефимова, Карасика, Сырцова, Котта, Калецкого и Савицкого разработать предложения об усилении кадров химической промышленности, имея в виду переброску специалистов из других отраслей промышленности, НКВМ и других наркоматов, научно-исследовательских институтов и конструкторских организаций, а также использование отдельных специалистов из Особого конструкторского бюро ОГПУ, которые могут быть допущены к работе в военной химической промышленности, б) Той же комиссии проработать мероприятия по усилению технического руководства и налаживанию технологических процессов на предприятиях военно-химической промышленности.</w:t>
      </w:r>
    </w:p>
    <w:p w14:paraId="2FF8508C" w14:textId="77777777" w:rsidR="00DF064F" w:rsidRPr="00C33834" w:rsidRDefault="00DF064F" w:rsidP="00C33834">
      <w:pPr>
        <w:pStyle w:val="rtejustify"/>
        <w:spacing w:before="0" w:after="0"/>
        <w:rPr>
          <w:color w:val="000000" w:themeColor="text1"/>
          <w:sz w:val="16"/>
          <w:szCs w:val="16"/>
        </w:rPr>
      </w:pPr>
      <w:r w:rsidRPr="00C33834">
        <w:rPr>
          <w:color w:val="000000" w:themeColor="text1"/>
          <w:sz w:val="16"/>
          <w:szCs w:val="16"/>
        </w:rPr>
        <w:t>12. Обязать НКТП проработать пятилетний план развития производства порохов и взрывчатых веществ, исходя из проектировок по общехимической базе, и не позднее 1 апреля представить в СТО.</w:t>
      </w:r>
    </w:p>
    <w:p w14:paraId="6436E49F" w14:textId="77777777" w:rsidR="00DF064F" w:rsidRPr="00C33834" w:rsidRDefault="00DF064F" w:rsidP="00C33834">
      <w:pPr>
        <w:pStyle w:val="rtejustify"/>
        <w:spacing w:before="0" w:after="0"/>
        <w:rPr>
          <w:color w:val="000000" w:themeColor="text1"/>
          <w:sz w:val="16"/>
          <w:szCs w:val="16"/>
        </w:rPr>
      </w:pPr>
      <w:r w:rsidRPr="00C33834">
        <w:rPr>
          <w:color w:val="000000" w:themeColor="text1"/>
          <w:sz w:val="16"/>
          <w:szCs w:val="16"/>
        </w:rPr>
        <w:t>13. В начале апреля рассмотреть на специальном заседании Комиссии т. Молотова второй пятилетний план по порохам и взрывчатым веществам, а также вторично — по азотной и коксобензольной промышленности и всей военной химии, включив сюда и план снаряжения и переснаряжения снарядов.</w:t>
      </w:r>
    </w:p>
    <w:p w14:paraId="28ED98D5" w14:textId="77777777" w:rsidR="00DF064F" w:rsidRPr="00C33834" w:rsidRDefault="00DF064F" w:rsidP="00C33834">
      <w:pPr>
        <w:pStyle w:val="rtejustify"/>
        <w:spacing w:before="0" w:after="0"/>
        <w:rPr>
          <w:color w:val="000000" w:themeColor="text1"/>
          <w:sz w:val="16"/>
          <w:szCs w:val="16"/>
        </w:rPr>
      </w:pPr>
      <w:r w:rsidRPr="00C33834">
        <w:rPr>
          <w:color w:val="000000" w:themeColor="text1"/>
          <w:sz w:val="16"/>
          <w:szCs w:val="16"/>
        </w:rPr>
        <w:t>14. Признать нецелесообразным в данный момент изменение существующих форм организации военно-химической промышленности.</w:t>
      </w:r>
    </w:p>
    <w:p w14:paraId="3E0CDA87" w14:textId="77777777" w:rsidR="00DF064F" w:rsidRPr="00C33834" w:rsidRDefault="00DF064F" w:rsidP="00C33834">
      <w:pPr>
        <w:pStyle w:val="ae"/>
        <w:spacing w:before="0" w:after="0"/>
        <w:jc w:val="both"/>
        <w:rPr>
          <w:color w:val="000000" w:themeColor="text1"/>
          <w:sz w:val="16"/>
          <w:szCs w:val="16"/>
        </w:rPr>
      </w:pPr>
      <w:r w:rsidRPr="00C33834">
        <w:rPr>
          <w:rStyle w:val="af0"/>
          <w:i w:val="0"/>
          <w:color w:val="000000" w:themeColor="text1"/>
          <w:sz w:val="16"/>
          <w:szCs w:val="16"/>
        </w:rPr>
        <w:t>Председатель Совета труда и обороны В. Молотов/Скрябин</w:t>
      </w:r>
    </w:p>
    <w:p w14:paraId="0E283AE6" w14:textId="77777777" w:rsidR="00DF064F" w:rsidRPr="00C33834" w:rsidRDefault="00DF064F" w:rsidP="00C33834">
      <w:pPr>
        <w:pStyle w:val="ae"/>
        <w:spacing w:before="0" w:after="0"/>
        <w:jc w:val="both"/>
        <w:rPr>
          <w:color w:val="000000" w:themeColor="text1"/>
          <w:sz w:val="16"/>
          <w:szCs w:val="16"/>
        </w:rPr>
      </w:pPr>
      <w:r w:rsidRPr="00C33834">
        <w:rPr>
          <w:rStyle w:val="af0"/>
          <w:i w:val="0"/>
          <w:color w:val="000000" w:themeColor="text1"/>
          <w:sz w:val="16"/>
          <w:szCs w:val="16"/>
        </w:rPr>
        <w:t>Базилевич</w:t>
      </w:r>
    </w:p>
    <w:p w14:paraId="38683277" w14:textId="77777777" w:rsidR="00DF064F" w:rsidRPr="00C33834" w:rsidRDefault="00DF064F"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Примечания</w:t>
      </w:r>
      <w:r w:rsidRPr="00C33834">
        <w:rPr>
          <w:color w:val="000000" w:themeColor="text1"/>
          <w:sz w:val="16"/>
          <w:szCs w:val="16"/>
        </w:rPr>
        <w:t>:</w:t>
      </w:r>
    </w:p>
    <w:p w14:paraId="1064DFD1" w14:textId="77777777" w:rsidR="00DF064F" w:rsidRPr="00C33834" w:rsidRDefault="00DF064F" w:rsidP="00C33834">
      <w:pPr>
        <w:pStyle w:val="rtejustify"/>
        <w:spacing w:before="0" w:after="0"/>
        <w:rPr>
          <w:color w:val="000000" w:themeColor="text1"/>
          <w:sz w:val="16"/>
          <w:szCs w:val="16"/>
        </w:rPr>
      </w:pPr>
      <w:r w:rsidRPr="00C33834">
        <w:rPr>
          <w:color w:val="000000" w:themeColor="text1"/>
          <w:sz w:val="16"/>
          <w:szCs w:val="16"/>
        </w:rPr>
        <w:t>¹* </w:t>
      </w:r>
      <w:r w:rsidRPr="00C33834">
        <w:rPr>
          <w:rStyle w:val="af0"/>
          <w:bCs/>
          <w:i w:val="0"/>
          <w:color w:val="000000" w:themeColor="text1"/>
          <w:sz w:val="16"/>
          <w:szCs w:val="16"/>
        </w:rPr>
        <w:t>Наркомат по военным и морским делам (Наркомвоенмор, НКВМ) СССР </w:t>
      </w:r>
      <w:r w:rsidRPr="00C33834">
        <w:rPr>
          <w:color w:val="000000" w:themeColor="text1"/>
          <w:sz w:val="16"/>
          <w:szCs w:val="16"/>
        </w:rPr>
        <w:t>— центральный орган, осуществлявший руководство вооруженными силами советского государства в период 1923</w:t>
      </w:r>
      <w:r w:rsidRPr="00C33834">
        <w:rPr>
          <w:color w:val="000000" w:themeColor="text1"/>
          <w:sz w:val="16"/>
          <w:szCs w:val="16"/>
        </w:rPr>
        <w:noBreakHyphen/>
        <w:t>1934 гг. Народный комиссар НКВМ являлся одновременно председателем Реввоенсовета. В состав НКВМ входили: Штаб РККА, Политическое управление РККА, Главное управление РККА (ведало административными вопросами), Инспекторат РККА (занимался вопросами подготовки и обучения личного состава), Управление ВВС РККА, Управление ВМС РККА, Управление вооружений, Финансово-плановое, Военно-хозяйственное и Военно-строительное управления, а также Управление делами наркомата. При совнаркомах союзных республик народный комиссариат имел своих уполномоченных, кандидатуры которых утверждались СНК СССР. По положению о центральном аппарате Наркомвоенмора (утверждено приказом РВС СССР от 21 октября 1929 г.) основными функциями НКВМ являлись: сосредоточение и подготовка материалов центральных управлений для заседаний РВС СССР и направление их правительству; наблюдение за своевременным выполнением постановлений правительства и РВС СССР; составление планов законодательных предположений и согласование их с другими ведомствами; разработка планов работы РВС СССР и центральных управлений и др. Постановлением ЦИК и СНК СССР от 15 марта 1934 г. Наркомат по военным и морским делам был реорганизован в Наркомат обороны СССР. По постановлению ЦИК и СНК от 30 декабря 1937 г. был создан самостоятельный Наркомат военно-морского флота СССР.</w:t>
      </w:r>
    </w:p>
    <w:p w14:paraId="08EB0D93" w14:textId="77777777" w:rsidR="00DF064F" w:rsidRPr="00C33834" w:rsidRDefault="00DF064F" w:rsidP="00C33834">
      <w:pPr>
        <w:pStyle w:val="rtejustify"/>
        <w:spacing w:before="0" w:after="0"/>
        <w:rPr>
          <w:color w:val="000000" w:themeColor="text1"/>
          <w:sz w:val="16"/>
          <w:szCs w:val="16"/>
        </w:rPr>
      </w:pPr>
      <w:r w:rsidRPr="00C33834">
        <w:rPr>
          <w:color w:val="000000" w:themeColor="text1"/>
          <w:sz w:val="16"/>
          <w:szCs w:val="16"/>
        </w:rPr>
        <w:t>²* </w:t>
      </w:r>
      <w:r w:rsidRPr="00C33834">
        <w:rPr>
          <w:rStyle w:val="af0"/>
          <w:bCs/>
          <w:i w:val="0"/>
          <w:color w:val="000000" w:themeColor="text1"/>
          <w:sz w:val="16"/>
          <w:szCs w:val="16"/>
        </w:rPr>
        <w:t>Государственная плановая комиссия (Госплан)</w:t>
      </w:r>
      <w:r w:rsidRPr="00C33834">
        <w:rPr>
          <w:color w:val="000000" w:themeColor="text1"/>
          <w:sz w:val="16"/>
          <w:szCs w:val="16"/>
        </w:rPr>
        <w:t xml:space="preserve"> при СТО СССР, с 1931 г. — при СНК СССР, была создана 22 февраля 1921 г. для разработки единого общегосударственного хозяйственного плана. Госплан должен был рассматривать и согласовывать производственные программы и плановые предложения различных ведомств, в том числе и учреждений по руководству оборонной промышленностью. Он занимался также разработкой вопросов экономической подготовки к войне, объединением хозяйственных мобилизационных планов, а также увязкой текущего и перспективного планирования с задачами обороны. С этими целями в структуре Госплана было создано Военное бюро, которое в июне 1927 г. было преобразовано в Сектор обороны. 5 апреля 1935 г. в соответствии с постановлением ЦИК и СНК СССР № 3/590 Госплан был реорганизован: ликвидирован Президиум, а члены Госплана стали назначаться СНК СССР по представлению председателя Госплана. Это способствовало еще более полной централизации мобилизационной и плановой работы в Госплане. Он также должен был координировать все расчеты по основным балансовым статьям народнохозяйственного плана в целом. Структура Госплана включала отделы и самостоятельные секторы, которые разрабатывали соответствующие разделы единого народнохозяйственного плана, осуществляли наблюдение за его выполнением, разрабатывали основные межотраслевые и межрайонные проблемы народного хозяйства и вопросы методологии планирования. 17 сентября 1937 г. в соответствии с постановлением ЦИК и СНК СССР № 108/1637 «Об изменении структуры Госплана СССР» был ликвидирован Институт экономических исследований Госплана СССР, взамен него образовано при председателе Госплана СССР Технико-экономическое бюро; сводный отдел производства был реорганизован в отдел сводного плана, самостоятельный Сектор обороны был реорганизован в Отдел обороны. Также были реорганизованы некоторые другие секторы и отделы в составе секторов. (СЗ. 1937 1937 вышел приказ НКОП № 62. Ст. 270; РГАЭ. Ф. 4372. Оп. 91. Д. 2285. Л. 4, 3</w:t>
      </w:r>
      <w:r w:rsidRPr="00C33834">
        <w:rPr>
          <w:color w:val="000000" w:themeColor="text1"/>
          <w:sz w:val="16"/>
          <w:szCs w:val="16"/>
        </w:rPr>
        <w:noBreakHyphen/>
        <w:t>3 об.).</w:t>
      </w:r>
    </w:p>
    <w:p w14:paraId="3C74802B" w14:textId="77777777" w:rsidR="00DF064F" w:rsidRPr="00C33834" w:rsidRDefault="00DF064F" w:rsidP="00C33834">
      <w:pPr>
        <w:pStyle w:val="ae"/>
        <w:spacing w:before="0" w:after="0"/>
        <w:jc w:val="both"/>
        <w:rPr>
          <w:color w:val="000000" w:themeColor="text1"/>
          <w:sz w:val="16"/>
          <w:szCs w:val="16"/>
        </w:rPr>
      </w:pPr>
      <w:r w:rsidRPr="00C33834">
        <w:rPr>
          <w:color w:val="000000" w:themeColor="text1"/>
          <w:sz w:val="16"/>
          <w:szCs w:val="16"/>
        </w:rPr>
        <w:t>ГА РФ. Ф. Р-8418. Оп. 28. Д. 1. Л. 76-79. Подлинник (15257).</w:t>
      </w:r>
    </w:p>
    <w:p w14:paraId="5C65BB33" w14:textId="77777777" w:rsidR="00DF064F" w:rsidRPr="00C33834" w:rsidRDefault="00DF064F" w:rsidP="00C33834">
      <w:pPr>
        <w:autoSpaceDE w:val="0"/>
        <w:autoSpaceDN w:val="0"/>
        <w:adjustRightInd w:val="0"/>
        <w:spacing w:after="0" w:line="240" w:lineRule="auto"/>
        <w:jc w:val="both"/>
        <w:rPr>
          <w:rFonts w:ascii="Times New Roman" w:hAnsi="Times New Roman"/>
          <w:color w:val="000000" w:themeColor="text1"/>
          <w:sz w:val="16"/>
          <w:szCs w:val="16"/>
        </w:rPr>
      </w:pPr>
    </w:p>
    <w:p w14:paraId="45CB7B9A"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марта 1933 представителям ВП было предъявлено 16 БТ-5, 55 корпусов были на конвейере и 50 собирали под особым контролем, т.к. предполагалось, что они пройдут по КП (3880,4).</w:t>
      </w:r>
    </w:p>
    <w:p w14:paraId="2A51A840"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p>
    <w:p w14:paraId="19B068E8" w14:textId="77777777" w:rsidR="00F277B1" w:rsidRPr="00C33834" w:rsidRDefault="00F277B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22 марта по 5 апреля 1933 первый экземпляр нового танкового двигателя завода № 174 мощностью 96 л.с. был испытан на стенде. Он продемонстрировал мощность 96 л.с. и проработал непрерывно в течение 5 Часов. Однако, будучи установленным в танк, мотор никак не желал работать нормально. Практически ни один из 30 мото</w:t>
      </w:r>
      <w:r w:rsidRPr="00C33834">
        <w:rPr>
          <w:rFonts w:ascii="Times New Roman" w:hAnsi="Times New Roman"/>
          <w:color w:val="000000" w:themeColor="text1"/>
          <w:sz w:val="16"/>
          <w:szCs w:val="16"/>
        </w:rPr>
        <w:softHyphen/>
        <w:t>ров установочной серии не выдержал гарантированной на</w:t>
      </w:r>
      <w:r w:rsidRPr="00C33834">
        <w:rPr>
          <w:rFonts w:ascii="Times New Roman" w:hAnsi="Times New Roman"/>
          <w:color w:val="000000" w:themeColor="text1"/>
          <w:sz w:val="16"/>
          <w:szCs w:val="16"/>
        </w:rPr>
        <w:softHyphen/>
        <w:t>работки (10733,217).</w:t>
      </w:r>
    </w:p>
    <w:p w14:paraId="1FB554F7" w14:textId="77777777" w:rsidR="00F277B1" w:rsidRPr="00C33834" w:rsidRDefault="00F277B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89428E"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марта 1933 года было доложено о вредительстве фашистской контрреволюционной организации в химической промышленности среди НТР Угрешского химзавода и др. Дошло дело и до крестьян. 28 января 1932 года Политбюро ЦК ВКП(б) рассмотрело вопросы ОГПУ по делу Трудовой крестьянской партии. Было предварительно решено обвиняемым выше 8 лет лишения свободы не давать. Украинский народный центр предлагалось судить как контрреволюционную организацию, выше 6 лет не давать, несколько человек, в том числе Грушевского, а также и коммунистов освободить от приговора. При этом велась в прессе большая пропагандистская кампания о вредительстве (11248).</w:t>
      </w:r>
    </w:p>
    <w:p w14:paraId="4ECAE540"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p>
    <w:p w14:paraId="58C9B3C5" w14:textId="77777777" w:rsidR="006C01E5" w:rsidRPr="00C33834" w:rsidRDefault="006C01E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shd w:val="clear" w:color="auto" w:fill="FFFFFF"/>
        </w:rPr>
        <w:t>22 марта 1933 г. только что назначенный на должность зампреда ОГПУ Яков Агранов бойко рапортовал Сталину о том, что "агентурным путем раскрыта и ликвидируется к[онтр]р[еволюционная] фашистская, вредительская организация среди инженерно-технических работников Угрешского химзавода, возглавлявшаяся начальником проектного отдела завода инженером Мовчаном С.Д."</w:t>
      </w:r>
      <w:r w:rsidRPr="00C33834">
        <w:rPr>
          <w:rFonts w:ascii="Times New Roman" w:hAnsi="Times New Roman"/>
          <w:color w:val="000000" w:themeColor="text1"/>
          <w:sz w:val="16"/>
          <w:szCs w:val="16"/>
          <w:shd w:val="clear" w:color="auto" w:fill="FFFFFF"/>
          <w:vertAlign w:val="superscript"/>
        </w:rPr>
        <w:t>2</w:t>
      </w:r>
      <w:r w:rsidRPr="00C33834">
        <w:rPr>
          <w:rFonts w:ascii="Times New Roman" w:hAnsi="Times New Roman"/>
          <w:color w:val="000000" w:themeColor="text1"/>
          <w:sz w:val="16"/>
          <w:szCs w:val="16"/>
          <w:shd w:val="clear" w:color="auto" w:fill="FFFFFF"/>
        </w:rPr>
        <w:t xml:space="preserve">. Полномочное представительство ОГПУ по Московской области, которым Агранов руководил </w:t>
      </w:r>
      <w:r w:rsidRPr="00C33834">
        <w:rPr>
          <w:rFonts w:ascii="Times New Roman" w:hAnsi="Times New Roman"/>
          <w:color w:val="000000" w:themeColor="text1"/>
          <w:sz w:val="16"/>
          <w:szCs w:val="16"/>
          <w:shd w:val="clear" w:color="auto" w:fill="FFFFFF"/>
        </w:rPr>
        <w:lastRenderedPageBreak/>
        <w:t>до своего повышения, выявило 22 участника опаснейшего с виду заговора: "Организация ставила своей задачей свержение советской власти путем вооруженного восстания и иностранной военной интервенции и установление фашистской диктатуры по типу итальянского и германского фашизма. На совещаниях руководящего ядра организации обсуждался вопрос о создании фашистской организации, которую предполагалось назвать "Российской Национальной Народной Партией". [...] Деятельность группы направлялась и руководилась центром, в состав которого входили инженеры Всехимпрома - Горденин, Левинсон, Афанасьев и Зак. Этим центром были созданы аналогичные фашистские ячейки и на Чернореченском, Бобриковском и Воскресенском химкомбинатах".</w:t>
      </w:r>
    </w:p>
    <w:p w14:paraId="4D027F82" w14:textId="77777777" w:rsidR="006C01E5" w:rsidRPr="00C33834" w:rsidRDefault="006C01E5" w:rsidP="00C33834">
      <w:pPr>
        <w:pStyle w:val="ae"/>
        <w:spacing w:before="0" w:after="0"/>
        <w:jc w:val="both"/>
        <w:rPr>
          <w:bCs/>
          <w:color w:val="000000" w:themeColor="text1"/>
          <w:sz w:val="16"/>
          <w:szCs w:val="16"/>
        </w:rPr>
      </w:pPr>
      <w:r w:rsidRPr="00C33834">
        <w:rPr>
          <w:color w:val="000000" w:themeColor="text1"/>
          <w:sz w:val="16"/>
          <w:szCs w:val="16"/>
        </w:rPr>
        <w:t>В показаниях Мовчана (</w:t>
      </w:r>
      <w:r w:rsidRPr="00C33834">
        <w:rPr>
          <w:color w:val="000000" w:themeColor="text1"/>
          <w:sz w:val="16"/>
          <w:szCs w:val="16"/>
          <w:shd w:val="clear" w:color="auto" w:fill="FFFFFF"/>
        </w:rPr>
        <w:t>начальника проектного отдела Угрешского химзавода</w:t>
      </w:r>
      <w:r w:rsidRPr="00C33834">
        <w:rPr>
          <w:color w:val="000000" w:themeColor="text1"/>
          <w:sz w:val="16"/>
          <w:szCs w:val="16"/>
        </w:rPr>
        <w:t>)  от 11 марта 1933 г. читаем: "В отношении вредительства было решено: поддерживать существующие неполадки завода, производить задержку работ завода и принимать все меры к срыву производственной программы завода"</w:t>
      </w:r>
      <w:r w:rsidRPr="00C33834">
        <w:rPr>
          <w:color w:val="000000" w:themeColor="text1"/>
          <w:sz w:val="16"/>
          <w:szCs w:val="16"/>
          <w:vertAlign w:val="superscript"/>
        </w:rPr>
        <w:t>7</w:t>
      </w:r>
      <w:r w:rsidRPr="00C33834">
        <w:rPr>
          <w:color w:val="000000" w:themeColor="text1"/>
          <w:sz w:val="16"/>
          <w:szCs w:val="16"/>
        </w:rPr>
        <w:t xml:space="preserve">. Но уже 16 марта тот же подследственный заявил, что даже в этом, совершенно невинном по сравнению с "фашистской диктатурой" направлении не было сделано практически ничего, ибо вместо "организованного вредительства" постановили: "на первое время в целях маскировки целесообразно ограничиться тем, что пассивно относиться к существующим неполадкам </w:t>
      </w:r>
    </w:p>
    <w:p w14:paraId="73E26A20" w14:textId="77777777" w:rsidR="006C01E5" w:rsidRPr="00C33834" w:rsidRDefault="006C01E5" w:rsidP="00C33834">
      <w:pPr>
        <w:pStyle w:val="ae"/>
        <w:spacing w:before="0" w:after="0"/>
        <w:jc w:val="both"/>
        <w:rPr>
          <w:color w:val="000000" w:themeColor="text1"/>
          <w:sz w:val="16"/>
          <w:szCs w:val="16"/>
        </w:rPr>
      </w:pPr>
      <w:r w:rsidRPr="00C33834">
        <w:rPr>
          <w:color w:val="000000" w:themeColor="text1"/>
          <w:sz w:val="16"/>
          <w:szCs w:val="16"/>
        </w:rPr>
        <w:t>Следом Мовчан приводил целый список мелких вредительских деяний, которые не тянут не то что на расстрельную статью, но и, скорее всего, на наказание в виде несоответствия занимаемой должности. Сам допрашиваемый каялся, к примеру, в том, что "сорван пуск блоков "Х" и "Ж" умышленным пуском мною чертежей в работу с явными ошибками"</w:t>
      </w:r>
      <w:r w:rsidRPr="00C33834">
        <w:rPr>
          <w:color w:val="000000" w:themeColor="text1"/>
          <w:sz w:val="16"/>
          <w:szCs w:val="16"/>
          <w:vertAlign w:val="superscript"/>
        </w:rPr>
        <w:t>9</w:t>
      </w:r>
      <w:r w:rsidRPr="00C33834">
        <w:rPr>
          <w:color w:val="000000" w:themeColor="text1"/>
          <w:sz w:val="16"/>
          <w:szCs w:val="16"/>
        </w:rPr>
        <w:t>. Вряд ли и производивший допрос чекист Столяров понимал вредительскую сущность такого, например, деяния: "С ведома технорука инж. Галковича и нач. бл. "Э" инж. Соловьева на электролитические ванны "Кребс" нередко подавался рассол, не отстоявшийся и не отфильтрованный, т.е. не чистый, под предлогом невозможности создать запас чистого рассола из затвердевшей на складе соли"</w:t>
      </w:r>
      <w:r w:rsidRPr="00C33834">
        <w:rPr>
          <w:color w:val="000000" w:themeColor="text1"/>
          <w:sz w:val="16"/>
          <w:szCs w:val="16"/>
          <w:shd w:val="clear" w:color="auto" w:fill="FFFFFF"/>
        </w:rPr>
        <w:t xml:space="preserve"> (18727)</w:t>
      </w:r>
      <w:r w:rsidRPr="00C33834">
        <w:rPr>
          <w:color w:val="000000" w:themeColor="text1"/>
          <w:sz w:val="16"/>
          <w:szCs w:val="16"/>
        </w:rPr>
        <w:t>.</w:t>
      </w:r>
    </w:p>
    <w:p w14:paraId="500E4DE7" w14:textId="77777777" w:rsidR="006C01E5" w:rsidRPr="00C33834" w:rsidRDefault="006C01E5" w:rsidP="00C33834">
      <w:pPr>
        <w:spacing w:after="0" w:line="240" w:lineRule="auto"/>
        <w:jc w:val="both"/>
        <w:rPr>
          <w:rFonts w:ascii="Times New Roman" w:hAnsi="Times New Roman"/>
          <w:color w:val="000000" w:themeColor="text1"/>
          <w:sz w:val="16"/>
          <w:szCs w:val="16"/>
        </w:rPr>
      </w:pPr>
    </w:p>
    <w:p w14:paraId="4FCF6F8F" w14:textId="77777777" w:rsidR="006C01E5" w:rsidRPr="00C33834" w:rsidRDefault="006C01E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марта 1933 г. только что назначенный на должность зампреда ОГПУ Яков Агранов бойко рапортовал Сталину о том, что "агентурным путем раскрыта и ликвидируется к[онтр]р[еволюционная] фашистская, вредительская организация среди инженерно-технических работников Угрешского химзавода, возглавлявшаяся начальником проектного отдела завода инженером Мовчаном С.Д.". Полномочное представительство ОГПУ по Московской области, которым Агранов руководил до своего повышения, выявило 22 участника опаснейшего с виду заговора: "Организация ставила своей задачей свержение советской власти путем вооруженного восстания и иностранной военной интервенции и установление фашистской диктатуры по типу итальянского и германского фашизма. На совещаниях руководящего ядра организации обсуждался вопрос о создании фашистской организации, которую предполагалось назвать "Российской Национальной Народной Партией". [...] Деятельность группы направлялась и руководилась центром, в состав которого входили инженеры Всехимпрома - Горденин, Левинсон, Афанасьев и Зак. Этим центром были созданы аналогичные фашистские ячейки и на Чернореченском, Бобриковском и Воскресенском химкомбинатах" (19523).</w:t>
      </w:r>
    </w:p>
    <w:p w14:paraId="63F79637" w14:textId="77777777" w:rsidR="006C01E5" w:rsidRPr="00C33834" w:rsidRDefault="006C01E5" w:rsidP="00C33834">
      <w:pPr>
        <w:spacing w:after="0" w:line="240" w:lineRule="auto"/>
        <w:jc w:val="both"/>
        <w:rPr>
          <w:rFonts w:ascii="Times New Roman" w:hAnsi="Times New Roman"/>
          <w:color w:val="000000" w:themeColor="text1"/>
          <w:sz w:val="16"/>
          <w:szCs w:val="16"/>
        </w:rPr>
      </w:pPr>
    </w:p>
    <w:p w14:paraId="2C4AB0F2" w14:textId="77777777" w:rsidR="00F277B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872FC25" w14:textId="77777777" w:rsidR="00F277B1" w:rsidRPr="00C33834" w:rsidRDefault="00F277B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E3FF52C" w14:textId="77777777" w:rsidR="00DF064F" w:rsidRPr="00C33834" w:rsidRDefault="00DF064F"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22 марта</w:t>
      </w:r>
      <w:r w:rsidRPr="00C33834">
        <w:rPr>
          <w:rFonts w:ascii="Times New Roman" w:hAnsi="Times New Roman"/>
          <w:color w:val="000000" w:themeColor="text1"/>
          <w:sz w:val="16"/>
          <w:szCs w:val="16"/>
        </w:rPr>
        <w:t xml:space="preserve"> в 1933 году первый полет французского гоночного самолета </w:t>
      </w:r>
      <w:hyperlink r:id="rId110" w:tgtFrame="_blank" w:history="1">
        <w:r w:rsidRPr="00C33834">
          <w:rPr>
            <w:rFonts w:ascii="Times New Roman" w:hAnsi="Times New Roman"/>
            <w:color w:val="000000" w:themeColor="text1"/>
            <w:sz w:val="16"/>
            <w:szCs w:val="16"/>
          </w:rPr>
          <w:t xml:space="preserve">«Lorraine Hanriot» «LH-130». </w:t>
        </w:r>
      </w:hyperlink>
      <w:r w:rsidRPr="00C33834">
        <w:rPr>
          <w:rFonts w:ascii="Times New Roman" w:hAnsi="Times New Roman"/>
          <w:color w:val="000000" w:themeColor="text1"/>
          <w:sz w:val="16"/>
          <w:szCs w:val="16"/>
        </w:rPr>
        <w:t>Первый показ самолета состоялся на XIII Парижском авиасалоне 4 декабря 1932 года (15076).</w:t>
      </w:r>
    </w:p>
    <w:p w14:paraId="76ADA21A" w14:textId="77777777" w:rsidR="00DF064F" w:rsidRPr="00C33834" w:rsidRDefault="00DF064F" w:rsidP="00C33834">
      <w:pPr>
        <w:spacing w:after="0" w:line="240" w:lineRule="auto"/>
        <w:jc w:val="both"/>
        <w:rPr>
          <w:rFonts w:ascii="Times New Roman" w:hAnsi="Times New Roman"/>
          <w:color w:val="000000" w:themeColor="text1"/>
          <w:sz w:val="16"/>
          <w:szCs w:val="16"/>
        </w:rPr>
      </w:pPr>
    </w:p>
    <w:p w14:paraId="6E5AE12E" w14:textId="77777777" w:rsidR="008A3D83" w:rsidRPr="00C33834" w:rsidRDefault="008A3D8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22 марта 1933 - Первый полет французского гоночного самолета Lorraine Hanriot LH-130. С регистрационным номером F-AOFV самолет принял участие в гонке Coupe Michelin 1932, но не достиг в ней таких впечатляющих результатов как его предшественники LH-41 и LH-42 (22560).</w:t>
      </w:r>
    </w:p>
    <w:p w14:paraId="2F7D98EC" w14:textId="77777777" w:rsidR="008A3D83" w:rsidRPr="00C33834" w:rsidRDefault="008A3D83" w:rsidP="00C33834">
      <w:pPr>
        <w:spacing w:after="0" w:line="240" w:lineRule="auto"/>
        <w:jc w:val="both"/>
        <w:rPr>
          <w:rFonts w:ascii="Times New Roman" w:hAnsi="Times New Roman"/>
          <w:color w:val="0070C0"/>
          <w:sz w:val="16"/>
          <w:szCs w:val="16"/>
        </w:rPr>
      </w:pPr>
    </w:p>
    <w:p w14:paraId="7E30A8DE" w14:textId="77777777" w:rsidR="00DF064F" w:rsidRPr="00C33834" w:rsidRDefault="00DF064F"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22 марта</w:t>
      </w:r>
      <w:r w:rsidRPr="00C33834">
        <w:rPr>
          <w:rFonts w:ascii="Times New Roman" w:hAnsi="Times New Roman"/>
          <w:color w:val="000000" w:themeColor="text1"/>
          <w:sz w:val="16"/>
          <w:szCs w:val="16"/>
        </w:rPr>
        <w:t xml:space="preserve"> в 1933 году в Дахау (близ Мюнхена) начал действовать первый концентрационный лагерь в фашистской Германии; узниками лагеря были 250 тысяч человек, из которых 70 тысяч замучены и убиты; в 1960 году в Дахау был открыт памятник погибшим. Дахау стал первым "опытным полигоном", где отрабатывалась система наказаний и других форм физических и психологических издевательств над узниками. До начала второй мировой войны в Дахау содержались политические противники нацистского режима, прежде всего коммунисты, социалисты, оппозиционные режиму священнослужители и др. Во время второй мировой войны Дахау приобрел зловещую известность как один из самых ужасных концлагерей, в которых проводились медицинские эксперименты над заключенными. Только в 1941-1942 годах там было проведено около 500 экспериментов над живыми людьми. Гиммлер и другие высокопоставленные нацисты регулярно посещали с инспекционными поездками Дахау, где наблюдали за этими опытами. Многие узники Дахау трудились в качестве бесплатной рабочей силы на окрестных промышленных предприятиях, в том числе на производствах концерна "ИГ Фарбениндустри". После окончания войны комендант лагеря, охранники, врачи, осуществлявшие в лагере медицинские эксперименты, предстали перед Международным военным трибуналом в Нюрнберге. При поддержке баварского правительства и Международного комитета бывших узников Дахау на территории лагеря открыт мемориальный комплекс (15076).</w:t>
      </w:r>
    </w:p>
    <w:p w14:paraId="2BCB3C5E" w14:textId="77777777" w:rsidR="00DF064F" w:rsidRPr="00C33834" w:rsidRDefault="00DF064F" w:rsidP="00C33834">
      <w:pPr>
        <w:spacing w:after="0" w:line="240" w:lineRule="auto"/>
        <w:jc w:val="both"/>
        <w:rPr>
          <w:rFonts w:ascii="Times New Roman" w:hAnsi="Times New Roman"/>
          <w:color w:val="000000" w:themeColor="text1"/>
          <w:sz w:val="16"/>
          <w:szCs w:val="16"/>
        </w:rPr>
      </w:pPr>
    </w:p>
    <w:p w14:paraId="2ED7B565" w14:textId="77777777" w:rsidR="00F277B1" w:rsidRPr="00C33834" w:rsidRDefault="00F277B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марта 1933 в США разрешено пиво с содержанием алкоголя до 3,2 % (4962).</w:t>
      </w:r>
    </w:p>
    <w:p w14:paraId="2456B5F7" w14:textId="77777777" w:rsidR="00F277B1" w:rsidRPr="00C33834" w:rsidRDefault="00F277B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8F8924"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марта 1933 Ф.Рузвельт подписал закон, разрешающий владеть вином и пивом (2100).</w:t>
      </w:r>
    </w:p>
    <w:p w14:paraId="768CFDB2"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p>
    <w:p w14:paraId="19ED8AC8" w14:textId="77777777" w:rsidR="00F277B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8F1CA89" w14:textId="77777777" w:rsidR="00F277B1" w:rsidRPr="00C33834" w:rsidRDefault="00F277B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EF3C63A"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марта 1933 Пом. Нач. ГУАП и Нач. НТОС Алмазов писал в Госплан Зарзару письмо N 277/154с, направленное 26 марта 1933:</w:t>
      </w:r>
    </w:p>
    <w:p w14:paraId="6908A4D1"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"Протоколом от 11 марта с.г. на заседании по вопросу сверхвысотной авиации вынесено постановление считать недопустимым консервацию работ по машине БНК.</w:t>
      </w:r>
    </w:p>
    <w:p w14:paraId="0BA7C89C"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Считаю необходимым сообщить следующее.</w:t>
      </w:r>
    </w:p>
    <w:p w14:paraId="3EC7C49D"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виду чрезвычайной актуальности вопроса по созданию стратосферного самолета первоначально решено было задание проводить параллельно в двух организациях - ЦАГИ и БНК. так как основным вопросом в проблеме является вопрос ВМГ, а не схемы самолета, то его разрешение намечалось в двух направлениях.</w:t>
      </w:r>
    </w:p>
    <w:p w14:paraId="10CEA0DE"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 ЦАГИ с установкой сверхвысотного двухступенчатого нагнетателя.</w:t>
      </w:r>
    </w:p>
    <w:p w14:paraId="61FE125A"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 БНК - мотора с газовой турбиной.</w:t>
      </w:r>
    </w:p>
    <w:p w14:paraId="6B12FF41"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необходимо проверить в стратосфере ряд вопросов, не связанных с ВМГ и со схемой самолета. Новизна, недоработанность и экспериментальность схемы БНК, сложность и сугубая экспериментальность турбинной конструкции, требующая для разрешения специальных кадров и специфических отдельных опытов, необходимость в кратчайший срок выпустить машину в стратосферу, ряд других актуальных задач, поставленных перед объединенным вновь организованным КБ (из БНК и ЦАГИ), заставляют в целях ускорения вопроса не распылять силы и средства и сосредоточить внимание на выпуске машины с более проверенной схемой, более подготовленной в смысле проработки возможности постройки, более проверенной и надежной ВМГ, т.е. машиной ЦАГИ.</w:t>
      </w:r>
    </w:p>
    <w:p w14:paraId="52D7446B"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ввиду того, что первые полеты в стратосфере на той или другой машине дадут совершенно аналогичные ответы на вопросы кабины, безопасности экипажа, влияния низких температур, способа проводки управления самолетом и пр. считаю совершенно нецелесообразным для этого строить и тратить средства на два экз., хотя бы и отличные друг от друга.</w:t>
      </w:r>
    </w:p>
    <w:p w14:paraId="2768949D"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 применения турбины в виде, предложенном БНК или ином считаю рациональным передать в ЦИАМ с непосредственными работниками этой работы для дальнейшего его осуществления." (2304,8).</w:t>
      </w:r>
    </w:p>
    <w:p w14:paraId="721A1968"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p>
    <w:p w14:paraId="572FAFE2" w14:textId="77777777" w:rsidR="008A3D83" w:rsidRPr="00C33834" w:rsidRDefault="008A3D83" w:rsidP="00C33834">
      <w:pPr>
        <w:shd w:val="clear" w:color="auto" w:fill="FFFFFF"/>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23 марта 1933 г. в письме в Госплан на имя тов. ЗАРЗАР (должность не указана) Помощник Начальника ГУАП и Нач. НТОС Алмазов подтвердил, что ГУАП считает правильным не распылять средства и сосредоточить внимание на выпуске машины с более проверенной схемой. Кроме того, писал он, первые полёты в стратосфере той и другой машины дадут совершенно аналогичные ответы на ряд первоочередных вопросов, и поэтому «считаю совершенно нецелесообразным для этого строить и тратить средства на два экземпляра, хотя бы и отличные друг от друга». Тем самым вопрос о постройке самолёта БНК-4 был фактически закрыт. Что касается «конкурента» – проекта СС конструкции Чижевского, то он получил достаточно удачное развитие (19876).</w:t>
      </w:r>
    </w:p>
    <w:p w14:paraId="5B7B4791" w14:textId="77777777" w:rsidR="008A3D83" w:rsidRPr="00C33834" w:rsidRDefault="008A3D83" w:rsidP="00C33834">
      <w:pPr>
        <w:shd w:val="clear" w:color="auto" w:fill="FFFFFF"/>
        <w:spacing w:after="0" w:line="240" w:lineRule="auto"/>
        <w:jc w:val="both"/>
        <w:rPr>
          <w:rFonts w:ascii="Times New Roman" w:hAnsi="Times New Roman"/>
          <w:color w:val="0070C0"/>
          <w:sz w:val="16"/>
          <w:szCs w:val="16"/>
        </w:rPr>
      </w:pPr>
    </w:p>
    <w:p w14:paraId="6E4DAAD5" w14:textId="77777777" w:rsidR="00F277B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49F978E" w14:textId="77777777" w:rsidR="00F277B1" w:rsidRPr="00C33834" w:rsidRDefault="00F277B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985E4E5"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23 марта</w:t>
      </w:r>
      <w:r w:rsidRPr="00C33834">
        <w:rPr>
          <w:rFonts w:ascii="Times New Roman" w:hAnsi="Times New Roman"/>
          <w:color w:val="000000" w:themeColor="text1"/>
          <w:sz w:val="16"/>
          <w:szCs w:val="16"/>
        </w:rPr>
        <w:t xml:space="preserve"> в 1933 году американский средний транспортный самолет </w:t>
      </w:r>
      <w:hyperlink r:id="rId111" w:tgtFrame="_blank" w:history="1">
        <w:r w:rsidRPr="00C33834">
          <w:rPr>
            <w:rFonts w:ascii="Times New Roman" w:hAnsi="Times New Roman"/>
            <w:color w:val="000000" w:themeColor="text1"/>
            <w:sz w:val="16"/>
            <w:szCs w:val="16"/>
          </w:rPr>
          <w:t xml:space="preserve">«Curtiss» «T-32» «Condor II» </w:t>
        </w:r>
      </w:hyperlink>
      <w:r w:rsidRPr="00C33834">
        <w:rPr>
          <w:rFonts w:ascii="Times New Roman" w:hAnsi="Times New Roman"/>
          <w:color w:val="000000" w:themeColor="text1"/>
          <w:sz w:val="16"/>
          <w:szCs w:val="16"/>
        </w:rPr>
        <w:t>был передан заказчику. Прототип впервые поднялся в воздух 30 января 1933 года (15077).</w:t>
      </w:r>
    </w:p>
    <w:p w14:paraId="50AB1BE1" w14:textId="77777777" w:rsidR="0008514E" w:rsidRPr="00C33834" w:rsidRDefault="0008514E" w:rsidP="00C33834">
      <w:pPr>
        <w:spacing w:after="0" w:line="240" w:lineRule="auto"/>
        <w:jc w:val="both"/>
        <w:rPr>
          <w:rFonts w:ascii="Times New Roman" w:hAnsi="Times New Roman"/>
          <w:color w:val="000000" w:themeColor="text1"/>
          <w:sz w:val="16"/>
          <w:szCs w:val="16"/>
        </w:rPr>
      </w:pPr>
    </w:p>
    <w:p w14:paraId="4F5955C9"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23 марта</w:t>
      </w:r>
      <w:r w:rsidRPr="00C33834">
        <w:rPr>
          <w:rFonts w:ascii="Times New Roman" w:hAnsi="Times New Roman"/>
          <w:color w:val="000000" w:themeColor="text1"/>
          <w:sz w:val="16"/>
          <w:szCs w:val="16"/>
        </w:rPr>
        <w:t xml:space="preserve"> в 1933 году в Германии Закон о дополнительных полномочиях фактически превращает Адольфа Гитлера в диктатора до апреля 1937. Вскоре будут запрещены или распущены все партии, кроме нацистской, и большинство профсоюзов (15077).</w:t>
      </w:r>
    </w:p>
    <w:p w14:paraId="313CF210" w14:textId="77777777" w:rsidR="0008514E" w:rsidRPr="00C33834" w:rsidRDefault="0008514E" w:rsidP="00C33834">
      <w:pPr>
        <w:spacing w:after="0" w:line="240" w:lineRule="auto"/>
        <w:jc w:val="both"/>
        <w:rPr>
          <w:rFonts w:ascii="Times New Roman" w:hAnsi="Times New Roman"/>
          <w:color w:val="000000" w:themeColor="text1"/>
          <w:sz w:val="16"/>
          <w:szCs w:val="16"/>
        </w:rPr>
      </w:pPr>
    </w:p>
    <w:p w14:paraId="0A1F14D3"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lang w:val="en-US"/>
        </w:rPr>
      </w:pPr>
      <w:r w:rsidRPr="00C33834">
        <w:rPr>
          <w:rFonts w:ascii="Times New Roman" w:hAnsi="Times New Roman"/>
          <w:color w:val="000000" w:themeColor="text1"/>
          <w:sz w:val="16"/>
          <w:szCs w:val="16"/>
        </w:rPr>
        <w:t>23 марта 1933 рейхстаг проголосовал за предоставление канцлеру абсолютных полномочий сроком на четыре года. СэтоговременивГерманииустановиласьдиктатура</w:t>
      </w:r>
      <w:r w:rsidRPr="00C33834">
        <w:rPr>
          <w:rFonts w:ascii="Times New Roman" w:hAnsi="Times New Roman"/>
          <w:color w:val="000000" w:themeColor="text1"/>
          <w:sz w:val="16"/>
          <w:szCs w:val="16"/>
          <w:lang w:val="en-US"/>
        </w:rPr>
        <w:t xml:space="preserve"> (3871).</w:t>
      </w:r>
    </w:p>
    <w:p w14:paraId="656EA14A"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lang w:val="en-US"/>
        </w:rPr>
      </w:pPr>
    </w:p>
    <w:p w14:paraId="602E8E64"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lang w:val="en-US"/>
        </w:rPr>
      </w:pPr>
      <w:r w:rsidRPr="00C33834">
        <w:rPr>
          <w:rFonts w:ascii="Times New Roman" w:hAnsi="Times New Roman"/>
          <w:color w:val="000000" w:themeColor="text1"/>
          <w:sz w:val="16"/>
          <w:szCs w:val="16"/>
          <w:lang w:val="en-US"/>
        </w:rPr>
        <w:lastRenderedPageBreak/>
        <w:t>March 23 1933 German Reichstag passes law giving Adolph Hitler dictatorial powers in Germany (1769).</w:t>
      </w:r>
    </w:p>
    <w:p w14:paraId="75196B7D"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lang w:val="en-US"/>
        </w:rPr>
      </w:pPr>
    </w:p>
    <w:p w14:paraId="6B3DA074"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lang w:val="en-US"/>
        </w:rPr>
      </w:pPr>
      <w:r w:rsidRPr="00C33834">
        <w:rPr>
          <w:rFonts w:ascii="Times New Roman" w:hAnsi="Times New Roman"/>
          <w:color w:val="000000" w:themeColor="text1"/>
          <w:sz w:val="16"/>
          <w:szCs w:val="16"/>
          <w:lang w:val="en-US"/>
        </w:rPr>
        <w:t>March 23 1933 German Parliament passes Enabling Act giving Hitler dictatorial power (1050).</w:t>
      </w:r>
    </w:p>
    <w:p w14:paraId="364180B2"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lang w:val="en-US"/>
        </w:rPr>
      </w:pPr>
    </w:p>
    <w:p w14:paraId="09F2FE90"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марта 1933 Рейхстаг специальным законом дал А.Гитлеру диктаторские полномочия (1050;1769).</w:t>
      </w:r>
    </w:p>
    <w:p w14:paraId="4A1CA23E"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p>
    <w:p w14:paraId="47890CC0" w14:textId="77777777" w:rsidR="00F277B1" w:rsidRPr="00C33834" w:rsidRDefault="00F277B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марта 1933 немецкий рейхстаг всю полноту власти передал Гитлеру (4962).</w:t>
      </w:r>
    </w:p>
    <w:p w14:paraId="6FBAEEA0" w14:textId="77777777" w:rsidR="00F277B1" w:rsidRPr="00C33834" w:rsidRDefault="00F277B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6157E6"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марта 1933 вышел закон о наделении фашистского правительства чрезвычайными полном</w:t>
      </w:r>
      <w:r w:rsidR="0008514E" w:rsidRPr="00C33834">
        <w:rPr>
          <w:rFonts w:ascii="Times New Roman" w:hAnsi="Times New Roman"/>
          <w:color w:val="000000" w:themeColor="text1"/>
          <w:sz w:val="16"/>
          <w:szCs w:val="16"/>
          <w:lang w:val="en-US"/>
        </w:rPr>
        <w:t>j</w:t>
      </w:r>
      <w:r w:rsidRPr="00C33834">
        <w:rPr>
          <w:rFonts w:ascii="Times New Roman" w:hAnsi="Times New Roman"/>
          <w:color w:val="000000" w:themeColor="text1"/>
          <w:sz w:val="16"/>
          <w:szCs w:val="16"/>
        </w:rPr>
        <w:t>чиями (3960, 115).</w:t>
      </w:r>
    </w:p>
    <w:p w14:paraId="3E76026C"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p>
    <w:p w14:paraId="5047CA6A" w14:textId="77777777" w:rsidR="00A31E28" w:rsidRPr="00C33834" w:rsidRDefault="00A31E2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23 марта 1933, в зале берлинского оперного театра Кролла, состоялось заседание парламента. На рассмотрение был представлен акт о предоставлении чрезвычайных полномочий, официально названный "Законом о ликвидации бедственного положения народа и государства". Пять коротких параграфов предусматривали изъятие законодательных функций, включая контроль за расходованием бюджета рейха, утверждение договоров с иностранными государствами и внесение поправок в конституцию, из юрисдикции парламента и передачу их сроком на четыре года в ведение кабинета министров рейха. Более того, в акте оговаривалось, что законы, принимаемые кабинетом, разрабатываются канцлером и "могут допускать отклонения от конституции". Никакие законы не будут "затрагивать положение рейхстага", а права президента останутся "нерушимы".</w:t>
      </w:r>
    </w:p>
    <w:p w14:paraId="6D2D34E6" w14:textId="77777777" w:rsidR="00A31E28" w:rsidRPr="00C33834" w:rsidRDefault="00A31E2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Гитлер несколько раз повторил эти фразы в своей необычайно сдержанной речи перед депутатами, собравшимися в нарядном зале оперного театра, в стенах которого привыкли к спектаклям более легкого жанра. Теперь проходы зала заполнили штурмовики в коричневых рубашках; разбойничьи, покрытые шрамами лица этих людей как бы говорили, что никаких вольностей со стороны народных избранников они не потерпят.</w:t>
      </w:r>
    </w:p>
    <w:p w14:paraId="7A534713" w14:textId="77777777" w:rsidR="007937A6" w:rsidRPr="00C33834" w:rsidRDefault="00A31E2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"Правительство, - обещал Гитлер, - будет пользоваться этими полномочиями лишь при возникновении необходимости принять жизненно важные меры. Существованию рейхстага или рейхсрата это не угрожает. Положение и права президента остаются неприкосновенными... Автономия федеральных земель сохранится. Права церкви не будут ущемляться, ее отношения с государством не изменятся. Число случаев, когда будет возникать потребность применения этого закона, ограничено"</w:t>
      </w:r>
    </w:p>
    <w:p w14:paraId="67DA96EA" w14:textId="77777777" w:rsidR="00A31E28" w:rsidRPr="00C33834" w:rsidRDefault="007937A6"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hAnsi="Times New Roman"/>
          <w:color w:val="000000" w:themeColor="text1"/>
          <w:sz w:val="16"/>
          <w:szCs w:val="16"/>
        </w:rPr>
        <w:t>За проект проголосовал 441 человек, против - 84 (все - социал-демократы). Нацистские депутаты повскакали с мест и огласили зал истошными криками. Затем запели песню "Хорст Вессель", ставшую позднее вторым после "Германия превыше всего" национальным гимном</w:t>
      </w:r>
      <w:r w:rsidR="00A31E28" w:rsidRPr="00C33834">
        <w:rPr>
          <w:rFonts w:ascii="Times New Roman" w:eastAsia="Times New Roman" w:hAnsi="Times New Roman"/>
          <w:color w:val="000000" w:themeColor="text1"/>
          <w:sz w:val="16"/>
          <w:szCs w:val="16"/>
          <w:lang w:eastAsia="ru-RU"/>
        </w:rPr>
        <w:t xml:space="preserve"> (17283).</w:t>
      </w:r>
    </w:p>
    <w:p w14:paraId="47DC8851" w14:textId="77777777" w:rsidR="00A31E28" w:rsidRPr="00C33834" w:rsidRDefault="00A31E28" w:rsidP="00C33834">
      <w:pPr>
        <w:autoSpaceDE w:val="0"/>
        <w:autoSpaceDN w:val="0"/>
        <w:adjustRightInd w:val="0"/>
        <w:spacing w:after="0" w:line="240" w:lineRule="auto"/>
        <w:jc w:val="both"/>
        <w:rPr>
          <w:rFonts w:ascii="Times New Roman" w:hAnsi="Times New Roman"/>
          <w:color w:val="000000" w:themeColor="text1"/>
          <w:sz w:val="16"/>
          <w:szCs w:val="16"/>
        </w:rPr>
      </w:pPr>
    </w:p>
    <w:p w14:paraId="7266682F" w14:textId="77777777" w:rsidR="00F277B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DB7CE54" w14:textId="77777777" w:rsidR="00F277B1" w:rsidRPr="00C33834" w:rsidRDefault="00F277B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F736513"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марта 1933 закончился второй этап госиспытаний второго ЦКБ-3, который проходил с 14 января. Испытания подтвердили высокие летные характеристики машины. Поэтому еще до их завершения, 2 февраля 1934 г., отмечая вклад кол</w:t>
      </w:r>
      <w:r w:rsidRPr="00C33834">
        <w:rPr>
          <w:rFonts w:ascii="Times New Roman" w:hAnsi="Times New Roman"/>
          <w:color w:val="000000" w:themeColor="text1"/>
          <w:sz w:val="16"/>
          <w:szCs w:val="16"/>
        </w:rPr>
        <w:softHyphen/>
        <w:t>лектива в создании образцов новой боевой техники, нарком тяжелой промышленности С.Орджоникидзе из-дал приказ о премировании работников завода № 39. Пять человек, в том числе Ильюшин, Поликарпов и Чкалов, были награждены легковыми автомобилями (10667).</w:t>
      </w:r>
    </w:p>
    <w:p w14:paraId="38F96DB5"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p>
    <w:p w14:paraId="53F2907E"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марта ЦС Осоавиахима принял шефство над постройкой эскадры дирижаблей им. В.И.Л. (438,641).</w:t>
      </w:r>
    </w:p>
    <w:p w14:paraId="1B9E2684"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p>
    <w:p w14:paraId="1D384948" w14:textId="77777777" w:rsidR="00F277B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136012E5" w14:textId="77777777" w:rsidR="00F277B1" w:rsidRPr="00C33834" w:rsidRDefault="00F277B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7C19675"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марта 1933 вышла Резолюция секретаря Винницкого обкома КП(б)У И.Ливензона: "Я готов выслушать... что угодно, но только не заявление о голодании колхозников и просьбу о продовольственной помощи... Голодают лодыри, тунеядцы, приложившие немало энергии для разложения колхозов..." (10687).</w:t>
      </w:r>
    </w:p>
    <w:p w14:paraId="08B5FA59"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p>
    <w:p w14:paraId="4851D4C4"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24 и 30 марта 1933. Из протокола заседания Политбюро N 134, 1933 г.</w:t>
      </w:r>
    </w:p>
    <w:p w14:paraId="065C3208"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Всесоюзном съезде писателей </w:t>
      </w:r>
    </w:p>
    <w:p w14:paraId="19F813AE"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Согласиться со следующими предложениями культпропа и Оргкомитета: </w:t>
      </w:r>
    </w:p>
    <w:p w14:paraId="5D17CB95"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Созвать съезд союза советских писателей 20 июня 1933 г. в Москве. </w:t>
      </w:r>
    </w:p>
    <w:p w14:paraId="74E9F701"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Порядок дня съезда утвердить следующий: </w:t>
      </w:r>
    </w:p>
    <w:p w14:paraId="4EB5E66F"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 Вступительное слово при открытии съезда (А. М. Горький). </w:t>
      </w:r>
    </w:p>
    <w:p w14:paraId="335620F1"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 Отчет Оргкомитета союза советских писателей (т. Гронский). </w:t>
      </w:r>
    </w:p>
    <w:p w14:paraId="0A3A979E"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 докладу т. Гронского развернуть прения по существу задач литературы с выступлением ряда писателей по вопросам прозы и поэзии. </w:t>
      </w:r>
    </w:p>
    <w:p w14:paraId="04D7489E"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О задачах современной драматургии (вступительное слово — т. Кирпотин, содокладчиками от отдельных течений драматургии — В. Киршон, А. Толстой, Н. Погодин). </w:t>
      </w:r>
    </w:p>
    <w:p w14:paraId="52097C10"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г) Устав союза советских писателей (т. Субоций). </w:t>
      </w:r>
    </w:p>
    <w:p w14:paraId="50E94129"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 Выборы правления союза светских писателей и ревизионной комиссии... </w:t>
      </w:r>
    </w:p>
    <w:p w14:paraId="1F75A973"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Обязать докладчиков представить тезисы своих докладов на съезде и проекты резолюций на утверждение ЦК не позднее 1 мая 1933 г. (11652).</w:t>
      </w:r>
    </w:p>
    <w:p w14:paraId="7FF2554C"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p>
    <w:p w14:paraId="0EBF517A" w14:textId="77777777" w:rsidR="00F277B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CA57B60" w14:textId="77777777" w:rsidR="00F277B1" w:rsidRPr="00C33834" w:rsidRDefault="00F277B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37B0BB5"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марта 1933 в Германии вступил в силу закон о предоставлении чрезвычайных полномочий правительству (3186).</w:t>
      </w:r>
    </w:p>
    <w:p w14:paraId="327D05EE"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p>
    <w:p w14:paraId="015959E0" w14:textId="77777777" w:rsidR="00F277B1" w:rsidRPr="00C33834" w:rsidRDefault="00F277B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марта 1933 на четыре года Гитлеру предоставлены диктаторские полномочия в Германии (4962).</w:t>
      </w:r>
    </w:p>
    <w:p w14:paraId="5BD994C1" w14:textId="77777777" w:rsidR="00F277B1" w:rsidRPr="00C33834" w:rsidRDefault="00F277B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2C9AAA"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марта 1933 был принят закон о наделении Гитлера чрезвычайными полномочиями, который не только де-факто, но и де-юре свел на нет роль райхстага как высшего законодательного органа страны. «Имперские законы могут издаваться имперским правительством», — говорилось в этом законе (Dokumente der deutschen Politik. Bd. l, Berlin 1942. S. 61.). Поддерживать отношения с режимом, выступавшим с крайних позиций антикоммунизма, антисоветизма и антисемитизма и установившим в короткий срок жесточайший террор внутри страны, Москва не решилась. Военного министра Бломберга (Крестинский называл его «наш друг» и «дружественный человек» (АВП РФ, ф. 05, оп. 9, п. 45, д. 32, л. 114.)) она вряд ли могла — в отличие от Шляйхера — рассматривать как гаранта сохранения прежнего качества отношений между СССР и Германией. И хотя Гитлер в своем правительственном заявлении в райхстаге 23 марта 1933 г. заявил о своих намерениях «сохранить дружеские отношения с СССР» негативное отношение советских лидеров к Гитлеру не ослабло (11784).</w:t>
      </w:r>
    </w:p>
    <w:p w14:paraId="5B3635EF" w14:textId="77777777" w:rsidR="00F277B1" w:rsidRPr="00C33834" w:rsidRDefault="00F277B1" w:rsidP="00C33834">
      <w:pPr>
        <w:autoSpaceDE w:val="0"/>
        <w:autoSpaceDN w:val="0"/>
        <w:adjustRightInd w:val="0"/>
        <w:spacing w:after="0" w:line="240" w:lineRule="auto"/>
        <w:jc w:val="both"/>
        <w:rPr>
          <w:rFonts w:ascii="Times New Roman" w:hAnsi="Times New Roman"/>
          <w:color w:val="000000" w:themeColor="text1"/>
          <w:sz w:val="16"/>
          <w:szCs w:val="16"/>
        </w:rPr>
      </w:pPr>
    </w:p>
    <w:p w14:paraId="49C00B48" w14:textId="77777777" w:rsidR="00F277B1" w:rsidRPr="00C33834" w:rsidRDefault="00F277B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марта 1933 фашистский рейхстаг объявил 1 мая Днем национального труда (4962).</w:t>
      </w:r>
    </w:p>
    <w:p w14:paraId="677DB3DA" w14:textId="77777777" w:rsidR="00F277B1" w:rsidRPr="00C33834" w:rsidRDefault="00F277B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69A535" w14:textId="77777777" w:rsidR="002401AD"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BF3DB7D" w14:textId="77777777" w:rsidR="002401AD" w:rsidRPr="00C33834" w:rsidRDefault="002401AD"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5382034"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марта 1933 года начальник управления военных изобретений НВ Г. Новиков писал письмо № 340587с начальнику УВВС Алкснису.</w:t>
      </w:r>
    </w:p>
    <w:p w14:paraId="453843E8"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программе опытного самолетостроения 39-го завода имеется разработка и постройка 2-х стратосферных машин, переданных на завод из ЦАГИ и из БНК.</w:t>
      </w:r>
    </w:p>
    <w:p w14:paraId="1A91ED08"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этих двух машин, машина конструкции Лавочкина, переданная из БНК, в связи с ликвидацией, законсервирована на неопределенное время.</w:t>
      </w:r>
    </w:p>
    <w:p w14:paraId="6B3F05E6"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того, что конструкция этой машины по устройству герметической кабины и наддувающему хозяйству для мотора, обеспечивающему машине большую высотность, представляет исключительный интерес, прошу Вашего распоряжения поддержать вопрос о восстановлении работ по машине Лавочкина в 1933 году.</w:t>
      </w:r>
    </w:p>
    <w:p w14:paraId="6BD23905"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 разбирался на стратосферной комиссии при Госплане под председательством Зарзара. Причем принято решение ходатайствовать перед правительством о восстановлении работ по машине Лавочкина (6779, 44).</w:t>
      </w:r>
    </w:p>
    <w:p w14:paraId="7AE26761"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A4EA19"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марта 1933 года начальник 4 сектора 1 отдела Алексеевский писал письмо начальнику 1 отдела штаба ВВС.</w:t>
      </w:r>
    </w:p>
    <w:p w14:paraId="03B5B6A6"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 по самолету НИАИ</w:t>
      </w:r>
    </w:p>
    <w:p w14:paraId="6D2CB18E"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мною специально не осматривался. Видел его на земле и в полете при испытаниях.</w:t>
      </w:r>
    </w:p>
    <w:p w14:paraId="66A477B7"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конструктивно не доработан. В полевых условиях, под дождем скоро выйдет из строя. Разборка и сборка требуют 5 человек и 2 часа работы. Хранить придется в основном под открытым небом - большой размах - 12 метров.</w:t>
      </w:r>
    </w:p>
    <w:p w14:paraId="4E918D4F"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Потолок в 2800 м и отсутствие вооружения исключает боевое применение самолета над территорией противника.</w:t>
      </w:r>
    </w:p>
    <w:p w14:paraId="40E6E3C5"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посадки и взлета требует хорошего и обширного аэродрома. Взлетать с необорудованных площадок с нагрузкой не может. Может быть использован как самолет связи между аэродромами крупного авиационного соединения, либо - как санитарный самолет.</w:t>
      </w:r>
    </w:p>
    <w:p w14:paraId="74BCCEC3"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Как штабной самолет - негоден. Лучше иметь боевую машину. Выполнение же задач связи и транспорта в интересах штабов и авиационных соединений - в понятие штабного самолета не входит.</w:t>
      </w:r>
    </w:p>
    <w:p w14:paraId="0A54F2A6"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десантных задач не годен.</w:t>
      </w:r>
    </w:p>
    <w:p w14:paraId="77ED7BAE"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Сбрасывание людей на парашюте почти невозможно. Сбрасывание же грузов общим весом с парашютами до 250 кг, требует специальной проверки возможности подвески и летных данных с подвешенными грузами.</w:t>
      </w:r>
    </w:p>
    <w:p w14:paraId="6CAEB6F2"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Лучше взять нормальный боевой самолет, даже типа Р-1.</w:t>
      </w:r>
    </w:p>
    <w:p w14:paraId="05AD621F"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 В военное время может быть использован для связи между аэродромами и санитарной эвакуации (3899,1).</w:t>
      </w:r>
    </w:p>
    <w:p w14:paraId="6799EAA5"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p>
    <w:p w14:paraId="16CB9C4D" w14:textId="77777777" w:rsidR="00B06AD3" w:rsidRPr="00C33834" w:rsidRDefault="00B06AD3" w:rsidP="00C33834">
      <w:pPr>
        <w:pStyle w:val="47"/>
        <w:shd w:val="clear" w:color="auto" w:fill="auto"/>
        <w:spacing w:line="240" w:lineRule="auto"/>
        <w:ind w:firstLine="0"/>
        <w:jc w:val="both"/>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25 марта 1933 г. в ЦАГИ закончились начатые 15 марта официальные летные испытания БИЧ-7А, целью которых стало выявление летных качеств, характеристик устойчи</w:t>
      </w:r>
      <w:r w:rsidRPr="00C33834">
        <w:rPr>
          <w:rFonts w:ascii="Times New Roman" w:hAnsi="Times New Roman" w:cs="Times New Roman"/>
          <w:color w:val="000000" w:themeColor="text1"/>
          <w:sz w:val="16"/>
          <w:szCs w:val="16"/>
        </w:rPr>
        <w:softHyphen/>
        <w:t>вости и управляемости. Руково</w:t>
      </w:r>
      <w:r w:rsidRPr="00C33834">
        <w:rPr>
          <w:rFonts w:ascii="Times New Roman" w:hAnsi="Times New Roman" w:cs="Times New Roman"/>
          <w:color w:val="000000" w:themeColor="text1"/>
          <w:sz w:val="16"/>
          <w:szCs w:val="16"/>
        </w:rPr>
        <w:softHyphen/>
        <w:t>дил испытаниями инженер Ю.А. Победо</w:t>
      </w:r>
      <w:r w:rsidRPr="00C33834">
        <w:rPr>
          <w:rFonts w:ascii="Times New Roman" w:hAnsi="Times New Roman" w:cs="Times New Roman"/>
          <w:color w:val="000000" w:themeColor="text1"/>
          <w:sz w:val="16"/>
          <w:szCs w:val="16"/>
        </w:rPr>
        <w:softHyphen/>
        <w:t>носцев, летали Благин и Корзинщиков.</w:t>
      </w:r>
    </w:p>
    <w:p w14:paraId="1C380014" w14:textId="77777777" w:rsidR="00B06AD3" w:rsidRPr="00C33834" w:rsidRDefault="00B06AD3" w:rsidP="00C33834">
      <w:pPr>
        <w:pStyle w:val="47"/>
        <w:shd w:val="clear" w:color="auto" w:fill="auto"/>
        <w:spacing w:line="240" w:lineRule="auto"/>
        <w:ind w:firstLine="0"/>
        <w:jc w:val="both"/>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Признавалось, что для имеющейся нагрузки на крыло аэродинамические данные достаточно хорошие, самолет вполне устойчив и легко управляем на всех режимах полета вплоть до скоро</w:t>
      </w:r>
      <w:r w:rsidRPr="00C33834">
        <w:rPr>
          <w:rFonts w:ascii="Times New Roman" w:hAnsi="Times New Roman" w:cs="Times New Roman"/>
          <w:color w:val="000000" w:themeColor="text1"/>
          <w:sz w:val="16"/>
          <w:szCs w:val="16"/>
        </w:rPr>
        <w:softHyphen/>
        <w:t>сти 193 км/ч при центровке 38% САХ.</w:t>
      </w:r>
    </w:p>
    <w:p w14:paraId="2B67CB65" w14:textId="77777777" w:rsidR="00B06AD3" w:rsidRPr="00C33834" w:rsidRDefault="00B06AD3" w:rsidP="00C33834">
      <w:pPr>
        <w:pStyle w:val="47"/>
        <w:shd w:val="clear" w:color="auto" w:fill="auto"/>
        <w:spacing w:line="240" w:lineRule="auto"/>
        <w:ind w:firstLine="0"/>
        <w:jc w:val="both"/>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Мотор «Люцифер», заводской №1079, работал неудовлетворительно - этот двигатель отличался неуравнове</w:t>
      </w:r>
      <w:r w:rsidRPr="00C33834">
        <w:rPr>
          <w:rFonts w:ascii="Times New Roman" w:hAnsi="Times New Roman" w:cs="Times New Roman"/>
          <w:color w:val="000000" w:themeColor="text1"/>
          <w:sz w:val="16"/>
          <w:szCs w:val="16"/>
        </w:rPr>
        <w:softHyphen/>
        <w:t>шенностью и заметной тряской в рабо</w:t>
      </w:r>
      <w:r w:rsidRPr="00C33834">
        <w:rPr>
          <w:rFonts w:ascii="Times New Roman" w:hAnsi="Times New Roman" w:cs="Times New Roman"/>
          <w:color w:val="000000" w:themeColor="text1"/>
          <w:sz w:val="16"/>
          <w:szCs w:val="16"/>
        </w:rPr>
        <w:softHyphen/>
        <w:t>те. В дальнейшем предлагалось исполь</w:t>
      </w:r>
      <w:r w:rsidRPr="00C33834">
        <w:rPr>
          <w:rFonts w:ascii="Times New Roman" w:hAnsi="Times New Roman" w:cs="Times New Roman"/>
          <w:color w:val="000000" w:themeColor="text1"/>
          <w:sz w:val="16"/>
          <w:szCs w:val="16"/>
        </w:rPr>
        <w:softHyphen/>
        <w:t>зовать отечественный двигатель М-11 мощностью 100 л.с.</w:t>
      </w:r>
    </w:p>
    <w:p w14:paraId="47F2AA26" w14:textId="77777777" w:rsidR="00B06AD3" w:rsidRPr="00C33834" w:rsidRDefault="00B06A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Конструкция БИЧ-7А оценивалась как перетяжеленная, в случае уменьше</w:t>
      </w:r>
      <w:r w:rsidRPr="00C33834">
        <w:rPr>
          <w:rFonts w:ascii="Times New Roman" w:hAnsi="Times New Roman"/>
          <w:color w:val="000000" w:themeColor="text1"/>
          <w:sz w:val="16"/>
          <w:szCs w:val="16"/>
        </w:rPr>
        <w:softHyphen/>
        <w:t>ния полетного веса ожидались более высокие летные показатели. Общим вы</w:t>
      </w:r>
      <w:r w:rsidRPr="00C33834">
        <w:rPr>
          <w:rFonts w:ascii="Times New Roman" w:hAnsi="Times New Roman"/>
          <w:color w:val="000000" w:themeColor="text1"/>
          <w:sz w:val="16"/>
          <w:szCs w:val="16"/>
        </w:rPr>
        <w:softHyphen/>
        <w:t>водом стало признание целесообразно</w:t>
      </w:r>
      <w:r w:rsidRPr="00C33834">
        <w:rPr>
          <w:rFonts w:ascii="Times New Roman" w:hAnsi="Times New Roman"/>
          <w:color w:val="000000" w:themeColor="text1"/>
          <w:sz w:val="16"/>
          <w:szCs w:val="16"/>
        </w:rPr>
        <w:softHyphen/>
        <w:t>сти дальнейшего изготовления новых, более совершенных с конструктивной стороны, самолетов бесхвостого типа по испытанной схеме. Б.И. Черановский за создание БИЧ-7А был награжден Ор</w:t>
      </w:r>
      <w:r w:rsidRPr="00C33834">
        <w:rPr>
          <w:rFonts w:ascii="Times New Roman" w:hAnsi="Times New Roman"/>
          <w:color w:val="000000" w:themeColor="text1"/>
          <w:sz w:val="16"/>
          <w:szCs w:val="16"/>
        </w:rPr>
        <w:softHyphen/>
        <w:t>деном Красной Звезды (17470).</w:t>
      </w:r>
    </w:p>
    <w:p w14:paraId="43764015" w14:textId="77777777" w:rsidR="00B06AD3" w:rsidRPr="00C33834" w:rsidRDefault="00B06AD3" w:rsidP="00C33834">
      <w:pPr>
        <w:spacing w:after="0" w:line="240" w:lineRule="auto"/>
        <w:jc w:val="both"/>
        <w:rPr>
          <w:rFonts w:ascii="Times New Roman" w:hAnsi="Times New Roman"/>
          <w:color w:val="000000" w:themeColor="text1"/>
          <w:sz w:val="16"/>
          <w:szCs w:val="16"/>
        </w:rPr>
      </w:pPr>
    </w:p>
    <w:p w14:paraId="2A853C06"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марта 1933 М-34Р был предъявлен на гос. испытания (2310,130).</w:t>
      </w:r>
    </w:p>
    <w:p w14:paraId="545C7637"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p>
    <w:p w14:paraId="7A2FF31E"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марта 1933 открылась Первая всесоюзная конференция по аэродинамике дирижаблей (438,641).</w:t>
      </w:r>
    </w:p>
    <w:p w14:paraId="1C8ECF9E"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p>
    <w:p w14:paraId="7C320F06" w14:textId="77777777" w:rsidR="008A3D83" w:rsidRPr="00C33834" w:rsidRDefault="008A3D8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25 марта 1933 «СССР В-3» вылетел по маршруту Долгопрудная — Ярославль — Долгопрудная. Возвращаясь из Ярославля, он вследствие небла</w:t>
      </w:r>
      <w:r w:rsidRPr="00C33834">
        <w:rPr>
          <w:rFonts w:ascii="Times New Roman" w:hAnsi="Times New Roman"/>
          <w:color w:val="0070C0"/>
          <w:sz w:val="16"/>
          <w:szCs w:val="16"/>
        </w:rPr>
        <w:softHyphen/>
        <w:t>гоприятных погодных условий сделал вынуж</w:t>
      </w:r>
      <w:r w:rsidRPr="00C33834">
        <w:rPr>
          <w:rFonts w:ascii="Times New Roman" w:hAnsi="Times New Roman"/>
          <w:color w:val="0070C0"/>
          <w:sz w:val="16"/>
          <w:szCs w:val="16"/>
        </w:rPr>
        <w:softHyphen/>
        <w:t>денную посадку в саду при Успенском технику</w:t>
      </w:r>
      <w:r w:rsidRPr="00C33834">
        <w:rPr>
          <w:rFonts w:ascii="Times New Roman" w:hAnsi="Times New Roman"/>
          <w:color w:val="0070C0"/>
          <w:sz w:val="16"/>
          <w:szCs w:val="16"/>
        </w:rPr>
        <w:softHyphen/>
        <w:t>ме, близь разъезда Шуйково Северной железной дороги, что привело к повреждению оболочки.</w:t>
      </w:r>
    </w:p>
    <w:p w14:paraId="27775C75" w14:textId="77777777" w:rsidR="008A3D83" w:rsidRPr="00C33834" w:rsidRDefault="008A3D8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Авария стала следствием ошибок, допущенных командиром корабля И.И. Мейснером. Вылет из Ярославля проходил в плохих метеоусловиях. В ходе полёта Мейснер отказался от возвращения и посадки в Ростове. Приняв решение садиться в Переславле-Залесском, он при подходе к городу передумал и стал пробиваться к Москве. Не пре</w:t>
      </w:r>
      <w:r w:rsidRPr="00C33834">
        <w:rPr>
          <w:rFonts w:ascii="Times New Roman" w:hAnsi="Times New Roman"/>
          <w:color w:val="0070C0"/>
          <w:sz w:val="16"/>
          <w:szCs w:val="16"/>
        </w:rPr>
        <w:softHyphen/>
        <w:t>одолев встречный ветер и потеряв до двух часов, дирижабль вернулся к Переславлю. Теперь спуск проходил в темноте при недостатке горючего, что затруднило маневрирование (20120).</w:t>
      </w:r>
    </w:p>
    <w:p w14:paraId="2922B0F9" w14:textId="77777777" w:rsidR="008A3D83" w:rsidRPr="00C33834" w:rsidRDefault="008A3D83" w:rsidP="00C33834">
      <w:pPr>
        <w:spacing w:after="0" w:line="240" w:lineRule="auto"/>
        <w:jc w:val="both"/>
        <w:rPr>
          <w:rFonts w:ascii="Times New Roman" w:hAnsi="Times New Roman"/>
          <w:color w:val="0070C0"/>
          <w:sz w:val="16"/>
          <w:szCs w:val="16"/>
        </w:rPr>
      </w:pPr>
    </w:p>
    <w:p w14:paraId="2DBFB4D8" w14:textId="77777777" w:rsidR="002401AD"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E899125" w14:textId="77777777" w:rsidR="002401AD" w:rsidRPr="00C33834" w:rsidRDefault="002401AD"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E9207A3"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25–26 марта 1933 г. на полигоне «Выстрел» в Кунцеве была испытана 152-мм ДРП Курчевского с улучшенной баллистикой, надствольным магазином и заряжанием с дула. ДРП была также установлена на грузовом трехосном автомобиле «Форд». Любопытно, что эта ДРП именовалась уже «гаубицей».</w:t>
      </w:r>
    </w:p>
    <w:p w14:paraId="733BF831"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Данные установки </w:t>
      </w:r>
    </w:p>
    <w:p w14:paraId="5EAD52EE"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Калибр, мм — 152,4</w:t>
      </w:r>
    </w:p>
    <w:p w14:paraId="3A535A4A"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ствола без сопла, мм/клб — 5090/33,5</w:t>
      </w:r>
    </w:p>
    <w:p w14:paraId="2ABB9CF4"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сопла, мм — 1750</w:t>
      </w:r>
    </w:p>
    <w:p w14:paraId="7A810ED5"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Угол ВН, град — 25; +35</w:t>
      </w:r>
    </w:p>
    <w:p w14:paraId="44230B8C"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Угол ГН, град — 270</w:t>
      </w:r>
    </w:p>
    <w:p w14:paraId="0F7ED19B"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ствола с тумбой, кг — 750 (по др. источникам 850)</w:t>
      </w:r>
    </w:p>
    <w:p w14:paraId="0F3BCF53"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Возимый боекомплект, выстр — 20</w:t>
      </w:r>
    </w:p>
    <w:p w14:paraId="048D567B"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Расчет, чел — 2–3</w:t>
      </w:r>
    </w:p>
    <w:p w14:paraId="3D3B706B"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снаряда, кг — 24</w:t>
      </w:r>
    </w:p>
    <w:p w14:paraId="2C549A81"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Начальная скорость, м/с — 450</w:t>
      </w:r>
    </w:p>
    <w:p w14:paraId="44B81457"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предельная, м — 8500</w:t>
      </w:r>
    </w:p>
    <w:p w14:paraId="64F12066"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Скорострельность — 4 выстрела за 45–60 с.</w:t>
      </w:r>
    </w:p>
    <w:p w14:paraId="1174DE3F"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результатам испытаний комиссия отметила, что:</w:t>
      </w:r>
    </w:p>
    <w:p w14:paraId="4B7ECDA9"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Стрельба должна вестись исключительно с места.</w:t>
      </w:r>
    </w:p>
    <w:p w14:paraId="5AA49DC4"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Платформа при стрельбе неустойчива, требуются упоры в грунт.</w:t>
      </w:r>
    </w:p>
    <w:p w14:paraId="78454C14"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Целесообразно для 152-мм гаубицы подыскать более мощный автомобиль, например ЯГ-5.</w:t>
      </w:r>
    </w:p>
    <w:p w14:paraId="1584A057"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1935 г. Курчевский включил себе в план работ «разработать проект, рабочие чертежи и изготовить один опытный образец СПК-152» (152-мм самоходной пушки Курчевского на шасси автомобиля «ЗИС-6»).</w:t>
      </w:r>
    </w:p>
    <w:p w14:paraId="1C07F3DD"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Были и другие проекты 152-мм ДРП Курчевского, но ни одна из них не поступила ни на вооружение, ни в серийное производство (12091).</w:t>
      </w:r>
    </w:p>
    <w:p w14:paraId="782318FC"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p>
    <w:p w14:paraId="7582621F"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25—26 марта 1933 г. на полигоне «Выстрел» в Кунцево была испытана 152-мм ДРП Курчевского с улучшенной баллистикой, надствольным магазином и заряжанием с дула. ДРП была также установлена на грузовом трехосном автомобиле «Форд». Любопытно, что эта ДРП именовалась уже «гаубицей».</w:t>
      </w:r>
    </w:p>
    <w:p w14:paraId="25FB32BA" w14:textId="77777777" w:rsidR="0008514E" w:rsidRPr="00C33834" w:rsidRDefault="0008514E" w:rsidP="00C33834">
      <w:pPr>
        <w:spacing w:after="0" w:line="240" w:lineRule="auto"/>
        <w:jc w:val="both"/>
        <w:rPr>
          <w:rFonts w:ascii="Times New Roman" w:hAnsi="Times New Roman"/>
          <w:bCs/>
          <w:color w:val="000000" w:themeColor="text1"/>
          <w:sz w:val="16"/>
          <w:szCs w:val="16"/>
        </w:rPr>
      </w:pPr>
      <w:r w:rsidRPr="00C33834">
        <w:rPr>
          <w:rFonts w:ascii="Times New Roman" w:hAnsi="Times New Roman"/>
          <w:bCs/>
          <w:color w:val="000000" w:themeColor="text1"/>
          <w:sz w:val="16"/>
          <w:szCs w:val="16"/>
        </w:rPr>
        <w:t>Данные установки</w:t>
      </w:r>
    </w:p>
    <w:p w14:paraId="30D5DFF7"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Калибр, мм …… 152,4*</w:t>
      </w:r>
    </w:p>
    <w:p w14:paraId="17FDCAC5"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ствола без сопла, мм/клб …… 5090/33,5</w:t>
      </w:r>
    </w:p>
    <w:p w14:paraId="7E589857"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сопла, мм …… 1750</w:t>
      </w:r>
    </w:p>
    <w:p w14:paraId="27D94B53"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Угол ВН, град. …… -5°; +35°</w:t>
      </w:r>
    </w:p>
    <w:p w14:paraId="562B8398"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Угол ГН, град …… 270°</w:t>
      </w:r>
    </w:p>
    <w:p w14:paraId="5E645341"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ствола с тумбой, кг …… 750 (по др. источникам— 850)</w:t>
      </w:r>
    </w:p>
    <w:p w14:paraId="49DADA2D"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Возимый боекомплект, выстр …… 20</w:t>
      </w:r>
    </w:p>
    <w:p w14:paraId="6BF0C9F6"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Расчет, чел. …… 2—3</w:t>
      </w:r>
    </w:p>
    <w:p w14:paraId="0F80C580"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снаряда, кг …… 24</w:t>
      </w:r>
    </w:p>
    <w:p w14:paraId="5A257EF7"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Начальная скорость, м/с …… 450</w:t>
      </w:r>
    </w:p>
    <w:p w14:paraId="6B849DCC"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предельная, м …… 8500</w:t>
      </w:r>
    </w:p>
    <w:p w14:paraId="59A693AB"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Скорострельность …… 4 выстрела за 45—60 с</w:t>
      </w:r>
    </w:p>
    <w:p w14:paraId="667BEB00"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результатам испытаний комиссия отметила, что:</w:t>
      </w:r>
    </w:p>
    <w:p w14:paraId="3AF33DB6"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Стрельба должна вестись исключительно с места.</w:t>
      </w:r>
    </w:p>
    <w:p w14:paraId="20933960"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Платформа при стрельбе неустойчива, требуются упоры в грунт.</w:t>
      </w:r>
    </w:p>
    <w:p w14:paraId="4B0CCB93"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Целесообразно для 152-мм гаубицы подыскать более мощный автомобиль, например, ЯГ-5.</w:t>
      </w:r>
    </w:p>
    <w:p w14:paraId="44EAACFB"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1935 г. Курчевский включил себе в план работ «разработать проект, рабочие чертежи и изготовить один опытный образец СПК-152» (152-мм самоходной пушки Курчевского на шасси автомобиля ЗИС-6).</w:t>
      </w:r>
    </w:p>
    <w:p w14:paraId="79FAE635"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Были и другие проекты 152-мм ДРП Курчевского, но ни одна из них не&gt; поступила ни на вооружение, ни в серийное производство.</w:t>
      </w:r>
    </w:p>
    <w:p w14:paraId="295E74F8"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Письмом от 24 июля 1930 г. «Оружобъединение» поставило в известность завод «Большевик» о предстоящем изготовлении 305-мм ДРП Курчевского и 50 снарядов.</w:t>
      </w:r>
    </w:p>
    <w:p w14:paraId="27BA0F5C"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Ствол без сопла и затвора завод «Большевик» закончил в мае 1931 г. 20 штук чугунных ядер весом 350 кг отправили на НИАП 17 июня 1931 г.</w:t>
      </w:r>
    </w:p>
    <w:p w14:paraId="27EBF7EB"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посещении завода «Большевик» в январе 1932 г. Курчевский дал указание укоротить ствол на 10 калибров и оставить длину 3429 мм, то есть 11,2 калибра, а вес снаряда уменьшить до 250 кг.</w:t>
      </w:r>
    </w:p>
    <w:p w14:paraId="2292AE64"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15 марта 1932 г. на НИАПе было произведено испытание 305-мм мортиры ДРП. Результаты испытаний: 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w:t>
      </w:r>
    </w:p>
    <w:p w14:paraId="7038F8C2"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54AC20CA"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11т. Расчетные баллистические данные: вес фугасного снаряда 250 кг; начальная скорость 600 м/с; дальность стрельбы 16 км.</w:t>
      </w:r>
    </w:p>
    <w:p w14:paraId="6A72B807"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4E0ACBCB"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w:t>
      </w:r>
    </w:p>
    <w:p w14:paraId="0F391021"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Внутренний диаметр сопла у каморы 230 мм, а сзади диаметр 810 мм. Заглушка деревянная диаметром 305 мм толщиной 75 мм. Ее прижимали длинным прибойником к переднему срезу сопла.</w:t>
      </w:r>
    </w:p>
    <w:p w14:paraId="1B2C6C40"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Через запальное отверстие вставлялась запальная трубка. После вставки заряда трубка оказывалась между зарядом и запалом. Снаряд заряжался с помощью талей и прибойника.</w:t>
      </w:r>
    </w:p>
    <w:p w14:paraId="124197D0"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7969C1C1"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250 кг; начальная скорость 600 м/с; дальность стрельбы 16 км.</w:t>
      </w:r>
    </w:p>
    <w:p w14:paraId="693AF5FB"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15FB9B8B"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(15117).</w:t>
      </w:r>
    </w:p>
    <w:p w14:paraId="708AD28C" w14:textId="77777777" w:rsidR="0008514E" w:rsidRPr="00C33834" w:rsidRDefault="0008514E" w:rsidP="00C33834">
      <w:pPr>
        <w:spacing w:after="0" w:line="240" w:lineRule="auto"/>
        <w:jc w:val="both"/>
        <w:rPr>
          <w:rFonts w:ascii="Times New Roman" w:hAnsi="Times New Roman"/>
          <w:color w:val="000000" w:themeColor="text1"/>
          <w:sz w:val="16"/>
          <w:szCs w:val="16"/>
        </w:rPr>
      </w:pPr>
    </w:p>
    <w:p w14:paraId="18BC47C3"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25–26 марта 1933 г. бронеавтомобиль БАИ с 37-мм ДРП Курчевского был испытан на полигоне МКУКС в Кунцеве При стрельбе бронебойным снарядом весом 0,6 кг начальная скорость составила 560 м/с, а скорострельность — 1 выстрел за 10 секунд.</w:t>
      </w:r>
    </w:p>
    <w:p w14:paraId="0A19C3E8"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Стрельба велась с места по щиту на дистанции 250 м. Произведено 11 выстрелов, из них 8 снарядов, то есть 70 %, попали в цель боком, то есть полет их был неправилен, и поэтому судить о меткости невозможно. Дальнейшие стрельбы были прекращены.</w:t>
      </w:r>
    </w:p>
    <w:p w14:paraId="197D5A60"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время испытаний были случаи отказов в заряжании: снаряд не доходил до места (в 65 % случаев) или отскакивал. Часто требовалось «доколачивание с дула». В отчете комиссии отмечена невозможность стрельбы с ходу.</w:t>
      </w:r>
    </w:p>
    <w:p w14:paraId="7900C61A"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Также комиссия отметила слишком малый угол вертикального наведения. Конструкция башни БАИ позволяла установить там 76-мм пушку Курчевского, но в этом случае угол вертикального наведения также был бы слишком мал, и система была бы небоеспособна (12091).</w:t>
      </w:r>
    </w:p>
    <w:p w14:paraId="2DBCBA40"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p>
    <w:p w14:paraId="3C41E4D2"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25–26 марта 1933 г. параллельно с бронеавтомобилем БАИ на полигоне МКУКС испытывались танкетка Т-27 и танк Т-26, оснащенные 76-мм пушками Курчевского.</w:t>
      </w:r>
    </w:p>
    <w:p w14:paraId="46F40F46"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танкетке Т-27 была установлена модернизированная авиационная пушка АПК-4 и использовался ее снаряд. Заряд весом 620 г пороха МСК помешался в сгорающей нитротканевой гильзе. Унитарный выстрел заканчивался деревянным поддоном, куски которого после выстрела вылетали через сопло.</w:t>
      </w:r>
    </w:p>
    <w:p w14:paraId="1BFAD91B"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Заряжание производилось с дула. В надствольном магазине помещалось 4 патрона (выстрела) и еще один — в стволе. «Автоматика» пушки действовала за счет мускульной силы стрелка, как и в 37-мм ружье Курчевского РК. Длина ствола с соплом и лотком составляла 2215 мм, а без них — 1058 мм, то есть 14 калибров. Длина нарезной части — 1028 мм. Угол вертикального наведения пушки —1°; +5°, угол поворота — 5°. Пушка выступала за габариты танкетки назад на 335 мм. Высота линии огня пушки — 968 мм. Вес пушки без патронов — 89 кг. На танкетке можно было перевозить 30 выстрелов. Вес Т-27 с пушкой и боекомплектом составлял 2587 кг.</w:t>
      </w:r>
    </w:p>
    <w:p w14:paraId="0167B123"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соплу пушки неподвижно крепился бронещиток толщиной 6,5 мм. Такой же щиток крепился к дульной части ствола в месте соединения лотка со стволом.</w:t>
      </w:r>
    </w:p>
    <w:p w14:paraId="02033468"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отчету об испытаниях Т-27 25–26 марта 1933 г. в Кунцеве:</w:t>
      </w:r>
    </w:p>
    <w:p w14:paraId="4FFE1F19"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«Пушка расположена справа в танкетке. Установка имеет винтовые механизмы вертикального и горизонтального наведения. При стрельбе с ходу горизонтальное наведение возможно только поворотом самой машины…</w:t>
      </w:r>
    </w:p>
    <w:p w14:paraId="62FBD297"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Результаты испытаний:</w:t>
      </w:r>
    </w:p>
    <w:p w14:paraId="71CAC78A"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Стрельба с места по щиту 6… 6 м с расстояния 500 м. Сделано 10 выстрелов, все в щит. Скорострельность один выстрел за 9 секунд.</w:t>
      </w:r>
    </w:p>
    <w:p w14:paraId="0B55ED6D"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Стрельба с ходу по щиту 6… 6 м на дистанции 500–600 м. Сделано 15 выстрелов. В щит одно попадание.</w:t>
      </w:r>
    </w:p>
    <w:p w14:paraId="7A821E79"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Произошло 6 задержек из-за недосылки снарядов. Сломался рычаг рейки. В ходе стрельб в 40 % выстрелов приходилось шомполом досылать снаряды, выходя из танкетки.</w:t>
      </w:r>
    </w:p>
    <w:p w14:paraId="6CD80AC8"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ходу происходила сильная вибрация всей системы».</w:t>
      </w:r>
    </w:p>
    <w:p w14:paraId="37227A31"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устранения конструктивных неисправностей, обнаруженных в Кунцеве, танкетка Т-27 была вновь испытана 11 июня 1933 г. В ходе испытаний проводилась стрельба с места. Вес снаряда составлял 3,2 кг, вес заряда — 0,62 кг пороха МСК. За 13 секунд было проведено 5 выстрелов. Затем в течение 23 секунд магазин заполнялся патронами. Следующие 4 выстрела произведены за 8 секунд. Итого 9 выстрелов за 44 секунды. Задержек при стрельбе не было (12091).</w:t>
      </w:r>
    </w:p>
    <w:p w14:paraId="40B6740E"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p>
    <w:p w14:paraId="328F1727"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25—26 марта 1933 г. бронеавтомобиль БАИ с 37-мм ДРП Курчевского был испытай на полигоне МКУКС в Кунцеве.</w:t>
      </w:r>
    </w:p>
    <w:p w14:paraId="3677F362"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стрельбе бронебойным снарядом весом 0,6 кг начальная скорость составила 560 м/с, а скорострельность — 1 выстрел за 10 секунд.</w:t>
      </w:r>
    </w:p>
    <w:p w14:paraId="32C0C3A1"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Стрельба велась с места по щиту на дистанции 250 м. Произведено 11 выстрелов, из них 8 снарядов, то есть 70%, попали в цель боком, то есть полет их был неправилен, и поэтому судить о меткости невозможно. Дальнейшие стрельбы были прекращены.</w:t>
      </w:r>
    </w:p>
    <w:p w14:paraId="281DC6D7"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время испытаний были случаи отказов в заряжании: снаряд не доходил до места (в 65% случаев) или отскакивал. Часто требовалось «доколачивание с дула». В отчете комиссии отмечена невозможность стрельбы с хода.</w:t>
      </w:r>
    </w:p>
    <w:p w14:paraId="1961E74C"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Также комиссия отметила слишком малый угол вертикального наведения. Конструкция башни БАИ позволяла установить там 76-мм пушку Курчевского, но в этом случае угол вертикального наведения также был бы слишком мал, и система будет небоеспособна.</w:t>
      </w:r>
    </w:p>
    <w:p w14:paraId="5BF30322"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 на бронеавтомобиль БАИ была установлена переделанная 37-мм противотанковая пушка РК БМ. Она устанавливалась в штатной башне бронеавтомобиля, для этого в броне башни спереди и сзади проделывались отверстия и делались приварные окна, прикрытые броневыми щитками. Весило орудие всего 44 кг. Известный танковый конструктор Астров рассказывал автору, что Курчевский умел создавать себе рекламу. Будучи очень сильным мужчиной, он любил ходить по полигону с танковой пушкой на плече.</w:t>
      </w:r>
    </w:p>
    <w:p w14:paraId="14CC15DB"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Углы наведения 37-мм ДРП были крайне малы: так, угол вертикального наведения составлял от -4° до +1°45', а угол поворота — всего 9° (15117).</w:t>
      </w:r>
    </w:p>
    <w:p w14:paraId="746F389D" w14:textId="77777777" w:rsidR="0008514E" w:rsidRPr="00C33834" w:rsidRDefault="0008514E" w:rsidP="00C33834">
      <w:pPr>
        <w:spacing w:after="0" w:line="240" w:lineRule="auto"/>
        <w:jc w:val="both"/>
        <w:rPr>
          <w:rFonts w:ascii="Times New Roman" w:hAnsi="Times New Roman"/>
          <w:color w:val="000000" w:themeColor="text1"/>
          <w:sz w:val="16"/>
          <w:szCs w:val="16"/>
        </w:rPr>
      </w:pPr>
    </w:p>
    <w:p w14:paraId="69DBD8DE"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25—26 марта 1933 г. параллельно с бронеавтомобилем БАИ на полигоне МКУКС испытывались танкетка Т-27 и танк Т-26, оснащенные 76-мм пушками Курчевского.</w:t>
      </w:r>
    </w:p>
    <w:p w14:paraId="321BA3FA"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танкетке Т-27 была установлена модернизированная авиационная пушка АПК-4 и использовался ее снаряд. Заряд весом 620 г пороха МСК помещался в сгорающей нитротканевой гильзе. Унитарный выстрел заканчивался деревянным поддоном, куски которого после выстрела вылетали через сопло.</w:t>
      </w:r>
    </w:p>
    <w:p w14:paraId="696E73CD"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Заряжание производилось с дула. В надствольном магазине помещалось 4 патрона (выстрела), и еще один — в стволе. «Автоматика» пушки действовала за счет мускульной силы стрелка, как и в 37-мм ружье Курчевского РК. Длина ствола с соплом и лотком составляла 2215 мм, а без них —1058 мм, то есть 14 калибров. Длина нарезной части 1028 мм. Угол вертикального наведения пушки -1°; +5°, угол поворота 5°. Пушка выступала за габариты танкетки назад на 335 мм. Высота линии огня пушки 968 мм. Вес пушки без патронов 89 кг. На танкетке можно было перевозить 30 выстрелов. Вес Т-27 с пушкой и боекомплектом составлял 2587 кг.</w:t>
      </w:r>
    </w:p>
    <w:p w14:paraId="4D5D7256"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соплу пушки неподвижно крепился бронещиток толщиной 6,5 мм. Такой же щиток крепился к дульной части ствола в месте соединения лотка со стволом.</w:t>
      </w:r>
    </w:p>
    <w:p w14:paraId="14F8388B"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отчету об испытаниях Т-27 25—26 марта 1933 г. в Кунцево:</w:t>
      </w:r>
    </w:p>
    <w:p w14:paraId="119DE42C"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«Пушка расположена справа в танкетке. Установка имеет винтовые механизмы вертикального и горизонтального наведения. При стрельбе с хода горизонтальное наведение возможно только поворотом самой машины…</w:t>
      </w:r>
    </w:p>
    <w:p w14:paraId="71471DE2"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Результаты испытаний:</w:t>
      </w:r>
    </w:p>
    <w:p w14:paraId="50526641"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Стрельба с места по щиту 6 х 6 м с расстояния 500 м. Сделано 10 выстрелов, все в щит. Скорострельность один выстрел за 9 секунд.</w:t>
      </w:r>
    </w:p>
    <w:p w14:paraId="0429AEE6"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Стрельба с хода по щиту 6 х 6 м на дистанции 500—600 м. Сделано 15 выстрелов. В щит одно попадание.</w:t>
      </w:r>
    </w:p>
    <w:p w14:paraId="4E275484"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Произошло б задержек из-за недосылки снарядов. Сломался рычаг рейки. В ходе стрельб в 40% выстрелов приходилось шомполом досылать снаряды, выходя из танкетки.</w:t>
      </w:r>
    </w:p>
    <w:p w14:paraId="55E2372D"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ходу происходила сильная вибрация всей системы» (15117).</w:t>
      </w:r>
    </w:p>
    <w:p w14:paraId="626B906A" w14:textId="77777777" w:rsidR="0008514E" w:rsidRPr="00C33834" w:rsidRDefault="0008514E" w:rsidP="00C33834">
      <w:pPr>
        <w:spacing w:after="0" w:line="240" w:lineRule="auto"/>
        <w:jc w:val="both"/>
        <w:rPr>
          <w:rFonts w:ascii="Times New Roman" w:hAnsi="Times New Roman"/>
          <w:color w:val="000000" w:themeColor="text1"/>
          <w:sz w:val="16"/>
          <w:szCs w:val="16"/>
        </w:rPr>
      </w:pPr>
    </w:p>
    <w:p w14:paraId="53900EE5"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25—26 марта 1933 г. в Кунцеве испытывался третий бронеобъект с 76-мм пушкой Курчевского. Это был легкий двухбашенный танк Т-26. Штатным вооружением таких танков являлись два 7,62-мм пулемета, а в отдельных случаях — 7,62-мм пулемет в одной башне и 37-мм пушка в другой. (Сх. 4)</w:t>
      </w:r>
    </w:p>
    <w:p w14:paraId="58983F9B"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Курчевский установил свою 76-мм безоткатную пушку в правой башне. Конструктивно пушка для Т-26 была выполнена по типу АПК-4, но имела более длинный ствол и сопло — 2100/27,6 мм/клб и 750 мм соответственно, сравнительно с пушкой ТПК-27, у которой ствол имел длину 1058 мм, а сопло — 385 мм. Вес пушки возрос до 110 кг. Несколько большим был и заряд. Благодаря этому начальная скорость возросла до 500 м/с при весе снаряда 4 кг.</w:t>
      </w:r>
    </w:p>
    <w:p w14:paraId="63CD0409"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Конструкция танка позволила существенно, по сравнению с Т-27, увеличить утлы наведения. Так, угол возвышения стал -7°; +7,7°, а угол поворота (вместе с башней) —135°. В отличие от Т-27 пушка не выступала за габариты танка.</w:t>
      </w:r>
    </w:p>
    <w:p w14:paraId="4B20A83B"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Предоставлю выдержки из отчета комиссии по испытаниям танка Т-26:</w:t>
      </w:r>
    </w:p>
    <w:p w14:paraId="3EE2CCE7"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Стрельба с места по щиту 6 х 6 м с расстояния 500 м: из 14 выстрелов 10 попаданий в щит.</w:t>
      </w:r>
    </w:p>
    <w:p w14:paraId="1DDBA238"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заряжании, как и на Т-27, частые отказу. Задержки происходили приблизительно в 50% случаев.</w:t>
      </w:r>
    </w:p>
    <w:p w14:paraId="0DEB1231"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стрельбе в 45° к ходу мешает лист подбашенной коробки.</w:t>
      </w:r>
    </w:p>
    <w:p w14:paraId="0E259F18"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Танк Т-26 с 76-мм пушкой Курчевского не был принят на вооружение. К указанным недостаткам всех пушек Курчевского следует добавить то, что Т-26 был танком сопровождения пехоты, и при стрельбе он бы сжег свою пехоту струями раскаленных газов, по меньшей мере, на 50 м назад. В довершение всего в середине 1933 г. появились новые модели Т-26 с одной башней, в которой была установлена 45-мм пушка 20К.</w:t>
      </w:r>
    </w:p>
    <w:p w14:paraId="54552586" w14:textId="77777777" w:rsidR="0008514E" w:rsidRPr="00C33834" w:rsidRDefault="0008514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Курчевским был разработан проект установки 152-мм мортиры ДРП на танк БТ-5. Мортира должна была стрелять 25-кг снарядом с начальной скоростью 250 м/с. Скорострельность составляла 5—6 выстр/мин. Боекомплект 15 выстрелов. Угол вертикального наведения -5°; +15°, угол горизонтального поведения 240° (за счет поворота башни). Работы по танковой мортире были прекращены на стадии рабочего проектирования, дело не дошло даже до испытания опытного образца (15117).</w:t>
      </w:r>
    </w:p>
    <w:p w14:paraId="618D5C4C" w14:textId="77777777" w:rsidR="0008514E" w:rsidRPr="00C33834" w:rsidRDefault="0008514E" w:rsidP="00C33834">
      <w:pPr>
        <w:spacing w:after="0" w:line="240" w:lineRule="auto"/>
        <w:jc w:val="both"/>
        <w:rPr>
          <w:rFonts w:ascii="Times New Roman" w:hAnsi="Times New Roman"/>
          <w:color w:val="000000" w:themeColor="text1"/>
          <w:sz w:val="16"/>
          <w:szCs w:val="16"/>
        </w:rPr>
      </w:pPr>
    </w:p>
    <w:p w14:paraId="071AA88E"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25–26 марта 1933 г. в Кунцеве испытывался также легкий двухбашенный танк Т-26. Штатным вооружением таких танков являлись два 7,62-мм пулемета, а в отдельных случаях 7,62-мм пулемет в одной башне и 37-мм пушка в другой.</w:t>
      </w:r>
    </w:p>
    <w:p w14:paraId="24C0F401"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Курчевский установил свою 76-мм безоткатную пушку в правой башне. Конструктивно пушка для Т-26 была выполнена по типу АПК-4, но имела более. длинный ствол и сопло — 2100/27,6 мм/клб и 750 мм соответственно, сравнительно с пушкой ТПК-27, у которой ствол имел длину 1058 мм, а сопло — 385 мм. Вес пушки возрос до 110 кг. Несколько большим был и заряд. Благодаря этому начальная скорость возросла до 500 м/с при весе снаряда 4 кг.</w:t>
      </w:r>
    </w:p>
    <w:p w14:paraId="195D887B"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Конструкция танка позволила существенно, по сравнению с Т-27, увеличить углы наведения. Так, угол возвышения стал —7°; +7,7°, а угол поворота (вместе с башней) — 135°. В отличие от Т-27 пушка не выступала за габариты танка.</w:t>
      </w:r>
    </w:p>
    <w:p w14:paraId="3449A06A"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Предоставлю выдержки из отчета комиссии по испытаниям танка Т-26:</w:t>
      </w:r>
    </w:p>
    <w:p w14:paraId="079BD229"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Стрельба с места по щиту 6 м с расстояния 500 м: из 14 выстрелов 10 попаданий в щит. При заряжании, как и на Т-27, частые отказы. Задержки происходили приблизительно в 50 % случаев.</w:t>
      </w:r>
    </w:p>
    <w:p w14:paraId="7FDA2597"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стрельбе в 45° к ходу мешает лист подбашенной коробки.</w:t>
      </w:r>
    </w:p>
    <w:p w14:paraId="6EE1029F"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Танк Т-26 с 76-мм пушкой Курчевского не был принят на вооружение. К указанным недостаткам всех пушек Курчевского следует добавить то, что Т-26 был танком сопровождения пехоты, и при стрельбе он бы сжег свою пехоту струями раскаленных газов по меньшей мере на 50 м назад. В довершение всего в середине 1933 г. появились новые модели Т-26 с одной башней, в которой была установлена 45-мм пушка 20К (12091).</w:t>
      </w:r>
    </w:p>
    <w:p w14:paraId="492E75D6"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p>
    <w:p w14:paraId="166B781F" w14:textId="77777777" w:rsidR="002401AD"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33EC0DE3" w14:textId="77777777" w:rsidR="002401AD" w:rsidRPr="00C33834" w:rsidRDefault="002401AD"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1DD8207"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марта 1933 приказом МКС № 40 стрелок ВОХР М. А. Кюсс назначался и.о. капельмейстера музкоманды Дмитлага (7560).</w:t>
      </w:r>
    </w:p>
    <w:p w14:paraId="29D201BD"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p>
    <w:p w14:paraId="7899762B" w14:textId="77777777" w:rsidR="002401AD"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2573D8B" w14:textId="77777777" w:rsidR="002401AD" w:rsidRPr="00C33834" w:rsidRDefault="002401AD"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7E0C2F4"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26 марта по 24 апреля 1933 проходило эксплуатационное испытание опытного самолета И-15 с мотором Райт-Циклон Ф-2 650 НР металлический винт Гамильтон-Стандарт Д=3,0 (6648).</w:t>
      </w:r>
    </w:p>
    <w:p w14:paraId="64A3F317"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00B19B24" w14:textId="77777777" w:rsidR="002401AD" w:rsidRPr="00C33834" w:rsidRDefault="002401AD"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различных мероприятий по улучшению устойчивости пути самолета.</w:t>
      </w:r>
    </w:p>
    <w:p w14:paraId="38996921" w14:textId="77777777" w:rsidR="002401AD" w:rsidRPr="00C33834" w:rsidRDefault="002401AD"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Эксплуатационные испытания самолета.</w:t>
      </w:r>
    </w:p>
    <w:p w14:paraId="7062E18A" w14:textId="77777777" w:rsidR="002401AD" w:rsidRPr="00C33834" w:rsidRDefault="002401AD"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самолета с передней центровкой, вызванной утяжелением моторов РЦ.</w:t>
      </w:r>
    </w:p>
    <w:p w14:paraId="1C736C89" w14:textId="77777777" w:rsidR="002401AD" w:rsidRPr="00C33834" w:rsidRDefault="002401AD"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тормозных колес 700х100 и механического управления ими.</w:t>
      </w:r>
    </w:p>
    <w:p w14:paraId="131791EC"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0A45CF86" w14:textId="77777777" w:rsidR="002401AD" w:rsidRPr="00C33834" w:rsidRDefault="002401AD"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Поскольку в процессе эксплуатационных испытаний опытного самолета И-15 РЦ не обнаружено дефектов, требующих коренных переделок основных элементов конструкции, следует считать, что эксплуатационные испытания И-15 РЦ выдержал удовлетворительно.</w:t>
      </w:r>
    </w:p>
    <w:p w14:paraId="3336F16A"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4094"/>
      </w:tblGrid>
      <w:tr w:rsidR="00F26F01" w:rsidRPr="00C33834" w14:paraId="7FAEA905" w14:textId="77777777">
        <w:tc>
          <w:tcPr>
            <w:tcW w:w="2818" w:type="dxa"/>
          </w:tcPr>
          <w:p w14:paraId="5DD85004"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марта 1934 года</w:t>
            </w:r>
          </w:p>
        </w:tc>
        <w:tc>
          <w:tcPr>
            <w:tcW w:w="4094" w:type="dxa"/>
          </w:tcPr>
          <w:p w14:paraId="4E82817E"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фигуры.</w:t>
            </w:r>
          </w:p>
        </w:tc>
      </w:tr>
      <w:tr w:rsidR="00F26F01" w:rsidRPr="00C33834" w14:paraId="33835AF2" w14:textId="77777777">
        <w:tc>
          <w:tcPr>
            <w:tcW w:w="2818" w:type="dxa"/>
          </w:tcPr>
          <w:p w14:paraId="6A971462"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марта 1934 года</w:t>
            </w:r>
          </w:p>
        </w:tc>
        <w:tc>
          <w:tcPr>
            <w:tcW w:w="4094" w:type="dxa"/>
          </w:tcPr>
          <w:p w14:paraId="40F5DF46"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Посадки.</w:t>
            </w:r>
          </w:p>
        </w:tc>
      </w:tr>
      <w:tr w:rsidR="00F26F01" w:rsidRPr="00C33834" w14:paraId="36D1B8C6" w14:textId="77777777">
        <w:tc>
          <w:tcPr>
            <w:tcW w:w="2818" w:type="dxa"/>
          </w:tcPr>
          <w:p w14:paraId="5144B993"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марта 1934 года</w:t>
            </w:r>
          </w:p>
        </w:tc>
        <w:tc>
          <w:tcPr>
            <w:tcW w:w="4094" w:type="dxa"/>
          </w:tcPr>
          <w:p w14:paraId="54901711"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Посадки и фигуры.</w:t>
            </w:r>
          </w:p>
        </w:tc>
      </w:tr>
      <w:tr w:rsidR="00F26F01" w:rsidRPr="00C33834" w14:paraId="2292AA60" w14:textId="77777777">
        <w:tc>
          <w:tcPr>
            <w:tcW w:w="2818" w:type="dxa"/>
          </w:tcPr>
          <w:p w14:paraId="26AA565A"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марта 1934 года</w:t>
            </w:r>
          </w:p>
        </w:tc>
        <w:tc>
          <w:tcPr>
            <w:tcW w:w="4094" w:type="dxa"/>
          </w:tcPr>
          <w:p w14:paraId="6FBF8D0A"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Посадки.</w:t>
            </w:r>
          </w:p>
        </w:tc>
      </w:tr>
      <w:tr w:rsidR="00F26F01" w:rsidRPr="00C33834" w14:paraId="63D86493" w14:textId="77777777">
        <w:tc>
          <w:tcPr>
            <w:tcW w:w="2818" w:type="dxa"/>
          </w:tcPr>
          <w:p w14:paraId="6F9EF485"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апреля 1934 года</w:t>
            </w:r>
          </w:p>
        </w:tc>
        <w:tc>
          <w:tcPr>
            <w:tcW w:w="4094" w:type="dxa"/>
          </w:tcPr>
          <w:p w14:paraId="401795BE"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фигуры.</w:t>
            </w:r>
          </w:p>
        </w:tc>
      </w:tr>
      <w:tr w:rsidR="00F26F01" w:rsidRPr="00C33834" w14:paraId="1E433DA1" w14:textId="77777777">
        <w:tc>
          <w:tcPr>
            <w:tcW w:w="2818" w:type="dxa"/>
          </w:tcPr>
          <w:p w14:paraId="7F975156"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9-10 апреля 1934 года</w:t>
            </w:r>
          </w:p>
        </w:tc>
        <w:tc>
          <w:tcPr>
            <w:tcW w:w="4094" w:type="dxa"/>
          </w:tcPr>
          <w:p w14:paraId="6B184CB2"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Посадки.</w:t>
            </w:r>
          </w:p>
        </w:tc>
      </w:tr>
      <w:tr w:rsidR="00F26F01" w:rsidRPr="00C33834" w14:paraId="74F48369" w14:textId="77777777">
        <w:tc>
          <w:tcPr>
            <w:tcW w:w="2818" w:type="dxa"/>
          </w:tcPr>
          <w:p w14:paraId="14A011CC"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апреля 1934 года</w:t>
            </w:r>
          </w:p>
        </w:tc>
        <w:tc>
          <w:tcPr>
            <w:tcW w:w="4094" w:type="dxa"/>
          </w:tcPr>
          <w:p w14:paraId="5BD77D73"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и скорости по высотам.</w:t>
            </w:r>
          </w:p>
        </w:tc>
      </w:tr>
      <w:tr w:rsidR="00F26F01" w:rsidRPr="00C33834" w14:paraId="3932F168" w14:textId="77777777">
        <w:tc>
          <w:tcPr>
            <w:tcW w:w="2818" w:type="dxa"/>
          </w:tcPr>
          <w:p w14:paraId="63623CCB"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апреля 1934 года</w:t>
            </w:r>
          </w:p>
        </w:tc>
        <w:tc>
          <w:tcPr>
            <w:tcW w:w="4094" w:type="dxa"/>
          </w:tcPr>
          <w:p w14:paraId="4AC31615"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Стрельба из фотокейса.</w:t>
            </w:r>
          </w:p>
        </w:tc>
      </w:tr>
      <w:tr w:rsidR="00F26F01" w:rsidRPr="00C33834" w14:paraId="411B7E4C" w14:textId="77777777">
        <w:tc>
          <w:tcPr>
            <w:tcW w:w="2818" w:type="dxa"/>
          </w:tcPr>
          <w:p w14:paraId="7263EB16"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апреля 1934 года</w:t>
            </w:r>
          </w:p>
        </w:tc>
        <w:tc>
          <w:tcPr>
            <w:tcW w:w="4094" w:type="dxa"/>
          </w:tcPr>
          <w:p w14:paraId="7E3E8FB1"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и расход горючего.</w:t>
            </w:r>
          </w:p>
        </w:tc>
      </w:tr>
      <w:tr w:rsidR="00F26F01" w:rsidRPr="00C33834" w14:paraId="0550D9FE" w14:textId="77777777">
        <w:tc>
          <w:tcPr>
            <w:tcW w:w="2818" w:type="dxa"/>
          </w:tcPr>
          <w:p w14:paraId="56C91355"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апреля 1934 года</w:t>
            </w:r>
          </w:p>
        </w:tc>
        <w:tc>
          <w:tcPr>
            <w:tcW w:w="4094" w:type="dxa"/>
          </w:tcPr>
          <w:p w14:paraId="7AF78907"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Километраж и полеты с новой центровкой.</w:t>
            </w:r>
          </w:p>
        </w:tc>
      </w:tr>
      <w:tr w:rsidR="00F26F01" w:rsidRPr="00C33834" w14:paraId="421C6C87" w14:textId="77777777">
        <w:tc>
          <w:tcPr>
            <w:tcW w:w="2818" w:type="dxa"/>
          </w:tcPr>
          <w:p w14:paraId="09C78FE9"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апреля 1934 года</w:t>
            </w:r>
          </w:p>
        </w:tc>
        <w:tc>
          <w:tcPr>
            <w:tcW w:w="4094" w:type="dxa"/>
          </w:tcPr>
          <w:p w14:paraId="47E89EAF"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с вымпелом.</w:t>
            </w:r>
          </w:p>
        </w:tc>
      </w:tr>
      <w:tr w:rsidR="00F26F01" w:rsidRPr="00C33834" w14:paraId="32AE87CC" w14:textId="77777777">
        <w:tc>
          <w:tcPr>
            <w:tcW w:w="2818" w:type="dxa"/>
          </w:tcPr>
          <w:p w14:paraId="577C3F6C"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апреля 1934 года</w:t>
            </w:r>
          </w:p>
        </w:tc>
        <w:tc>
          <w:tcPr>
            <w:tcW w:w="4094" w:type="dxa"/>
          </w:tcPr>
          <w:p w14:paraId="5499FDE8"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в Москву.</w:t>
            </w:r>
          </w:p>
        </w:tc>
      </w:tr>
    </w:tbl>
    <w:p w14:paraId="6C9C60C4"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(6648).</w:t>
      </w:r>
    </w:p>
    <w:p w14:paraId="4639403B" w14:textId="77777777" w:rsidR="002401AD" w:rsidRPr="00C33834" w:rsidRDefault="002401AD"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61E92F" w14:textId="77777777" w:rsidR="002401AD" w:rsidRPr="00C33834" w:rsidRDefault="002401AD"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26 марта по 25 апреля 1933 на самолете ЦКБ-3 второй проводились экс</w:t>
      </w:r>
      <w:r w:rsidRPr="00C33834">
        <w:rPr>
          <w:rFonts w:ascii="Times New Roman" w:hAnsi="Times New Roman"/>
          <w:color w:val="000000" w:themeColor="text1"/>
          <w:sz w:val="16"/>
          <w:szCs w:val="16"/>
        </w:rPr>
        <w:softHyphen/>
        <w:t>плуатационные испытания в Крыму, в Каче. От КБ ими руководил В.К.Таиров. За месяц летчики-испытате</w:t>
      </w:r>
      <w:r w:rsidRPr="00C33834">
        <w:rPr>
          <w:rFonts w:ascii="Times New Roman" w:hAnsi="Times New Roman"/>
          <w:color w:val="000000" w:themeColor="text1"/>
          <w:sz w:val="16"/>
          <w:szCs w:val="16"/>
        </w:rPr>
        <w:softHyphen/>
        <w:t>ли выполнили на истребителе 2100 фигур высшего пи</w:t>
      </w:r>
      <w:r w:rsidRPr="00C33834">
        <w:rPr>
          <w:rFonts w:ascii="Times New Roman" w:hAnsi="Times New Roman"/>
          <w:color w:val="000000" w:themeColor="text1"/>
          <w:sz w:val="16"/>
          <w:szCs w:val="16"/>
        </w:rPr>
        <w:softHyphen/>
        <w:t>лотажа, совершили 520 посадок. Были зафиксированы следующие летные характеристики самолета на лыжах: максимальная скорость у земли - 324 км/ч, на высоте 3000 м - 350 км/ч, а на высоте 5000 м - 325 км/ч, что в пе</w:t>
      </w:r>
      <w:r w:rsidRPr="00C33834">
        <w:rPr>
          <w:rFonts w:ascii="Times New Roman" w:hAnsi="Times New Roman"/>
          <w:color w:val="000000" w:themeColor="text1"/>
          <w:sz w:val="16"/>
          <w:szCs w:val="16"/>
        </w:rPr>
        <w:softHyphen/>
        <w:t>ресчете на колесное шасси дает, соответственно, 342 км/ч, 368 км/ч, 343 км/ч. Вес конструкции при этом со</w:t>
      </w:r>
      <w:r w:rsidRPr="00C33834">
        <w:rPr>
          <w:rFonts w:ascii="Times New Roman" w:hAnsi="Times New Roman"/>
          <w:color w:val="000000" w:themeColor="text1"/>
          <w:sz w:val="16"/>
          <w:szCs w:val="16"/>
        </w:rPr>
        <w:softHyphen/>
        <w:t>ставлял 942 кг, а взлетный вес - 1358 кг. Высоту 5000 м истребитель набирал за 6,2 мин. Время виража на вы</w:t>
      </w:r>
      <w:r w:rsidRPr="00C33834">
        <w:rPr>
          <w:rFonts w:ascii="Times New Roman" w:hAnsi="Times New Roman"/>
          <w:color w:val="000000" w:themeColor="text1"/>
          <w:sz w:val="16"/>
          <w:szCs w:val="16"/>
        </w:rPr>
        <w:softHyphen/>
        <w:t>соте 1000 м было рекордно малым - 8 секунд. Самолет отличался хорошими штопорными свойствами: запаз</w:t>
      </w:r>
      <w:r w:rsidRPr="00C33834">
        <w:rPr>
          <w:rFonts w:ascii="Times New Roman" w:hAnsi="Times New Roman"/>
          <w:color w:val="000000" w:themeColor="text1"/>
          <w:sz w:val="16"/>
          <w:szCs w:val="16"/>
        </w:rPr>
        <w:softHyphen/>
        <w:t>дывание на выходе не превышало двух витков. Нарека</w:t>
      </w:r>
      <w:r w:rsidRPr="00C33834">
        <w:rPr>
          <w:rFonts w:ascii="Times New Roman" w:hAnsi="Times New Roman"/>
          <w:color w:val="000000" w:themeColor="text1"/>
          <w:sz w:val="16"/>
          <w:szCs w:val="16"/>
        </w:rPr>
        <w:softHyphen/>
        <w:t>ния вызывала лишь небольшая неустойчивость по рысканью на скоростях свыше 270 км/ч.</w:t>
      </w:r>
    </w:p>
    <w:p w14:paraId="503B6A11" w14:textId="77777777" w:rsidR="002401AD" w:rsidRPr="00C33834" w:rsidRDefault="002401AD"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выводах по результатам испытаний записано:</w:t>
      </w:r>
    </w:p>
    <w:p w14:paraId="1260FEA5" w14:textId="77777777" w:rsidR="002401AD" w:rsidRPr="00C33834" w:rsidRDefault="002401AD"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По полученным летным данным (скорости по высотам, скороподъемности и маневренности) самолет И-15:</w:t>
      </w:r>
    </w:p>
    <w:p w14:paraId="2E15CC12" w14:textId="77777777" w:rsidR="002401AD" w:rsidRPr="00C33834" w:rsidRDefault="002401AD"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далеко превосходит данные находящихся на во</w:t>
      </w:r>
      <w:r w:rsidRPr="00C33834">
        <w:rPr>
          <w:rFonts w:ascii="Times New Roman" w:hAnsi="Times New Roman"/>
          <w:color w:val="000000" w:themeColor="text1"/>
          <w:sz w:val="16"/>
          <w:szCs w:val="16"/>
        </w:rPr>
        <w:softHyphen/>
        <w:t>оружении СССР истребителей;</w:t>
      </w:r>
    </w:p>
    <w:p w14:paraId="154296FF" w14:textId="77777777" w:rsidR="002401AD" w:rsidRPr="00C33834" w:rsidRDefault="002401AD"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перекрывает гарантированные, утвержденные эс</w:t>
      </w:r>
      <w:r w:rsidRPr="00C33834">
        <w:rPr>
          <w:rFonts w:ascii="Times New Roman" w:hAnsi="Times New Roman"/>
          <w:color w:val="000000" w:themeColor="text1"/>
          <w:sz w:val="16"/>
          <w:szCs w:val="16"/>
        </w:rPr>
        <w:softHyphen/>
        <w:t>кизным проектом данные;</w:t>
      </w:r>
    </w:p>
    <w:p w14:paraId="36A780EA" w14:textId="77777777" w:rsidR="002401AD" w:rsidRPr="00C33834" w:rsidRDefault="002401AD"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 маневренности превосходит, по скороподъем</w:t>
      </w:r>
      <w:r w:rsidRPr="00C33834">
        <w:rPr>
          <w:rFonts w:ascii="Times New Roman" w:hAnsi="Times New Roman"/>
          <w:color w:val="000000" w:themeColor="text1"/>
          <w:sz w:val="16"/>
          <w:szCs w:val="16"/>
        </w:rPr>
        <w:softHyphen/>
        <w:t>ности достигает уровня лучших современных опытных заграничных истребителей;</w:t>
      </w:r>
    </w:p>
    <w:p w14:paraId="53096766" w14:textId="77777777" w:rsidR="002401AD" w:rsidRPr="00C33834" w:rsidRDefault="002401AD"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по скорости на высоте 5000 м, благодаря схеме, обеспечивающей высокую маневренность, несколько уступает (на 20-30 км/ч) скорости лучших опытных од</w:t>
      </w:r>
      <w:r w:rsidRPr="00C33834">
        <w:rPr>
          <w:rFonts w:ascii="Times New Roman" w:hAnsi="Times New Roman"/>
          <w:color w:val="000000" w:themeColor="text1"/>
          <w:sz w:val="16"/>
          <w:szCs w:val="16"/>
        </w:rPr>
        <w:softHyphen/>
        <w:t>номестных заграничных истребителей.</w:t>
      </w:r>
    </w:p>
    <w:p w14:paraId="2AD09E74"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2. Самолет И-15 по своим данным представляет удач</w:t>
      </w:r>
      <w:r w:rsidRPr="00C33834">
        <w:rPr>
          <w:rFonts w:ascii="Times New Roman" w:hAnsi="Times New Roman"/>
          <w:color w:val="000000" w:themeColor="text1"/>
          <w:sz w:val="16"/>
          <w:szCs w:val="16"/>
        </w:rPr>
        <w:softHyphen/>
        <w:t>ное разрешение вопроса о высокоманевренном истреби</w:t>
      </w:r>
      <w:r w:rsidRPr="00C33834">
        <w:rPr>
          <w:rFonts w:ascii="Times New Roman" w:hAnsi="Times New Roman"/>
          <w:color w:val="000000" w:themeColor="text1"/>
          <w:sz w:val="16"/>
          <w:szCs w:val="16"/>
        </w:rPr>
        <w:softHyphen/>
        <w:t>теле, обладающим в то же время достаточными горизон</w:t>
      </w:r>
      <w:r w:rsidRPr="00C33834">
        <w:rPr>
          <w:rFonts w:ascii="Times New Roman" w:hAnsi="Times New Roman"/>
          <w:color w:val="000000" w:themeColor="text1"/>
          <w:sz w:val="16"/>
          <w:szCs w:val="16"/>
        </w:rPr>
        <w:softHyphen/>
        <w:t>тальными скоростями. Соединение высокой маневрен</w:t>
      </w:r>
      <w:r w:rsidRPr="00C33834">
        <w:rPr>
          <w:rFonts w:ascii="Times New Roman" w:hAnsi="Times New Roman"/>
          <w:color w:val="000000" w:themeColor="text1"/>
          <w:sz w:val="16"/>
          <w:szCs w:val="16"/>
        </w:rPr>
        <w:softHyphen/>
        <w:t>ности, скороподъемности и достаточной скорости поз</w:t>
      </w:r>
      <w:r w:rsidRPr="00C33834">
        <w:rPr>
          <w:rFonts w:ascii="Times New Roman" w:hAnsi="Times New Roman"/>
          <w:color w:val="000000" w:themeColor="text1"/>
          <w:sz w:val="16"/>
          <w:szCs w:val="16"/>
        </w:rPr>
        <w:softHyphen/>
        <w:t>воляет считать, что самолет И-15 является современным истребителем.</w:t>
      </w:r>
    </w:p>
    <w:p w14:paraId="205B9F49" w14:textId="77777777" w:rsidR="002401AD" w:rsidRPr="00C33834" w:rsidRDefault="002401AD"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Самолет И-15 обладает достаточно мягким управле</w:t>
      </w:r>
      <w:r w:rsidRPr="00C33834">
        <w:rPr>
          <w:rFonts w:ascii="Times New Roman" w:hAnsi="Times New Roman"/>
          <w:color w:val="000000" w:themeColor="text1"/>
          <w:sz w:val="16"/>
          <w:szCs w:val="16"/>
        </w:rPr>
        <w:softHyphen/>
        <w:t>нием, простотой в пилотировании и хорошим обзором.</w:t>
      </w:r>
    </w:p>
    <w:p w14:paraId="75FA7082" w14:textId="77777777" w:rsidR="002401AD" w:rsidRPr="00C33834" w:rsidRDefault="002401AD"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Основное испытание самолета И-15 показало, что конструкция самолета крупных, требующих больших переделок, дефектов не имеет...</w:t>
      </w:r>
    </w:p>
    <w:p w14:paraId="23BB25E3" w14:textId="77777777" w:rsidR="002401AD" w:rsidRPr="00C33834" w:rsidRDefault="002401AD"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Полетные качества самолета в отношении устой</w:t>
      </w:r>
      <w:r w:rsidRPr="00C33834">
        <w:rPr>
          <w:rFonts w:ascii="Times New Roman" w:hAnsi="Times New Roman"/>
          <w:color w:val="000000" w:themeColor="text1"/>
          <w:sz w:val="16"/>
          <w:szCs w:val="16"/>
        </w:rPr>
        <w:softHyphen/>
        <w:t>чивости пути являются недостаточно удовлетворитель</w:t>
      </w:r>
      <w:r w:rsidRPr="00C33834">
        <w:rPr>
          <w:rFonts w:ascii="Times New Roman" w:hAnsi="Times New Roman"/>
          <w:color w:val="000000" w:themeColor="text1"/>
          <w:sz w:val="16"/>
          <w:szCs w:val="16"/>
        </w:rPr>
        <w:softHyphen/>
        <w:t>ными. На скоростях 200-250 км/ч самолет имеет нейтральную устойчивость, на скоростях свыше 250 км/ч - неустойчив...».</w:t>
      </w:r>
    </w:p>
    <w:p w14:paraId="5DA93647"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основании результатов летных испытаний И-15 был рекомендован для серийного производства. Оно разворачивалось на заводах № 1 и № 39 (10667).</w:t>
      </w:r>
    </w:p>
    <w:p w14:paraId="3F942034"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p>
    <w:p w14:paraId="30A43FA3"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марта 1933 Б.Кудрин опробовал на ХАИ-1 новый М-22 и передал машину военным (562,46).</w:t>
      </w:r>
    </w:p>
    <w:p w14:paraId="282A1467"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p>
    <w:p w14:paraId="715D7221"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марта 1933 по указанию П.И.Б. серийный выпуск ХАИ-1 поручили ХАЗ для замены Ка-5 К.А.К. То, что К.А.К. во всю делал К-7 помогло ему отстоять независимость и решили делать на 21 заводе, но там вместо И-5 осваивали И-14 и харьковцев опять прогнали (1148,28).</w:t>
      </w:r>
    </w:p>
    <w:p w14:paraId="28F05D77"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p>
    <w:p w14:paraId="283E7347"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сразу после решения П.И.Б. о запуске ХАИ-1 в серию конструкторская группа И.Г.Немана получила официальный статус и ее стали наименовать Проектная часть НИС ХАИ. Разместили в двух комнатах на 4 этаже аэродинамического корпуса бывшего технологического института, рядом с трубой и кв. академика Г.Ф.Проскуры. И.Г.Н. стал ГК, а зам. стал С.Я.Жолтовский. В штате было 50 чел. и для организации строительства экспериментальных машин создали Центральные опытные мастерские (ЦОМ) ХАИ, которые возглавил и Галетко. Создали 10 конструкторских бригад по 5-7 чел. (не по машинам) и ведущими по машинам стали Л.Д.Арсон и С.Я.Жолтовский (1148,27).</w:t>
      </w:r>
    </w:p>
    <w:p w14:paraId="7ED9247C"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p>
    <w:p w14:paraId="6B59A400"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марта 1933 состоялось заседание в нач. ГУАП П.И.Б. (протокол 36).</w:t>
      </w:r>
    </w:p>
    <w:p w14:paraId="68F5970C"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Слушали: О перестройке заводов ГУАП на гражданскую авиацию (2292,167).</w:t>
      </w:r>
    </w:p>
    <w:p w14:paraId="30B09BB9"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p>
    <w:p w14:paraId="39BDE2A9" w14:textId="77777777" w:rsidR="005653D4" w:rsidRPr="00C33834" w:rsidRDefault="005653D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26 марта 1933 году приказом по ГУАП №117 было объявлено «Положение о работе летно</w:t>
      </w:r>
      <w:r w:rsidRPr="00C33834">
        <w:rPr>
          <w:rFonts w:ascii="Times New Roman" w:hAnsi="Times New Roman"/>
          <w:color w:val="0070C0"/>
          <w:sz w:val="16"/>
          <w:szCs w:val="16"/>
        </w:rPr>
        <w:softHyphen/>
        <w:t>испытательных станций Глававиапрома» (21100).</w:t>
      </w:r>
    </w:p>
    <w:p w14:paraId="44AD3939" w14:textId="77777777" w:rsidR="005653D4" w:rsidRPr="00C33834" w:rsidRDefault="005653D4" w:rsidP="00C33834">
      <w:pPr>
        <w:spacing w:after="0" w:line="240" w:lineRule="auto"/>
        <w:jc w:val="both"/>
        <w:rPr>
          <w:rFonts w:ascii="Times New Roman" w:hAnsi="Times New Roman"/>
          <w:color w:val="0070C0"/>
          <w:sz w:val="16"/>
          <w:szCs w:val="16"/>
        </w:rPr>
      </w:pPr>
    </w:p>
    <w:p w14:paraId="0252E56C" w14:textId="77777777" w:rsidR="002401AD"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1381236" w14:textId="77777777" w:rsidR="002401AD" w:rsidRPr="00C33834" w:rsidRDefault="002401AD"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F1F8161" w14:textId="77777777" w:rsidR="002401AD" w:rsidRPr="00C33834" w:rsidRDefault="002401AD"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марта 1933 представитель военной приемки на заводе сообщал о про</w:t>
      </w:r>
      <w:r w:rsidRPr="00C33834">
        <w:rPr>
          <w:rFonts w:ascii="Times New Roman" w:hAnsi="Times New Roman"/>
          <w:color w:val="000000" w:themeColor="text1"/>
          <w:sz w:val="16"/>
          <w:szCs w:val="16"/>
        </w:rPr>
        <w:softHyphen/>
        <w:t>изводстве Д-13 следующее: «5 единиц готовы за исключе</w:t>
      </w:r>
      <w:r w:rsidRPr="00C33834">
        <w:rPr>
          <w:rFonts w:ascii="Times New Roman" w:hAnsi="Times New Roman"/>
          <w:color w:val="000000" w:themeColor="text1"/>
          <w:sz w:val="16"/>
          <w:szCs w:val="16"/>
        </w:rPr>
        <w:softHyphen/>
        <w:t>нием: не сделаны рамы с сеткой для карт, нет задних фона</w:t>
      </w:r>
      <w:r w:rsidRPr="00C33834">
        <w:rPr>
          <w:rFonts w:ascii="Times New Roman" w:hAnsi="Times New Roman"/>
          <w:color w:val="000000" w:themeColor="text1"/>
          <w:sz w:val="16"/>
          <w:szCs w:val="16"/>
        </w:rPr>
        <w:softHyphen/>
        <w:t>рей. Машины вышли на испытание. 5 единиц, кроме ука</w:t>
      </w:r>
      <w:r w:rsidRPr="00C33834">
        <w:rPr>
          <w:rFonts w:ascii="Times New Roman" w:hAnsi="Times New Roman"/>
          <w:color w:val="000000" w:themeColor="text1"/>
          <w:sz w:val="16"/>
          <w:szCs w:val="16"/>
        </w:rPr>
        <w:softHyphen/>
        <w:t>занного, не установлены ящики для вездеходных цепей, не сделано крепление для шанцевого инструмента и допол</w:t>
      </w:r>
      <w:r w:rsidRPr="00C33834">
        <w:rPr>
          <w:rFonts w:ascii="Times New Roman" w:hAnsi="Times New Roman"/>
          <w:color w:val="000000" w:themeColor="text1"/>
          <w:sz w:val="16"/>
          <w:szCs w:val="16"/>
        </w:rPr>
        <w:softHyphen/>
        <w:t>нительных бензобаков». Но к маю Д-13 были сданы и по</w:t>
      </w:r>
      <w:r w:rsidRPr="00C33834">
        <w:rPr>
          <w:rFonts w:ascii="Times New Roman" w:hAnsi="Times New Roman"/>
          <w:color w:val="000000" w:themeColor="text1"/>
          <w:sz w:val="16"/>
          <w:szCs w:val="16"/>
        </w:rPr>
        <w:softHyphen/>
        <w:t>ступили в войска. Таким образом, всего изготовили 13 бро</w:t>
      </w:r>
      <w:r w:rsidRPr="00C33834">
        <w:rPr>
          <w:rFonts w:ascii="Times New Roman" w:hAnsi="Times New Roman"/>
          <w:color w:val="000000" w:themeColor="text1"/>
          <w:sz w:val="16"/>
          <w:szCs w:val="16"/>
        </w:rPr>
        <w:softHyphen/>
        <w:t>немашин конструкции Дыренкова: 12 Д-13 (считая 2 опыт</w:t>
      </w:r>
      <w:r w:rsidRPr="00C33834">
        <w:rPr>
          <w:rFonts w:ascii="Times New Roman" w:hAnsi="Times New Roman"/>
          <w:color w:val="000000" w:themeColor="text1"/>
          <w:sz w:val="16"/>
          <w:szCs w:val="16"/>
        </w:rPr>
        <w:softHyphen/>
        <w:t>ных образца) и 1 Д-9 (11284).</w:t>
      </w:r>
    </w:p>
    <w:p w14:paraId="16B335F7" w14:textId="77777777" w:rsidR="002401AD" w:rsidRPr="00C33834" w:rsidRDefault="002401AD"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2A0265" w14:textId="77777777" w:rsidR="002401AD"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AAAC957" w14:textId="77777777" w:rsidR="002401AD" w:rsidRPr="00C33834" w:rsidRDefault="002401AD"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4FAD0C4"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 xml:space="preserve">27 марта 1933 г. </w:t>
      </w:r>
      <w:r w:rsidRPr="00C33834">
        <w:rPr>
          <w:rFonts w:ascii="Times New Roman" w:hAnsi="Times New Roman"/>
          <w:color w:val="000000" w:themeColor="text1"/>
          <w:sz w:val="16"/>
          <w:szCs w:val="16"/>
        </w:rPr>
        <w:t>Из объяснительной записки Снарядного треста к годовому отчету за 1932 г.</w:t>
      </w:r>
    </w:p>
    <w:p w14:paraId="3527D7F4"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Совершенно секретно.</w:t>
      </w:r>
    </w:p>
    <w:p w14:paraId="549482EE"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Общая часть и производство</w:t>
      </w:r>
    </w:p>
    <w:p w14:paraId="606FD5C0"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Поскольку укомплектование Снарядного треста заводами, действующими в системе треста в 1932 г., закончено в конце 1931 г., то 1932 г. является по существу первым годом деятельности Снарядного треста как производственно-хозяйственного объединения, и для правильной оценки результатов его деятельности за 1932 г. необходимо, помимо условий работы 1932 г., учесть также состояние его заводов на начало 1932 г. и те соображения, которые были положены трестом в основу составления промфинплана на 1932 г. В течение второго полугодия 1931 г. Снарядным трестом в порядке производственно-технического руководства и оздоровления работы заводов была проделана совместно с заводами следующая работа:</w:t>
      </w:r>
    </w:p>
    <w:p w14:paraId="3D68192A"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1) Проработаны и освоены технологические процессы по модернизированным снарядам калибров 76, 122 и 152 мм за исключением заводов № 65 по 122</w:t>
      </w:r>
      <w:r w:rsidRPr="00C33834">
        <w:rPr>
          <w:color w:val="000000" w:themeColor="text1"/>
          <w:sz w:val="16"/>
          <w:szCs w:val="16"/>
        </w:rPr>
        <w:noBreakHyphen/>
        <w:t>мм и № 63 по 152</w:t>
      </w:r>
      <w:r w:rsidRPr="00C33834">
        <w:rPr>
          <w:color w:val="000000" w:themeColor="text1"/>
          <w:sz w:val="16"/>
          <w:szCs w:val="16"/>
        </w:rPr>
        <w:noBreakHyphen/>
        <w:t>мм, освоение по которым произведено в начале 1932 г. 2) Проведена работа к освоению штамповки снарядных головок на аяксах. 3) Приступили к опытам по изготовлению снарядов с черной камерой. 4) Начаты работы по стандартизации снарядной заготовки и медных поясков. 5) Освоено производство аэробомб до 250 кг включительно и опыты по 500 кг.</w:t>
      </w:r>
    </w:p>
    <w:p w14:paraId="5D9A481B"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Проведение указанных работ, изучение состояния оборудования заводов и их мощностей, а также анализ работы заводов за 1931 г. позволили Снарядному тресту при составлении промфинплана на 1932 г. поставить перед собой задачей максимальную ассимиляцию оборудования в мирных условиях, положив в основу разрешения этой задачи следующие принципиальные положения: а) мирная загрузка должна дать максимальное использование основного капитала заводов и производственное оживление наращиваемых мощностей; б) номенклатура мирных изделий должна в основном соответствовать характеру оборудования, технологическому процессу основного производства и задаче накопления квалифицированной рабочей силы; в) осваиваемые номенклатуры мирной продукции должны иметь важнейшее народно-хозяйственное значение и по возможности служить целям освобождения от импорта; г) проводимая специализация заводов должна идти по линии освоения массового и крупно серийного производства и с минимальным приобретением дополнительного оборудования, необходимого для более эффективного использования основного капитала.</w:t>
      </w:r>
    </w:p>
    <w:p w14:paraId="02CD2A93"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Наряду с этим в 1932 г. должно было быть проведено дальнейшее развитие техники снарядного производства и совершенствования технологических процессов путем:</w:t>
      </w:r>
    </w:p>
    <w:p w14:paraId="13E6F90F"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а) повышения производительности существующего оборудования заводов, разработки стандартов, упорядочения лекально-калиберного дела, установления точных норм расходования основных и вспомогательных материалов, топлива, электроэнергии и т. д.; б) упорядочения станочного парка оборудования для снарядного производства и повышения технологических качеств станков; в) уточнения технических условий на спецпродукцию; г) доведения до минимума брака изделий; д) правильного использования рабсилы; е) внедрения в производство положительных результатов опытных работ по черной камере, штамповке, механической и термической обработке; ж) концентрации внимания руководства заводов на выполнении опытных и рационализаторских работ.</w:t>
      </w:r>
    </w:p>
    <w:p w14:paraId="1EED7C03"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Руководствуясь всеми вышеуказанными соображениями, Снарядным трестом был составлен промфинплан на 1932 г., согласно которому валовой выпуск продукции в 1932 г. определялся в 262 741,2 тыс. руб. в неизменных ценах 1926/27 г., что в отношении отчета за 1931 г. составляло 247%, т. е. намечалось увеличение валового выпуска продукции почти в 2,5 раза. Изменение структуры выпуска валовой продукции по плану 1932 г. в сравнении с отчетом за 1931 г. видно из следующей таблицы (в тыс. руб. по ценам 1926/27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27"/>
        <w:gridCol w:w="1049"/>
        <w:gridCol w:w="980"/>
        <w:gridCol w:w="904"/>
        <w:gridCol w:w="2031"/>
        <w:gridCol w:w="2031"/>
      </w:tblGrid>
      <w:tr w:rsidR="00F26F01" w:rsidRPr="00C33834" w14:paraId="65D5FDA9"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BB351E"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171F4"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отчету</w:t>
            </w:r>
          </w:p>
          <w:p w14:paraId="60AD5E0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C2753"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ПФП</w:t>
            </w:r>
          </w:p>
          <w:p w14:paraId="657D889F"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F2424"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w:t>
            </w:r>
          </w:p>
          <w:p w14:paraId="404A2D87"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17393"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p w14:paraId="307BBEF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видов произв</w:t>
            </w:r>
            <w:r w:rsidRPr="00C33834">
              <w:rPr>
                <w:rFonts w:ascii="Times New Roman" w:hAnsi="Times New Roman"/>
                <w:color w:val="000000" w:themeColor="text1"/>
                <w:sz w:val="16"/>
                <w:szCs w:val="16"/>
              </w:rPr>
              <w:softHyphen/>
              <w:t>одства</w:t>
            </w:r>
          </w:p>
          <w:p w14:paraId="16591D2A"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отчете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0802A"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p w14:paraId="3B01B60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видов произ</w:t>
            </w:r>
            <w:r w:rsidRPr="00C33834">
              <w:rPr>
                <w:rFonts w:ascii="Times New Roman" w:hAnsi="Times New Roman"/>
                <w:color w:val="000000" w:themeColor="text1"/>
                <w:sz w:val="16"/>
                <w:szCs w:val="16"/>
              </w:rPr>
              <w:softHyphen/>
              <w:t>водства</w:t>
            </w:r>
          </w:p>
          <w:p w14:paraId="4BB1249A"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 ПФП 1932 г.</w:t>
            </w:r>
          </w:p>
        </w:tc>
      </w:tr>
      <w:tr w:rsidR="00F26F01" w:rsidRPr="00C33834" w14:paraId="342D3346"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7134CE"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Военная, включая междузаводскую</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398B4"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40 807,4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6116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100 614,2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55D8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0D83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43C6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38,2</w:t>
            </w:r>
          </w:p>
        </w:tc>
      </w:tr>
      <w:tr w:rsidR="00F26F01" w:rsidRPr="00C33834" w14:paraId="3C9A09BE"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14DCB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37174"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49 717,7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45259"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146 226,1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7E6B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9DD4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AE9D9"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55,7</w:t>
            </w:r>
          </w:p>
        </w:tc>
      </w:tr>
      <w:tr w:rsidR="00F26F01" w:rsidRPr="00C33834" w14:paraId="6578C7CE"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7484A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2EC1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1 472,0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70E8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4 597,1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566C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3AA99"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450B4"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r>
      <w:tr w:rsidR="00F26F01" w:rsidRPr="00C33834" w14:paraId="54F33BF5"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96267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Прочая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D9983"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11 008,9</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715F9"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7 821,2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2D41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E4526"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9DFACC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r>
      <w:tr w:rsidR="00F26F01" w:rsidRPr="00C33834" w14:paraId="7C58D892"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5009A9"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товары¹*</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F6233"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103 006,0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71525"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259 259,2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3056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24B6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2ACB7"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98,7</w:t>
            </w:r>
          </w:p>
        </w:tc>
      </w:tr>
      <w:tr w:rsidR="00F26F01" w:rsidRPr="00C33834" w14:paraId="7CF2F859"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794F0C"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Увеличение незавершен</w:t>
            </w:r>
            <w:r w:rsidRPr="00C33834">
              <w:rPr>
                <w:rFonts w:ascii="Times New Roman" w:hAnsi="Times New Roman"/>
                <w:color w:val="000000" w:themeColor="text1"/>
                <w:sz w:val="16"/>
                <w:szCs w:val="16"/>
              </w:rPr>
              <w:softHyphen/>
              <w:t>ного 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A82D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3 633,1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B035E"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3 482,0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D180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E6C6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0777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w:t>
            </w:r>
          </w:p>
        </w:tc>
      </w:tr>
      <w:tr w:rsidR="00F26F01" w:rsidRPr="00C33834" w14:paraId="31EF9634"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2E75C9"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валовой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96B05"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106 639,1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B9834"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262 741,2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AC04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E74C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1BC3F"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r>
      <w:tr w:rsidR="00F26F01" w:rsidRPr="00C33834" w14:paraId="61BC7E4D"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621026"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том числе сравн[имой]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251AF"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55 563,1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44BD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116 923,4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D4EF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B507E"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BC7CA"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w:t>
            </w:r>
          </w:p>
        </w:tc>
      </w:tr>
    </w:tbl>
    <w:p w14:paraId="17463BB9"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Из приведенной таблицы видно, что при сохранении удельного веса военной продукции удельный вес мирной продукции повышается с 46,7% до 55,7%, и объем выпуска мирной продукции увеличивается почти в 3 раза при общем росте валового выпуска в 2,5 раза. Значительно увеличился объем выпуска опытных работ и всей товарной продукции за счет оздоровления незавершенного производства. Кроме того, удельный вес сравнимой продукции понижался с 52% до 45,6²*: главным образом, за счет мирной продукции, поскольку в 1932 г. в планы выпуска были введены также [такие] изделия, как авиадетали, тракторные детали, роликоподшипники, буферные стаканы и тарелки, роликовые опоры и т. д.</w:t>
      </w:r>
    </w:p>
    <w:p w14:paraId="7C6DE352"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 xml:space="preserve">Принимая такую повышенную программу на 1932 г. и беря на себя обязательство освоить в производстве ряд мирных изделий, имеющих большое народнохозяйственное значение и освобождающих от импорта, Снарядный трест ставил перед высшими планирующими органами вопрос о том, что выполнение </w:t>
      </w:r>
      <w:r w:rsidRPr="00C33834">
        <w:rPr>
          <w:color w:val="000000" w:themeColor="text1"/>
          <w:sz w:val="16"/>
          <w:szCs w:val="16"/>
        </w:rPr>
        <w:lastRenderedPageBreak/>
        <w:t>производственной программы будет идти с большим напряжением, и что одним из существенных моментов для овладения заводами треста темпом производства, обеспечивающим выполнение ими годового плана, в особенности по новым производствам, является вопрос полного и своевременного материального обеспечения.</w:t>
      </w:r>
    </w:p>
    <w:p w14:paraId="1EB6CD0F"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Несмотря на то, что как НКТП, так и Госпланом было отмечено существование значения для народного хозяйства осваиваемой Снарядным трестом в 1932 г. мирной продукции и гарантировано полное обеспечение необходимым металлом всей программы треста, немедленно после утверждения промфинплана треста на 1932 г. началась его ломка выдачей ГВМУ НКТП ряда дополнительных заказов по военной продукции (отн. ГВМУ №№ 3/15400, 4/1682с, 4/1934с, 4/1660с, 5/2399,3030с, 4/654с, 5/6994с), каковых за время с 8 февраля по 3 июля 1932 г. трест получил на сумму 59 582 тыс. руб. и в основном по таким изделиям, которые не только впервые вводились в производство, но по которым не было полной согласованности с заказчиком как по техническим условиям, так и по чертежам, и технологический процесс которых приходилось разрабатывать и проверять на опыте (45</w:t>
      </w:r>
      <w:r w:rsidRPr="00C33834">
        <w:rPr>
          <w:color w:val="000000" w:themeColor="text1"/>
          <w:sz w:val="16"/>
          <w:szCs w:val="16"/>
        </w:rPr>
        <w:noBreakHyphen/>
        <w:t>мм и 76</w:t>
      </w:r>
      <w:r w:rsidRPr="00C33834">
        <w:rPr>
          <w:color w:val="000000" w:themeColor="text1"/>
          <w:sz w:val="16"/>
          <w:szCs w:val="16"/>
        </w:rPr>
        <w:noBreakHyphen/>
        <w:t>мм бронебойных и 45</w:t>
      </w:r>
      <w:r w:rsidRPr="00C33834">
        <w:rPr>
          <w:color w:val="000000" w:themeColor="text1"/>
          <w:sz w:val="16"/>
          <w:szCs w:val="16"/>
        </w:rPr>
        <w:noBreakHyphen/>
        <w:t>мм осколочные снаряды).</w:t>
      </w:r>
    </w:p>
    <w:p w14:paraId="65E56D1F"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Получение этих дополнительных заказов с жесткими сроками их освоения и производства заставило трест резко ломать оперативные планы заводов, снимать с производства ряд намеченных и освоенных мирных номенклатур, отвлечь оборудование заводов на изготовление инструмента и приспособлений для новых заказов и переключить внимание технического руководства на разработку и освоение технологического процесса производства. Кроме того всем заводам треста с начала 1932 г. пришлось столкнуться с фактом недоснабжения и некомплектного снабжения их металлом, тем более, что заказ на бронебойные снаряды был выдан в ГВМУ без подготовки баз снабжения спецсталью.</w:t>
      </w:r>
    </w:p>
    <w:p w14:paraId="2D9832B4"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Все указанные обстоятельства, сломавшие утвержденный тресту на 1932 г. промфинплан и вынудившие его в течение всего 1932 г. работать по оперативным квартальным планам по номенклатуре изделий, отличающейся от годового плана, побудило трест обратиться с письмом в ГВМУ об уточнении годового задания (письмо от 14 ноября 1932 г 1937 вышел приказ НКОП № 7004с), какое оставлено ГВМУ без ответа.</w:t>
      </w:r>
    </w:p>
    <w:p w14:paraId="42DDE135"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Учитывая все эти изменения в заданиях ГВМУ, и на основе утвержденных ГВМУ и Госпланом квартальных планов и реального портфеля заказов Снарядный трест скорректировал свое задание на 1932 г. и представил его на утверждение в ГВМУ, определяя таковое в 210 443,6 тыс. руб. в неизменных ценах 1926/27 г., и считает, что этот объем производства является тем реальным плановым заданием, в пополнении которого трест и должен отчитываться.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68"/>
        <w:gridCol w:w="1244"/>
        <w:gridCol w:w="1201"/>
        <w:gridCol w:w="1104"/>
        <w:gridCol w:w="1246"/>
        <w:gridCol w:w="1246"/>
        <w:gridCol w:w="913"/>
      </w:tblGrid>
      <w:tr w:rsidR="00F26F01" w:rsidRPr="00C33834" w14:paraId="31E3ABD0"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158279"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B3C17"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Утвержден-</w:t>
            </w:r>
          </w:p>
          <w:p w14:paraId="3C7D19E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ный ПФП</w:t>
            </w:r>
          </w:p>
          <w:p w14:paraId="265824D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w:t>
            </w:r>
          </w:p>
          <w:p w14:paraId="1E8AF99F"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6F93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Скорректи-</w:t>
            </w:r>
          </w:p>
          <w:p w14:paraId="3EE4870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рованный</w:t>
            </w:r>
          </w:p>
          <w:p w14:paraId="601C1624"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планом</w:t>
            </w:r>
          </w:p>
          <w:p w14:paraId="308A48AF"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w:t>
            </w:r>
          </w:p>
          <w:p w14:paraId="441320B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BD139"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Отчет за</w:t>
            </w:r>
          </w:p>
          <w:p w14:paraId="07F63407"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w:t>
            </w:r>
          </w:p>
          <w:p w14:paraId="0B36AC7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3F6E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w:t>
            </w:r>
          </w:p>
          <w:p w14:paraId="20A2C37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пополнения</w:t>
            </w:r>
          </w:p>
          <w:p w14:paraId="1F30BE9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ПФП</w:t>
            </w:r>
          </w:p>
        </w:tc>
        <w:tc>
          <w:tcPr>
            <w:tcW w:w="0" w:type="auto"/>
            <w:tcBorders>
              <w:top w:val="outset" w:sz="6" w:space="0" w:color="auto"/>
              <w:left w:val="outset" w:sz="6" w:space="0" w:color="auto"/>
              <w:bottom w:val="outset" w:sz="6" w:space="0" w:color="auto"/>
              <w:right w:val="outset" w:sz="6" w:space="0" w:color="auto"/>
            </w:tcBorders>
            <w:vAlign w:val="center"/>
            <w:hideMark/>
          </w:tcPr>
          <w:p w14:paraId="2C0D4A7A"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w:t>
            </w:r>
          </w:p>
          <w:p w14:paraId="14EF021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пополнения</w:t>
            </w:r>
          </w:p>
          <w:p w14:paraId="302EEE3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корректи-</w:t>
            </w:r>
          </w:p>
          <w:p w14:paraId="1374812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рованного</w:t>
            </w:r>
          </w:p>
          <w:p w14:paraId="778A92B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BA4D7"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w:t>
            </w:r>
          </w:p>
          <w:p w14:paraId="175F99A9"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отчету</w:t>
            </w:r>
          </w:p>
          <w:p w14:paraId="49969BCC"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 г.</w:t>
            </w:r>
          </w:p>
        </w:tc>
      </w:tr>
      <w:tr w:rsidR="00F26F01" w:rsidRPr="00C33834" w14:paraId="478FB677"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432814"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Военная, включая</w:t>
            </w:r>
          </w:p>
          <w:p w14:paraId="59652EC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междузаводскую</w:t>
            </w:r>
          </w:p>
          <w:p w14:paraId="19BF7164"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военную</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DC38C"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100 614,2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3B0DE"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111 685,3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51AC7"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76 195,2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10DF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0EBF6"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8F73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186,7</w:t>
            </w:r>
          </w:p>
        </w:tc>
      </w:tr>
      <w:tr w:rsidR="00F26F01" w:rsidRPr="00C33834" w14:paraId="461EF5D8"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57DEC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95EB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146 226,1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2785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74 070,5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FFC8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65 486,8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8574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558550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1993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131,7</w:t>
            </w:r>
          </w:p>
        </w:tc>
      </w:tr>
      <w:tr w:rsidR="00F26F01" w:rsidRPr="00C33834" w14:paraId="5EA19632"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CA41C7"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A2EC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4 597,1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09C8C"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6 466,9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2790F"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5 222,0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AF1E4"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E8F9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6A269"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354,7</w:t>
            </w:r>
          </w:p>
        </w:tc>
      </w:tr>
      <w:tr w:rsidR="00F26F01" w:rsidRPr="00C33834" w14:paraId="76100947"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0BE64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Прочая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D79F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7 821,2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D130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13 741,6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F0D9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17 850,7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8456C"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C209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B3153"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162,1</w:t>
            </w:r>
          </w:p>
        </w:tc>
      </w:tr>
      <w:tr w:rsidR="00F26F01" w:rsidRPr="00C33834" w14:paraId="128A0552"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40D79C"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товарной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C6E63"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259 259,2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3A954"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205 964,3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3BB6E"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164 754,8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BFA427A"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5222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C183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159,9</w:t>
            </w:r>
          </w:p>
        </w:tc>
      </w:tr>
      <w:tr w:rsidR="00F26F01" w:rsidRPr="00C33834" w14:paraId="7F2A9324"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FAE09F"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Увеличение незавершенного 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818B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3 482,0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80B7A"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4 479,3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D249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3 216,7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22D9E"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CE20A"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852BA"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88,5</w:t>
            </w:r>
          </w:p>
        </w:tc>
      </w:tr>
      <w:tr w:rsidR="00F26F01" w:rsidRPr="00C33834" w14:paraId="1AF03D19"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5BC9A9"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валовой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41C5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262 741,2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09F3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210 443,6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981E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167 971,5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99BA4"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4ADE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F7FA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157,5</w:t>
            </w:r>
          </w:p>
        </w:tc>
      </w:tr>
    </w:tbl>
    <w:p w14:paraId="0D64BA6E"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Таким образом, при сопоставлении отчета по выпуску продукции за 1932 г. с корректированным планом процент исполнения плана повышается до 80% вместо 53,9% против утвержденного промфинплана, при этом наиболее неудовлетворительным является выполнение плана по военной продукции за счет неосвоения производства 45</w:t>
      </w:r>
      <w:r w:rsidRPr="00C33834">
        <w:rPr>
          <w:color w:val="000000" w:themeColor="text1"/>
          <w:sz w:val="16"/>
          <w:szCs w:val="16"/>
        </w:rPr>
        <w:noBreakHyphen/>
        <w:t>мм бронебойных снарядов, 45</w:t>
      </w:r>
      <w:r w:rsidRPr="00C33834">
        <w:rPr>
          <w:color w:val="000000" w:themeColor="text1"/>
          <w:sz w:val="16"/>
          <w:szCs w:val="16"/>
        </w:rPr>
        <w:noBreakHyphen/>
        <w:t>мм осколочных, 152</w:t>
      </w:r>
      <w:r w:rsidRPr="00C33834">
        <w:rPr>
          <w:color w:val="000000" w:themeColor="text1"/>
          <w:sz w:val="16"/>
          <w:szCs w:val="16"/>
        </w:rPr>
        <w:noBreakHyphen/>
        <w:t>мм мортирок, неподачи объектов переделки 76</w:t>
      </w:r>
      <w:r w:rsidRPr="00C33834">
        <w:rPr>
          <w:color w:val="000000" w:themeColor="text1"/>
          <w:sz w:val="16"/>
          <w:szCs w:val="16"/>
        </w:rPr>
        <w:noBreakHyphen/>
        <w:t>мм модернизированных снарядов, неполадки производства РГ</w:t>
      </w:r>
      <w:r w:rsidRPr="00C33834">
        <w:rPr>
          <w:color w:val="000000" w:themeColor="text1"/>
          <w:sz w:val="16"/>
          <w:szCs w:val="16"/>
        </w:rPr>
        <w:noBreakHyphen/>
        <w:t>6, отсутствия материалов по производству тяжелых АБ, мортирок Дьяконова, 76</w:t>
      </w:r>
      <w:r w:rsidRPr="00C33834">
        <w:rPr>
          <w:color w:val="000000" w:themeColor="text1"/>
          <w:sz w:val="16"/>
          <w:szCs w:val="16"/>
        </w:rPr>
        <w:noBreakHyphen/>
        <w:t>мм зажигательных снарядов, 37</w:t>
      </w:r>
      <w:r w:rsidRPr="00C33834">
        <w:rPr>
          <w:color w:val="000000" w:themeColor="text1"/>
          <w:sz w:val="16"/>
          <w:szCs w:val="16"/>
        </w:rPr>
        <w:noBreakHyphen/>
        <w:t>мм бронебойных снарядов и недоснабжения спецзаготовкой.</w:t>
      </w:r>
    </w:p>
    <w:p w14:paraId="6C50D956"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Считая, что с самого начала 1932 г. налицо имелись предпосылки как то: ломка программы, перебои снабжения, получение от НКТП заказов, не обеспеченных базами материального снабжения, изменение заказчиками технических условий и чертежей — которые независимо от зависящих от треста причин (неосвоение производства, слабость технического руководства заводов, слабая труддисциплина, повышенный брак и т. д.) — поставили под угрозу выполнение промфинплана, Снарядный трест считает необходимым подвергнуть некоторому сопоставлению результаты деятельности в 1932 г. с 1931 г. и отметить, что, несмотря на неудовлетворительное выполнение плана 1932 г., трест все же имеет ряд достижений по сравнению с 1931 г.</w:t>
      </w:r>
    </w:p>
    <w:p w14:paraId="74AEAE1A"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1) Освоено производство увеличенной дальности трехдюймовых полевых Розенберга и зажигательные по заводам №№ 70, 77, 68 и 73.</w:t>
      </w:r>
    </w:p>
    <w:p w14:paraId="6C5A1101"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2) Также освоено производство снарядов увеличенной дальности 122</w:t>
      </w:r>
      <w:r w:rsidRPr="00C33834">
        <w:rPr>
          <w:color w:val="000000" w:themeColor="text1"/>
          <w:sz w:val="16"/>
          <w:szCs w:val="16"/>
        </w:rPr>
        <w:noBreakHyphen/>
        <w:t>мм и 152</w:t>
      </w:r>
      <w:r w:rsidRPr="00C33834">
        <w:rPr>
          <w:color w:val="000000" w:themeColor="text1"/>
          <w:sz w:val="16"/>
          <w:szCs w:val="16"/>
        </w:rPr>
        <w:noBreakHyphen/>
        <w:t>мм по заводам №№ 63, 73, 77, 65, 76.</w:t>
      </w:r>
    </w:p>
    <w:p w14:paraId="564B536A"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3) Освоено производство снарядов сталистого чугуна по заводу № 71 122</w:t>
      </w:r>
      <w:r w:rsidRPr="00C33834">
        <w:rPr>
          <w:color w:val="000000" w:themeColor="text1"/>
          <w:sz w:val="16"/>
          <w:szCs w:val="16"/>
        </w:rPr>
        <w:noBreakHyphen/>
        <w:t xml:space="preserve">мм (за 1932 г. изготовлено 13 500 и сдано 14 065). До последнего времени остается высоким процент брака, самый низкий брак декабрь — 32%. (Кроме того, на «Серпе и Молоте» в Харькове из высокофосфористых чугунов липецкой выплавки отлито до 3 тыс. снарядов, 1000 шт. отстреляны на полигоне при температуре </w:t>
      </w:r>
      <w:r w:rsidRPr="00C33834">
        <w:rPr>
          <w:color w:val="000000" w:themeColor="text1"/>
          <w:sz w:val="16"/>
          <w:szCs w:val="16"/>
        </w:rPr>
        <w:noBreakHyphen/>
        <w:t>40°. Содержание фосфора 0,56</w:t>
      </w:r>
      <w:r w:rsidRPr="00C33834">
        <w:rPr>
          <w:color w:val="000000" w:themeColor="text1"/>
          <w:sz w:val="16"/>
          <w:szCs w:val="16"/>
        </w:rPr>
        <w:noBreakHyphen/>
        <w:t>0,35%, результаты отстрела положительные. Калибр 122 мм).</w:t>
      </w:r>
    </w:p>
    <w:p w14:paraId="22CBF3AF"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4) Достигнуто значительное сокращение веса заготовки: по 152</w:t>
      </w:r>
      <w:r w:rsidRPr="00C33834">
        <w:rPr>
          <w:color w:val="000000" w:themeColor="text1"/>
          <w:sz w:val="16"/>
          <w:szCs w:val="16"/>
        </w:rPr>
        <w:noBreakHyphen/>
        <w:t>мм снарядам в начале 1931 г. вес заготовки составлял 61</w:t>
      </w:r>
      <w:r w:rsidRPr="00C33834">
        <w:rPr>
          <w:color w:val="000000" w:themeColor="text1"/>
          <w:sz w:val="16"/>
          <w:szCs w:val="16"/>
        </w:rPr>
        <w:noBreakHyphen/>
        <w:t>62 кг, сейчас 51</w:t>
      </w:r>
      <w:r w:rsidRPr="00C33834">
        <w:rPr>
          <w:color w:val="000000" w:themeColor="text1"/>
          <w:sz w:val="16"/>
          <w:szCs w:val="16"/>
        </w:rPr>
        <w:noBreakHyphen/>
        <w:t>54 кг, сокращение 7</w:t>
      </w:r>
      <w:r w:rsidRPr="00C33834">
        <w:rPr>
          <w:color w:val="000000" w:themeColor="text1"/>
          <w:sz w:val="16"/>
          <w:szCs w:val="16"/>
        </w:rPr>
        <w:noBreakHyphen/>
        <w:t>10 кг на 1 снаряд. Проведена работа по стандарту веса заготовки снарядов. Работы проводились на заводах: 1. Сталинский металлургический и завод № 73. 2. Надеждинский металлургический и завод № 76, Мариупольский завод по 48</w:t>
      </w:r>
      <w:r w:rsidRPr="00C33834">
        <w:rPr>
          <w:color w:val="000000" w:themeColor="text1"/>
          <w:sz w:val="16"/>
          <w:szCs w:val="16"/>
        </w:rPr>
        <w:noBreakHyphen/>
        <w:t>мм линейным снарядам, Рыковский завод и обработка на заводе № 70. Результат: для 122</w:t>
      </w:r>
      <w:r w:rsidRPr="00C33834">
        <w:rPr>
          <w:color w:val="000000" w:themeColor="text1"/>
          <w:sz w:val="16"/>
          <w:szCs w:val="16"/>
        </w:rPr>
        <w:noBreakHyphen/>
        <w:t>мм снарядов вес после стандарта 30 кг, до стандарта — 31</w:t>
      </w:r>
      <w:r w:rsidRPr="00C33834">
        <w:rPr>
          <w:color w:val="000000" w:themeColor="text1"/>
          <w:sz w:val="16"/>
          <w:szCs w:val="16"/>
        </w:rPr>
        <w:noBreakHyphen/>
        <w:t>[3]4 кг, сокращение на 4 кг, по трехдюймовому снаряду до стандарта 9,5 кг, после — 8,6 кг, сокращение на 1,2 кг³*. Вследствие сокращения веса и допусков механическая обработка сокращается до 15%.</w:t>
      </w:r>
    </w:p>
    <w:p w14:paraId="055042D1"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5) Проведена работа по штамповке головок 122</w:t>
      </w:r>
      <w:r w:rsidRPr="00C33834">
        <w:rPr>
          <w:color w:val="000000" w:themeColor="text1"/>
          <w:sz w:val="16"/>
          <w:szCs w:val="16"/>
        </w:rPr>
        <w:noBreakHyphen/>
        <w:t>мм и 152</w:t>
      </w:r>
      <w:r w:rsidRPr="00C33834">
        <w:rPr>
          <w:color w:val="000000" w:themeColor="text1"/>
          <w:sz w:val="16"/>
          <w:szCs w:val="16"/>
        </w:rPr>
        <w:noBreakHyphen/>
        <w:t>мм снарядов на аяксах вместо прессов. Головка 122</w:t>
      </w:r>
      <w:r w:rsidRPr="00C33834">
        <w:rPr>
          <w:color w:val="000000" w:themeColor="text1"/>
          <w:sz w:val="16"/>
          <w:szCs w:val="16"/>
        </w:rPr>
        <w:noBreakHyphen/>
        <w:t>мм снаряда на прессу стоила 3 руб. 50 коп. и на аяксе — 1 руб. 80 коп., экономия металла для калибров 76 мм, 122 мм и 152 мм соответствовала 1, 1,6 и 1,8 кг, сокращение времени на механическую обработку достигает более 25%.</w:t>
      </w:r>
    </w:p>
    <w:p w14:paraId="731FEEEA"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6) Поставлено производство как по штамповке, а также и механической обработке головок АБ 250 кг на заводе № 72 и № 67. Ранее головку завод им. Молотова (ММ3) давал весом 160 кг, на заводе № 72 вес штамповки сначала 130 кг и затем 100 кг, завод за 1932 г. отштамповал 4228 шт. Заводом № 67 АБ 250 кг за 1932 г. дано 5437 шт., выпущено АБ 500, за февраль 101 шт., также выпущена партия опытных 9 шт. АБ 2000 кг. Поставлено производство химических аэробомб 100 кг, за 1932 г. выпущено 4745 шт., за январь и февраль — 1278 шт.</w:t>
      </w:r>
    </w:p>
    <w:p w14:paraId="2B1D808B"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7) Поставлено производство изолирующего противогаза.</w:t>
      </w:r>
    </w:p>
    <w:p w14:paraId="25D91FF3"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8) Налажена штамповка 203</w:t>
      </w:r>
      <w:r w:rsidRPr="00C33834">
        <w:rPr>
          <w:color w:val="000000" w:themeColor="text1"/>
          <w:sz w:val="16"/>
          <w:szCs w:val="16"/>
        </w:rPr>
        <w:noBreakHyphen/>
        <w:t>мм фугасных снарядов для «Красного Сормова», за 1932 г. дано 479 снарядов.</w:t>
      </w:r>
    </w:p>
    <w:p w14:paraId="15AB83BF"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9) Дано 37</w:t>
      </w:r>
      <w:r w:rsidRPr="00C33834">
        <w:rPr>
          <w:color w:val="000000" w:themeColor="text1"/>
          <w:sz w:val="16"/>
          <w:szCs w:val="16"/>
        </w:rPr>
        <w:noBreakHyphen/>
        <w:t>мм снарядов к ружью Курчевского 13 тыс. шт., из них 3200 — боевые, а остальные — лафето-пробные. Сейчас меняется чертеж.</w:t>
      </w:r>
    </w:p>
    <w:p w14:paraId="6FEA0163"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10) Выпущено с завода № 75 в опытном порядке бронебойных снарядов от 20 до 76 мм из разных марок стали, всего 8920 шт.</w:t>
      </w:r>
    </w:p>
    <w:p w14:paraId="7F442C58"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11) Выпущено всех типов и калибров опытных снарядов за 1932 г. 53 тыс. шт., причем полигональные снаряды 80</w:t>
      </w:r>
      <w:r w:rsidRPr="00C33834">
        <w:rPr>
          <w:color w:val="000000" w:themeColor="text1"/>
          <w:sz w:val="16"/>
          <w:szCs w:val="16"/>
        </w:rPr>
        <w:noBreakHyphen/>
        <w:t>мм — 117 шт. и 76</w:t>
      </w:r>
      <w:r w:rsidRPr="00C33834">
        <w:rPr>
          <w:color w:val="000000" w:themeColor="text1"/>
          <w:sz w:val="16"/>
          <w:szCs w:val="16"/>
        </w:rPr>
        <w:noBreakHyphen/>
        <w:t>мм — 196 шт. В работе находятся 132</w:t>
      </w:r>
      <w:r w:rsidRPr="00C33834">
        <w:rPr>
          <w:color w:val="000000" w:themeColor="text1"/>
          <w:sz w:val="16"/>
          <w:szCs w:val="16"/>
        </w:rPr>
        <w:noBreakHyphen/>
        <w:t>мм полигональные, изготовлено 56 шт., в этом году из них сдано 28. Также в январе и феврале 1933 г. выпущено 76</w:t>
      </w:r>
      <w:r w:rsidRPr="00C33834">
        <w:rPr>
          <w:color w:val="000000" w:themeColor="text1"/>
          <w:sz w:val="16"/>
          <w:szCs w:val="16"/>
        </w:rPr>
        <w:noBreakHyphen/>
        <w:t>мм нарезных снарядов, 168 шт. сдано.</w:t>
      </w:r>
    </w:p>
    <w:p w14:paraId="7566360F"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12) Увеличение выходов с пресса в смену снарядов по 76</w:t>
      </w:r>
      <w:r w:rsidRPr="00C33834">
        <w:rPr>
          <w:color w:val="000000" w:themeColor="text1"/>
          <w:sz w:val="16"/>
          <w:szCs w:val="16"/>
        </w:rPr>
        <w:noBreakHyphen/>
        <w:t>мм Розенберга: завод № 68 в 1931 г. в смену с пресса снимал 650 шт., сейчас 700 шт., увеличение на 13%. По заводу № 73 — 450 шт. и 600 шт., увеличение на 33%. По 122</w:t>
      </w:r>
      <w:r w:rsidRPr="00C33834">
        <w:rPr>
          <w:color w:val="000000" w:themeColor="text1"/>
          <w:sz w:val="16"/>
          <w:szCs w:val="16"/>
        </w:rPr>
        <w:noBreakHyphen/>
        <w:t>мм по заводу № 76 было 450 шт., в настоящее время 500 шт., увеличение на 11%. По заводу № 65 — 340 и 413 шт., увеличение на 23%. По 152</w:t>
      </w:r>
      <w:r w:rsidRPr="00C33834">
        <w:rPr>
          <w:color w:val="000000" w:themeColor="text1"/>
          <w:sz w:val="16"/>
          <w:szCs w:val="16"/>
        </w:rPr>
        <w:noBreakHyphen/>
        <w:t>мм УД завод № 73 — 250 и 300 шт. в смене, увеличение на 20%. По заводу № 79 было 210 шт., сейчас 300 шт., увеличение на 43%.</w:t>
      </w:r>
    </w:p>
    <w:p w14:paraId="6D34D4A8"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13) Увеличение выходов со станка по механической обработке: завод № 68 по 76</w:t>
      </w:r>
      <w:r w:rsidRPr="00C33834">
        <w:rPr>
          <w:color w:val="000000" w:themeColor="text1"/>
          <w:sz w:val="16"/>
          <w:szCs w:val="16"/>
        </w:rPr>
        <w:noBreakHyphen/>
        <w:t>мм Розенберга фактический выход 11</w:t>
      </w:r>
      <w:r w:rsidRPr="00C33834">
        <w:rPr>
          <w:color w:val="000000" w:themeColor="text1"/>
          <w:sz w:val="16"/>
          <w:szCs w:val="16"/>
        </w:rPr>
        <w:noBreakHyphen/>
        <w:t>12 шт. со станка, по заводу № 65 по 122</w:t>
      </w:r>
      <w:r w:rsidRPr="00C33834">
        <w:rPr>
          <w:color w:val="000000" w:themeColor="text1"/>
          <w:sz w:val="16"/>
          <w:szCs w:val="16"/>
        </w:rPr>
        <w:noBreakHyphen/>
        <w:t>мм УД выход с 6,5 снаряда поднят до 8,7 снаряда, фактически достигнуто 6,24 снаряда. По заводу № 73 по 76</w:t>
      </w:r>
      <w:r w:rsidRPr="00C33834">
        <w:rPr>
          <w:color w:val="000000" w:themeColor="text1"/>
          <w:sz w:val="16"/>
          <w:szCs w:val="16"/>
        </w:rPr>
        <w:noBreakHyphen/>
        <w:t>мм Розенберга [в] 1931 г. было 9 шт. со станка, [в] 1932 г. поднят до 12 шт., фактический выход 8. По 152</w:t>
      </w:r>
      <w:r w:rsidRPr="00C33834">
        <w:rPr>
          <w:color w:val="000000" w:themeColor="text1"/>
          <w:sz w:val="16"/>
          <w:szCs w:val="16"/>
        </w:rPr>
        <w:noBreakHyphen/>
        <w:t>мм УД [в] 1931 г. дано 3 стакана, [в] 1932 г. поднято до 4,3 снаряда, фактически 4,1 снаряда. Таким образом, выходы подняты по 76</w:t>
      </w:r>
      <w:r w:rsidRPr="00C33834">
        <w:rPr>
          <w:color w:val="000000" w:themeColor="text1"/>
          <w:sz w:val="16"/>
          <w:szCs w:val="16"/>
        </w:rPr>
        <w:noBreakHyphen/>
        <w:t>мм на 33% и по шестидюймовым на 40%. По заводу № 70 37</w:t>
      </w:r>
      <w:r w:rsidRPr="00C33834">
        <w:rPr>
          <w:color w:val="000000" w:themeColor="text1"/>
          <w:sz w:val="16"/>
          <w:szCs w:val="16"/>
        </w:rPr>
        <w:noBreakHyphen/>
        <w:t>мм БР запроектированы выходы 34,2 снаряда, фактически достигнуто 21,4 снаряда, по 76</w:t>
      </w:r>
      <w:r w:rsidRPr="00C33834">
        <w:rPr>
          <w:color w:val="000000" w:themeColor="text1"/>
          <w:sz w:val="16"/>
          <w:szCs w:val="16"/>
        </w:rPr>
        <w:noBreakHyphen/>
        <w:t>мм УД полевым запроектировано 14 шт., достигнуто 12 шт. По заводу № 77 по 76</w:t>
      </w:r>
      <w:r w:rsidRPr="00C33834">
        <w:rPr>
          <w:color w:val="000000" w:themeColor="text1"/>
          <w:sz w:val="16"/>
          <w:szCs w:val="16"/>
        </w:rPr>
        <w:noBreakHyphen/>
        <w:t>мм УД в 1931 г. выходы 9,95 шт., 1932 г. — 11,3 шт., увеличение на 13%. По 122</w:t>
      </w:r>
      <w:r w:rsidRPr="00C33834">
        <w:rPr>
          <w:color w:val="000000" w:themeColor="text1"/>
          <w:sz w:val="16"/>
          <w:szCs w:val="16"/>
        </w:rPr>
        <w:noBreakHyphen/>
        <w:t>мм УД [в] 1931 г. выходы были 5,8 стакана, [в] 1932 г. — 7,6 стакана, увеличение на 30%.</w:t>
      </w:r>
    </w:p>
    <w:p w14:paraId="1ECF30F0"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14) Завод № 65: дано 107</w:t>
      </w:r>
      <w:r w:rsidRPr="00C33834">
        <w:rPr>
          <w:color w:val="000000" w:themeColor="text1"/>
          <w:sz w:val="16"/>
          <w:szCs w:val="16"/>
        </w:rPr>
        <w:noBreakHyphen/>
        <w:t>мм мин Стокса методом холодной вытяжки из листа вместо дорогостоящих труб. Экономия металла — десятки тысяч тонн металла.</w:t>
      </w:r>
    </w:p>
    <w:p w14:paraId="0D951D10"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15) Проработан вопрос перехода производства противогаза с белой жести на черную жесть. Результат — экономия 17 кг олова на тысячу противогазов. Валовой выпуск за 1932 г. в отношении отчета 1931 г. составляет 157,5%, в том числе по военной — 186,7%, по мирной — 131,7%, по опытным работам — 354,7%, и при увеличении общего подъема выпуска прирост незавершенного производства снизился в сравнении с 1931 г. до 88,5%. Особенно трест считает необходимым отметить значительный рост по опытным работам. По количеству выданных объектов по опытным работам около 5% приходится на долю мелкокалиберной артиллерии, т. е. 20, 25, 37 и 45 мм, 50% на средние калибры 75 и 76 мм и 10% на калибры свыше 76 мм (см. приложение)...⁴*</w:t>
      </w:r>
    </w:p>
    <w:p w14:paraId="2C88B94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II. По труду</w:t>
      </w:r>
    </w:p>
    <w:p w14:paraId="14393ADB"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А. Рабочая сила</w:t>
      </w:r>
    </w:p>
    <w:p w14:paraId="72939768"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Численность рабочей силы и других категорий работающих на заводах Снарядного треста в течение 1932 г. по сравнению с планом на 1932 г. и отчетом за 1932 г. характеризуется в основном следующей таблицей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06"/>
        <w:gridCol w:w="804"/>
        <w:gridCol w:w="804"/>
        <w:gridCol w:w="804"/>
        <w:gridCol w:w="1002"/>
        <w:gridCol w:w="1002"/>
      </w:tblGrid>
      <w:tr w:rsidR="00F26F01" w:rsidRPr="00C33834" w14:paraId="27B1658A"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24654C"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ED97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Отчет</w:t>
            </w:r>
          </w:p>
          <w:p w14:paraId="59F9A7A9"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1DAC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w:t>
            </w:r>
          </w:p>
          <w:p w14:paraId="31530313"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9B044"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Отчет</w:t>
            </w:r>
          </w:p>
          <w:p w14:paraId="00DBFBAC"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2963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w:t>
            </w:r>
          </w:p>
          <w:p w14:paraId="055A176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F76D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w:t>
            </w:r>
          </w:p>
          <w:p w14:paraId="59BFA1DC"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плану</w:t>
            </w:r>
          </w:p>
        </w:tc>
      </w:tr>
      <w:tr w:rsidR="00F26F01" w:rsidRPr="00C33834" w14:paraId="11E72907"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91393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Среднесуточное списочное число кадровых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C19B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45B0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40 855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5D11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31 348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28717"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5583F"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76,7</w:t>
            </w:r>
          </w:p>
        </w:tc>
      </w:tr>
      <w:tr w:rsidR="00F26F01" w:rsidRPr="00C33834" w14:paraId="51C10AC7"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1DB799"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Среднесписочное число рабочих, обученных на производстве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9626A"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163D6"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FCEB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A8213"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CD7D6"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82,5</w:t>
            </w:r>
          </w:p>
        </w:tc>
      </w:tr>
      <w:tr w:rsidR="00F26F01" w:rsidRPr="00C33834" w14:paraId="3CA8ADE5"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C74C8E"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Среднесписочное число учеников, ФЗУ, ШУМП и др.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0E2BC"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74FF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29DF4"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4377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26577"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B7F8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69,3</w:t>
            </w:r>
          </w:p>
        </w:tc>
      </w:tr>
      <w:tr w:rsidR="00F26F01" w:rsidRPr="00C33834" w14:paraId="000E9F1D"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23FF17"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DD81E"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8CAA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3DECE"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1846</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7792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E96DF"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113,3</w:t>
            </w:r>
          </w:p>
        </w:tc>
      </w:tr>
    </w:tbl>
    <w:p w14:paraId="4BFAD48E"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Из сопоставления процентного выполнения плана в части рабочей силы с процентным выполнением производственной программы видно, что в течение 1932 г. на заводах Снарядного треста имел место перебор рабочей силы, в особенности в части взрослого ученичества и младшего обслуживающего персонала. Приводя к сравнению с выполнением производственной программы, излишек кадровых рабочих определяется в 21%, взрослого ученичества в 30%, по МОП — 79%. Если же ввести в эти расчеты корректив, применяемый ВЦСПС, т. е. на 1% программы, недовыполнения программы — 0,6% недобора рабсилы, то в среднем за 1932 г. по Снарядному тресту перебора не будет.</w:t>
      </w:r>
    </w:p>
    <w:p w14:paraId="70B92E31"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Подобное положение с рабочей силой создалось благодаря тому, что на заводах не было уделено достаточного внимания правильному использованию рабочей силы, но главным образом вследствие того, что создавшееся в 1932 г. положение на заводах со снабжением, когда заводы, имея в своем распоряжении материальные фонды и со дня на день ожидая поступления материалов, не считали возможным увольнять рабочую силу, и задерживали ее для обеспечения разворота производства по получении материалов.</w:t>
      </w:r>
    </w:p>
    <w:p w14:paraId="0B2DF6C7"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Особенно это явление было характерно для заводов № 65, 70, 77, 67. Кроме того до III квартала 1932 г. положение на рынке труда оставалось напряженным, в особенности в районе Уральской группы заводов, и опасаясь не обеспечить производственное задание рабочей силой, заводы использовали наличную рабочую силу не на производстве, а на дворовых и других работах, предоставляли им долгосрочные отпуска без содержания, числя их в списочном составе рабочих. И только в IV квартале, когда окончательно выявилась перспектива 1932 г., было проведено резкое сокращение рабсилы.</w:t>
      </w:r>
    </w:p>
    <w:p w14:paraId="7D60F633"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Динамика излишка рабсилы в сравнении с процентом выполнения по кварталам следующая: I квартал — 15%, II — 37,3%, III — 50% и IV квартал — 23,9%. В части же излишка по младшему обслуживающему персоналу, то он объясняется исключительно недостаточным вниманием заводов к этому участку. Число служащих в 1932 г. составило 99,1% к плану и 142,6% к отчету за 1931 г. Динамика соотношения ИТР и счетно-конторского персонала по отношению к количеству рабочих представляется в следующем виде:</w:t>
      </w:r>
    </w:p>
    <w:p w14:paraId="0BD1EE6D" w14:textId="77777777" w:rsidR="00C523F8" w:rsidRPr="00C33834" w:rsidRDefault="00C523F8" w:rsidP="00C33834">
      <w:pPr>
        <w:pStyle w:val="ae"/>
        <w:spacing w:before="0" w:after="0"/>
        <w:jc w:val="both"/>
        <w:rPr>
          <w:color w:val="000000" w:themeColor="text1"/>
          <w:sz w:val="16"/>
          <w:szCs w:val="16"/>
        </w:rPr>
      </w:pPr>
      <w:r w:rsidRPr="00C33834">
        <w:rPr>
          <w:rStyle w:val="a7"/>
          <w:rFonts w:eastAsiaTheme="majorEastAsia"/>
          <w:b w:val="0"/>
          <w:color w:val="000000" w:themeColor="text1"/>
          <w:sz w:val="16"/>
          <w:szCs w:val="16"/>
        </w:rPr>
        <w:t>1932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15"/>
        <w:gridCol w:w="1066"/>
        <w:gridCol w:w="1196"/>
        <w:gridCol w:w="1196"/>
        <w:gridCol w:w="1196"/>
        <w:gridCol w:w="1196"/>
        <w:gridCol w:w="1067"/>
        <w:gridCol w:w="1490"/>
      </w:tblGrid>
      <w:tr w:rsidR="00F26F01" w:rsidRPr="00C33834" w14:paraId="42395F35"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B494A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7A855"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17A4E"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w:t>
            </w:r>
          </w:p>
          <w:p w14:paraId="7E7DC95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2FC7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w:t>
            </w:r>
          </w:p>
          <w:p w14:paraId="19BCD2BA"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CED74"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III</w:t>
            </w:r>
          </w:p>
          <w:p w14:paraId="4B5E6AB5"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08D6E"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IV</w:t>
            </w:r>
          </w:p>
          <w:p w14:paraId="61AE691C"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3413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90437"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ПФП</w:t>
            </w:r>
          </w:p>
          <w:p w14:paraId="74537EEE"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1932 г.</w:t>
            </w:r>
          </w:p>
        </w:tc>
      </w:tr>
      <w:tr w:rsidR="00F26F01" w:rsidRPr="00C33834" w14:paraId="5D89F882"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0639B7"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0E39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71375"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24AE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0E3E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4CAAC"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FFE94"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6424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w:t>
            </w:r>
          </w:p>
        </w:tc>
      </w:tr>
      <w:tr w:rsidR="00F26F01" w:rsidRPr="00C33834" w14:paraId="5581C07B"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0F7516"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Счетно</w:t>
            </w:r>
            <w:r w:rsidRPr="00C33834">
              <w:rPr>
                <w:rFonts w:ascii="Times New Roman" w:hAnsi="Times New Roman"/>
                <w:color w:val="000000" w:themeColor="text1"/>
                <w:sz w:val="16"/>
                <w:szCs w:val="16"/>
              </w:rPr>
              <w:noBreakHyphen/>
              <w:t>конторские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B8903"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3FE85"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82AA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8350F"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860BC"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3CF7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9A593"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w:t>
            </w:r>
          </w:p>
        </w:tc>
      </w:tr>
      <w:tr w:rsidR="00F26F01" w:rsidRPr="00C33834" w14:paraId="5604806D"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C224D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C5D77"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A86C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082D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92F93"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30BB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477B6"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18F55"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r>
    </w:tbl>
    <w:p w14:paraId="05BFB98E"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Из этих данных видно, что в 1932 г. значительно увеличилась обеспеченность заводов Снарядного треста в части ИТР как в процентном отношении к служащим, так и в абсолютном количестве: за 1931 г. — 2212 чел., в 1932 г. — 3200 чел., причем главным образом увеличение обеспеченностью ИТР шло за счет техников-практиков, количество которых увеличилось на 587 чел. Все же в основном вопрос с обеспеченностью заводов Снарядного треста инженерно-техническими работниками не теряет своей остроты, т. к. количество ИТР со специальным образованием составляет всего 23,7% от общего количества ИТР.</w:t>
      </w:r>
    </w:p>
    <w:p w14:paraId="273E3BE7"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Вместе с тем необходимо отметить, что в части счетно-конторского персонала и младшего обслуживающего персонала имеются большие излишки и превышение плановых лимитов по отношению к рабочим. Объясняется это главным образом слабой квалификацией счетно-конторского персонала и проводимому трестом в течение 1932 г. упорядочению постановки на заводах учетного дела.</w:t>
      </w:r>
    </w:p>
    <w:p w14:paraId="198CD30E"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Текучесть рабочей силы имела место в 1932 г. главным образом за счет малоквалифицированных и неквалифицированных рабочих. Квартальная динамика текучести представляется в следующем виде: I квартал — 20,7%, II квартал — 26,4%, III — 32,1% и IV квартал — 35,1%. Увеличение текучести III и IV кварталов объясняется тем, что согласно директивам треста, заводы, не задерживая уходящих рабочих, начали их сокращать для приведения в соответствие с лимитами. Основными причинами текучести являются: а) неудовлетворительные жилищные условия и бытовые на большинстве заводов треста; б) плохое снабжение продовольствием и предметами ширпотреба (особенно по Уральской группе заводов); в) погоня за более лучшим материальным обеспечением на окружающих заводах металлургии, каменноугольной промышленности и новостройках.</w:t>
      </w:r>
    </w:p>
    <w:p w14:paraId="4A897429"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Внедрение женского труда на производство шло пониженными темпами против проектировки плана. На начало 1932 г. процент женщин составлял 28,3 и на конец 1932 г. достиг 31,5% от общего количества рабочих против запроектированных по плану 40%. Рост числа женщин в абсолютных числах составил 762 чел. Недовыполнение в этой части объясняется отчасти недостаточным вниманием заводов и вовлечением женщин в производство, а с другой стороны тем, что при сокращении рабочих в конце 1932 г. таковое произведено за счет неквалифицированной рабсилы, большую часть которых составляли женщины.</w:t>
      </w:r>
    </w:p>
    <w:p w14:paraId="163A2BF4"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Б. Подготовка кадров</w:t>
      </w:r>
    </w:p>
    <w:p w14:paraId="50B4E810"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Для удовлетворения потребности заводов Снарядного треста в квалифицированной рабочей силе и младшем техперсонале трест располагает 6 техникумами (на заводах 63, 65, 67, 68, 72, 73, из них на заводах № 63, 68 и 73 сменные) с контингентом учащихся на 1 января 1933 г. 674 чел. и 9 школ ФЗУ при заводах № 63, 65, 67, 68, 70, 71, 72, 73 и 77 со средним годовым контингентом 4856 чел. Кроме того организована работа по повышению квалификации рабочих через дополнительное рабочее образование (ДРО) и дополнительное образование специалистов и заочное обучение.</w:t>
      </w:r>
    </w:p>
    <w:p w14:paraId="47377F09"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По линии организации техникумов трест должен был охватить учебой 1140 чел., план в этой части выполнен только на 49,6%. Недовыполнение плана объясняется: а) большим процентом отсева учащихся вследствие отзыва на производство и загруженности работой; б) слабой теоретической подготовкой, вследствие чего на Уральских заводах пришлось организовать подготовительные группы; в) текучестью рабсилы:</w:t>
      </w:r>
    </w:p>
    <w:p w14:paraId="37115237" w14:textId="77777777" w:rsidR="00C523F8" w:rsidRPr="00C33834" w:rsidRDefault="00C523F8" w:rsidP="00C33834">
      <w:pPr>
        <w:pStyle w:val="ae"/>
        <w:spacing w:before="0" w:after="0"/>
        <w:jc w:val="both"/>
        <w:rPr>
          <w:color w:val="000000" w:themeColor="text1"/>
          <w:sz w:val="16"/>
          <w:szCs w:val="16"/>
        </w:rPr>
      </w:pPr>
      <w:r w:rsidRPr="00C33834">
        <w:rPr>
          <w:rStyle w:val="a7"/>
          <w:rFonts w:eastAsiaTheme="majorEastAsia"/>
          <w:b w:val="0"/>
          <w:color w:val="000000" w:themeColor="text1"/>
          <w:sz w:val="16"/>
          <w:szCs w:val="16"/>
        </w:rPr>
        <w:t>Техникум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43"/>
        <w:gridCol w:w="1985"/>
        <w:gridCol w:w="1150"/>
        <w:gridCol w:w="1328"/>
        <w:gridCol w:w="1031"/>
        <w:gridCol w:w="1917"/>
        <w:gridCol w:w="1468"/>
      </w:tblGrid>
      <w:tr w:rsidR="00F26F01" w:rsidRPr="00C33834" w14:paraId="2CDE6C3C"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8BC89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w:t>
            </w:r>
          </w:p>
          <w:p w14:paraId="439A528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техникумов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D7F9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w:t>
            </w:r>
          </w:p>
          <w:p w14:paraId="27F5205F"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7A5CC"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028F3"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Выпуск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FC1B5"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Отсев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6F58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Состоит</w:t>
            </w:r>
          </w:p>
          <w:p w14:paraId="1BB6EFEE"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w:t>
            </w:r>
          </w:p>
          <w:p w14:paraId="541F2F7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BBB7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w:t>
            </w:r>
          </w:p>
          <w:p w14:paraId="7F02E37F"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отсева</w:t>
            </w:r>
          </w:p>
        </w:tc>
      </w:tr>
      <w:tr w:rsidR="00F26F01" w:rsidRPr="00C33834" w14:paraId="6A334B65"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EAFF4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F491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2CCBE"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57E5F"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DEB3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460D6"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3C7C3"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46,0</w:t>
            </w:r>
          </w:p>
        </w:tc>
      </w:tr>
      <w:tr w:rsidR="00F26F01" w:rsidRPr="00C33834" w14:paraId="7A56782E"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E04D7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7A32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B8E86"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785B9"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1B1E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3688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EBD7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r>
      <w:tr w:rsidR="00F26F01" w:rsidRPr="00C33834" w14:paraId="7769AC23"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4D7EA3"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00BD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3A5D3"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D849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569A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2233A"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E2477"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w:t>
            </w:r>
          </w:p>
        </w:tc>
      </w:tr>
      <w:tr w:rsidR="00F26F01" w:rsidRPr="00C33834" w14:paraId="27A944D0"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FDC2C9"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66D77"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23CE7"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75F7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6CB6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4E59C"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9734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52,0</w:t>
            </w:r>
          </w:p>
        </w:tc>
      </w:tr>
      <w:tr w:rsidR="00F26F01" w:rsidRPr="00C33834" w14:paraId="33C9AD16"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C1B25C"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4423F"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E4806"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DDF8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6081A"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1AC27"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644C9"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60,2</w:t>
            </w:r>
          </w:p>
        </w:tc>
      </w:tr>
      <w:tr w:rsidR="00F26F01" w:rsidRPr="00C33834" w14:paraId="35EDA38C"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01E534"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2EF47"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26C8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9787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03545"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85416"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E966C"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28,1</w:t>
            </w:r>
          </w:p>
        </w:tc>
      </w:tr>
      <w:tr w:rsidR="00F26F01" w:rsidRPr="00C33834" w14:paraId="774B1D87"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A8046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ED03E"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7C41A"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ACA4C"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FAFEF"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D33FF"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0A51E"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51,9</w:t>
            </w:r>
          </w:p>
        </w:tc>
      </w:tr>
    </w:tbl>
    <w:p w14:paraId="17B8B5A3"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В течение 1932 г. все техникумы готовили по одной специальности — холодная обработка металла, но с 1933 г. введена вторая специальность — горячая обработка (ковка и штамповка). Педагогическим персоналом техникумы обеспечены, за исключением преподавателей по обществоведению. Техникумы при заводах № 68 и 72 обеспечены своим помещением, остальные проводят занятия в помещениях ФЗУ и УПК. На содержание техникумов в 1932 г. было отпущено 210 200 руб. при средней норме стоимости обучения одного учащегося 279 руб. 10 коп. Фактический расход составил 203 700 руб. при стоимости одного учащегося 299 руб. 50 коп. Повышение расхода объясняется малочисленностью сменных групп, особенно утренних.</w:t>
      </w:r>
    </w:p>
    <w:p w14:paraId="241CEFC7"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По линии ФЗУ контингент учащихся на 1932 г. был установлен в 6313 чел., фактически среднегодовой контингент составил 4377 чел. Невыполнение плана объясняется: а) большим отсевом учащихся, в среднем 27,7%, вследствие текучести рабсилы и отсутствия общежитий; б) недостаточным оборудованием учебных мастерских (потребность 512 станков, наличие 295 станков); в) недостаточной емкостью школьных помещений; г) недостатком по Уральской группе заводов контингентов, имеющих подготовку на базе семилетки.</w:t>
      </w:r>
    </w:p>
    <w:p w14:paraId="05277CAA" w14:textId="77777777" w:rsidR="00C523F8" w:rsidRPr="00C33834" w:rsidRDefault="00C523F8" w:rsidP="00C33834">
      <w:pPr>
        <w:pStyle w:val="ae"/>
        <w:spacing w:before="0" w:after="0"/>
        <w:jc w:val="both"/>
        <w:rPr>
          <w:color w:val="000000" w:themeColor="text1"/>
          <w:sz w:val="16"/>
          <w:szCs w:val="16"/>
        </w:rPr>
      </w:pPr>
      <w:r w:rsidRPr="00C33834">
        <w:rPr>
          <w:rStyle w:val="a7"/>
          <w:rFonts w:eastAsiaTheme="majorEastAsia"/>
          <w:b w:val="0"/>
          <w:color w:val="000000" w:themeColor="text1"/>
          <w:sz w:val="16"/>
          <w:szCs w:val="16"/>
        </w:rPr>
        <w:t>Школы ФЗУ</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66"/>
        <w:gridCol w:w="1921"/>
        <w:gridCol w:w="1112"/>
        <w:gridCol w:w="1285"/>
        <w:gridCol w:w="1363"/>
        <w:gridCol w:w="1855"/>
        <w:gridCol w:w="1420"/>
      </w:tblGrid>
      <w:tr w:rsidR="00F26F01" w:rsidRPr="00C33834" w14:paraId="594A61B4"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E6314A"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w:t>
            </w:r>
          </w:p>
          <w:p w14:paraId="57FDD22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школ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4F093"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w:t>
            </w:r>
          </w:p>
          <w:p w14:paraId="043E044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6FF9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74D79"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Выпуск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3CEB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EC97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Состоит</w:t>
            </w:r>
          </w:p>
          <w:p w14:paraId="68843C96"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w:t>
            </w:r>
          </w:p>
          <w:p w14:paraId="34153C95"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1DDCC"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Процент</w:t>
            </w:r>
          </w:p>
          <w:p w14:paraId="0166A165"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отсева</w:t>
            </w:r>
          </w:p>
        </w:tc>
      </w:tr>
      <w:tr w:rsidR="00F26F01" w:rsidRPr="00C33834" w14:paraId="70B556F3"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931135"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7E2E3"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806FE"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100A9"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32AAF"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96CD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24CB4"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r>
      <w:tr w:rsidR="00F26F01" w:rsidRPr="00C33834" w14:paraId="1F7F6D40"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D5A60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E6CC6"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FBDE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3FAF7"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F9F3C"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CA1E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698</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C045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31,4</w:t>
            </w:r>
          </w:p>
        </w:tc>
      </w:tr>
      <w:tr w:rsidR="00F26F01" w:rsidRPr="00C33834" w14:paraId="036A942F"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8EFC73"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7BD9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02BD6"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E6125"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1AF5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F9F66"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2F84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w:t>
            </w:r>
          </w:p>
        </w:tc>
      </w:tr>
      <w:tr w:rsidR="00F26F01" w:rsidRPr="00C33834" w14:paraId="5BF711BF"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C375E4"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E62C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F3F1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2FE15"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A7174"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F328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13DA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20,4</w:t>
            </w:r>
          </w:p>
        </w:tc>
      </w:tr>
      <w:tr w:rsidR="00F26F01" w:rsidRPr="00C33834" w14:paraId="49183A45"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70C3A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F7DEA"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5E717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2EA93"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DB9E3"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0DA96"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E6AE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10,3</w:t>
            </w:r>
          </w:p>
        </w:tc>
      </w:tr>
      <w:tr w:rsidR="00F26F01" w:rsidRPr="00C33834" w14:paraId="6A5E3EBB"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8049C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C040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46AFA"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89CD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68BE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2BB13"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F6F5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23,5</w:t>
            </w:r>
          </w:p>
        </w:tc>
      </w:tr>
      <w:tr w:rsidR="00F26F01" w:rsidRPr="00C33834" w14:paraId="491AE2B3"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9970A3"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2FBD9"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49D7A"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A55DE"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D0BE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F5A9E"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418DF"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34,5</w:t>
            </w:r>
          </w:p>
        </w:tc>
      </w:tr>
      <w:tr w:rsidR="00F26F01" w:rsidRPr="00C33834" w14:paraId="4B19127D"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77D60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59AA3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32517"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2D6E6"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AECA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4A36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C46E9"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13,1</w:t>
            </w:r>
          </w:p>
        </w:tc>
      </w:tr>
      <w:tr w:rsidR="00F26F01" w:rsidRPr="00C33834" w14:paraId="59AA987A"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E727F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N9 76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41CEC"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6517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F2F5F"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928C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D3467"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0279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w:t>
            </w:r>
          </w:p>
        </w:tc>
      </w:tr>
      <w:tr w:rsidR="00F26F01" w:rsidRPr="00C33834" w14:paraId="55F9A13A"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A8600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7DE7A"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EDF8A"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281AF"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5D42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934F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0A153"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21,1</w:t>
            </w:r>
          </w:p>
        </w:tc>
      </w:tr>
      <w:tr w:rsidR="00F26F01" w:rsidRPr="00C33834" w14:paraId="53533F8E"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AB112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CEE6A"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320A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8F087"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02B8F"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3CF7C"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BAD47"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131A7694"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B9FE5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FC5BE"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1FE5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6194F"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5A1C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1496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CEE7F"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63A6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27,7</w:t>
            </w:r>
          </w:p>
        </w:tc>
      </w:tr>
    </w:tbl>
    <w:p w14:paraId="7943CF59"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Педагогическим персоналом ФЗУ обеспечены за исключением ФЗУ завода № 68 и 72. Смета расходов по содержанию ФЗУ на 1932 г. утверждена в сумме 1915 тыс. руб. при средней норме стоимости обучения одного учащегося 300 руб. Фактически израсходовано 2268 тыс. руб. при средней норме 365 руб. на теоретическую подготовку и 102 руб. на инструмент, амортизацию и прочие накладные цеховые расходы. На хозрасчет школы ФЗУ не переведены ввиду того, что большинство ФЗУ не имеет своих учебных мастерских, и учащиеся работают в цехах заводов.</w:t>
      </w:r>
    </w:p>
    <w:p w14:paraId="39768364"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По ДРО работа на заводах недостаточно налажена, без достаточной увязки с производством, благодаря чему при утвержденном контингенте в 12 157 чел. освоено только 4059 чел. Кроме неналаженности работы ДРО на невыполнение плана по ДРО повлияла текучесть рабочей силы, отсев 25,7%, общий подбор рабсилы по заводам против плана и недостаток помещений. Расходы по ДРО утверждены на 1932 г. в сумме 2123 тыс. руб. по средней норме на одного учащегося 174 руб. 60 коп., фактический расход составил 891 тыс. руб. при средней норме 219 руб.</w:t>
      </w:r>
    </w:p>
    <w:p w14:paraId="129B6920"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По дополнительному образованию специалистов намечено по плану 1932 г. охватить 1121 чел., фактически охвачено учебой 448 чел., по ФЗТК 1 концентр по плану 314 чел., фактически 138 чел., по заочному обучению по плану 900 чел., фактически 426 чел. Невыполнение плана по этим видам учебы объясняется недостаточным вниманием к этому делу, отсутствием преподавателей, а по заочному обучению — отсутствием консультационных пунктов и нерегулярной высылкой ПЗО материалов и рецензий. При утвержденной смете по ДОС в 492 тыс. руб. при средней норме 438 руб. 80 коп. фактически израсходовано 422 тыс. при средней норме 941 руб. 90 коп. Причины перерасхода заключаются в том, что [вместо] утвержденной по плану подготовки специалистов средней квалификации заводы ведут подготовку специалистов высшей квалификации, так, например, завод № 67 имеет договор с ВТА на 12 чел. по 1800 руб., с ФОН на 4 чел. по 3 тыс. руб., завод № 70 с институтом им. Лепсе на 20 чел., с ФОН на 11 чел., завод № 77 с ФОН на 6 чел. и т. д. Кроме того на филиалах вечерней Промакадемии обучается 21 чел. стоимостью 45 786 руб. в год. На 1 января 1933 г. имеются договоры на подготовку высшего технического персонала 88 чел., среднего техперсонала 179 чел., в филиалах вечерней Промакадемии 21 чел., ФОН 22 чел. и рабочих по заводу № 70 на курсах НИК и РТШ 318 чел.</w:t>
      </w:r>
    </w:p>
    <w:p w14:paraId="6F1CA346"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Режим работы</w:t>
      </w:r>
    </w:p>
    <w:p w14:paraId="38B0AC8A"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Все заводы Снарядного треста за исключением завода № 73 в течение 1932 г. работали на 7</w:t>
      </w:r>
      <w:r w:rsidRPr="00C33834">
        <w:rPr>
          <w:color w:val="000000" w:themeColor="text1"/>
          <w:sz w:val="16"/>
          <w:szCs w:val="16"/>
        </w:rPr>
        <w:noBreakHyphen/>
        <w:t>часовом рабочем дне. Завод № 73 переведен на 7</w:t>
      </w:r>
      <w:r w:rsidRPr="00C33834">
        <w:rPr>
          <w:color w:val="000000" w:themeColor="text1"/>
          <w:sz w:val="16"/>
          <w:szCs w:val="16"/>
        </w:rPr>
        <w:noBreakHyphen/>
        <w:t>часовой рабочий день с ноября 1932 г. при соответствующей подготовке к этому переводу. За краткостью срока результатов перевода завода № 73 на 7</w:t>
      </w:r>
      <w:r w:rsidRPr="00C33834">
        <w:rPr>
          <w:color w:val="000000" w:themeColor="text1"/>
          <w:sz w:val="16"/>
          <w:szCs w:val="16"/>
        </w:rPr>
        <w:noBreakHyphen/>
        <w:t>часовой рабочий день учесть не представляется возможным. Имевшие в течение 1932 г. на заводах перебои в снабжении, ломка производственных программ, излишки рабочей силы не могли не иметь отрицательного влияния на использование рабочего времени, и в результате использование рабочего времени выражается в следующем: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131"/>
        <w:gridCol w:w="753"/>
        <w:gridCol w:w="753"/>
        <w:gridCol w:w="753"/>
        <w:gridCol w:w="753"/>
        <w:gridCol w:w="671"/>
        <w:gridCol w:w="671"/>
        <w:gridCol w:w="837"/>
      </w:tblGrid>
      <w:tr w:rsidR="00F26F01" w:rsidRPr="00C33834" w14:paraId="05D57371"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D80A9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A2DC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w:t>
            </w:r>
          </w:p>
          <w:p w14:paraId="0259E6E9"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C290C"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w:t>
            </w:r>
          </w:p>
          <w:p w14:paraId="5DBF983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035B4"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III</w:t>
            </w:r>
          </w:p>
          <w:p w14:paraId="2C58F03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34B4F"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IV</w:t>
            </w:r>
          </w:p>
          <w:p w14:paraId="786D08C9"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9F7073A"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CE774"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82D8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w:t>
            </w:r>
          </w:p>
          <w:p w14:paraId="13E6519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1931 г.</w:t>
            </w:r>
          </w:p>
        </w:tc>
      </w:tr>
      <w:tr w:rsidR="00F26F01" w:rsidRPr="00C33834" w14:paraId="090FC93C"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BA5824"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Количество нормированных часов работы на 1 рабочего 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44FB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31C3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F143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6994E"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428B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1997,1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9E299"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6C85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51EDCB13"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A7B54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Фактическое количество часов работы на 1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30EC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465,6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AF741"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C6854"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B580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DB607"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1773,4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CF313"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5F326"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104</w:t>
            </w:r>
          </w:p>
        </w:tc>
      </w:tr>
      <w:tr w:rsidR="00F26F01" w:rsidRPr="00C33834" w14:paraId="046F7B3B"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9482A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 фактического количества часов работы к норме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5FA7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69C5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8B223"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6BE35"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BDAC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426B6"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DCC9D"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bl>
    <w:p w14:paraId="43D731E4"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Таким образом, кривая использования рабочего времени до III квартала резко идет вниз, и только в IV квартале после проведенного сокращения рабсилы и благодаря постановлению правительства о прогулах произошел перелом. Вместе с тем в среднем на год при невыполнении плана на 11,2% использование рабочего времени повысилось против отчета за 1931 г. на 4%.</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25"/>
        <w:gridCol w:w="778"/>
        <w:gridCol w:w="1001"/>
        <w:gridCol w:w="778"/>
        <w:gridCol w:w="970"/>
        <w:gridCol w:w="970"/>
      </w:tblGrid>
      <w:tr w:rsidR="00F26F01" w:rsidRPr="00C33834" w14:paraId="2D382F05"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A1DF2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AC784"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4DF75"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w:t>
            </w:r>
          </w:p>
          <w:p w14:paraId="5FBD5070"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3B6B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w:t>
            </w:r>
          </w:p>
          <w:p w14:paraId="7B45AF7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отчет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98DE6"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w:t>
            </w:r>
          </w:p>
          <w:p w14:paraId="5B757B6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50C303A"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w:t>
            </w:r>
          </w:p>
          <w:p w14:paraId="7FA30D0A"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плану</w:t>
            </w:r>
          </w:p>
        </w:tc>
      </w:tr>
      <w:tr w:rsidR="00F26F01" w:rsidRPr="00C33834" w14:paraId="1926AD62"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70AC5B"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Среднее на 1 рабочего число проработанных человеко-дней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0FB39"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27D37"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267,1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A9A12"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589D7"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5ED1F"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97,0</w:t>
            </w:r>
          </w:p>
        </w:tc>
      </w:tr>
      <w:tr w:rsidR="00F26F01" w:rsidRPr="00C33834" w14:paraId="560F5B11"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D64A63"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Средняя фактическая продолжительность рабочего дня в часах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0A43C"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97DC5"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ABE98"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E8065"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07EDA" w14:textId="77777777" w:rsidR="00C523F8" w:rsidRPr="00C33834" w:rsidRDefault="00C523F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97,6</w:t>
            </w:r>
          </w:p>
        </w:tc>
      </w:tr>
    </w:tbl>
    <w:p w14:paraId="26258E44"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Приведенное сопоставление среднего числа проработанных 1 кадровым рабочим человеко-дней и фактической продолжительности рабочего дня в часах показывают, что при невыполнении плана все же имеется рост против 1931 г. Невыполнение плана по использованию рабочей силы объясняется исключительно ослаблением трудовой дисциплины в течение первых этих трех кварталов 1932 г., причем наиболее плохим является III квартал. Прогулы составляют: в I квартале — 1,1%, II квартал — 1,2%, III квартал — 2,0%, IV квартал — 1,2%, в том числе октябрь — 1,7[%], ноябрь — 1,5[%], декабрь — 0,3[%], 1932 г. — 1,4%. Невыходы по уважительным причинам: в I квартале — 1,9%, во II квартале — 1,1%, в III квартале — 1,4%, в IV квартале — 1,2%, за год — 1,4%. Резкое снижение прогулов в IV квартале является результатом декрета от 16 сентября 1932 г., на основании которого по 8 заводам Снарядного треста было уволено 715 чел., из них квалифицированных — 86 чел.</w:t>
      </w:r>
    </w:p>
    <w:p w14:paraId="09CFA08C"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Потери рабочего времени вследствие отвлечения рабочих в рабочее время для исполнения общественных обязанностей составляют 0,8% и потери вследствие болезней — 5,1%. Неиспользованные простои рабсилы за весь год составили 1 472 007 час., или 2,6%, и оплачено за них 611 тыс. руб., или 1,5% к фонду. Поквартальная динамика простоев составляет: I квартал — 3,4%, II — 2,7%, III — 2,4% и IV — 2,1%. Основными причинами простоев являются: отсутствие материалов и полуфабрикатов — 0,7%, ремонт оборудования — 0,4%, отсутствие электроэнергии — 0,3%, отсутствие инструментов, приспособлений — 0,3%, отсутствие работы — 0,2%. Наряду с этим имело место применение сверхурочных часов в количестве 799 510 с оплатой за них 448 938 руб.</w:t>
      </w:r>
    </w:p>
    <w:p w14:paraId="7D4EC62A"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Г. Техническое нормирование</w:t>
      </w:r>
    </w:p>
    <w:p w14:paraId="52153903"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Процент сдельщины в среднем за 1932 г. составил 63% против 59,6% за 1931 г., причем в декабре 1932 г. процент сдельщины равен 68,7%. Охват технормированием в среднем по тресту составит 10%, повысившись с ...% в начале года до ...% к концу.⁵* То обстоятельство, что техническое нормирование на большинстве заводов все еще находится не на должной высоте находит себе объяснение в следующем: а) На абсолютном большинстве, а особенно на заводах Уральской группы, кадры работников по технормированию слабы в отношении квалификации. Громадное большинство нормировщиков не имеет теоретической подготовки и набраны из числа рабочих, иногда недостаточной квалификации. Кроме того по заводам № 71 и 73 заводской аппарат по технормированию слаб не только качественно, но и количественно, б) Не имея в большинстве своем необходимой теоретической подготовки, заводские аппараты по технормированию совершенно не вооружены необходимым инструментарием. Не приходится говорить о таких совершенных инструментах, как диогосдикеры, измерительные суппорты и т. д., но и такого инструмента, как счетчики оборотов, счетные линейки, хронометры, часы, секундомеры заводы если и имеют, то в недостаточном количестве.</w:t>
      </w:r>
    </w:p>
    <w:p w14:paraId="1338F665"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Следует признать, что до сего времени техперсонал все еще недооценивает значения технического нормирования в производстве. Проведенная на заводах реорганизация отделов экономики труда все еще не в полной мере связана техперсоналом с технормированием. Основным злом, сказавшимся на состоянии производительности труда и на целом ряде других вопросов состояния труда и связанных с работой по технормированию, является оторванность технического нормирования от оперативного цехового планирования (распределение работы)⁶*.</w:t>
      </w:r>
    </w:p>
    <w:p w14:paraId="0B512D0D" w14:textId="77777777" w:rsidR="00C523F8" w:rsidRPr="00C33834" w:rsidRDefault="00C523F8" w:rsidP="00C33834">
      <w:pPr>
        <w:pStyle w:val="ae"/>
        <w:spacing w:before="0" w:after="0"/>
        <w:jc w:val="both"/>
        <w:rPr>
          <w:color w:val="000000" w:themeColor="text1"/>
          <w:sz w:val="16"/>
          <w:szCs w:val="16"/>
        </w:rPr>
      </w:pPr>
      <w:r w:rsidRPr="00C33834">
        <w:rPr>
          <w:rStyle w:val="af0"/>
          <w:i w:val="0"/>
          <w:color w:val="000000" w:themeColor="text1"/>
          <w:sz w:val="16"/>
          <w:szCs w:val="16"/>
        </w:rPr>
        <w:t>Начальник Снарядного треста Урываев</w:t>
      </w:r>
    </w:p>
    <w:p w14:paraId="443A1394" w14:textId="77777777" w:rsidR="00C523F8" w:rsidRPr="00C33834" w:rsidRDefault="00C523F8" w:rsidP="00C33834">
      <w:pPr>
        <w:pStyle w:val="ae"/>
        <w:spacing w:before="0" w:after="0"/>
        <w:jc w:val="both"/>
        <w:rPr>
          <w:color w:val="000000" w:themeColor="text1"/>
          <w:sz w:val="16"/>
          <w:szCs w:val="16"/>
        </w:rPr>
      </w:pPr>
      <w:r w:rsidRPr="00C33834">
        <w:rPr>
          <w:rStyle w:val="af0"/>
          <w:i w:val="0"/>
          <w:color w:val="000000" w:themeColor="text1"/>
          <w:sz w:val="16"/>
          <w:szCs w:val="16"/>
        </w:rPr>
        <w:t>Главный бухгалтер Беловол</w:t>
      </w:r>
    </w:p>
    <w:p w14:paraId="030DF607" w14:textId="77777777" w:rsidR="00C523F8" w:rsidRPr="00C33834" w:rsidRDefault="00C523F8" w:rsidP="00C33834">
      <w:pPr>
        <w:pStyle w:val="ae"/>
        <w:spacing w:before="0" w:after="0"/>
        <w:jc w:val="both"/>
        <w:rPr>
          <w:color w:val="000000" w:themeColor="text1"/>
          <w:sz w:val="16"/>
          <w:szCs w:val="16"/>
        </w:rPr>
      </w:pPr>
      <w:r w:rsidRPr="00C33834">
        <w:rPr>
          <w:rStyle w:val="af0"/>
          <w:i w:val="0"/>
          <w:color w:val="000000" w:themeColor="text1"/>
          <w:sz w:val="16"/>
          <w:szCs w:val="16"/>
        </w:rPr>
        <w:t>Зам. начальника Планово-производственного сектора Синебрюхов</w:t>
      </w:r>
    </w:p>
    <w:p w14:paraId="49A4152D" w14:textId="77777777" w:rsidR="00C523F8" w:rsidRPr="00C33834" w:rsidRDefault="00C523F8"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Примечания</w:t>
      </w:r>
      <w:r w:rsidRPr="00C33834">
        <w:rPr>
          <w:color w:val="000000" w:themeColor="text1"/>
          <w:sz w:val="16"/>
          <w:szCs w:val="16"/>
        </w:rPr>
        <w:t>:</w:t>
      </w:r>
    </w:p>
    <w:p w14:paraId="36CD46C0"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¹* Так в тексте.</w:t>
      </w:r>
    </w:p>
    <w:p w14:paraId="7C2017B3"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² Так в тексте, в таблице — 45,0.</w:t>
      </w:r>
    </w:p>
    <w:p w14:paraId="763A3A11"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³* Так в тексте.</w:t>
      </w:r>
    </w:p>
    <w:p w14:paraId="32D28ABF"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⁴*Приложение не публикуется (см. там же, л. 7). Опущены сведения о распределении опытных заказов по заводам-исполнителям.</w:t>
      </w:r>
    </w:p>
    <w:p w14:paraId="5221A2DE"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t>⁵* Цифры в тексте не указаны.</w:t>
      </w:r>
    </w:p>
    <w:p w14:paraId="6F72048C" w14:textId="77777777" w:rsidR="00C523F8" w:rsidRPr="00C33834" w:rsidRDefault="00C523F8" w:rsidP="00C33834">
      <w:pPr>
        <w:pStyle w:val="rtejustify"/>
        <w:spacing w:before="0" w:after="0"/>
        <w:rPr>
          <w:color w:val="000000" w:themeColor="text1"/>
          <w:sz w:val="16"/>
          <w:szCs w:val="16"/>
        </w:rPr>
      </w:pPr>
      <w:r w:rsidRPr="00C33834">
        <w:rPr>
          <w:color w:val="000000" w:themeColor="text1"/>
          <w:sz w:val="16"/>
          <w:szCs w:val="16"/>
        </w:rPr>
        <w:lastRenderedPageBreak/>
        <w:t>⁶* Раздел «Д» в тексте отсутствует. Опущены разделы «Е. Заработная плата», «III. По себестоимости», «IV. По снабжению», «V. По сбыту», «VI. По рационализации», «VII. Топливо», «VIII. Финансы».</w:t>
      </w:r>
    </w:p>
    <w:p w14:paraId="04257044" w14:textId="77777777" w:rsidR="00C523F8" w:rsidRPr="00C33834" w:rsidRDefault="00C523F8" w:rsidP="00C33834">
      <w:pPr>
        <w:pStyle w:val="ae"/>
        <w:spacing w:before="0" w:after="0"/>
        <w:jc w:val="both"/>
        <w:rPr>
          <w:color w:val="000000" w:themeColor="text1"/>
          <w:sz w:val="16"/>
          <w:szCs w:val="16"/>
        </w:rPr>
      </w:pPr>
      <w:r w:rsidRPr="00C33834">
        <w:rPr>
          <w:color w:val="000000" w:themeColor="text1"/>
          <w:sz w:val="16"/>
          <w:szCs w:val="16"/>
        </w:rPr>
        <w:t>РГАЭ. Ф. 7915. Оп. 1. Д. 12. Л. 1-6, 9-17. Подлинник (15258).</w:t>
      </w:r>
    </w:p>
    <w:p w14:paraId="2B50887E" w14:textId="77777777" w:rsidR="00C523F8" w:rsidRPr="00C33834" w:rsidRDefault="00C523F8" w:rsidP="00C33834">
      <w:pPr>
        <w:autoSpaceDE w:val="0"/>
        <w:autoSpaceDN w:val="0"/>
        <w:adjustRightInd w:val="0"/>
        <w:spacing w:after="0" w:line="240" w:lineRule="auto"/>
        <w:jc w:val="both"/>
        <w:rPr>
          <w:rFonts w:ascii="Times New Roman" w:hAnsi="Times New Roman"/>
          <w:color w:val="000000" w:themeColor="text1"/>
          <w:sz w:val="16"/>
          <w:szCs w:val="16"/>
        </w:rPr>
      </w:pPr>
    </w:p>
    <w:p w14:paraId="4B910E8F"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марта 1933 военный атташе Германии в Москве фон Гартман докладывал "Промышленность страны (СССР) еще не в состоянии удовлетворить самые необходимые массовые потребности...Я также не разделяю мнения, что КА в состоянии вести оборонительную войну против любого противника..."</w:t>
      </w:r>
    </w:p>
    <w:p w14:paraId="16E8540D"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lang w:val="en-US"/>
        </w:rPr>
      </w:pPr>
      <w:r w:rsidRPr="00C33834">
        <w:rPr>
          <w:rFonts w:ascii="Times New Roman" w:hAnsi="Times New Roman"/>
          <w:color w:val="000000" w:themeColor="text1"/>
          <w:sz w:val="16"/>
          <w:szCs w:val="16"/>
          <w:lang w:val="en-US"/>
        </w:rPr>
        <w:t>March 27 1933 Japan leaves League of Nations (1037).</w:t>
      </w:r>
    </w:p>
    <w:p w14:paraId="69ED30DD" w14:textId="77777777" w:rsidR="002401AD" w:rsidRPr="00C33834" w:rsidRDefault="002401AD"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lang w:val="en-US"/>
        </w:rPr>
      </w:pPr>
    </w:p>
    <w:p w14:paraId="4B788CB0" w14:textId="77777777" w:rsidR="002401AD"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6ABA262F" w14:textId="77777777" w:rsidR="002401AD" w:rsidRPr="00C33834" w:rsidRDefault="002401AD"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257C8A6"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марта 1933 г. Президиум ЦИК ССР своим постановлением предложил всем судебно-прокурорским органам не ослаблять борьбы с хищением общественной собственности, применяя в отношении классово враждебных элементов и их агентуры наиболее суровые меры репрессий, предусмотренных постановлением ЦИК и СНК СССР от 7 августа 1932 г."Об охране имущества государственных предприятий, колхозов и кооперации и укреплении общественной (социалистической) собственности" (11652).</w:t>
      </w:r>
    </w:p>
    <w:p w14:paraId="7CB9272C"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p>
    <w:p w14:paraId="6620BCE5" w14:textId="77777777" w:rsidR="00040C94" w:rsidRPr="00C33834" w:rsidRDefault="00040C94"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10FB7BFB" w14:textId="77777777" w:rsidR="00040C94" w:rsidRPr="00C33834" w:rsidRDefault="00040C9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ACFF70C" w14:textId="77777777" w:rsidR="00040C94" w:rsidRPr="00C33834" w:rsidRDefault="00040C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марта 1933 г. германский военный атташе в Советском Союзе полковник Гартман сообщал в Берлин: "...ценность армии должна быть признана относительно высокой, тем более что она находится в процессе дальнейшей консолидации". Вместе с тем он отмечал, что "промышленность страны еще не в состоянии удовлетворить самые необходимые массовые потребности. &lt;...&gt; Совершенно исключается возможность полного или частичного удовлетворения всем необходимым мобилизованной армии. &lt;...&gt; Я также не разделяю мнения, что Красная Армия в состоянии вести оборонительную войну против любого противника, потому что общее положение и состояние страны не позволяют армии развернуть все необходимые силы (например, на Дальнем Востоке)" (18390).</w:t>
      </w:r>
    </w:p>
    <w:p w14:paraId="374536F1" w14:textId="77777777" w:rsidR="00040C94" w:rsidRPr="00C33834" w:rsidRDefault="00040C94" w:rsidP="00C33834">
      <w:pPr>
        <w:spacing w:after="0" w:line="240" w:lineRule="auto"/>
        <w:jc w:val="both"/>
        <w:rPr>
          <w:rFonts w:ascii="Times New Roman" w:hAnsi="Times New Roman"/>
          <w:color w:val="000000" w:themeColor="text1"/>
          <w:sz w:val="16"/>
          <w:szCs w:val="16"/>
        </w:rPr>
      </w:pPr>
    </w:p>
    <w:p w14:paraId="75597C23" w14:textId="77777777" w:rsidR="002401AD"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4FC3A96"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p>
    <w:p w14:paraId="5B60474F"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марта 1933 Япония вышла из Лиги наций (1037).</w:t>
      </w:r>
    </w:p>
    <w:p w14:paraId="179C9218"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p>
    <w:p w14:paraId="6C9D67E0" w14:textId="77777777" w:rsidR="00A0257D" w:rsidRPr="00C33834" w:rsidRDefault="00A0257D"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27 марта</w:t>
      </w:r>
      <w:r w:rsidRPr="00C33834">
        <w:rPr>
          <w:rFonts w:ascii="Times New Roman" w:hAnsi="Times New Roman"/>
          <w:color w:val="000000" w:themeColor="text1"/>
          <w:sz w:val="16"/>
          <w:szCs w:val="16"/>
        </w:rPr>
        <w:t xml:space="preserve"> в 1933 году Япония объявляет о выходе из Лиги Наций (решение вступает в силу в 1935 г.) (15081).</w:t>
      </w:r>
    </w:p>
    <w:p w14:paraId="6DA6EF50" w14:textId="77777777" w:rsidR="00A0257D" w:rsidRPr="00C33834" w:rsidRDefault="00A0257D" w:rsidP="00C33834">
      <w:pPr>
        <w:spacing w:after="0" w:line="240" w:lineRule="auto"/>
        <w:jc w:val="both"/>
        <w:rPr>
          <w:rFonts w:ascii="Times New Roman" w:hAnsi="Times New Roman"/>
          <w:color w:val="000000" w:themeColor="text1"/>
          <w:sz w:val="16"/>
          <w:szCs w:val="16"/>
        </w:rPr>
      </w:pPr>
    </w:p>
    <w:p w14:paraId="3837C27B" w14:textId="77777777" w:rsidR="00A0257D" w:rsidRPr="00C33834" w:rsidRDefault="00A0257D"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27 марта</w:t>
      </w:r>
      <w:r w:rsidRPr="00C33834">
        <w:rPr>
          <w:rFonts w:ascii="Times New Roman" w:hAnsi="Times New Roman"/>
          <w:color w:val="000000" w:themeColor="text1"/>
          <w:sz w:val="16"/>
          <w:szCs w:val="16"/>
        </w:rPr>
        <w:t xml:space="preserve"> в 1933 году Реджинальд Гибсон и Эрик Уильям Фасет синтезируют полиэтилен (15081).</w:t>
      </w:r>
    </w:p>
    <w:p w14:paraId="4E2CAA3F" w14:textId="77777777" w:rsidR="00A0257D" w:rsidRPr="00C33834" w:rsidRDefault="00A0257D" w:rsidP="00C33834">
      <w:pPr>
        <w:spacing w:after="0" w:line="240" w:lineRule="auto"/>
        <w:jc w:val="both"/>
        <w:rPr>
          <w:rFonts w:ascii="Times New Roman" w:hAnsi="Times New Roman"/>
          <w:color w:val="000000" w:themeColor="text1"/>
          <w:sz w:val="16"/>
          <w:szCs w:val="16"/>
        </w:rPr>
      </w:pPr>
    </w:p>
    <w:p w14:paraId="228C0A41" w14:textId="77777777" w:rsidR="002401AD"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1723182" w14:textId="77777777" w:rsidR="002401AD" w:rsidRPr="00C33834" w:rsidRDefault="002401AD"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4E23685"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марта 1933 состоялось совещание у А.Н.Т. о ходе работ по ТБ-4 опытному (1077,177).</w:t>
      </w:r>
    </w:p>
    <w:p w14:paraId="3552748B"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p>
    <w:p w14:paraId="374DC560"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марта 1933 г. состоялась установка мотора на самолет И-14; 10 марта 1933 был полностью собран фюзеляж И-14; 21 апреля установили шасси (правда, без подъемного механизма - его не успели довести в срок); 16 апреля 1933 г. сдали центроплан И-14; консоли крыла сдали 25 апреля 1933 г. (12037).</w:t>
      </w:r>
    </w:p>
    <w:p w14:paraId="3D99B54A"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p>
    <w:p w14:paraId="4CCCA150"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марта 1933 Зам. Нач. ВИ НК РКИ УССР инспектор Бережной писал письмо ГУАП:</w:t>
      </w:r>
    </w:p>
    <w:p w14:paraId="61555433"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 НК РКУ препровождает постановление N 15/11 Суженного Президиума ЦКК - Коллегии НК РКИ УССР от 16 февраля 1933 о состоянии ХАЗ (2302,79).</w:t>
      </w:r>
    </w:p>
    <w:p w14:paraId="218C1613"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p>
    <w:p w14:paraId="16379FCF"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марта 1933 в 6 часов утра умер Ф.А.Цандер (1856,175).</w:t>
      </w:r>
    </w:p>
    <w:p w14:paraId="6EFA97EC"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p>
    <w:p w14:paraId="1EA31CC4" w14:textId="77777777" w:rsidR="002401AD"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293518F" w14:textId="77777777" w:rsidR="002401AD" w:rsidRPr="00C33834" w:rsidRDefault="002401AD"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8ACCA4C" w14:textId="77777777" w:rsidR="00A0257D" w:rsidRPr="00C33834" w:rsidRDefault="00A0257D" w:rsidP="00C33834">
      <w:pPr>
        <w:pStyle w:val="rtejustify"/>
        <w:spacing w:before="0" w:after="0"/>
        <w:rPr>
          <w:color w:val="000000" w:themeColor="text1"/>
          <w:sz w:val="16"/>
          <w:szCs w:val="16"/>
        </w:rPr>
      </w:pPr>
      <w:r w:rsidRPr="00C33834">
        <w:rPr>
          <w:rStyle w:val="af0"/>
          <w:bCs/>
          <w:i w:val="0"/>
          <w:color w:val="000000" w:themeColor="text1"/>
          <w:sz w:val="16"/>
          <w:szCs w:val="16"/>
        </w:rPr>
        <w:t>28 марта</w:t>
      </w:r>
      <w:r w:rsidRPr="00C33834">
        <w:rPr>
          <w:rStyle w:val="af0"/>
          <w:rFonts w:eastAsiaTheme="majorEastAsia"/>
          <w:bCs/>
          <w:i w:val="0"/>
          <w:color w:val="000000" w:themeColor="text1"/>
          <w:sz w:val="16"/>
          <w:szCs w:val="16"/>
        </w:rPr>
        <w:t xml:space="preserve"> 1933</w:t>
      </w:r>
      <w:r w:rsidRPr="00C33834">
        <w:rPr>
          <w:color w:val="000000" w:themeColor="text1"/>
          <w:sz w:val="16"/>
          <w:szCs w:val="16"/>
        </w:rPr>
        <w:t>. Постановление РВСС «О железных патронных гильзах». (РГВА. Ф. 4. Оп. 18. Д. 23. Л. 111</w:t>
      </w:r>
      <w:r w:rsidRPr="00C33834">
        <w:rPr>
          <w:color w:val="000000" w:themeColor="text1"/>
          <w:sz w:val="16"/>
          <w:szCs w:val="16"/>
        </w:rPr>
        <w:noBreakHyphen/>
        <w:t>113) (15461).</w:t>
      </w:r>
    </w:p>
    <w:p w14:paraId="37D97617" w14:textId="77777777" w:rsidR="00A0257D" w:rsidRPr="00C33834" w:rsidRDefault="00A0257D" w:rsidP="00C33834">
      <w:pPr>
        <w:pStyle w:val="rtejustify"/>
        <w:spacing w:before="0" w:after="0"/>
        <w:rPr>
          <w:rStyle w:val="af0"/>
          <w:bCs/>
          <w:i w:val="0"/>
          <w:color w:val="000000" w:themeColor="text1"/>
          <w:sz w:val="16"/>
          <w:szCs w:val="16"/>
        </w:rPr>
      </w:pPr>
    </w:p>
    <w:p w14:paraId="2C9417D7" w14:textId="77777777" w:rsidR="00A0257D" w:rsidRPr="00C33834" w:rsidRDefault="00A0257D" w:rsidP="00C33834">
      <w:pPr>
        <w:pStyle w:val="rtejustify"/>
        <w:spacing w:before="0" w:after="0"/>
        <w:rPr>
          <w:color w:val="000000" w:themeColor="text1"/>
          <w:sz w:val="16"/>
          <w:szCs w:val="16"/>
        </w:rPr>
      </w:pPr>
      <w:r w:rsidRPr="00C33834">
        <w:rPr>
          <w:rStyle w:val="af0"/>
          <w:bCs/>
          <w:i w:val="0"/>
          <w:color w:val="000000" w:themeColor="text1"/>
          <w:sz w:val="16"/>
          <w:szCs w:val="16"/>
        </w:rPr>
        <w:t>28 марта</w:t>
      </w:r>
      <w:r w:rsidRPr="00C33834">
        <w:rPr>
          <w:color w:val="000000" w:themeColor="text1"/>
          <w:sz w:val="16"/>
          <w:szCs w:val="16"/>
        </w:rPr>
        <w:t xml:space="preserve"> 1933. Постановление СТО СССР № 9сс/о «Об ускорении строительства спецзаводов Главэнергопрома». (ГА РФ. Ф. Р</w:t>
      </w:r>
      <w:r w:rsidRPr="00C33834">
        <w:rPr>
          <w:color w:val="000000" w:themeColor="text1"/>
          <w:sz w:val="16"/>
          <w:szCs w:val="16"/>
        </w:rPr>
        <w:noBreakHyphen/>
        <w:t>8418. Оп. 28. Д. 1. Л. 91</w:t>
      </w:r>
      <w:r w:rsidRPr="00C33834">
        <w:rPr>
          <w:color w:val="000000" w:themeColor="text1"/>
          <w:sz w:val="16"/>
          <w:szCs w:val="16"/>
        </w:rPr>
        <w:noBreakHyphen/>
        <w:t>93) (15460).</w:t>
      </w:r>
    </w:p>
    <w:p w14:paraId="48635185" w14:textId="77777777" w:rsidR="00A0257D" w:rsidRPr="00C33834" w:rsidRDefault="00A0257D" w:rsidP="00C33834">
      <w:pPr>
        <w:pStyle w:val="rtejustify"/>
        <w:spacing w:before="0" w:after="0"/>
        <w:rPr>
          <w:color w:val="000000" w:themeColor="text1"/>
          <w:sz w:val="16"/>
          <w:szCs w:val="16"/>
        </w:rPr>
      </w:pPr>
    </w:p>
    <w:p w14:paraId="253B40EC" w14:textId="77777777" w:rsidR="00A0257D" w:rsidRPr="00C33834" w:rsidRDefault="00A0257D" w:rsidP="00C33834">
      <w:pPr>
        <w:pStyle w:val="rtejustify"/>
        <w:spacing w:before="0" w:after="0"/>
        <w:rPr>
          <w:color w:val="000000" w:themeColor="text1"/>
          <w:sz w:val="16"/>
          <w:szCs w:val="16"/>
        </w:rPr>
      </w:pPr>
      <w:r w:rsidRPr="00C33834">
        <w:rPr>
          <w:rStyle w:val="af0"/>
          <w:bCs/>
          <w:i w:val="0"/>
          <w:color w:val="000000" w:themeColor="text1"/>
          <w:sz w:val="16"/>
          <w:szCs w:val="16"/>
        </w:rPr>
        <w:t>28 марта</w:t>
      </w:r>
      <w:r w:rsidRPr="00C33834">
        <w:rPr>
          <w:color w:val="000000" w:themeColor="text1"/>
          <w:sz w:val="16"/>
          <w:szCs w:val="16"/>
        </w:rPr>
        <w:t xml:space="preserve"> 1933. Постановление СТО СССР № 10сс/о «О позаимствовании из фондов Нефтеэкспорта 600 т горючего для удовлетворения нужд ОКДВА». (ГА РФ. Ф. Р</w:t>
      </w:r>
      <w:r w:rsidRPr="00C33834">
        <w:rPr>
          <w:color w:val="000000" w:themeColor="text1"/>
          <w:sz w:val="16"/>
          <w:szCs w:val="16"/>
        </w:rPr>
        <w:noBreakHyphen/>
        <w:t>8418. Оп. 28. Д. 1. Л. 94) (15460).</w:t>
      </w:r>
    </w:p>
    <w:p w14:paraId="6D365CE6" w14:textId="77777777" w:rsidR="00A0257D" w:rsidRPr="00C33834" w:rsidRDefault="00A0257D" w:rsidP="00C33834">
      <w:pPr>
        <w:pStyle w:val="rtejustify"/>
        <w:spacing w:before="0" w:after="0"/>
        <w:rPr>
          <w:color w:val="000000" w:themeColor="text1"/>
          <w:sz w:val="16"/>
          <w:szCs w:val="16"/>
        </w:rPr>
      </w:pPr>
    </w:p>
    <w:p w14:paraId="5996C21D"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марта 1933 г. комбинат № 2 (Завод № 102 НКТП, НКОП, НКХП, Завод Ушкова, Завод «Бертолетова соль» («Берсоль»), АО «Метахим», АО «Берсоль», Завод № 1 ВСНХ, комбинат № 2 ВСНХ, Завод № 6 ВСНХ, НКТП, Чапаевский завод химических удобрений (ЧЗХУ), Средневолжский завод химикатов (СВЗХ), АООТ, ОАО «СВЗХ» /г. Иващенково,  г. Троцк,  г. Чапаевск Куйбышевской, Самарской обл. п/я 2 (1930 г.)/ /446102  г. Чапаевск Самарской обл. ул. Орджоникидзе, 1/) был выделен из состава комбината № 15 и переименован в завод № 102 НКТП. В 12.1936 г. из Главоргхимпрома НКТП передан в НКОП. Приказом № 107 от 21.03.1937 г. утвержден Устав ГС завода № 102 6ГУ НКОП. В соответствии с пост. СНК № 1960-390сс от 5.11.1936 г. и пр. № 068 от 2.04.1937 г. завод переведен в группу особо режимных предприятий, в 12.1938 г. - в ведении 6ГУ. Далее - в НКХП.</w:t>
      </w:r>
    </w:p>
    <w:p w14:paraId="07A1B55F"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1930 г. начат выпуск иприта (в 1934 г. выпущено 591,5 т.). Приказом № 0022 от 3.02.1937 г. заводу предписано к 1.01.1938 г. закончить реконструкцию: цехов по производству веществ № 6, № 10 и № 25 и хлорного завода, снаряжательного, станции сжижения хлора; создать мощности по выпуску: вещества № 6 (иприт) - 9500 т в год, вещества № 17 - 700 т, вещества № 25 - 2500 т, хлор-газа - 16,5 тыс. т; снаряжению химснарядов. К концу 1930-х  г. производственные мощности по иприту составляли И тысяч т. в год, по люизиту- 4.000 т. в год. Для освоения производства новых ОВ и их снаряжения в аэрохимбомбы по пр. № 347сс от 1.09.1938 г. заводу были поставлены корпуса ХАБ-25-Р и ХАБ-1000.</w:t>
      </w:r>
    </w:p>
    <w:p w14:paraId="61B7A107"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Иприт производился в цехе № 4 в 1941-43 г. (мощности разрушены в 1957 г.). Цех № 7 (корпус № 43)- производство люизита в годы ВОВ (мощности сохранялись вплоть до 1988 г.), № 26- треххлористого мышьяка. Корпус № 3 для приготовления вязких рецептур люизита не был введен в строй (в 1973 г. оборудование демонтировано). Корпус № 4 до 1945 г. использовался как приемный склад боеприпасов перед снаряжением (все оборудование корпуса демонтировано и уничтожено в 1957 г.). Корпус № 9- снаряжение боеприпасов смесью иприта и люизита. Цех № 54- иприт-люизитные смеси, цеха № 5, 52, 53, 55- снаряжательные (в 1945 г. снаряжательное производство остановлено; в 1957 г. демонтировано оборудование, трубопроводы, уничтожены некоторые специфические элементы здания, включая вентиляционную трубу; часть мощностей уничтожена в 1988 г., остальные переведены на гражданскую продукцию). Цех № 6- производство фосгена в 1941-45 г. (мощность- 2.000 т. в год).</w:t>
      </w:r>
    </w:p>
    <w:p w14:paraId="5CA96721"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 ГКО № 3455 от 31.05.1943 г. заводу выделено 500 чел. военнообязанных для работы с ОВ.</w:t>
      </w:r>
    </w:p>
    <w:p w14:paraId="69E631CE"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Сюда в 1945 г. из Германии вывезено оборудование химзаводов. 4.09.1954 г. вышло постановление СМ СССР о развитии на заводе мобилизационных мощностей по производству ОВ.</w:t>
      </w:r>
    </w:p>
    <w:p w14:paraId="3F119D5A"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корпусе № 9 в 1958-94 г. действовало производство гибких гидрошлангов высокого давления для сельхозтехники; с 1997 г.- фасовка гипохлорита натрия. В корпусе № 4 в 1958-94 г. - производство резинотехнических смесей для изготовления гидрошлангов. В корпусе № 3 с 1974 г. организован выпуск ПХВ пластизолей.</w:t>
      </w:r>
    </w:p>
    <w:p w14:paraId="21CE66A8"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Впоследствии назывался Чапаевский завод химических удобрений, в 1990-е  г. переименован в Средневолжский завод химикатов (СВЗХ).</w:t>
      </w:r>
    </w:p>
    <w:p w14:paraId="0644F029"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(2005 г.): каустическая сода, жидкий хлор, соляная кислота, хлористый кальций, гипохлорит натрия, натриевая соль монохлоруксусной кислоты, пропинат; шланги для полива, отбеливатель «Белизна», гербициды.</w:t>
      </w:r>
    </w:p>
    <w:p w14:paraId="1DBE000E"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2007 г. предприятие обанкрочено, производство остановлено. Планировалось построить на площадке предприятия завод по производству гербицидов.</w:t>
      </w:r>
    </w:p>
    <w:p w14:paraId="1D14E48B"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Численность персонала (1942 г.)- 1840 чел., (1943 г.)- 2420 чел., (1944 г.)- 2450 чел.</w:t>
      </w:r>
    </w:p>
    <w:p w14:paraId="4590589A"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(1927 г.)- Е.И. Шпитальский, (-22.02.1937 г.)- Д.Ф. Ступников, (22.02-29.11.1937 г.)- Д.Ф. Левиссон, (15.12.1937 г.-)- И.С. Палагушин, (1939-42 г.)- А.Н. Шушкин, (1942-43 г.)- Б.М. Барский, (1943-47 г.)- И Г. Матвеев. Гендиректор (2001 г.)- В.В. Ольховский, (2007 г.)- Е.И. Морковкин.</w:t>
      </w:r>
    </w:p>
    <w:p w14:paraId="4DA3D6F3"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Помощник директора по найму и увольнению (06.1937 г.)- П.С. Брандес.</w:t>
      </w:r>
    </w:p>
    <w:p w14:paraId="2179FB4D"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(1934-; 19.06.1937-31.12.1938; -1941 г.)- Я.П. Чопоров; и.о. (31.12.1938 г.-)- В.В. Ярыгин; (1942- 45 г.)-  Г.Ф. Нехорошее.</w:t>
      </w:r>
      <w:r w:rsidRPr="00C33834">
        <w:rPr>
          <w:rFonts w:ascii="Times New Roman" w:hAnsi="Times New Roman"/>
          <w:color w:val="000000" w:themeColor="text1"/>
          <w:sz w:val="16"/>
          <w:szCs w:val="16"/>
          <w:vertAlign w:val="superscript"/>
        </w:rPr>
        <w:t>71</w:t>
      </w:r>
    </w:p>
    <w:p w14:paraId="5FAA7656"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iCs/>
          <w:color w:val="000000" w:themeColor="text1"/>
          <w:sz w:val="16"/>
          <w:szCs w:val="16"/>
        </w:rPr>
        <w:t>Производство:</w:t>
      </w:r>
      <w:r w:rsidRPr="00C33834">
        <w:rPr>
          <w:rFonts w:ascii="Times New Roman" w:hAnsi="Times New Roman"/>
          <w:color w:val="000000" w:themeColor="text1"/>
          <w:sz w:val="16"/>
          <w:szCs w:val="16"/>
        </w:rPr>
        <w:t xml:space="preserve"> авиабомбы ФАБ-100КД (1942) (11982).</w:t>
      </w:r>
    </w:p>
    <w:p w14:paraId="298AB861" w14:textId="77777777" w:rsidR="00A0257D" w:rsidRPr="00C33834" w:rsidRDefault="00A0257D"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AEBE9DB" w14:textId="77777777" w:rsidR="005653D4" w:rsidRPr="00C33834" w:rsidRDefault="005653D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shd w:val="clear" w:color="auto" w:fill="FFFFFF"/>
        </w:rPr>
        <w:t>28 марта 1933 в Москву на АМО передали комплект чертежей Т-34. Но 13 августа 1933 года на вооружение Красной Армии приняли разведывательный танк-амфибию Т-37. Разработали его в КБ завода №37 в плотном сотрудничестве с ОКМО. Таким образом, Красная Армия пошла своим путем. Вместо "патрульного" танка, как это сделали в ряде стран, у нас поставили на плавающий танк-разведчик. И нельзя сказать, что ошиблись. Т-37 (позже Т-37А) и Т-38 были первыми реально массовыми танками-амфибиями. Т-34 же в обновленной системе вооружения места не нашлось. Машина не стала бесполезной тратой времени, ее элементы можно видеть в других танках. Но с "патрульными" танками у нас, на время, завязали (22724).</w:t>
      </w:r>
    </w:p>
    <w:p w14:paraId="377748C1" w14:textId="77777777" w:rsidR="005653D4" w:rsidRPr="00C33834" w:rsidRDefault="005653D4" w:rsidP="00C33834">
      <w:pPr>
        <w:spacing w:after="0" w:line="240" w:lineRule="auto"/>
        <w:jc w:val="both"/>
        <w:rPr>
          <w:rFonts w:ascii="Times New Roman" w:hAnsi="Times New Roman"/>
          <w:color w:val="0070C0"/>
          <w:sz w:val="16"/>
          <w:szCs w:val="16"/>
        </w:rPr>
      </w:pPr>
    </w:p>
    <w:p w14:paraId="49D033BC" w14:textId="77777777" w:rsidR="00A0257D"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535D8C9C" w14:textId="77777777" w:rsidR="00A0257D" w:rsidRPr="00C33834" w:rsidRDefault="00A0257D"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6E82A4B" w14:textId="77777777" w:rsidR="00A0257D" w:rsidRPr="00C33834" w:rsidRDefault="00A0257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марта 1933 года Спецсводка СПО ПП ОГПУ по НВК (Нижне-Волжскому краю) о продовольственных затруднениях в крае по данным на 20 марта 1933 года.</w:t>
      </w:r>
    </w:p>
    <w:p w14:paraId="53AB4F1E" w14:textId="77777777" w:rsidR="00A0257D" w:rsidRPr="00C33834" w:rsidRDefault="00A0257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Продовольственные затруднения продолжают захватывать новые районы и колхозы: на 10 марта... было учтено 110 колхозов в 33 районах, испытывающих продзатруднения семей - 822.</w:t>
      </w:r>
    </w:p>
    <w:p w14:paraId="6E0723DD" w14:textId="77777777" w:rsidR="00A0257D" w:rsidRPr="00C33834" w:rsidRDefault="00A0257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большинстве употребляются в пищу различные суррогаты (примесь в муку и хлебные отходы мякины, лебеды, тыквенной и картофельной кожуры, просяной шелухи, толченых корней растений "чакан", употребление в пищу одних суррогатов без примеси муки, питание исключительно капустой, тыквой, другими овощами), а также употребляется мясо павших животных и, в отдельных случаях, людоедство.</w:t>
      </w:r>
    </w:p>
    <w:p w14:paraId="22F7B9B1" w14:textId="77777777" w:rsidR="00A0257D" w:rsidRPr="00C33834" w:rsidRDefault="00A0257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ПП ОГПУ по НВК Рудь</w:t>
      </w:r>
    </w:p>
    <w:p w14:paraId="149B7E11" w14:textId="77777777" w:rsidR="00A0257D" w:rsidRPr="00C33834" w:rsidRDefault="00A0257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Нас. СПО ПП Якубовский".</w:t>
      </w:r>
    </w:p>
    <w:p w14:paraId="2C3FFF95" w14:textId="77777777" w:rsidR="00A0257D" w:rsidRPr="00C33834" w:rsidRDefault="00A0257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Доказательством голода являются и сведения о резком скачке цен на продовольствие в 1932 году. Рыночная цена на муку постоянно росла, а в 1932 году сделала настоящий скачок (см. таблицу 2 ниже [117]), хотя денежная масса выросла незначительно (см. выше).</w:t>
      </w:r>
    </w:p>
    <w:p w14:paraId="2E3CD3D1" w14:textId="77777777" w:rsidR="00A0257D" w:rsidRPr="00C33834" w:rsidRDefault="00A0257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1928 / 100</w:t>
      </w:r>
    </w:p>
    <w:p w14:paraId="6E96C6D9" w14:textId="77777777" w:rsidR="00A0257D" w:rsidRPr="00C33834" w:rsidRDefault="00A0257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1929 / 225</w:t>
      </w:r>
    </w:p>
    <w:p w14:paraId="29576F71" w14:textId="77777777" w:rsidR="00A0257D" w:rsidRPr="00C33834" w:rsidRDefault="00A0257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1930 / 350</w:t>
      </w:r>
    </w:p>
    <w:p w14:paraId="1A5AF83A" w14:textId="77777777" w:rsidR="00A0257D" w:rsidRPr="00C33834" w:rsidRDefault="00A0257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 / 525</w:t>
      </w:r>
    </w:p>
    <w:p w14:paraId="2EF1890F" w14:textId="77777777" w:rsidR="00A0257D" w:rsidRPr="00C33834" w:rsidRDefault="00A0257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 2303</w:t>
      </w:r>
    </w:p>
    <w:p w14:paraId="0323E2F0" w14:textId="77777777" w:rsidR="00A0257D" w:rsidRPr="00C33834" w:rsidRDefault="00A0257D" w:rsidP="00C33834">
      <w:pPr>
        <w:pStyle w:val="rtejustify"/>
        <w:spacing w:before="0" w:after="0"/>
        <w:rPr>
          <w:color w:val="000000" w:themeColor="text1"/>
          <w:sz w:val="16"/>
          <w:szCs w:val="16"/>
        </w:rPr>
      </w:pPr>
      <w:r w:rsidRPr="00C33834">
        <w:rPr>
          <w:color w:val="000000" w:themeColor="text1"/>
          <w:sz w:val="16"/>
          <w:szCs w:val="16"/>
        </w:rPr>
        <w:t>Картофель стал стоить в 15,5, раз дороже. яйца в 8,7 раза. В 1933 году цена на хленб еще выросла на 80%. В мае 1933 года коммерческая цена ржаного хлеба был в 20 раз больше цены хлеба, выдаваеного по карточкам. Цены на продовольствие на рынках достигли пика в июне 1933 года. Однако после урожая 1933 года цены резко (на 60%) упали в декабре 1933 года. В 1934 году цены на зерно упали в 2 раза (17264).</w:t>
      </w:r>
    </w:p>
    <w:p w14:paraId="12C5C68A" w14:textId="77777777" w:rsidR="00A0257D" w:rsidRPr="00C33834" w:rsidRDefault="00A0257D" w:rsidP="00C33834">
      <w:pPr>
        <w:pStyle w:val="rtejustify"/>
        <w:spacing w:before="0" w:after="0"/>
        <w:rPr>
          <w:color w:val="000000" w:themeColor="text1"/>
          <w:sz w:val="16"/>
          <w:szCs w:val="16"/>
        </w:rPr>
      </w:pPr>
    </w:p>
    <w:p w14:paraId="485E5C33" w14:textId="77777777" w:rsidR="002401AD"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703E69E" w14:textId="77777777" w:rsidR="002401AD" w:rsidRPr="00C33834" w:rsidRDefault="002401AD"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BB3304A" w14:textId="77777777" w:rsidR="00A0257D" w:rsidRPr="00C33834" w:rsidRDefault="00A0257D"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28 марта</w:t>
      </w:r>
      <w:r w:rsidRPr="00C33834">
        <w:rPr>
          <w:rFonts w:ascii="Times New Roman" w:hAnsi="Times New Roman"/>
          <w:color w:val="000000" w:themeColor="text1"/>
          <w:sz w:val="16"/>
          <w:szCs w:val="16"/>
        </w:rPr>
        <w:t xml:space="preserve"> в 1933 году состоялся первый полет самолета </w:t>
      </w:r>
      <w:hyperlink r:id="rId112" w:tgtFrame="_blank" w:history="1">
        <w:r w:rsidRPr="00C33834">
          <w:rPr>
            <w:rFonts w:ascii="Times New Roman" w:hAnsi="Times New Roman"/>
            <w:color w:val="000000" w:themeColor="text1"/>
            <w:sz w:val="16"/>
            <w:szCs w:val="16"/>
          </w:rPr>
          <w:t xml:space="preserve">«Bernard 61T». </w:t>
        </w:r>
      </w:hyperlink>
      <w:r w:rsidRPr="00C33834">
        <w:rPr>
          <w:rFonts w:ascii="Times New Roman" w:hAnsi="Times New Roman"/>
          <w:color w:val="000000" w:themeColor="text1"/>
          <w:sz w:val="16"/>
          <w:szCs w:val="16"/>
        </w:rPr>
        <w:t>Основным отличием самолета стала новая силовая установка состоящая из трех одинаковых двигателей «Gnome-Rhone» 7Kb мощностью 300 л.с. Как и его предшественник «Bernard 61T» был выпущен в единственном экземпляре (15082).</w:t>
      </w:r>
    </w:p>
    <w:p w14:paraId="44504825" w14:textId="77777777" w:rsidR="00A0257D" w:rsidRPr="00C33834" w:rsidRDefault="00A0257D" w:rsidP="00C33834">
      <w:pPr>
        <w:spacing w:after="0" w:line="240" w:lineRule="auto"/>
        <w:jc w:val="both"/>
        <w:rPr>
          <w:rFonts w:ascii="Times New Roman" w:hAnsi="Times New Roman"/>
          <w:color w:val="000000" w:themeColor="text1"/>
          <w:sz w:val="16"/>
          <w:szCs w:val="16"/>
        </w:rPr>
      </w:pPr>
    </w:p>
    <w:p w14:paraId="24A91E51" w14:textId="77777777" w:rsidR="005B5149" w:rsidRPr="00C33834" w:rsidRDefault="005B514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28 марта 1933 - Состоялся первый полет самолета Bernard 61T. Основным отличием самолета стала новая силовая установка состоящая из трех одинаковых двигателей Gnome-Rhone 7Kb мощностью 300 л.с. Первый полет самолета состоялся 28 марта 1933 года. Как и его предшественник Bernard 61T был выпущен в единственном экземпляре (22554).</w:t>
      </w:r>
    </w:p>
    <w:p w14:paraId="06FCD974" w14:textId="77777777" w:rsidR="005B5149" w:rsidRPr="00C33834" w:rsidRDefault="005B5149" w:rsidP="00C33834">
      <w:pPr>
        <w:spacing w:after="0" w:line="240" w:lineRule="auto"/>
        <w:jc w:val="both"/>
        <w:rPr>
          <w:rFonts w:ascii="Times New Roman" w:hAnsi="Times New Roman"/>
          <w:color w:val="0070C0"/>
          <w:sz w:val="16"/>
          <w:szCs w:val="16"/>
        </w:rPr>
      </w:pPr>
    </w:p>
    <w:p w14:paraId="2D2EEA51" w14:textId="77777777" w:rsidR="005B5149" w:rsidRPr="00C33834" w:rsidRDefault="005B514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28 марта 1933 авиалайнер компании Imperial Airways Armstrong Whitworth Argosy City of Liverpool загорается в воздухе над Бельгией и терпит крушение, в результате чего погиб экипаж из трех человек и все 12 пассажиров, что является самой смертоносной аварией в истории британской гражданской авиации на тот. Возможно, пожар был начат умышленно (20802).</w:t>
      </w:r>
    </w:p>
    <w:p w14:paraId="7BE00196" w14:textId="77777777" w:rsidR="005B5149" w:rsidRPr="00C33834" w:rsidRDefault="005B5149" w:rsidP="00C33834">
      <w:pPr>
        <w:spacing w:after="0" w:line="240" w:lineRule="auto"/>
        <w:jc w:val="both"/>
        <w:rPr>
          <w:rFonts w:ascii="Times New Roman" w:hAnsi="Times New Roman"/>
          <w:color w:val="0070C0"/>
          <w:sz w:val="16"/>
          <w:szCs w:val="16"/>
        </w:rPr>
      </w:pPr>
    </w:p>
    <w:p w14:paraId="56EC954C"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марта 1933 нацисты запретили евреям работать в бизнесе, профессиональной деятельности и в школах (2100).</w:t>
      </w:r>
    </w:p>
    <w:p w14:paraId="4D2866FD"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p>
    <w:p w14:paraId="2203E4B5" w14:textId="77777777" w:rsidR="002401AD"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A69C3B5" w14:textId="77777777" w:rsidR="002401AD" w:rsidRPr="00C33834" w:rsidRDefault="002401AD"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685A2F7"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марта 1933 года начальник и военком НИИ ВВС Зильберт писал письмо N 0302сс Алкснису.</w:t>
      </w:r>
    </w:p>
    <w:p w14:paraId="1FC997A7"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- 1 ноября 1932 года.</w:t>
      </w:r>
    </w:p>
    <w:p w14:paraId="13CBA4CF"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Сейчас из-за ликвидации Бюро новых конструкций, работа уже 3 месяца не ведется.</w:t>
      </w:r>
    </w:p>
    <w:p w14:paraId="067E4317"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Достроить самолет БНК-3 39-й завод соглашается со сроком сдачи в декабре 1933 года.</w:t>
      </w:r>
    </w:p>
    <w:p w14:paraId="34E06B13"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 своей стороны считаю нецелесообразным достраивать самолет БНК-3. (с. 180) (3029,180).</w:t>
      </w:r>
    </w:p>
    <w:p w14:paraId="207887B4"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p>
    <w:p w14:paraId="4AFAC906" w14:textId="77777777" w:rsidR="0099326E" w:rsidRPr="00C33834" w:rsidRDefault="0099326E" w:rsidP="00C33834">
      <w:pPr>
        <w:pStyle w:val="rtejustify"/>
        <w:spacing w:before="0" w:after="0"/>
        <w:rPr>
          <w:color w:val="000000" w:themeColor="text1"/>
          <w:sz w:val="16"/>
          <w:szCs w:val="16"/>
        </w:rPr>
      </w:pPr>
      <w:r w:rsidRPr="00C33834">
        <w:rPr>
          <w:rStyle w:val="af0"/>
          <w:bCs/>
          <w:i w:val="0"/>
          <w:color w:val="000000" w:themeColor="text1"/>
          <w:sz w:val="16"/>
          <w:szCs w:val="16"/>
        </w:rPr>
        <w:t>29 марта 1933 вышел приказ НКТП № 3/сс.</w:t>
      </w:r>
      <w:r w:rsidRPr="00C33834">
        <w:rPr>
          <w:color w:val="000000" w:themeColor="text1"/>
          <w:sz w:val="16"/>
          <w:szCs w:val="16"/>
        </w:rPr>
        <w:t xml:space="preserve"> О мерах по обеспечению бесперебойного производства авиабомб на предприятиях НКТП СССР и о создании при ГВМУ специального бюро по авиабомбостроению. (РГАЭ. Ф. 7297. Оп. 38. Д. 37. Л. 175</w:t>
      </w:r>
      <w:r w:rsidRPr="00C33834">
        <w:rPr>
          <w:color w:val="000000" w:themeColor="text1"/>
          <w:sz w:val="16"/>
          <w:szCs w:val="16"/>
        </w:rPr>
        <w:noBreakHyphen/>
        <w:t>173) (15246).</w:t>
      </w:r>
    </w:p>
    <w:p w14:paraId="11FED3B5" w14:textId="77777777" w:rsidR="0099326E" w:rsidRPr="00C33834" w:rsidRDefault="0099326E" w:rsidP="00C33834">
      <w:pPr>
        <w:pStyle w:val="rtejustify"/>
        <w:spacing w:before="0" w:after="0"/>
        <w:rPr>
          <w:color w:val="000000" w:themeColor="text1"/>
          <w:sz w:val="16"/>
          <w:szCs w:val="16"/>
        </w:rPr>
      </w:pPr>
    </w:p>
    <w:p w14:paraId="780C8923" w14:textId="77777777" w:rsidR="002401AD"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13F6015F" w14:textId="77777777" w:rsidR="002401AD" w:rsidRPr="00C33834" w:rsidRDefault="002401AD"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F9F6483"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марта 1933 г. в ходе подготовки немецкого визита Берзин еще представил обширный план показа военной промышленности Боккельбергу с указанием конкретных объектов. Документ Ворошилов переадресовал Сталину, сопроводив его припиской: «т. Сталину. В порядке взаимности приходится немцам показывать и заводы и кое-какие воинские части. Если нет возражений, я дам соответствующим лицам, указания сопровождающим лицам как себя держать при объезде «гостем» нашей страны. Ворошилов» (РГВА, ф. 33987, on. 3, д. 497, л. 103,104-106.). Сталин не возражал. Боккельберга принимали Ворошилов, Егоров, Тухачевский. По программе визита ему были показаны школа летчиков в Каче, ЦАГИ, авиационный завод ГАЗ № 1 (бывший завод Дукса) производительностью 60 самолетов в месяц, ремонтные артмастерские в Голутвине, химкомбинат в Бобриках, Тульский оружейный завод, тракторный завод в Харькове, авиазавод в Александровске, оружейный завод в Калинине. Он побывал в Севастополе и на Днепрогэсе. Боккельберг отнесся внимательно к высказываниям Тухачевского относительно авиации и танков: «Для того, чтобы Германии выйти из затруднительной политической ситуации, он желает ей как можно скорее иметь воздушный флот в составе 2000 бомбовозов». «Наилучшим средством против танка является танк &lt;...&gt;». Вывод, который сделал Боккельберг в своем отчете по визиту, был следующим: «Совместная работа с Красной Армией и советской военной промышленностью, учитывая грандиозность советских планов, крайне желательна, не только по военно-политическим соображениям, но и по военно-техническим» (РГВА, ф. 33987, on. 3, д. 505, л. 135-137.) (11784).</w:t>
      </w:r>
    </w:p>
    <w:p w14:paraId="00DFEEFA" w14:textId="77777777" w:rsidR="002401AD" w:rsidRPr="00C33834" w:rsidRDefault="002401AD" w:rsidP="00C33834">
      <w:pPr>
        <w:autoSpaceDE w:val="0"/>
        <w:autoSpaceDN w:val="0"/>
        <w:adjustRightInd w:val="0"/>
        <w:spacing w:after="0" w:line="240" w:lineRule="auto"/>
        <w:jc w:val="both"/>
        <w:rPr>
          <w:rFonts w:ascii="Times New Roman" w:hAnsi="Times New Roman"/>
          <w:color w:val="000000" w:themeColor="text1"/>
          <w:sz w:val="16"/>
          <w:szCs w:val="16"/>
        </w:rPr>
      </w:pPr>
    </w:p>
    <w:p w14:paraId="08624D83" w14:textId="77777777" w:rsidR="005B5149" w:rsidRPr="00C33834" w:rsidRDefault="005B5149"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E444214" w14:textId="77777777" w:rsidR="005B5149" w:rsidRPr="00C33834" w:rsidRDefault="005B514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C46EE16" w14:textId="77777777" w:rsidR="005B5149" w:rsidRPr="00C33834" w:rsidRDefault="005B514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29 марта 1933 состоялся первый полет Miles M.2 Hawk (20802).</w:t>
      </w:r>
    </w:p>
    <w:p w14:paraId="08288F8C" w14:textId="77777777" w:rsidR="005B5149" w:rsidRPr="00C33834" w:rsidRDefault="005B5149" w:rsidP="00C33834">
      <w:pPr>
        <w:spacing w:after="0" w:line="240" w:lineRule="auto"/>
        <w:jc w:val="both"/>
        <w:rPr>
          <w:rFonts w:ascii="Times New Roman" w:hAnsi="Times New Roman"/>
          <w:color w:val="0070C0"/>
          <w:sz w:val="16"/>
          <w:szCs w:val="16"/>
        </w:rPr>
      </w:pPr>
    </w:p>
    <w:p w14:paraId="29DFAA30" w14:textId="77777777" w:rsidR="00746843"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490C437" w14:textId="77777777" w:rsidR="00746843" w:rsidRPr="00C33834" w:rsidRDefault="00746843" w:rsidP="00C33834">
      <w:pPr>
        <w:spacing w:after="0" w:line="240" w:lineRule="auto"/>
        <w:jc w:val="both"/>
        <w:rPr>
          <w:rFonts w:ascii="Times New Roman" w:hAnsi="Times New Roman"/>
          <w:iCs/>
          <w:color w:val="000000" w:themeColor="text1"/>
          <w:sz w:val="16"/>
          <w:szCs w:val="16"/>
        </w:rPr>
      </w:pPr>
    </w:p>
    <w:p w14:paraId="40C4299D"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марта 1933 С.П.К. подписал некролог Ф.А. Цандеру вместе с Р.П. Эйдеманом, Ю.А. Победоносцевым и др. (газ. "Техника", 30 марта 1933 г.) (10676).</w:t>
      </w:r>
    </w:p>
    <w:p w14:paraId="407D5400"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230C4BA2" w14:textId="77777777" w:rsidR="00746843"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9BE5235" w14:textId="77777777" w:rsidR="00746843" w:rsidRPr="00C33834" w:rsidRDefault="00746843" w:rsidP="00C33834">
      <w:pPr>
        <w:spacing w:after="0" w:line="240" w:lineRule="auto"/>
        <w:jc w:val="both"/>
        <w:rPr>
          <w:rFonts w:ascii="Times New Roman" w:hAnsi="Times New Roman"/>
          <w:iCs/>
          <w:color w:val="000000" w:themeColor="text1"/>
          <w:sz w:val="16"/>
          <w:szCs w:val="16"/>
        </w:rPr>
      </w:pPr>
    </w:p>
    <w:p w14:paraId="05647241"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марта 1933 г. завод (Завод № 177 НКТП, Выксунский завод ДРО НКТП, НКОП, Выксунский завод «ДРА» НКСС, Выксунский завод дробильно-размольного оборудования (ДРО), ОАО «Дробмаш» /607061  г. Выкса Горьковской обл. ул. Заводская/) выпустил первую продукцию - дробилку Щ-3. Первоначально проектирование велось на базе зарубежного опыта. Но уже с 1937 г. завод самостоятельно проектирует и изготавливает дробильно- размольное, прессовое и другие виды оборудования.</w:t>
      </w:r>
    </w:p>
    <w:p w14:paraId="797FE786"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 СНК от 15.12.1940 г. и приказом НКАП № 748 от 17.12.1940 г. на заводе организовано производство бронекорпусов для Ил-2.</w:t>
      </w:r>
      <w:r w:rsidRPr="00C33834">
        <w:rPr>
          <w:rFonts w:ascii="Times New Roman" w:hAnsi="Times New Roman"/>
          <w:color w:val="000000" w:themeColor="text1"/>
          <w:sz w:val="16"/>
          <w:szCs w:val="16"/>
          <w:vertAlign w:val="superscript"/>
        </w:rPr>
        <w:t>96</w:t>
      </w:r>
      <w:r w:rsidRPr="00C33834">
        <w:rPr>
          <w:rFonts w:ascii="Times New Roman" w:hAnsi="Times New Roman"/>
          <w:color w:val="000000" w:themeColor="text1"/>
          <w:sz w:val="16"/>
          <w:szCs w:val="16"/>
        </w:rPr>
        <w:t xml:space="preserve"> В соответствии с пост. ГКО № 1сс от 1.07.1941 г. Выксунскому заводу «ДРА» НКСС поручен выпуск комплектующих для танков Т-34 и авиамоторов М-17. В годы войны завод </w:t>
      </w:r>
      <w:r w:rsidRPr="00C33834">
        <w:rPr>
          <w:rFonts w:ascii="Times New Roman" w:hAnsi="Times New Roman"/>
          <w:color w:val="000000" w:themeColor="text1"/>
          <w:sz w:val="16"/>
          <w:szCs w:val="16"/>
        </w:rPr>
        <w:lastRenderedPageBreak/>
        <w:t>выпускал военную продукцию: корпуса легких танков, САУ, бронекорпуса Ил-2, корпуса мин и РСов. Работы по корабельной броне (1942 г.).</w:t>
      </w:r>
      <w:r w:rsidRPr="00C33834">
        <w:rPr>
          <w:rFonts w:ascii="Times New Roman" w:hAnsi="Times New Roman"/>
          <w:color w:val="000000" w:themeColor="text1"/>
          <w:sz w:val="16"/>
          <w:szCs w:val="16"/>
          <w:vertAlign w:val="superscript"/>
        </w:rPr>
        <w:t>61</w:t>
      </w:r>
      <w:r w:rsidRPr="00C33834">
        <w:rPr>
          <w:rFonts w:ascii="Times New Roman" w:hAnsi="Times New Roman"/>
          <w:color w:val="000000" w:themeColor="text1"/>
          <w:sz w:val="16"/>
          <w:szCs w:val="16"/>
        </w:rPr>
        <w:t xml:space="preserve"> 16.03.1944 г. вышло распоряжение ГКО № 5409 об обеспечении кооперированных поставок с завода № 177 бронекорпусов СУ-16 на завод № 40 НКТП.</w:t>
      </w:r>
    </w:p>
    <w:p w14:paraId="3AE1FD8F"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1942 г. завод № 177 - в ведении НКТП.</w:t>
      </w:r>
    </w:p>
    <w:p w14:paraId="0AC936C9"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войны завод возвращается к производству дробильно-сортировочного оборудования. К началу 2000-х  г. выпущено около 110 тысяч единиц оборудования, в т.ч. 31 тысяча дробилок и около 60 тысяч агрегатов.</w:t>
      </w:r>
    </w:p>
    <w:p w14:paraId="64477CB5"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(2000-е): дробильно-сортировочное оборудование: щековые, конусные, роторные, молотковые дробилки; питатели, грохоты, конвейеры, передвижные и транспортируемые агрегаты.</w:t>
      </w:r>
    </w:p>
    <w:p w14:paraId="258814BB"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2002 г. ОАО «Дробмаш» вошло в состав компании «Строительные машины и механизмы».</w:t>
      </w:r>
    </w:p>
    <w:p w14:paraId="70900FC4"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(06.1937 г.)- Н.Б. Завадский.</w:t>
      </w:r>
    </w:p>
    <w:p w14:paraId="61B9B721"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директора (06.1937 г.)- А.П. Петров.</w:t>
      </w:r>
      <w:r w:rsidRPr="00C33834">
        <w:rPr>
          <w:rFonts w:ascii="Times New Roman" w:hAnsi="Times New Roman"/>
          <w:color w:val="000000" w:themeColor="text1"/>
          <w:sz w:val="16"/>
          <w:szCs w:val="16"/>
          <w:vertAlign w:val="superscript"/>
        </w:rPr>
        <w:t>139</w:t>
      </w:r>
    </w:p>
    <w:p w14:paraId="2CB3609B"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Производство: бронекорпуса: для Ил-2 (1941-), для танков Т-60, Т-70 (ВОВ), для САУ-76 (ВОВ), АСУ-57 (1950-е); бронеавтомобиль БА-20 (ВОВ); погон для Т-34 (ВОВ); корпуса мин М-82 и </w:t>
      </w:r>
      <w:r w:rsidRPr="00C33834">
        <w:rPr>
          <w:rFonts w:ascii="Times New Roman" w:hAnsi="Times New Roman"/>
          <w:color w:val="000000" w:themeColor="text1"/>
          <w:sz w:val="16"/>
          <w:szCs w:val="16"/>
          <w:lang w:val="en-US"/>
        </w:rPr>
        <w:t>PC</w:t>
      </w:r>
      <w:r w:rsidRPr="00C33834">
        <w:rPr>
          <w:rFonts w:ascii="Times New Roman" w:hAnsi="Times New Roman"/>
          <w:color w:val="000000" w:themeColor="text1"/>
          <w:sz w:val="16"/>
          <w:szCs w:val="16"/>
        </w:rPr>
        <w:t xml:space="preserve"> М-8, М-13 и М-30 (ВОВ); дробилка щековая Щ-3 (1933-) (11982).</w:t>
      </w:r>
    </w:p>
    <w:p w14:paraId="788DD832"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74ABF7B6" w14:textId="77777777" w:rsidR="00746843"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44B0392" w14:textId="77777777" w:rsidR="00746843" w:rsidRPr="00C33834" w:rsidRDefault="00746843" w:rsidP="00C33834">
      <w:pPr>
        <w:spacing w:after="0" w:line="240" w:lineRule="auto"/>
        <w:jc w:val="both"/>
        <w:rPr>
          <w:rFonts w:ascii="Times New Roman" w:hAnsi="Times New Roman"/>
          <w:iCs/>
          <w:color w:val="000000" w:themeColor="text1"/>
          <w:sz w:val="16"/>
          <w:szCs w:val="16"/>
        </w:rPr>
      </w:pPr>
    </w:p>
    <w:p w14:paraId="4CD4B4A8" w14:textId="77777777" w:rsidR="0099326E" w:rsidRPr="00C33834" w:rsidRDefault="0099326E"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30 марта</w:t>
      </w:r>
      <w:r w:rsidRPr="00C33834">
        <w:rPr>
          <w:rFonts w:ascii="Times New Roman" w:hAnsi="Times New Roman"/>
          <w:color w:val="000000" w:themeColor="text1"/>
          <w:sz w:val="16"/>
          <w:szCs w:val="16"/>
        </w:rPr>
        <w:t xml:space="preserve"> в 1933 году было официально зарегистрировано авиационное отделение фирмы "Хеншель"- под названием "Хеншель Флюгцойгверк ГмбХ"- новый владелец концерна Оскар Хеншель решился вложить деньги в перспективную отрасль. Вряд ли является случайным совпадением то, что незадолго до этого к власти в Германии пришел Адольф Гитлер, который еще в период предвыборной кампании неоднократно заявлял о необходимости отказа от запретов Версальского договора и о грядущем возрождении немецкой военной мощи (15084).</w:t>
      </w:r>
    </w:p>
    <w:p w14:paraId="172368DA" w14:textId="77777777" w:rsidR="0099326E" w:rsidRPr="00C33834" w:rsidRDefault="0099326E" w:rsidP="00C33834">
      <w:pPr>
        <w:spacing w:after="0" w:line="240" w:lineRule="auto"/>
        <w:jc w:val="both"/>
        <w:rPr>
          <w:rFonts w:ascii="Times New Roman" w:hAnsi="Times New Roman"/>
          <w:color w:val="000000" w:themeColor="text1"/>
          <w:sz w:val="16"/>
          <w:szCs w:val="16"/>
        </w:rPr>
      </w:pPr>
    </w:p>
    <w:p w14:paraId="447A222D"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марта 1933 на базе паровозостроительных заводов "Henschel und Sohn A.G.", которые были основаны в Касселе в 1848 году, их директор Оскар Р. Хеншель решил (при поддержке нового нацистского правительства) создать авиастроительный концерн. Он был создан первоначально в Касселе, хотя к концу 1934 новый основной завод открыли возле Берлина в Шенефельде (3188).</w:t>
      </w:r>
    </w:p>
    <w:p w14:paraId="1C7DEDEB"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261D147C" w14:textId="77777777" w:rsidR="00746843"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4A790CB" w14:textId="77777777" w:rsidR="00746843" w:rsidRPr="00C33834" w:rsidRDefault="00746843" w:rsidP="00C33834">
      <w:pPr>
        <w:spacing w:after="0" w:line="240" w:lineRule="auto"/>
        <w:jc w:val="both"/>
        <w:rPr>
          <w:rFonts w:ascii="Times New Roman" w:hAnsi="Times New Roman"/>
          <w:iCs/>
          <w:color w:val="000000" w:themeColor="text1"/>
          <w:sz w:val="16"/>
          <w:szCs w:val="16"/>
        </w:rPr>
      </w:pPr>
    </w:p>
    <w:p w14:paraId="6B6A9AFA" w14:textId="77777777" w:rsidR="00040C94" w:rsidRPr="00C33834" w:rsidRDefault="00040C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марта 1933 г. деревянный макет, выполненный по проекту Добровольского и Самсонова, продули в аэродинамической трубе ЦАГИ. Таким образом, можно предположить, что Добровольский и Самсонов использовали танк БТ в качестве «фюзеляжа» летающей конструкции, представлявшей собой сочетание танка и крыльев (19165).</w:t>
      </w:r>
    </w:p>
    <w:p w14:paraId="73C863DA" w14:textId="77777777" w:rsidR="00040C94" w:rsidRPr="00C33834" w:rsidRDefault="00040C94" w:rsidP="00C33834">
      <w:pPr>
        <w:spacing w:after="0" w:line="240" w:lineRule="auto"/>
        <w:jc w:val="both"/>
        <w:rPr>
          <w:rFonts w:ascii="Times New Roman" w:hAnsi="Times New Roman"/>
          <w:color w:val="000000" w:themeColor="text1"/>
          <w:sz w:val="16"/>
          <w:szCs w:val="16"/>
        </w:rPr>
      </w:pPr>
    </w:p>
    <w:p w14:paraId="69AB85EC"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марта 1933 на совещании нач. управлений штаба РККА приняли решение максимально ограничить передвижение германских л по территории СССР, сократить до минимума количество русского персонала, отказать школе в Липецке в льготном воинском тарифе при перевозке грузов, запретить использование полигона для учебных стрельб и бомбометания (1795,40).</w:t>
      </w:r>
    </w:p>
    <w:p w14:paraId="743DA5F1"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7C140E60" w14:textId="77777777" w:rsidR="00746843"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8787495" w14:textId="77777777" w:rsidR="00746843" w:rsidRPr="00C33834" w:rsidRDefault="00746843" w:rsidP="00C33834">
      <w:pPr>
        <w:spacing w:after="0" w:line="240" w:lineRule="auto"/>
        <w:jc w:val="both"/>
        <w:rPr>
          <w:rFonts w:ascii="Times New Roman" w:hAnsi="Times New Roman"/>
          <w:iCs/>
          <w:color w:val="000000" w:themeColor="text1"/>
          <w:sz w:val="16"/>
          <w:szCs w:val="16"/>
        </w:rPr>
      </w:pPr>
    </w:p>
    <w:p w14:paraId="301D4DC6"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марта 1933 в аэродинамической трубе ЦАГИ был продут макет летающего танка группы Рафаэлянца. Конструкция танка была как у БТ, но облегченная (5.5 т), с противопульным бронированием, 20-мм пушкой, 2 чл. экипажа и тремя опорными катками. Двигатель - М-17 650 нр (3879,39).</w:t>
      </w:r>
    </w:p>
    <w:p w14:paraId="6F3D7001"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22FED6B8"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марта 1933 г. приказом НКТП №146  "Коминтерн" утверждался к серийному производству, а приказом РВС СССР №5249сс от 10 июня 1933 г. он был принят на вооружение. Однако "с апреля месяца работа по подготовке производства стала значительно падать т.к. тракторному отделу было добавлено в производство 100 шт. моторов "Коммунар". Кроме того, помимо совершенствования трактора "Коммунар" и работ по "Коминтерну", в 1933 г. завод был загружен и другими заказами, а именно - вел работы по дизелям БД-2 и БД-14, занимался совершенствованием конструкции танка БТ (простое перечисление работ в докладе военпреда заняло шесть листов). В итоге освоение "Коминтерна" перенесли на 1934 г. (12008).</w:t>
      </w:r>
    </w:p>
    <w:p w14:paraId="25800A2A"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3C12C560" w14:textId="77777777" w:rsidR="00746843"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372ABEBB" w14:textId="77777777" w:rsidR="00746843" w:rsidRPr="00C33834" w:rsidRDefault="00746843" w:rsidP="00C33834">
      <w:pPr>
        <w:spacing w:after="0" w:line="240" w:lineRule="auto"/>
        <w:jc w:val="both"/>
        <w:rPr>
          <w:rFonts w:ascii="Times New Roman" w:hAnsi="Times New Roman"/>
          <w:iCs/>
          <w:color w:val="000000" w:themeColor="text1"/>
          <w:sz w:val="16"/>
          <w:szCs w:val="16"/>
        </w:rPr>
      </w:pPr>
    </w:p>
    <w:p w14:paraId="7DE3D104"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марта 1933 лагерная газета «Перековка» разъяснила, что Истринское водохранилище строится «в помощь московскому водопроводу», чтобы «регулировать сток воды из бассейна реки Истра в Москву-реку» (7560).</w:t>
      </w:r>
    </w:p>
    <w:p w14:paraId="27D6726D"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68F08FB2" w14:textId="77777777" w:rsidR="00746843"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FC5802B" w14:textId="77777777" w:rsidR="00746843" w:rsidRPr="00C33834" w:rsidRDefault="00746843" w:rsidP="00C33834">
      <w:pPr>
        <w:spacing w:after="0" w:line="240" w:lineRule="auto"/>
        <w:jc w:val="both"/>
        <w:rPr>
          <w:rFonts w:ascii="Times New Roman" w:hAnsi="Times New Roman"/>
          <w:iCs/>
          <w:color w:val="000000" w:themeColor="text1"/>
          <w:sz w:val="16"/>
          <w:szCs w:val="16"/>
        </w:rPr>
      </w:pPr>
    </w:p>
    <w:p w14:paraId="25845C66" w14:textId="77777777" w:rsidR="00CB2EE3" w:rsidRPr="00C33834" w:rsidRDefault="00CB2EE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31 марта 1933 Ford 4-AT-B Trimotor NC7686, на борту которого находились члены баскетбольной команды Winnipeg Toilers из Талсы, Оклахома, летит в Виннипег, Манитоба, Канада, чартерным рейсом и терпит крушение возле Неодеши, штат Канзас, вероятно, при попытке вынужденной посадки в поле. В результате крушения погибли оба члена экипажа и пятеро из 11 пассажиров (20802).</w:t>
      </w:r>
    </w:p>
    <w:p w14:paraId="61D9865A" w14:textId="77777777" w:rsidR="00CB2EE3" w:rsidRPr="00C33834" w:rsidRDefault="00CB2EE3" w:rsidP="00C33834">
      <w:pPr>
        <w:spacing w:after="0" w:line="240" w:lineRule="auto"/>
        <w:jc w:val="both"/>
        <w:rPr>
          <w:rFonts w:ascii="Times New Roman" w:hAnsi="Times New Roman"/>
          <w:color w:val="0070C0"/>
          <w:sz w:val="16"/>
          <w:szCs w:val="16"/>
        </w:rPr>
      </w:pPr>
    </w:p>
    <w:p w14:paraId="06D2F007" w14:textId="77777777" w:rsidR="007937A6" w:rsidRPr="00C33834" w:rsidRDefault="00793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марта 1933 Гитлер и Фрик, впервые воспользовавшись данными им чрезвычайными полномочиями, обнародовали закон о роспуске парламентов во всех землях, кроме Пруссии, приказав переформировать их состав в соответствии с распределением голосов на последних выборах в рейхстаг. Депутатские места, занимаемые прежде коммунистами, решено было не заполнять. Но и этого канцлеру показалось мало. Действуя с лихорадочной поспешностью, он уже через неделю, 7 апреля, издал декрет об учреждении во всех землях новой должности - губернатора рейха, которому предоставлялось право формировать и смещать местное правительство, распускать парламент, назначать и увольнять чиновников и судей. Все вновь назначенные губернаторы были нацистами, ото всех требовалось проводить "генеральную политику, разработанную рейхсканцлером". Так, через две недели после обретения полноты власти, Гитлер достиг того, на что Бисмарк, Вильгельм II и Веймарская республика не могли и рассчитывать: он лишил земли автономии и подчинил их центральной власти рейха, то есть своей личной власти. Впервые в истории он по-настоящему объединил Германию, ликвидировав давнюю федеральную структуру (17283).</w:t>
      </w:r>
    </w:p>
    <w:p w14:paraId="654F0080" w14:textId="77777777" w:rsidR="007937A6" w:rsidRPr="00C33834" w:rsidRDefault="007937A6" w:rsidP="00C33834">
      <w:pPr>
        <w:spacing w:after="0" w:line="240" w:lineRule="auto"/>
        <w:jc w:val="both"/>
        <w:rPr>
          <w:rFonts w:ascii="Times New Roman" w:hAnsi="Times New Roman"/>
          <w:color w:val="000000" w:themeColor="text1"/>
          <w:sz w:val="16"/>
          <w:szCs w:val="16"/>
        </w:rPr>
      </w:pPr>
    </w:p>
    <w:p w14:paraId="22D3250A"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марта 1933 Лео Сцилард покинул Германию (2953).</w:t>
      </w:r>
    </w:p>
    <w:p w14:paraId="1940B1C0"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61EFC04E" w14:textId="77777777" w:rsidR="00746843"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5B15AF5" w14:textId="77777777" w:rsidR="00746843" w:rsidRPr="00C33834" w:rsidRDefault="00746843" w:rsidP="00C33834">
      <w:pPr>
        <w:spacing w:after="0" w:line="240" w:lineRule="auto"/>
        <w:jc w:val="both"/>
        <w:rPr>
          <w:rFonts w:ascii="Times New Roman" w:hAnsi="Times New Roman"/>
          <w:iCs/>
          <w:color w:val="000000" w:themeColor="text1"/>
          <w:sz w:val="16"/>
          <w:szCs w:val="16"/>
        </w:rPr>
      </w:pPr>
    </w:p>
    <w:p w14:paraId="3FFB550D"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марта 1933 после окончания заводских испытаний гидросамолета Р-6а (МР-6, Р-6п) он поступил в морской отдел НИИ ВВС. оказался менее удачным, чем модификация ТБ-1, т.к. поплавки были великоваты. В ходе испытаний разбили 3 машины (2766,33).</w:t>
      </w:r>
    </w:p>
    <w:p w14:paraId="27FAAAB7"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567403E6"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марта 1933 г. на заводе № 1 началась сдача 10 Р-5, предназначающихся для Ирана. Первый самолет доставили в Иран по воздуху. На нем иранский летчик А. Макуи, выпускник Качинской летной школы, успешно совершил перелет Москва - Тегеран, прибыв на место 28 мая 1933 г. Остальные Р-5 перевозились в разобранном виде. Из Москвы их везли по железной дороге, а затем по Каспию в иранский порт Пехлеви. Советские Р-5 успешно эксплуатировались в иранских ВВС сначала как боевые, а с конца 1934 г. как тренировочные. В отличие от поставлявшихся иранцам Р-1 в боевых действиях они никогда не участвовали. Когда в Иране списали последние Р-5 - неизвестно (12034).</w:t>
      </w:r>
    </w:p>
    <w:p w14:paraId="3BC66B17"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460737B5" w14:textId="77777777" w:rsidR="00746843"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DF0F93E" w14:textId="77777777" w:rsidR="00746843" w:rsidRPr="00C33834" w:rsidRDefault="00746843" w:rsidP="00C33834">
      <w:pPr>
        <w:spacing w:after="0" w:line="240" w:lineRule="auto"/>
        <w:jc w:val="both"/>
        <w:rPr>
          <w:rFonts w:ascii="Times New Roman" w:hAnsi="Times New Roman"/>
          <w:iCs/>
          <w:color w:val="000000" w:themeColor="text1"/>
          <w:sz w:val="16"/>
          <w:szCs w:val="16"/>
        </w:rPr>
      </w:pPr>
    </w:p>
    <w:p w14:paraId="409674DF"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марта 1933 был испытан в ЦАГИ деревянный макет летающего колесно-гусеничного танка, разработанного КБ под руководством Рафаэлянца с участием конструкторов ЦАГИ и завода №39 ГУАП Никитина, Государева, Флерова, Шварца, Ермонского, Кургузова, Астахова, Асахина и Гришина январе-феврале 1933. Планировали использовать конструкцию подвески БТ-2. Рассмотрели еще два варианта - Добровольского и Самсонова (гидропередача) и проект Камова (автожир). По первому варианту изготовили деревянный макет (9527,113).</w:t>
      </w:r>
    </w:p>
    <w:p w14:paraId="670E7570"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30BC2F24" w14:textId="77777777" w:rsidR="00746843"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lastRenderedPageBreak/>
        <w:t>Авиапромышленность:</w:t>
      </w:r>
    </w:p>
    <w:p w14:paraId="3E694FAB" w14:textId="77777777" w:rsidR="00746843" w:rsidRPr="00C33834" w:rsidRDefault="00746843" w:rsidP="00C33834">
      <w:pPr>
        <w:spacing w:after="0" w:line="240" w:lineRule="auto"/>
        <w:jc w:val="both"/>
        <w:rPr>
          <w:rFonts w:ascii="Times New Roman" w:hAnsi="Times New Roman"/>
          <w:iCs/>
          <w:color w:val="000000" w:themeColor="text1"/>
          <w:sz w:val="16"/>
          <w:szCs w:val="16"/>
        </w:rPr>
      </w:pPr>
    </w:p>
    <w:p w14:paraId="692239EC"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ХАЗОСС представил НИИ ВВС эскизы ВС-2, К-12 (70,257).</w:t>
      </w:r>
    </w:p>
    <w:p w14:paraId="6114F4AA"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6013C879" w14:textId="77777777" w:rsidR="00D25EF2" w:rsidRPr="00C33834" w:rsidRDefault="00D25EF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марте 1933 г. первые эскизы К-12 были представлены НИИ ВВС. Было согласовано ТЗ на самолет.</w:t>
      </w:r>
    </w:p>
    <w:p w14:paraId="71FEA451" w14:textId="77777777" w:rsidR="00D25EF2" w:rsidRPr="00C33834" w:rsidRDefault="00D25EF2" w:rsidP="00C33834">
      <w:pPr>
        <w:spacing w:after="0" w:line="240" w:lineRule="auto"/>
        <w:jc w:val="both"/>
        <w:rPr>
          <w:rFonts w:ascii="Times New Roman" w:hAnsi="Times New Roman"/>
          <w:color w:val="0070C0"/>
          <w:sz w:val="16"/>
          <w:szCs w:val="16"/>
          <w:lang w:eastAsia="ru-RU" w:bidi="ru-RU"/>
        </w:rPr>
      </w:pPr>
      <w:r w:rsidRPr="00C33834">
        <w:rPr>
          <w:rFonts w:ascii="Times New Roman" w:hAnsi="Times New Roman"/>
          <w:color w:val="0070C0"/>
          <w:sz w:val="16"/>
          <w:szCs w:val="16"/>
          <w:lang w:eastAsia="ru-RU" w:bidi="ru-RU"/>
        </w:rPr>
        <w:t>В марте 1933 года с именем собственным «Известия ЦИК» Сталь-2 первым вошел в состав агитаци</w:t>
      </w:r>
      <w:r w:rsidRPr="00C33834">
        <w:rPr>
          <w:rFonts w:ascii="Times New Roman" w:hAnsi="Times New Roman"/>
          <w:color w:val="0070C0"/>
          <w:sz w:val="16"/>
          <w:szCs w:val="16"/>
          <w:lang w:eastAsia="ru-RU" w:bidi="ru-RU"/>
        </w:rPr>
        <w:softHyphen/>
        <w:t>онной эскадрильи имени М.Горького, которая была созда</w:t>
      </w:r>
      <w:r w:rsidRPr="00C33834">
        <w:rPr>
          <w:rFonts w:ascii="Times New Roman" w:hAnsi="Times New Roman"/>
          <w:color w:val="0070C0"/>
          <w:sz w:val="16"/>
          <w:szCs w:val="16"/>
          <w:lang w:eastAsia="ru-RU" w:bidi="ru-RU"/>
        </w:rPr>
        <w:softHyphen/>
        <w:t>на 22 марта 1933 года и действовала вплоть до 1939 го</w:t>
      </w:r>
      <w:r w:rsidRPr="00C33834">
        <w:rPr>
          <w:rFonts w:ascii="Times New Roman" w:hAnsi="Times New Roman"/>
          <w:color w:val="0070C0"/>
          <w:sz w:val="16"/>
          <w:szCs w:val="16"/>
          <w:lang w:eastAsia="ru-RU" w:bidi="ru-RU"/>
        </w:rPr>
        <w:softHyphen/>
        <w:t>да. Эскадрилья им. Горького была весьма необычным об</w:t>
      </w:r>
      <w:r w:rsidRPr="00C33834">
        <w:rPr>
          <w:rFonts w:ascii="Times New Roman" w:hAnsi="Times New Roman"/>
          <w:color w:val="0070C0"/>
          <w:sz w:val="16"/>
          <w:szCs w:val="16"/>
          <w:lang w:eastAsia="ru-RU" w:bidi="ru-RU"/>
        </w:rPr>
        <w:softHyphen/>
        <w:t>разованием, можно предположить, что даже само ее появление предназначалось для повышения значимости гражданского воздушного флота, а не только для агитаци</w:t>
      </w:r>
      <w:r w:rsidRPr="00C33834">
        <w:rPr>
          <w:rFonts w:ascii="Times New Roman" w:hAnsi="Times New Roman"/>
          <w:color w:val="0070C0"/>
          <w:sz w:val="16"/>
          <w:szCs w:val="16"/>
          <w:lang w:eastAsia="ru-RU" w:bidi="ru-RU"/>
        </w:rPr>
        <w:softHyphen/>
        <w:t>онных полетов (20365).</w:t>
      </w:r>
    </w:p>
    <w:p w14:paraId="50F2B9E0" w14:textId="77777777" w:rsidR="00D25EF2" w:rsidRPr="00C33834" w:rsidRDefault="00D25EF2" w:rsidP="00C33834">
      <w:pPr>
        <w:spacing w:after="0" w:line="240" w:lineRule="auto"/>
        <w:jc w:val="both"/>
        <w:rPr>
          <w:rFonts w:ascii="Times New Roman" w:hAnsi="Times New Roman"/>
          <w:color w:val="0070C0"/>
          <w:sz w:val="16"/>
          <w:szCs w:val="16"/>
        </w:rPr>
      </w:pPr>
    </w:p>
    <w:p w14:paraId="7BFB071B"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был готов проект безлонжеронки ХАИ С.И.Кузьмина и начали строить на ХАЗ, а затем в мастерских ХАИ (553,159).</w:t>
      </w:r>
    </w:p>
    <w:p w14:paraId="684C7F7B"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59C38872"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ЦАГИ подписал договор со Всесоюзным комитетом на постройку АНТ-20 МГ (71,190).</w:t>
      </w:r>
    </w:p>
    <w:p w14:paraId="3D56536F"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33CB90E2"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на аэродром доставили МИ-3 2М-34, где почти еще месяц доводили моторное хозяйство (2310,143).</w:t>
      </w:r>
    </w:p>
    <w:p w14:paraId="2381F37D"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4B66BD87"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состоялся первый полет ТБ-3 (АНТ-6) с М-34 (80,311).</w:t>
      </w:r>
    </w:p>
    <w:p w14:paraId="3F81C9F2"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712D23F3"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ТБ-4 6М-36 был отправлен на аэродром. В течение апреля-июня проводились работы по доводке самолетов и моторов - переделали стабилизатор, наладили моторное хозяйство, установили и отладили ЦЕС и оборудование, переделали капоты и коллекторы, переделали винты, изготовили радиаторы (2310,143).</w:t>
      </w:r>
    </w:p>
    <w:p w14:paraId="6BC915B7"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1C52F1D0"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г. УВВС признало работу по второму экземпляру АНТ-16, он же АНТ-16бис и ТБ-4бис первоочередной, но уже 2 июля, за день до первого полета первого опытного образца, ЦАГИ получил распоряжение остановить сборку узлов. По-видимому, многие уже сделанные части этого самолета использовали потом для самолета АНТ-20 (12024).</w:t>
      </w:r>
    </w:p>
    <w:p w14:paraId="3513746E"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46667ED2"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г. УВВС признало эту работу первоочередной, но уже 2 июля, за день до первого полета первого опытного образца, ЦАГИ получил распоряжение остановить сборку узлов. По-видимому, многие уже сделанные части этого самолета использовали потом для самолета АНТ-20 (12036).</w:t>
      </w:r>
    </w:p>
    <w:p w14:paraId="651C167A"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01973E82" w14:textId="77777777" w:rsidR="00746843" w:rsidRPr="00C33834" w:rsidRDefault="00746843"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НИИ ВВС предложил ЦАГИ заменить на ТБ-6 М-34 на перспективные и в дальнейшем проектировали под М-34ФРН (7425, 20).</w:t>
      </w:r>
    </w:p>
    <w:p w14:paraId="2245C231" w14:textId="77777777" w:rsidR="00746843" w:rsidRPr="00C33834" w:rsidRDefault="00746843" w:rsidP="00C33834">
      <w:pPr>
        <w:tabs>
          <w:tab w:val="left" w:pos="360"/>
        </w:tabs>
        <w:spacing w:after="0" w:line="240" w:lineRule="auto"/>
        <w:jc w:val="both"/>
        <w:rPr>
          <w:rFonts w:ascii="Times New Roman" w:hAnsi="Times New Roman"/>
          <w:color w:val="000000" w:themeColor="text1"/>
          <w:sz w:val="16"/>
          <w:szCs w:val="16"/>
        </w:rPr>
      </w:pPr>
    </w:p>
    <w:p w14:paraId="693797C8" w14:textId="77777777" w:rsidR="00746843" w:rsidRPr="00C33834" w:rsidRDefault="00746843"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г. начальник ВВС РККА Я.И.Алкснис в приказе обязал начальника штаба ВВС перенести часть боевой подготовки с Р-1 и Р-5 на У-2ВС.</w:t>
      </w:r>
    </w:p>
    <w:p w14:paraId="14C6D207" w14:textId="77777777" w:rsidR="00746843" w:rsidRPr="00C33834" w:rsidRDefault="00746843"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Перечень основных отличий У-2ВС от У-2:</w:t>
      </w:r>
    </w:p>
    <w:p w14:paraId="2A7403CD"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На левом борту вблизи передней кабины установ</w:t>
      </w:r>
      <w:r w:rsidRPr="00C33834">
        <w:rPr>
          <w:rFonts w:ascii="Times New Roman" w:hAnsi="Times New Roman"/>
          <w:color w:val="000000" w:themeColor="text1"/>
          <w:sz w:val="16"/>
          <w:szCs w:val="16"/>
        </w:rPr>
        <w:softHyphen/>
        <w:t>лен пулемет ПВ-1 с синхронизатором.</w:t>
      </w:r>
    </w:p>
    <w:p w14:paraId="3FC29E39" w14:textId="77777777" w:rsidR="00746843" w:rsidRPr="00C33834" w:rsidRDefault="00746843"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 борту прорезаны окна для ввода ленты в пуле</w:t>
      </w:r>
      <w:r w:rsidRPr="00C33834">
        <w:rPr>
          <w:rFonts w:ascii="Times New Roman" w:hAnsi="Times New Roman"/>
          <w:color w:val="000000" w:themeColor="text1"/>
          <w:sz w:val="16"/>
          <w:szCs w:val="16"/>
        </w:rPr>
        <w:softHyphen/>
        <w:t>мет, кожуха для сбора гильз и звеньев, для втулки под</w:t>
      </w:r>
      <w:r w:rsidRPr="00C33834">
        <w:rPr>
          <w:rFonts w:ascii="Times New Roman" w:hAnsi="Times New Roman"/>
          <w:color w:val="000000" w:themeColor="text1"/>
          <w:sz w:val="16"/>
          <w:szCs w:val="16"/>
        </w:rPr>
        <w:softHyphen/>
        <w:t>вода троса к гашетке.</w:t>
      </w:r>
    </w:p>
    <w:p w14:paraId="283CC6E0" w14:textId="77777777" w:rsidR="00746843" w:rsidRPr="00C33834" w:rsidRDefault="00746843"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В козырьке кабины со смещением влево установ</w:t>
      </w:r>
      <w:r w:rsidRPr="00C33834">
        <w:rPr>
          <w:rFonts w:ascii="Times New Roman" w:hAnsi="Times New Roman"/>
          <w:color w:val="000000" w:themeColor="text1"/>
          <w:sz w:val="16"/>
          <w:szCs w:val="16"/>
        </w:rPr>
        <w:softHyphen/>
        <w:t>лен прицел,</w:t>
      </w:r>
    </w:p>
    <w:p w14:paraId="3EA654DE" w14:textId="77777777" w:rsidR="00746843" w:rsidRPr="00C33834" w:rsidRDefault="00746843"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 передней кабине на левом борту установлены па</w:t>
      </w:r>
      <w:r w:rsidRPr="00C33834">
        <w:rPr>
          <w:rFonts w:ascii="Times New Roman" w:hAnsi="Times New Roman"/>
          <w:color w:val="000000" w:themeColor="text1"/>
          <w:sz w:val="16"/>
          <w:szCs w:val="16"/>
        </w:rPr>
        <w:softHyphen/>
        <w:t>тронный ящик и ящик для сбора звеньев и гильз.</w:t>
      </w:r>
    </w:p>
    <w:p w14:paraId="0E12AC28" w14:textId="77777777" w:rsidR="00746843" w:rsidRPr="00C33834" w:rsidRDefault="00746843"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В задней кабине установлена турель с пулеметом.</w:t>
      </w:r>
    </w:p>
    <w:p w14:paraId="7D633665" w14:textId="77777777" w:rsidR="00746843" w:rsidRPr="00C33834" w:rsidRDefault="00746843"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На борту задней кабины размещены кассеты для крепления пулеметных дисков.</w:t>
      </w:r>
    </w:p>
    <w:p w14:paraId="622AC5EA" w14:textId="77777777" w:rsidR="00746843" w:rsidRPr="00C33834" w:rsidRDefault="00746843"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Установлен бомбардировочный прицел НВ-5бис.</w:t>
      </w:r>
    </w:p>
    <w:p w14:paraId="1DF77A5A" w14:textId="77777777" w:rsidR="00746843" w:rsidRPr="00C33834" w:rsidRDefault="00746843"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Указанные доработки привели к увеличению веса на 140 кг, скороподъемность снизилась на 2%, потолок - до 2160 м, устойчивость и управляемость не изменились. Максимальная скорость уменьшилась до 137 км/ч у зем</w:t>
      </w:r>
      <w:r w:rsidRPr="00C33834">
        <w:rPr>
          <w:rFonts w:ascii="Times New Roman" w:hAnsi="Times New Roman"/>
          <w:color w:val="000000" w:themeColor="text1"/>
          <w:sz w:val="16"/>
          <w:szCs w:val="16"/>
        </w:rPr>
        <w:softHyphen/>
        <w:t>ли (у исходного У-2 она составляла 152-158 км/ч). Раз</w:t>
      </w:r>
      <w:r w:rsidRPr="00C33834">
        <w:rPr>
          <w:rFonts w:ascii="Times New Roman" w:hAnsi="Times New Roman"/>
          <w:color w:val="000000" w:themeColor="text1"/>
          <w:sz w:val="16"/>
          <w:szCs w:val="16"/>
        </w:rPr>
        <w:softHyphen/>
        <w:t>бег возрос до 180 м, пробег - до 120 м.</w:t>
      </w:r>
    </w:p>
    <w:p w14:paraId="3A1D8817"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сделанным оценкам ориентировочная годовая экономия при использовании У-2ВС равнялась 1412 тыс. рублей (10667).</w:t>
      </w:r>
    </w:p>
    <w:p w14:paraId="19FAB971"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42A8EAC9"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г. было внесено предложение установить внутрифюзеляжные бомбодержатели для вертикальной подвески бомб калибром 50-100 кг. На Р-5. Образцы их хотели приобрести у французской фирмы "Алькан". По-видимому, от этой идеи опять отказались по соображениям экономии. Внутренние же кассеты для мелких бомб наши конструкторы позднее создали самостоятельно, но на серийных Р-5 их не ставили (12034).</w:t>
      </w:r>
    </w:p>
    <w:p w14:paraId="6543E67A"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78EDBEC4" w14:textId="77777777" w:rsidR="00746843" w:rsidRPr="00C33834" w:rsidRDefault="00746843"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годае в НИИ ВС была рассмотрена схема транспортного самолета ТС-1 Можаева с объяснительной запиской Алкснису и было вынесено решение о представлении дополнительного материала в части касающейся аэродинамического расчета и продувок (4213)..</w:t>
      </w:r>
    </w:p>
    <w:p w14:paraId="53BC6D59"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года предъявленный эталон А1-М11 амфибия был отклонен НИИ ВВС вследствие наличия многих дефектов (3516).</w:t>
      </w:r>
    </w:p>
    <w:p w14:paraId="7EBBCAD1"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0560ABD1"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г. начальник Военно-морских сил РККА Орлов отстаивал покупку S.55 вместо внедрения в производство технологически сложных и дорогих цельнометаллических лодок конструкции А.Н.Туполева. Но сделка не состоялась - денег флоту не дали (5686,2). Зато Гражданский воздушный флот (ГВФ) обзавелся небольшой партией S.55 и эксплуатировал их несколько лет. Посещение заводов SIAI и ФИАТ было включено в программу работы комиссии Силина, отправленной за рубеж в 1931 г. В документах об этой загранкомандировке прямо записано, что комиссия «должна выбрать тип гидросамолета, пригодный для работы в наших условиях.». В конечном счете выбор отправившихся за рубеж специалистов пал на S.55 и в 1932 г. заключили договор о поставке в следующем году пяти самолетов. Первоначально речь шла о шести, но затем количество сократили, видимо, по финансовым соображениям. Машины должны были получить большинство усовершенствований, внесенных на новейшей тогда модификации S.55X - лодки измененных очертаний, зализы на стыках, мощные моторы ASSO 750 (880/940 л.с.). Вместе с тем предполагалось оборудование пассажирских салонов в обеих лодках по типу более ранней гражданской модификации S.55P (5486,2).</w:t>
      </w:r>
    </w:p>
    <w:p w14:paraId="68AC1603"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414B69B8" w14:textId="77777777" w:rsidR="00D25EF2" w:rsidRPr="00C33834" w:rsidRDefault="00D25EF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марте 1933 на заводе № 31 уже приступили к подготовке серийного производства новой модификации МБР-4, используя чертежи, присланные из ЦАГИ (21410).</w:t>
      </w:r>
    </w:p>
    <w:p w14:paraId="05238D6A" w14:textId="77777777" w:rsidR="00D25EF2" w:rsidRPr="00C33834" w:rsidRDefault="00D25EF2" w:rsidP="00C33834">
      <w:pPr>
        <w:spacing w:after="0" w:line="240" w:lineRule="auto"/>
        <w:jc w:val="both"/>
        <w:rPr>
          <w:rFonts w:ascii="Times New Roman" w:hAnsi="Times New Roman"/>
          <w:color w:val="0070C0"/>
          <w:sz w:val="16"/>
          <w:szCs w:val="16"/>
        </w:rPr>
      </w:pPr>
    </w:p>
    <w:p w14:paraId="2CD56DEC"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пришло распоряжение ГУАП строить на заводе № 125 МДР-4 по чертежам таганрогского завода №31, а поставку чертежей обещали начать лишь в мае, да и то начинать предлагалось с оперения, затем строить поплавки, центроплан и только к 1 июля обещали прислать чертежи на саму лодку и крыло. Последние чертежи - вооружение и оборудование намеревались передать в Иркутск только в августе. Но 31 -й завод сам был в сложном положении, поскольку ЦАГИ постоянно вносил изменения в чертежи и испытания первого опытного самолета начались только в марте 1934 г. 16 апреля МДР-4 потерпел катастрофу, в которой погибли начальник морской бригады КОСОС ЦАГИ И.И.Погосский и летчик испытатель Иванов. Вторая машина вышла на испытания в октябре, но и ее постигла трагедия - в сентябре 1935 г. в полете на ней стала вспучиваться обшивка крыла, экипаж начал экстренное снижение и сумел посадить аварийный самолет, и, когда казалось самое неприятное было уже позади, машина наскочила на скалу и сгорела от начавшегося пожара (12037).</w:t>
      </w:r>
    </w:p>
    <w:p w14:paraId="12E6C1BE"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39A342AE"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была подготовлена Сводка о выполнении решений КО.</w:t>
      </w:r>
    </w:p>
    <w:p w14:paraId="4741F0F1"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Постановление СТО за N 538/177сс от 16.05.32 г., N 1153-345сс - 14.11.32 г. и N 158 - 25.07.31 г.</w:t>
      </w:r>
    </w:p>
    <w:p w14:paraId="47C51E53"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Заключить договор Глававиапрому на техническую помощь с Американской фирмой "Райт-Кертис" - взяв в основу мотор воздушного охлаждения "Райт-Циклон" новейшей конструкции, а по водяному охлаждению новейший образец мотора "Кертис-Конкверер" с нагнетателем и редуктором.</w:t>
      </w:r>
    </w:p>
    <w:p w14:paraId="702928A5"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по закупке образцов моторов и самолетов.</w:t>
      </w:r>
    </w:p>
    <w:p w14:paraId="7609419E"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Были закуплены:</w:t>
      </w:r>
    </w:p>
    <w:p w14:paraId="5C273804"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1 авиадизель мотор "Мерседес-Бенц" - 16/50 НР.</w:t>
      </w:r>
    </w:p>
    <w:p w14:paraId="679CE7C3"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2 авиадизель мотора "ЮМО-4" - 720 НР.</w:t>
      </w:r>
    </w:p>
    <w:p w14:paraId="09741CC7"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1 авиадизель мотор "Даймлер-Бенц" - 700/750НР.</w:t>
      </w:r>
    </w:p>
    <w:p w14:paraId="4680B836"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2 авиамотора "Райт-Циклон" 1820 2" - 725 НР.</w:t>
      </w:r>
    </w:p>
    <w:p w14:paraId="5327D91E"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2 авиамотора "Райт-Циклон" 1820 3" - 650 НР.</w:t>
      </w:r>
    </w:p>
    <w:p w14:paraId="3AC12426"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3 авиамотора "Суперконкверер" фирмы Кертис 600 НР.</w:t>
      </w:r>
    </w:p>
    <w:p w14:paraId="1E948DE3"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2 авиамотора "Роллс-Ройс" "Кестрел 2" 480 НР.</w:t>
      </w:r>
    </w:p>
    <w:p w14:paraId="44140D43"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3 мотора "Бристоль" "Меркур IV 2" - 620/650 НР.</w:t>
      </w:r>
    </w:p>
    <w:p w14:paraId="504DAE56"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1 мотор "Армстронг Сиддлей" "Тигр" - 590 НР.</w:t>
      </w:r>
    </w:p>
    <w:p w14:paraId="4F2601C4"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1 самолет "Ферри" "Фарфляй" - истребитель с мотором "Кестрел".</w:t>
      </w:r>
    </w:p>
    <w:p w14:paraId="001EA4F5"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По переговорам с Кертис-Райт по приобретению лицензии и техпомощи на два мотора Циклон 725 НР и Конкверер, около 650 НР - можно ожидать, что в ближайшее время договор будет подписан (3082).</w:t>
      </w:r>
    </w:p>
    <w:p w14:paraId="32AAFBEF"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Постановление СТО N 158 от 25.07.31 г. - о реализации договора с итальянской фирмой "Фиат".</w:t>
      </w:r>
    </w:p>
    <w:p w14:paraId="648FCAC1"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Договор заключен 6.09.32 г. по оказанию техпомощи на постройку (и проектирование) Центрального литейного завода и реконструкцию литейных заводов NN 26 и 24. (3082).</w:t>
      </w:r>
    </w:p>
    <w:p w14:paraId="7B62288C"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7FBA8C46"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в Генштабе РККА рассматривал вопрос о гидроавиации и решили, что его "необходимо выдвинуть на первый план не за счет заграничных закупок, в путем постройки заводов и создания новых конструкций гидросамолетов" (2555,14).</w:t>
      </w:r>
    </w:p>
    <w:p w14:paraId="32A45EBA"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66D2E4CD"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году в завод Авиаприбор был переведен в новые корпуса в Кутузовской слободе. На старой площадке были оставлены все прочие виды продукции, на которой продолжало функционировать производство под названием завод «ДИЗПРИБОР».</w:t>
      </w:r>
    </w:p>
    <w:p w14:paraId="43A08781"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1936 году заводу был присвоен № 213. В 1937 году бывш. директор завода Грицов был освобожден от занимаемой должности. Гл. конструктор – Шехтман М.А. С 1937 года директором был назначен Малахов Ф. 13 февраля 1938 года приказом НКОП Малахов был освобожден от занимаемой должности. С февраля 1938 года директором назначен Михайлов К.И. В ноябре 1940 года гл. конструктором был назначен Антипов Е.Ф. Во второй половине 1941 года после начала ВОВ завод № 213 был эвакуирован в Энгельс и размещен на промплощадке Мясокомбината в недостроенных корпусах, расположенного в 12 км от Энгельса. К 15 февраля 1942 года завод был введен в действующие предприятия и начал производить нормальный выпуск авиаприборов. В апреле 1942 года директором завода был назначен Березин М.Д. В апреле 1944 года директором завода был назначен Гоцеридзе М.С. С января 1945 года – директор Кочеров П.П.</w:t>
      </w:r>
    </w:p>
    <w:p w14:paraId="007B4372"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Решением Правительства в мае 1943 года было переведено в Москву манометрическое производство на ныне действующий завод № 133. В августе 1944 года Постановлением Правительства было выделено КБ во главе с конструктором Антиповым Е.Ф. и перебазировано в Москву на территорию завода № 122, а также частично переброшено производство гироскопических приборов.</w:t>
      </w:r>
    </w:p>
    <w:p w14:paraId="13D72F41"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освобождения промплощадки Мясокомбинату распоряжением СНК от 3 декабря 1945 года за № 1737рс и последующим приказом НКАП от 28 января 1946 года за № 21с, завод № 213 из Энгельса подлежал перебазировке в Саратов на промплощадку бывш. деревообделочного завода № 167 НКАП. В конце 1941 года Мебельный завод № 2 был присоединен к заводу № 292 в качестве его филиала и перешел на изготовление деревянных лыж и винтов для самолетов. В 1942 году на эту промплощадку был перебазирован завод № 167, изготовлявший деревянные винты, лыжи и прочие деревянные детали для самолетов.</w:t>
      </w:r>
    </w:p>
    <w:p w14:paraId="413C84FD"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213 должен был специализироваться на выпуске авиационных приборов, согласно проектного задания, гироскопических и манометрических приборов.</w:t>
      </w:r>
    </w:p>
    <w:p w14:paraId="49C6C1FA"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Постановлением СМ от 29 мая 1951 года № 1337-379сс и приказом МАП за № 935сс от 4 сентября 1951 года филиал завода № 213, расположенный на промплощадке Мясокомбината в Энгельсе организован новый завод № 878.</w:t>
      </w:r>
    </w:p>
    <w:p w14:paraId="690C70BB"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Приказом МАП № 935сс от 4 сентября 1951 года завод № 213 обязывался передать все манометрические изделия, выпускаемые заводом, а на промплощадке завода в Саратове внедрить новые гироскопические изделия и специализироваться по гироскопическим авиационным изделиям. 4 сентября 1951 года директором завода был назначен Смирнов Е.М.</w:t>
      </w:r>
    </w:p>
    <w:p w14:paraId="1D4D98C4"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 Смирнов</w:t>
      </w:r>
    </w:p>
    <w:p w14:paraId="44EA6115"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Адрес: Саратов 5, п/я 176, Б. Садовая, д. 239</w:t>
      </w:r>
    </w:p>
    <w:p w14:paraId="6E9B4036"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Производственный профиль – авиаприборостроение, гироскопическое-ракетное (9837).</w:t>
      </w:r>
    </w:p>
    <w:p w14:paraId="54FB52CC"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48A44DA0"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г. на Черном море начались испытания АНТ-5, завершившие</w:t>
      </w:r>
      <w:r w:rsidRPr="00C33834">
        <w:rPr>
          <w:rFonts w:ascii="Times New Roman" w:hAnsi="Times New Roman"/>
          <w:color w:val="000000" w:themeColor="text1"/>
          <w:sz w:val="16"/>
          <w:szCs w:val="16"/>
        </w:rPr>
        <w:softHyphen/>
        <w:t>ся 1 августа 1934 г. подписанием акта, где были отмечены "высо</w:t>
      </w:r>
      <w:r w:rsidRPr="00C33834">
        <w:rPr>
          <w:rFonts w:ascii="Times New Roman" w:hAnsi="Times New Roman"/>
          <w:color w:val="000000" w:themeColor="text1"/>
          <w:sz w:val="16"/>
          <w:szCs w:val="16"/>
        </w:rPr>
        <w:softHyphen/>
        <w:t>кие тактические качества принятого глиссера". Обводы АНТ-5 в основном повторяли АНТ-4 с увеличением длины корпуса на 460 мм. Улучшение конструкции свелось к уст</w:t>
      </w:r>
      <w:r w:rsidRPr="00C33834">
        <w:rPr>
          <w:rFonts w:ascii="Times New Roman" w:hAnsi="Times New Roman"/>
          <w:color w:val="000000" w:themeColor="text1"/>
          <w:sz w:val="16"/>
          <w:szCs w:val="16"/>
        </w:rPr>
        <w:softHyphen/>
        <w:t>ранению мелких недостатков и более эффективному предотвраще</w:t>
      </w:r>
      <w:r w:rsidRPr="00C33834">
        <w:rPr>
          <w:rFonts w:ascii="Times New Roman" w:hAnsi="Times New Roman"/>
          <w:color w:val="000000" w:themeColor="text1"/>
          <w:sz w:val="16"/>
          <w:szCs w:val="16"/>
        </w:rPr>
        <w:softHyphen/>
        <w:t>нию коррозии дюралевого корпуса. В то же время на катер при</w:t>
      </w:r>
      <w:r w:rsidRPr="00C33834">
        <w:rPr>
          <w:rFonts w:ascii="Times New Roman" w:hAnsi="Times New Roman"/>
          <w:color w:val="000000" w:themeColor="text1"/>
          <w:sz w:val="16"/>
          <w:szCs w:val="16"/>
        </w:rPr>
        <w:softHyphen/>
        <w:t>шлось установить итальянские авиационные моторы "Изотта-Фраскини" мощностью по 1000 л. с. вместо предполагавшихся 600-сильных "Райт-тайфун". Это позволило достичь очень высокой скорости — 65,3 уз без нагрузки и 58 уз в полном грузу, но привело к серьезным изменениям конструкции при организации серийной постройки (3898).</w:t>
      </w:r>
    </w:p>
    <w:p w14:paraId="6242D415"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38CF051E"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марте 1933 г. Советское правительство, давая заказ на первую крупную партию пулеметов и учитывая, что при всех достоинствах пулеметов системы ШКАС их первые выпуски, изготовленные по чертежам опытного образца, имели недостаточную живучесть - около 1500- 2000 выстрелов, предложило конструкторам повысить их живучесть, доведя ее до 5000 выстрелов. </w:t>
      </w:r>
    </w:p>
    <w:p w14:paraId="7904216B"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Задание правительства было выполнено в короткие сроки, и в апреле 1933 г. Шпитальный и Комарицкий представили образец, который отличался от своего предшественника не только лучшей живучестью, но и некоторыми изменениями, положительно сказавшимися на простоте конструкции пулемета. В новой модели была существенно изменена ее основная деталь - коробка, введены пять новых деталей вместо тринадцати упраздненных. Эти переделки повлекли за собой значительное количество изменений размеров и допусков сопряженных деталей (11316).</w:t>
      </w:r>
    </w:p>
    <w:p w14:paraId="2E82F7B0"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7164F17A" w14:textId="77777777" w:rsidR="00746843" w:rsidRPr="00C33834" w:rsidRDefault="00746843" w:rsidP="00C33834">
      <w:pPr>
        <w:pStyle w:val="a3"/>
        <w:rPr>
          <w:color w:val="000000" w:themeColor="text1"/>
          <w:lang w:val="ru-RU"/>
        </w:rPr>
      </w:pPr>
      <w:r w:rsidRPr="00C33834">
        <w:rPr>
          <w:color w:val="000000" w:themeColor="text1"/>
          <w:lang w:val="ru-RU"/>
        </w:rPr>
        <w:t>В марте1933 г. первый образец АПК-11 был передан в ЦАГИ (12091).</w:t>
      </w:r>
    </w:p>
    <w:p w14:paraId="4890CDA8" w14:textId="77777777" w:rsidR="00746843" w:rsidRPr="00C33834" w:rsidRDefault="00746843" w:rsidP="00C33834">
      <w:pPr>
        <w:pStyle w:val="a3"/>
        <w:rPr>
          <w:color w:val="000000" w:themeColor="text1"/>
          <w:lang w:val="ru-RU"/>
        </w:rPr>
      </w:pPr>
    </w:p>
    <w:p w14:paraId="762E7514"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в г. Балашове Саратовской области был создан «Ремонтный завод № 88 Гражданского воздушного флота» (ГВФ) с задачей ремонта самолетов и моторов для нужд народного хозяйства и спецавтотранспорта для аэродромного обслуживания.</w:t>
      </w:r>
    </w:p>
    <w:p w14:paraId="6F4E724E"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1939 Решением Государственного Комитета Обороны СССР «Ремонтный завод № 88 ГВФ» передан в Наркомат Обороны Красной Армии и получает наименование «Балашовские авиационные мастерские» с задачей ремонта самолетов, авиамоторов, спецатотранспорта для нужд Военно-Воздушных Сил Красной Армии. В годы Великой Отечественной войны 1941-1945 гг. Балашовские авиамоторные мастерские выполняли боевую задачу по ремонту самолетов, авиамоторов для фронтовых полков и летных училищ. В марте 1943 «Балашовские стационарные авиаремонтные мастерские» выведены из состава действующих Армий и получили наименование «401 Центральная авиационная ремонтная база ВВС Красной Армии».</w:t>
      </w:r>
    </w:p>
    <w:p w14:paraId="2F8405D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Каждый четвертый самолет, каждый пятый мотор от общего количества, отремонтированных в годы Великой Отечественной войны всеми стационарными ремонтными органами ВВС КА, были отремонтированы в цехах Балашовской «401 Центральной авиаремонтной базы».</w:t>
      </w:r>
    </w:p>
    <w:p w14:paraId="76E19592"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1952 «401 Центральная авиационная ремонтная база» реорганизуется в «129 Авиационный ремонтный завод».</w:t>
      </w:r>
    </w:p>
    <w:p w14:paraId="4733FB4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1962 «129 Авиационный ремонтный завод» передан в состав Ракетных войск стратегического назначения (РВСН) и переименован в «Центральный ремонтный завод РВСН».</w:t>
      </w:r>
    </w:p>
    <w:p w14:paraId="303B8260"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129 ЦРЗ РВСН был единственным заводом, освоившим и производившим капитальный ремонт двухступенчатых межконтинентальных баллистических ракет (МБР) 8К64У-УБ, 8К67 и ракеты 8К84.</w:t>
      </w:r>
    </w:p>
    <w:p w14:paraId="76055D7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Одновременно с производством капитальных ремонтов сложной военной техники завод освоил серийное изготовление учебно-тренировочных средств для обучения расчетов.</w:t>
      </w:r>
    </w:p>
    <w:p w14:paraId="46DF67B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ФГУП «Рембаза» МО РФ – головное предприятие по изготовлению, ремонту и гарантийному надзору по системам охраны объектов РВСН.</w:t>
      </w:r>
    </w:p>
    <w:p w14:paraId="039B787C"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последние годы было освоено новое семейство тренажеров на базе микропроцессорной техники по заказам боевой подготовки РВСН.</w:t>
      </w:r>
    </w:p>
    <w:p w14:paraId="7E69D0B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Руководители предприятия: Марченко А.И. (1963-1972); Бенедиктов В.А. (1972-1978); Бучинскас Ч.А. (1978-1986); Гайшун В.Н. (1986-1995); Борисов Л.Е. (с 1995 – по наст. время) (12232).</w:t>
      </w:r>
    </w:p>
    <w:p w14:paraId="3C78C1A4" w14:textId="77777777" w:rsidR="002E1BE7" w:rsidRPr="00C33834" w:rsidRDefault="002E1BE7" w:rsidP="00C33834">
      <w:pPr>
        <w:spacing w:after="0" w:line="240" w:lineRule="auto"/>
        <w:jc w:val="both"/>
        <w:rPr>
          <w:rFonts w:ascii="Times New Roman" w:hAnsi="Times New Roman"/>
          <w:color w:val="000000" w:themeColor="text1"/>
          <w:sz w:val="16"/>
          <w:szCs w:val="16"/>
        </w:rPr>
      </w:pPr>
    </w:p>
    <w:p w14:paraId="7FA97D3A" w14:textId="77777777" w:rsidR="00746843" w:rsidRPr="00C33834" w:rsidRDefault="00746843" w:rsidP="00C33834">
      <w:pPr>
        <w:pStyle w:val="a3"/>
        <w:rPr>
          <w:color w:val="000000" w:themeColor="text1"/>
          <w:lang w:val="ru-RU"/>
        </w:rPr>
      </w:pPr>
      <w:r w:rsidRPr="00C33834">
        <w:rPr>
          <w:color w:val="000000" w:themeColor="text1"/>
          <w:lang w:val="ru-RU"/>
        </w:rPr>
        <w:t>В марте 1933 г. в отчетном док</w:t>
      </w:r>
      <w:r w:rsidRPr="00C33834">
        <w:rPr>
          <w:color w:val="000000" w:themeColor="text1"/>
          <w:lang w:val="ru-RU"/>
        </w:rPr>
        <w:softHyphen/>
        <w:t>ладе начальника НИИ ВВС за 1-ю пятилетку в разделе, посвященном перспективным задачам, есть пункт «распыление горючих жидкостей». Первое же упоминание об реаль</w:t>
      </w:r>
      <w:r w:rsidRPr="00C33834">
        <w:rPr>
          <w:color w:val="000000" w:themeColor="text1"/>
          <w:lang w:val="ru-RU"/>
        </w:rPr>
        <w:softHyphen/>
        <w:t>ных испытаниях устройства для вы</w:t>
      </w:r>
      <w:r w:rsidRPr="00C33834">
        <w:rPr>
          <w:color w:val="000000" w:themeColor="text1"/>
          <w:lang w:val="ru-RU"/>
        </w:rPr>
        <w:softHyphen/>
        <w:t>ливания «огневой жидкости» на</w:t>
      </w:r>
      <w:r w:rsidRPr="00C33834">
        <w:rPr>
          <w:color w:val="000000" w:themeColor="text1"/>
          <w:lang w:val="ru-RU"/>
        </w:rPr>
        <w:softHyphen/>
        <w:t>шлось в отчете НИИ ВВС за 1-е полугодие 1934 г. Но из него нельзя понять, что же именно тогда исполь</w:t>
      </w:r>
      <w:r w:rsidRPr="00C33834">
        <w:rPr>
          <w:color w:val="000000" w:themeColor="text1"/>
          <w:lang w:val="ru-RU"/>
        </w:rPr>
        <w:softHyphen/>
        <w:t>зовали.</w:t>
      </w:r>
    </w:p>
    <w:p w14:paraId="2436134E" w14:textId="77777777" w:rsidR="00746843" w:rsidRPr="00C33834" w:rsidRDefault="00746843" w:rsidP="00C33834">
      <w:pPr>
        <w:pStyle w:val="a3"/>
        <w:rPr>
          <w:color w:val="000000" w:themeColor="text1"/>
          <w:lang w:val="ru-RU"/>
        </w:rPr>
      </w:pPr>
      <w:r w:rsidRPr="00C33834">
        <w:rPr>
          <w:color w:val="000000" w:themeColor="text1"/>
          <w:lang w:val="ru-RU"/>
        </w:rPr>
        <w:t>Гораздо больше подробностей известно об испытаниях в 1935 г. Тогда приспособили универсальный (способный работать и с раство</w:t>
      </w:r>
      <w:r w:rsidRPr="00C33834">
        <w:rPr>
          <w:color w:val="000000" w:themeColor="text1"/>
          <w:lang w:val="ru-RU"/>
        </w:rPr>
        <w:softHyphen/>
        <w:t>рами отравляющих веществ, и с дымовой смесью) химический при</w:t>
      </w:r>
      <w:r w:rsidRPr="00C33834">
        <w:rPr>
          <w:color w:val="000000" w:themeColor="text1"/>
          <w:lang w:val="ru-RU"/>
        </w:rPr>
        <w:softHyphen/>
        <w:t>бор УХАП-3. Испытания его прово</w:t>
      </w:r>
      <w:r w:rsidRPr="00C33834">
        <w:rPr>
          <w:color w:val="000000" w:themeColor="text1"/>
          <w:lang w:val="ru-RU"/>
        </w:rPr>
        <w:softHyphen/>
        <w:t>дили в феврале 1935 г. Два прибо</w:t>
      </w:r>
      <w:r w:rsidRPr="00C33834">
        <w:rPr>
          <w:color w:val="000000" w:themeColor="text1"/>
          <w:lang w:val="ru-RU"/>
        </w:rPr>
        <w:softHyphen/>
        <w:t>ра подвешивались под нижним кры</w:t>
      </w:r>
      <w:r w:rsidRPr="00C33834">
        <w:rPr>
          <w:color w:val="000000" w:themeColor="text1"/>
          <w:lang w:val="ru-RU"/>
        </w:rPr>
        <w:softHyphen/>
        <w:t>лом биплана Р-5. В баки залили сырую нефть, по 20 л в каждый. Ее вытесняли сжатым воздухом через стальные трубы, шедшие под фюзе</w:t>
      </w:r>
      <w:r w:rsidRPr="00C33834">
        <w:rPr>
          <w:color w:val="000000" w:themeColor="text1"/>
          <w:lang w:val="ru-RU"/>
        </w:rPr>
        <w:softHyphen/>
        <w:t>ляжем до руля направления. Нефть била из выходного насадка диамет</w:t>
      </w:r>
      <w:r w:rsidRPr="00C33834">
        <w:rPr>
          <w:color w:val="000000" w:themeColor="text1"/>
          <w:lang w:val="ru-RU"/>
        </w:rPr>
        <w:softHyphen/>
        <w:t>ром 7 мм (такие применялись при работе в режиме дымопуска) сплош</w:t>
      </w:r>
      <w:r w:rsidRPr="00C33834">
        <w:rPr>
          <w:color w:val="000000" w:themeColor="text1"/>
          <w:lang w:val="ru-RU"/>
        </w:rPr>
        <w:softHyphen/>
        <w:t>ной струей длиной 3-4 м, а потом распылялась. Запаса хватало на 20- 25 с. Слив проводили с бреющего полета, зажигать нефть не пытались. Может быть, это и к лучшему, по</w:t>
      </w:r>
      <w:r w:rsidRPr="00C33834">
        <w:rPr>
          <w:color w:val="000000" w:themeColor="text1"/>
          <w:lang w:val="ru-RU"/>
        </w:rPr>
        <w:softHyphen/>
        <w:t>скольку нижнюю часть руля направ</w:t>
      </w:r>
      <w:r w:rsidRPr="00C33834">
        <w:rPr>
          <w:color w:val="000000" w:themeColor="text1"/>
          <w:lang w:val="ru-RU"/>
        </w:rPr>
        <w:softHyphen/>
        <w:t>ления забрызгали.</w:t>
      </w:r>
    </w:p>
    <w:p w14:paraId="498F6D47" w14:textId="77777777" w:rsidR="00746843" w:rsidRPr="00C33834" w:rsidRDefault="00746843" w:rsidP="00C33834">
      <w:pPr>
        <w:pStyle w:val="a3"/>
        <w:rPr>
          <w:color w:val="000000" w:themeColor="text1"/>
          <w:lang w:val="ru-RU"/>
        </w:rPr>
      </w:pPr>
      <w:r w:rsidRPr="00C33834">
        <w:rPr>
          <w:color w:val="000000" w:themeColor="text1"/>
          <w:lang w:val="ru-RU"/>
        </w:rPr>
        <w:t>Затем насадок заменили на дру</w:t>
      </w:r>
      <w:r w:rsidRPr="00C33834">
        <w:rPr>
          <w:color w:val="000000" w:themeColor="text1"/>
          <w:lang w:val="ru-RU"/>
        </w:rPr>
        <w:softHyphen/>
        <w:t>гой, с отверстием большего разме</w:t>
      </w:r>
      <w:r w:rsidRPr="00C33834">
        <w:rPr>
          <w:color w:val="000000" w:themeColor="text1"/>
          <w:lang w:val="ru-RU"/>
        </w:rPr>
        <w:softHyphen/>
        <w:t>ра, применявшийся при работе в режиме выливного прибора. В баки залили побольше нефти, по 40 л, но слили ее всего за 5-7 с. При этом облили весь низ фюзеляжа, жидкость попала даже в кабину летнаба.</w:t>
      </w:r>
    </w:p>
    <w:p w14:paraId="1E6023BF" w14:textId="77777777" w:rsidR="00746843" w:rsidRPr="00C33834" w:rsidRDefault="00746843" w:rsidP="00C33834">
      <w:pPr>
        <w:pStyle w:val="a3"/>
        <w:rPr>
          <w:color w:val="000000" w:themeColor="text1"/>
          <w:lang w:val="ru-RU"/>
        </w:rPr>
      </w:pPr>
      <w:r w:rsidRPr="00C33834">
        <w:rPr>
          <w:color w:val="000000" w:themeColor="text1"/>
          <w:lang w:val="ru-RU"/>
        </w:rPr>
        <w:t>В третий раз взяли всего один прибор, закрепленный под фюзеля</w:t>
      </w:r>
      <w:r w:rsidRPr="00C33834">
        <w:rPr>
          <w:color w:val="000000" w:themeColor="text1"/>
          <w:lang w:val="ru-RU"/>
        </w:rPr>
        <w:softHyphen/>
        <w:t>жем. Сверху от выпускной горлови</w:t>
      </w:r>
      <w:r w:rsidRPr="00C33834">
        <w:rPr>
          <w:color w:val="000000" w:themeColor="text1"/>
          <w:lang w:val="ru-RU"/>
        </w:rPr>
        <w:softHyphen/>
        <w:t>ны закрепили овальной формы вы</w:t>
      </w:r>
      <w:r w:rsidRPr="00C33834">
        <w:rPr>
          <w:color w:val="000000" w:themeColor="text1"/>
          <w:lang w:val="ru-RU"/>
        </w:rPr>
        <w:softHyphen/>
        <w:t>тянутый щит длиной 1,5 м. В бак залили 80 л нефти. Насадок был тот же, что и во второй раз. Слив про</w:t>
      </w:r>
      <w:r w:rsidRPr="00C33834">
        <w:rPr>
          <w:color w:val="000000" w:themeColor="text1"/>
          <w:lang w:val="ru-RU"/>
        </w:rPr>
        <w:softHyphen/>
        <w:t>изводили с высоты 50-80 м, запаса в баке хватило на 8-10 с. Немного забрызгали низ руля направления и растяжки стабилизатора.</w:t>
      </w:r>
    </w:p>
    <w:p w14:paraId="69481FE4" w14:textId="77777777" w:rsidR="00746843" w:rsidRPr="00C33834" w:rsidRDefault="00746843" w:rsidP="00C33834">
      <w:pPr>
        <w:pStyle w:val="a3"/>
        <w:rPr>
          <w:color w:val="000000" w:themeColor="text1"/>
          <w:lang w:val="ru-RU"/>
        </w:rPr>
      </w:pPr>
      <w:r w:rsidRPr="00C33834">
        <w:rPr>
          <w:color w:val="000000" w:themeColor="text1"/>
          <w:lang w:val="ru-RU"/>
        </w:rPr>
        <w:t>В четвертом заходе УХАП-3 под</w:t>
      </w:r>
      <w:r w:rsidRPr="00C33834">
        <w:rPr>
          <w:color w:val="000000" w:themeColor="text1"/>
          <w:lang w:val="ru-RU"/>
        </w:rPr>
        <w:softHyphen/>
        <w:t>весили под крылом слева, а справа закрепили противовес в 160 кг. После слива крыло оказалось со</w:t>
      </w:r>
      <w:r w:rsidRPr="00C33834">
        <w:rPr>
          <w:color w:val="000000" w:themeColor="text1"/>
          <w:lang w:val="ru-RU"/>
        </w:rPr>
        <w:softHyphen/>
        <w:t>всем мокрым (12022).</w:t>
      </w:r>
    </w:p>
    <w:p w14:paraId="0EFC4EF0" w14:textId="77777777" w:rsidR="00746843" w:rsidRPr="00C33834" w:rsidRDefault="00746843" w:rsidP="00C33834">
      <w:pPr>
        <w:pStyle w:val="a3"/>
        <w:rPr>
          <w:color w:val="000000" w:themeColor="text1"/>
          <w:lang w:val="ru-RU"/>
        </w:rPr>
      </w:pPr>
    </w:p>
    <w:p w14:paraId="006D1041"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был подготовлен Отчет Г.П. Новикова М.Н. Тухачевскому о работе созданной им комиссии для разработки структуры РНИИ. Комиссия в составе И.Т. Клейменова, СПК, Я.М. Терентьева к согласию не пришла. Г.П. Новиков предложил свою структуру, которая в дальнейшем была принята: в подчинении начальника РНИИ — все проектные и конструкторские подразделения по ракетам различных типов; в подчинении заместителя начальника РНИИ СПК — АХО, механические мастерские, техническое бюро, светокопировальный отдел, чертежно-копировальный сектор, техническая библиотека, химический отдел (ААН, р. 4, оп. 14, № 243, л. 21) (10676).</w:t>
      </w:r>
    </w:p>
    <w:p w14:paraId="73153087"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0EF39D9D" w14:textId="77777777" w:rsidR="00746843"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2F244B6" w14:textId="77777777" w:rsidR="00746843" w:rsidRPr="00C33834" w:rsidRDefault="00746843" w:rsidP="00C33834">
      <w:pPr>
        <w:spacing w:after="0" w:line="240" w:lineRule="auto"/>
        <w:jc w:val="both"/>
        <w:rPr>
          <w:rFonts w:ascii="Times New Roman" w:hAnsi="Times New Roman"/>
          <w:iCs/>
          <w:color w:val="000000" w:themeColor="text1"/>
          <w:sz w:val="16"/>
          <w:szCs w:val="16"/>
        </w:rPr>
      </w:pPr>
    </w:p>
    <w:p w14:paraId="1342C832"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после сдачи представителям военной приемки последних БТ-2 с 37-мм пушкой ХПЗ начал выпуск БТ-5 (3880).</w:t>
      </w:r>
    </w:p>
    <w:p w14:paraId="0406E3FC"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44EEF076" w14:textId="77777777" w:rsidR="00D25EF2" w:rsidRPr="00C33834" w:rsidRDefault="00D25EF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 марте 1933 г. на ХПЗ начался выпуск танка БТ-5 — модернизированного БТ-2 с новой башней, в которой монтировались 45-мм пушка 20-К и 7,62-мм пулемет ДТ. Часть танков оборудовались радиостанцией (для ее размещения пришлось уменьшить боекомплект к пушке). Башни сначала изготавливали Мариупольский завод (с малой кормовой нишей) и Ижорский завод (с большой нишей, унифицированная с башней танка Т-26). Часть башен были сварными, остальные — клепаными. В 1934 г. единственным постав</w:t>
      </w:r>
      <w:r w:rsidRPr="00C33834">
        <w:rPr>
          <w:rFonts w:ascii="Times New Roman" w:hAnsi="Times New Roman"/>
          <w:color w:val="0070C0"/>
          <w:sz w:val="16"/>
          <w:szCs w:val="16"/>
          <w:lang w:eastAsia="ru-RU" w:bidi="ru-RU"/>
        </w:rPr>
        <w:softHyphen/>
        <w:t>щиком башен остался Ижорский завод. Всего в 1933—1934 гг. изготовили1887 танков БТ-5 (в том числе 263 с радиостанциями). 50 БТ-5 в 1937 г. отправили в республиканскую Испанию — это стало первой поставкой на экспорт бронетехники украинского производства (23180).</w:t>
      </w:r>
    </w:p>
    <w:p w14:paraId="1D8BB38A" w14:textId="77777777" w:rsidR="00D25EF2" w:rsidRPr="00C33834" w:rsidRDefault="00D25EF2" w:rsidP="00C33834">
      <w:pPr>
        <w:spacing w:after="0" w:line="240" w:lineRule="auto"/>
        <w:jc w:val="both"/>
        <w:rPr>
          <w:rFonts w:ascii="Times New Roman" w:hAnsi="Times New Roman"/>
          <w:color w:val="0070C0"/>
          <w:sz w:val="16"/>
          <w:szCs w:val="16"/>
        </w:rPr>
      </w:pPr>
    </w:p>
    <w:p w14:paraId="1764E868"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два восстановленных на ХПЗ танка Кристи Оригинал-1 и Оригинал-2 были направлены в цех Т20 отдела Т2 ХПЗ (3879,15).</w:t>
      </w:r>
    </w:p>
    <w:p w14:paraId="1534978E"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1DA6D7CA"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БТ-5, усовершенствованный, более технологичный, с М-5 вместо Либерти и 45-мм пушкой вместо 37-мм сменил на конвейере БТ-2 (3881,3).</w:t>
      </w:r>
    </w:p>
    <w:p w14:paraId="24B11283"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381FF2EC"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на полигоне в Кунцево прошел испытания танк Т-26 (БПК), разработанный в 1932 ОКБ-1 ГАУ на заводе №8 под руководством Л.В.Курчевского в целях повышения огневой мощи. В правой башне вместо 37 мм пушки стояла 76 мм БПК (9527,92).</w:t>
      </w:r>
    </w:p>
    <w:p w14:paraId="3CB71E94"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581CDB3F" w14:textId="77777777" w:rsidR="0099326E" w:rsidRPr="00C33834" w:rsidRDefault="0099326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марте 1933 года представитель военного склада №60 сообщил об отсутствии брони для изготовления бронепоездов. В результате представители УММ РККА приняли решение о возможной замене брони толщиной 10 и </w:t>
      </w:r>
      <w:smartTag w:uri="urn:schemas-microsoft-com:office:smarttags" w:element="metricconverter">
        <w:smartTagPr>
          <w:attr w:name="ProductID" w:val="1945 г"/>
        </w:smartTagPr>
        <w:r w:rsidRPr="00C33834">
          <w:rPr>
            <w:rFonts w:ascii="Times New Roman" w:hAnsi="Times New Roman"/>
            <w:color w:val="000000" w:themeColor="text1"/>
            <w:sz w:val="16"/>
            <w:szCs w:val="16"/>
          </w:rPr>
          <w:t>15 мм</w:t>
        </w:r>
      </w:smartTag>
      <w:r w:rsidRPr="00C33834">
        <w:rPr>
          <w:rFonts w:ascii="Times New Roman" w:hAnsi="Times New Roman"/>
          <w:color w:val="000000" w:themeColor="text1"/>
          <w:sz w:val="16"/>
          <w:szCs w:val="16"/>
        </w:rPr>
        <w:t xml:space="preserve"> другой: 13, 15 и </w:t>
      </w:r>
      <w:smartTag w:uri="urn:schemas-microsoft-com:office:smarttags" w:element="metricconverter">
        <w:smartTagPr>
          <w:attr w:name="ProductID" w:val="1945 г"/>
        </w:smartTagPr>
        <w:r w:rsidRPr="00C33834">
          <w:rPr>
            <w:rFonts w:ascii="Times New Roman" w:hAnsi="Times New Roman"/>
            <w:color w:val="000000" w:themeColor="text1"/>
            <w:sz w:val="16"/>
            <w:szCs w:val="16"/>
          </w:rPr>
          <w:t>16 мм</w:t>
        </w:r>
      </w:smartTag>
      <w:r w:rsidRPr="00C33834">
        <w:rPr>
          <w:rFonts w:ascii="Times New Roman" w:hAnsi="Times New Roman"/>
          <w:color w:val="000000" w:themeColor="text1"/>
          <w:sz w:val="16"/>
          <w:szCs w:val="16"/>
        </w:rPr>
        <w:t xml:space="preserve"> из бракованных бронелистов, которые не шли на танки. Допускалось их использование в случае их непробития 7,62-мм пулей с дистанции 200-</w:t>
      </w:r>
      <w:smartTag w:uri="urn:schemas-microsoft-com:office:smarttags" w:element="metricconverter">
        <w:smartTagPr>
          <w:attr w:name="ProductID" w:val="1945 г"/>
        </w:smartTagPr>
        <w:r w:rsidRPr="00C33834">
          <w:rPr>
            <w:rFonts w:ascii="Times New Roman" w:hAnsi="Times New Roman"/>
            <w:color w:val="000000" w:themeColor="text1"/>
            <w:sz w:val="16"/>
            <w:szCs w:val="16"/>
          </w:rPr>
          <w:t>500 м</w:t>
        </w:r>
      </w:smartTag>
      <w:r w:rsidRPr="00C33834">
        <w:rPr>
          <w:rFonts w:ascii="Times New Roman" w:hAnsi="Times New Roman"/>
          <w:color w:val="000000" w:themeColor="text1"/>
          <w:sz w:val="16"/>
          <w:szCs w:val="16"/>
        </w:rPr>
        <w:t xml:space="preserve">. В 1933 году мастерские склада №60 разработали улучшенный вариант легкой бронеплощадки. В качестве базы теперь использовалась рама 4-осного 50-тонного вагона на тележках «Даймонд» (такие вагоны начал изготавливать завод «Красный Профинтерн»). Броневая защита бортов делалась комбинированной: 15-мм броневая сталь – воздушный зазор – 12-мм обычная сталь. Как и в площадке типа военсклада №60, крепление брони к каркасу из металлического профиля осуществлялось при помощи болтов. Для повышения жесткости передний и задний листы усиливались уголками, установленными снаружи. Этот элемент был характерен только для конструкции ПЛ-35. Коренным образом была переработана конструкция орудийных башен: теперь они изготавливались из плоских 15-мм бронелистов, сваренных между собой, и в плане имели вид правильного 20-угольника. На командирской башенке смонтировали танковую панораму ПТК, что улучшало наблюдение за полем боя. Была улучшена боеукладка, в результате чего возимый боекомплект увеличился до 500 снарядов и 30 000 патронов (120 коробок), была введена внутренняя связь между командиром бронеплощадки, командирами орудий и пулеметными расчетами, установлены 10 аккумуляторов для аварийного освещения. Кроме бронеплощадок была переработана и конструкция бронепаровоза. На нем несколько изменили конструкцию командирской рубки, в которой смонтировали радиостанцию 71-ТК-1 с поручневой антенной, на тендере поставили шестигранную бронебашню ПВО со спаренной установкой пулеметов Максима, изменили толщины брони: </w:t>
      </w:r>
      <w:smartTag w:uri="urn:schemas-microsoft-com:office:smarttags" w:element="metricconverter">
        <w:smartTagPr>
          <w:attr w:name="ProductID" w:val="1945 г"/>
        </w:smartTagPr>
        <w:r w:rsidRPr="00C33834">
          <w:rPr>
            <w:rFonts w:ascii="Times New Roman" w:hAnsi="Times New Roman"/>
            <w:color w:val="000000" w:themeColor="text1"/>
            <w:sz w:val="16"/>
            <w:szCs w:val="16"/>
          </w:rPr>
          <w:t>10 мм</w:t>
        </w:r>
      </w:smartTag>
      <w:r w:rsidRPr="00C33834">
        <w:rPr>
          <w:rFonts w:ascii="Times New Roman" w:hAnsi="Times New Roman"/>
          <w:color w:val="000000" w:themeColor="text1"/>
          <w:sz w:val="16"/>
          <w:szCs w:val="16"/>
        </w:rPr>
        <w:t xml:space="preserve"> вертикальные листы, </w:t>
      </w:r>
      <w:smartTag w:uri="urn:schemas-microsoft-com:office:smarttags" w:element="metricconverter">
        <w:smartTagPr>
          <w:attr w:name="ProductID" w:val="1945 г"/>
        </w:smartTagPr>
        <w:r w:rsidRPr="00C33834">
          <w:rPr>
            <w:rFonts w:ascii="Times New Roman" w:hAnsi="Times New Roman"/>
            <w:color w:val="000000" w:themeColor="text1"/>
            <w:sz w:val="16"/>
            <w:szCs w:val="16"/>
          </w:rPr>
          <w:t>8 мм</w:t>
        </w:r>
      </w:smartTag>
      <w:r w:rsidRPr="00C33834">
        <w:rPr>
          <w:rFonts w:ascii="Times New Roman" w:hAnsi="Times New Roman"/>
          <w:color w:val="000000" w:themeColor="text1"/>
          <w:sz w:val="16"/>
          <w:szCs w:val="16"/>
        </w:rPr>
        <w:t xml:space="preserve"> наклонные и крыша, 15-мм командирская рубка, </w:t>
      </w:r>
      <w:smartTag w:uri="urn:schemas-microsoft-com:office:smarttags" w:element="metricconverter">
        <w:smartTagPr>
          <w:attr w:name="ProductID" w:val="1945 г"/>
        </w:smartTagPr>
        <w:r w:rsidRPr="00C33834">
          <w:rPr>
            <w:rFonts w:ascii="Times New Roman" w:hAnsi="Times New Roman"/>
            <w:color w:val="000000" w:themeColor="text1"/>
            <w:sz w:val="16"/>
            <w:szCs w:val="16"/>
          </w:rPr>
          <w:t>13 мм</w:t>
        </w:r>
      </w:smartTag>
      <w:r w:rsidRPr="00C33834">
        <w:rPr>
          <w:rFonts w:ascii="Times New Roman" w:hAnsi="Times New Roman"/>
          <w:color w:val="000000" w:themeColor="text1"/>
          <w:sz w:val="16"/>
          <w:szCs w:val="16"/>
        </w:rPr>
        <w:t xml:space="preserve"> башня ПВО и будка машиниста. Командир бронепоезда получил в свое распоряжение телефон для связи с командирами орудий и паровозной бригады. Командиры площадок вызывались при помощи ревуна, машинист и командир бронепоезда – звонком и лампочкой (15218).</w:t>
      </w:r>
    </w:p>
    <w:p w14:paraId="6613E4AA" w14:textId="77777777" w:rsidR="0099326E" w:rsidRPr="00C33834" w:rsidRDefault="0099326E" w:rsidP="00C33834">
      <w:pPr>
        <w:spacing w:after="0" w:line="240" w:lineRule="auto"/>
        <w:jc w:val="both"/>
        <w:rPr>
          <w:rFonts w:ascii="Times New Roman" w:hAnsi="Times New Roman"/>
          <w:color w:val="000000" w:themeColor="text1"/>
          <w:sz w:val="16"/>
          <w:szCs w:val="16"/>
        </w:rPr>
      </w:pPr>
    </w:p>
    <w:p w14:paraId="2438335D"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прошли испытания снегоочистителя Я-5 для Т-26, который был установлен в мастерских НИБТ полигона в 1933 (9527,240).</w:t>
      </w:r>
    </w:p>
    <w:p w14:paraId="1B1735F4"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647D89D6" w14:textId="77777777" w:rsidR="00040C94" w:rsidRPr="00C33834" w:rsidRDefault="00040C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года прошло испытание Д-37 с новой башней, вооруженной 76,2-мм пушкой образца 1927 года. При этом выяснилось, что машина оказалась перетяжеленной, работа расчета неудобна, а конструкция орудийной установки в целом неудачна. Поэтому летом - осенью 1933 года провели очередную модернизацию бронедрезины Д-37 - на ней установили башню танка Т-26 с 45-мм пушкой (при этом кормовую нишу заменили двухстворчатым люком), радиостанцию 71 -ТК с по-ручневой антенной, оснастили укладками шанцевого инструмента и ящиками с ЗИП (18626).</w:t>
      </w:r>
    </w:p>
    <w:p w14:paraId="3F1DB96C" w14:textId="77777777" w:rsidR="00040C94" w:rsidRPr="00C33834" w:rsidRDefault="00040C94" w:rsidP="00C33834">
      <w:pPr>
        <w:spacing w:after="0" w:line="240" w:lineRule="auto"/>
        <w:jc w:val="both"/>
        <w:rPr>
          <w:rFonts w:ascii="Times New Roman" w:hAnsi="Times New Roman"/>
          <w:color w:val="000000" w:themeColor="text1"/>
          <w:sz w:val="16"/>
          <w:szCs w:val="16"/>
        </w:rPr>
      </w:pPr>
    </w:p>
    <w:p w14:paraId="725F468A" w14:textId="77777777" w:rsidR="0099326E" w:rsidRPr="00C33834" w:rsidRDefault="0099326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г. началась сборка первой партии из десяти машин. Автомобиль получил временное обозначение «Легковой - первый» или сокращенно «Л-1», которое, впрочем, оказалось единственным -именно под этим именем автомобиль и вошел в историю. Все детали Л-1, за исключением части электрооборудования и некоторых измерительных приборов, были изготовлены в СССР - или на «Красном Путиловце», или на других предприятиях. Крупными смежниками числились Карбюраторный арматурный завод (будущий ЛенКарЗ) и завод «Вулкан». Шины поставлял ленинградский «Красный Треугольник». Шефство над постройкой взяло всесоюзное «Общество содействия развитию автомобилизма и улучшению дорог» - «Автодор». Заводское отделение этого общества сначала бездействовало, но потом, после ряда разоблачительных статей в прессе и соответствующих оргвыводов с заменой руководства, активизировалось. Совет «Автодора» создал специальный контрольный пост, который в каждом выпуске внутризаводской газеты давал сводки о ходе работ. Помощь общества носила не только характер «моральной поддержки». Например, при возникновении угрозы срыва своевременной поставки карбюраторов, бригада автодоровцев, командированная к смежнику, произвела сборку изделий, чем немало поспособствовала выполнению работы в срок. Для изготовления кузовных деталей и оперения опытной партии машин были найдены каретники, жестянщики и медники, которые кустарным способом выколотили эти детали на деревянном болване. Для будущего серийного производства планировалось, конечно, перейти к штампам и сборочному конвейеру, исключив «старорежимные» технологии (15591).</w:t>
      </w:r>
    </w:p>
    <w:p w14:paraId="4C2201F6" w14:textId="77777777" w:rsidR="0099326E" w:rsidRPr="00C33834" w:rsidRDefault="0099326E" w:rsidP="00C33834">
      <w:pPr>
        <w:spacing w:after="0" w:line="240" w:lineRule="auto"/>
        <w:jc w:val="both"/>
        <w:rPr>
          <w:rFonts w:ascii="Times New Roman" w:hAnsi="Times New Roman"/>
          <w:color w:val="000000" w:themeColor="text1"/>
          <w:sz w:val="16"/>
          <w:szCs w:val="16"/>
        </w:rPr>
      </w:pPr>
    </w:p>
    <w:p w14:paraId="67D2A124" w14:textId="77777777" w:rsidR="00D25EF2" w:rsidRPr="00C33834" w:rsidRDefault="00D25EF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марте 1933 разра</w:t>
      </w:r>
      <w:r w:rsidRPr="00C33834">
        <w:rPr>
          <w:rFonts w:ascii="Times New Roman" w:hAnsi="Times New Roman"/>
          <w:color w:val="0070C0"/>
          <w:sz w:val="16"/>
          <w:szCs w:val="16"/>
        </w:rPr>
        <w:softHyphen/>
        <w:t>ботанный А.А. Крейслером мотор М-1 для 16-футового комбайна сдан в массовое произ</w:t>
      </w:r>
      <w:r w:rsidRPr="00C33834">
        <w:rPr>
          <w:rFonts w:ascii="Times New Roman" w:hAnsi="Times New Roman"/>
          <w:color w:val="0070C0"/>
          <w:sz w:val="16"/>
          <w:szCs w:val="16"/>
        </w:rPr>
        <w:softHyphen/>
        <w:t>водство как двигатель ГАЗ-НАТИ. По резуль</w:t>
      </w:r>
      <w:r w:rsidRPr="00C33834">
        <w:rPr>
          <w:rFonts w:ascii="Times New Roman" w:hAnsi="Times New Roman"/>
          <w:color w:val="0070C0"/>
          <w:sz w:val="16"/>
          <w:szCs w:val="16"/>
        </w:rPr>
        <w:softHyphen/>
        <w:t>татам эксплуатацион</w:t>
      </w:r>
      <w:r w:rsidRPr="00C33834">
        <w:rPr>
          <w:rFonts w:ascii="Times New Roman" w:hAnsi="Times New Roman"/>
          <w:color w:val="0070C0"/>
          <w:sz w:val="16"/>
          <w:szCs w:val="16"/>
        </w:rPr>
        <w:softHyphen/>
        <w:t>ных испытаний в его конструкцию были вне</w:t>
      </w:r>
      <w:r w:rsidRPr="00C33834">
        <w:rPr>
          <w:rFonts w:ascii="Times New Roman" w:hAnsi="Times New Roman"/>
          <w:color w:val="0070C0"/>
          <w:sz w:val="16"/>
          <w:szCs w:val="16"/>
        </w:rPr>
        <w:softHyphen/>
        <w:t>сены изменения. Пос</w:t>
      </w:r>
      <w:r w:rsidRPr="00C33834">
        <w:rPr>
          <w:rFonts w:ascii="Times New Roman" w:hAnsi="Times New Roman"/>
          <w:color w:val="0070C0"/>
          <w:sz w:val="16"/>
          <w:szCs w:val="16"/>
        </w:rPr>
        <w:softHyphen/>
        <w:t>ле мотор испытывался с 20-футовым комбай</w:t>
      </w:r>
      <w:r w:rsidRPr="00C33834">
        <w:rPr>
          <w:rFonts w:ascii="Times New Roman" w:hAnsi="Times New Roman"/>
          <w:color w:val="0070C0"/>
          <w:sz w:val="16"/>
          <w:szCs w:val="16"/>
        </w:rPr>
        <w:softHyphen/>
        <w:t>ном. Двигатель выпус</w:t>
      </w:r>
      <w:r w:rsidRPr="00C33834">
        <w:rPr>
          <w:rFonts w:ascii="Times New Roman" w:hAnsi="Times New Roman"/>
          <w:color w:val="0070C0"/>
          <w:sz w:val="16"/>
          <w:szCs w:val="16"/>
        </w:rPr>
        <w:softHyphen/>
        <w:t>кался до конца 1941 г. (22518).</w:t>
      </w:r>
    </w:p>
    <w:p w14:paraId="167CE102" w14:textId="77777777" w:rsidR="00D25EF2" w:rsidRPr="00C33834" w:rsidRDefault="00D25EF2" w:rsidP="00C33834">
      <w:pPr>
        <w:spacing w:after="0" w:line="240" w:lineRule="auto"/>
        <w:jc w:val="both"/>
        <w:rPr>
          <w:rFonts w:ascii="Times New Roman" w:hAnsi="Times New Roman"/>
          <w:color w:val="0070C0"/>
          <w:sz w:val="16"/>
          <w:szCs w:val="16"/>
        </w:rPr>
      </w:pPr>
    </w:p>
    <w:p w14:paraId="4FB20E83" w14:textId="77777777" w:rsidR="00746843" w:rsidRPr="00C33834" w:rsidRDefault="00746843"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 марте 1933 г. был сдан в эксплуатацию механический комбинат ЧЗКС, построенный по инициативе комсомольцев во внерабочее время – вечерами и по воскресениям. Он стал базой по ремонту строительного оборудования, внедрению механизации и изготовлению металлических конструкций. Здесь же отливали и часть деталей для первых станков. И всё же план строительства в 1933 г. был выполнен только на 68%, а первого квартала 1934 г. – на 67% (11557).</w:t>
      </w:r>
    </w:p>
    <w:p w14:paraId="7CE390C0" w14:textId="77777777" w:rsidR="00746843" w:rsidRPr="00C33834" w:rsidRDefault="00746843" w:rsidP="00C33834">
      <w:pPr>
        <w:pStyle w:val="af2"/>
        <w:jc w:val="both"/>
        <w:rPr>
          <w:i w:val="0"/>
          <w:iCs w:val="0"/>
          <w:color w:val="000000" w:themeColor="text1"/>
          <w:spacing w:val="0"/>
          <w:kern w:val="0"/>
          <w:position w:val="0"/>
          <w:sz w:val="16"/>
          <w:szCs w:val="16"/>
          <w:lang w:val="ru-RU"/>
        </w:rPr>
      </w:pPr>
    </w:p>
    <w:p w14:paraId="41351BCC"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марте 1933 г. в развитие решений конференции в радиосекции Науч но-технического совета ВЭСО состоялось заседание, посвященное вопросам стандартизации и унификации типов войсковых радиостанций. На заседании были выработаны предложения, нашедшие в последующем практическую ре ализацию в работе предприятий радиопромышленности. В частности, на завод им. Коминтерна был возложен основной объем в области разработки и произ водства радиомаяков для ВВС и ВМФ. В целях разграничения сфер ответст венности было высказано предложение сосредоточить в ЦВИРЛ разработку радиосредств с мощностью до 1кВт, а в ОРПУ завода им. Коминтерна – свыше 1 кВт (ЦГА СПб., ф. 945, оп. 3, д. 172, л. 182, 185.). План разработки опытных образцов предприятиями ВЭСО на 1933 г. да ет представление о том, каким образом были реализованы рекомендации и решения майской конференции 1932 г. в ВЭСО. План предусматривал разра ботку заводами и лабораториями объединения в течение года девятнадцати типов радиоизделий. Заводу им. Коминтерна ставилась задача на разработку тяжелой аэродромной радиостанции РАТ и радиомаяка повышенной дально сти для ВВС типа 13А-2, а ЦРЛ – звуковых аппаратов для связи между само летами и для внутренней связи внутри тяжелых бомбардировщиков, а также дуплексных телеграфно-телефонных станций на ИК-лучах мощного и облег ченного типов (ЦГА СПб., ф. 945, оп. 3, д. 172, л. 10.). Начиная с 1932 г. на заводе им. Коминтерна, наряду с радиоаппаратурой для ВМФ, осуществляется серийное производство аппаратуры для решения задач авианавигации. В этом году было изготовлено двенадцать полевых ра диомаяков типа 13А, два образца авиационных приемных станций типа 13ПС для приема сигналов этих маяков, началось серийное производство станций подслушивания типа СП-31. В 1933-1934 гг. производство этих средств было продолжено. В 1935-36 гг. изготавливается 183 радиомаяка РК-1 «Магнит», 40 станций СП-3 «Психея», 250 авиаприемных станций новой модификации 13ПС-1 «Марс», еще 90 «Марсов» модернизируются (ЦГА СПб., ф. 945, оп. 3, д. 224, л. 70; ф. 945, оп. 3, д. 292, л. 53.). Одновременно в ОРПУ шли активные работы по разработке новых средств. Кроме этого, на заводе им. Коминтерна осуществлялся серийный выпуск радиостанций, разработанных в ЦВИРЛ и вошедших во вторую систему радиовооружения РККА (например, аэродромных радиостанций 11АК) (ЦГА СПб., ф. 945, оп. 3, д. 172, л. 3.). Реализуя решения 2-й технической конференции, руководство ВЭСО и завода «Светлана» предприняло меры по расширению заводской вакуумной лаборатории, которая в результате к 1933 г. была преобразована в ОВЛ. Руко водителем лаборатории до 1937 г. оставался С.А. Векшинский. Через нее про ходили изобретательские заявки по вакуумной технике со всей страны, ее со трудники давали </w:t>
      </w:r>
      <w:r w:rsidRPr="00C33834">
        <w:rPr>
          <w:rFonts w:ascii="Times New Roman" w:hAnsi="Times New Roman"/>
          <w:color w:val="000000" w:themeColor="text1"/>
          <w:sz w:val="16"/>
          <w:szCs w:val="16"/>
        </w:rPr>
        <w:lastRenderedPageBreak/>
        <w:t>консультации и проводили экспертизы по проектам в облас ти электровакуумной промышленности ("Светлана": История Ленинградского объединения электронного приборостроения "Светлана". Л., 1986. С. 70.). К 1935 г. ассортимент вакуумных из делий, разработанных в ОВЛ, достиг 165 типов (Векшинский С.А. Советская электроника в годы мира и войны / Вестник электропро мышленности. – 1945. - № 4-5. - С. 21.) (11870).</w:t>
      </w:r>
    </w:p>
    <w:p w14:paraId="2D78394D"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783B10CB" w14:textId="77777777" w:rsidR="00E931FD" w:rsidRPr="00C33834" w:rsidRDefault="00E931FD" w:rsidP="00C33834">
      <w:pPr>
        <w:pStyle w:val="paragraphstyle"/>
        <w:shd w:val="clear" w:color="auto" w:fill="FFFFFF"/>
        <w:spacing w:before="0" w:beforeAutospacing="0" w:after="0" w:line="240" w:lineRule="auto"/>
        <w:jc w:val="both"/>
        <w:rPr>
          <w:color w:val="000000" w:themeColor="text1"/>
          <w:sz w:val="16"/>
          <w:szCs w:val="16"/>
        </w:rPr>
      </w:pPr>
      <w:r w:rsidRPr="00C33834">
        <w:rPr>
          <w:color w:val="000000" w:themeColor="text1"/>
          <w:sz w:val="16"/>
          <w:szCs w:val="16"/>
        </w:rPr>
        <w:t xml:space="preserve">К марту </w:t>
      </w:r>
      <w:bookmarkStart w:id="9" w:name="YANDEX_29"/>
      <w:bookmarkEnd w:id="9"/>
      <w:r w:rsidRPr="00C33834">
        <w:rPr>
          <w:rStyle w:val="highlight"/>
          <w:color w:val="000000" w:themeColor="text1"/>
          <w:sz w:val="16"/>
          <w:szCs w:val="16"/>
        </w:rPr>
        <w:t> 1933 </w:t>
      </w:r>
      <w:r w:rsidRPr="00C33834">
        <w:rPr>
          <w:color w:val="000000" w:themeColor="text1"/>
          <w:sz w:val="16"/>
          <w:szCs w:val="16"/>
        </w:rPr>
        <w:t xml:space="preserve"> г. с 1931 г. — были расторгнуты 78 договоров о технической помощи. При досрочном расторжении соглашений иностранные фирмы и специалисты получали соответствующие компенсации. На 1933 г. действовали 46 договоров. По мере развития отечественной техники и науки потребности в иностранной техконсультации сокращались. Однако при необходимости заключались новые договоры, которые по своим задачам и условиям значительно отличались от договоров начала первой пятилетки (17275).</w:t>
      </w:r>
    </w:p>
    <w:p w14:paraId="0D002313" w14:textId="77777777" w:rsidR="00E931FD" w:rsidRPr="00C33834" w:rsidRDefault="00E931FD" w:rsidP="00C33834">
      <w:pPr>
        <w:spacing w:after="0" w:line="240" w:lineRule="auto"/>
        <w:jc w:val="both"/>
        <w:rPr>
          <w:rFonts w:ascii="Times New Roman" w:hAnsi="Times New Roman"/>
          <w:color w:val="000000" w:themeColor="text1"/>
          <w:sz w:val="16"/>
          <w:szCs w:val="16"/>
        </w:rPr>
      </w:pPr>
    </w:p>
    <w:p w14:paraId="594E55F6"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г. последний сторожевой корабль I се</w:t>
      </w:r>
      <w:r w:rsidRPr="00C33834">
        <w:rPr>
          <w:rFonts w:ascii="Times New Roman" w:hAnsi="Times New Roman"/>
          <w:color w:val="000000" w:themeColor="text1"/>
          <w:sz w:val="16"/>
          <w:szCs w:val="16"/>
        </w:rPr>
        <w:softHyphen/>
        <w:t>рии — "Шквал" — был принят в состав Морских сил Черного моря. Таким образом, вся серия была закончена в течение пяти лет от начала постройки, что значительно превышало дого</w:t>
      </w:r>
      <w:r w:rsidRPr="00C33834">
        <w:rPr>
          <w:rFonts w:ascii="Times New Roman" w:hAnsi="Times New Roman"/>
          <w:color w:val="000000" w:themeColor="text1"/>
          <w:sz w:val="16"/>
          <w:szCs w:val="16"/>
        </w:rPr>
        <w:softHyphen/>
        <w:t>ворные сроки. Корабли типа "Ураган" имели полубачную архитектуру, полно</w:t>
      </w:r>
      <w:r w:rsidRPr="00C33834">
        <w:rPr>
          <w:rFonts w:ascii="Times New Roman" w:hAnsi="Times New Roman"/>
          <w:color w:val="000000" w:themeColor="text1"/>
          <w:sz w:val="16"/>
          <w:szCs w:val="16"/>
        </w:rPr>
        <w:softHyphen/>
        <w:t>стью клепаную конструкцию и смешанную систему набора: про</w:t>
      </w:r>
      <w:r w:rsidRPr="00C33834">
        <w:rPr>
          <w:rFonts w:ascii="Times New Roman" w:hAnsi="Times New Roman"/>
          <w:color w:val="000000" w:themeColor="text1"/>
          <w:sz w:val="16"/>
          <w:szCs w:val="16"/>
        </w:rPr>
        <w:softHyphen/>
        <w:t>дольную в средней части корпуса (между орудиями) и поперечную в оконечностях. Особенностью их постройки стала оцинковка листов обшивки, части палубного настила, элементов набора и фунда</w:t>
      </w:r>
      <w:r w:rsidRPr="00C33834">
        <w:rPr>
          <w:rFonts w:ascii="Times New Roman" w:hAnsi="Times New Roman"/>
          <w:color w:val="000000" w:themeColor="text1"/>
          <w:sz w:val="16"/>
          <w:szCs w:val="16"/>
        </w:rPr>
        <w:softHyphen/>
        <w:t>ментов механизмов. Главные поперечные переборки подразделяли корпус на 14 водонепроницаемых отсеков. Впервые к закрытым по</w:t>
      </w:r>
      <w:r w:rsidRPr="00C33834">
        <w:rPr>
          <w:rFonts w:ascii="Times New Roman" w:hAnsi="Times New Roman"/>
          <w:color w:val="000000" w:themeColor="text1"/>
          <w:sz w:val="16"/>
          <w:szCs w:val="16"/>
        </w:rPr>
        <w:softHyphen/>
        <w:t>мещениям корабля предъявлялось требование газонепроницае</w:t>
      </w:r>
      <w:r w:rsidRPr="00C33834">
        <w:rPr>
          <w:rFonts w:ascii="Times New Roman" w:hAnsi="Times New Roman"/>
          <w:color w:val="000000" w:themeColor="text1"/>
          <w:sz w:val="16"/>
          <w:szCs w:val="16"/>
        </w:rPr>
        <w:softHyphen/>
        <w:t>мости.</w:t>
      </w:r>
    </w:p>
    <w:p w14:paraId="2D4491D7"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Машинно-котельная установка (впервые в отечественной практике) работала на перегретом паре (280°С, 21 кгс/см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Пар вырабатывали два водотрубных котла шатрового типа с боковым распо</w:t>
      </w:r>
      <w:r w:rsidRPr="00C33834">
        <w:rPr>
          <w:rFonts w:ascii="Times New Roman" w:hAnsi="Times New Roman"/>
          <w:color w:val="000000" w:themeColor="text1"/>
          <w:sz w:val="16"/>
          <w:szCs w:val="16"/>
        </w:rPr>
        <w:softHyphen/>
        <w:t>ложением пароперегревателей производительностью по 20 т/ч, разработанные под руководством Э. Э. Папмеля. ГТЗА включали турбины высокого давления, низкого давления, заднего хода и до-ступенчатые трехопорные зубчатые передачи (до этого на россий</w:t>
      </w:r>
      <w:r w:rsidRPr="00C33834">
        <w:rPr>
          <w:rFonts w:ascii="Times New Roman" w:hAnsi="Times New Roman"/>
          <w:color w:val="000000" w:themeColor="text1"/>
          <w:sz w:val="16"/>
          <w:szCs w:val="16"/>
        </w:rPr>
        <w:softHyphen/>
        <w:t>ских кораблях применялись безредукторные низкооборотные тур</w:t>
      </w:r>
      <w:r w:rsidRPr="00C33834">
        <w:rPr>
          <w:rFonts w:ascii="Times New Roman" w:hAnsi="Times New Roman"/>
          <w:color w:val="000000" w:themeColor="text1"/>
          <w:sz w:val="16"/>
          <w:szCs w:val="16"/>
        </w:rPr>
        <w:softHyphen/>
        <w:t>бины). Проектная мощность одного агрегата составляла 3750 л. с. при частоте вращения гребного вала 630 об/мин</w:t>
      </w:r>
      <w:r w:rsidRPr="00C33834">
        <w:rPr>
          <w:rFonts w:ascii="Times New Roman" w:hAnsi="Times New Roman"/>
          <w:color w:val="000000" w:themeColor="text1"/>
          <w:sz w:val="16"/>
          <w:szCs w:val="16"/>
          <w:vertAlign w:val="superscript"/>
        </w:rPr>
        <w:t>58</w:t>
      </w:r>
      <w:r w:rsidRPr="00C33834">
        <w:rPr>
          <w:rFonts w:ascii="Times New Roman" w:hAnsi="Times New Roman"/>
          <w:color w:val="000000" w:themeColor="text1"/>
          <w:sz w:val="16"/>
          <w:szCs w:val="16"/>
        </w:rPr>
        <w:t>. Постоянный ток напряжением 115 В вырабатывался двумя турбогенераторами мощностью по 30 кВт, созданными по прототипу генераторов "Но</w:t>
      </w:r>
      <w:r w:rsidRPr="00C33834">
        <w:rPr>
          <w:rFonts w:ascii="Times New Roman" w:hAnsi="Times New Roman"/>
          <w:color w:val="000000" w:themeColor="text1"/>
          <w:sz w:val="16"/>
          <w:szCs w:val="16"/>
        </w:rPr>
        <w:softHyphen/>
        <w:t>вика" и резервным (аварийным) "нефтединамо" (11 кВт), поме</w:t>
      </w:r>
      <w:r w:rsidRPr="00C33834">
        <w:rPr>
          <w:rFonts w:ascii="Times New Roman" w:hAnsi="Times New Roman"/>
          <w:color w:val="000000" w:themeColor="text1"/>
          <w:sz w:val="16"/>
          <w:szCs w:val="16"/>
        </w:rPr>
        <w:softHyphen/>
        <w:t>щенным в надстройке на верхней палубе. Нормальный запас топ</w:t>
      </w:r>
      <w:r w:rsidRPr="00C33834">
        <w:rPr>
          <w:rFonts w:ascii="Times New Roman" w:hAnsi="Times New Roman"/>
          <w:color w:val="000000" w:themeColor="text1"/>
          <w:sz w:val="16"/>
          <w:szCs w:val="16"/>
        </w:rPr>
        <w:softHyphen/>
        <w:t>лива составил 110 т, максимальный — 115 т.</w:t>
      </w:r>
    </w:p>
    <w:p w14:paraId="3A9BA5EB"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 сторожевых кораблей состояло из 102-мм орудий длиной в 60 калибров, аналогичных установленным на эсминцах типа "Орфей". Для управления огнем служил 1,5-метровый дально</w:t>
      </w:r>
      <w:r w:rsidRPr="00C33834">
        <w:rPr>
          <w:rFonts w:ascii="Times New Roman" w:hAnsi="Times New Roman"/>
          <w:color w:val="000000" w:themeColor="text1"/>
          <w:sz w:val="16"/>
          <w:szCs w:val="16"/>
        </w:rPr>
        <w:softHyphen/>
        <w:t>мер и приборы системы Гейслера. Зенитная артиллерия состояла из 45-мм полуавтоматов 21К, которые начали устанавливать в диа</w:t>
      </w:r>
      <w:r w:rsidRPr="00C33834">
        <w:rPr>
          <w:rFonts w:ascii="Times New Roman" w:hAnsi="Times New Roman"/>
          <w:color w:val="000000" w:themeColor="text1"/>
          <w:sz w:val="16"/>
          <w:szCs w:val="16"/>
        </w:rPr>
        <w:softHyphen/>
        <w:t>метральной плоскости, начиная с 1933 г. Она дополнялась двумя 12,7-мм пулеметами по бокам носовой надстройки.</w:t>
      </w:r>
    </w:p>
    <w:p w14:paraId="003906C9"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Первые корабли типа "Ураган" встретили справедливое отрица</w:t>
      </w:r>
      <w:r w:rsidRPr="00C33834">
        <w:rPr>
          <w:rFonts w:ascii="Times New Roman" w:hAnsi="Times New Roman"/>
          <w:color w:val="000000" w:themeColor="text1"/>
          <w:sz w:val="16"/>
          <w:szCs w:val="16"/>
        </w:rPr>
        <w:softHyphen/>
        <w:t>тельное отношение со стороны руководства УВМС (В. М. Орлов). Действительно, по своим тактико-техническим элементам сторо</w:t>
      </w:r>
      <w:r w:rsidRPr="00C33834">
        <w:rPr>
          <w:rFonts w:ascii="Times New Roman" w:hAnsi="Times New Roman"/>
          <w:color w:val="000000" w:themeColor="text1"/>
          <w:sz w:val="16"/>
          <w:szCs w:val="16"/>
        </w:rPr>
        <w:softHyphen/>
        <w:t>жевики, развивавшие скорость 23—25 уз, в лучшем случае соответ</w:t>
      </w:r>
      <w:r w:rsidRPr="00C33834">
        <w:rPr>
          <w:rFonts w:ascii="Times New Roman" w:hAnsi="Times New Roman"/>
          <w:color w:val="000000" w:themeColor="text1"/>
          <w:sz w:val="16"/>
          <w:szCs w:val="16"/>
        </w:rPr>
        <w:softHyphen/>
        <w:t>ствовали эскадренным миноносцам типа "Украина", вступившим в строй в 1905—1906 гг и перевооруженным 102-мм артиллерией накануне первой мировой войны. Тихоходный для миноносцев 30-х гг. "Ураган" имел мало шансов на успешную торпедную атаку, а его возможности в охранении эскадры (линкоров) были ничтож</w:t>
      </w:r>
      <w:r w:rsidRPr="00C33834">
        <w:rPr>
          <w:rFonts w:ascii="Times New Roman" w:hAnsi="Times New Roman"/>
          <w:color w:val="000000" w:themeColor="text1"/>
          <w:sz w:val="16"/>
          <w:szCs w:val="16"/>
        </w:rPr>
        <w:softHyphen/>
        <w:t xml:space="preserve">ны из-за отсутствия эффективных зенитной артиллерии (на 1931 г.) и средств обнаружения </w:t>
      </w:r>
      <w:r w:rsidRPr="00C33834">
        <w:rPr>
          <w:rFonts w:ascii="Times New Roman" w:hAnsi="Times New Roman"/>
          <w:smallCaps/>
          <w:color w:val="000000" w:themeColor="text1"/>
          <w:sz w:val="16"/>
          <w:szCs w:val="16"/>
        </w:rPr>
        <w:t xml:space="preserve">подводньбс </w:t>
      </w:r>
      <w:r w:rsidRPr="00C33834">
        <w:rPr>
          <w:rFonts w:ascii="Times New Roman" w:hAnsi="Times New Roman"/>
          <w:color w:val="000000" w:themeColor="text1"/>
          <w:sz w:val="16"/>
          <w:szCs w:val="16"/>
        </w:rPr>
        <w:t>лодок.</w:t>
      </w:r>
    </w:p>
    <w:p w14:paraId="26C5FB67"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Тем не менее, ссылаясь на утвержденные планы и, главное, на освоение постройки сторожевиков промышленностью, обновленное руководство УВМС пошло на продолжение серии, точнее, как тогда говорили, на создание кораблей II, III, и IV серий практически по одному и тому же проекту (3898).</w:t>
      </w:r>
    </w:p>
    <w:p w14:paraId="144A629B"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04B5A16A"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1934 г. горьковское Проектное бюро металлических судов речного, внутреннего морского и озерного флотов "Речсудопроект" было разделено на Сормовское государственное всесоюзное проектно-конструкторское бюро речного судостроения "Речсудопроект" (Сормовский "Речсудопроект") и Проектное бюро "Горьковский Речсудопроект". В апреле 1938 г. Проектная контора "Горьковский Речсудопроект" и Сормовский "Речсудопроект" объединены в Государственное всесоюзное проектное бюро по проектированию речных и морских судов "Горьковский Речсудопроект", переименованное в сентябре 1939 г. в Центральное конструкторское бюро (ЦКБ). Приказом Наркомата судостроительной промышленности СССР от 7 октября 1939 г. переименовано в Государственное союзное центральное конструкторское бюро N 51 (ЦКБ -51). Приказом Министерства судостроительной промышленности СССР от 31 января 1966 г. переименовано в Центральное конструкторское бюро "Волгобалтсудопроект" (ЦКБ "Волгобалтсудопроект"), приказом министерства от 6 июля 1972 г. - в Центральное конструкторское бюро "Вымпел" (ЦКБ "Вымпел"). Указом Президиума Верховного Совета СССР от 25 октября 1977 г. награждено орденом Трудового Красного Знамени (12102).</w:t>
      </w:r>
    </w:p>
    <w:p w14:paraId="46FE0F76" w14:textId="77777777" w:rsidR="0099326E" w:rsidRPr="00C33834" w:rsidRDefault="0099326E" w:rsidP="00C33834">
      <w:pPr>
        <w:spacing w:after="0" w:line="240" w:lineRule="auto"/>
        <w:jc w:val="both"/>
        <w:rPr>
          <w:rFonts w:ascii="Times New Roman" w:hAnsi="Times New Roman"/>
          <w:iCs/>
          <w:color w:val="000000" w:themeColor="text1"/>
          <w:sz w:val="16"/>
          <w:szCs w:val="16"/>
        </w:rPr>
      </w:pPr>
    </w:p>
    <w:p w14:paraId="1BA4054D" w14:textId="77777777" w:rsidR="00746843" w:rsidRPr="00C33834" w:rsidRDefault="008E43FA"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7E6C0FDE" w14:textId="77777777" w:rsidR="00746843" w:rsidRPr="00C33834" w:rsidRDefault="00746843" w:rsidP="00C33834">
      <w:pPr>
        <w:spacing w:after="0" w:line="240" w:lineRule="auto"/>
        <w:jc w:val="both"/>
        <w:rPr>
          <w:rFonts w:ascii="Times New Roman" w:hAnsi="Times New Roman"/>
          <w:iCs/>
          <w:color w:val="000000" w:themeColor="text1"/>
          <w:sz w:val="16"/>
          <w:szCs w:val="16"/>
        </w:rPr>
      </w:pPr>
    </w:p>
    <w:p w14:paraId="12A9C0FF"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в докладе о перспективах ВВС во 2-й пятилетке говорилось: "Основное развитие бомбардировщиков должно идти по линии стратегической авиации".</w:t>
      </w:r>
    </w:p>
    <w:p w14:paraId="155DA82B"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Командование ВВС намеревалось заказать сотни огромных машин. Одно за другим писались все более экзотические задания на такие самолеты. Например, ТБ-6 с шестью моторами М-44 (по 2000 л.с.) и максимальной бомбовой нагрузкой до 22 000 кг. Его вооружение складывалось из четырех пушек и семи-девяти пулеметов (включая три крупнокалиберных). Самолет должен был иметь максимальную дальность до 4800 км. Еще больший по размерам ТБ-7 (с восемью М-44), предназначенный для "разрушения объектов противника государственно-стратегического значения", рассчитывался уже на 30 т бомб. А в "Системе вооружений..." был заложен еще и СТБ ("сверхтяжелый бомбардировщик") для "разрушения объектов противника исключительной важности". При радиусе действия 2500 км эта машина, которую собирались строить по схеме летающего крыла, могла, взлетев из Крыма, обрушить 25 т бомб на Мальту или Суэцкий канал.</w:t>
      </w:r>
    </w:p>
    <w:p w14:paraId="45092F92"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Всю эту армаду должны были поддерживать "вспомогательные бомбардировщики" - такие же огромные самолеты ГВФ, на которых заранее предусматривалась установка стрелкового и бомбового вооружения. Они должны были бомбить цели по ночам. Эта концепция являлась аналогом "вспомогательного крейсера" в военно-морском флоте. Во вспомогательные крейсера во время войны превращали быстроходные торговые суда и пассажирские лайнеры. Применительно к авиации ее впервые опробовали немцы. Лишенные Версальским договором права иметь военную авиацию, они намеревались в случае боевых действий "поставить под ружье" пассажирские самолеты, установив на них бомбодержатели и пулеметы по заранее отлаженной схеме.</w:t>
      </w:r>
    </w:p>
    <w:p w14:paraId="0C72C57D"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ту же "Систему вооружений...", подготовленную в 1931 г., включались гражданские самолеты, в конструкцию которых исходно закладывалось двойное назначение. Они могли служить при необходимости как тяжелые воен- но-транспортные машины или бомбардировщики. Это были ГТБ (бомбовая нагрузка 7 т), ГТБТ (10 т), 9ТБТ (15 т) и ГТБ-5 (3 т). В последнем собирались странным образом совместить военные функции бомбардировщика и "летающей амбулатории". Немного позже 9ТБТ заменили на почти идентичный по требованиям, но уже чисто военный ТБ-8 и добавили ТБ-9 под 25 т бомб.</w:t>
      </w:r>
    </w:p>
    <w:p w14:paraId="2A0F10E5"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Вот, например, какие требования предъявляли к "транспорту-грузовозу" ТБ-8 по заданию, рассматривавшемуся на заседании мобилизационного отдела Управления ГВФ 20 августа 1931 г. Назначением его считались перевозки грузов, высадка десантов и ночное бомбометание. Самолет должен был перевозить различные грузы, включая тяжелую военную технику, с весом до 15 т. Как бомбардировщик, он нес столько же бомб калибром от 250 до 2000 кг, либо баки для отравляющих веществ. Последнее было записано следующим образом: "должен допускать переоборудование под химсамолет". Летные данные были типичны для поколения гигантов: максимальная скорость 250 км/ч при посадочной всего 75-80 км/ч (что вряд ли удалось бы выполнить при отсутствии механизации крыла), нормальная дальность 1500 км (максимальная - 2000 км). Оборонительное вооружение складывалось из четырех крупнокалиберных (12,7-мм) пулеметов (двух спереди и двух сзади) и одного 7,62-мм пулемета, стреляющего вниз-назад. Боезапас состоял из 1600 крупнокалиберных патронов и 250 обычных. ТБ-8 планировали вывести на государственные испытания 1 октября 1933 г.</w:t>
      </w:r>
    </w:p>
    <w:p w14:paraId="1F07FBC8"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Система стратегической авиации предполагалась двухчленной. В паре с бомбардировщиком-"линкором" должен был создаваться "крейсер" - неманевренный самолет сопровождения. "Крейсера" имели мощное пулеметно-пу- шечное вооружение и минимальную бомбовую нагрузку. Такие машины при операциях днем хотели расположить по краям строя бомбардировщиков. Они должны были создавать огневой заслон на пути атакующих истребителей. При отсутствии таковых "крейсера" могли мелкими бомбами или пулеметным огнем подавлять зенитную артиллерию. Предусматривались действия и отдельно от общего строя: на них также возлагались функции доразведки целей и метеоразведки. Эти самолеты несли также дозорно-сторожевую службу. Радиолокаторов тогда еще не существовало; звукопеленгатор, применявшийся зенитчиками на земле, на борту был бесполезен из-за шума моторов и винтов. Оставалось выслать вперед и по бокам основного строя тяжелых бомбардировщиков машины охранения, с которых наблюдатели будут докладывать по радио о приближении истребителей противника.</w:t>
      </w:r>
    </w:p>
    <w:p w14:paraId="1052F24A"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целью экономии "крейсер" должен был представлять модификацию бомбардировщика меньшей размерности. Так, для ТБ-4 и ТБ-6 такой самолет хотели сделать на базе ТБ-3. Самый маленький "крейсер", для прикрытия самих ТБ-3, унифицировался с двухмоторным бомбардировщиком войсковой авиации.</w:t>
      </w:r>
    </w:p>
    <w:p w14:paraId="5925B10F"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конечном итоге, по мнению Управления ВВС, на вооружении стратегической авиации должны были находиться гиганты с взлетным весом 140 - 150 т (этот тип Бузанов именовал собственно "тяжелыми бомбардировщиками"), затем "средние" (с весом 15 - 18 т, примерно как ТБ-3) и "крейсера" на их базе, и, наконец, "крейсера" для сопровождения "средних" машин. Существовала также точка зрения, что необходимо иметь и некоторую долю "переходных" бомбардировщиков. по своим данным примерно соответствовавших ТБ-4.</w:t>
      </w:r>
    </w:p>
    <w:p w14:paraId="160684C9"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Взлетный вес в 150 т - это примерно на уровне Ту-95, стратегического турбовинтового бомбардировщика 50-х годов с межконтинентальной дальностью. В начале 30-х же самым большим из построенных самолетов являлась немецкая десятимоторная летающая лодка Дорнье Do X; взлетный вес у нее равнялся 48 т. Это чудовище не способно было даже в достаточной степени подняться над волнами, и являлось скорее экранопланом, нежели гидросамолетом. На суше первенство держал немецкий четырехмоторный пассажирский самолет Юнкере G38 с взлетным весом 23 т, выпущенный в 1932 г. Его концепция во многом была близка к нашим бомбардировщикам-гигантам. Немцы втайне (мешали условия Версальского договора) проработали для G38 и вариант тяжелого бомбардировщика, именовавшийся К51. Пять экземпляров таких бомбовозов по лицензии построили в Японии.</w:t>
      </w:r>
    </w:p>
    <w:p w14:paraId="1320E1EC"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По одному из вариантов плана развития ВВС РККА предполагалось, что к 1937 г. тяжелобомбардировочная авиация будет состоять наполовину из ТБ-3. Вторую половину должны были составлять "линкоры 1-го класса" - ТБ-4 (40%) и еще большие ТБ-6 (10%). К 1 января 1938 г. в строю ВВС РККА предполагали иметь 384 ТБ-3, 288 ТБ-4 и 96 ТБ-6. Впечатляющая армада?</w:t>
      </w:r>
    </w:p>
    <w:p w14:paraId="6F87D879"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723D99A8" w14:textId="77777777" w:rsidR="00E15462" w:rsidRPr="00C33834" w:rsidRDefault="00E1546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 xml:space="preserve">В марте 1933 г. завершилась разработка Штабом РККА первого детального проекта второго пятилетнего плана развития РККА и основных параметров мобилизационного расписания № 18 на 1938 г. Соответствующий доклад с просьбой утвердить "принципиальные основы организационного строительства вооруженных сил СССР на второе пятилетие" и "мобилизационные заявки промышленности на 1934-1938 гг." начальник Штаба в начале апреля представил наркому Ворошилову и его заместителям - Гамарнику и Тухачевскому (Доклад Начальника Штаба РККА Егорова Народному Комиссару по Военным и Морским делам Ворошилову "О втором пятилетнем плане развития РККА", 30.03/02.04.1933 // РГВА Ф. 40442. </w:t>
      </w:r>
      <w:r w:rsidRPr="00C33834">
        <w:rPr>
          <w:rFonts w:ascii="Times New Roman" w:eastAsia="Times New Roman" w:hAnsi="Times New Roman"/>
          <w:color w:val="0070C0"/>
          <w:sz w:val="16"/>
          <w:szCs w:val="16"/>
          <w:lang w:val="en-US" w:eastAsia="ru-RU"/>
        </w:rPr>
        <w:t>On</w:t>
      </w:r>
      <w:r w:rsidRPr="00C33834">
        <w:rPr>
          <w:rFonts w:ascii="Times New Roman" w:eastAsia="Times New Roman" w:hAnsi="Times New Roman"/>
          <w:color w:val="0070C0"/>
          <w:sz w:val="16"/>
          <w:szCs w:val="16"/>
          <w:lang w:eastAsia="ru-RU"/>
        </w:rPr>
        <w:t>. 1. Д. 1042. Л. 1-73.) "Основные и решающие обстоятельства в строительстве вооруженных сил Союза во второй пятилетке".</w:t>
      </w:r>
    </w:p>
    <w:p w14:paraId="403CAB28" w14:textId="77777777" w:rsidR="00E15462" w:rsidRPr="00C33834" w:rsidRDefault="00E1546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 xml:space="preserve">Штаб определял на основе прямолинейно-военного подхода, в рамках которого не оставалось места для характеристики соотношения гражданских и оборонных потребностей. Таковыми "обстоятельствами", согласно докладу Егорова, являлись: "1. Достигнутые успехи в строительстве РККА за первую пятилетку, составляющие отправную базу для дальнейшего ее укрепления и расширения и 2. Оперативные расчеты, вытекающие из задач плана обороны СССР" (Доклад Начальника Штаба РККА Егорова Народному Комиссару по Военным и Морским делам Ворошилову "О втором пятилетнем плане развития РККА", 30.03/02.04.1933 // РГВА Ф. 40442. </w:t>
      </w:r>
      <w:r w:rsidRPr="00C33834">
        <w:rPr>
          <w:rFonts w:ascii="Times New Roman" w:eastAsia="Times New Roman" w:hAnsi="Times New Roman"/>
          <w:color w:val="0070C0"/>
          <w:sz w:val="16"/>
          <w:szCs w:val="16"/>
          <w:lang w:val="en-US" w:eastAsia="ru-RU"/>
        </w:rPr>
        <w:t>On</w:t>
      </w:r>
      <w:r w:rsidRPr="00C33834">
        <w:rPr>
          <w:rFonts w:ascii="Times New Roman" w:eastAsia="Times New Roman" w:hAnsi="Times New Roman"/>
          <w:color w:val="0070C0"/>
          <w:sz w:val="16"/>
          <w:szCs w:val="16"/>
          <w:lang w:eastAsia="ru-RU"/>
        </w:rPr>
        <w:t>. 1. Д. 1042. Л. 1-73.).</w:t>
      </w:r>
    </w:p>
    <w:p w14:paraId="727EF160" w14:textId="77777777" w:rsidR="00E15462" w:rsidRPr="00C33834" w:rsidRDefault="00E1546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 xml:space="preserve">Первое из этих утверждений, по существу, узаконивало идею самовоспроизводства советской военной мощи. Достигнутый уровень реконструкции вооруженных сил рассматривался не в качестве базовой величины для достижения оборонной достаточности, но как основание для постановки среднесрочных целей на пути естественного (и потому неограниченного) разрастания. Тезисы начальника Штаба (как и содержание доклада в целом), по существу, совпадали с концепцией Тухачевского, заявленной им накануне отставки с этого поста пятью годами ранее: "Все основные вопросы бюджетного планирования накопления военных материалов и развитая технологии должны разрабатываться Штабом как вопросы строительства вооруженных сил и подготовки к войне, вытекающие из плана операций"( </w:t>
      </w:r>
      <w:r w:rsidRPr="00C33834">
        <w:rPr>
          <w:rFonts w:ascii="Times New Roman" w:eastAsia="Times New Roman" w:hAnsi="Times New Roman"/>
          <w:color w:val="0070C0"/>
          <w:sz w:val="16"/>
          <w:szCs w:val="16"/>
          <w:lang w:val="en-US" w:eastAsia="ru-RU"/>
        </w:rPr>
        <w:t>STONE</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D</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R</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Tukhachevsky</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in</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Leningrad</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Military</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Politics</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and</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Exile</w:t>
      </w:r>
      <w:r w:rsidRPr="00C33834">
        <w:rPr>
          <w:rFonts w:ascii="Times New Roman" w:eastAsia="Times New Roman" w:hAnsi="Times New Roman"/>
          <w:color w:val="0070C0"/>
          <w:sz w:val="16"/>
          <w:szCs w:val="16"/>
          <w:lang w:eastAsia="ru-RU"/>
        </w:rPr>
        <w:t xml:space="preserve">, 1928-1931 // </w:t>
      </w:r>
      <w:r w:rsidRPr="00C33834">
        <w:rPr>
          <w:rFonts w:ascii="Times New Roman" w:eastAsia="Times New Roman" w:hAnsi="Times New Roman"/>
          <w:color w:val="0070C0"/>
          <w:sz w:val="16"/>
          <w:szCs w:val="16"/>
          <w:lang w:val="en-US" w:eastAsia="ru-RU"/>
        </w:rPr>
        <w:t>Europe</w:t>
      </w:r>
      <w:r w:rsidRPr="00C33834">
        <w:rPr>
          <w:rFonts w:ascii="Times New Roman" w:eastAsia="Times New Roman" w:hAnsi="Times New Roman"/>
          <w:color w:val="0070C0"/>
          <w:sz w:val="16"/>
          <w:szCs w:val="16"/>
          <w:lang w:eastAsia="ru-RU"/>
        </w:rPr>
        <w:t>-</w:t>
      </w:r>
      <w:r w:rsidRPr="00C33834">
        <w:rPr>
          <w:rFonts w:ascii="Times New Roman" w:eastAsia="Times New Roman" w:hAnsi="Times New Roman"/>
          <w:color w:val="0070C0"/>
          <w:sz w:val="16"/>
          <w:szCs w:val="16"/>
          <w:lang w:val="en-US" w:eastAsia="ru-RU"/>
        </w:rPr>
        <w:t>Asia</w:t>
      </w:r>
      <w:r w:rsidRPr="00C33834">
        <w:rPr>
          <w:rFonts w:ascii="Times New Roman" w:eastAsia="Times New Roman" w:hAnsi="Times New Roman"/>
          <w:color w:val="0070C0"/>
          <w:sz w:val="16"/>
          <w:szCs w:val="16"/>
          <w:lang w:eastAsia="ru-RU"/>
        </w:rPr>
        <w:t xml:space="preserve"> </w:t>
      </w:r>
      <w:r w:rsidRPr="00C33834">
        <w:rPr>
          <w:rFonts w:ascii="Times New Roman" w:eastAsia="Times New Roman" w:hAnsi="Times New Roman"/>
          <w:color w:val="0070C0"/>
          <w:sz w:val="16"/>
          <w:szCs w:val="16"/>
          <w:lang w:val="en-US" w:eastAsia="ru-RU"/>
        </w:rPr>
        <w:t>Studies</w:t>
      </w:r>
      <w:r w:rsidRPr="00C33834">
        <w:rPr>
          <w:rFonts w:ascii="Times New Roman" w:eastAsia="Times New Roman" w:hAnsi="Times New Roman"/>
          <w:color w:val="0070C0"/>
          <w:sz w:val="16"/>
          <w:szCs w:val="16"/>
          <w:lang w:eastAsia="ru-RU"/>
        </w:rPr>
        <w:t>. 1996. Vol. 48. № 8. P. 1370 (обратный перевод записки Тухачевского)</w:t>
      </w:r>
    </w:p>
    <w:p w14:paraId="0AFED389" w14:textId="77777777" w:rsidR="00E15462" w:rsidRPr="00C33834" w:rsidRDefault="00E1546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Другой особенностью формулы Егорова явилось оттеснение на задний план анализа внешней угрозы как основы для постановки задач обороны страны (22725).</w:t>
      </w:r>
    </w:p>
    <w:p w14:paraId="6D05D25C" w14:textId="77777777" w:rsidR="00E15462" w:rsidRPr="00C33834" w:rsidRDefault="00E15462" w:rsidP="00C33834">
      <w:pPr>
        <w:spacing w:after="0" w:line="240" w:lineRule="auto"/>
        <w:jc w:val="both"/>
        <w:rPr>
          <w:rFonts w:ascii="Times New Roman" w:hAnsi="Times New Roman"/>
          <w:color w:val="0070C0"/>
          <w:sz w:val="16"/>
          <w:szCs w:val="16"/>
        </w:rPr>
      </w:pPr>
    </w:p>
    <w:p w14:paraId="49888D92" w14:textId="77777777" w:rsidR="00746843"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16ABFE5F" w14:textId="77777777" w:rsidR="00746843" w:rsidRPr="00C33834" w:rsidRDefault="00746843" w:rsidP="00C33834">
      <w:pPr>
        <w:spacing w:after="0" w:line="240" w:lineRule="auto"/>
        <w:jc w:val="both"/>
        <w:rPr>
          <w:rFonts w:ascii="Times New Roman" w:hAnsi="Times New Roman"/>
          <w:iCs/>
          <w:color w:val="000000" w:themeColor="text1"/>
          <w:sz w:val="16"/>
          <w:szCs w:val="16"/>
        </w:rPr>
      </w:pPr>
    </w:p>
    <w:p w14:paraId="5F4A3E4E" w14:textId="77777777" w:rsidR="00040C94" w:rsidRPr="00C33834" w:rsidRDefault="00040C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г. Каганович повторно вызвал руководство Метростроя в горком партии. Заместитель Ротерта Крутов был уволен со своей должности. Ротерт. объяснял отсутствие сдвигов на стройке слабой поддержкой со стороны партии и профсоюзов, его второй заместитель Рошаль и секретарь парторганизации Метростроя Сивачев выступили с критикой стиля руководства Ротерта. Каганович поручил Хрущеву и Булганину проверить управленческий аппарат и стройплощадки Метростроя{469} (18299).</w:t>
      </w:r>
    </w:p>
    <w:p w14:paraId="3E450E3A" w14:textId="77777777" w:rsidR="00040C94" w:rsidRPr="00C33834" w:rsidRDefault="00040C94" w:rsidP="00C33834">
      <w:pPr>
        <w:spacing w:after="0" w:line="240" w:lineRule="auto"/>
        <w:jc w:val="both"/>
        <w:rPr>
          <w:rFonts w:ascii="Times New Roman" w:hAnsi="Times New Roman"/>
          <w:color w:val="000000" w:themeColor="text1"/>
          <w:sz w:val="16"/>
          <w:szCs w:val="16"/>
        </w:rPr>
      </w:pPr>
    </w:p>
    <w:p w14:paraId="7A3FA361"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возникло дело о саботаже 6 английских инженеров-электриков компании Метрополитен Виккерс и группы советских и вредителей. Процесс привел к эмбарго со стороны Англии, продолжавшемуся до отмены решения суда в июле 1933 (3240).</w:t>
      </w:r>
    </w:p>
    <w:p w14:paraId="766BB80C"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1D808F49" w14:textId="77777777" w:rsidR="00746843"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8059EC9" w14:textId="77777777" w:rsidR="00746843" w:rsidRPr="00C33834" w:rsidRDefault="00746843" w:rsidP="00C33834">
      <w:pPr>
        <w:spacing w:after="0" w:line="240" w:lineRule="auto"/>
        <w:jc w:val="both"/>
        <w:rPr>
          <w:rFonts w:ascii="Times New Roman" w:hAnsi="Times New Roman"/>
          <w:iCs/>
          <w:color w:val="000000" w:themeColor="text1"/>
          <w:sz w:val="16"/>
          <w:szCs w:val="16"/>
        </w:rPr>
      </w:pPr>
    </w:p>
    <w:p w14:paraId="00AC9390" w14:textId="77777777" w:rsidR="00D25EF2" w:rsidRPr="00C33834" w:rsidRDefault="00D25EF2" w:rsidP="00C33834">
      <w:pPr>
        <w:spacing w:after="0" w:line="240" w:lineRule="auto"/>
        <w:jc w:val="both"/>
        <w:rPr>
          <w:rFonts w:ascii="Times New Roman" w:hAnsi="Times New Roman"/>
          <w:color w:val="0070C0"/>
          <w:sz w:val="16"/>
          <w:szCs w:val="16"/>
          <w:lang w:eastAsia="ru-RU" w:bidi="ru-RU"/>
        </w:rPr>
      </w:pPr>
      <w:r w:rsidRPr="00C33834">
        <w:rPr>
          <w:rFonts w:ascii="Times New Roman" w:hAnsi="Times New Roman"/>
          <w:color w:val="0070C0"/>
          <w:sz w:val="16"/>
          <w:szCs w:val="16"/>
        </w:rPr>
        <w:t>В марте 1933 года совершил первый полет японский экспериментальный морской бомбардировщик 7-Shi тип 95. Дальность 3700 км открывала ему путь в серийное производство, но бомбардировщиков G2H-1 построили только 7 — производственная база арсенала «Хиро» больше не потянула (22811).</w:t>
      </w:r>
    </w:p>
    <w:p w14:paraId="77A5B634" w14:textId="77777777" w:rsidR="00D25EF2" w:rsidRPr="00C33834" w:rsidRDefault="00D25EF2" w:rsidP="00C33834">
      <w:pPr>
        <w:spacing w:after="0" w:line="240" w:lineRule="auto"/>
        <w:jc w:val="both"/>
        <w:rPr>
          <w:rFonts w:ascii="Times New Roman" w:hAnsi="Times New Roman"/>
          <w:color w:val="0070C0"/>
          <w:sz w:val="16"/>
          <w:szCs w:val="16"/>
          <w:lang w:eastAsia="ru-RU" w:bidi="ru-RU"/>
        </w:rPr>
      </w:pPr>
    </w:p>
    <w:p w14:paraId="3AA978DC" w14:textId="77777777" w:rsidR="0099326E" w:rsidRPr="00C33834" w:rsidRDefault="0099326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марте 1933 года, Рузвельту пришлось столкнуться с третьей волной банковской паники, на которую новый президент отреагировал закрытием банков на неделю и подготовкой за это время программы гарантирования вкладов. </w:t>
      </w:r>
    </w:p>
    <w:p w14:paraId="128E62B9" w14:textId="77777777" w:rsidR="0099326E" w:rsidRPr="00C33834" w:rsidRDefault="0099326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Первые 100 дней президентства Рузвельта были отмечены интенсивной законодательной деятельностью. Конгресс разрешил создать Федеральную корпорацию страхования вкладов и Федеральную администрацию чрезвычайной помощи (ФАЧП), создание которой предписывалось Законом о восстановлении национальной экономики от 16 июля 1933 года. В задачи ФАЧП входило: </w:t>
      </w:r>
    </w:p>
    <w:p w14:paraId="7B6DFBAA" w14:textId="77777777" w:rsidR="0099326E" w:rsidRPr="00C33834" w:rsidRDefault="0099326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строительство, ремонт и улучшение шоссе и магистралей, общественных зданий и любых других государственных предприятий и коммунальных удобств; </w:t>
      </w:r>
    </w:p>
    <w:p w14:paraId="455CAC42" w14:textId="77777777" w:rsidR="0099326E" w:rsidRPr="00C33834" w:rsidRDefault="0099326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сохранение естественных богатств и развитие их добычи, включая сюда контроль, использование и очищение вод, предотвращение почвенной и береговой эрозии, развитие водной энергетики, передачу электрической энергии, строительство различных речных и портовых сооружений и предотвращение наводнений. </w:t>
      </w:r>
    </w:p>
    <w:p w14:paraId="0F49316D" w14:textId="77777777" w:rsidR="0099326E" w:rsidRPr="00C33834" w:rsidRDefault="0099326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Безработные активно привлекались к общественным работам. В общей сложности в 1933—1939 гг. на общественных работах под эгидой Администрации общественных работ (</w:t>
      </w:r>
      <w:r w:rsidRPr="00C33834">
        <w:rPr>
          <w:rFonts w:ascii="Times New Roman" w:hAnsi="Times New Roman"/>
          <w:color w:val="000000" w:themeColor="text1"/>
          <w:sz w:val="16"/>
          <w:szCs w:val="16"/>
          <w:lang w:val="en-US"/>
        </w:rPr>
        <w:t>PWA</w:t>
      </w:r>
      <w:r w:rsidRPr="00C33834">
        <w:rPr>
          <w:rFonts w:ascii="Times New Roman" w:hAnsi="Times New Roman"/>
          <w:color w:val="000000" w:themeColor="text1"/>
          <w:sz w:val="16"/>
          <w:szCs w:val="16"/>
        </w:rPr>
        <w:t xml:space="preserve">) и администрации гражданских работ </w:t>
      </w:r>
      <w:r w:rsidRPr="00C33834">
        <w:rPr>
          <w:rFonts w:ascii="Times New Roman" w:hAnsi="Times New Roman"/>
          <w:color w:val="000000" w:themeColor="text1"/>
          <w:sz w:val="16"/>
          <w:szCs w:val="16"/>
          <w:lang w:val="en-US"/>
        </w:rPr>
        <w:t>CivilWorksAdministration</w:t>
      </w:r>
      <w:r w:rsidRPr="00C33834">
        <w:rPr>
          <w:rFonts w:ascii="Times New Roman" w:hAnsi="Times New Roman"/>
          <w:color w:val="000000" w:themeColor="text1"/>
          <w:sz w:val="16"/>
          <w:szCs w:val="16"/>
        </w:rPr>
        <w:t xml:space="preserve"> — СВА (это строительство каналов, дорог, мостов зачастую в необжитых и болотистых малярийных районах) численность занятых на общественных работах достигала 4 миллиона человек. </w:t>
      </w:r>
    </w:p>
    <w:p w14:paraId="05F9E716" w14:textId="77777777" w:rsidR="0099326E" w:rsidRPr="00C33834" w:rsidRDefault="0099326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Через Конгресс были проведены также несколько законопроектов, регулирующих финансовую сферу: </w:t>
      </w:r>
    </w:p>
    <w:p w14:paraId="5F22EB37" w14:textId="77777777" w:rsidR="0099326E" w:rsidRPr="00C33834" w:rsidRDefault="0099326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чрезвычайный банковский закон; </w:t>
      </w:r>
    </w:p>
    <w:p w14:paraId="59A68DF9" w14:textId="77777777" w:rsidR="0099326E" w:rsidRPr="00C33834" w:rsidRDefault="0099326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закон Гласса-Стиголла (1933 года) о разграничении инвестиционных и коммерческих банков; </w:t>
      </w:r>
    </w:p>
    <w:p w14:paraId="65A15FFF" w14:textId="77777777" w:rsidR="0099326E" w:rsidRPr="00C33834" w:rsidRDefault="0099326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закон о кредитовании сельского хозяйства; </w:t>
      </w:r>
    </w:p>
    <w:p w14:paraId="7AECB1F8" w14:textId="77777777" w:rsidR="0099326E" w:rsidRPr="00C33834" w:rsidRDefault="0099326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закон о комиссии по ценным бумагам. </w:t>
      </w:r>
    </w:p>
    <w:p w14:paraId="65746C5B" w14:textId="77777777" w:rsidR="0099326E" w:rsidRPr="00C33834" w:rsidRDefault="0099326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сфере сельского хозяйства принятый 12 мая 1933 года закон о регулировании реструктурировал двенадцатимиллиардный фермерский долг, сократил проценты по ипотечной задолженности и удлинил срок погашения всех долгов. Правительство получило возможность предоставить фермерам заем, и в течение последующих четырёх лет аграрные банки выдали полумиллиону земельных владельцев ссуды на общую сумму 2,2 млрд долларов на очень лёгких условиях. Для поднятия цен на сельхозпродукцию законом от 12 мая фермерам рекомендовалось уменьшить производство, урезать посевные площади, снизить поголовье скота, а для компенсации возможных убытков создавался специальный фонд. </w:t>
      </w:r>
    </w:p>
    <w:p w14:paraId="3E6DC33D" w14:textId="77777777" w:rsidR="0099326E" w:rsidRPr="00C33834" w:rsidRDefault="0099326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Итоги первого года президентства Рузвельта были неоднозначны: падение ВВП значительно замедлилось и составило лишь 2,1 % в 1933 году, но безработица выросла до 24,9 %. После выкупа государством всего золота по твёрдой цене, опираясь на закон о золотом резерве, принятый в январе 1934 года, Рузвельт издал 31 января 1934 года прокламацию, которая сокращала золотое содержание доллара с 25,8 до 15 5/21 грана и устанавливала официальную цену золота на уровне 35 долларов за унцию. Иными словами, доллар был девальвирован на 41 %. </w:t>
      </w:r>
    </w:p>
    <w:p w14:paraId="13E7CF62" w14:textId="77777777" w:rsidR="0099326E" w:rsidRPr="00C33834" w:rsidRDefault="0099326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Было составлено 557 основных и 189 дополнительных так называемых «кодексов честной конкуренции» в различных отраслях. Стороны гарантировали минимум зарплаты, а также единую зарплату для всех рабочих одной категории. Эти кодексы охватили 95 % всех промышленных рабочих. Такие кодексы сильно ограничивали конкуренцию. </w:t>
      </w:r>
    </w:p>
    <w:p w14:paraId="3F0B9C5F" w14:textId="77777777" w:rsidR="0099326E" w:rsidRPr="00C33834" w:rsidRDefault="0099326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Методы Рузвельта, резко повышавшие роль правительства, рассматривались как покушение на Конституцию США. В 1935 году Верховный Суд США постановил, что Национальная администрация восстановления и вводящий её закон (</w:t>
      </w:r>
      <w:r w:rsidRPr="00C33834">
        <w:rPr>
          <w:rFonts w:ascii="Times New Roman" w:hAnsi="Times New Roman"/>
          <w:color w:val="000000" w:themeColor="text1"/>
          <w:sz w:val="16"/>
          <w:szCs w:val="16"/>
          <w:lang w:val="en-US"/>
        </w:rPr>
        <w:t>NationalIndustrialRecoveryAct</w:t>
      </w:r>
      <w:r w:rsidRPr="00C33834">
        <w:rPr>
          <w:rFonts w:ascii="Times New Roman" w:hAnsi="Times New Roman"/>
          <w:color w:val="000000" w:themeColor="text1"/>
          <w:sz w:val="16"/>
          <w:szCs w:val="16"/>
        </w:rPr>
        <w:t xml:space="preserve">, </w:t>
      </w:r>
      <w:r w:rsidRPr="00C33834">
        <w:rPr>
          <w:rFonts w:ascii="Times New Roman" w:hAnsi="Times New Roman"/>
          <w:color w:val="000000" w:themeColor="text1"/>
          <w:sz w:val="16"/>
          <w:szCs w:val="16"/>
          <w:lang w:val="en-US"/>
        </w:rPr>
        <w:t>NIRA</w:t>
      </w:r>
      <w:r w:rsidRPr="00C33834">
        <w:rPr>
          <w:rFonts w:ascii="Times New Roman" w:hAnsi="Times New Roman"/>
          <w:color w:val="000000" w:themeColor="text1"/>
          <w:sz w:val="16"/>
          <w:szCs w:val="16"/>
        </w:rPr>
        <w:t xml:space="preserve">) неконституционны. Причина была в фактической отмене в этом акте многих антимонопольных законов и закреплении за профсоюзами монополии на наем работников. </w:t>
      </w:r>
    </w:p>
    <w:p w14:paraId="3B7AC413" w14:textId="77777777" w:rsidR="0099326E" w:rsidRPr="00C33834" w:rsidRDefault="0099326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Государство решительно вторглось в сферу образования, здравоохранения, гарантировало прожиточный минимум, взяло на себя обязательство по обеспечению престарелых, инвалидов, неимущих. Расходы федерального правительства в </w:t>
      </w:r>
      <w:r w:rsidRPr="00C33834">
        <w:rPr>
          <w:rFonts w:ascii="Times New Roman" w:hAnsi="Times New Roman"/>
          <w:color w:val="000000" w:themeColor="text1"/>
          <w:sz w:val="16"/>
          <w:szCs w:val="16"/>
          <w:lang w:val="en-US"/>
        </w:rPr>
        <w:t> </w:t>
      </w:r>
      <w:r w:rsidRPr="00C33834">
        <w:rPr>
          <w:rFonts w:ascii="Times New Roman" w:hAnsi="Times New Roman"/>
          <w:color w:val="000000" w:themeColor="text1"/>
          <w:sz w:val="16"/>
          <w:szCs w:val="16"/>
        </w:rPr>
        <w:t>1932</w:t>
      </w:r>
      <w:r w:rsidRPr="00C33834">
        <w:rPr>
          <w:rFonts w:ascii="Times New Roman" w:hAnsi="Times New Roman"/>
          <w:color w:val="000000" w:themeColor="text1"/>
          <w:sz w:val="16"/>
          <w:szCs w:val="16"/>
          <w:lang w:val="en-US"/>
        </w:rPr>
        <w:t> </w:t>
      </w:r>
      <w:r w:rsidRPr="00C33834">
        <w:rPr>
          <w:rFonts w:ascii="Times New Roman" w:hAnsi="Times New Roman"/>
          <w:color w:val="000000" w:themeColor="text1"/>
          <w:sz w:val="16"/>
          <w:szCs w:val="16"/>
        </w:rPr>
        <w:t xml:space="preserve">—1940 годах выросли более чем вдвое. Однако Рузвельт опасался несбалансированного бюджета и расходы на 1937 год, когда, казалось бы, экономика набрала уже достаточные обороты, были сокращены. Это снова погрузило страну в рецессию 1937—1938 годов. </w:t>
      </w:r>
    </w:p>
    <w:p w14:paraId="6FC0E564" w14:textId="77777777" w:rsidR="0099326E" w:rsidRPr="00C33834" w:rsidRDefault="0099326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Индекс промышленного производства составил в 1939 году только 90 % уровня </w:t>
      </w:r>
      <w:r w:rsidRPr="00C33834">
        <w:rPr>
          <w:rFonts w:ascii="Times New Roman" w:hAnsi="Times New Roman"/>
          <w:color w:val="000000" w:themeColor="text1"/>
          <w:sz w:val="16"/>
          <w:szCs w:val="16"/>
          <w:lang w:val="en-US"/>
        </w:rPr>
        <w:t> </w:t>
      </w:r>
      <w:r w:rsidRPr="00C33834">
        <w:rPr>
          <w:rFonts w:ascii="Times New Roman" w:hAnsi="Times New Roman"/>
          <w:color w:val="000000" w:themeColor="text1"/>
          <w:sz w:val="16"/>
          <w:szCs w:val="16"/>
        </w:rPr>
        <w:t>1932</w:t>
      </w:r>
      <w:r w:rsidRPr="00C33834">
        <w:rPr>
          <w:rFonts w:ascii="Times New Roman" w:hAnsi="Times New Roman"/>
          <w:color w:val="000000" w:themeColor="text1"/>
          <w:sz w:val="16"/>
          <w:szCs w:val="16"/>
          <w:lang w:val="en-US"/>
        </w:rPr>
        <w:t> </w:t>
      </w:r>
      <w:r w:rsidRPr="00C33834">
        <w:rPr>
          <w:rFonts w:ascii="Times New Roman" w:hAnsi="Times New Roman"/>
          <w:color w:val="000000" w:themeColor="text1"/>
          <w:sz w:val="16"/>
          <w:szCs w:val="16"/>
        </w:rPr>
        <w:t xml:space="preserve"> года. В 1939 году безработица все ещё оставалась на уровне 17 %. Некоторые указывают, что причиной окончания Великой депрессии стала Вторая мировая война, вызвавшая массовые закупки государством вооружения. Бурный рост в американской промышленности начался лишь в 1939—1941 годах на волне активного наращивания военных приготовлений (17253).</w:t>
      </w:r>
    </w:p>
    <w:p w14:paraId="562D1B06" w14:textId="77777777" w:rsidR="0099326E" w:rsidRPr="00C33834" w:rsidRDefault="0099326E" w:rsidP="00C33834">
      <w:pPr>
        <w:spacing w:after="0" w:line="240" w:lineRule="auto"/>
        <w:jc w:val="both"/>
        <w:rPr>
          <w:rFonts w:ascii="Times New Roman" w:hAnsi="Times New Roman"/>
          <w:color w:val="000000" w:themeColor="text1"/>
          <w:sz w:val="16"/>
          <w:szCs w:val="16"/>
        </w:rPr>
      </w:pPr>
    </w:p>
    <w:p w14:paraId="1B728C06"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Г.Крупп как председатель союза германских промышленников направил Гитлеру как рейхсканцлеру проект реорганизации промышленности страны и предлагал ускорить техническое перевооружение армии, авиации и ВМФ. Проект был одобрен Гитлером и получил силу обязательного плана (24,95).</w:t>
      </w:r>
    </w:p>
    <w:p w14:paraId="147289AA"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0917FD2D"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разрозненные авиаспортивные клубы Германии слились в единую организацию - Deutsche Luftsportverband (2814,3).</w:t>
      </w:r>
    </w:p>
    <w:p w14:paraId="78586696"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72646E04"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Декреты Э.Дольфуса о запрещении Шуцбунда и присоединении отрядов Хеймвера к полиции, о запрещении собраний и демонстраций, о создании концлагерей (7444).</w:t>
      </w:r>
    </w:p>
    <w:p w14:paraId="11DD9474"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7C94E97F"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1933 г. Япония вышла из Лиги Наций и военные сыграли ключевую роль в принятии этого решения (3871).</w:t>
      </w:r>
    </w:p>
    <w:p w14:paraId="77CEB8A6" w14:textId="77777777" w:rsidR="00CC65A8" w:rsidRPr="00C33834" w:rsidRDefault="00CC65A8" w:rsidP="00C33834">
      <w:pPr>
        <w:spacing w:after="0" w:line="240" w:lineRule="auto"/>
        <w:jc w:val="both"/>
        <w:rPr>
          <w:rFonts w:ascii="Times New Roman" w:hAnsi="Times New Roman"/>
          <w:color w:val="000000" w:themeColor="text1"/>
          <w:sz w:val="16"/>
          <w:szCs w:val="16"/>
        </w:rPr>
      </w:pPr>
    </w:p>
    <w:p w14:paraId="508EC0E6" w14:textId="77777777" w:rsidR="00746843"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F8B167E" w14:textId="77777777" w:rsidR="00746843" w:rsidRPr="00C33834" w:rsidRDefault="00746843" w:rsidP="00C33834">
      <w:pPr>
        <w:spacing w:after="0" w:line="240" w:lineRule="auto"/>
        <w:jc w:val="both"/>
        <w:rPr>
          <w:rFonts w:ascii="Times New Roman" w:hAnsi="Times New Roman"/>
          <w:iCs/>
          <w:color w:val="000000" w:themeColor="text1"/>
          <w:sz w:val="16"/>
          <w:szCs w:val="16"/>
        </w:rPr>
      </w:pPr>
    </w:p>
    <w:p w14:paraId="65EA9891"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марте-июне 1933 ХАИ-1 прошел весь комплекс гос. испытаний и был рекомендован ГУ ГВФ как основной тип. Серию поручили 21 заводу. Где-то в 1934 испытывали серийный (143,23). Гос. испытания ХАИ-1 серийного сначала в Горьком, затем - в Киеве (80,379).</w:t>
      </w:r>
    </w:p>
    <w:p w14:paraId="73EBE6BD"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гос. испытания ХАИ-1 проходили в ноябре 1992. То, что это были испытания серийного - снимает противоречие.</w:t>
      </w:r>
    </w:p>
    <w:p w14:paraId="3BFFC85D"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5EB65A3F"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марта по октябрь 1933 проходили испытания опытного ТБ-3 (АНТ-6) с М-34 (437,103).</w:t>
      </w:r>
    </w:p>
    <w:p w14:paraId="14B10126"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заводские испытания были с марта по сентябрь 1933 и это правильнее, так как 27 сентября уже начались гос. испытания (1017,175).</w:t>
      </w:r>
    </w:p>
    <w:p w14:paraId="6585D59C"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5A60B476" w14:textId="77777777" w:rsidR="00746843" w:rsidRPr="00C33834" w:rsidRDefault="008E43FA"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4AF7F732" w14:textId="77777777" w:rsidR="00746843" w:rsidRPr="00C33834" w:rsidRDefault="00746843" w:rsidP="00C33834">
      <w:pPr>
        <w:spacing w:after="0" w:line="240" w:lineRule="auto"/>
        <w:jc w:val="both"/>
        <w:rPr>
          <w:rFonts w:ascii="Times New Roman" w:hAnsi="Times New Roman"/>
          <w:iCs/>
          <w:color w:val="000000" w:themeColor="text1"/>
          <w:sz w:val="16"/>
          <w:szCs w:val="16"/>
        </w:rPr>
      </w:pPr>
    </w:p>
    <w:p w14:paraId="25D31B52" w14:textId="77777777" w:rsidR="00746843" w:rsidRPr="00C33834" w:rsidRDefault="00746843"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 марте — апреле 1933 года один бронедивизион войск ОГПУ участвовал в ликвидации банды численностью до 170 человек в районе Кызыл-Арават (Таджикская ССР) (11284).</w:t>
      </w:r>
    </w:p>
    <w:p w14:paraId="2ECBF0AE" w14:textId="77777777" w:rsidR="00746843" w:rsidRPr="00C33834" w:rsidRDefault="00746843" w:rsidP="00C33834">
      <w:pPr>
        <w:pStyle w:val="af2"/>
        <w:jc w:val="both"/>
        <w:rPr>
          <w:i w:val="0"/>
          <w:iCs w:val="0"/>
          <w:color w:val="000000" w:themeColor="text1"/>
          <w:spacing w:val="0"/>
          <w:kern w:val="0"/>
          <w:position w:val="0"/>
          <w:sz w:val="16"/>
          <w:szCs w:val="16"/>
          <w:lang w:val="ru-RU"/>
        </w:rPr>
      </w:pPr>
    </w:p>
    <w:p w14:paraId="60DD1F85" w14:textId="77777777" w:rsidR="00746843"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E0F2921" w14:textId="77777777" w:rsidR="00746843" w:rsidRPr="00C33834" w:rsidRDefault="00746843" w:rsidP="00C33834">
      <w:pPr>
        <w:spacing w:after="0" w:line="240" w:lineRule="auto"/>
        <w:jc w:val="both"/>
        <w:rPr>
          <w:rFonts w:ascii="Times New Roman" w:hAnsi="Times New Roman"/>
          <w:iCs/>
          <w:color w:val="000000" w:themeColor="text1"/>
          <w:sz w:val="16"/>
          <w:szCs w:val="16"/>
        </w:rPr>
      </w:pPr>
    </w:p>
    <w:p w14:paraId="46A99B79"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первом квартале 1934 г. работы по Г-1 (Д-1) приостановили. Причина была тривиальной - кончились отпущенные деньги. Готовность опытного образца в это время определяли в 70%. По оценкам конструкторов, для завершения машины требовалось еще 508 000 рублей (12036).</w:t>
      </w:r>
    </w:p>
    <w:p w14:paraId="73BE4B8B"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6665047C" w14:textId="77777777" w:rsidR="00746843"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C6A05F4" w14:textId="77777777" w:rsidR="00746843" w:rsidRPr="00C33834" w:rsidRDefault="00746843" w:rsidP="00C33834">
      <w:pPr>
        <w:spacing w:after="0" w:line="240" w:lineRule="auto"/>
        <w:jc w:val="both"/>
        <w:rPr>
          <w:rFonts w:ascii="Times New Roman" w:hAnsi="Times New Roman"/>
          <w:iCs/>
          <w:color w:val="000000" w:themeColor="text1"/>
          <w:sz w:val="16"/>
          <w:szCs w:val="16"/>
        </w:rPr>
      </w:pPr>
    </w:p>
    <w:p w14:paraId="1A73339D"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первом квартале 1933 года Германия экспортировала в Англию товаров на 88 млн марок, а в первом квартале 1934 года эта сумма увеличилась до 104 млн марок. В 1936 году германский экспорт в Великобританию достиг суммы в 406 млн марок. В 1937-1938 годах Германии удалось полностью оттеснить Англию от участия во ввозе металлических изделий в Италию и Швейцарию и занять главенствующее положение в импорте Португалии, Голландии, Бельгии, Дании, Швеции и Норвегии (11208).</w:t>
      </w:r>
    </w:p>
    <w:p w14:paraId="508FDCEF"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55BB859F" w14:textId="77777777" w:rsidR="00D25EF2" w:rsidRPr="00C33834" w:rsidRDefault="00D25EF2"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602117C" w14:textId="77777777" w:rsidR="00D25EF2" w:rsidRPr="00C33834" w:rsidRDefault="00D25EF2" w:rsidP="00C33834">
      <w:pPr>
        <w:spacing w:after="0" w:line="240" w:lineRule="auto"/>
        <w:jc w:val="both"/>
        <w:rPr>
          <w:rFonts w:ascii="Times New Roman" w:hAnsi="Times New Roman"/>
          <w:iCs/>
          <w:color w:val="000000" w:themeColor="text1"/>
          <w:sz w:val="16"/>
          <w:szCs w:val="16"/>
        </w:rPr>
      </w:pPr>
    </w:p>
    <w:p w14:paraId="6DB60592" w14:textId="77777777" w:rsidR="00D25EF2" w:rsidRPr="00C33834" w:rsidRDefault="00D25EF2" w:rsidP="00C33834">
      <w:pPr>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К апрелю 1933 Госплан не располагал ни производственными планами Главного военно-мобилизационного управления НКТП на пятилетку, ни даже планом заказов НКВМ на 1933 г. Сектору обороны пришлось "без привлечения ведомств" ориентировочно "прорабатывать перспективу развития военных производств" во втором пятилетии в двух вариантах": исходя из постановлений Комиссии обороны 1931-1932 гг. и из принятого в Госплане лимита капиталовложений в военную промышленность. Сопоставление данных показало, во-первых, невыполнимость постановлений КО относительно увеличения мощностей по производству арторудий, снарядов, танков, пороха в намеченные сроки и необходимость их отодвинуть с 1933-1935 гг. на 1936-1937 гг. Во-вторых, лимиты Госплана на пятилетку вообще исключали реализацию в ее рамках мобилизационных заданий КО по всей номенклатуре основных вооружений за исключением танков и отчасти пулеметов. Что касается мощностей по выпуску самолетов, предусмотренные капиталовложения допускали подачу до 18 200 машин к январю 1938 г., однако, и при их пересмотре, СО не видел возможности до конца пятилетки превысить уровень 31 200 самолетов в год войны; между тем постановление КО от 11 января 1932 г. требовало обеспечить мощности по производству 35 тыс. самолетов к 1935 г. (Доклад Начальника Сектора Обороны Госплана С. О. Ботнера и Заместителя Начальника Сектора Обороны Госплана В. А. Колесинского Председателю Госплана В. В. Куйбышеву и Заместителю Председателя Госплана В. И. Межлауку "О плане развития военных производств во втором пятилетии", 04.04.1933 // Там же. Л. 181 -179). Как быть, в Госплане СССР не знали (22725).</w:t>
      </w:r>
    </w:p>
    <w:p w14:paraId="7B00AE31" w14:textId="77777777" w:rsidR="00D25EF2" w:rsidRPr="00C33834" w:rsidRDefault="00D25EF2" w:rsidP="00C33834">
      <w:pPr>
        <w:spacing w:after="0" w:line="240" w:lineRule="auto"/>
        <w:jc w:val="both"/>
        <w:rPr>
          <w:rFonts w:ascii="Times New Roman" w:eastAsia="Times New Roman" w:hAnsi="Times New Roman"/>
          <w:color w:val="0070C0"/>
          <w:sz w:val="16"/>
          <w:szCs w:val="16"/>
          <w:lang w:eastAsia="ru-RU"/>
        </w:rPr>
      </w:pPr>
    </w:p>
    <w:p w14:paraId="3A1BA0EE" w14:textId="77777777" w:rsidR="00CC65A8"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0F997B6" w14:textId="77777777" w:rsidR="00CC65A8" w:rsidRPr="00C33834" w:rsidRDefault="00CC65A8" w:rsidP="00C33834">
      <w:pPr>
        <w:spacing w:after="0" w:line="240" w:lineRule="auto"/>
        <w:jc w:val="both"/>
        <w:rPr>
          <w:rFonts w:ascii="Times New Roman" w:hAnsi="Times New Roman"/>
          <w:iCs/>
          <w:color w:val="000000" w:themeColor="text1"/>
          <w:sz w:val="16"/>
          <w:szCs w:val="16"/>
        </w:rPr>
      </w:pPr>
    </w:p>
    <w:p w14:paraId="123E0560"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апрелю 1933 года производство Д-2 Дыренкова, помимо Можерез, велось только на заводе «Красный Профинтерн» в Брянске. Правда, спеццех последнего был загружен заказом на изготовление тяжелых бронеплощадок и бронепаро-возов, в результате чего сборка Д-2 тут здорово затянулась. Последний 15-й мотоброневагон вышел из ворот «Красного Профинтерна» в июле 1934 года. Таким образом, в 1932 -1934 годах в Москве и Брянске изготовили 30 серийных мотоброневагонов Д-2 (15624).</w:t>
      </w:r>
    </w:p>
    <w:p w14:paraId="7060E8B2" w14:textId="77777777" w:rsidR="00CC65A8" w:rsidRPr="00C33834" w:rsidRDefault="00CC65A8" w:rsidP="00C33834">
      <w:pPr>
        <w:spacing w:after="0" w:line="240" w:lineRule="auto"/>
        <w:jc w:val="both"/>
        <w:rPr>
          <w:rFonts w:ascii="Times New Roman" w:hAnsi="Times New Roman"/>
          <w:color w:val="000000" w:themeColor="text1"/>
          <w:sz w:val="16"/>
          <w:szCs w:val="16"/>
        </w:rPr>
      </w:pPr>
    </w:p>
    <w:p w14:paraId="50CBF70A" w14:textId="77777777" w:rsidR="00040C94" w:rsidRPr="00C33834" w:rsidRDefault="00040C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апрелю 1933 года производство Д-2, помимо Можерез, велось только на заводе «Красный Профинтерн» в Брянске. Правда, спеццех последнего был загружен заказом на изготовление тяжелых бронеплощадок и бронепаро-возов, в результате чего сборка Д-2 тут здорово затянулась. Последний 15-й мотоброневагон вышел из ворот «Красного Профинтерна» в июле 1934 года. Таким образом, в 1932 -1934 годах в Москве и Брянске изготовили 30 серийных мотоброневагонов Д-2 (18626).</w:t>
      </w:r>
    </w:p>
    <w:p w14:paraId="3BD11692" w14:textId="77777777" w:rsidR="00040C94" w:rsidRPr="00C33834" w:rsidRDefault="00040C94" w:rsidP="00C33834">
      <w:pPr>
        <w:spacing w:after="0" w:line="240" w:lineRule="auto"/>
        <w:jc w:val="both"/>
        <w:rPr>
          <w:rFonts w:ascii="Times New Roman" w:hAnsi="Times New Roman"/>
          <w:color w:val="000000" w:themeColor="text1"/>
          <w:sz w:val="16"/>
          <w:szCs w:val="16"/>
        </w:rPr>
      </w:pPr>
    </w:p>
    <w:p w14:paraId="5F5BB402" w14:textId="77777777" w:rsidR="00746843"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C1589D1" w14:textId="77777777" w:rsidR="00746843" w:rsidRPr="00C33834" w:rsidRDefault="00746843" w:rsidP="00C33834">
      <w:pPr>
        <w:spacing w:after="0" w:line="240" w:lineRule="auto"/>
        <w:jc w:val="both"/>
        <w:rPr>
          <w:rFonts w:ascii="Times New Roman" w:hAnsi="Times New Roman"/>
          <w:iCs/>
          <w:color w:val="000000" w:themeColor="text1"/>
          <w:sz w:val="16"/>
          <w:szCs w:val="16"/>
        </w:rPr>
      </w:pPr>
    </w:p>
    <w:p w14:paraId="4154EFA4"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апреля 1933 началась постройка АНТ-27 (МДР-4) (514).</w:t>
      </w:r>
    </w:p>
    <w:p w14:paraId="727A42D0"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57621667"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апреля 1933 вышло постановление КО, в котором был установлен срок выпуска И-13 М-32 (3082).</w:t>
      </w:r>
    </w:p>
    <w:p w14:paraId="69025C89"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1AA4DBEC"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состоянию на 1 апреля 1933 Пом. нач. ГУАП Алмазовым была подготовлена справка о проектировании и постройке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tblGrid>
      <w:tr w:rsidR="00F26F01" w:rsidRPr="00C33834" w14:paraId="6F40C98E" w14:textId="77777777">
        <w:tc>
          <w:tcPr>
            <w:tcW w:w="1409" w:type="dxa"/>
          </w:tcPr>
          <w:p w14:paraId="4195B2A5"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Организация</w:t>
            </w:r>
          </w:p>
        </w:tc>
        <w:tc>
          <w:tcPr>
            <w:tcW w:w="1409" w:type="dxa"/>
          </w:tcPr>
          <w:p w14:paraId="26F3297A"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w:t>
            </w:r>
          </w:p>
        </w:tc>
        <w:tc>
          <w:tcPr>
            <w:tcW w:w="1409" w:type="dxa"/>
          </w:tcPr>
          <w:p w14:paraId="598AF660"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сдачи</w:t>
            </w:r>
          </w:p>
        </w:tc>
        <w:tc>
          <w:tcPr>
            <w:tcW w:w="1409" w:type="dxa"/>
          </w:tcPr>
          <w:p w14:paraId="431A9E89"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r>
      <w:tr w:rsidR="00F26F01" w:rsidRPr="00C33834" w14:paraId="11561BFF" w14:textId="77777777">
        <w:tc>
          <w:tcPr>
            <w:tcW w:w="1409" w:type="dxa"/>
          </w:tcPr>
          <w:p w14:paraId="238139FC"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2F9A3384"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49B726EB"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правительственный</w:t>
            </w:r>
          </w:p>
        </w:tc>
        <w:tc>
          <w:tcPr>
            <w:tcW w:w="1409" w:type="dxa"/>
          </w:tcPr>
          <w:p w14:paraId="125CE8A7"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ожидаемый</w:t>
            </w:r>
          </w:p>
        </w:tc>
      </w:tr>
      <w:tr w:rsidR="00F26F01" w:rsidRPr="00C33834" w14:paraId="7F8547FA" w14:textId="77777777">
        <w:tc>
          <w:tcPr>
            <w:tcW w:w="1409" w:type="dxa"/>
          </w:tcPr>
          <w:p w14:paraId="2F7CCA7F"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tc>
        <w:tc>
          <w:tcPr>
            <w:tcW w:w="1409" w:type="dxa"/>
          </w:tcPr>
          <w:p w14:paraId="61714134"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ТБ-4оп.</w:t>
            </w:r>
          </w:p>
        </w:tc>
        <w:tc>
          <w:tcPr>
            <w:tcW w:w="1409" w:type="dxa"/>
          </w:tcPr>
          <w:p w14:paraId="50DF4447"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01.11.32</w:t>
            </w:r>
          </w:p>
        </w:tc>
        <w:tc>
          <w:tcPr>
            <w:tcW w:w="1409" w:type="dxa"/>
          </w:tcPr>
          <w:p w14:paraId="204B3036"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01.05.33</w:t>
            </w:r>
          </w:p>
        </w:tc>
      </w:tr>
      <w:tr w:rsidR="00F26F01" w:rsidRPr="00C33834" w14:paraId="30BC9E5B" w14:textId="77777777">
        <w:tc>
          <w:tcPr>
            <w:tcW w:w="1409" w:type="dxa"/>
          </w:tcPr>
          <w:p w14:paraId="37274326"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7847D00F"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ТБ-4гол.</w:t>
            </w:r>
          </w:p>
        </w:tc>
        <w:tc>
          <w:tcPr>
            <w:tcW w:w="1409" w:type="dxa"/>
          </w:tcPr>
          <w:p w14:paraId="7605C5AF"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01.06.33</w:t>
            </w:r>
          </w:p>
        </w:tc>
        <w:tc>
          <w:tcPr>
            <w:tcW w:w="1409" w:type="dxa"/>
          </w:tcPr>
          <w:p w14:paraId="567DBCB0"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01.09.33</w:t>
            </w:r>
          </w:p>
        </w:tc>
      </w:tr>
      <w:tr w:rsidR="00F26F01" w:rsidRPr="00C33834" w14:paraId="2569AB8D" w14:textId="77777777">
        <w:tc>
          <w:tcPr>
            <w:tcW w:w="1409" w:type="dxa"/>
          </w:tcPr>
          <w:p w14:paraId="4F13CA8C"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454E2D42"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ТБ-4пас.</w:t>
            </w:r>
          </w:p>
        </w:tc>
        <w:tc>
          <w:tcPr>
            <w:tcW w:w="1409" w:type="dxa"/>
          </w:tcPr>
          <w:p w14:paraId="632B12FE"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01.05.34</w:t>
            </w:r>
          </w:p>
        </w:tc>
        <w:tc>
          <w:tcPr>
            <w:tcW w:w="1409" w:type="dxa"/>
          </w:tcPr>
          <w:p w14:paraId="06848832"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01.04.34</w:t>
            </w:r>
          </w:p>
        </w:tc>
      </w:tr>
      <w:tr w:rsidR="00F26F01" w:rsidRPr="00C33834" w14:paraId="35E6F86B" w14:textId="77777777">
        <w:tc>
          <w:tcPr>
            <w:tcW w:w="1409" w:type="dxa"/>
          </w:tcPr>
          <w:p w14:paraId="61E6FB57"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75451E81"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ТБ-6</w:t>
            </w:r>
          </w:p>
        </w:tc>
        <w:tc>
          <w:tcPr>
            <w:tcW w:w="1409" w:type="dxa"/>
          </w:tcPr>
          <w:p w14:paraId="77B03C43"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01.05.34</w:t>
            </w:r>
          </w:p>
        </w:tc>
        <w:tc>
          <w:tcPr>
            <w:tcW w:w="1409" w:type="dxa"/>
          </w:tcPr>
          <w:p w14:paraId="3F04CADB"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01.04.34</w:t>
            </w:r>
          </w:p>
        </w:tc>
      </w:tr>
      <w:tr w:rsidR="00F26F01" w:rsidRPr="00C33834" w14:paraId="31DB8086" w14:textId="77777777">
        <w:tc>
          <w:tcPr>
            <w:tcW w:w="1409" w:type="dxa"/>
          </w:tcPr>
          <w:p w14:paraId="78D4F7EF"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1D388E94"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B-12бис</w:t>
            </w:r>
          </w:p>
        </w:tc>
        <w:tc>
          <w:tcPr>
            <w:tcW w:w="1409" w:type="dxa"/>
          </w:tcPr>
          <w:p w14:paraId="1DC275E5"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01.09.32</w:t>
            </w:r>
          </w:p>
        </w:tc>
        <w:tc>
          <w:tcPr>
            <w:tcW w:w="1409" w:type="dxa"/>
          </w:tcPr>
          <w:p w14:paraId="48319986"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01.08.33</w:t>
            </w:r>
          </w:p>
        </w:tc>
      </w:tr>
      <w:tr w:rsidR="00F26F01" w:rsidRPr="00C33834" w14:paraId="1395EEF4" w14:textId="77777777">
        <w:tc>
          <w:tcPr>
            <w:tcW w:w="1409" w:type="dxa"/>
          </w:tcPr>
          <w:p w14:paraId="4CDE5C29"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098275AD"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И-14оп.</w:t>
            </w:r>
          </w:p>
        </w:tc>
        <w:tc>
          <w:tcPr>
            <w:tcW w:w="1409" w:type="dxa"/>
          </w:tcPr>
          <w:p w14:paraId="6CE92D16"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15.03.33</w:t>
            </w:r>
          </w:p>
        </w:tc>
        <w:tc>
          <w:tcPr>
            <w:tcW w:w="1409" w:type="dxa"/>
          </w:tcPr>
          <w:p w14:paraId="48738A85"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01.06.33</w:t>
            </w:r>
          </w:p>
        </w:tc>
      </w:tr>
      <w:tr w:rsidR="00F26F01" w:rsidRPr="00C33834" w14:paraId="6E251FCF" w14:textId="77777777">
        <w:tc>
          <w:tcPr>
            <w:tcW w:w="1409" w:type="dxa"/>
          </w:tcPr>
          <w:p w14:paraId="79FCC9EC"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71DB6748"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И-14дуб.</w:t>
            </w:r>
          </w:p>
        </w:tc>
        <w:tc>
          <w:tcPr>
            <w:tcW w:w="1409" w:type="dxa"/>
          </w:tcPr>
          <w:p w14:paraId="09161B70"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15.03.33</w:t>
            </w:r>
          </w:p>
        </w:tc>
        <w:tc>
          <w:tcPr>
            <w:tcW w:w="1409" w:type="dxa"/>
          </w:tcPr>
          <w:p w14:paraId="302748EB"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01.06.33</w:t>
            </w:r>
          </w:p>
        </w:tc>
      </w:tr>
      <w:tr w:rsidR="00F26F01" w:rsidRPr="00C33834" w14:paraId="686B61EB" w14:textId="77777777">
        <w:tc>
          <w:tcPr>
            <w:tcW w:w="1409" w:type="dxa"/>
          </w:tcPr>
          <w:p w14:paraId="21422A22"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02571D6B"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МК-1</w:t>
            </w:r>
          </w:p>
        </w:tc>
        <w:tc>
          <w:tcPr>
            <w:tcW w:w="1409" w:type="dxa"/>
          </w:tcPr>
          <w:p w14:paraId="631034C9"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01.12.33</w:t>
            </w:r>
          </w:p>
        </w:tc>
        <w:tc>
          <w:tcPr>
            <w:tcW w:w="1409" w:type="dxa"/>
          </w:tcPr>
          <w:p w14:paraId="7FC5F595"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01.12.33</w:t>
            </w:r>
          </w:p>
        </w:tc>
      </w:tr>
      <w:tr w:rsidR="00F26F01" w:rsidRPr="00C33834" w14:paraId="5673F421" w14:textId="77777777">
        <w:tc>
          <w:tcPr>
            <w:tcW w:w="1409" w:type="dxa"/>
          </w:tcPr>
          <w:p w14:paraId="7A9859E5"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41BDAB1D"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ЭА-7</w:t>
            </w:r>
          </w:p>
        </w:tc>
        <w:tc>
          <w:tcPr>
            <w:tcW w:w="1409" w:type="dxa"/>
          </w:tcPr>
          <w:p w14:paraId="245A5A5E"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01.07.33</w:t>
            </w:r>
          </w:p>
        </w:tc>
        <w:tc>
          <w:tcPr>
            <w:tcW w:w="1409" w:type="dxa"/>
          </w:tcPr>
          <w:p w14:paraId="39499207"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01.07.33</w:t>
            </w:r>
          </w:p>
        </w:tc>
      </w:tr>
      <w:tr w:rsidR="00F26F01" w:rsidRPr="00C33834" w14:paraId="73CE8920" w14:textId="77777777">
        <w:tc>
          <w:tcPr>
            <w:tcW w:w="1409" w:type="dxa"/>
          </w:tcPr>
          <w:p w14:paraId="39696ACF"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1C33525B"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МДР-4</w:t>
            </w:r>
          </w:p>
        </w:tc>
        <w:tc>
          <w:tcPr>
            <w:tcW w:w="1409" w:type="dxa"/>
          </w:tcPr>
          <w:p w14:paraId="77EB27A6"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01.07.33</w:t>
            </w:r>
          </w:p>
        </w:tc>
        <w:tc>
          <w:tcPr>
            <w:tcW w:w="1409" w:type="dxa"/>
          </w:tcPr>
          <w:p w14:paraId="135D0D29"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01.07.33</w:t>
            </w:r>
          </w:p>
        </w:tc>
      </w:tr>
      <w:tr w:rsidR="00F26F01" w:rsidRPr="00C33834" w14:paraId="17FB8E40" w14:textId="77777777">
        <w:tc>
          <w:tcPr>
            <w:tcW w:w="1409" w:type="dxa"/>
          </w:tcPr>
          <w:p w14:paraId="556F8969"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32F7537E"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ЭА-6</w:t>
            </w:r>
          </w:p>
        </w:tc>
        <w:tc>
          <w:tcPr>
            <w:tcW w:w="1409" w:type="dxa"/>
          </w:tcPr>
          <w:p w14:paraId="554AD426"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05.06.33</w:t>
            </w:r>
          </w:p>
        </w:tc>
        <w:tc>
          <w:tcPr>
            <w:tcW w:w="1409" w:type="dxa"/>
          </w:tcPr>
          <w:p w14:paraId="32B9ABAB"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05.06.33</w:t>
            </w:r>
          </w:p>
        </w:tc>
      </w:tr>
      <w:tr w:rsidR="00F26F01" w:rsidRPr="00C33834" w14:paraId="51B1D920" w14:textId="77777777">
        <w:tc>
          <w:tcPr>
            <w:tcW w:w="1409" w:type="dxa"/>
          </w:tcPr>
          <w:p w14:paraId="288CD989"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3E821DA8"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ДИПоп.</w:t>
            </w:r>
          </w:p>
        </w:tc>
        <w:tc>
          <w:tcPr>
            <w:tcW w:w="1409" w:type="dxa"/>
          </w:tcPr>
          <w:p w14:paraId="20B89B69"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01.10.33</w:t>
            </w:r>
          </w:p>
        </w:tc>
        <w:tc>
          <w:tcPr>
            <w:tcW w:w="1409" w:type="dxa"/>
          </w:tcPr>
          <w:p w14:paraId="652EDBC4"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01.10.33</w:t>
            </w:r>
          </w:p>
        </w:tc>
      </w:tr>
      <w:tr w:rsidR="00F26F01" w:rsidRPr="00C33834" w14:paraId="4B67D1DB" w14:textId="77777777">
        <w:tc>
          <w:tcPr>
            <w:tcW w:w="1409" w:type="dxa"/>
          </w:tcPr>
          <w:p w14:paraId="2EE3822F"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69060B94"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РДоп.</w:t>
            </w:r>
          </w:p>
        </w:tc>
        <w:tc>
          <w:tcPr>
            <w:tcW w:w="1409" w:type="dxa"/>
          </w:tcPr>
          <w:p w14:paraId="27F72A0C"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01.09.32</w:t>
            </w:r>
          </w:p>
        </w:tc>
        <w:tc>
          <w:tcPr>
            <w:tcW w:w="1409" w:type="dxa"/>
          </w:tcPr>
          <w:p w14:paraId="5014DCCF"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01.06.33</w:t>
            </w:r>
          </w:p>
        </w:tc>
      </w:tr>
      <w:tr w:rsidR="00F26F01" w:rsidRPr="00C33834" w14:paraId="2CB40DC0" w14:textId="77777777">
        <w:tc>
          <w:tcPr>
            <w:tcW w:w="1409" w:type="dxa"/>
          </w:tcPr>
          <w:p w14:paraId="68EAA489"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0CB6FDC7"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РДбис.</w:t>
            </w:r>
          </w:p>
        </w:tc>
        <w:tc>
          <w:tcPr>
            <w:tcW w:w="1409" w:type="dxa"/>
          </w:tcPr>
          <w:p w14:paraId="6332853F"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01.08.33</w:t>
            </w:r>
          </w:p>
        </w:tc>
        <w:tc>
          <w:tcPr>
            <w:tcW w:w="1409" w:type="dxa"/>
          </w:tcPr>
          <w:p w14:paraId="242EA671"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01.11.33</w:t>
            </w:r>
          </w:p>
        </w:tc>
      </w:tr>
      <w:tr w:rsidR="00F26F01" w:rsidRPr="00C33834" w14:paraId="7320B37F" w14:textId="77777777">
        <w:tc>
          <w:tcPr>
            <w:tcW w:w="1409" w:type="dxa"/>
          </w:tcPr>
          <w:p w14:paraId="12804A48"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5EAE633A"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СК-1оп.</w:t>
            </w:r>
          </w:p>
        </w:tc>
        <w:tc>
          <w:tcPr>
            <w:tcW w:w="1409" w:type="dxa"/>
          </w:tcPr>
          <w:p w14:paraId="63219550"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01.10.33</w:t>
            </w:r>
          </w:p>
        </w:tc>
        <w:tc>
          <w:tcPr>
            <w:tcW w:w="1409" w:type="dxa"/>
          </w:tcPr>
          <w:p w14:paraId="1A6A17D3"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01.12.33</w:t>
            </w:r>
          </w:p>
        </w:tc>
      </w:tr>
      <w:tr w:rsidR="00F26F01" w:rsidRPr="00C33834" w14:paraId="0C6EFFE2" w14:textId="77777777">
        <w:tc>
          <w:tcPr>
            <w:tcW w:w="1409" w:type="dxa"/>
          </w:tcPr>
          <w:p w14:paraId="4892F1AB"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484E0191"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МИ-3би.</w:t>
            </w:r>
          </w:p>
        </w:tc>
        <w:tc>
          <w:tcPr>
            <w:tcW w:w="1409" w:type="dxa"/>
          </w:tcPr>
          <w:p w14:paraId="739EE659"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01.10.33</w:t>
            </w:r>
          </w:p>
        </w:tc>
        <w:tc>
          <w:tcPr>
            <w:tcW w:w="1409" w:type="dxa"/>
          </w:tcPr>
          <w:p w14:paraId="31F7D9E5"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01.12.33</w:t>
            </w:r>
          </w:p>
        </w:tc>
      </w:tr>
      <w:tr w:rsidR="00F26F01" w:rsidRPr="00C33834" w14:paraId="60C85699" w14:textId="77777777">
        <w:tc>
          <w:tcPr>
            <w:tcW w:w="1409" w:type="dxa"/>
          </w:tcPr>
          <w:p w14:paraId="195B44D7"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5D6CA75F"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МИ-3оп.</w:t>
            </w:r>
          </w:p>
        </w:tc>
        <w:tc>
          <w:tcPr>
            <w:tcW w:w="1409" w:type="dxa"/>
          </w:tcPr>
          <w:p w14:paraId="2C5DDB5A"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01.01.33</w:t>
            </w:r>
          </w:p>
        </w:tc>
        <w:tc>
          <w:tcPr>
            <w:tcW w:w="1409" w:type="dxa"/>
          </w:tcPr>
          <w:p w14:paraId="27B4DE7E"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01.05.33</w:t>
            </w:r>
          </w:p>
        </w:tc>
      </w:tr>
      <w:tr w:rsidR="00F26F01" w:rsidRPr="00C33834" w14:paraId="43430052" w14:textId="77777777">
        <w:tc>
          <w:tcPr>
            <w:tcW w:w="1409" w:type="dxa"/>
          </w:tcPr>
          <w:p w14:paraId="00AF08B9"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w:t>
            </w:r>
          </w:p>
        </w:tc>
        <w:tc>
          <w:tcPr>
            <w:tcW w:w="1409" w:type="dxa"/>
          </w:tcPr>
          <w:p w14:paraId="55EE4C37"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ТШоп.</w:t>
            </w:r>
          </w:p>
        </w:tc>
        <w:tc>
          <w:tcPr>
            <w:tcW w:w="1409" w:type="dxa"/>
          </w:tcPr>
          <w:p w14:paraId="31EEBDDD"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01.12.33</w:t>
            </w:r>
          </w:p>
        </w:tc>
        <w:tc>
          <w:tcPr>
            <w:tcW w:w="1409" w:type="dxa"/>
          </w:tcPr>
          <w:p w14:paraId="2EF68B19"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01.02.34</w:t>
            </w:r>
          </w:p>
        </w:tc>
      </w:tr>
      <w:tr w:rsidR="00F26F01" w:rsidRPr="00C33834" w14:paraId="5D2DCA9C" w14:textId="77777777">
        <w:tc>
          <w:tcPr>
            <w:tcW w:w="1409" w:type="dxa"/>
          </w:tcPr>
          <w:p w14:paraId="7C701324"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729B459C"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ДРоп.</w:t>
            </w:r>
          </w:p>
        </w:tc>
        <w:tc>
          <w:tcPr>
            <w:tcW w:w="1409" w:type="dxa"/>
          </w:tcPr>
          <w:p w14:paraId="49CA637D"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01.01.33</w:t>
            </w:r>
          </w:p>
        </w:tc>
        <w:tc>
          <w:tcPr>
            <w:tcW w:w="1409" w:type="dxa"/>
          </w:tcPr>
          <w:p w14:paraId="745788F3"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01.09.33</w:t>
            </w:r>
          </w:p>
        </w:tc>
      </w:tr>
      <w:tr w:rsidR="00F26F01" w:rsidRPr="00C33834" w14:paraId="6D44626F" w14:textId="77777777">
        <w:tc>
          <w:tcPr>
            <w:tcW w:w="1409" w:type="dxa"/>
          </w:tcPr>
          <w:p w14:paraId="40C2B816"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091CEFAC"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ДРгол.</w:t>
            </w:r>
          </w:p>
        </w:tc>
        <w:tc>
          <w:tcPr>
            <w:tcW w:w="1409" w:type="dxa"/>
          </w:tcPr>
          <w:p w14:paraId="36235E7F"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01.01.33</w:t>
            </w:r>
          </w:p>
        </w:tc>
        <w:tc>
          <w:tcPr>
            <w:tcW w:w="1409" w:type="dxa"/>
          </w:tcPr>
          <w:p w14:paraId="05ECECC8"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01.09.33</w:t>
            </w:r>
          </w:p>
        </w:tc>
      </w:tr>
      <w:tr w:rsidR="00F26F01" w:rsidRPr="00C33834" w14:paraId="21C881E4" w14:textId="77777777">
        <w:tc>
          <w:tcPr>
            <w:tcW w:w="1409" w:type="dxa"/>
          </w:tcPr>
          <w:p w14:paraId="73813BD9"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3FE1FA07"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ДИ-6оп.</w:t>
            </w:r>
          </w:p>
        </w:tc>
        <w:tc>
          <w:tcPr>
            <w:tcW w:w="1409" w:type="dxa"/>
          </w:tcPr>
          <w:p w14:paraId="5B41C4AB"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01.06.33</w:t>
            </w:r>
          </w:p>
        </w:tc>
        <w:tc>
          <w:tcPr>
            <w:tcW w:w="1409" w:type="dxa"/>
          </w:tcPr>
          <w:p w14:paraId="0522C411"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01.07.33</w:t>
            </w:r>
          </w:p>
        </w:tc>
      </w:tr>
      <w:tr w:rsidR="00F26F01" w:rsidRPr="00C33834" w14:paraId="174552D6" w14:textId="77777777">
        <w:tc>
          <w:tcPr>
            <w:tcW w:w="1409" w:type="dxa"/>
          </w:tcPr>
          <w:p w14:paraId="242BC6C5"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3E753D39"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И-15оп.</w:t>
            </w:r>
          </w:p>
        </w:tc>
        <w:tc>
          <w:tcPr>
            <w:tcW w:w="1409" w:type="dxa"/>
          </w:tcPr>
          <w:p w14:paraId="32BA7C63"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01.07.33</w:t>
            </w:r>
          </w:p>
        </w:tc>
        <w:tc>
          <w:tcPr>
            <w:tcW w:w="1409" w:type="dxa"/>
          </w:tcPr>
          <w:p w14:paraId="3742C326"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01.12.33</w:t>
            </w:r>
          </w:p>
        </w:tc>
      </w:tr>
      <w:tr w:rsidR="00F26F01" w:rsidRPr="00C33834" w14:paraId="21E64E80" w14:textId="77777777">
        <w:tc>
          <w:tcPr>
            <w:tcW w:w="1409" w:type="dxa"/>
          </w:tcPr>
          <w:p w14:paraId="5987A0E6"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43348A7F"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ЦКБ-6</w:t>
            </w:r>
          </w:p>
        </w:tc>
        <w:tc>
          <w:tcPr>
            <w:tcW w:w="1409" w:type="dxa"/>
          </w:tcPr>
          <w:p w14:paraId="51B1F60A"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01.07.33</w:t>
            </w:r>
          </w:p>
        </w:tc>
        <w:tc>
          <w:tcPr>
            <w:tcW w:w="1409" w:type="dxa"/>
          </w:tcPr>
          <w:p w14:paraId="3338B78C"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01.12.33</w:t>
            </w:r>
          </w:p>
        </w:tc>
      </w:tr>
      <w:tr w:rsidR="00F26F01" w:rsidRPr="00C33834" w14:paraId="7A610337" w14:textId="77777777">
        <w:tc>
          <w:tcPr>
            <w:tcW w:w="1409" w:type="dxa"/>
          </w:tcPr>
          <w:p w14:paraId="1B5E59C5"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0DA6A92B"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СС</w:t>
            </w:r>
          </w:p>
        </w:tc>
        <w:tc>
          <w:tcPr>
            <w:tcW w:w="1409" w:type="dxa"/>
          </w:tcPr>
          <w:p w14:paraId="4DB49EDA"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01.04.33</w:t>
            </w:r>
          </w:p>
        </w:tc>
        <w:tc>
          <w:tcPr>
            <w:tcW w:w="1409" w:type="dxa"/>
          </w:tcPr>
          <w:p w14:paraId="253EEEEF"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01.07.33</w:t>
            </w:r>
          </w:p>
        </w:tc>
      </w:tr>
      <w:tr w:rsidR="00F26F01" w:rsidRPr="00C33834" w14:paraId="27660E40" w14:textId="77777777">
        <w:tc>
          <w:tcPr>
            <w:tcW w:w="1409" w:type="dxa"/>
          </w:tcPr>
          <w:p w14:paraId="76C53E40"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07F22566"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РК</w:t>
            </w:r>
          </w:p>
        </w:tc>
        <w:tc>
          <w:tcPr>
            <w:tcW w:w="1409" w:type="dxa"/>
          </w:tcPr>
          <w:p w14:paraId="6F916F2D"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01.07.33</w:t>
            </w:r>
          </w:p>
        </w:tc>
        <w:tc>
          <w:tcPr>
            <w:tcW w:w="1409" w:type="dxa"/>
          </w:tcPr>
          <w:p w14:paraId="3963093C"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01.07.33</w:t>
            </w:r>
          </w:p>
        </w:tc>
      </w:tr>
      <w:tr w:rsidR="00F26F01" w:rsidRPr="00C33834" w14:paraId="6103FDDE" w14:textId="77777777">
        <w:tc>
          <w:tcPr>
            <w:tcW w:w="1409" w:type="dxa"/>
          </w:tcPr>
          <w:p w14:paraId="113D83B8"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7FF2F4D8"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ДКоп.</w:t>
            </w:r>
          </w:p>
        </w:tc>
        <w:tc>
          <w:tcPr>
            <w:tcW w:w="1409" w:type="dxa"/>
          </w:tcPr>
          <w:p w14:paraId="26A7FBDB"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01.10.33</w:t>
            </w:r>
          </w:p>
        </w:tc>
        <w:tc>
          <w:tcPr>
            <w:tcW w:w="1409" w:type="dxa"/>
          </w:tcPr>
          <w:p w14:paraId="1575BDEE"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01.07.33</w:t>
            </w:r>
          </w:p>
        </w:tc>
      </w:tr>
      <w:tr w:rsidR="00F26F01" w:rsidRPr="00C33834" w14:paraId="11F90184" w14:textId="77777777">
        <w:tc>
          <w:tcPr>
            <w:tcW w:w="1409" w:type="dxa"/>
          </w:tcPr>
          <w:p w14:paraId="712F2681"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38E5228B"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w:t>
            </w:r>
          </w:p>
        </w:tc>
        <w:tc>
          <w:tcPr>
            <w:tcW w:w="1409" w:type="dxa"/>
          </w:tcPr>
          <w:p w14:paraId="496AF5C1"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2762BCFD"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r>
      <w:tr w:rsidR="00F26F01" w:rsidRPr="00C33834" w14:paraId="2120A146" w14:textId="77777777">
        <w:tc>
          <w:tcPr>
            <w:tcW w:w="1409" w:type="dxa"/>
          </w:tcPr>
          <w:p w14:paraId="18BBE2FF"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7B001365"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Р-5раз. кр.</w:t>
            </w:r>
          </w:p>
        </w:tc>
        <w:tc>
          <w:tcPr>
            <w:tcW w:w="1409" w:type="dxa"/>
          </w:tcPr>
          <w:p w14:paraId="4CF503D3"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c>
          <w:tcPr>
            <w:tcW w:w="1409" w:type="dxa"/>
          </w:tcPr>
          <w:p w14:paraId="6EA0927C"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r>
      <w:tr w:rsidR="00F26F01" w:rsidRPr="00C33834" w14:paraId="0799F467" w14:textId="77777777">
        <w:tc>
          <w:tcPr>
            <w:tcW w:w="1409" w:type="dxa"/>
          </w:tcPr>
          <w:p w14:paraId="7BD7C894"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ХАЗ</w:t>
            </w:r>
          </w:p>
        </w:tc>
        <w:tc>
          <w:tcPr>
            <w:tcW w:w="1409" w:type="dxa"/>
          </w:tcPr>
          <w:p w14:paraId="2036C0EA"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К-7</w:t>
            </w:r>
          </w:p>
        </w:tc>
        <w:tc>
          <w:tcPr>
            <w:tcW w:w="1409" w:type="dxa"/>
          </w:tcPr>
          <w:p w14:paraId="6F93A141"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01.05.33 (2316,224)</w:t>
            </w:r>
          </w:p>
        </w:tc>
        <w:tc>
          <w:tcPr>
            <w:tcW w:w="1409" w:type="dxa"/>
          </w:tcPr>
          <w:p w14:paraId="0D9E2910" w14:textId="77777777" w:rsidR="00746843" w:rsidRPr="00C33834" w:rsidRDefault="00746843" w:rsidP="00C33834">
            <w:pPr>
              <w:spacing w:after="0" w:line="240" w:lineRule="auto"/>
              <w:jc w:val="both"/>
              <w:rPr>
                <w:rFonts w:ascii="Times New Roman" w:hAnsi="Times New Roman"/>
                <w:color w:val="000000" w:themeColor="text1"/>
                <w:sz w:val="16"/>
                <w:szCs w:val="16"/>
              </w:rPr>
            </w:pPr>
          </w:p>
        </w:tc>
      </w:tr>
    </w:tbl>
    <w:p w14:paraId="3841BFA0"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4D613D68" w14:textId="77777777" w:rsidR="00040C94" w:rsidRPr="00C33834" w:rsidRDefault="00040C94"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На 1 апреля 1933 в справке по состоянию опытного строительства по самолетам и моторам отмечалось, что мотор М-32 (600 л.с.) по программе заводских испытаний на станке наработал 47 часов, при этом проявились следующие дефекты: недостаточная жесткость водяной рубашки, трещины в подшипниках и головке блока. Детали доработаны, ведется сборка мотора для продолжения дальнейших испытаний. По самолету И-13 прорабатывается схема и строится предварительный макет. Самолет может быть выпущен через пять месяцев после получения мотора М-32, ориентировочно в феврале-марте 1934 года (19177).</w:t>
      </w:r>
    </w:p>
    <w:p w14:paraId="267DA848" w14:textId="77777777" w:rsidR="00040C94" w:rsidRPr="00C33834" w:rsidRDefault="00040C94" w:rsidP="00C33834">
      <w:pPr>
        <w:pStyle w:val="ae"/>
        <w:shd w:val="clear" w:color="auto" w:fill="FFFFFF"/>
        <w:spacing w:before="0" w:after="0"/>
        <w:jc w:val="both"/>
        <w:textAlignment w:val="baseline"/>
        <w:rPr>
          <w:color w:val="000000" w:themeColor="text1"/>
          <w:sz w:val="16"/>
          <w:szCs w:val="16"/>
        </w:rPr>
      </w:pPr>
    </w:p>
    <w:p w14:paraId="3DADA268"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апреля 1933 Нач. ВМС РККА Орлов писал письмо N 161830 Нач. ГУАП П.И.Б. о том, что опытный образец Г-5, построенный ЦАГИ, прибыл в Севастополь для прохождения ходовых испытаний 23 февраля 1933 и до сих пор не имел ни одного выхода по причине неудовлетворительной подготовки к испытаниям работников ЦАГИ. Просил поддержки (2305,26).</w:t>
      </w:r>
    </w:p>
    <w:p w14:paraId="493C37DD"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2637E916" w14:textId="77777777" w:rsidR="00746843" w:rsidRPr="00C33834" w:rsidRDefault="00746843"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На 1 апреля 1933 г. число хозрасчетных бригад на Электрозаводе сократилось до 345 бригад, в которых трудилось 4017 человек. Лишь форсированными усилиями администрации Комбината, направленными на реанимацию хозрасчётного движения, удалось переломить негативную тенденцию, и довести число хозрасчётных бригад к 1 июля до 398 (4607 человек). На 1 октября количество бригад сократилось до 365, но число занятых в них рабочих возросло до 5462, что составляло 62% всех рабочих завода, занятых на основных работах. К этому времени заводской и цеховой хозрасчёт отошли на вторые роли, на первый план был выдвинут хозрасчёт бригадный, однако и с последним дела не ладились. В объяснение столь неутешительных итогов заводоуправление привело следующие причины: </w:t>
      </w:r>
    </w:p>
    <w:p w14:paraId="49F5B5A0" w14:textId="77777777" w:rsidR="00746843" w:rsidRPr="00C33834" w:rsidRDefault="00746843"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w:t>
      </w:r>
      <w:r w:rsidRPr="00C33834">
        <w:rPr>
          <w:rStyle w:val="ac"/>
          <w:color w:val="000000" w:themeColor="text1"/>
          <w:spacing w:val="0"/>
          <w:kern w:val="0"/>
          <w:position w:val="0"/>
          <w:sz w:val="16"/>
          <w:szCs w:val="16"/>
          <w:lang w:val="ru-RU"/>
        </w:rPr>
        <w:t>1. Организационный разброд и разные ревизионистские настроения, стремящиеся оправдать этот разброд.</w:t>
      </w:r>
    </w:p>
    <w:p w14:paraId="7245A3A6" w14:textId="77777777" w:rsidR="00746843" w:rsidRPr="00C33834" w:rsidRDefault="00746843" w:rsidP="00C33834">
      <w:pPr>
        <w:pStyle w:val="af2"/>
        <w:jc w:val="both"/>
        <w:rPr>
          <w:i w:val="0"/>
          <w:iCs w:val="0"/>
          <w:color w:val="000000" w:themeColor="text1"/>
          <w:spacing w:val="0"/>
          <w:kern w:val="0"/>
          <w:position w:val="0"/>
          <w:sz w:val="16"/>
          <w:szCs w:val="16"/>
          <w:lang w:val="ru-RU"/>
        </w:rPr>
      </w:pPr>
      <w:r w:rsidRPr="00C33834">
        <w:rPr>
          <w:rStyle w:val="ac"/>
          <w:color w:val="000000" w:themeColor="text1"/>
          <w:spacing w:val="0"/>
          <w:kern w:val="0"/>
          <w:position w:val="0"/>
          <w:sz w:val="16"/>
          <w:szCs w:val="16"/>
          <w:lang w:val="ru-RU"/>
        </w:rPr>
        <w:t>2. Рост рабочей силы, ведущий к снижению удельного веса охваченных хозрасчётными бригадами рабочих.</w:t>
      </w:r>
    </w:p>
    <w:p w14:paraId="74A4000D" w14:textId="77777777" w:rsidR="00746843" w:rsidRPr="00C33834" w:rsidRDefault="00746843" w:rsidP="00C33834">
      <w:pPr>
        <w:pStyle w:val="af2"/>
        <w:jc w:val="both"/>
        <w:rPr>
          <w:i w:val="0"/>
          <w:iCs w:val="0"/>
          <w:color w:val="000000" w:themeColor="text1"/>
          <w:spacing w:val="0"/>
          <w:kern w:val="0"/>
          <w:position w:val="0"/>
          <w:sz w:val="16"/>
          <w:szCs w:val="16"/>
          <w:lang w:val="ru-RU"/>
        </w:rPr>
      </w:pPr>
      <w:r w:rsidRPr="00C33834">
        <w:rPr>
          <w:rStyle w:val="ac"/>
          <w:color w:val="000000" w:themeColor="text1"/>
          <w:spacing w:val="0"/>
          <w:kern w:val="0"/>
          <w:position w:val="0"/>
          <w:sz w:val="16"/>
          <w:szCs w:val="16"/>
          <w:lang w:val="ru-RU"/>
        </w:rPr>
        <w:t>3. Бригадный хозрасчёт застыл в тех формах, которые он принял в середине 1932 г., хотя многое в нём уже изменилось. Основное было то, что организационная структура хозрасчётных бригад была недостаточно чёткая, недостаточно рациональная с токи зрения технологического процесса. Среднее число членов в бригаде по 4 основным заводам (АТЭ, Трансформаторный, Прожекторный, Ламповый) было 10–11 человек, а в Прожекторном – 6–7 человек, а при такой численности далеко не всюду бригада могла быть организована как следует. Превалировала организация бригады по принципу обработки какой-либо операции. Пример: деталь начата обработкой в бригаде № 19, затем она идёт в бригаду № 21, оттуда возвращается в бригаду № 19, а затем – в бригаду № 27, оттуда возвращается в бригаду № 21, затем – снова в бригаду № 19, потом – в бригаду № 27 и окончательная обработка – в бригаде № 25.</w:t>
      </w:r>
    </w:p>
    <w:p w14:paraId="52A2F087" w14:textId="77777777" w:rsidR="00746843" w:rsidRPr="00C33834" w:rsidRDefault="00746843" w:rsidP="00C33834">
      <w:pPr>
        <w:pStyle w:val="af2"/>
        <w:jc w:val="both"/>
        <w:rPr>
          <w:i w:val="0"/>
          <w:iCs w:val="0"/>
          <w:color w:val="000000" w:themeColor="text1"/>
          <w:spacing w:val="0"/>
          <w:kern w:val="0"/>
          <w:position w:val="0"/>
          <w:sz w:val="16"/>
          <w:szCs w:val="16"/>
          <w:lang w:val="ru-RU"/>
        </w:rPr>
      </w:pPr>
      <w:r w:rsidRPr="00C33834">
        <w:rPr>
          <w:rStyle w:val="ac"/>
          <w:color w:val="000000" w:themeColor="text1"/>
          <w:spacing w:val="0"/>
          <w:kern w:val="0"/>
          <w:position w:val="0"/>
          <w:sz w:val="16"/>
          <w:szCs w:val="16"/>
          <w:lang w:val="ru-RU"/>
        </w:rPr>
        <w:t>Если в 1932 г. велась борьба и удалось изменить существующую практику многочисленных и многосменных бригад (в 50–70 человек), не считавшихся с техническими процессами и требовавших правильного хозрасчёта, то тут мы имеем дело с другой крайностью – размельчением бригад</w:t>
      </w:r>
      <w:r w:rsidRPr="00C33834">
        <w:rPr>
          <w:i w:val="0"/>
          <w:iCs w:val="0"/>
          <w:color w:val="000000" w:themeColor="text1"/>
          <w:spacing w:val="0"/>
          <w:kern w:val="0"/>
          <w:position w:val="0"/>
          <w:sz w:val="16"/>
          <w:szCs w:val="16"/>
          <w:lang w:val="ru-RU"/>
        </w:rPr>
        <w:t>» (11564).</w:t>
      </w:r>
    </w:p>
    <w:p w14:paraId="4FF243FB" w14:textId="77777777" w:rsidR="00746843" w:rsidRPr="00C33834" w:rsidRDefault="00746843" w:rsidP="00C33834">
      <w:pPr>
        <w:pStyle w:val="af2"/>
        <w:jc w:val="both"/>
        <w:rPr>
          <w:i w:val="0"/>
          <w:iCs w:val="0"/>
          <w:color w:val="000000" w:themeColor="text1"/>
          <w:spacing w:val="0"/>
          <w:kern w:val="0"/>
          <w:position w:val="0"/>
          <w:sz w:val="16"/>
          <w:szCs w:val="16"/>
          <w:lang w:val="ru-RU"/>
        </w:rPr>
      </w:pPr>
    </w:p>
    <w:p w14:paraId="1C26E554" w14:textId="77777777" w:rsidR="00CC65A8"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B3885A2" w14:textId="77777777" w:rsidR="00CC65A8" w:rsidRPr="00C33834" w:rsidRDefault="00CC65A8" w:rsidP="00C33834">
      <w:pPr>
        <w:spacing w:after="0" w:line="240" w:lineRule="auto"/>
        <w:jc w:val="both"/>
        <w:rPr>
          <w:rFonts w:ascii="Times New Roman" w:hAnsi="Times New Roman"/>
          <w:iCs/>
          <w:color w:val="000000" w:themeColor="text1"/>
          <w:sz w:val="16"/>
          <w:szCs w:val="16"/>
        </w:rPr>
      </w:pPr>
    </w:p>
    <w:p w14:paraId="626B6194" w14:textId="77777777" w:rsidR="00CC65A8" w:rsidRPr="00C33834" w:rsidRDefault="00CC65A8" w:rsidP="00C33834">
      <w:pPr>
        <w:spacing w:after="0" w:line="240" w:lineRule="auto"/>
        <w:jc w:val="both"/>
        <w:rPr>
          <w:rStyle w:val="af0"/>
          <w:rFonts w:ascii="Times New Roman" w:hAnsi="Times New Roman"/>
          <w:i w:val="0"/>
          <w:color w:val="000000" w:themeColor="text1"/>
          <w:sz w:val="16"/>
          <w:szCs w:val="16"/>
        </w:rPr>
      </w:pPr>
      <w:r w:rsidRPr="00C33834">
        <w:rPr>
          <w:rStyle w:val="af0"/>
          <w:rFonts w:ascii="Times New Roman" w:hAnsi="Times New Roman"/>
          <w:i w:val="0"/>
          <w:color w:val="000000" w:themeColor="text1"/>
          <w:sz w:val="16"/>
          <w:szCs w:val="16"/>
        </w:rPr>
        <w:t>Не ранее 1 апреля 1933 г.²*</w:t>
      </w:r>
      <w:r w:rsidRPr="00C33834">
        <w:rPr>
          <w:rFonts w:ascii="Times New Roman" w:hAnsi="Times New Roman"/>
          <w:color w:val="000000" w:themeColor="text1"/>
          <w:sz w:val="16"/>
          <w:szCs w:val="16"/>
        </w:rPr>
        <w:t>Доклад начальника Главного артиллерийского управления РККА¹* Н. А. Ефимова в Реввоенсовет СССР о пересмотре системы артиллерийского вооружения</w:t>
      </w:r>
    </w:p>
    <w:p w14:paraId="4C8B60C7"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Совершенно секретно.</w:t>
      </w:r>
    </w:p>
    <w:p w14:paraId="1A0C8F5B"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Пересмотр системы артиллерийского вооружения диктуется двумя обстоятельствами: 1) почти полным завершением системы артиллерийского вооружения 1928/29 г. (в опытных образцах и частично постановкой на производство) и 2) новыми тенденциями в области вооружения, связанными с исключительно быстрым развитием военно-воздушным сил и мотомеханизированных соединений.</w:t>
      </w:r>
    </w:p>
    <w:p w14:paraId="6EE46076"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В основу пересмотра системы артиллерийского вооружения положены следующие исходные данные:</w:t>
      </w:r>
    </w:p>
    <w:p w14:paraId="4A5576DE"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1. Военно-воздушные силы получили такое развитие, что становятся в руках главного командования могучим родом войск, способным решать самостоятельные задачи, и в соответствии с этим требуют: а) крупного бомбового вооружения, способного поражать все земные цели и цели на море; б) внедрения на самолеты новых и могущественных артиллерийских систем до калибров порядка 100 мм и постройки для этого специальных артиллерийских самолетов. Этим самым воздушный флот берет на себя задачи борьбы со всеми встречаемыми целями в воздухе (авиация противника) не только на близких, но и на дальних дистанциях и борьбу с земными целями путем артиллерийской стрельбы; в) мощного артиллерийского вооружения: крейсерской, истребительной авиации и авиации вспомогательного назначения, включая не только крупнокалиберные пулеметы, но и малокалиберные автоматические пушки и переходя к более скорострельным пулеметам; г) обеспечения соответствующим вооружением самолетов по перевозке и высадке авиамотодесантов в тылу противника; д) со стороны мощных и дальнобойных артиллерийских орудий к воздушным силам предъявляются требования резкого увеличения числа артиллерийских самолетов-корректировщиков, т. к. выигрыш в дальнобойности и могуществе тяжелой артиллерии может быть умален из-за отсутствия наблюдения в воздухе.</w:t>
      </w:r>
    </w:p>
    <w:p w14:paraId="4BBE00FC"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2. Развитие мотомеханизированных частей в самостоятельные мотомеханизированные армии, наличие огромного количества танков требует специального рассмотрения системы артиллерийского вооружения под углом зрения потребности мото-мехсоединений: а) вооружения танков в зависимости от их назначения и целей до мощных калибров 122 мм; б) резкого развития самоходной артиллерии, стандартизованной с остальными системами нашей армии, могущей решать все задачи, возникающие перед мото-мехсоединениями.</w:t>
      </w:r>
    </w:p>
    <w:p w14:paraId="53389152"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3. Постепенная реорганизация стрелковых дивизий и корпусов и мото-мехсоединения из года в год будет увеличиваться, но на ближайшую пятилетку закончена не будет, что предопределит в армии наличие 2 систем: а) мото-мехармии и б) остальных стрелковых дивизий и корпусов, частично механизируемых.</w:t>
      </w:r>
    </w:p>
    <w:p w14:paraId="3C2BE575"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4. В связи с ростом воздушного флота и мото-мехсоединений существующая система артиллерийского вооружения должна быть пересмотрена с целью усиления противозенитных и противотанковых средств обороны.</w:t>
      </w:r>
    </w:p>
    <w:p w14:paraId="7B0E9E34"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5. Новая система артиллерийского вооружения завершает собой конструирование артиллерийских систем, уже разработанных к концу первой пятилетки и показавших на испытаниях удовлетворительные качества, или заканчиваемых разработкой ныне. Поэтому ее основной целевой установкой является быстрейшая реализация массового перевооружения армии в течение II пятилетки современными образцами артвооружения.</w:t>
      </w:r>
    </w:p>
    <w:p w14:paraId="7AD835E3"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Предлагаемая система особенно резко подчеркивает задачи максимального оснащения авиации артиллерийским оружием (до средних калибров артиллерии включительно) и быстрейшей реализации развернутой программы работ по вооружению мото-мехсоединений мощным артиллерийским вооружением танков и самоходной артиллерией. Кроме того, эта система артвооружения должна предусмотреть возможно полную увязку и стандартизацию с системой вооружения морского флота и береговой обороны и укрепленных районов.</w:t>
      </w:r>
    </w:p>
    <w:p w14:paraId="53982F30"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На основании этого предлагаемая к рассмотрению новая система артвооружения делится на следующие разделы: 1. Новая система артвооружения авиации. 2. Новая система артвооружения мотомеханизаированных соединений. 3. Поправки к существующей системе вооружения остальных частично механизированных дивизий, конницы и горных войск. 4. Поправки к существующей системе вооружения морского флота и береговой обороны. 5. Система вооружения укрепленных районов.</w:t>
      </w:r>
    </w:p>
    <w:p w14:paraId="105729AB"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1. Новая система артиллерийского вооружения авиации</w:t>
      </w:r>
    </w:p>
    <w:p w14:paraId="7AE647CE"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Основными положениями новой системы авиационного артиллерийского вооружения являются:</w:t>
      </w:r>
    </w:p>
    <w:p w14:paraId="6F5D9D00"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а) внедрение в авиацию всех калибров авиабомбового вооружения для сухопутных и морских целей и особенно специальных авиабомб — химических, зажигательных, осветительных и бактериологических. Одновременно дорабатываются прочность корпусов бомб и трубки и взрыватели к ним;</w:t>
      </w:r>
    </w:p>
    <w:p w14:paraId="755CE9E1"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б) введение для повышенной мощности оборонительного и наступательного огня самолета малокалиберной автоматической артиллерии калибра 20 мм, заменяемого впоследствии 37 мм или 45 мм и сверхскорострельных пулеметов 7,62 мм и 12,7 мм. Разработка для указанных калибров снарядов повышенного осколочного действия и специальных пуль — зажигательных, в первую очередь, и трассирующих;</w:t>
      </w:r>
    </w:p>
    <w:p w14:paraId="088557B3"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в) введение для специальных артиллерийских самолетов мощного артиллерийского вооружения: 76</w:t>
      </w:r>
      <w:r w:rsidRPr="00C33834">
        <w:rPr>
          <w:color w:val="000000" w:themeColor="text1"/>
          <w:sz w:val="16"/>
          <w:szCs w:val="16"/>
        </w:rPr>
        <w:noBreakHyphen/>
        <w:t>мм и 100</w:t>
      </w:r>
      <w:r w:rsidRPr="00C33834">
        <w:rPr>
          <w:color w:val="000000" w:themeColor="text1"/>
          <w:sz w:val="16"/>
          <w:szCs w:val="16"/>
        </w:rPr>
        <w:noBreakHyphen/>
        <w:t>мм пушек ДРП с необходимой их доработкой, как средства борьбы против сверхмощных бомбардировщиков, крупных авиационных соединений и для поражения земных целей;</w:t>
      </w:r>
    </w:p>
    <w:p w14:paraId="7E822459"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г) введение новых артиллерийских средств в виде планирующих и заградительных авиационных мин;</w:t>
      </w:r>
    </w:p>
    <w:p w14:paraId="61B95E9E"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д) применение автоматических прицелов и приборов управления артиллерийским огнем.</w:t>
      </w:r>
    </w:p>
    <w:p w14:paraId="1F6FD002"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lastRenderedPageBreak/>
        <w:t>2. Новая система артиллерийского вооружения мотомеханизированной армии</w:t>
      </w:r>
    </w:p>
    <w:p w14:paraId="1F8B92D4"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Основными моментами в новой системе артиллерийского вооружения являются:</w:t>
      </w:r>
    </w:p>
    <w:p w14:paraId="488C8809"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I. а) Вооружение всей пехоты мотомеханизированных соединений самозарядной винтовкой, имеющей переводчик на автоматический огонь; б) оставление в пулеметных танках пулеметов ДТУ и введение крупнокалиберного 12,7</w:t>
      </w:r>
      <w:r w:rsidRPr="00C33834">
        <w:rPr>
          <w:color w:val="000000" w:themeColor="text1"/>
          <w:sz w:val="16"/>
          <w:szCs w:val="16"/>
        </w:rPr>
        <w:noBreakHyphen/>
        <w:t>мм пулемета; в) внедрение в пушечные танки 45</w:t>
      </w:r>
      <w:r w:rsidRPr="00C33834">
        <w:rPr>
          <w:color w:val="000000" w:themeColor="text1"/>
          <w:sz w:val="16"/>
          <w:szCs w:val="16"/>
        </w:rPr>
        <w:noBreakHyphen/>
        <w:t>мм полуавтоматических (в дальнейшем — автоматических) и 76</w:t>
      </w:r>
      <w:r w:rsidRPr="00C33834">
        <w:rPr>
          <w:color w:val="000000" w:themeColor="text1"/>
          <w:sz w:val="16"/>
          <w:szCs w:val="16"/>
        </w:rPr>
        <w:noBreakHyphen/>
        <w:t>мм полуавтоматических пушек; г) введение 122</w:t>
      </w:r>
      <w:r w:rsidRPr="00C33834">
        <w:rPr>
          <w:color w:val="000000" w:themeColor="text1"/>
          <w:sz w:val="16"/>
          <w:szCs w:val="16"/>
        </w:rPr>
        <w:noBreakHyphen/>
        <w:t>мм гаубиц для новых сверхмощных танков; д) введение на вооружение танкеток 76</w:t>
      </w:r>
      <w:r w:rsidRPr="00C33834">
        <w:rPr>
          <w:color w:val="000000" w:themeColor="text1"/>
          <w:sz w:val="16"/>
          <w:szCs w:val="16"/>
        </w:rPr>
        <w:noBreakHyphen/>
        <w:t>мм пушек ДРП.</w:t>
      </w:r>
    </w:p>
    <w:p w14:paraId="524BA3E0"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II. Создание самоходной артиллерии для решения мотомеханизированными соединениями самостоятельных задач; а) 45</w:t>
      </w:r>
      <w:r w:rsidRPr="00C33834">
        <w:rPr>
          <w:color w:val="000000" w:themeColor="text1"/>
          <w:sz w:val="16"/>
          <w:szCs w:val="16"/>
        </w:rPr>
        <w:noBreakHyphen/>
        <w:t>мм универсальной автоматической пушки; б) 76</w:t>
      </w:r>
      <w:r w:rsidRPr="00C33834">
        <w:rPr>
          <w:color w:val="000000" w:themeColor="text1"/>
          <w:sz w:val="16"/>
          <w:szCs w:val="16"/>
        </w:rPr>
        <w:noBreakHyphen/>
        <w:t>мм пушки; в) 122</w:t>
      </w:r>
      <w:r w:rsidRPr="00C33834">
        <w:rPr>
          <w:color w:val="000000" w:themeColor="text1"/>
          <w:sz w:val="16"/>
          <w:szCs w:val="16"/>
        </w:rPr>
        <w:noBreakHyphen/>
        <w:t>мм гаубицы (на общем самоходном лафете); г) 152</w:t>
      </w:r>
      <w:r w:rsidRPr="00C33834">
        <w:rPr>
          <w:color w:val="000000" w:themeColor="text1"/>
          <w:sz w:val="16"/>
          <w:szCs w:val="16"/>
        </w:rPr>
        <w:noBreakHyphen/>
        <w:t>мм мортиры; д) 76</w:t>
      </w:r>
      <w:r w:rsidRPr="00C33834">
        <w:rPr>
          <w:color w:val="000000" w:themeColor="text1"/>
          <w:sz w:val="16"/>
          <w:szCs w:val="16"/>
        </w:rPr>
        <w:noBreakHyphen/>
        <w:t>мм зенитной пушки на самоходном лафете; ж)³* сверхмощной артиллерии АРГК на самоходном лафете.</w:t>
      </w:r>
    </w:p>
    <w:p w14:paraId="3ADAA3B7"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Создание самоходной артиллерии должно быть неразрывно связано с развитием автоматических прицелов и приборов управления артиллерийским огнем по наземным и воздушным целям.</w:t>
      </w:r>
    </w:p>
    <w:p w14:paraId="70C76710"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3. Система артиллерийского вооружения не механизированной армии</w:t>
      </w:r>
    </w:p>
    <w:p w14:paraId="2CC9CADF"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Основные направления системы следующие:</w:t>
      </w:r>
    </w:p>
    <w:p w14:paraId="5478A2CE" w14:textId="77777777" w:rsidR="00CC65A8" w:rsidRPr="00C33834" w:rsidRDefault="00CC65A8" w:rsidP="00C33834">
      <w:pPr>
        <w:pStyle w:val="rtejustify"/>
        <w:spacing w:before="0" w:after="0"/>
        <w:rPr>
          <w:color w:val="000000" w:themeColor="text1"/>
          <w:sz w:val="16"/>
          <w:szCs w:val="16"/>
        </w:rPr>
      </w:pPr>
      <w:r w:rsidRPr="00C33834">
        <w:rPr>
          <w:rStyle w:val="af0"/>
          <w:bCs/>
          <w:i w:val="0"/>
          <w:color w:val="000000" w:themeColor="text1"/>
          <w:sz w:val="16"/>
          <w:szCs w:val="16"/>
        </w:rPr>
        <w:t>Вооружение стрелковых частей</w:t>
      </w:r>
      <w:r w:rsidRPr="00C33834">
        <w:rPr>
          <w:color w:val="000000" w:themeColor="text1"/>
          <w:sz w:val="16"/>
          <w:szCs w:val="16"/>
        </w:rPr>
        <w:t>, а) Стрелковое вооружение: 7,6</w:t>
      </w:r>
      <w:r w:rsidRPr="00C33834">
        <w:rPr>
          <w:color w:val="000000" w:themeColor="text1"/>
          <w:sz w:val="16"/>
          <w:szCs w:val="16"/>
        </w:rPr>
        <w:noBreakHyphen/>
        <w:t>мм самозарядная винтовка — ручной пулемет — облегченный станковый пулемет.</w:t>
      </w:r>
    </w:p>
    <w:p w14:paraId="330A91DA"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б) Вооружение роты: 37</w:t>
      </w:r>
      <w:r w:rsidRPr="00C33834">
        <w:rPr>
          <w:color w:val="000000" w:themeColor="text1"/>
          <w:sz w:val="16"/>
          <w:szCs w:val="16"/>
        </w:rPr>
        <w:noBreakHyphen/>
        <w:t>мм противотанковое ружье Курчевского.</w:t>
      </w:r>
    </w:p>
    <w:p w14:paraId="378A29F1"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в) Вооружение батальона: 12,7</w:t>
      </w:r>
      <w:r w:rsidRPr="00C33834">
        <w:rPr>
          <w:color w:val="000000" w:themeColor="text1"/>
          <w:sz w:val="16"/>
          <w:szCs w:val="16"/>
        </w:rPr>
        <w:noBreakHyphen/>
        <w:t>мм спаренные наземно-зенитные пулеметы; 45</w:t>
      </w:r>
      <w:r w:rsidRPr="00C33834">
        <w:rPr>
          <w:color w:val="000000" w:themeColor="text1"/>
          <w:sz w:val="16"/>
          <w:szCs w:val="16"/>
        </w:rPr>
        <w:noBreakHyphen/>
        <w:t>мм полуавтоматическая (в дальнейшем — универсальная автоматическая) пушка на прицепке или в танке с раскрывающейся броней; 76</w:t>
      </w:r>
      <w:r w:rsidRPr="00C33834">
        <w:rPr>
          <w:color w:val="000000" w:themeColor="text1"/>
          <w:sz w:val="16"/>
          <w:szCs w:val="16"/>
        </w:rPr>
        <w:noBreakHyphen/>
        <w:t>мм пушки ВПК и 82</w:t>
      </w:r>
      <w:r w:rsidRPr="00C33834">
        <w:rPr>
          <w:color w:val="000000" w:themeColor="text1"/>
          <w:sz w:val="16"/>
          <w:szCs w:val="16"/>
        </w:rPr>
        <w:noBreakHyphen/>
        <w:t>мм миномет.</w:t>
      </w:r>
    </w:p>
    <w:p w14:paraId="4A77E2E9"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г) Вооружение полка: 7,62</w:t>
      </w:r>
      <w:r w:rsidRPr="00C33834">
        <w:rPr>
          <w:color w:val="000000" w:themeColor="text1"/>
          <w:sz w:val="16"/>
          <w:szCs w:val="16"/>
        </w:rPr>
        <w:noBreakHyphen/>
        <w:t>мм счетверенный пулемет; 12,7</w:t>
      </w:r>
      <w:r w:rsidRPr="00C33834">
        <w:rPr>
          <w:color w:val="000000" w:themeColor="text1"/>
          <w:sz w:val="16"/>
          <w:szCs w:val="16"/>
        </w:rPr>
        <w:noBreakHyphen/>
        <w:t>мм спаренные наземно-зенитные пулеметы; 76</w:t>
      </w:r>
      <w:r w:rsidRPr="00C33834">
        <w:rPr>
          <w:color w:val="000000" w:themeColor="text1"/>
          <w:sz w:val="16"/>
          <w:szCs w:val="16"/>
        </w:rPr>
        <w:noBreakHyphen/>
        <w:t>мм полковая полуавтоматическая пушка на самоходе или в танке и 152</w:t>
      </w:r>
      <w:r w:rsidRPr="00C33834">
        <w:rPr>
          <w:color w:val="000000" w:themeColor="text1"/>
          <w:sz w:val="16"/>
          <w:szCs w:val="16"/>
        </w:rPr>
        <w:noBreakHyphen/>
        <w:t>мм мортира конной тяги (или на прицепке за танкеткой).</w:t>
      </w:r>
    </w:p>
    <w:p w14:paraId="7448CEBF"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д) Средства дивизии: 76</w:t>
      </w:r>
      <w:r w:rsidRPr="00C33834">
        <w:rPr>
          <w:color w:val="000000" w:themeColor="text1"/>
          <w:sz w:val="16"/>
          <w:szCs w:val="16"/>
        </w:rPr>
        <w:noBreakHyphen/>
        <w:t>мм дивизионная пушка увеличенной дальности с возможностью ведения зенитной стрельбы, 122</w:t>
      </w:r>
      <w:r w:rsidRPr="00C33834">
        <w:rPr>
          <w:color w:val="000000" w:themeColor="text1"/>
          <w:sz w:val="16"/>
          <w:szCs w:val="16"/>
        </w:rPr>
        <w:noBreakHyphen/>
        <w:t>мм гаубица на общем с пушкой лафете и 152</w:t>
      </w:r>
      <w:r w:rsidRPr="00C33834">
        <w:rPr>
          <w:color w:val="000000" w:themeColor="text1"/>
          <w:sz w:val="16"/>
          <w:szCs w:val="16"/>
        </w:rPr>
        <w:noBreakHyphen/>
        <w:t>мм мортира.</w:t>
      </w:r>
    </w:p>
    <w:p w14:paraId="283067E1"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е) Средства корпуса: 76</w:t>
      </w:r>
      <w:r w:rsidRPr="00C33834">
        <w:rPr>
          <w:color w:val="000000" w:themeColor="text1"/>
          <w:sz w:val="16"/>
          <w:szCs w:val="16"/>
        </w:rPr>
        <w:noBreakHyphen/>
        <w:t>мм зенитная пушка на прицепке; 122</w:t>
      </w:r>
      <w:r w:rsidRPr="00C33834">
        <w:rPr>
          <w:color w:val="000000" w:themeColor="text1"/>
          <w:sz w:val="16"/>
          <w:szCs w:val="16"/>
        </w:rPr>
        <w:noBreakHyphen/>
        <w:t>мм пушка вместо 107</w:t>
      </w:r>
      <w:r w:rsidRPr="00C33834">
        <w:rPr>
          <w:color w:val="000000" w:themeColor="text1"/>
          <w:sz w:val="16"/>
          <w:szCs w:val="16"/>
        </w:rPr>
        <w:noBreakHyphen/>
        <w:t>мм и 152</w:t>
      </w:r>
      <w:r w:rsidRPr="00C33834">
        <w:rPr>
          <w:color w:val="000000" w:themeColor="text1"/>
          <w:sz w:val="16"/>
          <w:szCs w:val="16"/>
        </w:rPr>
        <w:noBreakHyphen/>
        <w:t>мм гаубица нового образца (обе на одном лафете).</w:t>
      </w:r>
    </w:p>
    <w:p w14:paraId="640DEB31"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ж) АРГК: 152</w:t>
      </w:r>
      <w:r w:rsidRPr="00C33834">
        <w:rPr>
          <w:color w:val="000000" w:themeColor="text1"/>
          <w:sz w:val="16"/>
          <w:szCs w:val="16"/>
        </w:rPr>
        <w:noBreakHyphen/>
        <w:t>мм пушка Б</w:t>
      </w:r>
      <w:r w:rsidRPr="00C33834">
        <w:rPr>
          <w:color w:val="000000" w:themeColor="text1"/>
          <w:sz w:val="16"/>
          <w:szCs w:val="16"/>
        </w:rPr>
        <w:noBreakHyphen/>
        <w:t>10 и 203</w:t>
      </w:r>
      <w:r w:rsidRPr="00C33834">
        <w:rPr>
          <w:color w:val="000000" w:themeColor="text1"/>
          <w:sz w:val="16"/>
          <w:szCs w:val="16"/>
        </w:rPr>
        <w:noBreakHyphen/>
        <w:t>мм гаубица Б</w:t>
      </w:r>
      <w:r w:rsidRPr="00C33834">
        <w:rPr>
          <w:color w:val="000000" w:themeColor="text1"/>
          <w:sz w:val="16"/>
          <w:szCs w:val="16"/>
        </w:rPr>
        <w:noBreakHyphen/>
        <w:t>4 на общем лафете; 305</w:t>
      </w:r>
      <w:r w:rsidRPr="00C33834">
        <w:rPr>
          <w:color w:val="000000" w:themeColor="text1"/>
          <w:sz w:val="16"/>
          <w:szCs w:val="16"/>
        </w:rPr>
        <w:noBreakHyphen/>
        <w:t>мм гаубица ДРП; 254</w:t>
      </w:r>
      <w:r w:rsidRPr="00C33834">
        <w:rPr>
          <w:color w:val="000000" w:themeColor="text1"/>
          <w:sz w:val="16"/>
          <w:szCs w:val="16"/>
        </w:rPr>
        <w:noBreakHyphen/>
        <w:t>мм пушка — 305</w:t>
      </w:r>
      <w:r w:rsidRPr="00C33834">
        <w:rPr>
          <w:color w:val="000000" w:themeColor="text1"/>
          <w:sz w:val="16"/>
          <w:szCs w:val="16"/>
        </w:rPr>
        <w:noBreakHyphen/>
        <w:t>мм гаубица — 400</w:t>
      </w:r>
      <w:r w:rsidRPr="00C33834">
        <w:rPr>
          <w:color w:val="000000" w:themeColor="text1"/>
          <w:sz w:val="16"/>
          <w:szCs w:val="16"/>
        </w:rPr>
        <w:noBreakHyphen/>
        <w:t>мм мортира на общем самоходном лафете; 180</w:t>
      </w:r>
      <w:r w:rsidRPr="00C33834">
        <w:rPr>
          <w:color w:val="000000" w:themeColor="text1"/>
          <w:sz w:val="16"/>
          <w:szCs w:val="16"/>
        </w:rPr>
        <w:noBreakHyphen/>
        <w:t>мм и 355</w:t>
      </w:r>
      <w:r w:rsidRPr="00C33834">
        <w:rPr>
          <w:color w:val="000000" w:themeColor="text1"/>
          <w:sz w:val="16"/>
          <w:szCs w:val="16"/>
        </w:rPr>
        <w:noBreakHyphen/>
        <w:t>мм пушки на железнодорожных транспортерах и 100</w:t>
      </w:r>
      <w:r w:rsidRPr="00C33834">
        <w:rPr>
          <w:color w:val="000000" w:themeColor="text1"/>
          <w:sz w:val="16"/>
          <w:szCs w:val="16"/>
        </w:rPr>
        <w:noBreakHyphen/>
        <w:t>мм зенпушка на стационарной установке.</w:t>
      </w:r>
    </w:p>
    <w:p w14:paraId="0504A972" w14:textId="77777777" w:rsidR="00CC65A8" w:rsidRPr="00C33834" w:rsidRDefault="00CC65A8" w:rsidP="00C33834">
      <w:pPr>
        <w:pStyle w:val="rtejustify"/>
        <w:spacing w:before="0" w:after="0"/>
        <w:rPr>
          <w:color w:val="000000" w:themeColor="text1"/>
          <w:sz w:val="16"/>
          <w:szCs w:val="16"/>
        </w:rPr>
      </w:pPr>
      <w:r w:rsidRPr="00C33834">
        <w:rPr>
          <w:rStyle w:val="af0"/>
          <w:bCs/>
          <w:i w:val="0"/>
          <w:color w:val="000000" w:themeColor="text1"/>
          <w:sz w:val="16"/>
          <w:szCs w:val="16"/>
        </w:rPr>
        <w:t>Вооружение конницы</w:t>
      </w:r>
      <w:r w:rsidRPr="00C33834">
        <w:rPr>
          <w:color w:val="000000" w:themeColor="text1"/>
          <w:sz w:val="16"/>
          <w:szCs w:val="16"/>
        </w:rPr>
        <w:t>. Вооружение конницы в целях усиления разведывательных частей и усилении ПВО и ПТО представляется в следующем виде:</w:t>
      </w:r>
    </w:p>
    <w:p w14:paraId="1EE52A72"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Для кав[алерийских] полков вводится: а) 76</w:t>
      </w:r>
      <w:r w:rsidRPr="00C33834">
        <w:rPr>
          <w:color w:val="000000" w:themeColor="text1"/>
          <w:sz w:val="16"/>
          <w:szCs w:val="16"/>
        </w:rPr>
        <w:noBreakHyphen/>
        <w:t>мм самоходная пушка Курчевского — СПК; б) 45</w:t>
      </w:r>
      <w:r w:rsidRPr="00C33834">
        <w:rPr>
          <w:color w:val="000000" w:themeColor="text1"/>
          <w:sz w:val="16"/>
          <w:szCs w:val="16"/>
        </w:rPr>
        <w:noBreakHyphen/>
        <w:t>мм полуавтоматическая (в дальнейшем универсальная автоматическая) пушка на самоходе; в) 12,7</w:t>
      </w:r>
      <w:r w:rsidRPr="00C33834">
        <w:rPr>
          <w:color w:val="000000" w:themeColor="text1"/>
          <w:sz w:val="16"/>
          <w:szCs w:val="16"/>
        </w:rPr>
        <w:noBreakHyphen/>
        <w:t>мм спаренные наземно-зенитные пулеметы; г) 7,62</w:t>
      </w:r>
      <w:r w:rsidRPr="00C33834">
        <w:rPr>
          <w:color w:val="000000" w:themeColor="text1"/>
          <w:sz w:val="16"/>
          <w:szCs w:val="16"/>
        </w:rPr>
        <w:noBreakHyphen/>
        <w:t>мм счетверенные пулеметы.</w:t>
      </w:r>
    </w:p>
    <w:p w14:paraId="589A1B73"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Для артполков и дивизионов конницы: 76</w:t>
      </w:r>
      <w:r w:rsidRPr="00C33834">
        <w:rPr>
          <w:color w:val="000000" w:themeColor="text1"/>
          <w:sz w:val="16"/>
          <w:szCs w:val="16"/>
        </w:rPr>
        <w:noBreakHyphen/>
        <w:t>мм дивизионная пушка; 122</w:t>
      </w:r>
      <w:r w:rsidRPr="00C33834">
        <w:rPr>
          <w:color w:val="000000" w:themeColor="text1"/>
          <w:sz w:val="16"/>
          <w:szCs w:val="16"/>
        </w:rPr>
        <w:noBreakHyphen/>
        <w:t>мм гаубица и 152</w:t>
      </w:r>
      <w:r w:rsidRPr="00C33834">
        <w:rPr>
          <w:color w:val="000000" w:themeColor="text1"/>
          <w:sz w:val="16"/>
          <w:szCs w:val="16"/>
        </w:rPr>
        <w:noBreakHyphen/>
        <w:t>мм мортира стандартные с дивизионными орудиями. Стрелковое вооружение конницы — самозарядные винтовки — ручной пулемет и облегченный станковый пулемет.</w:t>
      </w:r>
    </w:p>
    <w:p w14:paraId="2B1BE1EC" w14:textId="77777777" w:rsidR="00CC65A8" w:rsidRPr="00C33834" w:rsidRDefault="00CC65A8" w:rsidP="00C33834">
      <w:pPr>
        <w:pStyle w:val="rtejustify"/>
        <w:spacing w:before="0" w:after="0"/>
        <w:rPr>
          <w:color w:val="000000" w:themeColor="text1"/>
          <w:sz w:val="16"/>
          <w:szCs w:val="16"/>
        </w:rPr>
      </w:pPr>
      <w:r w:rsidRPr="00C33834">
        <w:rPr>
          <w:rStyle w:val="af0"/>
          <w:bCs/>
          <w:i w:val="0"/>
          <w:color w:val="000000" w:themeColor="text1"/>
          <w:sz w:val="16"/>
          <w:szCs w:val="16"/>
        </w:rPr>
        <w:t>Вооружение горных войск</w:t>
      </w:r>
      <w:r w:rsidRPr="00C33834">
        <w:rPr>
          <w:color w:val="000000" w:themeColor="text1"/>
          <w:sz w:val="16"/>
          <w:szCs w:val="16"/>
        </w:rPr>
        <w:t>. Стрелковое вооружение стандартное с вооружением не механизированных дивизий. Артиллерийское вооружение — в стрелковых полках: 76</w:t>
      </w:r>
      <w:r w:rsidRPr="00C33834">
        <w:rPr>
          <w:color w:val="000000" w:themeColor="text1"/>
          <w:sz w:val="16"/>
          <w:szCs w:val="16"/>
        </w:rPr>
        <w:noBreakHyphen/>
        <w:t>мм вьючная пушка БПК и в артполках — 122</w:t>
      </w:r>
      <w:r w:rsidRPr="00C33834">
        <w:rPr>
          <w:color w:val="000000" w:themeColor="text1"/>
          <w:sz w:val="16"/>
          <w:szCs w:val="16"/>
        </w:rPr>
        <w:noBreakHyphen/>
        <w:t>мм облегченная гаубица и 152</w:t>
      </w:r>
      <w:r w:rsidRPr="00C33834">
        <w:rPr>
          <w:color w:val="000000" w:themeColor="text1"/>
          <w:sz w:val="16"/>
          <w:szCs w:val="16"/>
        </w:rPr>
        <w:noBreakHyphen/>
        <w:t>мм мортира.</w:t>
      </w:r>
    </w:p>
    <w:p w14:paraId="67B6D7B9"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4. Артиллерийское вооружение морского флота и береговой обороны</w:t>
      </w:r>
    </w:p>
    <w:p w14:paraId="6C7ECEDD"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Основные поправки к системе морского флота и береговой обороны сводятся к получению наибольшей однородности калибров с системой сухопутного вооружения. Кроме того, вводится: 1) системы ДРП — калибра 7,62 мм и 2) новые сверхмощные дальнобойные пушки 400</w:t>
      </w:r>
      <w:r w:rsidRPr="00C33834">
        <w:rPr>
          <w:color w:val="000000" w:themeColor="text1"/>
          <w:sz w:val="16"/>
          <w:szCs w:val="16"/>
        </w:rPr>
        <w:noBreakHyphen/>
        <w:t>350 мм на железнодорожных установках.</w:t>
      </w:r>
    </w:p>
    <w:p w14:paraId="57D2DB63"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Полная однородность калибров с сухопутными достигается на мониторах, кан[онерских] лодках, на судах речной флотилии и частично в береговой обороне.</w:t>
      </w:r>
    </w:p>
    <w:p w14:paraId="4F373C68"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5. Система артиллерийского вооружения укрепленных районов</w:t>
      </w:r>
    </w:p>
    <w:p w14:paraId="15153AA6"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а) Вооружение гарнизонной артиллерии: типы и калибры дивизионной, корпусной артиллерии и АРГК, состоящие на вооружении в зависимости от важности района и его организации.</w:t>
      </w:r>
    </w:p>
    <w:p w14:paraId="6A77B61D"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б) Вооружение канонирной артиллерии — 76</w:t>
      </w:r>
      <w:r w:rsidRPr="00C33834">
        <w:rPr>
          <w:color w:val="000000" w:themeColor="text1"/>
          <w:sz w:val="16"/>
          <w:szCs w:val="16"/>
        </w:rPr>
        <w:noBreakHyphen/>
        <w:t>мм пушки образца 1902 г. на специальных канонирных установках.</w:t>
      </w:r>
    </w:p>
    <w:p w14:paraId="0D925F23"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в) Противотанковая артиллерия — 76</w:t>
      </w:r>
      <w:r w:rsidRPr="00C33834">
        <w:rPr>
          <w:color w:val="000000" w:themeColor="text1"/>
          <w:sz w:val="16"/>
          <w:szCs w:val="16"/>
        </w:rPr>
        <w:noBreakHyphen/>
        <w:t>мм пушки образца 1927 г. или 1902 г. Применение мелких калибров нецелесообразно, т. к. эти же орудия должны вести огонь по наступающей за танками пехоте.</w:t>
      </w:r>
    </w:p>
    <w:p w14:paraId="43588B12"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г) ПВО — типы и калибры общевойсковых соединений — 12,7</w:t>
      </w:r>
      <w:r w:rsidRPr="00C33834">
        <w:rPr>
          <w:color w:val="000000" w:themeColor="text1"/>
          <w:sz w:val="16"/>
          <w:szCs w:val="16"/>
        </w:rPr>
        <w:noBreakHyphen/>
        <w:t>мм крупнокалиберный пулемет; 76,2</w:t>
      </w:r>
      <w:r w:rsidRPr="00C33834">
        <w:rPr>
          <w:color w:val="000000" w:themeColor="text1"/>
          <w:sz w:val="16"/>
          <w:szCs w:val="16"/>
        </w:rPr>
        <w:noBreakHyphen/>
        <w:t>мм зенитная пушка образца 1931 г. В особо важных районах — 100</w:t>
      </w:r>
      <w:r w:rsidRPr="00C33834">
        <w:rPr>
          <w:color w:val="000000" w:themeColor="text1"/>
          <w:sz w:val="16"/>
          <w:szCs w:val="16"/>
        </w:rPr>
        <w:noBreakHyphen/>
        <w:t>мм зенитная пушка.</w:t>
      </w:r>
    </w:p>
    <w:p w14:paraId="36DC04B6"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д) Вооружение пулеметных войск — 7,62</w:t>
      </w:r>
      <w:r w:rsidRPr="00C33834">
        <w:rPr>
          <w:color w:val="000000" w:themeColor="text1"/>
          <w:sz w:val="16"/>
          <w:szCs w:val="16"/>
        </w:rPr>
        <w:noBreakHyphen/>
        <w:t>мм пулемет «ДС».</w:t>
      </w:r>
    </w:p>
    <w:p w14:paraId="31AD856C"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Предлагаемая система артиллерийского вооружения соответствует нынешнему этапу в развитии нашего артиллерийского вооружения, характеризуемому реальной возможностью освоения промышленностью производства новых современных средств артиллерийской борьбы и развертывания массового вооружения ими РККА в течение II пятилетки. Наиболее быстрая ее реализация требует ряда организационных мероприятий в отношении специализации артиллерийских баз и возложения на промышленность точных правительственных заданий.</w:t>
      </w:r>
    </w:p>
    <w:p w14:paraId="68E448C3"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Предлагаемая специализация артиллерийских производственных баз: мелкокалиберная артиллерия и системы ДРП — завод № 8; дивизионная артиллерия (пушка и гаубица на общем лафете), 76</w:t>
      </w:r>
      <w:r w:rsidRPr="00C33834">
        <w:rPr>
          <w:color w:val="000000" w:themeColor="text1"/>
          <w:sz w:val="16"/>
          <w:szCs w:val="16"/>
        </w:rPr>
        <w:noBreakHyphen/>
        <w:t>мм зенитная пушка и системы ДРП — завод «Новое Сормово»; корпусная артиллерия (пушка и гаубица на новом лафете) и 152</w:t>
      </w:r>
      <w:r w:rsidRPr="00C33834">
        <w:rPr>
          <w:color w:val="000000" w:themeColor="text1"/>
          <w:sz w:val="16"/>
          <w:szCs w:val="16"/>
        </w:rPr>
        <w:noBreakHyphen/>
        <w:t>мм мортира — завод им. Молотова; АРГК — заводы «Баррикады» и «Большевик»; 76</w:t>
      </w:r>
      <w:r w:rsidRPr="00C33834">
        <w:rPr>
          <w:color w:val="000000" w:themeColor="text1"/>
          <w:sz w:val="16"/>
          <w:szCs w:val="16"/>
        </w:rPr>
        <w:noBreakHyphen/>
        <w:t>мм танковая артиллерия — завод «Красный путиловец».</w:t>
      </w:r>
    </w:p>
    <w:p w14:paraId="18C85A74"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Представляю проект постановления о системе артиллерийского вооружения второй пятилетки на ближайший период и прошу утверждения⁴*.</w:t>
      </w:r>
    </w:p>
    <w:p w14:paraId="5942C00C" w14:textId="77777777" w:rsidR="00CC65A8" w:rsidRPr="00C33834" w:rsidRDefault="00CC65A8" w:rsidP="00C33834">
      <w:pPr>
        <w:pStyle w:val="ae"/>
        <w:spacing w:before="0" w:after="0"/>
        <w:jc w:val="both"/>
        <w:rPr>
          <w:color w:val="000000" w:themeColor="text1"/>
          <w:sz w:val="16"/>
          <w:szCs w:val="16"/>
        </w:rPr>
      </w:pPr>
      <w:r w:rsidRPr="00C33834">
        <w:rPr>
          <w:rStyle w:val="af0"/>
          <w:i w:val="0"/>
          <w:color w:val="000000" w:themeColor="text1"/>
          <w:sz w:val="16"/>
          <w:szCs w:val="16"/>
        </w:rPr>
        <w:t>Зам. начальника вооружений и начальник Главного артиллерийского управления РККА Ефимов</w:t>
      </w:r>
    </w:p>
    <w:p w14:paraId="70CE7721" w14:textId="77777777" w:rsidR="00CC65A8" w:rsidRPr="00C33834" w:rsidRDefault="00CC65A8"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Примечания</w:t>
      </w:r>
      <w:r w:rsidRPr="00C33834">
        <w:rPr>
          <w:color w:val="000000" w:themeColor="text1"/>
          <w:sz w:val="16"/>
          <w:szCs w:val="16"/>
        </w:rPr>
        <w:t>:</w:t>
      </w:r>
    </w:p>
    <w:p w14:paraId="3BBD26F9"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 xml:space="preserve">¹* Созданное 11 декабря 1917 г. приказом Наркомата по военным делам РСФСР </w:t>
      </w:r>
      <w:r w:rsidRPr="00C33834">
        <w:rPr>
          <w:rStyle w:val="af0"/>
          <w:bCs/>
          <w:i w:val="0"/>
          <w:color w:val="000000" w:themeColor="text1"/>
          <w:sz w:val="16"/>
          <w:szCs w:val="16"/>
        </w:rPr>
        <w:t>Главное артиллерийское управление</w:t>
      </w:r>
      <w:r w:rsidRPr="00C33834">
        <w:rPr>
          <w:color w:val="000000" w:themeColor="text1"/>
          <w:sz w:val="16"/>
          <w:szCs w:val="16"/>
        </w:rPr>
        <w:t xml:space="preserve"> с ноября 1925 г. вошло в структуру вновь созданного Управления снабжений РККА. С 20 ноября 1929 г. приказом РВС СССР подчинялось начальнику вооружений РККА, как самостоятельное управление. По положению о Наркомате обороны СССР от 22 ноября 1934 г. (Главное) Артиллерийское управление РККА являлось центральным органом НКО по вопросам разработки и реализации системы артиллерийского вооружения РККА. На него возлагались: заготовка всех видов артиллерийского вооружения РККА, за исключением специального артиллерийского вооружения морских сил и механической самоходной тяги артиллерии; снабжение РККА артиллерийским вооружением и боеприпасами; инспектирование состояния всех видов артиллерийского и стрелкового вооружения РККА, кроме специального артиллерийского вооружения морских сил; подготовка в мобилизационном отношении артиллерийских баз и предприятий управления; руководство боевой подготовкой Артиллерийской академии и специальной подготовкой артиллерийско-технических и оружейно-технических школ; накопление мобилизационных запасов артиллерийского вооружения и огнеприпасов; разработка и проведение мероприятий по развитию и совершенствованию артиллерийского вооружения РККА. В структуре ГАУ выделялись: отдел стрелкового вооружения, отдел материальной части артиллерии, отдел боеприпасов, отдел военных приборов, отдел артиллерийских баз, научно-технический отдел, мобилизационный отдел, финансовый отдел, отделение личного состава. 31 декабря 1935 г. приказом Наркомата обороны № 0242 была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 С апреля 1936 г. ГАУ подчинено вновь созданному Главному управлению вооружения и технического снабжения РККА. С июня 1937 г. ГАУ РККА подчинено непосредственно народному комиссару обороны СССР.</w:t>
      </w:r>
    </w:p>
    <w:p w14:paraId="628CED34"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²* Датируется по штампу на документе.</w:t>
      </w:r>
    </w:p>
    <w:p w14:paraId="5374E06C"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³* Пункт “е” в документе отсутствует.</w:t>
      </w:r>
    </w:p>
    <w:p w14:paraId="45D264BA"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⁴* Приложение не публикуется.</w:t>
      </w:r>
    </w:p>
    <w:p w14:paraId="336F1714" w14:textId="77777777" w:rsidR="00CC65A8" w:rsidRPr="00C33834" w:rsidRDefault="00CC65A8" w:rsidP="00C33834">
      <w:pPr>
        <w:pStyle w:val="ae"/>
        <w:spacing w:before="0" w:after="0"/>
        <w:jc w:val="both"/>
        <w:rPr>
          <w:color w:val="000000" w:themeColor="text1"/>
          <w:sz w:val="16"/>
          <w:szCs w:val="16"/>
        </w:rPr>
      </w:pPr>
      <w:r w:rsidRPr="00C33834">
        <w:rPr>
          <w:color w:val="000000" w:themeColor="text1"/>
          <w:sz w:val="16"/>
          <w:szCs w:val="16"/>
        </w:rPr>
        <w:t>РГВА. Ф. 4. Оп. 14. Д. 958. Л. 27-35. Подлинник (15260).</w:t>
      </w:r>
    </w:p>
    <w:p w14:paraId="47D51622" w14:textId="77777777" w:rsidR="00CC65A8" w:rsidRPr="00C33834" w:rsidRDefault="00CC65A8" w:rsidP="00C33834">
      <w:pPr>
        <w:spacing w:after="0" w:line="240" w:lineRule="auto"/>
        <w:jc w:val="both"/>
        <w:rPr>
          <w:rFonts w:ascii="Times New Roman" w:hAnsi="Times New Roman"/>
          <w:iCs/>
          <w:color w:val="000000" w:themeColor="text1"/>
          <w:sz w:val="16"/>
          <w:szCs w:val="16"/>
        </w:rPr>
      </w:pPr>
    </w:p>
    <w:p w14:paraId="54BEF536" w14:textId="77777777" w:rsidR="00CC65A8" w:rsidRPr="00C33834" w:rsidRDefault="00CC65A8" w:rsidP="00C33834">
      <w:pPr>
        <w:pStyle w:val="ae"/>
        <w:spacing w:before="0" w:after="0"/>
        <w:jc w:val="both"/>
        <w:rPr>
          <w:color w:val="000000" w:themeColor="text1"/>
          <w:sz w:val="16"/>
          <w:szCs w:val="16"/>
        </w:rPr>
      </w:pPr>
      <w:r w:rsidRPr="00C33834">
        <w:rPr>
          <w:rStyle w:val="af0"/>
          <w:i w:val="0"/>
          <w:color w:val="000000" w:themeColor="text1"/>
          <w:sz w:val="16"/>
          <w:szCs w:val="16"/>
        </w:rPr>
        <w:t xml:space="preserve">1 апреля 1933 г. </w:t>
      </w:r>
      <w:r w:rsidRPr="00C33834">
        <w:rPr>
          <w:color w:val="000000" w:themeColor="text1"/>
          <w:sz w:val="16"/>
          <w:szCs w:val="16"/>
        </w:rPr>
        <w:t>Из доклада начальника связи РККА Н. М. Синявского «Об итогах первой и перспективах второй пятилетки по системе вооружения и организации связи РККА»</w:t>
      </w:r>
    </w:p>
    <w:p w14:paraId="3CD1F0CF"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Система вооружения связи</w:t>
      </w:r>
    </w:p>
    <w:p w14:paraId="5D100705"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§1.</w:t>
      </w:r>
      <w:r w:rsidRPr="00C33834">
        <w:rPr>
          <w:rStyle w:val="af0"/>
          <w:bCs/>
          <w:i w:val="0"/>
          <w:color w:val="000000" w:themeColor="text1"/>
          <w:sz w:val="16"/>
          <w:szCs w:val="16"/>
        </w:rPr>
        <w:t xml:space="preserve"> Задание РВС по системе</w:t>
      </w:r>
      <w:r w:rsidRPr="00C33834">
        <w:rPr>
          <w:color w:val="000000" w:themeColor="text1"/>
          <w:sz w:val="16"/>
          <w:szCs w:val="16"/>
        </w:rPr>
        <w:t>. Постановлением РВС СССР от 3 апреля 1930 г., от 23 августа 1931 г. на Управление связи¹* было возложено заново разработать 77 образцов вооружения связи. В установленные РВСС сроки выполнено 67 образцов (см. перечень № 1)²*, из них: а) по радио — 22 образца³*; б) по телеграфии — 9 образцов; в) по телефонии — 9 образцов; г) по моторизации и механизации — 7 образцов; д) по ПВО — 1 образец; е) по оптическим и прочим средствам связи — 19 образцов. Итого — 67 образцов.</w:t>
      </w:r>
    </w:p>
    <w:p w14:paraId="4AEA3224"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§2.</w:t>
      </w:r>
      <w:r w:rsidRPr="00C33834">
        <w:rPr>
          <w:rStyle w:val="af0"/>
          <w:bCs/>
          <w:i w:val="0"/>
          <w:color w:val="000000" w:themeColor="text1"/>
          <w:sz w:val="16"/>
          <w:szCs w:val="16"/>
        </w:rPr>
        <w:t xml:space="preserve"> Качественная оценка системы</w:t>
      </w:r>
      <w:r w:rsidRPr="00C33834">
        <w:rPr>
          <w:color w:val="000000" w:themeColor="text1"/>
          <w:sz w:val="16"/>
          <w:szCs w:val="16"/>
        </w:rPr>
        <w:t xml:space="preserve">. Вновь разработанные образцы вооружения связи технически подняты на уровень современной техники, а) По радио: сделаны новые образцы самолетных, аэродромных, танковых и радио-разведывательных станций. б) По телеграфии: скородействующие аппараты Шорина, Тремля и к ним приборы секретного телеграфирования; в) По телефонии: мы получили в наследство от царской армии 60 типов разнокалиберных телефонных аппаратов. В настоящее время это многообразие устранено. Армия имеет только два типа современных телефонов — индукторный и фонический; также разработаны телефоны дальнего действия армия-корпус; полевые телеграфные и телефонные кабели, г) По оптическим средствам связи: изготовлены по английскому образцу светосигнальные аппараты </w:t>
      </w:r>
      <w:r w:rsidRPr="00C33834">
        <w:rPr>
          <w:color w:val="000000" w:themeColor="text1"/>
          <w:sz w:val="16"/>
          <w:szCs w:val="16"/>
        </w:rPr>
        <w:lastRenderedPageBreak/>
        <w:t>«Люкас» и [по] немецкому — Цейса, д) По механизации и моторизации заново сконструировано: 1) механическое оборудование для наводки кабельных и шестовых линий (с хода автомобиля); 2) механические приспособления на машинах для постройки постоянных телеграфно-телефонных линий (рытье ям, установка столбов и проч.).</w:t>
      </w:r>
    </w:p>
    <w:p w14:paraId="15927B6D"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§3.</w:t>
      </w:r>
      <w:r w:rsidRPr="00C33834">
        <w:rPr>
          <w:rStyle w:val="af0"/>
          <w:bCs/>
          <w:i w:val="0"/>
          <w:color w:val="000000" w:themeColor="text1"/>
          <w:sz w:val="16"/>
          <w:szCs w:val="16"/>
        </w:rPr>
        <w:t xml:space="preserve"> Постановка на серийное производство</w:t>
      </w:r>
      <w:r w:rsidRPr="00C33834">
        <w:rPr>
          <w:color w:val="000000" w:themeColor="text1"/>
          <w:sz w:val="16"/>
          <w:szCs w:val="16"/>
        </w:rPr>
        <w:t>. В течение 1931 и 1932 гг. разработанные образцы испытаны и поставлены на серийное производство. Постановка новых производств и освоение промышленностью образцов системы дало возможность уже к концу первой пятилетки почти совершенно освободиться от импорта. В течение первой пятилетки поставлены заново производства: а) коротковолновых радиостанций (кроме станций тяжелых самолетов); б) легких двигателей внутреннего сгорания; в) радиоламп; г) радиомашин; д) щелочных аккумуляторов (в основном работающих пока на импортном сырье).</w:t>
      </w:r>
    </w:p>
    <w:p w14:paraId="2F95D11A"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§4.</w:t>
      </w:r>
      <w:r w:rsidRPr="00C33834">
        <w:rPr>
          <w:rStyle w:val="af0"/>
          <w:bCs/>
          <w:i w:val="0"/>
          <w:color w:val="000000" w:themeColor="text1"/>
          <w:sz w:val="16"/>
          <w:szCs w:val="16"/>
        </w:rPr>
        <w:t xml:space="preserve"> Качество продукции</w:t>
      </w:r>
      <w:r w:rsidRPr="00C33834">
        <w:rPr>
          <w:color w:val="000000" w:themeColor="text1"/>
          <w:sz w:val="16"/>
          <w:szCs w:val="16"/>
        </w:rPr>
        <w:t>. По телефонам — не уступает заграничным. По оптическим приборам — так же. По радиостанциям — отдельные детали и агрегаты выполняются небрежно и неудовлетворительно. Лампы разнородны, все это влияет на устойчивость радиосвязи. Нет культуры в процессе самого производства станций. Элементы — хранение, емкость совершенно неудовлетворительны. Безобразное качество элементов в конце концов парализует всю низовую радиосвязь армии. Аппараты Шорина — при испытании дали неплохие результаты, но скверное качество пружин и винтов создает неустойчивость действия. Кабель имеет плохую изоляцию только потому, что согласно требованиям Штаба РККА⁴*, километр нашего кабеля должен весить 12,5 кг, в то время как немецкий весит 15,5 кг, английский — 15 кг. Жесткость веса уменьшает количество изоляции, а из-за этого телефонная связь работает скверно.</w:t>
      </w:r>
    </w:p>
    <w:p w14:paraId="21839762"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 Материальная обеспеченность</w:t>
      </w:r>
    </w:p>
    <w:p w14:paraId="50534246"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§5. При выполнении плана промышленностью наша обеспеченность по главнейшим средствам связи в 1933 г. следующая: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38"/>
        <w:gridCol w:w="1925"/>
        <w:gridCol w:w="2289"/>
        <w:gridCol w:w="1770"/>
      </w:tblGrid>
      <w:tr w:rsidR="00F26F01" w:rsidRPr="00C33834" w14:paraId="437A9D59" w14:textId="77777777" w:rsidTr="003417C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5224FB2"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0583875"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 обеспеченности</w:t>
            </w:r>
          </w:p>
        </w:tc>
      </w:tr>
      <w:tr w:rsidR="00F26F01" w:rsidRPr="00C33834" w14:paraId="47D6A8F4" w14:textId="77777777" w:rsidTr="003417C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1F325B0" w14:textId="77777777" w:rsidR="00CC65A8" w:rsidRPr="00C33834" w:rsidRDefault="00CC65A8" w:rsidP="00C3383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7F9C047"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мирное время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35260D9"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военное</w:t>
            </w:r>
          </w:p>
          <w:p w14:paraId="4A5A44D1"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на</w:t>
            </w:r>
          </w:p>
          <w:p w14:paraId="040ED38E"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развертывание</w:t>
            </w:r>
          </w:p>
        </w:tc>
      </w:tr>
      <w:tr w:rsidR="00F26F01" w:rsidRPr="00C33834" w14:paraId="39B3C949" w14:textId="77777777" w:rsidTr="003417C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11C8597" w14:textId="77777777" w:rsidR="00CC65A8" w:rsidRPr="00C33834" w:rsidRDefault="00CC65A8"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3DA961"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мая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7B891"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1934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D9073B5" w14:textId="77777777" w:rsidR="00CC65A8" w:rsidRPr="00C33834" w:rsidRDefault="00CC65A8" w:rsidP="00C33834">
            <w:pPr>
              <w:spacing w:after="0" w:line="240" w:lineRule="auto"/>
              <w:jc w:val="both"/>
              <w:rPr>
                <w:rFonts w:ascii="Times New Roman" w:hAnsi="Times New Roman"/>
                <w:color w:val="000000" w:themeColor="text1"/>
                <w:sz w:val="16"/>
                <w:szCs w:val="16"/>
              </w:rPr>
            </w:pPr>
          </w:p>
        </w:tc>
      </w:tr>
      <w:tr w:rsidR="00F26F01" w:rsidRPr="00C33834" w14:paraId="655E460A"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3DC9E4"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Авиационные радиостанции,</w:t>
            </w:r>
          </w:p>
          <w:p w14:paraId="7A76F788"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них для тяжелой авиации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31617"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62</w:t>
            </w:r>
          </w:p>
          <w:p w14:paraId="2E734999"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B32E0"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p w14:paraId="4F3B6901"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83CF5"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w:t>
            </w:r>
          </w:p>
          <w:p w14:paraId="49874491"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w:t>
            </w:r>
          </w:p>
        </w:tc>
      </w:tr>
      <w:tr w:rsidR="00F26F01" w:rsidRPr="00C33834" w14:paraId="6B72472A"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B1E5E4"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Танковые рации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D4A1E"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16F7E"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EDB5D"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w:t>
            </w:r>
          </w:p>
        </w:tc>
      </w:tr>
      <w:tr w:rsidR="00F26F01" w:rsidRPr="00C33834" w14:paraId="055E42FE"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210D6F"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Полковые и батальонные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D1E3D"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DC580"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EBA50"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r>
      <w:tr w:rsidR="00F26F01" w:rsidRPr="00C33834" w14:paraId="04AE7848"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3CB908"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Телефоны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32893"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83982"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33394"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w:t>
            </w:r>
          </w:p>
        </w:tc>
      </w:tr>
      <w:tr w:rsidR="00F26F01" w:rsidRPr="00C33834" w14:paraId="6505AC1F"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490885"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Кабель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8B027"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AC034"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C646F"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94</w:t>
            </w:r>
          </w:p>
        </w:tc>
      </w:tr>
      <w:tr w:rsidR="00F26F01" w:rsidRPr="00C33834" w14:paraId="4704CDE4"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A90B23"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Светосигнальные приборы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D0A71"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66AE4"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F7E81"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r>
      <w:tr w:rsidR="00F26F01" w:rsidRPr="00C33834" w14:paraId="48134E1C"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5B720E"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Телеграфные аппараты (вместе с «Морзе»)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34ED7"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45A16"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0B884"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w:t>
            </w:r>
          </w:p>
        </w:tc>
      </w:tr>
    </w:tbl>
    <w:p w14:paraId="27A85DD1"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По линии Наркомсвязи резервный фонд по проволоке на 1 января 1933 г. выражается: а) проволока — 17%; б) крючья — 6%; в) изоляторы — 10%.</w:t>
      </w:r>
    </w:p>
    <w:p w14:paraId="0123F179"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§6. Рост радиовооружения и стоимость первой пятилетки. За 1929 г. отпущено 8551 тыс. руб., освоено промышленностью 6065 тыс. руб.; за 1930 г. и особый квартал — 13 982 тыс. руб., освоено промышленностью 12 567 тыс. руб.; за 1931 г. отпущено 25 956 тыс. руб., освоено промышленностью 22 557 тыс. руб.; за 1932 г. отпущено 84 093 тыс. руб., освоено промышленностью 53 529 тыс. руб. Вывод: на первую пятилетку нам отпущено 132 582 тыс. руб., освоено промышленностью 94 819 тыс. руб., из них: на образцы новой системы и испытательные работы — 11 867 тыс. руб., на серийное вооружение — 82 852 тыс. руб.</w:t>
      </w:r>
    </w:p>
    <w:p w14:paraId="5AF35A90"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§7. Несмотря на колоссальнейший рост серийного производства средств связи, процент обеспеченности армии (в связи с новыми оргмероприятиями и с увеличением табелей) низко пал. По радио мы имели: 1928 г. — 128 радиостанций — 7% обеспеченности; 1929 г. — 463 радиостанции — 25% обеспеченности; 1930 г. — 723 радиостанции — 24% обеспеченности; 1931 г. — 1351 радиостанцию — 44% обеспеченности; 1932 г. — 1571 радиостанцию — 14% обеспеченности; 1933 г. — 6951 радиостанцию — 33% (по состоянию на 1 мая⁵*).</w:t>
      </w:r>
    </w:p>
    <w:p w14:paraId="44E63B94"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§8. Выполнение постановления ЦК от 25 июля о радиостанциях для тяжелой авиации. Совершенно неудовлетворительно положение на нынешний день с тяжелой авиацией. В постановлении КО от 11 января, подтвержденному к безусловному исполнению 25 июля 1932 г.⁶*, в также постановлением КО от 5 апреля 1932 г. за № 343/121сс и постановлением ЦК ВКП(б) и СНК от 5 июля 1932 г., особенно указывалось на производство радиостанций для тяжелой авиации. По этим постановлениям НКТП должен был изготовить для РККА к 1 февраля 1933 г. 500 радиостанций для тяжелых самолетов и 40 тяжелых аэродромных. До настоящего времени, кроме шести образцов, программа по тяжелой авиации промышленностью не выполнена, решение ЦК от 5 июля не реализовано. На 1 июня промышленность предлагает сдать нам 400 радиостанций для тяжелых самолетов и 14 аэродромных тяжелых радиостанций.</w:t>
      </w:r>
    </w:p>
    <w:p w14:paraId="4F8865F8"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§9.</w:t>
      </w:r>
      <w:r w:rsidRPr="00C33834">
        <w:rPr>
          <w:rStyle w:val="af0"/>
          <w:bCs/>
          <w:i w:val="0"/>
          <w:color w:val="000000" w:themeColor="text1"/>
          <w:sz w:val="16"/>
          <w:szCs w:val="16"/>
        </w:rPr>
        <w:t xml:space="preserve"> Удовлетворение мобзаявки НКВМ</w:t>
      </w:r>
      <w:r w:rsidRPr="00C33834">
        <w:rPr>
          <w:color w:val="000000" w:themeColor="text1"/>
          <w:sz w:val="16"/>
          <w:szCs w:val="16"/>
        </w:rPr>
        <w:t>. По радиостанциям заявка НКВМ на 1933 г. промышленностью удовлетворяется только на 29%. На год ведения войны нам требуется 62 тыс., а промышленность при всем напряжении может дать только 18 тыс. радиостанций. С телеграфной аппаратурой и кабелем картина аналогичная — вместо 1500 тыс. км требуемого кабеля предположено удовлетворить только 800 тыс., т. е. 50% потребности.</w:t>
      </w:r>
    </w:p>
    <w:p w14:paraId="3EBCC6B1"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III. Промышленная база</w:t>
      </w:r>
    </w:p>
    <w:p w14:paraId="6B1F47D8"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§10.</w:t>
      </w:r>
      <w:r w:rsidRPr="00C33834">
        <w:rPr>
          <w:rStyle w:val="af0"/>
          <w:bCs/>
          <w:i w:val="0"/>
          <w:color w:val="000000" w:themeColor="text1"/>
          <w:sz w:val="16"/>
          <w:szCs w:val="16"/>
        </w:rPr>
        <w:t xml:space="preserve"> Строительство новых заводов по производству средств связи</w:t>
      </w:r>
      <w:r w:rsidRPr="00C33834">
        <w:rPr>
          <w:color w:val="000000" w:themeColor="text1"/>
          <w:sz w:val="16"/>
          <w:szCs w:val="16"/>
        </w:rPr>
        <w:t>. На военное время по существующим размерам промышленная база совершенно недостаточна. В конце 1931 г. РВС СССР ставил этот вопрос на КО. В результате было принято 11 января за № 7сс постановление обязать НКТП приступить к постройке в 1932 г. следующих новых пяти заводов: 1) по телемеханике; 2) по радиомашинам; 3) по точной механике; 4) по радиостанциям; 5) по радиолампам; 6) кроме того окончить строительством завод щелочных аккумуляторов и 7) построить мастерскую кварцевых пластин. Этим же постановлением КО обязало НКТП в 1933 г. предусмотреть строительство еще четырех заводов: 1) радиостанций; 2) двух заводов гальванических элементов; 3) телеграфной аппаратуры.</w:t>
      </w:r>
    </w:p>
    <w:p w14:paraId="2A14179D"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§11. НКТП этого решения правительства полностью не выполнил: на нынешний день закончены постройкой только один завод щелочных аккумуляторов и кварцевая мастерская. Кроме того, начато строительство заводов по телемеханике, радиомашинам, по радиолампам и по точной механике. Остальные заводы строительством не начаты в 1932 г. и не будут строиться в 1933 г.</w:t>
      </w:r>
    </w:p>
    <w:p w14:paraId="5FDABC79"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§12.</w:t>
      </w:r>
      <w:r w:rsidRPr="00C33834">
        <w:rPr>
          <w:rStyle w:val="af0"/>
          <w:bCs/>
          <w:i w:val="0"/>
          <w:color w:val="000000" w:themeColor="text1"/>
          <w:sz w:val="16"/>
          <w:szCs w:val="16"/>
        </w:rPr>
        <w:t xml:space="preserve"> Вывод</w:t>
      </w:r>
      <w:r w:rsidRPr="00C33834">
        <w:rPr>
          <w:color w:val="000000" w:themeColor="text1"/>
          <w:sz w:val="16"/>
          <w:szCs w:val="16"/>
        </w:rPr>
        <w:t>: если принять во внимание возросшие потребности не только армии, но и всего народного хозяйства, слаботочная промышленная база мала. Строящиеся заводы ни в какой мере не ликвидируют этого положения.</w:t>
      </w:r>
    </w:p>
    <w:p w14:paraId="657D5103"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Внедрение военных радиостанций в народное хозяйство</w:t>
      </w:r>
    </w:p>
    <w:p w14:paraId="1399BEE1"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О накоплении мобзапасов. При данном положении мы не можем тысячи радиостанций накоплять в мобзапасах и хранить их без движения. Выше уже указывалось, что Красная армия имеет целую систему радиостанций. Эти станции вполне пригодны для применения в народном хозяйстве. Их можно использовать также на лесозаготовках, в гражданской авиации и в поездах НКПС. На нынешний день слаботочная промышленность загружена военными заказами около 70%. Остальные 30% являются заказами других ведомств. По линии Наркомата связи особенно остро стоит вопрос с налаживанием низовой связи в колхозах и совхозах. Таких типов станций Наркомат связи еще не имеет. Нашу батальонную станцию (8 км телефоном и 15 — телеграфом), носимую одним красноармейцем, без всяких переделок можно применить в колхозах, совхозах, на машинно-тракторных станциях, на лесозаготовках и проч. Полковую станцию (25 км телефоном, 50 — телеграфом) также можно использовать для районной связи по Наркомату связи. Кроме того, мы имеем радиостанции (перевозимые в двух грузовых автомобилях) с дальностью действия 400 км телефоном и 800 км телеграфом. Для авиации сделаны станции, работающие на самолете, 500 — телефоном и 900 — телеграфом. В настоящее время заинтересованные наркоматы самостоятельно, без помощи промышленности изготовляют свои собственные образцы. Основная причина — Наркомат связи не руководит этим делом. Существующие кустарные маломощные радиостанции других ведомств нас во время войны удовлетворить не могут.</w:t>
      </w:r>
    </w:p>
    <w:p w14:paraId="0C3C689A"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Вывод: поскольку военные радиостанции освоены промышленностью и производятся в тысячах, необходимо: 1) использовать их в первую очередь для низовой связи в колхозах и совхозах; 2) по линии Наркомата связи и НКПС; 3) для гражданской авиации, в дальнейшем эти станции должны быть приняты как стандарт. Этим в большей мере решается вопрос накопления мобзапасов. Это упрощает вопрос боевой подготовки связистов, призываемых в армию. Этим частично решается вопрос правильной организации связи в гражданской авиации и в низовой связи народного хозяйства.</w:t>
      </w:r>
    </w:p>
    <w:p w14:paraId="04858B87"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Моторизация и механизация войск и частей связи</w:t>
      </w:r>
    </w:p>
    <w:p w14:paraId="12467AA2"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Изготовление образцов. По линии механизации и моторизации телеграфностроительных и линейных телефонных работ нами изготовлены следующие опытные образцы: 1) машины для рытья ям и установки столбов; 2) машины для размотки кабеля с хода автомобиля; 3) вышки для подвески проводов; 4) машины для постройки шестовых линий.</w:t>
      </w:r>
    </w:p>
    <w:p w14:paraId="34DB625B"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Испытание образцов. Испытание образцов в опытном мотомехбатальоне связи 14</w:t>
      </w:r>
      <w:r w:rsidRPr="00C33834">
        <w:rPr>
          <w:rFonts w:ascii="Times New Roman" w:hAnsi="Times New Roman"/>
          <w:color w:val="000000" w:themeColor="text1"/>
          <w:sz w:val="16"/>
          <w:szCs w:val="16"/>
        </w:rPr>
        <w:noBreakHyphen/>
        <w:t>го стрелкового корпуса и батальоне связи 45</w:t>
      </w:r>
      <w:r w:rsidRPr="00C33834">
        <w:rPr>
          <w:rFonts w:ascii="Times New Roman" w:hAnsi="Times New Roman"/>
          <w:color w:val="000000" w:themeColor="text1"/>
          <w:sz w:val="16"/>
          <w:szCs w:val="16"/>
        </w:rPr>
        <w:noBreakHyphen/>
        <w:t>й стрелковой дивизии показали, что по сравнению с колесным автотранспортом быстрота работ повышается в 3</w:t>
      </w:r>
      <w:r w:rsidRPr="00C33834">
        <w:rPr>
          <w:rFonts w:ascii="Times New Roman" w:hAnsi="Times New Roman"/>
          <w:color w:val="000000" w:themeColor="text1"/>
          <w:sz w:val="16"/>
          <w:szCs w:val="16"/>
        </w:rPr>
        <w:noBreakHyphen/>
        <w:t>5 раз. Все же колесный транспорт не упраздняется. Соотношение моторизации и конной тяги должно быть: в кавалерии — 75%, в стрелковом корпусе — 50%, в стрелковой дивизии — 30% моторизации.</w:t>
      </w:r>
    </w:p>
    <w:p w14:paraId="5F591E2A"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Решение РВС и правительства о моторизации и механизации войск связи 23 августа 1931 г. Реввоенсовет постановил: механизировать к 1 мая 1932 г. 18 учебных строительных колонн. На это и было предложено УММ выделить в войска связи 360 машин. К 1 мая 1933 г. дополнительно сформировать еще 4 колонны в 80 машин.</w:t>
      </w:r>
    </w:p>
    <w:p w14:paraId="78E71AAE"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Решение Комиссии обороны от 11 января 1932 г. В соответствии с этим 11 января 1932 г. Комиссия обороны постановила: предложить РВС Союза максимально усилить темпы моторизации и механизации войск связи, для чего в течение 1932 г. создать не 18, а 20 механизированных колонн. Одновременно по линии Наркомсвязи создать в 1933 г. 100 механизированных колонн.</w:t>
      </w:r>
    </w:p>
    <w:p w14:paraId="54F774DA"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§19. Выполнение решения. Эти решения РВС и Комиссии обороны совершенно не выполнены. Даже на заказы под специальные радиостанции (станции 5</w:t>
      </w:r>
      <w:r w:rsidRPr="00C33834">
        <w:rPr>
          <w:rFonts w:ascii="Times New Roman" w:hAnsi="Times New Roman"/>
          <w:color w:val="000000" w:themeColor="text1"/>
          <w:sz w:val="16"/>
          <w:szCs w:val="16"/>
        </w:rPr>
        <w:noBreakHyphen/>
        <w:t>АК, работающие на ходу автомобиля, аэродромные станции для тяжелой авиации) мы не получаем полной потребности машин и вынуждены монтировать радиостанции в двуколках. Были случаи, когда в моторизованных частях связи исключали из штата лошадей и не дали машин (дивизион связи 4</w:t>
      </w:r>
      <w:r w:rsidRPr="00C33834">
        <w:rPr>
          <w:rFonts w:ascii="Times New Roman" w:hAnsi="Times New Roman"/>
          <w:color w:val="000000" w:themeColor="text1"/>
          <w:sz w:val="16"/>
          <w:szCs w:val="16"/>
        </w:rPr>
        <w:noBreakHyphen/>
        <w:t>го кав[алерийского] корпуса СКВО). Сейчас это исправлено.</w:t>
      </w:r>
    </w:p>
    <w:p w14:paraId="344AC1E9"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Потребность машин. Потребность на машины и тракторы следующая: а) по действующему варианту на военное время — 16 613; б) для войск и частей связи первой очереди — 8916, из них 1) под специальные установки (радиостанции) — 2353, 2) на учебу для батальонов связи корпусов и дивизий прикрытия — 542,3) на учебу мирного времени частей связи первой очереди — 1611.</w:t>
      </w:r>
    </w:p>
    <w:p w14:paraId="32FDE502"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Обеспеченность машинами. По моторизации войск связи мы ничего не имеем. Даже такие соединения, как части связи авиабригад, части связи конницы и армейские части связи совершенно не обеспечены авто-мотосредствами. При создавшихся условиях нормальную учебу проводить трудно, а во время войны мы не сможем (по темпам и времени) удовлетворить командование своевременной связью.</w:t>
      </w:r>
    </w:p>
    <w:p w14:paraId="51473DA4"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Оборонное строительство первой пятилетки (1929-1932 гг.)</w:t>
      </w:r>
    </w:p>
    <w:p w14:paraId="35149418"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Задачи по телефонно-телеграфному строительству. 1. На западном театре была поставлена задача создать мощную телефонно-телеграфную сеть, обеспечивающую развертывание и наступление армий (радикальные направления на переход и рокадные полуторапереходы). 2. На Дальнем и Ближнем Востоке усилить имеющиеся телефонно-телеграфные сети в радиальных и рокадных направлениях. 3. Бронзовыми цепями обеспечить полевое управление крупных войсковых соединений (до корпуса) надежной телефонной связью на период развертывания. 4. В начале 1932 г. оборудовать 72 узла и соответственное к ним количество контрольных пунктов в телефонно-телеграфных учреждениях Наркомсвязи. Предусматривалась установка коммутаторов, запасных батарей, испытательной аппаратуры и подготовка личного состава.</w:t>
      </w:r>
    </w:p>
    <w:p w14:paraId="71823C8D"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Задачи по радио. 1. По линии Наркомата связи построить и приспособить 23 радиостанции для использования их в военное время для нужд армии. 2. Совместно с Наркомсвязью проработать и выделить для НКВМ на военное время необходимый участок диапазона волн из имеющихся станций Наркомсвязи для военведа.</w:t>
      </w:r>
    </w:p>
    <w:p w14:paraId="2C59D347"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w:t>
      </w:r>
    </w:p>
    <w:p w14:paraId="0D0B0D8F"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Выполнение телефонно-телеграфного строительства. В течение первой пятилетки проведено (в особенности на западной границе) большое строительство: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53"/>
        <w:gridCol w:w="906"/>
        <w:gridCol w:w="906"/>
        <w:gridCol w:w="1195"/>
        <w:gridCol w:w="1262"/>
      </w:tblGrid>
      <w:tr w:rsidR="00F26F01" w:rsidRPr="00C33834" w14:paraId="5BEF0739"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13D45A"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683BF"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90464"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A272D"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Дальний</w:t>
            </w:r>
          </w:p>
          <w:p w14:paraId="7AEDC1AF"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Восток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C5CB3"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Ближний</w:t>
            </w:r>
          </w:p>
          <w:p w14:paraId="56ECF7E6"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Восток</w:t>
            </w:r>
          </w:p>
        </w:tc>
      </w:tr>
      <w:tr w:rsidR="00F26F01" w:rsidRPr="00C33834" w14:paraId="222F6BA8"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F4F949"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Построено новых телефонно-телеграфных линий,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C4EB9"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17 860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4C394"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12 353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003B2"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2 097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A9FC1"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2 597</w:t>
            </w:r>
          </w:p>
        </w:tc>
      </w:tr>
      <w:tr w:rsidR="00F26F01" w:rsidRPr="00C33834" w14:paraId="3BD02BAF"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41DCE2"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Подвешено проводов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37D34"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82 083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70915"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64 114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458A1"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2 816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8BE7A"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11 910</w:t>
            </w:r>
          </w:p>
        </w:tc>
      </w:tr>
    </w:tbl>
    <w:p w14:paraId="3C28AF7E"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§25....енка⁷* телефонно-телеграфного строительства. Поставленные задачи первой пятилетки Наркоматом связи полностью не выполнены. В связи с возросшими требованиями количество имеющихся и построенных линий все же недостаточно. В частности, только западный театр является наиболее подготовленным. Особенно плохо на Украине, там фактически к строительству приступлено только с 1931 г. До этого времени сеть находилась в чрезвычайно хаотическом состоянии. На Дальнем Востоке заново создана телефонно-телеграфная сеть в Маньчжурском и Приморском направлении.</w:t>
      </w:r>
    </w:p>
    <w:p w14:paraId="7FE14338"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Оборудование телефонно-телеграфных узлов. Из потребных нам 72 узлов в первой пятилетке Наркомат связи привел в полный порядок только 7 узлов. Каблировано по западному театру — 8, по Дальнему Востоку — 3 и по Ближнему Востоку — 1. Из остальных узлов частично удовлетворяют нашим потребностям 24 узла. В совершенно неудовлетворительном состоянии находится 41 узел. При испытании и поверке обходных направлений были случаи переключения проводов в течение 4</w:t>
      </w:r>
      <w:r w:rsidRPr="00C33834">
        <w:rPr>
          <w:rFonts w:ascii="Times New Roman" w:hAnsi="Times New Roman"/>
          <w:color w:val="000000" w:themeColor="text1"/>
          <w:sz w:val="16"/>
          <w:szCs w:val="16"/>
        </w:rPr>
        <w:noBreakHyphen/>
        <w:t>6 час. Причины: большинство узлов не имеют соответствующей мощности коммутаторов, батарей, а главное — подготовленного личного состава. На контрольных пунктах, входящих в район узла связи, такая же картина. Выводы: необорудованность узлов — одно из узких мест оборонного телефонно-телеграфного строительства, мы будем иметь хорошие линии, но не сможем по ним получать быструю обходную и даже прямую связь.</w:t>
      </w:r>
    </w:p>
    <w:p w14:paraId="7FDCC25C"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По радио. 1) Построено заново 23 радиостанции. Из них 17 на западном театре, 5 на Дальнем и 1 на Ближнем Востоке. В стройке находятся 54 радиостанции. 2) Для НКВМ выделен оперативный диапазон волн от 279 до 1200 м, которым мы должны пользоваться во время войны. Общий согласованный диапазон для радиосвязи всего народного хозяйства и широковещания еще не проработан⁸*.</w:t>
      </w:r>
    </w:p>
    <w:p w14:paraId="53194FE9"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Вторая пятилетка</w:t>
      </w:r>
    </w:p>
    <w:p w14:paraId="0D1B8DAA"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 Основные задачи по службе связи. Основными задачами по службе связи во второй пятилетке являются: 1) Дальнейшая реконструкция техники связи с целью приведения в полное соответствие технической обеспеченности армии с новыми формами управления в условиях применения мощной авиации для оперативных и боевых задач, мото-мехсоединений в самостоятельных операциях и на поле боя, а также обеспечение взаимодействия различных родов войск. 2) Поднятие материально-технической обеспеченности по вооружению связи до полного удовлетворения потребностей мобразвертывания и запасов баз. 3) Усовершенствование организации связи, повышение гибкости и мобильности службы связи путем правильного сочетания электрических средств с автосредствами и специальными самолетами связи. 4) Реорганизация армейских частей связи на основе современного технического вооружения (моторизация и механизация). 5) В области подготовки театра доведение сети проволочной и радио до состояния, позволяющего маневрировать стратегической связью в любых направлениях того или иного театра.</w:t>
      </w:r>
    </w:p>
    <w:p w14:paraId="75167B6F"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Освоение и техническая реконструкция вооружения связи во второй пятилетке</w:t>
      </w:r>
    </w:p>
    <w:p w14:paraId="7A8A58DE"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 По радио. Общая задача — разработка таких конструкций радиостанций, в которых совмещены дуплекс на одной волне, засекречивание связи, автоматический вызов, высокая стабильность волны, комбинированный длинноволновый и коротковолновый диапазон и работа на ходу.</w:t>
      </w:r>
    </w:p>
    <w:p w14:paraId="28802D1E"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По авиационным радиостанциям: а) сконструировать радиостанции, работающие на больших расстояниях — 2500 км, станции для связи внутри авиационных соединений, для связи с авиадесантами и для войсковой авиации с дуплексом на одной волне; б) разработать образцы, обеспечивающие самолетовождение, а именно: радиомаяки для курсовождения и слепой посадки, приемники для курсовождения, зрительные индикаторы, авиационные пеленгаторы, радиодистанционеры и переговорные установки; в) разработать специальные приборы для самолетов наблюдения, сопровождения и связи, позволяющих максимально автоматизировать наблюдение за полем боя и управление огнем; г) добиться решения вопроса радиотелевидения с самолета и разработать опытные образцы приборов.</w:t>
      </w:r>
    </w:p>
    <w:p w14:paraId="584FA419"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 вооружению танков: разработать дуплексные радиостанции и специальные конструкции радиоузлов для крупных мехсоединений (мехкорпуса и мехбригады) в танках Т</w:t>
      </w:r>
      <w:r w:rsidRPr="00C33834">
        <w:rPr>
          <w:rFonts w:ascii="Times New Roman" w:hAnsi="Times New Roman"/>
          <w:color w:val="000000" w:themeColor="text1"/>
          <w:sz w:val="16"/>
          <w:szCs w:val="16"/>
        </w:rPr>
        <w:noBreakHyphen/>
        <w:t>28 и бронированных транспортерах, а также обеспечить радиовооружением все новые типы боевых машин.</w:t>
      </w:r>
    </w:p>
    <w:p w14:paraId="025748E0"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По общевойсковой радиосвязи: отработать окончательно конструкцию радиоузлов для дивизии, корпуса, армии и сконструировать дуплексные станции на одной волне для полка и батальона.</w:t>
      </w:r>
    </w:p>
    <w:p w14:paraId="69935B2A"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Разработать радиостанции на УКВ для применения их в авиации, мехвойсках и других соединениях.</w:t>
      </w:r>
    </w:p>
    <w:p w14:paraId="551D5764"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 По проволоке. Провести разработку всех вопросов дальнего телефонирования и многократной связи по тональной и высокой частоте и разработать соответствующие конструкции аппаратов, для чего: а) окончательно отработать конструкцию облегченного буквопечатающего телеграфного аппарата для вооружения до штаба дивизии включительно; б) разработать подвижные телеграфно-телефонные узлы для командных пунктов; в) добиться решительного повышения качества элементов анодных батарей и разработать легкие бензино-электрические агрегаты; г) добиться повышения изоляционных качеств полевого телефонного кабеля; д) для повышения производительности работ усовершенствовать мото-механизированные средства связи; е) разработать конструкции дуплексного оптического телефона на видимых и невидимых лучах (инфракрасные лучи).</w:t>
      </w:r>
    </w:p>
    <w:p w14:paraId="61AE6ED8"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Повышение материально-технической обеспеченности</w:t>
      </w:r>
    </w:p>
    <w:p w14:paraId="7BDF344C"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 По радио. 1. Согласно общим ориентировочным расчетам Штаба РККА, в течение 1933</w:t>
      </w:r>
      <w:r w:rsidRPr="00C33834">
        <w:rPr>
          <w:rFonts w:ascii="Times New Roman" w:hAnsi="Times New Roman"/>
          <w:color w:val="000000" w:themeColor="text1"/>
          <w:sz w:val="16"/>
          <w:szCs w:val="16"/>
        </w:rPr>
        <w:noBreakHyphen/>
        <w:t>1937 гг. довести обеспеченность мобразвертывания РККА с запасом баз радиостанциями, пеленгаторами и приемниками в общем количестве 80 тыс. Недостающее радиоимущество в количестве 70 500 единиц заказать в течение 1934</w:t>
      </w:r>
      <w:r w:rsidRPr="00C33834">
        <w:rPr>
          <w:rFonts w:ascii="Times New Roman" w:hAnsi="Times New Roman"/>
          <w:color w:val="000000" w:themeColor="text1"/>
          <w:sz w:val="16"/>
          <w:szCs w:val="16"/>
        </w:rPr>
        <w:noBreakHyphen/>
        <w:t>1937 гг. Без запаса баз требуется дозаказать на 4 года второй пятилетки 52 тыс. радиостанций.</w:t>
      </w:r>
    </w:p>
    <w:p w14:paraId="3CE65407"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Расчет обеспечения следующий. Авиация: а) до самолета включительно вооружаются бомбардировщики, разведчики, многоместные истребители, самолеты связи и сопровождения; б) до командира звена вооружаются одноместные истребители и штурмовики; в) аэродромными станциями вооружаются авиасоединения и общевойсковые штабы для связи с авиацией. На всю авиацию требуется 10 260 радиостанций.</w:t>
      </w:r>
    </w:p>
    <w:p w14:paraId="6B32534D"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Мото-мехсоединения и части из расчета доведения танковых радиостанций до командира взвода в общем количестве 5880.</w:t>
      </w:r>
    </w:p>
    <w:p w14:paraId="04B2AB1C"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Штабы от дивизии и выше в количестве 644 радиостанции.</w:t>
      </w:r>
    </w:p>
    <w:p w14:paraId="555B07A5"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Стрелковые, кавалерийские и артиллерийские части до батальона и батареи включительно в количестве 38 628 радиостанций и 10 010 приемников.</w:t>
      </w:r>
    </w:p>
    <w:p w14:paraId="204120CE"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Для связи батальон-рота ультракоротковолновые радиостанции в количестве 9 тыс.</w:t>
      </w:r>
    </w:p>
    <w:p w14:paraId="7D944CD5"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Укрепленные районы в количестве 5 тыс. радиостанций.</w:t>
      </w:r>
    </w:p>
    <w:p w14:paraId="3D548AF4"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 По проволоке. В области проволочной связи: 1) довести скородействующие буквопечатные аппараты до дивизий и авиабригад; 2) телефоны дальнего действия и приборы многократного телеграфирования и телефонирования — до армии-корпус; 3) обеспечить оборудованными подвижными мастерскими части связи до дивизии включительно.</w:t>
      </w:r>
    </w:p>
    <w:p w14:paraId="6F638AFA"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 Стоимость вооружения. Расходы по вооружению связи на 1934</w:t>
      </w:r>
      <w:r w:rsidRPr="00C33834">
        <w:rPr>
          <w:rFonts w:ascii="Times New Roman" w:hAnsi="Times New Roman"/>
          <w:color w:val="000000" w:themeColor="text1"/>
          <w:sz w:val="16"/>
          <w:szCs w:val="16"/>
        </w:rPr>
        <w:noBreakHyphen/>
        <w:t>1937 гг. ориентировочно определяются в 563 млн. руб., из коих: а) на радиовооружение — 325 млн. руб.; б) на проволочные и оптические средства и спецобоз — 145 млн. 500 руб.; в) на оборудование мастерских — 30 млн. руб.: г) на средства связи укрепрайонов — 15 млн. руб.; д) на заказы по опытному строительству — 48 млн. руб. Если не учитывать запасы баз (18 тыс. радиостанций), стоимость второй пятилетки определяется в 463 млн. руб.</w:t>
      </w:r>
    </w:p>
    <w:p w14:paraId="58D79EF1"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Расширение базы и накопление мобзапасов</w:t>
      </w:r>
    </w:p>
    <w:p w14:paraId="62F962C8"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 Строительство заводов. В первую очередь (ближайшие два года 1933</w:t>
      </w:r>
      <w:r w:rsidRPr="00C33834">
        <w:rPr>
          <w:rFonts w:ascii="Times New Roman" w:hAnsi="Times New Roman"/>
          <w:color w:val="000000" w:themeColor="text1"/>
          <w:sz w:val="16"/>
          <w:szCs w:val="16"/>
        </w:rPr>
        <w:noBreakHyphen/>
        <w:t>1934) должны быть построены и пущены те заводы слаботочной промышленности, которые намечены к постройке решением КО от 11 января 1932 г.</w:t>
      </w:r>
    </w:p>
    <w:p w14:paraId="144F8DB1"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 Кроме того необходимо совместно с промышленностью точно учесть потребность армии и народного хозяйства по производству радиостанций для низовой связи, НКС, гражданской авиации, НКПС, Наркомлеса и Наркомзема. Эта потребность частично решает вопрос наших расчетов по мощности и производству на военное время.</w:t>
      </w:r>
    </w:p>
    <w:p w14:paraId="4AFB7C84"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 Накопление мобзапаса должно быть обусловлено жестким выполнением правительственного решения о широком внедрении военных радиостанций (уже освоенных промышленностью) в народное хозяйство. По проведении этого мероприятия двухмесячный запас баз (18 тыс. радиостанций) отпадает.</w:t>
      </w:r>
    </w:p>
    <w:p w14:paraId="2CE4BD27"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моторизации и механизации</w:t>
      </w:r>
    </w:p>
    <w:p w14:paraId="5E395BE8"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 В вопросах моторизации войск связи необходимо установить следующую очередность: в первую очередь провести моторизацию а) частей авиабригад, б) армейские строительные и эксплуатационные роты, в) все радиочасти и радиоподразделения, г) все штабные подразделения частей связи и корпусов, д) кабельно-шестовые подразделения дивизий и корпусов первой очереди; во вторую очередь — моторизация остальных войск и частей связи.</w:t>
      </w:r>
    </w:p>
    <w:p w14:paraId="5987ABD8"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 Для этого необходимо: 1) в течение 1934</w:t>
      </w:r>
      <w:r w:rsidRPr="00C33834">
        <w:rPr>
          <w:rFonts w:ascii="Times New Roman" w:hAnsi="Times New Roman"/>
          <w:color w:val="000000" w:themeColor="text1"/>
          <w:sz w:val="16"/>
          <w:szCs w:val="16"/>
        </w:rPr>
        <w:noBreakHyphen/>
        <w:t>1935 гг. отпустить 2553 машины, из коих 952 — под радиоустановки и 1611 — для учебы; 2) в течение 1936 г. вооружить части и войска связи первой очереди, для чего отпустить 6383 машины; 3) в 1937 г. остальные войска и части связи вооружить на 100%.</w:t>
      </w:r>
    </w:p>
    <w:p w14:paraId="44D87222"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оборонному строительству во второй пятилетке</w:t>
      </w:r>
    </w:p>
    <w:p w14:paraId="3E9F5513"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§50.</w:t>
      </w:r>
      <w:r w:rsidRPr="00C33834">
        <w:rPr>
          <w:rStyle w:val="af0"/>
          <w:bCs/>
          <w:i w:val="0"/>
          <w:color w:val="000000" w:themeColor="text1"/>
          <w:sz w:val="16"/>
          <w:szCs w:val="16"/>
        </w:rPr>
        <w:t xml:space="preserve"> По телефонно-телеграфному строительству</w:t>
      </w:r>
      <w:r w:rsidRPr="00C33834">
        <w:rPr>
          <w:color w:val="000000" w:themeColor="text1"/>
          <w:sz w:val="16"/>
          <w:szCs w:val="16"/>
        </w:rPr>
        <w:t>. По западному театру: 1) достроить необходимые телефонно-телеграфные линии (в первую очередь на Украине), полностью обеспечивающие связью маневренность армий и корпусов; 2) заново создать специальные сети для управления авиацией; 3) оборудовать постоянной телефонно-телеграфной связью вновь построенные шоссе и шоссированные дороги.</w:t>
      </w:r>
    </w:p>
    <w:p w14:paraId="018F81C3"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§51.</w:t>
      </w:r>
      <w:r w:rsidRPr="00C33834">
        <w:rPr>
          <w:rStyle w:val="af0"/>
          <w:bCs/>
          <w:i w:val="0"/>
          <w:color w:val="000000" w:themeColor="text1"/>
          <w:sz w:val="16"/>
          <w:szCs w:val="16"/>
        </w:rPr>
        <w:t xml:space="preserve"> По Дальнему Востоку</w:t>
      </w:r>
      <w:r w:rsidRPr="00C33834">
        <w:rPr>
          <w:color w:val="000000" w:themeColor="text1"/>
          <w:sz w:val="16"/>
          <w:szCs w:val="16"/>
        </w:rPr>
        <w:t>: 1) усилить телефонно-телеграфную сеть в Приморском направлении; 2) освоить телефонно-телеграфную сеть в Маньчжурском направлении; 3) обеспечить обходную проволочную связь в Приморском направлении от Иркутска до Хабаровска через Якутск; 4) создать специальную сеть для управления авиацией.</w:t>
      </w:r>
    </w:p>
    <w:p w14:paraId="7971D0BB"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§52.</w:t>
      </w:r>
      <w:r w:rsidRPr="00C33834">
        <w:rPr>
          <w:rStyle w:val="af0"/>
          <w:bCs/>
          <w:i w:val="0"/>
          <w:color w:val="000000" w:themeColor="text1"/>
          <w:sz w:val="16"/>
          <w:szCs w:val="16"/>
        </w:rPr>
        <w:t xml:space="preserve"> По Ближнему Востоку</w:t>
      </w:r>
      <w:r w:rsidRPr="00C33834">
        <w:rPr>
          <w:color w:val="000000" w:themeColor="text1"/>
          <w:sz w:val="16"/>
          <w:szCs w:val="16"/>
        </w:rPr>
        <w:t>: 1) достроить строительство телефонно-телеграфных линий в радикальных направлениях; 2) усилить рокадные линии; 3) создать специальные сети для авиации.</w:t>
      </w:r>
    </w:p>
    <w:p w14:paraId="1E618D4C"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§53. Новым строительством бронзовых цепей создать возможность телефонной связи между фронтом и армейскими и корпусными управлениями.</w:t>
      </w:r>
    </w:p>
    <w:p w14:paraId="1F766943"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§54. Кроме того, необходимым кольцеванием узлов связи организовать обходные связи на случай разрушения целых участков или отдельных узлов связи.</w:t>
      </w:r>
    </w:p>
    <w:p w14:paraId="1CB10237"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§55.</w:t>
      </w:r>
      <w:r w:rsidRPr="00C33834">
        <w:rPr>
          <w:rStyle w:val="af0"/>
          <w:bCs/>
          <w:i w:val="0"/>
          <w:color w:val="000000" w:themeColor="text1"/>
          <w:sz w:val="16"/>
          <w:szCs w:val="16"/>
        </w:rPr>
        <w:t xml:space="preserve"> Вывод</w:t>
      </w:r>
      <w:r w:rsidRPr="00C33834">
        <w:rPr>
          <w:color w:val="000000" w:themeColor="text1"/>
          <w:sz w:val="16"/>
          <w:szCs w:val="16"/>
        </w:rPr>
        <w:t>: все оборонное строительство телефонно-телеграфных линий должно обеспечивать связь по телефону и телеграфу (период развертывания) до стрелковых корпусов и отдельных дивизий узловых аэродромов с возможных центров управления.</w:t>
      </w:r>
    </w:p>
    <w:p w14:paraId="4DAEA769"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§56. Всего во второй пятилетке, по ориентировочным лимитам Госплана и НКС, требуется построить по оборонному строительству телефонно-телеграфных линий:</w:t>
      </w:r>
    </w:p>
    <w:p w14:paraId="40594029"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а) в километрах железного провода</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35"/>
        <w:gridCol w:w="1377"/>
        <w:gridCol w:w="1242"/>
        <w:gridCol w:w="1242"/>
        <w:gridCol w:w="1242"/>
        <w:gridCol w:w="1242"/>
        <w:gridCol w:w="1242"/>
      </w:tblGrid>
      <w:tr w:rsidR="00F26F01" w:rsidRPr="00C33834" w14:paraId="4B403A80"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FF36A4"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011EF"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CEE4C"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E7F74"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C2E35"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5490C"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02820"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1937 г.</w:t>
            </w:r>
          </w:p>
        </w:tc>
      </w:tr>
      <w:tr w:rsidR="00F26F01" w:rsidRPr="00C33834" w14:paraId="59DDC303"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112965"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построить линий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E1347"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69A48"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99000"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633A7"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87DFD"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6112D"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8 000</w:t>
            </w:r>
          </w:p>
        </w:tc>
      </w:tr>
      <w:tr w:rsidR="00F26F01" w:rsidRPr="00C33834" w14:paraId="2C0E3F7A"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8F37DD"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подвесить провода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ED0BC"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A7FA8"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0352F"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52E27"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88574"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49392"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90 000</w:t>
            </w:r>
          </w:p>
        </w:tc>
      </w:tr>
    </w:tbl>
    <w:p w14:paraId="39A5F37A" w14:textId="77777777" w:rsidR="00CC65A8" w:rsidRPr="00C33834" w:rsidRDefault="00CC65A8" w:rsidP="00C33834">
      <w:pPr>
        <w:pStyle w:val="ae"/>
        <w:spacing w:before="0" w:after="0"/>
        <w:jc w:val="both"/>
        <w:rPr>
          <w:color w:val="000000" w:themeColor="text1"/>
          <w:sz w:val="16"/>
          <w:szCs w:val="16"/>
        </w:rPr>
      </w:pPr>
      <w:r w:rsidRPr="00C33834">
        <w:rPr>
          <w:color w:val="000000" w:themeColor="text1"/>
          <w:sz w:val="16"/>
          <w:szCs w:val="16"/>
        </w:rPr>
        <w:t>б) по бронзе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96"/>
        <w:gridCol w:w="1326"/>
        <w:gridCol w:w="1400"/>
        <w:gridCol w:w="1400"/>
        <w:gridCol w:w="1400"/>
        <w:gridCol w:w="1400"/>
        <w:gridCol w:w="1400"/>
      </w:tblGrid>
      <w:tr w:rsidR="00F26F01" w:rsidRPr="00C33834" w14:paraId="6CF896B3"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7A6617"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B40DF"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46D8C"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24B7916"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12A0A"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6B4F3"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896A9"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1937 г.</w:t>
            </w:r>
          </w:p>
        </w:tc>
      </w:tr>
      <w:tr w:rsidR="00F26F01" w:rsidRPr="00C33834" w14:paraId="7F5A006C"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BA51E8"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новых цепей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4F4F1"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33 569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59C37"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4 159</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6BB94"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6EF2F"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2D6C8"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6A878"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9 000</w:t>
            </w:r>
          </w:p>
        </w:tc>
      </w:tr>
    </w:tbl>
    <w:p w14:paraId="3ACF209A"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§57.</w:t>
      </w:r>
      <w:r w:rsidRPr="00C33834">
        <w:rPr>
          <w:rStyle w:val="af0"/>
          <w:bCs/>
          <w:i w:val="0"/>
          <w:color w:val="000000" w:themeColor="text1"/>
          <w:sz w:val="16"/>
          <w:szCs w:val="16"/>
        </w:rPr>
        <w:t xml:space="preserve"> По узлам</w:t>
      </w:r>
      <w:r w:rsidRPr="00C33834">
        <w:rPr>
          <w:color w:val="000000" w:themeColor="text1"/>
          <w:sz w:val="16"/>
          <w:szCs w:val="16"/>
        </w:rPr>
        <w:t>. 1) В течение 1933</w:t>
      </w:r>
      <w:r w:rsidRPr="00C33834">
        <w:rPr>
          <w:color w:val="000000" w:themeColor="text1"/>
          <w:sz w:val="16"/>
          <w:szCs w:val="16"/>
        </w:rPr>
        <w:noBreakHyphen/>
        <w:t>1934 гг. полностью привести в порядок имеющиеся 72 узла и контрольные пункты на западном и юго-западном театрах. Для этого: а) предусмотреть установку и перегруппировку коммутаторов соответственно с мощностью узлов; б) обеспечить узлы и контрольные пункты запасными батареями, коммутаторами и подготовленным личным составом. 2) Каблировать 42 узла связи в основных стратегических пунктах, из них: в 1933 г. — 7, в 1934 г. — 7, в 1935 г. — 8, в 1936 г. — 10 и в 1937 г. — 10. 3) Заново оборудовать 101 узел, из них: в 1933 г. — 6, в 1934 г. — 15, в 1935 г. — 20, в 1936 г. — 26 и в 1937 г. — 35 узлов. 4) Построить 22 АТС, из них: в 1933 г. — 2, в 1934 г. — 5, в 1935 г. — 5, в 1936 г. — 5 и в 1937 г. — 5.</w:t>
      </w:r>
    </w:p>
    <w:p w14:paraId="3722870B"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§58.</w:t>
      </w:r>
      <w:r w:rsidRPr="00C33834">
        <w:rPr>
          <w:rStyle w:val="af0"/>
          <w:bCs/>
          <w:i w:val="0"/>
          <w:color w:val="000000" w:themeColor="text1"/>
          <w:sz w:val="16"/>
          <w:szCs w:val="16"/>
        </w:rPr>
        <w:t xml:space="preserve"> По радио</w:t>
      </w:r>
      <w:r w:rsidRPr="00C33834">
        <w:rPr>
          <w:color w:val="000000" w:themeColor="text1"/>
          <w:sz w:val="16"/>
          <w:szCs w:val="16"/>
        </w:rPr>
        <w:t>. 1. Продолжать строительство мощных широковещательных радиостанций на длинных и коротких волнах с задачей на военное время: вещание для наших войск, для войск противника, населения на территории противника и т. д. 2. Строительство маломощных радиостанций на вероятном театре для обслуживания связью тылов. 3. Организация радиотелефонных магистралей на коротких волнах для связи с Востоком. 4. Реконструкция имеющихся радиостанций НКС, НКПС и других ведомств с целью согласованности их диапазонов с диапазонами войсковых радиостанций. Организация выделенного приема. 5. Оборудование крупных радиостанций аппаратами для приема и передачи изображений.</w:t>
      </w:r>
    </w:p>
    <w:p w14:paraId="42A37555"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С учетом этих целей в течение 1933</w:t>
      </w:r>
      <w:r w:rsidRPr="00C33834">
        <w:rPr>
          <w:color w:val="000000" w:themeColor="text1"/>
          <w:sz w:val="16"/>
          <w:szCs w:val="16"/>
        </w:rPr>
        <w:noBreakHyphen/>
        <w:t>1937 гг. Наркомат связи строит:</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37"/>
        <w:gridCol w:w="920"/>
        <w:gridCol w:w="1073"/>
        <w:gridCol w:w="1073"/>
        <w:gridCol w:w="1073"/>
        <w:gridCol w:w="1073"/>
        <w:gridCol w:w="1073"/>
      </w:tblGrid>
      <w:tr w:rsidR="00F26F01" w:rsidRPr="00C33834" w14:paraId="324A0509"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D90A89"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75D648"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A3796"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34E82"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7A2F9"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40AD1"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FBE07"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1937 г.</w:t>
            </w:r>
          </w:p>
        </w:tc>
      </w:tr>
      <w:tr w:rsidR="00F26F01" w:rsidRPr="00C33834" w14:paraId="4970718B"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AFF2B9"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Радиостанции разных мощностей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F95D8"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47C3A"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961⁹*</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E811B"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BBFF3"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FB0A2"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80B26" w14:textId="77777777" w:rsidR="00CC65A8" w:rsidRPr="00C33834" w:rsidRDefault="00CC65A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w:t>
            </w:r>
          </w:p>
        </w:tc>
      </w:tr>
    </w:tbl>
    <w:p w14:paraId="79C0B8EF"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 59. Для полного обеспечения мобпотребности армейских и фронтовых телеграфных станций необходимо увеличить резервный фонд телеграфной аппаратуры на 18 аппаратов Бодо двукратных и 194 аппаратов Юза или другой более современной системы (Тремля, Шорина)¹⁰*.</w:t>
      </w:r>
    </w:p>
    <w:p w14:paraId="7183A80D" w14:textId="77777777" w:rsidR="00CC65A8" w:rsidRPr="00C33834" w:rsidRDefault="00CC65A8" w:rsidP="00C33834">
      <w:pPr>
        <w:pStyle w:val="ae"/>
        <w:spacing w:before="0" w:after="0"/>
        <w:jc w:val="both"/>
        <w:rPr>
          <w:color w:val="000000" w:themeColor="text1"/>
          <w:sz w:val="16"/>
          <w:szCs w:val="16"/>
        </w:rPr>
      </w:pPr>
      <w:r w:rsidRPr="00C33834">
        <w:rPr>
          <w:rStyle w:val="af0"/>
          <w:i w:val="0"/>
          <w:color w:val="000000" w:themeColor="text1"/>
          <w:sz w:val="16"/>
          <w:szCs w:val="16"/>
        </w:rPr>
        <w:t>Начальник связи Рабоче-крестьянской Красной армии Н. Синявский</w:t>
      </w:r>
    </w:p>
    <w:p w14:paraId="62D2E50B" w14:textId="77777777" w:rsidR="00CC65A8" w:rsidRPr="00C33834" w:rsidRDefault="00CC65A8"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Примечания</w:t>
      </w:r>
      <w:r w:rsidRPr="00C33834">
        <w:rPr>
          <w:color w:val="000000" w:themeColor="text1"/>
          <w:sz w:val="16"/>
          <w:szCs w:val="16"/>
        </w:rPr>
        <w:t>:</w:t>
      </w:r>
    </w:p>
    <w:p w14:paraId="4FA9CD9B"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¹* </w:t>
      </w:r>
      <w:r w:rsidRPr="00C33834">
        <w:rPr>
          <w:rStyle w:val="af0"/>
          <w:bCs/>
          <w:i w:val="0"/>
          <w:color w:val="000000" w:themeColor="text1"/>
          <w:sz w:val="16"/>
          <w:szCs w:val="16"/>
        </w:rPr>
        <w:t>Управление связи Красной армии (УСКА)</w:t>
      </w:r>
      <w:r w:rsidRPr="00C33834">
        <w:rPr>
          <w:color w:val="000000" w:themeColor="text1"/>
          <w:sz w:val="16"/>
          <w:szCs w:val="16"/>
        </w:rPr>
        <w:t xml:space="preserve"> образовано приказом РВСР № 1736/362 от 20 октября 1919 г. в составе Полевого штаба РВСР на базе почтово-телеграфного отдела Цупвосо. Приказом РВС СССР № 446/96 от 28 марта 1924 г. УСКА было слито с Главным военно-инженерным управлением в Военно-техническое управление РККА с подчинением начальнику снабжений РККА. Приказом РВС СССР № 033 от 17 мая 1931 г. ВТУ было вновь разделено на два управления, подчиненные начальству вооружений РККА — Управление связи РККА и Военно-инженерное управление. По положению о Наркомате обороны СССР от 22 ноября 1934 г. на Управление связи РККА, как на центральный орган НКО, возлагалось обеспечение армии всеми средствами связи и руководство службой связи. Приказом НКО № 0114 от 26 июля 1937 г. объединено с Техническим управлением РККА в Управление связи Красной армии.</w:t>
      </w:r>
    </w:p>
    <w:p w14:paraId="4041A1C1"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²* Перечень не публикуется (см. там же, л. 14</w:t>
      </w:r>
      <w:r w:rsidRPr="00C33834">
        <w:rPr>
          <w:color w:val="000000" w:themeColor="text1"/>
          <w:sz w:val="16"/>
          <w:szCs w:val="16"/>
        </w:rPr>
        <w:noBreakHyphen/>
        <w:t>15).</w:t>
      </w:r>
    </w:p>
    <w:p w14:paraId="30E738EA"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³* Образцы радиостанций разрабатывались заново в связи с решением РВС о переходе на коротковолновую радиосеть. В настоящее время радиостанции на длинных волнах оставлены только для высших штабов (от дивизии и выше). Невыполненные образцы — см. перечень № 2. (</w:t>
      </w:r>
      <w:r w:rsidRPr="00C33834">
        <w:rPr>
          <w:rStyle w:val="af0"/>
          <w:i w:val="0"/>
          <w:color w:val="000000" w:themeColor="text1"/>
          <w:sz w:val="16"/>
          <w:szCs w:val="16"/>
        </w:rPr>
        <w:t>Прим. док</w:t>
      </w:r>
      <w:r w:rsidRPr="00C33834">
        <w:rPr>
          <w:color w:val="000000" w:themeColor="text1"/>
          <w:sz w:val="16"/>
          <w:szCs w:val="16"/>
        </w:rPr>
        <w:t>.). Перечень не публикуется (см. там же, л. 15</w:t>
      </w:r>
      <w:r w:rsidRPr="00C33834">
        <w:rPr>
          <w:color w:val="000000" w:themeColor="text1"/>
          <w:sz w:val="16"/>
          <w:szCs w:val="16"/>
        </w:rPr>
        <w:noBreakHyphen/>
        <w:t>15 об.).</w:t>
      </w:r>
    </w:p>
    <w:p w14:paraId="317F2DA5"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⁴* </w:t>
      </w:r>
      <w:r w:rsidRPr="00C33834">
        <w:rPr>
          <w:rStyle w:val="af0"/>
          <w:bCs/>
          <w:i w:val="0"/>
          <w:color w:val="000000" w:themeColor="text1"/>
          <w:sz w:val="16"/>
          <w:szCs w:val="16"/>
        </w:rPr>
        <w:t>Штаб РККА</w:t>
      </w:r>
      <w:r w:rsidRPr="00C33834">
        <w:rPr>
          <w:color w:val="000000" w:themeColor="text1"/>
          <w:sz w:val="16"/>
          <w:szCs w:val="16"/>
        </w:rPr>
        <w:t>, образованный приказом Реввоенсовета Республики № 336/41 от 10 февраля 1921 г., являлся основным органом стратегического руководства в системе военного управления, ведал вопросами обороны государства, организацией вооруженных сил. На него возлагались: разработка планов войны и оперативно-стратегического использования вооруженных сил, путей сообщения, подготовка театров военных действий, материальное обеспечение армии, руководство усовершенствованием вооружения и военной техники, военно-топографической службой. По положению о центральном аппарате Наркомвоенмора, объявленному приказом РВС СССР от 21 октября 1929 г., начальник Штаба РККА подчинялся непосредственно наркому по военным и морским делам. В состав штаба входили управления: оперативное, организационно-мобилизационное, военных сообщений, разведывательное, боевой подготовки. По постановлению РВС СССР от 13 января 1930 г. в Штаб РККА и Главного управления РККА перешли вопросы войсковой мобилизации, мобилизационного предназначения среднего, старшего и высшего начсостава, территориальное строительство, допризывная и вневойсковая подготовка, а также вопросы противовоздушной обороны, а по приказу РВС СССР от 2 января 1931 г. — Военно-топографическое управление. Из состава штаба были выделены и развернуты в самостоятельные управления: по постановлению РВС СССР от 13 января 1931 г. — Управление боевой подготовки сухопутных сил РККА, по приказу РВС СССР от 10 мая 1932 г. — Управление противовоздушной обороны РККА. По положению о Наркомате обороны СССР от 22 ноября 1934 г. Штаб РККА являлся центральным органом НКО по подготовке и использованию Вооруженных сил СССР для обороны страны. Постановлением СНК СССР от 22 сентября 1935 г. Штаб РККА был преобразован в Генеральный штаб РККА.</w:t>
      </w:r>
    </w:p>
    <w:p w14:paraId="7706D51A"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⁵* Так в тексте.</w:t>
      </w:r>
    </w:p>
    <w:p w14:paraId="5C2A2F32"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⁶* ГА РФ. Ф. Р</w:t>
      </w:r>
      <w:r w:rsidRPr="00C33834">
        <w:rPr>
          <w:color w:val="000000" w:themeColor="text1"/>
          <w:sz w:val="16"/>
          <w:szCs w:val="16"/>
        </w:rPr>
        <w:noBreakHyphen/>
        <w:t>8418. Оп. 28. Д. 1а. Л. 98</w:t>
      </w:r>
      <w:r w:rsidRPr="00C33834">
        <w:rPr>
          <w:color w:val="000000" w:themeColor="text1"/>
          <w:sz w:val="16"/>
          <w:szCs w:val="16"/>
        </w:rPr>
        <w:noBreakHyphen/>
        <w:t>107.</w:t>
      </w:r>
    </w:p>
    <w:p w14:paraId="5961689B"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⁷* Текст поврежден.</w:t>
      </w:r>
    </w:p>
    <w:p w14:paraId="08F6DB2D"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⁸* Далее опущены § 28</w:t>
      </w:r>
      <w:r w:rsidRPr="00C33834">
        <w:rPr>
          <w:color w:val="000000" w:themeColor="text1"/>
          <w:sz w:val="16"/>
          <w:szCs w:val="16"/>
        </w:rPr>
        <w:noBreakHyphen/>
        <w:t>38 о состоянии войск связи и службы связи в первой пятилетке.</w:t>
      </w:r>
    </w:p>
    <w:p w14:paraId="01431129"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⁹* Работы 1933 г. — переходящие с прошлых лет. Из 96 радиостанций 54 находятся в стройке (</w:t>
      </w:r>
      <w:r w:rsidRPr="00C33834">
        <w:rPr>
          <w:rStyle w:val="af0"/>
          <w:i w:val="0"/>
          <w:color w:val="000000" w:themeColor="text1"/>
          <w:sz w:val="16"/>
          <w:szCs w:val="16"/>
        </w:rPr>
        <w:t>Прим. док.</w:t>
      </w:r>
      <w:r w:rsidRPr="00C33834">
        <w:rPr>
          <w:color w:val="000000" w:themeColor="text1"/>
          <w:sz w:val="16"/>
          <w:szCs w:val="16"/>
        </w:rPr>
        <w:t>).</w:t>
      </w:r>
    </w:p>
    <w:p w14:paraId="04F61423" w14:textId="77777777" w:rsidR="00CC65A8" w:rsidRPr="00C33834" w:rsidRDefault="00CC65A8" w:rsidP="00C33834">
      <w:pPr>
        <w:pStyle w:val="rtejustify"/>
        <w:spacing w:before="0" w:after="0"/>
        <w:rPr>
          <w:color w:val="000000" w:themeColor="text1"/>
          <w:sz w:val="16"/>
          <w:szCs w:val="16"/>
        </w:rPr>
      </w:pPr>
      <w:r w:rsidRPr="00C33834">
        <w:rPr>
          <w:color w:val="000000" w:themeColor="text1"/>
          <w:sz w:val="16"/>
          <w:szCs w:val="16"/>
        </w:rPr>
        <w:t>¹⁰* Далее опущены § 60</w:t>
      </w:r>
      <w:r w:rsidRPr="00C33834">
        <w:rPr>
          <w:color w:val="000000" w:themeColor="text1"/>
          <w:sz w:val="16"/>
          <w:szCs w:val="16"/>
        </w:rPr>
        <w:noBreakHyphen/>
        <w:t>63 по мероприятиям армейской связи, по ПВО, по кадрам.</w:t>
      </w:r>
    </w:p>
    <w:p w14:paraId="6F6F25B4" w14:textId="77777777" w:rsidR="00CC65A8" w:rsidRPr="00C33834" w:rsidRDefault="00CC65A8" w:rsidP="00C33834">
      <w:pPr>
        <w:pStyle w:val="ae"/>
        <w:spacing w:before="0" w:after="0"/>
        <w:jc w:val="both"/>
        <w:rPr>
          <w:color w:val="000000" w:themeColor="text1"/>
          <w:sz w:val="16"/>
          <w:szCs w:val="16"/>
        </w:rPr>
      </w:pPr>
      <w:r w:rsidRPr="00C33834">
        <w:rPr>
          <w:color w:val="000000" w:themeColor="text1"/>
          <w:sz w:val="16"/>
          <w:szCs w:val="16"/>
        </w:rPr>
        <w:t>РГВА. Ф. 4. Оп. 14. Д. 954. Л. 1-13 об. Подлинник (15259).</w:t>
      </w:r>
    </w:p>
    <w:p w14:paraId="16066F6D" w14:textId="77777777" w:rsidR="00CC65A8" w:rsidRPr="00C33834" w:rsidRDefault="00CC65A8" w:rsidP="00C33834">
      <w:pPr>
        <w:spacing w:after="0" w:line="240" w:lineRule="auto"/>
        <w:jc w:val="both"/>
        <w:rPr>
          <w:rFonts w:ascii="Times New Roman" w:hAnsi="Times New Roman"/>
          <w:iCs/>
          <w:color w:val="000000" w:themeColor="text1"/>
          <w:sz w:val="16"/>
          <w:szCs w:val="16"/>
        </w:rPr>
      </w:pPr>
    </w:p>
    <w:p w14:paraId="0FED5495" w14:textId="77777777" w:rsidR="00746843"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1ED2A382"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11D781BB"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апреля 1933 был издан приказ по Управлению лагеря за № 70 по итогам проверки 1 лагпункта 7 отделения Дмитлага:</w:t>
      </w:r>
    </w:p>
    <w:p w14:paraId="13988BB3"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«Обследованием лагпункта установлено, что жилищно-бытовые условия заключенных по-прежнему остаются неудовлетворительными и этому вопросу не уделялось должного внимания ни со стороны Начальника Лагпункта тов. БУГАШЕР, ни со стороны остальной лагадминистрации.</w:t>
      </w:r>
    </w:p>
    <w:p w14:paraId="5E33FE4F"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бараках грязь, большая скученность; бараки не дооборудованы - вместо нар положены доски разной величины без всякой пригонки. Полы моются очень редко, нары грязные.</w:t>
      </w:r>
    </w:p>
    <w:p w14:paraId="0BB003F4"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Ударным бригадам не созданы более лучшие жил-бытовые условия и размещены в таких же грязных и недооборудованных бараках.</w:t>
      </w:r>
    </w:p>
    <w:p w14:paraId="7A9466A7"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Приготовление пищи скверное - на кухне наблюдается сплошное воровство продуктов, покрываемое тем, что при достаточной емкости кухни, пища изготовляется в два приема, при чем мясо варится отдельно, в котлах, впоследствии происходит смешивание супа, мясо выдается не порциями, а крешенкой; кроме того, в одном из котлов обнаружено приготовление особого блюда (холодца), очевидно, исключительно для лагадминистрации и поваров из продуктов, отпущенных на котловое довольствие з/к з/к....</w:t>
      </w:r>
    </w:p>
    <w:p w14:paraId="2A330BA8"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дворе Лагпункта грязь, мусор и человеческие испражнения. Слабосильные лагерники, освобожденные от тяжелых работ, не используются для очистки территории лагпункта от мусора и грязи.</w:t>
      </w:r>
    </w:p>
    <w:p w14:paraId="0352F098"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Такое положение не может быть терпимо в дальнейшем.</w:t>
      </w:r>
    </w:p>
    <w:p w14:paraId="1FE4B26A"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ПРИКАЗЫВАЮ:</w:t>
      </w:r>
    </w:p>
    <w:p w14:paraId="239D5305"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Начальника 1-го Лагпункта тов. БУГАШЕР с работы снять и предать Суду Коллегии ОГПУ.</w:t>
      </w:r>
    </w:p>
    <w:p w14:paraId="6586AE5F"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Завхоза з/к ИВАНОВА за халатность и попустительство арестовать на 15 суток с исполнением обязанностей.</w:t>
      </w:r>
    </w:p>
    <w:p w14:paraId="7ADC5E41"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Заведывающего кухней и всю обслугу кухни снять и направить на общие работы, заменив их заключенными женщинами.</w:t>
      </w:r>
    </w:p>
    <w:p w14:paraId="7318EB75"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По делу о хищении продуктов питания на кухне и в каптерке произвести расследование и, в случае установления фактов злоупотреблений со стороны кого бы то ни было, виновных арестовать и предать Суду Коллегии ОГПУ...</w:t>
      </w:r>
    </w:p>
    <w:p w14:paraId="1E0DCD7C"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Начальнику Отдела снабжения усилить надзор и проверку за кухнями, беспощадно привлекая к ответственности за малейшие упущения и хищения.</w:t>
      </w:r>
    </w:p>
    <w:p w14:paraId="1290C9C5"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Суповое мясо выдавать рабочим обязательно порциями. Указать Отделениям и Л/П, какой % может быть отхода, на увар и кости, для определения веса порций. Вес порции лицам, проверяющим кухню, взвешивать и, при обнаружении недовеса, привлекать к ответственности Зав. Хоз., Зав. кухней, ст. повара и дежурного по кухне.</w:t>
      </w:r>
    </w:p>
    <w:p w14:paraId="57993520"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ПОМ. НАЧАЛЬНИКА УПРАВЛЕНИЯ</w:t>
      </w:r>
    </w:p>
    <w:p w14:paraId="2B97ED0F"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ДМИТЛАГа ОГПУ (К. И. Вейс)» (7560).</w:t>
      </w:r>
    </w:p>
    <w:p w14:paraId="7E6E2985"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633BC1AF" w14:textId="77777777" w:rsidR="00746843"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68245D9" w14:textId="77777777" w:rsidR="00746843" w:rsidRPr="00C33834" w:rsidRDefault="00746843" w:rsidP="00C33834">
      <w:pPr>
        <w:spacing w:after="0" w:line="240" w:lineRule="auto"/>
        <w:jc w:val="both"/>
        <w:rPr>
          <w:rFonts w:ascii="Times New Roman" w:hAnsi="Times New Roman"/>
          <w:iCs/>
          <w:color w:val="000000" w:themeColor="text1"/>
          <w:sz w:val="16"/>
          <w:szCs w:val="16"/>
        </w:rPr>
      </w:pPr>
    </w:p>
    <w:p w14:paraId="4EBE3F31" w14:textId="77777777" w:rsidR="00040C94" w:rsidRPr="00C33834" w:rsidRDefault="00040C94"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1 апреля 1933 года во Франции выходит указ о создании независимых ВВС — l’Armee de l'Air. Правда, процесс их организации завершается только 2 июля 1934 года. В том же году образуется Главное управление по аэронавтике (авиации), в которое переданы СТАе и СФА. ВВС разделены на две части: основную (резерв главкома ВВС) и авиацию взаимодействия с наземными силами, части которой распределены по округам и армиям, и подчиняются их командованию. При этом обслуживание и содержание этих частей остается прерогативой ВВС (19791).</w:t>
      </w:r>
    </w:p>
    <w:p w14:paraId="738B1ED4" w14:textId="77777777" w:rsidR="00040C94" w:rsidRPr="00C33834" w:rsidRDefault="00040C94" w:rsidP="00C33834">
      <w:pPr>
        <w:pStyle w:val="ae"/>
        <w:shd w:val="clear" w:color="auto" w:fill="FFFFFF"/>
        <w:spacing w:before="0" w:after="0"/>
        <w:jc w:val="both"/>
        <w:textAlignment w:val="baseline"/>
        <w:rPr>
          <w:color w:val="000000" w:themeColor="text1"/>
          <w:sz w:val="16"/>
          <w:szCs w:val="16"/>
        </w:rPr>
      </w:pPr>
    </w:p>
    <w:p w14:paraId="6EA1CFD9" w14:textId="77777777" w:rsidR="002C7BF8" w:rsidRPr="00C33834" w:rsidRDefault="002C7BF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апреля 1933 сформированы ВВС Индии (20802).</w:t>
      </w:r>
    </w:p>
    <w:p w14:paraId="50AF9B1D" w14:textId="77777777" w:rsidR="002C7BF8" w:rsidRPr="00C33834" w:rsidRDefault="002C7BF8" w:rsidP="00C33834">
      <w:pPr>
        <w:spacing w:after="0" w:line="240" w:lineRule="auto"/>
        <w:jc w:val="both"/>
        <w:rPr>
          <w:rFonts w:ascii="Times New Roman" w:hAnsi="Times New Roman"/>
          <w:color w:val="0070C0"/>
          <w:sz w:val="16"/>
          <w:szCs w:val="16"/>
        </w:rPr>
      </w:pPr>
    </w:p>
    <w:p w14:paraId="3B2A97AA" w14:textId="77777777" w:rsidR="00746843" w:rsidRPr="00C33834" w:rsidRDefault="00746843"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апреля 1933 Вошел в строй "карманный линкор" Дойчданд (Германия). Первый из трех однотипных. Корабль произвел революцию в судостроении (Дизеля, частично сварной корпус, часть корпусных деталей из аллюминиевого сплава) и фактически спровоцировал новый виток гонки вооружений (для борьбы с ним французы построили Дюнкерк и Страсбург, немцы в ответ Шарнхорст и Гнейзенау, италянцы начали модернизацию старых линкоров и все покатилось...) (4963).</w:t>
      </w:r>
    </w:p>
    <w:p w14:paraId="6C0916EB" w14:textId="77777777" w:rsidR="00746843" w:rsidRPr="00C33834" w:rsidRDefault="00746843" w:rsidP="00C33834">
      <w:pPr>
        <w:tabs>
          <w:tab w:val="left" w:pos="11199"/>
        </w:tabs>
        <w:spacing w:after="0" w:line="240" w:lineRule="auto"/>
        <w:jc w:val="both"/>
        <w:rPr>
          <w:rFonts w:ascii="Times New Roman" w:hAnsi="Times New Roman"/>
          <w:color w:val="000000" w:themeColor="text1"/>
          <w:sz w:val="16"/>
          <w:szCs w:val="16"/>
        </w:rPr>
      </w:pPr>
    </w:p>
    <w:p w14:paraId="33C11E1F" w14:textId="77777777" w:rsidR="00746843" w:rsidRPr="00C33834" w:rsidRDefault="007468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 апреля 1933 г. во всех германских посольствах в крупных государствах были учреждены должности военных атташе. Военным атташе Германии в Москве был назначен полковник О. Хартман, которого 3 апреля 1933 г. посол Дирксен представил первому заместителю наркома иностранных дел СССР Крестинскому. Крестинский заявил военному атташе: «Тесное сотрудничество между рейхсвером и Красной Армией продолжается уже более 10 лет. Я был у колыбели этого сотрудничества, продолжаю все время ему содействовать и хорошо знаком со всеми этапами развития этого сотрудничества, со всеми моментами улучшения и ухудшения отношений, и я должен сказать &lt;...&gt;, что никогда эти отношения не осуществлялись в столь тяжелой общеполитической атмосфере, чем сегодня». Крестинский говорил о многочисленных случаях насилия над гражданами СССР, «чинимых в Германии национал-социалистическими штурмовиками, а во многих случаях и органами полиции». Он напомнил об инцидентах с обысками гамбургского и ляйпцигского отделений советского торгпредства, о повальных обысках приходивших в Гамбург советских судах, о «настоящем походе» против общества «Дероп» по продаже советских нефтяных продуктов, правление и отделения которого в Берлине, Кельне, Дрездене, Штуттгарте, Мюнхене и других городах Германии подвергались многочисленным налетам и обыскам, в ходе которых производились аресты сотрудников, в том числе советских граждан, «которые подвергались грубейшим насилиям и издевательствам, и в конце концов освобождались ввиду полной неосновательности их ареста». Налетам и разграблениям подвергались и пункты розничной продажи бензина, принадлежавшие «Деропу», причем в некоторых случаях бензин «забирался бесплатно приезжавшими на автомобилях штурмовиками, в других случаях бензин просто выпускался, были случаи порчи и разрушения бензоколонок Деропа». В этой связи Крестинский напомнил Хартману, что «отношения между двумя государствами не укладываются в ведомственные рамки. Не может быть такого положения, при котором между военным министерством Германии и Народным комиссариатом по военным делам в СССР существуют отношения дружбы и сотрудничества, а другие правительственные органы Германии проводят по отношению к СССР враждебную политику, выражающуюся в насилиях над нашими гражданами, в налетах на наши органы и других эксцессах». Далее в довольно ультимативной форме Крестинский заявил: «Если Германия действительно хочет сохранить с СССР те отношения, о которых говорил рейхсканцлер и которые издавна существуют между военными ведомствами обеих стран, необходимо, чтобы правительство железной рукой немедленно положило конец всем этим эксцессам. У правительства есть для этого достаточно силы, надо лишь, чтобы было и достаточно желания. Если же правительство не вмешается и безобразия по отношению к СССР будут продолжаться, то я думаю, г. Гартман (Хартман.) понимает, что и его работа здесь будет сильно затруднена». Крестинский потребовал от Хартмана «немедленно через своего министра (В. фон Бломберг.) указать правительству на трудности создавшегося положения и создать в Германии благоприятный тыл для своей московской работы» (АВП РФ, ф. 082, оп. 16, п. 71, д. 1, л. 261-267.). При этом Крестинский намеренно обращался не к послу Дирксену, а к военному атташе с тем, чтобы его «заявление и предостережения были обязательно переданы в Берлин и по военной линии» (В ответ Хартман заявил, что «военное ведомство Германии, как один человек, стоит за сохранение дружеских отношений с СССР и что военный министр Бломберг в этом духе выступает на заседаниях правительства».). Другими словами, терпение в Москве было уже на пределе. И оно лопнуло. Спустя несколько дней, 8 апреля 1933 г. в Москву прибыл первый французский военный атташе полковник Мендрас, дружески принятый Ворошиловым, Егоровым и Литвиновым (В мае 1933 г. во Францию прибыл первый советский военный атташе комдив С. И. Венцов. Он довольно быстро наладил хорошие отношения с представителями французских военных кругов. В августе-сентябре 1933 г. СССР посетил видный французский государственный деятель Э. Эррио. Ему был показан ряд военных, в т. ч. авиационных, объектов. В сентябре 1933 г. в СССР нанес визит военный министр Франции П. Кот. Он посетил Киев, Харьков, Москву, авиационный завод в Филях и завод по производству авиамоторов. В начале 1934 г. произошел обмен военно-воздушными атташе. При этом «французов не оставляло ощущение, что инициатива к сближению исходила от советской стороны». (Подробнее см.: Орлов Б. М. Указ, соч.).) (11784).</w:t>
      </w:r>
    </w:p>
    <w:p w14:paraId="12AD62B5" w14:textId="77777777" w:rsidR="00746843" w:rsidRPr="00C33834" w:rsidRDefault="00746843" w:rsidP="00C33834">
      <w:pPr>
        <w:spacing w:after="0" w:line="240" w:lineRule="auto"/>
        <w:jc w:val="both"/>
        <w:rPr>
          <w:rFonts w:ascii="Times New Roman" w:hAnsi="Times New Roman"/>
          <w:color w:val="000000" w:themeColor="text1"/>
          <w:sz w:val="16"/>
          <w:szCs w:val="16"/>
        </w:rPr>
      </w:pPr>
    </w:p>
    <w:p w14:paraId="20B06C42" w14:textId="77777777" w:rsidR="00040C94" w:rsidRPr="00C33834" w:rsidRDefault="00040C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 апреля 1933 г. во всех германских посольствах в крупных государствах были учреждены должности военных атташе. Военным атташе Германии в Москве был назначен полковник О. Хартман, которого 3 апреля 1933 г. посол Дирксен представил первому заместителю наркома иностранных дел СССР Крестинскому.</w:t>
      </w:r>
    </w:p>
    <w:p w14:paraId="2B35E3CA" w14:textId="77777777" w:rsidR="00040C94" w:rsidRPr="00C33834" w:rsidRDefault="00040C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Крестинский заявил военному атташе:</w:t>
      </w:r>
    </w:p>
    <w:p w14:paraId="4D707E9E" w14:textId="77777777" w:rsidR="00040C94" w:rsidRPr="00C33834" w:rsidRDefault="00040C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«Тесное сотрудничество между рейхсвером и Красной Армией продолжается уже более 10 лет. Я был у колыбели этого сотрудничества, продолжаю все время ему содействовать и хорошо знаком со всеми этапами развития этого сотрудничества, со всеми моментами улучшения и ухудшения отношений, и я должен сказать &lt;…&gt;, что никогда эти отношения не осуществлялись в столь тяжелой общеполитической атмосфере, чем сегодня».</w:t>
      </w:r>
    </w:p>
    <w:p w14:paraId="6FB6631D" w14:textId="77777777" w:rsidR="00040C94" w:rsidRPr="00C33834" w:rsidRDefault="00040C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Крестинский говорил о многочисленных случаях насилия над гражданами СССР, «чинимых в Германии национал-социалистическими штурмовиками, а во многих случаях и органами полиции». Он напомнил об инцидентах с обысками гамбургского и ляйпцигского отделений советского торгпредства, о повальных обысках приходивших в Гамбург советских судах, о «настоящем походе» против общества «Дероп» по продаже советских нефтяных продуктов, правление и отделения которого в Берлине, Кельне, Дрездене, Штуттгарте, Мюнхене и других городах Германии подвергались многочисленным налетам и обыскам, в ходе которых производились аресты сотрудников, в том числе советских граждан, «которые подвергались грубейшим насилиям и издевательствам, и в конце концов освобождались ввиду полной неосновательности их ареста». Налетам и разграблениям подвергались и пункты розничной продажи бензина, принадлежавшие «Деропу», причем в некоторых случаях бензин «забирался бесплатно приезжавшими на автомобилях штурмовиками, в других случаях бензин просто выпускался, были случаи порчи и разрушения бензоколонок Деропа». В этой связи Крестинский напомнил Хартману, что «отношения между двумя государствами не укладываются в ведомственные рамки. Не может быть такого положения, при котором между военным министерством Германии и Народным комиссариатом по военным делам в СССР существуют </w:t>
      </w:r>
      <w:r w:rsidRPr="00C33834">
        <w:rPr>
          <w:rFonts w:ascii="Times New Roman" w:hAnsi="Times New Roman"/>
          <w:color w:val="000000" w:themeColor="text1"/>
          <w:sz w:val="16"/>
          <w:szCs w:val="16"/>
        </w:rPr>
        <w:lastRenderedPageBreak/>
        <w:t>отношения дружбы и сотрудничества, а другие правительственные органы Германии проводят по отношению к СССР враждебную политику, выражающуюся в насилиях над нашими гражданами, в налетах на наши органы и других эксцессах».</w:t>
      </w:r>
    </w:p>
    <w:p w14:paraId="43054912" w14:textId="77777777" w:rsidR="00040C94" w:rsidRPr="00C33834" w:rsidRDefault="00040C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Далее в довольно ультимативной форме Крестинский заявил:</w:t>
      </w:r>
    </w:p>
    <w:p w14:paraId="3CD102FE" w14:textId="77777777" w:rsidR="00040C94" w:rsidRPr="00C33834" w:rsidRDefault="00040C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«Если Германия действительно хочет сохранить с СССР те отношения, о которых говорил рейхсканцлер и которые издавна существуют между военными ведомствами обеих стран, необходимо, чтобы правительство железной рукой немедленно положило конец всем этим эксцессам. У правительства есть для этого достаточно силы, надо лишь, чтобы было и достаточно желания. Если же правительство не вмешается и безобразия по отношению к СССР будут продолжаться, то я думаю, г. Гартман понимает, что и его работа здесь будет сильно затруднена».</w:t>
      </w:r>
    </w:p>
    <w:p w14:paraId="396CA0BE" w14:textId="77777777" w:rsidR="00040C94" w:rsidRPr="00C33834" w:rsidRDefault="00040C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Крестинский потребовал от Хартмана «немедленно через своего министра указать правительству на трудности создавшегося положения и создать в Германии благоприятный тыл для своей московской работы». При этом Крестинский намеренно обращался не к послу Дирксену, а к военному атташе с тем, чтобы его «заявление и предостережения были обязательно переданы в Берлин и по военной линии» (18265).</w:t>
      </w:r>
    </w:p>
    <w:p w14:paraId="175F6408" w14:textId="77777777" w:rsidR="00040C94" w:rsidRPr="00C33834" w:rsidRDefault="00040C94" w:rsidP="00C33834">
      <w:pPr>
        <w:spacing w:after="0" w:line="240" w:lineRule="auto"/>
        <w:jc w:val="both"/>
        <w:rPr>
          <w:rFonts w:ascii="Times New Roman" w:hAnsi="Times New Roman"/>
          <w:color w:val="000000" w:themeColor="text1"/>
          <w:sz w:val="16"/>
          <w:szCs w:val="16"/>
        </w:rPr>
      </w:pPr>
    </w:p>
    <w:p w14:paraId="418D3390" w14:textId="77777777" w:rsidR="004A63B5" w:rsidRPr="00C33834" w:rsidRDefault="004A63B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lang w:val="en-US"/>
        </w:rPr>
        <w:t>April</w:t>
      </w:r>
      <w:r w:rsidRPr="00C33834">
        <w:rPr>
          <w:rFonts w:ascii="Times New Roman" w:hAnsi="Times New Roman"/>
          <w:color w:val="000000" w:themeColor="text1"/>
          <w:sz w:val="16"/>
          <w:szCs w:val="16"/>
        </w:rPr>
        <w:t xml:space="preserve"> 1 1933 </w:t>
      </w:r>
      <w:r w:rsidRPr="00C33834">
        <w:rPr>
          <w:rFonts w:ascii="Times New Roman" w:hAnsi="Times New Roman"/>
          <w:color w:val="000000" w:themeColor="text1"/>
          <w:sz w:val="16"/>
          <w:szCs w:val="16"/>
          <w:lang w:val="en-US"/>
        </w:rPr>
        <w:t>NaziboycottofJewishownedshops</w:t>
      </w:r>
      <w:r w:rsidRPr="00C33834">
        <w:rPr>
          <w:rFonts w:ascii="Times New Roman" w:hAnsi="Times New Roman"/>
          <w:color w:val="000000" w:themeColor="text1"/>
          <w:sz w:val="16"/>
          <w:szCs w:val="16"/>
        </w:rPr>
        <w:t xml:space="preserve"> (1050).</w:t>
      </w:r>
    </w:p>
    <w:p w14:paraId="60FFFF0A" w14:textId="77777777" w:rsidR="004A63B5" w:rsidRPr="00C33834" w:rsidRDefault="004A63B5" w:rsidP="00C33834">
      <w:pPr>
        <w:spacing w:after="0" w:line="240" w:lineRule="auto"/>
        <w:jc w:val="both"/>
        <w:rPr>
          <w:rFonts w:ascii="Times New Roman" w:hAnsi="Times New Roman"/>
          <w:color w:val="000000" w:themeColor="text1"/>
          <w:sz w:val="16"/>
          <w:szCs w:val="16"/>
        </w:rPr>
      </w:pPr>
    </w:p>
    <w:p w14:paraId="57E819C5" w14:textId="77777777" w:rsidR="004A63B5" w:rsidRPr="00C33834" w:rsidRDefault="004A63B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апреля 1933 нацисты ввели бойкот еврейских магазинов (1050).</w:t>
      </w:r>
    </w:p>
    <w:p w14:paraId="7E316D0F" w14:textId="77777777" w:rsidR="004A63B5" w:rsidRPr="00C33834" w:rsidRDefault="004A63B5" w:rsidP="00C33834">
      <w:pPr>
        <w:spacing w:after="0" w:line="240" w:lineRule="auto"/>
        <w:jc w:val="both"/>
        <w:rPr>
          <w:rFonts w:ascii="Times New Roman" w:hAnsi="Times New Roman"/>
          <w:color w:val="000000" w:themeColor="text1"/>
          <w:sz w:val="16"/>
          <w:szCs w:val="16"/>
        </w:rPr>
      </w:pPr>
    </w:p>
    <w:p w14:paraId="4931D820" w14:textId="77777777" w:rsidR="0093069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83D313F" w14:textId="77777777" w:rsidR="00930697" w:rsidRPr="00C33834" w:rsidRDefault="0093069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E970DC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апреля 1933 ЦАГИ выставил ВВС свой вариант требований к ДИП (АНТ-29) и предлагали построить машину к 1 декабря 1933 (1454,23).</w:t>
      </w:r>
    </w:p>
    <w:p w14:paraId="03F7BD7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p w14:paraId="522B7C8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апреля 1933 был утвержден макет МК-1 6М-34РН (2310,143).</w:t>
      </w:r>
    </w:p>
    <w:p w14:paraId="6955372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p w14:paraId="42035766" w14:textId="77777777" w:rsidR="002C7BF8" w:rsidRPr="00C33834" w:rsidRDefault="002C7BF8" w:rsidP="00C33834">
      <w:pPr>
        <w:pStyle w:val="631"/>
        <w:shd w:val="clear" w:color="auto" w:fill="auto"/>
        <w:spacing w:line="240" w:lineRule="auto"/>
        <w:jc w:val="both"/>
        <w:rPr>
          <w:rFonts w:ascii="Times New Roman" w:hAnsi="Times New Roman" w:cs="Times New Roman"/>
          <w:color w:val="0070C0"/>
          <w:sz w:val="16"/>
          <w:szCs w:val="16"/>
        </w:rPr>
      </w:pPr>
      <w:r w:rsidRPr="00C33834">
        <w:rPr>
          <w:rFonts w:ascii="Times New Roman" w:hAnsi="Times New Roman" w:cs="Times New Roman"/>
          <w:color w:val="0070C0"/>
          <w:sz w:val="16"/>
          <w:szCs w:val="16"/>
        </w:rPr>
        <w:t>2 апреля 1933 года начальник и военком НИИ ВВС Г.А. Зильберт в письме №10бсс, направленном К.Е, Воро</w:t>
      </w:r>
      <w:r w:rsidRPr="00C33834">
        <w:rPr>
          <w:rFonts w:ascii="Times New Roman" w:hAnsi="Times New Roman" w:cs="Times New Roman"/>
          <w:color w:val="0070C0"/>
          <w:sz w:val="16"/>
          <w:szCs w:val="16"/>
        </w:rPr>
        <w:softHyphen/>
        <w:t>шилову писал, что автожир с мотором М-22 задерживается выпуском до июня 1933 года из-за задержек в производстве и частично в проектировании. Однако в начале июля общая готовность автожира военными оце</w:t>
      </w:r>
      <w:r w:rsidRPr="00C33834">
        <w:rPr>
          <w:rFonts w:ascii="Times New Roman" w:hAnsi="Times New Roman" w:cs="Times New Roman"/>
          <w:color w:val="0070C0"/>
          <w:sz w:val="16"/>
          <w:szCs w:val="16"/>
        </w:rPr>
        <w:softHyphen/>
        <w:t>нивалась лишь в 60%, а срок окончания работ ГУАП предлагало перенести на 1 октября, но и он затем был сорван. А-7 М-22 был закон</w:t>
      </w:r>
      <w:r w:rsidRPr="00C33834">
        <w:rPr>
          <w:rFonts w:ascii="Times New Roman" w:hAnsi="Times New Roman" w:cs="Times New Roman"/>
          <w:color w:val="0070C0"/>
          <w:sz w:val="16"/>
          <w:szCs w:val="16"/>
        </w:rPr>
        <w:softHyphen/>
        <w:t>чен постройкой и переведен на аэродром для заводских испытаний только 29 декабря 1933 года (19868).</w:t>
      </w:r>
    </w:p>
    <w:p w14:paraId="153CC0D2" w14:textId="77777777" w:rsidR="002C7BF8" w:rsidRPr="00C33834" w:rsidRDefault="002C7BF8" w:rsidP="00C33834">
      <w:pPr>
        <w:pStyle w:val="631"/>
        <w:shd w:val="clear" w:color="auto" w:fill="auto"/>
        <w:spacing w:line="240" w:lineRule="auto"/>
        <w:jc w:val="both"/>
        <w:rPr>
          <w:rFonts w:ascii="Times New Roman" w:hAnsi="Times New Roman" w:cs="Times New Roman"/>
          <w:color w:val="0070C0"/>
          <w:sz w:val="16"/>
          <w:szCs w:val="16"/>
        </w:rPr>
      </w:pPr>
    </w:p>
    <w:p w14:paraId="0531095E" w14:textId="77777777" w:rsidR="00930697" w:rsidRPr="00C33834" w:rsidRDefault="0093069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апреля 1933 г. На протоколе заседания Ко</w:t>
      </w:r>
      <w:r w:rsidRPr="00C33834">
        <w:rPr>
          <w:rFonts w:ascii="Times New Roman" w:hAnsi="Times New Roman"/>
          <w:color w:val="000000" w:themeColor="text1"/>
          <w:sz w:val="16"/>
          <w:szCs w:val="16"/>
        </w:rPr>
        <w:softHyphen/>
        <w:t>митета обороны сохранилась собственноручная ре</w:t>
      </w:r>
      <w:r w:rsidRPr="00C33834">
        <w:rPr>
          <w:rFonts w:ascii="Times New Roman" w:hAnsi="Times New Roman"/>
          <w:color w:val="000000" w:themeColor="text1"/>
          <w:sz w:val="16"/>
          <w:szCs w:val="16"/>
        </w:rPr>
        <w:softHyphen/>
        <w:t>золюция И.В. Сталина: «Заслушать доклад ГУАПа о производстве авиа</w:t>
      </w:r>
      <w:r w:rsidRPr="00C33834">
        <w:rPr>
          <w:rFonts w:ascii="Times New Roman" w:hAnsi="Times New Roman"/>
          <w:color w:val="000000" w:themeColor="text1"/>
          <w:sz w:val="16"/>
          <w:szCs w:val="16"/>
        </w:rPr>
        <w:softHyphen/>
        <w:t>ционных моторов на заводе № 24 на следующем заседании Комитета обороны». Видимо, доклад имел ме</w:t>
      </w:r>
      <w:r w:rsidRPr="00C33834">
        <w:rPr>
          <w:rFonts w:ascii="Times New Roman" w:hAnsi="Times New Roman"/>
          <w:color w:val="000000" w:themeColor="text1"/>
          <w:sz w:val="16"/>
          <w:szCs w:val="16"/>
        </w:rPr>
        <w:softHyphen/>
        <w:t>сто, и «слоны были розданы». Но отступать было некуда. До конца года завод собрал 790 двигателей. При этом ресурс до первой переборки действительно удалось поднять со 100 до 150 часов. Начавшаяся эксплуатация М-34 в строевых частях ВВС принесла длин</w:t>
      </w:r>
      <w:r w:rsidRPr="00C33834">
        <w:rPr>
          <w:rFonts w:ascii="Times New Roman" w:hAnsi="Times New Roman"/>
          <w:color w:val="000000" w:themeColor="text1"/>
          <w:sz w:val="16"/>
          <w:szCs w:val="16"/>
        </w:rPr>
        <w:softHyphen/>
        <w:t>ные списки претензий. В рапортах значатся: трещины и раковины во вкладышах, их пористость, плохая ковка коленчатых валов, выпадение седел клапанов, трещины головок блока и многое другое. Плохие коль</w:t>
      </w:r>
      <w:r w:rsidRPr="00C33834">
        <w:rPr>
          <w:rFonts w:ascii="Times New Roman" w:hAnsi="Times New Roman"/>
          <w:color w:val="000000" w:themeColor="text1"/>
          <w:sz w:val="16"/>
          <w:szCs w:val="16"/>
        </w:rPr>
        <w:softHyphen/>
        <w:t>ца вели к перерасходу масла. При ремонте столкнулись с невзаимоза</w:t>
      </w:r>
      <w:r w:rsidRPr="00C33834">
        <w:rPr>
          <w:rFonts w:ascii="Times New Roman" w:hAnsi="Times New Roman"/>
          <w:color w:val="000000" w:themeColor="text1"/>
          <w:sz w:val="16"/>
          <w:szCs w:val="16"/>
        </w:rPr>
        <w:softHyphen/>
        <w:t>меняемостью шатунов. По планам М-34 должен был стать основой для целого семейства моторов разной мощности и различ</w:t>
      </w:r>
      <w:r w:rsidRPr="00C33834">
        <w:rPr>
          <w:rFonts w:ascii="Times New Roman" w:hAnsi="Times New Roman"/>
          <w:color w:val="000000" w:themeColor="text1"/>
          <w:sz w:val="16"/>
          <w:szCs w:val="16"/>
        </w:rPr>
        <w:softHyphen/>
        <w:t>ных компоновочных схем. Готовили однорядный, двухвальный, перевер</w:t>
      </w:r>
      <w:r w:rsidRPr="00C33834">
        <w:rPr>
          <w:rFonts w:ascii="Times New Roman" w:hAnsi="Times New Roman"/>
          <w:color w:val="000000" w:themeColor="text1"/>
          <w:sz w:val="16"/>
          <w:szCs w:val="16"/>
        </w:rPr>
        <w:softHyphen/>
        <w:t>нутый двигатели с использованием узлов М-34. Еще в НАМИ параллель</w:t>
      </w:r>
      <w:r w:rsidRPr="00C33834">
        <w:rPr>
          <w:rFonts w:ascii="Times New Roman" w:hAnsi="Times New Roman"/>
          <w:color w:val="000000" w:themeColor="text1"/>
          <w:sz w:val="16"/>
          <w:szCs w:val="16"/>
        </w:rPr>
        <w:softHyphen/>
        <w:t>но с 12-цилиндровым М-34 проекти</w:t>
      </w:r>
      <w:r w:rsidRPr="00C33834">
        <w:rPr>
          <w:rFonts w:ascii="Times New Roman" w:hAnsi="Times New Roman"/>
          <w:color w:val="000000" w:themeColor="text1"/>
          <w:sz w:val="16"/>
          <w:szCs w:val="16"/>
        </w:rPr>
        <w:softHyphen/>
        <w:t>ровали однорядный 6-цилиндровый безредукторный М-33 и М-ЗЗР с редуктором. Заказчиком их считался гражданский воздушный флот. В ИАМ в 1931-32 годах резуль</w:t>
      </w:r>
      <w:r w:rsidRPr="00C33834">
        <w:rPr>
          <w:rFonts w:ascii="Times New Roman" w:hAnsi="Times New Roman"/>
          <w:color w:val="000000" w:themeColor="text1"/>
          <w:sz w:val="16"/>
          <w:szCs w:val="16"/>
        </w:rPr>
        <w:softHyphen/>
        <w:t>таты этой работы использовали при создании мотора М-52 максималь</w:t>
      </w:r>
      <w:r w:rsidRPr="00C33834">
        <w:rPr>
          <w:rFonts w:ascii="Times New Roman" w:hAnsi="Times New Roman"/>
          <w:color w:val="000000" w:themeColor="text1"/>
          <w:sz w:val="16"/>
          <w:szCs w:val="16"/>
        </w:rPr>
        <w:softHyphen/>
        <w:t>ной мощностью 450 л.с. (номиналь</w:t>
      </w:r>
      <w:r w:rsidRPr="00C33834">
        <w:rPr>
          <w:rFonts w:ascii="Times New Roman" w:hAnsi="Times New Roman"/>
          <w:color w:val="000000" w:themeColor="text1"/>
          <w:sz w:val="16"/>
          <w:szCs w:val="16"/>
        </w:rPr>
        <w:softHyphen/>
        <w:t>ная - 350 л.с.). Блок полностью взя</w:t>
      </w:r>
      <w:r w:rsidRPr="00C33834">
        <w:rPr>
          <w:rFonts w:ascii="Times New Roman" w:hAnsi="Times New Roman"/>
          <w:color w:val="000000" w:themeColor="text1"/>
          <w:sz w:val="16"/>
          <w:szCs w:val="16"/>
        </w:rPr>
        <w:softHyphen/>
        <w:t>ли от М-34, остальные детали и узлы постарались максимально с ним уни</w:t>
      </w:r>
      <w:r w:rsidRPr="00C33834">
        <w:rPr>
          <w:rFonts w:ascii="Times New Roman" w:hAnsi="Times New Roman"/>
          <w:color w:val="000000" w:themeColor="text1"/>
          <w:sz w:val="16"/>
          <w:szCs w:val="16"/>
        </w:rPr>
        <w:softHyphen/>
        <w:t>фицировать. Государственные испытания М-52 планировались на ок</w:t>
      </w:r>
      <w:r w:rsidRPr="00C33834">
        <w:rPr>
          <w:rFonts w:ascii="Times New Roman" w:hAnsi="Times New Roman"/>
          <w:color w:val="000000" w:themeColor="text1"/>
          <w:sz w:val="16"/>
          <w:szCs w:val="16"/>
        </w:rPr>
        <w:softHyphen/>
        <w:t>тябрь 1932 г., но в срок не уложи</w:t>
      </w:r>
      <w:r w:rsidRPr="00C33834">
        <w:rPr>
          <w:rFonts w:ascii="Times New Roman" w:hAnsi="Times New Roman"/>
          <w:color w:val="000000" w:themeColor="text1"/>
          <w:sz w:val="16"/>
          <w:szCs w:val="16"/>
        </w:rPr>
        <w:softHyphen/>
        <w:t>лись - первый опытный образец по</w:t>
      </w:r>
      <w:r w:rsidRPr="00C33834">
        <w:rPr>
          <w:rFonts w:ascii="Times New Roman" w:hAnsi="Times New Roman"/>
          <w:color w:val="000000" w:themeColor="text1"/>
          <w:sz w:val="16"/>
          <w:szCs w:val="16"/>
        </w:rPr>
        <w:softHyphen/>
        <w:t>ставили на станок в начале ноября, получив 480 л.с. Но проработал мотор недолго. После разрушения нижнего картера спроектировали новый его вариант, менее унифици</w:t>
      </w:r>
      <w:r w:rsidRPr="00C33834">
        <w:rPr>
          <w:rFonts w:ascii="Times New Roman" w:hAnsi="Times New Roman"/>
          <w:color w:val="000000" w:themeColor="text1"/>
          <w:sz w:val="16"/>
          <w:szCs w:val="16"/>
        </w:rPr>
        <w:softHyphen/>
        <w:t>рованный с М-34, облегченный и с отъемным носком. Изменения внесли также в коленчатый вал. Эскизно прорабатывался высотный вариант М-52 с дополнительным кислородным питанием. Тем временем испытания продолжили, но вскоре УВВС поте</w:t>
      </w:r>
      <w:r w:rsidRPr="00C33834">
        <w:rPr>
          <w:rFonts w:ascii="Times New Roman" w:hAnsi="Times New Roman"/>
          <w:color w:val="000000" w:themeColor="text1"/>
          <w:sz w:val="16"/>
          <w:szCs w:val="16"/>
        </w:rPr>
        <w:softHyphen/>
        <w:t>ряло интерес к М-52 и тему закрыли. Блоки от М-34 использовали так</w:t>
      </w:r>
      <w:r w:rsidRPr="00C33834">
        <w:rPr>
          <w:rFonts w:ascii="Times New Roman" w:hAnsi="Times New Roman"/>
          <w:color w:val="000000" w:themeColor="text1"/>
          <w:sz w:val="16"/>
          <w:szCs w:val="16"/>
        </w:rPr>
        <w:softHyphen/>
        <w:t>же в двух из трех спроектированных вариантов мощного двигателя М-35. Один был 18-цилиндровым УУ-образ-ным (три блока, стоящие через 80° друг от друга), другой - 24-цилиндровым Х-образным (четыре блока). М-55 представлял собой перевер</w:t>
      </w:r>
      <w:r w:rsidRPr="00C33834">
        <w:rPr>
          <w:rFonts w:ascii="Times New Roman" w:hAnsi="Times New Roman"/>
          <w:color w:val="000000" w:themeColor="text1"/>
          <w:sz w:val="16"/>
          <w:szCs w:val="16"/>
        </w:rPr>
        <w:softHyphen/>
        <w:t>нутый (головками вниз) вариант М-34. Проведение его заводских испыта</w:t>
      </w:r>
      <w:r w:rsidRPr="00C33834">
        <w:rPr>
          <w:rFonts w:ascii="Times New Roman" w:hAnsi="Times New Roman"/>
          <w:color w:val="000000" w:themeColor="text1"/>
          <w:sz w:val="16"/>
          <w:szCs w:val="16"/>
        </w:rPr>
        <w:softHyphen/>
        <w:t>ний планировалось на август-октябрь 1933 г. Но работу по нему прекра</w:t>
      </w:r>
      <w:r w:rsidRPr="00C33834">
        <w:rPr>
          <w:rFonts w:ascii="Times New Roman" w:hAnsi="Times New Roman"/>
          <w:color w:val="000000" w:themeColor="text1"/>
          <w:sz w:val="16"/>
          <w:szCs w:val="16"/>
        </w:rPr>
        <w:softHyphen/>
        <w:t>тили в 1932 г., поскольку сочли, что эта схема не даст существенных пре</w:t>
      </w:r>
      <w:r w:rsidRPr="00C33834">
        <w:rPr>
          <w:rFonts w:ascii="Times New Roman" w:hAnsi="Times New Roman"/>
          <w:color w:val="000000" w:themeColor="text1"/>
          <w:sz w:val="16"/>
          <w:szCs w:val="16"/>
        </w:rPr>
        <w:softHyphen/>
        <w:t>имуществ. Опытные образцы М-55 не изготовлялись. Все эти боковые ответвления эво</w:t>
      </w:r>
      <w:r w:rsidRPr="00C33834">
        <w:rPr>
          <w:rFonts w:ascii="Times New Roman" w:hAnsi="Times New Roman"/>
          <w:color w:val="000000" w:themeColor="text1"/>
          <w:sz w:val="16"/>
          <w:szCs w:val="16"/>
        </w:rPr>
        <w:softHyphen/>
        <w:t>люции двигателя оказались бесплод</w:t>
      </w:r>
      <w:r w:rsidRPr="00C33834">
        <w:rPr>
          <w:rFonts w:ascii="Times New Roman" w:hAnsi="Times New Roman"/>
          <w:color w:val="000000" w:themeColor="text1"/>
          <w:sz w:val="16"/>
          <w:szCs w:val="16"/>
        </w:rPr>
        <w:softHyphen/>
        <w:t>ными. Зато сам М-34 постоянно со</w:t>
      </w:r>
      <w:r w:rsidRPr="00C33834">
        <w:rPr>
          <w:rFonts w:ascii="Times New Roman" w:hAnsi="Times New Roman"/>
          <w:color w:val="000000" w:themeColor="text1"/>
          <w:sz w:val="16"/>
          <w:szCs w:val="16"/>
        </w:rPr>
        <w:softHyphen/>
        <w:t>вершенствовался. Первым его вари</w:t>
      </w:r>
      <w:r w:rsidRPr="00C33834">
        <w:rPr>
          <w:rFonts w:ascii="Times New Roman" w:hAnsi="Times New Roman"/>
          <w:color w:val="000000" w:themeColor="text1"/>
          <w:sz w:val="16"/>
          <w:szCs w:val="16"/>
        </w:rPr>
        <w:softHyphen/>
        <w:t>антом стал М-34Ф, выпущенный ма</w:t>
      </w:r>
      <w:r w:rsidRPr="00C33834">
        <w:rPr>
          <w:rFonts w:ascii="Times New Roman" w:hAnsi="Times New Roman"/>
          <w:color w:val="000000" w:themeColor="text1"/>
          <w:sz w:val="16"/>
          <w:szCs w:val="16"/>
        </w:rPr>
        <w:softHyphen/>
        <w:t>лой серией в июне 1933 г. Мотор форсировали по оборотам без вне</w:t>
      </w:r>
      <w:r w:rsidRPr="00C33834">
        <w:rPr>
          <w:rFonts w:ascii="Times New Roman" w:hAnsi="Times New Roman"/>
          <w:color w:val="000000" w:themeColor="text1"/>
          <w:sz w:val="16"/>
          <w:szCs w:val="16"/>
        </w:rPr>
        <w:softHyphen/>
        <w:t>сения существенных конструктивных изменений только за счет регулиров</w:t>
      </w:r>
      <w:r w:rsidRPr="00C33834">
        <w:rPr>
          <w:rFonts w:ascii="Times New Roman" w:hAnsi="Times New Roman"/>
          <w:color w:val="000000" w:themeColor="text1"/>
          <w:sz w:val="16"/>
          <w:szCs w:val="16"/>
        </w:rPr>
        <w:softHyphen/>
        <w:t>ки, получив на максимальных обо</w:t>
      </w:r>
      <w:r w:rsidRPr="00C33834">
        <w:rPr>
          <w:rFonts w:ascii="Times New Roman" w:hAnsi="Times New Roman"/>
          <w:color w:val="000000" w:themeColor="text1"/>
          <w:sz w:val="16"/>
          <w:szCs w:val="16"/>
        </w:rPr>
        <w:softHyphen/>
        <w:t>ротах 830 л.с. В плане УВВС стоял и форсированный до 900 л.с. вариант М-34, именовавшийся М-54. Но он существовал, только в строчках до</w:t>
      </w:r>
      <w:r w:rsidRPr="00C33834">
        <w:rPr>
          <w:rFonts w:ascii="Times New Roman" w:hAnsi="Times New Roman"/>
          <w:color w:val="000000" w:themeColor="text1"/>
          <w:sz w:val="16"/>
          <w:szCs w:val="16"/>
        </w:rPr>
        <w:softHyphen/>
        <w:t>кументов, также как имевший такую же мощность М-34ФРНУ. К более позднему типу ФРН он никакого от</w:t>
      </w:r>
      <w:r w:rsidRPr="00C33834">
        <w:rPr>
          <w:rFonts w:ascii="Times New Roman" w:hAnsi="Times New Roman"/>
          <w:color w:val="000000" w:themeColor="text1"/>
          <w:sz w:val="16"/>
          <w:szCs w:val="16"/>
        </w:rPr>
        <w:softHyphen/>
        <w:t>ношения не имел - предусматрива</w:t>
      </w:r>
      <w:r w:rsidRPr="00C33834">
        <w:rPr>
          <w:rFonts w:ascii="Times New Roman" w:hAnsi="Times New Roman"/>
          <w:color w:val="000000" w:themeColor="text1"/>
          <w:sz w:val="16"/>
          <w:szCs w:val="16"/>
        </w:rPr>
        <w:softHyphen/>
        <w:t>лось, что это будет развитие М-34Ф с редуктором, выключаемым нагне</w:t>
      </w:r>
      <w:r w:rsidRPr="00C33834">
        <w:rPr>
          <w:rFonts w:ascii="Times New Roman" w:hAnsi="Times New Roman"/>
          <w:color w:val="000000" w:themeColor="text1"/>
          <w:sz w:val="16"/>
          <w:szCs w:val="16"/>
        </w:rPr>
        <w:softHyphen/>
        <w:t>тателем и удлиненным валом. Фактически только один серийный самолет оснащался М-34 - тяжелый бомбардировщик ТБ-3. Хлопот с этим было много: пришлось менять мото</w:t>
      </w:r>
      <w:r w:rsidRPr="00C33834">
        <w:rPr>
          <w:rFonts w:ascii="Times New Roman" w:hAnsi="Times New Roman"/>
          <w:color w:val="000000" w:themeColor="text1"/>
          <w:sz w:val="16"/>
          <w:szCs w:val="16"/>
        </w:rPr>
        <w:softHyphen/>
        <w:t>рамы, радиаторы и многое другое. А результат оказался почти нулевым. Практически весь прирост мощнос</w:t>
      </w:r>
      <w:r w:rsidRPr="00C33834">
        <w:rPr>
          <w:rFonts w:ascii="Times New Roman" w:hAnsi="Times New Roman"/>
          <w:color w:val="000000" w:themeColor="text1"/>
          <w:sz w:val="16"/>
          <w:szCs w:val="16"/>
        </w:rPr>
        <w:softHyphen/>
        <w:t>ти «съел» увеличившийся вес мото</w:t>
      </w:r>
      <w:r w:rsidRPr="00C33834">
        <w:rPr>
          <w:rFonts w:ascii="Times New Roman" w:hAnsi="Times New Roman"/>
          <w:color w:val="000000" w:themeColor="text1"/>
          <w:sz w:val="16"/>
          <w:szCs w:val="16"/>
        </w:rPr>
        <w:softHyphen/>
        <w:t>установки. УВВС потребовало установить на М-34 редуктор. Он должен был по</w:t>
      </w:r>
      <w:r w:rsidRPr="00C33834">
        <w:rPr>
          <w:rFonts w:ascii="Times New Roman" w:hAnsi="Times New Roman"/>
          <w:color w:val="000000" w:themeColor="text1"/>
          <w:sz w:val="16"/>
          <w:szCs w:val="16"/>
        </w:rPr>
        <w:softHyphen/>
        <w:t>высить эффективность работы про</w:t>
      </w:r>
      <w:r w:rsidRPr="00C33834">
        <w:rPr>
          <w:rFonts w:ascii="Times New Roman" w:hAnsi="Times New Roman"/>
          <w:color w:val="000000" w:themeColor="text1"/>
          <w:sz w:val="16"/>
          <w:szCs w:val="16"/>
        </w:rPr>
        <w:softHyphen/>
        <w:t>пеллера на тихоходном самолете. В результате появился М-34Р. Носок картера стал отъемным, в нем разместили простенький редуктор-«гитару» из двух шестерен. Он под</w:t>
      </w:r>
      <w:r w:rsidRPr="00C33834">
        <w:rPr>
          <w:rFonts w:ascii="Times New Roman" w:hAnsi="Times New Roman"/>
          <w:color w:val="000000" w:themeColor="text1"/>
          <w:sz w:val="16"/>
          <w:szCs w:val="16"/>
        </w:rPr>
        <w:softHyphen/>
        <w:t>нял вес двигателя примерно на 70 кг. Как отметили специалисты НИИ ВВС, это было примерно в полтора раза больше, чем у иностранных конст</w:t>
      </w:r>
      <w:r w:rsidRPr="00C33834">
        <w:rPr>
          <w:rFonts w:ascii="Times New Roman" w:hAnsi="Times New Roman"/>
          <w:color w:val="000000" w:themeColor="text1"/>
          <w:sz w:val="16"/>
          <w:szCs w:val="16"/>
        </w:rPr>
        <w:softHyphen/>
        <w:t>рукций с той же мощностью. Первый опытный образец М-34Р завершили 6 ноября 1932 г.; всего их сделали семь. Полгода продолжались завод</w:t>
      </w:r>
      <w:r w:rsidRPr="00C33834">
        <w:rPr>
          <w:rFonts w:ascii="Times New Roman" w:hAnsi="Times New Roman"/>
          <w:color w:val="000000" w:themeColor="text1"/>
          <w:sz w:val="16"/>
          <w:szCs w:val="16"/>
        </w:rPr>
        <w:softHyphen/>
        <w:t>ские испытания и доводка, а в апре</w:t>
      </w:r>
      <w:r w:rsidRPr="00C33834">
        <w:rPr>
          <w:rFonts w:ascii="Times New Roman" w:hAnsi="Times New Roman"/>
          <w:color w:val="000000" w:themeColor="text1"/>
          <w:sz w:val="16"/>
          <w:szCs w:val="16"/>
        </w:rPr>
        <w:softHyphen/>
        <w:t>ле-мае 1933 г. прошли государствен</w:t>
      </w:r>
      <w:r w:rsidRPr="00C33834">
        <w:rPr>
          <w:rFonts w:ascii="Times New Roman" w:hAnsi="Times New Roman"/>
          <w:color w:val="000000" w:themeColor="text1"/>
          <w:sz w:val="16"/>
          <w:szCs w:val="16"/>
        </w:rPr>
        <w:softHyphen/>
        <w:t>ные испытания на стенде. Один из двух участвовавших в них двигателей сломался (полетела вертикальная передача к распределительному валу). Но правила испытаний разре</w:t>
      </w:r>
      <w:r w:rsidRPr="00C33834">
        <w:rPr>
          <w:rFonts w:ascii="Times New Roman" w:hAnsi="Times New Roman"/>
          <w:color w:val="000000" w:themeColor="text1"/>
          <w:sz w:val="16"/>
          <w:szCs w:val="16"/>
        </w:rPr>
        <w:softHyphen/>
        <w:t>шали замену и вторую попытку. В итоге — «удовлетворительно» (11848).</w:t>
      </w:r>
    </w:p>
    <w:p w14:paraId="454111D9" w14:textId="77777777" w:rsidR="00930697" w:rsidRPr="00C33834" w:rsidRDefault="00930697"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567C3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апреля 1933 года начальник и военком НИИ ВВС Зильберт писал письмо N 106сс Ворошилову.</w:t>
      </w:r>
    </w:p>
    <w:p w14:paraId="4CE8F1C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 о состоянии работ по опытному моторо- и самолетостроению на 1 апреля 1933 года</w:t>
      </w:r>
    </w:p>
    <w:p w14:paraId="1F90FD7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По моторам</w:t>
      </w:r>
    </w:p>
    <w:p w14:paraId="1857CC31"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ФЭД с нагнетателем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528"/>
      </w:tblGrid>
      <w:tr w:rsidR="00F26F01" w:rsidRPr="00C33834" w14:paraId="276BCC3A" w14:textId="77777777">
        <w:tc>
          <w:tcPr>
            <w:tcW w:w="5070" w:type="dxa"/>
          </w:tcPr>
          <w:p w14:paraId="7B413C1A"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528" w:type="dxa"/>
          </w:tcPr>
          <w:p w14:paraId="10ABBC84"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ОКБ</w:t>
            </w:r>
          </w:p>
        </w:tc>
      </w:tr>
      <w:tr w:rsidR="00F26F01" w:rsidRPr="00C33834" w14:paraId="29D41DCD" w14:textId="77777777">
        <w:tc>
          <w:tcPr>
            <w:tcW w:w="5070" w:type="dxa"/>
          </w:tcPr>
          <w:p w14:paraId="6D86905A"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528" w:type="dxa"/>
          </w:tcPr>
          <w:p w14:paraId="5E5CD13E"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w:t>
            </w:r>
          </w:p>
        </w:tc>
      </w:tr>
      <w:tr w:rsidR="00F26F01" w:rsidRPr="00C33834" w14:paraId="24053C14" w14:textId="77777777">
        <w:tc>
          <w:tcPr>
            <w:tcW w:w="5070" w:type="dxa"/>
          </w:tcPr>
          <w:p w14:paraId="498818FD"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528" w:type="dxa"/>
          </w:tcPr>
          <w:p w14:paraId="053381BF"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1100-1200</w:t>
            </w:r>
          </w:p>
        </w:tc>
      </w:tr>
      <w:tr w:rsidR="00F26F01" w:rsidRPr="00C33834" w14:paraId="0069E3F9" w14:textId="77777777">
        <w:tc>
          <w:tcPr>
            <w:tcW w:w="5070" w:type="dxa"/>
          </w:tcPr>
          <w:p w14:paraId="77DE8DE0"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528" w:type="dxa"/>
          </w:tcPr>
          <w:p w14:paraId="2FF5B693"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w:t>
            </w:r>
          </w:p>
        </w:tc>
      </w:tr>
      <w:tr w:rsidR="00F26F01" w:rsidRPr="00C33834" w14:paraId="3F3FAC77" w14:textId="77777777">
        <w:tc>
          <w:tcPr>
            <w:tcW w:w="5070" w:type="dxa"/>
          </w:tcPr>
          <w:p w14:paraId="795B6E44"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528" w:type="dxa"/>
          </w:tcPr>
          <w:p w14:paraId="43A22A5B"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3CC9436" w14:textId="77777777">
        <w:tc>
          <w:tcPr>
            <w:tcW w:w="5070" w:type="dxa"/>
          </w:tcPr>
          <w:p w14:paraId="08C82F0B"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528" w:type="dxa"/>
          </w:tcPr>
          <w:p w14:paraId="02C17C5C"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r>
      <w:tr w:rsidR="00F26F01" w:rsidRPr="00C33834" w14:paraId="57275F02" w14:textId="77777777">
        <w:tc>
          <w:tcPr>
            <w:tcW w:w="5070" w:type="dxa"/>
          </w:tcPr>
          <w:p w14:paraId="6A5EBDB3"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528" w:type="dxa"/>
          </w:tcPr>
          <w:p w14:paraId="4FA063F4"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1932 года</w:t>
            </w:r>
          </w:p>
        </w:tc>
      </w:tr>
      <w:tr w:rsidR="00F26F01" w:rsidRPr="00C33834" w14:paraId="7DA4E44F" w14:textId="77777777">
        <w:tc>
          <w:tcPr>
            <w:tcW w:w="5070" w:type="dxa"/>
          </w:tcPr>
          <w:p w14:paraId="1C74A1A0"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528" w:type="dxa"/>
          </w:tcPr>
          <w:p w14:paraId="41693F0E"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bl>
    <w:p w14:paraId="39D79DF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p w14:paraId="1FD2E81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p w14:paraId="791F77E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не производятся из-за отсутствия производственной базы.</w:t>
      </w:r>
    </w:p>
    <w:p w14:paraId="4747AAD1"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М34Н (с нагнетателем)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F26F01" w:rsidRPr="00C33834" w14:paraId="3CCE7DCA" w14:textId="77777777">
        <w:tc>
          <w:tcPr>
            <w:tcW w:w="5070" w:type="dxa"/>
          </w:tcPr>
          <w:p w14:paraId="2370DBEF"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386" w:type="dxa"/>
          </w:tcPr>
          <w:p w14:paraId="3BB228A8"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r>
      <w:tr w:rsidR="00F26F01" w:rsidRPr="00C33834" w14:paraId="2BA9CFBA" w14:textId="77777777">
        <w:tc>
          <w:tcPr>
            <w:tcW w:w="5070" w:type="dxa"/>
          </w:tcPr>
          <w:p w14:paraId="58BC702B"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386" w:type="dxa"/>
          </w:tcPr>
          <w:p w14:paraId="50280DE4"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w:t>
            </w:r>
          </w:p>
        </w:tc>
      </w:tr>
      <w:tr w:rsidR="00F26F01" w:rsidRPr="00C33834" w14:paraId="3F7408CF" w14:textId="77777777">
        <w:tc>
          <w:tcPr>
            <w:tcW w:w="5070" w:type="dxa"/>
          </w:tcPr>
          <w:p w14:paraId="2C92DBA0"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386" w:type="dxa"/>
          </w:tcPr>
          <w:p w14:paraId="190066CA"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r>
      <w:tr w:rsidR="00F26F01" w:rsidRPr="00C33834" w14:paraId="05E1632C" w14:textId="77777777">
        <w:tc>
          <w:tcPr>
            <w:tcW w:w="5070" w:type="dxa"/>
          </w:tcPr>
          <w:p w14:paraId="6182B43B"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386" w:type="dxa"/>
          </w:tcPr>
          <w:p w14:paraId="6E491CC3"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r>
      <w:tr w:rsidR="00F26F01" w:rsidRPr="00C33834" w14:paraId="60AECB87" w14:textId="77777777">
        <w:tc>
          <w:tcPr>
            <w:tcW w:w="5070" w:type="dxa"/>
          </w:tcPr>
          <w:p w14:paraId="32A64C0D"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386" w:type="dxa"/>
          </w:tcPr>
          <w:p w14:paraId="30C069FD"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0,8</w:t>
            </w:r>
          </w:p>
        </w:tc>
      </w:tr>
      <w:tr w:rsidR="00F26F01" w:rsidRPr="00C33834" w14:paraId="2F6B9846" w14:textId="77777777">
        <w:tc>
          <w:tcPr>
            <w:tcW w:w="5070" w:type="dxa"/>
          </w:tcPr>
          <w:p w14:paraId="2CC2D1DC"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386" w:type="dxa"/>
          </w:tcPr>
          <w:p w14:paraId="48F9BA44"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r>
      <w:tr w:rsidR="00F26F01" w:rsidRPr="00C33834" w14:paraId="242706C2" w14:textId="77777777">
        <w:tc>
          <w:tcPr>
            <w:tcW w:w="5070" w:type="dxa"/>
          </w:tcPr>
          <w:p w14:paraId="4DBD798A"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386" w:type="dxa"/>
          </w:tcPr>
          <w:p w14:paraId="78EC813D"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B64E2E8" w14:textId="77777777">
        <w:tc>
          <w:tcPr>
            <w:tcW w:w="5070" w:type="dxa"/>
          </w:tcPr>
          <w:p w14:paraId="083B1539"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386" w:type="dxa"/>
          </w:tcPr>
          <w:p w14:paraId="5DA9EFE4"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июня 1932 года</w:t>
            </w:r>
          </w:p>
        </w:tc>
      </w:tr>
      <w:tr w:rsidR="00F26F01" w:rsidRPr="00C33834" w14:paraId="1C4B085C" w14:textId="77777777">
        <w:tc>
          <w:tcPr>
            <w:tcW w:w="5070" w:type="dxa"/>
          </w:tcPr>
          <w:p w14:paraId="4861B965"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386" w:type="dxa"/>
          </w:tcPr>
          <w:p w14:paraId="68122CBC"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5E69F1C" w14:textId="77777777">
        <w:tc>
          <w:tcPr>
            <w:tcW w:w="5070" w:type="dxa"/>
          </w:tcPr>
          <w:p w14:paraId="058C5FA8"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tc>
        <w:tc>
          <w:tcPr>
            <w:tcW w:w="5386" w:type="dxa"/>
          </w:tcPr>
          <w:p w14:paraId="753E6647" w14:textId="77777777" w:rsidR="00930697" w:rsidRPr="00C33834" w:rsidRDefault="00930697" w:rsidP="00C33834">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1933 года</w:t>
            </w:r>
          </w:p>
        </w:tc>
      </w:tr>
    </w:tbl>
    <w:p w14:paraId="2B72F5F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Работы по включающемуся нагнетателю затягиваются, т.к. ЦИАМ с ним не справился. Строится невыключащийся нагнетатель с высот. 3500 м, который станет на лаборат. испытания к 1 мая. Работы по включающемуся нагнетателю продолжаются.</w:t>
      </w:r>
    </w:p>
    <w:p w14:paraId="7453349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М34Р (с редуктором)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F26F01" w:rsidRPr="00C33834" w14:paraId="6E410CF7" w14:textId="77777777">
        <w:tc>
          <w:tcPr>
            <w:tcW w:w="5070" w:type="dxa"/>
          </w:tcPr>
          <w:p w14:paraId="3715443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386" w:type="dxa"/>
          </w:tcPr>
          <w:p w14:paraId="45E7F22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r>
      <w:tr w:rsidR="00F26F01" w:rsidRPr="00C33834" w14:paraId="54EDA46E" w14:textId="77777777">
        <w:tc>
          <w:tcPr>
            <w:tcW w:w="5070" w:type="dxa"/>
          </w:tcPr>
          <w:p w14:paraId="509B614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386" w:type="dxa"/>
          </w:tcPr>
          <w:p w14:paraId="73EFE33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w:t>
            </w:r>
          </w:p>
        </w:tc>
      </w:tr>
      <w:tr w:rsidR="00F26F01" w:rsidRPr="00C33834" w14:paraId="18EAD4F4" w14:textId="77777777">
        <w:tc>
          <w:tcPr>
            <w:tcW w:w="5070" w:type="dxa"/>
          </w:tcPr>
          <w:p w14:paraId="3BC9E0C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386" w:type="dxa"/>
          </w:tcPr>
          <w:p w14:paraId="4AC23EA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r>
      <w:tr w:rsidR="00F26F01" w:rsidRPr="00C33834" w14:paraId="05629705" w14:textId="77777777">
        <w:tc>
          <w:tcPr>
            <w:tcW w:w="5070" w:type="dxa"/>
          </w:tcPr>
          <w:p w14:paraId="03F85C4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386" w:type="dxa"/>
          </w:tcPr>
          <w:p w14:paraId="69F8B5C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r>
      <w:tr w:rsidR="00F26F01" w:rsidRPr="00C33834" w14:paraId="15050E9D" w14:textId="77777777">
        <w:tc>
          <w:tcPr>
            <w:tcW w:w="5070" w:type="dxa"/>
          </w:tcPr>
          <w:p w14:paraId="32485AB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386" w:type="dxa"/>
          </w:tcPr>
          <w:p w14:paraId="1CCD8F7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814E6FC" w14:textId="77777777">
        <w:tc>
          <w:tcPr>
            <w:tcW w:w="5070" w:type="dxa"/>
          </w:tcPr>
          <w:p w14:paraId="7E0E5CB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386" w:type="dxa"/>
          </w:tcPr>
          <w:p w14:paraId="08080E2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C2F9C3C" w14:textId="77777777">
        <w:tc>
          <w:tcPr>
            <w:tcW w:w="5070" w:type="dxa"/>
          </w:tcPr>
          <w:p w14:paraId="14EE171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386" w:type="dxa"/>
          </w:tcPr>
          <w:p w14:paraId="0CF849B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1C00004" w14:textId="77777777">
        <w:tc>
          <w:tcPr>
            <w:tcW w:w="5070" w:type="dxa"/>
          </w:tcPr>
          <w:p w14:paraId="3989859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386" w:type="dxa"/>
          </w:tcPr>
          <w:p w14:paraId="6BD6928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ноября 1932 года</w:t>
            </w:r>
          </w:p>
        </w:tc>
      </w:tr>
      <w:tr w:rsidR="00F26F01" w:rsidRPr="00C33834" w14:paraId="42C9BC5E" w14:textId="77777777">
        <w:tc>
          <w:tcPr>
            <w:tcW w:w="5070" w:type="dxa"/>
          </w:tcPr>
          <w:p w14:paraId="5DCD4B2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386" w:type="dxa"/>
          </w:tcPr>
          <w:p w14:paraId="27C81B3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718AF95" w14:textId="77777777">
        <w:tc>
          <w:tcPr>
            <w:tcW w:w="5070" w:type="dxa"/>
          </w:tcPr>
          <w:p w14:paraId="504C276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tc>
        <w:tc>
          <w:tcPr>
            <w:tcW w:w="5386" w:type="dxa"/>
          </w:tcPr>
          <w:p w14:paraId="148FAE2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марта</w:t>
            </w:r>
          </w:p>
        </w:tc>
      </w:tr>
    </w:tbl>
    <w:p w14:paraId="3914E7C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прошел 100 часов. заводские испытания. Показал: номинальная мощность - 800 л.с., вес 675 кг. 25 марта предъявлен на гос. испытания. Производится сборка мотора для установки на станок.</w:t>
      </w:r>
    </w:p>
    <w:p w14:paraId="720CB8C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М34РН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F26F01" w:rsidRPr="00C33834" w14:paraId="58604A40" w14:textId="77777777">
        <w:tc>
          <w:tcPr>
            <w:tcW w:w="5070" w:type="dxa"/>
          </w:tcPr>
          <w:p w14:paraId="6D196AF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386" w:type="dxa"/>
          </w:tcPr>
          <w:p w14:paraId="0329098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r>
      <w:tr w:rsidR="00F26F01" w:rsidRPr="00C33834" w14:paraId="13480FCA" w14:textId="77777777">
        <w:tc>
          <w:tcPr>
            <w:tcW w:w="5070" w:type="dxa"/>
          </w:tcPr>
          <w:p w14:paraId="010D65E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386" w:type="dxa"/>
          </w:tcPr>
          <w:p w14:paraId="7A0B019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w:t>
            </w:r>
          </w:p>
        </w:tc>
      </w:tr>
      <w:tr w:rsidR="00F26F01" w:rsidRPr="00C33834" w14:paraId="2420C227" w14:textId="77777777">
        <w:tc>
          <w:tcPr>
            <w:tcW w:w="5070" w:type="dxa"/>
          </w:tcPr>
          <w:p w14:paraId="4E927DF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386" w:type="dxa"/>
          </w:tcPr>
          <w:p w14:paraId="64F8494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r>
      <w:tr w:rsidR="00F26F01" w:rsidRPr="00C33834" w14:paraId="3E529F09" w14:textId="77777777">
        <w:tc>
          <w:tcPr>
            <w:tcW w:w="5070" w:type="dxa"/>
          </w:tcPr>
          <w:p w14:paraId="17C507F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386" w:type="dxa"/>
          </w:tcPr>
          <w:p w14:paraId="7CCF789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625</w:t>
            </w:r>
          </w:p>
        </w:tc>
      </w:tr>
      <w:tr w:rsidR="00F26F01" w:rsidRPr="00C33834" w14:paraId="0E6F74DD" w14:textId="77777777">
        <w:tc>
          <w:tcPr>
            <w:tcW w:w="5070" w:type="dxa"/>
          </w:tcPr>
          <w:p w14:paraId="02ABF61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386" w:type="dxa"/>
          </w:tcPr>
          <w:p w14:paraId="1A0D61D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0C4595C" w14:textId="77777777">
        <w:tc>
          <w:tcPr>
            <w:tcW w:w="5070" w:type="dxa"/>
          </w:tcPr>
          <w:p w14:paraId="64E3012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386" w:type="dxa"/>
          </w:tcPr>
          <w:p w14:paraId="73AFF7D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r>
      <w:tr w:rsidR="00F26F01" w:rsidRPr="00C33834" w14:paraId="687CD233" w14:textId="77777777">
        <w:tc>
          <w:tcPr>
            <w:tcW w:w="5070" w:type="dxa"/>
          </w:tcPr>
          <w:p w14:paraId="47A4FF4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386" w:type="dxa"/>
          </w:tcPr>
          <w:p w14:paraId="1FE327D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D7D903D" w14:textId="77777777">
        <w:tc>
          <w:tcPr>
            <w:tcW w:w="5070" w:type="dxa"/>
          </w:tcPr>
          <w:p w14:paraId="1798DFF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386" w:type="dxa"/>
          </w:tcPr>
          <w:p w14:paraId="5ED5071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1932 года</w:t>
            </w:r>
          </w:p>
        </w:tc>
      </w:tr>
      <w:tr w:rsidR="00F26F01" w:rsidRPr="00C33834" w14:paraId="0CAACF8F" w14:textId="77777777">
        <w:tc>
          <w:tcPr>
            <w:tcW w:w="5070" w:type="dxa"/>
          </w:tcPr>
          <w:p w14:paraId="4513454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386" w:type="dxa"/>
          </w:tcPr>
          <w:p w14:paraId="0F56B6A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32CD9DC" w14:textId="77777777">
        <w:tc>
          <w:tcPr>
            <w:tcW w:w="5070" w:type="dxa"/>
          </w:tcPr>
          <w:p w14:paraId="0FE96A1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tc>
        <w:tc>
          <w:tcPr>
            <w:tcW w:w="5386" w:type="dxa"/>
          </w:tcPr>
          <w:p w14:paraId="089765E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- 1 декабря 1933 года</w:t>
            </w:r>
          </w:p>
        </w:tc>
      </w:tr>
    </w:tbl>
    <w:p w14:paraId="5AAE945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разрешения вопроса с нагнетателем к М34, работы по компоновке М-34 РН вестись не будут.</w:t>
      </w:r>
    </w:p>
    <w:p w14:paraId="767D385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М34Н (с электрокартером)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F26F01" w:rsidRPr="00C33834" w14:paraId="1156D3FF" w14:textId="77777777">
        <w:tc>
          <w:tcPr>
            <w:tcW w:w="5070" w:type="dxa"/>
          </w:tcPr>
          <w:p w14:paraId="3CE6B1E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386" w:type="dxa"/>
          </w:tcPr>
          <w:p w14:paraId="7942C39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r>
      <w:tr w:rsidR="00F26F01" w:rsidRPr="00C33834" w14:paraId="0E578879" w14:textId="77777777">
        <w:tc>
          <w:tcPr>
            <w:tcW w:w="5070" w:type="dxa"/>
          </w:tcPr>
          <w:p w14:paraId="4B0FAA9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386" w:type="dxa"/>
          </w:tcPr>
          <w:p w14:paraId="33102B3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w:t>
            </w:r>
          </w:p>
        </w:tc>
      </w:tr>
      <w:tr w:rsidR="00F26F01" w:rsidRPr="00C33834" w14:paraId="6FDD750A" w14:textId="77777777">
        <w:tc>
          <w:tcPr>
            <w:tcW w:w="5070" w:type="dxa"/>
          </w:tcPr>
          <w:p w14:paraId="4F1B3E1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386" w:type="dxa"/>
          </w:tcPr>
          <w:p w14:paraId="632A7BD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r>
      <w:tr w:rsidR="00F26F01" w:rsidRPr="00C33834" w14:paraId="16BE92CC" w14:textId="77777777">
        <w:tc>
          <w:tcPr>
            <w:tcW w:w="5070" w:type="dxa"/>
          </w:tcPr>
          <w:p w14:paraId="1DDFF89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386" w:type="dxa"/>
          </w:tcPr>
          <w:p w14:paraId="3450B1B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560</w:t>
            </w:r>
          </w:p>
        </w:tc>
      </w:tr>
      <w:tr w:rsidR="00F26F01" w:rsidRPr="00C33834" w14:paraId="587DFAC8" w14:textId="77777777">
        <w:tc>
          <w:tcPr>
            <w:tcW w:w="5070" w:type="dxa"/>
          </w:tcPr>
          <w:p w14:paraId="2812635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386" w:type="dxa"/>
          </w:tcPr>
          <w:p w14:paraId="647ADD0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02ACA3F" w14:textId="77777777">
        <w:tc>
          <w:tcPr>
            <w:tcW w:w="5070" w:type="dxa"/>
          </w:tcPr>
          <w:p w14:paraId="740AAF0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386" w:type="dxa"/>
          </w:tcPr>
          <w:p w14:paraId="58EABB9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r>
      <w:tr w:rsidR="00F26F01" w:rsidRPr="00C33834" w14:paraId="0CF4AC98" w14:textId="77777777">
        <w:tc>
          <w:tcPr>
            <w:tcW w:w="5070" w:type="dxa"/>
          </w:tcPr>
          <w:p w14:paraId="449DB68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386" w:type="dxa"/>
          </w:tcPr>
          <w:p w14:paraId="7170BC4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AEDB1F1" w14:textId="77777777">
        <w:tc>
          <w:tcPr>
            <w:tcW w:w="5070" w:type="dxa"/>
          </w:tcPr>
          <w:p w14:paraId="218DF5C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386" w:type="dxa"/>
          </w:tcPr>
          <w:p w14:paraId="5E1B5DE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1932 года</w:t>
            </w:r>
          </w:p>
        </w:tc>
      </w:tr>
      <w:tr w:rsidR="00F26F01" w:rsidRPr="00C33834" w14:paraId="2924ECFE" w14:textId="77777777">
        <w:tc>
          <w:tcPr>
            <w:tcW w:w="5070" w:type="dxa"/>
          </w:tcPr>
          <w:p w14:paraId="6BD05AA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386" w:type="dxa"/>
          </w:tcPr>
          <w:p w14:paraId="33323B9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14CA501" w14:textId="77777777">
        <w:tc>
          <w:tcPr>
            <w:tcW w:w="5070" w:type="dxa"/>
          </w:tcPr>
          <w:p w14:paraId="08A49DA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tc>
        <w:tc>
          <w:tcPr>
            <w:tcW w:w="5386" w:type="dxa"/>
          </w:tcPr>
          <w:p w14:paraId="2E40A6D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1933 года</w:t>
            </w:r>
          </w:p>
        </w:tc>
      </w:tr>
    </w:tbl>
    <w:p w14:paraId="7462BB4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Картер из электрона изготовлен на зав. N 24, но не выдержал гидропробы. Передан на пропитку в ЦИАМ, после чего мотор поступит в сборку. Окончание сборки - 15 мая 1933 года.</w:t>
      </w:r>
    </w:p>
    <w:p w14:paraId="0AB686A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ГМ-34 (с реверсом)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F26F01" w:rsidRPr="00C33834" w14:paraId="46A51FA3" w14:textId="77777777">
        <w:tc>
          <w:tcPr>
            <w:tcW w:w="5070" w:type="dxa"/>
          </w:tcPr>
          <w:p w14:paraId="17598CF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386" w:type="dxa"/>
          </w:tcPr>
          <w:p w14:paraId="6181ABB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r>
      <w:tr w:rsidR="00F26F01" w:rsidRPr="00C33834" w14:paraId="4DEAE9A1" w14:textId="77777777">
        <w:tc>
          <w:tcPr>
            <w:tcW w:w="5070" w:type="dxa"/>
          </w:tcPr>
          <w:p w14:paraId="47BB84B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386" w:type="dxa"/>
          </w:tcPr>
          <w:p w14:paraId="7FDFF5F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w:t>
            </w:r>
          </w:p>
        </w:tc>
      </w:tr>
      <w:tr w:rsidR="00F26F01" w:rsidRPr="00C33834" w14:paraId="2B115164" w14:textId="77777777">
        <w:tc>
          <w:tcPr>
            <w:tcW w:w="5070" w:type="dxa"/>
          </w:tcPr>
          <w:p w14:paraId="48119FA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386" w:type="dxa"/>
          </w:tcPr>
          <w:p w14:paraId="6725AAA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r>
      <w:tr w:rsidR="00F26F01" w:rsidRPr="00C33834" w14:paraId="475F3165" w14:textId="77777777">
        <w:tc>
          <w:tcPr>
            <w:tcW w:w="5070" w:type="dxa"/>
          </w:tcPr>
          <w:p w14:paraId="526C390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386" w:type="dxa"/>
          </w:tcPr>
          <w:p w14:paraId="1CD58BC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625</w:t>
            </w:r>
          </w:p>
        </w:tc>
      </w:tr>
      <w:tr w:rsidR="00F26F01" w:rsidRPr="00C33834" w14:paraId="11366F72" w14:textId="77777777">
        <w:tc>
          <w:tcPr>
            <w:tcW w:w="5070" w:type="dxa"/>
          </w:tcPr>
          <w:p w14:paraId="29F6D81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386" w:type="dxa"/>
          </w:tcPr>
          <w:p w14:paraId="7DCBDEF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10985CD" w14:textId="77777777">
        <w:tc>
          <w:tcPr>
            <w:tcW w:w="5070" w:type="dxa"/>
          </w:tcPr>
          <w:p w14:paraId="705E32A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386" w:type="dxa"/>
          </w:tcPr>
          <w:p w14:paraId="68CAA42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9F74B0C" w14:textId="77777777">
        <w:tc>
          <w:tcPr>
            <w:tcW w:w="5070" w:type="dxa"/>
          </w:tcPr>
          <w:p w14:paraId="255EE47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386" w:type="dxa"/>
          </w:tcPr>
          <w:p w14:paraId="446E63C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38111D1" w14:textId="77777777">
        <w:tc>
          <w:tcPr>
            <w:tcW w:w="5070" w:type="dxa"/>
          </w:tcPr>
          <w:p w14:paraId="7F06DF3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386" w:type="dxa"/>
          </w:tcPr>
          <w:p w14:paraId="45ADB18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1932 года</w:t>
            </w:r>
          </w:p>
        </w:tc>
      </w:tr>
      <w:tr w:rsidR="00F26F01" w:rsidRPr="00C33834" w14:paraId="295D5130" w14:textId="77777777">
        <w:tc>
          <w:tcPr>
            <w:tcW w:w="5070" w:type="dxa"/>
          </w:tcPr>
          <w:p w14:paraId="79953D1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386" w:type="dxa"/>
          </w:tcPr>
          <w:p w14:paraId="6D56789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9335C13" w14:textId="77777777">
        <w:tc>
          <w:tcPr>
            <w:tcW w:w="5070" w:type="dxa"/>
          </w:tcPr>
          <w:p w14:paraId="7C005C8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tc>
        <w:tc>
          <w:tcPr>
            <w:tcW w:w="5386" w:type="dxa"/>
          </w:tcPr>
          <w:p w14:paraId="34EB7D5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 июня 1933 года</w:t>
            </w:r>
          </w:p>
        </w:tc>
      </w:tr>
    </w:tbl>
    <w:p w14:paraId="526021F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проходит заводские испытания. Выявлена неудовлетворительная работа масл. и водян. помп. Помпы переделаны. Проходят дальн. завод. испытания.</w:t>
      </w:r>
    </w:p>
    <w:p w14:paraId="4D03CB2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М38 (с нагнетателем)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F26F01" w:rsidRPr="00C33834" w14:paraId="30F006AF" w14:textId="77777777">
        <w:tc>
          <w:tcPr>
            <w:tcW w:w="5070" w:type="dxa"/>
          </w:tcPr>
          <w:p w14:paraId="2594BF5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386" w:type="dxa"/>
          </w:tcPr>
          <w:p w14:paraId="567DBE0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r>
      <w:tr w:rsidR="00F26F01" w:rsidRPr="00C33834" w14:paraId="2DF160B0" w14:textId="77777777">
        <w:tc>
          <w:tcPr>
            <w:tcW w:w="5070" w:type="dxa"/>
          </w:tcPr>
          <w:p w14:paraId="033D2FE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386" w:type="dxa"/>
          </w:tcPr>
          <w:p w14:paraId="5D62AF7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возд.</w:t>
            </w:r>
          </w:p>
        </w:tc>
      </w:tr>
      <w:tr w:rsidR="00F26F01" w:rsidRPr="00C33834" w14:paraId="4A1F3077" w14:textId="77777777">
        <w:tc>
          <w:tcPr>
            <w:tcW w:w="5070" w:type="dxa"/>
          </w:tcPr>
          <w:p w14:paraId="20171A3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386" w:type="dxa"/>
          </w:tcPr>
          <w:p w14:paraId="3155F83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r>
      <w:tr w:rsidR="00F26F01" w:rsidRPr="00C33834" w14:paraId="485487AC" w14:textId="77777777">
        <w:tc>
          <w:tcPr>
            <w:tcW w:w="5070" w:type="dxa"/>
          </w:tcPr>
          <w:p w14:paraId="299315B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386" w:type="dxa"/>
          </w:tcPr>
          <w:p w14:paraId="0AB4776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r>
      <w:tr w:rsidR="00F26F01" w:rsidRPr="00C33834" w14:paraId="3BAE4584" w14:textId="77777777">
        <w:tc>
          <w:tcPr>
            <w:tcW w:w="5070" w:type="dxa"/>
          </w:tcPr>
          <w:p w14:paraId="6DE5BD9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386" w:type="dxa"/>
          </w:tcPr>
          <w:p w14:paraId="21A7C14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246EA6C" w14:textId="77777777">
        <w:tc>
          <w:tcPr>
            <w:tcW w:w="5070" w:type="dxa"/>
          </w:tcPr>
          <w:p w14:paraId="27AD9D7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386" w:type="dxa"/>
          </w:tcPr>
          <w:p w14:paraId="4A7DAC4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r>
      <w:tr w:rsidR="00F26F01" w:rsidRPr="00C33834" w14:paraId="1F99129B" w14:textId="77777777">
        <w:tc>
          <w:tcPr>
            <w:tcW w:w="5070" w:type="dxa"/>
          </w:tcPr>
          <w:p w14:paraId="059C07C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386" w:type="dxa"/>
          </w:tcPr>
          <w:p w14:paraId="4DE32F4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F4AA9B7" w14:textId="77777777">
        <w:tc>
          <w:tcPr>
            <w:tcW w:w="5070" w:type="dxa"/>
          </w:tcPr>
          <w:p w14:paraId="4E6B820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386" w:type="dxa"/>
          </w:tcPr>
          <w:p w14:paraId="0D68F9F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августа 1931 года</w:t>
            </w:r>
          </w:p>
        </w:tc>
      </w:tr>
      <w:tr w:rsidR="00F26F01" w:rsidRPr="00C33834" w14:paraId="15294446" w14:textId="77777777">
        <w:tc>
          <w:tcPr>
            <w:tcW w:w="5070" w:type="dxa"/>
          </w:tcPr>
          <w:p w14:paraId="3E5D864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386" w:type="dxa"/>
          </w:tcPr>
          <w:p w14:paraId="24F63A5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24AAC36" w14:textId="77777777">
        <w:tc>
          <w:tcPr>
            <w:tcW w:w="5070" w:type="dxa"/>
          </w:tcPr>
          <w:p w14:paraId="6B2CE00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tc>
        <w:tc>
          <w:tcPr>
            <w:tcW w:w="5386" w:type="dxa"/>
          </w:tcPr>
          <w:p w14:paraId="339B925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года</w:t>
            </w:r>
          </w:p>
        </w:tc>
      </w:tr>
    </w:tbl>
    <w:p w14:paraId="35BD76D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прошел на станке 260 часов на зав. испытаниях. Детали, показавшие неудовлетворительную работу: головка цилиндра, поршень, распред. механизм - переделаны. Мотор с новыми деталями собирается для дальнейших заводских испытаний.</w:t>
      </w:r>
    </w:p>
    <w:p w14:paraId="4084430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М38Р (с нагнетателем и редуктором)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F26F01" w:rsidRPr="00C33834" w14:paraId="54ADE757" w14:textId="77777777">
        <w:tc>
          <w:tcPr>
            <w:tcW w:w="5070" w:type="dxa"/>
          </w:tcPr>
          <w:p w14:paraId="2D0B931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386" w:type="dxa"/>
          </w:tcPr>
          <w:p w14:paraId="3015F03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r>
      <w:tr w:rsidR="00F26F01" w:rsidRPr="00C33834" w14:paraId="5568B264" w14:textId="77777777">
        <w:tc>
          <w:tcPr>
            <w:tcW w:w="5070" w:type="dxa"/>
          </w:tcPr>
          <w:p w14:paraId="2E90E1A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386" w:type="dxa"/>
          </w:tcPr>
          <w:p w14:paraId="072C9BF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возд.</w:t>
            </w:r>
          </w:p>
        </w:tc>
      </w:tr>
      <w:tr w:rsidR="00F26F01" w:rsidRPr="00C33834" w14:paraId="7AC5B497" w14:textId="77777777">
        <w:tc>
          <w:tcPr>
            <w:tcW w:w="5070" w:type="dxa"/>
          </w:tcPr>
          <w:p w14:paraId="2C9087B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386" w:type="dxa"/>
          </w:tcPr>
          <w:p w14:paraId="3FB4163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r>
      <w:tr w:rsidR="00F26F01" w:rsidRPr="00C33834" w14:paraId="55D7763C" w14:textId="77777777">
        <w:tc>
          <w:tcPr>
            <w:tcW w:w="5070" w:type="dxa"/>
          </w:tcPr>
          <w:p w14:paraId="0DADF8E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386" w:type="dxa"/>
          </w:tcPr>
          <w:p w14:paraId="6633372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430</w:t>
            </w:r>
          </w:p>
        </w:tc>
      </w:tr>
      <w:tr w:rsidR="00F26F01" w:rsidRPr="00C33834" w14:paraId="484A286B" w14:textId="77777777">
        <w:tc>
          <w:tcPr>
            <w:tcW w:w="5070" w:type="dxa"/>
          </w:tcPr>
          <w:p w14:paraId="45DFB5F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386" w:type="dxa"/>
          </w:tcPr>
          <w:p w14:paraId="32537F5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03DDC88" w14:textId="77777777">
        <w:tc>
          <w:tcPr>
            <w:tcW w:w="5070" w:type="dxa"/>
          </w:tcPr>
          <w:p w14:paraId="5FFD609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386" w:type="dxa"/>
          </w:tcPr>
          <w:p w14:paraId="166F8B4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r>
      <w:tr w:rsidR="00F26F01" w:rsidRPr="00C33834" w14:paraId="651C1F20" w14:textId="77777777">
        <w:tc>
          <w:tcPr>
            <w:tcW w:w="5070" w:type="dxa"/>
          </w:tcPr>
          <w:p w14:paraId="704235C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386" w:type="dxa"/>
          </w:tcPr>
          <w:p w14:paraId="3716147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8BD422E" w14:textId="77777777">
        <w:tc>
          <w:tcPr>
            <w:tcW w:w="5070" w:type="dxa"/>
          </w:tcPr>
          <w:p w14:paraId="02E2FF2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386" w:type="dxa"/>
          </w:tcPr>
          <w:p w14:paraId="5963E7B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года зав. исп.</w:t>
            </w:r>
          </w:p>
        </w:tc>
      </w:tr>
      <w:tr w:rsidR="00F26F01" w:rsidRPr="00C33834" w14:paraId="5380BC42" w14:textId="77777777">
        <w:tc>
          <w:tcPr>
            <w:tcW w:w="5070" w:type="dxa"/>
          </w:tcPr>
          <w:p w14:paraId="3FA0C25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386" w:type="dxa"/>
          </w:tcPr>
          <w:p w14:paraId="154D59F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5D89849" w14:textId="77777777">
        <w:tc>
          <w:tcPr>
            <w:tcW w:w="5070" w:type="dxa"/>
          </w:tcPr>
          <w:p w14:paraId="0CC308E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tc>
        <w:tc>
          <w:tcPr>
            <w:tcW w:w="5386" w:type="dxa"/>
          </w:tcPr>
          <w:p w14:paraId="3139EA2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3156F24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Будет пущен в производство после окончания М38 с нагнетателем.</w:t>
      </w:r>
    </w:p>
    <w:p w14:paraId="6F9850E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М35 с нагнетателем и редуктором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F26F01" w:rsidRPr="00C33834" w14:paraId="72C11F36" w14:textId="77777777">
        <w:tc>
          <w:tcPr>
            <w:tcW w:w="5070" w:type="dxa"/>
          </w:tcPr>
          <w:p w14:paraId="4164649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386" w:type="dxa"/>
          </w:tcPr>
          <w:p w14:paraId="4374CBF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r>
      <w:tr w:rsidR="00F26F01" w:rsidRPr="00C33834" w14:paraId="2CE8172C" w14:textId="77777777">
        <w:tc>
          <w:tcPr>
            <w:tcW w:w="5070" w:type="dxa"/>
          </w:tcPr>
          <w:p w14:paraId="75D7571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Охлаждение</w:t>
            </w:r>
          </w:p>
        </w:tc>
        <w:tc>
          <w:tcPr>
            <w:tcW w:w="5386" w:type="dxa"/>
          </w:tcPr>
          <w:p w14:paraId="6134428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w:t>
            </w:r>
          </w:p>
        </w:tc>
      </w:tr>
      <w:tr w:rsidR="00F26F01" w:rsidRPr="00C33834" w14:paraId="0F1D57AC" w14:textId="77777777">
        <w:tc>
          <w:tcPr>
            <w:tcW w:w="5070" w:type="dxa"/>
          </w:tcPr>
          <w:p w14:paraId="5ECDB15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386" w:type="dxa"/>
          </w:tcPr>
          <w:p w14:paraId="14189BC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1500-1800</w:t>
            </w:r>
          </w:p>
        </w:tc>
      </w:tr>
      <w:tr w:rsidR="00F26F01" w:rsidRPr="00C33834" w14:paraId="441D9DAE" w14:textId="77777777">
        <w:tc>
          <w:tcPr>
            <w:tcW w:w="5070" w:type="dxa"/>
          </w:tcPr>
          <w:p w14:paraId="73B9194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386" w:type="dxa"/>
          </w:tcPr>
          <w:p w14:paraId="1F0CAB8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w:t>
            </w:r>
          </w:p>
        </w:tc>
      </w:tr>
      <w:tr w:rsidR="00F26F01" w:rsidRPr="00C33834" w14:paraId="07782D53" w14:textId="77777777">
        <w:tc>
          <w:tcPr>
            <w:tcW w:w="5070" w:type="dxa"/>
          </w:tcPr>
          <w:p w14:paraId="3F37002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386" w:type="dxa"/>
          </w:tcPr>
          <w:p w14:paraId="3C0E30F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7B29368" w14:textId="77777777">
        <w:tc>
          <w:tcPr>
            <w:tcW w:w="5070" w:type="dxa"/>
          </w:tcPr>
          <w:p w14:paraId="286F7D3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386" w:type="dxa"/>
          </w:tcPr>
          <w:p w14:paraId="5823FD2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r>
      <w:tr w:rsidR="00F26F01" w:rsidRPr="00C33834" w14:paraId="05B8A950" w14:textId="77777777">
        <w:tc>
          <w:tcPr>
            <w:tcW w:w="5070" w:type="dxa"/>
          </w:tcPr>
          <w:p w14:paraId="18CDF45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386" w:type="dxa"/>
          </w:tcPr>
          <w:p w14:paraId="3024901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3302C11" w14:textId="77777777">
        <w:tc>
          <w:tcPr>
            <w:tcW w:w="5070" w:type="dxa"/>
          </w:tcPr>
          <w:p w14:paraId="1844053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386" w:type="dxa"/>
          </w:tcPr>
          <w:p w14:paraId="04887D0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апреля 1933 года зав. испыт.</w:t>
            </w:r>
          </w:p>
        </w:tc>
      </w:tr>
      <w:tr w:rsidR="00F26F01" w:rsidRPr="00C33834" w14:paraId="5AEC5B29" w14:textId="77777777">
        <w:tc>
          <w:tcPr>
            <w:tcW w:w="5070" w:type="dxa"/>
          </w:tcPr>
          <w:p w14:paraId="6A172B1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386" w:type="dxa"/>
          </w:tcPr>
          <w:p w14:paraId="15DD03E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B6B3E8A" w14:textId="77777777">
        <w:tc>
          <w:tcPr>
            <w:tcW w:w="5070" w:type="dxa"/>
          </w:tcPr>
          <w:p w14:paraId="3872195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tc>
        <w:tc>
          <w:tcPr>
            <w:tcW w:w="5386" w:type="dxa"/>
          </w:tcPr>
          <w:p w14:paraId="0C4342E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2C4AEFB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строится ввиду неудовлетворительности, разработанного ЦИАМом проекта.</w:t>
      </w:r>
    </w:p>
    <w:p w14:paraId="51DA8F6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М32 с нагнетат. и редуктором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F26F01" w:rsidRPr="00C33834" w14:paraId="1A0604E9" w14:textId="77777777">
        <w:tc>
          <w:tcPr>
            <w:tcW w:w="5070" w:type="dxa"/>
          </w:tcPr>
          <w:p w14:paraId="48BB3E8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386" w:type="dxa"/>
          </w:tcPr>
          <w:p w14:paraId="525B778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r>
      <w:tr w:rsidR="00F26F01" w:rsidRPr="00C33834" w14:paraId="0E2B44FA" w14:textId="77777777">
        <w:tc>
          <w:tcPr>
            <w:tcW w:w="5070" w:type="dxa"/>
          </w:tcPr>
          <w:p w14:paraId="73F72A5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386" w:type="dxa"/>
          </w:tcPr>
          <w:p w14:paraId="6C1F772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w:t>
            </w:r>
          </w:p>
        </w:tc>
      </w:tr>
      <w:tr w:rsidR="00F26F01" w:rsidRPr="00C33834" w14:paraId="2511A494" w14:textId="77777777">
        <w:tc>
          <w:tcPr>
            <w:tcW w:w="5070" w:type="dxa"/>
          </w:tcPr>
          <w:p w14:paraId="2D01DFA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386" w:type="dxa"/>
          </w:tcPr>
          <w:p w14:paraId="3BED98F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r>
      <w:tr w:rsidR="00F26F01" w:rsidRPr="00C33834" w14:paraId="622F45AE" w14:textId="77777777">
        <w:tc>
          <w:tcPr>
            <w:tcW w:w="5070" w:type="dxa"/>
          </w:tcPr>
          <w:p w14:paraId="30E396B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386" w:type="dxa"/>
          </w:tcPr>
          <w:p w14:paraId="261A836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r>
      <w:tr w:rsidR="00F26F01" w:rsidRPr="00C33834" w14:paraId="02BBDA96" w14:textId="77777777">
        <w:tc>
          <w:tcPr>
            <w:tcW w:w="5070" w:type="dxa"/>
          </w:tcPr>
          <w:p w14:paraId="4A91007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386" w:type="dxa"/>
          </w:tcPr>
          <w:p w14:paraId="37CB064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6C7270C" w14:textId="77777777">
        <w:tc>
          <w:tcPr>
            <w:tcW w:w="5070" w:type="dxa"/>
          </w:tcPr>
          <w:p w14:paraId="7BBD605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386" w:type="dxa"/>
          </w:tcPr>
          <w:p w14:paraId="2B25DE1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r>
      <w:tr w:rsidR="00F26F01" w:rsidRPr="00C33834" w14:paraId="0F3B6A62" w14:textId="77777777">
        <w:tc>
          <w:tcPr>
            <w:tcW w:w="5070" w:type="dxa"/>
          </w:tcPr>
          <w:p w14:paraId="0131E4C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386" w:type="dxa"/>
          </w:tcPr>
          <w:p w14:paraId="7221A17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863FF1D" w14:textId="77777777">
        <w:tc>
          <w:tcPr>
            <w:tcW w:w="5070" w:type="dxa"/>
          </w:tcPr>
          <w:p w14:paraId="756CFA0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386" w:type="dxa"/>
          </w:tcPr>
          <w:p w14:paraId="70C1DDB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1932 года</w:t>
            </w:r>
          </w:p>
        </w:tc>
      </w:tr>
      <w:tr w:rsidR="00F26F01" w:rsidRPr="00C33834" w14:paraId="77B6F09E" w14:textId="77777777">
        <w:tc>
          <w:tcPr>
            <w:tcW w:w="5070" w:type="dxa"/>
          </w:tcPr>
          <w:p w14:paraId="0F3ECD9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386" w:type="dxa"/>
          </w:tcPr>
          <w:p w14:paraId="7761A2F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B381A60" w14:textId="77777777">
        <w:tc>
          <w:tcPr>
            <w:tcW w:w="5070" w:type="dxa"/>
          </w:tcPr>
          <w:p w14:paraId="4039D17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tc>
        <w:tc>
          <w:tcPr>
            <w:tcW w:w="5386" w:type="dxa"/>
          </w:tcPr>
          <w:p w14:paraId="052583A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- 1 августа 1933 года</w:t>
            </w:r>
          </w:p>
        </w:tc>
      </w:tr>
    </w:tbl>
    <w:p w14:paraId="025888A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проходит заводские испытания, отработав на станке 47 часов. Выявлены основные дефекты: недостаточная жесткость вод. рубашки, трещины в подшипниках, трещины головки блока. Мотор с переделанными деталями собирается для дальнейших зав. испытаний. Мощн. мотора 600 л.с. Вес 430 кг. Нагнетатель еще не испытан. Высотность не проверена.</w:t>
      </w:r>
    </w:p>
    <w:p w14:paraId="197F35D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М44 с нагнетателем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F26F01" w:rsidRPr="00C33834" w14:paraId="6FADABF2" w14:textId="77777777">
        <w:tc>
          <w:tcPr>
            <w:tcW w:w="5070" w:type="dxa"/>
          </w:tcPr>
          <w:p w14:paraId="4041B51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386" w:type="dxa"/>
          </w:tcPr>
          <w:p w14:paraId="33CD8D2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r>
      <w:tr w:rsidR="00F26F01" w:rsidRPr="00C33834" w14:paraId="136AFCB6" w14:textId="77777777">
        <w:tc>
          <w:tcPr>
            <w:tcW w:w="5070" w:type="dxa"/>
          </w:tcPr>
          <w:p w14:paraId="74AA506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386" w:type="dxa"/>
          </w:tcPr>
          <w:p w14:paraId="44DAA7F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w:t>
            </w:r>
          </w:p>
        </w:tc>
      </w:tr>
      <w:tr w:rsidR="00F26F01" w:rsidRPr="00C33834" w14:paraId="525790BD" w14:textId="77777777">
        <w:tc>
          <w:tcPr>
            <w:tcW w:w="5070" w:type="dxa"/>
          </w:tcPr>
          <w:p w14:paraId="0A6D924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386" w:type="dxa"/>
          </w:tcPr>
          <w:p w14:paraId="2890B40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r>
      <w:tr w:rsidR="00F26F01" w:rsidRPr="00C33834" w14:paraId="23AE6DEA" w14:textId="77777777">
        <w:tc>
          <w:tcPr>
            <w:tcW w:w="5070" w:type="dxa"/>
          </w:tcPr>
          <w:p w14:paraId="045889D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386" w:type="dxa"/>
          </w:tcPr>
          <w:p w14:paraId="53ACB52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r>
      <w:tr w:rsidR="00F26F01" w:rsidRPr="00C33834" w14:paraId="54CFBCED" w14:textId="77777777">
        <w:tc>
          <w:tcPr>
            <w:tcW w:w="5070" w:type="dxa"/>
          </w:tcPr>
          <w:p w14:paraId="75BB6E3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386" w:type="dxa"/>
          </w:tcPr>
          <w:p w14:paraId="327F32E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F212925" w14:textId="77777777">
        <w:tc>
          <w:tcPr>
            <w:tcW w:w="5070" w:type="dxa"/>
          </w:tcPr>
          <w:p w14:paraId="408FAC1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386" w:type="dxa"/>
          </w:tcPr>
          <w:p w14:paraId="62CA8A1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3500</w:t>
            </w:r>
          </w:p>
        </w:tc>
      </w:tr>
      <w:tr w:rsidR="00F26F01" w:rsidRPr="00C33834" w14:paraId="47DE1C7B" w14:textId="77777777">
        <w:tc>
          <w:tcPr>
            <w:tcW w:w="5070" w:type="dxa"/>
          </w:tcPr>
          <w:p w14:paraId="0634232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386" w:type="dxa"/>
          </w:tcPr>
          <w:p w14:paraId="1936015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6BD2C80" w14:textId="77777777">
        <w:tc>
          <w:tcPr>
            <w:tcW w:w="5070" w:type="dxa"/>
          </w:tcPr>
          <w:p w14:paraId="2EF7652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386" w:type="dxa"/>
          </w:tcPr>
          <w:p w14:paraId="63F0C4D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1933 года</w:t>
            </w:r>
          </w:p>
        </w:tc>
      </w:tr>
      <w:tr w:rsidR="00F26F01" w:rsidRPr="00C33834" w14:paraId="5135A93D" w14:textId="77777777">
        <w:tc>
          <w:tcPr>
            <w:tcW w:w="5070" w:type="dxa"/>
          </w:tcPr>
          <w:p w14:paraId="4260F8A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386" w:type="dxa"/>
          </w:tcPr>
          <w:p w14:paraId="1D2FE37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C2E1824" w14:textId="77777777">
        <w:tc>
          <w:tcPr>
            <w:tcW w:w="5070" w:type="dxa"/>
          </w:tcPr>
          <w:p w14:paraId="12AA69A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tc>
        <w:tc>
          <w:tcPr>
            <w:tcW w:w="5386" w:type="dxa"/>
          </w:tcPr>
          <w:p w14:paraId="2EA49D2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1933 года</w:t>
            </w:r>
          </w:p>
        </w:tc>
      </w:tr>
    </w:tbl>
    <w:p w14:paraId="0F610CA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Детали в механической обработке. Мотор станет на заводские испытания 1 июня - 1 июля 1933 года. В виду отсутствия опыта даже в заграничной практике постройки моторов таких мощностей, срок предъявления на гос. испытания весьма ориентировочный.</w:t>
      </w:r>
    </w:p>
    <w:p w14:paraId="192F019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F26F01" w:rsidRPr="00C33834" w14:paraId="1236BAC5" w14:textId="77777777">
        <w:tc>
          <w:tcPr>
            <w:tcW w:w="4928" w:type="dxa"/>
          </w:tcPr>
          <w:p w14:paraId="3B5DBE8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528" w:type="dxa"/>
          </w:tcPr>
          <w:p w14:paraId="1663EAE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r>
      <w:tr w:rsidR="00F26F01" w:rsidRPr="00C33834" w14:paraId="246D978A" w14:textId="77777777">
        <w:tc>
          <w:tcPr>
            <w:tcW w:w="4928" w:type="dxa"/>
          </w:tcPr>
          <w:p w14:paraId="58A7C2C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528" w:type="dxa"/>
          </w:tcPr>
          <w:p w14:paraId="36E904E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w:t>
            </w:r>
          </w:p>
        </w:tc>
      </w:tr>
      <w:tr w:rsidR="00F26F01" w:rsidRPr="00C33834" w14:paraId="5A58427A" w14:textId="77777777">
        <w:tc>
          <w:tcPr>
            <w:tcW w:w="4928" w:type="dxa"/>
          </w:tcPr>
          <w:p w14:paraId="1B5B548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528" w:type="dxa"/>
          </w:tcPr>
          <w:p w14:paraId="19C5F51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350-400</w:t>
            </w:r>
          </w:p>
        </w:tc>
      </w:tr>
      <w:tr w:rsidR="00F26F01" w:rsidRPr="00C33834" w14:paraId="36CB0095" w14:textId="77777777">
        <w:tc>
          <w:tcPr>
            <w:tcW w:w="4928" w:type="dxa"/>
          </w:tcPr>
          <w:p w14:paraId="06FB3B5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528" w:type="dxa"/>
          </w:tcPr>
          <w:p w14:paraId="6F1FECC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r>
      <w:tr w:rsidR="00F26F01" w:rsidRPr="00C33834" w14:paraId="5DD445EE" w14:textId="77777777">
        <w:tc>
          <w:tcPr>
            <w:tcW w:w="4928" w:type="dxa"/>
          </w:tcPr>
          <w:p w14:paraId="24E224D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528" w:type="dxa"/>
          </w:tcPr>
          <w:p w14:paraId="12ABA48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256C103" w14:textId="77777777">
        <w:tc>
          <w:tcPr>
            <w:tcW w:w="4928" w:type="dxa"/>
          </w:tcPr>
          <w:p w14:paraId="338BA8B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528" w:type="dxa"/>
          </w:tcPr>
          <w:p w14:paraId="0FD3FB2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E056A0E" w14:textId="77777777">
        <w:tc>
          <w:tcPr>
            <w:tcW w:w="4928" w:type="dxa"/>
          </w:tcPr>
          <w:p w14:paraId="6537729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528" w:type="dxa"/>
          </w:tcPr>
          <w:p w14:paraId="1B35122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F8E1F7C" w14:textId="77777777">
        <w:tc>
          <w:tcPr>
            <w:tcW w:w="4928" w:type="dxa"/>
          </w:tcPr>
          <w:p w14:paraId="10C294C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528" w:type="dxa"/>
          </w:tcPr>
          <w:p w14:paraId="13D222C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1932 года</w:t>
            </w:r>
          </w:p>
        </w:tc>
      </w:tr>
      <w:tr w:rsidR="00F26F01" w:rsidRPr="00C33834" w14:paraId="071E3387" w14:textId="77777777">
        <w:tc>
          <w:tcPr>
            <w:tcW w:w="4928" w:type="dxa"/>
          </w:tcPr>
          <w:p w14:paraId="0A5AD26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528" w:type="dxa"/>
          </w:tcPr>
          <w:p w14:paraId="5946AB1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D3D9CEB" w14:textId="77777777">
        <w:tc>
          <w:tcPr>
            <w:tcW w:w="4928" w:type="dxa"/>
          </w:tcPr>
          <w:p w14:paraId="2CAB6EE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tc>
        <w:tc>
          <w:tcPr>
            <w:tcW w:w="5528" w:type="dxa"/>
          </w:tcPr>
          <w:p w14:paraId="47CB4C5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1933 года</w:t>
            </w:r>
          </w:p>
        </w:tc>
      </w:tr>
    </w:tbl>
    <w:p w14:paraId="1FB9DD5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проходит заводские испытания. Факт. тех. данные: мощность: 400-425 л.с., вес - 390 кг. Мотор прошел на станке 23 часа. Сломан картер и вод. помпа. Новый картер в производстве.</w:t>
      </w:r>
    </w:p>
    <w:p w14:paraId="386DBAC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М54 (форс. М34)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F26F01" w:rsidRPr="00C33834" w14:paraId="2F616B16" w14:textId="77777777">
        <w:tc>
          <w:tcPr>
            <w:tcW w:w="4928" w:type="dxa"/>
          </w:tcPr>
          <w:p w14:paraId="64A46D5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528" w:type="dxa"/>
          </w:tcPr>
          <w:p w14:paraId="130484A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r>
      <w:tr w:rsidR="00F26F01" w:rsidRPr="00C33834" w14:paraId="4FD524D9" w14:textId="77777777">
        <w:tc>
          <w:tcPr>
            <w:tcW w:w="4928" w:type="dxa"/>
          </w:tcPr>
          <w:p w14:paraId="4755E6D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528" w:type="dxa"/>
          </w:tcPr>
          <w:p w14:paraId="458664C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w:t>
            </w:r>
          </w:p>
        </w:tc>
      </w:tr>
      <w:tr w:rsidR="00F26F01" w:rsidRPr="00C33834" w14:paraId="51884F9E" w14:textId="77777777">
        <w:tc>
          <w:tcPr>
            <w:tcW w:w="4928" w:type="dxa"/>
          </w:tcPr>
          <w:p w14:paraId="3EF36AA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528" w:type="dxa"/>
          </w:tcPr>
          <w:p w14:paraId="1B4F6FF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r>
      <w:tr w:rsidR="00F26F01" w:rsidRPr="00C33834" w14:paraId="471D7740" w14:textId="77777777">
        <w:tc>
          <w:tcPr>
            <w:tcW w:w="4928" w:type="dxa"/>
          </w:tcPr>
          <w:p w14:paraId="7563534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528" w:type="dxa"/>
          </w:tcPr>
          <w:p w14:paraId="7E7E1CA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r>
      <w:tr w:rsidR="00F26F01" w:rsidRPr="00C33834" w14:paraId="5F25601E" w14:textId="77777777">
        <w:tc>
          <w:tcPr>
            <w:tcW w:w="4928" w:type="dxa"/>
          </w:tcPr>
          <w:p w14:paraId="5074AA9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528" w:type="dxa"/>
          </w:tcPr>
          <w:p w14:paraId="26C1429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E64F02C" w14:textId="77777777">
        <w:tc>
          <w:tcPr>
            <w:tcW w:w="4928" w:type="dxa"/>
          </w:tcPr>
          <w:p w14:paraId="37E54BF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528" w:type="dxa"/>
          </w:tcPr>
          <w:p w14:paraId="72A13B1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r>
      <w:tr w:rsidR="00F26F01" w:rsidRPr="00C33834" w14:paraId="0AE846DE" w14:textId="77777777">
        <w:tc>
          <w:tcPr>
            <w:tcW w:w="4928" w:type="dxa"/>
          </w:tcPr>
          <w:p w14:paraId="715E838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528" w:type="dxa"/>
          </w:tcPr>
          <w:p w14:paraId="51E9A19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66FC38D" w14:textId="77777777">
        <w:tc>
          <w:tcPr>
            <w:tcW w:w="4928" w:type="dxa"/>
          </w:tcPr>
          <w:p w14:paraId="0BF36A8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528" w:type="dxa"/>
          </w:tcPr>
          <w:p w14:paraId="144B43A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года</w:t>
            </w:r>
          </w:p>
        </w:tc>
      </w:tr>
      <w:tr w:rsidR="00F26F01" w:rsidRPr="00C33834" w14:paraId="66026C1C" w14:textId="77777777">
        <w:tc>
          <w:tcPr>
            <w:tcW w:w="4928" w:type="dxa"/>
          </w:tcPr>
          <w:p w14:paraId="28ADB63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528" w:type="dxa"/>
          </w:tcPr>
          <w:p w14:paraId="2B33319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ED1F49F" w14:textId="77777777">
        <w:tc>
          <w:tcPr>
            <w:tcW w:w="4928" w:type="dxa"/>
          </w:tcPr>
          <w:p w14:paraId="05FA4A7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tc>
        <w:tc>
          <w:tcPr>
            <w:tcW w:w="5528" w:type="dxa"/>
          </w:tcPr>
          <w:p w14:paraId="6E08487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1934 году</w:t>
            </w:r>
          </w:p>
        </w:tc>
      </w:tr>
    </w:tbl>
    <w:p w14:paraId="67A2527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Два мотора М-34 готовятся для испытаний на форсированных оборотах. М54 без наддува может быть предъявлен на гос. испытания 1 августа. М54 с наддувом будет предъявлен только после разрешения вопроса с нагнетателем.</w:t>
      </w:r>
    </w:p>
    <w:p w14:paraId="5943D11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М55 (перев. М34)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F26F01" w:rsidRPr="00C33834" w14:paraId="4A77FBDA" w14:textId="77777777">
        <w:tc>
          <w:tcPr>
            <w:tcW w:w="4928" w:type="dxa"/>
          </w:tcPr>
          <w:p w14:paraId="19B8477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528" w:type="dxa"/>
          </w:tcPr>
          <w:p w14:paraId="4D9AE60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r>
      <w:tr w:rsidR="00F26F01" w:rsidRPr="00C33834" w14:paraId="6D2B8030" w14:textId="77777777">
        <w:tc>
          <w:tcPr>
            <w:tcW w:w="4928" w:type="dxa"/>
          </w:tcPr>
          <w:p w14:paraId="7805BB7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528" w:type="dxa"/>
          </w:tcPr>
          <w:p w14:paraId="0EF5222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w:t>
            </w:r>
          </w:p>
        </w:tc>
      </w:tr>
      <w:tr w:rsidR="00F26F01" w:rsidRPr="00C33834" w14:paraId="54D06D47" w14:textId="77777777">
        <w:tc>
          <w:tcPr>
            <w:tcW w:w="4928" w:type="dxa"/>
          </w:tcPr>
          <w:p w14:paraId="38E1ABB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528" w:type="dxa"/>
          </w:tcPr>
          <w:p w14:paraId="44859C7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r>
      <w:tr w:rsidR="00F26F01" w:rsidRPr="00C33834" w14:paraId="4EAB3439" w14:textId="77777777">
        <w:tc>
          <w:tcPr>
            <w:tcW w:w="4928" w:type="dxa"/>
          </w:tcPr>
          <w:p w14:paraId="5AFD13C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528" w:type="dxa"/>
          </w:tcPr>
          <w:p w14:paraId="39ECDB7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r>
      <w:tr w:rsidR="00F26F01" w:rsidRPr="00C33834" w14:paraId="3B36F289" w14:textId="77777777">
        <w:tc>
          <w:tcPr>
            <w:tcW w:w="4928" w:type="dxa"/>
          </w:tcPr>
          <w:p w14:paraId="18FF551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528" w:type="dxa"/>
          </w:tcPr>
          <w:p w14:paraId="166EFEF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0D693FE" w14:textId="77777777">
        <w:tc>
          <w:tcPr>
            <w:tcW w:w="4928" w:type="dxa"/>
          </w:tcPr>
          <w:p w14:paraId="4603583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528" w:type="dxa"/>
          </w:tcPr>
          <w:p w14:paraId="095B5B9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r>
      <w:tr w:rsidR="00F26F01" w:rsidRPr="00C33834" w14:paraId="1D136CB6" w14:textId="77777777">
        <w:tc>
          <w:tcPr>
            <w:tcW w:w="4928" w:type="dxa"/>
          </w:tcPr>
          <w:p w14:paraId="12F837B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528" w:type="dxa"/>
          </w:tcPr>
          <w:p w14:paraId="577E230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81BBF91" w14:textId="77777777">
        <w:tc>
          <w:tcPr>
            <w:tcW w:w="4928" w:type="dxa"/>
          </w:tcPr>
          <w:p w14:paraId="0D3E446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528" w:type="dxa"/>
          </w:tcPr>
          <w:p w14:paraId="28D4004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август-октябрь 1933 года</w:t>
            </w:r>
          </w:p>
        </w:tc>
      </w:tr>
      <w:tr w:rsidR="00F26F01" w:rsidRPr="00C33834" w14:paraId="53B6F233" w14:textId="77777777">
        <w:tc>
          <w:tcPr>
            <w:tcW w:w="4928" w:type="dxa"/>
          </w:tcPr>
          <w:p w14:paraId="0B910FB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528" w:type="dxa"/>
          </w:tcPr>
          <w:p w14:paraId="5714CAD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11474FE" w14:textId="77777777">
        <w:tc>
          <w:tcPr>
            <w:tcW w:w="4928" w:type="dxa"/>
          </w:tcPr>
          <w:p w14:paraId="2C7662A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tc>
        <w:tc>
          <w:tcPr>
            <w:tcW w:w="5528" w:type="dxa"/>
          </w:tcPr>
          <w:p w14:paraId="54B439A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28D8E60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Конструкция не разработана, т.к. этот тип мотора в настоящее время не нужен ВВС.</w:t>
      </w:r>
    </w:p>
    <w:p w14:paraId="23FD656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F26F01" w:rsidRPr="00C33834" w14:paraId="7E3468F5" w14:textId="77777777">
        <w:tc>
          <w:tcPr>
            <w:tcW w:w="4928" w:type="dxa"/>
          </w:tcPr>
          <w:p w14:paraId="4B27BF2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528" w:type="dxa"/>
          </w:tcPr>
          <w:p w14:paraId="4EDC8DB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N 29</w:t>
            </w:r>
          </w:p>
        </w:tc>
      </w:tr>
      <w:tr w:rsidR="00F26F01" w:rsidRPr="00C33834" w14:paraId="04D9C6CD" w14:textId="77777777">
        <w:tc>
          <w:tcPr>
            <w:tcW w:w="4928" w:type="dxa"/>
          </w:tcPr>
          <w:p w14:paraId="3BAB7EE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528" w:type="dxa"/>
          </w:tcPr>
          <w:p w14:paraId="3D30668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возд.</w:t>
            </w:r>
          </w:p>
        </w:tc>
      </w:tr>
      <w:tr w:rsidR="00F26F01" w:rsidRPr="00C33834" w14:paraId="5C9970D0" w14:textId="77777777">
        <w:tc>
          <w:tcPr>
            <w:tcW w:w="4928" w:type="dxa"/>
          </w:tcPr>
          <w:p w14:paraId="31AC48B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528" w:type="dxa"/>
          </w:tcPr>
          <w:p w14:paraId="396E6EB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165</w:t>
            </w:r>
          </w:p>
        </w:tc>
      </w:tr>
      <w:tr w:rsidR="00F26F01" w:rsidRPr="00C33834" w14:paraId="3643927D" w14:textId="77777777">
        <w:tc>
          <w:tcPr>
            <w:tcW w:w="4928" w:type="dxa"/>
          </w:tcPr>
          <w:p w14:paraId="0589C6B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Вес</w:t>
            </w:r>
          </w:p>
        </w:tc>
        <w:tc>
          <w:tcPr>
            <w:tcW w:w="5528" w:type="dxa"/>
          </w:tcPr>
          <w:p w14:paraId="1199043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w:t>
            </w:r>
          </w:p>
        </w:tc>
      </w:tr>
      <w:tr w:rsidR="00F26F01" w:rsidRPr="00C33834" w14:paraId="6658E8BF" w14:textId="77777777">
        <w:tc>
          <w:tcPr>
            <w:tcW w:w="4928" w:type="dxa"/>
          </w:tcPr>
          <w:p w14:paraId="59579D7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528" w:type="dxa"/>
          </w:tcPr>
          <w:p w14:paraId="11402F0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0571D94" w14:textId="77777777">
        <w:tc>
          <w:tcPr>
            <w:tcW w:w="4928" w:type="dxa"/>
          </w:tcPr>
          <w:p w14:paraId="7BE5D2F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528" w:type="dxa"/>
          </w:tcPr>
          <w:p w14:paraId="3ADBE11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45AB0BA" w14:textId="77777777">
        <w:tc>
          <w:tcPr>
            <w:tcW w:w="4928" w:type="dxa"/>
          </w:tcPr>
          <w:p w14:paraId="491671A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528" w:type="dxa"/>
          </w:tcPr>
          <w:p w14:paraId="7D13316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0D1B823" w14:textId="77777777">
        <w:tc>
          <w:tcPr>
            <w:tcW w:w="4928" w:type="dxa"/>
          </w:tcPr>
          <w:p w14:paraId="063AC2E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528" w:type="dxa"/>
          </w:tcPr>
          <w:p w14:paraId="175346D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1932 года</w:t>
            </w:r>
          </w:p>
        </w:tc>
      </w:tr>
      <w:tr w:rsidR="00F26F01" w:rsidRPr="00C33834" w14:paraId="2C42C367" w14:textId="77777777">
        <w:tc>
          <w:tcPr>
            <w:tcW w:w="4928" w:type="dxa"/>
          </w:tcPr>
          <w:p w14:paraId="3892179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528" w:type="dxa"/>
          </w:tcPr>
          <w:p w14:paraId="579FE5E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FC21AB8" w14:textId="77777777">
        <w:tc>
          <w:tcPr>
            <w:tcW w:w="4928" w:type="dxa"/>
          </w:tcPr>
          <w:p w14:paraId="184F180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tc>
        <w:tc>
          <w:tcPr>
            <w:tcW w:w="5528" w:type="dxa"/>
          </w:tcPr>
          <w:p w14:paraId="2D5923E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года</w:t>
            </w:r>
          </w:p>
        </w:tc>
      </w:tr>
    </w:tbl>
    <w:p w14:paraId="6487F69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проходит заводские испытания. Неудовлетворит. работа упругой муфты передачи к импеллеру. Муфта переделана. Продолжаются дальнейш. зав. испытания. Мощность мотора - 200 л.с. Вес - 194 кг.</w:t>
      </w:r>
    </w:p>
    <w:p w14:paraId="4F0BA7F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F26F01" w:rsidRPr="00C33834" w14:paraId="35A5E348" w14:textId="77777777">
        <w:tc>
          <w:tcPr>
            <w:tcW w:w="4928" w:type="dxa"/>
          </w:tcPr>
          <w:p w14:paraId="0D388A6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528" w:type="dxa"/>
          </w:tcPr>
          <w:p w14:paraId="4D223DB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r>
      <w:tr w:rsidR="00F26F01" w:rsidRPr="00C33834" w14:paraId="6DD5ED3B" w14:textId="77777777">
        <w:tc>
          <w:tcPr>
            <w:tcW w:w="4928" w:type="dxa"/>
          </w:tcPr>
          <w:p w14:paraId="380D002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528" w:type="dxa"/>
          </w:tcPr>
          <w:p w14:paraId="65CC689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возд.</w:t>
            </w:r>
          </w:p>
        </w:tc>
      </w:tr>
      <w:tr w:rsidR="00F26F01" w:rsidRPr="00C33834" w14:paraId="3AA76651" w14:textId="77777777">
        <w:tc>
          <w:tcPr>
            <w:tcW w:w="4928" w:type="dxa"/>
          </w:tcPr>
          <w:p w14:paraId="42FAD1F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528" w:type="dxa"/>
          </w:tcPr>
          <w:p w14:paraId="2B56C3E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7C0F39E8" w14:textId="77777777">
        <w:tc>
          <w:tcPr>
            <w:tcW w:w="4928" w:type="dxa"/>
          </w:tcPr>
          <w:p w14:paraId="430CF7A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528" w:type="dxa"/>
          </w:tcPr>
          <w:p w14:paraId="6384E34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w:t>
            </w:r>
          </w:p>
        </w:tc>
      </w:tr>
      <w:tr w:rsidR="00F26F01" w:rsidRPr="00C33834" w14:paraId="584A9949" w14:textId="77777777">
        <w:tc>
          <w:tcPr>
            <w:tcW w:w="4928" w:type="dxa"/>
          </w:tcPr>
          <w:p w14:paraId="6F2D7EC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528" w:type="dxa"/>
          </w:tcPr>
          <w:p w14:paraId="3F6672B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2DF0A19" w14:textId="77777777">
        <w:tc>
          <w:tcPr>
            <w:tcW w:w="4928" w:type="dxa"/>
          </w:tcPr>
          <w:p w14:paraId="40E76D1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528" w:type="dxa"/>
          </w:tcPr>
          <w:p w14:paraId="0950266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B38A10E" w14:textId="77777777">
        <w:tc>
          <w:tcPr>
            <w:tcW w:w="4928" w:type="dxa"/>
          </w:tcPr>
          <w:p w14:paraId="21934D8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528" w:type="dxa"/>
          </w:tcPr>
          <w:p w14:paraId="2B11215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D67A24A" w14:textId="77777777">
        <w:tc>
          <w:tcPr>
            <w:tcW w:w="4928" w:type="dxa"/>
          </w:tcPr>
          <w:p w14:paraId="5687747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528" w:type="dxa"/>
          </w:tcPr>
          <w:p w14:paraId="258D00E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1932 года</w:t>
            </w:r>
          </w:p>
        </w:tc>
      </w:tr>
      <w:tr w:rsidR="00F26F01" w:rsidRPr="00C33834" w14:paraId="6F6490B5" w14:textId="77777777">
        <w:tc>
          <w:tcPr>
            <w:tcW w:w="4928" w:type="dxa"/>
          </w:tcPr>
          <w:p w14:paraId="7BC9AF9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528" w:type="dxa"/>
          </w:tcPr>
          <w:p w14:paraId="03625BB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A35A1E4" w14:textId="77777777">
        <w:tc>
          <w:tcPr>
            <w:tcW w:w="4928" w:type="dxa"/>
          </w:tcPr>
          <w:p w14:paraId="00104FD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tc>
        <w:tc>
          <w:tcPr>
            <w:tcW w:w="5528" w:type="dxa"/>
          </w:tcPr>
          <w:p w14:paraId="0CD2B34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46904DD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прошел гос. испытания. Проводятся добав. длительные испытания поршней. В июне мотор станет на летные гос. испытания7 Мощность 125 л.с. Вес 150 кг.</w:t>
      </w:r>
    </w:p>
    <w:p w14:paraId="2906E04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М58 (внеплановый)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F26F01" w:rsidRPr="00C33834" w14:paraId="2EAA6854" w14:textId="77777777">
        <w:tc>
          <w:tcPr>
            <w:tcW w:w="4928" w:type="dxa"/>
          </w:tcPr>
          <w:p w14:paraId="07D5F94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528" w:type="dxa"/>
          </w:tcPr>
          <w:p w14:paraId="36C7EBB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r>
      <w:tr w:rsidR="00F26F01" w:rsidRPr="00C33834" w14:paraId="2E998127" w14:textId="77777777">
        <w:tc>
          <w:tcPr>
            <w:tcW w:w="4928" w:type="dxa"/>
          </w:tcPr>
          <w:p w14:paraId="5A7135B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528" w:type="dxa"/>
          </w:tcPr>
          <w:p w14:paraId="4427314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возд.</w:t>
            </w:r>
          </w:p>
        </w:tc>
      </w:tr>
      <w:tr w:rsidR="00F26F01" w:rsidRPr="00C33834" w14:paraId="406ECF87" w14:textId="77777777">
        <w:tc>
          <w:tcPr>
            <w:tcW w:w="4928" w:type="dxa"/>
          </w:tcPr>
          <w:p w14:paraId="51FC764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528" w:type="dxa"/>
          </w:tcPr>
          <w:p w14:paraId="5D527C1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630</w:t>
            </w:r>
          </w:p>
        </w:tc>
      </w:tr>
      <w:tr w:rsidR="00F26F01" w:rsidRPr="00C33834" w14:paraId="1EBB92CF" w14:textId="77777777">
        <w:tc>
          <w:tcPr>
            <w:tcW w:w="4928" w:type="dxa"/>
          </w:tcPr>
          <w:p w14:paraId="761C33B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528" w:type="dxa"/>
          </w:tcPr>
          <w:p w14:paraId="32F93D9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420</w:t>
            </w:r>
          </w:p>
        </w:tc>
      </w:tr>
      <w:tr w:rsidR="00F26F01" w:rsidRPr="00C33834" w14:paraId="27C87B9A" w14:textId="77777777">
        <w:tc>
          <w:tcPr>
            <w:tcW w:w="4928" w:type="dxa"/>
          </w:tcPr>
          <w:p w14:paraId="1CFBCC5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528" w:type="dxa"/>
          </w:tcPr>
          <w:p w14:paraId="02DB07D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2F66A64" w14:textId="77777777">
        <w:tc>
          <w:tcPr>
            <w:tcW w:w="4928" w:type="dxa"/>
          </w:tcPr>
          <w:p w14:paraId="513A9B2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528" w:type="dxa"/>
          </w:tcPr>
          <w:p w14:paraId="505E768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r>
      <w:tr w:rsidR="00F26F01" w:rsidRPr="00C33834" w14:paraId="6F793D6D" w14:textId="77777777">
        <w:tc>
          <w:tcPr>
            <w:tcW w:w="4928" w:type="dxa"/>
          </w:tcPr>
          <w:p w14:paraId="525C6B7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528" w:type="dxa"/>
          </w:tcPr>
          <w:p w14:paraId="3E94D9E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CE8566B" w14:textId="77777777">
        <w:tc>
          <w:tcPr>
            <w:tcW w:w="4928" w:type="dxa"/>
          </w:tcPr>
          <w:p w14:paraId="193660C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528" w:type="dxa"/>
          </w:tcPr>
          <w:p w14:paraId="562AA42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B56C60C" w14:textId="77777777">
        <w:tc>
          <w:tcPr>
            <w:tcW w:w="4928" w:type="dxa"/>
          </w:tcPr>
          <w:p w14:paraId="3848101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528" w:type="dxa"/>
          </w:tcPr>
          <w:p w14:paraId="3F9D948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92DE058" w14:textId="77777777">
        <w:tc>
          <w:tcPr>
            <w:tcW w:w="4928" w:type="dxa"/>
          </w:tcPr>
          <w:p w14:paraId="6AF8822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tc>
        <w:tc>
          <w:tcPr>
            <w:tcW w:w="5528" w:type="dxa"/>
          </w:tcPr>
          <w:p w14:paraId="5AA5795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года</w:t>
            </w:r>
          </w:p>
        </w:tc>
      </w:tr>
    </w:tbl>
    <w:p w14:paraId="1004579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проходит заводские испытания на заводе N 29. Прошел на станке 53 часа. Конструкция еще полностью не проверена. Выявлены два дефекта: подсос масла в импеллер и заедание подшипника импеллера. Маслоотражатель переделан. Заводу N 29 предложено изменить подвод масла к подшипнику импеллера. На испыт. мотор дал 630 л.с. Вес мотора 450 кг. Расчетная высотность - 4000 м. Фактическая высотность - не проверена.</w:t>
      </w:r>
    </w:p>
    <w:p w14:paraId="11A17B4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3М11 (3-х цилиндровый) (внеплановый)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F26F01" w:rsidRPr="00C33834" w14:paraId="39348B1B" w14:textId="77777777">
        <w:tc>
          <w:tcPr>
            <w:tcW w:w="4928" w:type="dxa"/>
          </w:tcPr>
          <w:p w14:paraId="7B03EFF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528" w:type="dxa"/>
          </w:tcPr>
          <w:p w14:paraId="6119E35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r>
      <w:tr w:rsidR="00F26F01" w:rsidRPr="00C33834" w14:paraId="58DEE846" w14:textId="77777777">
        <w:tc>
          <w:tcPr>
            <w:tcW w:w="4928" w:type="dxa"/>
          </w:tcPr>
          <w:p w14:paraId="2FC94B4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528" w:type="dxa"/>
          </w:tcPr>
          <w:p w14:paraId="585891D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возд.</w:t>
            </w:r>
          </w:p>
        </w:tc>
      </w:tr>
      <w:tr w:rsidR="00F26F01" w:rsidRPr="00C33834" w14:paraId="30217167" w14:textId="77777777">
        <w:tc>
          <w:tcPr>
            <w:tcW w:w="4928" w:type="dxa"/>
          </w:tcPr>
          <w:p w14:paraId="7A81AE1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528" w:type="dxa"/>
          </w:tcPr>
          <w:p w14:paraId="5C01122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w:t>
            </w:r>
          </w:p>
        </w:tc>
      </w:tr>
    </w:tbl>
    <w:p w14:paraId="0E08481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прошел гос. испытания. Принят на снабжение ГВФ для использования на глиссерах, аэросанях и авиэтках.</w:t>
      </w:r>
    </w:p>
    <w:p w14:paraId="6EC2AC1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М59 (9-ти цилиндровый М-51) (внеплановый).</w:t>
      </w:r>
    </w:p>
    <w:p w14:paraId="3D50D35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p w14:paraId="60C9449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 - 1 августа 1933 года</w:t>
      </w:r>
    </w:p>
    <w:p w14:paraId="245847D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построен, поставлен на заводские испытания. Мощность мотора - 300 л.с. Конструкция мотора испытаниями не проверена.</w:t>
      </w:r>
    </w:p>
    <w:p w14:paraId="69C8E2C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Нефтяные моторы</w:t>
      </w:r>
    </w:p>
    <w:p w14:paraId="5AB1377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Н1 (четырехтактный)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F26F01" w:rsidRPr="00C33834" w14:paraId="1A77AD0D" w14:textId="77777777">
        <w:tc>
          <w:tcPr>
            <w:tcW w:w="4928" w:type="dxa"/>
          </w:tcPr>
          <w:p w14:paraId="5BAAF45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528" w:type="dxa"/>
          </w:tcPr>
          <w:p w14:paraId="486D0C2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r>
      <w:tr w:rsidR="00F26F01" w:rsidRPr="00C33834" w14:paraId="1D5FAB56" w14:textId="77777777">
        <w:tc>
          <w:tcPr>
            <w:tcW w:w="4928" w:type="dxa"/>
          </w:tcPr>
          <w:p w14:paraId="7C369BB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528" w:type="dxa"/>
          </w:tcPr>
          <w:p w14:paraId="5601C7E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w:t>
            </w:r>
          </w:p>
        </w:tc>
      </w:tr>
      <w:tr w:rsidR="00F26F01" w:rsidRPr="00C33834" w14:paraId="0C610EDB" w14:textId="77777777">
        <w:tc>
          <w:tcPr>
            <w:tcW w:w="4928" w:type="dxa"/>
          </w:tcPr>
          <w:p w14:paraId="7A3CCCB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528" w:type="dxa"/>
          </w:tcPr>
          <w:p w14:paraId="09869DD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r>
      <w:tr w:rsidR="00F26F01" w:rsidRPr="00C33834" w14:paraId="2E01DCD5" w14:textId="77777777">
        <w:tc>
          <w:tcPr>
            <w:tcW w:w="4928" w:type="dxa"/>
          </w:tcPr>
          <w:p w14:paraId="0283965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528" w:type="dxa"/>
          </w:tcPr>
          <w:p w14:paraId="0D2A621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840</w:t>
            </w:r>
          </w:p>
        </w:tc>
      </w:tr>
      <w:tr w:rsidR="00F26F01" w:rsidRPr="00C33834" w14:paraId="5FA92C69" w14:textId="77777777">
        <w:tc>
          <w:tcPr>
            <w:tcW w:w="4928" w:type="dxa"/>
          </w:tcPr>
          <w:p w14:paraId="1881A4F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528" w:type="dxa"/>
          </w:tcPr>
          <w:p w14:paraId="40A39C1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D7013AD" w14:textId="77777777">
        <w:tc>
          <w:tcPr>
            <w:tcW w:w="4928" w:type="dxa"/>
          </w:tcPr>
          <w:p w14:paraId="7819A3E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528" w:type="dxa"/>
          </w:tcPr>
          <w:p w14:paraId="0AB1435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449F225" w14:textId="77777777">
        <w:tc>
          <w:tcPr>
            <w:tcW w:w="4928" w:type="dxa"/>
          </w:tcPr>
          <w:p w14:paraId="5FAFB5D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528" w:type="dxa"/>
          </w:tcPr>
          <w:p w14:paraId="72E05C8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4445186" w14:textId="77777777">
        <w:tc>
          <w:tcPr>
            <w:tcW w:w="4928" w:type="dxa"/>
          </w:tcPr>
          <w:p w14:paraId="43DB464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528" w:type="dxa"/>
          </w:tcPr>
          <w:p w14:paraId="4E245E5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марта 1933 года</w:t>
            </w:r>
          </w:p>
        </w:tc>
      </w:tr>
      <w:tr w:rsidR="00F26F01" w:rsidRPr="00C33834" w14:paraId="789DDDE3" w14:textId="77777777">
        <w:tc>
          <w:tcPr>
            <w:tcW w:w="4928" w:type="dxa"/>
          </w:tcPr>
          <w:p w14:paraId="2BF86FA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528" w:type="dxa"/>
          </w:tcPr>
          <w:p w14:paraId="74E10C3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EE85C9E" w14:textId="77777777">
        <w:tc>
          <w:tcPr>
            <w:tcW w:w="4928" w:type="dxa"/>
          </w:tcPr>
          <w:p w14:paraId="5B5633E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tc>
        <w:tc>
          <w:tcPr>
            <w:tcW w:w="5528" w:type="dxa"/>
          </w:tcPr>
          <w:p w14:paraId="1511975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1933 года</w:t>
            </w:r>
          </w:p>
        </w:tc>
      </w:tr>
    </w:tbl>
    <w:p w14:paraId="1335FC1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в производстве. Срок сборки первого мотора 1 июля 1933 года. Расчет номин. мощн. 750 л.с. максимальная - 900 л.с.</w:t>
      </w:r>
    </w:p>
    <w:p w14:paraId="19146D9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Н2 (то же)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F26F01" w:rsidRPr="00C33834" w14:paraId="5080B40A" w14:textId="77777777">
        <w:tc>
          <w:tcPr>
            <w:tcW w:w="4928" w:type="dxa"/>
          </w:tcPr>
          <w:p w14:paraId="3FBC5FD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528" w:type="dxa"/>
          </w:tcPr>
          <w:p w14:paraId="38B69BB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ВНИДИ</w:t>
            </w:r>
          </w:p>
        </w:tc>
      </w:tr>
      <w:tr w:rsidR="00F26F01" w:rsidRPr="00C33834" w14:paraId="1026A96A" w14:textId="77777777">
        <w:tc>
          <w:tcPr>
            <w:tcW w:w="4928" w:type="dxa"/>
          </w:tcPr>
          <w:p w14:paraId="7487C76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528" w:type="dxa"/>
          </w:tcPr>
          <w:p w14:paraId="17FAEB6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w:t>
            </w:r>
          </w:p>
        </w:tc>
      </w:tr>
      <w:tr w:rsidR="00F26F01" w:rsidRPr="00C33834" w14:paraId="0FD64CC9" w14:textId="77777777">
        <w:tc>
          <w:tcPr>
            <w:tcW w:w="4928" w:type="dxa"/>
          </w:tcPr>
          <w:p w14:paraId="363E01C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528" w:type="dxa"/>
          </w:tcPr>
          <w:p w14:paraId="03D7FB7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r>
      <w:tr w:rsidR="00F26F01" w:rsidRPr="00C33834" w14:paraId="68B028C9" w14:textId="77777777">
        <w:tc>
          <w:tcPr>
            <w:tcW w:w="4928" w:type="dxa"/>
          </w:tcPr>
          <w:p w14:paraId="2B4C84F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528" w:type="dxa"/>
          </w:tcPr>
          <w:p w14:paraId="3196290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w:t>
            </w:r>
          </w:p>
        </w:tc>
      </w:tr>
      <w:tr w:rsidR="00F26F01" w:rsidRPr="00C33834" w14:paraId="456BEC83" w14:textId="77777777">
        <w:tc>
          <w:tcPr>
            <w:tcW w:w="4928" w:type="dxa"/>
          </w:tcPr>
          <w:p w14:paraId="491998E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528" w:type="dxa"/>
          </w:tcPr>
          <w:p w14:paraId="760C001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AE8896D" w14:textId="77777777">
        <w:tc>
          <w:tcPr>
            <w:tcW w:w="4928" w:type="dxa"/>
          </w:tcPr>
          <w:p w14:paraId="585D312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528" w:type="dxa"/>
          </w:tcPr>
          <w:p w14:paraId="0A32D38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r>
      <w:tr w:rsidR="00F26F01" w:rsidRPr="00C33834" w14:paraId="799319B2" w14:textId="77777777">
        <w:tc>
          <w:tcPr>
            <w:tcW w:w="4928" w:type="dxa"/>
          </w:tcPr>
          <w:p w14:paraId="25ECEFB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528" w:type="dxa"/>
          </w:tcPr>
          <w:p w14:paraId="0DB5268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034E975" w14:textId="77777777">
        <w:tc>
          <w:tcPr>
            <w:tcW w:w="4928" w:type="dxa"/>
          </w:tcPr>
          <w:p w14:paraId="1B4DC50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528" w:type="dxa"/>
          </w:tcPr>
          <w:p w14:paraId="118BEDF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1933 года</w:t>
            </w:r>
          </w:p>
        </w:tc>
      </w:tr>
      <w:tr w:rsidR="00F26F01" w:rsidRPr="00C33834" w14:paraId="490348F8" w14:textId="77777777">
        <w:tc>
          <w:tcPr>
            <w:tcW w:w="4928" w:type="dxa"/>
          </w:tcPr>
          <w:p w14:paraId="48ED075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528" w:type="dxa"/>
          </w:tcPr>
          <w:p w14:paraId="483F8CA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8006179" w14:textId="77777777">
        <w:tc>
          <w:tcPr>
            <w:tcW w:w="4928" w:type="dxa"/>
          </w:tcPr>
          <w:p w14:paraId="1E13205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tc>
        <w:tc>
          <w:tcPr>
            <w:tcW w:w="5528" w:type="dxa"/>
          </w:tcPr>
          <w:p w14:paraId="5ECBB58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1933 года</w:t>
            </w:r>
          </w:p>
        </w:tc>
      </w:tr>
    </w:tbl>
    <w:p w14:paraId="51A83FD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двигатель будет собран к 1 июля 1933 года.</w:t>
      </w:r>
    </w:p>
    <w:p w14:paraId="3EA5EFA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Н3 (то же)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F26F01" w:rsidRPr="00C33834" w14:paraId="0813D615" w14:textId="77777777">
        <w:tc>
          <w:tcPr>
            <w:tcW w:w="4928" w:type="dxa"/>
          </w:tcPr>
          <w:p w14:paraId="7EE6A2C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528" w:type="dxa"/>
          </w:tcPr>
          <w:p w14:paraId="70FF2AA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Укр. ИДВС</w:t>
            </w:r>
          </w:p>
        </w:tc>
      </w:tr>
      <w:tr w:rsidR="00F26F01" w:rsidRPr="00C33834" w14:paraId="0CE4535D" w14:textId="77777777">
        <w:tc>
          <w:tcPr>
            <w:tcW w:w="4928" w:type="dxa"/>
          </w:tcPr>
          <w:p w14:paraId="7C08AAE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528" w:type="dxa"/>
          </w:tcPr>
          <w:p w14:paraId="7390965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w:t>
            </w:r>
          </w:p>
        </w:tc>
      </w:tr>
      <w:tr w:rsidR="00F26F01" w:rsidRPr="00C33834" w14:paraId="2DF5B699" w14:textId="77777777">
        <w:tc>
          <w:tcPr>
            <w:tcW w:w="4928" w:type="dxa"/>
          </w:tcPr>
          <w:p w14:paraId="2E5EBC7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528" w:type="dxa"/>
          </w:tcPr>
          <w:p w14:paraId="037155D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r>
      <w:tr w:rsidR="00F26F01" w:rsidRPr="00C33834" w14:paraId="5AB0523F" w14:textId="77777777">
        <w:tc>
          <w:tcPr>
            <w:tcW w:w="4928" w:type="dxa"/>
          </w:tcPr>
          <w:p w14:paraId="466AE19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528" w:type="dxa"/>
          </w:tcPr>
          <w:p w14:paraId="0D5D988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650</w:t>
            </w:r>
          </w:p>
        </w:tc>
      </w:tr>
      <w:tr w:rsidR="00F26F01" w:rsidRPr="00C33834" w14:paraId="7DD655C2" w14:textId="77777777">
        <w:tc>
          <w:tcPr>
            <w:tcW w:w="4928" w:type="dxa"/>
          </w:tcPr>
          <w:p w14:paraId="39501C5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528" w:type="dxa"/>
          </w:tcPr>
          <w:p w14:paraId="515D280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4E82565" w14:textId="77777777">
        <w:tc>
          <w:tcPr>
            <w:tcW w:w="4928" w:type="dxa"/>
          </w:tcPr>
          <w:p w14:paraId="22A4E7E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528" w:type="dxa"/>
          </w:tcPr>
          <w:p w14:paraId="2B61E05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r>
      <w:tr w:rsidR="00F26F01" w:rsidRPr="00C33834" w14:paraId="07D3FB85" w14:textId="77777777">
        <w:tc>
          <w:tcPr>
            <w:tcW w:w="4928" w:type="dxa"/>
          </w:tcPr>
          <w:p w14:paraId="38EF91F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528" w:type="dxa"/>
          </w:tcPr>
          <w:p w14:paraId="59BECD3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4074071" w14:textId="77777777">
        <w:tc>
          <w:tcPr>
            <w:tcW w:w="4928" w:type="dxa"/>
          </w:tcPr>
          <w:p w14:paraId="6A64E1C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528" w:type="dxa"/>
          </w:tcPr>
          <w:p w14:paraId="3B37501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1933 года</w:t>
            </w:r>
          </w:p>
        </w:tc>
      </w:tr>
      <w:tr w:rsidR="00F26F01" w:rsidRPr="00C33834" w14:paraId="0DADA8B4" w14:textId="77777777">
        <w:tc>
          <w:tcPr>
            <w:tcW w:w="4928" w:type="dxa"/>
          </w:tcPr>
          <w:p w14:paraId="3540059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528" w:type="dxa"/>
          </w:tcPr>
          <w:p w14:paraId="74236A3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BD68A18" w14:textId="77777777">
        <w:tc>
          <w:tcPr>
            <w:tcW w:w="4928" w:type="dxa"/>
          </w:tcPr>
          <w:p w14:paraId="5A2DBF3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Авиапромом на госисп.</w:t>
            </w:r>
          </w:p>
        </w:tc>
        <w:tc>
          <w:tcPr>
            <w:tcW w:w="5528" w:type="dxa"/>
          </w:tcPr>
          <w:p w14:paraId="280D287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1933 года</w:t>
            </w:r>
          </w:p>
        </w:tc>
      </w:tr>
    </w:tbl>
    <w:p w14:paraId="107C6FE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в производстве. Готовность деталей - в июне 1933 года. Сборка первого двигателя - август 1933 года. Высотность двигателя не обеспечена. Нагнетатель для дизеля запроектирован и строится Укр. инст. энергетики.</w:t>
      </w:r>
    </w:p>
    <w:p w14:paraId="10DE62D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Н4 (двухтактный)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F26F01" w:rsidRPr="00C33834" w14:paraId="4DF3BD01" w14:textId="77777777">
        <w:tc>
          <w:tcPr>
            <w:tcW w:w="4928" w:type="dxa"/>
          </w:tcPr>
          <w:p w14:paraId="3E837F9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528" w:type="dxa"/>
          </w:tcPr>
          <w:p w14:paraId="55C3A73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Харьк. ав. ин-т</w:t>
            </w:r>
          </w:p>
        </w:tc>
      </w:tr>
      <w:tr w:rsidR="00F26F01" w:rsidRPr="00C33834" w14:paraId="738F2EBC" w14:textId="77777777">
        <w:tc>
          <w:tcPr>
            <w:tcW w:w="4928" w:type="dxa"/>
          </w:tcPr>
          <w:p w14:paraId="1AA6B42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528" w:type="dxa"/>
          </w:tcPr>
          <w:p w14:paraId="0859AEA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w:t>
            </w:r>
          </w:p>
        </w:tc>
      </w:tr>
      <w:tr w:rsidR="00F26F01" w:rsidRPr="00C33834" w14:paraId="6D98B239" w14:textId="77777777">
        <w:tc>
          <w:tcPr>
            <w:tcW w:w="4928" w:type="dxa"/>
          </w:tcPr>
          <w:p w14:paraId="5700E73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528" w:type="dxa"/>
          </w:tcPr>
          <w:p w14:paraId="58B3322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500-600</w:t>
            </w:r>
          </w:p>
        </w:tc>
      </w:tr>
      <w:tr w:rsidR="00F26F01" w:rsidRPr="00C33834" w14:paraId="60F2AB38" w14:textId="77777777">
        <w:tc>
          <w:tcPr>
            <w:tcW w:w="4928" w:type="dxa"/>
          </w:tcPr>
          <w:p w14:paraId="15FA38A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528" w:type="dxa"/>
          </w:tcPr>
          <w:p w14:paraId="3B5C59E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500-600</w:t>
            </w:r>
          </w:p>
        </w:tc>
      </w:tr>
      <w:tr w:rsidR="00F26F01" w:rsidRPr="00C33834" w14:paraId="3ED1F567" w14:textId="77777777">
        <w:tc>
          <w:tcPr>
            <w:tcW w:w="4928" w:type="dxa"/>
          </w:tcPr>
          <w:p w14:paraId="589F602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528" w:type="dxa"/>
          </w:tcPr>
          <w:p w14:paraId="7539A09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4869BA9" w14:textId="77777777">
        <w:tc>
          <w:tcPr>
            <w:tcW w:w="4928" w:type="dxa"/>
          </w:tcPr>
          <w:p w14:paraId="17C04DB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528" w:type="dxa"/>
          </w:tcPr>
          <w:p w14:paraId="4771D1B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r>
      <w:tr w:rsidR="00F26F01" w:rsidRPr="00C33834" w14:paraId="4E2AF19E" w14:textId="77777777">
        <w:tc>
          <w:tcPr>
            <w:tcW w:w="4928" w:type="dxa"/>
          </w:tcPr>
          <w:p w14:paraId="6B0EA83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528" w:type="dxa"/>
          </w:tcPr>
          <w:p w14:paraId="2C582FB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CD27192" w14:textId="77777777">
        <w:tc>
          <w:tcPr>
            <w:tcW w:w="4928" w:type="dxa"/>
          </w:tcPr>
          <w:p w14:paraId="6084237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528" w:type="dxa"/>
          </w:tcPr>
          <w:p w14:paraId="4850BF9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года</w:t>
            </w:r>
          </w:p>
        </w:tc>
      </w:tr>
      <w:tr w:rsidR="00F26F01" w:rsidRPr="00C33834" w14:paraId="5E0C8B7C" w14:textId="77777777">
        <w:tc>
          <w:tcPr>
            <w:tcW w:w="4928" w:type="dxa"/>
          </w:tcPr>
          <w:p w14:paraId="105BE1F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528" w:type="dxa"/>
          </w:tcPr>
          <w:p w14:paraId="2FF8276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00E2FBF" w14:textId="77777777">
        <w:tc>
          <w:tcPr>
            <w:tcW w:w="4928" w:type="dxa"/>
          </w:tcPr>
          <w:p w14:paraId="224FF18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tc>
        <w:tc>
          <w:tcPr>
            <w:tcW w:w="5528" w:type="dxa"/>
          </w:tcPr>
          <w:p w14:paraId="6FF2C8C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1933 года</w:t>
            </w:r>
          </w:p>
        </w:tc>
      </w:tr>
    </w:tbl>
    <w:p w14:paraId="4B4A931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в производстве на Харьковских заводах; сборка первого двигателя - июнь 1933 года. Двигатель запроектирован с мощностью 600 л.с.</w:t>
      </w:r>
    </w:p>
    <w:p w14:paraId="06FAD2D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Н5 (то же)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F26F01" w:rsidRPr="00C33834" w14:paraId="0CA98600" w14:textId="77777777">
        <w:tc>
          <w:tcPr>
            <w:tcW w:w="4928" w:type="dxa"/>
          </w:tcPr>
          <w:p w14:paraId="5F77865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528" w:type="dxa"/>
          </w:tcPr>
          <w:p w14:paraId="076A1B6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ОКБ</w:t>
            </w:r>
          </w:p>
        </w:tc>
      </w:tr>
      <w:tr w:rsidR="00F26F01" w:rsidRPr="00C33834" w14:paraId="68F5B916" w14:textId="77777777">
        <w:tc>
          <w:tcPr>
            <w:tcW w:w="4928" w:type="dxa"/>
          </w:tcPr>
          <w:p w14:paraId="5E866A1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528" w:type="dxa"/>
          </w:tcPr>
          <w:p w14:paraId="65A0E81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w:t>
            </w:r>
          </w:p>
        </w:tc>
      </w:tr>
      <w:tr w:rsidR="00F26F01" w:rsidRPr="00C33834" w14:paraId="5035D931" w14:textId="77777777">
        <w:tc>
          <w:tcPr>
            <w:tcW w:w="4928" w:type="dxa"/>
          </w:tcPr>
          <w:p w14:paraId="35CA7A4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528" w:type="dxa"/>
          </w:tcPr>
          <w:p w14:paraId="33C2B8B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r>
      <w:tr w:rsidR="00F26F01" w:rsidRPr="00C33834" w14:paraId="5DF23CE6" w14:textId="77777777">
        <w:tc>
          <w:tcPr>
            <w:tcW w:w="4928" w:type="dxa"/>
          </w:tcPr>
          <w:p w14:paraId="3CD9FEE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528" w:type="dxa"/>
          </w:tcPr>
          <w:p w14:paraId="1215809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r>
      <w:tr w:rsidR="00F26F01" w:rsidRPr="00C33834" w14:paraId="56679F78" w14:textId="77777777">
        <w:tc>
          <w:tcPr>
            <w:tcW w:w="4928" w:type="dxa"/>
          </w:tcPr>
          <w:p w14:paraId="311737E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528" w:type="dxa"/>
          </w:tcPr>
          <w:p w14:paraId="62C90F9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666DC64" w14:textId="77777777">
        <w:tc>
          <w:tcPr>
            <w:tcW w:w="4928" w:type="dxa"/>
          </w:tcPr>
          <w:p w14:paraId="605D9E5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528" w:type="dxa"/>
          </w:tcPr>
          <w:p w14:paraId="0290C1C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r>
      <w:tr w:rsidR="00F26F01" w:rsidRPr="00C33834" w14:paraId="756659B2" w14:textId="77777777">
        <w:tc>
          <w:tcPr>
            <w:tcW w:w="4928" w:type="dxa"/>
          </w:tcPr>
          <w:p w14:paraId="3321ADC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528" w:type="dxa"/>
          </w:tcPr>
          <w:p w14:paraId="2E14F77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84059A8" w14:textId="77777777">
        <w:tc>
          <w:tcPr>
            <w:tcW w:w="4928" w:type="dxa"/>
          </w:tcPr>
          <w:p w14:paraId="728BF27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528" w:type="dxa"/>
          </w:tcPr>
          <w:p w14:paraId="7DE1BDE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1932 года</w:t>
            </w:r>
          </w:p>
        </w:tc>
      </w:tr>
      <w:tr w:rsidR="00F26F01" w:rsidRPr="00C33834" w14:paraId="34092809" w14:textId="77777777">
        <w:tc>
          <w:tcPr>
            <w:tcW w:w="4928" w:type="dxa"/>
          </w:tcPr>
          <w:p w14:paraId="37BC682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528" w:type="dxa"/>
          </w:tcPr>
          <w:p w14:paraId="51F4B67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C49A31C" w14:textId="77777777">
        <w:tc>
          <w:tcPr>
            <w:tcW w:w="4928" w:type="dxa"/>
          </w:tcPr>
          <w:p w14:paraId="5E51A03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tc>
        <w:tc>
          <w:tcPr>
            <w:tcW w:w="5528" w:type="dxa"/>
          </w:tcPr>
          <w:p w14:paraId="7C7C014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1933 года</w:t>
            </w:r>
          </w:p>
        </w:tc>
      </w:tr>
    </w:tbl>
    <w:p w14:paraId="70034A8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Сборка первого двигателя июль 1933 года.</w:t>
      </w:r>
    </w:p>
    <w:p w14:paraId="494E0ED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Н6 (то же)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00352DD5" w14:textId="77777777">
        <w:tc>
          <w:tcPr>
            <w:tcW w:w="4928" w:type="dxa"/>
          </w:tcPr>
          <w:p w14:paraId="529BBE7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386" w:type="dxa"/>
          </w:tcPr>
          <w:p w14:paraId="3BE5F6A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ОКБ</w:t>
            </w:r>
          </w:p>
        </w:tc>
      </w:tr>
      <w:tr w:rsidR="00F26F01" w:rsidRPr="00C33834" w14:paraId="6B4EBA24" w14:textId="77777777">
        <w:tc>
          <w:tcPr>
            <w:tcW w:w="4928" w:type="dxa"/>
          </w:tcPr>
          <w:p w14:paraId="132BF5D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386" w:type="dxa"/>
          </w:tcPr>
          <w:p w14:paraId="1882C1B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w:t>
            </w:r>
          </w:p>
        </w:tc>
      </w:tr>
      <w:tr w:rsidR="00F26F01" w:rsidRPr="00C33834" w14:paraId="2E92DAFF" w14:textId="77777777">
        <w:tc>
          <w:tcPr>
            <w:tcW w:w="4928" w:type="dxa"/>
          </w:tcPr>
          <w:p w14:paraId="4647E49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386" w:type="dxa"/>
          </w:tcPr>
          <w:p w14:paraId="4F19DF2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r>
      <w:tr w:rsidR="00F26F01" w:rsidRPr="00C33834" w14:paraId="2D3D2B71" w14:textId="77777777">
        <w:tc>
          <w:tcPr>
            <w:tcW w:w="4928" w:type="dxa"/>
          </w:tcPr>
          <w:p w14:paraId="52E83DD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386" w:type="dxa"/>
          </w:tcPr>
          <w:p w14:paraId="3298DC0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380</w:t>
            </w:r>
          </w:p>
        </w:tc>
      </w:tr>
      <w:tr w:rsidR="00F26F01" w:rsidRPr="00C33834" w14:paraId="4F5AE3C0" w14:textId="77777777">
        <w:tc>
          <w:tcPr>
            <w:tcW w:w="4928" w:type="dxa"/>
          </w:tcPr>
          <w:p w14:paraId="1EB86B6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386" w:type="dxa"/>
          </w:tcPr>
          <w:p w14:paraId="23FD816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61DDBD7" w14:textId="77777777">
        <w:tc>
          <w:tcPr>
            <w:tcW w:w="4928" w:type="dxa"/>
          </w:tcPr>
          <w:p w14:paraId="6CE01C9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386" w:type="dxa"/>
          </w:tcPr>
          <w:p w14:paraId="6CB5662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r>
      <w:tr w:rsidR="00F26F01" w:rsidRPr="00C33834" w14:paraId="7FDDB59B" w14:textId="77777777">
        <w:tc>
          <w:tcPr>
            <w:tcW w:w="4928" w:type="dxa"/>
          </w:tcPr>
          <w:p w14:paraId="4287749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386" w:type="dxa"/>
          </w:tcPr>
          <w:p w14:paraId="6190822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91EF481" w14:textId="77777777">
        <w:tc>
          <w:tcPr>
            <w:tcW w:w="4928" w:type="dxa"/>
          </w:tcPr>
          <w:p w14:paraId="778CF84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386" w:type="dxa"/>
          </w:tcPr>
          <w:p w14:paraId="761E07D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1932 года</w:t>
            </w:r>
          </w:p>
        </w:tc>
      </w:tr>
      <w:tr w:rsidR="00F26F01" w:rsidRPr="00C33834" w14:paraId="12075E46" w14:textId="77777777">
        <w:tc>
          <w:tcPr>
            <w:tcW w:w="4928" w:type="dxa"/>
          </w:tcPr>
          <w:p w14:paraId="3396E46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386" w:type="dxa"/>
          </w:tcPr>
          <w:p w14:paraId="3EC4769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1F7BAF0" w14:textId="77777777">
        <w:tc>
          <w:tcPr>
            <w:tcW w:w="4928" w:type="dxa"/>
          </w:tcPr>
          <w:p w14:paraId="3FB852D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tc>
        <w:tc>
          <w:tcPr>
            <w:tcW w:w="5386" w:type="dxa"/>
          </w:tcPr>
          <w:p w14:paraId="1D4F9AF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67CB432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запроектирован с мощностью 400-450 л.с. невысотный. Не строится, т.к. не удовлетворяет тактико-техническим требованиям РВС и отсутствует производственная база.</w:t>
      </w:r>
    </w:p>
    <w:p w14:paraId="7BDD2C2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Экспериментальные работы.</w:t>
      </w:r>
    </w:p>
    <w:p w14:paraId="6EF4ACD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 переменного шага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355F931F" w14:textId="77777777">
        <w:tc>
          <w:tcPr>
            <w:tcW w:w="4928" w:type="dxa"/>
          </w:tcPr>
          <w:p w14:paraId="3B977C9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386" w:type="dxa"/>
          </w:tcPr>
          <w:p w14:paraId="3D926CA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r>
      <w:tr w:rsidR="00F26F01" w:rsidRPr="00C33834" w14:paraId="2B584B1F" w14:textId="77777777">
        <w:tc>
          <w:tcPr>
            <w:tcW w:w="4928" w:type="dxa"/>
          </w:tcPr>
          <w:p w14:paraId="2E9BCC2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386" w:type="dxa"/>
          </w:tcPr>
          <w:p w14:paraId="29F4B1D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620A586" w14:textId="77777777">
        <w:tc>
          <w:tcPr>
            <w:tcW w:w="4928" w:type="dxa"/>
          </w:tcPr>
          <w:p w14:paraId="7546A3F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386" w:type="dxa"/>
          </w:tcPr>
          <w:p w14:paraId="320C8A4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r>
      <w:tr w:rsidR="00F26F01" w:rsidRPr="00C33834" w14:paraId="030424EF" w14:textId="77777777">
        <w:tc>
          <w:tcPr>
            <w:tcW w:w="4928" w:type="dxa"/>
          </w:tcPr>
          <w:p w14:paraId="4D7ACB3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386" w:type="dxa"/>
          </w:tcPr>
          <w:p w14:paraId="7AD2C60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DF4A646" w14:textId="77777777">
        <w:tc>
          <w:tcPr>
            <w:tcW w:w="4928" w:type="dxa"/>
          </w:tcPr>
          <w:p w14:paraId="51099A6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386" w:type="dxa"/>
          </w:tcPr>
          <w:p w14:paraId="7875100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0200011" w14:textId="77777777">
        <w:tc>
          <w:tcPr>
            <w:tcW w:w="4928" w:type="dxa"/>
          </w:tcPr>
          <w:p w14:paraId="6D9B9B1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386" w:type="dxa"/>
          </w:tcPr>
          <w:p w14:paraId="05992B5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r>
      <w:tr w:rsidR="00F26F01" w:rsidRPr="00C33834" w14:paraId="0DFDB704" w14:textId="77777777">
        <w:tc>
          <w:tcPr>
            <w:tcW w:w="4928" w:type="dxa"/>
          </w:tcPr>
          <w:p w14:paraId="46AF821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386" w:type="dxa"/>
          </w:tcPr>
          <w:p w14:paraId="561F68A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52C58A0" w14:textId="77777777">
        <w:tc>
          <w:tcPr>
            <w:tcW w:w="4928" w:type="dxa"/>
          </w:tcPr>
          <w:p w14:paraId="5962D5B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386" w:type="dxa"/>
          </w:tcPr>
          <w:p w14:paraId="3FADAF5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1932 года</w:t>
            </w:r>
          </w:p>
        </w:tc>
      </w:tr>
      <w:tr w:rsidR="00F26F01" w:rsidRPr="00C33834" w14:paraId="03E5EB21" w14:textId="77777777">
        <w:tc>
          <w:tcPr>
            <w:tcW w:w="4928" w:type="dxa"/>
          </w:tcPr>
          <w:p w14:paraId="1150B89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386" w:type="dxa"/>
          </w:tcPr>
          <w:p w14:paraId="60C515E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45E7BE7" w14:textId="77777777">
        <w:tc>
          <w:tcPr>
            <w:tcW w:w="4928" w:type="dxa"/>
          </w:tcPr>
          <w:p w14:paraId="267A0AE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tc>
        <w:tc>
          <w:tcPr>
            <w:tcW w:w="5386" w:type="dxa"/>
          </w:tcPr>
          <w:p w14:paraId="33014FC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47C43B5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 переменного шага испытан на моторе Лоррен-Дитрих на с-те Р3. Конструкция винта удовлетворительная. Второй винт переменного шага запроектирован под М34. Запущен в производство на зав. ЦИАМ.</w:t>
      </w:r>
    </w:p>
    <w:p w14:paraId="4E262E9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Газовая турбина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2B175B8E" w14:textId="77777777">
        <w:tc>
          <w:tcPr>
            <w:tcW w:w="4928" w:type="dxa"/>
          </w:tcPr>
          <w:p w14:paraId="29D5F52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386" w:type="dxa"/>
          </w:tcPr>
          <w:p w14:paraId="1029B52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ВТИ</w:t>
            </w:r>
          </w:p>
        </w:tc>
      </w:tr>
      <w:tr w:rsidR="00F26F01" w:rsidRPr="00C33834" w14:paraId="59D3FB2C" w14:textId="77777777">
        <w:tc>
          <w:tcPr>
            <w:tcW w:w="4928" w:type="dxa"/>
          </w:tcPr>
          <w:p w14:paraId="3A202DE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386" w:type="dxa"/>
          </w:tcPr>
          <w:p w14:paraId="7F8CDBA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8805CFD" w14:textId="77777777">
        <w:tc>
          <w:tcPr>
            <w:tcW w:w="4928" w:type="dxa"/>
          </w:tcPr>
          <w:p w14:paraId="3457AEE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386" w:type="dxa"/>
          </w:tcPr>
          <w:p w14:paraId="22DDF80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500-1000</w:t>
            </w:r>
          </w:p>
        </w:tc>
      </w:tr>
      <w:tr w:rsidR="00F26F01" w:rsidRPr="00C33834" w14:paraId="3A19EEC2" w14:textId="77777777">
        <w:tc>
          <w:tcPr>
            <w:tcW w:w="4928" w:type="dxa"/>
          </w:tcPr>
          <w:p w14:paraId="2F7C1DD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386" w:type="dxa"/>
          </w:tcPr>
          <w:p w14:paraId="4791A95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400-800</w:t>
            </w:r>
          </w:p>
        </w:tc>
      </w:tr>
      <w:tr w:rsidR="00F26F01" w:rsidRPr="00C33834" w14:paraId="236CB31E" w14:textId="77777777">
        <w:tc>
          <w:tcPr>
            <w:tcW w:w="4928" w:type="dxa"/>
          </w:tcPr>
          <w:p w14:paraId="0FE949E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386" w:type="dxa"/>
          </w:tcPr>
          <w:p w14:paraId="03C4794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E74427F" w14:textId="77777777">
        <w:tc>
          <w:tcPr>
            <w:tcW w:w="4928" w:type="dxa"/>
          </w:tcPr>
          <w:p w14:paraId="1C204D1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386" w:type="dxa"/>
          </w:tcPr>
          <w:p w14:paraId="1E39E78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6000-8000</w:t>
            </w:r>
          </w:p>
        </w:tc>
      </w:tr>
      <w:tr w:rsidR="00F26F01" w:rsidRPr="00C33834" w14:paraId="51A24F46" w14:textId="77777777">
        <w:tc>
          <w:tcPr>
            <w:tcW w:w="4928" w:type="dxa"/>
          </w:tcPr>
          <w:p w14:paraId="3D27BFC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386" w:type="dxa"/>
          </w:tcPr>
          <w:p w14:paraId="38F6081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887EEA0" w14:textId="77777777">
        <w:tc>
          <w:tcPr>
            <w:tcW w:w="4928" w:type="dxa"/>
          </w:tcPr>
          <w:p w14:paraId="5AC80B3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386" w:type="dxa"/>
          </w:tcPr>
          <w:p w14:paraId="4764290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1932 года</w:t>
            </w:r>
          </w:p>
        </w:tc>
      </w:tr>
      <w:tr w:rsidR="00F26F01" w:rsidRPr="00C33834" w14:paraId="7D2F88AA" w14:textId="77777777">
        <w:tc>
          <w:tcPr>
            <w:tcW w:w="4928" w:type="dxa"/>
          </w:tcPr>
          <w:p w14:paraId="41DA699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386" w:type="dxa"/>
          </w:tcPr>
          <w:p w14:paraId="731163D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68166F3" w14:textId="77777777">
        <w:tc>
          <w:tcPr>
            <w:tcW w:w="4928" w:type="dxa"/>
          </w:tcPr>
          <w:p w14:paraId="239ADB1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tc>
        <w:tc>
          <w:tcPr>
            <w:tcW w:w="5386" w:type="dxa"/>
          </w:tcPr>
          <w:p w14:paraId="06D2F80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1932 года (оконч. экспер. устан.)</w:t>
            </w:r>
          </w:p>
        </w:tc>
      </w:tr>
    </w:tbl>
    <w:p w14:paraId="0D576CA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процессе испытания опытная модель турбины на сж. возд. У турбокомпрессора намеч. переделки для устранения недостат. Камера сгор. эксперим. по повыш. напряж. топочн. пространства. Работы сильно задерж. из-за отсутствия помещен. и произв. базы.</w:t>
      </w:r>
    </w:p>
    <w:p w14:paraId="6DEFACC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Паровая турбина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73D51BAF" w14:textId="77777777">
        <w:tc>
          <w:tcPr>
            <w:tcW w:w="4928" w:type="dxa"/>
          </w:tcPr>
          <w:p w14:paraId="1EC499B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386" w:type="dxa"/>
          </w:tcPr>
          <w:p w14:paraId="774A2E0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НИИ ВОГВФ и ОКБ</w:t>
            </w:r>
          </w:p>
        </w:tc>
      </w:tr>
      <w:tr w:rsidR="00F26F01" w:rsidRPr="00C33834" w14:paraId="704ED5AA" w14:textId="77777777">
        <w:tc>
          <w:tcPr>
            <w:tcW w:w="4928" w:type="dxa"/>
          </w:tcPr>
          <w:p w14:paraId="5193F1B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386" w:type="dxa"/>
          </w:tcPr>
          <w:p w14:paraId="33AC33E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3B7714C" w14:textId="77777777">
        <w:tc>
          <w:tcPr>
            <w:tcW w:w="4928" w:type="dxa"/>
          </w:tcPr>
          <w:p w14:paraId="1B67CAE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386" w:type="dxa"/>
          </w:tcPr>
          <w:p w14:paraId="77E0BCC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r>
      <w:tr w:rsidR="00F26F01" w:rsidRPr="00C33834" w14:paraId="4BA73C23" w14:textId="77777777">
        <w:tc>
          <w:tcPr>
            <w:tcW w:w="4928" w:type="dxa"/>
          </w:tcPr>
          <w:p w14:paraId="2F8210E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386" w:type="dxa"/>
          </w:tcPr>
          <w:p w14:paraId="2BCF52C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r>
      <w:tr w:rsidR="00F26F01" w:rsidRPr="00C33834" w14:paraId="22089D53" w14:textId="77777777">
        <w:tc>
          <w:tcPr>
            <w:tcW w:w="4928" w:type="dxa"/>
          </w:tcPr>
          <w:p w14:paraId="69BAEC1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386" w:type="dxa"/>
          </w:tcPr>
          <w:p w14:paraId="4301403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6163A03" w14:textId="77777777">
        <w:tc>
          <w:tcPr>
            <w:tcW w:w="4928" w:type="dxa"/>
          </w:tcPr>
          <w:p w14:paraId="3F8846D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386" w:type="dxa"/>
          </w:tcPr>
          <w:p w14:paraId="6A1300E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8000</w:t>
            </w:r>
          </w:p>
        </w:tc>
      </w:tr>
      <w:tr w:rsidR="00F26F01" w:rsidRPr="00C33834" w14:paraId="6176BB0D" w14:textId="77777777">
        <w:tc>
          <w:tcPr>
            <w:tcW w:w="4928" w:type="dxa"/>
          </w:tcPr>
          <w:p w14:paraId="4DBC89B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386" w:type="dxa"/>
          </w:tcPr>
          <w:p w14:paraId="54FBF87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79389A8" w14:textId="77777777">
        <w:tc>
          <w:tcPr>
            <w:tcW w:w="4928" w:type="dxa"/>
          </w:tcPr>
          <w:p w14:paraId="22F2BDD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386" w:type="dxa"/>
          </w:tcPr>
          <w:p w14:paraId="5568911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1933 года</w:t>
            </w:r>
          </w:p>
        </w:tc>
      </w:tr>
      <w:tr w:rsidR="00F26F01" w:rsidRPr="00C33834" w14:paraId="01AD3084" w14:textId="77777777">
        <w:tc>
          <w:tcPr>
            <w:tcW w:w="4928" w:type="dxa"/>
          </w:tcPr>
          <w:p w14:paraId="6214CB7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386" w:type="dxa"/>
          </w:tcPr>
          <w:p w14:paraId="52CF9C5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6E73F00" w14:textId="77777777">
        <w:tc>
          <w:tcPr>
            <w:tcW w:w="4928" w:type="dxa"/>
          </w:tcPr>
          <w:p w14:paraId="6C2ADDF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tc>
        <w:tc>
          <w:tcPr>
            <w:tcW w:w="5386" w:type="dxa"/>
          </w:tcPr>
          <w:p w14:paraId="439143E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1933 года (зав. исп.)</w:t>
            </w:r>
          </w:p>
        </w:tc>
      </w:tr>
    </w:tbl>
    <w:p w14:paraId="6068B86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агрегаты закончены в проекте. Вспомогательные находятся в процессе проектирования.</w:t>
      </w:r>
    </w:p>
    <w:p w14:paraId="2C77BD6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Паровая турбина (особ. пост. Правит.)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211F5875" w14:textId="77777777">
        <w:tc>
          <w:tcPr>
            <w:tcW w:w="4928" w:type="dxa"/>
          </w:tcPr>
          <w:p w14:paraId="08AA252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386" w:type="dxa"/>
          </w:tcPr>
          <w:p w14:paraId="025F67D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ХАИ</w:t>
            </w:r>
          </w:p>
        </w:tc>
      </w:tr>
      <w:tr w:rsidR="00F26F01" w:rsidRPr="00C33834" w14:paraId="2623A1E1" w14:textId="77777777">
        <w:tc>
          <w:tcPr>
            <w:tcW w:w="4928" w:type="dxa"/>
          </w:tcPr>
          <w:p w14:paraId="4A91409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386" w:type="dxa"/>
          </w:tcPr>
          <w:p w14:paraId="4166F72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D8D96F1" w14:textId="77777777">
        <w:tc>
          <w:tcPr>
            <w:tcW w:w="4928" w:type="dxa"/>
          </w:tcPr>
          <w:p w14:paraId="4005F60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386" w:type="dxa"/>
          </w:tcPr>
          <w:p w14:paraId="3FBB3FD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w:t>
            </w:r>
          </w:p>
        </w:tc>
      </w:tr>
      <w:tr w:rsidR="00F26F01" w:rsidRPr="00C33834" w14:paraId="4F3E6AB5" w14:textId="77777777">
        <w:tc>
          <w:tcPr>
            <w:tcW w:w="4928" w:type="dxa"/>
          </w:tcPr>
          <w:p w14:paraId="0BE461F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386" w:type="dxa"/>
          </w:tcPr>
          <w:p w14:paraId="538FD07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9600</w:t>
            </w:r>
          </w:p>
        </w:tc>
      </w:tr>
      <w:tr w:rsidR="00F26F01" w:rsidRPr="00C33834" w14:paraId="149461D1" w14:textId="77777777">
        <w:tc>
          <w:tcPr>
            <w:tcW w:w="4928" w:type="dxa"/>
          </w:tcPr>
          <w:p w14:paraId="2890820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386" w:type="dxa"/>
          </w:tcPr>
          <w:p w14:paraId="4AD97CC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18C7AAD" w14:textId="77777777">
        <w:tc>
          <w:tcPr>
            <w:tcW w:w="4928" w:type="dxa"/>
          </w:tcPr>
          <w:p w14:paraId="1B79570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386" w:type="dxa"/>
          </w:tcPr>
          <w:p w14:paraId="190BB78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r>
      <w:tr w:rsidR="00F26F01" w:rsidRPr="00C33834" w14:paraId="6840D180" w14:textId="77777777">
        <w:tc>
          <w:tcPr>
            <w:tcW w:w="4928" w:type="dxa"/>
          </w:tcPr>
          <w:p w14:paraId="354B276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386" w:type="dxa"/>
          </w:tcPr>
          <w:p w14:paraId="1F32505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68F20F9" w14:textId="77777777">
        <w:tc>
          <w:tcPr>
            <w:tcW w:w="4928" w:type="dxa"/>
          </w:tcPr>
          <w:p w14:paraId="19B208A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386" w:type="dxa"/>
          </w:tcPr>
          <w:p w14:paraId="5E037AE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января 1934 года </w:t>
            </w:r>
          </w:p>
        </w:tc>
      </w:tr>
      <w:tr w:rsidR="00F26F01" w:rsidRPr="00C33834" w14:paraId="2679687C" w14:textId="77777777">
        <w:tc>
          <w:tcPr>
            <w:tcW w:w="4928" w:type="dxa"/>
          </w:tcPr>
          <w:p w14:paraId="7BF0D29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386" w:type="dxa"/>
          </w:tcPr>
          <w:p w14:paraId="60CCA8E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322602F" w14:textId="77777777">
        <w:tc>
          <w:tcPr>
            <w:tcW w:w="4928" w:type="dxa"/>
          </w:tcPr>
          <w:p w14:paraId="1AAA357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tc>
        <w:tc>
          <w:tcPr>
            <w:tcW w:w="5386" w:type="dxa"/>
          </w:tcPr>
          <w:p w14:paraId="0ED1D69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года (по утвержд. эскиз. проекту)</w:t>
            </w:r>
          </w:p>
        </w:tc>
      </w:tr>
    </w:tbl>
    <w:p w14:paraId="78D0B22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февраля 1933 года происходило предварительное рассмотрение эскизного проекта. Проект закончен на 50 %.</w:t>
      </w:r>
    </w:p>
    <w:p w14:paraId="7950770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Паровая турбина (особ. пост. Правит.)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4B2FC55C" w14:textId="77777777">
        <w:tc>
          <w:tcPr>
            <w:tcW w:w="4928" w:type="dxa"/>
          </w:tcPr>
          <w:p w14:paraId="1EF281F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386" w:type="dxa"/>
          </w:tcPr>
          <w:p w14:paraId="586F918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ХАИ</w:t>
            </w:r>
          </w:p>
        </w:tc>
      </w:tr>
      <w:tr w:rsidR="00F26F01" w:rsidRPr="00C33834" w14:paraId="58268332" w14:textId="77777777">
        <w:tc>
          <w:tcPr>
            <w:tcW w:w="4928" w:type="dxa"/>
          </w:tcPr>
          <w:p w14:paraId="02B32CE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386" w:type="dxa"/>
          </w:tcPr>
          <w:p w14:paraId="2ECF0CB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779EAA3" w14:textId="77777777">
        <w:tc>
          <w:tcPr>
            <w:tcW w:w="4928" w:type="dxa"/>
          </w:tcPr>
          <w:p w14:paraId="5883FC0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386" w:type="dxa"/>
          </w:tcPr>
          <w:p w14:paraId="5A68F48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15000</w:t>
            </w:r>
          </w:p>
        </w:tc>
      </w:tr>
      <w:tr w:rsidR="00F26F01" w:rsidRPr="00C33834" w14:paraId="1C346EBB" w14:textId="77777777">
        <w:tc>
          <w:tcPr>
            <w:tcW w:w="4928" w:type="dxa"/>
          </w:tcPr>
          <w:p w14:paraId="6B2B31E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386" w:type="dxa"/>
          </w:tcPr>
          <w:p w14:paraId="732637B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16500</w:t>
            </w:r>
          </w:p>
        </w:tc>
      </w:tr>
      <w:tr w:rsidR="00F26F01" w:rsidRPr="00C33834" w14:paraId="21BCD6F9" w14:textId="77777777">
        <w:tc>
          <w:tcPr>
            <w:tcW w:w="4928" w:type="dxa"/>
          </w:tcPr>
          <w:p w14:paraId="2288AA2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386" w:type="dxa"/>
          </w:tcPr>
          <w:p w14:paraId="6FF4E9D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B6593A7" w14:textId="77777777">
        <w:tc>
          <w:tcPr>
            <w:tcW w:w="4928" w:type="dxa"/>
          </w:tcPr>
          <w:p w14:paraId="648FC28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386" w:type="dxa"/>
          </w:tcPr>
          <w:p w14:paraId="7A26BE7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r>
      <w:tr w:rsidR="00F26F01" w:rsidRPr="00C33834" w14:paraId="39C88469" w14:textId="77777777">
        <w:tc>
          <w:tcPr>
            <w:tcW w:w="4928" w:type="dxa"/>
          </w:tcPr>
          <w:p w14:paraId="42DE3EF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386" w:type="dxa"/>
          </w:tcPr>
          <w:p w14:paraId="632266A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079D505" w14:textId="77777777">
        <w:tc>
          <w:tcPr>
            <w:tcW w:w="4928" w:type="dxa"/>
          </w:tcPr>
          <w:p w14:paraId="5C8C7A0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386" w:type="dxa"/>
          </w:tcPr>
          <w:p w14:paraId="143215C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1934 года</w:t>
            </w:r>
          </w:p>
        </w:tc>
      </w:tr>
      <w:tr w:rsidR="00F26F01" w:rsidRPr="00C33834" w14:paraId="48FF183B" w14:textId="77777777">
        <w:tc>
          <w:tcPr>
            <w:tcW w:w="4928" w:type="dxa"/>
          </w:tcPr>
          <w:p w14:paraId="3CEE125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386" w:type="dxa"/>
          </w:tcPr>
          <w:p w14:paraId="144227D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E2AF90B" w14:textId="77777777">
        <w:tc>
          <w:tcPr>
            <w:tcW w:w="4928" w:type="dxa"/>
          </w:tcPr>
          <w:p w14:paraId="7D5160F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tc>
        <w:tc>
          <w:tcPr>
            <w:tcW w:w="5386" w:type="dxa"/>
          </w:tcPr>
          <w:p w14:paraId="3601627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1933 года (эскиз. проект на утвержд.)</w:t>
            </w:r>
          </w:p>
        </w:tc>
      </w:tr>
    </w:tbl>
    <w:p w14:paraId="01A1135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проектированию не приступлено, т.к. все группы загружены предыдущим объектом.</w:t>
      </w:r>
    </w:p>
    <w:p w14:paraId="1B6F72E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Бесклапанный двигатель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5F068F24" w14:textId="77777777">
        <w:tc>
          <w:tcPr>
            <w:tcW w:w="4928" w:type="dxa"/>
          </w:tcPr>
          <w:p w14:paraId="1D98E02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строит</w:t>
            </w:r>
          </w:p>
        </w:tc>
        <w:tc>
          <w:tcPr>
            <w:tcW w:w="5386" w:type="dxa"/>
          </w:tcPr>
          <w:p w14:paraId="0CDB959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r>
      <w:tr w:rsidR="00F26F01" w:rsidRPr="00C33834" w14:paraId="1E3A4C0D" w14:textId="77777777">
        <w:tc>
          <w:tcPr>
            <w:tcW w:w="4928" w:type="dxa"/>
          </w:tcPr>
          <w:p w14:paraId="19AE530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5386" w:type="dxa"/>
          </w:tcPr>
          <w:p w14:paraId="4FB2ECF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8AF8E72" w14:textId="77777777">
        <w:tc>
          <w:tcPr>
            <w:tcW w:w="4928" w:type="dxa"/>
          </w:tcPr>
          <w:p w14:paraId="3D8453A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5386" w:type="dxa"/>
          </w:tcPr>
          <w:p w14:paraId="188A321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4827976C" w14:textId="77777777">
        <w:tc>
          <w:tcPr>
            <w:tcW w:w="4928" w:type="dxa"/>
          </w:tcPr>
          <w:p w14:paraId="51F85DD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5386" w:type="dxa"/>
          </w:tcPr>
          <w:p w14:paraId="4034E45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35B9565" w14:textId="77777777">
        <w:tc>
          <w:tcPr>
            <w:tcW w:w="4928" w:type="dxa"/>
          </w:tcPr>
          <w:p w14:paraId="31E8D33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Удельный вес</w:t>
            </w:r>
          </w:p>
        </w:tc>
        <w:tc>
          <w:tcPr>
            <w:tcW w:w="5386" w:type="dxa"/>
          </w:tcPr>
          <w:p w14:paraId="4BFBBBA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F7E40A5" w14:textId="77777777">
        <w:tc>
          <w:tcPr>
            <w:tcW w:w="4928" w:type="dxa"/>
          </w:tcPr>
          <w:p w14:paraId="3B7F0A5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5386" w:type="dxa"/>
          </w:tcPr>
          <w:p w14:paraId="13BCDD3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FE743DC" w14:textId="77777777">
        <w:tc>
          <w:tcPr>
            <w:tcW w:w="4928" w:type="dxa"/>
          </w:tcPr>
          <w:p w14:paraId="3982DB5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 на госиспыт.</w:t>
            </w:r>
          </w:p>
        </w:tc>
        <w:tc>
          <w:tcPr>
            <w:tcW w:w="5386" w:type="dxa"/>
          </w:tcPr>
          <w:p w14:paraId="6C25C44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5D8FE5D" w14:textId="77777777">
        <w:tc>
          <w:tcPr>
            <w:tcW w:w="4928" w:type="dxa"/>
          </w:tcPr>
          <w:p w14:paraId="6623432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 СТО</w:t>
            </w:r>
          </w:p>
        </w:tc>
        <w:tc>
          <w:tcPr>
            <w:tcW w:w="5386" w:type="dxa"/>
          </w:tcPr>
          <w:p w14:paraId="71D3651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1932 года</w:t>
            </w:r>
          </w:p>
        </w:tc>
      </w:tr>
      <w:tr w:rsidR="00F26F01" w:rsidRPr="00C33834" w14:paraId="652B8FC0" w14:textId="77777777">
        <w:tc>
          <w:tcPr>
            <w:tcW w:w="4928" w:type="dxa"/>
          </w:tcPr>
          <w:p w14:paraId="00A310D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сроки предъявл.</w:t>
            </w:r>
          </w:p>
        </w:tc>
        <w:tc>
          <w:tcPr>
            <w:tcW w:w="5386" w:type="dxa"/>
          </w:tcPr>
          <w:p w14:paraId="0AC93CB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82628EB" w14:textId="77777777">
        <w:tc>
          <w:tcPr>
            <w:tcW w:w="4928" w:type="dxa"/>
          </w:tcPr>
          <w:p w14:paraId="5336987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Авиапромом на госисп.</w:t>
            </w:r>
          </w:p>
        </w:tc>
        <w:tc>
          <w:tcPr>
            <w:tcW w:w="5386" w:type="dxa"/>
          </w:tcPr>
          <w:p w14:paraId="7084225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1933 года</w:t>
            </w:r>
          </w:p>
        </w:tc>
      </w:tr>
    </w:tbl>
    <w:p w14:paraId="0AFC739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Находится в производстве. Из-за загрузки завода производство мотора задерживается.</w:t>
      </w:r>
    </w:p>
    <w:p w14:paraId="11EB7F3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самолетам (сухопутным).</w:t>
      </w:r>
    </w:p>
    <w:p w14:paraId="127C112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Опытные</w:t>
      </w:r>
    </w:p>
    <w:p w14:paraId="3CAB23D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ТБ6-М44 или нефтян. (тяжелый бомбардировщик, он же пассажирский).</w:t>
      </w:r>
    </w:p>
    <w:p w14:paraId="0C8BCA8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44335170" w14:textId="77777777">
        <w:tc>
          <w:tcPr>
            <w:tcW w:w="4928" w:type="dxa"/>
          </w:tcPr>
          <w:p w14:paraId="69E640F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 гориз. скорость на высоте</w:t>
            </w:r>
          </w:p>
        </w:tc>
        <w:tc>
          <w:tcPr>
            <w:tcW w:w="5386" w:type="dxa"/>
          </w:tcPr>
          <w:p w14:paraId="415710F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250/5000</w:t>
            </w:r>
          </w:p>
        </w:tc>
      </w:tr>
      <w:tr w:rsidR="00F26F01" w:rsidRPr="00C33834" w14:paraId="570BDAE7" w14:textId="77777777">
        <w:tc>
          <w:tcPr>
            <w:tcW w:w="4928" w:type="dxa"/>
          </w:tcPr>
          <w:p w14:paraId="7FC810D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высоту</w:t>
            </w:r>
          </w:p>
        </w:tc>
        <w:tc>
          <w:tcPr>
            <w:tcW w:w="5386" w:type="dxa"/>
          </w:tcPr>
          <w:p w14:paraId="393C3D6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0EC2D61" w14:textId="77777777">
        <w:tc>
          <w:tcPr>
            <w:tcW w:w="4928" w:type="dxa"/>
          </w:tcPr>
          <w:p w14:paraId="7CD9A4E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5386" w:type="dxa"/>
          </w:tcPr>
          <w:p w14:paraId="4497718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7000</w:t>
            </w:r>
          </w:p>
        </w:tc>
      </w:tr>
      <w:tr w:rsidR="00F26F01" w:rsidRPr="00C33834" w14:paraId="10B9F482" w14:textId="77777777">
        <w:tc>
          <w:tcPr>
            <w:tcW w:w="4928" w:type="dxa"/>
          </w:tcPr>
          <w:p w14:paraId="7F959F1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5386" w:type="dxa"/>
          </w:tcPr>
          <w:p w14:paraId="2A04AEF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 15000 кг</w:t>
            </w:r>
          </w:p>
        </w:tc>
      </w:tr>
      <w:tr w:rsidR="00F26F01" w:rsidRPr="00C33834" w14:paraId="674F2E28" w14:textId="77777777">
        <w:tc>
          <w:tcPr>
            <w:tcW w:w="4928" w:type="dxa"/>
          </w:tcPr>
          <w:p w14:paraId="48E5D57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343B704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 пулеметы и пушки</w:t>
            </w:r>
          </w:p>
        </w:tc>
      </w:tr>
      <w:tr w:rsidR="00F26F01" w:rsidRPr="00C33834" w14:paraId="01FBE130" w14:textId="77777777">
        <w:tc>
          <w:tcPr>
            <w:tcW w:w="4928" w:type="dxa"/>
          </w:tcPr>
          <w:p w14:paraId="63AA909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c>
          <w:tcPr>
            <w:tcW w:w="5386" w:type="dxa"/>
          </w:tcPr>
          <w:p w14:paraId="217AE04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r>
      <w:tr w:rsidR="00F26F01" w:rsidRPr="00C33834" w14:paraId="425D7526" w14:textId="77777777">
        <w:tc>
          <w:tcPr>
            <w:tcW w:w="4928" w:type="dxa"/>
          </w:tcPr>
          <w:p w14:paraId="36FAA18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4814005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3DC925B" w14:textId="77777777">
        <w:tc>
          <w:tcPr>
            <w:tcW w:w="4928" w:type="dxa"/>
          </w:tcPr>
          <w:p w14:paraId="16641C7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 Ориент. срок предъявления промышл. на гос. испытания</w:t>
            </w:r>
          </w:p>
        </w:tc>
        <w:tc>
          <w:tcPr>
            <w:tcW w:w="5386" w:type="dxa"/>
          </w:tcPr>
          <w:p w14:paraId="19A46C5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1934 года</w:t>
            </w:r>
          </w:p>
        </w:tc>
      </w:tr>
    </w:tbl>
    <w:p w14:paraId="4FE77D9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находится в стадии уточнения основных размеров самолета, при чем ЦАГИ исходит из бомбовой нагрузки 10 тонн. Ведется проектирование основных узлов и элементов самолета с специальной целью выработки типовой конструкции отдельных элементов из хромомолибденовой стали, которая явится основным материалом.</w:t>
      </w:r>
    </w:p>
    <w:p w14:paraId="7ECA874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запроектирован в виде моноплана с очень большим размахом крыльев (около 100 м) и фюзеляжем близким по размерам к фюзеляжу самолета ТБ-4. Выработана схема самолета. Производятся расчеты для разработки конструкции. Самолет проектируется под 12 моторов М34НР с возможностью замены их на 6 моторов М44. Летно-тактические данные по техтребованиям ЦАГИ оспариваются в сторону уменьшения сбрасываемого груза до 10 тонн и уменьшения радиуса.</w:t>
      </w:r>
    </w:p>
    <w:p w14:paraId="3AB3FB0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Д1-10М34 (тяжелый десантный).</w:t>
      </w:r>
    </w:p>
    <w:p w14:paraId="25B1B50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59C751C1" w14:textId="77777777">
        <w:tc>
          <w:tcPr>
            <w:tcW w:w="4928" w:type="dxa"/>
          </w:tcPr>
          <w:p w14:paraId="2D7A889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 гориз. скорость на высоте</w:t>
            </w:r>
          </w:p>
        </w:tc>
        <w:tc>
          <w:tcPr>
            <w:tcW w:w="5386" w:type="dxa"/>
          </w:tcPr>
          <w:p w14:paraId="50D6C16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215/3000</w:t>
            </w:r>
          </w:p>
        </w:tc>
      </w:tr>
      <w:tr w:rsidR="00F26F01" w:rsidRPr="00C33834" w14:paraId="7543782E" w14:textId="77777777">
        <w:tc>
          <w:tcPr>
            <w:tcW w:w="4928" w:type="dxa"/>
          </w:tcPr>
          <w:p w14:paraId="4E984D2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высоту</w:t>
            </w:r>
          </w:p>
        </w:tc>
        <w:tc>
          <w:tcPr>
            <w:tcW w:w="5386" w:type="dxa"/>
          </w:tcPr>
          <w:p w14:paraId="43D59F0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75B89E3" w14:textId="77777777">
        <w:tc>
          <w:tcPr>
            <w:tcW w:w="4928" w:type="dxa"/>
          </w:tcPr>
          <w:p w14:paraId="3866815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5386" w:type="dxa"/>
          </w:tcPr>
          <w:p w14:paraId="4F7C873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r>
      <w:tr w:rsidR="00F26F01" w:rsidRPr="00C33834" w14:paraId="65DB6BB9" w14:textId="77777777">
        <w:tc>
          <w:tcPr>
            <w:tcW w:w="4928" w:type="dxa"/>
          </w:tcPr>
          <w:p w14:paraId="0DC5CBE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5386" w:type="dxa"/>
          </w:tcPr>
          <w:p w14:paraId="782CB2F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пулеметов, 2 пушки</w:t>
            </w:r>
          </w:p>
        </w:tc>
      </w:tr>
      <w:tr w:rsidR="00F26F01" w:rsidRPr="00C33834" w14:paraId="5D67EAE0" w14:textId="77777777">
        <w:tc>
          <w:tcPr>
            <w:tcW w:w="4928" w:type="dxa"/>
          </w:tcPr>
          <w:p w14:paraId="2DC093E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c>
          <w:tcPr>
            <w:tcW w:w="5386" w:type="dxa"/>
          </w:tcPr>
          <w:p w14:paraId="4FF74D9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r>
      <w:tr w:rsidR="00F26F01" w:rsidRPr="00C33834" w14:paraId="70FC7BE6" w14:textId="77777777">
        <w:tc>
          <w:tcPr>
            <w:tcW w:w="4928" w:type="dxa"/>
          </w:tcPr>
          <w:p w14:paraId="76AA717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03D0814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5D06A89" w14:textId="77777777">
        <w:tc>
          <w:tcPr>
            <w:tcW w:w="4928" w:type="dxa"/>
          </w:tcPr>
          <w:p w14:paraId="212A111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65DEF7A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года</w:t>
            </w:r>
          </w:p>
        </w:tc>
      </w:tr>
      <w:tr w:rsidR="00F26F01" w:rsidRPr="00C33834" w14:paraId="71847561" w14:textId="77777777">
        <w:tc>
          <w:tcPr>
            <w:tcW w:w="4928" w:type="dxa"/>
          </w:tcPr>
          <w:p w14:paraId="1793D69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1D9B7FD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6F88272" w14:textId="77777777">
        <w:tc>
          <w:tcPr>
            <w:tcW w:w="4928" w:type="dxa"/>
          </w:tcPr>
          <w:p w14:paraId="01980A5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40D2830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ВВА не установлен</w:t>
            </w:r>
          </w:p>
        </w:tc>
      </w:tr>
    </w:tbl>
    <w:p w14:paraId="66B146D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Ряд элементов конструкции разработкой закончен и готов для сдачи в производство. Заканчивается разработка рабочих чертежей. Вопрос постройки задерживается испытанием передач от моторов к винтам. Производственной базы еще не имеется. Испытание передач велось с 23 января 1933 года на 2-х электромоторах постоянного тока. Испытание передач продолжается с 16 марта на 2-х моторах М27, наработано общей сложностью 2,5 часа.</w:t>
      </w:r>
    </w:p>
    <w:p w14:paraId="39F7E13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ТБ4-6М34 (тяжелый бомбовоз).</w:t>
      </w:r>
    </w:p>
    <w:p w14:paraId="758750B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4AA4FE18" w14:textId="77777777">
        <w:tc>
          <w:tcPr>
            <w:tcW w:w="4928" w:type="dxa"/>
          </w:tcPr>
          <w:p w14:paraId="633091F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 гориз. скорость на высоте</w:t>
            </w:r>
          </w:p>
        </w:tc>
        <w:tc>
          <w:tcPr>
            <w:tcW w:w="5386" w:type="dxa"/>
          </w:tcPr>
          <w:p w14:paraId="595C729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200/3000</w:t>
            </w:r>
          </w:p>
        </w:tc>
      </w:tr>
      <w:tr w:rsidR="00F26F01" w:rsidRPr="00C33834" w14:paraId="52D4F7D0" w14:textId="77777777">
        <w:tc>
          <w:tcPr>
            <w:tcW w:w="4928" w:type="dxa"/>
          </w:tcPr>
          <w:p w14:paraId="36B4C67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высоту</w:t>
            </w:r>
          </w:p>
        </w:tc>
        <w:tc>
          <w:tcPr>
            <w:tcW w:w="5386" w:type="dxa"/>
          </w:tcPr>
          <w:p w14:paraId="502FBF9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4B271FE" w14:textId="77777777">
        <w:tc>
          <w:tcPr>
            <w:tcW w:w="4928" w:type="dxa"/>
          </w:tcPr>
          <w:p w14:paraId="4F33D41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5386" w:type="dxa"/>
          </w:tcPr>
          <w:p w14:paraId="125CFF1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5000-6000</w:t>
            </w:r>
          </w:p>
        </w:tc>
      </w:tr>
      <w:tr w:rsidR="00F26F01" w:rsidRPr="00C33834" w14:paraId="7FA174C0" w14:textId="77777777">
        <w:tc>
          <w:tcPr>
            <w:tcW w:w="4928" w:type="dxa"/>
          </w:tcPr>
          <w:p w14:paraId="1CCBDAF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5386" w:type="dxa"/>
          </w:tcPr>
          <w:p w14:paraId="539B15D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 6000 кг</w:t>
            </w:r>
          </w:p>
        </w:tc>
      </w:tr>
      <w:tr w:rsidR="00F26F01" w:rsidRPr="00C33834" w14:paraId="4C2CC21B" w14:textId="77777777">
        <w:tc>
          <w:tcPr>
            <w:tcW w:w="4928" w:type="dxa"/>
          </w:tcPr>
          <w:p w14:paraId="7008EAE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212965A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пул., 2 пушки</w:t>
            </w:r>
          </w:p>
        </w:tc>
      </w:tr>
      <w:tr w:rsidR="00F26F01" w:rsidRPr="00C33834" w14:paraId="49C171F5" w14:textId="77777777">
        <w:tc>
          <w:tcPr>
            <w:tcW w:w="4928" w:type="dxa"/>
          </w:tcPr>
          <w:p w14:paraId="6C1F5FD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c>
          <w:tcPr>
            <w:tcW w:w="5386" w:type="dxa"/>
          </w:tcPr>
          <w:p w14:paraId="0AADD49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r>
      <w:tr w:rsidR="00F26F01" w:rsidRPr="00C33834" w14:paraId="05F8829C" w14:textId="77777777">
        <w:tc>
          <w:tcPr>
            <w:tcW w:w="4928" w:type="dxa"/>
          </w:tcPr>
          <w:p w14:paraId="1D3D9A5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5F561F3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55B6D60" w14:textId="77777777">
        <w:tc>
          <w:tcPr>
            <w:tcW w:w="4928" w:type="dxa"/>
          </w:tcPr>
          <w:p w14:paraId="29B7574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799C89B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года</w:t>
            </w:r>
          </w:p>
        </w:tc>
      </w:tr>
      <w:tr w:rsidR="00F26F01" w:rsidRPr="00C33834" w14:paraId="4C4982A9" w14:textId="77777777">
        <w:tc>
          <w:tcPr>
            <w:tcW w:w="4928" w:type="dxa"/>
          </w:tcPr>
          <w:p w14:paraId="1F7FAB2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7FD5E89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C6B2A74" w14:textId="77777777">
        <w:tc>
          <w:tcPr>
            <w:tcW w:w="4928" w:type="dxa"/>
          </w:tcPr>
          <w:p w14:paraId="3B266D1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на гос. испытания</w:t>
            </w:r>
          </w:p>
        </w:tc>
        <w:tc>
          <w:tcPr>
            <w:tcW w:w="5386" w:type="dxa"/>
          </w:tcPr>
          <w:p w14:paraId="4C33706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года зав. испыт.</w:t>
            </w:r>
          </w:p>
        </w:tc>
      </w:tr>
    </w:tbl>
    <w:p w14:paraId="66488F9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Перевозка самолета на аэродром закончена. Производится сборка. Навешены крылья и хвост. Монтируется тандемная установка моторов. Самолет к 1 мая выйдет на заводские испытания.</w:t>
      </w:r>
    </w:p>
    <w:p w14:paraId="08B9599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ТБ4-6М34 (головной серийный).</w:t>
      </w:r>
    </w:p>
    <w:p w14:paraId="49AFB9F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29B80421" w14:textId="77777777">
        <w:tc>
          <w:tcPr>
            <w:tcW w:w="4928" w:type="dxa"/>
          </w:tcPr>
          <w:p w14:paraId="757F3CE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 гориз. скорость на высоте</w:t>
            </w:r>
          </w:p>
        </w:tc>
        <w:tc>
          <w:tcPr>
            <w:tcW w:w="5386" w:type="dxa"/>
          </w:tcPr>
          <w:p w14:paraId="2D5179B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200/3000</w:t>
            </w:r>
          </w:p>
        </w:tc>
      </w:tr>
      <w:tr w:rsidR="00F26F01" w:rsidRPr="00C33834" w14:paraId="1097139E" w14:textId="77777777">
        <w:tc>
          <w:tcPr>
            <w:tcW w:w="4928" w:type="dxa"/>
          </w:tcPr>
          <w:p w14:paraId="13832FD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высоту</w:t>
            </w:r>
          </w:p>
        </w:tc>
        <w:tc>
          <w:tcPr>
            <w:tcW w:w="5386" w:type="dxa"/>
          </w:tcPr>
          <w:p w14:paraId="2AD0353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9C01133" w14:textId="77777777">
        <w:tc>
          <w:tcPr>
            <w:tcW w:w="4928" w:type="dxa"/>
          </w:tcPr>
          <w:p w14:paraId="0ED85F8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5386" w:type="dxa"/>
          </w:tcPr>
          <w:p w14:paraId="1DD6852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5000-6000</w:t>
            </w:r>
          </w:p>
        </w:tc>
      </w:tr>
      <w:tr w:rsidR="00F26F01" w:rsidRPr="00C33834" w14:paraId="08D995D2" w14:textId="77777777">
        <w:tc>
          <w:tcPr>
            <w:tcW w:w="4928" w:type="dxa"/>
          </w:tcPr>
          <w:p w14:paraId="6860A30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5386" w:type="dxa"/>
          </w:tcPr>
          <w:p w14:paraId="5E5BF52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 6000 кг</w:t>
            </w:r>
          </w:p>
        </w:tc>
      </w:tr>
      <w:tr w:rsidR="00F26F01" w:rsidRPr="00C33834" w14:paraId="7040A069" w14:textId="77777777">
        <w:tc>
          <w:tcPr>
            <w:tcW w:w="4928" w:type="dxa"/>
          </w:tcPr>
          <w:p w14:paraId="1E553DE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4735A67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пул., 2 пушки</w:t>
            </w:r>
          </w:p>
        </w:tc>
      </w:tr>
      <w:tr w:rsidR="00F26F01" w:rsidRPr="00C33834" w14:paraId="08D9F6CD" w14:textId="77777777">
        <w:tc>
          <w:tcPr>
            <w:tcW w:w="4928" w:type="dxa"/>
          </w:tcPr>
          <w:p w14:paraId="7A56D34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c>
          <w:tcPr>
            <w:tcW w:w="5386" w:type="dxa"/>
          </w:tcPr>
          <w:p w14:paraId="6FF443C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r>
      <w:tr w:rsidR="00F26F01" w:rsidRPr="00C33834" w14:paraId="0D94188E" w14:textId="77777777">
        <w:tc>
          <w:tcPr>
            <w:tcW w:w="4928" w:type="dxa"/>
          </w:tcPr>
          <w:p w14:paraId="2CDDDC8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566220E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0392FC4" w14:textId="77777777">
        <w:tc>
          <w:tcPr>
            <w:tcW w:w="4928" w:type="dxa"/>
          </w:tcPr>
          <w:p w14:paraId="057EB7A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6957969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года</w:t>
            </w:r>
          </w:p>
        </w:tc>
      </w:tr>
      <w:tr w:rsidR="00F26F01" w:rsidRPr="00C33834" w14:paraId="04656C1D" w14:textId="77777777">
        <w:tc>
          <w:tcPr>
            <w:tcW w:w="4928" w:type="dxa"/>
          </w:tcPr>
          <w:p w14:paraId="0CEA574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1523404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881A327" w14:textId="77777777">
        <w:tc>
          <w:tcPr>
            <w:tcW w:w="4928" w:type="dxa"/>
          </w:tcPr>
          <w:p w14:paraId="41F14E3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6153020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сентября 1933 года зав. испыт.</w:t>
            </w:r>
          </w:p>
        </w:tc>
      </w:tr>
    </w:tbl>
    <w:p w14:paraId="305CFC7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Отъемные части крыльев и оперение готовы. Центроплан, крылья и часть фюзеляжа в сборке на стапелях. Общая готовность всех деталей самолета около 50%. Самолет на мечен к выпуску на заводские испытания к 15 сентября 1933 года.</w:t>
      </w:r>
    </w:p>
    <w:p w14:paraId="7A4F21C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XI-2М34 (тяжелый химический боевик, он же самолет для перевозки горюч. и пассаж.).</w:t>
      </w:r>
    </w:p>
    <w:p w14:paraId="48CF850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35FB816C" w14:textId="77777777">
        <w:tc>
          <w:tcPr>
            <w:tcW w:w="4928" w:type="dxa"/>
          </w:tcPr>
          <w:p w14:paraId="5C2ECD6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 гориз. скорость на высоте</w:t>
            </w:r>
          </w:p>
        </w:tc>
        <w:tc>
          <w:tcPr>
            <w:tcW w:w="5386" w:type="dxa"/>
          </w:tcPr>
          <w:p w14:paraId="0A8BF32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250/3000</w:t>
            </w:r>
          </w:p>
        </w:tc>
      </w:tr>
      <w:tr w:rsidR="00F26F01" w:rsidRPr="00C33834" w14:paraId="0384A507" w14:textId="77777777">
        <w:tc>
          <w:tcPr>
            <w:tcW w:w="4928" w:type="dxa"/>
          </w:tcPr>
          <w:p w14:paraId="0CA0E1C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высоту</w:t>
            </w:r>
          </w:p>
        </w:tc>
        <w:tc>
          <w:tcPr>
            <w:tcW w:w="5386" w:type="dxa"/>
          </w:tcPr>
          <w:p w14:paraId="13035FF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C6C02ED" w14:textId="77777777">
        <w:tc>
          <w:tcPr>
            <w:tcW w:w="4928" w:type="dxa"/>
          </w:tcPr>
          <w:p w14:paraId="12BBB66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5386" w:type="dxa"/>
          </w:tcPr>
          <w:p w14:paraId="4651D52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E4753E5" w14:textId="77777777">
        <w:tc>
          <w:tcPr>
            <w:tcW w:w="4928" w:type="dxa"/>
          </w:tcPr>
          <w:p w14:paraId="66B9274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5386" w:type="dxa"/>
          </w:tcPr>
          <w:p w14:paraId="6825695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 кг ОВ</w:t>
            </w:r>
          </w:p>
        </w:tc>
      </w:tr>
      <w:tr w:rsidR="00F26F01" w:rsidRPr="00C33834" w14:paraId="1351D1E3" w14:textId="77777777">
        <w:tc>
          <w:tcPr>
            <w:tcW w:w="4928" w:type="dxa"/>
          </w:tcPr>
          <w:p w14:paraId="116A6CD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3ADEE05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 и легк. пулеметы</w:t>
            </w:r>
          </w:p>
        </w:tc>
      </w:tr>
      <w:tr w:rsidR="00F26F01" w:rsidRPr="00C33834" w14:paraId="201A2E4A" w14:textId="77777777">
        <w:tc>
          <w:tcPr>
            <w:tcW w:w="4928" w:type="dxa"/>
          </w:tcPr>
          <w:p w14:paraId="44EDA83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c>
          <w:tcPr>
            <w:tcW w:w="5386" w:type="dxa"/>
          </w:tcPr>
          <w:p w14:paraId="6C5BFD8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r>
      <w:tr w:rsidR="00F26F01" w:rsidRPr="00C33834" w14:paraId="5F268DE4" w14:textId="77777777">
        <w:tc>
          <w:tcPr>
            <w:tcW w:w="4928" w:type="dxa"/>
          </w:tcPr>
          <w:p w14:paraId="276E854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55FCD28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9D19A00" w14:textId="77777777">
        <w:tc>
          <w:tcPr>
            <w:tcW w:w="4928" w:type="dxa"/>
          </w:tcPr>
          <w:p w14:paraId="651E4AC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5627A42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1933 года</w:t>
            </w:r>
          </w:p>
        </w:tc>
      </w:tr>
      <w:tr w:rsidR="00F26F01" w:rsidRPr="00C33834" w14:paraId="02C65CF2" w14:textId="77777777">
        <w:tc>
          <w:tcPr>
            <w:tcW w:w="4928" w:type="dxa"/>
          </w:tcPr>
          <w:p w14:paraId="090DDB6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73A7ADE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5526C7B" w14:textId="77777777">
        <w:tc>
          <w:tcPr>
            <w:tcW w:w="4928" w:type="dxa"/>
          </w:tcPr>
          <w:p w14:paraId="0EE8590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02AD16D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кварт. 1934 года</w:t>
            </w:r>
          </w:p>
        </w:tc>
      </w:tr>
    </w:tbl>
    <w:p w14:paraId="061888E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Делается эскизный проект самолета типа летающего крыла, который является основным. Одновременно делается проект с вынесенным хвостовым оперением. Получаются из-за границы два мотора по 20 НР для летающей модели. Строится модель для продувки. Развертывание работ задерживалось, т.к. группа инженера Путилова занята в основном выпуском сам. СТАЛЬ-3. По ГУГВФ именуется СТАЛЬ-5.</w:t>
      </w:r>
    </w:p>
    <w:p w14:paraId="7647A9D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К1-2М34 (крейсер сухопутный средний бомбардир. дальний разведчик).</w:t>
      </w:r>
    </w:p>
    <w:p w14:paraId="364BFE0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530F4FB2" w14:textId="77777777">
        <w:tc>
          <w:tcPr>
            <w:tcW w:w="4928" w:type="dxa"/>
          </w:tcPr>
          <w:p w14:paraId="1C5DAA9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 гориз. скорость на высоте</w:t>
            </w:r>
          </w:p>
        </w:tc>
        <w:tc>
          <w:tcPr>
            <w:tcW w:w="5386" w:type="dxa"/>
          </w:tcPr>
          <w:p w14:paraId="5065237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270/300/5000</w:t>
            </w:r>
          </w:p>
        </w:tc>
      </w:tr>
      <w:tr w:rsidR="00F26F01" w:rsidRPr="00C33834" w14:paraId="5982222D" w14:textId="77777777">
        <w:tc>
          <w:tcPr>
            <w:tcW w:w="4928" w:type="dxa"/>
          </w:tcPr>
          <w:p w14:paraId="0D713EF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высоту</w:t>
            </w:r>
          </w:p>
        </w:tc>
        <w:tc>
          <w:tcPr>
            <w:tcW w:w="5386" w:type="dxa"/>
          </w:tcPr>
          <w:p w14:paraId="4C89B21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1400199" w14:textId="77777777">
        <w:tc>
          <w:tcPr>
            <w:tcW w:w="4928" w:type="dxa"/>
          </w:tcPr>
          <w:p w14:paraId="706601E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5386" w:type="dxa"/>
          </w:tcPr>
          <w:p w14:paraId="146491F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A210D88" w14:textId="77777777">
        <w:tc>
          <w:tcPr>
            <w:tcW w:w="4928" w:type="dxa"/>
          </w:tcPr>
          <w:p w14:paraId="3F8A411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5386" w:type="dxa"/>
          </w:tcPr>
          <w:p w14:paraId="35F1038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тяжелые и легк. пулеметы</w:t>
            </w:r>
          </w:p>
        </w:tc>
      </w:tr>
      <w:tr w:rsidR="00F26F01" w:rsidRPr="00C33834" w14:paraId="2EA9A4C4" w14:textId="77777777">
        <w:tc>
          <w:tcPr>
            <w:tcW w:w="4928" w:type="dxa"/>
          </w:tcPr>
          <w:p w14:paraId="6111232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c>
          <w:tcPr>
            <w:tcW w:w="5386" w:type="dxa"/>
          </w:tcPr>
          <w:p w14:paraId="697E55A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600-1000</w:t>
            </w:r>
          </w:p>
        </w:tc>
      </w:tr>
      <w:tr w:rsidR="00F26F01" w:rsidRPr="00C33834" w14:paraId="3FEECA21" w14:textId="77777777">
        <w:tc>
          <w:tcPr>
            <w:tcW w:w="4928" w:type="dxa"/>
          </w:tcPr>
          <w:p w14:paraId="3D22C1A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796C045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F308C4D" w14:textId="77777777">
        <w:tc>
          <w:tcPr>
            <w:tcW w:w="4928" w:type="dxa"/>
          </w:tcPr>
          <w:p w14:paraId="46CD361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49A0217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 года</w:t>
            </w:r>
          </w:p>
        </w:tc>
      </w:tr>
      <w:tr w:rsidR="00F26F01" w:rsidRPr="00C33834" w14:paraId="2CFFD1FB" w14:textId="77777777">
        <w:tc>
          <w:tcPr>
            <w:tcW w:w="4928" w:type="dxa"/>
          </w:tcPr>
          <w:p w14:paraId="2483370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58E38F5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65E34AA" w14:textId="77777777">
        <w:tc>
          <w:tcPr>
            <w:tcW w:w="4928" w:type="dxa"/>
          </w:tcPr>
          <w:p w14:paraId="6D2752F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18A5A95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февраль-март 1934 года</w:t>
            </w:r>
          </w:p>
        </w:tc>
      </w:tr>
    </w:tbl>
    <w:p w14:paraId="0717313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Макет самолета в целом не утвержден вследствие неудачной компоновки головной части самолета. Чертежи самолета готовы на 50%. В производство запущены отъемные части крыльев. Срок выхода самолета зависит от выхода серийных моторов М32 и намечается из-за задержки моторов на заводские испытания не ранее февраля-марта 1934 года.</w:t>
      </w:r>
    </w:p>
    <w:p w14:paraId="1FC8654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МИ3-2М34 (многоместный истребитель).</w:t>
      </w:r>
    </w:p>
    <w:p w14:paraId="65E1004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13B8929B" w14:textId="77777777">
        <w:tc>
          <w:tcPr>
            <w:tcW w:w="4928" w:type="dxa"/>
          </w:tcPr>
          <w:p w14:paraId="03D5385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 гориз. скорость на высоте</w:t>
            </w:r>
          </w:p>
        </w:tc>
        <w:tc>
          <w:tcPr>
            <w:tcW w:w="5386" w:type="dxa"/>
          </w:tcPr>
          <w:p w14:paraId="25DFBF3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300/5000</w:t>
            </w:r>
          </w:p>
        </w:tc>
      </w:tr>
      <w:tr w:rsidR="00F26F01" w:rsidRPr="00C33834" w14:paraId="3EE686D5" w14:textId="77777777">
        <w:tc>
          <w:tcPr>
            <w:tcW w:w="4928" w:type="dxa"/>
          </w:tcPr>
          <w:p w14:paraId="2ADCF90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высоту</w:t>
            </w:r>
          </w:p>
        </w:tc>
        <w:tc>
          <w:tcPr>
            <w:tcW w:w="5386" w:type="dxa"/>
          </w:tcPr>
          <w:p w14:paraId="7A4B897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15-18/6000</w:t>
            </w:r>
          </w:p>
        </w:tc>
      </w:tr>
      <w:tr w:rsidR="00F26F01" w:rsidRPr="00C33834" w14:paraId="70DA3B46" w14:textId="77777777">
        <w:tc>
          <w:tcPr>
            <w:tcW w:w="4928" w:type="dxa"/>
          </w:tcPr>
          <w:p w14:paraId="2CCF6E2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5386" w:type="dxa"/>
          </w:tcPr>
          <w:p w14:paraId="2CC085D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7000-8000</w:t>
            </w:r>
          </w:p>
        </w:tc>
      </w:tr>
      <w:tr w:rsidR="00F26F01" w:rsidRPr="00C33834" w14:paraId="7EECFA48" w14:textId="77777777">
        <w:tc>
          <w:tcPr>
            <w:tcW w:w="4928" w:type="dxa"/>
          </w:tcPr>
          <w:p w14:paraId="7F20EDE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5386" w:type="dxa"/>
          </w:tcPr>
          <w:p w14:paraId="2D53B25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тяж. пулем., 6 легких</w:t>
            </w:r>
          </w:p>
        </w:tc>
      </w:tr>
      <w:tr w:rsidR="00F26F01" w:rsidRPr="00C33834" w14:paraId="06D68057" w14:textId="77777777">
        <w:tc>
          <w:tcPr>
            <w:tcW w:w="4928" w:type="dxa"/>
          </w:tcPr>
          <w:p w14:paraId="644A9E1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c>
          <w:tcPr>
            <w:tcW w:w="5386" w:type="dxa"/>
          </w:tcPr>
          <w:p w14:paraId="1D9F644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r>
      <w:tr w:rsidR="00F26F01" w:rsidRPr="00C33834" w14:paraId="323BF7C4" w14:textId="77777777">
        <w:tc>
          <w:tcPr>
            <w:tcW w:w="4928" w:type="dxa"/>
          </w:tcPr>
          <w:p w14:paraId="6E0631D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7EB2F3B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99F235F" w14:textId="77777777">
        <w:tc>
          <w:tcPr>
            <w:tcW w:w="4928" w:type="dxa"/>
          </w:tcPr>
          <w:p w14:paraId="419CD6A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38E44E5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1933 года (выход на аэродром)</w:t>
            </w:r>
          </w:p>
        </w:tc>
      </w:tr>
      <w:tr w:rsidR="00F26F01" w:rsidRPr="00C33834" w14:paraId="2CC583DD" w14:textId="77777777">
        <w:tc>
          <w:tcPr>
            <w:tcW w:w="4928" w:type="dxa"/>
          </w:tcPr>
          <w:p w14:paraId="591CC85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403E300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E3CA697" w14:textId="77777777">
        <w:tc>
          <w:tcPr>
            <w:tcW w:w="4928" w:type="dxa"/>
          </w:tcPr>
          <w:p w14:paraId="306090C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039ECD7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года гос. испыт.</w:t>
            </w:r>
          </w:p>
        </w:tc>
      </w:tr>
    </w:tbl>
    <w:p w14:paraId="77CFEBA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Выявлен целый ряд конструктивных и производственных дефектов устранение которых производится в ЗОКе. Самолет выйдет на заводские испытания в середине апреля и на государственные - не ранее 1 июня 1933 года.</w:t>
      </w:r>
    </w:p>
    <w:p w14:paraId="7E918A1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ДИП1-2М34</w:t>
      </w:r>
    </w:p>
    <w:p w14:paraId="306B756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0C77EFF0" w14:textId="77777777">
        <w:tc>
          <w:tcPr>
            <w:tcW w:w="4928" w:type="dxa"/>
          </w:tcPr>
          <w:p w14:paraId="2583397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 гориз. скорость на высоте</w:t>
            </w:r>
          </w:p>
        </w:tc>
        <w:tc>
          <w:tcPr>
            <w:tcW w:w="5386" w:type="dxa"/>
          </w:tcPr>
          <w:p w14:paraId="3641918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325/5000</w:t>
            </w:r>
          </w:p>
        </w:tc>
      </w:tr>
      <w:tr w:rsidR="00F26F01" w:rsidRPr="00C33834" w14:paraId="3801BCF0" w14:textId="77777777">
        <w:tc>
          <w:tcPr>
            <w:tcW w:w="4928" w:type="dxa"/>
          </w:tcPr>
          <w:p w14:paraId="703C772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высоту</w:t>
            </w:r>
          </w:p>
        </w:tc>
        <w:tc>
          <w:tcPr>
            <w:tcW w:w="5386" w:type="dxa"/>
          </w:tcPr>
          <w:p w14:paraId="5AB39FA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15-18/5000</w:t>
            </w:r>
          </w:p>
        </w:tc>
      </w:tr>
      <w:tr w:rsidR="00F26F01" w:rsidRPr="00C33834" w14:paraId="2DBCB6BB" w14:textId="77777777">
        <w:tc>
          <w:tcPr>
            <w:tcW w:w="4928" w:type="dxa"/>
          </w:tcPr>
          <w:p w14:paraId="35BA1E2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5386" w:type="dxa"/>
          </w:tcPr>
          <w:p w14:paraId="4023854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8000</w:t>
            </w:r>
          </w:p>
        </w:tc>
      </w:tr>
      <w:tr w:rsidR="00F26F01" w:rsidRPr="00C33834" w14:paraId="07B9E416" w14:textId="77777777">
        <w:tc>
          <w:tcPr>
            <w:tcW w:w="4928" w:type="dxa"/>
          </w:tcPr>
          <w:p w14:paraId="3BBAF7C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5386" w:type="dxa"/>
          </w:tcPr>
          <w:p w14:paraId="0EC070F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пушка ДРП и легкие пулеметы</w:t>
            </w:r>
          </w:p>
        </w:tc>
      </w:tr>
      <w:tr w:rsidR="00F26F01" w:rsidRPr="00C33834" w14:paraId="1E7564CC" w14:textId="77777777">
        <w:tc>
          <w:tcPr>
            <w:tcW w:w="4928" w:type="dxa"/>
          </w:tcPr>
          <w:p w14:paraId="016FD04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c>
          <w:tcPr>
            <w:tcW w:w="5386" w:type="dxa"/>
          </w:tcPr>
          <w:p w14:paraId="3994D9D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r>
      <w:tr w:rsidR="00F26F01" w:rsidRPr="00C33834" w14:paraId="43A6E765" w14:textId="77777777">
        <w:tc>
          <w:tcPr>
            <w:tcW w:w="4928" w:type="dxa"/>
          </w:tcPr>
          <w:p w14:paraId="18A8AFB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1A68DB0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A07666B" w14:textId="77777777">
        <w:tc>
          <w:tcPr>
            <w:tcW w:w="4928" w:type="dxa"/>
          </w:tcPr>
          <w:p w14:paraId="7507D75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48DD3A0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 года</w:t>
            </w:r>
          </w:p>
        </w:tc>
      </w:tr>
      <w:tr w:rsidR="00F26F01" w:rsidRPr="00C33834" w14:paraId="5A755A86" w14:textId="77777777">
        <w:tc>
          <w:tcPr>
            <w:tcW w:w="4928" w:type="dxa"/>
          </w:tcPr>
          <w:p w14:paraId="38F1153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13C728C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16DBCF0" w14:textId="77777777">
        <w:tc>
          <w:tcPr>
            <w:tcW w:w="4928" w:type="dxa"/>
          </w:tcPr>
          <w:p w14:paraId="631EB1E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2B9BC1F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39F5F53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Крыло, шасси и моторные установки проектированием закончены и находятся в производстве. Ведется проектирование фюзеляжа, хвостового оперения и установок вооружения. Находится в постройке макет самолета.</w:t>
      </w:r>
    </w:p>
    <w:p w14:paraId="2BCE0BE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ЛР-М34 (легкий разведчик).</w:t>
      </w:r>
    </w:p>
    <w:p w14:paraId="1AAADE6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192B312B" w14:textId="77777777">
        <w:tc>
          <w:tcPr>
            <w:tcW w:w="4928" w:type="dxa"/>
          </w:tcPr>
          <w:p w14:paraId="2823E91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 гориз. скорость на высоте</w:t>
            </w:r>
          </w:p>
        </w:tc>
        <w:tc>
          <w:tcPr>
            <w:tcW w:w="5386" w:type="dxa"/>
          </w:tcPr>
          <w:p w14:paraId="04B1197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300-310/5000</w:t>
            </w:r>
          </w:p>
        </w:tc>
      </w:tr>
      <w:tr w:rsidR="00F26F01" w:rsidRPr="00C33834" w14:paraId="720F472D" w14:textId="77777777">
        <w:tc>
          <w:tcPr>
            <w:tcW w:w="4928" w:type="dxa"/>
          </w:tcPr>
          <w:p w14:paraId="2909FBE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высоту</w:t>
            </w:r>
          </w:p>
        </w:tc>
        <w:tc>
          <w:tcPr>
            <w:tcW w:w="5386" w:type="dxa"/>
          </w:tcPr>
          <w:p w14:paraId="7F1209C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BB08EC4" w14:textId="77777777">
        <w:tc>
          <w:tcPr>
            <w:tcW w:w="4928" w:type="dxa"/>
          </w:tcPr>
          <w:p w14:paraId="4F2A88A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5386" w:type="dxa"/>
          </w:tcPr>
          <w:p w14:paraId="2DC9398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9000</w:t>
            </w:r>
          </w:p>
        </w:tc>
      </w:tr>
      <w:tr w:rsidR="00F26F01" w:rsidRPr="00C33834" w14:paraId="516C8D08" w14:textId="77777777">
        <w:tc>
          <w:tcPr>
            <w:tcW w:w="4928" w:type="dxa"/>
          </w:tcPr>
          <w:p w14:paraId="5F61BAC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5386" w:type="dxa"/>
          </w:tcPr>
          <w:p w14:paraId="43488D9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легкие пулеметы</w:t>
            </w:r>
          </w:p>
        </w:tc>
      </w:tr>
      <w:tr w:rsidR="00F26F01" w:rsidRPr="00C33834" w14:paraId="27942573" w14:textId="77777777">
        <w:tc>
          <w:tcPr>
            <w:tcW w:w="4928" w:type="dxa"/>
          </w:tcPr>
          <w:p w14:paraId="4C6B481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c>
          <w:tcPr>
            <w:tcW w:w="5386" w:type="dxa"/>
          </w:tcPr>
          <w:p w14:paraId="4AB89E0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r>
      <w:tr w:rsidR="00F26F01" w:rsidRPr="00C33834" w14:paraId="0F17E515" w14:textId="77777777">
        <w:tc>
          <w:tcPr>
            <w:tcW w:w="4928" w:type="dxa"/>
          </w:tcPr>
          <w:p w14:paraId="796D869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79D22D1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8E0A793" w14:textId="77777777">
        <w:tc>
          <w:tcPr>
            <w:tcW w:w="4928" w:type="dxa"/>
          </w:tcPr>
          <w:p w14:paraId="22BC0C8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согласно пост. КО от 4 июля 1932 года</w:t>
            </w:r>
          </w:p>
        </w:tc>
        <w:tc>
          <w:tcPr>
            <w:tcW w:w="5386" w:type="dxa"/>
          </w:tcPr>
          <w:p w14:paraId="23387B5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марта 1933 года (выход на аэродром)</w:t>
            </w:r>
          </w:p>
        </w:tc>
      </w:tr>
      <w:tr w:rsidR="00F26F01" w:rsidRPr="00C33834" w14:paraId="62FF8114" w14:textId="77777777">
        <w:tc>
          <w:tcPr>
            <w:tcW w:w="4928" w:type="dxa"/>
          </w:tcPr>
          <w:p w14:paraId="6D898C9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50E4578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61FF137" w14:textId="77777777">
        <w:tc>
          <w:tcPr>
            <w:tcW w:w="4928" w:type="dxa"/>
          </w:tcPr>
          <w:p w14:paraId="7F07D9B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6B375E0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года гос. испыт.</w:t>
            </w:r>
          </w:p>
        </w:tc>
      </w:tr>
    </w:tbl>
    <w:p w14:paraId="5275926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Чертежи самолета готовы на 100%. Первый самолет выйдет с мотором без редуктора и нагнетателя на гос. испытания к 1 сентября 1933 года. Второй самолет являющийся головным серийным выйдет с мотором с нагнетателем к 15 ноября на заводские испытания и к 1 декабря на гос. испытания.</w:t>
      </w:r>
    </w:p>
    <w:p w14:paraId="037DBDC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ДИ6-М34 или М38, М32 (2-х мест. истр.).</w:t>
      </w:r>
    </w:p>
    <w:p w14:paraId="09E63EA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5FC7786F" w14:textId="77777777">
        <w:tc>
          <w:tcPr>
            <w:tcW w:w="4928" w:type="dxa"/>
          </w:tcPr>
          <w:p w14:paraId="60FE71D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 гориз. скорость на высоте</w:t>
            </w:r>
          </w:p>
        </w:tc>
        <w:tc>
          <w:tcPr>
            <w:tcW w:w="5386" w:type="dxa"/>
          </w:tcPr>
          <w:p w14:paraId="1C61675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350-375/5000</w:t>
            </w:r>
          </w:p>
        </w:tc>
      </w:tr>
      <w:tr w:rsidR="00F26F01" w:rsidRPr="00C33834" w14:paraId="5ED5CA3B" w14:textId="77777777">
        <w:tc>
          <w:tcPr>
            <w:tcW w:w="4928" w:type="dxa"/>
          </w:tcPr>
          <w:p w14:paraId="02641AC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высоту</w:t>
            </w:r>
          </w:p>
        </w:tc>
        <w:tc>
          <w:tcPr>
            <w:tcW w:w="5386" w:type="dxa"/>
          </w:tcPr>
          <w:p w14:paraId="5563558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9/5000</w:t>
            </w:r>
          </w:p>
        </w:tc>
      </w:tr>
      <w:tr w:rsidR="00F26F01" w:rsidRPr="00C33834" w14:paraId="12F57417" w14:textId="77777777">
        <w:tc>
          <w:tcPr>
            <w:tcW w:w="4928" w:type="dxa"/>
          </w:tcPr>
          <w:p w14:paraId="4ABC194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5386" w:type="dxa"/>
          </w:tcPr>
          <w:p w14:paraId="2D222BC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9000</w:t>
            </w:r>
          </w:p>
        </w:tc>
      </w:tr>
      <w:tr w:rsidR="00F26F01" w:rsidRPr="00C33834" w14:paraId="2B2A1D67" w14:textId="77777777">
        <w:tc>
          <w:tcPr>
            <w:tcW w:w="4928" w:type="dxa"/>
          </w:tcPr>
          <w:p w14:paraId="6D735C3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5386" w:type="dxa"/>
          </w:tcPr>
          <w:p w14:paraId="7DA4825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легкие и тяжелые пулеметы</w:t>
            </w:r>
          </w:p>
        </w:tc>
      </w:tr>
      <w:tr w:rsidR="00F26F01" w:rsidRPr="00C33834" w14:paraId="5A867D5E" w14:textId="77777777">
        <w:tc>
          <w:tcPr>
            <w:tcW w:w="4928" w:type="dxa"/>
          </w:tcPr>
          <w:p w14:paraId="09B6B66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c>
          <w:tcPr>
            <w:tcW w:w="5386" w:type="dxa"/>
          </w:tcPr>
          <w:p w14:paraId="417FAFC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r>
      <w:tr w:rsidR="00F26F01" w:rsidRPr="00C33834" w14:paraId="1447DAFD" w14:textId="77777777">
        <w:tc>
          <w:tcPr>
            <w:tcW w:w="4928" w:type="dxa"/>
          </w:tcPr>
          <w:p w14:paraId="74845B7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14B58F5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года</w:t>
            </w:r>
          </w:p>
        </w:tc>
      </w:tr>
      <w:tr w:rsidR="00F26F01" w:rsidRPr="00C33834" w14:paraId="7EAD1357" w14:textId="77777777">
        <w:tc>
          <w:tcPr>
            <w:tcW w:w="4928" w:type="dxa"/>
          </w:tcPr>
          <w:p w14:paraId="23A8D71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1F50ED5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26272E5" w14:textId="77777777">
        <w:tc>
          <w:tcPr>
            <w:tcW w:w="4928" w:type="dxa"/>
          </w:tcPr>
          <w:p w14:paraId="50CBE56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392D1A9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49D063B" w14:textId="77777777">
        <w:tc>
          <w:tcPr>
            <w:tcW w:w="4928" w:type="dxa"/>
          </w:tcPr>
          <w:p w14:paraId="65DE72B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21E3A0D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0704E7E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Разрабатываются схемы самолета под моторы М32 и М38. Первая в основном закончена. Развертывание работ задерживается неопределнностью сроков выхода обоих моторов. Срок выхода самолета намечается через 5 месяцев по получению мотора, т.е. февраль-март 1934 года. Выбор типа мотора находится в зависимости от результатов предварительных просчетов и результатов гос. испытания моторов.</w:t>
      </w:r>
    </w:p>
    <w:p w14:paraId="6240E33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И13-М32 (одноместный истребитель).</w:t>
      </w:r>
    </w:p>
    <w:p w14:paraId="6E5A1A4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7E5CFEEB" w14:textId="77777777">
        <w:tc>
          <w:tcPr>
            <w:tcW w:w="4928" w:type="dxa"/>
          </w:tcPr>
          <w:p w14:paraId="11AE4F4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 гориз. скорость на высоте</w:t>
            </w:r>
          </w:p>
        </w:tc>
        <w:tc>
          <w:tcPr>
            <w:tcW w:w="5386" w:type="dxa"/>
          </w:tcPr>
          <w:p w14:paraId="6724805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350-400/5000</w:t>
            </w:r>
          </w:p>
        </w:tc>
      </w:tr>
      <w:tr w:rsidR="00F26F01" w:rsidRPr="00C33834" w14:paraId="06333171" w14:textId="77777777">
        <w:tc>
          <w:tcPr>
            <w:tcW w:w="4928" w:type="dxa"/>
          </w:tcPr>
          <w:p w14:paraId="50AC71B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высоту</w:t>
            </w:r>
          </w:p>
        </w:tc>
        <w:tc>
          <w:tcPr>
            <w:tcW w:w="5386" w:type="dxa"/>
          </w:tcPr>
          <w:p w14:paraId="0294169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7/3/5000</w:t>
            </w:r>
          </w:p>
        </w:tc>
      </w:tr>
      <w:tr w:rsidR="00F26F01" w:rsidRPr="00C33834" w14:paraId="4123D29B" w14:textId="77777777">
        <w:tc>
          <w:tcPr>
            <w:tcW w:w="4928" w:type="dxa"/>
          </w:tcPr>
          <w:p w14:paraId="74FC715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5386" w:type="dxa"/>
          </w:tcPr>
          <w:p w14:paraId="1394739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8000-9000</w:t>
            </w:r>
          </w:p>
        </w:tc>
      </w:tr>
      <w:tr w:rsidR="00F26F01" w:rsidRPr="00C33834" w14:paraId="0F6C7C3B" w14:textId="77777777">
        <w:tc>
          <w:tcPr>
            <w:tcW w:w="4928" w:type="dxa"/>
          </w:tcPr>
          <w:p w14:paraId="1653613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5386" w:type="dxa"/>
          </w:tcPr>
          <w:p w14:paraId="17C5842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легкие пулем.</w:t>
            </w:r>
          </w:p>
        </w:tc>
      </w:tr>
      <w:tr w:rsidR="00F26F01" w:rsidRPr="00C33834" w14:paraId="7DE2BD58" w14:textId="77777777">
        <w:tc>
          <w:tcPr>
            <w:tcW w:w="4928" w:type="dxa"/>
          </w:tcPr>
          <w:p w14:paraId="4FE69AA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c>
          <w:tcPr>
            <w:tcW w:w="5386" w:type="dxa"/>
          </w:tcPr>
          <w:p w14:paraId="5CC7F3D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r>
      <w:tr w:rsidR="00F26F01" w:rsidRPr="00C33834" w14:paraId="0C0597DA" w14:textId="77777777">
        <w:tc>
          <w:tcPr>
            <w:tcW w:w="4928" w:type="dxa"/>
          </w:tcPr>
          <w:p w14:paraId="7E86E04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1757528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E1825CB" w14:textId="77777777">
        <w:tc>
          <w:tcPr>
            <w:tcW w:w="4928" w:type="dxa"/>
          </w:tcPr>
          <w:p w14:paraId="4D9F506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73DB45F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года</w:t>
            </w:r>
          </w:p>
        </w:tc>
      </w:tr>
      <w:tr w:rsidR="00F26F01" w:rsidRPr="00C33834" w14:paraId="380FD9E4" w14:textId="77777777">
        <w:tc>
          <w:tcPr>
            <w:tcW w:w="4928" w:type="dxa"/>
          </w:tcPr>
          <w:p w14:paraId="3F6EA96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136580E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E972656" w14:textId="77777777">
        <w:tc>
          <w:tcPr>
            <w:tcW w:w="4928" w:type="dxa"/>
          </w:tcPr>
          <w:p w14:paraId="5326D8D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1459A83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февраль-март 1934 года</w:t>
            </w:r>
          </w:p>
        </w:tc>
      </w:tr>
    </w:tbl>
    <w:p w14:paraId="17A6A1B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Прорабатывается схема самолета и делается предварительный макет. Самолет может быть выпущен через 5 месяцев после получения М32, т.е. ориентировочно февраль-март 1934 года.</w:t>
      </w:r>
    </w:p>
    <w:p w14:paraId="6E968F3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И-14-М38 (одноместный истребитель).</w:t>
      </w:r>
    </w:p>
    <w:p w14:paraId="21022C5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44DD7B3B" w14:textId="77777777">
        <w:tc>
          <w:tcPr>
            <w:tcW w:w="4928" w:type="dxa"/>
          </w:tcPr>
          <w:p w14:paraId="6B6BF85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 гориз. скорость на высоте</w:t>
            </w:r>
          </w:p>
        </w:tc>
        <w:tc>
          <w:tcPr>
            <w:tcW w:w="5386" w:type="dxa"/>
          </w:tcPr>
          <w:p w14:paraId="28223F2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340-400/5000</w:t>
            </w:r>
          </w:p>
        </w:tc>
      </w:tr>
      <w:tr w:rsidR="00F26F01" w:rsidRPr="00C33834" w14:paraId="4504EEF6" w14:textId="77777777">
        <w:tc>
          <w:tcPr>
            <w:tcW w:w="4928" w:type="dxa"/>
          </w:tcPr>
          <w:p w14:paraId="7FCD6BE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высоту</w:t>
            </w:r>
          </w:p>
        </w:tc>
        <w:tc>
          <w:tcPr>
            <w:tcW w:w="5386" w:type="dxa"/>
          </w:tcPr>
          <w:p w14:paraId="06B0BB0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7/8/5000</w:t>
            </w:r>
          </w:p>
        </w:tc>
      </w:tr>
      <w:tr w:rsidR="00F26F01" w:rsidRPr="00C33834" w14:paraId="0FFC5083" w14:textId="77777777">
        <w:tc>
          <w:tcPr>
            <w:tcW w:w="4928" w:type="dxa"/>
          </w:tcPr>
          <w:p w14:paraId="69503C4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5386" w:type="dxa"/>
          </w:tcPr>
          <w:p w14:paraId="4624E1E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9000-10000</w:t>
            </w:r>
          </w:p>
        </w:tc>
      </w:tr>
      <w:tr w:rsidR="00F26F01" w:rsidRPr="00C33834" w14:paraId="45194344" w14:textId="77777777">
        <w:tc>
          <w:tcPr>
            <w:tcW w:w="4928" w:type="dxa"/>
          </w:tcPr>
          <w:p w14:paraId="5DA97E6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5386" w:type="dxa"/>
          </w:tcPr>
          <w:p w14:paraId="4A62A32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легкие пулем. (заменены легкими пушками ДРП)</w:t>
            </w:r>
          </w:p>
        </w:tc>
      </w:tr>
      <w:tr w:rsidR="00F26F01" w:rsidRPr="00C33834" w14:paraId="12F95833" w14:textId="77777777">
        <w:tc>
          <w:tcPr>
            <w:tcW w:w="4928" w:type="dxa"/>
          </w:tcPr>
          <w:p w14:paraId="7536617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c>
          <w:tcPr>
            <w:tcW w:w="5386" w:type="dxa"/>
          </w:tcPr>
          <w:p w14:paraId="4246034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r>
      <w:tr w:rsidR="00F26F01" w:rsidRPr="00C33834" w14:paraId="22B663FD" w14:textId="77777777">
        <w:tc>
          <w:tcPr>
            <w:tcW w:w="4928" w:type="dxa"/>
          </w:tcPr>
          <w:p w14:paraId="02B94AF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197E70B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7073BA1" w14:textId="77777777">
        <w:tc>
          <w:tcPr>
            <w:tcW w:w="4928" w:type="dxa"/>
          </w:tcPr>
          <w:p w14:paraId="4A26AD0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48C9211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марта 1933 года</w:t>
            </w:r>
          </w:p>
        </w:tc>
      </w:tr>
      <w:tr w:rsidR="00F26F01" w:rsidRPr="00C33834" w14:paraId="61C204E0" w14:textId="77777777">
        <w:tc>
          <w:tcPr>
            <w:tcW w:w="4928" w:type="dxa"/>
          </w:tcPr>
          <w:p w14:paraId="1B878C3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3A1C10E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04FF240" w14:textId="77777777">
        <w:tc>
          <w:tcPr>
            <w:tcW w:w="4928" w:type="dxa"/>
          </w:tcPr>
          <w:p w14:paraId="6B41E8B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5A8A223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года гос. испыт.</w:t>
            </w:r>
          </w:p>
        </w:tc>
      </w:tr>
    </w:tbl>
    <w:p w14:paraId="160D394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в сборке на стапели. Самолет выйдет без пушек ввиду их отсутствия. Делается второй экземпляр самолета для полных статич. испытаний. Самолет с мотором "Меркур" выйдет на гос. испытания к 1 июня 1933 года. С мотором М38 сможет выйти к 1 ноября (ЦАГИ дает срок 1 января 1934 года).</w:t>
      </w:r>
    </w:p>
    <w:p w14:paraId="145BED5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И-15-М38 (одноместный истребитель).</w:t>
      </w:r>
    </w:p>
    <w:p w14:paraId="25AD8E9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23821958" w14:textId="77777777">
        <w:tc>
          <w:tcPr>
            <w:tcW w:w="4928" w:type="dxa"/>
          </w:tcPr>
          <w:p w14:paraId="0E44DEC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 гориз. скорость на высоте</w:t>
            </w:r>
          </w:p>
        </w:tc>
        <w:tc>
          <w:tcPr>
            <w:tcW w:w="5386" w:type="dxa"/>
          </w:tcPr>
          <w:p w14:paraId="0324529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340/400/5000</w:t>
            </w:r>
          </w:p>
        </w:tc>
      </w:tr>
      <w:tr w:rsidR="00F26F01" w:rsidRPr="00C33834" w14:paraId="0F883AD4" w14:textId="77777777">
        <w:tc>
          <w:tcPr>
            <w:tcW w:w="4928" w:type="dxa"/>
          </w:tcPr>
          <w:p w14:paraId="5113035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высоту</w:t>
            </w:r>
          </w:p>
        </w:tc>
        <w:tc>
          <w:tcPr>
            <w:tcW w:w="5386" w:type="dxa"/>
          </w:tcPr>
          <w:p w14:paraId="6172E35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7/8/5000</w:t>
            </w:r>
          </w:p>
        </w:tc>
      </w:tr>
      <w:tr w:rsidR="00F26F01" w:rsidRPr="00C33834" w14:paraId="1EA9DA56" w14:textId="77777777">
        <w:tc>
          <w:tcPr>
            <w:tcW w:w="4928" w:type="dxa"/>
          </w:tcPr>
          <w:p w14:paraId="78458FA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5386" w:type="dxa"/>
          </w:tcPr>
          <w:p w14:paraId="1FA52C8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9000-10000</w:t>
            </w:r>
          </w:p>
        </w:tc>
      </w:tr>
      <w:tr w:rsidR="00F26F01" w:rsidRPr="00C33834" w14:paraId="6DF20C79" w14:textId="77777777">
        <w:tc>
          <w:tcPr>
            <w:tcW w:w="4928" w:type="dxa"/>
          </w:tcPr>
          <w:p w14:paraId="7529DDE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5386" w:type="dxa"/>
          </w:tcPr>
          <w:p w14:paraId="623387E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легкие пулеметы</w:t>
            </w:r>
          </w:p>
        </w:tc>
      </w:tr>
      <w:tr w:rsidR="00F26F01" w:rsidRPr="00C33834" w14:paraId="35DA2E26" w14:textId="77777777">
        <w:tc>
          <w:tcPr>
            <w:tcW w:w="4928" w:type="dxa"/>
          </w:tcPr>
          <w:p w14:paraId="79D5707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c>
          <w:tcPr>
            <w:tcW w:w="5386" w:type="dxa"/>
          </w:tcPr>
          <w:p w14:paraId="0C47B43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r>
      <w:tr w:rsidR="00F26F01" w:rsidRPr="00C33834" w14:paraId="5BB85949" w14:textId="77777777">
        <w:tc>
          <w:tcPr>
            <w:tcW w:w="4928" w:type="dxa"/>
          </w:tcPr>
          <w:p w14:paraId="0E29452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604F428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3AF2F5D" w14:textId="77777777">
        <w:tc>
          <w:tcPr>
            <w:tcW w:w="4928" w:type="dxa"/>
          </w:tcPr>
          <w:p w14:paraId="4A46255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0013D3C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DD7561A" w14:textId="77777777">
        <w:tc>
          <w:tcPr>
            <w:tcW w:w="4928" w:type="dxa"/>
          </w:tcPr>
          <w:p w14:paraId="42B8C89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45F547F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DD1EBE0" w14:textId="77777777">
        <w:tc>
          <w:tcPr>
            <w:tcW w:w="4928" w:type="dxa"/>
          </w:tcPr>
          <w:p w14:paraId="790F0F3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51C6AC6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года</w:t>
            </w:r>
          </w:p>
        </w:tc>
      </w:tr>
    </w:tbl>
    <w:p w14:paraId="0952CA2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 производится разработка эскизного проекта самолета. Находится в постройке макет.</w:t>
      </w:r>
    </w:p>
    <w:p w14:paraId="482191C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ВС2-2М52 (войсковой разведчик, корректиров. легкий химич., фотосъемщик, санитарный, пассажирский).</w:t>
      </w:r>
    </w:p>
    <w:p w14:paraId="4AE2832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6B7D4B2A" w14:textId="77777777">
        <w:tc>
          <w:tcPr>
            <w:tcW w:w="4928" w:type="dxa"/>
          </w:tcPr>
          <w:p w14:paraId="6ECED67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 гориз. скорость на высоте</w:t>
            </w:r>
          </w:p>
        </w:tc>
        <w:tc>
          <w:tcPr>
            <w:tcW w:w="5386" w:type="dxa"/>
          </w:tcPr>
          <w:p w14:paraId="1006AF3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250/3000</w:t>
            </w:r>
          </w:p>
        </w:tc>
      </w:tr>
      <w:tr w:rsidR="00F26F01" w:rsidRPr="00C33834" w14:paraId="0A1AD35E" w14:textId="77777777">
        <w:tc>
          <w:tcPr>
            <w:tcW w:w="4928" w:type="dxa"/>
          </w:tcPr>
          <w:p w14:paraId="40B9773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высоту</w:t>
            </w:r>
          </w:p>
        </w:tc>
        <w:tc>
          <w:tcPr>
            <w:tcW w:w="5386" w:type="dxa"/>
          </w:tcPr>
          <w:p w14:paraId="261EE3E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12/3000</w:t>
            </w:r>
          </w:p>
        </w:tc>
      </w:tr>
      <w:tr w:rsidR="00F26F01" w:rsidRPr="00C33834" w14:paraId="7B9C5007" w14:textId="77777777">
        <w:tc>
          <w:tcPr>
            <w:tcW w:w="4928" w:type="dxa"/>
          </w:tcPr>
          <w:p w14:paraId="422B6F9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5386" w:type="dxa"/>
          </w:tcPr>
          <w:p w14:paraId="17643D9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D76D02E" w14:textId="77777777">
        <w:tc>
          <w:tcPr>
            <w:tcW w:w="4928" w:type="dxa"/>
          </w:tcPr>
          <w:p w14:paraId="36B70BE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5386" w:type="dxa"/>
          </w:tcPr>
          <w:p w14:paraId="274FDA4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легкие пулеметы</w:t>
            </w:r>
          </w:p>
        </w:tc>
      </w:tr>
      <w:tr w:rsidR="00F26F01" w:rsidRPr="00C33834" w14:paraId="7230B69D" w14:textId="77777777">
        <w:tc>
          <w:tcPr>
            <w:tcW w:w="4928" w:type="dxa"/>
          </w:tcPr>
          <w:p w14:paraId="121D597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c>
          <w:tcPr>
            <w:tcW w:w="5386" w:type="dxa"/>
          </w:tcPr>
          <w:p w14:paraId="0AFEF60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tc>
      </w:tr>
      <w:tr w:rsidR="00F26F01" w:rsidRPr="00C33834" w14:paraId="235B21A0" w14:textId="77777777">
        <w:tc>
          <w:tcPr>
            <w:tcW w:w="4928" w:type="dxa"/>
          </w:tcPr>
          <w:p w14:paraId="51DAA9F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4CB6FED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101E052" w14:textId="77777777">
        <w:tc>
          <w:tcPr>
            <w:tcW w:w="4928" w:type="dxa"/>
          </w:tcPr>
          <w:p w14:paraId="7A25AE5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129E612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1933 года</w:t>
            </w:r>
          </w:p>
        </w:tc>
      </w:tr>
      <w:tr w:rsidR="00F26F01" w:rsidRPr="00C33834" w14:paraId="4E290EE5" w14:textId="77777777">
        <w:tc>
          <w:tcPr>
            <w:tcW w:w="4928" w:type="dxa"/>
          </w:tcPr>
          <w:p w14:paraId="20078AC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5C629CD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F5BE12B" w14:textId="77777777">
        <w:tc>
          <w:tcPr>
            <w:tcW w:w="4928" w:type="dxa"/>
          </w:tcPr>
          <w:p w14:paraId="182D590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1EBC783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года</w:t>
            </w:r>
          </w:p>
        </w:tc>
      </w:tr>
    </w:tbl>
    <w:p w14:paraId="42DA01A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Производится предварительное изыскание основных элементов самолета. Приступлено к компоновке и размещению нагрузки для выбора схемы самолета.</w:t>
      </w:r>
    </w:p>
    <w:p w14:paraId="407DD44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П3-М52 (перех. для школ, корпусной разведчик, самолет местной авиации).</w:t>
      </w:r>
    </w:p>
    <w:p w14:paraId="3646AB7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5946A9C2" w14:textId="77777777">
        <w:tc>
          <w:tcPr>
            <w:tcW w:w="4928" w:type="dxa"/>
          </w:tcPr>
          <w:p w14:paraId="502D137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 гориз. скорость на высоте</w:t>
            </w:r>
          </w:p>
        </w:tc>
        <w:tc>
          <w:tcPr>
            <w:tcW w:w="5386" w:type="dxa"/>
          </w:tcPr>
          <w:p w14:paraId="6C50227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250/3000</w:t>
            </w:r>
          </w:p>
        </w:tc>
      </w:tr>
      <w:tr w:rsidR="00F26F01" w:rsidRPr="00C33834" w14:paraId="709460EC" w14:textId="77777777">
        <w:tc>
          <w:tcPr>
            <w:tcW w:w="4928" w:type="dxa"/>
          </w:tcPr>
          <w:p w14:paraId="06EB6DC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высоту</w:t>
            </w:r>
          </w:p>
        </w:tc>
        <w:tc>
          <w:tcPr>
            <w:tcW w:w="5386" w:type="dxa"/>
          </w:tcPr>
          <w:p w14:paraId="10DFB0F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2C70970" w14:textId="77777777">
        <w:tc>
          <w:tcPr>
            <w:tcW w:w="4928" w:type="dxa"/>
          </w:tcPr>
          <w:p w14:paraId="0757273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5386" w:type="dxa"/>
          </w:tcPr>
          <w:p w14:paraId="3588F90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r>
      <w:tr w:rsidR="00F26F01" w:rsidRPr="00C33834" w14:paraId="12B35B8B" w14:textId="77777777">
        <w:tc>
          <w:tcPr>
            <w:tcW w:w="4928" w:type="dxa"/>
          </w:tcPr>
          <w:p w14:paraId="08C203D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5386" w:type="dxa"/>
          </w:tcPr>
          <w:p w14:paraId="161A86D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 пулем.</w:t>
            </w:r>
          </w:p>
        </w:tc>
      </w:tr>
      <w:tr w:rsidR="00F26F01" w:rsidRPr="00C33834" w14:paraId="6AA73B9E" w14:textId="77777777">
        <w:tc>
          <w:tcPr>
            <w:tcW w:w="4928" w:type="dxa"/>
          </w:tcPr>
          <w:p w14:paraId="05CBA5E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c>
          <w:tcPr>
            <w:tcW w:w="5386" w:type="dxa"/>
          </w:tcPr>
          <w:p w14:paraId="70A7A66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r>
      <w:tr w:rsidR="00F26F01" w:rsidRPr="00C33834" w14:paraId="5B7197E8" w14:textId="77777777">
        <w:tc>
          <w:tcPr>
            <w:tcW w:w="4928" w:type="dxa"/>
          </w:tcPr>
          <w:p w14:paraId="2CA70ED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1FF0296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E3E70CA" w14:textId="77777777">
        <w:tc>
          <w:tcPr>
            <w:tcW w:w="4928" w:type="dxa"/>
          </w:tcPr>
          <w:p w14:paraId="2FDD754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5DE9D28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года</w:t>
            </w:r>
          </w:p>
        </w:tc>
      </w:tr>
      <w:tr w:rsidR="00F26F01" w:rsidRPr="00C33834" w14:paraId="180D666C" w14:textId="77777777">
        <w:tc>
          <w:tcPr>
            <w:tcW w:w="4928" w:type="dxa"/>
          </w:tcPr>
          <w:p w14:paraId="6C79D6D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1934C24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2B878CD" w14:textId="77777777">
        <w:tc>
          <w:tcPr>
            <w:tcW w:w="4928" w:type="dxa"/>
          </w:tcPr>
          <w:p w14:paraId="551F0E2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236EF4F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29FF3ED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До настоящего времени ГУГВФ не дало задание на проектирование самолета, которое должно вестись в Ленинграде в НИАИ, обладающим необходимой производственной базой и конструкторскими силами. Отказ дать задание ГУГВФ объясняет отсутствием кредитов. Мотивировка ГУГВФ не является обоснованной поскольку постройка самолета П3 возложена на ГУГВФ постановлением Правительства. Деньги не даны, работа не ведется.</w:t>
      </w:r>
    </w:p>
    <w:p w14:paraId="401AAD6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У3-М48 (учебн. самолет, он же для связи и сопровождения туризма, местн. авиации, легкий санитарный).</w:t>
      </w:r>
    </w:p>
    <w:p w14:paraId="5A7A0B9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381D54CD" w14:textId="77777777">
        <w:tc>
          <w:tcPr>
            <w:tcW w:w="4928" w:type="dxa"/>
          </w:tcPr>
          <w:p w14:paraId="171BD09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 гориз. скорость на высоте</w:t>
            </w:r>
          </w:p>
        </w:tc>
        <w:tc>
          <w:tcPr>
            <w:tcW w:w="5386" w:type="dxa"/>
          </w:tcPr>
          <w:p w14:paraId="211EDD5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180/1000</w:t>
            </w:r>
          </w:p>
        </w:tc>
      </w:tr>
      <w:tr w:rsidR="00F26F01" w:rsidRPr="00C33834" w14:paraId="67858243" w14:textId="77777777">
        <w:tc>
          <w:tcPr>
            <w:tcW w:w="4928" w:type="dxa"/>
          </w:tcPr>
          <w:p w14:paraId="584B174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высоту</w:t>
            </w:r>
          </w:p>
        </w:tc>
        <w:tc>
          <w:tcPr>
            <w:tcW w:w="5386" w:type="dxa"/>
          </w:tcPr>
          <w:p w14:paraId="53C92B0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6D3C2D9" w14:textId="77777777">
        <w:tc>
          <w:tcPr>
            <w:tcW w:w="4928" w:type="dxa"/>
          </w:tcPr>
          <w:p w14:paraId="07E33DC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5386" w:type="dxa"/>
          </w:tcPr>
          <w:p w14:paraId="33C6A5C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r>
      <w:tr w:rsidR="00F26F01" w:rsidRPr="00C33834" w14:paraId="7E9EF81B" w14:textId="77777777">
        <w:tc>
          <w:tcPr>
            <w:tcW w:w="4928" w:type="dxa"/>
          </w:tcPr>
          <w:p w14:paraId="64E6F81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5386" w:type="dxa"/>
          </w:tcPr>
          <w:p w14:paraId="0BC779F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 пулем.</w:t>
            </w:r>
          </w:p>
        </w:tc>
      </w:tr>
      <w:tr w:rsidR="00F26F01" w:rsidRPr="00C33834" w14:paraId="3E7B3DE9" w14:textId="77777777">
        <w:tc>
          <w:tcPr>
            <w:tcW w:w="4928" w:type="dxa"/>
          </w:tcPr>
          <w:p w14:paraId="33A11BE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c>
          <w:tcPr>
            <w:tcW w:w="5386" w:type="dxa"/>
          </w:tcPr>
          <w:p w14:paraId="46B8E6C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360</w:t>
            </w:r>
          </w:p>
        </w:tc>
      </w:tr>
      <w:tr w:rsidR="00F26F01" w:rsidRPr="00C33834" w14:paraId="38831D42" w14:textId="77777777">
        <w:tc>
          <w:tcPr>
            <w:tcW w:w="4928" w:type="dxa"/>
          </w:tcPr>
          <w:p w14:paraId="1902DBA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1DB15E8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2AEAD12" w14:textId="77777777">
        <w:tc>
          <w:tcPr>
            <w:tcW w:w="4928" w:type="dxa"/>
          </w:tcPr>
          <w:p w14:paraId="19062EC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1D3CDB1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марта 1933 года</w:t>
            </w:r>
          </w:p>
        </w:tc>
      </w:tr>
      <w:tr w:rsidR="00F26F01" w:rsidRPr="00C33834" w14:paraId="0F011B87" w14:textId="77777777">
        <w:tc>
          <w:tcPr>
            <w:tcW w:w="4928" w:type="dxa"/>
          </w:tcPr>
          <w:p w14:paraId="4232549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1FE428E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7EA80C3" w14:textId="77777777">
        <w:tc>
          <w:tcPr>
            <w:tcW w:w="4928" w:type="dxa"/>
          </w:tcPr>
          <w:p w14:paraId="3889D11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1A26A73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года</w:t>
            </w:r>
          </w:p>
        </w:tc>
      </w:tr>
    </w:tbl>
    <w:p w14:paraId="5A5A9C1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ГУАП снял задание с Харьковского института и передал на завод N 23, где работы еще не развернуты.</w:t>
      </w:r>
    </w:p>
    <w:p w14:paraId="61241E9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К7-7М34 (тяжелый бомбовоз, пассажирский).</w:t>
      </w:r>
    </w:p>
    <w:p w14:paraId="41B64BB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0986764E" w14:textId="77777777">
        <w:tc>
          <w:tcPr>
            <w:tcW w:w="4928" w:type="dxa"/>
          </w:tcPr>
          <w:p w14:paraId="0983828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 гориз. скорость на высоте</w:t>
            </w:r>
          </w:p>
        </w:tc>
        <w:tc>
          <w:tcPr>
            <w:tcW w:w="5386" w:type="dxa"/>
          </w:tcPr>
          <w:p w14:paraId="1534114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213</w:t>
            </w:r>
          </w:p>
        </w:tc>
      </w:tr>
      <w:tr w:rsidR="00F26F01" w:rsidRPr="00C33834" w14:paraId="3AFAEE62" w14:textId="77777777">
        <w:tc>
          <w:tcPr>
            <w:tcW w:w="4928" w:type="dxa"/>
          </w:tcPr>
          <w:p w14:paraId="06754EB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высоту</w:t>
            </w:r>
          </w:p>
        </w:tc>
        <w:tc>
          <w:tcPr>
            <w:tcW w:w="5386" w:type="dxa"/>
          </w:tcPr>
          <w:p w14:paraId="5D5903F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453967A" w14:textId="77777777">
        <w:tc>
          <w:tcPr>
            <w:tcW w:w="4928" w:type="dxa"/>
          </w:tcPr>
          <w:p w14:paraId="4797E78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5386" w:type="dxa"/>
          </w:tcPr>
          <w:p w14:paraId="299A6CF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3650</w:t>
            </w:r>
          </w:p>
        </w:tc>
      </w:tr>
      <w:tr w:rsidR="00F26F01" w:rsidRPr="00C33834" w14:paraId="5D0B0D76" w14:textId="77777777">
        <w:tc>
          <w:tcPr>
            <w:tcW w:w="4928" w:type="dxa"/>
          </w:tcPr>
          <w:p w14:paraId="35C0902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5386" w:type="dxa"/>
          </w:tcPr>
          <w:p w14:paraId="3765F23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пушки и легк. и тяж. пулем.</w:t>
            </w:r>
          </w:p>
        </w:tc>
      </w:tr>
      <w:tr w:rsidR="00F26F01" w:rsidRPr="00C33834" w14:paraId="55B068FB" w14:textId="77777777">
        <w:tc>
          <w:tcPr>
            <w:tcW w:w="4928" w:type="dxa"/>
          </w:tcPr>
          <w:p w14:paraId="0C10590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c>
          <w:tcPr>
            <w:tcW w:w="5386" w:type="dxa"/>
          </w:tcPr>
          <w:p w14:paraId="6A33863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r>
      <w:tr w:rsidR="00F26F01" w:rsidRPr="00C33834" w14:paraId="0AEAFDA1" w14:textId="77777777">
        <w:tc>
          <w:tcPr>
            <w:tcW w:w="4928" w:type="dxa"/>
          </w:tcPr>
          <w:p w14:paraId="6BB85B3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1A8F6A3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E159ADD" w14:textId="77777777">
        <w:tc>
          <w:tcPr>
            <w:tcW w:w="4928" w:type="dxa"/>
          </w:tcPr>
          <w:p w14:paraId="7410B2B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3FA4531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года выход на аэродром</w:t>
            </w:r>
          </w:p>
        </w:tc>
      </w:tr>
      <w:tr w:rsidR="00F26F01" w:rsidRPr="00C33834" w14:paraId="0714CBB2" w14:textId="77777777">
        <w:tc>
          <w:tcPr>
            <w:tcW w:w="4928" w:type="dxa"/>
          </w:tcPr>
          <w:p w14:paraId="3DE2D88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42991DB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83EC99E" w14:textId="77777777">
        <w:tc>
          <w:tcPr>
            <w:tcW w:w="4928" w:type="dxa"/>
          </w:tcPr>
          <w:p w14:paraId="43D72E9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31229F1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август-сентябрь 1933 года</w:t>
            </w:r>
          </w:p>
        </w:tc>
      </w:tr>
    </w:tbl>
    <w:p w14:paraId="3BC9811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Заканчиваются консоли. Готовы хвостовые формы, моторы, оперение. Большой задел прочих деталей. Ведутся статиспытания готовых элементов. Макет самолета с размещением всего оборудования и вооружения утвержден, за исключением кабины летчиков. Ведутся поверочные расчеты прочности для выяснения возможно допустимой величины перегрузки самолета.</w:t>
      </w:r>
    </w:p>
    <w:p w14:paraId="3C69851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Экспериментальные самолеты</w:t>
      </w:r>
    </w:p>
    <w:p w14:paraId="3724100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Высотный самолет он же рекордный на высоту</w:t>
      </w:r>
    </w:p>
    <w:p w14:paraId="7D88F29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191632EF" w14:textId="77777777">
        <w:tc>
          <w:tcPr>
            <w:tcW w:w="4928" w:type="dxa"/>
          </w:tcPr>
          <w:p w14:paraId="09CEFD8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 гориз. скорость на высоте</w:t>
            </w:r>
          </w:p>
        </w:tc>
        <w:tc>
          <w:tcPr>
            <w:tcW w:w="5386" w:type="dxa"/>
          </w:tcPr>
          <w:p w14:paraId="64E0A49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27EB25E" w14:textId="77777777">
        <w:tc>
          <w:tcPr>
            <w:tcW w:w="4928" w:type="dxa"/>
          </w:tcPr>
          <w:p w14:paraId="03ACAFA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высоту</w:t>
            </w:r>
          </w:p>
        </w:tc>
        <w:tc>
          <w:tcPr>
            <w:tcW w:w="5386" w:type="dxa"/>
          </w:tcPr>
          <w:p w14:paraId="12DB4F5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0C0A99C" w14:textId="77777777">
        <w:tc>
          <w:tcPr>
            <w:tcW w:w="4928" w:type="dxa"/>
          </w:tcPr>
          <w:p w14:paraId="518D6EC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5386" w:type="dxa"/>
          </w:tcPr>
          <w:p w14:paraId="39DEBB3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15000</w:t>
            </w:r>
          </w:p>
        </w:tc>
      </w:tr>
      <w:tr w:rsidR="00F26F01" w:rsidRPr="00C33834" w14:paraId="0786B177" w14:textId="77777777">
        <w:tc>
          <w:tcPr>
            <w:tcW w:w="4928" w:type="dxa"/>
          </w:tcPr>
          <w:p w14:paraId="6A3798D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5386" w:type="dxa"/>
          </w:tcPr>
          <w:p w14:paraId="71EF61C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E7B929D" w14:textId="77777777">
        <w:tc>
          <w:tcPr>
            <w:tcW w:w="4928" w:type="dxa"/>
          </w:tcPr>
          <w:p w14:paraId="5552CF1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c>
          <w:tcPr>
            <w:tcW w:w="5386" w:type="dxa"/>
          </w:tcPr>
          <w:p w14:paraId="64E05DC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2DBB9CF" w14:textId="77777777">
        <w:tc>
          <w:tcPr>
            <w:tcW w:w="4928" w:type="dxa"/>
          </w:tcPr>
          <w:p w14:paraId="35B43E4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5EC691F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271FC0D" w14:textId="77777777">
        <w:tc>
          <w:tcPr>
            <w:tcW w:w="4928" w:type="dxa"/>
          </w:tcPr>
          <w:p w14:paraId="4273E95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73CB1F0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апреля 1933 года</w:t>
            </w:r>
          </w:p>
        </w:tc>
      </w:tr>
      <w:tr w:rsidR="00F26F01" w:rsidRPr="00C33834" w14:paraId="67B5E3C5" w14:textId="77777777">
        <w:tc>
          <w:tcPr>
            <w:tcW w:w="4928" w:type="dxa"/>
          </w:tcPr>
          <w:p w14:paraId="79DF54A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07BFE4B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9DDBB96" w14:textId="77777777">
        <w:tc>
          <w:tcPr>
            <w:tcW w:w="4928" w:type="dxa"/>
          </w:tcPr>
          <w:p w14:paraId="47EFEB9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5A2EA0D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полов. 1934 года</w:t>
            </w:r>
          </w:p>
        </w:tc>
      </w:tr>
    </w:tbl>
    <w:p w14:paraId="5A72550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Чертежи самолета ЦАГИ готовы на 95%. Изготовлены некоторые детали. Производство в ЗОКе прекращено, т.к. бригада перешла на завод N 39. На этом заводе производство только разворачивается. Срок выхода двухступенчатого нагнетателя совершенно не ясен, поэтому самолет выйдет с мотором М34 с нагнетателем до 3500 м не ранее февраля-марта 1934 года. Для облета и испытания самого самолета и предварительных испытаний герметической кабины самолет выйдет с нормальным М34 к 1 декабря 1933 года.</w:t>
      </w:r>
    </w:p>
    <w:p w14:paraId="6F34470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БНК ввиду слияния БНК с ЦКБ завода N 39 дальнейшей проработкой прекращен. Вопрос о необходимости доработки проекта находится в стадии разрешения.</w:t>
      </w:r>
    </w:p>
    <w:p w14:paraId="4395C9C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Рекордный на дальность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07E8CE83" w14:textId="77777777">
        <w:tc>
          <w:tcPr>
            <w:tcW w:w="4928" w:type="dxa"/>
          </w:tcPr>
          <w:p w14:paraId="646BE43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1A1DE50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A4DF014" w14:textId="77777777">
        <w:tc>
          <w:tcPr>
            <w:tcW w:w="4928" w:type="dxa"/>
          </w:tcPr>
          <w:p w14:paraId="0947203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08AB2F9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август 1932 года</w:t>
            </w:r>
          </w:p>
        </w:tc>
      </w:tr>
      <w:tr w:rsidR="00F26F01" w:rsidRPr="00C33834" w14:paraId="4C816A4F" w14:textId="77777777">
        <w:tc>
          <w:tcPr>
            <w:tcW w:w="4928" w:type="dxa"/>
          </w:tcPr>
          <w:p w14:paraId="0AFFED8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1748521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B6E096F" w14:textId="77777777">
        <w:tc>
          <w:tcPr>
            <w:tcW w:w="4928" w:type="dxa"/>
          </w:tcPr>
          <w:p w14:paraId="1BD8368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50B002F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1933 года (зав. испыт.)</w:t>
            </w:r>
          </w:p>
        </w:tc>
      </w:tr>
    </w:tbl>
    <w:p w14:paraId="176CA30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Фюзеляж, оперения, шасси и каркас крыла готовы. Производится пригонка лонжеронов крыла к узлам центроплана и клепка боков, что задерживает сборку крыльев. ЦАГИ имеет только тренировочный мотор (установлен на самолете). Мотор особо тщательной сборки ожидается получением в июле 1933 года, но без редуктора, что снизит дальность самолета.</w:t>
      </w:r>
    </w:p>
    <w:p w14:paraId="3DB7ADE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летающее крыло 2М-11 (парабола Чарановского).</w:t>
      </w:r>
    </w:p>
    <w:p w14:paraId="4A97F0C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p w14:paraId="41FDDFE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 - октября 1933 года</w:t>
      </w:r>
    </w:p>
    <w:p w14:paraId="4383B5A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p w14:paraId="2EDC908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p w14:paraId="5EA0474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Парабола с "Люцифером" передана в НИИ. После 3-х полетов поломалась моторная рама. Возможность дальнейших испытаний подлежит выяснению спец. комиссией. Первые полеты показали хорошие летные данные машины. ЦКБ завода N 39 и ГУАП вместо параболы с 2М11 предлагают построить летающее крыло с двумя моторами М34 со сроком выхода в начале 1934 года. Этот самолет намечается с треугольным крылом и будет более подходить на тип самолета "Лингица", чем на параболу Чарановского. Чарановский подрабатывает чертежи дублера уже летающей машины, но под мотор М11.</w:t>
      </w:r>
    </w:p>
    <w:p w14:paraId="45DA70C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 особым типом разрезных крыльев (сист. Кричевского)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5BE79E98" w14:textId="77777777">
        <w:tc>
          <w:tcPr>
            <w:tcW w:w="4928" w:type="dxa"/>
          </w:tcPr>
          <w:p w14:paraId="6824D51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68107F1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8E44313" w14:textId="77777777">
        <w:tc>
          <w:tcPr>
            <w:tcW w:w="4928" w:type="dxa"/>
          </w:tcPr>
          <w:p w14:paraId="5FBC0AE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4BFA358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1932 года</w:t>
            </w:r>
          </w:p>
        </w:tc>
      </w:tr>
      <w:tr w:rsidR="00F26F01" w:rsidRPr="00C33834" w14:paraId="1B2ED61F" w14:textId="77777777">
        <w:tc>
          <w:tcPr>
            <w:tcW w:w="4928" w:type="dxa"/>
          </w:tcPr>
          <w:p w14:paraId="47EE113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131802C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8F8A49F" w14:textId="77777777">
        <w:tc>
          <w:tcPr>
            <w:tcW w:w="4928" w:type="dxa"/>
          </w:tcPr>
          <w:p w14:paraId="6ED9309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1D29D5B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1933 года (завод. испыт.)</w:t>
            </w:r>
          </w:p>
        </w:tc>
      </w:tr>
    </w:tbl>
    <w:p w14:paraId="25D04B1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Статич. испытания крыло типа "Моноспар" не выдержало. ЦКБ завода N 39 решило перепроектировать машину под 2-х лонжеронное крыло меньшего размаха, что повлекло за собой необходимость переделки фюзеляжа, уже почти сделанного. Срок выхода отодвинулся на 1 августа 1933 года.</w:t>
      </w:r>
    </w:p>
    <w:p w14:paraId="42DE923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ВГ-2 (геликоптер).</w:t>
      </w:r>
    </w:p>
    <w:p w14:paraId="6F9B48E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p w14:paraId="33489D5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 - 1 июля 1932 года</w:t>
      </w:r>
    </w:p>
    <w:p w14:paraId="03C9AB5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p w14:paraId="6ABFD99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p w14:paraId="5D0A4DC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проведенные в 3-ем квартале с.г. показали прекрасные данные с точки зрения достигнутой высоты подъема геликоптера (600 м), превосходящие во много раз известные заграничные достижения (18 м). Наряду с этим выяснилось, что геликоптер не обладает достаточной устойчивостью, благодаря чему аппарат потерпел аварию. К настоящему времени геликоптер восстановлен. Для улучшения устойчивости на нем был изменен принцип крепления лопастей (вместо 4-х лопастей с автоматом перекоса были поставлены 2 лопасти с автоматом перекоса и две укрепленные по принципу лопастей автожира). Однако проведенные на земле испытания показали недостаточную равномерность тяги, благодаря чему ЦАГИ в настоящее время прорабатывает вопрос об установке на геликоптер 3-х укрепленных по принципу лопастей винта автожира. Дублер геликоптера закончен постройкой.</w:t>
      </w:r>
    </w:p>
    <w:p w14:paraId="6F572E7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Автожир с мотором М11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045428E2" w14:textId="77777777">
        <w:tc>
          <w:tcPr>
            <w:tcW w:w="4928" w:type="dxa"/>
          </w:tcPr>
          <w:p w14:paraId="7E9ECDF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2D50803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59FCB42" w14:textId="77777777">
        <w:tc>
          <w:tcPr>
            <w:tcW w:w="4928" w:type="dxa"/>
          </w:tcPr>
          <w:p w14:paraId="2BB12A9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46BB971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1932 года</w:t>
            </w:r>
          </w:p>
        </w:tc>
      </w:tr>
      <w:tr w:rsidR="00F26F01" w:rsidRPr="00C33834" w14:paraId="085EA6F0" w14:textId="77777777">
        <w:tc>
          <w:tcPr>
            <w:tcW w:w="4928" w:type="dxa"/>
          </w:tcPr>
          <w:p w14:paraId="7E45798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4A53B54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76D1F04" w14:textId="77777777">
        <w:tc>
          <w:tcPr>
            <w:tcW w:w="4928" w:type="dxa"/>
          </w:tcPr>
          <w:p w14:paraId="3236EA8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7FCF1BD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январь (завод. испыт.)</w:t>
            </w:r>
          </w:p>
        </w:tc>
      </w:tr>
    </w:tbl>
    <w:p w14:paraId="404BB09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с автожирами находятся в следующем положении: автожир с мотором М11 - самолет только выходит на аэродром - причина крайне медленная постройка БНК.</w:t>
      </w:r>
    </w:p>
    <w:p w14:paraId="32C2B6B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 с мотором М22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139C5EE3" w14:textId="77777777">
        <w:tc>
          <w:tcPr>
            <w:tcW w:w="4928" w:type="dxa"/>
          </w:tcPr>
          <w:p w14:paraId="72E99D1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073B93A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D3FF07A" w14:textId="77777777">
        <w:tc>
          <w:tcPr>
            <w:tcW w:w="4928" w:type="dxa"/>
          </w:tcPr>
          <w:p w14:paraId="70F0EF8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6622B9D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1933 года</w:t>
            </w:r>
          </w:p>
        </w:tc>
      </w:tr>
      <w:tr w:rsidR="00F26F01" w:rsidRPr="00C33834" w14:paraId="53502469" w14:textId="77777777">
        <w:tc>
          <w:tcPr>
            <w:tcW w:w="4928" w:type="dxa"/>
          </w:tcPr>
          <w:p w14:paraId="78F958D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10D1950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43AB3D6" w14:textId="77777777">
        <w:tc>
          <w:tcPr>
            <w:tcW w:w="4928" w:type="dxa"/>
          </w:tcPr>
          <w:p w14:paraId="4491A05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21C02AE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май (завод. испыт.)</w:t>
            </w:r>
          </w:p>
        </w:tc>
      </w:tr>
    </w:tbl>
    <w:p w14:paraId="3B12035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 с мотором М22 задерживается выпуском до июня 1933 года из-за задержек в производстве и частично в проектировании. Головной автожир с М26 - находится на испытании в ОЭЛИД ЦАГИ. Основная задержка - выявленное биение лопастей.</w:t>
      </w:r>
    </w:p>
    <w:p w14:paraId="3D17F2D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 реактивным двигателем</w:t>
      </w:r>
    </w:p>
    <w:p w14:paraId="5ACBAC5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по реактивному двигателю на жидком топливе ведется в ГИДР ОСОАВИАХИМА и в Газово-динамической лаборатории. Двигатель ГИРД проходит исследовательские испытания. Срок окончания последних в настоящее время определить нельзя.</w:t>
      </w:r>
    </w:p>
    <w:p w14:paraId="52A08DE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случае положительного результата двигатель будет установлен на легкий самолет летающее крыло, уже построенный и испытанный. Двигатель Газодинамической лаборатории по окончании ведущихся испытаний его предложено установить на самолет И4. Этот двигатель будет способен в течении 1-1,5 минуты развивать тягу в тысячу килограмм, что позволит на короткий промежуток времени значительно повысить летные данные самолета.</w:t>
      </w:r>
    </w:p>
    <w:p w14:paraId="7471BFF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 раздвижными крыльями (У3 бис М48)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11821D26" w14:textId="77777777">
        <w:tc>
          <w:tcPr>
            <w:tcW w:w="4928" w:type="dxa"/>
          </w:tcPr>
          <w:p w14:paraId="4ADF7FF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7B3DEB8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2779CD8" w14:textId="77777777">
        <w:tc>
          <w:tcPr>
            <w:tcW w:w="4928" w:type="dxa"/>
          </w:tcPr>
          <w:p w14:paraId="47A4F2C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1E028A1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года</w:t>
            </w:r>
          </w:p>
        </w:tc>
      </w:tr>
      <w:tr w:rsidR="00F26F01" w:rsidRPr="00C33834" w14:paraId="04F11C0D" w14:textId="77777777">
        <w:tc>
          <w:tcPr>
            <w:tcW w:w="4928" w:type="dxa"/>
          </w:tcPr>
          <w:p w14:paraId="21C8EF2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348C499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A9F3B93" w14:textId="77777777">
        <w:tc>
          <w:tcPr>
            <w:tcW w:w="4928" w:type="dxa"/>
          </w:tcPr>
          <w:p w14:paraId="30CDD68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63AC78B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года</w:t>
            </w:r>
          </w:p>
        </w:tc>
      </w:tr>
    </w:tbl>
    <w:p w14:paraId="79BD5A5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НИАИ вело работы за счет своих сумм и сумм ОСОАВИАХИМА. Схемы самолета и конструкции раздвижных крыльев утверждены. Проект готов на 30%. Дальнейшие работы прекращены из-за неотпуска ГУГВФ денег. (Срок НИАИ - 1 сентября 1933 года при отпуске денег).</w:t>
      </w:r>
    </w:p>
    <w:p w14:paraId="70403AB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 нефтяным двигателем Паккард</w:t>
      </w:r>
    </w:p>
    <w:p w14:paraId="6B1A2AD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ГУГВФ не ведется.</w:t>
      </w:r>
    </w:p>
    <w:p w14:paraId="65EB682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Особой группы</w:t>
      </w:r>
    </w:p>
    <w:p w14:paraId="13069FF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Таран</w:t>
      </w:r>
    </w:p>
    <w:p w14:paraId="0033A8B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слияния БНК с ЦКБ завода N 39 работа приостановлена. Ведется выяснение возможности продолжения работы.</w:t>
      </w:r>
    </w:p>
    <w:p w14:paraId="58DD249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Модификации</w:t>
      </w:r>
    </w:p>
    <w:p w14:paraId="36D27F9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34A8BBFB" w14:textId="77777777">
        <w:tc>
          <w:tcPr>
            <w:tcW w:w="4928" w:type="dxa"/>
          </w:tcPr>
          <w:p w14:paraId="4475A2F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Характер модификации</w:t>
            </w:r>
          </w:p>
        </w:tc>
        <w:tc>
          <w:tcPr>
            <w:tcW w:w="5386" w:type="dxa"/>
          </w:tcPr>
          <w:p w14:paraId="6FF8BE4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мотора М34</w:t>
            </w:r>
          </w:p>
        </w:tc>
      </w:tr>
      <w:tr w:rsidR="00F26F01" w:rsidRPr="00C33834" w14:paraId="39466023" w14:textId="77777777">
        <w:tc>
          <w:tcPr>
            <w:tcW w:w="4928" w:type="dxa"/>
          </w:tcPr>
          <w:p w14:paraId="48404E5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по плану</w:t>
            </w:r>
          </w:p>
        </w:tc>
        <w:tc>
          <w:tcPr>
            <w:tcW w:w="5386" w:type="dxa"/>
          </w:tcPr>
          <w:p w14:paraId="660A6EB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1932 года</w:t>
            </w:r>
          </w:p>
        </w:tc>
      </w:tr>
      <w:tr w:rsidR="00F26F01" w:rsidRPr="00C33834" w14:paraId="0BC03A21" w14:textId="77777777">
        <w:tc>
          <w:tcPr>
            <w:tcW w:w="4928" w:type="dxa"/>
          </w:tcPr>
          <w:p w14:paraId="5BE2E9A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2B2A2AF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январь 1933 года</w:t>
            </w:r>
          </w:p>
        </w:tc>
      </w:tr>
    </w:tbl>
    <w:p w14:paraId="6882AE0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проходит заводские испытания. Задержкой является неудовлетворительная работа водо-маслоохлаждающих систем.</w:t>
      </w:r>
    </w:p>
    <w:p w14:paraId="785AF23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ТШ-2 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1A15D73B" w14:textId="77777777">
        <w:tc>
          <w:tcPr>
            <w:tcW w:w="4928" w:type="dxa"/>
          </w:tcPr>
          <w:p w14:paraId="540A561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Характер модификации</w:t>
            </w:r>
          </w:p>
        </w:tc>
        <w:tc>
          <w:tcPr>
            <w:tcW w:w="5386" w:type="dxa"/>
          </w:tcPr>
          <w:p w14:paraId="2B954F7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мотора М34</w:t>
            </w:r>
          </w:p>
        </w:tc>
      </w:tr>
      <w:tr w:rsidR="00F26F01" w:rsidRPr="00C33834" w14:paraId="22B0AE3A" w14:textId="77777777">
        <w:tc>
          <w:tcPr>
            <w:tcW w:w="4928" w:type="dxa"/>
          </w:tcPr>
          <w:p w14:paraId="52EEADD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по плану</w:t>
            </w:r>
          </w:p>
        </w:tc>
        <w:tc>
          <w:tcPr>
            <w:tcW w:w="5386" w:type="dxa"/>
          </w:tcPr>
          <w:p w14:paraId="29905F9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апреля 1933 года</w:t>
            </w:r>
          </w:p>
        </w:tc>
      </w:tr>
    </w:tbl>
    <w:p w14:paraId="6F18B6A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p w14:paraId="2223AE0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ТШ-2 М17 строится малой серией (10 машин) на заводе N 16. Головная машина уже облетана и предъявлена для осмотра как эталон. Основной дефект ТШ-2 - перегрев масла по последним полетам в ОЭЛИД ЦАГИ устранен. Дефекты вооружения (отсутствие автоматической перезарядки) не разрешены.</w:t>
      </w:r>
    </w:p>
    <w:p w14:paraId="4DD85DD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ТШ-3 М34 - закончена проработка схем. После предварительных просчетов 6 вариантов выбрана Ц6Б завода N 39 схема моноплана. Приступлено к разработке эскизного проекта для предъявления в НИИ.</w:t>
      </w:r>
    </w:p>
    <w:p w14:paraId="0095FC3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 М34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2F8E3CB6" w14:textId="77777777">
        <w:tc>
          <w:tcPr>
            <w:tcW w:w="4928" w:type="dxa"/>
          </w:tcPr>
          <w:p w14:paraId="14FAB44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Характер модификации</w:t>
            </w:r>
          </w:p>
        </w:tc>
        <w:tc>
          <w:tcPr>
            <w:tcW w:w="5386" w:type="dxa"/>
          </w:tcPr>
          <w:p w14:paraId="70E22AB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подготовка эталона самолета</w:t>
            </w:r>
          </w:p>
        </w:tc>
      </w:tr>
      <w:tr w:rsidR="00F26F01" w:rsidRPr="00C33834" w14:paraId="739CD432" w14:textId="77777777">
        <w:tc>
          <w:tcPr>
            <w:tcW w:w="4928" w:type="dxa"/>
          </w:tcPr>
          <w:p w14:paraId="7EBBDC3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по плану</w:t>
            </w:r>
          </w:p>
        </w:tc>
        <w:tc>
          <w:tcPr>
            <w:tcW w:w="5386" w:type="dxa"/>
          </w:tcPr>
          <w:p w14:paraId="07FC42D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октября 1932 года</w:t>
            </w:r>
          </w:p>
        </w:tc>
      </w:tr>
    </w:tbl>
    <w:p w14:paraId="628574C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p w14:paraId="34DED96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в ЦАГИ заброшена. В ЦКБ завода N 39 работы по Р5-М34 в плане не стоят. НИИ настаивает перед начальником ГУАПа о передаче этой работы заводу N 1, который дал на это принципиальное согласие.</w:t>
      </w:r>
    </w:p>
    <w:p w14:paraId="6446303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 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758B0EB3" w14:textId="77777777">
        <w:tc>
          <w:tcPr>
            <w:tcW w:w="4928" w:type="dxa"/>
          </w:tcPr>
          <w:p w14:paraId="73B4568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Характер модификации</w:t>
            </w:r>
          </w:p>
        </w:tc>
        <w:tc>
          <w:tcPr>
            <w:tcW w:w="5386" w:type="dxa"/>
          </w:tcPr>
          <w:p w14:paraId="6867EA0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тормозных колес и разрезных крыльев</w:t>
            </w:r>
          </w:p>
        </w:tc>
      </w:tr>
      <w:tr w:rsidR="00F26F01" w:rsidRPr="00C33834" w14:paraId="1B25B1CD" w14:textId="77777777">
        <w:tc>
          <w:tcPr>
            <w:tcW w:w="4928" w:type="dxa"/>
          </w:tcPr>
          <w:p w14:paraId="72BFCD4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по плану</w:t>
            </w:r>
          </w:p>
        </w:tc>
        <w:tc>
          <w:tcPr>
            <w:tcW w:w="5386" w:type="dxa"/>
          </w:tcPr>
          <w:p w14:paraId="43331E7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августа 1932 года</w:t>
            </w:r>
          </w:p>
        </w:tc>
      </w:tr>
      <w:tr w:rsidR="00F26F01" w:rsidRPr="00C33834" w14:paraId="1CF6B777" w14:textId="77777777">
        <w:tc>
          <w:tcPr>
            <w:tcW w:w="4928" w:type="dxa"/>
          </w:tcPr>
          <w:p w14:paraId="1022B9C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1F3DB28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апреля 1933 года (гос. испыт.)</w:t>
            </w:r>
          </w:p>
        </w:tc>
      </w:tr>
    </w:tbl>
    <w:p w14:paraId="3FE9229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 с тормозными колесами - испытания на Юге позволили выбрать капотажный угол и место установки управления гидравлическими тормозами. Выявлена необходимость переделки механизма управления (насоса) и установки редукционного клапана, каковые ЦАГИ прорабатывает.</w:t>
      </w:r>
    </w:p>
    <w:p w14:paraId="6DE0532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Механическое управление тормозами оказалось неудовлетворительным.</w:t>
      </w:r>
    </w:p>
    <w:p w14:paraId="51E281F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 с разрезными крыльями 2-й вариант заканчивает заводские испытания и в начале апреля будет передан на гос. испытания. В ЦКБ завода N 39 прорабатываются чертежи для серии.</w:t>
      </w:r>
    </w:p>
    <w:p w14:paraId="799FC9B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И-12 2 М22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7E5204C2" w14:textId="77777777">
        <w:tc>
          <w:tcPr>
            <w:tcW w:w="4928" w:type="dxa"/>
          </w:tcPr>
          <w:p w14:paraId="020BA45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Характер модификации</w:t>
            </w:r>
          </w:p>
        </w:tc>
        <w:tc>
          <w:tcPr>
            <w:tcW w:w="5386" w:type="dxa"/>
          </w:tcPr>
          <w:p w14:paraId="13AD66E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постройка второго модифицированного экземпляра</w:t>
            </w:r>
          </w:p>
        </w:tc>
      </w:tr>
      <w:tr w:rsidR="00F26F01" w:rsidRPr="00C33834" w14:paraId="69E26C82" w14:textId="77777777">
        <w:tc>
          <w:tcPr>
            <w:tcW w:w="4928" w:type="dxa"/>
          </w:tcPr>
          <w:p w14:paraId="2B8D90F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по плану</w:t>
            </w:r>
          </w:p>
        </w:tc>
        <w:tc>
          <w:tcPr>
            <w:tcW w:w="5386" w:type="dxa"/>
          </w:tcPr>
          <w:p w14:paraId="70FE612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1932 года</w:t>
            </w:r>
          </w:p>
        </w:tc>
      </w:tr>
      <w:tr w:rsidR="00F26F01" w:rsidRPr="00C33834" w14:paraId="71D40E0D" w14:textId="77777777">
        <w:tc>
          <w:tcPr>
            <w:tcW w:w="4928" w:type="dxa"/>
          </w:tcPr>
          <w:p w14:paraId="2E69B8E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28E8460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6F2C04C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находится в постройке, последняя задерживается непредставлением ЦАГИ заводом N 8 второй пушки ДРП, которая одновременно служит основной хвостовой фермы. Общая готовность самолета около 60%.</w:t>
      </w:r>
    </w:p>
    <w:p w14:paraId="06C124E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 2М17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68B717C8" w14:textId="77777777">
        <w:tc>
          <w:tcPr>
            <w:tcW w:w="4928" w:type="dxa"/>
          </w:tcPr>
          <w:p w14:paraId="3AB0C80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Характер модификации</w:t>
            </w:r>
          </w:p>
        </w:tc>
        <w:tc>
          <w:tcPr>
            <w:tcW w:w="5386" w:type="dxa"/>
          </w:tcPr>
          <w:p w14:paraId="2AF734F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увеличение емкости бака</w:t>
            </w:r>
          </w:p>
        </w:tc>
      </w:tr>
      <w:tr w:rsidR="00F26F01" w:rsidRPr="00C33834" w14:paraId="22D627FC" w14:textId="77777777">
        <w:tc>
          <w:tcPr>
            <w:tcW w:w="4928" w:type="dxa"/>
          </w:tcPr>
          <w:p w14:paraId="531834C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по плану</w:t>
            </w:r>
          </w:p>
        </w:tc>
        <w:tc>
          <w:tcPr>
            <w:tcW w:w="5386" w:type="dxa"/>
          </w:tcPr>
          <w:p w14:paraId="62AD064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мая 1932 года</w:t>
            </w:r>
          </w:p>
        </w:tc>
      </w:tr>
      <w:tr w:rsidR="00F26F01" w:rsidRPr="00C33834" w14:paraId="2638B181" w14:textId="77777777">
        <w:tc>
          <w:tcPr>
            <w:tcW w:w="4928" w:type="dxa"/>
          </w:tcPr>
          <w:p w14:paraId="0CC8BAC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0BB1272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67FE78A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испытаниях на расход горючего самолет потерпел катастрофу и сгорел.</w:t>
      </w:r>
    </w:p>
    <w:p w14:paraId="28669F5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 не вошедшие в план</w:t>
      </w:r>
    </w:p>
    <w:p w14:paraId="03FC9BB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ДИ4 Кертисс Конкверор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36C3F37B" w14:textId="77777777">
        <w:tc>
          <w:tcPr>
            <w:tcW w:w="4928" w:type="dxa"/>
          </w:tcPr>
          <w:p w14:paraId="0CED6DC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по плану</w:t>
            </w:r>
          </w:p>
        </w:tc>
        <w:tc>
          <w:tcPr>
            <w:tcW w:w="5386" w:type="dxa"/>
          </w:tcPr>
          <w:p w14:paraId="0B9A3A8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1931 года</w:t>
            </w:r>
          </w:p>
        </w:tc>
      </w:tr>
      <w:tr w:rsidR="00F26F01" w:rsidRPr="00C33834" w14:paraId="7429A2EA" w14:textId="77777777">
        <w:tc>
          <w:tcPr>
            <w:tcW w:w="4928" w:type="dxa"/>
          </w:tcPr>
          <w:p w14:paraId="1660967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по плану</w:t>
            </w:r>
          </w:p>
        </w:tc>
        <w:tc>
          <w:tcPr>
            <w:tcW w:w="5386" w:type="dxa"/>
          </w:tcPr>
          <w:p w14:paraId="127A2D5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январь 1933 года</w:t>
            </w:r>
          </w:p>
        </w:tc>
      </w:tr>
    </w:tbl>
    <w:p w14:paraId="7C5BDC1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сдаточном заводском полете самолет имел вынужденную посадку и поломал лыжу. Ремонт был закончен перед закрытием аэродрома. Испытание фактически не началось.</w:t>
      </w:r>
    </w:p>
    <w:p w14:paraId="6B16A27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Истребит. ЗЕТ с мотором М22</w:t>
      </w:r>
    </w:p>
    <w:p w14:paraId="5E646A4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 самолета закончены.</w:t>
      </w:r>
    </w:p>
    <w:p w14:paraId="4D4F048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самолетам (морским).</w:t>
      </w:r>
    </w:p>
    <w:p w14:paraId="6B6DB93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1-й очереди (основные по системе вооружения).</w:t>
      </w:r>
    </w:p>
    <w:p w14:paraId="6B67245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МДР3-3М34 РН</w:t>
      </w:r>
    </w:p>
    <w:p w14:paraId="6EEAABD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0921D2DA" w14:textId="77777777">
        <w:tc>
          <w:tcPr>
            <w:tcW w:w="4928" w:type="dxa"/>
          </w:tcPr>
          <w:p w14:paraId="3BD06AB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 гориз. скорость на высоте</w:t>
            </w:r>
          </w:p>
        </w:tc>
        <w:tc>
          <w:tcPr>
            <w:tcW w:w="5386" w:type="dxa"/>
          </w:tcPr>
          <w:p w14:paraId="459BE80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225/3000</w:t>
            </w:r>
          </w:p>
        </w:tc>
      </w:tr>
      <w:tr w:rsidR="00F26F01" w:rsidRPr="00C33834" w14:paraId="0A296097" w14:textId="77777777">
        <w:tc>
          <w:tcPr>
            <w:tcW w:w="4928" w:type="dxa"/>
          </w:tcPr>
          <w:p w14:paraId="71A2BB6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высоту</w:t>
            </w:r>
          </w:p>
        </w:tc>
        <w:tc>
          <w:tcPr>
            <w:tcW w:w="5386" w:type="dxa"/>
          </w:tcPr>
          <w:p w14:paraId="0AFC3FD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20/3000</w:t>
            </w:r>
          </w:p>
        </w:tc>
      </w:tr>
      <w:tr w:rsidR="00F26F01" w:rsidRPr="00C33834" w14:paraId="0995C2EE" w14:textId="77777777">
        <w:tc>
          <w:tcPr>
            <w:tcW w:w="4928" w:type="dxa"/>
          </w:tcPr>
          <w:p w14:paraId="706B39A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5386" w:type="dxa"/>
          </w:tcPr>
          <w:p w14:paraId="5C8F895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w:t>
            </w:r>
          </w:p>
        </w:tc>
      </w:tr>
      <w:tr w:rsidR="00F26F01" w:rsidRPr="00C33834" w14:paraId="6978B241" w14:textId="77777777">
        <w:tc>
          <w:tcPr>
            <w:tcW w:w="4928" w:type="dxa"/>
          </w:tcPr>
          <w:p w14:paraId="5163C78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5386" w:type="dxa"/>
          </w:tcPr>
          <w:p w14:paraId="7BEA602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4х2 пулем.</w:t>
            </w:r>
          </w:p>
        </w:tc>
      </w:tr>
      <w:tr w:rsidR="00F26F01" w:rsidRPr="00C33834" w14:paraId="2B90B577" w14:textId="77777777">
        <w:tc>
          <w:tcPr>
            <w:tcW w:w="4928" w:type="dxa"/>
          </w:tcPr>
          <w:p w14:paraId="565B570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0926AB9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 кг бомб</w:t>
            </w:r>
          </w:p>
        </w:tc>
      </w:tr>
      <w:tr w:rsidR="00F26F01" w:rsidRPr="00C33834" w14:paraId="37CC0273" w14:textId="77777777">
        <w:tc>
          <w:tcPr>
            <w:tcW w:w="4928" w:type="dxa"/>
          </w:tcPr>
          <w:p w14:paraId="698E5D4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c>
          <w:tcPr>
            <w:tcW w:w="5386" w:type="dxa"/>
          </w:tcPr>
          <w:p w14:paraId="159CB4A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 км Н-3000</w:t>
            </w:r>
          </w:p>
        </w:tc>
      </w:tr>
      <w:tr w:rsidR="00F26F01" w:rsidRPr="00C33834" w14:paraId="727F5426" w14:textId="77777777">
        <w:tc>
          <w:tcPr>
            <w:tcW w:w="4928" w:type="dxa"/>
          </w:tcPr>
          <w:p w14:paraId="2886D90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5841E1C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060E03B" w14:textId="77777777">
        <w:tc>
          <w:tcPr>
            <w:tcW w:w="4928" w:type="dxa"/>
          </w:tcPr>
          <w:p w14:paraId="19CC333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49D6615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 плане не указан</w:t>
            </w:r>
          </w:p>
        </w:tc>
      </w:tr>
      <w:tr w:rsidR="00F26F01" w:rsidRPr="00C33834" w14:paraId="04E9700F" w14:textId="77777777">
        <w:tc>
          <w:tcPr>
            <w:tcW w:w="4928" w:type="dxa"/>
          </w:tcPr>
          <w:p w14:paraId="5F8715E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5C60B41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A6E8F03" w14:textId="77777777">
        <w:tc>
          <w:tcPr>
            <w:tcW w:w="4928" w:type="dxa"/>
          </w:tcPr>
          <w:p w14:paraId="0A7CAE8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6C40BBB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первон. 1 июля 1933 года перенес. на 1 декабря 1933 года</w:t>
            </w:r>
          </w:p>
        </w:tc>
      </w:tr>
    </w:tbl>
    <w:p w14:paraId="4E7121A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Приступлено к проектированию новых частей самолета: центроплана, консолей крыла и хвостовой части лодки самолета. В производство не сдано ни одного чертежа. По проектированию выполнено 5 % всей работы. Задержка объясняется тем, что самолет по плану 2 бриг. КОСОС ЦАГИ поставлен во 2-у очередь, рабочие чертежи должны быть сданы к 1 ноября 1933 года в производство. НИИ ВВС потребовало перенесения объекта постройки в 1-ю очередь с выходом на гос. испытания 1 ноября 1933 года.</w:t>
      </w:r>
    </w:p>
    <w:p w14:paraId="6525136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МК1-6М34 РН</w:t>
      </w:r>
    </w:p>
    <w:p w14:paraId="5A6558E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47895637" w14:textId="77777777">
        <w:tc>
          <w:tcPr>
            <w:tcW w:w="4928" w:type="dxa"/>
          </w:tcPr>
          <w:p w14:paraId="7D10D95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 гориз. скорость на высоте</w:t>
            </w:r>
          </w:p>
        </w:tc>
        <w:tc>
          <w:tcPr>
            <w:tcW w:w="5386" w:type="dxa"/>
          </w:tcPr>
          <w:p w14:paraId="0A6E60E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215/4000</w:t>
            </w:r>
          </w:p>
        </w:tc>
      </w:tr>
      <w:tr w:rsidR="00F26F01" w:rsidRPr="00C33834" w14:paraId="6DA4730E" w14:textId="77777777">
        <w:tc>
          <w:tcPr>
            <w:tcW w:w="4928" w:type="dxa"/>
          </w:tcPr>
          <w:p w14:paraId="7ABD47F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высоту</w:t>
            </w:r>
          </w:p>
        </w:tc>
        <w:tc>
          <w:tcPr>
            <w:tcW w:w="5386" w:type="dxa"/>
          </w:tcPr>
          <w:p w14:paraId="4A7E62E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1CC96EE" w14:textId="77777777">
        <w:tc>
          <w:tcPr>
            <w:tcW w:w="4928" w:type="dxa"/>
          </w:tcPr>
          <w:p w14:paraId="58DEE30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5386" w:type="dxa"/>
          </w:tcPr>
          <w:p w14:paraId="79B9A3C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r>
      <w:tr w:rsidR="00F26F01" w:rsidRPr="00C33834" w14:paraId="600870D5" w14:textId="77777777">
        <w:tc>
          <w:tcPr>
            <w:tcW w:w="4928" w:type="dxa"/>
          </w:tcPr>
          <w:p w14:paraId="00C704B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5386" w:type="dxa"/>
          </w:tcPr>
          <w:p w14:paraId="6E0C118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общ. вес воен. снаряж. и оборудов. 1850 кг</w:t>
            </w:r>
          </w:p>
        </w:tc>
      </w:tr>
      <w:tr w:rsidR="00F26F01" w:rsidRPr="00C33834" w14:paraId="2A0A1C5A" w14:textId="77777777">
        <w:tc>
          <w:tcPr>
            <w:tcW w:w="4928" w:type="dxa"/>
          </w:tcPr>
          <w:p w14:paraId="3EDD813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52B2A25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огнев. точек</w:t>
            </w:r>
          </w:p>
        </w:tc>
      </w:tr>
      <w:tr w:rsidR="00F26F01" w:rsidRPr="00C33834" w14:paraId="56706AE1" w14:textId="77777777">
        <w:tc>
          <w:tcPr>
            <w:tcW w:w="4928" w:type="dxa"/>
          </w:tcPr>
          <w:p w14:paraId="60EE662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34D1247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 бомб. емк. 2,5 т</w:t>
            </w:r>
          </w:p>
        </w:tc>
      </w:tr>
      <w:tr w:rsidR="00F26F01" w:rsidRPr="00C33834" w14:paraId="14C05C4C" w14:textId="77777777">
        <w:tc>
          <w:tcPr>
            <w:tcW w:w="4928" w:type="dxa"/>
          </w:tcPr>
          <w:p w14:paraId="31C1136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c>
          <w:tcPr>
            <w:tcW w:w="5386" w:type="dxa"/>
          </w:tcPr>
          <w:p w14:paraId="571326B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 при перегр. 15% 1200 км</w:t>
            </w:r>
          </w:p>
        </w:tc>
      </w:tr>
      <w:tr w:rsidR="00F26F01" w:rsidRPr="00C33834" w14:paraId="09473F36" w14:textId="77777777">
        <w:tc>
          <w:tcPr>
            <w:tcW w:w="4928" w:type="dxa"/>
          </w:tcPr>
          <w:p w14:paraId="32A19D1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7D1427C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1932 года вторично</w:t>
            </w:r>
          </w:p>
        </w:tc>
      </w:tr>
      <w:tr w:rsidR="00F26F01" w:rsidRPr="00C33834" w14:paraId="2AB728E9" w14:textId="77777777">
        <w:tc>
          <w:tcPr>
            <w:tcW w:w="4928" w:type="dxa"/>
          </w:tcPr>
          <w:p w14:paraId="0D50B16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6BB21AB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1932 года по пост. КО</w:t>
            </w:r>
          </w:p>
        </w:tc>
      </w:tr>
      <w:tr w:rsidR="00F26F01" w:rsidRPr="00C33834" w14:paraId="3D10AAFF" w14:textId="77777777">
        <w:tc>
          <w:tcPr>
            <w:tcW w:w="4928" w:type="dxa"/>
          </w:tcPr>
          <w:p w14:paraId="4FA92B1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27E5FC6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7624387" w14:textId="77777777">
        <w:tc>
          <w:tcPr>
            <w:tcW w:w="4928" w:type="dxa"/>
          </w:tcPr>
          <w:p w14:paraId="437CDF9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289A6D5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декабрь 1933 года</w:t>
            </w:r>
          </w:p>
        </w:tc>
      </w:tr>
    </w:tbl>
    <w:p w14:paraId="1FC57B7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марта 1933 года предъявлен макет самолета. Проектировочные работы выполнены на 35%. Производством начата сборка лодок на стапелях, изготовлены основные узлы д/производства статических испытаний. Обсуждение макета самолета состоялось 19 и 23, окончательные выводы даны будут 28 марта 1933 года. По частичным решениям макетной комиссии требуются переделки хвостовой части лодки, что вызовет ряд дополнительных работ.</w:t>
      </w:r>
    </w:p>
    <w:p w14:paraId="761E73D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МБР5-амфибия</w:t>
      </w:r>
    </w:p>
    <w:p w14:paraId="0950249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395393AA" w14:textId="77777777">
        <w:tc>
          <w:tcPr>
            <w:tcW w:w="4928" w:type="dxa"/>
          </w:tcPr>
          <w:p w14:paraId="6298114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 гориз. скорость на высоте</w:t>
            </w:r>
          </w:p>
        </w:tc>
        <w:tc>
          <w:tcPr>
            <w:tcW w:w="5386" w:type="dxa"/>
          </w:tcPr>
          <w:p w14:paraId="7EDB2CD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r>
      <w:tr w:rsidR="00F26F01" w:rsidRPr="00C33834" w14:paraId="5DF3B04D" w14:textId="77777777">
        <w:tc>
          <w:tcPr>
            <w:tcW w:w="4928" w:type="dxa"/>
          </w:tcPr>
          <w:p w14:paraId="5654A1B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высоту</w:t>
            </w:r>
          </w:p>
        </w:tc>
        <w:tc>
          <w:tcPr>
            <w:tcW w:w="5386" w:type="dxa"/>
          </w:tcPr>
          <w:p w14:paraId="07CCFC3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B344BB6" w14:textId="77777777">
        <w:tc>
          <w:tcPr>
            <w:tcW w:w="4928" w:type="dxa"/>
          </w:tcPr>
          <w:p w14:paraId="68BF654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5386" w:type="dxa"/>
          </w:tcPr>
          <w:p w14:paraId="119CE61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w:t>
            </w:r>
          </w:p>
        </w:tc>
      </w:tr>
      <w:tr w:rsidR="00F26F01" w:rsidRPr="00C33834" w14:paraId="047C31C6" w14:textId="77777777">
        <w:tc>
          <w:tcPr>
            <w:tcW w:w="4928" w:type="dxa"/>
          </w:tcPr>
          <w:p w14:paraId="30495DE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5386" w:type="dxa"/>
          </w:tcPr>
          <w:p w14:paraId="09A4707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 и тяж. пулем.</w:t>
            </w:r>
          </w:p>
        </w:tc>
      </w:tr>
      <w:tr w:rsidR="00F26F01" w:rsidRPr="00C33834" w14:paraId="3CF32122" w14:textId="77777777">
        <w:tc>
          <w:tcPr>
            <w:tcW w:w="4928" w:type="dxa"/>
          </w:tcPr>
          <w:p w14:paraId="2B8E1B8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c>
          <w:tcPr>
            <w:tcW w:w="5386" w:type="dxa"/>
          </w:tcPr>
          <w:p w14:paraId="05C3A08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 при перегр. 800</w:t>
            </w:r>
          </w:p>
        </w:tc>
      </w:tr>
      <w:tr w:rsidR="00F26F01" w:rsidRPr="00C33834" w14:paraId="0D66A357" w14:textId="77777777">
        <w:tc>
          <w:tcPr>
            <w:tcW w:w="4928" w:type="dxa"/>
          </w:tcPr>
          <w:p w14:paraId="564ADC0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10E71D9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66E7951" w14:textId="77777777">
        <w:tc>
          <w:tcPr>
            <w:tcW w:w="4928" w:type="dxa"/>
          </w:tcPr>
          <w:p w14:paraId="3594FBA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2F86EE3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1933 года</w:t>
            </w:r>
          </w:p>
        </w:tc>
      </w:tr>
      <w:tr w:rsidR="00F26F01" w:rsidRPr="00C33834" w14:paraId="271FBE00" w14:textId="77777777">
        <w:tc>
          <w:tcPr>
            <w:tcW w:w="4928" w:type="dxa"/>
          </w:tcPr>
          <w:p w14:paraId="37310C7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6FB8FF1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FE4111A" w14:textId="77777777">
        <w:tc>
          <w:tcPr>
            <w:tcW w:w="4928" w:type="dxa"/>
          </w:tcPr>
          <w:p w14:paraId="07C8BDF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3B2CC73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2B70F72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Разрабатывается эскизный проект в нескольких вариантах по тех. требов. НИИ ВВС представление эскизного проекта ожидается в апреле.</w:t>
      </w:r>
    </w:p>
    <w:p w14:paraId="27C64B7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Экспериментальные самолеты и модификации из сухопутных</w:t>
      </w:r>
    </w:p>
    <w:p w14:paraId="7D48F15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МДР2 2М17</w:t>
      </w:r>
    </w:p>
    <w:p w14:paraId="725F4E6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3CCC8B88" w14:textId="77777777">
        <w:tc>
          <w:tcPr>
            <w:tcW w:w="4928" w:type="dxa"/>
          </w:tcPr>
          <w:p w14:paraId="4D5091E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 гориз. скорость на высоте</w:t>
            </w:r>
          </w:p>
        </w:tc>
        <w:tc>
          <w:tcPr>
            <w:tcW w:w="5386" w:type="dxa"/>
          </w:tcPr>
          <w:p w14:paraId="26F915F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178/2000</w:t>
            </w:r>
          </w:p>
        </w:tc>
      </w:tr>
      <w:tr w:rsidR="00F26F01" w:rsidRPr="00C33834" w14:paraId="2DF5F788" w14:textId="77777777">
        <w:tc>
          <w:tcPr>
            <w:tcW w:w="4928" w:type="dxa"/>
          </w:tcPr>
          <w:p w14:paraId="0E11C25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высоту</w:t>
            </w:r>
          </w:p>
        </w:tc>
        <w:tc>
          <w:tcPr>
            <w:tcW w:w="5386" w:type="dxa"/>
          </w:tcPr>
          <w:p w14:paraId="5A59469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39,5/3000</w:t>
            </w:r>
          </w:p>
        </w:tc>
      </w:tr>
      <w:tr w:rsidR="00F26F01" w:rsidRPr="00C33834" w14:paraId="0981DF3A" w14:textId="77777777">
        <w:tc>
          <w:tcPr>
            <w:tcW w:w="4928" w:type="dxa"/>
          </w:tcPr>
          <w:p w14:paraId="5025ECB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5386" w:type="dxa"/>
          </w:tcPr>
          <w:p w14:paraId="59F790F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3300</w:t>
            </w:r>
          </w:p>
        </w:tc>
      </w:tr>
      <w:tr w:rsidR="00F26F01" w:rsidRPr="00C33834" w14:paraId="646E0035" w14:textId="77777777">
        <w:tc>
          <w:tcPr>
            <w:tcW w:w="4928" w:type="dxa"/>
          </w:tcPr>
          <w:p w14:paraId="565D791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5386" w:type="dxa"/>
          </w:tcPr>
          <w:p w14:paraId="5AFAD94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пул./ 3 огн. точ.</w:t>
            </w:r>
          </w:p>
        </w:tc>
      </w:tr>
      <w:tr w:rsidR="00F26F01" w:rsidRPr="00C33834" w14:paraId="0480C9CD" w14:textId="77777777">
        <w:tc>
          <w:tcPr>
            <w:tcW w:w="4928" w:type="dxa"/>
          </w:tcPr>
          <w:p w14:paraId="6B0AF0C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1DC4085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 бомб. емк. 828 кг</w:t>
            </w:r>
          </w:p>
        </w:tc>
      </w:tr>
      <w:tr w:rsidR="00F26F01" w:rsidRPr="00C33834" w14:paraId="4A09605E" w14:textId="77777777">
        <w:tc>
          <w:tcPr>
            <w:tcW w:w="4928" w:type="dxa"/>
          </w:tcPr>
          <w:p w14:paraId="5BCA68E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c>
          <w:tcPr>
            <w:tcW w:w="5386" w:type="dxa"/>
          </w:tcPr>
          <w:p w14:paraId="7F2859C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w:t>
            </w:r>
          </w:p>
        </w:tc>
      </w:tr>
      <w:tr w:rsidR="00F26F01" w:rsidRPr="00C33834" w14:paraId="14B1D6C4" w14:textId="77777777">
        <w:tc>
          <w:tcPr>
            <w:tcW w:w="4928" w:type="dxa"/>
          </w:tcPr>
          <w:p w14:paraId="64C2C2C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1EB8055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B1C4EB3" w14:textId="77777777">
        <w:tc>
          <w:tcPr>
            <w:tcW w:w="4928" w:type="dxa"/>
          </w:tcPr>
          <w:p w14:paraId="0588CFD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6C9AD64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1930 года</w:t>
            </w:r>
          </w:p>
        </w:tc>
      </w:tr>
      <w:tr w:rsidR="00F26F01" w:rsidRPr="00C33834" w14:paraId="3AB0E1E7" w14:textId="77777777">
        <w:tc>
          <w:tcPr>
            <w:tcW w:w="4928" w:type="dxa"/>
          </w:tcPr>
          <w:p w14:paraId="5803CCE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24D92D7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C7577E3" w14:textId="77777777">
        <w:tc>
          <w:tcPr>
            <w:tcW w:w="4928" w:type="dxa"/>
          </w:tcPr>
          <w:p w14:paraId="2ED727F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0F243E4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418540B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после ремонта крыльев (из-за сильной коррозии, допущенной плохим уходом ЦАГИ) сдан распоряжением Наумова в Школу морск. летчиков.</w:t>
      </w:r>
    </w:p>
    <w:p w14:paraId="3010930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серию ГУАПом не пущен по соображениям перегрузки заводов.</w:t>
      </w:r>
    </w:p>
    <w:p w14:paraId="06E6737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ТБ1-2М17 с применен. ракет для ускорения взлета</w:t>
      </w:r>
    </w:p>
    <w:p w14:paraId="51E8DEA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 самолет серийной постройки</w:t>
      </w:r>
    </w:p>
    <w:p w14:paraId="6DB32DA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p w14:paraId="0DEBFA6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 1 февраля 1932 года</w:t>
      </w:r>
    </w:p>
    <w:p w14:paraId="30F0F51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p w14:paraId="26F7406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p w14:paraId="766DBEF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по экспериментированию с ракетными установками продолжаются. Наблюдение за ходом работ передано 7 сектору НИИ ВВС.</w:t>
      </w:r>
    </w:p>
    <w:p w14:paraId="6B4357D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Р6-а 2М17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373C26F2" w14:textId="77777777">
        <w:tc>
          <w:tcPr>
            <w:tcW w:w="4928" w:type="dxa"/>
          </w:tcPr>
          <w:p w14:paraId="118D3B0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w:t>
            </w:r>
          </w:p>
        </w:tc>
        <w:tc>
          <w:tcPr>
            <w:tcW w:w="5386" w:type="dxa"/>
          </w:tcPr>
          <w:p w14:paraId="721F563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серийной постройки</w:t>
            </w:r>
          </w:p>
        </w:tc>
      </w:tr>
      <w:tr w:rsidR="00F26F01" w:rsidRPr="00C33834" w14:paraId="2B033268" w14:textId="77777777">
        <w:tc>
          <w:tcPr>
            <w:tcW w:w="4928" w:type="dxa"/>
          </w:tcPr>
          <w:p w14:paraId="19AEE22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65272D5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47A7EA8" w14:textId="77777777">
        <w:tc>
          <w:tcPr>
            <w:tcW w:w="4928" w:type="dxa"/>
          </w:tcPr>
          <w:p w14:paraId="34B1846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1931BF0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1932 года</w:t>
            </w:r>
          </w:p>
        </w:tc>
      </w:tr>
    </w:tbl>
    <w:p w14:paraId="0A59CA5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Прерванные вследствие поломок винтов испытания самолета вновь возобновлены. Испытания проводятся с двумя типами поплавков, окончание испытаний намечено в первой половине апреля 1933 года.</w:t>
      </w:r>
    </w:p>
    <w:p w14:paraId="31B39D1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Р5а-М17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4715AF36" w14:textId="77777777">
        <w:tc>
          <w:tcPr>
            <w:tcW w:w="4928" w:type="dxa"/>
          </w:tcPr>
          <w:p w14:paraId="529DFAA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w:t>
            </w:r>
          </w:p>
        </w:tc>
        <w:tc>
          <w:tcPr>
            <w:tcW w:w="5386" w:type="dxa"/>
          </w:tcPr>
          <w:p w14:paraId="11A6CD1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7F1D551" w14:textId="77777777">
        <w:tc>
          <w:tcPr>
            <w:tcW w:w="4928" w:type="dxa"/>
          </w:tcPr>
          <w:p w14:paraId="25EF80A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 гориз. Скорость на высоте</w:t>
            </w:r>
          </w:p>
        </w:tc>
        <w:tc>
          <w:tcPr>
            <w:tcW w:w="5386" w:type="dxa"/>
          </w:tcPr>
          <w:p w14:paraId="7026B4C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164/3000</w:t>
            </w:r>
          </w:p>
        </w:tc>
      </w:tr>
      <w:tr w:rsidR="00F26F01" w:rsidRPr="00C33834" w14:paraId="0E1300E1" w14:textId="77777777">
        <w:tc>
          <w:tcPr>
            <w:tcW w:w="4928" w:type="dxa"/>
          </w:tcPr>
          <w:p w14:paraId="33913FB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высоту</w:t>
            </w:r>
          </w:p>
        </w:tc>
        <w:tc>
          <w:tcPr>
            <w:tcW w:w="5386" w:type="dxa"/>
          </w:tcPr>
          <w:p w14:paraId="66455D2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27/3000</w:t>
            </w:r>
          </w:p>
        </w:tc>
      </w:tr>
      <w:tr w:rsidR="00F26F01" w:rsidRPr="00C33834" w14:paraId="4F678821" w14:textId="77777777">
        <w:tc>
          <w:tcPr>
            <w:tcW w:w="4928" w:type="dxa"/>
          </w:tcPr>
          <w:p w14:paraId="0A15603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5386" w:type="dxa"/>
          </w:tcPr>
          <w:p w14:paraId="711861A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4350</w:t>
            </w:r>
          </w:p>
        </w:tc>
      </w:tr>
      <w:tr w:rsidR="00F26F01" w:rsidRPr="00C33834" w14:paraId="0E230376" w14:textId="77777777">
        <w:tc>
          <w:tcPr>
            <w:tcW w:w="4928" w:type="dxa"/>
          </w:tcPr>
          <w:p w14:paraId="51DE3E0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5386" w:type="dxa"/>
          </w:tcPr>
          <w:p w14:paraId="55FE0C1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пул. ( 2 ог. точ.)</w:t>
            </w:r>
          </w:p>
        </w:tc>
      </w:tr>
      <w:tr w:rsidR="00F26F01" w:rsidRPr="00C33834" w14:paraId="5A8D2B9F" w14:textId="77777777">
        <w:tc>
          <w:tcPr>
            <w:tcW w:w="4928" w:type="dxa"/>
          </w:tcPr>
          <w:p w14:paraId="70487A5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278954F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 кг бомб</w:t>
            </w:r>
          </w:p>
        </w:tc>
      </w:tr>
      <w:tr w:rsidR="00F26F01" w:rsidRPr="00C33834" w14:paraId="0BDEA18A" w14:textId="77777777">
        <w:tc>
          <w:tcPr>
            <w:tcW w:w="4928" w:type="dxa"/>
          </w:tcPr>
          <w:p w14:paraId="74CF4CD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c>
          <w:tcPr>
            <w:tcW w:w="5386" w:type="dxa"/>
          </w:tcPr>
          <w:p w14:paraId="4FC3213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340 при перегр. 750</w:t>
            </w:r>
          </w:p>
        </w:tc>
      </w:tr>
      <w:tr w:rsidR="00F26F01" w:rsidRPr="00C33834" w14:paraId="44B21092" w14:textId="77777777">
        <w:tc>
          <w:tcPr>
            <w:tcW w:w="4928" w:type="dxa"/>
          </w:tcPr>
          <w:p w14:paraId="76E7DB1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Время определения на гос. испытания</w:t>
            </w:r>
          </w:p>
        </w:tc>
        <w:tc>
          <w:tcPr>
            <w:tcW w:w="5386" w:type="dxa"/>
          </w:tcPr>
          <w:p w14:paraId="37CCBE6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C0DA31A" w14:textId="77777777">
        <w:tc>
          <w:tcPr>
            <w:tcW w:w="4928" w:type="dxa"/>
          </w:tcPr>
          <w:p w14:paraId="7E329AF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7670AF9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июля 1932 года</w:t>
            </w:r>
          </w:p>
        </w:tc>
      </w:tr>
    </w:tbl>
    <w:p w14:paraId="1236F58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Прорабатываются вопросы об устранении дефектов по эталону серии 1932 года. Конструирование и производственные чертежи выполнены на 15% бригадой КОСОС ЦАГИ.</w:t>
      </w:r>
    </w:p>
    <w:p w14:paraId="6176617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СПЛ (с-т подлодок).</w:t>
      </w:r>
    </w:p>
    <w:p w14:paraId="1586AE4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31BAF599" w14:textId="77777777">
        <w:tc>
          <w:tcPr>
            <w:tcW w:w="4928" w:type="dxa"/>
          </w:tcPr>
          <w:p w14:paraId="6AD8F0F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 гориз. скорость на высоте</w:t>
            </w:r>
          </w:p>
        </w:tc>
        <w:tc>
          <w:tcPr>
            <w:tcW w:w="5386" w:type="dxa"/>
          </w:tcPr>
          <w:p w14:paraId="1FA2559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180/2500</w:t>
            </w:r>
          </w:p>
        </w:tc>
      </w:tr>
      <w:tr w:rsidR="00F26F01" w:rsidRPr="00C33834" w14:paraId="487596A2" w14:textId="77777777">
        <w:tc>
          <w:tcPr>
            <w:tcW w:w="4928" w:type="dxa"/>
          </w:tcPr>
          <w:p w14:paraId="6C6CC3B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высоту</w:t>
            </w:r>
          </w:p>
        </w:tc>
        <w:tc>
          <w:tcPr>
            <w:tcW w:w="5386" w:type="dxa"/>
          </w:tcPr>
          <w:p w14:paraId="239C910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15/2000</w:t>
            </w:r>
          </w:p>
        </w:tc>
      </w:tr>
      <w:tr w:rsidR="00F26F01" w:rsidRPr="00C33834" w14:paraId="78CAAA15" w14:textId="77777777">
        <w:tc>
          <w:tcPr>
            <w:tcW w:w="4928" w:type="dxa"/>
          </w:tcPr>
          <w:p w14:paraId="6220A8C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5386" w:type="dxa"/>
          </w:tcPr>
          <w:p w14:paraId="19F8CC8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r>
      <w:tr w:rsidR="00F26F01" w:rsidRPr="00C33834" w14:paraId="2557031C" w14:textId="77777777">
        <w:tc>
          <w:tcPr>
            <w:tcW w:w="4928" w:type="dxa"/>
          </w:tcPr>
          <w:p w14:paraId="11EBE86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5386" w:type="dxa"/>
          </w:tcPr>
          <w:p w14:paraId="2240A71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пул. съемн.</w:t>
            </w:r>
          </w:p>
        </w:tc>
      </w:tr>
      <w:tr w:rsidR="00F26F01" w:rsidRPr="00C33834" w14:paraId="249AEFD2" w14:textId="77777777">
        <w:tc>
          <w:tcPr>
            <w:tcW w:w="4928" w:type="dxa"/>
          </w:tcPr>
          <w:p w14:paraId="161F164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41A651B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 кг бомб в перегрузку</w:t>
            </w:r>
          </w:p>
        </w:tc>
      </w:tr>
      <w:tr w:rsidR="00F26F01" w:rsidRPr="00C33834" w14:paraId="310724B0" w14:textId="77777777">
        <w:tc>
          <w:tcPr>
            <w:tcW w:w="4928" w:type="dxa"/>
          </w:tcPr>
          <w:p w14:paraId="66EF003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c>
          <w:tcPr>
            <w:tcW w:w="5386" w:type="dxa"/>
          </w:tcPr>
          <w:p w14:paraId="79E7146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600-800 в перегр. (техн. дальность)</w:t>
            </w:r>
          </w:p>
        </w:tc>
      </w:tr>
      <w:tr w:rsidR="00F26F01" w:rsidRPr="00C33834" w14:paraId="7884B7D4" w14:textId="77777777">
        <w:tc>
          <w:tcPr>
            <w:tcW w:w="4928" w:type="dxa"/>
          </w:tcPr>
          <w:p w14:paraId="7A17494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6A6324B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1933 года</w:t>
            </w:r>
          </w:p>
        </w:tc>
      </w:tr>
      <w:tr w:rsidR="00F26F01" w:rsidRPr="00C33834" w14:paraId="74F5CBFE" w14:textId="77777777">
        <w:tc>
          <w:tcPr>
            <w:tcW w:w="4928" w:type="dxa"/>
          </w:tcPr>
          <w:p w14:paraId="168D2C1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40E038F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129C9A0" w14:textId="77777777">
        <w:tc>
          <w:tcPr>
            <w:tcW w:w="4928" w:type="dxa"/>
          </w:tcPr>
          <w:p w14:paraId="149FC9E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511296A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9AA213D" w14:textId="77777777">
        <w:tc>
          <w:tcPr>
            <w:tcW w:w="4928" w:type="dxa"/>
          </w:tcPr>
          <w:p w14:paraId="4B28D3D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7854D63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 года</w:t>
            </w:r>
          </w:p>
        </w:tc>
      </w:tr>
    </w:tbl>
    <w:p w14:paraId="3ECA22B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самолета НИИ ГУГВФ замедлено вследствие отсутствия денежных средств. Возбуждено ходатайство о финансировании работ через РВС, решения еще нет. По проектированию работы выполнены на 70%, частично рабочие чертежи спущены в производство. Отсутствие конкретного решения по финансированию ставит исполнение задания под угрозу срыва по срокам.</w:t>
      </w:r>
    </w:p>
    <w:p w14:paraId="6BA27C2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МБР4-М34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4037FB23" w14:textId="77777777">
        <w:tc>
          <w:tcPr>
            <w:tcW w:w="4928" w:type="dxa"/>
          </w:tcPr>
          <w:p w14:paraId="5380D9E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w:t>
            </w:r>
          </w:p>
        </w:tc>
        <w:tc>
          <w:tcPr>
            <w:tcW w:w="5386" w:type="dxa"/>
          </w:tcPr>
          <w:p w14:paraId="11352E2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данные самолета С62б-АССО 750</w:t>
            </w:r>
          </w:p>
        </w:tc>
      </w:tr>
      <w:tr w:rsidR="00F26F01" w:rsidRPr="00C33834" w14:paraId="420B9D05" w14:textId="77777777">
        <w:tc>
          <w:tcPr>
            <w:tcW w:w="4928" w:type="dxa"/>
          </w:tcPr>
          <w:p w14:paraId="3EAA424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24BEAD5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21A3004" w14:textId="77777777">
        <w:tc>
          <w:tcPr>
            <w:tcW w:w="4928" w:type="dxa"/>
          </w:tcPr>
          <w:p w14:paraId="5293A32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04E7F7C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1933 года</w:t>
            </w:r>
          </w:p>
        </w:tc>
      </w:tr>
      <w:tr w:rsidR="00F26F01" w:rsidRPr="00C33834" w14:paraId="6C78BEE1" w14:textId="77777777">
        <w:tc>
          <w:tcPr>
            <w:tcW w:w="4928" w:type="dxa"/>
          </w:tcPr>
          <w:p w14:paraId="51B0DA4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08B3957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D1418BD" w14:textId="77777777">
        <w:tc>
          <w:tcPr>
            <w:tcW w:w="4928" w:type="dxa"/>
          </w:tcPr>
          <w:p w14:paraId="6F3FABB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78AC17A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марта 1933 года</w:t>
            </w:r>
          </w:p>
        </w:tc>
      </w:tr>
    </w:tbl>
    <w:p w14:paraId="0705F7F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года опытная установка мотора ЦАГИ выполнена и передана заводу N 1. К концу апреля ожидается выпуск самолета с М34 на заводские испытания. В связи с опозданием предъявления самолета на гос. испытания неизбежен срыв производства завода N 31.</w:t>
      </w:r>
    </w:p>
    <w:p w14:paraId="0B0732A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Вне плановые</w:t>
      </w:r>
    </w:p>
    <w:p w14:paraId="2E2DE0D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МБР2-М17</w:t>
      </w:r>
    </w:p>
    <w:p w14:paraId="311690B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F26F01" w:rsidRPr="00C33834" w14:paraId="2507C3D0" w14:textId="77777777">
        <w:tc>
          <w:tcPr>
            <w:tcW w:w="4928" w:type="dxa"/>
          </w:tcPr>
          <w:p w14:paraId="49BA675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 гориз. скорость на высоте</w:t>
            </w:r>
          </w:p>
        </w:tc>
        <w:tc>
          <w:tcPr>
            <w:tcW w:w="5386" w:type="dxa"/>
          </w:tcPr>
          <w:p w14:paraId="0F1B4A8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195/3000</w:t>
            </w:r>
          </w:p>
        </w:tc>
      </w:tr>
      <w:tr w:rsidR="00F26F01" w:rsidRPr="00C33834" w14:paraId="50C37894" w14:textId="77777777">
        <w:tc>
          <w:tcPr>
            <w:tcW w:w="4928" w:type="dxa"/>
          </w:tcPr>
          <w:p w14:paraId="35EFCC1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4B74894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209 у земли</w:t>
            </w:r>
          </w:p>
        </w:tc>
      </w:tr>
      <w:tr w:rsidR="00F26F01" w:rsidRPr="00C33834" w14:paraId="4033AAD5" w14:textId="77777777">
        <w:tc>
          <w:tcPr>
            <w:tcW w:w="4928" w:type="dxa"/>
          </w:tcPr>
          <w:p w14:paraId="75F5B56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высоту</w:t>
            </w:r>
          </w:p>
        </w:tc>
        <w:tc>
          <w:tcPr>
            <w:tcW w:w="5386" w:type="dxa"/>
          </w:tcPr>
          <w:p w14:paraId="6E3D495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20/3000</w:t>
            </w:r>
          </w:p>
        </w:tc>
      </w:tr>
      <w:tr w:rsidR="00F26F01" w:rsidRPr="00C33834" w14:paraId="0721535F" w14:textId="77777777">
        <w:tc>
          <w:tcPr>
            <w:tcW w:w="4928" w:type="dxa"/>
          </w:tcPr>
          <w:p w14:paraId="192D7C9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5386" w:type="dxa"/>
          </w:tcPr>
          <w:p w14:paraId="0111136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5030</w:t>
            </w:r>
          </w:p>
        </w:tc>
      </w:tr>
      <w:tr w:rsidR="00F26F01" w:rsidRPr="00C33834" w14:paraId="14DF6349" w14:textId="77777777">
        <w:tc>
          <w:tcPr>
            <w:tcW w:w="4928" w:type="dxa"/>
          </w:tcPr>
          <w:p w14:paraId="248822E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5386" w:type="dxa"/>
          </w:tcPr>
          <w:p w14:paraId="15AFD08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пул. (2 ог. точ.)</w:t>
            </w:r>
          </w:p>
        </w:tc>
      </w:tr>
      <w:tr w:rsidR="00F26F01" w:rsidRPr="00C33834" w14:paraId="6E25BA74" w14:textId="77777777">
        <w:tc>
          <w:tcPr>
            <w:tcW w:w="4928" w:type="dxa"/>
          </w:tcPr>
          <w:p w14:paraId="58F0A4F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22F6B90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 кг бомб в счет перегрузки</w:t>
            </w:r>
          </w:p>
        </w:tc>
      </w:tr>
      <w:tr w:rsidR="00F26F01" w:rsidRPr="00C33834" w14:paraId="7DF152DB" w14:textId="77777777">
        <w:tc>
          <w:tcPr>
            <w:tcW w:w="4928" w:type="dxa"/>
          </w:tcPr>
          <w:p w14:paraId="386EDDB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103C8CC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держ. на 1000 кг</w:t>
            </w:r>
          </w:p>
        </w:tc>
      </w:tr>
      <w:tr w:rsidR="00F26F01" w:rsidRPr="00C33834" w14:paraId="215593F8" w14:textId="77777777">
        <w:tc>
          <w:tcPr>
            <w:tcW w:w="4928" w:type="dxa"/>
          </w:tcPr>
          <w:p w14:paraId="2E048DFA"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c>
          <w:tcPr>
            <w:tcW w:w="5386" w:type="dxa"/>
          </w:tcPr>
          <w:p w14:paraId="7FC7716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320</w:t>
            </w:r>
          </w:p>
        </w:tc>
      </w:tr>
      <w:tr w:rsidR="00F26F01" w:rsidRPr="00C33834" w14:paraId="153AF10D" w14:textId="77777777">
        <w:tc>
          <w:tcPr>
            <w:tcW w:w="4928" w:type="dxa"/>
          </w:tcPr>
          <w:p w14:paraId="6B1A6323"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определения на гос. испытания</w:t>
            </w:r>
          </w:p>
        </w:tc>
        <w:tc>
          <w:tcPr>
            <w:tcW w:w="5386" w:type="dxa"/>
          </w:tcPr>
          <w:p w14:paraId="6E5A31F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41E544B" w14:textId="77777777">
        <w:tc>
          <w:tcPr>
            <w:tcW w:w="4928" w:type="dxa"/>
          </w:tcPr>
          <w:p w14:paraId="113E350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 КО от 4 июля 1932 года</w:t>
            </w:r>
          </w:p>
        </w:tc>
        <w:tc>
          <w:tcPr>
            <w:tcW w:w="5386" w:type="dxa"/>
          </w:tcPr>
          <w:p w14:paraId="1A83FA1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прошел в июне 1932 года</w:t>
            </w:r>
          </w:p>
        </w:tc>
      </w:tr>
      <w:tr w:rsidR="00F26F01" w:rsidRPr="00C33834" w14:paraId="0ACB14FA" w14:textId="77777777">
        <w:tc>
          <w:tcPr>
            <w:tcW w:w="4928" w:type="dxa"/>
          </w:tcPr>
          <w:p w14:paraId="2A94987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 срок предъявления промышл.</w:t>
            </w:r>
          </w:p>
        </w:tc>
        <w:tc>
          <w:tcPr>
            <w:tcW w:w="5386" w:type="dxa"/>
          </w:tcPr>
          <w:p w14:paraId="21A9D13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3CC8AA7" w14:textId="77777777">
        <w:tc>
          <w:tcPr>
            <w:tcW w:w="4928" w:type="dxa"/>
          </w:tcPr>
          <w:p w14:paraId="2BF07BE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w:t>
            </w:r>
          </w:p>
        </w:tc>
        <w:tc>
          <w:tcPr>
            <w:tcW w:w="5386" w:type="dxa"/>
          </w:tcPr>
          <w:p w14:paraId="43CF53BE"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58EFC7FD"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Предъявлено требование к бригаде ЦАГИ по доводке самолета (тех. треб. на этал. 1933 года) ЦАГИ не выполняет задания из-за отсутствия распоряжения ГУАП и прорабатывает пассажир. вариант. Необходимо распоряжение ГУАП о постройке серии на одном из заводов ГУАПа, но не на з-де N 45, который с поставленной ему программой на пассажир. вариант не справился, не говоря уже о военном, который в ГУАПе идет по 2 очереди.</w:t>
      </w:r>
    </w:p>
    <w:p w14:paraId="01D80BE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МБР4-АССО 750</w:t>
      </w:r>
    </w:p>
    <w:p w14:paraId="584D725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 данные самолета С62 бис АССО-750</w:t>
      </w:r>
    </w:p>
    <w:p w14:paraId="2E2829C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решения по устранению дефектов согласно результатов испытания с-та. Дано задание ЦАГИ и зав. N 31 о проработке вопросов по улучшению устойчивости и облегчения самолета. Работы по первому заданию выполнены на 20-25%, по второму едва только начата: недостаток внимания треста.</w:t>
      </w:r>
    </w:p>
    <w:p w14:paraId="55D7B4A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А1-М11 амфибия</w:t>
      </w:r>
    </w:p>
    <w:p w14:paraId="4F3A19B9"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летно-технические данные: испытаний в ВВС самолет не проходил</w:t>
      </w:r>
    </w:p>
    <w:p w14:paraId="02F9AAB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Предъявленный эталон в марте 1933 года отклонен НИИ ВВС вследствие наличия многих дефектов. Исправление и вторичное предъявление ожидается в апреле 1933 года (3516,56-70).</w:t>
      </w:r>
    </w:p>
    <w:p w14:paraId="3F18216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p w14:paraId="1BC53E5D" w14:textId="77777777" w:rsidR="004A63B5"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8F64222" w14:textId="77777777" w:rsidR="004A63B5" w:rsidRPr="00C33834" w:rsidRDefault="004A63B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A541614" w14:textId="77777777" w:rsidR="004A63B5" w:rsidRPr="00C33834" w:rsidRDefault="004A63B5" w:rsidP="00C33834">
      <w:pPr>
        <w:pStyle w:val="rtejustify"/>
        <w:spacing w:before="0" w:after="0"/>
        <w:rPr>
          <w:color w:val="000000" w:themeColor="text1"/>
          <w:sz w:val="16"/>
          <w:szCs w:val="16"/>
        </w:rPr>
      </w:pPr>
      <w:r w:rsidRPr="00C33834">
        <w:rPr>
          <w:rStyle w:val="af0"/>
          <w:bCs/>
          <w:i w:val="0"/>
          <w:color w:val="000000" w:themeColor="text1"/>
          <w:sz w:val="16"/>
          <w:szCs w:val="16"/>
        </w:rPr>
        <w:t>2 апреля</w:t>
      </w:r>
      <w:r w:rsidRPr="00C33834">
        <w:rPr>
          <w:color w:val="000000" w:themeColor="text1"/>
          <w:sz w:val="16"/>
          <w:szCs w:val="16"/>
        </w:rPr>
        <w:t xml:space="preserve"> 1933. Постановление СТО СССР № 11сс/о «О строительстве опытного завода № 38 ВОАО». (ГА РФ. Ф. Р</w:t>
      </w:r>
      <w:r w:rsidRPr="00C33834">
        <w:rPr>
          <w:color w:val="000000" w:themeColor="text1"/>
          <w:sz w:val="16"/>
          <w:szCs w:val="16"/>
        </w:rPr>
        <w:noBreakHyphen/>
        <w:t>8418. Оп. 28. Д. 1. Л. 95) (15460).</w:t>
      </w:r>
    </w:p>
    <w:p w14:paraId="26DFBD55" w14:textId="77777777" w:rsidR="004A63B5" w:rsidRPr="00C33834" w:rsidRDefault="004A63B5" w:rsidP="00C33834">
      <w:pPr>
        <w:pStyle w:val="rtejustify"/>
        <w:spacing w:before="0" w:after="0"/>
        <w:rPr>
          <w:color w:val="000000" w:themeColor="text1"/>
          <w:sz w:val="16"/>
          <w:szCs w:val="16"/>
        </w:rPr>
      </w:pPr>
    </w:p>
    <w:p w14:paraId="706F24F7" w14:textId="77777777" w:rsidR="004A63B5" w:rsidRPr="00C33834" w:rsidRDefault="004A63B5" w:rsidP="00C33834">
      <w:pPr>
        <w:pStyle w:val="rtejustify"/>
        <w:spacing w:before="0" w:after="0"/>
        <w:rPr>
          <w:color w:val="000000" w:themeColor="text1"/>
          <w:sz w:val="16"/>
          <w:szCs w:val="16"/>
        </w:rPr>
      </w:pPr>
      <w:r w:rsidRPr="00C33834">
        <w:rPr>
          <w:rStyle w:val="af0"/>
          <w:bCs/>
          <w:i w:val="0"/>
          <w:color w:val="000000" w:themeColor="text1"/>
          <w:sz w:val="16"/>
          <w:szCs w:val="16"/>
        </w:rPr>
        <w:t>2 апреля</w:t>
      </w:r>
      <w:r w:rsidRPr="00C33834">
        <w:rPr>
          <w:color w:val="000000" w:themeColor="text1"/>
          <w:sz w:val="16"/>
          <w:szCs w:val="16"/>
        </w:rPr>
        <w:t xml:space="preserve"> 1933. Постановление СТО СССР № 12сс/о «О программе речного судостроения на 1933 г. (спецзаказы)». (ГА РФ. Ф. Р</w:t>
      </w:r>
      <w:r w:rsidRPr="00C33834">
        <w:rPr>
          <w:color w:val="000000" w:themeColor="text1"/>
          <w:sz w:val="16"/>
          <w:szCs w:val="16"/>
        </w:rPr>
        <w:noBreakHyphen/>
        <w:t>8418. Оп. 28. Д. 1. Л. 96) (15460).</w:t>
      </w:r>
    </w:p>
    <w:p w14:paraId="72EA15AF" w14:textId="77777777" w:rsidR="004A63B5" w:rsidRPr="00C33834" w:rsidRDefault="004A63B5" w:rsidP="00C33834">
      <w:pPr>
        <w:pStyle w:val="rtejustify"/>
        <w:spacing w:before="0" w:after="0"/>
        <w:rPr>
          <w:color w:val="000000" w:themeColor="text1"/>
          <w:sz w:val="16"/>
          <w:szCs w:val="16"/>
        </w:rPr>
      </w:pPr>
    </w:p>
    <w:p w14:paraId="194EC174" w14:textId="77777777" w:rsidR="004A63B5" w:rsidRPr="00C33834" w:rsidRDefault="004A63B5" w:rsidP="00C33834">
      <w:pPr>
        <w:pStyle w:val="rtejustify"/>
        <w:spacing w:before="0" w:after="0"/>
        <w:rPr>
          <w:color w:val="000000" w:themeColor="text1"/>
          <w:sz w:val="16"/>
          <w:szCs w:val="16"/>
        </w:rPr>
      </w:pPr>
      <w:r w:rsidRPr="00C33834">
        <w:rPr>
          <w:rStyle w:val="af0"/>
          <w:bCs/>
          <w:i w:val="0"/>
          <w:color w:val="000000" w:themeColor="text1"/>
          <w:sz w:val="16"/>
          <w:szCs w:val="16"/>
        </w:rPr>
        <w:t>2 апреля</w:t>
      </w:r>
      <w:r w:rsidRPr="00C33834">
        <w:rPr>
          <w:color w:val="000000" w:themeColor="text1"/>
          <w:sz w:val="16"/>
          <w:szCs w:val="16"/>
        </w:rPr>
        <w:t xml:space="preserve"> 1933. Постановление СТО СССР № 13сс/о «О выполнении заказов на 30 малых подлодок». (ГА РФ. Ф. Р</w:t>
      </w:r>
      <w:r w:rsidRPr="00C33834">
        <w:rPr>
          <w:color w:val="000000" w:themeColor="text1"/>
          <w:sz w:val="16"/>
          <w:szCs w:val="16"/>
        </w:rPr>
        <w:noBreakHyphen/>
        <w:t>8418. Оп. 28. Д. 1. Л. 97</w:t>
      </w:r>
      <w:r w:rsidRPr="00C33834">
        <w:rPr>
          <w:color w:val="000000" w:themeColor="text1"/>
          <w:sz w:val="16"/>
          <w:szCs w:val="16"/>
        </w:rPr>
        <w:noBreakHyphen/>
        <w:t>98) (15460).</w:t>
      </w:r>
    </w:p>
    <w:p w14:paraId="7D6041C0" w14:textId="77777777" w:rsidR="004A63B5" w:rsidRPr="00C33834" w:rsidRDefault="004A63B5" w:rsidP="00C33834">
      <w:pPr>
        <w:pStyle w:val="rtejustify"/>
        <w:spacing w:before="0" w:after="0"/>
        <w:rPr>
          <w:color w:val="000000" w:themeColor="text1"/>
          <w:sz w:val="16"/>
          <w:szCs w:val="16"/>
        </w:rPr>
      </w:pPr>
    </w:p>
    <w:p w14:paraId="70C74EF2" w14:textId="77777777" w:rsidR="004A63B5" w:rsidRPr="00C33834" w:rsidRDefault="004A63B5" w:rsidP="00C33834">
      <w:pPr>
        <w:pStyle w:val="rtejustify"/>
        <w:spacing w:before="0" w:after="0"/>
        <w:rPr>
          <w:color w:val="000000" w:themeColor="text1"/>
          <w:sz w:val="16"/>
          <w:szCs w:val="16"/>
        </w:rPr>
      </w:pPr>
      <w:r w:rsidRPr="00C33834">
        <w:rPr>
          <w:rStyle w:val="af0"/>
          <w:bCs/>
          <w:i w:val="0"/>
          <w:color w:val="000000" w:themeColor="text1"/>
          <w:sz w:val="16"/>
          <w:szCs w:val="16"/>
        </w:rPr>
        <w:t>2 апреля</w:t>
      </w:r>
      <w:r w:rsidRPr="00C33834">
        <w:rPr>
          <w:color w:val="000000" w:themeColor="text1"/>
          <w:sz w:val="16"/>
          <w:szCs w:val="16"/>
        </w:rPr>
        <w:t xml:space="preserve"> 1933. Постановление СТО СССР № 14сс/о «О производственной программе Союзверфи на 1933 г.». (ГА РФ. Ф. Р</w:t>
      </w:r>
      <w:r w:rsidRPr="00C33834">
        <w:rPr>
          <w:color w:val="000000" w:themeColor="text1"/>
          <w:sz w:val="16"/>
          <w:szCs w:val="16"/>
        </w:rPr>
        <w:noBreakHyphen/>
        <w:t>8418. Оп. 28. Д. 1. Л. 99</w:t>
      </w:r>
      <w:r w:rsidRPr="00C33834">
        <w:rPr>
          <w:color w:val="000000" w:themeColor="text1"/>
          <w:sz w:val="16"/>
          <w:szCs w:val="16"/>
        </w:rPr>
        <w:noBreakHyphen/>
        <w:t>104) (15460).</w:t>
      </w:r>
    </w:p>
    <w:p w14:paraId="292C7ED8" w14:textId="77777777" w:rsidR="004A63B5" w:rsidRPr="00C33834" w:rsidRDefault="004A63B5" w:rsidP="00C33834">
      <w:pPr>
        <w:pStyle w:val="rtejustify"/>
        <w:spacing w:before="0" w:after="0"/>
        <w:rPr>
          <w:color w:val="000000" w:themeColor="text1"/>
          <w:sz w:val="16"/>
          <w:szCs w:val="16"/>
        </w:rPr>
      </w:pPr>
    </w:p>
    <w:p w14:paraId="2B0AF1B9" w14:textId="77777777" w:rsidR="004A63B5" w:rsidRPr="00C33834" w:rsidRDefault="004A63B5" w:rsidP="00C33834">
      <w:pPr>
        <w:pStyle w:val="rtejustify"/>
        <w:spacing w:before="0" w:after="0"/>
        <w:rPr>
          <w:color w:val="000000" w:themeColor="text1"/>
          <w:sz w:val="16"/>
          <w:szCs w:val="16"/>
        </w:rPr>
      </w:pPr>
      <w:r w:rsidRPr="00C33834">
        <w:rPr>
          <w:rStyle w:val="af0"/>
          <w:bCs/>
          <w:i w:val="0"/>
          <w:color w:val="000000" w:themeColor="text1"/>
          <w:sz w:val="16"/>
          <w:szCs w:val="16"/>
        </w:rPr>
        <w:t>2 апреля</w:t>
      </w:r>
      <w:r w:rsidRPr="00C33834">
        <w:rPr>
          <w:color w:val="000000" w:themeColor="text1"/>
          <w:sz w:val="16"/>
          <w:szCs w:val="16"/>
        </w:rPr>
        <w:t xml:space="preserve"> 1933. Постановление СТО СССР № 15сс/о «О нормах мобилизационных запасов для восстановления железных дорог». (ГА РФ. Ф. Р</w:t>
      </w:r>
      <w:r w:rsidRPr="00C33834">
        <w:rPr>
          <w:color w:val="000000" w:themeColor="text1"/>
          <w:sz w:val="16"/>
          <w:szCs w:val="16"/>
        </w:rPr>
        <w:noBreakHyphen/>
        <w:t>8418. Оп. 28. Д. 1. Л. 106</w:t>
      </w:r>
      <w:r w:rsidRPr="00C33834">
        <w:rPr>
          <w:color w:val="000000" w:themeColor="text1"/>
          <w:sz w:val="16"/>
          <w:szCs w:val="16"/>
        </w:rPr>
        <w:noBreakHyphen/>
        <w:t>110) (15460).</w:t>
      </w:r>
    </w:p>
    <w:p w14:paraId="5DE80419" w14:textId="77777777" w:rsidR="004A63B5" w:rsidRPr="00C33834" w:rsidRDefault="004A63B5" w:rsidP="00C33834">
      <w:pPr>
        <w:pStyle w:val="rtejustify"/>
        <w:spacing w:before="0" w:after="0"/>
        <w:rPr>
          <w:color w:val="000000" w:themeColor="text1"/>
          <w:sz w:val="16"/>
          <w:szCs w:val="16"/>
        </w:rPr>
      </w:pPr>
    </w:p>
    <w:p w14:paraId="28F20E46" w14:textId="77777777" w:rsidR="0093069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691A4913" w14:textId="77777777" w:rsidR="00930697" w:rsidRPr="00C33834" w:rsidRDefault="0093069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072603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апреля 1933 г. договором с УМА ГАУ № 204862 была оформлена и включена в план завода "Красный Путиловец" разработка опытного образца 76-мм универсальной пушки Л-3. Новый образец 76-мм универсальной пушки "Л-3" был спроектирован в КБ "Красного Путиловца" (переименованного в 1934 году в Кировский завод) под руководством Маханова. Длина ствола была уменьшена до 45 клб, но гильза была более мощная, чем у пушки обр. 1902 г. Ствол пушки двухслойный со свободной трубой, навинтным казенником и дульным тормозом. (Испытывалось не менее двух типов дульного тормоза). Нарезы постоянной крутизны, имелись стволы с крутизной в 25 клб и 20 клб. Затвор вертикальный клиновой полуавтоматический, подобный затвору 45-мм пушки большой мощности (системы Лендера). Л-3 имела оригинальные противооткатные устройства и нижний станок, которые встречались только в последующих типах Кировских пушек, если так можно выразиться "махановский почерк". Компрессор и накатник были собраны в одном агрегате, неподвижном при откате. Откат переменный, то есть зависел от угла возвышения, при угле +85 его длина 600 мм, а при 0 1300 мм. Нижний станок Л-3 имел три станины, две задние и одну съемную переднюю. На походе съемная станина крепилась к пушке. Стрельба могла вестись в двух положения: с колес с углом ГН 60 и в зенитном положении, упираясь на поддон, что обеспечивало круговой обстрел. При стрельбе с колес задние станины раздвигались на угол 60, а при зенитной стрельбе откреплялась третья станина и угол между всеми станинами становился 120. В "зенитном положении" системы ход в целом поднимался и оставался соединенным только с верхним станком. Боевая ось коленчатая. Колеса автомобильного типа с пневматическими шинами (с дополнительными ободами) (3861).</w:t>
      </w:r>
    </w:p>
    <w:p w14:paraId="2EE17FDC"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p w14:paraId="1BF2F404" w14:textId="77777777" w:rsidR="004A63B5" w:rsidRPr="00C33834" w:rsidRDefault="004A63B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3 апреля 1933 г. опытный образец 76-мм универсальной пушки Л-3 был включен в план завода «Красный путиловец» и оформлен договором с УМА ГАУ № 204862.</w:t>
      </w:r>
    </w:p>
    <w:p w14:paraId="5287EFCE" w14:textId="77777777" w:rsidR="004A63B5" w:rsidRPr="00C33834" w:rsidRDefault="004A63B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КБ «Красного путиловца» (переименованного в 1934 г. в Кировский завод) под руководством Маханова спроектировало новый образец 76-мм универсальной пушки «Л-3». Длина ствола была уменьшена до 45 клб, но гильза была более мощная, чем у пушки обр. 1902 г.</w:t>
      </w:r>
    </w:p>
    <w:p w14:paraId="44078E13" w14:textId="77777777" w:rsidR="004A63B5" w:rsidRPr="00C33834" w:rsidRDefault="004A63B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Ствол пушки двухслойный со свободной трубой, навинтным казенником и дульным тормозом. (Испытывалось не менее двух типов дульного тормоза.) Нарезы постоянной крутизны, имелись стволы с крутизной в 25 клб и 20 клб.</w:t>
      </w:r>
    </w:p>
    <w:p w14:paraId="70E23961" w14:textId="77777777" w:rsidR="004A63B5" w:rsidRPr="00C33834" w:rsidRDefault="004A63B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Затвор вертикальный клиновой полуавтоматический, подобный затвору 45-мм пушки большой мощности (системы Лендера).</w:t>
      </w:r>
    </w:p>
    <w:p w14:paraId="31C02D35" w14:textId="77777777" w:rsidR="004A63B5" w:rsidRPr="00C33834" w:rsidRDefault="004A63B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Л-3 имела оригинальные противооткатные устройства и нижний станок, которые встречались только в последующих типах кировских пушек, если так можно выразиться — «махановский почерк».</w:t>
      </w:r>
    </w:p>
    <w:p w14:paraId="3493248B" w14:textId="77777777" w:rsidR="004A63B5" w:rsidRPr="00C33834" w:rsidRDefault="004A63B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Компрессор и накатник были собраны в одном агрегате, неподвижном при откате. Откат переменный, то есть зависел от угла возвышения, при угле +85° его длина 600 мм, а при 0° — 1300 мм.</w:t>
      </w:r>
    </w:p>
    <w:p w14:paraId="0BEDBD9E" w14:textId="77777777" w:rsidR="004A63B5" w:rsidRPr="00C33834" w:rsidRDefault="004A63B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Нижний станок Л-3 имел три станины — две задние и одну съемную переднюю. На походе съемная станина крепилась к пушке. Стрельба могла вестись в двух положениях: с колес с углом ГН 60° и в зенитном положении, упираясь на поддон, что обеспечивало круговой обстрел.</w:t>
      </w:r>
    </w:p>
    <w:p w14:paraId="3A901710" w14:textId="77777777" w:rsidR="004A63B5" w:rsidRPr="00C33834" w:rsidRDefault="004A63B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стрельбе с колес задние станины раздвигались на угол 60°, а при зенитной стрельбе откреплялась третья станина, и угол между всеми станинами становился 120°. В «зенитном положении» системы ход в целом поднимался и оставался соединенным только с верхним станком.</w:t>
      </w:r>
    </w:p>
    <w:p w14:paraId="44D19149" w14:textId="77777777" w:rsidR="004A63B5" w:rsidRPr="00C33834" w:rsidRDefault="004A63B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Боевая ось коленчатая. Колеса автомобильного типа с пневматическими шинами (с дополнительными ободами).</w:t>
      </w:r>
    </w:p>
    <w:p w14:paraId="36BF7A82" w14:textId="77777777" w:rsidR="004A63B5" w:rsidRPr="00C33834" w:rsidRDefault="004A63B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Заводские испытания опытного образца 76-мм пушки Л-3 проходили на НИАПе с 19 декабря 1934 г. по 25 января 1935 г.</w:t>
      </w:r>
    </w:p>
    <w:p w14:paraId="6ACB90A9" w14:textId="77777777" w:rsidR="004A63B5" w:rsidRPr="00C33834" w:rsidRDefault="004A63B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ходе стрельбы отмечены прорыв газов в затворе и повреждения ударника. Меткость неудовлетворительная. После доработок на заводе Л-3 23 мая 1935 г. вновь попала на НИАП для повторных испытаний. При стрельбе снарядом весом 7,1 кг начальная скорость 720 м/с, а дальность 13942 м.</w:t>
      </w:r>
    </w:p>
    <w:p w14:paraId="1E798F85" w14:textId="77777777" w:rsidR="004A63B5" w:rsidRPr="00C33834" w:rsidRDefault="004A63B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вооружение Л-3 принята не была (15117).</w:t>
      </w:r>
    </w:p>
    <w:p w14:paraId="388398FD" w14:textId="77777777" w:rsidR="004A63B5" w:rsidRPr="00C33834" w:rsidRDefault="004A63B5" w:rsidP="00C33834">
      <w:pPr>
        <w:spacing w:after="0" w:line="240" w:lineRule="auto"/>
        <w:jc w:val="both"/>
        <w:rPr>
          <w:rFonts w:ascii="Times New Roman" w:hAnsi="Times New Roman"/>
          <w:color w:val="000000" w:themeColor="text1"/>
          <w:sz w:val="16"/>
          <w:szCs w:val="16"/>
        </w:rPr>
      </w:pPr>
    </w:p>
    <w:p w14:paraId="2B90FA2D" w14:textId="77777777" w:rsidR="005D434A" w:rsidRPr="00C33834" w:rsidRDefault="005D434A" w:rsidP="00C33834">
      <w:pPr>
        <w:pStyle w:val="rtejustify"/>
        <w:spacing w:before="0" w:after="0"/>
        <w:rPr>
          <w:color w:val="000000" w:themeColor="text1"/>
          <w:sz w:val="16"/>
          <w:szCs w:val="16"/>
        </w:rPr>
      </w:pPr>
      <w:r w:rsidRPr="00C33834">
        <w:rPr>
          <w:rStyle w:val="af0"/>
          <w:bCs/>
          <w:i w:val="0"/>
          <w:color w:val="000000" w:themeColor="text1"/>
          <w:sz w:val="16"/>
          <w:szCs w:val="16"/>
        </w:rPr>
        <w:t>3/4 апреля 1933 вышел приказ НКТП № 37с.</w:t>
      </w:r>
      <w:r w:rsidRPr="00C33834">
        <w:rPr>
          <w:color w:val="000000" w:themeColor="text1"/>
          <w:sz w:val="16"/>
          <w:szCs w:val="16"/>
        </w:rPr>
        <w:t xml:space="preserve"> Об улучшении работы и реконструкции Ижевского завода. (РГАЭ. Ф. 7297. Оп. 38. Д. 35. Л. 27</w:t>
      </w:r>
      <w:r w:rsidRPr="00C33834">
        <w:rPr>
          <w:color w:val="000000" w:themeColor="text1"/>
          <w:sz w:val="16"/>
          <w:szCs w:val="16"/>
        </w:rPr>
        <w:noBreakHyphen/>
        <w:t>23) (15246).</w:t>
      </w:r>
    </w:p>
    <w:p w14:paraId="73DA6923" w14:textId="77777777" w:rsidR="005D434A" w:rsidRPr="00C33834" w:rsidRDefault="005D434A" w:rsidP="00C33834">
      <w:pPr>
        <w:pStyle w:val="rtejustify"/>
        <w:spacing w:before="0" w:after="0"/>
        <w:rPr>
          <w:color w:val="000000" w:themeColor="text1"/>
          <w:sz w:val="16"/>
          <w:szCs w:val="16"/>
        </w:rPr>
      </w:pPr>
    </w:p>
    <w:p w14:paraId="1D0046EC" w14:textId="77777777" w:rsidR="0093069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2EAD9218"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p w14:paraId="7779DBB7" w14:textId="77777777" w:rsidR="002C7BF8" w:rsidRPr="00C33834" w:rsidRDefault="002C7BF8"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3 апреля 1933 Совнарком СССР утвердил предложение ГУСМП: «1. Предложить Главному управлению Северного морского пути под личным руководством т. Шмидта О.Ю. повторить в 1933 году сплошное плавание по Ледовитому океану. 2. Обязать Главное управление Северного морского пути на том же пароходе выполнить задачу снабжения о. Врангеля (продовольствие, оборудование, персонал радиостанции и т. д.) и вывоз с острова Врангеля пушнины» (20467).</w:t>
      </w:r>
    </w:p>
    <w:p w14:paraId="18EF0307" w14:textId="77777777" w:rsidR="002C7BF8" w:rsidRPr="00C33834" w:rsidRDefault="002C7BF8" w:rsidP="00C33834">
      <w:pPr>
        <w:spacing w:after="0" w:line="240" w:lineRule="auto"/>
        <w:jc w:val="both"/>
        <w:rPr>
          <w:rFonts w:ascii="Times New Roman" w:hAnsi="Times New Roman"/>
          <w:color w:val="0070C0"/>
          <w:sz w:val="16"/>
          <w:szCs w:val="16"/>
        </w:rPr>
      </w:pPr>
    </w:p>
    <w:p w14:paraId="2453EDA6" w14:textId="77777777" w:rsidR="002C7BF8" w:rsidRPr="00C33834" w:rsidRDefault="002C7BF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апреля 1933 года русский хирург Юрий Юрьевич Вороной провел первую в мире операцию по пересадке почки (21177).</w:t>
      </w:r>
    </w:p>
    <w:p w14:paraId="42D0C56F" w14:textId="77777777" w:rsidR="002C7BF8" w:rsidRPr="00C33834" w:rsidRDefault="002C7BF8" w:rsidP="00C33834">
      <w:pPr>
        <w:spacing w:after="0" w:line="240" w:lineRule="auto"/>
        <w:jc w:val="both"/>
        <w:rPr>
          <w:rFonts w:ascii="Times New Roman" w:hAnsi="Times New Roman"/>
          <w:color w:val="0070C0"/>
          <w:sz w:val="16"/>
          <w:szCs w:val="16"/>
        </w:rPr>
      </w:pPr>
    </w:p>
    <w:p w14:paraId="53CA6BB3" w14:textId="77777777" w:rsidR="004A63B5" w:rsidRPr="00C33834" w:rsidRDefault="004A63B5"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3 апреля</w:t>
      </w:r>
      <w:r w:rsidRPr="00C33834">
        <w:rPr>
          <w:rFonts w:ascii="Times New Roman" w:hAnsi="Times New Roman"/>
          <w:color w:val="000000" w:themeColor="text1"/>
          <w:sz w:val="16"/>
          <w:szCs w:val="16"/>
        </w:rPr>
        <w:t xml:space="preserve"> в 1933 году советский хирург Юрий Вороной впервые в мире провел в клинике операцию по трансплантации почки. 26-летняя женщина, которой пересадили почку умершего 60-летнего мужчины, прожила с донорской почкой более двух суток. Этим был открыт современный этап развития трансплантологии, связанный с пересадками жизненно важных органов больным (15088).</w:t>
      </w:r>
    </w:p>
    <w:p w14:paraId="179288B9" w14:textId="77777777" w:rsidR="004A63B5" w:rsidRPr="00C33834" w:rsidRDefault="004A63B5" w:rsidP="00C33834">
      <w:pPr>
        <w:spacing w:after="0" w:line="240" w:lineRule="auto"/>
        <w:jc w:val="both"/>
        <w:rPr>
          <w:rFonts w:ascii="Times New Roman" w:hAnsi="Times New Roman"/>
          <w:color w:val="000000" w:themeColor="text1"/>
          <w:sz w:val="16"/>
          <w:szCs w:val="16"/>
        </w:rPr>
      </w:pPr>
    </w:p>
    <w:p w14:paraId="6B93DAC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апреля 1933 года приказом по лагерю № 72 регламентировался «Порядок предоставления свиданий», согласно которому «свидание заключенным [так] с родственниками является высшей формой поощрения лагерника за безукоризненное и примерное поведение и хорошую, добросовестную работу», предоставляется «только тем заключенным, которые... зарекомендовали себя исключительно добросовестными работниками-ударниками», и «дает право совместного проживания с семьей или родственниками на частной квартире или в специально отведенном помещении «Дома для приезжающих»» (7560).</w:t>
      </w:r>
    </w:p>
    <w:p w14:paraId="223BE4C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p w14:paraId="6EC43E7E" w14:textId="77777777" w:rsidR="0093069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799E5B4F" w14:textId="77777777" w:rsidR="00930697" w:rsidRPr="00C33834" w:rsidRDefault="0093069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B21E97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апреля 1933 г. Военным атташе Германии в Москве был назначен полковник О. Хартман, которого посол Дирксен представил первому заместителю наркома иностранных дел СССР Крестинскому. Крестинский заявил военному атташе: «Тесное сотрудничество между рейхсвером и Красной Армией продолжается уже более 10 лет. Я был у колыбели этого сотрудничества, продолжаю все время ему содействовать и хорошо знаком со всеми этапами развития этого сотрудничества, со всеми моментами улучшения и ухудшения отношений, и я должен сказать &lt;...&gt;, что никогда эти отношения не осуществлялись в столь тяжелой общеполитической атмосфере, чем сегодня». Крестинский говорил о многочисленных случаях насилия над гражданами СССР, «чинимых в Германии национал-социалистическими штурмовиками, а во многих случаях и органами полиции». Он напомнил об инцидентах с обысками гамбургского и ляйпцигского отделений советского торгпредства, о повальных обысках приходивших в Гамбург советских судах, о «настоящем походе» против общества «Дероп» по продаже советских нефтяных продуктов, правление и отделения которого в Берлине, Кельне, Дрездене, Штуттгарте, Мюнхене и других городах Германии подвергались многочисленным налетам и обыскам, в ходе которых производились аресты сотрудников, в том числе советских граждан, «которые подвергались грубейшим насилиям и издевательствам, и в конце концов освобождались ввиду полной неосновательности их ареста». Налетам и разграблениям подвергались и пункты розничной продажи бензина, принадлежавшие «Деропу», причем в некоторых случаях бензин «забирался бесплатно приезжавшими на автомобилях штурмовиками, в других случаях бензин просто выпускался, были случаи порчи и разрушения бензоколонок Деропа». В этой связи Крестинский напомнил Хартману, что «отношения между двумя государствами не укладываются в ведомственные рамки. Не может быть такого положения, при котором между военным министерством Германии и Народным комиссариатом по военным делам в СССР существуют отношения дружбы и сотрудничества, а другие правительственные органы Германии проводят по отношению к СССР враждебную политику, выражающуюся в насилиях над нашими гражданами, в налетах на наши органы и других эксцессах». Далее в довольно ультимативной форме Крестинский заявил: «Если Германия действительно хочет сохранить с СССР те отношения, о которых говорил рейхсканцлер и которые издавна существуют между военными ведомствами обеих стран, необходимо, чтобы правительство железной рукой немедленно положило конец всем этим эксцессам. У правительства есть для этого достаточно силы, надо лишь, чтобы было и достаточно желания. Если же правительство не вмешается и безобразия по отношению к СССР будут продолжаться, то я думаю, г. Гартман (Хартман.) понимает, что и его работа здесь будет сильно затруднена». Крестинский потребовал от Хартмана «немедленно через своего министра (В. фон Бломберг.) указать правительству на трудности создавшегося положения и создать в Германии благоприятный тыл для своей московской работы» (АВП РФ, ф. 082, оп. 16, п. 71, д. 1, л. 261-267.). При этом Крестинский намеренно обращался не к послу Дирксену, а к военному атташе с тем, чтобы его «заявление и предостережения были обязательно переданы в Берлин и по военной линии» (В ответ Хартман заявил, что «военное ведомство Германии, как один человек, стоит за сохранение дружеских отношений с СССР и что военный министр Бломберг в этом духе выступает на заседаниях правительства».). Другими словами, терпение в Москве было уже на пределе. И оно лопнуло. Спустя несколько дней, 8 апреля 1933 г. в Москву прибыл первый французский военный атташе полковник Мендрас, дружески принятый Ворошиловым, Егоровым и Литвиновым (В мае 1933 г. во Францию прибыл первый советский военный атташе комдив С. И. Венцов. Он довольно быстро наладил хорошие отношения с представителями французских военных кругов. В августе-сентябре 1933 г. СССР посетил видный французский государственный деятель Э. Эррио. Ему был показан ряд военных, в т. ч. авиационных, объектов. В сентябре 1933 г. в СССР нанес визит военный министр Франции П. Кот. Он посетил Киев, Харьков, Москву, авиационный завод в Филях и завод по производству авиамоторов. В начале 1934 г. произошел обмен военно-воздушными атташе. При этом «французов не оставляло ощущение, что инициатива к сближению исходила от советской стороны». (Подробнее см.: Орлов Б. М. Указ, соч.).) (11784).</w:t>
      </w:r>
    </w:p>
    <w:p w14:paraId="6F079A74"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p w14:paraId="11BD54DF" w14:textId="77777777" w:rsidR="0093069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276DA4E3" w14:textId="77777777" w:rsidR="00930697" w:rsidRPr="00C33834" w:rsidRDefault="0093069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45B62F2"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 апреля 1933 года в 19.30 дирижабль Акрон под командованием Франка С. Мак-Корда вылетел из Лейкхерста, чтобы принять участие в морских маневрах в Атлантическом океане. На борту находились 76 человек экипажа (19 офицеров и 57 матросов), адмирал Моффетт, его адъютант капитан Сессиль, начальник авиационной базы Дерри и капитан Мазури. До 1.30 ночи в Лейкхерсте исправно получали донесения с воздушного корабля, который в момент передачи очередного сообщения находился севернее Нью-Йорка на траверзе Новой Англии. </w:t>
      </w:r>
    </w:p>
    <w:p w14:paraId="30EFA68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Почти с самого начала полет проходил в сложных метеорологических условиях. Дирижабль непрерывно подвергался ударам мощных порывов ветра. Поскольку впереди по курсу находилась зона сильного шторма, на борт было передано распоряжение об изменении курса на 15°. Однако его неправильно поняли и изменили курс на 50°. В английском языке слова «пятнадцать» (fifteen) и «пятьдесят» (fifty) имеют схожее звучание. В результате этой ошибки дирижабль вошел в самый центр шквала, рожденного горизонтальным вихрем. Высота полета составляла около 500 м. Внезапно дирижабль начал быстро снижаться, однако после сброса части балласта на высоте 250 м удалось остановить спуск и затем набрать прежнюю высоту. Еще через 3 минуты, когда ZRS-4 проходил через центр вихря, с него сорвало верхний руль направления, после чего корабль опустил нос и начался быстрый повторный спуск. </w:t>
      </w:r>
    </w:p>
    <w:p w14:paraId="74D4168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xml:space="preserve">Как утверждал спасшийся помощник командира капитан Герберт Уайли: ни пожара, ни взрыва на дирижабле не было, все двигатели работали нормально до самого последнего момента. Отрицательный дифферент достигал 20°, скорость снижения превышала 4 м/с. Попытки остановить спуск посредством отклонения руля высоты оказались безрезультатными. По-видимому, сорванная плоскость руля направления так легла на руль высоты, что последний оказался практически заклиненным. За полторы минуты дирижабль снизился до 120 м, т. е. находился на высоте, равной всего половине его длины. На высоте 30 м, когда стало ясно, что спуск остановить не удастся, была отдана команда готовиться к посадке на воду. После этого последовал сильный удар о поверхность океана, послуживший началом разрушения дирижабля, вода хлынула внутрь командирской рубки. Сам Герберт Уайли, по его словам, был выброшен в море и напрягая силы поплыл в сторону, чтобы не попасть под корпус тонущего корабля. Молнии освещали место катастрофы, но Уайли не видел никого из экипажа, а лишь слышал крики. Он ухватился за обломок доски и держался на воде. Дирижабль очень быстро затонул. Благодаря [439] тому что несущим газом на ZRS-4 был гелий, пожара, как это случилось при катастрофе R.101, не произошло. </w:t>
      </w:r>
    </w:p>
    <w:p w14:paraId="07712D8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Свидетелем крушения оказалась команда немецкого нефтеналивного судна «Фебус», которая заметила сначала огни находившегося на высоте дирижабля, а затем через некоторое время эти же огни — у самой воды. «Фебус» выдал сигнал «SOS» и приступил к спасательным работам. Но избавить от гибели ему удалось только четверых человек, из которых один позже умер. Несмотря на то что в спасательных работах приняли участие 52 судна и самолеты, никого больше не обнаружили. </w:t>
      </w:r>
    </w:p>
    <w:p w14:paraId="1BED8BD0"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Кроме того, в этот день вблизи Бич-Хейвена (Нью-Джерси), во время поиска уцелевших с «Акрона», потерпел аварию дирижабль J-3, вылетевший из Лейкхерста. Мягкий дирижабль J-3 построен в 1927 году. Его объем 1500 куб. м, длина 32,3 м, мидель 9,45 м, полезная нагрузка 480 кг, мощность мотора 60 л. с. С такими летно-техническими данными этот корабль не мог быть отправлен в полет во время шторма с экипажем в 6 человек на борту. Итак, к длинному списку погибших прибавилось еще две жертвы. </w:t>
      </w:r>
    </w:p>
    <w:p w14:paraId="03195B4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Объяснение крушения такого совершенного для своего времени дирижабля только ошибкой пилотирования, приведшей к полету в чрезвычайно тяжелых метеорологических условиях, малоубедительно, тем более, что все двигатели вплоть до удара о водную поверхность работали нормально. Условия сильного шторма, несомненно, способствовали катастрофе, но основные ее причины заключались не в этом. В схожие погодные условия попал и LZ-127 во время одного из перелетов через Атлантику в 1928 году. В ночь гибели R.101 дирижабль LZ-127, находившийся в это время в воздухе, успешно завершил полет, проходивший в сложной метеорологической обстановке.</w:t>
      </w:r>
    </w:p>
    <w:p w14:paraId="7ECF1C16"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Американское общество находилось в шоке из-за гибели дирижабля, бывшего символом страны. Руководство ВМС, а за ними и конгресс тщательно расследовали все обстоятельства катастрофы; комиссии отмечали, что в рабочих чертежах дирижабля было обнаружено около 600 дефектов. Качество материала, использованного в [440] отдельных элементах конструкции, также было признано неудовлетворительным. Дополнительным отягощающим фактором выступала и слишком малая высота полета. К тому же команда о посадке на воду была отдана слишком поздно. Большая доля вины была возложена на погибшего командира Мак-Корда, грубые навигационные ошибки которого, неуверенное управление дирижаблем и безответственное отношение к вопросу спасения экипажа в аварийной ситуации привели к гибели экипажа и воздушного корабля. На борту практически отсутствовали какие бы то ни было спасательные средства — имелась только одна резиновая лодка и совершенно не было индивидуальных спасательных жилетов. Итак, основные причины катастрофы — недостаточная прочность конструкции и ошибки пилотирования. В целом карьера ZRS-4 сопровождалась многими проблемами. Воздушный гигант, который должен был служить примером использования столь необходимых современных дирижаблей для ведения военно-морских операций, в конце концов просто разочаровал. До момента катастрофы корабль совершил 73 вылета и находился в воздухе 1659 часов, причем ни один из случаев его взаимодействия с кораблями ВМФ нельзя было отнести к бесспорным удачам. </w:t>
      </w:r>
    </w:p>
    <w:p w14:paraId="6A7576C5"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результате трагедии с «Акроном» настроения против развертывания дирижаблестроения одно время захватили даже правительственные круги. Так, морской министр США Свенсон выступил с заявлением, что в настоящее время не предполагается строить новых больших дирижаблей, так как первенствующей проблемой является модернизация крейсеров. Тем не менее морское министерство, долго занимавшее сдержанную позицию, было вынуждено под влиянием лихорадочного вооружения Японии высказаться за постройку двух новых дирижаблей для трансокеанских рейсов и для сообщения с Южной Америкой. </w:t>
      </w:r>
    </w:p>
    <w:p w14:paraId="375A615F"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Заместитель морского министра обратился к администрации общественных работ с заявлением о необходимости ассигнования средств на указанные линии, в том числе и на строительство баз на Гавайских и Филиппинских островах. Вполне естественно, что в первые дни после катастрофы очень многие считали нецелесообразным дальнейшее строительство дирижаблей, но в специальной прессе отмечалось, что нельзя делать такие скорополительные заключения, которые неблагоприятно повлияют на дальнейшее опытное строительство дирижаблей. Тем более, что в США было построено всего около 140 дирижаблей. Редакционная статья «Дирижабль — в воздух!» в журнале «U.S. Air Service» (1933. № 5) констатировала, что дело строительства дирижаблей не умерло и что в случае с «Акроном» имело место лишь ошибка. Поскольку гибель «Акрона» заинтересовала прессу и правительственные органы всех [441] стран, в особенности строящих дирижабли, приведем заключение комиссии: она рекомендовала морскому ведомству США поддерживать развитие дирижаблестроения и продолжать его, а также высказалась за необходимость постройки нового дирижабля вместо погибшего и предложила ввести в строй дирижабль «Лос-Анджелес» для тренировки кадров, пока не будет построен новый учебный воздушный корабль. Комиссия признала причиной гибели полет дирижабля в особо трудных метеорологических условиях (11324).</w:t>
      </w:r>
    </w:p>
    <w:p w14:paraId="21565261"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p w14:paraId="07A3170D" w14:textId="77777777" w:rsidR="00CB3050" w:rsidRPr="00C33834" w:rsidRDefault="00CB305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апреля 1933 г. дирижабль Акрон, построеннный в 1931, попал в шторм в открытом океане и разрушился в воздухе (15834).</w:t>
      </w:r>
    </w:p>
    <w:p w14:paraId="16B80FF6" w14:textId="77777777" w:rsidR="00CB3050" w:rsidRPr="00C33834" w:rsidRDefault="00CB3050" w:rsidP="00C33834">
      <w:pPr>
        <w:spacing w:after="0" w:line="240" w:lineRule="auto"/>
        <w:jc w:val="both"/>
        <w:rPr>
          <w:rFonts w:ascii="Times New Roman" w:hAnsi="Times New Roman"/>
          <w:color w:val="000000" w:themeColor="text1"/>
          <w:sz w:val="16"/>
          <w:szCs w:val="16"/>
        </w:rPr>
      </w:pPr>
    </w:p>
    <w:p w14:paraId="2E4919B9" w14:textId="77777777" w:rsidR="005D434A" w:rsidRPr="00C33834" w:rsidRDefault="005D434A"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3 апреля</w:t>
      </w:r>
      <w:r w:rsidRPr="00C33834">
        <w:rPr>
          <w:rFonts w:ascii="Times New Roman" w:hAnsi="Times New Roman"/>
          <w:color w:val="000000" w:themeColor="text1"/>
          <w:sz w:val="16"/>
          <w:szCs w:val="16"/>
        </w:rPr>
        <w:t xml:space="preserve"> в 1933 году поршневой самолет впервые перелетел через Эверест. В ноябре 1932 года поступило предложение от Географического общества Великобритании, предложившего фирме «Westland» использовать самолет «PV.3» (совестно с еще одним опытным – «PV.6») для экспедиции на Эверест. Для этой цели самолет модернизировали - установив двигатель «Pegasus» «IS3» мощностью 630 л.с. и сделав заднюю кабину закрытой. При этом «PV.3» был выдан гражданский регистрационный номер G-ACAZ. Опытный «PV.6», известный как "Хаустон Уоллэс", с гражданским обозначением G-ACBR в апреле 1933 года совершила первые полеты над самой высокой горой мира -Джомолунгмой (Эверестом). Для Гималайской экспедиции 1933 г. его переделали в высотный аэрофотосъемочный самолет. На месте стрелковой установки оборудовали закрытую кабину для фотографа с открывающимися окнами в полу и потолке. Кабины экипажа не отапливались - электричество грело кислородную аппаратуру, фотоаппараты и комбинезоны летчиков. Двигатель заменили на специальный высотный "Пегасус IS-3" мощностью 650 л.с, а для экономии веса обтекатели колес сняли. В ходе первого полета 3 апреля облачность не дала сделать снимок вершины. Зато 19 апреля экипаж вернулся с несколькими отснятыми пленками. Конечно, этот полет имел больше спортивное, чем практическое значение. Куда больше пользы принесла систематическая съемка прилегающих горных районов, позволившая составить их топографическую карту (15088).</w:t>
      </w:r>
    </w:p>
    <w:p w14:paraId="456CA161" w14:textId="77777777" w:rsidR="005D434A" w:rsidRPr="00C33834" w:rsidRDefault="005D434A" w:rsidP="00C33834">
      <w:pPr>
        <w:spacing w:after="0" w:line="240" w:lineRule="auto"/>
        <w:jc w:val="both"/>
        <w:rPr>
          <w:rFonts w:ascii="Times New Roman" w:hAnsi="Times New Roman"/>
          <w:color w:val="000000" w:themeColor="text1"/>
          <w:sz w:val="16"/>
          <w:szCs w:val="16"/>
        </w:rPr>
      </w:pPr>
    </w:p>
    <w:p w14:paraId="7377D18A" w14:textId="77777777" w:rsidR="00930697" w:rsidRPr="00C33834" w:rsidRDefault="00930697"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апреля 1933 четыре английские летчика на двух бипланах совершили первый в мире полет над Эверестом (4962).</w:t>
      </w:r>
    </w:p>
    <w:p w14:paraId="56AE8A07" w14:textId="77777777" w:rsidR="00930697" w:rsidRPr="00C33834" w:rsidRDefault="00930697"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F201CB"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апреля 1933 самолет впервые пролетел над Эверестом (3263,160).</w:t>
      </w:r>
    </w:p>
    <w:p w14:paraId="5F3B74A7" w14:textId="77777777" w:rsidR="00930697" w:rsidRPr="00C33834" w:rsidRDefault="00930697" w:rsidP="00C33834">
      <w:pPr>
        <w:autoSpaceDE w:val="0"/>
        <w:autoSpaceDN w:val="0"/>
        <w:adjustRightInd w:val="0"/>
        <w:spacing w:after="0" w:line="240" w:lineRule="auto"/>
        <w:jc w:val="both"/>
        <w:rPr>
          <w:rFonts w:ascii="Times New Roman" w:hAnsi="Times New Roman"/>
          <w:color w:val="000000" w:themeColor="text1"/>
          <w:sz w:val="16"/>
          <w:szCs w:val="16"/>
        </w:rPr>
      </w:pPr>
    </w:p>
    <w:p w14:paraId="445BA408" w14:textId="77777777" w:rsidR="006A681E" w:rsidRPr="00C33834" w:rsidRDefault="006A681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апреля 1933 два британских самолета - Westland PV-3 и Westland PV-6, пилотируемые Squadron Leader маркизм Клайдсдейл и лейтенантом Дэвидом Макинтайр, выполнили первый полет над Эверестом (20802).</w:t>
      </w:r>
    </w:p>
    <w:p w14:paraId="0AB0AA1D" w14:textId="77777777" w:rsidR="006A681E" w:rsidRPr="00C33834" w:rsidRDefault="006A681E" w:rsidP="00C33834">
      <w:pPr>
        <w:spacing w:after="0" w:line="240" w:lineRule="auto"/>
        <w:jc w:val="both"/>
        <w:rPr>
          <w:rFonts w:ascii="Times New Roman" w:hAnsi="Times New Roman"/>
          <w:color w:val="0070C0"/>
          <w:sz w:val="16"/>
          <w:szCs w:val="16"/>
        </w:rPr>
      </w:pPr>
    </w:p>
    <w:p w14:paraId="367AE0E5" w14:textId="77777777" w:rsidR="006A681E" w:rsidRPr="00C33834" w:rsidRDefault="006A681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апреля 1933 года — первый высотный авиаперелёт над горой Эверест. /Великобритания/</w:t>
      </w:r>
    </w:p>
    <w:p w14:paraId="23127A2C" w14:textId="77777777" w:rsidR="006A681E" w:rsidRPr="00C33834" w:rsidRDefault="006A681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Ещё в 1918 году альпинист Александр Келлас (Alexander Kellas) описал идею воздушной экспедиции на Эверест в статье "The Possibility of Aerial Reconnaissance in the Himalaya". 14 лет спустя офицер Королевских ВВС Великобритании Дуглас Дуглас-Гамильтон (Douglas Douglas-Hamilton), лорд Клайдсдейл, задумал воплотить идею в жизнь. Он собирался проверить высотные характеристики самолётов и оценить способность пилотов выполнять полёты на большой высоте.</w:t>
      </w:r>
    </w:p>
    <w:p w14:paraId="16E5C0AE" w14:textId="77777777" w:rsidR="006A681E" w:rsidRPr="00C33834" w:rsidRDefault="006A681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Для экспедиции специально подготовили 2 биплана Westland — PV-3 с б/н G-ACAZ и PV-6 Wallace с б/н G-ACBR. В первом летели лорд Клайдсдейл и наблюдатель Стюарт Блэкер (Stewart Blacker), во втором — пилот Дэвид Макинтайр (David McIntyre) и фотограф Сидни Боннет (Sidney Bonnett).</w:t>
      </w:r>
    </w:p>
    <w:p w14:paraId="071D8CC2" w14:textId="77777777" w:rsidR="006A681E" w:rsidRPr="00C33834" w:rsidRDefault="006A681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Стартовав в 8:25 из города Пурния на севере Индии, авиаторы вернулись обратно через 3 часа. Они смогли подняться на высоту 9753 метра, перелететь Эверест и сфотографировать его (22300).</w:t>
      </w:r>
    </w:p>
    <w:p w14:paraId="13ADB523" w14:textId="77777777" w:rsidR="006A681E" w:rsidRPr="00C33834" w:rsidRDefault="006A681E" w:rsidP="00C33834">
      <w:pPr>
        <w:spacing w:after="0" w:line="240" w:lineRule="auto"/>
        <w:jc w:val="both"/>
        <w:rPr>
          <w:rFonts w:ascii="Times New Roman" w:hAnsi="Times New Roman"/>
          <w:color w:val="0070C0"/>
          <w:sz w:val="16"/>
          <w:szCs w:val="16"/>
        </w:rPr>
      </w:pPr>
    </w:p>
    <w:p w14:paraId="0A0ABE35" w14:textId="77777777" w:rsidR="006A681E" w:rsidRPr="00C33834" w:rsidRDefault="006A681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xml:space="preserve">3 апреля 1933  Royal Air Force восстанавливает эскадрон, увеличенный от девяти до 12 самолетов в качестве основной организационной единицы для самолетов авианосцев Королевских ВМС, сохраняя шестисамолоетный состав в качестве основной организационной единицы только для самолетов, предназначенных для работы с линкоров и крейсеров с катапульты (20802). </w:t>
      </w:r>
    </w:p>
    <w:p w14:paraId="592FBD76" w14:textId="77777777" w:rsidR="006A681E" w:rsidRPr="00C33834" w:rsidRDefault="006A681E" w:rsidP="00C33834">
      <w:pPr>
        <w:spacing w:after="0" w:line="240" w:lineRule="auto"/>
        <w:jc w:val="both"/>
        <w:rPr>
          <w:rFonts w:ascii="Times New Roman" w:hAnsi="Times New Roman"/>
          <w:color w:val="0070C0"/>
          <w:sz w:val="16"/>
          <w:szCs w:val="16"/>
        </w:rPr>
      </w:pPr>
    </w:p>
    <w:p w14:paraId="06F71572"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FFE6F22"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6EFA587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апреля 1933 был утвержден макет МК-1 6М-34Р (2305,43).</w:t>
      </w:r>
    </w:p>
    <w:p w14:paraId="151FF93D"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06A95B53" w14:textId="77777777" w:rsidR="008E7A66" w:rsidRPr="00C33834" w:rsidRDefault="008E7A66"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4 апреля 1933 года на основании постановления Коллегии Аэрофлота СССР был создан Дирижаблестроительный учебный комбинат путем слияния Московского Дирижаблестроительного института, факультета дирижаблестроения Ленинградского учебного комбината ГВФ и Воздухоплавательной школы Дирижаблестроения. </w:t>
      </w:r>
    </w:p>
    <w:p w14:paraId="2A21418A" w14:textId="77777777" w:rsidR="008E7A66" w:rsidRPr="00C33834" w:rsidRDefault="008E7A66"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lastRenderedPageBreak/>
        <w:t xml:space="preserve">20 сентября 1935 года Постановлением Правительства СССР Дирижаблестроительному учебному комбинату Гражданского воздушного флота присвоено имя К. Э. Циолковского. </w:t>
      </w:r>
    </w:p>
    <w:p w14:paraId="58DC226C" w14:textId="77777777" w:rsidR="008E7A66" w:rsidRPr="00C33834" w:rsidRDefault="008E7A66"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8 мая 1939 года Совет Народных Комиссаров Союза ССР своим решением № УД-200-1 разрешил реорганизовать Московский Дирижаблестроительный институт имени К. Э. Циолковского в Московский институт инженеров Гражданского воздушного флота имени К. Э. Циолковского.</w:t>
      </w:r>
    </w:p>
    <w:p w14:paraId="10217A87" w14:textId="77777777" w:rsidR="008E7A66" w:rsidRPr="00C33834" w:rsidRDefault="008E7A66"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Постановлением ЦК ВКП (б) и Совета Народных Комиссаров СССР от 17 июня 1940 года № 1050 Московский институт инженеров Гражданского воздушного флота имени К. Э. Циолковского передан Наркомату авиационной промышлен В соответствии с постановлением Совета Министров РСФСР от 10 сентября 1973 года № 478 Московскому авиационному технологическому институту присвоено имя К. Э. Циолковского. передан Наркомату авиационной промышленности и на его базе создан Московский авиационный технологический институт (11269).</w:t>
      </w:r>
    </w:p>
    <w:p w14:paraId="6F665918"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p>
    <w:p w14:paraId="3960A7FE" w14:textId="77777777" w:rsidR="002453E1" w:rsidRPr="00C33834" w:rsidRDefault="002453E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апреля 1933 г. коллегия ГУ ГВФ постанови</w:t>
      </w:r>
      <w:r w:rsidRPr="00C33834">
        <w:rPr>
          <w:rFonts w:ascii="Times New Roman" w:hAnsi="Times New Roman"/>
          <w:color w:val="0070C0"/>
          <w:sz w:val="16"/>
          <w:szCs w:val="16"/>
        </w:rPr>
        <w:softHyphen/>
        <w:t>ла организовать Дирижаблестроительный учеб</w:t>
      </w:r>
      <w:r w:rsidRPr="00C33834">
        <w:rPr>
          <w:rFonts w:ascii="Times New Roman" w:hAnsi="Times New Roman"/>
          <w:color w:val="0070C0"/>
          <w:sz w:val="16"/>
          <w:szCs w:val="16"/>
        </w:rPr>
        <w:softHyphen/>
        <w:t>ный комбинат (ДУК) на основе Московского дирижаблестроительного института и Воздухо</w:t>
      </w:r>
      <w:r w:rsidRPr="00C33834">
        <w:rPr>
          <w:rFonts w:ascii="Times New Roman" w:hAnsi="Times New Roman"/>
          <w:color w:val="0070C0"/>
          <w:sz w:val="16"/>
          <w:szCs w:val="16"/>
        </w:rPr>
        <w:softHyphen/>
        <w:t>плавательной школы «Дирижаблестроя». Пер</w:t>
      </w:r>
      <w:r w:rsidRPr="00C33834">
        <w:rPr>
          <w:rFonts w:ascii="Times New Roman" w:hAnsi="Times New Roman"/>
          <w:color w:val="0070C0"/>
          <w:sz w:val="16"/>
          <w:szCs w:val="16"/>
        </w:rPr>
        <w:softHyphen/>
        <w:t>вым начальником ДУК'а стал Д.М. Дулицкий, а его бессменным заместителем и начальником учебной части — В.В. Осинский. 20 сентября 1935 г. на основании правительственного поста</w:t>
      </w:r>
      <w:r w:rsidRPr="00C33834">
        <w:rPr>
          <w:rFonts w:ascii="Times New Roman" w:hAnsi="Times New Roman"/>
          <w:color w:val="0070C0"/>
          <w:sz w:val="16"/>
          <w:szCs w:val="16"/>
        </w:rPr>
        <w:softHyphen/>
        <w:t>новления ДУК получил имя К.Э. Циолковского.</w:t>
      </w:r>
    </w:p>
    <w:p w14:paraId="4C19A020" w14:textId="77777777" w:rsidR="002453E1" w:rsidRPr="00C33834" w:rsidRDefault="002453E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Наряду с учебной работой на кафедрах и в На</w:t>
      </w:r>
      <w:r w:rsidRPr="00C33834">
        <w:rPr>
          <w:rFonts w:ascii="Times New Roman" w:hAnsi="Times New Roman"/>
          <w:color w:val="0070C0"/>
          <w:sz w:val="16"/>
          <w:szCs w:val="16"/>
        </w:rPr>
        <w:softHyphen/>
        <w:t>учно-исследовательском отделе (НИО) ДУК ве</w:t>
      </w:r>
      <w:r w:rsidRPr="00C33834">
        <w:rPr>
          <w:rFonts w:ascii="Times New Roman" w:hAnsi="Times New Roman"/>
          <w:color w:val="0070C0"/>
          <w:sz w:val="16"/>
          <w:szCs w:val="16"/>
        </w:rPr>
        <w:softHyphen/>
        <w:t>лась научная работа и издавались труды по ме</w:t>
      </w:r>
      <w:r w:rsidRPr="00C33834">
        <w:rPr>
          <w:rFonts w:ascii="Times New Roman" w:hAnsi="Times New Roman"/>
          <w:color w:val="0070C0"/>
          <w:sz w:val="16"/>
          <w:szCs w:val="16"/>
        </w:rPr>
        <w:softHyphen/>
        <w:t>тодикам аэродинамического расчёта дирижа</w:t>
      </w:r>
      <w:r w:rsidRPr="00C33834">
        <w:rPr>
          <w:rFonts w:ascii="Times New Roman" w:hAnsi="Times New Roman"/>
          <w:color w:val="0070C0"/>
          <w:sz w:val="16"/>
          <w:szCs w:val="16"/>
        </w:rPr>
        <w:softHyphen/>
        <w:t>блей, методам расчёта на прочность баллонных конструкций и корпусов дирижаблей, проекти</w:t>
      </w:r>
      <w:r w:rsidRPr="00C33834">
        <w:rPr>
          <w:rFonts w:ascii="Times New Roman" w:hAnsi="Times New Roman"/>
          <w:color w:val="0070C0"/>
          <w:sz w:val="16"/>
          <w:szCs w:val="16"/>
        </w:rPr>
        <w:softHyphen/>
        <w:t>рованию дирижабельных баз и разработке тех</w:t>
      </w:r>
      <w:r w:rsidRPr="00C33834">
        <w:rPr>
          <w:rFonts w:ascii="Times New Roman" w:hAnsi="Times New Roman"/>
          <w:color w:val="0070C0"/>
          <w:sz w:val="16"/>
          <w:szCs w:val="16"/>
        </w:rPr>
        <w:softHyphen/>
        <w:t>нологии изготовления воздушных судов, проек</w:t>
      </w:r>
      <w:r w:rsidRPr="00C33834">
        <w:rPr>
          <w:rFonts w:ascii="Times New Roman" w:hAnsi="Times New Roman"/>
          <w:color w:val="0070C0"/>
          <w:sz w:val="16"/>
          <w:szCs w:val="16"/>
        </w:rPr>
        <w:softHyphen/>
        <w:t>тированию свободных аэростатов, устойчивости привязных аэростатов и ряду других вопросов воздухоплавательной техники.</w:t>
      </w:r>
    </w:p>
    <w:p w14:paraId="0E20D833" w14:textId="77777777" w:rsidR="002453E1" w:rsidRPr="00C33834" w:rsidRDefault="002453E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Обучение в ДУК'е шло 5 лет 8 месяцев, в те</w:t>
      </w:r>
      <w:r w:rsidRPr="00C33834">
        <w:rPr>
          <w:rFonts w:ascii="Times New Roman" w:hAnsi="Times New Roman"/>
          <w:color w:val="0070C0"/>
          <w:sz w:val="16"/>
          <w:szCs w:val="16"/>
        </w:rPr>
        <w:softHyphen/>
        <w:t>чение которых студенты получали основатель</w:t>
      </w:r>
      <w:r w:rsidRPr="00C33834">
        <w:rPr>
          <w:rFonts w:ascii="Times New Roman" w:hAnsi="Times New Roman"/>
          <w:color w:val="0070C0"/>
          <w:sz w:val="16"/>
          <w:szCs w:val="16"/>
        </w:rPr>
        <w:softHyphen/>
        <w:t>ную подготовку в области общего машиностро</w:t>
      </w:r>
      <w:r w:rsidRPr="00C33834">
        <w:rPr>
          <w:rFonts w:ascii="Times New Roman" w:hAnsi="Times New Roman"/>
          <w:color w:val="0070C0"/>
          <w:sz w:val="16"/>
          <w:szCs w:val="16"/>
        </w:rPr>
        <w:softHyphen/>
        <w:t>ения, архитектуры воздушных судов, аэродина</w:t>
      </w:r>
      <w:r w:rsidRPr="00C33834">
        <w:rPr>
          <w:rFonts w:ascii="Times New Roman" w:hAnsi="Times New Roman"/>
          <w:color w:val="0070C0"/>
          <w:sz w:val="16"/>
          <w:szCs w:val="16"/>
        </w:rPr>
        <w:softHyphen/>
        <w:t>мики, аэростатики, прочности и теории упру</w:t>
      </w:r>
      <w:r w:rsidRPr="00C33834">
        <w:rPr>
          <w:rFonts w:ascii="Times New Roman" w:hAnsi="Times New Roman"/>
          <w:color w:val="0070C0"/>
          <w:sz w:val="16"/>
          <w:szCs w:val="16"/>
        </w:rPr>
        <w:softHyphen/>
        <w:t>гости, механики полёта, конструкции авиаци</w:t>
      </w:r>
      <w:r w:rsidRPr="00C33834">
        <w:rPr>
          <w:rFonts w:ascii="Times New Roman" w:hAnsi="Times New Roman"/>
          <w:color w:val="0070C0"/>
          <w:sz w:val="16"/>
          <w:szCs w:val="16"/>
        </w:rPr>
        <w:softHyphen/>
        <w:t>онных двигателей, штурманского дела и других наук. Под руководством преподавателей студен</w:t>
      </w:r>
      <w:r w:rsidRPr="00C33834">
        <w:rPr>
          <w:rFonts w:ascii="Times New Roman" w:hAnsi="Times New Roman"/>
          <w:color w:val="0070C0"/>
          <w:sz w:val="16"/>
          <w:szCs w:val="16"/>
        </w:rPr>
        <w:softHyphen/>
        <w:t>ты занимались разработкой проектов полужёст</w:t>
      </w:r>
      <w:r w:rsidRPr="00C33834">
        <w:rPr>
          <w:rFonts w:ascii="Times New Roman" w:hAnsi="Times New Roman"/>
          <w:color w:val="0070C0"/>
          <w:sz w:val="16"/>
          <w:szCs w:val="16"/>
        </w:rPr>
        <w:softHyphen/>
        <w:t>кого дирижабля «СССР В-7» (в 1933-1934 гг.) и полумягкого «ДП-15» (в 1935-1936 гг.). Сту</w:t>
      </w:r>
      <w:r w:rsidRPr="00C33834">
        <w:rPr>
          <w:rFonts w:ascii="Times New Roman" w:hAnsi="Times New Roman"/>
          <w:color w:val="0070C0"/>
          <w:sz w:val="16"/>
          <w:szCs w:val="16"/>
        </w:rPr>
        <w:softHyphen/>
        <w:t>денты не только участвовали в подготовке по</w:t>
      </w:r>
      <w:r w:rsidRPr="00C33834">
        <w:rPr>
          <w:rFonts w:ascii="Times New Roman" w:hAnsi="Times New Roman"/>
          <w:color w:val="0070C0"/>
          <w:sz w:val="16"/>
          <w:szCs w:val="16"/>
        </w:rPr>
        <w:softHyphen/>
        <w:t>лётов аэростатов (в том числе и стратостата «СССР ВР-60» «Комсомол»), но и сами соверша</w:t>
      </w:r>
      <w:r w:rsidRPr="00C33834">
        <w:rPr>
          <w:rFonts w:ascii="Times New Roman" w:hAnsi="Times New Roman"/>
          <w:color w:val="0070C0"/>
          <w:sz w:val="16"/>
          <w:szCs w:val="16"/>
        </w:rPr>
        <w:softHyphen/>
        <w:t>ли полёты на них.</w:t>
      </w:r>
    </w:p>
    <w:p w14:paraId="1D12D793" w14:textId="77777777" w:rsidR="002453E1" w:rsidRPr="00C33834" w:rsidRDefault="002453E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Наиболее способным студентам в ДУК ре</w:t>
      </w:r>
      <w:r w:rsidRPr="00C33834">
        <w:rPr>
          <w:rFonts w:ascii="Times New Roman" w:hAnsi="Times New Roman"/>
          <w:color w:val="0070C0"/>
          <w:sz w:val="16"/>
          <w:szCs w:val="16"/>
        </w:rPr>
        <w:softHyphen/>
        <w:t>гулярно назначалась одна стипендия им. К.Э. Циолковского. Её стипендиатами с 1933 по 1940 годы стали М.А. Цайг, Е.И. Победоносцев, К.Л. Цейтлин, В.М. Иезуитов. Ежегодно ДУК выпускал 40-50 инженеров, направлявшихся на работу в «Дирижаблестрой», авиационные заво</w:t>
      </w:r>
      <w:r w:rsidRPr="00C33834">
        <w:rPr>
          <w:rFonts w:ascii="Times New Roman" w:hAnsi="Times New Roman"/>
          <w:color w:val="0070C0"/>
          <w:sz w:val="16"/>
          <w:szCs w:val="16"/>
        </w:rPr>
        <w:softHyphen/>
        <w:t>ды и институты, на предприятия резиновой про</w:t>
      </w:r>
      <w:r w:rsidRPr="00C33834">
        <w:rPr>
          <w:rFonts w:ascii="Times New Roman" w:hAnsi="Times New Roman"/>
          <w:color w:val="0070C0"/>
          <w:sz w:val="16"/>
          <w:szCs w:val="16"/>
        </w:rPr>
        <w:softHyphen/>
        <w:t>мышленности, выпускавшие аэростаты, в воин</w:t>
      </w:r>
      <w:r w:rsidRPr="00C33834">
        <w:rPr>
          <w:rFonts w:ascii="Times New Roman" w:hAnsi="Times New Roman"/>
          <w:color w:val="0070C0"/>
          <w:sz w:val="16"/>
          <w:szCs w:val="16"/>
        </w:rPr>
        <w:softHyphen/>
        <w:t>ские части и в ГВФ.</w:t>
      </w:r>
    </w:p>
    <w:p w14:paraId="76E4DAF8" w14:textId="77777777" w:rsidR="002453E1" w:rsidRPr="00C33834" w:rsidRDefault="002453E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Выпускниками ДУК'а являлись дважды Герой Социалистического труда академик Г.П. Сви- щев, начальник ЦАГИ доктор технических наук В.В. Уткин, начальник ЛИИ МАП заслуженный деятель науки и техники доктор технических наук В.А. Федотов, руководитель Воздухопла</w:t>
      </w:r>
      <w:r w:rsidRPr="00C33834">
        <w:rPr>
          <w:rFonts w:ascii="Times New Roman" w:hAnsi="Times New Roman"/>
          <w:color w:val="0070C0"/>
          <w:sz w:val="16"/>
          <w:szCs w:val="16"/>
        </w:rPr>
        <w:softHyphen/>
        <w:t>вательного центра доктор технических наук В.М. Гарышев, Генеральный конструктор доктор технических наук В.А. Джапаридзе и другие из</w:t>
      </w:r>
      <w:r w:rsidRPr="00C33834">
        <w:rPr>
          <w:rFonts w:ascii="Times New Roman" w:hAnsi="Times New Roman"/>
          <w:color w:val="0070C0"/>
          <w:sz w:val="16"/>
          <w:szCs w:val="16"/>
        </w:rPr>
        <w:softHyphen/>
        <w:t>вестные специалисты (20120).</w:t>
      </w:r>
    </w:p>
    <w:p w14:paraId="44B1619E" w14:textId="77777777" w:rsidR="002453E1" w:rsidRPr="00C33834" w:rsidRDefault="002453E1" w:rsidP="00C33834">
      <w:pPr>
        <w:spacing w:after="0" w:line="240" w:lineRule="auto"/>
        <w:jc w:val="both"/>
        <w:rPr>
          <w:rFonts w:ascii="Times New Roman" w:hAnsi="Times New Roman"/>
          <w:color w:val="0070C0"/>
          <w:sz w:val="16"/>
          <w:szCs w:val="16"/>
        </w:rPr>
      </w:pPr>
    </w:p>
    <w:p w14:paraId="4474D592" w14:textId="77777777" w:rsidR="008E7A66" w:rsidRPr="00C33834" w:rsidRDefault="001A42D5" w:rsidP="00C33834">
      <w:pPr>
        <w:shd w:val="clear" w:color="auto" w:fill="FFFFFF"/>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1321296" w14:textId="77777777" w:rsidR="008E7A66" w:rsidRPr="00C33834" w:rsidRDefault="008E7A66" w:rsidP="00C33834">
      <w:pPr>
        <w:shd w:val="clear" w:color="auto" w:fill="FFFFFF"/>
        <w:spacing w:after="0" w:line="240" w:lineRule="auto"/>
        <w:jc w:val="both"/>
        <w:rPr>
          <w:rFonts w:ascii="Times New Roman" w:hAnsi="Times New Roman"/>
          <w:iCs/>
          <w:color w:val="000000" w:themeColor="text1"/>
          <w:sz w:val="16"/>
          <w:szCs w:val="16"/>
        </w:rPr>
      </w:pPr>
    </w:p>
    <w:p w14:paraId="08FFE873" w14:textId="77777777" w:rsidR="008E7A66" w:rsidRPr="00C33834" w:rsidRDefault="008E7A66"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4 апреля 1933 г. Приказом Наркомтяжпрома СССР № 329 от в связи с реорганизацией Главного топливного управления (Главтопа) было организовано Главное управление нефтяной промышленности (Главнефть), которое до сентября 1937 г. возглавлял М.В. Баринов.</w:t>
      </w:r>
    </w:p>
    <w:p w14:paraId="5C854317" w14:textId="77777777" w:rsidR="008E7A66" w:rsidRPr="00C33834" w:rsidRDefault="008E7A66"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Это Управление ведало разведкой, бурением, добычей, переработкой нефти, строительством и реконструкцией нефтеперегонных заводов, сбытом нефтепродуктов, строительством нефтепроводов.</w:t>
      </w:r>
    </w:p>
    <w:p w14:paraId="7F6BB5D9" w14:textId="77777777" w:rsidR="008E7A66" w:rsidRPr="00C33834" w:rsidRDefault="008E7A66"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Главному управлению нефтяной промышленности были подчинены объединения «Азнефть», «Грознефть», «Майнефть», тресты «Эмбанефть», «Сахалиннефть», «Грузнефть», «Средазнефть», «Туркменнефть», «Востокнефть», «Нефтезаводы», «Нефтепроводстрой», а также объединения «Союзнефтеторг», «Нефтеэкспорт», «Союзнефтесбыт», трест «Нефтепроект», Всесоюзная государственная контора «Орскнефть» и научно-исследовательские институты: АзНИИ, ГрозНИИ, ВГРИ и НИНИ (11522).</w:t>
      </w:r>
    </w:p>
    <w:p w14:paraId="622C46A2" w14:textId="77777777" w:rsidR="008E7A66" w:rsidRPr="00C33834" w:rsidRDefault="008E7A66" w:rsidP="00C33834">
      <w:pPr>
        <w:pStyle w:val="af2"/>
        <w:jc w:val="both"/>
        <w:rPr>
          <w:i w:val="0"/>
          <w:iCs w:val="0"/>
          <w:color w:val="000000" w:themeColor="text1"/>
          <w:spacing w:val="0"/>
          <w:kern w:val="0"/>
          <w:position w:val="0"/>
          <w:sz w:val="16"/>
          <w:szCs w:val="16"/>
          <w:lang w:val="ru-RU"/>
        </w:rPr>
      </w:pPr>
    </w:p>
    <w:p w14:paraId="579E97FB" w14:textId="77777777" w:rsidR="00CB3050" w:rsidRPr="00C33834" w:rsidRDefault="00CB3050" w:rsidP="00C33834">
      <w:pPr>
        <w:pStyle w:val="rtejustify"/>
        <w:spacing w:before="0" w:after="0"/>
        <w:rPr>
          <w:color w:val="000000" w:themeColor="text1"/>
          <w:sz w:val="16"/>
          <w:szCs w:val="16"/>
        </w:rPr>
      </w:pPr>
      <w:r w:rsidRPr="00C33834">
        <w:rPr>
          <w:rStyle w:val="af0"/>
          <w:bCs/>
          <w:i w:val="0"/>
          <w:color w:val="000000" w:themeColor="text1"/>
          <w:sz w:val="16"/>
          <w:szCs w:val="16"/>
        </w:rPr>
        <w:t>4 апреля</w:t>
      </w:r>
      <w:r w:rsidRPr="00C33834">
        <w:rPr>
          <w:color w:val="000000" w:themeColor="text1"/>
          <w:sz w:val="16"/>
          <w:szCs w:val="16"/>
        </w:rPr>
        <w:t xml:space="preserve"> 1933. Протокол заседания Политбюро ЦК ВКП (б) № 134. </w:t>
      </w:r>
      <w:hyperlink r:id="rId113" w:anchor="showunit&amp;id=86125" w:history="1">
        <w:r w:rsidRPr="00C33834">
          <w:rPr>
            <w:rStyle w:val="a5"/>
            <w:color w:val="000000" w:themeColor="text1"/>
            <w:sz w:val="16"/>
            <w:szCs w:val="16"/>
            <w:u w:val="none"/>
          </w:rPr>
          <w:t>6. О Челябинском тракторном заводе</w:t>
        </w:r>
      </w:hyperlink>
      <w:r w:rsidRPr="00C33834">
        <w:rPr>
          <w:color w:val="000000" w:themeColor="text1"/>
          <w:sz w:val="16"/>
          <w:szCs w:val="16"/>
        </w:rPr>
        <w:t xml:space="preserve">. Решено отложить. </w:t>
      </w:r>
      <w:hyperlink r:id="rId114" w:anchor="showunit&amp;id=86136" w:history="1">
        <w:r w:rsidRPr="00C33834">
          <w:rPr>
            <w:rStyle w:val="a5"/>
            <w:color w:val="000000" w:themeColor="text1"/>
            <w:sz w:val="16"/>
            <w:szCs w:val="16"/>
            <w:u w:val="none"/>
          </w:rPr>
          <w:t>7. О Магнитострое.</w:t>
        </w:r>
      </w:hyperlink>
      <w:r w:rsidRPr="00C33834">
        <w:rPr>
          <w:color w:val="000000" w:themeColor="text1"/>
          <w:sz w:val="16"/>
          <w:szCs w:val="16"/>
        </w:rPr>
        <w:t xml:space="preserve"> Решено отложить до следующего заседания Политбюро. 36/24. О договоре на поставку бензина (ПБ от 26 марта 1933 г.) — ОП. Решено: 1) принять предложение НКВТ о заключении Союзнефтеэкспортом монопольного договора с мукденским (японским) акционерным обществом воздушных сообщений на поставку бензина; 2) отпустить сверх плана для экспорта 2700 тонн авиабензина (грозненского), остальные виды нефтепродуктов выделить НКВнешторгу из утвержденных экспортных контингентов. </w:t>
      </w:r>
      <w:hyperlink r:id="rId115" w:anchor="showunit&amp;id=86150" w:history="1">
        <w:r w:rsidRPr="00C33834">
          <w:rPr>
            <w:rStyle w:val="a5"/>
            <w:color w:val="000000" w:themeColor="text1"/>
            <w:sz w:val="16"/>
            <w:szCs w:val="16"/>
            <w:u w:val="none"/>
          </w:rPr>
          <w:t>82/70. Об экспортно-импортном и валютном планах на II квартал 1933 г. и на апрель.</w:t>
        </w:r>
      </w:hyperlink>
      <w:r w:rsidRPr="00C33834">
        <w:rPr>
          <w:color w:val="000000" w:themeColor="text1"/>
          <w:sz w:val="16"/>
          <w:szCs w:val="16"/>
        </w:rPr>
        <w:t> — ОП. (ПБ от 31 марта 1933 г.). Решено: 1. Утвердить апрельский и квартальный экспортно-импортный и валютный планы, план сдачи на Торгсин и проект постановления, представленные Валютной комиссией со следующими поправками: а) прекратить экспорт зерновых культур урожая 1932 г. начиная с 1</w:t>
      </w:r>
      <w:r w:rsidRPr="00C33834">
        <w:rPr>
          <w:color w:val="000000" w:themeColor="text1"/>
          <w:sz w:val="16"/>
          <w:szCs w:val="16"/>
        </w:rPr>
        <w:noBreakHyphen/>
        <w:t>4</w:t>
      </w:r>
      <w:r w:rsidRPr="00C33834">
        <w:rPr>
          <w:color w:val="000000" w:themeColor="text1"/>
          <w:sz w:val="16"/>
          <w:szCs w:val="16"/>
        </w:rPr>
        <w:noBreakHyphen/>
        <w:t>1933; б) снять с экспорта растительное масло в количестве, обеспечивающем программу мыловарения 2 квартала 1933 г. Размер снятия растительного масла определить СТО; в) уменьшить апрельский план вывоза бензина на 25 тыс. тонн, установив его в 125 тыс. тонн; г) обязать НКВнешторг завезти во 2 квартале цветные металлы в точном соответствии с решением СТО от 20</w:t>
      </w:r>
      <w:r w:rsidRPr="00C33834">
        <w:rPr>
          <w:color w:val="000000" w:themeColor="text1"/>
          <w:sz w:val="16"/>
          <w:szCs w:val="16"/>
        </w:rPr>
        <w:noBreakHyphen/>
        <w:t>2</w:t>
      </w:r>
      <w:r w:rsidRPr="00C33834">
        <w:rPr>
          <w:color w:val="000000" w:themeColor="text1"/>
          <w:sz w:val="16"/>
          <w:szCs w:val="16"/>
        </w:rPr>
        <w:noBreakHyphen/>
        <w:t xml:space="preserve">1933 и дополнительно 100 тонн никеля и 600 тонн меди для Монетного двора и 300 тонн олова для НКСнаба; д) обязать НКВнешторг завезти во 2 квартале 2 тыс. тонн каучука сверх годового плана. 2. Поручить НКВнешторгу внести соответственные поправки в апрельский и квартальный валютные планы. </w:t>
      </w:r>
      <w:hyperlink r:id="rId116" w:anchor="showunit&amp;id=86170" w:history="1">
        <w:r w:rsidRPr="00C33834">
          <w:rPr>
            <w:rStyle w:val="a5"/>
            <w:color w:val="000000" w:themeColor="text1"/>
            <w:sz w:val="16"/>
            <w:szCs w:val="16"/>
            <w:u w:val="none"/>
          </w:rPr>
          <w:t>98/86. б) О распределении импортного контингента оборудования НКТП по отраслям промышленности</w:t>
        </w:r>
      </w:hyperlink>
      <w:r w:rsidRPr="00C33834">
        <w:rPr>
          <w:color w:val="000000" w:themeColor="text1"/>
          <w:sz w:val="16"/>
          <w:szCs w:val="16"/>
        </w:rPr>
        <w:t xml:space="preserve"> (ПБ от 31 марта 1933 г.). Решено передать на рассмотрение в комиссию Молотова по внешнеторговым вопросам (15462).</w:t>
      </w:r>
    </w:p>
    <w:p w14:paraId="7A395DEF" w14:textId="77777777" w:rsidR="00CB3050" w:rsidRPr="00C33834" w:rsidRDefault="00CB3050" w:rsidP="00C33834">
      <w:pPr>
        <w:pStyle w:val="rtejustify"/>
        <w:spacing w:before="0" w:after="0"/>
        <w:rPr>
          <w:color w:val="000000" w:themeColor="text1"/>
          <w:sz w:val="16"/>
          <w:szCs w:val="16"/>
        </w:rPr>
      </w:pPr>
    </w:p>
    <w:p w14:paraId="05D58D4B" w14:textId="77777777" w:rsidR="00CB3050" w:rsidRPr="00C33834" w:rsidRDefault="00CB3050" w:rsidP="00C33834">
      <w:pPr>
        <w:pStyle w:val="rtejustify"/>
        <w:spacing w:before="0" w:after="0"/>
        <w:rPr>
          <w:color w:val="000000" w:themeColor="text1"/>
          <w:sz w:val="16"/>
          <w:szCs w:val="16"/>
        </w:rPr>
      </w:pPr>
      <w:r w:rsidRPr="00C33834">
        <w:rPr>
          <w:rStyle w:val="af0"/>
          <w:bCs/>
          <w:i w:val="0"/>
          <w:color w:val="000000" w:themeColor="text1"/>
          <w:sz w:val="16"/>
          <w:szCs w:val="16"/>
        </w:rPr>
        <w:t>4 апреля 1933 вышел приказ НКТП № З6сс.</w:t>
      </w:r>
      <w:r w:rsidRPr="00C33834">
        <w:rPr>
          <w:color w:val="000000" w:themeColor="text1"/>
          <w:sz w:val="16"/>
          <w:szCs w:val="16"/>
        </w:rPr>
        <w:t xml:space="preserve"> О результатах обследования кооперирования Подольского механического завода с Тульским оружейным заводом по производству винтовок. (РГАЭ. Ф. 7297. Оп. 38. Д. 37. Л. 53</w:t>
      </w:r>
      <w:r w:rsidRPr="00C33834">
        <w:rPr>
          <w:color w:val="000000" w:themeColor="text1"/>
          <w:sz w:val="16"/>
          <w:szCs w:val="16"/>
        </w:rPr>
        <w:noBreakHyphen/>
        <w:t>50) (15246).</w:t>
      </w:r>
    </w:p>
    <w:p w14:paraId="6C9A2646" w14:textId="77777777" w:rsidR="00CB3050" w:rsidRPr="00C33834" w:rsidRDefault="00CB3050" w:rsidP="00C33834">
      <w:pPr>
        <w:pStyle w:val="rtejustify"/>
        <w:spacing w:before="0" w:after="0"/>
        <w:rPr>
          <w:color w:val="000000" w:themeColor="text1"/>
          <w:sz w:val="16"/>
          <w:szCs w:val="16"/>
        </w:rPr>
      </w:pPr>
    </w:p>
    <w:p w14:paraId="70BB35D3"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590CDD28"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5D8D2AF6"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апреля 1933 было первое письмо М.Шолохова И.Сталину, в котором писатель подробно рассказал о том, как местные власти изымают под пытками все колхозные запасы, оставляя крестьян голодными (10687).</w:t>
      </w:r>
    </w:p>
    <w:p w14:paraId="0BB5FAA2"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5F5CD578" w14:textId="77777777" w:rsidR="008E7A66" w:rsidRPr="00C33834" w:rsidRDefault="001A42D5" w:rsidP="00C33834">
      <w:pPr>
        <w:spacing w:after="0" w:line="240" w:lineRule="auto"/>
        <w:jc w:val="both"/>
        <w:rPr>
          <w:rFonts w:ascii="Times New Roman" w:hAnsi="Times New Roman"/>
          <w:iCs/>
          <w:color w:val="000000" w:themeColor="text1"/>
          <w:sz w:val="16"/>
          <w:szCs w:val="16"/>
          <w:lang w:val="en-US"/>
        </w:rPr>
      </w:pPr>
      <w:r w:rsidRPr="00C33834">
        <w:rPr>
          <w:rFonts w:ascii="Times New Roman" w:hAnsi="Times New Roman"/>
          <w:i/>
          <w:iCs/>
          <w:color w:val="000000" w:themeColor="text1"/>
          <w:sz w:val="16"/>
          <w:szCs w:val="16"/>
        </w:rPr>
        <w:t>За</w:t>
      </w:r>
      <w:r w:rsidRPr="00C33834">
        <w:rPr>
          <w:rFonts w:ascii="Times New Roman" w:hAnsi="Times New Roman"/>
          <w:i/>
          <w:iCs/>
          <w:color w:val="000000" w:themeColor="text1"/>
          <w:sz w:val="16"/>
          <w:szCs w:val="16"/>
          <w:lang w:val="en-US"/>
        </w:rPr>
        <w:t xml:space="preserve"> </w:t>
      </w:r>
      <w:r w:rsidRPr="00C33834">
        <w:rPr>
          <w:rFonts w:ascii="Times New Roman" w:hAnsi="Times New Roman"/>
          <w:i/>
          <w:iCs/>
          <w:color w:val="000000" w:themeColor="text1"/>
          <w:sz w:val="16"/>
          <w:szCs w:val="16"/>
        </w:rPr>
        <w:t>рубежом</w:t>
      </w:r>
      <w:r w:rsidRPr="00C33834">
        <w:rPr>
          <w:rFonts w:ascii="Times New Roman" w:hAnsi="Times New Roman"/>
          <w:i/>
          <w:iCs/>
          <w:color w:val="000000" w:themeColor="text1"/>
          <w:sz w:val="16"/>
          <w:szCs w:val="16"/>
          <w:lang w:val="en-US"/>
        </w:rPr>
        <w:t>:</w:t>
      </w:r>
    </w:p>
    <w:p w14:paraId="0776346A" w14:textId="77777777" w:rsidR="008E7A66" w:rsidRPr="00C33834" w:rsidRDefault="008E7A66" w:rsidP="00C33834">
      <w:pPr>
        <w:spacing w:after="0" w:line="240" w:lineRule="auto"/>
        <w:jc w:val="both"/>
        <w:rPr>
          <w:rFonts w:ascii="Times New Roman" w:hAnsi="Times New Roman"/>
          <w:iCs/>
          <w:color w:val="000000" w:themeColor="text1"/>
          <w:sz w:val="16"/>
          <w:szCs w:val="16"/>
          <w:lang w:val="en-US"/>
        </w:rPr>
      </w:pPr>
    </w:p>
    <w:p w14:paraId="5CC5757D" w14:textId="77777777" w:rsidR="008E7A66" w:rsidRPr="00C33834" w:rsidRDefault="008E7A66" w:rsidP="00C33834">
      <w:pPr>
        <w:spacing w:after="0" w:line="240" w:lineRule="auto"/>
        <w:jc w:val="both"/>
        <w:rPr>
          <w:rFonts w:ascii="Times New Roman" w:hAnsi="Times New Roman"/>
          <w:color w:val="000000" w:themeColor="text1"/>
          <w:sz w:val="16"/>
          <w:szCs w:val="16"/>
          <w:lang w:val="en-US"/>
        </w:rPr>
      </w:pPr>
      <w:r w:rsidRPr="00C33834">
        <w:rPr>
          <w:rFonts w:ascii="Times New Roman" w:hAnsi="Times New Roman"/>
          <w:color w:val="000000" w:themeColor="text1"/>
          <w:sz w:val="16"/>
          <w:szCs w:val="16"/>
          <w:lang w:val="en-US"/>
        </w:rPr>
        <w:t>April 4, 1933 The rigid airship Akron (ZRS-4) crashed in a severe storm off Barnegat Light, N.J. Among the 73 fatalities were Rear Admiral William A. Moffett, Chief, Bureau of Aeronautics, and Commander Frank C. McCord, Commanding Officer of the Akron (ZRS-4) (1090).</w:t>
      </w:r>
    </w:p>
    <w:p w14:paraId="1E3911FB" w14:textId="77777777" w:rsidR="008E7A66" w:rsidRPr="00C33834" w:rsidRDefault="008E7A66" w:rsidP="00C33834">
      <w:pPr>
        <w:spacing w:after="0" w:line="240" w:lineRule="auto"/>
        <w:jc w:val="both"/>
        <w:rPr>
          <w:rFonts w:ascii="Times New Roman" w:hAnsi="Times New Roman"/>
          <w:color w:val="000000" w:themeColor="text1"/>
          <w:sz w:val="16"/>
          <w:szCs w:val="16"/>
          <w:lang w:val="en-US"/>
        </w:rPr>
      </w:pPr>
    </w:p>
    <w:p w14:paraId="0E738E4C"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апреля 1933 жесткий американский дирижабль Акрон (ZRS-4) ударился о воду и сломался и погибло 73 чел. (1090).</w:t>
      </w:r>
    </w:p>
    <w:p w14:paraId="0226B15C"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216ECF4B"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апреля 1933 в Нью-Джерси (США) разбился самый большой американский дирижабль «Аркон» (4962).</w:t>
      </w:r>
    </w:p>
    <w:p w14:paraId="331344EB"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p>
    <w:p w14:paraId="0547BF98" w14:textId="77777777" w:rsidR="00CB3050" w:rsidRPr="00C33834" w:rsidRDefault="00CB305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апреля 1933 г. произошла катастрофа: «Акрон» упал в море [3, с.304]. Американское общество было потрясено [3, с.142]. В прессе началась истерия по поводу исключительной опасности дирижаблей [4, л. 132]. Это вызвало тревогу в Дирижаблестрое, так как в руководстве СССР мог быть поставлен вопрос о безопасности дирижаблей и целесообразности их производства и использования. По распоряжению начальника Дирижаблестроя И.А. Фельдмана секретарь Управления Дирижаблестроя В. Алексеев  стал периодически направлять руководству ГУГВФ сводки об авариях дирижаблей в мире и о расследовании их причин,  в первую очередь, последние данные о работе комиссии по расследованию гибели «Акрона» [4, л.105-107; 115-118; 132-133; 151-153; 154-157; 228; 229230; 235-а; 243-244]. Начальник Дирижаблестроя, призывая сотрудников КБ повысить  производительность и качество работы, предостерегал: «… синьор Нобиле должен пониматъ, что больших друзей у дирижаблестроения довольно мало, в особенности после последних событий с иностранными кораблями [4, л.215]. Но в 1933 г. до полной утраты доверия к дирижаблям было ещё далеко - от их использования  ожидались очень большие выгоды. И.А. Фельдман  сообщил 21 апреля 1933 г. сотрудникам КБ, что «…на заседании коллегии ГУГВФ в связи с гибелью «Акрона» и других дирижаблей было подчёркнуто, что  эти аварии не дают основания для пересмотра вопроса о дальнейших путях и темпах развития советского дирижаблестроения …» [4, л.223].  В США осуществление программы по дирижаблестроению продолжалось - надежды возлагались на новый жесткий дирижабль-авианосец Мэйкон [3, с. 157] (15797).</w:t>
      </w:r>
    </w:p>
    <w:p w14:paraId="2C8DE3FD" w14:textId="77777777" w:rsidR="00CB3050" w:rsidRPr="00C33834" w:rsidRDefault="00CB3050" w:rsidP="00C33834">
      <w:pPr>
        <w:spacing w:after="0" w:line="240" w:lineRule="auto"/>
        <w:jc w:val="both"/>
        <w:rPr>
          <w:rFonts w:ascii="Times New Roman" w:hAnsi="Times New Roman"/>
          <w:color w:val="000000" w:themeColor="text1"/>
          <w:sz w:val="16"/>
          <w:szCs w:val="16"/>
        </w:rPr>
      </w:pPr>
    </w:p>
    <w:p w14:paraId="5A703C79" w14:textId="77777777" w:rsidR="00CB3050" w:rsidRPr="00C33834" w:rsidRDefault="00CB3050"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4 апреля</w:t>
      </w:r>
      <w:r w:rsidRPr="00C33834">
        <w:rPr>
          <w:rFonts w:ascii="Times New Roman" w:hAnsi="Times New Roman"/>
          <w:color w:val="000000" w:themeColor="text1"/>
          <w:sz w:val="16"/>
          <w:szCs w:val="16"/>
        </w:rPr>
        <w:t xml:space="preserve"> в 1933 году 12:30, около Барнгейт, Нью Джерси, США. Во время крейсерского полета на высоте 1600 футов над морем у берегов Нью Джерси, сильный нисходящий поток бросает наполненный гелием дирижабль-авиаматку </w:t>
      </w:r>
      <w:hyperlink r:id="rId117" w:tgtFrame="_blank" w:history="1">
        <w:r w:rsidRPr="00C33834">
          <w:rPr>
            <w:rFonts w:ascii="Times New Roman" w:hAnsi="Times New Roman"/>
            <w:color w:val="000000" w:themeColor="text1"/>
            <w:sz w:val="16"/>
            <w:szCs w:val="16"/>
          </w:rPr>
          <w:t xml:space="preserve">«Акрон» </w:t>
        </w:r>
      </w:hyperlink>
      <w:r w:rsidRPr="00C33834">
        <w:rPr>
          <w:rFonts w:ascii="Times New Roman" w:hAnsi="Times New Roman"/>
          <w:color w:val="000000" w:themeColor="text1"/>
          <w:sz w:val="16"/>
          <w:szCs w:val="16"/>
        </w:rPr>
        <w:t>на 700 футов вниз, прежде чем оно может выровняться. Но до того, как дирижабль может набрать безопасную высоту, он падает в Атлантический океан. Из 76 человек на борту погибают 73. Возможной причиной падения является неправильно понятый приказ командира (15089).</w:t>
      </w:r>
    </w:p>
    <w:p w14:paraId="1ECCC673" w14:textId="77777777" w:rsidR="00CB3050" w:rsidRPr="00C33834" w:rsidRDefault="00CB3050" w:rsidP="00C33834">
      <w:pPr>
        <w:spacing w:after="0" w:line="240" w:lineRule="auto"/>
        <w:jc w:val="both"/>
        <w:rPr>
          <w:rFonts w:ascii="Times New Roman" w:hAnsi="Times New Roman"/>
          <w:color w:val="000000" w:themeColor="text1"/>
          <w:sz w:val="16"/>
          <w:szCs w:val="16"/>
        </w:rPr>
      </w:pPr>
    </w:p>
    <w:p w14:paraId="11B268EA" w14:textId="77777777" w:rsidR="002453E1" w:rsidRPr="00C33834" w:rsidRDefault="002453E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апреля 1933 дирижабль ВМС США «Акрон» (ZRS-4) терпит крушение во время шторма у побережья Нью-Джерси, в результате чего погибли 73 из 76 членов экипажа. Это самая страшная авиационная катастрофа в истории того времени, и до 1950 года не будет больших человеческих жертв в одной авиакатастрофе (20802).</w:t>
      </w:r>
    </w:p>
    <w:p w14:paraId="046F9DF2" w14:textId="77777777" w:rsidR="002453E1" w:rsidRPr="00C33834" w:rsidRDefault="002453E1" w:rsidP="00C33834">
      <w:pPr>
        <w:spacing w:after="0" w:line="240" w:lineRule="auto"/>
        <w:jc w:val="both"/>
        <w:rPr>
          <w:rFonts w:ascii="Times New Roman" w:hAnsi="Times New Roman"/>
          <w:color w:val="0070C0"/>
          <w:sz w:val="16"/>
          <w:szCs w:val="16"/>
        </w:rPr>
      </w:pPr>
    </w:p>
    <w:p w14:paraId="490B0496" w14:textId="77777777" w:rsidR="002453E1" w:rsidRPr="00C33834" w:rsidRDefault="002453E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ночь на 4 апреля 1933 года у дирижабля США «Акрона», летя</w:t>
      </w:r>
      <w:r w:rsidRPr="00C33834">
        <w:rPr>
          <w:rFonts w:ascii="Times New Roman" w:hAnsi="Times New Roman"/>
          <w:color w:val="0070C0"/>
          <w:sz w:val="16"/>
          <w:szCs w:val="16"/>
        </w:rPr>
        <w:softHyphen/>
        <w:t>щего на малой высоте над штормовым морем, при резком повороте деформируется стабили</w:t>
      </w:r>
      <w:r w:rsidRPr="00C33834">
        <w:rPr>
          <w:rFonts w:ascii="Times New Roman" w:hAnsi="Times New Roman"/>
          <w:color w:val="0070C0"/>
          <w:sz w:val="16"/>
          <w:szCs w:val="16"/>
        </w:rPr>
        <w:softHyphen/>
        <w:t xml:space="preserve">затор, который прорывает оболочку газового отсека. Повреждение оказывается смертельным и гигантская машина, переломившись пополам, падает в море, гибнет почти весь экипаж (из 76 человек удалось спасти лишь троих). Вахтенный немецкого танкера «Феб» </w:t>
      </w:r>
      <w:r w:rsidRPr="00C33834">
        <w:rPr>
          <w:rFonts w:ascii="Times New Roman" w:hAnsi="Times New Roman"/>
          <w:color w:val="0070C0"/>
          <w:sz w:val="16"/>
          <w:szCs w:val="16"/>
          <w:lang w:bidi="en-US"/>
        </w:rPr>
        <w:t>(</w:t>
      </w:r>
      <w:r w:rsidRPr="00C33834">
        <w:rPr>
          <w:rFonts w:ascii="Times New Roman" w:hAnsi="Times New Roman"/>
          <w:color w:val="0070C0"/>
          <w:sz w:val="16"/>
          <w:szCs w:val="16"/>
          <w:lang w:val="en-US" w:bidi="en-US"/>
        </w:rPr>
        <w:t>Phoebus</w:t>
      </w:r>
      <w:r w:rsidRPr="00C33834">
        <w:rPr>
          <w:rFonts w:ascii="Times New Roman" w:hAnsi="Times New Roman"/>
          <w:color w:val="0070C0"/>
          <w:sz w:val="16"/>
          <w:szCs w:val="16"/>
          <w:lang w:bidi="en-US"/>
        </w:rPr>
        <w:t xml:space="preserve">), </w:t>
      </w:r>
      <w:r w:rsidRPr="00C33834">
        <w:rPr>
          <w:rFonts w:ascii="Times New Roman" w:hAnsi="Times New Roman"/>
          <w:color w:val="0070C0"/>
          <w:sz w:val="16"/>
          <w:szCs w:val="16"/>
        </w:rPr>
        <w:t>находивше</w:t>
      </w:r>
      <w:r w:rsidRPr="00C33834">
        <w:rPr>
          <w:rFonts w:ascii="Times New Roman" w:hAnsi="Times New Roman"/>
          <w:color w:val="0070C0"/>
          <w:sz w:val="16"/>
          <w:szCs w:val="16"/>
        </w:rPr>
        <w:softHyphen/>
        <w:t>гося неподалеку, около 00:23 заметил огни, сни</w:t>
      </w:r>
      <w:r w:rsidRPr="00C33834">
        <w:rPr>
          <w:rFonts w:ascii="Times New Roman" w:hAnsi="Times New Roman"/>
          <w:color w:val="0070C0"/>
          <w:sz w:val="16"/>
          <w:szCs w:val="16"/>
        </w:rPr>
        <w:softHyphen/>
        <w:t>жающиеся к поверхности океана. По команде капитана, полагавшего, что он наблюдает кру</w:t>
      </w:r>
      <w:r w:rsidRPr="00C33834">
        <w:rPr>
          <w:rFonts w:ascii="Times New Roman" w:hAnsi="Times New Roman"/>
          <w:color w:val="0070C0"/>
          <w:sz w:val="16"/>
          <w:szCs w:val="16"/>
        </w:rPr>
        <w:softHyphen/>
        <w:t>шение самолета, корабль повернул к месту тра</w:t>
      </w:r>
      <w:r w:rsidRPr="00C33834">
        <w:rPr>
          <w:rFonts w:ascii="Times New Roman" w:hAnsi="Times New Roman"/>
          <w:color w:val="0070C0"/>
          <w:sz w:val="16"/>
          <w:szCs w:val="16"/>
        </w:rPr>
        <w:softHyphen/>
        <w:t>гедии и подобрал из воды четырех человек. Однако, несмотря на проведение искусствен</w:t>
      </w:r>
      <w:r w:rsidRPr="00C33834">
        <w:rPr>
          <w:rFonts w:ascii="Times New Roman" w:hAnsi="Times New Roman"/>
          <w:color w:val="0070C0"/>
          <w:sz w:val="16"/>
          <w:szCs w:val="16"/>
        </w:rPr>
        <w:softHyphen/>
        <w:t>ного дыхания, один матрос умер, не приходя в сознание. Увы, экипаж «Макрона» не имел спа</w:t>
      </w:r>
      <w:r w:rsidRPr="00C33834">
        <w:rPr>
          <w:rFonts w:ascii="Times New Roman" w:hAnsi="Times New Roman"/>
          <w:color w:val="0070C0"/>
          <w:sz w:val="16"/>
          <w:szCs w:val="16"/>
        </w:rPr>
        <w:softHyphen/>
        <w:t>сательных жилетов, а сбросить на воду над</w:t>
      </w:r>
      <w:r w:rsidRPr="00C33834">
        <w:rPr>
          <w:rFonts w:ascii="Times New Roman" w:hAnsi="Times New Roman"/>
          <w:color w:val="0070C0"/>
          <w:sz w:val="16"/>
          <w:szCs w:val="16"/>
        </w:rPr>
        <w:softHyphen/>
        <w:t>увные плоты у него не было времени. Среди погибших был контр-адмирал Уильям Э. Моф</w:t>
      </w:r>
      <w:r w:rsidRPr="00C33834">
        <w:rPr>
          <w:rFonts w:ascii="Times New Roman" w:hAnsi="Times New Roman"/>
          <w:color w:val="0070C0"/>
          <w:sz w:val="16"/>
          <w:szCs w:val="16"/>
        </w:rPr>
        <w:softHyphen/>
        <w:t xml:space="preserve">фетт </w:t>
      </w:r>
      <w:r w:rsidRPr="00C33834">
        <w:rPr>
          <w:rFonts w:ascii="Times New Roman" w:hAnsi="Times New Roman"/>
          <w:color w:val="0070C0"/>
          <w:sz w:val="16"/>
          <w:szCs w:val="16"/>
          <w:lang w:bidi="en-US"/>
        </w:rPr>
        <w:t>(</w:t>
      </w:r>
      <w:r w:rsidRPr="00C33834">
        <w:rPr>
          <w:rFonts w:ascii="Times New Roman" w:hAnsi="Times New Roman"/>
          <w:color w:val="0070C0"/>
          <w:sz w:val="16"/>
          <w:szCs w:val="16"/>
          <w:lang w:val="en-US" w:bidi="en-US"/>
        </w:rPr>
        <w:t>William</w:t>
      </w:r>
      <w:r w:rsidRPr="00C33834">
        <w:rPr>
          <w:rFonts w:ascii="Times New Roman" w:hAnsi="Times New Roman"/>
          <w:color w:val="0070C0"/>
          <w:sz w:val="16"/>
          <w:szCs w:val="16"/>
          <w:lang w:bidi="en-US"/>
        </w:rPr>
        <w:t xml:space="preserve"> </w:t>
      </w:r>
      <w:r w:rsidRPr="00C33834">
        <w:rPr>
          <w:rFonts w:ascii="Times New Roman" w:hAnsi="Times New Roman"/>
          <w:color w:val="0070C0"/>
          <w:sz w:val="16"/>
          <w:szCs w:val="16"/>
          <w:lang w:val="en-US" w:bidi="en-US"/>
        </w:rPr>
        <w:t>Adger</w:t>
      </w:r>
      <w:r w:rsidRPr="00C33834">
        <w:rPr>
          <w:rFonts w:ascii="Times New Roman" w:hAnsi="Times New Roman"/>
          <w:color w:val="0070C0"/>
          <w:sz w:val="16"/>
          <w:szCs w:val="16"/>
          <w:lang w:bidi="en-US"/>
        </w:rPr>
        <w:t xml:space="preserve"> </w:t>
      </w:r>
      <w:r w:rsidRPr="00C33834">
        <w:rPr>
          <w:rFonts w:ascii="Times New Roman" w:hAnsi="Times New Roman"/>
          <w:color w:val="0070C0"/>
          <w:sz w:val="16"/>
          <w:szCs w:val="16"/>
          <w:lang w:val="en-US" w:bidi="en-US"/>
        </w:rPr>
        <w:t>Moffett</w:t>
      </w:r>
      <w:r w:rsidRPr="00C33834">
        <w:rPr>
          <w:rFonts w:ascii="Times New Roman" w:hAnsi="Times New Roman"/>
          <w:color w:val="0070C0"/>
          <w:sz w:val="16"/>
          <w:szCs w:val="16"/>
          <w:lang w:bidi="en-US"/>
        </w:rPr>
        <w:t xml:space="preserve">; </w:t>
      </w:r>
      <w:r w:rsidRPr="00C33834">
        <w:rPr>
          <w:rFonts w:ascii="Times New Roman" w:hAnsi="Times New Roman"/>
          <w:color w:val="0070C0"/>
          <w:sz w:val="16"/>
          <w:szCs w:val="16"/>
        </w:rPr>
        <w:t>1869-1933), бес</w:t>
      </w:r>
      <w:r w:rsidRPr="00C33834">
        <w:rPr>
          <w:rFonts w:ascii="Times New Roman" w:hAnsi="Times New Roman"/>
          <w:color w:val="0070C0"/>
          <w:sz w:val="16"/>
          <w:szCs w:val="16"/>
        </w:rPr>
        <w:softHyphen/>
        <w:t>сменный руководитель Бюро Аэронавтики (22730).</w:t>
      </w:r>
    </w:p>
    <w:p w14:paraId="46BBC6C2" w14:textId="77777777" w:rsidR="002453E1" w:rsidRPr="00C33834" w:rsidRDefault="002453E1" w:rsidP="00C33834">
      <w:pPr>
        <w:spacing w:after="0" w:line="240" w:lineRule="auto"/>
        <w:jc w:val="both"/>
        <w:rPr>
          <w:rFonts w:ascii="Times New Roman" w:hAnsi="Times New Roman"/>
          <w:color w:val="0070C0"/>
          <w:sz w:val="16"/>
          <w:szCs w:val="16"/>
        </w:rPr>
      </w:pPr>
    </w:p>
    <w:p w14:paraId="30E5F11C" w14:textId="77777777" w:rsidR="008D1795" w:rsidRPr="00C33834" w:rsidRDefault="008D179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color w:val="000000" w:themeColor="text1"/>
          <w:sz w:val="16"/>
          <w:szCs w:val="16"/>
        </w:rPr>
        <w:t>4 апреля 1933 Гитлер объявил о создании Совета обороны рейха, призванного разработать новую секретную программу перевооружения. А спустя три месяца, 20 июля, канцлер издал новый закон об армии, освобождавший военнослужащих из-под юрисдикции гражданских судов и упразднявший выборные солдатские представительства, вернув таким образом офицерскому корпусу его исконные привилегии (17283).</w:t>
      </w:r>
    </w:p>
    <w:p w14:paraId="005F9605" w14:textId="77777777" w:rsidR="008D1795" w:rsidRPr="00C33834" w:rsidRDefault="008D1795" w:rsidP="00C33834">
      <w:pPr>
        <w:spacing w:after="0" w:line="240" w:lineRule="auto"/>
        <w:jc w:val="both"/>
        <w:rPr>
          <w:rFonts w:ascii="Times New Roman" w:hAnsi="Times New Roman"/>
          <w:iCs/>
          <w:color w:val="000000" w:themeColor="text1"/>
          <w:sz w:val="16"/>
          <w:szCs w:val="16"/>
        </w:rPr>
      </w:pPr>
    </w:p>
    <w:p w14:paraId="6E0ADEEF" w14:textId="77777777" w:rsidR="009870BF" w:rsidRPr="00C33834" w:rsidRDefault="009870BF"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bCs/>
          <w:color w:val="000000" w:themeColor="text1"/>
          <w:sz w:val="16"/>
          <w:szCs w:val="16"/>
        </w:rPr>
        <w:t>4 апреля 1933 г. правительство Гитлера направило в Ватикан Папена для переговоров о конкордате. Пока шли переговоры с папой, в Германии происходили преследования католиков и их организаций. Католической прессе, сообщавшей об этих гонениях, из Ватикана было предписано прекратить нападки на Гитлера. В июле 1933 г. такое же указание прессе дал архиепископ Бамбергский. Архиепископ Фрейбургский Конрад Гребер запретил духовенству критиковать даже те меры Гитлера, которые были прямо направлены против церковников. Вскоре Гребер отправился в Рим для участия в переговорах о конкордате. 20 июля конкордат был заключен. Благодарный папа наградил фон Папена «Большим крестом ордена Пия» и званием папского камергера (17325).</w:t>
      </w:r>
    </w:p>
    <w:p w14:paraId="32175B9B" w14:textId="77777777" w:rsidR="009870BF" w:rsidRPr="00C33834" w:rsidRDefault="009870BF" w:rsidP="00C33834">
      <w:pPr>
        <w:spacing w:after="0" w:line="240" w:lineRule="auto"/>
        <w:jc w:val="both"/>
        <w:rPr>
          <w:rFonts w:ascii="Times New Roman" w:hAnsi="Times New Roman"/>
          <w:iCs/>
          <w:color w:val="000000" w:themeColor="text1"/>
          <w:sz w:val="16"/>
          <w:szCs w:val="16"/>
        </w:rPr>
      </w:pPr>
    </w:p>
    <w:p w14:paraId="45221702"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7D98F6D"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0060316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апреля 1933 состоялось совещание комиссии по облегчению ТБ-3 (АНТ-6) и решили, что можно на 114 кг (1077,133).</w:t>
      </w:r>
    </w:p>
    <w:p w14:paraId="0554DA80"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234F00F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апреля 1933 года выписка из протокола № 7 заседания РВС</w:t>
      </w:r>
    </w:p>
    <w:p w14:paraId="28E41EB7" w14:textId="77777777" w:rsidR="008E7A66" w:rsidRPr="00C33834" w:rsidRDefault="008E7A66" w:rsidP="00C33834">
      <w:pPr>
        <w:pStyle w:val="24"/>
        <w:widowControl/>
        <w:rPr>
          <w:color w:val="000000" w:themeColor="text1"/>
        </w:rPr>
      </w:pPr>
      <w:r w:rsidRPr="00C33834">
        <w:rPr>
          <w:color w:val="000000" w:themeColor="text1"/>
        </w:rPr>
        <w:t>О включении в план опытного строительства самолета-звено Вахмистрова. Докладчик Вахмистров.</w:t>
      </w:r>
    </w:p>
    <w:p w14:paraId="527B1B1F" w14:textId="77777777" w:rsidR="008E7A66" w:rsidRPr="00C33834" w:rsidRDefault="008E7A66" w:rsidP="00C33834">
      <w:pPr>
        <w:numPr>
          <w:ilvl w:val="0"/>
          <w:numId w:val="14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инженера Вахмистрова В.С. по оборудованию самолета ТБ3 установками для помещения трех самолетов И5 и двух "ЗЕТ" и по посадке И5 на ТБ3 в воздухе – одобрить.</w:t>
      </w:r>
    </w:p>
    <w:p w14:paraId="57CC6524" w14:textId="77777777" w:rsidR="008E7A66" w:rsidRPr="00C33834" w:rsidRDefault="008E7A66" w:rsidP="00C33834">
      <w:pPr>
        <w:numPr>
          <w:ilvl w:val="0"/>
          <w:numId w:val="14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к сведению заявление Баранова П.И., что ГУАПом производство работ Вахмистрова (п. 1) будет обеспечено организационно и производственной базой.</w:t>
      </w:r>
    </w:p>
    <w:p w14:paraId="5750F563" w14:textId="77777777" w:rsidR="008E7A66" w:rsidRPr="00C33834" w:rsidRDefault="008E7A66" w:rsidP="00C33834">
      <w:pPr>
        <w:numPr>
          <w:ilvl w:val="0"/>
          <w:numId w:val="14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время производства этих работ командировать Вахмистрова в ЦАГИ с оставлением в кадрах РККА.</w:t>
      </w:r>
    </w:p>
    <w:p w14:paraId="57E2B29A" w14:textId="77777777" w:rsidR="008E7A66" w:rsidRPr="00C33834" w:rsidRDefault="008E7A66" w:rsidP="00C33834">
      <w:pPr>
        <w:numPr>
          <w:ilvl w:val="0"/>
          <w:numId w:val="14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Начальнику ВВС Алкснису обеспечить производство работ Вахмистрова необходимыми денежными средствами.</w:t>
      </w:r>
    </w:p>
    <w:p w14:paraId="2EEA9D68" w14:textId="77777777" w:rsidR="008E7A66" w:rsidRPr="00C33834" w:rsidRDefault="008E7A66" w:rsidP="00C33834">
      <w:pPr>
        <w:numPr>
          <w:ilvl w:val="0"/>
          <w:numId w:val="14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остальные предложения Вахмистрова рассмотреть и разрешить Тухачевскому, Алкснису и Баранову (7439, 205).</w:t>
      </w:r>
    </w:p>
    <w:p w14:paraId="79A561FD" w14:textId="77777777" w:rsidR="008E7A66" w:rsidRPr="00C33834" w:rsidRDefault="008E7A66" w:rsidP="00C33834">
      <w:pPr>
        <w:tabs>
          <w:tab w:val="left" w:pos="360"/>
        </w:tabs>
        <w:spacing w:after="0" w:line="240" w:lineRule="auto"/>
        <w:jc w:val="both"/>
        <w:rPr>
          <w:rFonts w:ascii="Times New Roman" w:hAnsi="Times New Roman"/>
          <w:color w:val="000000" w:themeColor="text1"/>
          <w:sz w:val="16"/>
          <w:szCs w:val="16"/>
        </w:rPr>
      </w:pPr>
    </w:p>
    <w:p w14:paraId="58AD247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апреля 1933 состоялось заседание РВС (прот. 7) "О состоянии опытного моторо- и самолетостроения" и поручили комиссии под председательством К.Е.Ворошилова (с заменой на Гамарника) разработать проект постановления РВС за 20 дней (1025,67).</w:t>
      </w:r>
    </w:p>
    <w:p w14:paraId="055DB9BD"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77AB3178" w14:textId="77777777" w:rsidR="00252726" w:rsidRPr="00C33834" w:rsidRDefault="00252726" w:rsidP="00C33834">
      <w:pPr>
        <w:pStyle w:val="rtejustify"/>
        <w:spacing w:before="0" w:after="0"/>
        <w:rPr>
          <w:color w:val="000000" w:themeColor="text1"/>
          <w:sz w:val="16"/>
          <w:szCs w:val="16"/>
        </w:rPr>
      </w:pPr>
      <w:r w:rsidRPr="00C33834">
        <w:rPr>
          <w:rStyle w:val="af0"/>
          <w:bCs/>
          <w:i w:val="0"/>
          <w:color w:val="000000" w:themeColor="text1"/>
          <w:sz w:val="16"/>
          <w:szCs w:val="16"/>
        </w:rPr>
        <w:t>5 апреля</w:t>
      </w:r>
      <w:r w:rsidRPr="00C33834">
        <w:rPr>
          <w:color w:val="000000" w:themeColor="text1"/>
          <w:sz w:val="16"/>
          <w:szCs w:val="16"/>
        </w:rPr>
        <w:t xml:space="preserve"> 1933 вышел приказ РВСС № 7. 1. О вооружении связи РККА (Синявский, Егоров). 4. О состоянии опытного моторо- и самолетостроения. (Аузан, Конерт, Петровский, Харламов, Ильюшин). (РГВА. Ф. 4. Оп. 18. Д. 23. Л. 107). 5. О включении в план опытного строительства самолета звена Вахмистрова. (Вахмистров). 6. О выполнении плана заказов ВВС РККА за 1</w:t>
      </w:r>
      <w:r w:rsidRPr="00C33834">
        <w:rPr>
          <w:color w:val="000000" w:themeColor="text1"/>
          <w:sz w:val="16"/>
          <w:szCs w:val="16"/>
        </w:rPr>
        <w:noBreakHyphen/>
        <w:t>й квартал 1933 г. (Баранов П. И.). 7. Об организации научно-исследовательской и конструкторской работы. (Ворошилов). 13. Сообщение о подписании председателем РВСС постановления РВСС «О железных патронных гильзах» от 28 марта 1933 г. (РГВА. Ф. 4. Оп. 18. Д. 23. Л. 106</w:t>
      </w:r>
      <w:r w:rsidRPr="00C33834">
        <w:rPr>
          <w:color w:val="000000" w:themeColor="text1"/>
          <w:sz w:val="16"/>
          <w:szCs w:val="16"/>
        </w:rPr>
        <w:noBreakHyphen/>
        <w:t>108) (15461).</w:t>
      </w:r>
    </w:p>
    <w:p w14:paraId="7D95B011" w14:textId="77777777" w:rsidR="00252726" w:rsidRPr="00C33834" w:rsidRDefault="00252726" w:rsidP="00C33834">
      <w:pPr>
        <w:pStyle w:val="rtejustify"/>
        <w:spacing w:before="0" w:after="0"/>
        <w:rPr>
          <w:rStyle w:val="af0"/>
          <w:bCs/>
          <w:i w:val="0"/>
          <w:color w:val="000000" w:themeColor="text1"/>
          <w:sz w:val="16"/>
          <w:szCs w:val="16"/>
        </w:rPr>
      </w:pPr>
    </w:p>
    <w:p w14:paraId="69C505B6" w14:textId="77777777" w:rsidR="001A3DF7" w:rsidRPr="00C33834" w:rsidRDefault="001A3DF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апреля 1933 г. Н.А. Доровлев направил еще одно письмо Я. М. Железнякову, в котором указывал на острую необходимость собственной производственной базы. В этом письме им впервые была озвучена идея реализации организационной формы, наиболее подходящей для эффективной работы по созданию орудий сопровождения пехоты – образование конструкторского бюро при машиностроительном заводе, имеющего специализированное производство для изготовления минометов. Ввиду «нереалистичности», по оценке самого Н. А. Доровлева, такого плана, им было предложено организовать конструкторско-испытательное бюро при НИАПе, в задачи которого входила бы теоретическая разработка проектов минометных систем. Кроме этого, «При опытном отделе завода №7, по договоренности с ГВМУ, сформировать специальное конструкторское бюро «по выработке орудий сопровождения пехоты». Задачи этого бюро в том, чтобы на основании общих проектов («принципиальных»), даваемых Бюро НИАПа, разрабатывать детальные чертежи систем, разрабатывать технологический процесс, приспособления и строить их в опытных мастерских. После испытаний вносить соответствующие изменения и давать окончательный образец, вполне годный для массового производства (т. е. со всеми разработанными тетрадями и т. п.)».214 (см. Приложение Д) Таким образом, спустя восемь лет после предложения В. М. Трофимова об организации на Ленинградском механическом заводе №7 особой мастерской для опытных работ (в том числе и для изготовления опытных образцов минометов), Н. А. Доровлевым был представлен проект создания на базе данного предприятия специализированного конструкторского бюро с собственной производственной базой, основным предметом деятельности которого было бы проведение опытно-конструкторских работ по созданию минометного вооружения. (20074).</w:t>
      </w:r>
    </w:p>
    <w:p w14:paraId="46790723" w14:textId="77777777" w:rsidR="001A3DF7" w:rsidRPr="00C33834" w:rsidRDefault="001A3DF7" w:rsidP="00C33834">
      <w:pPr>
        <w:spacing w:after="0" w:line="240" w:lineRule="auto"/>
        <w:jc w:val="both"/>
        <w:rPr>
          <w:rFonts w:ascii="Times New Roman" w:hAnsi="Times New Roman"/>
          <w:color w:val="0070C0"/>
          <w:sz w:val="16"/>
          <w:szCs w:val="16"/>
        </w:rPr>
      </w:pPr>
    </w:p>
    <w:p w14:paraId="72907688"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B203113"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0D076E83"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апреля 1933 закончились испытания первого экземпляра нового танкового двигателя завода № 174 мощностью 96 л.с. на стенде, которые проходили с 22 марта. Он продемонстрировал мощность 96 л.с. и проработал непрерывно в течение 5 Часов. Однако, будучи установленным в танк, мотор никак не желал работать нормально. Практически ни один из 30 мото</w:t>
      </w:r>
      <w:r w:rsidRPr="00C33834">
        <w:rPr>
          <w:rFonts w:ascii="Times New Roman" w:hAnsi="Times New Roman"/>
          <w:color w:val="000000" w:themeColor="text1"/>
          <w:sz w:val="16"/>
          <w:szCs w:val="16"/>
        </w:rPr>
        <w:softHyphen/>
        <w:t>ров установочной серии не выдержал гарантированной на</w:t>
      </w:r>
      <w:r w:rsidRPr="00C33834">
        <w:rPr>
          <w:rFonts w:ascii="Times New Roman" w:hAnsi="Times New Roman"/>
          <w:color w:val="000000" w:themeColor="text1"/>
          <w:sz w:val="16"/>
          <w:szCs w:val="16"/>
        </w:rPr>
        <w:softHyphen/>
        <w:t>работки (10733,217).</w:t>
      </w:r>
    </w:p>
    <w:p w14:paraId="71274B70"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p>
    <w:p w14:paraId="0B85FC34" w14:textId="77777777" w:rsidR="00252726" w:rsidRPr="00C33834" w:rsidRDefault="002527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апреля 1933</w:t>
      </w:r>
    </w:p>
    <w:p w14:paraId="2E291BC0" w14:textId="77777777" w:rsidR="00252726" w:rsidRPr="00C33834" w:rsidRDefault="002527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w:t>
      </w:r>
    </w:p>
    <w:p w14:paraId="7A1A6BD0" w14:textId="77777777" w:rsidR="00252726" w:rsidRPr="00C33834" w:rsidRDefault="002527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http://sovdoc.rusarchives.ru</w:t>
      </w:r>
    </w:p>
    <w:p w14:paraId="62A70D50" w14:textId="77777777" w:rsidR="00252726" w:rsidRPr="00C33834" w:rsidRDefault="002527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Архив: </w:t>
      </w:r>
    </w:p>
    <w:p w14:paraId="3DB68E8E" w14:textId="77777777" w:rsidR="00252726" w:rsidRPr="00C33834" w:rsidRDefault="002527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РГАСПИ. Ф. 17. Оп. 3. Д. 922. Л. 57; Оп. 162. Д. 14. Л. 139.</w:t>
      </w:r>
    </w:p>
    <w:p w14:paraId="1F87A4EC" w14:textId="77777777" w:rsidR="00252726" w:rsidRPr="00C33834" w:rsidRDefault="002527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 № 8</w:t>
      </w:r>
    </w:p>
    <w:p w14:paraId="31CEA237" w14:textId="77777777" w:rsidR="00252726" w:rsidRPr="00C33834" w:rsidRDefault="002527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 60/47 пр. ПБ № 137.</w:t>
      </w:r>
    </w:p>
    <w:p w14:paraId="5F31DF76" w14:textId="77777777" w:rsidR="00252726" w:rsidRPr="00C33834" w:rsidRDefault="002527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 увеличении выпуска тракторов.</w:t>
      </w:r>
    </w:p>
    <w:p w14:paraId="175696A6" w14:textId="77777777" w:rsidR="00252726" w:rsidRPr="00C33834" w:rsidRDefault="002527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Утверждено Политбюро ЦК ВКП/б/ 4.V.1933 г.</w:t>
      </w:r>
    </w:p>
    <w:p w14:paraId="6FDE1D8B" w14:textId="77777777" w:rsidR="00252726" w:rsidRPr="00C33834" w:rsidRDefault="002527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3а весь май вести усиленное производство тракторов для текущего сева.</w:t>
      </w:r>
    </w:p>
    <w:p w14:paraId="37204306" w14:textId="77777777" w:rsidR="00252726" w:rsidRPr="00C33834" w:rsidRDefault="002527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 целях своевременной подготовки сева 1934 г., считать необходимым увеличить с первого июня текущего года по 1</w:t>
      </w:r>
      <w:r w:rsidRPr="00C33834">
        <w:rPr>
          <w:rFonts w:ascii="Times New Roman" w:hAnsi="Times New Roman"/>
          <w:color w:val="000000" w:themeColor="text1"/>
          <w:sz w:val="16"/>
          <w:szCs w:val="16"/>
        </w:rPr>
        <w:noBreakHyphen/>
        <w:t>ое июня 1934 г. выпуск тракторов на ХТЗ и СТЗ и пустить Челябинский тракторный завод 1</w:t>
      </w:r>
      <w:r w:rsidRPr="00C33834">
        <w:rPr>
          <w:rFonts w:ascii="Times New Roman" w:hAnsi="Times New Roman"/>
          <w:color w:val="000000" w:themeColor="text1"/>
          <w:sz w:val="16"/>
          <w:szCs w:val="16"/>
        </w:rPr>
        <w:noBreakHyphen/>
        <w:t>го июня.</w:t>
      </w:r>
    </w:p>
    <w:p w14:paraId="6BB81BD0" w14:textId="77777777" w:rsidR="00252726" w:rsidRPr="00C33834" w:rsidRDefault="002527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Установить программу выпуска тракторов, с 1 июня 1933 года по 1</w:t>
      </w:r>
      <w:r w:rsidRPr="00C33834">
        <w:rPr>
          <w:rFonts w:ascii="Times New Roman" w:hAnsi="Times New Roman"/>
          <w:color w:val="000000" w:themeColor="text1"/>
          <w:sz w:val="16"/>
          <w:szCs w:val="16"/>
        </w:rPr>
        <w:noBreakHyphen/>
        <w:t>ое июня 1934 г. по ХТЗ и СТЗ — 76.800 тракторов, из них сверх установленной планом 1933 г. — программы — 10.000 штук.</w:t>
      </w:r>
    </w:p>
    <w:p w14:paraId="110FE437" w14:textId="77777777" w:rsidR="00252726" w:rsidRPr="00C33834" w:rsidRDefault="002527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Программу ЧТЗ установить с начала пуска — 1</w:t>
      </w:r>
      <w:r w:rsidRPr="00C33834">
        <w:rPr>
          <w:rFonts w:ascii="Times New Roman" w:hAnsi="Times New Roman"/>
          <w:color w:val="000000" w:themeColor="text1"/>
          <w:sz w:val="16"/>
          <w:szCs w:val="16"/>
        </w:rPr>
        <w:noBreakHyphen/>
        <w:t>го июня 1933 г. по 1</w:t>
      </w:r>
      <w:r w:rsidRPr="00C33834">
        <w:rPr>
          <w:rFonts w:ascii="Times New Roman" w:hAnsi="Times New Roman"/>
          <w:color w:val="000000" w:themeColor="text1"/>
          <w:sz w:val="16"/>
          <w:szCs w:val="16"/>
        </w:rPr>
        <w:noBreakHyphen/>
        <w:t>ое июня 1934 г. — 4.500 штук, из них 2.000 в текущем году и — 2.500 с первого января по первое июня 1934 г.</w:t>
      </w:r>
    </w:p>
    <w:p w14:paraId="29B2C9F4" w14:textId="77777777" w:rsidR="00252726" w:rsidRPr="00C33834" w:rsidRDefault="002527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Общий выпуск тракторов за год (с 1</w:t>
      </w:r>
      <w:r w:rsidRPr="00C33834">
        <w:rPr>
          <w:rFonts w:ascii="Times New Roman" w:hAnsi="Times New Roman"/>
          <w:color w:val="000000" w:themeColor="text1"/>
          <w:sz w:val="16"/>
          <w:szCs w:val="16"/>
        </w:rPr>
        <w:noBreakHyphen/>
        <w:t>го июня 1933 года по 1</w:t>
      </w:r>
      <w:r w:rsidRPr="00C33834">
        <w:rPr>
          <w:rFonts w:ascii="Times New Roman" w:hAnsi="Times New Roman"/>
          <w:color w:val="000000" w:themeColor="text1"/>
          <w:sz w:val="16"/>
          <w:szCs w:val="16"/>
        </w:rPr>
        <w:noBreakHyphen/>
        <w:t>е июня 1934 г. определить в 81.300 штук или — 1.374 тыс. НР.</w:t>
      </w:r>
    </w:p>
    <w:p w14:paraId="4AFA636A" w14:textId="77777777" w:rsidR="00252726" w:rsidRPr="00C33834" w:rsidRDefault="002527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Решение — особая папка.</w:t>
      </w:r>
    </w:p>
    <w:p w14:paraId="02C4C82E" w14:textId="77777777" w:rsidR="00252726" w:rsidRPr="00C33834" w:rsidRDefault="002527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обеспечения этой программы обязать лично тов. Розенгольца безусловно завезти полностью качественные стали в количестве 100 тыс. тонн, предусмотренных планом, не позже 15</w:t>
      </w:r>
      <w:r w:rsidRPr="00C33834">
        <w:rPr>
          <w:rFonts w:ascii="Times New Roman" w:hAnsi="Times New Roman"/>
          <w:color w:val="000000" w:themeColor="text1"/>
          <w:sz w:val="16"/>
          <w:szCs w:val="16"/>
        </w:rPr>
        <w:noBreakHyphen/>
        <w:t>го ноября.</w:t>
      </w:r>
    </w:p>
    <w:p w14:paraId="52404B0D" w14:textId="77777777" w:rsidR="00252726" w:rsidRPr="00C33834" w:rsidRDefault="002527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Закупить сверх установленного плана для Наркомтяжпрома специально для этой программы 600 тонн олова и 1,5 тонны меди.</w:t>
      </w:r>
    </w:p>
    <w:p w14:paraId="078C105D" w14:textId="77777777" w:rsidR="00252726" w:rsidRPr="00C33834" w:rsidRDefault="002527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Выписки посланы:</w:t>
      </w:r>
    </w:p>
    <w:p w14:paraId="235C73B6" w14:textId="77777777" w:rsidR="00252726" w:rsidRPr="00C33834" w:rsidRDefault="002527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Молотову, Орджоникидзе, Межлауку В., Свистуну, Яковлеву, Розенгольцу, Куйбышеву (18060).</w:t>
      </w:r>
    </w:p>
    <w:p w14:paraId="2CCFE23D" w14:textId="77777777" w:rsidR="00252726" w:rsidRPr="00C33834" w:rsidRDefault="00252726" w:rsidP="00C33834">
      <w:pPr>
        <w:spacing w:after="0" w:line="240" w:lineRule="auto"/>
        <w:jc w:val="both"/>
        <w:rPr>
          <w:rFonts w:ascii="Times New Roman" w:hAnsi="Times New Roman"/>
          <w:color w:val="000000" w:themeColor="text1"/>
          <w:sz w:val="16"/>
          <w:szCs w:val="16"/>
        </w:rPr>
      </w:pPr>
    </w:p>
    <w:p w14:paraId="3E26FED3"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790AB51F"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2AD3699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апреля 1933 в «Перековке» появилось объявление: «Литературных работников газет и журналов, работавших в периодических изданиях, просим сообщить о себе через КВЧ в КВО редакции «Перековка»» (7560).</w:t>
      </w:r>
    </w:p>
    <w:p w14:paraId="0B876F8D"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65CF1A95" w14:textId="77777777" w:rsidR="00CB3050"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53BC655" w14:textId="77777777" w:rsidR="00CB3050" w:rsidRPr="00C33834" w:rsidRDefault="00CB3050" w:rsidP="00C33834">
      <w:pPr>
        <w:spacing w:after="0" w:line="240" w:lineRule="auto"/>
        <w:jc w:val="both"/>
        <w:rPr>
          <w:rFonts w:ascii="Times New Roman" w:hAnsi="Times New Roman"/>
          <w:iCs/>
          <w:color w:val="000000" w:themeColor="text1"/>
          <w:sz w:val="16"/>
          <w:szCs w:val="16"/>
        </w:rPr>
      </w:pPr>
    </w:p>
    <w:p w14:paraId="71347C8C" w14:textId="77777777" w:rsidR="00CB3050" w:rsidRPr="00C33834" w:rsidRDefault="00CB3050"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5 апреля</w:t>
      </w:r>
      <w:r w:rsidRPr="00C33834">
        <w:rPr>
          <w:rFonts w:ascii="Times New Roman" w:hAnsi="Times New Roman"/>
          <w:color w:val="000000" w:themeColor="text1"/>
          <w:sz w:val="16"/>
          <w:szCs w:val="16"/>
        </w:rPr>
        <w:t xml:space="preserve"> в 1933 году международный суд в Гааге признает Гренландию принадлежащей Дании. На территорию острова пыталась претендовать Норвегия (15090).</w:t>
      </w:r>
    </w:p>
    <w:p w14:paraId="059B069E" w14:textId="77777777" w:rsidR="00CB3050" w:rsidRPr="00C33834" w:rsidRDefault="00CB3050" w:rsidP="00C33834">
      <w:pPr>
        <w:spacing w:after="0" w:line="240" w:lineRule="auto"/>
        <w:jc w:val="both"/>
        <w:rPr>
          <w:rFonts w:ascii="Times New Roman" w:hAnsi="Times New Roman"/>
          <w:color w:val="000000" w:themeColor="text1"/>
          <w:sz w:val="16"/>
          <w:szCs w:val="16"/>
        </w:rPr>
      </w:pPr>
    </w:p>
    <w:p w14:paraId="27598356"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0104CF7"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7C656795"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апреля 1933 года шесть специалистов Остехбюро были награждены орденами, в том числе орденом Ленина— В.И.Бекаури, орденом Красной Звезды — В.М.Миткевич. К этому времени Остехбюро превратилось в крупную научно — исследовательскую и проектно — конструкторскую организацию с специализированными отделами, лабораториями и конструкторскими бюро, с хорошей производственной и экспериментальной базой, мастерскими, заводами, плавсредствами, в которые входили корабли, катера; были у Остехбюро самолеты и ангары, собственная радиостанция (10737).</w:t>
      </w:r>
    </w:p>
    <w:p w14:paraId="5943C6BF"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5104D4B7" w14:textId="77777777" w:rsidR="00F40D1C" w:rsidRPr="00C33834" w:rsidRDefault="00F40D1C"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1614F31" w14:textId="77777777" w:rsidR="00F40D1C" w:rsidRPr="00C33834" w:rsidRDefault="00F40D1C" w:rsidP="00C33834">
      <w:pPr>
        <w:spacing w:after="0" w:line="240" w:lineRule="auto"/>
        <w:jc w:val="both"/>
        <w:rPr>
          <w:rFonts w:ascii="Times New Roman" w:hAnsi="Times New Roman"/>
          <w:iCs/>
          <w:color w:val="000000" w:themeColor="text1"/>
          <w:sz w:val="16"/>
          <w:szCs w:val="16"/>
        </w:rPr>
      </w:pPr>
    </w:p>
    <w:p w14:paraId="6842783E"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апреля 1933 года</w:t>
      </w:r>
    </w:p>
    <w:p w14:paraId="590BDF34"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Из строго секретной записи Генриха Коппенберга, председателя наблюдательного совета концерна «Миттельдойче штальверке», от</w:t>
      </w:r>
    </w:p>
    <w:p w14:paraId="377EB152"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апреля 1933 года о переговорах с представителями авиационной промышленности</w:t>
      </w:r>
    </w:p>
    <w:p w14:paraId="1265720E"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Господин Фриц Тиссен, открыв заседание, приветствовал представителей частных фирм, производящих самолеты и авиационные моторы, и развеял очевидно возникшие у них опасения относительно поглощения их крупной промышленностью...</w:t>
      </w:r>
    </w:p>
    <w:p w14:paraId="58D53FB4"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Господин Мелих подробно остановился на вопросах конструирования и производства моторов и частей самолетов, предъявил высокие требования к моторостроению и забраковал дерево как строительный материал.</w:t>
      </w:r>
    </w:p>
    <w:p w14:paraId="07F9B436"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Он провел различие между технической и экономической сторонами производства, высказав мнение, что техническая сторона имеет главное значение и что экономические вопросы можно будет решить позднее. Он говорил об оперативном воздушном флоте, который должна иметь Германия в силу своего центрального положения в Европе и на который падает особая задача по противодействию и уничтожению вражеских воздушных сил соседних государств. Эта цель должна быть достигнута не сейчас, а только через несколько лет, и надо использовать имеющееся еще время. Для этого необходимо переподготовить технических специалистов и добиться духовного взаимодействия кадров, которые будут заниматься этим делом. На первых порах планируется выпускать продукцию на сумму 60 миллионов марок, тогда как прежде мы выпускали ее на 20 миллионов.</w:t>
      </w:r>
    </w:p>
    <w:p w14:paraId="11832A9A"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Большой угрозе подвергается промышленность на западе страны. Пограничные районы вообще беззащитны, поэтому они выпадают из расчетов. Защитить эти районы можно только с помощью обнаружения и уничтожения вражеских сил на месте.</w:t>
      </w:r>
    </w:p>
    <w:p w14:paraId="70060526"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Высказывания Мелиха были проникнуты более или менее идеалистическими представлениями. В них затрагивались технические, военные и психологические стороны проблемы и не получил детального освещения вопрос о создании достаточно активной противовоздушной обороны. Но все же его выступление было целеустремленным.</w:t>
      </w:r>
    </w:p>
    <w:p w14:paraId="32006D47"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Хейнкель, как делец, поставил на первый план достижения нашей авиационной промышленности в области аэродинамики и летной техники, имея, вероятно, в виду самого себя. В остальном он тоже широко осветил вопрос о материалах, поддержал Гельмута Хирта и подчеркнул необходимость строгого нормирования, что и так не вызывает сомнений.</w:t>
      </w:r>
    </w:p>
    <w:p w14:paraId="556D1AFA"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Господа Фёглер, Сименс и Тиссен остановились после этого на вопросах о материалах и разработке конструкций, поднятых на совещании, и подчеркнули необходимость совместной работы в деле создания наиболее совершенных образцов. Была достигнута договоренность учредить при фирме «Сименс» в Берлине опекунское бюро, в котором на первых порах будут заняты господа Хирт и д-р Дэвес. Доктор Дэвес при содействии господина Хирта будет заниматься вопросами равномерного привлечения всех заинтересованных сил и учреждений, (сталеплавильные заводы, заводы алюминиевой промышленности, моторостроительные фирмы, самолетостроительные предприятия, испытательные учреждения, научные институты, союзы авиационной промышленности, Имперский союз и т. д. и т. п.) к разработке, содействию и выполнению поставленных задач.</w:t>
      </w:r>
    </w:p>
    <w:p w14:paraId="55B0CF06"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 последующем новом совещании должен быть обсужден весь затронутый круг вопросов...</w:t>
      </w:r>
    </w:p>
    <w:p w14:paraId="7B02E9B9"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 совещании не представился случай объявить, что мы имеем авиационный завод, который построил 2500 самолетов — от одноместных истребителей до крупных бомбардировщиков с размахом крыльев 45 м (ежедневная производительность — 5 самолетов), который мы можем в любое время быстро ввести в действие [док. 30].</w:t>
      </w:r>
    </w:p>
    <w:p w14:paraId="39CD6886"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Архив Главной комиссии, Процесс Круппа, док. НИ-10118 (20608).</w:t>
      </w:r>
    </w:p>
    <w:p w14:paraId="182FC283" w14:textId="77777777" w:rsidR="00F40D1C" w:rsidRPr="00C33834" w:rsidRDefault="00F40D1C" w:rsidP="00C33834">
      <w:pPr>
        <w:spacing w:after="0" w:line="240" w:lineRule="auto"/>
        <w:jc w:val="both"/>
        <w:rPr>
          <w:rFonts w:ascii="Times New Roman" w:hAnsi="Times New Roman"/>
          <w:color w:val="0070C0"/>
          <w:sz w:val="16"/>
          <w:szCs w:val="16"/>
        </w:rPr>
      </w:pPr>
    </w:p>
    <w:p w14:paraId="182C84E6"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EF33A87"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5419381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апреля 1933 г. СССР-HI сдали в ремонт на севастопольский завод № 45. В ближайшие дни бывший "Комсеверпуть-1" в связи с реорганизацией и появлением Главного Управления Северного морского пути успели перерегистрировать. Однако эта канцелярская забота оказалась неуместной. Повреждения конструкции, полученные при падении с крана, при тщательной дефектации определили как недопустимые для продолжения полетов, и Дорнье "Валь" СССР-HI сняли с эксплуатации (11970).</w:t>
      </w:r>
    </w:p>
    <w:p w14:paraId="668AA01A"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6F2CF10A"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апреля 1933 г. заместитель наркома тяжелой промышленности П.И. Баранов в письме секретарю Совета Труда и Обороны, писал: "Мотор М-34 к настоящему времени является надежным мотором и по своим данным стоит в ряду заграничных невысотных моторов. Надежность мотора доказана на большом количестве 100-часовых испытаний. На проводимых в настоящее время НИИ ВВС РККА эксплуатационных испытаниях мотор проработал в условиях работы на самолете 270 часов без разборки (с частичной переборкой после 230 часов работы с заменой 2-х клапанов, направляющей клапана и двух поршневых колец) и становится на дальнейшее испытание до 300 часов. Как эти испытания, так и проведенные испытания мотора № 2040 на полном газе в течение 80 часов дают основание считать, что в ближайшее время можно будет повысить мощность мотора и гарантировать срок службы между переборками до 200 часов.</w:t>
      </w:r>
    </w:p>
    <w:p w14:paraId="2A28068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 имеют еще отдельные недостатки (кустарный способ заливки баббитом головок шатунов, дефекты масляных помп), над устранением которых завод работает. При обеспечении редуктором, нагнетателем, винтом переменного шага изготовляемый в ЦИАМе мотор становится в разряд первоклассных моторов.</w:t>
      </w:r>
    </w:p>
    <w:p w14:paraId="5C8FCA5A"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Предварительные работы по форсированию мотора показали, что мотор может развивать максимальную мощность 1000 л.с. Мотор испытан на самолете Р-5 и испытывается на ТБ-3 в полете с удовлетворительными результатами" (9028).</w:t>
      </w:r>
    </w:p>
    <w:p w14:paraId="1352BFF5"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689AC4A3" w14:textId="77777777" w:rsidR="00CB3050" w:rsidRPr="00C33834" w:rsidRDefault="00CB305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началу апреля 1933 г. опытные экземпляры моторов М-38 (600 л.с.) и М-58 (630 л.с.) проходили заводские испытания на станке, при этом М-38 наработал 260 часов, а М-58 — 53 часа, оба с большим количеством дефектов (15823).</w:t>
      </w:r>
    </w:p>
    <w:p w14:paraId="1476889E" w14:textId="77777777" w:rsidR="00CB3050" w:rsidRPr="00C33834" w:rsidRDefault="00CB3050" w:rsidP="00C33834">
      <w:pPr>
        <w:spacing w:after="0" w:line="240" w:lineRule="auto"/>
        <w:jc w:val="both"/>
        <w:rPr>
          <w:rFonts w:ascii="Times New Roman" w:hAnsi="Times New Roman"/>
          <w:color w:val="000000" w:themeColor="text1"/>
          <w:sz w:val="16"/>
          <w:szCs w:val="16"/>
        </w:rPr>
      </w:pPr>
    </w:p>
    <w:p w14:paraId="2263E25A" w14:textId="77777777" w:rsidR="001470B0" w:rsidRPr="00C33834" w:rsidRDefault="001470B0"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К началу апреля 1933 года опытные экземпляры моторов М-38 (600 л.с.) и М-58 (630 л.с.) проходили заводские испытания на станке, при этом М-38 наработал 260 часов, а М-58 – 53 часа, оба с большим количеством дефектов (19177).</w:t>
      </w:r>
    </w:p>
    <w:p w14:paraId="6CEF5F13" w14:textId="77777777" w:rsidR="001470B0" w:rsidRPr="00C33834" w:rsidRDefault="001470B0" w:rsidP="00C33834">
      <w:pPr>
        <w:pStyle w:val="ae"/>
        <w:shd w:val="clear" w:color="auto" w:fill="FFFFFF"/>
        <w:spacing w:before="0" w:after="0"/>
        <w:jc w:val="both"/>
        <w:textAlignment w:val="baseline"/>
        <w:rPr>
          <w:color w:val="000000" w:themeColor="text1"/>
          <w:sz w:val="16"/>
          <w:szCs w:val="16"/>
        </w:rPr>
      </w:pPr>
    </w:p>
    <w:p w14:paraId="361F4793" w14:textId="77777777" w:rsidR="001470B0" w:rsidRPr="00C33834" w:rsidRDefault="001470B0"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6909ACFD" w14:textId="77777777" w:rsidR="001470B0" w:rsidRPr="00C33834" w:rsidRDefault="001470B0" w:rsidP="00C33834">
      <w:pPr>
        <w:spacing w:after="0" w:line="240" w:lineRule="auto"/>
        <w:jc w:val="both"/>
        <w:rPr>
          <w:rFonts w:ascii="Times New Roman" w:hAnsi="Times New Roman"/>
          <w:color w:val="000000" w:themeColor="text1"/>
          <w:sz w:val="16"/>
          <w:szCs w:val="16"/>
        </w:rPr>
      </w:pPr>
    </w:p>
    <w:p w14:paraId="333E56E7" w14:textId="77777777" w:rsidR="001470B0" w:rsidRPr="00C33834" w:rsidRDefault="001470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апреля 1933 г. впервые на трех шахтах Мясницкого радиуса наметился существенный прогресс. Прочие шахты и дистанции следовало сначала реконструировать, перестроить с закрытого на открытый способ работ или заложить заново. На Фрунзенском и Арбатском радиусе пока велись лишь подготовительные работы. С апреля по июль 1933 г. дистанции и некоторые новые шахты Мясницкого радиуса были буквально взяты с боем.</w:t>
      </w:r>
    </w:p>
    <w:p w14:paraId="7998B275" w14:textId="77777777" w:rsidR="001470B0" w:rsidRPr="00C33834" w:rsidRDefault="001470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 шахтах, где столкнулись с водоносными слоями грунта и плавучими песками, оказался неприемлем способ проходки штольни с помощью деревянной крепи, практиковавшийся специалистами из Донбасса. Появились деформации, частичное обрушение и повреждение зданий. Ряд шахт пришлось законсервировать{491}до тех пор, пока благодаря кессонной технологии не появилась возможность прорыва в этой области. 22 апреля 1933 г. под руководством инженеров Кучеренко и Тесленко былсоздан кессонный отдел, в ведение которого перешли работы на «замороженных» шахтах{492}.По настоянию Хрущева на особо тяжелом участке южнее </w:t>
      </w:r>
      <w:r w:rsidRPr="00C33834">
        <w:rPr>
          <w:rFonts w:ascii="Times New Roman" w:hAnsi="Times New Roman"/>
          <w:color w:val="000000" w:themeColor="text1"/>
          <w:sz w:val="16"/>
          <w:szCs w:val="16"/>
        </w:rPr>
        <w:lastRenderedPageBreak/>
        <w:t>Казанского вокзала, где пришлось преодолевать подземную речку Ольховку, кессонную технику стали использоватьне только при проходке вертикальных шахт, но и при прокладке горизонтальных тоннелей. Для этого на поверхности изготавливали 25-метровые бетонные фрагменты тоннеля, которые укладывались друг за другом, пока кессон не достигал проектной глубины{493} (18299).</w:t>
      </w:r>
    </w:p>
    <w:p w14:paraId="72032AD6" w14:textId="77777777" w:rsidR="001470B0" w:rsidRPr="00C33834" w:rsidRDefault="001470B0" w:rsidP="00C33834">
      <w:pPr>
        <w:spacing w:after="0" w:line="240" w:lineRule="auto"/>
        <w:jc w:val="both"/>
        <w:rPr>
          <w:rFonts w:ascii="Times New Roman" w:hAnsi="Times New Roman"/>
          <w:color w:val="000000" w:themeColor="text1"/>
          <w:sz w:val="16"/>
          <w:szCs w:val="16"/>
        </w:rPr>
      </w:pPr>
    </w:p>
    <w:p w14:paraId="7E8F4927"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9F64F48"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594C6F9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апреля 1933 года Базилевич писал письмо № 484/ко в НК РКИ Куйбышеву Н.В.</w:t>
      </w:r>
    </w:p>
    <w:p w14:paraId="64611BE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указанию Куйбышева В.В., прошу доложить ему ваши соображения о возможности включения в число авиационных вопросов, подлежащих рассмотрению комиссии Куйбышева В.В., также и доклад о выполнении плана опытного самолето- и моторостроения (по справке Алкснис к заседанию РВС’С констатируется срыв задания Правительства).</w:t>
      </w:r>
    </w:p>
    <w:p w14:paraId="7C77CA3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Заседание комиссии Куйбышева В.В. состоится 10 апреля 1933 года в 7 часов вечера (4223, 39).</w:t>
      </w:r>
    </w:p>
    <w:p w14:paraId="1A95E917"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041BDEEA"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3C437C64"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0407E9D0"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7 и 12 апреля 1933. Из протокола заседания Политбюро N 136, 1933 г.</w:t>
      </w:r>
    </w:p>
    <w:p w14:paraId="3EA1901A"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выдаче паспортов в г. Москве и 100-километровой зоне </w:t>
      </w:r>
    </w:p>
    <w:p w14:paraId="5722107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Утвердить следующие предложения комиссии тов. Калинина: </w:t>
      </w:r>
    </w:p>
    <w:p w14:paraId="50DF331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 Признать, что каких-либо изменений в изданную инструкцию вносить в настоящее время не следует. </w:t>
      </w:r>
    </w:p>
    <w:p w14:paraId="1DB91071"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 Разъяснить, что все лица, не получившие паспортов в Москве и 100-километровой зоне и др. пунктах, где проводится паспортизация в первую очередь, имеют право свободного проживания во всех других местах Союза ССР и прописка их на жительство в местах их выбора обязательна. </w:t>
      </w:r>
    </w:p>
    <w:p w14:paraId="5FB89345"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Учитывая возможное расширительное толкование и применение пунктов инструкции о невыдаче паспортов по судимости в сельских местностях (100-километровой зоне) по отдельным статьям УК (как, например, 107 ст. УК РСФСР и др., по которым не установлена норма репрессии), дать соответствующее разъяснение, устраняющее расширительное применение практики невыдачи паспортов в отношении постоянных жителей сельских местностей. </w:t>
      </w:r>
    </w:p>
    <w:p w14:paraId="46F69E3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г) Также признать целесообразным выдавать паспорта в отдельных случаях тем лицам в сельских местностях (100-километровой зоне), в отношении которых старая судимость, хотя формально и не допускает выдачи паспорта, но может быть покрыта их добросовестным исполнением в настоящее время государственных обязательств и хорошим поведением... </w:t>
      </w:r>
    </w:p>
    <w:p w14:paraId="7E1FE616"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Последнее в особенности должно проводиться в отношении крестьян-единоличников, имеющих озимый посев и выполнивших обязательства к весеннему севу. </w:t>
      </w:r>
    </w:p>
    <w:p w14:paraId="28CAD8D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Указать на необходимость особо внимательного подхода к разрешению вопросов о лишении паспортов стариков — отцов и матерей, детям которых паспорта выданы. </w:t>
      </w:r>
    </w:p>
    <w:p w14:paraId="08EDC43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 Бывшим служителям культов, снявшим с себя сан, но лишенным избирательных прав, как правило, паспорта выдавать. </w:t>
      </w:r>
    </w:p>
    <w:p w14:paraId="248E35F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е) Признать необходимым лицам многосемейным, не получившим паспорта и подлежащим выезду, предоставлять льготный срок для выезда с 10-ти дней до 1 месяца. </w:t>
      </w:r>
    </w:p>
    <w:p w14:paraId="7EB954D0"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 Поручить Главному Управлению милиции дать указание своим местным органам в соответствии с п.п. "б" по "е" настоящего постановления (11652).</w:t>
      </w:r>
    </w:p>
    <w:p w14:paraId="26F7BB15"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08D0D080"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7 и 12 апреля 1933. Из протокола заседания Политбюро N 34, 1933 г.</w:t>
      </w:r>
    </w:p>
    <w:p w14:paraId="4DDB76F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Вопрос Северо-Кавказского крайкома </w:t>
      </w:r>
    </w:p>
    <w:p w14:paraId="7770ECD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Принять следующее предложение тт. Шеболдаева и Ларина: </w:t>
      </w:r>
    </w:p>
    <w:p w14:paraId="423A52D6"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Выслать в первую очередь до начала курортного сезона не позднее 15 апреля из Сочинского и Туапсинского районов 3000 семейств и из группы минводских курортов 2000 семейств контрреволюционных, паразитических и деклассированных элементов, засоряющих курортные районы (11652).</w:t>
      </w:r>
    </w:p>
    <w:p w14:paraId="5288C311"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63B04F85" w14:textId="77777777" w:rsidR="00CB1AF9" w:rsidRPr="00C33834" w:rsidRDefault="00CB1AF9"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7DE7942E" w14:textId="77777777" w:rsidR="00CB1AF9" w:rsidRPr="00C33834" w:rsidRDefault="00CB1AF9" w:rsidP="00C33834">
      <w:pPr>
        <w:spacing w:after="0" w:line="240" w:lineRule="auto"/>
        <w:jc w:val="both"/>
        <w:rPr>
          <w:rFonts w:ascii="Times New Roman" w:hAnsi="Times New Roman"/>
          <w:iCs/>
          <w:color w:val="000000" w:themeColor="text1"/>
          <w:sz w:val="16"/>
          <w:szCs w:val="16"/>
        </w:rPr>
      </w:pPr>
    </w:p>
    <w:p w14:paraId="382C9402" w14:textId="77777777" w:rsidR="00CB1AF9" w:rsidRPr="00C33834" w:rsidRDefault="00CB1AF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апреля 1933 г. председатель правления Амторга П.А. Богданов обратился к Сталину с письмом о необходимости расширения техпомощи из США. 6 января 1934 г. об этом писал руководитель тяжелой промышленности С. Орджоникидзе, понимая важность использования высокой технологии США11. 15 февраля 1934 г. журнал "Анналист" отмечал, что признание СССР увеличивает надежду на немедленное расширение с ним торговли, поскольку он нуждается в оборудовании для промышленности, сельского хозяйства и транспорта. Производство автомобилей в СССР ежегодно 35 — 50 тыс. штук — это "только капля в море". "Анналист" признавал, что Советский Союз является крупным потенциальным рынком, но проблема состоит в платежах. Он желает получить долгосрочные кредиты. Резкое падение экспорта США в СССР в 1932 и 1933 гг. побуждает СССР перенести свои заказы в Европу. В 1933 г. товарооборот между США и СССР сократился до самого низкого уровня после 1923 г. (18280).</w:t>
      </w:r>
    </w:p>
    <w:p w14:paraId="2136EEC4" w14:textId="77777777" w:rsidR="00CB1AF9" w:rsidRPr="00C33834" w:rsidRDefault="00CB1AF9" w:rsidP="00C33834">
      <w:pPr>
        <w:spacing w:after="0" w:line="240" w:lineRule="auto"/>
        <w:jc w:val="both"/>
        <w:rPr>
          <w:rFonts w:ascii="Times New Roman" w:hAnsi="Times New Roman"/>
          <w:color w:val="000000" w:themeColor="text1"/>
          <w:sz w:val="16"/>
          <w:szCs w:val="16"/>
        </w:rPr>
      </w:pPr>
    </w:p>
    <w:p w14:paraId="5372871B"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BB5EF99"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3DB5A3CA"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апреля 1933 состоялось заседание комиссии К.Е.Ворошилова "Об опытном самолето- и моторостроении". Образовали три подкомиссии:</w:t>
      </w:r>
    </w:p>
    <w:p w14:paraId="7C5942B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самолето- и моторостроению - Егоров - пред. и был А.Н.Т.;</w:t>
      </w:r>
    </w:p>
    <w:p w14:paraId="07623C0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вооружению - пред. М.Н.Тухачевский и был А.Н.Т.;</w:t>
      </w:r>
    </w:p>
    <w:p w14:paraId="5EA4C934"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по горючему (1025,68).</w:t>
      </w:r>
    </w:p>
    <w:p w14:paraId="72C7BDBC"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По-видимому где-то в 1933 эта комиссия проанализировала план опытного самолетостроения (351):</w:t>
      </w:r>
    </w:p>
    <w:p w14:paraId="73C6BA1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ОПЫТНОГО САМОЛЕТОСТРОЕНИЯ</w:t>
      </w:r>
    </w:p>
    <w:p w14:paraId="29DD5095"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СОСТОЯНИЕ ПЛАНОВЫХ РАБОТ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041"/>
        <w:gridCol w:w="1145"/>
        <w:gridCol w:w="5177"/>
      </w:tblGrid>
      <w:tr w:rsidR="00F26F01" w:rsidRPr="00C33834" w14:paraId="4A92437D" w14:textId="77777777">
        <w:tc>
          <w:tcPr>
            <w:tcW w:w="2235" w:type="dxa"/>
          </w:tcPr>
          <w:p w14:paraId="2A692A5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N п/п</w:t>
            </w:r>
          </w:p>
        </w:tc>
        <w:tc>
          <w:tcPr>
            <w:tcW w:w="2041" w:type="dxa"/>
          </w:tcPr>
          <w:p w14:paraId="1F8A06A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 самолета</w:t>
            </w:r>
          </w:p>
        </w:tc>
        <w:tc>
          <w:tcPr>
            <w:tcW w:w="1145" w:type="dxa"/>
          </w:tcPr>
          <w:p w14:paraId="0D2DED3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утв. Правит.</w:t>
            </w:r>
          </w:p>
        </w:tc>
        <w:tc>
          <w:tcPr>
            <w:tcW w:w="5177" w:type="dxa"/>
          </w:tcPr>
          <w:p w14:paraId="35F31C5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установл.</w:t>
            </w:r>
          </w:p>
        </w:tc>
      </w:tr>
      <w:tr w:rsidR="00F26F01" w:rsidRPr="00C33834" w14:paraId="09019237" w14:textId="77777777">
        <w:tc>
          <w:tcPr>
            <w:tcW w:w="2235" w:type="dxa"/>
          </w:tcPr>
          <w:p w14:paraId="6833FA1C"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2041" w:type="dxa"/>
          </w:tcPr>
          <w:p w14:paraId="2D0EECFF"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1145" w:type="dxa"/>
          </w:tcPr>
          <w:p w14:paraId="30A6D0E6"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5177" w:type="dxa"/>
          </w:tcPr>
          <w:p w14:paraId="0AA8CE5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комис. Р.В.С.</w:t>
            </w:r>
          </w:p>
        </w:tc>
      </w:tr>
      <w:tr w:rsidR="00F26F01" w:rsidRPr="00C33834" w14:paraId="645573E0" w14:textId="77777777">
        <w:tc>
          <w:tcPr>
            <w:tcW w:w="2235" w:type="dxa"/>
          </w:tcPr>
          <w:p w14:paraId="1C5305F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2041" w:type="dxa"/>
          </w:tcPr>
          <w:p w14:paraId="3817F71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ТБ4-6М34 оп.</w:t>
            </w:r>
          </w:p>
        </w:tc>
        <w:tc>
          <w:tcPr>
            <w:tcW w:w="1145" w:type="dxa"/>
          </w:tcPr>
          <w:p w14:paraId="0A6E456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01.11.1932</w:t>
            </w:r>
          </w:p>
        </w:tc>
        <w:tc>
          <w:tcPr>
            <w:tcW w:w="5177" w:type="dxa"/>
          </w:tcPr>
          <w:p w14:paraId="436A6946"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15.05.1932</w:t>
            </w:r>
          </w:p>
        </w:tc>
      </w:tr>
      <w:tr w:rsidR="00F26F01" w:rsidRPr="00C33834" w14:paraId="56EB675C" w14:textId="77777777">
        <w:tc>
          <w:tcPr>
            <w:tcW w:w="2235" w:type="dxa"/>
          </w:tcPr>
          <w:p w14:paraId="3D4B4339"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2041" w:type="dxa"/>
          </w:tcPr>
          <w:p w14:paraId="0B5EBC4D"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1145" w:type="dxa"/>
          </w:tcPr>
          <w:p w14:paraId="4C6A7A3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исп.</w:t>
            </w:r>
          </w:p>
        </w:tc>
        <w:tc>
          <w:tcPr>
            <w:tcW w:w="5177" w:type="dxa"/>
          </w:tcPr>
          <w:p w14:paraId="2BE04CB4"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исп.</w:t>
            </w:r>
          </w:p>
        </w:tc>
      </w:tr>
      <w:tr w:rsidR="00F26F01" w:rsidRPr="00C33834" w14:paraId="1E29D174" w14:textId="77777777">
        <w:tc>
          <w:tcPr>
            <w:tcW w:w="2235" w:type="dxa"/>
          </w:tcPr>
          <w:p w14:paraId="1FE929B0"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2041" w:type="dxa"/>
          </w:tcPr>
          <w:p w14:paraId="4EF102A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ТБ4-6М34Ф гол.</w:t>
            </w:r>
          </w:p>
        </w:tc>
        <w:tc>
          <w:tcPr>
            <w:tcW w:w="1145" w:type="dxa"/>
          </w:tcPr>
          <w:p w14:paraId="0F009A7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01.06.1933</w:t>
            </w:r>
          </w:p>
        </w:tc>
        <w:tc>
          <w:tcPr>
            <w:tcW w:w="5177" w:type="dxa"/>
          </w:tcPr>
          <w:p w14:paraId="25328520"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15.11.1933</w:t>
            </w:r>
          </w:p>
        </w:tc>
      </w:tr>
      <w:tr w:rsidR="00F26F01" w:rsidRPr="00C33834" w14:paraId="21C16965" w14:textId="77777777">
        <w:tc>
          <w:tcPr>
            <w:tcW w:w="2235" w:type="dxa"/>
          </w:tcPr>
          <w:p w14:paraId="455504CA"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2041" w:type="dxa"/>
          </w:tcPr>
          <w:p w14:paraId="69A59551"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1145" w:type="dxa"/>
          </w:tcPr>
          <w:p w14:paraId="105E3FC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w:t>
            </w:r>
          </w:p>
        </w:tc>
        <w:tc>
          <w:tcPr>
            <w:tcW w:w="5177" w:type="dxa"/>
          </w:tcPr>
          <w:p w14:paraId="0AC0CE9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исп.</w:t>
            </w:r>
          </w:p>
        </w:tc>
      </w:tr>
      <w:tr w:rsidR="00F26F01" w:rsidRPr="00C33834" w14:paraId="535E959C" w14:textId="77777777">
        <w:tc>
          <w:tcPr>
            <w:tcW w:w="2235" w:type="dxa"/>
          </w:tcPr>
          <w:p w14:paraId="13F4FD91"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2041" w:type="dxa"/>
          </w:tcPr>
          <w:p w14:paraId="38B06E28"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ТБ3-4М34РН</w:t>
            </w:r>
          </w:p>
        </w:tc>
        <w:tc>
          <w:tcPr>
            <w:tcW w:w="1145" w:type="dxa"/>
          </w:tcPr>
          <w:p w14:paraId="637EBD2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5177" w:type="dxa"/>
          </w:tcPr>
          <w:p w14:paraId="102AC1E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01.10.1934</w:t>
            </w:r>
          </w:p>
        </w:tc>
      </w:tr>
      <w:tr w:rsidR="00F26F01" w:rsidRPr="00C33834" w14:paraId="09B779C8" w14:textId="77777777">
        <w:tc>
          <w:tcPr>
            <w:tcW w:w="2235" w:type="dxa"/>
          </w:tcPr>
          <w:p w14:paraId="6E9E6CD1"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2041" w:type="dxa"/>
          </w:tcPr>
          <w:p w14:paraId="4EC18463"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1145" w:type="dxa"/>
          </w:tcPr>
          <w:p w14:paraId="7100AA8B"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5177" w:type="dxa"/>
          </w:tcPr>
          <w:p w14:paraId="419B9BD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w:t>
            </w:r>
          </w:p>
        </w:tc>
      </w:tr>
      <w:tr w:rsidR="00F26F01" w:rsidRPr="00C33834" w14:paraId="1A0CFA63" w14:textId="77777777">
        <w:tc>
          <w:tcPr>
            <w:tcW w:w="2235" w:type="dxa"/>
          </w:tcPr>
          <w:p w14:paraId="5EC790D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2041" w:type="dxa"/>
          </w:tcPr>
          <w:p w14:paraId="290DA31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МИ3-2М34 оп.</w:t>
            </w:r>
          </w:p>
        </w:tc>
        <w:tc>
          <w:tcPr>
            <w:tcW w:w="1145" w:type="dxa"/>
          </w:tcPr>
          <w:p w14:paraId="0B36684C"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01.01.1933</w:t>
            </w:r>
          </w:p>
        </w:tc>
        <w:tc>
          <w:tcPr>
            <w:tcW w:w="5177" w:type="dxa"/>
          </w:tcPr>
          <w:p w14:paraId="414BF544"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01.09.1933</w:t>
            </w:r>
          </w:p>
        </w:tc>
      </w:tr>
      <w:tr w:rsidR="00F26F01" w:rsidRPr="00C33834" w14:paraId="6FE9DF1C" w14:textId="77777777">
        <w:tc>
          <w:tcPr>
            <w:tcW w:w="2235" w:type="dxa"/>
          </w:tcPr>
          <w:p w14:paraId="7EEE62C8"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2041" w:type="dxa"/>
          </w:tcPr>
          <w:p w14:paraId="1A50830D"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1145" w:type="dxa"/>
          </w:tcPr>
          <w:p w14:paraId="1DC04EE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исп.</w:t>
            </w:r>
          </w:p>
        </w:tc>
        <w:tc>
          <w:tcPr>
            <w:tcW w:w="5177" w:type="dxa"/>
          </w:tcPr>
          <w:p w14:paraId="759F00A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w:t>
            </w:r>
          </w:p>
        </w:tc>
      </w:tr>
      <w:tr w:rsidR="00F26F01" w:rsidRPr="00C33834" w14:paraId="0CBEEAE8" w14:textId="77777777">
        <w:tc>
          <w:tcPr>
            <w:tcW w:w="2235" w:type="dxa"/>
          </w:tcPr>
          <w:p w14:paraId="7A213585"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2041" w:type="dxa"/>
          </w:tcPr>
          <w:p w14:paraId="670F355C"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МК-6М34Р</w:t>
            </w:r>
          </w:p>
        </w:tc>
        <w:tc>
          <w:tcPr>
            <w:tcW w:w="1145" w:type="dxa"/>
          </w:tcPr>
          <w:p w14:paraId="4D7F08FA"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01.12.1933</w:t>
            </w:r>
          </w:p>
        </w:tc>
        <w:tc>
          <w:tcPr>
            <w:tcW w:w="5177" w:type="dxa"/>
          </w:tcPr>
          <w:p w14:paraId="1D8830A5"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01.08.1934</w:t>
            </w:r>
          </w:p>
        </w:tc>
      </w:tr>
      <w:tr w:rsidR="00F26F01" w:rsidRPr="00C33834" w14:paraId="664A9038" w14:textId="77777777">
        <w:tc>
          <w:tcPr>
            <w:tcW w:w="2235" w:type="dxa"/>
          </w:tcPr>
          <w:p w14:paraId="13468C44"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2041" w:type="dxa"/>
          </w:tcPr>
          <w:p w14:paraId="147FD935"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1145" w:type="dxa"/>
          </w:tcPr>
          <w:p w14:paraId="07BC8B31"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5177" w:type="dxa"/>
          </w:tcPr>
          <w:p w14:paraId="67348E78"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w:t>
            </w:r>
          </w:p>
        </w:tc>
      </w:tr>
      <w:tr w:rsidR="00F26F01" w:rsidRPr="00C33834" w14:paraId="47BE21B3" w14:textId="77777777">
        <w:tc>
          <w:tcPr>
            <w:tcW w:w="2235" w:type="dxa"/>
          </w:tcPr>
          <w:p w14:paraId="558BB37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2041" w:type="dxa"/>
          </w:tcPr>
          <w:p w14:paraId="6B71F25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МДР4-3М34Р</w:t>
            </w:r>
          </w:p>
        </w:tc>
        <w:tc>
          <w:tcPr>
            <w:tcW w:w="1145" w:type="dxa"/>
          </w:tcPr>
          <w:p w14:paraId="0D6AE054"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5177" w:type="dxa"/>
          </w:tcPr>
          <w:p w14:paraId="582CBF9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01.07.1934</w:t>
            </w:r>
          </w:p>
        </w:tc>
      </w:tr>
      <w:tr w:rsidR="00F26F01" w:rsidRPr="00C33834" w14:paraId="429C2E89" w14:textId="77777777">
        <w:tc>
          <w:tcPr>
            <w:tcW w:w="2235" w:type="dxa"/>
          </w:tcPr>
          <w:p w14:paraId="641FABD0"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2041" w:type="dxa"/>
          </w:tcPr>
          <w:p w14:paraId="2E0F37F6"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1145" w:type="dxa"/>
          </w:tcPr>
          <w:p w14:paraId="18E29357"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5177" w:type="dxa"/>
          </w:tcPr>
          <w:p w14:paraId="473B2235"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гос.исп.</w:t>
            </w:r>
          </w:p>
        </w:tc>
      </w:tr>
      <w:tr w:rsidR="00F26F01" w:rsidRPr="00C33834" w14:paraId="1213447B" w14:textId="77777777">
        <w:tc>
          <w:tcPr>
            <w:tcW w:w="2235" w:type="dxa"/>
          </w:tcPr>
          <w:p w14:paraId="7CB20B18"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c>
          <w:tcPr>
            <w:tcW w:w="2041" w:type="dxa"/>
          </w:tcPr>
          <w:p w14:paraId="556082F1"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ЛР-М34</w:t>
            </w:r>
          </w:p>
        </w:tc>
        <w:tc>
          <w:tcPr>
            <w:tcW w:w="1145" w:type="dxa"/>
          </w:tcPr>
          <w:p w14:paraId="728C2EB1"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01.07.1933</w:t>
            </w:r>
          </w:p>
        </w:tc>
        <w:tc>
          <w:tcPr>
            <w:tcW w:w="5177" w:type="dxa"/>
          </w:tcPr>
          <w:p w14:paraId="06E81FA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01.09.1933</w:t>
            </w:r>
          </w:p>
        </w:tc>
      </w:tr>
      <w:tr w:rsidR="00F26F01" w:rsidRPr="00C33834" w14:paraId="3B464B31" w14:textId="77777777">
        <w:tc>
          <w:tcPr>
            <w:tcW w:w="2235" w:type="dxa"/>
          </w:tcPr>
          <w:p w14:paraId="0836CB00"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2041" w:type="dxa"/>
          </w:tcPr>
          <w:p w14:paraId="391667D6"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1145" w:type="dxa"/>
          </w:tcPr>
          <w:p w14:paraId="2B9A565C"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испыт.</w:t>
            </w:r>
          </w:p>
        </w:tc>
        <w:tc>
          <w:tcPr>
            <w:tcW w:w="5177" w:type="dxa"/>
          </w:tcPr>
          <w:p w14:paraId="5AEFC430"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w:t>
            </w:r>
          </w:p>
        </w:tc>
      </w:tr>
      <w:tr w:rsidR="00F26F01" w:rsidRPr="00C33834" w14:paraId="54A23BDC" w14:textId="77777777">
        <w:tc>
          <w:tcPr>
            <w:tcW w:w="2235" w:type="dxa"/>
          </w:tcPr>
          <w:p w14:paraId="12BF63E8"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2041" w:type="dxa"/>
          </w:tcPr>
          <w:p w14:paraId="53686B3C"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ТШ3-М34</w:t>
            </w:r>
          </w:p>
        </w:tc>
        <w:tc>
          <w:tcPr>
            <w:tcW w:w="1145" w:type="dxa"/>
          </w:tcPr>
          <w:p w14:paraId="67E6C03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01.07.1933</w:t>
            </w:r>
          </w:p>
        </w:tc>
        <w:tc>
          <w:tcPr>
            <w:tcW w:w="5177" w:type="dxa"/>
          </w:tcPr>
          <w:p w14:paraId="1A694C56"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01.02.1934</w:t>
            </w:r>
          </w:p>
        </w:tc>
      </w:tr>
      <w:tr w:rsidR="00F26F01" w:rsidRPr="00C33834" w14:paraId="74D655D2" w14:textId="77777777">
        <w:tc>
          <w:tcPr>
            <w:tcW w:w="2235" w:type="dxa"/>
          </w:tcPr>
          <w:p w14:paraId="6EDF3EBC"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tc>
        <w:tc>
          <w:tcPr>
            <w:tcW w:w="2041" w:type="dxa"/>
          </w:tcPr>
          <w:p w14:paraId="0576AE0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БМеркур</w:t>
            </w:r>
          </w:p>
        </w:tc>
        <w:tc>
          <w:tcPr>
            <w:tcW w:w="1145" w:type="dxa"/>
          </w:tcPr>
          <w:p w14:paraId="34FE320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5177" w:type="dxa"/>
          </w:tcPr>
          <w:p w14:paraId="16D141C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15.07.1933</w:t>
            </w:r>
          </w:p>
        </w:tc>
      </w:tr>
      <w:tr w:rsidR="00F26F01" w:rsidRPr="00C33834" w14:paraId="281C97B9" w14:textId="77777777">
        <w:tc>
          <w:tcPr>
            <w:tcW w:w="2235" w:type="dxa"/>
          </w:tcPr>
          <w:p w14:paraId="5DA75F42"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2041" w:type="dxa"/>
          </w:tcPr>
          <w:p w14:paraId="78FE5E7C"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1145" w:type="dxa"/>
          </w:tcPr>
          <w:p w14:paraId="517BB062"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5177" w:type="dxa"/>
          </w:tcPr>
          <w:p w14:paraId="112A8AD4"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w:t>
            </w:r>
          </w:p>
        </w:tc>
      </w:tr>
      <w:tr w:rsidR="00F26F01" w:rsidRPr="00C33834" w14:paraId="0A27D81E" w14:textId="77777777">
        <w:tc>
          <w:tcPr>
            <w:tcW w:w="2235" w:type="dxa"/>
          </w:tcPr>
          <w:p w14:paraId="6BF54A3A"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2041" w:type="dxa"/>
          </w:tcPr>
          <w:p w14:paraId="3C2D91D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РЦ</w:t>
            </w:r>
          </w:p>
        </w:tc>
        <w:tc>
          <w:tcPr>
            <w:tcW w:w="1145" w:type="dxa"/>
          </w:tcPr>
          <w:p w14:paraId="3B41188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5177" w:type="dxa"/>
          </w:tcPr>
          <w:p w14:paraId="4B5800E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01.02.1934</w:t>
            </w:r>
          </w:p>
        </w:tc>
      </w:tr>
      <w:tr w:rsidR="00F26F01" w:rsidRPr="00C33834" w14:paraId="1968654B" w14:textId="77777777">
        <w:tc>
          <w:tcPr>
            <w:tcW w:w="2235" w:type="dxa"/>
          </w:tcPr>
          <w:p w14:paraId="359AB8D6"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2041" w:type="dxa"/>
          </w:tcPr>
          <w:p w14:paraId="0BB1BD97"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1145" w:type="dxa"/>
          </w:tcPr>
          <w:p w14:paraId="3CC30726"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5177" w:type="dxa"/>
          </w:tcPr>
          <w:p w14:paraId="20F6069C"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w:t>
            </w:r>
          </w:p>
        </w:tc>
      </w:tr>
      <w:tr w:rsidR="00F26F01" w:rsidRPr="00C33834" w14:paraId="32A1AD4E" w14:textId="77777777">
        <w:tc>
          <w:tcPr>
            <w:tcW w:w="2235" w:type="dxa"/>
          </w:tcPr>
          <w:p w14:paraId="5502A0D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w:t>
            </w:r>
          </w:p>
        </w:tc>
        <w:tc>
          <w:tcPr>
            <w:tcW w:w="2041" w:type="dxa"/>
          </w:tcPr>
          <w:p w14:paraId="60E0896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И-15 РЦ</w:t>
            </w:r>
          </w:p>
        </w:tc>
        <w:tc>
          <w:tcPr>
            <w:tcW w:w="1145" w:type="dxa"/>
          </w:tcPr>
          <w:p w14:paraId="21052571"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5177" w:type="dxa"/>
          </w:tcPr>
          <w:p w14:paraId="5D7A29C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01.12.1933</w:t>
            </w:r>
          </w:p>
        </w:tc>
      </w:tr>
      <w:tr w:rsidR="00F26F01" w:rsidRPr="00C33834" w14:paraId="6F18F831" w14:textId="77777777">
        <w:tc>
          <w:tcPr>
            <w:tcW w:w="2235" w:type="dxa"/>
          </w:tcPr>
          <w:p w14:paraId="7F826665"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c>
          <w:tcPr>
            <w:tcW w:w="2041" w:type="dxa"/>
          </w:tcPr>
          <w:p w14:paraId="489F2175"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И-15-М58</w:t>
            </w:r>
          </w:p>
        </w:tc>
        <w:tc>
          <w:tcPr>
            <w:tcW w:w="1145" w:type="dxa"/>
          </w:tcPr>
          <w:p w14:paraId="1BD36D95"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5177" w:type="dxa"/>
          </w:tcPr>
          <w:p w14:paraId="191FAC1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Через 6 мес. после</w:t>
            </w:r>
          </w:p>
        </w:tc>
      </w:tr>
      <w:tr w:rsidR="00F26F01" w:rsidRPr="00C33834" w14:paraId="5CEE1F6B" w14:textId="77777777">
        <w:tc>
          <w:tcPr>
            <w:tcW w:w="2235" w:type="dxa"/>
          </w:tcPr>
          <w:p w14:paraId="2BF65ED9"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2041" w:type="dxa"/>
          </w:tcPr>
          <w:p w14:paraId="25A165CD"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1145" w:type="dxa"/>
          </w:tcPr>
          <w:p w14:paraId="3BCB4170"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5177" w:type="dxa"/>
          </w:tcPr>
          <w:p w14:paraId="7F9A48F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поставки мотора</w:t>
            </w:r>
          </w:p>
        </w:tc>
      </w:tr>
      <w:tr w:rsidR="00F26F01" w:rsidRPr="00C33834" w14:paraId="1EDA7FE5" w14:textId="77777777">
        <w:tc>
          <w:tcPr>
            <w:tcW w:w="2235" w:type="dxa"/>
          </w:tcPr>
          <w:p w14:paraId="36383718"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С62-М34</w:t>
            </w:r>
          </w:p>
        </w:tc>
        <w:tc>
          <w:tcPr>
            <w:tcW w:w="2041" w:type="dxa"/>
          </w:tcPr>
          <w:p w14:paraId="25A66ACA"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1145" w:type="dxa"/>
          </w:tcPr>
          <w:p w14:paraId="7C5B7D6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01.01.1933</w:t>
            </w:r>
          </w:p>
        </w:tc>
        <w:tc>
          <w:tcPr>
            <w:tcW w:w="5177" w:type="dxa"/>
          </w:tcPr>
          <w:p w14:paraId="5CE6D73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01.08.1933</w:t>
            </w:r>
          </w:p>
        </w:tc>
      </w:tr>
    </w:tbl>
    <w:p w14:paraId="3F6928C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Б. ЭКСПЕРИМЕТАЛЬНЫЕ РАБОТЫ ПО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059"/>
        <w:gridCol w:w="1146"/>
        <w:gridCol w:w="5158"/>
      </w:tblGrid>
      <w:tr w:rsidR="00F26F01" w:rsidRPr="00C33834" w14:paraId="6A0F2DE8" w14:textId="77777777">
        <w:tc>
          <w:tcPr>
            <w:tcW w:w="2235" w:type="dxa"/>
          </w:tcPr>
          <w:p w14:paraId="404EBADA"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2059" w:type="dxa"/>
          </w:tcPr>
          <w:p w14:paraId="2763257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ДИП-2М34</w:t>
            </w:r>
          </w:p>
        </w:tc>
        <w:tc>
          <w:tcPr>
            <w:tcW w:w="1146" w:type="dxa"/>
          </w:tcPr>
          <w:p w14:paraId="21A24CFC"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5158" w:type="dxa"/>
          </w:tcPr>
          <w:p w14:paraId="6A701CD6"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01.10.1933</w:t>
            </w:r>
          </w:p>
        </w:tc>
      </w:tr>
      <w:tr w:rsidR="00F26F01" w:rsidRPr="00C33834" w14:paraId="45F61824" w14:textId="77777777">
        <w:tc>
          <w:tcPr>
            <w:tcW w:w="2235" w:type="dxa"/>
          </w:tcPr>
          <w:p w14:paraId="63611A4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2059" w:type="dxa"/>
          </w:tcPr>
          <w:p w14:paraId="1F395548"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СК-2М32</w:t>
            </w:r>
          </w:p>
        </w:tc>
        <w:tc>
          <w:tcPr>
            <w:tcW w:w="1146" w:type="dxa"/>
          </w:tcPr>
          <w:p w14:paraId="758975EF"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5158" w:type="dxa"/>
          </w:tcPr>
          <w:p w14:paraId="357E364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01.10.1933</w:t>
            </w:r>
          </w:p>
        </w:tc>
      </w:tr>
      <w:tr w:rsidR="00F26F01" w:rsidRPr="00C33834" w14:paraId="1DDA44C4" w14:textId="77777777">
        <w:tc>
          <w:tcPr>
            <w:tcW w:w="2235" w:type="dxa"/>
          </w:tcPr>
          <w:p w14:paraId="0D08F3B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2059" w:type="dxa"/>
          </w:tcPr>
          <w:p w14:paraId="2B79CC9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ДИ6</w:t>
            </w:r>
          </w:p>
        </w:tc>
        <w:tc>
          <w:tcPr>
            <w:tcW w:w="1146" w:type="dxa"/>
          </w:tcPr>
          <w:p w14:paraId="7AAB2115"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5158" w:type="dxa"/>
          </w:tcPr>
          <w:p w14:paraId="12212D7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01.06.1933</w:t>
            </w:r>
          </w:p>
        </w:tc>
      </w:tr>
      <w:tr w:rsidR="00F26F01" w:rsidRPr="00C33834" w14:paraId="3FEE57E3" w14:textId="77777777">
        <w:tc>
          <w:tcPr>
            <w:tcW w:w="2235" w:type="dxa"/>
          </w:tcPr>
          <w:p w14:paraId="598CC375"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2059" w:type="dxa"/>
          </w:tcPr>
          <w:p w14:paraId="0833387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ВС-2М22</w:t>
            </w:r>
          </w:p>
        </w:tc>
        <w:tc>
          <w:tcPr>
            <w:tcW w:w="1146" w:type="dxa"/>
          </w:tcPr>
          <w:p w14:paraId="30093832"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5158" w:type="dxa"/>
          </w:tcPr>
          <w:p w14:paraId="6CBD944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01.07.1933</w:t>
            </w:r>
          </w:p>
        </w:tc>
      </w:tr>
      <w:tr w:rsidR="00F26F01" w:rsidRPr="00C33834" w14:paraId="41E42F11" w14:textId="77777777">
        <w:tc>
          <w:tcPr>
            <w:tcW w:w="2235" w:type="dxa"/>
          </w:tcPr>
          <w:p w14:paraId="35AE6F1D"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2059" w:type="dxa"/>
          </w:tcPr>
          <w:p w14:paraId="7FE98898"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1146" w:type="dxa"/>
          </w:tcPr>
          <w:p w14:paraId="3D2A1FFD"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5158" w:type="dxa"/>
          </w:tcPr>
          <w:p w14:paraId="1419EEA0"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аэрод.</w:t>
            </w:r>
          </w:p>
        </w:tc>
      </w:tr>
      <w:tr w:rsidR="00F26F01" w:rsidRPr="00C33834" w14:paraId="7982DF21" w14:textId="77777777">
        <w:tc>
          <w:tcPr>
            <w:tcW w:w="2235" w:type="dxa"/>
          </w:tcPr>
          <w:p w14:paraId="69EE68D4"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2059" w:type="dxa"/>
          </w:tcPr>
          <w:p w14:paraId="7A387C0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К-7-7М34</w:t>
            </w:r>
          </w:p>
        </w:tc>
        <w:tc>
          <w:tcPr>
            <w:tcW w:w="1146" w:type="dxa"/>
          </w:tcPr>
          <w:p w14:paraId="63FC2CA1"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5158" w:type="dxa"/>
          </w:tcPr>
          <w:p w14:paraId="5C490CF4"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01.05.1933</w:t>
            </w:r>
          </w:p>
        </w:tc>
      </w:tr>
      <w:tr w:rsidR="00F26F01" w:rsidRPr="00C33834" w14:paraId="1688151E" w14:textId="77777777">
        <w:tc>
          <w:tcPr>
            <w:tcW w:w="2235" w:type="dxa"/>
          </w:tcPr>
          <w:p w14:paraId="2CB6E3CF"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2059" w:type="dxa"/>
          </w:tcPr>
          <w:p w14:paraId="7F4E488C"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1146" w:type="dxa"/>
          </w:tcPr>
          <w:p w14:paraId="79422695"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5158" w:type="dxa"/>
          </w:tcPr>
          <w:p w14:paraId="79CF088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аэрод.</w:t>
            </w:r>
          </w:p>
        </w:tc>
      </w:tr>
      <w:tr w:rsidR="00F26F01" w:rsidRPr="00C33834" w14:paraId="36CD2B79" w14:textId="77777777">
        <w:tc>
          <w:tcPr>
            <w:tcW w:w="2235" w:type="dxa"/>
          </w:tcPr>
          <w:p w14:paraId="7D9ED82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2059" w:type="dxa"/>
          </w:tcPr>
          <w:p w14:paraId="51D7D345"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Стат. сам. М34</w:t>
            </w:r>
          </w:p>
        </w:tc>
        <w:tc>
          <w:tcPr>
            <w:tcW w:w="1146" w:type="dxa"/>
          </w:tcPr>
          <w:p w14:paraId="5FD0DC66"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5158" w:type="dxa"/>
          </w:tcPr>
          <w:p w14:paraId="6AA42931"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01.04.1933</w:t>
            </w:r>
          </w:p>
        </w:tc>
      </w:tr>
      <w:tr w:rsidR="00F26F01" w:rsidRPr="00C33834" w14:paraId="4AA56CB7" w14:textId="77777777">
        <w:tc>
          <w:tcPr>
            <w:tcW w:w="2235" w:type="dxa"/>
          </w:tcPr>
          <w:p w14:paraId="78097F4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c>
          <w:tcPr>
            <w:tcW w:w="2059" w:type="dxa"/>
          </w:tcPr>
          <w:p w14:paraId="1F65653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Летающ. крыло 2М11</w:t>
            </w:r>
          </w:p>
        </w:tc>
        <w:tc>
          <w:tcPr>
            <w:tcW w:w="1146" w:type="dxa"/>
          </w:tcPr>
          <w:p w14:paraId="0FE9E540"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01.10.1933</w:t>
            </w:r>
          </w:p>
        </w:tc>
        <w:tc>
          <w:tcPr>
            <w:tcW w:w="5158" w:type="dxa"/>
          </w:tcPr>
          <w:p w14:paraId="1B0C870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установит ГУАП к 01.07.1933</w:t>
            </w:r>
          </w:p>
        </w:tc>
      </w:tr>
      <w:tr w:rsidR="00F26F01" w:rsidRPr="00C33834" w14:paraId="0D7194BC" w14:textId="77777777">
        <w:tc>
          <w:tcPr>
            <w:tcW w:w="2235" w:type="dxa"/>
          </w:tcPr>
          <w:p w14:paraId="4748796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2059" w:type="dxa"/>
          </w:tcPr>
          <w:p w14:paraId="426644DA"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 крыло Кричевского</w:t>
            </w:r>
          </w:p>
        </w:tc>
        <w:tc>
          <w:tcPr>
            <w:tcW w:w="1146" w:type="dxa"/>
          </w:tcPr>
          <w:p w14:paraId="686C3044"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01.07.1932</w:t>
            </w:r>
          </w:p>
        </w:tc>
        <w:tc>
          <w:tcPr>
            <w:tcW w:w="5158" w:type="dxa"/>
          </w:tcPr>
          <w:p w14:paraId="19848F13"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r>
      <w:tr w:rsidR="00F26F01" w:rsidRPr="00C33834" w14:paraId="77C09A23" w14:textId="77777777">
        <w:tc>
          <w:tcPr>
            <w:tcW w:w="2235" w:type="dxa"/>
          </w:tcPr>
          <w:p w14:paraId="5963B90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9. </w:t>
            </w:r>
          </w:p>
        </w:tc>
        <w:tc>
          <w:tcPr>
            <w:tcW w:w="2059" w:type="dxa"/>
          </w:tcPr>
          <w:p w14:paraId="61BF0FD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ТБ6</w:t>
            </w:r>
          </w:p>
        </w:tc>
        <w:tc>
          <w:tcPr>
            <w:tcW w:w="1146" w:type="dxa"/>
          </w:tcPr>
          <w:p w14:paraId="79D0CA48"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5158" w:type="dxa"/>
          </w:tcPr>
          <w:p w14:paraId="59ED180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01.12.1934</w:t>
            </w:r>
          </w:p>
        </w:tc>
      </w:tr>
      <w:tr w:rsidR="00F26F01" w:rsidRPr="00C33834" w14:paraId="3F7453C7" w14:textId="77777777">
        <w:tc>
          <w:tcPr>
            <w:tcW w:w="2235" w:type="dxa"/>
          </w:tcPr>
          <w:p w14:paraId="32E634B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2059" w:type="dxa"/>
          </w:tcPr>
          <w:p w14:paraId="4482129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Геликоптер ВГ2</w:t>
            </w:r>
          </w:p>
        </w:tc>
        <w:tc>
          <w:tcPr>
            <w:tcW w:w="1146" w:type="dxa"/>
          </w:tcPr>
          <w:p w14:paraId="4D104C8D"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5158" w:type="dxa"/>
          </w:tcPr>
          <w:p w14:paraId="05559651"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01.07.1932</w:t>
            </w:r>
          </w:p>
        </w:tc>
      </w:tr>
      <w:tr w:rsidR="00F26F01" w:rsidRPr="00C33834" w14:paraId="04FBFAEB" w14:textId="77777777">
        <w:tc>
          <w:tcPr>
            <w:tcW w:w="2235" w:type="dxa"/>
          </w:tcPr>
          <w:p w14:paraId="6CBED58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w:t>
            </w:r>
          </w:p>
        </w:tc>
        <w:tc>
          <w:tcPr>
            <w:tcW w:w="2059" w:type="dxa"/>
          </w:tcPr>
          <w:p w14:paraId="70128CE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 М22</w:t>
            </w:r>
          </w:p>
        </w:tc>
        <w:tc>
          <w:tcPr>
            <w:tcW w:w="1146" w:type="dxa"/>
          </w:tcPr>
          <w:p w14:paraId="12B3A939"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5158" w:type="dxa"/>
          </w:tcPr>
          <w:p w14:paraId="116FB19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01.01.1933</w:t>
            </w:r>
          </w:p>
        </w:tc>
      </w:tr>
      <w:tr w:rsidR="00F26F01" w:rsidRPr="00C33834" w14:paraId="1F4B457E" w14:textId="77777777">
        <w:tc>
          <w:tcPr>
            <w:tcW w:w="2235" w:type="dxa"/>
          </w:tcPr>
          <w:p w14:paraId="51D5CAC8"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Среди работ, снятых с плана:</w:t>
            </w:r>
          </w:p>
        </w:tc>
        <w:tc>
          <w:tcPr>
            <w:tcW w:w="2059" w:type="dxa"/>
          </w:tcPr>
          <w:p w14:paraId="11D14A74"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1146" w:type="dxa"/>
          </w:tcPr>
          <w:p w14:paraId="2521F7EB"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5158" w:type="dxa"/>
          </w:tcPr>
          <w:p w14:paraId="2330B98E"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r>
      <w:tr w:rsidR="00F26F01" w:rsidRPr="00C33834" w14:paraId="2A61F310" w14:textId="77777777">
        <w:tc>
          <w:tcPr>
            <w:tcW w:w="2235" w:type="dxa"/>
          </w:tcPr>
          <w:p w14:paraId="25B5C280"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И13-М32</w:t>
            </w:r>
          </w:p>
        </w:tc>
        <w:tc>
          <w:tcPr>
            <w:tcW w:w="2059" w:type="dxa"/>
          </w:tcPr>
          <w:p w14:paraId="48F3662A"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1146" w:type="dxa"/>
          </w:tcPr>
          <w:p w14:paraId="3CA345E8"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5158" w:type="dxa"/>
          </w:tcPr>
          <w:p w14:paraId="5EBD974B"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r>
      <w:tr w:rsidR="00F26F01" w:rsidRPr="00C33834" w14:paraId="55F6A128" w14:textId="77777777">
        <w:tc>
          <w:tcPr>
            <w:tcW w:w="2235" w:type="dxa"/>
          </w:tcPr>
          <w:p w14:paraId="0AB665F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У3-М48</w:t>
            </w:r>
          </w:p>
        </w:tc>
        <w:tc>
          <w:tcPr>
            <w:tcW w:w="2059" w:type="dxa"/>
          </w:tcPr>
          <w:p w14:paraId="12733EBB"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1146" w:type="dxa"/>
          </w:tcPr>
          <w:p w14:paraId="6A3A38AA"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5158" w:type="dxa"/>
          </w:tcPr>
          <w:p w14:paraId="569CBC74"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r>
      <w:tr w:rsidR="00F26F01" w:rsidRPr="00C33834" w14:paraId="1A8F46B4" w14:textId="77777777">
        <w:tc>
          <w:tcPr>
            <w:tcW w:w="2235" w:type="dxa"/>
          </w:tcPr>
          <w:p w14:paraId="71914E66"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И12-М22</w:t>
            </w:r>
          </w:p>
        </w:tc>
        <w:tc>
          <w:tcPr>
            <w:tcW w:w="2059" w:type="dxa"/>
          </w:tcPr>
          <w:p w14:paraId="6E799B35"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1146" w:type="dxa"/>
          </w:tcPr>
          <w:p w14:paraId="4A443FB5"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5158" w:type="dxa"/>
          </w:tcPr>
          <w:p w14:paraId="374CDB8B"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r>
      <w:tr w:rsidR="00F26F01" w:rsidRPr="00C33834" w14:paraId="056590EE" w14:textId="77777777">
        <w:tc>
          <w:tcPr>
            <w:tcW w:w="2235" w:type="dxa"/>
          </w:tcPr>
          <w:p w14:paraId="05982DC1"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Р5-М34 эталон (351)</w:t>
            </w:r>
          </w:p>
        </w:tc>
        <w:tc>
          <w:tcPr>
            <w:tcW w:w="2059" w:type="dxa"/>
          </w:tcPr>
          <w:p w14:paraId="3A1FE7BB"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1146" w:type="dxa"/>
          </w:tcPr>
          <w:p w14:paraId="7509C79F"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5158" w:type="dxa"/>
          </w:tcPr>
          <w:p w14:paraId="133C2509"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r>
    </w:tbl>
    <w:p w14:paraId="2475B8F4"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(351).</w:t>
      </w:r>
    </w:p>
    <w:p w14:paraId="53452ED9"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20231C3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апреля 1933 года начальник ВВС Алкснис писал письмо N 0061сс наркому по военным и морским делам, зам. наркома по военным и морским делам Гамарнику, зам. наркома по военным и морским делам Тухачевскому, начальнику штаба РККА Егорову.</w:t>
      </w:r>
    </w:p>
    <w:p w14:paraId="7DFF2F1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полном отсутствии крупно-калиберных пулеметов и авиационных пушек для вооружения самолетов.</w:t>
      </w:r>
    </w:p>
    <w:p w14:paraId="41BE8AE1"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Наш воздушный флот на сегодняшний день не имеет ни крупнокалиберных пулеметов, ни специальных авиационных автоматических пушек даже в опытных образцах, прошедших испытания в воздухе.</w:t>
      </w:r>
    </w:p>
    <w:p w14:paraId="45E2A79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Такое положение создалось несмотря на то, что вопрос о вооружении самолетов крупнокалиберными пулеметами и пушками был поставлен перед Артиллерийским управлением еще в 1926 году НТК УВВС и в 1930 году системой вооружения ВВС, утвержденной РВС 23 января 1930 года (см. протокол совещания РВС за N 2 от 23 января 1930 года).</w:t>
      </w:r>
    </w:p>
    <w:p w14:paraId="23441B2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Даже ожидаемые ШКАСЫ, хотя и увеличивают резко скорострельность, вопроса дальнобойности не решают, к тому же само поступление на снабжение ВВС ШКАСов сильно затягивается, т. к. образца, выдержавшего испытания в воздухе еще на сегодня нет.</w:t>
      </w:r>
    </w:p>
    <w:p w14:paraId="06D1A19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ВВС, зная положение ГАУ, при котором крупнокалиберные пулеметы для самолетов еще не закончены для подачи на испытание, а пушки даже не разработаны в приемлемой для авиации конструкции, вынуждены согласиться с положением ГАУ - испытать в воздухе зенитные и противотанковые пушки.</w:t>
      </w:r>
    </w:p>
    <w:p w14:paraId="33303D0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Переходя к отдельным объектам, следует отметить следующее:</w:t>
      </w:r>
    </w:p>
    <w:p w14:paraId="5CA2DB7C"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37 мм полуавтоматическая пушка РМ - не самолетная, приспособлена быть не может, гл. образом из-за веса - 300 кг и отдаче...</w:t>
      </w:r>
    </w:p>
    <w:p w14:paraId="6ECB13F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Проект 37 мм автоматической пушки ВАА по предварительному заключению - неудовлетворительна. Вес - 300 кг, сложность и сомнения в конструкции.</w:t>
      </w:r>
    </w:p>
    <w:p w14:paraId="7FCAB8F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20 мм автоматическая пушка РМ - не самолетная. В производстве 1930 года не освоена. Отсутствуют снаряды. Возможность использования весьма сомнительна.</w:t>
      </w:r>
    </w:p>
    <w:p w14:paraId="1F2780E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20 мм автоматическая пушка Мадсен - не самолетная. Имеется в 2-х экземплярах. Автоматика при нормальной работе надежна, но большой вес, габариты и сложность установки значительно ограничат возможность применения на самолете. Будет испытана в апреле.</w:t>
      </w:r>
    </w:p>
    <w:p w14:paraId="4989D4CC"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20 мм автоматическая пушка Эрликон - не самолетная. Имеется в 10-ти экземплярах, но запас снарядов весьма ограничен. Пушка испытывалась в Италии и Германии и признана неудовлетворительной.</w:t>
      </w:r>
    </w:p>
    <w:p w14:paraId="47B561A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Пушки АПК - 37, 65, 76 и 100 мм. Положение уточнено приказом РВС и НКТП за N 009. Следует лишь отметить:</w:t>
      </w:r>
    </w:p>
    <w:p w14:paraId="146F87A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АПК - 37 мм в компоновке еще не предъявлен, хотя самолет И-14 под эти системы уже строится и выйдет к 20 мая.</w:t>
      </w:r>
    </w:p>
    <w:p w14:paraId="15B3D88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АПК - 65 мм предъявляется на гос. испытания; за время отладки экспериментального образца, самолет И-4 успел устареть и прекращен в производстве.</w:t>
      </w:r>
    </w:p>
    <w:p w14:paraId="2F876C9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АПК - 76 мм (4 бис) в одном экземпляре отстрелян на самолете в воздухе. Будет предъявлен на гос. испытания 1 июня 1933 года. Готовые серийные самолеты типа ЗЕТ специально проектировавшиеся под эти системы с конца 1932 г. не могут быть нами приняты от завода.</w:t>
      </w:r>
    </w:p>
    <w:p w14:paraId="795EC99A"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АПК - 100 мм не предъявлены.</w:t>
      </w:r>
    </w:p>
    <w:p w14:paraId="446921D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Особо остро стоит вопрос со снарядами как по срокам подачи, так равно и по качеству. До сего времени все испытания проводились лафето-пробными снарядами.</w:t>
      </w:r>
    </w:p>
    <w:p w14:paraId="1044098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ГДЛ, ведущая работы над реактивными снарядами в течение 4-х лет, до сего времени ощутимых результатов не дала (нет определенной траектории).</w:t>
      </w:r>
    </w:p>
    <w:p w14:paraId="1D2F34E6"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Пулеметы калибра 12,7 мм разрабатываются 3-х видов:</w:t>
      </w:r>
    </w:p>
    <w:p w14:paraId="370D2AC1"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ДК по срокам должен быть подан еще в 1931 году. В настоящее время проходит полигонные испытания на земле. ВВС образцы годные для испытания в воздухе еще не поданы, несмотря на то, что самолет МИ-3 выходит на аэродром 15 мая.</w:t>
      </w:r>
    </w:p>
    <w:p w14:paraId="0F2E07B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ДАК (синхронный) для стрельбы через винт, по срокам должен быть подан еще в 1931 году. В конце февраля 1933 года ВВС подан один образец для проведения предварительных испытаний. Образец испытан - выяснилась недоработка образца и потребность в больших переделках.</w:t>
      </w:r>
    </w:p>
    <w:p w14:paraId="73EB4DB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ШВАК - авиационный скорострельный. Имеет виды на принятие на вооружение ВВС. По срокам должен быть подан еще в середине 1932 года. Последний срок подачи намечен 1 апреля. До сих пор образца нет.</w:t>
      </w:r>
    </w:p>
    <w:p w14:paraId="2510B1C8"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Обязать начальника ГАУ:</w:t>
      </w:r>
    </w:p>
    <w:p w14:paraId="0C8112E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Всеми мерами форсировать изготовление пулемета ШКАС со сроком предъявления образца на гос. испытания в воздухе к 10 мая 1933 года.</w:t>
      </w:r>
    </w:p>
    <w:p w14:paraId="4EBF328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То же по крупнокалиберному пулемету ШВАК со сроком подачи образца на гос. испытания к 1 июня 1933 года.</w:t>
      </w:r>
    </w:p>
    <w:p w14:paraId="18028CF6"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Немедленно приступить к форсированному проектированию и изготовлению специальных авиационных автоматических пушек калибров - 20 мм и 37 мм или 45 мм, предназначая их для истребителей и бомбардировщиков.</w:t>
      </w:r>
    </w:p>
    <w:p w14:paraId="34E66F04"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Обеспечить, передающиеся в ВВС крупнокалиберные пулеметы и пушки авиационными снарядами (зажигательными, трассирующими и особо чувствительными взрывателями).</w:t>
      </w:r>
    </w:p>
    <w:p w14:paraId="073DC865"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Незамедлительно командировать в Англию представителей для закупки образца 37 мм авиационной автоматической пушки, испытания ее на месте и приобретения технической помощи на постановку производства в СССР.</w:t>
      </w:r>
    </w:p>
    <w:p w14:paraId="683D794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Не дожидаясь результатов воздушных испытаний приспосабливаемых для ВВС пушек - пустить в производство 20 мм автоматическую танковую пушку Мадсена, как явно лучший образец для приспосабливаемых для самолетов пушек этого калибра. Но при этом следует иметь ввиду, что эта пушка требованиям ВВС не удовлетворяет и является паллиативом на то время, пока не будет сконструировано и организовано производство вооружения, удовлетворяющего современным требованиям ВВС (3516,17-21).</w:t>
      </w:r>
    </w:p>
    <w:p w14:paraId="196331B4"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0D7678BF" w14:textId="77777777" w:rsidR="00FA1468" w:rsidRPr="00C33834" w:rsidRDefault="00FA1468" w:rsidP="00C33834">
      <w:pPr>
        <w:pStyle w:val="rtejustify"/>
        <w:spacing w:before="0" w:after="0"/>
        <w:rPr>
          <w:color w:val="000000" w:themeColor="text1"/>
          <w:sz w:val="16"/>
          <w:szCs w:val="16"/>
        </w:rPr>
      </w:pPr>
      <w:r w:rsidRPr="00C33834">
        <w:rPr>
          <w:rStyle w:val="af0"/>
          <w:bCs/>
          <w:i w:val="0"/>
          <w:color w:val="000000" w:themeColor="text1"/>
          <w:sz w:val="16"/>
          <w:szCs w:val="16"/>
        </w:rPr>
        <w:t>8 апреля</w:t>
      </w:r>
      <w:r w:rsidRPr="00C33834">
        <w:rPr>
          <w:color w:val="000000" w:themeColor="text1"/>
          <w:sz w:val="16"/>
          <w:szCs w:val="16"/>
        </w:rPr>
        <w:t xml:space="preserve"> 1933. Постановление Комиссии обороны СССР № 2. Дополнение к постановлению КО № 1 от 5 марта 1933 г. «О приобретении образцов и технической помощи фирмы «Сперри»». (ГА РФ. Ф. Р</w:t>
      </w:r>
      <w:r w:rsidRPr="00C33834">
        <w:rPr>
          <w:color w:val="000000" w:themeColor="text1"/>
          <w:sz w:val="16"/>
          <w:szCs w:val="16"/>
        </w:rPr>
        <w:noBreakHyphen/>
        <w:t>8418. Оп. 28. Д. 25а. Л. 21) (15460).</w:t>
      </w:r>
    </w:p>
    <w:p w14:paraId="1502ED43" w14:textId="77777777" w:rsidR="00FA1468" w:rsidRPr="00C33834" w:rsidRDefault="00FA1468" w:rsidP="00C33834">
      <w:pPr>
        <w:pStyle w:val="rtejustify"/>
        <w:spacing w:before="0" w:after="0"/>
        <w:rPr>
          <w:color w:val="000000" w:themeColor="text1"/>
          <w:sz w:val="16"/>
          <w:szCs w:val="16"/>
        </w:rPr>
      </w:pPr>
    </w:p>
    <w:p w14:paraId="2C54EDD2" w14:textId="77777777" w:rsidR="00FA1468" w:rsidRPr="00C33834" w:rsidRDefault="00FA1468" w:rsidP="00C33834">
      <w:pPr>
        <w:pStyle w:val="ae"/>
        <w:spacing w:before="0" w:after="0"/>
        <w:jc w:val="both"/>
        <w:rPr>
          <w:color w:val="000000" w:themeColor="text1"/>
          <w:sz w:val="16"/>
          <w:szCs w:val="16"/>
        </w:rPr>
      </w:pPr>
      <w:r w:rsidRPr="00C33834">
        <w:rPr>
          <w:color w:val="000000" w:themeColor="text1"/>
          <w:sz w:val="16"/>
          <w:szCs w:val="16"/>
        </w:rPr>
        <w:t>8 апреля 1933 года Политбюро постановило: в дополнение к постановлению ПБ от 7 марта 1933 г. закупку образцов у фирмы «Сперри» произвести Наркомвоенмору за счет своего контингента на сумму 400 000 долларов. НКВМ не ограничивалось только одной фирмой: в его задачи входило еще и ознакомление с работами по усовершенствованию ПУАЗО и других фирм, в частности предполагалось закупить по одному прибору у германских фирм Герца, Газенмайера и Виккерса (15736).</w:t>
      </w:r>
    </w:p>
    <w:p w14:paraId="513459E5" w14:textId="77777777" w:rsidR="00FA1468" w:rsidRPr="00C33834" w:rsidRDefault="00FA1468" w:rsidP="00C33834">
      <w:pPr>
        <w:pStyle w:val="ae"/>
        <w:spacing w:before="0" w:after="0"/>
        <w:jc w:val="both"/>
        <w:rPr>
          <w:color w:val="000000" w:themeColor="text1"/>
          <w:sz w:val="16"/>
          <w:szCs w:val="16"/>
        </w:rPr>
      </w:pPr>
    </w:p>
    <w:p w14:paraId="60698067" w14:textId="77777777" w:rsidR="00FA1468"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A6FE3EE" w14:textId="77777777" w:rsidR="00FA1468" w:rsidRPr="00C33834" w:rsidRDefault="00FA1468" w:rsidP="00C33834">
      <w:pPr>
        <w:spacing w:after="0" w:line="240" w:lineRule="auto"/>
        <w:jc w:val="both"/>
        <w:rPr>
          <w:rFonts w:ascii="Times New Roman" w:hAnsi="Times New Roman"/>
          <w:iCs/>
          <w:color w:val="000000" w:themeColor="text1"/>
          <w:sz w:val="16"/>
          <w:szCs w:val="16"/>
        </w:rPr>
      </w:pPr>
    </w:p>
    <w:p w14:paraId="4DD21672"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8 апреля 1933 г.</w:t>
      </w:r>
    </w:p>
    <w:p w14:paraId="0FB3F726"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Постановление Политбюро ЦК ВКП(б) «Предложение Комиссии обороны»</w:t>
      </w:r>
    </w:p>
    <w:p w14:paraId="061D1738"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П135/23-опр.</w:t>
      </w:r>
      <w:r w:rsidRPr="00C33834">
        <w:rPr>
          <w:rFonts w:ascii="Times New Roman" w:hAnsi="Times New Roman"/>
          <w:color w:val="0070C0"/>
          <w:sz w:val="16"/>
          <w:szCs w:val="16"/>
        </w:rPr>
        <w:tab/>
        <w:t>8 апреля 1933 г.</w:t>
      </w:r>
    </w:p>
    <w:p w14:paraId="25106B7A"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Строго секретно</w:t>
      </w:r>
    </w:p>
    <w:p w14:paraId="01F800A4"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Из «Особой папки»</w:t>
      </w:r>
    </w:p>
    <w:p w14:paraId="223D3479"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26/23. В дополнение к постановлению ПБ от 7.03.33 г. закупку образцов у фирмы «Сперри» произвести Наркомвоенмору за счет своего контингента на сумму 200 тыс. долларов и за счет сверх контингента на сумму 400 тыс. долларов.</w:t>
      </w:r>
    </w:p>
    <w:p w14:paraId="2112D5D6"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Секретарь ЦК</w:t>
      </w:r>
    </w:p>
    <w:p w14:paraId="6AA22EFB"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АП РФ. Ф. 3. On. 66. Д. 343. Л. 100. Копия.</w:t>
      </w:r>
    </w:p>
    <w:p w14:paraId="6AF154E2"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Принято опросом членов Политбюро ЦК ВКП(б) 8 апреля 1933 г. Выписка</w:t>
      </w:r>
    </w:p>
    <w:p w14:paraId="47524C0D"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из протокола № 135 заседания Политбюро ЦК ВКП(б) 8 апреля 1933 г., п. 26/23.</w:t>
      </w:r>
    </w:p>
    <w:p w14:paraId="3B3C6291"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Направлена К.Е. Ворошилову, Г.Д. Базилевичу, А.П. Розенгольцу (21038).</w:t>
      </w:r>
    </w:p>
    <w:p w14:paraId="169E3855" w14:textId="77777777" w:rsidR="00F40D1C" w:rsidRPr="00C33834" w:rsidRDefault="00F40D1C" w:rsidP="00C33834">
      <w:pPr>
        <w:spacing w:after="0" w:line="240" w:lineRule="auto"/>
        <w:jc w:val="both"/>
        <w:rPr>
          <w:rFonts w:ascii="Times New Roman" w:hAnsi="Times New Roman"/>
          <w:color w:val="0070C0"/>
          <w:sz w:val="16"/>
          <w:szCs w:val="16"/>
        </w:rPr>
      </w:pPr>
    </w:p>
    <w:p w14:paraId="4EE3DEAF"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8 апреля 1933 состоялось заседание ПБ и был оформлен протокол № 135</w:t>
      </w:r>
    </w:p>
    <w:p w14:paraId="16E2B632"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8 апреля 1933 опросом членов ПБ</w:t>
      </w:r>
    </w:p>
    <w:p w14:paraId="12744EBE"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26/23. В дополнение к постановлению ПБ от 7.03.33 г. закупку образцов у фирмы «Сперри» произвести Наркомвоенмору за счет своего контингента на сумму 200 тыс. долларов и за счет сверх контингента на сумму 400 тыс. долларов.</w:t>
      </w:r>
    </w:p>
    <w:p w14:paraId="12FD99CE"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Ворошилову, Базилевичу, Розенгольцу</w:t>
      </w:r>
    </w:p>
    <w:p w14:paraId="260231F4"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28/25.</w:t>
      </w:r>
    </w:p>
    <w:p w14:paraId="3D43275F"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 договоре техпомощи с АФК</w:t>
      </w:r>
    </w:p>
    <w:p w14:paraId="544A3729"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Поручить т.Гуревичу в Париже, в случае невозмож</w:t>
      </w:r>
      <w:r w:rsidRPr="00C33834">
        <w:rPr>
          <w:rFonts w:ascii="Times New Roman" w:hAnsi="Times New Roman"/>
          <w:color w:val="0070C0"/>
          <w:sz w:val="16"/>
          <w:szCs w:val="16"/>
        </w:rPr>
        <w:softHyphen/>
        <w:t>ности отстоять рассрочку платеже : по договору о тех- помощи с Французской Аллюминиевой Компанией на три срока, согласиться на уплату 300.000 руб. теперь же и 300.000 рублей через три месяца.</w:t>
      </w:r>
    </w:p>
    <w:p w14:paraId="3E32FCF5" w14:textId="77777777" w:rsidR="00F40D1C" w:rsidRPr="00C33834" w:rsidRDefault="00F40D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Розенгольцу, Серебровскому, Орджоникидзе (22985).</w:t>
      </w:r>
    </w:p>
    <w:p w14:paraId="451F0D68" w14:textId="77777777" w:rsidR="00F40D1C" w:rsidRPr="00C33834" w:rsidRDefault="00F40D1C" w:rsidP="00C33834">
      <w:pPr>
        <w:spacing w:after="0" w:line="240" w:lineRule="auto"/>
        <w:jc w:val="both"/>
        <w:rPr>
          <w:rFonts w:ascii="Times New Roman" w:hAnsi="Times New Roman"/>
          <w:color w:val="0070C0"/>
          <w:sz w:val="16"/>
          <w:szCs w:val="16"/>
        </w:rPr>
      </w:pPr>
    </w:p>
    <w:p w14:paraId="41880C9C" w14:textId="77777777" w:rsidR="00FA1468" w:rsidRPr="00C33834" w:rsidRDefault="00FA1468" w:rsidP="00C33834">
      <w:pPr>
        <w:pStyle w:val="rtejustify"/>
        <w:spacing w:before="0" w:after="0"/>
        <w:rPr>
          <w:color w:val="000000" w:themeColor="text1"/>
          <w:sz w:val="16"/>
          <w:szCs w:val="16"/>
        </w:rPr>
      </w:pPr>
      <w:r w:rsidRPr="00C33834">
        <w:rPr>
          <w:rStyle w:val="af0"/>
          <w:bCs/>
          <w:i w:val="0"/>
          <w:color w:val="000000" w:themeColor="text1"/>
          <w:sz w:val="16"/>
          <w:szCs w:val="16"/>
        </w:rPr>
        <w:t>8 апреля</w:t>
      </w:r>
      <w:r w:rsidRPr="00C33834">
        <w:rPr>
          <w:color w:val="000000" w:themeColor="text1"/>
          <w:sz w:val="16"/>
          <w:szCs w:val="16"/>
        </w:rPr>
        <w:t xml:space="preserve"> 1933. Протокол заседания Политбюро ЦК ВКП (б) № 135. </w:t>
      </w:r>
      <w:hyperlink r:id="rId118" w:anchor="showunit&amp;id=86187" w:history="1">
        <w:r w:rsidRPr="00C33834">
          <w:rPr>
            <w:rStyle w:val="a5"/>
            <w:color w:val="000000" w:themeColor="text1"/>
            <w:sz w:val="16"/>
            <w:szCs w:val="16"/>
            <w:u w:val="none"/>
          </w:rPr>
          <w:t>24/21. Вопросы НКТП (о кадрах)</w:t>
        </w:r>
      </w:hyperlink>
      <w:r w:rsidRPr="00C33834">
        <w:rPr>
          <w:color w:val="000000" w:themeColor="text1"/>
          <w:sz w:val="16"/>
          <w:szCs w:val="16"/>
        </w:rPr>
        <w:t xml:space="preserve"> (ПБ от 8 апреля 1933 г.). а) Назначить директором Макеевского металлургического завода Гвахария, подчинив ему Макеевское строительство. б) Днепросталь упразднить. в) Манаенко откомандировать в распоряжение Наркомата тяжелой промышленности. </w:t>
      </w:r>
      <w:hyperlink r:id="rId119" w:anchor="showunit&amp;id=86189" w:history="1">
        <w:r w:rsidRPr="00C33834">
          <w:rPr>
            <w:rStyle w:val="a5"/>
            <w:color w:val="000000" w:themeColor="text1"/>
            <w:sz w:val="16"/>
            <w:szCs w:val="16"/>
            <w:u w:val="none"/>
          </w:rPr>
          <w:t>26/23. Предложения Комиссии обороны</w:t>
        </w:r>
      </w:hyperlink>
      <w:r w:rsidRPr="00C33834">
        <w:rPr>
          <w:color w:val="000000" w:themeColor="text1"/>
          <w:sz w:val="16"/>
          <w:szCs w:val="16"/>
        </w:rPr>
        <w:t xml:space="preserve"> (ПБ от 7 марта 1933 г., пр. № 132, п. 67/44). — ОП. Решено: в дополнение к постановлению ПБ от 7 марта 1933 г. закупку образцов у фирмы «Сперри» произвести Наркомвоенмору за счет своего контингента на сумму 200 000 долларов и за счет сверх контингента на сумму 400 000 долларов. </w:t>
      </w:r>
      <w:hyperlink r:id="rId120" w:anchor="showunit&amp;id=86191" w:history="1">
        <w:r w:rsidRPr="00C33834">
          <w:rPr>
            <w:rStyle w:val="a5"/>
            <w:color w:val="000000" w:themeColor="text1"/>
            <w:sz w:val="16"/>
            <w:szCs w:val="16"/>
            <w:u w:val="none"/>
          </w:rPr>
          <w:t>28/25. О договоре техпомощи с АФК.</w:t>
        </w:r>
      </w:hyperlink>
      <w:r w:rsidRPr="00C33834">
        <w:rPr>
          <w:color w:val="000000" w:themeColor="text1"/>
          <w:sz w:val="16"/>
          <w:szCs w:val="16"/>
        </w:rPr>
        <w:t> — ОП. Решено поручить Гуревичу в Париже, в случае невозможности отстоять рассрочку платежей по договору о техпомощи с Французской алюминиевой компанией на три срока, согласиться на уплату 300.000 рублей теперь же и 300.000 рублей через три месяца (15462).</w:t>
      </w:r>
    </w:p>
    <w:p w14:paraId="1B588CC6" w14:textId="77777777" w:rsidR="00FA1468" w:rsidRPr="00C33834" w:rsidRDefault="00FA1468" w:rsidP="00C33834">
      <w:pPr>
        <w:pStyle w:val="rtejustify"/>
        <w:spacing w:before="0" w:after="0"/>
        <w:rPr>
          <w:color w:val="000000" w:themeColor="text1"/>
          <w:sz w:val="16"/>
          <w:szCs w:val="16"/>
        </w:rPr>
      </w:pPr>
    </w:p>
    <w:p w14:paraId="2F1D4213"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107CAAF2"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19B6C9C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апреля 1933 г. в Москву прибыл первый французский военный атташе полковник Мендрас, дружески принятый Ворошиловым, Егоровым и Литвиновым (В мае 1933 г. во Францию прибыл первый советский военный атташе комдив С. И. Венцов. Он довольно быстро наладил хорошие отношения с представителями французских военных кругов. В августе-сентябре 1933 г. СССР посетил видный французский государственный деятель Э. Эррио. Ему был показан ряд военных, в т. ч. авиационных, объектов. В сентябре 1933 г. в СССР нанес визит военный министр Франции П. Кот. Он посетил Киев, Харьков, Москву, авиационный завод в Филях и завод по производству авиамоторов. В начале 1934 г. произошел обмен военно-воздушными атташе. При этом «французов не оставляло ощущение, что инициатива к сближению исходила от советской стороны». (Подробнее см.: Орлов Б. М. Указ, соч.).) (11784).</w:t>
      </w:r>
    </w:p>
    <w:p w14:paraId="146886AE"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09038673"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74996F5"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0D312327"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апреля 1933 Англия наложила эмбарго на поставку в страну советских товаров (4962).</w:t>
      </w:r>
    </w:p>
    <w:p w14:paraId="311E4318"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p>
    <w:p w14:paraId="7100C4D6"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58C2CC5"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2D9E521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апреля 1933 года Базилевич писал письмо № 494/ко в НКВМ Тухачевскому</w:t>
      </w:r>
    </w:p>
    <w:p w14:paraId="2DC1067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Прошу включить препровождаемый материал на рассмотрение Комиссии РВС’С по опытному авиастроительству.</w:t>
      </w:r>
    </w:p>
    <w:p w14:paraId="6122CF16"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 письмо Гольцмана за № 6/сс от 2 апреля 1933 года и схемы самолетов все на 6-ти листах (3530,123).</w:t>
      </w:r>
    </w:p>
    <w:p w14:paraId="0F6F6B7E"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407B74D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апреля 1933 после многократных поломок запуски прекратили и испытания опытного образца мотоустановки для Д-1 или Г-1 - два спаренных М-27 (по фамилии конструктора основной редуктор в документах иногда именовали "агрегат т. Дзюбе"), которые шли с 23 января - приостановили. Затем вместо двух М-27 поставили пару М-17 меньшей мощности. С ними до 20 июня "агрегат" наработал 58 ч.</w:t>
      </w:r>
    </w:p>
    <w:p w14:paraId="5B3E8BE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15 февраля 1933 г. были выполнены все рабочие чертежи оперения, 98% чертежей шасси, 94% - фюзеляжа, 70% - консолей крыла, 50% - нервюр центроплана. К 1 апреля 1933 г. академия должна была предъявить макет самолета. Был ли он изготовлен - неизвестно.</w:t>
      </w:r>
    </w:p>
    <w:p w14:paraId="09896241"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по Г-1 (Д-1) приостановили в первом квартале 1934 г. Причина была тривиальной - кончились отпущенные деньги. Готовность опытного образца в это время определяли в 70%. По оценкам конструкторов, для завершения машины требовалось еще 508 000 рублей (12036).</w:t>
      </w:r>
    </w:p>
    <w:p w14:paraId="768B0278"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4DEAB1E6" w14:textId="77777777" w:rsidR="00FA1468"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FB7AB95" w14:textId="77777777" w:rsidR="00FA1468" w:rsidRPr="00C33834" w:rsidRDefault="00FA1468" w:rsidP="00C33834">
      <w:pPr>
        <w:spacing w:after="0" w:line="240" w:lineRule="auto"/>
        <w:jc w:val="both"/>
        <w:rPr>
          <w:rFonts w:ascii="Times New Roman" w:hAnsi="Times New Roman"/>
          <w:iCs/>
          <w:color w:val="000000" w:themeColor="text1"/>
          <w:sz w:val="16"/>
          <w:szCs w:val="16"/>
        </w:rPr>
      </w:pPr>
    </w:p>
    <w:p w14:paraId="043E439B" w14:textId="77777777" w:rsidR="00FA1468" w:rsidRPr="00C33834" w:rsidRDefault="00FA146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апреля в 1933 году чрезвычайный банковский акт в США. Срочно созванная сессия конгресса приняла целый пакет реформ &lt;нового курса&gt;. Акт предлагал государственные льготы банкам, финансирующим промышленность (15094).</w:t>
      </w:r>
    </w:p>
    <w:p w14:paraId="63B447EE" w14:textId="77777777" w:rsidR="00FA1468" w:rsidRPr="00C33834" w:rsidRDefault="00FA1468" w:rsidP="00C33834">
      <w:pPr>
        <w:spacing w:after="0" w:line="240" w:lineRule="auto"/>
        <w:jc w:val="both"/>
        <w:rPr>
          <w:rFonts w:ascii="Times New Roman" w:hAnsi="Times New Roman"/>
          <w:color w:val="000000" w:themeColor="text1"/>
          <w:sz w:val="16"/>
          <w:szCs w:val="16"/>
        </w:rPr>
      </w:pPr>
    </w:p>
    <w:p w14:paraId="16385F43"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BAB531A"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469FC40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10 апреля по 1 июля 1933 в рамках работы над Д-1 10М-34 А.Н.Т. испытывали передачу на винт от двух моторов, но на М-17 и наработали 55:10. Испытания показали, что передача создана, но требуется конструктивная доработка и макс. время между дефектами было 5:16 (2305,43).</w:t>
      </w:r>
    </w:p>
    <w:p w14:paraId="7A30AB4A"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38283928"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апреля 1933 С.П.К. на заседании Бюро Президиума ЦС ОХА изложил свои соображения против передачи ГИРД в военное ведомство. Предложение принято не было (ЦГАОР, ф. 8355, № 71(3), л. 231) (10676).</w:t>
      </w:r>
    </w:p>
    <w:p w14:paraId="7A25965C"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0F0637A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апреля 1933 Г.П. Новиков сообщает М.Н. Тухачевскому об утверждении сметы ГИРД в размере 500 тыс.р. и предлагает перевести ГИРД из ОХА в УВВС (ААН, р. 4, оп. 14, № 242, л. 7) (10676).</w:t>
      </w:r>
    </w:p>
    <w:p w14:paraId="7C92527D"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36793985" w14:textId="77777777" w:rsidR="004D7C42" w:rsidRPr="00C33834" w:rsidRDefault="004D7C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10-15 апреля 1933 г. проходило обследование финансово-хозяйственной деятельности КБ «ГИРД» и в докладе начальника 3 сектора 1 Отдела Финансового управления РККА т. Смелли и начальника 8 Отдела УВИ т. Макаренко говорилось: «До августа 1932 г. ГИРД существовала, как кружок любителей при ЦС ОСОАВИАХИМ, периодически получая от последнего небольшие средства. После заключения в августе 1932 г. договора с УВИ НВ РККА «ГИРД» по существу является Конструкторским Бюро УВИ, при этом все время формально числится в системе ОСОАВИАХИМ...» (22685).</w:t>
      </w:r>
    </w:p>
    <w:p w14:paraId="63A0749D" w14:textId="77777777" w:rsidR="004D7C42" w:rsidRPr="00C33834" w:rsidRDefault="004D7C42" w:rsidP="00C33834">
      <w:pPr>
        <w:spacing w:after="0" w:line="240" w:lineRule="auto"/>
        <w:jc w:val="both"/>
        <w:rPr>
          <w:rFonts w:ascii="Times New Roman" w:hAnsi="Times New Roman"/>
          <w:color w:val="0070C0"/>
          <w:sz w:val="16"/>
          <w:szCs w:val="16"/>
        </w:rPr>
      </w:pPr>
    </w:p>
    <w:p w14:paraId="1DA687F3" w14:textId="77777777" w:rsidR="004D7C42" w:rsidRPr="00C33834" w:rsidRDefault="004D7C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 апреля 1933 г. состоялось заседание Бюро Президиума ЦС ОСОАВИАХИМ СССР (протокол № 11) в полном составе: председатель ЦС ОСОАВИАХИМ член Реввоенсовета Р.П. Эйдеман, его два заместителя М.Л. Белоцкий и Л.П. Малиновский, ответственный инструктор ЦС Лайт, начальник авиационного отдела Гельфер, начальник сектора печати Гозюмов, начальник учебного центра А.А. Милонов, руководитель ГИРД С П. Королев, начальник финансово-планового отдела Кирин, начальник второго отдела УВИ НВ РККА ЯМ. Терентьев, начальник отдела ПВО Хамилис, начальник сектора авиапромышленности Раскин, Пром, Петров, Задерман (должности последних установить не удалось).</w:t>
      </w:r>
    </w:p>
    <w:p w14:paraId="18BA31BF" w14:textId="77777777" w:rsidR="004D7C42" w:rsidRPr="00C33834" w:rsidRDefault="004D7C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Заслушали доклад Королева о передаче ГИРД в ведение УВИ.</w:t>
      </w:r>
    </w:p>
    <w:p w14:paraId="3A133644" w14:textId="77777777" w:rsidR="004D7C42" w:rsidRPr="00C33834" w:rsidRDefault="004D7C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От того же числа приняли Постановление Бюро Президиума ЦС ОСОАВИАХИМ о передаче ГИРД в ведение УВИ НВ РККА:</w:t>
      </w:r>
    </w:p>
    <w:p w14:paraId="0E15AC4B" w14:textId="77777777" w:rsidR="004D7C42" w:rsidRPr="00C33834" w:rsidRDefault="004D7C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xml:space="preserve">«1. В соответствии с письмом УВИ НВ РККА о передаче в Военвед ГИРДа, как организации имеющей значительную ценность для военного ведомства, согласиться на передачу ГИРД в УВИ НВ РККА со всем личным составом, материалами и оборудованием. </w:t>
      </w:r>
    </w:p>
    <w:p w14:paraId="707F67B3" w14:textId="77777777" w:rsidR="004D7C42" w:rsidRPr="00C33834" w:rsidRDefault="004D7C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 xml:space="preserve">2. Учитывая специфические условия работы по реактивной проблеме по линии УВИ оставить в системе ЦС ОСОАВИАХИМ оргмассовую работу, проводимую ныне отделом ГИРДа, сохранив за ним наименование «ГИРД». </w:t>
      </w:r>
    </w:p>
    <w:p w14:paraId="62BA2F8B" w14:textId="77777777" w:rsidR="004D7C42" w:rsidRPr="00C33834" w:rsidRDefault="004D7C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УВИ уплачивает ЦС как компенсацию за понесенные ОСОАВИАХИМом расходы на организацию ГИРД, за передаваемые оборудование, материалы, инвентарь и т.д.</w:t>
      </w:r>
    </w:p>
    <w:p w14:paraId="1BBEC888" w14:textId="77777777" w:rsidR="004D7C42" w:rsidRPr="00C33834" w:rsidRDefault="004D7C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xml:space="preserve">4. Помещение, занимаемое ныне ГИРДом, предоставляется во временное пользование УВИ с тем, что при освобождении оно немедленно передается в ЦС. </w:t>
      </w:r>
    </w:p>
    <w:p w14:paraId="011FC581" w14:textId="77777777" w:rsidR="004D7C42" w:rsidRPr="00C33834" w:rsidRDefault="004D7C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Отмечая большую работу, проделанную работниками ГИРД со времени его организации, передать на разрешение Наградной комиссии вопрос о награждении ряда работников за работу по ГИРДу» (ГА РФ. Фонд Р-8355 . Оп. 1. Д. № 71. Л. 231-239 ' ГА РФ. Фонд Р-8355 . Оп. 1. Д. № 71. Л. 231-239) (22685).'</w:t>
      </w:r>
    </w:p>
    <w:p w14:paraId="3AE88CE7" w14:textId="77777777" w:rsidR="004D7C42" w:rsidRPr="00C33834" w:rsidRDefault="004D7C42" w:rsidP="00C33834">
      <w:pPr>
        <w:spacing w:after="0" w:line="240" w:lineRule="auto"/>
        <w:jc w:val="both"/>
        <w:rPr>
          <w:rFonts w:ascii="Times New Roman" w:hAnsi="Times New Roman"/>
          <w:color w:val="0070C0"/>
          <w:sz w:val="16"/>
          <w:szCs w:val="16"/>
        </w:rPr>
      </w:pPr>
    </w:p>
    <w:p w14:paraId="14738E88"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02FBA78"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321156E0"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апреля 1933 на о. Гарди Франческо л Анджело на Макки М.72 установил новый абсолютный мировой рекорд скорости в 682.402 км/час (4207).</w:t>
      </w:r>
    </w:p>
    <w:p w14:paraId="5E3E9B93"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22E34C31" w14:textId="77777777" w:rsidR="006B4FD0" w:rsidRPr="00C33834" w:rsidRDefault="006B4FD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апреля в 1933 году на озере Гарди Франческо Аджелло пять раз пролетел на итальянском легком гоночном самолете «Macchi» «M.72» («MC.72») трехкилометровую дистанцию, и средняя скорость этих пяти заходов - 682,402 км/ч была зарегистрирована как новый мировой рекорд. Интересно отметить, что в одном из пролетов Аджелло прошел мерную базу со скоростью 692,529 км/ч. Итальянцы могли торжествовать. Ни в одной стране мира в это время не было самолета, который мог бы оспорить этот результат (15095).</w:t>
      </w:r>
    </w:p>
    <w:p w14:paraId="04EEBBF6" w14:textId="77777777" w:rsidR="006B4FD0" w:rsidRPr="00C33834" w:rsidRDefault="006B4FD0" w:rsidP="00C33834">
      <w:pPr>
        <w:spacing w:after="0" w:line="240" w:lineRule="auto"/>
        <w:jc w:val="both"/>
        <w:rPr>
          <w:rFonts w:ascii="Times New Roman" w:hAnsi="Times New Roman"/>
          <w:color w:val="000000" w:themeColor="text1"/>
          <w:sz w:val="16"/>
          <w:szCs w:val="16"/>
        </w:rPr>
      </w:pPr>
    </w:p>
    <w:p w14:paraId="301F1AE2" w14:textId="77777777" w:rsidR="00841CFC" w:rsidRPr="00C33834" w:rsidRDefault="00841CF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 апреля 1933 Франческо Аджелло устанавливает новый рекорд скорости в 682 км / ч (424 миль / ч) на итальянском гидросамолете Macchi MC72 (20802).</w:t>
      </w:r>
    </w:p>
    <w:p w14:paraId="3457254C" w14:textId="77777777" w:rsidR="00841CFC" w:rsidRPr="00C33834" w:rsidRDefault="00841CFC" w:rsidP="00C33834">
      <w:pPr>
        <w:spacing w:after="0" w:line="240" w:lineRule="auto"/>
        <w:jc w:val="both"/>
        <w:rPr>
          <w:rFonts w:ascii="Times New Roman" w:hAnsi="Times New Roman"/>
          <w:color w:val="0070C0"/>
          <w:sz w:val="16"/>
          <w:szCs w:val="16"/>
        </w:rPr>
      </w:pPr>
    </w:p>
    <w:p w14:paraId="05CCE8BD" w14:textId="77777777" w:rsidR="00841CFC" w:rsidRPr="00C33834" w:rsidRDefault="00841CF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 апреля 1933 состоялся первый полет - Airspeed Courier G-ABXN (20802).</w:t>
      </w:r>
    </w:p>
    <w:p w14:paraId="21095A94" w14:textId="77777777" w:rsidR="00841CFC" w:rsidRPr="00C33834" w:rsidRDefault="00841CFC" w:rsidP="00C33834">
      <w:pPr>
        <w:spacing w:after="0" w:line="240" w:lineRule="auto"/>
        <w:jc w:val="both"/>
        <w:rPr>
          <w:rFonts w:ascii="Times New Roman" w:hAnsi="Times New Roman"/>
          <w:color w:val="0070C0"/>
          <w:sz w:val="16"/>
          <w:szCs w:val="16"/>
        </w:rPr>
      </w:pPr>
    </w:p>
    <w:p w14:paraId="7EE490EA" w14:textId="77777777" w:rsidR="00841CFC" w:rsidRPr="00C33834" w:rsidRDefault="00841CF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 апреля 1933 года — первый полёт лёгкого самолёта Airspeed AS.5 Courier.</w:t>
      </w:r>
    </w:p>
    <w:p w14:paraId="21986735" w14:textId="77777777" w:rsidR="00841CFC" w:rsidRPr="00C33834" w:rsidRDefault="00841CF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Создавался конструктором Хесселлем Тилтманом по заказу британского пионера авиации Алана Джона Кобхэма, который задумал беспосадочный перелёт в Индию. Отсюда одно из требований, предъявленных к новому самолёту — возможность дозаправки в воздухе.</w:t>
      </w:r>
    </w:p>
    <w:p w14:paraId="6EBC1C04" w14:textId="77777777" w:rsidR="00841CFC" w:rsidRPr="00C33834" w:rsidRDefault="00841CF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AS.5 представлял собой одномоторный деревянный низкоплан с кабиной, рассчитанной на 1 пилота и 5 пассажиров. Впервые в английском авиастроении был построен серийный самолёт с убирающимся шасси. 7-цилиндровый двигатель Armstrong Siddeley Lynx IVC позволял развить скорость до 246 км/ч. Специальных устройств для заправки в воздухе у самолёта не было — пилот или его помощник должны были поймать шланг от воздушного танкера и присоединить к баку.</w:t>
      </w:r>
    </w:p>
    <w:p w14:paraId="418BB565" w14:textId="77777777" w:rsidR="00841CFC" w:rsidRPr="00C33834" w:rsidRDefault="00841CF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Попытка перелёта сэра Алана Джона Кобхэма завершилась неудачно. Но это не помешало запустить Airspeed AS.5 Courier в серийное производство. Всего выпустили 16 самолётов, которые чаще всего использовались в роли «воздушных такси». Также «Курьеры» участвовали в авиационных гонках и различных исследовательских программах (22300).</w:t>
      </w:r>
    </w:p>
    <w:p w14:paraId="27BACBEB" w14:textId="77777777" w:rsidR="00841CFC" w:rsidRPr="00C33834" w:rsidRDefault="00841CFC" w:rsidP="00C33834">
      <w:pPr>
        <w:spacing w:after="0" w:line="240" w:lineRule="auto"/>
        <w:jc w:val="both"/>
        <w:rPr>
          <w:rFonts w:ascii="Times New Roman" w:hAnsi="Times New Roman"/>
          <w:color w:val="0070C0"/>
          <w:sz w:val="16"/>
          <w:szCs w:val="16"/>
        </w:rPr>
      </w:pPr>
    </w:p>
    <w:p w14:paraId="55AD7CC5"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B987871"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23516FF4" w14:textId="77777777" w:rsidR="006B4FD0" w:rsidRPr="00C33834" w:rsidRDefault="006B4FD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апреля 1933 г. Инженер Ф.Трояни в докладе начальнику Дирижаблестроя Фельдману дал характеристику возникшим вследствие дефектов в чертежах недостаткам отдельных частей В-5, которые были «смягчены но не устранены» и сделал заключение: «Считаю, что дирижабль в настоящее время может пойти в испытательный полет с достаточной надежностью». В то же время Трояни указал на необходимость «после первых полетов перейти к тщательной проверке киля, чтобы судить - будет ли в состоянии дирижабль нести регулярную службу» [4, л.154-157] (15797).</w:t>
      </w:r>
    </w:p>
    <w:p w14:paraId="0640A282" w14:textId="77777777" w:rsidR="006B4FD0" w:rsidRPr="00C33834" w:rsidRDefault="006B4FD0" w:rsidP="00C33834">
      <w:pPr>
        <w:spacing w:after="0" w:line="240" w:lineRule="auto"/>
        <w:jc w:val="both"/>
        <w:rPr>
          <w:rFonts w:ascii="Times New Roman" w:hAnsi="Times New Roman"/>
          <w:color w:val="000000" w:themeColor="text1"/>
          <w:sz w:val="16"/>
          <w:szCs w:val="16"/>
        </w:rPr>
      </w:pPr>
    </w:p>
    <w:p w14:paraId="78A717E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апреля 1933 Нач. ВМС РККА Орлов писал письмо N 161830 ГУАП П.И.Б. о том, что опытный образец торпедного катера 5Г, построенный ЦАГИ, прибыл в Севастополь для ходовых испытаний 23 февраля 1933 и до сих пор не имеет ни одного выхода на испытания по причине совершенно неудовлетворительной подготовки к испытаниям со стороны работников ЦАГИ... (2305,26).</w:t>
      </w:r>
    </w:p>
    <w:p w14:paraId="3D4D38CF"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Опытный образец торпедного катера типа 5Г, построенный ЦАГИ, прибыл в Севастополь для производства ходовых испытаний еще 23.П.33 г. и до сих пор не имел ни одного выхода на испы</w:t>
      </w:r>
      <w:r w:rsidRPr="00C33834">
        <w:rPr>
          <w:rFonts w:ascii="Times New Roman" w:hAnsi="Times New Roman"/>
          <w:color w:val="000000" w:themeColor="text1"/>
          <w:sz w:val="16"/>
          <w:szCs w:val="16"/>
        </w:rPr>
        <w:softHyphen/>
        <w:t>тания, по причине совершенно неудовлетворительной подготовки к испытаниям со стороны работников ЦАГИ (несвоевременной высылки бригады рабочих, задержки в высылке инструментов, час</w:t>
      </w:r>
      <w:r w:rsidRPr="00C33834">
        <w:rPr>
          <w:rFonts w:ascii="Times New Roman" w:hAnsi="Times New Roman"/>
          <w:color w:val="000000" w:themeColor="text1"/>
          <w:sz w:val="16"/>
          <w:szCs w:val="16"/>
        </w:rPr>
        <w:softHyphen/>
        <w:t>тей реверсов и т.д.).</w:t>
      </w:r>
    </w:p>
    <w:p w14:paraId="56893E15"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Инженеры Управления Кораблестроения вынуждены сидеть в Севастополе в ожидании производства испытания катера.</w:t>
      </w:r>
    </w:p>
    <w:p w14:paraId="6A1F8025"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Прошу Ваших указаний Директору ЦАГИ на необходимость ускорения производства ходовых испытаний с тем, чтобы УВМС теперь-же могло приступить к серийной постройке этого типа катеров (2305,26).</w:t>
      </w:r>
    </w:p>
    <w:p w14:paraId="55840772"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451E91DB" w14:textId="77777777" w:rsidR="006B4FD0"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0CE588C" w14:textId="77777777" w:rsidR="006B4FD0" w:rsidRPr="00C33834" w:rsidRDefault="006B4FD0" w:rsidP="00C33834">
      <w:pPr>
        <w:spacing w:after="0" w:line="240" w:lineRule="auto"/>
        <w:jc w:val="both"/>
        <w:rPr>
          <w:rFonts w:ascii="Times New Roman" w:hAnsi="Times New Roman"/>
          <w:iCs/>
          <w:color w:val="000000" w:themeColor="text1"/>
          <w:sz w:val="16"/>
          <w:szCs w:val="16"/>
        </w:rPr>
      </w:pPr>
    </w:p>
    <w:p w14:paraId="4727D278" w14:textId="77777777" w:rsidR="006B4FD0" w:rsidRPr="00C33834" w:rsidRDefault="006B4FD0" w:rsidP="00C33834">
      <w:pPr>
        <w:pStyle w:val="rtejustify"/>
        <w:spacing w:before="0" w:after="0"/>
        <w:rPr>
          <w:color w:val="000000" w:themeColor="text1"/>
          <w:sz w:val="16"/>
          <w:szCs w:val="16"/>
        </w:rPr>
      </w:pPr>
      <w:r w:rsidRPr="00C33834">
        <w:rPr>
          <w:rStyle w:val="af0"/>
          <w:bCs/>
          <w:i w:val="0"/>
          <w:color w:val="000000" w:themeColor="text1"/>
          <w:sz w:val="16"/>
          <w:szCs w:val="16"/>
        </w:rPr>
        <w:t>11 апреля</w:t>
      </w:r>
      <w:r w:rsidRPr="00C33834">
        <w:rPr>
          <w:color w:val="000000" w:themeColor="text1"/>
          <w:sz w:val="16"/>
          <w:szCs w:val="16"/>
        </w:rPr>
        <w:t xml:space="preserve"> 1933 вышел приказ РВСС № 8. 1. О вооружении связи РККА. (Синявский, Жуков, Берг). 2. О качественном состоянии взрывателей. (Куйбышев, Ефимов). 8. — 3). Сообщение о подписании председателем РВСС постановления РВСС «Об итогах выполнения плана заказов НКВМора за 1932 г. от 11 апреля 1933 г.». (РГВА. Ф. 4. Оп. 18. Д. 23. Л. 133</w:t>
      </w:r>
      <w:r w:rsidRPr="00C33834">
        <w:rPr>
          <w:color w:val="000000" w:themeColor="text1"/>
          <w:sz w:val="16"/>
          <w:szCs w:val="16"/>
        </w:rPr>
        <w:noBreakHyphen/>
        <w:t>134) (15461).</w:t>
      </w:r>
    </w:p>
    <w:p w14:paraId="5DC216BD" w14:textId="77777777" w:rsidR="006B4FD0" w:rsidRPr="00C33834" w:rsidRDefault="006B4FD0" w:rsidP="00C33834">
      <w:pPr>
        <w:pStyle w:val="rtejustify"/>
        <w:spacing w:before="0" w:after="0"/>
        <w:rPr>
          <w:color w:val="000000" w:themeColor="text1"/>
          <w:sz w:val="16"/>
          <w:szCs w:val="16"/>
        </w:rPr>
      </w:pPr>
    </w:p>
    <w:p w14:paraId="79EF45FF" w14:textId="77777777" w:rsidR="006B4FD0" w:rsidRPr="00C33834" w:rsidRDefault="006B4FD0" w:rsidP="00C33834">
      <w:pPr>
        <w:spacing w:after="0" w:line="240" w:lineRule="auto"/>
        <w:jc w:val="both"/>
        <w:rPr>
          <w:rStyle w:val="af0"/>
          <w:rFonts w:ascii="Times New Roman" w:hAnsi="Times New Roman"/>
          <w:i w:val="0"/>
          <w:color w:val="000000" w:themeColor="text1"/>
          <w:sz w:val="16"/>
          <w:szCs w:val="16"/>
        </w:rPr>
      </w:pPr>
      <w:r w:rsidRPr="00C33834">
        <w:rPr>
          <w:rStyle w:val="af0"/>
          <w:rFonts w:ascii="Times New Roman" w:hAnsi="Times New Roman"/>
          <w:i w:val="0"/>
          <w:color w:val="000000" w:themeColor="text1"/>
          <w:sz w:val="16"/>
          <w:szCs w:val="16"/>
        </w:rPr>
        <w:t xml:space="preserve">11 апреля 1933 г. </w:t>
      </w:r>
      <w:r w:rsidRPr="00C33834">
        <w:rPr>
          <w:rFonts w:ascii="Times New Roman" w:hAnsi="Times New Roman"/>
          <w:color w:val="000000" w:themeColor="text1"/>
          <w:sz w:val="16"/>
          <w:szCs w:val="16"/>
        </w:rPr>
        <w:t>Доклад начальника Военно-морской инспекции НК РКИ СССР¹* H. В. Куйбышева на заседании Реввоенсовета СССР о результатах проверки состояния качества взрывателей и дистанционных трубок для снарядов сухопутной артиллерии</w:t>
      </w:r>
    </w:p>
    <w:p w14:paraId="6B5D32B5" w14:textId="77777777" w:rsidR="006B4FD0" w:rsidRPr="00C33834" w:rsidRDefault="006B4FD0"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Совершенно секретно.</w:t>
      </w:r>
    </w:p>
    <w:p w14:paraId="716F3952"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Произведенная проверка состояния качества взрывателей и дистанционных трубок для снарядов сухопутной артиллерии выявила следующее положение.</w:t>
      </w:r>
    </w:p>
    <w:p w14:paraId="52F6EA76" w14:textId="77777777" w:rsidR="006B4FD0" w:rsidRPr="00C33834" w:rsidRDefault="006B4FD0" w:rsidP="00C33834">
      <w:pPr>
        <w:pStyle w:val="ae"/>
        <w:spacing w:before="0" w:after="0"/>
        <w:jc w:val="both"/>
        <w:rPr>
          <w:color w:val="000000" w:themeColor="text1"/>
          <w:sz w:val="16"/>
          <w:szCs w:val="16"/>
        </w:rPr>
      </w:pPr>
      <w:r w:rsidRPr="00C33834">
        <w:rPr>
          <w:color w:val="000000" w:themeColor="text1"/>
          <w:sz w:val="16"/>
          <w:szCs w:val="16"/>
        </w:rPr>
        <w:t>А. По взрывателям</w:t>
      </w:r>
    </w:p>
    <w:p w14:paraId="658D8B74" w14:textId="77777777" w:rsidR="006B4FD0" w:rsidRPr="00C33834" w:rsidRDefault="006B4FD0" w:rsidP="00C33834">
      <w:pPr>
        <w:pStyle w:val="ae"/>
        <w:spacing w:before="0" w:after="0"/>
        <w:jc w:val="both"/>
        <w:rPr>
          <w:color w:val="000000" w:themeColor="text1"/>
          <w:sz w:val="16"/>
          <w:szCs w:val="16"/>
        </w:rPr>
      </w:pPr>
      <w:r w:rsidRPr="00C33834">
        <w:rPr>
          <w:color w:val="000000" w:themeColor="text1"/>
          <w:sz w:val="16"/>
          <w:szCs w:val="16"/>
        </w:rPr>
        <w:t>а) для мелкокалиберных снарядов</w:t>
      </w:r>
    </w:p>
    <w:p w14:paraId="022BD223"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1. Взрыватель МГ</w:t>
      </w:r>
      <w:r w:rsidRPr="00C33834">
        <w:rPr>
          <w:color w:val="000000" w:themeColor="text1"/>
          <w:sz w:val="16"/>
          <w:szCs w:val="16"/>
        </w:rPr>
        <w:noBreakHyphen/>
        <w:t>1 (мгновенного действия, головной). Для 20</w:t>
      </w:r>
      <w:r w:rsidRPr="00C33834">
        <w:rPr>
          <w:color w:val="000000" w:themeColor="text1"/>
          <w:sz w:val="16"/>
          <w:szCs w:val="16"/>
        </w:rPr>
        <w:noBreakHyphen/>
        <w:t>мм осколочных снарядов. Конструкция взрывателя имеется, но не проверена всесторонними испытаниями. На вооружение не принят, тем не менее ГАУ РККА выдало в 1932 г. валовой заказ на 60 тыс. шт. Изготовлено 60 300 шт. и уплачено за них 210 тыс. руб.</w:t>
      </w:r>
    </w:p>
    <w:p w14:paraId="662938E4"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2. Взрыватель МГ</w:t>
      </w:r>
      <w:r w:rsidRPr="00C33834">
        <w:rPr>
          <w:color w:val="000000" w:themeColor="text1"/>
          <w:sz w:val="16"/>
          <w:szCs w:val="16"/>
        </w:rPr>
        <w:noBreakHyphen/>
        <w:t>2 (мгновенного действия, головной). Для 37</w:t>
      </w:r>
      <w:r w:rsidRPr="00C33834">
        <w:rPr>
          <w:color w:val="000000" w:themeColor="text1"/>
          <w:sz w:val="16"/>
          <w:szCs w:val="16"/>
        </w:rPr>
        <w:noBreakHyphen/>
        <w:t>мм осколочных снарядов. Конструкция взрывателя не вызывает сомнений. Капсюль для этого взрывателя, применяемый и для взрывателя МГ</w:t>
      </w:r>
      <w:r w:rsidRPr="00C33834">
        <w:rPr>
          <w:color w:val="000000" w:themeColor="text1"/>
          <w:sz w:val="16"/>
          <w:szCs w:val="16"/>
        </w:rPr>
        <w:noBreakHyphen/>
        <w:t>1, для долговременного хранения не годен — коррозируется. Производство их приостановлено и ведутся опыты по новому капсюлю. Таким образом, для взрывателей МГ</w:t>
      </w:r>
      <w:r w:rsidRPr="00C33834">
        <w:rPr>
          <w:color w:val="000000" w:themeColor="text1"/>
          <w:sz w:val="16"/>
          <w:szCs w:val="16"/>
        </w:rPr>
        <w:noBreakHyphen/>
        <w:t>1 и МГ</w:t>
      </w:r>
      <w:r w:rsidRPr="00C33834">
        <w:rPr>
          <w:color w:val="000000" w:themeColor="text1"/>
          <w:sz w:val="16"/>
          <w:szCs w:val="16"/>
        </w:rPr>
        <w:noBreakHyphen/>
        <w:t>2 нет стойких капсюлей. На вооружение взрыватель не принят. Независимо от этого ГАУ РККА выдало в 1932 г. валовой заказ промышленности на 620 тыс. шт. Изготовлено около 500 тыс. корпусов, не обеспеченных капсюлями. За эти корпуса уплачено 1 млн. руб.</w:t>
      </w:r>
    </w:p>
    <w:p w14:paraId="56787B2A"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3. Взрыватель МГ</w:t>
      </w:r>
      <w:r w:rsidRPr="00C33834">
        <w:rPr>
          <w:color w:val="000000" w:themeColor="text1"/>
          <w:sz w:val="16"/>
          <w:szCs w:val="16"/>
        </w:rPr>
        <w:noBreakHyphen/>
        <w:t>1 (мгновенного действия, донный). Для 20</w:t>
      </w:r>
      <w:r w:rsidRPr="00C33834">
        <w:rPr>
          <w:color w:val="000000" w:themeColor="text1"/>
          <w:sz w:val="16"/>
          <w:szCs w:val="16"/>
        </w:rPr>
        <w:noBreakHyphen/>
        <w:t>мм бронебойных снарядов. Разработанной конструкции взрывателя нет.</w:t>
      </w:r>
    </w:p>
    <w:p w14:paraId="6719E029"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4. Взрыватель ИД</w:t>
      </w:r>
      <w:r w:rsidRPr="00C33834">
        <w:rPr>
          <w:color w:val="000000" w:themeColor="text1"/>
          <w:sz w:val="16"/>
          <w:szCs w:val="16"/>
        </w:rPr>
        <w:noBreakHyphen/>
        <w:t>2 (мгновенного действия, донный). Для 37 и 45</w:t>
      </w:r>
      <w:r w:rsidRPr="00C33834">
        <w:rPr>
          <w:color w:val="000000" w:themeColor="text1"/>
          <w:sz w:val="16"/>
          <w:szCs w:val="16"/>
        </w:rPr>
        <w:noBreakHyphen/>
        <w:t>мм бронебойных снарядов. Для применения к 37</w:t>
      </w:r>
      <w:r w:rsidRPr="00C33834">
        <w:rPr>
          <w:color w:val="000000" w:themeColor="text1"/>
          <w:sz w:val="16"/>
          <w:szCs w:val="16"/>
        </w:rPr>
        <w:noBreakHyphen/>
        <w:t>мм бронебойным снарядам не вызывает сомнений. Пригодность взрывателя для 45</w:t>
      </w:r>
      <w:r w:rsidRPr="00C33834">
        <w:rPr>
          <w:color w:val="000000" w:themeColor="text1"/>
          <w:sz w:val="16"/>
          <w:szCs w:val="16"/>
        </w:rPr>
        <w:noBreakHyphen/>
        <w:t>мм бронебойных снарядов — основной мелкокалиберной артиллерии — окончательно не установлена, т. к. не проведены всесторонние испытания. В конструкции взрывателя трасса не обеспечивает полностью пристрелку по местности на ближние дистанции, что надо отнести к существенному недостатку. Капсюль-воспламенитель не вызывает сомнений. Капсюль-детонатор не пригоден для долговременного хранения — коррозируется. Для взрывателя нет стойкого капсюля. На вооружение армии не принят.</w:t>
      </w:r>
    </w:p>
    <w:p w14:paraId="66B95FEE"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По программе 1932 г. ГАУ РККА выдало валовой заказ промышленности, главным образом для обеспечения 45</w:t>
      </w:r>
      <w:r w:rsidRPr="00C33834">
        <w:rPr>
          <w:color w:val="000000" w:themeColor="text1"/>
          <w:sz w:val="16"/>
          <w:szCs w:val="16"/>
        </w:rPr>
        <w:noBreakHyphen/>
        <w:t>мм снарядов, на 2 млн. 965 тыс. шт. взрывателей. Изготовлено свыше 1,5 млн. шт., на которых 1 млн. шт. не обеспечены капсюлями. За них уплачено 4,5 млн. руб.</w:t>
      </w:r>
    </w:p>
    <w:p w14:paraId="70A221E6"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5. Взрыватель для 37</w:t>
      </w:r>
      <w:r w:rsidRPr="00C33834">
        <w:rPr>
          <w:color w:val="000000" w:themeColor="text1"/>
          <w:sz w:val="16"/>
          <w:szCs w:val="16"/>
        </w:rPr>
        <w:noBreakHyphen/>
        <w:t>мм ружья Курчевского. Утвержденного и испытанного взрывателя нет. Таким образом, в настоящее время мелкокалиберная артиллерия не обеспечивается проверенными взрывателями.</w:t>
      </w:r>
    </w:p>
    <w:p w14:paraId="16FB58BD" w14:textId="77777777" w:rsidR="006B4FD0" w:rsidRPr="00C33834" w:rsidRDefault="006B4FD0" w:rsidP="00C33834">
      <w:pPr>
        <w:pStyle w:val="ae"/>
        <w:spacing w:before="0" w:after="0"/>
        <w:jc w:val="both"/>
        <w:rPr>
          <w:color w:val="000000" w:themeColor="text1"/>
          <w:sz w:val="16"/>
          <w:szCs w:val="16"/>
        </w:rPr>
      </w:pPr>
      <w:r w:rsidRPr="00C33834">
        <w:rPr>
          <w:color w:val="000000" w:themeColor="text1"/>
          <w:sz w:val="16"/>
          <w:szCs w:val="16"/>
        </w:rPr>
        <w:t>б) для снарядов средних и крупных калибров</w:t>
      </w:r>
    </w:p>
    <w:p w14:paraId="4387F897"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1. Взрыватель для снарядов к пушкам Курчевского — ЛМК и авиационным (заряжаемым с дула и с пояском Минье). Утвержденного и испытанного образца взрывателя нет. Взрыватель «КАТ» не пригоден, т. к. дает преждевременные разрывы, причины которых не изучены.</w:t>
      </w:r>
    </w:p>
    <w:p w14:paraId="52589FF5"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2. Взрыватель «КАТ» (мгновенного и обыкновенного действия). Применяется для калибров снарядов до 203 мм. Взрыватель не вызывает сомнений, однако еще не принят на вооружение армии. Производство капсюлей для взрывателя не освоено и сейчас свыше 1 млн. корпусов взрывателей не обеспечены капсюлями.</w:t>
      </w:r>
    </w:p>
    <w:p w14:paraId="2CFD5172"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3. Взрыватель РГ</w:t>
      </w:r>
      <w:r w:rsidRPr="00C33834">
        <w:rPr>
          <w:color w:val="000000" w:themeColor="text1"/>
          <w:sz w:val="16"/>
          <w:szCs w:val="16"/>
        </w:rPr>
        <w:noBreakHyphen/>
        <w:t>6 универсального типа (мгновенного, замедленного и обыкновенного действия). Постановлением РВС принят на вооружение армии как универсального типа для снарядов увеличенной дальности — осколочно-фугасных, осколочно-химических и осколочно-дымных 76, 107, 122 и 152</w:t>
      </w:r>
      <w:r w:rsidRPr="00C33834">
        <w:rPr>
          <w:color w:val="000000" w:themeColor="text1"/>
          <w:sz w:val="16"/>
          <w:szCs w:val="16"/>
        </w:rPr>
        <w:noBreakHyphen/>
        <w:t>мм пушек-гаубиц. До 1932 г. изготовлено и принято около 500 тыс. шт.</w:t>
      </w:r>
    </w:p>
    <w:p w14:paraId="0D2A5B48"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lastRenderedPageBreak/>
        <w:t>По программе 1932 г. ГАУ РККА выдало заказ на 2 867 200 шт., из которых принято примерно 2 млн. шт. с уплатой за них свыше 21 млн. руб. Все изготовленные 2,5 млн. шт. взрывателей являются сомнительными и безусловно негодными — опасными для стрельбы из пушек, т. к. дают преждевременные разрывы перед дулом. У всех изготовленных взрывателей вставленные капсюля-воспламенители имеют подрез фольги и негодны для стрельбы из пушек и гаубиц.</w:t>
      </w:r>
    </w:p>
    <w:p w14:paraId="2CFC9CF8"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Капсюль-детонатор окончательно не доработан. Во всех изготовленных взрывателях подлежат замене капсюля и, кроме того, взрыватели подлежат переборке для проверки сборки. Стоимость этой работы определяется около 2,5 млн. руб. В настоящем состоянии взрыватель не может быть использован для стрельбы. Конструкцию взрывателя надо считать недоработанной. На вооружение армии взрыватель был принят конструктивно недоработанным и без всесторонних испытаний.</w:t>
      </w:r>
    </w:p>
    <w:p w14:paraId="721E9854"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4. Взрыватель 5ДТ</w:t>
      </w:r>
      <w:r w:rsidRPr="00C33834">
        <w:rPr>
          <w:color w:val="000000" w:themeColor="text1"/>
          <w:sz w:val="16"/>
          <w:szCs w:val="16"/>
        </w:rPr>
        <w:noBreakHyphen/>
        <w:t>2 для 203</w:t>
      </w:r>
      <w:r w:rsidRPr="00C33834">
        <w:rPr>
          <w:color w:val="000000" w:themeColor="text1"/>
          <w:sz w:val="16"/>
          <w:szCs w:val="16"/>
        </w:rPr>
        <w:noBreakHyphen/>
        <w:t>мм снарядов. Взрыватель старого образца и как испытанный в минувших войнах не вызывает сомнений. Производство приостановлено за отсутствием импортного никеля для капсюлей.</w:t>
      </w:r>
    </w:p>
    <w:p w14:paraId="1AC6BE3C" w14:textId="77777777" w:rsidR="006B4FD0" w:rsidRPr="00C33834" w:rsidRDefault="006B4FD0" w:rsidP="00C33834">
      <w:pPr>
        <w:pStyle w:val="ae"/>
        <w:spacing w:before="0" w:after="0"/>
        <w:jc w:val="both"/>
        <w:rPr>
          <w:color w:val="000000" w:themeColor="text1"/>
          <w:sz w:val="16"/>
          <w:szCs w:val="16"/>
        </w:rPr>
      </w:pPr>
      <w:r w:rsidRPr="00C33834">
        <w:rPr>
          <w:color w:val="000000" w:themeColor="text1"/>
          <w:sz w:val="16"/>
          <w:szCs w:val="16"/>
        </w:rPr>
        <w:t>5. Взрыватель 24/31 казенного образца. Применяется для снарядов старого чертежа. В запасах ГАУ РККА имеется около 3 млн. шт., опасных для стрельбы. Все подлежат переделке, к которой только приступлено и лишь в опытном порядке.</w:t>
      </w:r>
    </w:p>
    <w:p w14:paraId="557CD70B" w14:textId="77777777" w:rsidR="006B4FD0" w:rsidRPr="00C33834" w:rsidRDefault="006B4FD0" w:rsidP="00C33834">
      <w:pPr>
        <w:pStyle w:val="ae"/>
        <w:spacing w:before="0" w:after="0"/>
        <w:jc w:val="both"/>
        <w:rPr>
          <w:color w:val="000000" w:themeColor="text1"/>
          <w:sz w:val="16"/>
          <w:szCs w:val="16"/>
        </w:rPr>
      </w:pPr>
      <w:r w:rsidRPr="00C33834">
        <w:rPr>
          <w:color w:val="000000" w:themeColor="text1"/>
          <w:sz w:val="16"/>
          <w:szCs w:val="16"/>
        </w:rPr>
        <w:t>6. Взрыватель для мин Стокса (107 мм). Разработанной конструкции нет. Ведется опытная разработка взрывателя.</w:t>
      </w:r>
    </w:p>
    <w:p w14:paraId="31529345" w14:textId="77777777" w:rsidR="006B4FD0" w:rsidRPr="00C33834" w:rsidRDefault="006B4FD0" w:rsidP="00C33834">
      <w:pPr>
        <w:pStyle w:val="ae"/>
        <w:spacing w:before="0" w:after="0"/>
        <w:jc w:val="both"/>
        <w:rPr>
          <w:color w:val="000000" w:themeColor="text1"/>
          <w:sz w:val="16"/>
          <w:szCs w:val="16"/>
        </w:rPr>
      </w:pPr>
      <w:r w:rsidRPr="00C33834">
        <w:rPr>
          <w:color w:val="000000" w:themeColor="text1"/>
          <w:sz w:val="16"/>
          <w:szCs w:val="16"/>
        </w:rPr>
        <w:t>7. Взрыватель для бетонно-бойных снарядов 122 мм, 152 и 203 мм. Разработанной и утвержденной конструкции взрывателя нет.</w:t>
      </w:r>
    </w:p>
    <w:p w14:paraId="47E8827A" w14:textId="77777777" w:rsidR="006B4FD0" w:rsidRPr="00C33834" w:rsidRDefault="006B4FD0" w:rsidP="00C33834">
      <w:pPr>
        <w:pStyle w:val="ae"/>
        <w:spacing w:before="0" w:after="0"/>
        <w:jc w:val="both"/>
        <w:rPr>
          <w:color w:val="000000" w:themeColor="text1"/>
          <w:sz w:val="16"/>
          <w:szCs w:val="16"/>
        </w:rPr>
      </w:pPr>
      <w:r w:rsidRPr="00C33834">
        <w:rPr>
          <w:color w:val="000000" w:themeColor="text1"/>
          <w:sz w:val="16"/>
          <w:szCs w:val="16"/>
        </w:rPr>
        <w:t>Б. По дистанционным трубкам</w:t>
      </w:r>
    </w:p>
    <w:p w14:paraId="3DE255F1" w14:textId="77777777" w:rsidR="006B4FD0" w:rsidRPr="00C33834" w:rsidRDefault="006B4FD0" w:rsidP="00C33834">
      <w:pPr>
        <w:pStyle w:val="ae"/>
        <w:spacing w:before="0" w:after="0"/>
        <w:jc w:val="both"/>
        <w:rPr>
          <w:color w:val="000000" w:themeColor="text1"/>
          <w:sz w:val="16"/>
          <w:szCs w:val="16"/>
        </w:rPr>
      </w:pPr>
      <w:r w:rsidRPr="00C33834">
        <w:rPr>
          <w:color w:val="000000" w:themeColor="text1"/>
          <w:sz w:val="16"/>
          <w:szCs w:val="16"/>
        </w:rPr>
        <w:t>1. Трубка «Д». Для 76, 107,122, 152</w:t>
      </w:r>
      <w:r w:rsidRPr="00C33834">
        <w:rPr>
          <w:color w:val="000000" w:themeColor="text1"/>
          <w:sz w:val="16"/>
          <w:szCs w:val="16"/>
        </w:rPr>
        <w:noBreakHyphen/>
        <w:t>мм орудий. Постановлением РВС принята на вооружение взамен 22, 34 и 45 секундных дистанционных трубок, производство которых прекращено. Трубка «Д» принята на вооружение конструктивно недоработанной и по своим качествам не лучше трубок старого образца. В последнее время трубка дает преждевременные разрывы, причины которых окончательно не установлены, и, кроме того, при хранении коррозируется. До 1931 г. изготавливались трубки с запрессовкой различными порохами и с различной накаткой, что создает затруднения при стрельбах. Для стрельбы по зенитным целям мало пригодна из-за большого рассеивания. Для снаряда к пушкам Курчевского, заряжаемых с дула и с пояском Минье (ЛМК и авиационных) трубка «Д» непригодна, т. к. дает преждевременные разрывы.</w:t>
      </w:r>
    </w:p>
    <w:p w14:paraId="2F07CD4D" w14:textId="77777777" w:rsidR="006B4FD0" w:rsidRPr="00C33834" w:rsidRDefault="006B4FD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Трубка «Д» подлежит замене и для этой цели в опытном порядке разрабатывается трубка «Т</w:t>
      </w:r>
      <w:r w:rsidRPr="00C33834">
        <w:rPr>
          <w:rFonts w:ascii="Times New Roman" w:hAnsi="Times New Roman"/>
          <w:color w:val="000000" w:themeColor="text1"/>
          <w:sz w:val="16"/>
          <w:szCs w:val="16"/>
        </w:rPr>
        <w:noBreakHyphen/>
        <w:t>3». По программе 1932 г. ГАУ РККА выдало заказ на 2,8 млн. шт. трубок «Д». Всего этих трубок имеется около 3 млн. шт. стоимостью 24 млн. руб.</w:t>
      </w:r>
    </w:p>
    <w:p w14:paraId="595BD924" w14:textId="77777777" w:rsidR="006B4FD0" w:rsidRPr="00C33834" w:rsidRDefault="006B4FD0" w:rsidP="00C33834">
      <w:pPr>
        <w:pStyle w:val="ae"/>
        <w:spacing w:before="0" w:after="0"/>
        <w:jc w:val="both"/>
        <w:rPr>
          <w:color w:val="000000" w:themeColor="text1"/>
          <w:sz w:val="16"/>
          <w:szCs w:val="16"/>
        </w:rPr>
      </w:pPr>
      <w:r w:rsidRPr="00C33834">
        <w:rPr>
          <w:color w:val="000000" w:themeColor="text1"/>
          <w:sz w:val="16"/>
          <w:szCs w:val="16"/>
        </w:rPr>
        <w:t>2. Механическая трубка «Тилль-Крупп». Конструкция трубки не вызывает сомнений, как испытанная немцами. Изготовленная партия этих трубок нашими конструкторскими бюро при отстрелах показала удовлетворительные результаты по рассеиванию, но с большим процентом отказов, которые объясняются недостаточным освоением производства.</w:t>
      </w:r>
    </w:p>
    <w:p w14:paraId="33A60F93" w14:textId="77777777" w:rsidR="006B4FD0" w:rsidRPr="00C33834" w:rsidRDefault="006B4FD0" w:rsidP="00C33834">
      <w:pPr>
        <w:pStyle w:val="ae"/>
        <w:spacing w:before="0" w:after="0"/>
        <w:jc w:val="both"/>
        <w:rPr>
          <w:color w:val="000000" w:themeColor="text1"/>
          <w:sz w:val="16"/>
          <w:szCs w:val="16"/>
        </w:rPr>
      </w:pPr>
      <w:r w:rsidRPr="00C33834">
        <w:rPr>
          <w:color w:val="000000" w:themeColor="text1"/>
          <w:sz w:val="16"/>
          <w:szCs w:val="16"/>
        </w:rPr>
        <w:t>3. Механическая трубка Георгиева. Всесторонние испытания не произведены, и поэтому нельзя судить о достоинствах трубки. Следовательно, пока приходится базироваться на запасах старых дистанционных трубок, которые не обеспечивают современную стрельбу и особенно зенитную.</w:t>
      </w:r>
    </w:p>
    <w:p w14:paraId="04B0378C" w14:textId="77777777" w:rsidR="006B4FD0" w:rsidRPr="00C33834" w:rsidRDefault="006B4FD0" w:rsidP="00C33834">
      <w:pPr>
        <w:pStyle w:val="rtejustify"/>
        <w:spacing w:before="0" w:after="0"/>
        <w:rPr>
          <w:color w:val="000000" w:themeColor="text1"/>
          <w:sz w:val="16"/>
          <w:szCs w:val="16"/>
        </w:rPr>
      </w:pPr>
      <w:r w:rsidRPr="00C33834">
        <w:rPr>
          <w:rStyle w:val="a7"/>
          <w:rFonts w:eastAsiaTheme="majorEastAsia"/>
          <w:b w:val="0"/>
          <w:color w:val="000000" w:themeColor="text1"/>
          <w:sz w:val="16"/>
          <w:szCs w:val="16"/>
        </w:rPr>
        <w:t>В.</w:t>
      </w:r>
      <w:r w:rsidRPr="00C33834">
        <w:rPr>
          <w:color w:val="000000" w:themeColor="text1"/>
          <w:sz w:val="16"/>
          <w:szCs w:val="16"/>
        </w:rPr>
        <w:t xml:space="preserve"> Производство капсюлей для взрывателей и дистанционных трубок находится в тяжелом положении и заводы Вохимтреста не обеспечивают количественную и качественную подачу капсюлей. Производство капсюлей не освоено, технологический процесс не зафиксирован и отсутствует надлежащий технический контроль за капсюльным производством. Научно-исследовательские и конструкторские работы развернуты слабо и не увязываются с работой конструкторского бюро Патрубвзрыва, конструирующего взрыватели и дистанционные трубки. Необходимая опытная мастерская по капсюлям при ВХНИИ не создана. Не велась работа по созданию кадров по капсюльному производству. При необходимости для производства капсюлей высококачественного алюминия, заводы Вохимтреста снабжались алюминием низкого качества 2</w:t>
      </w:r>
      <w:r w:rsidRPr="00C33834">
        <w:rPr>
          <w:color w:val="000000" w:themeColor="text1"/>
          <w:sz w:val="16"/>
          <w:szCs w:val="16"/>
        </w:rPr>
        <w:noBreakHyphen/>
        <w:t>3 сорта с рядом вредных примесей, который в соединении с взрывчатым составом капсюлей вызывает коррозию их.</w:t>
      </w:r>
    </w:p>
    <w:p w14:paraId="774FB1B9"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Несмотря на неоднократное заострение вопроса о тяжелом положении с капсюльным производством, тем не менее ГВМУ НКТП, бывшее Вохимобъединение и Вохимтрест не принимали необходимых мер для выпуска в должном количестве и доброкачественных капсюлей.</w:t>
      </w:r>
    </w:p>
    <w:p w14:paraId="47620B6E" w14:textId="77777777" w:rsidR="006B4FD0" w:rsidRPr="00C33834" w:rsidRDefault="006B4FD0" w:rsidP="00C33834">
      <w:pPr>
        <w:pStyle w:val="rtejustify"/>
        <w:spacing w:before="0" w:after="0"/>
        <w:rPr>
          <w:color w:val="000000" w:themeColor="text1"/>
          <w:sz w:val="16"/>
          <w:szCs w:val="16"/>
        </w:rPr>
      </w:pPr>
      <w:r w:rsidRPr="00C33834">
        <w:rPr>
          <w:rStyle w:val="a7"/>
          <w:rFonts w:eastAsiaTheme="majorEastAsia"/>
          <w:b w:val="0"/>
          <w:color w:val="000000" w:themeColor="text1"/>
          <w:sz w:val="16"/>
          <w:szCs w:val="16"/>
        </w:rPr>
        <w:t>Г.</w:t>
      </w:r>
      <w:r w:rsidRPr="00C33834">
        <w:rPr>
          <w:color w:val="000000" w:themeColor="text1"/>
          <w:sz w:val="16"/>
          <w:szCs w:val="16"/>
        </w:rPr>
        <w:t xml:space="preserve"> При конструктивной недоработанности взрывателей и дистанционных трубок и без всесторонних испытаний их ГАУ РККА выдало валовые заказы на них промышленности и в настоящее время имеется изготовленных: а) взрывателей МГ</w:t>
      </w:r>
      <w:r w:rsidRPr="00C33834">
        <w:rPr>
          <w:color w:val="000000" w:themeColor="text1"/>
          <w:sz w:val="16"/>
          <w:szCs w:val="16"/>
        </w:rPr>
        <w:noBreakHyphen/>
        <w:t>1 — 60 300 шт. стоимостью 210 тыс. руб.; б) взрывателей МГ</w:t>
      </w:r>
      <w:r w:rsidRPr="00C33834">
        <w:rPr>
          <w:color w:val="000000" w:themeColor="text1"/>
          <w:sz w:val="16"/>
          <w:szCs w:val="16"/>
        </w:rPr>
        <w:noBreakHyphen/>
        <w:t>2 — 500 тыс. шт. стоимостью 1 млн. руб.; в) взрывателей ИД</w:t>
      </w:r>
      <w:r w:rsidRPr="00C33834">
        <w:rPr>
          <w:color w:val="000000" w:themeColor="text1"/>
          <w:sz w:val="16"/>
          <w:szCs w:val="16"/>
        </w:rPr>
        <w:noBreakHyphen/>
        <w:t>2 — 1,5 млн. шт. стоимостью 4,5 млн. руб.; г) взрывателей РГ</w:t>
      </w:r>
      <w:r w:rsidRPr="00C33834">
        <w:rPr>
          <w:color w:val="000000" w:themeColor="text1"/>
          <w:sz w:val="16"/>
          <w:szCs w:val="16"/>
        </w:rPr>
        <w:noBreakHyphen/>
        <w:t>6 — 2,5 млн. шт. стоимостью 28 млн. руб.; д) дистанционных трубок «Д» — 3 млн. шт. стоимостью 24 млн. руб.; е) требуется для исправления 2,5 млн. шт. взрывателей РГ</w:t>
      </w:r>
      <w:r w:rsidRPr="00C33834">
        <w:rPr>
          <w:color w:val="000000" w:themeColor="text1"/>
          <w:sz w:val="16"/>
          <w:szCs w:val="16"/>
        </w:rPr>
        <w:noBreakHyphen/>
        <w:t>6 стоимостью 2,5 млн. руб. Итого — 60 млн. 210 тыс. руб.</w:t>
      </w:r>
    </w:p>
    <w:p w14:paraId="175D534E"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Все это количество взрывателей и дистанционных трубок стоимостью 60 млн. 210 тыс. руб. не может быть использовано ввиду ненадежности действия, опасности для стрельбы и отсутствия проверенных и в необходимом количестве капсюлей. Докладывая об этом, прошу поставить данный вопрос на рассмотрение КО.</w:t>
      </w:r>
    </w:p>
    <w:p w14:paraId="725190BA" w14:textId="77777777" w:rsidR="006B4FD0" w:rsidRPr="00C33834" w:rsidRDefault="006B4FD0" w:rsidP="00C33834">
      <w:pPr>
        <w:pStyle w:val="ae"/>
        <w:spacing w:before="0" w:after="0"/>
        <w:jc w:val="both"/>
        <w:rPr>
          <w:color w:val="000000" w:themeColor="text1"/>
          <w:sz w:val="16"/>
          <w:szCs w:val="16"/>
        </w:rPr>
      </w:pPr>
      <w:r w:rsidRPr="00C33834">
        <w:rPr>
          <w:rStyle w:val="af0"/>
          <w:i w:val="0"/>
          <w:color w:val="000000" w:themeColor="text1"/>
          <w:sz w:val="16"/>
          <w:szCs w:val="16"/>
        </w:rPr>
        <w:t>Член коллегии НК РКИ СССР, начальник ВМИ Куйбышев</w:t>
      </w:r>
    </w:p>
    <w:p w14:paraId="3E2A3505" w14:textId="77777777" w:rsidR="006B4FD0" w:rsidRPr="00C33834" w:rsidRDefault="006B4FD0"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Примечание</w:t>
      </w:r>
      <w:r w:rsidRPr="00C33834">
        <w:rPr>
          <w:color w:val="000000" w:themeColor="text1"/>
          <w:sz w:val="16"/>
          <w:szCs w:val="16"/>
        </w:rPr>
        <w:t>:</w:t>
      </w:r>
    </w:p>
    <w:p w14:paraId="7440C79F"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¹* Наркомат рабоче-крестьянской инспекции (НК РКИ) был создан постановлением ВЦИК от 7 февраля 1920 г., как орган социалистического контроля. По решению XII съезда РКП(б) был образован двуединый орган партийно-государственного контроля ЦКК — НК РКИ. Решение съезда было законодательно закреплено постановлением Президиума ЦИК и СНК СССР от 6 сентября 1923 г. и постановлением 3</w:t>
      </w:r>
      <w:r w:rsidRPr="00C33834">
        <w:rPr>
          <w:color w:val="000000" w:themeColor="text1"/>
          <w:sz w:val="16"/>
          <w:szCs w:val="16"/>
        </w:rPr>
        <w:noBreakHyphen/>
        <w:t>й сессии ЦИК СССР от 12 ноября 1923 г., где было утверждено новое положение о Наркомате РКИ. Аппарат союзного народного комиссариата состоял из коллегии при наркоме, четырех центральных управлений, которые подразделялись на секции, инспекции и отделы, и трех самостоятельных отделов. В составе Оперативного управления НК РКИ работу военной промышленности контролировала Военно-морская инспекция. ЦКК — НК РКИ СССР был упразднен постановлением ЦИК и СНК СССР от 11 февраля 1934 г., в связи с созданием Комиссии партийного контроля при СНК СССР. (СУ РСФСР. 1920 1937 вышел приказ НКОП № 16. Ст. 94; ГА РФ. Ф. Р</w:t>
      </w:r>
      <w:r w:rsidRPr="00C33834">
        <w:rPr>
          <w:color w:val="000000" w:themeColor="text1"/>
          <w:sz w:val="16"/>
          <w:szCs w:val="16"/>
        </w:rPr>
        <w:noBreakHyphen/>
        <w:t>374. Оп. 1. Д. 1. Л. 19</w:t>
      </w:r>
      <w:r w:rsidRPr="00C33834">
        <w:rPr>
          <w:color w:val="000000" w:themeColor="text1"/>
          <w:sz w:val="16"/>
          <w:szCs w:val="16"/>
        </w:rPr>
        <w:noBreakHyphen/>
        <w:t>19 об.)</w:t>
      </w:r>
    </w:p>
    <w:p w14:paraId="7437118D" w14:textId="77777777" w:rsidR="006B4FD0" w:rsidRPr="00C33834" w:rsidRDefault="006B4FD0" w:rsidP="00C33834">
      <w:pPr>
        <w:pStyle w:val="ae"/>
        <w:spacing w:before="0" w:after="0"/>
        <w:jc w:val="both"/>
        <w:rPr>
          <w:color w:val="000000" w:themeColor="text1"/>
          <w:sz w:val="16"/>
          <w:szCs w:val="16"/>
        </w:rPr>
      </w:pPr>
      <w:r w:rsidRPr="00C33834">
        <w:rPr>
          <w:color w:val="000000" w:themeColor="text1"/>
          <w:sz w:val="16"/>
          <w:szCs w:val="16"/>
        </w:rPr>
        <w:t>РГАЭ. Ф. 7297. Оп. 41. Д. 28. Л. 128-122. Копия (15262).</w:t>
      </w:r>
    </w:p>
    <w:p w14:paraId="7FA9328C" w14:textId="77777777" w:rsidR="006B4FD0" w:rsidRPr="00C33834" w:rsidRDefault="006B4FD0" w:rsidP="00C33834">
      <w:pPr>
        <w:spacing w:after="0" w:line="240" w:lineRule="auto"/>
        <w:jc w:val="both"/>
        <w:rPr>
          <w:rStyle w:val="af0"/>
          <w:rFonts w:ascii="Times New Roman" w:hAnsi="Times New Roman"/>
          <w:i w:val="0"/>
          <w:color w:val="000000" w:themeColor="text1"/>
          <w:sz w:val="16"/>
          <w:szCs w:val="16"/>
        </w:rPr>
      </w:pPr>
    </w:p>
    <w:p w14:paraId="19052D75" w14:textId="77777777" w:rsidR="006B4FD0" w:rsidRPr="00C33834" w:rsidRDefault="006B4FD0" w:rsidP="00C33834">
      <w:pPr>
        <w:pStyle w:val="rtejustify"/>
        <w:spacing w:before="0" w:after="0"/>
        <w:rPr>
          <w:color w:val="000000" w:themeColor="text1"/>
          <w:sz w:val="16"/>
          <w:szCs w:val="16"/>
        </w:rPr>
      </w:pPr>
      <w:r w:rsidRPr="00C33834">
        <w:rPr>
          <w:rStyle w:val="af0"/>
          <w:bCs/>
          <w:i w:val="0"/>
          <w:color w:val="000000" w:themeColor="text1"/>
          <w:sz w:val="16"/>
          <w:szCs w:val="16"/>
        </w:rPr>
        <w:t>11 апреля</w:t>
      </w:r>
      <w:r w:rsidRPr="00C33834">
        <w:rPr>
          <w:color w:val="000000" w:themeColor="text1"/>
          <w:sz w:val="16"/>
          <w:szCs w:val="16"/>
        </w:rPr>
        <w:t xml:space="preserve"> 1933 Постановление РВСС «Об итогах выполнения плана заказов НКВМора за 1932 г.». (Ф. 4. Оп. 18. Д. 23. Л. 143</w:t>
      </w:r>
      <w:r w:rsidRPr="00C33834">
        <w:rPr>
          <w:color w:val="000000" w:themeColor="text1"/>
          <w:sz w:val="16"/>
          <w:szCs w:val="16"/>
        </w:rPr>
        <w:noBreakHyphen/>
        <w:t>147) (15461).</w:t>
      </w:r>
    </w:p>
    <w:p w14:paraId="76AD9A12" w14:textId="77777777" w:rsidR="006B4FD0" w:rsidRPr="00C33834" w:rsidRDefault="006B4FD0" w:rsidP="00C33834">
      <w:pPr>
        <w:pStyle w:val="rtejustify"/>
        <w:spacing w:before="0" w:after="0"/>
        <w:rPr>
          <w:rStyle w:val="af0"/>
          <w:bCs/>
          <w:i w:val="0"/>
          <w:color w:val="000000" w:themeColor="text1"/>
          <w:sz w:val="16"/>
          <w:szCs w:val="16"/>
        </w:rPr>
      </w:pPr>
    </w:p>
    <w:p w14:paraId="7CFCAA0F" w14:textId="77777777" w:rsidR="006B4FD0" w:rsidRPr="00C33834" w:rsidRDefault="006B4FD0" w:rsidP="00C33834">
      <w:pPr>
        <w:pStyle w:val="rtejustify"/>
        <w:spacing w:before="0" w:after="0"/>
        <w:rPr>
          <w:color w:val="000000" w:themeColor="text1"/>
          <w:sz w:val="16"/>
          <w:szCs w:val="16"/>
        </w:rPr>
      </w:pPr>
      <w:r w:rsidRPr="00C33834">
        <w:rPr>
          <w:rStyle w:val="af0"/>
          <w:i w:val="0"/>
          <w:color w:val="000000" w:themeColor="text1"/>
          <w:sz w:val="16"/>
          <w:szCs w:val="16"/>
        </w:rPr>
        <w:t xml:space="preserve">11 апреля 1933 г. </w:t>
      </w:r>
      <w:r w:rsidRPr="00C33834">
        <w:rPr>
          <w:color w:val="000000" w:themeColor="text1"/>
          <w:sz w:val="16"/>
          <w:szCs w:val="16"/>
        </w:rPr>
        <w:t>Постановление Реввоенсовета СССР «Об итогах выполнения заказов НКВМора за 1932 г.»</w:t>
      </w:r>
    </w:p>
    <w:p w14:paraId="0414F5AB"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Революционный военный совет Союза ССР отмечает значительные успехи в деле выполнения тяжелой промышленностью заказов НКВМора за 1932 г.:</w:t>
      </w:r>
    </w:p>
    <w:p w14:paraId="33214A1C"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1. Авиапромышленность подала около 1 тыс. боевых самолетов, среди которых 160 тяжелых бомбардировщиков.</w:t>
      </w:r>
    </w:p>
    <w:p w14:paraId="1F24D55D"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2. Танковая промышленность подала РККА около 3500 бронеединиц современных типов.</w:t>
      </w:r>
    </w:p>
    <w:p w14:paraId="631A054F"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3. Военная промышленность обеспечила РККА пулеметами всех систем и приступила к освоению производства мелкокалиберной артиллерии.</w:t>
      </w:r>
    </w:p>
    <w:p w14:paraId="784A8E33"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4. Освоено массовое производство сухопутных раций и др. технических средств вооружения.</w:t>
      </w:r>
    </w:p>
    <w:p w14:paraId="5F3E26F2"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Однако наряду с успехами в работе промышленности РВСС отмечает также наличие значительного недовыполнения установленного правительством плана заказов на 1932 г.:</w:t>
      </w:r>
    </w:p>
    <w:p w14:paraId="6E690BD2"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1) Заказ на боевые самолеты выполнен в размере 51%, на авиабомбы — 50%.</w:t>
      </w:r>
    </w:p>
    <w:p w14:paraId="4EF7656F"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2) Установленная правительством программа танкового производства выполнена: а) по танкам Т</w:t>
      </w:r>
      <w:r w:rsidRPr="00C33834">
        <w:rPr>
          <w:color w:val="000000" w:themeColor="text1"/>
          <w:sz w:val="16"/>
          <w:szCs w:val="16"/>
        </w:rPr>
        <w:noBreakHyphen/>
        <w:t>26 — на 85%, б) по танкам БТ — на 66%, в) по танкеткам Т</w:t>
      </w:r>
      <w:r w:rsidRPr="00C33834">
        <w:rPr>
          <w:color w:val="000000" w:themeColor="text1"/>
          <w:sz w:val="16"/>
          <w:szCs w:val="16"/>
        </w:rPr>
        <w:noBreakHyphen/>
        <w:t>27 — на 80%, г) по бронеавтомобилям — на 5,2%.</w:t>
      </w:r>
    </w:p>
    <w:p w14:paraId="03FB2DC4"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3) Тяжелые артсистемы выполнены в незначительном размере (152</w:t>
      </w:r>
      <w:r w:rsidRPr="00C33834">
        <w:rPr>
          <w:color w:val="000000" w:themeColor="text1"/>
          <w:sz w:val="16"/>
          <w:szCs w:val="16"/>
        </w:rPr>
        <w:noBreakHyphen/>
        <w:t>мм мортиры — 8%; 152</w:t>
      </w:r>
      <w:r w:rsidRPr="00C33834">
        <w:rPr>
          <w:color w:val="000000" w:themeColor="text1"/>
          <w:sz w:val="16"/>
          <w:szCs w:val="16"/>
        </w:rPr>
        <w:noBreakHyphen/>
        <w:t>мм пушки — 1%; 203</w:t>
      </w:r>
      <w:r w:rsidRPr="00C33834">
        <w:rPr>
          <w:color w:val="000000" w:themeColor="text1"/>
          <w:sz w:val="16"/>
          <w:szCs w:val="16"/>
        </w:rPr>
        <w:noBreakHyphen/>
        <w:t>мм гаубицы — 26%).</w:t>
      </w:r>
    </w:p>
    <w:p w14:paraId="561774E5"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4) Вместо заказанных 7 млн. снарядов промышленность подала только 2 млн., в том числе наибольший недодел падает на новые мелкокалиберные (бронебойные) и тяжелые снаряды.</w:t>
      </w:r>
    </w:p>
    <w:p w14:paraId="5CEC53F9"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5) Несмотря на развернувшееся производство, подача мелкокалиберных танковых пушек фактически отсутствовала из-за неотлаженности системы и несоблюдения принципа взаимосвязанности.</w:t>
      </w:r>
    </w:p>
    <w:p w14:paraId="715E6F0A"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6) Производство средств химического нападения не обеспечивает использование наличной материальной части: а) химвещество № 6 выполнено — на 30%; б) по минометам выполнено — на 0%; в) по минам выполнено — на 15%; г) ВАПы и БХМ не обеспечены достаточным количеством ОВ;</w:t>
      </w:r>
    </w:p>
    <w:p w14:paraId="4ED6CEF0"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7) Заказ на рации для самолетов выполнен на 25% и для аэродромов на 10%.</w:t>
      </w:r>
    </w:p>
    <w:p w14:paraId="21CDB437"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8) РВС СССР особо отмечает наличие некомплектности выполнения заказов НКВМ в 1932 г., в частности: а) построенные самолеты не обеспечены рациями, прицелами, фотоаппаратами, парашютами, цистернами и бочками; б) танки не обеспечены пушками, рациями, тракторами, цистернами; в) аэростаты заграждения не имеют лебедок; г) мелкокалиберные артсистемы не обеспечены достаточным количеством снарядов; д) телефонный кабель — без катушек.</w:t>
      </w:r>
    </w:p>
    <w:p w14:paraId="6B877273"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9) Качество продукции продолжает еще оставаться неудовлетворительным; особенно велики и часты отступления от кондиций по металлу и по взаимозаменяемости частей (деталей).</w:t>
      </w:r>
    </w:p>
    <w:p w14:paraId="463EA920"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10) Отсутствуют должная проработка и поверка предварительных и отчетных калькуляций, в результате чего, как правило, цены исполнительные намного превышают цены договорные. В итоге на заводах ослабляется действительная борьба за снижение себестоимости, а центральные довольствующие управления производят значительные переплаты, подрывающие финансовую дисциплину.</w:t>
      </w:r>
    </w:p>
    <w:p w14:paraId="6CEB1A7F"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РВС СССР считает, что указанные недочеты явились результатом недостаточной организации вопросов планирования и оперативного руководства заказами НКВМ со стороны НКТяжпрома, в частности:</w:t>
      </w:r>
    </w:p>
    <w:p w14:paraId="12646D3B"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1. Подчинение заводоуправлениям отделов технического контроля способствовало пропуску в сборку деталей некондиционного качества.</w:t>
      </w:r>
    </w:p>
    <w:p w14:paraId="31BF23E9"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lastRenderedPageBreak/>
        <w:t>2. Низкое качество инструмента и недостаточное удовлетворение военных заводов мерительным и калибровым инструментом со стороны общесоюзной промышленности.</w:t>
      </w:r>
    </w:p>
    <w:p w14:paraId="0CD17352"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3. Зачастую хаотическое состояние чертежей и лекального хозяйства, а также отсутствие необходимой дисциплины и требовательности к выполнению деталей по чертежам.</w:t>
      </w:r>
    </w:p>
    <w:p w14:paraId="5A41C3D0"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4. Неудовлетворительное планирование и увязка в выполнении межзаводских заказов.</w:t>
      </w:r>
    </w:p>
    <w:p w14:paraId="2801F727"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5. Недостаточное и несвоевременное снабжение заводов промышленности черным и цветным металлами, а в отдельных случаях позаимствование этих металлов из военных заказов для общегражданских.</w:t>
      </w:r>
    </w:p>
    <w:p w14:paraId="6E735EEB"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6. При отставании в выполнении отдельных номенклатур не принимались немедленные меры для развертывания производства.</w:t>
      </w:r>
    </w:p>
    <w:p w14:paraId="5B0D4FB6"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7. Виновные в нарушении договоров не привлекались к действительной ответственности.</w:t>
      </w:r>
    </w:p>
    <w:p w14:paraId="28B7DA27"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Одновременно начальники центральных и довольствующих управлений не приняли решительных мер в деле выполнения планов заказа промышленностью, допустив при этом: 1) несвоевременное заключение договоров с промышленностью; 2) сдачу в производство недоработанных образцов; 3) несвоевременную разработку и сдачу тех условий, описаний и чертежей; 4) приемку некондиционной продукции на заводах и 5) оплату за полученную продукцию, значительно превышающую заключенными договорами.</w:t>
      </w:r>
    </w:p>
    <w:p w14:paraId="3038C643"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РВС СССР постановляет:</w:t>
      </w:r>
    </w:p>
    <w:p w14:paraId="0D1AC5BF"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1. Просить народного комиссара тяжелой промышленности т. Орджоникидзе: а) установить систематический учет выполнения военных заказов по всем номенклатурам с представлением ежемесячных итоговых данных правительству и НКВМору (по Штабу РККА); б) обеспечить производством полную комплектность объектов вооружения по заказам НКВМ; в) усилить контроль за качеством обработки деталей внутри производства и качеством выпускаемых промышленностью объектов вооружения в целом.</w:t>
      </w:r>
    </w:p>
    <w:p w14:paraId="5720D5DA"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2. Обязать начальников ЦДУ: а) одновременно с окончанием договорной кампании обеспечить своевременную сдачу промышленности всех необходимых технических условий, описаний и чертежей; б) категорически воспретить сдачу в валовой заказ недоработанных образцов материальной части; в) поквартально представить Штабу РККА, наряду со сводками о ходе выполнения заказов, данные о причинах невыполнения или отставания в выполнении отдельных номенклатур; г) усилить внимание к качеству продукции, дав указания военным представителям на заводах о выполнении всех требований приемки и строгом соблюдении технических условий и кондиций по приему; д) по-настоящему организовать калькуляционную работу и установить порядок, чтобы одновременно с выдачей заказа составлялся калькуляционный подсчет, основанный на предварительной проработке непосредственно на заводе вопроса стоимости заказа; е) организовать поверку отчетных калькуляций таким порядком, чтобы увеличение накладных расходов, проистекающее от причин, не зависящих от военного ведомства (ошибки завода, повышенный брак, простои и т. п.) — не принималась бы к оплате за счет сметы НКВМ.</w:t>
      </w:r>
    </w:p>
    <w:p w14:paraId="21B8DF25"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3. Обязать Штаб РККА ежемесячно докладывать народному комиссару о ходе выполнения плана заказов.</w:t>
      </w:r>
    </w:p>
    <w:p w14:paraId="4C5544D7"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4. Обязать Штаб РККА поквартально представлять наркому для внесения в правительство итоги плана заказов с указанием необходимых мероприятий.</w:t>
      </w:r>
    </w:p>
    <w:p w14:paraId="7E3EC0FF"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5. Начальникам ЦДУ в декадный срок представить наркому календарный план выполнения настоящего постановления.</w:t>
      </w:r>
    </w:p>
    <w:p w14:paraId="487EEF1F" w14:textId="77777777" w:rsidR="006B4FD0" w:rsidRPr="00C33834" w:rsidRDefault="006B4FD0" w:rsidP="00C33834">
      <w:pPr>
        <w:pStyle w:val="ae"/>
        <w:spacing w:before="0" w:after="0"/>
        <w:jc w:val="both"/>
        <w:rPr>
          <w:color w:val="000000" w:themeColor="text1"/>
          <w:sz w:val="16"/>
          <w:szCs w:val="16"/>
        </w:rPr>
      </w:pPr>
      <w:r w:rsidRPr="00C33834">
        <w:rPr>
          <w:rStyle w:val="af0"/>
          <w:i w:val="0"/>
          <w:color w:val="000000" w:themeColor="text1"/>
          <w:sz w:val="16"/>
          <w:szCs w:val="16"/>
        </w:rPr>
        <w:t>Председатель РВС СССР Ворошилов</w:t>
      </w:r>
    </w:p>
    <w:p w14:paraId="48A85519" w14:textId="77777777" w:rsidR="006B4FD0" w:rsidRPr="00C33834" w:rsidRDefault="006B4FD0" w:rsidP="00C33834">
      <w:pPr>
        <w:pStyle w:val="ae"/>
        <w:spacing w:before="0" w:after="0"/>
        <w:jc w:val="both"/>
        <w:rPr>
          <w:color w:val="000000" w:themeColor="text1"/>
          <w:sz w:val="16"/>
          <w:szCs w:val="16"/>
        </w:rPr>
      </w:pPr>
      <w:r w:rsidRPr="00C33834">
        <w:rPr>
          <w:rStyle w:val="af0"/>
          <w:i w:val="0"/>
          <w:color w:val="000000" w:themeColor="text1"/>
          <w:sz w:val="16"/>
          <w:szCs w:val="16"/>
        </w:rPr>
        <w:t>Секретарь РВС СССР</w:t>
      </w:r>
      <w:r w:rsidRPr="00C33834">
        <w:rPr>
          <w:color w:val="000000" w:themeColor="text1"/>
          <w:sz w:val="16"/>
          <w:szCs w:val="16"/>
        </w:rPr>
        <w:t>¹*</w:t>
      </w:r>
    </w:p>
    <w:p w14:paraId="7CD57BF1" w14:textId="77777777" w:rsidR="006B4FD0" w:rsidRPr="00C33834" w:rsidRDefault="006B4FD0"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Примечание</w:t>
      </w:r>
      <w:r w:rsidRPr="00C33834">
        <w:rPr>
          <w:color w:val="000000" w:themeColor="text1"/>
          <w:sz w:val="16"/>
          <w:szCs w:val="16"/>
        </w:rPr>
        <w:t>:</w:t>
      </w:r>
    </w:p>
    <w:p w14:paraId="2500C0EB" w14:textId="77777777" w:rsidR="006B4FD0" w:rsidRPr="00C33834" w:rsidRDefault="006B4FD0" w:rsidP="00C33834">
      <w:pPr>
        <w:pStyle w:val="ae"/>
        <w:spacing w:before="0" w:after="0"/>
        <w:jc w:val="both"/>
        <w:rPr>
          <w:color w:val="000000" w:themeColor="text1"/>
          <w:sz w:val="16"/>
          <w:szCs w:val="16"/>
        </w:rPr>
      </w:pPr>
      <w:r w:rsidRPr="00C33834">
        <w:rPr>
          <w:color w:val="000000" w:themeColor="text1"/>
          <w:sz w:val="16"/>
          <w:szCs w:val="16"/>
        </w:rPr>
        <w:t>¹* Подпись неразборчива.</w:t>
      </w:r>
    </w:p>
    <w:p w14:paraId="28F5AE4C" w14:textId="77777777" w:rsidR="006B4FD0" w:rsidRPr="00C33834" w:rsidRDefault="006B4FD0" w:rsidP="00C33834">
      <w:pPr>
        <w:pStyle w:val="ae"/>
        <w:spacing w:before="0" w:after="0"/>
        <w:jc w:val="both"/>
        <w:rPr>
          <w:color w:val="000000" w:themeColor="text1"/>
          <w:sz w:val="16"/>
          <w:szCs w:val="16"/>
        </w:rPr>
      </w:pPr>
      <w:r w:rsidRPr="00C33834">
        <w:rPr>
          <w:color w:val="000000" w:themeColor="text1"/>
          <w:sz w:val="16"/>
          <w:szCs w:val="16"/>
        </w:rPr>
        <w:t>РГВА. Ф. 4. Оп. 18. Д. 23. Л. 143-147. Подлинник (15261).</w:t>
      </w:r>
    </w:p>
    <w:p w14:paraId="742C528D" w14:textId="77777777" w:rsidR="006B4FD0" w:rsidRPr="00C33834" w:rsidRDefault="006B4FD0" w:rsidP="00C33834">
      <w:pPr>
        <w:spacing w:after="0" w:line="240" w:lineRule="auto"/>
        <w:jc w:val="both"/>
        <w:rPr>
          <w:rStyle w:val="af0"/>
          <w:rFonts w:ascii="Times New Roman" w:hAnsi="Times New Roman"/>
          <w:i w:val="0"/>
          <w:color w:val="000000" w:themeColor="text1"/>
          <w:sz w:val="16"/>
          <w:szCs w:val="16"/>
        </w:rPr>
      </w:pPr>
    </w:p>
    <w:p w14:paraId="6367ED39" w14:textId="77777777" w:rsidR="006B4FD0" w:rsidRPr="00C33834" w:rsidRDefault="006B4FD0" w:rsidP="00C33834">
      <w:pPr>
        <w:spacing w:after="0" w:line="240" w:lineRule="auto"/>
        <w:jc w:val="both"/>
        <w:rPr>
          <w:rStyle w:val="af0"/>
          <w:rFonts w:ascii="Times New Roman" w:hAnsi="Times New Roman"/>
          <w:i w:val="0"/>
          <w:color w:val="000000" w:themeColor="text1"/>
          <w:sz w:val="16"/>
          <w:szCs w:val="16"/>
        </w:rPr>
      </w:pPr>
      <w:r w:rsidRPr="00C33834">
        <w:rPr>
          <w:rStyle w:val="af0"/>
          <w:rFonts w:ascii="Times New Roman" w:hAnsi="Times New Roman"/>
          <w:i w:val="0"/>
          <w:color w:val="000000" w:themeColor="text1"/>
          <w:sz w:val="16"/>
          <w:szCs w:val="16"/>
        </w:rPr>
        <w:t xml:space="preserve">11 апреля 1933 г. </w:t>
      </w:r>
      <w:r w:rsidRPr="00C33834">
        <w:rPr>
          <w:rFonts w:ascii="Times New Roman" w:hAnsi="Times New Roman"/>
          <w:color w:val="000000" w:themeColor="text1"/>
          <w:sz w:val="16"/>
          <w:szCs w:val="16"/>
        </w:rPr>
        <w:t>Письмо наркома по военным и морским делам СССР и председателя Реввоенсовета СССР К. Е. Ворошилова председателю СТО СССР В. М. Молотову о развитии исследований ультракоротких волн и электронных потоков больших скоростей в военных целях</w:t>
      </w:r>
    </w:p>
    <w:p w14:paraId="2504833E" w14:textId="77777777" w:rsidR="006B4FD0" w:rsidRPr="00C33834" w:rsidRDefault="006B4FD0"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Совершенно секретно.</w:t>
      </w:r>
    </w:p>
    <w:p w14:paraId="392BABB4"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13 декабря 1932 г. моим заместителем т. Тухачевским было проведено совещание по вопросам поражающих лучей с участием академиков А. Ф. Иоффе, А. А. Чернышева и Миткевича, профессора Шулейкина и научных работников НКВМ. Академик Иоффе и другие утверждают возможность применения ультракоротких волн и электронных потоков больших скоростей как поражающих средств. Решение этих проблем имеет колоссальное военное значение.</w:t>
      </w:r>
    </w:p>
    <w:p w14:paraId="5B66EB7C"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Чтобы не оказаться перед фактом неожиданного применения этого вида техники, нам необходимо активизировать указанную работу и привлечь для разрешения ряда задач узкую группу специалистов.</w:t>
      </w:r>
    </w:p>
    <w:p w14:paraId="1664DEBF"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РВСС считает целесообразным:</w:t>
      </w:r>
    </w:p>
    <w:p w14:paraId="36C2120A"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1) разработку вопроса о поражающих лучах поручить академику Иоффе с привлечением академика Чернышева, Миткевича и Шулейкина и 2</w:t>
      </w:r>
      <w:r w:rsidRPr="00C33834">
        <w:rPr>
          <w:color w:val="000000" w:themeColor="text1"/>
          <w:sz w:val="16"/>
          <w:szCs w:val="16"/>
        </w:rPr>
        <w:noBreakHyphen/>
        <w:t>3 молодых инженеров, работающих в этой области;</w:t>
      </w:r>
    </w:p>
    <w:p w14:paraId="4E3ADC81"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2) всю работу сосредоточить в Государственном физико-техническом институте. Остальные институты и заводы должны выполнять только отдельные и частные задания или агрегаты;</w:t>
      </w:r>
    </w:p>
    <w:p w14:paraId="432A16A8"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3) наблюдение за работой поручить комиссии в составе тт. Орджоникидзе (председатель), Бухарина, Павлуновского, Ягоды, Тухачевского, Уншлихта и Куйбышева Н.</w:t>
      </w:r>
    </w:p>
    <w:p w14:paraId="40B4040C" w14:textId="77777777" w:rsidR="006B4FD0" w:rsidRPr="00C33834" w:rsidRDefault="006B4FD0" w:rsidP="00C33834">
      <w:pPr>
        <w:pStyle w:val="ae"/>
        <w:spacing w:before="0" w:after="0"/>
        <w:jc w:val="both"/>
        <w:rPr>
          <w:color w:val="000000" w:themeColor="text1"/>
          <w:sz w:val="16"/>
          <w:szCs w:val="16"/>
        </w:rPr>
      </w:pPr>
      <w:r w:rsidRPr="00C33834">
        <w:rPr>
          <w:color w:val="000000" w:themeColor="text1"/>
          <w:sz w:val="16"/>
          <w:szCs w:val="16"/>
        </w:rPr>
        <w:t>Прошу этот вопрос поставить на обсуждение КО.</w:t>
      </w:r>
    </w:p>
    <w:p w14:paraId="550C121B" w14:textId="77777777" w:rsidR="006B4FD0" w:rsidRPr="00C33834" w:rsidRDefault="006B4FD0" w:rsidP="00C33834">
      <w:pPr>
        <w:pStyle w:val="ae"/>
        <w:spacing w:before="0" w:after="0"/>
        <w:jc w:val="both"/>
        <w:rPr>
          <w:color w:val="000000" w:themeColor="text1"/>
          <w:sz w:val="16"/>
          <w:szCs w:val="16"/>
        </w:rPr>
      </w:pPr>
      <w:r w:rsidRPr="00C33834">
        <w:rPr>
          <w:rStyle w:val="af0"/>
          <w:i w:val="0"/>
          <w:color w:val="000000" w:themeColor="text1"/>
          <w:sz w:val="16"/>
          <w:szCs w:val="16"/>
        </w:rPr>
        <w:t>Наркомвоенмор и председатель РВС СССР Ворошилов</w:t>
      </w:r>
    </w:p>
    <w:p w14:paraId="4B1F762B" w14:textId="77777777" w:rsidR="006B4FD0" w:rsidRPr="00C33834" w:rsidRDefault="006B4FD0" w:rsidP="00C33834">
      <w:pPr>
        <w:pStyle w:val="ae"/>
        <w:spacing w:before="0" w:after="0"/>
        <w:jc w:val="both"/>
        <w:rPr>
          <w:color w:val="000000" w:themeColor="text1"/>
          <w:sz w:val="16"/>
          <w:szCs w:val="16"/>
        </w:rPr>
      </w:pPr>
      <w:r w:rsidRPr="00C33834">
        <w:rPr>
          <w:color w:val="000000" w:themeColor="text1"/>
          <w:sz w:val="16"/>
          <w:szCs w:val="16"/>
        </w:rPr>
        <w:t>РГАЭ. Ф. 7297. Оп. 41. Д. 73. Л. 115. Заверенная копия (15263).</w:t>
      </w:r>
    </w:p>
    <w:p w14:paraId="110519BA" w14:textId="77777777" w:rsidR="006B4FD0" w:rsidRPr="00C33834" w:rsidRDefault="006B4FD0" w:rsidP="00C33834">
      <w:pPr>
        <w:spacing w:after="0" w:line="240" w:lineRule="auto"/>
        <w:jc w:val="both"/>
        <w:rPr>
          <w:rFonts w:ascii="Times New Roman" w:hAnsi="Times New Roman"/>
          <w:iCs/>
          <w:color w:val="000000" w:themeColor="text1"/>
          <w:sz w:val="16"/>
          <w:szCs w:val="16"/>
        </w:rPr>
      </w:pPr>
    </w:p>
    <w:p w14:paraId="0BB8C0B3" w14:textId="77777777" w:rsidR="001470B0" w:rsidRPr="00C33834" w:rsidRDefault="001470B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апреля 1933 г. состоялось заседание РВС СССР, посвященное вопросам развития военно-морской связи во второй пятилетке, на котором с докладами выступили А.И. Берг и И.П. Жуков. В их выступлениях отмечалась узость производственной базы морского радиостроительства, что позволило за годы первой пятилетки освоить заводами только 78% выделенных для этих целей финансовых ресурсов. Эта же причина вынуждала сохранять на вооружении флота большое количество устаревших радиоустановок (184 комплекта искровых и 51 комплект ламповых образца 1923-1927 гг. станций). В качестве приоритетных задач совершенствования морской радиоаппаратуры ставилось: сохранение одновременной независимой работы раций одного корабля, расширение диапазонов волн, быстрая смена фиксированных волн, максимальная автоматизация управления, унификация типов радиостанций путем создания комбинированных диапазонов волн (объединение ДВ и КВ), форсирование разработок радиопеленгаторов для подлодок (18297).</w:t>
      </w:r>
    </w:p>
    <w:p w14:paraId="49C55B7C" w14:textId="77777777" w:rsidR="001470B0" w:rsidRPr="00C33834" w:rsidRDefault="001470B0" w:rsidP="00C33834">
      <w:pPr>
        <w:spacing w:after="0" w:line="240" w:lineRule="auto"/>
        <w:jc w:val="both"/>
        <w:rPr>
          <w:rFonts w:ascii="Times New Roman" w:hAnsi="Times New Roman"/>
          <w:color w:val="000000" w:themeColor="text1"/>
          <w:sz w:val="16"/>
          <w:szCs w:val="16"/>
        </w:rPr>
      </w:pPr>
    </w:p>
    <w:p w14:paraId="33537053"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2308F68C"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29E71CE5" w14:textId="77777777" w:rsidR="006B4FD0" w:rsidRPr="00C33834" w:rsidRDefault="006B4FD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апреля в 1933 году поднялся в воздух многоцелевой транспортный самолёт «Airspeed» «AS.5» «Courier», регистрационный номер G-ABXN (Разработчик: Airspeed, Великобритания). Был создан конструктором Хесселлем Тилтманом (Hessell Tiltman), соучредителем фирмы «Airspeed Ltd.» по личному заказу сэра Алана Кобхэма, пожелавшего получить самолет для беспосадочного полета в Индию, с возможностью дозаправки в воздухе. Представлял собой деревянный низкоплан с убирающимися шасси (он стал первым английским самолётом с таким шасси) и был оснащён двигателем «Armstrong Siddeley» «Lynx IVC» мощностью 240 л.с. В ходе испытаний самолёт потерпел две аварии, но каждый раз его восстанавливали (15096).</w:t>
      </w:r>
    </w:p>
    <w:p w14:paraId="224C5456" w14:textId="77777777" w:rsidR="006B4FD0" w:rsidRPr="00C33834" w:rsidRDefault="006B4FD0" w:rsidP="00C33834">
      <w:pPr>
        <w:spacing w:after="0" w:line="240" w:lineRule="auto"/>
        <w:jc w:val="both"/>
        <w:rPr>
          <w:rFonts w:ascii="Times New Roman" w:hAnsi="Times New Roman"/>
          <w:color w:val="000000" w:themeColor="text1"/>
          <w:sz w:val="16"/>
          <w:szCs w:val="16"/>
        </w:rPr>
      </w:pPr>
    </w:p>
    <w:p w14:paraId="11395631" w14:textId="77777777" w:rsidR="00841CFC" w:rsidRPr="00C33834" w:rsidRDefault="00841CF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11 апреля 1933 вылетев из Англии на авиалайнере Avro Mark VIA Avian Southern Cross, Уильям Н. «Билл» Ланкастер начинает попытку установить рекорд скорости для полета в Южную Африку. Он терпит крушение в пустыне Сахара 12 апреля и умирает 20 апреля в ожидании спасения. Его мумифицированное тело и разбитый самолет будут обнаружены только в феврале 1962 года (20802).</w:t>
      </w:r>
    </w:p>
    <w:p w14:paraId="5FAC4993" w14:textId="77777777" w:rsidR="00841CFC" w:rsidRPr="00C33834" w:rsidRDefault="00841CFC" w:rsidP="00C33834">
      <w:pPr>
        <w:spacing w:after="0" w:line="240" w:lineRule="auto"/>
        <w:jc w:val="both"/>
        <w:rPr>
          <w:rFonts w:ascii="Times New Roman" w:hAnsi="Times New Roman"/>
          <w:color w:val="0070C0"/>
          <w:sz w:val="16"/>
          <w:szCs w:val="16"/>
        </w:rPr>
      </w:pPr>
    </w:p>
    <w:p w14:paraId="654C243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апреля 1933 Нацисты издали декрет, определяющий неарийца как "любого, рожденного от неарийца, особенно еврейских родителей и дедушек и бабушек. Один родитель или прорадитель определяет наследственность как неарийскую, в особенности если это еврейская кровь" (1798).</w:t>
      </w:r>
    </w:p>
    <w:p w14:paraId="3516E618"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4A85E775"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0E0D4AF3"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2F00FEC8"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12-18 апреля 1933 состоялся процесс над инженерами, обвиненными в саботаже (4962).</w:t>
      </w:r>
    </w:p>
    <w:p w14:paraId="543B0277"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p>
    <w:p w14:paraId="76DA77D4" w14:textId="77777777" w:rsidR="00962982" w:rsidRPr="00C33834" w:rsidRDefault="0096298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12-18 апреля 1933. Открытый судебный процесс "о вредительстве на электростанциях".</w:t>
      </w:r>
    </w:p>
    <w:p w14:paraId="3633EFBC" w14:textId="77777777" w:rsidR="00962982" w:rsidRPr="00C33834" w:rsidRDefault="0096298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Служащий МГК ВКП(б) А. Г. Соловьев записывает: "Начался судебный процесс над 18 вредителями на электростанциях. Действовали по заданию из-за границы. Когда же закончим с прохвостами"</w:t>
      </w:r>
    </w:p>
    <w:p w14:paraId="0180D28C" w14:textId="77777777" w:rsidR="00962982" w:rsidRPr="00C33834" w:rsidRDefault="0096298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книге "Прокуроры двух эпох. Андрей Вышинский и Роман Руденко" А. Звягинцев и Ю. Орлов пишут: "В. В. Ульрих открыл заседание Специального присутствия Верховного суда СССР. Государственное обвинение поддерживал Вышинский, помогал ему Ротинский. На скамье подсудимых находилось 18 руководителей и </w:t>
      </w:r>
      <w:r w:rsidRPr="00C33834">
        <w:rPr>
          <w:rFonts w:ascii="Times New Roman" w:hAnsi="Times New Roman"/>
          <w:color w:val="000000" w:themeColor="text1"/>
          <w:sz w:val="16"/>
          <w:szCs w:val="16"/>
        </w:rPr>
        <w:lastRenderedPageBreak/>
        <w:t>других работников крупных электростанций, а также сотрудники английской фирмы "Метрополитен-Виккерс" поставлявшей в Советский Союз турбины и оборудование для электростанций и оказавшей содействие в его наладке. Защищали подсудимых адвокаты Брауде, Ком-иодову Смирнов и другие. После интенсивных допросов в ОГПУ многие обвиняемые были сломлены. Во время суда все двенадцать подсудимых из числа советских граждан признались в содеянном, а из шести англичан - только один, да и тот в процессе судебного следствия от своих показаний отказался. Дело, квалифицированное следствием как вредительство и шпионаж, разваливалось буквально на глазах, и Вышинскому пришлось приложить немало усилий, чтобы "спасти процесс". В одном случае он даже сам чуть было не оказался в роли свидетеля, когда английский инженер в подтверждение своих слов о том, что он отказался от признательных показаний, данных им после изнурительного 18-часового допроса еще на следствии, стал ссылаться на разговор с Вышинским" (18722).</w:t>
      </w:r>
    </w:p>
    <w:p w14:paraId="4619F0C4" w14:textId="77777777" w:rsidR="00962982" w:rsidRPr="00C33834" w:rsidRDefault="00962982" w:rsidP="00C33834">
      <w:pPr>
        <w:spacing w:after="0" w:line="240" w:lineRule="auto"/>
        <w:jc w:val="both"/>
        <w:rPr>
          <w:rFonts w:ascii="Times New Roman" w:hAnsi="Times New Roman"/>
          <w:color w:val="000000" w:themeColor="text1"/>
          <w:sz w:val="16"/>
          <w:szCs w:val="16"/>
        </w:rPr>
      </w:pPr>
    </w:p>
    <w:p w14:paraId="6C3679FA" w14:textId="77777777" w:rsidR="006B4FD0" w:rsidRPr="00C33834" w:rsidRDefault="006B4FD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12-18 апреля 1933 состоялся процесс над инженерами английской фирмы Метро-Виккерс, которые были объявлены вредителями на электростанциях СССР и это привело к охлаждению отношений с Англией (3908,340).</w:t>
      </w:r>
    </w:p>
    <w:p w14:paraId="00F24AE9" w14:textId="77777777" w:rsidR="006B4FD0" w:rsidRPr="00C33834" w:rsidRDefault="006B4FD0" w:rsidP="00C33834">
      <w:pPr>
        <w:spacing w:after="0" w:line="240" w:lineRule="auto"/>
        <w:jc w:val="both"/>
        <w:rPr>
          <w:rFonts w:ascii="Times New Roman" w:hAnsi="Times New Roman"/>
          <w:color w:val="000000" w:themeColor="text1"/>
          <w:sz w:val="16"/>
          <w:szCs w:val="16"/>
        </w:rPr>
      </w:pPr>
    </w:p>
    <w:p w14:paraId="6A306D16"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ED5D7C8"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5AD0451F" w14:textId="77777777" w:rsidR="00841CFC" w:rsidRPr="00C33834" w:rsidRDefault="00841CF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12 апреля 1933 Spartan Air Lines начинает полеты с аэродрома Хестон за пределами Лондона до города Коус на острове Уайт с использованием трех авиалайнеров Spartan Cruiser (20802).</w:t>
      </w:r>
    </w:p>
    <w:p w14:paraId="02F89AE5" w14:textId="77777777" w:rsidR="00841CFC" w:rsidRPr="00C33834" w:rsidRDefault="00841CFC" w:rsidP="00C33834">
      <w:pPr>
        <w:spacing w:after="0" w:line="240" w:lineRule="auto"/>
        <w:jc w:val="both"/>
        <w:rPr>
          <w:rFonts w:ascii="Times New Roman" w:hAnsi="Times New Roman"/>
          <w:color w:val="0070C0"/>
          <w:sz w:val="16"/>
          <w:szCs w:val="16"/>
        </w:rPr>
      </w:pPr>
    </w:p>
    <w:p w14:paraId="165AF47F" w14:textId="77777777" w:rsidR="00841CFC" w:rsidRPr="00C33834" w:rsidRDefault="00841CF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12 апреля 1933 Уильям Беслер совершает первый успешный полет на самолете, приводимым в движение паровым двигателем. Самолет, биплан Travel Air 2000, приводится в движение нефтяным реверсивным V-образным двухцилиндровым двигателем с углом наклона 90 °, разработанным им и его братом Джорджем. Семиминутный пробный полет сертифицирован Национальной авиационной ассоциацией (20802).</w:t>
      </w:r>
    </w:p>
    <w:p w14:paraId="3A62738C" w14:textId="77777777" w:rsidR="00841CFC" w:rsidRPr="00C33834" w:rsidRDefault="00841CFC" w:rsidP="00C33834">
      <w:pPr>
        <w:spacing w:after="0" w:line="240" w:lineRule="auto"/>
        <w:jc w:val="both"/>
        <w:rPr>
          <w:rFonts w:ascii="Times New Roman" w:hAnsi="Times New Roman"/>
          <w:color w:val="0070C0"/>
          <w:sz w:val="16"/>
          <w:szCs w:val="16"/>
        </w:rPr>
      </w:pPr>
    </w:p>
    <w:p w14:paraId="4CC40373" w14:textId="77777777" w:rsidR="006B4FD0" w:rsidRPr="00C33834" w:rsidRDefault="006B4FD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апреля 1933 г., когда восставшие взяли под контроль практически всю провинцию, командующий Синьцзянскими войсками в районе Турфана генерал Шен Шицай, опи</w:t>
      </w:r>
      <w:r w:rsidRPr="00C33834">
        <w:rPr>
          <w:rFonts w:ascii="Times New Roman" w:hAnsi="Times New Roman"/>
          <w:color w:val="000000" w:themeColor="text1"/>
          <w:sz w:val="16"/>
          <w:szCs w:val="16"/>
        </w:rPr>
        <w:softHyphen/>
        <w:t>раясь на белогвардейские отряды и вернувшихся из СССР солдат генерала Ма Ду, сверг прежнего правителя Цзинь Шужэня и сам стал Председателем правительства. Повстанцам сразу же предложили перемирие и провозгласили равноправие всех на</w:t>
      </w:r>
      <w:r w:rsidRPr="00C33834">
        <w:rPr>
          <w:rFonts w:ascii="Times New Roman" w:hAnsi="Times New Roman"/>
          <w:color w:val="000000" w:themeColor="text1"/>
          <w:sz w:val="16"/>
          <w:szCs w:val="16"/>
        </w:rPr>
        <w:softHyphen/>
        <w:t>селявших Синьцзян национальностей, политические свободы и мероприятия, направ</w:t>
      </w:r>
      <w:r w:rsidRPr="00C33834">
        <w:rPr>
          <w:rFonts w:ascii="Times New Roman" w:hAnsi="Times New Roman"/>
          <w:color w:val="000000" w:themeColor="text1"/>
          <w:sz w:val="16"/>
          <w:szCs w:val="16"/>
        </w:rPr>
        <w:softHyphen/>
        <w:t>ленные на улучшение экономического положения народа. Новый губернатор направил в СССР представителей за материальной, финансовой и военной помощью (15802).</w:t>
      </w:r>
    </w:p>
    <w:p w14:paraId="16C52CEB" w14:textId="77777777" w:rsidR="006B4FD0" w:rsidRPr="00C33834" w:rsidRDefault="006B4FD0" w:rsidP="00C33834">
      <w:pPr>
        <w:spacing w:after="0" w:line="240" w:lineRule="auto"/>
        <w:jc w:val="both"/>
        <w:rPr>
          <w:rFonts w:ascii="Times New Roman" w:hAnsi="Times New Roman"/>
          <w:color w:val="000000" w:themeColor="text1"/>
          <w:sz w:val="16"/>
          <w:szCs w:val="16"/>
        </w:rPr>
      </w:pPr>
    </w:p>
    <w:p w14:paraId="2558FA8E"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190E27D"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0E4DCB80"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апреля 1933 состоялось техническое совещание начальников самолетных бригад под председательством А.Н.Т. и слушали доклад И.И.Петрова о состоянии проектирования и постройки самолетов, стоящих в программе опытного самолетостроения и по ТБ-4 хотели ускорить работы (1077,177).</w:t>
      </w:r>
    </w:p>
    <w:p w14:paraId="5984AB2A"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51A756E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апреля 1933 года начальник Военно-химического управления и химических войск РККА писал письмо N 4/5/835/218с Алкснису.</w:t>
      </w:r>
    </w:p>
    <w:p w14:paraId="1BBDC44C"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мая в ЦАГИ будет изготовлен рекордный самолет марки РД (рекорд дальности). Самолет рассчитан на 45 часов полета и имеет у себя в крыльях большие вместилища (на 6 тонн) для бензина. Этот самолет может быть использован для целей воздушно-химического нападения. Для этого необходимо оставить хранилища для бензина на 1-2 т, а остальные хранилища приспособить под помещение в них жидкого ОВ (4-5 т). Кроме того в крыльях придется сделать несколько выливных люков для выливания ОВ.</w:t>
      </w:r>
    </w:p>
    <w:p w14:paraId="5A204C0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ЦАГИ примерно с мая пойдет в производство дублер указанного выше самолета. На этом дублере можно было бы безболезненно провести делаемое нами предложение. Все предполагаемые изменения и добавления в конструкции самолета легко можно учесть при его построении заранее... (3852,1).</w:t>
      </w:r>
    </w:p>
    <w:p w14:paraId="2412BAFC"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2AEF1430" w14:textId="77777777" w:rsidR="00841CFC" w:rsidRPr="00C33834" w:rsidRDefault="00841CF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13 апреля 1933 г.в ЦАГИ «Слу</w:t>
      </w:r>
      <w:r w:rsidRPr="00C33834">
        <w:rPr>
          <w:rFonts w:ascii="Times New Roman" w:hAnsi="Times New Roman"/>
          <w:color w:val="0070C0"/>
          <w:sz w:val="16"/>
          <w:szCs w:val="16"/>
          <w:lang w:eastAsia="ru-RU" w:bidi="ru-RU"/>
        </w:rPr>
        <w:softHyphen/>
        <w:t>шали доклад Н.И. Петрова «О состоянии проектирования и постройке самолетов, стоящих в программе опытного самолетостроения 1933 г.». В отношении «МГ» по</w:t>
      </w:r>
      <w:r w:rsidRPr="00C33834">
        <w:rPr>
          <w:rFonts w:ascii="Times New Roman" w:hAnsi="Times New Roman"/>
          <w:color w:val="0070C0"/>
          <w:sz w:val="16"/>
          <w:szCs w:val="16"/>
          <w:lang w:eastAsia="ru-RU" w:bidi="ru-RU"/>
        </w:rPr>
        <w:softHyphen/>
        <w:t>становили: поручить В.М. Петлякову «пе</w:t>
      </w:r>
      <w:r w:rsidRPr="00C33834">
        <w:rPr>
          <w:rFonts w:ascii="Times New Roman" w:hAnsi="Times New Roman"/>
          <w:color w:val="0070C0"/>
          <w:sz w:val="16"/>
          <w:szCs w:val="16"/>
          <w:lang w:eastAsia="ru-RU" w:bidi="ru-RU"/>
        </w:rPr>
        <w:softHyphen/>
        <w:t>ресмотреть планировку в сторону умень</w:t>
      </w:r>
      <w:r w:rsidRPr="00C33834">
        <w:rPr>
          <w:rFonts w:ascii="Times New Roman" w:hAnsi="Times New Roman"/>
          <w:color w:val="0070C0"/>
          <w:sz w:val="16"/>
          <w:szCs w:val="16"/>
          <w:lang w:eastAsia="ru-RU" w:bidi="ru-RU"/>
        </w:rPr>
        <w:softHyphen/>
        <w:t>шения сроков подачи чертежей по отъем</w:t>
      </w:r>
      <w:r w:rsidRPr="00C33834">
        <w:rPr>
          <w:rFonts w:ascii="Times New Roman" w:hAnsi="Times New Roman"/>
          <w:color w:val="0070C0"/>
          <w:sz w:val="16"/>
          <w:szCs w:val="16"/>
          <w:lang w:eastAsia="ru-RU" w:bidi="ru-RU"/>
        </w:rPr>
        <w:softHyphen/>
        <w:t>ным частям крыла» (21240).</w:t>
      </w:r>
    </w:p>
    <w:p w14:paraId="30E63F05" w14:textId="77777777" w:rsidR="00841CFC" w:rsidRPr="00C33834" w:rsidRDefault="00841CFC" w:rsidP="00C33834">
      <w:pPr>
        <w:spacing w:after="0" w:line="240" w:lineRule="auto"/>
        <w:jc w:val="both"/>
        <w:rPr>
          <w:rFonts w:ascii="Times New Roman" w:hAnsi="Times New Roman"/>
          <w:color w:val="0070C0"/>
          <w:sz w:val="16"/>
          <w:szCs w:val="16"/>
        </w:rPr>
      </w:pPr>
    </w:p>
    <w:p w14:paraId="7D9C1FB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апреля 1933 года выписка из протокола № 4 КО</w:t>
      </w:r>
    </w:p>
    <w:p w14:paraId="6979F5AA"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 производстве авиационных моторов на заводе № 24.</w:t>
      </w:r>
    </w:p>
    <w:p w14:paraId="06D26589" w14:textId="77777777" w:rsidR="008E7A66" w:rsidRPr="00C33834" w:rsidRDefault="008E7A66" w:rsidP="00C33834">
      <w:pPr>
        <w:numPr>
          <w:ilvl w:val="0"/>
          <w:numId w:val="14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Признать состояние производства авиамоторов неудовлетворительным, в силу отставания производственных мощностей авиамоторных заводов от самолетостроительных, для ликвидации чего форсировать строительство и оборудование заводов №№ 24 и 19.</w:t>
      </w:r>
    </w:p>
    <w:p w14:paraId="508DE60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О заключении договора с фирмой "Кертис Райт".</w:t>
      </w:r>
    </w:p>
    <w:p w14:paraId="6EBE694A" w14:textId="77777777" w:rsidR="008E7A66" w:rsidRPr="00C33834" w:rsidRDefault="008E7A66" w:rsidP="00C33834">
      <w:pPr>
        <w:numPr>
          <w:ilvl w:val="0"/>
          <w:numId w:val="14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вопроса о покупке техпомощи по моторам Райт Циклон и Кертис – 1800 отложить на 6 дней.</w:t>
      </w:r>
    </w:p>
    <w:p w14:paraId="19DA386B" w14:textId="77777777" w:rsidR="008E7A66" w:rsidRPr="00C33834" w:rsidRDefault="008E7A66" w:rsidP="00C33834">
      <w:pPr>
        <w:numPr>
          <w:ilvl w:val="0"/>
          <w:numId w:val="14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по предложению ГУАПа о проектировании новых заводов с консультацией американских фирм отложить на один год, развертывая работы по проектированию силами наших проекторганизаций (7503, 5).</w:t>
      </w:r>
    </w:p>
    <w:p w14:paraId="63B31026" w14:textId="77777777" w:rsidR="008E7A66" w:rsidRPr="00C33834" w:rsidRDefault="008E7A66" w:rsidP="00C33834">
      <w:pPr>
        <w:tabs>
          <w:tab w:val="left" w:pos="360"/>
        </w:tabs>
        <w:spacing w:after="0" w:line="240" w:lineRule="auto"/>
        <w:jc w:val="both"/>
        <w:rPr>
          <w:rFonts w:ascii="Times New Roman" w:hAnsi="Times New Roman"/>
          <w:color w:val="000000" w:themeColor="text1"/>
          <w:sz w:val="16"/>
          <w:szCs w:val="16"/>
        </w:rPr>
      </w:pPr>
    </w:p>
    <w:p w14:paraId="677F733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апреля 1933 года начальник Глававиапрома Баранов писал письмо N Н-91 Базилевичу:</w:t>
      </w:r>
    </w:p>
    <w:p w14:paraId="1F7511E1"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Направляю к заседанию КО 13 апреля 1933 года материалы о состоянии производства мотора М-34 на заводе N 24.</w:t>
      </w:r>
    </w:p>
    <w:p w14:paraId="693B9DF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Оценка качества и основных данных мотора</w:t>
      </w:r>
    </w:p>
    <w:p w14:paraId="2F289DB2" w14:textId="77777777" w:rsidR="008E7A66" w:rsidRPr="00C33834" w:rsidRDefault="008E7A66" w:rsidP="00C33834">
      <w:pPr>
        <w:pStyle w:val="a3"/>
        <w:widowControl/>
        <w:rPr>
          <w:color w:val="000000" w:themeColor="text1"/>
          <w:lang w:val="ru-RU"/>
        </w:rPr>
      </w:pPr>
      <w:r w:rsidRPr="00C33834">
        <w:rPr>
          <w:color w:val="000000" w:themeColor="text1"/>
          <w:lang w:val="ru-RU"/>
        </w:rPr>
        <w:t>С каждой новой серией завод улучшает качество моторов, что в частности подтверждается оценкой работы завода по улучшению качества, сделанной УВВС.</w:t>
      </w:r>
    </w:p>
    <w:p w14:paraId="443684A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М-34 к настоящему времени является надежным мотором и по своим данным стоит в ряду современных заграничных невысотных моторов. Надежность мотора доказана на большом количестве 100 часовых испытаний.</w:t>
      </w:r>
    </w:p>
    <w:p w14:paraId="7A8B4C4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проводимых в настоящее время НИИ ВВС эксплуатационных испытаниях мотор проработал в условиях работы на самолете 270 часов без разборки (с частичной переборкой после 230 часов работы с заменой 2-х клапанов, направляющей клапана и поршневых колец) и становится на дальнейшее испытание до 300 часов. Как эти испытания, так и проведенные испытания мотора 2040 на полном газе в течение 80 часов дают основание считать, что в ближайшее время можно будет повысить мощность мотора и гарантировать срок службы между переборками до 200 часов.</w:t>
      </w:r>
    </w:p>
    <w:p w14:paraId="4CFA7C0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 имеют еще отдельные недостатки (кустарный способ заливки баббитом головок шатунов, дефекты масляных помп), над устранением которых завод работает.</w:t>
      </w:r>
    </w:p>
    <w:p w14:paraId="407463B8"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обеспечении мотора редуктором, нагнетателем, винтом переменного шага, изготовляемый в ЦИАМе мотор становится в разряд первоклассных современных моторов.</w:t>
      </w:r>
    </w:p>
    <w:p w14:paraId="4C22618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Предварительные работы по форсированию мотора показали, что мотор может развивать максимальную мощность 1000 л.с.</w:t>
      </w:r>
    </w:p>
    <w:p w14:paraId="5E03A5F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испытан на самолете Р-5 и испытывается на ТБ-3 в полете с удовлетворительными результатами.</w:t>
      </w:r>
    </w:p>
    <w:p w14:paraId="4D04057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Новые задания заводу</w:t>
      </w:r>
    </w:p>
    <w:p w14:paraId="2E51D024"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получил в 1933 году несколько новых заданий, выполнение которых требует напряжения всех сил, отвлекая внимание руководящих кадров от основной работы по улучшению производства и качества мотора М-34.</w:t>
      </w:r>
    </w:p>
    <w:p w14:paraId="13AAB3D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Эти задания следующие:</w:t>
      </w:r>
    </w:p>
    <w:p w14:paraId="16C32DB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ГМ-34 для морских катеров</w:t>
      </w:r>
    </w:p>
    <w:p w14:paraId="58BE2FD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Дизельный мотор ФЭД-8 (около 250 деталей).</w:t>
      </w:r>
    </w:p>
    <w:p w14:paraId="133EC4F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М-34 с редуктором</w:t>
      </w:r>
    </w:p>
    <w:p w14:paraId="6A181558"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Серия моторов М-34 для рекорда дальности</w:t>
      </w:r>
    </w:p>
    <w:p w14:paraId="38F7BF5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разрабатывает сейчас технологический процесс для новых объектов и ряд деталей запустил уже в производство. Из всех новых объектов, основным мотором является М-34 с редуктором дающий серьезные преимущества при установке на тяжелых самолетах (4012,14-16).</w:t>
      </w:r>
    </w:p>
    <w:p w14:paraId="13743570"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6C32D271" w14:textId="77777777" w:rsidR="006B4FD0" w:rsidRPr="00C33834" w:rsidRDefault="006B4FD0" w:rsidP="00C33834">
      <w:pPr>
        <w:spacing w:after="0" w:line="240" w:lineRule="auto"/>
        <w:jc w:val="both"/>
        <w:rPr>
          <w:rStyle w:val="af0"/>
          <w:rFonts w:ascii="Times New Roman" w:hAnsi="Times New Roman"/>
          <w:i w:val="0"/>
          <w:color w:val="000000" w:themeColor="text1"/>
          <w:sz w:val="16"/>
          <w:szCs w:val="16"/>
        </w:rPr>
      </w:pPr>
      <w:r w:rsidRPr="00C33834">
        <w:rPr>
          <w:rStyle w:val="af0"/>
          <w:rFonts w:ascii="Times New Roman" w:hAnsi="Times New Roman"/>
          <w:i w:val="0"/>
          <w:color w:val="000000" w:themeColor="text1"/>
          <w:sz w:val="16"/>
          <w:szCs w:val="16"/>
        </w:rPr>
        <w:t xml:space="preserve">13 апреля 1933 г. </w:t>
      </w:r>
      <w:r w:rsidRPr="00C33834">
        <w:rPr>
          <w:rFonts w:ascii="Times New Roman" w:hAnsi="Times New Roman"/>
          <w:color w:val="000000" w:themeColor="text1"/>
          <w:sz w:val="16"/>
          <w:szCs w:val="16"/>
        </w:rPr>
        <w:t>Справка Экономического управления ОГПУ СССР о причинах невыполнения плана авиационного моторостроения на заводе № 24</w:t>
      </w:r>
    </w:p>
    <w:p w14:paraId="74C02133" w14:textId="77777777" w:rsidR="006B4FD0" w:rsidRPr="00C33834" w:rsidRDefault="006B4FD0" w:rsidP="00C33834">
      <w:pPr>
        <w:spacing w:after="0" w:line="240" w:lineRule="auto"/>
        <w:jc w:val="both"/>
        <w:rPr>
          <w:rStyle w:val="af0"/>
          <w:rFonts w:ascii="Times New Roman" w:hAnsi="Times New Roman"/>
          <w:i w:val="0"/>
          <w:color w:val="000000" w:themeColor="text1"/>
          <w:sz w:val="16"/>
          <w:szCs w:val="16"/>
        </w:rPr>
      </w:pPr>
      <w:r w:rsidRPr="00C33834">
        <w:rPr>
          <w:rStyle w:val="af0"/>
          <w:rFonts w:ascii="Times New Roman" w:hAnsi="Times New Roman"/>
          <w:i w:val="0"/>
          <w:color w:val="000000" w:themeColor="text1"/>
          <w:sz w:val="16"/>
          <w:szCs w:val="16"/>
        </w:rPr>
        <w:t>Совершенно секретно.</w:t>
      </w:r>
    </w:p>
    <w:p w14:paraId="09C68DF4" w14:textId="77777777" w:rsidR="006B4FD0" w:rsidRPr="00C33834" w:rsidRDefault="006B4FD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Выполнение программы</w:t>
      </w:r>
    </w:p>
    <w:p w14:paraId="214076D3"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Производственная программа завода № 24 за 1932 г. выполнена на 66,5% (вместо 964 моторов по плану выпущено — 641 мотор) — недодано 323 мотора. По официальным данным убыток по заводу составляет 17 млн. 983 тыс. руб., в действительности же убыток достигает 23 млн. руб., т. к. часть убытков списана за счет незавершенного производства, достигающего суммы в 10 млн. руб.</w:t>
      </w:r>
    </w:p>
    <w:p w14:paraId="411B446F"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lastRenderedPageBreak/>
        <w:t>Запроектированная стоимость мотора М</w:t>
      </w:r>
      <w:r w:rsidRPr="00C33834">
        <w:rPr>
          <w:color w:val="000000" w:themeColor="text1"/>
          <w:sz w:val="16"/>
          <w:szCs w:val="16"/>
        </w:rPr>
        <w:noBreakHyphen/>
        <w:t>34 — 53,7 тыс. руб., фактическая — 122 тыс. руб. Стоимость брака 8 млн. руб., перерасход по фонду зарплаты по валовой продукции 614,2 тыс. руб.</w:t>
      </w:r>
    </w:p>
    <w:p w14:paraId="4E1D309D"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Программа за I квартал 1933 г. выполнена на 58,3% (вместо 180 моторов по плану выпущено — 101 мотор), считая: моторы в узлах, учебные и прочие некондиционные моторы, сданные другим организациям (ЦИАМ¹* и проч.). Недодано 79 моторов.</w:t>
      </w:r>
    </w:p>
    <w:p w14:paraId="50DECC27"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II. Основные причины невыполнения программы</w:t>
      </w:r>
    </w:p>
    <w:p w14:paraId="0E4ADB33"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1. Плохое планирование производства. В результате большой некомплект по заделу готовых изделий, доходящий по отдельным деталям до 170 моторов, при наличии прорыва по ряду других деталей. Например: коленчатые валы на 160 моторов; крупное литье: от 140 до 170 моторов; среднее литье от 90 до 140 моторов; клапаны от 30 до 40 моторов; шатуны на 10 моторов; дефицитные детали на 15 моторов. Эти детали, хранясь в неприспособленных складах и проходах цехов, портятся и частично выходят в брак (коленчатые валы, картера).</w:t>
      </w:r>
    </w:p>
    <w:p w14:paraId="68C7DDA3"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2. Недостаточная продуманность конструкции ряда деталей, в результате чего мотор за год претерпел 1950 изменений. Благодаря этому имеющиеся в заделе детали становятся ненужными. Так, например: на складе готовых изделий лежат: 1800 шт. гильз на сумму 800 тыс. руб.; 1200 шт. поршней на сумму 24 тыс. руб.; колец поршневых на сумму 160 тыс. руб.; коленчатых валов 160 штук на сумму 80 тыс. руб.</w:t>
      </w:r>
    </w:p>
    <w:p w14:paraId="568E9333"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3. Брак по литью, механической и термической обработке достигает до 70</w:t>
      </w:r>
      <w:r w:rsidRPr="00C33834">
        <w:rPr>
          <w:color w:val="000000" w:themeColor="text1"/>
          <w:sz w:val="16"/>
          <w:szCs w:val="16"/>
        </w:rPr>
        <w:noBreakHyphen/>
        <w:t>80% по отдельным деталям. В особенности велик брак по литью крупных деталей (картера, блоки) — 40</w:t>
      </w:r>
      <w:r w:rsidRPr="00C33834">
        <w:rPr>
          <w:color w:val="000000" w:themeColor="text1"/>
          <w:sz w:val="16"/>
          <w:szCs w:val="16"/>
        </w:rPr>
        <w:noBreakHyphen/>
        <w:t>50% и по поршням — 80%.</w:t>
      </w:r>
    </w:p>
    <w:p w14:paraId="36B1F554"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4. Программа капитального строительства сорвана. Титульный список не выдержан, начато строительство всех зданий, не окончено ни одного. План, рассчитанный на 1200 моторов, исходя из расширения площадей цехов и увеличения оборудования (за счет перехода горячих цехов в новый завод) фактически к концу года будет сорван, т. к. оборудование приходит в незначительном количестве, да и ставить его негде.</w:t>
      </w:r>
    </w:p>
    <w:p w14:paraId="641D5D46"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Новое строительство на 75% законсервировано. В результате горячие цеха являются узким местом завода. Термический цех при настоящем оборудовании не сумеет пропустить программы механического цеха. По литейному цеху IV квартал будет идти по крупным деталям в обрез, и I квартал 1934 г. останется без задела. Механический цех может выпускать при существующем оборудовании и площади не более 80</w:t>
      </w:r>
      <w:r w:rsidRPr="00C33834">
        <w:rPr>
          <w:color w:val="000000" w:themeColor="text1"/>
          <w:sz w:val="16"/>
          <w:szCs w:val="16"/>
        </w:rPr>
        <w:noBreakHyphen/>
        <w:t>90 комплектов (коленчатые валы, цилиндры).</w:t>
      </w:r>
    </w:p>
    <w:p w14:paraId="55902464"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5. Узким местом выпуска моторов является также карбюратор, который до сих пор ввозился из-за границы. Импорт прекращен, а завод № 33 только к концу мая может дать первые экземпляры карбюратора. Следовательно, завод № 24 в мае месяце карбюраторами обеспечен не будет, т. к. запаса импортных хватит до середины мая.</w:t>
      </w:r>
    </w:p>
    <w:p w14:paraId="15D0E1A1"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Основной причиной плохого планирования производства и большого брака является засоренность решающих участков завода чуждыми элементами и неудовлетворительного руководства планированием и борьбой за брак со стороны дирекции завода. Планово-производственным отделом руководят бывший белый офицер Ростовцев, бывший дворянин Дмитриев, люди, настроенные антисоветски. Планирование производства ими производится вслепую, т. к. ряд цехов не имеет просчетов пропускной способности. Во главе литейного отдела и на руководящих участках его находятся также чуждые антисоветские элементы, дворяне, торговцы, бывшие белые офицеры, бывший вредитель и другие (инж. Бояновский, Титков, Сосновский, Лукьянов). Эти лица совершенно не борются за снижение брака. Причины брака ими не учитываются и не изучаются. В цеху процветает кустарщина, сводящая борьбу с браком к изменению методов заливки форм, меняя американский метод на немецкий и обратно. Состав сплава не выдерживается в рамках технических норм. За шихтой не ведут тщательного наблюдения.</w:t>
      </w:r>
    </w:p>
    <w:p w14:paraId="096C940A"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Существующая на заводе премиальная система не стимулирует борьбы за качество продукции и за снижение брака. Премии получает цех, выполнивший план на 100%, независимо от величины брака. В результате — погоня за количеством в ущерб качеству. Испытательная станция завода получает премию за каждый сданный мотор военной приемке. Благодаря такой установке проводится систематическое подсовывание дефектных моторов военным приемщикам (моторы №№ 2037, 2034, 2076, 2071 и ряд других). Заводской контроль игнорируется. Был случай снятия звания ударника с контролера завода, члена ВКП(б) Семина за указание дефектов в моторе военной приемке.</w:t>
      </w:r>
    </w:p>
    <w:p w14:paraId="2578001A"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Директор завода Марьямов вместо очищения ведущих участков завода от чуждых элементов отстаивает от сокращения инженера Сосновского, бывшего белого офицера, ходатайствует о выдаче паспорта бывшему белому офицеру Ростовцеву. Вместо борьбы за снижение брака и за качество, вместо руководства планированием и производством при всех случаях заявляет, что он только специалист, пришел на завод для технической помощи, а не хозяйственник, поэтому естественно, что руководство с его стороны недостаточное и что он с удовольствием освободится от этой должности.</w:t>
      </w:r>
    </w:p>
    <w:p w14:paraId="07A8AF54"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Существующее положение на заводе: кустарщина, брак, непроработанность технологического процесса — чрезвычайно опасно, т. к. завод № 24 является ведущим заводом и должен служить образцовой школой по передаче опыта вновь строящимся моторным заводам.</w:t>
      </w:r>
    </w:p>
    <w:p w14:paraId="6D5AE0BC" w14:textId="77777777" w:rsidR="006B4FD0" w:rsidRPr="00C33834" w:rsidRDefault="006B4FD0" w:rsidP="00C33834">
      <w:pPr>
        <w:pStyle w:val="ae"/>
        <w:spacing w:before="0" w:after="0"/>
        <w:jc w:val="both"/>
        <w:rPr>
          <w:color w:val="000000" w:themeColor="text1"/>
          <w:sz w:val="16"/>
          <w:szCs w:val="16"/>
        </w:rPr>
      </w:pPr>
      <w:r w:rsidRPr="00C33834">
        <w:rPr>
          <w:rStyle w:val="af0"/>
          <w:i w:val="0"/>
          <w:color w:val="000000" w:themeColor="text1"/>
          <w:sz w:val="16"/>
          <w:szCs w:val="16"/>
        </w:rPr>
        <w:t>Начальник ЭКУ ОГПУ Миронов</w:t>
      </w:r>
    </w:p>
    <w:p w14:paraId="526C877A" w14:textId="77777777" w:rsidR="006B4FD0" w:rsidRPr="00C33834" w:rsidRDefault="006B4FD0" w:rsidP="00C33834">
      <w:pPr>
        <w:pStyle w:val="ae"/>
        <w:spacing w:before="0" w:after="0"/>
        <w:jc w:val="both"/>
        <w:rPr>
          <w:color w:val="000000" w:themeColor="text1"/>
          <w:sz w:val="16"/>
          <w:szCs w:val="16"/>
        </w:rPr>
      </w:pPr>
      <w:r w:rsidRPr="00C33834">
        <w:rPr>
          <w:rStyle w:val="af0"/>
          <w:i w:val="0"/>
          <w:color w:val="000000" w:themeColor="text1"/>
          <w:sz w:val="16"/>
          <w:szCs w:val="16"/>
        </w:rPr>
        <w:t>Начальник 4 отд. ЭКУ ОГПУ Калецкий</w:t>
      </w:r>
    </w:p>
    <w:p w14:paraId="289644D7" w14:textId="77777777" w:rsidR="006B4FD0" w:rsidRPr="00C33834" w:rsidRDefault="006B4FD0"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Примечание</w:t>
      </w:r>
      <w:r w:rsidRPr="00C33834">
        <w:rPr>
          <w:color w:val="000000" w:themeColor="text1"/>
          <w:sz w:val="16"/>
          <w:szCs w:val="16"/>
        </w:rPr>
        <w:t>:</w:t>
      </w:r>
    </w:p>
    <w:p w14:paraId="27DBA6B4" w14:textId="77777777" w:rsidR="006B4FD0" w:rsidRPr="00C33834" w:rsidRDefault="006B4FD0" w:rsidP="00C33834">
      <w:pPr>
        <w:pStyle w:val="rtejustify"/>
        <w:spacing w:before="0" w:after="0"/>
        <w:rPr>
          <w:color w:val="000000" w:themeColor="text1"/>
          <w:sz w:val="16"/>
          <w:szCs w:val="16"/>
        </w:rPr>
      </w:pPr>
      <w:r w:rsidRPr="00C33834">
        <w:rPr>
          <w:color w:val="000000" w:themeColor="text1"/>
          <w:sz w:val="16"/>
          <w:szCs w:val="16"/>
        </w:rPr>
        <w:t xml:space="preserve">¹* 3 декабря 1930 г. на заседании Реввоенсовета СССР было принято решение об объединении винтомоторного отдела ЦАГИ, авиационного отдела Научного автомоторного института (НАМИ) и отделов опытного моторостроения Авиационного завода № 24 им. М. В. Фрунзе, в единый Институт авиационных моторов (ИАМ). С 1932 г. он носит название </w:t>
      </w:r>
      <w:r w:rsidRPr="00C33834">
        <w:rPr>
          <w:rStyle w:val="af0"/>
          <w:bCs/>
          <w:i w:val="0"/>
          <w:color w:val="000000" w:themeColor="text1"/>
          <w:sz w:val="16"/>
          <w:szCs w:val="16"/>
        </w:rPr>
        <w:t>Центральный институт авиационного моторостроения (ЦИАМ)</w:t>
      </w:r>
      <w:r w:rsidRPr="00C33834">
        <w:rPr>
          <w:color w:val="000000" w:themeColor="text1"/>
          <w:sz w:val="16"/>
          <w:szCs w:val="16"/>
        </w:rPr>
        <w:t>. С 1932 г. ЦИАМ находился в ведении Наркомата тяжелой промышленности СССР, а с декабря 1936 г. — в ведении Наркомата оборонной промышленности СССР. В 1933 г. институту присвоено имя П. И. Баранова. В 1930</w:t>
      </w:r>
      <w:r w:rsidRPr="00C33834">
        <w:rPr>
          <w:color w:val="000000" w:themeColor="text1"/>
          <w:sz w:val="16"/>
          <w:szCs w:val="16"/>
        </w:rPr>
        <w:noBreakHyphen/>
        <w:t>е годы в институте исследовались и разрабатывались авиационные двигатели. В январе 1935 г. все проводимые в институте работы по опытному двигателестроению были переданы на серийные моторостроительные заводы, при которых начали создаваться ОКБ. Почти весь научно-технический состав этих ОКБ комплектовался из ведущих специалистов ЦИАМ. С этого времени ЦИАМ занялся теоретическими и экспериментальными исследованиями, а также оказанием научно-технической помощи ОКБ при создании опытных двигателей. (РГАНТД. Ф. 53.)</w:t>
      </w:r>
    </w:p>
    <w:p w14:paraId="3096FC84" w14:textId="77777777" w:rsidR="006B4FD0" w:rsidRPr="00C33834" w:rsidRDefault="006B4FD0" w:rsidP="00C33834">
      <w:pPr>
        <w:pStyle w:val="ae"/>
        <w:spacing w:before="0" w:after="0"/>
        <w:jc w:val="both"/>
        <w:rPr>
          <w:color w:val="000000" w:themeColor="text1"/>
          <w:sz w:val="16"/>
          <w:szCs w:val="16"/>
        </w:rPr>
      </w:pPr>
      <w:r w:rsidRPr="00C33834">
        <w:rPr>
          <w:color w:val="000000" w:themeColor="text1"/>
          <w:sz w:val="16"/>
          <w:szCs w:val="16"/>
        </w:rPr>
        <w:t>ЦА ФСБ РФ. Ф. 2. Оп. 11. Д. 407. Л. 47-50. Подлинник (15264).</w:t>
      </w:r>
    </w:p>
    <w:p w14:paraId="2B62257A" w14:textId="77777777" w:rsidR="006B4FD0" w:rsidRPr="00C33834" w:rsidRDefault="006B4FD0" w:rsidP="00C33834">
      <w:pPr>
        <w:spacing w:after="0" w:line="240" w:lineRule="auto"/>
        <w:jc w:val="both"/>
        <w:rPr>
          <w:rFonts w:ascii="Times New Roman" w:hAnsi="Times New Roman"/>
          <w:iCs/>
          <w:color w:val="000000" w:themeColor="text1"/>
          <w:sz w:val="16"/>
          <w:szCs w:val="16"/>
        </w:rPr>
      </w:pPr>
    </w:p>
    <w:p w14:paraId="6F4484C5" w14:textId="77777777" w:rsidR="006B4FD0" w:rsidRPr="00C33834" w:rsidRDefault="006B4FD0" w:rsidP="00C33834">
      <w:pPr>
        <w:pStyle w:val="rtejustify"/>
        <w:spacing w:before="0" w:after="0"/>
        <w:rPr>
          <w:color w:val="000000" w:themeColor="text1"/>
          <w:sz w:val="16"/>
          <w:szCs w:val="16"/>
        </w:rPr>
      </w:pPr>
      <w:r w:rsidRPr="00C33834">
        <w:rPr>
          <w:rStyle w:val="af0"/>
          <w:bCs/>
          <w:i w:val="0"/>
          <w:color w:val="000000" w:themeColor="text1"/>
          <w:sz w:val="16"/>
          <w:szCs w:val="16"/>
        </w:rPr>
        <w:t>13 апреля 1933 вышел приказ НКТП № 40сс.</w:t>
      </w:r>
      <w:r w:rsidRPr="00C33834">
        <w:rPr>
          <w:color w:val="000000" w:themeColor="text1"/>
          <w:sz w:val="16"/>
          <w:szCs w:val="16"/>
        </w:rPr>
        <w:t xml:space="preserve"> О реализации договора с фирмой «Сперри». (РГАЭ. Ф. 7297. Оп. 38. Д. 38. Л. 13</w:t>
      </w:r>
      <w:r w:rsidRPr="00C33834">
        <w:rPr>
          <w:color w:val="000000" w:themeColor="text1"/>
          <w:sz w:val="16"/>
          <w:szCs w:val="16"/>
        </w:rPr>
        <w:noBreakHyphen/>
        <w:t>13 об.) (15246).</w:t>
      </w:r>
    </w:p>
    <w:p w14:paraId="32A67666" w14:textId="77777777" w:rsidR="006B4FD0" w:rsidRPr="00C33834" w:rsidRDefault="006B4FD0" w:rsidP="00C33834">
      <w:pPr>
        <w:pStyle w:val="rtejustify"/>
        <w:spacing w:before="0" w:after="0"/>
        <w:rPr>
          <w:color w:val="000000" w:themeColor="text1"/>
          <w:sz w:val="16"/>
          <w:szCs w:val="16"/>
        </w:rPr>
      </w:pPr>
    </w:p>
    <w:p w14:paraId="3718F235"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310BC36"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44113F1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апреля 1933 г. вышло Постановление КО, согласно которому Пермский завод в апреле-мае 1933 изготовил 6 опытных образцов 76-мм пушки обр, 1902.30 г (3861).</w:t>
      </w:r>
    </w:p>
    <w:p w14:paraId="64AEC054"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1F154856" w14:textId="77777777" w:rsidR="006B4FD0" w:rsidRPr="00C33834" w:rsidRDefault="006B4FD0" w:rsidP="00C33834">
      <w:pPr>
        <w:widowControl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13 апреля </w:t>
      </w:r>
      <w:smartTag w:uri="urn:schemas-microsoft-com:office:smarttags" w:element="metricconverter">
        <w:smartTagPr>
          <w:attr w:name="ProductID" w:val="1945 г"/>
        </w:smartTagPr>
        <w:r w:rsidRPr="00C33834">
          <w:rPr>
            <w:rFonts w:ascii="Times New Roman" w:hAnsi="Times New Roman"/>
            <w:color w:val="000000" w:themeColor="text1"/>
            <w:sz w:val="16"/>
            <w:szCs w:val="16"/>
          </w:rPr>
          <w:t>1933 г</w:t>
        </w:r>
      </w:smartTag>
      <w:r w:rsidRPr="00C33834">
        <w:rPr>
          <w:rFonts w:ascii="Times New Roman" w:hAnsi="Times New Roman"/>
          <w:color w:val="000000" w:themeColor="text1"/>
          <w:sz w:val="16"/>
          <w:szCs w:val="16"/>
        </w:rPr>
        <w:t>. Заводоуправление ГАЗ специально просило Наркомтяжпром письмом отменить посещение завода иностранцами, «так как до 3-го квартала будет сборка танкеток» и «нежелательно, чтобы это могли увидеть иностранные экскурсанты и делегации». Нижегородцы внесли в конструкцию танкеток важные изменения, главными из которых была замена импортных моторов и коробок передач на «газовские». Была повышена надежность машины в целом. Всего армия получила 3295 танкеток Т-27, которые быстро превратились в учебные машины, так как их реальные боевые возможности оказались чрезвычайно низкими (15218).</w:t>
      </w:r>
    </w:p>
    <w:p w14:paraId="0E84BB59" w14:textId="77777777" w:rsidR="006B4FD0" w:rsidRPr="00C33834" w:rsidRDefault="006B4FD0" w:rsidP="00C33834">
      <w:pPr>
        <w:widowControl w:val="0"/>
        <w:spacing w:after="0" w:line="240" w:lineRule="auto"/>
        <w:jc w:val="both"/>
        <w:rPr>
          <w:rFonts w:ascii="Times New Roman" w:hAnsi="Times New Roman"/>
          <w:color w:val="000000" w:themeColor="text1"/>
          <w:sz w:val="16"/>
          <w:szCs w:val="16"/>
        </w:rPr>
      </w:pPr>
    </w:p>
    <w:p w14:paraId="15141057" w14:textId="77777777" w:rsidR="006B4FD0" w:rsidRPr="00C33834" w:rsidRDefault="008E43FA"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3DC38643" w14:textId="77777777" w:rsidR="006B4FD0" w:rsidRPr="00C33834" w:rsidRDefault="006B4FD0" w:rsidP="00C33834">
      <w:pPr>
        <w:spacing w:after="0" w:line="240" w:lineRule="auto"/>
        <w:jc w:val="both"/>
        <w:rPr>
          <w:rFonts w:ascii="Times New Roman" w:hAnsi="Times New Roman"/>
          <w:iCs/>
          <w:color w:val="000000" w:themeColor="text1"/>
          <w:sz w:val="16"/>
          <w:szCs w:val="16"/>
        </w:rPr>
      </w:pPr>
    </w:p>
    <w:p w14:paraId="11029C13" w14:textId="77777777" w:rsidR="006B4FD0" w:rsidRPr="00C33834" w:rsidRDefault="006B4FD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апреля в 1933 году для формирования морских сил в Заполярье СНК СССР принял решение об отправке в Мурманск по внутренним водным путям из Ленинграда нескольких отрядов военных кораблей. Экспедиция особого назначения (ЭОН-1, начальник 3.А.Закупнев) в составе эсминцев «Урицкий» и «Рыков», СКР «Ураган» и «Смерч», подводных лодок «Декабрист» и «Народоволец» выступила в поход 18 мая. 26 июля из Ленинграда вышли корабли ЭОН-2 (эсминцы «Карл Маркс», СКР «Гроза» и подводная лодка «Красногвардеец»). 5 августа корабли ЭОН-1, а 21 сентября — ЭОН-2 прибыли на рейд Мурманского порта (15098).</w:t>
      </w:r>
    </w:p>
    <w:p w14:paraId="2C2A2F50" w14:textId="77777777" w:rsidR="006B4FD0" w:rsidRPr="00C33834" w:rsidRDefault="006B4FD0" w:rsidP="00C33834">
      <w:pPr>
        <w:spacing w:after="0" w:line="240" w:lineRule="auto"/>
        <w:jc w:val="both"/>
        <w:rPr>
          <w:rFonts w:ascii="Times New Roman" w:hAnsi="Times New Roman"/>
          <w:color w:val="000000" w:themeColor="text1"/>
          <w:sz w:val="16"/>
          <w:szCs w:val="16"/>
        </w:rPr>
      </w:pPr>
    </w:p>
    <w:p w14:paraId="6965E28E"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04B16145"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23ED34F6"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апреля 1933 приказом по Строительству № 50 в целях устранения его «различных наименований» объявлялись его официальные названия: полное - «Строительство канала Москва-Волга», сокращенное - «Москва-Волгострой», в связи с чем все прежние печати и штампы объявлялись недействительными, а Обще-административному отделу Дмитлага предписывалось «своевременно обеспечить Отделениям замену печатей, штампов, бланков и пр.» Тем самым уже фактически вышедшую из обращения аббревиатуру «МКС» сменила новая - «МВС», которая продержалась до самого окончания строительства канала (7560).</w:t>
      </w:r>
    </w:p>
    <w:p w14:paraId="5E15913D"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7C71C31F"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33578708"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3FE400A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13 апреля 1933 г. уже после роспуска райхстага Гитлер ратифицировал Московский протокол от 24 июня 1931 г. о продлении Берлинского договора о ненападении и нейтралитете. Но поезд уже ушел. 7 мая 1933 г. Крестинский, стоявший весьма близко к «центру выработки политических решений» Советского Союза (и даже жил в Кремле), секретным письмом ориентировал полпреда в Берлине Хинчука о том, что ратификацию протокола и обмен ратификационными грамотами (Состоялся 5 мая 1933 г.) правительство Гитлера старается использовать для того, чтобы «пробить брешь в отношениях между СССР, с одной стороны, Францией и Польшей — с </w:t>
      </w:r>
      <w:r w:rsidRPr="00C33834">
        <w:rPr>
          <w:rFonts w:ascii="Times New Roman" w:hAnsi="Times New Roman"/>
          <w:color w:val="000000" w:themeColor="text1"/>
          <w:sz w:val="16"/>
          <w:szCs w:val="16"/>
        </w:rPr>
        <w:lastRenderedPageBreak/>
        <w:t>другой &lt;...&gt;. В тех же целях, противодействия сближению между нами и Францией, гермпра постарается использовать предстоящий на днях приезд сюда генерала Боккельберга, ведающего вооружением рейхсвера». «&lt;...&gt; Во Франции и в Польше совершено спокойно отнесутся к тому, что состоялась ратификация давно подписанного протокола, ратификация, фактически не вносящая ничего нового в советско-германские отношения. Я не боюсь поэтому внешнеполитического вреда (sic!) от вступления Московского протокола в силу» (АВП РФ, ф. 05, оп. 13, п. 91, Д. 27, л. 16-17.). Такие слова из-под пера одного из активнейших поборников и проводников «рапалльской политики», коим был Крестинский, означали только одно: отношение политического руководства СССР в пользу отхода от стратегического сотрудничества с Германией было уже определено, и нужен был лишь приемлемый повод. Тем не менее визит военной делегации Боккельберга в СССР 8 — 25 мая 1933 г. был проведен с большой помпой и, по свидетельству Хильгера, «в прежнем духе согласия и доброй воли» (Hilger Gustav. Op. cit. S. 246.). В ходе подготовки визита Берзин еще 29 марта 1933 г. представил обширный план показа военной промышленности Боккельбергу с указанием конкретных объектов. Документ Ворошилов переадресовал Сталину, сопроводив его припиской: «т. Сталину. В порядке взаимности приходится немцам показывать и заводы и кое-какие воинские части. Если нет возражений, я дам соответствующим лицам, указания сопровождающим лицам как себя держать при объезде «гостем» нашей страны. Ворошилов» (РГВА, ф. 33987, on. 3, д. 497, л. 103,104-106.). Сталин не возражал. Боккельберга принимали Ворошилов, Егоров, Тухачевский. По программе визита ему были показаны школа летчиков в Каче, ЦАГИ, авиационный завод ГАЗ № 1 (бывший завод Дукса) производительностью 60 самолетов в месяц, ремонтные артмастерские в Голутвине, химкомбинат в Бобриках, Тульский оружейный завод, тракторный завод в Харькове, авиазавод в Александровске, оружейный завод в Калинине. Он побывал в Севастополе и на Днепрогэсе. Боккельберг отнесся внимательно к высказываниям Тухачевского относительно авиации и танков: «Для того, чтобы Германии выйти из затруднительной политической ситуации, он желает ей как можно скорее иметь воздушный флот в составе 2000 бомбовозов». «Наилучшим средством против танка является танк &lt;...&gt;». Вывод, который сделал Боккельберг в своем отчете по визиту, был следующим: «Совместная работа с Красной Армией и советской военной промышленностью, учитывая грандиозность советских планов, крайне желательна, не только по военно-политическим соображениям, но и по военно-техническим» (РГВА, ф. 33987, on. 3, д. 505, л. 135-137.) (11784).</w:t>
      </w:r>
    </w:p>
    <w:p w14:paraId="28FA73E5"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2B3CCE84" w14:textId="77777777" w:rsidR="00962982" w:rsidRPr="00C33834" w:rsidRDefault="0096298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апреля 1933 г. Гитлер, пытаясь удержать Москву от сближения с Францией, предпринял очередной жест в сторону СССР —  уже после роспуска райхстага, ратифицировал Московский протокол от 24 июня 1931 г. о продлении Берлинского договора о ненападении и нейтралитете. Но поезд уже ушел. 7 мая 1933 г. Крестинский, стоявший весьма близко к «центру выработки политических решений» Советского Союза (и даже жил в Кремле), секретным письмом ориентировал полпреда в Берлине Хинчука о том, что ратификацию протокола и обмен ратификационными грамотами</w:t>
      </w:r>
      <w:hyperlink r:id="rId121" w:anchor="n_449" w:history="1">
        <w:r w:rsidRPr="00C33834">
          <w:rPr>
            <w:rStyle w:val="a5"/>
            <w:rFonts w:ascii="Times New Roman" w:hAnsi="Times New Roman"/>
            <w:color w:val="000000" w:themeColor="text1"/>
            <w:sz w:val="16"/>
            <w:szCs w:val="16"/>
          </w:rPr>
          <w:t>[449]</w:t>
        </w:r>
      </w:hyperlink>
      <w:r w:rsidRPr="00C33834">
        <w:rPr>
          <w:rFonts w:ascii="Times New Roman" w:hAnsi="Times New Roman"/>
          <w:color w:val="000000" w:themeColor="text1"/>
          <w:sz w:val="16"/>
          <w:szCs w:val="16"/>
        </w:rPr>
        <w:t> правительство Гитлера старается использовать для того, чтобы «пробить брешь в отношениях между СССР, с одной стороны, Францией и Польшей — с другой &lt;…&gt;. В тех же целях, противодействия сближению между нами и Францией, гермпра постарается использовать предстоящий на днях приезд сюда генерала Боккельберга, ведающего вооружением рейхсвера».</w:t>
      </w:r>
    </w:p>
    <w:p w14:paraId="56CB6BE1" w14:textId="77777777" w:rsidR="00962982" w:rsidRPr="00C33834" w:rsidRDefault="0096298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«&lt;…&gt; Во Франции и в Польше совершено спокойно отнесутся к тому, что состоялась ратификация давно подписанного протокола, ратификация, фактически не вносящая ничего нового в советско-германские отношения. Я не боюсь поэтому внешнеполитического вреда (sic!) от вступления Московского протокола в силу» (18265).</w:t>
      </w:r>
    </w:p>
    <w:p w14:paraId="54F66CFB" w14:textId="77777777" w:rsidR="00962982" w:rsidRPr="00C33834" w:rsidRDefault="00962982" w:rsidP="00C33834">
      <w:pPr>
        <w:spacing w:after="0" w:line="240" w:lineRule="auto"/>
        <w:jc w:val="both"/>
        <w:rPr>
          <w:rFonts w:ascii="Times New Roman" w:hAnsi="Times New Roman"/>
          <w:color w:val="000000" w:themeColor="text1"/>
          <w:sz w:val="16"/>
          <w:szCs w:val="16"/>
        </w:rPr>
      </w:pPr>
    </w:p>
    <w:p w14:paraId="0CBFB5A6"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1A85A54"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229E04C3"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апреля 1933 лорд Клайдсдейл совершил первый авиаполет над Эверестом (4962).</w:t>
      </w:r>
    </w:p>
    <w:p w14:paraId="232961D1"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p>
    <w:p w14:paraId="059A5284"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C5C3F4A"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49F4A93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апреля 1933 г. вышло Постановление Совета Труда и Обороны, согласно которому все новые стволы 76-мм пушек в 30 и 40 калибров было положено «выполнять исключительно со свободной трубой или лейнером». Постановление это, правда, осталось на бумаге из-за сложностей с налаживанием производства лейнеров и переходом на изготовление новых дивизионных пушек (5746, 44)</w:t>
      </w:r>
    </w:p>
    <w:p w14:paraId="4A0D5B35"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апреля 1933 КО приняла постановление по радиооборудованию танков РККА. Согласно постановлению радиостанцию 71ТК д.б. получить каждый пятый и 16-й танки БТ-5, а 72ТК - каждый пятидесятый (3880,7).</w:t>
      </w:r>
    </w:p>
    <w:p w14:paraId="7D70D61E"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6CD3433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апреля 1933 г. было принято Постановление Совета труда и обороны, согласно которому все новые стволы 76-мм пушек в 30 и 40 клб было положено "выполнять исключительно со свободной трубой или лейнером". Постановление это, правда, осталось на бумаге из-за сложностей с налаживанием производства лейнеров и переходом на изготовление новых дивизионных пушек (3861).</w:t>
      </w:r>
    </w:p>
    <w:p w14:paraId="7FC79595"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26C28345" w14:textId="77777777" w:rsidR="006B4FD0"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F32B793" w14:textId="77777777" w:rsidR="006B4FD0" w:rsidRPr="00C33834" w:rsidRDefault="006B4FD0" w:rsidP="00C33834">
      <w:pPr>
        <w:spacing w:after="0" w:line="240" w:lineRule="auto"/>
        <w:jc w:val="both"/>
        <w:rPr>
          <w:rFonts w:ascii="Times New Roman" w:hAnsi="Times New Roman"/>
          <w:iCs/>
          <w:color w:val="000000" w:themeColor="text1"/>
          <w:sz w:val="16"/>
          <w:szCs w:val="16"/>
        </w:rPr>
      </w:pPr>
    </w:p>
    <w:p w14:paraId="27B93D26" w14:textId="77777777" w:rsidR="006B4FD0" w:rsidRPr="00C33834" w:rsidRDefault="006B4FD0" w:rsidP="00C33834">
      <w:pPr>
        <w:pStyle w:val="rtejustify"/>
        <w:spacing w:before="0" w:after="0"/>
        <w:rPr>
          <w:color w:val="000000" w:themeColor="text1"/>
          <w:sz w:val="16"/>
          <w:szCs w:val="16"/>
        </w:rPr>
      </w:pPr>
      <w:r w:rsidRPr="00C33834">
        <w:rPr>
          <w:rStyle w:val="af0"/>
          <w:bCs/>
          <w:i w:val="0"/>
          <w:color w:val="000000" w:themeColor="text1"/>
          <w:sz w:val="16"/>
          <w:szCs w:val="16"/>
        </w:rPr>
        <w:t>14 апреля 1933 вышел приказ НКТП № 41с.</w:t>
      </w:r>
      <w:r w:rsidRPr="00C33834">
        <w:rPr>
          <w:color w:val="000000" w:themeColor="text1"/>
          <w:sz w:val="16"/>
          <w:szCs w:val="16"/>
        </w:rPr>
        <w:t xml:space="preserve"> Об окончании строительства заводов военной промышленности. (РГАЭ. Ф. 7297. Оп. 38. Д. 35. Л. 39) (15246).</w:t>
      </w:r>
    </w:p>
    <w:p w14:paraId="086B9DDF" w14:textId="77777777" w:rsidR="006B4FD0" w:rsidRPr="00C33834" w:rsidRDefault="006B4FD0" w:rsidP="00C33834">
      <w:pPr>
        <w:pStyle w:val="rtejustify"/>
        <w:spacing w:before="0" w:after="0"/>
        <w:rPr>
          <w:color w:val="000000" w:themeColor="text1"/>
          <w:sz w:val="16"/>
          <w:szCs w:val="16"/>
        </w:rPr>
      </w:pPr>
    </w:p>
    <w:p w14:paraId="239416EE"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034074AB"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5AC86D2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14 и 20 апреля 1933. Из протокола заседания Политбюро N 136, 1933 г.</w:t>
      </w:r>
    </w:p>
    <w:p w14:paraId="56116C3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Вопрос Средней Волги </w:t>
      </w:r>
    </w:p>
    <w:p w14:paraId="7572013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Принять предложение Средне-Волжского крайкома: </w:t>
      </w:r>
    </w:p>
    <w:p w14:paraId="31A505B4"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провести изъятие и выселение за пределы края в течение мая-июня с. г. не менее 6 тыс. кулацких хозяйств и 1 тыс. хозяйств наиболее разложившихся единоличников (11652).</w:t>
      </w:r>
    </w:p>
    <w:p w14:paraId="22D88DC1"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68C2E3E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14 и 20 апреля 1933. Из протокола заседания Политбюро N 136, 1933 г.</w:t>
      </w:r>
    </w:p>
    <w:p w14:paraId="17ADF700"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Об отпуске средств Верхсуду СССР </w:t>
      </w:r>
    </w:p>
    <w:p w14:paraId="07E98BE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Утвердить постановление СНК СССР об отпуске из резервного фонда СНК СССР 35 тыс. рублей председателю Верхсуда тов. Винокурову на расходы, связанные с проведением процесса по вредительству на электростанциях (11652).</w:t>
      </w:r>
    </w:p>
    <w:p w14:paraId="25A9BD2B"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7BCAEBB1"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2C0D3AC"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256235B9" w14:textId="77777777" w:rsidR="00841CFC" w:rsidRPr="00C33834" w:rsidRDefault="00841CF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апреля 1933 опросом членов ПБ</w:t>
      </w:r>
    </w:p>
    <w:p w14:paraId="43B3C1D7" w14:textId="77777777" w:rsidR="00841CFC" w:rsidRPr="00C33834" w:rsidRDefault="00841CF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60/36.- Вопросы Комиссии Обороны.</w:t>
      </w:r>
    </w:p>
    <w:p w14:paraId="62202175" w14:textId="77777777" w:rsidR="00841CFC" w:rsidRPr="00C33834" w:rsidRDefault="00841CF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1.а) Разрешить НКТП закупить в Америке 2.000 моторов "Либерти", организовав специальный и особо тщательный отбор. Для этой цели выделить НКТП дополни</w:t>
      </w:r>
      <w:r w:rsidRPr="00C33834">
        <w:rPr>
          <w:rFonts w:ascii="Times New Roman" w:hAnsi="Times New Roman"/>
          <w:color w:val="0070C0"/>
          <w:sz w:val="16"/>
          <w:szCs w:val="16"/>
        </w:rPr>
        <w:softHyphen/>
        <w:t>тельно соответствующий импортный контингент и валю</w:t>
      </w:r>
      <w:r w:rsidRPr="00C33834">
        <w:rPr>
          <w:rFonts w:ascii="Times New Roman" w:hAnsi="Times New Roman"/>
          <w:color w:val="0070C0"/>
          <w:sz w:val="16"/>
          <w:szCs w:val="16"/>
        </w:rPr>
        <w:softHyphen/>
        <w:t>те в размере 120 тыс. долларов.</w:t>
      </w:r>
    </w:p>
    <w:p w14:paraId="05B062DE" w14:textId="77777777" w:rsidR="00841CFC" w:rsidRPr="00C33834" w:rsidRDefault="00841CF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Вопрос о закупке электрооборудования к моторам "Либерти" и запчастям для этих моторов распределить по представлению НКТП и НКВМ точной заявки о необходимом импортном контингенте и валюте.</w:t>
      </w:r>
    </w:p>
    <w:p w14:paraId="5ACD9E90" w14:textId="77777777" w:rsidR="00841CFC" w:rsidRPr="00C33834" w:rsidRDefault="00841CF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Разрешить НКТП, за счет своего -контингента, ввоз из Америки на 159 т.р. электрооборудования для моторов Либерти.</w:t>
      </w:r>
    </w:p>
    <w:p w14:paraId="1D48D1D5" w14:textId="77777777" w:rsidR="00841CFC" w:rsidRPr="00C33834" w:rsidRDefault="00841CF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2.а) В целях проверки и дублирования наших кон</w:t>
      </w:r>
      <w:r w:rsidRPr="00C33834">
        <w:rPr>
          <w:rFonts w:ascii="Times New Roman" w:hAnsi="Times New Roman"/>
          <w:color w:val="0070C0"/>
          <w:sz w:val="16"/>
          <w:szCs w:val="16"/>
        </w:rPr>
        <w:softHyphen/>
        <w:t>структорских работ разрешить НКВМору произвести закпку  дивизионных пушек Шкода.</w:t>
      </w:r>
    </w:p>
    <w:p w14:paraId="0DA691DA" w14:textId="77777777" w:rsidR="00841CFC" w:rsidRPr="00C33834" w:rsidRDefault="00841CF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Для закупки выделить особые средства в размере до 200 тыс. ам. долларов сверх контингента НКВМ.</w:t>
      </w:r>
    </w:p>
    <w:p w14:paraId="4A3617E2" w14:textId="77777777" w:rsidR="00841CFC" w:rsidRPr="00C33834" w:rsidRDefault="00841CF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Одновременно разрешить НКВМ осмотреть уни</w:t>
      </w:r>
      <w:r w:rsidRPr="00C33834">
        <w:rPr>
          <w:rFonts w:ascii="Times New Roman" w:hAnsi="Times New Roman"/>
          <w:color w:val="0070C0"/>
          <w:sz w:val="16"/>
          <w:szCs w:val="16"/>
        </w:rPr>
        <w:softHyphen/>
        <w:t>версальные пушки CACШ, согласно их предложения, на предмет переговоров о покупке.</w:t>
      </w:r>
    </w:p>
    <w:p w14:paraId="183F2214" w14:textId="77777777" w:rsidR="00841CFC" w:rsidRPr="00C33834" w:rsidRDefault="00841CF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Базилевичу, Ворошилову, Орджоникидзе, Розенгольцу.</w:t>
      </w:r>
    </w:p>
    <w:p w14:paraId="490B1F19" w14:textId="77777777" w:rsidR="00841CFC" w:rsidRPr="00C33834" w:rsidRDefault="00841CF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22 апреля 1933 состоялось заседание ПБ и был оформлен протокол № 136 (22986).</w:t>
      </w:r>
    </w:p>
    <w:p w14:paraId="4AB4E703" w14:textId="77777777" w:rsidR="00841CFC" w:rsidRPr="00C33834" w:rsidRDefault="00841CFC" w:rsidP="00C33834">
      <w:pPr>
        <w:spacing w:after="0" w:line="240" w:lineRule="auto"/>
        <w:jc w:val="both"/>
        <w:rPr>
          <w:rFonts w:ascii="Times New Roman" w:hAnsi="Times New Roman"/>
          <w:color w:val="0070C0"/>
          <w:sz w:val="16"/>
          <w:szCs w:val="16"/>
        </w:rPr>
      </w:pPr>
    </w:p>
    <w:p w14:paraId="282E0673" w14:textId="77777777" w:rsidR="00A738D8" w:rsidRPr="00C33834" w:rsidRDefault="00A738D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апреля 1933 г.</w:t>
      </w:r>
    </w:p>
    <w:p w14:paraId="08BA3A41" w14:textId="77777777" w:rsidR="00A738D8" w:rsidRPr="00C33834" w:rsidRDefault="00A738D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Постановление Политбюро ЦК ВКП(б)</w:t>
      </w:r>
    </w:p>
    <w:p w14:paraId="6B59863C" w14:textId="77777777" w:rsidR="00A738D8" w:rsidRPr="00C33834" w:rsidRDefault="00A738D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«Вопросы Комиссии обороны»</w:t>
      </w:r>
    </w:p>
    <w:p w14:paraId="647F9598" w14:textId="77777777" w:rsidR="00A738D8" w:rsidRPr="00C33834" w:rsidRDefault="00A738D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П136/36-опр.</w:t>
      </w:r>
      <w:r w:rsidRPr="00C33834">
        <w:rPr>
          <w:rFonts w:ascii="Times New Roman" w:hAnsi="Times New Roman"/>
          <w:color w:val="0070C0"/>
          <w:sz w:val="16"/>
          <w:szCs w:val="16"/>
        </w:rPr>
        <w:tab/>
        <w:t>15 апреля 1933 г.</w:t>
      </w:r>
    </w:p>
    <w:p w14:paraId="0D9AD458" w14:textId="77777777" w:rsidR="00A738D8" w:rsidRPr="00C33834" w:rsidRDefault="00A738D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Строго секретно</w:t>
      </w:r>
    </w:p>
    <w:p w14:paraId="07D0EB92" w14:textId="77777777" w:rsidR="00A738D8" w:rsidRPr="00C33834" w:rsidRDefault="00A738D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Из «Особой папки»</w:t>
      </w:r>
    </w:p>
    <w:p w14:paraId="74E9EAF8" w14:textId="77777777" w:rsidR="00A738D8" w:rsidRPr="00C33834" w:rsidRDefault="00A738D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xml:space="preserve">60/36. </w:t>
      </w:r>
    </w:p>
    <w:p w14:paraId="4CE82F5E" w14:textId="77777777" w:rsidR="00A738D8" w:rsidRPr="00C33834" w:rsidRDefault="00A738D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1. а) Разрешить НКТП закупить в Америке 2 000 моторов «Либерти», организовав специальный и особо тщательный отбор. Для этой цели выделить НКТП дополнительно соответствующий импортный контингент и валюту в размере 120 тыс. долларов.</w:t>
      </w:r>
    </w:p>
    <w:p w14:paraId="026E0BFC" w14:textId="77777777" w:rsidR="00A738D8" w:rsidRPr="00C33834" w:rsidRDefault="00A738D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Вопрос о закупке электрооборудования к моторам «Либерти» и запчастям для этих моторов рассмотреть по представлении НКТП и НКВМ точной заявки о необходимом импортном контингенте и валюте.</w:t>
      </w:r>
    </w:p>
    <w:p w14:paraId="52CE6610" w14:textId="77777777" w:rsidR="00A738D8" w:rsidRPr="00C33834" w:rsidRDefault="00A738D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Разрешить НКТП за счет своего контингента ввоз из Америки на 150 тыс. руб. электрооборудования для моторов «Либерти».</w:t>
      </w:r>
    </w:p>
    <w:p w14:paraId="532E5166" w14:textId="77777777" w:rsidR="00A738D8" w:rsidRPr="00C33834" w:rsidRDefault="00A738D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а) В целях проверки и дублирования наших конструкторских работ разрешить НКВМору произвести закупку дивизионных пушек «Шкода». Для закупки выделить особые средства в размере до 200 тыс. американских долларов сверх контингента НКВМ.</w:t>
      </w:r>
    </w:p>
    <w:p w14:paraId="32F5A1E1" w14:textId="77777777" w:rsidR="00A738D8" w:rsidRPr="00C33834" w:rsidRDefault="00A738D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Одновременно разрешить НКВМ осмотреть универсальные пушки САСШ согласно их предложению на предмет переговоров о покупке.</w:t>
      </w:r>
    </w:p>
    <w:p w14:paraId="144FF6D4" w14:textId="77777777" w:rsidR="00A738D8" w:rsidRPr="00C33834" w:rsidRDefault="00A738D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Секретарь ЦК</w:t>
      </w:r>
    </w:p>
    <w:p w14:paraId="5ABCDE6F" w14:textId="77777777" w:rsidR="00A738D8" w:rsidRPr="00C33834" w:rsidRDefault="00A738D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АП РФ. Ф. 3. On. 66. Д. 343. Л. 111-111 об. Копия.</w:t>
      </w:r>
    </w:p>
    <w:p w14:paraId="1AAE23BD" w14:textId="77777777" w:rsidR="00A738D8" w:rsidRPr="00C33834" w:rsidRDefault="00A738D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Принято опросом членов Политбюро ЦК ВКП(б) 15 апреля 1933 г. Выписка из протокола № 136 заседания Политбюро ЦК ВКП(б) 23 апреля 1933 г., п. 60/36.</w:t>
      </w:r>
    </w:p>
    <w:p w14:paraId="259DD437" w14:textId="77777777" w:rsidR="00A738D8" w:rsidRPr="00C33834" w:rsidRDefault="00A738D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Направлена Г.Д. Базилевичу, К.Е. Ворошилову, Г.К. Орджоникидзе, А.П. Розенгольцу (20844).</w:t>
      </w:r>
    </w:p>
    <w:p w14:paraId="32E3118E" w14:textId="77777777" w:rsidR="00A738D8" w:rsidRPr="00C33834" w:rsidRDefault="00A738D8" w:rsidP="00C33834">
      <w:pPr>
        <w:spacing w:after="0" w:line="240" w:lineRule="auto"/>
        <w:jc w:val="both"/>
        <w:rPr>
          <w:rFonts w:ascii="Times New Roman" w:hAnsi="Times New Roman"/>
          <w:color w:val="0070C0"/>
          <w:sz w:val="16"/>
          <w:szCs w:val="16"/>
        </w:rPr>
      </w:pPr>
    </w:p>
    <w:p w14:paraId="2A853664"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апреля 1933 были проведены первые в СССР стендовые испытания ПВРД Ю.А.Победоносцева в ГИРД (237,166).</w:t>
      </w:r>
    </w:p>
    <w:p w14:paraId="53846A0D"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19E558C1"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апреля 1933 С.П.К. руководил испытаниями ВРД на газообразном топливе (сжатый воздух + водород). Результаты положительные (Там же, № 94, л. 19) (10676).</w:t>
      </w:r>
    </w:p>
    <w:p w14:paraId="0E8AAA66"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78B7CD10"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E42DFFD"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2697CC7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15 по 25 апреля 1933 САУ СУ-76К (СУ-3), разработанная на заводе № 7, на базе Т-27 и вооруженная ДРП и предназначенная для действий в составе разведотрядов и для сопрвождения конницы, прошла испытания на полигоне ВАММ им. Сталина в Кунцево. Произошел разрыв ствола из-за двойного заряжания (9527,271).</w:t>
      </w:r>
    </w:p>
    <w:p w14:paraId="288AFB98"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76E2C950" w14:textId="77777777" w:rsidR="006B4FD0" w:rsidRPr="00C33834" w:rsidRDefault="006B4FD0" w:rsidP="00C33834">
      <w:pPr>
        <w:pStyle w:val="rtejustify"/>
        <w:spacing w:before="0" w:after="0"/>
        <w:rPr>
          <w:color w:val="000000" w:themeColor="text1"/>
          <w:sz w:val="16"/>
          <w:szCs w:val="16"/>
        </w:rPr>
      </w:pPr>
      <w:r w:rsidRPr="00C33834">
        <w:rPr>
          <w:rStyle w:val="af0"/>
          <w:bCs/>
          <w:i w:val="0"/>
          <w:color w:val="000000" w:themeColor="text1"/>
          <w:sz w:val="16"/>
          <w:szCs w:val="16"/>
        </w:rPr>
        <w:t>15 апреля</w:t>
      </w:r>
      <w:r w:rsidRPr="00C33834">
        <w:rPr>
          <w:rStyle w:val="af0"/>
          <w:rFonts w:eastAsiaTheme="majorEastAsia"/>
          <w:bCs/>
          <w:i w:val="0"/>
          <w:color w:val="000000" w:themeColor="text1"/>
          <w:sz w:val="16"/>
          <w:szCs w:val="16"/>
        </w:rPr>
        <w:t xml:space="preserve"> 1933</w:t>
      </w:r>
      <w:r w:rsidRPr="00C33834">
        <w:rPr>
          <w:color w:val="000000" w:themeColor="text1"/>
          <w:sz w:val="16"/>
          <w:szCs w:val="16"/>
        </w:rPr>
        <w:t>. Постановление РВСС «О вооружении связи». (РГВА. Ф. 4. Оп. 18. Д. 23. Л. 135</w:t>
      </w:r>
      <w:r w:rsidRPr="00C33834">
        <w:rPr>
          <w:color w:val="000000" w:themeColor="text1"/>
          <w:sz w:val="16"/>
          <w:szCs w:val="16"/>
        </w:rPr>
        <w:noBreakHyphen/>
        <w:t>136) (15461).</w:t>
      </w:r>
    </w:p>
    <w:p w14:paraId="7551ECC2" w14:textId="120C0919" w:rsidR="006B4FD0" w:rsidRPr="00C33834" w:rsidRDefault="006B4FD0" w:rsidP="00C33834">
      <w:pPr>
        <w:pStyle w:val="rtejustify"/>
        <w:spacing w:before="0" w:after="0"/>
        <w:rPr>
          <w:rStyle w:val="af0"/>
          <w:bCs/>
          <w:i w:val="0"/>
          <w:color w:val="000000" w:themeColor="text1"/>
          <w:sz w:val="16"/>
          <w:szCs w:val="16"/>
        </w:rPr>
      </w:pPr>
    </w:p>
    <w:p w14:paraId="72C5BF7F" w14:textId="277203EE" w:rsidR="00A738D8" w:rsidRPr="00C33834" w:rsidRDefault="00A738D8" w:rsidP="00C33834">
      <w:pPr>
        <w:pStyle w:val="rtejustify"/>
        <w:spacing w:before="0" w:after="0"/>
        <w:rPr>
          <w:rStyle w:val="af0"/>
          <w:bCs/>
          <w:iCs w:val="0"/>
          <w:color w:val="000000" w:themeColor="text1"/>
          <w:sz w:val="16"/>
          <w:szCs w:val="16"/>
        </w:rPr>
      </w:pPr>
      <w:r w:rsidRPr="00C33834">
        <w:rPr>
          <w:rStyle w:val="af0"/>
          <w:bCs/>
          <w:iCs w:val="0"/>
          <w:color w:val="000000" w:themeColor="text1"/>
          <w:sz w:val="16"/>
          <w:szCs w:val="16"/>
        </w:rPr>
        <w:t>Армия:</w:t>
      </w:r>
    </w:p>
    <w:p w14:paraId="536F1790" w14:textId="77777777" w:rsidR="00A738D8" w:rsidRPr="00C33834" w:rsidRDefault="00A738D8" w:rsidP="00C33834">
      <w:pPr>
        <w:pStyle w:val="rtejustify"/>
        <w:spacing w:before="0" w:after="0"/>
        <w:rPr>
          <w:rStyle w:val="af0"/>
          <w:bCs/>
          <w:iCs w:val="0"/>
          <w:color w:val="000000" w:themeColor="text1"/>
          <w:sz w:val="16"/>
          <w:szCs w:val="16"/>
        </w:rPr>
      </w:pPr>
    </w:p>
    <w:p w14:paraId="65B94DC7" w14:textId="77777777" w:rsidR="00A738D8" w:rsidRPr="00C33834" w:rsidRDefault="00A738D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апреля 1933 г. 11-й отдельный морской пограничный авиаотряд  выделился из состава 2-й Камчатской авиаэскадрильи погранвойск и под командовани</w:t>
      </w:r>
      <w:r w:rsidRPr="00C33834">
        <w:rPr>
          <w:rFonts w:ascii="Times New Roman" w:hAnsi="Times New Roman"/>
          <w:color w:val="0070C0"/>
          <w:sz w:val="16"/>
          <w:szCs w:val="16"/>
        </w:rPr>
        <w:softHyphen/>
        <w:t>ем М. Репина был перебазирован на берег бухты Угловой, на ст. Океанская, близ Владивостока для усиления морских и сухопутных частей правого флан</w:t>
      </w:r>
      <w:r w:rsidRPr="00C33834">
        <w:rPr>
          <w:rFonts w:ascii="Times New Roman" w:hAnsi="Times New Roman"/>
          <w:color w:val="0070C0"/>
          <w:sz w:val="16"/>
          <w:szCs w:val="16"/>
        </w:rPr>
        <w:softHyphen/>
        <w:t>га Тихоокеанского пограничного округа. Эта дата и является официальным днем рождения Владивостокской пограничной авиационной части.</w:t>
      </w:r>
    </w:p>
    <w:p w14:paraId="10E9BACA" w14:textId="77777777" w:rsidR="00A738D8" w:rsidRPr="00C33834" w:rsidRDefault="00A738D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Исторический формуляр части, заполненный в те далекие для нас годы, оставил нам свои пожелтевшие от времени страницы, которые рассказывают о людях, стоявших у истоков этой части, об их делах и службе в то непростое для страны время. Первоначально отряд состоял из 30 человек, из которых ко</w:t>
      </w:r>
      <w:r w:rsidRPr="00C33834">
        <w:rPr>
          <w:rFonts w:ascii="Times New Roman" w:hAnsi="Times New Roman"/>
          <w:color w:val="0070C0"/>
          <w:sz w:val="16"/>
          <w:szCs w:val="16"/>
        </w:rPr>
        <w:softHyphen/>
        <w:t>мандно-начальствующего состава было 12 человек, младшего командного со</w:t>
      </w:r>
      <w:r w:rsidRPr="00C33834">
        <w:rPr>
          <w:rFonts w:ascii="Times New Roman" w:hAnsi="Times New Roman"/>
          <w:color w:val="0070C0"/>
          <w:sz w:val="16"/>
          <w:szCs w:val="16"/>
        </w:rPr>
        <w:softHyphen/>
        <w:t>става — 3 человека, а рядового состава — 15 человек. Небезынтересен и тот факт, что в отряде грамотных было всего 17 человек, а малограмотных 13. Тем не менее личный состав отряда с чувством высокой ответственности, с полной отдачей сил решал стоящие задачи по охране государственной границы, обу</w:t>
      </w:r>
      <w:r w:rsidRPr="00C33834">
        <w:rPr>
          <w:rFonts w:ascii="Times New Roman" w:hAnsi="Times New Roman"/>
          <w:color w:val="0070C0"/>
          <w:sz w:val="16"/>
          <w:szCs w:val="16"/>
        </w:rPr>
        <w:softHyphen/>
        <w:t>стройству на новом месте дислокации. Первые летчики прибывали в часть из Тамбовской летной школы ГВФ, летчики-наблюдатели — из Оренбургской во</w:t>
      </w:r>
      <w:r w:rsidRPr="00C33834">
        <w:rPr>
          <w:rFonts w:ascii="Times New Roman" w:hAnsi="Times New Roman"/>
          <w:color w:val="0070C0"/>
          <w:sz w:val="16"/>
          <w:szCs w:val="16"/>
        </w:rPr>
        <w:softHyphen/>
        <w:t>енной школы летчиков и летчиков-наблюдателей, а рядовой состав — из раз</w:t>
      </w:r>
      <w:r w:rsidRPr="00C33834">
        <w:rPr>
          <w:rFonts w:ascii="Times New Roman" w:hAnsi="Times New Roman"/>
          <w:color w:val="0070C0"/>
          <w:sz w:val="16"/>
          <w:szCs w:val="16"/>
        </w:rPr>
        <w:softHyphen/>
        <w:t>ных частей пограничных и внутренних войск Дальневосточного края.</w:t>
      </w:r>
    </w:p>
    <w:p w14:paraId="71AF95A5" w14:textId="77777777" w:rsidR="00A738D8" w:rsidRPr="00C33834" w:rsidRDefault="00A738D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 вооружении авиационного отряда в то далекое время были самолеты По-2 и Ш-2 с двигателями М-11. Только спустя два года отряд был перефор</w:t>
      </w:r>
      <w:r w:rsidRPr="00C33834">
        <w:rPr>
          <w:rFonts w:ascii="Times New Roman" w:hAnsi="Times New Roman"/>
          <w:color w:val="0070C0"/>
          <w:sz w:val="16"/>
          <w:szCs w:val="16"/>
        </w:rPr>
        <w:softHyphen/>
        <w:t>мирован в соответствии с новым штатом, который предусматривал 169 чело</w:t>
      </w:r>
      <w:r w:rsidRPr="00C33834">
        <w:rPr>
          <w:rFonts w:ascii="Times New Roman" w:hAnsi="Times New Roman"/>
          <w:color w:val="0070C0"/>
          <w:sz w:val="16"/>
          <w:szCs w:val="16"/>
        </w:rPr>
        <w:softHyphen/>
        <w:t>век личного состава и 10 самолетов МБР-2 с двигателями М-17Б вместо само</w:t>
      </w:r>
      <w:r w:rsidRPr="00C33834">
        <w:rPr>
          <w:rFonts w:ascii="Times New Roman" w:hAnsi="Times New Roman"/>
          <w:color w:val="0070C0"/>
          <w:sz w:val="16"/>
          <w:szCs w:val="16"/>
        </w:rPr>
        <w:softHyphen/>
        <w:t>летов Ш-2 (20402).</w:t>
      </w:r>
    </w:p>
    <w:p w14:paraId="780CD8F8" w14:textId="77777777" w:rsidR="00A738D8" w:rsidRPr="00C33834" w:rsidRDefault="00A738D8" w:rsidP="00C33834">
      <w:pPr>
        <w:spacing w:after="0" w:line="240" w:lineRule="auto"/>
        <w:jc w:val="both"/>
        <w:rPr>
          <w:rFonts w:ascii="Times New Roman" w:hAnsi="Times New Roman"/>
          <w:color w:val="0070C0"/>
          <w:sz w:val="16"/>
          <w:szCs w:val="16"/>
        </w:rPr>
      </w:pPr>
    </w:p>
    <w:p w14:paraId="1FEC9004" w14:textId="77777777" w:rsidR="00A738D8" w:rsidRPr="00C33834" w:rsidRDefault="00A738D8"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15 апреля 1933 комиссия обороны утвердила подготовленный начальником Военно-морских сил В.М. Орловым и завизированный наркомом К.Е. Ворошиловым «Перечень мероприятий для обеспечения перевода военных судов из Балтийского моря в Белое море». Им потребовалось перевести из состава Морских сил Балтийского моря в Белое море эсминцы «Урицкий» и «Рыков» (в 1936 году переименован в «Куйбышев»), подлодки «Декабрист», «Народоволец» и сторожевые суда «Ураган» и «Смерч» к 1—15 июля 1933 года и одновременно обследовать Кольский залив, чтобы обеспечить базирование кораблей к их приходу (20467).</w:t>
      </w:r>
    </w:p>
    <w:p w14:paraId="515DAEE9" w14:textId="77777777" w:rsidR="00A738D8" w:rsidRPr="00C33834" w:rsidRDefault="00A738D8" w:rsidP="00C33834">
      <w:pPr>
        <w:spacing w:after="0" w:line="240" w:lineRule="auto"/>
        <w:jc w:val="both"/>
        <w:rPr>
          <w:rFonts w:ascii="Times New Roman" w:hAnsi="Times New Roman"/>
          <w:color w:val="0070C0"/>
          <w:sz w:val="16"/>
          <w:szCs w:val="16"/>
        </w:rPr>
      </w:pPr>
    </w:p>
    <w:p w14:paraId="62F4C17D"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62AFD1B8"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0E0D5C9C"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 декабря 1932 по 15 апреля 1933 умерло от голода 2420 тыс. чел. (70,221).</w:t>
      </w:r>
    </w:p>
    <w:p w14:paraId="31A67B34"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5AD14C0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апреля 1933 вышел приказ по МВС и лагерю за № 50 от, подписанный Коганом и Радецким, гласил:</w:t>
      </w:r>
    </w:p>
    <w:p w14:paraId="2A5DEBE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«Отдельные слова уголовного жаргона в лагерях начинают принимать права гражданства. Такие слова как «туфта», «блат», «филон» и т. п. становятся словами общеупотребительными, не изгоняемыми даже из официальной переписки, докладов, и т. д.</w:t>
      </w:r>
    </w:p>
    <w:p w14:paraId="7030BEF5"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Засорение языка словами взятыми из жаргона уголовного элемента представляет громадную опасность, которой к сожалению не понимают даже ответственные работники строительства и лагеря. Они не понимают, что введение в практику таких слов, как «туфта», «блат» и т. п. является следствием того, что явления ими определяемые стали обычными.</w:t>
      </w:r>
    </w:p>
    <w:p w14:paraId="191AB15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Самые отвратительные виды вредительства, борьба с которыми всеми мерами должна была бы вестись не только чекистами, но и всеми добросовестными лагерниками, из-за того, что эти виды вредительства квалифицируются новыми не мобилизующими внимания словами, не стали предметом немедленного пресечения их.</w:t>
      </w:r>
    </w:p>
    <w:p w14:paraId="3013406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Нет никакого сомнения, что при Правильной квалификации явлений, при квалификации, например, «туфта» как «очковтирательство», «дача заведомо ложных сведений» и т. п., «блата» - как «взятка», «использование служебного положения» и т. п., на них сразу же было бы обращено необходимое внимание и были бы приняты соответствующие меры воздействия как административного, так и общественного.</w:t>
      </w:r>
    </w:p>
    <w:p w14:paraId="6D9BC1A1"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...Предлагаю по линии КВО провести кампанию за изгнание из лагерного лексикона в первую очередь слов «туфта» и «блат».</w:t>
      </w:r>
    </w:p>
    <w:p w14:paraId="0B603F7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Лагерникам должны быть разъяснены причины этого. Должно быть внушено, что одним допущением этих слов они занимаются укрывательством ряда вредительских актов, со всеми вытекающими отсюда последствиями. Ответственные работники должны иметь в виду, что если указанное требуется от рядового лагерного работника, это тем более относится к ним. Они должны понять что изгнание указанных слов из обихода является необходимым для того, чтобы сами явления ими определяемые не могли бы в лагере иметь место.</w:t>
      </w:r>
    </w:p>
    <w:p w14:paraId="06707DF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частности, не оправданную разницу, которая будет получаться между ежедневными оперативными данными по земляным работам и данными контрольных инструментальных обмеров, в дальнейшем надлежит квалифицировать как заведомо ложные сведения» (7560).</w:t>
      </w:r>
    </w:p>
    <w:p w14:paraId="249C7718"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2191A6D1" w14:textId="77777777" w:rsidR="006B4FD0"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BB96442" w14:textId="77777777" w:rsidR="006B4FD0" w:rsidRPr="00C33834" w:rsidRDefault="006B4FD0" w:rsidP="00C33834">
      <w:pPr>
        <w:spacing w:after="0" w:line="240" w:lineRule="auto"/>
        <w:jc w:val="both"/>
        <w:rPr>
          <w:rFonts w:ascii="Times New Roman" w:hAnsi="Times New Roman"/>
          <w:iCs/>
          <w:color w:val="000000" w:themeColor="text1"/>
          <w:sz w:val="16"/>
          <w:szCs w:val="16"/>
        </w:rPr>
      </w:pPr>
    </w:p>
    <w:p w14:paraId="42482AFE" w14:textId="77777777" w:rsidR="006B4FD0" w:rsidRPr="00C33834" w:rsidRDefault="006B4FD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апреля в 1933 году Хосе Х.Родригесом поднял в воздух лёгкий транспортный самолёт «Ае.Т.1» (разработчик: «FMA», Аргентина). Самолёт был разработан начале 1930-х гг. совместными усилиями инженеров «Fabrica Militar de Aviones de Cordoba» и «Seccion Experimental de Transportes Aereos». Это была чисто коммерческая машина, хотя и строилась на военном предприятии. Испытания прошли вполне успешно, однако заказ на «Ае.Т.1» составил всего три экземпляра. Все самолёты поступили в эскадрилью "Sol de Maya" в течении 1933 - 1934 гг., причем каждая машина имела собственное название: "General San Martin", "Dean Funes" и "Jorge Newbery" (15100).</w:t>
      </w:r>
    </w:p>
    <w:p w14:paraId="65A62538" w14:textId="77777777" w:rsidR="006B4FD0" w:rsidRPr="00C33834" w:rsidRDefault="006B4FD0" w:rsidP="00C33834">
      <w:pPr>
        <w:spacing w:after="0" w:line="240" w:lineRule="auto"/>
        <w:jc w:val="both"/>
        <w:rPr>
          <w:rFonts w:ascii="Times New Roman" w:hAnsi="Times New Roman"/>
          <w:color w:val="000000" w:themeColor="text1"/>
          <w:sz w:val="16"/>
          <w:szCs w:val="16"/>
        </w:rPr>
      </w:pPr>
    </w:p>
    <w:p w14:paraId="2CE3657D" w14:textId="77777777" w:rsidR="0097131C" w:rsidRPr="00C33834" w:rsidRDefault="009713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апреля 1933 года — первый полёт пассажирского самолёта FMA Aé.T.1.</w:t>
      </w:r>
    </w:p>
    <w:p w14:paraId="2AB925BB" w14:textId="77777777" w:rsidR="0097131C" w:rsidRPr="00C33834" w:rsidRDefault="009713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Проект являлся попыткой применить опыт, полученный во время постройки лёгкого бомбардировщика Aé.M.B.1, в мирных целях. Самолёт строился на военном предприятии Fabrica Militar de Aviones, и был разработан совместно с фирмой Sección Experimental de Transportes Aéreos.</w:t>
      </w:r>
    </w:p>
    <w:p w14:paraId="1BE94F0D" w14:textId="77777777" w:rsidR="0097131C" w:rsidRPr="00C33834" w:rsidRDefault="009713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Aé.T.1 представлял собой одномоторный низкоплан с неубирающимся шасси. Крыло выполнено из дерева, а корпус из стального каркаса, обшитого тканью. Внешне чем-то напоминал Junkers F.13. На Aé.T.1 была установлена радиостанция, поэтому экипаж состоял из 2 пилотов и радиста. На борту могло разместиться 5 пассажиров.</w:t>
      </w:r>
    </w:p>
    <w:p w14:paraId="608A7093" w14:textId="77777777" w:rsidR="0097131C" w:rsidRPr="00C33834" w:rsidRDefault="0097131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FMA AeT.1 стал первым авиалайнером, построенным в Аргентине. Но, несмотря на успешные испытательные полёты, заказчиков на новый самолёт не нашлось. Выпустили всего 3 авиалайнера, пополнивших эскадрилью "Sol de Mayo". Позже один был передан а/к Aero-Argentina и выполнял рейсы между Кордовой и Буэнос-Айресом. Судьба остальных самолётов неизвестна (22300).</w:t>
      </w:r>
    </w:p>
    <w:p w14:paraId="3A0DA2DA" w14:textId="77777777" w:rsidR="0097131C" w:rsidRPr="00C33834" w:rsidRDefault="0097131C" w:rsidP="00C33834">
      <w:pPr>
        <w:spacing w:after="0" w:line="240" w:lineRule="auto"/>
        <w:jc w:val="both"/>
        <w:rPr>
          <w:rFonts w:ascii="Times New Roman" w:hAnsi="Times New Roman"/>
          <w:color w:val="0070C0"/>
          <w:sz w:val="16"/>
          <w:szCs w:val="16"/>
        </w:rPr>
      </w:pPr>
    </w:p>
    <w:p w14:paraId="31EEB21B"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D338AB4"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2D5CED8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середины апреля 1933 эталон 1933 г. Р-5 простоял без фотоаппарата, радиостанции и многих приборов. Даже новое шасси не могли опробовать - механизм управления тормозами мастерские ЦАГИ сдали только в мае.</w:t>
      </w:r>
    </w:p>
    <w:p w14:paraId="6110976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Длительная возня с подготовкой эталона привела к тому, что большую часть самолетов выпуска 1933 г. сделали по стандарту предыдущего года. Лишь с лета начали внедрять отдельные новшества. С 18-й серии под крылом смонтировали держатели для так называемых ракет Хольца с автоматическим сбросом догоревших ракет (если маломощные фары не помогали, их можно было использовать для освещения, например, посадочной площадки). Чуть позже изменили короба для дисков пулеметов ДА, ввели усовершенствованный кольцевой прицел, переделали привод синхронизатора. Тормоза появились только с конца осени. Из-за нехватки колес до марта следующего года с завода периодически отправляли Р-5 с новыми осями, но колесами старого образца.</w:t>
      </w:r>
    </w:p>
    <w:p w14:paraId="548E0C75"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воинских частях к первым самолетам с тормозными колесами отнеслись неодобрительно. Тормоза работали ненадежно. Вскоре начали ломаться оси. Оказалось, что на заводе их делали второпях, оставляли заусенцы, забывали снимать фаски. Установка тормозов увеличила нагрузку на амортизаторы, с мая 1934 г. из строевых частей посыпались жалобы на быстрый износ внутренней трубы, скользившей в наружной.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выпущенной в октябре 1934 г.</w:t>
      </w:r>
    </w:p>
    <w:p w14:paraId="6880D8D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1932-34 гг. попробовали два варианта крыла с предкрылками и закрылками. Механизация позволила снизить посадочную скорость и улучшить поведение самолета на малых скоростях, но скороподъемность и максимальная скорость уменьшились. В серию такое крыло не внедрили.</w:t>
      </w:r>
    </w:p>
    <w:p w14:paraId="320C99DC"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в 1933 г. выпустили 1572 машины. На 1934 г. УВВС планировало дальнейшее совершенствование Р-5. Ставились задачи увеличить скорость на 15 км/ч, снизить массу не менее чем на 200 кг за счет внедрения магниевого сплава "электрон", ввести масляно-пневматическую амортизацию шасси, а со второго полугодия - модернизировать вооружение. Скорость при неизменной мотоустановке можно было поднять за счет улучшения аэродинамики. Конструкторы решили ввести зализы у стоек, крыла и оперения. С уменьшением веса было хуже - "электрон" в СССР не производился. За счет облегчения отдельных узлов и применения легированной стали можно было "выжать" 80-85 кг.</w:t>
      </w:r>
    </w:p>
    <w:p w14:paraId="28776544"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Замену вооружения планировали на второе полугодие. В задней кабине собирались поставить новую турель Тур-Ток (Тур-8) с пулеметом LUKAC обр. 1933 г., известным как "ШКАС с бородой" (подствольным коробом для ленты). Позже от "бороды" отказались. ШКАС обр. 1934 г. питался из ящика турели, в котором находилось 750 патронов, затем 1000. Наружные балки бомбодержателей требовали заменить на встроенные Д-1 (Дер-31). Их электропиротехнические замки срабатывали по команде электросбрасывателя СР (11936).</w:t>
      </w:r>
    </w:p>
    <w:p w14:paraId="07749B1A"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1F6EED2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середины апреля 1933 "эталон 1933 г." простоял в ангаре без фотоаппарата, радиостанции и многих приборов. Даже новое шасси не могли опробовать - механизм управления тормозами мастерские ЦАГИ сдали только в мае.</w:t>
      </w:r>
    </w:p>
    <w:p w14:paraId="7D8D515A"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Длительная возня с подготовкой эталона привела к тому, что большая часть самолетов выпуска 1933 г. делалась по стандарту предыдущего года. Лишь с лета начали внедрять отдельные изменения. С 18-й серии под крылом смонтировали ракетодержатели с автоматическим сбросом догоревших ракет. Чуть позже изменили короба для дисков пулеметов ДА, ввели усовершенствованный кольцевой прицел, переделали привод синхронизатора переднего пулемета. Тормоза появились с конца осени, но из-за нехватки колес до марта следующего года с завода периодически отправляли Р-5 с новыми осями, но с колесами старого образца. </w:t>
      </w:r>
    </w:p>
    <w:p w14:paraId="3176D585"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Более того, из-за нехватки отечественных колес в августе-сентябре 1933 г. пришлось выпустить партию самолетов с импортными колесами "Палмер", правда, при этом завод письменно обязался заменить их при первой возможности.</w:t>
      </w:r>
    </w:p>
    <w:p w14:paraId="36EA117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Надо сказать, что в воинских частях к первым сериям самолетов с тормозными колесами отнеслись неодобрительно. Тормоза работали ненадежно. Вскоре начали ломаться оси. Оказалось, что на заводе их делают второпях, оставляют заусенцы, забывают снимать фаски. Смазки вообше не оказалось. Присланные самолеты перед эксплуатацией приходилось разбирать и проверять.</w:t>
      </w:r>
    </w:p>
    <w:p w14:paraId="4CAD5E1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тормозов увеличила нагрузку на амортизаторы, с мая 1934 г. из строевых частей посыпались жалобы на быстрый износ внутренней трубы, скользившей в наружной.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выпушенной в октябре 1934 г. (12034).</w:t>
      </w:r>
    </w:p>
    <w:p w14:paraId="31FEAFD5"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12AC494F"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68527C0"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6D52D89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апреля 1933 г. сдали центроплан И-14; консоли крыла сдали 25 апреля 1933 г.; 10 марта был полностью собран фюзеляж; 21 апреля установили шасси (правда, без подъемного механизма - его не успели довести в срок). Установка мотора на самолет состоялась 28 марта 1933 г. (12037).</w:t>
      </w:r>
    </w:p>
    <w:p w14:paraId="1E4C5C7F"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728531CD"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апреля 1933 года Начальник НИИ ВВС Зильберт утвердил протокол Тактико-технического совещания НИИ ВВС (Журнал № 1) от 7 апреля 1933 года (6788).</w:t>
      </w:r>
    </w:p>
    <w:p w14:paraId="7AD4721E"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Перечень разбиравшихся вопросов</w:t>
      </w:r>
    </w:p>
    <w:p w14:paraId="432AD16C" w14:textId="77777777" w:rsidR="008E7A66" w:rsidRPr="00C33834" w:rsidRDefault="008E7A66" w:rsidP="00C33834">
      <w:pPr>
        <w:tabs>
          <w:tab w:val="left" w:pos="360"/>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Тактические требования к передней кабине самолета ТБ6. Докладчик Вершинин.</w:t>
      </w:r>
    </w:p>
    <w:p w14:paraId="5CB1050F" w14:textId="77777777" w:rsidR="008E7A66" w:rsidRPr="00C33834" w:rsidRDefault="008E7A66" w:rsidP="00C33834">
      <w:pPr>
        <w:tabs>
          <w:tab w:val="left" w:pos="360"/>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Тактические требования к самолету сопровождения и учебному самолету. Докладчик Лебедев.</w:t>
      </w:r>
    </w:p>
    <w:p w14:paraId="0E1BEEB6" w14:textId="77777777" w:rsidR="008E7A66" w:rsidRPr="00C33834" w:rsidRDefault="008E7A66" w:rsidP="00C33834">
      <w:pPr>
        <w:tabs>
          <w:tab w:val="left" w:pos="360"/>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Тактические требования к легкому самолету для назначения в качестве: 1. оперативного разведчика; 2. двухместного истребителя; 3. легкого бомбардировщика. Докладчик Лебедев (6788).</w:t>
      </w:r>
    </w:p>
    <w:p w14:paraId="60A182EC" w14:textId="77777777" w:rsidR="008E7A66" w:rsidRPr="00C33834" w:rsidRDefault="008E7A66" w:rsidP="00C33834">
      <w:pPr>
        <w:tabs>
          <w:tab w:val="left" w:pos="360"/>
          <w:tab w:val="left" w:pos="11199"/>
        </w:tabs>
        <w:spacing w:after="0" w:line="240" w:lineRule="auto"/>
        <w:jc w:val="both"/>
        <w:rPr>
          <w:rFonts w:ascii="Times New Roman" w:hAnsi="Times New Roman"/>
          <w:color w:val="000000" w:themeColor="text1"/>
          <w:sz w:val="16"/>
          <w:szCs w:val="16"/>
        </w:rPr>
      </w:pPr>
    </w:p>
    <w:p w14:paraId="2F288A8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апреля 1933 Нач. 4 управления штаба РККА т. Берзин и Нач. 3 отдела Никонов писали письмо N 59180сс/III Нач. ГУАП П.И.Б.:</w:t>
      </w:r>
    </w:p>
    <w:p w14:paraId="41571B0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Прошу срочно сообщить, требуется ли ГУАП или его подразделениям такие материалы по скоростным двухмоторным бомбардировщикам Глен Мартин В-10 и Боинг В-9 (США):</w:t>
      </w:r>
    </w:p>
    <w:p w14:paraId="45B3FDE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Чертежи конструктивные основные (крыло, фюзеляж, шасси, оперение, мотоустановки).</w:t>
      </w:r>
    </w:p>
    <w:p w14:paraId="251F9EF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Полные расчеты на прочность.</w:t>
      </w:r>
    </w:p>
    <w:p w14:paraId="49235296"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Полные аэродинамические расчеты (2305,24).</w:t>
      </w:r>
    </w:p>
    <w:p w14:paraId="6B2415F0"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626A830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апреля 1933 Чл. Коллегии НКРКИ, Нач. ВМИ Куйбышев писал Нач. ГУАП П.И.Б. письмо N 456/ма:</w:t>
      </w:r>
    </w:p>
    <w:p w14:paraId="2B31CB0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"Постановлением Президиума ЦКК и Коллегии НК РКИ УССР от 15 марта 1932 N 15/11 о состоянии Харьковского Авиазавода на Директора и Вас возлагалось выполнение ряда пунктов.</w:t>
      </w:r>
    </w:p>
    <w:p w14:paraId="3045E44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Прошу Вас поставить меня в известность о ходе выполнения указанного постановления ЦКК НК РКИ УССР." (2305,81).</w:t>
      </w:r>
    </w:p>
    <w:p w14:paraId="0453DF8D"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20B3D095"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2D55ABFD"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4AB3C3CE"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апреля 1933 коллегия ГПУ приговорила к заключению участников «бухаринской школы» (4962).</w:t>
      </w:r>
    </w:p>
    <w:p w14:paraId="6D6B86D5"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p>
    <w:p w14:paraId="512080C7" w14:textId="77777777" w:rsidR="00D33C8E" w:rsidRPr="00C33834" w:rsidRDefault="00D33C8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апреля в 1933 году коллегия ОГПУ приговорила к различным срокам заключения членов так называемой Антипартийной контрреволюционной группы правых Слепкова и других (так называемая бухаринская школа (15101).</w:t>
      </w:r>
    </w:p>
    <w:p w14:paraId="66F9459B" w14:textId="77777777" w:rsidR="00D33C8E" w:rsidRPr="00C33834" w:rsidRDefault="00D33C8E" w:rsidP="00C33834">
      <w:pPr>
        <w:spacing w:after="0" w:line="240" w:lineRule="auto"/>
        <w:jc w:val="both"/>
        <w:rPr>
          <w:rFonts w:ascii="Times New Roman" w:hAnsi="Times New Roman"/>
          <w:color w:val="000000" w:themeColor="text1"/>
          <w:sz w:val="16"/>
          <w:szCs w:val="16"/>
        </w:rPr>
      </w:pPr>
    </w:p>
    <w:p w14:paraId="03F03A0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апреля 1933 было отправлено второе письмо писателя М.Шолохова И.Сталину о возмутительных методах действий местных советских властей при заготовках зерна в Вешенском и других районах Дона (10687).</w:t>
      </w:r>
    </w:p>
    <w:p w14:paraId="31EFF065"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5CE62D34"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5610DEB"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775FA4A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апреля 1933 закончились гос. испытания АНТ-7 Р-6 N 2202 производства 22 завода, установленного на поплавки на 31 заводе, которые начались 10 декабря 1932. НИИ ВВС дал заключение, что самолет может быть использован как воздушный крейсер, дальний разведчик, бомбардировщик, торпедоносец (1017,198).</w:t>
      </w:r>
    </w:p>
    <w:p w14:paraId="2B3D2C15"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проводились государственные доиспытания вооруженного самолета Р6 2М17 N 2202 на поплавках (3899).</w:t>
      </w:r>
    </w:p>
    <w:p w14:paraId="64D0F41F"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3F3248F1"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17 по 23 апреля 1933 проходили испытания вооруженного самолета У-2 № 3115 (эталон на 1933 год), мотор М-11 (6645).</w:t>
      </w:r>
    </w:p>
    <w:p w14:paraId="07250CD0"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33693113"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ведущий самолет – Мируц</w:t>
      </w:r>
    </w:p>
    <w:p w14:paraId="658C7181"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Летчики: Петров, Долгов</w:t>
      </w:r>
    </w:p>
    <w:p w14:paraId="57EB4644"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Цель испытаний:</w:t>
      </w:r>
    </w:p>
    <w:p w14:paraId="77F387D3" w14:textId="77777777" w:rsidR="008E7A66" w:rsidRPr="00C33834" w:rsidRDefault="008E7A66" w:rsidP="00C33834">
      <w:pPr>
        <w:numPr>
          <w:ilvl w:val="0"/>
          <w:numId w:val="15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Выявить возможность использования самолета № 3115 в качестве образца (эталона) для серийной постройки.</w:t>
      </w:r>
    </w:p>
    <w:p w14:paraId="54AEA3C9" w14:textId="77777777" w:rsidR="008E7A66" w:rsidRPr="00C33834" w:rsidRDefault="008E7A66" w:rsidP="00C33834">
      <w:pPr>
        <w:numPr>
          <w:ilvl w:val="0"/>
          <w:numId w:val="15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Определить летные данные вооруженного самолета У2-М11.</w:t>
      </w:r>
    </w:p>
    <w:p w14:paraId="4ACE32DB"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6381D76B" w14:textId="77777777" w:rsidR="008E7A66" w:rsidRPr="00C33834" w:rsidRDefault="008E7A66" w:rsidP="00C33834">
      <w:pPr>
        <w:numPr>
          <w:ilvl w:val="0"/>
          <w:numId w:val="15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 3115 после устранения дефектов может быть использован в качестве эталона вооруженного варианта У2 для вооружения самолетов У2 силами авиачастей.</w:t>
      </w:r>
    </w:p>
    <w:p w14:paraId="0732183D"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серийной постройки, ввиду наличия в турельной установке ряда дефектов (малая сфера обстрела, недостаточная устойчивость) требующих проектирования совершенно новой установки – представленный самолет эталоном служить не может.</w:t>
      </w:r>
    </w:p>
    <w:p w14:paraId="27D89302"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Летные испытания – 6 дней (6645).</w:t>
      </w:r>
    </w:p>
    <w:p w14:paraId="3A8C8C11"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p>
    <w:p w14:paraId="3CE647E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апреля 1933 Р.П. Эйдеман в письме М.Н. Тухачевскому ставит вопрос о передаче ГИРД в военное ведомство (см.: 10 апреля (1) 1933 г.). Дает оценку работам ГИРД: организована экспериментальная база (мастерские), КБ в составе 40 инженерно-технических работников, построен и испытывается ряд объектов совершенно оригинальных конструкций. На курсах ГИРД в общественном порядке обучаются до 100 человек — инженеров и рабочих. В тот же день письмо такого же содержания было направлено К.Е. Ворошилову (Там же, № 242, л. 9) (10676).</w:t>
      </w:r>
    </w:p>
    <w:p w14:paraId="69627AE8"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02120362"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081865B3"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2B02461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апреля 1933-го было принято постановление ЦК ВКП(б) «Об организации трудовых поселений ОГПУ», оформленное постановлением СНК СССР № 775/146с от 20 апреля. Эти документы предписывали следующее:</w:t>
      </w:r>
    </w:p>
    <w:p w14:paraId="1148BF50"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Возложить на ОГПУ организацию трудовых поселений по типу существующих спецпоселков для размещения в них и хозяйственного освоения вновь переселяемых контингентов.</w:t>
      </w:r>
    </w:p>
    <w:p w14:paraId="2EE0232A"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Реорганизовать Главное управление лагерей ОГПУ в Главное управление лагерей и трудовых поселений ОГПУ, увеличив штаты в центре и на местах по согласованию с РКИ. Одновременно реорганизовать аппараты по спецпереселенцам в Сибири и Казахстане, предложив ОГПУ в 2-декадный срок представить структуру организации трудовых поселений в этих областях и в местах расселения.</w:t>
      </w:r>
    </w:p>
    <w:p w14:paraId="67B1BBD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Начальником главного управления лагерей и трудовых поселений ОГПУ назначить тов. Бермана М., а его заместителями: по лагерям - тов. Рапопорта и по трудпоселениям - тов. Фирина.</w:t>
      </w:r>
    </w:p>
    <w:p w14:paraId="2880046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создаваемые трудпоселения должны быть направлены следующие контингенты:</w:t>
      </w:r>
    </w:p>
    <w:p w14:paraId="5236BF8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выселяемые из районов сплошной коллективизации - кулаки;</w:t>
      </w:r>
    </w:p>
    <w:p w14:paraId="195EC0D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выселяемые за срыв и саботаж хлебозаготовительных и др. кампаний;</w:t>
      </w:r>
    </w:p>
    <w:p w14:paraId="6319ACC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городской элемент, отказывающийся в связи с паспортизацией выезжать из Москвы и Ленинграда;</w:t>
      </w:r>
    </w:p>
    <w:p w14:paraId="6B0768D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бежавшие из деревень кулаки, снимаемые с промышленного производства;</w:t>
      </w:r>
    </w:p>
    <w:p w14:paraId="164D488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выселяемые в порядке очистки государственных границ (Запад и Украина);</w:t>
      </w:r>
    </w:p>
    <w:p w14:paraId="2DE385C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 осужденные органами ОГПУ и судами на срок от 3-х до 5-ти лет включительно, кроме особо-социально опасных из них.</w:t>
      </w:r>
    </w:p>
    <w:p w14:paraId="0C8F37D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Трудовое использование выселяемых контингентов осуществляется непосредственно Главным управлением лагерей и трудовых поселений ОГПУ путем организации в местах расселения сельского хозяйства, рыболовства, кустарных промыслов и других видов хозяйственной деятельности.</w:t>
      </w:r>
    </w:p>
    <w:p w14:paraId="6D5E478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Возложить на ОГПУ организацию жилищного, культурно-бытового и санитарно-медицинского строительства в трудовых поселениях и обеспечения всеми видами снабжения (продовольствие, промтовары, сельхозоборудование, инвентарь и пр.). Поселки создавать в пределах от 300 до 500 семейств каждый.</w:t>
      </w:r>
    </w:p>
    <w:p w14:paraId="54EB4C74"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Обязать наркоматы и хозорганы, обслуживающие спецпереселенцев старого расселения, занимающихся сельским хозяйством и рыболовством (Нарым и Северный Казахстан), не позднее 1 мая по балансу передать ОГПУ все денежные и натуральные средства, полученные, как в бюджетном порядке, так и по банковскому кредиту. Весь аппарат этих наркоматов и хозорганов, занятый обслуживанием спецпереселенцев, также передать ОГПУ.</w:t>
      </w:r>
    </w:p>
    <w:p w14:paraId="61E0D761"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Контингент вновь переселяемых приравнять во всех отношениях к спецпереселенцам, расселенным в 1930-1931 гг....</w:t>
      </w:r>
    </w:p>
    <w:p w14:paraId="09B38AE5"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 Разрешить ОГПУ из числа осуждаемых судами и ОГПУ на срок от 3 до 5 лет включительно, кроме особо-социально опасных элементов, направлять не в лагеря ОГПУ, а в трудовые поселения с последующей доставкой туда и их семей» (7560).</w:t>
      </w:r>
    </w:p>
    <w:p w14:paraId="47E420D3"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15CC09E2" w14:textId="77777777" w:rsidR="00D33C8E"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FA3E4AA" w14:textId="77777777" w:rsidR="00D33C8E" w:rsidRPr="00C33834" w:rsidRDefault="00D33C8E" w:rsidP="00C33834">
      <w:pPr>
        <w:spacing w:after="0" w:line="240" w:lineRule="auto"/>
        <w:jc w:val="both"/>
        <w:rPr>
          <w:rFonts w:ascii="Times New Roman" w:hAnsi="Times New Roman"/>
          <w:iCs/>
          <w:color w:val="000000" w:themeColor="text1"/>
          <w:sz w:val="16"/>
          <w:szCs w:val="16"/>
        </w:rPr>
      </w:pPr>
    </w:p>
    <w:p w14:paraId="5D88251F" w14:textId="77777777" w:rsidR="00D33C8E" w:rsidRPr="00C33834" w:rsidRDefault="00D33C8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апреля в 1933 году начались поставки американских серийных транспортных самолётов «T-32» «Condor II». Серийное производство было налажено на заводе в Сент-Луисе. Всего был изготовлен 21 самолёт модификации «T-32» (15102).</w:t>
      </w:r>
    </w:p>
    <w:p w14:paraId="4B050E85" w14:textId="77777777" w:rsidR="00D33C8E" w:rsidRPr="00C33834" w:rsidRDefault="00D33C8E" w:rsidP="00C33834">
      <w:pPr>
        <w:spacing w:after="0" w:line="240" w:lineRule="auto"/>
        <w:jc w:val="both"/>
        <w:rPr>
          <w:rFonts w:ascii="Times New Roman" w:hAnsi="Times New Roman"/>
          <w:color w:val="000000" w:themeColor="text1"/>
          <w:sz w:val="16"/>
          <w:szCs w:val="16"/>
        </w:rPr>
      </w:pPr>
    </w:p>
    <w:p w14:paraId="4142F66C" w14:textId="77777777" w:rsidR="0010273D" w:rsidRPr="00C33834" w:rsidRDefault="0010273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17 апреля 1933 в муниципальном аэропорту Окленда в Окленде, штат Калифорния, Джордж и Уильям Беслер впервые представляют публике свой авиационный паровой двигатель: Уильям пилотирует самолет с паровым двигателем Travel Air 2000 в рамках публичной демонстрации, состоящей из трех полетов общей продолжительностью полета. вместе взятые 15 минут в воздухе, пересекая залив Сан-Франциско, прежде чем вернуться в аэропорт. Двигатель практически бесшумный, что позволяет Уильяму окликать толпу, проходя над ней на высоте 200 футов (61 метр). Он разгоняется до 100 миль в час (161 км / час) и демонстрирует мощность торможения двигателя, переворачивая винт при посадке и останавливаясь всего на 100 футов (30,5 метров). Несмотря на успех двигателя и предположений авиационных репортеров о том, что паровые двигатели могут экономично приводить в действие самолеты будущего, Беслеры больше не совершают публичных полетов и не развивают двигатель (20802).</w:t>
      </w:r>
    </w:p>
    <w:p w14:paraId="40F45EE8" w14:textId="77777777" w:rsidR="0010273D" w:rsidRPr="00C33834" w:rsidRDefault="0010273D" w:rsidP="00C33834">
      <w:pPr>
        <w:spacing w:after="0" w:line="240" w:lineRule="auto"/>
        <w:jc w:val="both"/>
        <w:rPr>
          <w:rFonts w:ascii="Times New Roman" w:hAnsi="Times New Roman"/>
          <w:color w:val="0070C0"/>
          <w:sz w:val="16"/>
          <w:szCs w:val="16"/>
        </w:rPr>
      </w:pPr>
    </w:p>
    <w:p w14:paraId="1C0AF29D"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B0A32E5"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014F6E6F"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 по 21 апреля 1933 проходили испытания самолета ТБ3 4М17 с тормозными колесами по устранении дефектов согласно заключения по испытаниям 7 марта 1933 года (6638).</w:t>
      </w:r>
    </w:p>
    <w:p w14:paraId="5F4C59E3"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0F2130D6"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самолета ТБ3 4М17 с тормозными колесами по устранении дефектов гидравлического управления тормозами и установки тормозных колес согласно заключения по испытаниям от 7 марта 1933 года.</w:t>
      </w:r>
    </w:p>
    <w:p w14:paraId="075B38BE"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519C90F0"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Гидравлическое управление тормозами колес самолета ТБ3 4М17 размерами 1350х300 мм утверждается (6638).</w:t>
      </w:r>
    </w:p>
    <w:p w14:paraId="7E711EB3"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p>
    <w:p w14:paraId="54B3BF3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апреля 1933 г. в связи с реорганизацией Комсеверпути самолет ДВ СССР-Н2 перерегистрировали с тем же опознавательным знаком, но на другого владельца - ГУСМП. С начала навигации СССР-Н2 поддерживал регулярную почтово- пассажирскую связь с Игаркой, Дудинкой, Норильском и доставлял пушнину из самых отдаленных факторий (вплоть до Гальчихи) в Красноярск. Затем экипаж Алексеева перебросил изыскательскую партию Иголкина на Пясин- ское озеро и в верховье реки Пясины, грузы из Дудинки в Норильск, экстренным рейсом перевезли 1,5 тонны антицинготных продуктов в Игарку (11970).</w:t>
      </w:r>
    </w:p>
    <w:p w14:paraId="0EBBD3D6"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56BA8252"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апреля 1933 года главный инженер-механик ВВС Аузан писал письмо № с/с 0384 начальнику ВВС Алкснису.</w:t>
      </w:r>
    </w:p>
    <w:p w14:paraId="4C266BDD"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сверхвысотных самолетах ЦАГИ и БНК.</w:t>
      </w:r>
    </w:p>
    <w:p w14:paraId="7904E296" w14:textId="77777777" w:rsidR="008E7A66" w:rsidRPr="00C33834" w:rsidRDefault="008E7A66" w:rsidP="00C33834">
      <w:pPr>
        <w:numPr>
          <w:ilvl w:val="0"/>
          <w:numId w:val="15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плану опытного строительства, утвержденному СТО 4 июля 1932 года должен быть построен один свервысотный самолет. Во исполнение этого постановления ЦАГИ, а теперь завод № 39 проектирует свой сверхвысотный самолет.</w:t>
      </w:r>
    </w:p>
    <w:p w14:paraId="4B758482"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БНК планом не предусмотрен.</w:t>
      </w:r>
    </w:p>
    <w:p w14:paraId="76695E58" w14:textId="77777777" w:rsidR="008E7A66" w:rsidRPr="00C33834" w:rsidRDefault="008E7A66" w:rsidP="00C33834">
      <w:pPr>
        <w:numPr>
          <w:ilvl w:val="0"/>
          <w:numId w:val="15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Оба самолета должны дать приблизительно одинаковые летные данные. Коренная разница между ними винтомоторная группа. В то время как самолет завода № 39 запроектирован под мотор М34 с обычным нагнетателем, самолет БНК запроектирован под М34 с комбинацией нагнетателя и турбокомпрессора от выхлопных газов. По этой причине самолет БНК на сегодня не является реальным.</w:t>
      </w:r>
    </w:p>
    <w:p w14:paraId="43553E1F" w14:textId="77777777" w:rsidR="008E7A66" w:rsidRPr="00C33834" w:rsidRDefault="008E7A66" w:rsidP="00C33834">
      <w:pPr>
        <w:numPr>
          <w:ilvl w:val="0"/>
          <w:numId w:val="15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Считаю целесообразным ограничиться постройкой одного сверхвысотного самолета ЦКБ завода № 39.</w:t>
      </w:r>
    </w:p>
    <w:p w14:paraId="383CF152"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Проблему нагнетателя-компрессора поставить перед ЦИАМом или другой организацией в порядке очередности (6779, 36).</w:t>
      </w:r>
    </w:p>
    <w:p w14:paraId="1502AA43"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p>
    <w:p w14:paraId="26F03AC6" w14:textId="77777777" w:rsidR="0010273D" w:rsidRPr="00C33834" w:rsidRDefault="0010273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19 апреля 1933 опросом членов ПБ</w:t>
      </w:r>
    </w:p>
    <w:p w14:paraId="690B92D2" w14:textId="77777777" w:rsidR="0010273D" w:rsidRPr="00C33834" w:rsidRDefault="0010273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93/69 . - Предложение т . Баранова.</w:t>
      </w:r>
    </w:p>
    <w:p w14:paraId="7C0C7AC5" w14:textId="77777777" w:rsidR="0010273D" w:rsidRPr="00C33834" w:rsidRDefault="0010273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а) Договор с фирмой Кертис Райт утвердить.</w:t>
      </w:r>
    </w:p>
    <w:p w14:paraId="05CEDAC5" w14:textId="77777777" w:rsidR="0010273D" w:rsidRPr="00C33834" w:rsidRDefault="0010273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Замечания к договору т.т. Межлаука, Баранова и Макаровского учесть при реализации договора, а по §§ 3 и 10 договора сообщить -фирме наше толко</w:t>
      </w:r>
      <w:r w:rsidRPr="00C33834">
        <w:rPr>
          <w:rFonts w:ascii="Times New Roman" w:hAnsi="Times New Roman"/>
          <w:color w:val="0070C0"/>
          <w:sz w:val="16"/>
          <w:szCs w:val="16"/>
        </w:rPr>
        <w:softHyphen/>
        <w:t>вание при Извещении об утверждении договора.</w:t>
      </w:r>
    </w:p>
    <w:p w14:paraId="6BAB6D23" w14:textId="77777777" w:rsidR="0010273D" w:rsidRPr="00C33834" w:rsidRDefault="0010273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Реализовать техпомощь по мотору Райт - "Циклон" на 19 заводе в Перми.</w:t>
      </w:r>
    </w:p>
    <w:p w14:paraId="2A86D30C" w14:textId="77777777" w:rsidR="0010273D" w:rsidRPr="00C33834" w:rsidRDefault="0010273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 мотору "Канкерер" 1800 на 26 заводе в Рыбинске.</w:t>
      </w:r>
    </w:p>
    <w:p w14:paraId="115B4C9A" w14:textId="77777777" w:rsidR="0010273D" w:rsidRPr="00C33834" w:rsidRDefault="0010273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посланы:-т.т. Базилевичу, Баранову, Побережскому, Орджоникидзе, Ворошилову.</w:t>
      </w:r>
    </w:p>
    <w:p w14:paraId="7696703B" w14:textId="77777777" w:rsidR="0010273D" w:rsidRPr="00C33834" w:rsidRDefault="0010273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22 апреля 1933 состоялось заседание ПБ и был оформлен протокол № 136 (22986).</w:t>
      </w:r>
    </w:p>
    <w:p w14:paraId="045C81CC" w14:textId="77777777" w:rsidR="0010273D" w:rsidRPr="00C33834" w:rsidRDefault="0010273D" w:rsidP="00C33834">
      <w:pPr>
        <w:spacing w:after="0" w:line="240" w:lineRule="auto"/>
        <w:jc w:val="both"/>
        <w:rPr>
          <w:rFonts w:ascii="Times New Roman" w:hAnsi="Times New Roman"/>
          <w:color w:val="0070C0"/>
          <w:sz w:val="16"/>
          <w:szCs w:val="16"/>
        </w:rPr>
      </w:pPr>
    </w:p>
    <w:p w14:paraId="224A8D28" w14:textId="77777777" w:rsidR="00AA59B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115EF94" w14:textId="77777777" w:rsidR="00AA59BC" w:rsidRPr="00C33834" w:rsidRDefault="00AA59BC" w:rsidP="00C33834">
      <w:pPr>
        <w:spacing w:after="0" w:line="240" w:lineRule="auto"/>
        <w:jc w:val="both"/>
        <w:rPr>
          <w:rFonts w:ascii="Times New Roman" w:hAnsi="Times New Roman"/>
          <w:iCs/>
          <w:color w:val="000000" w:themeColor="text1"/>
          <w:sz w:val="16"/>
          <w:szCs w:val="16"/>
        </w:rPr>
      </w:pPr>
    </w:p>
    <w:p w14:paraId="6194D582" w14:textId="77777777" w:rsidR="00AA59BC" w:rsidRPr="00C33834" w:rsidRDefault="00AA59BC" w:rsidP="00C33834">
      <w:pPr>
        <w:pStyle w:val="rtejustify"/>
        <w:spacing w:before="0" w:after="0"/>
        <w:rPr>
          <w:color w:val="000000" w:themeColor="text1"/>
          <w:sz w:val="16"/>
          <w:szCs w:val="16"/>
        </w:rPr>
      </w:pPr>
      <w:r w:rsidRPr="00C33834">
        <w:rPr>
          <w:rStyle w:val="af0"/>
          <w:bCs/>
          <w:i w:val="0"/>
          <w:color w:val="000000" w:themeColor="text1"/>
          <w:sz w:val="16"/>
          <w:szCs w:val="16"/>
        </w:rPr>
        <w:t>19 апреля</w:t>
      </w:r>
      <w:r w:rsidRPr="00C33834">
        <w:rPr>
          <w:color w:val="000000" w:themeColor="text1"/>
          <w:sz w:val="16"/>
          <w:szCs w:val="16"/>
        </w:rPr>
        <w:t xml:space="preserve"> 1933 вышел приказ РВСС № 9¹. 1. О строительстве вооруженных сил РККА во II пятилетку. (РГВА. Ф. 4. Оп. 18. Д. 23. Л. 156) (15461).</w:t>
      </w:r>
    </w:p>
    <w:p w14:paraId="25CFC6C7" w14:textId="77777777" w:rsidR="00AA59BC" w:rsidRPr="00C33834" w:rsidRDefault="00AA59BC" w:rsidP="00C33834">
      <w:pPr>
        <w:pStyle w:val="rtejustify"/>
        <w:spacing w:before="0" w:after="0"/>
        <w:rPr>
          <w:color w:val="000000" w:themeColor="text1"/>
          <w:sz w:val="16"/>
          <w:szCs w:val="16"/>
        </w:rPr>
      </w:pPr>
    </w:p>
    <w:p w14:paraId="2F097F02" w14:textId="77777777" w:rsidR="00AA59BC" w:rsidRPr="00C33834" w:rsidRDefault="00AA59BC" w:rsidP="00C33834">
      <w:pPr>
        <w:pStyle w:val="rtejustify"/>
        <w:spacing w:before="0" w:after="0"/>
        <w:rPr>
          <w:color w:val="000000" w:themeColor="text1"/>
          <w:sz w:val="16"/>
          <w:szCs w:val="16"/>
        </w:rPr>
      </w:pPr>
      <w:r w:rsidRPr="00C33834">
        <w:rPr>
          <w:rStyle w:val="af0"/>
          <w:bCs/>
          <w:i w:val="0"/>
          <w:color w:val="000000" w:themeColor="text1"/>
          <w:sz w:val="16"/>
          <w:szCs w:val="16"/>
        </w:rPr>
        <w:t>19 апреля</w:t>
      </w:r>
      <w:r w:rsidRPr="00C33834">
        <w:rPr>
          <w:color w:val="000000" w:themeColor="text1"/>
          <w:sz w:val="16"/>
          <w:szCs w:val="16"/>
        </w:rPr>
        <w:t xml:space="preserve"> 1933 Постановление РВСС «О противотанковой мине Нитца». (РГВА. Ф. 4. Оп. 18. Д. 23. Л. 162</w:t>
      </w:r>
      <w:r w:rsidRPr="00C33834">
        <w:rPr>
          <w:color w:val="000000" w:themeColor="text1"/>
          <w:sz w:val="16"/>
          <w:szCs w:val="16"/>
        </w:rPr>
        <w:noBreakHyphen/>
        <w:t>162 об.) (15461).</w:t>
      </w:r>
    </w:p>
    <w:p w14:paraId="1A5A4AD8" w14:textId="1BE46BD2" w:rsidR="00AA59BC" w:rsidRPr="00C33834" w:rsidRDefault="00AA59BC" w:rsidP="00C33834">
      <w:pPr>
        <w:pStyle w:val="rtejustify"/>
        <w:spacing w:before="0" w:after="0"/>
        <w:rPr>
          <w:rStyle w:val="af0"/>
          <w:bCs/>
          <w:i w:val="0"/>
          <w:color w:val="000000" w:themeColor="text1"/>
          <w:sz w:val="16"/>
          <w:szCs w:val="16"/>
        </w:rPr>
      </w:pPr>
    </w:p>
    <w:p w14:paraId="2509096B" w14:textId="20B81189" w:rsidR="0010273D" w:rsidRPr="00C33834" w:rsidRDefault="0010273D" w:rsidP="00C33834">
      <w:pPr>
        <w:pStyle w:val="rtejustify"/>
        <w:spacing w:before="0" w:after="0"/>
        <w:rPr>
          <w:rStyle w:val="af0"/>
          <w:bCs/>
          <w:iCs w:val="0"/>
          <w:color w:val="000000" w:themeColor="text1"/>
          <w:sz w:val="16"/>
          <w:szCs w:val="16"/>
        </w:rPr>
      </w:pPr>
      <w:r w:rsidRPr="00C33834">
        <w:rPr>
          <w:rStyle w:val="af0"/>
          <w:bCs/>
          <w:iCs w:val="0"/>
          <w:color w:val="000000" w:themeColor="text1"/>
          <w:sz w:val="16"/>
          <w:szCs w:val="16"/>
        </w:rPr>
        <w:t>Армия:</w:t>
      </w:r>
    </w:p>
    <w:p w14:paraId="322942BC" w14:textId="77777777" w:rsidR="0010273D" w:rsidRPr="00C33834" w:rsidRDefault="0010273D" w:rsidP="00C33834">
      <w:pPr>
        <w:pStyle w:val="rtejustify"/>
        <w:spacing w:before="0" w:after="0"/>
        <w:rPr>
          <w:rStyle w:val="af0"/>
          <w:bCs/>
          <w:iCs w:val="0"/>
          <w:color w:val="000000" w:themeColor="text1"/>
          <w:sz w:val="16"/>
          <w:szCs w:val="16"/>
        </w:rPr>
      </w:pPr>
    </w:p>
    <w:p w14:paraId="6AD36E18" w14:textId="77777777" w:rsidR="0010273D" w:rsidRPr="00C33834" w:rsidRDefault="0010273D"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19 апреля 1933 г. скорректированный проект плана на 2-ю пятилетку Штаба РККА был рассмотрен на закрытом заседании высшего военного руководства Подробному разбору подверглись прежде всего предложения по масштабам и структуре вооружений. В сжатые сроки Егорову поручалось "совместно с Начальниками Центральных Управлений и родов войск", "на основе обмена мнении и исправлений, внесенных на заседании, переработать объем плана заказов на 2-ю пятилетку по годам и моб[илизациониую] заявку РККА"; к началу мая эти документы следовало представил, на утверждение председателя РВСС. Вероятно, коррективы ожидались настолько значительными, что начальнику Штаба предписывалось "в месячный срок разработать план строительства РККА на 2-ю пятилетку", как если бы он не был им представлен. В постановлении отмечались однобокость и туманность основных посылок проекта Штаба. При разработке нового плана следовало исходить: "а) из возможного характера будущей войны (операции) с учетом особенностей отдельных театров военных действий; б) вооружения, поступившего в 1-ю пятилетку и подлежащего вводу во 2-ю пятилетку; в) производственных и экономических возможностей народного хозяйства" (Протокол № 9 закрытого заседания РВС СССР от 1904.1933 // РГВА Ф.4. Оп. 18. Д 23. Л. 156). Трудно не узнать в этой директиве выражения взглядов Ворошилова. Неясно, как отнеслись участники совещания к установке на нанесение "сокрушительного удара и поражения" "любой коалиции мировых капиталистических держав" как основополагающему принципу мобилизационного планирования на предстоящие годы. По существу, однако, решение Реввоенсовета ставило проблему с головы на ноги Отправным пунктом планирования предлагалось считать, с одной стороны, потребности вооруженной борьбы и конкретных театрах военных действий, а с другой - способность народного хозяйства выполнить заказы мирного времени и развить мобмощности для производства в военное время.</w:t>
      </w:r>
    </w:p>
    <w:p w14:paraId="4C338ACD" w14:textId="77777777" w:rsidR="0010273D" w:rsidRPr="00C33834" w:rsidRDefault="0010273D"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Эта кардинальная плановая проблема, как свидетельствуют материалы Госплана, к лету 1933 г. оставалась неразрешенной. Сомнительно поэтому, что Штаб РККА в мае смог представить наркомвоенмору новый вариант развития вооруженных сил на пятилетку (следов этого документа, во всяком случае, не обнаружено). В июне, после рассмотрения в РВС СССР, Ворошилов направил председателю Госплана Куйбышеву мобилизационную заявку НКВМ на конец второй пятилетки. В отличие от предложений Егорова конца марта - начала апреля номенклатура мобзаявки была подробно разработана, однако представленные в ней потребности года войны по самолетам, авиабомбам и танкам были сохранены на прежнем уровне. Запрос на производство в военное время орудий был уменьшен 48 до 41,6 тыс., а снарядов - со 170 до 160 млн. Мощности по выпуску пулеметов определялись в 206 тыс., винтовочных патронов - и 14 млрд штук (См.: SAMUELSON L Op. cit. P. 219-220). Другой необходимый для определения мобилизационных планов и организационного строительства РККА документ - план ежегодных военных заказов на оставшийся период пятилетки (1934-1937 г.г.) - Штаб подготовил к середине лета лишь вчерне (Примечательно, что он предусматривал в 1934-1937 гг. сокращение по сравнению с 1933 г. ежегодных заказов НКВМ по основной номенклатуре (самолетам, танкам, пулеметам); заказы на арторудия и боеприпасы к ним, напротив, резко увеличивались (см.: Ibid. Р. 222-224)).</w:t>
      </w:r>
    </w:p>
    <w:p w14:paraId="7060AC84" w14:textId="77777777" w:rsidR="0010273D" w:rsidRPr="00C33834" w:rsidRDefault="0010273D"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Вероятно, к этому времени подоспел мобилизационный план оборонной промышленности ГВМУ Наркомтяжпрома; он, однако, намечал задания лишь на период до начала 1936 г.</w:t>
      </w:r>
    </w:p>
    <w:p w14:paraId="47C7402F" w14:textId="77777777" w:rsidR="0010273D" w:rsidRPr="00C33834" w:rsidRDefault="0010273D" w:rsidP="00C33834">
      <w:pPr>
        <w:spacing w:after="0" w:line="240" w:lineRule="auto"/>
        <w:jc w:val="both"/>
        <w:rPr>
          <w:rFonts w:ascii="Times New Roman" w:hAnsi="Times New Roman"/>
          <w:color w:val="0070C0"/>
          <w:sz w:val="16"/>
          <w:szCs w:val="16"/>
        </w:rPr>
      </w:pPr>
      <w:r w:rsidRPr="00C33834">
        <w:rPr>
          <w:rFonts w:ascii="Times New Roman" w:eastAsia="Times New Roman" w:hAnsi="Times New Roman"/>
          <w:color w:val="0070C0"/>
          <w:sz w:val="16"/>
          <w:szCs w:val="16"/>
          <w:lang w:eastAsia="ru-RU"/>
        </w:rPr>
        <w:t>В июле дело разработки мобилизационного плана перешло в комиссию Орджоникидзе, созданную для подготовки проекта постановления Совета Труда и Обороны СССР о перспективной программе развития военных производств и подачи НКВМ предметов боевого снабжения (22725).</w:t>
      </w:r>
    </w:p>
    <w:p w14:paraId="41F62B35" w14:textId="77777777" w:rsidR="0010273D" w:rsidRPr="00C33834" w:rsidRDefault="0010273D" w:rsidP="00C33834">
      <w:pPr>
        <w:spacing w:after="0" w:line="240" w:lineRule="auto"/>
        <w:jc w:val="both"/>
        <w:rPr>
          <w:rFonts w:ascii="Times New Roman" w:hAnsi="Times New Roman"/>
          <w:color w:val="0070C0"/>
          <w:sz w:val="16"/>
          <w:szCs w:val="16"/>
        </w:rPr>
      </w:pPr>
    </w:p>
    <w:p w14:paraId="14F5EF27" w14:textId="622EC45F" w:rsidR="00185C06" w:rsidRPr="00C33834" w:rsidRDefault="00185C06" w:rsidP="00C33834">
      <w:pPr>
        <w:spacing w:after="0" w:line="240" w:lineRule="auto"/>
        <w:jc w:val="both"/>
        <w:rPr>
          <w:rFonts w:ascii="Times New Roman" w:hAnsi="Times New Roman"/>
          <w:i/>
          <w:color w:val="000000" w:themeColor="text1"/>
          <w:sz w:val="16"/>
          <w:szCs w:val="16"/>
        </w:rPr>
      </w:pPr>
      <w:r w:rsidRPr="00C33834">
        <w:rPr>
          <w:rFonts w:ascii="Times New Roman" w:hAnsi="Times New Roman"/>
          <w:i/>
          <w:color w:val="000000" w:themeColor="text1"/>
          <w:sz w:val="16"/>
          <w:szCs w:val="16"/>
        </w:rPr>
        <w:t>Жизнь и внутре</w:t>
      </w:r>
      <w:r w:rsidR="00B15BD2" w:rsidRPr="00C33834">
        <w:rPr>
          <w:rFonts w:ascii="Times New Roman" w:hAnsi="Times New Roman"/>
          <w:i/>
          <w:color w:val="000000" w:themeColor="text1"/>
          <w:sz w:val="16"/>
          <w:szCs w:val="16"/>
        </w:rPr>
        <w:t>н</w:t>
      </w:r>
      <w:r w:rsidRPr="00C33834">
        <w:rPr>
          <w:rFonts w:ascii="Times New Roman" w:hAnsi="Times New Roman"/>
          <w:i/>
          <w:color w:val="000000" w:themeColor="text1"/>
          <w:sz w:val="16"/>
          <w:szCs w:val="16"/>
        </w:rPr>
        <w:t>няя политика:</w:t>
      </w:r>
    </w:p>
    <w:p w14:paraId="39E464DD" w14:textId="77777777" w:rsidR="00185C06" w:rsidRPr="00C33834" w:rsidRDefault="00185C06" w:rsidP="00C33834">
      <w:pPr>
        <w:spacing w:after="0" w:line="240" w:lineRule="auto"/>
        <w:jc w:val="both"/>
        <w:rPr>
          <w:rFonts w:ascii="Times New Roman" w:hAnsi="Times New Roman"/>
          <w:iCs/>
          <w:color w:val="000000" w:themeColor="text1"/>
          <w:sz w:val="16"/>
          <w:szCs w:val="16"/>
        </w:rPr>
      </w:pPr>
    </w:p>
    <w:p w14:paraId="09FE46E2" w14:textId="77777777" w:rsidR="00185C06" w:rsidRPr="00C33834" w:rsidRDefault="00185C0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апреля 1933 был завершен процесс о вредительстве на электростанциях (12629).</w:t>
      </w:r>
    </w:p>
    <w:p w14:paraId="7AF20259" w14:textId="77777777" w:rsidR="00185C06" w:rsidRPr="00C33834" w:rsidRDefault="00185C06" w:rsidP="00C33834">
      <w:pPr>
        <w:spacing w:after="0" w:line="240" w:lineRule="auto"/>
        <w:jc w:val="both"/>
        <w:rPr>
          <w:rFonts w:ascii="Times New Roman" w:hAnsi="Times New Roman"/>
          <w:iCs/>
          <w:color w:val="000000" w:themeColor="text1"/>
          <w:sz w:val="16"/>
          <w:szCs w:val="16"/>
        </w:rPr>
      </w:pPr>
    </w:p>
    <w:p w14:paraId="3150FDA7" w14:textId="77777777" w:rsidR="00C65CDA"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0B1FCA1C" w14:textId="77777777" w:rsidR="00C65CDA" w:rsidRPr="00C33834" w:rsidRDefault="00C65CDA" w:rsidP="00C33834">
      <w:pPr>
        <w:spacing w:after="0" w:line="240" w:lineRule="auto"/>
        <w:jc w:val="both"/>
        <w:rPr>
          <w:rFonts w:ascii="Times New Roman" w:hAnsi="Times New Roman"/>
          <w:iCs/>
          <w:color w:val="000000" w:themeColor="text1"/>
          <w:sz w:val="16"/>
          <w:szCs w:val="16"/>
          <w:u w:val="single"/>
        </w:rPr>
      </w:pPr>
    </w:p>
    <w:p w14:paraId="5D9950DD" w14:textId="77777777" w:rsidR="00C65CDA" w:rsidRPr="00C33834" w:rsidRDefault="00C65C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апреля 1933 в Лондоне вышел Королевский указ о запрещении ввоза в Великобританию товаров из СССР (10687).</w:t>
      </w:r>
    </w:p>
    <w:p w14:paraId="5DC00D11" w14:textId="77777777" w:rsidR="00C65CDA" w:rsidRPr="00C33834" w:rsidRDefault="00C65CDA" w:rsidP="00C33834">
      <w:pPr>
        <w:spacing w:after="0" w:line="240" w:lineRule="auto"/>
        <w:jc w:val="both"/>
        <w:rPr>
          <w:rFonts w:ascii="Times New Roman" w:hAnsi="Times New Roman"/>
          <w:color w:val="000000" w:themeColor="text1"/>
          <w:sz w:val="16"/>
          <w:szCs w:val="16"/>
        </w:rPr>
      </w:pPr>
    </w:p>
    <w:p w14:paraId="2BC23CC3" w14:textId="77777777" w:rsidR="00C65CDA" w:rsidRPr="00C33834" w:rsidRDefault="00C65CDA"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19 апреля 1933 г., согласно</w:t>
      </w:r>
      <w:r w:rsidRPr="00C33834">
        <w:rPr>
          <w:rFonts w:ascii="Times New Roman" w:eastAsia="Times New Roman" w:hAnsi="Times New Roman"/>
          <w:bCs/>
          <w:iCs/>
          <w:color w:val="000000" w:themeColor="text1"/>
          <w:sz w:val="16"/>
          <w:szCs w:val="16"/>
          <w:lang w:eastAsia="ru-RU"/>
        </w:rPr>
        <w:t xml:space="preserve"> газете «Правда» от 20 апреля 1933 г., </w:t>
      </w:r>
      <w:r w:rsidRPr="00C33834">
        <w:rPr>
          <w:rFonts w:ascii="Times New Roman" w:eastAsia="Times New Roman" w:hAnsi="Times New Roman"/>
          <w:color w:val="000000" w:themeColor="text1"/>
          <w:sz w:val="16"/>
          <w:szCs w:val="16"/>
          <w:lang w:eastAsia="ru-RU"/>
        </w:rPr>
        <w:t>Английское правительство наложило эмбарго на ввоз основных советских экспортных товаров в Англию (17325).</w:t>
      </w:r>
    </w:p>
    <w:p w14:paraId="55A1DAC8" w14:textId="77777777" w:rsidR="00C65CDA" w:rsidRPr="00C33834" w:rsidRDefault="00C65CDA" w:rsidP="00C33834">
      <w:pPr>
        <w:spacing w:after="0" w:line="240" w:lineRule="auto"/>
        <w:jc w:val="both"/>
        <w:rPr>
          <w:rFonts w:ascii="Times New Roman" w:hAnsi="Times New Roman"/>
          <w:iCs/>
          <w:color w:val="000000" w:themeColor="text1"/>
          <w:sz w:val="16"/>
          <w:szCs w:val="16"/>
          <w:u w:val="single"/>
        </w:rPr>
      </w:pPr>
    </w:p>
    <w:p w14:paraId="3D53119C"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6D7572D"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7E383A74" w14:textId="77777777" w:rsidR="00AA59BC" w:rsidRPr="00C33834" w:rsidRDefault="00AA59B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апреля в 1933 году экипаж высотного аэрофотосъемочного самолета «PV.6» "Уопити" вернулся с несколькими отснятыми пленками самой высокой горы мира - Джомолунгмы (Эвереста). В паре с «PV.6» работал другой опытный вариант "Уопити" – «PV.3», создававшийся первоначально как палубный торпедоносец. Впоследствии, как уже писалось, «PV.6» переделали в "Уоллэс II". Его списали после аварии в декабре 1935 года (15104).</w:t>
      </w:r>
    </w:p>
    <w:p w14:paraId="4E275D90" w14:textId="77777777" w:rsidR="00AA59BC" w:rsidRPr="00C33834" w:rsidRDefault="00AA59BC" w:rsidP="00C33834">
      <w:pPr>
        <w:spacing w:after="0" w:line="240" w:lineRule="auto"/>
        <w:jc w:val="both"/>
        <w:rPr>
          <w:rFonts w:ascii="Times New Roman" w:hAnsi="Times New Roman"/>
          <w:color w:val="000000" w:themeColor="text1"/>
          <w:sz w:val="16"/>
          <w:szCs w:val="16"/>
        </w:rPr>
      </w:pPr>
    </w:p>
    <w:p w14:paraId="373060E8" w14:textId="77777777" w:rsidR="00B15BD2" w:rsidRPr="00C33834" w:rsidRDefault="00B15BD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xml:space="preserve">19 апреля 1933 ВМС США совершают первый массовый перелет на гидросамолете с острова Оаху на французский фрегат-Шолс, протяженностью 759 миль. Самолет возвращается через Gardner Pinnacles, преодолев путь туда и обратно за 8 часов 10 минут (20802). </w:t>
      </w:r>
    </w:p>
    <w:p w14:paraId="56026970" w14:textId="77777777" w:rsidR="00B15BD2" w:rsidRPr="00C33834" w:rsidRDefault="00B15BD2" w:rsidP="00C33834">
      <w:pPr>
        <w:spacing w:after="0" w:line="240" w:lineRule="auto"/>
        <w:jc w:val="both"/>
        <w:rPr>
          <w:rFonts w:ascii="Times New Roman" w:hAnsi="Times New Roman"/>
          <w:color w:val="0070C0"/>
          <w:sz w:val="16"/>
          <w:szCs w:val="16"/>
        </w:rPr>
      </w:pPr>
    </w:p>
    <w:p w14:paraId="573D4D08" w14:textId="77777777" w:rsidR="00AA59BC" w:rsidRPr="00C33834" w:rsidRDefault="00AA59B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апреля в 1933 году отмена золотого стандарта в США (15104).</w:t>
      </w:r>
    </w:p>
    <w:p w14:paraId="65C0FF13" w14:textId="77777777" w:rsidR="00AA59BC" w:rsidRPr="00C33834" w:rsidRDefault="00AA59BC" w:rsidP="00C33834">
      <w:pPr>
        <w:spacing w:after="0" w:line="240" w:lineRule="auto"/>
        <w:jc w:val="both"/>
        <w:rPr>
          <w:rFonts w:ascii="Times New Roman" w:hAnsi="Times New Roman"/>
          <w:color w:val="000000" w:themeColor="text1"/>
          <w:sz w:val="16"/>
          <w:szCs w:val="16"/>
        </w:rPr>
      </w:pPr>
    </w:p>
    <w:p w14:paraId="38066D92" w14:textId="77777777" w:rsidR="00C65CDA" w:rsidRPr="00C33834" w:rsidRDefault="00C65CDA"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19 апреля 1933 г. в США объявлено о прекращении экспорта золота. Правительство Рузвельта боролось с великой депрессией. Поскольку происходили большие утечки золота за границу, 5 апреля 1933 г. было издано правительственное распоряжение, которое предписывало гражданам </w:t>
      </w:r>
      <w:r w:rsidRPr="00C33834">
        <w:rPr>
          <w:rFonts w:ascii="Times New Roman" w:eastAsia="Times New Roman" w:hAnsi="Times New Roman"/>
          <w:bCs/>
          <w:iCs/>
          <w:color w:val="000000" w:themeColor="text1"/>
          <w:sz w:val="16"/>
          <w:szCs w:val="16"/>
          <w:lang w:eastAsia="ru-RU"/>
        </w:rPr>
        <w:t>сдать все золото в федеральные резервные банки</w:t>
      </w:r>
      <w:r w:rsidRPr="00C33834">
        <w:rPr>
          <w:rFonts w:ascii="Times New Roman" w:eastAsia="Times New Roman" w:hAnsi="Times New Roman"/>
          <w:color w:val="000000" w:themeColor="text1"/>
          <w:sz w:val="16"/>
          <w:szCs w:val="16"/>
          <w:lang w:eastAsia="ru-RU"/>
        </w:rPr>
        <w:t>. Оставлять у себя золото можно было на сумму не свыше 100 долларов. За сокрытие «излишков» сажали в тюрьму. 19 апреля 1933 г. было объявлено о прекращении экспорта золота за границу. Это было отходом от золотого стандарта. Этот день можно считать началом крупных изменений во всей мировой экономике, тесно связанной с американской валютой (17325).</w:t>
      </w:r>
    </w:p>
    <w:p w14:paraId="69A64291" w14:textId="77777777" w:rsidR="00C65CDA" w:rsidRPr="00C33834" w:rsidRDefault="00C65CDA" w:rsidP="00C33834">
      <w:pPr>
        <w:spacing w:after="0" w:line="240" w:lineRule="auto"/>
        <w:jc w:val="both"/>
        <w:rPr>
          <w:rFonts w:ascii="Times New Roman" w:hAnsi="Times New Roman"/>
          <w:color w:val="000000" w:themeColor="text1"/>
          <w:sz w:val="16"/>
          <w:szCs w:val="16"/>
        </w:rPr>
      </w:pPr>
    </w:p>
    <w:p w14:paraId="2A54AE49"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DAEF8CB"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0C8B482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апреля 1933 года начальник ПТЭС Зильберквит писал письмо N 149/124.</w:t>
      </w:r>
    </w:p>
    <w:p w14:paraId="565BFA26"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Скорректированная программа по сдаче самолетов на 1933 год с учетом фактической сдачи за 1-й квартал.</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tblGrid>
      <w:tr w:rsidR="00F26F01" w:rsidRPr="00C33834" w14:paraId="47035E98" w14:textId="77777777">
        <w:tc>
          <w:tcPr>
            <w:tcW w:w="1409" w:type="dxa"/>
          </w:tcPr>
          <w:p w14:paraId="219878E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 самолета</w:t>
            </w:r>
          </w:p>
        </w:tc>
        <w:tc>
          <w:tcPr>
            <w:tcW w:w="1409" w:type="dxa"/>
          </w:tcPr>
          <w:p w14:paraId="7163A58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кварталам</w:t>
            </w:r>
          </w:p>
        </w:tc>
        <w:tc>
          <w:tcPr>
            <w:tcW w:w="1409" w:type="dxa"/>
          </w:tcPr>
          <w:p w14:paraId="16D274A1"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1409" w:type="dxa"/>
          </w:tcPr>
          <w:p w14:paraId="22D101B5"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1409" w:type="dxa"/>
          </w:tcPr>
          <w:p w14:paraId="473B3F97"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r>
      <w:tr w:rsidR="00F26F01" w:rsidRPr="00C33834" w14:paraId="21BAD07C" w14:textId="77777777">
        <w:tc>
          <w:tcPr>
            <w:tcW w:w="1409" w:type="dxa"/>
          </w:tcPr>
          <w:p w14:paraId="6750C5C8"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1409" w:type="dxa"/>
          </w:tcPr>
          <w:p w14:paraId="20C07E5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409" w:type="dxa"/>
          </w:tcPr>
          <w:p w14:paraId="13BAE28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1409" w:type="dxa"/>
          </w:tcPr>
          <w:p w14:paraId="0390837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1409" w:type="dxa"/>
          </w:tcPr>
          <w:p w14:paraId="5A0F8DA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r>
      <w:tr w:rsidR="00F26F01" w:rsidRPr="00C33834" w14:paraId="1836FF00" w14:textId="77777777">
        <w:tc>
          <w:tcPr>
            <w:tcW w:w="1409" w:type="dxa"/>
          </w:tcPr>
          <w:p w14:paraId="16DCE616"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Р5-М17</w:t>
            </w:r>
          </w:p>
        </w:tc>
        <w:tc>
          <w:tcPr>
            <w:tcW w:w="1409" w:type="dxa"/>
          </w:tcPr>
          <w:p w14:paraId="3373A6F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244</w:t>
            </w:r>
          </w:p>
        </w:tc>
        <w:tc>
          <w:tcPr>
            <w:tcW w:w="1409" w:type="dxa"/>
          </w:tcPr>
          <w:p w14:paraId="76D85A4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w:t>
            </w:r>
          </w:p>
        </w:tc>
        <w:tc>
          <w:tcPr>
            <w:tcW w:w="1409" w:type="dxa"/>
          </w:tcPr>
          <w:p w14:paraId="650CDAE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514</w:t>
            </w:r>
          </w:p>
        </w:tc>
        <w:tc>
          <w:tcPr>
            <w:tcW w:w="1409" w:type="dxa"/>
          </w:tcPr>
          <w:p w14:paraId="393743F6"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542</w:t>
            </w:r>
          </w:p>
        </w:tc>
      </w:tr>
      <w:tr w:rsidR="00F26F01" w:rsidRPr="00C33834" w14:paraId="48D31C11" w14:textId="77777777">
        <w:tc>
          <w:tcPr>
            <w:tcW w:w="1409" w:type="dxa"/>
          </w:tcPr>
          <w:p w14:paraId="10E1532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МР5-М17</w:t>
            </w:r>
          </w:p>
        </w:tc>
        <w:tc>
          <w:tcPr>
            <w:tcW w:w="1409" w:type="dxa"/>
          </w:tcPr>
          <w:p w14:paraId="2F40DDA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9" w:type="dxa"/>
          </w:tcPr>
          <w:p w14:paraId="6685517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9" w:type="dxa"/>
          </w:tcPr>
          <w:p w14:paraId="23937310"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w:t>
            </w:r>
          </w:p>
        </w:tc>
        <w:tc>
          <w:tcPr>
            <w:tcW w:w="1409" w:type="dxa"/>
          </w:tcPr>
          <w:p w14:paraId="6AB1FA10"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r>
      <w:tr w:rsidR="00F26F01" w:rsidRPr="00C33834" w14:paraId="5ACEC706" w14:textId="77777777">
        <w:tc>
          <w:tcPr>
            <w:tcW w:w="1409" w:type="dxa"/>
          </w:tcPr>
          <w:p w14:paraId="65E8935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И7-М17</w:t>
            </w:r>
          </w:p>
        </w:tc>
        <w:tc>
          <w:tcPr>
            <w:tcW w:w="1409" w:type="dxa"/>
          </w:tcPr>
          <w:p w14:paraId="266A32C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w:t>
            </w:r>
          </w:p>
        </w:tc>
        <w:tc>
          <w:tcPr>
            <w:tcW w:w="1409" w:type="dxa"/>
          </w:tcPr>
          <w:p w14:paraId="532B980C"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w:t>
            </w:r>
          </w:p>
        </w:tc>
        <w:tc>
          <w:tcPr>
            <w:tcW w:w="1409" w:type="dxa"/>
          </w:tcPr>
          <w:p w14:paraId="4A74D954"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w:t>
            </w:r>
          </w:p>
        </w:tc>
        <w:tc>
          <w:tcPr>
            <w:tcW w:w="1409" w:type="dxa"/>
          </w:tcPr>
          <w:p w14:paraId="7FC2449A"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w:t>
            </w:r>
          </w:p>
        </w:tc>
      </w:tr>
      <w:tr w:rsidR="00F26F01" w:rsidRPr="00C33834" w14:paraId="1A2A31A4" w14:textId="77777777">
        <w:tc>
          <w:tcPr>
            <w:tcW w:w="1409" w:type="dxa"/>
          </w:tcPr>
          <w:p w14:paraId="49B60D6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4М17</w:t>
            </w:r>
          </w:p>
        </w:tc>
        <w:tc>
          <w:tcPr>
            <w:tcW w:w="1409" w:type="dxa"/>
          </w:tcPr>
          <w:p w14:paraId="682D8C5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9" w:type="dxa"/>
          </w:tcPr>
          <w:p w14:paraId="366E214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9" w:type="dxa"/>
          </w:tcPr>
          <w:p w14:paraId="3A006130"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1409" w:type="dxa"/>
          </w:tcPr>
          <w:p w14:paraId="3B9D3C9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r>
      <w:tr w:rsidR="00F26F01" w:rsidRPr="00C33834" w14:paraId="0C17A43B" w14:textId="77777777">
        <w:tc>
          <w:tcPr>
            <w:tcW w:w="1409" w:type="dxa"/>
          </w:tcPr>
          <w:p w14:paraId="5FBF30A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4М17</w:t>
            </w:r>
          </w:p>
        </w:tc>
        <w:tc>
          <w:tcPr>
            <w:tcW w:w="1409" w:type="dxa"/>
          </w:tcPr>
          <w:p w14:paraId="44BB3D5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w:t>
            </w:r>
          </w:p>
        </w:tc>
        <w:tc>
          <w:tcPr>
            <w:tcW w:w="1409" w:type="dxa"/>
          </w:tcPr>
          <w:p w14:paraId="5E2DA41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tc>
        <w:tc>
          <w:tcPr>
            <w:tcW w:w="1409" w:type="dxa"/>
          </w:tcPr>
          <w:p w14:paraId="17FD3D55"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w:t>
            </w:r>
          </w:p>
        </w:tc>
        <w:tc>
          <w:tcPr>
            <w:tcW w:w="1409" w:type="dxa"/>
          </w:tcPr>
          <w:p w14:paraId="6926AF15"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6A20B701" w14:textId="77777777">
        <w:tc>
          <w:tcPr>
            <w:tcW w:w="1409" w:type="dxa"/>
          </w:tcPr>
          <w:p w14:paraId="0204189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4М34</w:t>
            </w:r>
          </w:p>
        </w:tc>
        <w:tc>
          <w:tcPr>
            <w:tcW w:w="1409" w:type="dxa"/>
          </w:tcPr>
          <w:p w14:paraId="72312D2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9" w:type="dxa"/>
          </w:tcPr>
          <w:p w14:paraId="639F1800"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9" w:type="dxa"/>
          </w:tcPr>
          <w:p w14:paraId="6968A41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c>
          <w:tcPr>
            <w:tcW w:w="1409" w:type="dxa"/>
          </w:tcPr>
          <w:p w14:paraId="6E6D1738"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r>
      <w:tr w:rsidR="00F26F01" w:rsidRPr="00C33834" w14:paraId="318C2E38" w14:textId="77777777">
        <w:tc>
          <w:tcPr>
            <w:tcW w:w="1409" w:type="dxa"/>
          </w:tcPr>
          <w:p w14:paraId="04197E5A"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ТБ4 6М34</w:t>
            </w:r>
          </w:p>
        </w:tc>
        <w:tc>
          <w:tcPr>
            <w:tcW w:w="1409" w:type="dxa"/>
          </w:tcPr>
          <w:p w14:paraId="61110621"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9" w:type="dxa"/>
          </w:tcPr>
          <w:p w14:paraId="65250C1C"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9" w:type="dxa"/>
          </w:tcPr>
          <w:p w14:paraId="594E6C21"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9" w:type="dxa"/>
          </w:tcPr>
          <w:p w14:paraId="309725A6"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r>
      <w:tr w:rsidR="00F26F01" w:rsidRPr="00C33834" w14:paraId="021D1545" w14:textId="77777777">
        <w:tc>
          <w:tcPr>
            <w:tcW w:w="1409" w:type="dxa"/>
          </w:tcPr>
          <w:p w14:paraId="69D5D6C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 2М34</w:t>
            </w:r>
          </w:p>
        </w:tc>
        <w:tc>
          <w:tcPr>
            <w:tcW w:w="1409" w:type="dxa"/>
          </w:tcPr>
          <w:p w14:paraId="4B9EB371"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9" w:type="dxa"/>
          </w:tcPr>
          <w:p w14:paraId="2256D3A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9" w:type="dxa"/>
          </w:tcPr>
          <w:p w14:paraId="7801E908"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1409" w:type="dxa"/>
          </w:tcPr>
          <w:p w14:paraId="7C55C96B"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r>
      <w:tr w:rsidR="00F26F01" w:rsidRPr="00C33834" w14:paraId="54AA5815" w14:textId="77777777">
        <w:tc>
          <w:tcPr>
            <w:tcW w:w="1409" w:type="dxa"/>
          </w:tcPr>
          <w:p w14:paraId="30C5B43C"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К5 М22</w:t>
            </w:r>
          </w:p>
        </w:tc>
        <w:tc>
          <w:tcPr>
            <w:tcW w:w="1409" w:type="dxa"/>
          </w:tcPr>
          <w:p w14:paraId="2BA0362C"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1409" w:type="dxa"/>
          </w:tcPr>
          <w:p w14:paraId="3C4AEE55"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w:t>
            </w:r>
          </w:p>
        </w:tc>
        <w:tc>
          <w:tcPr>
            <w:tcW w:w="1409" w:type="dxa"/>
          </w:tcPr>
          <w:p w14:paraId="21A5FD2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110</w:t>
            </w:r>
          </w:p>
        </w:tc>
        <w:tc>
          <w:tcPr>
            <w:tcW w:w="1409" w:type="dxa"/>
          </w:tcPr>
          <w:p w14:paraId="77ECDB6A"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r>
      <w:tr w:rsidR="00F26F01" w:rsidRPr="00C33834" w14:paraId="631D50D7" w14:textId="77777777">
        <w:tc>
          <w:tcPr>
            <w:tcW w:w="1409" w:type="dxa"/>
          </w:tcPr>
          <w:p w14:paraId="26021118"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У2-М11</w:t>
            </w:r>
          </w:p>
        </w:tc>
        <w:tc>
          <w:tcPr>
            <w:tcW w:w="1409" w:type="dxa"/>
          </w:tcPr>
          <w:p w14:paraId="38569C0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w:t>
            </w:r>
          </w:p>
        </w:tc>
        <w:tc>
          <w:tcPr>
            <w:tcW w:w="1409" w:type="dxa"/>
          </w:tcPr>
          <w:p w14:paraId="6DACE8B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423</w:t>
            </w:r>
          </w:p>
        </w:tc>
        <w:tc>
          <w:tcPr>
            <w:tcW w:w="1409" w:type="dxa"/>
          </w:tcPr>
          <w:p w14:paraId="1D67F64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444</w:t>
            </w:r>
          </w:p>
        </w:tc>
        <w:tc>
          <w:tcPr>
            <w:tcW w:w="1409" w:type="dxa"/>
          </w:tcPr>
          <w:p w14:paraId="38605804"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444</w:t>
            </w:r>
          </w:p>
        </w:tc>
      </w:tr>
      <w:tr w:rsidR="00F26F01" w:rsidRPr="00C33834" w14:paraId="0B397C0D" w14:textId="77777777">
        <w:tc>
          <w:tcPr>
            <w:tcW w:w="1409" w:type="dxa"/>
          </w:tcPr>
          <w:p w14:paraId="76B33B91"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АП-М11</w:t>
            </w:r>
          </w:p>
        </w:tc>
        <w:tc>
          <w:tcPr>
            <w:tcW w:w="1409" w:type="dxa"/>
          </w:tcPr>
          <w:p w14:paraId="5501265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123</w:t>
            </w:r>
          </w:p>
        </w:tc>
        <w:tc>
          <w:tcPr>
            <w:tcW w:w="1409" w:type="dxa"/>
          </w:tcPr>
          <w:p w14:paraId="2829547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9" w:type="dxa"/>
          </w:tcPr>
          <w:p w14:paraId="549B1AAC"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9" w:type="dxa"/>
          </w:tcPr>
          <w:p w14:paraId="5D5B1B7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5708B3D5" w14:textId="77777777">
        <w:tc>
          <w:tcPr>
            <w:tcW w:w="1409" w:type="dxa"/>
          </w:tcPr>
          <w:p w14:paraId="3758ADB4"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 АССО</w:t>
            </w:r>
          </w:p>
        </w:tc>
        <w:tc>
          <w:tcPr>
            <w:tcW w:w="1409" w:type="dxa"/>
          </w:tcPr>
          <w:p w14:paraId="600CA7F5"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w:t>
            </w:r>
          </w:p>
        </w:tc>
        <w:tc>
          <w:tcPr>
            <w:tcW w:w="1409" w:type="dxa"/>
          </w:tcPr>
          <w:p w14:paraId="60944C7A"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1409" w:type="dxa"/>
          </w:tcPr>
          <w:p w14:paraId="3446C26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9" w:type="dxa"/>
          </w:tcPr>
          <w:p w14:paraId="199DD533"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r>
      <w:tr w:rsidR="00F26F01" w:rsidRPr="00C33834" w14:paraId="6D346872" w14:textId="77777777">
        <w:tc>
          <w:tcPr>
            <w:tcW w:w="1409" w:type="dxa"/>
          </w:tcPr>
          <w:p w14:paraId="03E7D5F6"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МБР4-М34</w:t>
            </w:r>
          </w:p>
        </w:tc>
        <w:tc>
          <w:tcPr>
            <w:tcW w:w="1409" w:type="dxa"/>
          </w:tcPr>
          <w:p w14:paraId="7008013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1409" w:type="dxa"/>
          </w:tcPr>
          <w:p w14:paraId="7E2302A0"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w:t>
            </w:r>
          </w:p>
        </w:tc>
        <w:tc>
          <w:tcPr>
            <w:tcW w:w="1409" w:type="dxa"/>
          </w:tcPr>
          <w:p w14:paraId="2028B321"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w:t>
            </w:r>
          </w:p>
        </w:tc>
        <w:tc>
          <w:tcPr>
            <w:tcW w:w="1409" w:type="dxa"/>
          </w:tcPr>
          <w:p w14:paraId="546CCE55"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r>
      <w:tr w:rsidR="00F26F01" w:rsidRPr="00C33834" w14:paraId="28E414A7" w14:textId="77777777">
        <w:tc>
          <w:tcPr>
            <w:tcW w:w="1409" w:type="dxa"/>
          </w:tcPr>
          <w:p w14:paraId="0E97C7E4"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Р6-2М17</w:t>
            </w:r>
          </w:p>
        </w:tc>
        <w:tc>
          <w:tcPr>
            <w:tcW w:w="1409" w:type="dxa"/>
          </w:tcPr>
          <w:p w14:paraId="6FDC2DA6"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9" w:type="dxa"/>
          </w:tcPr>
          <w:p w14:paraId="6CD01F81"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1409" w:type="dxa"/>
          </w:tcPr>
          <w:p w14:paraId="07558EC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w:t>
            </w:r>
          </w:p>
        </w:tc>
        <w:tc>
          <w:tcPr>
            <w:tcW w:w="1409" w:type="dxa"/>
          </w:tcPr>
          <w:p w14:paraId="785325F5"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w:t>
            </w:r>
          </w:p>
        </w:tc>
      </w:tr>
      <w:tr w:rsidR="00F26F01" w:rsidRPr="00C33834" w14:paraId="2D3A1851" w14:textId="77777777">
        <w:tc>
          <w:tcPr>
            <w:tcW w:w="1409" w:type="dxa"/>
          </w:tcPr>
          <w:p w14:paraId="50F90CD4"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АНТ9 2М17</w:t>
            </w:r>
          </w:p>
        </w:tc>
        <w:tc>
          <w:tcPr>
            <w:tcW w:w="1409" w:type="dxa"/>
          </w:tcPr>
          <w:p w14:paraId="7D6E09C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1409" w:type="dxa"/>
          </w:tcPr>
          <w:p w14:paraId="01797B80"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w:t>
            </w:r>
          </w:p>
        </w:tc>
        <w:tc>
          <w:tcPr>
            <w:tcW w:w="1409" w:type="dxa"/>
          </w:tcPr>
          <w:p w14:paraId="2C838224"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c>
          <w:tcPr>
            <w:tcW w:w="1409" w:type="dxa"/>
          </w:tcPr>
          <w:p w14:paraId="4C247219"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r>
      <w:tr w:rsidR="00F26F01" w:rsidRPr="00C33834" w14:paraId="35507EFE" w14:textId="77777777">
        <w:tc>
          <w:tcPr>
            <w:tcW w:w="1409" w:type="dxa"/>
          </w:tcPr>
          <w:p w14:paraId="28C39486"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ЛШ-М11</w:t>
            </w:r>
          </w:p>
        </w:tc>
        <w:tc>
          <w:tcPr>
            <w:tcW w:w="1409" w:type="dxa"/>
          </w:tcPr>
          <w:p w14:paraId="72259BE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409" w:type="dxa"/>
          </w:tcPr>
          <w:p w14:paraId="27DA510C"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154</w:t>
            </w:r>
          </w:p>
        </w:tc>
        <w:tc>
          <w:tcPr>
            <w:tcW w:w="1409" w:type="dxa"/>
          </w:tcPr>
          <w:p w14:paraId="7D63FD51"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w:t>
            </w:r>
          </w:p>
        </w:tc>
        <w:tc>
          <w:tcPr>
            <w:tcW w:w="1409" w:type="dxa"/>
          </w:tcPr>
          <w:p w14:paraId="7FFA02F5"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0F1B2628" w14:textId="77777777">
        <w:tc>
          <w:tcPr>
            <w:tcW w:w="1409" w:type="dxa"/>
          </w:tcPr>
          <w:p w14:paraId="6C24B834"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w:t>
            </w:r>
          </w:p>
        </w:tc>
        <w:tc>
          <w:tcPr>
            <w:tcW w:w="1409" w:type="dxa"/>
          </w:tcPr>
          <w:p w14:paraId="57BB8C3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w:t>
            </w:r>
          </w:p>
        </w:tc>
        <w:tc>
          <w:tcPr>
            <w:tcW w:w="1409" w:type="dxa"/>
          </w:tcPr>
          <w:p w14:paraId="50FFE8FC"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tc>
        <w:tc>
          <w:tcPr>
            <w:tcW w:w="1409" w:type="dxa"/>
          </w:tcPr>
          <w:p w14:paraId="0499E9D0"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c>
          <w:tcPr>
            <w:tcW w:w="1409" w:type="dxa"/>
          </w:tcPr>
          <w:p w14:paraId="1FAB7102"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r>
      <w:tr w:rsidR="00F26F01" w:rsidRPr="00C33834" w14:paraId="7479EFA5" w14:textId="77777777">
        <w:tc>
          <w:tcPr>
            <w:tcW w:w="1409" w:type="dxa"/>
          </w:tcPr>
          <w:p w14:paraId="1F938A80"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К5-М22</w:t>
            </w:r>
          </w:p>
        </w:tc>
        <w:tc>
          <w:tcPr>
            <w:tcW w:w="1409" w:type="dxa"/>
          </w:tcPr>
          <w:p w14:paraId="7A350C4A"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409" w:type="dxa"/>
          </w:tcPr>
          <w:p w14:paraId="6025712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1409" w:type="dxa"/>
          </w:tcPr>
          <w:p w14:paraId="1772281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w:t>
            </w:r>
          </w:p>
        </w:tc>
        <w:tc>
          <w:tcPr>
            <w:tcW w:w="1409" w:type="dxa"/>
          </w:tcPr>
          <w:p w14:paraId="117945D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w:t>
            </w:r>
          </w:p>
        </w:tc>
      </w:tr>
      <w:tr w:rsidR="00F26F01" w:rsidRPr="00C33834" w14:paraId="067A6699" w14:textId="77777777">
        <w:tc>
          <w:tcPr>
            <w:tcW w:w="1409" w:type="dxa"/>
          </w:tcPr>
          <w:p w14:paraId="04EB8E46"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1409" w:type="dxa"/>
          </w:tcPr>
          <w:p w14:paraId="5BBDB45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528</w:t>
            </w:r>
          </w:p>
        </w:tc>
        <w:tc>
          <w:tcPr>
            <w:tcW w:w="1409" w:type="dxa"/>
          </w:tcPr>
          <w:p w14:paraId="17BBA40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1338</w:t>
            </w:r>
          </w:p>
        </w:tc>
        <w:tc>
          <w:tcPr>
            <w:tcW w:w="1409" w:type="dxa"/>
          </w:tcPr>
          <w:p w14:paraId="14906C26"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1487</w:t>
            </w:r>
          </w:p>
        </w:tc>
        <w:tc>
          <w:tcPr>
            <w:tcW w:w="1409" w:type="dxa"/>
          </w:tcPr>
          <w:p w14:paraId="0391ABD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1399 (2286,42)</w:t>
            </w:r>
          </w:p>
        </w:tc>
      </w:tr>
    </w:tbl>
    <w:p w14:paraId="20BEA8FE"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4D65CE9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апреля 1933 состоялись повторные испытания ВРД (см.: 15 апреля 1933 г.) в присутствии Л. Раскина и Г.П. Новикова (Там же, № 94, л. 22) (10676).</w:t>
      </w:r>
    </w:p>
    <w:p w14:paraId="55B39182"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64E1FE78"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апреля 1933 С.П.К. в письме М.Н. Тухачевскому доказывал, что перевод ГИРД в военное ведомство делу не поможет (см.: 10 апреля (1) 1933 г.). Радикальным считал решение о создании РНИИ. Приводил сведения об условиях работы ГИРД, о выполненных работах, об истории вопроса по организации РНИИ (Там же, № 242, л. 14) (10676).</w:t>
      </w:r>
    </w:p>
    <w:p w14:paraId="4CEC1E0E"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1949DE79"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апреля 1933 НАЧАЛЬНИК ЭАО Ц А Г И САБИНИН подготовил записку:</w:t>
      </w:r>
    </w:p>
    <w:p w14:paraId="41E88433"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 ВОПРОСУ О НЕОБХОДИМОСТИ ПОСТРОЙКИ БОЛЬШИХ </w:t>
      </w:r>
      <w:r w:rsidRPr="00C33834">
        <w:rPr>
          <w:rFonts w:ascii="Times New Roman" w:hAnsi="Times New Roman"/>
          <w:smallCaps/>
          <w:color w:val="000000" w:themeColor="text1"/>
          <w:sz w:val="16"/>
          <w:szCs w:val="16"/>
        </w:rPr>
        <w:t>аэродинамических труб.</w:t>
      </w:r>
    </w:p>
    <w:p w14:paraId="102473DE"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Увеличение размеров самолетов и их скоростей ставит пе</w:t>
      </w:r>
      <w:r w:rsidRPr="00C33834">
        <w:rPr>
          <w:rFonts w:ascii="Times New Roman" w:hAnsi="Times New Roman"/>
          <w:color w:val="000000" w:themeColor="text1"/>
          <w:sz w:val="16"/>
          <w:szCs w:val="16"/>
        </w:rPr>
        <w:softHyphen/>
        <w:t>ред экспериментальной аэродинамикой новые вопросы и задачи решить которые на старом оборудовании /аэродинамических тру</w:t>
      </w:r>
      <w:r w:rsidRPr="00C33834">
        <w:rPr>
          <w:rFonts w:ascii="Times New Roman" w:hAnsi="Times New Roman"/>
          <w:color w:val="000000" w:themeColor="text1"/>
          <w:sz w:val="16"/>
          <w:szCs w:val="16"/>
        </w:rPr>
        <w:softHyphen/>
        <w:t>бах/ невозможно. Результаты исследований свойств самолета в аэродинамической трубе в высшей степени зависят от величины модели самолета, чем последняя меньше, тем больше ошибки по</w:t>
      </w:r>
      <w:r w:rsidRPr="00C33834">
        <w:rPr>
          <w:rFonts w:ascii="Times New Roman" w:hAnsi="Times New Roman"/>
          <w:color w:val="000000" w:themeColor="text1"/>
          <w:sz w:val="16"/>
          <w:szCs w:val="16"/>
        </w:rPr>
        <w:softHyphen/>
        <w:t>лучаемые в результате эксперимента.</w:t>
      </w:r>
    </w:p>
    <w:p w14:paraId="617DCF3B"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размах самолетов, строящихся в СССР досиигает 50 и больше метров, испытания их моделей приходите? вести в единственной трубе в СССР, позволяющей испытывать модели с размахом до 1,5 метра /т.е. в масштабе 1/33/. Благо</w:t>
      </w:r>
      <w:r w:rsidRPr="00C33834">
        <w:rPr>
          <w:rFonts w:ascii="Times New Roman" w:hAnsi="Times New Roman"/>
          <w:color w:val="000000" w:themeColor="text1"/>
          <w:sz w:val="16"/>
          <w:szCs w:val="16"/>
        </w:rPr>
        <w:softHyphen/>
        <w:t>даря такому малому масштабу результаты получаются совершенно не соответствующие действительности.</w:t>
      </w:r>
    </w:p>
    <w:p w14:paraId="3284047E"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Многие эксперименты, имеющие крайне важное значение вообще, не могут быть проведены на моделях самолетов, а требует установки в трубе всего самолета в натуру или отдельных, его частей в натуру.</w:t>
      </w:r>
    </w:p>
    <w:p w14:paraId="0DAD2B7F"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Страны, имеющие сильно развитую и технически передовую авиацию за последние годы построили и строят громаднейшие аэродинамические трубы, в которых испытывают в натуру целые самолеты.</w:t>
      </w:r>
    </w:p>
    <w:p w14:paraId="476A52D2"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С.А.С.Ш. - занимающие ведущее место в воздушном флоте мира - имеют и наиболее крупные аэродинамические трубы.</w:t>
      </w:r>
    </w:p>
    <w:p w14:paraId="54F81828"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Винтовая труба с диаметром в 6,1 метра и со скоростью потока в 50 м/с дает возможность исследовать винт с рабо</w:t>
      </w:r>
      <w:r w:rsidRPr="00C33834">
        <w:rPr>
          <w:rFonts w:ascii="Times New Roman" w:hAnsi="Times New Roman"/>
          <w:color w:val="000000" w:themeColor="text1"/>
          <w:sz w:val="16"/>
          <w:szCs w:val="16"/>
        </w:rPr>
        <w:softHyphen/>
        <w:t>тающим мотором.</w:t>
      </w:r>
    </w:p>
    <w:p w14:paraId="4CC39684"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Самолетная труба с размерами 9,3 метра на 18.б метра /эллиптического сечения/ служит для исследования целых са</w:t>
      </w:r>
      <w:r w:rsidRPr="00C33834">
        <w:rPr>
          <w:rFonts w:ascii="Times New Roman" w:hAnsi="Times New Roman"/>
          <w:color w:val="000000" w:themeColor="text1"/>
          <w:sz w:val="16"/>
          <w:szCs w:val="16"/>
        </w:rPr>
        <w:softHyphen/>
        <w:t>молетов с работающим мотором в натуру.</w:t>
      </w:r>
    </w:p>
    <w:p w14:paraId="06721395"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АНГЛИЯ - имея ряд крупных труб, в 1932 году построи</w:t>
      </w:r>
      <w:r w:rsidRPr="00C33834">
        <w:rPr>
          <w:rFonts w:ascii="Times New Roman" w:hAnsi="Times New Roman"/>
          <w:color w:val="000000" w:themeColor="text1"/>
          <w:sz w:val="16"/>
          <w:szCs w:val="16"/>
        </w:rPr>
        <w:softHyphen/>
        <w:t>ла трубу с диаметром в 6,3 метра со скоростью потока свыше 54 м/с.</w:t>
      </w:r>
    </w:p>
    <w:p w14:paraId="6165F57F"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С С Р - имеет одну трубу в ЦАГИ диаметром в 6 метров, со скоростью потока всего 28 м/сек. Эта же труба в другой рабочей части имеет диаметр 3 м с рабочей скорость потока 50 м/сек.</w:t>
      </w:r>
    </w:p>
    <w:p w14:paraId="1F87F616"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того, что 6-ти метровая труба ЦАГИ имеет недостаточные размеры и малую скорость потока, и притом, эта тру</w:t>
      </w:r>
      <w:r w:rsidRPr="00C33834">
        <w:rPr>
          <w:rFonts w:ascii="Times New Roman" w:hAnsi="Times New Roman"/>
          <w:color w:val="000000" w:themeColor="text1"/>
          <w:sz w:val="16"/>
          <w:szCs w:val="16"/>
        </w:rPr>
        <w:softHyphen/>
        <w:t>ба закрытого типа и деревянная, в ней нельзя вести опыты с работающим; мот ором,е натуральными винтами и самолетами.</w:t>
      </w:r>
    </w:p>
    <w:p w14:paraId="3DF86184"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прилагаемой таблицы /приложение № 1/, в которой указаны основные характеристики главнейших аэродинамичес</w:t>
      </w:r>
      <w:r w:rsidRPr="00C33834">
        <w:rPr>
          <w:rFonts w:ascii="Times New Roman" w:hAnsi="Times New Roman"/>
          <w:color w:val="000000" w:themeColor="text1"/>
          <w:sz w:val="16"/>
          <w:szCs w:val="16"/>
        </w:rPr>
        <w:softHyphen/>
        <w:t>ких труб мира, видно, что аэродинамические трубы СССР по своим главным данным /отношение рейнольдсовых чисел модели самолета к натуре, см. прследний столбец/, являются уста</w:t>
      </w:r>
      <w:r w:rsidRPr="00C33834">
        <w:rPr>
          <w:rFonts w:ascii="Times New Roman" w:hAnsi="Times New Roman"/>
          <w:color w:val="000000" w:themeColor="text1"/>
          <w:sz w:val="16"/>
          <w:szCs w:val="16"/>
        </w:rPr>
        <w:softHyphen/>
        <w:t>релыми.</w:t>
      </w:r>
    </w:p>
    <w:p w14:paraId="7CC1CF47"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САСШ имеются 4 трубы превосходящие по своим качест</w:t>
      </w:r>
      <w:r w:rsidRPr="00C33834">
        <w:rPr>
          <w:rFonts w:ascii="Times New Roman" w:hAnsi="Times New Roman"/>
          <w:color w:val="000000" w:themeColor="text1"/>
          <w:sz w:val="16"/>
          <w:szCs w:val="16"/>
        </w:rPr>
        <w:softHyphen/>
        <w:t>вам наши трубы, в Англии - 2 грубы, во Фанции - 1 труба.</w:t>
      </w:r>
    </w:p>
    <w:p w14:paraId="3239DE31"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Трубы Японии, Испании, Польши по своим данным идут на уровне наших труб.</w:t>
      </w:r>
    </w:p>
    <w:p w14:paraId="710DB9F7"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вышеуказанные трубы /за исключением 1 трубы в САСШ и Англии, построены до 1927 года.</w:t>
      </w:r>
    </w:p>
    <w:p w14:paraId="36A43377"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во многих странах идут приготовле</w:t>
      </w:r>
      <w:r w:rsidRPr="00C33834">
        <w:rPr>
          <w:rFonts w:ascii="Times New Roman" w:hAnsi="Times New Roman"/>
          <w:color w:val="000000" w:themeColor="text1"/>
          <w:sz w:val="16"/>
          <w:szCs w:val="16"/>
        </w:rPr>
        <w:softHyphen/>
        <w:t>ния к постройке больших труб /Германия, Франция, Италия/.</w:t>
      </w:r>
    </w:p>
    <w:p w14:paraId="54572416"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Весьма характерно, что именно САСШ и Кнглия, особен</w:t>
      </w:r>
      <w:r w:rsidRPr="00C33834">
        <w:rPr>
          <w:rFonts w:ascii="Times New Roman" w:hAnsi="Times New Roman"/>
          <w:color w:val="000000" w:themeColor="text1"/>
          <w:sz w:val="16"/>
          <w:szCs w:val="16"/>
        </w:rPr>
        <w:softHyphen/>
        <w:t>но первая пользуясь широчайше поставленными аэродинамическ] ми исследованиями и хорошей моторной базой резко продвину</w:t>
      </w:r>
      <w:r w:rsidRPr="00C33834">
        <w:rPr>
          <w:rFonts w:ascii="Times New Roman" w:hAnsi="Times New Roman"/>
          <w:color w:val="000000" w:themeColor="text1"/>
          <w:sz w:val="16"/>
          <w:szCs w:val="16"/>
        </w:rPr>
        <w:softHyphen/>
        <w:t>ли за последние 3 года развитие опытного самолетостроения. Англичане добились того, что их серийные разведчики облада« ют максимальными скоростями полета 300 км/час, скорость серийных же истребителей достигла 350 кл/час. Американские самолеты, снабженные специальными моторными капотами, разр&lt; ботанными в большой трубе национальной аэродинамической ла</w:t>
      </w:r>
      <w:r w:rsidRPr="00C33834">
        <w:rPr>
          <w:rFonts w:ascii="Times New Roman" w:hAnsi="Times New Roman"/>
          <w:color w:val="000000" w:themeColor="text1"/>
          <w:sz w:val="16"/>
          <w:szCs w:val="16"/>
        </w:rPr>
        <w:softHyphen/>
        <w:t>боратории, обладают скоростью полета 350-360 клм/час, двух</w:t>
      </w:r>
      <w:r w:rsidRPr="00C33834">
        <w:rPr>
          <w:rFonts w:ascii="Times New Roman" w:hAnsi="Times New Roman"/>
          <w:color w:val="000000" w:themeColor="text1"/>
          <w:sz w:val="16"/>
          <w:szCs w:val="16"/>
        </w:rPr>
        <w:softHyphen/>
        <w:t>моторные бомбовозы скоростью 300 кл/час. В итоге Англия и САСШ обладают в настоящее время качественно самым высоким воздушным флотом.</w:t>
      </w:r>
    </w:p>
    <w:p w14:paraId="2E104140"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Слабость аэродинамической экспериментальной базы в СССР, безусловно отразилась на типах и особенно качестве опытного самолетостроения в 1-ю пятилетку и привела по не</w:t>
      </w:r>
      <w:r w:rsidRPr="00C33834">
        <w:rPr>
          <w:rFonts w:ascii="Times New Roman" w:hAnsi="Times New Roman"/>
          <w:color w:val="000000" w:themeColor="text1"/>
          <w:sz w:val="16"/>
          <w:szCs w:val="16"/>
        </w:rPr>
        <w:softHyphen/>
        <w:t>которым типам самолетов к прямому прорыву, так все самоле</w:t>
      </w:r>
      <w:r w:rsidRPr="00C33834">
        <w:rPr>
          <w:rFonts w:ascii="Times New Roman" w:hAnsi="Times New Roman"/>
          <w:color w:val="000000" w:themeColor="text1"/>
          <w:sz w:val="16"/>
          <w:szCs w:val="16"/>
        </w:rPr>
        <w:softHyphen/>
        <w:t>ты с установками винтов Тандем, один за другим не дали ожи</w:t>
      </w:r>
      <w:r w:rsidRPr="00C33834">
        <w:rPr>
          <w:rFonts w:ascii="Times New Roman" w:hAnsi="Times New Roman"/>
          <w:color w:val="000000" w:themeColor="text1"/>
          <w:sz w:val="16"/>
          <w:szCs w:val="16"/>
        </w:rPr>
        <w:softHyphen/>
        <w:t>даемых результатов.</w:t>
      </w:r>
    </w:p>
    <w:p w14:paraId="40A4053F"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Особенно значительны расхождения по истребителю И-12. Ожидались: горизонтальная скорость на 5.000 метров по рас</w:t>
      </w:r>
      <w:r w:rsidRPr="00C33834">
        <w:rPr>
          <w:rFonts w:ascii="Times New Roman" w:hAnsi="Times New Roman"/>
          <w:color w:val="000000" w:themeColor="text1"/>
          <w:sz w:val="16"/>
          <w:szCs w:val="16"/>
        </w:rPr>
        <w:softHyphen/>
        <w:t>чету 300-317 клм, фактически у земли получено 265 км.час. Потолок по расчету 8500-9300 метров, фактически получено около 5000: На данные тяжелого бомбардировщика ТВ-5, кроме Тандемской установки оказало значительное влияние располо</w:t>
      </w:r>
      <w:r w:rsidRPr="00C33834">
        <w:rPr>
          <w:rFonts w:ascii="Times New Roman" w:hAnsi="Times New Roman"/>
          <w:color w:val="000000" w:themeColor="text1"/>
          <w:sz w:val="16"/>
          <w:szCs w:val="16"/>
        </w:rPr>
        <w:softHyphen/>
        <w:t>жение винтов под крылом. Продувки на малой модели показали ею влияние в меньшей степени.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F26F01" w:rsidRPr="00C33834" w14:paraId="34FF9636" w14:textId="77777777">
        <w:tc>
          <w:tcPr>
            <w:tcW w:w="1915" w:type="dxa"/>
            <w:tcBorders>
              <w:top w:val="single" w:sz="12" w:space="0" w:color="auto"/>
            </w:tcBorders>
          </w:tcPr>
          <w:p w14:paraId="6F6A2949"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p>
        </w:tc>
        <w:tc>
          <w:tcPr>
            <w:tcW w:w="1915" w:type="dxa"/>
            <w:tcBorders>
              <w:top w:val="single" w:sz="12" w:space="0" w:color="auto"/>
            </w:tcBorders>
          </w:tcPr>
          <w:p w14:paraId="56BEC8D5"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у земли</w:t>
            </w:r>
          </w:p>
        </w:tc>
        <w:tc>
          <w:tcPr>
            <w:tcW w:w="1915" w:type="dxa"/>
            <w:tcBorders>
              <w:top w:val="single" w:sz="12" w:space="0" w:color="auto"/>
            </w:tcBorders>
          </w:tcPr>
          <w:p w14:paraId="702B8232"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на 3000 мт.</w:t>
            </w:r>
          </w:p>
        </w:tc>
        <w:tc>
          <w:tcPr>
            <w:tcW w:w="1915" w:type="dxa"/>
            <w:tcBorders>
              <w:top w:val="single" w:sz="12" w:space="0" w:color="auto"/>
            </w:tcBorders>
          </w:tcPr>
          <w:p w14:paraId="502EAACE"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1915" w:type="dxa"/>
            <w:tcBorders>
              <w:top w:val="single" w:sz="12" w:space="0" w:color="auto"/>
            </w:tcBorders>
          </w:tcPr>
          <w:p w14:paraId="295B7761"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под”ема на 3000 мт.</w:t>
            </w:r>
          </w:p>
        </w:tc>
      </w:tr>
      <w:tr w:rsidR="00F26F01" w:rsidRPr="00C33834" w14:paraId="1E20A7B9" w14:textId="77777777">
        <w:tc>
          <w:tcPr>
            <w:tcW w:w="1915" w:type="dxa"/>
          </w:tcPr>
          <w:p w14:paraId="4C326484"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Ожидалось</w:t>
            </w:r>
          </w:p>
        </w:tc>
        <w:tc>
          <w:tcPr>
            <w:tcW w:w="1915" w:type="dxa"/>
          </w:tcPr>
          <w:p w14:paraId="4447000F"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216</w:t>
            </w:r>
          </w:p>
        </w:tc>
        <w:tc>
          <w:tcPr>
            <w:tcW w:w="1915" w:type="dxa"/>
          </w:tcPr>
          <w:p w14:paraId="72DA0CB3"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203</w:t>
            </w:r>
          </w:p>
        </w:tc>
        <w:tc>
          <w:tcPr>
            <w:tcW w:w="1915" w:type="dxa"/>
          </w:tcPr>
          <w:p w14:paraId="32261348"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5180</w:t>
            </w:r>
          </w:p>
        </w:tc>
        <w:tc>
          <w:tcPr>
            <w:tcW w:w="1915" w:type="dxa"/>
          </w:tcPr>
          <w:p w14:paraId="79BE8C7E"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21,4</w:t>
            </w:r>
          </w:p>
        </w:tc>
      </w:tr>
      <w:tr w:rsidR="00F26F01" w:rsidRPr="00C33834" w14:paraId="67FC4D99" w14:textId="77777777">
        <w:tc>
          <w:tcPr>
            <w:tcW w:w="1915" w:type="dxa"/>
            <w:tcBorders>
              <w:bottom w:val="single" w:sz="12" w:space="0" w:color="auto"/>
            </w:tcBorders>
          </w:tcPr>
          <w:p w14:paraId="65CF380D"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Получено</w:t>
            </w:r>
          </w:p>
        </w:tc>
        <w:tc>
          <w:tcPr>
            <w:tcW w:w="1915" w:type="dxa"/>
            <w:tcBorders>
              <w:bottom w:val="single" w:sz="12" w:space="0" w:color="auto"/>
            </w:tcBorders>
          </w:tcPr>
          <w:p w14:paraId="59A62E60"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185-190</w:t>
            </w:r>
          </w:p>
        </w:tc>
        <w:tc>
          <w:tcPr>
            <w:tcW w:w="1915" w:type="dxa"/>
            <w:tcBorders>
              <w:bottom w:val="single" w:sz="12" w:space="0" w:color="auto"/>
            </w:tcBorders>
          </w:tcPr>
          <w:p w14:paraId="574E090B"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165</w:t>
            </w:r>
          </w:p>
        </w:tc>
        <w:tc>
          <w:tcPr>
            <w:tcW w:w="1915" w:type="dxa"/>
            <w:tcBorders>
              <w:bottom w:val="single" w:sz="12" w:space="0" w:color="auto"/>
            </w:tcBorders>
          </w:tcPr>
          <w:p w14:paraId="67BDC19C"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3200-3510</w:t>
            </w:r>
          </w:p>
        </w:tc>
        <w:tc>
          <w:tcPr>
            <w:tcW w:w="1915" w:type="dxa"/>
            <w:tcBorders>
              <w:bottom w:val="single" w:sz="12" w:space="0" w:color="auto"/>
            </w:tcBorders>
          </w:tcPr>
          <w:p w14:paraId="75B97CF9"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w:t>
            </w:r>
          </w:p>
        </w:tc>
      </w:tr>
    </w:tbl>
    <w:p w14:paraId="5539CB36"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Указанные выше самолеты, выстроенные в течение последних 3-х лет, стоившие около 2.000.000 рублей и отнявшие большое количество конструкторских сил, оказались неудовлетворительными потому, что их расчеты не были обоснованы необхо</w:t>
      </w:r>
      <w:r w:rsidRPr="00C33834">
        <w:rPr>
          <w:rFonts w:ascii="Times New Roman" w:hAnsi="Times New Roman"/>
          <w:color w:val="000000" w:themeColor="text1"/>
          <w:sz w:val="16"/>
          <w:szCs w:val="16"/>
        </w:rPr>
        <w:softHyphen/>
        <w:t>димыми экспериментальными Данными, для получения же последних мы не обладали необходимым оборудованием.</w:t>
      </w:r>
    </w:p>
    <w:p w14:paraId="2535AE49"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Задачи, стоящие перед самолетостроением в СССР на вто-руд пятилетку и роль авиации в обороноспособности страны, требует во что бы то ни стало осуществления лозунга "пере</w:t>
      </w:r>
      <w:r w:rsidRPr="00C33834">
        <w:rPr>
          <w:rFonts w:ascii="Times New Roman" w:hAnsi="Times New Roman"/>
          <w:color w:val="000000" w:themeColor="text1"/>
          <w:sz w:val="16"/>
          <w:szCs w:val="16"/>
        </w:rPr>
        <w:softHyphen/>
        <w:t>гнать" иностранную авиационную технику и поставить Советс</w:t>
      </w:r>
      <w:r w:rsidRPr="00C33834">
        <w:rPr>
          <w:rFonts w:ascii="Times New Roman" w:hAnsi="Times New Roman"/>
          <w:color w:val="000000" w:themeColor="text1"/>
          <w:sz w:val="16"/>
          <w:szCs w:val="16"/>
        </w:rPr>
        <w:softHyphen/>
        <w:t>кую авиацию на первое место в мире, причем, в процесса опы' ного строительства должен быть сведен до минимума выпуск неудачных опытных самолетов.</w:t>
      </w:r>
    </w:p>
    <w:p w14:paraId="176BEDEE"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не выполнении указанной задачи Советское самолетостроение будет поставлено в отношении экспериментальной базы в условия значительно более худшие, чем Англия и Аме</w:t>
      </w:r>
      <w:r w:rsidRPr="00C33834">
        <w:rPr>
          <w:rFonts w:ascii="Times New Roman" w:hAnsi="Times New Roman"/>
          <w:color w:val="000000" w:themeColor="text1"/>
          <w:sz w:val="16"/>
          <w:szCs w:val="16"/>
        </w:rPr>
        <w:softHyphen/>
        <w:t>рика, что неизбежно будет иметь следствием снижение темпов опытного самолетостроения, и сможет привести к срыву пла</w:t>
      </w:r>
      <w:r w:rsidRPr="00C33834">
        <w:rPr>
          <w:rFonts w:ascii="Times New Roman" w:hAnsi="Times New Roman"/>
          <w:color w:val="000000" w:themeColor="text1"/>
          <w:sz w:val="16"/>
          <w:szCs w:val="16"/>
        </w:rPr>
        <w:softHyphen/>
        <w:t>на в отношении качественных показателей новых самолетов.</w:t>
      </w:r>
    </w:p>
    <w:p w14:paraId="22937AE9"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основании всего вышесказанного ЦАГИ считает необ</w:t>
      </w:r>
      <w:r w:rsidRPr="00C33834">
        <w:rPr>
          <w:rFonts w:ascii="Times New Roman" w:hAnsi="Times New Roman"/>
          <w:color w:val="000000" w:themeColor="text1"/>
          <w:sz w:val="16"/>
          <w:szCs w:val="16"/>
        </w:rPr>
        <w:softHyphen/>
        <w:t>ходимым во 2-й пятилетке построить две аэродинамические трубы, одну для исследования винтов и моторов в натуру, а другую для исследования самолетов в натуру, с размером ра</w:t>
      </w:r>
      <w:r w:rsidRPr="00C33834">
        <w:rPr>
          <w:rFonts w:ascii="Times New Roman" w:hAnsi="Times New Roman"/>
          <w:color w:val="000000" w:themeColor="text1"/>
          <w:sz w:val="16"/>
          <w:szCs w:val="16"/>
        </w:rPr>
        <w:softHyphen/>
        <w:t>бочей части для винтовой трубы 3 м. при скорости потока 100 м/с и для самолетной трубы размер рабочей части 12x24 при скорости потока 60 м/сек.</w:t>
      </w:r>
    </w:p>
    <w:p w14:paraId="0EDF0002"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Трубы должны быть построены в Центральном Аэро-Гидро-динамическом Институте, как крупнейшем Институте союза, имеющим большой опыт в СССР по проектированию, постройке и эксплоатации аэродинамических труб.</w:t>
      </w:r>
    </w:p>
    <w:p w14:paraId="1C100B85"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большой аэродинамической трубы с обору</w:t>
      </w:r>
      <w:r w:rsidRPr="00C33834">
        <w:rPr>
          <w:rFonts w:ascii="Times New Roman" w:hAnsi="Times New Roman"/>
          <w:color w:val="000000" w:themeColor="text1"/>
          <w:sz w:val="16"/>
          <w:szCs w:val="16"/>
        </w:rPr>
        <w:softHyphen/>
        <w:t>дованием даже при форсировании работы, займет около 1,5 го« да, постройка 2 года, а наладка минимум 1 год. Следователь</w:t>
      </w:r>
      <w:r w:rsidRPr="00C33834">
        <w:rPr>
          <w:rFonts w:ascii="Times New Roman" w:hAnsi="Times New Roman"/>
          <w:color w:val="000000" w:themeColor="text1"/>
          <w:sz w:val="16"/>
          <w:szCs w:val="16"/>
        </w:rPr>
        <w:softHyphen/>
        <w:t>но труба может войти в строй только к концу второй пятилетки.</w:t>
      </w:r>
    </w:p>
    <w:p w14:paraId="2E96A909"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Необходимо немедленно начать разработку проектов этих труб с тем, чтобы постройку винтовой трубы начать с весны 1935 года, а постройку самолетной с весны 1934 года.</w:t>
      </w:r>
    </w:p>
    <w:p w14:paraId="64DF8F31"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Ориентировочная стоимость винтовой трубы - 8,000.000 руб. и самолетной 12.000.000 рублей.</w:t>
      </w:r>
    </w:p>
    <w:p w14:paraId="6F852B3B"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smallCaps/>
          <w:color w:val="000000" w:themeColor="text1"/>
          <w:sz w:val="16"/>
          <w:szCs w:val="16"/>
        </w:rPr>
        <w:t>приложение:</w:t>
      </w:r>
    </w:p>
    <w:p w14:paraId="62D86DDE"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Сравнительная таблица всех больших аэродинамических труб мира.</w:t>
      </w:r>
    </w:p>
    <w:p w14:paraId="23FBCC2B"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План строительства больших аэродина-1 мических труб СССР.</w:t>
      </w:r>
    </w:p>
    <w:p w14:paraId="0DD46464"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Альбом больших аэродинамических труб! мира.</w:t>
      </w:r>
    </w:p>
    <w:p w14:paraId="281C10D8"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НАЧАЛЬНИК ЭАО Ц А Г И САБИНИН 20/1У-83 год.</w:t>
      </w:r>
    </w:p>
    <w:p w14:paraId="57BEF101"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ЦГАОР. ф. 147с, оп. 15, д. 153, л. 5 (1026,161).</w:t>
      </w:r>
    </w:p>
    <w:p w14:paraId="53309897"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p>
    <w:p w14:paraId="0A5AC1E9" w14:textId="77777777" w:rsidR="00B75DE6" w:rsidRPr="00C33834" w:rsidRDefault="00B75DE6" w:rsidP="00C33834">
      <w:pPr>
        <w:spacing w:after="0" w:line="240" w:lineRule="auto"/>
        <w:jc w:val="both"/>
        <w:rPr>
          <w:rStyle w:val="af0"/>
          <w:rFonts w:ascii="Times New Roman" w:hAnsi="Times New Roman"/>
          <w:i w:val="0"/>
          <w:color w:val="000000" w:themeColor="text1"/>
          <w:sz w:val="16"/>
          <w:szCs w:val="16"/>
        </w:rPr>
      </w:pPr>
      <w:r w:rsidRPr="00C33834">
        <w:rPr>
          <w:rStyle w:val="af0"/>
          <w:rFonts w:ascii="Times New Roman" w:hAnsi="Times New Roman"/>
          <w:i w:val="0"/>
          <w:color w:val="000000" w:themeColor="text1"/>
          <w:sz w:val="16"/>
          <w:szCs w:val="16"/>
        </w:rPr>
        <w:t xml:space="preserve">20 апреля 1933 г. </w:t>
      </w:r>
      <w:r w:rsidRPr="00C33834">
        <w:rPr>
          <w:rFonts w:ascii="Times New Roman" w:hAnsi="Times New Roman"/>
          <w:color w:val="000000" w:themeColor="text1"/>
          <w:sz w:val="16"/>
          <w:szCs w:val="16"/>
        </w:rPr>
        <w:t>Докладная записка экспериментально-аэродинамического отдела ЦАГИ заместителю наркома тяжелой промышленности СССР и начальнику Глававиапрома П. И. Баранову о необходимости постройки больших аэродинамических труб¹</w:t>
      </w:r>
    </w:p>
    <w:p w14:paraId="56CDAE15" w14:textId="77777777" w:rsidR="00AA59BC" w:rsidRPr="00C33834" w:rsidRDefault="00AA59BC"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Секретно.</w:t>
      </w:r>
    </w:p>
    <w:p w14:paraId="2B9C3C70" w14:textId="77777777" w:rsidR="00AA59BC" w:rsidRPr="00C33834" w:rsidRDefault="00AA59BC" w:rsidP="00C33834">
      <w:pPr>
        <w:pStyle w:val="rtejustify"/>
        <w:spacing w:before="0" w:after="0"/>
        <w:rPr>
          <w:color w:val="000000" w:themeColor="text1"/>
          <w:sz w:val="16"/>
          <w:szCs w:val="16"/>
        </w:rPr>
      </w:pPr>
      <w:r w:rsidRPr="00C33834">
        <w:rPr>
          <w:color w:val="000000" w:themeColor="text1"/>
          <w:sz w:val="16"/>
          <w:szCs w:val="16"/>
        </w:rPr>
        <w:t>Увеличение размеров самолетов и их скоростей ставит перед экспериментальной аэродинамикой новые вопросы и задачи, решать которые на старом оборудовании (аэродинамических трубах) невозможно. Результаты исследований свойств самолета в аэродинамической трубе в высшей степени зависят от величины модели самолета, чем последняя меньше, тем больше ошибки, получаемые в результате эксперимента. В настоящее время размах самолетов, строящихся в СССР, достигает 50 и больше метров, испытания их моделей приходится вести в единственной трубе в СССР, позволяющей испытывать модели с размахом до 1,5 м (т. е. в масштабе 1 : 33). Благодаря такому малому масштабу результаты получаются совершенно не соответствующие действительности. Многие эксперименты, имеющие крайне важное значение, вообще не могут быть проведены на моделях самолетов, а требуют установки в трубе всего самолета в натуру или отдельных его частей в натуру.</w:t>
      </w:r>
    </w:p>
    <w:p w14:paraId="23C7623E" w14:textId="77777777" w:rsidR="00AA59BC" w:rsidRPr="00C33834" w:rsidRDefault="00AA59BC" w:rsidP="00C33834">
      <w:pPr>
        <w:pStyle w:val="rtejustify"/>
        <w:spacing w:before="0" w:after="0"/>
        <w:rPr>
          <w:color w:val="000000" w:themeColor="text1"/>
          <w:sz w:val="16"/>
          <w:szCs w:val="16"/>
        </w:rPr>
      </w:pPr>
      <w:r w:rsidRPr="00C33834">
        <w:rPr>
          <w:color w:val="000000" w:themeColor="text1"/>
          <w:sz w:val="16"/>
          <w:szCs w:val="16"/>
        </w:rPr>
        <w:t>Страны, имеющие сильно развитую и технически передовую авиацию за последние годы построили и строят громаднейшие аэродинамические трубы, в которых испытывают в натуру целые самолеты. САСШ, занимающие ведущее место в воздушном флоте мира, имеют и наиболее крупные аэродинамические трубы. Винтовая труба с диаметром в 6,1 м и со скоростью потока в 50 м/с дает возможность исследовать винт с работающим мотором. Самолетная труба с размерами 9,3 м на 18,6 м (эллиптического сечения) служит для исследования целых самолетов с работающим мотором в натуру. Англия, имея ряд крупных труб, в 1932 г. построила трубу с диаметром в 6,3 м со скоростью потока свыше 54 м/с.</w:t>
      </w:r>
    </w:p>
    <w:p w14:paraId="331097ED" w14:textId="77777777" w:rsidR="00AA59BC" w:rsidRPr="00C33834" w:rsidRDefault="00AA59BC" w:rsidP="00C33834">
      <w:pPr>
        <w:pStyle w:val="rtejustify"/>
        <w:spacing w:before="0" w:after="0"/>
        <w:rPr>
          <w:color w:val="000000" w:themeColor="text1"/>
          <w:sz w:val="16"/>
          <w:szCs w:val="16"/>
        </w:rPr>
      </w:pPr>
      <w:r w:rsidRPr="00C33834">
        <w:rPr>
          <w:color w:val="000000" w:themeColor="text1"/>
          <w:sz w:val="16"/>
          <w:szCs w:val="16"/>
        </w:rPr>
        <w:t>СССР имеет одну трубу в ЦАГИ диаметром в 6 м со скоростью потока всего 28 м/с. Эта же труба в другой рабочей части имеет диаметр 3 м с рабочей скоростью потока 50 м/с. Ввиду того, что шестиметровая труба ЦАГИ имеет недостаточные размеры и малую скорость потока, и притом эта труба закрытого типа и деревянная, в ней нельзя вести опыты с работающим мотором, с натуральными винтами и самолетами. Из прилагаемой таблицы (приложение № 1), в которой указаны основные характеристики главнейших аэродинамических труб мира, видно, что аэродинамические трубы СССР по своим главным данным (отношение Рейнольдсовых чисел модели самолета к натуре — см. последний столбец), являются устарелыми.</w:t>
      </w:r>
    </w:p>
    <w:p w14:paraId="1EA129CE" w14:textId="77777777" w:rsidR="00AA59BC" w:rsidRPr="00C33834" w:rsidRDefault="00AA59BC" w:rsidP="00C33834">
      <w:pPr>
        <w:pStyle w:val="rtejustify"/>
        <w:spacing w:before="0" w:after="0"/>
        <w:rPr>
          <w:color w:val="000000" w:themeColor="text1"/>
          <w:sz w:val="16"/>
          <w:szCs w:val="16"/>
        </w:rPr>
      </w:pPr>
      <w:r w:rsidRPr="00C33834">
        <w:rPr>
          <w:color w:val="000000" w:themeColor="text1"/>
          <w:sz w:val="16"/>
          <w:szCs w:val="16"/>
        </w:rPr>
        <w:t>В САСШ имеются 4 трубы, превосходящие по своим качествам наши трубы, в Англии — 2 трубы, во Франции — 1 труба. Трубы Японии, Испании, Польши по своим данным идут на уровне наших труб. Все вышеуказанные трубы (за исключением 1 трубы в САСШ и Англии) построены до 1927 г. В настоящее время во многих странах идут приготовления к постройке больших труб (Германия, Франция, Италия). Весьма характерно, что именно САСШ и Англия, особенно первая, пользуясь широчайше поставленными аэродинамическими исследованиями и хорошей моторной базой, резко продвинули за последние 3 года развитие опытного самолетостроения. Англичане добились того, что их серийные разведчики обладают максимальными скоростями полета 300 км/ч, скорость серийных же истребителей достигла 350 км/ч. Американские самолеты, снабженные специальными моторными капотами, разработанными в большой трубе национальной аэродинамической лаборатории, обладают скоростью полета 350</w:t>
      </w:r>
      <w:r w:rsidRPr="00C33834">
        <w:rPr>
          <w:color w:val="000000" w:themeColor="text1"/>
          <w:sz w:val="16"/>
          <w:szCs w:val="16"/>
        </w:rPr>
        <w:noBreakHyphen/>
        <w:t>360 км/ч, двухмоторные бомбовозы — скоростью 300 км/ч. В итоге Англия и САСШ обладают в настоящее время качественно самым высоким воздушным флотом.</w:t>
      </w:r>
    </w:p>
    <w:p w14:paraId="27CD7AFC" w14:textId="77777777" w:rsidR="00AA59BC" w:rsidRPr="00C33834" w:rsidRDefault="00AA59BC" w:rsidP="00C33834">
      <w:pPr>
        <w:pStyle w:val="rtejustify"/>
        <w:spacing w:before="0" w:after="0"/>
        <w:rPr>
          <w:color w:val="000000" w:themeColor="text1"/>
          <w:sz w:val="16"/>
          <w:szCs w:val="16"/>
        </w:rPr>
      </w:pPr>
      <w:r w:rsidRPr="00C33834">
        <w:rPr>
          <w:color w:val="000000" w:themeColor="text1"/>
          <w:sz w:val="16"/>
          <w:szCs w:val="16"/>
        </w:rPr>
        <w:t>Слабость аэродинамической экспериментальной базы в СССР безусловно отразилась на типах и особенно качестве опытного самолетостроения в первую пятилетку и привела по некоторым типам самолетов к прямому прорыву, так все самолеты с установками винтов тандем, один за другим, не дали ожидаемых результатов. Особенно значительны расхождения по истребителю И</w:t>
      </w:r>
      <w:r w:rsidRPr="00C33834">
        <w:rPr>
          <w:color w:val="000000" w:themeColor="text1"/>
          <w:sz w:val="16"/>
          <w:szCs w:val="16"/>
        </w:rPr>
        <w:noBreakHyphen/>
        <w:t>12. Ожидались: горизонтальная скорость на 5 тыс. м по расчету 300</w:t>
      </w:r>
      <w:r w:rsidRPr="00C33834">
        <w:rPr>
          <w:color w:val="000000" w:themeColor="text1"/>
          <w:sz w:val="16"/>
          <w:szCs w:val="16"/>
        </w:rPr>
        <w:noBreakHyphen/>
        <w:t>317 км, фактически у земли получено 265 км/ч. Потолок по расчету 8500</w:t>
      </w:r>
      <w:r w:rsidRPr="00C33834">
        <w:rPr>
          <w:color w:val="000000" w:themeColor="text1"/>
          <w:sz w:val="16"/>
          <w:szCs w:val="16"/>
        </w:rPr>
        <w:noBreakHyphen/>
        <w:t>9300 м, фактически получено около 5 тыс. На данные тяжелого бомбардировщика ТБ</w:t>
      </w:r>
      <w:r w:rsidRPr="00C33834">
        <w:rPr>
          <w:color w:val="000000" w:themeColor="text1"/>
          <w:sz w:val="16"/>
          <w:szCs w:val="16"/>
        </w:rPr>
        <w:noBreakHyphen/>
        <w:t>5 кроме тандемной установки оказало значительное влияние расположение винтов под крылом. Продувки на малой модели показали это влияние в меньшей степени.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88"/>
        <w:gridCol w:w="2295"/>
        <w:gridCol w:w="2714"/>
        <w:gridCol w:w="1351"/>
        <w:gridCol w:w="3474"/>
      </w:tblGrid>
      <w:tr w:rsidR="00F26F01" w:rsidRPr="00C33834" w14:paraId="39A3E085"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F3E367" w14:textId="77777777" w:rsidR="00AA59BC" w:rsidRPr="00C33834" w:rsidRDefault="00AA59B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78F53" w14:textId="77777777" w:rsidR="00AA59BC" w:rsidRPr="00C33834" w:rsidRDefault="00AA59B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у земли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26A19" w14:textId="77777777" w:rsidR="00AA59BC" w:rsidRPr="00C33834" w:rsidRDefault="00AA59B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на 3 тыс.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D202B" w14:textId="77777777" w:rsidR="00AA59BC" w:rsidRPr="00C33834" w:rsidRDefault="00AA59B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7D85A" w14:textId="77777777" w:rsidR="00AA59BC" w:rsidRPr="00C33834" w:rsidRDefault="00AA59B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на 3 тыс. м</w:t>
            </w:r>
          </w:p>
        </w:tc>
      </w:tr>
      <w:tr w:rsidR="00F26F01" w:rsidRPr="00C33834" w14:paraId="4142A8B2"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E91067" w14:textId="77777777" w:rsidR="00AA59BC" w:rsidRPr="00C33834" w:rsidRDefault="00AA59B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Ожидалось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72133" w14:textId="77777777" w:rsidR="00AA59BC" w:rsidRPr="00C33834" w:rsidRDefault="00AA59B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17CF1" w14:textId="77777777" w:rsidR="00AA59BC" w:rsidRPr="00C33834" w:rsidRDefault="00AA59B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2F41B" w14:textId="77777777" w:rsidR="00AA59BC" w:rsidRPr="00C33834" w:rsidRDefault="00AA59B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B7F63" w14:textId="77777777" w:rsidR="00AA59BC" w:rsidRPr="00C33834" w:rsidRDefault="00AA59B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21,4</w:t>
            </w:r>
          </w:p>
        </w:tc>
      </w:tr>
      <w:tr w:rsidR="00F26F01" w:rsidRPr="00C33834" w14:paraId="501C076E"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4E8331" w14:textId="77777777" w:rsidR="00AA59BC" w:rsidRPr="00C33834" w:rsidRDefault="00AA59B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Получено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BB011" w14:textId="77777777" w:rsidR="00AA59BC" w:rsidRPr="00C33834" w:rsidRDefault="00AA59B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185</w:t>
            </w:r>
            <w:r w:rsidRPr="00C33834">
              <w:rPr>
                <w:rFonts w:ascii="Times New Roman" w:hAnsi="Times New Roman"/>
                <w:color w:val="000000" w:themeColor="text1"/>
                <w:sz w:val="16"/>
                <w:szCs w:val="16"/>
              </w:rPr>
              <w:noBreakHyphen/>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E37AA" w14:textId="77777777" w:rsidR="00AA59BC" w:rsidRPr="00C33834" w:rsidRDefault="00AA59B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A7D80" w14:textId="77777777" w:rsidR="00AA59BC" w:rsidRPr="00C33834" w:rsidRDefault="00AA59B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3200</w:t>
            </w:r>
            <w:r w:rsidRPr="00C33834">
              <w:rPr>
                <w:rFonts w:ascii="Times New Roman" w:hAnsi="Times New Roman"/>
                <w:color w:val="000000" w:themeColor="text1"/>
                <w:sz w:val="16"/>
                <w:szCs w:val="16"/>
              </w:rPr>
              <w:noBreakHyphen/>
              <w:t>3510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D8460" w14:textId="77777777" w:rsidR="00AA59BC" w:rsidRPr="00C33834" w:rsidRDefault="00AA59B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w:t>
            </w:r>
          </w:p>
        </w:tc>
      </w:tr>
    </w:tbl>
    <w:p w14:paraId="5E55D569" w14:textId="77777777" w:rsidR="00AA59BC" w:rsidRPr="00C33834" w:rsidRDefault="00AA59BC" w:rsidP="00C33834">
      <w:pPr>
        <w:pStyle w:val="rtejustify"/>
        <w:spacing w:before="0" w:after="0"/>
        <w:rPr>
          <w:color w:val="000000" w:themeColor="text1"/>
          <w:sz w:val="16"/>
          <w:szCs w:val="16"/>
        </w:rPr>
      </w:pPr>
      <w:r w:rsidRPr="00C33834">
        <w:rPr>
          <w:color w:val="000000" w:themeColor="text1"/>
          <w:sz w:val="16"/>
          <w:szCs w:val="16"/>
        </w:rPr>
        <w:t>Указанные выше самолеты, выстроенные в течение последних трех лет, стоившие около 2 млн. руб. и отнявшие большое количество конструкторских сил, оказались неудовлетворительными потому, что их расчеты не были обоснованы необходимыми экспериментальными данными, для получения же последних мы не обладали необходимым оборудованием.</w:t>
      </w:r>
    </w:p>
    <w:p w14:paraId="1DE90945" w14:textId="77777777" w:rsidR="00AA59BC" w:rsidRPr="00C33834" w:rsidRDefault="00AA59BC" w:rsidP="00C33834">
      <w:pPr>
        <w:pStyle w:val="rtejustify"/>
        <w:spacing w:before="0" w:after="0"/>
        <w:rPr>
          <w:color w:val="000000" w:themeColor="text1"/>
          <w:sz w:val="16"/>
          <w:szCs w:val="16"/>
        </w:rPr>
      </w:pPr>
      <w:r w:rsidRPr="00C33834">
        <w:rPr>
          <w:color w:val="000000" w:themeColor="text1"/>
          <w:sz w:val="16"/>
          <w:szCs w:val="16"/>
        </w:rPr>
        <w:t>Задачи, стоящие перед самолетостроением СССР на вторую пятилетку, и роль авиации в обороноспособности страны требуют во что бы то ни стало осуществления лозунга «перегнать» иностранную авиационную технику и поставить советскую авиацию на первое место в мире, причем в процессе опытного строительства должен быть сведен до минимума выпуск неудачных опытных самолетов. При невыполнении указанной задачи советское самолетостроение будет поставлено в отношении экспериментальной базы в условия значительно более худшие, чем Англия и Америка, что неизбежно будет иметь следствием снижение темпов опытного самолетостроения и сможет привести к срыву плана в отношении качественных показателей новых самолетов.</w:t>
      </w:r>
    </w:p>
    <w:p w14:paraId="101553AB" w14:textId="77777777" w:rsidR="00AA59BC" w:rsidRPr="00C33834" w:rsidRDefault="00AA59BC" w:rsidP="00C33834">
      <w:pPr>
        <w:pStyle w:val="rtejustify"/>
        <w:spacing w:before="0" w:after="0"/>
        <w:rPr>
          <w:color w:val="000000" w:themeColor="text1"/>
          <w:sz w:val="16"/>
          <w:szCs w:val="16"/>
        </w:rPr>
      </w:pPr>
      <w:r w:rsidRPr="00C33834">
        <w:rPr>
          <w:color w:val="000000" w:themeColor="text1"/>
          <w:sz w:val="16"/>
          <w:szCs w:val="16"/>
        </w:rPr>
        <w:t>На основании всего вышесказанного ЦАГИ считает необходимым во второй пятилетке построить две аэродинамические трубы, одну для исследования винтов и моторов в натуру, а другую для исследования самолетов в натуру с размером рабочей части для винтовой трубы 3 м при скорости потока 100 м/с, и для самолетной трубы: размер рабочей части 12 х 24 [м] при скорости потока 60 м/с. Трубы должны быть построены в Центральном аэрогидродинамическом институте, как крупнейшем институте Союза, имеющем большой опыт в СССР по проектированию, постройке и эксплуатации аэродинамических труб. Проектирование большой аэродинамической трубы с оборудованием даже при форсировании работы займет около 1,5 года, постройка 2 года, а наладка минимум 1 год. Следовательно, труба может войти в строй только к концу второй пятилетки. Необходимо немедленно начать разработку проектов этих труб с тем, чтобы постройку винтовой трубы начать с весны 1935 г., а постройку самолетной — с весны 1934 г. Ориентировочная стоимость винтовой трубы — 8 млн. руб. и самолетной — 12 млн. руб.</w:t>
      </w:r>
    </w:p>
    <w:tbl>
      <w:tblPr>
        <w:tblW w:w="0" w:type="auto"/>
        <w:tblCellSpacing w:w="0" w:type="dxa"/>
        <w:tblCellMar>
          <w:left w:w="0" w:type="dxa"/>
          <w:right w:w="0" w:type="dxa"/>
        </w:tblCellMar>
        <w:tblLook w:val="04A0" w:firstRow="1" w:lastRow="0" w:firstColumn="1" w:lastColumn="0" w:noHBand="0" w:noVBand="1"/>
      </w:tblPr>
      <w:tblGrid>
        <w:gridCol w:w="910"/>
        <w:gridCol w:w="4839"/>
      </w:tblGrid>
      <w:tr w:rsidR="00F26F01" w:rsidRPr="00C33834" w14:paraId="15B29C78" w14:textId="77777777" w:rsidTr="003417C8">
        <w:trPr>
          <w:tblCellSpacing w:w="0" w:type="dxa"/>
        </w:trPr>
        <w:tc>
          <w:tcPr>
            <w:tcW w:w="0" w:type="auto"/>
            <w:vAlign w:val="center"/>
            <w:hideMark/>
          </w:tcPr>
          <w:p w14:paraId="1D37720F" w14:textId="77777777" w:rsidR="00AA59BC" w:rsidRPr="00C33834" w:rsidRDefault="00AA59B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w:t>
            </w:r>
          </w:p>
        </w:tc>
        <w:tc>
          <w:tcPr>
            <w:tcW w:w="0" w:type="auto"/>
            <w:vAlign w:val="center"/>
            <w:hideMark/>
          </w:tcPr>
          <w:p w14:paraId="731F5FFF" w14:textId="77777777" w:rsidR="00AA59BC" w:rsidRPr="00C33834" w:rsidRDefault="00AA59B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Сравнительная таблица всех больших аэродинамических труб мира.</w:t>
            </w:r>
          </w:p>
        </w:tc>
      </w:tr>
      <w:tr w:rsidR="00F26F01" w:rsidRPr="00C33834" w14:paraId="057B6F36" w14:textId="77777777" w:rsidTr="003417C8">
        <w:trPr>
          <w:tblCellSpacing w:w="0" w:type="dxa"/>
        </w:trPr>
        <w:tc>
          <w:tcPr>
            <w:tcW w:w="0" w:type="auto"/>
            <w:vAlign w:val="center"/>
            <w:hideMark/>
          </w:tcPr>
          <w:p w14:paraId="0029718D" w14:textId="77777777" w:rsidR="00AA59BC" w:rsidRPr="00C33834" w:rsidRDefault="00AA59B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vAlign w:val="center"/>
            <w:hideMark/>
          </w:tcPr>
          <w:p w14:paraId="50F5EC6A" w14:textId="77777777" w:rsidR="00AA59BC" w:rsidRPr="00C33834" w:rsidRDefault="00AA59B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План строительства больших аэродинамических труб СССР.</w:t>
            </w:r>
          </w:p>
        </w:tc>
      </w:tr>
      <w:tr w:rsidR="00F26F01" w:rsidRPr="00C33834" w14:paraId="67684FAE" w14:textId="77777777" w:rsidTr="003417C8">
        <w:trPr>
          <w:tblCellSpacing w:w="0" w:type="dxa"/>
        </w:trPr>
        <w:tc>
          <w:tcPr>
            <w:tcW w:w="0" w:type="auto"/>
            <w:vAlign w:val="center"/>
            <w:hideMark/>
          </w:tcPr>
          <w:p w14:paraId="6B661E2A" w14:textId="77777777" w:rsidR="00AA59BC" w:rsidRPr="00C33834" w:rsidRDefault="00AA59B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vAlign w:val="center"/>
            <w:hideMark/>
          </w:tcPr>
          <w:p w14:paraId="47A03043" w14:textId="77777777" w:rsidR="00AA59BC" w:rsidRPr="00C33834" w:rsidRDefault="00AA59B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Альбом больших аэродинамических труб мира²*.</w:t>
            </w:r>
          </w:p>
        </w:tc>
      </w:tr>
    </w:tbl>
    <w:p w14:paraId="27C5C225" w14:textId="77777777" w:rsidR="00AA59BC" w:rsidRPr="00C33834" w:rsidRDefault="00AA59BC" w:rsidP="00C33834">
      <w:pPr>
        <w:pStyle w:val="ae"/>
        <w:spacing w:before="0" w:after="0"/>
        <w:jc w:val="both"/>
        <w:rPr>
          <w:color w:val="000000" w:themeColor="text1"/>
          <w:sz w:val="16"/>
          <w:szCs w:val="16"/>
        </w:rPr>
      </w:pPr>
      <w:r w:rsidRPr="00C33834">
        <w:rPr>
          <w:rStyle w:val="af0"/>
          <w:i w:val="0"/>
          <w:color w:val="000000" w:themeColor="text1"/>
          <w:sz w:val="16"/>
          <w:szCs w:val="16"/>
        </w:rPr>
        <w:t>Начальник ЭАО ЦАГИ Сабинин</w:t>
      </w:r>
    </w:p>
    <w:p w14:paraId="68B5C98D" w14:textId="77777777" w:rsidR="00AA59BC" w:rsidRPr="00C33834" w:rsidRDefault="00AA59BC"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Примечания</w:t>
      </w:r>
      <w:r w:rsidRPr="00C33834">
        <w:rPr>
          <w:color w:val="000000" w:themeColor="text1"/>
          <w:sz w:val="16"/>
          <w:szCs w:val="16"/>
        </w:rPr>
        <w:t>:</w:t>
      </w:r>
    </w:p>
    <w:p w14:paraId="21020456" w14:textId="77777777" w:rsidR="00AA59BC" w:rsidRPr="00C33834" w:rsidRDefault="00AA59BC" w:rsidP="00C33834">
      <w:pPr>
        <w:pStyle w:val="rtejustify"/>
        <w:spacing w:before="0" w:after="0"/>
        <w:rPr>
          <w:color w:val="000000" w:themeColor="text1"/>
          <w:sz w:val="16"/>
          <w:szCs w:val="16"/>
        </w:rPr>
      </w:pPr>
      <w:r w:rsidRPr="00C33834">
        <w:rPr>
          <w:color w:val="000000" w:themeColor="text1"/>
          <w:sz w:val="16"/>
          <w:szCs w:val="16"/>
        </w:rPr>
        <w:t xml:space="preserve">¹* Проблема строительства </w:t>
      </w:r>
      <w:r w:rsidRPr="00C33834">
        <w:rPr>
          <w:rStyle w:val="af0"/>
          <w:bCs/>
          <w:i w:val="0"/>
          <w:color w:val="000000" w:themeColor="text1"/>
          <w:sz w:val="16"/>
          <w:szCs w:val="16"/>
        </w:rPr>
        <w:t xml:space="preserve">аэродинамических труб </w:t>
      </w:r>
      <w:r w:rsidRPr="00C33834">
        <w:rPr>
          <w:color w:val="000000" w:themeColor="text1"/>
          <w:sz w:val="16"/>
          <w:szCs w:val="16"/>
        </w:rPr>
        <w:t>возникла особенно остро в 1933 г., когда самолетостроение в СССР было выдвинуто как приоритетная отрасль военной промышленности. В докладной записке ЦАГИ во Всесоюзное объединение авиационной промышленности «О постройке аэродинамических труб государственного значения» от 29 мая 1933 г. говорилось о том, что СССР существенно отстал в этой области от передовых капиталистических стран, и это негативно сказалось на качестве советского самолетостроения и обороноспособности страны. «Принимая во внимание большую программу строительства новых военных самолетов во II пятилетке, характеризующейся постройкой очень быстроходных машин с одной стороны, а с другой, машин колоссального размера, следует со всей категоричностью констатировать полное отсутствие экспериментальной базы для будущего самолетостроения, так как те исследования ведутся в трубах Союза на маленьких моделях, дают результаты, совершенно не отвечающие тому, что получается в натуре у скоростных машин и у машин гигантского размера, которые будут строиться во II пятилетке». В связи с вышеизложенным, ЦАГИ просил построить две большие аэродинамические трубы (винтовую и самолетную) на новом участке института, в Раменском. НКТП должен был включить в программу работ заводов необходимое оборудование по тяжелому машиностроению с таким расчетом, чтобы заказанное оборудование было готово по самолетной трубе в начале 1935 г., а по винтовой трубе к середине 1936 г., а также обеспечить необходимое энергоснабжение новых труб и командировать специалистов в Америку, Германию, Англию для ознакомления с большими трубами. Аналогичную записку ЦАГИ направил в ЦК ВКП(б) 25 ноября 1934 г. Постановлением СТО СССР № С</w:t>
      </w:r>
      <w:r w:rsidRPr="00C33834">
        <w:rPr>
          <w:color w:val="000000" w:themeColor="text1"/>
          <w:sz w:val="16"/>
          <w:szCs w:val="16"/>
        </w:rPr>
        <w:noBreakHyphen/>
        <w:t>108сс от 26 августа 1935 г. «О развитии научно-технических исследований по авиации» были утверждены объемы и сроки строительства лабораторий и аэродрома ЦАГИ на Раменском участке. Была образована комиссия под председательством Г. Л. Пятакова. Этим же постановлением ГУ АП обязывалось построить в 1936</w:t>
      </w:r>
      <w:r w:rsidRPr="00C33834">
        <w:rPr>
          <w:color w:val="000000" w:themeColor="text1"/>
          <w:sz w:val="16"/>
          <w:szCs w:val="16"/>
        </w:rPr>
        <w:noBreakHyphen/>
        <w:t>1937 гг. аэродинамические трубы и лаборатории в Харьковском и Казанском авиационных институтах, а также на заводах № 18, 22, 23, 31 и 125. Для усиления темпов работы научно-исследовательские отделы ЦАГИ объединялись в Научно-исследовательское управление, возглавлявшееся заместителем начальника ЦАГИ. (РГАЭ. Ф. 8328. Оп. 1. Д. 681. Л. 9</w:t>
      </w:r>
      <w:r w:rsidRPr="00C33834">
        <w:rPr>
          <w:color w:val="000000" w:themeColor="text1"/>
          <w:sz w:val="16"/>
          <w:szCs w:val="16"/>
        </w:rPr>
        <w:noBreakHyphen/>
        <w:t>8; АП РФ. Ф. 3. Оп. 46. Д. 95. Л. 144</w:t>
      </w:r>
      <w:r w:rsidRPr="00C33834">
        <w:rPr>
          <w:color w:val="000000" w:themeColor="text1"/>
          <w:sz w:val="16"/>
          <w:szCs w:val="16"/>
        </w:rPr>
        <w:noBreakHyphen/>
        <w:t>147; ГА РФ. Ф. Р</w:t>
      </w:r>
      <w:r w:rsidRPr="00C33834">
        <w:rPr>
          <w:color w:val="000000" w:themeColor="text1"/>
          <w:sz w:val="16"/>
          <w:szCs w:val="16"/>
        </w:rPr>
        <w:noBreakHyphen/>
        <w:t>8418. Оп. 28. Д. 7. Л. 79</w:t>
      </w:r>
      <w:r w:rsidRPr="00C33834">
        <w:rPr>
          <w:color w:val="000000" w:themeColor="text1"/>
          <w:sz w:val="16"/>
          <w:szCs w:val="16"/>
        </w:rPr>
        <w:noBreakHyphen/>
        <w:t>81).</w:t>
      </w:r>
    </w:p>
    <w:p w14:paraId="656D101C" w14:textId="77777777" w:rsidR="00AA59BC" w:rsidRPr="00C33834" w:rsidRDefault="00AA59BC" w:rsidP="00C33834">
      <w:pPr>
        <w:pStyle w:val="rtejustify"/>
        <w:spacing w:before="0" w:after="0"/>
        <w:rPr>
          <w:color w:val="000000" w:themeColor="text1"/>
          <w:sz w:val="16"/>
          <w:szCs w:val="16"/>
        </w:rPr>
      </w:pPr>
      <w:r w:rsidRPr="00C33834">
        <w:rPr>
          <w:color w:val="000000" w:themeColor="text1"/>
          <w:sz w:val="16"/>
          <w:szCs w:val="16"/>
        </w:rPr>
        <w:t>²* Приложение не публикуется (см. там же, л. 4</w:t>
      </w:r>
      <w:r w:rsidRPr="00C33834">
        <w:rPr>
          <w:color w:val="000000" w:themeColor="text1"/>
          <w:sz w:val="16"/>
          <w:szCs w:val="16"/>
        </w:rPr>
        <w:noBreakHyphen/>
        <w:t>3. Приложение № 3 в деле отсутствует).</w:t>
      </w:r>
    </w:p>
    <w:p w14:paraId="240FFD35" w14:textId="77777777" w:rsidR="00AA59BC" w:rsidRPr="00C33834" w:rsidRDefault="00AA59BC" w:rsidP="00C33834">
      <w:pPr>
        <w:pStyle w:val="ae"/>
        <w:spacing w:before="0" w:after="0"/>
        <w:jc w:val="both"/>
        <w:rPr>
          <w:color w:val="000000" w:themeColor="text1"/>
          <w:sz w:val="16"/>
          <w:szCs w:val="16"/>
        </w:rPr>
      </w:pPr>
      <w:r w:rsidRPr="00C33834">
        <w:rPr>
          <w:color w:val="000000" w:themeColor="text1"/>
          <w:sz w:val="16"/>
          <w:szCs w:val="16"/>
        </w:rPr>
        <w:t>РГАЭ. Ф. 8328. Оп. 1. Д. 681. Л. 6-5. Подлинник (15265).</w:t>
      </w:r>
    </w:p>
    <w:p w14:paraId="14719779" w14:textId="77777777" w:rsidR="00B75DE6" w:rsidRPr="00C33834" w:rsidRDefault="00B75DE6" w:rsidP="00C33834">
      <w:pPr>
        <w:shd w:val="clear" w:color="auto" w:fill="FFFFFF"/>
        <w:spacing w:after="0" w:line="240" w:lineRule="auto"/>
        <w:jc w:val="both"/>
        <w:rPr>
          <w:rFonts w:ascii="Times New Roman" w:hAnsi="Times New Roman"/>
          <w:color w:val="000000" w:themeColor="text1"/>
          <w:sz w:val="16"/>
          <w:szCs w:val="16"/>
        </w:rPr>
      </w:pPr>
    </w:p>
    <w:p w14:paraId="64CCBFCB"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апреля 1933 года был заклю</w:t>
      </w:r>
      <w:r w:rsidRPr="00C33834">
        <w:rPr>
          <w:rFonts w:ascii="Times New Roman" w:hAnsi="Times New Roman"/>
          <w:color w:val="000000" w:themeColor="text1"/>
          <w:sz w:val="16"/>
          <w:szCs w:val="16"/>
        </w:rPr>
        <w:softHyphen/>
        <w:t>чен Договор советской стороны с американской фирмой «Райт» сроком на пять лет. На основе этого договора в СССР было развернуто производство моторов М-2 5 на заводе № 19 (Пермь) (ГАРФ.Ф.8418.Оп. 23.Д.486.Л. 2.). По истечении его действия сотрудничество с фирмой продолжалось. Поста</w:t>
      </w:r>
      <w:r w:rsidRPr="00C33834">
        <w:rPr>
          <w:rFonts w:ascii="Times New Roman" w:hAnsi="Times New Roman"/>
          <w:color w:val="000000" w:themeColor="text1"/>
          <w:sz w:val="16"/>
          <w:szCs w:val="16"/>
        </w:rPr>
        <w:softHyphen/>
        <w:t>новлением КО при СНК СССР № 28сс от 7 февраля 1939 года «О покупке техпомощи по авиамоторам фирмы «Райт» указывалось на разрешение «заключить договор с фирмой «Райт» на техническую помощь по произ</w:t>
      </w:r>
      <w:r w:rsidRPr="00C33834">
        <w:rPr>
          <w:rFonts w:ascii="Times New Roman" w:hAnsi="Times New Roman"/>
          <w:color w:val="000000" w:themeColor="text1"/>
          <w:sz w:val="16"/>
          <w:szCs w:val="16"/>
        </w:rPr>
        <w:softHyphen/>
        <w:t xml:space="preserve">водству: а) однорядного, звездообразного 9-цилиндрового мотора К-1820 (ДЖИ-100 и ДЖИ-200); б) двухрядного, звездообразного 14-цилиндрового мотора К-2600» (ГАРФ.Ф.8418.Оп. 23.Д.486.Л. 2.). Предполагалось также отпустить 900000 долларов США на оплату фирме «Райт» </w:t>
      </w:r>
      <w:r w:rsidRPr="00C33834">
        <w:rPr>
          <w:rFonts w:ascii="Times New Roman" w:hAnsi="Times New Roman"/>
          <w:color w:val="000000" w:themeColor="text1"/>
          <w:sz w:val="16"/>
          <w:szCs w:val="16"/>
        </w:rPr>
        <w:lastRenderedPageBreak/>
        <w:t>за техпомощь по авиамоторам, причем разреша</w:t>
      </w:r>
      <w:r w:rsidRPr="00C33834">
        <w:rPr>
          <w:rFonts w:ascii="Times New Roman" w:hAnsi="Times New Roman"/>
          <w:color w:val="000000" w:themeColor="text1"/>
          <w:sz w:val="16"/>
          <w:szCs w:val="16"/>
        </w:rPr>
        <w:softHyphen/>
        <w:t>лось «включить в договор с фирмой «Райт», как опцион, право на покупку двухрядного 18-цилиндрового мотора К-3350» (11710,214).</w:t>
      </w:r>
    </w:p>
    <w:p w14:paraId="1DE6A97D"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p>
    <w:p w14:paraId="5008723E" w14:textId="77777777" w:rsidR="00B15BD2" w:rsidRPr="00C33834" w:rsidRDefault="00B15BD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20 апреля 1933 г. коммунисты ГИРД отправляют письмо в ЦК ВКП(б) И.В. Сталину (до Сталина письмо не дошло, вопрос о создании какого-то ракетного института считался слишком мелким, кроме того, «блеск подков» Клима Ворошилова не позволял руководству партии видеть дальше обычной артиллерии) и копию в Реввоенсовет М.Н. Тухачевскому В письме описывается история ГИРД, начиная с «кружка» Цандера, перечисляются успехи в конструкции двигателей и запусках ракет, красочно описаны трудности в работе и нищета организации, и в заключение - просьба ускорить решение о создании реактивного института. Письмо подписали: член ВКП(б) с 1917 г. старший инженер первой бригады Корнеев, член ВКП(б) с 1929 г. инженер второй бригады Ефремов, член ВКЩб) с 1928 г. инженер третьей бригады Иванов, член ВКП(б) с 1925 г. инженер второй бригады Голышев, член ВКЩб) с 1925 г. инженер первой бригады Грязнев, член ВКП(б) с 1926 г. начальник производства Буланов, член ВКП(б) с 1920 г. начальник оргмассового отдела Параев (' Архив РАН. Фонд 4,. Оп. 14. Д.242.) (22685).</w:t>
      </w:r>
    </w:p>
    <w:p w14:paraId="6F138D29" w14:textId="77777777" w:rsidR="00B15BD2" w:rsidRPr="00C33834" w:rsidRDefault="00B15BD2" w:rsidP="00C33834">
      <w:pPr>
        <w:spacing w:after="0" w:line="240" w:lineRule="auto"/>
        <w:jc w:val="both"/>
        <w:rPr>
          <w:rFonts w:ascii="Times New Roman" w:hAnsi="Times New Roman"/>
          <w:color w:val="0070C0"/>
          <w:sz w:val="16"/>
          <w:szCs w:val="16"/>
        </w:rPr>
      </w:pPr>
    </w:p>
    <w:p w14:paraId="3500D29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20 апреля 1933 согласно письма П.И.Б. были закончены заводские испытания торпедного катера ЦАГИ 5Г и Комиссия приступила к официальным испытаниям (2305,28).</w:t>
      </w:r>
    </w:p>
    <w:p w14:paraId="7B9C9F55"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429978F7" w14:textId="77777777" w:rsidR="00B75DE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4C26397" w14:textId="77777777" w:rsidR="00B75DE6" w:rsidRPr="00C33834" w:rsidRDefault="00B75DE6" w:rsidP="00C33834">
      <w:pPr>
        <w:spacing w:after="0" w:line="240" w:lineRule="auto"/>
        <w:jc w:val="both"/>
        <w:rPr>
          <w:rFonts w:ascii="Times New Roman" w:hAnsi="Times New Roman"/>
          <w:iCs/>
          <w:color w:val="000000" w:themeColor="text1"/>
          <w:sz w:val="16"/>
          <w:szCs w:val="16"/>
        </w:rPr>
      </w:pPr>
    </w:p>
    <w:p w14:paraId="2119F7C1" w14:textId="77777777" w:rsidR="00EB24B6" w:rsidRPr="00C33834" w:rsidRDefault="00EB24B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20 апреля 1933 г. Н. А. Доровлев представил руководству АУ РККА предложения по пересмотру организационной принадлежности группы «Д», и включению ее в состав II отдела АНИИ в качестве отдельного сектора (Приложение Е).215 Благодаря его активной позиции, 1 июня 1933 г. группа «Д», бывшая 4 отделом ГДЛ, была переведена в состав АНИИ.216 (20074).</w:t>
      </w:r>
    </w:p>
    <w:p w14:paraId="7C425F58" w14:textId="77777777" w:rsidR="00EB24B6" w:rsidRPr="00C33834" w:rsidRDefault="00EB24B6" w:rsidP="00C33834">
      <w:pPr>
        <w:spacing w:after="0" w:line="240" w:lineRule="auto"/>
        <w:jc w:val="both"/>
        <w:rPr>
          <w:rFonts w:ascii="Times New Roman" w:hAnsi="Times New Roman"/>
          <w:color w:val="0070C0"/>
          <w:sz w:val="16"/>
          <w:szCs w:val="16"/>
        </w:rPr>
      </w:pPr>
    </w:p>
    <w:p w14:paraId="007352C1" w14:textId="77777777" w:rsidR="00B75DE6" w:rsidRPr="00C33834" w:rsidRDefault="00B75DE6" w:rsidP="00C33834">
      <w:pPr>
        <w:pStyle w:val="rtejustify"/>
        <w:spacing w:before="0" w:after="0"/>
        <w:rPr>
          <w:color w:val="000000" w:themeColor="text1"/>
          <w:sz w:val="16"/>
          <w:szCs w:val="16"/>
        </w:rPr>
      </w:pPr>
      <w:r w:rsidRPr="00C33834">
        <w:rPr>
          <w:rStyle w:val="af0"/>
          <w:bCs/>
          <w:i w:val="0"/>
          <w:color w:val="000000" w:themeColor="text1"/>
          <w:sz w:val="16"/>
          <w:szCs w:val="16"/>
        </w:rPr>
        <w:t>20/21 апреля 1933 вышел приказ НКТП № 44с.</w:t>
      </w:r>
      <w:r w:rsidRPr="00C33834">
        <w:rPr>
          <w:color w:val="000000" w:themeColor="text1"/>
          <w:sz w:val="16"/>
          <w:szCs w:val="16"/>
        </w:rPr>
        <w:t xml:space="preserve"> О порядке предоставления отчетности предприятиями НКТП по форме Э</w:t>
      </w:r>
      <w:r w:rsidRPr="00C33834">
        <w:rPr>
          <w:color w:val="000000" w:themeColor="text1"/>
          <w:sz w:val="16"/>
          <w:szCs w:val="16"/>
        </w:rPr>
        <w:noBreakHyphen/>
        <w:t>5. (РГАЭ. Ф. 7297. Оп. 38. Д. 37. Л. 45) (15246).</w:t>
      </w:r>
    </w:p>
    <w:p w14:paraId="633A60BF" w14:textId="77777777" w:rsidR="00B75DE6" w:rsidRPr="00C33834" w:rsidRDefault="00B75DE6" w:rsidP="00C33834">
      <w:pPr>
        <w:pStyle w:val="rtejustify"/>
        <w:spacing w:before="0" w:after="0"/>
        <w:rPr>
          <w:color w:val="000000" w:themeColor="text1"/>
          <w:sz w:val="16"/>
          <w:szCs w:val="16"/>
        </w:rPr>
      </w:pPr>
    </w:p>
    <w:p w14:paraId="519E66CA"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44DA2BCC"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00CF17D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апреля 1933 начался выпуск серии ЖЗЛ с книги А.Дейча о Гейне (3481).</w:t>
      </w:r>
    </w:p>
    <w:p w14:paraId="23D247B5" w14:textId="41F67775" w:rsidR="008E7A66" w:rsidRPr="00C33834" w:rsidRDefault="008E7A66" w:rsidP="00C33834">
      <w:pPr>
        <w:spacing w:after="0" w:line="240" w:lineRule="auto"/>
        <w:jc w:val="both"/>
        <w:rPr>
          <w:rFonts w:ascii="Times New Roman" w:hAnsi="Times New Roman"/>
          <w:color w:val="000000" w:themeColor="text1"/>
          <w:sz w:val="16"/>
          <w:szCs w:val="16"/>
        </w:rPr>
      </w:pPr>
    </w:p>
    <w:p w14:paraId="2751A67C" w14:textId="7A3BA3BF" w:rsidR="00EB24B6" w:rsidRPr="00C33834" w:rsidRDefault="00EB24B6" w:rsidP="00C33834">
      <w:pPr>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За рубежом:</w:t>
      </w:r>
    </w:p>
    <w:p w14:paraId="204985A1" w14:textId="77777777" w:rsidR="00EB24B6" w:rsidRPr="00C33834" w:rsidRDefault="00EB24B6" w:rsidP="00C33834">
      <w:pPr>
        <w:spacing w:after="0" w:line="240" w:lineRule="auto"/>
        <w:jc w:val="both"/>
        <w:rPr>
          <w:rFonts w:ascii="Times New Roman" w:hAnsi="Times New Roman"/>
          <w:i/>
          <w:iCs/>
          <w:color w:val="000000" w:themeColor="text1"/>
          <w:sz w:val="16"/>
          <w:szCs w:val="16"/>
        </w:rPr>
      </w:pPr>
    </w:p>
    <w:p w14:paraId="6A234D5C" w14:textId="77777777" w:rsidR="00EB24B6" w:rsidRPr="00C33834" w:rsidRDefault="00EB24B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20 апреля 1933 прототип парового биплана Джорджа Д. Беслера и Уильяма Дж. Беслера  основанный на Travel Air 2000, совершает первый из нескольких демонстрационных полетов в аэропорту Окленда в районе залива Сан-Франциско (20802).</w:t>
      </w:r>
    </w:p>
    <w:p w14:paraId="675BA5DA" w14:textId="77777777" w:rsidR="00EB24B6" w:rsidRPr="00C33834" w:rsidRDefault="00EB24B6" w:rsidP="00C33834">
      <w:pPr>
        <w:spacing w:after="0" w:line="240" w:lineRule="auto"/>
        <w:jc w:val="both"/>
        <w:rPr>
          <w:rFonts w:ascii="Times New Roman" w:hAnsi="Times New Roman"/>
          <w:color w:val="0070C0"/>
          <w:sz w:val="16"/>
          <w:szCs w:val="16"/>
        </w:rPr>
      </w:pPr>
    </w:p>
    <w:p w14:paraId="5515B1DC"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C5538B9"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2C6DF3AA"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апреля 1933 закончились испытания самолета ТБ3 4М17 с тормозными колесами по устранении дефектов согласно заключения по испытаниям 7 марта 1933 года, которые проходили с 19 апреля (6638).</w:t>
      </w:r>
    </w:p>
    <w:p w14:paraId="11298E29"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023F86BA"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самолета ТБ3 4М17 с тормозными колесами по устранении дефектов гидравлического управления тормозами и установки тормозных колес согласно заключения по испытаниям от 7 марта 1933 года.</w:t>
      </w:r>
    </w:p>
    <w:p w14:paraId="5A203A27"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2163C6EF"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Гидравлическое управление тормозами колес самолета ТБ3 4М17 размерами 1350х300 мм утверждается (6638).</w:t>
      </w:r>
    </w:p>
    <w:p w14:paraId="0BD3845C" w14:textId="77777777" w:rsidR="008E7A66" w:rsidRPr="00C33834" w:rsidRDefault="008E7A66" w:rsidP="00C33834">
      <w:pPr>
        <w:tabs>
          <w:tab w:val="left" w:pos="11199"/>
        </w:tabs>
        <w:spacing w:after="0" w:line="240" w:lineRule="auto"/>
        <w:jc w:val="both"/>
        <w:rPr>
          <w:rFonts w:ascii="Times New Roman" w:hAnsi="Times New Roman"/>
          <w:color w:val="000000" w:themeColor="text1"/>
          <w:sz w:val="16"/>
          <w:szCs w:val="16"/>
        </w:rPr>
      </w:pPr>
    </w:p>
    <w:p w14:paraId="4C89867A"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апреля 1933 г. за</w:t>
      </w:r>
      <w:r w:rsidRPr="00C33834">
        <w:rPr>
          <w:rFonts w:ascii="Times New Roman" w:hAnsi="Times New Roman"/>
          <w:color w:val="000000" w:themeColor="text1"/>
          <w:sz w:val="16"/>
          <w:szCs w:val="16"/>
        </w:rPr>
        <w:softHyphen/>
        <w:t>вершились заводские испыта</w:t>
      </w:r>
      <w:r w:rsidRPr="00C33834">
        <w:rPr>
          <w:rFonts w:ascii="Times New Roman" w:hAnsi="Times New Roman"/>
          <w:color w:val="000000" w:themeColor="text1"/>
          <w:sz w:val="16"/>
          <w:szCs w:val="16"/>
        </w:rPr>
        <w:softHyphen/>
        <w:t>ния мотора ГМ-34, 20 мая его выста</w:t>
      </w:r>
      <w:r w:rsidRPr="00C33834">
        <w:rPr>
          <w:rFonts w:ascii="Times New Roman" w:hAnsi="Times New Roman"/>
          <w:color w:val="000000" w:themeColor="text1"/>
          <w:sz w:val="16"/>
          <w:szCs w:val="16"/>
        </w:rPr>
        <w:softHyphen/>
        <w:t>вили на государственные. На 48-м часу полетела водяная помпа, позже лопнул вал ре</w:t>
      </w:r>
      <w:r w:rsidRPr="00C33834">
        <w:rPr>
          <w:rFonts w:ascii="Times New Roman" w:hAnsi="Times New Roman"/>
          <w:color w:val="000000" w:themeColor="text1"/>
          <w:sz w:val="16"/>
          <w:szCs w:val="16"/>
        </w:rPr>
        <w:softHyphen/>
        <w:t>верса. В ноябре 1933 г. на за</w:t>
      </w:r>
      <w:r w:rsidRPr="00C33834">
        <w:rPr>
          <w:rFonts w:ascii="Times New Roman" w:hAnsi="Times New Roman"/>
          <w:color w:val="000000" w:themeColor="text1"/>
          <w:sz w:val="16"/>
          <w:szCs w:val="16"/>
        </w:rPr>
        <w:softHyphen/>
        <w:t>воде им. Марти в Ленинграде пару опытных двигателей уста</w:t>
      </w:r>
      <w:r w:rsidRPr="00C33834">
        <w:rPr>
          <w:rFonts w:ascii="Times New Roman" w:hAnsi="Times New Roman"/>
          <w:color w:val="000000" w:themeColor="text1"/>
          <w:sz w:val="16"/>
          <w:szCs w:val="16"/>
        </w:rPr>
        <w:softHyphen/>
        <w:t>новили на головной торпедный катер типа Г-5. Один ГМ-34 был левого исполнения, другой -правого. 5 декабря катер при</w:t>
      </w:r>
      <w:r w:rsidRPr="00C33834">
        <w:rPr>
          <w:rFonts w:ascii="Times New Roman" w:hAnsi="Times New Roman"/>
          <w:color w:val="000000" w:themeColor="text1"/>
          <w:sz w:val="16"/>
          <w:szCs w:val="16"/>
        </w:rPr>
        <w:softHyphen/>
        <w:t>был на Черное море, а 12 декабря уже вышел в море. Государственные испытания на нем завершились в августе 1934 г. Параллельно весь 1933 г. мотор работал на стенде в ЦИАМ. С 1934 г. он выпускался се</w:t>
      </w:r>
      <w:r w:rsidRPr="00C33834">
        <w:rPr>
          <w:rFonts w:ascii="Times New Roman" w:hAnsi="Times New Roman"/>
          <w:color w:val="000000" w:themeColor="text1"/>
          <w:sz w:val="16"/>
          <w:szCs w:val="16"/>
        </w:rPr>
        <w:softHyphen/>
        <w:t>рийно, к 1 июля изготовили 21 ка</w:t>
      </w:r>
      <w:r w:rsidRPr="00C33834">
        <w:rPr>
          <w:rFonts w:ascii="Times New Roman" w:hAnsi="Times New Roman"/>
          <w:color w:val="000000" w:themeColor="text1"/>
          <w:sz w:val="16"/>
          <w:szCs w:val="16"/>
        </w:rPr>
        <w:softHyphen/>
        <w:t>терный двигатель, а к концу года -156. Мощность была та же, что у авиационного М-34, а вес суще</w:t>
      </w:r>
      <w:r w:rsidRPr="00C33834">
        <w:rPr>
          <w:rFonts w:ascii="Times New Roman" w:hAnsi="Times New Roman"/>
          <w:color w:val="000000" w:themeColor="text1"/>
          <w:sz w:val="16"/>
          <w:szCs w:val="16"/>
        </w:rPr>
        <w:softHyphen/>
        <w:t>ственно больше, 864 кг, а с реверс-муфтой и коллекторами - 1000 кг. Катерный вариант совершенство</w:t>
      </w:r>
      <w:r w:rsidRPr="00C33834">
        <w:rPr>
          <w:rFonts w:ascii="Times New Roman" w:hAnsi="Times New Roman"/>
          <w:color w:val="000000" w:themeColor="text1"/>
          <w:sz w:val="16"/>
          <w:szCs w:val="16"/>
        </w:rPr>
        <w:softHyphen/>
        <w:t>вался параллельно с авиационным. Так, ГМ-34Ф имел коренные вклады</w:t>
      </w:r>
      <w:r w:rsidRPr="00C33834">
        <w:rPr>
          <w:rFonts w:ascii="Times New Roman" w:hAnsi="Times New Roman"/>
          <w:color w:val="000000" w:themeColor="text1"/>
          <w:sz w:val="16"/>
          <w:szCs w:val="16"/>
        </w:rPr>
        <w:softHyphen/>
        <w:t>ши из бронзы, коленчатый вал, го</w:t>
      </w:r>
      <w:r w:rsidRPr="00C33834">
        <w:rPr>
          <w:rFonts w:ascii="Times New Roman" w:hAnsi="Times New Roman"/>
          <w:color w:val="000000" w:themeColor="text1"/>
          <w:sz w:val="16"/>
          <w:szCs w:val="16"/>
        </w:rPr>
        <w:softHyphen/>
        <w:t>ловки блоков и часть агрегатов от М-34ФРНВ. Степень сжатия у него равнялась 7,3. Он был на 80 кг тя</w:t>
      </w:r>
      <w:r w:rsidRPr="00C33834">
        <w:rPr>
          <w:rFonts w:ascii="Times New Roman" w:hAnsi="Times New Roman"/>
          <w:color w:val="000000" w:themeColor="text1"/>
          <w:sz w:val="16"/>
          <w:szCs w:val="16"/>
        </w:rPr>
        <w:softHyphen/>
        <w:t>желее ГМ-34, но зато максимально выдавал 1000 л.с. Интересно, что для него предусматривалась работа как на чистом бензине, так и на бензи-но-спиртовой смеси. Но очень сомни</w:t>
      </w:r>
      <w:r w:rsidRPr="00C33834">
        <w:rPr>
          <w:rFonts w:ascii="Times New Roman" w:hAnsi="Times New Roman"/>
          <w:color w:val="000000" w:themeColor="text1"/>
          <w:sz w:val="16"/>
          <w:szCs w:val="16"/>
        </w:rPr>
        <w:softHyphen/>
        <w:t>тельно, чтобы эта смесь использова</w:t>
      </w:r>
      <w:r w:rsidRPr="00C33834">
        <w:rPr>
          <w:rFonts w:ascii="Times New Roman" w:hAnsi="Times New Roman"/>
          <w:color w:val="000000" w:themeColor="text1"/>
          <w:sz w:val="16"/>
          <w:szCs w:val="16"/>
        </w:rPr>
        <w:softHyphen/>
        <w:t>лась для серий-ных двигателей на флотах. Первые два ГМ-34Ф выпус</w:t>
      </w:r>
      <w:r w:rsidRPr="00C33834">
        <w:rPr>
          <w:rFonts w:ascii="Times New Roman" w:hAnsi="Times New Roman"/>
          <w:color w:val="000000" w:themeColor="text1"/>
          <w:sz w:val="16"/>
          <w:szCs w:val="16"/>
        </w:rPr>
        <w:softHyphen/>
        <w:t>тили в 1936 г. С конца 1936 г. работали над форсированием за счет применения наддува. С августа 1939 г. в серию пошел ГМ-34ФН с нагнетателем ФН-25, одним карбюратором К-4 и усо</w:t>
      </w:r>
      <w:r w:rsidRPr="00C33834">
        <w:rPr>
          <w:rFonts w:ascii="Times New Roman" w:hAnsi="Times New Roman"/>
          <w:color w:val="000000" w:themeColor="text1"/>
          <w:sz w:val="16"/>
          <w:szCs w:val="16"/>
        </w:rPr>
        <w:softHyphen/>
        <w:t>вершенствованной маслосистемой. Степень сжатия у него опять понизи</w:t>
      </w:r>
      <w:r w:rsidRPr="00C33834">
        <w:rPr>
          <w:rFonts w:ascii="Times New Roman" w:hAnsi="Times New Roman"/>
          <w:color w:val="000000" w:themeColor="text1"/>
          <w:sz w:val="16"/>
          <w:szCs w:val="16"/>
        </w:rPr>
        <w:softHyphen/>
        <w:t>ли до 6,0, чтобы использовать низ</w:t>
      </w:r>
      <w:r w:rsidRPr="00C33834">
        <w:rPr>
          <w:rFonts w:ascii="Times New Roman" w:hAnsi="Times New Roman"/>
          <w:color w:val="000000" w:themeColor="text1"/>
          <w:sz w:val="16"/>
          <w:szCs w:val="16"/>
        </w:rPr>
        <w:softHyphen/>
        <w:t>кокачественное топливо, но мощ</w:t>
      </w:r>
      <w:r w:rsidRPr="00C33834">
        <w:rPr>
          <w:rFonts w:ascii="Times New Roman" w:hAnsi="Times New Roman"/>
          <w:color w:val="000000" w:themeColor="text1"/>
          <w:sz w:val="16"/>
          <w:szCs w:val="16"/>
        </w:rPr>
        <w:softHyphen/>
        <w:t>ность довели до 1200 л.с. Вес при этом увеличился незначительно - до 1110 кг. Существовал и дефорсированный мотор ГМ-34БП для речных броне</w:t>
      </w:r>
      <w:r w:rsidRPr="00C33834">
        <w:rPr>
          <w:rFonts w:ascii="Times New Roman" w:hAnsi="Times New Roman"/>
          <w:color w:val="000000" w:themeColor="text1"/>
          <w:sz w:val="16"/>
          <w:szCs w:val="16"/>
        </w:rPr>
        <w:softHyphen/>
        <w:t>катеров мощностью 800 л.с. Он тоже выпускался серийно. В войну его сменил ГМ-34БС, развивавший 850 л.с. Эти двигатели ставились на катерах проектов 1124 и 1125, стро</w:t>
      </w:r>
      <w:r w:rsidRPr="00C33834">
        <w:rPr>
          <w:rFonts w:ascii="Times New Roman" w:hAnsi="Times New Roman"/>
          <w:color w:val="000000" w:themeColor="text1"/>
          <w:sz w:val="16"/>
          <w:szCs w:val="16"/>
        </w:rPr>
        <w:softHyphen/>
        <w:t>ившихся до 1944 г. На основе катерного варианта был разработан ГМ-34БТ мощнос</w:t>
      </w:r>
      <w:r w:rsidRPr="00C33834">
        <w:rPr>
          <w:rFonts w:ascii="Times New Roman" w:hAnsi="Times New Roman"/>
          <w:color w:val="000000" w:themeColor="text1"/>
          <w:sz w:val="16"/>
          <w:szCs w:val="16"/>
        </w:rPr>
        <w:softHyphen/>
        <w:t>тью 850 л.с. для танков с изменен</w:t>
      </w:r>
      <w:r w:rsidRPr="00C33834">
        <w:rPr>
          <w:rFonts w:ascii="Times New Roman" w:hAnsi="Times New Roman"/>
          <w:color w:val="000000" w:themeColor="text1"/>
          <w:sz w:val="16"/>
          <w:szCs w:val="16"/>
        </w:rPr>
        <w:softHyphen/>
        <w:t>ной системой охлаждения, вентиля</w:t>
      </w:r>
      <w:r w:rsidRPr="00C33834">
        <w:rPr>
          <w:rFonts w:ascii="Times New Roman" w:hAnsi="Times New Roman"/>
          <w:color w:val="000000" w:themeColor="text1"/>
          <w:sz w:val="16"/>
          <w:szCs w:val="16"/>
        </w:rPr>
        <w:softHyphen/>
        <w:t>тором принудительного обдува. Он имел электростартер вместо пневмопуска. ГМ-34БТ выпустили ма</w:t>
      </w:r>
      <w:r w:rsidRPr="00C33834">
        <w:rPr>
          <w:rFonts w:ascii="Times New Roman" w:hAnsi="Times New Roman"/>
          <w:color w:val="000000" w:themeColor="text1"/>
          <w:sz w:val="16"/>
          <w:szCs w:val="16"/>
        </w:rPr>
        <w:softHyphen/>
        <w:t>лой серией в 1939 г. Такие моторы устанавливались на опытных танках Т-100 и СМК, проходивших войсковые испы</w:t>
      </w:r>
      <w:r w:rsidRPr="00C33834">
        <w:rPr>
          <w:rFonts w:ascii="Times New Roman" w:hAnsi="Times New Roman"/>
          <w:color w:val="000000" w:themeColor="text1"/>
          <w:sz w:val="16"/>
          <w:szCs w:val="16"/>
        </w:rPr>
        <w:softHyphen/>
        <w:t>тания на фронте во время войны с Финляндией зимой 1940 г., а также опытном са</w:t>
      </w:r>
      <w:r w:rsidRPr="00C33834">
        <w:rPr>
          <w:rFonts w:ascii="Times New Roman" w:hAnsi="Times New Roman"/>
          <w:color w:val="000000" w:themeColor="text1"/>
          <w:sz w:val="16"/>
          <w:szCs w:val="16"/>
        </w:rPr>
        <w:softHyphen/>
        <w:t>моходном орудии СУ-100у («Игрек», 1940 г.), применяв</w:t>
      </w:r>
      <w:r w:rsidRPr="00C33834">
        <w:rPr>
          <w:rFonts w:ascii="Times New Roman" w:hAnsi="Times New Roman"/>
          <w:color w:val="000000" w:themeColor="text1"/>
          <w:sz w:val="16"/>
          <w:szCs w:val="16"/>
        </w:rPr>
        <w:softHyphen/>
        <w:t>шемся в боях под Москвой зимой 1941 г. (11848).</w:t>
      </w:r>
    </w:p>
    <w:p w14:paraId="52F8D3FB"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p>
    <w:p w14:paraId="2EE91FF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апреля 1933 на И-14 установили шасси (правда, без подъемного механизма - его не успели довести в срок); 28 марта 1933 г. состоялась установка мотора на самолет И-14; 10 марта 1933 был полностью собран фюзеляж И-14; 16 апреля 1933 г. сдали центроплан И-14; консоли крыла сдали 25 апреля 1933 г. (12037).</w:t>
      </w:r>
    </w:p>
    <w:p w14:paraId="407C5A7D"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7DA84EB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апреля 1933 состоялось совещание у Зам. Нач. ВВС по вопросу по эталонов на самолеты.</w:t>
      </w:r>
    </w:p>
    <w:p w14:paraId="3CE1A6F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Определили наличие эталонов и установили предварительные сроки готовности:</w:t>
      </w:r>
    </w:p>
    <w:p w14:paraId="37D01B5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tblGrid>
      <w:tr w:rsidR="00F26F01" w:rsidRPr="00C33834" w14:paraId="4283AE4E" w14:textId="77777777">
        <w:tc>
          <w:tcPr>
            <w:tcW w:w="2254" w:type="dxa"/>
          </w:tcPr>
          <w:p w14:paraId="45B5B3D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ТБ3-М34</w:t>
            </w:r>
          </w:p>
        </w:tc>
        <w:tc>
          <w:tcPr>
            <w:tcW w:w="2254" w:type="dxa"/>
          </w:tcPr>
          <w:p w14:paraId="66C22EA0"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30.05.33 г.</w:t>
            </w:r>
          </w:p>
        </w:tc>
      </w:tr>
      <w:tr w:rsidR="00F26F01" w:rsidRPr="00C33834" w14:paraId="70B0D7C3" w14:textId="77777777">
        <w:tc>
          <w:tcPr>
            <w:tcW w:w="2254" w:type="dxa"/>
          </w:tcPr>
          <w:p w14:paraId="50C2BBA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Образцовый с-т ТБ4-М34</w:t>
            </w:r>
          </w:p>
        </w:tc>
        <w:tc>
          <w:tcPr>
            <w:tcW w:w="2254" w:type="dxa"/>
          </w:tcPr>
          <w:p w14:paraId="59A6D7C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1.07 по 1.08.33 г.</w:t>
            </w:r>
          </w:p>
        </w:tc>
      </w:tr>
      <w:tr w:rsidR="00F26F01" w:rsidRPr="00C33834" w14:paraId="3A673C47" w14:textId="77777777">
        <w:tc>
          <w:tcPr>
            <w:tcW w:w="2254" w:type="dxa"/>
          </w:tcPr>
          <w:p w14:paraId="4B525850"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Образцовый с-т МИ3-М34</w:t>
            </w:r>
          </w:p>
        </w:tc>
        <w:tc>
          <w:tcPr>
            <w:tcW w:w="2254" w:type="dxa"/>
          </w:tcPr>
          <w:p w14:paraId="3112D44C"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1.07.33 г.</w:t>
            </w:r>
          </w:p>
        </w:tc>
      </w:tr>
      <w:tr w:rsidR="00F26F01" w:rsidRPr="00C33834" w14:paraId="178ABCDC" w14:textId="77777777">
        <w:tc>
          <w:tcPr>
            <w:tcW w:w="2254" w:type="dxa"/>
          </w:tcPr>
          <w:p w14:paraId="25805360"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МБР4-М34</w:t>
            </w:r>
          </w:p>
        </w:tc>
        <w:tc>
          <w:tcPr>
            <w:tcW w:w="2254" w:type="dxa"/>
          </w:tcPr>
          <w:p w14:paraId="470B4CB6"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1.06.33 г.</w:t>
            </w:r>
          </w:p>
        </w:tc>
      </w:tr>
      <w:tr w:rsidR="00F26F01" w:rsidRPr="00C33834" w14:paraId="3D3D11D2" w14:textId="77777777">
        <w:tc>
          <w:tcPr>
            <w:tcW w:w="2254" w:type="dxa"/>
          </w:tcPr>
          <w:p w14:paraId="407BF620"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 М-17</w:t>
            </w:r>
          </w:p>
        </w:tc>
        <w:tc>
          <w:tcPr>
            <w:tcW w:w="2254" w:type="dxa"/>
          </w:tcPr>
          <w:p w14:paraId="6E9DF7EC"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1.06.33 г.</w:t>
            </w:r>
          </w:p>
        </w:tc>
      </w:tr>
      <w:tr w:rsidR="00F26F01" w:rsidRPr="00C33834" w14:paraId="5858752C" w14:textId="77777777">
        <w:tc>
          <w:tcPr>
            <w:tcW w:w="2254" w:type="dxa"/>
          </w:tcPr>
          <w:p w14:paraId="6AE16D25"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АШ М-11</w:t>
            </w:r>
          </w:p>
        </w:tc>
        <w:tc>
          <w:tcPr>
            <w:tcW w:w="2254" w:type="dxa"/>
          </w:tcPr>
          <w:p w14:paraId="652505B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1.05.33 г.</w:t>
            </w:r>
          </w:p>
        </w:tc>
      </w:tr>
      <w:tr w:rsidR="00F26F01" w:rsidRPr="00C33834" w14:paraId="59A2C96A" w14:textId="77777777">
        <w:tc>
          <w:tcPr>
            <w:tcW w:w="2254" w:type="dxa"/>
          </w:tcPr>
          <w:p w14:paraId="54940E5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 М-17</w:t>
            </w:r>
          </w:p>
        </w:tc>
        <w:tc>
          <w:tcPr>
            <w:tcW w:w="2254" w:type="dxa"/>
          </w:tcPr>
          <w:p w14:paraId="4EF64ADC"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15.05.33 г.</w:t>
            </w:r>
          </w:p>
        </w:tc>
      </w:tr>
      <w:tr w:rsidR="00F26F01" w:rsidRPr="00C33834" w14:paraId="39AAA102" w14:textId="77777777">
        <w:tc>
          <w:tcPr>
            <w:tcW w:w="2254" w:type="dxa"/>
          </w:tcPr>
          <w:p w14:paraId="5515CC2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 М-17</w:t>
            </w:r>
          </w:p>
        </w:tc>
        <w:tc>
          <w:tcPr>
            <w:tcW w:w="2254" w:type="dxa"/>
          </w:tcPr>
          <w:p w14:paraId="4045326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10.05.33 г.</w:t>
            </w:r>
          </w:p>
        </w:tc>
      </w:tr>
      <w:tr w:rsidR="00F26F01" w:rsidRPr="00C33834" w14:paraId="5980F2ED" w14:textId="77777777">
        <w:tc>
          <w:tcPr>
            <w:tcW w:w="2254" w:type="dxa"/>
          </w:tcPr>
          <w:p w14:paraId="61EFA78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 М-22</w:t>
            </w:r>
          </w:p>
        </w:tc>
        <w:tc>
          <w:tcPr>
            <w:tcW w:w="2254" w:type="dxa"/>
          </w:tcPr>
          <w:p w14:paraId="41FB1C7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15.05.33 г.</w:t>
            </w:r>
          </w:p>
        </w:tc>
      </w:tr>
      <w:tr w:rsidR="00F26F01" w:rsidRPr="00C33834" w14:paraId="7F0EB848" w14:textId="77777777">
        <w:tc>
          <w:tcPr>
            <w:tcW w:w="2254" w:type="dxa"/>
          </w:tcPr>
          <w:p w14:paraId="42F4502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Р5-а М-17</w:t>
            </w:r>
          </w:p>
        </w:tc>
        <w:tc>
          <w:tcPr>
            <w:tcW w:w="2254" w:type="dxa"/>
          </w:tcPr>
          <w:p w14:paraId="31B4C5A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1.08.33 г.</w:t>
            </w:r>
          </w:p>
        </w:tc>
      </w:tr>
      <w:tr w:rsidR="00F26F01" w:rsidRPr="00C33834" w14:paraId="2F6D4DB8" w14:textId="77777777">
        <w:tc>
          <w:tcPr>
            <w:tcW w:w="2254" w:type="dxa"/>
          </w:tcPr>
          <w:p w14:paraId="72C0999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Р5 - штурмовик</w:t>
            </w:r>
          </w:p>
        </w:tc>
        <w:tc>
          <w:tcPr>
            <w:tcW w:w="2254" w:type="dxa"/>
          </w:tcPr>
          <w:p w14:paraId="61D1245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Эталоном на 1933 г.</w:t>
            </w:r>
          </w:p>
        </w:tc>
      </w:tr>
      <w:tr w:rsidR="00F26F01" w:rsidRPr="00C33834" w14:paraId="41473F10" w14:textId="77777777">
        <w:tc>
          <w:tcPr>
            <w:tcW w:w="2254" w:type="dxa"/>
          </w:tcPr>
          <w:p w14:paraId="0F4B5354"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2254" w:type="dxa"/>
          </w:tcPr>
          <w:p w14:paraId="57C87BE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оставить самолет,</w:t>
            </w:r>
          </w:p>
        </w:tc>
      </w:tr>
      <w:tr w:rsidR="00F26F01" w:rsidRPr="00C33834" w14:paraId="26E993F1" w14:textId="77777777">
        <w:tc>
          <w:tcPr>
            <w:tcW w:w="2254" w:type="dxa"/>
          </w:tcPr>
          <w:p w14:paraId="654B2E57"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2254" w:type="dxa"/>
          </w:tcPr>
          <w:p w14:paraId="103D9E2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предъявленный з-дом</w:t>
            </w:r>
          </w:p>
        </w:tc>
      </w:tr>
      <w:tr w:rsidR="00F26F01" w:rsidRPr="00C33834" w14:paraId="64307303" w14:textId="77777777">
        <w:tc>
          <w:tcPr>
            <w:tcW w:w="2254" w:type="dxa"/>
          </w:tcPr>
          <w:p w14:paraId="69DD407E"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2254" w:type="dxa"/>
          </w:tcPr>
          <w:p w14:paraId="6800079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N 1 в НИИ на испытан.</w:t>
            </w:r>
          </w:p>
        </w:tc>
      </w:tr>
      <w:tr w:rsidR="00F26F01" w:rsidRPr="00C33834" w14:paraId="25337FEA" w14:textId="77777777">
        <w:tc>
          <w:tcPr>
            <w:tcW w:w="2254" w:type="dxa"/>
          </w:tcPr>
          <w:p w14:paraId="31B932A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ЗЕТ М-22</w:t>
            </w:r>
          </w:p>
        </w:tc>
        <w:tc>
          <w:tcPr>
            <w:tcW w:w="2254" w:type="dxa"/>
          </w:tcPr>
          <w:p w14:paraId="28D8EE1C"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30.05.33 г.</w:t>
            </w:r>
          </w:p>
        </w:tc>
      </w:tr>
      <w:tr w:rsidR="00F26F01" w:rsidRPr="00C33834" w14:paraId="3DE157FB" w14:textId="77777777">
        <w:tc>
          <w:tcPr>
            <w:tcW w:w="2254" w:type="dxa"/>
          </w:tcPr>
          <w:p w14:paraId="43BF0262"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2254" w:type="dxa"/>
          </w:tcPr>
          <w:p w14:paraId="11CB434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предъявляется образц.</w:t>
            </w:r>
          </w:p>
        </w:tc>
      </w:tr>
      <w:tr w:rsidR="00F26F01" w:rsidRPr="00C33834" w14:paraId="20C72637" w14:textId="77777777">
        <w:tc>
          <w:tcPr>
            <w:tcW w:w="2254" w:type="dxa"/>
          </w:tcPr>
          <w:p w14:paraId="08F919D2"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2254" w:type="dxa"/>
          </w:tcPr>
          <w:p w14:paraId="57603467"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 на испытание в</w:t>
            </w:r>
          </w:p>
        </w:tc>
      </w:tr>
      <w:tr w:rsidR="00F26F01" w:rsidRPr="00C33834" w14:paraId="44CD3AD4" w14:textId="77777777">
        <w:tc>
          <w:tcPr>
            <w:tcW w:w="2254" w:type="dxa"/>
          </w:tcPr>
          <w:p w14:paraId="1311DACF"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2254" w:type="dxa"/>
          </w:tcPr>
          <w:p w14:paraId="2F03EDF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НИИ.</w:t>
            </w:r>
          </w:p>
        </w:tc>
      </w:tr>
      <w:tr w:rsidR="00F26F01" w:rsidRPr="00C33834" w14:paraId="1DB7852D" w14:textId="77777777">
        <w:tc>
          <w:tcPr>
            <w:tcW w:w="2254" w:type="dxa"/>
          </w:tcPr>
          <w:p w14:paraId="1056BAE6"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У-2 М-11</w:t>
            </w:r>
          </w:p>
        </w:tc>
        <w:tc>
          <w:tcPr>
            <w:tcW w:w="2254" w:type="dxa"/>
          </w:tcPr>
          <w:p w14:paraId="6A4CC1E6"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 предъявлен в</w:t>
            </w:r>
          </w:p>
        </w:tc>
      </w:tr>
      <w:tr w:rsidR="00F26F01" w:rsidRPr="00C33834" w14:paraId="5CDF8936" w14:textId="77777777">
        <w:tc>
          <w:tcPr>
            <w:tcW w:w="2254" w:type="dxa"/>
          </w:tcPr>
          <w:p w14:paraId="247CC30D"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2254" w:type="dxa"/>
          </w:tcPr>
          <w:p w14:paraId="615389EF"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НИИ и испытан.</w:t>
            </w:r>
          </w:p>
        </w:tc>
      </w:tr>
      <w:tr w:rsidR="00F26F01" w:rsidRPr="00C33834" w14:paraId="1B8C0F11" w14:textId="77777777">
        <w:tc>
          <w:tcPr>
            <w:tcW w:w="2254" w:type="dxa"/>
          </w:tcPr>
          <w:p w14:paraId="069FD255"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 М-34</w:t>
            </w:r>
          </w:p>
        </w:tc>
        <w:tc>
          <w:tcPr>
            <w:tcW w:w="2254" w:type="dxa"/>
          </w:tcPr>
          <w:p w14:paraId="3C54C811"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виду отказа </w:t>
            </w:r>
          </w:p>
        </w:tc>
      </w:tr>
      <w:tr w:rsidR="00F26F01" w:rsidRPr="00C33834" w14:paraId="36550485" w14:textId="77777777">
        <w:tc>
          <w:tcPr>
            <w:tcW w:w="2254" w:type="dxa"/>
          </w:tcPr>
          <w:p w14:paraId="672ABF50"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2254" w:type="dxa"/>
          </w:tcPr>
          <w:p w14:paraId="6DFA4C7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промышленности от</w:t>
            </w:r>
          </w:p>
        </w:tc>
      </w:tr>
      <w:tr w:rsidR="00F26F01" w:rsidRPr="00C33834" w14:paraId="37A6FCBB" w14:textId="77777777">
        <w:tc>
          <w:tcPr>
            <w:tcW w:w="2254" w:type="dxa"/>
          </w:tcPr>
          <w:p w14:paraId="769B2347"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2254" w:type="dxa"/>
          </w:tcPr>
          <w:p w14:paraId="38A54724"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представления эталона</w:t>
            </w:r>
          </w:p>
        </w:tc>
      </w:tr>
      <w:tr w:rsidR="00F26F01" w:rsidRPr="00C33834" w14:paraId="5869E180" w14:textId="77777777">
        <w:tc>
          <w:tcPr>
            <w:tcW w:w="2254" w:type="dxa"/>
          </w:tcPr>
          <w:p w14:paraId="1C3A64CF"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2254" w:type="dxa"/>
          </w:tcPr>
          <w:p w14:paraId="073A08A2"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этого самолета и</w:t>
            </w:r>
          </w:p>
        </w:tc>
      </w:tr>
      <w:tr w:rsidR="00F26F01" w:rsidRPr="00C33834" w14:paraId="2004D52A" w14:textId="77777777">
        <w:tc>
          <w:tcPr>
            <w:tcW w:w="2254" w:type="dxa"/>
          </w:tcPr>
          <w:p w14:paraId="70FCE39B"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2254" w:type="dxa"/>
          </w:tcPr>
          <w:p w14:paraId="30B4B808"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постройки его в 1933 г.</w:t>
            </w:r>
          </w:p>
        </w:tc>
      </w:tr>
      <w:tr w:rsidR="00F26F01" w:rsidRPr="00C33834" w14:paraId="1866C13C" w14:textId="77777777">
        <w:tc>
          <w:tcPr>
            <w:tcW w:w="2254" w:type="dxa"/>
          </w:tcPr>
          <w:p w14:paraId="74725FF5"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2254" w:type="dxa"/>
          </w:tcPr>
          <w:p w14:paraId="62D82094"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 поставить в</w:t>
            </w:r>
          </w:p>
        </w:tc>
      </w:tr>
      <w:tr w:rsidR="00F26F01" w:rsidRPr="00C33834" w14:paraId="53D3BEF9" w14:textId="77777777">
        <w:tc>
          <w:tcPr>
            <w:tcW w:w="2254" w:type="dxa"/>
          </w:tcPr>
          <w:p w14:paraId="390FCAC0" w14:textId="77777777" w:rsidR="008E7A66" w:rsidRPr="00C33834" w:rsidRDefault="008E7A66" w:rsidP="00C33834">
            <w:pPr>
              <w:spacing w:after="0" w:line="240" w:lineRule="auto"/>
              <w:jc w:val="both"/>
              <w:rPr>
                <w:rFonts w:ascii="Times New Roman" w:hAnsi="Times New Roman"/>
                <w:color w:val="000000" w:themeColor="text1"/>
                <w:sz w:val="16"/>
                <w:szCs w:val="16"/>
              </w:rPr>
            </w:pPr>
          </w:p>
        </w:tc>
        <w:tc>
          <w:tcPr>
            <w:tcW w:w="2254" w:type="dxa"/>
          </w:tcPr>
          <w:p w14:paraId="2DE20B2E"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правительстве (3058).</w:t>
            </w:r>
          </w:p>
        </w:tc>
      </w:tr>
    </w:tbl>
    <w:p w14:paraId="7D52396F"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56725581"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апреля 1933 состоялось совещание у нач. ГУАП П.И.Б. (протокол 47):</w:t>
      </w:r>
    </w:p>
    <w:p w14:paraId="7B470B34"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Слушали: "О претензиях завода 22 к ЦАГИ по машинам ТБ-3 М-34, ТБ-4 и МИ-3 (2291,251).</w:t>
      </w:r>
    </w:p>
    <w:p w14:paraId="6F85C5D2"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7A02F3E9"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апреля 1933 дата присвоения опознавательного знака с литерой "Н" - СССР-Н5 - ПС-4 (Junkers W-33), зав. № 2567, мотор - Junkers L-5.Первоначальный владелец воздушного судна - УВС ГУСМП. Исключен из списков самолетного парка УПА приказом ГУСМП № 1759 от 29.12.39 г. (11955).</w:t>
      </w:r>
    </w:p>
    <w:p w14:paraId="5E541DC4"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5C06C63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апреля 1933 Н.М.Харламов обратился к зам. наркома П.И.Баранову с письмом N Г-10/246/14 (1026,160) с просьбой об ассигнованиях для начала проектирования и строительства больших труб ЦАГИ (80,40). Хотел денег (1026,160).</w:t>
      </w:r>
    </w:p>
    <w:p w14:paraId="0AEFEA6E"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31013064"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апреля 1933 года Нач. ЦАГИ Н.М.Харламов писал письмо № Г-10/246/14 Зам. Наркомтяжпрома и Нач. ГУАПа тов. БАРАНОВУ П.И.</w:t>
      </w:r>
    </w:p>
    <w:p w14:paraId="15AA292C"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обеспечения начала строительства больших аэродинамических труб описанных в прилагаемой до</w:t>
      </w:r>
      <w:r w:rsidRPr="00C33834">
        <w:rPr>
          <w:rFonts w:ascii="Times New Roman" w:hAnsi="Times New Roman"/>
          <w:color w:val="000000" w:themeColor="text1"/>
          <w:sz w:val="16"/>
          <w:szCs w:val="16"/>
        </w:rPr>
        <w:softHyphen/>
        <w:t>кладной записке, в 1934 г. необходимо немедленное развертывание проектирования, для каковой цели прошу отпустить ЦАГИ в 1933 г. 225.000 руб. и 6.000 руб. в золотой валюте и увеличить число штатных единиц ЭАО ва 25 человек.</w:t>
      </w:r>
    </w:p>
    <w:p w14:paraId="3BFA4358"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Одновременно прошу утвердить командировку на 3 месяца двух инженеров ЦАГИ /заграницу Германия, Англия и Америка/, для ознакомления и изучения боль-ших аэродинамических труб.</w:t>
      </w:r>
    </w:p>
    <w:p w14:paraId="0AF64FF4"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 1» Предварительная смета на 225.000 руб.</w:t>
      </w:r>
    </w:p>
    <w:p w14:paraId="2665F3F9"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Докладная записка.</w:t>
      </w:r>
    </w:p>
    <w:p w14:paraId="304D5101"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ЦГАОР. ф. 147с, оп. 15, д. 153, л. 10 (1026,156).</w:t>
      </w:r>
    </w:p>
    <w:p w14:paraId="21295A06"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апреля 1933 НАЧАЛЬНИК ЭАО Ц А Г И САБИНИН подготовил записку:</w:t>
      </w:r>
    </w:p>
    <w:p w14:paraId="4A6F56AB"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 ВОПРОСУ О НЕОБХОДИМОСТИ ПОСТРОЙКИ БОЛЬШИХ </w:t>
      </w:r>
      <w:r w:rsidRPr="00C33834">
        <w:rPr>
          <w:rFonts w:ascii="Times New Roman" w:hAnsi="Times New Roman"/>
          <w:smallCaps/>
          <w:color w:val="000000" w:themeColor="text1"/>
          <w:sz w:val="16"/>
          <w:szCs w:val="16"/>
        </w:rPr>
        <w:t>аэродинамических труб.</w:t>
      </w:r>
    </w:p>
    <w:p w14:paraId="2C5CCAB2"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Увеличение размеров самолетов и их скоростей ставит пе</w:t>
      </w:r>
      <w:r w:rsidRPr="00C33834">
        <w:rPr>
          <w:rFonts w:ascii="Times New Roman" w:hAnsi="Times New Roman"/>
          <w:color w:val="000000" w:themeColor="text1"/>
          <w:sz w:val="16"/>
          <w:szCs w:val="16"/>
        </w:rPr>
        <w:softHyphen/>
        <w:t>ред экспериментальной аэродинамикой новые вопросы и задачи решить которые на старом оборудовании /аэродинамических тру</w:t>
      </w:r>
      <w:r w:rsidRPr="00C33834">
        <w:rPr>
          <w:rFonts w:ascii="Times New Roman" w:hAnsi="Times New Roman"/>
          <w:color w:val="000000" w:themeColor="text1"/>
          <w:sz w:val="16"/>
          <w:szCs w:val="16"/>
        </w:rPr>
        <w:softHyphen/>
        <w:t>бах/ невозможно. Результаты исследований свойств самолета в аэродинамической трубе в высшей степени зависят от величины модели самолета, чем последняя меньше, тем больше ошибки по</w:t>
      </w:r>
      <w:r w:rsidRPr="00C33834">
        <w:rPr>
          <w:rFonts w:ascii="Times New Roman" w:hAnsi="Times New Roman"/>
          <w:color w:val="000000" w:themeColor="text1"/>
          <w:sz w:val="16"/>
          <w:szCs w:val="16"/>
        </w:rPr>
        <w:softHyphen/>
        <w:t>лучаемые в результате эксперимента.</w:t>
      </w:r>
    </w:p>
    <w:p w14:paraId="7ED8C9B4"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размах самолетов, строящихся в СССР досиигает 50 и больше метров, испытания их моделей приходите? вести в единственной трубе в СССР, позволяющей испытывать модели с размахом до 1,5 метра /т.е. в масштабе 1/33/. Благо</w:t>
      </w:r>
      <w:r w:rsidRPr="00C33834">
        <w:rPr>
          <w:rFonts w:ascii="Times New Roman" w:hAnsi="Times New Roman"/>
          <w:color w:val="000000" w:themeColor="text1"/>
          <w:sz w:val="16"/>
          <w:szCs w:val="16"/>
        </w:rPr>
        <w:softHyphen/>
        <w:t>даря такому малому масштабу результаты получаются совершенно не соответствующие действительности.</w:t>
      </w:r>
    </w:p>
    <w:p w14:paraId="5DBF03B0"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Многие эксперименты, имеющие крайне важное значение вообще, не могут быть проведены на моделях самолетов, а требует установки в трубе всего самолета в натуру или отдельных, его частей в натуру.</w:t>
      </w:r>
    </w:p>
    <w:p w14:paraId="03FD562D"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Страны, имеющие сильно развитую и технически передовую авиацию за последние годы построили и строят громаднейшие аэродинамические трубы, в которых испытывают в натуру целые самолеты.</w:t>
      </w:r>
    </w:p>
    <w:p w14:paraId="28DFAAA8"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С.А.С.Ш. - занимающие ведущее место в воздушном флоте мира - имеют и наиболее крупные аэродинамические трубы.</w:t>
      </w:r>
    </w:p>
    <w:p w14:paraId="27A2AC40"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Винтовая труба с диаметром в 6,1 метра и со скоростью потока в 50 м/с дает возможность исследовать винт с рабо</w:t>
      </w:r>
      <w:r w:rsidRPr="00C33834">
        <w:rPr>
          <w:rFonts w:ascii="Times New Roman" w:hAnsi="Times New Roman"/>
          <w:color w:val="000000" w:themeColor="text1"/>
          <w:sz w:val="16"/>
          <w:szCs w:val="16"/>
        </w:rPr>
        <w:softHyphen/>
        <w:t>тающим мотором.</w:t>
      </w:r>
    </w:p>
    <w:p w14:paraId="26B6D617"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Самолетная труба с размерами 9,3 метра на 18.б метра /эллиптического сечения/ служит для исследования целых са</w:t>
      </w:r>
      <w:r w:rsidRPr="00C33834">
        <w:rPr>
          <w:rFonts w:ascii="Times New Roman" w:hAnsi="Times New Roman"/>
          <w:color w:val="000000" w:themeColor="text1"/>
          <w:sz w:val="16"/>
          <w:szCs w:val="16"/>
        </w:rPr>
        <w:softHyphen/>
        <w:t>молетов с работающим мотором в натуру.</w:t>
      </w:r>
    </w:p>
    <w:p w14:paraId="4F3FE4BB"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АНГЛИЯ - имея ряд крупных труб, в 1932 году построи</w:t>
      </w:r>
      <w:r w:rsidRPr="00C33834">
        <w:rPr>
          <w:rFonts w:ascii="Times New Roman" w:hAnsi="Times New Roman"/>
          <w:color w:val="000000" w:themeColor="text1"/>
          <w:sz w:val="16"/>
          <w:szCs w:val="16"/>
        </w:rPr>
        <w:softHyphen/>
        <w:t>ла трубу с диаметром в 6,3 метра со скоростью потока свыше 54 м/с.</w:t>
      </w:r>
    </w:p>
    <w:p w14:paraId="6136B27F"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С С Р - имеет одну трубу в ЦАГИ диаметром в 6 метров, со скоростью потока всего 28 м/сек. Эта же труба в другой рабочей части имеет диаметр 3 м с рабочей скорость потока 50 м/сек.</w:t>
      </w:r>
    </w:p>
    <w:p w14:paraId="0A6AA6CE"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того, что 6-ти метровая труба ЦАГИ имеет недостаточные размеры и малую скорость потока, и притом, эта тру</w:t>
      </w:r>
      <w:r w:rsidRPr="00C33834">
        <w:rPr>
          <w:rFonts w:ascii="Times New Roman" w:hAnsi="Times New Roman"/>
          <w:color w:val="000000" w:themeColor="text1"/>
          <w:sz w:val="16"/>
          <w:szCs w:val="16"/>
        </w:rPr>
        <w:softHyphen/>
        <w:t>ба закрытого типа и деревянная, в ней нельзя вести опыты с работающим; мот ором,е натуральными винтами и самолетами.</w:t>
      </w:r>
    </w:p>
    <w:p w14:paraId="388DD932"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прилагаемой таблицы /приложение № 1/, в которой указаны основные характеристики главнейших аэродинамичес</w:t>
      </w:r>
      <w:r w:rsidRPr="00C33834">
        <w:rPr>
          <w:rFonts w:ascii="Times New Roman" w:hAnsi="Times New Roman"/>
          <w:color w:val="000000" w:themeColor="text1"/>
          <w:sz w:val="16"/>
          <w:szCs w:val="16"/>
        </w:rPr>
        <w:softHyphen/>
        <w:t>ких труб мира, видно, что аэродинамические трубы СССР по своим главным данным /отношение рейнольдсовых чисел модели самолета к натуре, см. прследний столбец/, являются уста</w:t>
      </w:r>
      <w:r w:rsidRPr="00C33834">
        <w:rPr>
          <w:rFonts w:ascii="Times New Roman" w:hAnsi="Times New Roman"/>
          <w:color w:val="000000" w:themeColor="text1"/>
          <w:sz w:val="16"/>
          <w:szCs w:val="16"/>
        </w:rPr>
        <w:softHyphen/>
        <w:t>релыми.</w:t>
      </w:r>
    </w:p>
    <w:p w14:paraId="34D21B05"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САСШ имеются 4 трубы превосходящие по своим качест</w:t>
      </w:r>
      <w:r w:rsidRPr="00C33834">
        <w:rPr>
          <w:rFonts w:ascii="Times New Roman" w:hAnsi="Times New Roman"/>
          <w:color w:val="000000" w:themeColor="text1"/>
          <w:sz w:val="16"/>
          <w:szCs w:val="16"/>
        </w:rPr>
        <w:softHyphen/>
        <w:t>вам наши трубы, в Англии - 2 грубы, во Фанции - 1 труба.</w:t>
      </w:r>
    </w:p>
    <w:p w14:paraId="7B637012"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Трубы Японии, Испании, Польши по своим данным идут на уровне наших труб.</w:t>
      </w:r>
    </w:p>
    <w:p w14:paraId="30CF59E7"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вышеуказанные трубы /за исключением 1 трубы в САСШ и Англии, построены до 1927 года.</w:t>
      </w:r>
    </w:p>
    <w:p w14:paraId="1DB8B408"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во многих странах идут приготовле</w:t>
      </w:r>
      <w:r w:rsidRPr="00C33834">
        <w:rPr>
          <w:rFonts w:ascii="Times New Roman" w:hAnsi="Times New Roman"/>
          <w:color w:val="000000" w:themeColor="text1"/>
          <w:sz w:val="16"/>
          <w:szCs w:val="16"/>
        </w:rPr>
        <w:softHyphen/>
        <w:t>ния к постройке больших труб /Германия, Франция, Италия/.</w:t>
      </w:r>
    </w:p>
    <w:p w14:paraId="51DF6AD3"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Весьма характерно, что именно САСШ и Кнглия, особен</w:t>
      </w:r>
      <w:r w:rsidRPr="00C33834">
        <w:rPr>
          <w:rFonts w:ascii="Times New Roman" w:hAnsi="Times New Roman"/>
          <w:color w:val="000000" w:themeColor="text1"/>
          <w:sz w:val="16"/>
          <w:szCs w:val="16"/>
        </w:rPr>
        <w:softHyphen/>
        <w:t>но первая пользуясь широчайше поставленными аэродинамическ] ми исследованиями и хорошей моторной базой резко продвину</w:t>
      </w:r>
      <w:r w:rsidRPr="00C33834">
        <w:rPr>
          <w:rFonts w:ascii="Times New Roman" w:hAnsi="Times New Roman"/>
          <w:color w:val="000000" w:themeColor="text1"/>
          <w:sz w:val="16"/>
          <w:szCs w:val="16"/>
        </w:rPr>
        <w:softHyphen/>
        <w:t>ли за последние 3 года развитие опытного самолетостроения. Англичане добились того, что их серийные разведчики облада« ют максимальными скоростями полета 300 км/час, скорость серийных же истребителей достигла 350 кл/час. Американские самолеты, снабженные специальными моторными капотами, разр&lt; ботанными в большой трубе национальной аэродинамической ла</w:t>
      </w:r>
      <w:r w:rsidRPr="00C33834">
        <w:rPr>
          <w:rFonts w:ascii="Times New Roman" w:hAnsi="Times New Roman"/>
          <w:color w:val="000000" w:themeColor="text1"/>
          <w:sz w:val="16"/>
          <w:szCs w:val="16"/>
        </w:rPr>
        <w:softHyphen/>
        <w:t>боратории, обладают скоростью полета 350-360 клм/час, двух</w:t>
      </w:r>
      <w:r w:rsidRPr="00C33834">
        <w:rPr>
          <w:rFonts w:ascii="Times New Roman" w:hAnsi="Times New Roman"/>
          <w:color w:val="000000" w:themeColor="text1"/>
          <w:sz w:val="16"/>
          <w:szCs w:val="16"/>
        </w:rPr>
        <w:softHyphen/>
        <w:t>моторные бомбовозы скоростью 300 кл/час. В итоге Англия и САСШ обладают в настоящее время качественно самым высоким воздушным флотом.</w:t>
      </w:r>
    </w:p>
    <w:p w14:paraId="03120B48"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Слабость аэродинамической экспериментальной базы в СССР, безусловно отразилась на типах и особенно качестве опытного самолетостроения в 1-ю пятилетку и привела по не</w:t>
      </w:r>
      <w:r w:rsidRPr="00C33834">
        <w:rPr>
          <w:rFonts w:ascii="Times New Roman" w:hAnsi="Times New Roman"/>
          <w:color w:val="000000" w:themeColor="text1"/>
          <w:sz w:val="16"/>
          <w:szCs w:val="16"/>
        </w:rPr>
        <w:softHyphen/>
        <w:t>которым типам самолетов к прямому прорыву, так все самоле</w:t>
      </w:r>
      <w:r w:rsidRPr="00C33834">
        <w:rPr>
          <w:rFonts w:ascii="Times New Roman" w:hAnsi="Times New Roman"/>
          <w:color w:val="000000" w:themeColor="text1"/>
          <w:sz w:val="16"/>
          <w:szCs w:val="16"/>
        </w:rPr>
        <w:softHyphen/>
        <w:t>ты с установками винтов Тандем, один за другим не дали ожи</w:t>
      </w:r>
      <w:r w:rsidRPr="00C33834">
        <w:rPr>
          <w:rFonts w:ascii="Times New Roman" w:hAnsi="Times New Roman"/>
          <w:color w:val="000000" w:themeColor="text1"/>
          <w:sz w:val="16"/>
          <w:szCs w:val="16"/>
        </w:rPr>
        <w:softHyphen/>
        <w:t>даемых результатов.</w:t>
      </w:r>
    </w:p>
    <w:p w14:paraId="66476879"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Особенно значительны расхождения по истребителю И-12. Ожидались: горизонтальная скорость на 5.000 метров по рас</w:t>
      </w:r>
      <w:r w:rsidRPr="00C33834">
        <w:rPr>
          <w:rFonts w:ascii="Times New Roman" w:hAnsi="Times New Roman"/>
          <w:color w:val="000000" w:themeColor="text1"/>
          <w:sz w:val="16"/>
          <w:szCs w:val="16"/>
        </w:rPr>
        <w:softHyphen/>
        <w:t>чету 300-317 клм, фактически у земли получено 265 км.час. Потолок по расчету 8500-9300 метров, фактически получено около 5000: На данные тяжелого бомбардировщика ТВ-5, кроме Тандемской установки оказало значительное влияние располо</w:t>
      </w:r>
      <w:r w:rsidRPr="00C33834">
        <w:rPr>
          <w:rFonts w:ascii="Times New Roman" w:hAnsi="Times New Roman"/>
          <w:color w:val="000000" w:themeColor="text1"/>
          <w:sz w:val="16"/>
          <w:szCs w:val="16"/>
        </w:rPr>
        <w:softHyphen/>
        <w:t>жение винтов под крылом. Продувки на малой модели показали ею влияние в меньшей степени.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F26F01" w:rsidRPr="00C33834" w14:paraId="345030CD" w14:textId="77777777">
        <w:tc>
          <w:tcPr>
            <w:tcW w:w="1915" w:type="dxa"/>
            <w:tcBorders>
              <w:top w:val="single" w:sz="12" w:space="0" w:color="auto"/>
            </w:tcBorders>
          </w:tcPr>
          <w:p w14:paraId="5C7FE750"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p>
        </w:tc>
        <w:tc>
          <w:tcPr>
            <w:tcW w:w="1915" w:type="dxa"/>
            <w:tcBorders>
              <w:top w:val="single" w:sz="12" w:space="0" w:color="auto"/>
            </w:tcBorders>
          </w:tcPr>
          <w:p w14:paraId="31D9D47C"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у земли</w:t>
            </w:r>
          </w:p>
        </w:tc>
        <w:tc>
          <w:tcPr>
            <w:tcW w:w="1915" w:type="dxa"/>
            <w:tcBorders>
              <w:top w:val="single" w:sz="12" w:space="0" w:color="auto"/>
            </w:tcBorders>
          </w:tcPr>
          <w:p w14:paraId="0CB96C85"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на 3000 мт.</w:t>
            </w:r>
          </w:p>
        </w:tc>
        <w:tc>
          <w:tcPr>
            <w:tcW w:w="1915" w:type="dxa"/>
            <w:tcBorders>
              <w:top w:val="single" w:sz="12" w:space="0" w:color="auto"/>
            </w:tcBorders>
          </w:tcPr>
          <w:p w14:paraId="4084EB21"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1915" w:type="dxa"/>
            <w:tcBorders>
              <w:top w:val="single" w:sz="12" w:space="0" w:color="auto"/>
            </w:tcBorders>
          </w:tcPr>
          <w:p w14:paraId="463D2F66"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под”ема на 3000 мт.</w:t>
            </w:r>
          </w:p>
        </w:tc>
      </w:tr>
      <w:tr w:rsidR="00F26F01" w:rsidRPr="00C33834" w14:paraId="3DE85142" w14:textId="77777777">
        <w:tc>
          <w:tcPr>
            <w:tcW w:w="1915" w:type="dxa"/>
          </w:tcPr>
          <w:p w14:paraId="036CECA9"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Ожидалось</w:t>
            </w:r>
          </w:p>
        </w:tc>
        <w:tc>
          <w:tcPr>
            <w:tcW w:w="1915" w:type="dxa"/>
          </w:tcPr>
          <w:p w14:paraId="04BFCE1D"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216</w:t>
            </w:r>
          </w:p>
        </w:tc>
        <w:tc>
          <w:tcPr>
            <w:tcW w:w="1915" w:type="dxa"/>
          </w:tcPr>
          <w:p w14:paraId="4D52E349"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203</w:t>
            </w:r>
          </w:p>
        </w:tc>
        <w:tc>
          <w:tcPr>
            <w:tcW w:w="1915" w:type="dxa"/>
          </w:tcPr>
          <w:p w14:paraId="7FE63C8F"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5180</w:t>
            </w:r>
          </w:p>
        </w:tc>
        <w:tc>
          <w:tcPr>
            <w:tcW w:w="1915" w:type="dxa"/>
          </w:tcPr>
          <w:p w14:paraId="3EAE405F"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21,4</w:t>
            </w:r>
          </w:p>
        </w:tc>
      </w:tr>
      <w:tr w:rsidR="00F26F01" w:rsidRPr="00C33834" w14:paraId="60EB8C88" w14:textId="77777777">
        <w:tc>
          <w:tcPr>
            <w:tcW w:w="1915" w:type="dxa"/>
            <w:tcBorders>
              <w:bottom w:val="single" w:sz="12" w:space="0" w:color="auto"/>
            </w:tcBorders>
          </w:tcPr>
          <w:p w14:paraId="1482152A"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Получено</w:t>
            </w:r>
          </w:p>
        </w:tc>
        <w:tc>
          <w:tcPr>
            <w:tcW w:w="1915" w:type="dxa"/>
            <w:tcBorders>
              <w:bottom w:val="single" w:sz="12" w:space="0" w:color="auto"/>
            </w:tcBorders>
          </w:tcPr>
          <w:p w14:paraId="5D72AAF9"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185-190</w:t>
            </w:r>
          </w:p>
        </w:tc>
        <w:tc>
          <w:tcPr>
            <w:tcW w:w="1915" w:type="dxa"/>
            <w:tcBorders>
              <w:bottom w:val="single" w:sz="12" w:space="0" w:color="auto"/>
            </w:tcBorders>
          </w:tcPr>
          <w:p w14:paraId="1315ED93"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165</w:t>
            </w:r>
          </w:p>
        </w:tc>
        <w:tc>
          <w:tcPr>
            <w:tcW w:w="1915" w:type="dxa"/>
            <w:tcBorders>
              <w:bottom w:val="single" w:sz="12" w:space="0" w:color="auto"/>
            </w:tcBorders>
          </w:tcPr>
          <w:p w14:paraId="4B47CF15"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3200-3510</w:t>
            </w:r>
          </w:p>
        </w:tc>
        <w:tc>
          <w:tcPr>
            <w:tcW w:w="1915" w:type="dxa"/>
            <w:tcBorders>
              <w:bottom w:val="single" w:sz="12" w:space="0" w:color="auto"/>
            </w:tcBorders>
          </w:tcPr>
          <w:p w14:paraId="1CE038B0"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w:t>
            </w:r>
          </w:p>
        </w:tc>
      </w:tr>
    </w:tbl>
    <w:p w14:paraId="477B1A04"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Указанные выше самолеты, выстроенные в течение последних 3-х лет, стоившие около 2.000.000 рублей и отнявшие большое количество конструкторских сил, оказались неудовлетворительными потому, что их расчеты не были обоснованы необхо</w:t>
      </w:r>
      <w:r w:rsidRPr="00C33834">
        <w:rPr>
          <w:rFonts w:ascii="Times New Roman" w:hAnsi="Times New Roman"/>
          <w:color w:val="000000" w:themeColor="text1"/>
          <w:sz w:val="16"/>
          <w:szCs w:val="16"/>
        </w:rPr>
        <w:softHyphen/>
        <w:t>димыми экспериментальными Данными, для получения же последних мы не обладали необходимым оборудованием.</w:t>
      </w:r>
    </w:p>
    <w:p w14:paraId="58A1F8C6"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Задачи, стоящие перед самолетостроением в СССР на вто-руд пятилетку и роль авиации в обороноспособности страны, требует во что бы то ни стало осуществления лозунга "пере</w:t>
      </w:r>
      <w:r w:rsidRPr="00C33834">
        <w:rPr>
          <w:rFonts w:ascii="Times New Roman" w:hAnsi="Times New Roman"/>
          <w:color w:val="000000" w:themeColor="text1"/>
          <w:sz w:val="16"/>
          <w:szCs w:val="16"/>
        </w:rPr>
        <w:softHyphen/>
        <w:t>гнать" иностранную авиационную технику и поставить Советс</w:t>
      </w:r>
      <w:r w:rsidRPr="00C33834">
        <w:rPr>
          <w:rFonts w:ascii="Times New Roman" w:hAnsi="Times New Roman"/>
          <w:color w:val="000000" w:themeColor="text1"/>
          <w:sz w:val="16"/>
          <w:szCs w:val="16"/>
        </w:rPr>
        <w:softHyphen/>
        <w:t>кую авиацию на первое место в мире, причем, в процесса опы' ного строительства должен быть сведен до минимума выпуск неудачных опытных самолетов.</w:t>
      </w:r>
    </w:p>
    <w:p w14:paraId="58D19E4B"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не выполнении указанной задачи Советское самолетостроение будет поставлено в отношении экспериментальной базы в условия значительно более худшие, чем Англия и Аме</w:t>
      </w:r>
      <w:r w:rsidRPr="00C33834">
        <w:rPr>
          <w:rFonts w:ascii="Times New Roman" w:hAnsi="Times New Roman"/>
          <w:color w:val="000000" w:themeColor="text1"/>
          <w:sz w:val="16"/>
          <w:szCs w:val="16"/>
        </w:rPr>
        <w:softHyphen/>
        <w:t>рика, что неизбежно будет иметь следствием снижение темпов опытного самолетостроения, и сможет привести к срыву пла</w:t>
      </w:r>
      <w:r w:rsidRPr="00C33834">
        <w:rPr>
          <w:rFonts w:ascii="Times New Roman" w:hAnsi="Times New Roman"/>
          <w:color w:val="000000" w:themeColor="text1"/>
          <w:sz w:val="16"/>
          <w:szCs w:val="16"/>
        </w:rPr>
        <w:softHyphen/>
        <w:t>на в отношении качественных показателей новых самолетов.</w:t>
      </w:r>
    </w:p>
    <w:p w14:paraId="7CB27F54"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основании всего вышесказанного ЦАГИ считает необ</w:t>
      </w:r>
      <w:r w:rsidRPr="00C33834">
        <w:rPr>
          <w:rFonts w:ascii="Times New Roman" w:hAnsi="Times New Roman"/>
          <w:color w:val="000000" w:themeColor="text1"/>
          <w:sz w:val="16"/>
          <w:szCs w:val="16"/>
        </w:rPr>
        <w:softHyphen/>
        <w:t>ходимым во 2-й пятилетке построить две аэродинамические трубы, одну для исследования винтов и моторов в натуру, а другую для исследования самолетов в натуру, с размером ра</w:t>
      </w:r>
      <w:r w:rsidRPr="00C33834">
        <w:rPr>
          <w:rFonts w:ascii="Times New Roman" w:hAnsi="Times New Roman"/>
          <w:color w:val="000000" w:themeColor="text1"/>
          <w:sz w:val="16"/>
          <w:szCs w:val="16"/>
        </w:rPr>
        <w:softHyphen/>
        <w:t>бочей части для винтовой трубы 3 м. при скорости потока 100 м/с и для самолетной трубы размер рабочей части 12x24 при скорости потока 60 м/сек.</w:t>
      </w:r>
    </w:p>
    <w:p w14:paraId="66CBC2C8"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Трубы должны быть построены в Центральном Аэро-Гидро-динамическом Институте, как крупнейшем Институте союза, имеющим большой опыт в СССР по проектированию, постройке и эксплоатации аэродинамических труб.</w:t>
      </w:r>
    </w:p>
    <w:p w14:paraId="31FC69DE"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большой аэродинамической трубы с обору</w:t>
      </w:r>
      <w:r w:rsidRPr="00C33834">
        <w:rPr>
          <w:rFonts w:ascii="Times New Roman" w:hAnsi="Times New Roman"/>
          <w:color w:val="000000" w:themeColor="text1"/>
          <w:sz w:val="16"/>
          <w:szCs w:val="16"/>
        </w:rPr>
        <w:softHyphen/>
        <w:t>дованием даже при форсировании работы, займет около 1,5 го« да, постройка 2 года, а наладка минимум 1 год. Следователь</w:t>
      </w:r>
      <w:r w:rsidRPr="00C33834">
        <w:rPr>
          <w:rFonts w:ascii="Times New Roman" w:hAnsi="Times New Roman"/>
          <w:color w:val="000000" w:themeColor="text1"/>
          <w:sz w:val="16"/>
          <w:szCs w:val="16"/>
        </w:rPr>
        <w:softHyphen/>
        <w:t>но труба может войти в строй только к концу второй пятилетки.</w:t>
      </w:r>
    </w:p>
    <w:p w14:paraId="3B76431D"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Необходимо немедленно начать разработку проектов этих труб с тем, чтобы постройку винтовой трубы начать с весны 1935 года, а постройку самолетной с весны 1934 года.</w:t>
      </w:r>
    </w:p>
    <w:p w14:paraId="42F984BB"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Ориентировочная стоимость винтовой трубы - 8,000.000 руб. и самолетной 12.000.000 рублей.</w:t>
      </w:r>
    </w:p>
    <w:p w14:paraId="7965C190"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smallCaps/>
          <w:color w:val="000000" w:themeColor="text1"/>
          <w:sz w:val="16"/>
          <w:szCs w:val="16"/>
        </w:rPr>
        <w:t>приложение:</w:t>
      </w:r>
    </w:p>
    <w:p w14:paraId="4FBFA407"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Сравнительная таблица всех больших аэродинамических труб мира.</w:t>
      </w:r>
    </w:p>
    <w:p w14:paraId="06047DFB"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План строительства больших аэродина-1 мических труб СССР.</w:t>
      </w:r>
    </w:p>
    <w:p w14:paraId="7561CD10"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Альбом больших аэродинамических труб! мира.</w:t>
      </w:r>
    </w:p>
    <w:p w14:paraId="4404D892"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ЭАО Ц А Г И САБИНИН 20/1У-83 год.</w:t>
      </w:r>
    </w:p>
    <w:p w14:paraId="08F53953"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ЦГАОР. ф. 147с, оп. 15, д. 153, л. 5 (1026,161).</w:t>
      </w:r>
    </w:p>
    <w:p w14:paraId="42A4E84A" w14:textId="77777777" w:rsidR="008E7A66" w:rsidRPr="00C33834" w:rsidRDefault="008E7A66" w:rsidP="00C33834">
      <w:pPr>
        <w:shd w:val="clear" w:color="auto" w:fill="FFFFFF"/>
        <w:spacing w:after="0" w:line="240" w:lineRule="auto"/>
        <w:jc w:val="both"/>
        <w:rPr>
          <w:rFonts w:ascii="Times New Roman" w:hAnsi="Times New Roman"/>
          <w:color w:val="000000" w:themeColor="text1"/>
          <w:sz w:val="16"/>
          <w:szCs w:val="16"/>
        </w:rPr>
      </w:pPr>
    </w:p>
    <w:p w14:paraId="4B702F21" w14:textId="77777777" w:rsidR="00B75DE6" w:rsidRPr="00C33834" w:rsidRDefault="00B75DE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апреля 1933 г. Комиссия по установлению годности к первому полёту корабля В-5 закончила работу. Как сообщил начальник Дирижаблестроя И.А. Фельдман в рапорте временно исполняющему должность (Врид) начальника ГУГВФ Анвельту, «корабль выйдет в полет 25-26 апреля с.г.» [4, л.165-166] (15797).</w:t>
      </w:r>
    </w:p>
    <w:p w14:paraId="29CCF36F" w14:textId="77777777" w:rsidR="00B75DE6" w:rsidRPr="00C33834" w:rsidRDefault="00B75DE6" w:rsidP="00C33834">
      <w:pPr>
        <w:spacing w:after="0" w:line="240" w:lineRule="auto"/>
        <w:jc w:val="both"/>
        <w:rPr>
          <w:rFonts w:ascii="Times New Roman" w:hAnsi="Times New Roman"/>
          <w:color w:val="000000" w:themeColor="text1"/>
          <w:sz w:val="16"/>
          <w:szCs w:val="16"/>
        </w:rPr>
      </w:pPr>
    </w:p>
    <w:p w14:paraId="36A3B920" w14:textId="77777777" w:rsidR="00B75DE6" w:rsidRPr="00C33834" w:rsidRDefault="00B75DE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апреля 1933 г. И.А. Фельдман  сообщил сотрудникам КБ Дирижаблестроя, что «…на заседании коллегии ГУГВФ в связи с гибелью «Акрона» и других дирижаблей было подчёркнуто, что  эти аварии не дают основания для пересмотра вопроса о дальнейших путях и темпах развития советского дирижаблестроения …» [4, л.223].  В США осуществление программы по дирижаблестроению продолжалось - надежды возлагались на новый жесткий дирижабль-авианосец Мэйкон [3, с. 157] (15797).</w:t>
      </w:r>
    </w:p>
    <w:p w14:paraId="4201C542" w14:textId="77777777" w:rsidR="00B75DE6" w:rsidRPr="00C33834" w:rsidRDefault="00B75DE6" w:rsidP="00C33834">
      <w:pPr>
        <w:spacing w:after="0" w:line="240" w:lineRule="auto"/>
        <w:jc w:val="both"/>
        <w:rPr>
          <w:rFonts w:ascii="Times New Roman" w:hAnsi="Times New Roman"/>
          <w:color w:val="000000" w:themeColor="text1"/>
          <w:sz w:val="16"/>
          <w:szCs w:val="16"/>
        </w:rPr>
      </w:pPr>
    </w:p>
    <w:p w14:paraId="58F95D80" w14:textId="77777777" w:rsidR="00B75DE6" w:rsidRPr="00C33834" w:rsidRDefault="008E43FA"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7184E03F" w14:textId="77777777" w:rsidR="00B75DE6" w:rsidRPr="00C33834" w:rsidRDefault="00B75DE6" w:rsidP="00C33834">
      <w:pPr>
        <w:shd w:val="clear" w:color="auto" w:fill="FFFFFF"/>
        <w:spacing w:after="0" w:line="240" w:lineRule="auto"/>
        <w:jc w:val="both"/>
        <w:rPr>
          <w:rFonts w:ascii="Times New Roman" w:hAnsi="Times New Roman"/>
          <w:color w:val="000000" w:themeColor="text1"/>
          <w:sz w:val="16"/>
          <w:szCs w:val="16"/>
        </w:rPr>
      </w:pPr>
    </w:p>
    <w:p w14:paraId="119BCE8B" w14:textId="77777777" w:rsidR="00B75DE6" w:rsidRPr="00C33834" w:rsidRDefault="00B75DE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bCs/>
          <w:iCs/>
          <w:color w:val="000000" w:themeColor="text1"/>
          <w:sz w:val="16"/>
          <w:szCs w:val="16"/>
        </w:rPr>
        <w:t>21 апреля 1933 г.</w:t>
      </w:r>
      <w:r w:rsidRPr="00C33834">
        <w:rPr>
          <w:rFonts w:ascii="Times New Roman" w:hAnsi="Times New Roman"/>
          <w:color w:val="000000" w:themeColor="text1"/>
          <w:sz w:val="16"/>
          <w:szCs w:val="16"/>
        </w:rPr>
        <w:t xml:space="preserve"> Приказ РВС СССР с объявлением плана учений с действительными ОВ, проводимых войсками СССР в 1932/1933 учебном году. Приказ был подписан М.Н.Тухачевским. Приказ относился ко </w:t>
      </w:r>
      <w:r w:rsidRPr="00C33834">
        <w:rPr>
          <w:rFonts w:ascii="Times New Roman" w:hAnsi="Times New Roman"/>
          <w:bCs/>
          <w:iCs/>
          <w:color w:val="000000" w:themeColor="text1"/>
          <w:sz w:val="16"/>
          <w:szCs w:val="16"/>
        </w:rPr>
        <w:t>всем</w:t>
      </w:r>
      <w:r w:rsidRPr="00C33834">
        <w:rPr>
          <w:rFonts w:ascii="Times New Roman" w:hAnsi="Times New Roman"/>
          <w:color w:val="000000" w:themeColor="text1"/>
          <w:sz w:val="16"/>
          <w:szCs w:val="16"/>
        </w:rPr>
        <w:t xml:space="preserve"> воинским частям, которые выводились в лагеря и он касался всех военных округов и флотов. При этом давались указания по безопасности, позволяющие выделить серьезные моменты: заражение местности СОВ путем подрыва химических фугасов (не более 10 штук одновременно) осуществлять не ближе 1000 м от населенных пунктов, а зараженный участок охранять до полной естественной дегазации; заражение местности СОВ путем обстрела химическими минами избранных площадок, расположенных не ближе 2000 м от населенных пунктов (неразорвавшиеся мины должны быть тотчас же подорваны; зараженный участок охраняется до полной естественной дегазации); заражение местности СОВ бомбометанием площадки, расположенной не ближе 2000 м от населенных пунктов (неразорвавшиеся бомбы должны быть тотчас же после показа подорваны; зараженный участок охраняется до полной естественной дегазации); заражение местности артснарядами с СОВ производится по площадке, в 500-750 м от которой не должно быть людей (неразорвавшиеся снаряды подрываются после стрельб, зараженный участок охраняется до полной естественной дегазации); при заражении местности ипритом с использованием самолетов штурмовой авиации высота выливания не должна превышать 100 м, а выделенный участок не должен быть ближе 5000 м от населенных пунктов; с наполненными ВАПами самолеты не должны пролетать над населенными пунктами, над местностью с большим движением и скоплением людей (зараженный участок охраняется до полной естественной дегазации); при заражении СОВ кораблей (учения должны быть проведены на каждом боевом корабле, за исключением подводных лодок) ипритом заражаются верхняя палуба и надстройки с использованием НПЗ, гидропультов или малярных кистей. После подобных учений на химически площадках не могли не оставаться утерянные и не подорванные химические фугасы, авиахимбомбы, химмины и артхимснаряды. Так называемая естественная дегазация, факт которой устанавливал начальник химической службы, была чревата поражением людей, которые оказывались на участке после снятия охраны. </w:t>
      </w:r>
      <w:r w:rsidRPr="00C33834">
        <w:rPr>
          <w:rFonts w:ascii="Times New Roman" w:hAnsi="Times New Roman"/>
          <w:bCs/>
          <w:iCs/>
          <w:color w:val="000000" w:themeColor="text1"/>
          <w:sz w:val="16"/>
          <w:szCs w:val="16"/>
        </w:rPr>
        <w:t>К выполнению приказа воинские части в 1933 году отнеслись серьезно и тотально</w:t>
      </w:r>
      <w:r w:rsidRPr="00C33834">
        <w:rPr>
          <w:rFonts w:ascii="Times New Roman" w:hAnsi="Times New Roman"/>
          <w:color w:val="000000" w:themeColor="text1"/>
          <w:sz w:val="16"/>
          <w:szCs w:val="16"/>
        </w:rPr>
        <w:t xml:space="preserve"> (17133).</w:t>
      </w:r>
    </w:p>
    <w:p w14:paraId="214F7580" w14:textId="77777777" w:rsidR="00B75DE6" w:rsidRPr="00C33834" w:rsidRDefault="00B75DE6" w:rsidP="00C33834">
      <w:pPr>
        <w:shd w:val="clear" w:color="auto" w:fill="FFFFFF"/>
        <w:spacing w:after="0" w:line="240" w:lineRule="auto"/>
        <w:jc w:val="both"/>
        <w:rPr>
          <w:rFonts w:ascii="Times New Roman" w:hAnsi="Times New Roman"/>
          <w:color w:val="000000" w:themeColor="text1"/>
          <w:sz w:val="16"/>
          <w:szCs w:val="16"/>
        </w:rPr>
      </w:pPr>
    </w:p>
    <w:p w14:paraId="005B8286" w14:textId="77777777" w:rsidR="008E7A6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51AB0C0C" w14:textId="77777777" w:rsidR="008E7A66" w:rsidRPr="00C33834" w:rsidRDefault="008E7A66" w:rsidP="00C33834">
      <w:pPr>
        <w:spacing w:after="0" w:line="240" w:lineRule="auto"/>
        <w:jc w:val="both"/>
        <w:rPr>
          <w:rFonts w:ascii="Times New Roman" w:hAnsi="Times New Roman"/>
          <w:iCs/>
          <w:color w:val="000000" w:themeColor="text1"/>
          <w:sz w:val="16"/>
          <w:szCs w:val="16"/>
        </w:rPr>
      </w:pPr>
    </w:p>
    <w:p w14:paraId="29F9F923"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21 апреля 1933 г. постановлением Наркомата тяжелой промышленности СССР была создана Всесоюзная контора по организации и рационализации районных электростанций и сетей "ОРГРЭС". В 1939 г. приказом наркомата контора преобразована во Всесоюзный государственный трест по организации и рационализации районных электростанций и сетей "ОРГРЭС". В 1941 - 1943 гг. </w:t>
      </w:r>
    </w:p>
    <w:p w14:paraId="75D76E3B"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Трест находился в эвакуации в г. Свердловске. Приказом Министерства энергетики и электрификации СССР от 3 июня 1977 г. трест был преобразован в Производственное объединение по наладке, совершенствованию технологии и эксплуатации электростанций и сетей "Союзтехэнерго" (12102).</w:t>
      </w:r>
    </w:p>
    <w:p w14:paraId="64ACC850" w14:textId="77777777" w:rsidR="00B75DE6" w:rsidRPr="00C33834" w:rsidRDefault="00B75DE6" w:rsidP="00C33834">
      <w:pPr>
        <w:spacing w:after="0" w:line="240" w:lineRule="auto"/>
        <w:jc w:val="both"/>
        <w:rPr>
          <w:rFonts w:ascii="Times New Roman" w:hAnsi="Times New Roman"/>
          <w:color w:val="000000" w:themeColor="text1"/>
          <w:sz w:val="16"/>
          <w:szCs w:val="16"/>
        </w:rPr>
      </w:pPr>
    </w:p>
    <w:p w14:paraId="538DA111"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21 и 27 апреля 1933. Из протокола заседания Политбюро N 136, 1933 г.</w:t>
      </w:r>
    </w:p>
    <w:p w14:paraId="7B68FA9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днях заседаний Политбюро </w:t>
      </w:r>
    </w:p>
    <w:p w14:paraId="05635964"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Установить заседания Политбюро три раза в месяц — 5, 15 и 25 числа (11652).</w:t>
      </w:r>
    </w:p>
    <w:p w14:paraId="4F690AA6" w14:textId="77777777" w:rsidR="008E7A66" w:rsidRPr="00C33834" w:rsidRDefault="008E7A66" w:rsidP="00C33834">
      <w:pPr>
        <w:spacing w:after="0" w:line="240" w:lineRule="auto"/>
        <w:jc w:val="both"/>
        <w:rPr>
          <w:rFonts w:ascii="Times New Roman" w:hAnsi="Times New Roman"/>
          <w:color w:val="000000" w:themeColor="text1"/>
          <w:sz w:val="16"/>
          <w:szCs w:val="16"/>
        </w:rPr>
      </w:pPr>
    </w:p>
    <w:p w14:paraId="0BCA5A6D"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21 и 27 апреля 1933. Из протокола заседания Политбюро N 136, 1933 г.</w:t>
      </w:r>
    </w:p>
    <w:p w14:paraId="6CFBAC16"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ликвидации задолженности по зарплате </w:t>
      </w:r>
    </w:p>
    <w:p w14:paraId="0E05B371"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 Обязать наркоматы под личной ответственностью наркомов ликвидировать задолженность по зарплате к 1 мая с. г. </w:t>
      </w:r>
    </w:p>
    <w:p w14:paraId="0BC1BBD0" w14:textId="77777777" w:rsidR="008E7A66" w:rsidRPr="00C33834" w:rsidRDefault="008E7A6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Предложить Госбанку предоставить НКПС краткосрочный кредит в размере 40 млн руб. для погашения задолженности по зарплате (11652).</w:t>
      </w:r>
    </w:p>
    <w:p w14:paraId="224ED229" w14:textId="6D8961F8" w:rsidR="008E7A66" w:rsidRPr="00C33834" w:rsidRDefault="008E7A66" w:rsidP="00C33834">
      <w:pPr>
        <w:spacing w:after="0" w:line="240" w:lineRule="auto"/>
        <w:jc w:val="both"/>
        <w:rPr>
          <w:rFonts w:ascii="Times New Roman" w:hAnsi="Times New Roman"/>
          <w:color w:val="000000" w:themeColor="text1"/>
          <w:sz w:val="16"/>
          <w:szCs w:val="16"/>
        </w:rPr>
      </w:pPr>
    </w:p>
    <w:p w14:paraId="4A806C04" w14:textId="21575F46" w:rsidR="00EB24B6" w:rsidRPr="00C33834" w:rsidRDefault="00EB24B6" w:rsidP="00C33834">
      <w:pPr>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За рубежом:</w:t>
      </w:r>
    </w:p>
    <w:p w14:paraId="51F69266" w14:textId="77777777" w:rsidR="00EB24B6" w:rsidRPr="00C33834" w:rsidRDefault="00EB24B6" w:rsidP="00C33834">
      <w:pPr>
        <w:spacing w:after="0" w:line="240" w:lineRule="auto"/>
        <w:jc w:val="both"/>
        <w:rPr>
          <w:rFonts w:ascii="Times New Roman" w:hAnsi="Times New Roman"/>
          <w:i/>
          <w:iCs/>
          <w:color w:val="000000" w:themeColor="text1"/>
          <w:sz w:val="16"/>
          <w:szCs w:val="16"/>
        </w:rPr>
      </w:pPr>
    </w:p>
    <w:p w14:paraId="4C6C722E" w14:textId="77777777" w:rsidR="00EB24B6" w:rsidRPr="00C33834" w:rsidRDefault="00EB24B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21 апреля 1933 состоялся первый полет USS Macon (ZRS-5) (20802).</w:t>
      </w:r>
    </w:p>
    <w:p w14:paraId="77651F08" w14:textId="77777777" w:rsidR="00EB24B6" w:rsidRPr="00C33834" w:rsidRDefault="00EB24B6" w:rsidP="00C33834">
      <w:pPr>
        <w:spacing w:after="0" w:line="240" w:lineRule="auto"/>
        <w:jc w:val="both"/>
        <w:rPr>
          <w:rFonts w:ascii="Times New Roman" w:hAnsi="Times New Roman"/>
          <w:color w:val="0070C0"/>
          <w:sz w:val="16"/>
          <w:szCs w:val="16"/>
        </w:rPr>
      </w:pPr>
    </w:p>
    <w:p w14:paraId="7D646B51" w14:textId="77777777" w:rsidR="00EB24B6" w:rsidRPr="00C33834" w:rsidRDefault="00EB24B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21 апреля 1933 года — первый полёт жёсткого дирижабля-авианосца USS Macon (ZRS-5).</w:t>
      </w:r>
    </w:p>
    <w:p w14:paraId="1075F48B" w14:textId="77777777" w:rsidR="00EB24B6" w:rsidRPr="00C33834" w:rsidRDefault="00EB24B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1928 году ВМС США для ведения дальней морской разведки заказало разработку «летающего авианосца» — большого дирижабля, способного нести на борту истребители для прикрытия. Спустя 3 года из эллинга вывели USS Akron (ZRS-4) и практически сразу началась постройка его более совершенной версии.</w:t>
      </w:r>
    </w:p>
    <w:p w14:paraId="1833448D" w14:textId="77777777" w:rsidR="00EB24B6" w:rsidRPr="00C33834" w:rsidRDefault="00EB24B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ZRS-5 стал одним из крупнейших в мире и крупнейшим в США дирижаблем жёсткой конструкции. Внутри дюралевого каркаса, обтянутого полотном, находилось 12 баллонетов, заполненных гелием. Силовая установка — 8 двигателей Maybach VL-2. Дирижабль был оборудован специальным устройством для запуска и подхвата истребителей Curtiss F9C Sparrowhawk через Т-образный люк в нижней части корпуса.</w:t>
      </w:r>
    </w:p>
    <w:p w14:paraId="01D996B7" w14:textId="77777777" w:rsidR="00EB24B6" w:rsidRPr="00C33834" w:rsidRDefault="00EB24B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USS Macon успешно служил в составе флота, но в итоге повторил карьеру своего предшественника. 12 февраля 1935 года дирижабль попал в шторм у мыса Пойнт-Сур (Калифорния) и потерпел крушение. Благодаря спасательным жилетам и шлюпкам, спаслись 81 из 83 членов экипажа. Эта авария привела к закрытию программы постройки подобных дирижаблей (22300).</w:t>
      </w:r>
    </w:p>
    <w:p w14:paraId="13779485" w14:textId="77777777" w:rsidR="00EB24B6" w:rsidRPr="00C33834" w:rsidRDefault="00EB24B6" w:rsidP="00C33834">
      <w:pPr>
        <w:spacing w:after="0" w:line="240" w:lineRule="auto"/>
        <w:jc w:val="both"/>
        <w:rPr>
          <w:rFonts w:ascii="Times New Roman" w:hAnsi="Times New Roman"/>
          <w:color w:val="0070C0"/>
          <w:sz w:val="16"/>
          <w:szCs w:val="16"/>
        </w:rPr>
      </w:pPr>
    </w:p>
    <w:p w14:paraId="44E14031" w14:textId="77777777" w:rsidR="003446BF"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06874B7" w14:textId="77777777" w:rsidR="003446BF" w:rsidRPr="00C33834" w:rsidRDefault="003446BF" w:rsidP="00C33834">
      <w:pPr>
        <w:spacing w:after="0" w:line="240" w:lineRule="auto"/>
        <w:jc w:val="both"/>
        <w:rPr>
          <w:rFonts w:ascii="Times New Roman" w:hAnsi="Times New Roman"/>
          <w:iCs/>
          <w:color w:val="000000" w:themeColor="text1"/>
          <w:sz w:val="16"/>
          <w:szCs w:val="16"/>
        </w:rPr>
      </w:pPr>
    </w:p>
    <w:p w14:paraId="12524CF3"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апреля 1933 Зам. НКТП, Нач. ГУАП П.И.Б. направил написанную 7 апреля Пред. СТО В.М.М. Докладную записку N 277/219с по стратосферному самолету (2304,12):</w:t>
      </w:r>
    </w:p>
    <w:p w14:paraId="7A5ED027"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вопроса полета в стратосферу находится в прямой зависимости от следующих задач:</w:t>
      </w:r>
    </w:p>
    <w:p w14:paraId="22646C1E"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Создания сверхвысотного мотора, могущего дать необходимую мощность в разряженной плотности воздуха на высотах 12-15 тыс. м.</w:t>
      </w:r>
    </w:p>
    <w:p w14:paraId="01948FCC"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Создания винта с переменным шагом, дающим необходимую тягу, как в атмосфере, так и в стратосфере.</w:t>
      </w:r>
    </w:p>
    <w:p w14:paraId="3B5D30DE"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Создания кабины, обеспечивающей безопасный полет на большой высоте при низкой температуре и недостаточном количестве кислорода.</w:t>
      </w:r>
    </w:p>
    <w:p w14:paraId="0128917D"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Разрешение вопроса по управлению самолетом из ГК</w:t>
      </w:r>
    </w:p>
    <w:p w14:paraId="0C622960"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В оборудовании самолета специальными приборами, дающими необходимые показания в стратосфере.</w:t>
      </w:r>
    </w:p>
    <w:p w14:paraId="2CDA0DDC"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Создании самолета с достаточно хорошими аэродинамическими данными, требующими наименьшей мощности для подъема в стратосферу и полета в ней.</w:t>
      </w:r>
    </w:p>
    <w:p w14:paraId="445288ED"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Вопросы, относящиеся к самолету, проработаны в ЦАГИ и переданы для осуществления в ЦКБ 39. Чертежи самолета почти закончены (95%) и по ним изготовлены основные детали самолета. Постройка самолета в целом м.б. закончена в 4 кв. текущего года.</w:t>
      </w:r>
    </w:p>
    <w:p w14:paraId="2D5BBFAE"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 же со сверхвысотным мотором и винтом требуют длительной и серьезной доработки. Опытный образец мотора М-34 с двухступенчатым импеллером может поступить на заводские испытания лишь с конца сего года. Поэтому в целях быстрейшего проведения испытаний самолета и проверки всех неясных вопросов целесообразно выпустить самолет в воздух, до выхода специального мотора, с мотором высотностью 5000 м. Последнее позволит достигнуть высоты 10-12 тыс. м, определить необходимые переделки и выявить новые вопросы, требующие разрешения.</w:t>
      </w:r>
    </w:p>
    <w:p w14:paraId="33D5549F"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1934 на основе всего изученного и проверенного, как теоретически, так и в полете, можно, при наличии доведенного мотора с двухступенчатым импеллером, выпустить второй вариант самолета с потолком не ниже 15 тыс. м.</w:t>
      </w:r>
    </w:p>
    <w:p w14:paraId="1A1C2C82"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обеспечения самолета оборудованием и приборами необходимо приобрести таковые за границей на сумму 15000 руб. в инвалюте.</w:t>
      </w:r>
    </w:p>
    <w:p w14:paraId="45E43B69"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Докладная записка</w:t>
      </w:r>
    </w:p>
    <w:p w14:paraId="5FC81039"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стратосферному самолету</w:t>
      </w:r>
    </w:p>
    <w:p w14:paraId="192335D3"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вопроса полета в стратосфере находится в прямой зависимости от следующих задач:</w:t>
      </w:r>
    </w:p>
    <w:p w14:paraId="76D48E54"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Создании сверхвысотного мотора, могущего дать необходимую мощность в разряженной плотности воздуха на высотах 12000-15000 м.</w:t>
      </w:r>
    </w:p>
    <w:p w14:paraId="536532F0"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Создании винта с переменным шагом, дающим необходимую тягу, как с тропосфере, так и в стратосфере.</w:t>
      </w:r>
    </w:p>
    <w:p w14:paraId="6C5FF5EE"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Создания кабины, обеспечивающей безопасный полет на большой высоте при низкой температуре и недостаточном количестве кислорода.</w:t>
      </w:r>
    </w:p>
    <w:p w14:paraId="386A9603"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Разрешение вопроса по управлению самолетом из герметической кабины.</w:t>
      </w:r>
    </w:p>
    <w:p w14:paraId="6C09AFF4"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В оборудовании самолета специальными приборами, дающими необходимые показания в стратосфере.</w:t>
      </w:r>
    </w:p>
    <w:p w14:paraId="4AB00CB1"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В создании самолета с достаточно хорошими аэродинамическими данными, требующими наименьшей мощности для подъема в стратосферу и полета в ней.</w:t>
      </w:r>
    </w:p>
    <w:p w14:paraId="5EE3AF40"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Вопросы, относящиеся к самолету проработаны в ЦАГИ и переданы для осуществления в ЦКБ зав. N 39. Чертежи самолета почти закончены (95%) и по ним изготовлены основные детали самолета. Постройки самолета в целом может быть закончена в квартале текущего года.</w:t>
      </w:r>
    </w:p>
    <w:p w14:paraId="5FC718FE"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 же со сверхскоростным мотором и винтом требуют длительной и серьезной доработки. Опытный образец мотора М-34 с двухступенчатым импеллером может поступить на заводские испытания лишь в конце сего года. Поэтому, в целях быстрейшего проведения испытания самолета и проверки всех неясных вопросов целесообразно выпустить самолет в воздух, до выхода специального мотора, с мотором высотностью до 5000 м. Последнее позволит достигнуть высоты 10-12 т.м., определить необходимые переделки и выявить новые вопросы, требующие разрешения.</w:t>
      </w:r>
    </w:p>
    <w:p w14:paraId="7416B3F1"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1934 году на основе всего изученного и проверенного, как теоретически, так и в полете, можно при наличии доведенного мотора с двухступенчатым импеллером, выпустить второй вариант мотора самолета с потолком не ниже 15000 м (3533,14).</w:t>
      </w:r>
    </w:p>
    <w:p w14:paraId="2602256E"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изучения, обеспечения и ускорения выпуска М-34 с нагнетателем до 8000 м необходимо заказать фирме Рато 10 шт. нагнетателей к М-34, для чего потребуется специальный контингент в 85 тыс. руб., как для оплаты заказа, так и расходов по доводке моторов М-34 до высотности 8000 м." (2304,7).</w:t>
      </w:r>
    </w:p>
    <w:p w14:paraId="3B62B09F"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541E9E6D" w14:textId="77777777" w:rsidR="003446BF" w:rsidRPr="00C33834" w:rsidRDefault="003446BF"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апреля 1933 г. завершились переговоры с фирмой «Райт» в США, которые начались 7 декабря 1932. Делегация для во главе с И.И. Побережским, в которую входили также А.Д. Швецов и Н.П. Базилев. Фирма выразила согласие подготовить всю документацию в метрической системе, изготовить и испытать образцы метрических моторов (11852).</w:t>
      </w:r>
    </w:p>
    <w:p w14:paraId="35B08D32" w14:textId="77777777" w:rsidR="003446BF" w:rsidRPr="00C33834" w:rsidRDefault="003446BF" w:rsidP="00C33834">
      <w:pPr>
        <w:shd w:val="clear" w:color="auto" w:fill="FFFFFF"/>
        <w:spacing w:after="0" w:line="240" w:lineRule="auto"/>
        <w:jc w:val="both"/>
        <w:rPr>
          <w:rFonts w:ascii="Times New Roman" w:hAnsi="Times New Roman"/>
          <w:color w:val="000000" w:themeColor="text1"/>
          <w:sz w:val="16"/>
          <w:szCs w:val="16"/>
        </w:rPr>
      </w:pPr>
    </w:p>
    <w:p w14:paraId="51258996"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апреля 1933 г. было подписано соглашение о приобретении лицензии Райт Р-1820 «Циклон», оснащённый односкоростным приводным центробежным нагнетателем. По нему фирма предоставляла необходимый комплект документации, специально переведённый в метрическую систему, а также должна была изготовить и испытать образцы двигателей метрического варианта. Позднее этот договор дополнили контрактами на приобретение готовых моторов, комплектов узлов и на-иболее важных деталей (12261).</w:t>
      </w:r>
    </w:p>
    <w:p w14:paraId="281C11D7" w14:textId="77777777" w:rsidR="002E1BE7" w:rsidRPr="00C33834" w:rsidRDefault="002E1BE7" w:rsidP="00C33834">
      <w:pPr>
        <w:spacing w:after="0" w:line="240" w:lineRule="auto"/>
        <w:jc w:val="both"/>
        <w:rPr>
          <w:rFonts w:ascii="Times New Roman" w:hAnsi="Times New Roman"/>
          <w:color w:val="000000" w:themeColor="text1"/>
          <w:sz w:val="16"/>
          <w:szCs w:val="16"/>
        </w:rPr>
      </w:pPr>
    </w:p>
    <w:p w14:paraId="57E5307B"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апреля 1933</w:t>
      </w:r>
    </w:p>
    <w:p w14:paraId="0E81D48D" w14:textId="77777777" w:rsidR="00237F26" w:rsidRPr="00C33834" w:rsidRDefault="00C33834" w:rsidP="00C33834">
      <w:pPr>
        <w:spacing w:after="0" w:line="240" w:lineRule="auto"/>
        <w:jc w:val="both"/>
        <w:rPr>
          <w:rFonts w:ascii="Times New Roman" w:hAnsi="Times New Roman"/>
          <w:color w:val="000000" w:themeColor="text1"/>
          <w:sz w:val="16"/>
          <w:szCs w:val="16"/>
        </w:rPr>
      </w:pPr>
      <w:hyperlink r:id="rId122" w:history="1">
        <w:r w:rsidR="00237F26" w:rsidRPr="00C33834">
          <w:rPr>
            <w:rFonts w:ascii="Times New Roman" w:hAnsi="Times New Roman"/>
            <w:color w:val="000000" w:themeColor="text1"/>
            <w:sz w:val="16"/>
            <w:szCs w:val="16"/>
          </w:rPr>
          <w:t>Протокол № 136 заседания Политбюро ЦК ВКП(б) от 23 апреля 1933 года</w:t>
        </w:r>
      </w:hyperlink>
    </w:p>
    <w:p w14:paraId="25C3CDFC"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60/36: Вопросы Комиссии Обороны</w:t>
      </w:r>
    </w:p>
    <w:p w14:paraId="63C20F31"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 особая папка.</w:t>
      </w:r>
    </w:p>
    <w:p w14:paraId="26CDB20E"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 Разрешить НКТП закупить в Америке 2.000 моторов “Либерти” организовав специальный и особо тщательный отбор. Для этой цели выделить НКТП дополнительно соответствующий импортный контингент и валюту в размере 120 тыс. долларов.</w:t>
      </w:r>
    </w:p>
    <w:p w14:paraId="3C34821A"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 о закупке электрооборудования к моторам “Либерти” и запчастям для этих моторов рассмотреть по представлении НКТП и НКВМ точной заявки о необходимом импортном контингенте и валюте.</w:t>
      </w:r>
    </w:p>
    <w:p w14:paraId="456FF011"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Разрешить НКТП  за счет своего контингента, ввоз из Америки на 150 тыс. руб. электрооборудования для моторов Либерти.</w:t>
      </w:r>
    </w:p>
    <w:p w14:paraId="7259A719"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а) В целях проверки и дублирования наших конструкторских работ разрешить НКВМору произвести закупку дивизионных пушек Шкода.</w:t>
      </w:r>
    </w:p>
    <w:p w14:paraId="746C4BA3"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закупки выделить особые средства в размере до 200 тыс. американских долларов сверх контингента НКВМ.</w:t>
      </w:r>
    </w:p>
    <w:p w14:paraId="799E993B"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Одновременно разрешить НКВМ осмотреть универсальные пушки САСШ, согласно их предложения, на предмет переговоров о покупке.</w:t>
      </w:r>
    </w:p>
    <w:p w14:paraId="546977B9"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Выписки посланы:</w:t>
      </w:r>
    </w:p>
    <w:p w14:paraId="6D22E7D2"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Базилевичу, Ворошилову, Орджоникидзе, Розенгольцу (18057).</w:t>
      </w:r>
    </w:p>
    <w:p w14:paraId="6F24478A" w14:textId="77777777" w:rsidR="00237F26" w:rsidRPr="00C33834" w:rsidRDefault="00237F26" w:rsidP="00C33834">
      <w:pPr>
        <w:spacing w:after="0" w:line="240" w:lineRule="auto"/>
        <w:jc w:val="both"/>
        <w:rPr>
          <w:rFonts w:ascii="Times New Roman" w:hAnsi="Times New Roman"/>
          <w:color w:val="000000" w:themeColor="text1"/>
          <w:sz w:val="16"/>
          <w:szCs w:val="16"/>
        </w:rPr>
      </w:pPr>
    </w:p>
    <w:p w14:paraId="5DD97AD5"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апреля 1933 у Нач. УМТСиВ ВВС состоялось совещание по вопросам согласования перечня эталонов вооружения (3058,31-36):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F26F01" w:rsidRPr="00C33834" w14:paraId="4C567860" w14:textId="77777777">
        <w:tc>
          <w:tcPr>
            <w:tcW w:w="2818" w:type="dxa"/>
          </w:tcPr>
          <w:p w14:paraId="7B4A2766"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АО-10</w:t>
            </w:r>
          </w:p>
        </w:tc>
        <w:tc>
          <w:tcPr>
            <w:tcW w:w="2818" w:type="dxa"/>
          </w:tcPr>
          <w:p w14:paraId="66D67514"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Имеется ВСТ</w:t>
            </w:r>
          </w:p>
        </w:tc>
      </w:tr>
      <w:tr w:rsidR="00F26F01" w:rsidRPr="00C33834" w14:paraId="06F1A80D" w14:textId="77777777">
        <w:tc>
          <w:tcPr>
            <w:tcW w:w="2818" w:type="dxa"/>
          </w:tcPr>
          <w:p w14:paraId="2C54DB3C"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АО-8</w:t>
            </w:r>
          </w:p>
        </w:tc>
        <w:tc>
          <w:tcPr>
            <w:tcW w:w="2818" w:type="dxa"/>
          </w:tcPr>
          <w:p w14:paraId="4E6B56E7"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Сняты с вооружения</w:t>
            </w:r>
          </w:p>
        </w:tc>
      </w:tr>
      <w:tr w:rsidR="00F26F01" w:rsidRPr="00C33834" w14:paraId="5A3E036E" w14:textId="77777777">
        <w:tc>
          <w:tcPr>
            <w:tcW w:w="2818" w:type="dxa"/>
          </w:tcPr>
          <w:p w14:paraId="7FC89CD0"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АФ-50</w:t>
            </w:r>
          </w:p>
        </w:tc>
        <w:tc>
          <w:tcPr>
            <w:tcW w:w="2818" w:type="dxa"/>
          </w:tcPr>
          <w:p w14:paraId="4E34CA34"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Имеется ВСТ</w:t>
            </w:r>
          </w:p>
        </w:tc>
      </w:tr>
      <w:tr w:rsidR="00F26F01" w:rsidRPr="00C33834" w14:paraId="4DA8AC55" w14:textId="77777777">
        <w:tc>
          <w:tcPr>
            <w:tcW w:w="2818" w:type="dxa"/>
          </w:tcPr>
          <w:p w14:paraId="18168B4C"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АФ-32</w:t>
            </w:r>
          </w:p>
        </w:tc>
        <w:tc>
          <w:tcPr>
            <w:tcW w:w="2818" w:type="dxa"/>
          </w:tcPr>
          <w:p w14:paraId="33EAB183"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Сняты с производства</w:t>
            </w:r>
          </w:p>
        </w:tc>
      </w:tr>
      <w:tr w:rsidR="00F26F01" w:rsidRPr="00C33834" w14:paraId="3CEF99B6" w14:textId="77777777">
        <w:tc>
          <w:tcPr>
            <w:tcW w:w="2818" w:type="dxa"/>
          </w:tcPr>
          <w:p w14:paraId="5AE80621"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АФ-100</w:t>
            </w:r>
          </w:p>
        </w:tc>
        <w:tc>
          <w:tcPr>
            <w:tcW w:w="2818" w:type="dxa"/>
          </w:tcPr>
          <w:p w14:paraId="1240043F"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Временные техусловия</w:t>
            </w:r>
          </w:p>
        </w:tc>
      </w:tr>
      <w:tr w:rsidR="00F26F01" w:rsidRPr="00C33834" w14:paraId="61E88111" w14:textId="77777777">
        <w:tc>
          <w:tcPr>
            <w:tcW w:w="2818" w:type="dxa"/>
          </w:tcPr>
          <w:p w14:paraId="4EE8B721" w14:textId="77777777" w:rsidR="003446BF" w:rsidRPr="00C33834" w:rsidRDefault="003446BF" w:rsidP="00C33834">
            <w:pPr>
              <w:spacing w:after="0" w:line="240" w:lineRule="auto"/>
              <w:jc w:val="both"/>
              <w:rPr>
                <w:rFonts w:ascii="Times New Roman" w:hAnsi="Times New Roman"/>
                <w:color w:val="000000" w:themeColor="text1"/>
                <w:sz w:val="16"/>
                <w:szCs w:val="16"/>
              </w:rPr>
            </w:pPr>
          </w:p>
        </w:tc>
        <w:tc>
          <w:tcPr>
            <w:tcW w:w="2818" w:type="dxa"/>
          </w:tcPr>
          <w:p w14:paraId="50C648ED"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эталоны и чертежи</w:t>
            </w:r>
          </w:p>
        </w:tc>
      </w:tr>
      <w:tr w:rsidR="00F26F01" w:rsidRPr="00C33834" w14:paraId="36CAFC1C" w14:textId="77777777">
        <w:tc>
          <w:tcPr>
            <w:tcW w:w="2818" w:type="dxa"/>
          </w:tcPr>
          <w:p w14:paraId="2FAC4244" w14:textId="77777777" w:rsidR="003446BF" w:rsidRPr="00C33834" w:rsidRDefault="003446BF" w:rsidP="00C33834">
            <w:pPr>
              <w:spacing w:after="0" w:line="240" w:lineRule="auto"/>
              <w:jc w:val="both"/>
              <w:rPr>
                <w:rFonts w:ascii="Times New Roman" w:hAnsi="Times New Roman"/>
                <w:color w:val="000000" w:themeColor="text1"/>
                <w:sz w:val="16"/>
                <w:szCs w:val="16"/>
              </w:rPr>
            </w:pPr>
          </w:p>
        </w:tc>
        <w:tc>
          <w:tcPr>
            <w:tcW w:w="2818" w:type="dxa"/>
          </w:tcPr>
          <w:p w14:paraId="7E77036A"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будут на 1934 г.</w:t>
            </w:r>
          </w:p>
        </w:tc>
      </w:tr>
      <w:tr w:rsidR="00F26F01" w:rsidRPr="00C33834" w14:paraId="2C0CBC89" w14:textId="77777777">
        <w:tc>
          <w:tcPr>
            <w:tcW w:w="2818" w:type="dxa"/>
          </w:tcPr>
          <w:p w14:paraId="243688BA"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АФ-82</w:t>
            </w:r>
          </w:p>
        </w:tc>
        <w:tc>
          <w:tcPr>
            <w:tcW w:w="2818" w:type="dxa"/>
          </w:tcPr>
          <w:p w14:paraId="5B281725"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Сняты с валового</w:t>
            </w:r>
          </w:p>
        </w:tc>
      </w:tr>
      <w:tr w:rsidR="00F26F01" w:rsidRPr="00C33834" w14:paraId="5F1592F1" w14:textId="77777777">
        <w:tc>
          <w:tcPr>
            <w:tcW w:w="2818" w:type="dxa"/>
          </w:tcPr>
          <w:p w14:paraId="7FA9A24A" w14:textId="77777777" w:rsidR="003446BF" w:rsidRPr="00C33834" w:rsidRDefault="003446BF" w:rsidP="00C33834">
            <w:pPr>
              <w:spacing w:after="0" w:line="240" w:lineRule="auto"/>
              <w:jc w:val="both"/>
              <w:rPr>
                <w:rFonts w:ascii="Times New Roman" w:hAnsi="Times New Roman"/>
                <w:color w:val="000000" w:themeColor="text1"/>
                <w:sz w:val="16"/>
                <w:szCs w:val="16"/>
              </w:rPr>
            </w:pPr>
          </w:p>
        </w:tc>
        <w:tc>
          <w:tcPr>
            <w:tcW w:w="2818" w:type="dxa"/>
          </w:tcPr>
          <w:p w14:paraId="29C3FEE0"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производства</w:t>
            </w:r>
          </w:p>
        </w:tc>
      </w:tr>
      <w:tr w:rsidR="00F26F01" w:rsidRPr="00C33834" w14:paraId="13F317C2" w14:textId="77777777">
        <w:tc>
          <w:tcPr>
            <w:tcW w:w="2818" w:type="dxa"/>
          </w:tcPr>
          <w:p w14:paraId="59B310E6"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АФ-250</w:t>
            </w:r>
          </w:p>
        </w:tc>
        <w:tc>
          <w:tcPr>
            <w:tcW w:w="2818" w:type="dxa"/>
          </w:tcPr>
          <w:p w14:paraId="459C303B"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Имеется ВСТ</w:t>
            </w:r>
          </w:p>
        </w:tc>
      </w:tr>
      <w:tr w:rsidR="00F26F01" w:rsidRPr="00C33834" w14:paraId="3DC1C85E" w14:textId="77777777">
        <w:tc>
          <w:tcPr>
            <w:tcW w:w="2818" w:type="dxa"/>
          </w:tcPr>
          <w:p w14:paraId="6FE33C86"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АФ-500</w:t>
            </w:r>
          </w:p>
        </w:tc>
        <w:tc>
          <w:tcPr>
            <w:tcW w:w="2818" w:type="dxa"/>
          </w:tcPr>
          <w:p w14:paraId="7B95D2B8"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Имеется ВСТ</w:t>
            </w:r>
          </w:p>
        </w:tc>
      </w:tr>
      <w:tr w:rsidR="00F26F01" w:rsidRPr="00C33834" w14:paraId="208BDEC4" w14:textId="77777777">
        <w:tc>
          <w:tcPr>
            <w:tcW w:w="2818" w:type="dxa"/>
          </w:tcPr>
          <w:p w14:paraId="4E308ACD"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АФ-1000</w:t>
            </w:r>
          </w:p>
        </w:tc>
        <w:tc>
          <w:tcPr>
            <w:tcW w:w="2818" w:type="dxa"/>
          </w:tcPr>
          <w:p w14:paraId="3749AD58"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Имеется ВСТ</w:t>
            </w:r>
          </w:p>
        </w:tc>
      </w:tr>
      <w:tr w:rsidR="00F26F01" w:rsidRPr="00C33834" w14:paraId="349E76B2" w14:textId="77777777">
        <w:tc>
          <w:tcPr>
            <w:tcW w:w="2818" w:type="dxa"/>
          </w:tcPr>
          <w:p w14:paraId="30EDB7DB"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АФ-2000</w:t>
            </w:r>
          </w:p>
        </w:tc>
        <w:tc>
          <w:tcPr>
            <w:tcW w:w="2818" w:type="dxa"/>
          </w:tcPr>
          <w:p w14:paraId="2AB31E4F"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Временные техусловия</w:t>
            </w:r>
          </w:p>
        </w:tc>
      </w:tr>
      <w:tr w:rsidR="00F26F01" w:rsidRPr="00C33834" w14:paraId="54EED61E" w14:textId="77777777">
        <w:tc>
          <w:tcPr>
            <w:tcW w:w="2818" w:type="dxa"/>
          </w:tcPr>
          <w:p w14:paraId="3E3C54C5" w14:textId="77777777" w:rsidR="003446BF" w:rsidRPr="00C33834" w:rsidRDefault="003446BF" w:rsidP="00C33834">
            <w:pPr>
              <w:spacing w:after="0" w:line="240" w:lineRule="auto"/>
              <w:jc w:val="both"/>
              <w:rPr>
                <w:rFonts w:ascii="Times New Roman" w:hAnsi="Times New Roman"/>
                <w:color w:val="000000" w:themeColor="text1"/>
                <w:sz w:val="16"/>
                <w:szCs w:val="16"/>
              </w:rPr>
            </w:pPr>
          </w:p>
        </w:tc>
        <w:tc>
          <w:tcPr>
            <w:tcW w:w="2818" w:type="dxa"/>
          </w:tcPr>
          <w:p w14:paraId="2B8CD5B2"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эталоны и чертежи</w:t>
            </w:r>
          </w:p>
        </w:tc>
      </w:tr>
      <w:tr w:rsidR="00F26F01" w:rsidRPr="00C33834" w14:paraId="01DEDA15" w14:textId="77777777">
        <w:tc>
          <w:tcPr>
            <w:tcW w:w="2818" w:type="dxa"/>
          </w:tcPr>
          <w:p w14:paraId="69992F89" w14:textId="77777777" w:rsidR="003446BF" w:rsidRPr="00C33834" w:rsidRDefault="003446BF" w:rsidP="00C33834">
            <w:pPr>
              <w:spacing w:after="0" w:line="240" w:lineRule="auto"/>
              <w:jc w:val="both"/>
              <w:rPr>
                <w:rFonts w:ascii="Times New Roman" w:hAnsi="Times New Roman"/>
                <w:color w:val="000000" w:themeColor="text1"/>
                <w:sz w:val="16"/>
                <w:szCs w:val="16"/>
              </w:rPr>
            </w:pPr>
          </w:p>
        </w:tc>
        <w:tc>
          <w:tcPr>
            <w:tcW w:w="2818" w:type="dxa"/>
          </w:tcPr>
          <w:p w14:paraId="34C19787"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будут на 1934 г.</w:t>
            </w:r>
          </w:p>
        </w:tc>
      </w:tr>
      <w:tr w:rsidR="00F26F01" w:rsidRPr="00C33834" w14:paraId="1A776704" w14:textId="77777777">
        <w:tc>
          <w:tcPr>
            <w:tcW w:w="2818" w:type="dxa"/>
          </w:tcPr>
          <w:p w14:paraId="5D610868"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АБР-250</w:t>
            </w:r>
          </w:p>
        </w:tc>
        <w:tc>
          <w:tcPr>
            <w:tcW w:w="2818" w:type="dxa"/>
          </w:tcPr>
          <w:p w14:paraId="6E8C6123"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Временные техусловия</w:t>
            </w:r>
          </w:p>
        </w:tc>
      </w:tr>
      <w:tr w:rsidR="00F26F01" w:rsidRPr="00C33834" w14:paraId="41D7D6C5" w14:textId="77777777">
        <w:tc>
          <w:tcPr>
            <w:tcW w:w="2818" w:type="dxa"/>
          </w:tcPr>
          <w:p w14:paraId="71B7BC1F"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АБР-500</w:t>
            </w:r>
          </w:p>
        </w:tc>
        <w:tc>
          <w:tcPr>
            <w:tcW w:w="2818" w:type="dxa"/>
          </w:tcPr>
          <w:p w14:paraId="30B8EFE4"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Временные техусловия</w:t>
            </w:r>
          </w:p>
        </w:tc>
      </w:tr>
      <w:tr w:rsidR="00F26F01" w:rsidRPr="00C33834" w14:paraId="5E3F4781" w14:textId="77777777">
        <w:tc>
          <w:tcPr>
            <w:tcW w:w="2818" w:type="dxa"/>
          </w:tcPr>
          <w:p w14:paraId="10570E59"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АБР-1000</w:t>
            </w:r>
          </w:p>
        </w:tc>
        <w:tc>
          <w:tcPr>
            <w:tcW w:w="2818" w:type="dxa"/>
          </w:tcPr>
          <w:p w14:paraId="76CE2A72"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Временные техусловия</w:t>
            </w:r>
          </w:p>
        </w:tc>
      </w:tr>
      <w:tr w:rsidR="00F26F01" w:rsidRPr="00C33834" w14:paraId="04000618" w14:textId="77777777">
        <w:tc>
          <w:tcPr>
            <w:tcW w:w="2818" w:type="dxa"/>
          </w:tcPr>
          <w:p w14:paraId="3CA715E0"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АОХ-8</w:t>
            </w:r>
          </w:p>
        </w:tc>
        <w:tc>
          <w:tcPr>
            <w:tcW w:w="2818" w:type="dxa"/>
          </w:tcPr>
          <w:p w14:paraId="70FF0F6F"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Сняты с производства</w:t>
            </w:r>
          </w:p>
        </w:tc>
      </w:tr>
      <w:tr w:rsidR="00F26F01" w:rsidRPr="00C33834" w14:paraId="5421FF5B" w14:textId="77777777">
        <w:tc>
          <w:tcPr>
            <w:tcW w:w="2818" w:type="dxa"/>
          </w:tcPr>
          <w:p w14:paraId="0FF6886F"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АОХ-10</w:t>
            </w:r>
          </w:p>
        </w:tc>
        <w:tc>
          <w:tcPr>
            <w:tcW w:w="2818" w:type="dxa"/>
          </w:tcPr>
          <w:p w14:paraId="7FDCC943"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Имеется ВСТ</w:t>
            </w:r>
          </w:p>
        </w:tc>
      </w:tr>
      <w:tr w:rsidR="00F26F01" w:rsidRPr="00C33834" w14:paraId="106FDF69" w14:textId="77777777">
        <w:tc>
          <w:tcPr>
            <w:tcW w:w="2818" w:type="dxa"/>
          </w:tcPr>
          <w:p w14:paraId="374E352E"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АХ-25</w:t>
            </w:r>
          </w:p>
        </w:tc>
        <w:tc>
          <w:tcPr>
            <w:tcW w:w="2818" w:type="dxa"/>
          </w:tcPr>
          <w:p w14:paraId="4E5AE77F"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55E29E5D" w14:textId="77777777">
        <w:tc>
          <w:tcPr>
            <w:tcW w:w="2818" w:type="dxa"/>
          </w:tcPr>
          <w:p w14:paraId="2EDA84AE"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АХ-200</w:t>
            </w:r>
          </w:p>
        </w:tc>
        <w:tc>
          <w:tcPr>
            <w:tcW w:w="2818" w:type="dxa"/>
          </w:tcPr>
          <w:p w14:paraId="1020D045"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Имеется ВСТ</w:t>
            </w:r>
          </w:p>
        </w:tc>
      </w:tr>
      <w:tr w:rsidR="00F26F01" w:rsidRPr="00C33834" w14:paraId="191BD2A9" w14:textId="77777777">
        <w:tc>
          <w:tcPr>
            <w:tcW w:w="2818" w:type="dxa"/>
          </w:tcPr>
          <w:p w14:paraId="71E23192"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АО-25ПР</w:t>
            </w:r>
          </w:p>
        </w:tc>
        <w:tc>
          <w:tcPr>
            <w:tcW w:w="2818" w:type="dxa"/>
          </w:tcPr>
          <w:p w14:paraId="0D949B70"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Имеется ВСТ</w:t>
            </w:r>
          </w:p>
        </w:tc>
      </w:tr>
      <w:tr w:rsidR="00F26F01" w:rsidRPr="00C33834" w14:paraId="3FDE57B3" w14:textId="77777777">
        <w:tc>
          <w:tcPr>
            <w:tcW w:w="2818" w:type="dxa"/>
          </w:tcPr>
          <w:p w14:paraId="5B6D4EFF"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АЗ-1</w:t>
            </w:r>
          </w:p>
        </w:tc>
        <w:tc>
          <w:tcPr>
            <w:tcW w:w="2818" w:type="dxa"/>
          </w:tcPr>
          <w:p w14:paraId="0B7C6FEC"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Временные техусловия</w:t>
            </w:r>
          </w:p>
        </w:tc>
      </w:tr>
      <w:tr w:rsidR="00F26F01" w:rsidRPr="00C33834" w14:paraId="4D890ECB" w14:textId="77777777">
        <w:tc>
          <w:tcPr>
            <w:tcW w:w="2818" w:type="dxa"/>
          </w:tcPr>
          <w:p w14:paraId="4FD732E3"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АЗ-50</w:t>
            </w:r>
          </w:p>
        </w:tc>
        <w:tc>
          <w:tcPr>
            <w:tcW w:w="2818" w:type="dxa"/>
          </w:tcPr>
          <w:p w14:paraId="0DC80589"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Временные техусловия</w:t>
            </w:r>
          </w:p>
        </w:tc>
      </w:tr>
      <w:tr w:rsidR="00F26F01" w:rsidRPr="00C33834" w14:paraId="677B57B9" w14:textId="77777777">
        <w:tc>
          <w:tcPr>
            <w:tcW w:w="2818" w:type="dxa"/>
          </w:tcPr>
          <w:p w14:paraId="1E095A2A"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АС-5</w:t>
            </w:r>
          </w:p>
        </w:tc>
        <w:tc>
          <w:tcPr>
            <w:tcW w:w="2818" w:type="dxa"/>
          </w:tcPr>
          <w:p w14:paraId="67D4BD9E"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Имеется ВСТ</w:t>
            </w:r>
          </w:p>
        </w:tc>
      </w:tr>
      <w:tr w:rsidR="00F26F01" w:rsidRPr="00C33834" w14:paraId="01A4EFA8" w14:textId="77777777">
        <w:tc>
          <w:tcPr>
            <w:tcW w:w="2818" w:type="dxa"/>
          </w:tcPr>
          <w:p w14:paraId="01E141AE"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АФДЗ-50</w:t>
            </w:r>
          </w:p>
        </w:tc>
        <w:tc>
          <w:tcPr>
            <w:tcW w:w="2818" w:type="dxa"/>
          </w:tcPr>
          <w:p w14:paraId="39A17226"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Временные техусловия</w:t>
            </w:r>
          </w:p>
        </w:tc>
      </w:tr>
      <w:tr w:rsidR="00F26F01" w:rsidRPr="00C33834" w14:paraId="27E5E78A" w14:textId="77777777">
        <w:tc>
          <w:tcPr>
            <w:tcW w:w="2818" w:type="dxa"/>
          </w:tcPr>
          <w:p w14:paraId="2F8AADF7"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ЗАМ-70</w:t>
            </w:r>
          </w:p>
        </w:tc>
        <w:tc>
          <w:tcPr>
            <w:tcW w:w="2818" w:type="dxa"/>
          </w:tcPr>
          <w:p w14:paraId="76409D77"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Условно приняты</w:t>
            </w:r>
          </w:p>
        </w:tc>
      </w:tr>
      <w:tr w:rsidR="00F26F01" w:rsidRPr="00C33834" w14:paraId="330FFB3E" w14:textId="77777777">
        <w:tc>
          <w:tcPr>
            <w:tcW w:w="2818" w:type="dxa"/>
          </w:tcPr>
          <w:p w14:paraId="39F05A65"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ПБМ-40</w:t>
            </w:r>
          </w:p>
        </w:tc>
        <w:tc>
          <w:tcPr>
            <w:tcW w:w="2818" w:type="dxa"/>
          </w:tcPr>
          <w:p w14:paraId="54C8B68C"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Условно приняты</w:t>
            </w:r>
          </w:p>
        </w:tc>
      </w:tr>
      <w:tr w:rsidR="00F26F01" w:rsidRPr="00C33834" w14:paraId="309D8836" w14:textId="77777777">
        <w:tc>
          <w:tcPr>
            <w:tcW w:w="2818" w:type="dxa"/>
          </w:tcPr>
          <w:p w14:paraId="07263FF6"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Пулеметы ПВ-1 7,62 мм</w:t>
            </w:r>
          </w:p>
        </w:tc>
        <w:tc>
          <w:tcPr>
            <w:tcW w:w="2818" w:type="dxa"/>
          </w:tcPr>
          <w:p w14:paraId="617069F3"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Эталоны и чертежи</w:t>
            </w:r>
          </w:p>
        </w:tc>
      </w:tr>
      <w:tr w:rsidR="00F26F01" w:rsidRPr="00C33834" w14:paraId="27CFBD56" w14:textId="77777777">
        <w:tc>
          <w:tcPr>
            <w:tcW w:w="2818" w:type="dxa"/>
          </w:tcPr>
          <w:p w14:paraId="267F5FE7" w14:textId="77777777" w:rsidR="003446BF" w:rsidRPr="00C33834" w:rsidRDefault="003446BF" w:rsidP="00C33834">
            <w:pPr>
              <w:spacing w:after="0" w:line="240" w:lineRule="auto"/>
              <w:jc w:val="both"/>
              <w:rPr>
                <w:rFonts w:ascii="Times New Roman" w:hAnsi="Times New Roman"/>
                <w:color w:val="000000" w:themeColor="text1"/>
                <w:sz w:val="16"/>
                <w:szCs w:val="16"/>
              </w:rPr>
            </w:pPr>
          </w:p>
        </w:tc>
        <w:tc>
          <w:tcPr>
            <w:tcW w:w="2818" w:type="dxa"/>
          </w:tcPr>
          <w:p w14:paraId="7F8EE40D"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имеются</w:t>
            </w:r>
          </w:p>
        </w:tc>
      </w:tr>
      <w:tr w:rsidR="00F26F01" w:rsidRPr="00C33834" w14:paraId="4A1A962A" w14:textId="77777777">
        <w:tc>
          <w:tcPr>
            <w:tcW w:w="2818" w:type="dxa"/>
          </w:tcPr>
          <w:p w14:paraId="679F5465"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Пулеметы ДА-2 7,62 мм</w:t>
            </w:r>
          </w:p>
        </w:tc>
        <w:tc>
          <w:tcPr>
            <w:tcW w:w="2818" w:type="dxa"/>
          </w:tcPr>
          <w:p w14:paraId="6675A3D2"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Эталоны и чертежи</w:t>
            </w:r>
          </w:p>
        </w:tc>
      </w:tr>
      <w:tr w:rsidR="00F26F01" w:rsidRPr="00C33834" w14:paraId="53E5349A" w14:textId="77777777">
        <w:tc>
          <w:tcPr>
            <w:tcW w:w="2818" w:type="dxa"/>
          </w:tcPr>
          <w:p w14:paraId="78FFB227" w14:textId="77777777" w:rsidR="003446BF" w:rsidRPr="00C33834" w:rsidRDefault="003446BF" w:rsidP="00C33834">
            <w:pPr>
              <w:spacing w:after="0" w:line="240" w:lineRule="auto"/>
              <w:jc w:val="both"/>
              <w:rPr>
                <w:rFonts w:ascii="Times New Roman" w:hAnsi="Times New Roman"/>
                <w:color w:val="000000" w:themeColor="text1"/>
                <w:sz w:val="16"/>
                <w:szCs w:val="16"/>
              </w:rPr>
            </w:pPr>
          </w:p>
        </w:tc>
        <w:tc>
          <w:tcPr>
            <w:tcW w:w="2818" w:type="dxa"/>
          </w:tcPr>
          <w:p w14:paraId="04628DC3"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имеются</w:t>
            </w:r>
          </w:p>
        </w:tc>
      </w:tr>
      <w:tr w:rsidR="00F26F01" w:rsidRPr="00C33834" w14:paraId="2D61278C" w14:textId="77777777">
        <w:tc>
          <w:tcPr>
            <w:tcW w:w="2818" w:type="dxa"/>
          </w:tcPr>
          <w:p w14:paraId="1B1FCBB8"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Пулеметы ШКАС 7,62 мм</w:t>
            </w:r>
          </w:p>
        </w:tc>
        <w:tc>
          <w:tcPr>
            <w:tcW w:w="2818" w:type="dxa"/>
          </w:tcPr>
          <w:p w14:paraId="2DD7082B"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Эталонов не имеется</w:t>
            </w:r>
          </w:p>
        </w:tc>
      </w:tr>
      <w:tr w:rsidR="00F26F01" w:rsidRPr="00C33834" w14:paraId="0F239CAC" w14:textId="77777777">
        <w:tc>
          <w:tcPr>
            <w:tcW w:w="2818" w:type="dxa"/>
          </w:tcPr>
          <w:p w14:paraId="0336FC1B"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Пулеметы ДАК 12,7 мм</w:t>
            </w:r>
          </w:p>
        </w:tc>
        <w:tc>
          <w:tcPr>
            <w:tcW w:w="2818" w:type="dxa"/>
          </w:tcPr>
          <w:p w14:paraId="6F724DE7"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Эталонов не имеется</w:t>
            </w:r>
          </w:p>
        </w:tc>
      </w:tr>
      <w:tr w:rsidR="00F26F01" w:rsidRPr="00C33834" w14:paraId="24FC92A5" w14:textId="77777777">
        <w:tc>
          <w:tcPr>
            <w:tcW w:w="2818" w:type="dxa"/>
          </w:tcPr>
          <w:p w14:paraId="643E1F5D"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ВАП-4</w:t>
            </w:r>
          </w:p>
        </w:tc>
        <w:tc>
          <w:tcPr>
            <w:tcW w:w="2818" w:type="dxa"/>
          </w:tcPr>
          <w:p w14:paraId="3E462B6C"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Эталоны и чертежи есть</w:t>
            </w:r>
          </w:p>
        </w:tc>
      </w:tr>
      <w:tr w:rsidR="00F26F01" w:rsidRPr="00C33834" w14:paraId="2ED2C1FB" w14:textId="77777777">
        <w:tc>
          <w:tcPr>
            <w:tcW w:w="2818" w:type="dxa"/>
          </w:tcPr>
          <w:p w14:paraId="08929791"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ДАП-100</w:t>
            </w:r>
          </w:p>
        </w:tc>
        <w:tc>
          <w:tcPr>
            <w:tcW w:w="2818" w:type="dxa"/>
          </w:tcPr>
          <w:p w14:paraId="7ACD3E0F"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Эталоны и чертежи есть</w:t>
            </w:r>
          </w:p>
        </w:tc>
      </w:tr>
      <w:tr w:rsidR="00F26F01" w:rsidRPr="00C33834" w14:paraId="624C09B5" w14:textId="77777777">
        <w:tc>
          <w:tcPr>
            <w:tcW w:w="2818" w:type="dxa"/>
          </w:tcPr>
          <w:p w14:paraId="66688FD3"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ДАП-200</w:t>
            </w:r>
          </w:p>
        </w:tc>
        <w:tc>
          <w:tcPr>
            <w:tcW w:w="2818" w:type="dxa"/>
          </w:tcPr>
          <w:p w14:paraId="54628318"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Имеются временные</w:t>
            </w:r>
          </w:p>
        </w:tc>
      </w:tr>
      <w:tr w:rsidR="00F26F01" w:rsidRPr="00C33834" w14:paraId="4496C3CC" w14:textId="77777777">
        <w:tc>
          <w:tcPr>
            <w:tcW w:w="2818" w:type="dxa"/>
          </w:tcPr>
          <w:p w14:paraId="1A1D445D" w14:textId="77777777" w:rsidR="003446BF" w:rsidRPr="00C33834" w:rsidRDefault="003446BF" w:rsidP="00C33834">
            <w:pPr>
              <w:spacing w:after="0" w:line="240" w:lineRule="auto"/>
              <w:jc w:val="both"/>
              <w:rPr>
                <w:rFonts w:ascii="Times New Roman" w:hAnsi="Times New Roman"/>
                <w:color w:val="000000" w:themeColor="text1"/>
                <w:sz w:val="16"/>
                <w:szCs w:val="16"/>
              </w:rPr>
            </w:pPr>
          </w:p>
        </w:tc>
        <w:tc>
          <w:tcPr>
            <w:tcW w:w="2818" w:type="dxa"/>
          </w:tcPr>
          <w:p w14:paraId="6FD474EE"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техусловия; заказывается</w:t>
            </w:r>
          </w:p>
        </w:tc>
      </w:tr>
      <w:tr w:rsidR="00F26F01" w:rsidRPr="00C33834" w14:paraId="4B057B4D" w14:textId="77777777">
        <w:tc>
          <w:tcPr>
            <w:tcW w:w="2818" w:type="dxa"/>
          </w:tcPr>
          <w:p w14:paraId="66E25454" w14:textId="77777777" w:rsidR="003446BF" w:rsidRPr="00C33834" w:rsidRDefault="003446BF" w:rsidP="00C33834">
            <w:pPr>
              <w:spacing w:after="0" w:line="240" w:lineRule="auto"/>
              <w:jc w:val="both"/>
              <w:rPr>
                <w:rFonts w:ascii="Times New Roman" w:hAnsi="Times New Roman"/>
                <w:color w:val="000000" w:themeColor="text1"/>
                <w:sz w:val="16"/>
                <w:szCs w:val="16"/>
              </w:rPr>
            </w:pPr>
          </w:p>
        </w:tc>
        <w:tc>
          <w:tcPr>
            <w:tcW w:w="2818" w:type="dxa"/>
          </w:tcPr>
          <w:p w14:paraId="13CA17F3"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опытная партия</w:t>
            </w:r>
          </w:p>
        </w:tc>
      </w:tr>
      <w:tr w:rsidR="00F26F01" w:rsidRPr="00C33834" w14:paraId="16D50644" w14:textId="77777777">
        <w:tc>
          <w:tcPr>
            <w:tcW w:w="2818" w:type="dxa"/>
          </w:tcPr>
          <w:p w14:paraId="2C581164"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Разливочные станции</w:t>
            </w:r>
          </w:p>
        </w:tc>
        <w:tc>
          <w:tcPr>
            <w:tcW w:w="2818" w:type="dxa"/>
          </w:tcPr>
          <w:p w14:paraId="499FE9B1"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Находится в стадии опытных</w:t>
            </w:r>
          </w:p>
        </w:tc>
      </w:tr>
      <w:tr w:rsidR="00F26F01" w:rsidRPr="00C33834" w14:paraId="527F2858" w14:textId="77777777">
        <w:tc>
          <w:tcPr>
            <w:tcW w:w="2818" w:type="dxa"/>
          </w:tcPr>
          <w:p w14:paraId="055E25D0" w14:textId="77777777" w:rsidR="003446BF" w:rsidRPr="00C33834" w:rsidRDefault="003446BF" w:rsidP="00C33834">
            <w:pPr>
              <w:spacing w:after="0" w:line="240" w:lineRule="auto"/>
              <w:jc w:val="both"/>
              <w:rPr>
                <w:rFonts w:ascii="Times New Roman" w:hAnsi="Times New Roman"/>
                <w:color w:val="000000" w:themeColor="text1"/>
                <w:sz w:val="16"/>
                <w:szCs w:val="16"/>
              </w:rPr>
            </w:pPr>
          </w:p>
        </w:tc>
        <w:tc>
          <w:tcPr>
            <w:tcW w:w="2818" w:type="dxa"/>
          </w:tcPr>
          <w:p w14:paraId="07DD5E81"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w:t>
            </w:r>
          </w:p>
        </w:tc>
      </w:tr>
      <w:tr w:rsidR="00F26F01" w:rsidRPr="00C33834" w14:paraId="0CB90B28" w14:textId="77777777">
        <w:tc>
          <w:tcPr>
            <w:tcW w:w="2818" w:type="dxa"/>
          </w:tcPr>
          <w:p w14:paraId="733B9B9F"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Противогазы для летного</w:t>
            </w:r>
          </w:p>
        </w:tc>
        <w:tc>
          <w:tcPr>
            <w:tcW w:w="2818" w:type="dxa"/>
          </w:tcPr>
          <w:p w14:paraId="50CE12EE" w14:textId="77777777" w:rsidR="003446BF" w:rsidRPr="00C33834" w:rsidRDefault="003446BF" w:rsidP="00C33834">
            <w:pPr>
              <w:spacing w:after="0" w:line="240" w:lineRule="auto"/>
              <w:jc w:val="both"/>
              <w:rPr>
                <w:rFonts w:ascii="Times New Roman" w:hAnsi="Times New Roman"/>
                <w:color w:val="000000" w:themeColor="text1"/>
                <w:sz w:val="16"/>
                <w:szCs w:val="16"/>
              </w:rPr>
            </w:pPr>
          </w:p>
        </w:tc>
      </w:tr>
      <w:tr w:rsidR="00F26F01" w:rsidRPr="00C33834" w14:paraId="03E88298" w14:textId="77777777">
        <w:tc>
          <w:tcPr>
            <w:tcW w:w="2818" w:type="dxa"/>
          </w:tcPr>
          <w:p w14:paraId="31EDB714"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состава</w:t>
            </w:r>
          </w:p>
        </w:tc>
        <w:tc>
          <w:tcPr>
            <w:tcW w:w="2818" w:type="dxa"/>
          </w:tcPr>
          <w:p w14:paraId="079540ED"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Эталонов не имеется (3058)</w:t>
            </w:r>
          </w:p>
        </w:tc>
      </w:tr>
    </w:tbl>
    <w:p w14:paraId="09E6A111" w14:textId="77777777" w:rsidR="003446BF" w:rsidRPr="00C33834" w:rsidRDefault="003446BF" w:rsidP="00C33834">
      <w:pPr>
        <w:spacing w:after="0" w:line="240" w:lineRule="auto"/>
        <w:jc w:val="both"/>
        <w:rPr>
          <w:rFonts w:ascii="Times New Roman" w:hAnsi="Times New Roman"/>
          <w:iCs/>
          <w:color w:val="000000" w:themeColor="text1"/>
          <w:sz w:val="16"/>
          <w:szCs w:val="16"/>
        </w:rPr>
      </w:pPr>
    </w:p>
    <w:p w14:paraId="6FBDC437" w14:textId="77777777" w:rsidR="003446BF"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E1D7747" w14:textId="77777777" w:rsidR="003446BF" w:rsidRPr="00C33834" w:rsidRDefault="003446BF" w:rsidP="00C33834">
      <w:pPr>
        <w:spacing w:after="0" w:line="240" w:lineRule="auto"/>
        <w:jc w:val="both"/>
        <w:rPr>
          <w:rFonts w:ascii="Times New Roman" w:hAnsi="Times New Roman"/>
          <w:iCs/>
          <w:color w:val="000000" w:themeColor="text1"/>
          <w:sz w:val="16"/>
          <w:szCs w:val="16"/>
        </w:rPr>
      </w:pPr>
    </w:p>
    <w:p w14:paraId="2B75BE07" w14:textId="77777777" w:rsidR="003446BF" w:rsidRPr="00C33834" w:rsidRDefault="003446BF"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22 апреля 1933 г. сборка танка Т-35-2 закончилась, а 1 мая он прошел на параде по площади Урицкого в Ленинграде, тог</w:t>
      </w:r>
      <w:r w:rsidRPr="00C33834">
        <w:rPr>
          <w:rFonts w:ascii="Times New Roman" w:hAnsi="Times New Roman"/>
          <w:color w:val="000000" w:themeColor="text1"/>
          <w:sz w:val="16"/>
          <w:szCs w:val="16"/>
        </w:rPr>
        <w:softHyphen/>
        <w:t>да как Т-35-1 участвовал в параде в Москве. Новый танк Т-35-2 получил двигатель водяного охлаждения М-17, новую трансмиссию и КПП. Пневмоуправление было исключено, тележки ходовой час</w:t>
      </w:r>
      <w:r w:rsidRPr="00C33834">
        <w:rPr>
          <w:rFonts w:ascii="Times New Roman" w:hAnsi="Times New Roman"/>
          <w:color w:val="000000" w:themeColor="text1"/>
          <w:sz w:val="16"/>
          <w:szCs w:val="16"/>
        </w:rPr>
        <w:softHyphen/>
        <w:t>ти танка доработаны по типу тележек немецкого «Гросстрактора» фирмы «Крупп». Была установлена большая башня цилиндрической формы, оснащенная пушкой ПС-3 с прогрессивной нарезкой. Впрочем, с этим периодом в жизни Т-35 есть нестыковки. Дело в том, что к этому моменту Т-35-1 уже находился в распоряжении ЛБТКУКС, и пока нет строгих доказательств, что он пере</w:t>
      </w:r>
      <w:r w:rsidRPr="00C33834">
        <w:rPr>
          <w:rFonts w:ascii="Times New Roman" w:hAnsi="Times New Roman"/>
          <w:color w:val="000000" w:themeColor="text1"/>
          <w:sz w:val="16"/>
          <w:szCs w:val="16"/>
        </w:rPr>
        <w:softHyphen/>
        <w:t>давался оттуда в Москву. Так что вполне возможно, что участие Т-35-1 и Т-35-2 в парадах в Москве и Ленинграде было разнесено во времени. Например, Т-35-1 участвовал в первом параде в Москве не в мае 1933 г., а в ноябре 1932 г. В то время как шла сборка Т-35-2, ОКМО заканчивал работы над танком Т-35А, который должен был выпускать</w:t>
      </w:r>
      <w:r w:rsidRPr="00C33834">
        <w:rPr>
          <w:rFonts w:ascii="Times New Roman" w:hAnsi="Times New Roman"/>
          <w:color w:val="000000" w:themeColor="text1"/>
          <w:sz w:val="16"/>
          <w:szCs w:val="16"/>
        </w:rPr>
        <w:softHyphen/>
        <w:t>ся серийно. По силовой установке, ходовой части и транс</w:t>
      </w:r>
      <w:r w:rsidRPr="00C33834">
        <w:rPr>
          <w:rFonts w:ascii="Times New Roman" w:hAnsi="Times New Roman"/>
          <w:color w:val="000000" w:themeColor="text1"/>
          <w:sz w:val="16"/>
          <w:szCs w:val="16"/>
        </w:rPr>
        <w:softHyphen/>
        <w:t>миссии он был идентичен Т-35-2, однако корпус и башни были видоизменены для упрощения производства. Так, главная башня была унифицирована с башней среднего танка Т-28, а малые орудийные башни, оснащенные теперь 45-мм пушкой и пулеметом, представляли собой в целом башни танка Т-26 (БТ-5) без кормовой ниши. Интересно, что согласно документам УММ по танку Т-35 эта унифика</w:t>
      </w:r>
      <w:r w:rsidRPr="00C33834">
        <w:rPr>
          <w:rFonts w:ascii="Times New Roman" w:hAnsi="Times New Roman"/>
          <w:color w:val="000000" w:themeColor="text1"/>
          <w:sz w:val="16"/>
          <w:szCs w:val="16"/>
        </w:rPr>
        <w:softHyphen/>
        <w:t>ция была произведена по личному указанию тов. Сталина. Кроме того, Т-35А имел новые пулеметные башни, удли</w:t>
      </w:r>
      <w:r w:rsidRPr="00C33834">
        <w:rPr>
          <w:rFonts w:ascii="Times New Roman" w:hAnsi="Times New Roman"/>
          <w:color w:val="000000" w:themeColor="text1"/>
          <w:sz w:val="16"/>
          <w:szCs w:val="16"/>
        </w:rPr>
        <w:softHyphen/>
        <w:t>ненный корпус, измененные фальшборты. Согласно постановлению правительства СССР производство Т-35А со второго полугодия 1933 г должно бы-до быть передано на Харьковский паровозостроительный завод (ХПЗ), где в это время шло лихорадочное освоение быстроходного БТ-5 (10733,263).</w:t>
      </w:r>
    </w:p>
    <w:p w14:paraId="5F07E736" w14:textId="77777777" w:rsidR="003446BF" w:rsidRPr="00C33834" w:rsidRDefault="003446BF" w:rsidP="00C33834">
      <w:pPr>
        <w:shd w:val="clear" w:color="auto" w:fill="FFFFFF"/>
        <w:spacing w:after="0" w:line="240" w:lineRule="auto"/>
        <w:jc w:val="both"/>
        <w:rPr>
          <w:rFonts w:ascii="Times New Roman" w:hAnsi="Times New Roman"/>
          <w:color w:val="000000" w:themeColor="text1"/>
          <w:sz w:val="16"/>
          <w:szCs w:val="16"/>
        </w:rPr>
      </w:pPr>
    </w:p>
    <w:p w14:paraId="4D3DE632"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апреля 1933</w:t>
      </w:r>
    </w:p>
    <w:p w14:paraId="5AB4F55D"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w:t>
      </w:r>
    </w:p>
    <w:p w14:paraId="6B35CB85"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http://sovdoc.rusarchives.ru</w:t>
      </w:r>
    </w:p>
    <w:p w14:paraId="09CDAC40"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Архив: </w:t>
      </w:r>
    </w:p>
    <w:p w14:paraId="3255BB56"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РГАСПИ. Ф. 17. Оп. 3. Д. 921. Л. 89</w:t>
      </w:r>
    </w:p>
    <w:p w14:paraId="1E00B2E7"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 № 12</w:t>
      </w:r>
    </w:p>
    <w:p w14:paraId="1BDC0789"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 115/91 пр. ПБ № 136.</w:t>
      </w:r>
    </w:p>
    <w:p w14:paraId="6319CE69"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22.IV.1933 г.</w:t>
      </w:r>
    </w:p>
    <w:p w14:paraId="70108276"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 Народного Комиссариата Тяжелой Промышленности.</w:t>
      </w:r>
    </w:p>
    <w:p w14:paraId="4469CD6C"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 организации Главного управления по судостроению при НКТП</w:t>
      </w:r>
    </w:p>
    <w:p w14:paraId="29FA7915" w14:textId="77777777" w:rsidR="00244DD2" w:rsidRPr="00C33834" w:rsidRDefault="00244DD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Москва.</w:t>
      </w:r>
    </w:p>
    <w:p w14:paraId="0903F419" w14:textId="77777777" w:rsidR="00244DD2" w:rsidRPr="00C33834" w:rsidRDefault="00244DD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"__ " апреля 1933 г.</w:t>
      </w:r>
    </w:p>
    <w:p w14:paraId="77B811E9"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Произвести реорганизацию системы управления морской и речной судостроительной промышленности на следующих основаниях:</w:t>
      </w:r>
    </w:p>
    <w:p w14:paraId="6B9405A3"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Изъять из ведения Главтрансмаша объединения: Союзверфь и Речсоюзверфь со всеми входящими в их состав предприятиями и учреждениями.</w:t>
      </w:r>
    </w:p>
    <w:p w14:paraId="28A930EF"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Организовать в составе Наркомтяжпрома Главное Управление морской и речной судостроительной промышленности (ГУСП), с временным местонахождением Главка в г. Ленинграде.</w:t>
      </w:r>
    </w:p>
    <w:p w14:paraId="7DC6F7E5"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Начальнику ГУСП'а в декадный срок представить мне на утверждение согласованное с сектором ОРГРАЦ положение о функциях ГУСП'а, а также: штаты, а начальнику Главтрансмаша — положение и штаты по Главтрансмашу.</w:t>
      </w:r>
    </w:p>
    <w:p w14:paraId="5520F970"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Объединение Союзверфь упразднить, подчинив непосредственно ГУСП'у все предприятия, ныне входящие в состав Союзверфи.</w:t>
      </w:r>
    </w:p>
    <w:p w14:paraId="6D0E113B"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Речсоюзверфь преобразовать в трест речного судостроения “Речсудтрест” с подчинением означенного треста ГУСП'у.</w:t>
      </w:r>
    </w:p>
    <w:p w14:paraId="4FB7F294"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Гипроверфь ликвидировать, передав ее функции Проектверфи. Проектверфь, Судопроект, Научно-Исследовательский Институт судостроения и Центральное Инструкторское бюро судостроения, а также НТС'ы морского и речного судостроения передать ГУСП'у; Речсудопроект (с киевским филиалом) передать речсудотресту,</w:t>
      </w:r>
    </w:p>
    <w:p w14:paraId="5EE1F234"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Изъять из Управления новостроек Главтрансмаша и передать в ведение ГУСП'а новые строительства морского и речного судостроения.</w:t>
      </w:r>
    </w:p>
    <w:p w14:paraId="1D1597F3"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Начальником ГУСП'а назначить т. Кондратьева.</w:t>
      </w:r>
    </w:p>
    <w:p w14:paraId="6072FDB2" w14:textId="77777777" w:rsidR="00237F26" w:rsidRPr="00C33834" w:rsidRDefault="00237F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Народный Комиссар Тяжелой Промышленности — С. Орджоникидзе (18056).</w:t>
      </w:r>
    </w:p>
    <w:p w14:paraId="367B8D40" w14:textId="0BF7826B" w:rsidR="00237F26" w:rsidRPr="00C33834" w:rsidRDefault="00237F26" w:rsidP="00C33834">
      <w:pPr>
        <w:spacing w:after="0" w:line="240" w:lineRule="auto"/>
        <w:jc w:val="both"/>
        <w:rPr>
          <w:rFonts w:ascii="Times New Roman" w:hAnsi="Times New Roman"/>
          <w:color w:val="000000" w:themeColor="text1"/>
          <w:sz w:val="16"/>
          <w:szCs w:val="16"/>
        </w:rPr>
      </w:pPr>
    </w:p>
    <w:p w14:paraId="31530269" w14:textId="44D1495C" w:rsidR="00CA5E0A" w:rsidRPr="00C33834" w:rsidRDefault="00CA5E0A" w:rsidP="00C33834">
      <w:pPr>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За рубежом:</w:t>
      </w:r>
    </w:p>
    <w:p w14:paraId="33874627" w14:textId="77777777" w:rsidR="00CA5E0A" w:rsidRPr="00C33834" w:rsidRDefault="00CA5E0A" w:rsidP="00C33834">
      <w:pPr>
        <w:spacing w:after="0" w:line="240" w:lineRule="auto"/>
        <w:jc w:val="both"/>
        <w:rPr>
          <w:rFonts w:ascii="Times New Roman" w:hAnsi="Times New Roman"/>
          <w:i/>
          <w:iCs/>
          <w:color w:val="000000" w:themeColor="text1"/>
          <w:sz w:val="16"/>
          <w:szCs w:val="16"/>
        </w:rPr>
      </w:pPr>
    </w:p>
    <w:p w14:paraId="21C7E42D" w14:textId="77777777" w:rsidR="00CA5E0A" w:rsidRPr="00C33834" w:rsidRDefault="00CA5E0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22 апреля 1933 состоялся первый полет Farman F.370 (20802).</w:t>
      </w:r>
    </w:p>
    <w:p w14:paraId="0C8957BC" w14:textId="77777777" w:rsidR="00CA5E0A" w:rsidRPr="00C33834" w:rsidRDefault="00CA5E0A" w:rsidP="00C33834">
      <w:pPr>
        <w:spacing w:after="0" w:line="240" w:lineRule="auto"/>
        <w:jc w:val="both"/>
        <w:rPr>
          <w:rFonts w:ascii="Times New Roman" w:hAnsi="Times New Roman"/>
          <w:color w:val="0070C0"/>
          <w:sz w:val="16"/>
          <w:szCs w:val="16"/>
        </w:rPr>
      </w:pPr>
    </w:p>
    <w:p w14:paraId="3CE6A631" w14:textId="77777777" w:rsidR="003446BF"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7828CC0" w14:textId="77777777" w:rsidR="003446BF" w:rsidRPr="00C33834" w:rsidRDefault="003446BF" w:rsidP="00C33834">
      <w:pPr>
        <w:spacing w:after="0" w:line="240" w:lineRule="auto"/>
        <w:jc w:val="both"/>
        <w:rPr>
          <w:rFonts w:ascii="Times New Roman" w:hAnsi="Times New Roman"/>
          <w:iCs/>
          <w:color w:val="000000" w:themeColor="text1"/>
          <w:sz w:val="16"/>
          <w:szCs w:val="16"/>
        </w:rPr>
      </w:pPr>
    </w:p>
    <w:p w14:paraId="665E919E"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апреля 1933 закончились испытания вооруженного самолета У-2 № 3115 (эталон на 1933 год), мотор М-11, которые проходили с 17 апреля 1933 (6645).</w:t>
      </w:r>
    </w:p>
    <w:p w14:paraId="55053B94"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44CB8D28"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ведущий самолет – Мируц</w:t>
      </w:r>
    </w:p>
    <w:p w14:paraId="4FF3230D"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Летчики: Петров, Долгов</w:t>
      </w:r>
    </w:p>
    <w:p w14:paraId="3D949CAA"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094AF1AA" w14:textId="77777777" w:rsidR="003446BF" w:rsidRPr="00C33834" w:rsidRDefault="003446BF" w:rsidP="00C33834">
      <w:pPr>
        <w:numPr>
          <w:ilvl w:val="0"/>
          <w:numId w:val="156"/>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Выявить возможность использования самолета № 3115 в качестве образца (эталона) для серийной постройки.</w:t>
      </w:r>
    </w:p>
    <w:p w14:paraId="1B25BA50" w14:textId="77777777" w:rsidR="003446BF" w:rsidRPr="00C33834" w:rsidRDefault="003446BF" w:rsidP="00C33834">
      <w:pPr>
        <w:numPr>
          <w:ilvl w:val="0"/>
          <w:numId w:val="157"/>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Определить летные данные вооруженного самолета У2-М11.</w:t>
      </w:r>
    </w:p>
    <w:p w14:paraId="11694158"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0DFC7BE1" w14:textId="77777777" w:rsidR="003446BF" w:rsidRPr="00C33834" w:rsidRDefault="003446BF" w:rsidP="00C33834">
      <w:pPr>
        <w:numPr>
          <w:ilvl w:val="0"/>
          <w:numId w:val="158"/>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 3115 после устранения дефектов может быть использован в качестве эталона вооруженного варианта У2 для вооружения самолетов У2 силами авиачастей.</w:t>
      </w:r>
    </w:p>
    <w:p w14:paraId="2A290EFA"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серийной постройки, ввиду наличия в турельной установке ряда дефектов (малая сфера обстрела, недостаточная устойчивость) требующих проектирования совершенно новой установки – представленный самолет эталоном служить не может.</w:t>
      </w:r>
    </w:p>
    <w:p w14:paraId="0430550E"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Летные испытания – 6 дней (6645).</w:t>
      </w:r>
    </w:p>
    <w:p w14:paraId="4D3BB175"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p>
    <w:p w14:paraId="0613B843"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апреля 1933 начальник военно-химического управления и химвойск РККА написал Я.И.Алкснису - начальнику ВВС. К маю 1933 будет изготовлен рекордный самолет марки РД. Рассчитан на 45 часов и в крыле вмешает 6 т. Этот самолет может быть использован для целей воздушно-химического нападения. Для этого необходимо оставить для бензина 1-2 т, а остальные приспособить под помещение в них жидкого ОВ (4-5 т) Резолюция Я.И.Алксниса: т. Горощенко. Одновременно проработать данное мною Петрову задание о возможности приспособления РД как дальнего бомбовоза. Идею военного применения РД дал инженер 7 сектора НИИ ВВС Жемчужин (160,27).</w:t>
      </w:r>
    </w:p>
    <w:p w14:paraId="3D90A540"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712069F4"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апреля 1933 было подготовлено письмо Начальнику ВВС РККА Т. Алкснису:</w:t>
      </w:r>
    </w:p>
    <w:p w14:paraId="038DB074"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мая 1933 г. будет изготовлен рекордный самолет марки РД (рекорд дальности). Самолет рассчитан на 45 часов полета и имеет у себя в крыльях большие вместилища (на 6 тонн) для бензина. Этот самолет может быть использован для целей воздушно-химического нападения. Для этого необходимо оставить хранилище для бензина 1-2 тонны, а остальные хранилища приспособить под помещения в них жидкого отравляющего вещества (4-5 тонн).</w:t>
      </w:r>
    </w:p>
    <w:p w14:paraId="6DB6FA86"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военно-химического управления н химических войск РККА (подпись неразборчива)</w:t>
      </w:r>
    </w:p>
    <w:p w14:paraId="1FB5E336"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Резолюция:</w:t>
      </w:r>
    </w:p>
    <w:p w14:paraId="1FDA6443"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 Горощенко. Одновременно проработать уже данное мною т.Петрову задание о возможности приспособления «РД» как дальнего бомбовоза.</w:t>
      </w:r>
    </w:p>
    <w:p w14:paraId="1845296C"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Идея военного варианта РД, как следует из архивных документов, принадлежала инженеру 7-го сектора НИИ ВВС Жемчужину. На что рассчитывали военные? Сейчас сказать трудно, ведь РД - тихоходный, низковысотный, неманевренный с большими габаритами самолет представлял собой идеальную мишень и для истребителей и для зенитной артиллерии. Так начиналась теневая история легендарного самолета РД, во второй раз открывшего американцам советскую Россию (160).</w:t>
      </w:r>
    </w:p>
    <w:p w14:paraId="3052C7DC"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72CA2287" w14:textId="77777777" w:rsidR="00185C06" w:rsidRPr="00C33834" w:rsidRDefault="00185C06"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Style w:val="114"/>
          <w:rFonts w:eastAsia="Calibri"/>
          <w:b w:val="0"/>
          <w:i w:val="0"/>
          <w:color w:val="000000" w:themeColor="text1"/>
          <w:sz w:val="16"/>
          <w:szCs w:val="16"/>
        </w:rPr>
        <w:t>23 апреля 1933 года начальник военно-хими</w:t>
      </w:r>
      <w:r w:rsidRPr="00C33834">
        <w:rPr>
          <w:rStyle w:val="114"/>
          <w:rFonts w:eastAsia="Calibri"/>
          <w:b w:val="0"/>
          <w:i w:val="0"/>
          <w:color w:val="000000" w:themeColor="text1"/>
          <w:sz w:val="16"/>
          <w:szCs w:val="16"/>
        </w:rPr>
        <w:softHyphen/>
        <w:t>ческою управления и химических войск РККА в письме начальнику ВВС РККА Якову Алкснису со</w:t>
      </w:r>
      <w:r w:rsidRPr="00C33834">
        <w:rPr>
          <w:rStyle w:val="114"/>
          <w:rFonts w:eastAsia="Calibri"/>
          <w:b w:val="0"/>
          <w:i w:val="0"/>
          <w:color w:val="000000" w:themeColor="text1"/>
          <w:sz w:val="16"/>
          <w:szCs w:val="16"/>
        </w:rPr>
        <w:softHyphen/>
        <w:t>общал:</w:t>
      </w:r>
      <w:r w:rsidRPr="00C33834">
        <w:rPr>
          <w:rFonts w:ascii="Times New Roman" w:hAnsi="Times New Roman" w:cs="Times New Roman"/>
          <w:b w:val="0"/>
          <w:color w:val="000000" w:themeColor="text1"/>
          <w:sz w:val="16"/>
          <w:szCs w:val="16"/>
        </w:rPr>
        <w:t xml:space="preserve"> «К 1 мая 1933 г. будет изготовлен рекордный самолет марки РД. Самолет рас</w:t>
      </w:r>
      <w:r w:rsidRPr="00C33834">
        <w:rPr>
          <w:rFonts w:ascii="Times New Roman" w:hAnsi="Times New Roman" w:cs="Times New Roman"/>
          <w:b w:val="0"/>
          <w:color w:val="000000" w:themeColor="text1"/>
          <w:sz w:val="16"/>
          <w:szCs w:val="16"/>
        </w:rPr>
        <w:softHyphen/>
        <w:t>считан на 45 часов полета и имеет у себя в крыльях большие вместилища (на 6 тонн) бензина. Этот самолет может быть ис</w:t>
      </w:r>
      <w:r w:rsidRPr="00C33834">
        <w:rPr>
          <w:rFonts w:ascii="Times New Roman" w:hAnsi="Times New Roman" w:cs="Times New Roman"/>
          <w:b w:val="0"/>
          <w:color w:val="000000" w:themeColor="text1"/>
          <w:sz w:val="16"/>
          <w:szCs w:val="16"/>
        </w:rPr>
        <w:softHyphen/>
        <w:t>пользован для целей воздушно-химического нападения. Для этого необходимо оставить хранилище для бензина 1—2 тонны, а осталь</w:t>
      </w:r>
      <w:r w:rsidRPr="00C33834">
        <w:rPr>
          <w:rFonts w:ascii="Times New Roman" w:hAnsi="Times New Roman" w:cs="Times New Roman"/>
          <w:b w:val="0"/>
          <w:color w:val="000000" w:themeColor="text1"/>
          <w:sz w:val="16"/>
          <w:szCs w:val="16"/>
        </w:rPr>
        <w:softHyphen/>
        <w:t>ные хранилища приспособить под помещения в них жидкого отравляющего вещества (4— 5 тонн)».</w:t>
      </w:r>
    </w:p>
    <w:p w14:paraId="4F9B8C8E" w14:textId="77777777" w:rsidR="00185C06" w:rsidRPr="00C33834" w:rsidRDefault="00185C06"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Style w:val="114"/>
          <w:rFonts w:eastAsia="Calibri"/>
          <w:b w:val="0"/>
          <w:i w:val="0"/>
          <w:color w:val="000000" w:themeColor="text1"/>
          <w:sz w:val="16"/>
          <w:szCs w:val="16"/>
        </w:rPr>
        <w:t>На этом письме Алкснис наложил резо</w:t>
      </w:r>
      <w:r w:rsidRPr="00C33834">
        <w:rPr>
          <w:rStyle w:val="114"/>
          <w:rFonts w:eastAsia="Calibri"/>
          <w:b w:val="0"/>
          <w:i w:val="0"/>
          <w:color w:val="000000" w:themeColor="text1"/>
          <w:sz w:val="16"/>
          <w:szCs w:val="16"/>
        </w:rPr>
        <w:softHyphen/>
        <w:t>люцию:</w:t>
      </w:r>
      <w:r w:rsidRPr="00C33834">
        <w:rPr>
          <w:rFonts w:ascii="Times New Roman" w:hAnsi="Times New Roman" w:cs="Times New Roman"/>
          <w:b w:val="0"/>
          <w:color w:val="000000" w:themeColor="text1"/>
          <w:sz w:val="16"/>
          <w:szCs w:val="16"/>
        </w:rPr>
        <w:t xml:space="preserve"> «т. Горощенко. Одновременно про</w:t>
      </w:r>
      <w:r w:rsidRPr="00C33834">
        <w:rPr>
          <w:rFonts w:ascii="Times New Roman" w:hAnsi="Times New Roman" w:cs="Times New Roman"/>
          <w:b w:val="0"/>
          <w:color w:val="000000" w:themeColor="text1"/>
          <w:sz w:val="16"/>
          <w:szCs w:val="16"/>
        </w:rPr>
        <w:softHyphen/>
        <w:t>работать уже данное мною т. Петрову за</w:t>
      </w:r>
      <w:r w:rsidRPr="00C33834">
        <w:rPr>
          <w:rFonts w:ascii="Times New Roman" w:hAnsi="Times New Roman" w:cs="Times New Roman"/>
          <w:b w:val="0"/>
          <w:color w:val="000000" w:themeColor="text1"/>
          <w:sz w:val="16"/>
          <w:szCs w:val="16"/>
        </w:rPr>
        <w:softHyphen/>
        <w:t>дание о возможности приспособления «РД» как дальнего бомбовоза».</w:t>
      </w:r>
    </w:p>
    <w:p w14:paraId="1D6BF2A3" w14:textId="77777777" w:rsidR="00185C06" w:rsidRPr="00C33834" w:rsidRDefault="00185C0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 началась теневая история легендар</w:t>
      </w:r>
      <w:r w:rsidRPr="00C33834">
        <w:rPr>
          <w:rFonts w:ascii="Times New Roman" w:hAnsi="Times New Roman"/>
          <w:color w:val="000000" w:themeColor="text1"/>
          <w:sz w:val="16"/>
          <w:szCs w:val="16"/>
        </w:rPr>
        <w:softHyphen/>
        <w:t>ного самолета РД, или, как его еше в на</w:t>
      </w:r>
      <w:r w:rsidRPr="00C33834">
        <w:rPr>
          <w:rFonts w:ascii="Times New Roman" w:hAnsi="Times New Roman"/>
          <w:color w:val="000000" w:themeColor="text1"/>
          <w:sz w:val="16"/>
          <w:szCs w:val="16"/>
        </w:rPr>
        <w:softHyphen/>
        <w:t>чале проектирования называли, РД-ВВ. Согласно справке П.О. Сухого (РГАЭ, ф. 8044, д. 679, л. 291), первоначально даль</w:t>
      </w:r>
      <w:r w:rsidRPr="00C33834">
        <w:rPr>
          <w:rFonts w:ascii="Times New Roman" w:hAnsi="Times New Roman"/>
          <w:color w:val="000000" w:themeColor="text1"/>
          <w:sz w:val="16"/>
          <w:szCs w:val="16"/>
        </w:rPr>
        <w:softHyphen/>
        <w:t>ность полета ДБ-1 без нагрузки оценива</w:t>
      </w:r>
      <w:r w:rsidRPr="00C33834">
        <w:rPr>
          <w:rFonts w:ascii="Times New Roman" w:hAnsi="Times New Roman"/>
          <w:color w:val="000000" w:themeColor="text1"/>
          <w:sz w:val="16"/>
          <w:szCs w:val="16"/>
        </w:rPr>
        <w:softHyphen/>
        <w:t>лась в 10 ООО км, а с 1000 кг бомб и двумя пулеметами ДА - 4000 км. Максимальная скорость с мотором М-34 не превышала 225 км/ч, а с М-35 — 250 км/ч. Высота над целью — 5000 метров (12725).</w:t>
      </w:r>
    </w:p>
    <w:p w14:paraId="514822E4" w14:textId="77777777" w:rsidR="00185C06" w:rsidRPr="00C33834" w:rsidRDefault="00185C06" w:rsidP="00C33834">
      <w:pPr>
        <w:spacing w:after="0" w:line="240" w:lineRule="auto"/>
        <w:jc w:val="both"/>
        <w:rPr>
          <w:rFonts w:ascii="Times New Roman" w:hAnsi="Times New Roman"/>
          <w:color w:val="000000" w:themeColor="text1"/>
          <w:sz w:val="16"/>
          <w:szCs w:val="16"/>
        </w:rPr>
      </w:pPr>
    </w:p>
    <w:p w14:paraId="576F7033" w14:textId="77777777" w:rsidR="00CD140E" w:rsidRPr="00C33834" w:rsidRDefault="00CD140E" w:rsidP="00C33834">
      <w:pPr>
        <w:pStyle w:val="rtejustify"/>
        <w:spacing w:before="0" w:after="0"/>
        <w:rPr>
          <w:color w:val="000000" w:themeColor="text1"/>
          <w:sz w:val="16"/>
          <w:szCs w:val="16"/>
        </w:rPr>
      </w:pPr>
      <w:r w:rsidRPr="00C33834">
        <w:rPr>
          <w:rStyle w:val="af0"/>
          <w:bCs/>
          <w:i w:val="0"/>
          <w:color w:val="000000" w:themeColor="text1"/>
          <w:sz w:val="16"/>
          <w:szCs w:val="16"/>
        </w:rPr>
        <w:t>23 апреля</w:t>
      </w:r>
      <w:r w:rsidRPr="00C33834">
        <w:rPr>
          <w:color w:val="000000" w:themeColor="text1"/>
          <w:sz w:val="16"/>
          <w:szCs w:val="16"/>
        </w:rPr>
        <w:t xml:space="preserve"> 1933. Протокол заседания Политбюро ЦК ВКП (б) № 136. </w:t>
      </w:r>
      <w:hyperlink r:id="rId123" w:anchor="showunit&amp;id=86222" w:history="1">
        <w:r w:rsidRPr="00C33834">
          <w:rPr>
            <w:rStyle w:val="a5"/>
            <w:color w:val="000000" w:themeColor="text1"/>
            <w:sz w:val="16"/>
            <w:szCs w:val="16"/>
            <w:u w:val="none"/>
          </w:rPr>
          <w:t>12. О подвозе коксующегося угля к Магнитогорску</w:t>
        </w:r>
      </w:hyperlink>
      <w:r w:rsidRPr="00C33834">
        <w:rPr>
          <w:color w:val="000000" w:themeColor="text1"/>
          <w:sz w:val="16"/>
          <w:szCs w:val="16"/>
        </w:rPr>
        <w:t xml:space="preserve"> (ПБ от 20 марта 1933 г., пр. № 133. п. 86) (Андреев, Пятаков). Решено принять с поправками внесенный Пятаковым и Андреевым проект постановления об обеспечении подвоза коксующегося кузнецкого угля к Магнитогорску. </w:t>
      </w:r>
      <w:hyperlink r:id="rId124" w:anchor="showunit&amp;id=86241" w:history="1">
        <w:r w:rsidRPr="00C33834">
          <w:rPr>
            <w:rStyle w:val="a5"/>
            <w:color w:val="000000" w:themeColor="text1"/>
            <w:sz w:val="16"/>
            <w:szCs w:val="16"/>
            <w:u w:val="none"/>
          </w:rPr>
          <w:t>14. О Челябинском тракторном заводе</w:t>
        </w:r>
      </w:hyperlink>
      <w:r w:rsidRPr="00C33834">
        <w:rPr>
          <w:color w:val="000000" w:themeColor="text1"/>
          <w:sz w:val="16"/>
          <w:szCs w:val="16"/>
        </w:rPr>
        <w:t xml:space="preserve"> (ПБ от 23 апреля 1933 г.). Решено отложить вопрос до следующего заседания Политбюро. </w:t>
      </w:r>
      <w:hyperlink r:id="rId125" w:anchor="showunit&amp;id=86268" w:history="1">
        <w:r w:rsidRPr="00C33834">
          <w:rPr>
            <w:rStyle w:val="a5"/>
            <w:color w:val="000000" w:themeColor="text1"/>
            <w:sz w:val="16"/>
            <w:szCs w:val="16"/>
            <w:u w:val="none"/>
          </w:rPr>
          <w:t>22. О Магнитострое</w:t>
        </w:r>
      </w:hyperlink>
      <w:r w:rsidRPr="00C33834">
        <w:rPr>
          <w:color w:val="000000" w:themeColor="text1"/>
          <w:sz w:val="16"/>
          <w:szCs w:val="16"/>
        </w:rPr>
        <w:t xml:space="preserve"> (ПБ от 4 апреля 1933 г., пр. № 134., п. 7) (Орджоникидзе, Пятаков, Антипов, Гуревич, Мышков). Решено предложить Наркомату тяжелой промышленности в срочном порядке организовать комиссию для проведения экспертизы с выездом на место и доложить Политбюро. Срок — один месяц. </w:t>
      </w:r>
      <w:hyperlink r:id="rId126" w:anchor="showunit&amp;id=86299" w:history="1">
        <w:r w:rsidRPr="00C33834">
          <w:rPr>
            <w:rStyle w:val="a5"/>
            <w:color w:val="000000" w:themeColor="text1"/>
            <w:sz w:val="16"/>
            <w:szCs w:val="16"/>
            <w:u w:val="none"/>
          </w:rPr>
          <w:t>50/26. О перемещениях по НКТП</w:t>
        </w:r>
      </w:hyperlink>
      <w:r w:rsidRPr="00C33834">
        <w:rPr>
          <w:color w:val="000000" w:themeColor="text1"/>
          <w:sz w:val="16"/>
          <w:szCs w:val="16"/>
        </w:rPr>
        <w:t xml:space="preserve"> (ПБ от 14 апреля 1933 г.). Решено утвердить следующие перемещения по Наркомату тяжелой промышленности: 1) Петровского Д. А. из “Союзгеологоразведки” на работу заместителя начальника ГУМП. 2) Механика Налимова из “Союзтранстехпрома” на работу в ГУМП. 3) Инженера-металлурга-механика Фальковича из Всесоюзного объединения тяжелого машиностроения (ВОМТ) на работу в объединение “Сталь”. </w:t>
      </w:r>
      <w:hyperlink r:id="rId127" w:anchor="showunit&amp;id=86310" w:history="1">
        <w:r w:rsidRPr="00C33834">
          <w:rPr>
            <w:rStyle w:val="a5"/>
            <w:color w:val="000000" w:themeColor="text1"/>
            <w:sz w:val="16"/>
            <w:szCs w:val="16"/>
            <w:u w:val="none"/>
          </w:rPr>
          <w:t>60/36. Вопросы Комиссии обороны</w:t>
        </w:r>
      </w:hyperlink>
      <w:r w:rsidRPr="00C33834">
        <w:rPr>
          <w:color w:val="000000" w:themeColor="text1"/>
          <w:sz w:val="16"/>
          <w:szCs w:val="16"/>
        </w:rPr>
        <w:t xml:space="preserve"> (ПБ от 15 апреля 1933 г.). — ОП. Решено: 1. а) Разрешить НКТП закупить в Америке 2.000 моторов “Либерти”, организовав специальный и особо тщательный отбор. Для этой цели выделить НКТП дополнительно соответствующий импортный контингент и валюту в размере 120 тысяч долларов. Вопрос о закупке электрооборудования к моторам “Либерти” и запчастей для этих моторов рассмотреть по представлении НКТП и НКВМ точной заявки о необходимом импортном контингенте и валюте. б) Разрешить НКТП, за счет своего контингента, ввоз из Америки на 150 тысяч рублей электрооборудования для моторов “Либерти”. 2. а) В целях проверки и дублирования наших конструкторских работ разрешить НКВМ произвести закупку дивизионных пушек Шкода. Для закупки выделить до 200 тысяч американских долларов сверх контингента НКВМ. б) Одновременно разрешить НКВМ осмотреть универсальные пушки САСШ, согласно их предложению, на предмет переговоров о покупке. </w:t>
      </w:r>
      <w:hyperlink r:id="rId128" w:anchor="showunit&amp;id=86346" w:history="1">
        <w:r w:rsidRPr="00C33834">
          <w:rPr>
            <w:rStyle w:val="a5"/>
            <w:color w:val="000000" w:themeColor="text1"/>
            <w:sz w:val="16"/>
            <w:szCs w:val="16"/>
            <w:u w:val="none"/>
          </w:rPr>
          <w:t>93/69. Предложение Баранова (о договоре с фирмой «Кертис Райт»)</w:t>
        </w:r>
      </w:hyperlink>
      <w:r w:rsidRPr="00C33834">
        <w:rPr>
          <w:color w:val="000000" w:themeColor="text1"/>
          <w:sz w:val="16"/>
          <w:szCs w:val="16"/>
        </w:rPr>
        <w:t xml:space="preserve"> (ПБ от 19 апреля 1933 г.). — ОП. Решено: а) Договор с фирмой Кертис Райт утвердить. б) Замечания к договору Межлаука, Баранова и Макаровского учесть при реализации договора, а по параграфам 3 и 10 договора сообщить фирме наше толкование при извещении об утверждении договора. в) Реализовать техпомощь по мотору “Циклон” на заводе в Перми. По мотору “Канкерер 1800” на заводе в Рыбинске. </w:t>
      </w:r>
      <w:hyperlink r:id="rId129" w:anchor="showunit&amp;id=86217" w:history="1">
        <w:r w:rsidRPr="00C33834">
          <w:rPr>
            <w:rStyle w:val="a5"/>
            <w:color w:val="000000" w:themeColor="text1"/>
            <w:sz w:val="16"/>
            <w:szCs w:val="16"/>
            <w:u w:val="none"/>
          </w:rPr>
          <w:t>115/91. Об организации Главного управления по судостроению при НКТП</w:t>
        </w:r>
      </w:hyperlink>
      <w:r w:rsidRPr="00C33834">
        <w:rPr>
          <w:color w:val="000000" w:themeColor="text1"/>
          <w:sz w:val="16"/>
          <w:szCs w:val="16"/>
        </w:rPr>
        <w:t xml:space="preserve"> (ПБ от 22 апреля 1933 г.). Решено утвердить проект приказа Наркомата тяжелой промышленности. Ввести Кондратьева в состав коллегии Наркомата тяжелой промышленности. </w:t>
      </w:r>
      <w:hyperlink r:id="rId130" w:anchor="showunit&amp;id=86353" w:history="1">
        <w:r w:rsidRPr="00C33834">
          <w:rPr>
            <w:rStyle w:val="a5"/>
            <w:color w:val="000000" w:themeColor="text1"/>
            <w:sz w:val="16"/>
            <w:szCs w:val="16"/>
            <w:u w:val="none"/>
          </w:rPr>
          <w:t>126/102. а) О мероприятиях по снижению себестоимости строительства</w:t>
        </w:r>
      </w:hyperlink>
      <w:r w:rsidRPr="00C33834">
        <w:rPr>
          <w:color w:val="000000" w:themeColor="text1"/>
          <w:sz w:val="16"/>
          <w:szCs w:val="16"/>
        </w:rPr>
        <w:t xml:space="preserve">; Решено снять вопрос. </w:t>
      </w:r>
      <w:hyperlink r:id="rId131" w:anchor="showunit&amp;id=86354" w:history="1">
        <w:r w:rsidRPr="00C33834">
          <w:rPr>
            <w:rStyle w:val="a5"/>
            <w:color w:val="000000" w:themeColor="text1"/>
            <w:sz w:val="16"/>
            <w:szCs w:val="16"/>
            <w:u w:val="none"/>
          </w:rPr>
          <w:t>б) о порядке финансирования промышленного капитального строительства</w:t>
        </w:r>
      </w:hyperlink>
      <w:r w:rsidRPr="00C33834">
        <w:rPr>
          <w:color w:val="000000" w:themeColor="text1"/>
          <w:sz w:val="16"/>
          <w:szCs w:val="16"/>
        </w:rPr>
        <w:t xml:space="preserve"> Решено снять вопрос. (ПБ от 23 октября 1932 г., пр. № 120, п. 9). </w:t>
      </w:r>
      <w:hyperlink r:id="rId132" w:anchor="showunit&amp;id=86229" w:history="1">
        <w:r w:rsidRPr="00C33834">
          <w:rPr>
            <w:rStyle w:val="a5"/>
            <w:color w:val="000000" w:themeColor="text1"/>
            <w:sz w:val="16"/>
            <w:szCs w:val="16"/>
            <w:u w:val="none"/>
          </w:rPr>
          <w:t>127/103. О программе капитальных работ и о плане импорта для нефтяной промышленности в 1933 г.</w:t>
        </w:r>
      </w:hyperlink>
      <w:r w:rsidRPr="00C33834">
        <w:rPr>
          <w:color w:val="000000" w:themeColor="text1"/>
          <w:sz w:val="16"/>
          <w:szCs w:val="16"/>
        </w:rPr>
        <w:t xml:space="preserve"> (ПБ от 1 февраля 1933 г., пр. № 129, п. 8, из приложений разд. 2, п. 1). Решено вопрос снять (15462).</w:t>
      </w:r>
    </w:p>
    <w:p w14:paraId="69303987" w14:textId="77777777" w:rsidR="00CD140E" w:rsidRPr="00C33834" w:rsidRDefault="00CD140E" w:rsidP="00C33834">
      <w:pPr>
        <w:pStyle w:val="rtejustify"/>
        <w:spacing w:before="0" w:after="0"/>
        <w:rPr>
          <w:color w:val="000000" w:themeColor="text1"/>
          <w:sz w:val="16"/>
          <w:szCs w:val="16"/>
        </w:rPr>
      </w:pPr>
    </w:p>
    <w:p w14:paraId="7A1BEA8C" w14:textId="77777777" w:rsidR="00CD140E" w:rsidRPr="00C33834" w:rsidRDefault="00CD14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апреля 1933 г. Протокол ПБ № 136 п.60/36: Вопросы Комиссии обороны - ОП. Решено: 1. а) Разрешить НКТП закупить в Америке 2.000 моторов "Либерти", организовав специальный и особо тщательный отбор. Для этой цели выделить НКТП дополнительно соответствующий импортный контингент и валюту в размере 120 тысяч долларов. Вопрос о закупке электрооборудования к моторам "Либерти" и запчастей для этих моторов рассмотреть по представлении НКТП и НКВМ точной заявки о необходимом импортном контингенте и валюте. б) Разрешить НКТП, за счет своего контингента, ввоз из Америки на 150 тысяч рублей электрооборудования для моторов "Либерти". 2. а) В целях проверки и дублирования наших конструкторских работ разрешить НКВМ произвести закупку дивизионных пушек Шкода. Для закупки выделить до 200 тысяч американских долларов сверх контингента НКВМ. б) Одновременно разрешить НКВМ осмотреть универсальные пушки САСШ, согласно их предложению, на предмет переговоров о покупке (15959).</w:t>
      </w:r>
    </w:p>
    <w:p w14:paraId="1C01FC64" w14:textId="77777777" w:rsidR="00CD140E" w:rsidRPr="00C33834" w:rsidRDefault="00CD140E" w:rsidP="00C33834">
      <w:pPr>
        <w:spacing w:after="0" w:line="240" w:lineRule="auto"/>
        <w:jc w:val="both"/>
        <w:rPr>
          <w:rFonts w:ascii="Times New Roman" w:hAnsi="Times New Roman"/>
          <w:color w:val="000000" w:themeColor="text1"/>
          <w:sz w:val="16"/>
          <w:szCs w:val="16"/>
        </w:rPr>
      </w:pPr>
    </w:p>
    <w:p w14:paraId="133C41CD" w14:textId="77777777" w:rsidR="003446BF"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9B5152A" w14:textId="77777777" w:rsidR="003446BF" w:rsidRPr="00C33834" w:rsidRDefault="003446BF" w:rsidP="00C33834">
      <w:pPr>
        <w:spacing w:after="0" w:line="240" w:lineRule="auto"/>
        <w:jc w:val="both"/>
        <w:rPr>
          <w:rFonts w:ascii="Times New Roman" w:hAnsi="Times New Roman"/>
          <w:iCs/>
          <w:color w:val="000000" w:themeColor="text1"/>
          <w:sz w:val="16"/>
          <w:szCs w:val="16"/>
        </w:rPr>
      </w:pPr>
    </w:p>
    <w:p w14:paraId="02F9AEE0" w14:textId="77777777" w:rsidR="00CD140E" w:rsidRPr="00C33834" w:rsidRDefault="00CD140E" w:rsidP="00C33834">
      <w:pPr>
        <w:pStyle w:val="rtejustify"/>
        <w:spacing w:before="0" w:after="0"/>
        <w:rPr>
          <w:color w:val="000000" w:themeColor="text1"/>
          <w:sz w:val="16"/>
          <w:szCs w:val="16"/>
        </w:rPr>
      </w:pPr>
      <w:r w:rsidRPr="00C33834">
        <w:rPr>
          <w:color w:val="000000" w:themeColor="text1"/>
          <w:sz w:val="16"/>
          <w:szCs w:val="16"/>
        </w:rPr>
        <w:t>23 апреля 1933 вышло постановление СНК «О реорганизации системы управления морской и речной судостроительной промышленности»</w:t>
      </w:r>
    </w:p>
    <w:p w14:paraId="3FB666D8" w14:textId="77777777" w:rsidR="00056252" w:rsidRPr="00C33834" w:rsidRDefault="00056252" w:rsidP="00C33834">
      <w:pPr>
        <w:pStyle w:val="rtejustify"/>
        <w:spacing w:before="0" w:after="0"/>
        <w:rPr>
          <w:color w:val="000000" w:themeColor="text1"/>
          <w:sz w:val="16"/>
          <w:szCs w:val="16"/>
        </w:rPr>
      </w:pPr>
      <w:r w:rsidRPr="00C33834">
        <w:rPr>
          <w:color w:val="000000" w:themeColor="text1"/>
          <w:sz w:val="16"/>
          <w:szCs w:val="16"/>
        </w:rPr>
        <w:t>Совет народных комиссаров Союза ССР постановляет: Разрешить Народному комиссариату тяжёлой промышленности произвести реорганизацию системы управления морской и речной судостроительной промышленности на следующих основаниях:</w:t>
      </w:r>
    </w:p>
    <w:p w14:paraId="53945166" w14:textId="77777777" w:rsidR="00056252" w:rsidRPr="00C33834" w:rsidRDefault="00056252" w:rsidP="00C33834">
      <w:pPr>
        <w:numPr>
          <w:ilvl w:val="0"/>
          <w:numId w:val="456"/>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Организовать в составе Народного комиссариата тяжёлой промышленности Главное управление морской и речной судостроительной промышленности (ГУСП).</w:t>
      </w:r>
    </w:p>
    <w:p w14:paraId="7C039A3B" w14:textId="77777777" w:rsidR="00056252" w:rsidRPr="00C33834" w:rsidRDefault="00056252" w:rsidP="00C33834">
      <w:pPr>
        <w:numPr>
          <w:ilvl w:val="0"/>
          <w:numId w:val="456"/>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Изъять из ведения Главного управления транспортного машиностроения Народного комиссариата тяжёлой промышленности объединения: Союзверфь и Речсоюзверфь со всеми входящими в их состав предприятиями и учреждениями.</w:t>
      </w:r>
    </w:p>
    <w:p w14:paraId="3140C404" w14:textId="77777777" w:rsidR="00056252" w:rsidRPr="00C33834" w:rsidRDefault="00056252" w:rsidP="00C33834">
      <w:pPr>
        <w:numPr>
          <w:ilvl w:val="0"/>
          <w:numId w:val="456"/>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Объединение Союзверфь упразднить, подчинив непосредственно ГУСП'у все предприятия, ныне входящие в состав Союзверфи.</w:t>
      </w:r>
    </w:p>
    <w:p w14:paraId="1CACAD97" w14:textId="77777777" w:rsidR="00056252" w:rsidRPr="00C33834" w:rsidRDefault="00056252" w:rsidP="00C33834">
      <w:pPr>
        <w:numPr>
          <w:ilvl w:val="0"/>
          <w:numId w:val="456"/>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Речеоюзверфь преобразовать в трест речного судостроения «Речсудотрест» с подчинением означенного треста ГУСП'у.</w:t>
      </w:r>
    </w:p>
    <w:p w14:paraId="278C2F0E" w14:textId="77777777" w:rsidR="00056252" w:rsidRPr="00C33834" w:rsidRDefault="00056252" w:rsidP="00C33834">
      <w:pPr>
        <w:numPr>
          <w:ilvl w:val="0"/>
          <w:numId w:val="456"/>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Гипроверфь ликвидировать, передав её функции Проектверфи. Проектверфь, Судопроект, Научно-исследовательский институт судостроения и Центральное конструкторское бюро судостроения, а также научно-технические советы морского и речного судостроения передать ГУСП'у; Речсудопроект (с Киевским филиалом) передать Речсудотресту.</w:t>
      </w:r>
    </w:p>
    <w:p w14:paraId="47F60493" w14:textId="77777777" w:rsidR="00056252" w:rsidRPr="00C33834" w:rsidRDefault="00056252" w:rsidP="00C33834">
      <w:pPr>
        <w:numPr>
          <w:ilvl w:val="0"/>
          <w:numId w:val="456"/>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Изъять из управления новостроек Главного управления транспортного машиностроения и передать в ведение ГУСП'а новые строительства морского и речного судостроения.</w:t>
      </w:r>
    </w:p>
    <w:p w14:paraId="441A6919" w14:textId="77777777" w:rsidR="00056252" w:rsidRPr="00C33834" w:rsidRDefault="00056252" w:rsidP="00C33834">
      <w:pPr>
        <w:pStyle w:val="rteright"/>
        <w:spacing w:before="0" w:after="0"/>
        <w:jc w:val="both"/>
        <w:rPr>
          <w:color w:val="000000" w:themeColor="text1"/>
          <w:sz w:val="16"/>
          <w:szCs w:val="16"/>
        </w:rPr>
      </w:pPr>
      <w:r w:rsidRPr="00C33834">
        <w:rPr>
          <w:color w:val="000000" w:themeColor="text1"/>
          <w:sz w:val="16"/>
          <w:szCs w:val="16"/>
        </w:rPr>
        <w:t>Председатель СНК Союза ССР В. Молотов (Скрябин).</w:t>
      </w:r>
    </w:p>
    <w:p w14:paraId="443EBAED" w14:textId="77777777" w:rsidR="00056252" w:rsidRPr="00C33834" w:rsidRDefault="00056252" w:rsidP="00C33834">
      <w:pPr>
        <w:pStyle w:val="rteright"/>
        <w:spacing w:before="0" w:after="0"/>
        <w:jc w:val="both"/>
        <w:rPr>
          <w:color w:val="000000" w:themeColor="text1"/>
          <w:sz w:val="16"/>
          <w:szCs w:val="16"/>
        </w:rPr>
      </w:pPr>
      <w:r w:rsidRPr="00C33834">
        <w:rPr>
          <w:color w:val="000000" w:themeColor="text1"/>
          <w:sz w:val="16"/>
          <w:szCs w:val="16"/>
        </w:rPr>
        <w:t>Управляющий делами СНК Союза ССР И. Мирошников.</w:t>
      </w:r>
    </w:p>
    <w:p w14:paraId="3595DD95" w14:textId="77777777" w:rsidR="00056252" w:rsidRPr="00C33834" w:rsidRDefault="00056252" w:rsidP="00C33834">
      <w:pPr>
        <w:pStyle w:val="ae"/>
        <w:spacing w:before="0" w:after="0"/>
        <w:jc w:val="both"/>
        <w:rPr>
          <w:color w:val="000000" w:themeColor="text1"/>
          <w:sz w:val="16"/>
          <w:szCs w:val="16"/>
        </w:rPr>
      </w:pPr>
      <w:r w:rsidRPr="00C33834">
        <w:rPr>
          <w:color w:val="000000" w:themeColor="text1"/>
          <w:sz w:val="16"/>
          <w:szCs w:val="16"/>
        </w:rPr>
        <w:t>Москва, Кремль. 23 апреля 1933 г. № 813 (12692).</w:t>
      </w:r>
    </w:p>
    <w:p w14:paraId="51625B8B" w14:textId="77777777" w:rsidR="00056252" w:rsidRPr="00C33834" w:rsidRDefault="00056252" w:rsidP="00C33834">
      <w:pPr>
        <w:pStyle w:val="ae"/>
        <w:spacing w:before="0" w:after="0"/>
        <w:jc w:val="both"/>
        <w:rPr>
          <w:color w:val="000000" w:themeColor="text1"/>
          <w:sz w:val="16"/>
          <w:szCs w:val="16"/>
        </w:rPr>
      </w:pPr>
    </w:p>
    <w:p w14:paraId="455EC919"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апреля 1933 г. Центральный государственный научно-исследовательский институт цветных металлов, золота и платины переименовывается в Государственный центральный научно-исследовательский институт цветных металлов "Цгинцветмет"; 25 марта 1942 г. - в Государственный научно-исследовательский и производственный институт цветных металлов "Гинцветмет"; 21 марта 1946 г. - в Государственный научно-исследовательский институт цветных металлов "Гинцветмет". Приказом Государственного научно-экономического совета Совета Министров СССР от 12 сентября 1960 г. при институте организовано СКВ тяжелых цветных металлов на самостоятельном балансе (12102).</w:t>
      </w:r>
    </w:p>
    <w:p w14:paraId="6055A99C" w14:textId="77777777" w:rsidR="00DC337E" w:rsidRPr="00C33834" w:rsidRDefault="00DC337E" w:rsidP="00C33834">
      <w:pPr>
        <w:spacing w:after="0" w:line="240" w:lineRule="auto"/>
        <w:jc w:val="both"/>
        <w:rPr>
          <w:rFonts w:ascii="Times New Roman" w:hAnsi="Times New Roman"/>
          <w:iCs/>
          <w:color w:val="000000" w:themeColor="text1"/>
          <w:sz w:val="16"/>
          <w:szCs w:val="16"/>
        </w:rPr>
      </w:pPr>
    </w:p>
    <w:p w14:paraId="5158A43B" w14:textId="77777777" w:rsidR="003446BF"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0A14E1D" w14:textId="77777777" w:rsidR="003446BF" w:rsidRPr="00C33834" w:rsidRDefault="003446BF" w:rsidP="00C33834">
      <w:pPr>
        <w:spacing w:after="0" w:line="240" w:lineRule="auto"/>
        <w:jc w:val="both"/>
        <w:rPr>
          <w:rFonts w:ascii="Times New Roman" w:hAnsi="Times New Roman"/>
          <w:iCs/>
          <w:color w:val="000000" w:themeColor="text1"/>
          <w:sz w:val="16"/>
          <w:szCs w:val="16"/>
        </w:rPr>
      </w:pPr>
    </w:p>
    <w:p w14:paraId="573E90D7"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апреля 1933 Герингом в Пруссии было создано Гестапо (1798).</w:t>
      </w:r>
    </w:p>
    <w:p w14:paraId="16476DF0"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4D513DE5" w14:textId="77777777" w:rsidR="003446BF"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0C04C63" w14:textId="77777777" w:rsidR="003446BF" w:rsidRPr="00C33834" w:rsidRDefault="003446BF" w:rsidP="00C33834">
      <w:pPr>
        <w:spacing w:after="0" w:line="240" w:lineRule="auto"/>
        <w:jc w:val="both"/>
        <w:rPr>
          <w:rFonts w:ascii="Times New Roman" w:hAnsi="Times New Roman"/>
          <w:iCs/>
          <w:color w:val="000000" w:themeColor="text1"/>
          <w:sz w:val="16"/>
          <w:szCs w:val="16"/>
        </w:rPr>
      </w:pPr>
    </w:p>
    <w:p w14:paraId="2C3F55C5"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апреля 1933 закончилось эксплуатационное испытание опытного самолета И-15 с мотором Райт-Циклон Ф-2 650 НР металлический винт Гамильтон-Стандарт Д=3,0, которое проходило с 26 марта 1933 (6648).</w:t>
      </w:r>
    </w:p>
    <w:p w14:paraId="14CA3E4F"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2DC52B13" w14:textId="77777777" w:rsidR="003446BF" w:rsidRPr="00C33834" w:rsidRDefault="003446BF" w:rsidP="00C33834">
      <w:pPr>
        <w:numPr>
          <w:ilvl w:val="0"/>
          <w:numId w:val="159"/>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различных мероприятий по улучшению устойчивости пути самолета.</w:t>
      </w:r>
    </w:p>
    <w:p w14:paraId="00125199" w14:textId="77777777" w:rsidR="003446BF" w:rsidRPr="00C33834" w:rsidRDefault="003446BF" w:rsidP="00C33834">
      <w:pPr>
        <w:numPr>
          <w:ilvl w:val="0"/>
          <w:numId w:val="16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Эксплуатационные испытания самолета.</w:t>
      </w:r>
    </w:p>
    <w:p w14:paraId="59D0F7F4" w14:textId="77777777" w:rsidR="003446BF" w:rsidRPr="00C33834" w:rsidRDefault="003446BF" w:rsidP="00C33834">
      <w:pPr>
        <w:numPr>
          <w:ilvl w:val="0"/>
          <w:numId w:val="16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самолета с передней центровкой, вызванной утяжелением моторов РЦ.</w:t>
      </w:r>
    </w:p>
    <w:p w14:paraId="40C52D46" w14:textId="77777777" w:rsidR="003446BF" w:rsidRPr="00C33834" w:rsidRDefault="003446BF" w:rsidP="00C33834">
      <w:pPr>
        <w:numPr>
          <w:ilvl w:val="0"/>
          <w:numId w:val="16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Испытание тормозных колес 700х100 и механического управления ими.</w:t>
      </w:r>
    </w:p>
    <w:p w14:paraId="6766B18A"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69B5F68A" w14:textId="77777777" w:rsidR="003446BF" w:rsidRPr="00C33834" w:rsidRDefault="003446BF" w:rsidP="00C33834">
      <w:pPr>
        <w:numPr>
          <w:ilvl w:val="0"/>
          <w:numId w:val="16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Поскольку в процессе эксплуатационных испытаний опытного самолета И-15 РЦ не обнаружено дефектов, требующих коренных переделок основных элементов конструкции, следует считать, что эксплуатационные испытания И-15 РЦ выдержал удовлетворительно.</w:t>
      </w:r>
    </w:p>
    <w:p w14:paraId="04BFEC32"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F26F01" w:rsidRPr="00C33834" w14:paraId="2390424C" w14:textId="77777777">
        <w:tc>
          <w:tcPr>
            <w:tcW w:w="2818" w:type="dxa"/>
          </w:tcPr>
          <w:p w14:paraId="51D4E865"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марта 1934 года</w:t>
            </w:r>
          </w:p>
        </w:tc>
        <w:tc>
          <w:tcPr>
            <w:tcW w:w="2818" w:type="dxa"/>
          </w:tcPr>
          <w:p w14:paraId="6FE4474D"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фигуры.</w:t>
            </w:r>
          </w:p>
        </w:tc>
      </w:tr>
      <w:tr w:rsidR="00F26F01" w:rsidRPr="00C33834" w14:paraId="49C8846C" w14:textId="77777777">
        <w:tc>
          <w:tcPr>
            <w:tcW w:w="2818" w:type="dxa"/>
          </w:tcPr>
          <w:p w14:paraId="704C11AF"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марта 1934 года</w:t>
            </w:r>
          </w:p>
        </w:tc>
        <w:tc>
          <w:tcPr>
            <w:tcW w:w="2818" w:type="dxa"/>
          </w:tcPr>
          <w:p w14:paraId="314F49A1"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Посадки.</w:t>
            </w:r>
          </w:p>
        </w:tc>
      </w:tr>
      <w:tr w:rsidR="00F26F01" w:rsidRPr="00C33834" w14:paraId="2D12A608" w14:textId="77777777">
        <w:tc>
          <w:tcPr>
            <w:tcW w:w="2818" w:type="dxa"/>
          </w:tcPr>
          <w:p w14:paraId="2C8D0265"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марта 1934 года</w:t>
            </w:r>
          </w:p>
        </w:tc>
        <w:tc>
          <w:tcPr>
            <w:tcW w:w="2818" w:type="dxa"/>
          </w:tcPr>
          <w:p w14:paraId="38A1AA65"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Посадки и фигуры.</w:t>
            </w:r>
          </w:p>
        </w:tc>
      </w:tr>
      <w:tr w:rsidR="00F26F01" w:rsidRPr="00C33834" w14:paraId="1002C1F4" w14:textId="77777777">
        <w:tc>
          <w:tcPr>
            <w:tcW w:w="2818" w:type="dxa"/>
          </w:tcPr>
          <w:p w14:paraId="3F78435E"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марта 1934 года</w:t>
            </w:r>
          </w:p>
        </w:tc>
        <w:tc>
          <w:tcPr>
            <w:tcW w:w="2818" w:type="dxa"/>
          </w:tcPr>
          <w:p w14:paraId="03BD4B6A"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Посадки.</w:t>
            </w:r>
          </w:p>
        </w:tc>
      </w:tr>
      <w:tr w:rsidR="00F26F01" w:rsidRPr="00C33834" w14:paraId="729CB104" w14:textId="77777777">
        <w:tc>
          <w:tcPr>
            <w:tcW w:w="2818" w:type="dxa"/>
          </w:tcPr>
          <w:p w14:paraId="54D77A11"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апреля 1934 года</w:t>
            </w:r>
          </w:p>
        </w:tc>
        <w:tc>
          <w:tcPr>
            <w:tcW w:w="2818" w:type="dxa"/>
          </w:tcPr>
          <w:p w14:paraId="6972C281"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фигуры.</w:t>
            </w:r>
          </w:p>
        </w:tc>
      </w:tr>
      <w:tr w:rsidR="00F26F01" w:rsidRPr="00C33834" w14:paraId="617ECD7E" w14:textId="77777777">
        <w:tc>
          <w:tcPr>
            <w:tcW w:w="2818" w:type="dxa"/>
          </w:tcPr>
          <w:p w14:paraId="003FE4B6"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9-10 апреля 1934 года</w:t>
            </w:r>
          </w:p>
        </w:tc>
        <w:tc>
          <w:tcPr>
            <w:tcW w:w="2818" w:type="dxa"/>
          </w:tcPr>
          <w:p w14:paraId="2E35D024"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Посадки.</w:t>
            </w:r>
          </w:p>
        </w:tc>
      </w:tr>
      <w:tr w:rsidR="00F26F01" w:rsidRPr="00C33834" w14:paraId="55255558" w14:textId="77777777">
        <w:tc>
          <w:tcPr>
            <w:tcW w:w="2818" w:type="dxa"/>
          </w:tcPr>
          <w:p w14:paraId="589E4FE3"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апреля 1934 года</w:t>
            </w:r>
          </w:p>
        </w:tc>
        <w:tc>
          <w:tcPr>
            <w:tcW w:w="2818" w:type="dxa"/>
          </w:tcPr>
          <w:p w14:paraId="4C6B8DA2"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и скорости по высотам.</w:t>
            </w:r>
          </w:p>
        </w:tc>
      </w:tr>
      <w:tr w:rsidR="00F26F01" w:rsidRPr="00C33834" w14:paraId="2793184C" w14:textId="77777777">
        <w:tc>
          <w:tcPr>
            <w:tcW w:w="2818" w:type="dxa"/>
          </w:tcPr>
          <w:p w14:paraId="1447F47A"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апреля 1934 года</w:t>
            </w:r>
          </w:p>
        </w:tc>
        <w:tc>
          <w:tcPr>
            <w:tcW w:w="2818" w:type="dxa"/>
          </w:tcPr>
          <w:p w14:paraId="277AA831"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Стрельба из фотокейса.</w:t>
            </w:r>
          </w:p>
        </w:tc>
      </w:tr>
      <w:tr w:rsidR="00F26F01" w:rsidRPr="00C33834" w14:paraId="179A1193" w14:textId="77777777">
        <w:tc>
          <w:tcPr>
            <w:tcW w:w="2818" w:type="dxa"/>
          </w:tcPr>
          <w:p w14:paraId="5117F3CD"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апреля 1934 года</w:t>
            </w:r>
          </w:p>
        </w:tc>
        <w:tc>
          <w:tcPr>
            <w:tcW w:w="2818" w:type="dxa"/>
          </w:tcPr>
          <w:p w14:paraId="1EF0D14C"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и расход горючего.</w:t>
            </w:r>
          </w:p>
        </w:tc>
      </w:tr>
      <w:tr w:rsidR="00F26F01" w:rsidRPr="00C33834" w14:paraId="572AE487" w14:textId="77777777">
        <w:tc>
          <w:tcPr>
            <w:tcW w:w="2818" w:type="dxa"/>
          </w:tcPr>
          <w:p w14:paraId="0CA0FA64"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апреля 1934 года</w:t>
            </w:r>
          </w:p>
        </w:tc>
        <w:tc>
          <w:tcPr>
            <w:tcW w:w="2818" w:type="dxa"/>
          </w:tcPr>
          <w:p w14:paraId="16B27478"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Километраж и полеты с новой центровкой.</w:t>
            </w:r>
          </w:p>
        </w:tc>
      </w:tr>
      <w:tr w:rsidR="00F26F01" w:rsidRPr="00C33834" w14:paraId="4F346A32" w14:textId="77777777">
        <w:tc>
          <w:tcPr>
            <w:tcW w:w="2818" w:type="dxa"/>
          </w:tcPr>
          <w:p w14:paraId="238DED14"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апреля 1934 года</w:t>
            </w:r>
          </w:p>
        </w:tc>
        <w:tc>
          <w:tcPr>
            <w:tcW w:w="2818" w:type="dxa"/>
          </w:tcPr>
          <w:p w14:paraId="16CCF089"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с вымпелом.</w:t>
            </w:r>
          </w:p>
        </w:tc>
      </w:tr>
      <w:tr w:rsidR="00F26F01" w:rsidRPr="00C33834" w14:paraId="00BD28FF" w14:textId="77777777">
        <w:tc>
          <w:tcPr>
            <w:tcW w:w="2818" w:type="dxa"/>
          </w:tcPr>
          <w:p w14:paraId="28DAE35F"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апреля 1934 года</w:t>
            </w:r>
          </w:p>
        </w:tc>
        <w:tc>
          <w:tcPr>
            <w:tcW w:w="2818" w:type="dxa"/>
          </w:tcPr>
          <w:p w14:paraId="705179DE"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в Москву.</w:t>
            </w:r>
          </w:p>
        </w:tc>
      </w:tr>
    </w:tbl>
    <w:p w14:paraId="73DA6F1D"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(6648).</w:t>
      </w:r>
    </w:p>
    <w:p w14:paraId="1DE59962"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p>
    <w:p w14:paraId="0C3A0E8F" w14:textId="77777777" w:rsidR="003446BF"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A4D4224" w14:textId="77777777" w:rsidR="003446BF" w:rsidRPr="00C33834" w:rsidRDefault="003446BF" w:rsidP="00C33834">
      <w:pPr>
        <w:spacing w:after="0" w:line="240" w:lineRule="auto"/>
        <w:jc w:val="both"/>
        <w:rPr>
          <w:rFonts w:ascii="Times New Roman" w:hAnsi="Times New Roman"/>
          <w:iCs/>
          <w:color w:val="000000" w:themeColor="text1"/>
          <w:sz w:val="16"/>
          <w:szCs w:val="16"/>
        </w:rPr>
      </w:pPr>
    </w:p>
    <w:p w14:paraId="70EF2FC6"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апреля 1933 сборщики “Красного Путиловца” сдали п</w:t>
      </w:r>
      <w:r w:rsidRPr="00C33834">
        <w:rPr>
          <w:rStyle w:val="af0"/>
          <w:rFonts w:ascii="Times New Roman" w:hAnsi="Times New Roman"/>
          <w:i w:val="0"/>
          <w:iCs w:val="0"/>
          <w:color w:val="000000" w:themeColor="text1"/>
          <w:sz w:val="16"/>
          <w:szCs w:val="16"/>
        </w:rPr>
        <w:t>ервое шасси Л-1</w:t>
      </w:r>
      <w:r w:rsidRPr="00C33834">
        <w:rPr>
          <w:rFonts w:ascii="Times New Roman" w:hAnsi="Times New Roman"/>
          <w:color w:val="000000" w:themeColor="text1"/>
          <w:sz w:val="16"/>
          <w:szCs w:val="16"/>
        </w:rPr>
        <w:t xml:space="preserve">, еще без кузова. На пробную поездку его вывел М. Л. Тер-Асатуров. На первомайскую демонстрацию краснопутиловцы направили шесть автомобилей Л-1 с </w:t>
      </w:r>
      <w:r w:rsidRPr="00C33834">
        <w:rPr>
          <w:rStyle w:val="af0"/>
          <w:rFonts w:ascii="Times New Roman" w:hAnsi="Times New Roman"/>
          <w:i w:val="0"/>
          <w:iCs w:val="0"/>
          <w:color w:val="000000" w:themeColor="text1"/>
          <w:sz w:val="16"/>
          <w:szCs w:val="16"/>
        </w:rPr>
        <w:t>кузовами лимузин</w:t>
      </w:r>
      <w:r w:rsidRPr="00C33834">
        <w:rPr>
          <w:rFonts w:ascii="Times New Roman" w:hAnsi="Times New Roman"/>
          <w:color w:val="000000" w:themeColor="text1"/>
          <w:sz w:val="16"/>
          <w:szCs w:val="16"/>
        </w:rPr>
        <w:t xml:space="preserve">, окрашенными в черный цвет с обивкой салона из серого репса. Эти же шесть машин 19 мая 1933 г. приняли участие в испытательном пробеге в Москву и обратно. В столице их осматривал Г. К. Орджоникидзе, возглавлявший Наркомтяжпром. Он поставил перед коллективом завода задачу - дать в 1934 г. 2 тыс. </w:t>
      </w:r>
      <w:r w:rsidRPr="00C33834">
        <w:rPr>
          <w:rStyle w:val="a7"/>
          <w:rFonts w:ascii="Times New Roman" w:hAnsi="Times New Roman"/>
          <w:b w:val="0"/>
          <w:bCs w:val="0"/>
          <w:color w:val="000000" w:themeColor="text1"/>
          <w:sz w:val="16"/>
          <w:szCs w:val="16"/>
        </w:rPr>
        <w:t>легковых автомобилей</w:t>
      </w:r>
      <w:r w:rsidRPr="00C33834">
        <w:rPr>
          <w:rFonts w:ascii="Times New Roman" w:hAnsi="Times New Roman"/>
          <w:color w:val="000000" w:themeColor="text1"/>
          <w:sz w:val="16"/>
          <w:szCs w:val="16"/>
        </w:rPr>
        <w:t>. Позже приказом Наркомтяжпрома работы по автомобилям на "Красном пути ловце" были прекращены, и задание создать представительскую легковую модель дали московскому предприятию ЗИС. Такое решение объяснялось тем, что перед "Красным путилов-цем" стояла более важная народнохозяйственная задача: оперативно освоить выпуск пропашных тракторов с таким расчетом, чтобы к концу 1934 г. изготовить их 5 тыс. штук. Кроме того, завод с февраля 1933 г. приступил еще и к производству танков Т-28, и для выпуска автомобилей просто не оставалось производственных возможностей (12098).</w:t>
      </w:r>
    </w:p>
    <w:p w14:paraId="2308B0D3"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1F7445BA" w14:textId="77777777" w:rsidR="00CD140E"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AA3B774" w14:textId="77777777" w:rsidR="00CD140E" w:rsidRPr="00C33834" w:rsidRDefault="00CD140E" w:rsidP="00C33834">
      <w:pPr>
        <w:spacing w:after="0" w:line="240" w:lineRule="auto"/>
        <w:jc w:val="both"/>
        <w:rPr>
          <w:rFonts w:ascii="Times New Roman" w:hAnsi="Times New Roman"/>
          <w:iCs/>
          <w:color w:val="000000" w:themeColor="text1"/>
          <w:sz w:val="16"/>
          <w:szCs w:val="16"/>
        </w:rPr>
      </w:pPr>
    </w:p>
    <w:p w14:paraId="05C1B08A" w14:textId="77777777" w:rsidR="00CD140E" w:rsidRPr="00C33834" w:rsidRDefault="00CD14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апреля в 1933 году начались (по 1 ноября) поставки истребителей «FF-1» («G-5»), в ВМС США. В основу самолета лег опытный образец двухместного истребителя-биплана «Grumman» «XFF-1», первого самолета американского флота с убирающимся шасси. Компания «Grumman» ранее изготавливала поплавки, в частности для биплана «Vought Corsair», но затем, вместо установки своего оборудования на уже существующие палубные и морские истребители, решила спроектировать собственный самолет. Цельнометаллический истребитель-разведчик «XFF-1» был вооружен двумя пулеметами Browning калибра 7,62 мм, установленными сверху в передней части фюзеляжа. Такой же пулемет в задней части кабины был прикреплен к сиденью стрелка так, что оружие и кресло поворачивались вместе на карданном подвесе. Постройка опытного образца, оснащенного звездообразным двигателем «Wright» «R-1820E» мощностью 616 л.с., началась в мастерской компании «Грумман» в городе Болдуин, Лонг Айленд. Однако в ноябре 1931г. компания переехала в Кёртисс Филд, откуда 29 декабря самолет и совершил свой первый полет. Первоначальные испытания были быстро закончены, и в январе 1932г. опытный образец перелетел на авиационную базу «Анакостиа» Военно-морских сил для официальной оценки в испытательном центре. Самолет показал максимальную скорость на уровне моря 314 км/час (15109).</w:t>
      </w:r>
    </w:p>
    <w:p w14:paraId="729E57FA" w14:textId="77777777" w:rsidR="00CD140E" w:rsidRPr="00C33834" w:rsidRDefault="00CD140E" w:rsidP="00C33834">
      <w:pPr>
        <w:spacing w:after="0" w:line="240" w:lineRule="auto"/>
        <w:jc w:val="both"/>
        <w:rPr>
          <w:rFonts w:ascii="Times New Roman" w:hAnsi="Times New Roman"/>
          <w:color w:val="000000" w:themeColor="text1"/>
          <w:sz w:val="16"/>
          <w:szCs w:val="16"/>
        </w:rPr>
      </w:pPr>
    </w:p>
    <w:p w14:paraId="0DB6AF98" w14:textId="77777777" w:rsidR="00CA5E0A" w:rsidRPr="00C33834" w:rsidRDefault="00CA5E0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24 апреля 1933 - Первый полет многоцелевого самолета-амфибии Grumman JF Duck, пилот Paul Hovgard. Машина имела цельнометаллический фюзеляж и поплавок, крыло с металлическим каркасом и полотняной обшивкой. Под узким капотом Тауненда размещался двигатель Пратт-Уиттни R-1535-62 Wasp мощностью 650 л. с. При испытаниях обнаружилось, что в комбинации с поплавком самолет имеет довольно высокое положение центра тяжести - в сочетании с узкой колеей шасси это делало его весьма неустойчивым и создавало большие проблемы при рулежке, разбеге и посадке. Постепенное совершенствование конструкции уменьшило эти недостатки до приемлемого уровня (22525).</w:t>
      </w:r>
    </w:p>
    <w:p w14:paraId="347B19AF" w14:textId="77777777" w:rsidR="00CA5E0A" w:rsidRPr="00C33834" w:rsidRDefault="00CA5E0A" w:rsidP="00C33834">
      <w:pPr>
        <w:spacing w:after="0" w:line="240" w:lineRule="auto"/>
        <w:jc w:val="both"/>
        <w:rPr>
          <w:rFonts w:ascii="Times New Roman" w:hAnsi="Times New Roman"/>
          <w:color w:val="0070C0"/>
          <w:sz w:val="16"/>
          <w:szCs w:val="16"/>
        </w:rPr>
      </w:pPr>
    </w:p>
    <w:p w14:paraId="3FA1F45A" w14:textId="77777777" w:rsidR="00CD140E" w:rsidRPr="00C33834" w:rsidRDefault="00CD14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апреля в 1933 году румынские представители подписали соглашение с польской фирмой «PZL» о поставке 50 истребителей «PZL» «P-11» с двигателями «Гном-Рон» «9Krsd» (515 л.с.). Вся партия должна была быть поставлена в течение шести месяцев. Чтобы уложиться в срок, пришлось даже затормозить сборку «Р-11а». Первые 20 самолетов для Румынии, модификация «P-11b-К», не имели коллектора выхлопных газов, выхлопная система на них выполнялась по образцу «P-11/II», с отдельными патрубками. Последующие машины, «P-11b-L», уже получили новый капот с коллектором (15109).</w:t>
      </w:r>
    </w:p>
    <w:p w14:paraId="4327F524" w14:textId="77777777" w:rsidR="00CD140E" w:rsidRPr="00C33834" w:rsidRDefault="00CD140E" w:rsidP="00C33834">
      <w:pPr>
        <w:spacing w:after="0" w:line="240" w:lineRule="auto"/>
        <w:jc w:val="both"/>
        <w:rPr>
          <w:rFonts w:ascii="Times New Roman" w:hAnsi="Times New Roman"/>
          <w:color w:val="000000" w:themeColor="text1"/>
          <w:sz w:val="16"/>
          <w:szCs w:val="16"/>
        </w:rPr>
      </w:pPr>
    </w:p>
    <w:p w14:paraId="6EF434C0" w14:textId="77777777" w:rsidR="003446BF"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9989F50" w14:textId="77777777" w:rsidR="003446BF" w:rsidRPr="00C33834" w:rsidRDefault="003446BF" w:rsidP="00C33834">
      <w:pPr>
        <w:spacing w:after="0" w:line="240" w:lineRule="auto"/>
        <w:jc w:val="both"/>
        <w:rPr>
          <w:rFonts w:ascii="Times New Roman" w:hAnsi="Times New Roman"/>
          <w:iCs/>
          <w:color w:val="000000" w:themeColor="text1"/>
          <w:sz w:val="16"/>
          <w:szCs w:val="16"/>
        </w:rPr>
      </w:pPr>
    </w:p>
    <w:p w14:paraId="5F2499C0"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апреля 1933 года выписка из протокола № 5 КО</w:t>
      </w:r>
    </w:p>
    <w:p w14:paraId="1A2B44DA" w14:textId="77777777" w:rsidR="003446BF" w:rsidRPr="00C33834" w:rsidRDefault="003446BF" w:rsidP="00C33834">
      <w:pPr>
        <w:numPr>
          <w:ilvl w:val="0"/>
          <w:numId w:val="16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рекордном полете на дальность.</w:t>
      </w:r>
    </w:p>
    <w:p w14:paraId="08FD1A78" w14:textId="77777777" w:rsidR="003446BF" w:rsidRPr="00C33834" w:rsidRDefault="003446BF" w:rsidP="00C33834">
      <w:pPr>
        <w:numPr>
          <w:ilvl w:val="0"/>
          <w:numId w:val="16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Организацию перелета возложить на ГУАП, УВВС и ГУГВФ.</w:t>
      </w:r>
    </w:p>
    <w:p w14:paraId="70ED14B4" w14:textId="77777777" w:rsidR="003446BF" w:rsidRPr="00C33834" w:rsidRDefault="003446BF" w:rsidP="00C33834">
      <w:pPr>
        <w:numPr>
          <w:ilvl w:val="0"/>
          <w:numId w:val="16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Руководство и обеспечение всех мероприятий по перелету возложить на комиссию в сотаве Ворошилова (председатель), Баранова, Алксниса, Гольцмана.</w:t>
      </w:r>
    </w:p>
    <w:p w14:paraId="5240368D" w14:textId="77777777" w:rsidR="003446BF" w:rsidRPr="00C33834" w:rsidRDefault="003446BF" w:rsidP="00C33834">
      <w:pPr>
        <w:numPr>
          <w:ilvl w:val="0"/>
          <w:numId w:val="16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Перелет на расстояние 10000 км без посадки организовать в августе 1933 года в пределах СССР.</w:t>
      </w:r>
    </w:p>
    <w:p w14:paraId="04798E20" w14:textId="77777777" w:rsidR="003446BF" w:rsidRPr="00C33834" w:rsidRDefault="003446BF" w:rsidP="00C33834">
      <w:pPr>
        <w:numPr>
          <w:ilvl w:val="0"/>
          <w:numId w:val="16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Расходы по организации перелета распределить равными долями между НКТП, НКВМ и ГУГВФ (7503, 6).</w:t>
      </w:r>
    </w:p>
    <w:p w14:paraId="464E1F5E" w14:textId="77777777" w:rsidR="003446BF" w:rsidRPr="00C33834" w:rsidRDefault="003446BF" w:rsidP="00C33834">
      <w:pPr>
        <w:tabs>
          <w:tab w:val="left" w:pos="360"/>
        </w:tabs>
        <w:spacing w:after="0" w:line="240" w:lineRule="auto"/>
        <w:jc w:val="both"/>
        <w:rPr>
          <w:rFonts w:ascii="Times New Roman" w:hAnsi="Times New Roman"/>
          <w:color w:val="000000" w:themeColor="text1"/>
          <w:sz w:val="16"/>
          <w:szCs w:val="16"/>
        </w:rPr>
      </w:pPr>
    </w:p>
    <w:p w14:paraId="3E162666"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апреля 1933 состоялось заседание КО СССР (протокол 5).</w:t>
      </w:r>
    </w:p>
    <w:p w14:paraId="72CBFB4E"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Слушали/постановили:</w:t>
      </w:r>
    </w:p>
    <w:p w14:paraId="1674E0E4"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О рекордном полете на дальность.</w:t>
      </w:r>
    </w:p>
    <w:p w14:paraId="1CE4408E"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Организацию перелета возложить на ГУАП, УВВС и ГУГВФ</w:t>
      </w:r>
    </w:p>
    <w:p w14:paraId="7B8D4420"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Руководство о обеспечение всех мероприятий по перелету возложить на комиссию в составе тт. К.Е.В. (пред.), П.И.Б., Алксниса, Гольцмана.</w:t>
      </w:r>
    </w:p>
    <w:p w14:paraId="757B76D5"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Перелет на расстояние в 10 т км без посадки организовать в августе 1933 в пределах СССР.</w:t>
      </w:r>
    </w:p>
    <w:p w14:paraId="1C8AC949"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расходы по организации перелета распределить равными долями между НКТП, НКВМ и ГУГВФ." (2282,12).</w:t>
      </w:r>
    </w:p>
    <w:p w14:paraId="1358AB65"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4BB40C2B"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апреля 1933 г. сдали консоли крыла И-14; центроплан - 16 апреля 1933 г.; 10 марта был полностью собран фюзеляж; 21 апреля установили шасси (правда, без подъемного механизма - его не успели довести в срок). Установка мотора на самолет состоялась 28 марта 1933 г. (12037).</w:t>
      </w:r>
    </w:p>
    <w:p w14:paraId="5543BC97"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22A6C712"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апреля 1933 Нач. НТОС ГУАП Алмазов писал письмо N 282/227с Нач. НИИ ВВС РККА:</w:t>
      </w:r>
    </w:p>
    <w:p w14:paraId="732FCBB0"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"Прошу передать через сотрудника НТОС ГУАП Гольдмана посланный мною Вам материал по эскизному проекту самолета ВС-2 для препровождения его Зам. директора завода 39 С.В.И. Ваше заключение по проекту прошу переслать непосредственно мне в НТОС ГУАП в ближайшее время.</w:t>
      </w:r>
    </w:p>
    <w:p w14:paraId="0BA60A17"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случае готовности заключения просьба передать таковое сотруднику НТОС Гольдману." (2305,28).</w:t>
      </w:r>
    </w:p>
    <w:p w14:paraId="7BDDBE3D"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04D8189C" w14:textId="77777777" w:rsidR="003446BF" w:rsidRPr="00C33834" w:rsidRDefault="003446BF"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апреля 1933 на самолете ЦКБ-3 второй закончились экс</w:t>
      </w:r>
      <w:r w:rsidRPr="00C33834">
        <w:rPr>
          <w:rFonts w:ascii="Times New Roman" w:hAnsi="Times New Roman"/>
          <w:color w:val="000000" w:themeColor="text1"/>
          <w:sz w:val="16"/>
          <w:szCs w:val="16"/>
        </w:rPr>
        <w:softHyphen/>
        <w:t>плуатационные испытания в Крыму, в Каче, которые проходили с 26 марта. От КБ ими руководил В.К.Таиров. За месяц летчики-испытате</w:t>
      </w:r>
      <w:r w:rsidRPr="00C33834">
        <w:rPr>
          <w:rFonts w:ascii="Times New Roman" w:hAnsi="Times New Roman"/>
          <w:color w:val="000000" w:themeColor="text1"/>
          <w:sz w:val="16"/>
          <w:szCs w:val="16"/>
        </w:rPr>
        <w:softHyphen/>
        <w:t>ли выполнили на истребителе 2100 фигур высшего пи</w:t>
      </w:r>
      <w:r w:rsidRPr="00C33834">
        <w:rPr>
          <w:rFonts w:ascii="Times New Roman" w:hAnsi="Times New Roman"/>
          <w:color w:val="000000" w:themeColor="text1"/>
          <w:sz w:val="16"/>
          <w:szCs w:val="16"/>
        </w:rPr>
        <w:softHyphen/>
        <w:t>лотажа, совершили 520 посадок. Были зафиксированы следующие летные характеристики самолета на лыжах: максимальная скорость у земли - 324 км/ч, на высоте 3000 м - 350 км/ч, а на высоте 5000 м - 325 км/ч, что в пе</w:t>
      </w:r>
      <w:r w:rsidRPr="00C33834">
        <w:rPr>
          <w:rFonts w:ascii="Times New Roman" w:hAnsi="Times New Roman"/>
          <w:color w:val="000000" w:themeColor="text1"/>
          <w:sz w:val="16"/>
          <w:szCs w:val="16"/>
        </w:rPr>
        <w:softHyphen/>
        <w:t xml:space="preserve">ресчете на колесное </w:t>
      </w:r>
      <w:r w:rsidRPr="00C33834">
        <w:rPr>
          <w:rFonts w:ascii="Times New Roman" w:hAnsi="Times New Roman"/>
          <w:color w:val="000000" w:themeColor="text1"/>
          <w:sz w:val="16"/>
          <w:szCs w:val="16"/>
        </w:rPr>
        <w:lastRenderedPageBreak/>
        <w:t>шасси дает, соответственно, 342 км/ч, 368 км/ч, 343 км/ч. Вес конструкции при этом со</w:t>
      </w:r>
      <w:r w:rsidRPr="00C33834">
        <w:rPr>
          <w:rFonts w:ascii="Times New Roman" w:hAnsi="Times New Roman"/>
          <w:color w:val="000000" w:themeColor="text1"/>
          <w:sz w:val="16"/>
          <w:szCs w:val="16"/>
        </w:rPr>
        <w:softHyphen/>
        <w:t>ставлял 942 кг, а взлетный вес - 1358 кг. Высоту 5000 м истребитель набирал за 6,2 мин. Время виража на вы</w:t>
      </w:r>
      <w:r w:rsidRPr="00C33834">
        <w:rPr>
          <w:rFonts w:ascii="Times New Roman" w:hAnsi="Times New Roman"/>
          <w:color w:val="000000" w:themeColor="text1"/>
          <w:sz w:val="16"/>
          <w:szCs w:val="16"/>
        </w:rPr>
        <w:softHyphen/>
        <w:t>соте 1000 м было рекордно малым - 8 секунд. Самолет отличался хорошими штопорными свойствами: запаз</w:t>
      </w:r>
      <w:r w:rsidRPr="00C33834">
        <w:rPr>
          <w:rFonts w:ascii="Times New Roman" w:hAnsi="Times New Roman"/>
          <w:color w:val="000000" w:themeColor="text1"/>
          <w:sz w:val="16"/>
          <w:szCs w:val="16"/>
        </w:rPr>
        <w:softHyphen/>
        <w:t>дывание на выходе не превышало двух витков. Нарека</w:t>
      </w:r>
      <w:r w:rsidRPr="00C33834">
        <w:rPr>
          <w:rFonts w:ascii="Times New Roman" w:hAnsi="Times New Roman"/>
          <w:color w:val="000000" w:themeColor="text1"/>
          <w:sz w:val="16"/>
          <w:szCs w:val="16"/>
        </w:rPr>
        <w:softHyphen/>
        <w:t>ния вызывала лишь небольшая неустойчивость по рысканью на скоростях свыше 270 км/ч.</w:t>
      </w:r>
    </w:p>
    <w:p w14:paraId="7134C241" w14:textId="77777777" w:rsidR="003446BF" w:rsidRPr="00C33834" w:rsidRDefault="003446BF"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выводах по результатам испытаний записано:</w:t>
      </w:r>
    </w:p>
    <w:p w14:paraId="100D308D" w14:textId="77777777" w:rsidR="003446BF" w:rsidRPr="00C33834" w:rsidRDefault="003446BF"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По полученным летным данным (скорости по высотам, скороподъемности и маневренности) самолет И-15:</w:t>
      </w:r>
    </w:p>
    <w:p w14:paraId="650C4B4A" w14:textId="77777777" w:rsidR="003446BF" w:rsidRPr="00C33834" w:rsidRDefault="003446BF"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далеко превосходит данные находящихся на во</w:t>
      </w:r>
      <w:r w:rsidRPr="00C33834">
        <w:rPr>
          <w:rFonts w:ascii="Times New Roman" w:hAnsi="Times New Roman"/>
          <w:color w:val="000000" w:themeColor="text1"/>
          <w:sz w:val="16"/>
          <w:szCs w:val="16"/>
        </w:rPr>
        <w:softHyphen/>
        <w:t>оружении СССР истребителей;</w:t>
      </w:r>
    </w:p>
    <w:p w14:paraId="23B14D52" w14:textId="77777777" w:rsidR="003446BF" w:rsidRPr="00C33834" w:rsidRDefault="003446BF"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перекрывает гарантированные, утвержденные эс</w:t>
      </w:r>
      <w:r w:rsidRPr="00C33834">
        <w:rPr>
          <w:rFonts w:ascii="Times New Roman" w:hAnsi="Times New Roman"/>
          <w:color w:val="000000" w:themeColor="text1"/>
          <w:sz w:val="16"/>
          <w:szCs w:val="16"/>
        </w:rPr>
        <w:softHyphen/>
        <w:t>кизным проектом данные;</w:t>
      </w:r>
    </w:p>
    <w:p w14:paraId="63F00ACB" w14:textId="77777777" w:rsidR="003446BF" w:rsidRPr="00C33834" w:rsidRDefault="003446BF"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 маневренности превосходит, по скороподъем</w:t>
      </w:r>
      <w:r w:rsidRPr="00C33834">
        <w:rPr>
          <w:rFonts w:ascii="Times New Roman" w:hAnsi="Times New Roman"/>
          <w:color w:val="000000" w:themeColor="text1"/>
          <w:sz w:val="16"/>
          <w:szCs w:val="16"/>
        </w:rPr>
        <w:softHyphen/>
        <w:t>ности достигает уровня лучших современных опытных заграничных истребителей;</w:t>
      </w:r>
    </w:p>
    <w:p w14:paraId="0ADAFCF1" w14:textId="77777777" w:rsidR="003446BF" w:rsidRPr="00C33834" w:rsidRDefault="003446BF"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по скорости на высоте 5000 м, благодаря схеме, обеспечивающей высокую маневренность, несколько уступает (на 20-30 км/ч) скорости лучших опытных од</w:t>
      </w:r>
      <w:r w:rsidRPr="00C33834">
        <w:rPr>
          <w:rFonts w:ascii="Times New Roman" w:hAnsi="Times New Roman"/>
          <w:color w:val="000000" w:themeColor="text1"/>
          <w:sz w:val="16"/>
          <w:szCs w:val="16"/>
        </w:rPr>
        <w:softHyphen/>
        <w:t>номестных заграничных истребителей.</w:t>
      </w:r>
    </w:p>
    <w:p w14:paraId="0E26724F"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Самолет И-15 по своим данным представляет удач</w:t>
      </w:r>
      <w:r w:rsidRPr="00C33834">
        <w:rPr>
          <w:rFonts w:ascii="Times New Roman" w:hAnsi="Times New Roman"/>
          <w:color w:val="000000" w:themeColor="text1"/>
          <w:sz w:val="16"/>
          <w:szCs w:val="16"/>
        </w:rPr>
        <w:softHyphen/>
        <w:t>ное разрешение вопроса о высокоманевренном истреби</w:t>
      </w:r>
      <w:r w:rsidRPr="00C33834">
        <w:rPr>
          <w:rFonts w:ascii="Times New Roman" w:hAnsi="Times New Roman"/>
          <w:color w:val="000000" w:themeColor="text1"/>
          <w:sz w:val="16"/>
          <w:szCs w:val="16"/>
        </w:rPr>
        <w:softHyphen/>
        <w:t>теле, обладающим в то же время достаточными горизон</w:t>
      </w:r>
      <w:r w:rsidRPr="00C33834">
        <w:rPr>
          <w:rFonts w:ascii="Times New Roman" w:hAnsi="Times New Roman"/>
          <w:color w:val="000000" w:themeColor="text1"/>
          <w:sz w:val="16"/>
          <w:szCs w:val="16"/>
        </w:rPr>
        <w:softHyphen/>
        <w:t>тальными скоростями. Соединение высокой маневрен</w:t>
      </w:r>
      <w:r w:rsidRPr="00C33834">
        <w:rPr>
          <w:rFonts w:ascii="Times New Roman" w:hAnsi="Times New Roman"/>
          <w:color w:val="000000" w:themeColor="text1"/>
          <w:sz w:val="16"/>
          <w:szCs w:val="16"/>
        </w:rPr>
        <w:softHyphen/>
        <w:t>ности, скороподъемности и достаточной скорости поз</w:t>
      </w:r>
      <w:r w:rsidRPr="00C33834">
        <w:rPr>
          <w:rFonts w:ascii="Times New Roman" w:hAnsi="Times New Roman"/>
          <w:color w:val="000000" w:themeColor="text1"/>
          <w:sz w:val="16"/>
          <w:szCs w:val="16"/>
        </w:rPr>
        <w:softHyphen/>
        <w:t>воляет считать, что самолет И-15 является современным истребителем.</w:t>
      </w:r>
    </w:p>
    <w:p w14:paraId="73FC027C" w14:textId="77777777" w:rsidR="003446BF" w:rsidRPr="00C33834" w:rsidRDefault="003446BF"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Самолет И-15 обладает достаточно мягким управле</w:t>
      </w:r>
      <w:r w:rsidRPr="00C33834">
        <w:rPr>
          <w:rFonts w:ascii="Times New Roman" w:hAnsi="Times New Roman"/>
          <w:color w:val="000000" w:themeColor="text1"/>
          <w:sz w:val="16"/>
          <w:szCs w:val="16"/>
        </w:rPr>
        <w:softHyphen/>
        <w:t>нием, простотой в пилотировании и хорошим обзором.</w:t>
      </w:r>
    </w:p>
    <w:p w14:paraId="25F83B52" w14:textId="77777777" w:rsidR="003446BF" w:rsidRPr="00C33834" w:rsidRDefault="003446BF"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Основное испытание самолета И-15 показало, что конструкция самолета крупных, требующих больших переделок, дефектов не имеет...</w:t>
      </w:r>
    </w:p>
    <w:p w14:paraId="3F087E66" w14:textId="77777777" w:rsidR="003446BF" w:rsidRPr="00C33834" w:rsidRDefault="003446BF"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Полетные качества самолета в отношении устой</w:t>
      </w:r>
      <w:r w:rsidRPr="00C33834">
        <w:rPr>
          <w:rFonts w:ascii="Times New Roman" w:hAnsi="Times New Roman"/>
          <w:color w:val="000000" w:themeColor="text1"/>
          <w:sz w:val="16"/>
          <w:szCs w:val="16"/>
        </w:rPr>
        <w:softHyphen/>
        <w:t>чивости пути являются недостаточно удовлетворитель</w:t>
      </w:r>
      <w:r w:rsidRPr="00C33834">
        <w:rPr>
          <w:rFonts w:ascii="Times New Roman" w:hAnsi="Times New Roman"/>
          <w:color w:val="000000" w:themeColor="text1"/>
          <w:sz w:val="16"/>
          <w:szCs w:val="16"/>
        </w:rPr>
        <w:softHyphen/>
        <w:t>ными. На скоростях 200-250 км/ч самолет имеет нейтральную устойчивость, на скоростях свыше 250 км/ч - неустойчив...».</w:t>
      </w:r>
    </w:p>
    <w:p w14:paraId="43E5DF14"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основании результатов летных испытаний И-15 был рекомендован для серийного производства. Оно разворачивалось на заводах № 1 и № 39 (10667).</w:t>
      </w:r>
    </w:p>
    <w:p w14:paraId="64ABDBCE"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301C4A00" w14:textId="77777777" w:rsidR="003446BF"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84FA583" w14:textId="77777777" w:rsidR="003446BF" w:rsidRPr="00C33834" w:rsidRDefault="003446BF" w:rsidP="00C33834">
      <w:pPr>
        <w:spacing w:after="0" w:line="240" w:lineRule="auto"/>
        <w:jc w:val="both"/>
        <w:rPr>
          <w:rFonts w:ascii="Times New Roman" w:hAnsi="Times New Roman"/>
          <w:iCs/>
          <w:color w:val="000000" w:themeColor="text1"/>
          <w:sz w:val="16"/>
          <w:szCs w:val="16"/>
        </w:rPr>
      </w:pPr>
    </w:p>
    <w:p w14:paraId="328D5F51"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апреля 1933 закончились полигонные испытания САУ СУ-76К (СУ-3), которые проходили с 15 апреля. Разработана на заводе № 7 на базе Т-27 и вооруженная ДРП. Предназначенная для действий в составе разведотрядов и для сопрвождения конницы. Испытывалась на полигоне ВАММ им. Сталина в Кунцево. Произошел разрыв ствола из-за двойного заряжания (9527,271).</w:t>
      </w:r>
    </w:p>
    <w:p w14:paraId="748E8043"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19DB8261" w14:textId="77777777" w:rsidR="002E1BE7" w:rsidRPr="00C33834" w:rsidRDefault="002E1BE7" w:rsidP="00C33834">
      <w:pPr>
        <w:pStyle w:val="a3"/>
        <w:rPr>
          <w:color w:val="000000" w:themeColor="text1"/>
          <w:lang w:val="ru-RU"/>
        </w:rPr>
      </w:pPr>
      <w:r w:rsidRPr="00C33834">
        <w:rPr>
          <w:color w:val="000000" w:themeColor="text1"/>
          <w:lang w:val="ru-RU"/>
        </w:rPr>
        <w:t>25 апреля 1933 г. постановлением СТО Наркомтяжпром обя</w:t>
      </w:r>
      <w:r w:rsidRPr="00C33834">
        <w:rPr>
          <w:color w:val="000000" w:themeColor="text1"/>
          <w:lang w:val="ru-RU"/>
        </w:rPr>
        <w:softHyphen/>
        <w:t>зывался выбрать тип пропашного трактора и организовать его производство с максималь</w:t>
      </w:r>
      <w:r w:rsidRPr="00C33834">
        <w:rPr>
          <w:color w:val="000000" w:themeColor="text1"/>
          <w:lang w:val="ru-RU"/>
        </w:rPr>
        <w:softHyphen/>
        <w:t>ным использованием действующих заводов. В результате были проведены государствен</w:t>
      </w:r>
      <w:r w:rsidRPr="00C33834">
        <w:rPr>
          <w:color w:val="000000" w:themeColor="text1"/>
          <w:lang w:val="ru-RU"/>
        </w:rPr>
        <w:softHyphen/>
        <w:t>ные испытания тракторов СХТЗ, доработанных ВИМЭ, ВИСХОМ и Омским заводом сельхоз</w:t>
      </w:r>
      <w:r w:rsidRPr="00C33834">
        <w:rPr>
          <w:color w:val="000000" w:themeColor="text1"/>
          <w:lang w:val="ru-RU"/>
        </w:rPr>
        <w:softHyphen/>
        <w:t>машин, а также импортного пропашного трак</w:t>
      </w:r>
      <w:r w:rsidRPr="00C33834">
        <w:rPr>
          <w:color w:val="000000" w:themeColor="text1"/>
          <w:lang w:val="ru-RU"/>
        </w:rPr>
        <w:softHyphen/>
        <w:t>тора «Фармол».</w:t>
      </w:r>
    </w:p>
    <w:p w14:paraId="1525766B" w14:textId="77777777" w:rsidR="002E1BE7" w:rsidRPr="00C33834" w:rsidRDefault="002E1BE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ходе испытаний однозначно установили, что все предложенные варианты трактора СХТЗ обладают существенными недостатками по сравнению с американской машиной и не от</w:t>
      </w:r>
      <w:r w:rsidRPr="00C33834">
        <w:rPr>
          <w:rFonts w:ascii="Times New Roman" w:hAnsi="Times New Roman"/>
          <w:color w:val="000000" w:themeColor="text1"/>
          <w:sz w:val="16"/>
          <w:szCs w:val="16"/>
        </w:rPr>
        <w:softHyphen/>
        <w:t>вечают ни одному из предъявляемых к ним тре</w:t>
      </w:r>
      <w:r w:rsidRPr="00C33834">
        <w:rPr>
          <w:rFonts w:ascii="Times New Roman" w:hAnsi="Times New Roman"/>
          <w:color w:val="000000" w:themeColor="text1"/>
          <w:sz w:val="16"/>
          <w:szCs w:val="16"/>
        </w:rPr>
        <w:softHyphen/>
        <w:t>бований. В этой связи на заседании комиссии политбюро 8 августа 1933 г. под председатель</w:t>
      </w:r>
      <w:r w:rsidRPr="00C33834">
        <w:rPr>
          <w:rFonts w:ascii="Times New Roman" w:hAnsi="Times New Roman"/>
          <w:color w:val="000000" w:themeColor="text1"/>
          <w:sz w:val="16"/>
          <w:szCs w:val="16"/>
        </w:rPr>
        <w:softHyphen/>
        <w:t>ством С.М. Куйбышева было принято решение ограничить выпуск партии приспособлений к трактору СХТЗ: четырехколесных — 100 шт., трехколесных — 500 шт. Для покрытия потреб</w:t>
      </w:r>
      <w:r w:rsidRPr="00C33834">
        <w:rPr>
          <w:rFonts w:ascii="Times New Roman" w:hAnsi="Times New Roman"/>
          <w:color w:val="000000" w:themeColor="text1"/>
          <w:sz w:val="16"/>
          <w:szCs w:val="16"/>
        </w:rPr>
        <w:softHyphen/>
        <w:t>ности народного хозяйства в пропашных трак</w:t>
      </w:r>
      <w:r w:rsidRPr="00C33834">
        <w:rPr>
          <w:rFonts w:ascii="Times New Roman" w:hAnsi="Times New Roman"/>
          <w:color w:val="000000" w:themeColor="text1"/>
          <w:sz w:val="16"/>
          <w:szCs w:val="16"/>
        </w:rPr>
        <w:softHyphen/>
        <w:t>торах следовало организовать производство советской версии трактора «Фармол» на заво</w:t>
      </w:r>
      <w:r w:rsidRPr="00C33834">
        <w:rPr>
          <w:rFonts w:ascii="Times New Roman" w:hAnsi="Times New Roman"/>
          <w:color w:val="000000" w:themeColor="text1"/>
          <w:sz w:val="16"/>
          <w:szCs w:val="16"/>
        </w:rPr>
        <w:softHyphen/>
        <w:t>де «Красный Путиловец».</w:t>
      </w:r>
    </w:p>
    <w:p w14:paraId="593C9CAB" w14:textId="77777777" w:rsidR="002E1BE7" w:rsidRPr="00C33834" w:rsidRDefault="002E1BE7" w:rsidP="00C33834">
      <w:pPr>
        <w:pStyle w:val="aff0"/>
        <w:shd w:val="clear" w:color="auto" w:fill="auto"/>
        <w:spacing w:line="240" w:lineRule="auto"/>
        <w:rPr>
          <w:rFonts w:ascii="Times New Roman" w:hAnsi="Times New Roman" w:cs="Times New Roman"/>
          <w:i w:val="0"/>
          <w:color w:val="000000" w:themeColor="text1"/>
          <w:sz w:val="16"/>
          <w:szCs w:val="16"/>
          <w:lang w:val="ru-RU"/>
        </w:rPr>
      </w:pPr>
      <w:r w:rsidRPr="00C33834">
        <w:rPr>
          <w:rFonts w:ascii="Times New Roman" w:hAnsi="Times New Roman" w:cs="Times New Roman"/>
          <w:i w:val="0"/>
          <w:color w:val="000000" w:themeColor="text1"/>
          <w:sz w:val="16"/>
          <w:szCs w:val="16"/>
          <w:lang w:val="ru-RU"/>
        </w:rPr>
        <w:t>Некоторые показатели пропашных тракторов по данным государственных испытаний</w:t>
      </w:r>
    </w:p>
    <w:tbl>
      <w:tblPr>
        <w:tblW w:w="0" w:type="auto"/>
        <w:tblInd w:w="5" w:type="dxa"/>
        <w:tblLayout w:type="fixed"/>
        <w:tblCellMar>
          <w:left w:w="0" w:type="dxa"/>
          <w:right w:w="0" w:type="dxa"/>
        </w:tblCellMar>
        <w:tblLook w:val="0000" w:firstRow="0" w:lastRow="0" w:firstColumn="0" w:lastColumn="0" w:noHBand="0" w:noVBand="0"/>
      </w:tblPr>
      <w:tblGrid>
        <w:gridCol w:w="1848"/>
        <w:gridCol w:w="1085"/>
        <w:gridCol w:w="1128"/>
        <w:gridCol w:w="1138"/>
        <w:gridCol w:w="1531"/>
      </w:tblGrid>
      <w:tr w:rsidR="00F26F01" w:rsidRPr="00C33834" w14:paraId="23E6AFCD" w14:textId="77777777" w:rsidTr="002E1BE7">
        <w:trPr>
          <w:trHeight w:val="44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05533600"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Модель трактора</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644B445D"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«Фармол»</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368A7DA0"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СХТЗ ВИМЭ, 3-колесный</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7A0234CB"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СХТЗ ВИСХОМ, 4-колесный</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41B04F80"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СХТЗ,4-колесный омский</w:t>
            </w:r>
          </w:p>
        </w:tc>
      </w:tr>
      <w:tr w:rsidR="00F26F01" w:rsidRPr="00C33834" w14:paraId="4501382B" w14:textId="77777777" w:rsidTr="002E1BE7">
        <w:trPr>
          <w:trHeight w:val="235"/>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63F31E31"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Вес пропашника,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00DA2C06"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1913</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4CD79D13"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3409</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06B1B2E8"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 3489</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6A29146B"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3650</w:t>
            </w:r>
          </w:p>
        </w:tc>
      </w:tr>
      <w:tr w:rsidR="00F26F01" w:rsidRPr="00C33834" w14:paraId="02D49403" w14:textId="77777777" w:rsidTr="002E1BE7">
        <w:trPr>
          <w:trHeight w:val="427"/>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5AD4A7A8"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Общий вес приспособлений,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2B30B04C" w14:textId="77777777" w:rsidR="002E1BE7" w:rsidRPr="00C33834" w:rsidRDefault="002E1BE7" w:rsidP="00C33834">
            <w:pPr>
              <w:pStyle w:val="182"/>
              <w:shd w:val="clear" w:color="auto" w:fill="auto"/>
              <w:spacing w:line="240" w:lineRule="auto"/>
              <w:jc w:val="both"/>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5E82C67"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920</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36FC2843"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811</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02A158B4"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954</w:t>
            </w:r>
          </w:p>
        </w:tc>
      </w:tr>
      <w:tr w:rsidR="00F26F01" w:rsidRPr="00C33834" w14:paraId="248168D4" w14:textId="77777777" w:rsidTr="002E1BE7">
        <w:trPr>
          <w:trHeight w:val="43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303EE76C"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Вес передней часта приспособления,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7840EAC6" w14:textId="77777777" w:rsidR="002E1BE7" w:rsidRPr="00C33834" w:rsidRDefault="002E1BE7" w:rsidP="00C33834">
            <w:pPr>
              <w:pStyle w:val="191"/>
              <w:shd w:val="clear" w:color="auto" w:fill="auto"/>
              <w:spacing w:line="240" w:lineRule="auto"/>
              <w:jc w:val="both"/>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6D7BB09A"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357</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3D32FBC2"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248</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67F10609"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391</w:t>
            </w:r>
          </w:p>
        </w:tc>
      </w:tr>
      <w:tr w:rsidR="00F26F01" w:rsidRPr="00C33834" w14:paraId="244193F7" w14:textId="77777777" w:rsidTr="002E1BE7">
        <w:trPr>
          <w:trHeight w:val="427"/>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139F5387"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Вес задней части приспособления,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62541298" w14:textId="77777777" w:rsidR="002E1BE7" w:rsidRPr="00C33834" w:rsidRDefault="002E1BE7" w:rsidP="00C33834">
            <w:pPr>
              <w:pStyle w:val="182"/>
              <w:shd w:val="clear" w:color="auto" w:fill="auto"/>
              <w:spacing w:line="240" w:lineRule="auto"/>
              <w:jc w:val="both"/>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4E5A4608"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563</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783D8190"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563</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6AA0574A"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563</w:t>
            </w:r>
          </w:p>
        </w:tc>
      </w:tr>
      <w:tr w:rsidR="00F26F01" w:rsidRPr="00C33834" w14:paraId="0A7F0022" w14:textId="77777777" w:rsidTr="002E1BE7">
        <w:trPr>
          <w:trHeight w:val="43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02D63BA8"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Нагрузка на переднюю ось,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6FBB5619"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565</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0E2F486"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1084</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1DCB7167"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1418</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20CA4327"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1392</w:t>
            </w:r>
          </w:p>
        </w:tc>
      </w:tr>
      <w:tr w:rsidR="00F26F01" w:rsidRPr="00C33834" w14:paraId="7821BF3C" w14:textId="77777777" w:rsidTr="002E1BE7">
        <w:trPr>
          <w:trHeight w:val="235"/>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4534C2B9"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Нагрузка на заднюю ось,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141F1567"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1348</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784D8A7"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2323</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0E78360B"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2071</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34BE0064"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2258</w:t>
            </w:r>
          </w:p>
        </w:tc>
      </w:tr>
      <w:tr w:rsidR="00F26F01" w:rsidRPr="00C33834" w14:paraId="2B3A06F7" w14:textId="77777777" w:rsidTr="002E1BE7">
        <w:trPr>
          <w:trHeight w:val="43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41B268DE"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Удельное давление на передние колеса, кг/см</w:t>
            </w:r>
            <w:r w:rsidRPr="00C33834">
              <w:rPr>
                <w:rFonts w:ascii="Times New Roman" w:hAnsi="Times New Roman" w:cs="Times New Roman"/>
                <w:color w:val="000000" w:themeColor="text1"/>
                <w:sz w:val="16"/>
                <w:szCs w:val="16"/>
                <w:vertAlign w:val="superscript"/>
              </w:rPr>
              <w:t>2</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746DE117"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1,15</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36612465"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2,08</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47BE060A"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1,56</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5FFA952F"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1,5</w:t>
            </w:r>
          </w:p>
        </w:tc>
      </w:tr>
      <w:tr w:rsidR="00F26F01" w:rsidRPr="00C33834" w14:paraId="524C8E76" w14:textId="77777777" w:rsidTr="002E1BE7">
        <w:trPr>
          <w:trHeight w:val="43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6C29F1DE"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Удельное давление на задние колеса, кг/см</w:t>
            </w:r>
            <w:r w:rsidRPr="00C33834">
              <w:rPr>
                <w:rFonts w:ascii="Times New Roman" w:hAnsi="Times New Roman" w:cs="Times New Roman"/>
                <w:color w:val="000000" w:themeColor="text1"/>
                <w:sz w:val="16"/>
                <w:szCs w:val="16"/>
                <w:vertAlign w:val="superscript"/>
              </w:rPr>
              <w:t>2</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2030BE12"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1,05</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8F88C16"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1,90</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4222EFC6"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1,69</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51555938"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1,84</w:t>
            </w:r>
          </w:p>
        </w:tc>
      </w:tr>
      <w:tr w:rsidR="00F26F01" w:rsidRPr="00C33834" w14:paraId="0E334E1C" w14:textId="77777777" w:rsidTr="002E1BE7">
        <w:trPr>
          <w:trHeight w:val="235"/>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5E022BE4"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Продольная база, мм</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145AC0AB"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2159</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789E16BE"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2720</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63DB60D2"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2100</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721E4468"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2500</w:t>
            </w:r>
          </w:p>
        </w:tc>
      </w:tr>
      <w:tr w:rsidR="00F26F01" w:rsidRPr="00C33834" w14:paraId="7D1FD029" w14:textId="77777777" w:rsidTr="002E1BE7">
        <w:trPr>
          <w:trHeight w:val="250"/>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61483341"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Дорожный просвет, мм</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29E32F76"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736</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BA09C76"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700</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2B9EFF22"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610</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0DAE91E6" w14:textId="77777777" w:rsidR="002E1BE7" w:rsidRPr="00C33834" w:rsidRDefault="002E1BE7"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700</w:t>
            </w:r>
          </w:p>
        </w:tc>
      </w:tr>
    </w:tbl>
    <w:p w14:paraId="4881AA28" w14:textId="77777777" w:rsidR="002E1BE7" w:rsidRPr="00C33834" w:rsidRDefault="002E1BE7" w:rsidP="00C33834">
      <w:pPr>
        <w:pStyle w:val="a3"/>
        <w:rPr>
          <w:color w:val="000000" w:themeColor="text1"/>
        </w:rPr>
      </w:pPr>
      <w:r w:rsidRPr="00C33834">
        <w:rPr>
          <w:color w:val="000000" w:themeColor="text1"/>
        </w:rPr>
        <w:t>(12620).</w:t>
      </w:r>
    </w:p>
    <w:p w14:paraId="3169A4B6" w14:textId="77777777" w:rsidR="002E1BE7" w:rsidRPr="00C33834" w:rsidRDefault="002E1BE7" w:rsidP="00C33834">
      <w:pPr>
        <w:spacing w:after="0" w:line="240" w:lineRule="auto"/>
        <w:jc w:val="both"/>
        <w:rPr>
          <w:rFonts w:ascii="Times New Roman" w:hAnsi="Times New Roman"/>
          <w:color w:val="000000" w:themeColor="text1"/>
          <w:sz w:val="16"/>
          <w:szCs w:val="16"/>
        </w:rPr>
      </w:pPr>
    </w:p>
    <w:p w14:paraId="3CE0AE56" w14:textId="77777777" w:rsidR="00DC337E" w:rsidRPr="00C33834" w:rsidRDefault="00DC337E" w:rsidP="00C33834">
      <w:pPr>
        <w:pStyle w:val="rtejustify"/>
        <w:spacing w:before="0" w:after="0"/>
        <w:rPr>
          <w:color w:val="000000" w:themeColor="text1"/>
          <w:sz w:val="16"/>
          <w:szCs w:val="16"/>
        </w:rPr>
      </w:pPr>
      <w:r w:rsidRPr="00C33834">
        <w:rPr>
          <w:rStyle w:val="af0"/>
          <w:bCs/>
          <w:i w:val="0"/>
          <w:color w:val="000000" w:themeColor="text1"/>
          <w:sz w:val="16"/>
          <w:szCs w:val="16"/>
        </w:rPr>
        <w:t>25/26 апреля 1933 вышел приказ НКТП № 43с.</w:t>
      </w:r>
      <w:r w:rsidRPr="00C33834">
        <w:rPr>
          <w:color w:val="000000" w:themeColor="text1"/>
          <w:sz w:val="16"/>
          <w:szCs w:val="16"/>
        </w:rPr>
        <w:t xml:space="preserve"> О мероприятиях по обеспечению строительства Сталинградского тракторного завода оборудованием и материалами. (РГАЭ. Ф. 7297. Оп. 38. Д. 35. Л. 28</w:t>
      </w:r>
      <w:r w:rsidRPr="00C33834">
        <w:rPr>
          <w:color w:val="000000" w:themeColor="text1"/>
          <w:sz w:val="16"/>
          <w:szCs w:val="16"/>
        </w:rPr>
        <w:noBreakHyphen/>
        <w:t>28 об.) (15246).</w:t>
      </w:r>
    </w:p>
    <w:p w14:paraId="128CF961" w14:textId="77777777" w:rsidR="00DC337E" w:rsidRPr="00C33834" w:rsidRDefault="00DC337E" w:rsidP="00C33834">
      <w:pPr>
        <w:pStyle w:val="rtejustify"/>
        <w:spacing w:before="0" w:after="0"/>
        <w:rPr>
          <w:color w:val="000000" w:themeColor="text1"/>
          <w:sz w:val="16"/>
          <w:szCs w:val="16"/>
        </w:rPr>
      </w:pPr>
    </w:p>
    <w:p w14:paraId="4547B370" w14:textId="77777777" w:rsidR="00F67B79" w:rsidRPr="00C33834" w:rsidRDefault="00F67B79"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6ABBA82D" w14:textId="77777777" w:rsidR="00F67B79" w:rsidRPr="00C33834" w:rsidRDefault="00F67B79" w:rsidP="00C33834">
      <w:pPr>
        <w:spacing w:after="0" w:line="240" w:lineRule="auto"/>
        <w:jc w:val="both"/>
        <w:rPr>
          <w:rFonts w:ascii="Times New Roman" w:hAnsi="Times New Roman"/>
          <w:iCs/>
          <w:color w:val="000000" w:themeColor="text1"/>
          <w:sz w:val="16"/>
          <w:szCs w:val="16"/>
        </w:rPr>
      </w:pPr>
    </w:p>
    <w:p w14:paraId="3C2FB40B" w14:textId="77777777" w:rsidR="00F67B79" w:rsidRPr="00C33834" w:rsidRDefault="00F67B7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апреля 1933. Открылись 10 магазинов и 49 палаток Молокосбыта, торговавших молочными продуктами по коммерческим ценам (18722).</w:t>
      </w:r>
    </w:p>
    <w:p w14:paraId="0D1AE0D7" w14:textId="77777777" w:rsidR="00F67B79" w:rsidRPr="00C33834" w:rsidRDefault="00F67B79" w:rsidP="00C33834">
      <w:pPr>
        <w:spacing w:after="0" w:line="240" w:lineRule="auto"/>
        <w:jc w:val="both"/>
        <w:rPr>
          <w:rFonts w:ascii="Times New Roman" w:hAnsi="Times New Roman"/>
          <w:color w:val="000000" w:themeColor="text1"/>
          <w:sz w:val="16"/>
          <w:szCs w:val="16"/>
        </w:rPr>
      </w:pPr>
    </w:p>
    <w:p w14:paraId="5B305F96" w14:textId="77777777" w:rsidR="003446BF"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9CFE245" w14:textId="77777777" w:rsidR="003446BF" w:rsidRPr="00C33834" w:rsidRDefault="003446BF" w:rsidP="00C33834">
      <w:pPr>
        <w:spacing w:after="0" w:line="240" w:lineRule="auto"/>
        <w:jc w:val="both"/>
        <w:rPr>
          <w:rFonts w:ascii="Times New Roman" w:hAnsi="Times New Roman"/>
          <w:iCs/>
          <w:color w:val="000000" w:themeColor="text1"/>
          <w:sz w:val="16"/>
          <w:szCs w:val="16"/>
        </w:rPr>
      </w:pPr>
    </w:p>
    <w:p w14:paraId="672856AB"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апреля 1933 был готов МИ-3 (АНТ-21) - МИ-3 2М-34Н и выведен на аэродром. Опоздание было вызвано поздним получением моторов - 22 декабря 1932 вместо 1 сентября 1932 (2287,128).</w:t>
      </w:r>
    </w:p>
    <w:p w14:paraId="1191C3A7"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200B95DE" w14:textId="77777777" w:rsidR="003446BF" w:rsidRPr="00C33834" w:rsidRDefault="003446BF"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апреля 1933 г. Е.С.Петро</w:t>
      </w:r>
      <w:r w:rsidRPr="00C33834">
        <w:rPr>
          <w:rFonts w:ascii="Times New Roman" w:hAnsi="Times New Roman"/>
          <w:color w:val="000000" w:themeColor="text1"/>
          <w:sz w:val="16"/>
          <w:szCs w:val="16"/>
        </w:rPr>
        <w:softHyphen/>
        <w:t>в и В.А.Артемьев, у которых возникла мысль объединить все лучшее из обеих кон</w:t>
      </w:r>
      <w:r w:rsidRPr="00C33834">
        <w:rPr>
          <w:rFonts w:ascii="Times New Roman" w:hAnsi="Times New Roman"/>
          <w:color w:val="000000" w:themeColor="text1"/>
          <w:sz w:val="16"/>
          <w:szCs w:val="16"/>
        </w:rPr>
        <w:softHyphen/>
        <w:t>струкций и создать гибрид РС с корпусом, вращающимся на траектории вокруг своей продольной оси, и в то же время, с неподвижным в полете надкалиберным крестообразным оперением, подали заявку в отдел изобретений НКО СССР с описанием трех вариантов, как теперь говорят, «узлов развязки» корпу</w:t>
      </w:r>
      <w:r w:rsidRPr="00C33834">
        <w:rPr>
          <w:rFonts w:ascii="Times New Roman" w:hAnsi="Times New Roman"/>
          <w:color w:val="000000" w:themeColor="text1"/>
          <w:sz w:val="16"/>
          <w:szCs w:val="16"/>
        </w:rPr>
        <w:softHyphen/>
        <w:t>са ракетного боеприпаса с органами стабилизации (обратный адрес - Лихоборы, Лихачевское шоссе, 6, РНИИ).</w:t>
      </w:r>
    </w:p>
    <w:p w14:paraId="778121F6" w14:textId="77777777" w:rsidR="003446BF" w:rsidRPr="00C33834" w:rsidRDefault="003446BF"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«Реактивные снаряды вообще имеют малый вес, по сравнению с арт-снарядами того же калибра, а потому для достаточной устойчивости требу</w:t>
      </w:r>
      <w:r w:rsidRPr="00C33834">
        <w:rPr>
          <w:rFonts w:ascii="Times New Roman" w:hAnsi="Times New Roman"/>
          <w:color w:val="000000" w:themeColor="text1"/>
          <w:sz w:val="16"/>
          <w:szCs w:val="16"/>
        </w:rPr>
        <w:softHyphen/>
        <w:t>ют затраты значительной доли ракетного заряда для сообщения им нужной вращательной скорости. Настоящее изобретение имеет целью обеспечить вращающимся снарядам устойчивость на полете при небольшом расходе энергии ракетного заряда. Эта цель достигается, согласно введению хво</w:t>
      </w:r>
      <w:r w:rsidRPr="00C33834">
        <w:rPr>
          <w:rFonts w:ascii="Times New Roman" w:hAnsi="Times New Roman"/>
          <w:color w:val="000000" w:themeColor="text1"/>
          <w:sz w:val="16"/>
          <w:szCs w:val="16"/>
        </w:rPr>
        <w:softHyphen/>
        <w:t>стового оперения, не принимающего участие во вращательном движении».</w:t>
      </w:r>
    </w:p>
    <w:p w14:paraId="3000E30A"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 турборакетного снаряда первого варианта вращение камеры двига</w:t>
      </w:r>
      <w:r w:rsidRPr="00C33834">
        <w:rPr>
          <w:rFonts w:ascii="Times New Roman" w:hAnsi="Times New Roman"/>
          <w:color w:val="000000" w:themeColor="text1"/>
          <w:sz w:val="16"/>
          <w:szCs w:val="16"/>
        </w:rPr>
        <w:softHyphen/>
        <w:t>теля относительно неподвижного сопла с «наглухо соединенным с ним оперением» предусматривалось осуществить посредством муфты шари</w:t>
      </w:r>
      <w:r w:rsidRPr="00C33834">
        <w:rPr>
          <w:rFonts w:ascii="Times New Roman" w:hAnsi="Times New Roman"/>
          <w:color w:val="000000" w:themeColor="text1"/>
          <w:sz w:val="16"/>
          <w:szCs w:val="16"/>
        </w:rPr>
        <w:softHyphen/>
        <w:t>коподшипника. Во втором варианте соединительная муфта была выпол</w:t>
      </w:r>
      <w:r w:rsidRPr="00C33834">
        <w:rPr>
          <w:rFonts w:ascii="Times New Roman" w:hAnsi="Times New Roman"/>
          <w:color w:val="000000" w:themeColor="text1"/>
          <w:sz w:val="16"/>
          <w:szCs w:val="16"/>
        </w:rPr>
        <w:softHyphen/>
        <w:t>нена в виде продолжения соплового обтекателя. В третьем сопло было наглухо соединено с камерой, а хвостовое оперение крепилось на сопловом блоке с возможностью вращения. Таким образом, по мнению авторов, после старта снаряда хвостовое оперение вместе с соплом (первый и вто</w:t>
      </w:r>
      <w:r w:rsidRPr="00C33834">
        <w:rPr>
          <w:rFonts w:ascii="Times New Roman" w:hAnsi="Times New Roman"/>
          <w:color w:val="000000" w:themeColor="text1"/>
          <w:sz w:val="16"/>
          <w:szCs w:val="16"/>
        </w:rPr>
        <w:softHyphen/>
        <w:t>рой варианты) или одно хвостовое оперение (третий вариант) под дейст</w:t>
      </w:r>
      <w:r w:rsidRPr="00C33834">
        <w:rPr>
          <w:rFonts w:ascii="Times New Roman" w:hAnsi="Times New Roman"/>
          <w:color w:val="000000" w:themeColor="text1"/>
          <w:sz w:val="16"/>
          <w:szCs w:val="16"/>
        </w:rPr>
        <w:softHyphen/>
        <w:t>вием сопротивления воздуха не принимали бы участия во вращении.</w:t>
      </w:r>
    </w:p>
    <w:p w14:paraId="2D12B619" w14:textId="77777777" w:rsidR="003446BF" w:rsidRPr="00C33834" w:rsidRDefault="003446BF"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По заведенным правилам, из ОИ НКО СССР положительный или отрицательный отзыв должен был поступить в трехмесячный срок. Как ответили военные этим (в недалеком будущем уважаемым) ученым му</w:t>
      </w:r>
      <w:r w:rsidRPr="00C33834">
        <w:rPr>
          <w:rFonts w:ascii="Times New Roman" w:hAnsi="Times New Roman"/>
          <w:color w:val="000000" w:themeColor="text1"/>
          <w:sz w:val="16"/>
          <w:szCs w:val="16"/>
        </w:rPr>
        <w:softHyphen/>
        <w:t>жам, - неизвестно. Однако, первые два варианта снарядов, похоже, были абсолютно «нежизнеспособны». Во-первых, из-за неизбежной утечки продуктов сгорания РЗ через щель в стыке вращающейся и неподвижной частей сопла. И еще неизвестно, в какую сторону эти огненные факелы будут бить на активном участке траектории снаряда, сталкивая его с «баллистической прямой». Кроме того, максимальное значение внут</w:t>
      </w:r>
      <w:r w:rsidRPr="00C33834">
        <w:rPr>
          <w:rFonts w:ascii="Times New Roman" w:hAnsi="Times New Roman"/>
          <w:color w:val="000000" w:themeColor="text1"/>
          <w:sz w:val="16"/>
          <w:szCs w:val="16"/>
        </w:rPr>
        <w:softHyphen/>
        <w:t>реннего давления в двигателе, опять же, приходилось на его критическое сечение. Таким образом, сопла, сочлененные через шарикоподшипник, отрывало бы на старте очень часто.</w:t>
      </w:r>
    </w:p>
    <w:p w14:paraId="41E0B127" w14:textId="77777777" w:rsidR="003446BF" w:rsidRPr="00C33834" w:rsidRDefault="003446BF"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Третий вариант снаряда имел больше всего «прав на жизнь», если бы его оперение не было таким тяжелым. Центр тяжести снаряда при этом перемещался назад, и оперение принятого размаха не смогло бы ком</w:t>
      </w:r>
      <w:r w:rsidRPr="00C33834">
        <w:rPr>
          <w:rFonts w:ascii="Times New Roman" w:hAnsi="Times New Roman"/>
          <w:color w:val="000000" w:themeColor="text1"/>
          <w:sz w:val="16"/>
          <w:szCs w:val="16"/>
        </w:rPr>
        <w:softHyphen/>
        <w:t>пенсировать потерю продольной устойчивости. Таким образом, узел раз</w:t>
      </w:r>
      <w:r w:rsidRPr="00C33834">
        <w:rPr>
          <w:rFonts w:ascii="Times New Roman" w:hAnsi="Times New Roman"/>
          <w:color w:val="000000" w:themeColor="text1"/>
          <w:sz w:val="16"/>
          <w:szCs w:val="16"/>
        </w:rPr>
        <w:softHyphen/>
        <w:t>вязки третьего варианта терял всякий смысл, поскольку требовал увели</w:t>
      </w:r>
      <w:r w:rsidRPr="00C33834">
        <w:rPr>
          <w:rFonts w:ascii="Times New Roman" w:hAnsi="Times New Roman"/>
          <w:color w:val="000000" w:themeColor="text1"/>
          <w:sz w:val="16"/>
          <w:szCs w:val="16"/>
        </w:rPr>
        <w:softHyphen/>
        <w:t>чения размаха оперения. Помимо того, себестоимость подобных бое</w:t>
      </w:r>
      <w:r w:rsidRPr="00C33834">
        <w:rPr>
          <w:rFonts w:ascii="Times New Roman" w:hAnsi="Times New Roman"/>
          <w:color w:val="000000" w:themeColor="text1"/>
          <w:sz w:val="16"/>
          <w:szCs w:val="16"/>
        </w:rPr>
        <w:softHyphen/>
        <w:t>припасов была бы намного выше штатных, а обещанная точность, кото</w:t>
      </w:r>
      <w:r w:rsidRPr="00C33834">
        <w:rPr>
          <w:rFonts w:ascii="Times New Roman" w:hAnsi="Times New Roman"/>
          <w:color w:val="000000" w:themeColor="text1"/>
          <w:sz w:val="16"/>
          <w:szCs w:val="16"/>
        </w:rPr>
        <w:softHyphen/>
        <w:t>рую предполагали получить, - эфемерной (11402).</w:t>
      </w:r>
    </w:p>
    <w:p w14:paraId="63F8F75D" w14:textId="77777777" w:rsidR="003446BF" w:rsidRPr="00C33834" w:rsidRDefault="003446BF" w:rsidP="00C33834">
      <w:pPr>
        <w:shd w:val="clear" w:color="auto" w:fill="FFFFFF"/>
        <w:spacing w:after="0" w:line="240" w:lineRule="auto"/>
        <w:jc w:val="both"/>
        <w:rPr>
          <w:rFonts w:ascii="Times New Roman" w:hAnsi="Times New Roman"/>
          <w:color w:val="000000" w:themeColor="text1"/>
          <w:sz w:val="16"/>
          <w:szCs w:val="16"/>
        </w:rPr>
      </w:pPr>
    </w:p>
    <w:p w14:paraId="61368E97" w14:textId="77777777" w:rsidR="003446BF"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5090E9A" w14:textId="77777777" w:rsidR="003446BF" w:rsidRPr="00C33834" w:rsidRDefault="003446BF" w:rsidP="00C33834">
      <w:pPr>
        <w:spacing w:after="0" w:line="240" w:lineRule="auto"/>
        <w:jc w:val="both"/>
        <w:rPr>
          <w:rFonts w:ascii="Times New Roman" w:hAnsi="Times New Roman"/>
          <w:iCs/>
          <w:color w:val="000000" w:themeColor="text1"/>
          <w:sz w:val="16"/>
          <w:szCs w:val="16"/>
        </w:rPr>
      </w:pPr>
    </w:p>
    <w:p w14:paraId="4781D1F5" w14:textId="77777777" w:rsidR="00DC337E" w:rsidRPr="00C33834" w:rsidRDefault="00DC33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апреля в 1933 году поднялся в воздух «Potez 53» - рекордный самолет, разработанный французской фирмой «Societe des Avions Henri Potez». Этот самолет был построен в двух экземплярах специально для участия в гонках «Coupe Deutsch» 1933 года. Темпы строительств были тоже поистине рекордными - начало строительства в январе и окончание уже в апреле месяце. Фюзеляж самолета представлял собой цельный цилиндр, с единственным отверстием - кабиной пилота и использовался как топливный бак. Размеры самолета рассчитывались исходя из антропометрических данных пилотов - Жоржа Детре и Гюстава Лемоина. В связи с большой скоростью строительства статических испытаний самолета не проводилось, сразу преступили к летным испытаниям (15111).</w:t>
      </w:r>
    </w:p>
    <w:p w14:paraId="5A607DB1" w14:textId="77777777" w:rsidR="00DC337E" w:rsidRPr="00C33834" w:rsidRDefault="00DC337E" w:rsidP="00C33834">
      <w:pPr>
        <w:spacing w:after="0" w:line="240" w:lineRule="auto"/>
        <w:jc w:val="both"/>
        <w:rPr>
          <w:rFonts w:ascii="Times New Roman" w:hAnsi="Times New Roman"/>
          <w:color w:val="000000" w:themeColor="text1"/>
          <w:sz w:val="16"/>
          <w:szCs w:val="16"/>
        </w:rPr>
      </w:pPr>
    </w:p>
    <w:p w14:paraId="67CD34CA" w14:textId="77777777" w:rsidR="00CA5E0A" w:rsidRPr="00C33834" w:rsidRDefault="00CA5E0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26 апреля 1933 состоялся первый полет Potez 53 (20802).</w:t>
      </w:r>
    </w:p>
    <w:p w14:paraId="466F0CF6" w14:textId="77777777" w:rsidR="00CA5E0A" w:rsidRPr="00C33834" w:rsidRDefault="00CA5E0A" w:rsidP="00C33834">
      <w:pPr>
        <w:spacing w:after="0" w:line="240" w:lineRule="auto"/>
        <w:jc w:val="both"/>
        <w:rPr>
          <w:rFonts w:ascii="Times New Roman" w:hAnsi="Times New Roman"/>
          <w:color w:val="0070C0"/>
          <w:sz w:val="16"/>
          <w:szCs w:val="16"/>
        </w:rPr>
      </w:pPr>
    </w:p>
    <w:p w14:paraId="2D512291" w14:textId="77777777" w:rsidR="00CA5E0A" w:rsidRPr="00C33834" w:rsidRDefault="00CA5E0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26 апреля 1933 года — первый полёт гоночного самолёта Potez 53. /Франция/</w:t>
      </w:r>
    </w:p>
    <w:p w14:paraId="1CA7EF6B" w14:textId="77777777" w:rsidR="00CA5E0A" w:rsidRPr="00C33834" w:rsidRDefault="00CA5E0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Для участия в популярных авиационных гонках 1930-х годов производители стремились построить лучшие самолёты. Ведь это была дополнительная реклама. Так в 1933 году поступила компания Potez, разработав Potez 53 для гонки Coupe Deutsch de la Meurthe.</w:t>
      </w:r>
    </w:p>
    <w:p w14:paraId="71988E12" w14:textId="77777777" w:rsidR="00CA5E0A" w:rsidRPr="00C33834" w:rsidRDefault="00CA5E0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Самолёт построили всего за 3,5 месяца. Это был аэродинамически чистый низкоплан с убираемым шасси. Он проектировался сразу под антропометрические данные пилотов Жоржа Детре (Georges Détré) и Гюстава Лемоина (Gustave Lemoine). Устанавливался двигатель Potez 9B (310 л.с.) Максимальная скорость — 356 км/ч, дальность полёта — 2000+ км.</w:t>
      </w:r>
    </w:p>
    <w:p w14:paraId="048F3D35" w14:textId="77777777" w:rsidR="00CA5E0A" w:rsidRPr="00C33834" w:rsidRDefault="00CA5E0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построенных самолёта участвовали в гонке Coupe Deutsch 1933 года. Жорж Детре на №10 занял 1 место, пролетев 2000 километров за 6 часов 11 минут и 45 секунд. На фоне этого, Potez построила ещё 2 варианта Potez 53, отличавшихся двигателем и размерами крыла. Но гонку Coupe Deutsch 1934 года оба новых самолёта завершить не смогли (22300).</w:t>
      </w:r>
    </w:p>
    <w:p w14:paraId="062BC6B1" w14:textId="77777777" w:rsidR="00CA5E0A" w:rsidRPr="00C33834" w:rsidRDefault="00CA5E0A" w:rsidP="00C33834">
      <w:pPr>
        <w:spacing w:after="0" w:line="240" w:lineRule="auto"/>
        <w:jc w:val="both"/>
        <w:rPr>
          <w:rFonts w:ascii="Times New Roman" w:hAnsi="Times New Roman"/>
          <w:color w:val="0070C0"/>
          <w:sz w:val="16"/>
          <w:szCs w:val="16"/>
        </w:rPr>
      </w:pPr>
    </w:p>
    <w:p w14:paraId="58721CC3" w14:textId="77777777" w:rsidR="00CA5E0A" w:rsidRPr="00C33834" w:rsidRDefault="00CA5E0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26 апреля 1933 - Поднялся в воздух Potez 53 - рекордный самолет, разработанный французской фирмой Societe des Avions Henri Potez. Этот самолет был построен в двух экземплярах специально для участия в гонках Coupe Deutsch 1933 года. Темпы строительств были тоже поистине рекордными - начало строительства в январе и окончание уже в апреле месяце. Фюзеляж самолета представлял собой цельный цилиндр, с единственным отверстием - кабиной пилота и использовался как топливный бак. Размеры самолета рассчитывались исходя из антропометрических данных пилотов - Жоржа Детре и Гюстава Лемоина. В связи с большой скоростью строительства статических испытаний самолета не проводилось, сразу преступили к летным испытаниям (22523).</w:t>
      </w:r>
    </w:p>
    <w:p w14:paraId="2CC641FA" w14:textId="77777777" w:rsidR="00CA5E0A" w:rsidRPr="00C33834" w:rsidRDefault="00CA5E0A" w:rsidP="00C33834">
      <w:pPr>
        <w:spacing w:after="0" w:line="240" w:lineRule="auto"/>
        <w:jc w:val="both"/>
        <w:rPr>
          <w:rFonts w:ascii="Times New Roman" w:hAnsi="Times New Roman"/>
          <w:color w:val="0070C0"/>
          <w:sz w:val="16"/>
          <w:szCs w:val="16"/>
        </w:rPr>
      </w:pPr>
    </w:p>
    <w:p w14:paraId="42C2D966" w14:textId="77777777" w:rsidR="00DC337E" w:rsidRPr="00C33834" w:rsidRDefault="00DC33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апреля в 1933 году в Германии образуется тайная полиция Гестапо (Geheim Staats Polizei). Руководит ее созданием после прихода к власти нацистов Герман Геринг, министр внутренних дел Пруссии. Формируется Гестапо на основе политического и разведывательного отделов прусской полиции, ряды которых пополняются тысячами нацистов. Аналогичные мероприятия проводятся в Баварии и других землях Германии Генрихом Гиммлером и его помощником Рейнхардом Гейдрихом. Через год на посту главы Гестапо Геринга сменит Гиммлер. С 1936 руководителем Гестапо станет группенфюрер Генрих Мюллер. Деятельность Гестапо не регламентируется никакими законами (15111).</w:t>
      </w:r>
    </w:p>
    <w:p w14:paraId="481AFFB0" w14:textId="77777777" w:rsidR="00DC337E" w:rsidRPr="00C33834" w:rsidRDefault="00DC337E" w:rsidP="00C33834">
      <w:pPr>
        <w:spacing w:after="0" w:line="240" w:lineRule="auto"/>
        <w:jc w:val="both"/>
        <w:rPr>
          <w:rFonts w:ascii="Times New Roman" w:hAnsi="Times New Roman"/>
          <w:color w:val="000000" w:themeColor="text1"/>
          <w:sz w:val="16"/>
          <w:szCs w:val="16"/>
        </w:rPr>
      </w:pPr>
    </w:p>
    <w:p w14:paraId="4ECFD06A"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апреля 1933 в Германии создана тайная полиция (гестапо) (4962).</w:t>
      </w:r>
    </w:p>
    <w:p w14:paraId="157B454E"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p>
    <w:p w14:paraId="351E9029" w14:textId="77777777" w:rsidR="003446BF"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08D5207" w14:textId="77777777" w:rsidR="003446BF" w:rsidRPr="00C33834" w:rsidRDefault="003446BF" w:rsidP="00C33834">
      <w:pPr>
        <w:spacing w:after="0" w:line="240" w:lineRule="auto"/>
        <w:jc w:val="both"/>
        <w:rPr>
          <w:rFonts w:ascii="Times New Roman" w:hAnsi="Times New Roman"/>
          <w:iCs/>
          <w:color w:val="000000" w:themeColor="text1"/>
          <w:sz w:val="16"/>
          <w:szCs w:val="16"/>
        </w:rPr>
      </w:pPr>
    </w:p>
    <w:p w14:paraId="7890CE46"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апреля 1933 N 17сс по выпуску в 4 кв. 1933 на аэродром стратосферного самолета под М-34 с нагнетателем до 5000 м и потолком самолета 10000-12000 м (2219).</w:t>
      </w:r>
    </w:p>
    <w:p w14:paraId="66465DD2"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348A2E03" w14:textId="77777777" w:rsidR="00DC337E" w:rsidRPr="00C33834" w:rsidRDefault="00DC337E" w:rsidP="00C33834">
      <w:pPr>
        <w:pStyle w:val="rtejustify"/>
        <w:spacing w:before="0" w:after="0"/>
        <w:rPr>
          <w:color w:val="000000" w:themeColor="text1"/>
          <w:sz w:val="16"/>
          <w:szCs w:val="16"/>
        </w:rPr>
      </w:pPr>
      <w:r w:rsidRPr="00C33834">
        <w:rPr>
          <w:rStyle w:val="af0"/>
          <w:bCs/>
          <w:i w:val="0"/>
          <w:color w:val="000000" w:themeColor="text1"/>
          <w:sz w:val="16"/>
          <w:szCs w:val="16"/>
        </w:rPr>
        <w:t>27 апреля</w:t>
      </w:r>
      <w:r w:rsidRPr="00C33834">
        <w:rPr>
          <w:color w:val="000000" w:themeColor="text1"/>
          <w:sz w:val="16"/>
          <w:szCs w:val="16"/>
        </w:rPr>
        <w:t xml:space="preserve"> 1933. </w:t>
      </w:r>
      <w:hyperlink r:id="rId133" w:history="1">
        <w:r w:rsidRPr="00C33834">
          <w:rPr>
            <w:rStyle w:val="a5"/>
            <w:color w:val="000000" w:themeColor="text1"/>
            <w:sz w:val="16"/>
            <w:szCs w:val="16"/>
          </w:rPr>
          <w:t>Постановление СТО СССР № 17сс/о «О полете в стратосферу»</w:t>
        </w:r>
      </w:hyperlink>
      <w:r w:rsidRPr="00C33834">
        <w:rPr>
          <w:color w:val="000000" w:themeColor="text1"/>
          <w:sz w:val="16"/>
          <w:szCs w:val="16"/>
        </w:rPr>
        <w:t>. (ГА РФ. Ф. Р</w:t>
      </w:r>
      <w:r w:rsidRPr="00C33834">
        <w:rPr>
          <w:color w:val="000000" w:themeColor="text1"/>
          <w:sz w:val="16"/>
          <w:szCs w:val="16"/>
        </w:rPr>
        <w:noBreakHyphen/>
        <w:t>8418. Оп. 28. Д. 1. Л. 112</w:t>
      </w:r>
      <w:r w:rsidRPr="00C33834">
        <w:rPr>
          <w:color w:val="000000" w:themeColor="text1"/>
          <w:sz w:val="16"/>
          <w:szCs w:val="16"/>
        </w:rPr>
        <w:noBreakHyphen/>
        <w:t>113) (15460).</w:t>
      </w:r>
    </w:p>
    <w:p w14:paraId="3413F212" w14:textId="77777777" w:rsidR="00DC337E" w:rsidRPr="00C33834" w:rsidRDefault="00DC337E" w:rsidP="00C33834">
      <w:pPr>
        <w:pStyle w:val="rtejustify"/>
        <w:spacing w:before="0" w:after="0"/>
        <w:rPr>
          <w:color w:val="000000" w:themeColor="text1"/>
          <w:sz w:val="16"/>
          <w:szCs w:val="16"/>
        </w:rPr>
      </w:pPr>
    </w:p>
    <w:p w14:paraId="7C3A733A"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апреля 1933 года постановление № 17сс/о СТО</w:t>
      </w:r>
    </w:p>
    <w:p w14:paraId="69637E57"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полете в стратосферу</w:t>
      </w:r>
    </w:p>
    <w:p w14:paraId="28F2BCA1"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 постановляет:</w:t>
      </w:r>
    </w:p>
    <w:p w14:paraId="033B2AFC" w14:textId="77777777" w:rsidR="003446BF" w:rsidRPr="00C33834" w:rsidRDefault="003446BF" w:rsidP="00C33834">
      <w:pPr>
        <w:numPr>
          <w:ilvl w:val="0"/>
          <w:numId w:val="16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Придавая большое военное и научное значение вопросу полета в стратосферу, признать работы, ведущиеся по высотным самолетам в ЦКБ завода № 39 и по соответствующим моторам в ЦИАМе особо важными.</w:t>
      </w:r>
    </w:p>
    <w:p w14:paraId="0FECA565" w14:textId="77777777" w:rsidR="003446BF" w:rsidRPr="00C33834" w:rsidRDefault="003446BF" w:rsidP="00C33834">
      <w:pPr>
        <w:numPr>
          <w:ilvl w:val="0"/>
          <w:numId w:val="17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быстрейшего производства предварительных испытаний и исследований сверхскоростного полета и связанных с ним вопросов (кабины, нагнетатели, кислородные приборы и проч.), во изменение постановления КО от 4 июля 1932 года, выпустить на аэродром высотный самолет с потолком 10-12000 м под мотор М-34 с высотностью 5000 м в IV квартале 1933 года для чего ЦИАМ обязан передать ЦКБ завода № 39 мотор М-34 РН 1 июля 1933 года.</w:t>
      </w:r>
    </w:p>
    <w:p w14:paraId="0491CEBE" w14:textId="77777777" w:rsidR="003446BF" w:rsidRPr="00C33834" w:rsidRDefault="003446BF" w:rsidP="00C33834">
      <w:pPr>
        <w:numPr>
          <w:ilvl w:val="0"/>
          <w:numId w:val="17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ЦИАМ выпустить в IV квартале 1933 года опытный образец мотора М-34 с двухступенчатым импеллером, редуктором и винтом с поворотными лопастями, предназначенными для полета в стратосфере.</w:t>
      </w:r>
    </w:p>
    <w:p w14:paraId="68B4F83B" w14:textId="77777777" w:rsidR="003446BF" w:rsidRPr="00C33834" w:rsidRDefault="003446BF" w:rsidP="00C33834">
      <w:pPr>
        <w:numPr>
          <w:ilvl w:val="0"/>
          <w:numId w:val="17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Глававиапром в 1934 году выпустить на аэродром последующий вариант сверхвысотного самолета с потолком не ниже 15000 м с доведенным мотором по п. 3.</w:t>
      </w:r>
    </w:p>
    <w:p w14:paraId="01A3EBE5" w14:textId="77777777" w:rsidR="003446BF" w:rsidRPr="00C33834" w:rsidRDefault="003446BF" w:rsidP="00C33834">
      <w:pPr>
        <w:numPr>
          <w:ilvl w:val="0"/>
          <w:numId w:val="17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ГУАП приобрести 3 комплекта всех необходимых приборов для оборудования стратосферного самолета, а импортные организации реализовать и доставить не позднее 15 июня.</w:t>
      </w:r>
    </w:p>
    <w:p w14:paraId="089D585B"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Стоимость оборудования утвердить в сумме 15000 рублей в инвалюте сверх утвержденного НКТП импортного контингента.</w:t>
      </w:r>
    </w:p>
    <w:p w14:paraId="17535C53" w14:textId="77777777" w:rsidR="003446BF" w:rsidRPr="00C33834" w:rsidRDefault="003446BF" w:rsidP="00C33834">
      <w:pPr>
        <w:numPr>
          <w:ilvl w:val="0"/>
          <w:numId w:val="17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изучения, обеспечения и ускорения выпуска мотора М-34 с нагнетателем до 8000 м, утвердить заказ фирме "Рато" 10 штук нагнетателей к мотору М-34 ……(7503, 11-12).</w:t>
      </w:r>
    </w:p>
    <w:p w14:paraId="7409A325" w14:textId="77777777" w:rsidR="003446BF" w:rsidRPr="00C33834" w:rsidRDefault="003446BF" w:rsidP="00C33834">
      <w:pPr>
        <w:tabs>
          <w:tab w:val="left" w:pos="360"/>
        </w:tabs>
        <w:spacing w:after="0" w:line="240" w:lineRule="auto"/>
        <w:jc w:val="both"/>
        <w:rPr>
          <w:rFonts w:ascii="Times New Roman" w:hAnsi="Times New Roman"/>
          <w:color w:val="000000" w:themeColor="text1"/>
          <w:sz w:val="16"/>
          <w:szCs w:val="16"/>
        </w:rPr>
      </w:pPr>
    </w:p>
    <w:p w14:paraId="30C4B379" w14:textId="77777777" w:rsidR="00DC337E" w:rsidRPr="00C33834" w:rsidRDefault="00DC337E" w:rsidP="00C33834">
      <w:pPr>
        <w:spacing w:after="0" w:line="240" w:lineRule="auto"/>
        <w:jc w:val="both"/>
        <w:rPr>
          <w:rStyle w:val="af0"/>
          <w:rFonts w:ascii="Times New Roman" w:hAnsi="Times New Roman"/>
          <w:i w:val="0"/>
          <w:color w:val="000000" w:themeColor="text1"/>
          <w:sz w:val="16"/>
          <w:szCs w:val="16"/>
        </w:rPr>
      </w:pPr>
      <w:r w:rsidRPr="00C33834">
        <w:rPr>
          <w:rStyle w:val="af0"/>
          <w:rFonts w:ascii="Times New Roman" w:hAnsi="Times New Roman"/>
          <w:i w:val="0"/>
          <w:color w:val="000000" w:themeColor="text1"/>
          <w:sz w:val="16"/>
          <w:szCs w:val="16"/>
        </w:rPr>
        <w:t xml:space="preserve">27 апреля 1933 г. </w:t>
      </w:r>
      <w:r w:rsidRPr="00C33834">
        <w:rPr>
          <w:rFonts w:ascii="Times New Roman" w:hAnsi="Times New Roman"/>
          <w:color w:val="000000" w:themeColor="text1"/>
          <w:sz w:val="16"/>
          <w:szCs w:val="16"/>
        </w:rPr>
        <w:t>Постановление СТО СССР № 17сс/о «О полете в стратосферу»¹*</w:t>
      </w:r>
    </w:p>
    <w:p w14:paraId="0525EFEB" w14:textId="77777777" w:rsidR="00DC337E" w:rsidRPr="00C33834" w:rsidRDefault="00DC337E"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Совершенно секретно.</w:t>
      </w:r>
    </w:p>
    <w:p w14:paraId="1B71BE60" w14:textId="77777777" w:rsidR="00DC337E" w:rsidRPr="00C33834" w:rsidRDefault="00DC337E" w:rsidP="00C33834">
      <w:pPr>
        <w:pStyle w:val="rtejustify"/>
        <w:spacing w:before="0" w:after="0"/>
        <w:rPr>
          <w:color w:val="000000" w:themeColor="text1"/>
          <w:sz w:val="16"/>
          <w:szCs w:val="16"/>
        </w:rPr>
      </w:pPr>
      <w:r w:rsidRPr="00C33834">
        <w:rPr>
          <w:color w:val="000000" w:themeColor="text1"/>
          <w:sz w:val="16"/>
          <w:szCs w:val="16"/>
        </w:rPr>
        <w:t>Совет труда и обороны постановляет:</w:t>
      </w:r>
    </w:p>
    <w:p w14:paraId="75A11E98" w14:textId="77777777" w:rsidR="00DC337E" w:rsidRPr="00C33834" w:rsidRDefault="00DC337E" w:rsidP="00C33834">
      <w:pPr>
        <w:pStyle w:val="rtejustify"/>
        <w:spacing w:before="0" w:after="0"/>
        <w:rPr>
          <w:color w:val="000000" w:themeColor="text1"/>
          <w:sz w:val="16"/>
          <w:szCs w:val="16"/>
        </w:rPr>
      </w:pPr>
      <w:r w:rsidRPr="00C33834">
        <w:rPr>
          <w:color w:val="000000" w:themeColor="text1"/>
          <w:sz w:val="16"/>
          <w:szCs w:val="16"/>
        </w:rPr>
        <w:t>1. Придавая большое военное и научное значение вопросу полета в стратосферу, признать работы, ведущиеся по высотным самолетам в ЦКБ завода № 39 по соответствующим моторам в ЦИАМе, особо важными.</w:t>
      </w:r>
    </w:p>
    <w:p w14:paraId="411FB67D" w14:textId="77777777" w:rsidR="00DC337E" w:rsidRPr="00C33834" w:rsidRDefault="00DC337E" w:rsidP="00C33834">
      <w:pPr>
        <w:pStyle w:val="rtejustify"/>
        <w:spacing w:before="0" w:after="0"/>
        <w:rPr>
          <w:color w:val="000000" w:themeColor="text1"/>
          <w:sz w:val="16"/>
          <w:szCs w:val="16"/>
        </w:rPr>
      </w:pPr>
      <w:r w:rsidRPr="00C33834">
        <w:rPr>
          <w:color w:val="000000" w:themeColor="text1"/>
          <w:sz w:val="16"/>
          <w:szCs w:val="16"/>
        </w:rPr>
        <w:t>2. Для быстрейшего производства предварительных испытаний и исследований сверхвысотного полета и связанных с ним вопросов (кабины, нагнетатели, кислородные приборы и проч.), во изменение постановления КО от 4 июля 1932 г., выпустить на аэродром высотный самолет с потолком 10</w:t>
      </w:r>
      <w:r w:rsidRPr="00C33834">
        <w:rPr>
          <w:color w:val="000000" w:themeColor="text1"/>
          <w:sz w:val="16"/>
          <w:szCs w:val="16"/>
        </w:rPr>
        <w:noBreakHyphen/>
        <w:t>12 тыс. м под мотор М</w:t>
      </w:r>
      <w:r w:rsidRPr="00C33834">
        <w:rPr>
          <w:color w:val="000000" w:themeColor="text1"/>
          <w:sz w:val="16"/>
          <w:szCs w:val="16"/>
        </w:rPr>
        <w:noBreakHyphen/>
        <w:t>34 с высотностью 5 тыс. м в IV квартале 1933 г., для чего ЦИАМ обязан передать ЦКБ завода № 39 мотор М</w:t>
      </w:r>
      <w:r w:rsidRPr="00C33834">
        <w:rPr>
          <w:color w:val="000000" w:themeColor="text1"/>
          <w:sz w:val="16"/>
          <w:szCs w:val="16"/>
        </w:rPr>
        <w:noBreakHyphen/>
        <w:t>34 PH 1 июля 1933 г.</w:t>
      </w:r>
    </w:p>
    <w:p w14:paraId="78A8AA41" w14:textId="77777777" w:rsidR="00DC337E" w:rsidRPr="00C33834" w:rsidRDefault="00DC337E" w:rsidP="00C33834">
      <w:pPr>
        <w:pStyle w:val="rtejustify"/>
        <w:spacing w:before="0" w:after="0"/>
        <w:rPr>
          <w:color w:val="000000" w:themeColor="text1"/>
          <w:sz w:val="16"/>
          <w:szCs w:val="16"/>
        </w:rPr>
      </w:pPr>
      <w:r w:rsidRPr="00C33834">
        <w:rPr>
          <w:color w:val="000000" w:themeColor="text1"/>
          <w:sz w:val="16"/>
          <w:szCs w:val="16"/>
        </w:rPr>
        <w:t>3. Обязать ЦИАМ выпустить в IV квартале 1933 г. опытный образец мотора М</w:t>
      </w:r>
      <w:r w:rsidRPr="00C33834">
        <w:rPr>
          <w:color w:val="000000" w:themeColor="text1"/>
          <w:sz w:val="16"/>
          <w:szCs w:val="16"/>
        </w:rPr>
        <w:noBreakHyphen/>
        <w:t>34 с двухступенчатым импеллером, редуктором и винтом с поворотными лопастями, предназначенными для полета в стратосфере.</w:t>
      </w:r>
    </w:p>
    <w:p w14:paraId="79987F70" w14:textId="77777777" w:rsidR="00DC337E" w:rsidRPr="00C33834" w:rsidRDefault="00DC337E" w:rsidP="00C33834">
      <w:pPr>
        <w:pStyle w:val="rtejustify"/>
        <w:spacing w:before="0" w:after="0"/>
        <w:rPr>
          <w:color w:val="000000" w:themeColor="text1"/>
          <w:sz w:val="16"/>
          <w:szCs w:val="16"/>
        </w:rPr>
      </w:pPr>
      <w:r w:rsidRPr="00C33834">
        <w:rPr>
          <w:color w:val="000000" w:themeColor="text1"/>
          <w:sz w:val="16"/>
          <w:szCs w:val="16"/>
        </w:rPr>
        <w:t>4. Обязать Глававиапром в 1934 г. выпустить на аэродром последующий вариант сверхвысокого самолета с потолком не ниже 15 тыс. м с доведенным мотором по п. 3.</w:t>
      </w:r>
    </w:p>
    <w:p w14:paraId="6A5DE764" w14:textId="77777777" w:rsidR="00DC337E" w:rsidRPr="00C33834" w:rsidRDefault="00DC337E" w:rsidP="00C33834">
      <w:pPr>
        <w:pStyle w:val="rtejustify"/>
        <w:spacing w:before="0" w:after="0"/>
        <w:rPr>
          <w:color w:val="000000" w:themeColor="text1"/>
          <w:sz w:val="16"/>
          <w:szCs w:val="16"/>
        </w:rPr>
      </w:pPr>
      <w:r w:rsidRPr="00C33834">
        <w:rPr>
          <w:color w:val="000000" w:themeColor="text1"/>
          <w:sz w:val="16"/>
          <w:szCs w:val="16"/>
        </w:rPr>
        <w:t>5. Обязать ГУ АП приобрести 3 комплекта всех необходимых приборов для оборудования стратосферного самолета, а импортные организации реализовать и доставить [приборы] не позднее 15 мая²*. Стоимость оборудования утвердить в сумме 15 тыс. руб. в инвалюте сверх утвержденного НКТП импортного контингента.</w:t>
      </w:r>
    </w:p>
    <w:p w14:paraId="2F82E356" w14:textId="77777777" w:rsidR="00DC337E" w:rsidRPr="00C33834" w:rsidRDefault="00DC337E" w:rsidP="00C33834">
      <w:pPr>
        <w:pStyle w:val="rtejustify"/>
        <w:spacing w:before="0" w:after="0"/>
        <w:rPr>
          <w:color w:val="000000" w:themeColor="text1"/>
          <w:sz w:val="16"/>
          <w:szCs w:val="16"/>
        </w:rPr>
      </w:pPr>
      <w:r w:rsidRPr="00C33834">
        <w:rPr>
          <w:color w:val="000000" w:themeColor="text1"/>
          <w:sz w:val="16"/>
          <w:szCs w:val="16"/>
        </w:rPr>
        <w:t>6. В целях изучения, обеспечения и ускорения выпуска мотора М</w:t>
      </w:r>
      <w:r w:rsidRPr="00C33834">
        <w:rPr>
          <w:color w:val="000000" w:themeColor="text1"/>
          <w:sz w:val="16"/>
          <w:szCs w:val="16"/>
        </w:rPr>
        <w:noBreakHyphen/>
        <w:t>34 с нагнетателем до 8 тыс. м утвердить заказ фирме «Рато» 10 шт. нагнетателей к мотору М</w:t>
      </w:r>
      <w:r w:rsidRPr="00C33834">
        <w:rPr>
          <w:color w:val="000000" w:themeColor="text1"/>
          <w:sz w:val="16"/>
          <w:szCs w:val="16"/>
        </w:rPr>
        <w:noBreakHyphen/>
        <w:t>34, для чего отпустить специальный контингент в 85 тыс. руб. сверх утвержденного импортного контингента НКТП как для оплаты заказа, так и для расходов по доводке мотора М</w:t>
      </w:r>
      <w:r w:rsidRPr="00C33834">
        <w:rPr>
          <w:color w:val="000000" w:themeColor="text1"/>
          <w:sz w:val="16"/>
          <w:szCs w:val="16"/>
        </w:rPr>
        <w:noBreakHyphen/>
        <w:t>34 до высотности 8 тыс. м.</w:t>
      </w:r>
    </w:p>
    <w:p w14:paraId="4B582552" w14:textId="77777777" w:rsidR="00DC337E" w:rsidRPr="00C33834" w:rsidRDefault="00DC337E" w:rsidP="00C33834">
      <w:pPr>
        <w:pStyle w:val="ae"/>
        <w:spacing w:before="0" w:after="0"/>
        <w:jc w:val="both"/>
        <w:rPr>
          <w:color w:val="000000" w:themeColor="text1"/>
          <w:sz w:val="16"/>
          <w:szCs w:val="16"/>
        </w:rPr>
      </w:pPr>
      <w:r w:rsidRPr="00C33834">
        <w:rPr>
          <w:rStyle w:val="af0"/>
          <w:i w:val="0"/>
          <w:color w:val="000000" w:themeColor="text1"/>
          <w:sz w:val="16"/>
          <w:szCs w:val="16"/>
        </w:rPr>
        <w:lastRenderedPageBreak/>
        <w:t>Председатель Совета труда и обороны В. Молотов/Скрябин</w:t>
      </w:r>
    </w:p>
    <w:p w14:paraId="0F9C94C8" w14:textId="77777777" w:rsidR="00DC337E" w:rsidRPr="00C33834" w:rsidRDefault="00DC337E" w:rsidP="00C33834">
      <w:pPr>
        <w:pStyle w:val="ae"/>
        <w:spacing w:before="0" w:after="0"/>
        <w:jc w:val="both"/>
        <w:rPr>
          <w:color w:val="000000" w:themeColor="text1"/>
          <w:sz w:val="16"/>
          <w:szCs w:val="16"/>
        </w:rPr>
      </w:pPr>
      <w:r w:rsidRPr="00C33834">
        <w:rPr>
          <w:rStyle w:val="af0"/>
          <w:i w:val="0"/>
          <w:color w:val="000000" w:themeColor="text1"/>
          <w:sz w:val="16"/>
          <w:szCs w:val="16"/>
        </w:rPr>
        <w:t>Базилевич</w:t>
      </w:r>
    </w:p>
    <w:p w14:paraId="050475E8" w14:textId="77777777" w:rsidR="00DC337E" w:rsidRPr="00C33834" w:rsidRDefault="00DC337E"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Примечания</w:t>
      </w:r>
      <w:r w:rsidRPr="00C33834">
        <w:rPr>
          <w:color w:val="000000" w:themeColor="text1"/>
          <w:sz w:val="16"/>
          <w:szCs w:val="16"/>
        </w:rPr>
        <w:t>:</w:t>
      </w:r>
    </w:p>
    <w:p w14:paraId="172BF011" w14:textId="77777777" w:rsidR="00DC337E" w:rsidRPr="00C33834" w:rsidRDefault="00DC337E" w:rsidP="00C33834">
      <w:pPr>
        <w:pStyle w:val="rtejustify"/>
        <w:spacing w:before="0" w:after="0"/>
        <w:rPr>
          <w:color w:val="000000" w:themeColor="text1"/>
          <w:sz w:val="16"/>
          <w:szCs w:val="16"/>
        </w:rPr>
      </w:pPr>
      <w:r w:rsidRPr="00C33834">
        <w:rPr>
          <w:color w:val="000000" w:themeColor="text1"/>
          <w:sz w:val="16"/>
          <w:szCs w:val="16"/>
        </w:rPr>
        <w:t xml:space="preserve">¹* На основании постановления особого совещания при Секторе обороны Госплана СССР для объединения и руководства </w:t>
      </w:r>
      <w:r w:rsidRPr="00C33834">
        <w:rPr>
          <w:rStyle w:val="af0"/>
          <w:bCs/>
          <w:i w:val="0"/>
          <w:color w:val="000000" w:themeColor="text1"/>
          <w:sz w:val="16"/>
          <w:szCs w:val="16"/>
        </w:rPr>
        <w:t>работами по изучению стратосферы</w:t>
      </w:r>
      <w:r w:rsidRPr="00C33834">
        <w:rPr>
          <w:color w:val="000000" w:themeColor="text1"/>
          <w:sz w:val="16"/>
          <w:szCs w:val="16"/>
        </w:rPr>
        <w:t xml:space="preserve"> 14 ноября 1932 г. была образована постоянная рабочая комиссия при Государственном геофизическом институте. В состав комиссии вошли постоянные представители УВВС, Академии военного флота, НИИ УВВС, ГУГВФ, Дирижаблестроя, ГУАП, ЦАГИ, Осоавиахима, Сектора обороны Госплана и Геофизического института. Комиссия находилась в ведении Сектора обороны, подчинялась его директивам и должна была организовывать, планировать и распределять работы по изучению стратосферы между отдельными учреждениями. В докладной записке И. С. Уншлихта в СТО СССР от 17 января 1933 г. говорилось: «Супервысотная авиация, над созданием которой усиленно работают передовые капиталистические страны, имеет большое оборонное значение для СССР. Возможность получения больших скоростей полета в условиях наиболее благоприятных с метеорологической точки зрения, недосягаемость для зенитной артиллерии и скрытность самого полета, возможность открытия нового этапа в технике авиации — все это обуславливает необходимость максимального форсирования развития этого дела в нашей стране». Подчеркивалось, что для решения проблем «суперавиации», необходимо решать две задачи: изучение стратосферы и строительство самих летательных аппаратов. Предлагалось руководство работой возложить на специальную организацию, способную обеспечить форсированный темп проведения работ и выделить 2,5 млн. руб. для финансирования в плановом порядке. (РГАЭ. Ф. 4372. Оп. 91. Д. 1076. Л. 134</w:t>
      </w:r>
      <w:r w:rsidRPr="00C33834">
        <w:rPr>
          <w:color w:val="000000" w:themeColor="text1"/>
          <w:sz w:val="16"/>
          <w:szCs w:val="16"/>
        </w:rPr>
        <w:noBreakHyphen/>
        <w:t>132; Л. 147</w:t>
      </w:r>
      <w:r w:rsidRPr="00C33834">
        <w:rPr>
          <w:color w:val="000000" w:themeColor="text1"/>
          <w:sz w:val="16"/>
          <w:szCs w:val="16"/>
        </w:rPr>
        <w:noBreakHyphen/>
        <w:t>146).</w:t>
      </w:r>
    </w:p>
    <w:p w14:paraId="0BA58B27" w14:textId="77777777" w:rsidR="00DC337E" w:rsidRPr="00C33834" w:rsidRDefault="00DC337E" w:rsidP="00C33834">
      <w:pPr>
        <w:pStyle w:val="rtejustify"/>
        <w:spacing w:before="0" w:after="0"/>
        <w:rPr>
          <w:color w:val="000000" w:themeColor="text1"/>
          <w:sz w:val="16"/>
          <w:szCs w:val="16"/>
        </w:rPr>
      </w:pPr>
      <w:r w:rsidRPr="00C33834">
        <w:rPr>
          <w:color w:val="000000" w:themeColor="text1"/>
          <w:sz w:val="16"/>
          <w:szCs w:val="16"/>
        </w:rPr>
        <w:t>²* Над словом «мая» от руки вписано «июня».</w:t>
      </w:r>
    </w:p>
    <w:p w14:paraId="68D81BE0" w14:textId="77777777" w:rsidR="00DC337E" w:rsidRPr="00C33834" w:rsidRDefault="00DC337E" w:rsidP="00C33834">
      <w:pPr>
        <w:pStyle w:val="ae"/>
        <w:spacing w:before="0" w:after="0"/>
        <w:jc w:val="both"/>
        <w:rPr>
          <w:color w:val="000000" w:themeColor="text1"/>
          <w:sz w:val="16"/>
          <w:szCs w:val="16"/>
        </w:rPr>
      </w:pPr>
      <w:r w:rsidRPr="00C33834">
        <w:rPr>
          <w:color w:val="000000" w:themeColor="text1"/>
          <w:sz w:val="16"/>
          <w:szCs w:val="16"/>
        </w:rPr>
        <w:t>ГА РФ. Ф. Р-8418. Оп. 28. Д. 1. Л. 112-113. Подлинник (15266).</w:t>
      </w:r>
    </w:p>
    <w:p w14:paraId="45B24FDE" w14:textId="77777777" w:rsidR="00DC337E" w:rsidRPr="00C33834" w:rsidRDefault="00DC337E" w:rsidP="00C33834">
      <w:pPr>
        <w:spacing w:after="0" w:line="240" w:lineRule="auto"/>
        <w:jc w:val="both"/>
        <w:rPr>
          <w:rFonts w:ascii="Times New Roman" w:hAnsi="Times New Roman"/>
          <w:color w:val="000000" w:themeColor="text1"/>
          <w:sz w:val="16"/>
          <w:szCs w:val="16"/>
        </w:rPr>
      </w:pPr>
    </w:p>
    <w:p w14:paraId="64AEDC46"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апреля 1933 вышло постановление СТО N 17сс/о "О полете в стратосферу" (2282,16).</w:t>
      </w:r>
    </w:p>
    <w:p w14:paraId="23456776"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 постановляет:</w:t>
      </w:r>
    </w:p>
    <w:p w14:paraId="389EE146"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Придавая большое военное и научное значение вопросу полета в стратосферу, признать работы, ведущиеся по высотным самолетам в ЦКБ завода 39 и по соответствующим моторам в ЦИАМе, особо Важными.</w:t>
      </w:r>
    </w:p>
    <w:p w14:paraId="4235183D"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Для быстрейшего производства предварительных испытаний и исследований сверхвысотного полета и связанных с ним вопросов (кабины, нагнетатели, кислородные приборы и проч.), во изменение постановления КО от 4 июля 1932 выпустить на аэродром высотный самолет с потолком 10-12 т м под мотор М-34 с высотностью 6 м в 4 кв. 1933, для чего ЦИАМ обязать передать ЦКБ завода 39 мотор М-34РН 1 июля 1933.</w:t>
      </w:r>
    </w:p>
    <w:p w14:paraId="09EFC5E3"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Обязать ЦИАМ выпустить в 4 кв. 1933 опытный образец мотора М-34 с двухступенчатым импеллером, редуктором и винтом с поворотными лопастями, предназначенными для полета в стратосфере.</w:t>
      </w:r>
    </w:p>
    <w:p w14:paraId="4E875441"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Обязать ГУАП в 1934 выпустить на аэродром вариант сверхвысотного самолета с потолком не ниже 15 т м с доведенным мотором по п. 3.</w:t>
      </w:r>
    </w:p>
    <w:p w14:paraId="38B823B2"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Обязать ГУАП приобрести 3 комплекта всех необходимых приборов для оборудования стратосферного самолета, а импортные организации реализовать и доставить не позднее 15 июня.</w:t>
      </w:r>
    </w:p>
    <w:p w14:paraId="0B3E3497"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Стоимость оборудования утвердить в сумме 15 т. руб. в инвалюте сверх утвержденного НКТП импортного контингента.</w:t>
      </w:r>
    </w:p>
    <w:p w14:paraId="6C743EEC"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В целях изучения и ускорения выпуска мотора М-34 с нагнетателем до 8 т м, утвердить заказ фирме Рато 10 шт. нагнетателей к М-34, для чего отпустить спец. контингент в 85 т руб. сверх утвержденного импортного контингента НКТП для оплаты заказа, так и для расходов по доводке М-34 до высоты 8 т м." (2282,17).</w:t>
      </w:r>
    </w:p>
    <w:p w14:paraId="429EDB2C"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2D1DBC3A" w14:textId="77777777" w:rsidR="00EC70B3" w:rsidRPr="00C33834" w:rsidRDefault="00EC70B3" w:rsidP="00C33834">
      <w:pPr>
        <w:shd w:val="clear" w:color="auto" w:fill="FFFFFF"/>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27 апреля 1933 года вышло постановление № 23 СТО «О состоянии и развертывании работ по геликоптерам». Ввиду важности разрешения проблемы гели</w:t>
      </w:r>
      <w:r w:rsidRPr="00C33834">
        <w:rPr>
          <w:rFonts w:ascii="Times New Roman" w:hAnsi="Times New Roman"/>
          <w:color w:val="0070C0"/>
          <w:sz w:val="16"/>
          <w:szCs w:val="16"/>
        </w:rPr>
        <w:softHyphen/>
        <w:t>коптера, ГУАПу предписывалось оказывать всестороннее содействие успешно проводи</w:t>
      </w:r>
      <w:r w:rsidRPr="00C33834">
        <w:rPr>
          <w:rFonts w:ascii="Times New Roman" w:hAnsi="Times New Roman"/>
          <w:color w:val="0070C0"/>
          <w:sz w:val="16"/>
          <w:szCs w:val="16"/>
        </w:rPr>
        <w:softHyphen/>
        <w:t>мым ЦАГИ работам по строительству гелико</w:t>
      </w:r>
      <w:r w:rsidRPr="00C33834">
        <w:rPr>
          <w:rFonts w:ascii="Times New Roman" w:hAnsi="Times New Roman"/>
          <w:color w:val="0070C0"/>
          <w:sz w:val="16"/>
          <w:szCs w:val="16"/>
        </w:rPr>
        <w:softHyphen/>
        <w:t>птера. Исходя из решения Политбюро ЦК ВКП(б) о выводе ЦАГИ из Москвы, ГУАП обя</w:t>
      </w:r>
      <w:r w:rsidRPr="00C33834">
        <w:rPr>
          <w:rFonts w:ascii="Times New Roman" w:hAnsi="Times New Roman"/>
          <w:color w:val="0070C0"/>
          <w:sz w:val="16"/>
          <w:szCs w:val="16"/>
        </w:rPr>
        <w:softHyphen/>
        <w:t>зывали в первую очередь предусмотреть раз</w:t>
      </w:r>
      <w:r w:rsidRPr="00C33834">
        <w:rPr>
          <w:rFonts w:ascii="Times New Roman" w:hAnsi="Times New Roman"/>
          <w:color w:val="0070C0"/>
          <w:sz w:val="16"/>
          <w:szCs w:val="16"/>
        </w:rPr>
        <w:softHyphen/>
        <w:t>вертывание опытной базы строительства винтовых аппаратов (геликоптеры, автожи</w:t>
      </w:r>
      <w:r w:rsidRPr="00C33834">
        <w:rPr>
          <w:rFonts w:ascii="Times New Roman" w:hAnsi="Times New Roman"/>
          <w:color w:val="0070C0"/>
          <w:sz w:val="16"/>
          <w:szCs w:val="16"/>
        </w:rPr>
        <w:softHyphen/>
        <w:t>ры) на площадке близ Раменского у села Ново-Рождественское в составе Конструк</w:t>
      </w:r>
      <w:r w:rsidRPr="00C33834">
        <w:rPr>
          <w:rFonts w:ascii="Times New Roman" w:hAnsi="Times New Roman"/>
          <w:color w:val="0070C0"/>
          <w:sz w:val="16"/>
          <w:szCs w:val="16"/>
        </w:rPr>
        <w:softHyphen/>
        <w:t>торского отдела, опытных мастерских и аэро</w:t>
      </w:r>
      <w:r w:rsidRPr="00C33834">
        <w:rPr>
          <w:rFonts w:ascii="Times New Roman" w:hAnsi="Times New Roman"/>
          <w:color w:val="0070C0"/>
          <w:sz w:val="16"/>
          <w:szCs w:val="16"/>
        </w:rPr>
        <w:softHyphen/>
        <w:t xml:space="preserve">дрома с оборудованием. </w:t>
      </w:r>
      <w:r w:rsidRPr="00C33834">
        <w:rPr>
          <w:rStyle w:val="630"/>
          <w:rFonts w:ascii="Times New Roman" w:hAnsi="Times New Roman" w:cs="Times New Roman"/>
          <w:color w:val="0070C0"/>
          <w:sz w:val="16"/>
          <w:szCs w:val="16"/>
        </w:rPr>
        <w:t>ГУАПу уже в 1933 году надлежа</w:t>
      </w:r>
      <w:r w:rsidRPr="00C33834">
        <w:rPr>
          <w:rStyle w:val="630"/>
          <w:rFonts w:ascii="Times New Roman" w:hAnsi="Times New Roman" w:cs="Times New Roman"/>
          <w:color w:val="0070C0"/>
          <w:sz w:val="16"/>
          <w:szCs w:val="16"/>
        </w:rPr>
        <w:softHyphen/>
        <w:t>ло включить в план опытных работ по мото</w:t>
      </w:r>
      <w:r w:rsidRPr="00C33834">
        <w:rPr>
          <w:rStyle w:val="630"/>
          <w:rFonts w:ascii="Times New Roman" w:hAnsi="Times New Roman" w:cs="Times New Roman"/>
          <w:color w:val="0070C0"/>
          <w:sz w:val="16"/>
          <w:szCs w:val="16"/>
        </w:rPr>
        <w:softHyphen/>
        <w:t>ростроению создание специального мотора для геликоптеров. Для укрепления работ ЦАГИ по опытному строительству геликопте</w:t>
      </w:r>
      <w:r w:rsidRPr="00C33834">
        <w:rPr>
          <w:rStyle w:val="630"/>
          <w:rFonts w:ascii="Times New Roman" w:hAnsi="Times New Roman" w:cs="Times New Roman"/>
          <w:color w:val="0070C0"/>
          <w:sz w:val="16"/>
          <w:szCs w:val="16"/>
        </w:rPr>
        <w:softHyphen/>
        <w:t>ров, до перехода на новую территорию, НКВМ должен был передать ЦАГИ второй ангар в Ухтомском не позднее 15 мая 1933 года</w:t>
      </w:r>
      <w:r w:rsidRPr="00C33834">
        <w:rPr>
          <w:rFonts w:ascii="Times New Roman" w:hAnsi="Times New Roman"/>
          <w:color w:val="0070C0"/>
          <w:sz w:val="16"/>
          <w:szCs w:val="16"/>
        </w:rPr>
        <w:t xml:space="preserve"> (19868).</w:t>
      </w:r>
    </w:p>
    <w:p w14:paraId="68CAD8B5" w14:textId="77777777" w:rsidR="00EC70B3" w:rsidRPr="00C33834" w:rsidRDefault="00EC70B3" w:rsidP="00C33834">
      <w:pPr>
        <w:shd w:val="clear" w:color="auto" w:fill="FFFFFF"/>
        <w:spacing w:after="0" w:line="240" w:lineRule="auto"/>
        <w:jc w:val="both"/>
        <w:rPr>
          <w:rFonts w:ascii="Times New Roman" w:hAnsi="Times New Roman"/>
          <w:color w:val="0070C0"/>
          <w:sz w:val="16"/>
          <w:szCs w:val="16"/>
        </w:rPr>
      </w:pPr>
    </w:p>
    <w:p w14:paraId="634AEF23"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апреля 1933 года постановление № 18сс/о СТО</w:t>
      </w:r>
    </w:p>
    <w:p w14:paraId="4CC50ED8"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 изготовлении автопилотов (7503, 8).</w:t>
      </w:r>
    </w:p>
    <w:p w14:paraId="3ED75B58"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66D827DE"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апреля 1933 вышло постановление СТО N 18сс/о "Об изготовлении автопилотов" в развитие постановления СТО N 878/265сс от 26 июля 1932 и речь шла о ТБ-1, ТБ-3, Р-5, курсовом автопилоте для Р-5, автомате взлета и посадки, автомате авиамотора для разгрузки мотора и автомата авиамотора под радиоуправление. ВОТИ передавали один К-5 для устройства летающей лаборатории. НИИТ его должен был комплектовать экипажем (2282,13).</w:t>
      </w:r>
    </w:p>
    <w:p w14:paraId="0D7E54E1"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428AFE6D" w14:textId="77777777" w:rsidR="00DC337E" w:rsidRPr="00C33834" w:rsidRDefault="00DC337E" w:rsidP="00C33834">
      <w:pPr>
        <w:pStyle w:val="rtejustify"/>
        <w:spacing w:before="0" w:after="0"/>
        <w:rPr>
          <w:color w:val="000000" w:themeColor="text1"/>
          <w:sz w:val="16"/>
          <w:szCs w:val="16"/>
        </w:rPr>
      </w:pPr>
      <w:r w:rsidRPr="00C33834">
        <w:rPr>
          <w:rStyle w:val="af0"/>
          <w:bCs/>
          <w:i w:val="0"/>
          <w:color w:val="000000" w:themeColor="text1"/>
          <w:sz w:val="16"/>
          <w:szCs w:val="16"/>
        </w:rPr>
        <w:t>27 апреля</w:t>
      </w:r>
      <w:r w:rsidRPr="00C33834">
        <w:rPr>
          <w:color w:val="000000" w:themeColor="text1"/>
          <w:sz w:val="16"/>
          <w:szCs w:val="16"/>
        </w:rPr>
        <w:t xml:space="preserve"> 1933. Постановление СТО СССР № 18сс/о «Об изготовлении автопилотов». (ГА РФ. Ф. Р</w:t>
      </w:r>
      <w:r w:rsidRPr="00C33834">
        <w:rPr>
          <w:color w:val="000000" w:themeColor="text1"/>
          <w:sz w:val="16"/>
          <w:szCs w:val="16"/>
        </w:rPr>
        <w:noBreakHyphen/>
        <w:t>8418. Оп. 28. Д. 1. Л. 114</w:t>
      </w:r>
      <w:r w:rsidRPr="00C33834">
        <w:rPr>
          <w:color w:val="000000" w:themeColor="text1"/>
          <w:sz w:val="16"/>
          <w:szCs w:val="16"/>
        </w:rPr>
        <w:noBreakHyphen/>
        <w:t>116) (15460).</w:t>
      </w:r>
    </w:p>
    <w:p w14:paraId="694F6866" w14:textId="77777777" w:rsidR="00DC337E" w:rsidRPr="00C33834" w:rsidRDefault="00DC337E" w:rsidP="00C33834">
      <w:pPr>
        <w:pStyle w:val="rtejustify"/>
        <w:spacing w:before="0" w:after="0"/>
        <w:rPr>
          <w:color w:val="000000" w:themeColor="text1"/>
          <w:sz w:val="16"/>
          <w:szCs w:val="16"/>
        </w:rPr>
      </w:pPr>
    </w:p>
    <w:p w14:paraId="2664F1DD" w14:textId="77777777" w:rsidR="003446BF" w:rsidRPr="00C33834" w:rsidRDefault="003446BF"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апреля 1933 года по ходатайству УВВС вопрос об автопилотах был поставлен в СТО (постановление № 24), который вынес постановление обязывающее ОКБ-ВОТИ выполнить следующие задачи:</w:t>
      </w:r>
    </w:p>
    <w:p w14:paraId="099F78D7"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работ ОКБ-ВОТИ на 1933 год</w:t>
      </w:r>
    </w:p>
    <w:p w14:paraId="45EB8382"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Автопилот для ТБ-3 – 15 декабря 1933 года.</w:t>
      </w:r>
    </w:p>
    <w:p w14:paraId="7720DCED"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Тоже для ТБ-1 – 15 июня 1933 года.</w:t>
      </w:r>
    </w:p>
    <w:p w14:paraId="42C873F9"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Тоже для И-4 – 15 июля 1933 года.</w:t>
      </w:r>
    </w:p>
    <w:p w14:paraId="1F15E54F"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Курсовой для Р-5 - 15 июля 1933 года.</w:t>
      </w:r>
    </w:p>
    <w:p w14:paraId="260AD6FA"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Автомат взлета и посадки - 1 января 1934 года.</w:t>
      </w:r>
    </w:p>
    <w:p w14:paraId="08E5EF0B"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 Автомат авиационного мотора М-34 - 1 января 1934 года.</w:t>
      </w:r>
    </w:p>
    <w:p w14:paraId="781031A4"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 Тоже М-17 – 1 апреля 1934 года (4039,144).</w:t>
      </w:r>
    </w:p>
    <w:p w14:paraId="204D46B5"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4F9E5768"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апреля 1933 вышло постановление СТО N 21сс/о "О производстве тормозных колес" (2282,19).</w:t>
      </w:r>
    </w:p>
    <w:p w14:paraId="088C1FD4"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 постановляет:</w:t>
      </w:r>
    </w:p>
    <w:p w14:paraId="02ADC2D7"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 Р-5 и 100 ТБ-3 на тормозных колесах (2282,21).</w:t>
      </w:r>
    </w:p>
    <w:p w14:paraId="5F1855C5"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439F5217"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апреля 1933 года постановление № 21с/о СТО</w:t>
      </w:r>
    </w:p>
    <w:p w14:paraId="521D1FEF"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производстве тормозных колес</w:t>
      </w:r>
    </w:p>
    <w:p w14:paraId="425EFD06"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 постановляет:</w:t>
      </w:r>
    </w:p>
    <w:p w14:paraId="511DA9EB" w14:textId="77777777" w:rsidR="003446BF" w:rsidRPr="00C33834" w:rsidRDefault="003446BF" w:rsidP="00C33834">
      <w:pPr>
        <w:numPr>
          <w:ilvl w:val="0"/>
          <w:numId w:val="17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Отметить, что постановление СТО от 28 июля 1932 года о выпуске в 1932 году 100 самолетов Р-5 и 100 самолетов ТБ-3 на тормозных колесах не выполнено.</w:t>
      </w:r>
    </w:p>
    <w:p w14:paraId="7A0C74EF" w14:textId="77777777" w:rsidR="003446BF" w:rsidRPr="00C33834" w:rsidRDefault="003446BF" w:rsidP="00C33834">
      <w:pPr>
        <w:numPr>
          <w:ilvl w:val="0"/>
          <w:numId w:val="17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к сведению заявление Глававиапрома, что серийное производство тормозных колес будет поставлено на заводе № 121 ……………………….</w:t>
      </w:r>
    </w:p>
    <w:p w14:paraId="4AEEE97D" w14:textId="77777777" w:rsidR="003446BF" w:rsidRPr="00C33834" w:rsidRDefault="003446BF" w:rsidP="00C33834">
      <w:pPr>
        <w:numPr>
          <w:ilvl w:val="0"/>
          <w:numId w:val="17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завод "Манометр" для обеспечения выпуска тормозных колес провести в 1933 году мехобработку и сборку колес в количестве 3000 комплектов для самолетов ТБ-3 и 870 комплектов для самолетов Р-5.</w:t>
      </w:r>
    </w:p>
    <w:p w14:paraId="4A803335" w14:textId="77777777" w:rsidR="003446BF" w:rsidRPr="00C33834" w:rsidRDefault="003446BF" w:rsidP="00C33834">
      <w:pPr>
        <w:numPr>
          <w:ilvl w:val="0"/>
          <w:numId w:val="17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к сведению заявление Глававиапрома, что первая партия колес для Р-5 в количестве 5 комплектов будет готова в мае и 5 комплектов для ТБ3 – в июне 1933 года.</w:t>
      </w:r>
    </w:p>
    <w:p w14:paraId="33394714" w14:textId="77777777" w:rsidR="003446BF" w:rsidRPr="00C33834" w:rsidRDefault="003446BF" w:rsidP="00C33834">
      <w:pPr>
        <w:numPr>
          <w:ilvl w:val="0"/>
          <w:numId w:val="17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Глававиапром сдать в 1933 году 350 самолетов Р5 и 100 самолетов ТБ3 с тормозными колесами с тем, чтобы первые 5 самолетов Р5 были сданы не позднее 10 июля 1933 года, а первые 5 самолетов ТБ3 – не позднее 15 августа 1933 года.</w:t>
      </w:r>
    </w:p>
    <w:p w14:paraId="3768A767" w14:textId="77777777" w:rsidR="003446BF" w:rsidRPr="00C33834" w:rsidRDefault="003446BF" w:rsidP="00C33834">
      <w:pPr>
        <w:numPr>
          <w:ilvl w:val="0"/>
          <w:numId w:val="18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Отметить заявление Глававиапрома, что тормозные колеса в 1933 году будут выпускаться алюминиевые, а не электронные, что даст утяжеление для самолета Р5 на 10 кг и для самолетов ТБ3 на 39 кг.</w:t>
      </w:r>
    </w:p>
    <w:p w14:paraId="44EAEBCA" w14:textId="77777777" w:rsidR="003446BF" w:rsidRPr="00C33834" w:rsidRDefault="003446BF" w:rsidP="00C33834">
      <w:pPr>
        <w:numPr>
          <w:ilvl w:val="0"/>
          <w:numId w:val="18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Глававиапром , под ответственность Баранова, обеспечить выпуск и поставку НКВМ всех боевых самолетов и 50% учебных самолетов с 1 января 1934 года с тормозными колесами, в соответствии с чем в 1933 году обеспечить расширение завода № 121 (7503, 15).</w:t>
      </w:r>
    </w:p>
    <w:p w14:paraId="03648844" w14:textId="77777777" w:rsidR="003446BF" w:rsidRPr="00C33834" w:rsidRDefault="003446BF" w:rsidP="00C33834">
      <w:pPr>
        <w:tabs>
          <w:tab w:val="left" w:pos="360"/>
        </w:tabs>
        <w:spacing w:after="0" w:line="240" w:lineRule="auto"/>
        <w:jc w:val="both"/>
        <w:rPr>
          <w:rFonts w:ascii="Times New Roman" w:hAnsi="Times New Roman"/>
          <w:color w:val="000000" w:themeColor="text1"/>
          <w:sz w:val="16"/>
          <w:szCs w:val="16"/>
        </w:rPr>
      </w:pPr>
    </w:p>
    <w:p w14:paraId="42CC510D" w14:textId="77777777" w:rsidR="00DC337E" w:rsidRPr="00C33834" w:rsidRDefault="00DC337E" w:rsidP="00C33834">
      <w:pPr>
        <w:pStyle w:val="rtejustify"/>
        <w:spacing w:before="0" w:after="0"/>
        <w:rPr>
          <w:color w:val="000000" w:themeColor="text1"/>
          <w:sz w:val="16"/>
          <w:szCs w:val="16"/>
        </w:rPr>
      </w:pPr>
      <w:r w:rsidRPr="00C33834">
        <w:rPr>
          <w:rStyle w:val="af0"/>
          <w:bCs/>
          <w:i w:val="0"/>
          <w:color w:val="000000" w:themeColor="text1"/>
          <w:sz w:val="16"/>
          <w:szCs w:val="16"/>
        </w:rPr>
        <w:t>27 апреля</w:t>
      </w:r>
      <w:r w:rsidRPr="00C33834">
        <w:rPr>
          <w:color w:val="000000" w:themeColor="text1"/>
          <w:sz w:val="16"/>
          <w:szCs w:val="16"/>
        </w:rPr>
        <w:t xml:space="preserve"> 1933. Постановление СТО СССР№ 21с/о «О производстве тормозных колес». (ГА РФ. Ф. Р</w:t>
      </w:r>
      <w:r w:rsidRPr="00C33834">
        <w:rPr>
          <w:color w:val="000000" w:themeColor="text1"/>
          <w:sz w:val="16"/>
          <w:szCs w:val="16"/>
        </w:rPr>
        <w:noBreakHyphen/>
        <w:t>8418. Оп. 28. Д. 1. Л. 127</w:t>
      </w:r>
      <w:r w:rsidRPr="00C33834">
        <w:rPr>
          <w:color w:val="000000" w:themeColor="text1"/>
          <w:sz w:val="16"/>
          <w:szCs w:val="16"/>
        </w:rPr>
        <w:noBreakHyphen/>
        <w:t>128) (15460).</w:t>
      </w:r>
    </w:p>
    <w:p w14:paraId="334E29FA" w14:textId="77777777" w:rsidR="00DC337E" w:rsidRPr="00C33834" w:rsidRDefault="00DC337E" w:rsidP="00C33834">
      <w:pPr>
        <w:pStyle w:val="rtejustify"/>
        <w:spacing w:before="0" w:after="0"/>
        <w:rPr>
          <w:color w:val="000000" w:themeColor="text1"/>
          <w:sz w:val="16"/>
          <w:szCs w:val="16"/>
        </w:rPr>
      </w:pPr>
    </w:p>
    <w:p w14:paraId="58AD35E2" w14:textId="77777777" w:rsidR="00DC337E" w:rsidRPr="00C33834" w:rsidRDefault="00DC337E" w:rsidP="00C33834">
      <w:pPr>
        <w:pStyle w:val="rtejustify"/>
        <w:spacing w:before="0" w:after="0"/>
        <w:rPr>
          <w:color w:val="000000" w:themeColor="text1"/>
          <w:sz w:val="16"/>
          <w:szCs w:val="16"/>
        </w:rPr>
      </w:pPr>
      <w:r w:rsidRPr="00C33834">
        <w:rPr>
          <w:rStyle w:val="af0"/>
          <w:bCs/>
          <w:i w:val="0"/>
          <w:color w:val="000000" w:themeColor="text1"/>
          <w:sz w:val="16"/>
          <w:szCs w:val="16"/>
        </w:rPr>
        <w:t>27 апреля</w:t>
      </w:r>
      <w:r w:rsidRPr="00C33834">
        <w:rPr>
          <w:color w:val="000000" w:themeColor="text1"/>
          <w:sz w:val="16"/>
          <w:szCs w:val="16"/>
        </w:rPr>
        <w:t xml:space="preserve">. </w:t>
      </w:r>
      <w:hyperlink r:id="rId134" w:history="1">
        <w:r w:rsidRPr="00C33834">
          <w:rPr>
            <w:rStyle w:val="a5"/>
            <w:color w:val="000000" w:themeColor="text1"/>
            <w:sz w:val="16"/>
            <w:szCs w:val="16"/>
          </w:rPr>
          <w:t>Постановление СТО СССР № 23с/о «О состоянии и развертывании работ по геликоптерам»</w:t>
        </w:r>
      </w:hyperlink>
      <w:r w:rsidRPr="00C33834">
        <w:rPr>
          <w:color w:val="000000" w:themeColor="text1"/>
          <w:sz w:val="16"/>
          <w:szCs w:val="16"/>
        </w:rPr>
        <w:t>. (ГА РФ. Ф. Р</w:t>
      </w:r>
      <w:r w:rsidRPr="00C33834">
        <w:rPr>
          <w:color w:val="000000" w:themeColor="text1"/>
          <w:sz w:val="16"/>
          <w:szCs w:val="16"/>
        </w:rPr>
        <w:noBreakHyphen/>
        <w:t>8418. Оп. 28. Д. 1. Л. 131</w:t>
      </w:r>
      <w:r w:rsidRPr="00C33834">
        <w:rPr>
          <w:color w:val="000000" w:themeColor="text1"/>
          <w:sz w:val="16"/>
          <w:szCs w:val="16"/>
        </w:rPr>
        <w:noBreakHyphen/>
        <w:t>132) (15460).</w:t>
      </w:r>
    </w:p>
    <w:p w14:paraId="07F905AF" w14:textId="77777777" w:rsidR="00DC337E" w:rsidRPr="00C33834" w:rsidRDefault="00DC337E" w:rsidP="00C33834">
      <w:pPr>
        <w:pStyle w:val="rtejustify"/>
        <w:spacing w:before="0" w:after="0"/>
        <w:rPr>
          <w:color w:val="000000" w:themeColor="text1"/>
          <w:sz w:val="16"/>
          <w:szCs w:val="16"/>
        </w:rPr>
      </w:pPr>
    </w:p>
    <w:p w14:paraId="775BB13C"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27 апреля 1933 вышло постановление СТО N 23сс/о "О состоянии и развертывании работ по геликоптерам" (2282,19).</w:t>
      </w:r>
    </w:p>
    <w:p w14:paraId="13AB4083"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 постановляет:</w:t>
      </w:r>
    </w:p>
    <w:p w14:paraId="2BD6A2DB"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Ввиду важности разрешения проблемы геликоптера, ГУАПу оказывать всемерное содействие успешно проводимым ЦАГИ работам по строительству геликоптеров... В первую очередь развернуть базу в новом ЦАГИ, спец. мотор, второй ангар в Ухтомской не позднее 15 мая 1933, наградить персонал секции Особых конструкций, А.М.Черемухину и Бункину - по автомашине, два Форда для бюро...(2282,19).</w:t>
      </w:r>
    </w:p>
    <w:p w14:paraId="6432670D"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Т.к. развитие опытного строительства геликоптеров упирается в отсутствие специального типа мотора, обязать Глававиапром уже в 1933 году включить в план опытных работ по моторостроению создание специального мотора для геликоптеров (3565,1-2).</w:t>
      </w:r>
    </w:p>
    <w:p w14:paraId="7CA8401A"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5DB0123D"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апреля 1933 года постановление № 23с/о СТО</w:t>
      </w:r>
    </w:p>
    <w:p w14:paraId="46B8A479"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состоянии и развертывании работ по геликоптерам</w:t>
      </w:r>
    </w:p>
    <w:p w14:paraId="348A8887"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 постановляет:</w:t>
      </w:r>
    </w:p>
    <w:p w14:paraId="41A48353" w14:textId="77777777" w:rsidR="003446BF" w:rsidRPr="00C33834" w:rsidRDefault="003446BF" w:rsidP="00C33834">
      <w:pPr>
        <w:numPr>
          <w:ilvl w:val="0"/>
          <w:numId w:val="18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важности разрешения проблемы геликоптера, ГУАПу оказывать всестороннее содействие успешно проводимым ЦАГИ работам по строительству геликоптера.</w:t>
      </w:r>
    </w:p>
    <w:p w14:paraId="5F4EF0A6" w14:textId="77777777" w:rsidR="003446BF" w:rsidRPr="00C33834" w:rsidRDefault="003446BF" w:rsidP="00C33834">
      <w:pPr>
        <w:numPr>
          <w:ilvl w:val="0"/>
          <w:numId w:val="18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Исходя из решения ПБ ЦК ВКП(б) о выводе ЦАГИ из Москвы, обязать Глававиапром, в первую очередь предусмотреть развертывание опытной базы строительства винтовых аппаратов (геликоптеры, автожиры) на площадке близь Раменского у села Ново-Рождественское в составе Конструкторского отдела, опытных мастерских и аэродрома с оборудованием с тем, чтобы закончить строительство к концу 1934 года.</w:t>
      </w:r>
    </w:p>
    <w:p w14:paraId="727306EA" w14:textId="77777777" w:rsidR="003446BF" w:rsidRPr="00C33834" w:rsidRDefault="003446BF" w:rsidP="00C33834">
      <w:pPr>
        <w:numPr>
          <w:ilvl w:val="0"/>
          <w:numId w:val="18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 как развитие опытного строительства геликоптеров упирается в отсутствие специального типа мотора, обязать Глававиапром уже в 1933 году включить в план опытных работ по моторостроению создание специального мотора для геликоптеров.</w:t>
      </w:r>
    </w:p>
    <w:p w14:paraId="41DD2D74" w14:textId="77777777" w:rsidR="003446BF" w:rsidRPr="00C33834" w:rsidRDefault="003446BF" w:rsidP="00C33834">
      <w:pPr>
        <w:numPr>
          <w:ilvl w:val="0"/>
          <w:numId w:val="18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укрепления работ ЦАГИ по опытному строительству геликоптеров, до перехода на новую территорию, обязать НКВМ передать ЦАГИ второй ангар в Ухтомском не позднее 15 мая 1933 года.</w:t>
      </w:r>
    </w:p>
    <w:p w14:paraId="5D258B16"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…………………………………(7503, 13-14).</w:t>
      </w:r>
    </w:p>
    <w:p w14:paraId="0455C3EE"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694A3B61" w14:textId="77777777" w:rsidR="00DC337E" w:rsidRPr="00C33834" w:rsidRDefault="00DC337E" w:rsidP="00C33834">
      <w:pPr>
        <w:pStyle w:val="ae"/>
        <w:spacing w:before="0" w:after="0"/>
        <w:jc w:val="both"/>
        <w:rPr>
          <w:rStyle w:val="af0"/>
          <w:i w:val="0"/>
          <w:color w:val="000000" w:themeColor="text1"/>
          <w:sz w:val="16"/>
          <w:szCs w:val="16"/>
        </w:rPr>
      </w:pPr>
      <w:r w:rsidRPr="00C33834">
        <w:rPr>
          <w:rStyle w:val="af0"/>
          <w:i w:val="0"/>
          <w:color w:val="000000" w:themeColor="text1"/>
          <w:sz w:val="16"/>
          <w:szCs w:val="16"/>
        </w:rPr>
        <w:t xml:space="preserve">27 апреля 1933 г. </w:t>
      </w:r>
      <w:r w:rsidRPr="00C33834">
        <w:rPr>
          <w:color w:val="000000" w:themeColor="text1"/>
          <w:sz w:val="16"/>
          <w:szCs w:val="16"/>
        </w:rPr>
        <w:t>Постановление СТО СССР № 23с/о «О состоянии и развертывании работ по геликоптерам»</w:t>
      </w:r>
    </w:p>
    <w:p w14:paraId="5FD4E1BC" w14:textId="77777777" w:rsidR="00DC337E" w:rsidRPr="00C33834" w:rsidRDefault="00DC337E" w:rsidP="00C33834">
      <w:pPr>
        <w:pStyle w:val="ae"/>
        <w:spacing w:before="0" w:after="0"/>
        <w:jc w:val="both"/>
        <w:rPr>
          <w:color w:val="000000" w:themeColor="text1"/>
          <w:sz w:val="16"/>
          <w:szCs w:val="16"/>
        </w:rPr>
      </w:pPr>
      <w:r w:rsidRPr="00C33834">
        <w:rPr>
          <w:rStyle w:val="af0"/>
          <w:i w:val="0"/>
          <w:color w:val="000000" w:themeColor="text1"/>
          <w:sz w:val="16"/>
          <w:szCs w:val="16"/>
        </w:rPr>
        <w:t>Секретно.</w:t>
      </w:r>
    </w:p>
    <w:p w14:paraId="04E4DFEA" w14:textId="77777777" w:rsidR="00DC337E" w:rsidRPr="00C33834" w:rsidRDefault="00DC337E" w:rsidP="00C33834">
      <w:pPr>
        <w:pStyle w:val="rtejustify"/>
        <w:spacing w:before="0" w:after="0"/>
        <w:rPr>
          <w:color w:val="000000" w:themeColor="text1"/>
          <w:sz w:val="16"/>
          <w:szCs w:val="16"/>
        </w:rPr>
      </w:pPr>
      <w:r w:rsidRPr="00C33834">
        <w:rPr>
          <w:color w:val="000000" w:themeColor="text1"/>
          <w:sz w:val="16"/>
          <w:szCs w:val="16"/>
        </w:rPr>
        <w:t>Совет труда и обороны постановляет:</w:t>
      </w:r>
    </w:p>
    <w:p w14:paraId="5B6EB5B9" w14:textId="77777777" w:rsidR="00DC337E" w:rsidRPr="00C33834" w:rsidRDefault="00DC337E" w:rsidP="00C33834">
      <w:pPr>
        <w:pStyle w:val="rtejustify"/>
        <w:spacing w:before="0" w:after="0"/>
        <w:rPr>
          <w:color w:val="000000" w:themeColor="text1"/>
          <w:sz w:val="16"/>
          <w:szCs w:val="16"/>
        </w:rPr>
      </w:pPr>
      <w:r w:rsidRPr="00C33834">
        <w:rPr>
          <w:color w:val="000000" w:themeColor="text1"/>
          <w:sz w:val="16"/>
          <w:szCs w:val="16"/>
        </w:rPr>
        <w:t>1. Ввиду важности разрешения проблемы геликоптера ГУАПу оказывать всестороннее содействие успешно проводимым ЦАГИ работам по строительству геликоптера.</w:t>
      </w:r>
    </w:p>
    <w:p w14:paraId="413E705F" w14:textId="77777777" w:rsidR="00DC337E" w:rsidRPr="00C33834" w:rsidRDefault="00DC337E" w:rsidP="00C33834">
      <w:pPr>
        <w:pStyle w:val="rtejustify"/>
        <w:spacing w:before="0" w:after="0"/>
        <w:rPr>
          <w:color w:val="000000" w:themeColor="text1"/>
          <w:sz w:val="16"/>
          <w:szCs w:val="16"/>
        </w:rPr>
      </w:pPr>
      <w:r w:rsidRPr="00C33834">
        <w:rPr>
          <w:color w:val="000000" w:themeColor="text1"/>
          <w:sz w:val="16"/>
          <w:szCs w:val="16"/>
        </w:rPr>
        <w:t>2. Исходя из решения ПБ ЦК ВКП(б) о выводе ЦАГИ из Москвы, обязать Глававиапром в первую очередь предусмотреть развертывание опытной базы строительства винтовых аппаратов (геликоптеры, автожиры) на площадке близ Раменского, у села Ново-Рождественское, в составе конструкторского отдела, опытных мастерских и аэродрома с оборудованием с тем, чтобы закончить строительство к концу 1934 г.</w:t>
      </w:r>
    </w:p>
    <w:p w14:paraId="1369B126" w14:textId="77777777" w:rsidR="00DC337E" w:rsidRPr="00C33834" w:rsidRDefault="00DC337E" w:rsidP="00C33834">
      <w:pPr>
        <w:pStyle w:val="rtejustify"/>
        <w:spacing w:before="0" w:after="0"/>
        <w:rPr>
          <w:color w:val="000000" w:themeColor="text1"/>
          <w:sz w:val="16"/>
          <w:szCs w:val="16"/>
        </w:rPr>
      </w:pPr>
      <w:r w:rsidRPr="00C33834">
        <w:rPr>
          <w:color w:val="000000" w:themeColor="text1"/>
          <w:sz w:val="16"/>
          <w:szCs w:val="16"/>
        </w:rPr>
        <w:t>3. Так как развитие опытного строительства геликоптеров упирается в отсутствие специального типа мотора, обязать Глававиапром уже в 1933 г. включить в план опытных работ по моторостроению создание специального мотора для геликоптеров.</w:t>
      </w:r>
    </w:p>
    <w:p w14:paraId="58BDC0F7" w14:textId="77777777" w:rsidR="00DC337E" w:rsidRPr="00C33834" w:rsidRDefault="00DC337E" w:rsidP="00C33834">
      <w:pPr>
        <w:pStyle w:val="rtejustify"/>
        <w:spacing w:before="0" w:after="0"/>
        <w:rPr>
          <w:color w:val="000000" w:themeColor="text1"/>
          <w:sz w:val="16"/>
          <w:szCs w:val="16"/>
        </w:rPr>
      </w:pPr>
      <w:r w:rsidRPr="00C33834">
        <w:rPr>
          <w:color w:val="000000" w:themeColor="text1"/>
          <w:sz w:val="16"/>
          <w:szCs w:val="16"/>
        </w:rPr>
        <w:t>4. Для укрепления работ ЦАГИ по опытному строительству геликоптеров до перехода на новую территорию обязать НКВМ передать ЦАГИ второй ангар в Ухтомском не позднее 15 мая 1933 г.</w:t>
      </w:r>
    </w:p>
    <w:p w14:paraId="02A0AC7C" w14:textId="77777777" w:rsidR="00DC337E" w:rsidRPr="00C33834" w:rsidRDefault="00DC337E" w:rsidP="00C33834">
      <w:pPr>
        <w:pStyle w:val="rtejustify"/>
        <w:spacing w:before="0" w:after="0"/>
        <w:rPr>
          <w:color w:val="000000" w:themeColor="text1"/>
          <w:sz w:val="16"/>
          <w:szCs w:val="16"/>
        </w:rPr>
      </w:pPr>
      <w:r w:rsidRPr="00C33834">
        <w:rPr>
          <w:color w:val="000000" w:themeColor="text1"/>
          <w:sz w:val="16"/>
          <w:szCs w:val="16"/>
        </w:rPr>
        <w:t>5. Наградить руководящий, технический и рабочий персонал секции особых конструкций ЦАГИ: начальника секции особых конструкций ЦАГИ т. Изаксона А. М., зам. начальника секции особых конструкций т. Черемухина А. М., начальника группы ст. инженера Бункина К. А. — выдачей каждому легкового автомобиля из резерва СНК СССР. Прочих работников — денежными наградами распоряжением начальника ГУАПа т. Баранова.</w:t>
      </w:r>
    </w:p>
    <w:p w14:paraId="6905C1F9" w14:textId="77777777" w:rsidR="00DC337E" w:rsidRPr="00C33834" w:rsidRDefault="00DC337E" w:rsidP="00C33834">
      <w:pPr>
        <w:pStyle w:val="rtejustify"/>
        <w:spacing w:before="0" w:after="0"/>
        <w:rPr>
          <w:color w:val="000000" w:themeColor="text1"/>
          <w:sz w:val="16"/>
          <w:szCs w:val="16"/>
        </w:rPr>
      </w:pPr>
      <w:r w:rsidRPr="00C33834">
        <w:rPr>
          <w:color w:val="000000" w:themeColor="text1"/>
          <w:sz w:val="16"/>
          <w:szCs w:val="16"/>
        </w:rPr>
        <w:t>6. Для обеспечения работ Конструкторского бюро по геликоптерам выделить в распоряжение ЦАГИ из резерва СНК два легковых автомобиля «Форд».</w:t>
      </w:r>
    </w:p>
    <w:p w14:paraId="1CEF5EC1" w14:textId="77777777" w:rsidR="00DC337E" w:rsidRPr="00C33834" w:rsidRDefault="00DC337E" w:rsidP="00C33834">
      <w:pPr>
        <w:pStyle w:val="ae"/>
        <w:spacing w:before="0" w:after="0"/>
        <w:jc w:val="both"/>
        <w:rPr>
          <w:color w:val="000000" w:themeColor="text1"/>
          <w:sz w:val="16"/>
          <w:szCs w:val="16"/>
        </w:rPr>
      </w:pPr>
      <w:r w:rsidRPr="00C33834">
        <w:rPr>
          <w:rStyle w:val="af0"/>
          <w:i w:val="0"/>
          <w:color w:val="000000" w:themeColor="text1"/>
          <w:sz w:val="16"/>
          <w:szCs w:val="16"/>
        </w:rPr>
        <w:t>Председатель Совета труда и обороны В. Молотов/Скрябин</w:t>
      </w:r>
    </w:p>
    <w:p w14:paraId="2612CECF" w14:textId="77777777" w:rsidR="00DC337E" w:rsidRPr="00C33834" w:rsidRDefault="00DC337E" w:rsidP="00C33834">
      <w:pPr>
        <w:pStyle w:val="ae"/>
        <w:spacing w:before="0" w:after="0"/>
        <w:jc w:val="both"/>
        <w:rPr>
          <w:color w:val="000000" w:themeColor="text1"/>
          <w:sz w:val="16"/>
          <w:szCs w:val="16"/>
        </w:rPr>
      </w:pPr>
      <w:r w:rsidRPr="00C33834">
        <w:rPr>
          <w:rStyle w:val="af0"/>
          <w:i w:val="0"/>
          <w:color w:val="000000" w:themeColor="text1"/>
          <w:sz w:val="16"/>
          <w:szCs w:val="16"/>
        </w:rPr>
        <w:t>Базилевич</w:t>
      </w:r>
    </w:p>
    <w:p w14:paraId="3A94939F" w14:textId="77777777" w:rsidR="00DC337E" w:rsidRPr="00C33834" w:rsidRDefault="00DC337E" w:rsidP="00C33834">
      <w:pPr>
        <w:pStyle w:val="ae"/>
        <w:spacing w:before="0" w:after="0"/>
        <w:jc w:val="both"/>
        <w:rPr>
          <w:color w:val="000000" w:themeColor="text1"/>
          <w:sz w:val="16"/>
          <w:szCs w:val="16"/>
        </w:rPr>
      </w:pPr>
      <w:r w:rsidRPr="00C33834">
        <w:rPr>
          <w:color w:val="000000" w:themeColor="text1"/>
          <w:sz w:val="16"/>
          <w:szCs w:val="16"/>
        </w:rPr>
        <w:t>ГА РФ. Ф. Р-8418. Оп. 28. Д. 1. Л. 131-132. Подлинник (15267).</w:t>
      </w:r>
    </w:p>
    <w:p w14:paraId="70F00BFB" w14:textId="77777777" w:rsidR="00DC337E" w:rsidRPr="00C33834" w:rsidRDefault="00DC337E" w:rsidP="00C33834">
      <w:pPr>
        <w:pStyle w:val="rtejustify"/>
        <w:spacing w:before="0" w:after="0"/>
        <w:rPr>
          <w:rStyle w:val="af0"/>
          <w:bCs/>
          <w:i w:val="0"/>
          <w:color w:val="000000" w:themeColor="text1"/>
          <w:sz w:val="16"/>
          <w:szCs w:val="16"/>
        </w:rPr>
      </w:pPr>
    </w:p>
    <w:p w14:paraId="4408987D" w14:textId="77777777" w:rsidR="00DC337E" w:rsidRPr="00C33834" w:rsidRDefault="00DC337E" w:rsidP="00C33834">
      <w:pPr>
        <w:pStyle w:val="rtejustify"/>
        <w:spacing w:before="0" w:after="0"/>
        <w:rPr>
          <w:color w:val="000000" w:themeColor="text1"/>
          <w:sz w:val="16"/>
          <w:szCs w:val="16"/>
        </w:rPr>
      </w:pPr>
      <w:r w:rsidRPr="00C33834">
        <w:rPr>
          <w:rStyle w:val="af0"/>
          <w:bCs/>
          <w:i w:val="0"/>
          <w:color w:val="000000" w:themeColor="text1"/>
          <w:sz w:val="16"/>
          <w:szCs w:val="16"/>
        </w:rPr>
        <w:t>27 апреля</w:t>
      </w:r>
      <w:r w:rsidRPr="00C33834">
        <w:rPr>
          <w:color w:val="000000" w:themeColor="text1"/>
          <w:sz w:val="16"/>
          <w:szCs w:val="16"/>
        </w:rPr>
        <w:t xml:space="preserve"> 1933. Постановление СТО СССР № 24с/о «О самолетных рациях». (ГА РФ. Ф. Р</w:t>
      </w:r>
      <w:r w:rsidRPr="00C33834">
        <w:rPr>
          <w:color w:val="000000" w:themeColor="text1"/>
          <w:sz w:val="16"/>
          <w:szCs w:val="16"/>
        </w:rPr>
        <w:noBreakHyphen/>
        <w:t>8418. Оп. 28. Д. 1. Л. 133</w:t>
      </w:r>
      <w:r w:rsidRPr="00C33834">
        <w:rPr>
          <w:color w:val="000000" w:themeColor="text1"/>
          <w:sz w:val="16"/>
          <w:szCs w:val="16"/>
        </w:rPr>
        <w:noBreakHyphen/>
        <w:t>134) (15460).</w:t>
      </w:r>
    </w:p>
    <w:p w14:paraId="18CEDA70" w14:textId="77777777" w:rsidR="00DC337E" w:rsidRPr="00C33834" w:rsidRDefault="00DC337E" w:rsidP="00C33834">
      <w:pPr>
        <w:pStyle w:val="rtejustify"/>
        <w:spacing w:before="0" w:after="0"/>
        <w:rPr>
          <w:color w:val="000000" w:themeColor="text1"/>
          <w:sz w:val="16"/>
          <w:szCs w:val="16"/>
        </w:rPr>
      </w:pPr>
    </w:p>
    <w:p w14:paraId="529ECB29"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апреля 1933 года постановление № 24сс/о СТО</w:t>
      </w:r>
    </w:p>
    <w:p w14:paraId="30E4C0E2"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самолетных рациях (7503, 20).</w:t>
      </w:r>
    </w:p>
    <w:p w14:paraId="52C86189"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6C52B0E4"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апреля 1933 вышло постановление СТО N 24сс/о "О самолетных рациях" (2282,25).</w:t>
      </w:r>
    </w:p>
    <w:p w14:paraId="3B58F8CA"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Отметили, что НКТП не выполнил постановление СТО от 5 апреля 1932 и постановление ЦК ВКП(б) от 5 июля 1932 самолетных и аэродромных радиостанциях (2282,26).</w:t>
      </w:r>
    </w:p>
    <w:p w14:paraId="5F4D2ED4"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2F0A65DD" w14:textId="77777777" w:rsidR="00DC337E" w:rsidRPr="00C33834" w:rsidRDefault="00DC337E" w:rsidP="00C33834">
      <w:pPr>
        <w:pStyle w:val="rtejustify"/>
        <w:spacing w:before="0" w:after="0"/>
        <w:rPr>
          <w:color w:val="000000" w:themeColor="text1"/>
          <w:sz w:val="16"/>
          <w:szCs w:val="16"/>
        </w:rPr>
      </w:pPr>
      <w:r w:rsidRPr="00C33834">
        <w:rPr>
          <w:rStyle w:val="af0"/>
          <w:bCs/>
          <w:i w:val="0"/>
          <w:color w:val="000000" w:themeColor="text1"/>
          <w:sz w:val="16"/>
          <w:szCs w:val="16"/>
        </w:rPr>
        <w:t>27 апреля</w:t>
      </w:r>
      <w:r w:rsidRPr="00C33834">
        <w:rPr>
          <w:color w:val="000000" w:themeColor="text1"/>
          <w:sz w:val="16"/>
          <w:szCs w:val="16"/>
        </w:rPr>
        <w:t xml:space="preserve"> 1933. Постановление СТО СССР № 25сс/о «О производстве разрезных крыльев». (ГА РФ. Ф. Р</w:t>
      </w:r>
      <w:r w:rsidRPr="00C33834">
        <w:rPr>
          <w:color w:val="000000" w:themeColor="text1"/>
          <w:sz w:val="16"/>
          <w:szCs w:val="16"/>
        </w:rPr>
        <w:noBreakHyphen/>
        <w:t>8418. Оп. 28. Д. 1. Л. 135) (15460).</w:t>
      </w:r>
    </w:p>
    <w:p w14:paraId="3CF2A9E0" w14:textId="77777777" w:rsidR="00DC337E" w:rsidRPr="00C33834" w:rsidRDefault="00DC337E" w:rsidP="00C33834">
      <w:pPr>
        <w:pStyle w:val="rtejustify"/>
        <w:spacing w:before="0" w:after="0"/>
        <w:rPr>
          <w:color w:val="000000" w:themeColor="text1"/>
          <w:sz w:val="16"/>
          <w:szCs w:val="16"/>
        </w:rPr>
      </w:pPr>
    </w:p>
    <w:p w14:paraId="446BC101"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апреля 1933 года постановление № 25сс/о СТО</w:t>
      </w:r>
    </w:p>
    <w:p w14:paraId="74D819E7"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производстве разрезных крыльев</w:t>
      </w:r>
    </w:p>
    <w:p w14:paraId="2166AB41"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 постановляет:</w:t>
      </w:r>
    </w:p>
    <w:p w14:paraId="7AC4ABA9" w14:textId="77777777" w:rsidR="003446BF" w:rsidRPr="00C33834" w:rsidRDefault="003446BF" w:rsidP="00C33834">
      <w:pPr>
        <w:numPr>
          <w:ilvl w:val="0"/>
          <w:numId w:val="18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ГУАП предъявить на госиспытание самолет Р-5 с мотором М-17 с разрезными крыльями не позднее 10 мая 1933 года.</w:t>
      </w:r>
    </w:p>
    <w:p w14:paraId="65FA646F" w14:textId="77777777" w:rsidR="003446BF" w:rsidRPr="00C33834" w:rsidRDefault="003446BF" w:rsidP="00C33834">
      <w:pPr>
        <w:numPr>
          <w:ilvl w:val="0"/>
          <w:numId w:val="18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УВВС закончить испытания не позже 15 июня 1933 года.</w:t>
      </w:r>
    </w:p>
    <w:p w14:paraId="51EBE1D8" w14:textId="77777777" w:rsidR="003446BF" w:rsidRPr="00C33834" w:rsidRDefault="003446BF" w:rsidP="00C33834">
      <w:pPr>
        <w:numPr>
          <w:ilvl w:val="0"/>
          <w:numId w:val="18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окончании испытаний ГУАП обязуется изготовлять для опытных образцов истребителей и разведчиков, одновременно с обычными крыльями, вторые комплекты разрезных крыльев.</w:t>
      </w:r>
    </w:p>
    <w:p w14:paraId="61440E68" w14:textId="77777777" w:rsidR="003446BF" w:rsidRPr="00C33834" w:rsidRDefault="003446BF" w:rsidP="00C33834">
      <w:pPr>
        <w:numPr>
          <w:ilvl w:val="0"/>
          <w:numId w:val="18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Закончить заводское испытание и передать для госиспытания в НИИ ВВС экспериментальный самолет конструкции Кричевского 1 октября 1933 года (7503, 22).</w:t>
      </w:r>
    </w:p>
    <w:p w14:paraId="0AE99E0D" w14:textId="77777777" w:rsidR="003446BF" w:rsidRPr="00C33834" w:rsidRDefault="003446BF" w:rsidP="00C33834">
      <w:pPr>
        <w:tabs>
          <w:tab w:val="left" w:pos="360"/>
        </w:tabs>
        <w:spacing w:after="0" w:line="240" w:lineRule="auto"/>
        <w:jc w:val="both"/>
        <w:rPr>
          <w:rFonts w:ascii="Times New Roman" w:hAnsi="Times New Roman"/>
          <w:color w:val="000000" w:themeColor="text1"/>
          <w:sz w:val="16"/>
          <w:szCs w:val="16"/>
        </w:rPr>
      </w:pPr>
    </w:p>
    <w:p w14:paraId="3F610C46"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апреля 1933 вышло постановление СТО N 25сс/о "О производстве разрезных крыльев" (2282,18).</w:t>
      </w:r>
    </w:p>
    <w:p w14:paraId="0920B213"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 постановляет:</w:t>
      </w:r>
    </w:p>
    <w:p w14:paraId="465C31CF"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Обязать ГУАП предъявить на гос. испытания самолет Р-5 с М-17 с разрезными крыльями не позднее 20 мая 1933.</w:t>
      </w:r>
    </w:p>
    <w:p w14:paraId="59EFA0CC"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ВВС закончить испытания не позже 15 июня 1933.</w:t>
      </w:r>
    </w:p>
    <w:p w14:paraId="58F8A0B4"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По окончании испытаний ГУАП обязуется изготовить для опытных образцов истребителей и разведчиков, одновременно с обычными крыльями, вторые комплекты разрезных крыльев.</w:t>
      </w:r>
    </w:p>
    <w:p w14:paraId="5539F720"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закончить заводское испытание и передать для гос. испытания в НИИ ВВС экспериментальный самолет конструкции Кричевского 1 октября 1933." (2282,18).</w:t>
      </w:r>
    </w:p>
    <w:p w14:paraId="2BCA6962"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0F399784" w14:textId="77777777" w:rsidR="00DC337E" w:rsidRPr="00C33834" w:rsidRDefault="00DC337E" w:rsidP="00C33834">
      <w:pPr>
        <w:pStyle w:val="rtejustify"/>
        <w:spacing w:before="0" w:after="0"/>
        <w:rPr>
          <w:color w:val="000000" w:themeColor="text1"/>
          <w:sz w:val="16"/>
          <w:szCs w:val="16"/>
        </w:rPr>
      </w:pPr>
      <w:r w:rsidRPr="00C33834">
        <w:rPr>
          <w:rStyle w:val="af0"/>
          <w:bCs/>
          <w:i w:val="0"/>
          <w:color w:val="000000" w:themeColor="text1"/>
          <w:sz w:val="16"/>
          <w:szCs w:val="16"/>
        </w:rPr>
        <w:t>27 апреля</w:t>
      </w:r>
      <w:r w:rsidRPr="00C33834">
        <w:rPr>
          <w:color w:val="000000" w:themeColor="text1"/>
          <w:sz w:val="16"/>
          <w:szCs w:val="16"/>
        </w:rPr>
        <w:t xml:space="preserve"> 1933. Постановление СТО СССР № 20сс/о «О механизации аэродромной службы ВВС РККА». (ГА РФ. Ф. Р</w:t>
      </w:r>
      <w:r w:rsidRPr="00C33834">
        <w:rPr>
          <w:color w:val="000000" w:themeColor="text1"/>
          <w:sz w:val="16"/>
          <w:szCs w:val="16"/>
        </w:rPr>
        <w:noBreakHyphen/>
        <w:t>8418. Оп. 28. Д. 1. Л. 125</w:t>
      </w:r>
      <w:r w:rsidRPr="00C33834">
        <w:rPr>
          <w:color w:val="000000" w:themeColor="text1"/>
          <w:sz w:val="16"/>
          <w:szCs w:val="16"/>
        </w:rPr>
        <w:noBreakHyphen/>
        <w:t>126) (15460).</w:t>
      </w:r>
    </w:p>
    <w:p w14:paraId="2F765E4C" w14:textId="77777777" w:rsidR="00DC337E" w:rsidRPr="00C33834" w:rsidRDefault="00DC337E" w:rsidP="00C33834">
      <w:pPr>
        <w:pStyle w:val="rtejustify"/>
        <w:spacing w:before="0" w:after="0"/>
        <w:rPr>
          <w:color w:val="000000" w:themeColor="text1"/>
          <w:sz w:val="16"/>
          <w:szCs w:val="16"/>
        </w:rPr>
      </w:pPr>
    </w:p>
    <w:p w14:paraId="6B0C5E0D" w14:textId="77777777" w:rsidR="00DC337E" w:rsidRPr="00C33834" w:rsidRDefault="00DC337E" w:rsidP="00C33834">
      <w:pPr>
        <w:pStyle w:val="rtejustify"/>
        <w:spacing w:before="0" w:after="0"/>
        <w:rPr>
          <w:color w:val="000000" w:themeColor="text1"/>
          <w:sz w:val="16"/>
          <w:szCs w:val="16"/>
        </w:rPr>
      </w:pPr>
      <w:r w:rsidRPr="00C33834">
        <w:rPr>
          <w:rStyle w:val="af0"/>
          <w:bCs/>
          <w:i w:val="0"/>
          <w:color w:val="000000" w:themeColor="text1"/>
          <w:sz w:val="16"/>
          <w:szCs w:val="16"/>
        </w:rPr>
        <w:t>27 апреля</w:t>
      </w:r>
      <w:r w:rsidRPr="00C33834">
        <w:rPr>
          <w:color w:val="000000" w:themeColor="text1"/>
          <w:sz w:val="16"/>
          <w:szCs w:val="16"/>
        </w:rPr>
        <w:t xml:space="preserve"> 1933. Постановление СТО СССР № 26сс/о «О строительстве и оборудовании завода 24 ГУАП». (ГА РФ. Ф. Р</w:t>
      </w:r>
      <w:r w:rsidRPr="00C33834">
        <w:rPr>
          <w:color w:val="000000" w:themeColor="text1"/>
          <w:sz w:val="16"/>
          <w:szCs w:val="16"/>
        </w:rPr>
        <w:noBreakHyphen/>
        <w:t>8418. Оп. 28. Д. 1. Л. 136</w:t>
      </w:r>
      <w:r w:rsidRPr="00C33834">
        <w:rPr>
          <w:color w:val="000000" w:themeColor="text1"/>
          <w:sz w:val="16"/>
          <w:szCs w:val="16"/>
        </w:rPr>
        <w:noBreakHyphen/>
        <w:t>137) (15460).</w:t>
      </w:r>
    </w:p>
    <w:p w14:paraId="54810DC2" w14:textId="77777777" w:rsidR="00DC337E" w:rsidRPr="00C33834" w:rsidRDefault="00DC337E" w:rsidP="00C33834">
      <w:pPr>
        <w:pStyle w:val="rtejustify"/>
        <w:spacing w:before="0" w:after="0"/>
        <w:rPr>
          <w:color w:val="000000" w:themeColor="text1"/>
          <w:sz w:val="16"/>
          <w:szCs w:val="16"/>
        </w:rPr>
      </w:pPr>
    </w:p>
    <w:p w14:paraId="75F9C130"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апреля 933 года вышло Постановление N 26сс/о СТО О строительстве и оборудовании завода N 24 (4012,3).</w:t>
      </w:r>
    </w:p>
    <w:p w14:paraId="097535FE"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70A505F2"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апреля 1933 года постановление № 26сс/о СТО</w:t>
      </w:r>
    </w:p>
    <w:p w14:paraId="05E2095B"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строительстве и оборудовании завода № 24 ГУАПа</w:t>
      </w:r>
    </w:p>
    <w:p w14:paraId="4B8DA606"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 постановляет:</w:t>
      </w:r>
    </w:p>
    <w:p w14:paraId="14271657" w14:textId="77777777" w:rsidR="003446BF" w:rsidRPr="00C33834" w:rsidRDefault="003446BF" w:rsidP="00C33834">
      <w:pPr>
        <w:numPr>
          <w:ilvl w:val="0"/>
          <w:numId w:val="19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Строительство и оборудование завода № 24 форсировать, в связи с чем закончить строительство и оборудование к 1 июля 1934 года – на мощность в 8000 моторов и к 1 июля 1935 года – на полную мощность, т.е. на 15000 моторов.</w:t>
      </w:r>
    </w:p>
    <w:p w14:paraId="3A90B922"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……………………………….(7503, 23).</w:t>
      </w:r>
    </w:p>
    <w:p w14:paraId="5D1B29A9"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761A3034"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апреля 1933 было принято решение Политбюро ЦК ВКП(б) о строительстве нового ЦАГИ в Раменском (237,166) - интересно, в каком из постановлений СТО.</w:t>
      </w:r>
    </w:p>
    <w:p w14:paraId="65B825BD"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648C9E65"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27 апреля 1933 пом. нач. ГУАП Алмазов письмом N 257/234 сс Нач. Штаба РККА Егорову представил план опытного строительства по моторам и самолетам (1925,76), а 28 - то же - в ЦАГИ (утвержденный П.И.Барановым) (1025,77).</w:t>
      </w:r>
    </w:p>
    <w:p w14:paraId="01A587A0"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4650AD10" w14:textId="77777777" w:rsidR="00DC337E" w:rsidRPr="00C33834" w:rsidRDefault="00DC33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апреля в 1933 году постановлением Совета труда и обороны СССР был организован Центральный институт авиационных топлив и масел (с 1954 г. Всесоюзный НИИ по переработке нефти и газа и получению искусственного жидкого топлива (ВНИИНП; с 26 марта 1966 г. Всесоюзный НИИ по переработке нефти). Ныне ОАО «Всероссийский НИИ по переработке нефти» (15112).</w:t>
      </w:r>
    </w:p>
    <w:p w14:paraId="200C1189" w14:textId="77777777" w:rsidR="00DC337E" w:rsidRPr="00C33834" w:rsidRDefault="00DC337E" w:rsidP="00C33834">
      <w:pPr>
        <w:spacing w:after="0" w:line="240" w:lineRule="auto"/>
        <w:jc w:val="both"/>
        <w:rPr>
          <w:rFonts w:ascii="Times New Roman" w:hAnsi="Times New Roman"/>
          <w:color w:val="000000" w:themeColor="text1"/>
          <w:sz w:val="16"/>
          <w:szCs w:val="16"/>
        </w:rPr>
      </w:pPr>
    </w:p>
    <w:p w14:paraId="0A098818" w14:textId="77777777" w:rsidR="00DC337E" w:rsidRPr="00C33834" w:rsidRDefault="00DC33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апреля 1933 г. Постановлением СТО № 381 и Постановлением НКТП СССР № 316 от 11 мая 1933 г. в системе Главнефти был учрежден Государственный союзный трест авиационных топлив и масел «Авиатоп». Управляющим трестом был назначен бывший управляющий трестом «Нефтезаводстрой» С.Н. Батулин. В 1934 г. в состав «Авиатопа» входило 8 заводов, все они были размещены вне Кавказа. Самым крупным (по выработке продукции) был Константиновский завод им. Менделеева в Ярославле, затем шли - по убывающей - «Нефтегаз № 1» в Москве, завод им. 26 коммунаров в Горьком, 4-й крекинг-завод в Саратове, заводы: им. Кошкина в Москве, им. Шаумяна в Ленинграде, «Нефтегаз № 2» в Горьком и «Химгаз» в Ленинграде. Кроме того, в трест входил Центральный институт авиационного топлива и масел (11232).</w:t>
      </w:r>
    </w:p>
    <w:p w14:paraId="2AB6B399" w14:textId="77777777" w:rsidR="00DC337E" w:rsidRPr="00C33834" w:rsidRDefault="00DC337E" w:rsidP="00C33834">
      <w:pPr>
        <w:spacing w:after="0" w:line="240" w:lineRule="auto"/>
        <w:jc w:val="both"/>
        <w:rPr>
          <w:rFonts w:ascii="Times New Roman" w:hAnsi="Times New Roman"/>
          <w:color w:val="000000" w:themeColor="text1"/>
          <w:sz w:val="16"/>
          <w:szCs w:val="16"/>
        </w:rPr>
      </w:pPr>
    </w:p>
    <w:p w14:paraId="3E14B4DF"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апреля 1933 г. постановлением Совета Труда и Обороны СССР был создан Центральный научно-исследовательский институт авиационных топлив и масел (ЦИАТИМ). Приказом Наркомата тяжелой промышленности СССР от 25 июня 1934 г. институту переданы лаборатории смазок и масел ликвидированного Государственного исследовательского нефтяного института (ГИНИ) (1924 - 1934). В 1941 - 1945 гг. находился в эвакуации в г. Уфе, где распоряжением Совета Народных Комиссаров СССР от 2 декабря 1941 г. был объединен с Государственным научно-исследовательским химическим институтом высоких давлений (ГИВД). Приказом Министерства нефтяной промышленности СССР от 15 ноября 1954 г. ЦИАТИМ был объединен с ВНИГИ и ВНИИТнефть (12102).</w:t>
      </w:r>
    </w:p>
    <w:p w14:paraId="3B6BA302" w14:textId="77777777" w:rsidR="00DC337E" w:rsidRPr="00C33834" w:rsidRDefault="00DC337E" w:rsidP="00C33834">
      <w:pPr>
        <w:spacing w:after="0" w:line="240" w:lineRule="auto"/>
        <w:jc w:val="both"/>
        <w:rPr>
          <w:rFonts w:ascii="Times New Roman" w:hAnsi="Times New Roman"/>
          <w:color w:val="000000" w:themeColor="text1"/>
          <w:sz w:val="16"/>
          <w:szCs w:val="16"/>
        </w:rPr>
      </w:pPr>
    </w:p>
    <w:p w14:paraId="2B594EF5"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апреля 1933 состоялся первый полет дирижабля СССР В-5 (233,166). Не первый, тот был 10 февраля 1933, а длительный - под управлением И.Д.Обожзинского (438,630).</w:t>
      </w:r>
    </w:p>
    <w:p w14:paraId="1C36CE92"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7D9F680A"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апреля 1933 года состоялся первый полет дирижабля В-5 продолжительностью 1 час 15 минут. Дирижабль имел небольшой объем, всего 2340 куб. м. Малые размеры В-5 объяснялись тем, что он задумывался как опытный образец полужесткого дирижабля, предназначенный для практического ознакомления советских специалистов с итальянской полужесткой системой и выявления трудностей, которые могли встретиться при постройке дирижабля значительно большей кубатуры. На нем также предполагалось проводить обучение пилотов и наземного персонала для приобретения опыта эксплуатации и обслуживания полужесткого дирижабля (10731).</w:t>
      </w:r>
    </w:p>
    <w:p w14:paraId="67673FE4"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7F0AFC32" w14:textId="77777777" w:rsidR="00DC337E" w:rsidRPr="00C33834" w:rsidRDefault="00DC33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апреля 1933 г. Руководство Дирижаблестроя сообщало в рапорте на имя И.В. Сталина, А.А. Андреева, В.М. Молотова, Р.П. Эйдемана сообщало: «27 апреля 1933 г. первый советский учебный полужесткий дирижабль кубатурой 2100 м3 под управлением пилота Ободзинского совершил первый испытательный полет продолжительностью 1 час 15 минут, показав хорошие управляемость, устойчивость и маневренность» [4, л. 163]. Это сообщение передала также радиограмма № 158 Радиостанции Дирижаблестроя [4, л. 164]. Строительство В-5 обошлось более чем в 3 раза дороже предполагаемой суммы затрат (не 138,6, а 454,65 тыс. руб.) [8, л.12-15]. В 1933 г. В-5 совершил 76 полетов, [8, л. 16], в 1934 г.– 40 полетов [14, л. 24 27]. В-5 участвовал в параде физкультурников 12 июня 1933 г., пролетев в 15 часов 45 минут вместе с дирижаблем В-3 над Красной площадью [4, л.244]. В 1934 г. из-за непригодности В-5 к дальнейшей эксплуатации по решению технической комиссии [14, л. 9]  он был разоружен [14, л. 74] и помещен в деревянный эллинг, где и сгорел во время пожара 16 августа 1934 г. (15797)</w:t>
      </w:r>
    </w:p>
    <w:p w14:paraId="6379F95B" w14:textId="77777777" w:rsidR="00DC337E" w:rsidRPr="00C33834" w:rsidRDefault="00DC337E" w:rsidP="00C33834">
      <w:pPr>
        <w:spacing w:after="0" w:line="240" w:lineRule="auto"/>
        <w:jc w:val="both"/>
        <w:rPr>
          <w:rFonts w:ascii="Times New Roman" w:hAnsi="Times New Roman"/>
          <w:color w:val="000000" w:themeColor="text1"/>
          <w:sz w:val="16"/>
          <w:szCs w:val="16"/>
        </w:rPr>
      </w:pPr>
    </w:p>
    <w:p w14:paraId="2942D2FA" w14:textId="77777777" w:rsidR="00EC70B3" w:rsidRPr="00C33834" w:rsidRDefault="00EC70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27 апреля 1933 г. состоялся первый полёт ДП-3 продолжительностью 1 ч 15 мин. До 20 мая «СССР В-5» выполнил пять заводских испы</w:t>
      </w:r>
      <w:r w:rsidRPr="00C33834">
        <w:rPr>
          <w:rFonts w:ascii="Times New Roman" w:hAnsi="Times New Roman"/>
          <w:color w:val="0070C0"/>
          <w:sz w:val="16"/>
          <w:szCs w:val="16"/>
        </w:rPr>
        <w:softHyphen/>
        <w:t>тательных полётов, в ходе которых устранили обнаружившиеся незначительные неполадки и недоделки в конструкции дирижабля. После успешного завершения государственных испы</w:t>
      </w:r>
      <w:r w:rsidRPr="00C33834">
        <w:rPr>
          <w:rFonts w:ascii="Times New Roman" w:hAnsi="Times New Roman"/>
          <w:color w:val="0070C0"/>
          <w:sz w:val="16"/>
          <w:szCs w:val="16"/>
        </w:rPr>
        <w:softHyphen/>
        <w:t>таний «СССР В-5» приняли на эксплуатацию в ГВФ.</w:t>
      </w:r>
    </w:p>
    <w:p w14:paraId="03A478DF" w14:textId="77777777" w:rsidR="00EC70B3" w:rsidRPr="00C33834" w:rsidRDefault="00EC70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1933 г. «СССР В-5» выполнил более 100 полётов, показавших, что он обладал хо</w:t>
      </w:r>
      <w:r w:rsidRPr="00C33834">
        <w:rPr>
          <w:rFonts w:ascii="Times New Roman" w:hAnsi="Times New Roman"/>
          <w:color w:val="0070C0"/>
          <w:sz w:val="16"/>
          <w:szCs w:val="16"/>
        </w:rPr>
        <w:softHyphen/>
        <w:t>рошей устойчивостью и управляемостью при самых разных метеорологических условиях. Однако оболочка дирижабля, собиравшегося в зимних условиях, быстро потеряла газоне</w:t>
      </w:r>
      <w:r w:rsidRPr="00C33834">
        <w:rPr>
          <w:rFonts w:ascii="Times New Roman" w:hAnsi="Times New Roman"/>
          <w:color w:val="0070C0"/>
          <w:sz w:val="16"/>
          <w:szCs w:val="16"/>
        </w:rPr>
        <w:softHyphen/>
        <w:t>проницаемость. Уже в ноябре 1933 г., ввиду большой диффузии газа и быстрого падения его чистоты, на подполнение дирижабля израс</w:t>
      </w:r>
      <w:r w:rsidRPr="00C33834">
        <w:rPr>
          <w:rFonts w:ascii="Times New Roman" w:hAnsi="Times New Roman"/>
          <w:color w:val="0070C0"/>
          <w:sz w:val="16"/>
          <w:szCs w:val="16"/>
        </w:rPr>
        <w:softHyphen/>
        <w:t>ходовали в общей сложности 4905 м3 водорода (почти два объёма оболочки). По предложению У. Нобиле оболочку покрыли газонепроница</w:t>
      </w:r>
      <w:r w:rsidRPr="00C33834">
        <w:rPr>
          <w:rFonts w:ascii="Times New Roman" w:hAnsi="Times New Roman"/>
          <w:color w:val="0070C0"/>
          <w:sz w:val="16"/>
          <w:szCs w:val="16"/>
        </w:rPr>
        <w:softHyphen/>
        <w:t>емым лаком, что продлило время эксплуата</w:t>
      </w:r>
      <w:r w:rsidRPr="00C33834">
        <w:rPr>
          <w:rFonts w:ascii="Times New Roman" w:hAnsi="Times New Roman"/>
          <w:color w:val="0070C0"/>
          <w:sz w:val="16"/>
          <w:szCs w:val="16"/>
        </w:rPr>
        <w:softHyphen/>
        <w:t>ции дирижабля. В 1934 г. дирижабль находился в воздухе 44 часа (20120).</w:t>
      </w:r>
    </w:p>
    <w:p w14:paraId="57BDB164" w14:textId="77777777" w:rsidR="00EC70B3" w:rsidRPr="00C33834" w:rsidRDefault="00EC70B3" w:rsidP="00C33834">
      <w:pPr>
        <w:spacing w:after="0" w:line="240" w:lineRule="auto"/>
        <w:jc w:val="both"/>
        <w:rPr>
          <w:rFonts w:ascii="Times New Roman" w:hAnsi="Times New Roman"/>
          <w:color w:val="0070C0"/>
          <w:sz w:val="16"/>
          <w:szCs w:val="16"/>
        </w:rPr>
      </w:pPr>
    </w:p>
    <w:p w14:paraId="28352641" w14:textId="77777777" w:rsidR="00EC70B3" w:rsidRPr="00C33834" w:rsidRDefault="00EC70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 xml:space="preserve">27 апреля 1933 года первый советский полужёсткий дирижабль, собранный на Долгопрудной, получил опознавательный знак «СССР-В5» и поднялся в небо. Фотографии обнаруживают его внешнее сходство с итальянским кораблём </w:t>
      </w:r>
      <w:r w:rsidRPr="00C33834">
        <w:rPr>
          <w:rFonts w:ascii="Times New Roman" w:hAnsi="Times New Roman"/>
          <w:color w:val="0070C0"/>
          <w:sz w:val="16"/>
          <w:szCs w:val="16"/>
          <w:lang w:val="en-US" w:bidi="en-US"/>
        </w:rPr>
        <w:t>Mr</w:t>
      </w:r>
      <w:r w:rsidRPr="00C33834">
        <w:rPr>
          <w:rFonts w:ascii="Times New Roman" w:hAnsi="Times New Roman"/>
          <w:color w:val="0070C0"/>
          <w:sz w:val="16"/>
          <w:szCs w:val="16"/>
          <w:lang w:bidi="en-US"/>
        </w:rPr>
        <w:t xml:space="preserve"> </w:t>
      </w:r>
      <w:r w:rsidRPr="00C33834">
        <w:rPr>
          <w:rFonts w:ascii="Times New Roman" w:hAnsi="Times New Roman"/>
          <w:color w:val="0070C0"/>
          <w:sz w:val="16"/>
          <w:szCs w:val="16"/>
          <w:lang w:eastAsia="ru-RU" w:bidi="ru-RU"/>
        </w:rPr>
        <w:t xml:space="preserve">объёмом около 1 тыс. кубометров, который выпустили на заводе </w:t>
      </w:r>
      <w:r w:rsidRPr="00C33834">
        <w:rPr>
          <w:rFonts w:ascii="Times New Roman" w:hAnsi="Times New Roman"/>
          <w:color w:val="0070C0"/>
          <w:sz w:val="16"/>
          <w:szCs w:val="16"/>
          <w:lang w:val="en-US" w:bidi="en-US"/>
        </w:rPr>
        <w:t>SCA</w:t>
      </w:r>
      <w:r w:rsidRPr="00C33834">
        <w:rPr>
          <w:rFonts w:ascii="Times New Roman" w:hAnsi="Times New Roman"/>
          <w:color w:val="0070C0"/>
          <w:sz w:val="16"/>
          <w:szCs w:val="16"/>
          <w:lang w:bidi="en-US"/>
        </w:rPr>
        <w:t xml:space="preserve"> </w:t>
      </w:r>
      <w:r w:rsidRPr="00C33834">
        <w:rPr>
          <w:rFonts w:ascii="Times New Roman" w:hAnsi="Times New Roman"/>
          <w:color w:val="0070C0"/>
          <w:sz w:val="16"/>
          <w:szCs w:val="16"/>
          <w:lang w:eastAsia="ru-RU" w:bidi="ru-RU"/>
        </w:rPr>
        <w:t xml:space="preserve">в 1924 году, - он и по сей день остаётся самым маленьким полужёстким дирижаблем в мире и одним из самых миниатюрных дирижаблей вообще. Не исключено, что именно </w:t>
      </w:r>
      <w:r w:rsidRPr="00C33834">
        <w:rPr>
          <w:rFonts w:ascii="Times New Roman" w:hAnsi="Times New Roman"/>
          <w:color w:val="0070C0"/>
          <w:sz w:val="16"/>
          <w:szCs w:val="16"/>
          <w:lang w:val="en-US" w:bidi="en-US"/>
        </w:rPr>
        <w:t>Mr</w:t>
      </w:r>
      <w:r w:rsidRPr="00C33834">
        <w:rPr>
          <w:rFonts w:ascii="Times New Roman" w:hAnsi="Times New Roman"/>
          <w:color w:val="0070C0"/>
          <w:sz w:val="16"/>
          <w:szCs w:val="16"/>
          <w:lang w:bidi="en-US"/>
        </w:rPr>
        <w:t xml:space="preserve"> </w:t>
      </w:r>
      <w:r w:rsidRPr="00C33834">
        <w:rPr>
          <w:rFonts w:ascii="Times New Roman" w:hAnsi="Times New Roman"/>
          <w:color w:val="0070C0"/>
          <w:sz w:val="16"/>
          <w:szCs w:val="16"/>
          <w:lang w:eastAsia="ru-RU" w:bidi="ru-RU"/>
        </w:rPr>
        <w:t>послужил отправной точкой для проекта «В5», хотя в их конструкциях имелись заметные различия.</w:t>
      </w:r>
    </w:p>
    <w:p w14:paraId="1A0960A9" w14:textId="77777777" w:rsidR="00EC70B3" w:rsidRPr="00C33834" w:rsidRDefault="00EC70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Долгопрудненский «карлик» не только увеличился в размерах и потребовал для постройки намного больше времени, чем ожидалось. Самым неприятным сюрпризом стало значительное превышение сметы: первоначально на создание «СССР-В5» отпускали не больше 250 тыс. рублей, тогда как фактические затраты составили около 830 тыс.</w:t>
      </w:r>
    </w:p>
    <w:p w14:paraId="74CDED16" w14:textId="77777777" w:rsidR="00EC70B3" w:rsidRPr="00C33834" w:rsidRDefault="00EC70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Более чем трёхкратный рост затрат на «СССР-В5» произвёл сильное впечатление. Этот факт привлёк внимание не только руководства Аэрофлота, но и контрольных органов - начальник Дирижаблестроя Илья Фельдман, который в ноябре 1932 года сменил на этом посту Пурмаля, вынужден был давать объяснения в Наркомфине (23192).</w:t>
      </w:r>
    </w:p>
    <w:p w14:paraId="1B0D5FF4" w14:textId="77777777" w:rsidR="00EC70B3" w:rsidRPr="00C33834" w:rsidRDefault="00EC70B3" w:rsidP="00C33834">
      <w:pPr>
        <w:spacing w:after="0" w:line="240" w:lineRule="auto"/>
        <w:jc w:val="both"/>
        <w:rPr>
          <w:rFonts w:ascii="Times New Roman" w:hAnsi="Times New Roman"/>
          <w:color w:val="0070C0"/>
          <w:sz w:val="16"/>
          <w:szCs w:val="16"/>
        </w:rPr>
      </w:pPr>
    </w:p>
    <w:p w14:paraId="1C1DC147" w14:textId="77777777" w:rsidR="00EC70B3" w:rsidRPr="00C33834" w:rsidRDefault="00EC70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27 апреля 1933) С.П.Королев писла письмо начальнику Сектора авиапромышленности и авиации ОСОАВИАХИМ т. Раскину (№ 98с от 27.04.33) и 19 июля 1933 - начальником авиации ЦС ОСОАВИАХИМ т. Гельферу (№ 170с от 9.07.33) о работе по снарядуракете тт. Штерн и Разумова (оба из ЛенГИРД). Они разработали оригинальный ротативный ЖРД. Королев требует: «Снаряд разработан в рабочих чертежах и начался монтаж. Согласно договору с ОСОАВИАХИМ, требую сумму 5000 руб. на завершение проекта» (ГА РФ. Фонд Р-8355. Оп. 1. Д. № 374. Л. 20, 38.). Деньги перечислили, но до объекта они дошли не сразу, и весь июль 1933 г. идут отписки ученого секретаря Постоянного военно-научного Совещания (Комитета - по другим документам) ОСОАВИАХИМ Ленинградской области т. Шорина, что деньги еще не получены (№ 5/У11/2 от 2.07.33 и № 5/УП/5 от 5.07.33)1 С деньгами в Ленинградской ГИРД так же плохо, как и в Московской. Ракете Разумова-Штерна еще повезло, она была доработана до стадии монтажа. (22685).</w:t>
      </w:r>
    </w:p>
    <w:p w14:paraId="3C8C76E4" w14:textId="77777777" w:rsidR="00EC70B3" w:rsidRPr="00C33834" w:rsidRDefault="00EC70B3" w:rsidP="00C33834">
      <w:pPr>
        <w:spacing w:after="0" w:line="240" w:lineRule="auto"/>
        <w:jc w:val="both"/>
        <w:rPr>
          <w:rFonts w:ascii="Times New Roman" w:hAnsi="Times New Roman"/>
          <w:color w:val="0070C0"/>
          <w:sz w:val="16"/>
          <w:szCs w:val="16"/>
        </w:rPr>
      </w:pPr>
    </w:p>
    <w:p w14:paraId="5960072D" w14:textId="77777777" w:rsidR="00DC337E" w:rsidRPr="00C33834" w:rsidRDefault="00DC337E"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27-28 апреля 1933 г. в ГДЛ состоялась научная конференция по реактивным снарядам, с привлечением крупных специалистов, где были подвергнуты всестороннему обсуждению вопросы реактивного движения и полета. Б.С.Петропавловский на ней сделал доклад на тему: «Основные вопросы реактивного движения и применения ракет в военном деле», в котором говорил, что «современная артиллерия исчерпала техническую возможность в смысле решительного увеличения своего могущества». В дальнейшем развитие артиллерии должно идти по пути использования реактивного принципа создания реактивной артиллерии.</w:t>
      </w:r>
    </w:p>
    <w:p w14:paraId="5400317F" w14:textId="77777777" w:rsidR="00DC337E" w:rsidRPr="00C33834" w:rsidRDefault="00DC337E"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Благодаря самоотверженному труду Б.С.Петропавловского и других сотрудников ГДЛ к моменту организации Реактивного института и слияния Лаборатории с МосГИРД'ом, организация имела следующие достижения:</w:t>
      </w:r>
    </w:p>
    <w:p w14:paraId="2677C169" w14:textId="77777777" w:rsidR="00DC337E" w:rsidRPr="00C33834" w:rsidRDefault="00DC337E"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отдел. Несмотря на довольно короткий срок работы над PC - четыре года, к концу 1933 г. была завершена основная доводка ряда реактивных снарядов, принято на вооружение 9 типов снарядов.</w:t>
      </w:r>
    </w:p>
    <w:p w14:paraId="5B439EAD" w14:textId="77777777" w:rsidR="00DC337E" w:rsidRPr="00C33834" w:rsidRDefault="00DC337E"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Второй отдел. За время работы с 1929 г. по 1933 г. теоретически и экспериментально доказана принципиальная работоспособность первого в мире электрического ракетного двигателя электротермического типа, использующего и качестве рабочего тела твердые или жидкие проводники, изрываемые электрическим током в камере с соплом. В 1930 - 1931 гг. были разработаны, изготовлены и испытаны парные и СССР ЖРД - ОРМ (опытный ракетный мотор). В 1932 г. были разработаны конструкции экспериментальных двигателей от ОРМ-4 до ОРМ-22 для изыскания типа зажигания, метода запуска и систем смешения компонентов при испытании на различных топливах (окислители жидкий кислород, азотный тетроксид, азотная кислота, растворы азотного тетроксида в азотной кислоте; горючее - бензин, бензол, толуол, керосин). В 1933 г. были разработаны и испытаны на стенде двигатели от ОРМ-23 до ОРМ-52. Опытные двигатели ОРМ-50 с тягой 150 кг и ОРМ-52 с тягой 300 кг прошли в 1933 г. официальные стендовые испытания.</w:t>
      </w:r>
    </w:p>
    <w:p w14:paraId="4C2B4244" w14:textId="77777777" w:rsidR="00DC337E" w:rsidRPr="00C33834" w:rsidRDefault="00DC337E"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Третий отдел. В период с 1930 по 1933 гг. отдел практически разрешил проблему реактивного разгона самолетов с помощью твердотопливных реактивных двигателей. Первоначальная опытная работа проводились с самолетом У-1. К концу 1931 г. были получены положительные результаты, после чего начались аналогичные работы на самолете ТБ-1. 14 октября 1933 г. с удовлетворительным результатом были проведены государственные испытания этого самолета: применение стартовых ракет сократило разбег самолета на 77% при стартовом весе 8 т. В 1933 г. были начаты работы по ракетному старту самолета ТБ-3 со стартовым весом 20 т. В статье «Старт и торможение самолета с помощью ракет» автор, бывший руководитель третьего отдела ГДЛ - В.И.Дудаков33, писал: «В отношении же устройства и </w:t>
      </w:r>
      <w:r w:rsidRPr="00C33834">
        <w:rPr>
          <w:rFonts w:ascii="Times New Roman" w:hAnsi="Times New Roman"/>
          <w:color w:val="000000" w:themeColor="text1"/>
          <w:sz w:val="16"/>
          <w:szCs w:val="16"/>
        </w:rPr>
        <w:lastRenderedPageBreak/>
        <w:t xml:space="preserve">расчета </w:t>
      </w:r>
      <w:r w:rsidRPr="00C33834">
        <w:rPr>
          <w:rStyle w:val="highlight"/>
          <w:rFonts w:ascii="Times New Roman" w:hAnsi="Times New Roman"/>
          <w:color w:val="000000" w:themeColor="text1"/>
          <w:sz w:val="16"/>
          <w:szCs w:val="16"/>
        </w:rPr>
        <w:t> пороховых </w:t>
      </w:r>
      <w:r w:rsidRPr="00C33834">
        <w:rPr>
          <w:rFonts w:ascii="Times New Roman" w:hAnsi="Times New Roman"/>
          <w:color w:val="000000" w:themeColor="text1"/>
          <w:sz w:val="16"/>
          <w:szCs w:val="16"/>
        </w:rPr>
        <w:t xml:space="preserve"> ракет отсыпаем читателя к книге Г.Э.Лангемака «Проектирование ракетных снарядов и тяжелых ракет», издание Артиллерийской академии, г. Ленинград, 1934 г.» Этот факт свидетельствует о том, что стартовые ракеты проектировались с участием первого отдела ГДЛ.</w:t>
      </w:r>
    </w:p>
    <w:p w14:paraId="329A085D" w14:textId="77777777" w:rsidR="00DC337E" w:rsidRPr="00C33834" w:rsidRDefault="00DC337E"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Пятый отдел на протяжении всего существования ГДЛ (ленинградский период) обеспечивал потребности лаборатории в порохе нужной формы и состава. Отдел отрабатывал также технологию изготовления пороха, и эта технология внедрялась на серийных </w:t>
      </w:r>
      <w:r w:rsidRPr="00C33834">
        <w:rPr>
          <w:rStyle w:val="highlight"/>
          <w:rFonts w:ascii="Times New Roman" w:hAnsi="Times New Roman"/>
          <w:color w:val="000000" w:themeColor="text1"/>
          <w:sz w:val="16"/>
          <w:szCs w:val="16"/>
        </w:rPr>
        <w:t> пороховых </w:t>
      </w:r>
      <w:r w:rsidRPr="00C33834">
        <w:rPr>
          <w:rFonts w:ascii="Times New Roman" w:hAnsi="Times New Roman"/>
          <w:color w:val="000000" w:themeColor="text1"/>
          <w:sz w:val="16"/>
          <w:szCs w:val="16"/>
        </w:rPr>
        <w:t xml:space="preserve"> заводах. В 1932 г. предполагалось довести производство пороха в лаборатории до 12 т в год (15252).</w:t>
      </w:r>
    </w:p>
    <w:p w14:paraId="5A3FB392" w14:textId="77777777" w:rsidR="00DC337E" w:rsidRPr="00C33834" w:rsidRDefault="00DC337E" w:rsidP="00C33834">
      <w:pPr>
        <w:shd w:val="clear" w:color="auto" w:fill="FFFFFF"/>
        <w:spacing w:after="0" w:line="240" w:lineRule="auto"/>
        <w:jc w:val="both"/>
        <w:rPr>
          <w:rFonts w:ascii="Times New Roman" w:hAnsi="Times New Roman"/>
          <w:color w:val="000000" w:themeColor="text1"/>
          <w:sz w:val="16"/>
          <w:szCs w:val="16"/>
        </w:rPr>
      </w:pPr>
    </w:p>
    <w:p w14:paraId="58D8D56F" w14:textId="77777777" w:rsidR="003446BF"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180E4A9" w14:textId="77777777" w:rsidR="003446BF" w:rsidRPr="00C33834" w:rsidRDefault="003446BF" w:rsidP="00C33834">
      <w:pPr>
        <w:spacing w:after="0" w:line="240" w:lineRule="auto"/>
        <w:jc w:val="both"/>
        <w:rPr>
          <w:rFonts w:ascii="Times New Roman" w:hAnsi="Times New Roman"/>
          <w:iCs/>
          <w:color w:val="000000" w:themeColor="text1"/>
          <w:sz w:val="16"/>
          <w:szCs w:val="16"/>
        </w:rPr>
      </w:pPr>
    </w:p>
    <w:p w14:paraId="18D0D900" w14:textId="77777777" w:rsidR="00DC337E" w:rsidRPr="00C33834" w:rsidRDefault="00DC337E" w:rsidP="00C33834">
      <w:pPr>
        <w:pStyle w:val="rtejustify"/>
        <w:spacing w:before="0" w:after="0"/>
        <w:rPr>
          <w:color w:val="000000" w:themeColor="text1"/>
          <w:sz w:val="16"/>
          <w:szCs w:val="16"/>
        </w:rPr>
      </w:pPr>
      <w:r w:rsidRPr="00C33834">
        <w:rPr>
          <w:rStyle w:val="af0"/>
          <w:bCs/>
          <w:i w:val="0"/>
          <w:color w:val="000000" w:themeColor="text1"/>
          <w:sz w:val="16"/>
          <w:szCs w:val="16"/>
        </w:rPr>
        <w:t>27 апреля</w:t>
      </w:r>
      <w:r w:rsidRPr="00C33834">
        <w:rPr>
          <w:color w:val="000000" w:themeColor="text1"/>
          <w:sz w:val="16"/>
          <w:szCs w:val="16"/>
        </w:rPr>
        <w:t xml:space="preserve"> 1933. Постановление СНК СССР № 848 «О порядке контроля, осуществляемого банками долгосрочных вложений при финансировании капитального строительства». (</w:t>
      </w:r>
      <w:hyperlink r:id="rId135" w:history="1">
        <w:r w:rsidRPr="00C33834">
          <w:rPr>
            <w:rStyle w:val="a5"/>
            <w:color w:val="000000" w:themeColor="text1"/>
            <w:sz w:val="16"/>
            <w:szCs w:val="16"/>
          </w:rPr>
          <w:t>СЗ. 1933 № 28. Ст. 169</w:t>
        </w:r>
      </w:hyperlink>
      <w:r w:rsidRPr="00C33834">
        <w:rPr>
          <w:color w:val="000000" w:themeColor="text1"/>
          <w:sz w:val="16"/>
          <w:szCs w:val="16"/>
        </w:rPr>
        <w:t>) (15460).</w:t>
      </w:r>
    </w:p>
    <w:p w14:paraId="1F2191EB" w14:textId="77777777" w:rsidR="00DC337E" w:rsidRPr="00C33834" w:rsidRDefault="00DC337E" w:rsidP="00C33834">
      <w:pPr>
        <w:pStyle w:val="rtejustify"/>
        <w:spacing w:before="0" w:after="0"/>
        <w:rPr>
          <w:color w:val="000000" w:themeColor="text1"/>
          <w:sz w:val="16"/>
          <w:szCs w:val="16"/>
        </w:rPr>
      </w:pPr>
    </w:p>
    <w:p w14:paraId="65E7B1B2"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апреля 1933 г. Докладная записка заведующего Организационно-распределительным отделом ЦК ВКП(б) Н. И. Ежова в ЦК ВКП(б) и СНК СССР о неудовлетворительном состоянии мобилизационных планов по кадрам военной промышленности</w:t>
      </w:r>
    </w:p>
    <w:p w14:paraId="0498E4E4" w14:textId="77777777" w:rsidR="006967A7" w:rsidRPr="00C33834" w:rsidRDefault="006967A7" w:rsidP="00C33834">
      <w:pPr>
        <w:pStyle w:val="ae"/>
        <w:spacing w:before="0" w:after="0"/>
        <w:jc w:val="both"/>
        <w:rPr>
          <w:color w:val="000000" w:themeColor="text1"/>
          <w:sz w:val="16"/>
          <w:szCs w:val="16"/>
        </w:rPr>
      </w:pPr>
      <w:r w:rsidRPr="00C33834">
        <w:rPr>
          <w:rStyle w:val="af0"/>
          <w:i w:val="0"/>
          <w:color w:val="000000" w:themeColor="text1"/>
          <w:sz w:val="16"/>
          <w:szCs w:val="16"/>
        </w:rPr>
        <w:t>Совершенно секретно.</w:t>
      </w:r>
    </w:p>
    <w:p w14:paraId="7891AF87" w14:textId="77777777" w:rsidR="006967A7" w:rsidRPr="00C33834" w:rsidRDefault="006967A7" w:rsidP="00C33834">
      <w:pPr>
        <w:pStyle w:val="rtejustify"/>
        <w:spacing w:before="0" w:after="0"/>
        <w:rPr>
          <w:color w:val="000000" w:themeColor="text1"/>
          <w:sz w:val="16"/>
          <w:szCs w:val="16"/>
        </w:rPr>
      </w:pPr>
      <w:r w:rsidRPr="00C33834">
        <w:rPr>
          <w:color w:val="000000" w:themeColor="text1"/>
          <w:sz w:val="16"/>
          <w:szCs w:val="16"/>
        </w:rPr>
        <w:t>Проведенное Распредотделом ЦК ознакомление с мобилизационными планами по кадрам объединений и заводов военной промышленности выявило совершенно неудовлетворительное состояние этой работы. Планы не гарантируют четкого и своевременного развертывания военного производства в условиях мобилизационного времени. Состояние их таково:</w:t>
      </w:r>
    </w:p>
    <w:p w14:paraId="0807D0CC" w14:textId="77777777" w:rsidR="006967A7" w:rsidRPr="00C33834" w:rsidRDefault="006967A7" w:rsidP="00C33834">
      <w:pPr>
        <w:pStyle w:val="rtejustify"/>
        <w:spacing w:before="0" w:after="0"/>
        <w:rPr>
          <w:color w:val="000000" w:themeColor="text1"/>
          <w:sz w:val="16"/>
          <w:szCs w:val="16"/>
        </w:rPr>
      </w:pPr>
      <w:r w:rsidRPr="00C33834">
        <w:rPr>
          <w:color w:val="000000" w:themeColor="text1"/>
          <w:sz w:val="16"/>
          <w:szCs w:val="16"/>
        </w:rPr>
        <w:t>1. По существующим мобпланам исчисление потребности в инженерно-технических кадрах и квалифицированных рабочих во всех трестах (Орудийное объединение, Ружейно-пулеметный, Вохимтрест, Снарядный, Патрубвзрыв) ведется обезличенно. В одну графу «административно-технический персонал» включены инженеры, техники, практики, администраторы и т. д. То же самое сделано и в отношении рабочих. Благодаря этому совершенно невозможно установить, сколько на случай мобилизации для того или иного завода потребуется дополнительно в отдельности техников, рабочих, каких специальностей, профессий и т. п.</w:t>
      </w:r>
    </w:p>
    <w:p w14:paraId="2EE1D43D" w14:textId="77777777" w:rsidR="006967A7" w:rsidRPr="00C33834" w:rsidRDefault="006967A7" w:rsidP="00C33834">
      <w:pPr>
        <w:pStyle w:val="rtejustify"/>
        <w:spacing w:before="0" w:after="0"/>
        <w:rPr>
          <w:color w:val="000000" w:themeColor="text1"/>
          <w:sz w:val="16"/>
          <w:szCs w:val="16"/>
        </w:rPr>
      </w:pPr>
      <w:r w:rsidRPr="00C33834">
        <w:rPr>
          <w:color w:val="000000" w:themeColor="text1"/>
          <w:sz w:val="16"/>
          <w:szCs w:val="16"/>
        </w:rPr>
        <w:t>Следующая таблица иллюстрирует, как исчислены Вохимтрестом потребность и покрытие адмтехперсонала и производственных рабочих завода № 12:</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40"/>
        <w:gridCol w:w="1547"/>
        <w:gridCol w:w="1410"/>
        <w:gridCol w:w="894"/>
        <w:gridCol w:w="535"/>
        <w:gridCol w:w="554"/>
        <w:gridCol w:w="2189"/>
        <w:gridCol w:w="668"/>
        <w:gridCol w:w="650"/>
        <w:gridCol w:w="1135"/>
      </w:tblGrid>
      <w:tr w:rsidR="00F26F01" w:rsidRPr="00C33834" w14:paraId="3E77E51F" w14:textId="77777777" w:rsidTr="003417C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97EF7E"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w:t>
            </w:r>
          </w:p>
          <w:p w14:paraId="67CB8B9D"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специальностей</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6B7F3E2"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Наличие на 1 августа 1932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A13E384"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Потреб</w:t>
            </w:r>
            <w:r w:rsidRPr="00C33834">
              <w:rPr>
                <w:rFonts w:ascii="Times New Roman" w:hAnsi="Times New Roman"/>
                <w:color w:val="000000" w:themeColor="text1"/>
                <w:sz w:val="16"/>
                <w:szCs w:val="16"/>
              </w:rPr>
              <w:softHyphen/>
              <w:t>ность по моб</w:t>
            </w:r>
            <w:r w:rsidRPr="00C33834">
              <w:rPr>
                <w:rFonts w:ascii="Times New Roman" w:hAnsi="Times New Roman"/>
                <w:color w:val="000000" w:themeColor="text1"/>
                <w:sz w:val="16"/>
                <w:szCs w:val="16"/>
              </w:rPr>
              <w:softHyphen/>
              <w:t>плану</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80C248E"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Ухо</w:t>
            </w:r>
            <w:r w:rsidRPr="00C33834">
              <w:rPr>
                <w:rFonts w:ascii="Times New Roman" w:hAnsi="Times New Roman"/>
                <w:color w:val="000000" w:themeColor="text1"/>
                <w:sz w:val="16"/>
                <w:szCs w:val="16"/>
              </w:rPr>
              <w:softHyphen/>
              <w:t>дит в РККА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4E3411E"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Передвижка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D45D418"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Контин</w:t>
            </w:r>
            <w:r w:rsidRPr="00C33834">
              <w:rPr>
                <w:rFonts w:ascii="Times New Roman" w:hAnsi="Times New Roman"/>
                <w:color w:val="000000" w:themeColor="text1"/>
                <w:sz w:val="16"/>
                <w:szCs w:val="16"/>
              </w:rPr>
              <w:softHyphen/>
              <w:t>гент, подл. покр. по сл. пере</w:t>
            </w:r>
            <w:r w:rsidRPr="00C33834">
              <w:rPr>
                <w:rFonts w:ascii="Times New Roman" w:hAnsi="Times New Roman"/>
                <w:color w:val="000000" w:themeColor="text1"/>
                <w:sz w:val="16"/>
                <w:szCs w:val="16"/>
              </w:rPr>
              <w:softHyphen/>
              <w:t>движке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E67F67"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Переподготовка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7B24E6F"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Заявки в НКТруд¹*</w:t>
            </w:r>
          </w:p>
        </w:tc>
      </w:tr>
      <w:tr w:rsidR="00F26F01" w:rsidRPr="00C33834" w14:paraId="7E3FEF02" w14:textId="77777777" w:rsidTr="003417C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89DA637" w14:textId="77777777" w:rsidR="006967A7" w:rsidRPr="00C33834" w:rsidRDefault="006967A7" w:rsidP="00C3383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2FE382F" w14:textId="77777777" w:rsidR="006967A7" w:rsidRPr="00C33834" w:rsidRDefault="006967A7" w:rsidP="00C3383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DBE69B9" w14:textId="77777777" w:rsidR="006967A7" w:rsidRPr="00C33834" w:rsidRDefault="006967A7" w:rsidP="00C3383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CEAA16B" w14:textId="77777777" w:rsidR="006967A7" w:rsidRPr="00C33834" w:rsidRDefault="006967A7"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3F5D17"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w:t>
            </w:r>
          </w:p>
          <w:p w14:paraId="59E2FF50"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данной</w:t>
            </w:r>
          </w:p>
          <w:p w14:paraId="74699699"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группы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35310"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w:t>
            </w:r>
          </w:p>
          <w:p w14:paraId="0D563A72"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данную</w:t>
            </w:r>
          </w:p>
          <w:p w14:paraId="400CF2A4"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группу</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BC56581" w14:textId="77777777" w:rsidR="006967A7" w:rsidRPr="00C33834" w:rsidRDefault="006967A7"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D3DD3A"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мирное</w:t>
            </w:r>
          </w:p>
          <w:p w14:paraId="50DAF254"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F6EE2"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воен</w:t>
            </w:r>
            <w:r w:rsidRPr="00C33834">
              <w:rPr>
                <w:rFonts w:ascii="Times New Roman" w:hAnsi="Times New Roman"/>
                <w:color w:val="000000" w:themeColor="text1"/>
                <w:sz w:val="16"/>
                <w:szCs w:val="16"/>
              </w:rPr>
              <w:softHyphen/>
              <w:t>ное</w:t>
            </w:r>
          </w:p>
          <w:p w14:paraId="6B9DC34B"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E5A035E" w14:textId="77777777" w:rsidR="006967A7" w:rsidRPr="00C33834" w:rsidRDefault="006967A7" w:rsidP="00C33834">
            <w:pPr>
              <w:spacing w:after="0" w:line="240" w:lineRule="auto"/>
              <w:jc w:val="both"/>
              <w:rPr>
                <w:rFonts w:ascii="Times New Roman" w:hAnsi="Times New Roman"/>
                <w:color w:val="000000" w:themeColor="text1"/>
                <w:sz w:val="16"/>
                <w:szCs w:val="16"/>
              </w:rPr>
            </w:pPr>
          </w:p>
        </w:tc>
      </w:tr>
      <w:tr w:rsidR="00F26F01" w:rsidRPr="00C33834" w14:paraId="7725F66A"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C112F7"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Адмтехперсонала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175A9"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B8579"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C4BD3"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5A177"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01477"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E08F3"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397</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A2586"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E57F3"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0F00D"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r>
      <w:tr w:rsidR="00F26F01" w:rsidRPr="00C33834" w14:paraId="67157825"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6B3C98"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Производственных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03EE7"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9F9C9"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07400"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F17FE"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825A5"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8F187"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67F90"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8A801"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020F66" w14:textId="77777777" w:rsidR="006967A7" w:rsidRPr="00C33834" w:rsidRDefault="006967A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6713</w:t>
            </w:r>
          </w:p>
        </w:tc>
      </w:tr>
    </w:tbl>
    <w:p w14:paraId="3DAF1735" w14:textId="77777777" w:rsidR="006967A7" w:rsidRPr="00C33834" w:rsidRDefault="006967A7" w:rsidP="00C33834">
      <w:pPr>
        <w:pStyle w:val="rtejustify"/>
        <w:spacing w:before="0" w:after="0"/>
        <w:rPr>
          <w:color w:val="000000" w:themeColor="text1"/>
          <w:sz w:val="16"/>
          <w:szCs w:val="16"/>
        </w:rPr>
      </w:pPr>
      <w:r w:rsidRPr="00C33834">
        <w:rPr>
          <w:color w:val="000000" w:themeColor="text1"/>
          <w:sz w:val="16"/>
          <w:szCs w:val="16"/>
        </w:rPr>
        <w:t>Этими общими цифрами исчерпывается разработка Вохимтрестом мобплана для завода № 12.</w:t>
      </w:r>
    </w:p>
    <w:p w14:paraId="011A1816" w14:textId="77777777" w:rsidR="006967A7" w:rsidRPr="00C33834" w:rsidRDefault="006967A7" w:rsidP="00C33834">
      <w:pPr>
        <w:pStyle w:val="rtejustify"/>
        <w:spacing w:before="0" w:after="0"/>
        <w:rPr>
          <w:color w:val="000000" w:themeColor="text1"/>
          <w:sz w:val="16"/>
          <w:szCs w:val="16"/>
        </w:rPr>
      </w:pPr>
      <w:r w:rsidRPr="00C33834">
        <w:rPr>
          <w:color w:val="000000" w:themeColor="text1"/>
          <w:sz w:val="16"/>
          <w:szCs w:val="16"/>
        </w:rPr>
        <w:t>Другой пример: по данным мобплана Орудобъединения заводу № 8 на случай войны потребуется 436 инженеров и 714 техников. Наличие на 1 мая 1932 г. исчисляется в мобплане в 211 инженеров и 545 техников. Между тем, по состоянию на 1 марта 1933 г. на этом заводе имеется только 151 инженер и 140 техников. Как выяснилось, на заводе такого количества инженеров и техников вообще никогда не было.</w:t>
      </w:r>
    </w:p>
    <w:p w14:paraId="611AB093" w14:textId="77777777" w:rsidR="006967A7" w:rsidRPr="00C33834" w:rsidRDefault="006967A7" w:rsidP="00C33834">
      <w:pPr>
        <w:pStyle w:val="rtejustify"/>
        <w:spacing w:before="0" w:after="0"/>
        <w:rPr>
          <w:color w:val="000000" w:themeColor="text1"/>
          <w:sz w:val="16"/>
          <w:szCs w:val="16"/>
        </w:rPr>
      </w:pPr>
      <w:r w:rsidRPr="00C33834">
        <w:rPr>
          <w:color w:val="000000" w:themeColor="text1"/>
          <w:sz w:val="16"/>
          <w:szCs w:val="16"/>
        </w:rPr>
        <w:t>2. Просмотренные мобпланы по заводам № 67 и 70 также неудовлетворительные. Важнейшие дефекты их таковы:</w:t>
      </w:r>
    </w:p>
    <w:p w14:paraId="57F4D42A" w14:textId="77777777" w:rsidR="006967A7" w:rsidRPr="00C33834" w:rsidRDefault="006967A7" w:rsidP="00C33834">
      <w:pPr>
        <w:pStyle w:val="rtejustify"/>
        <w:spacing w:before="0" w:after="0"/>
        <w:rPr>
          <w:color w:val="000000" w:themeColor="text1"/>
          <w:sz w:val="16"/>
          <w:szCs w:val="16"/>
        </w:rPr>
      </w:pPr>
      <w:r w:rsidRPr="00C33834">
        <w:rPr>
          <w:color w:val="000000" w:themeColor="text1"/>
          <w:sz w:val="16"/>
          <w:szCs w:val="16"/>
        </w:rPr>
        <w:t>а) Потребность в рабочей силе почему-то исчислена, исходя не из существующей производительности труда, а из пониженных норм выработки, что влечет за собой явно преувеличенные требования на рабсилу.</w:t>
      </w:r>
    </w:p>
    <w:p w14:paraId="667C2F9D" w14:textId="77777777" w:rsidR="006967A7" w:rsidRPr="00C33834" w:rsidRDefault="006967A7" w:rsidP="00C33834">
      <w:pPr>
        <w:pStyle w:val="rtejustify"/>
        <w:spacing w:before="0" w:after="0"/>
        <w:rPr>
          <w:color w:val="000000" w:themeColor="text1"/>
          <w:sz w:val="16"/>
          <w:szCs w:val="16"/>
        </w:rPr>
      </w:pPr>
      <w:r w:rsidRPr="00C33834">
        <w:rPr>
          <w:color w:val="000000" w:themeColor="text1"/>
          <w:sz w:val="16"/>
          <w:szCs w:val="16"/>
        </w:rPr>
        <w:t>б) Мобпланы совершенно не учитывают изменений, происходящих на предприятии в наличном составе инженерно-технического персонала и рабочей силы. В результате в мобпланах фигурируют цифры, совершенно не отражающие действительное положение на предприятии. Например, по мобплану завода № 67 к моменту мобилизационной готовности некомплект намечался в 920 чел. квалифицированных рабочих и 23 чел. инженеров (исходя из наличия на 1 мая 1932 г.). Соответствующие этим цифрам заявки были посланы в органы НКТ. На 1 апреля 1933 г. в связи с сокращением рабочих и ИТР некомплект составляет уже 2121 рабочих и 69 чел. инженеров. Получившийся разрыв планами покрытия совершенно не предусматривается.</w:t>
      </w:r>
    </w:p>
    <w:p w14:paraId="453B8A81" w14:textId="77777777" w:rsidR="006967A7" w:rsidRPr="00C33834" w:rsidRDefault="006967A7" w:rsidP="00C33834">
      <w:pPr>
        <w:pStyle w:val="rtejustify"/>
        <w:spacing w:before="0" w:after="0"/>
        <w:rPr>
          <w:color w:val="000000" w:themeColor="text1"/>
          <w:sz w:val="16"/>
          <w:szCs w:val="16"/>
        </w:rPr>
      </w:pPr>
      <w:r w:rsidRPr="00C33834">
        <w:rPr>
          <w:color w:val="000000" w:themeColor="text1"/>
          <w:sz w:val="16"/>
          <w:szCs w:val="16"/>
        </w:rPr>
        <w:t>в) Расчеты мобплана на покрытие некомплектов за счет передвижки рабочих и ИТР внутри завода из низших категорий в высшие составлены формально и не отражают действительного положения на заводе, т. е. обезличено, без персонального учета людей, имеющихся в наличии. Нужно отметить еще одно обстоятельство. Большинство военных заводов подготовляли недостающее по мобплану количество рабочих, затрачивая на это значительные суммы денег. Рабочие, как правило, за военной промышленностью не закреплялись, и куда они ушли, заводы не знают.</w:t>
      </w:r>
    </w:p>
    <w:p w14:paraId="183D42FE" w14:textId="77777777" w:rsidR="006967A7" w:rsidRPr="00C33834" w:rsidRDefault="006967A7" w:rsidP="00C33834">
      <w:pPr>
        <w:pStyle w:val="rtejustify"/>
        <w:spacing w:before="0" w:after="0"/>
        <w:rPr>
          <w:color w:val="000000" w:themeColor="text1"/>
          <w:sz w:val="16"/>
          <w:szCs w:val="16"/>
        </w:rPr>
      </w:pPr>
      <w:r w:rsidRPr="00C33834">
        <w:rPr>
          <w:color w:val="000000" w:themeColor="text1"/>
          <w:sz w:val="16"/>
          <w:szCs w:val="16"/>
        </w:rPr>
        <w:t>3) Важнейшим вопросом мобплана является разработка плана покрытия имеющегося некомплекта органами Наркомтруда. В этом вопросе наибольшая неясность и запутанность. Формально дело обстоит очень просто: завод в ответ на заявку в органы труда получает подтверждение, что в момент мобилизации ему будет переброшено такое-то количество рабочих и инженеров с таких-то заводов. Заводы-«поставщики» подтверждают, что действительно у них имеются рабочие и инженерно-технический персонал, необходимый военному заводу. Этим ограничивается разработка плана покрытия. В дальнейшем уже никто не интересуется и не проверяет, находятся ли на заводе-«поставщике» перечисленные в мобзаявке рабочие и специалисты, или нет. Нередки случаи, когда завод-«поставщик» сам получает мобзадание, но никаких исправлений в его прежних обязательствах перед военным заводом не производится.</w:t>
      </w:r>
    </w:p>
    <w:p w14:paraId="013FD2BC" w14:textId="77777777" w:rsidR="006967A7" w:rsidRPr="00C33834" w:rsidRDefault="006967A7" w:rsidP="00C33834">
      <w:pPr>
        <w:pStyle w:val="rtejustify"/>
        <w:spacing w:before="0" w:after="0"/>
        <w:rPr>
          <w:color w:val="000000" w:themeColor="text1"/>
          <w:sz w:val="16"/>
          <w:szCs w:val="16"/>
        </w:rPr>
      </w:pPr>
      <w:r w:rsidRPr="00C33834">
        <w:rPr>
          <w:color w:val="000000" w:themeColor="text1"/>
          <w:sz w:val="16"/>
          <w:szCs w:val="16"/>
        </w:rPr>
        <w:t>Нереальность этих планов и их формальное содержание признается всеми мобработниками заводов. Мобработу по кадрам военной промышленности необходимо коренным образом перестроить. В основу этой перестройки следовало бы положить тот же принцип, какой существует на случай мобилизации в армию. На практике это должно быть осуществлено, примерно, в следующем виде: инженерно-технический персонал, мастера, бригадиры, высококвалифицированные рабочие и рабочие редких специальностей, примерно, до 6</w:t>
      </w:r>
      <w:r w:rsidRPr="00C33834">
        <w:rPr>
          <w:color w:val="000000" w:themeColor="text1"/>
          <w:sz w:val="16"/>
          <w:szCs w:val="16"/>
        </w:rPr>
        <w:noBreakHyphen/>
        <w:t>го разряда включительно, нужные для заводов военной промышленности, должны теперь же получить военно-производственный мобилизационный листок. Каждый из таких военно-производственно-обязанных прикрепляется к определенному военному заводу, что должно быть указано в его моблистке, а в момент мобилизации местным военкоматом направляется на соответствующий завод. Что касается остальных категорий рабочих и служащих, нужных военной промышленности, то для них можно сохранить существующий порядок прикрепления через органы Наркомтруда, разумеется, коренным образом улучшив организацию этого дела.</w:t>
      </w:r>
    </w:p>
    <w:p w14:paraId="08841C37" w14:textId="77777777" w:rsidR="006967A7" w:rsidRPr="00C33834" w:rsidRDefault="006967A7" w:rsidP="00C33834">
      <w:pPr>
        <w:pStyle w:val="rtejustify"/>
        <w:spacing w:before="0" w:after="0"/>
        <w:rPr>
          <w:color w:val="000000" w:themeColor="text1"/>
          <w:sz w:val="16"/>
          <w:szCs w:val="16"/>
        </w:rPr>
      </w:pPr>
      <w:r w:rsidRPr="00C33834">
        <w:rPr>
          <w:color w:val="000000" w:themeColor="text1"/>
          <w:sz w:val="16"/>
          <w:szCs w:val="16"/>
        </w:rPr>
        <w:t>По-моему следовало бы вопрос обсудить либо в закрытом заседании Оргбюро ЦК, либо в Комиссии обороны. Конкретную разработку вопросов следует поручить персонально т. Цихону (Наркомтруд), т. Павлуновскому (НКТяжпром) и т. Тухачевскому (Наркомвоенмор).</w:t>
      </w:r>
    </w:p>
    <w:p w14:paraId="4F3B1A03" w14:textId="77777777" w:rsidR="006967A7" w:rsidRPr="00C33834" w:rsidRDefault="006967A7" w:rsidP="00C33834">
      <w:pPr>
        <w:pStyle w:val="ae"/>
        <w:spacing w:before="0" w:after="0"/>
        <w:jc w:val="both"/>
        <w:rPr>
          <w:color w:val="000000" w:themeColor="text1"/>
          <w:sz w:val="16"/>
          <w:szCs w:val="16"/>
        </w:rPr>
      </w:pPr>
      <w:r w:rsidRPr="00C33834">
        <w:rPr>
          <w:rStyle w:val="af0"/>
          <w:i w:val="0"/>
          <w:color w:val="000000" w:themeColor="text1"/>
          <w:sz w:val="16"/>
          <w:szCs w:val="16"/>
        </w:rPr>
        <w:t>Зав[едующий] Распредотделом ЦК ВКП (б) Ежов</w:t>
      </w:r>
    </w:p>
    <w:p w14:paraId="2961B4A1" w14:textId="77777777" w:rsidR="006967A7" w:rsidRPr="00C33834" w:rsidRDefault="006967A7"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Примечание</w:t>
      </w:r>
      <w:r w:rsidRPr="00C33834">
        <w:rPr>
          <w:color w:val="000000" w:themeColor="text1"/>
          <w:sz w:val="16"/>
          <w:szCs w:val="16"/>
        </w:rPr>
        <w:t>:</w:t>
      </w:r>
    </w:p>
    <w:p w14:paraId="245B43E1" w14:textId="77777777" w:rsidR="006967A7" w:rsidRPr="00C33834" w:rsidRDefault="006967A7" w:rsidP="00C33834">
      <w:pPr>
        <w:pStyle w:val="rtejustify"/>
        <w:spacing w:before="0" w:after="0"/>
        <w:rPr>
          <w:color w:val="000000" w:themeColor="text1"/>
          <w:sz w:val="16"/>
          <w:szCs w:val="16"/>
        </w:rPr>
      </w:pPr>
      <w:r w:rsidRPr="00C33834">
        <w:rPr>
          <w:color w:val="000000" w:themeColor="text1"/>
          <w:sz w:val="16"/>
          <w:szCs w:val="16"/>
        </w:rPr>
        <w:t>¹* </w:t>
      </w:r>
      <w:r w:rsidRPr="00C33834">
        <w:rPr>
          <w:rStyle w:val="af0"/>
          <w:bCs/>
          <w:i w:val="0"/>
          <w:color w:val="000000" w:themeColor="text1"/>
          <w:sz w:val="16"/>
          <w:szCs w:val="16"/>
        </w:rPr>
        <w:t>Народный комиссариат труда (Наркомтруд, НКТ) СССР</w:t>
      </w:r>
      <w:r w:rsidRPr="00C33834">
        <w:rPr>
          <w:color w:val="000000" w:themeColor="text1"/>
          <w:sz w:val="16"/>
          <w:szCs w:val="16"/>
        </w:rPr>
        <w:t xml:space="preserve"> был образован постановлением СНК СССР от 6 июля 1923 г. Первоначально в его задачи входили разработка и проведение мероприятий по организации труда, регулированию его условий и удовлетворению социально-бытовых нужд рабочих. Впоследствии к задачам наркомата были отнесены регулирование рынка труда и борьба с безработицей, регулирование и нормирование заработной платы, охрана труда, социальное страхование, разрешение трудовых споров, регистрация коллективных договоров, содействие строительству жилья для рабочих, борьба с безработицей и руководство социальным страхованием. Структура Наркомтруда включала управления, отделы и секции, количество которых менялось в связи с изменением задач, стоящих перед ним. При Наркомтруде имелись коллегия и ряд комитетов, межведомственных советов и комиссий, бюро, в том числе научно-исследовательские учреждения, музей, библиотеки. Постановлением ЦИК и СНК СССР, также ВЦСПС от 23 июня 1933 г. Наркомтруд СССР был ликвидирован и все его функции были переданы ВЦСПС. Процесс ликвидации затянулся до осени 1933 г., когда было принято совместное постановление СНК и ВЦСПС от 10 сентября 1933 г., по которому профсоюзам было передано все дело охраны труда, социального страхования и трудового законодательства.</w:t>
      </w:r>
    </w:p>
    <w:p w14:paraId="5C47DBD7" w14:textId="77777777" w:rsidR="006967A7" w:rsidRPr="00C33834" w:rsidRDefault="006967A7" w:rsidP="00C33834">
      <w:pPr>
        <w:pStyle w:val="ae"/>
        <w:spacing w:before="0" w:after="0"/>
        <w:jc w:val="both"/>
        <w:rPr>
          <w:color w:val="000000" w:themeColor="text1"/>
          <w:sz w:val="16"/>
          <w:szCs w:val="16"/>
        </w:rPr>
      </w:pPr>
      <w:r w:rsidRPr="00C33834">
        <w:rPr>
          <w:color w:val="000000" w:themeColor="text1"/>
          <w:sz w:val="16"/>
          <w:szCs w:val="16"/>
        </w:rPr>
        <w:t>АП РФ. Ф. 3. Оп. 46. Д. 335. Л. 79-82. Подлинник (15268).</w:t>
      </w:r>
    </w:p>
    <w:p w14:paraId="4BC99D6C" w14:textId="77777777" w:rsidR="00E31347" w:rsidRPr="00C33834" w:rsidRDefault="00E31347" w:rsidP="00C33834">
      <w:pPr>
        <w:spacing w:after="0" w:line="240" w:lineRule="auto"/>
        <w:jc w:val="both"/>
        <w:rPr>
          <w:rFonts w:ascii="Times New Roman" w:hAnsi="Times New Roman"/>
          <w:iCs/>
          <w:color w:val="000000" w:themeColor="text1"/>
          <w:sz w:val="16"/>
          <w:szCs w:val="16"/>
        </w:rPr>
      </w:pPr>
    </w:p>
    <w:p w14:paraId="10A91BAB" w14:textId="77777777" w:rsidR="003446BF"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42972405" w14:textId="77777777" w:rsidR="003446BF" w:rsidRPr="00C33834" w:rsidRDefault="003446BF" w:rsidP="00C33834">
      <w:pPr>
        <w:spacing w:after="0" w:line="240" w:lineRule="auto"/>
        <w:jc w:val="both"/>
        <w:rPr>
          <w:rFonts w:ascii="Times New Roman" w:hAnsi="Times New Roman"/>
          <w:iCs/>
          <w:color w:val="000000" w:themeColor="text1"/>
          <w:sz w:val="16"/>
          <w:szCs w:val="16"/>
        </w:rPr>
      </w:pPr>
    </w:p>
    <w:p w14:paraId="3B4DB6CC"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апреля 1933 судебная тройка ГПУ СССР приговорила к казни четырех членов «украинского филиала вредительской организации в системе органов Наркомзема» (4962).</w:t>
      </w:r>
    </w:p>
    <w:p w14:paraId="2F6A87ED"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p>
    <w:p w14:paraId="24ED6471" w14:textId="77777777" w:rsidR="003446BF"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233189E" w14:textId="77777777" w:rsidR="003446BF" w:rsidRPr="00C33834" w:rsidRDefault="003446BF" w:rsidP="00C33834">
      <w:pPr>
        <w:spacing w:after="0" w:line="240" w:lineRule="auto"/>
        <w:jc w:val="both"/>
        <w:rPr>
          <w:rFonts w:ascii="Times New Roman" w:hAnsi="Times New Roman"/>
          <w:iCs/>
          <w:color w:val="000000" w:themeColor="text1"/>
          <w:sz w:val="16"/>
          <w:szCs w:val="16"/>
        </w:rPr>
      </w:pPr>
    </w:p>
    <w:p w14:paraId="3D444FDF"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апреля в 1933 году потерпел аварию первый опытный итальянский штурмовик «Ар-1», имевший внутренне обозначение «Са.301» («ММ.242»), лётчик-испытатель Альберто Мараццани допустил грубую ошибку неправильно рассчитав посадочную дистанцию. Самолёт при посадке получил повреждения и был отправлен на ремонт (15112).</w:t>
      </w:r>
    </w:p>
    <w:p w14:paraId="00B8FC20" w14:textId="77777777" w:rsidR="00E31347" w:rsidRPr="00C33834" w:rsidRDefault="00E31347" w:rsidP="00C33834">
      <w:pPr>
        <w:spacing w:after="0" w:line="240" w:lineRule="auto"/>
        <w:jc w:val="both"/>
        <w:rPr>
          <w:rFonts w:ascii="Times New Roman" w:hAnsi="Times New Roman"/>
          <w:color w:val="000000" w:themeColor="text1"/>
          <w:sz w:val="16"/>
          <w:szCs w:val="16"/>
        </w:rPr>
      </w:pPr>
    </w:p>
    <w:p w14:paraId="53AD107F"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апреля 1933 в английской прессе впервые появилось сообщение о том, что рейхстаг подожгли нацисты (4962).</w:t>
      </w:r>
    </w:p>
    <w:p w14:paraId="315EACCF" w14:textId="77777777" w:rsidR="003446BF" w:rsidRPr="00C33834" w:rsidRDefault="003446BF" w:rsidP="00C33834">
      <w:pPr>
        <w:tabs>
          <w:tab w:val="left" w:pos="11199"/>
        </w:tabs>
        <w:spacing w:after="0" w:line="240" w:lineRule="auto"/>
        <w:jc w:val="both"/>
        <w:rPr>
          <w:rFonts w:ascii="Times New Roman" w:hAnsi="Times New Roman"/>
          <w:color w:val="000000" w:themeColor="text1"/>
          <w:sz w:val="16"/>
          <w:szCs w:val="16"/>
        </w:rPr>
      </w:pPr>
    </w:p>
    <w:p w14:paraId="181849E2" w14:textId="77777777" w:rsidR="003446BF"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6D71DEB" w14:textId="77777777" w:rsidR="003446BF" w:rsidRPr="00C33834" w:rsidRDefault="003446BF" w:rsidP="00C33834">
      <w:pPr>
        <w:spacing w:after="0" w:line="240" w:lineRule="auto"/>
        <w:jc w:val="both"/>
        <w:rPr>
          <w:rFonts w:ascii="Times New Roman" w:hAnsi="Times New Roman"/>
          <w:iCs/>
          <w:color w:val="000000" w:themeColor="text1"/>
          <w:sz w:val="16"/>
          <w:szCs w:val="16"/>
        </w:rPr>
      </w:pPr>
    </w:p>
    <w:p w14:paraId="35A3B0C4" w14:textId="77777777" w:rsidR="00F67B79" w:rsidRPr="00C33834" w:rsidRDefault="00F67B79"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28 апреля 1933 года на заседании подкомиссии РВС СССР, при обсуждении плана опытного самолетостроения на 1933 год, в Комиссию Обороны при СНК СССР внесено предложение о снятии самолета И-13 с плана опытного строительства, в связи с отсутствием доведенного мотора М-32 (19177).</w:t>
      </w:r>
    </w:p>
    <w:p w14:paraId="63C1145C" w14:textId="77777777" w:rsidR="00F67B79" w:rsidRPr="00C33834" w:rsidRDefault="00F67B79" w:rsidP="00C33834">
      <w:pPr>
        <w:pStyle w:val="ae"/>
        <w:shd w:val="clear" w:color="auto" w:fill="FFFFFF"/>
        <w:spacing w:before="0" w:after="0"/>
        <w:jc w:val="both"/>
        <w:textAlignment w:val="baseline"/>
        <w:rPr>
          <w:color w:val="000000" w:themeColor="text1"/>
          <w:sz w:val="16"/>
          <w:szCs w:val="16"/>
        </w:rPr>
      </w:pPr>
    </w:p>
    <w:p w14:paraId="0137005E"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апреля 1933 на заседании моторно-самолетной секции РВС СССР совершенствование Р-5 было отнесено к числе первоочередных задач. Зам, наркома, нач. вооружений М.Н.Т. в мае 1933 отмечал "Следовало бы пересмотреть конструкцию Р-5 в сторону введения в него новейших аэродинамических достижений, осуществления убирающегося шасси..." (1805,9).</w:t>
      </w:r>
    </w:p>
    <w:p w14:paraId="3615BBB0"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7ACE28D9"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апреля 1933 г. Постановлением РВС СССР совершенствование самого массового самолета РККА отнесли к первоочередным работам. Еще в конце 1932 г. УВВС передало промышленности требования к эталону на следующий год. В них записали снижение массы сразу на 300 кг! Даже специалисты НИИ ВВС заявляли, что это требование невыполнимо. Более того, все остальные пункты приводили к возрастанию веса. Предусматривалось новое шасси с большим выносом колес вперед и тормозами. Предполагалась модернизация оборудования, электрификация бомбового вооружения.</w:t>
      </w:r>
    </w:p>
    <w:p w14:paraId="5202174C"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Снижать вес можно было либо применением новых материалов и изменением технологии, либо за счет снятия части оборудования и вооружения. УВВС оба варианта не устраивали: первый приводил к задержке массового выпуска, второй - к снижению боевой эффективности. Поэтому с ростом веса пришлось смириться. Самолет-эталон 1933 г. получил новое шасси и усиленную первую раму фюзеляжа, а в остальном планер не изменился.</w:t>
      </w:r>
    </w:p>
    <w:p w14:paraId="3544B23A"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Немало хлопот доставила модернизация оборудования. Многого просто не существовало. Вплоть до середины апреля эталон 1933 г. простоял без фотоаппарата, радиостанции и многих приборов. Даже новое шасси не могли опробовать - механизм управления тормозами мастерские ЦАГИ сдали только в мае.</w:t>
      </w:r>
    </w:p>
    <w:p w14:paraId="277618F7"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Длительная возня с подготовкой эталона привела к тому, что большую часть самолетов выпуска 1933 г. сделали по стандарту предыдущего года. Лишь с лета начали внедрять отдельные новшества. С 18-й серии под крылом смонтировали держатели для так называемых ракет Хольца с автоматическим сбросом догоревших ракет (если маломощные фары не помогали, их можно было использовать для освещения, например, посадочной площадки). Чуть позже изменили короба для дисков пулеметов ДА, ввели усовершенствованный кольцевой прицел, переделали привод синхронизатора. Тормоза появились только с конца осени. Из-за нехватки колес до марта следующего года с завода периодически отправляли Р-5 с новыми осями, но колесами старого образца.</w:t>
      </w:r>
    </w:p>
    <w:p w14:paraId="78A8708D"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воинских частях к первым самолетам с тормозными колесами отнеслись неодобрительно. Тормоза работали ненадежно. Вскоре начали ломаться оси. Оказалось, что на заводе их делали второпях, оставляли заусенцы, забывали снимать фаски. Установка тормозов увеличила нагрузку на амортизаторы, с мая 1934 г. из строевых частей посыпались жалобы на быстрый износ внутренней трубы, скользившей в наружной.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выпущенной в октябре 1934 г.</w:t>
      </w:r>
    </w:p>
    <w:p w14:paraId="70F2D398"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1932-34 гг. попробовали два варианта крыла с предкрылками и закрылками. Механизация позволила снизить посадочную скорость и улучшить поведение самолета на малых скоростях, но скороподъемность и максимальная скорость уменьшились. В серию такое крыло не внедрили.</w:t>
      </w:r>
    </w:p>
    <w:p w14:paraId="2EAC7085"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в 1933 г. выпустили 1572 машины. На 1934 г. УВВС планировало дальнейшее совершенствование Р-5. Ставились задачи увеличить скорость на 15 км/ч, снизить массу не менее чем на 200 кг за счет внедрения магниевого сплава "электрон", ввести масляно-пневматическую амортизацию шасси, а со второго полугодия - модернизировать вооружение. Скорость при неизменной мотоустановке можно было поднять за счет улучшения аэродинамики. Конструкторы решили ввести зализы у стоек, крыла и оперения. С уменьшением веса было хуже - "электрон" в СССР не производился. За счет облегчения отдельных узлов и применения легированной стали можно было "выжать" 80-85 кг.</w:t>
      </w:r>
    </w:p>
    <w:p w14:paraId="2865735D"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Замену вооружения планировали на второе полугодие. В задней кабине собирались поставить новую турель Тур-Ток (Тур-8) с пулеметом LUKAC обр. 1933 г., известным как "ШКАС с бородой" (подствольным коробом для ленты). Позже от "бороды" отказались. ШКАС обр. 1934 г. питался из ящика турели, в котором находилось 750 патронов, затем 1000. Наружные балки бомбодержателей требовали заменить на встроенные Д-1 (Дер-31). Их электропиротехнические замки срабатывали по команде электросбрасывателя СР (11936).</w:t>
      </w:r>
    </w:p>
    <w:p w14:paraId="5707707B"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5372F347"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апреля 1933 г. Постановлением заседания комиссии Реввоенсовета СССР, на котором председательствовал А.И. Егоров, совершенствование самого массового самолета РККА было отнесено к числу первоочередных работ. Требовалось поднять скорость и потолок, улучшить взлетно-посадочные характеристики, внедрить новое оборудование и вооружение. Конструкторы уже работали над этими проблемами (12034).</w:t>
      </w:r>
    </w:p>
    <w:p w14:paraId="7BEBC767"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1F4DA7BE"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апреля 1933 года вр. начальника ГУГВФ Анвельт и начальник Сектора обороны Голубков писали письмо № 9сс в СНК Базилевичу</w:t>
      </w:r>
    </w:p>
    <w:p w14:paraId="0128D81A"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апреля 1933 года № 6сс ГУГВФ сообщено Вам о состоянии выполнения задания КО от 10 августа 1932 года по проектированию и постройке двух опытных самолетов: П3 М52 и У3бис М48 для НИИ ВВС, с приложением 4-х схем указанных машин и с просьбой отпуска 290000 рублей на реализацию этого задания.</w:t>
      </w:r>
    </w:p>
    <w:p w14:paraId="16F71A24"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 как вопрос этот получил чрезвычайную затяжку и соответствующего разрешения в Штабе РККА, куда этот материал в конечном счете был направлен, до сих пор не получил, мною по ходатайству Ленинградского НИАИ, выполняющего задание ввиду неотпуска денег за свой счет, разрешено дальнейшие работы по обоим машинам прекратить.</w:t>
      </w:r>
    </w:p>
    <w:p w14:paraId="20B28F81"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Сообщая изложенное, ходатайствую о снятии указанного задания КО с ГУГВФ и о последующем поставить меня в известность (3530,124).</w:t>
      </w:r>
    </w:p>
    <w:p w14:paraId="7D37FE38"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6820B54C"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апреля 1933 Нач. ГУАП П.И.Б. писал Нач. 4 управления штаба РККА т. Берзину письмо N 282/328сс на вх. N 59180сс/III от 16 апреля 1933:</w:t>
      </w:r>
    </w:p>
    <w:p w14:paraId="49D80C16"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"Предлагаемые Вами материалы по самолетам Мартин В-10 и Боинг В-9 желательно иметь опытным организациям ГУАП - ЦАГИ и ЦКБ завода 39.</w:t>
      </w:r>
    </w:p>
    <w:p w14:paraId="00547BEB"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Прошу направить имеющиеся у вас материалы в ГУАП на имя моего помошника Алмазова." (2305,25).</w:t>
      </w:r>
    </w:p>
    <w:p w14:paraId="44228444"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48E7FA1B" w14:textId="77777777" w:rsidR="00B01BFB" w:rsidRPr="00C33834" w:rsidRDefault="00B01BF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28 апреля 1933 г. ротор опытной машины А-4 после доработ</w:t>
      </w:r>
      <w:r w:rsidRPr="00C33834">
        <w:rPr>
          <w:rFonts w:ascii="Times New Roman" w:hAnsi="Times New Roman"/>
          <w:color w:val="0070C0"/>
          <w:sz w:val="16"/>
          <w:szCs w:val="16"/>
        </w:rPr>
        <w:softHyphen/>
        <w:t>ки вновь установили на серийный экзепляр № 4301. 11 мая Корзинщиков совершил успешный взлет по прямой, далее последовал 2-минутный полет и благополучная по</w:t>
      </w:r>
      <w:r w:rsidRPr="00C33834">
        <w:rPr>
          <w:rFonts w:ascii="Times New Roman" w:hAnsi="Times New Roman"/>
          <w:color w:val="0070C0"/>
          <w:sz w:val="16"/>
          <w:szCs w:val="16"/>
        </w:rPr>
        <w:softHyphen/>
        <w:t>садка. 13 мая были выполнены 2 круга над аэродромом на высоте 300 м в течение 10 минут. В период с 14 мая по 2 июня произвели 10 полетов, в том числе один полет на вы</w:t>
      </w:r>
      <w:r w:rsidRPr="00C33834">
        <w:rPr>
          <w:rFonts w:ascii="Times New Roman" w:hAnsi="Times New Roman"/>
          <w:color w:val="0070C0"/>
          <w:sz w:val="16"/>
          <w:szCs w:val="16"/>
        </w:rPr>
        <w:softHyphen/>
        <w:t>соту 3360 м. 12 июля ротор переставили на первый опыт</w:t>
      </w:r>
      <w:r w:rsidRPr="00C33834">
        <w:rPr>
          <w:rFonts w:ascii="Times New Roman" w:hAnsi="Times New Roman"/>
          <w:color w:val="0070C0"/>
          <w:sz w:val="16"/>
          <w:szCs w:val="16"/>
        </w:rPr>
        <w:softHyphen/>
        <w:t>ный А-4 постройки ЗОК, после чего 13 июля летчик Попов выполнил пробный полет на высоте 350 м. 17 августа произошла очередная поломка в момент посадки.</w:t>
      </w:r>
    </w:p>
    <w:p w14:paraId="0672CC8E" w14:textId="77777777" w:rsidR="00B01BFB" w:rsidRPr="00C33834" w:rsidRDefault="00B01BF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Как видим, испытательные полеты автожиров А-4 проис</w:t>
      </w:r>
      <w:r w:rsidRPr="00C33834">
        <w:rPr>
          <w:rFonts w:ascii="Times New Roman" w:hAnsi="Times New Roman"/>
          <w:color w:val="0070C0"/>
          <w:sz w:val="16"/>
          <w:szCs w:val="16"/>
        </w:rPr>
        <w:softHyphen/>
        <w:t>ходили с преодолением многочисленных трудностей. Ле</w:t>
      </w:r>
      <w:r w:rsidRPr="00C33834">
        <w:rPr>
          <w:rFonts w:ascii="Times New Roman" w:hAnsi="Times New Roman"/>
          <w:color w:val="0070C0"/>
          <w:sz w:val="16"/>
          <w:szCs w:val="16"/>
        </w:rPr>
        <w:softHyphen/>
        <w:t>том 1933 г. два первых автожира (московской и киевской постройки) летали уже вполне уверенно - по состоянию на 4 августа они совершили 28 полетов с общим полетным временем 7 часов 53 минуты (20381).</w:t>
      </w:r>
    </w:p>
    <w:p w14:paraId="7D1E28E4" w14:textId="77777777" w:rsidR="00B01BFB" w:rsidRPr="00C33834" w:rsidRDefault="00B01BFB" w:rsidP="00C33834">
      <w:pPr>
        <w:spacing w:after="0" w:line="240" w:lineRule="auto"/>
        <w:jc w:val="both"/>
        <w:rPr>
          <w:rFonts w:ascii="Times New Roman" w:hAnsi="Times New Roman"/>
          <w:color w:val="0070C0"/>
          <w:sz w:val="16"/>
          <w:szCs w:val="16"/>
        </w:rPr>
      </w:pPr>
    </w:p>
    <w:p w14:paraId="7B3910BF"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апреля 1933 года член коллегии НК-РКИ начальник ВМИ Куйбышев направил за № 515сс в СТО Молотову</w:t>
      </w:r>
    </w:p>
    <w:p w14:paraId="57447B20"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 По вопросу: об опытном строительстве авиадизелей</w:t>
      </w:r>
    </w:p>
    <w:p w14:paraId="793471AF"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Постановлением СТО от 4 июля 1932 года был утвержден следующий план опытного строительства авиадизелей: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F26F01" w:rsidRPr="00C33834" w14:paraId="2F926E33" w14:textId="77777777">
        <w:tc>
          <w:tcPr>
            <w:tcW w:w="2318" w:type="dxa"/>
          </w:tcPr>
          <w:p w14:paraId="6BFA3876"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w:t>
            </w:r>
          </w:p>
        </w:tc>
        <w:tc>
          <w:tcPr>
            <w:tcW w:w="2318" w:type="dxa"/>
          </w:tcPr>
          <w:p w14:paraId="79550AAA"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2318" w:type="dxa"/>
          </w:tcPr>
          <w:p w14:paraId="4E870914"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2318" w:type="dxa"/>
          </w:tcPr>
          <w:p w14:paraId="2D741EB5"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2318" w:type="dxa"/>
          </w:tcPr>
          <w:p w14:paraId="5ACAC272"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w:t>
            </w:r>
          </w:p>
        </w:tc>
      </w:tr>
      <w:tr w:rsidR="00F26F01" w:rsidRPr="00C33834" w14:paraId="0035222A" w14:textId="77777777">
        <w:tc>
          <w:tcPr>
            <w:tcW w:w="2318" w:type="dxa"/>
          </w:tcPr>
          <w:p w14:paraId="1F9A6BC0"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Н-1</w:t>
            </w:r>
          </w:p>
        </w:tc>
        <w:tc>
          <w:tcPr>
            <w:tcW w:w="2318" w:type="dxa"/>
          </w:tcPr>
          <w:p w14:paraId="02247AB2"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2318" w:type="dxa"/>
          </w:tcPr>
          <w:p w14:paraId="4C83BF40"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840</w:t>
            </w:r>
          </w:p>
        </w:tc>
        <w:tc>
          <w:tcPr>
            <w:tcW w:w="2318" w:type="dxa"/>
          </w:tcPr>
          <w:p w14:paraId="754CEA1E"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2318" w:type="dxa"/>
          </w:tcPr>
          <w:p w14:paraId="22BE7903"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марта 1933</w:t>
            </w:r>
          </w:p>
        </w:tc>
      </w:tr>
      <w:tr w:rsidR="00F26F01" w:rsidRPr="00C33834" w14:paraId="60BBDA24" w14:textId="77777777">
        <w:tc>
          <w:tcPr>
            <w:tcW w:w="2318" w:type="dxa"/>
          </w:tcPr>
          <w:p w14:paraId="116C4FF8"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Н-2</w:t>
            </w:r>
          </w:p>
        </w:tc>
        <w:tc>
          <w:tcPr>
            <w:tcW w:w="2318" w:type="dxa"/>
          </w:tcPr>
          <w:p w14:paraId="0344A51B"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2318" w:type="dxa"/>
          </w:tcPr>
          <w:p w14:paraId="7B7EADA4"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w:t>
            </w:r>
          </w:p>
        </w:tc>
        <w:tc>
          <w:tcPr>
            <w:tcW w:w="2318" w:type="dxa"/>
          </w:tcPr>
          <w:p w14:paraId="45D85EC1"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2318" w:type="dxa"/>
          </w:tcPr>
          <w:p w14:paraId="18B7DD92"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1933</w:t>
            </w:r>
          </w:p>
        </w:tc>
      </w:tr>
      <w:tr w:rsidR="00F26F01" w:rsidRPr="00C33834" w14:paraId="535B8D13" w14:textId="77777777">
        <w:tc>
          <w:tcPr>
            <w:tcW w:w="2318" w:type="dxa"/>
          </w:tcPr>
          <w:p w14:paraId="21AC8872"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Н-3</w:t>
            </w:r>
          </w:p>
        </w:tc>
        <w:tc>
          <w:tcPr>
            <w:tcW w:w="2318" w:type="dxa"/>
          </w:tcPr>
          <w:p w14:paraId="72FB506F"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2318" w:type="dxa"/>
          </w:tcPr>
          <w:p w14:paraId="2E49960E"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650</w:t>
            </w:r>
          </w:p>
        </w:tc>
        <w:tc>
          <w:tcPr>
            <w:tcW w:w="2318" w:type="dxa"/>
          </w:tcPr>
          <w:p w14:paraId="580E67EF"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2318" w:type="dxa"/>
          </w:tcPr>
          <w:p w14:paraId="3BB6154A"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1933</w:t>
            </w:r>
          </w:p>
        </w:tc>
      </w:tr>
      <w:tr w:rsidR="00F26F01" w:rsidRPr="00C33834" w14:paraId="0B9319AF" w14:textId="77777777">
        <w:tc>
          <w:tcPr>
            <w:tcW w:w="2318" w:type="dxa"/>
          </w:tcPr>
          <w:p w14:paraId="7A3FFFE5"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Н-4</w:t>
            </w:r>
          </w:p>
        </w:tc>
        <w:tc>
          <w:tcPr>
            <w:tcW w:w="2318" w:type="dxa"/>
          </w:tcPr>
          <w:p w14:paraId="0448E6E9"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500-600</w:t>
            </w:r>
          </w:p>
        </w:tc>
        <w:tc>
          <w:tcPr>
            <w:tcW w:w="2318" w:type="dxa"/>
          </w:tcPr>
          <w:p w14:paraId="7BCF2FB7"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500-600</w:t>
            </w:r>
          </w:p>
        </w:tc>
        <w:tc>
          <w:tcPr>
            <w:tcW w:w="2318" w:type="dxa"/>
          </w:tcPr>
          <w:p w14:paraId="56666CBA"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2318" w:type="dxa"/>
          </w:tcPr>
          <w:p w14:paraId="3265EF1E"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w:t>
            </w:r>
          </w:p>
        </w:tc>
      </w:tr>
      <w:tr w:rsidR="00F26F01" w:rsidRPr="00C33834" w14:paraId="5763F87A" w14:textId="77777777">
        <w:tc>
          <w:tcPr>
            <w:tcW w:w="2318" w:type="dxa"/>
          </w:tcPr>
          <w:p w14:paraId="254D0280"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Н-5</w:t>
            </w:r>
          </w:p>
        </w:tc>
        <w:tc>
          <w:tcPr>
            <w:tcW w:w="2318" w:type="dxa"/>
          </w:tcPr>
          <w:p w14:paraId="1665BD9F"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2318" w:type="dxa"/>
          </w:tcPr>
          <w:p w14:paraId="58283D6C"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2318" w:type="dxa"/>
          </w:tcPr>
          <w:p w14:paraId="1AC94F13"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2318" w:type="dxa"/>
          </w:tcPr>
          <w:p w14:paraId="37EB4287"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1932</w:t>
            </w:r>
          </w:p>
        </w:tc>
      </w:tr>
      <w:tr w:rsidR="00F26F01" w:rsidRPr="00C33834" w14:paraId="12DDAE36" w14:textId="77777777">
        <w:tc>
          <w:tcPr>
            <w:tcW w:w="2318" w:type="dxa"/>
          </w:tcPr>
          <w:p w14:paraId="31404C71"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Н-6</w:t>
            </w:r>
          </w:p>
        </w:tc>
        <w:tc>
          <w:tcPr>
            <w:tcW w:w="2318" w:type="dxa"/>
          </w:tcPr>
          <w:p w14:paraId="0AC16904"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2318" w:type="dxa"/>
          </w:tcPr>
          <w:p w14:paraId="38E66963"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380</w:t>
            </w:r>
          </w:p>
        </w:tc>
        <w:tc>
          <w:tcPr>
            <w:tcW w:w="2318" w:type="dxa"/>
          </w:tcPr>
          <w:p w14:paraId="7A65D7DF"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2318" w:type="dxa"/>
          </w:tcPr>
          <w:p w14:paraId="30178F35"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1932</w:t>
            </w:r>
          </w:p>
        </w:tc>
      </w:tr>
    </w:tbl>
    <w:p w14:paraId="5D710BCE"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порядке проверки настоящего постановления Военно-морская инспекция НК-РКИ провела специальное обследование опытного дизелестроения, в результате которого установлено, что несмотря на значительные затраты на проектирование и экспериментальные работы, постройка опытных авиадизелей находится в неудовлетворительном состоянии.</w:t>
      </w:r>
    </w:p>
    <w:p w14:paraId="54DED4E5"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 один из перечисленных в постановлении СТО двигателей не только не предъявлен в указанные сроки на гос. испытания, но большинство из них в основном еще не запущены даже в производство.</w:t>
      </w:r>
    </w:p>
    <w:p w14:paraId="039A4716"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отдельным объектам работы находятся в следующем положении:</w:t>
      </w:r>
    </w:p>
    <w:p w14:paraId="50A5CE10" w14:textId="77777777" w:rsidR="003446BF" w:rsidRPr="00C33834" w:rsidRDefault="003446BF" w:rsidP="00C33834">
      <w:pPr>
        <w:pStyle w:val="a3"/>
        <w:widowControl/>
        <w:rPr>
          <w:color w:val="000000" w:themeColor="text1"/>
          <w:lang w:val="ru-RU"/>
        </w:rPr>
      </w:pPr>
      <w:r w:rsidRPr="00C33834">
        <w:rPr>
          <w:color w:val="000000" w:themeColor="text1"/>
          <w:lang w:val="ru-RU"/>
        </w:rPr>
        <w:t>Двигатель Н-1.</w:t>
      </w:r>
    </w:p>
    <w:p w14:paraId="03DF2910"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Спроектирован в Центральном институте авиамоторостроения (ЦИАМе) под руководством инженера Чаромского. Изготовляется Н-1 на опытном заводе ЦИАМа. Рабочие чертежи были изготовлены и сданы в производство в ноябре 1932 года. Заказы на поковки размещены на заводах «Электросталь», Ижевском и Крематорском </w:t>
      </w:r>
      <w:r w:rsidRPr="00C33834">
        <w:rPr>
          <w:rFonts w:ascii="Times New Roman" w:hAnsi="Times New Roman"/>
          <w:color w:val="000000" w:themeColor="text1"/>
          <w:sz w:val="16"/>
          <w:szCs w:val="16"/>
        </w:rPr>
        <w:lastRenderedPageBreak/>
        <w:t>со сроками поставки начиная с 1 февраля 1933 года. Как сроки поступления поковок, так и сроки механической обработки деталей на заводе ЦИАМа сорваны. Особенно неудовлетворительно обстоит дело с цветными деталями – поставщиками которых являются заводы №№ 26 и 45.</w:t>
      </w:r>
    </w:p>
    <w:p w14:paraId="2336F7D9"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Н-2.</w:t>
      </w:r>
    </w:p>
    <w:p w14:paraId="0ECEF9AE"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Спроектирован Ленинградским дизельным институтом под руководством проф. Мартенса. Рабочие чертежи были готовы в ноябре 1932 года. В настоящее время двигатель находится в производстве (механическая обработка и цветное литье) на заводах №№ 24, 26, ЦИАМа и «Большевик». Поковки коленчатого вала размещены на заводе им. Молотова со сроком поставки 1 апреля 1933 года. Сборку и испытание предполагается проводить в Ленинграде в Дизельном институте, где почти полностью отсутствуют необходимые к тому условия.</w:t>
      </w:r>
    </w:p>
    <w:p w14:paraId="354D4461"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 показал, что необходимо строить не менее трех экземпляров двигателя со значительным количеством запасных частей.</w:t>
      </w:r>
    </w:p>
    <w:p w14:paraId="7045119B"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тем, дизель проф. Мартенса строится в одном экземпляре, т.е. повторяется ошибка, которая имела место с бензиновыми двигателями, когда незначительные поломки выводили двигатель из строя и прекращали испытания на длительный срок.</w:t>
      </w:r>
    </w:p>
    <w:p w14:paraId="24C15561"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Н-3.</w:t>
      </w:r>
    </w:p>
    <w:p w14:paraId="27F53DA3"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Спроектирован Украинским институтом авиадизелей Аэрофлота под руководством проф. Майера. В проекте не предусмотрена высотность, как это указано в постановлении СТО и, кроме того, не выдержан вес мотора – вместо 1,2 кг/л.с. – 1,4 кг/л.с. Рабочие чертежи изготовлены к марту 1933 года. Заказы на поковки, крупное литье и мехобработку полностью еще не размещены. Размещенная же часть заказов (кол/вала и крупные стальные детали) не гарантированы сроками.</w:t>
      </w:r>
    </w:p>
    <w:p w14:paraId="064A5010"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Н-4.</w:t>
      </w:r>
    </w:p>
    <w:p w14:paraId="6BEE31FA"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Спроектирован Харьковским авиаинститутом ГУАПа под руководством проф. Цветкова. Рабочие чертежи были готовы к 1 марта 1933 года. Заказы размещены на 15-ти различных заводах. Поковки выполнены на 70%, модели на 70%. Приступлено к механической обработке мелких деталей. Качество работ внушает большие опасения, так как заказы размещены на заводах, которые вряд-ли сумеют обеспечить необходимую для авиадвигателя точность ………………………</w:t>
      </w:r>
    </w:p>
    <w:p w14:paraId="2C003E8E"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Н-5.</w:t>
      </w:r>
    </w:p>
    <w:p w14:paraId="206C9572"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Спроектирован Особым КБ ОГПУ под руководством проф. Бриллинга и Стечкина. Проектом не предусмотрена высотность двигателя, как указано в постановлении СТО. Рабочие чертежи закончены в апреле 1932 года; разместить же заказы удалось, после длительной волокиты, лишь в конце года, т. е. 9 месяцев спустя. Плана производства деталей нет и до настоящего времени. Опытный завод ЦИАМа выпустил пока еще 13 деталей из 1800; на заводе № 24, запущено в производство всего 15 деталей, из 290. Сроки поставки поковок (Ижевский завод, им. Молотова, Электросталь) не выдерживаются.</w:t>
      </w:r>
    </w:p>
    <w:p w14:paraId="00ADF150"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Н-6.</w:t>
      </w:r>
    </w:p>
    <w:p w14:paraId="2C0F34B3"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Разработанный проект мотора ОКБ-ОГПУ под руководством инж. Бессонова, не отвечает заданным условиям (450 л. с. вместо 500 л. с. – 425 кг вместо 350 кг) в связи с чем к разработке рабочих чертежей еще не приступлено и вопрос о целесообразности его постройки не разрешен.</w:t>
      </w:r>
    </w:p>
    <w:p w14:paraId="5E657811"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Основными причинами срыва плана опытного строительства авиадизелей, утвержденного Правительством, являются:</w:t>
      </w:r>
    </w:p>
    <w:p w14:paraId="75BBFCA0" w14:textId="77777777" w:rsidR="003446BF" w:rsidRPr="00C33834" w:rsidRDefault="003446BF" w:rsidP="00C33834">
      <w:pPr>
        <w:numPr>
          <w:ilvl w:val="0"/>
          <w:numId w:val="19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Отсутствие должного наблюдения за выполнением заданий Правительства со стороны НКТП и НКВМора.</w:t>
      </w:r>
    </w:p>
    <w:p w14:paraId="47D7838E"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 Наркомтяжпром в лице ГВМУ и Сектора контроля исполнения, ни Наркомвоенмор в лице УВВС не вели повседневного контроля проектирования и производства авиадизелей. Ряд категорических распоряжений и приказов Орджоникидзе о форсировании производства двигателей Н-2, Н-5 и Н-1 заводами не выполнялись и виновные не привлекались к ответственности.</w:t>
      </w:r>
    </w:p>
    <w:p w14:paraId="31DEBB20"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военное мобуправление Наркомтяжпрома не имееет даже более или менее точных сведений о ходе выполнения заказов на поковки для авиадизелей и состоянии производства в целом. Научно-испытательный институт УВВС – одной из основных задач которого является наблюдение за опытным строительством, только в конце 1932 года выделил специальных лиц для контроля за ходом производства авиадизелей.</w:t>
      </w:r>
    </w:p>
    <w:p w14:paraId="48BD7A9D" w14:textId="77777777" w:rsidR="003446BF" w:rsidRPr="00C33834" w:rsidRDefault="003446BF" w:rsidP="00C33834">
      <w:pPr>
        <w:numPr>
          <w:ilvl w:val="0"/>
          <w:numId w:val="19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Неудовлетворительное руководство и наблюдение за ходом проектирования и производства со стороны учреждений и ведомств, в ведении которых находятся проектирующие организации</w:t>
      </w:r>
    </w:p>
    <w:p w14:paraId="2815B786"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управление авиапромышленности уделяло внимание лишь производству двигателя Н-1 ЦИАМа, оставив совершенно без руководства работы Харьковского авиаинститута по Н-4, на том лишь основании, что финансирование этой работы производило УВВС НКВМора. ГУАП не только не помогал, но подчас просто тормозил размещение заказов на своих заводах по производству деталей для двигателя Н-2 проф. Мартенса и Н-5 ОКБ ОГПУ.</w:t>
      </w:r>
    </w:p>
    <w:p w14:paraId="642E4507"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управление Аэрофлота также недостаточно руководило и обеспечивало работы Харьковского дизельного института двигатель Н-3.</w:t>
      </w:r>
    </w:p>
    <w:p w14:paraId="5E1B03F8" w14:textId="77777777" w:rsidR="003446BF" w:rsidRPr="00C33834" w:rsidRDefault="003446BF" w:rsidP="00C33834">
      <w:pPr>
        <w:numPr>
          <w:ilvl w:val="0"/>
          <w:numId w:val="19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Безответственное отношение к заданиям Правительства со стороны проектирующих организаций.</w:t>
      </w:r>
    </w:p>
    <w:p w14:paraId="4D74268C"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Сроки выхода на гос. испытания, утвержденные постановлением СТО 4 июля 1932 года не только согласованы, но в основном предложены самими проектирующими организациями. Между тем, зная о срыве никто официально не ставил вопрос об их изменении. Точно также, отходя в проектах от техусловий, утвержденных указанным постановлением СТО (не выдержаны условия высотности, веса, мощности), проектные организации не чувствовали никакой ответственности в данном вопросе и смотрели на это как на нормальное положение дела.</w:t>
      </w:r>
    </w:p>
    <w:p w14:paraId="7BF7A072" w14:textId="77777777" w:rsidR="003446BF" w:rsidRPr="00C33834" w:rsidRDefault="003446BF" w:rsidP="00C33834">
      <w:pPr>
        <w:numPr>
          <w:ilvl w:val="0"/>
          <w:numId w:val="19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Отсутствие производственной и испытательной базы у всех проектных организаций (кроме ЦИАМа).</w:t>
      </w:r>
    </w:p>
    <w:p w14:paraId="65D34294" w14:textId="77777777" w:rsidR="003446BF" w:rsidRPr="00C33834" w:rsidRDefault="003446BF" w:rsidP="00C33834">
      <w:pPr>
        <w:pStyle w:val="a3"/>
        <w:widowControl/>
        <w:rPr>
          <w:color w:val="000000" w:themeColor="text1"/>
          <w:lang w:val="ru-RU"/>
        </w:rPr>
      </w:pPr>
      <w:r w:rsidRPr="00C33834">
        <w:rPr>
          <w:color w:val="000000" w:themeColor="text1"/>
          <w:lang w:val="ru-RU"/>
        </w:rPr>
        <w:t>Производство авиадвигателей сосредоточено более чем на ста различных предприятиях, причем в числе их имеются предприятия кустарные – с устаревшими оборудованием, не могущим обеспечить необходимой для деталей авиадвигателей точностью. Опыт показывает, что даже в случае производства мотора на одном заводе в процессе сборки и испытаний, требуются значительные переделки и доводки. При отсутствии же собственной производственной и испытательной базы, неизбежно удлинится срок сдачи моторов на гос. испытания.</w:t>
      </w:r>
    </w:p>
    <w:p w14:paraId="74AE09B2" w14:textId="77777777" w:rsidR="003446BF" w:rsidRPr="00C33834" w:rsidRDefault="003446BF" w:rsidP="00C33834">
      <w:pPr>
        <w:numPr>
          <w:ilvl w:val="0"/>
          <w:numId w:val="19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Невыполнение в срок заказов на поковки для авиадизелей.</w:t>
      </w:r>
    </w:p>
    <w:p w14:paraId="53B6DB03"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Заводы-поставщики (Мотовилихинский, Ижевский, Электросталь и др.), несмотря на категорическое распоряжение НКТПрома, упорно не принимали заказов, а приняв всячески тормозили их выполнение. До сего времени нет поковок для двигателя Н-2 проф. Мартенса. Затянуто, против сроков, изготовление поковок для Н-5 ОКБ-ОГПУ, а поступившие поковки для двигателей Н-3 и Н-4 оказались некондиционными.</w:t>
      </w:r>
    </w:p>
    <w:p w14:paraId="28FCEAEB" w14:textId="77777777" w:rsidR="003446BF" w:rsidRPr="00C33834" w:rsidRDefault="003446BF" w:rsidP="00C33834">
      <w:pPr>
        <w:numPr>
          <w:ilvl w:val="0"/>
          <w:numId w:val="19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Отсутствие научно-исследовательской и экспериментальной базы у большинства проектных организаций для опытной проверки основных принципов новых конструкций.</w:t>
      </w:r>
    </w:p>
    <w:p w14:paraId="09CCF145" w14:textId="77777777" w:rsidR="003446BF" w:rsidRPr="00C33834" w:rsidRDefault="003446BF" w:rsidP="00C33834">
      <w:pPr>
        <w:pStyle w:val="a3"/>
        <w:widowControl/>
        <w:rPr>
          <w:color w:val="000000" w:themeColor="text1"/>
          <w:lang w:val="ru-RU"/>
        </w:rPr>
      </w:pPr>
      <w:r w:rsidRPr="00C33834">
        <w:rPr>
          <w:color w:val="000000" w:themeColor="text1"/>
          <w:lang w:val="ru-RU"/>
        </w:rPr>
        <w:t>Большинство проектирующих организаций не имеет ни научно-исследовательской базы, ни одноцилиндровых установок, на которых как правило, должны были проводиться опытные проверки основных элементов новых конструкций, прежде чем развертывать производство многоцилиндровой машины.</w:t>
      </w:r>
    </w:p>
    <w:p w14:paraId="1650AAE0"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данном случае повторяется то же положение, которое имело место с бензиновыми карбюраторами двигателя. В 1927-30 г.г. мы имели до 60 различных опытных моторов (Сторостина, Микулина, Бессонова, Киреева и др.) и ни один из них, как известно, не пошел. Между тем, на них были затрачены миллионные суммы. Объясняется это не только наличием организованного вредительства, но и отсутствием экспериментальной базы.</w:t>
      </w:r>
    </w:p>
    <w:p w14:paraId="2FB81FCE" w14:textId="77777777" w:rsidR="003446BF" w:rsidRPr="00C33834" w:rsidRDefault="003446BF" w:rsidP="00C33834">
      <w:pPr>
        <w:numPr>
          <w:ilvl w:val="0"/>
          <w:numId w:val="19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Неудовлетворительное финансирование опытного строительства дизелей.</w:t>
      </w:r>
    </w:p>
    <w:p w14:paraId="45A8DFCD"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Здесь имеется с одной стороны недостаточный контроль за расходованием средств, с другой стороны отсутствовала плановость и система. Отмечен факт, когда из-за ведомственной недоговоренности (ГУАП, ГУГВФ, НКВМ) организациям прекращался отпуск средств и работы из-за этого тормозились (пример Н-4 ХАН).</w:t>
      </w:r>
    </w:p>
    <w:p w14:paraId="7A9E9DA0"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следует констатировать, что:</w:t>
      </w:r>
    </w:p>
    <w:p w14:paraId="32120161" w14:textId="77777777" w:rsidR="003446BF" w:rsidRPr="00C33834" w:rsidRDefault="003446BF" w:rsidP="00C33834">
      <w:pPr>
        <w:numPr>
          <w:ilvl w:val="0"/>
          <w:numId w:val="19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Сроки предъявления на гос. испытания авиадизелей, утвержденные СТО не выполнены.</w:t>
      </w:r>
    </w:p>
    <w:p w14:paraId="77CBC29F" w14:textId="77777777" w:rsidR="003446BF" w:rsidRPr="00C33834" w:rsidRDefault="003446BF" w:rsidP="00C33834">
      <w:pPr>
        <w:numPr>
          <w:ilvl w:val="0"/>
          <w:numId w:val="19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Обеспеченность поковками и состояние производства находится в неудовлетворительном состоянии, не гарантирующем окончание работ в ближайшее время ни по одному двигателю.</w:t>
      </w:r>
    </w:p>
    <w:p w14:paraId="5EF64C8A" w14:textId="77777777" w:rsidR="003446BF" w:rsidRPr="00C33834" w:rsidRDefault="003446BF" w:rsidP="00C33834">
      <w:pPr>
        <w:numPr>
          <w:ilvl w:val="0"/>
          <w:numId w:val="20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Руководство, контроль и финансирование дизелестроением не обеспечено со стороны органов, на которых лежит эта обязанность (ГУАП, ГУГВФ, УВВС).</w:t>
      </w:r>
    </w:p>
    <w:p w14:paraId="29E330DC" w14:textId="77777777" w:rsidR="003446BF" w:rsidRPr="00C33834" w:rsidRDefault="003446BF" w:rsidP="00C33834">
      <w:pPr>
        <w:numPr>
          <w:ilvl w:val="0"/>
          <w:numId w:val="20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Большинство проектных организаций не имеет экспериментальной, производственной и испытательной базы.</w:t>
      </w:r>
    </w:p>
    <w:p w14:paraId="0BD642E3" w14:textId="77777777" w:rsidR="003446BF" w:rsidRPr="00C33834" w:rsidRDefault="003446BF" w:rsidP="00C33834">
      <w:pPr>
        <w:numPr>
          <w:ilvl w:val="0"/>
          <w:numId w:val="20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Проектирующие организации самовольно допускали изменения техусловий на дизеля.</w:t>
      </w:r>
    </w:p>
    <w:p w14:paraId="35D0C593"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форсирования работ по опытному дизелестроению, необходим ряд мероприятий, которые и изложены в прилагаемом проекте постановления СТО (4223, 17-22).</w:t>
      </w:r>
    </w:p>
    <w:p w14:paraId="25385A57"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 Постановления СТО (к № 515).</w:t>
      </w:r>
    </w:p>
    <w:p w14:paraId="7DEE8F72"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вопросу: Об опытном авиадизелестроении</w:t>
      </w:r>
    </w:p>
    <w:p w14:paraId="4402126F"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 постановляет:</w:t>
      </w:r>
    </w:p>
    <w:p w14:paraId="1E89F648" w14:textId="77777777" w:rsidR="003446BF" w:rsidRPr="00C33834" w:rsidRDefault="003446BF" w:rsidP="00C33834">
      <w:pPr>
        <w:numPr>
          <w:ilvl w:val="0"/>
          <w:numId w:val="20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Признать состояние опытного строительства авиадизелей неудовлетворительным.</w:t>
      </w:r>
    </w:p>
    <w:p w14:paraId="2DB9E659" w14:textId="77777777" w:rsidR="003446BF" w:rsidRPr="00C33834" w:rsidRDefault="003446BF" w:rsidP="00C33834">
      <w:pPr>
        <w:numPr>
          <w:ilvl w:val="0"/>
          <w:numId w:val="20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Указать Баранову – ГУАП, Анвельт – ГУГВФ, Горянову – ОГПУ, Павлуновскому – НКТП на невыполнение постановления СТО от 4 августа 1932 года по опытному строительству, в результате чего опытное дизелестроение не было обеспечено производственными базами, отсутствовал контроль за выполнением сроков проектирования и производства.</w:t>
      </w:r>
    </w:p>
    <w:p w14:paraId="4FC6B507"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Обратить внимание Тухачевского на отсутствие с его стороны наблюдения за состоянием опытных работ по дизелестроению.</w:t>
      </w:r>
    </w:p>
    <w:p w14:paraId="151BBF70" w14:textId="77777777" w:rsidR="003446BF" w:rsidRPr="00C33834" w:rsidRDefault="003446BF" w:rsidP="00C33834">
      <w:pPr>
        <w:numPr>
          <w:ilvl w:val="0"/>
          <w:numId w:val="20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Установить следующие окончательные сроки предъявления дизелей на гос.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F26F01" w:rsidRPr="00C33834" w14:paraId="1674F266" w14:textId="77777777">
        <w:tc>
          <w:tcPr>
            <w:tcW w:w="2318" w:type="dxa"/>
          </w:tcPr>
          <w:p w14:paraId="648BE2C2"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Название дизеля</w:t>
            </w:r>
          </w:p>
        </w:tc>
        <w:tc>
          <w:tcPr>
            <w:tcW w:w="2318" w:type="dxa"/>
          </w:tcPr>
          <w:p w14:paraId="658719B8"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w:t>
            </w:r>
          </w:p>
        </w:tc>
        <w:tc>
          <w:tcPr>
            <w:tcW w:w="2318" w:type="dxa"/>
          </w:tcPr>
          <w:p w14:paraId="0AF2A19B"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2318" w:type="dxa"/>
          </w:tcPr>
          <w:p w14:paraId="192E7128"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2318" w:type="dxa"/>
          </w:tcPr>
          <w:p w14:paraId="25B7C7B3"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r>
      <w:tr w:rsidR="00F26F01" w:rsidRPr="00C33834" w14:paraId="7C149163" w14:textId="77777777">
        <w:tc>
          <w:tcPr>
            <w:tcW w:w="2318" w:type="dxa"/>
          </w:tcPr>
          <w:p w14:paraId="1F83FAC3"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Н-1</w:t>
            </w:r>
          </w:p>
        </w:tc>
        <w:tc>
          <w:tcPr>
            <w:tcW w:w="2318" w:type="dxa"/>
          </w:tcPr>
          <w:p w14:paraId="2537DE29"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1933 года</w:t>
            </w:r>
          </w:p>
        </w:tc>
        <w:tc>
          <w:tcPr>
            <w:tcW w:w="2318" w:type="dxa"/>
          </w:tcPr>
          <w:p w14:paraId="6B52A422"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2318" w:type="dxa"/>
          </w:tcPr>
          <w:p w14:paraId="5C6F9300"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2318" w:type="dxa"/>
          </w:tcPr>
          <w:p w14:paraId="3F676182"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840</w:t>
            </w:r>
          </w:p>
        </w:tc>
      </w:tr>
      <w:tr w:rsidR="00F26F01" w:rsidRPr="00C33834" w14:paraId="223E31E3" w14:textId="77777777">
        <w:tc>
          <w:tcPr>
            <w:tcW w:w="2318" w:type="dxa"/>
          </w:tcPr>
          <w:p w14:paraId="3C1A8903"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Н-2</w:t>
            </w:r>
          </w:p>
        </w:tc>
        <w:tc>
          <w:tcPr>
            <w:tcW w:w="2318" w:type="dxa"/>
          </w:tcPr>
          <w:p w14:paraId="61071047"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февраля 1934 года</w:t>
            </w:r>
          </w:p>
        </w:tc>
        <w:tc>
          <w:tcPr>
            <w:tcW w:w="2318" w:type="dxa"/>
          </w:tcPr>
          <w:p w14:paraId="67086BFA"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2318" w:type="dxa"/>
          </w:tcPr>
          <w:p w14:paraId="49233D25"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2318" w:type="dxa"/>
          </w:tcPr>
          <w:p w14:paraId="67EDA0C9"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w:t>
            </w:r>
          </w:p>
        </w:tc>
      </w:tr>
      <w:tr w:rsidR="00F26F01" w:rsidRPr="00C33834" w14:paraId="4774E952" w14:textId="77777777">
        <w:tc>
          <w:tcPr>
            <w:tcW w:w="2318" w:type="dxa"/>
          </w:tcPr>
          <w:p w14:paraId="470C9666"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Н-3</w:t>
            </w:r>
          </w:p>
        </w:tc>
        <w:tc>
          <w:tcPr>
            <w:tcW w:w="2318" w:type="dxa"/>
          </w:tcPr>
          <w:p w14:paraId="48F2A517"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февраля 1934 года</w:t>
            </w:r>
          </w:p>
        </w:tc>
        <w:tc>
          <w:tcPr>
            <w:tcW w:w="2318" w:type="dxa"/>
          </w:tcPr>
          <w:p w14:paraId="1FB43BA0"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2318" w:type="dxa"/>
          </w:tcPr>
          <w:p w14:paraId="60601B8D"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2318" w:type="dxa"/>
          </w:tcPr>
          <w:p w14:paraId="620DD36D"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650</w:t>
            </w:r>
          </w:p>
        </w:tc>
      </w:tr>
      <w:tr w:rsidR="00F26F01" w:rsidRPr="00C33834" w14:paraId="56A6DA33" w14:textId="77777777">
        <w:tc>
          <w:tcPr>
            <w:tcW w:w="2318" w:type="dxa"/>
          </w:tcPr>
          <w:p w14:paraId="6B27B7C4"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Н-4</w:t>
            </w:r>
          </w:p>
        </w:tc>
        <w:tc>
          <w:tcPr>
            <w:tcW w:w="2318" w:type="dxa"/>
          </w:tcPr>
          <w:p w14:paraId="6DC1D742"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апреля 1934 года</w:t>
            </w:r>
          </w:p>
        </w:tc>
        <w:tc>
          <w:tcPr>
            <w:tcW w:w="2318" w:type="dxa"/>
          </w:tcPr>
          <w:p w14:paraId="406BDEF6"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500-600</w:t>
            </w:r>
          </w:p>
        </w:tc>
        <w:tc>
          <w:tcPr>
            <w:tcW w:w="2318" w:type="dxa"/>
          </w:tcPr>
          <w:p w14:paraId="05555112"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2318" w:type="dxa"/>
          </w:tcPr>
          <w:p w14:paraId="3513E0E1"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500-600</w:t>
            </w:r>
          </w:p>
        </w:tc>
      </w:tr>
      <w:tr w:rsidR="00F26F01" w:rsidRPr="00C33834" w14:paraId="37058F61" w14:textId="77777777">
        <w:tc>
          <w:tcPr>
            <w:tcW w:w="2318" w:type="dxa"/>
          </w:tcPr>
          <w:p w14:paraId="5A0DB4C9"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Н-5</w:t>
            </w:r>
          </w:p>
        </w:tc>
        <w:tc>
          <w:tcPr>
            <w:tcW w:w="2318" w:type="dxa"/>
          </w:tcPr>
          <w:p w14:paraId="5ADD7030"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1933 года</w:t>
            </w:r>
          </w:p>
        </w:tc>
        <w:tc>
          <w:tcPr>
            <w:tcW w:w="2318" w:type="dxa"/>
          </w:tcPr>
          <w:p w14:paraId="7C25D439"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2318" w:type="dxa"/>
          </w:tcPr>
          <w:p w14:paraId="524B9966"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2318" w:type="dxa"/>
          </w:tcPr>
          <w:p w14:paraId="3948C049"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r>
    </w:tbl>
    <w:p w14:paraId="6B5A546D" w14:textId="77777777" w:rsidR="003446BF" w:rsidRPr="00C33834" w:rsidRDefault="003446BF" w:rsidP="00C33834">
      <w:pPr>
        <w:numPr>
          <w:ilvl w:val="0"/>
          <w:numId w:val="20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Подтвердить полную ответственность за своевременный выпуск дизелей:</w:t>
      </w:r>
    </w:p>
    <w:p w14:paraId="0365D1C9"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Баранова (ГУАП) дизелей Н-1 и Н-4</w:t>
      </w:r>
    </w:p>
    <w:p w14:paraId="742DCCFB"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Анвельта (ГУГВФ) дизелей Н-2 и Н-3</w:t>
      </w:r>
    </w:p>
    <w:p w14:paraId="1C1DA588"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Миронова (ОГПУ) дизеля Н-5</w:t>
      </w:r>
    </w:p>
    <w:p w14:paraId="38641F0F" w14:textId="77777777" w:rsidR="003446BF" w:rsidRPr="00C33834" w:rsidRDefault="003446BF" w:rsidP="00C33834">
      <w:pPr>
        <w:numPr>
          <w:ilvl w:val="0"/>
          <w:numId w:val="20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Возложить персональную ответственность за своевременное производство, сборку дизелей и сдачу дизелей на гос. испытания на лиц:</w:t>
      </w:r>
    </w:p>
    <w:p w14:paraId="74085551"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 мотору Н-1: под ответственность Побережского (ЦИАМ) закончить производство всех деталей к 1 июля 1933 года, сборку мотора к 15 августа 1933 года, своевременно сдать дизель на гос. испытание.</w:t>
      </w:r>
    </w:p>
    <w:p w14:paraId="7EBE0094"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 мотору Н-2: 1. Под ответственность Мартенса (Ленинградский дизельный институт) своевременно сдать дизель на гос. испытание. 2. Под ответственность Побережского (ЦИАМ) выполнить: выданный ему заказ на механическую обработку и сборку узлов к 1 мая 1933 года, колено кривошипного механизма наддувочного компрессора (для хиртовского вала) – к 15 мая 1933 года. Коленчатый вал с комплектом пропеллерной втулки и кривоколенный механизм наддувочного компрессора – к 1 августа 1933 года; топливные насосы к 1 июня 1933 года. 3. Под ответственность директора завода № 26 Королева выполнить узлы золотникового картера и распределительных валов к 1 мая 1933 года. 4. Под ответственность директора завода им. Ворошилова Барыкова обеспечить подачу деталей по заказу ВНИДИ к 10 мая 1933 года, обеспечить сборку и испытание двигателя на заводе и начать таковую 20 мая 1933 года. 5. Директору (завод им. Молотова) Премудрову обеспечить выполнение заказов на поковки коленчатого вала со сроками подачи начиная с 1 мая 1933 года.</w:t>
      </w:r>
    </w:p>
    <w:p w14:paraId="5A292D38"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 мотору Н-3: 1. Под ответственность Майера (Харьковский дизельный институт) своевременно сдать дизель на гос. испытание. 2. Под ответственность директора завода № 26 Королева , цветное литье (картеры, блоки и головки) закончить к 1 июня 1933 года. 3.. Под ответственность директора ХАЗ Владимирова закончить механическую обработку всех крупных деталей к 1 августа 1933 года. 4. Под ответственность директора Ижевского завода Максимова к 1 июля 1933 года закончить поковку коленчатого вала.</w:t>
      </w:r>
    </w:p>
    <w:p w14:paraId="78B89621"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По мотору Н-4: 1. Под ответственность Красильникова (Харьковский авиационный институт) своевременно сдать дизель на гос. испытание. 2. Под ответственность директора Ижевского завода Максимова поковку коленвала закончить к 1 июля 1933 года. 3. Под ответственность директора ХПЗ Владимирова обработку вала и картера закончить 1 сентября 1933 года. 4. Под ответственность директора завода № 29 Александрова С-литье поршней, блоков и головок закончить к 1 июля 1933 года. 5. Предложить Красильниковуразместить группу компрессоров к 1 мая 1933 года. 6. Сборку мотора, под ответственность Красильникова закончить к 1 декабря 1933 года.</w:t>
      </w:r>
    </w:p>
    <w:p w14:paraId="5C64798E"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По мотору Н-5: 1. Под ответственность Горянова своевременно сдать дизель на гос. испытание. 2. Под ответственность зам. директора завода № 24 Колосова выполнитьпроизводство шатунов, блоков и втулок для винтов к 1 июня 1933 года. 3. Под ответственность директора завода № 26 Королева , отлить и обработать цветное литье к 1 июня 1933 года. 4. Под ответственность директора ЦИАМ Побережского испытание импеллерной группы закончить к 1 июля 1933 года, а сборку моторов в целом к 1 августа 1933 года.</w:t>
      </w:r>
    </w:p>
    <w:p w14:paraId="1598294F" w14:textId="77777777" w:rsidR="003446BF" w:rsidRPr="00C33834" w:rsidRDefault="003446BF" w:rsidP="00C33834">
      <w:pPr>
        <w:numPr>
          <w:ilvl w:val="0"/>
          <w:numId w:val="20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Отметить, что работы по проектированию двигателя Н-6 не привела к положительным результатам (мотор имеет пониженную мощность и высотность). Дальнейшие работы по двигателю Н-6 прекратить.</w:t>
      </w:r>
    </w:p>
    <w:p w14:paraId="097584AF" w14:textId="77777777" w:rsidR="003446BF" w:rsidRPr="00C33834" w:rsidRDefault="003446BF" w:rsidP="00C33834">
      <w:pPr>
        <w:numPr>
          <w:ilvl w:val="0"/>
          <w:numId w:val="20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Учитывая недочеты проектирования и отсутствие ответственности в организации производства опытных дизелей, приведшие к самовольному изменению заданий и технических норм, затруднениям в размещении деталей на заводах и срыву плана опытного дизелестроения – впредь запретить запускать в производство опытные авиадизели до тщательной проверки основных элементов конструкций.</w:t>
      </w:r>
    </w:p>
    <w:p w14:paraId="7C6FDDE6"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 о внедрении в производство опытных дизелей должен разрешаться в каждом отдельном случае замнаркомтяжпрома Барановым.</w:t>
      </w:r>
    </w:p>
    <w:p w14:paraId="6AA0C6D3" w14:textId="77777777" w:rsidR="003446BF" w:rsidRPr="00C33834" w:rsidRDefault="003446BF" w:rsidP="00C33834">
      <w:pPr>
        <w:numPr>
          <w:ilvl w:val="0"/>
          <w:numId w:val="21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Комиссия в составе: Куйбышева Н.В. (председатель), Баранова, Алксниса, Гольцмана – к 1 августа 1933 года представить в СТО свои соображения об организации дизельного института и спецобъединен. производственной базы для опытного дизелестроения.</w:t>
      </w:r>
    </w:p>
    <w:p w14:paraId="34F879AD" w14:textId="77777777" w:rsidR="003446BF" w:rsidRPr="00C33834" w:rsidRDefault="003446BF" w:rsidP="00C33834">
      <w:pPr>
        <w:numPr>
          <w:ilvl w:val="0"/>
          <w:numId w:val="21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Предложить УВВС (Алкснису) и ГУГВФ (Анвельт) немедленно приступить к разработке условий гос. испытаний использования и эксплоатации дизелей.</w:t>
      </w:r>
    </w:p>
    <w:p w14:paraId="3B60A057" w14:textId="77777777" w:rsidR="003446BF" w:rsidRPr="00C33834" w:rsidRDefault="003446BF" w:rsidP="00C33834">
      <w:pPr>
        <w:numPr>
          <w:ilvl w:val="0"/>
          <w:numId w:val="21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Тресту Авиатопливо, УВВС (Зильберт) и ГУГВФ (Ангелов) – немедленно приступить к экспериментальным работам по подбору тяжелых топлив и обеспечить опытные установки и испытания авиадизелей необходимым количеством и требуемыми сортами топлив.</w:t>
      </w:r>
    </w:p>
    <w:p w14:paraId="04F3EFD1" w14:textId="77777777" w:rsidR="003446BF" w:rsidRPr="00C33834" w:rsidRDefault="003446BF" w:rsidP="00C33834">
      <w:pPr>
        <w:numPr>
          <w:ilvl w:val="0"/>
          <w:numId w:val="21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зам. НКТП Баранова подготовить базу к производству дизельной аппаратуры (насосы, форсунки) с расчетом обеспечения серийного производства дизелей в 1934 году.</w:t>
      </w:r>
    </w:p>
    <w:p w14:paraId="1D43DFF9" w14:textId="77777777" w:rsidR="003446BF" w:rsidRPr="00C33834" w:rsidRDefault="003446BF" w:rsidP="00C33834">
      <w:pPr>
        <w:numPr>
          <w:ilvl w:val="0"/>
          <w:numId w:val="21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НКТП Баранову не позднее 1 мая 1933 года представить в СТО план финансирования опытных работ по дизелестроению.</w:t>
      </w:r>
    </w:p>
    <w:p w14:paraId="4FF40C07" w14:textId="77777777" w:rsidR="003446BF" w:rsidRPr="00C33834" w:rsidRDefault="003446BF" w:rsidP="00C33834">
      <w:pPr>
        <w:numPr>
          <w:ilvl w:val="0"/>
          <w:numId w:val="21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Военно-морской инспекции НК-РКИ поквартально докладывать в СТО о ходе выполнения настоящего постановления (4223, 23-25).</w:t>
      </w:r>
    </w:p>
    <w:p w14:paraId="607E47B3" w14:textId="77777777" w:rsidR="003446BF" w:rsidRPr="00C33834" w:rsidRDefault="003446BF" w:rsidP="00C33834">
      <w:pPr>
        <w:tabs>
          <w:tab w:val="left" w:pos="360"/>
        </w:tabs>
        <w:spacing w:after="0" w:line="240" w:lineRule="auto"/>
        <w:jc w:val="both"/>
        <w:rPr>
          <w:rFonts w:ascii="Times New Roman" w:hAnsi="Times New Roman"/>
          <w:color w:val="000000" w:themeColor="text1"/>
          <w:sz w:val="16"/>
          <w:szCs w:val="16"/>
        </w:rPr>
      </w:pPr>
    </w:p>
    <w:p w14:paraId="67919217" w14:textId="77777777" w:rsidR="00E31347" w:rsidRPr="00C33834" w:rsidRDefault="00E31347" w:rsidP="00C33834">
      <w:pPr>
        <w:spacing w:after="0" w:line="240" w:lineRule="auto"/>
        <w:jc w:val="both"/>
        <w:rPr>
          <w:rStyle w:val="af0"/>
          <w:rFonts w:ascii="Times New Roman" w:hAnsi="Times New Roman"/>
          <w:i w:val="0"/>
          <w:color w:val="000000" w:themeColor="text1"/>
          <w:sz w:val="16"/>
          <w:szCs w:val="16"/>
        </w:rPr>
      </w:pPr>
      <w:r w:rsidRPr="00C33834">
        <w:rPr>
          <w:rStyle w:val="af0"/>
          <w:rFonts w:ascii="Times New Roman" w:hAnsi="Times New Roman"/>
          <w:i w:val="0"/>
          <w:color w:val="000000" w:themeColor="text1"/>
          <w:sz w:val="16"/>
          <w:szCs w:val="16"/>
        </w:rPr>
        <w:t xml:space="preserve">28 апреля 1933 г. </w:t>
      </w:r>
      <w:r w:rsidRPr="00C33834">
        <w:rPr>
          <w:rFonts w:ascii="Times New Roman" w:hAnsi="Times New Roman"/>
          <w:color w:val="000000" w:themeColor="text1"/>
          <w:sz w:val="16"/>
          <w:szCs w:val="16"/>
        </w:rPr>
        <w:t>Докладная записка Военно-морской инспекции НК РКИ СССР в СТО СССР об опытном строительстве авиационных двигателей</w:t>
      </w:r>
    </w:p>
    <w:p w14:paraId="569E640E"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Совершенно секретно.</w:t>
      </w:r>
    </w:p>
    <w:p w14:paraId="157155EA" w14:textId="77777777" w:rsidR="00E31347" w:rsidRPr="00C33834" w:rsidRDefault="00E31347" w:rsidP="00C33834">
      <w:pPr>
        <w:pStyle w:val="rtejustify"/>
        <w:spacing w:before="0" w:after="0"/>
        <w:rPr>
          <w:color w:val="000000" w:themeColor="text1"/>
          <w:sz w:val="16"/>
          <w:szCs w:val="16"/>
        </w:rPr>
      </w:pPr>
      <w:r w:rsidRPr="00C33834">
        <w:rPr>
          <w:color w:val="000000" w:themeColor="text1"/>
          <w:sz w:val="16"/>
          <w:szCs w:val="16"/>
        </w:rPr>
        <w:t>Постановлением СТО от 4 июля 1932 г. был утвержден следующий план опытного строительства авиационных двигателей: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57"/>
        <w:gridCol w:w="1949"/>
        <w:gridCol w:w="1456"/>
        <w:gridCol w:w="2182"/>
        <w:gridCol w:w="3078"/>
      </w:tblGrid>
      <w:tr w:rsidR="00F26F01" w:rsidRPr="00C33834" w14:paraId="2ADAA46F"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F9A9E8"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7F016"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26EC8"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0D2FC"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AEFB4"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w:t>
            </w:r>
          </w:p>
        </w:tc>
      </w:tr>
      <w:tr w:rsidR="00F26F01" w:rsidRPr="00C33834" w14:paraId="58F5102B"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E2FA36"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Н</w:t>
            </w:r>
            <w:r w:rsidRPr="00C33834">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5B2D3"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A0DE2"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39102"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EE7F2"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марта 1933 г.</w:t>
            </w:r>
          </w:p>
        </w:tc>
      </w:tr>
      <w:tr w:rsidR="00F26F01" w:rsidRPr="00C33834" w14:paraId="64290275"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7A38FB"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Н</w:t>
            </w:r>
            <w:r w:rsidRPr="00C33834">
              <w:rPr>
                <w:rFonts w:ascii="Times New Roman" w:hAnsi="Times New Roman"/>
                <w:color w:val="000000" w:themeColor="text1"/>
                <w:sz w:val="16"/>
                <w:szCs w:val="16"/>
              </w:rPr>
              <w:noBreakHyphen/>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8DC97"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33372"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964CB"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CAB6C"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1933 г.</w:t>
            </w:r>
          </w:p>
        </w:tc>
      </w:tr>
      <w:tr w:rsidR="00F26F01" w:rsidRPr="00C33834" w14:paraId="7F95948F"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503380"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Н</w:t>
            </w:r>
            <w:r w:rsidRPr="00C33834">
              <w:rPr>
                <w:rFonts w:ascii="Times New Roman" w:hAnsi="Times New Roman"/>
                <w:color w:val="000000" w:themeColor="text1"/>
                <w:sz w:val="16"/>
                <w:szCs w:val="16"/>
              </w:rPr>
              <w:noBreakHyphen/>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465AD"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D962E"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757F9"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6CF8F"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1933 г.</w:t>
            </w:r>
          </w:p>
        </w:tc>
      </w:tr>
      <w:tr w:rsidR="00F26F01" w:rsidRPr="00C33834" w14:paraId="494609D8"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713C91"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Н</w:t>
            </w:r>
            <w:r w:rsidRPr="00C33834">
              <w:rPr>
                <w:rFonts w:ascii="Times New Roman" w:hAnsi="Times New Roman"/>
                <w:color w:val="000000" w:themeColor="text1"/>
                <w:sz w:val="16"/>
                <w:szCs w:val="16"/>
              </w:rPr>
              <w:noBreakHyphen/>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D6204"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r w:rsidRPr="00C33834">
              <w:rPr>
                <w:rFonts w:ascii="Times New Roman" w:hAnsi="Times New Roman"/>
                <w:color w:val="000000" w:themeColor="text1"/>
                <w:sz w:val="16"/>
                <w:szCs w:val="16"/>
              </w:rPr>
              <w:noBreakHyphen/>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5F70A"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r w:rsidRPr="00C33834">
              <w:rPr>
                <w:rFonts w:ascii="Times New Roman" w:hAnsi="Times New Roman"/>
                <w:color w:val="000000" w:themeColor="text1"/>
                <w:sz w:val="16"/>
                <w:szCs w:val="16"/>
              </w:rPr>
              <w:noBreakHyphen/>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30E53"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9823C"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г.</w:t>
            </w:r>
          </w:p>
        </w:tc>
      </w:tr>
      <w:tr w:rsidR="00F26F01" w:rsidRPr="00C33834" w14:paraId="4F402119"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F47957"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Н</w:t>
            </w:r>
            <w:r w:rsidRPr="00C33834">
              <w:rPr>
                <w:rFonts w:ascii="Times New Roman" w:hAnsi="Times New Roman"/>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FB83A"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B56B2"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9CB66"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CCEA4"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1932 г.</w:t>
            </w:r>
          </w:p>
        </w:tc>
      </w:tr>
      <w:tr w:rsidR="00F26F01" w:rsidRPr="00C33834" w14:paraId="3757C6F4"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42ACC6"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Н</w:t>
            </w:r>
            <w:r w:rsidRPr="00C33834">
              <w:rPr>
                <w:rFonts w:ascii="Times New Roman" w:hAnsi="Times New Roman"/>
                <w:color w:val="000000" w:themeColor="text1"/>
                <w:sz w:val="16"/>
                <w:szCs w:val="16"/>
              </w:rPr>
              <w:noBreakHyphen/>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B08F7"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3A7D3"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A170D"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33FE9" w14:textId="77777777" w:rsidR="00E31347" w:rsidRPr="00C33834" w:rsidRDefault="00E3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1932 г.</w:t>
            </w:r>
          </w:p>
        </w:tc>
      </w:tr>
    </w:tbl>
    <w:p w14:paraId="3D785B67" w14:textId="77777777" w:rsidR="00E31347" w:rsidRPr="00C33834" w:rsidRDefault="00E31347" w:rsidP="00C33834">
      <w:pPr>
        <w:pStyle w:val="rtejustify"/>
        <w:spacing w:before="0" w:after="0"/>
        <w:rPr>
          <w:color w:val="000000" w:themeColor="text1"/>
          <w:sz w:val="16"/>
          <w:szCs w:val="16"/>
        </w:rPr>
      </w:pPr>
      <w:r w:rsidRPr="00C33834">
        <w:rPr>
          <w:color w:val="000000" w:themeColor="text1"/>
          <w:sz w:val="16"/>
          <w:szCs w:val="16"/>
        </w:rPr>
        <w:t>В порядке проверки настоящего постановления Военно-морская инспекция НК РКИ СССР провела специальное обследование опытного дизелестроения, в результате которого установлено, что несмотря на значительные затраты на проектирование и экспериментальные работы, постройка опытных авиа-дизелей находится в неудовлетворительном состоянии. Ни один из перечисленных в постановлении СТО двигателей не только не предъявлен в указанные сроки на гос. испытания, но большинство из них в основном еще не запущены даже в производство.</w:t>
      </w:r>
    </w:p>
    <w:p w14:paraId="4D575350" w14:textId="77777777" w:rsidR="00E31347" w:rsidRPr="00C33834" w:rsidRDefault="00E31347" w:rsidP="00C33834">
      <w:pPr>
        <w:pStyle w:val="rtejustify"/>
        <w:spacing w:before="0" w:after="0"/>
        <w:rPr>
          <w:color w:val="000000" w:themeColor="text1"/>
          <w:sz w:val="16"/>
          <w:szCs w:val="16"/>
        </w:rPr>
      </w:pPr>
      <w:r w:rsidRPr="00C33834">
        <w:rPr>
          <w:color w:val="000000" w:themeColor="text1"/>
          <w:sz w:val="16"/>
          <w:szCs w:val="16"/>
        </w:rPr>
        <w:t>По отдельным объектам работы находятся в следующем положении:</w:t>
      </w:r>
    </w:p>
    <w:p w14:paraId="2A23F630" w14:textId="77777777" w:rsidR="00E31347" w:rsidRPr="00C33834" w:rsidRDefault="00E31347" w:rsidP="00C33834">
      <w:pPr>
        <w:pStyle w:val="rtejustify"/>
        <w:spacing w:before="0" w:after="0"/>
        <w:rPr>
          <w:color w:val="000000" w:themeColor="text1"/>
          <w:sz w:val="16"/>
          <w:szCs w:val="16"/>
        </w:rPr>
      </w:pPr>
      <w:r w:rsidRPr="00C33834">
        <w:rPr>
          <w:rStyle w:val="af0"/>
          <w:bCs/>
          <w:i w:val="0"/>
          <w:color w:val="000000" w:themeColor="text1"/>
          <w:sz w:val="16"/>
          <w:szCs w:val="16"/>
        </w:rPr>
        <w:t>Двигатель Н-1</w:t>
      </w:r>
      <w:r w:rsidRPr="00C33834">
        <w:rPr>
          <w:color w:val="000000" w:themeColor="text1"/>
          <w:sz w:val="16"/>
          <w:szCs w:val="16"/>
        </w:rPr>
        <w:t>. Спроектирован в Центральном институте авиамотостроения (ЦИАМе) под руководством инженера Чаромского. Изготовляется Н</w:t>
      </w:r>
      <w:r w:rsidRPr="00C33834">
        <w:rPr>
          <w:color w:val="000000" w:themeColor="text1"/>
          <w:sz w:val="16"/>
          <w:szCs w:val="16"/>
        </w:rPr>
        <w:noBreakHyphen/>
        <w:t>1 на опытном заводе ЦИАМа. Рабочие чертежи были изготовлены и сданы в производство в ноябре 1932 г. Заказы на поковки размещены на заводах «Электросталь», Ижевском и Краматорском со сроками поставки, начиная с 1 февраля 1933 г. Как сроки поступления поковок, так и сроки механической обработки деталей на заводе ЦИАМа сорваны. Особенно неудовлетворительно обстоит дело с цветными деталями, поставщиками которых является завод № 26 и 45.</w:t>
      </w:r>
    </w:p>
    <w:p w14:paraId="40A845E9" w14:textId="77777777" w:rsidR="00E31347" w:rsidRPr="00C33834" w:rsidRDefault="00E31347" w:rsidP="00C33834">
      <w:pPr>
        <w:pStyle w:val="rtejustify"/>
        <w:spacing w:before="0" w:after="0"/>
        <w:rPr>
          <w:color w:val="000000" w:themeColor="text1"/>
          <w:sz w:val="16"/>
          <w:szCs w:val="16"/>
        </w:rPr>
      </w:pPr>
      <w:r w:rsidRPr="00C33834">
        <w:rPr>
          <w:rStyle w:val="af0"/>
          <w:bCs/>
          <w:i w:val="0"/>
          <w:color w:val="000000" w:themeColor="text1"/>
          <w:sz w:val="16"/>
          <w:szCs w:val="16"/>
        </w:rPr>
        <w:t>Двигатель Н</w:t>
      </w:r>
      <w:r w:rsidRPr="00C33834">
        <w:rPr>
          <w:rStyle w:val="af0"/>
          <w:bCs/>
          <w:i w:val="0"/>
          <w:color w:val="000000" w:themeColor="text1"/>
          <w:sz w:val="16"/>
          <w:szCs w:val="16"/>
        </w:rPr>
        <w:noBreakHyphen/>
        <w:t>2</w:t>
      </w:r>
      <w:r w:rsidRPr="00C33834">
        <w:rPr>
          <w:color w:val="000000" w:themeColor="text1"/>
          <w:sz w:val="16"/>
          <w:szCs w:val="16"/>
        </w:rPr>
        <w:t>. Спроектирован Ленинградским дизельным институтом под руководством проф. Мартенса. Рабочие чертежи были готовы в ноябре 1932 г. В настоящее время двигатель находится в производстве (механическая обработка и цветное литье) на заводах № 24, 26, ЦИАМа и «Большевик». Поковки коленчатого вала размещены на заводе им. Молотова со сроком поставки 1 апреля 1933 г. Сборку и испытание предполагается проводить в Ленинграде в Дизельном институте, где почти полностью отсутствуют необходимые к тому условия.</w:t>
      </w:r>
    </w:p>
    <w:p w14:paraId="128ED782" w14:textId="77777777" w:rsidR="00E31347" w:rsidRPr="00C33834" w:rsidRDefault="00E31347" w:rsidP="00C33834">
      <w:pPr>
        <w:pStyle w:val="rtejustify"/>
        <w:spacing w:before="0" w:after="0"/>
        <w:rPr>
          <w:color w:val="000000" w:themeColor="text1"/>
          <w:sz w:val="16"/>
          <w:szCs w:val="16"/>
        </w:rPr>
      </w:pPr>
      <w:r w:rsidRPr="00C33834">
        <w:rPr>
          <w:color w:val="000000" w:themeColor="text1"/>
          <w:sz w:val="16"/>
          <w:szCs w:val="16"/>
        </w:rPr>
        <w:t>Опыт показал, что необходимо строить не менее трех экземпляров двигателей со значительным количеством запасных частей. Между тем, дизель проф. Мартенса строится в одном экземпляре, т. е. повторяется ошибка, которая имела место с бензиновыми двигателями, когда незначительные поломки выводили двигатель из строя и прекращали испытания на длительный срок.</w:t>
      </w:r>
    </w:p>
    <w:p w14:paraId="0CEE643B" w14:textId="77777777" w:rsidR="00E31347" w:rsidRPr="00C33834" w:rsidRDefault="00E31347" w:rsidP="00C33834">
      <w:pPr>
        <w:pStyle w:val="rtejustify"/>
        <w:spacing w:before="0" w:after="0"/>
        <w:rPr>
          <w:color w:val="000000" w:themeColor="text1"/>
          <w:sz w:val="16"/>
          <w:szCs w:val="16"/>
        </w:rPr>
      </w:pPr>
      <w:r w:rsidRPr="00C33834">
        <w:rPr>
          <w:rStyle w:val="af0"/>
          <w:bCs/>
          <w:i w:val="0"/>
          <w:color w:val="000000" w:themeColor="text1"/>
          <w:sz w:val="16"/>
          <w:szCs w:val="16"/>
        </w:rPr>
        <w:t>Двигатель Н</w:t>
      </w:r>
      <w:r w:rsidRPr="00C33834">
        <w:rPr>
          <w:rStyle w:val="af0"/>
          <w:bCs/>
          <w:i w:val="0"/>
          <w:color w:val="000000" w:themeColor="text1"/>
          <w:sz w:val="16"/>
          <w:szCs w:val="16"/>
        </w:rPr>
        <w:noBreakHyphen/>
        <w:t>3</w:t>
      </w:r>
      <w:r w:rsidRPr="00C33834">
        <w:rPr>
          <w:color w:val="000000" w:themeColor="text1"/>
          <w:sz w:val="16"/>
          <w:szCs w:val="16"/>
        </w:rPr>
        <w:t>. Спроектирован Украинским институтом авиадизелей Аэрофлота под руководством проф. Майера. В проекте не предусмотрена высотность, как это указано в постановлении СТО и, кроме того, не выдержан вес мотора — вместо 1,2 кг/л. с. — 1,4 кг/л. с. Рабочие чертежи изготовлены к марту 1933 г. Заказы на поковки, крупное литье и механическую обработку полностью еще не размещены. Размещенная же часть заказов (кол[енчатый] вал и крупные стальные детали) не гарантирована сроками.</w:t>
      </w:r>
    </w:p>
    <w:p w14:paraId="3087E248" w14:textId="77777777" w:rsidR="00E31347" w:rsidRPr="00C33834" w:rsidRDefault="00E31347" w:rsidP="00C33834">
      <w:pPr>
        <w:pStyle w:val="rtejustify"/>
        <w:spacing w:before="0" w:after="0"/>
        <w:rPr>
          <w:color w:val="000000" w:themeColor="text1"/>
          <w:sz w:val="16"/>
          <w:szCs w:val="16"/>
        </w:rPr>
      </w:pPr>
      <w:r w:rsidRPr="00C33834">
        <w:rPr>
          <w:rStyle w:val="af0"/>
          <w:bCs/>
          <w:i w:val="0"/>
          <w:color w:val="000000" w:themeColor="text1"/>
          <w:sz w:val="16"/>
          <w:szCs w:val="16"/>
        </w:rPr>
        <w:t>Двигатель Н</w:t>
      </w:r>
      <w:r w:rsidRPr="00C33834">
        <w:rPr>
          <w:rStyle w:val="af0"/>
          <w:bCs/>
          <w:i w:val="0"/>
          <w:color w:val="000000" w:themeColor="text1"/>
          <w:sz w:val="16"/>
          <w:szCs w:val="16"/>
        </w:rPr>
        <w:noBreakHyphen/>
        <w:t>4</w:t>
      </w:r>
      <w:r w:rsidRPr="00C33834">
        <w:rPr>
          <w:color w:val="000000" w:themeColor="text1"/>
          <w:sz w:val="16"/>
          <w:szCs w:val="16"/>
        </w:rPr>
        <w:t>. Спроектирован Харьковским авиаинститутом ГУАПа под руководством проф. Цветкова. Рабочие чертежи были готовы к 1 марта 1933 г. Заказы размещены на 15 различных заводах. Поковки выполнены на 70%, модели на 70%. Приступлено к механической обработке мелких деталей. Качество работ внушает большие опасения, т. к. заказы размещены на заводах, которые вряд ли сумеют обеспечить необходимую для авиадвигателя точность работы.</w:t>
      </w:r>
    </w:p>
    <w:p w14:paraId="6800BC7F" w14:textId="77777777" w:rsidR="00E31347" w:rsidRPr="00C33834" w:rsidRDefault="00E31347" w:rsidP="00C33834">
      <w:pPr>
        <w:pStyle w:val="rtejustify"/>
        <w:spacing w:before="0" w:after="0"/>
        <w:rPr>
          <w:color w:val="000000" w:themeColor="text1"/>
          <w:sz w:val="16"/>
          <w:szCs w:val="16"/>
        </w:rPr>
      </w:pPr>
      <w:r w:rsidRPr="00C33834">
        <w:rPr>
          <w:rStyle w:val="af0"/>
          <w:bCs/>
          <w:i w:val="0"/>
          <w:color w:val="000000" w:themeColor="text1"/>
          <w:sz w:val="16"/>
          <w:szCs w:val="16"/>
        </w:rPr>
        <w:t>Двигатель Н</w:t>
      </w:r>
      <w:r w:rsidRPr="00C33834">
        <w:rPr>
          <w:rStyle w:val="af0"/>
          <w:bCs/>
          <w:i w:val="0"/>
          <w:color w:val="000000" w:themeColor="text1"/>
          <w:sz w:val="16"/>
          <w:szCs w:val="16"/>
        </w:rPr>
        <w:noBreakHyphen/>
        <w:t>5</w:t>
      </w:r>
      <w:r w:rsidRPr="00C33834">
        <w:rPr>
          <w:color w:val="000000" w:themeColor="text1"/>
          <w:sz w:val="16"/>
          <w:szCs w:val="16"/>
        </w:rPr>
        <w:t>. Спроектирован Особым конструкторским бюро ОГПУ под руководством проф. Брилинга и Стечкина. Проектом не предусмотрена высотность двигателя, как указано в постановлении СТО. Рабочие чертежи закончены в апреле 1932 г.; разместить же заказы удалось, после длительной волокиты, лишь в конце года, т. е. 9 месяцев спустя. Плана производства деталей нет и до настоящего времени. Опытный завод ЦИАМа выпустил пока еще 13 деталей из 1800; на заводе № 24 запущено в производство всего 15 деталей из 290. Сроки поставки поковок (Ижевский завод, им. Молотова, «Электросталь») не выдерживаются.</w:t>
      </w:r>
    </w:p>
    <w:p w14:paraId="7F4C33E4" w14:textId="77777777" w:rsidR="00E31347" w:rsidRPr="00C33834" w:rsidRDefault="00E31347" w:rsidP="00C33834">
      <w:pPr>
        <w:pStyle w:val="rtejustify"/>
        <w:spacing w:before="0" w:after="0"/>
        <w:rPr>
          <w:color w:val="000000" w:themeColor="text1"/>
          <w:sz w:val="16"/>
          <w:szCs w:val="16"/>
        </w:rPr>
      </w:pPr>
      <w:r w:rsidRPr="00C33834">
        <w:rPr>
          <w:rStyle w:val="af0"/>
          <w:bCs/>
          <w:i w:val="0"/>
          <w:color w:val="000000" w:themeColor="text1"/>
          <w:sz w:val="16"/>
          <w:szCs w:val="16"/>
        </w:rPr>
        <w:lastRenderedPageBreak/>
        <w:t>Двигатель Н</w:t>
      </w:r>
      <w:r w:rsidRPr="00C33834">
        <w:rPr>
          <w:rStyle w:val="af0"/>
          <w:bCs/>
          <w:i w:val="0"/>
          <w:color w:val="000000" w:themeColor="text1"/>
          <w:sz w:val="16"/>
          <w:szCs w:val="16"/>
        </w:rPr>
        <w:noBreakHyphen/>
        <w:t>6</w:t>
      </w:r>
      <w:r w:rsidRPr="00C33834">
        <w:rPr>
          <w:color w:val="000000" w:themeColor="text1"/>
          <w:sz w:val="16"/>
          <w:szCs w:val="16"/>
        </w:rPr>
        <w:t>. Разработанный проект мотора ОКБ ОГПУ под руководством инженера Бессонова не отвечает заданным условиям (450 л. с. вместо 500 л. с., 425 кг вместо 350 кг) в связи с чем к разработке рабочих чертежей еще не приступлено, и вопрос о целесообразности его постройки не разрешен.</w:t>
      </w:r>
    </w:p>
    <w:p w14:paraId="296FB747" w14:textId="77777777" w:rsidR="00E31347" w:rsidRPr="00C33834" w:rsidRDefault="00E31347" w:rsidP="00C33834">
      <w:pPr>
        <w:pStyle w:val="rtejustify"/>
        <w:spacing w:before="0" w:after="0"/>
        <w:rPr>
          <w:color w:val="000000" w:themeColor="text1"/>
          <w:sz w:val="16"/>
          <w:szCs w:val="16"/>
        </w:rPr>
      </w:pPr>
      <w:r w:rsidRPr="00C33834">
        <w:rPr>
          <w:color w:val="000000" w:themeColor="text1"/>
          <w:sz w:val="16"/>
          <w:szCs w:val="16"/>
        </w:rPr>
        <w:t>Основными причинами срыва плана опытного строительства авиадизелей, утвержденного правительством, являются:</w:t>
      </w:r>
    </w:p>
    <w:p w14:paraId="3DD6E59A" w14:textId="77777777" w:rsidR="00E31347" w:rsidRPr="00C33834" w:rsidRDefault="00E31347" w:rsidP="00C33834">
      <w:pPr>
        <w:pStyle w:val="rtejustify"/>
        <w:spacing w:before="0" w:after="0"/>
        <w:rPr>
          <w:color w:val="000000" w:themeColor="text1"/>
          <w:sz w:val="16"/>
          <w:szCs w:val="16"/>
        </w:rPr>
      </w:pPr>
      <w:r w:rsidRPr="00C33834">
        <w:rPr>
          <w:color w:val="000000" w:themeColor="text1"/>
          <w:sz w:val="16"/>
          <w:szCs w:val="16"/>
        </w:rPr>
        <w:t>1. Отсутствие должного наблюдения за выполнением заданий правительства со стороны НКТП и НКВМора. Ни Наркомтяжпром в лице ГВМУ и Сектора контроля исполнения, ни Наркомвоенмор в лице УВВС не вели повседневного контроля проектирования и производства авиадизелей. Ряд категорических распоряжений и приказов т. Орджоникидзе о форсировании производства двигателей Н</w:t>
      </w:r>
      <w:r w:rsidRPr="00C33834">
        <w:rPr>
          <w:color w:val="000000" w:themeColor="text1"/>
          <w:sz w:val="16"/>
          <w:szCs w:val="16"/>
        </w:rPr>
        <w:noBreakHyphen/>
        <w:t>2, Н</w:t>
      </w:r>
      <w:r w:rsidRPr="00C33834">
        <w:rPr>
          <w:color w:val="000000" w:themeColor="text1"/>
          <w:sz w:val="16"/>
          <w:szCs w:val="16"/>
        </w:rPr>
        <w:noBreakHyphen/>
        <w:t>5 и Н</w:t>
      </w:r>
      <w:r w:rsidRPr="00C33834">
        <w:rPr>
          <w:color w:val="000000" w:themeColor="text1"/>
          <w:sz w:val="16"/>
          <w:szCs w:val="16"/>
        </w:rPr>
        <w:noBreakHyphen/>
        <w:t>1 заводами не выполнялись, и виновные не привлекались к ответственности. Главное военно-мобилизационное управление Наркомтяжпрома не имеет даже более или менее точных сведений о ходе выполнения заказов на поковки для авиадизелей и состоянии производства в целом. Научно-испытательный институт УВВС РККА, одной из основных задач которого является наблюдение за опытным строительством, только в конце 1932 г. выделил специальных лиц для контроля за ходом производства авиадизелей.</w:t>
      </w:r>
    </w:p>
    <w:p w14:paraId="7833115E" w14:textId="77777777" w:rsidR="00E31347" w:rsidRPr="00C33834" w:rsidRDefault="00E31347" w:rsidP="00C33834">
      <w:pPr>
        <w:pStyle w:val="rtejustify"/>
        <w:spacing w:before="0" w:after="0"/>
        <w:rPr>
          <w:color w:val="000000" w:themeColor="text1"/>
          <w:sz w:val="16"/>
          <w:szCs w:val="16"/>
        </w:rPr>
      </w:pPr>
      <w:r w:rsidRPr="00C33834">
        <w:rPr>
          <w:color w:val="000000" w:themeColor="text1"/>
          <w:sz w:val="16"/>
          <w:szCs w:val="16"/>
        </w:rPr>
        <w:t>2. Неудовлетворительное руководство и наблюдение за ходом проектирования и производства со стороны учреждений и ведомств, в ведении которых находятся проектирующие организации. Главное управление авиапромышленности уделяло внимание лишь производству двигателя Н</w:t>
      </w:r>
      <w:r w:rsidRPr="00C33834">
        <w:rPr>
          <w:color w:val="000000" w:themeColor="text1"/>
          <w:sz w:val="16"/>
          <w:szCs w:val="16"/>
        </w:rPr>
        <w:noBreakHyphen/>
        <w:t>1 ЦИАМа, оставив совершенно без руководства работы Харьковского авиационного института по Н</w:t>
      </w:r>
      <w:r w:rsidRPr="00C33834">
        <w:rPr>
          <w:color w:val="000000" w:themeColor="text1"/>
          <w:sz w:val="16"/>
          <w:szCs w:val="16"/>
        </w:rPr>
        <w:noBreakHyphen/>
        <w:t>4 на том лишь основании, что финансирование этой работы производило УВВС НКВМора. ГУАП не только не помогал, но подчас просто тормозил размещение заказов на своих заводах по производству деталей для двигателя Н</w:t>
      </w:r>
      <w:r w:rsidRPr="00C33834">
        <w:rPr>
          <w:color w:val="000000" w:themeColor="text1"/>
          <w:sz w:val="16"/>
          <w:szCs w:val="16"/>
        </w:rPr>
        <w:noBreakHyphen/>
        <w:t>2 проф. Мартенса и Н</w:t>
      </w:r>
      <w:r w:rsidRPr="00C33834">
        <w:rPr>
          <w:color w:val="000000" w:themeColor="text1"/>
          <w:sz w:val="16"/>
          <w:szCs w:val="16"/>
        </w:rPr>
        <w:noBreakHyphen/>
        <w:t>5 ОКБ ОГПУ. Главное управление Аэрофлота также недостаточно руководило и обеспечивало работы Харьковского дизельного института — двигатель Н</w:t>
      </w:r>
      <w:r w:rsidRPr="00C33834">
        <w:rPr>
          <w:color w:val="000000" w:themeColor="text1"/>
          <w:sz w:val="16"/>
          <w:szCs w:val="16"/>
        </w:rPr>
        <w:noBreakHyphen/>
        <w:t>3.</w:t>
      </w:r>
    </w:p>
    <w:p w14:paraId="5A2E4DD7" w14:textId="77777777" w:rsidR="00E31347" w:rsidRPr="00C33834" w:rsidRDefault="00E31347" w:rsidP="00C33834">
      <w:pPr>
        <w:pStyle w:val="rtejustify"/>
        <w:spacing w:before="0" w:after="0"/>
        <w:rPr>
          <w:color w:val="000000" w:themeColor="text1"/>
          <w:sz w:val="16"/>
          <w:szCs w:val="16"/>
        </w:rPr>
      </w:pPr>
      <w:r w:rsidRPr="00C33834">
        <w:rPr>
          <w:color w:val="000000" w:themeColor="text1"/>
          <w:sz w:val="16"/>
          <w:szCs w:val="16"/>
        </w:rPr>
        <w:t>3. Безответственное отношение к заданиям правительства со стороны проектирующих организаций. Сроки выхода на гос. испытания, утвержденные постановлением СТО 4 июля 1932 г. не только согласованы, но в основном предложены самими проектирующими организациями. Между тем, зная о срыве, никто официально не ставил вопрос об их изменении. Точно также, отходя в проектах от технических условий, утвержденных указанным постановлением СТО (не выдержаны условия высотности, веса, мощности), проектные организации не чувствовали никакой ответственности в данном вопросе и смотрели на это как на нормальное положение дела.</w:t>
      </w:r>
    </w:p>
    <w:p w14:paraId="3D6D1356" w14:textId="77777777" w:rsidR="00E31347" w:rsidRPr="00C33834" w:rsidRDefault="00E31347" w:rsidP="00C33834">
      <w:pPr>
        <w:pStyle w:val="rtejustify"/>
        <w:spacing w:before="0" w:after="0"/>
        <w:rPr>
          <w:color w:val="000000" w:themeColor="text1"/>
          <w:sz w:val="16"/>
          <w:szCs w:val="16"/>
        </w:rPr>
      </w:pPr>
      <w:r w:rsidRPr="00C33834">
        <w:rPr>
          <w:color w:val="000000" w:themeColor="text1"/>
          <w:sz w:val="16"/>
          <w:szCs w:val="16"/>
        </w:rPr>
        <w:t>4. Отсутствие производственной и испытательной базы у всех проектных организаций (кроме ЦИАМа). Производство авиадвигателей сосредоточено более чем на ста различных предприятиях, причем в числе их имеются предприятия кустарные, с устаревшим оборудованием, не могущим обеспечить необходимой для деталей авиадвигателей точности. Опыт показывает, что даже в случае производства мотора на одном заводе, в процессе сборки и испытаний требуются значительные переделки и доводки. При отсутствии же собственной производственной и испытательной базы неизбежно удлинится срок моторов на гос. испытания.</w:t>
      </w:r>
    </w:p>
    <w:p w14:paraId="1C8BA91B" w14:textId="77777777" w:rsidR="00E31347" w:rsidRPr="00C33834" w:rsidRDefault="00E31347" w:rsidP="00C33834">
      <w:pPr>
        <w:pStyle w:val="rtejustify"/>
        <w:spacing w:before="0" w:after="0"/>
        <w:rPr>
          <w:color w:val="000000" w:themeColor="text1"/>
          <w:sz w:val="16"/>
          <w:szCs w:val="16"/>
        </w:rPr>
      </w:pPr>
      <w:r w:rsidRPr="00C33834">
        <w:rPr>
          <w:color w:val="000000" w:themeColor="text1"/>
          <w:sz w:val="16"/>
          <w:szCs w:val="16"/>
        </w:rPr>
        <w:t>5. Невыполнение в срок заказов на поковки для авиадизелей. Заводы-поставщики (Мотовилихинский, Ижевский, «Электросталь» и др.), несмотря на категорическое распоряжение НКТПрома, упорно не принимали заказов, а приняв, всячески тормозили их выполнение. До сего времени нет поковок для двигателя Н</w:t>
      </w:r>
      <w:r w:rsidRPr="00C33834">
        <w:rPr>
          <w:color w:val="000000" w:themeColor="text1"/>
          <w:sz w:val="16"/>
          <w:szCs w:val="16"/>
        </w:rPr>
        <w:noBreakHyphen/>
        <w:t>2 проф. Мартенса. Затянуто против сроков изготовление поковок для Н</w:t>
      </w:r>
      <w:r w:rsidRPr="00C33834">
        <w:rPr>
          <w:color w:val="000000" w:themeColor="text1"/>
          <w:sz w:val="16"/>
          <w:szCs w:val="16"/>
        </w:rPr>
        <w:noBreakHyphen/>
        <w:t>5 ОКБ ОГПУ, а поступившие поковки для двигателей Н</w:t>
      </w:r>
      <w:r w:rsidRPr="00C33834">
        <w:rPr>
          <w:color w:val="000000" w:themeColor="text1"/>
          <w:sz w:val="16"/>
          <w:szCs w:val="16"/>
        </w:rPr>
        <w:noBreakHyphen/>
        <w:t>3 и Н</w:t>
      </w:r>
      <w:r w:rsidRPr="00C33834">
        <w:rPr>
          <w:color w:val="000000" w:themeColor="text1"/>
          <w:sz w:val="16"/>
          <w:szCs w:val="16"/>
        </w:rPr>
        <w:noBreakHyphen/>
        <w:t>4 оказались некондиционными.</w:t>
      </w:r>
    </w:p>
    <w:p w14:paraId="34E322A3" w14:textId="77777777" w:rsidR="00E31347" w:rsidRPr="00C33834" w:rsidRDefault="00E31347" w:rsidP="00C33834">
      <w:pPr>
        <w:pStyle w:val="rtejustify"/>
        <w:spacing w:before="0" w:after="0"/>
        <w:rPr>
          <w:color w:val="000000" w:themeColor="text1"/>
          <w:sz w:val="16"/>
          <w:szCs w:val="16"/>
        </w:rPr>
      </w:pPr>
      <w:r w:rsidRPr="00C33834">
        <w:rPr>
          <w:color w:val="000000" w:themeColor="text1"/>
          <w:sz w:val="16"/>
          <w:szCs w:val="16"/>
        </w:rPr>
        <w:t>6. Отсутствие научно-исследовательской и экспериментальной базы у большинства проектных организаций для опытной проверки основных принципов новых конструкций. Большинство проектирующих организаций не имеет ни научно-исследовательской базы, ни одноцилиндровых установок, на которых, как правило, должны были проводиться опытные проверки основных элементов новых конструкций, прежде чем развертывать производство многоцилиндровой машины. В данном случае повторяется то же положение, которое имело место с бензиновыми карбюраторными двигателями. В 1927</w:t>
      </w:r>
      <w:r w:rsidRPr="00C33834">
        <w:rPr>
          <w:color w:val="000000" w:themeColor="text1"/>
          <w:sz w:val="16"/>
          <w:szCs w:val="16"/>
        </w:rPr>
        <w:noBreakHyphen/>
        <w:t>1930 гг. мы имели до 60 различных опытных моторов (Старостина, Микулина, Бессонова, Киреева и др.), и ни один из них, как известно, не пошел. Между тем, на них были затрачены миллионные суммы. Объясняется это не только наличием организованного вредительства, но и отсутствием экспериментальной базы.</w:t>
      </w:r>
    </w:p>
    <w:p w14:paraId="08B4990A" w14:textId="77777777" w:rsidR="00E31347" w:rsidRPr="00C33834" w:rsidRDefault="00E31347" w:rsidP="00C33834">
      <w:pPr>
        <w:pStyle w:val="rtejustify"/>
        <w:spacing w:before="0" w:after="0"/>
        <w:rPr>
          <w:color w:val="000000" w:themeColor="text1"/>
          <w:sz w:val="16"/>
          <w:szCs w:val="16"/>
        </w:rPr>
      </w:pPr>
      <w:r w:rsidRPr="00C33834">
        <w:rPr>
          <w:color w:val="000000" w:themeColor="text1"/>
          <w:sz w:val="16"/>
          <w:szCs w:val="16"/>
        </w:rPr>
        <w:t>7. Неудовлетворительное финансирование опытного строительства дизелей. Здесь имеется, с одной стороны, недостаточный контроль за расходованием средств, с другой стороны, отсутствовали плановость и система. Отмечен факт, когда из-за ведомственной недоговоренности (ГУАП, ГУГВФ, НКВМ) организациям прекращался отпуск средств, и работы из-за этого тормозились (пример Н</w:t>
      </w:r>
      <w:r w:rsidRPr="00C33834">
        <w:rPr>
          <w:color w:val="000000" w:themeColor="text1"/>
          <w:sz w:val="16"/>
          <w:szCs w:val="16"/>
        </w:rPr>
        <w:noBreakHyphen/>
        <w:t>4 ХАН).</w:t>
      </w:r>
    </w:p>
    <w:p w14:paraId="135FD599" w14:textId="77777777" w:rsidR="00E31347" w:rsidRPr="00C33834" w:rsidRDefault="00E31347" w:rsidP="00C33834">
      <w:pPr>
        <w:pStyle w:val="rtejustify"/>
        <w:spacing w:before="0" w:after="0"/>
        <w:rPr>
          <w:color w:val="000000" w:themeColor="text1"/>
          <w:sz w:val="16"/>
          <w:szCs w:val="16"/>
        </w:rPr>
      </w:pPr>
      <w:r w:rsidRPr="00C33834">
        <w:rPr>
          <w:color w:val="000000" w:themeColor="text1"/>
          <w:sz w:val="16"/>
          <w:szCs w:val="16"/>
        </w:rPr>
        <w:t>Таким образом следует констатировать, что:</w:t>
      </w:r>
    </w:p>
    <w:p w14:paraId="5E921490" w14:textId="77777777" w:rsidR="00E31347" w:rsidRPr="00C33834" w:rsidRDefault="00E31347" w:rsidP="00C33834">
      <w:pPr>
        <w:pStyle w:val="rtejustify"/>
        <w:spacing w:before="0" w:after="0"/>
        <w:rPr>
          <w:color w:val="000000" w:themeColor="text1"/>
          <w:sz w:val="16"/>
          <w:szCs w:val="16"/>
        </w:rPr>
      </w:pPr>
      <w:r w:rsidRPr="00C33834">
        <w:rPr>
          <w:color w:val="000000" w:themeColor="text1"/>
          <w:sz w:val="16"/>
          <w:szCs w:val="16"/>
        </w:rPr>
        <w:t>1) Сроки предъявления на гос. испытания авиадизелей, утвержденные СТО, не выполнены.</w:t>
      </w:r>
    </w:p>
    <w:p w14:paraId="252BCB2E" w14:textId="77777777" w:rsidR="00E31347" w:rsidRPr="00C33834" w:rsidRDefault="00E31347" w:rsidP="00C33834">
      <w:pPr>
        <w:pStyle w:val="rtejustify"/>
        <w:spacing w:before="0" w:after="0"/>
        <w:rPr>
          <w:color w:val="000000" w:themeColor="text1"/>
          <w:sz w:val="16"/>
          <w:szCs w:val="16"/>
        </w:rPr>
      </w:pPr>
      <w:r w:rsidRPr="00C33834">
        <w:rPr>
          <w:color w:val="000000" w:themeColor="text1"/>
          <w:sz w:val="16"/>
          <w:szCs w:val="16"/>
        </w:rPr>
        <w:t>2) Обеспеченность поковками и состояние производства находится в неудовлетворительном состоянии, не гарантирующем успешное окончание работ в ближайшее время ни по одному двигателю.</w:t>
      </w:r>
    </w:p>
    <w:p w14:paraId="1C1E68A6" w14:textId="77777777" w:rsidR="00E31347" w:rsidRPr="00C33834" w:rsidRDefault="00E31347" w:rsidP="00C33834">
      <w:pPr>
        <w:pStyle w:val="rtejustify"/>
        <w:spacing w:before="0" w:after="0"/>
        <w:rPr>
          <w:color w:val="000000" w:themeColor="text1"/>
          <w:sz w:val="16"/>
          <w:szCs w:val="16"/>
        </w:rPr>
      </w:pPr>
      <w:r w:rsidRPr="00C33834">
        <w:rPr>
          <w:color w:val="000000" w:themeColor="text1"/>
          <w:sz w:val="16"/>
          <w:szCs w:val="16"/>
        </w:rPr>
        <w:t>3) Руководство, контроль и финансирование дизелестроением не обеспечено со стороны органов, на которых лежит эта обязанность (ГУАП, ГУГВФ, УВВС РККА).</w:t>
      </w:r>
    </w:p>
    <w:p w14:paraId="55A15FFA" w14:textId="77777777" w:rsidR="00E31347" w:rsidRPr="00C33834" w:rsidRDefault="00E31347" w:rsidP="00C33834">
      <w:pPr>
        <w:pStyle w:val="rtejustify"/>
        <w:spacing w:before="0" w:after="0"/>
        <w:rPr>
          <w:color w:val="000000" w:themeColor="text1"/>
          <w:sz w:val="16"/>
          <w:szCs w:val="16"/>
        </w:rPr>
      </w:pPr>
      <w:r w:rsidRPr="00C33834">
        <w:rPr>
          <w:color w:val="000000" w:themeColor="text1"/>
          <w:sz w:val="16"/>
          <w:szCs w:val="16"/>
        </w:rPr>
        <w:t>4) Большинство проектных организаций не имеет экспериментальной, производственной и испытательной базы.</w:t>
      </w:r>
    </w:p>
    <w:p w14:paraId="2AEBD216" w14:textId="77777777" w:rsidR="00E31347" w:rsidRPr="00C33834" w:rsidRDefault="00E31347" w:rsidP="00C33834">
      <w:pPr>
        <w:pStyle w:val="rtejustify"/>
        <w:spacing w:before="0" w:after="0"/>
        <w:rPr>
          <w:color w:val="000000" w:themeColor="text1"/>
          <w:sz w:val="16"/>
          <w:szCs w:val="16"/>
        </w:rPr>
      </w:pPr>
      <w:r w:rsidRPr="00C33834">
        <w:rPr>
          <w:color w:val="000000" w:themeColor="text1"/>
          <w:sz w:val="16"/>
          <w:szCs w:val="16"/>
        </w:rPr>
        <w:t>5) Проектирующие организации самовольно допускали изменения технических условий на дизели.</w:t>
      </w:r>
    </w:p>
    <w:p w14:paraId="33E76EC9" w14:textId="77777777" w:rsidR="00E31347" w:rsidRPr="00C33834" w:rsidRDefault="00E31347" w:rsidP="00C33834">
      <w:pPr>
        <w:pStyle w:val="rtejustify"/>
        <w:spacing w:before="0" w:after="0"/>
        <w:rPr>
          <w:color w:val="000000" w:themeColor="text1"/>
          <w:sz w:val="16"/>
          <w:szCs w:val="16"/>
        </w:rPr>
      </w:pPr>
      <w:r w:rsidRPr="00C33834">
        <w:rPr>
          <w:color w:val="000000" w:themeColor="text1"/>
          <w:sz w:val="16"/>
          <w:szCs w:val="16"/>
        </w:rPr>
        <w:t>В целях форсирования работ по опытному дизелестроению необходим ряд мероприятий, которые и изложены в прилагаемом проекте постановления СТО¹*.</w:t>
      </w:r>
    </w:p>
    <w:p w14:paraId="5091D1DC" w14:textId="77777777" w:rsidR="00E31347" w:rsidRPr="00C33834" w:rsidRDefault="00E31347" w:rsidP="00C33834">
      <w:pPr>
        <w:pStyle w:val="ae"/>
        <w:spacing w:before="0" w:after="0"/>
        <w:jc w:val="both"/>
        <w:rPr>
          <w:color w:val="000000" w:themeColor="text1"/>
          <w:sz w:val="16"/>
          <w:szCs w:val="16"/>
        </w:rPr>
      </w:pPr>
      <w:r w:rsidRPr="00C33834">
        <w:rPr>
          <w:rStyle w:val="af0"/>
          <w:i w:val="0"/>
          <w:color w:val="000000" w:themeColor="text1"/>
          <w:sz w:val="16"/>
          <w:szCs w:val="16"/>
        </w:rPr>
        <w:t>Член коллегии НК РКИ СССР, начальник ВМИ Куйбышев</w:t>
      </w:r>
    </w:p>
    <w:p w14:paraId="052CD1A6" w14:textId="77777777" w:rsidR="00E31347" w:rsidRPr="00C33834" w:rsidRDefault="00E31347"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Примечание</w:t>
      </w:r>
      <w:r w:rsidRPr="00C33834">
        <w:rPr>
          <w:color w:val="000000" w:themeColor="text1"/>
          <w:sz w:val="16"/>
          <w:szCs w:val="16"/>
        </w:rPr>
        <w:t>:</w:t>
      </w:r>
    </w:p>
    <w:p w14:paraId="23736FEC" w14:textId="77777777" w:rsidR="00E31347" w:rsidRPr="00C33834" w:rsidRDefault="00E31347" w:rsidP="00C33834">
      <w:pPr>
        <w:pStyle w:val="rtejustify"/>
        <w:spacing w:before="0" w:after="0"/>
        <w:rPr>
          <w:color w:val="000000" w:themeColor="text1"/>
          <w:sz w:val="16"/>
          <w:szCs w:val="16"/>
        </w:rPr>
      </w:pPr>
      <w:r w:rsidRPr="00C33834">
        <w:rPr>
          <w:color w:val="000000" w:themeColor="text1"/>
          <w:sz w:val="16"/>
          <w:szCs w:val="16"/>
        </w:rPr>
        <w:t>¹* Приложение не публикуется (см. там же, л. 23</w:t>
      </w:r>
      <w:r w:rsidRPr="00C33834">
        <w:rPr>
          <w:color w:val="000000" w:themeColor="text1"/>
          <w:sz w:val="16"/>
          <w:szCs w:val="16"/>
        </w:rPr>
        <w:noBreakHyphen/>
        <w:t>27).</w:t>
      </w:r>
    </w:p>
    <w:p w14:paraId="1E99876E" w14:textId="77777777" w:rsidR="00E31347" w:rsidRPr="00C33834" w:rsidRDefault="00E31347" w:rsidP="00C33834">
      <w:pPr>
        <w:pStyle w:val="ae"/>
        <w:spacing w:before="0" w:after="0"/>
        <w:jc w:val="both"/>
        <w:rPr>
          <w:color w:val="000000" w:themeColor="text1"/>
          <w:sz w:val="16"/>
          <w:szCs w:val="16"/>
        </w:rPr>
      </w:pPr>
      <w:r w:rsidRPr="00C33834">
        <w:rPr>
          <w:color w:val="000000" w:themeColor="text1"/>
          <w:sz w:val="16"/>
          <w:szCs w:val="16"/>
        </w:rPr>
        <w:t>ГА РФ. Ф. Р-8418. Оп. 9. Д. 56. Л. 17-22. Подлинник (15269).</w:t>
      </w:r>
    </w:p>
    <w:p w14:paraId="02ED4083" w14:textId="77777777" w:rsidR="00E31347" w:rsidRPr="00C33834" w:rsidRDefault="00E31347" w:rsidP="00C33834">
      <w:pPr>
        <w:spacing w:after="0" w:line="240" w:lineRule="auto"/>
        <w:jc w:val="both"/>
        <w:rPr>
          <w:rFonts w:ascii="Times New Roman" w:hAnsi="Times New Roman"/>
          <w:color w:val="000000" w:themeColor="text1"/>
          <w:sz w:val="16"/>
          <w:szCs w:val="16"/>
        </w:rPr>
      </w:pPr>
    </w:p>
    <w:p w14:paraId="62D081E2"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апреля 1933 вышло Постановление СНК о ежегодном праздновании 18 августа Всесоюзного дня Воздушного Флота (172,292). В первый раз решили сделать праздник 18 августа - выходной по шестидневке (24,74). К этому дню за заслуги в развитии планеризма С.В.И. был награжден орденом Красной Звезды. П.И.Баранов получил орден Ленина (24,75).</w:t>
      </w:r>
    </w:p>
    <w:p w14:paraId="74139FF4"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2FEC5737" w14:textId="77777777" w:rsidR="00360AC0" w:rsidRPr="00C33834" w:rsidRDefault="00360AC0" w:rsidP="00C33834">
      <w:pPr>
        <w:pStyle w:val="84"/>
        <w:shd w:val="clear" w:color="auto" w:fill="auto"/>
        <w:spacing w:after="0" w:line="240" w:lineRule="auto"/>
        <w:ind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апреля 1933 г. Совет народных комиссаров СССР принял постанов</w:t>
      </w:r>
      <w:r w:rsidRPr="00C33834">
        <w:rPr>
          <w:rFonts w:ascii="Times New Roman" w:hAnsi="Times New Roman"/>
          <w:color w:val="000000" w:themeColor="text1"/>
          <w:sz w:val="16"/>
          <w:szCs w:val="16"/>
        </w:rPr>
        <w:softHyphen/>
        <w:t>ление №859, в соответствии с кото</w:t>
      </w:r>
      <w:r w:rsidRPr="00C33834">
        <w:rPr>
          <w:rFonts w:ascii="Times New Roman" w:hAnsi="Times New Roman"/>
          <w:color w:val="000000" w:themeColor="text1"/>
          <w:sz w:val="16"/>
          <w:szCs w:val="16"/>
        </w:rPr>
        <w:softHyphen/>
        <w:t>рым празднование Дня воздушного флота СССР должно было проводить</w:t>
      </w:r>
      <w:r w:rsidRPr="00C33834">
        <w:rPr>
          <w:rFonts w:ascii="Times New Roman" w:hAnsi="Times New Roman"/>
          <w:color w:val="000000" w:themeColor="text1"/>
          <w:sz w:val="16"/>
          <w:szCs w:val="16"/>
        </w:rPr>
        <w:softHyphen/>
        <w:t>ся ежегодно 18 августа (12118).</w:t>
      </w:r>
    </w:p>
    <w:p w14:paraId="18DAB153" w14:textId="77777777" w:rsidR="00360AC0" w:rsidRPr="00C33834" w:rsidRDefault="00360AC0" w:rsidP="00C33834">
      <w:pPr>
        <w:pStyle w:val="84"/>
        <w:shd w:val="clear" w:color="auto" w:fill="auto"/>
        <w:spacing w:after="0" w:line="240" w:lineRule="auto"/>
        <w:ind w:firstLine="0"/>
        <w:jc w:val="both"/>
        <w:rPr>
          <w:rFonts w:ascii="Times New Roman" w:hAnsi="Times New Roman"/>
          <w:color w:val="000000" w:themeColor="text1"/>
          <w:sz w:val="16"/>
          <w:szCs w:val="16"/>
        </w:rPr>
      </w:pPr>
    </w:p>
    <w:p w14:paraId="18D1768D"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апреля 1933 состоялось совещание по авиации у нач. штаба РККА Егорова (1025,78).</w:t>
      </w:r>
    </w:p>
    <w:p w14:paraId="36BDB7F2"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274685A6" w14:textId="77777777" w:rsidR="00185C06" w:rsidRPr="00C33834" w:rsidRDefault="00185C06" w:rsidP="00C33834">
      <w:pPr>
        <w:pStyle w:val="a3"/>
        <w:rPr>
          <w:color w:val="000000" w:themeColor="text1"/>
          <w:lang w:val="ru-RU"/>
        </w:rPr>
      </w:pPr>
      <w:r w:rsidRPr="00C33834">
        <w:rPr>
          <w:color w:val="000000" w:themeColor="text1"/>
          <w:lang w:val="ru-RU"/>
        </w:rPr>
        <w:t>28 апреля 1933 начальник «Дирижаблестроя» И.А. Фельдман обратился в НКИД СССР с требованием о досрочном рас</w:t>
      </w:r>
      <w:r w:rsidRPr="00C33834">
        <w:rPr>
          <w:color w:val="000000" w:themeColor="text1"/>
          <w:lang w:val="ru-RU"/>
        </w:rPr>
        <w:softHyphen/>
        <w:t>торжении контрактов с первыми четырьмя итальянскими специалистами, непригод</w:t>
      </w:r>
      <w:r w:rsidRPr="00C33834">
        <w:rPr>
          <w:color w:val="000000" w:themeColor="text1"/>
          <w:lang w:val="ru-RU"/>
        </w:rPr>
        <w:softHyphen/>
        <w:t>ными для исполнения своих обязанностей:</w:t>
      </w:r>
    </w:p>
    <w:p w14:paraId="5781F6C3" w14:textId="77777777" w:rsidR="00185C06" w:rsidRPr="00C33834" w:rsidRDefault="00185C06" w:rsidP="00C33834">
      <w:pPr>
        <w:pStyle w:val="a3"/>
        <w:widowControl/>
        <w:tabs>
          <w:tab w:val="left" w:pos="442"/>
        </w:tabs>
        <w:autoSpaceDE/>
        <w:autoSpaceDN/>
        <w:adjustRightInd/>
        <w:rPr>
          <w:color w:val="000000" w:themeColor="text1"/>
          <w:lang w:val="ru-RU"/>
        </w:rPr>
      </w:pPr>
      <w:r w:rsidRPr="00C33834">
        <w:rPr>
          <w:color w:val="000000" w:themeColor="text1"/>
          <w:lang w:val="ru-RU"/>
        </w:rPr>
        <w:t>Р. Палья оказался лишь хорошим чертежником, а вовсе не мастером-токарем;</w:t>
      </w:r>
    </w:p>
    <w:p w14:paraId="2FE47F4B" w14:textId="77777777" w:rsidR="00185C06" w:rsidRPr="00C33834" w:rsidRDefault="00185C06" w:rsidP="00C33834">
      <w:pPr>
        <w:pStyle w:val="a3"/>
        <w:widowControl/>
        <w:tabs>
          <w:tab w:val="left" w:pos="390"/>
        </w:tabs>
        <w:autoSpaceDE/>
        <w:autoSpaceDN/>
        <w:adjustRightInd/>
        <w:rPr>
          <w:color w:val="000000" w:themeColor="text1"/>
          <w:lang w:val="ru-RU"/>
        </w:rPr>
      </w:pPr>
      <w:r w:rsidRPr="00C33834">
        <w:rPr>
          <w:color w:val="000000" w:themeColor="text1"/>
          <w:lang w:val="ru-RU"/>
        </w:rPr>
        <w:t>Д. Белли - строительным десятником, а не механиком;</w:t>
      </w:r>
    </w:p>
    <w:p w14:paraId="6BF41BA9" w14:textId="77777777" w:rsidR="00185C06" w:rsidRPr="00C33834" w:rsidRDefault="00185C06" w:rsidP="00C33834">
      <w:pPr>
        <w:pStyle w:val="a3"/>
        <w:widowControl/>
        <w:tabs>
          <w:tab w:val="left" w:pos="385"/>
        </w:tabs>
        <w:autoSpaceDE/>
        <w:autoSpaceDN/>
        <w:adjustRightInd/>
        <w:rPr>
          <w:color w:val="000000" w:themeColor="text1"/>
          <w:lang w:val="ru-RU"/>
        </w:rPr>
      </w:pPr>
      <w:r w:rsidRPr="00C33834">
        <w:rPr>
          <w:color w:val="000000" w:themeColor="text1"/>
          <w:lang w:val="ru-RU"/>
        </w:rPr>
        <w:t>А. Каратти - совершенно неграмотным и бездарным сотрудником. Взят Нобиле в СССР из благотворительности к его брату, погибшему на «Италии»;</w:t>
      </w:r>
    </w:p>
    <w:p w14:paraId="0ED6242C" w14:textId="77777777" w:rsidR="00185C06" w:rsidRPr="00C33834" w:rsidRDefault="00185C0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 Високки - инженер, но не имел практики по специальности.</w:t>
      </w:r>
    </w:p>
    <w:p w14:paraId="4836768A" w14:textId="77777777" w:rsidR="00185C06" w:rsidRPr="00C33834" w:rsidRDefault="00185C06" w:rsidP="00C33834">
      <w:pPr>
        <w:pStyle w:val="a3"/>
        <w:rPr>
          <w:color w:val="000000" w:themeColor="text1"/>
          <w:lang w:val="ru-RU"/>
        </w:rPr>
      </w:pPr>
      <w:r w:rsidRPr="00C33834">
        <w:rPr>
          <w:color w:val="000000" w:themeColor="text1"/>
          <w:lang w:val="ru-RU"/>
        </w:rPr>
        <w:t>Суммарный месячный оклад всех чет</w:t>
      </w:r>
      <w:r w:rsidRPr="00C33834">
        <w:rPr>
          <w:color w:val="000000" w:themeColor="text1"/>
          <w:lang w:val="ru-RU"/>
        </w:rPr>
        <w:softHyphen/>
        <w:t>верых обходился Комбинату в 273$ и 2100 руб. В итоге, чтобы расстаться без скандала, итальянцам пришлось выплатить 16 валютных окладов отступных (1285$) (12732).</w:t>
      </w:r>
    </w:p>
    <w:p w14:paraId="6C6E5BB4" w14:textId="77777777" w:rsidR="00185C06" w:rsidRPr="00C33834" w:rsidRDefault="00185C06" w:rsidP="00C33834">
      <w:pPr>
        <w:pStyle w:val="a3"/>
        <w:rPr>
          <w:color w:val="000000" w:themeColor="text1"/>
          <w:lang w:val="ru-RU"/>
        </w:rPr>
      </w:pPr>
    </w:p>
    <w:p w14:paraId="60C104D8"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апреля 1933 Нач. ГУАП П.И.Б. писал письмо № 28/239с Нач. ВМС РККА члену РВС Орлову:</w:t>
      </w:r>
    </w:p>
    <w:p w14:paraId="67E3C76E"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ответ на письмо № 161830 от 11 апреля 1933</w:t>
      </w:r>
    </w:p>
    <w:p w14:paraId="2866B58F"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...дорожного транспорта.</w:t>
      </w:r>
    </w:p>
    <w:p w14:paraId="074FE653" w14:textId="77777777" w:rsidR="003446BF" w:rsidRPr="00C33834" w:rsidRDefault="003446BF"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заводские в испытания прове</w:t>
      </w:r>
      <w:r w:rsidRPr="00C33834">
        <w:rPr>
          <w:rFonts w:ascii="Times New Roman" w:hAnsi="Times New Roman"/>
          <w:color w:val="000000" w:themeColor="text1"/>
          <w:sz w:val="16"/>
          <w:szCs w:val="16"/>
        </w:rPr>
        <w:softHyphen/>
        <w:t>дены и закончены к 20/1У и Комиссия уже приступила к официальным испытаниям.</w:t>
      </w:r>
    </w:p>
    <w:p w14:paraId="1F43BA8C" w14:textId="77777777" w:rsidR="003446BF" w:rsidRPr="00C33834" w:rsidRDefault="003446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Вынужденное ожидание инженеров Управления Кораблестроения произошло по независящим от ЦАГИ причинам, так как нэцелесообразность пребывания их предупреждалась ЦАГИ, ввиду задержек, могущих произойти при доводке к испытаниям катера (2305,27).</w:t>
      </w:r>
    </w:p>
    <w:p w14:paraId="04584FC6" w14:textId="77777777" w:rsidR="003446BF" w:rsidRPr="00C33834" w:rsidRDefault="003446BF" w:rsidP="00C33834">
      <w:pPr>
        <w:spacing w:after="0" w:line="240" w:lineRule="auto"/>
        <w:jc w:val="both"/>
        <w:rPr>
          <w:rFonts w:ascii="Times New Roman" w:hAnsi="Times New Roman"/>
          <w:color w:val="000000" w:themeColor="text1"/>
          <w:sz w:val="16"/>
          <w:szCs w:val="16"/>
        </w:rPr>
      </w:pPr>
    </w:p>
    <w:p w14:paraId="4AF91A46" w14:textId="77777777" w:rsidR="00F1507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171C3E0" w14:textId="77777777" w:rsidR="00F15071" w:rsidRPr="00C33834" w:rsidRDefault="00F1507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474370D"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апреля 1933 на ХПЗ был собран первый 12-цилиндровый танковый дизель БД-2 (быстроходный дизель). Выпуск рабочих чертежей был с октября 1932 по февраль 1933, а проектирование - с июля 1931 (3879,40).</w:t>
      </w:r>
    </w:p>
    <w:p w14:paraId="4970BCEC"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050C835A"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апреля 1933 собрали первый полноразмерный БД - 2, а в мае 1933 г. начались внутризаводские стендовые испытания. Для сборки первых БД-2 в дизельном отделе создали экспериментальную мастерскую под руководством Н.П. Богданова, молодого энергичного человека, в недавнем прошлом токаря-универсала. Впоследствии он руководил цехом приспособлений - и до войны, и в эвакуации, а в послевоенный период стал начальником про-изводства ЧТЗ. К работе активно подключился вернувшийся в 1933 г. из США И.Я. Трашутин, который защитил магистерскую диссертацию в Массачусетском технологическом институте на тему "Оптимальное проектирование основных деталей дизеля" (в 1927 г. он закончил ХТИ). Работа его оказалась успешной и уже в 1936 г. он возглавил конструкторскую секцию (11224). Следует заметить, что проект БД-2 в высших инстанциях не утверждался. Но ходом работ интересовались в Управлении моторизации и ме-ханизации РККА. На завод приезжал тогдашний начальник УММ И.А. Халепский вместе с начальником НТК наркомата обороны И.А. Лебедевым (11224).</w:t>
      </w:r>
    </w:p>
    <w:p w14:paraId="4C17D076"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48A5249F"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апреля 1933 г. на испытательном стенде ХПЗ был запущен первый опытный образец БД-2. Испытания длились полгода, выявив множество дефектов - как конструктивных, так и производственных. Головка блока цилиндров с двумя клапанами не обеспечивала нормального рабочего процесса и заданной мощности. Оказались недостаточно жесткими картер и коленвал. Картер давал трещины, в его соединениях появлялись течи масла, разрушались подшипники коленвала. Трещины появлялись также в опорах кулачкового вала, а в соединении головок блоков с гильзами цилиндров пробивались газы. Недостаточной оказалась жесткость самих цилиндров: их "вело", что сказывалось на качестве смазки поршневой группы; разрушались и поршневые кольца. Дизель работал неустойчиво, сильно вибрировал и потому нуждался в серьезной переделке конструкции. Тем не менее, сразу после переборки опытный БД-2 установили на танк БТ-5 вместо авиамотора М-5 (9021).</w:t>
      </w:r>
    </w:p>
    <w:p w14:paraId="027AB4DE"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3879589A"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28 апреля 1933 г. первый образец дизеля ХПЗ, получившего название БД-2, был размещен на стенде для испытаний. Испытания выявили много дефектов, конструктивных и производственных недостатков. Началась трудная, кропотливая конструкторская доводка дизеля. В ноябре 1933 г. вместо авиационного мотора «Либерти» в опытный танк БТ-2 был установлен быстроходный дизель БД-2 № 1. Пробные пробеговые испытания танка с новым двигателем по территории завода были «первыми шагами» нового типа танкового двигателя - дизель-мотора. </w:t>
      </w:r>
    </w:p>
    <w:p w14:paraId="2248EF61"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Дизель в танке работал устойчиво, но сильно дымил. На этих и последующих испытаниях было выявлено много недостатков. После проведения большого объема конструкторских работ большую часть из них удалось устранить. С середины 1937 г. усовершенствованный дизель получил наименование В-2. Первые Государственные испытания В-2 состоялись в апреле - мае 1938 г. К концу 1938 г. заводом были изготовлены первые 50 дизелей.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w:t>
      </w:r>
    </w:p>
    <w:p w14:paraId="63142824"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1754C6FF"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28 апреля 1933 г. первый образец дизеля, получившего название «быстроходный дизель второй» - БД-2, был размещен на стенде для испытаний. Основными конструктивными особенностями опытного дизеля БД-2 были: картер, выполненный из алюминиевого сплава и с разъемом по оси коленчатого вала; общий на каждые шесть цилиндров алюминиевый блок со стальными «мокрыми» гильзами и общая алюминиевая распределительная головка и верхнеклапанный механизм газораспределения с одним впускным и одним выпускным клапанами. Нижний не несущий алюминиевый картер являлся поддоном для масла. Два шестисекционных насоса фирмы «Бош» располагались в развале цилиндров и соединялись трубопроводами с закрытыми форсунками «Бош», находившимися в головках цилиндров по оси поршня. Поршень - алюминиевый с камерой сгорания в поршне (типа Гессельмана). Коленчатый вал, шатуны, клапаны, шестерни - кованые, с последующей обработкой. Полгода проработал дизель БД-2 на стенде. </w:t>
      </w:r>
    </w:p>
    <w:p w14:paraId="2A62D6EA"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Испытания выявили много дефектов, конструктивных и производственных недостатков. Началась трудная, кропотливая конструкторская доводка дизеля. Наработка испытываемых на стенде двигателей до поломок сначала не превышала 10 - 15 часов. В ноябре 1933 г. вместо авиационного мотора «Либерти» в опытный танк БТ-2 был установлен быстроходный дизель БД-2 № 1 (этот опытный танк еще назывался БДТ-1). Ведущим инженером машины был Н.А. Кучеренко. Эксплуатационная мощность БД-2, установленного в танке БТ-2, составляла 360 л.с. (265 кВт). Пробные пробеговые испытания танка с новым двигателем по территории завода были «первыми шагами» нового типа танкового двигателя - дизель-мотора. Дизель в танке работал устойчиво, но сильно дымил. Танк трясло, сказывалась неуравновешенность двигателя. Вибрация вызывала неприятные ощущения у танкистов. На этих и последующих испытаниях было выявлено много недостатков. Ряд конструктивных решений необходимо было пересмотреть, отдельные детали и узлы требовали доработки. В 1934 г. в доводку дизеля активно включился И.Я. Трашутин, возвратившийся из США после стажировки. После испытаний на стенде и в танке опытного образца дизеля БД-2, конструкторы приступили к разработке улучшенной конструкции двигателя первой серии. КБ дизельного отдела завода, в целом, довольно малочисленное, в период 1932 - 1937 гг. вело большой объем работ по созданию одновременно нескольких модификаций быстроходного дизеля, имея в виду обеспечение различных транспортных машин дизелями одного семейства типа БД-2. Кроме того, весной 1933 г. в НАТИ под руководством и.о. директора инженера Зелинского велись проектные работы по установке в танк БТ-2 опытного быстроходного бескомпрессорного дизеля Д-300 конструкции ОКМО. В 1934 г. в КБ по быстроходным дизелям прибыло новое пополнение специалистов. В дизельном отделе завода было организовано три КБ, разрабатывающих до десятка модификаций дизеля БД-2 (танковых, судовых, тракторных, авиационных). Для разработки серийной технологии изготовления и оснастки в ноябре 1935 г. было создано технологическое бюро по БД-2, в котором, правда, уже на БТ-5, были продолжены объектовые испытания двигателей первой серии. По результатам испытаний первой серии и замечаниям специалистов ЦИАМ конструкторы выпустили техническую документацию дизеля БД-2 второй серии. Для повышения надежности и технологичности предусматривалось изготовление коленчатых валов, шатунов, поршней из штампованных заготовок. Однако очередные стендовые испытания, проведенные в январе - марте 1937 г., снова выявили дефекты. С середины 1937 г. усовершенствованный дизель получил наименование В-2. Первые Государственные испытания В-2 состоялись в апреле - мае 1938 г. К концу 1938 г. заводом были изготовлены первые 50 дизелей. В январе 1939 г. из состава завода № 183 (бывший ХПЗ) был образован новый дизельный завод, который позже был переименован в Государственный союзный завод № 75. В 1939 г. решением ГКО дизель В-2 был принят на вооружение РККА.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 </w:t>
      </w:r>
    </w:p>
    <w:p w14:paraId="2CDBA447"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013A0666"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г. в Наркомтяжпроме было создано Главное уп</w:t>
      </w:r>
      <w:r w:rsidRPr="00C33834">
        <w:rPr>
          <w:rFonts w:ascii="Times New Roman" w:hAnsi="Times New Roman"/>
          <w:color w:val="000000" w:themeColor="text1"/>
          <w:sz w:val="16"/>
          <w:szCs w:val="16"/>
        </w:rPr>
        <w:softHyphen/>
        <w:t>равление судостроительной промышленности, несколько позже разделенное на два Главка: Главное управление морского судостро</w:t>
      </w:r>
      <w:r w:rsidRPr="00C33834">
        <w:rPr>
          <w:rFonts w:ascii="Times New Roman" w:hAnsi="Times New Roman"/>
          <w:color w:val="000000" w:themeColor="text1"/>
          <w:sz w:val="16"/>
          <w:szCs w:val="16"/>
        </w:rPr>
        <w:softHyphen/>
        <w:t>ения (Главморпром) и Главное управление речного судостроения (Главречпром). Начальником Главморпрома стал Р. А. Муклевич, а Главречпрома — Д. Е. Березин.</w:t>
      </w:r>
    </w:p>
    <w:p w14:paraId="2A1418ED"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Главморпром из Союзверфи перешли восемь основных судо</w:t>
      </w:r>
      <w:r w:rsidRPr="00C33834">
        <w:rPr>
          <w:rFonts w:ascii="Times New Roman" w:hAnsi="Times New Roman"/>
          <w:color w:val="000000" w:themeColor="text1"/>
          <w:sz w:val="16"/>
          <w:szCs w:val="16"/>
        </w:rPr>
        <w:softHyphen/>
        <w:t>строительных заводов (Балтийский, им. А. Марти, Северная верфь и "Судомех" в Ленинграде, им. А. Марти и им. 61 Коммунара в Ни</w:t>
      </w:r>
      <w:r w:rsidRPr="00C33834">
        <w:rPr>
          <w:rFonts w:ascii="Times New Roman" w:hAnsi="Times New Roman"/>
          <w:color w:val="000000" w:themeColor="text1"/>
          <w:sz w:val="16"/>
          <w:szCs w:val="16"/>
        </w:rPr>
        <w:softHyphen/>
        <w:t>колаеве, Севморзавод и Дальзавод). Кроме того, в связи с развер</w:t>
      </w:r>
      <w:r w:rsidRPr="00C33834">
        <w:rPr>
          <w:rFonts w:ascii="Times New Roman" w:hAnsi="Times New Roman"/>
          <w:color w:val="000000" w:themeColor="text1"/>
          <w:sz w:val="16"/>
          <w:szCs w:val="16"/>
        </w:rPr>
        <w:softHyphen/>
        <w:t>тыванием большой программы строительства подводньк лодок в этот главк были включены Осиповский затон в Хабаровске и завод № 6 в Ленинграде, специализировавшийся на производстве тор</w:t>
      </w:r>
      <w:r w:rsidRPr="00C33834">
        <w:rPr>
          <w:rFonts w:ascii="Times New Roman" w:hAnsi="Times New Roman"/>
          <w:color w:val="000000" w:themeColor="text1"/>
          <w:sz w:val="16"/>
          <w:szCs w:val="16"/>
        </w:rPr>
        <w:softHyphen/>
        <w:t>педного вооружения (бывший Лесснера). По состоянию на 1934 г. в Главморпроме было около 43 000 рабочих, 7350 инженерно-тех</w:t>
      </w:r>
      <w:r w:rsidRPr="00C33834">
        <w:rPr>
          <w:rFonts w:ascii="Times New Roman" w:hAnsi="Times New Roman"/>
          <w:color w:val="000000" w:themeColor="text1"/>
          <w:sz w:val="16"/>
          <w:szCs w:val="16"/>
        </w:rPr>
        <w:softHyphen/>
        <w:t>нических работников и 4860 служащих и младшего обслуживаю</w:t>
      </w:r>
      <w:r w:rsidRPr="00C33834">
        <w:rPr>
          <w:rFonts w:ascii="Times New Roman" w:hAnsi="Times New Roman"/>
          <w:color w:val="000000" w:themeColor="text1"/>
          <w:sz w:val="16"/>
          <w:szCs w:val="16"/>
        </w:rPr>
        <w:softHyphen/>
        <w:t>щего персонала.</w:t>
      </w:r>
    </w:p>
    <w:p w14:paraId="600CF378"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Главречпром первоначально объединил 16 заводов и верфей, на которых на момент создания главка работало более 36 000 чел., в том числе 23 700 рабочих. С 1934 г. в состав Главречпрома це</w:t>
      </w:r>
      <w:r w:rsidRPr="00C33834">
        <w:rPr>
          <w:rFonts w:ascii="Times New Roman" w:hAnsi="Times New Roman"/>
          <w:color w:val="000000" w:themeColor="text1"/>
          <w:sz w:val="16"/>
          <w:szCs w:val="16"/>
        </w:rPr>
        <w:softHyphen/>
        <w:t>ликом вошел крупнейший внутренний судостроительный и маши</w:t>
      </w:r>
      <w:r w:rsidRPr="00C33834">
        <w:rPr>
          <w:rFonts w:ascii="Times New Roman" w:hAnsi="Times New Roman"/>
          <w:color w:val="000000" w:themeColor="text1"/>
          <w:sz w:val="16"/>
          <w:szCs w:val="16"/>
        </w:rPr>
        <w:softHyphen/>
        <w:t>ностроительный завод — "Красное Сормово" и судостроительная верфь Коломенского завода им. В. В. Куйбышева (3898).</w:t>
      </w:r>
    </w:p>
    <w:p w14:paraId="6BE530D9"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528FECB7"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г., предполагая даль</w:t>
      </w:r>
      <w:r w:rsidRPr="00C33834">
        <w:rPr>
          <w:rFonts w:ascii="Times New Roman" w:hAnsi="Times New Roman"/>
          <w:color w:val="000000" w:themeColor="text1"/>
          <w:sz w:val="16"/>
          <w:szCs w:val="16"/>
        </w:rPr>
        <w:softHyphen/>
        <w:t>нейшую постройку подобных судов (III серия), замнаморси СССР И. М. Лудри утвердил оперативно-тактические задания на "крымско-кавказские теплоходы, переоборудоваемые по мобилизации под вспомогательные крейсера" на базе Абхазии и Аджарии. Моряки предложили довести скорость лайнера до 17,5-18 уз, предусмотрев возможность его ча</w:t>
      </w:r>
      <w:r w:rsidRPr="00C33834">
        <w:rPr>
          <w:rFonts w:ascii="Times New Roman" w:hAnsi="Times New Roman"/>
          <w:color w:val="000000" w:themeColor="text1"/>
          <w:sz w:val="16"/>
          <w:szCs w:val="16"/>
        </w:rPr>
        <w:softHyphen/>
        <w:t>стичного бронирования и вооружения пятью 152-мм орудиями, 76-мм и 45-мм зенитными пушками и двумя самолетами. Буду</w:t>
      </w:r>
      <w:r w:rsidRPr="00C33834">
        <w:rPr>
          <w:rFonts w:ascii="Times New Roman" w:hAnsi="Times New Roman"/>
          <w:color w:val="000000" w:themeColor="text1"/>
          <w:sz w:val="16"/>
          <w:szCs w:val="16"/>
        </w:rPr>
        <w:softHyphen/>
        <w:t>щий вспомогательный крейсер должен был принимать 150— 200 мин и иметь минимум надстроек.</w:t>
      </w:r>
    </w:p>
    <w:p w14:paraId="76791A4B"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судна вело ЦКБ "Судопроект" (ранее ЦБМС), но оно не было построено из-за переключения промышленности на боевые корабли. В то же время Я. А. Копержинский использовал "Абхазию" в качестве прототипа для меньших по размерам (водо</w:t>
      </w:r>
      <w:r w:rsidRPr="00C33834">
        <w:rPr>
          <w:rFonts w:ascii="Times New Roman" w:hAnsi="Times New Roman"/>
          <w:color w:val="000000" w:themeColor="text1"/>
          <w:sz w:val="16"/>
          <w:szCs w:val="16"/>
        </w:rPr>
        <w:softHyphen/>
        <w:t>измещение около 3000 т), но также быстроходных теплоходов для работы на линии Баку—Красноводск. Двухвинтовое двухпалубное судно дедвейтом 960 т (вместимость — 2575 брт) рассчитывалось на 284 классных, 100 сидячих и 216 палубных мест. Главная энер</w:t>
      </w:r>
      <w:r w:rsidRPr="00C33834">
        <w:rPr>
          <w:rFonts w:ascii="Times New Roman" w:hAnsi="Times New Roman"/>
          <w:color w:val="000000" w:themeColor="text1"/>
          <w:sz w:val="16"/>
          <w:szCs w:val="16"/>
        </w:rPr>
        <w:softHyphen/>
        <w:t>гетическая установка — два бескомпрессорных дизеля МАН эф</w:t>
      </w:r>
      <w:r w:rsidRPr="00C33834">
        <w:rPr>
          <w:rFonts w:ascii="Times New Roman" w:hAnsi="Times New Roman"/>
          <w:color w:val="000000" w:themeColor="text1"/>
          <w:sz w:val="16"/>
          <w:szCs w:val="16"/>
        </w:rPr>
        <w:softHyphen/>
        <w:t>фективной мощностью по 1300 л. с., скорость — 14 уз.</w:t>
      </w:r>
    </w:p>
    <w:p w14:paraId="1EF2AC14"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этому проекту в 1932—1934 гг. Коломенский завод постро</w:t>
      </w:r>
      <w:r w:rsidRPr="00C33834">
        <w:rPr>
          <w:rFonts w:ascii="Times New Roman" w:hAnsi="Times New Roman"/>
          <w:color w:val="000000" w:themeColor="text1"/>
          <w:sz w:val="16"/>
          <w:szCs w:val="16"/>
        </w:rPr>
        <w:softHyphen/>
        <w:t>ил (с дизелями собственного изготовления) два судна — "Дагестан" и "Туркменистан", которые унаследовали лучшие качества прото</w:t>
      </w:r>
      <w:r w:rsidRPr="00C33834">
        <w:rPr>
          <w:rFonts w:ascii="Times New Roman" w:hAnsi="Times New Roman"/>
          <w:color w:val="000000" w:themeColor="text1"/>
          <w:sz w:val="16"/>
          <w:szCs w:val="16"/>
        </w:rPr>
        <w:softHyphen/>
        <w:t>типа.</w:t>
      </w:r>
    </w:p>
    <w:p w14:paraId="5EC0466B"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Следует отметить, что теплоходы типа "Абхазия", хотя и не получили явно выраженного "военного" продолжения, сыграли важ</w:t>
      </w:r>
      <w:r w:rsidRPr="00C33834">
        <w:rPr>
          <w:rFonts w:ascii="Times New Roman" w:hAnsi="Times New Roman"/>
          <w:color w:val="000000" w:themeColor="text1"/>
          <w:sz w:val="16"/>
          <w:szCs w:val="16"/>
        </w:rPr>
        <w:softHyphen/>
        <w:t>ную роль во время Великой Отечественной войны. Они оказались почти единственными судами на Черном море, которые могли эф</w:t>
      </w:r>
      <w:r w:rsidRPr="00C33834">
        <w:rPr>
          <w:rFonts w:ascii="Times New Roman" w:hAnsi="Times New Roman"/>
          <w:color w:val="000000" w:themeColor="text1"/>
          <w:sz w:val="16"/>
          <w:szCs w:val="16"/>
        </w:rPr>
        <w:softHyphen/>
        <w:t>фективно использоваться в качестве быстроходных военных и са</w:t>
      </w:r>
      <w:r w:rsidRPr="00C33834">
        <w:rPr>
          <w:rFonts w:ascii="Times New Roman" w:hAnsi="Times New Roman"/>
          <w:color w:val="000000" w:themeColor="text1"/>
          <w:sz w:val="16"/>
          <w:szCs w:val="16"/>
        </w:rPr>
        <w:softHyphen/>
        <w:t>нитарных транспортов. Например, "Абхазия", переоборудованная в санитарный транспорт на 400 коек, менее чем за год совершила 36 рейсов и эвакуировала 32 325 чел. Пять теплоходов из шести по</w:t>
      </w:r>
      <w:r w:rsidRPr="00C33834">
        <w:rPr>
          <w:rFonts w:ascii="Times New Roman" w:hAnsi="Times New Roman"/>
          <w:color w:val="000000" w:themeColor="text1"/>
          <w:sz w:val="16"/>
          <w:szCs w:val="16"/>
        </w:rPr>
        <w:softHyphen/>
        <w:t>гибли в 1941—1942 гг., а "Крым" был поврежден и выведен из строя. Гибель "Армении" 7 ноября 1941 г. от торпеды самолета-торпедоносца стала крупнейшей в истории Великой Отечественно войны морской катастрофой, в которой погибло 5000 чел. (3898)</w:t>
      </w:r>
    </w:p>
    <w:p w14:paraId="115A57D5" w14:textId="77777777" w:rsidR="00F15071" w:rsidRPr="00C33834" w:rsidRDefault="00F1507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1E83B8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апреля 1933</w:t>
      </w:r>
    </w:p>
    <w:p w14:paraId="553F956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 ударных стройках на 1933 г.</w:t>
      </w:r>
    </w:p>
    <w:p w14:paraId="0352C26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w:t>
      </w:r>
    </w:p>
    <w:p w14:paraId="18F9595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Москва – 1948 г.</w:t>
      </w:r>
    </w:p>
    <w:p w14:paraId="30E5299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сосредоточения внимания и материально-технических средств в первую очередь на объектах капитального строительства, быстрей</w:t>
      </w:r>
      <w:r w:rsidRPr="00C33834">
        <w:rPr>
          <w:rFonts w:ascii="Times New Roman" w:hAnsi="Times New Roman"/>
          <w:color w:val="000000" w:themeColor="text1"/>
          <w:sz w:val="16"/>
          <w:szCs w:val="16"/>
        </w:rPr>
        <w:softHyphen/>
        <w:t>ший ввод в эксплоатацию которых имеет особое народнохозяйственное значение, Совет народных комиссаров Союза ССР постановляет:</w:t>
      </w:r>
    </w:p>
    <w:p w14:paraId="627A2FB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Признать на 1933 год следующие объекты капитального строитель</w:t>
      </w:r>
      <w:r w:rsidRPr="00C33834">
        <w:rPr>
          <w:rFonts w:ascii="Times New Roman" w:hAnsi="Times New Roman"/>
          <w:color w:val="000000" w:themeColor="text1"/>
          <w:sz w:val="16"/>
          <w:szCs w:val="16"/>
        </w:rPr>
        <w:softHyphen/>
        <w:t>ства ударными стройками, для которых установить первоочерёдность снабжения стройматериалами, оборудованием и срочность перевозок-грузов.</w:t>
      </w:r>
    </w:p>
    <w:p w14:paraId="04849A5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I. НАРКОМТЯЖПРОМ</w:t>
      </w:r>
    </w:p>
    <w:p w14:paraId="6E215A1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Каменноугольная промышленность.</w:t>
      </w:r>
    </w:p>
    <w:p w14:paraId="108ADCF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Доделки шахт, сданных в эксплоатацию в 1931 г.</w:t>
      </w:r>
    </w:p>
    <w:tbl>
      <w:tblPr>
        <w:tblW w:w="8565" w:type="dxa"/>
        <w:tblCellMar>
          <w:left w:w="0" w:type="dxa"/>
          <w:right w:w="0" w:type="dxa"/>
        </w:tblCellMar>
        <w:tblLook w:val="04A0" w:firstRow="1" w:lastRow="0" w:firstColumn="1" w:lastColumn="0" w:noHBand="0" w:noVBand="1"/>
      </w:tblPr>
      <w:tblGrid>
        <w:gridCol w:w="3420"/>
        <w:gridCol w:w="5145"/>
      </w:tblGrid>
      <w:tr w:rsidR="00F26F01" w:rsidRPr="00C33834" w14:paraId="7BE1C912" w14:textId="77777777" w:rsidTr="00DC292A">
        <w:trPr>
          <w:trHeight w:val="300"/>
        </w:trPr>
        <w:tc>
          <w:tcPr>
            <w:tcW w:w="0" w:type="auto"/>
            <w:gridSpan w:val="2"/>
            <w:vAlign w:val="center"/>
            <w:hideMark/>
          </w:tcPr>
          <w:p w14:paraId="3A4B755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Артемуголь.</w:t>
            </w:r>
          </w:p>
        </w:tc>
      </w:tr>
      <w:tr w:rsidR="00F26F01" w:rsidRPr="00C33834" w14:paraId="475EE203" w14:textId="77777777" w:rsidTr="00DC292A">
        <w:trPr>
          <w:trHeight w:val="300"/>
        </w:trPr>
        <w:tc>
          <w:tcPr>
            <w:tcW w:w="0" w:type="auto"/>
            <w:vAlign w:val="center"/>
            <w:hideMark/>
          </w:tcPr>
          <w:p w14:paraId="1FEBAD6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Новая</w:t>
            </w:r>
          </w:p>
        </w:tc>
        <w:tc>
          <w:tcPr>
            <w:tcW w:w="0" w:type="auto"/>
            <w:vAlign w:val="center"/>
            <w:hideMark/>
          </w:tcPr>
          <w:p w14:paraId="2F68179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Щербинское</w:t>
            </w:r>
          </w:p>
        </w:tc>
      </w:tr>
      <w:tr w:rsidR="00F26F01" w:rsidRPr="00C33834" w14:paraId="1E0AFA19" w14:textId="77777777" w:rsidTr="00DC292A">
        <w:trPr>
          <w:trHeight w:val="300"/>
        </w:trPr>
        <w:tc>
          <w:tcPr>
            <w:tcW w:w="0" w:type="auto"/>
            <w:gridSpan w:val="2"/>
            <w:vAlign w:val="center"/>
            <w:hideMark/>
          </w:tcPr>
          <w:p w14:paraId="1E11703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Лугануголь.</w:t>
            </w:r>
          </w:p>
        </w:tc>
      </w:tr>
      <w:tr w:rsidR="00F26F01" w:rsidRPr="00C33834" w14:paraId="079B6AC3" w14:textId="77777777" w:rsidTr="00DC292A">
        <w:trPr>
          <w:trHeight w:val="300"/>
        </w:trPr>
        <w:tc>
          <w:tcPr>
            <w:tcW w:w="0" w:type="auto"/>
            <w:vAlign w:val="center"/>
            <w:hideMark/>
          </w:tcPr>
          <w:p w14:paraId="26295E2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24.</w:t>
            </w:r>
          </w:p>
        </w:tc>
        <w:tc>
          <w:tcPr>
            <w:tcW w:w="0" w:type="auto"/>
            <w:vAlign w:val="center"/>
            <w:hideMark/>
          </w:tcPr>
          <w:p w14:paraId="1C0F076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„Парижская коммуна"</w:t>
            </w:r>
          </w:p>
        </w:tc>
      </w:tr>
      <w:tr w:rsidR="00F26F01" w:rsidRPr="00C33834" w14:paraId="20B8D379" w14:textId="77777777" w:rsidTr="00DC292A">
        <w:trPr>
          <w:trHeight w:val="300"/>
        </w:trPr>
        <w:tc>
          <w:tcPr>
            <w:tcW w:w="0" w:type="auto"/>
            <w:vAlign w:val="center"/>
            <w:hideMark/>
          </w:tcPr>
          <w:p w14:paraId="705B6FB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26.</w:t>
            </w:r>
          </w:p>
        </w:tc>
        <w:tc>
          <w:tcPr>
            <w:tcW w:w="0" w:type="auto"/>
            <w:vAlign w:val="center"/>
            <w:hideMark/>
          </w:tcPr>
          <w:p w14:paraId="7EDA88A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„Парижская коммуна"</w:t>
            </w:r>
          </w:p>
        </w:tc>
      </w:tr>
      <w:tr w:rsidR="00F26F01" w:rsidRPr="00C33834" w14:paraId="643C434F" w14:textId="77777777" w:rsidTr="00DC292A">
        <w:trPr>
          <w:trHeight w:val="300"/>
        </w:trPr>
        <w:tc>
          <w:tcPr>
            <w:tcW w:w="0" w:type="auto"/>
            <w:vAlign w:val="center"/>
            <w:hideMark/>
          </w:tcPr>
          <w:p w14:paraId="6D957EF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Дельта № 2</w:t>
            </w:r>
          </w:p>
        </w:tc>
        <w:tc>
          <w:tcPr>
            <w:tcW w:w="0" w:type="auto"/>
            <w:vAlign w:val="center"/>
            <w:hideMark/>
          </w:tcPr>
          <w:p w14:paraId="1B353B9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„Парижская коммуна"</w:t>
            </w:r>
          </w:p>
        </w:tc>
      </w:tr>
      <w:tr w:rsidR="00F26F01" w:rsidRPr="00C33834" w14:paraId="78288EA8" w14:textId="77777777" w:rsidTr="00DC292A">
        <w:trPr>
          <w:trHeight w:val="300"/>
        </w:trPr>
        <w:tc>
          <w:tcPr>
            <w:tcW w:w="0" w:type="auto"/>
            <w:vAlign w:val="center"/>
            <w:hideMark/>
          </w:tcPr>
          <w:p w14:paraId="76EF08A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Дельта № 3</w:t>
            </w:r>
          </w:p>
        </w:tc>
        <w:tc>
          <w:tcPr>
            <w:tcW w:w="0" w:type="auto"/>
            <w:vAlign w:val="center"/>
            <w:hideMark/>
          </w:tcPr>
          <w:p w14:paraId="4B2C28D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,.Парижская коммуна"</w:t>
            </w:r>
          </w:p>
        </w:tc>
      </w:tr>
      <w:tr w:rsidR="00F26F01" w:rsidRPr="00C33834" w14:paraId="5D7504C9" w14:textId="77777777" w:rsidTr="00DC292A">
        <w:trPr>
          <w:trHeight w:val="300"/>
        </w:trPr>
        <w:tc>
          <w:tcPr>
            <w:tcW w:w="0" w:type="auto"/>
            <w:gridSpan w:val="2"/>
            <w:vAlign w:val="center"/>
            <w:hideMark/>
          </w:tcPr>
          <w:p w14:paraId="46F5C43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Сталинуголь.</w:t>
            </w:r>
          </w:p>
        </w:tc>
      </w:tr>
      <w:tr w:rsidR="00F26F01" w:rsidRPr="00C33834" w14:paraId="6C30C68D" w14:textId="77777777" w:rsidTr="00DC292A">
        <w:trPr>
          <w:trHeight w:val="300"/>
        </w:trPr>
        <w:tc>
          <w:tcPr>
            <w:tcW w:w="0" w:type="auto"/>
            <w:vAlign w:val="center"/>
            <w:hideMark/>
          </w:tcPr>
          <w:p w14:paraId="6D45838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17/17 „бис".</w:t>
            </w:r>
          </w:p>
        </w:tc>
        <w:tc>
          <w:tcPr>
            <w:tcW w:w="0" w:type="auto"/>
            <w:vAlign w:val="center"/>
            <w:hideMark/>
          </w:tcPr>
          <w:p w14:paraId="1ED4FE6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„Комсом. Укр."</w:t>
            </w:r>
          </w:p>
        </w:tc>
      </w:tr>
      <w:tr w:rsidR="00F26F01" w:rsidRPr="00C33834" w14:paraId="1070CD89" w14:textId="77777777" w:rsidTr="00DC292A">
        <w:trPr>
          <w:trHeight w:val="300"/>
        </w:trPr>
        <w:tc>
          <w:tcPr>
            <w:tcW w:w="0" w:type="auto"/>
            <w:vAlign w:val="center"/>
            <w:hideMark/>
          </w:tcPr>
          <w:p w14:paraId="263E093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„Красная звезда".</w:t>
            </w:r>
          </w:p>
        </w:tc>
        <w:tc>
          <w:tcPr>
            <w:tcW w:w="0" w:type="auto"/>
            <w:vAlign w:val="center"/>
            <w:hideMark/>
          </w:tcPr>
          <w:p w14:paraId="34F4050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Будённовске</w:t>
            </w:r>
          </w:p>
        </w:tc>
      </w:tr>
      <w:tr w:rsidR="00F26F01" w:rsidRPr="00C33834" w14:paraId="081297AF" w14:textId="77777777" w:rsidTr="00DC292A">
        <w:trPr>
          <w:trHeight w:val="300"/>
        </w:trPr>
        <w:tc>
          <w:tcPr>
            <w:tcW w:w="0" w:type="auto"/>
            <w:vAlign w:val="center"/>
            <w:hideMark/>
          </w:tcPr>
          <w:p w14:paraId="5289AFE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Ново-Бутовская.</w:t>
            </w:r>
          </w:p>
        </w:tc>
        <w:tc>
          <w:tcPr>
            <w:tcW w:w="0" w:type="auto"/>
            <w:vAlign w:val="center"/>
            <w:hideMark/>
          </w:tcPr>
          <w:p w14:paraId="072DEE1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Макеевское</w:t>
            </w:r>
          </w:p>
        </w:tc>
      </w:tr>
      <w:tr w:rsidR="00F26F01" w:rsidRPr="00C33834" w14:paraId="01DCEEC2" w14:textId="77777777" w:rsidTr="00DC292A">
        <w:trPr>
          <w:trHeight w:val="300"/>
        </w:trPr>
        <w:tc>
          <w:tcPr>
            <w:tcW w:w="0" w:type="auto"/>
            <w:vAlign w:val="center"/>
            <w:hideMark/>
          </w:tcPr>
          <w:p w14:paraId="4C51CD1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1.</w:t>
            </w:r>
          </w:p>
        </w:tc>
        <w:tc>
          <w:tcPr>
            <w:tcW w:w="0" w:type="auto"/>
            <w:vAlign w:val="center"/>
            <w:hideMark/>
          </w:tcPr>
          <w:p w14:paraId="793503B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Петровское</w:t>
            </w:r>
          </w:p>
        </w:tc>
      </w:tr>
      <w:tr w:rsidR="00F26F01" w:rsidRPr="00C33834" w14:paraId="4C954EC6" w14:textId="77777777" w:rsidTr="00DC292A">
        <w:trPr>
          <w:trHeight w:val="300"/>
        </w:trPr>
        <w:tc>
          <w:tcPr>
            <w:tcW w:w="0" w:type="auto"/>
            <w:vAlign w:val="center"/>
            <w:hideMark/>
          </w:tcPr>
          <w:p w14:paraId="13C0497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Центральная,</w:t>
            </w:r>
          </w:p>
        </w:tc>
        <w:tc>
          <w:tcPr>
            <w:tcW w:w="0" w:type="auto"/>
            <w:vAlign w:val="center"/>
            <w:hideMark/>
          </w:tcPr>
          <w:p w14:paraId="52CE3A0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Гришинское</w:t>
            </w:r>
          </w:p>
        </w:tc>
      </w:tr>
      <w:tr w:rsidR="00F26F01" w:rsidRPr="00C33834" w14:paraId="586CD7C1" w14:textId="77777777" w:rsidTr="00DC292A">
        <w:trPr>
          <w:trHeight w:val="300"/>
        </w:trPr>
        <w:tc>
          <w:tcPr>
            <w:tcW w:w="0" w:type="auto"/>
            <w:gridSpan w:val="2"/>
            <w:vAlign w:val="center"/>
            <w:hideMark/>
          </w:tcPr>
          <w:p w14:paraId="16FBE42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Кадиевуголь.</w:t>
            </w:r>
          </w:p>
        </w:tc>
      </w:tr>
      <w:tr w:rsidR="00F26F01" w:rsidRPr="00C33834" w14:paraId="72DD36DB" w14:textId="77777777" w:rsidTr="00DC292A">
        <w:trPr>
          <w:trHeight w:val="300"/>
        </w:trPr>
        <w:tc>
          <w:tcPr>
            <w:tcW w:w="0" w:type="auto"/>
            <w:vAlign w:val="center"/>
            <w:hideMark/>
          </w:tcPr>
          <w:p w14:paraId="629DDF4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Ирмино 4/2 „бис"</w:t>
            </w:r>
          </w:p>
        </w:tc>
        <w:tc>
          <w:tcPr>
            <w:tcW w:w="0" w:type="auto"/>
            <w:vAlign w:val="center"/>
            <w:hideMark/>
          </w:tcPr>
          <w:p w14:paraId="5D8C852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Первомайское</w:t>
            </w:r>
          </w:p>
        </w:tc>
      </w:tr>
      <w:tr w:rsidR="00F26F01" w:rsidRPr="00C33834" w14:paraId="3BCC66B2" w14:textId="77777777" w:rsidTr="00DC292A">
        <w:trPr>
          <w:trHeight w:val="300"/>
        </w:trPr>
        <w:tc>
          <w:tcPr>
            <w:tcW w:w="0" w:type="auto"/>
            <w:vAlign w:val="center"/>
            <w:hideMark/>
          </w:tcPr>
          <w:p w14:paraId="2B8E5BE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„Первомайская"</w:t>
            </w:r>
          </w:p>
        </w:tc>
        <w:tc>
          <w:tcPr>
            <w:tcW w:w="0" w:type="auto"/>
            <w:vAlign w:val="center"/>
            <w:hideMark/>
          </w:tcPr>
          <w:p w14:paraId="0F689FF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Лисичанское</w:t>
            </w:r>
          </w:p>
        </w:tc>
      </w:tr>
      <w:tr w:rsidR="00F26F01" w:rsidRPr="00C33834" w14:paraId="4A8EB185" w14:textId="77777777" w:rsidTr="00DC292A">
        <w:trPr>
          <w:trHeight w:val="300"/>
        </w:trPr>
        <w:tc>
          <w:tcPr>
            <w:tcW w:w="0" w:type="auto"/>
            <w:gridSpan w:val="2"/>
            <w:vAlign w:val="center"/>
            <w:hideMark/>
          </w:tcPr>
          <w:p w14:paraId="2B8C907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Донбассантрацит.</w:t>
            </w:r>
          </w:p>
        </w:tc>
      </w:tr>
      <w:tr w:rsidR="00F26F01" w:rsidRPr="00C33834" w14:paraId="408C0517" w14:textId="77777777" w:rsidTr="00DC292A">
        <w:trPr>
          <w:trHeight w:val="300"/>
        </w:trPr>
        <w:tc>
          <w:tcPr>
            <w:tcW w:w="0" w:type="auto"/>
            <w:vAlign w:val="center"/>
            <w:hideMark/>
          </w:tcPr>
          <w:p w14:paraId="5F3D0D1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„Американка".</w:t>
            </w:r>
          </w:p>
        </w:tc>
        <w:tc>
          <w:tcPr>
            <w:tcW w:w="0" w:type="auto"/>
            <w:vAlign w:val="center"/>
            <w:hideMark/>
          </w:tcPr>
          <w:p w14:paraId="442AFF2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Шварцевское.</w:t>
            </w:r>
          </w:p>
        </w:tc>
      </w:tr>
      <w:tr w:rsidR="00F26F01" w:rsidRPr="00C33834" w14:paraId="627DB123" w14:textId="77777777" w:rsidTr="00DC292A">
        <w:trPr>
          <w:trHeight w:val="300"/>
        </w:trPr>
        <w:tc>
          <w:tcPr>
            <w:tcW w:w="0" w:type="auto"/>
            <w:vAlign w:val="center"/>
            <w:hideMark/>
          </w:tcPr>
          <w:p w14:paraId="56AC0F7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„Карл 7/8".</w:t>
            </w:r>
          </w:p>
        </w:tc>
        <w:tc>
          <w:tcPr>
            <w:tcW w:w="0" w:type="auto"/>
            <w:vAlign w:val="center"/>
            <w:hideMark/>
          </w:tcPr>
          <w:p w14:paraId="21DAD08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Хрустальское.</w:t>
            </w:r>
          </w:p>
        </w:tc>
      </w:tr>
      <w:tr w:rsidR="00F26F01" w:rsidRPr="00C33834" w14:paraId="4905E06A" w14:textId="77777777" w:rsidTr="00DC292A">
        <w:trPr>
          <w:trHeight w:val="300"/>
        </w:trPr>
        <w:tc>
          <w:tcPr>
            <w:tcW w:w="0" w:type="auto"/>
            <w:vAlign w:val="center"/>
            <w:hideMark/>
          </w:tcPr>
          <w:p w14:paraId="0B01887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Лутугина</w:t>
            </w:r>
          </w:p>
        </w:tc>
        <w:tc>
          <w:tcPr>
            <w:tcW w:w="0" w:type="auto"/>
            <w:vAlign w:val="center"/>
            <w:hideMark/>
          </w:tcPr>
          <w:p w14:paraId="54DD4DF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Чистлковское.</w:t>
            </w:r>
          </w:p>
        </w:tc>
      </w:tr>
      <w:tr w:rsidR="00F26F01" w:rsidRPr="00C33834" w14:paraId="05DC6395" w14:textId="77777777" w:rsidTr="00DC292A">
        <w:trPr>
          <w:trHeight w:val="300"/>
        </w:trPr>
        <w:tc>
          <w:tcPr>
            <w:tcW w:w="0" w:type="auto"/>
            <w:gridSpan w:val="2"/>
            <w:vAlign w:val="center"/>
            <w:hideMark/>
          </w:tcPr>
          <w:p w14:paraId="017F25D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Севкавуголь.</w:t>
            </w:r>
          </w:p>
        </w:tc>
      </w:tr>
      <w:tr w:rsidR="00F26F01" w:rsidRPr="00C33834" w14:paraId="58A62879" w14:textId="77777777" w:rsidTr="00DC292A">
        <w:trPr>
          <w:trHeight w:val="300"/>
        </w:trPr>
        <w:tc>
          <w:tcPr>
            <w:tcW w:w="0" w:type="auto"/>
            <w:vAlign w:val="center"/>
            <w:hideMark/>
          </w:tcPr>
          <w:p w14:paraId="72E50BD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15/16.</w:t>
            </w:r>
          </w:p>
        </w:tc>
        <w:tc>
          <w:tcPr>
            <w:tcW w:w="0" w:type="auto"/>
            <w:vAlign w:val="center"/>
            <w:hideMark/>
          </w:tcPr>
          <w:p w14:paraId="5805269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Гуковское.</w:t>
            </w:r>
          </w:p>
        </w:tc>
      </w:tr>
      <w:tr w:rsidR="00F26F01" w:rsidRPr="00C33834" w14:paraId="32BEFFF7" w14:textId="77777777" w:rsidTr="00DC292A">
        <w:trPr>
          <w:trHeight w:val="300"/>
        </w:trPr>
        <w:tc>
          <w:tcPr>
            <w:tcW w:w="0" w:type="auto"/>
            <w:vAlign w:val="center"/>
            <w:hideMark/>
          </w:tcPr>
          <w:p w14:paraId="796B9DF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ОГПУ.</w:t>
            </w:r>
          </w:p>
        </w:tc>
        <w:tc>
          <w:tcPr>
            <w:tcW w:w="0" w:type="auto"/>
            <w:vAlign w:val="center"/>
            <w:hideMark/>
          </w:tcPr>
          <w:p w14:paraId="30972DA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Несветаевское.</w:t>
            </w:r>
          </w:p>
        </w:tc>
      </w:tr>
      <w:tr w:rsidR="00F26F01" w:rsidRPr="00C33834" w14:paraId="520C4F6A" w14:textId="77777777" w:rsidTr="00DC292A">
        <w:trPr>
          <w:trHeight w:val="300"/>
        </w:trPr>
        <w:tc>
          <w:tcPr>
            <w:tcW w:w="0" w:type="auto"/>
            <w:vAlign w:val="center"/>
            <w:hideMark/>
          </w:tcPr>
          <w:p w14:paraId="646E653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14 „бис".</w:t>
            </w:r>
          </w:p>
        </w:tc>
        <w:tc>
          <w:tcPr>
            <w:tcW w:w="0" w:type="auto"/>
            <w:vAlign w:val="center"/>
            <w:hideMark/>
          </w:tcPr>
          <w:p w14:paraId="7A2E01E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Белокалитвенское.</w:t>
            </w:r>
          </w:p>
        </w:tc>
      </w:tr>
      <w:tr w:rsidR="00F26F01" w:rsidRPr="00C33834" w14:paraId="3982CF52" w14:textId="77777777" w:rsidTr="00DC292A">
        <w:trPr>
          <w:trHeight w:val="300"/>
        </w:trPr>
        <w:tc>
          <w:tcPr>
            <w:tcW w:w="0" w:type="auto"/>
            <w:vAlign w:val="center"/>
            <w:hideMark/>
          </w:tcPr>
          <w:p w14:paraId="3D4F747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13 Горняцкая.</w:t>
            </w:r>
          </w:p>
        </w:tc>
        <w:tc>
          <w:tcPr>
            <w:tcW w:w="0" w:type="auto"/>
            <w:vAlign w:val="center"/>
            <w:hideMark/>
          </w:tcPr>
          <w:p w14:paraId="2C32F23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Белокалитвенское.</w:t>
            </w:r>
          </w:p>
        </w:tc>
      </w:tr>
      <w:tr w:rsidR="00F26F01" w:rsidRPr="00C33834" w14:paraId="56543A73" w14:textId="77777777" w:rsidTr="00DC292A">
        <w:trPr>
          <w:trHeight w:val="300"/>
        </w:trPr>
        <w:tc>
          <w:tcPr>
            <w:tcW w:w="0" w:type="auto"/>
            <w:gridSpan w:val="2"/>
            <w:vAlign w:val="center"/>
            <w:hideMark/>
          </w:tcPr>
          <w:p w14:paraId="6A583E2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Кузбассуголь.</w:t>
            </w:r>
          </w:p>
        </w:tc>
      </w:tr>
      <w:tr w:rsidR="00F26F01" w:rsidRPr="00C33834" w14:paraId="427AB58E" w14:textId="77777777" w:rsidTr="00DC292A">
        <w:trPr>
          <w:trHeight w:val="300"/>
        </w:trPr>
        <w:tc>
          <w:tcPr>
            <w:tcW w:w="0" w:type="auto"/>
            <w:vAlign w:val="center"/>
            <w:hideMark/>
          </w:tcPr>
          <w:p w14:paraId="78532C0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„Тешев лог".</w:t>
            </w:r>
          </w:p>
        </w:tc>
        <w:tc>
          <w:tcPr>
            <w:tcW w:w="0" w:type="auto"/>
            <w:vAlign w:val="center"/>
            <w:hideMark/>
          </w:tcPr>
          <w:p w14:paraId="29CD427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Араличевское.</w:t>
            </w:r>
          </w:p>
        </w:tc>
      </w:tr>
      <w:tr w:rsidR="00F26F01" w:rsidRPr="00C33834" w14:paraId="11B1660A" w14:textId="77777777" w:rsidTr="00DC292A">
        <w:trPr>
          <w:trHeight w:val="300"/>
        </w:trPr>
        <w:tc>
          <w:tcPr>
            <w:tcW w:w="0" w:type="auto"/>
            <w:vAlign w:val="center"/>
            <w:hideMark/>
          </w:tcPr>
          <w:p w14:paraId="7893CD8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Штольня № 2.</w:t>
            </w:r>
          </w:p>
        </w:tc>
        <w:tc>
          <w:tcPr>
            <w:tcW w:w="0" w:type="auto"/>
            <w:vAlign w:val="center"/>
            <w:hideMark/>
          </w:tcPr>
          <w:p w14:paraId="5940455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Киселевское.</w:t>
            </w:r>
          </w:p>
        </w:tc>
      </w:tr>
      <w:tr w:rsidR="00F26F01" w:rsidRPr="00C33834" w14:paraId="477C0538" w14:textId="77777777" w:rsidTr="00DC292A">
        <w:trPr>
          <w:trHeight w:val="300"/>
        </w:trPr>
        <w:tc>
          <w:tcPr>
            <w:tcW w:w="0" w:type="auto"/>
            <w:vAlign w:val="center"/>
            <w:hideMark/>
          </w:tcPr>
          <w:p w14:paraId="5DA4470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Штольня № 3.</w:t>
            </w:r>
          </w:p>
        </w:tc>
        <w:tc>
          <w:tcPr>
            <w:tcW w:w="0" w:type="auto"/>
            <w:vAlign w:val="center"/>
            <w:hideMark/>
          </w:tcPr>
          <w:p w14:paraId="0245B6A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Ленинское.</w:t>
            </w:r>
          </w:p>
        </w:tc>
      </w:tr>
      <w:tr w:rsidR="00F26F01" w:rsidRPr="00C33834" w14:paraId="6645E9E8" w14:textId="77777777" w:rsidTr="00DC292A">
        <w:trPr>
          <w:trHeight w:val="300"/>
        </w:trPr>
        <w:tc>
          <w:tcPr>
            <w:tcW w:w="0" w:type="auto"/>
            <w:vAlign w:val="center"/>
            <w:hideMark/>
          </w:tcPr>
          <w:p w14:paraId="7BE1212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Байкаимская</w:t>
            </w:r>
          </w:p>
        </w:tc>
        <w:tc>
          <w:tcPr>
            <w:tcW w:w="0" w:type="auto"/>
            <w:vAlign w:val="center"/>
            <w:hideMark/>
          </w:tcPr>
          <w:p w14:paraId="06C247B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Ленинское. им. 7-е ноября с укл. № 27.</w:t>
            </w:r>
          </w:p>
        </w:tc>
      </w:tr>
      <w:tr w:rsidR="00F26F01" w:rsidRPr="00C33834" w14:paraId="6ADCD78B" w14:textId="77777777" w:rsidTr="00DC292A">
        <w:trPr>
          <w:trHeight w:val="300"/>
        </w:trPr>
        <w:tc>
          <w:tcPr>
            <w:tcW w:w="0" w:type="auto"/>
            <w:vAlign w:val="center"/>
            <w:hideMark/>
          </w:tcPr>
          <w:p w14:paraId="232B4C7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„Афонинск. штольня".</w:t>
            </w:r>
          </w:p>
        </w:tc>
        <w:tc>
          <w:tcPr>
            <w:tcW w:w="0" w:type="auto"/>
            <w:vAlign w:val="center"/>
            <w:hideMark/>
          </w:tcPr>
          <w:p w14:paraId="4F221DC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Киселевское.</w:t>
            </w:r>
          </w:p>
        </w:tc>
      </w:tr>
      <w:tr w:rsidR="00F26F01" w:rsidRPr="00C33834" w14:paraId="09B767E2" w14:textId="77777777" w:rsidTr="00DC292A">
        <w:trPr>
          <w:trHeight w:val="300"/>
        </w:trPr>
        <w:tc>
          <w:tcPr>
            <w:tcW w:w="0" w:type="auto"/>
            <w:vAlign w:val="center"/>
            <w:hideMark/>
          </w:tcPr>
          <w:p w14:paraId="3545EC8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Алыкаевская.</w:t>
            </w:r>
          </w:p>
        </w:tc>
        <w:tc>
          <w:tcPr>
            <w:tcW w:w="0" w:type="auto"/>
            <w:vAlign w:val="center"/>
            <w:hideMark/>
          </w:tcPr>
          <w:p w14:paraId="5690BD3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Кемеровское.</w:t>
            </w:r>
          </w:p>
        </w:tc>
      </w:tr>
      <w:tr w:rsidR="00F26F01" w:rsidRPr="00C33834" w14:paraId="0FA62F05" w14:textId="77777777" w:rsidTr="00DC292A">
        <w:trPr>
          <w:trHeight w:val="300"/>
        </w:trPr>
        <w:tc>
          <w:tcPr>
            <w:tcW w:w="0" w:type="auto"/>
            <w:vAlign w:val="center"/>
            <w:hideMark/>
          </w:tcPr>
          <w:p w14:paraId="5C19037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5/6.</w:t>
            </w:r>
          </w:p>
        </w:tc>
        <w:tc>
          <w:tcPr>
            <w:tcW w:w="0" w:type="auto"/>
            <w:vAlign w:val="center"/>
            <w:hideMark/>
          </w:tcPr>
          <w:p w14:paraId="46A6FF8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Прокопьевское.</w:t>
            </w:r>
          </w:p>
        </w:tc>
      </w:tr>
      <w:tr w:rsidR="00F26F01" w:rsidRPr="00C33834" w14:paraId="3F52857D" w14:textId="77777777" w:rsidTr="00DC292A">
        <w:trPr>
          <w:trHeight w:val="300"/>
        </w:trPr>
        <w:tc>
          <w:tcPr>
            <w:tcW w:w="0" w:type="auto"/>
            <w:vAlign w:val="center"/>
            <w:hideMark/>
          </w:tcPr>
          <w:p w14:paraId="75669D2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Центральная.</w:t>
            </w:r>
          </w:p>
        </w:tc>
        <w:tc>
          <w:tcPr>
            <w:tcW w:w="0" w:type="auto"/>
            <w:vAlign w:val="center"/>
            <w:hideMark/>
          </w:tcPr>
          <w:p w14:paraId="7CA7757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Араличевское.</w:t>
            </w:r>
          </w:p>
        </w:tc>
      </w:tr>
      <w:tr w:rsidR="00F26F01" w:rsidRPr="00C33834" w14:paraId="03DA003D" w14:textId="77777777" w:rsidTr="00DC292A">
        <w:trPr>
          <w:trHeight w:val="300"/>
        </w:trPr>
        <w:tc>
          <w:tcPr>
            <w:tcW w:w="0" w:type="auto"/>
            <w:gridSpan w:val="2"/>
            <w:vAlign w:val="center"/>
            <w:hideMark/>
          </w:tcPr>
          <w:p w14:paraId="5BD7E0D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Востсибуголь.</w:t>
            </w:r>
          </w:p>
        </w:tc>
      </w:tr>
      <w:tr w:rsidR="00F26F01" w:rsidRPr="00C33834" w14:paraId="03FE7662" w14:textId="77777777" w:rsidTr="00DC292A">
        <w:trPr>
          <w:trHeight w:val="300"/>
        </w:trPr>
        <w:tc>
          <w:tcPr>
            <w:tcW w:w="0" w:type="auto"/>
            <w:vAlign w:val="center"/>
            <w:hideMark/>
          </w:tcPr>
          <w:p w14:paraId="5D47CCF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Расушино.</w:t>
            </w:r>
          </w:p>
        </w:tc>
        <w:tc>
          <w:tcPr>
            <w:tcW w:w="0" w:type="auto"/>
            <w:vAlign w:val="center"/>
            <w:hideMark/>
          </w:tcPr>
          <w:p w14:paraId="26902C4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Черемхово.</w:t>
            </w:r>
          </w:p>
        </w:tc>
      </w:tr>
      <w:tr w:rsidR="00F26F01" w:rsidRPr="00C33834" w14:paraId="464B2E31" w14:textId="77777777" w:rsidTr="00DC292A">
        <w:trPr>
          <w:trHeight w:val="300"/>
        </w:trPr>
        <w:tc>
          <w:tcPr>
            <w:tcW w:w="0" w:type="auto"/>
            <w:vAlign w:val="center"/>
            <w:hideMark/>
          </w:tcPr>
          <w:p w14:paraId="54104CF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1 „бис".</w:t>
            </w:r>
          </w:p>
        </w:tc>
        <w:tc>
          <w:tcPr>
            <w:tcW w:w="0" w:type="auto"/>
            <w:vAlign w:val="center"/>
            <w:hideMark/>
          </w:tcPr>
          <w:p w14:paraId="1066796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Букачача.</w:t>
            </w:r>
          </w:p>
        </w:tc>
      </w:tr>
      <w:tr w:rsidR="00F26F01" w:rsidRPr="00C33834" w14:paraId="674E72A4" w14:textId="77777777" w:rsidTr="00DC292A">
        <w:trPr>
          <w:trHeight w:val="300"/>
        </w:trPr>
        <w:tc>
          <w:tcPr>
            <w:tcW w:w="0" w:type="auto"/>
            <w:vAlign w:val="center"/>
            <w:hideMark/>
          </w:tcPr>
          <w:p w14:paraId="4D37F13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2 „бис".</w:t>
            </w:r>
          </w:p>
        </w:tc>
        <w:tc>
          <w:tcPr>
            <w:tcW w:w="0" w:type="auto"/>
            <w:vAlign w:val="center"/>
            <w:hideMark/>
          </w:tcPr>
          <w:p w14:paraId="762E3FB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Букачача.</w:t>
            </w:r>
          </w:p>
        </w:tc>
      </w:tr>
      <w:tr w:rsidR="00F26F01" w:rsidRPr="00C33834" w14:paraId="2019F6B1" w14:textId="77777777" w:rsidTr="00DC292A">
        <w:trPr>
          <w:trHeight w:val="300"/>
        </w:trPr>
        <w:tc>
          <w:tcPr>
            <w:tcW w:w="0" w:type="auto"/>
            <w:gridSpan w:val="2"/>
            <w:vAlign w:val="center"/>
            <w:hideMark/>
          </w:tcPr>
          <w:p w14:paraId="4790FBD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Москвоуголь.</w:t>
            </w:r>
          </w:p>
        </w:tc>
      </w:tr>
      <w:tr w:rsidR="00F26F01" w:rsidRPr="00C33834" w14:paraId="14791763" w14:textId="77777777" w:rsidTr="00DC292A">
        <w:trPr>
          <w:trHeight w:val="300"/>
        </w:trPr>
        <w:tc>
          <w:tcPr>
            <w:tcW w:w="0" w:type="auto"/>
            <w:vAlign w:val="center"/>
            <w:hideMark/>
          </w:tcPr>
          <w:p w14:paraId="1F19B5C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54.</w:t>
            </w:r>
          </w:p>
        </w:tc>
        <w:tc>
          <w:tcPr>
            <w:tcW w:w="0" w:type="auto"/>
            <w:vAlign w:val="center"/>
            <w:hideMark/>
          </w:tcPr>
          <w:p w14:paraId="385E4B3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им. Кагановича.</w:t>
            </w:r>
          </w:p>
        </w:tc>
      </w:tr>
      <w:tr w:rsidR="00F26F01" w:rsidRPr="00C33834" w14:paraId="438E26D0" w14:textId="77777777" w:rsidTr="00DC292A">
        <w:trPr>
          <w:trHeight w:val="300"/>
        </w:trPr>
        <w:tc>
          <w:tcPr>
            <w:tcW w:w="0" w:type="auto"/>
            <w:vAlign w:val="center"/>
            <w:hideMark/>
          </w:tcPr>
          <w:p w14:paraId="0482FB9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40.</w:t>
            </w:r>
          </w:p>
        </w:tc>
        <w:tc>
          <w:tcPr>
            <w:tcW w:w="0" w:type="auto"/>
            <w:vAlign w:val="center"/>
            <w:hideMark/>
          </w:tcPr>
          <w:p w14:paraId="2FFACCC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им. Кагановича.</w:t>
            </w:r>
          </w:p>
        </w:tc>
      </w:tr>
      <w:tr w:rsidR="00F26F01" w:rsidRPr="00C33834" w14:paraId="03892FB6" w14:textId="77777777" w:rsidTr="00DC292A">
        <w:trPr>
          <w:trHeight w:val="300"/>
        </w:trPr>
        <w:tc>
          <w:tcPr>
            <w:tcW w:w="0" w:type="auto"/>
            <w:vAlign w:val="center"/>
            <w:hideMark/>
          </w:tcPr>
          <w:p w14:paraId="3F73C87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56.</w:t>
            </w:r>
          </w:p>
        </w:tc>
        <w:tc>
          <w:tcPr>
            <w:tcW w:w="0" w:type="auto"/>
            <w:vAlign w:val="center"/>
            <w:hideMark/>
          </w:tcPr>
          <w:p w14:paraId="57DE3AF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им. Кагановича.</w:t>
            </w:r>
          </w:p>
        </w:tc>
      </w:tr>
      <w:tr w:rsidR="00F26F01" w:rsidRPr="00C33834" w14:paraId="37862705" w14:textId="77777777" w:rsidTr="00DC292A">
        <w:trPr>
          <w:trHeight w:val="300"/>
        </w:trPr>
        <w:tc>
          <w:tcPr>
            <w:tcW w:w="0" w:type="auto"/>
            <w:vAlign w:val="center"/>
            <w:hideMark/>
          </w:tcPr>
          <w:p w14:paraId="40F8170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58.</w:t>
            </w:r>
          </w:p>
        </w:tc>
        <w:tc>
          <w:tcPr>
            <w:tcW w:w="0" w:type="auto"/>
            <w:vAlign w:val="center"/>
            <w:hideMark/>
          </w:tcPr>
          <w:p w14:paraId="089782E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им. Кагановича.</w:t>
            </w:r>
          </w:p>
        </w:tc>
      </w:tr>
      <w:tr w:rsidR="00F26F01" w:rsidRPr="00C33834" w14:paraId="231591B9" w14:textId="77777777" w:rsidTr="00DC292A">
        <w:trPr>
          <w:trHeight w:val="300"/>
        </w:trPr>
        <w:tc>
          <w:tcPr>
            <w:tcW w:w="0" w:type="auto"/>
            <w:vAlign w:val="center"/>
            <w:hideMark/>
          </w:tcPr>
          <w:p w14:paraId="3093C6C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16.</w:t>
            </w:r>
          </w:p>
        </w:tc>
        <w:tc>
          <w:tcPr>
            <w:tcW w:w="0" w:type="auto"/>
            <w:vAlign w:val="center"/>
            <w:hideMark/>
          </w:tcPr>
          <w:p w14:paraId="303CAF1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Шварцевское.</w:t>
            </w:r>
          </w:p>
        </w:tc>
      </w:tr>
      <w:tr w:rsidR="00F26F01" w:rsidRPr="00C33834" w14:paraId="17F3B5EB" w14:textId="77777777" w:rsidTr="00DC292A">
        <w:trPr>
          <w:trHeight w:val="300"/>
        </w:trPr>
        <w:tc>
          <w:tcPr>
            <w:tcW w:w="0" w:type="auto"/>
            <w:vAlign w:val="center"/>
            <w:hideMark/>
          </w:tcPr>
          <w:p w14:paraId="0D84189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12.</w:t>
            </w:r>
          </w:p>
        </w:tc>
        <w:tc>
          <w:tcPr>
            <w:tcW w:w="0" w:type="auto"/>
            <w:vAlign w:val="center"/>
            <w:hideMark/>
          </w:tcPr>
          <w:p w14:paraId="1FAF023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Рыковское.</w:t>
            </w:r>
          </w:p>
        </w:tc>
      </w:tr>
      <w:tr w:rsidR="00F26F01" w:rsidRPr="00C33834" w14:paraId="0978546C" w14:textId="77777777" w:rsidTr="00DC292A">
        <w:trPr>
          <w:trHeight w:val="300"/>
        </w:trPr>
        <w:tc>
          <w:tcPr>
            <w:tcW w:w="0" w:type="auto"/>
            <w:vAlign w:val="center"/>
            <w:hideMark/>
          </w:tcPr>
          <w:p w14:paraId="7B96C0F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13.</w:t>
            </w:r>
          </w:p>
        </w:tc>
        <w:tc>
          <w:tcPr>
            <w:tcW w:w="0" w:type="auto"/>
            <w:vAlign w:val="center"/>
            <w:hideMark/>
          </w:tcPr>
          <w:p w14:paraId="6176110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Рыковское.</w:t>
            </w:r>
          </w:p>
        </w:tc>
      </w:tr>
      <w:tr w:rsidR="00F26F01" w:rsidRPr="00C33834" w14:paraId="324827EA" w14:textId="77777777" w:rsidTr="00DC292A">
        <w:trPr>
          <w:trHeight w:val="300"/>
        </w:trPr>
        <w:tc>
          <w:tcPr>
            <w:tcW w:w="0" w:type="auto"/>
            <w:gridSpan w:val="2"/>
            <w:vAlign w:val="center"/>
            <w:hideMark/>
          </w:tcPr>
          <w:p w14:paraId="684B780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Дальуголь.</w:t>
            </w:r>
          </w:p>
        </w:tc>
      </w:tr>
      <w:tr w:rsidR="00F26F01" w:rsidRPr="00C33834" w14:paraId="5918B985" w14:textId="77777777" w:rsidTr="00DC292A">
        <w:trPr>
          <w:trHeight w:val="300"/>
        </w:trPr>
        <w:tc>
          <w:tcPr>
            <w:tcW w:w="0" w:type="auto"/>
            <w:vAlign w:val="center"/>
            <w:hideMark/>
          </w:tcPr>
          <w:p w14:paraId="15301C8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16.</w:t>
            </w:r>
          </w:p>
        </w:tc>
        <w:tc>
          <w:tcPr>
            <w:tcW w:w="0" w:type="auto"/>
            <w:vAlign w:val="center"/>
            <w:hideMark/>
          </w:tcPr>
          <w:p w14:paraId="71C2CBF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Сучанское.</w:t>
            </w:r>
          </w:p>
        </w:tc>
      </w:tr>
      <w:tr w:rsidR="00F26F01" w:rsidRPr="00C33834" w14:paraId="12F11371" w14:textId="77777777" w:rsidTr="00DC292A">
        <w:trPr>
          <w:trHeight w:val="300"/>
        </w:trPr>
        <w:tc>
          <w:tcPr>
            <w:tcW w:w="0" w:type="auto"/>
            <w:gridSpan w:val="2"/>
            <w:vAlign w:val="center"/>
            <w:hideMark/>
          </w:tcPr>
          <w:p w14:paraId="2492130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Средазуголь.</w:t>
            </w:r>
          </w:p>
        </w:tc>
      </w:tr>
      <w:tr w:rsidR="00F26F01" w:rsidRPr="00C33834" w14:paraId="40D4BC1A" w14:textId="77777777" w:rsidTr="00DC292A">
        <w:trPr>
          <w:trHeight w:val="300"/>
        </w:trPr>
        <w:tc>
          <w:tcPr>
            <w:tcW w:w="0" w:type="auto"/>
            <w:vAlign w:val="center"/>
            <w:hideMark/>
          </w:tcPr>
          <w:p w14:paraId="4583A15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„Ударник"</w:t>
            </w:r>
          </w:p>
        </w:tc>
        <w:tc>
          <w:tcPr>
            <w:tcW w:w="0" w:type="auto"/>
            <w:vAlign w:val="center"/>
            <w:hideMark/>
          </w:tcPr>
          <w:p w14:paraId="65D1E89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Сулюкта.</w:t>
            </w:r>
          </w:p>
        </w:tc>
      </w:tr>
      <w:tr w:rsidR="00F26F01" w:rsidRPr="00C33834" w14:paraId="25386E41" w14:textId="77777777" w:rsidTr="00DC292A">
        <w:trPr>
          <w:trHeight w:val="300"/>
        </w:trPr>
        <w:tc>
          <w:tcPr>
            <w:tcW w:w="0" w:type="auto"/>
            <w:gridSpan w:val="2"/>
            <w:vAlign w:val="center"/>
            <w:hideMark/>
          </w:tcPr>
          <w:p w14:paraId="3C4103B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б) Доделки шахт, сданных в эксплоатацию в 1932 г.</w:t>
            </w:r>
          </w:p>
        </w:tc>
      </w:tr>
      <w:tr w:rsidR="00F26F01" w:rsidRPr="00C33834" w14:paraId="4052D78C" w14:textId="77777777" w:rsidTr="00DC292A">
        <w:trPr>
          <w:trHeight w:val="300"/>
        </w:trPr>
        <w:tc>
          <w:tcPr>
            <w:tcW w:w="0" w:type="auto"/>
            <w:gridSpan w:val="2"/>
            <w:vAlign w:val="center"/>
            <w:hideMark/>
          </w:tcPr>
          <w:p w14:paraId="00EA873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Артемуголь.</w:t>
            </w:r>
          </w:p>
        </w:tc>
      </w:tr>
      <w:tr w:rsidR="00F26F01" w:rsidRPr="00C33834" w14:paraId="62CD6EFC" w14:textId="77777777" w:rsidTr="00DC292A">
        <w:trPr>
          <w:trHeight w:val="300"/>
        </w:trPr>
        <w:tc>
          <w:tcPr>
            <w:tcW w:w="0" w:type="auto"/>
            <w:vAlign w:val="center"/>
            <w:hideMark/>
          </w:tcPr>
          <w:p w14:paraId="4523EC0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8-а.</w:t>
            </w:r>
          </w:p>
        </w:tc>
        <w:tc>
          <w:tcPr>
            <w:tcW w:w="0" w:type="auto"/>
            <w:vAlign w:val="center"/>
            <w:hideMark/>
          </w:tcPr>
          <w:p w14:paraId="0E22A98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Горловскос.</w:t>
            </w:r>
          </w:p>
        </w:tc>
      </w:tr>
      <w:tr w:rsidR="00F26F01" w:rsidRPr="00C33834" w14:paraId="3CE03AD6" w14:textId="77777777" w:rsidTr="00DC292A">
        <w:trPr>
          <w:trHeight w:val="300"/>
        </w:trPr>
        <w:tc>
          <w:tcPr>
            <w:tcW w:w="0" w:type="auto"/>
            <w:vAlign w:val="center"/>
            <w:hideMark/>
          </w:tcPr>
          <w:p w14:paraId="7E27B16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Алекс. Западн.</w:t>
            </w:r>
          </w:p>
        </w:tc>
        <w:tc>
          <w:tcPr>
            <w:tcW w:w="0" w:type="auto"/>
            <w:vAlign w:val="center"/>
            <w:hideMark/>
          </w:tcPr>
          <w:p w14:paraId="53CEBAC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Калининское.</w:t>
            </w:r>
          </w:p>
        </w:tc>
      </w:tr>
      <w:tr w:rsidR="00F26F01" w:rsidRPr="00C33834" w14:paraId="74013957" w14:textId="77777777" w:rsidTr="00DC292A">
        <w:trPr>
          <w:trHeight w:val="300"/>
        </w:trPr>
        <w:tc>
          <w:tcPr>
            <w:tcW w:w="0" w:type="auto"/>
            <w:vAlign w:val="center"/>
            <w:hideMark/>
          </w:tcPr>
          <w:p w14:paraId="013DF5B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1/3.</w:t>
            </w:r>
          </w:p>
        </w:tc>
        <w:tc>
          <w:tcPr>
            <w:tcW w:w="0" w:type="auto"/>
            <w:vAlign w:val="center"/>
            <w:hideMark/>
          </w:tcPr>
          <w:p w14:paraId="41083C6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Горловское.</w:t>
            </w:r>
          </w:p>
        </w:tc>
      </w:tr>
      <w:tr w:rsidR="00F26F01" w:rsidRPr="00C33834" w14:paraId="53D6BECF" w14:textId="77777777" w:rsidTr="00DC292A">
        <w:trPr>
          <w:trHeight w:val="300"/>
        </w:trPr>
        <w:tc>
          <w:tcPr>
            <w:tcW w:w="0" w:type="auto"/>
            <w:gridSpan w:val="2"/>
            <w:vAlign w:val="center"/>
            <w:hideMark/>
          </w:tcPr>
          <w:p w14:paraId="6E01BDA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Кадиевуголь.</w:t>
            </w:r>
          </w:p>
        </w:tc>
      </w:tr>
      <w:tr w:rsidR="00F26F01" w:rsidRPr="00C33834" w14:paraId="57C02A33" w14:textId="77777777" w:rsidTr="00DC292A">
        <w:trPr>
          <w:trHeight w:val="300"/>
        </w:trPr>
        <w:tc>
          <w:tcPr>
            <w:tcW w:w="0" w:type="auto"/>
            <w:vAlign w:val="center"/>
            <w:hideMark/>
          </w:tcPr>
          <w:p w14:paraId="7062FC1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„Петр".</w:t>
            </w:r>
          </w:p>
        </w:tc>
        <w:tc>
          <w:tcPr>
            <w:tcW w:w="0" w:type="auto"/>
            <w:vAlign w:val="center"/>
            <w:hideMark/>
          </w:tcPr>
          <w:p w14:paraId="206EDA7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Зол. Тошковск.</w:t>
            </w:r>
          </w:p>
        </w:tc>
      </w:tr>
      <w:tr w:rsidR="00F26F01" w:rsidRPr="00C33834" w14:paraId="618A76DA" w14:textId="77777777" w:rsidTr="00DC292A">
        <w:trPr>
          <w:trHeight w:val="300"/>
        </w:trPr>
        <w:tc>
          <w:tcPr>
            <w:tcW w:w="0" w:type="auto"/>
            <w:vAlign w:val="center"/>
            <w:hideMark/>
          </w:tcPr>
          <w:p w14:paraId="021FC2F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Штольня № 3.</w:t>
            </w:r>
          </w:p>
        </w:tc>
        <w:tc>
          <w:tcPr>
            <w:tcW w:w="0" w:type="auto"/>
            <w:vAlign w:val="center"/>
            <w:hideMark/>
          </w:tcPr>
          <w:p w14:paraId="1788434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Голубовское.</w:t>
            </w:r>
          </w:p>
        </w:tc>
      </w:tr>
      <w:tr w:rsidR="00F26F01" w:rsidRPr="00C33834" w14:paraId="6856362F" w14:textId="77777777" w:rsidTr="00DC292A">
        <w:trPr>
          <w:trHeight w:val="300"/>
        </w:trPr>
        <w:tc>
          <w:tcPr>
            <w:tcW w:w="0" w:type="auto"/>
            <w:vAlign w:val="center"/>
            <w:hideMark/>
          </w:tcPr>
          <w:p w14:paraId="17FE7B8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„Томашевка".</w:t>
            </w:r>
          </w:p>
        </w:tc>
        <w:tc>
          <w:tcPr>
            <w:tcW w:w="0" w:type="auto"/>
            <w:vAlign w:val="center"/>
            <w:hideMark/>
          </w:tcPr>
          <w:p w14:paraId="18D617A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Лисичанское.</w:t>
            </w:r>
          </w:p>
        </w:tc>
      </w:tr>
      <w:tr w:rsidR="00F26F01" w:rsidRPr="00C33834" w14:paraId="45EEE1B5" w14:textId="77777777" w:rsidTr="00DC292A">
        <w:trPr>
          <w:trHeight w:val="300"/>
        </w:trPr>
        <w:tc>
          <w:tcPr>
            <w:tcW w:w="0" w:type="auto"/>
            <w:gridSpan w:val="2"/>
            <w:vAlign w:val="center"/>
            <w:hideMark/>
          </w:tcPr>
          <w:p w14:paraId="4E69A51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Сталинуголь.</w:t>
            </w:r>
          </w:p>
        </w:tc>
      </w:tr>
      <w:tr w:rsidR="00F26F01" w:rsidRPr="00C33834" w14:paraId="28E3F600" w14:textId="77777777" w:rsidTr="00DC292A">
        <w:trPr>
          <w:trHeight w:val="300"/>
        </w:trPr>
        <w:tc>
          <w:tcPr>
            <w:tcW w:w="0" w:type="auto"/>
            <w:vAlign w:val="center"/>
            <w:hideMark/>
          </w:tcPr>
          <w:p w14:paraId="7855B6B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16/17.</w:t>
            </w:r>
          </w:p>
        </w:tc>
        <w:tc>
          <w:tcPr>
            <w:tcW w:w="0" w:type="auto"/>
            <w:vAlign w:val="center"/>
            <w:hideMark/>
          </w:tcPr>
          <w:p w14:paraId="0B5076A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Будённовское.</w:t>
            </w:r>
          </w:p>
        </w:tc>
      </w:tr>
      <w:tr w:rsidR="00F26F01" w:rsidRPr="00C33834" w14:paraId="47073788" w14:textId="77777777" w:rsidTr="00DC292A">
        <w:trPr>
          <w:trHeight w:val="300"/>
        </w:trPr>
        <w:tc>
          <w:tcPr>
            <w:tcW w:w="0" w:type="auto"/>
            <w:gridSpan w:val="2"/>
            <w:vAlign w:val="center"/>
            <w:hideMark/>
          </w:tcPr>
          <w:p w14:paraId="4C612CF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Донбассантрацит.</w:t>
            </w:r>
          </w:p>
        </w:tc>
      </w:tr>
      <w:tr w:rsidR="00F26F01" w:rsidRPr="00C33834" w14:paraId="667069CB" w14:textId="77777777" w:rsidTr="00DC292A">
        <w:trPr>
          <w:trHeight w:val="300"/>
        </w:trPr>
        <w:tc>
          <w:tcPr>
            <w:tcW w:w="0" w:type="auto"/>
            <w:vAlign w:val="center"/>
            <w:hideMark/>
          </w:tcPr>
          <w:p w14:paraId="7AEA258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1 „Первомайская".</w:t>
            </w:r>
          </w:p>
        </w:tc>
        <w:tc>
          <w:tcPr>
            <w:tcW w:w="0" w:type="auto"/>
            <w:vAlign w:val="center"/>
            <w:hideMark/>
          </w:tcPr>
          <w:p w14:paraId="03AEDD6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Фоминское.</w:t>
            </w:r>
          </w:p>
        </w:tc>
      </w:tr>
      <w:tr w:rsidR="00F26F01" w:rsidRPr="00C33834" w14:paraId="78107965" w14:textId="77777777" w:rsidTr="00DC292A">
        <w:trPr>
          <w:trHeight w:val="300"/>
        </w:trPr>
        <w:tc>
          <w:tcPr>
            <w:tcW w:w="0" w:type="auto"/>
            <w:vAlign w:val="center"/>
            <w:hideMark/>
          </w:tcPr>
          <w:p w14:paraId="0197857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53.</w:t>
            </w:r>
          </w:p>
        </w:tc>
        <w:tc>
          <w:tcPr>
            <w:tcW w:w="0" w:type="auto"/>
            <w:vAlign w:val="center"/>
            <w:hideMark/>
          </w:tcPr>
          <w:p w14:paraId="2CE8BFB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Боковское.</w:t>
            </w:r>
          </w:p>
        </w:tc>
      </w:tr>
      <w:tr w:rsidR="00F26F01" w:rsidRPr="00C33834" w14:paraId="37686B4F" w14:textId="77777777" w:rsidTr="00DC292A">
        <w:trPr>
          <w:trHeight w:val="300"/>
        </w:trPr>
        <w:tc>
          <w:tcPr>
            <w:tcW w:w="0" w:type="auto"/>
            <w:vAlign w:val="center"/>
            <w:hideMark/>
          </w:tcPr>
          <w:p w14:paraId="2B0E04D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21.</w:t>
            </w:r>
          </w:p>
        </w:tc>
        <w:tc>
          <w:tcPr>
            <w:tcW w:w="0" w:type="auto"/>
            <w:vAlign w:val="center"/>
            <w:hideMark/>
          </w:tcPr>
          <w:p w14:paraId="53DBEEE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Шварцевское.</w:t>
            </w:r>
          </w:p>
        </w:tc>
      </w:tr>
      <w:tr w:rsidR="00F26F01" w:rsidRPr="00C33834" w14:paraId="05E1FF60" w14:textId="77777777" w:rsidTr="00DC292A">
        <w:trPr>
          <w:trHeight w:val="300"/>
        </w:trPr>
        <w:tc>
          <w:tcPr>
            <w:tcW w:w="0" w:type="auto"/>
            <w:vAlign w:val="center"/>
            <w:hideMark/>
          </w:tcPr>
          <w:p w14:paraId="3BE97E4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22.</w:t>
            </w:r>
          </w:p>
        </w:tc>
        <w:tc>
          <w:tcPr>
            <w:tcW w:w="0" w:type="auto"/>
            <w:vAlign w:val="center"/>
            <w:hideMark/>
          </w:tcPr>
          <w:p w14:paraId="079F508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Шварцевское.</w:t>
            </w:r>
          </w:p>
        </w:tc>
      </w:tr>
      <w:tr w:rsidR="00F26F01" w:rsidRPr="00C33834" w14:paraId="67EB1347" w14:textId="77777777" w:rsidTr="00DC292A">
        <w:trPr>
          <w:trHeight w:val="300"/>
        </w:trPr>
        <w:tc>
          <w:tcPr>
            <w:tcW w:w="0" w:type="auto"/>
            <w:vAlign w:val="center"/>
            <w:hideMark/>
          </w:tcPr>
          <w:p w14:paraId="4A0ECAA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9.</w:t>
            </w:r>
          </w:p>
        </w:tc>
        <w:tc>
          <w:tcPr>
            <w:tcW w:w="0" w:type="auto"/>
            <w:vAlign w:val="center"/>
            <w:hideMark/>
          </w:tcPr>
          <w:p w14:paraId="3481857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Свердловское.</w:t>
            </w:r>
          </w:p>
        </w:tc>
      </w:tr>
      <w:tr w:rsidR="00F26F01" w:rsidRPr="00C33834" w14:paraId="464F2D6A" w14:textId="77777777" w:rsidTr="00DC292A">
        <w:trPr>
          <w:trHeight w:val="300"/>
        </w:trPr>
        <w:tc>
          <w:tcPr>
            <w:tcW w:w="0" w:type="auto"/>
            <w:gridSpan w:val="2"/>
            <w:vAlign w:val="center"/>
            <w:hideMark/>
          </w:tcPr>
          <w:p w14:paraId="404F893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Шахтстрой.</w:t>
            </w:r>
          </w:p>
        </w:tc>
      </w:tr>
      <w:tr w:rsidR="00F26F01" w:rsidRPr="00C33834" w14:paraId="4A7D3106" w14:textId="77777777" w:rsidTr="00DC292A">
        <w:trPr>
          <w:trHeight w:val="300"/>
        </w:trPr>
        <w:tc>
          <w:tcPr>
            <w:tcW w:w="0" w:type="auto"/>
            <w:vAlign w:val="center"/>
            <w:hideMark/>
          </w:tcPr>
          <w:p w14:paraId="668E04B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16/17 Евдокиев.</w:t>
            </w:r>
          </w:p>
        </w:tc>
        <w:tc>
          <w:tcPr>
            <w:tcW w:w="0" w:type="auto"/>
            <w:vAlign w:val="center"/>
            <w:hideMark/>
          </w:tcPr>
          <w:p w14:paraId="7157A5B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Буденновское.</w:t>
            </w:r>
          </w:p>
        </w:tc>
      </w:tr>
      <w:tr w:rsidR="00F26F01" w:rsidRPr="00C33834" w14:paraId="67A9790F" w14:textId="77777777" w:rsidTr="00DC292A">
        <w:trPr>
          <w:trHeight w:val="300"/>
        </w:trPr>
        <w:tc>
          <w:tcPr>
            <w:tcW w:w="0" w:type="auto"/>
            <w:vAlign w:val="center"/>
            <w:hideMark/>
          </w:tcPr>
          <w:p w14:paraId="3FCEA16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им. Киселева.</w:t>
            </w:r>
          </w:p>
        </w:tc>
        <w:tc>
          <w:tcPr>
            <w:tcW w:w="0" w:type="auto"/>
            <w:vAlign w:val="center"/>
            <w:hideMark/>
          </w:tcPr>
          <w:p w14:paraId="7512A74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Чистяковское.</w:t>
            </w:r>
          </w:p>
        </w:tc>
      </w:tr>
      <w:tr w:rsidR="00F26F01" w:rsidRPr="00C33834" w14:paraId="1877AF14" w14:textId="77777777" w:rsidTr="00DC292A">
        <w:trPr>
          <w:trHeight w:val="300"/>
        </w:trPr>
        <w:tc>
          <w:tcPr>
            <w:tcW w:w="0" w:type="auto"/>
            <w:vAlign w:val="center"/>
            <w:hideMark/>
          </w:tcPr>
          <w:p w14:paraId="6B961BE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„Узловая".</w:t>
            </w:r>
          </w:p>
        </w:tc>
        <w:tc>
          <w:tcPr>
            <w:tcW w:w="0" w:type="auto"/>
            <w:vAlign w:val="center"/>
            <w:hideMark/>
          </w:tcPr>
          <w:p w14:paraId="78BA270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Чистяковское.</w:t>
            </w:r>
          </w:p>
        </w:tc>
      </w:tr>
      <w:tr w:rsidR="00F26F01" w:rsidRPr="00C33834" w14:paraId="110B8261" w14:textId="77777777" w:rsidTr="00DC292A">
        <w:trPr>
          <w:trHeight w:val="300"/>
        </w:trPr>
        <w:tc>
          <w:tcPr>
            <w:tcW w:w="0" w:type="auto"/>
            <w:vAlign w:val="center"/>
            <w:hideMark/>
          </w:tcPr>
          <w:p w14:paraId="4284580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Горско-Ивановск.</w:t>
            </w:r>
          </w:p>
        </w:tc>
        <w:tc>
          <w:tcPr>
            <w:tcW w:w="0" w:type="auto"/>
            <w:vAlign w:val="center"/>
            <w:hideMark/>
          </w:tcPr>
          <w:p w14:paraId="6A31BC2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Зол. Тошковск.</w:t>
            </w:r>
          </w:p>
        </w:tc>
      </w:tr>
      <w:tr w:rsidR="00F26F01" w:rsidRPr="00C33834" w14:paraId="5E6DF6D9" w14:textId="77777777" w:rsidTr="00DC292A">
        <w:trPr>
          <w:trHeight w:val="300"/>
        </w:trPr>
        <w:tc>
          <w:tcPr>
            <w:tcW w:w="0" w:type="auto"/>
            <w:gridSpan w:val="2"/>
            <w:vAlign w:val="center"/>
            <w:hideMark/>
          </w:tcPr>
          <w:p w14:paraId="019579C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Кузбассуголь.</w:t>
            </w:r>
          </w:p>
        </w:tc>
      </w:tr>
      <w:tr w:rsidR="00F26F01" w:rsidRPr="00C33834" w14:paraId="79F82570" w14:textId="77777777" w:rsidTr="00DC292A">
        <w:trPr>
          <w:trHeight w:val="300"/>
        </w:trPr>
        <w:tc>
          <w:tcPr>
            <w:tcW w:w="0" w:type="auto"/>
            <w:vAlign w:val="center"/>
            <w:hideMark/>
          </w:tcPr>
          <w:p w14:paraId="3BA3D31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Ново-Журинская.</w:t>
            </w:r>
          </w:p>
        </w:tc>
        <w:tc>
          <w:tcPr>
            <w:tcW w:w="0" w:type="auto"/>
            <w:vAlign w:val="center"/>
            <w:hideMark/>
          </w:tcPr>
          <w:p w14:paraId="16E568F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Ленинское.</w:t>
            </w:r>
          </w:p>
        </w:tc>
      </w:tr>
      <w:tr w:rsidR="00F26F01" w:rsidRPr="00C33834" w14:paraId="40F8CCB9" w14:textId="77777777" w:rsidTr="00DC292A">
        <w:trPr>
          <w:trHeight w:val="300"/>
        </w:trPr>
        <w:tc>
          <w:tcPr>
            <w:tcW w:w="0" w:type="auto"/>
            <w:vAlign w:val="center"/>
            <w:hideMark/>
          </w:tcPr>
          <w:p w14:paraId="3FC140D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„А".</w:t>
            </w:r>
          </w:p>
        </w:tc>
        <w:tc>
          <w:tcPr>
            <w:tcW w:w="0" w:type="auto"/>
            <w:vAlign w:val="center"/>
            <w:hideMark/>
          </w:tcPr>
          <w:p w14:paraId="73E2057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Ленинское.</w:t>
            </w:r>
          </w:p>
        </w:tc>
      </w:tr>
      <w:tr w:rsidR="00F26F01" w:rsidRPr="00C33834" w14:paraId="306D1F2A" w14:textId="77777777" w:rsidTr="00DC292A">
        <w:trPr>
          <w:trHeight w:val="300"/>
        </w:trPr>
        <w:tc>
          <w:tcPr>
            <w:tcW w:w="0" w:type="auto"/>
            <w:vAlign w:val="center"/>
            <w:hideMark/>
          </w:tcPr>
          <w:p w14:paraId="23D2A01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9.</w:t>
            </w:r>
          </w:p>
        </w:tc>
        <w:tc>
          <w:tcPr>
            <w:tcW w:w="0" w:type="auto"/>
            <w:vAlign w:val="center"/>
            <w:hideMark/>
          </w:tcPr>
          <w:p w14:paraId="62534AE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Осиновское.</w:t>
            </w:r>
          </w:p>
        </w:tc>
      </w:tr>
      <w:tr w:rsidR="00F26F01" w:rsidRPr="00C33834" w14:paraId="36388DD4" w14:textId="77777777" w:rsidTr="00DC292A">
        <w:trPr>
          <w:trHeight w:val="300"/>
        </w:trPr>
        <w:tc>
          <w:tcPr>
            <w:tcW w:w="0" w:type="auto"/>
            <w:vAlign w:val="center"/>
            <w:hideMark/>
          </w:tcPr>
          <w:p w14:paraId="65515E4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10 Елбан.</w:t>
            </w:r>
          </w:p>
        </w:tc>
        <w:tc>
          <w:tcPr>
            <w:tcW w:w="0" w:type="auto"/>
            <w:vAlign w:val="center"/>
            <w:hideMark/>
          </w:tcPr>
          <w:p w14:paraId="7D9AC9B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Осиновское.</w:t>
            </w:r>
          </w:p>
        </w:tc>
      </w:tr>
      <w:tr w:rsidR="00F26F01" w:rsidRPr="00C33834" w14:paraId="5C62472F" w14:textId="77777777" w:rsidTr="00DC292A">
        <w:trPr>
          <w:trHeight w:val="300"/>
        </w:trPr>
        <w:tc>
          <w:tcPr>
            <w:tcW w:w="0" w:type="auto"/>
            <w:vAlign w:val="center"/>
            <w:hideMark/>
          </w:tcPr>
          <w:p w14:paraId="32A5C1A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10.</w:t>
            </w:r>
          </w:p>
        </w:tc>
        <w:tc>
          <w:tcPr>
            <w:tcW w:w="0" w:type="auto"/>
            <w:vAlign w:val="center"/>
            <w:hideMark/>
          </w:tcPr>
          <w:p w14:paraId="1C03E48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Прокопьевске.</w:t>
            </w:r>
          </w:p>
        </w:tc>
      </w:tr>
      <w:tr w:rsidR="00F26F01" w:rsidRPr="00C33834" w14:paraId="27064272" w14:textId="77777777" w:rsidTr="00DC292A">
        <w:trPr>
          <w:trHeight w:val="300"/>
        </w:trPr>
        <w:tc>
          <w:tcPr>
            <w:tcW w:w="0" w:type="auto"/>
            <w:vAlign w:val="center"/>
            <w:hideMark/>
          </w:tcPr>
          <w:p w14:paraId="4151CED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Акчурлинская.</w:t>
            </w:r>
          </w:p>
        </w:tc>
        <w:tc>
          <w:tcPr>
            <w:tcW w:w="0" w:type="auto"/>
            <w:vAlign w:val="center"/>
            <w:hideMark/>
          </w:tcPr>
          <w:p w14:paraId="7A79A04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Киселевское.</w:t>
            </w:r>
          </w:p>
        </w:tc>
      </w:tr>
      <w:tr w:rsidR="00F26F01" w:rsidRPr="00C33834" w14:paraId="77BE6CC7" w14:textId="77777777" w:rsidTr="00DC292A">
        <w:trPr>
          <w:trHeight w:val="300"/>
        </w:trPr>
        <w:tc>
          <w:tcPr>
            <w:tcW w:w="0" w:type="auto"/>
            <w:vAlign w:val="center"/>
            <w:hideMark/>
          </w:tcPr>
          <w:p w14:paraId="362FDF1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1.</w:t>
            </w:r>
          </w:p>
        </w:tc>
        <w:tc>
          <w:tcPr>
            <w:tcW w:w="0" w:type="auto"/>
            <w:vAlign w:val="center"/>
            <w:hideMark/>
          </w:tcPr>
          <w:p w14:paraId="658D45D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Белевское.</w:t>
            </w:r>
          </w:p>
        </w:tc>
      </w:tr>
      <w:tr w:rsidR="00F26F01" w:rsidRPr="00C33834" w14:paraId="7F787994" w14:textId="77777777" w:rsidTr="00DC292A">
        <w:trPr>
          <w:trHeight w:val="300"/>
        </w:trPr>
        <w:tc>
          <w:tcPr>
            <w:tcW w:w="0" w:type="auto"/>
            <w:gridSpan w:val="2"/>
            <w:vAlign w:val="center"/>
            <w:hideMark/>
          </w:tcPr>
          <w:p w14:paraId="5F5FF64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Востсибуголь.</w:t>
            </w:r>
          </w:p>
        </w:tc>
      </w:tr>
      <w:tr w:rsidR="00F26F01" w:rsidRPr="00C33834" w14:paraId="3E0B40F0" w14:textId="77777777" w:rsidTr="00DC292A">
        <w:trPr>
          <w:trHeight w:val="300"/>
        </w:trPr>
        <w:tc>
          <w:tcPr>
            <w:tcW w:w="0" w:type="auto"/>
            <w:vAlign w:val="center"/>
            <w:hideMark/>
          </w:tcPr>
          <w:p w14:paraId="4BDD16E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„Головина".</w:t>
            </w:r>
          </w:p>
        </w:tc>
        <w:tc>
          <w:tcPr>
            <w:tcW w:w="0" w:type="auto"/>
            <w:vAlign w:val="center"/>
            <w:hideMark/>
          </w:tcPr>
          <w:p w14:paraId="7BC48AB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Головинское.</w:t>
            </w:r>
          </w:p>
        </w:tc>
      </w:tr>
      <w:tr w:rsidR="00F26F01" w:rsidRPr="00C33834" w14:paraId="1CD1E32F" w14:textId="77777777" w:rsidTr="00DC292A">
        <w:trPr>
          <w:trHeight w:val="300"/>
        </w:trPr>
        <w:tc>
          <w:tcPr>
            <w:tcW w:w="0" w:type="auto"/>
            <w:vAlign w:val="center"/>
            <w:hideMark/>
          </w:tcPr>
          <w:p w14:paraId="50C70DB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„Халяртин".</w:t>
            </w:r>
          </w:p>
        </w:tc>
        <w:tc>
          <w:tcPr>
            <w:tcW w:w="0" w:type="auto"/>
            <w:vAlign w:val="center"/>
            <w:hideMark/>
          </w:tcPr>
          <w:p w14:paraId="7F6690E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Халярта.</w:t>
            </w:r>
          </w:p>
        </w:tc>
      </w:tr>
      <w:tr w:rsidR="00F26F01" w:rsidRPr="00C33834" w14:paraId="5370E20C" w14:textId="77777777" w:rsidTr="00DC292A">
        <w:trPr>
          <w:trHeight w:val="300"/>
        </w:trPr>
        <w:tc>
          <w:tcPr>
            <w:tcW w:w="0" w:type="auto"/>
            <w:gridSpan w:val="2"/>
            <w:vAlign w:val="center"/>
            <w:hideMark/>
          </w:tcPr>
          <w:p w14:paraId="3B053FE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Москвоуголь.</w:t>
            </w:r>
          </w:p>
        </w:tc>
      </w:tr>
      <w:tr w:rsidR="00F26F01" w:rsidRPr="00C33834" w14:paraId="2AF4DABC" w14:textId="77777777" w:rsidTr="00DC292A">
        <w:trPr>
          <w:trHeight w:val="300"/>
        </w:trPr>
        <w:tc>
          <w:tcPr>
            <w:tcW w:w="0" w:type="auto"/>
            <w:vAlign w:val="center"/>
            <w:hideMark/>
          </w:tcPr>
          <w:p w14:paraId="2C9CC67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5 „бис".</w:t>
            </w:r>
          </w:p>
        </w:tc>
        <w:tc>
          <w:tcPr>
            <w:tcW w:w="0" w:type="auto"/>
            <w:vAlign w:val="center"/>
            <w:hideMark/>
          </w:tcPr>
          <w:p w14:paraId="1577AB5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Щекинское.</w:t>
            </w:r>
          </w:p>
        </w:tc>
      </w:tr>
      <w:tr w:rsidR="00F26F01" w:rsidRPr="00C33834" w14:paraId="1ED74C5D" w14:textId="77777777" w:rsidTr="00DC292A">
        <w:trPr>
          <w:trHeight w:val="300"/>
        </w:trPr>
        <w:tc>
          <w:tcPr>
            <w:tcW w:w="0" w:type="auto"/>
            <w:vAlign w:val="center"/>
            <w:hideMark/>
          </w:tcPr>
          <w:p w14:paraId="0E7825A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№46.</w:t>
            </w:r>
          </w:p>
        </w:tc>
        <w:tc>
          <w:tcPr>
            <w:tcW w:w="0" w:type="auto"/>
            <w:vAlign w:val="center"/>
            <w:hideMark/>
          </w:tcPr>
          <w:p w14:paraId="3248685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Побединское.</w:t>
            </w:r>
          </w:p>
        </w:tc>
      </w:tr>
      <w:tr w:rsidR="00F26F01" w:rsidRPr="00C33834" w14:paraId="3C011384" w14:textId="77777777" w:rsidTr="00DC292A">
        <w:trPr>
          <w:trHeight w:val="300"/>
        </w:trPr>
        <w:tc>
          <w:tcPr>
            <w:tcW w:w="0" w:type="auto"/>
            <w:vAlign w:val="center"/>
            <w:hideMark/>
          </w:tcPr>
          <w:p w14:paraId="44994A3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18.</w:t>
            </w:r>
          </w:p>
        </w:tc>
        <w:tc>
          <w:tcPr>
            <w:tcW w:w="0" w:type="auto"/>
            <w:vAlign w:val="center"/>
            <w:hideMark/>
          </w:tcPr>
          <w:p w14:paraId="47C06C2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Шварцевское.</w:t>
            </w:r>
          </w:p>
        </w:tc>
      </w:tr>
      <w:tr w:rsidR="00F26F01" w:rsidRPr="00C33834" w14:paraId="368CE260" w14:textId="77777777" w:rsidTr="00DC292A">
        <w:trPr>
          <w:trHeight w:val="300"/>
        </w:trPr>
        <w:tc>
          <w:tcPr>
            <w:tcW w:w="0" w:type="auto"/>
            <w:vAlign w:val="center"/>
            <w:hideMark/>
          </w:tcPr>
          <w:p w14:paraId="10568D8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15 "бис".</w:t>
            </w:r>
          </w:p>
        </w:tc>
        <w:tc>
          <w:tcPr>
            <w:tcW w:w="0" w:type="auto"/>
            <w:vAlign w:val="center"/>
            <w:hideMark/>
          </w:tcPr>
          <w:p w14:paraId="637FBD4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Шварцевское.</w:t>
            </w:r>
          </w:p>
        </w:tc>
      </w:tr>
      <w:tr w:rsidR="00F26F01" w:rsidRPr="00C33834" w14:paraId="6012240B" w14:textId="77777777" w:rsidTr="00DC292A">
        <w:trPr>
          <w:trHeight w:val="300"/>
        </w:trPr>
        <w:tc>
          <w:tcPr>
            <w:tcW w:w="0" w:type="auto"/>
            <w:vAlign w:val="center"/>
            <w:hideMark/>
          </w:tcPr>
          <w:p w14:paraId="55D53C5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7 Щекин.</w:t>
            </w:r>
          </w:p>
        </w:tc>
        <w:tc>
          <w:tcPr>
            <w:tcW w:w="0" w:type="auto"/>
            <w:vAlign w:val="center"/>
            <w:hideMark/>
          </w:tcPr>
          <w:p w14:paraId="7078A9A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Щекинское.</w:t>
            </w:r>
          </w:p>
        </w:tc>
      </w:tr>
      <w:tr w:rsidR="00F26F01" w:rsidRPr="00C33834" w14:paraId="48980B3F" w14:textId="77777777" w:rsidTr="00DC292A">
        <w:trPr>
          <w:trHeight w:val="300"/>
        </w:trPr>
        <w:tc>
          <w:tcPr>
            <w:tcW w:w="0" w:type="auto"/>
            <w:vAlign w:val="center"/>
            <w:hideMark/>
          </w:tcPr>
          <w:p w14:paraId="32FD9DE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57.</w:t>
            </w:r>
          </w:p>
        </w:tc>
        <w:tc>
          <w:tcPr>
            <w:tcW w:w="0" w:type="auto"/>
            <w:vAlign w:val="center"/>
            <w:hideMark/>
          </w:tcPr>
          <w:p w14:paraId="469E791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им. Кагановича.</w:t>
            </w:r>
          </w:p>
        </w:tc>
      </w:tr>
      <w:tr w:rsidR="00F26F01" w:rsidRPr="00C33834" w14:paraId="35C5D5DB" w14:textId="77777777" w:rsidTr="00DC292A">
        <w:trPr>
          <w:trHeight w:val="300"/>
        </w:trPr>
        <w:tc>
          <w:tcPr>
            <w:tcW w:w="0" w:type="auto"/>
            <w:gridSpan w:val="2"/>
            <w:vAlign w:val="center"/>
            <w:hideMark/>
          </w:tcPr>
          <w:p w14:paraId="0BF449F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Уралуголь.</w:t>
            </w:r>
          </w:p>
        </w:tc>
      </w:tr>
      <w:tr w:rsidR="00F26F01" w:rsidRPr="00C33834" w14:paraId="4490DBA8" w14:textId="77777777" w:rsidTr="00DC292A">
        <w:trPr>
          <w:trHeight w:val="300"/>
        </w:trPr>
        <w:tc>
          <w:tcPr>
            <w:tcW w:w="0" w:type="auto"/>
            <w:vAlign w:val="center"/>
            <w:hideMark/>
          </w:tcPr>
          <w:p w14:paraId="01A9FF9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21.</w:t>
            </w:r>
          </w:p>
        </w:tc>
        <w:tc>
          <w:tcPr>
            <w:tcW w:w="0" w:type="auto"/>
            <w:vAlign w:val="center"/>
            <w:hideMark/>
          </w:tcPr>
          <w:p w14:paraId="71BEECD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Кизеловское.</w:t>
            </w:r>
          </w:p>
        </w:tc>
      </w:tr>
      <w:tr w:rsidR="00F26F01" w:rsidRPr="00C33834" w14:paraId="16455999" w14:textId="77777777" w:rsidTr="00DC292A">
        <w:trPr>
          <w:trHeight w:val="300"/>
        </w:trPr>
        <w:tc>
          <w:tcPr>
            <w:tcW w:w="0" w:type="auto"/>
            <w:vAlign w:val="center"/>
            <w:hideMark/>
          </w:tcPr>
          <w:p w14:paraId="0447A27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23.</w:t>
            </w:r>
          </w:p>
        </w:tc>
        <w:tc>
          <w:tcPr>
            <w:tcW w:w="0" w:type="auto"/>
            <w:vAlign w:val="center"/>
            <w:hideMark/>
          </w:tcPr>
          <w:p w14:paraId="4B3047F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Кизеловское.</w:t>
            </w:r>
          </w:p>
        </w:tc>
      </w:tr>
      <w:tr w:rsidR="00F26F01" w:rsidRPr="00C33834" w14:paraId="655F60CF" w14:textId="77777777" w:rsidTr="00DC292A">
        <w:trPr>
          <w:trHeight w:val="300"/>
        </w:trPr>
        <w:tc>
          <w:tcPr>
            <w:tcW w:w="0" w:type="auto"/>
            <w:vAlign w:val="center"/>
            <w:hideMark/>
          </w:tcPr>
          <w:p w14:paraId="7D8B030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4.</w:t>
            </w:r>
          </w:p>
        </w:tc>
        <w:tc>
          <w:tcPr>
            <w:tcW w:w="0" w:type="auto"/>
            <w:vAlign w:val="center"/>
            <w:hideMark/>
          </w:tcPr>
          <w:p w14:paraId="58FFB8B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Кизеловское.</w:t>
            </w:r>
          </w:p>
        </w:tc>
      </w:tr>
      <w:tr w:rsidR="00F26F01" w:rsidRPr="00C33834" w14:paraId="214E4BE9" w14:textId="77777777" w:rsidTr="00DC292A">
        <w:trPr>
          <w:trHeight w:val="300"/>
        </w:trPr>
        <w:tc>
          <w:tcPr>
            <w:tcW w:w="0" w:type="auto"/>
            <w:vAlign w:val="center"/>
            <w:hideMark/>
          </w:tcPr>
          <w:p w14:paraId="1711D4D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204.</w:t>
            </w:r>
          </w:p>
        </w:tc>
        <w:tc>
          <w:tcPr>
            <w:tcW w:w="0" w:type="auto"/>
            <w:vAlign w:val="center"/>
            <w:hideMark/>
          </w:tcPr>
          <w:p w14:paraId="221F2EA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Челябинское.</w:t>
            </w:r>
          </w:p>
        </w:tc>
      </w:tr>
      <w:tr w:rsidR="00F26F01" w:rsidRPr="00C33834" w14:paraId="701F3709" w14:textId="77777777" w:rsidTr="00DC292A">
        <w:trPr>
          <w:trHeight w:val="300"/>
        </w:trPr>
        <w:tc>
          <w:tcPr>
            <w:tcW w:w="0" w:type="auto"/>
            <w:vAlign w:val="center"/>
            <w:hideMark/>
          </w:tcPr>
          <w:p w14:paraId="53C2F1C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23.</w:t>
            </w:r>
          </w:p>
        </w:tc>
        <w:tc>
          <w:tcPr>
            <w:tcW w:w="0" w:type="auto"/>
            <w:vAlign w:val="center"/>
            <w:hideMark/>
          </w:tcPr>
          <w:p w14:paraId="78C31C3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Челябинское.</w:t>
            </w:r>
          </w:p>
        </w:tc>
      </w:tr>
      <w:tr w:rsidR="00F26F01" w:rsidRPr="00C33834" w14:paraId="29C0DAB8" w14:textId="77777777" w:rsidTr="00DC292A">
        <w:trPr>
          <w:trHeight w:val="300"/>
        </w:trPr>
        <w:tc>
          <w:tcPr>
            <w:tcW w:w="0" w:type="auto"/>
            <w:vAlign w:val="center"/>
            <w:hideMark/>
          </w:tcPr>
          <w:p w14:paraId="788F3D3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205.</w:t>
            </w:r>
          </w:p>
        </w:tc>
        <w:tc>
          <w:tcPr>
            <w:tcW w:w="0" w:type="auto"/>
            <w:vAlign w:val="center"/>
            <w:hideMark/>
          </w:tcPr>
          <w:p w14:paraId="2A2D5FC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Челябинское.</w:t>
            </w:r>
          </w:p>
        </w:tc>
      </w:tr>
      <w:tr w:rsidR="00F26F01" w:rsidRPr="00C33834" w14:paraId="3D6C279A" w14:textId="77777777" w:rsidTr="00DC292A">
        <w:trPr>
          <w:trHeight w:val="300"/>
        </w:trPr>
        <w:tc>
          <w:tcPr>
            <w:tcW w:w="0" w:type="auto"/>
            <w:vAlign w:val="center"/>
            <w:hideMark/>
          </w:tcPr>
          <w:p w14:paraId="669394D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203.</w:t>
            </w:r>
          </w:p>
        </w:tc>
        <w:tc>
          <w:tcPr>
            <w:tcW w:w="0" w:type="auto"/>
            <w:vAlign w:val="center"/>
            <w:hideMark/>
          </w:tcPr>
          <w:p w14:paraId="46C2E23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Челябинское.</w:t>
            </w:r>
          </w:p>
        </w:tc>
      </w:tr>
      <w:tr w:rsidR="00F26F01" w:rsidRPr="00C33834" w14:paraId="7A2C2445" w14:textId="77777777" w:rsidTr="00DC292A">
        <w:trPr>
          <w:trHeight w:val="300"/>
        </w:trPr>
        <w:tc>
          <w:tcPr>
            <w:tcW w:w="0" w:type="auto"/>
            <w:vAlign w:val="center"/>
            <w:hideMark/>
          </w:tcPr>
          <w:p w14:paraId="7938027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„Делянка".</w:t>
            </w:r>
          </w:p>
        </w:tc>
        <w:tc>
          <w:tcPr>
            <w:tcW w:w="0" w:type="auto"/>
            <w:vAlign w:val="center"/>
            <w:hideMark/>
          </w:tcPr>
          <w:p w14:paraId="74C30F3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Челябинское.</w:t>
            </w:r>
          </w:p>
        </w:tc>
      </w:tr>
      <w:tr w:rsidR="00F26F01" w:rsidRPr="00C33834" w14:paraId="478195C8" w14:textId="77777777" w:rsidTr="00DC292A">
        <w:trPr>
          <w:trHeight w:val="300"/>
        </w:trPr>
        <w:tc>
          <w:tcPr>
            <w:tcW w:w="0" w:type="auto"/>
            <w:gridSpan w:val="2"/>
            <w:vAlign w:val="center"/>
            <w:hideMark/>
          </w:tcPr>
          <w:p w14:paraId="0A78632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Дальуголь.</w:t>
            </w:r>
          </w:p>
        </w:tc>
      </w:tr>
      <w:tr w:rsidR="00F26F01" w:rsidRPr="00C33834" w14:paraId="5A5E1961" w14:textId="77777777" w:rsidTr="00DC292A">
        <w:trPr>
          <w:trHeight w:val="300"/>
        </w:trPr>
        <w:tc>
          <w:tcPr>
            <w:tcW w:w="0" w:type="auto"/>
            <w:vAlign w:val="center"/>
            <w:hideMark/>
          </w:tcPr>
          <w:p w14:paraId="515BEAB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4.</w:t>
            </w:r>
          </w:p>
        </w:tc>
        <w:tc>
          <w:tcPr>
            <w:tcW w:w="0" w:type="auto"/>
            <w:vAlign w:val="center"/>
            <w:hideMark/>
          </w:tcPr>
          <w:p w14:paraId="4E48CFF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Артемовское.</w:t>
            </w:r>
          </w:p>
        </w:tc>
      </w:tr>
      <w:tr w:rsidR="00F26F01" w:rsidRPr="00C33834" w14:paraId="5EE31186" w14:textId="77777777" w:rsidTr="00DC292A">
        <w:trPr>
          <w:trHeight w:val="300"/>
        </w:trPr>
        <w:tc>
          <w:tcPr>
            <w:tcW w:w="0" w:type="auto"/>
            <w:vAlign w:val="center"/>
            <w:hideMark/>
          </w:tcPr>
          <w:p w14:paraId="67008D5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18.</w:t>
            </w:r>
          </w:p>
        </w:tc>
        <w:tc>
          <w:tcPr>
            <w:tcW w:w="0" w:type="auto"/>
            <w:vAlign w:val="center"/>
            <w:hideMark/>
          </w:tcPr>
          <w:p w14:paraId="1B3BC43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Сучанское.</w:t>
            </w:r>
          </w:p>
        </w:tc>
      </w:tr>
      <w:tr w:rsidR="00F26F01" w:rsidRPr="00C33834" w14:paraId="140408F4" w14:textId="77777777" w:rsidTr="00DC292A">
        <w:trPr>
          <w:trHeight w:val="300"/>
        </w:trPr>
        <w:tc>
          <w:tcPr>
            <w:tcW w:w="0" w:type="auto"/>
            <w:vAlign w:val="center"/>
            <w:hideMark/>
          </w:tcPr>
          <w:p w14:paraId="48242D9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Шахта № 15.</w:t>
            </w:r>
          </w:p>
        </w:tc>
        <w:tc>
          <w:tcPr>
            <w:tcW w:w="0" w:type="auto"/>
            <w:vAlign w:val="center"/>
            <w:hideMark/>
          </w:tcPr>
          <w:p w14:paraId="2EF54FD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Кивда.</w:t>
            </w:r>
          </w:p>
        </w:tc>
      </w:tr>
      <w:tr w:rsidR="00F26F01" w:rsidRPr="00C33834" w14:paraId="756C0934" w14:textId="77777777" w:rsidTr="00DC292A">
        <w:trPr>
          <w:trHeight w:val="300"/>
        </w:trPr>
        <w:tc>
          <w:tcPr>
            <w:tcW w:w="0" w:type="auto"/>
            <w:gridSpan w:val="2"/>
            <w:vAlign w:val="center"/>
            <w:hideMark/>
          </w:tcPr>
          <w:p w14:paraId="79D82E1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Средазуголь.</w:t>
            </w:r>
          </w:p>
        </w:tc>
      </w:tr>
      <w:tr w:rsidR="00F26F01" w:rsidRPr="00C33834" w14:paraId="22A924A8" w14:textId="77777777" w:rsidTr="00DC292A">
        <w:trPr>
          <w:trHeight w:val="300"/>
        </w:trPr>
        <w:tc>
          <w:tcPr>
            <w:tcW w:w="0" w:type="auto"/>
            <w:vAlign w:val="center"/>
            <w:hideMark/>
          </w:tcPr>
          <w:p w14:paraId="4CAA179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„Верхн. Горизонт".</w:t>
            </w:r>
          </w:p>
        </w:tc>
        <w:tc>
          <w:tcPr>
            <w:tcW w:w="0" w:type="auto"/>
            <w:vAlign w:val="center"/>
            <w:hideMark/>
          </w:tcPr>
          <w:p w14:paraId="3457AD8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Кок-Янгак.</w:t>
            </w:r>
          </w:p>
        </w:tc>
      </w:tr>
      <w:tr w:rsidR="00F26F01" w:rsidRPr="00C33834" w14:paraId="0CC58B66" w14:textId="77777777" w:rsidTr="00DC292A">
        <w:trPr>
          <w:trHeight w:val="300"/>
        </w:trPr>
        <w:tc>
          <w:tcPr>
            <w:tcW w:w="0" w:type="auto"/>
            <w:gridSpan w:val="2"/>
            <w:vAlign w:val="center"/>
            <w:hideMark/>
          </w:tcPr>
          <w:p w14:paraId="4DF00A3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КАРАГАНДА.</w:t>
            </w:r>
          </w:p>
        </w:tc>
      </w:tr>
      <w:tr w:rsidR="00F26F01" w:rsidRPr="00C33834" w14:paraId="500F33D7" w14:textId="77777777" w:rsidTr="00DC292A">
        <w:trPr>
          <w:trHeight w:val="300"/>
        </w:trPr>
        <w:tc>
          <w:tcPr>
            <w:tcW w:w="0" w:type="auto"/>
            <w:vAlign w:val="center"/>
            <w:hideMark/>
          </w:tcPr>
          <w:p w14:paraId="1181753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1.</w:t>
            </w:r>
          </w:p>
        </w:tc>
        <w:tc>
          <w:tcPr>
            <w:tcW w:w="0" w:type="auto"/>
            <w:vAlign w:val="center"/>
            <w:hideMark/>
          </w:tcPr>
          <w:p w14:paraId="2E7B6CF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12.</w:t>
            </w:r>
          </w:p>
        </w:tc>
      </w:tr>
      <w:tr w:rsidR="00F26F01" w:rsidRPr="00C33834" w14:paraId="65D53DD8" w14:textId="77777777" w:rsidTr="00DC292A">
        <w:trPr>
          <w:trHeight w:val="300"/>
        </w:trPr>
        <w:tc>
          <w:tcPr>
            <w:tcW w:w="0" w:type="auto"/>
            <w:vAlign w:val="center"/>
            <w:hideMark/>
          </w:tcPr>
          <w:p w14:paraId="7244943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3.</w:t>
            </w:r>
          </w:p>
        </w:tc>
        <w:tc>
          <w:tcPr>
            <w:tcW w:w="0" w:type="auto"/>
            <w:vAlign w:val="center"/>
            <w:hideMark/>
          </w:tcPr>
          <w:p w14:paraId="4BF735B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15.</w:t>
            </w:r>
          </w:p>
        </w:tc>
      </w:tr>
      <w:tr w:rsidR="00F26F01" w:rsidRPr="00C33834" w14:paraId="1FCD1E25" w14:textId="77777777" w:rsidTr="00DC292A">
        <w:trPr>
          <w:trHeight w:val="300"/>
        </w:trPr>
        <w:tc>
          <w:tcPr>
            <w:tcW w:w="0" w:type="auto"/>
            <w:vAlign w:val="center"/>
            <w:hideMark/>
          </w:tcPr>
          <w:p w14:paraId="40B26B6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4.</w:t>
            </w:r>
          </w:p>
        </w:tc>
        <w:tc>
          <w:tcPr>
            <w:tcW w:w="0" w:type="auto"/>
            <w:vAlign w:val="center"/>
            <w:hideMark/>
          </w:tcPr>
          <w:p w14:paraId="17CFF3E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16.</w:t>
            </w:r>
          </w:p>
        </w:tc>
      </w:tr>
      <w:tr w:rsidR="00F26F01" w:rsidRPr="00C33834" w14:paraId="22955783" w14:textId="77777777" w:rsidTr="00DC292A">
        <w:trPr>
          <w:trHeight w:val="300"/>
        </w:trPr>
        <w:tc>
          <w:tcPr>
            <w:tcW w:w="0" w:type="auto"/>
            <w:vAlign w:val="center"/>
            <w:hideMark/>
          </w:tcPr>
          <w:p w14:paraId="1B0A258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10.</w:t>
            </w:r>
          </w:p>
        </w:tc>
        <w:tc>
          <w:tcPr>
            <w:tcW w:w="0" w:type="auto"/>
            <w:vAlign w:val="center"/>
            <w:hideMark/>
          </w:tcPr>
          <w:p w14:paraId="6F4E1C0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19.</w:t>
            </w:r>
          </w:p>
        </w:tc>
      </w:tr>
      <w:tr w:rsidR="00F26F01" w:rsidRPr="00C33834" w14:paraId="18609A61" w14:textId="77777777" w:rsidTr="00DC292A">
        <w:trPr>
          <w:trHeight w:val="300"/>
        </w:trPr>
        <w:tc>
          <w:tcPr>
            <w:tcW w:w="0" w:type="auto"/>
            <w:gridSpan w:val="2"/>
            <w:vAlign w:val="center"/>
            <w:hideMark/>
          </w:tcPr>
          <w:p w14:paraId="564B0DE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Шахты, пускаемые в 1933 году.</w:t>
            </w:r>
          </w:p>
        </w:tc>
      </w:tr>
      <w:tr w:rsidR="00F26F01" w:rsidRPr="00C33834" w14:paraId="2AC7F870" w14:textId="77777777" w:rsidTr="00DC292A">
        <w:trPr>
          <w:trHeight w:val="300"/>
        </w:trPr>
        <w:tc>
          <w:tcPr>
            <w:tcW w:w="0" w:type="auto"/>
            <w:vAlign w:val="center"/>
            <w:hideMark/>
          </w:tcPr>
          <w:p w14:paraId="4D0F37B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Артемуголь. Шахта Алекс. Вост.</w:t>
            </w:r>
          </w:p>
        </w:tc>
        <w:tc>
          <w:tcPr>
            <w:tcW w:w="0" w:type="auto"/>
            <w:vAlign w:val="center"/>
            <w:hideMark/>
          </w:tcPr>
          <w:p w14:paraId="5BD8E4A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Калининское.</w:t>
            </w:r>
          </w:p>
        </w:tc>
      </w:tr>
      <w:tr w:rsidR="00F26F01" w:rsidRPr="00C33834" w14:paraId="0209F533" w14:textId="77777777" w:rsidTr="00DC292A">
        <w:trPr>
          <w:trHeight w:val="300"/>
        </w:trPr>
        <w:tc>
          <w:tcPr>
            <w:tcW w:w="0" w:type="auto"/>
            <w:vAlign w:val="center"/>
            <w:hideMark/>
          </w:tcPr>
          <w:p w14:paraId="5492B58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Артемуголь Шахта Северная.</w:t>
            </w:r>
          </w:p>
        </w:tc>
        <w:tc>
          <w:tcPr>
            <w:tcW w:w="0" w:type="auto"/>
            <w:vAlign w:val="center"/>
            <w:hideMark/>
          </w:tcPr>
          <w:p w14:paraId="1B4A076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Калининское.</w:t>
            </w:r>
          </w:p>
        </w:tc>
      </w:tr>
      <w:tr w:rsidR="00F26F01" w:rsidRPr="00C33834" w14:paraId="062C5C43" w14:textId="77777777" w:rsidTr="00DC292A">
        <w:trPr>
          <w:trHeight w:val="300"/>
        </w:trPr>
        <w:tc>
          <w:tcPr>
            <w:tcW w:w="0" w:type="auto"/>
            <w:vAlign w:val="center"/>
            <w:hideMark/>
          </w:tcPr>
          <w:p w14:paraId="53105AA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Сталинуголь Шахта № 7/8.</w:t>
            </w:r>
          </w:p>
        </w:tc>
        <w:tc>
          <w:tcPr>
            <w:tcW w:w="0" w:type="auto"/>
            <w:vAlign w:val="center"/>
            <w:hideMark/>
          </w:tcPr>
          <w:p w14:paraId="35728A3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Краснигвардейск.</w:t>
            </w:r>
          </w:p>
        </w:tc>
      </w:tr>
      <w:tr w:rsidR="00F26F01" w:rsidRPr="00C33834" w14:paraId="31D7051F" w14:textId="77777777" w:rsidTr="00DC292A">
        <w:trPr>
          <w:trHeight w:val="300"/>
        </w:trPr>
        <w:tc>
          <w:tcPr>
            <w:tcW w:w="0" w:type="auto"/>
            <w:vAlign w:val="center"/>
            <w:hideMark/>
          </w:tcPr>
          <w:p w14:paraId="6EDC1D6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Сталинуголь Шахта „Новая Италия".</w:t>
            </w:r>
          </w:p>
        </w:tc>
        <w:tc>
          <w:tcPr>
            <w:tcW w:w="0" w:type="auto"/>
            <w:vAlign w:val="center"/>
            <w:hideMark/>
          </w:tcPr>
          <w:p w14:paraId="0D5FDE1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Макеевское.</w:t>
            </w:r>
          </w:p>
        </w:tc>
      </w:tr>
      <w:tr w:rsidR="00F26F01" w:rsidRPr="00C33834" w14:paraId="38A2C506" w14:textId="77777777" w:rsidTr="00DC292A">
        <w:trPr>
          <w:trHeight w:val="300"/>
        </w:trPr>
        <w:tc>
          <w:tcPr>
            <w:tcW w:w="0" w:type="auto"/>
            <w:vAlign w:val="center"/>
            <w:hideMark/>
          </w:tcPr>
          <w:p w14:paraId="20EC530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Сталинуголь Шахта "Иван".</w:t>
            </w:r>
          </w:p>
        </w:tc>
        <w:tc>
          <w:tcPr>
            <w:tcW w:w="0" w:type="auto"/>
            <w:vAlign w:val="center"/>
            <w:hideMark/>
          </w:tcPr>
          <w:p w14:paraId="2539E21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Макеевское.</w:t>
            </w:r>
          </w:p>
        </w:tc>
      </w:tr>
      <w:tr w:rsidR="00F26F01" w:rsidRPr="00C33834" w14:paraId="7635666C" w14:textId="77777777" w:rsidTr="00DC292A">
        <w:trPr>
          <w:trHeight w:val="300"/>
        </w:trPr>
        <w:tc>
          <w:tcPr>
            <w:tcW w:w="0" w:type="auto"/>
            <w:vAlign w:val="center"/>
            <w:hideMark/>
          </w:tcPr>
          <w:p w14:paraId="576D540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Шахтстрой. Шахта Центр. Белянск.</w:t>
            </w:r>
          </w:p>
        </w:tc>
        <w:tc>
          <w:tcPr>
            <w:tcW w:w="0" w:type="auto"/>
            <w:vAlign w:val="center"/>
            <w:hideMark/>
          </w:tcPr>
          <w:p w14:paraId="183CF95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Кадиевское.</w:t>
            </w:r>
          </w:p>
        </w:tc>
      </w:tr>
      <w:tr w:rsidR="00F26F01" w:rsidRPr="00C33834" w14:paraId="3B7016F7" w14:textId="77777777" w:rsidTr="00DC292A">
        <w:trPr>
          <w:trHeight w:val="300"/>
        </w:trPr>
        <w:tc>
          <w:tcPr>
            <w:tcW w:w="0" w:type="auto"/>
            <w:vAlign w:val="center"/>
            <w:hideMark/>
          </w:tcPr>
          <w:p w14:paraId="79A740C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Шахтстрой. Шахта № 3/3 „бис"</w:t>
            </w:r>
          </w:p>
        </w:tc>
        <w:tc>
          <w:tcPr>
            <w:tcW w:w="0" w:type="auto"/>
            <w:vAlign w:val="center"/>
            <w:hideMark/>
          </w:tcPr>
          <w:p w14:paraId="206E1D8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Кадиевское.</w:t>
            </w:r>
          </w:p>
        </w:tc>
      </w:tr>
      <w:tr w:rsidR="00F26F01" w:rsidRPr="00C33834" w14:paraId="3A21CCA2" w14:textId="77777777" w:rsidTr="00DC292A">
        <w:trPr>
          <w:trHeight w:val="300"/>
        </w:trPr>
        <w:tc>
          <w:tcPr>
            <w:tcW w:w="0" w:type="auto"/>
            <w:gridSpan w:val="2"/>
            <w:vAlign w:val="center"/>
            <w:hideMark/>
          </w:tcPr>
          <w:p w14:paraId="562DE7C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Кузбассуголь.</w:t>
            </w:r>
          </w:p>
        </w:tc>
      </w:tr>
      <w:tr w:rsidR="00F26F01" w:rsidRPr="00C33834" w14:paraId="12C5700B" w14:textId="77777777" w:rsidTr="00DC292A">
        <w:trPr>
          <w:trHeight w:val="300"/>
        </w:trPr>
        <w:tc>
          <w:tcPr>
            <w:tcW w:w="0" w:type="auto"/>
            <w:vAlign w:val="center"/>
            <w:hideMark/>
          </w:tcPr>
          <w:p w14:paraId="3DB428A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Центральная.</w:t>
            </w:r>
          </w:p>
        </w:tc>
        <w:tc>
          <w:tcPr>
            <w:tcW w:w="0" w:type="auto"/>
            <w:vAlign w:val="center"/>
            <w:hideMark/>
          </w:tcPr>
          <w:p w14:paraId="4389A68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Осиновское.</w:t>
            </w:r>
          </w:p>
        </w:tc>
      </w:tr>
      <w:tr w:rsidR="00F26F01" w:rsidRPr="00C33834" w14:paraId="087058DA" w14:textId="77777777" w:rsidTr="00DC292A">
        <w:trPr>
          <w:trHeight w:val="300"/>
        </w:trPr>
        <w:tc>
          <w:tcPr>
            <w:tcW w:w="0" w:type="auto"/>
            <w:vAlign w:val="center"/>
            <w:hideMark/>
          </w:tcPr>
          <w:p w14:paraId="3B680CE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15/15 „бис".</w:t>
            </w:r>
          </w:p>
        </w:tc>
        <w:tc>
          <w:tcPr>
            <w:tcW w:w="0" w:type="auto"/>
            <w:vAlign w:val="center"/>
            <w:hideMark/>
          </w:tcPr>
          <w:p w14:paraId="21C472A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Анжеро-Судженское.</w:t>
            </w:r>
          </w:p>
        </w:tc>
      </w:tr>
      <w:tr w:rsidR="00F26F01" w:rsidRPr="00C33834" w14:paraId="6F3F9BB8" w14:textId="77777777" w:rsidTr="00DC292A">
        <w:trPr>
          <w:trHeight w:val="300"/>
        </w:trPr>
        <w:tc>
          <w:tcPr>
            <w:tcW w:w="0" w:type="auto"/>
            <w:vAlign w:val="center"/>
            <w:hideMark/>
          </w:tcPr>
          <w:p w14:paraId="590D5C4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3/3 „бис".</w:t>
            </w:r>
          </w:p>
        </w:tc>
        <w:tc>
          <w:tcPr>
            <w:tcW w:w="0" w:type="auto"/>
            <w:vAlign w:val="center"/>
            <w:hideMark/>
          </w:tcPr>
          <w:p w14:paraId="709A6C7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Прокопьевское.</w:t>
            </w:r>
          </w:p>
        </w:tc>
      </w:tr>
      <w:tr w:rsidR="00F26F01" w:rsidRPr="00C33834" w14:paraId="653BFC2A" w14:textId="77777777" w:rsidTr="00DC292A">
        <w:trPr>
          <w:trHeight w:val="300"/>
        </w:trPr>
        <w:tc>
          <w:tcPr>
            <w:tcW w:w="0" w:type="auto"/>
            <w:vAlign w:val="center"/>
            <w:hideMark/>
          </w:tcPr>
          <w:p w14:paraId="7645CC2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„Коксовая".</w:t>
            </w:r>
          </w:p>
        </w:tc>
        <w:tc>
          <w:tcPr>
            <w:tcW w:w="0" w:type="auto"/>
            <w:vAlign w:val="center"/>
            <w:hideMark/>
          </w:tcPr>
          <w:p w14:paraId="6EB65DD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Прокопьевское.</w:t>
            </w:r>
          </w:p>
        </w:tc>
      </w:tr>
      <w:tr w:rsidR="00F26F01" w:rsidRPr="00C33834" w14:paraId="41C64AE5" w14:textId="77777777" w:rsidTr="00DC292A">
        <w:trPr>
          <w:trHeight w:val="300"/>
        </w:trPr>
        <w:tc>
          <w:tcPr>
            <w:tcW w:w="0" w:type="auto"/>
            <w:vAlign w:val="center"/>
            <w:hideMark/>
          </w:tcPr>
          <w:p w14:paraId="4945D47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5—6—7.</w:t>
            </w:r>
          </w:p>
        </w:tc>
        <w:tc>
          <w:tcPr>
            <w:tcW w:w="0" w:type="auto"/>
            <w:vAlign w:val="center"/>
            <w:hideMark/>
          </w:tcPr>
          <w:p w14:paraId="16F4A0B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Анжеро-Судженское.</w:t>
            </w:r>
          </w:p>
        </w:tc>
      </w:tr>
      <w:tr w:rsidR="00F26F01" w:rsidRPr="00C33834" w14:paraId="1578A111" w14:textId="77777777" w:rsidTr="00DC292A">
        <w:trPr>
          <w:trHeight w:val="300"/>
        </w:trPr>
        <w:tc>
          <w:tcPr>
            <w:tcW w:w="0" w:type="auto"/>
            <w:vAlign w:val="center"/>
            <w:hideMark/>
          </w:tcPr>
          <w:p w14:paraId="6F3418C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Центральная.</w:t>
            </w:r>
          </w:p>
        </w:tc>
        <w:tc>
          <w:tcPr>
            <w:tcW w:w="0" w:type="auto"/>
            <w:vAlign w:val="center"/>
            <w:hideMark/>
          </w:tcPr>
          <w:p w14:paraId="3CA8094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Кемеровское.</w:t>
            </w:r>
          </w:p>
        </w:tc>
      </w:tr>
      <w:tr w:rsidR="00F26F01" w:rsidRPr="00C33834" w14:paraId="3EFBA90D" w14:textId="77777777" w:rsidTr="00DC292A">
        <w:trPr>
          <w:trHeight w:val="300"/>
        </w:trPr>
        <w:tc>
          <w:tcPr>
            <w:tcW w:w="0" w:type="auto"/>
            <w:gridSpan w:val="2"/>
            <w:vAlign w:val="center"/>
            <w:hideMark/>
          </w:tcPr>
          <w:p w14:paraId="4FC7CC7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Дальуголь.</w:t>
            </w:r>
          </w:p>
        </w:tc>
      </w:tr>
      <w:tr w:rsidR="00F26F01" w:rsidRPr="00C33834" w14:paraId="263E06E6" w14:textId="77777777" w:rsidTr="00DC292A">
        <w:trPr>
          <w:trHeight w:val="300"/>
        </w:trPr>
        <w:tc>
          <w:tcPr>
            <w:tcW w:w="0" w:type="auto"/>
            <w:vAlign w:val="center"/>
            <w:hideMark/>
          </w:tcPr>
          <w:p w14:paraId="57913DE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46-В.</w:t>
            </w:r>
          </w:p>
        </w:tc>
        <w:tc>
          <w:tcPr>
            <w:tcW w:w="0" w:type="auto"/>
            <w:vAlign w:val="center"/>
            <w:hideMark/>
          </w:tcPr>
          <w:p w14:paraId="7A017DA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Тавричанское,</w:t>
            </w:r>
          </w:p>
        </w:tc>
      </w:tr>
      <w:tr w:rsidR="00F26F01" w:rsidRPr="00C33834" w14:paraId="55828AA9" w14:textId="77777777" w:rsidTr="00DC292A">
        <w:trPr>
          <w:trHeight w:val="300"/>
        </w:trPr>
        <w:tc>
          <w:tcPr>
            <w:tcW w:w="0" w:type="auto"/>
            <w:vAlign w:val="center"/>
            <w:hideMark/>
          </w:tcPr>
          <w:p w14:paraId="349B650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„Райчиха".</w:t>
            </w:r>
          </w:p>
        </w:tc>
        <w:tc>
          <w:tcPr>
            <w:tcW w:w="0" w:type="auto"/>
            <w:vAlign w:val="center"/>
            <w:hideMark/>
          </w:tcPr>
          <w:p w14:paraId="487F44E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Райчиха.</w:t>
            </w:r>
          </w:p>
        </w:tc>
      </w:tr>
      <w:tr w:rsidR="003C4CEF" w:rsidRPr="00C33834" w14:paraId="71E91270" w14:textId="77777777" w:rsidTr="00DC292A">
        <w:trPr>
          <w:trHeight w:val="300"/>
        </w:trPr>
        <w:tc>
          <w:tcPr>
            <w:tcW w:w="0" w:type="auto"/>
            <w:vAlign w:val="center"/>
            <w:hideMark/>
          </w:tcPr>
          <w:p w14:paraId="0C0E593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Шахта № 19.</w:t>
            </w:r>
          </w:p>
        </w:tc>
        <w:tc>
          <w:tcPr>
            <w:tcW w:w="0" w:type="auto"/>
            <w:vAlign w:val="center"/>
            <w:hideMark/>
          </w:tcPr>
          <w:p w14:paraId="1D80D14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Рудоуправление Сучанское.</w:t>
            </w:r>
          </w:p>
        </w:tc>
      </w:tr>
    </w:tbl>
    <w:p w14:paraId="157552BE" w14:textId="77777777" w:rsidR="003C4CEF" w:rsidRPr="00C33834" w:rsidRDefault="003C4CEF" w:rsidP="00C33834">
      <w:pPr>
        <w:spacing w:after="0" w:line="240" w:lineRule="auto"/>
        <w:jc w:val="both"/>
        <w:rPr>
          <w:rFonts w:ascii="Times New Roman" w:hAnsi="Times New Roman"/>
          <w:color w:val="000000" w:themeColor="text1"/>
          <w:sz w:val="16"/>
          <w:szCs w:val="16"/>
        </w:rPr>
      </w:pPr>
    </w:p>
    <w:tbl>
      <w:tblPr>
        <w:tblW w:w="9900" w:type="dxa"/>
        <w:tblCellMar>
          <w:left w:w="0" w:type="dxa"/>
          <w:right w:w="0" w:type="dxa"/>
        </w:tblCellMar>
        <w:tblLook w:val="04A0" w:firstRow="1" w:lastRow="0" w:firstColumn="1" w:lastColumn="0" w:noHBand="0" w:noVBand="1"/>
      </w:tblPr>
      <w:tblGrid>
        <w:gridCol w:w="3806"/>
        <w:gridCol w:w="6094"/>
      </w:tblGrid>
      <w:tr w:rsidR="00F26F01" w:rsidRPr="00C33834" w14:paraId="53D3C38A" w14:textId="77777777" w:rsidTr="00DC292A">
        <w:trPr>
          <w:trHeight w:val="300"/>
        </w:trPr>
        <w:tc>
          <w:tcPr>
            <w:tcW w:w="0" w:type="auto"/>
            <w:vAlign w:val="center"/>
            <w:hideMark/>
          </w:tcPr>
          <w:p w14:paraId="50F406D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НЕФТЯНАЯ ПРОМЫШЛЕННОСТЬ.</w:t>
            </w:r>
          </w:p>
        </w:tc>
        <w:tc>
          <w:tcPr>
            <w:tcW w:w="0" w:type="auto"/>
            <w:vAlign w:val="center"/>
            <w:hideMark/>
          </w:tcPr>
          <w:p w14:paraId="3CB701F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2C1C9C4A" w14:textId="77777777" w:rsidTr="00DC292A">
        <w:trPr>
          <w:trHeight w:val="300"/>
        </w:trPr>
        <w:tc>
          <w:tcPr>
            <w:tcW w:w="0" w:type="auto"/>
            <w:vAlign w:val="center"/>
            <w:hideMark/>
          </w:tcPr>
          <w:p w14:paraId="7E01584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маслоочистительных трубчатки</w:t>
            </w:r>
          </w:p>
          <w:p w14:paraId="14A573A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системы АЛКО, Баку.</w:t>
            </w:r>
          </w:p>
        </w:tc>
        <w:tc>
          <w:tcPr>
            <w:tcW w:w="0" w:type="auto"/>
            <w:vAlign w:val="center"/>
            <w:hideMark/>
          </w:tcPr>
          <w:p w14:paraId="2A52232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совет. крекинга на старой террит.,Грозный.</w:t>
            </w:r>
          </w:p>
        </w:tc>
      </w:tr>
      <w:tr w:rsidR="00F26F01" w:rsidRPr="00C33834" w14:paraId="16E6A830" w14:textId="77777777" w:rsidTr="00DC292A">
        <w:trPr>
          <w:trHeight w:val="300"/>
        </w:trPr>
        <w:tc>
          <w:tcPr>
            <w:tcW w:w="0" w:type="auto"/>
            <w:vAlign w:val="center"/>
            <w:hideMark/>
          </w:tcPr>
          <w:p w14:paraId="60A4910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Маслоочист. отд, 1 и 2 очереди, Баку.</w:t>
            </w:r>
          </w:p>
        </w:tc>
        <w:tc>
          <w:tcPr>
            <w:tcW w:w="0" w:type="auto"/>
            <w:vAlign w:val="center"/>
            <w:hideMark/>
          </w:tcPr>
          <w:p w14:paraId="245CCB0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Газолиновый завод № 5, Грозный.</w:t>
            </w:r>
          </w:p>
        </w:tc>
      </w:tr>
      <w:tr w:rsidR="00F26F01" w:rsidRPr="00C33834" w14:paraId="194622DF" w14:textId="77777777" w:rsidTr="00DC292A">
        <w:trPr>
          <w:trHeight w:val="300"/>
        </w:trPr>
        <w:tc>
          <w:tcPr>
            <w:tcW w:w="0" w:type="auto"/>
            <w:vAlign w:val="center"/>
            <w:hideMark/>
          </w:tcPr>
          <w:p w14:paraId="29CEF39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Газовый завод им. Буденного, Баку.</w:t>
            </w:r>
          </w:p>
        </w:tc>
        <w:tc>
          <w:tcPr>
            <w:tcW w:w="0" w:type="auto"/>
            <w:vAlign w:val="center"/>
            <w:hideMark/>
          </w:tcPr>
          <w:p w14:paraId="0363732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сажевых завода, Майкоп.</w:t>
            </w:r>
          </w:p>
        </w:tc>
      </w:tr>
      <w:tr w:rsidR="00F26F01" w:rsidRPr="00C33834" w14:paraId="24826450" w14:textId="77777777" w:rsidTr="00DC292A">
        <w:trPr>
          <w:trHeight w:val="300"/>
        </w:trPr>
        <w:tc>
          <w:tcPr>
            <w:tcW w:w="0" w:type="auto"/>
            <w:vAlign w:val="center"/>
            <w:hideMark/>
          </w:tcPr>
          <w:p w14:paraId="32B48E3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Крекинг. завод, Саратов.</w:t>
            </w:r>
          </w:p>
        </w:tc>
        <w:tc>
          <w:tcPr>
            <w:tcW w:w="0" w:type="auto"/>
            <w:vAlign w:val="center"/>
            <w:hideMark/>
          </w:tcPr>
          <w:p w14:paraId="53C0BF9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Крекинг. завод, Хабаровск.</w:t>
            </w:r>
          </w:p>
        </w:tc>
      </w:tr>
      <w:tr w:rsidR="00F26F01" w:rsidRPr="00C33834" w14:paraId="7CB91797" w14:textId="77777777" w:rsidTr="00DC292A">
        <w:trPr>
          <w:trHeight w:val="300"/>
        </w:trPr>
        <w:tc>
          <w:tcPr>
            <w:tcW w:w="0" w:type="auto"/>
            <w:vAlign w:val="center"/>
            <w:hideMark/>
          </w:tcPr>
          <w:p w14:paraId="394F18D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нефтяного кокса, Грозный.</w:t>
            </w:r>
          </w:p>
        </w:tc>
        <w:tc>
          <w:tcPr>
            <w:tcW w:w="0" w:type="auto"/>
            <w:vAlign w:val="center"/>
            <w:hideMark/>
          </w:tcPr>
          <w:p w14:paraId="2A78F0C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36E83448" w14:textId="77777777" w:rsidTr="00DC292A">
        <w:trPr>
          <w:trHeight w:val="300"/>
        </w:trPr>
        <w:tc>
          <w:tcPr>
            <w:tcW w:w="0" w:type="auto"/>
            <w:vAlign w:val="center"/>
            <w:hideMark/>
          </w:tcPr>
          <w:p w14:paraId="63CB093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ГОРНОРУДНАЯ ПРОМЫШЛЕННОСТЬ.</w:t>
            </w:r>
          </w:p>
        </w:tc>
        <w:tc>
          <w:tcPr>
            <w:tcW w:w="0" w:type="auto"/>
            <w:vAlign w:val="center"/>
            <w:hideMark/>
          </w:tcPr>
          <w:p w14:paraId="7F2E866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1C0FFD94" w14:textId="77777777" w:rsidTr="00DC292A">
        <w:trPr>
          <w:trHeight w:val="300"/>
        </w:trPr>
        <w:tc>
          <w:tcPr>
            <w:tcW w:w="0" w:type="auto"/>
            <w:vAlign w:val="center"/>
            <w:hideMark/>
          </w:tcPr>
          <w:p w14:paraId="052A6DA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Серный завод. Шорсу. Узб. ССР.</w:t>
            </w:r>
          </w:p>
        </w:tc>
        <w:tc>
          <w:tcPr>
            <w:tcW w:w="0" w:type="auto"/>
            <w:vAlign w:val="center"/>
            <w:hideMark/>
          </w:tcPr>
          <w:p w14:paraId="47BC40D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Серный завод. Гаурдак. Турк. ССР.</w:t>
            </w:r>
          </w:p>
        </w:tc>
      </w:tr>
      <w:tr w:rsidR="00F26F01" w:rsidRPr="00C33834" w14:paraId="03512104" w14:textId="77777777" w:rsidTr="00DC292A">
        <w:trPr>
          <w:trHeight w:val="300"/>
        </w:trPr>
        <w:tc>
          <w:tcPr>
            <w:tcW w:w="0" w:type="auto"/>
            <w:vAlign w:val="center"/>
            <w:hideMark/>
          </w:tcPr>
          <w:p w14:paraId="2C7FD43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ЧЕРНАЯ МЕТАЛЛУРГИЯ</w:t>
            </w:r>
          </w:p>
        </w:tc>
        <w:tc>
          <w:tcPr>
            <w:tcW w:w="0" w:type="auto"/>
            <w:vAlign w:val="center"/>
            <w:hideMark/>
          </w:tcPr>
          <w:p w14:paraId="3EFCCCF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397491F7" w14:textId="77777777" w:rsidTr="00DC292A">
        <w:trPr>
          <w:trHeight w:val="300"/>
        </w:trPr>
        <w:tc>
          <w:tcPr>
            <w:tcW w:w="0" w:type="auto"/>
            <w:vAlign w:val="center"/>
            <w:hideMark/>
          </w:tcPr>
          <w:p w14:paraId="5A6C49C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Магнитогорский завод.</w:t>
            </w:r>
          </w:p>
        </w:tc>
        <w:tc>
          <w:tcPr>
            <w:tcW w:w="0" w:type="auto"/>
            <w:vAlign w:val="center"/>
            <w:hideMark/>
          </w:tcPr>
          <w:p w14:paraId="0757416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Камышбурунское строительство.</w:t>
            </w:r>
          </w:p>
        </w:tc>
      </w:tr>
      <w:tr w:rsidR="00F26F01" w:rsidRPr="00C33834" w14:paraId="2B62D6C7" w14:textId="77777777" w:rsidTr="00DC292A">
        <w:trPr>
          <w:trHeight w:val="300"/>
        </w:trPr>
        <w:tc>
          <w:tcPr>
            <w:tcW w:w="0" w:type="auto"/>
            <w:vAlign w:val="center"/>
            <w:hideMark/>
          </w:tcPr>
          <w:p w14:paraId="4810752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Кузнецкий завод.</w:t>
            </w:r>
          </w:p>
        </w:tc>
        <w:tc>
          <w:tcPr>
            <w:tcW w:w="0" w:type="auto"/>
            <w:vAlign w:val="center"/>
            <w:hideMark/>
          </w:tcPr>
          <w:p w14:paraId="3A6AB9B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Мариупольский трубный и листопрокатный завод им. Ильича.</w:t>
            </w:r>
          </w:p>
        </w:tc>
      </w:tr>
      <w:tr w:rsidR="00F26F01" w:rsidRPr="00C33834" w14:paraId="196CB6EE" w14:textId="77777777" w:rsidTr="00DC292A">
        <w:trPr>
          <w:trHeight w:val="300"/>
        </w:trPr>
        <w:tc>
          <w:tcPr>
            <w:tcW w:w="0" w:type="auto"/>
            <w:vAlign w:val="center"/>
            <w:hideMark/>
          </w:tcPr>
          <w:p w14:paraId="09D6667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Запорожский завод.</w:t>
            </w:r>
          </w:p>
        </w:tc>
        <w:tc>
          <w:tcPr>
            <w:tcW w:w="0" w:type="auto"/>
            <w:vAlign w:val="center"/>
            <w:hideMark/>
          </w:tcPr>
          <w:p w14:paraId="0125925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Макеевский завод им. Томского.</w:t>
            </w:r>
          </w:p>
        </w:tc>
      </w:tr>
      <w:tr w:rsidR="00F26F01" w:rsidRPr="00C33834" w14:paraId="5A0F9C40" w14:textId="77777777" w:rsidTr="00DC292A">
        <w:trPr>
          <w:trHeight w:val="300"/>
        </w:trPr>
        <w:tc>
          <w:tcPr>
            <w:tcW w:w="0" w:type="auto"/>
            <w:vAlign w:val="center"/>
            <w:hideMark/>
          </w:tcPr>
          <w:p w14:paraId="7AB2845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Таганрогский трубный завод.</w:t>
            </w:r>
          </w:p>
        </w:tc>
        <w:tc>
          <w:tcPr>
            <w:tcW w:w="0" w:type="auto"/>
            <w:vAlign w:val="center"/>
            <w:hideMark/>
          </w:tcPr>
          <w:p w14:paraId="2D8B74E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им. Дзержинского.</w:t>
            </w:r>
          </w:p>
        </w:tc>
      </w:tr>
      <w:tr w:rsidR="00F26F01" w:rsidRPr="00C33834" w14:paraId="1C9182F5" w14:textId="77777777" w:rsidTr="00DC292A">
        <w:trPr>
          <w:trHeight w:val="300"/>
        </w:trPr>
        <w:tc>
          <w:tcPr>
            <w:tcW w:w="0" w:type="auto"/>
            <w:vAlign w:val="center"/>
            <w:hideMark/>
          </w:tcPr>
          <w:p w14:paraId="23EA2C2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Никопольский трубный завод.</w:t>
            </w:r>
          </w:p>
        </w:tc>
        <w:tc>
          <w:tcPr>
            <w:tcW w:w="0" w:type="auto"/>
            <w:vAlign w:val="center"/>
            <w:hideMark/>
          </w:tcPr>
          <w:p w14:paraId="69AC930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"Электросталь".</w:t>
            </w:r>
          </w:p>
        </w:tc>
      </w:tr>
      <w:tr w:rsidR="00F26F01" w:rsidRPr="00C33834" w14:paraId="7F624F7D" w14:textId="77777777" w:rsidTr="00DC292A">
        <w:trPr>
          <w:trHeight w:val="300"/>
        </w:trPr>
        <w:tc>
          <w:tcPr>
            <w:tcW w:w="0" w:type="auto"/>
            <w:vAlign w:val="center"/>
            <w:hideMark/>
          </w:tcPr>
          <w:p w14:paraId="1559BDC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Криворожстрой.</w:t>
            </w:r>
          </w:p>
        </w:tc>
        <w:tc>
          <w:tcPr>
            <w:tcW w:w="0" w:type="auto"/>
            <w:vAlign w:val="center"/>
            <w:hideMark/>
          </w:tcPr>
          <w:p w14:paraId="2ED368A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Златоустовский завод „Спецстали".</w:t>
            </w:r>
          </w:p>
        </w:tc>
      </w:tr>
      <w:tr w:rsidR="00F26F01" w:rsidRPr="00C33834" w14:paraId="13C7A512" w14:textId="77777777" w:rsidTr="00DC292A">
        <w:trPr>
          <w:trHeight w:val="300"/>
        </w:trPr>
        <w:tc>
          <w:tcPr>
            <w:tcW w:w="0" w:type="auto"/>
            <w:vAlign w:val="center"/>
            <w:hideMark/>
          </w:tcPr>
          <w:p w14:paraId="79906E8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Липецкстрой.</w:t>
            </w:r>
          </w:p>
        </w:tc>
        <w:tc>
          <w:tcPr>
            <w:tcW w:w="0" w:type="auto"/>
            <w:vAlign w:val="center"/>
            <w:hideMark/>
          </w:tcPr>
          <w:p w14:paraId="34ED6EF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Первоуральский трубный завод.</w:t>
            </w:r>
          </w:p>
        </w:tc>
      </w:tr>
      <w:tr w:rsidR="00F26F01" w:rsidRPr="00C33834" w14:paraId="4D2B6476" w14:textId="77777777" w:rsidTr="00DC292A">
        <w:trPr>
          <w:trHeight w:val="300"/>
        </w:trPr>
        <w:tc>
          <w:tcPr>
            <w:tcW w:w="0" w:type="auto"/>
            <w:vAlign w:val="center"/>
            <w:hideMark/>
          </w:tcPr>
          <w:p w14:paraId="6D14701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Тулстрой.</w:t>
            </w:r>
          </w:p>
        </w:tc>
        <w:tc>
          <w:tcPr>
            <w:tcW w:w="0" w:type="auto"/>
            <w:vAlign w:val="center"/>
            <w:hideMark/>
          </w:tcPr>
          <w:p w14:paraId="441DFAC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Челябинский эл.мет. комбинат.</w:t>
            </w:r>
          </w:p>
        </w:tc>
      </w:tr>
      <w:tr w:rsidR="00F26F01" w:rsidRPr="00C33834" w14:paraId="32ED5192" w14:textId="77777777" w:rsidTr="00DC292A">
        <w:trPr>
          <w:trHeight w:val="300"/>
        </w:trPr>
        <w:tc>
          <w:tcPr>
            <w:tcW w:w="0" w:type="auto"/>
            <w:vAlign w:val="center"/>
            <w:hideMark/>
          </w:tcPr>
          <w:p w14:paraId="14B9E27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Ново-Московский жестекатальный завод.</w:t>
            </w:r>
          </w:p>
        </w:tc>
        <w:tc>
          <w:tcPr>
            <w:tcW w:w="0" w:type="auto"/>
            <w:vAlign w:val="center"/>
            <w:hideMark/>
          </w:tcPr>
          <w:p w14:paraId="3A32337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„Красный Октябрь".</w:t>
            </w:r>
          </w:p>
        </w:tc>
      </w:tr>
      <w:tr w:rsidR="00F26F01" w:rsidRPr="00C33834" w14:paraId="4A4A545E" w14:textId="77777777" w:rsidTr="00DC292A">
        <w:trPr>
          <w:trHeight w:val="300"/>
        </w:trPr>
        <w:tc>
          <w:tcPr>
            <w:tcW w:w="0" w:type="auto"/>
            <w:vAlign w:val="center"/>
            <w:hideMark/>
          </w:tcPr>
          <w:p w14:paraId="555F12B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Азовсталь.</w:t>
            </w:r>
          </w:p>
        </w:tc>
        <w:tc>
          <w:tcPr>
            <w:tcW w:w="0" w:type="auto"/>
            <w:vAlign w:val="center"/>
            <w:hideMark/>
          </w:tcPr>
          <w:p w14:paraId="3B5F18E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Либкнехтский трубный завод.</w:t>
            </w:r>
          </w:p>
        </w:tc>
      </w:tr>
      <w:tr w:rsidR="00F26F01" w:rsidRPr="00C33834" w14:paraId="430568B0" w14:textId="77777777" w:rsidTr="00DC292A">
        <w:trPr>
          <w:trHeight w:val="300"/>
        </w:trPr>
        <w:tc>
          <w:tcPr>
            <w:tcW w:w="0" w:type="auto"/>
            <w:vAlign w:val="center"/>
            <w:hideMark/>
          </w:tcPr>
          <w:p w14:paraId="209371D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ЦВЕТНАЯ МЕТАЛЛУРГИЯ.</w:t>
            </w:r>
          </w:p>
        </w:tc>
        <w:tc>
          <w:tcPr>
            <w:tcW w:w="0" w:type="auto"/>
            <w:vAlign w:val="center"/>
            <w:hideMark/>
          </w:tcPr>
          <w:p w14:paraId="5382265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2E6C8DF1" w14:textId="77777777" w:rsidTr="00DC292A">
        <w:trPr>
          <w:trHeight w:val="300"/>
        </w:trPr>
        <w:tc>
          <w:tcPr>
            <w:tcW w:w="0" w:type="auto"/>
            <w:vAlign w:val="center"/>
            <w:hideMark/>
          </w:tcPr>
          <w:p w14:paraId="418E11A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„Казполиметалл".</w:t>
            </w:r>
          </w:p>
        </w:tc>
        <w:tc>
          <w:tcPr>
            <w:tcW w:w="0" w:type="auto"/>
            <w:vAlign w:val="center"/>
            <w:hideMark/>
          </w:tcPr>
          <w:p w14:paraId="0248658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Тихвинский бокситовый комбинат.</w:t>
            </w:r>
          </w:p>
        </w:tc>
      </w:tr>
      <w:tr w:rsidR="00F26F01" w:rsidRPr="00C33834" w14:paraId="0B859EB3" w14:textId="77777777" w:rsidTr="00DC292A">
        <w:trPr>
          <w:trHeight w:val="300"/>
        </w:trPr>
        <w:tc>
          <w:tcPr>
            <w:tcW w:w="0" w:type="auto"/>
            <w:vAlign w:val="center"/>
            <w:hideMark/>
          </w:tcPr>
          <w:p w14:paraId="158E277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Среднеуральский комбинат.</w:t>
            </w:r>
          </w:p>
        </w:tc>
        <w:tc>
          <w:tcPr>
            <w:tcW w:w="0" w:type="auto"/>
            <w:vAlign w:val="center"/>
            <w:hideMark/>
          </w:tcPr>
          <w:p w14:paraId="098D446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Новый цинковый завод г. Орджоникидзе</w:t>
            </w:r>
          </w:p>
        </w:tc>
      </w:tr>
      <w:tr w:rsidR="00F26F01" w:rsidRPr="00C33834" w14:paraId="50D95DFF" w14:textId="77777777" w:rsidTr="00DC292A">
        <w:trPr>
          <w:trHeight w:val="300"/>
        </w:trPr>
        <w:tc>
          <w:tcPr>
            <w:tcW w:w="0" w:type="auto"/>
            <w:vAlign w:val="center"/>
            <w:hideMark/>
          </w:tcPr>
          <w:p w14:paraId="202601D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Красноуральский комбинат.</w:t>
            </w:r>
          </w:p>
        </w:tc>
        <w:tc>
          <w:tcPr>
            <w:tcW w:w="0" w:type="auto"/>
            <w:vAlign w:val="center"/>
            <w:hideMark/>
          </w:tcPr>
          <w:p w14:paraId="6D221DA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Уфалейский никелевый комбинат.</w:t>
            </w:r>
          </w:p>
        </w:tc>
      </w:tr>
      <w:tr w:rsidR="00F26F01" w:rsidRPr="00C33834" w14:paraId="7139F48B" w14:textId="77777777" w:rsidTr="00DC292A">
        <w:trPr>
          <w:trHeight w:val="300"/>
        </w:trPr>
        <w:tc>
          <w:tcPr>
            <w:tcW w:w="0" w:type="auto"/>
            <w:vAlign w:val="center"/>
            <w:hideMark/>
          </w:tcPr>
          <w:p w14:paraId="3DF7EC0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Днепровский алюминиевый комбинат.</w:t>
            </w:r>
          </w:p>
        </w:tc>
        <w:tc>
          <w:tcPr>
            <w:tcW w:w="0" w:type="auto"/>
            <w:vAlign w:val="center"/>
            <w:hideMark/>
          </w:tcPr>
          <w:p w14:paraId="6B27CEE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Электродный завод г. Москва.</w:t>
            </w:r>
          </w:p>
        </w:tc>
      </w:tr>
      <w:tr w:rsidR="00F26F01" w:rsidRPr="00C33834" w14:paraId="1BCBFD83" w14:textId="77777777" w:rsidTr="00DC292A">
        <w:trPr>
          <w:trHeight w:val="300"/>
        </w:trPr>
        <w:tc>
          <w:tcPr>
            <w:tcW w:w="0" w:type="auto"/>
            <w:vAlign w:val="center"/>
            <w:hideMark/>
          </w:tcPr>
          <w:p w14:paraId="57677D5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Волховский алюминиевый 1-й очереди.</w:t>
            </w:r>
          </w:p>
        </w:tc>
        <w:tc>
          <w:tcPr>
            <w:tcW w:w="0" w:type="auto"/>
            <w:vAlign w:val="center"/>
            <w:hideMark/>
          </w:tcPr>
          <w:p w14:paraId="384074C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50D93270" w14:textId="77777777" w:rsidTr="00DC292A">
        <w:trPr>
          <w:trHeight w:val="300"/>
        </w:trPr>
        <w:tc>
          <w:tcPr>
            <w:tcW w:w="0" w:type="auto"/>
            <w:vAlign w:val="center"/>
            <w:hideMark/>
          </w:tcPr>
          <w:p w14:paraId="7BC9458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МАШИНОСТРОЕНИЕ.</w:t>
            </w:r>
          </w:p>
        </w:tc>
        <w:tc>
          <w:tcPr>
            <w:tcW w:w="0" w:type="auto"/>
            <w:vAlign w:val="center"/>
            <w:hideMark/>
          </w:tcPr>
          <w:p w14:paraId="737E56E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7D9E13AE" w14:textId="77777777" w:rsidTr="00DC292A">
        <w:trPr>
          <w:trHeight w:val="300"/>
        </w:trPr>
        <w:tc>
          <w:tcPr>
            <w:tcW w:w="0" w:type="auto"/>
            <w:vAlign w:val="center"/>
            <w:hideMark/>
          </w:tcPr>
          <w:p w14:paraId="3770CE0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Уралмашстрой.</w:t>
            </w:r>
          </w:p>
        </w:tc>
        <w:tc>
          <w:tcPr>
            <w:tcW w:w="0" w:type="auto"/>
            <w:vAlign w:val="center"/>
            <w:hideMark/>
          </w:tcPr>
          <w:p w14:paraId="7D9CA62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Уралвагонострой.</w:t>
            </w:r>
          </w:p>
        </w:tc>
      </w:tr>
      <w:tr w:rsidR="00F26F01" w:rsidRPr="00C33834" w14:paraId="6804F5E0" w14:textId="77777777" w:rsidTr="00DC292A">
        <w:trPr>
          <w:trHeight w:val="300"/>
        </w:trPr>
        <w:tc>
          <w:tcPr>
            <w:tcW w:w="0" w:type="auto"/>
            <w:vAlign w:val="center"/>
            <w:hideMark/>
          </w:tcPr>
          <w:p w14:paraId="3465F65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Краммашстрой.</w:t>
            </w:r>
          </w:p>
        </w:tc>
        <w:tc>
          <w:tcPr>
            <w:tcW w:w="0" w:type="auto"/>
            <w:vAlign w:val="center"/>
            <w:hideMark/>
          </w:tcPr>
          <w:p w14:paraId="46A94D3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„Господшипник" №1</w:t>
            </w:r>
          </w:p>
        </w:tc>
      </w:tr>
      <w:tr w:rsidR="00F26F01" w:rsidRPr="00C33834" w14:paraId="22C55B90" w14:textId="77777777" w:rsidTr="00DC292A">
        <w:trPr>
          <w:trHeight w:val="300"/>
        </w:trPr>
        <w:tc>
          <w:tcPr>
            <w:tcW w:w="0" w:type="auto"/>
            <w:vAlign w:val="center"/>
            <w:hideMark/>
          </w:tcPr>
          <w:p w14:paraId="21596E9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Челябинский тракторный завод.</w:t>
            </w:r>
          </w:p>
        </w:tc>
        <w:tc>
          <w:tcPr>
            <w:tcW w:w="0" w:type="auto"/>
            <w:vAlign w:val="center"/>
            <w:hideMark/>
          </w:tcPr>
          <w:p w14:paraId="7EF5478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„Красный котельщик"</w:t>
            </w:r>
          </w:p>
        </w:tc>
      </w:tr>
      <w:tr w:rsidR="00F26F01" w:rsidRPr="00C33834" w14:paraId="680E4ED1" w14:textId="77777777" w:rsidTr="00DC292A">
        <w:trPr>
          <w:trHeight w:val="300"/>
        </w:trPr>
        <w:tc>
          <w:tcPr>
            <w:tcW w:w="0" w:type="auto"/>
            <w:vAlign w:val="center"/>
            <w:hideMark/>
          </w:tcPr>
          <w:p w14:paraId="0856573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Автозавод им. Молотова.</w:t>
            </w:r>
          </w:p>
        </w:tc>
        <w:tc>
          <w:tcPr>
            <w:tcW w:w="0" w:type="auto"/>
            <w:vAlign w:val="center"/>
            <w:hideMark/>
          </w:tcPr>
          <w:p w14:paraId="735D944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авто-тракторного электромашиностроения (ЗАТЭМ)</w:t>
            </w:r>
          </w:p>
        </w:tc>
      </w:tr>
      <w:tr w:rsidR="00F26F01" w:rsidRPr="00C33834" w14:paraId="64FEA157" w14:textId="77777777" w:rsidTr="00DC292A">
        <w:trPr>
          <w:trHeight w:val="300"/>
        </w:trPr>
        <w:tc>
          <w:tcPr>
            <w:tcW w:w="0" w:type="auto"/>
            <w:vAlign w:val="center"/>
            <w:hideMark/>
          </w:tcPr>
          <w:p w14:paraId="07F29ED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Луганский паровозный (новый) завод.</w:t>
            </w:r>
          </w:p>
        </w:tc>
        <w:tc>
          <w:tcPr>
            <w:tcW w:w="0" w:type="auto"/>
            <w:vAlign w:val="center"/>
            <w:hideMark/>
          </w:tcPr>
          <w:p w14:paraId="01C45BB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Турбинстрой.</w:t>
            </w:r>
          </w:p>
        </w:tc>
      </w:tr>
      <w:tr w:rsidR="00F26F01" w:rsidRPr="00C33834" w14:paraId="05D1E775" w14:textId="77777777" w:rsidTr="00DC292A">
        <w:trPr>
          <w:trHeight w:val="300"/>
        </w:trPr>
        <w:tc>
          <w:tcPr>
            <w:tcW w:w="0" w:type="auto"/>
            <w:vAlign w:val="center"/>
            <w:hideMark/>
          </w:tcPr>
          <w:p w14:paraId="1780731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Прожекторный завод.</w:t>
            </w:r>
          </w:p>
        </w:tc>
        <w:tc>
          <w:tcPr>
            <w:tcW w:w="0" w:type="auto"/>
            <w:vAlign w:val="center"/>
            <w:hideMark/>
          </w:tcPr>
          <w:p w14:paraId="35CC9DE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Дальпромстрой.</w:t>
            </w:r>
          </w:p>
        </w:tc>
      </w:tr>
      <w:tr w:rsidR="00F26F01" w:rsidRPr="00C33834" w14:paraId="43DE5087" w14:textId="77777777" w:rsidTr="00DC292A">
        <w:trPr>
          <w:trHeight w:val="300"/>
        </w:trPr>
        <w:tc>
          <w:tcPr>
            <w:tcW w:w="0" w:type="auto"/>
            <w:vAlign w:val="center"/>
            <w:hideMark/>
          </w:tcPr>
          <w:p w14:paraId="60A92CB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19.</w:t>
            </w:r>
          </w:p>
        </w:tc>
        <w:tc>
          <w:tcPr>
            <w:tcW w:w="0" w:type="auto"/>
            <w:vAlign w:val="center"/>
            <w:hideMark/>
          </w:tcPr>
          <w:p w14:paraId="552692E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Приборстрой.</w:t>
            </w:r>
          </w:p>
        </w:tc>
      </w:tr>
      <w:tr w:rsidR="00F26F01" w:rsidRPr="00C33834" w14:paraId="12F17F2D" w14:textId="77777777" w:rsidTr="00DC292A">
        <w:trPr>
          <w:trHeight w:val="300"/>
        </w:trPr>
        <w:tc>
          <w:tcPr>
            <w:tcW w:w="0" w:type="auto"/>
            <w:vAlign w:val="center"/>
            <w:hideMark/>
          </w:tcPr>
          <w:p w14:paraId="42C4361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ХИМИЯ.</w:t>
            </w:r>
          </w:p>
        </w:tc>
        <w:tc>
          <w:tcPr>
            <w:tcW w:w="0" w:type="auto"/>
            <w:vAlign w:val="center"/>
            <w:hideMark/>
          </w:tcPr>
          <w:p w14:paraId="7C5CE60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25CA989B" w14:textId="77777777" w:rsidTr="00DC292A">
        <w:trPr>
          <w:trHeight w:val="300"/>
        </w:trPr>
        <w:tc>
          <w:tcPr>
            <w:tcW w:w="0" w:type="auto"/>
            <w:vAlign w:val="center"/>
            <w:hideMark/>
          </w:tcPr>
          <w:p w14:paraId="55A892B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Березняковский комбинат.</w:t>
            </w:r>
          </w:p>
        </w:tc>
        <w:tc>
          <w:tcPr>
            <w:tcW w:w="0" w:type="auto"/>
            <w:vAlign w:val="center"/>
            <w:hideMark/>
          </w:tcPr>
          <w:p w14:paraId="3F11B7F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Калатанский комбинат.</w:t>
            </w:r>
          </w:p>
        </w:tc>
      </w:tr>
      <w:tr w:rsidR="00F26F01" w:rsidRPr="00C33834" w14:paraId="46F35EF7" w14:textId="77777777" w:rsidTr="00DC292A">
        <w:trPr>
          <w:trHeight w:val="300"/>
        </w:trPr>
        <w:tc>
          <w:tcPr>
            <w:tcW w:w="0" w:type="auto"/>
            <w:vAlign w:val="center"/>
            <w:hideMark/>
          </w:tcPr>
          <w:p w14:paraId="684D360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Бобриковский комбинат.</w:t>
            </w:r>
          </w:p>
        </w:tc>
        <w:tc>
          <w:tcPr>
            <w:tcW w:w="0" w:type="auto"/>
            <w:vAlign w:val="center"/>
            <w:hideMark/>
          </w:tcPr>
          <w:p w14:paraId="751F25A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Обогатительная фабрика г. Хибиногорск</w:t>
            </w:r>
          </w:p>
        </w:tc>
      </w:tr>
      <w:tr w:rsidR="00F26F01" w:rsidRPr="00C33834" w14:paraId="07611692" w14:textId="77777777" w:rsidTr="00DC292A">
        <w:trPr>
          <w:trHeight w:val="300"/>
        </w:trPr>
        <w:tc>
          <w:tcPr>
            <w:tcW w:w="0" w:type="auto"/>
            <w:vAlign w:val="center"/>
            <w:hideMark/>
          </w:tcPr>
          <w:p w14:paraId="018EFCA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Горловский комбинат.</w:t>
            </w:r>
          </w:p>
        </w:tc>
        <w:tc>
          <w:tcPr>
            <w:tcW w:w="0" w:type="auto"/>
            <w:vAlign w:val="center"/>
            <w:hideMark/>
          </w:tcPr>
          <w:p w14:paraId="6580559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37F2B90C" w14:textId="77777777" w:rsidTr="00DC292A">
        <w:trPr>
          <w:trHeight w:val="300"/>
        </w:trPr>
        <w:tc>
          <w:tcPr>
            <w:tcW w:w="0" w:type="auto"/>
            <w:vAlign w:val="center"/>
            <w:hideMark/>
          </w:tcPr>
          <w:p w14:paraId="32AB964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КОКС.</w:t>
            </w:r>
          </w:p>
        </w:tc>
        <w:tc>
          <w:tcPr>
            <w:tcW w:w="0" w:type="auto"/>
            <w:vAlign w:val="center"/>
            <w:hideMark/>
          </w:tcPr>
          <w:p w14:paraId="7BB05D2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71C30491" w14:textId="77777777" w:rsidTr="00DC292A">
        <w:trPr>
          <w:trHeight w:val="300"/>
        </w:trPr>
        <w:tc>
          <w:tcPr>
            <w:tcW w:w="0" w:type="auto"/>
            <w:vAlign w:val="center"/>
            <w:hideMark/>
          </w:tcPr>
          <w:p w14:paraId="75B1E26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Магнитогорский завод.</w:t>
            </w:r>
          </w:p>
        </w:tc>
        <w:tc>
          <w:tcPr>
            <w:tcW w:w="0" w:type="auto"/>
            <w:vAlign w:val="center"/>
            <w:hideMark/>
          </w:tcPr>
          <w:p w14:paraId="4446F8C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Углемойки.</w:t>
            </w:r>
          </w:p>
        </w:tc>
      </w:tr>
      <w:tr w:rsidR="00F26F01" w:rsidRPr="00C33834" w14:paraId="0C9ECE63" w14:textId="77777777" w:rsidTr="00DC292A">
        <w:trPr>
          <w:trHeight w:val="300"/>
        </w:trPr>
        <w:tc>
          <w:tcPr>
            <w:tcW w:w="0" w:type="auto"/>
            <w:vAlign w:val="center"/>
            <w:hideMark/>
          </w:tcPr>
          <w:p w14:paraId="61932EC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Запорожская фабрика.</w:t>
            </w:r>
          </w:p>
        </w:tc>
        <w:tc>
          <w:tcPr>
            <w:tcW w:w="0" w:type="auto"/>
            <w:vAlign w:val="center"/>
            <w:hideMark/>
          </w:tcPr>
          <w:p w14:paraId="66775FB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Енакневский коксовый завод.</w:t>
            </w:r>
          </w:p>
        </w:tc>
      </w:tr>
      <w:tr w:rsidR="00F26F01" w:rsidRPr="00C33834" w14:paraId="0BD50324" w14:textId="77777777" w:rsidTr="00DC292A">
        <w:trPr>
          <w:trHeight w:val="300"/>
        </w:trPr>
        <w:tc>
          <w:tcPr>
            <w:tcW w:w="0" w:type="auto"/>
            <w:vAlign w:val="center"/>
            <w:hideMark/>
          </w:tcPr>
          <w:p w14:paraId="4360719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Макеевская фабрика.</w:t>
            </w:r>
          </w:p>
        </w:tc>
        <w:tc>
          <w:tcPr>
            <w:tcW w:w="0" w:type="auto"/>
            <w:vAlign w:val="center"/>
            <w:hideMark/>
          </w:tcPr>
          <w:p w14:paraId="65F1E46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04248BFB" w14:textId="77777777" w:rsidTr="00DC292A">
        <w:trPr>
          <w:trHeight w:val="300"/>
        </w:trPr>
        <w:tc>
          <w:tcPr>
            <w:tcW w:w="0" w:type="auto"/>
            <w:vAlign w:val="center"/>
            <w:hideMark/>
          </w:tcPr>
          <w:p w14:paraId="05E631E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ОГНЕУПОРНАЯ.</w:t>
            </w:r>
          </w:p>
        </w:tc>
        <w:tc>
          <w:tcPr>
            <w:tcW w:w="0" w:type="auto"/>
            <w:vAlign w:val="center"/>
            <w:hideMark/>
          </w:tcPr>
          <w:p w14:paraId="6B14483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03485D92" w14:textId="77777777" w:rsidTr="00DC292A">
        <w:trPr>
          <w:trHeight w:val="300"/>
        </w:trPr>
        <w:tc>
          <w:tcPr>
            <w:tcW w:w="0" w:type="auto"/>
            <w:vAlign w:val="center"/>
            <w:hideMark/>
          </w:tcPr>
          <w:p w14:paraId="091ACFA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Магнезитовый завод, Сатка.</w:t>
            </w:r>
          </w:p>
        </w:tc>
        <w:tc>
          <w:tcPr>
            <w:tcW w:w="0" w:type="auto"/>
            <w:vAlign w:val="center"/>
            <w:hideMark/>
          </w:tcPr>
          <w:p w14:paraId="649D581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Шамотный завод, Богдановичи.</w:t>
            </w:r>
          </w:p>
        </w:tc>
      </w:tr>
      <w:tr w:rsidR="00F26F01" w:rsidRPr="00C33834" w14:paraId="098C6775" w14:textId="77777777" w:rsidTr="00DC292A">
        <w:trPr>
          <w:trHeight w:val="300"/>
        </w:trPr>
        <w:tc>
          <w:tcPr>
            <w:tcW w:w="0" w:type="auto"/>
            <w:vAlign w:val="center"/>
            <w:hideMark/>
          </w:tcPr>
          <w:p w14:paraId="0A3A51E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Динасовый завод, Гришино.</w:t>
            </w:r>
          </w:p>
        </w:tc>
        <w:tc>
          <w:tcPr>
            <w:tcW w:w="0" w:type="auto"/>
            <w:vAlign w:val="center"/>
            <w:hideMark/>
          </w:tcPr>
          <w:p w14:paraId="7A64D6A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Динасовый и шамотный завод, Красногоровка.</w:t>
            </w:r>
          </w:p>
        </w:tc>
      </w:tr>
      <w:tr w:rsidR="00F26F01" w:rsidRPr="00C33834" w14:paraId="58E59C1D" w14:textId="77777777" w:rsidTr="00DC292A">
        <w:trPr>
          <w:trHeight w:val="300"/>
        </w:trPr>
        <w:tc>
          <w:tcPr>
            <w:tcW w:w="0" w:type="auto"/>
            <w:vAlign w:val="center"/>
            <w:hideMark/>
          </w:tcPr>
          <w:p w14:paraId="6A69BC1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Первоуральский динасовый завод.</w:t>
            </w:r>
          </w:p>
        </w:tc>
        <w:tc>
          <w:tcPr>
            <w:tcW w:w="0" w:type="auto"/>
            <w:vAlign w:val="center"/>
            <w:hideMark/>
          </w:tcPr>
          <w:p w14:paraId="7562586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6051FD08" w14:textId="77777777" w:rsidTr="00DC292A">
        <w:trPr>
          <w:trHeight w:val="300"/>
        </w:trPr>
        <w:tc>
          <w:tcPr>
            <w:tcW w:w="0" w:type="auto"/>
            <w:vAlign w:val="center"/>
            <w:hideMark/>
          </w:tcPr>
          <w:p w14:paraId="7BA2EFC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ЦЕМЕНТНАЯ ПРОМЫШЛЕННОСТЬ.</w:t>
            </w:r>
          </w:p>
        </w:tc>
        <w:tc>
          <w:tcPr>
            <w:tcW w:w="0" w:type="auto"/>
            <w:vAlign w:val="center"/>
            <w:hideMark/>
          </w:tcPr>
          <w:p w14:paraId="34D4BC8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16F79695" w14:textId="77777777" w:rsidTr="00DC292A">
        <w:trPr>
          <w:trHeight w:val="300"/>
        </w:trPr>
        <w:tc>
          <w:tcPr>
            <w:tcW w:w="0" w:type="auto"/>
            <w:vAlign w:val="center"/>
            <w:hideMark/>
          </w:tcPr>
          <w:p w14:paraId="4465024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Новоспасский завод.</w:t>
            </w:r>
          </w:p>
        </w:tc>
        <w:tc>
          <w:tcPr>
            <w:tcW w:w="0" w:type="auto"/>
            <w:vAlign w:val="center"/>
            <w:hideMark/>
          </w:tcPr>
          <w:p w14:paraId="72147C7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14D36035" w14:textId="77777777" w:rsidTr="00DC292A">
        <w:trPr>
          <w:trHeight w:val="300"/>
        </w:trPr>
        <w:tc>
          <w:tcPr>
            <w:tcW w:w="0" w:type="auto"/>
            <w:vAlign w:val="center"/>
            <w:hideMark/>
          </w:tcPr>
          <w:p w14:paraId="3358923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АСБЕСТОВАЯ ПРОМЫШЛЕННОСТЬ.</w:t>
            </w:r>
          </w:p>
        </w:tc>
        <w:tc>
          <w:tcPr>
            <w:tcW w:w="0" w:type="auto"/>
            <w:vAlign w:val="center"/>
            <w:hideMark/>
          </w:tcPr>
          <w:p w14:paraId="67ED474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15E361C9" w14:textId="77777777" w:rsidTr="00DC292A">
        <w:trPr>
          <w:trHeight w:val="300"/>
        </w:trPr>
        <w:tc>
          <w:tcPr>
            <w:tcW w:w="0" w:type="auto"/>
            <w:vAlign w:val="center"/>
            <w:hideMark/>
          </w:tcPr>
          <w:p w14:paraId="0C1E91B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Сортировочная № 3, Баженово.</w:t>
            </w:r>
          </w:p>
        </w:tc>
        <w:tc>
          <w:tcPr>
            <w:tcW w:w="0" w:type="auto"/>
            <w:vAlign w:val="center"/>
            <w:hideMark/>
          </w:tcPr>
          <w:p w14:paraId="0BC8153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асбоцементных труб, Сухой Лог.</w:t>
            </w:r>
          </w:p>
        </w:tc>
      </w:tr>
      <w:tr w:rsidR="00F26F01" w:rsidRPr="00C33834" w14:paraId="1E4B60F1" w14:textId="77777777" w:rsidTr="00DC292A">
        <w:trPr>
          <w:trHeight w:val="300"/>
        </w:trPr>
        <w:tc>
          <w:tcPr>
            <w:tcW w:w="0" w:type="auto"/>
            <w:vAlign w:val="center"/>
            <w:hideMark/>
          </w:tcPr>
          <w:p w14:paraId="4F2B1E5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ЭЛЕКТРОСТРОИТЕЛЬСТВО.</w:t>
            </w:r>
          </w:p>
        </w:tc>
        <w:tc>
          <w:tcPr>
            <w:tcW w:w="0" w:type="auto"/>
            <w:vAlign w:val="center"/>
            <w:hideMark/>
          </w:tcPr>
          <w:p w14:paraId="4437733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0E04510F" w14:textId="77777777" w:rsidTr="00DC292A">
        <w:trPr>
          <w:trHeight w:val="300"/>
        </w:trPr>
        <w:tc>
          <w:tcPr>
            <w:tcW w:w="0" w:type="auto"/>
            <w:vAlign w:val="center"/>
            <w:hideMark/>
          </w:tcPr>
          <w:p w14:paraId="4CD2C93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Бобриковская ГЭС.</w:t>
            </w:r>
          </w:p>
        </w:tc>
        <w:tc>
          <w:tcPr>
            <w:tcW w:w="0" w:type="auto"/>
            <w:vAlign w:val="center"/>
            <w:hideMark/>
          </w:tcPr>
          <w:p w14:paraId="4D7EA17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Челябинская ГЭС.</w:t>
            </w:r>
          </w:p>
        </w:tc>
      </w:tr>
      <w:tr w:rsidR="00F26F01" w:rsidRPr="00C33834" w14:paraId="29336744" w14:textId="77777777" w:rsidTr="00DC292A">
        <w:trPr>
          <w:trHeight w:val="300"/>
        </w:trPr>
        <w:tc>
          <w:tcPr>
            <w:tcW w:w="0" w:type="auto"/>
            <w:vAlign w:val="center"/>
            <w:hideMark/>
          </w:tcPr>
          <w:p w14:paraId="56A65A3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ТЭЦ ВТИ.</w:t>
            </w:r>
          </w:p>
        </w:tc>
        <w:tc>
          <w:tcPr>
            <w:tcW w:w="0" w:type="auto"/>
            <w:vAlign w:val="center"/>
            <w:hideMark/>
          </w:tcPr>
          <w:p w14:paraId="46E0629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Закамская ГЭС.</w:t>
            </w:r>
          </w:p>
        </w:tc>
      </w:tr>
      <w:tr w:rsidR="00F26F01" w:rsidRPr="00C33834" w14:paraId="258EF287" w14:textId="77777777" w:rsidTr="00DC292A">
        <w:trPr>
          <w:trHeight w:val="300"/>
        </w:trPr>
        <w:tc>
          <w:tcPr>
            <w:tcW w:w="0" w:type="auto"/>
            <w:vAlign w:val="center"/>
            <w:hideMark/>
          </w:tcPr>
          <w:p w14:paraId="340D73D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Свирьстрой.</w:t>
            </w:r>
          </w:p>
        </w:tc>
        <w:tc>
          <w:tcPr>
            <w:tcW w:w="0" w:type="auto"/>
            <w:vAlign w:val="center"/>
            <w:hideMark/>
          </w:tcPr>
          <w:p w14:paraId="03210A2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Чирчикская ГЭС.</w:t>
            </w:r>
          </w:p>
        </w:tc>
      </w:tr>
      <w:tr w:rsidR="00F26F01" w:rsidRPr="00C33834" w14:paraId="21E05037" w14:textId="77777777" w:rsidTr="00DC292A">
        <w:trPr>
          <w:trHeight w:val="300"/>
        </w:trPr>
        <w:tc>
          <w:tcPr>
            <w:tcW w:w="0" w:type="auto"/>
            <w:vAlign w:val="center"/>
            <w:hideMark/>
          </w:tcPr>
          <w:p w14:paraId="77FAEAA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Дубровская ГЭС.</w:t>
            </w:r>
          </w:p>
        </w:tc>
        <w:tc>
          <w:tcPr>
            <w:tcW w:w="0" w:type="auto"/>
            <w:vAlign w:val="center"/>
            <w:hideMark/>
          </w:tcPr>
          <w:p w14:paraId="7008EFB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Канакирская ГЭС.</w:t>
            </w:r>
          </w:p>
        </w:tc>
      </w:tr>
      <w:tr w:rsidR="00F26F01" w:rsidRPr="00C33834" w14:paraId="6C1E53DD" w14:textId="77777777" w:rsidTr="00DC292A">
        <w:trPr>
          <w:trHeight w:val="300"/>
        </w:trPr>
        <w:tc>
          <w:tcPr>
            <w:tcW w:w="0" w:type="auto"/>
            <w:vAlign w:val="center"/>
            <w:hideMark/>
          </w:tcPr>
          <w:p w14:paraId="35720BA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Краснозаводская ТЭЦ.</w:t>
            </w:r>
          </w:p>
        </w:tc>
        <w:tc>
          <w:tcPr>
            <w:tcW w:w="0" w:type="auto"/>
            <w:vAlign w:val="center"/>
            <w:hideMark/>
          </w:tcPr>
          <w:p w14:paraId="7335A59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Электросети Москвы, Ленинграда и Урала.</w:t>
            </w:r>
          </w:p>
        </w:tc>
      </w:tr>
      <w:tr w:rsidR="00F26F01" w:rsidRPr="00C33834" w14:paraId="281C0F5C" w14:textId="77777777" w:rsidTr="00DC292A">
        <w:trPr>
          <w:trHeight w:val="300"/>
        </w:trPr>
        <w:tc>
          <w:tcPr>
            <w:tcW w:w="0" w:type="auto"/>
            <w:vAlign w:val="center"/>
            <w:hideMark/>
          </w:tcPr>
          <w:p w14:paraId="6284468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Кизеловская ГЭС.</w:t>
            </w:r>
          </w:p>
        </w:tc>
        <w:tc>
          <w:tcPr>
            <w:tcW w:w="0" w:type="auto"/>
            <w:vAlign w:val="center"/>
            <w:hideMark/>
          </w:tcPr>
          <w:p w14:paraId="0792DC5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4C7E6C1E" w14:textId="77777777" w:rsidTr="00DC292A">
        <w:trPr>
          <w:trHeight w:val="300"/>
        </w:trPr>
        <w:tc>
          <w:tcPr>
            <w:tcW w:w="0" w:type="auto"/>
            <w:gridSpan w:val="2"/>
            <w:vAlign w:val="center"/>
            <w:hideMark/>
          </w:tcPr>
          <w:p w14:paraId="57860BC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 НАРКОМЛЕГПРОМ</w:t>
            </w:r>
          </w:p>
        </w:tc>
      </w:tr>
      <w:tr w:rsidR="00F26F01" w:rsidRPr="00C33834" w14:paraId="19ABA8BE" w14:textId="77777777" w:rsidTr="00DC292A">
        <w:trPr>
          <w:trHeight w:val="300"/>
        </w:trPr>
        <w:tc>
          <w:tcPr>
            <w:tcW w:w="0" w:type="auto"/>
            <w:vAlign w:val="center"/>
            <w:hideMark/>
          </w:tcPr>
          <w:p w14:paraId="290695C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Ташкентский х-б комбинат.</w:t>
            </w:r>
          </w:p>
        </w:tc>
        <w:tc>
          <w:tcPr>
            <w:tcW w:w="0" w:type="auto"/>
            <w:vAlign w:val="center"/>
            <w:hideMark/>
          </w:tcPr>
          <w:p w14:paraId="7CAD268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Швейная фабрика № 1 Моск. обл.</w:t>
            </w:r>
          </w:p>
        </w:tc>
      </w:tr>
      <w:tr w:rsidR="00F26F01" w:rsidRPr="00C33834" w14:paraId="2702868F" w14:textId="77777777" w:rsidTr="00DC292A">
        <w:trPr>
          <w:trHeight w:val="300"/>
        </w:trPr>
        <w:tc>
          <w:tcPr>
            <w:tcW w:w="0" w:type="auto"/>
            <w:vAlign w:val="center"/>
            <w:hideMark/>
          </w:tcPr>
          <w:p w14:paraId="69752E3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Барнаульский х-б комбинат.</w:t>
            </w:r>
          </w:p>
        </w:tc>
        <w:tc>
          <w:tcPr>
            <w:tcW w:w="0" w:type="auto"/>
            <w:vAlign w:val="center"/>
            <w:hideMark/>
          </w:tcPr>
          <w:p w14:paraId="4F7A6F0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Швейная фабрика № 2 Моск. обл.</w:t>
            </w:r>
          </w:p>
        </w:tc>
      </w:tr>
      <w:tr w:rsidR="00F26F01" w:rsidRPr="00C33834" w14:paraId="7EDD9B5C" w14:textId="77777777" w:rsidTr="00DC292A">
        <w:trPr>
          <w:trHeight w:val="300"/>
        </w:trPr>
        <w:tc>
          <w:tcPr>
            <w:tcW w:w="0" w:type="auto"/>
            <w:vAlign w:val="center"/>
            <w:hideMark/>
          </w:tcPr>
          <w:p w14:paraId="26F0F11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Верхнеудинский стеклозавод.</w:t>
            </w:r>
          </w:p>
        </w:tc>
        <w:tc>
          <w:tcPr>
            <w:tcW w:w="0" w:type="auto"/>
            <w:vAlign w:val="center"/>
            <w:hideMark/>
          </w:tcPr>
          <w:p w14:paraId="045D003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Льнокомбинат сист. Зворыкина, г. Кострома.</w:t>
            </w:r>
          </w:p>
        </w:tc>
      </w:tr>
      <w:tr w:rsidR="00F26F01" w:rsidRPr="00C33834" w14:paraId="671441C6" w14:textId="77777777" w:rsidTr="00DC292A">
        <w:trPr>
          <w:trHeight w:val="300"/>
        </w:trPr>
        <w:tc>
          <w:tcPr>
            <w:tcW w:w="0" w:type="auto"/>
            <w:vAlign w:val="center"/>
            <w:hideMark/>
          </w:tcPr>
          <w:p w14:paraId="169E1BC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Кунцевская игольная фабрика.</w:t>
            </w:r>
          </w:p>
        </w:tc>
        <w:tc>
          <w:tcPr>
            <w:tcW w:w="0" w:type="auto"/>
            <w:vAlign w:val="center"/>
            <w:hideMark/>
          </w:tcPr>
          <w:p w14:paraId="4A9C3E7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Казанская фабрика кинопленки.</w:t>
            </w:r>
          </w:p>
        </w:tc>
      </w:tr>
      <w:tr w:rsidR="00F26F01" w:rsidRPr="00C33834" w14:paraId="30FE6F06" w14:textId="77777777" w:rsidTr="00DC292A">
        <w:trPr>
          <w:trHeight w:val="300"/>
        </w:trPr>
        <w:tc>
          <w:tcPr>
            <w:tcW w:w="0" w:type="auto"/>
            <w:gridSpan w:val="2"/>
            <w:vAlign w:val="center"/>
            <w:hideMark/>
          </w:tcPr>
          <w:p w14:paraId="0F2C492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III. НАРКОМЛЕС</w:t>
            </w:r>
          </w:p>
        </w:tc>
      </w:tr>
      <w:tr w:rsidR="00F26F01" w:rsidRPr="00C33834" w14:paraId="3A28B175" w14:textId="77777777" w:rsidTr="00DC292A">
        <w:trPr>
          <w:trHeight w:val="300"/>
        </w:trPr>
        <w:tc>
          <w:tcPr>
            <w:tcW w:w="0" w:type="auto"/>
            <w:vAlign w:val="center"/>
            <w:hideMark/>
          </w:tcPr>
          <w:p w14:paraId="2BF6129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Камский бумажный комбинат.</w:t>
            </w:r>
          </w:p>
        </w:tc>
        <w:tc>
          <w:tcPr>
            <w:tcW w:w="0" w:type="auto"/>
            <w:vAlign w:val="center"/>
            <w:hideMark/>
          </w:tcPr>
          <w:p w14:paraId="1A33394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Черниковский комбинат, Башкирская АССР.</w:t>
            </w:r>
          </w:p>
        </w:tc>
      </w:tr>
      <w:tr w:rsidR="00F26F01" w:rsidRPr="00C33834" w14:paraId="4623AB32" w14:textId="77777777" w:rsidTr="00DC292A">
        <w:trPr>
          <w:trHeight w:val="300"/>
        </w:trPr>
        <w:tc>
          <w:tcPr>
            <w:tcW w:w="0" w:type="auto"/>
            <w:vAlign w:val="center"/>
            <w:hideMark/>
          </w:tcPr>
          <w:p w14:paraId="462CA17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Кондопожский бумажный комбинат.</w:t>
            </w:r>
          </w:p>
        </w:tc>
        <w:tc>
          <w:tcPr>
            <w:tcW w:w="0" w:type="auto"/>
            <w:vAlign w:val="center"/>
            <w:hideMark/>
          </w:tcPr>
          <w:p w14:paraId="393BCC9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Уссурийский лесной комбинат.</w:t>
            </w:r>
          </w:p>
        </w:tc>
      </w:tr>
      <w:tr w:rsidR="00F26F01" w:rsidRPr="00C33834" w14:paraId="59688FC8" w14:textId="77777777" w:rsidTr="00DC292A">
        <w:trPr>
          <w:trHeight w:val="300"/>
        </w:trPr>
        <w:tc>
          <w:tcPr>
            <w:tcW w:w="0" w:type="auto"/>
            <w:vAlign w:val="center"/>
            <w:hideMark/>
          </w:tcPr>
          <w:p w14:paraId="616B72C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Ижевский лесохимический комбинат.</w:t>
            </w:r>
          </w:p>
        </w:tc>
        <w:tc>
          <w:tcPr>
            <w:tcW w:w="0" w:type="auto"/>
            <w:vAlign w:val="center"/>
            <w:hideMark/>
          </w:tcPr>
          <w:p w14:paraId="72203A4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Черемховский комбинат, Восточная Сибирь.</w:t>
            </w:r>
          </w:p>
        </w:tc>
      </w:tr>
      <w:tr w:rsidR="00F26F01" w:rsidRPr="00C33834" w14:paraId="3649BEF9" w14:textId="77777777" w:rsidTr="00DC292A">
        <w:trPr>
          <w:trHeight w:val="300"/>
        </w:trPr>
        <w:tc>
          <w:tcPr>
            <w:tcW w:w="0" w:type="auto"/>
            <w:vAlign w:val="center"/>
            <w:hideMark/>
          </w:tcPr>
          <w:p w14:paraId="1B60CB5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Ельшанский дерево-обделочный завод,</w:t>
            </w:r>
          </w:p>
          <w:p w14:paraId="6B65A0B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Нижняя Волга.</w:t>
            </w:r>
          </w:p>
        </w:tc>
        <w:tc>
          <w:tcPr>
            <w:tcW w:w="0" w:type="auto"/>
            <w:vAlign w:val="center"/>
            <w:hideMark/>
          </w:tcPr>
          <w:p w14:paraId="34D3A41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Шумерлинский комбинат, Горьковский край</w:t>
            </w:r>
          </w:p>
        </w:tc>
      </w:tr>
      <w:tr w:rsidR="00F26F01" w:rsidRPr="00C33834" w14:paraId="3FBCDC2C" w14:textId="77777777" w:rsidTr="00DC292A">
        <w:trPr>
          <w:trHeight w:val="300"/>
        </w:trPr>
        <w:tc>
          <w:tcPr>
            <w:tcW w:w="0" w:type="auto"/>
            <w:gridSpan w:val="2"/>
            <w:vAlign w:val="center"/>
            <w:hideMark/>
          </w:tcPr>
          <w:p w14:paraId="4630230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Жеребовская опытная целлюлозная установка, БССР.</w:t>
            </w:r>
          </w:p>
        </w:tc>
      </w:tr>
      <w:tr w:rsidR="00F26F01" w:rsidRPr="00C33834" w14:paraId="71BA1931" w14:textId="77777777" w:rsidTr="00DC292A">
        <w:trPr>
          <w:trHeight w:val="300"/>
        </w:trPr>
        <w:tc>
          <w:tcPr>
            <w:tcW w:w="0" w:type="auto"/>
            <w:gridSpan w:val="2"/>
            <w:vAlign w:val="center"/>
            <w:hideMark/>
          </w:tcPr>
          <w:p w14:paraId="4B575DE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IV. НАРКОМСНАБ</w:t>
            </w:r>
          </w:p>
        </w:tc>
      </w:tr>
      <w:tr w:rsidR="00F26F01" w:rsidRPr="00C33834" w14:paraId="3BEE6412" w14:textId="77777777" w:rsidTr="00DC292A">
        <w:trPr>
          <w:trHeight w:val="300"/>
        </w:trPr>
        <w:tc>
          <w:tcPr>
            <w:tcW w:w="0" w:type="auto"/>
            <w:vAlign w:val="center"/>
            <w:hideMark/>
          </w:tcPr>
          <w:p w14:paraId="0B65687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МЯСНАЯ ПРОМЫШЛЕННОСТЬ.</w:t>
            </w:r>
          </w:p>
        </w:tc>
        <w:tc>
          <w:tcPr>
            <w:tcW w:w="0" w:type="auto"/>
            <w:vAlign w:val="center"/>
            <w:hideMark/>
          </w:tcPr>
          <w:p w14:paraId="4C64391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0AE05861" w14:textId="77777777" w:rsidTr="00DC292A">
        <w:trPr>
          <w:trHeight w:val="300"/>
        </w:trPr>
        <w:tc>
          <w:tcPr>
            <w:tcW w:w="0" w:type="auto"/>
            <w:vAlign w:val="center"/>
            <w:hideMark/>
          </w:tcPr>
          <w:p w14:paraId="4381DC0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Мясокомбинат Москва.</w:t>
            </w:r>
          </w:p>
        </w:tc>
        <w:tc>
          <w:tcPr>
            <w:tcW w:w="0" w:type="auto"/>
            <w:vAlign w:val="center"/>
            <w:hideMark/>
          </w:tcPr>
          <w:p w14:paraId="67E3026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Мясокомбинат Ленинакан.</w:t>
            </w:r>
          </w:p>
        </w:tc>
      </w:tr>
      <w:tr w:rsidR="00F26F01" w:rsidRPr="00C33834" w14:paraId="7922C23B" w14:textId="77777777" w:rsidTr="00DC292A">
        <w:trPr>
          <w:trHeight w:val="300"/>
        </w:trPr>
        <w:tc>
          <w:tcPr>
            <w:tcW w:w="0" w:type="auto"/>
            <w:vAlign w:val="center"/>
            <w:hideMark/>
          </w:tcPr>
          <w:p w14:paraId="5BAB39B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Мясокомбинат Ленинград.</w:t>
            </w:r>
          </w:p>
        </w:tc>
        <w:tc>
          <w:tcPr>
            <w:tcW w:w="0" w:type="auto"/>
            <w:vAlign w:val="center"/>
            <w:hideMark/>
          </w:tcPr>
          <w:p w14:paraId="52D2B97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Мясокомбинат Верхнеудинск.</w:t>
            </w:r>
          </w:p>
        </w:tc>
      </w:tr>
      <w:tr w:rsidR="00F26F01" w:rsidRPr="00C33834" w14:paraId="33BA8907" w14:textId="77777777" w:rsidTr="00DC292A">
        <w:trPr>
          <w:trHeight w:val="300"/>
        </w:trPr>
        <w:tc>
          <w:tcPr>
            <w:tcW w:w="0" w:type="auto"/>
            <w:vAlign w:val="center"/>
            <w:hideMark/>
          </w:tcPr>
          <w:p w14:paraId="458238C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Мясокомбинат Семипалатинск.</w:t>
            </w:r>
          </w:p>
        </w:tc>
        <w:tc>
          <w:tcPr>
            <w:tcW w:w="0" w:type="auto"/>
            <w:vAlign w:val="center"/>
            <w:hideMark/>
          </w:tcPr>
          <w:p w14:paraId="2FC856E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6CC14F56" w14:textId="77777777" w:rsidTr="00DC292A">
        <w:trPr>
          <w:trHeight w:val="300"/>
        </w:trPr>
        <w:tc>
          <w:tcPr>
            <w:tcW w:w="0" w:type="auto"/>
            <w:vAlign w:val="center"/>
            <w:hideMark/>
          </w:tcPr>
          <w:p w14:paraId="1627925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РЫБНАЯ ПРОМЫШЛЕННОСТЬ.</w:t>
            </w:r>
          </w:p>
        </w:tc>
        <w:tc>
          <w:tcPr>
            <w:tcW w:w="0" w:type="auto"/>
            <w:vAlign w:val="center"/>
            <w:hideMark/>
          </w:tcPr>
          <w:p w14:paraId="07268B7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6B280BB8" w14:textId="77777777" w:rsidTr="00DC292A">
        <w:trPr>
          <w:trHeight w:val="300"/>
        </w:trPr>
        <w:tc>
          <w:tcPr>
            <w:tcW w:w="0" w:type="auto"/>
            <w:vAlign w:val="center"/>
            <w:hideMark/>
          </w:tcPr>
          <w:p w14:paraId="4F0D80C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Консервный комбинат, Лугань.</w:t>
            </w:r>
          </w:p>
        </w:tc>
        <w:tc>
          <w:tcPr>
            <w:tcW w:w="0" w:type="auto"/>
            <w:vAlign w:val="center"/>
            <w:hideMark/>
          </w:tcPr>
          <w:p w14:paraId="5412AA9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Судоремонтный завол, Астрахань.</w:t>
            </w:r>
          </w:p>
        </w:tc>
      </w:tr>
      <w:tr w:rsidR="00F26F01" w:rsidRPr="00C33834" w14:paraId="0CBAFB45" w14:textId="77777777" w:rsidTr="00DC292A">
        <w:trPr>
          <w:trHeight w:val="300"/>
        </w:trPr>
        <w:tc>
          <w:tcPr>
            <w:tcW w:w="0" w:type="auto"/>
            <w:vAlign w:val="center"/>
            <w:hideMark/>
          </w:tcPr>
          <w:p w14:paraId="7A56850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Консервный комбинат, Гурьев.</w:t>
            </w:r>
          </w:p>
        </w:tc>
        <w:tc>
          <w:tcPr>
            <w:tcW w:w="0" w:type="auto"/>
            <w:vAlign w:val="center"/>
            <w:hideMark/>
          </w:tcPr>
          <w:p w14:paraId="64397E9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Холодильник, Владивосток.</w:t>
            </w:r>
          </w:p>
        </w:tc>
      </w:tr>
      <w:tr w:rsidR="00F26F01" w:rsidRPr="00C33834" w14:paraId="5755A80A" w14:textId="77777777" w:rsidTr="00DC292A">
        <w:trPr>
          <w:trHeight w:val="300"/>
        </w:trPr>
        <w:tc>
          <w:tcPr>
            <w:tcW w:w="0" w:type="auto"/>
            <w:vAlign w:val="center"/>
            <w:hideMark/>
          </w:tcPr>
          <w:p w14:paraId="7C463C5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Судоремонтный завод, Мурманск.</w:t>
            </w:r>
          </w:p>
        </w:tc>
        <w:tc>
          <w:tcPr>
            <w:tcW w:w="0" w:type="auto"/>
            <w:vAlign w:val="center"/>
            <w:hideMark/>
          </w:tcPr>
          <w:p w14:paraId="2D84B66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5E2F4A6E" w14:textId="77777777" w:rsidTr="00DC292A">
        <w:trPr>
          <w:trHeight w:val="300"/>
        </w:trPr>
        <w:tc>
          <w:tcPr>
            <w:tcW w:w="0" w:type="auto"/>
            <w:vAlign w:val="center"/>
            <w:hideMark/>
          </w:tcPr>
          <w:p w14:paraId="0C1C6AB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САХАРНАЯ ПРОМЫШЛЕННОСТЬ.</w:t>
            </w:r>
          </w:p>
        </w:tc>
        <w:tc>
          <w:tcPr>
            <w:tcW w:w="0" w:type="auto"/>
            <w:vAlign w:val="center"/>
            <w:hideMark/>
          </w:tcPr>
          <w:p w14:paraId="3935C0B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2D973385" w14:textId="77777777" w:rsidTr="00DC292A">
        <w:trPr>
          <w:trHeight w:val="300"/>
        </w:trPr>
        <w:tc>
          <w:tcPr>
            <w:tcW w:w="0" w:type="auto"/>
            <w:vAlign w:val="center"/>
            <w:hideMark/>
          </w:tcPr>
          <w:p w14:paraId="574733E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Эртильский сахарный завод.</w:t>
            </w:r>
          </w:p>
        </w:tc>
        <w:tc>
          <w:tcPr>
            <w:tcW w:w="0" w:type="auto"/>
            <w:vAlign w:val="center"/>
            <w:hideMark/>
          </w:tcPr>
          <w:p w14:paraId="619F0BD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Меркенский сахарный завод.</w:t>
            </w:r>
          </w:p>
        </w:tc>
      </w:tr>
      <w:tr w:rsidR="00F26F01" w:rsidRPr="00C33834" w14:paraId="3CD592A8" w14:textId="77777777" w:rsidTr="00DC292A">
        <w:trPr>
          <w:trHeight w:val="300"/>
        </w:trPr>
        <w:tc>
          <w:tcPr>
            <w:tcW w:w="0" w:type="auto"/>
            <w:vAlign w:val="center"/>
            <w:hideMark/>
          </w:tcPr>
          <w:p w14:paraId="1CA0301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Нижне-Уссурийский сахарный завод.</w:t>
            </w:r>
          </w:p>
        </w:tc>
        <w:tc>
          <w:tcPr>
            <w:tcW w:w="0" w:type="auto"/>
            <w:vAlign w:val="center"/>
            <w:hideMark/>
          </w:tcPr>
          <w:p w14:paraId="486098E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Талды-Курганский сахарный завод.</w:t>
            </w:r>
          </w:p>
        </w:tc>
      </w:tr>
      <w:tr w:rsidR="00F26F01" w:rsidRPr="00C33834" w14:paraId="2F5026DD" w14:textId="77777777" w:rsidTr="00DC292A">
        <w:trPr>
          <w:trHeight w:val="300"/>
        </w:trPr>
        <w:tc>
          <w:tcPr>
            <w:tcW w:w="0" w:type="auto"/>
            <w:vAlign w:val="center"/>
            <w:hideMark/>
          </w:tcPr>
          <w:p w14:paraId="6868033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КОНСЕРВНАЯ ПРОМЫШЛЕННОСТЬ.</w:t>
            </w:r>
          </w:p>
        </w:tc>
        <w:tc>
          <w:tcPr>
            <w:tcW w:w="0" w:type="auto"/>
            <w:vAlign w:val="center"/>
            <w:hideMark/>
          </w:tcPr>
          <w:p w14:paraId="7950E43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7E3C305E" w14:textId="77777777" w:rsidTr="00DC292A">
        <w:trPr>
          <w:trHeight w:val="300"/>
        </w:trPr>
        <w:tc>
          <w:tcPr>
            <w:tcW w:w="0" w:type="auto"/>
            <w:vAlign w:val="center"/>
            <w:hideMark/>
          </w:tcPr>
          <w:p w14:paraId="30EFC32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Стеклотарный завод, г. Орджоникидзе.</w:t>
            </w:r>
          </w:p>
        </w:tc>
        <w:tc>
          <w:tcPr>
            <w:tcW w:w="0" w:type="auto"/>
            <w:vAlign w:val="center"/>
            <w:hideMark/>
          </w:tcPr>
          <w:p w14:paraId="791D907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28E4B623" w14:textId="77777777" w:rsidTr="00DC292A">
        <w:trPr>
          <w:trHeight w:val="300"/>
        </w:trPr>
        <w:tc>
          <w:tcPr>
            <w:tcW w:w="0" w:type="auto"/>
            <w:vAlign w:val="center"/>
            <w:hideMark/>
          </w:tcPr>
          <w:p w14:paraId="6618923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СПИРТОВАЯ ПРОМЫШЛЕННОСТЬ.</w:t>
            </w:r>
          </w:p>
        </w:tc>
        <w:tc>
          <w:tcPr>
            <w:tcW w:w="0" w:type="auto"/>
            <w:vAlign w:val="center"/>
            <w:hideMark/>
          </w:tcPr>
          <w:p w14:paraId="57AD280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45A490E9" w14:textId="77777777" w:rsidTr="00DC292A">
        <w:trPr>
          <w:trHeight w:val="300"/>
        </w:trPr>
        <w:tc>
          <w:tcPr>
            <w:tcW w:w="0" w:type="auto"/>
            <w:vAlign w:val="center"/>
            <w:hideMark/>
          </w:tcPr>
          <w:p w14:paraId="692C154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Винокуренный завод в Петровске.</w:t>
            </w:r>
          </w:p>
        </w:tc>
        <w:tc>
          <w:tcPr>
            <w:tcW w:w="0" w:type="auto"/>
            <w:vAlign w:val="center"/>
            <w:hideMark/>
          </w:tcPr>
          <w:p w14:paraId="5B3970A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Винокуренный завод в Сясьске.</w:t>
            </w:r>
          </w:p>
        </w:tc>
      </w:tr>
      <w:tr w:rsidR="00F26F01" w:rsidRPr="00C33834" w14:paraId="4482B402" w14:textId="77777777" w:rsidTr="00DC292A">
        <w:trPr>
          <w:trHeight w:val="300"/>
        </w:trPr>
        <w:tc>
          <w:tcPr>
            <w:tcW w:w="0" w:type="auto"/>
            <w:vAlign w:val="center"/>
            <w:hideMark/>
          </w:tcPr>
          <w:p w14:paraId="5558225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СОЛЯНАЯ ПРОМЫШЛЕННОСТЬ. </w:t>
            </w:r>
          </w:p>
        </w:tc>
        <w:tc>
          <w:tcPr>
            <w:tcW w:w="0" w:type="auto"/>
            <w:vAlign w:val="center"/>
            <w:hideMark/>
          </w:tcPr>
          <w:p w14:paraId="312A72C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4920557E" w14:textId="77777777" w:rsidTr="00DC292A">
        <w:trPr>
          <w:trHeight w:val="300"/>
        </w:trPr>
        <w:tc>
          <w:tcPr>
            <w:tcW w:w="0" w:type="auto"/>
            <w:vAlign w:val="center"/>
            <w:hideMark/>
          </w:tcPr>
          <w:p w14:paraId="6540778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Солезавод, Усолье.</w:t>
            </w:r>
          </w:p>
        </w:tc>
        <w:tc>
          <w:tcPr>
            <w:tcW w:w="0" w:type="auto"/>
            <w:vAlign w:val="center"/>
            <w:hideMark/>
          </w:tcPr>
          <w:p w14:paraId="75368F3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183CC10D" w14:textId="77777777" w:rsidTr="00DC292A">
        <w:trPr>
          <w:trHeight w:val="300"/>
        </w:trPr>
        <w:tc>
          <w:tcPr>
            <w:tcW w:w="0" w:type="auto"/>
            <w:vAlign w:val="center"/>
            <w:hideMark/>
          </w:tcPr>
          <w:p w14:paraId="787CA50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КОНДИТЕРСКАЯ ПРОМЫШЛЕННОСТЬ. </w:t>
            </w:r>
          </w:p>
        </w:tc>
        <w:tc>
          <w:tcPr>
            <w:tcW w:w="0" w:type="auto"/>
            <w:vAlign w:val="center"/>
            <w:hideMark/>
          </w:tcPr>
          <w:p w14:paraId="60D2F63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6EC8245A" w14:textId="77777777" w:rsidTr="00DC292A">
        <w:trPr>
          <w:trHeight w:val="300"/>
        </w:trPr>
        <w:tc>
          <w:tcPr>
            <w:tcW w:w="0" w:type="auto"/>
            <w:vAlign w:val="center"/>
            <w:hideMark/>
          </w:tcPr>
          <w:p w14:paraId="6DC6C91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Бисквитная фабрика, Хабаровск.</w:t>
            </w:r>
          </w:p>
        </w:tc>
        <w:tc>
          <w:tcPr>
            <w:tcW w:w="0" w:type="auto"/>
            <w:vAlign w:val="center"/>
            <w:hideMark/>
          </w:tcPr>
          <w:p w14:paraId="7E1E62F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5E865ECA" w14:textId="77777777" w:rsidTr="00DC292A">
        <w:trPr>
          <w:trHeight w:val="300"/>
        </w:trPr>
        <w:tc>
          <w:tcPr>
            <w:tcW w:w="0" w:type="auto"/>
            <w:vAlign w:val="center"/>
            <w:hideMark/>
          </w:tcPr>
          <w:p w14:paraId="0F27839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ХОЛОДИЛЬНАЯ ПРОМЫШЛЕННОСТЬ.</w:t>
            </w:r>
          </w:p>
        </w:tc>
        <w:tc>
          <w:tcPr>
            <w:tcW w:w="0" w:type="auto"/>
            <w:vAlign w:val="center"/>
            <w:hideMark/>
          </w:tcPr>
          <w:p w14:paraId="79EEF05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054053F6" w14:textId="77777777" w:rsidTr="00DC292A">
        <w:trPr>
          <w:trHeight w:val="300"/>
        </w:trPr>
        <w:tc>
          <w:tcPr>
            <w:tcW w:w="0" w:type="auto"/>
            <w:vAlign w:val="center"/>
            <w:hideMark/>
          </w:tcPr>
          <w:p w14:paraId="63EF65E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Холодильник Великие Луки.</w:t>
            </w:r>
          </w:p>
        </w:tc>
        <w:tc>
          <w:tcPr>
            <w:tcW w:w="0" w:type="auto"/>
            <w:vAlign w:val="center"/>
            <w:hideMark/>
          </w:tcPr>
          <w:p w14:paraId="7224B4F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Холодильник Москва № 7.</w:t>
            </w:r>
          </w:p>
        </w:tc>
      </w:tr>
      <w:tr w:rsidR="00F26F01" w:rsidRPr="00C33834" w14:paraId="5AE343DF" w14:textId="77777777" w:rsidTr="00DC292A">
        <w:trPr>
          <w:trHeight w:val="300"/>
        </w:trPr>
        <w:tc>
          <w:tcPr>
            <w:tcW w:w="0" w:type="auto"/>
            <w:vAlign w:val="center"/>
            <w:hideMark/>
          </w:tcPr>
          <w:p w14:paraId="0FE1B63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Холодильник Кадиевка.</w:t>
            </w:r>
          </w:p>
        </w:tc>
        <w:tc>
          <w:tcPr>
            <w:tcW w:w="0" w:type="auto"/>
            <w:vAlign w:val="center"/>
            <w:hideMark/>
          </w:tcPr>
          <w:p w14:paraId="61176DF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Холодильник ст. Узловая,</w:t>
            </w:r>
          </w:p>
        </w:tc>
      </w:tr>
      <w:tr w:rsidR="00F26F01" w:rsidRPr="00C33834" w14:paraId="685C0808" w14:textId="77777777" w:rsidTr="00DC292A">
        <w:trPr>
          <w:trHeight w:val="300"/>
        </w:trPr>
        <w:tc>
          <w:tcPr>
            <w:tcW w:w="0" w:type="auto"/>
            <w:vAlign w:val="center"/>
            <w:hideMark/>
          </w:tcPr>
          <w:p w14:paraId="5BAFAE5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Холодильник Красный Луч.</w:t>
            </w:r>
          </w:p>
        </w:tc>
        <w:tc>
          <w:tcPr>
            <w:tcW w:w="0" w:type="auto"/>
            <w:vAlign w:val="center"/>
            <w:hideMark/>
          </w:tcPr>
          <w:p w14:paraId="7DC0CBE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Холодильник Рязань.</w:t>
            </w:r>
          </w:p>
        </w:tc>
      </w:tr>
      <w:tr w:rsidR="00F26F01" w:rsidRPr="00C33834" w14:paraId="5839E3B7" w14:textId="77777777" w:rsidTr="00DC292A">
        <w:trPr>
          <w:trHeight w:val="300"/>
        </w:trPr>
        <w:tc>
          <w:tcPr>
            <w:tcW w:w="0" w:type="auto"/>
            <w:vAlign w:val="center"/>
            <w:hideMark/>
          </w:tcPr>
          <w:p w14:paraId="2DACF8F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Холодильник Краматорская.</w:t>
            </w:r>
          </w:p>
        </w:tc>
        <w:tc>
          <w:tcPr>
            <w:tcW w:w="0" w:type="auto"/>
            <w:vAlign w:val="center"/>
            <w:hideMark/>
          </w:tcPr>
          <w:p w14:paraId="5FD70DD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Холодильник Москва № 1.</w:t>
            </w:r>
          </w:p>
        </w:tc>
      </w:tr>
      <w:tr w:rsidR="00F26F01" w:rsidRPr="00C33834" w14:paraId="59677097" w14:textId="77777777" w:rsidTr="00DC292A">
        <w:trPr>
          <w:trHeight w:val="300"/>
        </w:trPr>
        <w:tc>
          <w:tcPr>
            <w:tcW w:w="0" w:type="auto"/>
            <w:vAlign w:val="center"/>
            <w:hideMark/>
          </w:tcPr>
          <w:p w14:paraId="3FE1C6B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Холодильник Макеевка.</w:t>
            </w:r>
          </w:p>
        </w:tc>
        <w:tc>
          <w:tcPr>
            <w:tcW w:w="0" w:type="auto"/>
            <w:vAlign w:val="center"/>
            <w:hideMark/>
          </w:tcPr>
          <w:p w14:paraId="5390144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Холодильник Никитовка.</w:t>
            </w:r>
          </w:p>
        </w:tc>
      </w:tr>
      <w:tr w:rsidR="00F26F01" w:rsidRPr="00C33834" w14:paraId="220B1D3A" w14:textId="77777777" w:rsidTr="00DC292A">
        <w:trPr>
          <w:trHeight w:val="300"/>
        </w:trPr>
        <w:tc>
          <w:tcPr>
            <w:tcW w:w="0" w:type="auto"/>
            <w:vAlign w:val="center"/>
            <w:hideMark/>
          </w:tcPr>
          <w:p w14:paraId="7057278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Холодильник Енакиево.</w:t>
            </w:r>
          </w:p>
        </w:tc>
        <w:tc>
          <w:tcPr>
            <w:tcW w:w="0" w:type="auto"/>
            <w:vAlign w:val="center"/>
            <w:hideMark/>
          </w:tcPr>
          <w:p w14:paraId="5A9505C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Холодильник Сталино.</w:t>
            </w:r>
          </w:p>
        </w:tc>
      </w:tr>
      <w:tr w:rsidR="00F26F01" w:rsidRPr="00C33834" w14:paraId="32887285" w14:textId="77777777" w:rsidTr="00DC292A">
        <w:trPr>
          <w:trHeight w:val="300"/>
        </w:trPr>
        <w:tc>
          <w:tcPr>
            <w:tcW w:w="0" w:type="auto"/>
            <w:gridSpan w:val="2"/>
            <w:vAlign w:val="center"/>
            <w:hideMark/>
          </w:tcPr>
          <w:p w14:paraId="1F6CF89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V. НАРКОМВНЕШТОРГ</w:t>
            </w:r>
          </w:p>
        </w:tc>
      </w:tr>
      <w:tr w:rsidR="00F26F01" w:rsidRPr="00C33834" w14:paraId="01B13D3E" w14:textId="77777777" w:rsidTr="00DC292A">
        <w:trPr>
          <w:trHeight w:val="300"/>
        </w:trPr>
        <w:tc>
          <w:tcPr>
            <w:tcW w:w="0" w:type="auto"/>
            <w:vAlign w:val="center"/>
            <w:hideMark/>
          </w:tcPr>
          <w:p w14:paraId="379E39B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ЭКСПОРТЛЕС.</w:t>
            </w:r>
          </w:p>
        </w:tc>
        <w:tc>
          <w:tcPr>
            <w:tcW w:w="0" w:type="auto"/>
            <w:vAlign w:val="center"/>
            <w:hideMark/>
          </w:tcPr>
          <w:p w14:paraId="4C194D2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572E4094" w14:textId="77777777" w:rsidTr="00DC292A">
        <w:trPr>
          <w:trHeight w:val="300"/>
        </w:trPr>
        <w:tc>
          <w:tcPr>
            <w:tcW w:w="0" w:type="auto"/>
            <w:vAlign w:val="center"/>
            <w:hideMark/>
          </w:tcPr>
          <w:p w14:paraId="07871AD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Ящичная фабрика, Ленинград.</w:t>
            </w:r>
          </w:p>
        </w:tc>
        <w:tc>
          <w:tcPr>
            <w:tcW w:w="0" w:type="auto"/>
            <w:vAlign w:val="center"/>
            <w:hideMark/>
          </w:tcPr>
          <w:p w14:paraId="651E519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4228F5AD" w14:textId="77777777" w:rsidTr="00DC292A">
        <w:trPr>
          <w:trHeight w:val="300"/>
        </w:trPr>
        <w:tc>
          <w:tcPr>
            <w:tcW w:w="0" w:type="auto"/>
            <w:vAlign w:val="center"/>
            <w:hideMark/>
          </w:tcPr>
          <w:p w14:paraId="24705A0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СОЮЗПУШНИНА.</w:t>
            </w:r>
          </w:p>
        </w:tc>
        <w:tc>
          <w:tcPr>
            <w:tcW w:w="0" w:type="auto"/>
            <w:vAlign w:val="center"/>
            <w:hideMark/>
          </w:tcPr>
          <w:p w14:paraId="053AF72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3ECF0D34" w14:textId="77777777" w:rsidTr="00DC292A">
        <w:trPr>
          <w:trHeight w:val="300"/>
        </w:trPr>
        <w:tc>
          <w:tcPr>
            <w:tcW w:w="0" w:type="auto"/>
            <w:vAlign w:val="center"/>
            <w:hideMark/>
          </w:tcPr>
          <w:p w14:paraId="3865CB8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Казанская меховая фабрика</w:t>
            </w:r>
          </w:p>
          <w:p w14:paraId="343D160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(производственное строительство)</w:t>
            </w:r>
          </w:p>
        </w:tc>
        <w:tc>
          <w:tcPr>
            <w:tcW w:w="0" w:type="auto"/>
            <w:vAlign w:val="center"/>
            <w:hideMark/>
          </w:tcPr>
          <w:p w14:paraId="26825E7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Каракулеводческие совхозы</w:t>
            </w:r>
          </w:p>
          <w:p w14:paraId="726F9C6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(производственные постройки)</w:t>
            </w:r>
          </w:p>
        </w:tc>
      </w:tr>
      <w:tr w:rsidR="00F26F01" w:rsidRPr="00C33834" w14:paraId="3B9525B4" w14:textId="77777777" w:rsidTr="00DC292A">
        <w:trPr>
          <w:trHeight w:val="300"/>
        </w:trPr>
        <w:tc>
          <w:tcPr>
            <w:tcW w:w="0" w:type="auto"/>
            <w:vAlign w:val="center"/>
            <w:hideMark/>
          </w:tcPr>
          <w:p w14:paraId="283A675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ЭКСПОРТЛЕН.</w:t>
            </w:r>
          </w:p>
        </w:tc>
        <w:tc>
          <w:tcPr>
            <w:tcW w:w="0" w:type="auto"/>
            <w:vAlign w:val="center"/>
            <w:hideMark/>
          </w:tcPr>
          <w:p w14:paraId="639A900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5B758326" w14:textId="77777777" w:rsidTr="00DC292A">
        <w:trPr>
          <w:trHeight w:val="300"/>
        </w:trPr>
        <w:tc>
          <w:tcPr>
            <w:tcW w:w="0" w:type="auto"/>
            <w:vAlign w:val="center"/>
            <w:hideMark/>
          </w:tcPr>
          <w:p w14:paraId="63D4423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Железобетонный склад, Мурманск.</w:t>
            </w:r>
          </w:p>
        </w:tc>
        <w:tc>
          <w:tcPr>
            <w:tcW w:w="0" w:type="auto"/>
            <w:vAlign w:val="center"/>
            <w:hideMark/>
          </w:tcPr>
          <w:p w14:paraId="60FCC09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01FD08E8" w14:textId="77777777" w:rsidTr="00DC292A">
        <w:trPr>
          <w:trHeight w:val="300"/>
        </w:trPr>
        <w:tc>
          <w:tcPr>
            <w:tcW w:w="0" w:type="auto"/>
            <w:gridSpan w:val="2"/>
            <w:vAlign w:val="center"/>
            <w:hideMark/>
          </w:tcPr>
          <w:p w14:paraId="4635334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VI. НКПС</w:t>
            </w:r>
          </w:p>
        </w:tc>
      </w:tr>
      <w:tr w:rsidR="00F26F01" w:rsidRPr="00C33834" w14:paraId="5E745DD6" w14:textId="77777777" w:rsidTr="00DC292A">
        <w:trPr>
          <w:trHeight w:val="300"/>
        </w:trPr>
        <w:tc>
          <w:tcPr>
            <w:tcW w:w="0" w:type="auto"/>
            <w:gridSpan w:val="2"/>
            <w:vAlign w:val="center"/>
            <w:hideMark/>
          </w:tcPr>
          <w:p w14:paraId="634B652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НОВОЕ ЖЕЛЕЗНОДОРОЖНОЕ СТРОИТЕЛЬСТВО.</w:t>
            </w:r>
          </w:p>
        </w:tc>
      </w:tr>
      <w:tr w:rsidR="00F26F01" w:rsidRPr="00C33834" w14:paraId="29521915" w14:textId="77777777" w:rsidTr="00DC292A">
        <w:trPr>
          <w:trHeight w:val="300"/>
        </w:trPr>
        <w:tc>
          <w:tcPr>
            <w:tcW w:w="0" w:type="auto"/>
            <w:vAlign w:val="center"/>
            <w:hideMark/>
          </w:tcPr>
          <w:p w14:paraId="3140D55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Москва-Донбасс.</w:t>
            </w:r>
          </w:p>
        </w:tc>
        <w:tc>
          <w:tcPr>
            <w:tcW w:w="0" w:type="auto"/>
            <w:vAlign w:val="center"/>
            <w:hideMark/>
          </w:tcPr>
          <w:p w14:paraId="1F44B14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Брянск—Вязьма.</w:t>
            </w:r>
          </w:p>
        </w:tc>
      </w:tr>
      <w:tr w:rsidR="00F26F01" w:rsidRPr="00C33834" w14:paraId="23B6C510" w14:textId="77777777" w:rsidTr="00DC292A">
        <w:trPr>
          <w:trHeight w:val="300"/>
        </w:trPr>
        <w:tc>
          <w:tcPr>
            <w:tcW w:w="0" w:type="auto"/>
            <w:vAlign w:val="center"/>
            <w:hideMark/>
          </w:tcPr>
          <w:p w14:paraId="4D99131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Новосибирск—Ленинск.</w:t>
            </w:r>
          </w:p>
        </w:tc>
        <w:tc>
          <w:tcPr>
            <w:tcW w:w="0" w:type="auto"/>
            <w:vAlign w:val="center"/>
            <w:hideMark/>
          </w:tcPr>
          <w:p w14:paraId="047F539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Еманжелинская ветка.</w:t>
            </w:r>
          </w:p>
        </w:tc>
      </w:tr>
      <w:tr w:rsidR="00F26F01" w:rsidRPr="00C33834" w14:paraId="697B53C8" w14:textId="77777777" w:rsidTr="00DC292A">
        <w:trPr>
          <w:trHeight w:val="300"/>
        </w:trPr>
        <w:tc>
          <w:tcPr>
            <w:tcW w:w="0" w:type="auto"/>
            <w:vAlign w:val="center"/>
            <w:hideMark/>
          </w:tcPr>
          <w:p w14:paraId="35B2BE4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Свердловск—Курган.</w:t>
            </w:r>
          </w:p>
        </w:tc>
        <w:tc>
          <w:tcPr>
            <w:tcW w:w="0" w:type="auto"/>
            <w:vAlign w:val="center"/>
            <w:hideMark/>
          </w:tcPr>
          <w:p w14:paraId="253B280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Саратовский мост.</w:t>
            </w:r>
          </w:p>
        </w:tc>
      </w:tr>
      <w:tr w:rsidR="00F26F01" w:rsidRPr="00C33834" w14:paraId="53C5BB88" w14:textId="77777777" w:rsidTr="00DC292A">
        <w:trPr>
          <w:trHeight w:val="300"/>
        </w:trPr>
        <w:tc>
          <w:tcPr>
            <w:tcW w:w="0" w:type="auto"/>
            <w:vAlign w:val="center"/>
            <w:hideMark/>
          </w:tcPr>
          <w:p w14:paraId="3B4A052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Нижнеднепровский мост.</w:t>
            </w:r>
          </w:p>
        </w:tc>
        <w:tc>
          <w:tcPr>
            <w:tcW w:w="0" w:type="auto"/>
            <w:vAlign w:val="center"/>
            <w:hideMark/>
          </w:tcPr>
          <w:p w14:paraId="21B5BAA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Горьковский мост через Волгу и Горьковский железнодорожный узел.</w:t>
            </w:r>
          </w:p>
        </w:tc>
      </w:tr>
      <w:tr w:rsidR="00F26F01" w:rsidRPr="00C33834" w14:paraId="05B3F8FD" w14:textId="77777777" w:rsidTr="00DC292A">
        <w:trPr>
          <w:trHeight w:val="300"/>
        </w:trPr>
        <w:tc>
          <w:tcPr>
            <w:tcW w:w="0" w:type="auto"/>
            <w:vAlign w:val="center"/>
            <w:hideMark/>
          </w:tcPr>
          <w:p w14:paraId="63B832B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Кузнецк—Мундыбаш.</w:t>
            </w:r>
          </w:p>
        </w:tc>
        <w:tc>
          <w:tcPr>
            <w:tcW w:w="0" w:type="auto"/>
            <w:vAlign w:val="center"/>
            <w:hideMark/>
          </w:tcPr>
          <w:p w14:paraId="2C7E55F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18D6DDC2" w14:textId="77777777" w:rsidTr="00DC292A">
        <w:trPr>
          <w:trHeight w:val="300"/>
        </w:trPr>
        <w:tc>
          <w:tcPr>
            <w:tcW w:w="0" w:type="auto"/>
            <w:vAlign w:val="center"/>
            <w:hideMark/>
          </w:tcPr>
          <w:p w14:paraId="6463ADB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ВТОРЫЕ ПУТИ.</w:t>
            </w:r>
          </w:p>
        </w:tc>
        <w:tc>
          <w:tcPr>
            <w:tcW w:w="0" w:type="auto"/>
            <w:vAlign w:val="center"/>
            <w:hideMark/>
          </w:tcPr>
          <w:p w14:paraId="5F0D35D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1A6AED34" w14:textId="77777777" w:rsidTr="00DC292A">
        <w:trPr>
          <w:trHeight w:val="300"/>
        </w:trPr>
        <w:tc>
          <w:tcPr>
            <w:tcW w:w="0" w:type="auto"/>
            <w:vAlign w:val="center"/>
            <w:hideMark/>
          </w:tcPr>
          <w:p w14:paraId="060629D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Челябинск—Омск.</w:t>
            </w:r>
          </w:p>
        </w:tc>
        <w:tc>
          <w:tcPr>
            <w:tcW w:w="0" w:type="auto"/>
            <w:vAlign w:val="center"/>
            <w:hideMark/>
          </w:tcPr>
          <w:p w14:paraId="358069E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Валуйки—Балашев—Пенза.</w:t>
            </w:r>
          </w:p>
        </w:tc>
      </w:tr>
      <w:tr w:rsidR="00F26F01" w:rsidRPr="00C33834" w14:paraId="0932D050" w14:textId="77777777" w:rsidTr="00DC292A">
        <w:trPr>
          <w:trHeight w:val="300"/>
        </w:trPr>
        <w:tc>
          <w:tcPr>
            <w:tcW w:w="0" w:type="auto"/>
            <w:vAlign w:val="center"/>
            <w:hideMark/>
          </w:tcPr>
          <w:p w14:paraId="131A9F2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Еманжелинск—Магнитогорск.</w:t>
            </w:r>
          </w:p>
        </w:tc>
        <w:tc>
          <w:tcPr>
            <w:tcW w:w="0" w:type="auto"/>
            <w:vAlign w:val="center"/>
            <w:hideMark/>
          </w:tcPr>
          <w:p w14:paraId="7F58B55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2BD8B731" w14:textId="77777777" w:rsidTr="00DC292A">
        <w:trPr>
          <w:trHeight w:val="300"/>
        </w:trPr>
        <w:tc>
          <w:tcPr>
            <w:tcW w:w="0" w:type="auto"/>
            <w:vAlign w:val="center"/>
            <w:hideMark/>
          </w:tcPr>
          <w:p w14:paraId="7D6E359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ЭЛЕКТРИФИКАЦИЯ.</w:t>
            </w:r>
          </w:p>
        </w:tc>
        <w:tc>
          <w:tcPr>
            <w:tcW w:w="0" w:type="auto"/>
            <w:vAlign w:val="center"/>
            <w:hideMark/>
          </w:tcPr>
          <w:p w14:paraId="080B12B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114CE46D" w14:textId="77777777" w:rsidTr="00DC292A">
        <w:trPr>
          <w:trHeight w:val="300"/>
        </w:trPr>
        <w:tc>
          <w:tcPr>
            <w:tcW w:w="0" w:type="auto"/>
            <w:vAlign w:val="center"/>
            <w:hideMark/>
          </w:tcPr>
          <w:p w14:paraId="33F890B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Кизел—Чусовая.</w:t>
            </w:r>
          </w:p>
        </w:tc>
        <w:tc>
          <w:tcPr>
            <w:tcW w:w="0" w:type="auto"/>
            <w:vAlign w:val="center"/>
            <w:hideMark/>
          </w:tcPr>
          <w:p w14:paraId="61D3B17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17D4BCBC" w14:textId="77777777" w:rsidTr="00DC292A">
        <w:trPr>
          <w:trHeight w:val="300"/>
        </w:trPr>
        <w:tc>
          <w:tcPr>
            <w:tcW w:w="0" w:type="auto"/>
            <w:vAlign w:val="center"/>
            <w:hideMark/>
          </w:tcPr>
          <w:p w14:paraId="4DE3DF2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УЗЛЫ.</w:t>
            </w:r>
          </w:p>
        </w:tc>
        <w:tc>
          <w:tcPr>
            <w:tcW w:w="0" w:type="auto"/>
            <w:vAlign w:val="center"/>
            <w:hideMark/>
          </w:tcPr>
          <w:p w14:paraId="39F56FF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50C2E4F9" w14:textId="77777777" w:rsidTr="00DC292A">
        <w:trPr>
          <w:trHeight w:val="300"/>
        </w:trPr>
        <w:tc>
          <w:tcPr>
            <w:tcW w:w="0" w:type="auto"/>
            <w:vAlign w:val="center"/>
            <w:hideMark/>
          </w:tcPr>
          <w:p w14:paraId="57592AA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Ясиноватая.</w:t>
            </w:r>
          </w:p>
        </w:tc>
        <w:tc>
          <w:tcPr>
            <w:tcW w:w="0" w:type="auto"/>
            <w:vAlign w:val="center"/>
            <w:hideMark/>
          </w:tcPr>
          <w:p w14:paraId="12C5FE8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7FA4F7B6" w14:textId="77777777" w:rsidTr="00DC292A">
        <w:trPr>
          <w:trHeight w:val="300"/>
        </w:trPr>
        <w:tc>
          <w:tcPr>
            <w:tcW w:w="0" w:type="auto"/>
            <w:vAlign w:val="center"/>
            <w:hideMark/>
          </w:tcPr>
          <w:p w14:paraId="5FD7136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ЗАВОДЫ.</w:t>
            </w:r>
          </w:p>
        </w:tc>
        <w:tc>
          <w:tcPr>
            <w:tcW w:w="0" w:type="auto"/>
            <w:vAlign w:val="center"/>
            <w:hideMark/>
          </w:tcPr>
          <w:p w14:paraId="591116C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5E78A4CC" w14:textId="77777777" w:rsidTr="00DC292A">
        <w:trPr>
          <w:trHeight w:val="300"/>
        </w:trPr>
        <w:tc>
          <w:tcPr>
            <w:tcW w:w="0" w:type="auto"/>
            <w:vAlign w:val="center"/>
            <w:hideMark/>
          </w:tcPr>
          <w:p w14:paraId="76BFEC4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Верхнеудинский завод.</w:t>
            </w:r>
          </w:p>
        </w:tc>
        <w:tc>
          <w:tcPr>
            <w:tcW w:w="0" w:type="auto"/>
            <w:vAlign w:val="center"/>
            <w:hideMark/>
          </w:tcPr>
          <w:p w14:paraId="3BD7BCF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„Можерез".</w:t>
            </w:r>
          </w:p>
        </w:tc>
      </w:tr>
      <w:tr w:rsidR="00F26F01" w:rsidRPr="00C33834" w14:paraId="05300441" w14:textId="77777777" w:rsidTr="00DC292A">
        <w:trPr>
          <w:trHeight w:val="300"/>
        </w:trPr>
        <w:tc>
          <w:tcPr>
            <w:tcW w:w="0" w:type="auto"/>
            <w:gridSpan w:val="2"/>
            <w:vAlign w:val="center"/>
            <w:hideMark/>
          </w:tcPr>
          <w:p w14:paraId="5556FCE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VII. НАРКОМВОД</w:t>
            </w:r>
          </w:p>
        </w:tc>
      </w:tr>
      <w:tr w:rsidR="00F26F01" w:rsidRPr="00C33834" w14:paraId="7D738AF4" w14:textId="77777777" w:rsidTr="00DC292A">
        <w:trPr>
          <w:trHeight w:val="300"/>
        </w:trPr>
        <w:tc>
          <w:tcPr>
            <w:tcW w:w="0" w:type="auto"/>
            <w:vAlign w:val="center"/>
            <w:hideMark/>
          </w:tcPr>
          <w:p w14:paraId="1E1FF42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Сорокский порт.</w:t>
            </w:r>
          </w:p>
        </w:tc>
        <w:tc>
          <w:tcPr>
            <w:tcW w:w="0" w:type="auto"/>
            <w:vAlign w:val="center"/>
            <w:hideMark/>
          </w:tcPr>
          <w:p w14:paraId="4AE63B0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Мастерские, Владивосток.</w:t>
            </w:r>
          </w:p>
        </w:tc>
      </w:tr>
      <w:tr w:rsidR="00F26F01" w:rsidRPr="00C33834" w14:paraId="120F575E" w14:textId="77777777" w:rsidTr="00DC292A">
        <w:trPr>
          <w:trHeight w:val="300"/>
        </w:trPr>
        <w:tc>
          <w:tcPr>
            <w:tcW w:w="0" w:type="auto"/>
            <w:vAlign w:val="center"/>
            <w:hideMark/>
          </w:tcPr>
          <w:p w14:paraId="54A6A5C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Повенецкий порт.</w:t>
            </w:r>
          </w:p>
        </w:tc>
        <w:tc>
          <w:tcPr>
            <w:tcW w:w="0" w:type="auto"/>
            <w:vAlign w:val="center"/>
            <w:hideMark/>
          </w:tcPr>
          <w:p w14:paraId="1833B0B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Причалы, Сахалин.</w:t>
            </w:r>
          </w:p>
        </w:tc>
      </w:tr>
      <w:tr w:rsidR="00F26F01" w:rsidRPr="00C33834" w14:paraId="5EF584C5" w14:textId="77777777" w:rsidTr="00DC292A">
        <w:trPr>
          <w:trHeight w:val="300"/>
        </w:trPr>
        <w:tc>
          <w:tcPr>
            <w:tcW w:w="0" w:type="auto"/>
            <w:vAlign w:val="center"/>
            <w:hideMark/>
          </w:tcPr>
          <w:p w14:paraId="7197606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Печерский порт, причалы и канал.</w:t>
            </w:r>
          </w:p>
        </w:tc>
        <w:tc>
          <w:tcPr>
            <w:tcW w:w="0" w:type="auto"/>
            <w:vAlign w:val="center"/>
            <w:hideMark/>
          </w:tcPr>
          <w:p w14:paraId="575B270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Причалы, Владивосток.</w:t>
            </w:r>
          </w:p>
        </w:tc>
      </w:tr>
      <w:tr w:rsidR="00F26F01" w:rsidRPr="00C33834" w14:paraId="69639AC6" w14:textId="77777777" w:rsidTr="00DC292A">
        <w:trPr>
          <w:trHeight w:val="300"/>
        </w:trPr>
        <w:tc>
          <w:tcPr>
            <w:tcW w:w="0" w:type="auto"/>
            <w:vAlign w:val="center"/>
            <w:hideMark/>
          </w:tcPr>
          <w:p w14:paraId="0BF3671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Мурманский порт, пирс № 2.</w:t>
            </w:r>
          </w:p>
        </w:tc>
        <w:tc>
          <w:tcPr>
            <w:tcW w:w="0" w:type="auto"/>
            <w:vAlign w:val="center"/>
            <w:hideMark/>
          </w:tcPr>
          <w:p w14:paraId="13C78C7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Сталелитейная на заводе „Теплоход".</w:t>
            </w:r>
          </w:p>
        </w:tc>
      </w:tr>
      <w:tr w:rsidR="00F26F01" w:rsidRPr="00C33834" w14:paraId="189F48AF" w14:textId="77777777" w:rsidTr="00DC292A">
        <w:trPr>
          <w:trHeight w:val="300"/>
        </w:trPr>
        <w:tc>
          <w:tcPr>
            <w:tcW w:w="0" w:type="auto"/>
            <w:vAlign w:val="center"/>
            <w:hideMark/>
          </w:tcPr>
          <w:p w14:paraId="2D3581F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Астраханский слип и завод при нем.</w:t>
            </w:r>
          </w:p>
        </w:tc>
        <w:tc>
          <w:tcPr>
            <w:tcW w:w="0" w:type="auto"/>
            <w:vAlign w:val="center"/>
            <w:hideMark/>
          </w:tcPr>
          <w:p w14:paraId="78C780A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64C0A395" w14:textId="77777777" w:rsidTr="00DC292A">
        <w:trPr>
          <w:trHeight w:val="300"/>
        </w:trPr>
        <w:tc>
          <w:tcPr>
            <w:tcW w:w="0" w:type="auto"/>
            <w:gridSpan w:val="2"/>
            <w:vAlign w:val="center"/>
            <w:hideMark/>
          </w:tcPr>
          <w:p w14:paraId="31B4161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VIII. ЦУДОРТРАНС</w:t>
            </w:r>
          </w:p>
        </w:tc>
      </w:tr>
      <w:tr w:rsidR="00F26F01" w:rsidRPr="00C33834" w14:paraId="65BD807A" w14:textId="77777777" w:rsidTr="00DC292A">
        <w:trPr>
          <w:trHeight w:val="300"/>
        </w:trPr>
        <w:tc>
          <w:tcPr>
            <w:tcW w:w="0" w:type="auto"/>
            <w:vAlign w:val="center"/>
            <w:hideMark/>
          </w:tcPr>
          <w:p w14:paraId="4D50778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ДОРОЖНОЕ СТРОИТЕЛЬСТВО.</w:t>
            </w:r>
          </w:p>
        </w:tc>
        <w:tc>
          <w:tcPr>
            <w:tcW w:w="0" w:type="auto"/>
            <w:vAlign w:val="center"/>
            <w:hideMark/>
          </w:tcPr>
          <w:p w14:paraId="23072FB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36905F66" w14:textId="77777777" w:rsidTr="00DC292A">
        <w:trPr>
          <w:trHeight w:val="300"/>
        </w:trPr>
        <w:tc>
          <w:tcPr>
            <w:tcW w:w="0" w:type="auto"/>
            <w:vAlign w:val="center"/>
            <w:hideMark/>
          </w:tcPr>
          <w:p w14:paraId="31F6A6B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Москва—Горький.</w:t>
            </w:r>
          </w:p>
        </w:tc>
        <w:tc>
          <w:tcPr>
            <w:tcW w:w="0" w:type="auto"/>
            <w:vAlign w:val="center"/>
            <w:hideMark/>
          </w:tcPr>
          <w:p w14:paraId="5E6728A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Ангаро-Ленский тракт.</w:t>
            </w:r>
          </w:p>
        </w:tc>
      </w:tr>
      <w:tr w:rsidR="00F26F01" w:rsidRPr="00C33834" w14:paraId="1F022242" w14:textId="77777777" w:rsidTr="00DC292A">
        <w:trPr>
          <w:trHeight w:val="300"/>
        </w:trPr>
        <w:tc>
          <w:tcPr>
            <w:tcW w:w="0" w:type="auto"/>
            <w:vAlign w:val="center"/>
            <w:hideMark/>
          </w:tcPr>
          <w:p w14:paraId="5BA88AC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Западное шоссе.</w:t>
            </w:r>
          </w:p>
        </w:tc>
        <w:tc>
          <w:tcPr>
            <w:tcW w:w="0" w:type="auto"/>
            <w:vAlign w:val="center"/>
            <w:hideMark/>
          </w:tcPr>
          <w:p w14:paraId="6BE082A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Аягуз—Вахты.</w:t>
            </w:r>
          </w:p>
        </w:tc>
      </w:tr>
      <w:tr w:rsidR="00F26F01" w:rsidRPr="00C33834" w14:paraId="06A383C5" w14:textId="77777777" w:rsidTr="00DC292A">
        <w:trPr>
          <w:trHeight w:val="300"/>
        </w:trPr>
        <w:tc>
          <w:tcPr>
            <w:tcW w:w="0" w:type="auto"/>
            <w:vAlign w:val="center"/>
            <w:hideMark/>
          </w:tcPr>
          <w:p w14:paraId="2FE8F7B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Чуйский тракт.</w:t>
            </w:r>
          </w:p>
        </w:tc>
        <w:tc>
          <w:tcPr>
            <w:tcW w:w="0" w:type="auto"/>
            <w:vAlign w:val="center"/>
            <w:hideMark/>
          </w:tcPr>
          <w:p w14:paraId="177535F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Гунгинский тракт.</w:t>
            </w:r>
          </w:p>
        </w:tc>
      </w:tr>
      <w:tr w:rsidR="00F26F01" w:rsidRPr="00C33834" w14:paraId="1BBAA18A" w14:textId="77777777" w:rsidTr="00DC292A">
        <w:trPr>
          <w:trHeight w:val="300"/>
        </w:trPr>
        <w:tc>
          <w:tcPr>
            <w:tcW w:w="0" w:type="auto"/>
            <w:vAlign w:val="center"/>
            <w:hideMark/>
          </w:tcPr>
          <w:p w14:paraId="4A02E3E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Памирский тракт.</w:t>
            </w:r>
          </w:p>
        </w:tc>
        <w:tc>
          <w:tcPr>
            <w:tcW w:w="0" w:type="auto"/>
            <w:vAlign w:val="center"/>
            <w:hideMark/>
          </w:tcPr>
          <w:p w14:paraId="6BEDC56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Фрунзе—Рыбачье.</w:t>
            </w:r>
          </w:p>
        </w:tc>
      </w:tr>
      <w:tr w:rsidR="00F26F01" w:rsidRPr="00C33834" w14:paraId="73A0B92C" w14:textId="77777777" w:rsidTr="00DC292A">
        <w:trPr>
          <w:trHeight w:val="300"/>
        </w:trPr>
        <w:tc>
          <w:tcPr>
            <w:tcW w:w="0" w:type="auto"/>
            <w:vAlign w:val="center"/>
            <w:hideMark/>
          </w:tcPr>
          <w:p w14:paraId="61D3E9B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АВТОРЕМСНАБ.</w:t>
            </w:r>
          </w:p>
        </w:tc>
        <w:tc>
          <w:tcPr>
            <w:tcW w:w="0" w:type="auto"/>
            <w:vAlign w:val="center"/>
            <w:hideMark/>
          </w:tcPr>
          <w:p w14:paraId="19B9453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4B2249A8" w14:textId="77777777" w:rsidTr="00DC292A">
        <w:trPr>
          <w:trHeight w:val="300"/>
        </w:trPr>
        <w:tc>
          <w:tcPr>
            <w:tcW w:w="0" w:type="auto"/>
            <w:vAlign w:val="center"/>
            <w:hideMark/>
          </w:tcPr>
          <w:p w14:paraId="77ECD2A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Москва, завод № 2.</w:t>
            </w:r>
          </w:p>
        </w:tc>
        <w:tc>
          <w:tcPr>
            <w:tcW w:w="0" w:type="auto"/>
            <w:vAlign w:val="center"/>
            <w:hideMark/>
          </w:tcPr>
          <w:p w14:paraId="535A52A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Ленинград, завод № 3.</w:t>
            </w:r>
          </w:p>
        </w:tc>
      </w:tr>
      <w:tr w:rsidR="00F26F01" w:rsidRPr="00C33834" w14:paraId="5F59F6B6" w14:textId="77777777" w:rsidTr="00DC292A">
        <w:trPr>
          <w:trHeight w:val="300"/>
        </w:trPr>
        <w:tc>
          <w:tcPr>
            <w:tcW w:w="0" w:type="auto"/>
            <w:gridSpan w:val="2"/>
            <w:vAlign w:val="center"/>
            <w:hideMark/>
          </w:tcPr>
          <w:p w14:paraId="7D707C3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IX. НАРКОМСВЯЗЬ</w:t>
            </w:r>
          </w:p>
        </w:tc>
      </w:tr>
      <w:tr w:rsidR="00F26F01" w:rsidRPr="00C33834" w14:paraId="42289473" w14:textId="77777777" w:rsidTr="00DC292A">
        <w:trPr>
          <w:trHeight w:val="300"/>
        </w:trPr>
        <w:tc>
          <w:tcPr>
            <w:tcW w:w="0" w:type="auto"/>
            <w:gridSpan w:val="2"/>
            <w:vAlign w:val="center"/>
            <w:hideMark/>
          </w:tcPr>
          <w:p w14:paraId="195A8EE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Международные телеграфно-телефонные сообщения.</w:t>
            </w:r>
          </w:p>
        </w:tc>
      </w:tr>
      <w:tr w:rsidR="00F26F01" w:rsidRPr="00C33834" w14:paraId="4700D81C" w14:textId="77777777" w:rsidTr="00DC292A">
        <w:trPr>
          <w:trHeight w:val="300"/>
        </w:trPr>
        <w:tc>
          <w:tcPr>
            <w:tcW w:w="0" w:type="auto"/>
            <w:vAlign w:val="center"/>
            <w:hideMark/>
          </w:tcPr>
          <w:p w14:paraId="29D3CE8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БИМЕТАЛЛИЧЕСКИЕ ЦЕПИ.</w:t>
            </w:r>
          </w:p>
        </w:tc>
        <w:tc>
          <w:tcPr>
            <w:tcW w:w="0" w:type="auto"/>
            <w:vAlign w:val="center"/>
            <w:hideMark/>
          </w:tcPr>
          <w:p w14:paraId="3DA6E73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5691C620" w14:textId="77777777" w:rsidTr="00DC292A">
        <w:trPr>
          <w:trHeight w:val="300"/>
        </w:trPr>
        <w:tc>
          <w:tcPr>
            <w:tcW w:w="0" w:type="auto"/>
            <w:vAlign w:val="center"/>
            <w:hideMark/>
          </w:tcPr>
          <w:p w14:paraId="066F8DA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 Тагил —Кушва—Надеждинск.</w:t>
            </w:r>
          </w:p>
        </w:tc>
        <w:tc>
          <w:tcPr>
            <w:tcW w:w="0" w:type="auto"/>
            <w:vAlign w:val="center"/>
            <w:hideMark/>
          </w:tcPr>
          <w:p w14:paraId="009B081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Челябинск—Миньяр.</w:t>
            </w:r>
          </w:p>
        </w:tc>
      </w:tr>
      <w:tr w:rsidR="00F26F01" w:rsidRPr="00C33834" w14:paraId="31D4E2ED" w14:textId="77777777" w:rsidTr="00DC292A">
        <w:trPr>
          <w:trHeight w:val="300"/>
        </w:trPr>
        <w:tc>
          <w:tcPr>
            <w:tcW w:w="0" w:type="auto"/>
            <w:vAlign w:val="center"/>
            <w:hideMark/>
          </w:tcPr>
          <w:p w14:paraId="316A91D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Каспий—Орск.</w:t>
            </w:r>
          </w:p>
        </w:tc>
        <w:tc>
          <w:tcPr>
            <w:tcW w:w="0" w:type="auto"/>
            <w:vAlign w:val="center"/>
            <w:hideMark/>
          </w:tcPr>
          <w:p w14:paraId="6068DC3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108AD5B1" w14:textId="77777777" w:rsidTr="00DC292A">
        <w:trPr>
          <w:trHeight w:val="300"/>
        </w:trPr>
        <w:tc>
          <w:tcPr>
            <w:tcW w:w="0" w:type="auto"/>
            <w:vAlign w:val="center"/>
            <w:hideMark/>
          </w:tcPr>
          <w:p w14:paraId="4F1279B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ЖЕЛЕЗНЫЕ ЦЕПИ.</w:t>
            </w:r>
          </w:p>
        </w:tc>
        <w:tc>
          <w:tcPr>
            <w:tcW w:w="0" w:type="auto"/>
            <w:vAlign w:val="center"/>
            <w:hideMark/>
          </w:tcPr>
          <w:p w14:paraId="12D500C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603F83F2" w14:textId="77777777" w:rsidTr="00DC292A">
        <w:trPr>
          <w:trHeight w:val="300"/>
        </w:trPr>
        <w:tc>
          <w:tcPr>
            <w:tcW w:w="0" w:type="auto"/>
            <w:vAlign w:val="center"/>
            <w:hideMark/>
          </w:tcPr>
          <w:p w14:paraId="3934982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Москва—Хабаровск.</w:t>
            </w:r>
          </w:p>
        </w:tc>
        <w:tc>
          <w:tcPr>
            <w:tcW w:w="0" w:type="auto"/>
            <w:vAlign w:val="center"/>
            <w:hideMark/>
          </w:tcPr>
          <w:p w14:paraId="31BDFA7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Новосибирск—Иркутск.</w:t>
            </w:r>
          </w:p>
        </w:tc>
      </w:tr>
      <w:tr w:rsidR="00F26F01" w:rsidRPr="00C33834" w14:paraId="2944905A" w14:textId="77777777" w:rsidTr="00DC292A">
        <w:trPr>
          <w:trHeight w:val="300"/>
        </w:trPr>
        <w:tc>
          <w:tcPr>
            <w:tcW w:w="0" w:type="auto"/>
            <w:vAlign w:val="center"/>
            <w:hideMark/>
          </w:tcPr>
          <w:p w14:paraId="7FB5C26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Москва—Валуйки—</w:t>
            </w:r>
          </w:p>
          <w:p w14:paraId="7AEF4A3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Горловка—Сталино</w:t>
            </w:r>
          </w:p>
        </w:tc>
        <w:tc>
          <w:tcPr>
            <w:tcW w:w="0" w:type="auto"/>
            <w:vAlign w:val="center"/>
            <w:hideMark/>
          </w:tcPr>
          <w:p w14:paraId="49003D8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Иркутск—Чита.</w:t>
            </w:r>
          </w:p>
        </w:tc>
      </w:tr>
      <w:tr w:rsidR="00F26F01" w:rsidRPr="00C33834" w14:paraId="7FC06B67" w14:textId="77777777" w:rsidTr="00DC292A">
        <w:trPr>
          <w:trHeight w:val="300"/>
        </w:trPr>
        <w:tc>
          <w:tcPr>
            <w:tcW w:w="0" w:type="auto"/>
            <w:vAlign w:val="center"/>
            <w:hideMark/>
          </w:tcPr>
          <w:p w14:paraId="4662844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Москва—Самара—Челябинск.</w:t>
            </w:r>
          </w:p>
        </w:tc>
        <w:tc>
          <w:tcPr>
            <w:tcW w:w="0" w:type="auto"/>
            <w:vAlign w:val="center"/>
            <w:hideMark/>
          </w:tcPr>
          <w:p w14:paraId="4C7A028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34902D77" w14:textId="77777777" w:rsidTr="00DC292A">
        <w:trPr>
          <w:trHeight w:val="300"/>
        </w:trPr>
        <w:tc>
          <w:tcPr>
            <w:tcW w:w="0" w:type="auto"/>
            <w:vAlign w:val="center"/>
            <w:hideMark/>
          </w:tcPr>
          <w:p w14:paraId="13E5579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ГОРОДСКИЕ ТЕЛЕФОННЫЕ СЕТИ.</w:t>
            </w:r>
          </w:p>
        </w:tc>
        <w:tc>
          <w:tcPr>
            <w:tcW w:w="0" w:type="auto"/>
            <w:vAlign w:val="center"/>
            <w:hideMark/>
          </w:tcPr>
          <w:p w14:paraId="605EEBF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7404B658" w14:textId="77777777" w:rsidTr="00DC292A">
        <w:trPr>
          <w:trHeight w:val="300"/>
        </w:trPr>
        <w:tc>
          <w:tcPr>
            <w:tcW w:w="0" w:type="auto"/>
            <w:vAlign w:val="center"/>
            <w:hideMark/>
          </w:tcPr>
          <w:p w14:paraId="1A2CFEE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Харьков 1-я АТС.</w:t>
            </w:r>
          </w:p>
        </w:tc>
        <w:tc>
          <w:tcPr>
            <w:tcW w:w="0" w:type="auto"/>
            <w:vAlign w:val="center"/>
            <w:hideMark/>
          </w:tcPr>
          <w:p w14:paraId="4B3CBBF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Березняки ЦБ.</w:t>
            </w:r>
          </w:p>
        </w:tc>
      </w:tr>
      <w:tr w:rsidR="00F26F01" w:rsidRPr="00C33834" w14:paraId="387F82E6" w14:textId="77777777" w:rsidTr="00DC292A">
        <w:trPr>
          <w:trHeight w:val="300"/>
        </w:trPr>
        <w:tc>
          <w:tcPr>
            <w:tcW w:w="0" w:type="auto"/>
            <w:vAlign w:val="center"/>
            <w:hideMark/>
          </w:tcPr>
          <w:p w14:paraId="73D43B3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Харьков 2-я АТС.</w:t>
            </w:r>
          </w:p>
        </w:tc>
        <w:tc>
          <w:tcPr>
            <w:tcW w:w="0" w:type="auto"/>
            <w:vAlign w:val="center"/>
            <w:hideMark/>
          </w:tcPr>
          <w:p w14:paraId="2FF0808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Кизел ЦБ.</w:t>
            </w:r>
          </w:p>
        </w:tc>
      </w:tr>
      <w:tr w:rsidR="00F26F01" w:rsidRPr="00C33834" w14:paraId="53B68359" w14:textId="77777777" w:rsidTr="00DC292A">
        <w:trPr>
          <w:trHeight w:val="300"/>
        </w:trPr>
        <w:tc>
          <w:tcPr>
            <w:tcW w:w="0" w:type="auto"/>
            <w:vAlign w:val="center"/>
            <w:hideMark/>
          </w:tcPr>
          <w:p w14:paraId="0ECD92D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Днепрокомбинат АТС.</w:t>
            </w:r>
          </w:p>
        </w:tc>
        <w:tc>
          <w:tcPr>
            <w:tcW w:w="0" w:type="auto"/>
            <w:vAlign w:val="center"/>
            <w:hideMark/>
          </w:tcPr>
          <w:p w14:paraId="7F86068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Лысьва ЦБ.</w:t>
            </w:r>
          </w:p>
        </w:tc>
      </w:tr>
      <w:tr w:rsidR="00F26F01" w:rsidRPr="00C33834" w14:paraId="67360D3E" w14:textId="77777777" w:rsidTr="00DC292A">
        <w:trPr>
          <w:trHeight w:val="300"/>
        </w:trPr>
        <w:tc>
          <w:tcPr>
            <w:tcW w:w="0" w:type="auto"/>
            <w:vAlign w:val="center"/>
            <w:hideMark/>
          </w:tcPr>
          <w:p w14:paraId="1BD9E0A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Свердловск АТС.</w:t>
            </w:r>
          </w:p>
        </w:tc>
        <w:tc>
          <w:tcPr>
            <w:tcW w:w="0" w:type="auto"/>
            <w:vAlign w:val="center"/>
            <w:hideMark/>
          </w:tcPr>
          <w:p w14:paraId="108C08B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Горловка ЦБ.</w:t>
            </w:r>
          </w:p>
        </w:tc>
      </w:tr>
      <w:tr w:rsidR="00F26F01" w:rsidRPr="00C33834" w14:paraId="47F684EE" w14:textId="77777777" w:rsidTr="00DC292A">
        <w:trPr>
          <w:trHeight w:val="300"/>
        </w:trPr>
        <w:tc>
          <w:tcPr>
            <w:tcW w:w="0" w:type="auto"/>
            <w:vAlign w:val="center"/>
            <w:hideMark/>
          </w:tcPr>
          <w:p w14:paraId="1FA7046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РАДИОСТРОИТЕЛЬСТВО.</w:t>
            </w:r>
          </w:p>
        </w:tc>
        <w:tc>
          <w:tcPr>
            <w:tcW w:w="0" w:type="auto"/>
            <w:vAlign w:val="center"/>
            <w:hideMark/>
          </w:tcPr>
          <w:p w14:paraId="6560A71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1FBB5A5C" w14:textId="77777777" w:rsidTr="00DC292A">
        <w:trPr>
          <w:trHeight w:val="300"/>
        </w:trPr>
        <w:tc>
          <w:tcPr>
            <w:tcW w:w="0" w:type="auto"/>
            <w:vAlign w:val="center"/>
            <w:hideMark/>
          </w:tcPr>
          <w:p w14:paraId="5756700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Минск, вещательная.</w:t>
            </w:r>
          </w:p>
        </w:tc>
        <w:tc>
          <w:tcPr>
            <w:tcW w:w="0" w:type="auto"/>
            <w:vAlign w:val="center"/>
            <w:hideMark/>
          </w:tcPr>
          <w:p w14:paraId="2A15C1D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Хабаровск, радио-телегр. центр.</w:t>
            </w:r>
          </w:p>
        </w:tc>
      </w:tr>
      <w:tr w:rsidR="00F26F01" w:rsidRPr="00C33834" w14:paraId="6E2720A7" w14:textId="77777777" w:rsidTr="00DC292A">
        <w:trPr>
          <w:trHeight w:val="300"/>
        </w:trPr>
        <w:tc>
          <w:tcPr>
            <w:tcW w:w="0" w:type="auto"/>
            <w:vAlign w:val="center"/>
            <w:hideMark/>
          </w:tcPr>
          <w:p w14:paraId="718646C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Свердловск, тел.-телегр., 15 квт.</w:t>
            </w:r>
          </w:p>
        </w:tc>
        <w:tc>
          <w:tcPr>
            <w:tcW w:w="0" w:type="auto"/>
            <w:vAlign w:val="center"/>
            <w:hideMark/>
          </w:tcPr>
          <w:p w14:paraId="4756F5F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Оха тел. телегр. 1 квт.</w:t>
            </w:r>
          </w:p>
        </w:tc>
      </w:tr>
      <w:tr w:rsidR="00F26F01" w:rsidRPr="00C33834" w14:paraId="0213F75F" w14:textId="77777777" w:rsidTr="00DC292A">
        <w:trPr>
          <w:trHeight w:val="300"/>
        </w:trPr>
        <w:tc>
          <w:tcPr>
            <w:tcW w:w="0" w:type="auto"/>
            <w:vAlign w:val="center"/>
            <w:hideMark/>
          </w:tcPr>
          <w:p w14:paraId="6E1CA6A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Обдорск, тел.-телегр., 1 квт,</w:t>
            </w:r>
          </w:p>
        </w:tc>
        <w:tc>
          <w:tcPr>
            <w:tcW w:w="0" w:type="auto"/>
            <w:vAlign w:val="center"/>
            <w:hideMark/>
          </w:tcPr>
          <w:p w14:paraId="5C31EB1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Владивосток радио-телегр. центр.</w:t>
            </w:r>
          </w:p>
        </w:tc>
      </w:tr>
      <w:tr w:rsidR="00F26F01" w:rsidRPr="00C33834" w14:paraId="0D19D3F2" w14:textId="77777777" w:rsidTr="00DC292A">
        <w:trPr>
          <w:trHeight w:val="300"/>
        </w:trPr>
        <w:tc>
          <w:tcPr>
            <w:tcW w:w="0" w:type="auto"/>
            <w:vAlign w:val="center"/>
            <w:hideMark/>
          </w:tcPr>
          <w:p w14:paraId="5305A53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Самарово. тел.-телегр., 1 квт.</w:t>
            </w:r>
          </w:p>
        </w:tc>
        <w:tc>
          <w:tcPr>
            <w:tcW w:w="0" w:type="auto"/>
            <w:vAlign w:val="center"/>
            <w:hideMark/>
          </w:tcPr>
          <w:p w14:paraId="1AA0278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Александровск. тел.-телегр. 1 квт.</w:t>
            </w:r>
          </w:p>
        </w:tc>
      </w:tr>
      <w:tr w:rsidR="00F26F01" w:rsidRPr="00C33834" w14:paraId="05E51BAF" w14:textId="77777777" w:rsidTr="00DC292A">
        <w:trPr>
          <w:trHeight w:val="300"/>
        </w:trPr>
        <w:tc>
          <w:tcPr>
            <w:tcW w:w="0" w:type="auto"/>
            <w:vAlign w:val="center"/>
            <w:hideMark/>
          </w:tcPr>
          <w:p w14:paraId="32E4933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Новосибирск, тел,-телегр., 15 квт.</w:t>
            </w:r>
          </w:p>
        </w:tc>
        <w:tc>
          <w:tcPr>
            <w:tcW w:w="0" w:type="auto"/>
            <w:vAlign w:val="center"/>
            <w:hideMark/>
          </w:tcPr>
          <w:p w14:paraId="05F0E74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Совгавань тел.-телегр. 1 квт.</w:t>
            </w:r>
          </w:p>
        </w:tc>
      </w:tr>
      <w:tr w:rsidR="00F26F01" w:rsidRPr="00C33834" w14:paraId="47C71686" w14:textId="77777777" w:rsidTr="00DC292A">
        <w:trPr>
          <w:trHeight w:val="300"/>
        </w:trPr>
        <w:tc>
          <w:tcPr>
            <w:tcW w:w="0" w:type="auto"/>
            <w:vAlign w:val="center"/>
            <w:hideMark/>
          </w:tcPr>
          <w:p w14:paraId="4163C55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Чита, тел.-телегр., 2 квт.</w:t>
            </w:r>
          </w:p>
        </w:tc>
        <w:tc>
          <w:tcPr>
            <w:tcW w:w="0" w:type="auto"/>
            <w:vAlign w:val="center"/>
            <w:hideMark/>
          </w:tcPr>
          <w:p w14:paraId="2B96805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Алма-Ата тел.-телегр. 15 квт.</w:t>
            </w:r>
          </w:p>
        </w:tc>
      </w:tr>
      <w:tr w:rsidR="00F26F01" w:rsidRPr="00C33834" w14:paraId="54290170" w14:textId="77777777" w:rsidTr="00DC292A">
        <w:trPr>
          <w:trHeight w:val="300"/>
        </w:trPr>
        <w:tc>
          <w:tcPr>
            <w:tcW w:w="0" w:type="auto"/>
            <w:vAlign w:val="center"/>
            <w:hideMark/>
          </w:tcPr>
          <w:p w14:paraId="3BB7E8F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Игарка, тел.-телегр., 1 квт,</w:t>
            </w:r>
          </w:p>
        </w:tc>
        <w:tc>
          <w:tcPr>
            <w:tcW w:w="0" w:type="auto"/>
            <w:vAlign w:val="center"/>
            <w:hideMark/>
          </w:tcPr>
          <w:p w14:paraId="1972621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Николаевск н/Амуре тел.-телегр. 1 квт.</w:t>
            </w:r>
          </w:p>
        </w:tc>
      </w:tr>
      <w:tr w:rsidR="00F26F01" w:rsidRPr="00C33834" w14:paraId="74F34F87" w14:textId="77777777" w:rsidTr="00DC292A">
        <w:trPr>
          <w:trHeight w:val="300"/>
        </w:trPr>
        <w:tc>
          <w:tcPr>
            <w:tcW w:w="0" w:type="auto"/>
            <w:vAlign w:val="center"/>
            <w:hideMark/>
          </w:tcPr>
          <w:p w14:paraId="442908A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Незаметный, тел.-телегр., 1 квт.</w:t>
            </w:r>
          </w:p>
        </w:tc>
        <w:tc>
          <w:tcPr>
            <w:tcW w:w="0" w:type="auto"/>
            <w:vAlign w:val="center"/>
            <w:hideMark/>
          </w:tcPr>
          <w:p w14:paraId="753E5FE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Благовещенск, тел. 1 квт.</w:t>
            </w:r>
          </w:p>
        </w:tc>
      </w:tr>
      <w:tr w:rsidR="00F26F01" w:rsidRPr="00C33834" w14:paraId="76BED554" w14:textId="77777777" w:rsidTr="00DC292A">
        <w:trPr>
          <w:trHeight w:val="300"/>
        </w:trPr>
        <w:tc>
          <w:tcPr>
            <w:tcW w:w="0" w:type="auto"/>
            <w:vAlign w:val="center"/>
            <w:hideMark/>
          </w:tcPr>
          <w:p w14:paraId="353EEA0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ГРАЖДАНСКОЕ СТРОИТЕЛЬСТВО.</w:t>
            </w:r>
          </w:p>
        </w:tc>
        <w:tc>
          <w:tcPr>
            <w:tcW w:w="0" w:type="auto"/>
            <w:vAlign w:val="center"/>
            <w:hideMark/>
          </w:tcPr>
          <w:p w14:paraId="49A5BFE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7DABDDCE" w14:textId="77777777" w:rsidTr="00DC292A">
        <w:trPr>
          <w:trHeight w:val="300"/>
        </w:trPr>
        <w:tc>
          <w:tcPr>
            <w:tcW w:w="0" w:type="auto"/>
            <w:vAlign w:val="center"/>
            <w:hideMark/>
          </w:tcPr>
          <w:p w14:paraId="120AF95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Свердловск, Дом связи.</w:t>
            </w:r>
          </w:p>
        </w:tc>
        <w:tc>
          <w:tcPr>
            <w:tcW w:w="0" w:type="auto"/>
            <w:vAlign w:val="center"/>
            <w:hideMark/>
          </w:tcPr>
          <w:p w14:paraId="4A0D5CB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Мурманск, Дом связи.</w:t>
            </w:r>
          </w:p>
        </w:tc>
      </w:tr>
      <w:tr w:rsidR="00F26F01" w:rsidRPr="00C33834" w14:paraId="75EBE187" w14:textId="77777777" w:rsidTr="00DC292A">
        <w:trPr>
          <w:trHeight w:val="300"/>
        </w:trPr>
        <w:tc>
          <w:tcPr>
            <w:tcW w:w="0" w:type="auto"/>
            <w:vAlign w:val="center"/>
            <w:hideMark/>
          </w:tcPr>
          <w:p w14:paraId="4569208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Челябинск, Дом связи.</w:t>
            </w:r>
          </w:p>
        </w:tc>
        <w:tc>
          <w:tcPr>
            <w:tcW w:w="0" w:type="auto"/>
            <w:vAlign w:val="center"/>
            <w:hideMark/>
          </w:tcPr>
          <w:p w14:paraId="6D12664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Днепрокомбинат, АТС.</w:t>
            </w:r>
          </w:p>
        </w:tc>
      </w:tr>
      <w:tr w:rsidR="00F26F01" w:rsidRPr="00C33834" w14:paraId="3527C6B7" w14:textId="77777777" w:rsidTr="00DC292A">
        <w:trPr>
          <w:trHeight w:val="300"/>
        </w:trPr>
        <w:tc>
          <w:tcPr>
            <w:tcW w:w="0" w:type="auto"/>
            <w:vAlign w:val="center"/>
            <w:hideMark/>
          </w:tcPr>
          <w:p w14:paraId="7537E98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Хабаровск, АТС.</w:t>
            </w:r>
          </w:p>
        </w:tc>
        <w:tc>
          <w:tcPr>
            <w:tcW w:w="0" w:type="auto"/>
            <w:vAlign w:val="center"/>
            <w:hideMark/>
          </w:tcPr>
          <w:p w14:paraId="7D07F3F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Горловка, Дом связи.</w:t>
            </w:r>
          </w:p>
        </w:tc>
      </w:tr>
      <w:tr w:rsidR="00F26F01" w:rsidRPr="00C33834" w14:paraId="40356321" w14:textId="77777777" w:rsidTr="00DC292A">
        <w:trPr>
          <w:trHeight w:val="300"/>
        </w:trPr>
        <w:tc>
          <w:tcPr>
            <w:tcW w:w="0" w:type="auto"/>
            <w:vAlign w:val="center"/>
            <w:hideMark/>
          </w:tcPr>
          <w:p w14:paraId="51FF2EE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ПРОМСВЯЗЬ.</w:t>
            </w:r>
          </w:p>
        </w:tc>
        <w:tc>
          <w:tcPr>
            <w:tcW w:w="0" w:type="auto"/>
            <w:vAlign w:val="center"/>
            <w:hideMark/>
          </w:tcPr>
          <w:p w14:paraId="45B808C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3604CBA8" w14:textId="77777777" w:rsidTr="00DC292A">
        <w:trPr>
          <w:trHeight w:val="300"/>
        </w:trPr>
        <w:tc>
          <w:tcPr>
            <w:tcW w:w="0" w:type="auto"/>
            <w:vAlign w:val="center"/>
            <w:hideMark/>
          </w:tcPr>
          <w:p w14:paraId="5B28C29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Александровский радиозавод.</w:t>
            </w:r>
          </w:p>
        </w:tc>
        <w:tc>
          <w:tcPr>
            <w:tcW w:w="0" w:type="auto"/>
            <w:vAlign w:val="center"/>
            <w:hideMark/>
          </w:tcPr>
          <w:p w14:paraId="45BE711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039C23AC" w14:textId="77777777" w:rsidTr="00DC292A">
        <w:trPr>
          <w:trHeight w:val="300"/>
        </w:trPr>
        <w:tc>
          <w:tcPr>
            <w:tcW w:w="0" w:type="auto"/>
            <w:gridSpan w:val="2"/>
            <w:vAlign w:val="center"/>
            <w:hideMark/>
          </w:tcPr>
          <w:p w14:paraId="7105B92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X. ЦЕНТРОСОЮЗ</w:t>
            </w:r>
          </w:p>
        </w:tc>
      </w:tr>
      <w:tr w:rsidR="00F26F01" w:rsidRPr="00C33834" w14:paraId="65388E06" w14:textId="77777777" w:rsidTr="00DC292A">
        <w:trPr>
          <w:trHeight w:val="300"/>
        </w:trPr>
        <w:tc>
          <w:tcPr>
            <w:tcW w:w="0" w:type="auto"/>
            <w:vAlign w:val="center"/>
            <w:hideMark/>
          </w:tcPr>
          <w:p w14:paraId="18113A8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ХЛЕБОЗАВОДЫ.</w:t>
            </w:r>
          </w:p>
        </w:tc>
        <w:tc>
          <w:tcPr>
            <w:tcW w:w="0" w:type="auto"/>
            <w:vAlign w:val="center"/>
            <w:hideMark/>
          </w:tcPr>
          <w:p w14:paraId="68000E7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359064C6" w14:textId="77777777" w:rsidTr="00DC292A">
        <w:trPr>
          <w:trHeight w:val="300"/>
        </w:trPr>
        <w:tc>
          <w:tcPr>
            <w:tcW w:w="0" w:type="auto"/>
            <w:vAlign w:val="center"/>
            <w:hideMark/>
          </w:tcPr>
          <w:p w14:paraId="45AD7A5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Мурманск.</w:t>
            </w:r>
          </w:p>
        </w:tc>
        <w:tc>
          <w:tcPr>
            <w:tcW w:w="0" w:type="auto"/>
            <w:vAlign w:val="center"/>
            <w:hideMark/>
          </w:tcPr>
          <w:p w14:paraId="2B3BF0C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Ленинград, № 10.</w:t>
            </w:r>
          </w:p>
        </w:tc>
      </w:tr>
      <w:tr w:rsidR="00F26F01" w:rsidRPr="00C33834" w14:paraId="10230543" w14:textId="77777777" w:rsidTr="00DC292A">
        <w:trPr>
          <w:trHeight w:val="300"/>
        </w:trPr>
        <w:tc>
          <w:tcPr>
            <w:tcW w:w="0" w:type="auto"/>
            <w:vAlign w:val="center"/>
            <w:hideMark/>
          </w:tcPr>
          <w:p w14:paraId="7F76C40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Хибиногорск.</w:t>
            </w:r>
          </w:p>
        </w:tc>
        <w:tc>
          <w:tcPr>
            <w:tcW w:w="0" w:type="auto"/>
            <w:vAlign w:val="center"/>
            <w:hideMark/>
          </w:tcPr>
          <w:p w14:paraId="0A4B91B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Ленинград, № 11.</w:t>
            </w:r>
          </w:p>
        </w:tc>
      </w:tr>
      <w:tr w:rsidR="00F26F01" w:rsidRPr="00C33834" w14:paraId="2B5E7184" w14:textId="77777777" w:rsidTr="00DC292A">
        <w:trPr>
          <w:trHeight w:val="300"/>
        </w:trPr>
        <w:tc>
          <w:tcPr>
            <w:tcW w:w="0" w:type="auto"/>
            <w:vAlign w:val="center"/>
            <w:hideMark/>
          </w:tcPr>
          <w:p w14:paraId="2A8D89A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Подольск.</w:t>
            </w:r>
          </w:p>
        </w:tc>
        <w:tc>
          <w:tcPr>
            <w:tcW w:w="0" w:type="auto"/>
            <w:vAlign w:val="center"/>
            <w:hideMark/>
          </w:tcPr>
          <w:p w14:paraId="12E6628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Н.-Уссурийск.</w:t>
            </w:r>
          </w:p>
        </w:tc>
      </w:tr>
      <w:tr w:rsidR="00F26F01" w:rsidRPr="00C33834" w14:paraId="56C89FF3" w14:textId="77777777" w:rsidTr="00DC292A">
        <w:trPr>
          <w:trHeight w:val="300"/>
        </w:trPr>
        <w:tc>
          <w:tcPr>
            <w:tcW w:w="0" w:type="auto"/>
            <w:vAlign w:val="center"/>
            <w:hideMark/>
          </w:tcPr>
          <w:p w14:paraId="6135AFB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Коломна.</w:t>
            </w:r>
          </w:p>
        </w:tc>
        <w:tc>
          <w:tcPr>
            <w:tcW w:w="0" w:type="auto"/>
            <w:vAlign w:val="center"/>
            <w:hideMark/>
          </w:tcPr>
          <w:p w14:paraId="63A1F1D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Владивосток.</w:t>
            </w:r>
          </w:p>
        </w:tc>
      </w:tr>
      <w:tr w:rsidR="00F26F01" w:rsidRPr="00C33834" w14:paraId="0630FDD2" w14:textId="77777777" w:rsidTr="00DC292A">
        <w:trPr>
          <w:trHeight w:val="300"/>
        </w:trPr>
        <w:tc>
          <w:tcPr>
            <w:tcW w:w="0" w:type="auto"/>
            <w:vAlign w:val="center"/>
            <w:hideMark/>
          </w:tcPr>
          <w:p w14:paraId="69ACFFF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Москва, № 9.</w:t>
            </w:r>
          </w:p>
        </w:tc>
        <w:tc>
          <w:tcPr>
            <w:tcW w:w="0" w:type="auto"/>
            <w:vAlign w:val="center"/>
            <w:hideMark/>
          </w:tcPr>
          <w:p w14:paraId="2CE5C7D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Мариуполь.</w:t>
            </w:r>
          </w:p>
        </w:tc>
      </w:tr>
      <w:tr w:rsidR="00F26F01" w:rsidRPr="00C33834" w14:paraId="5A36BFAA" w14:textId="77777777" w:rsidTr="00DC292A">
        <w:trPr>
          <w:trHeight w:val="300"/>
        </w:trPr>
        <w:tc>
          <w:tcPr>
            <w:tcW w:w="0" w:type="auto"/>
            <w:vAlign w:val="center"/>
            <w:hideMark/>
          </w:tcPr>
          <w:p w14:paraId="20860BE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Москва, № 10.</w:t>
            </w:r>
          </w:p>
        </w:tc>
        <w:tc>
          <w:tcPr>
            <w:tcW w:w="0" w:type="auto"/>
            <w:vAlign w:val="center"/>
            <w:hideMark/>
          </w:tcPr>
          <w:p w14:paraId="5184442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Днепропетровск.</w:t>
            </w:r>
          </w:p>
        </w:tc>
      </w:tr>
      <w:tr w:rsidR="00F26F01" w:rsidRPr="00C33834" w14:paraId="72D2477F" w14:textId="77777777" w:rsidTr="00DC292A">
        <w:trPr>
          <w:trHeight w:val="300"/>
        </w:trPr>
        <w:tc>
          <w:tcPr>
            <w:tcW w:w="0" w:type="auto"/>
            <w:vAlign w:val="center"/>
            <w:hideMark/>
          </w:tcPr>
          <w:p w14:paraId="0163CB8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Москва, № 12.</w:t>
            </w:r>
          </w:p>
        </w:tc>
        <w:tc>
          <w:tcPr>
            <w:tcW w:w="0" w:type="auto"/>
            <w:vAlign w:val="center"/>
            <w:hideMark/>
          </w:tcPr>
          <w:p w14:paraId="6C82D92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Каменское</w:t>
            </w:r>
          </w:p>
        </w:tc>
      </w:tr>
      <w:tr w:rsidR="00F26F01" w:rsidRPr="00C33834" w14:paraId="1393DA95" w14:textId="77777777" w:rsidTr="00DC292A">
        <w:trPr>
          <w:trHeight w:val="300"/>
        </w:trPr>
        <w:tc>
          <w:tcPr>
            <w:tcW w:w="0" w:type="auto"/>
            <w:vAlign w:val="center"/>
            <w:hideMark/>
          </w:tcPr>
          <w:p w14:paraId="080DC8B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Иваново.</w:t>
            </w:r>
          </w:p>
        </w:tc>
        <w:tc>
          <w:tcPr>
            <w:tcW w:w="0" w:type="auto"/>
            <w:vAlign w:val="center"/>
            <w:hideMark/>
          </w:tcPr>
          <w:p w14:paraId="13D954B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Орша.</w:t>
            </w:r>
          </w:p>
        </w:tc>
      </w:tr>
      <w:tr w:rsidR="00F26F01" w:rsidRPr="00C33834" w14:paraId="13663B34" w14:textId="77777777" w:rsidTr="00DC292A">
        <w:trPr>
          <w:trHeight w:val="300"/>
        </w:trPr>
        <w:tc>
          <w:tcPr>
            <w:tcW w:w="0" w:type="auto"/>
            <w:vAlign w:val="center"/>
            <w:hideMark/>
          </w:tcPr>
          <w:p w14:paraId="2A35416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Сормово.</w:t>
            </w:r>
          </w:p>
        </w:tc>
        <w:tc>
          <w:tcPr>
            <w:tcW w:w="0" w:type="auto"/>
            <w:vAlign w:val="center"/>
            <w:hideMark/>
          </w:tcPr>
          <w:p w14:paraId="581AB38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Витебск.</w:t>
            </w:r>
          </w:p>
        </w:tc>
      </w:tr>
      <w:tr w:rsidR="00F26F01" w:rsidRPr="00C33834" w14:paraId="72D54BC5" w14:textId="77777777" w:rsidTr="00DC292A">
        <w:trPr>
          <w:trHeight w:val="300"/>
        </w:trPr>
        <w:tc>
          <w:tcPr>
            <w:tcW w:w="0" w:type="auto"/>
            <w:vAlign w:val="center"/>
            <w:hideMark/>
          </w:tcPr>
          <w:p w14:paraId="53FA08B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Свердловск.</w:t>
            </w:r>
          </w:p>
        </w:tc>
        <w:tc>
          <w:tcPr>
            <w:tcW w:w="0" w:type="auto"/>
            <w:vAlign w:val="center"/>
            <w:hideMark/>
          </w:tcPr>
          <w:p w14:paraId="3A2D319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Жлобин.</w:t>
            </w:r>
          </w:p>
        </w:tc>
      </w:tr>
      <w:tr w:rsidR="00F26F01" w:rsidRPr="00C33834" w14:paraId="13C201D4" w14:textId="77777777" w:rsidTr="00DC292A">
        <w:trPr>
          <w:trHeight w:val="300"/>
        </w:trPr>
        <w:tc>
          <w:tcPr>
            <w:tcW w:w="0" w:type="auto"/>
            <w:vAlign w:val="center"/>
            <w:hideMark/>
          </w:tcPr>
          <w:p w14:paraId="7BC8A87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Магнитогорск.</w:t>
            </w:r>
          </w:p>
        </w:tc>
        <w:tc>
          <w:tcPr>
            <w:tcW w:w="0" w:type="auto"/>
            <w:vAlign w:val="center"/>
            <w:hideMark/>
          </w:tcPr>
          <w:p w14:paraId="5BF2FC3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Баку, № 3.</w:t>
            </w:r>
          </w:p>
        </w:tc>
      </w:tr>
      <w:tr w:rsidR="00F26F01" w:rsidRPr="00C33834" w14:paraId="4C8F2852" w14:textId="77777777" w:rsidTr="00DC292A">
        <w:trPr>
          <w:trHeight w:val="300"/>
        </w:trPr>
        <w:tc>
          <w:tcPr>
            <w:tcW w:w="0" w:type="auto"/>
            <w:vAlign w:val="center"/>
            <w:hideMark/>
          </w:tcPr>
          <w:p w14:paraId="14CCD89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Сталинград.</w:t>
            </w:r>
          </w:p>
        </w:tc>
        <w:tc>
          <w:tcPr>
            <w:tcW w:w="0" w:type="auto"/>
            <w:vAlign w:val="center"/>
            <w:hideMark/>
          </w:tcPr>
          <w:p w14:paraId="119CEF2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Баку, № 2.</w:t>
            </w:r>
          </w:p>
        </w:tc>
      </w:tr>
      <w:tr w:rsidR="00F26F01" w:rsidRPr="00C33834" w14:paraId="3DCAD9D1" w14:textId="77777777" w:rsidTr="00DC292A">
        <w:trPr>
          <w:trHeight w:val="300"/>
        </w:trPr>
        <w:tc>
          <w:tcPr>
            <w:tcW w:w="0" w:type="auto"/>
            <w:vAlign w:val="center"/>
            <w:hideMark/>
          </w:tcPr>
          <w:p w14:paraId="2B0AAF6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Караганда.</w:t>
            </w:r>
          </w:p>
        </w:tc>
        <w:tc>
          <w:tcPr>
            <w:tcW w:w="0" w:type="auto"/>
            <w:vAlign w:val="center"/>
            <w:hideMark/>
          </w:tcPr>
          <w:p w14:paraId="53F6CAB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Тифлис.</w:t>
            </w:r>
          </w:p>
        </w:tc>
      </w:tr>
      <w:tr w:rsidR="00F26F01" w:rsidRPr="00C33834" w14:paraId="38AE2661" w14:textId="77777777" w:rsidTr="00DC292A">
        <w:trPr>
          <w:trHeight w:val="300"/>
        </w:trPr>
        <w:tc>
          <w:tcPr>
            <w:tcW w:w="0" w:type="auto"/>
            <w:vAlign w:val="center"/>
            <w:hideMark/>
          </w:tcPr>
          <w:p w14:paraId="2A1307E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Сталинск.</w:t>
            </w:r>
          </w:p>
        </w:tc>
        <w:tc>
          <w:tcPr>
            <w:tcW w:w="0" w:type="auto"/>
            <w:vAlign w:val="center"/>
            <w:hideMark/>
          </w:tcPr>
          <w:p w14:paraId="3722449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Ташкент.</w:t>
            </w:r>
          </w:p>
        </w:tc>
      </w:tr>
      <w:tr w:rsidR="00F26F01" w:rsidRPr="00C33834" w14:paraId="6CAE6E91" w14:textId="77777777" w:rsidTr="00DC292A">
        <w:trPr>
          <w:trHeight w:val="300"/>
        </w:trPr>
        <w:tc>
          <w:tcPr>
            <w:tcW w:w="0" w:type="auto"/>
            <w:vAlign w:val="center"/>
            <w:hideMark/>
          </w:tcPr>
          <w:p w14:paraId="0C0322B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ФАБРИКИ-КУХНИ И СТОЛОВЫЕ.</w:t>
            </w:r>
          </w:p>
        </w:tc>
        <w:tc>
          <w:tcPr>
            <w:tcW w:w="0" w:type="auto"/>
            <w:vAlign w:val="center"/>
            <w:hideMark/>
          </w:tcPr>
          <w:p w14:paraId="6F56B6C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658A3051" w14:textId="77777777" w:rsidTr="00DC292A">
        <w:trPr>
          <w:trHeight w:val="300"/>
        </w:trPr>
        <w:tc>
          <w:tcPr>
            <w:tcW w:w="0" w:type="auto"/>
            <w:vAlign w:val="center"/>
            <w:hideMark/>
          </w:tcPr>
          <w:p w14:paraId="7AD4AA2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Кронштадт, фабрика-кухня.</w:t>
            </w:r>
          </w:p>
        </w:tc>
        <w:tc>
          <w:tcPr>
            <w:tcW w:w="0" w:type="auto"/>
            <w:vAlign w:val="center"/>
            <w:hideMark/>
          </w:tcPr>
          <w:p w14:paraId="4B8FC52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Караганда, 3 столовых.</w:t>
            </w:r>
          </w:p>
        </w:tc>
      </w:tr>
      <w:tr w:rsidR="00F26F01" w:rsidRPr="00C33834" w14:paraId="3610934D" w14:textId="77777777" w:rsidTr="00DC292A">
        <w:trPr>
          <w:trHeight w:val="300"/>
        </w:trPr>
        <w:tc>
          <w:tcPr>
            <w:tcW w:w="0" w:type="auto"/>
            <w:vAlign w:val="center"/>
            <w:hideMark/>
          </w:tcPr>
          <w:p w14:paraId="016C8F8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Подольск, фабрика-кухня.</w:t>
            </w:r>
          </w:p>
        </w:tc>
        <w:tc>
          <w:tcPr>
            <w:tcW w:w="0" w:type="auto"/>
            <w:vAlign w:val="center"/>
            <w:hideMark/>
          </w:tcPr>
          <w:p w14:paraId="3CCA404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Хабаровск, 2 столовых.</w:t>
            </w:r>
          </w:p>
        </w:tc>
      </w:tr>
      <w:tr w:rsidR="00F26F01" w:rsidRPr="00C33834" w14:paraId="7DD5C678" w14:textId="77777777" w:rsidTr="00DC292A">
        <w:trPr>
          <w:trHeight w:val="300"/>
        </w:trPr>
        <w:tc>
          <w:tcPr>
            <w:tcW w:w="0" w:type="auto"/>
            <w:vAlign w:val="center"/>
            <w:hideMark/>
          </w:tcPr>
          <w:p w14:paraId="34EFB60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Иваново, фабрика-кухня.</w:t>
            </w:r>
          </w:p>
        </w:tc>
        <w:tc>
          <w:tcPr>
            <w:tcW w:w="0" w:type="auto"/>
            <w:vAlign w:val="center"/>
            <w:hideMark/>
          </w:tcPr>
          <w:p w14:paraId="6B28230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Баку, фабрика-кухня при заводе им. Шмидта.</w:t>
            </w:r>
          </w:p>
        </w:tc>
      </w:tr>
      <w:tr w:rsidR="00F26F01" w:rsidRPr="00C33834" w14:paraId="4B07F25A" w14:textId="77777777" w:rsidTr="00DC292A">
        <w:trPr>
          <w:trHeight w:val="300"/>
        </w:trPr>
        <w:tc>
          <w:tcPr>
            <w:tcW w:w="0" w:type="auto"/>
            <w:vAlign w:val="center"/>
            <w:hideMark/>
          </w:tcPr>
          <w:p w14:paraId="0D2BE98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Кольчугино, фабрика-кухня.</w:t>
            </w:r>
          </w:p>
        </w:tc>
        <w:tc>
          <w:tcPr>
            <w:tcW w:w="0" w:type="auto"/>
            <w:vAlign w:val="center"/>
            <w:hideMark/>
          </w:tcPr>
          <w:p w14:paraId="68A9895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bl>
    <w:p w14:paraId="0AE955A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XI. HAPKOMЗEM  СССР</w:t>
      </w:r>
    </w:p>
    <w:p w14:paraId="348834F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Ремонтные мастерские и льно-пенькозаводы</w:t>
      </w:r>
    </w:p>
    <w:tbl>
      <w:tblPr>
        <w:tblW w:w="1006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67"/>
        <w:gridCol w:w="929"/>
        <w:gridCol w:w="983"/>
        <w:gridCol w:w="998"/>
        <w:gridCol w:w="1181"/>
        <w:gridCol w:w="677"/>
        <w:gridCol w:w="677"/>
        <w:gridCol w:w="1243"/>
        <w:gridCol w:w="810"/>
      </w:tblGrid>
      <w:tr w:rsidR="00F26F01" w:rsidRPr="00C33834" w14:paraId="64242583" w14:textId="77777777" w:rsidTr="00DC292A">
        <w:trPr>
          <w:trHeight w:val="2700"/>
        </w:trPr>
        <w:tc>
          <w:tcPr>
            <w:tcW w:w="0" w:type="auto"/>
            <w:tcBorders>
              <w:top w:val="outset" w:sz="6" w:space="0" w:color="auto"/>
              <w:left w:val="outset" w:sz="6" w:space="0" w:color="auto"/>
              <w:bottom w:val="outset" w:sz="6" w:space="0" w:color="auto"/>
              <w:right w:val="outset" w:sz="6" w:space="0" w:color="auto"/>
            </w:tcBorders>
            <w:vAlign w:val="center"/>
            <w:hideMark/>
          </w:tcPr>
          <w:p w14:paraId="6865029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Местонахождение объекта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1DF7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Зерно-тракторо-</w:t>
            </w:r>
          </w:p>
          <w:p w14:paraId="5C865B9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5037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Свекло-тракторо-</w:t>
            </w:r>
          </w:p>
          <w:p w14:paraId="0912512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13BF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Хлопко-тракторо-</w:t>
            </w:r>
          </w:p>
          <w:p w14:paraId="7626159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66DA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Овоще-карт. тракторо-</w:t>
            </w:r>
          </w:p>
          <w:p w14:paraId="2D78D9C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6D5A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Льно-</w:t>
            </w:r>
          </w:p>
          <w:p w14:paraId="087E0F0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тракторо-</w:t>
            </w:r>
          </w:p>
          <w:p w14:paraId="67143AD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2312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Сено-</w:t>
            </w:r>
          </w:p>
          <w:p w14:paraId="50C3B5D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тракторо-</w:t>
            </w:r>
          </w:p>
          <w:p w14:paraId="7F233CA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A230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p w14:paraId="1C7E163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ремонтных мастерских</w:t>
            </w:r>
          </w:p>
          <w:p w14:paraId="2C26F39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всем тракторо-</w:t>
            </w:r>
          </w:p>
          <w:p w14:paraId="6D5B460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центрам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BB0B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Льно-</w:t>
            </w:r>
          </w:p>
          <w:p w14:paraId="2CD78C0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пенько-заводы</w:t>
            </w:r>
          </w:p>
        </w:tc>
      </w:tr>
      <w:tr w:rsidR="00F26F01" w:rsidRPr="00C33834" w14:paraId="6F5E063B"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59BFF02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Северный край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DC32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513C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473E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EA6F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7B02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E06B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44A9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E278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r>
      <w:tr w:rsidR="00F26F01" w:rsidRPr="00C33834" w14:paraId="458CDD2D"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0521F02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Карелия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6150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609A3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9C59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E21D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96570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6954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9421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97E3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54D080E6"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480DDA3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Ленинградская область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96C2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653B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6FEA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5399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E602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B379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FA48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6686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r>
      <w:tr w:rsidR="00F26F01" w:rsidRPr="00C33834" w14:paraId="18F4E3D8"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5DEDE1F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Западная область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224C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9F00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9776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5D1B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ABDD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16D3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8CDD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9DCE0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w:t>
            </w:r>
          </w:p>
        </w:tc>
      </w:tr>
      <w:tr w:rsidR="00F26F01" w:rsidRPr="00C33834" w14:paraId="7EF463DD"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05D5830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Московская область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067C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B0F8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F387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5C3F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A832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6A5D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5232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2D7F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w:t>
            </w:r>
          </w:p>
        </w:tc>
      </w:tr>
      <w:tr w:rsidR="00F26F01" w:rsidRPr="00C33834" w14:paraId="7FB158D0" w14:textId="77777777" w:rsidTr="00DC292A">
        <w:trPr>
          <w:trHeight w:val="495"/>
        </w:trPr>
        <w:tc>
          <w:tcPr>
            <w:tcW w:w="0" w:type="auto"/>
            <w:tcBorders>
              <w:top w:val="outset" w:sz="6" w:space="0" w:color="auto"/>
              <w:left w:val="outset" w:sz="6" w:space="0" w:color="auto"/>
              <w:bottom w:val="outset" w:sz="6" w:space="0" w:color="auto"/>
              <w:right w:val="outset" w:sz="6" w:space="0" w:color="auto"/>
            </w:tcBorders>
            <w:vAlign w:val="center"/>
            <w:hideMark/>
          </w:tcPr>
          <w:p w14:paraId="00A8118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Ивановская промышленная область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4D51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F888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6938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6FAD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0C3B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05E1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6EE8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8834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w:t>
            </w:r>
          </w:p>
        </w:tc>
      </w:tr>
      <w:tr w:rsidR="00F26F01" w:rsidRPr="00C33834" w14:paraId="01FCED86"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51A926D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Горьковский край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3C29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C4B4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0E6B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0DBE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1987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3F69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89A8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D47E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w:t>
            </w:r>
          </w:p>
        </w:tc>
      </w:tr>
      <w:tr w:rsidR="00F26F01" w:rsidRPr="00C33834" w14:paraId="2E225217"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5F30D76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ЦЧО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4DE0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62E7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29F7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C96A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BAF1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941A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868E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D397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r>
      <w:tr w:rsidR="00F26F01" w:rsidRPr="00C33834" w14:paraId="30432125"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75B3F75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Уральская область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4031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8795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366C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AC34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22C3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8423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1A70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0957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tc>
      </w:tr>
      <w:tr w:rsidR="00F26F01" w:rsidRPr="00C33834" w14:paraId="4F1DB56A"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1A5B485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Башкирия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3A29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0C13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200D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76DC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C640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66BD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3BDE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9BDA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706717BC"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41C5861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Татария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6E1D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411F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1DE0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0E19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BD05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3D1E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844E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88F1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0AE4B932"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3E067D2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Средняя Волга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C5D1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C3B5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D0F0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5A57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A385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F9D6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706D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DE07F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r>
      <w:tr w:rsidR="00F26F01" w:rsidRPr="00C33834" w14:paraId="5C16DF7A"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03A16F8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Нижняя Волга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183D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C70A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9A4E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9338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984B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4A0A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396B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9838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46939034"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74882F9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Северный Кавказ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5F59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B7DF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B697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97E5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11C2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2261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C07F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CB414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2E9039BE"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260FE97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Крым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BDF1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AF21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629A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9E36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6F06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108D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DECA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C07B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22C4F9E5"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6E03EE1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Казакстан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1A77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1982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704E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5411F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2413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BD67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E2DC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FE44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BF8D29D"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79B37CF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Западная Сибирь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DE11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1867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AD0BCA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3284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C965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1499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0536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DAAA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r>
      <w:tr w:rsidR="00F26F01" w:rsidRPr="00C33834" w14:paraId="0AC67D98"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53B493D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Восточная Сибирь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9ACC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51A5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F63B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1A94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86A1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B571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D85B1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AECA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r>
      <w:tr w:rsidR="00F26F01" w:rsidRPr="00C33834" w14:paraId="5B9500C0"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7BCCF47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Якутия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BD85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8654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2AB3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022F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9E06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3A41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BE9A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005A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3ADC285"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7E4AAAF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E21D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634F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AB01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30DD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6F1F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E143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A0FE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17BF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r>
      <w:tr w:rsidR="00F26F01" w:rsidRPr="00C33834" w14:paraId="605DBD16"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2C0C319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786C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A9C7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0899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A7CC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2D1B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41C0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3AAA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7BE5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r>
      <w:tr w:rsidR="00F26F01" w:rsidRPr="00C33834" w14:paraId="7AB16CF5"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072BD8A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3221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062C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AB85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E12E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E918F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E9F4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15CC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227E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w:t>
            </w:r>
          </w:p>
        </w:tc>
      </w:tr>
      <w:tr w:rsidR="00F26F01" w:rsidRPr="00C33834" w14:paraId="43CDAF05"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03ADDB0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ЗСФСР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793B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A07C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A322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273C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0A9C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EA2B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53BE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78BD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53042873"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44C037D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УзбССР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A477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3467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4091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DB5E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87D7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2258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7A4E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F315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2494FB9A"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6190A1D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ТуркССР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C80D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71DC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F4B0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EAB5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0A20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54D9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FAD7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FA7C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6D86E5AE"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0285092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Таджикия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CFE9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F2C5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4D56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BBB6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1BA0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AADA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4DD5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B841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08398E73"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6B262C0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Киргизия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5325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9D77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B436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66E9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E317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D419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9BB5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398C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0D9E69BF"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231A781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Каракалпакия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CF70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E5D2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87A2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42ED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50EA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FC06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5484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26DE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EE91575" w14:textId="77777777" w:rsidTr="00DC292A">
        <w:trPr>
          <w:trHeight w:val="900"/>
        </w:trPr>
        <w:tc>
          <w:tcPr>
            <w:tcW w:w="0" w:type="auto"/>
            <w:tcBorders>
              <w:top w:val="outset" w:sz="6" w:space="0" w:color="auto"/>
              <w:left w:val="outset" w:sz="6" w:space="0" w:color="auto"/>
              <w:bottom w:val="outset" w:sz="6" w:space="0" w:color="auto"/>
              <w:right w:val="outset" w:sz="6" w:space="0" w:color="auto"/>
            </w:tcBorders>
            <w:vAlign w:val="center"/>
            <w:hideMark/>
          </w:tcPr>
          <w:p w14:paraId="114B746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ремонтных мастерских и льно-пенькозаводов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DF0E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FCB6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BD19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4622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632E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BC5B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D231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753D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410</w:t>
            </w:r>
          </w:p>
        </w:tc>
      </w:tr>
    </w:tbl>
    <w:p w14:paraId="0EE910F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ЗАВОДЫ ЗАПЧАСТЕЙ.</w:t>
      </w:r>
    </w:p>
    <w:tbl>
      <w:tblPr>
        <w:tblW w:w="7695" w:type="dxa"/>
        <w:tblCellMar>
          <w:left w:w="0" w:type="dxa"/>
          <w:right w:w="0" w:type="dxa"/>
        </w:tblCellMar>
        <w:tblLook w:val="04A0" w:firstRow="1" w:lastRow="0" w:firstColumn="1" w:lastColumn="0" w:noHBand="0" w:noVBand="1"/>
      </w:tblPr>
      <w:tblGrid>
        <w:gridCol w:w="3239"/>
        <w:gridCol w:w="4456"/>
      </w:tblGrid>
      <w:tr w:rsidR="00F26F01" w:rsidRPr="00C33834" w14:paraId="65201138" w14:textId="77777777" w:rsidTr="00DC292A">
        <w:trPr>
          <w:trHeight w:val="300"/>
        </w:trPr>
        <w:tc>
          <w:tcPr>
            <w:tcW w:w="0" w:type="auto"/>
            <w:vAlign w:val="center"/>
            <w:hideMark/>
          </w:tcPr>
          <w:p w14:paraId="1E3D411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Средняя Волга, Бузулук</w:t>
            </w:r>
          </w:p>
        </w:tc>
        <w:tc>
          <w:tcPr>
            <w:tcW w:w="0" w:type="auto"/>
            <w:vAlign w:val="center"/>
            <w:hideMark/>
          </w:tcPr>
          <w:p w14:paraId="2EF76D1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Воронеж, ЦЧО</w:t>
            </w:r>
          </w:p>
        </w:tc>
      </w:tr>
      <w:tr w:rsidR="00F26F01" w:rsidRPr="00C33834" w14:paraId="50C477F3" w14:textId="77777777" w:rsidTr="00DC292A">
        <w:trPr>
          <w:trHeight w:val="300"/>
        </w:trPr>
        <w:tc>
          <w:tcPr>
            <w:tcW w:w="0" w:type="auto"/>
            <w:vAlign w:val="center"/>
            <w:hideMark/>
          </w:tcPr>
          <w:p w14:paraId="1A418EB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Оренбург</w:t>
            </w:r>
          </w:p>
        </w:tc>
        <w:tc>
          <w:tcPr>
            <w:tcW w:w="0" w:type="auto"/>
            <w:vAlign w:val="center"/>
            <w:hideMark/>
          </w:tcPr>
          <w:p w14:paraId="600C3E7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Николаевские производственные мастерские</w:t>
            </w:r>
          </w:p>
        </w:tc>
      </w:tr>
      <w:tr w:rsidR="00F26F01" w:rsidRPr="00C33834" w14:paraId="0CEC952C" w14:textId="77777777" w:rsidTr="00DC292A">
        <w:trPr>
          <w:trHeight w:val="300"/>
        </w:trPr>
        <w:tc>
          <w:tcPr>
            <w:tcW w:w="0" w:type="auto"/>
            <w:vAlign w:val="center"/>
            <w:hideMark/>
          </w:tcPr>
          <w:p w14:paraId="1C3A8BA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Северный Кавказ, ст. Морозовка</w:t>
            </w:r>
          </w:p>
        </w:tc>
        <w:tc>
          <w:tcPr>
            <w:tcW w:w="0" w:type="auto"/>
            <w:vAlign w:val="center"/>
            <w:hideMark/>
          </w:tcPr>
          <w:p w14:paraId="0D0B7DF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bl>
    <w:p w14:paraId="6B23790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ВЕТСНАБПРОМ.</w:t>
      </w:r>
    </w:p>
    <w:tbl>
      <w:tblPr>
        <w:tblW w:w="7695" w:type="dxa"/>
        <w:tblCellMar>
          <w:left w:w="0" w:type="dxa"/>
          <w:right w:w="0" w:type="dxa"/>
        </w:tblCellMar>
        <w:tblLook w:val="04A0" w:firstRow="1" w:lastRow="0" w:firstColumn="1" w:lastColumn="0" w:noHBand="0" w:noVBand="1"/>
      </w:tblPr>
      <w:tblGrid>
        <w:gridCol w:w="3641"/>
        <w:gridCol w:w="4054"/>
      </w:tblGrid>
      <w:tr w:rsidR="00F26F01" w:rsidRPr="00C33834" w14:paraId="68BD7ECE" w14:textId="77777777" w:rsidTr="00DC292A">
        <w:trPr>
          <w:trHeight w:val="600"/>
        </w:trPr>
        <w:tc>
          <w:tcPr>
            <w:tcW w:w="0" w:type="auto"/>
            <w:vAlign w:val="center"/>
            <w:hideMark/>
          </w:tcPr>
          <w:p w14:paraId="4AE7A6D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Западно-Сибирский край,</w:t>
            </w:r>
          </w:p>
          <w:p w14:paraId="33F7514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Омск — биофабрика.</w:t>
            </w:r>
          </w:p>
        </w:tc>
        <w:tc>
          <w:tcPr>
            <w:tcW w:w="0" w:type="auto"/>
            <w:vAlign w:val="center"/>
            <w:hideMark/>
          </w:tcPr>
          <w:p w14:paraId="31F6EBB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ЦЧО, Курск — биофабрика.</w:t>
            </w:r>
          </w:p>
        </w:tc>
      </w:tr>
      <w:tr w:rsidR="00F26F01" w:rsidRPr="00C33834" w14:paraId="24FBD8FB" w14:textId="77777777" w:rsidTr="00DC292A">
        <w:trPr>
          <w:trHeight w:val="600"/>
        </w:trPr>
        <w:tc>
          <w:tcPr>
            <w:tcW w:w="0" w:type="auto"/>
            <w:vAlign w:val="center"/>
            <w:hideMark/>
          </w:tcPr>
          <w:p w14:paraId="48B68EE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Западно-Сибирский край,</w:t>
            </w:r>
          </w:p>
          <w:p w14:paraId="1E96487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Новосибирск — ветеринарный склад.</w:t>
            </w:r>
          </w:p>
        </w:tc>
        <w:tc>
          <w:tcPr>
            <w:tcW w:w="0" w:type="auto"/>
            <w:vAlign w:val="center"/>
            <w:hideMark/>
          </w:tcPr>
          <w:p w14:paraId="06667DF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Северный Кавказ, Армавир — биофабрика.</w:t>
            </w:r>
          </w:p>
        </w:tc>
      </w:tr>
      <w:tr w:rsidR="00F26F01" w:rsidRPr="00C33834" w14:paraId="4DCC68C8" w14:textId="77777777" w:rsidTr="00DC292A">
        <w:trPr>
          <w:trHeight w:val="600"/>
        </w:trPr>
        <w:tc>
          <w:tcPr>
            <w:tcW w:w="0" w:type="auto"/>
            <w:vAlign w:val="center"/>
            <w:hideMark/>
          </w:tcPr>
          <w:p w14:paraId="6CBFE40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Казакcкая АССР,</w:t>
            </w:r>
          </w:p>
          <w:p w14:paraId="189AFDD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Алма-Ата — биофабрика.</w:t>
            </w:r>
          </w:p>
        </w:tc>
        <w:tc>
          <w:tcPr>
            <w:tcW w:w="0" w:type="auto"/>
            <w:vAlign w:val="center"/>
            <w:hideMark/>
          </w:tcPr>
          <w:p w14:paraId="0D09D8B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ДВК, Хабаровск — ветеринарный склад.</w:t>
            </w:r>
          </w:p>
        </w:tc>
      </w:tr>
      <w:tr w:rsidR="00F26F01" w:rsidRPr="00C33834" w14:paraId="27D79A2F" w14:textId="77777777" w:rsidTr="00DC292A">
        <w:trPr>
          <w:trHeight w:val="600"/>
        </w:trPr>
        <w:tc>
          <w:tcPr>
            <w:tcW w:w="0" w:type="auto"/>
            <w:vAlign w:val="center"/>
            <w:hideMark/>
          </w:tcPr>
          <w:p w14:paraId="35DC9B3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Московская область,</w:t>
            </w:r>
          </w:p>
          <w:p w14:paraId="6B3C8A8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Щелково — биофабрика.</w:t>
            </w:r>
          </w:p>
        </w:tc>
        <w:tc>
          <w:tcPr>
            <w:tcW w:w="0" w:type="auto"/>
            <w:vAlign w:val="center"/>
            <w:hideMark/>
          </w:tcPr>
          <w:p w14:paraId="0C9AC08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БССР, Лосовица — биофабрика.</w:t>
            </w:r>
          </w:p>
        </w:tc>
      </w:tr>
      <w:tr w:rsidR="00F26F01" w:rsidRPr="00C33834" w14:paraId="6473A36C" w14:textId="77777777" w:rsidTr="00DC292A">
        <w:trPr>
          <w:trHeight w:val="600"/>
        </w:trPr>
        <w:tc>
          <w:tcPr>
            <w:tcW w:w="0" w:type="auto"/>
            <w:vAlign w:val="center"/>
            <w:hideMark/>
          </w:tcPr>
          <w:p w14:paraId="1542D2F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Московская область,</w:t>
            </w:r>
          </w:p>
          <w:p w14:paraId="3FA3478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Москва — биофабрика.</w:t>
            </w:r>
          </w:p>
        </w:tc>
        <w:tc>
          <w:tcPr>
            <w:tcW w:w="0" w:type="auto"/>
            <w:vAlign w:val="center"/>
            <w:hideMark/>
          </w:tcPr>
          <w:p w14:paraId="75FC206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БССР, Гомель — ветеринарный склад.</w:t>
            </w:r>
          </w:p>
        </w:tc>
      </w:tr>
      <w:tr w:rsidR="00F26F01" w:rsidRPr="00C33834" w14:paraId="20CB87E2" w14:textId="77777777" w:rsidTr="00DC292A">
        <w:trPr>
          <w:trHeight w:val="900"/>
        </w:trPr>
        <w:tc>
          <w:tcPr>
            <w:tcW w:w="0" w:type="auto"/>
            <w:vAlign w:val="center"/>
            <w:hideMark/>
          </w:tcPr>
          <w:p w14:paraId="4351534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Западная область, Смоленск —</w:t>
            </w:r>
          </w:p>
          <w:p w14:paraId="21F3C97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ящурный институт и ветеринарный склад.</w:t>
            </w:r>
          </w:p>
        </w:tc>
        <w:tc>
          <w:tcPr>
            <w:tcW w:w="0" w:type="auto"/>
            <w:vAlign w:val="center"/>
            <w:hideMark/>
          </w:tcPr>
          <w:p w14:paraId="2084C6C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УССР, ст. Новая заря — биофабрика.</w:t>
            </w:r>
          </w:p>
        </w:tc>
      </w:tr>
      <w:tr w:rsidR="00F26F01" w:rsidRPr="00C33834" w14:paraId="168D3848" w14:textId="77777777" w:rsidTr="00DC292A">
        <w:trPr>
          <w:trHeight w:val="600"/>
        </w:trPr>
        <w:tc>
          <w:tcPr>
            <w:tcW w:w="0" w:type="auto"/>
            <w:vAlign w:val="center"/>
            <w:hideMark/>
          </w:tcPr>
          <w:p w14:paraId="3B28A1A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Ивановская промышленная область,</w:t>
            </w:r>
          </w:p>
          <w:p w14:paraId="20CF22A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Владимир — ветеринарный склад.</w:t>
            </w:r>
          </w:p>
        </w:tc>
        <w:tc>
          <w:tcPr>
            <w:tcW w:w="0" w:type="auto"/>
            <w:vAlign w:val="center"/>
            <w:hideMark/>
          </w:tcPr>
          <w:p w14:paraId="4570E1A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УССР, Сумы — биофабрика.</w:t>
            </w:r>
          </w:p>
        </w:tc>
      </w:tr>
      <w:tr w:rsidR="00F26F01" w:rsidRPr="00C33834" w14:paraId="2AC0A052" w14:textId="77777777" w:rsidTr="00DC292A">
        <w:trPr>
          <w:trHeight w:val="600"/>
        </w:trPr>
        <w:tc>
          <w:tcPr>
            <w:tcW w:w="0" w:type="auto"/>
            <w:vAlign w:val="center"/>
            <w:hideMark/>
          </w:tcPr>
          <w:p w14:paraId="42B4E49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Средне-Волжский край,</w:t>
            </w:r>
          </w:p>
          <w:p w14:paraId="30B35FA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Воскресенск — биофабрика.</w:t>
            </w:r>
          </w:p>
        </w:tc>
        <w:tc>
          <w:tcPr>
            <w:tcW w:w="0" w:type="auto"/>
            <w:vAlign w:val="center"/>
            <w:hideMark/>
          </w:tcPr>
          <w:p w14:paraId="6C699D3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УССР, Харьков — ветеринарный склад.</w:t>
            </w:r>
          </w:p>
        </w:tc>
      </w:tr>
      <w:tr w:rsidR="00F26F01" w:rsidRPr="00C33834" w14:paraId="5A6FA3F5" w14:textId="77777777" w:rsidTr="00DC292A">
        <w:trPr>
          <w:trHeight w:val="600"/>
        </w:trPr>
        <w:tc>
          <w:tcPr>
            <w:tcW w:w="0" w:type="auto"/>
            <w:vAlign w:val="center"/>
            <w:hideMark/>
          </w:tcPr>
          <w:p w14:paraId="3AD327C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ЦЧО, Нижегольск — биофабрика.</w:t>
            </w:r>
          </w:p>
        </w:tc>
        <w:tc>
          <w:tcPr>
            <w:tcW w:w="0" w:type="auto"/>
            <w:vAlign w:val="center"/>
            <w:hideMark/>
          </w:tcPr>
          <w:p w14:paraId="51A8F94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УССР, Кременчуг — ветеринарный склад.</w:t>
            </w:r>
          </w:p>
        </w:tc>
      </w:tr>
      <w:tr w:rsidR="00F26F01" w:rsidRPr="00C33834" w14:paraId="1C7093DD" w14:textId="77777777" w:rsidTr="00DC292A">
        <w:trPr>
          <w:trHeight w:val="600"/>
        </w:trPr>
        <w:tc>
          <w:tcPr>
            <w:tcW w:w="0" w:type="auto"/>
            <w:vAlign w:val="center"/>
            <w:hideMark/>
          </w:tcPr>
          <w:p w14:paraId="07F1CA5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ЦЧО, Орел — биофабрика,</w:t>
            </w:r>
          </w:p>
        </w:tc>
        <w:tc>
          <w:tcPr>
            <w:tcW w:w="0" w:type="auto"/>
            <w:vAlign w:val="center"/>
            <w:hideMark/>
          </w:tcPr>
          <w:p w14:paraId="61EB56D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ТаджССР, Сталинабад — ветеринарный склад.</w:t>
            </w:r>
          </w:p>
        </w:tc>
      </w:tr>
    </w:tbl>
    <w:p w14:paraId="25E5398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СОЮЗСЕМЕНОВОД.</w:t>
      </w:r>
    </w:p>
    <w:tbl>
      <w:tblPr>
        <w:tblW w:w="9615" w:type="dxa"/>
        <w:tblCellMar>
          <w:left w:w="0" w:type="dxa"/>
          <w:right w:w="0" w:type="dxa"/>
        </w:tblCellMar>
        <w:tblLook w:val="04A0" w:firstRow="1" w:lastRow="0" w:firstColumn="1" w:lastColumn="0" w:noHBand="0" w:noVBand="1"/>
      </w:tblPr>
      <w:tblGrid>
        <w:gridCol w:w="4266"/>
        <w:gridCol w:w="5349"/>
      </w:tblGrid>
      <w:tr w:rsidR="00F26F01" w:rsidRPr="00C33834" w14:paraId="35B3D170" w14:textId="77777777" w:rsidTr="00DC292A">
        <w:trPr>
          <w:trHeight w:val="300"/>
        </w:trPr>
        <w:tc>
          <w:tcPr>
            <w:tcW w:w="0" w:type="auto"/>
            <w:vAlign w:val="center"/>
            <w:hideMark/>
          </w:tcPr>
          <w:p w14:paraId="65DC213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Мологский элеватор, г. Молога.</w:t>
            </w:r>
          </w:p>
        </w:tc>
        <w:tc>
          <w:tcPr>
            <w:tcW w:w="0" w:type="auto"/>
            <w:vAlign w:val="center"/>
            <w:hideMark/>
          </w:tcPr>
          <w:p w14:paraId="48F337E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Сев.-Зап. селекц. центр, Детское Село в Ленинграде.</w:t>
            </w:r>
          </w:p>
        </w:tc>
      </w:tr>
      <w:tr w:rsidR="00F26F01" w:rsidRPr="00C33834" w14:paraId="3D5EC3A2" w14:textId="77777777" w:rsidTr="00DC292A">
        <w:trPr>
          <w:trHeight w:val="300"/>
        </w:trPr>
        <w:tc>
          <w:tcPr>
            <w:tcW w:w="0" w:type="auto"/>
            <w:vAlign w:val="center"/>
            <w:hideMark/>
          </w:tcPr>
          <w:p w14:paraId="4E76849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Семенохранилище системы Козловского</w:t>
            </w:r>
          </w:p>
          <w:p w14:paraId="33C9529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 Истоки и Шули, Уральской области.</w:t>
            </w:r>
          </w:p>
        </w:tc>
        <w:tc>
          <w:tcPr>
            <w:tcW w:w="0" w:type="auto"/>
            <w:vAlign w:val="center"/>
            <w:hideMark/>
          </w:tcPr>
          <w:p w14:paraId="4D7284D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Саратовский селекц. центр., Саратов.</w:t>
            </w:r>
          </w:p>
        </w:tc>
      </w:tr>
      <w:tr w:rsidR="00F26F01" w:rsidRPr="00C33834" w14:paraId="7383FDB4" w14:textId="77777777" w:rsidTr="00DC292A">
        <w:trPr>
          <w:trHeight w:val="600"/>
        </w:trPr>
        <w:tc>
          <w:tcPr>
            <w:tcW w:w="0" w:type="auto"/>
            <w:vAlign w:val="center"/>
            <w:hideMark/>
          </w:tcPr>
          <w:p w14:paraId="7783F90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Люцерно-очистительный завод,</w:t>
            </w:r>
          </w:p>
          <w:p w14:paraId="1CF5D0A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Нукус—Кара-Калпакск. АССР.</w:t>
            </w:r>
          </w:p>
        </w:tc>
        <w:tc>
          <w:tcPr>
            <w:tcW w:w="0" w:type="auto"/>
            <w:vAlign w:val="center"/>
            <w:hideMark/>
          </w:tcPr>
          <w:p w14:paraId="1D5225E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Сев.-Кавк. селекц. центр., Краснодар.</w:t>
            </w:r>
          </w:p>
        </w:tc>
      </w:tr>
      <w:tr w:rsidR="00F26F01" w:rsidRPr="00C33834" w14:paraId="167BFB01" w14:textId="77777777" w:rsidTr="00DC292A">
        <w:trPr>
          <w:trHeight w:val="2100"/>
        </w:trPr>
        <w:tc>
          <w:tcPr>
            <w:tcW w:w="0" w:type="auto"/>
            <w:vAlign w:val="center"/>
            <w:hideMark/>
          </w:tcPr>
          <w:p w14:paraId="29A8E1D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Семенохранилище системы Козловского</w:t>
            </w:r>
          </w:p>
          <w:p w14:paraId="4EECF44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57 точек (Западная область, Московская,</w:t>
            </w:r>
          </w:p>
          <w:p w14:paraId="73636B2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Ивановская. Средняя Волга, Нижняя Волга,</w:t>
            </w:r>
          </w:p>
          <w:p w14:paraId="4813B06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ЦЧО, Северный Кавказ, Крым, Казакстан,</w:t>
            </w:r>
          </w:p>
          <w:p w14:paraId="36645B6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Западная Сибирь, Восточная Сибирь, ДВК,</w:t>
            </w:r>
          </w:p>
          <w:p w14:paraId="431275E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УССР, БССР и ЗСФСР).</w:t>
            </w:r>
          </w:p>
        </w:tc>
        <w:tc>
          <w:tcPr>
            <w:tcW w:w="0" w:type="auto"/>
            <w:vAlign w:val="center"/>
            <w:hideMark/>
          </w:tcPr>
          <w:p w14:paraId="3641D45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Степной Укр. селекц. центр, Одесса.</w:t>
            </w:r>
          </w:p>
        </w:tc>
      </w:tr>
      <w:tr w:rsidR="00F26F01" w:rsidRPr="00C33834" w14:paraId="3DC72820" w14:textId="77777777" w:rsidTr="00DC292A">
        <w:trPr>
          <w:trHeight w:val="900"/>
        </w:trPr>
        <w:tc>
          <w:tcPr>
            <w:tcW w:w="0" w:type="auto"/>
            <w:vAlign w:val="center"/>
            <w:hideMark/>
          </w:tcPr>
          <w:p w14:paraId="2D59105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Мукохранилище—11 точек (Ивановская</w:t>
            </w:r>
          </w:p>
          <w:p w14:paraId="4CD464D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промышленная область, Средняя Волга</w:t>
            </w:r>
          </w:p>
          <w:p w14:paraId="0B2D95C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ЦЧО).</w:t>
            </w:r>
          </w:p>
        </w:tc>
        <w:tc>
          <w:tcPr>
            <w:tcW w:w="0" w:type="auto"/>
            <w:vAlign w:val="center"/>
            <w:hideMark/>
          </w:tcPr>
          <w:p w14:paraId="6ED6B41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ЦЧО селекц. центр, Воронеж.</w:t>
            </w:r>
          </w:p>
        </w:tc>
      </w:tr>
      <w:tr w:rsidR="00F26F01" w:rsidRPr="00C33834" w14:paraId="35D3CFB3" w14:textId="77777777" w:rsidTr="00DC292A">
        <w:trPr>
          <w:trHeight w:val="600"/>
        </w:trPr>
        <w:tc>
          <w:tcPr>
            <w:tcW w:w="0" w:type="auto"/>
            <w:vAlign w:val="center"/>
            <w:hideMark/>
          </w:tcPr>
          <w:p w14:paraId="1C5B2AC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Арахисохранилища: Грузия</w:t>
            </w:r>
          </w:p>
          <w:p w14:paraId="7084848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Азербайджан.</w:t>
            </w:r>
          </w:p>
        </w:tc>
        <w:tc>
          <w:tcPr>
            <w:tcW w:w="0" w:type="auto"/>
            <w:vAlign w:val="center"/>
            <w:hideMark/>
          </w:tcPr>
          <w:p w14:paraId="26DE363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Минск, селекц. центр, Минск.</w:t>
            </w:r>
          </w:p>
        </w:tc>
      </w:tr>
      <w:tr w:rsidR="00F26F01" w:rsidRPr="00C33834" w14:paraId="2CDF7383" w14:textId="77777777" w:rsidTr="00DC292A">
        <w:trPr>
          <w:trHeight w:val="300"/>
        </w:trPr>
        <w:tc>
          <w:tcPr>
            <w:tcW w:w="0" w:type="auto"/>
            <w:vAlign w:val="center"/>
            <w:hideMark/>
          </w:tcPr>
          <w:p w14:paraId="19D3E47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Моск. селекц. центр, ст. Немчиновка.</w:t>
            </w:r>
          </w:p>
        </w:tc>
        <w:tc>
          <w:tcPr>
            <w:tcW w:w="0" w:type="auto"/>
            <w:vAlign w:val="center"/>
            <w:hideMark/>
          </w:tcPr>
          <w:p w14:paraId="70EF716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Семенохранилища в совхозах.</w:t>
            </w:r>
          </w:p>
        </w:tc>
      </w:tr>
    </w:tbl>
    <w:p w14:paraId="135F277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КОНЕВОДТРЕСТ.</w:t>
      </w:r>
    </w:p>
    <w:tbl>
      <w:tblPr>
        <w:tblW w:w="7695" w:type="dxa"/>
        <w:tblCellMar>
          <w:left w:w="0" w:type="dxa"/>
          <w:right w:w="0" w:type="dxa"/>
        </w:tblCellMar>
        <w:tblLook w:val="04A0" w:firstRow="1" w:lastRow="0" w:firstColumn="1" w:lastColumn="0" w:noHBand="0" w:noVBand="1"/>
      </w:tblPr>
      <w:tblGrid>
        <w:gridCol w:w="4508"/>
        <w:gridCol w:w="3187"/>
      </w:tblGrid>
      <w:tr w:rsidR="00F26F01" w:rsidRPr="00C33834" w14:paraId="4764EFAB" w14:textId="77777777" w:rsidTr="00DC292A">
        <w:trPr>
          <w:trHeight w:val="300"/>
        </w:trPr>
        <w:tc>
          <w:tcPr>
            <w:tcW w:w="0" w:type="auto"/>
            <w:vAlign w:val="center"/>
            <w:hideMark/>
          </w:tcPr>
          <w:p w14:paraId="4479763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vAlign w:val="center"/>
            <w:hideMark/>
          </w:tcPr>
          <w:p w14:paraId="02B8029B"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Вложения в строительство 1933 г.</w:t>
            </w:r>
          </w:p>
          <w:p w14:paraId="6848AEC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тыс. руб.)</w:t>
            </w:r>
          </w:p>
        </w:tc>
      </w:tr>
      <w:tr w:rsidR="00F26F01" w:rsidRPr="00C33834" w14:paraId="5BA6628B" w14:textId="77777777" w:rsidTr="00DC292A">
        <w:trPr>
          <w:trHeight w:val="300"/>
        </w:trPr>
        <w:tc>
          <w:tcPr>
            <w:tcW w:w="0" w:type="auto"/>
            <w:vAlign w:val="center"/>
            <w:hideMark/>
          </w:tcPr>
          <w:p w14:paraId="064B3D8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Конюшни, базы, ветеринарн. лазареты и изолят.</w:t>
            </w:r>
          </w:p>
        </w:tc>
        <w:tc>
          <w:tcPr>
            <w:tcW w:w="0" w:type="auto"/>
            <w:vAlign w:val="center"/>
            <w:hideMark/>
          </w:tcPr>
          <w:p w14:paraId="0F8425A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4.200.0</w:t>
            </w:r>
          </w:p>
        </w:tc>
      </w:tr>
      <w:tr w:rsidR="00F26F01" w:rsidRPr="00C33834" w14:paraId="00810606" w14:textId="77777777" w:rsidTr="00DC292A">
        <w:trPr>
          <w:trHeight w:val="300"/>
        </w:trPr>
        <w:tc>
          <w:tcPr>
            <w:tcW w:w="0" w:type="auto"/>
            <w:vAlign w:val="center"/>
            <w:hideMark/>
          </w:tcPr>
          <w:p w14:paraId="191F62A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Хлопкосовхозы</w:t>
            </w:r>
          </w:p>
        </w:tc>
        <w:tc>
          <w:tcPr>
            <w:tcW w:w="0" w:type="auto"/>
            <w:vAlign w:val="center"/>
            <w:hideMark/>
          </w:tcPr>
          <w:p w14:paraId="6417CF8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5.000,0</w:t>
            </w:r>
          </w:p>
        </w:tc>
      </w:tr>
      <w:tr w:rsidR="00F26F01" w:rsidRPr="00C33834" w14:paraId="5D1ADC52" w14:textId="77777777" w:rsidTr="00DC292A">
        <w:trPr>
          <w:trHeight w:val="300"/>
        </w:trPr>
        <w:tc>
          <w:tcPr>
            <w:tcW w:w="0" w:type="auto"/>
            <w:vAlign w:val="center"/>
            <w:hideMark/>
          </w:tcPr>
          <w:p w14:paraId="70D0CC7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Зоответсеть </w:t>
            </w:r>
          </w:p>
        </w:tc>
        <w:tc>
          <w:tcPr>
            <w:tcW w:w="0" w:type="auto"/>
            <w:vAlign w:val="center"/>
            <w:hideMark/>
          </w:tcPr>
          <w:p w14:paraId="1540416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5.000,0</w:t>
            </w:r>
          </w:p>
        </w:tc>
      </w:tr>
      <w:tr w:rsidR="00F26F01" w:rsidRPr="00C33834" w14:paraId="12ED24C7" w14:textId="77777777" w:rsidTr="00DC292A">
        <w:trPr>
          <w:trHeight w:val="300"/>
        </w:trPr>
        <w:tc>
          <w:tcPr>
            <w:tcW w:w="0" w:type="auto"/>
            <w:vAlign w:val="center"/>
            <w:hideMark/>
          </w:tcPr>
          <w:p w14:paraId="6A831AF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Упр. землеустройства и переселения</w:t>
            </w:r>
          </w:p>
        </w:tc>
        <w:tc>
          <w:tcPr>
            <w:tcW w:w="0" w:type="auto"/>
            <w:vAlign w:val="center"/>
            <w:hideMark/>
          </w:tcPr>
          <w:p w14:paraId="42AD71A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7.800,0</w:t>
            </w:r>
          </w:p>
        </w:tc>
      </w:tr>
    </w:tbl>
    <w:p w14:paraId="2EA8A05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ЧАИ-ГРУЗИЯ.</w:t>
      </w:r>
    </w:p>
    <w:tbl>
      <w:tblPr>
        <w:tblW w:w="7695" w:type="dxa"/>
        <w:tblCellMar>
          <w:left w:w="0" w:type="dxa"/>
          <w:right w:w="0" w:type="dxa"/>
        </w:tblCellMar>
        <w:tblLook w:val="04A0" w:firstRow="1" w:lastRow="0" w:firstColumn="1" w:lastColumn="0" w:noHBand="0" w:noVBand="1"/>
      </w:tblPr>
      <w:tblGrid>
        <w:gridCol w:w="4829"/>
        <w:gridCol w:w="2866"/>
      </w:tblGrid>
      <w:tr w:rsidR="00F26F01" w:rsidRPr="00C33834" w14:paraId="1334B64B" w14:textId="77777777" w:rsidTr="00DC292A">
        <w:trPr>
          <w:trHeight w:val="300"/>
        </w:trPr>
        <w:tc>
          <w:tcPr>
            <w:tcW w:w="0" w:type="auto"/>
            <w:vAlign w:val="center"/>
            <w:hideMark/>
          </w:tcPr>
          <w:p w14:paraId="161CE0D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Насакиральская чайная фабрика</w:t>
            </w:r>
          </w:p>
        </w:tc>
        <w:tc>
          <w:tcPr>
            <w:tcW w:w="0" w:type="auto"/>
            <w:vAlign w:val="center"/>
            <w:hideMark/>
          </w:tcPr>
          <w:p w14:paraId="6CEB1FE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Озургетский район</w:t>
            </w:r>
          </w:p>
        </w:tc>
      </w:tr>
      <w:tr w:rsidR="00F26F01" w:rsidRPr="00C33834" w14:paraId="65B52A13" w14:textId="77777777" w:rsidTr="00DC292A">
        <w:trPr>
          <w:trHeight w:val="300"/>
        </w:trPr>
        <w:tc>
          <w:tcPr>
            <w:tcW w:w="0" w:type="auto"/>
            <w:vAlign w:val="center"/>
            <w:hideMark/>
          </w:tcPr>
          <w:p w14:paraId="6842240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Магалиацерская чайная фабрика</w:t>
            </w:r>
          </w:p>
        </w:tc>
        <w:tc>
          <w:tcPr>
            <w:tcW w:w="0" w:type="auto"/>
            <w:vAlign w:val="center"/>
            <w:hideMark/>
          </w:tcPr>
          <w:p w14:paraId="4C6BFC2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Озургетский район</w:t>
            </w:r>
          </w:p>
        </w:tc>
      </w:tr>
      <w:tr w:rsidR="00F26F01" w:rsidRPr="00C33834" w14:paraId="3183ABC8" w14:textId="77777777" w:rsidTr="00DC292A">
        <w:trPr>
          <w:trHeight w:val="300"/>
        </w:trPr>
        <w:tc>
          <w:tcPr>
            <w:tcW w:w="0" w:type="auto"/>
            <w:vAlign w:val="center"/>
            <w:hideMark/>
          </w:tcPr>
          <w:p w14:paraId="721C06C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Шромская чайная фабрика</w:t>
            </w:r>
          </w:p>
        </w:tc>
        <w:tc>
          <w:tcPr>
            <w:tcW w:w="0" w:type="auto"/>
            <w:vAlign w:val="center"/>
            <w:hideMark/>
          </w:tcPr>
          <w:p w14:paraId="383DAF8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Озургетский район</w:t>
            </w:r>
          </w:p>
        </w:tc>
      </w:tr>
      <w:tr w:rsidR="00F26F01" w:rsidRPr="00C33834" w14:paraId="4BAE5D8F" w14:textId="77777777" w:rsidTr="00DC292A">
        <w:trPr>
          <w:trHeight w:val="300"/>
        </w:trPr>
        <w:tc>
          <w:tcPr>
            <w:tcW w:w="0" w:type="auto"/>
            <w:vAlign w:val="center"/>
            <w:hideMark/>
          </w:tcPr>
          <w:p w14:paraId="2361D40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Ачисварская чайная фабрика</w:t>
            </w:r>
          </w:p>
        </w:tc>
        <w:tc>
          <w:tcPr>
            <w:tcW w:w="0" w:type="auto"/>
            <w:vAlign w:val="center"/>
            <w:hideMark/>
          </w:tcPr>
          <w:p w14:paraId="7B10B9A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Гальский район</w:t>
            </w:r>
          </w:p>
        </w:tc>
      </w:tr>
      <w:tr w:rsidR="00F26F01" w:rsidRPr="00C33834" w14:paraId="4AB7157F" w14:textId="77777777" w:rsidTr="00DC292A">
        <w:trPr>
          <w:trHeight w:val="300"/>
        </w:trPr>
        <w:tc>
          <w:tcPr>
            <w:tcW w:w="0" w:type="auto"/>
            <w:vAlign w:val="center"/>
            <w:hideMark/>
          </w:tcPr>
          <w:p w14:paraId="7B480B6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Зугдитская чайная фабрика</w:t>
            </w:r>
          </w:p>
        </w:tc>
        <w:tc>
          <w:tcPr>
            <w:tcW w:w="0" w:type="auto"/>
            <w:vAlign w:val="center"/>
            <w:hideMark/>
          </w:tcPr>
          <w:p w14:paraId="15E9F05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Зугдитский район</w:t>
            </w:r>
          </w:p>
        </w:tc>
      </w:tr>
      <w:tr w:rsidR="00F26F01" w:rsidRPr="00C33834" w14:paraId="4889A73B" w14:textId="77777777" w:rsidTr="00DC292A">
        <w:trPr>
          <w:trHeight w:val="300"/>
        </w:trPr>
        <w:tc>
          <w:tcPr>
            <w:tcW w:w="0" w:type="auto"/>
            <w:vAlign w:val="center"/>
            <w:hideMark/>
          </w:tcPr>
          <w:p w14:paraId="6CC090A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Назаретская чайная фабрика</w:t>
            </w:r>
          </w:p>
        </w:tc>
        <w:tc>
          <w:tcPr>
            <w:tcW w:w="0" w:type="auto"/>
            <w:vAlign w:val="center"/>
            <w:hideMark/>
          </w:tcPr>
          <w:p w14:paraId="327B8AD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Зугдитский район</w:t>
            </w:r>
          </w:p>
        </w:tc>
      </w:tr>
      <w:tr w:rsidR="00F26F01" w:rsidRPr="00C33834" w14:paraId="3016F288" w14:textId="77777777" w:rsidTr="00DC292A">
        <w:trPr>
          <w:trHeight w:val="300"/>
        </w:trPr>
        <w:tc>
          <w:tcPr>
            <w:tcW w:w="0" w:type="auto"/>
            <w:vAlign w:val="center"/>
            <w:hideMark/>
          </w:tcPr>
          <w:p w14:paraId="63E14F7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Хонская чайная фабрика</w:t>
            </w:r>
          </w:p>
        </w:tc>
        <w:tc>
          <w:tcPr>
            <w:tcW w:w="0" w:type="auto"/>
            <w:vAlign w:val="center"/>
            <w:hideMark/>
          </w:tcPr>
          <w:p w14:paraId="55B2313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Хонский район</w:t>
            </w:r>
          </w:p>
        </w:tc>
      </w:tr>
      <w:tr w:rsidR="00F26F01" w:rsidRPr="00C33834" w14:paraId="760718CE" w14:textId="77777777" w:rsidTr="00DC292A">
        <w:trPr>
          <w:trHeight w:val="300"/>
        </w:trPr>
        <w:tc>
          <w:tcPr>
            <w:tcW w:w="0" w:type="auto"/>
            <w:vAlign w:val="center"/>
            <w:hideMark/>
          </w:tcPr>
          <w:p w14:paraId="7B63264A"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Падент-Жикская чайная фабрика</w:t>
            </w:r>
          </w:p>
        </w:tc>
        <w:tc>
          <w:tcPr>
            <w:tcW w:w="0" w:type="auto"/>
            <w:vAlign w:val="center"/>
            <w:hideMark/>
          </w:tcPr>
          <w:p w14:paraId="25C0F1C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Хонский район</w:t>
            </w:r>
          </w:p>
        </w:tc>
      </w:tr>
      <w:tr w:rsidR="00F26F01" w:rsidRPr="00C33834" w14:paraId="2CEF1CC3" w14:textId="77777777" w:rsidTr="00DC292A">
        <w:trPr>
          <w:trHeight w:val="300"/>
        </w:trPr>
        <w:tc>
          <w:tcPr>
            <w:tcW w:w="0" w:type="auto"/>
            <w:vAlign w:val="center"/>
            <w:hideMark/>
          </w:tcPr>
          <w:p w14:paraId="094F90A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Дидичковская чайная фабрика</w:t>
            </w:r>
          </w:p>
        </w:tc>
        <w:tc>
          <w:tcPr>
            <w:tcW w:w="0" w:type="auto"/>
            <w:vAlign w:val="center"/>
            <w:hideMark/>
          </w:tcPr>
          <w:p w14:paraId="4C6DD77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Мартвильский район</w:t>
            </w:r>
          </w:p>
        </w:tc>
      </w:tr>
      <w:tr w:rsidR="00F26F01" w:rsidRPr="00C33834" w14:paraId="250F98F4" w14:textId="77777777" w:rsidTr="00DC292A">
        <w:trPr>
          <w:trHeight w:val="300"/>
        </w:trPr>
        <w:tc>
          <w:tcPr>
            <w:tcW w:w="0" w:type="auto"/>
            <w:vAlign w:val="center"/>
            <w:hideMark/>
          </w:tcPr>
          <w:p w14:paraId="6C2F315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10. Ушанарская чайная фабрика</w:t>
            </w:r>
          </w:p>
        </w:tc>
        <w:tc>
          <w:tcPr>
            <w:tcW w:w="0" w:type="auto"/>
            <w:vAlign w:val="center"/>
            <w:hideMark/>
          </w:tcPr>
          <w:p w14:paraId="6984C1E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Синарский район</w:t>
            </w:r>
          </w:p>
        </w:tc>
      </w:tr>
    </w:tbl>
    <w:p w14:paraId="626BA0E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ГЛАВВОДХОЗ.</w:t>
      </w:r>
    </w:p>
    <w:p w14:paraId="5608BD1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Вахшстрой — Термез, Ср.-Аз. ж. д. (головное сооружение, маг. канал с сооружен., основные ветки маг, кан. с сооружен., основные распред. сооружен. на сети и основные сбросы).</w:t>
      </w:r>
    </w:p>
    <w:p w14:paraId="284A3EB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Муганьстрой — Азербайджан (ст. Сараджаб, Джульер - Бакинская ж. д. Азисбек - коллектор, перекачечная станция, реконструкция Хаки-Кзыл-Арх, реконструкция 3-го распред.</w:t>
      </w:r>
    </w:p>
    <w:p w14:paraId="4355EBBF"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Магистральный канал — Армения (ст. Эривань, Алаверьянь).</w:t>
      </w:r>
    </w:p>
    <w:p w14:paraId="5241C75E"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Канал им. Орджоникидзе — Даш-Буруи (магистр, канал, основной коллектор, сеть на площади 10000 га).</w:t>
      </w:r>
    </w:p>
    <w:p w14:paraId="408A37D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Плавстрой — ст. Полтавск. Сев.-Кав. ж. д. (магистральный канал с сооружениями).</w:t>
      </w:r>
    </w:p>
    <w:p w14:paraId="118D1304"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XII. НК СОВХОЗОВ.</w:t>
      </w:r>
    </w:p>
    <w:p w14:paraId="6C1F471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млн. руб.)</w:t>
      </w:r>
    </w:p>
    <w:tbl>
      <w:tblPr>
        <w:tblW w:w="1120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76"/>
        <w:gridCol w:w="1276"/>
        <w:gridCol w:w="1354"/>
        <w:gridCol w:w="1116"/>
        <w:gridCol w:w="768"/>
        <w:gridCol w:w="885"/>
        <w:gridCol w:w="604"/>
        <w:gridCol w:w="565"/>
        <w:gridCol w:w="1001"/>
        <w:gridCol w:w="870"/>
        <w:gridCol w:w="492"/>
      </w:tblGrid>
      <w:tr w:rsidR="00F26F01" w:rsidRPr="00C33834" w14:paraId="58AB8831" w14:textId="77777777" w:rsidTr="00DC292A">
        <w:trPr>
          <w:trHeight w:val="1200"/>
        </w:trPr>
        <w:tc>
          <w:tcPr>
            <w:tcW w:w="2276" w:type="dxa"/>
            <w:tcBorders>
              <w:top w:val="outset" w:sz="6" w:space="0" w:color="auto"/>
              <w:left w:val="outset" w:sz="6" w:space="0" w:color="auto"/>
              <w:bottom w:val="outset" w:sz="6" w:space="0" w:color="auto"/>
              <w:right w:val="outset" w:sz="6" w:space="0" w:color="auto"/>
            </w:tcBorders>
            <w:vAlign w:val="center"/>
            <w:hideMark/>
          </w:tcPr>
          <w:p w14:paraId="06F7E207"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Местонахождение объекта</w:t>
            </w:r>
          </w:p>
        </w:tc>
        <w:tc>
          <w:tcPr>
            <w:tcW w:w="1276" w:type="dxa"/>
            <w:tcBorders>
              <w:top w:val="outset" w:sz="6" w:space="0" w:color="auto"/>
              <w:left w:val="outset" w:sz="6" w:space="0" w:color="auto"/>
              <w:bottom w:val="outset" w:sz="6" w:space="0" w:color="auto"/>
              <w:right w:val="outset" w:sz="6" w:space="0" w:color="auto"/>
            </w:tcBorders>
            <w:vAlign w:val="center"/>
            <w:hideMark/>
          </w:tcPr>
          <w:p w14:paraId="6EA6ECE6"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Ремонтые мастерские</w:t>
            </w:r>
          </w:p>
        </w:tc>
        <w:tc>
          <w:tcPr>
            <w:tcW w:w="1354" w:type="dxa"/>
            <w:tcBorders>
              <w:top w:val="outset" w:sz="6" w:space="0" w:color="auto"/>
              <w:left w:val="outset" w:sz="6" w:space="0" w:color="auto"/>
              <w:bottom w:val="outset" w:sz="6" w:space="0" w:color="auto"/>
              <w:right w:val="outset" w:sz="6" w:space="0" w:color="auto"/>
            </w:tcBorders>
            <w:vAlign w:val="center"/>
            <w:hideMark/>
          </w:tcPr>
          <w:p w14:paraId="14DB22E7"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Зерно-</w:t>
            </w:r>
          </w:p>
          <w:p w14:paraId="35D6A866"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хранилища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707188A"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Скотные дворы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5248D"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Телятники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7F477"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Свинарники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A3866"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Кошары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25941"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Силосы</w:t>
            </w:r>
          </w:p>
        </w:tc>
        <w:tc>
          <w:tcPr>
            <w:tcW w:w="1001" w:type="dxa"/>
            <w:tcBorders>
              <w:top w:val="outset" w:sz="6" w:space="0" w:color="auto"/>
              <w:left w:val="outset" w:sz="6" w:space="0" w:color="auto"/>
              <w:bottom w:val="outset" w:sz="6" w:space="0" w:color="auto"/>
              <w:right w:val="outset" w:sz="6" w:space="0" w:color="auto"/>
            </w:tcBorders>
            <w:vAlign w:val="center"/>
            <w:hideMark/>
          </w:tcPr>
          <w:p w14:paraId="2546CEEF"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Ветеринарные постройки</w:t>
            </w:r>
          </w:p>
        </w:tc>
        <w:tc>
          <w:tcPr>
            <w:tcW w:w="870" w:type="dxa"/>
            <w:tcBorders>
              <w:top w:val="outset" w:sz="6" w:space="0" w:color="auto"/>
              <w:left w:val="outset" w:sz="6" w:space="0" w:color="auto"/>
              <w:bottom w:val="outset" w:sz="6" w:space="0" w:color="auto"/>
              <w:right w:val="outset" w:sz="6" w:space="0" w:color="auto"/>
            </w:tcBorders>
            <w:vAlign w:val="center"/>
            <w:hideMark/>
          </w:tcPr>
          <w:p w14:paraId="287D6E45"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Мелиорация</w:t>
            </w:r>
          </w:p>
        </w:tc>
        <w:tc>
          <w:tcPr>
            <w:tcW w:w="492" w:type="dxa"/>
            <w:tcBorders>
              <w:top w:val="outset" w:sz="6" w:space="0" w:color="auto"/>
              <w:left w:val="outset" w:sz="6" w:space="0" w:color="auto"/>
              <w:bottom w:val="outset" w:sz="6" w:space="0" w:color="auto"/>
              <w:right w:val="outset" w:sz="6" w:space="0" w:color="auto"/>
            </w:tcBorders>
            <w:vAlign w:val="center"/>
            <w:hideMark/>
          </w:tcPr>
          <w:p w14:paraId="6EFC1B2D"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r>
      <w:tr w:rsidR="00F26F01" w:rsidRPr="00C33834" w14:paraId="25ABFF52"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4794A52E"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Северный край</w:t>
            </w:r>
          </w:p>
        </w:tc>
        <w:tc>
          <w:tcPr>
            <w:tcW w:w="1276" w:type="dxa"/>
            <w:tcBorders>
              <w:top w:val="outset" w:sz="6" w:space="0" w:color="auto"/>
              <w:left w:val="outset" w:sz="6" w:space="0" w:color="auto"/>
              <w:bottom w:val="outset" w:sz="6" w:space="0" w:color="auto"/>
              <w:right w:val="outset" w:sz="6" w:space="0" w:color="auto"/>
            </w:tcBorders>
            <w:vAlign w:val="center"/>
            <w:hideMark/>
          </w:tcPr>
          <w:p w14:paraId="2C91A656"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354" w:type="dxa"/>
            <w:tcBorders>
              <w:top w:val="outset" w:sz="6" w:space="0" w:color="auto"/>
              <w:left w:val="outset" w:sz="6" w:space="0" w:color="auto"/>
              <w:bottom w:val="outset" w:sz="6" w:space="0" w:color="auto"/>
              <w:right w:val="outset" w:sz="6" w:space="0" w:color="auto"/>
            </w:tcBorders>
            <w:vAlign w:val="center"/>
            <w:hideMark/>
          </w:tcPr>
          <w:p w14:paraId="6AA6F5CD"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09B08"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8486A"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EE16C"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AE10B"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86A04"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01" w:type="dxa"/>
            <w:tcBorders>
              <w:top w:val="outset" w:sz="6" w:space="0" w:color="auto"/>
              <w:left w:val="outset" w:sz="6" w:space="0" w:color="auto"/>
              <w:bottom w:val="outset" w:sz="6" w:space="0" w:color="auto"/>
              <w:right w:val="outset" w:sz="6" w:space="0" w:color="auto"/>
            </w:tcBorders>
            <w:vAlign w:val="center"/>
            <w:hideMark/>
          </w:tcPr>
          <w:p w14:paraId="42080195"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0,14</w:t>
            </w:r>
          </w:p>
        </w:tc>
        <w:tc>
          <w:tcPr>
            <w:tcW w:w="870" w:type="dxa"/>
            <w:tcBorders>
              <w:top w:val="outset" w:sz="6" w:space="0" w:color="auto"/>
              <w:left w:val="outset" w:sz="6" w:space="0" w:color="auto"/>
              <w:bottom w:val="outset" w:sz="6" w:space="0" w:color="auto"/>
              <w:right w:val="outset" w:sz="6" w:space="0" w:color="auto"/>
            </w:tcBorders>
            <w:vAlign w:val="center"/>
            <w:hideMark/>
          </w:tcPr>
          <w:p w14:paraId="48317AB5"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2D3D59D5"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0,14</w:t>
            </w:r>
          </w:p>
        </w:tc>
      </w:tr>
      <w:tr w:rsidR="00F26F01" w:rsidRPr="00C33834" w14:paraId="352DB4E4"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526EB671"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Западная область</w:t>
            </w:r>
          </w:p>
        </w:tc>
        <w:tc>
          <w:tcPr>
            <w:tcW w:w="1276" w:type="dxa"/>
            <w:tcBorders>
              <w:top w:val="outset" w:sz="6" w:space="0" w:color="auto"/>
              <w:left w:val="outset" w:sz="6" w:space="0" w:color="auto"/>
              <w:bottom w:val="outset" w:sz="6" w:space="0" w:color="auto"/>
              <w:right w:val="outset" w:sz="6" w:space="0" w:color="auto"/>
            </w:tcBorders>
            <w:vAlign w:val="center"/>
            <w:hideMark/>
          </w:tcPr>
          <w:p w14:paraId="7C59FC17"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w:t>
            </w:r>
          </w:p>
        </w:tc>
        <w:tc>
          <w:tcPr>
            <w:tcW w:w="1354" w:type="dxa"/>
            <w:tcBorders>
              <w:top w:val="outset" w:sz="6" w:space="0" w:color="auto"/>
              <w:left w:val="outset" w:sz="6" w:space="0" w:color="auto"/>
              <w:bottom w:val="outset" w:sz="6" w:space="0" w:color="auto"/>
              <w:right w:val="outset" w:sz="6" w:space="0" w:color="auto"/>
            </w:tcBorders>
            <w:vAlign w:val="center"/>
            <w:hideMark/>
          </w:tcPr>
          <w:p w14:paraId="232905E7"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43905"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C674F"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40A28"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66CCE"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91798"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0,25</w:t>
            </w:r>
          </w:p>
        </w:tc>
        <w:tc>
          <w:tcPr>
            <w:tcW w:w="1001" w:type="dxa"/>
            <w:tcBorders>
              <w:top w:val="outset" w:sz="6" w:space="0" w:color="auto"/>
              <w:left w:val="outset" w:sz="6" w:space="0" w:color="auto"/>
              <w:bottom w:val="outset" w:sz="6" w:space="0" w:color="auto"/>
              <w:right w:val="outset" w:sz="6" w:space="0" w:color="auto"/>
            </w:tcBorders>
            <w:vAlign w:val="center"/>
            <w:hideMark/>
          </w:tcPr>
          <w:p w14:paraId="044AE642"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0,15</w:t>
            </w:r>
          </w:p>
        </w:tc>
        <w:tc>
          <w:tcPr>
            <w:tcW w:w="870" w:type="dxa"/>
            <w:tcBorders>
              <w:top w:val="outset" w:sz="6" w:space="0" w:color="auto"/>
              <w:left w:val="outset" w:sz="6" w:space="0" w:color="auto"/>
              <w:bottom w:val="outset" w:sz="6" w:space="0" w:color="auto"/>
              <w:right w:val="outset" w:sz="6" w:space="0" w:color="auto"/>
            </w:tcBorders>
            <w:vAlign w:val="center"/>
            <w:hideMark/>
          </w:tcPr>
          <w:p w14:paraId="487022C1"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w:t>
            </w:r>
          </w:p>
        </w:tc>
        <w:tc>
          <w:tcPr>
            <w:tcW w:w="492" w:type="dxa"/>
            <w:tcBorders>
              <w:top w:val="outset" w:sz="6" w:space="0" w:color="auto"/>
              <w:left w:val="outset" w:sz="6" w:space="0" w:color="auto"/>
              <w:bottom w:val="outset" w:sz="6" w:space="0" w:color="auto"/>
              <w:right w:val="outset" w:sz="6" w:space="0" w:color="auto"/>
            </w:tcBorders>
            <w:vAlign w:val="center"/>
            <w:hideMark/>
          </w:tcPr>
          <w:p w14:paraId="10F22979"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1,45</w:t>
            </w:r>
          </w:p>
        </w:tc>
      </w:tr>
      <w:tr w:rsidR="00F26F01" w:rsidRPr="00C33834" w14:paraId="3757DB3A" w14:textId="77777777" w:rsidTr="00DC292A">
        <w:trPr>
          <w:trHeight w:val="540"/>
        </w:trPr>
        <w:tc>
          <w:tcPr>
            <w:tcW w:w="2276" w:type="dxa"/>
            <w:tcBorders>
              <w:top w:val="outset" w:sz="6" w:space="0" w:color="auto"/>
              <w:left w:val="outset" w:sz="6" w:space="0" w:color="auto"/>
              <w:bottom w:val="outset" w:sz="6" w:space="0" w:color="auto"/>
              <w:right w:val="outset" w:sz="6" w:space="0" w:color="auto"/>
            </w:tcBorders>
            <w:vAlign w:val="center"/>
            <w:hideMark/>
          </w:tcPr>
          <w:p w14:paraId="35814F91"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Ивановская промышленная область</w:t>
            </w:r>
          </w:p>
        </w:tc>
        <w:tc>
          <w:tcPr>
            <w:tcW w:w="1276" w:type="dxa"/>
            <w:tcBorders>
              <w:top w:val="outset" w:sz="6" w:space="0" w:color="auto"/>
              <w:left w:val="outset" w:sz="6" w:space="0" w:color="auto"/>
              <w:bottom w:val="outset" w:sz="6" w:space="0" w:color="auto"/>
              <w:right w:val="outset" w:sz="6" w:space="0" w:color="auto"/>
            </w:tcBorders>
            <w:vAlign w:val="center"/>
            <w:hideMark/>
          </w:tcPr>
          <w:p w14:paraId="3CD6451E"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0,02</w:t>
            </w:r>
          </w:p>
        </w:tc>
        <w:tc>
          <w:tcPr>
            <w:tcW w:w="1354" w:type="dxa"/>
            <w:tcBorders>
              <w:top w:val="outset" w:sz="6" w:space="0" w:color="auto"/>
              <w:left w:val="outset" w:sz="6" w:space="0" w:color="auto"/>
              <w:bottom w:val="outset" w:sz="6" w:space="0" w:color="auto"/>
              <w:right w:val="outset" w:sz="6" w:space="0" w:color="auto"/>
            </w:tcBorders>
            <w:vAlign w:val="center"/>
            <w:hideMark/>
          </w:tcPr>
          <w:p w14:paraId="032668C4"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DEB03"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DBAB2"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FF8BC"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6155F"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EA584"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0,07</w:t>
            </w:r>
          </w:p>
        </w:tc>
        <w:tc>
          <w:tcPr>
            <w:tcW w:w="1001" w:type="dxa"/>
            <w:tcBorders>
              <w:top w:val="outset" w:sz="6" w:space="0" w:color="auto"/>
              <w:left w:val="outset" w:sz="6" w:space="0" w:color="auto"/>
              <w:bottom w:val="outset" w:sz="6" w:space="0" w:color="auto"/>
              <w:right w:val="outset" w:sz="6" w:space="0" w:color="auto"/>
            </w:tcBorders>
            <w:vAlign w:val="center"/>
            <w:hideMark/>
          </w:tcPr>
          <w:p w14:paraId="7370A825"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70" w:type="dxa"/>
            <w:tcBorders>
              <w:top w:val="outset" w:sz="6" w:space="0" w:color="auto"/>
              <w:left w:val="outset" w:sz="6" w:space="0" w:color="auto"/>
              <w:bottom w:val="outset" w:sz="6" w:space="0" w:color="auto"/>
              <w:right w:val="outset" w:sz="6" w:space="0" w:color="auto"/>
            </w:tcBorders>
            <w:vAlign w:val="center"/>
            <w:hideMark/>
          </w:tcPr>
          <w:p w14:paraId="43EF828F"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5670902C"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0,09</w:t>
            </w:r>
          </w:p>
        </w:tc>
      </w:tr>
      <w:tr w:rsidR="00F26F01" w:rsidRPr="00C33834" w14:paraId="0849A7A0"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4082017C"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Горьковский край</w:t>
            </w:r>
          </w:p>
        </w:tc>
        <w:tc>
          <w:tcPr>
            <w:tcW w:w="1276" w:type="dxa"/>
            <w:tcBorders>
              <w:top w:val="outset" w:sz="6" w:space="0" w:color="auto"/>
              <w:left w:val="outset" w:sz="6" w:space="0" w:color="auto"/>
              <w:bottom w:val="outset" w:sz="6" w:space="0" w:color="auto"/>
              <w:right w:val="outset" w:sz="6" w:space="0" w:color="auto"/>
            </w:tcBorders>
            <w:vAlign w:val="center"/>
            <w:hideMark/>
          </w:tcPr>
          <w:p w14:paraId="567FBB7A"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0,02</w:t>
            </w:r>
          </w:p>
        </w:tc>
        <w:tc>
          <w:tcPr>
            <w:tcW w:w="1354" w:type="dxa"/>
            <w:tcBorders>
              <w:top w:val="outset" w:sz="6" w:space="0" w:color="auto"/>
              <w:left w:val="outset" w:sz="6" w:space="0" w:color="auto"/>
              <w:bottom w:val="outset" w:sz="6" w:space="0" w:color="auto"/>
              <w:right w:val="outset" w:sz="6" w:space="0" w:color="auto"/>
            </w:tcBorders>
            <w:vAlign w:val="center"/>
            <w:hideMark/>
          </w:tcPr>
          <w:p w14:paraId="7D481175"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2A30C"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5F2C7"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F99F4"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2016D"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D9FFF"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01" w:type="dxa"/>
            <w:tcBorders>
              <w:top w:val="outset" w:sz="6" w:space="0" w:color="auto"/>
              <w:left w:val="outset" w:sz="6" w:space="0" w:color="auto"/>
              <w:bottom w:val="outset" w:sz="6" w:space="0" w:color="auto"/>
              <w:right w:val="outset" w:sz="6" w:space="0" w:color="auto"/>
            </w:tcBorders>
            <w:vAlign w:val="center"/>
            <w:hideMark/>
          </w:tcPr>
          <w:p w14:paraId="05AFB49C"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0,05</w:t>
            </w:r>
          </w:p>
        </w:tc>
        <w:tc>
          <w:tcPr>
            <w:tcW w:w="870" w:type="dxa"/>
            <w:tcBorders>
              <w:top w:val="outset" w:sz="6" w:space="0" w:color="auto"/>
              <w:left w:val="outset" w:sz="6" w:space="0" w:color="auto"/>
              <w:bottom w:val="outset" w:sz="6" w:space="0" w:color="auto"/>
              <w:right w:val="outset" w:sz="6" w:space="0" w:color="auto"/>
            </w:tcBorders>
            <w:vAlign w:val="center"/>
            <w:hideMark/>
          </w:tcPr>
          <w:p w14:paraId="40B07647"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4CB64A35"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0,07</w:t>
            </w:r>
          </w:p>
        </w:tc>
      </w:tr>
      <w:tr w:rsidR="00F26F01" w:rsidRPr="00C33834" w14:paraId="3D0B1D2A"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0CB06CD6"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ЦЧО</w:t>
            </w:r>
          </w:p>
        </w:tc>
        <w:tc>
          <w:tcPr>
            <w:tcW w:w="1276" w:type="dxa"/>
            <w:tcBorders>
              <w:top w:val="outset" w:sz="6" w:space="0" w:color="auto"/>
              <w:left w:val="outset" w:sz="6" w:space="0" w:color="auto"/>
              <w:bottom w:val="outset" w:sz="6" w:space="0" w:color="auto"/>
              <w:right w:val="outset" w:sz="6" w:space="0" w:color="auto"/>
            </w:tcBorders>
            <w:vAlign w:val="center"/>
            <w:hideMark/>
          </w:tcPr>
          <w:p w14:paraId="674BFAB2"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0,78</w:t>
            </w:r>
          </w:p>
        </w:tc>
        <w:tc>
          <w:tcPr>
            <w:tcW w:w="1354" w:type="dxa"/>
            <w:tcBorders>
              <w:top w:val="outset" w:sz="6" w:space="0" w:color="auto"/>
              <w:left w:val="outset" w:sz="6" w:space="0" w:color="auto"/>
              <w:bottom w:val="outset" w:sz="6" w:space="0" w:color="auto"/>
              <w:right w:val="outset" w:sz="6" w:space="0" w:color="auto"/>
            </w:tcBorders>
            <w:vAlign w:val="center"/>
            <w:hideMark/>
          </w:tcPr>
          <w:p w14:paraId="68DD7E44"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41DD5C"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5C00E"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5A450"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D78FD"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75946"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0,25</w:t>
            </w:r>
          </w:p>
        </w:tc>
        <w:tc>
          <w:tcPr>
            <w:tcW w:w="1001" w:type="dxa"/>
            <w:tcBorders>
              <w:top w:val="outset" w:sz="6" w:space="0" w:color="auto"/>
              <w:left w:val="outset" w:sz="6" w:space="0" w:color="auto"/>
              <w:bottom w:val="outset" w:sz="6" w:space="0" w:color="auto"/>
              <w:right w:val="outset" w:sz="6" w:space="0" w:color="auto"/>
            </w:tcBorders>
            <w:vAlign w:val="center"/>
            <w:hideMark/>
          </w:tcPr>
          <w:p w14:paraId="5938CAB0"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0,46</w:t>
            </w:r>
          </w:p>
        </w:tc>
        <w:tc>
          <w:tcPr>
            <w:tcW w:w="870" w:type="dxa"/>
            <w:tcBorders>
              <w:top w:val="outset" w:sz="6" w:space="0" w:color="auto"/>
              <w:left w:val="outset" w:sz="6" w:space="0" w:color="auto"/>
              <w:bottom w:val="outset" w:sz="6" w:space="0" w:color="auto"/>
              <w:right w:val="outset" w:sz="6" w:space="0" w:color="auto"/>
            </w:tcBorders>
            <w:vAlign w:val="center"/>
            <w:hideMark/>
          </w:tcPr>
          <w:p w14:paraId="72C4B04E"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7EAC8F87"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3,09</w:t>
            </w:r>
          </w:p>
        </w:tc>
      </w:tr>
      <w:tr w:rsidR="00F26F01" w:rsidRPr="00C33834" w14:paraId="6B143B63" w14:textId="77777777" w:rsidTr="00DC292A">
        <w:trPr>
          <w:trHeight w:val="495"/>
        </w:trPr>
        <w:tc>
          <w:tcPr>
            <w:tcW w:w="2276" w:type="dxa"/>
            <w:tcBorders>
              <w:top w:val="outset" w:sz="6" w:space="0" w:color="auto"/>
              <w:left w:val="outset" w:sz="6" w:space="0" w:color="auto"/>
              <w:bottom w:val="outset" w:sz="6" w:space="0" w:color="auto"/>
              <w:right w:val="outset" w:sz="6" w:space="0" w:color="auto"/>
            </w:tcBorders>
            <w:vAlign w:val="center"/>
            <w:hideMark/>
          </w:tcPr>
          <w:p w14:paraId="6E6A961E"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Уральская область</w:t>
            </w:r>
          </w:p>
        </w:tc>
        <w:tc>
          <w:tcPr>
            <w:tcW w:w="1276" w:type="dxa"/>
            <w:tcBorders>
              <w:top w:val="outset" w:sz="6" w:space="0" w:color="auto"/>
              <w:left w:val="outset" w:sz="6" w:space="0" w:color="auto"/>
              <w:bottom w:val="outset" w:sz="6" w:space="0" w:color="auto"/>
              <w:right w:val="outset" w:sz="6" w:space="0" w:color="auto"/>
            </w:tcBorders>
            <w:vAlign w:val="center"/>
            <w:hideMark/>
          </w:tcPr>
          <w:p w14:paraId="0A0DF024"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0,88</w:t>
            </w:r>
          </w:p>
        </w:tc>
        <w:tc>
          <w:tcPr>
            <w:tcW w:w="1354" w:type="dxa"/>
            <w:tcBorders>
              <w:top w:val="outset" w:sz="6" w:space="0" w:color="auto"/>
              <w:left w:val="outset" w:sz="6" w:space="0" w:color="auto"/>
              <w:bottom w:val="outset" w:sz="6" w:space="0" w:color="auto"/>
              <w:right w:val="outset" w:sz="6" w:space="0" w:color="auto"/>
            </w:tcBorders>
            <w:vAlign w:val="center"/>
            <w:hideMark/>
          </w:tcPr>
          <w:p w14:paraId="53C256A4"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2A8F1"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81DCF"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C7C7F"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0D600"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E8AE1"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0,2</w:t>
            </w:r>
          </w:p>
        </w:tc>
        <w:tc>
          <w:tcPr>
            <w:tcW w:w="1001" w:type="dxa"/>
            <w:tcBorders>
              <w:top w:val="outset" w:sz="6" w:space="0" w:color="auto"/>
              <w:left w:val="outset" w:sz="6" w:space="0" w:color="auto"/>
              <w:bottom w:val="outset" w:sz="6" w:space="0" w:color="auto"/>
              <w:right w:val="outset" w:sz="6" w:space="0" w:color="auto"/>
            </w:tcBorders>
            <w:vAlign w:val="center"/>
            <w:hideMark/>
          </w:tcPr>
          <w:p w14:paraId="71C29B26"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0,5</w:t>
            </w:r>
          </w:p>
        </w:tc>
        <w:tc>
          <w:tcPr>
            <w:tcW w:w="870" w:type="dxa"/>
            <w:tcBorders>
              <w:top w:val="outset" w:sz="6" w:space="0" w:color="auto"/>
              <w:left w:val="outset" w:sz="6" w:space="0" w:color="auto"/>
              <w:bottom w:val="outset" w:sz="6" w:space="0" w:color="auto"/>
              <w:right w:val="outset" w:sz="6" w:space="0" w:color="auto"/>
            </w:tcBorders>
            <w:vAlign w:val="center"/>
            <w:hideMark/>
          </w:tcPr>
          <w:p w14:paraId="51C6F099"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0,2</w:t>
            </w:r>
          </w:p>
        </w:tc>
        <w:tc>
          <w:tcPr>
            <w:tcW w:w="492" w:type="dxa"/>
            <w:tcBorders>
              <w:top w:val="outset" w:sz="6" w:space="0" w:color="auto"/>
              <w:left w:val="outset" w:sz="6" w:space="0" w:color="auto"/>
              <w:bottom w:val="outset" w:sz="6" w:space="0" w:color="auto"/>
              <w:right w:val="outset" w:sz="6" w:space="0" w:color="auto"/>
            </w:tcBorders>
            <w:vAlign w:val="center"/>
            <w:hideMark/>
          </w:tcPr>
          <w:p w14:paraId="5808F7B8"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0,08</w:t>
            </w:r>
          </w:p>
        </w:tc>
      </w:tr>
      <w:tr w:rsidR="00F26F01" w:rsidRPr="00C33834" w14:paraId="2A4D50A6"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0237343D"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Башкирия</w:t>
            </w:r>
          </w:p>
        </w:tc>
        <w:tc>
          <w:tcPr>
            <w:tcW w:w="1276" w:type="dxa"/>
            <w:tcBorders>
              <w:top w:val="outset" w:sz="6" w:space="0" w:color="auto"/>
              <w:left w:val="outset" w:sz="6" w:space="0" w:color="auto"/>
              <w:bottom w:val="outset" w:sz="6" w:space="0" w:color="auto"/>
              <w:right w:val="outset" w:sz="6" w:space="0" w:color="auto"/>
            </w:tcBorders>
            <w:vAlign w:val="center"/>
            <w:hideMark/>
          </w:tcPr>
          <w:p w14:paraId="1ADBB199"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0,37</w:t>
            </w:r>
          </w:p>
        </w:tc>
        <w:tc>
          <w:tcPr>
            <w:tcW w:w="1354" w:type="dxa"/>
            <w:tcBorders>
              <w:top w:val="outset" w:sz="6" w:space="0" w:color="auto"/>
              <w:left w:val="outset" w:sz="6" w:space="0" w:color="auto"/>
              <w:bottom w:val="outset" w:sz="6" w:space="0" w:color="auto"/>
              <w:right w:val="outset" w:sz="6" w:space="0" w:color="auto"/>
            </w:tcBorders>
            <w:vAlign w:val="center"/>
            <w:hideMark/>
          </w:tcPr>
          <w:p w14:paraId="7938FF37"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3E083"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8BB10"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D1480"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85B79"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A1D27"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0,05</w:t>
            </w:r>
          </w:p>
        </w:tc>
        <w:tc>
          <w:tcPr>
            <w:tcW w:w="1001" w:type="dxa"/>
            <w:tcBorders>
              <w:top w:val="outset" w:sz="6" w:space="0" w:color="auto"/>
              <w:left w:val="outset" w:sz="6" w:space="0" w:color="auto"/>
              <w:bottom w:val="outset" w:sz="6" w:space="0" w:color="auto"/>
              <w:right w:val="outset" w:sz="6" w:space="0" w:color="auto"/>
            </w:tcBorders>
            <w:vAlign w:val="center"/>
            <w:hideMark/>
          </w:tcPr>
          <w:p w14:paraId="5F0D4618"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0,12</w:t>
            </w:r>
          </w:p>
        </w:tc>
        <w:tc>
          <w:tcPr>
            <w:tcW w:w="870" w:type="dxa"/>
            <w:tcBorders>
              <w:top w:val="outset" w:sz="6" w:space="0" w:color="auto"/>
              <w:left w:val="outset" w:sz="6" w:space="0" w:color="auto"/>
              <w:bottom w:val="outset" w:sz="6" w:space="0" w:color="auto"/>
              <w:right w:val="outset" w:sz="6" w:space="0" w:color="auto"/>
            </w:tcBorders>
            <w:vAlign w:val="center"/>
            <w:hideMark/>
          </w:tcPr>
          <w:p w14:paraId="1B46FA43"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0CFB9344"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0,54</w:t>
            </w:r>
          </w:p>
        </w:tc>
      </w:tr>
      <w:tr w:rsidR="00F26F01" w:rsidRPr="00C33834" w14:paraId="3929726B"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731BCBF0"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Татария</w:t>
            </w:r>
          </w:p>
        </w:tc>
        <w:tc>
          <w:tcPr>
            <w:tcW w:w="1276" w:type="dxa"/>
            <w:tcBorders>
              <w:top w:val="outset" w:sz="6" w:space="0" w:color="auto"/>
              <w:left w:val="outset" w:sz="6" w:space="0" w:color="auto"/>
              <w:bottom w:val="outset" w:sz="6" w:space="0" w:color="auto"/>
              <w:right w:val="outset" w:sz="6" w:space="0" w:color="auto"/>
            </w:tcBorders>
            <w:vAlign w:val="center"/>
            <w:hideMark/>
          </w:tcPr>
          <w:p w14:paraId="0C6BBC03"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0,2</w:t>
            </w:r>
          </w:p>
        </w:tc>
        <w:tc>
          <w:tcPr>
            <w:tcW w:w="1354" w:type="dxa"/>
            <w:tcBorders>
              <w:top w:val="outset" w:sz="6" w:space="0" w:color="auto"/>
              <w:left w:val="outset" w:sz="6" w:space="0" w:color="auto"/>
              <w:bottom w:val="outset" w:sz="6" w:space="0" w:color="auto"/>
              <w:right w:val="outset" w:sz="6" w:space="0" w:color="auto"/>
            </w:tcBorders>
            <w:vAlign w:val="center"/>
            <w:hideMark/>
          </w:tcPr>
          <w:p w14:paraId="1C188274"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15AED"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A3E8C"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E2B7E"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7682D"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4534C"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w:t>
            </w:r>
          </w:p>
        </w:tc>
        <w:tc>
          <w:tcPr>
            <w:tcW w:w="1001" w:type="dxa"/>
            <w:tcBorders>
              <w:top w:val="outset" w:sz="6" w:space="0" w:color="auto"/>
              <w:left w:val="outset" w:sz="6" w:space="0" w:color="auto"/>
              <w:bottom w:val="outset" w:sz="6" w:space="0" w:color="auto"/>
              <w:right w:val="outset" w:sz="6" w:space="0" w:color="auto"/>
            </w:tcBorders>
            <w:vAlign w:val="center"/>
            <w:hideMark/>
          </w:tcPr>
          <w:p w14:paraId="491C795A"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w:t>
            </w:r>
          </w:p>
        </w:tc>
        <w:tc>
          <w:tcPr>
            <w:tcW w:w="870" w:type="dxa"/>
            <w:tcBorders>
              <w:top w:val="outset" w:sz="6" w:space="0" w:color="auto"/>
              <w:left w:val="outset" w:sz="6" w:space="0" w:color="auto"/>
              <w:bottom w:val="outset" w:sz="6" w:space="0" w:color="auto"/>
              <w:right w:val="outset" w:sz="6" w:space="0" w:color="auto"/>
            </w:tcBorders>
            <w:vAlign w:val="center"/>
            <w:hideMark/>
          </w:tcPr>
          <w:p w14:paraId="64685D5E"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12D2B9AA"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0,4</w:t>
            </w:r>
          </w:p>
        </w:tc>
      </w:tr>
      <w:tr w:rsidR="00F26F01" w:rsidRPr="00C33834" w14:paraId="7ED04A24"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06174D8A"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Средняя Волга</w:t>
            </w:r>
          </w:p>
        </w:tc>
        <w:tc>
          <w:tcPr>
            <w:tcW w:w="1276" w:type="dxa"/>
            <w:tcBorders>
              <w:top w:val="outset" w:sz="6" w:space="0" w:color="auto"/>
              <w:left w:val="outset" w:sz="6" w:space="0" w:color="auto"/>
              <w:bottom w:val="outset" w:sz="6" w:space="0" w:color="auto"/>
              <w:right w:val="outset" w:sz="6" w:space="0" w:color="auto"/>
            </w:tcBorders>
            <w:vAlign w:val="center"/>
            <w:hideMark/>
          </w:tcPr>
          <w:p w14:paraId="4706525E"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0,42</w:t>
            </w:r>
          </w:p>
        </w:tc>
        <w:tc>
          <w:tcPr>
            <w:tcW w:w="1354" w:type="dxa"/>
            <w:tcBorders>
              <w:top w:val="outset" w:sz="6" w:space="0" w:color="auto"/>
              <w:left w:val="outset" w:sz="6" w:space="0" w:color="auto"/>
              <w:bottom w:val="outset" w:sz="6" w:space="0" w:color="auto"/>
              <w:right w:val="outset" w:sz="6" w:space="0" w:color="auto"/>
            </w:tcBorders>
            <w:vAlign w:val="center"/>
            <w:hideMark/>
          </w:tcPr>
          <w:p w14:paraId="5892B292"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95D63"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06A58"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C8179"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FA7B7"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2107D"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0,4</w:t>
            </w:r>
          </w:p>
        </w:tc>
        <w:tc>
          <w:tcPr>
            <w:tcW w:w="1001" w:type="dxa"/>
            <w:tcBorders>
              <w:top w:val="outset" w:sz="6" w:space="0" w:color="auto"/>
              <w:left w:val="outset" w:sz="6" w:space="0" w:color="auto"/>
              <w:bottom w:val="outset" w:sz="6" w:space="0" w:color="auto"/>
              <w:right w:val="outset" w:sz="6" w:space="0" w:color="auto"/>
            </w:tcBorders>
            <w:vAlign w:val="center"/>
            <w:hideMark/>
          </w:tcPr>
          <w:p w14:paraId="2CAF72AA"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0,55</w:t>
            </w:r>
          </w:p>
        </w:tc>
        <w:tc>
          <w:tcPr>
            <w:tcW w:w="870" w:type="dxa"/>
            <w:tcBorders>
              <w:top w:val="outset" w:sz="6" w:space="0" w:color="auto"/>
              <w:left w:val="outset" w:sz="6" w:space="0" w:color="auto"/>
              <w:bottom w:val="outset" w:sz="6" w:space="0" w:color="auto"/>
              <w:right w:val="outset" w:sz="6" w:space="0" w:color="auto"/>
            </w:tcBorders>
            <w:vAlign w:val="center"/>
            <w:hideMark/>
          </w:tcPr>
          <w:p w14:paraId="61CEA2C5"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4F47568D"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r>
      <w:tr w:rsidR="00F26F01" w:rsidRPr="00C33834" w14:paraId="04B4229A"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17B94F00"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Нижняя Волга</w:t>
            </w:r>
          </w:p>
        </w:tc>
        <w:tc>
          <w:tcPr>
            <w:tcW w:w="1276" w:type="dxa"/>
            <w:tcBorders>
              <w:top w:val="outset" w:sz="6" w:space="0" w:color="auto"/>
              <w:left w:val="outset" w:sz="6" w:space="0" w:color="auto"/>
              <w:bottom w:val="outset" w:sz="6" w:space="0" w:color="auto"/>
              <w:right w:val="outset" w:sz="6" w:space="0" w:color="auto"/>
            </w:tcBorders>
            <w:vAlign w:val="center"/>
            <w:hideMark/>
          </w:tcPr>
          <w:p w14:paraId="3B1879A8"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0,71</w:t>
            </w:r>
          </w:p>
        </w:tc>
        <w:tc>
          <w:tcPr>
            <w:tcW w:w="1354" w:type="dxa"/>
            <w:tcBorders>
              <w:top w:val="outset" w:sz="6" w:space="0" w:color="auto"/>
              <w:left w:val="outset" w:sz="6" w:space="0" w:color="auto"/>
              <w:bottom w:val="outset" w:sz="6" w:space="0" w:color="auto"/>
              <w:right w:val="outset" w:sz="6" w:space="0" w:color="auto"/>
            </w:tcBorders>
            <w:vAlign w:val="center"/>
            <w:hideMark/>
          </w:tcPr>
          <w:p w14:paraId="350006E3"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4F8AC"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4BFE5"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26CC3"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35401"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A51B3"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0,35</w:t>
            </w:r>
          </w:p>
        </w:tc>
        <w:tc>
          <w:tcPr>
            <w:tcW w:w="1001" w:type="dxa"/>
            <w:tcBorders>
              <w:top w:val="outset" w:sz="6" w:space="0" w:color="auto"/>
              <w:left w:val="outset" w:sz="6" w:space="0" w:color="auto"/>
              <w:bottom w:val="outset" w:sz="6" w:space="0" w:color="auto"/>
              <w:right w:val="outset" w:sz="6" w:space="0" w:color="auto"/>
            </w:tcBorders>
            <w:vAlign w:val="center"/>
            <w:hideMark/>
          </w:tcPr>
          <w:p w14:paraId="113D27BB"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0,63</w:t>
            </w:r>
          </w:p>
        </w:tc>
        <w:tc>
          <w:tcPr>
            <w:tcW w:w="870" w:type="dxa"/>
            <w:tcBorders>
              <w:top w:val="outset" w:sz="6" w:space="0" w:color="auto"/>
              <w:left w:val="outset" w:sz="6" w:space="0" w:color="auto"/>
              <w:bottom w:val="outset" w:sz="6" w:space="0" w:color="auto"/>
              <w:right w:val="outset" w:sz="6" w:space="0" w:color="auto"/>
            </w:tcBorders>
            <w:vAlign w:val="center"/>
            <w:hideMark/>
          </w:tcPr>
          <w:p w14:paraId="7229F364"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4E6B47F3"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3,49</w:t>
            </w:r>
          </w:p>
        </w:tc>
      </w:tr>
      <w:tr w:rsidR="00F26F01" w:rsidRPr="00C33834" w14:paraId="03BA98E9"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0DA021F3"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Северный Кавказ</w:t>
            </w:r>
          </w:p>
        </w:tc>
        <w:tc>
          <w:tcPr>
            <w:tcW w:w="1276" w:type="dxa"/>
            <w:tcBorders>
              <w:top w:val="outset" w:sz="6" w:space="0" w:color="auto"/>
              <w:left w:val="outset" w:sz="6" w:space="0" w:color="auto"/>
              <w:bottom w:val="outset" w:sz="6" w:space="0" w:color="auto"/>
              <w:right w:val="outset" w:sz="6" w:space="0" w:color="auto"/>
            </w:tcBorders>
            <w:vAlign w:val="center"/>
            <w:hideMark/>
          </w:tcPr>
          <w:p w14:paraId="53431D00"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1,86</w:t>
            </w:r>
          </w:p>
        </w:tc>
        <w:tc>
          <w:tcPr>
            <w:tcW w:w="1354" w:type="dxa"/>
            <w:tcBorders>
              <w:top w:val="outset" w:sz="6" w:space="0" w:color="auto"/>
              <w:left w:val="outset" w:sz="6" w:space="0" w:color="auto"/>
              <w:bottom w:val="outset" w:sz="6" w:space="0" w:color="auto"/>
              <w:right w:val="outset" w:sz="6" w:space="0" w:color="auto"/>
            </w:tcBorders>
            <w:vAlign w:val="center"/>
            <w:hideMark/>
          </w:tcPr>
          <w:p w14:paraId="50BC6BE8"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847420"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7EF73"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A0A56"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B4CDF"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0F9B9"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0,2</w:t>
            </w:r>
          </w:p>
        </w:tc>
        <w:tc>
          <w:tcPr>
            <w:tcW w:w="1001" w:type="dxa"/>
            <w:tcBorders>
              <w:top w:val="outset" w:sz="6" w:space="0" w:color="auto"/>
              <w:left w:val="outset" w:sz="6" w:space="0" w:color="auto"/>
              <w:bottom w:val="outset" w:sz="6" w:space="0" w:color="auto"/>
              <w:right w:val="outset" w:sz="6" w:space="0" w:color="auto"/>
            </w:tcBorders>
            <w:vAlign w:val="center"/>
            <w:hideMark/>
          </w:tcPr>
          <w:p w14:paraId="790931EE"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0,55</w:t>
            </w:r>
          </w:p>
        </w:tc>
        <w:tc>
          <w:tcPr>
            <w:tcW w:w="870" w:type="dxa"/>
            <w:tcBorders>
              <w:top w:val="outset" w:sz="6" w:space="0" w:color="auto"/>
              <w:left w:val="outset" w:sz="6" w:space="0" w:color="auto"/>
              <w:bottom w:val="outset" w:sz="6" w:space="0" w:color="auto"/>
              <w:right w:val="outset" w:sz="6" w:space="0" w:color="auto"/>
            </w:tcBorders>
            <w:vAlign w:val="center"/>
            <w:hideMark/>
          </w:tcPr>
          <w:p w14:paraId="70CD5DE3"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0,13</w:t>
            </w:r>
          </w:p>
        </w:tc>
        <w:tc>
          <w:tcPr>
            <w:tcW w:w="492" w:type="dxa"/>
            <w:tcBorders>
              <w:top w:val="outset" w:sz="6" w:space="0" w:color="auto"/>
              <w:left w:val="outset" w:sz="6" w:space="0" w:color="auto"/>
              <w:bottom w:val="outset" w:sz="6" w:space="0" w:color="auto"/>
              <w:right w:val="outset" w:sz="6" w:space="0" w:color="auto"/>
            </w:tcBorders>
            <w:vAlign w:val="center"/>
            <w:hideMark/>
          </w:tcPr>
          <w:p w14:paraId="1197B2FF"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7,76</w:t>
            </w:r>
          </w:p>
        </w:tc>
      </w:tr>
      <w:tr w:rsidR="00F26F01" w:rsidRPr="00C33834" w14:paraId="1E6DF2E2"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2888E5EF"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Крым</w:t>
            </w:r>
          </w:p>
        </w:tc>
        <w:tc>
          <w:tcPr>
            <w:tcW w:w="1276" w:type="dxa"/>
            <w:tcBorders>
              <w:top w:val="outset" w:sz="6" w:space="0" w:color="auto"/>
              <w:left w:val="outset" w:sz="6" w:space="0" w:color="auto"/>
              <w:bottom w:val="outset" w:sz="6" w:space="0" w:color="auto"/>
              <w:right w:val="outset" w:sz="6" w:space="0" w:color="auto"/>
            </w:tcBorders>
            <w:vAlign w:val="center"/>
            <w:hideMark/>
          </w:tcPr>
          <w:p w14:paraId="26E9B9A6"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0,2</w:t>
            </w:r>
          </w:p>
        </w:tc>
        <w:tc>
          <w:tcPr>
            <w:tcW w:w="1354" w:type="dxa"/>
            <w:tcBorders>
              <w:top w:val="outset" w:sz="6" w:space="0" w:color="auto"/>
              <w:left w:val="outset" w:sz="6" w:space="0" w:color="auto"/>
              <w:bottom w:val="outset" w:sz="6" w:space="0" w:color="auto"/>
              <w:right w:val="outset" w:sz="6" w:space="0" w:color="auto"/>
            </w:tcBorders>
            <w:vAlign w:val="center"/>
            <w:hideMark/>
          </w:tcPr>
          <w:p w14:paraId="6F83D524"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4BCFE"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319F0"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6F8D5"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4EBE8"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AE5BE"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01" w:type="dxa"/>
            <w:tcBorders>
              <w:top w:val="outset" w:sz="6" w:space="0" w:color="auto"/>
              <w:left w:val="outset" w:sz="6" w:space="0" w:color="auto"/>
              <w:bottom w:val="outset" w:sz="6" w:space="0" w:color="auto"/>
              <w:right w:val="outset" w:sz="6" w:space="0" w:color="auto"/>
            </w:tcBorders>
            <w:vAlign w:val="center"/>
            <w:hideMark/>
          </w:tcPr>
          <w:p w14:paraId="0A4C8849"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0,02</w:t>
            </w:r>
          </w:p>
        </w:tc>
        <w:tc>
          <w:tcPr>
            <w:tcW w:w="870" w:type="dxa"/>
            <w:tcBorders>
              <w:top w:val="outset" w:sz="6" w:space="0" w:color="auto"/>
              <w:left w:val="outset" w:sz="6" w:space="0" w:color="auto"/>
              <w:bottom w:val="outset" w:sz="6" w:space="0" w:color="auto"/>
              <w:right w:val="outset" w:sz="6" w:space="0" w:color="auto"/>
            </w:tcBorders>
            <w:vAlign w:val="center"/>
            <w:hideMark/>
          </w:tcPr>
          <w:p w14:paraId="35151F54"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w:t>
            </w:r>
          </w:p>
        </w:tc>
        <w:tc>
          <w:tcPr>
            <w:tcW w:w="492" w:type="dxa"/>
            <w:tcBorders>
              <w:top w:val="outset" w:sz="6" w:space="0" w:color="auto"/>
              <w:left w:val="outset" w:sz="6" w:space="0" w:color="auto"/>
              <w:bottom w:val="outset" w:sz="6" w:space="0" w:color="auto"/>
              <w:right w:val="outset" w:sz="6" w:space="0" w:color="auto"/>
            </w:tcBorders>
            <w:vAlign w:val="center"/>
            <w:hideMark/>
          </w:tcPr>
          <w:p w14:paraId="065FA5F2"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0,32</w:t>
            </w:r>
          </w:p>
        </w:tc>
      </w:tr>
      <w:tr w:rsidR="00F26F01" w:rsidRPr="00C33834" w14:paraId="3283DA76"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7B0B83E4"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Казакстан</w:t>
            </w:r>
          </w:p>
        </w:tc>
        <w:tc>
          <w:tcPr>
            <w:tcW w:w="1276" w:type="dxa"/>
            <w:tcBorders>
              <w:top w:val="outset" w:sz="6" w:space="0" w:color="auto"/>
              <w:left w:val="outset" w:sz="6" w:space="0" w:color="auto"/>
              <w:bottom w:val="outset" w:sz="6" w:space="0" w:color="auto"/>
              <w:right w:val="outset" w:sz="6" w:space="0" w:color="auto"/>
            </w:tcBorders>
            <w:vAlign w:val="center"/>
            <w:hideMark/>
          </w:tcPr>
          <w:p w14:paraId="03CFC016"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1,03</w:t>
            </w:r>
          </w:p>
        </w:tc>
        <w:tc>
          <w:tcPr>
            <w:tcW w:w="1354" w:type="dxa"/>
            <w:tcBorders>
              <w:top w:val="outset" w:sz="6" w:space="0" w:color="auto"/>
              <w:left w:val="outset" w:sz="6" w:space="0" w:color="auto"/>
              <w:bottom w:val="outset" w:sz="6" w:space="0" w:color="auto"/>
              <w:right w:val="outset" w:sz="6" w:space="0" w:color="auto"/>
            </w:tcBorders>
            <w:vAlign w:val="center"/>
            <w:hideMark/>
          </w:tcPr>
          <w:p w14:paraId="5408C204"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7EBDE"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08A61"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95FEA"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16216"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CA3CF"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0,15</w:t>
            </w:r>
          </w:p>
        </w:tc>
        <w:tc>
          <w:tcPr>
            <w:tcW w:w="1001" w:type="dxa"/>
            <w:tcBorders>
              <w:top w:val="outset" w:sz="6" w:space="0" w:color="auto"/>
              <w:left w:val="outset" w:sz="6" w:space="0" w:color="auto"/>
              <w:bottom w:val="outset" w:sz="6" w:space="0" w:color="auto"/>
              <w:right w:val="outset" w:sz="6" w:space="0" w:color="auto"/>
            </w:tcBorders>
            <w:vAlign w:val="center"/>
            <w:hideMark/>
          </w:tcPr>
          <w:p w14:paraId="71A5106A"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1,35</w:t>
            </w:r>
          </w:p>
        </w:tc>
        <w:tc>
          <w:tcPr>
            <w:tcW w:w="870" w:type="dxa"/>
            <w:tcBorders>
              <w:top w:val="outset" w:sz="6" w:space="0" w:color="auto"/>
              <w:left w:val="outset" w:sz="6" w:space="0" w:color="auto"/>
              <w:bottom w:val="outset" w:sz="6" w:space="0" w:color="auto"/>
              <w:right w:val="outset" w:sz="6" w:space="0" w:color="auto"/>
            </w:tcBorders>
            <w:vAlign w:val="center"/>
            <w:hideMark/>
          </w:tcPr>
          <w:p w14:paraId="6473B901"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0,6</w:t>
            </w:r>
          </w:p>
        </w:tc>
        <w:tc>
          <w:tcPr>
            <w:tcW w:w="492" w:type="dxa"/>
            <w:tcBorders>
              <w:top w:val="outset" w:sz="6" w:space="0" w:color="auto"/>
              <w:left w:val="outset" w:sz="6" w:space="0" w:color="auto"/>
              <w:bottom w:val="outset" w:sz="6" w:space="0" w:color="auto"/>
              <w:right w:val="outset" w:sz="6" w:space="0" w:color="auto"/>
            </w:tcBorders>
            <w:vAlign w:val="center"/>
            <w:hideMark/>
          </w:tcPr>
          <w:p w14:paraId="468D3700"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8,13</w:t>
            </w:r>
          </w:p>
        </w:tc>
      </w:tr>
      <w:tr w:rsidR="00F26F01" w:rsidRPr="00C33834" w14:paraId="151E80B3"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0760A415"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Западная Сибирь</w:t>
            </w:r>
          </w:p>
        </w:tc>
        <w:tc>
          <w:tcPr>
            <w:tcW w:w="1276" w:type="dxa"/>
            <w:tcBorders>
              <w:top w:val="outset" w:sz="6" w:space="0" w:color="auto"/>
              <w:left w:val="outset" w:sz="6" w:space="0" w:color="auto"/>
              <w:bottom w:val="outset" w:sz="6" w:space="0" w:color="auto"/>
              <w:right w:val="outset" w:sz="6" w:space="0" w:color="auto"/>
            </w:tcBorders>
            <w:vAlign w:val="center"/>
            <w:hideMark/>
          </w:tcPr>
          <w:p w14:paraId="21836A7C"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1,82</w:t>
            </w:r>
          </w:p>
        </w:tc>
        <w:tc>
          <w:tcPr>
            <w:tcW w:w="1354" w:type="dxa"/>
            <w:tcBorders>
              <w:top w:val="outset" w:sz="6" w:space="0" w:color="auto"/>
              <w:left w:val="outset" w:sz="6" w:space="0" w:color="auto"/>
              <w:bottom w:val="outset" w:sz="6" w:space="0" w:color="auto"/>
              <w:right w:val="outset" w:sz="6" w:space="0" w:color="auto"/>
            </w:tcBorders>
            <w:vAlign w:val="center"/>
            <w:hideMark/>
          </w:tcPr>
          <w:p w14:paraId="4998DB02"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6ABE7"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D7E07"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8CCD4"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6A547"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F5A7B"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0,18</w:t>
            </w:r>
          </w:p>
        </w:tc>
        <w:tc>
          <w:tcPr>
            <w:tcW w:w="1001" w:type="dxa"/>
            <w:tcBorders>
              <w:top w:val="outset" w:sz="6" w:space="0" w:color="auto"/>
              <w:left w:val="outset" w:sz="6" w:space="0" w:color="auto"/>
              <w:bottom w:val="outset" w:sz="6" w:space="0" w:color="auto"/>
              <w:right w:val="outset" w:sz="6" w:space="0" w:color="auto"/>
            </w:tcBorders>
            <w:vAlign w:val="center"/>
            <w:hideMark/>
          </w:tcPr>
          <w:p w14:paraId="45BED150"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1,55</w:t>
            </w:r>
          </w:p>
        </w:tc>
        <w:tc>
          <w:tcPr>
            <w:tcW w:w="870" w:type="dxa"/>
            <w:tcBorders>
              <w:top w:val="outset" w:sz="6" w:space="0" w:color="auto"/>
              <w:left w:val="outset" w:sz="6" w:space="0" w:color="auto"/>
              <w:bottom w:val="outset" w:sz="6" w:space="0" w:color="auto"/>
              <w:right w:val="outset" w:sz="6" w:space="0" w:color="auto"/>
            </w:tcBorders>
            <w:vAlign w:val="center"/>
            <w:hideMark/>
          </w:tcPr>
          <w:p w14:paraId="4470BF7B"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346EAE39"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9,25</w:t>
            </w:r>
          </w:p>
        </w:tc>
      </w:tr>
      <w:tr w:rsidR="00F26F01" w:rsidRPr="00C33834" w14:paraId="7A1CDEC5"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4E3C0B26"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Восточная Сибирь</w:t>
            </w:r>
          </w:p>
        </w:tc>
        <w:tc>
          <w:tcPr>
            <w:tcW w:w="1276" w:type="dxa"/>
            <w:tcBorders>
              <w:top w:val="outset" w:sz="6" w:space="0" w:color="auto"/>
              <w:left w:val="outset" w:sz="6" w:space="0" w:color="auto"/>
              <w:bottom w:val="outset" w:sz="6" w:space="0" w:color="auto"/>
              <w:right w:val="outset" w:sz="6" w:space="0" w:color="auto"/>
            </w:tcBorders>
            <w:vAlign w:val="center"/>
            <w:hideMark/>
          </w:tcPr>
          <w:p w14:paraId="70848C84"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0,4</w:t>
            </w:r>
          </w:p>
        </w:tc>
        <w:tc>
          <w:tcPr>
            <w:tcW w:w="1354" w:type="dxa"/>
            <w:tcBorders>
              <w:top w:val="outset" w:sz="6" w:space="0" w:color="auto"/>
              <w:left w:val="outset" w:sz="6" w:space="0" w:color="auto"/>
              <w:bottom w:val="outset" w:sz="6" w:space="0" w:color="auto"/>
              <w:right w:val="outset" w:sz="6" w:space="0" w:color="auto"/>
            </w:tcBorders>
            <w:vAlign w:val="center"/>
            <w:hideMark/>
          </w:tcPr>
          <w:p w14:paraId="280F8A62"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C90C3"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A8DC3"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D54AD"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6145E"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8115F"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0,07</w:t>
            </w:r>
          </w:p>
        </w:tc>
        <w:tc>
          <w:tcPr>
            <w:tcW w:w="1001" w:type="dxa"/>
            <w:tcBorders>
              <w:top w:val="outset" w:sz="6" w:space="0" w:color="auto"/>
              <w:left w:val="outset" w:sz="6" w:space="0" w:color="auto"/>
              <w:bottom w:val="outset" w:sz="6" w:space="0" w:color="auto"/>
              <w:right w:val="outset" w:sz="6" w:space="0" w:color="auto"/>
            </w:tcBorders>
            <w:vAlign w:val="center"/>
            <w:hideMark/>
          </w:tcPr>
          <w:p w14:paraId="5E9F3E54"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0,26</w:t>
            </w:r>
          </w:p>
        </w:tc>
        <w:tc>
          <w:tcPr>
            <w:tcW w:w="870" w:type="dxa"/>
            <w:tcBorders>
              <w:top w:val="outset" w:sz="6" w:space="0" w:color="auto"/>
              <w:left w:val="outset" w:sz="6" w:space="0" w:color="auto"/>
              <w:bottom w:val="outset" w:sz="6" w:space="0" w:color="auto"/>
              <w:right w:val="outset" w:sz="6" w:space="0" w:color="auto"/>
            </w:tcBorders>
            <w:vAlign w:val="center"/>
            <w:hideMark/>
          </w:tcPr>
          <w:p w14:paraId="1E270E09"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5B5229DD"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0,73</w:t>
            </w:r>
          </w:p>
        </w:tc>
      </w:tr>
      <w:tr w:rsidR="00F26F01" w:rsidRPr="00C33834" w14:paraId="3320EB9E"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409B2374"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Якутия</w:t>
            </w:r>
          </w:p>
        </w:tc>
        <w:tc>
          <w:tcPr>
            <w:tcW w:w="1276" w:type="dxa"/>
            <w:tcBorders>
              <w:top w:val="outset" w:sz="6" w:space="0" w:color="auto"/>
              <w:left w:val="outset" w:sz="6" w:space="0" w:color="auto"/>
              <w:bottom w:val="outset" w:sz="6" w:space="0" w:color="auto"/>
              <w:right w:val="outset" w:sz="6" w:space="0" w:color="auto"/>
            </w:tcBorders>
            <w:vAlign w:val="center"/>
            <w:hideMark/>
          </w:tcPr>
          <w:p w14:paraId="1AABE499"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0,04</w:t>
            </w:r>
          </w:p>
        </w:tc>
        <w:tc>
          <w:tcPr>
            <w:tcW w:w="1354" w:type="dxa"/>
            <w:tcBorders>
              <w:top w:val="outset" w:sz="6" w:space="0" w:color="auto"/>
              <w:left w:val="outset" w:sz="6" w:space="0" w:color="auto"/>
              <w:bottom w:val="outset" w:sz="6" w:space="0" w:color="auto"/>
              <w:right w:val="outset" w:sz="6" w:space="0" w:color="auto"/>
            </w:tcBorders>
            <w:vAlign w:val="center"/>
            <w:hideMark/>
          </w:tcPr>
          <w:p w14:paraId="4F6D71AF"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F37F1"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1EB92"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723C6"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40D56"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0951A"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01" w:type="dxa"/>
            <w:tcBorders>
              <w:top w:val="outset" w:sz="6" w:space="0" w:color="auto"/>
              <w:left w:val="outset" w:sz="6" w:space="0" w:color="auto"/>
              <w:bottom w:val="outset" w:sz="6" w:space="0" w:color="auto"/>
              <w:right w:val="outset" w:sz="6" w:space="0" w:color="auto"/>
            </w:tcBorders>
            <w:vAlign w:val="center"/>
            <w:hideMark/>
          </w:tcPr>
          <w:p w14:paraId="7EC4F6C2"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70" w:type="dxa"/>
            <w:tcBorders>
              <w:top w:val="outset" w:sz="6" w:space="0" w:color="auto"/>
              <w:left w:val="outset" w:sz="6" w:space="0" w:color="auto"/>
              <w:bottom w:val="outset" w:sz="6" w:space="0" w:color="auto"/>
              <w:right w:val="outset" w:sz="6" w:space="0" w:color="auto"/>
            </w:tcBorders>
            <w:vAlign w:val="center"/>
            <w:hideMark/>
          </w:tcPr>
          <w:p w14:paraId="653B7B77"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35FC8256"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0,04</w:t>
            </w:r>
          </w:p>
        </w:tc>
      </w:tr>
      <w:tr w:rsidR="00F26F01" w:rsidRPr="00C33834" w14:paraId="18E585E7"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10FBE617"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ДВК </w:t>
            </w:r>
          </w:p>
        </w:tc>
        <w:tc>
          <w:tcPr>
            <w:tcW w:w="1276" w:type="dxa"/>
            <w:tcBorders>
              <w:top w:val="outset" w:sz="6" w:space="0" w:color="auto"/>
              <w:left w:val="outset" w:sz="6" w:space="0" w:color="auto"/>
              <w:bottom w:val="outset" w:sz="6" w:space="0" w:color="auto"/>
              <w:right w:val="outset" w:sz="6" w:space="0" w:color="auto"/>
            </w:tcBorders>
            <w:vAlign w:val="center"/>
            <w:hideMark/>
          </w:tcPr>
          <w:p w14:paraId="2AB6C418"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0,94</w:t>
            </w:r>
          </w:p>
        </w:tc>
        <w:tc>
          <w:tcPr>
            <w:tcW w:w="1354" w:type="dxa"/>
            <w:tcBorders>
              <w:top w:val="outset" w:sz="6" w:space="0" w:color="auto"/>
              <w:left w:val="outset" w:sz="6" w:space="0" w:color="auto"/>
              <w:bottom w:val="outset" w:sz="6" w:space="0" w:color="auto"/>
              <w:right w:val="outset" w:sz="6" w:space="0" w:color="auto"/>
            </w:tcBorders>
            <w:vAlign w:val="center"/>
            <w:hideMark/>
          </w:tcPr>
          <w:p w14:paraId="408D87FD"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6C264"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C22C2"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E61A9"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593E5"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789A3"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0,08</w:t>
            </w:r>
          </w:p>
        </w:tc>
        <w:tc>
          <w:tcPr>
            <w:tcW w:w="1001" w:type="dxa"/>
            <w:tcBorders>
              <w:top w:val="outset" w:sz="6" w:space="0" w:color="auto"/>
              <w:left w:val="outset" w:sz="6" w:space="0" w:color="auto"/>
              <w:bottom w:val="outset" w:sz="6" w:space="0" w:color="auto"/>
              <w:right w:val="outset" w:sz="6" w:space="0" w:color="auto"/>
            </w:tcBorders>
            <w:vAlign w:val="center"/>
            <w:hideMark/>
          </w:tcPr>
          <w:p w14:paraId="64381D10"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0,13</w:t>
            </w:r>
          </w:p>
        </w:tc>
        <w:tc>
          <w:tcPr>
            <w:tcW w:w="870" w:type="dxa"/>
            <w:tcBorders>
              <w:top w:val="outset" w:sz="6" w:space="0" w:color="auto"/>
              <w:left w:val="outset" w:sz="6" w:space="0" w:color="auto"/>
              <w:bottom w:val="outset" w:sz="6" w:space="0" w:color="auto"/>
              <w:right w:val="outset" w:sz="6" w:space="0" w:color="auto"/>
            </w:tcBorders>
            <w:vAlign w:val="center"/>
            <w:hideMark/>
          </w:tcPr>
          <w:p w14:paraId="57BFC966"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492" w:type="dxa"/>
            <w:tcBorders>
              <w:top w:val="outset" w:sz="6" w:space="0" w:color="auto"/>
              <w:left w:val="outset" w:sz="6" w:space="0" w:color="auto"/>
              <w:bottom w:val="outset" w:sz="6" w:space="0" w:color="auto"/>
              <w:right w:val="outset" w:sz="6" w:space="0" w:color="auto"/>
            </w:tcBorders>
            <w:vAlign w:val="center"/>
            <w:hideMark/>
          </w:tcPr>
          <w:p w14:paraId="739E3F0B"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6,65</w:t>
            </w:r>
          </w:p>
        </w:tc>
      </w:tr>
      <w:tr w:rsidR="00F26F01" w:rsidRPr="00C33834" w14:paraId="38191465"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384EC0F7"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УССР</w:t>
            </w:r>
          </w:p>
        </w:tc>
        <w:tc>
          <w:tcPr>
            <w:tcW w:w="1276" w:type="dxa"/>
            <w:tcBorders>
              <w:top w:val="outset" w:sz="6" w:space="0" w:color="auto"/>
              <w:left w:val="outset" w:sz="6" w:space="0" w:color="auto"/>
              <w:bottom w:val="outset" w:sz="6" w:space="0" w:color="auto"/>
              <w:right w:val="outset" w:sz="6" w:space="0" w:color="auto"/>
            </w:tcBorders>
            <w:vAlign w:val="center"/>
            <w:hideMark/>
          </w:tcPr>
          <w:p w14:paraId="404D9999"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1354" w:type="dxa"/>
            <w:tcBorders>
              <w:top w:val="outset" w:sz="6" w:space="0" w:color="auto"/>
              <w:left w:val="outset" w:sz="6" w:space="0" w:color="auto"/>
              <w:bottom w:val="outset" w:sz="6" w:space="0" w:color="auto"/>
              <w:right w:val="outset" w:sz="6" w:space="0" w:color="auto"/>
            </w:tcBorders>
            <w:vAlign w:val="center"/>
            <w:hideMark/>
          </w:tcPr>
          <w:p w14:paraId="7C0A6290"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4224D"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4C4B5"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B1A57"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E3321"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C4351"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0,4</w:t>
            </w:r>
          </w:p>
        </w:tc>
        <w:tc>
          <w:tcPr>
            <w:tcW w:w="1001" w:type="dxa"/>
            <w:tcBorders>
              <w:top w:val="outset" w:sz="6" w:space="0" w:color="auto"/>
              <w:left w:val="outset" w:sz="6" w:space="0" w:color="auto"/>
              <w:bottom w:val="outset" w:sz="6" w:space="0" w:color="auto"/>
              <w:right w:val="outset" w:sz="6" w:space="0" w:color="auto"/>
            </w:tcBorders>
            <w:vAlign w:val="center"/>
            <w:hideMark/>
          </w:tcPr>
          <w:p w14:paraId="34AF5B75"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0,8</w:t>
            </w:r>
          </w:p>
        </w:tc>
        <w:tc>
          <w:tcPr>
            <w:tcW w:w="870" w:type="dxa"/>
            <w:tcBorders>
              <w:top w:val="outset" w:sz="6" w:space="0" w:color="auto"/>
              <w:left w:val="outset" w:sz="6" w:space="0" w:color="auto"/>
              <w:bottom w:val="outset" w:sz="6" w:space="0" w:color="auto"/>
              <w:right w:val="outset" w:sz="6" w:space="0" w:color="auto"/>
            </w:tcBorders>
            <w:vAlign w:val="center"/>
            <w:hideMark/>
          </w:tcPr>
          <w:p w14:paraId="465479F6"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31D79FC5"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w:t>
            </w:r>
          </w:p>
        </w:tc>
      </w:tr>
      <w:tr w:rsidR="00F26F01" w:rsidRPr="00C33834" w14:paraId="6A3A45F8"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353039A3"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БССР</w:t>
            </w:r>
          </w:p>
        </w:tc>
        <w:tc>
          <w:tcPr>
            <w:tcW w:w="1276" w:type="dxa"/>
            <w:tcBorders>
              <w:top w:val="outset" w:sz="6" w:space="0" w:color="auto"/>
              <w:left w:val="outset" w:sz="6" w:space="0" w:color="auto"/>
              <w:bottom w:val="outset" w:sz="6" w:space="0" w:color="auto"/>
              <w:right w:val="outset" w:sz="6" w:space="0" w:color="auto"/>
            </w:tcBorders>
            <w:vAlign w:val="center"/>
            <w:hideMark/>
          </w:tcPr>
          <w:p w14:paraId="161FFEFB"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0,15</w:t>
            </w:r>
          </w:p>
        </w:tc>
        <w:tc>
          <w:tcPr>
            <w:tcW w:w="1354" w:type="dxa"/>
            <w:tcBorders>
              <w:top w:val="outset" w:sz="6" w:space="0" w:color="auto"/>
              <w:left w:val="outset" w:sz="6" w:space="0" w:color="auto"/>
              <w:bottom w:val="outset" w:sz="6" w:space="0" w:color="auto"/>
              <w:right w:val="outset" w:sz="6" w:space="0" w:color="auto"/>
            </w:tcBorders>
            <w:vAlign w:val="center"/>
            <w:hideMark/>
          </w:tcPr>
          <w:p w14:paraId="648591B6"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3EB99"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24FC8"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B8797"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DA730"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3B588"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0,2</w:t>
            </w:r>
          </w:p>
        </w:tc>
        <w:tc>
          <w:tcPr>
            <w:tcW w:w="1001" w:type="dxa"/>
            <w:tcBorders>
              <w:top w:val="outset" w:sz="6" w:space="0" w:color="auto"/>
              <w:left w:val="outset" w:sz="6" w:space="0" w:color="auto"/>
              <w:bottom w:val="outset" w:sz="6" w:space="0" w:color="auto"/>
              <w:right w:val="outset" w:sz="6" w:space="0" w:color="auto"/>
            </w:tcBorders>
            <w:vAlign w:val="center"/>
            <w:hideMark/>
          </w:tcPr>
          <w:p w14:paraId="4107D4C2"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0,35</w:t>
            </w:r>
          </w:p>
        </w:tc>
        <w:tc>
          <w:tcPr>
            <w:tcW w:w="870" w:type="dxa"/>
            <w:tcBorders>
              <w:top w:val="outset" w:sz="6" w:space="0" w:color="auto"/>
              <w:left w:val="outset" w:sz="6" w:space="0" w:color="auto"/>
              <w:bottom w:val="outset" w:sz="6" w:space="0" w:color="auto"/>
              <w:right w:val="outset" w:sz="6" w:space="0" w:color="auto"/>
            </w:tcBorders>
            <w:vAlign w:val="center"/>
            <w:hideMark/>
          </w:tcPr>
          <w:p w14:paraId="6479F2B6"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356120F6"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0,7</w:t>
            </w:r>
          </w:p>
        </w:tc>
      </w:tr>
      <w:tr w:rsidR="00F26F01" w:rsidRPr="00C33834" w14:paraId="72CAFFCA"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589B3BAB"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ЗСФСР</w:t>
            </w:r>
          </w:p>
        </w:tc>
        <w:tc>
          <w:tcPr>
            <w:tcW w:w="1276" w:type="dxa"/>
            <w:tcBorders>
              <w:top w:val="outset" w:sz="6" w:space="0" w:color="auto"/>
              <w:left w:val="outset" w:sz="6" w:space="0" w:color="auto"/>
              <w:bottom w:val="outset" w:sz="6" w:space="0" w:color="auto"/>
              <w:right w:val="outset" w:sz="6" w:space="0" w:color="auto"/>
            </w:tcBorders>
            <w:vAlign w:val="center"/>
            <w:hideMark/>
          </w:tcPr>
          <w:p w14:paraId="564D03A2"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0,04</w:t>
            </w:r>
          </w:p>
        </w:tc>
        <w:tc>
          <w:tcPr>
            <w:tcW w:w="1354" w:type="dxa"/>
            <w:tcBorders>
              <w:top w:val="outset" w:sz="6" w:space="0" w:color="auto"/>
              <w:left w:val="outset" w:sz="6" w:space="0" w:color="auto"/>
              <w:bottom w:val="outset" w:sz="6" w:space="0" w:color="auto"/>
              <w:right w:val="outset" w:sz="6" w:space="0" w:color="auto"/>
            </w:tcBorders>
            <w:vAlign w:val="center"/>
            <w:hideMark/>
          </w:tcPr>
          <w:p w14:paraId="639148FF"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A5519"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F8097"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4F8E5"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D5371"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6DF41"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0,03</w:t>
            </w:r>
          </w:p>
        </w:tc>
        <w:tc>
          <w:tcPr>
            <w:tcW w:w="1001" w:type="dxa"/>
            <w:tcBorders>
              <w:top w:val="outset" w:sz="6" w:space="0" w:color="auto"/>
              <w:left w:val="outset" w:sz="6" w:space="0" w:color="auto"/>
              <w:bottom w:val="outset" w:sz="6" w:space="0" w:color="auto"/>
              <w:right w:val="outset" w:sz="6" w:space="0" w:color="auto"/>
            </w:tcBorders>
            <w:vAlign w:val="center"/>
            <w:hideMark/>
          </w:tcPr>
          <w:p w14:paraId="6CEFAC35"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0,23</w:t>
            </w:r>
          </w:p>
        </w:tc>
        <w:tc>
          <w:tcPr>
            <w:tcW w:w="870" w:type="dxa"/>
            <w:tcBorders>
              <w:top w:val="outset" w:sz="6" w:space="0" w:color="auto"/>
              <w:left w:val="outset" w:sz="6" w:space="0" w:color="auto"/>
              <w:bottom w:val="outset" w:sz="6" w:space="0" w:color="auto"/>
              <w:right w:val="outset" w:sz="6" w:space="0" w:color="auto"/>
            </w:tcBorders>
            <w:vAlign w:val="center"/>
            <w:hideMark/>
          </w:tcPr>
          <w:p w14:paraId="41AE672A"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5AB87E1D"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0,3</w:t>
            </w:r>
          </w:p>
        </w:tc>
      </w:tr>
      <w:tr w:rsidR="00F26F01" w:rsidRPr="00C33834" w14:paraId="17603472"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70C3DFBE"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Средняя Азия в целом.</w:t>
            </w:r>
          </w:p>
        </w:tc>
        <w:tc>
          <w:tcPr>
            <w:tcW w:w="1276" w:type="dxa"/>
            <w:tcBorders>
              <w:top w:val="outset" w:sz="6" w:space="0" w:color="auto"/>
              <w:left w:val="outset" w:sz="6" w:space="0" w:color="auto"/>
              <w:bottom w:val="outset" w:sz="6" w:space="0" w:color="auto"/>
              <w:right w:val="outset" w:sz="6" w:space="0" w:color="auto"/>
            </w:tcBorders>
            <w:vAlign w:val="center"/>
            <w:hideMark/>
          </w:tcPr>
          <w:p w14:paraId="256B6380"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0,39</w:t>
            </w:r>
          </w:p>
        </w:tc>
        <w:tc>
          <w:tcPr>
            <w:tcW w:w="1354" w:type="dxa"/>
            <w:tcBorders>
              <w:top w:val="outset" w:sz="6" w:space="0" w:color="auto"/>
              <w:left w:val="outset" w:sz="6" w:space="0" w:color="auto"/>
              <w:bottom w:val="outset" w:sz="6" w:space="0" w:color="auto"/>
              <w:right w:val="outset" w:sz="6" w:space="0" w:color="auto"/>
            </w:tcBorders>
            <w:vAlign w:val="center"/>
            <w:hideMark/>
          </w:tcPr>
          <w:p w14:paraId="23D4F97F"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4485E"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8FFB6"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6C07B"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326F1"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9D9EC"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01" w:type="dxa"/>
            <w:tcBorders>
              <w:top w:val="outset" w:sz="6" w:space="0" w:color="auto"/>
              <w:left w:val="outset" w:sz="6" w:space="0" w:color="auto"/>
              <w:bottom w:val="outset" w:sz="6" w:space="0" w:color="auto"/>
              <w:right w:val="outset" w:sz="6" w:space="0" w:color="auto"/>
            </w:tcBorders>
            <w:vAlign w:val="center"/>
            <w:hideMark/>
          </w:tcPr>
          <w:p w14:paraId="36F9FB91"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0,13</w:t>
            </w:r>
          </w:p>
        </w:tc>
        <w:tc>
          <w:tcPr>
            <w:tcW w:w="870" w:type="dxa"/>
            <w:tcBorders>
              <w:top w:val="outset" w:sz="6" w:space="0" w:color="auto"/>
              <w:left w:val="outset" w:sz="6" w:space="0" w:color="auto"/>
              <w:bottom w:val="outset" w:sz="6" w:space="0" w:color="auto"/>
              <w:right w:val="outset" w:sz="6" w:space="0" w:color="auto"/>
            </w:tcBorders>
            <w:vAlign w:val="center"/>
            <w:hideMark/>
          </w:tcPr>
          <w:p w14:paraId="2F34B26F"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0,07</w:t>
            </w:r>
          </w:p>
        </w:tc>
        <w:tc>
          <w:tcPr>
            <w:tcW w:w="492" w:type="dxa"/>
            <w:tcBorders>
              <w:top w:val="outset" w:sz="6" w:space="0" w:color="auto"/>
              <w:left w:val="outset" w:sz="6" w:space="0" w:color="auto"/>
              <w:bottom w:val="outset" w:sz="6" w:space="0" w:color="auto"/>
              <w:right w:val="outset" w:sz="6" w:space="0" w:color="auto"/>
            </w:tcBorders>
            <w:vAlign w:val="center"/>
            <w:hideMark/>
          </w:tcPr>
          <w:p w14:paraId="13AE0E1D"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1,09</w:t>
            </w:r>
          </w:p>
        </w:tc>
      </w:tr>
      <w:tr w:rsidR="00F26F01" w:rsidRPr="00C33834" w14:paraId="51A049C4"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60C8BEF2"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УзбССР</w:t>
            </w:r>
          </w:p>
        </w:tc>
        <w:tc>
          <w:tcPr>
            <w:tcW w:w="1276" w:type="dxa"/>
            <w:tcBorders>
              <w:top w:val="outset" w:sz="6" w:space="0" w:color="auto"/>
              <w:left w:val="outset" w:sz="6" w:space="0" w:color="auto"/>
              <w:bottom w:val="outset" w:sz="6" w:space="0" w:color="auto"/>
              <w:right w:val="outset" w:sz="6" w:space="0" w:color="auto"/>
            </w:tcBorders>
            <w:vAlign w:val="center"/>
            <w:hideMark/>
          </w:tcPr>
          <w:p w14:paraId="10523956"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0,02</w:t>
            </w:r>
          </w:p>
        </w:tc>
        <w:tc>
          <w:tcPr>
            <w:tcW w:w="1354" w:type="dxa"/>
            <w:tcBorders>
              <w:top w:val="outset" w:sz="6" w:space="0" w:color="auto"/>
              <w:left w:val="outset" w:sz="6" w:space="0" w:color="auto"/>
              <w:bottom w:val="outset" w:sz="6" w:space="0" w:color="auto"/>
              <w:right w:val="outset" w:sz="6" w:space="0" w:color="auto"/>
            </w:tcBorders>
            <w:vAlign w:val="center"/>
            <w:hideMark/>
          </w:tcPr>
          <w:p w14:paraId="3D6E4F8A"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E3CEB"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3F0C5"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87088"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20FBD"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28293"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01" w:type="dxa"/>
            <w:tcBorders>
              <w:top w:val="outset" w:sz="6" w:space="0" w:color="auto"/>
              <w:left w:val="outset" w:sz="6" w:space="0" w:color="auto"/>
              <w:bottom w:val="outset" w:sz="6" w:space="0" w:color="auto"/>
              <w:right w:val="outset" w:sz="6" w:space="0" w:color="auto"/>
            </w:tcBorders>
            <w:vAlign w:val="center"/>
            <w:hideMark/>
          </w:tcPr>
          <w:p w14:paraId="44D83517"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0,05</w:t>
            </w:r>
          </w:p>
        </w:tc>
        <w:tc>
          <w:tcPr>
            <w:tcW w:w="870" w:type="dxa"/>
            <w:tcBorders>
              <w:top w:val="outset" w:sz="6" w:space="0" w:color="auto"/>
              <w:left w:val="outset" w:sz="6" w:space="0" w:color="auto"/>
              <w:bottom w:val="outset" w:sz="6" w:space="0" w:color="auto"/>
              <w:right w:val="outset" w:sz="6" w:space="0" w:color="auto"/>
            </w:tcBorders>
            <w:vAlign w:val="center"/>
            <w:hideMark/>
          </w:tcPr>
          <w:p w14:paraId="35799E94"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15C56AD6"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0,07</w:t>
            </w:r>
          </w:p>
        </w:tc>
      </w:tr>
      <w:tr w:rsidR="00F26F01" w:rsidRPr="00C33834" w14:paraId="3A66A2EA"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0D3ABC9F"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Киргизия</w:t>
            </w:r>
          </w:p>
        </w:tc>
        <w:tc>
          <w:tcPr>
            <w:tcW w:w="1276" w:type="dxa"/>
            <w:tcBorders>
              <w:top w:val="outset" w:sz="6" w:space="0" w:color="auto"/>
              <w:left w:val="outset" w:sz="6" w:space="0" w:color="auto"/>
              <w:bottom w:val="outset" w:sz="6" w:space="0" w:color="auto"/>
              <w:right w:val="outset" w:sz="6" w:space="0" w:color="auto"/>
            </w:tcBorders>
            <w:vAlign w:val="center"/>
            <w:hideMark/>
          </w:tcPr>
          <w:p w14:paraId="2162E021"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0,18</w:t>
            </w:r>
          </w:p>
        </w:tc>
        <w:tc>
          <w:tcPr>
            <w:tcW w:w="1354" w:type="dxa"/>
            <w:tcBorders>
              <w:top w:val="outset" w:sz="6" w:space="0" w:color="auto"/>
              <w:left w:val="outset" w:sz="6" w:space="0" w:color="auto"/>
              <w:bottom w:val="outset" w:sz="6" w:space="0" w:color="auto"/>
              <w:right w:val="outset" w:sz="6" w:space="0" w:color="auto"/>
            </w:tcBorders>
            <w:vAlign w:val="center"/>
            <w:hideMark/>
          </w:tcPr>
          <w:p w14:paraId="693D0696"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295F6"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FE6AA"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101F7"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54463"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D53C5"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01" w:type="dxa"/>
            <w:tcBorders>
              <w:top w:val="outset" w:sz="6" w:space="0" w:color="auto"/>
              <w:left w:val="outset" w:sz="6" w:space="0" w:color="auto"/>
              <w:bottom w:val="outset" w:sz="6" w:space="0" w:color="auto"/>
              <w:right w:val="outset" w:sz="6" w:space="0" w:color="auto"/>
            </w:tcBorders>
            <w:vAlign w:val="center"/>
            <w:hideMark/>
          </w:tcPr>
          <w:p w14:paraId="6843832E"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0,18</w:t>
            </w:r>
          </w:p>
        </w:tc>
        <w:tc>
          <w:tcPr>
            <w:tcW w:w="870" w:type="dxa"/>
            <w:tcBorders>
              <w:top w:val="outset" w:sz="6" w:space="0" w:color="auto"/>
              <w:left w:val="outset" w:sz="6" w:space="0" w:color="auto"/>
              <w:bottom w:val="outset" w:sz="6" w:space="0" w:color="auto"/>
              <w:right w:val="outset" w:sz="6" w:space="0" w:color="auto"/>
            </w:tcBorders>
            <w:vAlign w:val="center"/>
            <w:hideMark/>
          </w:tcPr>
          <w:p w14:paraId="010C7B05"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56D8133B"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0,36</w:t>
            </w:r>
          </w:p>
        </w:tc>
      </w:tr>
      <w:tr w:rsidR="00F26F01" w:rsidRPr="00C33834" w14:paraId="55D433FA"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0E84C034"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Нераспред. по СССР</w:t>
            </w:r>
          </w:p>
        </w:tc>
        <w:tc>
          <w:tcPr>
            <w:tcW w:w="1276" w:type="dxa"/>
            <w:tcBorders>
              <w:top w:val="outset" w:sz="6" w:space="0" w:color="auto"/>
              <w:left w:val="outset" w:sz="6" w:space="0" w:color="auto"/>
              <w:bottom w:val="outset" w:sz="6" w:space="0" w:color="auto"/>
              <w:right w:val="outset" w:sz="6" w:space="0" w:color="auto"/>
            </w:tcBorders>
            <w:vAlign w:val="center"/>
            <w:hideMark/>
          </w:tcPr>
          <w:p w14:paraId="15CE5286"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0,43</w:t>
            </w:r>
          </w:p>
        </w:tc>
        <w:tc>
          <w:tcPr>
            <w:tcW w:w="1354" w:type="dxa"/>
            <w:tcBorders>
              <w:top w:val="outset" w:sz="6" w:space="0" w:color="auto"/>
              <w:left w:val="outset" w:sz="6" w:space="0" w:color="auto"/>
              <w:bottom w:val="outset" w:sz="6" w:space="0" w:color="auto"/>
              <w:right w:val="outset" w:sz="6" w:space="0" w:color="auto"/>
            </w:tcBorders>
            <w:vAlign w:val="center"/>
            <w:hideMark/>
          </w:tcPr>
          <w:p w14:paraId="2740AB09"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E2F44"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9829FB"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F59C7"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3E7BB"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DD2DD"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0,02</w:t>
            </w:r>
          </w:p>
        </w:tc>
        <w:tc>
          <w:tcPr>
            <w:tcW w:w="1001" w:type="dxa"/>
            <w:tcBorders>
              <w:top w:val="outset" w:sz="6" w:space="0" w:color="auto"/>
              <w:left w:val="outset" w:sz="6" w:space="0" w:color="auto"/>
              <w:bottom w:val="outset" w:sz="6" w:space="0" w:color="auto"/>
              <w:right w:val="outset" w:sz="6" w:space="0" w:color="auto"/>
            </w:tcBorders>
            <w:vAlign w:val="center"/>
            <w:hideMark/>
          </w:tcPr>
          <w:p w14:paraId="68DF51A2"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870" w:type="dxa"/>
            <w:tcBorders>
              <w:top w:val="outset" w:sz="6" w:space="0" w:color="auto"/>
              <w:left w:val="outset" w:sz="6" w:space="0" w:color="auto"/>
              <w:bottom w:val="outset" w:sz="6" w:space="0" w:color="auto"/>
              <w:right w:val="outset" w:sz="6" w:space="0" w:color="auto"/>
            </w:tcBorders>
            <w:vAlign w:val="center"/>
            <w:hideMark/>
          </w:tcPr>
          <w:p w14:paraId="5A4B9CAD"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0,8</w:t>
            </w:r>
          </w:p>
        </w:tc>
        <w:tc>
          <w:tcPr>
            <w:tcW w:w="492" w:type="dxa"/>
            <w:tcBorders>
              <w:top w:val="outset" w:sz="6" w:space="0" w:color="auto"/>
              <w:left w:val="outset" w:sz="6" w:space="0" w:color="auto"/>
              <w:bottom w:val="outset" w:sz="6" w:space="0" w:color="auto"/>
              <w:right w:val="outset" w:sz="6" w:space="0" w:color="auto"/>
            </w:tcBorders>
            <w:vAlign w:val="center"/>
            <w:hideMark/>
          </w:tcPr>
          <w:p w14:paraId="21C6771C"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6,95</w:t>
            </w:r>
          </w:p>
        </w:tc>
      </w:tr>
      <w:tr w:rsidR="00F26F01" w:rsidRPr="00C33834" w14:paraId="2D5B0094"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48DAF09C"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1276" w:type="dxa"/>
            <w:tcBorders>
              <w:top w:val="outset" w:sz="6" w:space="0" w:color="auto"/>
              <w:left w:val="outset" w:sz="6" w:space="0" w:color="auto"/>
              <w:bottom w:val="outset" w:sz="6" w:space="0" w:color="auto"/>
              <w:right w:val="outset" w:sz="6" w:space="0" w:color="auto"/>
            </w:tcBorders>
            <w:vAlign w:val="center"/>
            <w:hideMark/>
          </w:tcPr>
          <w:p w14:paraId="124D7501"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13,8</w:t>
            </w:r>
          </w:p>
        </w:tc>
        <w:tc>
          <w:tcPr>
            <w:tcW w:w="1354" w:type="dxa"/>
            <w:tcBorders>
              <w:top w:val="outset" w:sz="6" w:space="0" w:color="auto"/>
              <w:left w:val="outset" w:sz="6" w:space="0" w:color="auto"/>
              <w:bottom w:val="outset" w:sz="6" w:space="0" w:color="auto"/>
              <w:right w:val="outset" w:sz="6" w:space="0" w:color="auto"/>
            </w:tcBorders>
            <w:vAlign w:val="center"/>
            <w:hideMark/>
          </w:tcPr>
          <w:p w14:paraId="408E6328"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ECD6C"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B848B"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8C04F"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65B2E"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4F4A9"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1001" w:type="dxa"/>
            <w:tcBorders>
              <w:top w:val="outset" w:sz="6" w:space="0" w:color="auto"/>
              <w:left w:val="outset" w:sz="6" w:space="0" w:color="auto"/>
              <w:bottom w:val="outset" w:sz="6" w:space="0" w:color="auto"/>
              <w:right w:val="outset" w:sz="6" w:space="0" w:color="auto"/>
            </w:tcBorders>
            <w:vAlign w:val="center"/>
            <w:hideMark/>
          </w:tcPr>
          <w:p w14:paraId="073AE864"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9,3</w:t>
            </w:r>
          </w:p>
        </w:tc>
        <w:tc>
          <w:tcPr>
            <w:tcW w:w="870" w:type="dxa"/>
            <w:tcBorders>
              <w:top w:val="outset" w:sz="6" w:space="0" w:color="auto"/>
              <w:left w:val="outset" w:sz="6" w:space="0" w:color="auto"/>
              <w:bottom w:val="outset" w:sz="6" w:space="0" w:color="auto"/>
              <w:right w:val="outset" w:sz="6" w:space="0" w:color="auto"/>
            </w:tcBorders>
            <w:vAlign w:val="center"/>
            <w:hideMark/>
          </w:tcPr>
          <w:p w14:paraId="79F1F481"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c>
          <w:tcPr>
            <w:tcW w:w="492" w:type="dxa"/>
            <w:tcBorders>
              <w:top w:val="outset" w:sz="6" w:space="0" w:color="auto"/>
              <w:left w:val="outset" w:sz="6" w:space="0" w:color="auto"/>
              <w:bottom w:val="outset" w:sz="6" w:space="0" w:color="auto"/>
              <w:right w:val="outset" w:sz="6" w:space="0" w:color="auto"/>
            </w:tcBorders>
            <w:vAlign w:val="center"/>
            <w:hideMark/>
          </w:tcPr>
          <w:p w14:paraId="523DF133" w14:textId="77777777" w:rsidR="009217C6" w:rsidRPr="00C33834" w:rsidRDefault="009217C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r>
    </w:tbl>
    <w:p w14:paraId="1731F97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XIII. КОМИТЕТ ПО ЗАГОТОВКАМ ПРИ СНК СОЮЗА ССР.</w:t>
      </w:r>
    </w:p>
    <w:tbl>
      <w:tblPr>
        <w:tblW w:w="5805" w:type="dxa"/>
        <w:tblCellMar>
          <w:left w:w="0" w:type="dxa"/>
          <w:right w:w="0" w:type="dxa"/>
        </w:tblCellMar>
        <w:tblLook w:val="04A0" w:firstRow="1" w:lastRow="0" w:firstColumn="1" w:lastColumn="0" w:noHBand="0" w:noVBand="1"/>
      </w:tblPr>
      <w:tblGrid>
        <w:gridCol w:w="2365"/>
        <w:gridCol w:w="3440"/>
      </w:tblGrid>
      <w:tr w:rsidR="00F26F01" w:rsidRPr="00C33834" w14:paraId="7982434D" w14:textId="77777777" w:rsidTr="00DC292A">
        <w:trPr>
          <w:trHeight w:val="300"/>
        </w:trPr>
        <w:tc>
          <w:tcPr>
            <w:tcW w:w="0" w:type="auto"/>
            <w:vAlign w:val="center"/>
            <w:hideMark/>
          </w:tcPr>
          <w:p w14:paraId="733B4F6C"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Мелькомбинат Прокопьевск.</w:t>
            </w:r>
          </w:p>
        </w:tc>
        <w:tc>
          <w:tcPr>
            <w:tcW w:w="0" w:type="auto"/>
            <w:vAlign w:val="center"/>
            <w:hideMark/>
          </w:tcPr>
          <w:p w14:paraId="4562C73D"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Мелькомбинат Баку.</w:t>
            </w:r>
          </w:p>
        </w:tc>
      </w:tr>
      <w:tr w:rsidR="00F26F01" w:rsidRPr="00C33834" w14:paraId="2F1E98EF" w14:textId="77777777" w:rsidTr="00DC292A">
        <w:trPr>
          <w:trHeight w:val="300"/>
        </w:trPr>
        <w:tc>
          <w:tcPr>
            <w:tcW w:w="0" w:type="auto"/>
            <w:vAlign w:val="center"/>
            <w:hideMark/>
          </w:tcPr>
          <w:p w14:paraId="155CE08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Мелькобинат Магнитогорск.</w:t>
            </w:r>
          </w:p>
        </w:tc>
        <w:tc>
          <w:tcPr>
            <w:tcW w:w="0" w:type="auto"/>
            <w:vAlign w:val="center"/>
            <w:hideMark/>
          </w:tcPr>
          <w:p w14:paraId="271D6E5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Достройка 34 элеваторов „Заготзерно"</w:t>
            </w:r>
          </w:p>
        </w:tc>
      </w:tr>
      <w:tr w:rsidR="00F26F01" w:rsidRPr="00C33834" w14:paraId="54F4CC3E" w14:textId="77777777" w:rsidTr="00DC292A">
        <w:trPr>
          <w:trHeight w:val="300"/>
        </w:trPr>
        <w:tc>
          <w:tcPr>
            <w:tcW w:w="0" w:type="auto"/>
            <w:vAlign w:val="center"/>
            <w:hideMark/>
          </w:tcPr>
          <w:p w14:paraId="43DDCB7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Мелькомбинат Канск.</w:t>
            </w:r>
          </w:p>
        </w:tc>
        <w:tc>
          <w:tcPr>
            <w:tcW w:w="0" w:type="auto"/>
            <w:vAlign w:val="center"/>
            <w:hideMark/>
          </w:tcPr>
          <w:p w14:paraId="2ED24D8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Достройка зерноскладов на 145 тыс. тонн.</w:t>
            </w:r>
          </w:p>
        </w:tc>
      </w:tr>
      <w:tr w:rsidR="00F26F01" w:rsidRPr="00C33834" w14:paraId="31F29F64" w14:textId="77777777" w:rsidTr="00DC292A">
        <w:trPr>
          <w:trHeight w:val="540"/>
        </w:trPr>
        <w:tc>
          <w:tcPr>
            <w:tcW w:w="0" w:type="auto"/>
            <w:vAlign w:val="center"/>
            <w:hideMark/>
          </w:tcPr>
          <w:p w14:paraId="4E4C5A1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Мелькомбинат Красноярск.</w:t>
            </w:r>
          </w:p>
        </w:tc>
        <w:tc>
          <w:tcPr>
            <w:tcW w:w="0" w:type="auto"/>
            <w:vAlign w:val="center"/>
            <w:hideMark/>
          </w:tcPr>
          <w:p w14:paraId="6227F519"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bl>
    <w:p w14:paraId="43D99AF7"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XIV. КОММУНАЛЬНОЕ СТРОИТЕЛЬСТВО.</w:t>
      </w:r>
    </w:p>
    <w:tbl>
      <w:tblPr>
        <w:tblW w:w="5805" w:type="dxa"/>
        <w:tblCellMar>
          <w:left w:w="0" w:type="dxa"/>
          <w:right w:w="0" w:type="dxa"/>
        </w:tblCellMar>
        <w:tblLook w:val="04A0" w:firstRow="1" w:lastRow="0" w:firstColumn="1" w:lastColumn="0" w:noHBand="0" w:noVBand="1"/>
      </w:tblPr>
      <w:tblGrid>
        <w:gridCol w:w="3135"/>
        <w:gridCol w:w="2670"/>
      </w:tblGrid>
      <w:tr w:rsidR="00F26F01" w:rsidRPr="00C33834" w14:paraId="3AAF564F" w14:textId="77777777" w:rsidTr="00DC292A">
        <w:trPr>
          <w:trHeight w:val="300"/>
        </w:trPr>
        <w:tc>
          <w:tcPr>
            <w:tcW w:w="0" w:type="auto"/>
            <w:vAlign w:val="center"/>
            <w:hideMark/>
          </w:tcPr>
          <w:p w14:paraId="0E1AD53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Водопровод Владивосток.</w:t>
            </w:r>
          </w:p>
        </w:tc>
        <w:tc>
          <w:tcPr>
            <w:tcW w:w="0" w:type="auto"/>
            <w:vAlign w:val="center"/>
            <w:hideMark/>
          </w:tcPr>
          <w:p w14:paraId="36717C03"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Водопровод, Харьков.</w:t>
            </w:r>
          </w:p>
        </w:tc>
      </w:tr>
      <w:tr w:rsidR="00F26F01" w:rsidRPr="00C33834" w14:paraId="79CEF14C" w14:textId="77777777" w:rsidTr="00DC292A">
        <w:trPr>
          <w:trHeight w:val="300"/>
        </w:trPr>
        <w:tc>
          <w:tcPr>
            <w:tcW w:w="0" w:type="auto"/>
            <w:vAlign w:val="center"/>
            <w:hideMark/>
          </w:tcPr>
          <w:p w14:paraId="738ED8A8"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Водопровод Баку.</w:t>
            </w:r>
          </w:p>
        </w:tc>
        <w:tc>
          <w:tcPr>
            <w:tcW w:w="0" w:type="auto"/>
            <w:vAlign w:val="center"/>
            <w:hideMark/>
          </w:tcPr>
          <w:p w14:paraId="4A1A9B9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Метрострой, Москва.</w:t>
            </w:r>
          </w:p>
        </w:tc>
      </w:tr>
    </w:tbl>
    <w:p w14:paraId="130BF8D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XV. СТРОИТЕЛЬСТВО ПО КАДРАМ.</w:t>
      </w:r>
    </w:p>
    <w:tbl>
      <w:tblPr>
        <w:tblStyle w:val="affe"/>
        <w:tblW w:w="11554" w:type="dxa"/>
        <w:tblLook w:val="04A0" w:firstRow="1" w:lastRow="0" w:firstColumn="1" w:lastColumn="0" w:noHBand="0" w:noVBand="1"/>
      </w:tblPr>
      <w:tblGrid>
        <w:gridCol w:w="5777"/>
        <w:gridCol w:w="5777"/>
      </w:tblGrid>
      <w:tr w:rsidR="00F26F01" w:rsidRPr="00C33834" w14:paraId="026DC925" w14:textId="77777777" w:rsidTr="003C4CEF">
        <w:tc>
          <w:tcPr>
            <w:tcW w:w="5777" w:type="dxa"/>
            <w:vAlign w:val="center"/>
          </w:tcPr>
          <w:p w14:paraId="4D55BF8C" w14:textId="77777777" w:rsidR="003C4CEF" w:rsidRPr="00C33834" w:rsidRDefault="003C4CEF"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 Сталинский металлургический институт Наркомтяжпрома.</w:t>
            </w:r>
          </w:p>
        </w:tc>
        <w:tc>
          <w:tcPr>
            <w:tcW w:w="5777" w:type="dxa"/>
            <w:vAlign w:val="center"/>
          </w:tcPr>
          <w:p w14:paraId="6DA2323A" w14:textId="77777777" w:rsidR="003C4CEF" w:rsidRPr="00C33834" w:rsidRDefault="003C4CEF"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4. Ташкентский текстильн. ин-т Нар-комлегпрома.</w:t>
            </w:r>
          </w:p>
        </w:tc>
      </w:tr>
      <w:tr w:rsidR="00F26F01" w:rsidRPr="00C33834" w14:paraId="0875E3CC" w14:textId="77777777" w:rsidTr="003C4CEF">
        <w:tc>
          <w:tcPr>
            <w:tcW w:w="5777" w:type="dxa"/>
            <w:vAlign w:val="center"/>
          </w:tcPr>
          <w:p w14:paraId="48CA3D79" w14:textId="77777777" w:rsidR="003C4CEF" w:rsidRPr="00C33834" w:rsidRDefault="003C4CEF"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 Днепропетровский металлургический институт Наркомтяжпрома.</w:t>
            </w:r>
          </w:p>
        </w:tc>
        <w:tc>
          <w:tcPr>
            <w:tcW w:w="5777" w:type="dxa"/>
            <w:vAlign w:val="center"/>
          </w:tcPr>
          <w:p w14:paraId="11A52B2C" w14:textId="77777777" w:rsidR="003C4CEF" w:rsidRPr="00C33834" w:rsidRDefault="003C4CEF"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5. Московский ветеринарный институт Наркомзема.</w:t>
            </w:r>
          </w:p>
        </w:tc>
      </w:tr>
      <w:tr w:rsidR="00F26F01" w:rsidRPr="00C33834" w14:paraId="41611DDC" w14:textId="77777777" w:rsidTr="003C4CEF">
        <w:tc>
          <w:tcPr>
            <w:tcW w:w="5777" w:type="dxa"/>
            <w:vAlign w:val="center"/>
          </w:tcPr>
          <w:p w14:paraId="2DB0AE0D" w14:textId="77777777" w:rsidR="003C4CEF" w:rsidRPr="00C33834" w:rsidRDefault="003C4CEF"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3. Красноярский лесотехнический институт Наркомлеса.</w:t>
            </w:r>
          </w:p>
        </w:tc>
        <w:tc>
          <w:tcPr>
            <w:tcW w:w="5777" w:type="dxa"/>
            <w:vAlign w:val="center"/>
          </w:tcPr>
          <w:p w14:paraId="6E11F140" w14:textId="77777777" w:rsidR="003C4CEF" w:rsidRPr="00C33834" w:rsidRDefault="003C4CEF"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6. Высшая комм. с.-х. школа им. Свердлова.</w:t>
            </w:r>
          </w:p>
        </w:tc>
      </w:tr>
    </w:tbl>
    <w:p w14:paraId="45C35345"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XVI. ПРОЧИЕ ГОСУДАРСТВЕННЫЕ И ОБЩЕСТВЕННЫЕ ОРГАНИЗАЦИИ.</w:t>
      </w:r>
    </w:p>
    <w:tbl>
      <w:tblPr>
        <w:tblStyle w:val="affe"/>
        <w:tblW w:w="11554" w:type="dxa"/>
        <w:tblLook w:val="04A0" w:firstRow="1" w:lastRow="0" w:firstColumn="1" w:lastColumn="0" w:noHBand="0" w:noVBand="1"/>
      </w:tblPr>
      <w:tblGrid>
        <w:gridCol w:w="5777"/>
        <w:gridCol w:w="5777"/>
      </w:tblGrid>
      <w:tr w:rsidR="00F26F01" w:rsidRPr="00C33834" w14:paraId="7AD00534" w14:textId="77777777" w:rsidTr="003C4CEF">
        <w:tc>
          <w:tcPr>
            <w:tcW w:w="5777" w:type="dxa"/>
            <w:vAlign w:val="center"/>
          </w:tcPr>
          <w:p w14:paraId="715E4971" w14:textId="77777777" w:rsidR="003C4CEF" w:rsidRPr="00C33834" w:rsidRDefault="003C4CEF"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 Московский стадион.</w:t>
            </w:r>
          </w:p>
        </w:tc>
        <w:tc>
          <w:tcPr>
            <w:tcW w:w="5777" w:type="dxa"/>
            <w:vAlign w:val="center"/>
          </w:tcPr>
          <w:p w14:paraId="493469EA" w14:textId="77777777" w:rsidR="003C4CEF" w:rsidRPr="00C33834" w:rsidRDefault="003C4CEF"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3. Ангарский мост, Иркутск.</w:t>
            </w:r>
          </w:p>
        </w:tc>
      </w:tr>
      <w:tr w:rsidR="00F26F01" w:rsidRPr="00C33834" w14:paraId="3025960C" w14:textId="77777777" w:rsidTr="003C4CEF">
        <w:tc>
          <w:tcPr>
            <w:tcW w:w="5777" w:type="dxa"/>
            <w:vAlign w:val="center"/>
          </w:tcPr>
          <w:p w14:paraId="19649BDF" w14:textId="77777777" w:rsidR="003C4CEF" w:rsidRPr="00C33834" w:rsidRDefault="003C4CEF"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 Камская бумажная фабрика Наркомфина.</w:t>
            </w:r>
          </w:p>
        </w:tc>
        <w:tc>
          <w:tcPr>
            <w:tcW w:w="5777" w:type="dxa"/>
            <w:vAlign w:val="center"/>
          </w:tcPr>
          <w:p w14:paraId="43BC76C7" w14:textId="77777777" w:rsidR="003C4CEF" w:rsidRPr="00C33834" w:rsidRDefault="003C4CEF"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 </w:t>
            </w:r>
          </w:p>
        </w:tc>
      </w:tr>
    </w:tbl>
    <w:p w14:paraId="2CFA1776"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Председатель СНК Союза ССР В. Молотов (Скрябин).</w:t>
      </w:r>
    </w:p>
    <w:p w14:paraId="1162E030"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Управляющий делами СНК Союза ССР И. Мирошников.</w:t>
      </w:r>
    </w:p>
    <w:p w14:paraId="193F4E82"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Москва, Кремль. 28 апреля 1933 г. № 857.</w:t>
      </w:r>
    </w:p>
    <w:p w14:paraId="2CB38621" w14:textId="77777777" w:rsidR="003C4CEF" w:rsidRPr="00C33834" w:rsidRDefault="003C4CE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Опубликовано в № 113 «Известий ЦИК Союза ССР и ВЦИК» от 30 апреля 1933 г. (18462).</w:t>
      </w:r>
    </w:p>
    <w:p w14:paraId="7E2D5C9A" w14:textId="77777777" w:rsidR="003C4CEF" w:rsidRPr="00C33834" w:rsidRDefault="003C4CEF" w:rsidP="00C33834">
      <w:pPr>
        <w:spacing w:after="0" w:line="240" w:lineRule="auto"/>
        <w:jc w:val="both"/>
        <w:rPr>
          <w:rFonts w:ascii="Times New Roman" w:hAnsi="Times New Roman"/>
          <w:color w:val="000000" w:themeColor="text1"/>
          <w:sz w:val="16"/>
          <w:szCs w:val="16"/>
        </w:rPr>
      </w:pPr>
    </w:p>
    <w:p w14:paraId="2D467E20" w14:textId="77777777" w:rsidR="00F1507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046166F9" w14:textId="77777777" w:rsidR="00F15071" w:rsidRPr="00C33834" w:rsidRDefault="00F1507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7B80DAA"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апреля 1933 года к категориям, подлежащим чистке, постановлением ЦК и ЦКК от были отнесены, в частности, "двурушники, живущие обманом партии, скрывающие от неё свои действительные стремления и под прикрытием лживой клятвы в "верности" партии пытающиеся сорвать на деле политику партии", а также "открытые и скрытые нарушители железной дисциплины партии и государства, не выполняющие решений партии и правительства, подвергающие сомнению и дискредитирующие решения и установленные партией планы болтовней об их "нереальности" и "неосуществимости". Согласно духу и букве этих положений, из партии должен был быть изгнан всякий, кто высказывал сомнения в правильности не только "генеральной линии", но даже отдельных практических мероприятий сталинского руководства (9492).</w:t>
      </w:r>
    </w:p>
    <w:p w14:paraId="5AF0F6DE"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693B80C2"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апреля 1933 года постановлением Совнаркома СССР № 861 “О выдаче гражданам Союза ССР паспортов на территории СССР” к режимным были отнесены города Киев, Одесса, Минск, Ростов-на-Дону, Сталинград, Сталинск, Баку, Горький, Сормово, Магнитогорск, Челябинск, Грозный, Севастополь, Сталино, Пермь, Днепропетровск, Свердловск, Владивосток, Хабаровск, Никольско-Уссурийск, Спасск, Благовещенск, Анжеро-Судженск, Прокопьевск, Ленинск, а также населенные пункты в пределах стокилометровой западноевропейской пограничной полосы СССР. В этих местностях запрещалось выдавать паспорта и проживать лицам, в которых советская власть видела прямую или косвенную угрозу своему существованию. Эти люди под контролем органов милиции подлежали выдворению в другие местности страны в течение десяти дней, где им предоставлялось “право беспрепятственного проживания” с выдачей паспорта. В сельских местностях паспорта выдавались только в совхозах и на территориях, объявленных “режимными”. Остальные сельчане паспортов не получили. Оба предписания устанавливали длинную, сопряженную со многими трудностями процедуру получения паспортов для стремящихся покинуть деревню. Формально закон определял, что “в тех случаях, когда лица, проживающие в сельских местностях, выбывают на длительное или постоянное жительство в местности, где введена паспортная система, они получают паспорта в районных или городских управлениях рабоче-крестьянской милиции по месту своего прежнего жительства сроком на один год. По истечении годичного срока лица, приехавшие на постоянное жительство, получают по новому месту жительства паспорта на общих основаниях” (пункт 3-й постановления СНК СССР № 861 от 28 апреля 1933 года) (9985).</w:t>
      </w:r>
    </w:p>
    <w:p w14:paraId="2AC771B6"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406227C9" w14:textId="77777777" w:rsidR="00F1507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109D2D9A" w14:textId="77777777" w:rsidR="00F15071" w:rsidRPr="00C33834" w:rsidRDefault="00F1507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8EB2FC7" w14:textId="77777777" w:rsidR="00371007" w:rsidRPr="00C33834" w:rsidRDefault="0037100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апреля в 1933 году (начиная с 14 апреля) летчик "Люфтганзы" Унтухт установил на «Не-70b» восемь мировых рекордов на дистанции от 100 км до 2000 км с нагрузкой в 500 и 1000 кг. Наибольший результат был достигнут на дистанции в 100 км с нагрузкой в тонну - здесь скорость составила 357 км/ч. Цифра для того времени очень впечатляющая, ведь пассажирская машина летала быстрее лучшего английского серийного, истребителя Хаукер "Фьюри". Рекорды установили после замены мотора на более мощный «BMW» VI 7,3Z (750 л. с.), и нового обтекаемого фонаря кабины пилота. Двухлопастный винт с установкой лопастей на земле заменили на трехлопастный с изменяемым в полете шагом (15113).</w:t>
      </w:r>
    </w:p>
    <w:p w14:paraId="7194E664" w14:textId="77777777" w:rsidR="00371007" w:rsidRPr="00C33834" w:rsidRDefault="00371007" w:rsidP="00C33834">
      <w:pPr>
        <w:spacing w:after="0" w:line="240" w:lineRule="auto"/>
        <w:jc w:val="both"/>
        <w:rPr>
          <w:rFonts w:ascii="Times New Roman" w:hAnsi="Times New Roman"/>
          <w:color w:val="000000" w:themeColor="text1"/>
          <w:sz w:val="16"/>
          <w:szCs w:val="16"/>
        </w:rPr>
      </w:pPr>
    </w:p>
    <w:p w14:paraId="0708961B" w14:textId="77777777" w:rsidR="00EA74B3" w:rsidRPr="00C33834" w:rsidRDefault="00EA74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28 апреля 1933 года — первый полёт истребителя Fiat CR.32.</w:t>
      </w:r>
    </w:p>
    <w:p w14:paraId="6F733138" w14:textId="77777777" w:rsidR="00EA74B3" w:rsidRPr="00C33834" w:rsidRDefault="00EA74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Развивая успех истребителя CR.30, конструкторы авиационного отдела Fiat во главе с Челестино Розателли в 1932 году приступили к работе над новым проектом. За счёт уменьшения размеров и облегчения самолёта планировалось существенно улучшить скоростные показатели.</w:t>
      </w:r>
    </w:p>
    <w:p w14:paraId="31342004" w14:textId="77777777" w:rsidR="00EA74B3" w:rsidRPr="00C33834" w:rsidRDefault="00EA74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Как и его предшественник, CR.32 представлял собой одноместный биплан (а точнее — полутораплан) с неубирающимся шасси. Каркас фюзеляжа был сделан из дюралевых и стальных труб и обтянут полотном (кроме капота из дюрали). Вооружение — 2 × 7.7-мм или 12.7-мм пулемёта Breda-SAFAT. Имелась возможность подвесить до 100 кг бомб.</w:t>
      </w:r>
    </w:p>
    <w:p w14:paraId="37BCF7DF" w14:textId="77777777" w:rsidR="00EA74B3" w:rsidRPr="00C33834" w:rsidRDefault="00EA74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После успешных испытаний новый истребитель был принят на вооружение Regia Aeronautica (итальянских ВВС), заменив CR.30. Кроме того, CR.32 хорошо продавался зарубеж — в Австрию, Китай, Венгрию, Парагвай, Венесуэлу. Истребитель получил боевое крещение во время гражданской войны в Испании. Всего выпустили 1312 экземпляра Fiat CR.32 всех модификаций, два из которых сегодня можно увидеть в музеях (22300).</w:t>
      </w:r>
    </w:p>
    <w:p w14:paraId="677DE540" w14:textId="77777777" w:rsidR="00EA74B3" w:rsidRPr="00C33834" w:rsidRDefault="00EA74B3" w:rsidP="00C33834">
      <w:pPr>
        <w:spacing w:after="0" w:line="240" w:lineRule="auto"/>
        <w:jc w:val="both"/>
        <w:rPr>
          <w:rFonts w:ascii="Times New Roman" w:hAnsi="Times New Roman"/>
          <w:color w:val="0070C0"/>
          <w:sz w:val="16"/>
          <w:szCs w:val="16"/>
        </w:rPr>
      </w:pPr>
    </w:p>
    <w:p w14:paraId="78578954" w14:textId="77777777" w:rsidR="00371007" w:rsidRPr="00C33834" w:rsidRDefault="0037100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апреля в 1933 году опытный итальянский истребитель «CR.32» совершил свой первый 30-минутный полете заводского аэродрома под Турином. Машину пилотировал испытатель Франческо Брак-Папа. В первый же день стало ясно, что машина удалась. Сохранив все достоинства, присущие «CR.30», новый истребитель выиграл в скорости и управляемости (15113).</w:t>
      </w:r>
    </w:p>
    <w:p w14:paraId="513C5739" w14:textId="77777777" w:rsidR="00371007" w:rsidRPr="00C33834" w:rsidRDefault="00371007" w:rsidP="00C33834">
      <w:pPr>
        <w:spacing w:after="0" w:line="240" w:lineRule="auto"/>
        <w:jc w:val="both"/>
        <w:rPr>
          <w:rFonts w:ascii="Times New Roman" w:hAnsi="Times New Roman"/>
          <w:color w:val="000000" w:themeColor="text1"/>
          <w:sz w:val="16"/>
          <w:szCs w:val="16"/>
        </w:rPr>
      </w:pPr>
    </w:p>
    <w:p w14:paraId="12EAFB5A"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апреля 1933 Г.Геринг основал и возглавил Reichsluftschutzbund - имперский союз противовоздушной обороны (2814,3).</w:t>
      </w:r>
    </w:p>
    <w:p w14:paraId="5BB976C6"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750E63EA" w14:textId="77777777" w:rsidR="000E38DB" w:rsidRPr="00C33834" w:rsidRDefault="000E38DB"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41C0DFB" w14:textId="77777777" w:rsidR="000E38DB" w:rsidRPr="00C33834" w:rsidRDefault="000E38DB" w:rsidP="00C33834">
      <w:pPr>
        <w:spacing w:after="0" w:line="240" w:lineRule="auto"/>
        <w:jc w:val="both"/>
        <w:rPr>
          <w:rFonts w:ascii="Times New Roman" w:hAnsi="Times New Roman"/>
          <w:iCs/>
          <w:color w:val="000000" w:themeColor="text1"/>
          <w:sz w:val="16"/>
          <w:szCs w:val="16"/>
        </w:rPr>
      </w:pPr>
    </w:p>
    <w:p w14:paraId="03512756"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апреля 1933</w:t>
      </w:r>
    </w:p>
    <w:p w14:paraId="5B5EB6DA"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w:t>
      </w:r>
    </w:p>
    <w:p w14:paraId="5B99B445"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http://sovdoc.rusarchives.ru</w:t>
      </w:r>
    </w:p>
    <w:p w14:paraId="32A59B33"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Архив: </w:t>
      </w:r>
    </w:p>
    <w:p w14:paraId="163FCF18"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РГАСПИ. Ф. 17. Оп. 162. Д. 14. Л. 138.</w:t>
      </w:r>
    </w:p>
    <w:p w14:paraId="28F87DD9"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 № 1-ОП</w:t>
      </w:r>
    </w:p>
    <w:p w14:paraId="6000B52A"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 36/23 (о. п.) пр. ПБ № 137.</w:t>
      </w:r>
    </w:p>
    <w:p w14:paraId="1632E31A"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строительстве и оборудовании завода № 24 ГУАП'а.</w:t>
      </w:r>
    </w:p>
    <w:p w14:paraId="393F23ED"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Совета Труда и Обороны.</w:t>
      </w:r>
    </w:p>
    <w:p w14:paraId="46521FE0"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(Утверждено Политбюро ЦК ВКП(б) 29 апреля 1933 г.).</w:t>
      </w:r>
    </w:p>
    <w:p w14:paraId="579DB9FA"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Совет Труда и Обороны постановляет:</w:t>
      </w:r>
    </w:p>
    <w:p w14:paraId="58F49159"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Строительство и оборудование завода № 24 форсировать, в связи с чем закончить строительство и оборудование к 1.VII.1934 г. — на мощность в 3.000 моторов и к 1.VII.1935 г. — на полную мощность, т. е. на 15.000 моторов.</w:t>
      </w:r>
    </w:p>
    <w:p w14:paraId="3978E1E4"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 1933 году дополнительно ассигновать заводу № 24 12.050.000 руб., из них:</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197"/>
        <w:gridCol w:w="2131"/>
      </w:tblGrid>
      <w:tr w:rsidR="00F26F01" w:rsidRPr="00C33834" w14:paraId="0D5FAA3D" w14:textId="77777777" w:rsidTr="00B4260E">
        <w:trPr>
          <w:tblCellSpacing w:w="0" w:type="dxa"/>
        </w:trPr>
        <w:tc>
          <w:tcPr>
            <w:tcW w:w="0" w:type="auto"/>
            <w:vAlign w:val="center"/>
            <w:hideMark/>
          </w:tcPr>
          <w:p w14:paraId="6D7ECA82"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производство строительных работ и монтаж оборудования</w:t>
            </w:r>
          </w:p>
        </w:tc>
        <w:tc>
          <w:tcPr>
            <w:tcW w:w="0" w:type="auto"/>
            <w:vAlign w:val="center"/>
            <w:hideMark/>
          </w:tcPr>
          <w:p w14:paraId="342BBF89"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7.500.000 руб.</w:t>
            </w:r>
          </w:p>
        </w:tc>
      </w:tr>
      <w:tr w:rsidR="00F26F01" w:rsidRPr="00C33834" w14:paraId="3E4BAB46" w14:textId="77777777" w:rsidTr="00B4260E">
        <w:trPr>
          <w:tblCellSpacing w:w="0" w:type="dxa"/>
        </w:trPr>
        <w:tc>
          <w:tcPr>
            <w:tcW w:w="0" w:type="auto"/>
            <w:vAlign w:val="center"/>
            <w:hideMark/>
          </w:tcPr>
          <w:p w14:paraId="2A1293DE"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импортное оборудование</w:t>
            </w:r>
          </w:p>
        </w:tc>
        <w:tc>
          <w:tcPr>
            <w:tcW w:w="0" w:type="auto"/>
            <w:vAlign w:val="center"/>
            <w:hideMark/>
          </w:tcPr>
          <w:p w14:paraId="25BF7DD9"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3.250.000 руб.</w:t>
            </w:r>
          </w:p>
        </w:tc>
      </w:tr>
      <w:tr w:rsidR="00F26F01" w:rsidRPr="00C33834" w14:paraId="026FC544" w14:textId="77777777" w:rsidTr="00B4260E">
        <w:trPr>
          <w:tblCellSpacing w:w="0" w:type="dxa"/>
        </w:trPr>
        <w:tc>
          <w:tcPr>
            <w:tcW w:w="0" w:type="auto"/>
            <w:vAlign w:val="center"/>
            <w:hideMark/>
          </w:tcPr>
          <w:p w14:paraId="77F6742B"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советское оборудование</w:t>
            </w:r>
          </w:p>
        </w:tc>
        <w:tc>
          <w:tcPr>
            <w:tcW w:w="0" w:type="auto"/>
            <w:vAlign w:val="center"/>
            <w:hideMark/>
          </w:tcPr>
          <w:p w14:paraId="44D38A5C"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1.300.000 руб.</w:t>
            </w:r>
          </w:p>
        </w:tc>
      </w:tr>
    </w:tbl>
    <w:p w14:paraId="14EF6D04"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общей суммы дополнительно ассигнуемых заводу № 24 в 8.800 тыс. руб. (без импорта) 4.400 тыс. руб. отпустить по общесоюзному бюджету сверх бюджета НКТП, а остальные 4.400 тыс. руб. — по бюджету НКТП.</w:t>
      </w:r>
    </w:p>
    <w:p w14:paraId="4035E57B"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Объем импортного оборудования для завода установить в 4.850.000 руб., из них — 3.250.000 руб. ассигновать в 1933 г., с расчетом получения и монтажа оборудования до 1.VII.1934 г., и на 1.600.000 руб. — в 1934 г., с расчетом получения и монтажа оборудования к 1.VII.1935 г. Из общей суммы импортного контингента в 3.250.000 руб. на 1933 г. — 1.625.000 руб. отпустить дополнительно сверх контингента НКТП и 1.625.000 руб. за счет контингента НКТП.</w:t>
      </w:r>
    </w:p>
    <w:p w14:paraId="6EB184E9"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Обязать НКВнешторг немедленно приступить к размещению заказов на оборудование первой очереди на 3.250.000 руб., а Глававиапрому выделить специальную комиссию для реализации этого оборудования.</w:t>
      </w:r>
    </w:p>
    <w:p w14:paraId="2B44C7B2"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Обязать НКВнешторг в начале 1934 г. приступить к размещению оборудования второй очереди на 1.600.000 руб.</w:t>
      </w:r>
    </w:p>
    <w:p w14:paraId="08ADC49E"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Председатель Совета Труда и Обороны — В. Молотов (Скрябин) (18058).</w:t>
      </w:r>
    </w:p>
    <w:p w14:paraId="0D5CA9C8" w14:textId="77777777" w:rsidR="000E38DB" w:rsidRPr="00C33834" w:rsidRDefault="000E38DB" w:rsidP="00C33834">
      <w:pPr>
        <w:spacing w:after="0" w:line="240" w:lineRule="auto"/>
        <w:jc w:val="both"/>
        <w:rPr>
          <w:rFonts w:ascii="Times New Roman" w:hAnsi="Times New Roman"/>
          <w:color w:val="000000" w:themeColor="text1"/>
          <w:sz w:val="16"/>
          <w:szCs w:val="16"/>
        </w:rPr>
      </w:pPr>
    </w:p>
    <w:p w14:paraId="36EA22F7"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апреля 1933</w:t>
      </w:r>
    </w:p>
    <w:p w14:paraId="4F4C383E"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Опросом членов Политбюро от 29.IV.1933 г.</w:t>
      </w:r>
    </w:p>
    <w:p w14:paraId="3A168C8C"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36/23: Вопросы К. О.</w:t>
      </w:r>
    </w:p>
    <w:p w14:paraId="0E1AB187"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Протокол № 137 заседания Политбюро ЦК ВКП(б) от 10 мая 1933 года</w:t>
      </w:r>
    </w:p>
    <w:p w14:paraId="31193347"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Заседание Политбюро ЦК ВКП(б) от 10</w:t>
      </w:r>
      <w:r w:rsidRPr="00C33834">
        <w:rPr>
          <w:rFonts w:ascii="Times New Roman" w:hAnsi="Times New Roman"/>
          <w:color w:val="000000" w:themeColor="text1"/>
          <w:sz w:val="16"/>
          <w:szCs w:val="16"/>
        </w:rPr>
        <w:noBreakHyphen/>
        <w:t>го мая 1933 года.</w:t>
      </w:r>
    </w:p>
    <w:p w14:paraId="2ED0FD37"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а) О полетах на тяжелых самолетах</w:t>
      </w:r>
    </w:p>
    <w:p w14:paraId="228EF954"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 заводе № 24 ГУАП</w:t>
      </w:r>
    </w:p>
    <w:p w14:paraId="61FFD6E4"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 договоре с фирмой J.V.S.</w:t>
      </w:r>
    </w:p>
    <w:p w14:paraId="2EE3DEB1"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О договоре с фирмой “Сперри”</w:t>
      </w:r>
    </w:p>
    <w:p w14:paraId="76E2FB6C"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О полете в стратосферу</w:t>
      </w:r>
    </w:p>
    <w:p w14:paraId="7CD4573D"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 особая папка.</w:t>
      </w:r>
    </w:p>
    <w:p w14:paraId="7923CCD9"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Во изменение п. 12 постановления ЦК от 5.VII.1932 г. (пр. № 107, п. 46/3) установить запрещение полетов на тяжелых самолетах без радиостанции с 1.VII.1933 г.</w:t>
      </w:r>
    </w:p>
    <w:p w14:paraId="6D768D40"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Утвердить следующее постановление СТО (</w:t>
      </w:r>
      <w:hyperlink r:id="rId136" w:history="1">
        <w:r w:rsidRPr="00C33834">
          <w:rPr>
            <w:rFonts w:ascii="Times New Roman" w:hAnsi="Times New Roman"/>
            <w:color w:val="000000" w:themeColor="text1"/>
            <w:sz w:val="16"/>
            <w:szCs w:val="16"/>
          </w:rPr>
          <w:t>см. приложение № 1</w:t>
        </w:r>
        <w:r w:rsidRPr="00C33834">
          <w:rPr>
            <w:rFonts w:ascii="Times New Roman" w:hAnsi="Times New Roman"/>
            <w:color w:val="000000" w:themeColor="text1"/>
            <w:sz w:val="16"/>
            <w:szCs w:val="16"/>
          </w:rPr>
          <w:noBreakHyphen/>
          <w:t>ОП</w:t>
        </w:r>
      </w:hyperlink>
      <w:r w:rsidRPr="00C33834">
        <w:rPr>
          <w:rFonts w:ascii="Times New Roman" w:hAnsi="Times New Roman"/>
          <w:color w:val="000000" w:themeColor="text1"/>
          <w:sz w:val="16"/>
          <w:szCs w:val="16"/>
        </w:rPr>
        <w:t>).</w:t>
      </w:r>
    </w:p>
    <w:p w14:paraId="7815CA28"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 Договор НКТП с германской фирмой подтвердить.</w:t>
      </w:r>
    </w:p>
    <w:p w14:paraId="76F94EBF"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Предложить НКТП и НКВМ послать комиссию в составе 5</w:t>
      </w:r>
      <w:r w:rsidRPr="00C33834">
        <w:rPr>
          <w:rFonts w:ascii="Times New Roman" w:hAnsi="Times New Roman"/>
          <w:color w:val="000000" w:themeColor="text1"/>
          <w:sz w:val="16"/>
          <w:szCs w:val="16"/>
        </w:rPr>
        <w:noBreakHyphen/>
        <w:t>7 человек для испытаний подлодки Е</w:t>
      </w:r>
      <w:r w:rsidRPr="00C33834">
        <w:rPr>
          <w:rFonts w:ascii="Times New Roman" w:hAnsi="Times New Roman"/>
          <w:color w:val="000000" w:themeColor="text1"/>
          <w:sz w:val="16"/>
          <w:szCs w:val="16"/>
        </w:rPr>
        <w:noBreakHyphen/>
        <w:t>1.</w:t>
      </w:r>
    </w:p>
    <w:p w14:paraId="554EFD15"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Результаты испытаний НКТП и НКВМ доложить КО для принятия окончательного решения по договору.</w:t>
      </w:r>
    </w:p>
    <w:p w14:paraId="524FE6AB"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Договор, заключенный т. Халепским с фирмой “Сперри” по покупке образцов и техпомощи, — утвердить.</w:t>
      </w:r>
    </w:p>
    <w:p w14:paraId="5E51185E"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1. Обязать ГУАП приобрести 3 комплекта всех необходимых приборов для оборудования стратосферного самолета, а импортные организации реализовать и доставить не позднее 15 июня.</w:t>
      </w:r>
    </w:p>
    <w:p w14:paraId="6820BDB7"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Стоимость оборудования утвердить в сумме 15.000 руб. в инвалюте сверх утвержденного НКТП импортного контингента.</w:t>
      </w:r>
    </w:p>
    <w:p w14:paraId="4B1B0114"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 целях изучения, обеспечения и ускорения выпуска мотора М</w:t>
      </w:r>
      <w:r w:rsidRPr="00C33834">
        <w:rPr>
          <w:rFonts w:ascii="Times New Roman" w:hAnsi="Times New Roman"/>
          <w:color w:val="000000" w:themeColor="text1"/>
          <w:sz w:val="16"/>
          <w:szCs w:val="16"/>
        </w:rPr>
        <w:noBreakHyphen/>
        <w:t>34 с нагнетателем до 8.000 метров, утвердить заказ фирме “РАТО” 10 шт. нагнетателей к мотору М</w:t>
      </w:r>
      <w:r w:rsidRPr="00C33834">
        <w:rPr>
          <w:rFonts w:ascii="Times New Roman" w:hAnsi="Times New Roman"/>
          <w:color w:val="000000" w:themeColor="text1"/>
          <w:sz w:val="16"/>
          <w:szCs w:val="16"/>
        </w:rPr>
        <w:noBreakHyphen/>
        <w:t>34, для чего отпустить специальный контингент в 85.000 руб. сверх утвержденного импортного контингента НКТП как для оплаты заказа, так и для расходов по доводке мотора М</w:t>
      </w:r>
      <w:r w:rsidRPr="00C33834">
        <w:rPr>
          <w:rFonts w:ascii="Times New Roman" w:hAnsi="Times New Roman"/>
          <w:color w:val="000000" w:themeColor="text1"/>
          <w:sz w:val="16"/>
          <w:szCs w:val="16"/>
        </w:rPr>
        <w:noBreakHyphen/>
        <w:t>34 до высотности 8.000 метров.</w:t>
      </w:r>
    </w:p>
    <w:p w14:paraId="66052FCF"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Выписки посланы:</w:t>
      </w:r>
    </w:p>
    <w:p w14:paraId="70080657"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Базилевичу, Ворошилову — все;</w:t>
      </w:r>
    </w:p>
    <w:p w14:paraId="7EE83841" w14:textId="77777777" w:rsidR="000E38DB" w:rsidRPr="00C33834" w:rsidRDefault="000E38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Розенгольцу, Орджоникидзе — п.п. “б”, “в”, “г”, “д” (18059).</w:t>
      </w:r>
    </w:p>
    <w:p w14:paraId="2DC3112C" w14:textId="77777777" w:rsidR="000E38DB" w:rsidRPr="00C33834" w:rsidRDefault="000E38DB" w:rsidP="00C33834">
      <w:pPr>
        <w:spacing w:after="0" w:line="240" w:lineRule="auto"/>
        <w:jc w:val="both"/>
        <w:rPr>
          <w:rFonts w:ascii="Times New Roman" w:hAnsi="Times New Roman"/>
          <w:color w:val="000000" w:themeColor="text1"/>
          <w:sz w:val="16"/>
          <w:szCs w:val="16"/>
        </w:rPr>
      </w:pPr>
    </w:p>
    <w:p w14:paraId="195DF8F6"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29 апреля 1933 опросом членов ПБ</w:t>
      </w:r>
    </w:p>
    <w:p w14:paraId="4524B714"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36/23.-Вопросы К.О.</w:t>
      </w:r>
    </w:p>
    <w:p w14:paraId="2C905F92"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О полетах на тяжелых самолетах</w:t>
      </w:r>
    </w:p>
    <w:p w14:paraId="39AF2DB2"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О заводе № 24 ГУАП</w:t>
      </w:r>
    </w:p>
    <w:p w14:paraId="1078CE59"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О договоре с фирмой JVS</w:t>
      </w:r>
    </w:p>
    <w:p w14:paraId="0590E728"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 О договоре с фирмой Сперри</w:t>
      </w:r>
    </w:p>
    <w:p w14:paraId="23008D33"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 О полете в стратосферу</w:t>
      </w:r>
    </w:p>
    <w:p w14:paraId="6735A2AF"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Во исполнение п. 12 постановления ЦК от 5.УП.1932 г.(ПБ, Пр № 107, п. 10/3) установить запрещение полетов на тяжелых самолетах без радиостанции с 1.УП.1933 г.</w:t>
      </w:r>
    </w:p>
    <w:p w14:paraId="0FAF0684"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Утвердить следующее постановление СТО (см. приложение)</w:t>
      </w:r>
    </w:p>
    <w:p w14:paraId="4899C1DB"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приложение</w:t>
      </w:r>
    </w:p>
    <w:p w14:paraId="4DAEC879"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 п. 36-23-опр. (о.п.) пр. ПБ № 137.</w:t>
      </w:r>
    </w:p>
    <w:p w14:paraId="454DA299"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 СТРОИТЕЛЬСТВЕ И ОБОРУДОВАЛИ ЗАВОДА № 24 ГУАП"а.</w:t>
      </w:r>
    </w:p>
    <w:p w14:paraId="4E639CDA"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Постановление Совета Труда и Обороны.</w:t>
      </w:r>
    </w:p>
    <w:p w14:paraId="5E8525CB"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(Утверждено Политбюро ЦК ВКП(б) 29 апреля 1933 г.).</w:t>
      </w:r>
    </w:p>
    <w:p w14:paraId="3507CB57"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Совет Труда и Оборони постановляет:</w:t>
      </w:r>
    </w:p>
    <w:p w14:paraId="0710A658"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Строительство и оборудование завода 24 форсировать, в связи с чем закончить строительство и оборудование к 1.УП.34 г.- на мощность в 8000 моторов и к 1.УП.35 г.- на полную мощность, т.-е. на 15.000 моторов.</w:t>
      </w:r>
    </w:p>
    <w:p w14:paraId="24CA3A5D"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xml:space="preserve">2. В 1933 году дополнительно ассигновать заводу № 24 </w:t>
      </w:r>
      <w:r w:rsidRPr="00C33834">
        <w:rPr>
          <w:rFonts w:ascii="Times New Roman" w:hAnsi="Times New Roman"/>
          <w:color w:val="0070C0"/>
          <w:sz w:val="16"/>
          <w:szCs w:val="16"/>
        </w:rPr>
        <w:fldChar w:fldCharType="begin"/>
      </w:r>
      <w:r w:rsidRPr="00C33834">
        <w:rPr>
          <w:rFonts w:ascii="Times New Roman" w:hAnsi="Times New Roman"/>
          <w:color w:val="0070C0"/>
          <w:sz w:val="16"/>
          <w:szCs w:val="16"/>
        </w:rPr>
        <w:instrText xml:space="preserve"> TOC \o "1-5" \h \z </w:instrText>
      </w:r>
      <w:r w:rsidRPr="00C33834">
        <w:rPr>
          <w:rFonts w:ascii="Times New Roman" w:hAnsi="Times New Roman"/>
          <w:color w:val="0070C0"/>
          <w:sz w:val="16"/>
          <w:szCs w:val="16"/>
        </w:rPr>
        <w:fldChar w:fldCharType="separate"/>
      </w:r>
      <w:r w:rsidRPr="00C33834">
        <w:rPr>
          <w:rFonts w:ascii="Times New Roman" w:hAnsi="Times New Roman"/>
          <w:color w:val="0070C0"/>
          <w:sz w:val="16"/>
          <w:szCs w:val="16"/>
        </w:rPr>
        <w:t>12.050.000 руб., из них:</w:t>
      </w:r>
    </w:p>
    <w:p w14:paraId="7D2DC4B1"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xml:space="preserve">на производство строительных работ и монтаж оборудования </w:t>
      </w:r>
      <w:r w:rsidRPr="00C33834">
        <w:rPr>
          <w:rFonts w:ascii="Times New Roman" w:hAnsi="Times New Roman"/>
          <w:color w:val="0070C0"/>
          <w:sz w:val="16"/>
          <w:szCs w:val="16"/>
        </w:rPr>
        <w:tab/>
        <w:t xml:space="preserve"> 7.500.000</w:t>
      </w:r>
      <w:r w:rsidRPr="00C33834">
        <w:rPr>
          <w:rFonts w:ascii="Times New Roman" w:hAnsi="Times New Roman"/>
          <w:color w:val="0070C0"/>
          <w:sz w:val="16"/>
          <w:szCs w:val="16"/>
        </w:rPr>
        <w:tab/>
        <w:t>р.</w:t>
      </w:r>
    </w:p>
    <w:p w14:paraId="5FDFC25E"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xml:space="preserve">на импортное оборудование </w:t>
      </w:r>
      <w:r w:rsidRPr="00C33834">
        <w:rPr>
          <w:rFonts w:ascii="Times New Roman" w:hAnsi="Times New Roman"/>
          <w:color w:val="0070C0"/>
          <w:sz w:val="16"/>
          <w:szCs w:val="16"/>
        </w:rPr>
        <w:tab/>
        <w:t xml:space="preserve"> 3.250.000</w:t>
      </w:r>
      <w:r w:rsidRPr="00C33834">
        <w:rPr>
          <w:rFonts w:ascii="Times New Roman" w:hAnsi="Times New Roman"/>
          <w:color w:val="0070C0"/>
          <w:sz w:val="16"/>
          <w:szCs w:val="16"/>
        </w:rPr>
        <w:tab/>
        <w:t>р.</w:t>
      </w:r>
    </w:p>
    <w:p w14:paraId="26308AF5"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xml:space="preserve">на советское оборудование </w:t>
      </w:r>
      <w:r w:rsidRPr="00C33834">
        <w:rPr>
          <w:rFonts w:ascii="Times New Roman" w:hAnsi="Times New Roman"/>
          <w:color w:val="0070C0"/>
          <w:sz w:val="16"/>
          <w:szCs w:val="16"/>
        </w:rPr>
        <w:tab/>
        <w:t xml:space="preserve"> 1.300.000</w:t>
      </w:r>
      <w:r w:rsidRPr="00C33834">
        <w:rPr>
          <w:rFonts w:ascii="Times New Roman" w:hAnsi="Times New Roman"/>
          <w:color w:val="0070C0"/>
          <w:sz w:val="16"/>
          <w:szCs w:val="16"/>
        </w:rPr>
        <w:tab/>
        <w:t>р.</w:t>
      </w:r>
      <w:r w:rsidRPr="00C33834">
        <w:rPr>
          <w:rFonts w:ascii="Times New Roman" w:hAnsi="Times New Roman"/>
          <w:color w:val="0070C0"/>
          <w:sz w:val="16"/>
          <w:szCs w:val="16"/>
        </w:rPr>
        <w:fldChar w:fldCharType="end"/>
      </w:r>
    </w:p>
    <w:p w14:paraId="2F4FA7AE"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Из общей суммы дополнительно ассигнуемых заводу 24 в 8.800 т.р.(без импорта) 4.400 т.р. отпустить по общесоюзному бюд</w:t>
      </w:r>
      <w:r w:rsidRPr="00C33834">
        <w:rPr>
          <w:rFonts w:ascii="Times New Roman" w:hAnsi="Times New Roman"/>
          <w:color w:val="0070C0"/>
          <w:sz w:val="16"/>
          <w:szCs w:val="16"/>
        </w:rPr>
        <w:softHyphen/>
        <w:t>жету сверх бюджета НКТП, а остальные 4.400 т.п. - по бюджету НКТП.</w:t>
      </w:r>
    </w:p>
    <w:p w14:paraId="1DE08D6A"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Об”ем импортного оборудования для завода установить в 4.850.000 р., из них - 3.250.000 р. ассигновать в 1933 г., с рас</w:t>
      </w:r>
      <w:r w:rsidRPr="00C33834">
        <w:rPr>
          <w:rFonts w:ascii="Times New Roman" w:hAnsi="Times New Roman"/>
          <w:color w:val="0070C0"/>
          <w:sz w:val="16"/>
          <w:szCs w:val="16"/>
        </w:rPr>
        <w:softHyphen/>
        <w:t>четом получения и монтажа оборудования до 1.УП.34 г., и на 1.000.000 р. - в 1934 г.,с расчетом получения и монтажа оборудо</w:t>
      </w:r>
      <w:r w:rsidRPr="00C33834">
        <w:rPr>
          <w:rFonts w:ascii="Times New Roman" w:hAnsi="Times New Roman"/>
          <w:color w:val="0070C0"/>
          <w:sz w:val="16"/>
          <w:szCs w:val="16"/>
        </w:rPr>
        <w:softHyphen/>
        <w:t>вания к 1.УП.35 г. Из общей суммы импортного контингента в 3.250.000 п. на 1933 х.- 1.625.000 р. отпустить дополнительно сверх контингента НКТП и 1.625.000 р. за счет контингента НКТП.</w:t>
      </w:r>
    </w:p>
    <w:p w14:paraId="4A9DCEC2"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Обязать НКВнешторг немедленно приступить к размещению заказов на оборудование первой очереди на 3.250.000 р., а Глав</w:t>
      </w:r>
      <w:r w:rsidRPr="00C33834">
        <w:rPr>
          <w:rFonts w:ascii="Times New Roman" w:hAnsi="Times New Roman"/>
          <w:color w:val="0070C0"/>
          <w:sz w:val="16"/>
          <w:szCs w:val="16"/>
        </w:rPr>
        <w:softHyphen/>
        <w:t>авиапрому выделить специальную комиссию для реализации этого обо</w:t>
      </w:r>
      <w:r w:rsidRPr="00C33834">
        <w:rPr>
          <w:rFonts w:ascii="Times New Roman" w:hAnsi="Times New Roman"/>
          <w:color w:val="0070C0"/>
          <w:sz w:val="16"/>
          <w:szCs w:val="16"/>
        </w:rPr>
        <w:softHyphen/>
        <w:t>рудования.</w:t>
      </w:r>
    </w:p>
    <w:p w14:paraId="2311CB9C"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Обязать НКВнегторг в начале 1934 г. приступить к размеще</w:t>
      </w:r>
      <w:r w:rsidRPr="00C33834">
        <w:rPr>
          <w:rFonts w:ascii="Times New Roman" w:hAnsi="Times New Roman"/>
          <w:color w:val="0070C0"/>
          <w:sz w:val="16"/>
          <w:szCs w:val="16"/>
        </w:rPr>
        <w:softHyphen/>
        <w:t>нию оборудования второй очереди на 1.600.000 р.</w:t>
      </w:r>
    </w:p>
    <w:p w14:paraId="7CBCDF0F"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ПРЕДСЕДАТЕЛЬ СОВЕТА ТРУДА и ОБОРОНЫ -В.МОЛОТОВ (СКРЯБИН).</w:t>
      </w:r>
    </w:p>
    <w:p w14:paraId="74C635E9"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Договор НКТП с германской фирмоq JVS подтвердить.</w:t>
      </w:r>
    </w:p>
    <w:p w14:paraId="730F2866"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Предложить НКТП и НКВМ послать коммисию в составе 5-7 человек для испытаний подлодки Е-1.</w:t>
      </w:r>
    </w:p>
    <w:p w14:paraId="278DBB88"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Результаты испытаний НКТП и НКВМ доложить К.О. для принятия окончательного решения по договору.</w:t>
      </w:r>
    </w:p>
    <w:p w14:paraId="0360083B"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 Договор, заключенный т. Халепским с фирмой "Сперри" по покупке образцов и техпомощи - утвердить.</w:t>
      </w:r>
    </w:p>
    <w:p w14:paraId="16287F46"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 1. Обязать ГУАП приобрести 3 комплекта всех необходимых приборов для оборудования стратосферного самолета, а импортные организации реализовать и доставить не позднее 15 июля.</w:t>
      </w:r>
    </w:p>
    <w:p w14:paraId="2AA770FB"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Стоимость оборудования утвердить в сумме 15.000 руб. в инвалюте сверх утвержденного НКТП импортного контингента.</w:t>
      </w:r>
    </w:p>
    <w:p w14:paraId="74A60AC6"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В целях изучения, обеспечения и ускорения выпуска мотора М-34 с нагнетателем до 8.000 мтр. ут</w:t>
      </w:r>
      <w:r w:rsidRPr="00C33834">
        <w:rPr>
          <w:rFonts w:ascii="Times New Roman" w:hAnsi="Times New Roman"/>
          <w:color w:val="0070C0"/>
          <w:sz w:val="16"/>
          <w:szCs w:val="16"/>
        </w:rPr>
        <w:softHyphen/>
        <w:t>вердить заказ фирме "РАТО" на 10 шт. нагнетателей к мо</w:t>
      </w:r>
      <w:r w:rsidRPr="00C33834">
        <w:rPr>
          <w:rFonts w:ascii="Times New Roman" w:hAnsi="Times New Roman"/>
          <w:color w:val="0070C0"/>
          <w:sz w:val="16"/>
          <w:szCs w:val="16"/>
        </w:rPr>
        <w:softHyphen/>
        <w:t>тору М-34, для чего отпустить специальный контингент в 85.000 руб. сверх утвержденного импортного контин</w:t>
      </w:r>
      <w:r w:rsidRPr="00C33834">
        <w:rPr>
          <w:rFonts w:ascii="Times New Roman" w:hAnsi="Times New Roman"/>
          <w:color w:val="0070C0"/>
          <w:sz w:val="16"/>
          <w:szCs w:val="16"/>
        </w:rPr>
        <w:softHyphen/>
        <w:t>гента НКТП как для оплаты заказа, так и для расходов по доводке мотора М-34 до высотности 8.000 мтр.</w:t>
      </w:r>
    </w:p>
    <w:p w14:paraId="20F8339C"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Базилевичу, Ворошилову - все; Розенгольцу, Орджоникидзе – б, в, г, д</w:t>
      </w:r>
    </w:p>
    <w:p w14:paraId="6CE0ADE1"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 мая 1933 состоялось заседание ПБ и был оформлен протокол № 137 (22987).</w:t>
      </w:r>
    </w:p>
    <w:p w14:paraId="027B7226" w14:textId="77777777" w:rsidR="00431D7D" w:rsidRPr="00C33834" w:rsidRDefault="00431D7D" w:rsidP="00C33834">
      <w:pPr>
        <w:spacing w:after="0" w:line="240" w:lineRule="auto"/>
        <w:jc w:val="both"/>
        <w:rPr>
          <w:rFonts w:ascii="Times New Roman" w:hAnsi="Times New Roman"/>
          <w:color w:val="0070C0"/>
          <w:sz w:val="16"/>
          <w:szCs w:val="16"/>
        </w:rPr>
      </w:pPr>
    </w:p>
    <w:p w14:paraId="2F768CB1" w14:textId="77777777" w:rsidR="0037100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200359E" w14:textId="77777777" w:rsidR="00371007" w:rsidRPr="00C33834" w:rsidRDefault="0037100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D15EE01" w14:textId="77777777" w:rsidR="00371007" w:rsidRPr="00C33834" w:rsidRDefault="0037100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апреля 1933, как раз к майским праздникам, закончили шестую машину Л-1. На первомайскую демонстрацию заводчане направили все шесть автомобилей, которые успели закончить к тому времени. Семиместные кузова типа «лимузин» были отделаны никелированными деталями, ценными породами дерева и обиты изнутри репсом. Цвет тканевой обивки салона по данным тогдашнего корреспондента «За рулем» Аркадия Марковича Млодика был коричневого цвета, по свидетельству историка автомобилестроения Л.М. Шугурова - серого, хотя не исключено применение обоих расцветок на разных автомобилях. Вопреки свидетельству Л. Шугурова, что все шесть машин первой партии были черного цвета, по имеющимся фотографиям можно утверждать, что как минимум две машины имели более светлый цвет кузова, контрастно выделяющийся на фоне черных крыльев автомобиля (15591).</w:t>
      </w:r>
    </w:p>
    <w:p w14:paraId="1D585CBB" w14:textId="77777777" w:rsidR="00371007" w:rsidRPr="00C33834" w:rsidRDefault="00371007" w:rsidP="00C33834">
      <w:pPr>
        <w:spacing w:after="0" w:line="240" w:lineRule="auto"/>
        <w:jc w:val="both"/>
        <w:rPr>
          <w:rFonts w:ascii="Times New Roman" w:hAnsi="Times New Roman"/>
          <w:color w:val="000000" w:themeColor="text1"/>
          <w:sz w:val="16"/>
          <w:szCs w:val="16"/>
        </w:rPr>
      </w:pPr>
    </w:p>
    <w:p w14:paraId="61EA2688" w14:textId="77777777" w:rsidR="00F1507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6ED51CE0" w14:textId="77777777" w:rsidR="00F15071" w:rsidRPr="00C33834" w:rsidRDefault="00F1507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0C1A5AE" w14:textId="77777777" w:rsidR="00F15071" w:rsidRPr="00C33834" w:rsidRDefault="00F1507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апреля 1933 при ЦК ВКП(б) создана Центральная комиссия по чистке партии (4962).</w:t>
      </w:r>
    </w:p>
    <w:p w14:paraId="1FFDB1B2" w14:textId="77777777" w:rsidR="00F15071" w:rsidRPr="00C33834" w:rsidRDefault="00F1507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C1BCC7"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29 апреля 1933 года при ЦК ВКП(б) создана Центральная комиссия по чистке партии от классово чуждых элементов, перерожденцев и карьеристов.</w:t>
      </w:r>
    </w:p>
    <w:p w14:paraId="5073D058"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Выполнение пятилетки в 4 года, победа индустриализации в СССР, успехи колхозного движения и огромный численный рост рабочего класса вызвали новый подъем политической активности пролетариата и крестьянства.</w:t>
      </w:r>
    </w:p>
    <w:p w14:paraId="060CA6B3"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 основе этого подъема партия увеличила свои ряды за последние 2 1/2 года на 1400 000 человек, доведя их до 3 200 000 (членов партии — 2 000 000 человек и кандидатов — 1200 000 человек).</w:t>
      </w:r>
    </w:p>
    <w:p w14:paraId="2E63D5A1"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Однако при массовом приеме в партию, проводившемся на местах зачастую огульно и без тщательной проверки, в ряды партии проникли чуждые элементы, использующие свое пребывание в партии в карьеристских и шкурнических интересах, проникли двурушнические элементы, на словах клянущиеся в верности партии, а на деле пытающиеся сорвать проведение ее политики.</w:t>
      </w:r>
    </w:p>
    <w:p w14:paraId="47074898"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 другой стороны, из-за неудовлетворительного состояния дела марксистско-ленинского воспитания членов партии в составе партии оказалось немалое число хотя и честных, готовых защищать Советскую власть товарищей, но либо недостаточно устойчивых, не понимающих духа и требований партийной дисциплины, либо политически малограмотных, не знающих Программы, Устава, основных решений партии и не могущих ввиду этого активно проводить политику партии.</w:t>
      </w:r>
    </w:p>
    <w:p w14:paraId="7D78D784"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Из партии вычищаются:</w:t>
      </w:r>
    </w:p>
    <w:p w14:paraId="1FF0DD2A"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классово чуждые и враждебные элементы, обманным путем пробравшиеся в партию и остающиеся там для разложения партийных рядов;</w:t>
      </w:r>
    </w:p>
    <w:p w14:paraId="7661519F"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двурушники, живущие обманом партии, скрывающие от нее свои действительные стремления и под прикрытием лживой клятвы в «верности» партии пытающиеся сорвать на деле политику партии;</w:t>
      </w:r>
    </w:p>
    <w:p w14:paraId="0E8537E7"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открытые и скрытые нарушители железной дисциплины партии и государства, не выполняющие решений партии и правительства, подвергающие сомнению и дискредитирующие решения и установленные партией планы, болтовней об их «нереальности» и «неосуществимости»;</w:t>
      </w:r>
    </w:p>
    <w:p w14:paraId="27BE4534"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«перерожденцы» сросшиеся с буржуазными элементами, не желающие бороться на деле с классовыми врагами, пе борющиеся на деле с кулацкими элементами, рвачами, лодырями, ворами и расхитителями общественной собственности;</w:t>
      </w:r>
    </w:p>
    <w:p w14:paraId="49719CC7"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карьеристы, шкурники и обюрократившиеся элементы, использующие пребывание в партии и службу у Советского государства для своих личных шкурнических целей, оторвавшиеся от масс и пренебрегающие нуждами и запросами рабочих и крестьян;</w:t>
      </w:r>
    </w:p>
    <w:p w14:paraId="269863AC"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морально разложившиеся, роняющие своим неблаговидным поведением достоинство партии, пачкающие знамя партии.</w:t>
      </w:r>
    </w:p>
    <w:p w14:paraId="3F348E1C"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Ввиду того что среди членов партии, вступивших за последнее время в ряды ВКП(б), имеется часть товарищей, преданвых делу рабочего класса и показавших на деле — на производстве, в колхозах — свою преданность, но не усвоивших самых элементарных политических знаний, необходимых для члена Коммунистической партии — Программы, Устава, важнейших решений партии, Центральный Комитет и Центральная Контрольная Комиссия партии рекомендуют при чистке переводить таких коммунистов в кандидаты партии не в виде партвзысканий, а в целях их политического воспитания и лучшей подготовки, с тем чтобы через год поставить вопрос об их обратном переводе в члены партии, если они сумеют за этот год повысить свою политическую грамотность, необходимую для члена партии.</w:t>
      </w:r>
    </w:p>
    <w:p w14:paraId="5E3C8CBB" w14:textId="77777777" w:rsidR="00431D7D" w:rsidRPr="00C33834" w:rsidRDefault="00431D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Ввиду того что вследствие тех же обстоятельств в составе кандидатов партии оказалось немалое количество товарищей, которые не только не имеют элементарных политических знаний, необходимых для кандидата, но страдают еще неустойчивостью и отсутствием достаточной выдержанности с точки зрения партийной дисциплины, Центральный Комитет и Центральная Контрольная Комиссия партии рекомендуют при чистке переводить таких товарищей из разряда кандидатов в разряд сочувствующих, с тем чтобы через год поставить вопрос об их обратном переводе в кандидаты или о приеме их в члены партии, если проверка покажет, что они вполне созрели для этого (21177).</w:t>
      </w:r>
    </w:p>
    <w:p w14:paraId="53EFC37D" w14:textId="77777777" w:rsidR="00431D7D" w:rsidRPr="00C33834" w:rsidRDefault="00431D7D" w:rsidP="00C33834">
      <w:pPr>
        <w:spacing w:after="0" w:line="240" w:lineRule="auto"/>
        <w:jc w:val="both"/>
        <w:rPr>
          <w:rFonts w:ascii="Times New Roman" w:hAnsi="Times New Roman"/>
          <w:color w:val="0070C0"/>
          <w:sz w:val="16"/>
          <w:szCs w:val="16"/>
        </w:rPr>
      </w:pPr>
    </w:p>
    <w:p w14:paraId="6296B6F4" w14:textId="77777777" w:rsidR="000E63D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AF5AA4F" w14:textId="77777777" w:rsidR="000E63D3" w:rsidRPr="00C33834" w:rsidRDefault="000E63D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D937E00"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апреля в 1933 году состоялся первый полет прототипа «Late 55.0», оборудованного четырьмя двигателями «Gnome-Rhone» «9Kbr» «Mistral» мощностью 500 л.с. «Late-550» - бомбардировщик-торпедоносец, разработанный французской фирмой «Societe Industrielle d'Aviation Latecoere». В 1932 году французская комиссия «CEPANA» («Commission d'examen des Prototypes et Appareils Nouveaux de l'Aeronautique») опубликовала спецификацию 698/2 на тяжелый четырехмоторный бомбардировщик. Фирма «Latecoere» в конце 1932 года начала разработку своего бомбардировщика «Late 55.0» согласно этой спецификации. Испытание бомбардировщика не впечатлили военных и было решено переделать самолет в торпедоносец, сменив у него шасси на поплавки. Однако и этот вариант не стал более удачным (15114).</w:t>
      </w:r>
    </w:p>
    <w:p w14:paraId="2E55B605" w14:textId="77777777" w:rsidR="000E63D3" w:rsidRPr="00C33834" w:rsidRDefault="000E63D3" w:rsidP="00C33834">
      <w:pPr>
        <w:spacing w:after="0" w:line="240" w:lineRule="auto"/>
        <w:jc w:val="both"/>
        <w:rPr>
          <w:rFonts w:ascii="Times New Roman" w:hAnsi="Times New Roman"/>
          <w:color w:val="000000" w:themeColor="text1"/>
          <w:sz w:val="16"/>
          <w:szCs w:val="16"/>
        </w:rPr>
      </w:pPr>
    </w:p>
    <w:p w14:paraId="320AD6CE" w14:textId="77777777" w:rsidR="00430310" w:rsidRPr="00C33834" w:rsidRDefault="0043031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29 апреля 1933 состоялся первый полет Latécoère 550 (20802).</w:t>
      </w:r>
    </w:p>
    <w:p w14:paraId="64DF6524" w14:textId="77777777" w:rsidR="00430310" w:rsidRPr="00C33834" w:rsidRDefault="00430310" w:rsidP="00C33834">
      <w:pPr>
        <w:spacing w:after="0" w:line="240" w:lineRule="auto"/>
        <w:jc w:val="both"/>
        <w:rPr>
          <w:rFonts w:ascii="Times New Roman" w:hAnsi="Times New Roman"/>
          <w:color w:val="0070C0"/>
          <w:sz w:val="16"/>
          <w:szCs w:val="16"/>
        </w:rPr>
      </w:pPr>
    </w:p>
    <w:p w14:paraId="0A8861F8" w14:textId="77777777" w:rsidR="00430310" w:rsidRPr="00C33834" w:rsidRDefault="0043031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29 апреля 1933 нацистское правительство в Германии формирует Reichsluftfahrtministerium («Рейхсское министерство авиации») (20802).</w:t>
      </w:r>
    </w:p>
    <w:p w14:paraId="2D231ED8" w14:textId="77777777" w:rsidR="00430310" w:rsidRPr="00C33834" w:rsidRDefault="00430310" w:rsidP="00C33834">
      <w:pPr>
        <w:spacing w:after="0" w:line="240" w:lineRule="auto"/>
        <w:jc w:val="both"/>
        <w:rPr>
          <w:rFonts w:ascii="Times New Roman" w:hAnsi="Times New Roman"/>
          <w:color w:val="0070C0"/>
          <w:sz w:val="16"/>
          <w:szCs w:val="16"/>
        </w:rPr>
      </w:pPr>
    </w:p>
    <w:p w14:paraId="2934A680" w14:textId="77777777" w:rsidR="00F1507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3E43751" w14:textId="77777777" w:rsidR="00F15071" w:rsidRPr="00C33834" w:rsidRDefault="00F1507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52B0ED1"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апреля 1933 состоялся первый полет Сталь-3 А.И.Путилова - модификации Саль-2 с М-22 480 нр на 6 пассажиров. Летал Я.Г.Пауль (438,643).</w:t>
      </w:r>
    </w:p>
    <w:p w14:paraId="1FE45373"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15622F5B"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апреля в 1933 году первый полет пассажирского самолета А.И.Путилова «Сталь-3» из нержавеющей стали, пилот Я.Г.Пауль; Самолет "Сталь-З" серийно строился в количестве 80 экземпляров, на нем были осуществлены новые конструкторские решения: установлен элерон-закрылок и особый капот с профилированной щелью для улучшения охлаждения двигателя. Эти самолеты эксплуатировались на линиях ГВФ и показал хорошую надёжность и простоту ремонта (15115).</w:t>
      </w:r>
    </w:p>
    <w:p w14:paraId="72BF81F5" w14:textId="77777777" w:rsidR="000E63D3" w:rsidRPr="00C33834" w:rsidRDefault="000E63D3" w:rsidP="00C33834">
      <w:pPr>
        <w:spacing w:after="0" w:line="240" w:lineRule="auto"/>
        <w:jc w:val="both"/>
        <w:rPr>
          <w:rFonts w:ascii="Times New Roman" w:hAnsi="Times New Roman"/>
          <w:color w:val="000000" w:themeColor="text1"/>
          <w:sz w:val="16"/>
          <w:szCs w:val="16"/>
        </w:rPr>
      </w:pPr>
    </w:p>
    <w:p w14:paraId="37E99448" w14:textId="77777777" w:rsidR="00F1507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16EA66CD" w14:textId="77777777" w:rsidR="00F15071" w:rsidRPr="00C33834" w:rsidRDefault="00F1507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D9BAC17" w14:textId="77777777" w:rsidR="00430310" w:rsidRPr="00C33834" w:rsidRDefault="0043031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30 апреля 1933 - Состоялся первый полет прототипа Late 55.0, оборудованного четырьмя двигателями Gnome-Rhone 9Kbr Mistral мощностью 500 л.с.</w:t>
      </w:r>
    </w:p>
    <w:p w14:paraId="6825C7F8" w14:textId="77777777" w:rsidR="00430310" w:rsidRPr="00C33834" w:rsidRDefault="0043031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Late-550 - бомбардировщик-торпедоносец, разработанный французской фирмой Societe Industrielle d'Aviation Latecoere. В 1932 году французская комиссия CEPANA (Commission d'examen des Prototypes et Appareils Nouveaux de l'Aeronautique) опубликовала спецификацию 698/2 на тяжелый четырехмоторный бомбардировщик. Фирма Latecoere в конце 1932 года начала разработку своего бомбардировщика Late 55.0 согласно этой спецификации. Испытание бомбардировщика не впечатлили военных и было решено переделать самолет в торпедоносец, сменив у него шасси на поплавки. Однако и этот вариант не стал более удачным (22520).</w:t>
      </w:r>
    </w:p>
    <w:p w14:paraId="0C75583A" w14:textId="77777777" w:rsidR="00430310" w:rsidRPr="00C33834" w:rsidRDefault="00430310" w:rsidP="00C33834">
      <w:pPr>
        <w:spacing w:after="0" w:line="240" w:lineRule="auto"/>
        <w:jc w:val="both"/>
        <w:rPr>
          <w:rFonts w:ascii="Times New Roman" w:hAnsi="Times New Roman"/>
          <w:color w:val="0070C0"/>
          <w:sz w:val="16"/>
          <w:szCs w:val="16"/>
        </w:rPr>
      </w:pPr>
    </w:p>
    <w:p w14:paraId="0CC66877" w14:textId="77777777" w:rsidR="00430310" w:rsidRPr="00C33834" w:rsidRDefault="0043031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30 апреля 1933 открывается первое внутреннее воздушное сообщение между Шотландией, Ренфрю - Кэмпбелтаун, которым управляет Midland &amp; Scottish Air Ferries Ltd. (20802)</w:t>
      </w:r>
    </w:p>
    <w:p w14:paraId="32A243F8" w14:textId="77777777" w:rsidR="00430310" w:rsidRPr="00C33834" w:rsidRDefault="00430310" w:rsidP="00C33834">
      <w:pPr>
        <w:spacing w:after="0" w:line="240" w:lineRule="auto"/>
        <w:jc w:val="both"/>
        <w:rPr>
          <w:rFonts w:ascii="Times New Roman" w:hAnsi="Times New Roman"/>
          <w:color w:val="0070C0"/>
          <w:sz w:val="16"/>
          <w:szCs w:val="16"/>
        </w:rPr>
      </w:pPr>
    </w:p>
    <w:p w14:paraId="1616576A" w14:textId="77777777" w:rsidR="00430310" w:rsidRPr="00C33834" w:rsidRDefault="0043031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30 апреля 1933 Уинифред Дринкуотер, «первая в мире женщина-пилот-коммерсант», нанята для выполнения полета по маршруту (20802).</w:t>
      </w:r>
    </w:p>
    <w:p w14:paraId="72243A92" w14:textId="77777777" w:rsidR="00430310" w:rsidRPr="00C33834" w:rsidRDefault="00430310" w:rsidP="00C33834">
      <w:pPr>
        <w:spacing w:after="0" w:line="240" w:lineRule="auto"/>
        <w:jc w:val="both"/>
        <w:rPr>
          <w:rFonts w:ascii="Times New Roman" w:hAnsi="Times New Roman"/>
          <w:color w:val="0070C0"/>
          <w:sz w:val="16"/>
          <w:szCs w:val="16"/>
        </w:rPr>
      </w:pPr>
    </w:p>
    <w:p w14:paraId="39767561" w14:textId="77777777" w:rsidR="00F15071" w:rsidRPr="00C33834" w:rsidRDefault="00F1507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апреля 1933 убит президент Перу Луис Санчес Керро (4962).</w:t>
      </w:r>
    </w:p>
    <w:p w14:paraId="1081D8D7" w14:textId="77777777" w:rsidR="00F15071" w:rsidRPr="00C33834" w:rsidRDefault="00F1507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687856" w14:textId="77777777" w:rsidR="00F1507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2DD58FB" w14:textId="77777777" w:rsidR="00F15071" w:rsidRPr="00C33834" w:rsidRDefault="00F1507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0AB5194"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второй половине апреля 1933 на опытной верфи завода Дирижаблестрой был построен первый советский дирижабль полужесткой схемы СССР В-5 (233,68).</w:t>
      </w:r>
    </w:p>
    <w:p w14:paraId="67655DAD"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Нет, это было еще 10 апреля 1933</w:t>
      </w:r>
    </w:p>
    <w:p w14:paraId="36C7978E" w14:textId="77777777" w:rsidR="00F15071" w:rsidRPr="00C33834" w:rsidRDefault="00F1507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20DF708" w14:textId="77777777" w:rsidR="00F1507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CCABC96" w14:textId="77777777" w:rsidR="00F15071" w:rsidRPr="00C33834" w:rsidRDefault="00F1507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8B16F54"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апреля 1933 был подготовлен:</w:t>
      </w:r>
    </w:p>
    <w:p w14:paraId="2A08C322"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 Постановления СТО (к № 515).</w:t>
      </w:r>
    </w:p>
    <w:p w14:paraId="2D32AC1F"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вопросу: Об опытном авиадизелестроении</w:t>
      </w:r>
    </w:p>
    <w:p w14:paraId="0C01E0A8"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 постановляет:</w:t>
      </w:r>
    </w:p>
    <w:p w14:paraId="3F1433C5"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Признать состояние опытного строительства авиадизелей неудовлетворительным.</w:t>
      </w:r>
    </w:p>
    <w:p w14:paraId="0512E2E3"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Указать Баранову – ГУАП, Анвельт – ГУГВФ, Горянову – ОГПУ, Павлуновскому – НКТП на невыполнение постановления СТО от 4 августа 1932 года по опытному строительству, в результате чего опытное дизелестроение не было обеспечено производственными базами, отсутствовал контроль за выполнением сроков проектирования и производства.</w:t>
      </w:r>
    </w:p>
    <w:p w14:paraId="4096DB88"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Обратить внимание Тухачевского на отсутствие с его стороны наблюдения за состоянием опытных работ по дизелестроению.</w:t>
      </w:r>
    </w:p>
    <w:p w14:paraId="7670CBAA"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Установить следующие окончательные сроки предъявления дизелей на гос.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F26F01" w:rsidRPr="00C33834" w14:paraId="511012DA" w14:textId="77777777">
        <w:tc>
          <w:tcPr>
            <w:tcW w:w="2318" w:type="dxa"/>
          </w:tcPr>
          <w:p w14:paraId="6042421A"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Название дизеля</w:t>
            </w:r>
          </w:p>
        </w:tc>
        <w:tc>
          <w:tcPr>
            <w:tcW w:w="2318" w:type="dxa"/>
          </w:tcPr>
          <w:p w14:paraId="68EEB756"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w:t>
            </w:r>
          </w:p>
        </w:tc>
        <w:tc>
          <w:tcPr>
            <w:tcW w:w="2318" w:type="dxa"/>
          </w:tcPr>
          <w:p w14:paraId="28FC3A8E"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2318" w:type="dxa"/>
          </w:tcPr>
          <w:p w14:paraId="6F5F2B08"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2318" w:type="dxa"/>
          </w:tcPr>
          <w:p w14:paraId="3102BCC1"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r>
      <w:tr w:rsidR="00F26F01" w:rsidRPr="00C33834" w14:paraId="31045B22" w14:textId="77777777">
        <w:tc>
          <w:tcPr>
            <w:tcW w:w="2318" w:type="dxa"/>
          </w:tcPr>
          <w:p w14:paraId="70B00DC2"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Н-1</w:t>
            </w:r>
          </w:p>
        </w:tc>
        <w:tc>
          <w:tcPr>
            <w:tcW w:w="2318" w:type="dxa"/>
          </w:tcPr>
          <w:p w14:paraId="2D0CC024"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1933 года</w:t>
            </w:r>
          </w:p>
        </w:tc>
        <w:tc>
          <w:tcPr>
            <w:tcW w:w="2318" w:type="dxa"/>
          </w:tcPr>
          <w:p w14:paraId="5D33F7DF"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2318" w:type="dxa"/>
          </w:tcPr>
          <w:p w14:paraId="2DB91B33"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2318" w:type="dxa"/>
          </w:tcPr>
          <w:p w14:paraId="315550AA"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840</w:t>
            </w:r>
          </w:p>
        </w:tc>
      </w:tr>
      <w:tr w:rsidR="00F26F01" w:rsidRPr="00C33834" w14:paraId="5C8140BB" w14:textId="77777777">
        <w:tc>
          <w:tcPr>
            <w:tcW w:w="2318" w:type="dxa"/>
          </w:tcPr>
          <w:p w14:paraId="0F28E4DF"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Н-2</w:t>
            </w:r>
          </w:p>
        </w:tc>
        <w:tc>
          <w:tcPr>
            <w:tcW w:w="2318" w:type="dxa"/>
          </w:tcPr>
          <w:p w14:paraId="2EE0F75C"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февраля 1934 года</w:t>
            </w:r>
          </w:p>
        </w:tc>
        <w:tc>
          <w:tcPr>
            <w:tcW w:w="2318" w:type="dxa"/>
          </w:tcPr>
          <w:p w14:paraId="077E4EAE"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2318" w:type="dxa"/>
          </w:tcPr>
          <w:p w14:paraId="139D1CEA"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2318" w:type="dxa"/>
          </w:tcPr>
          <w:p w14:paraId="0D6AFD3A"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w:t>
            </w:r>
          </w:p>
        </w:tc>
      </w:tr>
      <w:tr w:rsidR="00F26F01" w:rsidRPr="00C33834" w14:paraId="66550081" w14:textId="77777777">
        <w:tc>
          <w:tcPr>
            <w:tcW w:w="2318" w:type="dxa"/>
          </w:tcPr>
          <w:p w14:paraId="659D3BA5"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Н-3</w:t>
            </w:r>
          </w:p>
        </w:tc>
        <w:tc>
          <w:tcPr>
            <w:tcW w:w="2318" w:type="dxa"/>
          </w:tcPr>
          <w:p w14:paraId="5C06107E"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февраля 1934 года</w:t>
            </w:r>
          </w:p>
        </w:tc>
        <w:tc>
          <w:tcPr>
            <w:tcW w:w="2318" w:type="dxa"/>
          </w:tcPr>
          <w:p w14:paraId="6FB38CA9"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2318" w:type="dxa"/>
          </w:tcPr>
          <w:p w14:paraId="562815E5"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2318" w:type="dxa"/>
          </w:tcPr>
          <w:p w14:paraId="5ADCDE9D"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650</w:t>
            </w:r>
          </w:p>
        </w:tc>
      </w:tr>
      <w:tr w:rsidR="00F26F01" w:rsidRPr="00C33834" w14:paraId="7432E710" w14:textId="77777777">
        <w:tc>
          <w:tcPr>
            <w:tcW w:w="2318" w:type="dxa"/>
          </w:tcPr>
          <w:p w14:paraId="66013C0A"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Н-4</w:t>
            </w:r>
          </w:p>
        </w:tc>
        <w:tc>
          <w:tcPr>
            <w:tcW w:w="2318" w:type="dxa"/>
          </w:tcPr>
          <w:p w14:paraId="58692A0B"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апреля 1934 года</w:t>
            </w:r>
          </w:p>
        </w:tc>
        <w:tc>
          <w:tcPr>
            <w:tcW w:w="2318" w:type="dxa"/>
          </w:tcPr>
          <w:p w14:paraId="557EBCBD"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500-600</w:t>
            </w:r>
          </w:p>
        </w:tc>
        <w:tc>
          <w:tcPr>
            <w:tcW w:w="2318" w:type="dxa"/>
          </w:tcPr>
          <w:p w14:paraId="7A1B8934"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2318" w:type="dxa"/>
          </w:tcPr>
          <w:p w14:paraId="0D6B9B56"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500-600</w:t>
            </w:r>
          </w:p>
        </w:tc>
      </w:tr>
      <w:tr w:rsidR="00F26F01" w:rsidRPr="00C33834" w14:paraId="7F7E79FE" w14:textId="77777777">
        <w:tc>
          <w:tcPr>
            <w:tcW w:w="2318" w:type="dxa"/>
          </w:tcPr>
          <w:p w14:paraId="5FD75330"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Н-5</w:t>
            </w:r>
          </w:p>
        </w:tc>
        <w:tc>
          <w:tcPr>
            <w:tcW w:w="2318" w:type="dxa"/>
          </w:tcPr>
          <w:p w14:paraId="629F345F"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1933 года</w:t>
            </w:r>
          </w:p>
        </w:tc>
        <w:tc>
          <w:tcPr>
            <w:tcW w:w="2318" w:type="dxa"/>
          </w:tcPr>
          <w:p w14:paraId="10A91BD9"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2318" w:type="dxa"/>
          </w:tcPr>
          <w:p w14:paraId="429E068F"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2318" w:type="dxa"/>
          </w:tcPr>
          <w:p w14:paraId="436E74AA"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r>
    </w:tbl>
    <w:p w14:paraId="321AF61E"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Подтвердить полную ответственность за своевременный выпуск дизелей:</w:t>
      </w:r>
    </w:p>
    <w:p w14:paraId="4F60A5A7"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Баранова (ГУАП) дизелей Н-1 и Н-4</w:t>
      </w:r>
    </w:p>
    <w:p w14:paraId="49BFDFD1"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Анвельта (ГУГВФ) дизелей Н-2 и Н-3</w:t>
      </w:r>
    </w:p>
    <w:p w14:paraId="60FA4132"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Миронова (ОГПУ) дизеля Н-5</w:t>
      </w:r>
    </w:p>
    <w:p w14:paraId="7BA4070F"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Возложить персональную ответственность за своевременное производство, сборку дизелей и сдачу дизелей на гос. испытания на лиц:</w:t>
      </w:r>
    </w:p>
    <w:p w14:paraId="5EAFB9DE"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 мотору Н-1: под ответственность Побережского (ЦИАМ) закончить производство всех деталей к 1 июля 1933 года, сборку мотора к 15 августа 1933 года, своевременно сдать дизель на гос. испытание.</w:t>
      </w:r>
    </w:p>
    <w:p w14:paraId="167A5763"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 мотору Н-2: 1. Под ответственность Мартенса (Ленинградский дизельный институт) своевременно сдать дизель на гос. испытание. 2. Под ответственность Побережского (ЦИАМ) выполнить: выданный ему заказ на механическую обработку и сборку узлов к 1 мая 1933 года, колено кривошипного механизма наддувочного компрессора (для хиртовского вала) – к 15 мая 1933 года. Коленчатый вал с комплектом пропеллерной втулки и кривоколенный механизм наддувочного компрессора – к 1 августа 1933 года; топливные насосы к 1 июня 1933 года. 3. Под ответственность директора завода № 26 Королева выполнить узлы золотникового картера и распределительных валов к 1 мая 1933 года. 4. Под ответственность директора завода им. Ворошилова Барыкова обеспечить подачу деталей по заказу ВНИДИ к 10 мая 1933 года, обеспечить сборку и испытание двигателя на заводе и начать таковую 20 мая 1933 года. 5. Директору (завод им. Молотова) Премудрову обеспечить выполнение заказов на поковки коленчатого вала со сроками подачи начиная с 1 мая 1933 года.</w:t>
      </w:r>
    </w:p>
    <w:p w14:paraId="6E772D5B"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 мотору Н-3: 1. Под ответственность Майера (Харьковский дизельный институт) своевременно сдать дизель на гос. испытание. 2. Под ответственность директора завода № 26 Королева , цветное литье (картеры, блоки и головки) закончить к 1 июня 1933 года. 3.. Под ответственность директора ХАЗ Владимирова закончить механическую обработку всех крупных деталей к 1 августа 1933 года. 4. Под ответственность директора Ижевского завода Максимова к 1 июля 1933 года закончить поковку коленчатого вала.</w:t>
      </w:r>
    </w:p>
    <w:p w14:paraId="6D13E555"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По мотору Н-4: 1. Под ответственность Красильникова (Харьковский авиационный институт) своевременно сдать дизель на гос. испытание. 2. Под ответственность директора Ижевского завода Максимова поковку коленвала закончить к 1 июля 1933 года. 3. Под ответственность директора ХПЗ Владимирова обработку вала и картера закончить 1 сентября 1933 года. 4. Под ответственность директора завода № 29 Александрова С-литье поршней, блоков и головок закончить к 1 июля 1933 года. 5. Предложить Красильниковуразместить группу компрессоров к 1 мая 1933 года. 6. Сборку мотора, под ответственность Красильникова закончить к 1 декабря 1933 года.</w:t>
      </w:r>
    </w:p>
    <w:p w14:paraId="2F51CFA9"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По мотору Н-5: 1. Под ответственность Горянова своевременно сдать дизель на гос. испытание. 2. Под ответственность зам. директора завода № 24 Колосова выполнитьпроизводство шатунов, блоков и втулок для винтов к 1 июня 1933 года. 3. Под ответственность директора завода № 26 Королева , отлить и обработать цветное литье к 1 июня 1933 года. 4. Под ответственность директора ЦИАМ Побережского испытание импеллерной группы закончить к 1 июля 1933 года, а сборку моторов в целом к 1 августа 1933 года.</w:t>
      </w:r>
    </w:p>
    <w:p w14:paraId="709861E1"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Отметить, что работы по проектированию двигателя Н-6 не привела к положительным результатам (мотор имеет пониженную мощность и высотность). Дальнейшие работы по двигателю Н-6 прекратить.</w:t>
      </w:r>
    </w:p>
    <w:p w14:paraId="20EFECA0"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Учитывая недочеты проектирования и отсутствие ответственности в организации производства опытных дизелей, приведшие к самовольному изменению заданий и технических норм, затруднениям в размещении деталей на заводах и срыву плана опытного дизелестроения – впредь запретить запускать в производство опытные авиадизели до тщательной проверки основных элементов конструкций.</w:t>
      </w:r>
    </w:p>
    <w:p w14:paraId="2F558194"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 о внедрении в производство опытных дизелей должен разрешаться в каждом отдельном случае замнаркомтяжпрома Барановым.</w:t>
      </w:r>
    </w:p>
    <w:p w14:paraId="7E58E13B"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Комиссия в составе: Куйбышева Н.В. (председатель), Баранова, Алксниса, Гольцмана – к 1 августа 1933 года представить в СТО свои соображения об организации дизельного института и спецобъединен. производственной базы для опытного дизелестроения.</w:t>
      </w:r>
    </w:p>
    <w:p w14:paraId="32C585CD"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Предложить УВВС (Алкснису) и ГУГВФ (Анвельт) немедленно приступить к разработке условий гос. испытаний использования и эксплоатации дизелей.</w:t>
      </w:r>
    </w:p>
    <w:p w14:paraId="5EAADC91"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Тресту Авиатопливо, УВВС (Зильберт) и ГУГВФ (Ангелов) – немедленно приступить к экспериментальным работам по подбору тяжелых топлив и обеспечить опытные установки и испытания авиадизелей необходимым количеством и требуемыми сортами топлив.</w:t>
      </w:r>
    </w:p>
    <w:p w14:paraId="5BDC915F"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зам. НКТП Баранова подготовить базу к производству дизельной аппаратуры (насосы, форсунки) с расчетом обеспечения серийного производства дизелей в 1934 году.</w:t>
      </w:r>
    </w:p>
    <w:p w14:paraId="37C1DC87"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НКТП Баранову не позднее 1 мая 1933 года представить в СТО план финансирования опытных работ по дизелестроению.</w:t>
      </w:r>
    </w:p>
    <w:p w14:paraId="2335F9EA"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Военно-морской инспекции НК-РКИ поквартально докладывать в СТО о ходе выполнения настоящего постановления (4223, 23-25).</w:t>
      </w:r>
    </w:p>
    <w:p w14:paraId="68C15BCC"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CEBA07C"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апреля 1933 Член коллегии НК-РКИ писал письмо председателю СТО Молотову в сопровождении Докладной записки (вх. № 1478 от 7 мая 1933 года):</w:t>
      </w:r>
    </w:p>
    <w:p w14:paraId="5678AD28"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время обследования выполнения решения Правительства от 4 августа 1932 года по постройке авиадизелей бригада ознакомилась с работой, производимой ОКБ Техотдела ЭКУ ОГПУ по конструированию и постройке дизель-моторов различного типа для различных целей.</w:t>
      </w:r>
    </w:p>
    <w:p w14:paraId="6E97B7E3"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сегодняшний день ОКБ Техотдела Эку ОГПУ спроектированы, частично изготовляются и внедряются в массовое производство следующие дизель-моторы:</w:t>
      </w:r>
    </w:p>
    <w:p w14:paraId="4D766FEF"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Дизель-мотор в 60 л. с. для трактора «Катерпиллер». Дизель-мотор изготовлялся по конструкции и под техническим руководством ОКБ Техотдела ЭКУ ОГПУ на заводе «Красный пролетарий». Дизель прошел испытания и сейчас внедряется в массовое производство на Челябинском тракторном заводе.</w:t>
      </w:r>
    </w:p>
    <w:p w14:paraId="53B0F007"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Спроектирован и запущен в производство дизель-мотор в 80 л. с. для Ярославского грузового автомобиля.</w:t>
      </w:r>
    </w:p>
    <w:p w14:paraId="45F50BF8"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Сконструирован и построен дизель-мотор в 400 л. с. для танка. В настоящий момент мотор проходит испытания.</w:t>
      </w:r>
    </w:p>
    <w:p w14:paraId="64D8F13F"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Сконструирован, построен и заканчивается в сборке дизель-мотор в 3200 л. с. для подводной лодки (на Коломенском заводе).</w:t>
      </w:r>
    </w:p>
    <w:p w14:paraId="71ABFB04"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моторы конструируются и строятся с расчетом на изготовление из советских материалов на советских заводах.</w:t>
      </w:r>
    </w:p>
    <w:p w14:paraId="6DC9AF54"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Перечисленные моторы построены по одному и тому же принципу, как и авиамотор ФЭД-8 в 2000 л. с., ныне запущенный в производство и являются проверкой всех основных положений ФЭД-8.</w:t>
      </w:r>
    </w:p>
    <w:p w14:paraId="6D58127D"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Отсутствие производственной базы тормозит работу ОКБ Техотдела ЭКУ ОГПУ.</w:t>
      </w:r>
    </w:p>
    <w:p w14:paraId="66CA31AE"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Необходимо отметить продуктивность проделанной ОКБ Техотдела ЭКУ ОГПУ работы в сравнительно короткий промежуток времени и поощрить его руководителей и конструкторов (4223, 30).</w:t>
      </w:r>
    </w:p>
    <w:p w14:paraId="75E0CC2E"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4C05F719" w14:textId="77777777" w:rsidR="000E63D3" w:rsidRPr="00C33834" w:rsidRDefault="000E63D3" w:rsidP="00C33834">
      <w:pPr>
        <w:pStyle w:val="a3"/>
        <w:rPr>
          <w:rStyle w:val="184"/>
          <w:rFonts w:ascii="Times New Roman" w:hAnsi="Times New Roman" w:cs="Times New Roman"/>
          <w:i w:val="0"/>
          <w:color w:val="000000" w:themeColor="text1"/>
          <w:sz w:val="16"/>
          <w:szCs w:val="16"/>
          <w:lang w:val="ru-RU"/>
        </w:rPr>
      </w:pPr>
      <w:r w:rsidRPr="00C33834">
        <w:rPr>
          <w:color w:val="000000" w:themeColor="text1"/>
          <w:lang w:val="ru-RU"/>
        </w:rPr>
        <w:t>В конце апреля 1933 г. в постановлении СТО говорилось:</w:t>
      </w:r>
      <w:r w:rsidRPr="00C33834">
        <w:rPr>
          <w:rStyle w:val="184"/>
          <w:rFonts w:ascii="Times New Roman" w:hAnsi="Times New Roman" w:cs="Times New Roman"/>
          <w:i w:val="0"/>
          <w:color w:val="000000" w:themeColor="text1"/>
          <w:sz w:val="16"/>
          <w:szCs w:val="16"/>
          <w:lang w:val="ru-RU"/>
        </w:rPr>
        <w:t xml:space="preserve"> «Придавая большое военное и научное значение вопросу полета в стратосферу, при</w:t>
      </w:r>
      <w:r w:rsidRPr="00C33834">
        <w:rPr>
          <w:rStyle w:val="184"/>
          <w:rFonts w:ascii="Times New Roman" w:hAnsi="Times New Roman" w:cs="Times New Roman"/>
          <w:i w:val="0"/>
          <w:color w:val="000000" w:themeColor="text1"/>
          <w:sz w:val="16"/>
          <w:szCs w:val="16"/>
          <w:lang w:val="ru-RU"/>
        </w:rPr>
        <w:softHyphen/>
        <w:t>знать работы, ведущиеся в ЦКБ завода №39 по высотным самолетам, особо важными» (15749).</w:t>
      </w:r>
    </w:p>
    <w:p w14:paraId="1BE553A0" w14:textId="77777777" w:rsidR="000E63D3" w:rsidRPr="00C33834" w:rsidRDefault="000E63D3" w:rsidP="00C33834">
      <w:pPr>
        <w:pStyle w:val="a3"/>
        <w:rPr>
          <w:rStyle w:val="184"/>
          <w:rFonts w:ascii="Times New Roman" w:hAnsi="Times New Roman" w:cs="Times New Roman"/>
          <w:i w:val="0"/>
          <w:color w:val="000000" w:themeColor="text1"/>
          <w:sz w:val="16"/>
          <w:szCs w:val="16"/>
          <w:lang w:val="ru-RU"/>
        </w:rPr>
      </w:pPr>
    </w:p>
    <w:p w14:paraId="47C5D6EC" w14:textId="77777777" w:rsidR="00F1507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BD3059D" w14:textId="77777777" w:rsidR="00F15071" w:rsidRPr="00C33834" w:rsidRDefault="00F1507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98AFE66" w14:textId="77777777" w:rsidR="00F15071" w:rsidRPr="00C33834" w:rsidRDefault="00F1507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апреля 1933 года изготовили первый образец нового бронеавтомобиля, получившего обозначе</w:t>
      </w:r>
      <w:r w:rsidRPr="00C33834">
        <w:rPr>
          <w:rFonts w:ascii="Times New Roman" w:hAnsi="Times New Roman"/>
          <w:color w:val="000000" w:themeColor="text1"/>
          <w:sz w:val="16"/>
          <w:szCs w:val="16"/>
        </w:rPr>
        <w:softHyphen/>
        <w:t>ние БА-3, да и то из обычной (не броневой) стали. Тем не менее, 1 мая БА-3 участвовал в параде на площади Урицкого (ны</w:t>
      </w:r>
      <w:r w:rsidRPr="00C33834">
        <w:rPr>
          <w:rFonts w:ascii="Times New Roman" w:hAnsi="Times New Roman"/>
          <w:color w:val="000000" w:themeColor="text1"/>
          <w:sz w:val="16"/>
          <w:szCs w:val="16"/>
        </w:rPr>
        <w:softHyphen/>
        <w:t>не Дворцовая) в Ленинграде.</w:t>
      </w:r>
    </w:p>
    <w:p w14:paraId="244E68E5" w14:textId="77777777" w:rsidR="00F15071" w:rsidRPr="00C33834" w:rsidRDefault="00F1507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Корпус машины, сваренный из 4-8 мм листов незна</w:t>
      </w:r>
      <w:r w:rsidRPr="00C33834">
        <w:rPr>
          <w:rFonts w:ascii="Times New Roman" w:hAnsi="Times New Roman"/>
          <w:color w:val="000000" w:themeColor="text1"/>
          <w:sz w:val="16"/>
          <w:szCs w:val="16"/>
        </w:rPr>
        <w:softHyphen/>
        <w:t>чительно отличался от БАИ - была на 50 мм удлинена кор</w:t>
      </w:r>
      <w:r w:rsidRPr="00C33834">
        <w:rPr>
          <w:rFonts w:ascii="Times New Roman" w:hAnsi="Times New Roman"/>
          <w:color w:val="000000" w:themeColor="text1"/>
          <w:sz w:val="16"/>
          <w:szCs w:val="16"/>
        </w:rPr>
        <w:softHyphen/>
        <w:t>ма, в бортах моторного отделения появились окна (по од</w:t>
      </w:r>
      <w:r w:rsidRPr="00C33834">
        <w:rPr>
          <w:rFonts w:ascii="Times New Roman" w:hAnsi="Times New Roman"/>
          <w:color w:val="000000" w:themeColor="text1"/>
          <w:sz w:val="16"/>
          <w:szCs w:val="16"/>
        </w:rPr>
        <w:softHyphen/>
        <w:t>ному на сторону) для выброса воздуха. Откидные щитки в боковых дверях устанавливались на внутренних петлях (у БАИ на внешних) и в открытом положении удержива</w:t>
      </w:r>
      <w:r w:rsidRPr="00C33834">
        <w:rPr>
          <w:rFonts w:ascii="Times New Roman" w:hAnsi="Times New Roman"/>
          <w:color w:val="000000" w:themeColor="text1"/>
          <w:sz w:val="16"/>
          <w:szCs w:val="16"/>
        </w:rPr>
        <w:softHyphen/>
        <w:t>лись специальными защелками. Для наблюдения в бою в щитках имелись смотровые щели, закрываемые изнутри броневыми заслонками. Кроме того, на крыльях задних колес смонтировали специальное приспособление для ук</w:t>
      </w:r>
      <w:r w:rsidRPr="00C33834">
        <w:rPr>
          <w:rFonts w:ascii="Times New Roman" w:hAnsi="Times New Roman"/>
          <w:color w:val="000000" w:themeColor="text1"/>
          <w:sz w:val="16"/>
          <w:szCs w:val="16"/>
        </w:rPr>
        <w:softHyphen/>
        <w:t>ладки вездеходных цепей и укоротили подножки под боко</w:t>
      </w:r>
      <w:r w:rsidRPr="00C33834">
        <w:rPr>
          <w:rFonts w:ascii="Times New Roman" w:hAnsi="Times New Roman"/>
          <w:color w:val="000000" w:themeColor="text1"/>
          <w:sz w:val="16"/>
          <w:szCs w:val="16"/>
        </w:rPr>
        <w:softHyphen/>
        <w:t>выми дверями.</w:t>
      </w:r>
    </w:p>
    <w:p w14:paraId="6F1AEADC" w14:textId="77777777" w:rsidR="00F15071" w:rsidRPr="00C33834" w:rsidRDefault="00F1507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Главным отличием БА-3 от БАИ была башня от танка Т-26, но с уменьшением толщины брони до 8 мм (на опыт</w:t>
      </w:r>
      <w:r w:rsidRPr="00C33834">
        <w:rPr>
          <w:rFonts w:ascii="Times New Roman" w:hAnsi="Times New Roman"/>
          <w:color w:val="000000" w:themeColor="text1"/>
          <w:sz w:val="16"/>
          <w:szCs w:val="16"/>
        </w:rPr>
        <w:softHyphen/>
        <w:t>ном образце, изготовленном из неброневой стали - 9 мм). Она крепилась болтами при помощи 6 захватов к нижнему погону и крыше корпуса. Поворотный механизм башни имел 2 передачи, позволяя ее вращать с разными скоростями. В крыше имелись два люка для посадки экипажа, люч</w:t>
      </w:r>
      <w:r w:rsidRPr="00C33834">
        <w:rPr>
          <w:rFonts w:ascii="Times New Roman" w:hAnsi="Times New Roman"/>
          <w:color w:val="000000" w:themeColor="text1"/>
          <w:sz w:val="16"/>
          <w:szCs w:val="16"/>
        </w:rPr>
        <w:softHyphen/>
        <w:t>ки для вытяжного вентилятора, флажковой сигнализации и прибора ПТК. Наблюдение за полем боя можно было ве</w:t>
      </w:r>
      <w:r w:rsidRPr="00C33834">
        <w:rPr>
          <w:rFonts w:ascii="Times New Roman" w:hAnsi="Times New Roman"/>
          <w:color w:val="000000" w:themeColor="text1"/>
          <w:sz w:val="16"/>
          <w:szCs w:val="16"/>
        </w:rPr>
        <w:softHyphen/>
        <w:t>сти через две смотровые щели со стеклами «Триплекс», рас</w:t>
      </w:r>
      <w:r w:rsidRPr="00C33834">
        <w:rPr>
          <w:rFonts w:ascii="Times New Roman" w:hAnsi="Times New Roman"/>
          <w:color w:val="000000" w:themeColor="text1"/>
          <w:sz w:val="16"/>
          <w:szCs w:val="16"/>
        </w:rPr>
        <w:softHyphen/>
        <w:t>положенные в бортах. Кроме того, имелось три отверстия для стрельбы из револьвера, закрывающиеся броневыми за</w:t>
      </w:r>
      <w:r w:rsidRPr="00C33834">
        <w:rPr>
          <w:rFonts w:ascii="Times New Roman" w:hAnsi="Times New Roman"/>
          <w:color w:val="000000" w:themeColor="text1"/>
          <w:sz w:val="16"/>
          <w:szCs w:val="16"/>
        </w:rPr>
        <w:softHyphen/>
        <w:t>слонками. Вооружение бронемашины состояло из 45-мм танковой пушки образца 1932 года (20К) и спаренного пу</w:t>
      </w:r>
      <w:r w:rsidRPr="00C33834">
        <w:rPr>
          <w:rFonts w:ascii="Times New Roman" w:hAnsi="Times New Roman"/>
          <w:color w:val="000000" w:themeColor="text1"/>
          <w:sz w:val="16"/>
          <w:szCs w:val="16"/>
        </w:rPr>
        <w:softHyphen/>
        <w:t>лемета ДТ в штатной башенной установке и еще одного ДТ в лобовом листе корпуса. Прицельные приспособления со</w:t>
      </w:r>
      <w:r w:rsidRPr="00C33834">
        <w:rPr>
          <w:rFonts w:ascii="Times New Roman" w:hAnsi="Times New Roman"/>
          <w:color w:val="000000" w:themeColor="text1"/>
          <w:sz w:val="16"/>
          <w:szCs w:val="16"/>
        </w:rPr>
        <w:softHyphen/>
        <w:t>стояли из телескопического прицела ТОП, кроме того пре</w:t>
      </w:r>
      <w:r w:rsidRPr="00C33834">
        <w:rPr>
          <w:rFonts w:ascii="Times New Roman" w:hAnsi="Times New Roman"/>
          <w:color w:val="000000" w:themeColor="text1"/>
          <w:sz w:val="16"/>
          <w:szCs w:val="16"/>
        </w:rPr>
        <w:softHyphen/>
        <w:t>дусматривалась и установка перископического ПТ-1 (прав</w:t>
      </w:r>
      <w:r w:rsidRPr="00C33834">
        <w:rPr>
          <w:rFonts w:ascii="Times New Roman" w:hAnsi="Times New Roman"/>
          <w:color w:val="000000" w:themeColor="text1"/>
          <w:sz w:val="16"/>
          <w:szCs w:val="16"/>
        </w:rPr>
        <w:softHyphen/>
        <w:t>да, на БА-3 их так и не установили). В корме башни имелся люк для демонтажа пушки при ремонте.</w:t>
      </w:r>
    </w:p>
    <w:p w14:paraId="76B0F9AC" w14:textId="77777777" w:rsidR="00F15071" w:rsidRPr="00C33834" w:rsidRDefault="00F1507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пушке имелось 60 снарядов, из них 52 находились в башне (2 укладки по 20 штук в кормовой нише и 12 по бор</w:t>
      </w:r>
      <w:r w:rsidRPr="00C33834">
        <w:rPr>
          <w:rFonts w:ascii="Times New Roman" w:hAnsi="Times New Roman"/>
          <w:color w:val="000000" w:themeColor="text1"/>
          <w:sz w:val="16"/>
          <w:szCs w:val="16"/>
        </w:rPr>
        <w:softHyphen/>
        <w:t>там) и две стойки по 4 снаряда в корпусе. 54 магазина к пу</w:t>
      </w:r>
      <w:r w:rsidRPr="00C33834">
        <w:rPr>
          <w:rFonts w:ascii="Times New Roman" w:hAnsi="Times New Roman"/>
          <w:color w:val="000000" w:themeColor="text1"/>
          <w:sz w:val="16"/>
          <w:szCs w:val="16"/>
        </w:rPr>
        <w:softHyphen/>
        <w:t>леметам (3402 патрона) размещались в башне справа (6 штук) и в 48 стеллажах на бортах корпуса. Здесь же специ</w:t>
      </w:r>
      <w:r w:rsidRPr="00C33834">
        <w:rPr>
          <w:rFonts w:ascii="Times New Roman" w:hAnsi="Times New Roman"/>
          <w:color w:val="000000" w:themeColor="text1"/>
          <w:sz w:val="16"/>
          <w:szCs w:val="16"/>
        </w:rPr>
        <w:softHyphen/>
        <w:t>альными зажимами крепились лопата, топор, лом и двуруч</w:t>
      </w:r>
      <w:r w:rsidRPr="00C33834">
        <w:rPr>
          <w:rFonts w:ascii="Times New Roman" w:hAnsi="Times New Roman"/>
          <w:color w:val="000000" w:themeColor="text1"/>
          <w:sz w:val="16"/>
          <w:szCs w:val="16"/>
        </w:rPr>
        <w:softHyphen/>
        <w:t>ная пила. Кроме того, в полу боевого отделения имелся ин</w:t>
      </w:r>
      <w:r w:rsidRPr="00C33834">
        <w:rPr>
          <w:rFonts w:ascii="Times New Roman" w:hAnsi="Times New Roman"/>
          <w:color w:val="000000" w:themeColor="text1"/>
          <w:sz w:val="16"/>
          <w:szCs w:val="16"/>
        </w:rPr>
        <w:softHyphen/>
        <w:t>струментальный ящик и ящик ЗИП к пушке и пулеметам.</w:t>
      </w:r>
    </w:p>
    <w:p w14:paraId="7E673025" w14:textId="77777777" w:rsidR="00F15071" w:rsidRPr="00C33834" w:rsidRDefault="00F1507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Боевая масса БА-3 с экипажем из 4 человек составляла 5820 кг, 40-сильный двигатель «Форд» позволял броневику разгоняться до 60 км/ч на прямой передаче и до 70 км/ч с демультипликатором на пониженной (11284).</w:t>
      </w:r>
    </w:p>
    <w:p w14:paraId="57AEF499" w14:textId="77777777" w:rsidR="00F15071" w:rsidRPr="00C33834" w:rsidRDefault="00F1507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EA86D8" w14:textId="77777777" w:rsidR="00F1507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943F092" w14:textId="77777777" w:rsidR="00F15071" w:rsidRPr="00C33834" w:rsidRDefault="00F1507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E7104A8"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К.А.К. представил в НИИ ВВС предварительные эскизные проекты самолета ВС-2 в трех вариантах: 1 - традиционный, 2-й - двухбалочный, 3 - ЛК и каждый разрабатывался под три двигателя: М-22, М-52, М-59 (70,257).</w:t>
      </w:r>
    </w:p>
    <w:p w14:paraId="70CC5EEB"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6B625EEB"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в Хазосс бы готов эскизный проект ВС в трех вариантах под М-22, М-49, М-52. Последний вариант был близок к двухвостке, но все же был короткохвосткой. НИИ ВВС проект на принял из-за недостаточно полного объема представленного материала и увеличенной по сравнению с ТЗ нагрузки, но слему ЛК - согласовали. Возражение вызвал и М-52 и поручили передалать под М-22 и М-49 (7570, 2).</w:t>
      </w:r>
    </w:p>
    <w:p w14:paraId="37E05FD2"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57108F80" w14:textId="77777777" w:rsidR="00084A10" w:rsidRPr="00C33834" w:rsidRDefault="00084A1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апреле 1933 г. НИИ ВВС был представлен эскизный проект К-12 во всех шести вариантах (компоновки и ВМГ). Заключение НИИ ВВС:  материалы проекта не достаточны для рассмотрения;  расчетные данные самолета не соответствуют ТЗ;  двигатели М-52 не могут быть применены на самолете, требуется оставить варианты с М-22 и М-49. Проект был отправлен на доработку, тем не менее, общее заключение было положительным, была выбрана схема летающего крыла, ВМГ с моторами М-22 или М-52.</w:t>
      </w:r>
    </w:p>
    <w:p w14:paraId="315E0322" w14:textId="77777777" w:rsidR="00084A10" w:rsidRPr="00C33834" w:rsidRDefault="00084A1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Также проект был рассмотрен в комиссии К.Е. Ворошилова «Об опытном самолето- и моторостроении» при РВС СССР. Она установила срок выхода самолета на ЗИ – 01.07.33 г. с постройкой ХАЗОС и сдачу на ГИ к 01.08.33 г.</w:t>
      </w:r>
    </w:p>
    <w:p w14:paraId="7EAAFCD3" w14:textId="77777777" w:rsidR="00084A10" w:rsidRPr="00C33834" w:rsidRDefault="00084A1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Однако ГК и ГИ ХАЗОС Калинин не только не обеспечил постройку самолета в указанное время, но и не закончил эскизный проект, продолжая уточнение компоновки самолета и продувки моделей в АДТ ХАИ.</w:t>
      </w:r>
    </w:p>
    <w:p w14:paraId="00B223D1" w14:textId="77777777" w:rsidR="00084A10" w:rsidRPr="00C33834" w:rsidRDefault="00084A1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июне 1933 г. самолет был включен в список важнейших работ по опытному самолетостроению на 1934 г. под № 1 в плане, представленном УВВС. Были утверждены компоновка в виде летающего крыла и уточненное ТЗ, см. табл. Срок сдачи самолета на ГИ сдвинут на 01.05.34 г. (23157).</w:t>
      </w:r>
    </w:p>
    <w:p w14:paraId="4D14B176" w14:textId="77777777" w:rsidR="00084A10" w:rsidRPr="00C33834" w:rsidRDefault="00084A10" w:rsidP="00C33834">
      <w:pPr>
        <w:spacing w:after="0" w:line="240" w:lineRule="auto"/>
        <w:jc w:val="both"/>
        <w:rPr>
          <w:rFonts w:ascii="Times New Roman" w:hAnsi="Times New Roman"/>
          <w:color w:val="0070C0"/>
          <w:sz w:val="16"/>
          <w:szCs w:val="16"/>
          <w:lang w:eastAsia="ru-RU" w:bidi="ru-RU"/>
        </w:rPr>
      </w:pPr>
    </w:p>
    <w:p w14:paraId="35C8DE45"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года харьковчане представили экспертам НИИ ВВС предварительные эскизные проекты будущего самолета К-12. Причем на их суд было вынесено три равнозначных варианта. Первый был скомпонован по традиционной схеме. Второй представлял собой двухбалочный рамный самолет с хвостовой пулеметной установкой и экипажем внутри крыла. И, наконец, третий — самолет-бесхвостка. Последний вариант казался Калинину наиболее интересным.</w:t>
      </w:r>
    </w:p>
    <w:p w14:paraId="7603D4E1"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Специалисты подвергли чертежи и расчеты скрупулезной проверке. Не раз обсуждался проект и на совещаниях у начальника штаба ВВС В. К. Лаврова. Доводы К. А. Калинина оказались достаточно убедительными, чтобы остановиться на схеме “летающее крыло”. Это был действительно смелый шаг: проблема создания самолетов-бесхвосток к тому времени практически и теоретически еще не была решена. И в нашей стране, и за рубежом ею занимались многие конструкторы, но дальше постройки бесхвостых планеров и экспериментальных машин дело не шло (15552).</w:t>
      </w:r>
    </w:p>
    <w:p w14:paraId="0C0AB773" w14:textId="77777777" w:rsidR="000E63D3" w:rsidRPr="00C33834" w:rsidRDefault="000E63D3" w:rsidP="00C33834">
      <w:pPr>
        <w:spacing w:after="0" w:line="240" w:lineRule="auto"/>
        <w:jc w:val="both"/>
        <w:rPr>
          <w:rFonts w:ascii="Times New Roman" w:hAnsi="Times New Roman"/>
          <w:color w:val="000000" w:themeColor="text1"/>
          <w:sz w:val="16"/>
          <w:szCs w:val="16"/>
        </w:rPr>
      </w:pPr>
    </w:p>
    <w:p w14:paraId="122C660F"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года харьковчане представили экспертам НИИ ВВС предварительные эскизные проекты будущего самолета ВС-2. Причем на их суд было вынесено три равнозначных варианта. Первый был скомпонован по традиционной схеме. Второй представлял собой двухбалочный рамный самолет с хвостовой пулеметной установкой и экипажем внутри крыла. И, наконец, третий — самолет-бесхвостка. Последний вариант казался Калинину наиболее интересным. Специалисты подвергли чертежи и расчеты скрупулезной проверке. Не раз обсуждался проект и на совещаниях у начальника штаба ВВС В. К. Лаврова. Доводы К. А. Калинина оказались достаточно убедительными, чтобы остановиться на схеме «летающее крыло». Это был действительно смелый шаг: проблема создания самолетов-бесхвосток к тому времени практически и теоретически еще не была решена. И в нашей стране, и за рубежом ею занимались многие конструкторы, но дальше постройки бесхвостых планеров и экспериментальных машин дело не шло. Несколько позже, когда К-12 уже летал, Константин Алексеевич так характеризовал возможности своего детища: «Самолет без хвоста, или иначе «бесхвостка», имеет много преимуществ перед обычным самолетом. При военном применении он особенно ценен своей маневренностью и возможностью огневой защиты». Действительно, отсутствие за крылом хвостового оперения давало возможность разместить сзади кормовую стрелковую башню для полной круговой обороны, что не удавалось сделать на самолетах обычных типов. Кроме того, машина такой схемы обладала меньшим лобовым сопротивлением, а значит — и большей скоростью, дальностью полета, грузоподъемностью. При силовых установках одинаковой мощности с самолетом традиционной схемы в «летающем крыле» вес распределяется по большей площади крыла, и его конструкция получается значительно легче (15128).</w:t>
      </w:r>
    </w:p>
    <w:p w14:paraId="4C541887" w14:textId="77777777" w:rsidR="000E63D3" w:rsidRPr="00C33834" w:rsidRDefault="000E63D3" w:rsidP="00C33834">
      <w:pPr>
        <w:spacing w:after="0" w:line="240" w:lineRule="auto"/>
        <w:jc w:val="both"/>
        <w:rPr>
          <w:rFonts w:ascii="Times New Roman" w:hAnsi="Times New Roman"/>
          <w:color w:val="000000" w:themeColor="text1"/>
          <w:sz w:val="16"/>
          <w:szCs w:val="16"/>
        </w:rPr>
      </w:pPr>
    </w:p>
    <w:p w14:paraId="513DCD08"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Н.Н.П. подготовил эскизный проект И-16, который разрабатывался с конца 1932. Задержка вышла из-за переезда в январе 1933 (129,2).</w:t>
      </w:r>
    </w:p>
    <w:p w14:paraId="4AEF8B84"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62C81819" w14:textId="77777777" w:rsidR="00F15071" w:rsidRPr="00C33834" w:rsidRDefault="00F1507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завершилась проводимая в инициативном по</w:t>
      </w:r>
      <w:r w:rsidRPr="00C33834">
        <w:rPr>
          <w:rFonts w:ascii="Times New Roman" w:hAnsi="Times New Roman"/>
          <w:color w:val="000000" w:themeColor="text1"/>
          <w:sz w:val="16"/>
          <w:szCs w:val="16"/>
        </w:rPr>
        <w:softHyphen/>
        <w:t>рядке разработка первого варианта эскизного проекта с двигателем будущего И-16 Райт «Циклон» Р-3 или «Циклон» Р-5. Само</w:t>
      </w:r>
      <w:r w:rsidRPr="00C33834">
        <w:rPr>
          <w:rFonts w:ascii="Times New Roman" w:hAnsi="Times New Roman"/>
          <w:color w:val="000000" w:themeColor="text1"/>
          <w:sz w:val="16"/>
          <w:szCs w:val="16"/>
        </w:rPr>
        <w:softHyphen/>
        <w:t>лет имел фюзеляж обтекаемой формы и закрытую каби</w:t>
      </w:r>
      <w:r w:rsidRPr="00C33834">
        <w:rPr>
          <w:rFonts w:ascii="Times New Roman" w:hAnsi="Times New Roman"/>
          <w:color w:val="000000" w:themeColor="text1"/>
          <w:sz w:val="16"/>
          <w:szCs w:val="16"/>
        </w:rPr>
        <w:softHyphen/>
        <w:t>ну летчика со сдвигаемой назад крышкой фонаря. Шасси убиралось. Головки цилиндров двигателя закрывало кольцо Тауненда. Командование ВВС ознакомили с ха</w:t>
      </w:r>
      <w:r w:rsidRPr="00C33834">
        <w:rPr>
          <w:rFonts w:ascii="Times New Roman" w:hAnsi="Times New Roman"/>
          <w:color w:val="000000" w:themeColor="text1"/>
          <w:sz w:val="16"/>
          <w:szCs w:val="16"/>
        </w:rPr>
        <w:softHyphen/>
        <w:t>рактеристиками проектируемого самолета, но оно не проявило к нему особого интереса, так как большие на</w:t>
      </w:r>
      <w:r w:rsidRPr="00C33834">
        <w:rPr>
          <w:rFonts w:ascii="Times New Roman" w:hAnsi="Times New Roman"/>
          <w:color w:val="000000" w:themeColor="text1"/>
          <w:sz w:val="16"/>
          <w:szCs w:val="16"/>
        </w:rPr>
        <w:softHyphen/>
        <w:t>дежды возлагались на разрабатываемый в ЦАГИ истре</w:t>
      </w:r>
      <w:r w:rsidRPr="00C33834">
        <w:rPr>
          <w:rFonts w:ascii="Times New Roman" w:hAnsi="Times New Roman"/>
          <w:color w:val="000000" w:themeColor="text1"/>
          <w:sz w:val="16"/>
          <w:szCs w:val="16"/>
        </w:rPr>
        <w:softHyphen/>
        <w:t>битель И-14 (10667).</w:t>
      </w:r>
    </w:p>
    <w:p w14:paraId="31516C6C" w14:textId="77777777" w:rsidR="00F15071" w:rsidRPr="00C33834" w:rsidRDefault="00F1507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B92FF2" w14:textId="77777777" w:rsidR="004876B8" w:rsidRPr="00C33834" w:rsidRDefault="004876B8"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В апреле 1933 г. членам Реввоенсовета (РВС) СССР на Центральном аэродроме в Москве продемонстрировали И-4 с двумя 67-мм гладкоствольными пушками АПК-3 под верхним крылом. Эта пушка использовала снаряды весом 2,5 кг, выходная скорость же по сравнению с АПК-1 выросла вдвое. Магазины рассчитывались на пять выстрелов. Снаряды подавались в ствол с дула сложным механизмом, использовавшим сжатый воздух. Орудие вместе с боезапасом весило 37 кг. Предназначалась АПК-3 для стрельбы в воздухе по самолетам картечью. Впечатление от показа нового оружия, очевидно, оказалось настолько сильным, что в мае вышло постановление РВС о вооружении эскадрильи истребителей усовершенствованными пушками АПК-65 калибра 65 мм до конца года. Но до реализации этого распоряжения дело не дошло. Возможно, здесь сказалась авария, произошедшая на полигонных испытаниях 18 мая, когда у летчика Т. Сузи в правой пушке АПК-3бис взорвался снаряд. Перебило один из лонжеронов крыла, несколько нервюр, сорвало часть обшивки. Вдобавок повреждения получил руль направления, а в фюзеляже возникла пробоина. Но пилоту удалось сесть на изувеченном самолете. А, возможно, «наверху» просто проанализировали недостатки динамореактивных пушек - низкую скорострельность, малую выходную скорость снаряда и низкую точность, а также сложность в обращении (19100).</w:t>
      </w:r>
    </w:p>
    <w:p w14:paraId="2A71200C" w14:textId="77777777" w:rsidR="004876B8" w:rsidRPr="00C33834" w:rsidRDefault="004876B8" w:rsidP="00C33834">
      <w:pPr>
        <w:pStyle w:val="a8"/>
        <w:jc w:val="both"/>
        <w:rPr>
          <w:rFonts w:ascii="Times New Roman" w:hAnsi="Times New Roman" w:cs="Times New Roman"/>
          <w:color w:val="000000" w:themeColor="text1"/>
        </w:rPr>
      </w:pPr>
    </w:p>
    <w:p w14:paraId="50E72AA0"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В.Б.Ш. сделал поплавки для АИР-6 (1076,826).</w:t>
      </w:r>
    </w:p>
    <w:p w14:paraId="4F5B13CA"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74131A26"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членам РВС на ЦА был продемонстрирован И-4 с АПК-3 (1060,53).</w:t>
      </w:r>
    </w:p>
    <w:p w14:paraId="1BDF27FB"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5B0D8B8B"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на ТБ-3 (АНТ-6) В.А.Степанченок сумел сесть на истребителе (271,133).</w:t>
      </w:r>
    </w:p>
    <w:p w14:paraId="31AF38A7"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2A1D1A63"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был рассмотрен эскизный проект АНТ-20 (МГ). Хотели, чтобы помимо агитационного мог бы быть и передвижным штабом для высших военных и политических властей (2072,66).</w:t>
      </w:r>
    </w:p>
    <w:p w14:paraId="398A18E3"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01E99CE7"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был утвержден макет МГ 6М-34РН А.Н.Т. (2287,128).</w:t>
      </w:r>
    </w:p>
    <w:p w14:paraId="7A34F4A0"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5C998C7F"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собрали и закончили мелкие доработки АНТ-16 (ТБ-4), который в феврале 1933 начали перевозить частями на аэродром (2072,64).</w:t>
      </w:r>
    </w:p>
    <w:p w14:paraId="09AFC3F9"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36FDE726"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состоялись опытные стрельбы по Р-1 из различных пушек и в заключении было сказано, что 20-мм снаряд слаб по любому самолету; 37-мм - требуется от двух до пяти попаданий для вывода самолета из строя, а для 45 мм снаряда достаточно одного попадания (1246,109):</w:t>
      </w:r>
    </w:p>
    <w:p w14:paraId="45995F6A"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“20-мм снаряд слаб по любому самолету, требуется от 2 до 5 попаданий для вывода из строя с-та, а для 45 мм снаряда достаточно и одного попадания...” (3996, 78).</w:t>
      </w:r>
    </w:p>
    <w:p w14:paraId="27EE51B5"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7CC14B51"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начались гос. испытания М-34Р, которые шли до 2 мая 1933 (2281,67).</w:t>
      </w:r>
    </w:p>
    <w:p w14:paraId="1E7355F8"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49B5C22A" w14:textId="77777777" w:rsidR="00F15071" w:rsidRPr="00C33834" w:rsidRDefault="00F1507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w:t>
      </w:r>
      <w:r w:rsidRPr="00C33834">
        <w:rPr>
          <w:rFonts w:ascii="Times New Roman" w:hAnsi="Times New Roman"/>
          <w:color w:val="000000" w:themeColor="text1"/>
          <w:sz w:val="16"/>
          <w:szCs w:val="16"/>
        </w:rPr>
        <w:softHyphen/>
        <w:t>ле-мае 1933 г. прошли государствен</w:t>
      </w:r>
      <w:r w:rsidRPr="00C33834">
        <w:rPr>
          <w:rFonts w:ascii="Times New Roman" w:hAnsi="Times New Roman"/>
          <w:color w:val="000000" w:themeColor="text1"/>
          <w:sz w:val="16"/>
          <w:szCs w:val="16"/>
        </w:rPr>
        <w:softHyphen/>
        <w:t>ные испытания на стенде. Один из двух участвовавших в них двигателей сломался (полетела вертикальная передача к распределительному валу). Но правила испытаний разре</w:t>
      </w:r>
      <w:r w:rsidRPr="00C33834">
        <w:rPr>
          <w:rFonts w:ascii="Times New Roman" w:hAnsi="Times New Roman"/>
          <w:color w:val="000000" w:themeColor="text1"/>
          <w:sz w:val="16"/>
          <w:szCs w:val="16"/>
        </w:rPr>
        <w:softHyphen/>
        <w:t>шали замену и вторую попытку. В итоге — «удовлетворительно» (11848).</w:t>
      </w:r>
    </w:p>
    <w:p w14:paraId="5CE6B280" w14:textId="77777777" w:rsidR="00F15071" w:rsidRPr="00C33834" w:rsidRDefault="00F1507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5AD243"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апреля 1933 по октябрь 1934 в конструкцию танкового дизеля БД-2 было внесено 1150 конструктивных изменений (3880,17).</w:t>
      </w:r>
    </w:p>
    <w:p w14:paraId="4C410E2F"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76CA039A" w14:textId="77777777" w:rsidR="00F15071" w:rsidRPr="00C33834" w:rsidRDefault="00F1507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проходили госиспытания М-50 (ЗМ-11). Самый мощный мотор семейства, М-49, проходил заводские испытания. В 1933 г. уже планировали заменить М-11 в серии на М-51 (11852).</w:t>
      </w:r>
    </w:p>
    <w:p w14:paraId="3EF925AE" w14:textId="77777777" w:rsidR="00F15071" w:rsidRPr="00C33834" w:rsidRDefault="00F1507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274C10"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апреля 1933 г. двигатель включили в государственный план опытно-конструкторских работ. На последующих опытных образцах ввели вы</w:t>
      </w:r>
      <w:r w:rsidRPr="00C33834">
        <w:rPr>
          <w:rFonts w:ascii="Times New Roman" w:hAnsi="Times New Roman"/>
          <w:color w:val="000000" w:themeColor="text1"/>
          <w:sz w:val="16"/>
          <w:szCs w:val="16"/>
        </w:rPr>
        <w:softHyphen/>
        <w:t>хлоп назад, а не вбок, усилили головки цилиндров, раздвинули гнезда под свечи, заменили воздушное охлаждение выхлопных клапанов натрие</w:t>
      </w:r>
      <w:r w:rsidRPr="00C33834">
        <w:rPr>
          <w:rFonts w:ascii="Times New Roman" w:hAnsi="Times New Roman"/>
          <w:color w:val="000000" w:themeColor="text1"/>
          <w:sz w:val="16"/>
          <w:szCs w:val="16"/>
        </w:rPr>
        <w:softHyphen/>
        <w:t>вым, усилили шатуны и крепления противовесов коленвала. В связи с ненадежной работой ПЦН перешли к уменьшенному наддуву, для чего уменьшили обороты крыльчатки и ее диаметр. Одновременно с этим вме</w:t>
      </w:r>
      <w:r w:rsidRPr="00C33834">
        <w:rPr>
          <w:rFonts w:ascii="Times New Roman" w:hAnsi="Times New Roman"/>
          <w:color w:val="000000" w:themeColor="text1"/>
          <w:sz w:val="16"/>
          <w:szCs w:val="16"/>
        </w:rPr>
        <w:softHyphen/>
        <w:t>сто переднего подшипника скольжения смонтировали роликовый. В таком виде мотор М-58МН с апреля 1934 г. проходил стендовые испытания. В апреле — мае его испытывали без наддува, а в июле — августе двига</w:t>
      </w:r>
      <w:r w:rsidRPr="00C33834">
        <w:rPr>
          <w:rFonts w:ascii="Times New Roman" w:hAnsi="Times New Roman"/>
          <w:color w:val="000000" w:themeColor="text1"/>
          <w:sz w:val="16"/>
          <w:szCs w:val="16"/>
        </w:rPr>
        <w:softHyphen/>
        <w:t>тель прошел 50-часовые заводские испытания с ПЦН. В сентябре того же года М-58МН проходил государственные испытания. Выявлены поломки привода ПЦН, обрывы клапанов, трещины картера, поломки поршневых колец и клапанных пружин. В 1934 г. предлагалось выпустить малую се</w:t>
      </w:r>
      <w:r w:rsidRPr="00C33834">
        <w:rPr>
          <w:rFonts w:ascii="Times New Roman" w:hAnsi="Times New Roman"/>
          <w:color w:val="000000" w:themeColor="text1"/>
          <w:sz w:val="16"/>
          <w:szCs w:val="16"/>
        </w:rPr>
        <w:softHyphen/>
        <w:t>рию из 15-20 М-58МН. Один из моторов этой модификации в октябре 1935 г. на заводе № 22 в Горьком установили на самолет УТИ-3. С 30 ноября 1935 г. по 25 мая 1936 г. он испытывался в НИИ ВВС. В Запорожье готовили модификацию М-58Н с полным наддувом. Опыт</w:t>
      </w:r>
      <w:r w:rsidRPr="00C33834">
        <w:rPr>
          <w:rFonts w:ascii="Times New Roman" w:hAnsi="Times New Roman"/>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399E096F" w14:textId="77777777" w:rsidR="00F15071" w:rsidRPr="00C33834" w:rsidRDefault="00F1507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Характеристики:</w:t>
      </w:r>
    </w:p>
    <w:p w14:paraId="7EDCB878" w14:textId="77777777" w:rsidR="00F15071" w:rsidRPr="00C33834" w:rsidRDefault="00F1507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9-цилиндровый, звездообразный, четырехтактный, воздушного охлаж</w:t>
      </w:r>
      <w:r w:rsidRPr="00C33834">
        <w:rPr>
          <w:rFonts w:ascii="Times New Roman" w:hAnsi="Times New Roman"/>
          <w:color w:val="000000" w:themeColor="text1"/>
          <w:sz w:val="16"/>
          <w:szCs w:val="16"/>
        </w:rPr>
        <w:softHyphen/>
        <w:t>дения, безредукторный, с одноступенчатым односкоростным ПЦН;</w:t>
      </w:r>
    </w:p>
    <w:p w14:paraId="749DC8EE" w14:textId="77777777" w:rsidR="00F15071" w:rsidRPr="00C33834" w:rsidRDefault="00F1507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диаметр цилиндра/ход поршня 160/190 мм;</w:t>
      </w:r>
    </w:p>
    <w:p w14:paraId="64323DAE" w14:textId="77777777" w:rsidR="00F15071" w:rsidRPr="00C33834" w:rsidRDefault="00F1507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объем 34,4 л;</w:t>
      </w:r>
    </w:p>
    <w:p w14:paraId="767539B6" w14:textId="77777777" w:rsidR="00F15071" w:rsidRPr="00C33834" w:rsidRDefault="00F1507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степень сжатия 5,5;</w:t>
      </w:r>
    </w:p>
    <w:p w14:paraId="0A3404D7" w14:textId="77777777" w:rsidR="00F15071" w:rsidRPr="00C33834" w:rsidRDefault="00F1507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мощность по проекту 630/800 л.с., реально 630/785 л.с.;</w:t>
      </w:r>
    </w:p>
    <w:p w14:paraId="08AA5A31"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вес в зависимости от модификации. Известны модификации:</w:t>
      </w:r>
    </w:p>
    <w:p w14:paraId="0A52B21E" w14:textId="77777777" w:rsidR="00F15071" w:rsidRPr="00C33834" w:rsidRDefault="00F1507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М-58Н</w:t>
      </w:r>
    </w:p>
    <w:p w14:paraId="2187D1BD" w14:textId="77777777" w:rsidR="00F15071" w:rsidRPr="00C33834" w:rsidRDefault="00F1507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М-58, три первых опытных экземпляра с полным наддувом, 630/680 л.с., вес 445^450 кг.</w:t>
      </w:r>
    </w:p>
    <w:p w14:paraId="7285F2E9" w14:textId="77777777" w:rsidR="00F15071" w:rsidRPr="00C33834" w:rsidRDefault="00F1507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М-58МН, последующие два (возможно, три) образца с уменьшенным наддувом. Мощность 630/785 л.с., вес 465^476 кг.</w:t>
      </w:r>
    </w:p>
    <w:p w14:paraId="17C4B7C7" w14:textId="77777777" w:rsidR="00F15071" w:rsidRPr="00C33834" w:rsidRDefault="00F1507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М-58Н, отличался от М-58МН передачей к ПЦН, крыльчаткой и диф</w:t>
      </w:r>
      <w:r w:rsidRPr="00C33834">
        <w:rPr>
          <w:rFonts w:ascii="Times New Roman" w:hAnsi="Times New Roman"/>
          <w:color w:val="000000" w:themeColor="text1"/>
          <w:sz w:val="16"/>
          <w:szCs w:val="16"/>
        </w:rPr>
        <w:softHyphen/>
        <w:t>фузором.</w:t>
      </w:r>
    </w:p>
    <w:p w14:paraId="70CB0CC1"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38B5428C" w14:textId="77777777" w:rsidR="00F15071" w:rsidRPr="00C33834" w:rsidRDefault="00F1507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C6C735"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года согласно Технико-экономическому паспорту влился в систему ГВФ Киевский филиал НИИ авиадвигателей ГВФ До этого времени был филиалом Всеукраинского института двигателей внутреннего сгорания</w:t>
      </w:r>
    </w:p>
    <w:p w14:paraId="10D507A3"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Адрес: Киев, Прорезная, 26</w:t>
      </w:r>
    </w:p>
    <w:p w14:paraId="5792A159"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Цели и задачи филиала:</w:t>
      </w:r>
    </w:p>
    <w:p w14:paraId="2F44C8D2"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Создание конструкции советского авиадизеля.</w:t>
      </w:r>
    </w:p>
    <w:p w14:paraId="7CD8F2EE"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Тематический план 1932 года в основном заключался в проектировании и постройке дизелей для глиссеров мощностью 80НР и 300НР. Вся остальная тематика исследовательская подчинена этим задачам. Кроме этого темплан 1932 года включал ряд заданий по маломощным бензиновым моторам специального назначения.</w:t>
      </w:r>
    </w:p>
    <w:p w14:paraId="29ECA214"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Темплан 1933 года предусматривает заканчивание двигателей 80НР и 300НР. Сверхплановой работой 1932 года явилась подготовительная работа по созданию советской конструкции нефтяного насоса и форсунки. Кроме этого Институт в 1933 году должен осуществить постройку двух маломощных бензиновых двигателей для дирижаблей (вспомогательное обслуживание).</w:t>
      </w:r>
    </w:p>
    <w:p w14:paraId="7612986D"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Оборонное значение филиала:</w:t>
      </w:r>
    </w:p>
    <w:p w14:paraId="426E9285"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течение 1932 года Институтом было запроектировано 4 двигателя специального назначения для военно-инженерного управления и Управления связи РККА. Двигатели эти сейчас осуществляются постройкой, а часть испытывается силами Института. Эта работа будет продолжена в 1933 году.</w:t>
      </w:r>
    </w:p>
    <w:p w14:paraId="26F7DB26"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работам оборонного значения также относится проектирование и постройка дизеля для дирижабля и двух вспомогательных бензиновых моторов для авиации.</w:t>
      </w:r>
    </w:p>
    <w:p w14:paraId="0D9F0AB0"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2969B929"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начала своего существования филиал работает над осуществлением легкого быстроходного дизеля. Идет по пути уменьшения веса.</w:t>
      </w:r>
    </w:p>
    <w:p w14:paraId="57F12EB6"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…………………….(7726, 65-69).</w:t>
      </w:r>
    </w:p>
    <w:p w14:paraId="5A99EDA2"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5E3E40CF"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был подготовлен проект Постановления СТО</w:t>
      </w:r>
    </w:p>
    <w:p w14:paraId="154920B1"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вопросу: Об опытном авиадизелестроении</w:t>
      </w:r>
    </w:p>
    <w:p w14:paraId="3177D176"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 постановляет:</w:t>
      </w:r>
    </w:p>
    <w:p w14:paraId="5CAB6752"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Признать состояние опытного строительства авиадизелей неудовлетворительным.</w:t>
      </w:r>
    </w:p>
    <w:p w14:paraId="36A78B42"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Указать Баранову – ГУАП, Анвельт – ГУГВФ, Горянову – ОГПУ, Павлуновскому – НКТП на невыполнение постановления СТО от 4 августа 1932 года по опытному строительству, в результате чего опытное дизелестроение не было обеспечено производственными базами, отсутствовал контроль за выполнением сроков проектирования и производства.</w:t>
      </w:r>
    </w:p>
    <w:p w14:paraId="54962DFB"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Обратить внимание Тухачевского на отсутствие с его стороны наблюдения за состоянием опытных работ по дизелестроению.</w:t>
      </w:r>
    </w:p>
    <w:p w14:paraId="206EC935"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Установить следующие окончательные сроки предъявления дизелей на гос.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F26F01" w:rsidRPr="00C33834" w14:paraId="7A67EAC6" w14:textId="77777777">
        <w:tc>
          <w:tcPr>
            <w:tcW w:w="2318" w:type="dxa"/>
          </w:tcPr>
          <w:p w14:paraId="5529B39F"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Название дизеля</w:t>
            </w:r>
          </w:p>
        </w:tc>
        <w:tc>
          <w:tcPr>
            <w:tcW w:w="2318" w:type="dxa"/>
          </w:tcPr>
          <w:p w14:paraId="3BDCAB89"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w:t>
            </w:r>
          </w:p>
        </w:tc>
        <w:tc>
          <w:tcPr>
            <w:tcW w:w="2318" w:type="dxa"/>
          </w:tcPr>
          <w:p w14:paraId="1BAD7945"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2318" w:type="dxa"/>
          </w:tcPr>
          <w:p w14:paraId="6911FF04"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2318" w:type="dxa"/>
          </w:tcPr>
          <w:p w14:paraId="72712A12"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r>
      <w:tr w:rsidR="00F26F01" w:rsidRPr="00C33834" w14:paraId="4E7C27A4" w14:textId="77777777">
        <w:tc>
          <w:tcPr>
            <w:tcW w:w="2318" w:type="dxa"/>
          </w:tcPr>
          <w:p w14:paraId="7FA6A00B"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Н-1</w:t>
            </w:r>
          </w:p>
        </w:tc>
        <w:tc>
          <w:tcPr>
            <w:tcW w:w="2318" w:type="dxa"/>
          </w:tcPr>
          <w:p w14:paraId="3656B86A"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1933 года</w:t>
            </w:r>
          </w:p>
        </w:tc>
        <w:tc>
          <w:tcPr>
            <w:tcW w:w="2318" w:type="dxa"/>
          </w:tcPr>
          <w:p w14:paraId="37ED7C12"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2318" w:type="dxa"/>
          </w:tcPr>
          <w:p w14:paraId="2CBD95E8"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2318" w:type="dxa"/>
          </w:tcPr>
          <w:p w14:paraId="002CB72F"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840</w:t>
            </w:r>
          </w:p>
        </w:tc>
      </w:tr>
      <w:tr w:rsidR="00F26F01" w:rsidRPr="00C33834" w14:paraId="173A58F3" w14:textId="77777777">
        <w:tc>
          <w:tcPr>
            <w:tcW w:w="2318" w:type="dxa"/>
          </w:tcPr>
          <w:p w14:paraId="0C09A6CF"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Н-2</w:t>
            </w:r>
          </w:p>
        </w:tc>
        <w:tc>
          <w:tcPr>
            <w:tcW w:w="2318" w:type="dxa"/>
          </w:tcPr>
          <w:p w14:paraId="69510819"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февраля 1934 года</w:t>
            </w:r>
          </w:p>
        </w:tc>
        <w:tc>
          <w:tcPr>
            <w:tcW w:w="2318" w:type="dxa"/>
          </w:tcPr>
          <w:p w14:paraId="64B08A0F"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2318" w:type="dxa"/>
          </w:tcPr>
          <w:p w14:paraId="63AD5FA0"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2318" w:type="dxa"/>
          </w:tcPr>
          <w:p w14:paraId="0D3A78D6"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w:t>
            </w:r>
          </w:p>
        </w:tc>
      </w:tr>
      <w:tr w:rsidR="00F26F01" w:rsidRPr="00C33834" w14:paraId="02BCD9EA" w14:textId="77777777">
        <w:tc>
          <w:tcPr>
            <w:tcW w:w="2318" w:type="dxa"/>
          </w:tcPr>
          <w:p w14:paraId="34732663"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Н-3</w:t>
            </w:r>
          </w:p>
        </w:tc>
        <w:tc>
          <w:tcPr>
            <w:tcW w:w="2318" w:type="dxa"/>
          </w:tcPr>
          <w:p w14:paraId="40948213"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февраля 1934 года</w:t>
            </w:r>
          </w:p>
        </w:tc>
        <w:tc>
          <w:tcPr>
            <w:tcW w:w="2318" w:type="dxa"/>
          </w:tcPr>
          <w:p w14:paraId="1C4EF224"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2318" w:type="dxa"/>
          </w:tcPr>
          <w:p w14:paraId="1BABFD63"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2318" w:type="dxa"/>
          </w:tcPr>
          <w:p w14:paraId="30247C2F"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650</w:t>
            </w:r>
          </w:p>
        </w:tc>
      </w:tr>
      <w:tr w:rsidR="00F26F01" w:rsidRPr="00C33834" w14:paraId="70386E13" w14:textId="77777777">
        <w:tc>
          <w:tcPr>
            <w:tcW w:w="2318" w:type="dxa"/>
          </w:tcPr>
          <w:p w14:paraId="22009A63"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Н-4</w:t>
            </w:r>
          </w:p>
        </w:tc>
        <w:tc>
          <w:tcPr>
            <w:tcW w:w="2318" w:type="dxa"/>
          </w:tcPr>
          <w:p w14:paraId="0C2F7A2C"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апреля 1934 года</w:t>
            </w:r>
          </w:p>
        </w:tc>
        <w:tc>
          <w:tcPr>
            <w:tcW w:w="2318" w:type="dxa"/>
          </w:tcPr>
          <w:p w14:paraId="146EA8ED"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500-600</w:t>
            </w:r>
          </w:p>
        </w:tc>
        <w:tc>
          <w:tcPr>
            <w:tcW w:w="2318" w:type="dxa"/>
          </w:tcPr>
          <w:p w14:paraId="745355C0"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2318" w:type="dxa"/>
          </w:tcPr>
          <w:p w14:paraId="3C0D95CB"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500-600</w:t>
            </w:r>
          </w:p>
        </w:tc>
      </w:tr>
      <w:tr w:rsidR="00F26F01" w:rsidRPr="00C33834" w14:paraId="69FC8AF2" w14:textId="77777777">
        <w:tc>
          <w:tcPr>
            <w:tcW w:w="2318" w:type="dxa"/>
          </w:tcPr>
          <w:p w14:paraId="3FE3CD3B"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Н-5</w:t>
            </w:r>
          </w:p>
        </w:tc>
        <w:tc>
          <w:tcPr>
            <w:tcW w:w="2318" w:type="dxa"/>
          </w:tcPr>
          <w:p w14:paraId="214533DE"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1933 года</w:t>
            </w:r>
          </w:p>
        </w:tc>
        <w:tc>
          <w:tcPr>
            <w:tcW w:w="2318" w:type="dxa"/>
          </w:tcPr>
          <w:p w14:paraId="76E3808B"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2318" w:type="dxa"/>
          </w:tcPr>
          <w:p w14:paraId="10C75DD8"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2318" w:type="dxa"/>
          </w:tcPr>
          <w:p w14:paraId="4B67D8FF"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r>
    </w:tbl>
    <w:p w14:paraId="186B5DBA"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Подтвердить полную ответственность за своевременный выпуск дизелей:</w:t>
      </w:r>
    </w:p>
    <w:p w14:paraId="69F76D0D"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Баранова (ГУАП) дизелей Н-1 и Н-4</w:t>
      </w:r>
    </w:p>
    <w:p w14:paraId="541F8CAC"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Анвельта (ГУГВФ) дизелей Н-2 и Н-3</w:t>
      </w:r>
    </w:p>
    <w:p w14:paraId="5964937A"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Миронова (ОГПУ) дизеля Н-5</w:t>
      </w:r>
    </w:p>
    <w:p w14:paraId="027A85DE"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Возложить персональную ответственность за своевременное производство, сборку дизелей и сдачу дизелей на гос. испытания на лиц:</w:t>
      </w:r>
    </w:p>
    <w:p w14:paraId="316E4142"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 мотору Н-1: под ответственность Побережского (ЦИАМ) закончить производство всех деталей к 1 июля 1933 года, сборку мотора к 15 августа 1933 года, своевременно сдать дизель на гос. испытание.</w:t>
      </w:r>
    </w:p>
    <w:p w14:paraId="6DCA4FE0"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 мотору Н-2: 1. Под ответственность Мартенса (Ленинградский дизельный институт) своевременно сдать дизель на гос. испытание. 2. Под ответственность Побережского (ЦИАМ) выполнить: выданный ему заказ на механическую обработку и сборку узлов к 1 мая 1933 года, колено кривошипного механизма наддувочного компрессора (для хиртовского вала) – к 15 мая 1933 года. Коленчатый вал с комплектом пропеллерной втулки и кривоколенный механизм наддувочного компрессора – к 1 августа 1933 года; топливные насосы к 1 июня 1933 года. 3. Под ответственность директора завода № 26 Королева выполнить узлы золотникового картера и распределительных валов к 1 мая 1933 года. 4. Под ответственность директора завода им. Ворошилова Барыкова обеспечить подачу деталей по заказу ВНИДИ к 10 мая 1933 года, обеспечить сборку и испытание двигателя на заводе и начать таковую 20 мая 1933 года. 5. Директору (завод им. Молотова) Премудрову обеспечить выполнение заказов на поковки коленчатого вала со сроками подачи начиная с 1 мая 1933 года.</w:t>
      </w:r>
    </w:p>
    <w:p w14:paraId="05673F7C"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 мотору Н-3: 1. Под ответственность Майера (Харьковский дизельный институт) своевременно сдать дизель на гос. испытание. 2. Под ответственность директора завода № 26 Королева , цветное литье (картеры, блоки и головки) закончить к 1 июня 1933 года. 3.. Под ответственность директора ХАЗ Владимирова закончить механическую обработку всех крупных деталей к 1 августа 1933 года. 4. Под ответственность директора Ижевского завода Максимова к 1 июля 1933 года закончить поковку коленчатого вала.</w:t>
      </w:r>
    </w:p>
    <w:p w14:paraId="64FB3C4E"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По мотору Н-4: 1. Под ответственность Красильникова (Харьковский авиационный институт) своевременно сдать дизель на гос. испытание. 2. Под ответственность директора Ижевского завода Максимова поковку коленвала закончить к 1 июля 1933 года. 3. Под ответственность директора ХПЗ Владимирова обработку вала и картера закончить 1 сентября 1933 года. 4. Под ответственность директора завода № 29 Александрова С-литье поршней, блоков и головок закончить к 1 июля 1933 года. 5. Предложить Красильниковуразместить группу компрессоров к 1 мая 1933 года. 6. Сборку мотора, под ответственность Красильникова закончить к 1 декабря 1933 года.</w:t>
      </w:r>
    </w:p>
    <w:p w14:paraId="15456863"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По мотору Н-5: 1. Под ответственность Горянова своевременно сдать дизель на гос. испытание. 2. Под ответственность зам. директора завода № 24 Колосова выполнитьпроизводство шатунов, блоков и втулок для винтов к 1 июня 1933 года. 3. Под ответственность директора завода № 26 Королева , отлить и обработать цветное литье к 1 июня 1933 года. 4. Под ответственность директора ЦИАМ Побережского испытание импеллерной группы закончить к 1 июля 1933 года, а сборку моторов в целом к 1 августа 1933 года.</w:t>
      </w:r>
    </w:p>
    <w:p w14:paraId="22C24E98"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Отметить, что работы по проектированию двигателя Н-6 не привела к положительным результатам (мотор имеет пониженную мощность и высотность). Дальнейшие работы по двигателю Н-6 прекратить.</w:t>
      </w:r>
    </w:p>
    <w:p w14:paraId="134DF2A4"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Учитывая недочеты проектирования и отсутствие ответственности в организации производства опытных дизелей, приведшие к самовольному изменению заданий и технических норм, затруднениям в размещении деталей на заводах и срыву плана опытного дизелестроения – впредь запретить запускать в производство опытные авиадизели до тщательной проверки основных элементов конструкций.</w:t>
      </w:r>
    </w:p>
    <w:p w14:paraId="306233C1"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 о внедрении в производство опытных дизелей должен разрешаться в каждом отдельном случае замнаркомтяжпрома Барановым.</w:t>
      </w:r>
    </w:p>
    <w:p w14:paraId="4268331A"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Комиссия в составе: Куйбышева Н.В. (председатель), Баранова, Алксниса, Гольцмана – к 1 августа 1933 года представить в СТО свои соображения об организации дизельного института и спецобъединен. производственной базы для опытного дизелестроения.</w:t>
      </w:r>
    </w:p>
    <w:p w14:paraId="327D4AEE"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Предложить УВВС (Алкснису) и ГУГВФ (Анвельт) немедленно приступить к разработке условий гос. испытаний использования и эксплоатации дизелей.</w:t>
      </w:r>
    </w:p>
    <w:p w14:paraId="0BB0682D"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Тресту Авиатопливо, УВВС (Зильберт) и ГУГВФ (Ангелов) – немедленно приступить к экспериментальным работам по подбору тяжелых топлив и обеспечить опытные установки и испытания авиадизелей необходимым количеством и требуемыми сортами топлив.</w:t>
      </w:r>
    </w:p>
    <w:p w14:paraId="0999466A"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зам. НКТП Баранова подготовить базу к производству дизельной аппаратуры (насосы, форсунки) с расчетом обеспечения серийного производства дизелей в 1934 году.</w:t>
      </w:r>
    </w:p>
    <w:p w14:paraId="582F0F99"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НКТП Баранову не позднее 1 мая 1933 года представить в СТО план финансирования опытных работ по дизелестроению.</w:t>
      </w:r>
    </w:p>
    <w:p w14:paraId="2076382D"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Военно-морской инспекции НК-РКИ поквартально докладывать в СТО о ходе выполнения настоящего постановления (4223, 23-25).</w:t>
      </w:r>
    </w:p>
    <w:p w14:paraId="7255D6C9" w14:textId="77777777" w:rsidR="00F15071" w:rsidRPr="00C33834" w:rsidRDefault="00F15071"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21DBEF3" w14:textId="77777777" w:rsidR="000E63D3" w:rsidRPr="00C33834" w:rsidRDefault="000E63D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года начальник ВВС Алкснис писал письмо № 133 сс наркому по военным и морским делам и председателю РВС.</w:t>
      </w:r>
    </w:p>
    <w:p w14:paraId="2A3359B4" w14:textId="77777777" w:rsidR="000E63D3" w:rsidRPr="00C33834" w:rsidRDefault="000E63D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работах по созданию самолета с вращающимися крыльями.</w:t>
      </w:r>
    </w:p>
    <w:p w14:paraId="0F0517AC" w14:textId="77777777" w:rsidR="000E63D3" w:rsidRPr="00C33834" w:rsidRDefault="000E63D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Около года тому назад по заданию зам. председателя РВС Тухачевского инженер ВВС Попов, реализуя предложение инженера Максимова, начал работы по изучению возможности постройки самолета с вращающимися крыльями.</w:t>
      </w:r>
    </w:p>
    <w:p w14:paraId="5169EDB0" w14:textId="77777777" w:rsidR="000E63D3" w:rsidRPr="00C33834" w:rsidRDefault="000E63D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Построенная и испытанная модель показала возможность постройки такого самолета.</w:t>
      </w:r>
    </w:p>
    <w:p w14:paraId="67D0485C" w14:textId="77777777" w:rsidR="000E63D3" w:rsidRPr="00C33834" w:rsidRDefault="000E63D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Сейчас группа инженера Попова по заданию Тухачевского, заканчивая испытания построенной и несколько переделанной модели, приступила к проектированию одноместного самолета с вращающимися крыльями.</w:t>
      </w:r>
    </w:p>
    <w:p w14:paraId="3C74DFF1" w14:textId="77777777" w:rsidR="000E63D3" w:rsidRPr="00C33834" w:rsidRDefault="000E63D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6ABFF751" w14:textId="77777777" w:rsidR="000E63D3" w:rsidRPr="00C33834" w:rsidRDefault="000E63D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(6782, 17-18).</w:t>
      </w:r>
    </w:p>
    <w:p w14:paraId="617FC54D" w14:textId="77777777" w:rsidR="000E63D3" w:rsidRPr="00C33834" w:rsidRDefault="000E63D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C103DE"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года испытания моделей «высотной торпеды Камова», согласно отчету, дало «плохие» результаты вследствие того, что автор проекта «применил способ раскручивания отличный от намеченного в нормальных образцах».</w:t>
      </w:r>
    </w:p>
    <w:p w14:paraId="70BE673D"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Исправив ошибку, Камов осенью провел повторное испытание и на этот раз получил вполне приличные результаты - 100% раскрытий винта на «дистанциях» от двух до 14 секунд. Впрочем, выявился недостаток прочности лопастей на «дистанциях» раскрытия более 10 секунд. Опыты с большими образцами дали тот же эффект (раскрытие, но недостаточная прочность лопастей) (15598).</w:t>
      </w:r>
    </w:p>
    <w:p w14:paraId="538B7849" w14:textId="77777777" w:rsidR="000E63D3" w:rsidRPr="00C33834" w:rsidRDefault="000E63D3" w:rsidP="00C33834">
      <w:pPr>
        <w:spacing w:after="0" w:line="240" w:lineRule="auto"/>
        <w:jc w:val="both"/>
        <w:rPr>
          <w:rFonts w:ascii="Times New Roman" w:hAnsi="Times New Roman"/>
          <w:color w:val="000000" w:themeColor="text1"/>
          <w:sz w:val="16"/>
          <w:szCs w:val="16"/>
        </w:rPr>
      </w:pPr>
    </w:p>
    <w:p w14:paraId="28925C5E"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состоялась демонстрация приборов и Майзеля членам РВС на ЦА в Москве. Использовали старые ЗАМы, испытывающиеся еще в Евпатории (8908,36)</w:t>
      </w:r>
    </w:p>
    <w:p w14:paraId="11EE3F71"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7C049BDA"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года помощник начальника ЭКУ ОГПУ Минаев и начальник 4 отдела ЭКУ ОГРУ Калецкий писали письмо № 288102 в Кремль Базилевичу</w:t>
      </w:r>
    </w:p>
    <w:p w14:paraId="57DBF72D"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Настоящим препровождается справка о реконструкции завода № 32.</w:t>
      </w:r>
    </w:p>
    <w:p w14:paraId="2CA6524A"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 упомянутое на 2-х листах (3530,125).</w:t>
      </w:r>
    </w:p>
    <w:p w14:paraId="03AFABAA"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Справка о реконструкции завода № 32</w:t>
      </w:r>
    </w:p>
    <w:p w14:paraId="055956E1"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32 является единственным заводом в СССР по изготовлению авиавооружений для самолетных заводов и сейчас по распоряжению ГУАПа должен быть реконструирован.</w:t>
      </w:r>
    </w:p>
    <w:p w14:paraId="4F66991B"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Стоимость реконструкции по генеральному плану определяется суммой 35 млн. рублей, за вычетом стоимости по оценке «Гипроавиа», ныне существующих зданий и оборудования в сумме 6 млн. рублей, также 5 млн. рублей на жилищно-культурное и бытовое строительство, чистая реконструкция выразится в сумме 24 млн. рублей – 80% стоимости завода.</w:t>
      </w:r>
    </w:p>
    <w:p w14:paraId="2E0C7075"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мнению специалистов, это не реконструкция, а «пришивка пиджака к пуговице».</w:t>
      </w:r>
    </w:p>
    <w:p w14:paraId="2E431591"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имеющимся в ЭКУ ОГПУ сведениям представленный «Гипроавиа», утвержденный ГУАПом проект реконструкции, имеет целый ряд недостатков, а именно:</w:t>
      </w:r>
    </w:p>
    <w:p w14:paraId="5E9F2614"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Расстановка существующих заводских зданий носит бессистемный, хаотический характер.</w:t>
      </w:r>
    </w:p>
    <w:p w14:paraId="1A84B545"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Скученность на заводской территории и необходимость сноса вклинившихся частновладельческих хозяйств требует новой перепланировки, что удорожает строительство порядка на 4,5 млн. рублей.</w:t>
      </w:r>
    </w:p>
    <w:p w14:paraId="702AD009"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Главный корпус завода ставится на русло протекающей по территории завода речки «Синички», что удорожает стоимость строительных работ – создает ненадежность самой постройки.</w:t>
      </w:r>
    </w:p>
    <w:p w14:paraId="357BDD69"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Состояние грунта к моменту утверждения проекта не выявлено.</w:t>
      </w:r>
    </w:p>
    <w:p w14:paraId="6BE9CD99"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Следует также отметить, что номенклатура производства завода разработана менее чем на 50%. Благодаря этому произведен лишь поверхностный подсчет оборудования в том числе и импортного на сумму порядка 2-3 млн. рублей без точного учета его потребности.</w:t>
      </w:r>
    </w:p>
    <w:p w14:paraId="0381593A"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мнению ряда специалистов намеченные проектом сроки ввода в эксплуатацию новых производственных площадей (1934 г. и достижение полной проектной мощности в 1935 году) не реальны и по указанным выше причинам целесообразнее было бы не расширяя завода № 32, производственную мощность существующих и работающих цехов (при некоторой перепланировке оборудования и правильной организационной структуре) увеличить до 5-6 тысяч комплектов вооружения и одновременно с этим разработать проект и приступить к строительству на другой более удобной площадке нового завода, который по своей стоимости не превысит реконструируемый завод № 32.</w:t>
      </w:r>
    </w:p>
    <w:p w14:paraId="1448B641"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Критика проекта в части целесообразности выбора площадки техническим руководством ГУАПа (Макаровским) не допускается под предлогом того, что этот вопрос уже окончательно решен Правительством (3530,126-127).</w:t>
      </w:r>
    </w:p>
    <w:p w14:paraId="44848739"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2B44649C"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апреле 1933 г. Центральный Совет Осоавиахима признал, что в деле постройки стратостата Осоавиахим-1 допущена «недопустимая обезличка». Он пытался выправить эту обезличку назначением т. ИЛЬИНА председателем шефского комитета над постройкой стратостата. По существу это не улучшило дела руководства технической стороной, т. к. в этой части т. Ильин мог только приглашать технических консультантов из Москвы, которые по отдельным вопросам высказывали мнение, делали указания по мелочам и в конечном счете создали обстановку, позволяющую уменьшить ответственность и инженеров исполнителей и консультационного совета ЛОСО. </w:t>
      </w:r>
    </w:p>
    <w:p w14:paraId="79D47269"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Предварительное освоение стратостата в отношении изучения его поведения при различных режимах полета находилось в непосредственном ведении т. Федосеенко. Предварительное втягивание в работу при нахождении в герметически закрытой кабине было проведено организованно при Военно-Медицинской Академии (11611).</w:t>
      </w:r>
    </w:p>
    <w:p w14:paraId="663619C2"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44870BCE"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г. из 370 чертежей пассажирской гондолы дирижабля В-6 исправлению было подвергнуто 259 [4, л.223]. Не выявленные вовремя ошибки привели к дефектам. Комиссия по испытанию корабля В-6 в протоколе заседания от 5 декабря 1934 г. указала, что корабль может пройти заводские испытания после завершения «необходимых доделок и переделок», количество которых составляло 21, в том числе 6 - по винто-моторной группе [5, л.35]. Дирижабль В-7 был закончен к 15 августа 1934 г. [14, л. 70-78], но подняться в воздух ему суждено не было. 16 августа 1934 г. в 18 часов 28 минут от удара молнии в деревянном эллинге начался пожар вследствие которого сгорели дирижабли В-7, В-4, а так же гондола и оперение дирижабля В-5. Все имущество, сгоревшее в эллинге 16 августа 1934 г., было оценено в 2 690 643 руб. 43 коп [5, л.100-101]. Расследование показало, что для сборки дирижаблей сгоревший эллинг не годился, т. к. представлял большую опасность в пожарном отношении. Не было обеспечения подъездными путями, подводкой воды, пожарными кранами и шлангами. Эллинг технически не соответствовал назначению - сборке дирижабля В-7, так как был слишком тесен. Руководство Дирижаблестроя не использовало возможность перевести В-7 из деревянного эллинга в металлический [5, л.109] (15797).</w:t>
      </w:r>
    </w:p>
    <w:p w14:paraId="0BDCBFFF" w14:textId="77777777" w:rsidR="000E63D3" w:rsidRPr="00C33834" w:rsidRDefault="000E63D3" w:rsidP="00C33834">
      <w:pPr>
        <w:spacing w:after="0" w:line="240" w:lineRule="auto"/>
        <w:jc w:val="both"/>
        <w:rPr>
          <w:rFonts w:ascii="Times New Roman" w:hAnsi="Times New Roman"/>
          <w:color w:val="000000" w:themeColor="text1"/>
          <w:sz w:val="16"/>
          <w:szCs w:val="16"/>
        </w:rPr>
      </w:pPr>
    </w:p>
    <w:p w14:paraId="2EBE4B2A"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апреле 1933 г. на заседании коллегии ГУГВФ «…важнейшей задачей на ближайшие 2 года (1933-1934 гг.) для Дирижаблестроя» было поставлено «…освоение техники полужесткого дирижаблестроения и эксплуатации кораблей этого типа» [4, л.223]. Таким образом, 1933 и 1934 годы образуют отдельный, единый и неразрывный, «второй» период деятельности Дирижаблестроя, связанный с решением вышеназванной задачи. Для технического руководства новым направлением отечественного дирижаблестроения в СССР был приглашен итальянский конструктор Умберто Нобиле, занявший в 1932 г. пост начальника Конструкторского бюро Дирижаблестроя [1, с. 148]. Дирижаблестрой в 1933 – 1934 гг. имел следующие основные звенья: Конструкторское Бюро ( КБ); Опытную Верфь, включавшую цеха: механический, слесарно-сборочный, баллонный и ремонтно-монтажный; Конструкторское Бюро цельнометаллического каркасного дирижабля (БЦМКД) с </w:t>
      </w:r>
      <w:r w:rsidRPr="00C33834">
        <w:rPr>
          <w:rFonts w:ascii="Times New Roman" w:hAnsi="Times New Roman"/>
          <w:color w:val="000000" w:themeColor="text1"/>
          <w:sz w:val="16"/>
          <w:szCs w:val="16"/>
        </w:rPr>
        <w:lastRenderedPageBreak/>
        <w:t>экспериментальным цехом по постройке цельнометаллического каркасного дирижабля; Конструкторское Бюро Циолковского по постройке цельнометаллического бескаркасного корабля (системы Циолковского) с экспериментальным цехом; Центральный Московский порт с подразделениями (Ленинградский порт, радиостанция и ремонтные мастерские); Опытно-эксплуатационный отдел; Научно-исследовательский отдел (НИО) с лабораториями [15, л.1]. В число объектов проектирования Конструкторского бюро (КБ) Дирижаблестроя в 1933 г. входили: дирижабли полужесткие объемом 2100 м3, 7500 м3,18500 м3, 55000 м3, 50000 м3; дирижабль жесткий объемом 125000 м3; дирижабль металлический каркасный 8000 м3; сфероаэростат 250 м3; начальные работы по дирижаблям 20000 м3 и 100000 м3; ремонт дирижаблей В-1, В-3 и В-4. Всего КБ за 1933 г. было выпущено 3744 чертежей [8, л. 3 - 5]. В 1934 г. основными объектами работ КБ были следующие: полное завершение работ по дирижаблю В-6 объемом 18500 м3, проект  полужесткого дирижабля В-7 объемом 9150 м3, продолжение работ по полужесткому дирижаблю B-10 (50 000 м3), изготовление 20% проекта жесткого дирижабля большой кубатуры 100 000 м3 (ДЖ-1), перепроектировка оболочки и кормового развития по полужесткому дирижаблю В-5 (2150 м3) (15797).</w:t>
      </w:r>
    </w:p>
    <w:p w14:paraId="55566692" w14:textId="77777777" w:rsidR="000E63D3" w:rsidRPr="00C33834" w:rsidRDefault="000E63D3" w:rsidP="00C33834">
      <w:pPr>
        <w:spacing w:after="0" w:line="240" w:lineRule="auto"/>
        <w:jc w:val="both"/>
        <w:rPr>
          <w:rFonts w:ascii="Times New Roman" w:hAnsi="Times New Roman"/>
          <w:color w:val="000000" w:themeColor="text1"/>
          <w:sz w:val="16"/>
          <w:szCs w:val="16"/>
        </w:rPr>
      </w:pPr>
    </w:p>
    <w:p w14:paraId="6EA9C07C"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г. дирижабль В-5 был собран. Инженер Ф.Трояни в докладе начальнику Дирижаблестроя Фельдману от 11 апреля 1933 г. дал характеристику возникшим вследствие дефектов в чертежах недостаткам отдельных частей В-5, которые были «смягчены но не устранены» и сделал заключение: «Считаю, что дирижабль в настоящее время может пойти в испытательный полет с достаточной надежностью». В то же время Трояни указал на необходимость «после первых полетов перейти к тщательной проверке киля, чтобы судить - будет ли в состоянии дирижабль нести регулярную службу» [4, л.154-157] (15797).</w:t>
      </w:r>
    </w:p>
    <w:p w14:paraId="014A3FE6" w14:textId="77777777" w:rsidR="000E63D3" w:rsidRPr="00C33834" w:rsidRDefault="000E63D3" w:rsidP="00C33834">
      <w:pPr>
        <w:spacing w:after="0" w:line="240" w:lineRule="auto"/>
        <w:jc w:val="both"/>
        <w:rPr>
          <w:rFonts w:ascii="Times New Roman" w:hAnsi="Times New Roman"/>
          <w:color w:val="000000" w:themeColor="text1"/>
          <w:sz w:val="16"/>
          <w:szCs w:val="16"/>
        </w:rPr>
      </w:pPr>
    </w:p>
    <w:p w14:paraId="18820EEF"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г. Шпитальный и Комарицкий представили образец, который отличался от своего предшественника не только лучшей живучестью, но и некоторыми изменениями, положительно ска</w:t>
      </w:r>
      <w:r w:rsidRPr="00C33834">
        <w:rPr>
          <w:rFonts w:ascii="Times New Roman" w:hAnsi="Times New Roman"/>
          <w:color w:val="000000" w:themeColor="text1"/>
          <w:sz w:val="16"/>
          <w:szCs w:val="16"/>
        </w:rPr>
        <w:softHyphen/>
        <w:t>завшимися на простоте конструкции пулемета. В новой модели была существенно изменена ее основная деталь — коробка, введе</w:t>
      </w:r>
      <w:r w:rsidRPr="00C33834">
        <w:rPr>
          <w:rFonts w:ascii="Times New Roman" w:hAnsi="Times New Roman"/>
          <w:color w:val="000000" w:themeColor="text1"/>
          <w:sz w:val="16"/>
          <w:szCs w:val="16"/>
        </w:rPr>
        <w:softHyphen/>
        <w:t>ны пять новых деталей вместо тринадцати упраздненных. Эти пе</w:t>
      </w:r>
      <w:r w:rsidRPr="00C33834">
        <w:rPr>
          <w:rFonts w:ascii="Times New Roman" w:hAnsi="Times New Roman"/>
          <w:color w:val="000000" w:themeColor="text1"/>
          <w:sz w:val="16"/>
          <w:szCs w:val="16"/>
        </w:rPr>
        <w:softHyphen/>
        <w:t>ределки повлекли за собой значительное количество изменений размеров и допусков сопряженных деталей (10695).</w:t>
      </w:r>
    </w:p>
    <w:p w14:paraId="50839907"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63927B58"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апреля по ноябрь 1933 г. катер АНТ-5 прошел заводские испытания в Севастополе, а с 22 ноября по декабрь — государственные испытания. Испытания АНТ-5 привели начальство буквально в восторг — катер с торпедами развивал скорость 58 узлов, а без торпед — 65,3 узла. О таких скоростях не могли и мечтать катера других стран.</w:t>
      </w:r>
    </w:p>
    <w:p w14:paraId="0592C061"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им. Марта, начиная с V серии (первые четыре серии — это катера Ш-4), перешел на производство Г-5 (так назывались серийные катера АНТ-5). Позже Г-5 стали строить и на заводе № 532 в Керчи, а с началом войны завод № 532 эвакуировали в Тюмень, и там на заводе № 639 также приступили к строительству катеров типа Г-5. Всего был построен 321 серийный катер Г-5 девяти серий (с VI по XII, включая Х1бис).</w:t>
      </w:r>
    </w:p>
    <w:p w14:paraId="69EB01CF"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Торпедное вооружение у всех серий было одинаково: две 533-мм торпеды в желобковых аппаратах. А вот пулеметное вооружение постоянно менялось. Так, катера VI—IX серий имели по два 7,62-мм авиационных пулемета ДА. Следующие серии имели по два 7,62-мм авиационных пулеметов ШКАС, отличавшихся большей скорострельностью.</w:t>
      </w:r>
    </w:p>
    <w:p w14:paraId="77B1415B"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1941 г. катера стали оснащать одним-двумя 12,7-мм пулеметами ДШК. Кроме того, силами флотских умельцев были созданы импровизированные ординарные и спаренные 20-мм установки авиационных пушек ШВАК.</w:t>
      </w:r>
    </w:p>
    <w:p w14:paraId="6625341F"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Водоизмещение катеров Г-5 колебалось от 14,91 т (VI серии) до 19,94 т (XI серии). Большинство катеров имело по два отечественных бензиновых двигателя ГАМ-34БП и БС мощностью 850 л. с. каждый. 25 катеров IX серии были оснащены итальянскими двигателями «Изотто-Фраскини» А 550—1000. 40 катеров серии Х1бис оснащены форсированными двигателями ГАМ-34Ф мощностью по 1000 л. с. А в ходе войны катера снабжались двумя американскими двигателями «Паккард» мощностью по 1150 л.с.</w:t>
      </w:r>
    </w:p>
    <w:p w14:paraId="3C4D710A"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хода катеров составляла от 45 до 52 узлов. А стоимость постройки — от 475 тыс. руб. (первые серии) до 620 тыс. руб. (начиная с XI серии).</w:t>
      </w:r>
    </w:p>
    <w:p w14:paraId="01F65611"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Как работали эти двигатели ГАМ-34, пусть даже теоретически, можно понять из следующего документа: «Правила ухода и обслуживания катера Г-5». Полный ход достигался при 1900 об./мин. двигателя. Но работать при скорости 1900 об/мин. можно было не более 20 мин., а при скорости 1800 об/мин. — не более 1 часа. Причем полный ход можно было развивать только в боевых условиях. А «пользоваться самым полным ходом при 1800—1900 об/мин. в условиях боевой подготовки запрещается».</w:t>
      </w:r>
    </w:p>
    <w:p w14:paraId="62507DF3"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24, изготавливавший двигатели ГАМ-34, давал им гарантию лишь на 150 часов работы двигателя, далее должна была производиться полная переборка двигателя и ремонт (15117).</w:t>
      </w:r>
    </w:p>
    <w:p w14:paraId="44FCC0D3" w14:textId="77777777" w:rsidR="000E63D3" w:rsidRPr="00C33834" w:rsidRDefault="000E63D3" w:rsidP="00C33834">
      <w:pPr>
        <w:spacing w:after="0" w:line="240" w:lineRule="auto"/>
        <w:jc w:val="both"/>
        <w:rPr>
          <w:rFonts w:ascii="Times New Roman" w:hAnsi="Times New Roman"/>
          <w:color w:val="000000" w:themeColor="text1"/>
          <w:sz w:val="16"/>
          <w:szCs w:val="16"/>
        </w:rPr>
      </w:pPr>
    </w:p>
    <w:p w14:paraId="2F7E3E90"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в УВИ подготовлена справка, которая дает представление о трудностях создания РНИИ (Там же, № 243, л. 33) (10676).</w:t>
      </w:r>
    </w:p>
    <w:p w14:paraId="1932E0F9" w14:textId="77777777" w:rsidR="00F15071" w:rsidRPr="00C33834" w:rsidRDefault="00F15071" w:rsidP="00C33834">
      <w:pPr>
        <w:autoSpaceDE w:val="0"/>
        <w:autoSpaceDN w:val="0"/>
        <w:adjustRightInd w:val="0"/>
        <w:spacing w:after="0" w:line="240" w:lineRule="auto"/>
        <w:jc w:val="both"/>
        <w:rPr>
          <w:rFonts w:ascii="Times New Roman" w:hAnsi="Times New Roman"/>
          <w:color w:val="000000" w:themeColor="text1"/>
          <w:sz w:val="16"/>
          <w:szCs w:val="16"/>
        </w:rPr>
      </w:pPr>
    </w:p>
    <w:p w14:paraId="6ECA052F" w14:textId="77777777" w:rsidR="00084A10" w:rsidRPr="00C33834" w:rsidRDefault="00084A1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апреле 1933 г., согласно Акту об обследовании финансово-хозяйственной деятельности КБ ГИРД, адресованному начальнику УВИ Т.П. Новикову и начальнику ФУ РККА А.В Хрулеву, в ГИРД работало 87 человек. (35 рабочих, 33 работника ИГР, 7 служащих, 12 - вспомогательные службы и ученики.) (ГА РФ. Фонд Р-8355 . Оп. 1. Д. № 374. Л.73.).</w:t>
      </w:r>
    </w:p>
    <w:p w14:paraId="5735CB0B" w14:textId="77777777" w:rsidR="00084A10" w:rsidRPr="00C33834" w:rsidRDefault="00084A1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Основные претензии по результатам ревизии: неразбериха в учетных формах и отчетности, не экономное расходование государственных средств, полное отсутствие плановости (вспомним, финансовый отдел ОСОАВИАХИМ уже пытался давать объяснения по аналогичному поводу). Ведомства РККА опять подошли к работе ГИРД, как к производству, например, артиллерийских снарядов, сказывается отсутствие практики работы с научными институтами, ведущими фундаментальные исследования. Самое страшное обвинение выдвинутое в адрес Королева, заключалось в том, что он своей волей сам себе повысил оклад с 600 до 900 рублей, а своим инженерам Буланову и Корнееву - с 450 до 600 руб, при том , что максимальная ставка на этих должностях не должна была превышать 550 руб (ГА РФ. Фонд Р-8355 . Он. 1. Д. № 374. Л.74-78) (33685).</w:t>
      </w:r>
    </w:p>
    <w:p w14:paraId="45BB3F49" w14:textId="77777777" w:rsidR="00084A10" w:rsidRPr="00C33834" w:rsidRDefault="00084A10" w:rsidP="00C33834">
      <w:pPr>
        <w:spacing w:after="0" w:line="240" w:lineRule="auto"/>
        <w:jc w:val="both"/>
        <w:rPr>
          <w:rFonts w:ascii="Times New Roman" w:hAnsi="Times New Roman"/>
          <w:color w:val="0070C0"/>
          <w:sz w:val="16"/>
          <w:szCs w:val="16"/>
        </w:rPr>
      </w:pPr>
    </w:p>
    <w:p w14:paraId="4FED6EF2" w14:textId="77777777" w:rsidR="002359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62C6267C" w14:textId="77777777" w:rsidR="00235986" w:rsidRPr="00C33834" w:rsidRDefault="002359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6BF4474"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года на Котовском заводе начато производство целлулоида —триплексного, технического, галантерейного.</w:t>
      </w:r>
    </w:p>
    <w:p w14:paraId="52B1F513"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Рост объемов производства с 1931 по 1935 год составил более 160%. Темпы развернувшегося строительства и реконструкции завода потребовали от коллектива большой творческой работы, появилась необходимость в квалифицированных кадрах. Эту задачу тоже пришлось решать заводу. Идет подготовка специалистов в ФЗУ. В 1931 году все учебные заведения завода объединены в учебный комбинат, который в 1933 году реорганизуется в отдел подготовки кадров. Его окончили В. Карлинский, Н. Лободанов, В. Пошухонина, И. Дьячков.</w:t>
      </w:r>
    </w:p>
    <w:p w14:paraId="1013B911"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1927 по 1935 год начальниками завода были М. Моисеев, Ш. Зайденберг, П. Козловский.</w:t>
      </w:r>
    </w:p>
    <w:p w14:paraId="5FAF6883"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Приход в Германии к власти фашистов, непрерывно нарастающая угроза войны требовали быстрого развития оборонных отраслей. Основной задачей для коллектива завода в то время было, не снижая объемов текущего производства, создать условия устойчивой и экономичной работы в мобилизационный период, повысить производительность труда. Поэтому вплоть до начала Великой Отечественной войны шла реконструкция отдельных цехов, интенсификация процессов.</w:t>
      </w:r>
    </w:p>
    <w:p w14:paraId="6749514A"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Увеличиваются выпуск и освоение новых видов боеприпасов, производство которых к началу войны завод удвоил. В результате мероприятий по реконструкции длительность технологических циклов сократилась в 4 раза. Благодаря внедрению рекуперационной техники снизились расходы на производство.</w:t>
      </w:r>
    </w:p>
    <w:p w14:paraId="02C06CB6"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1936 году начато производство изделий из целлулоида.</w:t>
      </w:r>
    </w:p>
    <w:p w14:paraId="2B173A04"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Численность промышленно-производственного персонала доведена до 8000 человек. Выработка на одного рабочего возросла вдвое. Пример в работе показывают Яковцев, Подледников, Гурова. Они довели выполнение норм выработки до 700 процентов.</w:t>
      </w:r>
    </w:p>
    <w:p w14:paraId="35197244"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Больших успехов добивается коллектив завода. Задание правительства выполнено по всем показателям. </w:t>
      </w:r>
    </w:p>
    <w:p w14:paraId="2C4157C5"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Указом Президиума Верховного Совета СССР награждены: </w:t>
      </w:r>
    </w:p>
    <w:p w14:paraId="61D0FBD4"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орденом Ленина — Фекла Сергеевна Сергеева, </w:t>
      </w:r>
    </w:p>
    <w:p w14:paraId="2959D6FF"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орденами Трудового Красно­го Знамени — А. Абакумов, Г. Балашов, </w:t>
      </w:r>
    </w:p>
    <w:p w14:paraId="7699CC73"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орденом Красной Звезды — Е. Лукьянов. </w:t>
      </w:r>
    </w:p>
    <w:p w14:paraId="0545537D"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Многие заводчане награждены медалями.</w:t>
      </w:r>
    </w:p>
    <w:p w14:paraId="4FA091B0"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Всерьез начинается подготовка собственных кадров. Перед самой войной 20 июня 1941 года на базе завода открывается техникум. Открыто ремесленное училище.</w:t>
      </w:r>
    </w:p>
    <w:p w14:paraId="5E01FE61"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Улучшились экономические показатели работы завода. Перестает расти себестоимость продукции, с 1936 по 1940 год получена прибыль более 5 миллионов рублей.</w:t>
      </w:r>
    </w:p>
    <w:p w14:paraId="0D88A93B"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концу тридцатых годов площадь жилья поселка, который 16 апреля 1940 года становится городом Котовском, увеличивается в 10 раз. Население — более 16 тысяч человек.</w:t>
      </w:r>
    </w:p>
    <w:p w14:paraId="4ED0F5AE"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завода в то время — Н. Семенов и М. Дынкин (11831).</w:t>
      </w:r>
    </w:p>
    <w:p w14:paraId="416DE55C"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3004C966"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года заводу "Баррикады" был заказан ствол 152-мм пушки обр. 1910/1930 г. с крутой глубокой нарезкой. Ствол был предназначен для опытов с беспоясковыми (нарезными) снарядами (3861).</w:t>
      </w:r>
    </w:p>
    <w:p w14:paraId="42AF12C4"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516FB255"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г. заводу «Баррикады» был заказан ствол 152-мм пушки обр. 1910/1930 г. с крутой глубокой нарезкой. Ствол был предназначен для опытов с беспоясковыми (нарезными) снарядами.</w:t>
      </w:r>
    </w:p>
    <w:p w14:paraId="45194B82" w14:textId="77777777" w:rsidR="000E63D3" w:rsidRPr="00C33834" w:rsidRDefault="000E63D3" w:rsidP="00C33834">
      <w:pPr>
        <w:spacing w:after="0" w:line="240" w:lineRule="auto"/>
        <w:jc w:val="both"/>
        <w:rPr>
          <w:rFonts w:ascii="Times New Roman" w:hAnsi="Times New Roman"/>
          <w:bCs/>
          <w:color w:val="000000" w:themeColor="text1"/>
          <w:sz w:val="16"/>
          <w:szCs w:val="16"/>
        </w:rPr>
      </w:pPr>
      <w:bookmarkStart w:id="10" w:name="label108"/>
      <w:bookmarkEnd w:id="10"/>
      <w:r w:rsidRPr="00C33834">
        <w:rPr>
          <w:rFonts w:ascii="Times New Roman" w:hAnsi="Times New Roman"/>
          <w:bCs/>
          <w:color w:val="000000" w:themeColor="text1"/>
          <w:sz w:val="16"/>
          <w:szCs w:val="16"/>
        </w:rPr>
        <w:t>Данные опытного ствола</w:t>
      </w:r>
    </w:p>
    <w:p w14:paraId="767291E4"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Калибр, мм …… 152,4</w:t>
      </w:r>
    </w:p>
    <w:p w14:paraId="2453C59A"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Крутизна нарезов, клб …… 12</w:t>
      </w:r>
    </w:p>
    <w:p w14:paraId="3CD05C78"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Число нарезов …… 36</w:t>
      </w:r>
    </w:p>
    <w:p w14:paraId="207831ED"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Глубина нареза, мм …… 2,8</w:t>
      </w:r>
    </w:p>
    <w:p w14:paraId="3E200BC4"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Ширина нареза, мм …… 9,0</w:t>
      </w:r>
    </w:p>
    <w:p w14:paraId="6E7040A8"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Ширина поля, мм …… 4,23</w:t>
      </w:r>
    </w:p>
    <w:p w14:paraId="636D60CB"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Такой ствол был изготовлен и испытан в сентябре 1934 г. Для стрельбы из этого ствола заводу № 73 было заказано 100 нарезных снарядов чертежа 5996 и 100 снарядов чертежа 5719.</w:t>
      </w:r>
    </w:p>
    <w:p w14:paraId="76273E02" w14:textId="77777777" w:rsidR="000E63D3" w:rsidRPr="00C33834" w:rsidRDefault="000E63D3" w:rsidP="00C33834">
      <w:pPr>
        <w:spacing w:after="0" w:line="240" w:lineRule="auto"/>
        <w:jc w:val="both"/>
        <w:rPr>
          <w:rFonts w:ascii="Times New Roman" w:hAnsi="Times New Roman"/>
          <w:bCs/>
          <w:color w:val="000000" w:themeColor="text1"/>
          <w:sz w:val="16"/>
          <w:szCs w:val="16"/>
        </w:rPr>
      </w:pPr>
      <w:bookmarkStart w:id="11" w:name="label109"/>
      <w:bookmarkStart w:id="12" w:name="label110"/>
      <w:bookmarkEnd w:id="11"/>
      <w:bookmarkEnd w:id="12"/>
      <w:r w:rsidRPr="00C33834">
        <w:rPr>
          <w:rFonts w:ascii="Times New Roman" w:hAnsi="Times New Roman"/>
          <w:bCs/>
          <w:color w:val="000000" w:themeColor="text1"/>
          <w:sz w:val="16"/>
          <w:szCs w:val="16"/>
        </w:rPr>
        <w:t>Данные нарезных снарядов</w:t>
      </w:r>
    </w:p>
    <w:p w14:paraId="5A82D301" w14:textId="77777777" w:rsidR="000E63D3" w:rsidRPr="00C33834" w:rsidRDefault="000E63D3" w:rsidP="00C33834">
      <w:pPr>
        <w:spacing w:after="0" w:line="240" w:lineRule="auto"/>
        <w:jc w:val="both"/>
        <w:rPr>
          <w:rFonts w:ascii="Times New Roman" w:hAnsi="Times New Roman"/>
          <w:bCs/>
          <w:color w:val="000000" w:themeColor="text1"/>
          <w:sz w:val="16"/>
          <w:szCs w:val="16"/>
        </w:rPr>
      </w:pPr>
      <w:bookmarkStart w:id="13" w:name="label111"/>
      <w:bookmarkEnd w:id="13"/>
      <w:r w:rsidRPr="00C33834">
        <w:rPr>
          <w:rFonts w:ascii="Times New Roman" w:hAnsi="Times New Roman"/>
          <w:bCs/>
          <w:color w:val="000000" w:themeColor="text1"/>
          <w:sz w:val="16"/>
          <w:szCs w:val="16"/>
          <w:vertAlign w:val="superscript"/>
        </w:rPr>
        <w:t>Снаряды …… Чертежа 5996 / Чертежа 5719</w:t>
      </w:r>
    </w:p>
    <w:p w14:paraId="67E5A600"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снаряда, кг …… 70,0 / 90,68</w:t>
      </w:r>
    </w:p>
    <w:p w14:paraId="701E49A1"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ВВ в снаряде, кг …… 10,65 / 8,765</w:t>
      </w:r>
    </w:p>
    <w:p w14:paraId="54FB9A73"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снаряда, клб …… 6,9 / 7,5</w:t>
      </w:r>
    </w:p>
    <w:p w14:paraId="53611C72"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Глубина нарезов на снаряде, мм …… 2,55 / 2,55</w:t>
      </w:r>
    </w:p>
    <w:p w14:paraId="4F8D261E"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Число нарезов на снаряде …… 36 / 36</w:t>
      </w:r>
    </w:p>
    <w:p w14:paraId="74FC2B88" w14:textId="77777777" w:rsidR="000E63D3" w:rsidRPr="00C33834" w:rsidRDefault="000E63D3" w:rsidP="00C33834">
      <w:pPr>
        <w:spacing w:after="0" w:line="240" w:lineRule="auto"/>
        <w:jc w:val="both"/>
        <w:rPr>
          <w:rFonts w:ascii="Times New Roman" w:hAnsi="Times New Roman"/>
          <w:color w:val="000000" w:themeColor="text1"/>
          <w:sz w:val="16"/>
          <w:szCs w:val="16"/>
        </w:rPr>
      </w:pPr>
      <w:bookmarkStart w:id="14" w:name="label112"/>
      <w:bookmarkEnd w:id="14"/>
    </w:p>
    <w:p w14:paraId="091EEA0F"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апреле </w:t>
      </w:r>
      <w:r w:rsidRPr="00C33834">
        <w:rPr>
          <w:rStyle w:val="0pt0"/>
          <w:rFonts w:eastAsia="Arial Narrow"/>
          <w:b w:val="0"/>
          <w:color w:val="000000" w:themeColor="text1"/>
          <w:spacing w:val="0"/>
          <w:sz w:val="16"/>
          <w:szCs w:val="16"/>
        </w:rPr>
        <w:t>1933 г. Ефимов,</w:t>
      </w:r>
      <w:r w:rsidRPr="00C33834">
        <w:rPr>
          <w:rFonts w:ascii="Times New Roman" w:hAnsi="Times New Roman"/>
          <w:color w:val="000000" w:themeColor="text1"/>
          <w:sz w:val="16"/>
          <w:szCs w:val="16"/>
        </w:rPr>
        <w:t xml:space="preserve"> став начальником АУ РККА, в сво</w:t>
      </w:r>
      <w:r w:rsidRPr="00C33834">
        <w:rPr>
          <w:rFonts w:ascii="Times New Roman" w:hAnsi="Times New Roman"/>
          <w:color w:val="000000" w:themeColor="text1"/>
          <w:sz w:val="16"/>
          <w:szCs w:val="16"/>
        </w:rPr>
        <w:softHyphen/>
      </w:r>
      <w:r w:rsidRPr="00C33834">
        <w:rPr>
          <w:rStyle w:val="0pt0"/>
          <w:rFonts w:eastAsia="Arial Narrow"/>
          <w:b w:val="0"/>
          <w:color w:val="000000" w:themeColor="text1"/>
          <w:spacing w:val="0"/>
          <w:sz w:val="16"/>
          <w:szCs w:val="16"/>
        </w:rPr>
        <w:t>ем докладе в</w:t>
      </w:r>
      <w:r w:rsidRPr="00C33834">
        <w:rPr>
          <w:rFonts w:ascii="Times New Roman" w:hAnsi="Times New Roman"/>
          <w:color w:val="000000" w:themeColor="text1"/>
          <w:sz w:val="16"/>
          <w:szCs w:val="16"/>
        </w:rPr>
        <w:t xml:space="preserve"> Реввоенсовет о</w:t>
      </w:r>
      <w:r w:rsidRPr="00C33834">
        <w:rPr>
          <w:rStyle w:val="aff5"/>
          <w:rFonts w:ascii="Times New Roman" w:eastAsia="Arial Narrow" w:hAnsi="Times New Roman" w:cs="Times New Roman"/>
          <w:i w:val="0"/>
          <w:color w:val="000000" w:themeColor="text1"/>
        </w:rPr>
        <w:t xml:space="preserve"> «пересмотре си</w:t>
      </w:r>
      <w:r w:rsidRPr="00C33834">
        <w:rPr>
          <w:rStyle w:val="aff5"/>
          <w:rFonts w:ascii="Times New Roman" w:eastAsia="Arial Narrow" w:hAnsi="Times New Roman" w:cs="Times New Roman"/>
          <w:i w:val="0"/>
          <w:color w:val="000000" w:themeColor="text1"/>
        </w:rPr>
        <w:softHyphen/>
      </w:r>
      <w:r w:rsidRPr="00C33834">
        <w:rPr>
          <w:rStyle w:val="affb"/>
          <w:rFonts w:ascii="Times New Roman" w:hAnsi="Times New Roman" w:cs="Times New Roman"/>
          <w:b w:val="0"/>
          <w:i w:val="0"/>
          <w:color w:val="000000" w:themeColor="text1"/>
          <w:sz w:val="16"/>
          <w:szCs w:val="16"/>
        </w:rPr>
        <w:t>стемы</w:t>
      </w:r>
      <w:r w:rsidRPr="00C33834">
        <w:rPr>
          <w:rStyle w:val="aff5"/>
          <w:rFonts w:ascii="Times New Roman" w:eastAsia="Arial Narrow" w:hAnsi="Times New Roman" w:cs="Times New Roman"/>
          <w:i w:val="0"/>
          <w:color w:val="000000" w:themeColor="text1"/>
        </w:rPr>
        <w:t xml:space="preserve"> артиллерийского вооружения» </w:t>
      </w:r>
      <w:r w:rsidRPr="00C33834">
        <w:rPr>
          <w:rStyle w:val="0pt0"/>
          <w:rFonts w:eastAsia="Arial Narrow"/>
          <w:b w:val="0"/>
          <w:color w:val="000000" w:themeColor="text1"/>
          <w:spacing w:val="0"/>
          <w:sz w:val="16"/>
          <w:szCs w:val="16"/>
        </w:rPr>
        <w:t>не</w:t>
      </w:r>
      <w:r w:rsidRPr="00C33834">
        <w:rPr>
          <w:rFonts w:ascii="Times New Roman" w:hAnsi="Times New Roman"/>
          <w:color w:val="000000" w:themeColor="text1"/>
          <w:sz w:val="16"/>
          <w:szCs w:val="16"/>
        </w:rPr>
        <w:t xml:space="preserve"> назвал пистолет или пистолет-пуле</w:t>
      </w:r>
      <w:r w:rsidRPr="00C33834">
        <w:rPr>
          <w:rStyle w:val="0pt0"/>
          <w:rFonts w:eastAsia="Arial Narrow"/>
          <w:b w:val="0"/>
          <w:color w:val="000000" w:themeColor="text1"/>
          <w:spacing w:val="0"/>
          <w:sz w:val="16"/>
          <w:szCs w:val="16"/>
        </w:rPr>
        <w:t>мет в</w:t>
      </w:r>
      <w:r w:rsidRPr="00C33834">
        <w:rPr>
          <w:rFonts w:ascii="Times New Roman" w:hAnsi="Times New Roman"/>
          <w:color w:val="000000" w:themeColor="text1"/>
          <w:sz w:val="16"/>
          <w:szCs w:val="16"/>
        </w:rPr>
        <w:t xml:space="preserve"> числе</w:t>
      </w:r>
      <w:r w:rsidRPr="00C33834">
        <w:rPr>
          <w:rStyle w:val="aff5"/>
          <w:rFonts w:ascii="Times New Roman" w:eastAsia="Arial Narrow" w:hAnsi="Times New Roman" w:cs="Times New Roman"/>
          <w:i w:val="0"/>
          <w:color w:val="000000" w:themeColor="text1"/>
        </w:rPr>
        <w:t xml:space="preserve"> «основных направлений системы», </w:t>
      </w:r>
      <w:r w:rsidRPr="00C33834">
        <w:rPr>
          <w:rStyle w:val="0pt0"/>
          <w:rFonts w:eastAsia="Arial Narrow"/>
          <w:b w:val="0"/>
          <w:color w:val="000000" w:themeColor="text1"/>
          <w:spacing w:val="0"/>
          <w:sz w:val="16"/>
          <w:szCs w:val="16"/>
        </w:rPr>
        <w:t>хотя</w:t>
      </w:r>
      <w:r w:rsidRPr="00C33834">
        <w:rPr>
          <w:rFonts w:ascii="Times New Roman" w:hAnsi="Times New Roman"/>
          <w:color w:val="000000" w:themeColor="text1"/>
          <w:sz w:val="16"/>
          <w:szCs w:val="16"/>
        </w:rPr>
        <w:t xml:space="preserve"> работы по ним велись (15766).</w:t>
      </w:r>
    </w:p>
    <w:p w14:paraId="0205F96D" w14:textId="77777777" w:rsidR="000E63D3" w:rsidRPr="00C33834" w:rsidRDefault="000E63D3" w:rsidP="00C33834">
      <w:pPr>
        <w:pStyle w:val="66"/>
        <w:shd w:val="clear" w:color="auto" w:fill="auto"/>
        <w:spacing w:before="0" w:line="240" w:lineRule="auto"/>
        <w:jc w:val="both"/>
        <w:rPr>
          <w:b w:val="0"/>
          <w:color w:val="000000" w:themeColor="text1"/>
          <w:sz w:val="16"/>
          <w:szCs w:val="16"/>
        </w:rPr>
      </w:pPr>
    </w:p>
    <w:p w14:paraId="3A3E7203"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г. прошла общезаводская конференция рабочих и ИТР по выполнению заданий партии. На ней сразу было отмечено, что «завод „Новое Сормово“ в отличие от ГАЗа и завода № 21 не в состоянии пока выполнять плановые задания». С большими трудностями работал кузнечно-прессовый цех, проект которого во время постройки изменялся семнадцать раз. Негативной оценке подверглась деятельность первого директора Лисянского. Отмечалась также полная нереальность плана, нехватка снабжения. Завод имел дефицит денег в четыре миллиона рублей, из-за чего постоянно задерживалась выплата зарплаты. [14 — ГУ ЦАНО, Ф. 2491, Оп. 1, Д. 111, Л. 13.] (11741).</w:t>
      </w:r>
    </w:p>
    <w:p w14:paraId="08A8A567"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DE0F66"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НИО ВАММ под руководством М.В.Данченко и Я.М.Степаницкого был разработан проект колесно-гусеничного танка КТ-26. Не пошло дальша макета (9527,92).</w:t>
      </w:r>
    </w:p>
    <w:p w14:paraId="0A0191A0"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793C6B3B"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по заданию ВОХИМУ РККА был разработан проект гусеничной боевой химической машины, предназначенной для заражения местности и дымопуска, а также дегазации. Забронированная цисцерна на гусеничном шасси. Броня - 13-14 мм. Не построили (9527,180).</w:t>
      </w:r>
    </w:p>
    <w:p w14:paraId="1DEABAE9"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51113584"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был создан опытный Т-18 с подвеской Т-26 (4243,17).</w:t>
      </w:r>
    </w:p>
    <w:p w14:paraId="1C3EDDA0"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32C90058" w14:textId="77777777" w:rsidR="00B4260E" w:rsidRPr="00C33834" w:rsidRDefault="00B4260E" w:rsidP="00C33834">
      <w:pPr>
        <w:pStyle w:val="ae"/>
        <w:shd w:val="clear" w:color="auto" w:fill="FFFFFF"/>
        <w:spacing w:before="0" w:after="0"/>
        <w:jc w:val="both"/>
        <w:rPr>
          <w:color w:val="000000" w:themeColor="text1"/>
          <w:sz w:val="16"/>
          <w:szCs w:val="16"/>
        </w:rPr>
      </w:pPr>
      <w:r w:rsidRPr="00C33834">
        <w:rPr>
          <w:iCs/>
          <w:color w:val="000000" w:themeColor="text1"/>
          <w:sz w:val="16"/>
          <w:szCs w:val="16"/>
        </w:rPr>
        <w:t>В апреле 1933 года началась разработка 20-тонного танка на основе танка-</w:t>
      </w:r>
      <w:hyperlink r:id="rId137" w:history="1">
        <w:r w:rsidRPr="00C33834">
          <w:rPr>
            <w:rStyle w:val="a5"/>
            <w:iCs/>
            <w:color w:val="000000" w:themeColor="text1"/>
            <w:sz w:val="16"/>
            <w:szCs w:val="16"/>
          </w:rPr>
          <w:t>амфибии</w:t>
        </w:r>
      </w:hyperlink>
      <w:r w:rsidRPr="00C33834">
        <w:rPr>
          <w:iCs/>
          <w:color w:val="000000" w:themeColor="text1"/>
          <w:sz w:val="16"/>
          <w:szCs w:val="16"/>
        </w:rPr>
        <w:t xml:space="preserve"> ПТ-1. Поначалу машина прорабатывалась в двух вариантах, а позже их число выросло до четырёх. Приоритетными оказались варианты Т-29-4 и Т-29-5, тогда как варианта Т-29-2 и вовсе не существовало. Подобных странностей в истории создания Т-29 более чем достаточно. </w:t>
      </w:r>
    </w:p>
    <w:p w14:paraId="641EF2CE" w14:textId="77777777" w:rsidR="00B4260E" w:rsidRPr="00C33834" w:rsidRDefault="00B4260E" w:rsidP="00C33834">
      <w:pPr>
        <w:pStyle w:val="ae"/>
        <w:shd w:val="clear" w:color="auto" w:fill="FFFFFF"/>
        <w:spacing w:before="0" w:after="0"/>
        <w:jc w:val="both"/>
        <w:rPr>
          <w:iCs/>
          <w:color w:val="000000" w:themeColor="text1"/>
          <w:sz w:val="16"/>
          <w:szCs w:val="16"/>
        </w:rPr>
      </w:pPr>
      <w:r w:rsidRPr="00C33834">
        <w:rPr>
          <w:iCs/>
          <w:color w:val="000000" w:themeColor="text1"/>
          <w:sz w:val="16"/>
          <w:szCs w:val="16"/>
        </w:rPr>
        <w:t>Первоначально Т-29 разрабатывался в Москве техотделом Экономического управления Объединённого государственного политического управления (ЭКУ ОГПУ) под руководством Н.А. Астрова. Участвовал в разработке и Н.В. Цейц, который, как и Астров, некоторое время пробыл в статусе конструктора-заключённого. Далее разработка переместилась в Ленинград, куда также отправился Цейц, позже ставший главным конструктором Т-29. При таком старте простой судьба у машины быть просто не могла.</w:t>
      </w:r>
    </w:p>
    <w:p w14:paraId="1255A394" w14:textId="77777777" w:rsidR="00B4260E" w:rsidRPr="00C33834" w:rsidRDefault="00B4260E" w:rsidP="00C33834">
      <w:pPr>
        <w:pStyle w:val="ae"/>
        <w:shd w:val="clear" w:color="auto" w:fill="FFFFFF"/>
        <w:spacing w:before="0" w:after="0"/>
        <w:jc w:val="both"/>
        <w:rPr>
          <w:color w:val="000000" w:themeColor="text1"/>
          <w:sz w:val="16"/>
          <w:szCs w:val="16"/>
        </w:rPr>
      </w:pPr>
      <w:r w:rsidRPr="00C33834">
        <w:rPr>
          <w:color w:val="000000" w:themeColor="text1"/>
          <w:sz w:val="16"/>
          <w:szCs w:val="16"/>
        </w:rPr>
        <w:t>Особенностью Т-29 было то, что его варианты с самого начала проектирования дублировались. Например, Т-29-1 и Т-29-3 практически ничем не отличались друг от друга, кроме брони и боевой массы. Согласно проекту, Т-29-1 имел толщину лобовых листов 15 мм, а бортов — 13 мм, боевая масса оценивалась в 14 790 кг. У Т-29-3 толщина лобовой брони составляла 20 мм, бортов — до 15 мм, а боевая масса выросла до 15 415 кг. Как и танк-истребитель ИТ-3, конструкция которого во многом стала отправной точкой при разработке Т-29, эти два варианта имели только по одной башне. Также в лобовом листе корпуса предусматривалось размещение курсового пулемёта ДТ.</w:t>
      </w:r>
    </w:p>
    <w:p w14:paraId="7A7116F7" w14:textId="77777777" w:rsidR="00B4260E" w:rsidRPr="00C33834" w:rsidRDefault="00B4260E" w:rsidP="00C33834">
      <w:pPr>
        <w:pStyle w:val="ae"/>
        <w:shd w:val="clear" w:color="auto" w:fill="FFFFFF"/>
        <w:spacing w:before="0" w:after="0"/>
        <w:jc w:val="both"/>
        <w:rPr>
          <w:color w:val="000000" w:themeColor="text1"/>
          <w:sz w:val="16"/>
          <w:szCs w:val="16"/>
        </w:rPr>
      </w:pPr>
      <w:r w:rsidRPr="00C33834">
        <w:rPr>
          <w:color w:val="000000" w:themeColor="text1"/>
          <w:sz w:val="16"/>
          <w:szCs w:val="16"/>
        </w:rPr>
        <w:t>А вот варианты Т-29-4 и Т-29-5 были трёхбашенными. Т-29-4 имел ту же толщину брони, что и Т-29-3, его боевая масса увеличилась до 17185 килограмм. Максимальная скорость Т-29-1, Т-29-3 и Т-29-4 на гусеницах должна была составлять 60 км/ч, а на колёсном ходу 80 км/ч. Самым тяжёлым вариантом должен был стать Т-29-5. Толщина лобового листа его корпуса и башни составляла 30 мм, что теоретически позволяло «держать» снаряды малокалиберной артиллерии. Толщина бортов увеличивалась до 20 мм, а боевая масса — до 20 145 кг. Максимальная скорость этого танка на гусеничном ходу должна была составить 50 км/ч, а на колёсном увеличивалась до 70 км/ч.</w:t>
      </w:r>
    </w:p>
    <w:p w14:paraId="5F8AF664" w14:textId="77777777" w:rsidR="00B4260E" w:rsidRPr="00C33834" w:rsidRDefault="00B4260E" w:rsidP="00C33834">
      <w:pPr>
        <w:pStyle w:val="ae"/>
        <w:shd w:val="clear" w:color="auto" w:fill="FFFFFF"/>
        <w:spacing w:before="0" w:after="0"/>
        <w:jc w:val="both"/>
        <w:rPr>
          <w:color w:val="000000" w:themeColor="text1"/>
          <w:sz w:val="16"/>
          <w:szCs w:val="16"/>
        </w:rPr>
      </w:pPr>
      <w:r w:rsidRPr="00C33834">
        <w:rPr>
          <w:color w:val="000000" w:themeColor="text1"/>
          <w:sz w:val="16"/>
          <w:szCs w:val="16"/>
        </w:rPr>
        <w:t>Одной из причин появления проекта Т-29 стало желание Управления по механизации и моторизации Рабоче-крестьянской Красной армии (УММ РККА) подстраховаться. Ситуация со средними танками у Красной армии долгое время было непростой. Первенцами здесь были Т-12 и последовавший за ним серийный Т-24, которые разработали в Главном конструкторском бюро Орудийно-арсенального треста (ГКБ ОАТ) под руководством С.П. Шукалова. Эти машины получились не самыми удачными, вместо них на Харьковском паровозостроительном заводе (ХПЗ) освоили производство лёгких колёсно-гусеничных танков БТ-2.</w:t>
      </w:r>
    </w:p>
    <w:p w14:paraId="711B537C" w14:textId="77777777" w:rsidR="00B4260E" w:rsidRPr="00C33834" w:rsidRDefault="00B4260E" w:rsidP="00C33834">
      <w:pPr>
        <w:pStyle w:val="ae"/>
        <w:shd w:val="clear" w:color="auto" w:fill="FFFFFF"/>
        <w:spacing w:before="0" w:after="0"/>
        <w:jc w:val="both"/>
        <w:rPr>
          <w:color w:val="000000" w:themeColor="text1"/>
          <w:sz w:val="16"/>
          <w:szCs w:val="16"/>
        </w:rPr>
      </w:pPr>
      <w:r w:rsidRPr="00C33834">
        <w:rPr>
          <w:color w:val="000000" w:themeColor="text1"/>
          <w:sz w:val="16"/>
          <w:szCs w:val="16"/>
        </w:rPr>
        <w:t>Опыт привлечения зарубежных специалистов тоже оказался неудачным. Разработанный под руководством Эдварда Гроте средний (иногда именуется тяжёлым) танк ТГ, он же «танк Г», оказался передовым по конструкции, но слишком «сырым».</w:t>
      </w:r>
    </w:p>
    <w:p w14:paraId="405EB13C" w14:textId="77777777" w:rsidR="00B4260E" w:rsidRPr="00C33834" w:rsidRDefault="00B4260E" w:rsidP="00C33834">
      <w:pPr>
        <w:pStyle w:val="ae"/>
        <w:shd w:val="clear" w:color="auto" w:fill="FFFFFF"/>
        <w:spacing w:before="0" w:after="0"/>
        <w:jc w:val="both"/>
        <w:rPr>
          <w:color w:val="000000" w:themeColor="text1"/>
          <w:sz w:val="16"/>
          <w:szCs w:val="16"/>
        </w:rPr>
      </w:pPr>
      <w:r w:rsidRPr="00C33834">
        <w:rPr>
          <w:color w:val="000000" w:themeColor="text1"/>
          <w:sz w:val="16"/>
          <w:szCs w:val="16"/>
        </w:rPr>
        <w:t>Наконец с 1931 года начались работы по среднему танку Т-28. Руководил работами С.А. Гинзбург, имевший к тому моменту достаточно богатый опыт работы на танкостроительном поприще. Кроме того, у Семёна Александровича имелся опыт поездки за рубеж в составе закупочной комиссии.</w:t>
      </w:r>
    </w:p>
    <w:p w14:paraId="0BC227F0" w14:textId="77777777" w:rsidR="00B4260E" w:rsidRPr="00C33834" w:rsidRDefault="00B4260E" w:rsidP="00C33834">
      <w:pPr>
        <w:pStyle w:val="ae"/>
        <w:shd w:val="clear" w:color="auto" w:fill="FFFFFF"/>
        <w:spacing w:before="0" w:after="0"/>
        <w:jc w:val="both"/>
        <w:rPr>
          <w:color w:val="000000" w:themeColor="text1"/>
          <w:sz w:val="16"/>
          <w:szCs w:val="16"/>
        </w:rPr>
      </w:pPr>
      <w:r w:rsidRPr="00C33834">
        <w:rPr>
          <w:color w:val="000000" w:themeColor="text1"/>
          <w:sz w:val="16"/>
          <w:szCs w:val="16"/>
        </w:rPr>
        <w:t xml:space="preserve">В отличие от Шукалова, который выступал резко против заимствования зарубежных конструкций, Гинзбург внимательно изучал иностранные танки. Это касалось как машин, увиденных за рубежом, так и немецких танков, </w:t>
      </w:r>
      <w:hyperlink r:id="rId138" w:history="1">
        <w:r w:rsidRPr="00C33834">
          <w:rPr>
            <w:rStyle w:val="a5"/>
            <w:color w:val="000000" w:themeColor="text1"/>
            <w:sz w:val="16"/>
            <w:szCs w:val="16"/>
            <w:u w:val="none"/>
          </w:rPr>
          <w:t>которые испытывались</w:t>
        </w:r>
      </w:hyperlink>
      <w:r w:rsidRPr="00C33834">
        <w:rPr>
          <w:color w:val="000000" w:themeColor="text1"/>
          <w:sz w:val="16"/>
          <w:szCs w:val="16"/>
        </w:rPr>
        <w:t xml:space="preserve"> на курсах ТЕКО под Казанью. Эту точку зрения разделял и Н.В. Барыков, с февраля 1932 года возглавивший ОКМО (Опытный конструкторско-машиностроительный отдел) на заводе «Большевик». Барыков, к слову, имел отношение и к проекту ТГ.</w:t>
      </w:r>
    </w:p>
    <w:p w14:paraId="3282CD33" w14:textId="77777777" w:rsidR="00B4260E" w:rsidRPr="00C33834" w:rsidRDefault="00B4260E" w:rsidP="00C33834">
      <w:pPr>
        <w:pStyle w:val="ae"/>
        <w:shd w:val="clear" w:color="auto" w:fill="FFFFFF"/>
        <w:spacing w:before="0" w:after="0"/>
        <w:jc w:val="both"/>
        <w:rPr>
          <w:color w:val="000000" w:themeColor="text1"/>
          <w:sz w:val="16"/>
          <w:szCs w:val="16"/>
        </w:rPr>
      </w:pPr>
      <w:r w:rsidRPr="00C33834">
        <w:rPr>
          <w:color w:val="000000" w:themeColor="text1"/>
          <w:sz w:val="16"/>
          <w:szCs w:val="16"/>
        </w:rPr>
        <w:t>В 1932 году Гинзбург переехал из Москвы в Ленинград, где стал работать под началом Барыкова. Тандем талантливых инженеров-конструкторов сыграл важнейшую роль в советском предвоенном танкостроении.</w:t>
      </w:r>
    </w:p>
    <w:p w14:paraId="5F06DB0B" w14:textId="77777777" w:rsidR="00B4260E" w:rsidRPr="00C33834" w:rsidRDefault="00B4260E" w:rsidP="00C33834">
      <w:pPr>
        <w:pStyle w:val="ae"/>
        <w:shd w:val="clear" w:color="auto" w:fill="FFFFFF"/>
        <w:spacing w:before="0" w:after="0"/>
        <w:jc w:val="both"/>
        <w:rPr>
          <w:color w:val="000000" w:themeColor="text1"/>
          <w:sz w:val="16"/>
          <w:szCs w:val="16"/>
        </w:rPr>
      </w:pPr>
      <w:r w:rsidRPr="00C33834">
        <w:rPr>
          <w:color w:val="000000" w:themeColor="text1"/>
          <w:sz w:val="16"/>
          <w:szCs w:val="16"/>
        </w:rPr>
        <w:t xml:space="preserve">Безусловно, на облик Т-28 оказала влияние информация об английском </w:t>
      </w:r>
      <w:hyperlink r:id="rId139" w:history="1">
        <w:r w:rsidRPr="00C33834">
          <w:rPr>
            <w:rStyle w:val="a5"/>
            <w:color w:val="000000" w:themeColor="text1"/>
            <w:sz w:val="16"/>
            <w:szCs w:val="16"/>
            <w:u w:val="none"/>
          </w:rPr>
          <w:t>Medium Tank Mk.III</w:t>
        </w:r>
      </w:hyperlink>
      <w:r w:rsidRPr="00C33834">
        <w:rPr>
          <w:color w:val="000000" w:themeColor="text1"/>
          <w:sz w:val="16"/>
          <w:szCs w:val="16"/>
        </w:rPr>
        <w:t>. Больше того, боевая масса в 16-17 тонн прямо указывает на этот источник вдохновения. Но не следует забывать о том, насколько плотным в те годы было советско-германское сотрудничество. Подвеска Т-28 почти без изменений перекочевала на этот танк с Großtraktor Krupp. При этом гусеничные ленты и ряд других элементов разрабатывались по образцу Т-26, поскольку аналогичные элементы на немецкой машине показали себя плохо. Определённое влияние на ходовую часть Т-28 оказал и Т-24, к созданию которого Гинзбург имел прямое отношение.</w:t>
      </w:r>
    </w:p>
    <w:p w14:paraId="250E13B5" w14:textId="77777777" w:rsidR="00B4260E" w:rsidRPr="00C33834" w:rsidRDefault="00B4260E" w:rsidP="00C33834">
      <w:pPr>
        <w:pStyle w:val="ae"/>
        <w:shd w:val="clear" w:color="auto" w:fill="FFFFFF"/>
        <w:spacing w:before="0" w:after="0"/>
        <w:jc w:val="both"/>
        <w:rPr>
          <w:color w:val="000000" w:themeColor="text1"/>
          <w:sz w:val="16"/>
          <w:szCs w:val="16"/>
        </w:rPr>
      </w:pPr>
      <w:r w:rsidRPr="00C33834">
        <w:rPr>
          <w:color w:val="000000" w:themeColor="text1"/>
          <w:sz w:val="16"/>
          <w:szCs w:val="16"/>
        </w:rPr>
        <w:t>В процессе разработки боевая масса Т-28 постепенно росла, а подвеску Großtraktor Krupp можно назвать удачной довольно условно. Поэтому и появилась идея разработки ещё одного среднего танка. Кроме того, на тот момент для танков считалась перспективной схема колёсно-гусеничного движителя.</w:t>
      </w:r>
    </w:p>
    <w:p w14:paraId="2816D102" w14:textId="77777777" w:rsidR="00B4260E" w:rsidRPr="00C33834" w:rsidRDefault="00B4260E" w:rsidP="00C33834">
      <w:pPr>
        <w:pStyle w:val="ae"/>
        <w:shd w:val="clear" w:color="auto" w:fill="FFFFFF"/>
        <w:spacing w:before="0" w:after="0"/>
        <w:jc w:val="both"/>
        <w:rPr>
          <w:color w:val="000000" w:themeColor="text1"/>
          <w:sz w:val="16"/>
          <w:szCs w:val="16"/>
        </w:rPr>
      </w:pPr>
      <w:r w:rsidRPr="00C33834">
        <w:rPr>
          <w:color w:val="000000" w:themeColor="text1"/>
          <w:sz w:val="16"/>
          <w:szCs w:val="16"/>
        </w:rPr>
        <w:t>В конце 1933 года работами по Т-29 руководил Н.А. Астров. Между тем, у Авто-танкового бюро (АТБ) ЭКУ ОГПУ, находившегося в Москве, не имелось достаточных мощностей ни для постройки Т-29, ни для ПТ-1А. С ноября 1933 года к работе по этой теме начинает привлекаться ОКМО. 19 ноября 1933 года опытный завод получил задачу изготовить для вышеперечисленных танков коробки передач, бортовые передачи и другие элементы трансмиссии. Многие детали изготавливались на заводе «Красный Путиловец», позже ставший Кировским заводом. Между ОКМО и АТБ ЭКУ ОГПУ началась плотная переписка</w:t>
      </w:r>
      <w:r w:rsidRPr="00C33834">
        <w:rPr>
          <w:iCs/>
          <w:color w:val="000000" w:themeColor="text1"/>
          <w:sz w:val="16"/>
          <w:szCs w:val="16"/>
        </w:rPr>
        <w:t xml:space="preserve"> (17708).</w:t>
      </w:r>
    </w:p>
    <w:p w14:paraId="0E5D13CB" w14:textId="77777777" w:rsidR="00B4260E" w:rsidRPr="00C33834" w:rsidRDefault="00B4260E" w:rsidP="00C33834">
      <w:pPr>
        <w:spacing w:after="0" w:line="240" w:lineRule="auto"/>
        <w:jc w:val="both"/>
        <w:rPr>
          <w:rFonts w:ascii="Times New Roman" w:eastAsia="Times New Roman" w:hAnsi="Times New Roman"/>
          <w:color w:val="000000" w:themeColor="text1"/>
          <w:sz w:val="16"/>
          <w:szCs w:val="16"/>
          <w:lang w:eastAsia="ru-RU"/>
        </w:rPr>
      </w:pPr>
    </w:p>
    <w:p w14:paraId="23CD12F6"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в Москве под руководством Н.Н.Козырева был разработан плавающий танк Т-37 с учетом конструкции Т-37 ОКМО и Т-41 (9527,44).</w:t>
      </w:r>
    </w:p>
    <w:p w14:paraId="0D5D3466"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4BAFD60A"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УНС РККА были разработаны ТТТ на создание телемеханического оборудования ждя плавающего малого танка Т-37, предназначенного для применения с качестве телетанка форсирования и разведки водных преград (ТФВП). Согласно заданию Т-37 с телеоборудованием д.б.:</w:t>
      </w:r>
    </w:p>
    <w:p w14:paraId="33B3252F"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варианте танка-брандера, управляемого с самолета, осуществлять подрыв мостов и судов на рейде,</w:t>
      </w:r>
    </w:p>
    <w:p w14:paraId="7AA656F5"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варианте кинжального танка, управляемого из Т-26 с ПАУТ или наземного НП - подрыв тяжелых и сверхтяжелых танков противника,</w:t>
      </w:r>
    </w:p>
    <w:p w14:paraId="5A6301DE"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варианте ТФВП, управляемого с ПУАТ на Т-26, стоящем в укрытии, или с выносного пульта на НП - разведку наличия противотанковых фугасов или речных противотанковых мин, проеладки проходов в легких проволочных заграждениях, дымопуск, векдение пулеметного огня во время переправы и после выхода на берег (9527,199).</w:t>
      </w:r>
    </w:p>
    <w:p w14:paraId="234B8E12"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24961C03"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года завершили сборку Т-35-2. Параллельно со сборкой Т-35-2 в ОКМО велась разработка чертежей серийного танка Т-35А. Причем Т-35-2 рассматривался лишь как переходная модель, идентичная серийному образцу лишь в части трансмиссии (3862).</w:t>
      </w:r>
    </w:p>
    <w:p w14:paraId="2DBD5FE7"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5514FF54"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г. завод «Красный Путиловец» сдал первые 12 машин Т-28, приняв</w:t>
      </w:r>
      <w:r w:rsidRPr="00C33834">
        <w:rPr>
          <w:rFonts w:ascii="Times New Roman" w:hAnsi="Times New Roman"/>
          <w:color w:val="000000" w:themeColor="text1"/>
          <w:sz w:val="16"/>
          <w:szCs w:val="16"/>
        </w:rPr>
        <w:softHyphen/>
        <w:t>ших участие в парадах гг. Москвы и Ленинграда. Правда, указанные танки были приняты условно, так как требовали многочисленных доработок в узлах и механизмах, не имели оптических прицелов, устройств внутренней и внешней связи, части электрооборудования. Окончательно эти танки, вместе с еще двумя изготов</w:t>
      </w:r>
      <w:r w:rsidRPr="00C33834">
        <w:rPr>
          <w:rFonts w:ascii="Times New Roman" w:hAnsi="Times New Roman"/>
          <w:color w:val="000000" w:themeColor="text1"/>
          <w:sz w:val="16"/>
          <w:szCs w:val="16"/>
        </w:rPr>
        <w:softHyphen/>
        <w:t>ленными сначала, были приняты Заказчиком только 30 сентября 1933 г., а к концу года при плане 90 танков была сдана 41 машина из 44-изготовленных. Правда, цех МХ-2 уже перестраивался. Для его оснаще</w:t>
      </w:r>
      <w:r w:rsidRPr="00C33834">
        <w:rPr>
          <w:rFonts w:ascii="Times New Roman" w:hAnsi="Times New Roman"/>
          <w:color w:val="000000" w:themeColor="text1"/>
          <w:sz w:val="16"/>
          <w:szCs w:val="16"/>
        </w:rPr>
        <w:softHyphen/>
        <w:t>ния в США и Великобритании были закуплены более трех десятков станков и приспособлений для выпуска тракто</w:t>
      </w:r>
      <w:r w:rsidRPr="00C33834">
        <w:rPr>
          <w:rFonts w:ascii="Times New Roman" w:hAnsi="Times New Roman"/>
          <w:color w:val="000000" w:themeColor="text1"/>
          <w:sz w:val="16"/>
          <w:szCs w:val="16"/>
        </w:rPr>
        <w:softHyphen/>
        <w:t>ров. На заводе были созданы восемь специальных стапелей для сборки больших танков (10733,241).</w:t>
      </w:r>
    </w:p>
    <w:p w14:paraId="21940E43"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A70CE7" w14:textId="77777777" w:rsidR="00B90A61" w:rsidRPr="00C33834" w:rsidRDefault="00B90A6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апреле 1933 года СТЗ дал рекордный выпуск машин, сняв с конвейеров 4 055 тракторов, т.е. по 165 машин в день. Всего же Сталинградский тракторный завод дал стране в 1933 году 40 тысяч тракторов. План выпуска запасных частей был выполнен на 101%, а моторов для комбайнов выпущено сверх плана 1400 штук. Производительность труда увеличилась по сравнению с 1932 годом на 24,8%, число ударников выросло с 6 000 в 1932 г. до 7 500 в 1933 году. Секретарь крайкома партии В.В. Птуха подчеркнул: «Секрет успеха заключается в том, что руководство тракторного завода сумело поднять массы на овладение новой техникой и добилось решающих успехов. Победами тракторного гордится вся страна» (21519).</w:t>
      </w:r>
    </w:p>
    <w:p w14:paraId="27A6EA89" w14:textId="77777777" w:rsidR="00B90A61" w:rsidRPr="00C33834" w:rsidRDefault="00B90A61" w:rsidP="00C33834">
      <w:pPr>
        <w:spacing w:after="0" w:line="240" w:lineRule="auto"/>
        <w:jc w:val="both"/>
        <w:rPr>
          <w:rFonts w:ascii="Times New Roman" w:hAnsi="Times New Roman"/>
          <w:color w:val="0070C0"/>
          <w:sz w:val="16"/>
          <w:szCs w:val="16"/>
        </w:rPr>
      </w:pPr>
    </w:p>
    <w:p w14:paraId="47F3E486"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г. на Путиловском заводе (Санкт-Петербургский чугунолитейный казенный завод, Металлургический и машиностроительный завод АО «Путиловские заводы», «Красный путиловец» НКТП, Ленинградский Кировский завод (ЛКЗ) НКТП, НКМ, НКТМ, НКСМ, НКТП, Кировский завод МТМ, МОП, Дважды ордена Ленина, ордена Октябрьской революции, ордена Красного Знамени, ордена Трудового Красного знамени, ордена Дружбы Народов Ленинградское ПО «Кировский завод» МОП, АООТ, ОАО «Кировский завод» /г. Санкт-Петербург,  г. Ленинград;  г. Челябинск/ /198097  г. Ленинград,  г. Санкт-Петербург пр. Стачек, д. 47 тел. 183-80-01/) выпущены первые 12 танков Т-35. В 1933 г. куплено около 30 станков, в цехе создано 8 стапелей для сборки танков, в 1934 г. перестройка цеха МХ-2 завершена. В конце 1933 г. для сопровождения выпуска танка создано СКБ-2.</w:t>
      </w:r>
    </w:p>
    <w:p w14:paraId="7292CDC1"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 войной на заводе прекращен выпуск тракторов, тракторные цеха переоборудованы под производство авиационных дизелей (11982).</w:t>
      </w:r>
    </w:p>
    <w:p w14:paraId="04EC6698"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7C2883E5" w14:textId="77777777" w:rsidR="000E63D3" w:rsidRPr="00C33834" w:rsidRDefault="000E63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г. завершили сборку Т-35—2 и 1 мая он прошел во главе парада по площади Урицкого (Дворцовая площадь) в Ленинграде, а Т-35—1 по Красной площади в Москве (15117).</w:t>
      </w:r>
    </w:p>
    <w:p w14:paraId="3958EE9D" w14:textId="77777777" w:rsidR="000E63D3" w:rsidRPr="00C33834" w:rsidRDefault="000E63D3" w:rsidP="00C33834">
      <w:pPr>
        <w:spacing w:after="0" w:line="240" w:lineRule="auto"/>
        <w:jc w:val="both"/>
        <w:rPr>
          <w:rFonts w:ascii="Times New Roman" w:hAnsi="Times New Roman"/>
          <w:color w:val="000000" w:themeColor="text1"/>
          <w:sz w:val="16"/>
          <w:szCs w:val="16"/>
        </w:rPr>
      </w:pPr>
    </w:p>
    <w:p w14:paraId="23C6D1C8" w14:textId="77777777" w:rsidR="004876B8" w:rsidRPr="00C33834" w:rsidRDefault="004876B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w:t>
      </w:r>
      <w:hyperlink r:id="rId140" w:history="1">
        <w:r w:rsidRPr="00C33834">
          <w:rPr>
            <w:rStyle w:val="a5"/>
            <w:rFonts w:ascii="Times New Roman" w:hAnsi="Times New Roman"/>
            <w:color w:val="000000" w:themeColor="text1"/>
            <w:sz w:val="16"/>
            <w:szCs w:val="16"/>
            <w:u w:val="none"/>
          </w:rPr>
          <w:t> 1933 года </w:t>
        </w:r>
      </w:hyperlink>
      <w:hyperlink r:id="rId141" w:history="1">
        <w:r w:rsidRPr="00C33834">
          <w:rPr>
            <w:rStyle w:val="a5"/>
            <w:rFonts w:ascii="Times New Roman" w:hAnsi="Times New Roman"/>
            <w:color w:val="000000" w:themeColor="text1"/>
            <w:sz w:val="16"/>
            <w:szCs w:val="16"/>
            <w:u w:val="none"/>
          </w:rPr>
          <w:t>«Союзверфь»</w:t>
        </w:r>
      </w:hyperlink>
      <w:r w:rsidRPr="00C33834">
        <w:rPr>
          <w:rFonts w:ascii="Times New Roman" w:hAnsi="Times New Roman"/>
          <w:color w:val="000000" w:themeColor="text1"/>
          <w:sz w:val="16"/>
          <w:szCs w:val="16"/>
        </w:rPr>
        <w:t> и </w:t>
      </w:r>
      <w:hyperlink r:id="rId142" w:history="1">
        <w:r w:rsidRPr="00C33834">
          <w:rPr>
            <w:rStyle w:val="a5"/>
            <w:rFonts w:ascii="Times New Roman" w:hAnsi="Times New Roman"/>
            <w:color w:val="000000" w:themeColor="text1"/>
            <w:sz w:val="16"/>
            <w:szCs w:val="16"/>
            <w:u w:val="none"/>
          </w:rPr>
          <w:t>«Дешимаг»</w:t>
        </w:r>
      </w:hyperlink>
      <w:r w:rsidRPr="00C33834">
        <w:rPr>
          <w:rFonts w:ascii="Times New Roman" w:hAnsi="Times New Roman"/>
          <w:color w:val="000000" w:themeColor="text1"/>
          <w:sz w:val="16"/>
          <w:szCs w:val="16"/>
        </w:rPr>
        <w:t> («I v S» примерно тогда же была расформирована и вошла в состав «Дешимаг») заключили договор на разработку проекта. Договор вступил в сил</w:t>
      </w:r>
      <w:hyperlink r:id="rId143" w:history="1">
        <w:r w:rsidRPr="00C33834">
          <w:rPr>
            <w:rStyle w:val="a5"/>
            <w:rFonts w:ascii="Times New Roman" w:hAnsi="Times New Roman"/>
            <w:color w:val="000000" w:themeColor="text1"/>
            <w:sz w:val="16"/>
            <w:szCs w:val="16"/>
            <w:u w:val="none"/>
          </w:rPr>
          <w:t>у 12 августа </w:t>
        </w:r>
      </w:hyperlink>
      <w:r w:rsidRPr="00C33834">
        <w:rPr>
          <w:rFonts w:ascii="Times New Roman" w:hAnsi="Times New Roman"/>
          <w:color w:val="000000" w:themeColor="text1"/>
          <w:sz w:val="16"/>
          <w:szCs w:val="16"/>
        </w:rPr>
        <w:t>1933 года, после завершения серии испытаний, показавших реальность гарантий, предоставляемых немецкой стороной (18262).</w:t>
      </w:r>
    </w:p>
    <w:p w14:paraId="1D6AA9D8" w14:textId="77777777" w:rsidR="004876B8" w:rsidRPr="00C33834" w:rsidRDefault="004876B8" w:rsidP="00C33834">
      <w:pPr>
        <w:spacing w:after="0" w:line="240" w:lineRule="auto"/>
        <w:jc w:val="both"/>
        <w:rPr>
          <w:rFonts w:ascii="Times New Roman" w:hAnsi="Times New Roman"/>
          <w:color w:val="000000" w:themeColor="text1"/>
          <w:sz w:val="16"/>
          <w:szCs w:val="16"/>
        </w:rPr>
      </w:pPr>
    </w:p>
    <w:p w14:paraId="06F9FE42" w14:textId="77777777" w:rsidR="00B90A61" w:rsidRPr="00C33834" w:rsidRDefault="00B90A6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апреле</w:t>
      </w:r>
      <w:hyperlink r:id="rId144" w:history="1">
        <w:r w:rsidRPr="00C33834">
          <w:rPr>
            <w:rStyle w:val="a5"/>
            <w:rFonts w:ascii="Times New Roman" w:hAnsi="Times New Roman"/>
            <w:color w:val="0070C0"/>
            <w:sz w:val="16"/>
            <w:szCs w:val="16"/>
          </w:rPr>
          <w:t> 1933 года </w:t>
        </w:r>
      </w:hyperlink>
      <w:hyperlink r:id="rId145" w:history="1">
        <w:r w:rsidRPr="00C33834">
          <w:rPr>
            <w:rStyle w:val="a5"/>
            <w:rFonts w:ascii="Times New Roman" w:hAnsi="Times New Roman"/>
            <w:color w:val="0070C0"/>
            <w:sz w:val="16"/>
            <w:szCs w:val="16"/>
          </w:rPr>
          <w:t>«Союзверфь»</w:t>
        </w:r>
      </w:hyperlink>
      <w:r w:rsidRPr="00C33834">
        <w:rPr>
          <w:rFonts w:ascii="Times New Roman" w:hAnsi="Times New Roman"/>
          <w:color w:val="0070C0"/>
          <w:sz w:val="16"/>
          <w:szCs w:val="16"/>
        </w:rPr>
        <w:t> и </w:t>
      </w:r>
      <w:hyperlink r:id="rId146" w:history="1">
        <w:r w:rsidRPr="00C33834">
          <w:rPr>
            <w:rStyle w:val="a5"/>
            <w:rFonts w:ascii="Times New Roman" w:hAnsi="Times New Roman"/>
            <w:color w:val="0070C0"/>
            <w:sz w:val="16"/>
            <w:szCs w:val="16"/>
          </w:rPr>
          <w:t>«Дешимаг»</w:t>
        </w:r>
      </w:hyperlink>
      <w:r w:rsidRPr="00C33834">
        <w:rPr>
          <w:rFonts w:ascii="Times New Roman" w:hAnsi="Times New Roman"/>
          <w:color w:val="0070C0"/>
          <w:sz w:val="16"/>
          <w:szCs w:val="16"/>
        </w:rPr>
        <w:t> («I v S» примерно тогда же была расформирована и вошла в состав «Дешимаг») заключили договор на разработку проекта. Договор вступил в сил</w:t>
      </w:r>
      <w:hyperlink r:id="rId147" w:history="1">
        <w:r w:rsidRPr="00C33834">
          <w:rPr>
            <w:rStyle w:val="a5"/>
            <w:rFonts w:ascii="Times New Roman" w:hAnsi="Times New Roman"/>
            <w:color w:val="0070C0"/>
            <w:sz w:val="16"/>
            <w:szCs w:val="16"/>
          </w:rPr>
          <w:t>у 12 августа </w:t>
        </w:r>
      </w:hyperlink>
      <w:r w:rsidRPr="00C33834">
        <w:rPr>
          <w:rFonts w:ascii="Times New Roman" w:hAnsi="Times New Roman"/>
          <w:color w:val="0070C0"/>
          <w:sz w:val="16"/>
          <w:szCs w:val="16"/>
        </w:rPr>
        <w:t>1933 года, после завершения серии испытаний, показавших реальность гарантий, предоставляемых немецкой стороной.</w:t>
      </w:r>
    </w:p>
    <w:p w14:paraId="3F9BEB3D" w14:textId="77777777" w:rsidR="00B90A61" w:rsidRPr="00C33834" w:rsidRDefault="00B90A6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Договорные обязательства Советский Союз выполнял неукоснительно. Так, 28 ноября 1933 года вышло Постановление Комитета обороны (КО) Совета народных комиссаров (СНК) СССР «Об иностранной технической помощи по постройке подводной лодки типа ―Е-1‖». Данным постановлением указывалось НКТП С. Г. Орджоникидзе продолжить выполнение договора на техническую помощь по постройке подводной лодки типа «Е-1» с фирмой «Дешимаг», уплатив очередной денежный взнос по договору в размере 20 тысяч долларов США [Там же, д. 498, л. 202] (21528).</w:t>
      </w:r>
    </w:p>
    <w:p w14:paraId="5B9C6504" w14:textId="77777777" w:rsidR="00B90A61" w:rsidRPr="00C33834" w:rsidRDefault="00B90A61" w:rsidP="00C33834">
      <w:pPr>
        <w:spacing w:after="0" w:line="240" w:lineRule="auto"/>
        <w:jc w:val="both"/>
        <w:rPr>
          <w:rFonts w:ascii="Times New Roman" w:hAnsi="Times New Roman"/>
          <w:color w:val="0070C0"/>
          <w:sz w:val="16"/>
          <w:szCs w:val="16"/>
        </w:rPr>
      </w:pPr>
    </w:p>
    <w:p w14:paraId="20028230" w14:textId="77777777" w:rsidR="000E63D3" w:rsidRPr="00C33834" w:rsidRDefault="000E63D3" w:rsidP="00C33834">
      <w:pPr>
        <w:pStyle w:val="rtejustify"/>
        <w:spacing w:before="0" w:after="0"/>
        <w:rPr>
          <w:color w:val="000000" w:themeColor="text1"/>
          <w:sz w:val="16"/>
          <w:szCs w:val="16"/>
        </w:rPr>
      </w:pPr>
      <w:r w:rsidRPr="00C33834">
        <w:rPr>
          <w:color w:val="000000" w:themeColor="text1"/>
          <w:sz w:val="16"/>
          <w:szCs w:val="16"/>
        </w:rPr>
        <w:t>В апреле 1933 г. в системе Наркомата тяжелой промышленности СССРбыло создано</w:t>
      </w:r>
      <w:r w:rsidRPr="00C33834">
        <w:rPr>
          <w:rStyle w:val="af0"/>
          <w:bCs/>
          <w:i w:val="0"/>
          <w:color w:val="000000" w:themeColor="text1"/>
          <w:sz w:val="16"/>
          <w:szCs w:val="16"/>
        </w:rPr>
        <w:t xml:space="preserve"> Главное управление судостроительной промышленности (ГУСП)</w:t>
      </w:r>
      <w:r w:rsidRPr="00C33834">
        <w:rPr>
          <w:color w:val="000000" w:themeColor="text1"/>
          <w:sz w:val="16"/>
          <w:szCs w:val="16"/>
        </w:rPr>
        <w:t>. 21 декабря 1933 г. постановлением СНК СССР № 2734 ГУСП было разделено на два главка: Главное управление морской судостроительной промышленности (Главморпром) и Главное управление речного судостроения (Главречпром). Начальником Главморпрома стал Р. А. Муклевич, Главречпрома — Д. Е. Березин (15273).</w:t>
      </w:r>
    </w:p>
    <w:p w14:paraId="1B492031" w14:textId="77777777" w:rsidR="000E63D3" w:rsidRPr="00C33834" w:rsidRDefault="000E63D3" w:rsidP="00C33834">
      <w:pPr>
        <w:pStyle w:val="rtejustify"/>
        <w:spacing w:before="0" w:after="0"/>
        <w:rPr>
          <w:color w:val="000000" w:themeColor="text1"/>
          <w:sz w:val="16"/>
          <w:szCs w:val="16"/>
        </w:rPr>
      </w:pPr>
    </w:p>
    <w:p w14:paraId="5F64A67B"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СССР было заключено соглашение с фактическим хозяином фирмы N.V.Ingenieurkantoor voor Scheepsbouw (IvS) - немецкой фирмой Дешимаг о проектировании средней п/л на лицензионных началах. Заказчиком выступала фирма Судоверфь. Договор вступил в силу 12 августа 1933 (4145,29).</w:t>
      </w:r>
    </w:p>
    <w:p w14:paraId="33539CBE" w14:textId="7A2804FE"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6C546DC5" w14:textId="2ADCF2C9" w:rsidR="00B90A61" w:rsidRPr="00C33834" w:rsidRDefault="00B90A61" w:rsidP="00C33834">
      <w:pPr>
        <w:autoSpaceDE w:val="0"/>
        <w:autoSpaceDN w:val="0"/>
        <w:adjustRightInd w:val="0"/>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Армия:</w:t>
      </w:r>
    </w:p>
    <w:p w14:paraId="7DAD4DDD" w14:textId="77777777" w:rsidR="00B90A61" w:rsidRPr="00C33834" w:rsidRDefault="00B90A61" w:rsidP="00C33834">
      <w:pPr>
        <w:autoSpaceDE w:val="0"/>
        <w:autoSpaceDN w:val="0"/>
        <w:adjustRightInd w:val="0"/>
        <w:spacing w:after="0" w:line="240" w:lineRule="auto"/>
        <w:jc w:val="both"/>
        <w:rPr>
          <w:rFonts w:ascii="Times New Roman" w:hAnsi="Times New Roman"/>
          <w:i/>
          <w:iCs/>
          <w:color w:val="000000" w:themeColor="text1"/>
          <w:sz w:val="16"/>
          <w:szCs w:val="16"/>
        </w:rPr>
      </w:pPr>
    </w:p>
    <w:p w14:paraId="50C8924C" w14:textId="77777777" w:rsidR="00B90A61" w:rsidRPr="00C33834" w:rsidRDefault="00B90A6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апреле 1933 г. состоялось решение Советского правительства о переводе части кораблей из Балтийского моря на Север, которые послужили основой для создания Северной военной флотилии. В мае 1937 г. Северная военная флотилия была переименована в Северный флот. В сентябре 1936 г. из Ленинграда в Мурманск по железной дороге прибыло 7-е отдельное авиационное звено в составе 3 гидросамолетов МБР-2 (командир — старший лейтенант В. П. Степанов, комиссар — В. П. Соловьев). В дальнейшем с поступлением новой техники и летного состава авиазвено было преобразовано сначала в 29-ю, а затем в 45-ю ближнеразведывательную морскую авиаэскадрилью (19929).</w:t>
      </w:r>
    </w:p>
    <w:p w14:paraId="39A1402E" w14:textId="77777777" w:rsidR="00B90A61" w:rsidRPr="00C33834" w:rsidRDefault="00B90A61" w:rsidP="00C33834">
      <w:pPr>
        <w:spacing w:after="0" w:line="240" w:lineRule="auto"/>
        <w:jc w:val="both"/>
        <w:rPr>
          <w:rFonts w:ascii="Times New Roman" w:hAnsi="Times New Roman"/>
          <w:color w:val="0070C0"/>
          <w:sz w:val="16"/>
          <w:szCs w:val="16"/>
        </w:rPr>
      </w:pPr>
    </w:p>
    <w:p w14:paraId="29B0F99F" w14:textId="77777777" w:rsidR="002359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564FF04" w14:textId="77777777" w:rsidR="00235986" w:rsidRPr="00C33834" w:rsidRDefault="002359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E97DD0D"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г. на госиспытаниях Хейнкель Н-70 показал максимальную скорость у земли 377 км/ч. А ведь на машине стоял считавшийся устаревшим мотор BMW-VI. Авиационных экспертов не могло ввести в заблуждение утверждение немцев о том, что Не70 является почтово-пассажирской машиной. Во французской печати инженером Веллэем были опубликованы расчеты вариантов боевых самолетов на основе Не70 с 860-сильным французским мотором Испано-Сюи-за HS-12. Так, двухместный легкий разведчик и бомбардировщик мог иметь скорость 420-430 км/ч на высоте 4000 м, практический потолок 9000 м и максимальную дальность 1500 км. Разумно предположить, что не случайно аналогичные цифры были положены в основу советских «Ивановых». Оказали влияние на заложенные характеристики и расчеты КОСОС ЦАГИ, выполненные в 1935 г. (5360).</w:t>
      </w:r>
    </w:p>
    <w:p w14:paraId="7307EFB8"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1284684C"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в Германии создано министерство авиации во главе с Г.Герингом (78,63).</w:t>
      </w:r>
    </w:p>
    <w:p w14:paraId="7CA1E839"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6A56D0E2"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Ф.Тиссен по поручению А.Гитлера провел совещание руководителей авиапромышленности, на котором было решено резко увеличить производство боевых самолетом всех типов и в особенности бомбардировщиков (24,95).</w:t>
      </w:r>
    </w:p>
    <w:p w14:paraId="1F9869CF"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351FFFC5" w14:textId="77777777" w:rsidR="00F473A0" w:rsidRPr="00C33834" w:rsidRDefault="00F473A0" w:rsidP="00C33834">
      <w:pPr>
        <w:pStyle w:val="ae"/>
        <w:shd w:val="clear" w:color="auto" w:fill="FFFFFF"/>
        <w:spacing w:before="0" w:after="0"/>
        <w:jc w:val="both"/>
        <w:rPr>
          <w:color w:val="000000" w:themeColor="text1"/>
          <w:sz w:val="16"/>
          <w:szCs w:val="16"/>
        </w:rPr>
      </w:pPr>
      <w:r w:rsidRPr="00C33834">
        <w:rPr>
          <w:color w:val="000000" w:themeColor="text1"/>
          <w:sz w:val="16"/>
          <w:szCs w:val="16"/>
        </w:rPr>
        <w:t>В апреле 1933 года генерал Лутц определил сроки начала крупносерийного производства намацкого легкого танка – 1 апреля 1934 года. Позже было принято решение, что, помимо Krupp, в производстве будут задействованы и другие немецкие компании – Rheinmetall-Borsig, MAN, Henschel, Daimler-Benz и Grusonwerk (последняя являлась дочерней структурой Krupp). По вполне понятным причинам, наиболее активно при дележе бюджетного пирога в виде контрактов на производство вёл себя концерн Krupp, который 1 июля объявил о готовности заключить контракт на выпуск 150 танков первой серии. Тогда же впервые было использовано и обозначение, которое закрепилось за машиной – La.S. (Landwirtschaftliche Schlepper, то есть «сельскохозяйственный трактор»).</w:t>
      </w:r>
    </w:p>
    <w:p w14:paraId="27A3ECAE" w14:textId="77777777" w:rsidR="00F473A0" w:rsidRPr="00C33834" w:rsidRDefault="00F473A0" w:rsidP="00C33834">
      <w:pPr>
        <w:pStyle w:val="ae"/>
        <w:shd w:val="clear" w:color="auto" w:fill="FFFFFF"/>
        <w:spacing w:before="0" w:after="0"/>
        <w:jc w:val="both"/>
        <w:rPr>
          <w:color w:val="000000" w:themeColor="text1"/>
          <w:sz w:val="16"/>
          <w:szCs w:val="16"/>
        </w:rPr>
      </w:pPr>
      <w:r w:rsidRPr="00C33834">
        <w:rPr>
          <w:color w:val="000000" w:themeColor="text1"/>
          <w:sz w:val="16"/>
          <w:szCs w:val="16"/>
        </w:rPr>
        <w:t>Позже концерн Krupp расщедрился и снизил объём выпуска «своих» 1.Serie/La.S. до 135 машин, остальным участникам серийного производства с барского плеча предлагалось изготовить по 3 La.S. Поставки машин ожидались с декабря 1933 года, но реально первый La.S. был отправлен в Меппен только к 20 января 1934 года. 1.Serie/La.S. выпуска концерна Krupp имели серийные номера 8011–8145, Grusonwerk – 8401–8403, MAN – 8501–8503, Rheinmetall – 8601–8603, Henschel – 8701–8703 и Daimler-Benz – 8801–8803.</w:t>
      </w:r>
    </w:p>
    <w:p w14:paraId="56BB86F5" w14:textId="77777777" w:rsidR="00F473A0" w:rsidRPr="00C33834" w:rsidRDefault="00F473A0" w:rsidP="00C33834">
      <w:pPr>
        <w:pStyle w:val="ae"/>
        <w:shd w:val="clear" w:color="auto" w:fill="FFFFFF"/>
        <w:spacing w:before="0" w:after="0"/>
        <w:jc w:val="both"/>
        <w:rPr>
          <w:color w:val="000000" w:themeColor="text1"/>
          <w:sz w:val="16"/>
          <w:szCs w:val="16"/>
        </w:rPr>
      </w:pPr>
      <w:r w:rsidRPr="00C33834">
        <w:rPr>
          <w:color w:val="000000" w:themeColor="text1"/>
          <w:sz w:val="16"/>
          <w:szCs w:val="16"/>
        </w:rPr>
        <w:t>От установочной партии Kleinetrakror эти машины отличались довольно существенно. Их длина достигла 4 метров, масса составляла 4 тонны. Была переработана ходовая часть, на танк установили более мощный двигатель Krupp M 305 мощностью 60 лошадиных сил. С ним максимальная скорость машины составляла 37,5 км/ч.</w:t>
      </w:r>
    </w:p>
    <w:p w14:paraId="7335443C" w14:textId="77777777" w:rsidR="00F473A0" w:rsidRPr="00C33834" w:rsidRDefault="00F473A0" w:rsidP="00C33834">
      <w:pPr>
        <w:pStyle w:val="ae"/>
        <w:shd w:val="clear" w:color="auto" w:fill="FFFFFF"/>
        <w:spacing w:before="0" w:after="0"/>
        <w:jc w:val="both"/>
        <w:rPr>
          <w:color w:val="000000" w:themeColor="text1"/>
          <w:sz w:val="16"/>
          <w:szCs w:val="16"/>
        </w:rPr>
      </w:pPr>
      <w:r w:rsidRPr="00C33834">
        <w:rPr>
          <w:color w:val="000000" w:themeColor="text1"/>
          <w:sz w:val="16"/>
          <w:szCs w:val="16"/>
        </w:rPr>
        <w:t>Несмотря на сопутствующие проблемы, постройка партии 1.Serie/La.S. стала первым случаем, когда производство немецких танков оказалось не только массовым, но и распределённым среди целого ряда производителей.</w:t>
      </w:r>
    </w:p>
    <w:p w14:paraId="5D87ACD4" w14:textId="77777777" w:rsidR="00F473A0" w:rsidRPr="00C33834" w:rsidRDefault="00F473A0" w:rsidP="00C33834">
      <w:pPr>
        <w:pStyle w:val="ae"/>
        <w:shd w:val="clear" w:color="auto" w:fill="FFFFFF"/>
        <w:spacing w:before="0" w:after="0"/>
        <w:jc w:val="both"/>
        <w:rPr>
          <w:color w:val="000000" w:themeColor="text1"/>
          <w:sz w:val="16"/>
          <w:szCs w:val="16"/>
        </w:rPr>
      </w:pPr>
      <w:r w:rsidRPr="00C33834">
        <w:rPr>
          <w:color w:val="000000" w:themeColor="text1"/>
          <w:sz w:val="16"/>
          <w:szCs w:val="16"/>
        </w:rPr>
        <w:t xml:space="preserve">Если в случае с шасси танка концерн Krupp более-менее сохранял монополию, то с вооружением вышло иначе. Для начала, первоначальную версию с 20-мм автоматической пушкой с октября 1932 года заказчики стали потихоньку задвигать на второй план. Такой вариант вооружения пал жертвой настойчивого желания </w:t>
      </w:r>
      <w:r w:rsidRPr="00C33834">
        <w:rPr>
          <w:color w:val="000000" w:themeColor="text1"/>
          <w:sz w:val="16"/>
          <w:szCs w:val="16"/>
        </w:rPr>
        <w:lastRenderedPageBreak/>
        <w:t>военных запихнуть в La.S. третьего члена экипажа.</w:t>
      </w:r>
    </w:p>
    <w:p w14:paraId="38FE24BF" w14:textId="77777777" w:rsidR="00F473A0" w:rsidRPr="00C33834" w:rsidRDefault="00F473A0" w:rsidP="00C33834">
      <w:pPr>
        <w:pStyle w:val="ae"/>
        <w:shd w:val="clear" w:color="auto" w:fill="FFFFFF"/>
        <w:spacing w:before="0" w:after="0"/>
        <w:jc w:val="both"/>
        <w:rPr>
          <w:color w:val="000000" w:themeColor="text1"/>
          <w:sz w:val="16"/>
          <w:szCs w:val="16"/>
        </w:rPr>
      </w:pPr>
      <w:r w:rsidRPr="00C33834">
        <w:rPr>
          <w:color w:val="000000" w:themeColor="text1"/>
          <w:sz w:val="16"/>
          <w:szCs w:val="16"/>
        </w:rPr>
        <w:t>Что же касается варианта с одноместной башней и двумя пулемётами, то поначалу для концерна Krupp все складывалось неплохо. Уже 18 ноября 1932 года была продемонстрирована деревянная модель башни и подбашенной коробки, созданная конструкторами компании. Но в марте 1933 года к разработке подключилась фирма Daimler-Benz, и в конце концов, военные отдали предпочтение башне и подбашенной коробке именно этого производителя.</w:t>
      </w:r>
    </w:p>
    <w:p w14:paraId="08D4842A" w14:textId="77777777" w:rsidR="00F473A0" w:rsidRPr="00C33834" w:rsidRDefault="00F473A0" w:rsidP="00C33834">
      <w:pPr>
        <w:pStyle w:val="ae"/>
        <w:shd w:val="clear" w:color="auto" w:fill="FFFFFF"/>
        <w:spacing w:before="0" w:after="0"/>
        <w:jc w:val="both"/>
        <w:rPr>
          <w:color w:val="000000" w:themeColor="text1"/>
          <w:sz w:val="16"/>
          <w:szCs w:val="16"/>
        </w:rPr>
      </w:pPr>
      <w:r w:rsidRPr="00C33834">
        <w:rPr>
          <w:color w:val="000000" w:themeColor="text1"/>
          <w:sz w:val="16"/>
          <w:szCs w:val="16"/>
        </w:rPr>
        <w:t xml:space="preserve">Подобное решение выглядело вполне логично. Башня Krupp получилась существенно меньшей по размеру. Да и крупповская подбашенная коробка выглядела далеко не последним словом инженерной мысли. Борта её были выполнены под прямым углом, что уменьшало возможность рикошета пули, а откидная выемка-люк под голову механика-водителя выглядела довольно странно. Впрочем, это не помешало Krupp построить 20 комплектов башен и подбашенных коробок, </w:t>
      </w:r>
    </w:p>
    <w:p w14:paraId="5BDEEB64" w14:textId="77777777" w:rsidR="00F473A0" w:rsidRPr="00C33834" w:rsidRDefault="00F473A0" w:rsidP="00C33834">
      <w:pPr>
        <w:pStyle w:val="ae"/>
        <w:shd w:val="clear" w:color="auto" w:fill="FFFFFF"/>
        <w:spacing w:before="0" w:after="0"/>
        <w:jc w:val="both"/>
        <w:rPr>
          <w:color w:val="000000" w:themeColor="text1"/>
          <w:sz w:val="16"/>
          <w:szCs w:val="16"/>
        </w:rPr>
      </w:pPr>
      <w:r w:rsidRPr="00C33834">
        <w:rPr>
          <w:color w:val="000000" w:themeColor="text1"/>
          <w:sz w:val="16"/>
          <w:szCs w:val="16"/>
        </w:rPr>
        <w:t>Конструкция, созданная специалистами Daimler-Benz, разительно отличалась от того, что сделали инженеры Krupp. Вместо простых форм подбашенную коробку здесь выполнили в виде восьмиугольной конструкции с бортовыми листами, расположенными под наклоном. При этом в шести из восьми бортовых листов имелись смотровые приборы, что явно пошло на пользу обзорности. Сверху коробки располагалась достаточно просторная башня, также не обделённая смотровыми приборами. Ещё одним существенным отличием конструкции Daimler-Benz стала крыша моторного отделения. Её переделали, увеличив по высоте и расположив немного под наклоном. Тем самым был не только увеличен объём моторного отделения, но и улучшилась его защищённость от вражеского огня.</w:t>
      </w:r>
    </w:p>
    <w:p w14:paraId="11F934A5" w14:textId="77777777" w:rsidR="00F473A0" w:rsidRPr="00C33834" w:rsidRDefault="00F473A0" w:rsidP="00C33834">
      <w:pPr>
        <w:pStyle w:val="ae"/>
        <w:shd w:val="clear" w:color="auto" w:fill="FFFFFF"/>
        <w:spacing w:before="0" w:after="0"/>
        <w:jc w:val="both"/>
        <w:rPr>
          <w:color w:val="000000" w:themeColor="text1"/>
          <w:sz w:val="16"/>
          <w:szCs w:val="16"/>
        </w:rPr>
      </w:pPr>
      <w:r w:rsidRPr="00C33834">
        <w:rPr>
          <w:color w:val="000000" w:themeColor="text1"/>
          <w:sz w:val="16"/>
          <w:szCs w:val="16"/>
        </w:rPr>
        <w:t>Из-за различных метаморфоз, которые происходили с La.S., производство машин первой серии затянулось. Сказалось это и на планах по запуску в производство второй серии, которая уже с самого начала планировалась не просто как гусеничное шасси, а как вполне сформировавшийся лёгкий танк поддержки. Первоначальный заказ на 150 2.Serie/La.S. по мере продолжения разработки только увеличивался.</w:t>
      </w:r>
    </w:p>
    <w:p w14:paraId="20656533" w14:textId="77777777" w:rsidR="00A2543A" w:rsidRPr="00C33834" w:rsidRDefault="00F473A0" w:rsidP="00C33834">
      <w:pPr>
        <w:pStyle w:val="ae"/>
        <w:shd w:val="clear" w:color="auto" w:fill="FFFFFF"/>
        <w:spacing w:before="0" w:after="0"/>
        <w:jc w:val="both"/>
        <w:rPr>
          <w:color w:val="000000" w:themeColor="text1"/>
          <w:sz w:val="16"/>
          <w:szCs w:val="16"/>
        </w:rPr>
      </w:pPr>
      <w:r w:rsidRPr="00C33834">
        <w:rPr>
          <w:color w:val="000000" w:themeColor="text1"/>
          <w:sz w:val="16"/>
          <w:szCs w:val="16"/>
        </w:rPr>
        <w:t>Хотя здесь сыграл свою роль и приход нацистов к власти в Германии, были у этого роста объёмов заказа и другие причины. Немецкие военные обнаружили, что промышленность Германии, наконец, выдала им что-то похожее на современный танк. В январе 1934 года заказ вырос до 200 танков, а в середине июля до 300. Впрочем, уже 12 июля планы изменились в сторону ещё большего, радикального увеличения производства. Теперь заказчику требовалось, ни много ни мало, целая тысяча новых La.S.</w:t>
      </w:r>
    </w:p>
    <w:p w14:paraId="6CE82566" w14:textId="77777777" w:rsidR="00A2543A" w:rsidRPr="00C33834" w:rsidRDefault="00A2543A" w:rsidP="00C33834">
      <w:pPr>
        <w:pStyle w:val="ae"/>
        <w:shd w:val="clear" w:color="auto" w:fill="FFFFFF"/>
        <w:spacing w:before="0" w:after="0"/>
        <w:jc w:val="both"/>
        <w:rPr>
          <w:color w:val="000000" w:themeColor="text1"/>
          <w:sz w:val="16"/>
          <w:szCs w:val="16"/>
        </w:rPr>
      </w:pPr>
      <w:r w:rsidRPr="00C33834">
        <w:rPr>
          <w:color w:val="000000" w:themeColor="text1"/>
          <w:sz w:val="16"/>
          <w:szCs w:val="16"/>
        </w:rPr>
        <w:t>От идеи выпуска танков в Эссене производители отказались. Теперь Krupp переориентировал на танковое производство предприятие Grusonwerk в Магдебурге. Согласно финальному варианту заказа, Grusonwerk выпускал 205 танков с серийными номерами 9001–9205, 27 с номерами 9207–9233 и 81 с номерами 9235–9315. MAN получал контракт на выпуск 160 2.Serie/La.S. с серийными номерами 9501–9660. Rheinmetall достался контракт на 110 танков с номерами 9801–9910. Не остался в стороне и Henschel – он получил контракт на 150 2.Serie/La.S. с номерами 10001–10150. Наконец, Daimler-Benz выпускала 115 танков с серийными номерами 10301–10415. При этом самый жирный кусок всё равно оказывался в руках у Daimler-Benz, поскольку башни и подбашенные коробки для танков делали только там.</w:t>
      </w:r>
    </w:p>
    <w:p w14:paraId="20EFAC06" w14:textId="77777777" w:rsidR="00A2543A" w:rsidRPr="00C33834" w:rsidRDefault="00A2543A" w:rsidP="00C33834">
      <w:pPr>
        <w:pStyle w:val="ae"/>
        <w:shd w:val="clear" w:color="auto" w:fill="FFFFFF"/>
        <w:spacing w:before="0" w:after="0"/>
        <w:jc w:val="both"/>
        <w:rPr>
          <w:color w:val="000000" w:themeColor="text1"/>
          <w:sz w:val="16"/>
          <w:szCs w:val="16"/>
        </w:rPr>
      </w:pPr>
      <w:r w:rsidRPr="00C33834">
        <w:rPr>
          <w:color w:val="000000" w:themeColor="text1"/>
          <w:sz w:val="16"/>
          <w:szCs w:val="16"/>
        </w:rPr>
        <w:t>Конструкция 2.Serie/La.S. в целом повторяла финальную конфигурацию машин предыдущей серии. Одним из главных отличий стало появление усиленного переднего опорного катка, на который после установки башни с подбашенной коробкой стало приходиться больше нагрузки. После всех улучшений от исходной концепции Kleinetraktor почти ничего не осталось. Вместо 3-тонной машины с 3-местным экипажем и 20-мм автоматической пушкой получился 2-местный танк боевой массой 5,4 тонн с вооружением в виде двух пулемётов MG-13.</w:t>
      </w:r>
    </w:p>
    <w:p w14:paraId="25A7204C" w14:textId="77777777" w:rsidR="00F473A0" w:rsidRPr="00C33834" w:rsidRDefault="00A2543A" w:rsidP="00C33834">
      <w:pPr>
        <w:pStyle w:val="ae"/>
        <w:shd w:val="clear" w:color="auto" w:fill="FFFFFF"/>
        <w:spacing w:before="0" w:after="0"/>
        <w:jc w:val="both"/>
        <w:rPr>
          <w:color w:val="000000" w:themeColor="text1"/>
          <w:sz w:val="16"/>
          <w:szCs w:val="16"/>
        </w:rPr>
      </w:pPr>
      <w:r w:rsidRPr="00C33834">
        <w:rPr>
          <w:color w:val="000000" w:themeColor="text1"/>
          <w:sz w:val="16"/>
          <w:szCs w:val="16"/>
        </w:rPr>
        <w:t xml:space="preserve">Несмотря на это, какие-либо разговоры об «учебном» предназначении La.S. являются не более чем попыткой выдать желаемое за действительное. На самом деле немецкие военные получили вполне современный лёгкий танк поддержки пехоты, имевший надёжную защиту от пуль винтовочного калибра. Примерно в это же время англичане выпускали танки, которые имели похожее вооружение, которые что по броне, что по огневой мощи уступали немецкому танку. Все La.S. имели радиостанции, что в то время вообще было редкостью. Вряд ли учебные танки стали бы поголовно оснащать таким дорогим оборудованием </w:t>
      </w:r>
      <w:r w:rsidR="00F473A0" w:rsidRPr="00C33834">
        <w:rPr>
          <w:color w:val="000000" w:themeColor="text1"/>
          <w:sz w:val="16"/>
          <w:szCs w:val="16"/>
        </w:rPr>
        <w:t>(17463).</w:t>
      </w:r>
    </w:p>
    <w:p w14:paraId="178ECD57" w14:textId="77777777" w:rsidR="00F473A0" w:rsidRPr="00C33834" w:rsidRDefault="00F473A0" w:rsidP="00C33834">
      <w:pPr>
        <w:autoSpaceDE w:val="0"/>
        <w:autoSpaceDN w:val="0"/>
        <w:adjustRightInd w:val="0"/>
        <w:spacing w:after="0" w:line="240" w:lineRule="auto"/>
        <w:jc w:val="both"/>
        <w:rPr>
          <w:rFonts w:ascii="Times New Roman" w:hAnsi="Times New Roman"/>
          <w:color w:val="000000" w:themeColor="text1"/>
          <w:sz w:val="16"/>
          <w:szCs w:val="16"/>
        </w:rPr>
      </w:pPr>
    </w:p>
    <w:p w14:paraId="5C685241"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 1933 г. Германия подписала конкордат с папой Пием ХI. Германское правительство сделало ряд послаблений деятельности католических общественных и религиозных организаций в Германии, а Святейший престол обещал испрашивать предварительное согласие германских властей на назначение католических епископов и архиепископов в Германии (3871).</w:t>
      </w:r>
    </w:p>
    <w:p w14:paraId="292864AD"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0DAB0B41" w14:textId="77777777" w:rsidR="002359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5DB7E3F" w14:textId="77777777" w:rsidR="00235986" w:rsidRPr="00C33834" w:rsidRDefault="002359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0873B97"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апреле-мае 1933 ЦКБ-3 с мотором Райт «Циклон» Р-3 (в нашей документации он часто сокращенно обозначал</w:t>
      </w:r>
      <w:r w:rsidRPr="00C33834">
        <w:rPr>
          <w:rFonts w:ascii="Times New Roman" w:hAnsi="Times New Roman"/>
          <w:color w:val="000000" w:themeColor="text1"/>
          <w:sz w:val="16"/>
          <w:szCs w:val="16"/>
        </w:rPr>
        <w:softHyphen/>
        <w:t>ся как Р.Ц. Р-3 или Р.Ц. Ф-3) испытывался с колесным шасси. Результаты испытаний подтвердили их близость к расчетам и соответствие требованием ВВС. По макси</w:t>
      </w:r>
      <w:r w:rsidRPr="00C33834">
        <w:rPr>
          <w:rFonts w:ascii="Times New Roman" w:hAnsi="Times New Roman"/>
          <w:color w:val="000000" w:themeColor="text1"/>
          <w:sz w:val="16"/>
          <w:szCs w:val="16"/>
        </w:rPr>
        <w:softHyphen/>
        <w:t>мальной скорости 368 км/ч на высоте 3000 м и 350 км/ч на 5000 м истребитель-полутораплан И-15 ненамного усту</w:t>
      </w:r>
      <w:r w:rsidRPr="00C33834">
        <w:rPr>
          <w:rFonts w:ascii="Times New Roman" w:hAnsi="Times New Roman"/>
          <w:color w:val="000000" w:themeColor="text1"/>
          <w:sz w:val="16"/>
          <w:szCs w:val="16"/>
        </w:rPr>
        <w:softHyphen/>
        <w:t>пал моноплану И-14 П.О.Сухого (383 км/ч на 5000 м). В это же время проходил испытания И-15 с мотором Райт «Циклон» Р-2 (с меньшей высотностью). Он отли</w:t>
      </w:r>
      <w:r w:rsidRPr="00C33834">
        <w:rPr>
          <w:rFonts w:ascii="Times New Roman" w:hAnsi="Times New Roman"/>
          <w:color w:val="000000" w:themeColor="text1"/>
          <w:sz w:val="16"/>
          <w:szCs w:val="16"/>
        </w:rPr>
        <w:softHyphen/>
        <w:t>чался кольцом Тауненда несколько измененной формы. Колеса на шасси были закрыты обтекателями. В процес</w:t>
      </w:r>
      <w:r w:rsidRPr="00C33834">
        <w:rPr>
          <w:rFonts w:ascii="Times New Roman" w:hAnsi="Times New Roman"/>
          <w:color w:val="000000" w:themeColor="text1"/>
          <w:sz w:val="16"/>
          <w:szCs w:val="16"/>
        </w:rPr>
        <w:softHyphen/>
        <w:t>се испытаний на самолет поставили киль, увеличенный по площади на 17%, что улучшило путевую устойчи</w:t>
      </w:r>
      <w:r w:rsidRPr="00C33834">
        <w:rPr>
          <w:rFonts w:ascii="Times New Roman" w:hAnsi="Times New Roman"/>
          <w:color w:val="000000" w:themeColor="text1"/>
          <w:sz w:val="16"/>
          <w:szCs w:val="16"/>
        </w:rPr>
        <w:softHyphen/>
        <w:t>вость. Решили строить серийные самолеты именно с та</w:t>
      </w:r>
      <w:r w:rsidRPr="00C33834">
        <w:rPr>
          <w:rFonts w:ascii="Times New Roman" w:hAnsi="Times New Roman"/>
          <w:color w:val="000000" w:themeColor="text1"/>
          <w:sz w:val="16"/>
          <w:szCs w:val="16"/>
        </w:rPr>
        <w:softHyphen/>
        <w:t>ким килем (10667).</w:t>
      </w:r>
    </w:p>
    <w:p w14:paraId="5F05B757"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577A3E"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апреля по ноябрь 1933 г. катер АНТ-5 прошел заводские испытания в Севастополе (10675).</w:t>
      </w:r>
    </w:p>
    <w:p w14:paraId="2BF98892"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1EF9202F" w14:textId="77777777" w:rsidR="002359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6546811" w14:textId="77777777" w:rsidR="00235986" w:rsidRPr="00C33834" w:rsidRDefault="002359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F292877"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апреле-мае 1933 согласно Постановление КО, которое вышло 13 апреля 1933 г. Пермский завод в апреле-мае 1933 изготовил 6 опытных образцов 76-мм пушки обр, 1902/30 г (3861).</w:t>
      </w:r>
    </w:p>
    <w:p w14:paraId="69026AB1"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1CC4061C" w14:textId="77777777" w:rsidR="002359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72B12AD" w14:textId="77777777" w:rsidR="00235986" w:rsidRPr="00C33834" w:rsidRDefault="002359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A783AA9"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маю 1933 комиссия под руководством В.М.Петлякова, начавшая работать еще в 1932, составила перечень агрегатов и отдельных частей конструкции ТБ-3 (АНТ-6), за счет изъятия которых можно было бы снизить вес машины. Для подтверждения получили 2 серийных машины 22 завода - NN 22243 и 22250 с М-17. Облегчили на 722 кг каждую. По сравнению с серийным скорость возросла на 15 км/ч, а высота - на 600 м (346,28).</w:t>
      </w:r>
    </w:p>
    <w:p w14:paraId="316F27A2"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10503B36"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маю 1933 ГВФ не получил ни одного серийного АНТ-14, но заказал промышленности постройку 60 с М-34 с поставкой до июля 1935. Предполагали строить в Химках на заводе № 84 и хотели сдать два в 1934 (8863,7).</w:t>
      </w:r>
    </w:p>
    <w:p w14:paraId="70FC336C"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3EC6BA56" w14:textId="77777777" w:rsidR="00BF040B" w:rsidRPr="00C33834" w:rsidRDefault="00BF040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 маю 1933 г. оболочка стратостата объёмом 24500 м3 (диа</w:t>
      </w:r>
      <w:r w:rsidRPr="00C33834">
        <w:rPr>
          <w:rFonts w:ascii="Times New Roman" w:hAnsi="Times New Roman"/>
          <w:color w:val="0070C0"/>
          <w:sz w:val="16"/>
          <w:szCs w:val="16"/>
        </w:rPr>
        <w:softHyphen/>
        <w:t>метр на высоте выполнения 36 м) весом 950 кг была готова. Оболочку изготовили на заводе «Каучук» (г. Москва) по проекту началь</w:t>
      </w:r>
      <w:r w:rsidRPr="00C33834">
        <w:rPr>
          <w:rFonts w:ascii="Times New Roman" w:hAnsi="Times New Roman"/>
          <w:color w:val="0070C0"/>
          <w:sz w:val="16"/>
          <w:szCs w:val="16"/>
        </w:rPr>
        <w:softHyphen/>
        <w:t>ника его конструкторского отдела К.Д. Годунова. В качестве материала использовалась прорези</w:t>
      </w:r>
      <w:r w:rsidRPr="00C33834">
        <w:rPr>
          <w:rFonts w:ascii="Times New Roman" w:hAnsi="Times New Roman"/>
          <w:color w:val="0070C0"/>
          <w:sz w:val="16"/>
          <w:szCs w:val="16"/>
        </w:rPr>
        <w:softHyphen/>
        <w:t>ненная лёгкая шёлковая ткань производства Бо- городско-Глуховской мануфактуры. Для защиты оболочки от ультрафиолетовых лучей и умень</w:t>
      </w:r>
      <w:r w:rsidRPr="00C33834">
        <w:rPr>
          <w:rFonts w:ascii="Times New Roman" w:hAnsi="Times New Roman"/>
          <w:color w:val="0070C0"/>
          <w:sz w:val="16"/>
          <w:szCs w:val="16"/>
        </w:rPr>
        <w:softHyphen/>
        <w:t>шения нагрева газа внешнюю поверхность тка</w:t>
      </w:r>
      <w:r w:rsidRPr="00C33834">
        <w:rPr>
          <w:rFonts w:ascii="Times New Roman" w:hAnsi="Times New Roman"/>
          <w:color w:val="0070C0"/>
          <w:sz w:val="16"/>
          <w:szCs w:val="16"/>
        </w:rPr>
        <w:softHyphen/>
        <w:t>ни покрыли алюминиевой пудрой. Рецептуру и технологические процессы изготовления ткани разработали сотрудники НИИРП Е.Н. Кузина и Г.К. Левитина. Ткань успешно выдержала все</w:t>
      </w:r>
      <w:r w:rsidRPr="00C33834">
        <w:rPr>
          <w:rFonts w:ascii="Times New Roman" w:hAnsi="Times New Roman"/>
          <w:color w:val="0070C0"/>
          <w:sz w:val="16"/>
          <w:szCs w:val="16"/>
        </w:rPr>
        <w:softHyphen/>
        <w:t>сторонние испытания.</w:t>
      </w:r>
    </w:p>
    <w:p w14:paraId="68E740D8" w14:textId="77777777" w:rsidR="00BF040B" w:rsidRPr="00C33834" w:rsidRDefault="00BF040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Герметическая гондола должна была обеспе</w:t>
      </w:r>
      <w:r w:rsidRPr="00C33834">
        <w:rPr>
          <w:rFonts w:ascii="Times New Roman" w:hAnsi="Times New Roman"/>
          <w:color w:val="0070C0"/>
          <w:sz w:val="16"/>
          <w:szCs w:val="16"/>
        </w:rPr>
        <w:softHyphen/>
        <w:t>чить нормальные условия для длительного пре</w:t>
      </w:r>
      <w:r w:rsidRPr="00C33834">
        <w:rPr>
          <w:rFonts w:ascii="Times New Roman" w:hAnsi="Times New Roman"/>
          <w:color w:val="0070C0"/>
          <w:sz w:val="16"/>
          <w:szCs w:val="16"/>
        </w:rPr>
        <w:softHyphen/>
        <w:t>бывания людей в сильно разреженном воздухе при очень низкой температуре среды и интен</w:t>
      </w:r>
      <w:r w:rsidRPr="00C33834">
        <w:rPr>
          <w:rFonts w:ascii="Times New Roman" w:hAnsi="Times New Roman"/>
          <w:color w:val="0070C0"/>
          <w:sz w:val="16"/>
          <w:szCs w:val="16"/>
        </w:rPr>
        <w:softHyphen/>
        <w:t>сивном солнечном облучении. Её конструкцию разработал выпускник ВВИА им. Н.Е. Жуков</w:t>
      </w:r>
      <w:r w:rsidRPr="00C33834">
        <w:rPr>
          <w:rFonts w:ascii="Times New Roman" w:hAnsi="Times New Roman"/>
          <w:color w:val="0070C0"/>
          <w:sz w:val="16"/>
          <w:szCs w:val="16"/>
        </w:rPr>
        <w:softHyphen/>
        <w:t>ского, начальник бригады № 3 ЦКБ завода № 39 им. Менжинского В.А. Чижевский со своими по</w:t>
      </w:r>
      <w:r w:rsidRPr="00C33834">
        <w:rPr>
          <w:rFonts w:ascii="Times New Roman" w:hAnsi="Times New Roman"/>
          <w:color w:val="0070C0"/>
          <w:sz w:val="16"/>
          <w:szCs w:val="16"/>
        </w:rPr>
        <w:softHyphen/>
        <w:t>мощниками Н.Н. Каштановым, А.Я. Левиным, И.Лапицким, И.И. Цебриковым и В.Г. Фроло</w:t>
      </w:r>
      <w:r w:rsidRPr="00C33834">
        <w:rPr>
          <w:rFonts w:ascii="Times New Roman" w:hAnsi="Times New Roman"/>
          <w:color w:val="0070C0"/>
          <w:sz w:val="16"/>
          <w:szCs w:val="16"/>
        </w:rPr>
        <w:softHyphen/>
        <w:t>вым. Изготовили гондолу на московском авиаза</w:t>
      </w:r>
      <w:r w:rsidRPr="00C33834">
        <w:rPr>
          <w:rFonts w:ascii="Times New Roman" w:hAnsi="Times New Roman"/>
          <w:color w:val="0070C0"/>
          <w:sz w:val="16"/>
          <w:szCs w:val="16"/>
        </w:rPr>
        <w:softHyphen/>
        <w:t>воде № 39. Для ускорения работ начальник ЦКБ В.Ильюшин выделил в помощь Чижевскому комсомольско-молодёжную бригаду (В.Н. Семё</w:t>
      </w:r>
      <w:r w:rsidRPr="00C33834">
        <w:rPr>
          <w:rFonts w:ascii="Times New Roman" w:hAnsi="Times New Roman"/>
          <w:color w:val="0070C0"/>
          <w:sz w:val="16"/>
          <w:szCs w:val="16"/>
        </w:rPr>
        <w:softHyphen/>
        <w:t>нов, З.З. Жевагина и С.М. Егер).</w:t>
      </w:r>
    </w:p>
    <w:p w14:paraId="0AAF82E0" w14:textId="77777777" w:rsidR="00BF040B" w:rsidRPr="00C33834" w:rsidRDefault="00BF040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Шарообразная гондола диаметром 2,3 м была склёпана из выколоченных по форме шара ли</w:t>
      </w:r>
      <w:r w:rsidRPr="00C33834">
        <w:rPr>
          <w:rFonts w:ascii="Times New Roman" w:hAnsi="Times New Roman"/>
          <w:color w:val="0070C0"/>
          <w:sz w:val="16"/>
          <w:szCs w:val="16"/>
        </w:rPr>
        <w:softHyphen/>
        <w:t>стов дюралюминия толщиной 2 м. Каркас гондо</w:t>
      </w:r>
      <w:r w:rsidRPr="00C33834">
        <w:rPr>
          <w:rFonts w:ascii="Times New Roman" w:hAnsi="Times New Roman"/>
          <w:color w:val="0070C0"/>
          <w:sz w:val="16"/>
          <w:szCs w:val="16"/>
        </w:rPr>
        <w:softHyphen/>
        <w:t>лы состоял из вертикальных стоек, проходивших через обшивку и склепанных с ней фланцами. К нижним ушкам стоек (под гондолой) крепи</w:t>
      </w:r>
      <w:r w:rsidRPr="00C33834">
        <w:rPr>
          <w:rFonts w:ascii="Times New Roman" w:hAnsi="Times New Roman"/>
          <w:color w:val="0070C0"/>
          <w:sz w:val="16"/>
          <w:szCs w:val="16"/>
        </w:rPr>
        <w:softHyphen/>
        <w:t>лось стальное кольцо с узлами для посадочно</w:t>
      </w:r>
      <w:r w:rsidRPr="00C33834">
        <w:rPr>
          <w:rFonts w:ascii="Times New Roman" w:hAnsi="Times New Roman"/>
          <w:color w:val="0070C0"/>
          <w:sz w:val="16"/>
          <w:szCs w:val="16"/>
        </w:rPr>
        <w:softHyphen/>
        <w:t>го устройства и кольцо для подвески балласта, а к верхним ушкам — кольцо для крепления стро</w:t>
      </w:r>
      <w:r w:rsidRPr="00C33834">
        <w:rPr>
          <w:rFonts w:ascii="Times New Roman" w:hAnsi="Times New Roman"/>
          <w:color w:val="0070C0"/>
          <w:sz w:val="16"/>
          <w:szCs w:val="16"/>
        </w:rPr>
        <w:softHyphen/>
        <w:t>пов от оболочки. Внутри гондолы с каркасом со</w:t>
      </w:r>
      <w:r w:rsidRPr="00C33834">
        <w:rPr>
          <w:rFonts w:ascii="Times New Roman" w:hAnsi="Times New Roman"/>
          <w:color w:val="0070C0"/>
          <w:sz w:val="16"/>
          <w:szCs w:val="16"/>
        </w:rPr>
        <w:softHyphen/>
        <w:t>единялся пол для экипажа. Каркас, осуществляя связь между оболочкой и посадочным устрой</w:t>
      </w:r>
      <w:r w:rsidRPr="00C33834">
        <w:rPr>
          <w:rFonts w:ascii="Times New Roman" w:hAnsi="Times New Roman"/>
          <w:color w:val="0070C0"/>
          <w:sz w:val="16"/>
          <w:szCs w:val="16"/>
        </w:rPr>
        <w:softHyphen/>
        <w:t>ством, воспринимал местные нагрузки от массы балласта, приборов, экипажа. Обшивка гондолы испытывала только давление воздуха изнутри.</w:t>
      </w:r>
    </w:p>
    <w:p w14:paraId="0A3C8E24" w14:textId="77777777" w:rsidR="00BF040B" w:rsidRPr="00C33834" w:rsidRDefault="00BF040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гондоле было девять иллюминаторов диа</w:t>
      </w:r>
      <w:r w:rsidRPr="00C33834">
        <w:rPr>
          <w:rFonts w:ascii="Times New Roman" w:hAnsi="Times New Roman"/>
          <w:color w:val="0070C0"/>
          <w:sz w:val="16"/>
          <w:szCs w:val="16"/>
        </w:rPr>
        <w:softHyphen/>
        <w:t>метром 120 и 150 мм. Несмотря на значительный запас прочности стёкол, выдерживавших при толщине 10-15 мм давление 0,6-0,7 МПа, каждый иллюминатор имел аварийную заслонку.</w:t>
      </w:r>
    </w:p>
    <w:p w14:paraId="5025A87C" w14:textId="77777777" w:rsidR="00BF040B" w:rsidRPr="00C33834" w:rsidRDefault="00BF040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Два входных люка диаметром 750 мм обору</w:t>
      </w:r>
      <w:r w:rsidRPr="00C33834">
        <w:rPr>
          <w:rFonts w:ascii="Times New Roman" w:hAnsi="Times New Roman"/>
          <w:color w:val="0070C0"/>
          <w:sz w:val="16"/>
          <w:szCs w:val="16"/>
        </w:rPr>
        <w:softHyphen/>
        <w:t>довали запорными механизмами, закрывавшими и открывавшими их за 5-6 с. В центре крышки люка, отлитой из алюминиевого сплава, имел</w:t>
      </w:r>
      <w:r w:rsidRPr="00C33834">
        <w:rPr>
          <w:rFonts w:ascii="Times New Roman" w:hAnsi="Times New Roman"/>
          <w:color w:val="0070C0"/>
          <w:sz w:val="16"/>
          <w:szCs w:val="16"/>
        </w:rPr>
        <w:softHyphen/>
        <w:t>ся герметичный сальник с проходящим через него валиком с внутренней и наружной ручками управления. При повороте ручки зубчатый ме</w:t>
      </w:r>
      <w:r w:rsidRPr="00C33834">
        <w:rPr>
          <w:rFonts w:ascii="Times New Roman" w:hAnsi="Times New Roman"/>
          <w:color w:val="0070C0"/>
          <w:sz w:val="16"/>
          <w:szCs w:val="16"/>
        </w:rPr>
        <w:softHyphen/>
        <w:t>ханизм с двумя передаточными валиками по</w:t>
      </w:r>
      <w:r w:rsidRPr="00C33834">
        <w:rPr>
          <w:rFonts w:ascii="Times New Roman" w:hAnsi="Times New Roman"/>
          <w:color w:val="0070C0"/>
          <w:sz w:val="16"/>
          <w:szCs w:val="16"/>
        </w:rPr>
        <w:softHyphen/>
        <w:t>ворачивал кольцо у внешнего обвода крышки с шестью конусными бобышками, которые при закрывании входили под ролики на кольце об</w:t>
      </w:r>
      <w:r w:rsidRPr="00C33834">
        <w:rPr>
          <w:rFonts w:ascii="Times New Roman" w:hAnsi="Times New Roman"/>
          <w:color w:val="0070C0"/>
          <w:sz w:val="16"/>
          <w:szCs w:val="16"/>
        </w:rPr>
        <w:softHyphen/>
        <w:t>шивки, прижимая крышку к резиновому уплот</w:t>
      </w:r>
      <w:r w:rsidRPr="00C33834">
        <w:rPr>
          <w:rFonts w:ascii="Times New Roman" w:hAnsi="Times New Roman"/>
          <w:color w:val="0070C0"/>
          <w:sz w:val="16"/>
          <w:szCs w:val="16"/>
        </w:rPr>
        <w:softHyphen/>
        <w:t>нению. При обратном повороте ручки конуса выходили из-под роликов, крышка открывалась и на петлях откидывалась вниз.</w:t>
      </w:r>
    </w:p>
    <w:p w14:paraId="4FBD79BC" w14:textId="77777777" w:rsidR="00BF040B" w:rsidRPr="00C33834" w:rsidRDefault="00BF040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Вяземский промколхоз им. Кагановича, специализировавшийся на плетёной мебели, из</w:t>
      </w:r>
      <w:r w:rsidRPr="00C33834">
        <w:rPr>
          <w:rFonts w:ascii="Times New Roman" w:hAnsi="Times New Roman"/>
          <w:color w:val="0070C0"/>
          <w:sz w:val="16"/>
          <w:szCs w:val="16"/>
        </w:rPr>
        <w:softHyphen/>
        <w:t>готовил посадочное устройство в виде усечённой пирамиды из ивовых прутьев, на которую уста</w:t>
      </w:r>
      <w:r w:rsidRPr="00C33834">
        <w:rPr>
          <w:rFonts w:ascii="Times New Roman" w:hAnsi="Times New Roman"/>
          <w:color w:val="0070C0"/>
          <w:sz w:val="16"/>
          <w:szCs w:val="16"/>
        </w:rPr>
        <w:softHyphen/>
        <w:t>навливалась гондола. Это устройство служило амортизатором при посадке: при столкновении с землёй со скоростью 5-7 м/с пирамида лома</w:t>
      </w:r>
      <w:r w:rsidRPr="00C33834">
        <w:rPr>
          <w:rFonts w:ascii="Times New Roman" w:hAnsi="Times New Roman"/>
          <w:color w:val="0070C0"/>
          <w:sz w:val="16"/>
          <w:szCs w:val="16"/>
        </w:rPr>
        <w:softHyphen/>
        <w:t>лась, поглощая силу удара. При стоянке гондо</w:t>
      </w:r>
      <w:r w:rsidRPr="00C33834">
        <w:rPr>
          <w:rFonts w:ascii="Times New Roman" w:hAnsi="Times New Roman"/>
          <w:color w:val="0070C0"/>
          <w:sz w:val="16"/>
          <w:szCs w:val="16"/>
        </w:rPr>
        <w:softHyphen/>
        <w:t>лы на земле устройство служило подставкой, размеры которой позволяли поместить внутри неё мешки с балластом.</w:t>
      </w:r>
    </w:p>
    <w:p w14:paraId="32F3EF39" w14:textId="77777777" w:rsidR="00BF040B" w:rsidRPr="00C33834" w:rsidRDefault="00BF040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Балластом служила 1 т мелкой свинцовой дро</w:t>
      </w:r>
      <w:r w:rsidRPr="00C33834">
        <w:rPr>
          <w:rFonts w:ascii="Times New Roman" w:hAnsi="Times New Roman"/>
          <w:color w:val="0070C0"/>
          <w:sz w:val="16"/>
          <w:szCs w:val="16"/>
        </w:rPr>
        <w:softHyphen/>
        <w:t>би в 40 мешках, подвешенных к кольцу гондолы внутри посадочного устройства. Каждый мешок удерживался на кольце штырьком, при вытаски</w:t>
      </w:r>
      <w:r w:rsidRPr="00C33834">
        <w:rPr>
          <w:rFonts w:ascii="Times New Roman" w:hAnsi="Times New Roman"/>
          <w:color w:val="0070C0"/>
          <w:sz w:val="16"/>
          <w:szCs w:val="16"/>
        </w:rPr>
        <w:softHyphen/>
        <w:t>вании которого он освобождался, но не падал, а, будучи привязан снизу, опрокидывался, высы</w:t>
      </w:r>
      <w:r w:rsidRPr="00C33834">
        <w:rPr>
          <w:rFonts w:ascii="Times New Roman" w:hAnsi="Times New Roman"/>
          <w:color w:val="0070C0"/>
          <w:sz w:val="16"/>
          <w:szCs w:val="16"/>
        </w:rPr>
        <w:softHyphen/>
        <w:t>пая содержимое. Штырьки вытаскивались тросом, наматывавшимся на барабан, вал которого прохо</w:t>
      </w:r>
      <w:r w:rsidRPr="00C33834">
        <w:rPr>
          <w:rFonts w:ascii="Times New Roman" w:hAnsi="Times New Roman"/>
          <w:color w:val="0070C0"/>
          <w:sz w:val="16"/>
          <w:szCs w:val="16"/>
        </w:rPr>
        <w:softHyphen/>
        <w:t>дил внутрь гондолы через герметичный сальник и заканчивался рукояткой. Весь балласт можно было сбросить за 1-2 минуты.</w:t>
      </w:r>
    </w:p>
    <w:p w14:paraId="532D33F3" w14:textId="77777777" w:rsidR="00BF040B" w:rsidRPr="00C33834" w:rsidRDefault="00BF040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Газовый клапан, расположенный в верхней точке оболочки, управлялся аналогично (бара</w:t>
      </w:r>
      <w:r w:rsidRPr="00C33834">
        <w:rPr>
          <w:rFonts w:ascii="Times New Roman" w:hAnsi="Times New Roman"/>
          <w:color w:val="0070C0"/>
          <w:sz w:val="16"/>
          <w:szCs w:val="16"/>
        </w:rPr>
        <w:softHyphen/>
        <w:t>бан — вне гондолы, а штурвал — внутри). Ба</w:t>
      </w:r>
      <w:r w:rsidRPr="00C33834">
        <w:rPr>
          <w:rFonts w:ascii="Times New Roman" w:hAnsi="Times New Roman"/>
          <w:color w:val="0070C0"/>
          <w:sz w:val="16"/>
          <w:szCs w:val="16"/>
        </w:rPr>
        <w:softHyphen/>
        <w:t>рабан связывался с клапаном прочным шнуром, проходившим через аппендикс внутрь оболочки.</w:t>
      </w:r>
    </w:p>
    <w:p w14:paraId="082ECDBE" w14:textId="77777777" w:rsidR="00BF040B" w:rsidRPr="00C33834" w:rsidRDefault="00BF040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Жизнеобеспечение экипажа требовало со</w:t>
      </w:r>
      <w:r w:rsidRPr="00C33834">
        <w:rPr>
          <w:rFonts w:ascii="Times New Roman" w:hAnsi="Times New Roman"/>
          <w:color w:val="0070C0"/>
          <w:sz w:val="16"/>
          <w:szCs w:val="16"/>
        </w:rPr>
        <w:softHyphen/>
        <w:t>хранения в гондоле нормального атмосферно</w:t>
      </w:r>
      <w:r w:rsidRPr="00C33834">
        <w:rPr>
          <w:rFonts w:ascii="Times New Roman" w:hAnsi="Times New Roman"/>
          <w:color w:val="0070C0"/>
          <w:sz w:val="16"/>
          <w:szCs w:val="16"/>
        </w:rPr>
        <w:softHyphen/>
        <w:t>го давления, обеспечения кислородом, очистки воздуха от углекислоты и других токсичных ве</w:t>
      </w:r>
      <w:r w:rsidRPr="00C33834">
        <w:rPr>
          <w:rFonts w:ascii="Times New Roman" w:hAnsi="Times New Roman"/>
          <w:color w:val="0070C0"/>
          <w:sz w:val="16"/>
          <w:szCs w:val="16"/>
        </w:rPr>
        <w:softHyphen/>
        <w:t>ществ, поддержания нормальной температуры и влажности. Плотная клёпка и прокраска швов, резиновые уплотнения иллюминаторов и люков, сальники для выходящих наружу валов обеспе</w:t>
      </w:r>
      <w:r w:rsidRPr="00C33834">
        <w:rPr>
          <w:rFonts w:ascii="Times New Roman" w:hAnsi="Times New Roman"/>
          <w:color w:val="0070C0"/>
          <w:sz w:val="16"/>
          <w:szCs w:val="16"/>
        </w:rPr>
        <w:softHyphen/>
        <w:t>чили надёжную герметизацию гондолы.</w:t>
      </w:r>
    </w:p>
    <w:p w14:paraId="0697AB0C" w14:textId="77777777" w:rsidR="00BF040B" w:rsidRPr="00C33834" w:rsidRDefault="00BF040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Для теплоизоляции гондолу покрыли снару</w:t>
      </w:r>
      <w:r w:rsidRPr="00C33834">
        <w:rPr>
          <w:rFonts w:ascii="Times New Roman" w:hAnsi="Times New Roman"/>
          <w:color w:val="0070C0"/>
          <w:sz w:val="16"/>
          <w:szCs w:val="16"/>
        </w:rPr>
        <w:softHyphen/>
        <w:t>жи слоем оленьего войлока, а затем — тонким полотном, окрашенным в шаровый (серо-голу</w:t>
      </w:r>
      <w:r w:rsidRPr="00C33834">
        <w:rPr>
          <w:rFonts w:ascii="Times New Roman" w:hAnsi="Times New Roman"/>
          <w:color w:val="0070C0"/>
          <w:sz w:val="16"/>
          <w:szCs w:val="16"/>
        </w:rPr>
        <w:softHyphen/>
        <w:t>бой) цвет, обеспечивший её умеренный нагрев лучами солнца. Всё это позволило весь полёт поддерживать в гондоле температуру +22^30°С при наружной температуре -67°С. Запас кисло</w:t>
      </w:r>
      <w:r w:rsidRPr="00C33834">
        <w:rPr>
          <w:rFonts w:ascii="Times New Roman" w:hAnsi="Times New Roman"/>
          <w:color w:val="0070C0"/>
          <w:sz w:val="16"/>
          <w:szCs w:val="16"/>
        </w:rPr>
        <w:softHyphen/>
        <w:t>рода хранился в сжатом виде в баллонах и в жид</w:t>
      </w:r>
      <w:r w:rsidRPr="00C33834">
        <w:rPr>
          <w:rFonts w:ascii="Times New Roman" w:hAnsi="Times New Roman"/>
          <w:color w:val="0070C0"/>
          <w:sz w:val="16"/>
          <w:szCs w:val="16"/>
        </w:rPr>
        <w:softHyphen/>
        <w:t>ком — в сосудах Дьюара. Вентиляционная уста</w:t>
      </w:r>
      <w:r w:rsidRPr="00C33834">
        <w:rPr>
          <w:rFonts w:ascii="Times New Roman" w:hAnsi="Times New Roman"/>
          <w:color w:val="0070C0"/>
          <w:sz w:val="16"/>
          <w:szCs w:val="16"/>
        </w:rPr>
        <w:softHyphen/>
        <w:t>новка прогоняла воздух гондолы через химичес</w:t>
      </w:r>
      <w:r w:rsidRPr="00C33834">
        <w:rPr>
          <w:rFonts w:ascii="Times New Roman" w:hAnsi="Times New Roman"/>
          <w:color w:val="0070C0"/>
          <w:sz w:val="16"/>
          <w:szCs w:val="16"/>
        </w:rPr>
        <w:softHyphen/>
        <w:t>кие патроны, поглощавшие углекислоту, другие токсичные вещества и излишнюю влагу. Для экипажа предусматривались откидные сидения.</w:t>
      </w:r>
    </w:p>
    <w:p w14:paraId="0389A79B" w14:textId="77777777" w:rsidR="00BF040B" w:rsidRPr="00C33834" w:rsidRDefault="00BF040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гондоле находилась самолётная коротковол</w:t>
      </w:r>
      <w:r w:rsidRPr="00C33834">
        <w:rPr>
          <w:rFonts w:ascii="Times New Roman" w:hAnsi="Times New Roman"/>
          <w:color w:val="0070C0"/>
          <w:sz w:val="16"/>
          <w:szCs w:val="16"/>
        </w:rPr>
        <w:softHyphen/>
        <w:t>новая радиостанция, работавшая в телеграфном и телефонном режимах, а также научные и нави</w:t>
      </w:r>
      <w:r w:rsidRPr="00C33834">
        <w:rPr>
          <w:rFonts w:ascii="Times New Roman" w:hAnsi="Times New Roman"/>
          <w:color w:val="0070C0"/>
          <w:sz w:val="16"/>
          <w:szCs w:val="16"/>
        </w:rPr>
        <w:softHyphen/>
        <w:t>гационные приборы (20120).</w:t>
      </w:r>
    </w:p>
    <w:p w14:paraId="52EF9A48" w14:textId="77777777" w:rsidR="00BF040B" w:rsidRPr="00C33834" w:rsidRDefault="00BF040B" w:rsidP="00C33834">
      <w:pPr>
        <w:spacing w:after="0" w:line="240" w:lineRule="auto"/>
        <w:jc w:val="both"/>
        <w:rPr>
          <w:rFonts w:ascii="Times New Roman" w:hAnsi="Times New Roman"/>
          <w:color w:val="0070C0"/>
          <w:sz w:val="16"/>
          <w:szCs w:val="16"/>
        </w:rPr>
      </w:pPr>
    </w:p>
    <w:p w14:paraId="164DA7E7" w14:textId="77777777" w:rsidR="002359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C2F1186" w14:textId="77777777" w:rsidR="00235986" w:rsidRPr="00C33834" w:rsidRDefault="002359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4C01BE4"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маю 1913 Д-13 были сданы и по</w:t>
      </w:r>
      <w:r w:rsidRPr="00C33834">
        <w:rPr>
          <w:rFonts w:ascii="Times New Roman" w:hAnsi="Times New Roman"/>
          <w:color w:val="000000" w:themeColor="text1"/>
          <w:sz w:val="16"/>
          <w:szCs w:val="16"/>
        </w:rPr>
        <w:softHyphen/>
        <w:t>ступили в войска. Таким образом, всего изготовили 13 бро</w:t>
      </w:r>
      <w:r w:rsidRPr="00C33834">
        <w:rPr>
          <w:rFonts w:ascii="Times New Roman" w:hAnsi="Times New Roman"/>
          <w:color w:val="000000" w:themeColor="text1"/>
          <w:sz w:val="16"/>
          <w:szCs w:val="16"/>
        </w:rPr>
        <w:softHyphen/>
        <w:t>немашин конструкции Дыренкова: 12 Д-13 (считая 2 опыт</w:t>
      </w:r>
      <w:r w:rsidRPr="00C33834">
        <w:rPr>
          <w:rFonts w:ascii="Times New Roman" w:hAnsi="Times New Roman"/>
          <w:color w:val="000000" w:themeColor="text1"/>
          <w:sz w:val="16"/>
          <w:szCs w:val="16"/>
        </w:rPr>
        <w:softHyphen/>
        <w:t>ных образца) и 1 Д-9 (11284).</w:t>
      </w:r>
    </w:p>
    <w:p w14:paraId="08FAEE58"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C3EECF" w14:textId="77777777" w:rsidR="00BF040B" w:rsidRPr="00C33834" w:rsidRDefault="00BF040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К маю 1933 г. было подготовлено мобилизационное расписание, которое, как и мобплан 1932 г., страдало необеспеченностью людскими и материальными ресурсами. При наличии достаточного числа военнообязанных начальнику ГУ РККА Б. М. Фельдману приходилось констатировать "несовпадение ресурсов с мобпотребностью по дислокации и квалификации". Неразрешенной проблемой оставалась подготовка начальствующего состава, которого по расписанию на 1933 г. требовалось 383 500 человек, по MP-11 - 306 000 человек (без учета морских сил). К тому же некомплект младшего командного состава в некоторых округах доходил до 60%. В наихудшем положении сточки зрения кадрового обеспечения мобрасписания находились танковые части, уровень необеспеченности которых по младшему начсоставу составил 29%, а по рядовому - 51% (Доклад Начальника Главного Управления РККА Фельдмана Начальнику Штаба РККА Егорову "О проработке МР-33 г.", [ранее 13].05.1933 //Там же. Л. 164-165). Другим критически важным для войсковой мобилизации являлось состояние транспорта. В MP-15 пришлось заложить нетерпимо высокий уровень мобилизационного изъятия автотранспорта из народного хозяйства, однако и при этом мобпотребность РККА по грузовым автомобилям оказалась обеспеченной лишь на 61,5%, а по гусеничным тракторам - на 39% (причем их действительное местонахождение было удалено от требуемого по мобплану). В результате, отмечал Фельдман, "мощность подвоза отстает от степени технического оснащения армии и машинизации вооружения" (Доклад Начальника Главного Управления РККА Фельдмана Начальнику Штаба РККА Егорову "О проработке МР-33 г.", [ранее 13].05.1933 //Там же. Л. 168-173).</w:t>
      </w:r>
    </w:p>
    <w:p w14:paraId="6FAD6B37" w14:textId="77777777" w:rsidR="00BF040B" w:rsidRPr="00C33834" w:rsidRDefault="00BF040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Обеспечение мобилизационной потребности в основных системах вооружения по-прежнему оставляло желать лучшего. Мобзаявка на обеспечение варианта 1933 г. составила, в частности, 11500 самолетов, 40 000 танков всех типов, 28 615 артиллерийских орудий, а также 84 млн выстрелов и 200 000 т авиабомб (Доклад Начальника Штаба РККА Егорова Народному Комиссару по Военным и Морским Делам Ворошилову "О втором пятилетнем плане развития РККА", 30.03/2.04.1933 //Там же. Л. 57) (22725).</w:t>
      </w:r>
    </w:p>
    <w:p w14:paraId="6AF70C06" w14:textId="77777777" w:rsidR="00BF040B" w:rsidRPr="00C33834" w:rsidRDefault="00BF040B" w:rsidP="00C33834">
      <w:pPr>
        <w:shd w:val="clear" w:color="auto" w:fill="FFFFFF"/>
        <w:spacing w:after="0" w:line="240" w:lineRule="auto"/>
        <w:jc w:val="both"/>
        <w:rPr>
          <w:rFonts w:ascii="Times New Roman" w:eastAsia="Times New Roman" w:hAnsi="Times New Roman"/>
          <w:color w:val="0070C0"/>
          <w:sz w:val="16"/>
          <w:szCs w:val="16"/>
          <w:lang w:eastAsia="ru-RU"/>
        </w:rPr>
      </w:pPr>
    </w:p>
    <w:p w14:paraId="1D966AD5" w14:textId="77777777" w:rsidR="00323684" w:rsidRPr="00C33834" w:rsidRDefault="00323684" w:rsidP="00C3383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маю 1933 г. от услуг иностранных работников под тем или иным предлогом отказались Металлостройпроект, Союзстандартжилстрой, Востоксоюзстрой, Союзтранстехпром, и др. организации (Приказ по Наркомтяжпрому СССР о работе и условиях труда иностранных специалистов на предприятиях отрасли от 23 мая 1933 г. // Индустриализация Советского союза. Новые документы. Новые факты. Новые подходы. Часть 2. Институт Российской истории РАН. Москва, 1999. С. 246 — 250) (11596).</w:t>
      </w:r>
    </w:p>
    <w:p w14:paraId="2E8D1E15" w14:textId="77777777" w:rsidR="00323684" w:rsidRPr="00C33834" w:rsidRDefault="00323684" w:rsidP="00C3383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p>
    <w:p w14:paraId="76C7E803" w14:textId="77777777" w:rsidR="002359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E1CB9DE" w14:textId="77777777" w:rsidR="00235986" w:rsidRPr="00C33834" w:rsidRDefault="002359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F136060"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на парад в Москве в 1933 г. выпустили 169 Р-5 - очень внушительное зрелище. Эти машины собрали из шести бригад трех разных округов. Это был самый большой до того времени воздушный парад. При этом ряд авиачастей оставался недоукомплектованным. Особенно это касалось считавшихся "второсортными" отдельных авиаотрядов, придававшихся стрелковым и кавалерийским корпусам, а также корректировочных отрядов (12034).</w:t>
      </w:r>
    </w:p>
    <w:p w14:paraId="05651DEB"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13396816" w14:textId="77777777" w:rsidR="004876B8" w:rsidRPr="00C33834" w:rsidRDefault="004876B8"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1 мая 1933 г. И-4 впервые выпустили на первомайский парад в Москве; в строю над Красной площадью прошли девять самолетов 403-й бригады. В следующем году для этого выделили 33 машины - с запасом на неисправности (19100).</w:t>
      </w:r>
    </w:p>
    <w:p w14:paraId="1C5AD1CF" w14:textId="77777777" w:rsidR="004876B8" w:rsidRPr="00C33834" w:rsidRDefault="004876B8" w:rsidP="00C33834">
      <w:pPr>
        <w:pStyle w:val="a8"/>
        <w:jc w:val="both"/>
        <w:rPr>
          <w:rFonts w:ascii="Times New Roman" w:hAnsi="Times New Roman" w:cs="Times New Roman"/>
          <w:color w:val="000000" w:themeColor="text1"/>
        </w:rPr>
      </w:pPr>
    </w:p>
    <w:p w14:paraId="632FC66B"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во время радиопередачи с КП была включена Калуга и К.Э.Ц. обратился с приветственной речью к трудящимся. "Теперь, товарищи, я точно уверен, что и моя другая мечта - межпланетные путешествия - мною теоретически обоснованная, превратится в действительность" (505,100).</w:t>
      </w:r>
    </w:p>
    <w:p w14:paraId="3ADBD701"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1ED41CEE" w14:textId="77777777" w:rsidR="002359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A668896" w14:textId="77777777" w:rsidR="00235986" w:rsidRPr="00C33834" w:rsidRDefault="002359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A92D030"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мая 1933 завод Красный Путиловец выпустил первые 12 танков Т-28 (3547).</w:t>
      </w:r>
    </w:p>
    <w:p w14:paraId="4D499847"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1B63C9A4"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мая 1933 завод "Красный Путиловец" выпустил 12 танков Т-28, 10 из которых приняли участие в первомайском параде в Москве, а два в Ленинграде (3862).</w:t>
      </w:r>
    </w:p>
    <w:p w14:paraId="5E3B56FE"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258533E1"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мая 1933 г. были выпущены первые 12 танков Т-28. Максимальная скорость танка с боевой массой 28 т достигала 37 км/час. На нем стоял двигатель М-17Т. Имелась механическая коробка передач, бортовые фрикционы. Подвеска сблокированная, на четыре катка. Главная башня имела цилиндрическую форму. Почти сразу в ней стали устанавливать пушку калибра 76 мм с длиной ствола 16,5 калибров. Перед главной башней по обе стороны "будки" водителя размещались пулеметные башенки с сектором обстрела до 220 градусов у каждой. Всего на танке устанавливали до четырех пулеметов. Обеспечивал боевую деятельность танка экипаж из шести человек. Достаточно продуманной и мощной для своего времени была схема бронирования танка. Лобовой лист корпуса-30 мм, бортовой-20 мм. Башня бронировалась 20-мм листом. Подвеска закрывалась броневым фальшбортом. В 1938 г. на танк стали ставить 76-мм пушку Л-10 с длиной ствола 26 калибров. Башня приобрела коническую форму, более снарядостойкую. В ходе боев на Карельском перешейке в декабре 1939 г. выявилась недостаточность бронезащиты и танки стали оборудовать экранами из листов толщиной 30-50 мм. Бронирование лобовое корпуса и башни возросло до 50-80 мм, борта и кормы - до 40 мм. Боевая масса увеличилась до 32 т. В процессе отработки, производства и эксплуатации в течение шести с лишним лет танк Т-28 превратился в надежную, достаточно эффективную боевую машину. Имелись возможности дальнейшего повышения энерговооруженности, оптимизации бронезащиты, огневой мощи. Последнее обстоятельство, очень важное с точки зрения перспектив использования танка Т-28 войсками, подтвердил весной 1940 г. коллектив КБ Грабина. На серийный Т-28 установили опытный образец пушки Ф-39 калибра 85 мм. Дульная энергия пушки составляла 300 тм., т.е. втрое превышала показатели Л-10. Бронепробиваемость также увеличилась почти втрое. Испытания прошли успешно. Но танк сняли с производства еще в декабре 1939 г. Этот шаг представляется несколько поспешным. Ведь завод выпустил 523 машины. И мог их выпускать дальше, модернизируя и улучшая. Войска накопили опыт эксплуатации, технического обслуживания и ремонта Т-28. Особенно привлекательным было то, что машина имела надежный двигатель, трансмиссию. И без ухудшения показателей безотказности существенно можно было повысить боевую эффективность за счет установки новой пушки и экранной брони (11224).</w:t>
      </w:r>
    </w:p>
    <w:p w14:paraId="0223FDE8"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39D0657A"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танк Т-35-2 прошел на параде по площади Урицкого в Ленинграде, тог</w:t>
      </w:r>
      <w:r w:rsidRPr="00C33834">
        <w:rPr>
          <w:rFonts w:ascii="Times New Roman" w:hAnsi="Times New Roman"/>
          <w:color w:val="000000" w:themeColor="text1"/>
          <w:sz w:val="16"/>
          <w:szCs w:val="16"/>
        </w:rPr>
        <w:softHyphen/>
        <w:t>да как Т-35-1 участвовал в параде в Москве. Новый танк Т-35-2 получил двигатель водяного охлаждения М-17, новую трансмиссию и КПП. Пневмоуправление было исключено, тележки ходовой час</w:t>
      </w:r>
      <w:r w:rsidRPr="00C33834">
        <w:rPr>
          <w:rFonts w:ascii="Times New Roman" w:hAnsi="Times New Roman"/>
          <w:color w:val="000000" w:themeColor="text1"/>
          <w:sz w:val="16"/>
          <w:szCs w:val="16"/>
        </w:rPr>
        <w:softHyphen/>
        <w:t>ти танка доработаны по типу тележек немецкого «Гросстрактора» фирмы «Крупп». Была установлена большая башня цилиндрической формы, оснащенная пушкой ПС-3 с прогрессивной нарезкой. Впрочем, с этим периодом в жизни Т-35 есть нестыковки. Дело в том, что к этому моменту Т-35-1 уже находился в распоряжении ЛБТКУКС, и пока нет строгих доказательств, что он пере</w:t>
      </w:r>
      <w:r w:rsidRPr="00C33834">
        <w:rPr>
          <w:rFonts w:ascii="Times New Roman" w:hAnsi="Times New Roman"/>
          <w:color w:val="000000" w:themeColor="text1"/>
          <w:sz w:val="16"/>
          <w:szCs w:val="16"/>
        </w:rPr>
        <w:softHyphen/>
        <w:t xml:space="preserve">давался оттуда в Москву. Так что вполне возможно, что участие Т-35-1 и Т-35-2 в парадах в Москве и Ленинграде было разнесено во времени. Например, Т-35-1 </w:t>
      </w:r>
      <w:r w:rsidRPr="00C33834">
        <w:rPr>
          <w:rFonts w:ascii="Times New Roman" w:hAnsi="Times New Roman"/>
          <w:color w:val="000000" w:themeColor="text1"/>
          <w:sz w:val="16"/>
          <w:szCs w:val="16"/>
        </w:rPr>
        <w:lastRenderedPageBreak/>
        <w:t>участвовал в первом параде в Москве не в мае 1933 г., а в ноябре 1932 г. В то время как шла сборка Т-35-2, ОКМО заканчивал работы над танком Т-35А, который должен был выпускать</w:t>
      </w:r>
      <w:r w:rsidRPr="00C33834">
        <w:rPr>
          <w:rFonts w:ascii="Times New Roman" w:hAnsi="Times New Roman"/>
          <w:color w:val="000000" w:themeColor="text1"/>
          <w:sz w:val="16"/>
          <w:szCs w:val="16"/>
        </w:rPr>
        <w:softHyphen/>
        <w:t>ся серийно. По силовой установке, ходовой части и транс</w:t>
      </w:r>
      <w:r w:rsidRPr="00C33834">
        <w:rPr>
          <w:rFonts w:ascii="Times New Roman" w:hAnsi="Times New Roman"/>
          <w:color w:val="000000" w:themeColor="text1"/>
          <w:sz w:val="16"/>
          <w:szCs w:val="16"/>
        </w:rPr>
        <w:softHyphen/>
        <w:t>миссии он был идентичен Т-35-2, однако корпус и башни были видоизменены для упрощения производства. Так, главная башня была унифицирована с башней среднего танка Т-28, а малые орудийные башни, оснащенные теперь 45-мм пушкой и пулеметом, представляли собой в целом башни танка Т-26 (БТ-5) без кормовой ниши. Интересно, что согласно документам УММ по танку Т-35 эта унифика</w:t>
      </w:r>
      <w:r w:rsidRPr="00C33834">
        <w:rPr>
          <w:rFonts w:ascii="Times New Roman" w:hAnsi="Times New Roman"/>
          <w:color w:val="000000" w:themeColor="text1"/>
          <w:sz w:val="16"/>
          <w:szCs w:val="16"/>
        </w:rPr>
        <w:softHyphen/>
        <w:t>ция была произведена по личному указанию тов. Сталина. Кроме того, Т-35А имел новые пулеметные башни, удли</w:t>
      </w:r>
      <w:r w:rsidRPr="00C33834">
        <w:rPr>
          <w:rFonts w:ascii="Times New Roman" w:hAnsi="Times New Roman"/>
          <w:color w:val="000000" w:themeColor="text1"/>
          <w:sz w:val="16"/>
          <w:szCs w:val="16"/>
        </w:rPr>
        <w:softHyphen/>
        <w:t>ненный корпус, измененные фальшборты. Согласно постановлению правительства СССР производство Т-35А со второго полугодия 1933 г должно бы-до быть передано на Харьковский паровозостроительный завод (ХПЗ), где в это время шло лихорадочное освоение быстроходного БТ-5 (10733,263).</w:t>
      </w:r>
    </w:p>
    <w:p w14:paraId="0AD1DC02"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F1E54F"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Т-35 прошел во главе парада по площади Урицкого (Дворцовая площадь) в Ленинграде, а Т-35-1 в это время высекал искры из брусчатки Красной площади в Москве (3862).</w:t>
      </w:r>
    </w:p>
    <w:p w14:paraId="6DF6E475"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33A757C3"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на параде на КП в Москве были впервые показано 10 танков Т-28 (1068,22), а в Ленинграде - оставшиеся два.</w:t>
      </w:r>
    </w:p>
    <w:p w14:paraId="35DEA60A"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в первомайском параде приняли участие первые 10 танков Т-28 (176,40).</w:t>
      </w:r>
    </w:p>
    <w:p w14:paraId="39948B13"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12A82FA5"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мая 1933 года быстроходный дизель БД-1 был собран. Помня свой богатый опыт неудач, начиная с Д-40, Челпан и Вихман приготовились к тому, что, во-первых, он сразу же не запустится, а во-вторых, долго не проработает. А проработать на испытаниях согласно техническому зада</w:t>
      </w:r>
      <w:r w:rsidRPr="00C33834">
        <w:rPr>
          <w:rFonts w:ascii="Times New Roman" w:hAnsi="Times New Roman"/>
          <w:color w:val="000000" w:themeColor="text1"/>
          <w:sz w:val="16"/>
          <w:szCs w:val="16"/>
        </w:rPr>
        <w:softHyphen/>
        <w:t>нию на дизель Д-300 мотор должен был целых 150 часов. Неожиданно мотор сразу запустился и начал работать, словно это на</w:t>
      </w:r>
      <w:r w:rsidRPr="00C33834">
        <w:rPr>
          <w:rFonts w:ascii="Times New Roman" w:hAnsi="Times New Roman"/>
          <w:color w:val="000000" w:themeColor="text1"/>
          <w:sz w:val="16"/>
          <w:szCs w:val="16"/>
        </w:rPr>
        <w:softHyphen/>
        <w:t>дежный серийный двигатель. Первый опытный мотор БД-1 был поставлен на специальный обкаточ</w:t>
      </w:r>
      <w:r w:rsidRPr="00C33834">
        <w:rPr>
          <w:rFonts w:ascii="Times New Roman" w:hAnsi="Times New Roman"/>
          <w:color w:val="000000" w:themeColor="text1"/>
          <w:sz w:val="16"/>
          <w:szCs w:val="16"/>
        </w:rPr>
        <w:softHyphen/>
        <w:t>ный стенд, на котором он с мая по сентябрь 1933 года проходил стендо</w:t>
      </w:r>
      <w:r w:rsidRPr="00C33834">
        <w:rPr>
          <w:rFonts w:ascii="Times New Roman" w:hAnsi="Times New Roman"/>
          <w:color w:val="000000" w:themeColor="text1"/>
          <w:sz w:val="16"/>
          <w:szCs w:val="16"/>
        </w:rPr>
        <w:softHyphen/>
        <w:t>вые испытания.</w:t>
      </w:r>
    </w:p>
    <w:p w14:paraId="59389B51"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Дизель БД-1 был установлен на специальный обкаточный стенд. После того, как его запустили, около него остался дежурный механик ис</w:t>
      </w:r>
      <w:r w:rsidRPr="00C33834">
        <w:rPr>
          <w:rFonts w:ascii="Times New Roman" w:hAnsi="Times New Roman"/>
          <w:color w:val="000000" w:themeColor="text1"/>
          <w:sz w:val="16"/>
          <w:szCs w:val="16"/>
        </w:rPr>
        <w:softHyphen/>
        <w:t>пытательной лаборатории дизельного отдела. Он стал прохаживаться под навесом, ни к чему не прикасаясь, лишь поглядывая на стрелки прибо</w:t>
      </w:r>
      <w:r w:rsidRPr="00C33834">
        <w:rPr>
          <w:rFonts w:ascii="Times New Roman" w:hAnsi="Times New Roman"/>
          <w:color w:val="000000" w:themeColor="text1"/>
          <w:sz w:val="16"/>
          <w:szCs w:val="16"/>
        </w:rPr>
        <w:softHyphen/>
        <w:t>ров, размещенных на длинной панели. Стрелки приборов дрожали, по</w:t>
      </w:r>
      <w:r w:rsidRPr="00C33834">
        <w:rPr>
          <w:rFonts w:ascii="Times New Roman" w:hAnsi="Times New Roman"/>
          <w:color w:val="000000" w:themeColor="text1"/>
          <w:sz w:val="16"/>
          <w:szCs w:val="16"/>
        </w:rPr>
        <w:softHyphen/>
        <w:t>казывая количество оборотов в минуту, мощность, развиваемую двигате</w:t>
      </w:r>
      <w:r w:rsidRPr="00C33834">
        <w:rPr>
          <w:rFonts w:ascii="Times New Roman" w:hAnsi="Times New Roman"/>
          <w:color w:val="000000" w:themeColor="text1"/>
          <w:sz w:val="16"/>
          <w:szCs w:val="16"/>
        </w:rPr>
        <w:softHyphen/>
        <w:t>лем, давление масла и т.д.</w:t>
      </w:r>
    </w:p>
    <w:p w14:paraId="6BAB4C1D"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БД-1 ревел под навесом на открытом воздухе. Из его выхлопных труб вылетали огненные языки, прорезая темноту навеса. В любом помеще</w:t>
      </w:r>
      <w:r w:rsidRPr="00C33834">
        <w:rPr>
          <w:rFonts w:ascii="Times New Roman" w:hAnsi="Times New Roman"/>
          <w:color w:val="000000" w:themeColor="text1"/>
          <w:sz w:val="16"/>
          <w:szCs w:val="16"/>
        </w:rPr>
        <w:softHyphen/>
        <w:t>нии от этих сгорающих отработанных газов задохнулись бы не только люди, но и сам мотор, тоже требующий кислорода...</w:t>
      </w:r>
    </w:p>
    <w:p w14:paraId="2593DEA3"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Дизель ревел, сотрясая бетонный фундамент под собой, сотрясая воз</w:t>
      </w:r>
      <w:r w:rsidRPr="00C33834">
        <w:rPr>
          <w:rFonts w:ascii="Times New Roman" w:hAnsi="Times New Roman"/>
          <w:color w:val="000000" w:themeColor="text1"/>
          <w:sz w:val="16"/>
          <w:szCs w:val="16"/>
        </w:rPr>
        <w:softHyphen/>
        <w:t>дух. Вот так — без перерыва, без единой остановки хотя бы на минуту — мотор должен был проработать 150 часов на государственных испытаниях, к которым должны были его подготовить конструкторы и инженеры отде</w:t>
      </w:r>
      <w:r w:rsidRPr="00C33834">
        <w:rPr>
          <w:rFonts w:ascii="Times New Roman" w:hAnsi="Times New Roman"/>
          <w:color w:val="000000" w:themeColor="text1"/>
          <w:sz w:val="16"/>
          <w:szCs w:val="16"/>
        </w:rPr>
        <w:softHyphen/>
        <w:t>ла. Танковый дизель, по существу, еще не был создан, не был доведен.</w:t>
      </w:r>
    </w:p>
    <w:p w14:paraId="34D0CE7C"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Никто из создателей танкового дизеля не предполагал тогда, что для того, чтобы довести дизель до его непрерывной 150 часовой работы по</w:t>
      </w:r>
      <w:r w:rsidRPr="00C33834">
        <w:rPr>
          <w:rFonts w:ascii="Times New Roman" w:hAnsi="Times New Roman"/>
          <w:color w:val="000000" w:themeColor="text1"/>
          <w:sz w:val="16"/>
          <w:szCs w:val="16"/>
        </w:rPr>
        <w:softHyphen/>
        <w:t>требуется долгих 6,5 лет.</w:t>
      </w:r>
    </w:p>
    <w:p w14:paraId="498E3886"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концу рабочего дня около дизеля собрались конструкторы и инже</w:t>
      </w:r>
      <w:r w:rsidRPr="00C33834">
        <w:rPr>
          <w:rFonts w:ascii="Times New Roman" w:hAnsi="Times New Roman"/>
          <w:color w:val="000000" w:themeColor="text1"/>
          <w:sz w:val="16"/>
          <w:szCs w:val="16"/>
        </w:rPr>
        <w:softHyphen/>
        <w:t>неры дизельного отдела. Пришел ярый поборник установки дизеля на танк военпред на ХПЗ М.Н.Федоров. Подошли и Челпан с Вихманом.</w:t>
      </w:r>
    </w:p>
    <w:p w14:paraId="701B3F79"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Константин Федорович стоял у ярко освещенной панели, где по при-</w:t>
      </w:r>
    </w:p>
    <w:p w14:paraId="605EFA25"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борам можно было увидеть, как работает БД-1, но сейчас, сдержанно улы</w:t>
      </w:r>
      <w:r w:rsidRPr="00C33834">
        <w:rPr>
          <w:rFonts w:ascii="Times New Roman" w:hAnsi="Times New Roman"/>
          <w:color w:val="000000" w:themeColor="text1"/>
          <w:sz w:val="16"/>
          <w:szCs w:val="16"/>
        </w:rPr>
        <w:softHyphen/>
        <w:t>баясь, смотрел не на приборы, а на молодых конструкторов, которые сто</w:t>
      </w:r>
      <w:r w:rsidRPr="00C33834">
        <w:rPr>
          <w:rFonts w:ascii="Times New Roman" w:hAnsi="Times New Roman"/>
          <w:color w:val="000000" w:themeColor="text1"/>
          <w:sz w:val="16"/>
          <w:szCs w:val="16"/>
        </w:rPr>
        <w:softHyphen/>
        <w:t>яли в ожидании команды, чтобы отметить двойное событие: начало за</w:t>
      </w:r>
      <w:r w:rsidRPr="00C33834">
        <w:rPr>
          <w:rFonts w:ascii="Times New Roman" w:hAnsi="Times New Roman"/>
          <w:color w:val="000000" w:themeColor="text1"/>
          <w:sz w:val="16"/>
          <w:szCs w:val="16"/>
        </w:rPr>
        <w:softHyphen/>
        <w:t>рождения танкового дизеля и наступающий праздник 1 Мая 1933 года. Вихман прокричал на ухо дежурному механику:</w:t>
      </w:r>
    </w:p>
    <w:p w14:paraId="36AF3A94"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Сбросьте газ до малого!</w:t>
      </w:r>
    </w:p>
    <w:p w14:paraId="7B671122"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полагаясь на свой голос, Вихман еще и жестами скомандовал, что</w:t>
      </w:r>
      <w:r w:rsidRPr="00C33834">
        <w:rPr>
          <w:rFonts w:ascii="Times New Roman" w:hAnsi="Times New Roman"/>
          <w:color w:val="000000" w:themeColor="text1"/>
          <w:sz w:val="16"/>
          <w:szCs w:val="16"/>
        </w:rPr>
        <w:softHyphen/>
        <w:t>бы мотор гудел потише.</w:t>
      </w:r>
    </w:p>
    <w:p w14:paraId="3C094F98"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Снизьте обороты! — прокричал на этот раз Челпан.</w:t>
      </w:r>
    </w:p>
    <w:p w14:paraId="4C3F5901"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Он жестами изобразил, что представляет слово главному конструкто</w:t>
      </w:r>
      <w:r w:rsidRPr="00C33834">
        <w:rPr>
          <w:rFonts w:ascii="Times New Roman" w:hAnsi="Times New Roman"/>
          <w:color w:val="000000" w:themeColor="text1"/>
          <w:sz w:val="16"/>
          <w:szCs w:val="16"/>
        </w:rPr>
        <w:softHyphen/>
        <w:t>ру. И опять не обошлось без назидательной, но весьма разумной фило</w:t>
      </w:r>
      <w:r w:rsidRPr="00C33834">
        <w:rPr>
          <w:rFonts w:ascii="Times New Roman" w:hAnsi="Times New Roman"/>
          <w:color w:val="000000" w:themeColor="text1"/>
          <w:sz w:val="16"/>
          <w:szCs w:val="16"/>
        </w:rPr>
        <w:softHyphen/>
        <w:t>софской лекции Якова Вихмана.</w:t>
      </w:r>
    </w:p>
    <w:p w14:paraId="35464C96"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Друзья мои, — начал он с пафосом, — посмотрите на это свое желез</w:t>
      </w:r>
      <w:r w:rsidRPr="00C33834">
        <w:rPr>
          <w:rFonts w:ascii="Times New Roman" w:hAnsi="Times New Roman"/>
          <w:color w:val="000000" w:themeColor="text1"/>
          <w:sz w:val="16"/>
          <w:szCs w:val="16"/>
        </w:rPr>
        <w:softHyphen/>
        <w:t>ное творение, в котором скрыта силища в целый табун из четырехсот ло</w:t>
      </w:r>
      <w:r w:rsidRPr="00C33834">
        <w:rPr>
          <w:rFonts w:ascii="Times New Roman" w:hAnsi="Times New Roman"/>
          <w:color w:val="000000" w:themeColor="text1"/>
          <w:sz w:val="16"/>
          <w:szCs w:val="16"/>
        </w:rPr>
        <w:softHyphen/>
        <w:t>шадей. А теперь послушайте, что могут нам преподнести эти строптивые «лошадки», дабы испортить нам спокойную кабинетную жизнь.</w:t>
      </w:r>
    </w:p>
    <w:p w14:paraId="64F4EC6F"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Альтернативы, возникающие при исследовании опытного образца, — продолжал Вихман, — примерно таковы:</w:t>
      </w:r>
    </w:p>
    <w:p w14:paraId="231F4547"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Первое. Известны причины и источник неблагополучия, а также изве</w:t>
      </w:r>
      <w:r w:rsidRPr="00C33834">
        <w:rPr>
          <w:rFonts w:ascii="Times New Roman" w:hAnsi="Times New Roman"/>
          <w:color w:val="000000" w:themeColor="text1"/>
          <w:sz w:val="16"/>
          <w:szCs w:val="16"/>
        </w:rPr>
        <w:softHyphen/>
        <w:t>стно, что необходимо предпринять для устранения неблагоприятных про</w:t>
      </w:r>
      <w:r w:rsidRPr="00C33834">
        <w:rPr>
          <w:rFonts w:ascii="Times New Roman" w:hAnsi="Times New Roman"/>
          <w:color w:val="000000" w:themeColor="text1"/>
          <w:sz w:val="16"/>
          <w:szCs w:val="16"/>
        </w:rPr>
        <w:softHyphen/>
        <w:t>явлений.</w:t>
      </w:r>
    </w:p>
    <w:p w14:paraId="01B17E4D"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Второе. Известны причины и источник неудовлетворительной рабо</w:t>
      </w:r>
      <w:r w:rsidRPr="00C33834">
        <w:rPr>
          <w:rFonts w:ascii="Times New Roman" w:hAnsi="Times New Roman"/>
          <w:color w:val="000000" w:themeColor="text1"/>
          <w:sz w:val="16"/>
          <w:szCs w:val="16"/>
        </w:rPr>
        <w:softHyphen/>
        <w:t>ты опытного образца БД-1, но неизвестно, что именно следует предпри</w:t>
      </w:r>
      <w:r w:rsidRPr="00C33834">
        <w:rPr>
          <w:rFonts w:ascii="Times New Roman" w:hAnsi="Times New Roman"/>
          <w:color w:val="000000" w:themeColor="text1"/>
          <w:sz w:val="16"/>
          <w:szCs w:val="16"/>
        </w:rPr>
        <w:softHyphen/>
        <w:t>нять для устранения дефектов. Не видно приемлемых решений, по край</w:t>
      </w:r>
      <w:r w:rsidRPr="00C33834">
        <w:rPr>
          <w:rFonts w:ascii="Times New Roman" w:hAnsi="Times New Roman"/>
          <w:color w:val="000000" w:themeColor="text1"/>
          <w:sz w:val="16"/>
          <w:szCs w:val="16"/>
        </w:rPr>
        <w:softHyphen/>
        <w:t>ней мере, таких, которые не требуют коренной реконструкции опытного образца двигателя.</w:t>
      </w:r>
    </w:p>
    <w:p w14:paraId="11470AB8"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Третье. Неизвестны причины и источник помех, однако известно, что следует предпринять для устранения неблагоприятных проявлений. И наконец, четвертое. Неизвестны ни причины, ни источник неудовлетво</w:t>
      </w:r>
      <w:r w:rsidRPr="00C33834">
        <w:rPr>
          <w:rFonts w:ascii="Times New Roman" w:hAnsi="Times New Roman"/>
          <w:color w:val="000000" w:themeColor="text1"/>
          <w:sz w:val="16"/>
          <w:szCs w:val="16"/>
        </w:rPr>
        <w:softHyphen/>
        <w:t>рительного функционирования образца, ни средства, которые могут ис</w:t>
      </w:r>
      <w:r w:rsidRPr="00C33834">
        <w:rPr>
          <w:rFonts w:ascii="Times New Roman" w:hAnsi="Times New Roman"/>
          <w:color w:val="000000" w:themeColor="text1"/>
          <w:sz w:val="16"/>
          <w:szCs w:val="16"/>
        </w:rPr>
        <w:softHyphen/>
        <w:t>править положение.</w:t>
      </w:r>
    </w:p>
    <w:p w14:paraId="6D72F7E8"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Вихман обвел всех внимательным взглядом и с не меньшим пафосом закончил свои рассуждения словами:</w:t>
      </w:r>
    </w:p>
    <w:p w14:paraId="6E9D5F90"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 общем, друзья мои, я уже вам говорил, что мы идем по пути проб и ошибок — самому горькому пути, так что не ждите легкой жизни.</w:t>
      </w:r>
    </w:p>
    <w:p w14:paraId="266800E3"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Яков Ефимович окажется пророком, изо дня в день почти полных 80 месяцев будут заниматься танковым дизелем конструкторы и инженеры ХПЗ, пока его 19 декабря 1939 года не примет государственная комиссия к серийному производству.</w:t>
      </w:r>
    </w:p>
    <w:p w14:paraId="7EF6DBC1"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пока БД-1 гудел. К мотору подошел военпред Федоров, постоял, на</w:t>
      </w:r>
      <w:r w:rsidRPr="00C33834">
        <w:rPr>
          <w:rFonts w:ascii="Times New Roman" w:hAnsi="Times New Roman"/>
          <w:color w:val="000000" w:themeColor="text1"/>
          <w:sz w:val="16"/>
          <w:szCs w:val="16"/>
        </w:rPr>
        <w:softHyphen/>
        <w:t>клонился к Челпану и что-то прокричал. Вихман, смеясь подставил ухо.</w:t>
      </w:r>
    </w:p>
    <w:p w14:paraId="5F596C67"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Когда же он сломается? — весело крикнул Федоров.</w:t>
      </w:r>
    </w:p>
    <w:p w14:paraId="04A09DD6"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Сломается, не беспокойтесь! — так же весело заорал в ответ Вихман.</w:t>
      </w:r>
    </w:p>
    <w:p w14:paraId="20D3DC3B"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Он уже не был новичком в своем деле, твердо знал, что поломки обяза</w:t>
      </w:r>
      <w:r w:rsidRPr="00C33834">
        <w:rPr>
          <w:rFonts w:ascii="Times New Roman" w:hAnsi="Times New Roman"/>
          <w:color w:val="000000" w:themeColor="text1"/>
          <w:sz w:val="16"/>
          <w:szCs w:val="16"/>
        </w:rPr>
        <w:softHyphen/>
        <w:t>тельно будут, и запасся терпением, упорством, по его выражению, «ульт</w:t>
      </w:r>
      <w:r w:rsidRPr="00C33834">
        <w:rPr>
          <w:rFonts w:ascii="Times New Roman" w:hAnsi="Times New Roman"/>
          <w:color w:val="000000" w:themeColor="text1"/>
          <w:sz w:val="16"/>
          <w:szCs w:val="16"/>
        </w:rPr>
        <w:softHyphen/>
        <w:t>раупорством» чтобы «доводить и доводить» мотор.</w:t>
      </w:r>
    </w:p>
    <w:p w14:paraId="7AB493D4"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Оставайтесь с нами до утра! — прокричал Челпан Федорову. — Тог</w:t>
      </w:r>
      <w:r w:rsidRPr="00C33834">
        <w:rPr>
          <w:rFonts w:ascii="Times New Roman" w:hAnsi="Times New Roman"/>
          <w:color w:val="000000" w:themeColor="text1"/>
          <w:sz w:val="16"/>
          <w:szCs w:val="16"/>
        </w:rPr>
        <w:softHyphen/>
        <w:t>да, может быть, дождетесь...</w:t>
      </w:r>
    </w:p>
    <w:p w14:paraId="7C982865"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Федоров отрицательно повел головой.</w:t>
      </w:r>
    </w:p>
    <w:p w14:paraId="7452989C"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Он так и не дождался поломки. Еще некоторое время он пробыл у мотора, потом попрощался со всеми и уехал.</w:t>
      </w:r>
    </w:p>
    <w:p w14:paraId="1FB5847F"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действительно сломался к утру, беспрерывно проработав мень</w:t>
      </w:r>
      <w:r w:rsidRPr="00C33834">
        <w:rPr>
          <w:rFonts w:ascii="Times New Roman" w:hAnsi="Times New Roman"/>
          <w:color w:val="000000" w:themeColor="text1"/>
          <w:sz w:val="16"/>
          <w:szCs w:val="16"/>
        </w:rPr>
        <w:softHyphen/>
        <w:t>ше суток. Это было 1 мая 1933 года (11504).</w:t>
      </w:r>
    </w:p>
    <w:p w14:paraId="11A8BE4D"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99525D"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БА-3 участвовал в параде на площади Урицкого (ны</w:t>
      </w:r>
      <w:r w:rsidRPr="00C33834">
        <w:rPr>
          <w:rFonts w:ascii="Times New Roman" w:hAnsi="Times New Roman"/>
          <w:color w:val="000000" w:themeColor="text1"/>
          <w:sz w:val="16"/>
          <w:szCs w:val="16"/>
        </w:rPr>
        <w:softHyphen/>
        <w:t>не Дворцовая) в Ленинграде.</w:t>
      </w:r>
    </w:p>
    <w:p w14:paraId="41F96AB7"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Корпус машины, сваренный из 4-8 мм листов незна</w:t>
      </w:r>
      <w:r w:rsidRPr="00C33834">
        <w:rPr>
          <w:rFonts w:ascii="Times New Roman" w:hAnsi="Times New Roman"/>
          <w:color w:val="000000" w:themeColor="text1"/>
          <w:sz w:val="16"/>
          <w:szCs w:val="16"/>
        </w:rPr>
        <w:softHyphen/>
        <w:t>чительно отличался от БАИ - была на 50 мм удлинена кор</w:t>
      </w:r>
      <w:r w:rsidRPr="00C33834">
        <w:rPr>
          <w:rFonts w:ascii="Times New Roman" w:hAnsi="Times New Roman"/>
          <w:color w:val="000000" w:themeColor="text1"/>
          <w:sz w:val="16"/>
          <w:szCs w:val="16"/>
        </w:rPr>
        <w:softHyphen/>
        <w:t>ма, в бортах моторного отделения появились окна (по од</w:t>
      </w:r>
      <w:r w:rsidRPr="00C33834">
        <w:rPr>
          <w:rFonts w:ascii="Times New Roman" w:hAnsi="Times New Roman"/>
          <w:color w:val="000000" w:themeColor="text1"/>
          <w:sz w:val="16"/>
          <w:szCs w:val="16"/>
        </w:rPr>
        <w:softHyphen/>
        <w:t>ному на сторону) для выброса воздуха. Откидные щитки в боковых дверях устанавливались на внутренних петлях (у БАИ на внешних) и в открытом положении удержива</w:t>
      </w:r>
      <w:r w:rsidRPr="00C33834">
        <w:rPr>
          <w:rFonts w:ascii="Times New Roman" w:hAnsi="Times New Roman"/>
          <w:color w:val="000000" w:themeColor="text1"/>
          <w:sz w:val="16"/>
          <w:szCs w:val="16"/>
        </w:rPr>
        <w:softHyphen/>
        <w:t>лись специальными защелками. Для наблюдения в бою в щитках имелись смотровые щели, закрываемые изнутри броневыми заслонками. Кроме того, на крыльях задних колес смонтировали специальное приспособление для ук</w:t>
      </w:r>
      <w:r w:rsidRPr="00C33834">
        <w:rPr>
          <w:rFonts w:ascii="Times New Roman" w:hAnsi="Times New Roman"/>
          <w:color w:val="000000" w:themeColor="text1"/>
          <w:sz w:val="16"/>
          <w:szCs w:val="16"/>
        </w:rPr>
        <w:softHyphen/>
        <w:t>ладки вездеходных цепей и укоротили подножки под боко</w:t>
      </w:r>
      <w:r w:rsidRPr="00C33834">
        <w:rPr>
          <w:rFonts w:ascii="Times New Roman" w:hAnsi="Times New Roman"/>
          <w:color w:val="000000" w:themeColor="text1"/>
          <w:sz w:val="16"/>
          <w:szCs w:val="16"/>
        </w:rPr>
        <w:softHyphen/>
        <w:t>выми дверями.</w:t>
      </w:r>
    </w:p>
    <w:p w14:paraId="187FB969"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Главным отличием БА-3 от БАИ была башня от танка Т-26, но с уменьшением толщины брони до 8 мм (на опыт</w:t>
      </w:r>
      <w:r w:rsidRPr="00C33834">
        <w:rPr>
          <w:rFonts w:ascii="Times New Roman" w:hAnsi="Times New Roman"/>
          <w:color w:val="000000" w:themeColor="text1"/>
          <w:sz w:val="16"/>
          <w:szCs w:val="16"/>
        </w:rPr>
        <w:softHyphen/>
        <w:t>ном образце, изготовленном из неброневой стали - 9 мм). Она крепилась болтами при помощи 6 захватов к нижнему погону и крыше корпуса. Поворотный механизм башни имел 2 передачи, позволяя ее вращать с разными скоростями. В крыше имелись два люка для посадки экипажа, люч</w:t>
      </w:r>
      <w:r w:rsidRPr="00C33834">
        <w:rPr>
          <w:rFonts w:ascii="Times New Roman" w:hAnsi="Times New Roman"/>
          <w:color w:val="000000" w:themeColor="text1"/>
          <w:sz w:val="16"/>
          <w:szCs w:val="16"/>
        </w:rPr>
        <w:softHyphen/>
        <w:t>ки для вытяжного вентилятора, флажковой сигнализации и прибора ПТК. Наблюдение за полем боя можно было ве</w:t>
      </w:r>
      <w:r w:rsidRPr="00C33834">
        <w:rPr>
          <w:rFonts w:ascii="Times New Roman" w:hAnsi="Times New Roman"/>
          <w:color w:val="000000" w:themeColor="text1"/>
          <w:sz w:val="16"/>
          <w:szCs w:val="16"/>
        </w:rPr>
        <w:softHyphen/>
        <w:t>сти через две смотровые щели со стеклами «Триплекс», рас</w:t>
      </w:r>
      <w:r w:rsidRPr="00C33834">
        <w:rPr>
          <w:rFonts w:ascii="Times New Roman" w:hAnsi="Times New Roman"/>
          <w:color w:val="000000" w:themeColor="text1"/>
          <w:sz w:val="16"/>
          <w:szCs w:val="16"/>
        </w:rPr>
        <w:softHyphen/>
        <w:t>положенные в бортах. Кроме того, имелось три отверстия для стрельбы из револьвера, закрывающиеся броневыми за</w:t>
      </w:r>
      <w:r w:rsidRPr="00C33834">
        <w:rPr>
          <w:rFonts w:ascii="Times New Roman" w:hAnsi="Times New Roman"/>
          <w:color w:val="000000" w:themeColor="text1"/>
          <w:sz w:val="16"/>
          <w:szCs w:val="16"/>
        </w:rPr>
        <w:softHyphen/>
        <w:t>слонками. Вооружение бронемашины состояло из 45-мм танковой пушки образца 1932 года (20К) и спаренного пу</w:t>
      </w:r>
      <w:r w:rsidRPr="00C33834">
        <w:rPr>
          <w:rFonts w:ascii="Times New Roman" w:hAnsi="Times New Roman"/>
          <w:color w:val="000000" w:themeColor="text1"/>
          <w:sz w:val="16"/>
          <w:szCs w:val="16"/>
        </w:rPr>
        <w:softHyphen/>
        <w:t>лемета ДТ в штатной башенной установке и еще одного ДТ в лобовом листе корпуса. Прицельные приспособления со</w:t>
      </w:r>
      <w:r w:rsidRPr="00C33834">
        <w:rPr>
          <w:rFonts w:ascii="Times New Roman" w:hAnsi="Times New Roman"/>
          <w:color w:val="000000" w:themeColor="text1"/>
          <w:sz w:val="16"/>
          <w:szCs w:val="16"/>
        </w:rPr>
        <w:softHyphen/>
        <w:t>стояли из телескопического прицела ТОП, кроме того пре</w:t>
      </w:r>
      <w:r w:rsidRPr="00C33834">
        <w:rPr>
          <w:rFonts w:ascii="Times New Roman" w:hAnsi="Times New Roman"/>
          <w:color w:val="000000" w:themeColor="text1"/>
          <w:sz w:val="16"/>
          <w:szCs w:val="16"/>
        </w:rPr>
        <w:softHyphen/>
        <w:t>дусматривалась и установка перископического ПТ-1 (прав</w:t>
      </w:r>
      <w:r w:rsidRPr="00C33834">
        <w:rPr>
          <w:rFonts w:ascii="Times New Roman" w:hAnsi="Times New Roman"/>
          <w:color w:val="000000" w:themeColor="text1"/>
          <w:sz w:val="16"/>
          <w:szCs w:val="16"/>
        </w:rPr>
        <w:softHyphen/>
        <w:t>да, на БА-3 их так и не установили). В корме башни имелся люк для демонтажа пушки при ремонте.</w:t>
      </w:r>
    </w:p>
    <w:p w14:paraId="76F8BD32"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пушке имелось 60 снарядов, из них 52 находились в башне (2 укладки по 20 штук в кормовой нише и 12 по бор</w:t>
      </w:r>
      <w:r w:rsidRPr="00C33834">
        <w:rPr>
          <w:rFonts w:ascii="Times New Roman" w:hAnsi="Times New Roman"/>
          <w:color w:val="000000" w:themeColor="text1"/>
          <w:sz w:val="16"/>
          <w:szCs w:val="16"/>
        </w:rPr>
        <w:softHyphen/>
        <w:t>там) и две стойки по 4 снаряда в корпусе. 54 магазина к пу</w:t>
      </w:r>
      <w:r w:rsidRPr="00C33834">
        <w:rPr>
          <w:rFonts w:ascii="Times New Roman" w:hAnsi="Times New Roman"/>
          <w:color w:val="000000" w:themeColor="text1"/>
          <w:sz w:val="16"/>
          <w:szCs w:val="16"/>
        </w:rPr>
        <w:softHyphen/>
        <w:t>леметам (3402 патрона) размещались в башне справа (6 штук) и в 48 стеллажах на бортах корпуса. Здесь же специ</w:t>
      </w:r>
      <w:r w:rsidRPr="00C33834">
        <w:rPr>
          <w:rFonts w:ascii="Times New Roman" w:hAnsi="Times New Roman"/>
          <w:color w:val="000000" w:themeColor="text1"/>
          <w:sz w:val="16"/>
          <w:szCs w:val="16"/>
        </w:rPr>
        <w:softHyphen/>
        <w:t>альными зажимами крепились лопата, топор, лом и двуруч</w:t>
      </w:r>
      <w:r w:rsidRPr="00C33834">
        <w:rPr>
          <w:rFonts w:ascii="Times New Roman" w:hAnsi="Times New Roman"/>
          <w:color w:val="000000" w:themeColor="text1"/>
          <w:sz w:val="16"/>
          <w:szCs w:val="16"/>
        </w:rPr>
        <w:softHyphen/>
        <w:t>ная пила. Кроме того, в полу боевого отделения имелся ин</w:t>
      </w:r>
      <w:r w:rsidRPr="00C33834">
        <w:rPr>
          <w:rFonts w:ascii="Times New Roman" w:hAnsi="Times New Roman"/>
          <w:color w:val="000000" w:themeColor="text1"/>
          <w:sz w:val="16"/>
          <w:szCs w:val="16"/>
        </w:rPr>
        <w:softHyphen/>
        <w:t>струментальный ящик и ящик ЗИП к пушке и пулеметам.</w:t>
      </w:r>
    </w:p>
    <w:p w14:paraId="3F7F0F04"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Боевая масса БА-3 с экипажем из 4 человек составляла 5820 кг, 40-сильный двигатель «Форд» позволял броневику разгоняться до 60 км/ч на прямой передаче и до 70 км/ч с демультипликатором на пониженной (11284).</w:t>
      </w:r>
    </w:p>
    <w:p w14:paraId="086FDD01"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7E2CF4"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года БАД-2 вместе с БАД-1 показали во время военного парада на площади Урицкого (ныне Дворцовая) в Ленинграде, после чего на гла</w:t>
      </w:r>
      <w:r w:rsidRPr="00C33834">
        <w:rPr>
          <w:rFonts w:ascii="Times New Roman" w:hAnsi="Times New Roman"/>
          <w:color w:val="000000" w:themeColor="text1"/>
          <w:sz w:val="16"/>
          <w:szCs w:val="16"/>
        </w:rPr>
        <w:softHyphen/>
        <w:t>зах советских и иностранных военных броневик переплыл Неву. Дальнейшая судьба машины неизвестна, но, по неко</w:t>
      </w:r>
      <w:r w:rsidRPr="00C33834">
        <w:rPr>
          <w:rFonts w:ascii="Times New Roman" w:hAnsi="Times New Roman"/>
          <w:color w:val="000000" w:themeColor="text1"/>
          <w:sz w:val="16"/>
          <w:szCs w:val="16"/>
        </w:rPr>
        <w:softHyphen/>
        <w:t>торым данным, осенью того же года она была разобрана (11284).</w:t>
      </w:r>
    </w:p>
    <w:p w14:paraId="718F7251"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2179EC"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на опытном мотозаводе им. Автодора в Ижевске собрали первые 4 тяжелых мотоцикла НАТИ-А-750 и потом передали Подольскому заводу, где выпускали в 1933-1938 (3398,167).</w:t>
      </w:r>
    </w:p>
    <w:p w14:paraId="4A4F2D2C"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5A84D40A"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 мая 1933г. газета "Ижевская правда" сообщила своим читателям о пуске в канун первомайских праздников механического цеха "первого в СССР мотозавода" и изготовлении двух опытных мотоциклов. 1 июля 1933г. предприятие вошло в систему Наркомата тяжелой промышленности СССР, получив статус завода всесоюзного значения (11397).</w:t>
      </w:r>
    </w:p>
    <w:p w14:paraId="34C7626B"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60177417" w14:textId="77777777" w:rsidR="00235986" w:rsidRPr="00C33834" w:rsidRDefault="00235986" w:rsidP="00C33834">
      <w:pPr>
        <w:widowControl w:val="0"/>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мая 1933 года на ОМЗ собрали первые четыре мотоцикла НАТИ-А-750, которые, по заведенной традиции, отправили в испытательный пробег по маршруту Ижевск — Нижний Новгород — Москва. Вместе с ними шли американский мотоцикл «Харлей-Давидсон» последней модели, немецкий БМВ-Р-16 и мотоцикл ижевской конструкции ИЖ-7, также собранный, на ОМЗ (об этой машине мы расскажем в следующем выпуске «Исторической серии»).</w:t>
      </w:r>
    </w:p>
    <w:p w14:paraId="7ECD92A8" w14:textId="77777777" w:rsidR="00235986" w:rsidRPr="00C33834" w:rsidRDefault="00235986" w:rsidP="00C33834">
      <w:pPr>
        <w:widowControl w:val="0"/>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столице участников пробега торжественно встречали председатель Центрального совета Автодора С. С. Каменев, представители общественности, мотоциклисты спортивного общества «Динамо» и .московского автомотоклуба.</w:t>
      </w:r>
    </w:p>
    <w:p w14:paraId="2F804459" w14:textId="77777777" w:rsidR="00235986" w:rsidRPr="00C33834" w:rsidRDefault="00235986" w:rsidP="00C33834">
      <w:pPr>
        <w:widowControl w:val="0"/>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Потом НАТИ-А-750 испытывали в различных дорожных условиях, зимой и летом под Москвой и Ленинградом. Машина произвела на водителей и специалистов очень хорошее впечатление. Особенно им понравилась система батарейного, с аккумулятором и генератором постоянного тока, зажигания.</w:t>
      </w:r>
    </w:p>
    <w:p w14:paraId="66CAD3FC" w14:textId="77777777" w:rsidR="00235986" w:rsidRPr="00C33834" w:rsidRDefault="00235986" w:rsidP="00C33834">
      <w:pPr>
        <w:widowControl w:val="0"/>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Итак, мотоциклы успешно выдержали суровую проверку. А вот инженеры не успели подготовить необходимую для их серийного выпуска документацию. Поэтому производственники, не теряя времени даром, поспешили загрузить мощности ОМЗ массовым изготовлением полностью подготовленного к серийному выпуску ИЖ-7.</w:t>
      </w:r>
    </w:p>
    <w:p w14:paraId="0E335998" w14:textId="77777777" w:rsidR="00235986" w:rsidRPr="00C33834" w:rsidRDefault="00235986" w:rsidP="00C33834">
      <w:pPr>
        <w:widowControl w:val="0"/>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Тогда Наркомат тяжелой промышленности принял решение передать всю документацию на НАТИ-А-750 Подольскому механическому заводу (ПМЗ), в цехах которого уже в марте 1934 года начали делать первую детсятку тяжелых мотоциклов. В июле девять из них продемонстрировали наркому Серго Орджоникидзе. Узнав, что в следующем году работники подольского завода собираются изготовить 500 таких машин, он возразил:</w:t>
      </w:r>
    </w:p>
    <w:p w14:paraId="6300D709" w14:textId="77777777" w:rsidR="00235986" w:rsidRPr="00C33834" w:rsidRDefault="00235986" w:rsidP="00C33834">
      <w:pPr>
        <w:widowControl w:val="0"/>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«Таких мотоциклов необходимо выпустить не менее полутора тысяч!»</w:t>
      </w:r>
    </w:p>
    <w:p w14:paraId="324664AA" w14:textId="77777777" w:rsidR="00235986" w:rsidRPr="00C33834" w:rsidRDefault="00235986" w:rsidP="00C33834">
      <w:pPr>
        <w:widowControl w:val="0"/>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Вскоре НАТИ-А-750 стали производить и на другом заводе. Эти машины быстро завоевали популярность в стране, их охотно приобретали горожане и сельские жители, их применяли, например, для перевозки почты, использовали их и в Красной Армии. А выпускали ПМЗ-А-750 (такое обозначение получил тяжелый мотоцикл) до конца 1938 года.</w:t>
      </w:r>
    </w:p>
    <w:p w14:paraId="519092EA" w14:textId="77777777" w:rsidR="00235986" w:rsidRPr="00C33834" w:rsidRDefault="00235986" w:rsidP="00C33834">
      <w:pPr>
        <w:widowControl w:val="0"/>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Сейчас сохранилось лишь с десяток таких машин, одну из них можно увидеть в московском Политехническом музее (11396).</w:t>
      </w:r>
    </w:p>
    <w:p w14:paraId="32610DF3" w14:textId="77777777" w:rsidR="00235986" w:rsidRPr="00C33834" w:rsidRDefault="00235986" w:rsidP="00C3383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60EF2E"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мая 1933 г. в Ижевске на заводе Автодора удалось сделать лишь четыре мотоцикла НАТИ-А-750, из 10 запланированных, с коляской -только две машины, и один ИЖ-7 [4.66]. Обно</w:t>
      </w:r>
      <w:r w:rsidRPr="00C33834">
        <w:rPr>
          <w:rFonts w:ascii="Times New Roman" w:hAnsi="Times New Roman"/>
          <w:color w:val="000000" w:themeColor="text1"/>
          <w:sz w:val="16"/>
          <w:szCs w:val="16"/>
        </w:rPr>
        <w:softHyphen/>
        <w:t>влённую модель Л-300 назвали ИЖ-7. По откорректированным чертежам изготавливали два экземпляра опытного мотоцикла. Этими работами тоже руководил П.В. Можаров. На ИжМЗ одно</w:t>
      </w:r>
      <w:r w:rsidRPr="00C33834">
        <w:rPr>
          <w:rFonts w:ascii="Times New Roman" w:hAnsi="Times New Roman"/>
          <w:color w:val="000000" w:themeColor="text1"/>
          <w:sz w:val="16"/>
          <w:szCs w:val="16"/>
        </w:rPr>
        <w:softHyphen/>
        <w:t>временно с изготовлением опытных мотоциклов и автомобилей продолжалось строительство нового корпуса завода и оснащение его станками, а также слесарным и другим оборудованием. Из-за того, что строительство запаздывало, суровой зимой 1932-1933 гг. приходилось работать в неотапливаемых помеще</w:t>
      </w:r>
      <w:r w:rsidRPr="00C33834">
        <w:rPr>
          <w:rFonts w:ascii="Times New Roman" w:hAnsi="Times New Roman"/>
          <w:color w:val="000000" w:themeColor="text1"/>
          <w:sz w:val="16"/>
          <w:szCs w:val="16"/>
        </w:rPr>
        <w:softHyphen/>
        <w:t>ниях, при недостаче материалов и комплектующих изделий, по ходу дела вносить изменения в чертежи и переделывать детали. Недоставало опытных инженеров и конструкторов. Сделанные мотоциклы производили на специалистов незначи</w:t>
      </w:r>
      <w:r w:rsidRPr="00C33834">
        <w:rPr>
          <w:rFonts w:ascii="Times New Roman" w:hAnsi="Times New Roman"/>
          <w:color w:val="000000" w:themeColor="text1"/>
          <w:sz w:val="16"/>
          <w:szCs w:val="16"/>
        </w:rPr>
        <w:softHyphen/>
        <w:t>тельное впечатление. Для достижения приемлемой динамики мо</w:t>
      </w:r>
      <w:r w:rsidRPr="00C33834">
        <w:rPr>
          <w:rFonts w:ascii="Times New Roman" w:hAnsi="Times New Roman"/>
          <w:color w:val="000000" w:themeColor="text1"/>
          <w:sz w:val="16"/>
          <w:szCs w:val="16"/>
        </w:rPr>
        <w:softHyphen/>
        <w:t>тоциклов с коляской и без неё требовались разные передаточные отношения в главной передаче. Так, на мотоцикле-одиночке его устанавливали 4,63, а с коляской - 5,23. Это достигалось установ</w:t>
      </w:r>
      <w:r w:rsidRPr="00C33834">
        <w:rPr>
          <w:rFonts w:ascii="Times New Roman" w:hAnsi="Times New Roman"/>
          <w:color w:val="000000" w:themeColor="text1"/>
          <w:sz w:val="16"/>
          <w:szCs w:val="16"/>
        </w:rPr>
        <w:softHyphen/>
        <w:t>кой ведущих звёздочек главной передачи с различным числом зубь</w:t>
      </w:r>
      <w:r w:rsidRPr="00C33834">
        <w:rPr>
          <w:rFonts w:ascii="Times New Roman" w:hAnsi="Times New Roman"/>
          <w:color w:val="000000" w:themeColor="text1"/>
          <w:sz w:val="16"/>
          <w:szCs w:val="16"/>
        </w:rPr>
        <w:softHyphen/>
        <w:t>ев. Для увеличения её долговечности цепь привода заднего колеса поместили в герметически закрытую масляную ванну. Подвеска пе</w:t>
      </w:r>
      <w:r w:rsidRPr="00C33834">
        <w:rPr>
          <w:rFonts w:ascii="Times New Roman" w:hAnsi="Times New Roman"/>
          <w:color w:val="000000" w:themeColor="text1"/>
          <w:sz w:val="16"/>
          <w:szCs w:val="16"/>
        </w:rPr>
        <w:softHyphen/>
        <w:t>реднего колеса обладала наименьшей из возможных вариантов не</w:t>
      </w:r>
      <w:r w:rsidRPr="00C33834">
        <w:rPr>
          <w:rFonts w:ascii="Times New Roman" w:hAnsi="Times New Roman"/>
          <w:color w:val="000000" w:themeColor="text1"/>
          <w:sz w:val="16"/>
          <w:szCs w:val="16"/>
        </w:rPr>
        <w:softHyphen/>
        <w:t>подрессоренной массой. Колесо коляски установили на рычажной подвеске с рессорой [4.67]. Всё это обеспечило приемлемый ком</w:t>
      </w:r>
      <w:r w:rsidRPr="00C33834">
        <w:rPr>
          <w:rFonts w:ascii="Times New Roman" w:hAnsi="Times New Roman"/>
          <w:color w:val="000000" w:themeColor="text1"/>
          <w:sz w:val="16"/>
          <w:szCs w:val="16"/>
        </w:rPr>
        <w:softHyphen/>
        <w:t>форт движения и хорошее «держание дороги» при движении (11429).</w:t>
      </w:r>
    </w:p>
    <w:p w14:paraId="31C491A0"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137FC4" w14:textId="77777777" w:rsidR="00024803" w:rsidRPr="00C33834" w:rsidRDefault="00024803"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 мая</w:t>
      </w:r>
      <w:r w:rsidRPr="00C33834">
        <w:rPr>
          <w:rFonts w:ascii="Times New Roman" w:hAnsi="Times New Roman"/>
          <w:color w:val="000000" w:themeColor="text1"/>
          <w:sz w:val="16"/>
          <w:szCs w:val="16"/>
        </w:rPr>
        <w:t xml:space="preserve"> в 1933 году был образован Ижевский мотозавод (ныне – ОАО «Ижевский мотозавод «Аксион-холдинг» Росавиакосмоса, Удмуртия) – одно из крупнейших АО по производству товаров народного потребления, медицинской техники и средств связи для космических аппаратов, один из лидеров в области приборостроения. Предприятие "Ижевский мотозавод" (ныне ОАО "Ижевский мотозавод "Аксион-холдинг") было основано в 1933 г. как опытно-экспериментальный завод для выпуска первых отечественных мотоциклов. С 1933 по 1941 г. на "Ижевском мотозаводе" были разработаны и запущены в серийное производство мотоциклы "ИЖ-7", "ИЖ-8", "ИЖ-9", "ИЖ-12". В годы Великой Отечественной войны производство мотоциклов было передано на другое предприятие, а перед "Ижевским мотозаводом" была поставлена задача наладить выпуск пулеметов "максим". После войны предприятие перешло к выпуску охотничьих ружей. В 1945 г. было выпущено двуствольное ружье "ИЖ-Б-36" с замком новой конструкции, в 1946 г. создана "Школа оружейного мастерства", разработаны новые образцы ружей: "ИЖ-Б-46", "ИЖ-Б-47", "ИЖ-Б-49". Последняя модель получила очень высокую оценку специалистов и была запущена в массовое производство. В 1948 г. именно на "Ижевском мотозаводе" под руководством еще совсем молодого конструктора старшего сержанта М.Т.Калашникова был разработан первый комплект конструкторской документации и выпущена опытная партия знаменитого «АК-47». В 1949 г. "Ижевский мотозавод" был перепрофилирован на выпуск сложных приборов для ракетной, а затем и космической техники. С этого времени предприятие "Ижевский мотозавод" неразрывно связано с историей освоения космического пространства. Здесь была изготовлена аппаратура связи и телеметрии для обеспечения полета первого искусственного спутника Земли и первого космонавта Юрия Гагарина, и в дальнейшем ни одна космическая программа не обходилась без участия предприятия. Среди крупнейших можно назвать программы "Восток", "Восход", "Венера", "Марс", "Салют", "Мир", "Союз", "Прогресс", "Фобос", "Вега", "Гермес", "Союз-Аполлон", "Интеркосмос", "Буран-Энергия". "Ижевский мотозавод" производил высокоточную аппаратуру связи и телеметрии для космических и военных целей, являясь одним из лидеров в этой области приборостроения. В 1994 г. на предприятии было проведено акционирование. Итогом его стало выделение основных производств в самостоятельные дочерние акционерные общества. Производством продукции специального назначения стало заниматься ОАО "Ижевский мотозавод", а предприятия, занятые в производстве гражданской продукции, в 1999 г. были объединены в ЗАО "Концерн "Аксион" (14878).</w:t>
      </w:r>
    </w:p>
    <w:p w14:paraId="50195779" w14:textId="77777777" w:rsidR="00024803" w:rsidRPr="00C33834" w:rsidRDefault="00024803" w:rsidP="00C33834">
      <w:pPr>
        <w:spacing w:after="0" w:line="240" w:lineRule="auto"/>
        <w:jc w:val="both"/>
        <w:rPr>
          <w:rFonts w:ascii="Times New Roman" w:hAnsi="Times New Roman"/>
          <w:color w:val="000000" w:themeColor="text1"/>
          <w:sz w:val="16"/>
          <w:szCs w:val="16"/>
        </w:rPr>
      </w:pPr>
    </w:p>
    <w:p w14:paraId="773D8B8E"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мая 1933 г. на ИжМЗ изготовили пять мотоциклов. Это событие воспринимали как большое достижение и трудовую по</w:t>
      </w:r>
      <w:r w:rsidRPr="00C33834">
        <w:rPr>
          <w:rFonts w:ascii="Times New Roman" w:hAnsi="Times New Roman"/>
          <w:color w:val="000000" w:themeColor="text1"/>
          <w:sz w:val="16"/>
          <w:szCs w:val="16"/>
        </w:rPr>
        <w:softHyphen/>
        <w:t>беду. Другим важным успехом стал пуск в эксплуатацию механи</w:t>
      </w:r>
      <w:r w:rsidRPr="00C33834">
        <w:rPr>
          <w:rFonts w:ascii="Times New Roman" w:hAnsi="Times New Roman"/>
          <w:color w:val="000000" w:themeColor="text1"/>
          <w:sz w:val="16"/>
          <w:szCs w:val="16"/>
        </w:rPr>
        <w:softHyphen/>
        <w:t>ческого цеха с 28-ю станками [4.110]. До этого производственные площади ИжМЗ размещались в тех же мастерских, где когда-то собирали ружья на фабрике Н.И. Берзина. И если героем созда</w:t>
      </w:r>
      <w:r w:rsidRPr="00C33834">
        <w:rPr>
          <w:rFonts w:ascii="Times New Roman" w:hAnsi="Times New Roman"/>
          <w:color w:val="000000" w:themeColor="text1"/>
          <w:sz w:val="16"/>
          <w:szCs w:val="16"/>
        </w:rPr>
        <w:softHyphen/>
        <w:t>ния мотоциклов НАТИ-А-750 и ИЖ-7 считали П.В. Можарова, то создателем цеха - директора завода И.И. Чекмарёва. В этом цехе начали изготавливать первые мотоциклы ИЖ-7, которых к концу 1933 г. сделали 10 экземпляров [4.111], что не сочли нача</w:t>
      </w:r>
      <w:r w:rsidRPr="00C33834">
        <w:rPr>
          <w:rFonts w:ascii="Times New Roman" w:hAnsi="Times New Roman"/>
          <w:color w:val="000000" w:themeColor="text1"/>
          <w:sz w:val="16"/>
          <w:szCs w:val="16"/>
        </w:rPr>
        <w:softHyphen/>
        <w:t>лом серийного производства этой продукции (11429).</w:t>
      </w:r>
    </w:p>
    <w:p w14:paraId="0F1FB52F"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AD7717" w14:textId="77777777" w:rsidR="007A024B" w:rsidRPr="00C33834" w:rsidRDefault="007A024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 1 мая 1933 в Ижев</w:t>
      </w:r>
      <w:r w:rsidRPr="00C33834">
        <w:rPr>
          <w:rFonts w:ascii="Times New Roman" w:hAnsi="Times New Roman"/>
          <w:color w:val="0070C0"/>
          <w:sz w:val="16"/>
          <w:szCs w:val="16"/>
        </w:rPr>
        <w:softHyphen/>
        <w:t>ске изготовлено пять первых мотоциклов НАТИ-А-750, создан</w:t>
      </w:r>
      <w:r w:rsidRPr="00C33834">
        <w:rPr>
          <w:rFonts w:ascii="Times New Roman" w:hAnsi="Times New Roman"/>
          <w:color w:val="0070C0"/>
          <w:sz w:val="16"/>
          <w:szCs w:val="16"/>
        </w:rPr>
        <w:softHyphen/>
        <w:t>ных под руководством инженера П.В. Можарова, из них два с коляской. Это были тяжёлые мотоциклы со штампованной сварной рамой, имеющие 2-цилинд</w:t>
      </w:r>
      <w:r w:rsidRPr="00C33834">
        <w:rPr>
          <w:rFonts w:ascii="Times New Roman" w:hAnsi="Times New Roman"/>
          <w:color w:val="0070C0"/>
          <w:sz w:val="16"/>
          <w:szCs w:val="16"/>
        </w:rPr>
        <w:softHyphen/>
        <w:t>ровый V-образный 4-тактный двигатель рабочим объемом 750 см3, параллелограммную переднюю вилку, подрессоренное анатомическое седло (по тер</w:t>
      </w:r>
      <w:r w:rsidRPr="00C33834">
        <w:rPr>
          <w:rFonts w:ascii="Times New Roman" w:hAnsi="Times New Roman"/>
          <w:color w:val="0070C0"/>
          <w:sz w:val="16"/>
          <w:szCs w:val="16"/>
        </w:rPr>
        <w:softHyphen/>
        <w:t>минологии тех лет - кавалерийское) и цепной привод заднего колеса, помещённый в герметичный кожух (22518).</w:t>
      </w:r>
    </w:p>
    <w:p w14:paraId="29BE9C2D" w14:textId="77777777" w:rsidR="007A024B" w:rsidRPr="00C33834" w:rsidRDefault="007A024B" w:rsidP="00C33834">
      <w:pPr>
        <w:spacing w:after="0" w:line="240" w:lineRule="auto"/>
        <w:jc w:val="both"/>
        <w:rPr>
          <w:rFonts w:ascii="Times New Roman" w:hAnsi="Times New Roman"/>
          <w:color w:val="0070C0"/>
          <w:sz w:val="16"/>
          <w:szCs w:val="16"/>
        </w:rPr>
      </w:pPr>
    </w:p>
    <w:p w14:paraId="4E768372" w14:textId="77777777" w:rsidR="004876B8" w:rsidRPr="00C33834" w:rsidRDefault="004876B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состоянию на 1 мая 1933 г. при наличии в войсках 6951 радиостанции обеспеченность войск этими средствами составляла всего 33%3.</w:t>
      </w:r>
    </w:p>
    <w:p w14:paraId="339D8F2C" w14:textId="77777777" w:rsidR="004876B8" w:rsidRPr="00C33834" w:rsidRDefault="004876B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Главным негативным итогом первой пятилетки для электрослаботочной промышленности стало несоответствие темпов развертывания ее производства и капитальных затрат на развитие, необеспеченность принятых темпов соответствующим материально-техническим снабжением. Уже в начале пятилетки рост производства в отрасли составил 487%, при том, что аналогичный показатель в целом для машиностроения равнялся 355%, а, например, для производства метизов – 244%. Между тем капитальные вложения в машиностроение оценивались в сумме 900 млн. руб., в производство метиз 105 млн. руб., а в электропромышленность не превышали 165 млн. руб. Несмотря на большой рост выпускаемой продукции (с 64 млн. руб. в 1928/1929 г. до 297 млн. руб. в 1932 г. в ценах 1926/27 г.) электропромышленность не смогла в достаточной мере удовлетворить спрос на средства связи ни народного хозяйства, ни силовых ведомств. Общая потребность в изделиях слабого тока к началу второй пятилетки определялась ориентировочно в 1300 млн. руб., между тем как производственные возможности заводов всего в 500 млн. руб. (18297).</w:t>
      </w:r>
    </w:p>
    <w:p w14:paraId="3E8A4DE5" w14:textId="77777777" w:rsidR="004876B8" w:rsidRPr="00C33834" w:rsidRDefault="004876B8" w:rsidP="00C33834">
      <w:pPr>
        <w:spacing w:after="0" w:line="240" w:lineRule="auto"/>
        <w:jc w:val="both"/>
        <w:rPr>
          <w:rFonts w:ascii="Times New Roman" w:hAnsi="Times New Roman"/>
          <w:color w:val="000000" w:themeColor="text1"/>
          <w:sz w:val="16"/>
          <w:szCs w:val="16"/>
        </w:rPr>
      </w:pPr>
    </w:p>
    <w:p w14:paraId="5ADB2BE6" w14:textId="77777777" w:rsidR="004876B8" w:rsidRPr="00C33834" w:rsidRDefault="004876B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мая 1933 г. при на</w:t>
      </w:r>
      <w:r w:rsidRPr="00C33834">
        <w:rPr>
          <w:rFonts w:ascii="Times New Roman" w:hAnsi="Times New Roman"/>
          <w:color w:val="000000" w:themeColor="text1"/>
          <w:sz w:val="16"/>
          <w:szCs w:val="16"/>
        </w:rPr>
        <w:softHyphen/>
        <w:t>личии в войсках 6951 радиостанции обеспеченность войск этими средствами со</w:t>
      </w:r>
      <w:r w:rsidRPr="00C33834">
        <w:rPr>
          <w:rFonts w:ascii="Times New Roman" w:hAnsi="Times New Roman"/>
          <w:color w:val="000000" w:themeColor="text1"/>
          <w:sz w:val="16"/>
          <w:szCs w:val="16"/>
        </w:rPr>
        <w:softHyphen/>
        <w:t>ставляла всего 33% (19098).</w:t>
      </w:r>
    </w:p>
    <w:p w14:paraId="252FEB00" w14:textId="77777777" w:rsidR="004876B8" w:rsidRPr="00C33834" w:rsidRDefault="004876B8" w:rsidP="00C33834">
      <w:pPr>
        <w:spacing w:after="0" w:line="240" w:lineRule="auto"/>
        <w:jc w:val="both"/>
        <w:rPr>
          <w:rFonts w:ascii="Times New Roman" w:hAnsi="Times New Roman"/>
          <w:color w:val="000000" w:themeColor="text1"/>
          <w:sz w:val="16"/>
          <w:szCs w:val="16"/>
        </w:rPr>
      </w:pPr>
    </w:p>
    <w:p w14:paraId="3A572DAD" w14:textId="77777777" w:rsidR="00235986"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3D80150C" w14:textId="77777777" w:rsidR="00235986" w:rsidRPr="00C33834" w:rsidRDefault="002359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5B446F8"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ввели должность помошника командующего МСДВ по ВВС (1085,94).</w:t>
      </w:r>
    </w:p>
    <w:p w14:paraId="2013A197"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2C2ADD52" w14:textId="3B8E6E85"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г. ввели должность помощника командующего МСДВ по ВВС, на которую назначили комкора Л.И.Никифорова. Ему переда</w:t>
      </w:r>
      <w:r w:rsidRPr="00C33834">
        <w:rPr>
          <w:rFonts w:ascii="Times New Roman" w:hAnsi="Times New Roman"/>
          <w:color w:val="000000" w:themeColor="text1"/>
          <w:sz w:val="16"/>
          <w:szCs w:val="16"/>
        </w:rPr>
        <w:softHyphen/>
        <w:t>ли в подчинение все объединения и части ВВС МСДВ, а в октябре сфор</w:t>
      </w:r>
      <w:r w:rsidRPr="00C33834">
        <w:rPr>
          <w:rFonts w:ascii="Times New Roman" w:hAnsi="Times New Roman"/>
          <w:color w:val="000000" w:themeColor="text1"/>
          <w:sz w:val="16"/>
          <w:szCs w:val="16"/>
        </w:rPr>
        <w:softHyphen/>
        <w:t>мировали Управление и штаб ВВС МСДВ, которые в июне 1935 г. пе</w:t>
      </w:r>
      <w:r w:rsidRPr="00C33834">
        <w:rPr>
          <w:rFonts w:ascii="Times New Roman" w:hAnsi="Times New Roman"/>
          <w:color w:val="000000" w:themeColor="text1"/>
          <w:sz w:val="16"/>
          <w:szCs w:val="16"/>
        </w:rPr>
        <w:softHyphen/>
        <w:t>реименовали в Управление ВВС ТОФ (12084).</w:t>
      </w:r>
    </w:p>
    <w:p w14:paraId="037966DD"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636BD81E" w14:textId="77777777" w:rsidR="00DD4F9F" w:rsidRPr="00C33834" w:rsidRDefault="00DD4F9F"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По состоянию на 1 мая 1933 года в Красной Армии всего имелось 5729 танков и танкеток, из них Т-27 – 2430 шт., Т-37 – 50 шт., МС-1 (Т-18) – 950 шт., Т-26 – 1550 шт., БТ-2 и БТ-5 – 710 шт., Т-24 – 25 шт., Т-28 – 12 шт. и Т-35 – 2 шт. При этом 1897 танков и танкеток входило в состав механизированных соединений и частей – </w:t>
      </w:r>
      <w:r w:rsidRPr="00C33834">
        <w:rPr>
          <w:rFonts w:ascii="Times New Roman" w:eastAsia="Times New Roman" w:hAnsi="Times New Roman"/>
          <w:color w:val="000000" w:themeColor="text1"/>
          <w:sz w:val="16"/>
          <w:szCs w:val="16"/>
          <w:lang w:eastAsia="ru-RU"/>
        </w:rPr>
        <w:lastRenderedPageBreak/>
        <w:t xml:space="preserve">двух мехкорпусов, шести отдельных мехбригад, четырнадцати мехполков и семи мехдивизионов конницы; 849 танков и танкеток входило в состав танкового резерва Главного Командования (ТРГК), остальные танки и танкетки в качестве отдельных танковых и танкетных батальонов и рот были внедрены в общевойсковые соединения, в основном в стрелковые дивизии (17501). </w:t>
      </w:r>
    </w:p>
    <w:p w14:paraId="3B4EDAB4" w14:textId="77777777" w:rsidR="00DD4F9F" w:rsidRPr="00C33834" w:rsidRDefault="00DD4F9F" w:rsidP="00C33834">
      <w:pPr>
        <w:spacing w:after="0" w:line="240" w:lineRule="auto"/>
        <w:jc w:val="both"/>
        <w:rPr>
          <w:rFonts w:ascii="Times New Roman" w:eastAsia="Times New Roman" w:hAnsi="Times New Roman"/>
          <w:color w:val="000000" w:themeColor="text1"/>
          <w:sz w:val="16"/>
          <w:szCs w:val="16"/>
          <w:lang w:eastAsia="ru-RU"/>
        </w:rPr>
      </w:pPr>
    </w:p>
    <w:p w14:paraId="659A3F00" w14:textId="77777777" w:rsidR="007A024B" w:rsidRPr="00C33834" w:rsidRDefault="007A024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"К 1 мая (1933) ряд войсковых частей... к отмобилизованию не готов, главным образом вследствие материальной необеспеченности" – утверждал Начальник Главного управления РККА. Поэтому он предлагал не задерживать переход на мобрасписание № 15, поскольку оно в лучшую сторону отличается от фактически несуществующего МР-11 (Доклад Начальника Главного Управления РККА Фельдмана Начальнику Штаба РККА Егорову "О проработке МР-33 г.", [ранее 13].05.1933 // Там же. Л. 188).</w:t>
      </w:r>
    </w:p>
    <w:p w14:paraId="696FE260" w14:textId="77777777" w:rsidR="007A024B" w:rsidRPr="00C33834" w:rsidRDefault="007A024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В основных чертах повторилась ситуация 1931 г., когда необходимость перехода на расписание № 11 обосновывалась нежизненностью варианта № 10. Однако па этот раз руководство заранее не питало больших иллюзий в отношении способности вооруженных сил отмобилизоваться по последнему в первой пятилетке мобплану. Решения, принятые военным ведомством в июле 1932 г. и направленные на замедление наращивания масштабов Красной Армии мирного и военного времени, на приближение мобилизационного планирования к действительному состоянию экономики страны, оказались в лучшем случае паллиативом. Будучи основаны на ложных посылках относительно механизации армии и территориальной системы ее комплектования, они вместе с тем были чреваты полной разбалансировкой и дестабилизацией военного организма (22725).</w:t>
      </w:r>
    </w:p>
    <w:p w14:paraId="044C74FD" w14:textId="77777777" w:rsidR="007A024B" w:rsidRPr="00C33834" w:rsidRDefault="007A024B" w:rsidP="00C33834">
      <w:pPr>
        <w:shd w:val="clear" w:color="auto" w:fill="FFFFFF"/>
        <w:spacing w:after="0" w:line="240" w:lineRule="auto"/>
        <w:jc w:val="both"/>
        <w:rPr>
          <w:rFonts w:ascii="Times New Roman" w:eastAsia="Times New Roman" w:hAnsi="Times New Roman"/>
          <w:color w:val="0070C0"/>
          <w:sz w:val="16"/>
          <w:szCs w:val="16"/>
          <w:lang w:eastAsia="ru-RU"/>
        </w:rPr>
      </w:pPr>
    </w:p>
    <w:p w14:paraId="5B290321"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состоянию на 1 мая 1933 г. при на личии в войсках 6951 радиостанции обеспеченность войск этими средствами со ставляла всего 33%. Такое состояние дел в отрасли заставило высшие органы государственной власти СССР принять срочные меры к его исправлению. Для выполнения напряженной пятилетней программы целый ряд меро приятий был проведен в самом Главэспроме. В целях скорейшего освоения но вой техники, объем которой возрастал из года в год, была проведена перестрой ка научно- исследовательской работы путем реорганизации центральных лабора торий с приданием им узкого профиля, отвечающего запросам заводов (ЦГАИПД СПб., ф. 24, оп. 13, д. 186, л. 9.). Благодаря развертыванию строительства новых предприятий в различных регионах страны к 1936 г. в структуре Главэспрома действовало уже 16 заводов, 3 центральные лаборатории, несколько институтов, контор и строительных орга низаций. При этом Ленинград продолжал оставаться крупнейшим промышлен ным и научно-исследовательским центром, где располагались 7 заводов, 2 цен тральные лаборатории и выпускалось более 62% всей валовой продукции элек трослаботочной отрасли (ЦГАИПД СПб., ф. 24, оп. 13, д. 186, л. 17.) (11870).</w:t>
      </w:r>
    </w:p>
    <w:p w14:paraId="4F69FDBA"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3037A243" w14:textId="77777777" w:rsidR="002359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6158A813"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2134C289"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ко дню «международного пролетарского праздника» предполагалось досрочно освободить всех наказанных в дисциплинарном порядке на срок до 20 суток заключенных, «в/н» (вольнонаемных) и работников ВОХР. Однако в процессе редактирования соответствующего документа упоминание «в/н», ВОХР и гауптвахты для них было вычеркнуто: мини-амнистия коснулась лишь заключенных (7560).</w:t>
      </w:r>
    </w:p>
    <w:p w14:paraId="0017CF40"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2C7676AF" w14:textId="77777777" w:rsidR="002359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57B3E666" w14:textId="77777777" w:rsidR="00235986" w:rsidRPr="00C33834" w:rsidRDefault="002359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B9AC1D4"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НИИ ВВС посетили Вильгельм Пик - чл. Президиума и Секретариата ИККИ, ГК Красной армии Китая Джу Дэ, Секретарь ИККИ О.Куусинен и чл. Президиума ЦИК М.Г.Цхакая (172,51).</w:t>
      </w:r>
    </w:p>
    <w:p w14:paraId="6B0AB5A2"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14E6FCF8" w14:textId="77777777" w:rsidR="002359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7C8365F8" w14:textId="77777777" w:rsidR="00235986" w:rsidRPr="00C33834" w:rsidRDefault="002359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7EBDDEB"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была установлена телефонная связь между Англией и Индией (3481).</w:t>
      </w:r>
    </w:p>
    <w:p w14:paraId="0EAD5FE8"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2C451176"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1933 были разгромлены независимые профсоюзы в Германии (3960, 172).</w:t>
      </w:r>
    </w:p>
    <w:p w14:paraId="70BBAEF6"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6B33FE10" w14:textId="77777777" w:rsidR="002359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4A69ED4" w14:textId="77777777" w:rsidR="00235986" w:rsidRPr="00C33834" w:rsidRDefault="002359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727FDF6"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мая 1933 закончились гос. испытания М-34Р (438,644), которые шли с апреля 1933 (2281,67).</w:t>
      </w:r>
    </w:p>
    <w:p w14:paraId="6446A320"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04ECFDE3" w14:textId="77777777" w:rsidR="00851A97" w:rsidRPr="00C33834" w:rsidRDefault="00851A9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мая в 1933 году закончились госиспытания мотора </w:t>
      </w:r>
      <w:hyperlink r:id="rId148" w:tgtFrame="_blank" w:history="1">
        <w:r w:rsidRPr="00C33834">
          <w:rPr>
            <w:rFonts w:ascii="Times New Roman" w:hAnsi="Times New Roman"/>
            <w:color w:val="000000" w:themeColor="text1"/>
            <w:sz w:val="16"/>
            <w:szCs w:val="16"/>
          </w:rPr>
          <w:t>«М-34Р» (редукторный).</w:t>
        </w:r>
      </w:hyperlink>
    </w:p>
    <w:p w14:paraId="12D4993A" w14:textId="77777777" w:rsidR="00851A97" w:rsidRPr="00C33834" w:rsidRDefault="00851A97" w:rsidP="00C33834">
      <w:pPr>
        <w:spacing w:after="0" w:line="240" w:lineRule="auto"/>
        <w:jc w:val="both"/>
        <w:rPr>
          <w:rFonts w:ascii="Times New Roman" w:hAnsi="Times New Roman"/>
          <w:color w:val="000000" w:themeColor="text1"/>
          <w:sz w:val="16"/>
          <w:szCs w:val="16"/>
        </w:rPr>
      </w:pPr>
    </w:p>
    <w:p w14:paraId="0106FC8C"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мая 1933 - И.В.С. приезжал на ЦА. Первый раз видел В.П.Ч. Спрашивал о И-16 и об испытаниях. Пилотаж - понравился (74,87).</w:t>
      </w:r>
    </w:p>
    <w:p w14:paraId="04133C5D" w14:textId="3F79AD35"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39F68E11" w14:textId="76444EF4" w:rsidR="007A024B" w:rsidRPr="00C33834" w:rsidRDefault="007A024B" w:rsidP="00C33834">
      <w:pPr>
        <w:autoSpaceDE w:val="0"/>
        <w:autoSpaceDN w:val="0"/>
        <w:adjustRightInd w:val="0"/>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Армия:</w:t>
      </w:r>
    </w:p>
    <w:p w14:paraId="30AB7FDD" w14:textId="77777777" w:rsidR="007A024B" w:rsidRPr="00C33834" w:rsidRDefault="007A024B" w:rsidP="00C33834">
      <w:pPr>
        <w:autoSpaceDE w:val="0"/>
        <w:autoSpaceDN w:val="0"/>
        <w:adjustRightInd w:val="0"/>
        <w:spacing w:after="0" w:line="240" w:lineRule="auto"/>
        <w:jc w:val="both"/>
        <w:rPr>
          <w:rFonts w:ascii="Times New Roman" w:hAnsi="Times New Roman"/>
          <w:i/>
          <w:iCs/>
          <w:color w:val="000000" w:themeColor="text1"/>
          <w:sz w:val="16"/>
          <w:szCs w:val="16"/>
        </w:rPr>
      </w:pPr>
    </w:p>
    <w:p w14:paraId="40F30760" w14:textId="77777777" w:rsidR="007A024B" w:rsidRPr="00C33834" w:rsidRDefault="007A024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2 мая 1933 в выступлении перед участниками первомайского парада 1933 г. Сталин совместил свое рассуждение двухлетней давности об извечной военной отсталости России с утверждением, что "новая власть, власть Советов, организовала и технически перевооружила свою армию - страну". Оптимизм Генерального секретаря подразумевал ненужность выделения новых значительных ресурсов на военные приготовления.</w:t>
      </w:r>
    </w:p>
    <w:p w14:paraId="466ED4FA" w14:textId="77777777" w:rsidR="007A024B" w:rsidRPr="00C33834" w:rsidRDefault="007A024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Сталин поспешил заверить: "Я знаю, что у нас еще много трудностей, я знаю, что мы их преодолеваем, эти трудности, я знаю, что не все гладко и сейчас мы сделали так, чтобы нас никто не бил, никто не посмел бы бить, и мы сделаем так, чтобы этот год был последним годом, чтобы кое-кто перестал брюзжать по этому поводу. Знайте, что большевики слов даром на ветер не бросают. Год пройдет, и мы изживем наши трудности, мы заживем весело, бодро" (Конспективная запись Р. П. Хмельницкого, 02.05.1933 // Застольные речи Сталина: Документы и материалы / Вступ. ст., сост., комм, прилож. В. А Невежина. М., 2003. С. 44-45). Что это означало, не знал, вероятно, и сам оратор (22725).</w:t>
      </w:r>
    </w:p>
    <w:p w14:paraId="24ED5243" w14:textId="77777777" w:rsidR="007A024B" w:rsidRPr="00C33834" w:rsidRDefault="007A024B" w:rsidP="00C33834">
      <w:pPr>
        <w:spacing w:after="0" w:line="240" w:lineRule="auto"/>
        <w:jc w:val="both"/>
        <w:rPr>
          <w:rFonts w:ascii="Times New Roman" w:hAnsi="Times New Roman"/>
          <w:color w:val="0070C0"/>
          <w:sz w:val="16"/>
          <w:szCs w:val="16"/>
        </w:rPr>
      </w:pPr>
    </w:p>
    <w:p w14:paraId="70FF636C" w14:textId="77777777" w:rsidR="002359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10960EF2" w14:textId="77777777" w:rsidR="00235986" w:rsidRPr="00C33834" w:rsidRDefault="002359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7C812EF"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мая 1933 были разгромлены независимые союзы в Германии (2443,407).</w:t>
      </w:r>
    </w:p>
    <w:p w14:paraId="018B3D6F"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55C0804C" w14:textId="77777777" w:rsidR="00235986" w:rsidRPr="00C33834" w:rsidRDefault="00235986"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мая 1933 в Германии запрещены независимые профсоюзы (4962).</w:t>
      </w:r>
    </w:p>
    <w:p w14:paraId="5506CD8F" w14:textId="77777777" w:rsidR="00235986" w:rsidRPr="00C33834" w:rsidRDefault="00235986"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08C61D" w14:textId="77777777" w:rsidR="00851A97" w:rsidRPr="00C33834" w:rsidRDefault="00851A9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мая в 1933 году в Германии запрещается деятельность всех профсоюзов. Их руководство арестовывается. Образуется Германский трудовой фронт (14879).</w:t>
      </w:r>
    </w:p>
    <w:p w14:paraId="48A4EDDF" w14:textId="77777777" w:rsidR="00851A97" w:rsidRPr="00C33834" w:rsidRDefault="00851A97" w:rsidP="00C33834">
      <w:pPr>
        <w:spacing w:after="0" w:line="240" w:lineRule="auto"/>
        <w:jc w:val="both"/>
        <w:rPr>
          <w:rFonts w:ascii="Times New Roman" w:hAnsi="Times New Roman"/>
          <w:color w:val="000000" w:themeColor="text1"/>
          <w:sz w:val="16"/>
          <w:szCs w:val="16"/>
        </w:rPr>
      </w:pPr>
    </w:p>
    <w:p w14:paraId="7A466BB6" w14:textId="77777777" w:rsidR="007937A6" w:rsidRPr="00C33834" w:rsidRDefault="007937A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мая 1933 центры профсоюзов были закрыты, профсоюзные фонды конфискованы, сами профсоюзы запрещены, а их руководители арестованы. Многих избили и бросили в концентрационные лагеря. Теодор Лейпарт и Петер Грассман, председатели Всеобщего немецкого объединения профсоюзов, открыто заявили о согласии сотрудничать с нацистским режимом. Но их все равно арестовали. "Пусть все эти лейпарты и грассманы лицемерно болтают, сколько им влезет, о своей преданности фюреру, - заявил нацистский лидер из Кельна, алкоголик д-р Роберт Лей, которому Гитлер поручил разогнать профсоюзы и учредить "Немецкий трудовой фронт", - а все же лучше, если они сядут в тюрьму". Там они и оказались (17283).</w:t>
      </w:r>
    </w:p>
    <w:p w14:paraId="7A9F1967" w14:textId="77777777" w:rsidR="007937A6" w:rsidRPr="00C33834" w:rsidRDefault="007937A6" w:rsidP="00C33834">
      <w:pPr>
        <w:autoSpaceDE w:val="0"/>
        <w:autoSpaceDN w:val="0"/>
        <w:adjustRightInd w:val="0"/>
        <w:spacing w:after="0" w:line="240" w:lineRule="auto"/>
        <w:jc w:val="both"/>
        <w:rPr>
          <w:rFonts w:ascii="Times New Roman" w:hAnsi="Times New Roman"/>
          <w:color w:val="000000" w:themeColor="text1"/>
          <w:sz w:val="16"/>
          <w:szCs w:val="16"/>
        </w:rPr>
      </w:pPr>
    </w:p>
    <w:p w14:paraId="449E8106" w14:textId="77777777" w:rsidR="004876B8" w:rsidRPr="00C33834" w:rsidRDefault="004876B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мая 1933 года, на следующий день после Дня национального труда, помещения профсоюзов были захвачены, имущество конфисковано, а ведущие деятели арестованы. 10 мая был образован Германский трудовой фронт (ДАФ) под руководством Роберта Лея, в дальнейшем осуществляющий формальное посредничество между рабочими и предприятиями. Закон «О порядке национальной работы» от 20 января 1934 года ввел новые понятия: отныне работодатель именовался руководителем производства («Betriebsf?hrer»), а наемные работники — свитой («Gefolgschaft»). ДАФ по возможности жестко проводил линию по повышению производительности труда и приобщению «свиты» к господствующей идеологии. Часто используемым инструментом пропаганды было объединение «Сила через радость», занимавшееся вопросами организации и контроля досуга населения. С 1936 года произошли изменения в порядке трудоустройства, а также было введено понятие исправительных работ. С целью большей управляемости рабочими были введены трудовые книжки, в связи с чем при смене места работы ограничивались возможности карьерного роста (18291).</w:t>
      </w:r>
    </w:p>
    <w:p w14:paraId="0FC89FB8" w14:textId="77777777" w:rsidR="004876B8" w:rsidRPr="00C33834" w:rsidRDefault="004876B8" w:rsidP="00C33834">
      <w:pPr>
        <w:spacing w:after="0" w:line="240" w:lineRule="auto"/>
        <w:jc w:val="both"/>
        <w:rPr>
          <w:rFonts w:ascii="Times New Roman" w:hAnsi="Times New Roman"/>
          <w:color w:val="000000" w:themeColor="text1"/>
          <w:sz w:val="16"/>
          <w:szCs w:val="16"/>
        </w:rPr>
      </w:pPr>
    </w:p>
    <w:p w14:paraId="1EA415D6" w14:textId="77777777" w:rsidR="002359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7E66ADE" w14:textId="77777777" w:rsidR="00235986" w:rsidRPr="00C33834" w:rsidRDefault="002359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D9E7BFE"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3/4 мая 1933 состоялось заседание комиссии ЦАГИ по вопросу облегчения ТБ-3 (АНТ-6) М-17 и В.М.П. поручили выяснить экономию веса за счет окраски в один слой вместо двух (1077,127).</w:t>
      </w:r>
    </w:p>
    <w:p w14:paraId="4407CC10"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7A2C6756"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мая 1933 Пом. Нач. ГУАП Алмазов писал письмо N 277/244с Нач. ЦКБ Завода 39 С.В.И. с просьбой в срочном порядке представить в ИНО ГУАП с копией НТОС спецификацию на приборы для высотного самолета и ТТ на них...(2304,10).</w:t>
      </w:r>
    </w:p>
    <w:p w14:paraId="1485532B"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59D45516" w14:textId="77777777" w:rsidR="002359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1D11D3C" w14:textId="77777777" w:rsidR="00235986" w:rsidRPr="00C33834" w:rsidRDefault="002359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E5B6463"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мая 1933 г. на заводе «Водтрансприбор» (Ленинград) открылся цех по производству гидроакустической аппаратуры, но уже через год приняли решение о реконструкции завода с целью увеличения его мощностей в 2,5 раза, которая закончилась в 1939 г. (11079)</w:t>
      </w:r>
    </w:p>
    <w:p w14:paraId="6326D86B"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64497263"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мая 1933 № 87 приказом Речсоюзверфи Гипроверфь была передана в состав Союзверфи на правах Московского отделе</w:t>
      </w:r>
      <w:r w:rsidRPr="00C33834">
        <w:rPr>
          <w:rFonts w:ascii="Times New Roman" w:hAnsi="Times New Roman"/>
          <w:color w:val="000000" w:themeColor="text1"/>
          <w:sz w:val="16"/>
          <w:szCs w:val="16"/>
        </w:rPr>
        <w:softHyphen/>
        <w:t>ния Проектверфи (3898).</w:t>
      </w:r>
    </w:p>
    <w:p w14:paraId="70B620EB"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1619D93A"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мая 1933 г. московская Гипроверфь, созданная в 1931, по приказу «Речсоюзверфи» № 87 была передана в состав «Союзверфи» на правах Московского отделения Проектверфи (11982).</w:t>
      </w:r>
    </w:p>
    <w:p w14:paraId="78AF314D" w14:textId="77777777" w:rsidR="00291347" w:rsidRPr="00C33834" w:rsidRDefault="00291347" w:rsidP="00C33834">
      <w:pPr>
        <w:spacing w:after="0" w:line="240" w:lineRule="auto"/>
        <w:jc w:val="both"/>
        <w:rPr>
          <w:rFonts w:ascii="Times New Roman" w:hAnsi="Times New Roman"/>
          <w:color w:val="000000" w:themeColor="text1"/>
          <w:sz w:val="16"/>
          <w:szCs w:val="16"/>
        </w:rPr>
      </w:pPr>
    </w:p>
    <w:p w14:paraId="74034FC1" w14:textId="77777777" w:rsidR="0029134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E1797D3" w14:textId="77777777" w:rsidR="00291347" w:rsidRPr="00C33834" w:rsidRDefault="0029134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A28451B" w14:textId="77777777" w:rsidR="00291347" w:rsidRPr="00C33834" w:rsidRDefault="0029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 мая в 1933 году поднялся в воздух </w:t>
      </w:r>
      <w:hyperlink r:id="rId149" w:tgtFrame="_blank" w:history="1">
        <w:r w:rsidRPr="00C33834">
          <w:rPr>
            <w:rFonts w:ascii="Times New Roman" w:hAnsi="Times New Roman"/>
            <w:color w:val="000000" w:themeColor="text1"/>
            <w:sz w:val="16"/>
            <w:szCs w:val="16"/>
          </w:rPr>
          <w:t xml:space="preserve">«DoJ II f bos», </w:t>
        </w:r>
      </w:hyperlink>
      <w:r w:rsidRPr="00C33834">
        <w:rPr>
          <w:rFonts w:ascii="Times New Roman" w:hAnsi="Times New Roman"/>
          <w:color w:val="000000" w:themeColor="text1"/>
          <w:sz w:val="16"/>
          <w:szCs w:val="16"/>
        </w:rPr>
        <w:t>этот тип иногда еще называли "Валь-33". «DoJ II f bos», имел увеличенный до 27,2 м размах крыла, поддерживаемый дополнительными подкосами, редукторные моторы «BMW» VIU (750 л. с.) и полностью закрытую пилотскую кабину. Эти самолеты также строились в Манцеле. Запас горючего у них достигал 4720 л, что увеличило дальность полета до 3600 км - более чем в полтора раза по сравнению с «DoJII a Bos». А грузоподъемность возросла до 10 тонн (14880).</w:t>
      </w:r>
    </w:p>
    <w:p w14:paraId="65EFF346" w14:textId="77777777" w:rsidR="00291347" w:rsidRPr="00C33834" w:rsidRDefault="00291347" w:rsidP="00C33834">
      <w:pPr>
        <w:spacing w:after="0" w:line="240" w:lineRule="auto"/>
        <w:jc w:val="both"/>
        <w:rPr>
          <w:rFonts w:ascii="Times New Roman" w:hAnsi="Times New Roman"/>
          <w:color w:val="000000" w:themeColor="text1"/>
          <w:sz w:val="16"/>
          <w:szCs w:val="16"/>
        </w:rPr>
      </w:pPr>
    </w:p>
    <w:p w14:paraId="4154B5CC" w14:textId="77777777" w:rsidR="002359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9CF2621" w14:textId="77777777" w:rsidR="00235986" w:rsidRPr="00C33834" w:rsidRDefault="002359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AF6A3B8"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мая 1933 был подготовлен проект письма Зам. НКОП П.И.Б. Чл. Коллегии НК РКИ СССР и Нач. ВМИ В.В.Куйбышеву о проверке положения на заводе ХАЗ - потом было повторено 26 июня 1933, но так и не было отправлено (2305,91). В ответ на письмо N456/ма от 16 апреля 1933 (2305,81).</w:t>
      </w:r>
    </w:p>
    <w:p w14:paraId="72F39A9D"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июня 1933 Зам. НКТП П.И.Б. писал письмо Чл. Коллегии НК РКИ СССР, Нач. ВМИ В.В.Куйбышеву по вопросу реализации постановления ЦКК НК РКИ УССР N 15/11 от 16 марта 1933 по обследованию ХАЗ и реализации ряда мероприятий. Отмечал, что ГУАП начал эту работу еще до выхода постановления с тем, чтобы К.А.К. сосредоточился на К-7 во 2 кв. 1933, однако соглашался, что положение с опытным самолетостроением не совсем нормальная. Кроме К-5 нет ничего и прежде всего современного образца для запуска в производство в 1934. Единственная загрузка на 1934 - внедрение маломощного К-9. Текст почти не отличается от письма 4 мая 1933 - письмо так и не появилось (2305,93).</w:t>
      </w:r>
    </w:p>
    <w:p w14:paraId="067F71E6"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вх./№ 456Мс по вопросу постановления ЦКК НК РКИ УССР за № 15/11 от 16 марта 1933 г., связанное с обследованием ХАЗ с указанием ряда мероприятий, необходимых к проведению на ХАЗе с целью оздоровления его работы.</w:t>
      </w:r>
    </w:p>
    <w:p w14:paraId="62413794"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 своей стороны мною еще до обследования ХАЗа НК РКИ УССР в связи с невыполнением заводом программы как следствие несвоевременной подготовки производства со стороны директора завода и его помошников по техчасти, неоднократно высылались бригады ответственных технических работников для выяснения всех ненормальностей в работе завода и устранения их непосредственно на месте. - с целью производства соответствующего задела, каковой совершенно отсутствовал в начале 1-го квартала 1933 г. Мною изменена годовая разбивка сдачи самолетов с последующей загрузкой 3-го и 4-го кварталов и одновременно дать возможность т. Калинину сосредоточить все внимание на выпуске опытного с-та К-7 во втором квартале.</w:t>
      </w:r>
    </w:p>
    <w:p w14:paraId="7AFE1D5A"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Соответствующими Секторами ГУВА произведены:</w:t>
      </w:r>
    </w:p>
    <w:p w14:paraId="01B8F7D1"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расчеты квартальных норм на единицу изделия выпускаемой продукции заводом,</w:t>
      </w:r>
    </w:p>
    <w:p w14:paraId="3007B29E"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оказана техническая помощь по внедрению технорм, пересматриваемых заводом, согласно постановления НКТП от 13 февраля 1933,</w:t>
      </w:r>
    </w:p>
    <w:p w14:paraId="325C18E4"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годовая программа разбита на серии с целью выявления себестоимости с-тов,</w:t>
      </w:r>
    </w:p>
    <w:p w14:paraId="1233A3DE"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в пределах утвержденных мною годовых лимитов произведено сокращение излишней рабсилы и административно-технического состава в пределах задела.</w:t>
      </w:r>
    </w:p>
    <w:p w14:paraId="62224899"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срыв подготовки производства моим распоряжением снят с работы техдиректор т. Петров, с объявлением ему выговора по заводу.</w:t>
      </w:r>
    </w:p>
    <w:p w14:paraId="58480453"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целью укрепления технического аппарата завода по серийному производству произведен ряд перемещений техперсонала с целью укрепления слабых участков в работе завода.</w:t>
      </w:r>
    </w:p>
    <w:p w14:paraId="5DDACFD3"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Считая, что принятые мною меры по исжитию ряда нездоровых явлений в работе ХАЗа и считаясь с положением, в котором находится задел, надо отметить, что все эти мероприятия вывели задел из хронического прорывного состояния - результат выполнения программы за 5 мес. Текущего года.</w:t>
      </w:r>
    </w:p>
    <w:p w14:paraId="2E63AC2B"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Что же касается опытного самолетостроения, то положение на ХАЗе не совсем нормальное.</w:t>
      </w:r>
    </w:p>
    <w:p w14:paraId="40D0B148"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 Калинин является не только директором з-да, но и ГК, а потому сам должен подготавливать для серийного пр-ва новые образцы, улучшающие год от года гражданское самолетостроение.</w:t>
      </w:r>
    </w:p>
    <w:p w14:paraId="212DF1D2"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тем, кроме как выпускаемого с-та К-5, ХАХом мы ничего не имеем современного с-та для подготовки производства по выпуску в 1934 г. Потребность же в более современных гражданских с-тах имеется большая.</w:t>
      </w:r>
    </w:p>
    <w:p w14:paraId="7AA2D6E2"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Единственная загрузка з-да на 1934 конструкциями ХАЗв, это внедрение маломощного с-та К-9, при условии форсирования выпуска со стороны т. Калинина эталона на линии производства и производство летных испытаний в воздухе.Только после этого можно будет говорить об образце типа каковой загрузит цеха завода.Срок и установки мною даны и все будет зависить от завода и от тех заказчиков, которые должны будут приняты на снабжение этот тип с-та.</w:t>
      </w:r>
    </w:p>
    <w:p w14:paraId="541A94E3"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отношении дальнейшего существования завода ХАЗ, то он как был, так и остается опытно-серийным з-дом в системе ГУАП, причем серийная программа давалась и будет даваться в пределах существующей мощности и никакой больше реорганизации ХАЗа не предусматривается в 1933 г., за исключением тех необходимых мероприятий в пределах предусмотренных лимитов по капитальному строительству на 1933 г. (2305,93).</w:t>
      </w:r>
    </w:p>
    <w:p w14:paraId="1ACE9AD0"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0315E8F2"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мая 1933 года была подготовлена записка главы ОГПУ Г. Ягоды и начальника экономического управления ОГПУ Миронова.</w:t>
      </w:r>
    </w:p>
    <w:p w14:paraId="7A96350C"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документе говорится о том, что ОГПУ получило информацию о многих случаях сдачи промышленностью вооружений с "крупными дефектами". Дефекты были обнаружены в бомбардировщиках ТБ-3, которые производил авиазавод № 22 (Москва), с отклонениями сдавалось артвооружение, пулеметы, винтовки и ряд других видов военной продукции. Как пишут авторы, "при проверке танков Т-26 в механизмах танков и моторах были обнаружены посторонние предметы". По мнению чекистов, дефекты в советской технике приводят к созданию атмосферы недоверия к ней со стороны военнослужащих. </w:t>
      </w:r>
    </w:p>
    <w:p w14:paraId="6F7E02D9"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Каким же образом военная приемка допускала такие нарушения? По мнению работников компетентных органов, основных причин было две: отсутствие стимулирования работников военных предприятий военного наркомата (НКВМ) и заводов Наркомата тяжелой промышленности (НКТП), а также процветающая коррупционная система. Например, некоторые заводы платили регулярно военпредам взятки. Так, предприятие «Большевик» (Ленинград) на 32 тыс. рублей отремонтировало квартиру военпреду Петрухину. Военпред бесплатно снабжался дровами, зимней одеждой, деликатесами. Ему и другим сотрудникам военприемки завод выплачивал деньги за "сверхурочную работу". </w:t>
      </w:r>
    </w:p>
    <w:p w14:paraId="5040288E"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 упоминавшемся выше авиазаводе № 22 работники военприемки взятки маскировали под "подарки к праздникам". Например, ко дню Октябрьской революции или 15-летию РККА. </w:t>
      </w:r>
    </w:p>
    <w:p w14:paraId="4860B4D0"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Помимо этих причин были и другие. К примеру, халтура. На Кировском заводе им. Ворошилова в Ленинграде моторы танков "проверяли на слух". При этом одновременно запускалось по 5-6 моторов, да еще посреди шума всего цеха. В итоге, понять какой мотор был дефектен, было невозможно. В армию же поступали часто моторы с отклонениями, тогда как некоторые хорошие моторы - браковались.</w:t>
      </w:r>
    </w:p>
    <w:p w14:paraId="4105789D"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Данные записки ОГПУ стали причиной расследования и создания правительственной спецкомиссии. Ее выводы были закреплены в постановлении Совета труда и обороны от 28.11. 1934 года "Об организации приемки военной продукции". Постановление запрещало, в частности, получение военпредами каких-либо денежных средств от предприятий и ужесточало требования к результатам их работы. Однако быстрых изменений за этим не последовало – предприятия продолжали гнать брак. И.В. Сталин в одном из писем главе НКТП С. Орджоникидзе (от 08.04.1936) требовал "зверски нажимать на…качество продукции". </w:t>
      </w:r>
    </w:p>
    <w:p w14:paraId="09F0EBD7"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Впрочем, помимо брака, между военными и военной промышленностью неурегулированной долгое время была еще одна тяжба. Она была связана с завышением предприятиями цен на свою продукцию. К примеру, было установлено, что Николаевские судостроительные заводы им. Марти и завод № 61 завышали цены на 1 малую подводную лодку на 500 – 700 тыс. рублей. Вплоть до начала дробления НКТП на ряд более мелких наркоматов, а также до вала репрессий в промышленности и армии в 1937-1938 годах, все эти проблемы были нерешенными. Несмотря на ряд постановлений СТО.</w:t>
      </w:r>
    </w:p>
    <w:p w14:paraId="7A94518C"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xml:space="preserve">Существенно улучшить ситуацию удалось лишь с соблюдением норм секретности. В 1933 году проверки чекистов вскрыли факты передачи данных о суточном выпуске продукции, которые по городским телефонным сетям передавали сотрудники ряда авиазаводов, а также случаи выноса рабочих тетрадей и блокнотов с предприятий. Чистки во второй половине 30-х годов несколько снизили количество таких зафиксированных нарушений. </w:t>
      </w:r>
    </w:p>
    <w:p w14:paraId="27095BC6"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 РФ. Ф. 8418. Оп.8. Д.175. Л. 36 - 40 (11582).</w:t>
      </w:r>
    </w:p>
    <w:p w14:paraId="2D1294C5"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3CE21B3D" w14:textId="77777777" w:rsidR="0029134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93BCC8D" w14:textId="77777777" w:rsidR="00291347" w:rsidRPr="00C33834" w:rsidRDefault="0029134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6230B73" w14:textId="77777777" w:rsidR="00291347" w:rsidRPr="00C33834" w:rsidRDefault="0029134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4 мая в 1933 году впервые взлетел прототип новой американской многоцелевой амфибии - биплан </w:t>
      </w:r>
      <w:hyperlink r:id="rId150" w:tgtFrame="_blank" w:history="1">
        <w:r w:rsidRPr="00C33834">
          <w:rPr>
            <w:rFonts w:ascii="Times New Roman" w:hAnsi="Times New Roman"/>
            <w:color w:val="000000" w:themeColor="text1"/>
            <w:sz w:val="16"/>
            <w:szCs w:val="16"/>
          </w:rPr>
          <w:t xml:space="preserve">«XJF-1». </w:t>
        </w:r>
      </w:hyperlink>
      <w:r w:rsidRPr="00C33834">
        <w:rPr>
          <w:rFonts w:ascii="Times New Roman" w:hAnsi="Times New Roman"/>
          <w:color w:val="000000" w:themeColor="text1"/>
          <w:sz w:val="16"/>
          <w:szCs w:val="16"/>
        </w:rPr>
        <w:t>Машина имела цельнометаллический фюзеляж и поплавок, крыло с металлическим каркасом и полотняной обшивкой. Под узким капотом Тауненда размещался двигатель «Пратт-Уиттни» «R-1535-62» «Wasp» мощностью 650 л. с. При испытаниях обнаружилось, что в комбинации с поплавком самолет имеет довольно высокое положение центра тяжести - в сочетании с узкой колеей шасси это делало его весьма неустойчивым и создавало большие проблемы при рулежке, разбеге и посадке. Постепенное совершенствование конструкции уменьшило эти недостатки до приемлемого уровня. Вскоре авиация ВМС США заказала 27 машин под обозначением «JF-1», со значительно более мощным двигателем - двухрядной звездой «R-1830-62» «Twin Wasp» мощностью 950 л. с. Пространство между поплавком и фюзеляжем использовалось для размещения двух пассажиров, здесь же была установлена радиостанция и фотооборудование. В случае необходимости вместо двух пассажиров можно было взять носилки с раненым (14881).</w:t>
      </w:r>
    </w:p>
    <w:p w14:paraId="597B0687" w14:textId="77777777" w:rsidR="00291347" w:rsidRPr="00C33834" w:rsidRDefault="00291347" w:rsidP="00C33834">
      <w:pPr>
        <w:spacing w:after="0" w:line="240" w:lineRule="auto"/>
        <w:jc w:val="both"/>
        <w:rPr>
          <w:rFonts w:ascii="Times New Roman" w:hAnsi="Times New Roman"/>
          <w:color w:val="000000" w:themeColor="text1"/>
          <w:sz w:val="16"/>
          <w:szCs w:val="16"/>
        </w:rPr>
      </w:pPr>
    </w:p>
    <w:p w14:paraId="53C7531B" w14:textId="77777777" w:rsidR="004750BC" w:rsidRPr="00C33834" w:rsidRDefault="004750B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мая 1933 состоялся первый полет Grumman XJF-1, прототип Grumman JF Duck и J2F Duck (20802).</w:t>
      </w:r>
    </w:p>
    <w:p w14:paraId="20CC2227" w14:textId="77777777" w:rsidR="004750BC" w:rsidRPr="00C33834" w:rsidRDefault="004750BC" w:rsidP="00C33834">
      <w:pPr>
        <w:spacing w:after="0" w:line="240" w:lineRule="auto"/>
        <w:jc w:val="both"/>
        <w:rPr>
          <w:rFonts w:ascii="Times New Roman" w:hAnsi="Times New Roman"/>
          <w:color w:val="0070C0"/>
          <w:sz w:val="16"/>
          <w:szCs w:val="16"/>
        </w:rPr>
      </w:pPr>
    </w:p>
    <w:p w14:paraId="5FB65B62" w14:textId="77777777" w:rsidR="002359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1DC9F7B" w14:textId="77777777" w:rsidR="00235986" w:rsidRPr="00C33834" w:rsidRDefault="002359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7DF2C91"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мая 1933 состоялось совещание у начальника Глававиапрома П.И.Б. о возможности облегчения веса ТБ-3 (АНТ-6) (1977,128).</w:t>
      </w:r>
    </w:p>
    <w:p w14:paraId="07BD8C53"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0DBCF0DF"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мая 1933 машину Д-4 доставили с завода № 39 на Центральный аэродром, а 7 мая пе</w:t>
      </w:r>
      <w:r w:rsidRPr="00C33834">
        <w:rPr>
          <w:rFonts w:ascii="Times New Roman" w:hAnsi="Times New Roman"/>
          <w:color w:val="000000" w:themeColor="text1"/>
          <w:sz w:val="16"/>
          <w:szCs w:val="16"/>
        </w:rPr>
        <w:softHyphen/>
        <w:t>регнали в Щелково, на аэродром НИИ ВВС. Государственные испытания велись в период с 8-го по 22 мая 1933 г. (11134).</w:t>
      </w:r>
    </w:p>
    <w:p w14:paraId="24714EA4"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E2A2D3" w14:textId="77777777" w:rsidR="00360AC0" w:rsidRPr="00C33834" w:rsidRDefault="00360AC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мая 1933 машину ДИ-4 доставили с за</w:t>
      </w:r>
      <w:r w:rsidRPr="00C33834">
        <w:rPr>
          <w:rFonts w:ascii="Times New Roman" w:hAnsi="Times New Roman"/>
          <w:color w:val="000000" w:themeColor="text1"/>
          <w:sz w:val="16"/>
          <w:szCs w:val="16"/>
        </w:rPr>
        <w:softHyphen/>
        <w:t>вода №39 на Центральный аэродром, а 7 мая перегнали в Щелково, на аэродром НИИ ВВС. Государственные испытания велись в периоде 8-го по 22 мая 1933 г.</w:t>
      </w:r>
    </w:p>
    <w:p w14:paraId="768D49CC" w14:textId="77777777" w:rsidR="00360AC0" w:rsidRPr="00C33834" w:rsidRDefault="00360AC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Признавалось, что ДИ-4 выполнен по не</w:t>
      </w:r>
      <w:r w:rsidRPr="00C33834">
        <w:rPr>
          <w:rFonts w:ascii="Times New Roman" w:hAnsi="Times New Roman"/>
          <w:color w:val="000000" w:themeColor="text1"/>
          <w:sz w:val="16"/>
          <w:szCs w:val="16"/>
        </w:rPr>
        <w:softHyphen/>
        <w:t>современной схеме, с подкосами, крепящи</w:t>
      </w:r>
      <w:r w:rsidRPr="00C33834">
        <w:rPr>
          <w:rFonts w:ascii="Times New Roman" w:hAnsi="Times New Roman"/>
          <w:color w:val="000000" w:themeColor="text1"/>
          <w:sz w:val="16"/>
          <w:szCs w:val="16"/>
        </w:rPr>
        <w:softHyphen/>
        <w:t>мися на шасси. Само шасси очень сложное и неудобное в обслуживании. Как недостаток указывался большой вес конструкции, крыло в виде «чайки» не улучшало обзор по причи</w:t>
      </w:r>
      <w:r w:rsidRPr="00C33834">
        <w:rPr>
          <w:rFonts w:ascii="Times New Roman" w:hAnsi="Times New Roman"/>
          <w:color w:val="000000" w:themeColor="text1"/>
          <w:sz w:val="16"/>
          <w:szCs w:val="16"/>
        </w:rPr>
        <w:softHyphen/>
        <w:t>не использованного толстого профиля. Лет</w:t>
      </w:r>
      <w:r w:rsidRPr="00C33834">
        <w:rPr>
          <w:rFonts w:ascii="Times New Roman" w:hAnsi="Times New Roman"/>
          <w:color w:val="000000" w:themeColor="text1"/>
          <w:sz w:val="16"/>
          <w:szCs w:val="16"/>
        </w:rPr>
        <w:softHyphen/>
        <w:t>ные характеристики оценивались как невы</w:t>
      </w:r>
      <w:r w:rsidRPr="00C33834">
        <w:rPr>
          <w:rFonts w:ascii="Times New Roman" w:hAnsi="Times New Roman"/>
          <w:color w:val="000000" w:themeColor="text1"/>
          <w:sz w:val="16"/>
          <w:szCs w:val="16"/>
        </w:rPr>
        <w:softHyphen/>
        <w:t>сокие. Впрочем, самолет с трудом входил в штопор, однако прекрасно из него выходил.</w:t>
      </w:r>
    </w:p>
    <w:p w14:paraId="25550C73" w14:textId="77777777" w:rsidR="00360AC0" w:rsidRPr="00C33834" w:rsidRDefault="00360AC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дальнейшем предлагалось вместо двига</w:t>
      </w:r>
      <w:r w:rsidRPr="00C33834">
        <w:rPr>
          <w:rFonts w:ascii="Times New Roman" w:hAnsi="Times New Roman"/>
          <w:color w:val="000000" w:themeColor="text1"/>
          <w:sz w:val="16"/>
          <w:szCs w:val="16"/>
        </w:rPr>
        <w:softHyphen/>
        <w:t>теля Кертисс «Конкверор» использовать оте</w:t>
      </w:r>
      <w:r w:rsidRPr="00C33834">
        <w:rPr>
          <w:rFonts w:ascii="Times New Roman" w:hAnsi="Times New Roman"/>
          <w:color w:val="000000" w:themeColor="text1"/>
          <w:sz w:val="16"/>
          <w:szCs w:val="16"/>
        </w:rPr>
        <w:softHyphen/>
        <w:t>чественный двигатель М-32. Однако пере</w:t>
      </w:r>
      <w:r w:rsidRPr="00C33834">
        <w:rPr>
          <w:rFonts w:ascii="Times New Roman" w:hAnsi="Times New Roman"/>
          <w:color w:val="000000" w:themeColor="text1"/>
          <w:sz w:val="16"/>
          <w:szCs w:val="16"/>
        </w:rPr>
        <w:softHyphen/>
        <w:t>делки при этом могли оказаться столь суще</w:t>
      </w:r>
      <w:r w:rsidRPr="00C33834">
        <w:rPr>
          <w:rFonts w:ascii="Times New Roman" w:hAnsi="Times New Roman"/>
          <w:color w:val="000000" w:themeColor="text1"/>
          <w:sz w:val="16"/>
          <w:szCs w:val="16"/>
        </w:rPr>
        <w:softHyphen/>
        <w:t>ственными, что от совершенствования ма</w:t>
      </w:r>
      <w:r w:rsidRPr="00C33834">
        <w:rPr>
          <w:rFonts w:ascii="Times New Roman" w:hAnsi="Times New Roman"/>
          <w:color w:val="000000" w:themeColor="text1"/>
          <w:sz w:val="16"/>
          <w:szCs w:val="16"/>
        </w:rPr>
        <w:softHyphen/>
        <w:t>шины отказались. В результате было решено, что самолет не может быть допущен к серий</w:t>
      </w:r>
      <w:r w:rsidRPr="00C33834">
        <w:rPr>
          <w:rFonts w:ascii="Times New Roman" w:hAnsi="Times New Roman"/>
          <w:color w:val="000000" w:themeColor="text1"/>
          <w:sz w:val="16"/>
          <w:szCs w:val="16"/>
        </w:rPr>
        <w:softHyphen/>
        <w:t>ной постройке. Опытный экземпляр остави</w:t>
      </w:r>
      <w:r w:rsidRPr="00C33834">
        <w:rPr>
          <w:rFonts w:ascii="Times New Roman" w:hAnsi="Times New Roman"/>
          <w:color w:val="000000" w:themeColor="text1"/>
          <w:sz w:val="16"/>
          <w:szCs w:val="16"/>
        </w:rPr>
        <w:softHyphen/>
        <w:t>ли в НИИ ВВС, где с июля 1934 г. ДИ-4 ис</w:t>
      </w:r>
      <w:r w:rsidRPr="00C33834">
        <w:rPr>
          <w:rFonts w:ascii="Times New Roman" w:hAnsi="Times New Roman"/>
          <w:color w:val="000000" w:themeColor="text1"/>
          <w:sz w:val="16"/>
          <w:szCs w:val="16"/>
        </w:rPr>
        <w:softHyphen/>
        <w:t>пользовался в испытательных полетах для сравнения с другими истребителями.</w:t>
      </w:r>
    </w:p>
    <w:p w14:paraId="4ACB5CA3" w14:textId="77777777" w:rsidR="00360AC0" w:rsidRPr="00C33834" w:rsidRDefault="00360AC0" w:rsidP="00C33834">
      <w:pPr>
        <w:pStyle w:val="59"/>
        <w:shd w:val="clear" w:color="auto" w:fill="auto"/>
        <w:spacing w:line="240" w:lineRule="auto"/>
        <w:jc w:val="both"/>
        <w:rPr>
          <w:color w:val="000000" w:themeColor="text1"/>
          <w:szCs w:val="16"/>
        </w:rPr>
      </w:pPr>
      <w:r w:rsidRPr="00C33834">
        <w:rPr>
          <w:rStyle w:val="50pt"/>
          <w:color w:val="000000" w:themeColor="text1"/>
          <w:spacing w:val="0"/>
          <w:szCs w:val="16"/>
        </w:rPr>
        <w:t>Основные технические характеристики ДИ-4</w:t>
      </w:r>
    </w:p>
    <w:tbl>
      <w:tblPr>
        <w:tblW w:w="0" w:type="auto"/>
        <w:tblLayout w:type="fixed"/>
        <w:tblCellMar>
          <w:left w:w="10" w:type="dxa"/>
          <w:right w:w="10" w:type="dxa"/>
        </w:tblCellMar>
        <w:tblLook w:val="0000" w:firstRow="0" w:lastRow="0" w:firstColumn="0" w:lastColumn="0" w:noHBand="0" w:noVBand="0"/>
      </w:tblPr>
      <w:tblGrid>
        <w:gridCol w:w="3931"/>
        <w:gridCol w:w="1836"/>
      </w:tblGrid>
      <w:tr w:rsidR="00F26F01" w:rsidRPr="00C33834" w14:paraId="2EAC2AFD" w14:textId="77777777" w:rsidTr="00CE35D9">
        <w:trPr>
          <w:trHeight w:val="252"/>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6ADB047"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Размах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050968C"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13,36</w:t>
            </w:r>
          </w:p>
        </w:tc>
      </w:tr>
      <w:tr w:rsidR="00F26F01" w:rsidRPr="00C33834" w14:paraId="1BD98CCD"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DF9F33F"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Длина(м)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8F576C1"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8,50</w:t>
            </w:r>
          </w:p>
        </w:tc>
      </w:tr>
      <w:tr w:rsidR="00F26F01" w:rsidRPr="00C33834" w14:paraId="008340B7" w14:textId="77777777" w:rsidTr="00CE35D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3FB6147"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Площадь крыла (м</w:t>
            </w:r>
            <w:r w:rsidRPr="00C33834">
              <w:rPr>
                <w:rFonts w:ascii="Times New Roman" w:hAnsi="Times New Roman" w:cs="Times New Roman"/>
                <w:b w:val="0"/>
                <w:color w:val="000000" w:themeColor="text1"/>
                <w:sz w:val="16"/>
                <w:szCs w:val="16"/>
                <w:vertAlign w:val="superscript"/>
              </w:rPr>
              <w:t>2</w:t>
            </w:r>
            <w:r w:rsidRPr="00C33834">
              <w:rPr>
                <w:rFonts w:ascii="Times New Roman" w:hAnsi="Times New Roman" w:cs="Times New Roman"/>
                <w:b w:val="0"/>
                <w:color w:val="000000" w:themeColor="text1"/>
                <w:sz w:val="16"/>
                <w:szCs w:val="16"/>
              </w:rPr>
              <w:t>)</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DCF9B3C"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23,90</w:t>
            </w:r>
          </w:p>
        </w:tc>
      </w:tr>
      <w:tr w:rsidR="00F26F01" w:rsidRPr="00C33834" w14:paraId="470266CF"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6565FE2"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Хорда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AA92BCE"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2,0</w:t>
            </w:r>
          </w:p>
        </w:tc>
      </w:tr>
      <w:tr w:rsidR="00F26F01" w:rsidRPr="00C33834" w14:paraId="75CCCCD3" w14:textId="77777777" w:rsidTr="00CE35D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22EFF79"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Вес пустого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00B8A7E"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1441,0</w:t>
            </w:r>
          </w:p>
        </w:tc>
      </w:tr>
      <w:tr w:rsidR="00F26F01" w:rsidRPr="00C33834" w14:paraId="51F6C9FD"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CDABEAD"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Полетный вес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ED1CEC8"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1949</w:t>
            </w:r>
          </w:p>
        </w:tc>
      </w:tr>
      <w:tr w:rsidR="00F26F01" w:rsidRPr="00C33834" w14:paraId="171B9C80"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3AFC827"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Скорость максимальная Н=0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99E4076"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266</w:t>
            </w:r>
          </w:p>
        </w:tc>
      </w:tr>
      <w:tr w:rsidR="00F26F01" w:rsidRPr="00C33834" w14:paraId="4DD3B781"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94FA5BB"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Скорость максимальная Н=3000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F95B880"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248,7</w:t>
            </w:r>
          </w:p>
        </w:tc>
      </w:tr>
      <w:tr w:rsidR="00F26F01" w:rsidRPr="00C33834" w14:paraId="58D2D6CA"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E33A1C2"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Скорость максимальная Н=5000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DD17DC6"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237,0</w:t>
            </w:r>
          </w:p>
        </w:tc>
      </w:tr>
      <w:tr w:rsidR="00F26F01" w:rsidRPr="00C33834" w14:paraId="45D08C90"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B86F6A0"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Время набора высоты 3000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3B01989"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7,4</w:t>
            </w:r>
          </w:p>
        </w:tc>
      </w:tr>
      <w:tr w:rsidR="00F26F01" w:rsidRPr="00C33834" w14:paraId="68D53835" w14:textId="77777777" w:rsidTr="00CE35D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CAD4A73"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Время набора высоты 5000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F0E0B52"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17,0</w:t>
            </w:r>
          </w:p>
        </w:tc>
      </w:tr>
      <w:tr w:rsidR="00F26F01" w:rsidRPr="00C33834" w14:paraId="31F1EB25"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6DA26EA"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Практический потолок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A13BACC"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6440</w:t>
            </w:r>
          </w:p>
        </w:tc>
      </w:tr>
      <w:tr w:rsidR="00F26F01" w:rsidRPr="00C33834" w14:paraId="55C36673" w14:textId="77777777" w:rsidTr="00CE35D9">
        <w:trPr>
          <w:trHeight w:val="259"/>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8D6A569"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Время виража на 100 м (сек.)</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D94851C"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15,0</w:t>
            </w:r>
          </w:p>
        </w:tc>
      </w:tr>
    </w:tbl>
    <w:p w14:paraId="443E3D77" w14:textId="77777777" w:rsidR="00360AC0" w:rsidRPr="00C33834" w:rsidRDefault="00360AC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(12295)</w:t>
      </w:r>
    </w:p>
    <w:p w14:paraId="22C8E974" w14:textId="77777777" w:rsidR="00360AC0" w:rsidRPr="00C33834" w:rsidRDefault="00360AC0" w:rsidP="00C33834">
      <w:pPr>
        <w:spacing w:after="0" w:line="240" w:lineRule="auto"/>
        <w:jc w:val="both"/>
        <w:rPr>
          <w:rFonts w:ascii="Times New Roman" w:hAnsi="Times New Roman"/>
          <w:color w:val="000000" w:themeColor="text1"/>
          <w:sz w:val="16"/>
          <w:szCs w:val="16"/>
        </w:rPr>
      </w:pPr>
    </w:p>
    <w:p w14:paraId="10B0DE36"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мая 1933 состоялось совещание у начальника Глававиапрома П.И.Б. по вопросу рекордного полета на дальность 5 мая 1933 (2292,111).</w:t>
      </w:r>
    </w:p>
    <w:p w14:paraId="6C4973A3"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58E632FE"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мая 1933 П.О.С. подписал данные АНТ-36 (военного варианта РД) (1102).</w:t>
      </w:r>
    </w:p>
    <w:p w14:paraId="123F2101"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1AE1D7F7" w14:textId="77777777" w:rsidR="00235986" w:rsidRPr="00C33834" w:rsidRDefault="00235986"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мая 1933 года состоялось совещание у начальника ГУАП Баранова по вопросу рекордного полета на дальность (6779):</w:t>
      </w:r>
    </w:p>
    <w:p w14:paraId="6526E5D6" w14:textId="77777777" w:rsidR="00235986" w:rsidRPr="00C33834" w:rsidRDefault="00235986"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Протокол № 52</w:t>
      </w:r>
    </w:p>
    <w:p w14:paraId="204C2B0B" w14:textId="77777777" w:rsidR="00235986" w:rsidRPr="00C33834" w:rsidRDefault="00235986"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совещания у начальника ГУАП Баранова по вопросу рекордного полета на дальность от 5 мая 1933 года</w:t>
      </w:r>
    </w:p>
    <w:p w14:paraId="251C18D8" w14:textId="77777777" w:rsidR="00235986" w:rsidRPr="00C33834" w:rsidRDefault="00235986"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Слушали:</w:t>
      </w:r>
    </w:p>
    <w:p w14:paraId="41F1D3C3" w14:textId="77777777" w:rsidR="00235986" w:rsidRPr="00C33834" w:rsidRDefault="00235986"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маршруте полета.</w:t>
      </w:r>
    </w:p>
    <w:p w14:paraId="7555A9A4" w14:textId="77777777" w:rsidR="00235986" w:rsidRPr="00C33834" w:rsidRDefault="00235986"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 экипаже предназначаемого для перелета.</w:t>
      </w:r>
    </w:p>
    <w:p w14:paraId="7259F58E" w14:textId="77777777" w:rsidR="00235986" w:rsidRPr="00C33834" w:rsidRDefault="00235986"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смете для проведения всех работ по перелету.</w:t>
      </w:r>
    </w:p>
    <w:p w14:paraId="002E47E5" w14:textId="77777777" w:rsidR="00235986" w:rsidRPr="00C33834" w:rsidRDefault="00235986"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тренировке экипажа и обслуживанию самолетов.</w:t>
      </w:r>
    </w:p>
    <w:p w14:paraId="0A88C0AF" w14:textId="77777777" w:rsidR="00235986" w:rsidRPr="00C33834" w:rsidRDefault="00235986"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работах по подготовке к перелету.</w:t>
      </w:r>
    </w:p>
    <w:p w14:paraId="3B54BEA9" w14:textId="77777777" w:rsidR="00235986" w:rsidRPr="00C33834" w:rsidRDefault="00235986"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проведении всех технических работ (6779, 32-33).</w:t>
      </w:r>
    </w:p>
    <w:p w14:paraId="3D232D61" w14:textId="77777777" w:rsidR="00235986" w:rsidRPr="00C33834" w:rsidRDefault="00235986"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90C48C"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мая 1933 года начальник Глававиапрома Баранов писал письмо Ворошилову.</w:t>
      </w:r>
    </w:p>
    <w:p w14:paraId="11D0EE54"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Вашего задания ЦАГИ проработал вопрос об использовании рекордно-дальнего полета для военных целей.</w:t>
      </w:r>
    </w:p>
    <w:p w14:paraId="1753BA3A"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Исходя из вашего задания достигнуть дальность полета в 4000 км - можно получить следующую характеристику самолета:</w:t>
      </w:r>
    </w:p>
    <w:p w14:paraId="021BEEE8"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Экипаж - 3 человека</w:t>
      </w:r>
    </w:p>
    <w:p w14:paraId="04A8F7BA"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 2 пулемета, 1000 патрон, 10 100 кг бомб или около 400 штук одно кг зажигательных бомб.</w:t>
      </w:r>
    </w:p>
    <w:p w14:paraId="61344BF3"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этом машина будет обладать максимальной скоростью 210 км и иметь потолок около 4000 м.</w:t>
      </w:r>
    </w:p>
    <w:p w14:paraId="2E528EA6"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сравнению с рекордной машиной в самолете необходимо будет произвести ряд существенных переделок, которые однако, возможны и значительно машину не изменят.</w:t>
      </w:r>
    </w:p>
    <w:p w14:paraId="303737A5"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Однако, до летных испытаний машины нельзя предвидеть возможных и неизбежных переделок и неприятностей, могущих быть из-за новизны конструкции машины.</w:t>
      </w:r>
    </w:p>
    <w:p w14:paraId="515E7767"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Летные испытания предполагается произвести в течение мая, после чего выявятся основные качества машины и можно будет решать вопрос о производстве специальных военных типов машины.</w:t>
      </w:r>
    </w:p>
    <w:p w14:paraId="301788AE"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в начале июня можно будет определить целесообразность серийной постройки военного типа этой машины, а также количество и срок поставки.</w:t>
      </w:r>
    </w:p>
    <w:p w14:paraId="11E34205"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Однако, согласно вашего пожелания - мною даны все указания о подготовке производства военного типа этой машины в серии (3899,410).</w:t>
      </w:r>
    </w:p>
    <w:p w14:paraId="5668863E"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5924C0BF" w14:textId="77777777" w:rsidR="00881227" w:rsidRPr="00C33834" w:rsidRDefault="0088122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lastRenderedPageBreak/>
        <w:t>5 мая 1933 года в День печати Агитэскадрилья начала свою практическую деятельность — на следующий день по заданию Наркомзема СССР самолеты вылетели на Северный Кавказ и Украину, для того чтобы развернуть широкую агитационную работу во время весенней посевной кампании. Эскадрилья успешно справилась с порученным делом, о чем говорят отзывы, появившиеся в пе</w:t>
      </w:r>
      <w:r w:rsidRPr="00C33834">
        <w:rPr>
          <w:rFonts w:ascii="Times New Roman" w:hAnsi="Times New Roman"/>
          <w:color w:val="0070C0"/>
          <w:sz w:val="16"/>
          <w:szCs w:val="16"/>
          <w:lang w:eastAsia="ru-RU" w:bidi="ru-RU"/>
        </w:rPr>
        <w:softHyphen/>
        <w:t>чати в те дни. Вот некоторые из них:</w:t>
      </w:r>
    </w:p>
    <w:p w14:paraId="7203449D" w14:textId="77777777" w:rsidR="00881227" w:rsidRPr="00C33834" w:rsidRDefault="0088122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«Прилет аэроплана был организован</w:t>
      </w:r>
      <w:r w:rsidRPr="00C33834">
        <w:rPr>
          <w:rFonts w:ascii="Times New Roman" w:hAnsi="Times New Roman"/>
          <w:color w:val="0070C0"/>
          <w:sz w:val="16"/>
          <w:szCs w:val="16"/>
          <w:lang w:eastAsia="ru-RU" w:bidi="ru-RU"/>
        </w:rPr>
        <w:softHyphen/>
        <w:t>ным звеном в нашей работе. Колхозная мас</w:t>
      </w:r>
      <w:r w:rsidRPr="00C33834">
        <w:rPr>
          <w:rFonts w:ascii="Times New Roman" w:hAnsi="Times New Roman"/>
          <w:color w:val="0070C0"/>
          <w:sz w:val="16"/>
          <w:szCs w:val="16"/>
          <w:lang w:eastAsia="ru-RU" w:bidi="ru-RU"/>
        </w:rPr>
        <w:softHyphen/>
        <w:t>са действительно по-большевистски боро</w:t>
      </w:r>
      <w:r w:rsidRPr="00C33834">
        <w:rPr>
          <w:rFonts w:ascii="Times New Roman" w:hAnsi="Times New Roman"/>
          <w:color w:val="0070C0"/>
          <w:sz w:val="16"/>
          <w:szCs w:val="16"/>
          <w:lang w:eastAsia="ru-RU" w:bidi="ru-RU"/>
        </w:rPr>
        <w:softHyphen/>
        <w:t>лась за выполнение своего плана за право принятия в своем колхозе аэроплана эскад</w:t>
      </w:r>
      <w:r w:rsidRPr="00C33834">
        <w:rPr>
          <w:rFonts w:ascii="Times New Roman" w:hAnsi="Times New Roman"/>
          <w:color w:val="0070C0"/>
          <w:sz w:val="16"/>
          <w:szCs w:val="16"/>
          <w:lang w:eastAsia="ru-RU" w:bidi="ru-RU"/>
        </w:rPr>
        <w:softHyphen/>
        <w:t>рильи им. Максима Горького».</w:t>
      </w:r>
    </w:p>
    <w:p w14:paraId="026C2417" w14:textId="77777777" w:rsidR="00881227" w:rsidRPr="00C33834" w:rsidRDefault="0088122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«Самолет явился наилучшим орудием агитработы из всех, с какими приходилось иметь дело».</w:t>
      </w:r>
    </w:p>
    <w:p w14:paraId="09B12CF2" w14:textId="77777777" w:rsidR="00881227" w:rsidRPr="00C33834" w:rsidRDefault="0088122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Выполняла эскадрилья и важные за</w:t>
      </w:r>
      <w:r w:rsidRPr="00C33834">
        <w:rPr>
          <w:rFonts w:ascii="Times New Roman" w:hAnsi="Times New Roman"/>
          <w:color w:val="0070C0"/>
          <w:sz w:val="16"/>
          <w:szCs w:val="16"/>
          <w:lang w:eastAsia="ru-RU" w:bidi="ru-RU"/>
        </w:rPr>
        <w:softHyphen/>
        <w:t>дания по оказанию помоши промышлен</w:t>
      </w:r>
      <w:r w:rsidRPr="00C33834">
        <w:rPr>
          <w:rFonts w:ascii="Times New Roman" w:hAnsi="Times New Roman"/>
          <w:color w:val="0070C0"/>
          <w:sz w:val="16"/>
          <w:szCs w:val="16"/>
          <w:lang w:eastAsia="ru-RU" w:bidi="ru-RU"/>
        </w:rPr>
        <w:softHyphen/>
        <w:t>ности. Так, два ее самолета участововали в решении задач, связанных с ремонтом оборудования сахарных заводов. Нарком снабжения СССР А.И. Микоян потом сказал: «...тем сахаром, который страна получила в /933 году, мы во многом обязаны работе эскадрильи им. Максима Горького» (21240).</w:t>
      </w:r>
    </w:p>
    <w:p w14:paraId="6D16084B" w14:textId="77777777" w:rsidR="00881227" w:rsidRPr="00C33834" w:rsidRDefault="00881227" w:rsidP="00C33834">
      <w:pPr>
        <w:spacing w:after="0" w:line="240" w:lineRule="auto"/>
        <w:jc w:val="both"/>
        <w:rPr>
          <w:rFonts w:ascii="Times New Roman" w:hAnsi="Times New Roman"/>
          <w:color w:val="0070C0"/>
          <w:sz w:val="16"/>
          <w:szCs w:val="16"/>
        </w:rPr>
      </w:pPr>
    </w:p>
    <w:p w14:paraId="02F2DCDB"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мая 1933 начала работать первая советская стюардесса - Эльза Городецкая на рейсе Москва - Ашхабад (1845,24).</w:t>
      </w:r>
    </w:p>
    <w:p w14:paraId="3A0F795A"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7EAF4996"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мая 1933 в газете "Вечерняя Москва" опубликована редакционная заметка "Реабилитация ракеты", в которой СПК подчеркнул слова: "Ракета, подлинная зарница грядущих технических побед коммунизма, должна быть реабилитирована" (АММК, "Сборник газетных вырезок") (10676).</w:t>
      </w:r>
    </w:p>
    <w:p w14:paraId="25A6F2CF"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10BDB7A8" w14:textId="77777777" w:rsidR="002359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93B744F" w14:textId="77777777" w:rsidR="00235986" w:rsidRPr="00C33834" w:rsidRDefault="002359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8E9D117"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мая 1933 года в г.Ижевске был организован мотоциклетный завод. На заводе создаются одна за другой новые модели мотоциклов Иж-7, Иж-32, Иж-9. В 1941 году завод усиленно готовился к переходу на выпуск еще более усовершенствованной модели. Постановлением правительства (постановление ГКО от 4 декабря 1941) на завод была возложена почетная задача обеспечения Красной Армии пулеметом "Максим".</w:t>
      </w:r>
    </w:p>
    <w:p w14:paraId="1D0749C2"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Инженеры и служащие ИМЗ в небывало короткий срок закончили подготовку производства, освоили сложное производство и через 5 месяцев завод № 524 достигнул проектной мощности. ЦДНИ УР, ф. 306, оп.1, д.41, л.31, Копия. Машинопись (9681).</w:t>
      </w:r>
    </w:p>
    <w:p w14:paraId="3BA54841"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4ED1C8F8" w14:textId="77777777" w:rsidR="0003446D" w:rsidRPr="00C33834" w:rsidRDefault="0003446D"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6117A663" w14:textId="77777777" w:rsidR="0003446D" w:rsidRPr="00C33834" w:rsidRDefault="0003446D" w:rsidP="00C33834">
      <w:pPr>
        <w:autoSpaceDE w:val="0"/>
        <w:autoSpaceDN w:val="0"/>
        <w:adjustRightInd w:val="0"/>
        <w:spacing w:after="0" w:line="240" w:lineRule="auto"/>
        <w:jc w:val="both"/>
        <w:rPr>
          <w:rFonts w:ascii="Times New Roman" w:hAnsi="Times New Roman"/>
          <w:color w:val="000000" w:themeColor="text1"/>
          <w:sz w:val="16"/>
          <w:szCs w:val="16"/>
        </w:rPr>
      </w:pPr>
    </w:p>
    <w:p w14:paraId="63570B10" w14:textId="77777777" w:rsidR="0003446D" w:rsidRPr="00C33834" w:rsidRDefault="000344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мая 1933. Газета "Вечерняя Москва" сообщала: "Паспортизация в Москве в основном закончена. Всего выдано 2 миллиона 362 тысячи 748 паспортов" (18722).</w:t>
      </w:r>
    </w:p>
    <w:p w14:paraId="1D50629F" w14:textId="77777777" w:rsidR="0003446D" w:rsidRPr="00C33834" w:rsidRDefault="0003446D" w:rsidP="00C33834">
      <w:pPr>
        <w:spacing w:after="0" w:line="240" w:lineRule="auto"/>
        <w:jc w:val="both"/>
        <w:rPr>
          <w:rFonts w:ascii="Times New Roman" w:hAnsi="Times New Roman"/>
          <w:color w:val="000000" w:themeColor="text1"/>
          <w:sz w:val="16"/>
          <w:szCs w:val="16"/>
        </w:rPr>
      </w:pPr>
    </w:p>
    <w:p w14:paraId="2FE42044" w14:textId="77777777" w:rsidR="002359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DB69483" w14:textId="77777777" w:rsidR="00235986" w:rsidRPr="00C33834" w:rsidRDefault="002359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06C4E31" w14:textId="77777777" w:rsidR="00A47E93" w:rsidRPr="00C33834" w:rsidRDefault="00A47E9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5 мая в 1933 году Заказаны 10 самолетов (разведчик-корректировщик) новой версии </w:t>
      </w:r>
      <w:hyperlink r:id="rId151" w:tgtFrame="_blank" w:history="1">
        <w:r w:rsidRPr="00C33834">
          <w:rPr>
            <w:rFonts w:ascii="Times New Roman" w:hAnsi="Times New Roman"/>
            <w:color w:val="000000" w:themeColor="text1"/>
            <w:sz w:val="16"/>
            <w:szCs w:val="16"/>
          </w:rPr>
          <w:t xml:space="preserve">«Lublin» «R-XIII» «ter/hidro» </w:t>
        </w:r>
      </w:hyperlink>
      <w:r w:rsidRPr="00C33834">
        <w:rPr>
          <w:rFonts w:ascii="Times New Roman" w:hAnsi="Times New Roman"/>
          <w:color w:val="000000" w:themeColor="text1"/>
          <w:sz w:val="16"/>
          <w:szCs w:val="16"/>
        </w:rPr>
        <w:t>(разработчик: «Lublin», Польша). Это были машины версии «R-XIIID» с поплавками типа «KZA». Кроме поплавков самолеты могли нести лыжи и колеса. Весной и летом 1934 года эти машины поступили на вооружение Эскадры Речной Пинской флотилии с базированием в Пинске. А когда в 1937 году эскадру разогнали самолеты перегнали в Пучка, где демонтировали (14882).</w:t>
      </w:r>
    </w:p>
    <w:p w14:paraId="16007729" w14:textId="77777777" w:rsidR="00A47E93" w:rsidRPr="00C33834" w:rsidRDefault="00A47E93" w:rsidP="00C33834">
      <w:pPr>
        <w:spacing w:after="0" w:line="240" w:lineRule="auto"/>
        <w:jc w:val="both"/>
        <w:rPr>
          <w:rFonts w:ascii="Times New Roman" w:hAnsi="Times New Roman"/>
          <w:color w:val="000000" w:themeColor="text1"/>
          <w:sz w:val="16"/>
          <w:szCs w:val="16"/>
        </w:rPr>
      </w:pPr>
    </w:p>
    <w:p w14:paraId="2AE80CB4"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мая 1933 Г.Геринг возглавил Министерство авиации (2814,3).</w:t>
      </w:r>
    </w:p>
    <w:p w14:paraId="233C20B2"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54BF1532"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мая 1933 г. А.Гитлер ясно заявил, что Договор и протокол 1931 года будут действовать и впредь. В мире это было расценено как признак стремления Берлина сохранять стабильные отношения с Москвой (3871).</w:t>
      </w:r>
    </w:p>
    <w:p w14:paraId="419CF269"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3D0C786B" w14:textId="77777777" w:rsidR="002359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2746548" w14:textId="77777777" w:rsidR="00235986" w:rsidRPr="00C33834" w:rsidRDefault="002359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65E4EC6"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мая 1933 МИ-3 2М-34 совершил пробную рулежку и полет по прямой. дальнейшие испытания обнаружили крупные дефекты (вибрация оперения, недостаточность элеронов, большая минимальная скорость, тенденция валиться на нос, трудность посадки без моторов) (2310,143).</w:t>
      </w:r>
    </w:p>
    <w:p w14:paraId="4B00F70B"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7F123729"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мая 1933 началась регулярная работа Агитэскадрильи имени МГ (271,134).</w:t>
      </w:r>
    </w:p>
    <w:p w14:paraId="78DB1BBF"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3205601D" w14:textId="77777777" w:rsidR="00881227" w:rsidRPr="00C33834" w:rsidRDefault="00881227" w:rsidP="00C33834">
      <w:pPr>
        <w:spacing w:after="0" w:line="240" w:lineRule="auto"/>
        <w:jc w:val="both"/>
        <w:rPr>
          <w:rFonts w:ascii="Times New Roman" w:hAnsi="Times New Roman"/>
          <w:color w:val="0070C0"/>
          <w:sz w:val="16"/>
          <w:szCs w:val="16"/>
          <w:lang w:eastAsia="ru-RU" w:bidi="ru-RU"/>
        </w:rPr>
      </w:pPr>
      <w:r w:rsidRPr="00C33834">
        <w:rPr>
          <w:rFonts w:ascii="Times New Roman" w:hAnsi="Times New Roman"/>
          <w:color w:val="0070C0"/>
          <w:sz w:val="16"/>
          <w:szCs w:val="16"/>
          <w:lang w:eastAsia="ru-RU" w:bidi="ru-RU"/>
        </w:rPr>
        <w:t>6 мая 1933 года на Центральном аэродро</w:t>
      </w:r>
      <w:r w:rsidRPr="00C33834">
        <w:rPr>
          <w:rFonts w:ascii="Times New Roman" w:hAnsi="Times New Roman"/>
          <w:color w:val="0070C0"/>
          <w:sz w:val="16"/>
          <w:szCs w:val="16"/>
          <w:lang w:eastAsia="ru-RU" w:bidi="ru-RU"/>
        </w:rPr>
        <w:softHyphen/>
        <w:t>ме выстроились самолеты агитэскадрильи им. Максима Горького: АНТ-14 «Правда», У-2 «Комсомольская правда», К-5 «Огонек», АНТ-9 «Крокодил», Сталь-2 «Известия», дирижабль В-3 «Красная звез</w:t>
      </w:r>
      <w:r w:rsidRPr="00C33834">
        <w:rPr>
          <w:rFonts w:ascii="Times New Roman" w:hAnsi="Times New Roman"/>
          <w:color w:val="0070C0"/>
          <w:sz w:val="16"/>
          <w:szCs w:val="16"/>
          <w:lang w:eastAsia="ru-RU" w:bidi="ru-RU"/>
        </w:rPr>
        <w:softHyphen/>
        <w:t>да» (21240).</w:t>
      </w:r>
    </w:p>
    <w:p w14:paraId="13451320" w14:textId="77777777" w:rsidR="00881227" w:rsidRPr="00C33834" w:rsidRDefault="00881227" w:rsidP="00C33834">
      <w:pPr>
        <w:spacing w:after="0" w:line="240" w:lineRule="auto"/>
        <w:jc w:val="both"/>
        <w:rPr>
          <w:rFonts w:ascii="Times New Roman" w:hAnsi="Times New Roman"/>
          <w:color w:val="0070C0"/>
          <w:sz w:val="16"/>
          <w:szCs w:val="16"/>
        </w:rPr>
      </w:pPr>
    </w:p>
    <w:p w14:paraId="08C47855" w14:textId="77777777" w:rsidR="002359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744917C9"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33228217"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мая 1933 приказом по МВС и лагерю за № 64 всем, кроме «специально на это уполномоченных лиц», категорически запрещалось «фотографирование трассы канала, мест сооружений, сооружений, производимых работ всех видов, поселков и лиц из числа лагерного населения... У лиц, нарушивших указанные правила, фотоаппараты будут отбираться и виновные будут увольняться с работы» (такая практика на трассе канала намного пережила Дмитлаг и продержалась до середины 1980-х) (7560).</w:t>
      </w:r>
    </w:p>
    <w:p w14:paraId="4DE580CD"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788B0725"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мая 1933 появился Ответ И.Сталина писателю М.Шолохову: "Дорогой тов. Шолохов! Оба ваших письма получены, как вам известно. Помощь, какую требовали, оказана уже. Для разбора дела прибудет к вам в Вешенский район т.Шкирятов, которому очень прошу Вас оказать помощь. Это так. Но это не все, т.Шолохов. Дело в том, что Ваши письма производят несколько однобокое впечатление. Об этом я хочу написать вам несколько слов. Я поблагодарил вас за письма, так как они вскрывают болячку нашей партийно-советской работы, вскрывают то, как иногда наши работники, желая обуздать врага, бьют нечаянно по друзьям и докатываются до садизма. Но это не значит, что я во всем согласен с вами. Вы видите одну сторону, видите неплохо. Но это только одна сторона дела. Чтобы не ошибиться в политике (ваши письма не беллетристика, а сплошная политика), надо обозреть, надо уметь увидеть и другую сторону. А другая сторона состоит в том, что уважаемые хлеборобы вашего района проводили "итальянку" (саботаж!) и не прочь были оставить рабочих и Красную армию без хлеба. Тот факт, что саботаж был тихий и внешне безобидный (без крови), - этот факт не меняет того, что уважаемые хлеборобы по сути дела вели "тихую" войну с советской властью... Войну на измор, тов.Шолохов... Конечно, это обстоятельство ни в какой мере не может оправдать тех безобразий, которые были допущены, как уверяете Вы, нашими работниками. И виновные в этих безобразиях должны понести должное наказание. Но все же ясно, как божий день, что уважаемые хлеборобы не такие уж безобидные люди, как это могло показаться издали. Ну, всего хорошего и жму Вашу руку" (10687).</w:t>
      </w:r>
    </w:p>
    <w:p w14:paraId="089E0C02"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323F5C0E" w14:textId="77777777" w:rsidR="002359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3BB48D2" w14:textId="77777777" w:rsidR="00235986" w:rsidRPr="00C33834" w:rsidRDefault="002359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2E581ED"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мая 1933 Нач. бригады № 3 Чижевским была подготовлена объяснительная записка к заявке на заграничное оборудование для стратосферного самолета ЦКБ-2 (завод 39) (2304,39).</w:t>
      </w:r>
    </w:p>
    <w:p w14:paraId="39B60836"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Высокий полет предъявляет целый ряд новых требований к аэронавигационным и измерительным приборам, помещаемым на самолете. Отсутствие этих приборов на Советском рынке вынуждает составить настоящую заявку.</w:t>
      </w:r>
    </w:p>
    <w:p w14:paraId="1765D26B"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Кислородные приборы</w:t>
      </w:r>
    </w:p>
    <w:p w14:paraId="38461256"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Кислородный прибор Гейланда. Прибор является оригинальным и до настоящего времени образца, сделанного у нас, не имеется. Прибор замечателен тем, что имеет специальную насадку для продуапния воздуха кабины, который увлекается выходящей струей кислорода.</w:t>
      </w:r>
    </w:p>
    <w:p w14:paraId="733A414F"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Воздух продувается через регенеративный патрон, который поглощает углекислоту.</w:t>
      </w:r>
    </w:p>
    <w:p w14:paraId="1CE86C43"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Регенеративные патроны Гейланда выписываются в количестве 5-ти шт., как необходимый комплект для полета и образщцы, по которым можно будет изготовить последующие экземпляры у нас в СССР.</w:t>
      </w:r>
    </w:p>
    <w:p w14:paraId="1B8E03DC"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Кислородный прибор с сухим кислородом также не имеется в СССР и покупка его позволяет обойтись без сжатого и жидкого кислорода, отсутствие которых могло бы задержать высотный полет.</w:t>
      </w:r>
    </w:p>
    <w:p w14:paraId="3236C745"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Приборы, регулирующие давление</w:t>
      </w:r>
    </w:p>
    <w:p w14:paraId="7A876C51"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Точный прибор записи давления до двух атмосфер позволит заснять полную картину изменения давления в кабине, что весьма важно, как для характеристики герметичности гондолы, так и для проверки работы автоматического регулятора давления кислородного прибора.</w:t>
      </w:r>
    </w:p>
    <w:p w14:paraId="38535FDB"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Автоматический регулятор давлениея имеет своим назначением поддерживать заданное давление и должен быть выполнен весьма надежно, т.к. сообщается с наружной атмосферой.</w:t>
      </w:r>
    </w:p>
    <w:p w14:paraId="719114EB"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Аэронавигационные приборы</w:t>
      </w:r>
    </w:p>
    <w:p w14:paraId="65DC7CB2"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Безинерционный компас (с катодной лампой) разрешит весьма трудный в настоящее время вопрос пользования обычным компасом, который подвержен действию расположенных вокруг него стальных деталей. Безинерционный компас представляет очень интересный новый прибор, который необходимо изучить и внедрить у нас в Союзе...(2304,39).</w:t>
      </w:r>
    </w:p>
    <w:p w14:paraId="56A8A648"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1F000E65" w14:textId="77777777" w:rsidR="002359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035044B" w14:textId="77777777" w:rsidR="00235986" w:rsidRPr="00C33834" w:rsidRDefault="002359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CF295A6"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мая 1933 машину Д-4 перегнали с Центрального аэродрома в Щелково, на аэродром НИИ ВВС. Государственные испытания велись в период с 8-го по 22 мая 1933 г. (11134).</w:t>
      </w:r>
    </w:p>
    <w:p w14:paraId="3163EA6E" w14:textId="77777777" w:rsidR="00235986" w:rsidRPr="00C33834" w:rsidRDefault="0023598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2551CE"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7 по 22 мая 1933 проходили гос. испытания опытного самолета ДИ4 с мотором Кертисс Конкверор Е=7,5 N 521 Винт стандарт стиль Д=2,66 м. Шаг винта переменный. Испытания производись на 17,5 делений.</w:t>
      </w:r>
    </w:p>
    <w:p w14:paraId="6FC02F7D"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3AEABE94"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ведущий самолет - Холодов И.</w:t>
      </w:r>
    </w:p>
    <w:p w14:paraId="5A9E0A75"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 Коккинаки</w:t>
      </w:r>
    </w:p>
    <w:p w14:paraId="7C040A69"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42104B2A"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летных данных с целью выяснения вопроса о целесообразности серийной постройки самолета.</w:t>
      </w:r>
    </w:p>
    <w:p w14:paraId="06206F31"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2556519E"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ДИ4 - Кертисс Конкверор не может быть допущен к серийной постройке как не отвечающий требованиям к современным двухместным истребителям.</w:t>
      </w:r>
    </w:p>
    <w:p w14:paraId="7B85D151"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w:t>
      </w:r>
    </w:p>
    <w:p w14:paraId="57BC1619"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прохождения испытаний самолета ДИ4-КК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F26F01" w:rsidRPr="00C33834" w14:paraId="2B4D358C" w14:textId="77777777">
        <w:tc>
          <w:tcPr>
            <w:tcW w:w="2818" w:type="dxa"/>
          </w:tcPr>
          <w:p w14:paraId="65A898B8"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мая 1933 года</w:t>
            </w:r>
          </w:p>
        </w:tc>
        <w:tc>
          <w:tcPr>
            <w:tcW w:w="2818" w:type="dxa"/>
          </w:tcPr>
          <w:p w14:paraId="0FF7AA4E"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Перелет в Щелково</w:t>
            </w:r>
          </w:p>
        </w:tc>
      </w:tr>
      <w:tr w:rsidR="00F26F01" w:rsidRPr="00C33834" w14:paraId="1343433F" w14:textId="77777777">
        <w:tc>
          <w:tcPr>
            <w:tcW w:w="2818" w:type="dxa"/>
          </w:tcPr>
          <w:p w14:paraId="4C0C1313"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мая 1933 года</w:t>
            </w:r>
          </w:p>
        </w:tc>
        <w:tc>
          <w:tcPr>
            <w:tcW w:w="2818" w:type="dxa"/>
          </w:tcPr>
          <w:p w14:paraId="0644AA3B"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Фактическое начало испытаний</w:t>
            </w:r>
          </w:p>
        </w:tc>
      </w:tr>
      <w:tr w:rsidR="00F26F01" w:rsidRPr="00C33834" w14:paraId="712A59FE" w14:textId="77777777">
        <w:tc>
          <w:tcPr>
            <w:tcW w:w="2818" w:type="dxa"/>
          </w:tcPr>
          <w:p w14:paraId="16778901"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мая 1933 года</w:t>
            </w:r>
          </w:p>
        </w:tc>
        <w:tc>
          <w:tcPr>
            <w:tcW w:w="2818" w:type="dxa"/>
          </w:tcPr>
          <w:p w14:paraId="02CF98EC"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Фактическое окончание испытаний</w:t>
            </w:r>
          </w:p>
        </w:tc>
      </w:tr>
    </w:tbl>
    <w:p w14:paraId="00CB5154"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Фактически затрачено на испытание 15 календарных дней, из них летных 8 дней.</w:t>
      </w:r>
    </w:p>
    <w:p w14:paraId="12FBA4DD"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время нахождения самолета в НИИ ВВС налетано 13 час. 25 мин.</w:t>
      </w:r>
    </w:p>
    <w:p w14:paraId="5AF05F3E"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Сделано посадок - 19 (3914).</w:t>
      </w:r>
    </w:p>
    <w:p w14:paraId="5282B244"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7AFDA9AD" w14:textId="77777777" w:rsidR="00360AC0" w:rsidRPr="00C33834" w:rsidRDefault="00360AC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мая 1933 ДИ-4 перегнали в Щелково, на аэродром НИИ ВВС. Государственные испытания велись в периоде 8-го по 22 мая 1933 г.</w:t>
      </w:r>
    </w:p>
    <w:p w14:paraId="70633CEB" w14:textId="77777777" w:rsidR="00360AC0" w:rsidRPr="00C33834" w:rsidRDefault="00360AC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Признавалось, что ДИ-4 выполнен по не</w:t>
      </w:r>
      <w:r w:rsidRPr="00C33834">
        <w:rPr>
          <w:rFonts w:ascii="Times New Roman" w:hAnsi="Times New Roman"/>
          <w:color w:val="000000" w:themeColor="text1"/>
          <w:sz w:val="16"/>
          <w:szCs w:val="16"/>
        </w:rPr>
        <w:softHyphen/>
        <w:t>современной схеме, с подкосами, крепящи</w:t>
      </w:r>
      <w:r w:rsidRPr="00C33834">
        <w:rPr>
          <w:rFonts w:ascii="Times New Roman" w:hAnsi="Times New Roman"/>
          <w:color w:val="000000" w:themeColor="text1"/>
          <w:sz w:val="16"/>
          <w:szCs w:val="16"/>
        </w:rPr>
        <w:softHyphen/>
        <w:t>мися на шасси. Само шасси очень сложное и неудобное в обслуживании. Как недостаток указывался большой вес конструкции, крыло в виде «чайки» не улучшало обзор по причи</w:t>
      </w:r>
      <w:r w:rsidRPr="00C33834">
        <w:rPr>
          <w:rFonts w:ascii="Times New Roman" w:hAnsi="Times New Roman"/>
          <w:color w:val="000000" w:themeColor="text1"/>
          <w:sz w:val="16"/>
          <w:szCs w:val="16"/>
        </w:rPr>
        <w:softHyphen/>
        <w:t>не использованного толстого профиля. Лет</w:t>
      </w:r>
      <w:r w:rsidRPr="00C33834">
        <w:rPr>
          <w:rFonts w:ascii="Times New Roman" w:hAnsi="Times New Roman"/>
          <w:color w:val="000000" w:themeColor="text1"/>
          <w:sz w:val="16"/>
          <w:szCs w:val="16"/>
        </w:rPr>
        <w:softHyphen/>
        <w:t>ные характеристики оценивались как невы</w:t>
      </w:r>
      <w:r w:rsidRPr="00C33834">
        <w:rPr>
          <w:rFonts w:ascii="Times New Roman" w:hAnsi="Times New Roman"/>
          <w:color w:val="000000" w:themeColor="text1"/>
          <w:sz w:val="16"/>
          <w:szCs w:val="16"/>
        </w:rPr>
        <w:softHyphen/>
        <w:t>сокие. Впрочем, самолет с трудом входил в штопор, однако прекрасно из него выходил.</w:t>
      </w:r>
    </w:p>
    <w:p w14:paraId="2A24F2F1" w14:textId="77777777" w:rsidR="00360AC0" w:rsidRPr="00C33834" w:rsidRDefault="00360AC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дальнейшем предлагалось вместо двига</w:t>
      </w:r>
      <w:r w:rsidRPr="00C33834">
        <w:rPr>
          <w:rFonts w:ascii="Times New Roman" w:hAnsi="Times New Roman"/>
          <w:color w:val="000000" w:themeColor="text1"/>
          <w:sz w:val="16"/>
          <w:szCs w:val="16"/>
        </w:rPr>
        <w:softHyphen/>
        <w:t>теля Кертисс «Конкверор» использовать оте</w:t>
      </w:r>
      <w:r w:rsidRPr="00C33834">
        <w:rPr>
          <w:rFonts w:ascii="Times New Roman" w:hAnsi="Times New Roman"/>
          <w:color w:val="000000" w:themeColor="text1"/>
          <w:sz w:val="16"/>
          <w:szCs w:val="16"/>
        </w:rPr>
        <w:softHyphen/>
        <w:t>чественный двигатель М-32. Однако пере</w:t>
      </w:r>
      <w:r w:rsidRPr="00C33834">
        <w:rPr>
          <w:rFonts w:ascii="Times New Roman" w:hAnsi="Times New Roman"/>
          <w:color w:val="000000" w:themeColor="text1"/>
          <w:sz w:val="16"/>
          <w:szCs w:val="16"/>
        </w:rPr>
        <w:softHyphen/>
        <w:t>делки при этом могли оказаться столь суще</w:t>
      </w:r>
      <w:r w:rsidRPr="00C33834">
        <w:rPr>
          <w:rFonts w:ascii="Times New Roman" w:hAnsi="Times New Roman"/>
          <w:color w:val="000000" w:themeColor="text1"/>
          <w:sz w:val="16"/>
          <w:szCs w:val="16"/>
        </w:rPr>
        <w:softHyphen/>
        <w:t>ственными, что от совершенствования ма</w:t>
      </w:r>
      <w:r w:rsidRPr="00C33834">
        <w:rPr>
          <w:rFonts w:ascii="Times New Roman" w:hAnsi="Times New Roman"/>
          <w:color w:val="000000" w:themeColor="text1"/>
          <w:sz w:val="16"/>
          <w:szCs w:val="16"/>
        </w:rPr>
        <w:softHyphen/>
        <w:t>шины отказались. В результате было решено, что самолет не может быть допущен к серий</w:t>
      </w:r>
      <w:r w:rsidRPr="00C33834">
        <w:rPr>
          <w:rFonts w:ascii="Times New Roman" w:hAnsi="Times New Roman"/>
          <w:color w:val="000000" w:themeColor="text1"/>
          <w:sz w:val="16"/>
          <w:szCs w:val="16"/>
        </w:rPr>
        <w:softHyphen/>
        <w:t>ной постройке. Опытный экземпляр остави</w:t>
      </w:r>
      <w:r w:rsidRPr="00C33834">
        <w:rPr>
          <w:rFonts w:ascii="Times New Roman" w:hAnsi="Times New Roman"/>
          <w:color w:val="000000" w:themeColor="text1"/>
          <w:sz w:val="16"/>
          <w:szCs w:val="16"/>
        </w:rPr>
        <w:softHyphen/>
        <w:t>ли в НИИ ВВС, где с июля 1934 г. ДИ-4 ис</w:t>
      </w:r>
      <w:r w:rsidRPr="00C33834">
        <w:rPr>
          <w:rFonts w:ascii="Times New Roman" w:hAnsi="Times New Roman"/>
          <w:color w:val="000000" w:themeColor="text1"/>
          <w:sz w:val="16"/>
          <w:szCs w:val="16"/>
        </w:rPr>
        <w:softHyphen/>
        <w:t>пользовался в испытательных полетах для сравнения с другими истребителями.</w:t>
      </w:r>
    </w:p>
    <w:p w14:paraId="6688CCDC" w14:textId="77777777" w:rsidR="00360AC0" w:rsidRPr="00C33834" w:rsidRDefault="00360AC0" w:rsidP="00C33834">
      <w:pPr>
        <w:pStyle w:val="59"/>
        <w:shd w:val="clear" w:color="auto" w:fill="auto"/>
        <w:spacing w:line="240" w:lineRule="auto"/>
        <w:jc w:val="both"/>
        <w:rPr>
          <w:color w:val="000000" w:themeColor="text1"/>
          <w:szCs w:val="16"/>
        </w:rPr>
      </w:pPr>
      <w:r w:rsidRPr="00C33834">
        <w:rPr>
          <w:rStyle w:val="50pt"/>
          <w:color w:val="000000" w:themeColor="text1"/>
          <w:spacing w:val="0"/>
          <w:szCs w:val="16"/>
        </w:rPr>
        <w:t>Основные технические характеристики ДИ-4</w:t>
      </w:r>
    </w:p>
    <w:tbl>
      <w:tblPr>
        <w:tblW w:w="0" w:type="auto"/>
        <w:tblLayout w:type="fixed"/>
        <w:tblCellMar>
          <w:left w:w="10" w:type="dxa"/>
          <w:right w:w="10" w:type="dxa"/>
        </w:tblCellMar>
        <w:tblLook w:val="0000" w:firstRow="0" w:lastRow="0" w:firstColumn="0" w:lastColumn="0" w:noHBand="0" w:noVBand="0"/>
      </w:tblPr>
      <w:tblGrid>
        <w:gridCol w:w="3931"/>
        <w:gridCol w:w="1836"/>
      </w:tblGrid>
      <w:tr w:rsidR="00F26F01" w:rsidRPr="00C33834" w14:paraId="34ADEAFF" w14:textId="77777777" w:rsidTr="00CE35D9">
        <w:trPr>
          <w:trHeight w:val="252"/>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927EE70"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Размах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BF30258"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13,36</w:t>
            </w:r>
          </w:p>
        </w:tc>
      </w:tr>
      <w:tr w:rsidR="00F26F01" w:rsidRPr="00C33834" w14:paraId="4F9D7478"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F1D0A63"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Длина(м)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82431F5"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8,50</w:t>
            </w:r>
          </w:p>
        </w:tc>
      </w:tr>
      <w:tr w:rsidR="00F26F01" w:rsidRPr="00C33834" w14:paraId="329F6E0E" w14:textId="77777777" w:rsidTr="00CE35D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68A1215"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Площадь крыла (м</w:t>
            </w:r>
            <w:r w:rsidRPr="00C33834">
              <w:rPr>
                <w:rFonts w:ascii="Times New Roman" w:hAnsi="Times New Roman" w:cs="Times New Roman"/>
                <w:b w:val="0"/>
                <w:color w:val="000000" w:themeColor="text1"/>
                <w:sz w:val="16"/>
                <w:szCs w:val="16"/>
                <w:vertAlign w:val="superscript"/>
              </w:rPr>
              <w:t>2</w:t>
            </w:r>
            <w:r w:rsidRPr="00C33834">
              <w:rPr>
                <w:rFonts w:ascii="Times New Roman" w:hAnsi="Times New Roman" w:cs="Times New Roman"/>
                <w:b w:val="0"/>
                <w:color w:val="000000" w:themeColor="text1"/>
                <w:sz w:val="16"/>
                <w:szCs w:val="16"/>
              </w:rPr>
              <w:t>)</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9E49E72"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23,90</w:t>
            </w:r>
          </w:p>
        </w:tc>
      </w:tr>
      <w:tr w:rsidR="00F26F01" w:rsidRPr="00C33834" w14:paraId="622360FC"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94DE57B"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Хорда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C6963B8"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2,0</w:t>
            </w:r>
          </w:p>
        </w:tc>
      </w:tr>
      <w:tr w:rsidR="00F26F01" w:rsidRPr="00C33834" w14:paraId="4D409EB8" w14:textId="77777777" w:rsidTr="00CE35D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24C86E8"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Вес пустого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CE02036"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1441,0</w:t>
            </w:r>
          </w:p>
        </w:tc>
      </w:tr>
      <w:tr w:rsidR="00F26F01" w:rsidRPr="00C33834" w14:paraId="2FB6EB36"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315E74A"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Полетный вес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A56D1AF"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1949</w:t>
            </w:r>
          </w:p>
        </w:tc>
      </w:tr>
      <w:tr w:rsidR="00F26F01" w:rsidRPr="00C33834" w14:paraId="67146449"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76A38C8"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Скорость максимальная Н=0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111130B"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266</w:t>
            </w:r>
          </w:p>
        </w:tc>
      </w:tr>
      <w:tr w:rsidR="00F26F01" w:rsidRPr="00C33834" w14:paraId="2429C6E3"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45835D0"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Скорость максимальная Н=3000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715389E"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248,7</w:t>
            </w:r>
          </w:p>
        </w:tc>
      </w:tr>
      <w:tr w:rsidR="00F26F01" w:rsidRPr="00C33834" w14:paraId="6CCB6DE4"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1BFC2DC"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Скорость максимальная Н=5000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4A36E4D"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237,0</w:t>
            </w:r>
          </w:p>
        </w:tc>
      </w:tr>
      <w:tr w:rsidR="00F26F01" w:rsidRPr="00C33834" w14:paraId="0EAA32C0"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343AF93"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Время набора высоты 3000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6B37C08"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7,4</w:t>
            </w:r>
          </w:p>
        </w:tc>
      </w:tr>
      <w:tr w:rsidR="00F26F01" w:rsidRPr="00C33834" w14:paraId="54B2A5B1" w14:textId="77777777" w:rsidTr="00CE35D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32699C2F"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Время набора высоты 5000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89985E7"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17,0</w:t>
            </w:r>
          </w:p>
        </w:tc>
      </w:tr>
      <w:tr w:rsidR="00F26F01" w:rsidRPr="00C33834" w14:paraId="32E6187F"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48B48AC"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Практический потолок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E6FD25D"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6440</w:t>
            </w:r>
          </w:p>
        </w:tc>
      </w:tr>
      <w:tr w:rsidR="00F26F01" w:rsidRPr="00C33834" w14:paraId="1740FAE8" w14:textId="77777777" w:rsidTr="00CE35D9">
        <w:trPr>
          <w:trHeight w:val="259"/>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0468A64"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Время виража на 100 м (сек.)</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D37F864" w14:textId="77777777" w:rsidR="00360AC0" w:rsidRPr="00C33834" w:rsidRDefault="00360AC0"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15,0</w:t>
            </w:r>
          </w:p>
        </w:tc>
      </w:tr>
    </w:tbl>
    <w:p w14:paraId="32E66362" w14:textId="77777777" w:rsidR="00360AC0" w:rsidRPr="00C33834" w:rsidRDefault="00360AC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(12295)</w:t>
      </w:r>
    </w:p>
    <w:p w14:paraId="4B7F7CEB" w14:textId="77777777" w:rsidR="00360AC0" w:rsidRPr="00C33834" w:rsidRDefault="00360AC0" w:rsidP="00C33834">
      <w:pPr>
        <w:spacing w:after="0" w:line="240" w:lineRule="auto"/>
        <w:jc w:val="both"/>
        <w:rPr>
          <w:rFonts w:ascii="Times New Roman" w:hAnsi="Times New Roman"/>
          <w:color w:val="000000" w:themeColor="text1"/>
          <w:sz w:val="16"/>
          <w:szCs w:val="16"/>
        </w:rPr>
      </w:pPr>
    </w:p>
    <w:p w14:paraId="74E826CC" w14:textId="77777777" w:rsidR="00235986" w:rsidRPr="00C33834" w:rsidRDefault="00235986"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мая 1933 года Начальник НИИ ВВС Зильберт утвердил протокол Тактико-технического совещания НИИ ВВС (Журнал № 2) от 25 апреля 1933 года (6788).</w:t>
      </w:r>
    </w:p>
    <w:p w14:paraId="092561BD" w14:textId="77777777" w:rsidR="00235986" w:rsidRPr="00C33834" w:rsidRDefault="00235986"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Перечень разбиравшихся вопросов</w:t>
      </w:r>
    </w:p>
    <w:p w14:paraId="7A234C6C" w14:textId="77777777" w:rsidR="00235986" w:rsidRPr="00C33834" w:rsidRDefault="00235986"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физиологии Таран» и рассмотрение требований на специальный самолет ПВО. Докладчик Вершинин.</w:t>
      </w:r>
    </w:p>
    <w:p w14:paraId="3737D75A" w14:textId="77777777" w:rsidR="00235986" w:rsidRPr="00C33834" w:rsidRDefault="00235986"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Тактико-технические требования на специальный самолет конструкции Заславского. Докладчик Гребенев.</w:t>
      </w:r>
    </w:p>
    <w:p w14:paraId="744D64F2" w14:textId="77777777" w:rsidR="00235986" w:rsidRPr="00C33834" w:rsidRDefault="00235986"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Схема самолета В.С. 2 (модель и 2 чертежа). Докладчик Гребенев.</w:t>
      </w:r>
    </w:p>
    <w:p w14:paraId="58267C2B" w14:textId="77777777" w:rsidR="00235986" w:rsidRPr="00C33834" w:rsidRDefault="00235986"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Тактико-технические требования на самолет 3-х назначений (О.Р., Д.И. и Л.Б.). Докладчик Жемчужин (6788).</w:t>
      </w:r>
    </w:p>
    <w:p w14:paraId="577658F5" w14:textId="77777777" w:rsidR="00235986" w:rsidRPr="00C33834" w:rsidRDefault="00235986"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3F98F3"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мая 1934 года № 223/оп была подготовлена Справка о состоянии производства моторов М-34 с редуктором на заводе № 24 им. Фрунзе</w:t>
      </w:r>
    </w:p>
    <w:p w14:paraId="0CDB9C57"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736"/>
        <w:gridCol w:w="2016"/>
      </w:tblGrid>
      <w:tr w:rsidR="00F26F01" w:rsidRPr="00C33834" w14:paraId="3C9D3944" w14:textId="77777777">
        <w:tc>
          <w:tcPr>
            <w:tcW w:w="2736" w:type="dxa"/>
          </w:tcPr>
          <w:p w14:paraId="60096509"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016" w:type="dxa"/>
          </w:tcPr>
          <w:p w14:paraId="6375E348"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Сдать</w:t>
            </w:r>
          </w:p>
        </w:tc>
      </w:tr>
      <w:tr w:rsidR="00F26F01" w:rsidRPr="00C33834" w14:paraId="2AF18C93" w14:textId="77777777">
        <w:tc>
          <w:tcPr>
            <w:tcW w:w="2736" w:type="dxa"/>
          </w:tcPr>
          <w:p w14:paraId="76AAC60F"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Январь 1934 года</w:t>
            </w:r>
          </w:p>
        </w:tc>
        <w:tc>
          <w:tcPr>
            <w:tcW w:w="2016" w:type="dxa"/>
          </w:tcPr>
          <w:p w14:paraId="107D1DEB"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моторов</w:t>
            </w:r>
          </w:p>
        </w:tc>
      </w:tr>
      <w:tr w:rsidR="00F26F01" w:rsidRPr="00C33834" w14:paraId="37A069C1" w14:textId="77777777">
        <w:tc>
          <w:tcPr>
            <w:tcW w:w="2736" w:type="dxa"/>
          </w:tcPr>
          <w:p w14:paraId="0FAAB2D4"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Февраль 1934 года</w:t>
            </w:r>
          </w:p>
        </w:tc>
        <w:tc>
          <w:tcPr>
            <w:tcW w:w="2016" w:type="dxa"/>
          </w:tcPr>
          <w:p w14:paraId="229B372C"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моторов</w:t>
            </w:r>
          </w:p>
        </w:tc>
      </w:tr>
      <w:tr w:rsidR="00F26F01" w:rsidRPr="00C33834" w14:paraId="50045B68" w14:textId="77777777">
        <w:tc>
          <w:tcPr>
            <w:tcW w:w="2736" w:type="dxa"/>
          </w:tcPr>
          <w:p w14:paraId="2005D1A1"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Март 1934 года</w:t>
            </w:r>
          </w:p>
        </w:tc>
        <w:tc>
          <w:tcPr>
            <w:tcW w:w="2016" w:type="dxa"/>
          </w:tcPr>
          <w:p w14:paraId="1A47D007"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 моторов</w:t>
            </w:r>
          </w:p>
        </w:tc>
      </w:tr>
      <w:tr w:rsidR="00F26F01" w:rsidRPr="00C33834" w14:paraId="6A355284" w14:textId="77777777">
        <w:tc>
          <w:tcPr>
            <w:tcW w:w="2736" w:type="dxa"/>
          </w:tcPr>
          <w:p w14:paraId="52338DD4"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Апрель 1934 года</w:t>
            </w:r>
          </w:p>
        </w:tc>
        <w:tc>
          <w:tcPr>
            <w:tcW w:w="2016" w:type="dxa"/>
          </w:tcPr>
          <w:p w14:paraId="1ED4F12F"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 моторов</w:t>
            </w:r>
          </w:p>
        </w:tc>
      </w:tr>
      <w:tr w:rsidR="00F26F01" w:rsidRPr="00C33834" w14:paraId="202E0037" w14:textId="77777777">
        <w:tc>
          <w:tcPr>
            <w:tcW w:w="2736" w:type="dxa"/>
          </w:tcPr>
          <w:p w14:paraId="1AAB85DF"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2016" w:type="dxa"/>
          </w:tcPr>
          <w:p w14:paraId="413B6F6A"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 моторов</w:t>
            </w:r>
          </w:p>
        </w:tc>
      </w:tr>
    </w:tbl>
    <w:p w14:paraId="1FCAF521"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на 1 мая 1934 года:</w:t>
      </w:r>
    </w:p>
    <w:p w14:paraId="482AC0D7"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Сдано в узлах 100 моторов</w:t>
      </w:r>
    </w:p>
    <w:p w14:paraId="2B34C762"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Прошло 3-х часовые испытания – 69 моторов</w:t>
      </w:r>
    </w:p>
    <w:p w14:paraId="22D1B4D3"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Прошло 20 м. сдаточных испытания 42 мотора (4267,37-38).</w:t>
      </w:r>
    </w:p>
    <w:p w14:paraId="6212BB4C"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03A838BE" w14:textId="77777777" w:rsidR="00A47E93" w:rsidRPr="00C33834" w:rsidRDefault="00A47E93" w:rsidP="00C33834">
      <w:pPr>
        <w:pStyle w:val="rtejustify"/>
        <w:spacing w:before="0" w:after="0"/>
        <w:rPr>
          <w:color w:val="000000" w:themeColor="text1"/>
          <w:sz w:val="16"/>
          <w:szCs w:val="16"/>
        </w:rPr>
      </w:pPr>
      <w:r w:rsidRPr="00C33834">
        <w:rPr>
          <w:rStyle w:val="af0"/>
          <w:bCs/>
          <w:i w:val="0"/>
          <w:color w:val="000000" w:themeColor="text1"/>
          <w:sz w:val="16"/>
          <w:szCs w:val="16"/>
        </w:rPr>
        <w:t>7 мая</w:t>
      </w:r>
      <w:r w:rsidRPr="00C33834">
        <w:rPr>
          <w:color w:val="000000" w:themeColor="text1"/>
          <w:sz w:val="16"/>
          <w:szCs w:val="16"/>
        </w:rPr>
        <w:t xml:space="preserve"> 1933. Постановление СТО СССР № 29сс/о «Об ассигновании заводу «Красный двигатель» на узкооборонное строительство в 1933 г. 250 тыс. руб.». (ГА РФ. Ф. Р</w:t>
      </w:r>
      <w:r w:rsidRPr="00C33834">
        <w:rPr>
          <w:color w:val="000000" w:themeColor="text1"/>
          <w:sz w:val="16"/>
          <w:szCs w:val="16"/>
        </w:rPr>
        <w:noBreakHyphen/>
        <w:t>8418. Оп. 28. Д. 1. Л. 140) (15460).</w:t>
      </w:r>
    </w:p>
    <w:p w14:paraId="6795743D" w14:textId="77777777" w:rsidR="00A47E93" w:rsidRPr="00C33834" w:rsidRDefault="00A47E93" w:rsidP="00C33834">
      <w:pPr>
        <w:pStyle w:val="rtejustify"/>
        <w:spacing w:before="0" w:after="0"/>
        <w:rPr>
          <w:color w:val="000000" w:themeColor="text1"/>
          <w:sz w:val="16"/>
          <w:szCs w:val="16"/>
        </w:rPr>
      </w:pPr>
    </w:p>
    <w:p w14:paraId="646558C3" w14:textId="77777777" w:rsidR="00881227" w:rsidRPr="00C33834" w:rsidRDefault="0088122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 xml:space="preserve">На 7 мая 1933 назначили начало деятельности эскадрильи имени М.Горького — именно в этот день состоялся воздушный парад на Центральном аэродроме Москвы, в котором участвовали все самолеты во главе с АНТ-14 «Правда». Между тем, на ряде фотографий, выполненных 7 мая, в строю между АНТ-14 СССР-Ш001 и К-5 </w:t>
      </w:r>
      <w:r w:rsidRPr="00C33834">
        <w:rPr>
          <w:rFonts w:ascii="Times New Roman" w:hAnsi="Times New Roman"/>
          <w:color w:val="0070C0"/>
          <w:sz w:val="16"/>
          <w:szCs w:val="16"/>
          <w:lang w:val="en-US" w:bidi="en-US"/>
        </w:rPr>
        <w:t>CCGP</w:t>
      </w:r>
      <w:r w:rsidRPr="00C33834">
        <w:rPr>
          <w:rFonts w:ascii="Times New Roman" w:hAnsi="Times New Roman"/>
          <w:color w:val="0070C0"/>
          <w:sz w:val="16"/>
          <w:szCs w:val="16"/>
          <w:lang w:bidi="en-US"/>
        </w:rPr>
        <w:t>-</w:t>
      </w:r>
      <w:r w:rsidRPr="00C33834">
        <w:rPr>
          <w:rFonts w:ascii="Times New Roman" w:hAnsi="Times New Roman"/>
          <w:color w:val="0070C0"/>
          <w:sz w:val="16"/>
          <w:szCs w:val="16"/>
          <w:lang w:val="en-US" w:bidi="en-US"/>
        </w:rPr>
        <w:t>N</w:t>
      </w:r>
      <w:r w:rsidRPr="00C33834">
        <w:rPr>
          <w:rFonts w:ascii="Times New Roman" w:hAnsi="Times New Roman"/>
          <w:color w:val="0070C0"/>
          <w:sz w:val="16"/>
          <w:szCs w:val="16"/>
          <w:lang w:bidi="en-US"/>
        </w:rPr>
        <w:t xml:space="preserve">410 </w:t>
      </w:r>
      <w:r w:rsidRPr="00C33834">
        <w:rPr>
          <w:rFonts w:ascii="Times New Roman" w:hAnsi="Times New Roman"/>
          <w:color w:val="0070C0"/>
          <w:sz w:val="16"/>
          <w:szCs w:val="16"/>
          <w:lang w:eastAsia="ru-RU" w:bidi="ru-RU"/>
        </w:rPr>
        <w:t>находится Сталь-2 с двигателем М-26 и бортовым номером СССР-Ш003. Изве</w:t>
      </w:r>
      <w:r w:rsidRPr="00C33834">
        <w:rPr>
          <w:rFonts w:ascii="Times New Roman" w:hAnsi="Times New Roman"/>
          <w:color w:val="0070C0"/>
          <w:sz w:val="16"/>
          <w:szCs w:val="16"/>
          <w:lang w:eastAsia="ru-RU" w:bidi="ru-RU"/>
        </w:rPr>
        <w:softHyphen/>
        <w:t>стно, что машину СССР-Ш003 зарегистрировали в эскад</w:t>
      </w:r>
      <w:r w:rsidRPr="00C33834">
        <w:rPr>
          <w:rFonts w:ascii="Times New Roman" w:hAnsi="Times New Roman"/>
          <w:color w:val="0070C0"/>
          <w:sz w:val="16"/>
          <w:szCs w:val="16"/>
          <w:lang w:eastAsia="ru-RU" w:bidi="ru-RU"/>
        </w:rPr>
        <w:softHyphen/>
        <w:t>рилье буквально накануне - 6 мая. Однако более удивитель</w:t>
      </w:r>
      <w:r w:rsidRPr="00C33834">
        <w:rPr>
          <w:rFonts w:ascii="Times New Roman" w:hAnsi="Times New Roman"/>
          <w:color w:val="0070C0"/>
          <w:sz w:val="16"/>
          <w:szCs w:val="16"/>
          <w:lang w:eastAsia="ru-RU" w:bidi="ru-RU"/>
        </w:rPr>
        <w:softHyphen/>
        <w:t>ным моментом является надпись «Известия» на борту фюзеляжа. Получается, что было два самолета с одним назва</w:t>
      </w:r>
      <w:r w:rsidRPr="00C33834">
        <w:rPr>
          <w:rFonts w:ascii="Times New Roman" w:hAnsi="Times New Roman"/>
          <w:color w:val="0070C0"/>
          <w:sz w:val="16"/>
          <w:szCs w:val="16"/>
          <w:lang w:eastAsia="ru-RU" w:bidi="ru-RU"/>
        </w:rPr>
        <w:softHyphen/>
        <w:t xml:space="preserve">нием, </w:t>
      </w:r>
      <w:r w:rsidRPr="00C33834">
        <w:rPr>
          <w:rFonts w:ascii="Times New Roman" w:hAnsi="Times New Roman"/>
          <w:color w:val="0070C0"/>
          <w:sz w:val="16"/>
          <w:szCs w:val="16"/>
          <w:lang w:eastAsia="ru-RU" w:bidi="ru-RU"/>
        </w:rPr>
        <w:lastRenderedPageBreak/>
        <w:t>что не вполне естест</w:t>
      </w:r>
      <w:r w:rsidRPr="00C33834">
        <w:rPr>
          <w:rFonts w:ascii="Times New Roman" w:hAnsi="Times New Roman"/>
          <w:color w:val="0070C0"/>
          <w:sz w:val="16"/>
          <w:szCs w:val="16"/>
          <w:lang w:eastAsia="ru-RU" w:bidi="ru-RU"/>
        </w:rPr>
        <w:softHyphen/>
        <w:t xml:space="preserve">венно. Возможно, считалось, что опытный экземпляр уже поизносился, и ему заранее готовили замену. Но, как бы то ни было, 7 мая Фарих с Шекуровым вылетели из Москвы именно на </w:t>
      </w:r>
      <w:r w:rsidRPr="00C33834">
        <w:rPr>
          <w:rFonts w:ascii="Times New Roman" w:hAnsi="Times New Roman"/>
          <w:color w:val="0070C0"/>
          <w:sz w:val="16"/>
          <w:szCs w:val="16"/>
          <w:lang w:val="en-US" w:bidi="en-US"/>
        </w:rPr>
        <w:t>URSS</w:t>
      </w:r>
      <w:r w:rsidRPr="00C33834">
        <w:rPr>
          <w:rFonts w:ascii="Times New Roman" w:hAnsi="Times New Roman"/>
          <w:color w:val="0070C0"/>
          <w:sz w:val="16"/>
          <w:szCs w:val="16"/>
          <w:lang w:bidi="en-US"/>
        </w:rPr>
        <w:t>-</w:t>
      </w:r>
      <w:r w:rsidRPr="00C33834">
        <w:rPr>
          <w:rFonts w:ascii="Times New Roman" w:hAnsi="Times New Roman"/>
          <w:color w:val="0070C0"/>
          <w:sz w:val="16"/>
          <w:szCs w:val="16"/>
          <w:lang w:val="en-US" w:bidi="en-US"/>
        </w:rPr>
        <w:t>N</w:t>
      </w:r>
      <w:r w:rsidRPr="00C33834">
        <w:rPr>
          <w:rFonts w:ascii="Times New Roman" w:hAnsi="Times New Roman"/>
          <w:color w:val="0070C0"/>
          <w:sz w:val="16"/>
          <w:szCs w:val="16"/>
          <w:lang w:bidi="en-US"/>
        </w:rPr>
        <w:t xml:space="preserve">800 </w:t>
      </w:r>
      <w:r w:rsidRPr="00C33834">
        <w:rPr>
          <w:rFonts w:ascii="Times New Roman" w:hAnsi="Times New Roman"/>
          <w:color w:val="0070C0"/>
          <w:sz w:val="16"/>
          <w:szCs w:val="16"/>
          <w:lang w:eastAsia="ru-RU" w:bidi="ru-RU"/>
        </w:rPr>
        <w:t>в направлении Харькова и в последующие дни совершили «большой рейс» по Украине. Особых по</w:t>
      </w:r>
      <w:r w:rsidRPr="00C33834">
        <w:rPr>
          <w:rFonts w:ascii="Times New Roman" w:hAnsi="Times New Roman"/>
          <w:color w:val="0070C0"/>
          <w:sz w:val="16"/>
          <w:szCs w:val="16"/>
          <w:lang w:eastAsia="ru-RU" w:bidi="ru-RU"/>
        </w:rPr>
        <w:softHyphen/>
        <w:t>дробностей этого путешест</w:t>
      </w:r>
      <w:r w:rsidRPr="00C33834">
        <w:rPr>
          <w:rFonts w:ascii="Times New Roman" w:hAnsi="Times New Roman"/>
          <w:color w:val="0070C0"/>
          <w:sz w:val="16"/>
          <w:szCs w:val="16"/>
          <w:lang w:eastAsia="ru-RU" w:bidi="ru-RU"/>
        </w:rPr>
        <w:softHyphen/>
        <w:t>вия обнаружить не удалось, но отмечалось, что среди на</w:t>
      </w:r>
      <w:r w:rsidRPr="00C33834">
        <w:rPr>
          <w:rFonts w:ascii="Times New Roman" w:hAnsi="Times New Roman"/>
          <w:color w:val="0070C0"/>
          <w:sz w:val="16"/>
          <w:szCs w:val="16"/>
          <w:lang w:eastAsia="ru-RU" w:bidi="ru-RU"/>
        </w:rPr>
        <w:softHyphen/>
        <w:t>селения проводилась лотерея на право совершения озна</w:t>
      </w:r>
      <w:r w:rsidRPr="00C33834">
        <w:rPr>
          <w:rFonts w:ascii="Times New Roman" w:hAnsi="Times New Roman"/>
          <w:color w:val="0070C0"/>
          <w:sz w:val="16"/>
          <w:szCs w:val="16"/>
        </w:rPr>
        <w:t xml:space="preserve"> </w:t>
      </w:r>
      <w:r w:rsidRPr="00C33834">
        <w:rPr>
          <w:rFonts w:ascii="Times New Roman" w:hAnsi="Times New Roman"/>
          <w:color w:val="0070C0"/>
          <w:sz w:val="16"/>
          <w:szCs w:val="16"/>
          <w:lang w:eastAsia="ru-RU" w:bidi="ru-RU"/>
        </w:rPr>
        <w:t>комительного полета на самолете. Забегая вперед, отметим, что такая практика подъема в воздух явилась одним из ос</w:t>
      </w:r>
      <w:r w:rsidRPr="00C33834">
        <w:rPr>
          <w:rFonts w:ascii="Times New Roman" w:hAnsi="Times New Roman"/>
          <w:color w:val="0070C0"/>
          <w:sz w:val="16"/>
          <w:szCs w:val="16"/>
          <w:lang w:eastAsia="ru-RU" w:bidi="ru-RU"/>
        </w:rPr>
        <w:softHyphen/>
        <w:t>новных методов агитационного воздействия на население, за время существования агитационной эскадрильи «воздуш</w:t>
      </w:r>
      <w:r w:rsidRPr="00C33834">
        <w:rPr>
          <w:rFonts w:ascii="Times New Roman" w:hAnsi="Times New Roman"/>
          <w:color w:val="0070C0"/>
          <w:sz w:val="16"/>
          <w:szCs w:val="16"/>
          <w:lang w:eastAsia="ru-RU" w:bidi="ru-RU"/>
        </w:rPr>
        <w:softHyphen/>
        <w:t>ное крещение» получили свыше 100 тысяч человек.</w:t>
      </w:r>
    </w:p>
    <w:p w14:paraId="1F0B1505" w14:textId="77777777" w:rsidR="00881227" w:rsidRPr="00C33834" w:rsidRDefault="00881227" w:rsidP="00C33834">
      <w:pPr>
        <w:spacing w:after="0" w:line="240" w:lineRule="auto"/>
        <w:jc w:val="both"/>
        <w:rPr>
          <w:rFonts w:ascii="Times New Roman" w:hAnsi="Times New Roman"/>
          <w:color w:val="0070C0"/>
          <w:sz w:val="16"/>
          <w:szCs w:val="16"/>
          <w:lang w:eastAsia="ru-RU" w:bidi="ru-RU"/>
        </w:rPr>
      </w:pPr>
      <w:r w:rsidRPr="00C33834">
        <w:rPr>
          <w:rFonts w:ascii="Times New Roman" w:hAnsi="Times New Roman"/>
          <w:color w:val="0070C0"/>
          <w:sz w:val="16"/>
          <w:szCs w:val="16"/>
          <w:lang w:eastAsia="ru-RU" w:bidi="ru-RU"/>
        </w:rPr>
        <w:t>В летний сезон 1933 года агитационные полеты продол</w:t>
      </w:r>
      <w:r w:rsidRPr="00C33834">
        <w:rPr>
          <w:rFonts w:ascii="Times New Roman" w:hAnsi="Times New Roman"/>
          <w:color w:val="0070C0"/>
          <w:sz w:val="16"/>
          <w:szCs w:val="16"/>
          <w:lang w:eastAsia="ru-RU" w:bidi="ru-RU"/>
        </w:rPr>
        <w:softHyphen/>
        <w:t xml:space="preserve">жились. В записях о делах эскадрильи указывается, что Сталь-2 </w:t>
      </w:r>
      <w:r w:rsidRPr="00C33834">
        <w:rPr>
          <w:rFonts w:ascii="Times New Roman" w:hAnsi="Times New Roman"/>
          <w:color w:val="0070C0"/>
          <w:sz w:val="16"/>
          <w:szCs w:val="16"/>
          <w:lang w:val="en-US" w:bidi="en-US"/>
        </w:rPr>
        <w:t>URSS</w:t>
      </w:r>
      <w:r w:rsidRPr="00C33834">
        <w:rPr>
          <w:rFonts w:ascii="Times New Roman" w:hAnsi="Times New Roman"/>
          <w:color w:val="0070C0"/>
          <w:sz w:val="16"/>
          <w:szCs w:val="16"/>
          <w:lang w:bidi="en-US"/>
        </w:rPr>
        <w:t>-</w:t>
      </w:r>
      <w:r w:rsidRPr="00C33834">
        <w:rPr>
          <w:rFonts w:ascii="Times New Roman" w:hAnsi="Times New Roman"/>
          <w:color w:val="0070C0"/>
          <w:sz w:val="16"/>
          <w:szCs w:val="16"/>
          <w:lang w:val="en-US" w:bidi="en-US"/>
        </w:rPr>
        <w:t>N</w:t>
      </w:r>
      <w:r w:rsidRPr="00C33834">
        <w:rPr>
          <w:rFonts w:ascii="Times New Roman" w:hAnsi="Times New Roman"/>
          <w:color w:val="0070C0"/>
          <w:sz w:val="16"/>
          <w:szCs w:val="16"/>
          <w:lang w:bidi="en-US"/>
        </w:rPr>
        <w:t xml:space="preserve">800 </w:t>
      </w:r>
      <w:r w:rsidRPr="00C33834">
        <w:rPr>
          <w:rFonts w:ascii="Times New Roman" w:hAnsi="Times New Roman"/>
          <w:color w:val="0070C0"/>
          <w:sz w:val="16"/>
          <w:szCs w:val="16"/>
          <w:lang w:eastAsia="ru-RU" w:bidi="ru-RU"/>
        </w:rPr>
        <w:t>вылетал в экспедиции в июне-июле те</w:t>
      </w:r>
      <w:r w:rsidRPr="00C33834">
        <w:rPr>
          <w:rFonts w:ascii="Times New Roman" w:hAnsi="Times New Roman"/>
          <w:color w:val="0070C0"/>
          <w:sz w:val="16"/>
          <w:szCs w:val="16"/>
          <w:lang w:eastAsia="ru-RU" w:bidi="ru-RU"/>
        </w:rPr>
        <w:softHyphen/>
        <w:t>кущего года (20365).</w:t>
      </w:r>
    </w:p>
    <w:p w14:paraId="0732350A" w14:textId="77777777" w:rsidR="00881227" w:rsidRPr="00C33834" w:rsidRDefault="00881227" w:rsidP="00C33834">
      <w:pPr>
        <w:spacing w:after="0" w:line="240" w:lineRule="auto"/>
        <w:jc w:val="both"/>
        <w:rPr>
          <w:rFonts w:ascii="Times New Roman" w:hAnsi="Times New Roman"/>
          <w:color w:val="0070C0"/>
          <w:sz w:val="16"/>
          <w:szCs w:val="16"/>
          <w:lang w:eastAsia="ru-RU" w:bidi="ru-RU"/>
        </w:rPr>
      </w:pPr>
    </w:p>
    <w:p w14:paraId="6B99303C" w14:textId="77777777" w:rsidR="0023598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6EDC5319" w14:textId="77777777" w:rsidR="00235986" w:rsidRPr="00C33834" w:rsidRDefault="0023598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56CD61A"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мая 1934 на Амуре была создана Еврейская автономная область с центром в Биробиджане (3960, 179).</w:t>
      </w:r>
    </w:p>
    <w:p w14:paraId="0B5E6C34" w14:textId="77777777" w:rsidR="00235986" w:rsidRPr="00C33834" w:rsidRDefault="00235986" w:rsidP="00C33834">
      <w:pPr>
        <w:autoSpaceDE w:val="0"/>
        <w:autoSpaceDN w:val="0"/>
        <w:adjustRightInd w:val="0"/>
        <w:spacing w:after="0" w:line="240" w:lineRule="auto"/>
        <w:jc w:val="both"/>
        <w:rPr>
          <w:rFonts w:ascii="Times New Roman" w:hAnsi="Times New Roman"/>
          <w:color w:val="000000" w:themeColor="text1"/>
          <w:sz w:val="16"/>
          <w:szCs w:val="16"/>
        </w:rPr>
      </w:pPr>
    </w:p>
    <w:p w14:paraId="4069C8AE" w14:textId="77777777" w:rsidR="00BB0DB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3544811F" w14:textId="77777777" w:rsidR="00BB0DBE" w:rsidRPr="00C33834" w:rsidRDefault="00BB0DB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01A47CC"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мая 1933 г. Крестинский, стоявший весьма близко к «центру выработки политических решений» Советского Союза (и даже жил в Кремле), секретным письмом ориентировал полпреда в Берлине Хинчука о том, что ратификацию протокола и обмен ратификационными грамотами (Состоялся 5 мая 1933 г.) правительство Гитлера старается использовать для того, чтобы «пробить брешь в отношениях между СССР, с одной стороны, Францией и Польшей — с другой &lt;...&gt;. В тех же целях, противодействия сближению между нами и Францией, гермпра постарается использовать предстоящий на днях приезд сюда генерала Боккельберга, ведающего вооружением рейхсвера». «&lt;...&gt; Во Франции и в Польше совершено спокойно отнесутся к тому, что состоялась ратификация давно подписанного протокола, ратификация, фактически не вносящая ничего нового в советско-германские отношения. Я не боюсь поэтому внешнеполитического вреда (sic!) от вступления Московского протокола в силу» (АВП РФ, ф. 05, оп. 13, п. 91, Д. 27, л. 16-17.). Такие слова из-под пера одного из активнейших поборников и проводников «рапалльской политики», коим был Крестинский, означали только одно: отношение политического руководства СССР в пользу отхода от стратегического сотрудничества с Германией было уже определено, и нужен был лишь приемлемый повод. Тем не менее визит военной делегации Боккельберга в СССР 8 — 25 мая 1933 г. был проведен с большой помпой и, по свидетельству Хильгера, «в прежнем духе согласия и доброй воли» (Hilger Gustav. Op. cit. S. 246.). В ходе подготовки визита Берзин еще 29 марта 1933 г. представил обширный план показа военной промышленности Боккельбергу с указанием конкретных объектов. Документ Ворошилов переадресовал Сталину, сопроводив его припиской: «т. Сталину. В порядке взаимности приходится немцам показывать и заводы и кое-какие воинские части. Если нет возражений, я дам соответствующим лицам, указания сопровождающим лицам как себя держать при объезде «гостем» нашей страны. Ворошилов» (РГВА, ф. 33987, on. 3, д. 497, л. 103,104-106.). Сталин не возражал. Боккельберга принимали Ворошилов, Егоров, Тухачевский. По программе визита ему были показаны школа летчиков в Каче, ЦАГИ, авиационный завод ГАЗ № 1 (бывший завод Дукса) производительностью 60 самолетов в месяц, ремонтные артмастерские в Голутвине, химкомбинат в Бобриках, Тульский оружейный завод, тракторный завод в Харькове, авиазавод в Александровске, оружейный завод в Калинине. Он побывал в Севастополе и на Днепрогэсе. Боккельберг отнесся внимательно к высказываниям Тухачевского относительно авиации и танков: «Для того, чтобы Германии выйти из затруднительной политической ситуации, он желает ей как можно скорее иметь воздушный флот в составе 2000 бомбовозов». «Наилучшим средством против танка является танк &lt;...&gt;». Вывод, который сделал Боккельберг в своем отчете по визиту, был следующим: «Совместная работа с Красной Армией и советской военной промышленностью, учитывая грандиозность советских планов, крайне желательна, не только по военно-политическим соображениям, но и по военно-техническим» (РГВА, ф. 33987, on. 3, д. 505, л. 135-137.) (11784).</w:t>
      </w:r>
    </w:p>
    <w:p w14:paraId="2B41262B" w14:textId="2017D7AE"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4DB9EA27" w14:textId="15ADEE92" w:rsidR="00DE4AED" w:rsidRPr="00C33834" w:rsidRDefault="00DE4AED" w:rsidP="00C33834">
      <w:pPr>
        <w:autoSpaceDE w:val="0"/>
        <w:autoSpaceDN w:val="0"/>
        <w:adjustRightInd w:val="0"/>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За рубежом:</w:t>
      </w:r>
    </w:p>
    <w:p w14:paraId="17CA6DB6" w14:textId="77777777" w:rsidR="00DE4AED" w:rsidRPr="00C33834" w:rsidRDefault="00DE4AED" w:rsidP="00C33834">
      <w:pPr>
        <w:autoSpaceDE w:val="0"/>
        <w:autoSpaceDN w:val="0"/>
        <w:adjustRightInd w:val="0"/>
        <w:spacing w:after="0" w:line="240" w:lineRule="auto"/>
        <w:jc w:val="both"/>
        <w:rPr>
          <w:rFonts w:ascii="Times New Roman" w:hAnsi="Times New Roman"/>
          <w:i/>
          <w:iCs/>
          <w:color w:val="000000" w:themeColor="text1"/>
          <w:sz w:val="16"/>
          <w:szCs w:val="16"/>
        </w:rPr>
      </w:pPr>
    </w:p>
    <w:p w14:paraId="375B1F39" w14:textId="77777777" w:rsidR="00DE4AED" w:rsidRPr="00C33834" w:rsidRDefault="00DE4AE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7–8 мая 1933 Станислав Скаржински совершает перелет через Южную Атлантику из Сенегала в Бразилию на небольшом одноместном туристическом самолете RWD-5bis за 20 часов 30 минут на расстояние 3582 км (2226 миль). RWD-5bis был самым маленьким самолетом, который когда-либо летал над Атлантикой - пустой вес менее 450 кг (990 фунтов), с нагрузклй - 1100 кг. С 27 апреля по 24 июня он является частью рейса Варшава - Рио-де-Жанейро протяженностью 17 885 км (20802).</w:t>
      </w:r>
    </w:p>
    <w:p w14:paraId="3DC9A3F3" w14:textId="77777777" w:rsidR="00DE4AED" w:rsidRPr="00C33834" w:rsidRDefault="00DE4AED" w:rsidP="00C33834">
      <w:pPr>
        <w:spacing w:after="0" w:line="240" w:lineRule="auto"/>
        <w:jc w:val="both"/>
        <w:rPr>
          <w:rFonts w:ascii="Times New Roman" w:hAnsi="Times New Roman"/>
          <w:color w:val="0070C0"/>
          <w:sz w:val="16"/>
          <w:szCs w:val="16"/>
        </w:rPr>
      </w:pPr>
    </w:p>
    <w:p w14:paraId="7D61F6EA" w14:textId="77777777" w:rsidR="00BB0DB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24A7129" w14:textId="77777777" w:rsidR="00BB0DBE" w:rsidRPr="00C33834" w:rsidRDefault="00BB0DB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CE3F900"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период с 8-го по 22 мая 1933 г. проходили госиспытания ДИ-4</w:t>
      </w:r>
    </w:p>
    <w:p w14:paraId="00D45D4E"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Признавалось, что ДИ-4 выполнен по не</w:t>
      </w:r>
      <w:r w:rsidRPr="00C33834">
        <w:rPr>
          <w:rFonts w:ascii="Times New Roman" w:hAnsi="Times New Roman"/>
          <w:color w:val="000000" w:themeColor="text1"/>
          <w:sz w:val="16"/>
          <w:szCs w:val="16"/>
        </w:rPr>
        <w:softHyphen/>
        <w:t>современной схеме, с подкосами, крепящи</w:t>
      </w:r>
      <w:r w:rsidRPr="00C33834">
        <w:rPr>
          <w:rFonts w:ascii="Times New Roman" w:hAnsi="Times New Roman"/>
          <w:color w:val="000000" w:themeColor="text1"/>
          <w:sz w:val="16"/>
          <w:szCs w:val="16"/>
        </w:rPr>
        <w:softHyphen/>
        <w:t>мися на шасси. Само шасси очень сложное и неудобное в обслуживании. Как недостаток указывался большой вес конструкции, крыло в виде «чайки» не улучшало обзор по причи</w:t>
      </w:r>
      <w:r w:rsidRPr="00C33834">
        <w:rPr>
          <w:rFonts w:ascii="Times New Roman" w:hAnsi="Times New Roman"/>
          <w:color w:val="000000" w:themeColor="text1"/>
          <w:sz w:val="16"/>
          <w:szCs w:val="16"/>
        </w:rPr>
        <w:softHyphen/>
        <w:t>не использованного толстого профиля. Лет</w:t>
      </w:r>
      <w:r w:rsidRPr="00C33834">
        <w:rPr>
          <w:rFonts w:ascii="Times New Roman" w:hAnsi="Times New Roman"/>
          <w:color w:val="000000" w:themeColor="text1"/>
          <w:sz w:val="16"/>
          <w:szCs w:val="16"/>
        </w:rPr>
        <w:softHyphen/>
        <w:t>ные характеристики оценивались как невы</w:t>
      </w:r>
      <w:r w:rsidRPr="00C33834">
        <w:rPr>
          <w:rFonts w:ascii="Times New Roman" w:hAnsi="Times New Roman"/>
          <w:color w:val="000000" w:themeColor="text1"/>
          <w:sz w:val="16"/>
          <w:szCs w:val="16"/>
        </w:rPr>
        <w:softHyphen/>
        <w:t>сокие. Впрочем, самолет с трудом входил в штопор, однако прекрасно из него выходил.</w:t>
      </w:r>
    </w:p>
    <w:p w14:paraId="6E0C26D1"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дальнейшем предлагалось вместо двига</w:t>
      </w:r>
      <w:r w:rsidRPr="00C33834">
        <w:rPr>
          <w:rFonts w:ascii="Times New Roman" w:hAnsi="Times New Roman"/>
          <w:color w:val="000000" w:themeColor="text1"/>
          <w:sz w:val="16"/>
          <w:szCs w:val="16"/>
        </w:rPr>
        <w:softHyphen/>
        <w:t>теля Кертисс «Конкверор» использовать оте</w:t>
      </w:r>
      <w:r w:rsidRPr="00C33834">
        <w:rPr>
          <w:rFonts w:ascii="Times New Roman" w:hAnsi="Times New Roman"/>
          <w:color w:val="000000" w:themeColor="text1"/>
          <w:sz w:val="16"/>
          <w:szCs w:val="16"/>
        </w:rPr>
        <w:softHyphen/>
        <w:t>чественный двигатель М-32. Однако пере</w:t>
      </w:r>
      <w:r w:rsidRPr="00C33834">
        <w:rPr>
          <w:rFonts w:ascii="Times New Roman" w:hAnsi="Times New Roman"/>
          <w:color w:val="000000" w:themeColor="text1"/>
          <w:sz w:val="16"/>
          <w:szCs w:val="16"/>
        </w:rPr>
        <w:softHyphen/>
        <w:t>делки при этом могли оказаться столь суще</w:t>
      </w:r>
      <w:r w:rsidRPr="00C33834">
        <w:rPr>
          <w:rFonts w:ascii="Times New Roman" w:hAnsi="Times New Roman"/>
          <w:color w:val="000000" w:themeColor="text1"/>
          <w:sz w:val="16"/>
          <w:szCs w:val="16"/>
        </w:rPr>
        <w:softHyphen/>
        <w:t>ственными, что от совершенствования ма</w:t>
      </w:r>
      <w:r w:rsidRPr="00C33834">
        <w:rPr>
          <w:rFonts w:ascii="Times New Roman" w:hAnsi="Times New Roman"/>
          <w:color w:val="000000" w:themeColor="text1"/>
          <w:sz w:val="16"/>
          <w:szCs w:val="16"/>
        </w:rPr>
        <w:softHyphen/>
        <w:t>шины отказались. В результате было решено, что самолет не может быть допущен к серий</w:t>
      </w:r>
      <w:r w:rsidRPr="00C33834">
        <w:rPr>
          <w:rFonts w:ascii="Times New Roman" w:hAnsi="Times New Roman"/>
          <w:color w:val="000000" w:themeColor="text1"/>
          <w:sz w:val="16"/>
          <w:szCs w:val="16"/>
        </w:rPr>
        <w:softHyphen/>
        <w:t>ной постройке. Опытный экземпляр остави</w:t>
      </w:r>
      <w:r w:rsidRPr="00C33834">
        <w:rPr>
          <w:rFonts w:ascii="Times New Roman" w:hAnsi="Times New Roman"/>
          <w:color w:val="000000" w:themeColor="text1"/>
          <w:sz w:val="16"/>
          <w:szCs w:val="16"/>
        </w:rPr>
        <w:softHyphen/>
        <w:t>ли в НИИ ВВС, где с июля 1934 г. ДИ-4 ис</w:t>
      </w:r>
      <w:r w:rsidRPr="00C33834">
        <w:rPr>
          <w:rFonts w:ascii="Times New Roman" w:hAnsi="Times New Roman"/>
          <w:color w:val="000000" w:themeColor="text1"/>
          <w:sz w:val="16"/>
          <w:szCs w:val="16"/>
        </w:rPr>
        <w:softHyphen/>
        <w:t>пользовался в испытательных полетах для сравнения с другими истребителями.</w:t>
      </w:r>
    </w:p>
    <w:p w14:paraId="633A0394" w14:textId="77777777" w:rsidR="0058354C" w:rsidRPr="00C33834" w:rsidRDefault="0058354C" w:rsidP="00C33834">
      <w:pPr>
        <w:pStyle w:val="59"/>
        <w:shd w:val="clear" w:color="auto" w:fill="auto"/>
        <w:spacing w:line="240" w:lineRule="auto"/>
        <w:jc w:val="both"/>
        <w:rPr>
          <w:color w:val="000000" w:themeColor="text1"/>
          <w:szCs w:val="16"/>
        </w:rPr>
      </w:pPr>
      <w:r w:rsidRPr="00C33834">
        <w:rPr>
          <w:rStyle w:val="50pt"/>
          <w:color w:val="000000" w:themeColor="text1"/>
          <w:spacing w:val="0"/>
          <w:szCs w:val="16"/>
        </w:rPr>
        <w:t>Основные технические характеристики ДИ-4</w:t>
      </w:r>
    </w:p>
    <w:tbl>
      <w:tblPr>
        <w:tblW w:w="0" w:type="auto"/>
        <w:tblLayout w:type="fixed"/>
        <w:tblCellMar>
          <w:left w:w="10" w:type="dxa"/>
          <w:right w:w="10" w:type="dxa"/>
        </w:tblCellMar>
        <w:tblLook w:val="0000" w:firstRow="0" w:lastRow="0" w:firstColumn="0" w:lastColumn="0" w:noHBand="0" w:noVBand="0"/>
      </w:tblPr>
      <w:tblGrid>
        <w:gridCol w:w="3931"/>
        <w:gridCol w:w="1836"/>
      </w:tblGrid>
      <w:tr w:rsidR="00F26F01" w:rsidRPr="00C33834" w14:paraId="2464FA28" w14:textId="77777777" w:rsidTr="00CE35D9">
        <w:trPr>
          <w:trHeight w:val="252"/>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3A84079" w14:textId="77777777" w:rsidR="0058354C" w:rsidRPr="00C33834" w:rsidRDefault="0058354C"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Размах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8BE3787" w14:textId="77777777" w:rsidR="0058354C" w:rsidRPr="00C33834" w:rsidRDefault="0058354C"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13,36</w:t>
            </w:r>
          </w:p>
        </w:tc>
      </w:tr>
      <w:tr w:rsidR="00F26F01" w:rsidRPr="00C33834" w14:paraId="73624036"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0DD8847" w14:textId="77777777" w:rsidR="0058354C" w:rsidRPr="00C33834" w:rsidRDefault="0058354C"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Длина(м)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DC1EB06" w14:textId="77777777" w:rsidR="0058354C" w:rsidRPr="00C33834" w:rsidRDefault="0058354C"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8,50</w:t>
            </w:r>
          </w:p>
        </w:tc>
      </w:tr>
      <w:tr w:rsidR="00F26F01" w:rsidRPr="00C33834" w14:paraId="41846865" w14:textId="77777777" w:rsidTr="00CE35D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B463B33" w14:textId="77777777" w:rsidR="0058354C" w:rsidRPr="00C33834" w:rsidRDefault="0058354C"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Площадь крыла (м</w:t>
            </w:r>
            <w:r w:rsidRPr="00C33834">
              <w:rPr>
                <w:rFonts w:ascii="Times New Roman" w:hAnsi="Times New Roman" w:cs="Times New Roman"/>
                <w:b w:val="0"/>
                <w:color w:val="000000" w:themeColor="text1"/>
                <w:sz w:val="16"/>
                <w:szCs w:val="16"/>
                <w:vertAlign w:val="superscript"/>
              </w:rPr>
              <w:t>2</w:t>
            </w:r>
            <w:r w:rsidRPr="00C33834">
              <w:rPr>
                <w:rFonts w:ascii="Times New Roman" w:hAnsi="Times New Roman" w:cs="Times New Roman"/>
                <w:b w:val="0"/>
                <w:color w:val="000000" w:themeColor="text1"/>
                <w:sz w:val="16"/>
                <w:szCs w:val="16"/>
              </w:rPr>
              <w:t>)</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059D670" w14:textId="77777777" w:rsidR="0058354C" w:rsidRPr="00C33834" w:rsidRDefault="0058354C"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23,90</w:t>
            </w:r>
          </w:p>
        </w:tc>
      </w:tr>
      <w:tr w:rsidR="00F26F01" w:rsidRPr="00C33834" w14:paraId="46BE7B87"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FA5BF24" w14:textId="77777777" w:rsidR="0058354C" w:rsidRPr="00C33834" w:rsidRDefault="0058354C"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Хорда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4A27063" w14:textId="77777777" w:rsidR="0058354C" w:rsidRPr="00C33834" w:rsidRDefault="0058354C"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2,0</w:t>
            </w:r>
          </w:p>
        </w:tc>
      </w:tr>
      <w:tr w:rsidR="00F26F01" w:rsidRPr="00C33834" w14:paraId="55D3F5A5" w14:textId="77777777" w:rsidTr="00CE35D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495C3A9" w14:textId="77777777" w:rsidR="0058354C" w:rsidRPr="00C33834" w:rsidRDefault="0058354C"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Вес пустого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07FE729" w14:textId="77777777" w:rsidR="0058354C" w:rsidRPr="00C33834" w:rsidRDefault="0058354C"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1441,0</w:t>
            </w:r>
          </w:p>
        </w:tc>
      </w:tr>
      <w:tr w:rsidR="00F26F01" w:rsidRPr="00C33834" w14:paraId="14457C84"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3F83AE68" w14:textId="77777777" w:rsidR="0058354C" w:rsidRPr="00C33834" w:rsidRDefault="0058354C"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Полетный вес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9C6A219" w14:textId="77777777" w:rsidR="0058354C" w:rsidRPr="00C33834" w:rsidRDefault="0058354C"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1949</w:t>
            </w:r>
          </w:p>
        </w:tc>
      </w:tr>
      <w:tr w:rsidR="00F26F01" w:rsidRPr="00C33834" w14:paraId="6BFCF429"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8C688DA" w14:textId="77777777" w:rsidR="0058354C" w:rsidRPr="00C33834" w:rsidRDefault="0058354C"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Скорость максимальная Н=0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37CF62E" w14:textId="77777777" w:rsidR="0058354C" w:rsidRPr="00C33834" w:rsidRDefault="0058354C"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266</w:t>
            </w:r>
          </w:p>
        </w:tc>
      </w:tr>
      <w:tr w:rsidR="00F26F01" w:rsidRPr="00C33834" w14:paraId="62F9F4EF"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22FC499" w14:textId="77777777" w:rsidR="0058354C" w:rsidRPr="00C33834" w:rsidRDefault="0058354C"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Скорость максимальная Н=3000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D961D96" w14:textId="77777777" w:rsidR="0058354C" w:rsidRPr="00C33834" w:rsidRDefault="0058354C"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248,7</w:t>
            </w:r>
          </w:p>
        </w:tc>
      </w:tr>
      <w:tr w:rsidR="00F26F01" w:rsidRPr="00C33834" w14:paraId="71EEA621"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A364ED1" w14:textId="77777777" w:rsidR="0058354C" w:rsidRPr="00C33834" w:rsidRDefault="0058354C"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Скорость максимальная Н=5000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07A612D" w14:textId="77777777" w:rsidR="0058354C" w:rsidRPr="00C33834" w:rsidRDefault="0058354C"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237,0</w:t>
            </w:r>
          </w:p>
        </w:tc>
      </w:tr>
      <w:tr w:rsidR="00F26F01" w:rsidRPr="00C33834" w14:paraId="077AD25D"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B683553" w14:textId="77777777" w:rsidR="0058354C" w:rsidRPr="00C33834" w:rsidRDefault="0058354C"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Время набора высоты 3000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7D2A7C4" w14:textId="77777777" w:rsidR="0058354C" w:rsidRPr="00C33834" w:rsidRDefault="0058354C"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7,4</w:t>
            </w:r>
          </w:p>
        </w:tc>
      </w:tr>
      <w:tr w:rsidR="00F26F01" w:rsidRPr="00C33834" w14:paraId="6C7357F6" w14:textId="77777777" w:rsidTr="00CE35D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DE4EA31" w14:textId="77777777" w:rsidR="0058354C" w:rsidRPr="00C33834" w:rsidRDefault="0058354C"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Время набора высоты 5000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1F91A51" w14:textId="77777777" w:rsidR="0058354C" w:rsidRPr="00C33834" w:rsidRDefault="0058354C"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17,0</w:t>
            </w:r>
          </w:p>
        </w:tc>
      </w:tr>
      <w:tr w:rsidR="00F26F01" w:rsidRPr="00C33834" w14:paraId="06B4F8BE"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0025D99" w14:textId="77777777" w:rsidR="0058354C" w:rsidRPr="00C33834" w:rsidRDefault="0058354C"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Практический потолок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5CD7959" w14:textId="77777777" w:rsidR="0058354C" w:rsidRPr="00C33834" w:rsidRDefault="0058354C"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6440</w:t>
            </w:r>
          </w:p>
        </w:tc>
      </w:tr>
      <w:tr w:rsidR="00F26F01" w:rsidRPr="00C33834" w14:paraId="0C3F8D39" w14:textId="77777777" w:rsidTr="00CE35D9">
        <w:trPr>
          <w:trHeight w:val="259"/>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7B74758" w14:textId="77777777" w:rsidR="0058354C" w:rsidRPr="00C33834" w:rsidRDefault="0058354C"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Время виража на 100 м (сек.)</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D38EF41" w14:textId="77777777" w:rsidR="0058354C" w:rsidRPr="00C33834" w:rsidRDefault="0058354C" w:rsidP="00C33834">
            <w:pPr>
              <w:pStyle w:val="113"/>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15,0</w:t>
            </w:r>
          </w:p>
        </w:tc>
      </w:tr>
    </w:tbl>
    <w:p w14:paraId="7D1979E0"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(12295)</w:t>
      </w:r>
    </w:p>
    <w:p w14:paraId="55659317" w14:textId="77777777" w:rsidR="0058354C" w:rsidRPr="00C33834" w:rsidRDefault="0058354C" w:rsidP="00C33834">
      <w:pPr>
        <w:spacing w:after="0" w:line="240" w:lineRule="auto"/>
        <w:jc w:val="both"/>
        <w:rPr>
          <w:rFonts w:ascii="Times New Roman" w:hAnsi="Times New Roman"/>
          <w:color w:val="000000" w:themeColor="text1"/>
          <w:sz w:val="16"/>
          <w:szCs w:val="16"/>
        </w:rPr>
      </w:pPr>
    </w:p>
    <w:p w14:paraId="34C8B7FE" w14:textId="77777777" w:rsidR="00185C06" w:rsidRPr="00C33834" w:rsidRDefault="00185C0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8-го по 22 мая 1933 г. на аэродроме НИИ ВВС в Щелково проходили Государственные испытания Д-4 Лавиля (11134).</w:t>
      </w:r>
    </w:p>
    <w:p w14:paraId="13474E90" w14:textId="77777777" w:rsidR="00185C06" w:rsidRPr="00C33834" w:rsidRDefault="00185C0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9DA223"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мая 1933 дата присвоения опознавательного знака с литерой "Н" - СССР-Н8 - Дорнье "Валь", зав. № 131, моторы - 2 М-17. Первоначальный гражданский владелец воздушного судна - ГУСМП, Восточный сектор. В летнюю навигацию 1941 г. находился в составе Игарского авиаотряда УПА, шел на линейную работу, как дежурная машина (11955).</w:t>
      </w:r>
    </w:p>
    <w:p w14:paraId="0761D88F"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4FBD902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мая 1933 года зам. председателя СНК УССР Любченко писал письмо № 4293 председателю СНК СССР Молотову В.М.</w:t>
      </w:r>
    </w:p>
    <w:p w14:paraId="364F4C4F" w14:textId="77777777" w:rsidR="00BB0DBE" w:rsidRPr="00C33834" w:rsidRDefault="00BB0DBE"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ХАИ является в настоящее время крупной учебной и научно-исследовательской единицей. На Всесоюзной конференции по кадрам институт квалифицирован как лучший ВТУЗ в системе ГУАПа.</w:t>
      </w:r>
    </w:p>
    <w:p w14:paraId="1B2F3204"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Институтом спроектирован и изготовлен самолет ХАИ-1, показавший скорость 291 км/час.</w:t>
      </w:r>
    </w:p>
    <w:p w14:paraId="7C9E8995"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Постановлением СНК от 9 февраля 1932 года строительство указанного института отнесено к сверхударным стройкам и исчислено в сумме 17 млн. рублей.</w:t>
      </w:r>
    </w:p>
    <w:p w14:paraId="691119EE"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институтом проектировалось вложить в строительство 7 млн. рублей, а Глававиапромом отпущено всего лишь 1 млн. рублей.</w:t>
      </w:r>
    </w:p>
    <w:p w14:paraId="501CA297"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Учитывая, что при этих кредитах институт не сможет обеспечить себя минимальной учебной площадью и построить моторную и аэродинамическую лаборатории, крайне необходимые для окончания оборонных работ, СНК УССР просит Ваших распоряжений Глававиапрому об отпуске в 1933 году 3 млн. рублей для осуществления хотя бы в половинном размере программы строительства на 1933 год.</w:t>
      </w:r>
    </w:p>
    <w:p w14:paraId="7596609B"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 Кроме указанного, ХАИ в настоящее время ведет оборонные работы, заключающиеся в проектировании, постройке и испытании авиационного дизеля на 600 НР (Правительственная марка Н-4) и авиационных турбин «А» – 6000 НР и «В» – 15000 НР.</w:t>
      </w:r>
    </w:p>
    <w:p w14:paraId="25050DC6"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Прекращение со стороны НИИ ВВС финансирования дизеля Н-4 (267000 рублей) и неперевод Глававиапромом 250000 рублей на турбину «А» – срывает сроки выполнения оборонных работ, проводимых Авиаинститутом.</w:t>
      </w:r>
    </w:p>
    <w:p w14:paraId="4DEE3B5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СНК УССР, учитывая необходимость произвести Авиаинститутом в течение мая 1933 года оплату расходов по указанным работам в сумме 517000 рублей, просит Ваших распоряжений о переводе Глававиапромом институту 250000 рублей и НИИ ВВС – 267000 рублей (3530,132).</w:t>
      </w:r>
    </w:p>
    <w:p w14:paraId="4766A330"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478F3F94"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мая 1933 года зам. председателя СНК УССР Любченко писал письмо № 4293 председателю СНК СССР Молотову В.М.</w:t>
      </w:r>
    </w:p>
    <w:p w14:paraId="5D86F41E"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Украинский научно-исследовательский авиадизельный институт по заданию СТО запроектировал в 1932 году авиадизель Н-3 (регистрационная марка СТО) и приступил к его изготовлению.</w:t>
      </w:r>
    </w:p>
    <w:p w14:paraId="1D501D8F"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ускорения работ и подведения производственной базы под Институт, СНК УССР передал Институту небольшой металлообрабатывающий завод в Харькове.</w:t>
      </w:r>
    </w:p>
    <w:p w14:paraId="258AB7B0"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этот может обеспечить изготовление опытных конструкций Института (кроме крупного литья и крупных повозок) при некотором дооборудовании завода и лаборатории.</w:t>
      </w:r>
    </w:p>
    <w:p w14:paraId="55B5B261"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Институт в настоящем году на капитальные работы получил совершенно недостаточную сумму (75000 рублей), что не дало ему возможности должным образом перестроить работу завода на выполнение порученной Институту задачи – построение двигателя Н-3.</w:t>
      </w:r>
    </w:p>
    <w:p w14:paraId="36890C1B"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Крупное литье для двигателя изготовляется заводом № 26 в Рыбинске. Несмотря на то, что для ускорения дела Институтом была послана на завод своя рабтехсила и для выполнения заказов требуется 2-3 месяца, завод за 5 месяцев не сдал Институту ни одного заказа.</w:t>
      </w:r>
    </w:p>
    <w:p w14:paraId="42A22B9E"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Чрезвычайно затянувшееся изготовление отливок на заводе № 26 создало значительные затруднения при изготовлении двигателя, лимитируя сроки готовности двигателя в целом.</w:t>
      </w:r>
    </w:p>
    <w:p w14:paraId="627034FF"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Учитывая, что институт своими предварительными работами в достаточной степени доказал умение справиться с порученной ему работой, прошу Вашего содействия в предоставлении ему дополнительных ассигнований на капработы в сумме 350000 рублей и оказать воздействие на завод № 26 в смысле срочного (не позднее 1 июня 1933 года) выполнения взятого им заказа на крупное алюминиевое литье (3530,133).</w:t>
      </w:r>
    </w:p>
    <w:p w14:paraId="05AE0A5C"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67CE5845" w14:textId="77777777" w:rsidR="00DE4AED" w:rsidRPr="00C33834" w:rsidRDefault="00DE4AE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8-20 мая 1933 г. испытания С-1 возобновили. М.А. Гараканидзе со</w:t>
      </w:r>
      <w:r w:rsidRPr="00C33834">
        <w:rPr>
          <w:rFonts w:ascii="Times New Roman" w:hAnsi="Times New Roman"/>
          <w:color w:val="0070C0"/>
          <w:sz w:val="16"/>
          <w:szCs w:val="16"/>
        </w:rPr>
        <w:softHyphen/>
        <w:t>вершил семь полётов. Во время шестого полё</w:t>
      </w:r>
      <w:r w:rsidRPr="00C33834">
        <w:rPr>
          <w:rFonts w:ascii="Times New Roman" w:hAnsi="Times New Roman"/>
          <w:color w:val="0070C0"/>
          <w:sz w:val="16"/>
          <w:szCs w:val="16"/>
        </w:rPr>
        <w:softHyphen/>
        <w:t>та «С-1» за 3 ч 15 мин облетел вокруг Москвы по маршруту Кунцево — Люблино — Новоги</w:t>
      </w:r>
      <w:r w:rsidRPr="00C33834">
        <w:rPr>
          <w:rFonts w:ascii="Times New Roman" w:hAnsi="Times New Roman"/>
          <w:color w:val="0070C0"/>
          <w:sz w:val="16"/>
          <w:szCs w:val="16"/>
        </w:rPr>
        <w:softHyphen/>
        <w:t>реево — Лосиноостровское — Долгопрудная — Тушино — Кунцево.</w:t>
      </w:r>
    </w:p>
    <w:p w14:paraId="721D3112" w14:textId="77777777" w:rsidR="00DE4AED" w:rsidRPr="00C33834" w:rsidRDefault="00DE4AE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Сборка, стоянка на биваке и лётная работа «С-1» проходили в течение восьми месяцев в са</w:t>
      </w:r>
      <w:r w:rsidRPr="00C33834">
        <w:rPr>
          <w:rFonts w:ascii="Times New Roman" w:hAnsi="Times New Roman"/>
          <w:color w:val="0070C0"/>
          <w:sz w:val="16"/>
          <w:szCs w:val="16"/>
        </w:rPr>
        <w:softHyphen/>
        <w:t>мых тяжёлых условиях — мороз, дожди, ветер и бивак под открытым небом. Он перенёс две аварии: по одной в воздухе и на земле. Последняя случилась 29 апреля 1933 г., когда порывом ветра «С-1» сорвало с бивака. При этом разорвался пра</w:t>
      </w:r>
      <w:r w:rsidRPr="00C33834">
        <w:rPr>
          <w:rFonts w:ascii="Times New Roman" w:hAnsi="Times New Roman"/>
          <w:color w:val="0070C0"/>
          <w:sz w:val="16"/>
          <w:szCs w:val="16"/>
        </w:rPr>
        <w:softHyphen/>
        <w:t>вый бок оболочки, в десяти местах порвалась об</w:t>
      </w:r>
      <w:r w:rsidRPr="00C33834">
        <w:rPr>
          <w:rFonts w:ascii="Times New Roman" w:hAnsi="Times New Roman"/>
          <w:color w:val="0070C0"/>
          <w:sz w:val="16"/>
          <w:szCs w:val="16"/>
        </w:rPr>
        <w:softHyphen/>
        <w:t>тяжка хвостового оперения, погнулся его каркас. В течение двух суток повреждения устранили (20120).</w:t>
      </w:r>
    </w:p>
    <w:p w14:paraId="64F06FDB" w14:textId="77777777" w:rsidR="00DE4AED" w:rsidRPr="00C33834" w:rsidRDefault="00DE4AED" w:rsidP="00C33834">
      <w:pPr>
        <w:spacing w:after="0" w:line="240" w:lineRule="auto"/>
        <w:jc w:val="both"/>
        <w:rPr>
          <w:rFonts w:ascii="Times New Roman" w:hAnsi="Times New Roman"/>
          <w:color w:val="0070C0"/>
          <w:sz w:val="16"/>
          <w:szCs w:val="16"/>
        </w:rPr>
      </w:pPr>
    </w:p>
    <w:p w14:paraId="00D0183C" w14:textId="77777777" w:rsidR="00A47E9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A3E5ABC" w14:textId="77777777" w:rsidR="00A47E93" w:rsidRPr="00C33834" w:rsidRDefault="00A47E9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52BCD31" w14:textId="77777777" w:rsidR="00A47E93" w:rsidRPr="00C33834" w:rsidRDefault="00A47E93" w:rsidP="00C33834">
      <w:pPr>
        <w:pStyle w:val="rtejustify"/>
        <w:spacing w:before="0" w:after="0"/>
        <w:rPr>
          <w:color w:val="000000" w:themeColor="text1"/>
          <w:sz w:val="16"/>
          <w:szCs w:val="16"/>
        </w:rPr>
      </w:pPr>
      <w:r w:rsidRPr="00C33834">
        <w:rPr>
          <w:rStyle w:val="af0"/>
          <w:bCs/>
          <w:i w:val="0"/>
          <w:color w:val="000000" w:themeColor="text1"/>
          <w:sz w:val="16"/>
          <w:szCs w:val="16"/>
        </w:rPr>
        <w:t>8 мая 1933 вышел приказ НКТП № 54сс.</w:t>
      </w:r>
      <w:r w:rsidRPr="00C33834">
        <w:rPr>
          <w:color w:val="000000" w:themeColor="text1"/>
          <w:sz w:val="16"/>
          <w:szCs w:val="16"/>
        </w:rPr>
        <w:t xml:space="preserve"> О порядке расчетов за передаваемые мобзапасы с одного предприятия НКТП СССР на другое. (РГАЭ. Ф. 7297. Оп. 38. Д. 38. Л. 239) (15246).</w:t>
      </w:r>
    </w:p>
    <w:p w14:paraId="0C6BAF83" w14:textId="77777777" w:rsidR="00A47E93" w:rsidRPr="00C33834" w:rsidRDefault="00A47E93" w:rsidP="00C33834">
      <w:pPr>
        <w:pStyle w:val="rtejustify"/>
        <w:spacing w:before="0" w:after="0"/>
        <w:rPr>
          <w:color w:val="000000" w:themeColor="text1"/>
          <w:sz w:val="16"/>
          <w:szCs w:val="16"/>
        </w:rPr>
      </w:pPr>
    </w:p>
    <w:p w14:paraId="1A38FED9" w14:textId="77777777" w:rsidR="00BB0DB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17957E89" w14:textId="77777777" w:rsidR="00BB0DBE" w:rsidRPr="00C33834" w:rsidRDefault="00BB0DB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D240DFB"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мая 1933 И.В.С. и В.М.М. распорядились прекратить массовые аресты вычищенных коммунистов (1348,120).</w:t>
      </w:r>
    </w:p>
    <w:p w14:paraId="4B394993"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6FC85BC0" w14:textId="77777777" w:rsidR="00185C06" w:rsidRPr="00C33834" w:rsidRDefault="00185C0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мая 1933 вышло секретное распоряжение Сталина и Молотова прекратить массовые аресты (12629).</w:t>
      </w:r>
    </w:p>
    <w:p w14:paraId="7474BC4C" w14:textId="77777777" w:rsidR="00185C06" w:rsidRPr="00C33834" w:rsidRDefault="00185C06"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68B103" w14:textId="77777777" w:rsidR="00BB0DBE" w:rsidRPr="00C33834" w:rsidRDefault="00BB0DB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мая 1933 вышло секретное распоряжение И.В.С. прекратить массовые и беспорядочные аресты.</w:t>
      </w:r>
    </w:p>
    <w:p w14:paraId="745B8E3D" w14:textId="77777777" w:rsidR="00BB0DBE" w:rsidRPr="00C33834" w:rsidRDefault="00BB0DB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76CA54E"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мая 1933 Приказом ОГПУ № 00174 органы военизированной пожарной охраны были наделены оперативными функциями. С целью своевременного выявления причин пожарной опасности в отделах военизированной пожарной охраны были учреждены оперативные отделения для руководства специальной агентурно-информационной сетью. Общее руководство этими оперативными отделениями было возложено на ЭКУ в центре и на экономические отделы (ЭКО) полпредств ОГПУ на местах (7557).</w:t>
      </w:r>
    </w:p>
    <w:p w14:paraId="1E0E97F3"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30E80D6F"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мая 1933 года СНК СССР и ЦК ВКП(б) выпустили разосланную всем партийным, советским работникам, всем органам ОГПУ, суда и прокуратуры инструкцию № П 6028 «Об упорядочении производства арестов», где, в частности, говорилось и о прекращении массовых выселений крестьян. В главе «О разгрузке мест заключения» в числе прочего предписывалось:</w:t>
      </w:r>
    </w:p>
    <w:p w14:paraId="51583217"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Установить, что максимальное количество лиц, могущих содержаться под стражей в местах заключения НКЮ, ОГПУ и Главного управления милиции (кроме лагерей и колоний) не должно превышать 400 тысяч человек на весь Союз ССР.</w:t>
      </w:r>
    </w:p>
    <w:p w14:paraId="3F86833B"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ОГПУ, НКЮ союзных республик и прокуратуру СССР немедленно приступить к разгрузке мест заключения и довести в двухмесячный срок общее число лишенных свободы с 800 тысяч фактически заключенных ныне до 400 тысяч...</w:t>
      </w:r>
    </w:p>
    <w:p w14:paraId="26655756"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p w14:paraId="18D43D1C"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всем осужденным по суду до 3 лет заменить лишение свободы принудительными работами до 1 года, а остальной срок считать условным.</w:t>
      </w:r>
    </w:p>
    <w:p w14:paraId="21391DDC"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осужденных на срок от 3 до 5 лет включительно - направить в трудовые поселки ОГПУ.</w:t>
      </w:r>
    </w:p>
    <w:p w14:paraId="273B4DBA"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осужденных на срок свыше 5 лет - направить в лагеря ОГПУ» (7560).</w:t>
      </w:r>
    </w:p>
    <w:p w14:paraId="29219304"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0811CE0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мая 1933 вышла "Инстpукция ЦК ВКП(б) всем паpтийно-советским pаботникам и всем оpганам ОГПУ, суда и пpокуpатуpы". Этот документ, подписанный И.Сталиным и В.Молотовым, констатировал, что с мест "все еще продолжают поступать требования о массовом выселении из деревни и применении острых форм репрессий. В ЦК и СНК имеются заявки на немедленное выселение из краев и областей около ста тысяч семей". В инструкции разъяснялось, что, хотя "классовая борьба в деревне будет неизбежно обостряться" и в дальнейшем, тем не менее ее старые методы "изжили себя". "В результате наших успехов в деревне наступил момент, когда мы не нуждаемся в массовых репрессиях, задевающих, как известно, не только кулаков, но и единоличников и часть колхозников". В связи с этим было принято решение "немедленно прекратить" всякие массовые выселения крестьян. Выселения должны были производиться "только в индивидуальном и частичном порядке и в отношении только тех хозяйств, главы которых ведут активную борьбу против колхозов и организуют отказ от сева и заготовок". Этот же циркуляр ЦК признал необходимость "упорядочить осуществляемые неизвестно кем аресты": "Арестовывают председатели колхозов и члены правлений колхозов. Арестовывают председатели сельсоветов и секретари ячеек. Арестовывают районные и краевые уполномоченные. Арестовывают все, кому не лень и кто, собственно говоря, не имеет никакого права арестовывать. И неудивительно, что при таком разгуле практики арестов органы ОГПУ, и особенно милиция, теряют чувство меры и зачастую производят аресты без всякого основания, действуя по правилу:" сначала арестовать, а потом разобраться ". Инструкция потребовала разгрузить места заключения и "снизить в двухмесячный срок общее число заключенных с 800.000 до 400.000" (10687).</w:t>
      </w:r>
    </w:p>
    <w:p w14:paraId="2E18D621"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09DB7AB2" w14:textId="77777777" w:rsidR="00BB0DB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43FEB5D0" w14:textId="77777777" w:rsidR="00BB0DBE" w:rsidRPr="00C33834" w:rsidRDefault="00BB0DB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D91BA6A"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8 — 25 мая 1933 г. был проведен с большой помпой визит военной делегации Боккельберга в СССР, по свидетельству Хильгера, «в прежнем духе согласия и доброй воли» (Hilger Gustav. Op. cit. S. 246.). В ходе подготовки визита Берзин еще 29 марта 1933 г. представил обширный план показа военной промышленности Боккельбергу с указанием конкретных объектов. Документ Ворошилов переадресовал Сталину, сопроводив его припиской: «т. Сталину. В порядке взаимности приходится немцам показывать и заводы и кое-какие воинские части. Если нет возражений, я дам соответствующим лицам, указания сопровождающим лицам как себя держать при объезде «гостем» нашей страны. Ворошилов» (РГВА, ф. 33987, on. 3, д. 497, л. 103,104-106.). Сталин не возражал. Боккельберга принимали Ворошилов, Егоров, Тухачевский. По программе визита ему были показаны школа летчиков в Каче, ЦАГИ, авиационный завод ГАЗ № 1 (бывший завод Дукса) производительностью 60 самолетов в месяц, ремонтные артмастерские в Голутвине, химкомбинат в Бобриках, Тульский оружейный завод, тракторный завод в Харькове, авиазавод в Александровске, оружейный завод в Калинине. Он побывал в Севастополе и на Днепрогэсе. Боккельберг отнесся внимательно к высказываниям Тухачевского </w:t>
      </w:r>
      <w:r w:rsidRPr="00C33834">
        <w:rPr>
          <w:rFonts w:ascii="Times New Roman" w:hAnsi="Times New Roman"/>
          <w:color w:val="000000" w:themeColor="text1"/>
          <w:sz w:val="16"/>
          <w:szCs w:val="16"/>
        </w:rPr>
        <w:lastRenderedPageBreak/>
        <w:t>относительно авиации и танков: «Для того, чтобы Германии выйти из затруднительной политической ситуации, он желает ей как можно скорее иметь воздушный флот в составе 2000 бомбовозов». «Наилучшим средством против танка является танк &lt;...&gt;». Вывод, который сделал Боккельберг в своем отчете по визиту, был следующим: «Совместная работа с Красной Армией и советской военной промышленностью, учитывая грандиозность советских планов, крайне желательна, не только по военно-политическим соображениям, но и по военно-техническим» (РГВА, ф. 33987, on. 3, д. 505, л. 135-137.) (11784).</w:t>
      </w:r>
    </w:p>
    <w:p w14:paraId="7AA943C7"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4A9A303D" w14:textId="77777777" w:rsidR="0003446D" w:rsidRPr="00C33834" w:rsidRDefault="000344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 25 мая 1933 г. визит военной делегации Боккельберга в СССР был проведен с большой помпой и, по свидетельству Хильгера, «в прежнем духе согласия и доброй воли»</w:t>
      </w:r>
      <w:hyperlink r:id="rId152" w:anchor="n_451" w:history="1">
        <w:r w:rsidRPr="00C33834">
          <w:rPr>
            <w:rStyle w:val="a5"/>
            <w:rFonts w:ascii="Times New Roman" w:hAnsi="Times New Roman"/>
            <w:color w:val="000000" w:themeColor="text1"/>
            <w:sz w:val="16"/>
            <w:szCs w:val="16"/>
          </w:rPr>
          <w:t>[451]</w:t>
        </w:r>
      </w:hyperlink>
      <w:r w:rsidRPr="00C33834">
        <w:rPr>
          <w:rFonts w:ascii="Times New Roman" w:hAnsi="Times New Roman"/>
          <w:color w:val="000000" w:themeColor="text1"/>
          <w:sz w:val="16"/>
          <w:szCs w:val="16"/>
        </w:rPr>
        <w:t>. В ходе подготовки визита Берзин еще 29 марта 1933 г. представил обширный план показа военной промышленности Боккельбергу с указанием конкретных объектов. Документ Ворошилов переадресовал Сталину, сопроводив его припиской:</w:t>
      </w:r>
    </w:p>
    <w:p w14:paraId="1839733F" w14:textId="77777777" w:rsidR="0003446D" w:rsidRPr="00C33834" w:rsidRDefault="000344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 Сталину. В порядке взаимности приходится немцам показывать и заводы и кое-какие воинские части. Если нет возражений, я дам соответствующим лицам, указания сопровождающим лицам как себя держать при объезде «гостем» нашей страны. Ворошилов»</w:t>
      </w:r>
      <w:hyperlink r:id="rId153" w:anchor="n_452" w:history="1">
        <w:r w:rsidRPr="00C33834">
          <w:rPr>
            <w:rStyle w:val="a5"/>
            <w:rFonts w:ascii="Times New Roman" w:hAnsi="Times New Roman"/>
            <w:color w:val="000000" w:themeColor="text1"/>
            <w:sz w:val="16"/>
            <w:szCs w:val="16"/>
          </w:rPr>
          <w:t>[452]</w:t>
        </w:r>
      </w:hyperlink>
      <w:r w:rsidRPr="00C33834">
        <w:rPr>
          <w:rFonts w:ascii="Times New Roman" w:hAnsi="Times New Roman"/>
          <w:color w:val="000000" w:themeColor="text1"/>
          <w:sz w:val="16"/>
          <w:szCs w:val="16"/>
        </w:rPr>
        <w:t>.</w:t>
      </w:r>
    </w:p>
    <w:p w14:paraId="6F06FE9E" w14:textId="77777777" w:rsidR="0003446D" w:rsidRPr="00C33834" w:rsidRDefault="000344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Сталин не возражал.</w:t>
      </w:r>
    </w:p>
    <w:p w14:paraId="7A62DF38" w14:textId="77777777" w:rsidR="0003446D" w:rsidRPr="00C33834" w:rsidRDefault="000344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Боккельберга принимали Ворошилов, Егоров, Тухачевский. По программе визита ему были показаны школа летчиков в Каче, ЦАГИ, авиационный завод ГАЗ № 1 (бывший завод Дукса) производительностью 60 самолетов в месяц, ремонтные артмастерские в Голутвине, химкомбинат в Бобриках, Тульский оружейный завод, тракторный завод в Харькове, авиазавод в Александровске, оружейный завод в Калинине. Он побывал в Севастополе и на Днепрогэсе.</w:t>
      </w:r>
    </w:p>
    <w:p w14:paraId="3E1A4FDF" w14:textId="77777777" w:rsidR="0003446D" w:rsidRPr="00C33834" w:rsidRDefault="000344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Боккельберг отнесся внимательно к высказываниям Тухачевского относительно авиации и танков:</w:t>
      </w:r>
    </w:p>
    <w:p w14:paraId="1276E07A" w14:textId="77777777" w:rsidR="0003446D" w:rsidRPr="00C33834" w:rsidRDefault="000344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того, чтобы Германии выйти из затруднительной политической ситуации, он желает ей как можно скорее иметь воздушный флот в составе 2000 бомбовозов».</w:t>
      </w:r>
    </w:p>
    <w:p w14:paraId="758E6037" w14:textId="77777777" w:rsidR="0003446D" w:rsidRPr="00C33834" w:rsidRDefault="000344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«Наилучшим средством против танка является танк &lt;…&gt;».</w:t>
      </w:r>
    </w:p>
    <w:p w14:paraId="720E0B26" w14:textId="77777777" w:rsidR="0003446D" w:rsidRPr="00C33834" w:rsidRDefault="000344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Вывод, который сделал Боккельберг в своем отчете по визиту, был следующим:</w:t>
      </w:r>
    </w:p>
    <w:p w14:paraId="1FCEA3AC" w14:textId="77777777" w:rsidR="0003446D" w:rsidRPr="00C33834" w:rsidRDefault="0003446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«Совместная работа с Красной Армией и советской военной промышленностью, учитывая грандиозность советских планов, крайне желательна, не только по военно-политическим соображениям, но и по военно-техническим» (18265).</w:t>
      </w:r>
    </w:p>
    <w:p w14:paraId="5569C27E" w14:textId="77777777" w:rsidR="0003446D" w:rsidRPr="00C33834" w:rsidRDefault="0003446D" w:rsidP="00C33834">
      <w:pPr>
        <w:spacing w:after="0" w:line="240" w:lineRule="auto"/>
        <w:jc w:val="both"/>
        <w:rPr>
          <w:rFonts w:ascii="Times New Roman" w:hAnsi="Times New Roman"/>
          <w:color w:val="000000" w:themeColor="text1"/>
          <w:sz w:val="16"/>
          <w:szCs w:val="16"/>
        </w:rPr>
      </w:pPr>
    </w:p>
    <w:p w14:paraId="555740C7" w14:textId="77777777" w:rsidR="00BB0DB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F5CE671" w14:textId="77777777" w:rsidR="00BB0DBE" w:rsidRPr="00C33834" w:rsidRDefault="00BB0DB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5746523" w14:textId="77777777" w:rsidR="00DE4AED" w:rsidRPr="00C33834" w:rsidRDefault="00DE4AE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8 мая 1933 вышла "Инстpукция ЦК ВКП(б) всем паpтийно-советским pаботникам и всем оpганам ОГПУ, суда и пpокуpатуpы". Этот документ, подписанный И.В.Сталиным и В.Молотовым, констатировал, что с мест "все еще продолжают поступать требования о массовом выселении из деревни и применении острых форм репрессий. В ЦК и СНК имеются заявки на немедленное выселение из краев и областей около ста тысяч семей". В инструкции разъяснялось, что, хотя "классовая борьба в деревне будет неизбежно обостряться" и в дальнейшем, тем не менее ее старые методы "изжили себя":</w:t>
      </w:r>
    </w:p>
    <w:p w14:paraId="5D589A46" w14:textId="77777777" w:rsidR="00DE4AED" w:rsidRPr="00C33834" w:rsidRDefault="00DE4AE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результате наших успехов в деревне наступил момент, когда мы не нуждаемся в массовых репрессиях, задевающих, как известно, не только кулаков, но и единоличников и часть колхозников".</w:t>
      </w:r>
    </w:p>
    <w:p w14:paraId="2B234FDD" w14:textId="77777777" w:rsidR="00DE4AED" w:rsidRPr="00C33834" w:rsidRDefault="00DE4AE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связи с этим было принято решение "немедленно прекратить" всякие массовые выселения крестьян. Выселения должны были производиться "только в индивидуальном и частичном порядке и в отношении только тех хозяйств, главы которых ведут активную борьбу против колхозов и организуют отказ от сева и заготовок". Этот же циркуляр ЦК признал необходимость "упорядочить осуществляемые неизвестно кем аресты":</w:t>
      </w:r>
    </w:p>
    <w:p w14:paraId="04BBA25D" w14:textId="77777777" w:rsidR="00DE4AED" w:rsidRPr="00C33834" w:rsidRDefault="00DE4AE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"Арестовывают председатели колхозов и члены правлений колхозов. Арестовывают председатели сельсоветов и секретари ячеек. Арестовывают районные и краевые уполномоченные. Арестовывают все, кому не лень и кто, собственно говоря, не имеет никакого права арестовывать. И неудивительно, что при таком разгуле практики арестов органы ОГПУ, и особенно милиция, теряют чувство меры и зачастую производят аресты без всякого основания, действуя по правилу:" сначала арестовать, а потом разобраться ".</w:t>
      </w:r>
    </w:p>
    <w:p w14:paraId="2D506B6E" w14:textId="77777777" w:rsidR="00DE4AED" w:rsidRPr="00C33834" w:rsidRDefault="00DE4AE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Инструкция потребовала разгрузить места заключения и "снизить в двухмесячный срок общее число заключенных с 800.000 до 400.000" (21177).</w:t>
      </w:r>
    </w:p>
    <w:p w14:paraId="013623CC" w14:textId="77777777" w:rsidR="00DE4AED" w:rsidRPr="00C33834" w:rsidRDefault="00DE4AED" w:rsidP="00C33834">
      <w:pPr>
        <w:spacing w:after="0" w:line="240" w:lineRule="auto"/>
        <w:jc w:val="both"/>
        <w:rPr>
          <w:rFonts w:ascii="Times New Roman" w:hAnsi="Times New Roman"/>
          <w:color w:val="0070C0"/>
          <w:sz w:val="16"/>
          <w:szCs w:val="16"/>
        </w:rPr>
      </w:pPr>
    </w:p>
    <w:p w14:paraId="7A012FD9"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мая 1933 Ганди начал голодовку (2100).</w:t>
      </w:r>
    </w:p>
    <w:p w14:paraId="1A959DE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78D698ED" w14:textId="77777777" w:rsidR="00BB0DB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BB5B448" w14:textId="77777777" w:rsidR="00BB0DBE" w:rsidRPr="00C33834" w:rsidRDefault="00BB0DB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4D2157B"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мая 1933 года выписка из протокола № 6 КО</w:t>
      </w:r>
    </w:p>
    <w:p w14:paraId="6A8EFC07" w14:textId="77777777" w:rsidR="00BB0DBE" w:rsidRPr="00C33834" w:rsidRDefault="00BB0DBE"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 облегчении конструкции ТБ-3.</w:t>
      </w:r>
    </w:p>
    <w:p w14:paraId="0A678B69" w14:textId="77777777" w:rsidR="00BB0DBE" w:rsidRPr="00C33834" w:rsidRDefault="00BB0DBE"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Алкснису и Баранову, на основе обмена мнений, разработать проект постановления с учетом необходимости дальнейшего максимального облегчения конструкции самолета, увеличения дальности и радиуса его действия при бомбовой нагрузке не менее 1 тонны.</w:t>
      </w:r>
    </w:p>
    <w:p w14:paraId="415C0014"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работы – 5 дней.</w:t>
      </w:r>
    </w:p>
    <w:p w14:paraId="017BDD4E" w14:textId="77777777" w:rsidR="00BB0DBE" w:rsidRPr="00C33834" w:rsidRDefault="00BB0DBE"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о производстве самолета на рекордную дальность, как военного типа, отложить до получения результатов испытания опытного образца этого самолета (7503, 25).</w:t>
      </w:r>
    </w:p>
    <w:p w14:paraId="07E5AB3E" w14:textId="77777777" w:rsidR="00BB0DBE" w:rsidRPr="00C33834" w:rsidRDefault="00BB0DBE"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0E71BF4"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мая 1933 г. самолет Р-5 с поворотными стойками потерпел катастрофу. Подобные испытания продолжались уже на других машинах. Р-5 с поворотными стойками для ускорения выхода са</w:t>
      </w:r>
      <w:r w:rsidRPr="00C33834">
        <w:rPr>
          <w:rFonts w:ascii="Times New Roman" w:hAnsi="Times New Roman"/>
          <w:color w:val="000000" w:themeColor="text1"/>
          <w:sz w:val="16"/>
          <w:szCs w:val="16"/>
        </w:rPr>
        <w:softHyphen/>
        <w:t>молета из штопора был построен в 1933 г. Эксперименты проводил ЦАГИ. В том же 1933 г. на Р-5 испытывались приборы ВАП кон</w:t>
      </w:r>
      <w:r w:rsidRPr="00C33834">
        <w:rPr>
          <w:rFonts w:ascii="Times New Roman" w:hAnsi="Times New Roman"/>
          <w:color w:val="000000" w:themeColor="text1"/>
          <w:sz w:val="16"/>
          <w:szCs w:val="16"/>
        </w:rPr>
        <w:softHyphen/>
        <w:t>струкции Вахмистрова для распыления отравляющих веществ (10667).</w:t>
      </w:r>
    </w:p>
    <w:p w14:paraId="0D2827FD"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5892C38D"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мая 1933 г. Р-5 №5215 потерпел катастрофу. Наблюдатель эксперимента А.В.Чесалов выпрыгнул с парашютом на 17-18 витке штопора. Летчик М.А.Волковойнов, надеясь вывести самолет, покинул его слишком близко от земли. Его парашют не успел наполниться, и Волковойнов погиб. Это была машина, доработанная специалистами ЦАГИ на основании обширных исследований по выходу Р-5 из штопора, проводимых в 1932-34 гг. Как вариант улучшения штопорных характеристик было предложено выполнить задние крыльевые стойки поворотными. Стойки шириной 200 мм поворачивались от педалей ножного управления и представляли собой по сути незатененный дополнительный руль поворота. При испытаниях выяснилось, что Р-5 выходит из штопора замедленно за счет большой устойчивости на скольжении. Машина прекращала ротацию за счет выхода на малые углы атаки. Применение поворотных стоек ощутимых результатов не давало, лишь ускоряло переход на малью углы (5016).</w:t>
      </w:r>
    </w:p>
    <w:p w14:paraId="1164E7FB"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67244B9E" w14:textId="77777777" w:rsidR="00810511" w:rsidRPr="00C33834" w:rsidRDefault="008105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мая в 1933 году погиб заслуженный летчик CCCР М.А.Волковойнов. Проводились испытания противоштопорного устройства. На передние межкрыльные стойки биплана «Р-5» No.5215 слева и справа устанавливались поворотные щитки-профили шириной 35-40 сантиметров. При вращении самолета в левом штопоре летчик мог отклонить против потока профиль-щиток правой стойки, создав воздушное торможение и способствуя этим выводу из штопора. При правом штопоре должен быть отклонен профиль-щиток на левой стойке крыла. Наблюдатель эксперимента А.В.Чесалов выпрыгнул с парашютом на 17-18 витке штопора. Летчик М.А.Волковойнов, надеясь вывести самолет, покинул его слишком близко от земли. Его парашют не успел наполниться, и Волковойнов погиб (14886).</w:t>
      </w:r>
    </w:p>
    <w:p w14:paraId="7675D884" w14:textId="77777777" w:rsidR="00810511" w:rsidRPr="00C33834" w:rsidRDefault="00810511" w:rsidP="00C33834">
      <w:pPr>
        <w:spacing w:after="0" w:line="240" w:lineRule="auto"/>
        <w:jc w:val="both"/>
        <w:rPr>
          <w:rFonts w:ascii="Times New Roman" w:hAnsi="Times New Roman"/>
          <w:color w:val="000000" w:themeColor="text1"/>
          <w:sz w:val="16"/>
          <w:szCs w:val="16"/>
        </w:rPr>
      </w:pPr>
    </w:p>
    <w:p w14:paraId="22004447"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мая 1933 ЦАГИ написал П.И.Б. докладную записку Изаксона (пред. всесоюзного совета по аэродинамике) о строительстве больших труб государственного значения (1026,169).</w:t>
      </w:r>
    </w:p>
    <w:p w14:paraId="7F48293D"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0E62F403" w14:textId="77777777" w:rsidR="00BB0DBE" w:rsidRPr="00C33834" w:rsidRDefault="00BB0DB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мая 1933 года ПРЕДСЕДАТЕЛЬ ВСЕСОЮЗНОГО СОВЕТА ПО АЭРОДИНАМИКЕ ИЗАКСОН писал Зам.Наркомтяжпром и Нач. Глававиапром П.И.Б.:</w:t>
      </w:r>
    </w:p>
    <w:p w14:paraId="0537CB78" w14:textId="77777777" w:rsidR="00BB0DBE" w:rsidRPr="00C33834" w:rsidRDefault="00BB0DB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ДОКЛАДНАЯ ЗАПИСКА О строительства больших аэродинамических труб государственного значения.</w:t>
      </w:r>
    </w:p>
    <w:p w14:paraId="48856CCC" w14:textId="77777777" w:rsidR="00BB0DBE" w:rsidRPr="00C33834" w:rsidRDefault="00BB0DB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Развитие летных свойств самолетов, определяющее их боеспособность и наиболее совершенное применение в частях военно-воздушного флота, зависит от усовершенствования авиационных моторов и от выбора наиболее рациональной аэроди</w:t>
      </w:r>
      <w:r w:rsidRPr="00C33834">
        <w:rPr>
          <w:rFonts w:ascii="Times New Roman" w:hAnsi="Times New Roman"/>
          <w:color w:val="000000" w:themeColor="text1"/>
          <w:sz w:val="16"/>
          <w:szCs w:val="16"/>
        </w:rPr>
        <w:softHyphen/>
        <w:t>намической схемы машины и создания наиболее удачной аэро</w:t>
      </w:r>
      <w:r w:rsidRPr="00C33834">
        <w:rPr>
          <w:rFonts w:ascii="Times New Roman" w:hAnsi="Times New Roman"/>
          <w:color w:val="000000" w:themeColor="text1"/>
          <w:sz w:val="16"/>
          <w:szCs w:val="16"/>
        </w:rPr>
        <w:softHyphen/>
        <w:t>динамической формы самолета.</w:t>
      </w:r>
    </w:p>
    <w:p w14:paraId="41AB9C69" w14:textId="77777777" w:rsidR="00BB0DBE" w:rsidRPr="00C33834" w:rsidRDefault="00BB0DB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Изыскания наиболее рациональной аэродинамической фор</w:t>
      </w:r>
      <w:r w:rsidRPr="00C33834">
        <w:rPr>
          <w:rFonts w:ascii="Times New Roman" w:hAnsi="Times New Roman"/>
          <w:color w:val="000000" w:themeColor="text1"/>
          <w:sz w:val="16"/>
          <w:szCs w:val="16"/>
        </w:rPr>
        <w:softHyphen/>
        <w:t>мы самолета и прояснение целого ряда вопросов аэродинами</w:t>
      </w:r>
      <w:r w:rsidRPr="00C33834">
        <w:rPr>
          <w:rFonts w:ascii="Times New Roman" w:hAnsi="Times New Roman"/>
          <w:color w:val="000000" w:themeColor="text1"/>
          <w:sz w:val="16"/>
          <w:szCs w:val="16"/>
        </w:rPr>
        <w:softHyphen/>
        <w:t>ческой схемы машины в полной мере зависят от технического состояния экспериментально - исследовательского оборудова</w:t>
      </w:r>
      <w:r w:rsidRPr="00C33834">
        <w:rPr>
          <w:rFonts w:ascii="Times New Roman" w:hAnsi="Times New Roman"/>
          <w:color w:val="000000" w:themeColor="text1"/>
          <w:sz w:val="16"/>
          <w:szCs w:val="16"/>
        </w:rPr>
        <w:softHyphen/>
        <w:t>ния, в первую очередь наиболее совершенных аэродинамичес</w:t>
      </w:r>
      <w:r w:rsidRPr="00C33834">
        <w:rPr>
          <w:rFonts w:ascii="Times New Roman" w:hAnsi="Times New Roman"/>
          <w:color w:val="000000" w:themeColor="text1"/>
          <w:sz w:val="16"/>
          <w:szCs w:val="16"/>
        </w:rPr>
        <w:softHyphen/>
        <w:t>ких труб. Передевые капиталистические страны /Америка, Англия и, в настоящее время также, Германия/ в достаточно! мере отдают себе отчет в непосредственной зависимости летных свойств военных самолетов от наличия технически совер</w:t>
      </w:r>
      <w:r w:rsidRPr="00C33834">
        <w:rPr>
          <w:rFonts w:ascii="Times New Roman" w:hAnsi="Times New Roman"/>
          <w:color w:val="000000" w:themeColor="text1"/>
          <w:sz w:val="16"/>
          <w:szCs w:val="16"/>
        </w:rPr>
        <w:softHyphen/>
        <w:t>шенных аэродинамических труб и, несмотря на кризис, постр( «или в период 1936-32 г, ряд мощных аэродинамических труб по последнему слову техники, позволяющих приводить все не</w:t>
      </w:r>
      <w:r w:rsidRPr="00C33834">
        <w:rPr>
          <w:rFonts w:ascii="Times New Roman" w:hAnsi="Times New Roman"/>
          <w:color w:val="000000" w:themeColor="text1"/>
          <w:sz w:val="16"/>
          <w:szCs w:val="16"/>
        </w:rPr>
        <w:softHyphen/>
        <w:t>обходимые исследования отдельных аг^регатов самолетов и це</w:t>
      </w:r>
      <w:r w:rsidRPr="00C33834">
        <w:rPr>
          <w:rFonts w:ascii="Times New Roman" w:hAnsi="Times New Roman"/>
          <w:color w:val="000000" w:themeColor="text1"/>
          <w:sz w:val="16"/>
          <w:szCs w:val="16"/>
        </w:rPr>
        <w:softHyphen/>
        <w:t>лых самолетов в натуральную величину, что в очень сильной степени расширило экспериментальные возможности анализа проектируемых и предназначаемых к постройке аппаратов, сделало более надежными все предварительные эксперимеаталь* ныв и теоретические выводы и в очень сильной степени уско» рило выпуск опытных образцов, доведя до минимума выпуск неудачных не оправдавших себя аппаратов.</w:t>
      </w:r>
    </w:p>
    <w:p w14:paraId="6F9C3ADD" w14:textId="77777777" w:rsidR="00BB0DBE" w:rsidRPr="00C33834" w:rsidRDefault="00BB0DB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Этим в значительной доле обгоняется то обстоятельство, что указанные капиталистические страны имеют в настоя</w:t>
      </w:r>
      <w:r w:rsidRPr="00C33834">
        <w:rPr>
          <w:rFonts w:ascii="Times New Roman" w:hAnsi="Times New Roman"/>
          <w:color w:val="000000" w:themeColor="text1"/>
          <w:sz w:val="16"/>
          <w:szCs w:val="16"/>
        </w:rPr>
        <w:softHyphen/>
        <w:t>щее время качественно наилучший военный и гражданский воздушный флот.</w:t>
      </w:r>
    </w:p>
    <w:p w14:paraId="578B1E81" w14:textId="77777777" w:rsidR="00BB0DBE" w:rsidRPr="00C33834" w:rsidRDefault="00BB0DB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СССР, построив в 1925-году большую аэродинамическую трубу /Москва, ЦАГИ/, был в тот момент обладателем наибольшей аэродинамической трубы в мире. С 1925 года в Советском Союзе больших аэродинамических труб не строилось и к на</w:t>
      </w:r>
      <w:r w:rsidRPr="00C33834">
        <w:rPr>
          <w:rFonts w:ascii="Times New Roman" w:hAnsi="Times New Roman"/>
          <w:color w:val="000000" w:themeColor="text1"/>
          <w:sz w:val="16"/>
          <w:szCs w:val="16"/>
        </w:rPr>
        <w:softHyphen/>
        <w:t xml:space="preserve">стоящему времени экспериментальное оборудование в части аэродинамики самолета чрезвычайно устарело и очень отстало от все возрастающих требований авиационной </w:t>
      </w:r>
      <w:r w:rsidRPr="00C33834">
        <w:rPr>
          <w:rFonts w:ascii="Times New Roman" w:hAnsi="Times New Roman"/>
          <w:smallCaps/>
          <w:color w:val="000000" w:themeColor="text1"/>
          <w:sz w:val="16"/>
          <w:szCs w:val="16"/>
        </w:rPr>
        <w:t xml:space="preserve">техники, </w:t>
      </w:r>
      <w:r w:rsidRPr="00C33834">
        <w:rPr>
          <w:rFonts w:ascii="Times New Roman" w:hAnsi="Times New Roman"/>
          <w:color w:val="000000" w:themeColor="text1"/>
          <w:sz w:val="16"/>
          <w:szCs w:val="16"/>
        </w:rPr>
        <w:t>тем мым далеко не обеспечивая надлежащую постановку аэродина</w:t>
      </w:r>
      <w:r w:rsidRPr="00C33834">
        <w:rPr>
          <w:rFonts w:ascii="Times New Roman" w:hAnsi="Times New Roman"/>
          <w:color w:val="000000" w:themeColor="text1"/>
          <w:sz w:val="16"/>
          <w:szCs w:val="16"/>
        </w:rPr>
        <w:softHyphen/>
        <w:t>мических изысканий для нашего опытного самолетостроения.</w:t>
      </w:r>
    </w:p>
    <w:p w14:paraId="0F1E1C33" w14:textId="77777777" w:rsidR="00BB0DBE" w:rsidRPr="00C33834" w:rsidRDefault="00BB0DB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 обстоятельство влечет за собой затяжку сроков выпуска опытных образцов, увеличивает риск выпуска неудачных машин, недающих нужных летных результатов, как это имело место частично при выпуска ТБ-5, И-12 и других.</w:t>
      </w:r>
    </w:p>
    <w:p w14:paraId="112C8222" w14:textId="77777777" w:rsidR="00BB0DBE" w:rsidRPr="00C33834" w:rsidRDefault="00BB0DB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связи с этим у нас получается опасный разрыв между запросами опытного самолетостроения и наличной эксперимен</w:t>
      </w:r>
      <w:r w:rsidRPr="00C33834">
        <w:rPr>
          <w:rFonts w:ascii="Times New Roman" w:hAnsi="Times New Roman"/>
          <w:color w:val="000000" w:themeColor="text1"/>
          <w:sz w:val="16"/>
          <w:szCs w:val="16"/>
        </w:rPr>
        <w:softHyphen/>
        <w:t>тально теоретической базой, что чревато большими опасностями.</w:t>
      </w:r>
    </w:p>
    <w:p w14:paraId="73890F44" w14:textId="77777777" w:rsidR="00BB0DBE" w:rsidRPr="00C33834" w:rsidRDefault="00BB0DB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Ответстввнные задания в области опытного самолетостроеия на вторую пятилетку, характеризующиеся постройкой очень быстроходных машин и машин сверхтяжелых, выдвигают в пол</w:t>
      </w:r>
      <w:r w:rsidRPr="00C33834">
        <w:rPr>
          <w:rFonts w:ascii="Times New Roman" w:hAnsi="Times New Roman"/>
          <w:color w:val="000000" w:themeColor="text1"/>
          <w:sz w:val="16"/>
          <w:szCs w:val="16"/>
        </w:rPr>
        <w:softHyphen/>
        <w:t>ном об"емв вопрос о наличии указанного выше отставания нашей экспериментально-технической базы от запросов опытного строительства и необходимости ликвидации имеющегося разры</w:t>
      </w:r>
      <w:r w:rsidRPr="00C33834">
        <w:rPr>
          <w:rFonts w:ascii="Times New Roman" w:hAnsi="Times New Roman"/>
          <w:color w:val="000000" w:themeColor="text1"/>
          <w:sz w:val="16"/>
          <w:szCs w:val="16"/>
        </w:rPr>
        <w:softHyphen/>
        <w:t>ва в этой области.</w:t>
      </w:r>
    </w:p>
    <w:p w14:paraId="6C1B9764" w14:textId="77777777" w:rsidR="00BB0DBE" w:rsidRPr="00C33834" w:rsidRDefault="00BB0DB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Этот вопрос приобретает тем большую остроту, что про-ектирование технически совершенного современного экспери</w:t>
      </w:r>
      <w:r w:rsidRPr="00C33834">
        <w:rPr>
          <w:rFonts w:ascii="Times New Roman" w:hAnsi="Times New Roman"/>
          <w:color w:val="000000" w:themeColor="text1"/>
          <w:sz w:val="16"/>
          <w:szCs w:val="16"/>
        </w:rPr>
        <w:softHyphen/>
        <w:t>ментального оборудования /аэродинамических груб/» их по</w:t>
      </w:r>
      <w:r w:rsidRPr="00C33834">
        <w:rPr>
          <w:rFonts w:ascii="Times New Roman" w:hAnsi="Times New Roman"/>
          <w:color w:val="000000" w:themeColor="text1"/>
          <w:sz w:val="16"/>
          <w:szCs w:val="16"/>
        </w:rPr>
        <w:softHyphen/>
        <w:t>стройка, оборудование труб, создание соответствующих тех</w:t>
      </w:r>
      <w:r w:rsidRPr="00C33834">
        <w:rPr>
          <w:rFonts w:ascii="Times New Roman" w:hAnsi="Times New Roman"/>
          <w:color w:val="000000" w:themeColor="text1"/>
          <w:sz w:val="16"/>
          <w:szCs w:val="16"/>
        </w:rPr>
        <w:softHyphen/>
        <w:t>нических кадров для обслуживания этих труб и освоение это</w:t>
      </w:r>
      <w:r w:rsidRPr="00C33834">
        <w:rPr>
          <w:rFonts w:ascii="Times New Roman" w:hAnsi="Times New Roman"/>
          <w:color w:val="000000" w:themeColor="text1"/>
          <w:sz w:val="16"/>
          <w:szCs w:val="16"/>
        </w:rPr>
        <w:softHyphen/>
        <w:t>го оборудования - дело весьма трудное, поскольку в этом де</w:t>
      </w:r>
      <w:r w:rsidRPr="00C33834">
        <w:rPr>
          <w:rFonts w:ascii="Times New Roman" w:hAnsi="Times New Roman"/>
          <w:color w:val="000000" w:themeColor="text1"/>
          <w:sz w:val="16"/>
          <w:szCs w:val="16"/>
        </w:rPr>
        <w:softHyphen/>
        <w:t>ла опыта у нас совершенно недостаточно и оно потребует ми</w:t>
      </w:r>
      <w:r w:rsidRPr="00C33834">
        <w:rPr>
          <w:rFonts w:ascii="Times New Roman" w:hAnsi="Times New Roman"/>
          <w:color w:val="000000" w:themeColor="text1"/>
          <w:sz w:val="16"/>
          <w:szCs w:val="16"/>
        </w:rPr>
        <w:softHyphen/>
        <w:t>нимум 3-4 года.</w:t>
      </w:r>
    </w:p>
    <w:p w14:paraId="798BC28C" w14:textId="77777777" w:rsidR="00BB0DBE" w:rsidRPr="00C33834" w:rsidRDefault="00BB0DB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Принимая во внимание все вышеизложенное следует приз</w:t>
      </w:r>
      <w:r w:rsidRPr="00C33834">
        <w:rPr>
          <w:rFonts w:ascii="Times New Roman" w:hAnsi="Times New Roman"/>
          <w:color w:val="000000" w:themeColor="text1"/>
          <w:sz w:val="16"/>
          <w:szCs w:val="16"/>
        </w:rPr>
        <w:softHyphen/>
        <w:t>нать, строительство больших аэродинамических труб делом жизненно необходимым для качественного роста советского воздушного флота и не терпящим отлагательства в своем осу</w:t>
      </w:r>
      <w:r w:rsidRPr="00C33834">
        <w:rPr>
          <w:rFonts w:ascii="Times New Roman" w:hAnsi="Times New Roman"/>
          <w:color w:val="000000" w:themeColor="text1"/>
          <w:sz w:val="16"/>
          <w:szCs w:val="16"/>
        </w:rPr>
        <w:softHyphen/>
        <w:t>ществлении,</w:t>
      </w:r>
    </w:p>
    <w:p w14:paraId="01B3725E" w14:textId="77777777" w:rsidR="00BB0DBE" w:rsidRPr="00C33834" w:rsidRDefault="00BB0DB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а союзный Совет по Аэродинамике организация, об"единяющая и координирующая все работы аэродинамических лабо</w:t>
      </w:r>
      <w:r w:rsidRPr="00C33834">
        <w:rPr>
          <w:rFonts w:ascii="Times New Roman" w:hAnsi="Times New Roman"/>
          <w:color w:val="000000" w:themeColor="text1"/>
          <w:sz w:val="16"/>
          <w:szCs w:val="16"/>
        </w:rPr>
        <w:softHyphen/>
        <w:t>раторий и институтов в чаоги аэродинамики самолета разра</w:t>
      </w:r>
      <w:r w:rsidRPr="00C33834">
        <w:rPr>
          <w:rFonts w:ascii="Times New Roman" w:hAnsi="Times New Roman"/>
          <w:color w:val="000000" w:themeColor="text1"/>
          <w:sz w:val="16"/>
          <w:szCs w:val="16"/>
        </w:rPr>
        <w:softHyphen/>
        <w:t>ботал в первом варианте план строительства больших аэродинамических труб государстве иного значения, который бы обес</w:t>
      </w:r>
      <w:r w:rsidRPr="00C33834">
        <w:rPr>
          <w:rFonts w:ascii="Times New Roman" w:hAnsi="Times New Roman"/>
          <w:color w:val="000000" w:themeColor="text1"/>
          <w:sz w:val="16"/>
          <w:szCs w:val="16"/>
        </w:rPr>
        <w:softHyphen/>
        <w:t xml:space="preserve">печил устранение указанного выше опасного разрыва между </w:t>
      </w:r>
      <w:r w:rsidRPr="00C33834">
        <w:rPr>
          <w:rFonts w:ascii="Times New Roman" w:hAnsi="Times New Roman"/>
          <w:color w:val="000000" w:themeColor="text1"/>
          <w:sz w:val="16"/>
          <w:szCs w:val="16"/>
          <w:vertAlign w:val="subscript"/>
        </w:rPr>
        <w:t xml:space="preserve">; </w:t>
      </w:r>
      <w:r w:rsidRPr="00C33834">
        <w:rPr>
          <w:rFonts w:ascii="Times New Roman" w:hAnsi="Times New Roman"/>
          <w:color w:val="000000" w:themeColor="text1"/>
          <w:sz w:val="16"/>
          <w:szCs w:val="16"/>
        </w:rPr>
        <w:t>запросами опытного самолетостроения и возможностями налич</w:t>
      </w:r>
      <w:r w:rsidRPr="00C33834">
        <w:rPr>
          <w:rFonts w:ascii="Times New Roman" w:hAnsi="Times New Roman"/>
          <w:color w:val="000000" w:themeColor="text1"/>
          <w:sz w:val="16"/>
          <w:szCs w:val="16"/>
        </w:rPr>
        <w:softHyphen/>
        <w:t>ной экспериментально-теоретической базы.</w:t>
      </w:r>
    </w:p>
    <w:p w14:paraId="5C373D37" w14:textId="77777777" w:rsidR="00BB0DBE" w:rsidRPr="00C33834" w:rsidRDefault="00BB0DB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Всесоюзный Совет по аэродинамике, со всей тщательностью рассмотрев указанный вопрос с представителями наи</w:t>
      </w:r>
      <w:r w:rsidRPr="00C33834">
        <w:rPr>
          <w:rFonts w:ascii="Times New Roman" w:hAnsi="Times New Roman"/>
          <w:color w:val="000000" w:themeColor="text1"/>
          <w:sz w:val="16"/>
          <w:szCs w:val="16"/>
        </w:rPr>
        <w:softHyphen/>
        <w:t>более крупных аэродинамических авиационных организаций, выдвигая на Ваше рассмотрение весь разработанный материал просит Вас:</w:t>
      </w:r>
    </w:p>
    <w:p w14:paraId="4E34423F" w14:textId="77777777" w:rsidR="00BB0DBE" w:rsidRPr="00C33834" w:rsidRDefault="00BB0DB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представить на утверждение Народного Комиссара тяжелой промышленности тов. Орджоникидзе разработанный план строительства в течение второй пятилетки больших аэроди</w:t>
      </w:r>
      <w:r w:rsidRPr="00C33834">
        <w:rPr>
          <w:rFonts w:ascii="Times New Roman" w:hAnsi="Times New Roman"/>
          <w:color w:val="000000" w:themeColor="text1"/>
          <w:sz w:val="16"/>
          <w:szCs w:val="16"/>
        </w:rPr>
        <w:softHyphen/>
        <w:t>намических труб в составе указанных в приложении об"ектов;</w:t>
      </w:r>
    </w:p>
    <w:p w14:paraId="45DE3E82" w14:textId="77777777" w:rsidR="00BB0DBE" w:rsidRPr="00C33834" w:rsidRDefault="00BB0DB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дать задание ЦАГИ и Харьковскому Авиационному ин</w:t>
      </w:r>
      <w:r w:rsidRPr="00C33834">
        <w:rPr>
          <w:rFonts w:ascii="Times New Roman" w:hAnsi="Times New Roman"/>
          <w:color w:val="000000" w:themeColor="text1"/>
          <w:sz w:val="16"/>
          <w:szCs w:val="16"/>
        </w:rPr>
        <w:softHyphen/>
        <w:t>ституту приступить уже в течение 1933 года вплотную к не</w:t>
      </w:r>
      <w:r w:rsidRPr="00C33834">
        <w:rPr>
          <w:rFonts w:ascii="Times New Roman" w:hAnsi="Times New Roman"/>
          <w:color w:val="000000" w:themeColor="text1"/>
          <w:sz w:val="16"/>
          <w:szCs w:val="16"/>
        </w:rPr>
        <w:softHyphen/>
        <w:t>посредственному проектированию основных наиболее трудоем</w:t>
      </w:r>
      <w:r w:rsidRPr="00C33834">
        <w:rPr>
          <w:rFonts w:ascii="Times New Roman" w:hAnsi="Times New Roman"/>
          <w:color w:val="000000" w:themeColor="text1"/>
          <w:sz w:val="16"/>
          <w:szCs w:val="16"/>
        </w:rPr>
        <w:softHyphen/>
        <w:t>ких об"ектов по плану строительства аэродинамических труб, ассигновав для этой цели дополнительно 225.000 рублей /200.000 р. Для ЦАГИ и 25.000 для Харьковского Авиацион</w:t>
      </w:r>
      <w:r w:rsidRPr="00C33834">
        <w:rPr>
          <w:rFonts w:ascii="Times New Roman" w:hAnsi="Times New Roman"/>
          <w:color w:val="000000" w:themeColor="text1"/>
          <w:sz w:val="16"/>
          <w:szCs w:val="16"/>
        </w:rPr>
        <w:softHyphen/>
        <w:t>ного института через ЦАГИ/ в соответствии с подготовленной в ЦАГИ детализированной сметой;</w:t>
      </w:r>
    </w:p>
    <w:p w14:paraId="7A10CFF9" w14:textId="77777777" w:rsidR="00BB0DBE" w:rsidRPr="00C33834" w:rsidRDefault="00BB0DB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разрешить послать в течение 1933 года заграницу /Англия, Германия,Америка/ двух инженеров для ознакомле</w:t>
      </w:r>
      <w:r w:rsidRPr="00C33834">
        <w:rPr>
          <w:rFonts w:ascii="Times New Roman" w:hAnsi="Times New Roman"/>
          <w:color w:val="000000" w:themeColor="text1"/>
          <w:sz w:val="16"/>
          <w:szCs w:val="16"/>
        </w:rPr>
        <w:softHyphen/>
        <w:t>ния с соответствующими заграничными наиболее совершенными, аэродинамическими трубами, а также для предварительного выяснения возможностей получения от наиболее видных ино</w:t>
      </w:r>
      <w:r w:rsidRPr="00C33834">
        <w:rPr>
          <w:rFonts w:ascii="Times New Roman" w:hAnsi="Times New Roman"/>
          <w:color w:val="000000" w:themeColor="text1"/>
          <w:sz w:val="16"/>
          <w:szCs w:val="16"/>
        </w:rPr>
        <w:softHyphen/>
        <w:t>странных специалистов технической консультации по разра</w:t>
      </w:r>
      <w:r w:rsidRPr="00C33834">
        <w:rPr>
          <w:rFonts w:ascii="Times New Roman" w:hAnsi="Times New Roman"/>
          <w:color w:val="000000" w:themeColor="text1"/>
          <w:sz w:val="16"/>
          <w:szCs w:val="16"/>
        </w:rPr>
        <w:softHyphen/>
        <w:t>батываемым у нас проектам аэродинамических труб и их оборудования» на что вместе с предполагаемой возможностью пригласить для прочтения цикла лекций по аэродинамическим трубам т ах или иных крупных иностранных социалистов, по</w:t>
      </w:r>
      <w:r w:rsidRPr="00C33834">
        <w:rPr>
          <w:rFonts w:ascii="Times New Roman" w:hAnsi="Times New Roman"/>
          <w:color w:val="000000" w:themeColor="text1"/>
          <w:sz w:val="16"/>
          <w:szCs w:val="16"/>
        </w:rPr>
        <w:softHyphen/>
        <w:t>требуется в течение 1933 года примерно 6.000 рублей валю</w:t>
      </w:r>
      <w:r w:rsidRPr="00C33834">
        <w:rPr>
          <w:rFonts w:ascii="Times New Roman" w:hAnsi="Times New Roman"/>
          <w:color w:val="000000" w:themeColor="text1"/>
          <w:sz w:val="16"/>
          <w:szCs w:val="16"/>
        </w:rPr>
        <w:softHyphen/>
        <w:t>той;</w:t>
      </w:r>
    </w:p>
    <w:p w14:paraId="72077FFC" w14:textId="77777777" w:rsidR="00BB0DBE" w:rsidRPr="00C33834" w:rsidRDefault="00BB0DB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дать задание ЦАГИ или Всесоюзному Совету по Аэродианимике /с привлечением всех необходимых для этого организаций/ приступить к разработке календарного плана строи</w:t>
      </w:r>
      <w:r w:rsidRPr="00C33834">
        <w:rPr>
          <w:rFonts w:ascii="Times New Roman" w:hAnsi="Times New Roman"/>
          <w:color w:val="000000" w:themeColor="text1"/>
          <w:sz w:val="16"/>
          <w:szCs w:val="16"/>
        </w:rPr>
        <w:softHyphen/>
        <w:t>тельства больших аэродинамических труб на вторую пятила тку| и всего комплекса необходимых для этого мероприятий, а же плана финансовоых затрат, как в советских рублях, так и в иностранной валюте с предварительной подработкой одновременно организационных форм проектирования и строитвльства указанных выше об"ектов.</w:t>
      </w:r>
    </w:p>
    <w:p w14:paraId="24C5E28E" w14:textId="77777777" w:rsidR="00BB0DBE" w:rsidRPr="00C33834" w:rsidRDefault="00BB0DB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w:t>
      </w:r>
    </w:p>
    <w:p w14:paraId="56912CBD" w14:textId="77777777" w:rsidR="00BB0DBE" w:rsidRPr="00C33834" w:rsidRDefault="00BB0DB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Ориентировочный план строительства аэродинамических труб государственного значения с графиками ориантировочных сроков строительства и финансовых! затрат;</w:t>
      </w:r>
    </w:p>
    <w:p w14:paraId="1A6E2F9F" w14:textId="77777777" w:rsidR="00BB0DBE" w:rsidRPr="00C33834" w:rsidRDefault="00BB0DB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альбом фотографий современных загра</w:t>
      </w:r>
      <w:r w:rsidRPr="00C33834">
        <w:rPr>
          <w:rFonts w:ascii="Times New Roman" w:hAnsi="Times New Roman"/>
          <w:color w:val="000000" w:themeColor="text1"/>
          <w:sz w:val="16"/>
          <w:szCs w:val="16"/>
        </w:rPr>
        <w:softHyphen/>
        <w:t>ничных аэродинамических груб, а также фотографий, характеризующих непосред</w:t>
      </w:r>
      <w:r w:rsidRPr="00C33834">
        <w:rPr>
          <w:rFonts w:ascii="Times New Roman" w:hAnsi="Times New Roman"/>
          <w:color w:val="000000" w:themeColor="text1"/>
          <w:sz w:val="16"/>
          <w:szCs w:val="16"/>
        </w:rPr>
        <w:softHyphen/>
        <w:t>ственную связь опытного самолетостроения и экспериментально аэродинамических изысканий</w:t>
      </w:r>
    </w:p>
    <w:p w14:paraId="10259BE4" w14:textId="77777777" w:rsidR="00BB0DBE" w:rsidRPr="00C33834" w:rsidRDefault="00BB0DB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ЦГАОР. ф. 147с, оп. 15, д. 153, л. 1 (1026,169).</w:t>
      </w:r>
    </w:p>
    <w:p w14:paraId="0DDA24FD"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04C9C95E" w14:textId="77777777" w:rsidR="0081051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C3ECB41" w14:textId="77777777" w:rsidR="00810511" w:rsidRPr="00C33834" w:rsidRDefault="0081051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008479E" w14:textId="77777777" w:rsidR="00810511" w:rsidRPr="00C33834" w:rsidRDefault="008105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9 мая в 1933 году взлетел первый прототип самолета </w:t>
      </w:r>
      <w:hyperlink r:id="rId154" w:tgtFrame="_blank" w:history="1">
        <w:r w:rsidRPr="00C33834">
          <w:rPr>
            <w:rFonts w:ascii="Times New Roman" w:hAnsi="Times New Roman"/>
            <w:color w:val="000000" w:themeColor="text1"/>
            <w:sz w:val="16"/>
            <w:szCs w:val="16"/>
          </w:rPr>
          <w:t xml:space="preserve">«XF3U-1». </w:t>
        </w:r>
      </w:hyperlink>
      <w:r w:rsidRPr="00C33834">
        <w:rPr>
          <w:rFonts w:ascii="Times New Roman" w:hAnsi="Times New Roman"/>
          <w:color w:val="000000" w:themeColor="text1"/>
          <w:sz w:val="16"/>
          <w:szCs w:val="16"/>
        </w:rPr>
        <w:t>Это был двухместный цельнометаллический биплан (самолет стал первым цельнометаллическим самолетом «Vought»), оснащенный двигателем «Pratt &amp; Whitney» «R-1535-64» «Twin Wasp Junior» мощностью 700 л.с. Вооружение самолета состояло из двух передних 7.62-мм пулеметов, установленных над верхней центральной секцией крыла, и такого же пулемета, в задней кабине на подвижной турели (14886).</w:t>
      </w:r>
    </w:p>
    <w:p w14:paraId="78B04B6A" w14:textId="77777777" w:rsidR="00810511" w:rsidRPr="00C33834" w:rsidRDefault="00810511" w:rsidP="00C33834">
      <w:pPr>
        <w:spacing w:after="0" w:line="240" w:lineRule="auto"/>
        <w:jc w:val="both"/>
        <w:rPr>
          <w:rFonts w:ascii="Times New Roman" w:hAnsi="Times New Roman"/>
          <w:color w:val="000000" w:themeColor="text1"/>
          <w:sz w:val="16"/>
          <w:szCs w:val="16"/>
        </w:rPr>
      </w:pPr>
    </w:p>
    <w:p w14:paraId="662320EC"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9 мая 1933 состоялся первый полет Vought XF3U-1 (20802).</w:t>
      </w:r>
    </w:p>
    <w:p w14:paraId="6CB2ED73" w14:textId="77777777" w:rsidR="00C7460D" w:rsidRPr="00C33834" w:rsidRDefault="00C7460D" w:rsidP="00C33834">
      <w:pPr>
        <w:spacing w:after="0" w:line="240" w:lineRule="auto"/>
        <w:jc w:val="both"/>
        <w:rPr>
          <w:rFonts w:ascii="Times New Roman" w:hAnsi="Times New Roman"/>
          <w:color w:val="0070C0"/>
          <w:sz w:val="16"/>
          <w:szCs w:val="16"/>
        </w:rPr>
      </w:pPr>
    </w:p>
    <w:p w14:paraId="1E4A2B9A" w14:textId="77777777" w:rsidR="00BB0DB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E7783CC" w14:textId="77777777" w:rsidR="00BB0DBE" w:rsidRPr="00C33834" w:rsidRDefault="00BB0DB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A07DC35" w14:textId="77777777" w:rsidR="00BB0DBE" w:rsidRPr="00C33834" w:rsidRDefault="00BB0DB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мая 1933 года было подписано Заключение в Отчете об испытании самолета И5 М22 на штопор с поворотной стойкой</w:t>
      </w:r>
    </w:p>
    <w:p w14:paraId="4A97D8CF" w14:textId="77777777" w:rsidR="00BB0DBE" w:rsidRPr="00C33834" w:rsidRDefault="00BB0DB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Исполнители:</w:t>
      </w:r>
    </w:p>
    <w:p w14:paraId="3E656B32" w14:textId="77777777" w:rsidR="00BB0DBE" w:rsidRPr="00C33834" w:rsidRDefault="00BB0DB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 Петров И.Ф.</w:t>
      </w:r>
    </w:p>
    <w:p w14:paraId="53CE2984" w14:textId="77777777" w:rsidR="00BB0DBE" w:rsidRPr="00C33834" w:rsidRDefault="00BB0DB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 Сузи</w:t>
      </w:r>
    </w:p>
    <w:p w14:paraId="271B8A51" w14:textId="77777777" w:rsidR="00BB0DBE" w:rsidRPr="00C33834" w:rsidRDefault="00BB0DB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66960556" w14:textId="77777777" w:rsidR="00BB0DBE" w:rsidRPr="00C33834" w:rsidRDefault="00BB0DB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степени безопасности производства штопоров на самолете И5 М22 при применении поворотной стойки и без нее.</w:t>
      </w:r>
    </w:p>
    <w:p w14:paraId="2457B220" w14:textId="77777777" w:rsidR="00BB0DBE" w:rsidRPr="00C33834" w:rsidRDefault="00BB0DB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53592F18" w14:textId="77777777" w:rsidR="00BB0DBE" w:rsidRPr="00C33834" w:rsidRDefault="00BB0DB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на введение в серийной постройке поворотных стоек на самолете И5 М22 принять после испытания эталона И5 на 1933 год, т.к. на эталоне введены ряд изменений конструкции и стойки и механизма управления (6641).</w:t>
      </w:r>
    </w:p>
    <w:p w14:paraId="1F7091C6" w14:textId="77777777" w:rsidR="00BB0DBE" w:rsidRPr="00C33834" w:rsidRDefault="00BB0DB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951B8B"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мая 1933 года начальник и военком НИИ ВВС Зильберт и начальник штаба НИИ Трунов писали письмо N 0468 сс начальнику штаба ВВС.</w:t>
      </w:r>
    </w:p>
    <w:p w14:paraId="3F4E6954"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физиономии "ТАРАН" и тактические требования к нему</w:t>
      </w:r>
    </w:p>
    <w:p w14:paraId="3E2BA07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 термином "ТАРАН" следует понимать самолет без пилота, управляемый на расстоянии и поражающий цель ударом всей машины или взрывом в непосредственной близости от цели.</w:t>
      </w:r>
    </w:p>
    <w:p w14:paraId="2AB70298"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Использование такого самолета наиболее целесообразно исключительно против воздушного противника и главным образом против его тяжелобомбардировочной авиации.</w:t>
      </w:r>
    </w:p>
    <w:p w14:paraId="49EB3824"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и атака одиночными самолетами.</w:t>
      </w:r>
    </w:p>
    <w:p w14:paraId="5FD59C63"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перечисленных выше задач "ТАРАН" должен обладать следующими летно-тактическими данными:</w:t>
      </w:r>
    </w:p>
    <w:p w14:paraId="20DD5D9B"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применения "ТАРАН" должна перекрывать наибольшую боевую высоту тяжелых бомбардировщиков. Судя по итогам первой пятилетки, в течение второй пятилетки нормальными высотами применения ТБ нужно считать 6-7000 м.</w:t>
      </w:r>
    </w:p>
    <w:p w14:paraId="675CBC67"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"Таран" имеющий своим назначением нападать, должен преобладать в высоте на 1000-1500 м, что обеспечит наилучший способ атаки. Таким образом "Таран" должен иметь боевую высоту 8000-8500.</w:t>
      </w:r>
    </w:p>
    <w:p w14:paraId="6BB4A4FD"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Горизонтальная скорость тяжелых и средних бомбардировщиков по лучшим зарубежным образцам достигает 230-260 км. В течение второй пятилетки не исключена возможность роста эксплуатационных скоростей до 270-300 км.</w:t>
      </w:r>
    </w:p>
    <w:p w14:paraId="0C2A7B7E"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"Таран" по своему назначению должен преобладать над скоростью противника с тем, чтобы иметь запас для догона. Таким образом горизонтальная скорость "Тарана" на боевой высоте применения должна быть не менее 360 км/час. С тактической точки зрения не будет возражений против значительного увеличения скорости, которая может быть достигнута конструкторами за счет крайне незначительного веса оборудования, свободного выбора наивыгоднейших аэродинамических форм машины и возможностью полного _зализывания_ и отсутствием претензий к величине посадочной скорости в связи с тем, что на посадку "Таран" не рассчитывается.</w:t>
      </w:r>
    </w:p>
    <w:p w14:paraId="54D054BC"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Продолжительность полете слагающаяся из взлета, догона и атаки максимально выразится в 1 час, отсюда следует требование к запасу горючего и продолжительности срока службы мотора.</w:t>
      </w:r>
    </w:p>
    <w:p w14:paraId="574F8078"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взрывчатого вещества следует подчинить конструктивным возможностям и в последствии это отразится на дистанции взрыва от цели.</w:t>
      </w:r>
    </w:p>
    <w:p w14:paraId="2000631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5. Защитные свойства "Тарана" от расстрела противником должны базироваться на принципе скоротечности атаки и большой скорости пикирования.</w:t>
      </w:r>
    </w:p>
    <w:p w14:paraId="49E57D75"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Прочность и маневренность должна допускать глубокий вираж и крутое пикирование.</w:t>
      </w:r>
    </w:p>
    <w:p w14:paraId="040ADC21"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Крайне желательно в пределах технических возможностей придать "Тарану" устойчивость и даже самонаправляемость на цель, после ввода в атаку приборами управления на расстояние.</w:t>
      </w:r>
    </w:p>
    <w:p w14:paraId="2FABA3AC"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Требований к обзору и обстрелу не предъявляется.</w:t>
      </w:r>
    </w:p>
    <w:p w14:paraId="66B2D479"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 отсутствует. Оборудование должно состоять только в приборах управления.</w:t>
      </w:r>
    </w:p>
    <w:p w14:paraId="758E21BC"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Бронированный истребитель ПВО</w:t>
      </w:r>
    </w:p>
    <w:p w14:paraId="68B12C3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числа воздушных целей, составляющих воздушные силы противника, в смысле создания новых средств противодействия, заслуживает особого внимания тяжелобомбардировочная авиация, которая мощностью своего оружия может повлиять не только на исход операции, но и на исход всей кампании.</w:t>
      </w:r>
    </w:p>
    <w:p w14:paraId="6FF96097"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качестве основного противодействующего средства, для данного вида целей, в момент нахождения их в воздухе, противопоставляется истребительная авиация всех видов и наземные средства ПВО.</w:t>
      </w:r>
    </w:p>
    <w:p w14:paraId="4CFB664F"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основной способ поражения воздушного противника зиждется на поражении пулей, снарядом и бомбой, выбрасываемыми с некоторой дистанции и впоследствии не управляемыми. Величина на дистанции выбрасывания обусловлена огневым сопротивлением противника.</w:t>
      </w:r>
    </w:p>
    <w:p w14:paraId="6390BC70"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Основной недостаток такого способа заключается в том, что вероятность поражения цели зависит от: дистанции, меткости огня, убойной силы пули или снаряда, скорости и маневренности цели, ее живучести и ни в одном случае не может быть заранее дано гарантии, что цель будет разрушена или по меньшей мере не допущена к охраняемому объекту. Кроме того, этот способ принуждает иметь значительный перевес в силах и длительности воздействия.</w:t>
      </w:r>
    </w:p>
    <w:p w14:paraId="429A096D"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Оставляя указанный способ борьбы с воздушным противником главным, в ряде случаев возникает необходимость каким бы то ни было способом не допустить противника к цели, предотвратить бомбардирование охраняемого объекта.</w:t>
      </w:r>
    </w:p>
    <w:p w14:paraId="2A68744A"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этого вопроса может быть найдено в применении такого средства, которое допускало бы постоянную управляемость до самого момента соприкосновения с противником.</w:t>
      </w:r>
    </w:p>
    <w:p w14:paraId="0441FE9F"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данные средства должны обладать:</w:t>
      </w:r>
    </w:p>
    <w:p w14:paraId="72D1D507"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Достаточной скоростью, обеспечивающей догон во всех случаях взаимоположения между целью и используемыми средствами.</w:t>
      </w:r>
    </w:p>
    <w:p w14:paraId="76E66161"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Достаточной разрушительной силой снаряда или удара, гарантирующей наверняка поражение цели.</w:t>
      </w:r>
    </w:p>
    <w:p w14:paraId="7F32BF8B"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Гарантированной живучестью, неподверженностью огневому сопротивлению противника до момента выполнения задачи.</w:t>
      </w:r>
    </w:p>
    <w:p w14:paraId="58EB3AB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Технически это средство может быть выполнено в виде:</w:t>
      </w:r>
    </w:p>
    <w:p w14:paraId="53379A9A"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Планирующей мины, управляемой по радио.</w:t>
      </w:r>
    </w:p>
    <w:p w14:paraId="1732DAEB"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Летающей мины (самолет без пилота), управляемой по радио.</w:t>
      </w:r>
    </w:p>
    <w:p w14:paraId="15051C1A"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Специального самолета, управляемого живым пилотом. Специальный самолет по способу действия в свою очередь может быть в следующих вариантах:</w:t>
      </w:r>
    </w:p>
    <w:p w14:paraId="0013C3CD"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Поражение цели собственным корпусом с предварительным выпрыгиванием пилота на парашюте.</w:t>
      </w:r>
    </w:p>
    <w:p w14:paraId="114B4559"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Поражение цели специальным приспособлением, с которого в момент удара собственно самолет соскальзывает и в основном должен совершить нормальную посадку и как исключение в случае потери управления - выпрыгивание пилота.</w:t>
      </w:r>
    </w:p>
    <w:p w14:paraId="0FB031D1"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Поражение цели специальным, подвешиваемым на тросах грузом и отрывающимся от буксируемого самолета в момент удара о цель. Указанный груз может поражать или живой силой или взрывом.</w:t>
      </w:r>
    </w:p>
    <w:p w14:paraId="7573CED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таком способе самолет должен как правило совершать нормальную посадку.</w:t>
      </w:r>
    </w:p>
    <w:p w14:paraId="76D24943"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Поражение цели "кинжальным" огнем с минимальной дистанции, обеспечивающей верное поражение цели. После завершения атаки самолет должен, как правило, совершать нормальную посадку и как исключение, в случае повреждения, пилот выпрыгивает на парашюте.</w:t>
      </w:r>
    </w:p>
    <w:p w14:paraId="7C518A98"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всех перечисленных случаях самолет должен иметь сильную броню, защищающую пилота от всех средств поражения, которыми располагает цель.</w:t>
      </w:r>
    </w:p>
    <w:p w14:paraId="5F3EE1C7"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перечисленные средства несомненно будут обладать известными недостатками, однако, характер недостатков будет различен. В одних случаях он ставит под сомнение возможность выполнения поставленной задачи, в других затруднит выполнение задачи, но все же гарантия выполнения останется 100%.</w:t>
      </w:r>
    </w:p>
    <w:p w14:paraId="0A68732D"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виды мин, перечисленные в п.п. 1 и 2 будут иметь следующие крупные недостатки:</w:t>
      </w:r>
    </w:p>
    <w:p w14:paraId="64173DB1"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затруднительность точного управления, в смысле детальной наводки мины на цель, имея в виду, что пункт управления миной будет находится в значительном удалении от цели и расстояния между миной и целью на этой дистанции, тем более в 3-х измерениях, будут представляться со значительными ошибками; 2. Управление миной, основанное на принципах телемеханики предполагает использование радиоволн, что не исключает возможности противодействия со стороны противника этим же средствам.</w:t>
      </w:r>
    </w:p>
    <w:p w14:paraId="6AA69FEA"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Быстрота практического осуществления мины, управляемой надежно на расстоянии, при данной ступени развития телемеханики несомненно будет носить затяжной характер.</w:t>
      </w:r>
    </w:p>
    <w:p w14:paraId="1551D470"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недостаткам спецсамолета всех вариантов в первую очередь относится, при наличии достаточной практической гарантии, неполная психологическая гарантия спасания жизни пилота. Однако, этот недостаток во многих случаях будет отсутствовать, имея в виду высокую революционную сознательность и твердое боевое воспитание летного состава.</w:t>
      </w:r>
    </w:p>
    <w:p w14:paraId="7F4F8CE6"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всех перечисленных недостатков, нужно иметь в виду материальный ущерб, приносимый неполной гарантией сохранения самолета после атаки.</w:t>
      </w:r>
    </w:p>
    <w:p w14:paraId="29DD46F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Однако, относить это к разряду недостатков в полном смысле этого слова будут односторонне, т.к. борьба любым видом оружия содержит в себе известную долю материальных затрат.</w:t>
      </w:r>
    </w:p>
    <w:p w14:paraId="28F78144"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сравнение материального ущерба, приносимого потерей спецсамолета с материальным же ущербом, наносимым противнику (потеря легкого самолета и потеря тяжелого корабля) относительно последнего представляет большие выгоды.</w:t>
      </w:r>
    </w:p>
    <w:p w14:paraId="3A26CEE4"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Основное оправдание подобной материальной затраты несомненно окупается оперативными выгодами.</w:t>
      </w:r>
    </w:p>
    <w:p w14:paraId="7DDBDBB6"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Исходя из приведенного выше анализа, Тактический сектор пришел к выводу, что в данное время наиболее целесообразно и возможно приступить к осуществлению специального самолета ПВО, действующего огнестрельным оружием в упор.</w:t>
      </w:r>
    </w:p>
    <w:p w14:paraId="7688E1FB"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связи с указанным выводом и имея в виду, что самолеты специального типа ПВО в основных своих частях имеют абсолютное сходство, ниже даются тактические требования только на один вариант, вооруженный огнестрельным оружием.</w:t>
      </w:r>
    </w:p>
    <w:p w14:paraId="7C52469A"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Тактические требования к специальному самолету ПВО</w:t>
      </w:r>
    </w:p>
    <w:p w14:paraId="7B6B7BDA"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w:t>
      </w:r>
    </w:p>
    <w:p w14:paraId="657B486A"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Уничтожение тяжелых и сверхтяжелых бомбардировщиков противника, летающих авиаматок и боевых дирижаблей.</w:t>
      </w:r>
    </w:p>
    <w:p w14:paraId="4595EBD7"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Метод применения</w:t>
      </w:r>
    </w:p>
    <w:p w14:paraId="23856F13"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Использование исключительно над своей территорией в районе важных объектов и на важнейших оперативных направлениях. Полет - звеном, атака - в одиночку.</w:t>
      </w:r>
    </w:p>
    <w:p w14:paraId="5102E8D1"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Основа боя внезапность и максимальная быстрота атаки, производимой только сверху и доводимой обязательно до конца. Средство поражения - стрелково-артиллерийское оружие и бомбы. Время применения - днем и ночью, в основном днем.</w:t>
      </w:r>
    </w:p>
    <w:p w14:paraId="77AA8D9D"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Летно-тактические требования</w:t>
      </w:r>
    </w:p>
    <w:p w14:paraId="6507AB41"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Горизонтальная скорость на боевой высоте 360-400 км</w:t>
      </w:r>
    </w:p>
    <w:p w14:paraId="7241DA1E"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7000 м не более 10 минут</w:t>
      </w:r>
    </w:p>
    <w:p w14:paraId="63599440"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Практический потолок 8500 м</w:t>
      </w:r>
    </w:p>
    <w:p w14:paraId="7E99560E"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Посадочная скорость не более 115 км/час</w:t>
      </w:r>
    </w:p>
    <w:p w14:paraId="5B874C1F"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Запас горючего - на 1,0 часа полет</w:t>
      </w:r>
    </w:p>
    <w:p w14:paraId="708036F9"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Требования к конструкции</w:t>
      </w:r>
    </w:p>
    <w:p w14:paraId="01C9D603"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должен допускать крутое пикирование до 90 градусов продолжительностью до 1000 м.</w:t>
      </w:r>
    </w:p>
    <w:p w14:paraId="3723E5C4"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Должна быть максимальная обеспеченность свободного выпрыгивания на парашюте при любом положении самолета, в любой эволюции или при непроизвольном падении.</w:t>
      </w:r>
    </w:p>
    <w:p w14:paraId="77325E47"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пилотского сиденья должен быть достаточный обзор вперед. Обеспечивающий производство атаки, однако, без ущерба неуязвимости от огня противника со стороны атакуемой цели.</w:t>
      </w:r>
    </w:p>
    <w:p w14:paraId="6257C4F9"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Обзор вниз должен обеспечить атаку, нормальный взлет и нормальную посадку.</w:t>
      </w:r>
    </w:p>
    <w:p w14:paraId="5C2C75F9"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Обзор назад должен допускать в пределах возможности (в зависимости от брони) наблюдение для ухода от возможной атаки противника.</w:t>
      </w:r>
    </w:p>
    <w:p w14:paraId="30B6B26A"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Броня должна обеспечить безопасность летчика.</w:t>
      </w:r>
    </w:p>
    <w:p w14:paraId="6BE767FE"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Противопожарное оборудование должно автоматически прекращать пожар в любой точке самолета.</w:t>
      </w:r>
    </w:p>
    <w:p w14:paraId="278D7329"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Вооружение</w:t>
      </w:r>
    </w:p>
    <w:p w14:paraId="7887B758"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Направление огня только вперед. Угол установки оружия постоянный. Количество и калибр вооружения:</w:t>
      </w:r>
    </w:p>
    <w:p w14:paraId="0991A7CE"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один пулемет нормального калибра и один крупного калибра и кроме того, 2-3 бомбы, выбрасываемые в последний момент атаки, или</w:t>
      </w:r>
    </w:p>
    <w:p w14:paraId="33DF2EA0"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два пулемета крупного калибра и 2-3 бомбы для тех же целей;</w:t>
      </w:r>
    </w:p>
    <w:p w14:paraId="140C9116"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один пулемет нормального калибра и одна крупнокалиберная пушка.</w:t>
      </w:r>
    </w:p>
    <w:p w14:paraId="4126AE1E"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Количество патронов для пулеметов нормального калибра - 500 шт. на пулемет, крупного калибра _ 100-150 шт. на пулемет, снарядов _ 2-4 шт. на пушку и бомб 2-3 шт.</w:t>
      </w:r>
    </w:p>
    <w:p w14:paraId="03F2866D"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Перезаряжание обязательно автоматическое на весь запас патрон и снарядов. Приведение в действие спускового механизма ни в коем случае не должно отвлекать от прицеливания и пилотирования.</w:t>
      </w:r>
    </w:p>
    <w:p w14:paraId="0A1BA8B1"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(3903, 66-74).</w:t>
      </w:r>
    </w:p>
    <w:p w14:paraId="62233E67"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7D1DE6C8" w14:textId="77777777" w:rsidR="00810511" w:rsidRPr="00C33834" w:rsidRDefault="008105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мая 1933 года ГУАП направило в ЦКБ сформулированные Технические требования на самолет местной авиации с мотором в 300 л. с. (15535).</w:t>
      </w:r>
    </w:p>
    <w:p w14:paraId="7F2B8009" w14:textId="77777777" w:rsidR="00810511" w:rsidRPr="00C33834" w:rsidRDefault="00810511" w:rsidP="00C33834">
      <w:pPr>
        <w:spacing w:after="0" w:line="240" w:lineRule="auto"/>
        <w:jc w:val="both"/>
        <w:rPr>
          <w:rFonts w:ascii="Times New Roman" w:hAnsi="Times New Roman"/>
          <w:color w:val="000000" w:themeColor="text1"/>
          <w:sz w:val="16"/>
          <w:szCs w:val="16"/>
        </w:rPr>
      </w:pPr>
    </w:p>
    <w:p w14:paraId="42DBE35D" w14:textId="77777777" w:rsidR="00CE35D9" w:rsidRPr="00C33834" w:rsidRDefault="00CE35D9" w:rsidP="00C33834">
      <w:pPr>
        <w:pStyle w:val="ae"/>
        <w:shd w:val="clear" w:color="auto" w:fill="FFFFFF"/>
        <w:spacing w:before="0" w:after="0"/>
        <w:jc w:val="both"/>
        <w:rPr>
          <w:color w:val="000000" w:themeColor="text1"/>
          <w:sz w:val="16"/>
          <w:szCs w:val="16"/>
        </w:rPr>
      </w:pPr>
      <w:r w:rsidRPr="00C33834">
        <w:rPr>
          <w:color w:val="000000" w:themeColor="text1"/>
          <w:sz w:val="16"/>
          <w:szCs w:val="16"/>
        </w:rPr>
        <w:t>10 мая 1933 года ГУАП направило, наконец, в ЦКБ сформулированные Технические требования на самолет местной авиации с мотором в 300 л. с.</w:t>
      </w:r>
    </w:p>
    <w:p w14:paraId="08AE37A3" w14:textId="77777777" w:rsidR="00CE35D9" w:rsidRPr="00C33834" w:rsidRDefault="00CE35D9" w:rsidP="00C33834">
      <w:pPr>
        <w:pStyle w:val="ae"/>
        <w:shd w:val="clear" w:color="auto" w:fill="FFFFFF"/>
        <w:spacing w:before="0" w:after="0"/>
        <w:jc w:val="both"/>
        <w:rPr>
          <w:color w:val="000000" w:themeColor="text1"/>
          <w:sz w:val="16"/>
          <w:szCs w:val="16"/>
        </w:rPr>
      </w:pPr>
      <w:r w:rsidRPr="00C33834">
        <w:rPr>
          <w:color w:val="000000" w:themeColor="text1"/>
          <w:sz w:val="16"/>
          <w:szCs w:val="16"/>
        </w:rPr>
        <w:t>Хотя после совещания в ВАО и прошло почти пять месяцев, технические требования оказались недоработанными, и Ильюшин с Поликарповым незамедлительно направили свои замечания:</w:t>
      </w:r>
    </w:p>
    <w:p w14:paraId="1E991B51"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Замечания к техническим требованиям на самолет местной авиации под мотор 300 НР.</w:t>
      </w:r>
    </w:p>
    <w:p w14:paraId="72B9C79E"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(Отношение ГУАП от 10 мая 1933 года)</w:t>
      </w:r>
    </w:p>
    <w:p w14:paraId="5C2BE664"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N АП 80/229</w:t>
      </w:r>
    </w:p>
    <w:p w14:paraId="1B327D0C"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2 раздела первого:-</w:t>
      </w:r>
    </w:p>
    <w:p w14:paraId="7AF3EC5A"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Мы понимаем выражение "самолет местной авиации", как самолет местных воздушных сообщений, работающий главным образом по обслуживанию местных линий от крупного центра к областным и районым центрам.</w:t>
      </w:r>
    </w:p>
    <w:p w14:paraId="7ABF4555"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Мы не предлагаем делать складных крыльев, ввиду утяжеления таковых и усложнения конструкции, особенно принимая во внимание то, что самолет ЦКБ-6 будет иметь опускающиеся элероны с жестким и сложным управлением.</w:t>
      </w:r>
    </w:p>
    <w:p w14:paraId="16D3CBD6"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1. Обязательных требований к самолетам ГУ ГВФа.</w:t>
      </w:r>
    </w:p>
    <w:p w14:paraId="563F9141"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уменьшения посадочных скоростей мы предлагаем установить опускающиеся элероны.</w:t>
      </w:r>
    </w:p>
    <w:p w14:paraId="5FB45383"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2. Мы понимаем выражение "комбинированное лыжно-колесное шасси" как конструкцию шасси, допускающую возможность установки колес для летнего аэродрома и замену их лыжами для зимнего аэродрома.</w:t>
      </w:r>
    </w:p>
    <w:p w14:paraId="23F4ADD2"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7CBD13F9"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6. Так как самолет ЦКБ-6 понимается нами как самолет местных воздушных сообщений, то нормальная его работа будет проходить днем, вследствие чего установка "полного ночного оборудования с управляемыми фарами" совершенно излишняя, как утяжеляющая и удорожающая самолет. Если же по особому заданию это будет нужно, то это можно будет сделать на отдельно избранном самолете во время постройки.</w:t>
      </w:r>
    </w:p>
    <w:p w14:paraId="7CB42A9E"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Делать же на все без исключения самолеты, летающие днем, ночное оборудование, да еще и полное, считаем нецелесообразным.</w:t>
      </w:r>
    </w:p>
    <w:p w14:paraId="26D3F6A5"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 7. Нам предложено установить на самолет ЦКБ-6 мотор М49 воздушного охлаждения, никакого другого мотора для установки не указано. Поскольку и в этом отношении ГУАПа нет конкретных указаний на другие моторы, мы по этому пункту ничего не предусматриваем, за исключением того, что мотоустановка у нас будет съемной. Во всяком случае замена на таком небольшом самолете одного мотора другим связана с большой работой, так как весь самолет увязан под этот мотор.</w:t>
      </w:r>
    </w:p>
    <w:p w14:paraId="2CA9EC89"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 8. Мы полагаем, что для самолета местных воздушных сообщений, имеющего экипажем всего одного пилота, ставить радиоустановку совершенно нецелесообразно, ибо помимо утяжеления и удорожания самолета, не понятно, кто же будет работать на радиоустановке, ведь летчик очень занят своей работой, а пассажиры совершенно не обязаны обслуживать радио.</w:t>
      </w:r>
    </w:p>
    <w:p w14:paraId="0DE42062"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 9. Было бы желательно, более конкретно выставить особые требования к самолетам в южных районах СССР и на Севере, так как обычные мероприятия в этом отношении нами в ЦКБ-6 не предусматриваются.</w:t>
      </w:r>
    </w:p>
    <w:p w14:paraId="03BB1690"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ЦКБ Ильюшин</w:t>
      </w:r>
    </w:p>
    <w:p w14:paraId="3B5D4650"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бригады 2 Поликарпов</w:t>
      </w:r>
    </w:p>
    <w:p w14:paraId="045F4727"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Отпечатано 4 экз.</w:t>
      </w:r>
    </w:p>
    <w:p w14:paraId="56395FB6" w14:textId="77777777" w:rsidR="00CE35D9" w:rsidRPr="00C33834" w:rsidRDefault="00CE35D9" w:rsidP="00C33834">
      <w:pPr>
        <w:pStyle w:val="ae"/>
        <w:shd w:val="clear" w:color="auto" w:fill="FFFFFF"/>
        <w:spacing w:before="0" w:after="0"/>
        <w:jc w:val="both"/>
        <w:rPr>
          <w:color w:val="000000" w:themeColor="text1"/>
          <w:sz w:val="16"/>
          <w:szCs w:val="16"/>
        </w:rPr>
      </w:pPr>
      <w:r w:rsidRPr="00C33834">
        <w:rPr>
          <w:color w:val="000000" w:themeColor="text1"/>
          <w:sz w:val="16"/>
          <w:szCs w:val="16"/>
        </w:rPr>
        <w:t>Два месяца ушло на проработку проекта. Есть основание предполагать, что в ЦКБ-6 были использованы технические новинки, примененные на самолете "Валти".</w:t>
      </w:r>
    </w:p>
    <w:p w14:paraId="721999F6" w14:textId="77777777" w:rsidR="00CE35D9" w:rsidRPr="00C33834" w:rsidRDefault="00CE35D9" w:rsidP="00C33834">
      <w:pPr>
        <w:pStyle w:val="ae"/>
        <w:shd w:val="clear" w:color="auto" w:fill="FFFFFF"/>
        <w:spacing w:before="0" w:after="0"/>
        <w:jc w:val="both"/>
        <w:rPr>
          <w:color w:val="000000" w:themeColor="text1"/>
          <w:sz w:val="16"/>
          <w:szCs w:val="16"/>
        </w:rPr>
      </w:pPr>
      <w:r w:rsidRPr="00C33834">
        <w:rPr>
          <w:color w:val="000000" w:themeColor="text1"/>
          <w:sz w:val="16"/>
          <w:szCs w:val="16"/>
        </w:rPr>
        <w:t>Первые прорисовки ЦКБ-6 делал лично Н. Н. Поликарпов, а последующие и окончательную - совместно с С. В. Ильюшиным. Надо сказать, что двух конструкторов связывала многолетняя дружба. С высоты своего положения Сергей Владимирович неоднократно помогал и даже выручал Поликарпова, а Николай Николаевич охотно делился техническими идеями с Ильюшиным.</w:t>
      </w:r>
    </w:p>
    <w:p w14:paraId="5B347232" w14:textId="77777777" w:rsidR="00CE35D9" w:rsidRPr="00C33834" w:rsidRDefault="00CE35D9" w:rsidP="00C33834">
      <w:pPr>
        <w:pStyle w:val="ae"/>
        <w:shd w:val="clear" w:color="auto" w:fill="FFFFFF"/>
        <w:spacing w:before="0" w:after="0"/>
        <w:jc w:val="both"/>
        <w:rPr>
          <w:color w:val="000000" w:themeColor="text1"/>
          <w:sz w:val="16"/>
          <w:szCs w:val="16"/>
        </w:rPr>
      </w:pPr>
      <w:r w:rsidRPr="00C33834">
        <w:rPr>
          <w:color w:val="000000" w:themeColor="text1"/>
          <w:sz w:val="16"/>
          <w:szCs w:val="16"/>
        </w:rPr>
        <w:t>Как видно из докладной записки, С. В. Ильюшин и Н. Н. Поликарпов предлагали максимально технологичную машину - простую в изготовлении и эксплуатации. С позиции наших дней интересны и, в какой-то мере, немного смешны рассуждения о необходимости, вернее ее отсутствии, установки радиосвязного оборудования на самолет ЦКБ-6.</w:t>
      </w:r>
    </w:p>
    <w:p w14:paraId="060DBD83" w14:textId="77777777" w:rsidR="00CE35D9" w:rsidRPr="00C33834" w:rsidRDefault="00CE35D9" w:rsidP="00C33834">
      <w:pPr>
        <w:pStyle w:val="ae"/>
        <w:shd w:val="clear" w:color="auto" w:fill="FFFFFF"/>
        <w:spacing w:before="0" w:after="0"/>
        <w:jc w:val="both"/>
        <w:rPr>
          <w:color w:val="000000" w:themeColor="text1"/>
          <w:sz w:val="16"/>
          <w:szCs w:val="16"/>
        </w:rPr>
      </w:pPr>
      <w:r w:rsidRPr="00C33834">
        <w:rPr>
          <w:color w:val="000000" w:themeColor="text1"/>
          <w:sz w:val="16"/>
          <w:szCs w:val="16"/>
        </w:rPr>
        <w:t>Не совсем понятна ситуация с настоятельным требованием ГУАПа о применении на ЦКБ-6 мотора воздушного охлаждения М-49.</w:t>
      </w:r>
    </w:p>
    <w:p w14:paraId="582BF9CB" w14:textId="77777777" w:rsidR="00CE35D9" w:rsidRPr="00C33834" w:rsidRDefault="00CE35D9" w:rsidP="00C33834">
      <w:pPr>
        <w:pStyle w:val="ae"/>
        <w:shd w:val="clear" w:color="auto" w:fill="FFFFFF"/>
        <w:spacing w:before="0" w:after="0"/>
        <w:jc w:val="both"/>
        <w:rPr>
          <w:color w:val="000000" w:themeColor="text1"/>
          <w:sz w:val="16"/>
          <w:szCs w:val="16"/>
        </w:rPr>
      </w:pPr>
      <w:r w:rsidRPr="00C33834">
        <w:rPr>
          <w:color w:val="000000" w:themeColor="text1"/>
          <w:sz w:val="16"/>
          <w:szCs w:val="16"/>
        </w:rPr>
        <w:t>Этот двигатель разрабатывали в отделе бензиновых двигателей Научно-исследовательского института авиадвигателей ГВФ, который был создан для проектирования и постройки маломощных двигателей для гражданских, учебных и спортивных самолетов.</w:t>
      </w:r>
    </w:p>
    <w:p w14:paraId="2A1ACB39" w14:textId="77777777" w:rsidR="00CE35D9" w:rsidRPr="00C33834" w:rsidRDefault="00CE35D9" w:rsidP="00C33834">
      <w:pPr>
        <w:pStyle w:val="ae"/>
        <w:shd w:val="clear" w:color="auto" w:fill="FFFFFF"/>
        <w:spacing w:before="0" w:after="0"/>
        <w:jc w:val="both"/>
        <w:rPr>
          <w:color w:val="000000" w:themeColor="text1"/>
          <w:sz w:val="16"/>
          <w:szCs w:val="16"/>
        </w:rPr>
      </w:pPr>
      <w:r w:rsidRPr="00C33834">
        <w:rPr>
          <w:color w:val="000000" w:themeColor="text1"/>
          <w:sz w:val="16"/>
          <w:szCs w:val="16"/>
        </w:rPr>
        <w:t>НИИ АД ГВФ просуществовал всего восемь лет и в 1940 году был закрыт. Коллектив опытного завода под руководством М. А. Коссова успел разработать целое семейство двигателей МГ.</w:t>
      </w:r>
    </w:p>
    <w:p w14:paraId="60F30174" w14:textId="77777777" w:rsidR="00CE35D9" w:rsidRPr="00C33834" w:rsidRDefault="00CE35D9" w:rsidP="00C33834">
      <w:pPr>
        <w:pStyle w:val="ae"/>
        <w:shd w:val="clear" w:color="auto" w:fill="FFFFFF"/>
        <w:spacing w:before="0" w:after="0"/>
        <w:jc w:val="both"/>
        <w:rPr>
          <w:color w:val="000000" w:themeColor="text1"/>
          <w:sz w:val="16"/>
          <w:szCs w:val="16"/>
        </w:rPr>
      </w:pPr>
      <w:r w:rsidRPr="00C33834">
        <w:rPr>
          <w:color w:val="000000" w:themeColor="text1"/>
          <w:sz w:val="16"/>
          <w:szCs w:val="16"/>
        </w:rPr>
        <w:t>Однако с двигателем М-49 изначально возникли многочисленные проблемы, и он так и не был доведен "до ума". Ильюшин и Поликарпов не зря ссылались в своих записках на полную неопределенность с этим мотором. По мнению авторов, именно неясность с двигателем, под который был увязан весь самолет, и оставила его на лишь на бумаге (12707).</w:t>
      </w:r>
    </w:p>
    <w:p w14:paraId="658B9E5F" w14:textId="77777777" w:rsidR="00CE35D9" w:rsidRPr="00C33834" w:rsidRDefault="00CE35D9" w:rsidP="00C33834">
      <w:pPr>
        <w:pStyle w:val="rtecenter"/>
        <w:shd w:val="clear" w:color="auto" w:fill="FFFFFF"/>
        <w:spacing w:before="0" w:after="0"/>
        <w:jc w:val="both"/>
        <w:rPr>
          <w:color w:val="000000" w:themeColor="text1"/>
          <w:sz w:val="16"/>
          <w:szCs w:val="16"/>
        </w:rPr>
      </w:pPr>
    </w:p>
    <w:p w14:paraId="38479D8B" w14:textId="77777777" w:rsidR="00810511" w:rsidRPr="00C33834" w:rsidRDefault="008105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мая 1933 г. Протокол ПБ № 137 п.36/23: Вопросы Комитета обороны – ОП. а) О полетах на тяжелых самолетах. б) О заводе № 24 ГУАП. в) О договоре с фирмой I.V.S. г) О договоре с фирмой «Сперри». д) О полете в стратосферу. Решено: а) Установить запрещение полетов на тяжелых самолетах без радиостанций с 1-7-1933, во изменение п.12 постановления ЦК от 5-7-1932 (протокол № 107,п.46/3). б) Утвердить постановление СТО «О строительстве и оборудовании завода № 24 ГУАП». в) 1. Подтвердить договор НКТП с германской фирмой I.V.S.; 2. Предложить НКТП и НКВМ послать комиссию в составе 5-7 человек для испытаний подлодки Е-1. 3. Доложить результаты испытаний НКТП и НКВМ для принятия окончательного решения по договору. г) Утвердить договор, заключенный Калепским с фирмой «Сперри» по покупке образцов и техпомощи. д) 1. Обязать ГУАП приобрести 3 комплекта всех необходимых приборов для оборудования стратосферного самолета, а импортные организации реализовать и доставить не позднее 15 июня. Стоимость оборудования утвердить в сумме 15 тысяч рублей в инвалюте сверх утвержденного НКТП импортного контингента. 2. Утвердить заказ фирме «РАТО» с целью изучения, обеспечения и ускорения выпуска мотора М-34 с нагнетателем; отпустить специальный контингент в 85 тысяч рублей сверх утвержденного импортного контингента НКТП для оплаты заказа и для расходов по доводке мотора М-34 (15907).</w:t>
      </w:r>
    </w:p>
    <w:p w14:paraId="2E73C114" w14:textId="77777777" w:rsidR="00810511" w:rsidRPr="00C33834" w:rsidRDefault="00810511" w:rsidP="00C33834">
      <w:pPr>
        <w:spacing w:after="0" w:line="240" w:lineRule="auto"/>
        <w:jc w:val="both"/>
        <w:rPr>
          <w:rFonts w:ascii="Times New Roman" w:hAnsi="Times New Roman"/>
          <w:color w:val="000000" w:themeColor="text1"/>
          <w:sz w:val="16"/>
          <w:szCs w:val="16"/>
        </w:rPr>
      </w:pPr>
    </w:p>
    <w:p w14:paraId="29C2DF1A"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мая 1933</w:t>
      </w:r>
    </w:p>
    <w:p w14:paraId="33F5C32F"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Протокол № 137 заседания Политбюро ЦК ВКП(б) от 10 мая 1933 года</w:t>
      </w:r>
    </w:p>
    <w:p w14:paraId="764DBAA3"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Заседание Политбюро ЦК ВКП(б) от 10</w:t>
      </w:r>
      <w:r w:rsidRPr="00C33834">
        <w:rPr>
          <w:rFonts w:ascii="Times New Roman" w:hAnsi="Times New Roman"/>
          <w:color w:val="000000" w:themeColor="text1"/>
          <w:sz w:val="16"/>
          <w:szCs w:val="16"/>
        </w:rPr>
        <w:noBreakHyphen/>
        <w:t>го мая 1933 года</w:t>
      </w:r>
    </w:p>
    <w:p w14:paraId="1EFDF3E1"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Опросом членов Политбюро от 29.IV.1933 г.</w:t>
      </w:r>
    </w:p>
    <w:p w14:paraId="0F81D18A"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36/23: Вопросы К. О.</w:t>
      </w:r>
    </w:p>
    <w:p w14:paraId="02504399"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О полетах на тяжелых самолетах</w:t>
      </w:r>
    </w:p>
    <w:p w14:paraId="5C3DFB5A"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 заводе № 24 ГУАП</w:t>
      </w:r>
    </w:p>
    <w:p w14:paraId="50E0A36F"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 договоре с фирмой J.V.S.</w:t>
      </w:r>
    </w:p>
    <w:p w14:paraId="54EAADD8"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О договоре с фирмой “Сперри”</w:t>
      </w:r>
    </w:p>
    <w:p w14:paraId="4A1C0D1D"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О полете в стратосферу</w:t>
      </w:r>
    </w:p>
    <w:p w14:paraId="312FDC9D"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 особая папка.</w:t>
      </w:r>
    </w:p>
    <w:p w14:paraId="142F4D07"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Во изменение п. 12 постановления ЦК от 5.VII.1932 г. (пр. № 107, п. 46/3) установить запрещение полетов на тяжелых самолетах без радиостанции с 1.VII.1933 г.</w:t>
      </w:r>
    </w:p>
    <w:p w14:paraId="75AABEC9"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Утвердить следующее постановление СТО (</w:t>
      </w:r>
      <w:hyperlink r:id="rId155" w:history="1">
        <w:r w:rsidRPr="00C33834">
          <w:rPr>
            <w:rStyle w:val="a5"/>
            <w:rFonts w:ascii="Times New Roman" w:hAnsi="Times New Roman"/>
            <w:color w:val="000000" w:themeColor="text1"/>
            <w:sz w:val="16"/>
            <w:szCs w:val="16"/>
          </w:rPr>
          <w:t>см. приложение № 1</w:t>
        </w:r>
        <w:r w:rsidRPr="00C33834">
          <w:rPr>
            <w:rStyle w:val="a5"/>
            <w:rFonts w:ascii="Times New Roman" w:hAnsi="Times New Roman"/>
            <w:color w:val="000000" w:themeColor="text1"/>
            <w:sz w:val="16"/>
            <w:szCs w:val="16"/>
          </w:rPr>
          <w:noBreakHyphen/>
          <w:t>ОП</w:t>
        </w:r>
      </w:hyperlink>
      <w:r w:rsidRPr="00C33834">
        <w:rPr>
          <w:rFonts w:ascii="Times New Roman" w:hAnsi="Times New Roman"/>
          <w:color w:val="000000" w:themeColor="text1"/>
          <w:sz w:val="16"/>
          <w:szCs w:val="16"/>
        </w:rPr>
        <w:t>).</w:t>
      </w:r>
    </w:p>
    <w:p w14:paraId="32661C88"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 Договор НКТП с германской фирмой подтвердить.</w:t>
      </w:r>
    </w:p>
    <w:p w14:paraId="12615C75"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Предложить НКТП и НКВМ послать комиссию в составе 5</w:t>
      </w:r>
      <w:r w:rsidRPr="00C33834">
        <w:rPr>
          <w:rFonts w:ascii="Times New Roman" w:hAnsi="Times New Roman"/>
          <w:color w:val="000000" w:themeColor="text1"/>
          <w:sz w:val="16"/>
          <w:szCs w:val="16"/>
        </w:rPr>
        <w:noBreakHyphen/>
        <w:t>7 человек для испытаний подлодки Е</w:t>
      </w:r>
      <w:r w:rsidRPr="00C33834">
        <w:rPr>
          <w:rFonts w:ascii="Times New Roman" w:hAnsi="Times New Roman"/>
          <w:color w:val="000000" w:themeColor="text1"/>
          <w:sz w:val="16"/>
          <w:szCs w:val="16"/>
        </w:rPr>
        <w:noBreakHyphen/>
        <w:t>1.</w:t>
      </w:r>
    </w:p>
    <w:p w14:paraId="3C24C02F"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Результаты испытаний НКТП и НКВМ доложить КО для принятия окончательного решения по договору.</w:t>
      </w:r>
    </w:p>
    <w:p w14:paraId="68ED9015"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Договор, заключенный т. Халепским с фирмой “Сперри” по покупке образцов и техпомощи, — утвердить.</w:t>
      </w:r>
    </w:p>
    <w:p w14:paraId="7CBD5AA1"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д) 1. Обязать ГУАП приобрести 3 комплекта всех необходимых приборов для оборудования стратосферного самолета, а импортные организации реализовать и доставить не позднее 15 июня.</w:t>
      </w:r>
    </w:p>
    <w:p w14:paraId="074ACD00"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Стоимость оборудования утвердить в сумме 15.000 руб. в инвалюте сверх утвержденного НКТП импортного контингента.</w:t>
      </w:r>
    </w:p>
    <w:p w14:paraId="5BA72BE0"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 целях изучения, обеспечения и ускорения выпуска мотора М</w:t>
      </w:r>
      <w:r w:rsidRPr="00C33834">
        <w:rPr>
          <w:rFonts w:ascii="Times New Roman" w:hAnsi="Times New Roman"/>
          <w:color w:val="000000" w:themeColor="text1"/>
          <w:sz w:val="16"/>
          <w:szCs w:val="16"/>
        </w:rPr>
        <w:noBreakHyphen/>
        <w:t>34 с нагнетателем до 8.000 метров, утвердить заказ фирме “РАТО” 10 шт. нагнетателей к мотору М</w:t>
      </w:r>
      <w:r w:rsidRPr="00C33834">
        <w:rPr>
          <w:rFonts w:ascii="Times New Roman" w:hAnsi="Times New Roman"/>
          <w:color w:val="000000" w:themeColor="text1"/>
          <w:sz w:val="16"/>
          <w:szCs w:val="16"/>
        </w:rPr>
        <w:noBreakHyphen/>
        <w:t>34, для чего отпустить специальный контингент в 85.000 руб. сверх утвержденного импортного контингента НКТП как для оплаты заказа, так и для расходов по доводке мотора М</w:t>
      </w:r>
      <w:r w:rsidRPr="00C33834">
        <w:rPr>
          <w:rFonts w:ascii="Times New Roman" w:hAnsi="Times New Roman"/>
          <w:color w:val="000000" w:themeColor="text1"/>
          <w:sz w:val="16"/>
          <w:szCs w:val="16"/>
        </w:rPr>
        <w:noBreakHyphen/>
        <w:t>34 до высотности 8.000 метров.</w:t>
      </w:r>
    </w:p>
    <w:p w14:paraId="374B1707"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Выписки посланы:</w:t>
      </w:r>
    </w:p>
    <w:p w14:paraId="56BF3B89"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Базилевичу, Ворошилову — все;</w:t>
      </w:r>
    </w:p>
    <w:p w14:paraId="015BE85D"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Розенгольцу, Орджоникидзе — п.п. “б”, “в”, “г”, “д”.</w:t>
      </w:r>
    </w:p>
    <w:p w14:paraId="3DEDF959"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(18140).</w:t>
      </w:r>
    </w:p>
    <w:p w14:paraId="6D83A2B2"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 № 1-ОП</w:t>
      </w:r>
    </w:p>
    <w:p w14:paraId="6E058A63"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 36/23 (о. п.) пр. ПБ № 137.</w:t>
      </w:r>
    </w:p>
    <w:p w14:paraId="659ADE64"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строительстве и оборудовании завода № 24 ГУАП'а.</w:t>
      </w:r>
    </w:p>
    <w:p w14:paraId="015287DC"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Совета Труда и Обороны.</w:t>
      </w:r>
    </w:p>
    <w:p w14:paraId="5632BB1E"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(Утверждено Политбюро ЦК ВКП(б) 29 апреля 1933 г.).</w:t>
      </w:r>
    </w:p>
    <w:p w14:paraId="73415094"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Совет Труда и Обороны постановляет:</w:t>
      </w:r>
    </w:p>
    <w:p w14:paraId="2BBD2B8A"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Строительство и оборудование завода № 24 форсировать, в связи с чем закончить строительство и оборудование к 1.VII.1934 г. — на мощность в 3.000 моторов и к 1.VII.1935 г. — на полную мощность, т. е. на 15.000 моторов.</w:t>
      </w:r>
    </w:p>
    <w:p w14:paraId="133C04A8"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 1933 году дополнительно ассигновать заводу № 24 12.050.000 руб., из них:</w:t>
      </w:r>
    </w:p>
    <w:tbl>
      <w:tblPr>
        <w:tblW w:w="5000" w:type="pct"/>
        <w:shd w:val="clear" w:color="auto" w:fill="F2EEE1"/>
        <w:tblCellMar>
          <w:left w:w="0" w:type="dxa"/>
          <w:right w:w="0" w:type="dxa"/>
        </w:tblCellMar>
        <w:tblLook w:val="04A0" w:firstRow="1" w:lastRow="0" w:firstColumn="1" w:lastColumn="0" w:noHBand="0" w:noVBand="1"/>
      </w:tblPr>
      <w:tblGrid>
        <w:gridCol w:w="9233"/>
        <w:gridCol w:w="2105"/>
      </w:tblGrid>
      <w:tr w:rsidR="00F26F01" w:rsidRPr="00C33834" w14:paraId="1980099A" w14:textId="77777777" w:rsidTr="00DC292A">
        <w:tc>
          <w:tcPr>
            <w:tcW w:w="0" w:type="auto"/>
            <w:shd w:val="clear" w:color="auto" w:fill="auto"/>
            <w:vAlign w:val="center"/>
            <w:hideMark/>
          </w:tcPr>
          <w:p w14:paraId="008B6B5D"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производство строительных работ и монтаж оборудования</w:t>
            </w:r>
          </w:p>
        </w:tc>
        <w:tc>
          <w:tcPr>
            <w:tcW w:w="0" w:type="auto"/>
            <w:shd w:val="clear" w:color="auto" w:fill="auto"/>
            <w:vAlign w:val="center"/>
            <w:hideMark/>
          </w:tcPr>
          <w:p w14:paraId="7FA28973"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7.500.000 руб.</w:t>
            </w:r>
          </w:p>
        </w:tc>
      </w:tr>
      <w:tr w:rsidR="00F26F01" w:rsidRPr="00C33834" w14:paraId="3AF612FC" w14:textId="77777777" w:rsidTr="00DC292A">
        <w:tc>
          <w:tcPr>
            <w:tcW w:w="0" w:type="auto"/>
            <w:shd w:val="clear" w:color="auto" w:fill="auto"/>
            <w:vAlign w:val="center"/>
            <w:hideMark/>
          </w:tcPr>
          <w:p w14:paraId="5FFD0B85"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импортное оборудование</w:t>
            </w:r>
          </w:p>
        </w:tc>
        <w:tc>
          <w:tcPr>
            <w:tcW w:w="0" w:type="auto"/>
            <w:shd w:val="clear" w:color="auto" w:fill="auto"/>
            <w:vAlign w:val="center"/>
            <w:hideMark/>
          </w:tcPr>
          <w:p w14:paraId="09AFDE76"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3.250.000 руб.</w:t>
            </w:r>
          </w:p>
        </w:tc>
      </w:tr>
      <w:tr w:rsidR="00F26F01" w:rsidRPr="00C33834" w14:paraId="085CA21E" w14:textId="77777777" w:rsidTr="00DC292A">
        <w:tc>
          <w:tcPr>
            <w:tcW w:w="0" w:type="auto"/>
            <w:shd w:val="clear" w:color="auto" w:fill="auto"/>
            <w:vAlign w:val="center"/>
            <w:hideMark/>
          </w:tcPr>
          <w:p w14:paraId="0D431748"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советское оборудование</w:t>
            </w:r>
          </w:p>
        </w:tc>
        <w:tc>
          <w:tcPr>
            <w:tcW w:w="0" w:type="auto"/>
            <w:shd w:val="clear" w:color="auto" w:fill="auto"/>
            <w:vAlign w:val="center"/>
            <w:hideMark/>
          </w:tcPr>
          <w:p w14:paraId="61E0CE71"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1.300.000 руб.</w:t>
            </w:r>
          </w:p>
        </w:tc>
      </w:tr>
    </w:tbl>
    <w:p w14:paraId="64C3FCF0"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общей суммы дополнительно ассигнуемых заводу № 24 в 8.800 тыс. руб. (без импорта) 4.400 тыс. руб. отпустить по общесоюзному бюджету сверх бюджета НКТП, а остальные 4.400 тыс. руб. — по бюджету НКТП.</w:t>
      </w:r>
    </w:p>
    <w:p w14:paraId="4DCB6B30"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Объем импортного оборудования для завода установить в 4.850.000 руб., из них — 3.250.000 руб. ассигновать в 1933 г., с расчетом получения и монтажа оборудования до 1.VII.1934 г., и на 1.600.000 руб. — в 1934 г., с расчетом получения и монтажа оборудования к 1.VII.1935 г. Из общей суммы импортного контингента в 3.250.000 руб. на 1933 г. — 1.625.000 руб. отпустить дополнительно сверх контингента НКТП и 1.625.000 руб. за счет контингента НКТП.</w:t>
      </w:r>
    </w:p>
    <w:p w14:paraId="0FDBEEC7"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Обязать НКВнешторг немедленно приступить к размещению заказов на оборудование первой очереди на 3.250.000 руб., а Глававиапрому выделить специальную комиссию для реализации этого оборудования.</w:t>
      </w:r>
    </w:p>
    <w:p w14:paraId="0363EFB6"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Обязать НКВнешторг в начале 1934 г. приступить к размещению оборудования второй очереди на 1.600.000 руб.</w:t>
      </w:r>
    </w:p>
    <w:p w14:paraId="2BEFBB10"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Председатель Совета Труда и Обороны — В. Молотов (Скрябин)</w:t>
      </w:r>
    </w:p>
    <w:p w14:paraId="26E81328"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(18141).</w:t>
      </w:r>
    </w:p>
    <w:p w14:paraId="30339DCE" w14:textId="77777777" w:rsidR="00153F88" w:rsidRPr="00C33834" w:rsidRDefault="00153F88" w:rsidP="00C33834">
      <w:pPr>
        <w:spacing w:after="0" w:line="240" w:lineRule="auto"/>
        <w:jc w:val="both"/>
        <w:rPr>
          <w:rFonts w:ascii="Times New Roman" w:hAnsi="Times New Roman"/>
          <w:color w:val="000000" w:themeColor="text1"/>
          <w:sz w:val="16"/>
          <w:szCs w:val="16"/>
        </w:rPr>
      </w:pPr>
    </w:p>
    <w:p w14:paraId="4739AB1F"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мая 1933 г. участвовавший в приемке самолетов в Италии механик Эренпрейс совместно с известным летчиком А.С.Демченко подал заместителю начальника Главного управления ГВФ Анвельту письмо с предложением о перегонке одной машины Савойя С.55 в СССР по воздуху, совершив перелет Сесто-Календе - Хабаровск. Наряду с пропагандистским эффектом это обещало сэкономить время доставки «Савойи» на Дальний Восток. Представители фирмы брались обеспечить всем необходимым участок Сесто-Календе - Одесса в счет средств, заложенных в смету на упаковку и перевозку. Предложение было принято. Демченко прибыл в Италию и начал готовиться к перелету. Для полета выделили последний самолет из партии. Экипаж был смешанный: двое русских и два итальянца (5486,3).</w:t>
      </w:r>
    </w:p>
    <w:p w14:paraId="0A66A273"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66AE5DA9"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 мая 1933 состоялось заседание ПБ и был оформлен протокол № 137</w:t>
      </w:r>
    </w:p>
    <w:p w14:paraId="4A4C188D"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29 апреля 1933 опросом членов ПБ</w:t>
      </w:r>
    </w:p>
    <w:p w14:paraId="6456B23C"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36/23.-Вопросы К.О.</w:t>
      </w:r>
    </w:p>
    <w:p w14:paraId="6D009FE8"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О полетах на тяжелых самолетах</w:t>
      </w:r>
    </w:p>
    <w:p w14:paraId="4C0367A3"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О заводе № 24 ГУАП</w:t>
      </w:r>
    </w:p>
    <w:p w14:paraId="39ABC8D5"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О договоре с фирмой JVS</w:t>
      </w:r>
    </w:p>
    <w:p w14:paraId="0E446D72"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 О договоре с фирмой Сперри</w:t>
      </w:r>
    </w:p>
    <w:p w14:paraId="72276EA0"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 О полете в стратосферу</w:t>
      </w:r>
    </w:p>
    <w:p w14:paraId="6DCBE383"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Во исполнение п. 12 постановления ЦК от 5.УП.1932 г.(ПБ, Пр № 107, п. 10/3) установить запрещение полетов на тяжелых самолетах без радиостанции с 1.УП.1933 г.</w:t>
      </w:r>
    </w:p>
    <w:p w14:paraId="41E40E4D"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Утвердить следующее постановление СТО (см. приложение)</w:t>
      </w:r>
    </w:p>
    <w:p w14:paraId="65058799"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приложение</w:t>
      </w:r>
    </w:p>
    <w:p w14:paraId="202FDA71"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 п. 36-23-опр. (о.п.) пр. ПБ № 137.</w:t>
      </w:r>
    </w:p>
    <w:p w14:paraId="66DBDD11"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 СТРОИТЕЛЬСТВЕ И ОБОРУДОВАЛИ ЗАВОДА № 24 ГУАП"а.</w:t>
      </w:r>
    </w:p>
    <w:p w14:paraId="1BBCC1F9"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Постановление Совета Труда и Обороны.</w:t>
      </w:r>
    </w:p>
    <w:p w14:paraId="336A3D68"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(Утверждено Политбюро ЦК ВКП(б) 29 апреля 1933 г.).</w:t>
      </w:r>
    </w:p>
    <w:p w14:paraId="0DC2915B"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Совет Труда и Оборони постановляет:</w:t>
      </w:r>
    </w:p>
    <w:p w14:paraId="7C4F09FA"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Строительство и оборудование завода 24 форсировать, в связи с чем закончить строительство и оборудование к 1.УП.34 г.- на мощность в 8000 моторов и к 1.УП.35 г.- на полную мощность, т.-е. на 15.000 моторов.</w:t>
      </w:r>
    </w:p>
    <w:p w14:paraId="7F3EA551"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xml:space="preserve">2. В 1933 году дополнительно ассигновать заводу № 24 </w:t>
      </w:r>
      <w:r w:rsidRPr="00C33834">
        <w:rPr>
          <w:rFonts w:ascii="Times New Roman" w:hAnsi="Times New Roman"/>
          <w:color w:val="0070C0"/>
          <w:sz w:val="16"/>
          <w:szCs w:val="16"/>
        </w:rPr>
        <w:fldChar w:fldCharType="begin"/>
      </w:r>
      <w:r w:rsidRPr="00C33834">
        <w:rPr>
          <w:rFonts w:ascii="Times New Roman" w:hAnsi="Times New Roman"/>
          <w:color w:val="0070C0"/>
          <w:sz w:val="16"/>
          <w:szCs w:val="16"/>
        </w:rPr>
        <w:instrText xml:space="preserve"> TOC \o "1-5" \h \z </w:instrText>
      </w:r>
      <w:r w:rsidRPr="00C33834">
        <w:rPr>
          <w:rFonts w:ascii="Times New Roman" w:hAnsi="Times New Roman"/>
          <w:color w:val="0070C0"/>
          <w:sz w:val="16"/>
          <w:szCs w:val="16"/>
        </w:rPr>
        <w:fldChar w:fldCharType="separate"/>
      </w:r>
      <w:r w:rsidRPr="00C33834">
        <w:rPr>
          <w:rFonts w:ascii="Times New Roman" w:hAnsi="Times New Roman"/>
          <w:color w:val="0070C0"/>
          <w:sz w:val="16"/>
          <w:szCs w:val="16"/>
        </w:rPr>
        <w:t>12.050.000 руб., из них:</w:t>
      </w:r>
    </w:p>
    <w:p w14:paraId="21590B0A"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xml:space="preserve">на производство строительных работ и монтаж оборудования </w:t>
      </w:r>
      <w:r w:rsidRPr="00C33834">
        <w:rPr>
          <w:rFonts w:ascii="Times New Roman" w:hAnsi="Times New Roman"/>
          <w:color w:val="0070C0"/>
          <w:sz w:val="16"/>
          <w:szCs w:val="16"/>
        </w:rPr>
        <w:tab/>
        <w:t xml:space="preserve"> 7.500.000</w:t>
      </w:r>
      <w:r w:rsidRPr="00C33834">
        <w:rPr>
          <w:rFonts w:ascii="Times New Roman" w:hAnsi="Times New Roman"/>
          <w:color w:val="0070C0"/>
          <w:sz w:val="16"/>
          <w:szCs w:val="16"/>
        </w:rPr>
        <w:tab/>
        <w:t>р.</w:t>
      </w:r>
    </w:p>
    <w:p w14:paraId="700946C9"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xml:space="preserve">на импортное оборудование </w:t>
      </w:r>
      <w:r w:rsidRPr="00C33834">
        <w:rPr>
          <w:rFonts w:ascii="Times New Roman" w:hAnsi="Times New Roman"/>
          <w:color w:val="0070C0"/>
          <w:sz w:val="16"/>
          <w:szCs w:val="16"/>
        </w:rPr>
        <w:tab/>
        <w:t xml:space="preserve"> 3.250.000</w:t>
      </w:r>
      <w:r w:rsidRPr="00C33834">
        <w:rPr>
          <w:rFonts w:ascii="Times New Roman" w:hAnsi="Times New Roman"/>
          <w:color w:val="0070C0"/>
          <w:sz w:val="16"/>
          <w:szCs w:val="16"/>
        </w:rPr>
        <w:tab/>
        <w:t>р.</w:t>
      </w:r>
    </w:p>
    <w:p w14:paraId="2EED8A27"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xml:space="preserve">на советское оборудование </w:t>
      </w:r>
      <w:r w:rsidRPr="00C33834">
        <w:rPr>
          <w:rFonts w:ascii="Times New Roman" w:hAnsi="Times New Roman"/>
          <w:color w:val="0070C0"/>
          <w:sz w:val="16"/>
          <w:szCs w:val="16"/>
        </w:rPr>
        <w:tab/>
        <w:t xml:space="preserve"> 1.300.000</w:t>
      </w:r>
      <w:r w:rsidRPr="00C33834">
        <w:rPr>
          <w:rFonts w:ascii="Times New Roman" w:hAnsi="Times New Roman"/>
          <w:color w:val="0070C0"/>
          <w:sz w:val="16"/>
          <w:szCs w:val="16"/>
        </w:rPr>
        <w:tab/>
        <w:t>р.</w:t>
      </w:r>
      <w:r w:rsidRPr="00C33834">
        <w:rPr>
          <w:rFonts w:ascii="Times New Roman" w:hAnsi="Times New Roman"/>
          <w:color w:val="0070C0"/>
          <w:sz w:val="16"/>
          <w:szCs w:val="16"/>
        </w:rPr>
        <w:fldChar w:fldCharType="end"/>
      </w:r>
    </w:p>
    <w:p w14:paraId="69D9BAD4"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Из общей суммы дополнительно ассигнуемых заводу 24 в 8.800 т.р.(без импорта) 4.400 т.р. отпустить по общесоюзному бюд</w:t>
      </w:r>
      <w:r w:rsidRPr="00C33834">
        <w:rPr>
          <w:rFonts w:ascii="Times New Roman" w:hAnsi="Times New Roman"/>
          <w:color w:val="0070C0"/>
          <w:sz w:val="16"/>
          <w:szCs w:val="16"/>
        </w:rPr>
        <w:softHyphen/>
        <w:t>жету сверх бюджета НКТП, а остальные 4.400 т.п. - по бюджету НКТП.</w:t>
      </w:r>
    </w:p>
    <w:p w14:paraId="60E14DDA"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Об”ем импортного оборудования для завода установить в 4.850.000 р., из них - 3.250.000 р. ассигновать в 1933 г., с рас</w:t>
      </w:r>
      <w:r w:rsidRPr="00C33834">
        <w:rPr>
          <w:rFonts w:ascii="Times New Roman" w:hAnsi="Times New Roman"/>
          <w:color w:val="0070C0"/>
          <w:sz w:val="16"/>
          <w:szCs w:val="16"/>
        </w:rPr>
        <w:softHyphen/>
        <w:t>четом получения и монтажа оборудования до 1.УП.34 г., и на 1.000.000 р. - в 1934 г.,с расчетом получения и монтажа оборудо</w:t>
      </w:r>
      <w:r w:rsidRPr="00C33834">
        <w:rPr>
          <w:rFonts w:ascii="Times New Roman" w:hAnsi="Times New Roman"/>
          <w:color w:val="0070C0"/>
          <w:sz w:val="16"/>
          <w:szCs w:val="16"/>
        </w:rPr>
        <w:softHyphen/>
        <w:t>вания к 1.УП.35 г. Из общей суммы импортного контингента в 3.250.000 п. на 1933 х.- 1.625.000 р. отпустить дополнительно сверх контингента НКТП и 1.625.000 р. за счет контингента НКТП.</w:t>
      </w:r>
    </w:p>
    <w:p w14:paraId="3E74812F"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Обязать НКВнешторг немедленно приступить к размещению заказов на оборудование первой очереди на 3.250.000 р., а Глав</w:t>
      </w:r>
      <w:r w:rsidRPr="00C33834">
        <w:rPr>
          <w:rFonts w:ascii="Times New Roman" w:hAnsi="Times New Roman"/>
          <w:color w:val="0070C0"/>
          <w:sz w:val="16"/>
          <w:szCs w:val="16"/>
        </w:rPr>
        <w:softHyphen/>
        <w:t>авиапрому выделить специальную комиссию для реализации этого обо</w:t>
      </w:r>
      <w:r w:rsidRPr="00C33834">
        <w:rPr>
          <w:rFonts w:ascii="Times New Roman" w:hAnsi="Times New Roman"/>
          <w:color w:val="0070C0"/>
          <w:sz w:val="16"/>
          <w:szCs w:val="16"/>
        </w:rPr>
        <w:softHyphen/>
        <w:t>рудования.</w:t>
      </w:r>
    </w:p>
    <w:p w14:paraId="168CAB83"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Обязать НКВнегторг в начале 1934 г. приступить к размеще</w:t>
      </w:r>
      <w:r w:rsidRPr="00C33834">
        <w:rPr>
          <w:rFonts w:ascii="Times New Roman" w:hAnsi="Times New Roman"/>
          <w:color w:val="0070C0"/>
          <w:sz w:val="16"/>
          <w:szCs w:val="16"/>
        </w:rPr>
        <w:softHyphen/>
        <w:t>нию оборудования второй очереди на 1.600.000 р.</w:t>
      </w:r>
    </w:p>
    <w:p w14:paraId="2D9C8659"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ПРЕДСЕДАТЕЛЬ СОВЕТА ТРУДА и ОБОРОНЫ -В.МОЛОТОВ (СКРЯБИН).</w:t>
      </w:r>
    </w:p>
    <w:p w14:paraId="68DAE24A"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Договор НКТП с германской фирмоq JVS подтвердить.</w:t>
      </w:r>
    </w:p>
    <w:p w14:paraId="3028288B"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Предложить НКТП и НКВМ послать коммисию в составе 5-7 человек для испытаний подлодки Е-1.</w:t>
      </w:r>
    </w:p>
    <w:p w14:paraId="0FA83969"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Результаты испытаний НКТП и НКВМ доложить К.О. для принятия окончательного решения по договору.</w:t>
      </w:r>
    </w:p>
    <w:p w14:paraId="43AF2D9D"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 Договор, заключенный т. Халепским с фирмой "Сперри" по покупке образцов и техпомощи - утвердить.</w:t>
      </w:r>
    </w:p>
    <w:p w14:paraId="3275A9EA"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 1. Обязать ГУАП приобрести 3 комплекта всех необходимых приборов для оборудования стратосферного самолета, а импортные организации реализовать и доставить не позднее 15 июля.</w:t>
      </w:r>
    </w:p>
    <w:p w14:paraId="67045397"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Стоимость оборудования утвердить в сумме 15.000 руб. в инвалюте сверх утвержденного НКТП импортного контингента.</w:t>
      </w:r>
    </w:p>
    <w:p w14:paraId="2C07C30A"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В целях изучения, обеспечения и ускорения выпуска мотора М-34 с нагнетателем до 8.000 мтр. ут</w:t>
      </w:r>
      <w:r w:rsidRPr="00C33834">
        <w:rPr>
          <w:rFonts w:ascii="Times New Roman" w:hAnsi="Times New Roman"/>
          <w:color w:val="0070C0"/>
          <w:sz w:val="16"/>
          <w:szCs w:val="16"/>
        </w:rPr>
        <w:softHyphen/>
        <w:t>вердить заказ фирме "РАТО" на 10 шт. нагнетателей к мо</w:t>
      </w:r>
      <w:r w:rsidRPr="00C33834">
        <w:rPr>
          <w:rFonts w:ascii="Times New Roman" w:hAnsi="Times New Roman"/>
          <w:color w:val="0070C0"/>
          <w:sz w:val="16"/>
          <w:szCs w:val="16"/>
        </w:rPr>
        <w:softHyphen/>
        <w:t>тору М-34, для чего отпустить специальный контингент в 85.000 руб. сверх утвержденного импортного контин</w:t>
      </w:r>
      <w:r w:rsidRPr="00C33834">
        <w:rPr>
          <w:rFonts w:ascii="Times New Roman" w:hAnsi="Times New Roman"/>
          <w:color w:val="0070C0"/>
          <w:sz w:val="16"/>
          <w:szCs w:val="16"/>
        </w:rPr>
        <w:softHyphen/>
        <w:t>гента НКТП как для оплаты заказа, так и для расходов по доводке мотора М-34 до высотности 8.000 мтр.</w:t>
      </w:r>
    </w:p>
    <w:p w14:paraId="40D221C9"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Базилевичу, Ворошилову - все; Розенгольцу, Орджоникидзе – б, в, г, д (22987).</w:t>
      </w:r>
    </w:p>
    <w:p w14:paraId="5866FCFA" w14:textId="77777777" w:rsidR="00C7460D" w:rsidRPr="00C33834" w:rsidRDefault="00C7460D" w:rsidP="00C33834">
      <w:pPr>
        <w:spacing w:after="0" w:line="240" w:lineRule="auto"/>
        <w:jc w:val="both"/>
        <w:rPr>
          <w:rFonts w:ascii="Times New Roman" w:hAnsi="Times New Roman"/>
          <w:color w:val="0070C0"/>
          <w:sz w:val="16"/>
          <w:szCs w:val="16"/>
        </w:rPr>
      </w:pPr>
    </w:p>
    <w:p w14:paraId="7BC2751E" w14:textId="77777777" w:rsidR="00C7460D" w:rsidRPr="00C33834" w:rsidRDefault="00C7460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 мая 1933 года в Пушкино была построена силами бойцов 3-й авиадесантной бригады по проекту ОКБ Гроховского первая в СССР металлическая парашютная вышка высотой 25 м (21402).</w:t>
      </w:r>
    </w:p>
    <w:p w14:paraId="6E13F994" w14:textId="77777777" w:rsidR="00C7460D" w:rsidRPr="00C33834" w:rsidRDefault="00C7460D" w:rsidP="00C33834">
      <w:pPr>
        <w:spacing w:after="0" w:line="240" w:lineRule="auto"/>
        <w:jc w:val="both"/>
        <w:rPr>
          <w:rFonts w:ascii="Times New Roman" w:hAnsi="Times New Roman"/>
          <w:color w:val="0070C0"/>
          <w:sz w:val="16"/>
          <w:szCs w:val="16"/>
        </w:rPr>
      </w:pPr>
    </w:p>
    <w:p w14:paraId="1E72D59E" w14:textId="77777777" w:rsidR="00BB0DB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679DEF2" w14:textId="77777777" w:rsidR="00BB0DBE" w:rsidRPr="00C33834" w:rsidRDefault="00BB0DB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C6ACDDD"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10 мая 1933 года закончили сборку первого опытного «Комсомольца» на СТЗ. Внешне он ничем не напоминал трактор. Коробчатая, как у танкетки, рама, впереди кабина, сзади кузов, половину которого занимал дизель М-7, сделанный по типу «Ганомага». Помимо чисто конструкторских недоработок — неравномерное распределение веса на гусеницы, ненадежная система охлаждения двигателя, увеличенный по сравнению с заданием вес, — «Комсомолец» обладал недостатком, делавшим его непригодным для сельского хозяйства: кузов закрывал от тракториста прицепные орудия. </w:t>
      </w:r>
    </w:p>
    <w:p w14:paraId="2868A354"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Отставание проектирования от намеченного графика вызвало беспокойство в Главном управлении тракторной и автомобильной промышленности (ГУТАП) — преемнике ВАТО (11418).</w:t>
      </w:r>
    </w:p>
    <w:p w14:paraId="514E93B9"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4E86019D"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мая 1933 г. официально вступил в строй “Велозавод”. В 12.1938 г. Московский велозавод - в ведении НКМ. В 03.1941 г. завод переведен на производство мотоциклов для КА и переименован в Московский мотоциклетный завод.</w:t>
      </w:r>
    </w:p>
    <w:p w14:paraId="05F8C2F9"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01.1932 г. выпущено 180 первых отечественных велосипедов. Далее выпускались мужские, дамские, гоночные, спортивно-шоссейные и легкие велосипеды. К концу 1939 г. выпущен 1 млн. велосипедов.</w:t>
      </w:r>
    </w:p>
    <w:p w14:paraId="335C8341"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10.1941 г. основная часть ММЗ эвакуирована в  г. Ирбит на площадку пивоваренного завода и послужила основой для Ирбитского мотоциклетного завода. Оставшаяся в Москве часть завода продолжила работу. В годы войны выпускались взрыватели, механизм автомата ППШ, направляющие для ПУ БМ-13 «Катюша». В 1942 г. организован монтаж колясок для получаемых из США мотоциклов "</w:t>
      </w:r>
      <w:r w:rsidRPr="00C33834">
        <w:rPr>
          <w:rFonts w:ascii="Times New Roman" w:hAnsi="Times New Roman"/>
          <w:color w:val="000000" w:themeColor="text1"/>
          <w:sz w:val="16"/>
          <w:szCs w:val="16"/>
          <w:lang w:val="en-US"/>
        </w:rPr>
        <w:t>HarleyDawidson</w:t>
      </w:r>
      <w:r w:rsidRPr="00C33834">
        <w:rPr>
          <w:rFonts w:ascii="Times New Roman" w:hAnsi="Times New Roman"/>
          <w:color w:val="000000" w:themeColor="text1"/>
          <w:sz w:val="16"/>
          <w:szCs w:val="16"/>
        </w:rPr>
        <w:t>". 11.03.1944 г. вышло распоряжение ГКО № 5364 о мерах по обеспечению производства малолитражных бензиновых двигателей на заводе. 29.03.1946 г. ММЗ было поручено освоение производства мотоцикла «Москвич-М-1А».</w:t>
      </w:r>
    </w:p>
    <w:p w14:paraId="7F24224F"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 СМ СССР от 6.05.1951 г. ММЗ был перепрофилирован на производство бортовой радиоаппаратуры для ЗУР В-300 и переименован в ГС завод № 663 МПСС (ГС Завод № 663 МПСС, Московский велозавод ВСНХ, НКМ, Московский мотоциклетный завод (ММЗ), Московский приборный завод («Мосприбор») МРП, ГП, ФГУП «Московский приборный завод» /г. Москва Симоновская слобода; ул. Велозаводская/ /129348  г. Москва Ярославское ш., 19 тел. 188-64-38/). Мотоциклетное производство передано в Минск. Выпускал бортовую радиоаппаратуру для ракет и противоракет систем С-25, С-75, С-125, А- 35 и А-135.</w:t>
      </w:r>
    </w:p>
    <w:p w14:paraId="28453EC4"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1951 г. на завод переведен основной коллектив ПКБ-886 для освоения производства радиоаппаратуры, и образовано ПКБ завода.</w:t>
      </w:r>
    </w:p>
    <w:p w14:paraId="0385A7AB"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1965 г. завод № 663 переименован в Московский приборный завод («Мосприбор»), В 1972 г. «Мосприбор» вошел в состав ЦКБ «Алмаз». 26.03.1973 г. завод «Мосприбор», ОКБ-41 и СКБ-39 выведены из состава ЦКБ «Алмаз» и объединены в ЦНИИ «Комета», разместившемся на базе завода «Мосприбор». В 2004 г. ФГУП «Московский приборный завод» входил в состав Концерна радиостроения «Вега».</w:t>
      </w:r>
      <w:r w:rsidRPr="00C33834">
        <w:rPr>
          <w:rFonts w:ascii="Times New Roman" w:hAnsi="Times New Roman"/>
          <w:color w:val="000000" w:themeColor="text1"/>
          <w:sz w:val="16"/>
          <w:szCs w:val="16"/>
          <w:vertAlign w:val="superscript"/>
        </w:rPr>
        <w:t>102</w:t>
      </w:r>
    </w:p>
    <w:p w14:paraId="397E0305"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(1951 г.)- И.З. Соколов (на протяжении 27 лет), (2000 г.)- В.А. Ковалев.</w:t>
      </w:r>
    </w:p>
    <w:p w14:paraId="32469DA0"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велосипеды (1932-41), мотоциклы: М-72 (1941-), «Москвич-М-1А» (1946-);</w:t>
      </w:r>
    </w:p>
    <w:p w14:paraId="5A19CF8D"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радиоаппаратура для ЗУР В-ЗОО;</w:t>
      </w:r>
      <w:r w:rsidRPr="00C33834">
        <w:rPr>
          <w:rFonts w:ascii="Times New Roman" w:hAnsi="Times New Roman"/>
          <w:color w:val="000000" w:themeColor="text1"/>
          <w:sz w:val="16"/>
          <w:szCs w:val="16"/>
          <w:vertAlign w:val="superscript"/>
        </w:rPr>
        <w:t>104</w:t>
      </w:r>
      <w:r w:rsidRPr="00C33834">
        <w:rPr>
          <w:rFonts w:ascii="Times New Roman" w:hAnsi="Times New Roman"/>
          <w:color w:val="000000" w:themeColor="text1"/>
          <w:sz w:val="16"/>
          <w:szCs w:val="16"/>
        </w:rPr>
        <w:t xml:space="preserve"> космический РЖ обзора морской поверхности «Чайка» (1970-е); радиоприемники: «Москвич-В», «Звезда-54», «Маяк»; телевизор «Электроника 32ВТЦ-201».</w:t>
      </w:r>
    </w:p>
    <w:p w14:paraId="2B3C388E"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Проектно-конструкторское бюро (ПКБ) завода № 663 МПСС</w:t>
      </w:r>
    </w:p>
    <w:p w14:paraId="40525B61"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1951 г. на завод переведен основной коллектив ПКБ-886 для освоения производства радиоаппаратуры, и образовано ПКБ завода. В 1959 г. начата разработка контрольно-измерительной аппаратуры для контроля бортовых систем КА «ИС» и «УС». 9.12.1972 г. ПКБ было переведено в состав ЦКБ «Алмаз» и переименовано в СКБ-39.</w:t>
      </w:r>
    </w:p>
    <w:p w14:paraId="32887021"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Руководитель (1951 г.-)- И.З. Соколов, (1960 г.-)-  Г.И. Сосна.</w:t>
      </w:r>
      <w:r w:rsidRPr="00C33834">
        <w:rPr>
          <w:rFonts w:ascii="Times New Roman" w:hAnsi="Times New Roman"/>
          <w:color w:val="000000" w:themeColor="text1"/>
          <w:sz w:val="16"/>
          <w:szCs w:val="16"/>
          <w:vertAlign w:val="superscript"/>
        </w:rPr>
        <w:t>104</w:t>
      </w:r>
    </w:p>
    <w:p w14:paraId="37427E4D"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ЦНИИ «Комета» МРП, НПО, ЦНПО «Комета», ФГУП «Ордена Трудового Красного Знамени ЦНИИ «Комета» /115280  г. Москва ул. Велозаводская, 5 тел. 675-07-01/</w:t>
      </w:r>
    </w:p>
    <w:p w14:paraId="0CF4216C"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ЦНИИ «Комета» в ведении МРП образован 26.03.1973 г. на базе ОКБ-41, СКБ-39 ЦКБ «Алмаз» и завода «Мосприбор» с ПКБ, ставшего основной производственной базой ЦНИИ. СБ-410 ОКБ-41 преобразовано в СКБ- 32, СБ-411 - в СКБ-42, СБ-412 - в СКБ-43, отдел № 40 - в СКБ-40. Затем коллектив ОКБ-41 перебазировался из ЦКБ «Алмаз» на территорию завода «Мосприбор».</w:t>
      </w:r>
    </w:p>
    <w:p w14:paraId="0CB2F0B9"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Продолжена разработка системы противоспутниковой обороны ИС-М, начатая 13.02.1973 г. По ПСМ от 14.11.1978 г. ИС-М принята в эксплуатацию, 1.06.1979 г. поставлена на боевое дежурство. 14.11.1978 г. начата разработка системы ИС-МУ с КА 14Ф10 перехвата маневрирующих целей, пост, правительства в 04.1991 г. она принята в эксплуатацию. Начата разработка системы ИС-МД перехвата геостационарных спутников.</w:t>
      </w:r>
    </w:p>
    <w:p w14:paraId="47C99D6F"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1975 г. было принято решение о разработке системы УС-КМО, в 1978 г. в институте начаты работы по системе с геостационарным спутником. По указу Президента от 25.12.1996 г. система пнв.</w:t>
      </w:r>
    </w:p>
    <w:p w14:paraId="1CA975F5"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1979 г. на базе ЦНИИ «Комета» образовано НПО «Комета». В 1985 г. НПО преобразовано в Центральное НПО (ЦНПО) «Комета», в которое также вошли филиалы в Ереване, Рязани, Ленинграде (был в 2001 г.), Киеве, заводы в Алма-Ате и Вышнем Волочке, отдельные подразделения в Московской обл. и Тбилиси.</w:t>
      </w:r>
    </w:p>
    <w:p w14:paraId="2C1EE82F"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Создана комплексная самолетная лаборатория «Шельф-5» на базе Ан-12. Принимал участие в программе создания ОК «Буран».</w:t>
      </w:r>
    </w:p>
    <w:p w14:paraId="38BE250C"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1978 г. ЦНИИ определен головным по созданию системы морской космической разведки и целеуказания (МКРЦ), которую планировалось создать в два этапа: «Пирс-1»- обнаружение надводных кораблей, «Пирс-2»- обнаружение погруженных ПЛ. Создана система МКРЦ «Легенда».</w:t>
      </w:r>
      <w:r w:rsidRPr="00C33834">
        <w:rPr>
          <w:rFonts w:ascii="Times New Roman" w:hAnsi="Times New Roman"/>
          <w:color w:val="000000" w:themeColor="text1"/>
          <w:sz w:val="16"/>
          <w:szCs w:val="16"/>
          <w:vertAlign w:val="superscript"/>
        </w:rPr>
        <w:t>63</w:t>
      </w:r>
      <w:r w:rsidRPr="00C33834">
        <w:rPr>
          <w:rFonts w:ascii="Times New Roman" w:hAnsi="Times New Roman"/>
          <w:color w:val="000000" w:themeColor="text1"/>
          <w:sz w:val="16"/>
          <w:szCs w:val="16"/>
        </w:rPr>
        <w:t xml:space="preserve"> Разработан Главный информационный центр системы освещения обстановки ВМФ (в 2003-04 г. принят в эксплуатацию).</w:t>
      </w:r>
    </w:p>
    <w:p w14:paraId="71A00C4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составе ЦНИИ: филиал - научно-технический внедренческий центр (НТВЦ).</w:t>
      </w:r>
    </w:p>
    <w:p w14:paraId="24032415"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278C06E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(2005 г.): единая космическая система раннего обнаружения стартов БР (ЕКС); системы всепогодного космического мониторинга Мирового океана в интересах обнаружения надводных объектов; системы наблюдения и инспекции космических объектов; системы обнаружения техногенных катастроф; информационно- управляющие центры спецназначения (является головным по данным направлениям).</w:t>
      </w:r>
    </w:p>
    <w:p w14:paraId="41F0C9FE"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(1973 г.-)- академик (1984 г.) А.И. Савин. Гендиректор (-1999 г.)- А.И. Савин, (1999-2004 г.-)- В.П. Мисник.</w:t>
      </w:r>
    </w:p>
    <w:p w14:paraId="4D81F076"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1-й зам. гендиректора (2003 г.)- Б.С. Лобанов. Зам. гендиректора- Б.С. Лобанов.</w:t>
      </w:r>
    </w:p>
    <w:p w14:paraId="0CF2BAE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Ген. конструктор (03.1973-99 г.)- А.И. Савин, (1999-2005 г.-)- </w:t>
      </w:r>
      <w:r w:rsidRPr="00C33834">
        <w:rPr>
          <w:rFonts w:ascii="Times New Roman" w:hAnsi="Times New Roman"/>
          <w:color w:val="000000" w:themeColor="text1"/>
          <w:sz w:val="16"/>
          <w:szCs w:val="16"/>
          <w:lang w:val="en-US"/>
        </w:rPr>
        <w:t>B</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II</w:t>
      </w:r>
      <w:r w:rsidRPr="00C33834">
        <w:rPr>
          <w:rFonts w:ascii="Times New Roman" w:hAnsi="Times New Roman"/>
          <w:color w:val="000000" w:themeColor="text1"/>
          <w:sz w:val="16"/>
          <w:szCs w:val="16"/>
        </w:rPr>
        <w:t>. Мисник {26.05.1948-}.</w:t>
      </w:r>
    </w:p>
    <w:p w14:paraId="56F825AD"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ген. конструктора (2004 г.)-  Г.В. Давыдов.</w:t>
      </w:r>
    </w:p>
    <w:p w14:paraId="08CA32D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Научный руководитель (1999-2004 г.)- А.И. Савин.</w:t>
      </w:r>
    </w:p>
    <w:p w14:paraId="500C5504"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(1992-99 г.)- В.П. Мисник.</w:t>
      </w:r>
    </w:p>
    <w:p w14:paraId="0426532C"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Гл. конструкторы: (1973-82 г.-&gt; В. Г. Хлибко (УС-К, УС-КМО), (1.12.1973-2004 г.-)- К.А. Власко-Власов (ИС- М, УС-КМО), (1973-80 Г.)- В.В. Крохин, (1982 г.-)- Л.С. Легезо (ИС-МУ), (1999 г.-)- </w:t>
      </w:r>
      <w:r w:rsidRPr="00C33834">
        <w:rPr>
          <w:rFonts w:ascii="Times New Roman" w:hAnsi="Times New Roman"/>
          <w:color w:val="000000" w:themeColor="text1"/>
          <w:sz w:val="16"/>
          <w:szCs w:val="16"/>
          <w:lang w:val="en-US"/>
        </w:rPr>
        <w:t>A</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M</w:t>
      </w:r>
      <w:r w:rsidRPr="00C33834">
        <w:rPr>
          <w:rFonts w:ascii="Times New Roman" w:hAnsi="Times New Roman"/>
          <w:color w:val="000000" w:themeColor="text1"/>
          <w:sz w:val="16"/>
          <w:szCs w:val="16"/>
        </w:rPr>
        <w:t>. Бычков (УС-КМО), (1990-е)- С.А. Мишуков, В.Б. Фролов, С.И. Шамаев.</w:t>
      </w:r>
    </w:p>
    <w:p w14:paraId="4D5174DB"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гл. конструкторов: (1975 г.-)- Б.С. Лобанов, В.М. Пожидаев, (1973 г.-)- С.И. Шамаев.</w:t>
      </w:r>
    </w:p>
    <w:p w14:paraId="48FCE666"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тематико-отраслевого подразделения (1973-80 г.)- В.В. Крохин; тематико-производственного центра (2004 г.)- Л.С. Легезо; НТВЦ- Б.С. Лобанов; НИО (1993-95 г.)- Ц. Г. Литовченко.</w:t>
      </w:r>
    </w:p>
    <w:p w14:paraId="291FC606"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отделов: радиоприемных устройств (1973-2004 г.-)- А.В. Гореликов; В.П. Мисник, В.М. Пожидаев, (1973 г.-)- С.И. Шамаев, (1973-2004 г.-)- К.С. Щеглов.</w:t>
      </w:r>
    </w:p>
    <w:p w14:paraId="42FCAE65"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секторов: В.П. Мисник, В.М. Пожидаев.</w:t>
      </w:r>
    </w:p>
    <w:p w14:paraId="72BB26D7"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лабораторий: (1973-93 г.)- Е. Г. Зелкин, (1970-е)- К.С. Щеглов.</w:t>
      </w:r>
    </w:p>
    <w:p w14:paraId="10CDF14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начальника лаборатории: (1970-е)-Л.П. Мизикин.</w:t>
      </w:r>
    </w:p>
    <w:p w14:paraId="47AD1ADD"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бригад: (1970-е)-  Г.В. Давыдов.</w:t>
      </w:r>
      <w:r w:rsidRPr="00C33834">
        <w:rPr>
          <w:rFonts w:ascii="Times New Roman" w:hAnsi="Times New Roman"/>
          <w:color w:val="000000" w:themeColor="text1"/>
          <w:sz w:val="16"/>
          <w:szCs w:val="16"/>
          <w:vertAlign w:val="superscript"/>
        </w:rPr>
        <w:t>102</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vertAlign w:val="superscript"/>
        </w:rPr>
        <w:t>504</w:t>
      </w:r>
      <w:r w:rsidRPr="00C33834">
        <w:rPr>
          <w:rFonts w:ascii="Times New Roman" w:hAnsi="Times New Roman"/>
          <w:color w:val="000000" w:themeColor="text1"/>
          <w:sz w:val="16"/>
          <w:szCs w:val="16"/>
        </w:rPr>
        <w:t xml:space="preserve"> Начальники групп: (1974 г.-)- В.М. Пожидаев.</w:t>
      </w:r>
    </w:p>
    <w:p w14:paraId="56EC585D"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Научные руководители НИР: А.В. Гореликов.</w:t>
      </w:r>
      <w:r w:rsidRPr="00C33834">
        <w:rPr>
          <w:rFonts w:ascii="Times New Roman" w:hAnsi="Times New Roman"/>
          <w:color w:val="000000" w:themeColor="text1"/>
          <w:sz w:val="16"/>
          <w:szCs w:val="16"/>
          <w:vertAlign w:val="superscript"/>
        </w:rPr>
        <w:t>ьо</w:t>
      </w:r>
    </w:p>
    <w:p w14:paraId="4406DDF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ЦКБ ВКРС МРП</w:t>
      </w:r>
    </w:p>
    <w:p w14:paraId="567D77E9"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1970-е  г. являлось головной организацией по космической системе телевизионной глобальной разведки (ТГР).</w:t>
      </w:r>
    </w:p>
    <w:p w14:paraId="266E0E2C"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Ген. Конструктор (1970-е)- А.И. Савин.</w:t>
      </w:r>
      <w:r w:rsidRPr="00C33834">
        <w:rPr>
          <w:rFonts w:ascii="Times New Roman" w:hAnsi="Times New Roman"/>
          <w:color w:val="000000" w:themeColor="text1"/>
          <w:sz w:val="16"/>
          <w:szCs w:val="16"/>
          <w:vertAlign w:val="superscript"/>
        </w:rPr>
        <w:t>120</w:t>
      </w:r>
    </w:p>
    <w:p w14:paraId="6722705E"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НИИ «Комета» /г. Киев/</w:t>
      </w:r>
    </w:p>
    <w:p w14:paraId="2F3DC3CE"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1979 г. вошел в состав ЦНПО «Вымпел» в качестве филиала.</w:t>
      </w:r>
    </w:p>
    <w:p w14:paraId="6F8D80C3"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(1950-е)- С.А. Гегечкори (С.Л. Берия).</w:t>
      </w:r>
      <w:r w:rsidRPr="00C33834">
        <w:rPr>
          <w:rFonts w:ascii="Times New Roman" w:hAnsi="Times New Roman"/>
          <w:color w:val="000000" w:themeColor="text1"/>
          <w:sz w:val="16"/>
          <w:szCs w:val="16"/>
          <w:vertAlign w:val="superscript"/>
        </w:rPr>
        <w:t>3</w:t>
      </w:r>
    </w:p>
    <w:p w14:paraId="2291AB4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конструктор (1950-е-90 г.-)- С.А. Гегечкори (С.Л. Берия) (11982).</w:t>
      </w:r>
    </w:p>
    <w:p w14:paraId="4963C48A"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1377B981"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и 15 мая 1933 Боккельберг договорился о возобновлении опытно-испытательных работ на полигоне «Томка» в период с 15.08 по 1.11 (18265).</w:t>
      </w:r>
    </w:p>
    <w:p w14:paraId="73143565" w14:textId="77777777" w:rsidR="00153F88" w:rsidRPr="00C33834" w:rsidRDefault="00153F88" w:rsidP="00C33834">
      <w:pPr>
        <w:spacing w:after="0" w:line="240" w:lineRule="auto"/>
        <w:jc w:val="both"/>
        <w:rPr>
          <w:rFonts w:ascii="Times New Roman" w:hAnsi="Times New Roman"/>
          <w:color w:val="000000" w:themeColor="text1"/>
          <w:sz w:val="16"/>
          <w:szCs w:val="16"/>
        </w:rPr>
      </w:pPr>
    </w:p>
    <w:p w14:paraId="695151FC" w14:textId="77777777" w:rsidR="00810511" w:rsidRPr="00C33834" w:rsidRDefault="00810511" w:rsidP="00C33834">
      <w:pPr>
        <w:pStyle w:val="rtejustify"/>
        <w:spacing w:before="0" w:after="0"/>
        <w:rPr>
          <w:color w:val="000000" w:themeColor="text1"/>
          <w:sz w:val="16"/>
          <w:szCs w:val="16"/>
        </w:rPr>
      </w:pPr>
      <w:r w:rsidRPr="00C33834">
        <w:rPr>
          <w:rStyle w:val="af0"/>
          <w:bCs/>
          <w:i w:val="0"/>
          <w:color w:val="000000" w:themeColor="text1"/>
          <w:sz w:val="16"/>
          <w:szCs w:val="16"/>
        </w:rPr>
        <w:t>10 мая</w:t>
      </w:r>
      <w:r w:rsidRPr="00C33834">
        <w:rPr>
          <w:color w:val="000000" w:themeColor="text1"/>
          <w:sz w:val="16"/>
          <w:szCs w:val="16"/>
        </w:rPr>
        <w:t xml:space="preserve"> 1933. Протокол заседания Политбюро ЦК ВКП (б) № 137. </w:t>
      </w:r>
      <w:hyperlink r:id="rId156" w:anchor="showunit&amp;id=86434" w:history="1">
        <w:r w:rsidRPr="00C33834">
          <w:rPr>
            <w:rStyle w:val="a5"/>
            <w:color w:val="000000" w:themeColor="text1"/>
            <w:sz w:val="16"/>
            <w:szCs w:val="16"/>
          </w:rPr>
          <w:t>5. О постройке завода синтетического каучука в Эривани</w:t>
        </w:r>
      </w:hyperlink>
      <w:r w:rsidRPr="00C33834">
        <w:rPr>
          <w:color w:val="000000" w:themeColor="text1"/>
          <w:sz w:val="16"/>
          <w:szCs w:val="16"/>
        </w:rPr>
        <w:t xml:space="preserve"> (Орджоникидзе). Решено: а) Согласиться с предложением Орджоникидзе о постройке завода для производства синтетического каучука из карбид-кальция в Эривани. б) Разрешить НКТПрому перенести </w:t>
      </w:r>
      <w:r w:rsidRPr="00C33834">
        <w:rPr>
          <w:color w:val="000000" w:themeColor="text1"/>
          <w:sz w:val="16"/>
          <w:szCs w:val="16"/>
        </w:rPr>
        <w:lastRenderedPageBreak/>
        <w:t xml:space="preserve">20 миллионов рублей за счет общего годового лимита НКТПрома с 3 квартала на 2 квартал, и на эти средства развернуть работу по Балхашстрою, постройке завода синтетического каучука в Эривани и т. п. </w:t>
      </w:r>
      <w:hyperlink r:id="rId157" w:anchor="showunit&amp;id=86419" w:history="1">
        <w:r w:rsidRPr="00C33834">
          <w:rPr>
            <w:rStyle w:val="a5"/>
            <w:color w:val="000000" w:themeColor="text1"/>
            <w:sz w:val="16"/>
            <w:szCs w:val="16"/>
          </w:rPr>
          <w:t>36/23. Вопросы КО</w:t>
        </w:r>
      </w:hyperlink>
      <w:r w:rsidRPr="00C33834">
        <w:rPr>
          <w:color w:val="000000" w:themeColor="text1"/>
          <w:sz w:val="16"/>
          <w:szCs w:val="16"/>
        </w:rPr>
        <w:t xml:space="preserve"> (ПБ от 29 апреля 1933 г.). — ОП. Решено: а) Установить запрещение полетов на тяжелых самолетах без радиостанций с 1</w:t>
      </w:r>
      <w:r w:rsidRPr="00C33834">
        <w:rPr>
          <w:color w:val="000000" w:themeColor="text1"/>
          <w:sz w:val="16"/>
          <w:szCs w:val="16"/>
        </w:rPr>
        <w:noBreakHyphen/>
        <w:t>7</w:t>
      </w:r>
      <w:r w:rsidRPr="00C33834">
        <w:rPr>
          <w:color w:val="000000" w:themeColor="text1"/>
          <w:sz w:val="16"/>
          <w:szCs w:val="16"/>
        </w:rPr>
        <w:noBreakHyphen/>
        <w:t>1933, во изменение п. 12 постановления ЦК от 5</w:t>
      </w:r>
      <w:r w:rsidRPr="00C33834">
        <w:rPr>
          <w:color w:val="000000" w:themeColor="text1"/>
          <w:sz w:val="16"/>
          <w:szCs w:val="16"/>
        </w:rPr>
        <w:noBreakHyphen/>
        <w:t>7</w:t>
      </w:r>
      <w:r w:rsidRPr="00C33834">
        <w:rPr>
          <w:color w:val="000000" w:themeColor="text1"/>
          <w:sz w:val="16"/>
          <w:szCs w:val="16"/>
        </w:rPr>
        <w:noBreakHyphen/>
        <w:t>1932 (протокол № 107, п. 46/3). б) Утвердить постановление СТО «О строительстве и оборудовании завода № 24 ГУАП». в) 1. Подтвердить договор НКТП с германской фирмой I.V.S.; 2. Предложить НКТП и НКВМ послать комиссию в составе 5</w:t>
      </w:r>
      <w:r w:rsidRPr="00C33834">
        <w:rPr>
          <w:color w:val="000000" w:themeColor="text1"/>
          <w:sz w:val="16"/>
          <w:szCs w:val="16"/>
        </w:rPr>
        <w:noBreakHyphen/>
        <w:t>7 человек для испытаний подлодки Е</w:t>
      </w:r>
      <w:r w:rsidRPr="00C33834">
        <w:rPr>
          <w:color w:val="000000" w:themeColor="text1"/>
          <w:sz w:val="16"/>
          <w:szCs w:val="16"/>
        </w:rPr>
        <w:noBreakHyphen/>
        <w:t>1. 3. Доложить результаты испытаний НКТП и НКВМ для принятия окончательного решения по договору. г) Утвердить договор, заключенный Халепским с фирмой «Сперри» по покупке образцов и техпомощи. д) 1. Обязать ГУАП приобрести 3 комплекта всех необходимых приборов для оборудования стратосферного самолета, а импортные организации реализовать и доставить не позднее 15 июня. Стоимость оборудования утвердить в сумме 15 тысяч рублей в инвалюте сверх утвержденного НКТП импортного контингента. 2. Утвердить заказ фирме «РАТО» с целью изучения, обеспечения и ускорения выпуска мотора М</w:t>
      </w:r>
      <w:r w:rsidRPr="00C33834">
        <w:rPr>
          <w:color w:val="000000" w:themeColor="text1"/>
          <w:sz w:val="16"/>
          <w:szCs w:val="16"/>
        </w:rPr>
        <w:noBreakHyphen/>
        <w:t>34 с нагнетателем; отпустить специальный контингент в 85 тысяч рублей сверх утвержденного импортного контингента НКТП для оплаты заказа и для расходов по доводке мотора М</w:t>
      </w:r>
      <w:r w:rsidRPr="00C33834">
        <w:rPr>
          <w:color w:val="000000" w:themeColor="text1"/>
          <w:sz w:val="16"/>
          <w:szCs w:val="16"/>
        </w:rPr>
        <w:noBreakHyphen/>
        <w:t xml:space="preserve">34. </w:t>
      </w:r>
      <w:hyperlink r:id="rId158" w:anchor="showunit&amp;id=86433" w:history="1">
        <w:r w:rsidRPr="00C33834">
          <w:rPr>
            <w:rStyle w:val="a5"/>
            <w:color w:val="000000" w:themeColor="text1"/>
            <w:sz w:val="16"/>
            <w:szCs w:val="16"/>
          </w:rPr>
          <w:t>49/36. О завозе нефтепродуктов в Западную Сибирь</w:t>
        </w:r>
      </w:hyperlink>
      <w:r w:rsidRPr="00C33834">
        <w:rPr>
          <w:color w:val="000000" w:themeColor="text1"/>
          <w:sz w:val="16"/>
          <w:szCs w:val="16"/>
        </w:rPr>
        <w:t xml:space="preserve"> (ПБ от 30 апреля 1933 г.). Решено: Обязать Благонравова и Ягоду взять под особое наблюдение продвижение нефтепродуктов для Западной Сибири. </w:t>
      </w:r>
      <w:hyperlink r:id="rId159" w:anchor="showunit&amp;id=86447" w:history="1">
        <w:r w:rsidRPr="00C33834">
          <w:rPr>
            <w:rStyle w:val="a5"/>
            <w:color w:val="000000" w:themeColor="text1"/>
            <w:sz w:val="16"/>
            <w:szCs w:val="16"/>
          </w:rPr>
          <w:t>61/48. О выделении специальных заводов по производству запасных частей для автомашин</w:t>
        </w:r>
      </w:hyperlink>
      <w:r w:rsidRPr="00C33834">
        <w:rPr>
          <w:color w:val="000000" w:themeColor="text1"/>
          <w:sz w:val="16"/>
          <w:szCs w:val="16"/>
        </w:rPr>
        <w:t xml:space="preserve"> (ПБ от 4 мая 1933 г.). Решено: Утвердить комиссию в составе Свистуна (председатель), Дьяконова, Лихачева, Фельдмана, Островского, Бирна, Бокиса и Серебрякова для разработки вопроса о необходимости выделения специальных заводов по производству запасных частей для автомашин. </w:t>
      </w:r>
      <w:hyperlink r:id="rId160" w:anchor="showunit&amp;id=86481" w:history="1">
        <w:r w:rsidRPr="00C33834">
          <w:rPr>
            <w:rStyle w:val="a5"/>
            <w:color w:val="000000" w:themeColor="text1"/>
            <w:sz w:val="16"/>
            <w:szCs w:val="16"/>
          </w:rPr>
          <w:t>92/79. О Челябинском тракторном заводе</w:t>
        </w:r>
      </w:hyperlink>
      <w:r w:rsidRPr="00C33834">
        <w:rPr>
          <w:color w:val="000000" w:themeColor="text1"/>
          <w:sz w:val="16"/>
          <w:szCs w:val="16"/>
        </w:rPr>
        <w:t xml:space="preserve"> (ПБ от 23 апреля 1933 г., пр. № 136, п. 14), (ПБ от 8 мая 1933 г.). Решено вопрос снять с обсуждения. </w:t>
      </w:r>
      <w:hyperlink r:id="rId161" w:anchor="showunit&amp;id=86482" w:history="1">
        <w:r w:rsidRPr="00C33834">
          <w:rPr>
            <w:rStyle w:val="a5"/>
            <w:color w:val="000000" w:themeColor="text1"/>
            <w:sz w:val="16"/>
            <w:szCs w:val="16"/>
          </w:rPr>
          <w:t>93/80. О создании треста цветных металлов в ВосточноСибирском крае (записка Восточносибирского крайкома)</w:t>
        </w:r>
      </w:hyperlink>
      <w:r w:rsidRPr="00C33834">
        <w:rPr>
          <w:color w:val="000000" w:themeColor="text1"/>
          <w:sz w:val="16"/>
          <w:szCs w:val="16"/>
        </w:rPr>
        <w:t xml:space="preserve"> (ПБ от 8 мая 1933 г.). Решено передать вопрос на разрешение в СТО. </w:t>
      </w:r>
      <w:hyperlink r:id="rId162" w:anchor="showunit&amp;id=86490" w:history="1">
        <w:r w:rsidRPr="00C33834">
          <w:rPr>
            <w:rStyle w:val="a5"/>
            <w:color w:val="000000" w:themeColor="text1"/>
            <w:sz w:val="16"/>
            <w:szCs w:val="16"/>
          </w:rPr>
          <w:t>106/93. б) Об импортном плане II квартала</w:t>
        </w:r>
      </w:hyperlink>
      <w:r w:rsidRPr="00C33834">
        <w:rPr>
          <w:color w:val="000000" w:themeColor="text1"/>
          <w:sz w:val="16"/>
          <w:szCs w:val="16"/>
        </w:rPr>
        <w:t xml:space="preserve">; Решено: Вопрос передать на рассмотрение в комиссию Молотова по внешнеторговым вопросам. </w:t>
      </w:r>
      <w:hyperlink r:id="rId163" w:anchor="showunit&amp;id=86491" w:history="1">
        <w:r w:rsidRPr="00C33834">
          <w:rPr>
            <w:rStyle w:val="a5"/>
            <w:color w:val="000000" w:themeColor="text1"/>
            <w:sz w:val="16"/>
            <w:szCs w:val="16"/>
          </w:rPr>
          <w:t>в) об импорте для НКТяжпрома</w:t>
        </w:r>
      </w:hyperlink>
      <w:r w:rsidRPr="00C33834">
        <w:rPr>
          <w:color w:val="000000" w:themeColor="text1"/>
          <w:sz w:val="16"/>
          <w:szCs w:val="16"/>
        </w:rPr>
        <w:t xml:space="preserve"> Решено: Вопрос передать на рассмотрение в комиссию Молотова по внешнеторговым вопросам. (ПБ от 8 мая 1933 г.). </w:t>
      </w:r>
      <w:hyperlink r:id="rId164" w:anchor="showunit&amp;id=86387" w:history="1">
        <w:r w:rsidRPr="00C33834">
          <w:rPr>
            <w:rStyle w:val="a5"/>
            <w:color w:val="000000" w:themeColor="text1"/>
            <w:sz w:val="16"/>
            <w:szCs w:val="16"/>
          </w:rPr>
          <w:t>119/106. О Блявинском комбинате.</w:t>
        </w:r>
      </w:hyperlink>
      <w:r w:rsidRPr="00C33834">
        <w:rPr>
          <w:color w:val="000000" w:themeColor="text1"/>
          <w:sz w:val="16"/>
          <w:szCs w:val="16"/>
        </w:rPr>
        <w:t xml:space="preserve"> Решено: а) Разрешить НКТП финансировать работы по Бляминскому комбинату (геологоразведочные, проектные, научно-исследовательские и подготовительные) в 1933 году в пределах 2,5 миллионов рублей за счет общих лимитов НКТП по капитальному строительству. б) Предложить НКТП войти в Политбюро в октябре 1933 года с докладом о плане развертывания работ по Бляминскому комбинату и, в частности, о плане на 1934 год (15462).</w:t>
      </w:r>
    </w:p>
    <w:p w14:paraId="6FC318C5" w14:textId="77777777" w:rsidR="00810511" w:rsidRPr="00C33834" w:rsidRDefault="00810511" w:rsidP="00C33834">
      <w:pPr>
        <w:pStyle w:val="rtejustify"/>
        <w:spacing w:before="0" w:after="0"/>
        <w:rPr>
          <w:color w:val="000000" w:themeColor="text1"/>
          <w:sz w:val="16"/>
          <w:szCs w:val="16"/>
        </w:rPr>
      </w:pPr>
    </w:p>
    <w:p w14:paraId="2A9A30CF" w14:textId="77777777" w:rsidR="00BB0DB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784F36C2" w14:textId="77777777" w:rsidR="00BB0DBE" w:rsidRPr="00C33834" w:rsidRDefault="00BB0DB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1F4AE36" w14:textId="77777777" w:rsidR="00810511" w:rsidRPr="00C33834" w:rsidRDefault="008105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мая в 1933 году на заседании Совета строительства Дворца Советов при президиуме ЦИК СССР было принято Постановление:</w:t>
      </w:r>
    </w:p>
    <w:p w14:paraId="72CBF94C" w14:textId="77777777" w:rsidR="00810511" w:rsidRPr="00C33834" w:rsidRDefault="008105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Принять проект тов. Иофана Б.М. в основу проекта Дворца Советов.</w:t>
      </w:r>
    </w:p>
    <w:p w14:paraId="1627D4D8" w14:textId="77777777" w:rsidR="00810511" w:rsidRPr="00C33834" w:rsidRDefault="008105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Верхнюю часть Дворца Советов завершить мощной скульптурой Ленина величиной 50–75 метров с тем, чтобы Дворец Советов представлял вид пьедестала для фигуры Ленина.</w:t>
      </w:r>
    </w:p>
    <w:p w14:paraId="111D1C3E" w14:textId="77777777" w:rsidR="00810511" w:rsidRPr="00C33834" w:rsidRDefault="008105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Поручить тов. Иофану продолжить разработку проекта Дворца Советов на основе настоящего решения с тем, чтобы при этом были использованы лучшие части проектов и других архитекторов.</w:t>
      </w:r>
    </w:p>
    <w:p w14:paraId="24D12BB9" w14:textId="77777777" w:rsidR="00810511" w:rsidRPr="00C33834" w:rsidRDefault="008105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Считать возможным привлечение к дальнейшей работе над проектом и других архитекторов.</w:t>
      </w:r>
    </w:p>
    <w:p w14:paraId="078730B3" w14:textId="77777777" w:rsidR="00810511" w:rsidRPr="00C33834" w:rsidRDefault="008105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Совет строительства Дворца Советов»</w:t>
      </w:r>
    </w:p>
    <w:p w14:paraId="68640A5B" w14:textId="77777777" w:rsidR="00810511" w:rsidRPr="00C33834" w:rsidRDefault="008105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Дворец Советов был задуман как грандиозное сооружение высотой (вместе со скульптурой) 420 метров. Большой зал Дворца был рассчитан на 21000 человек, а Малый — на 6 тысяч. Кроме того, предусматривалось наличие залов палат Верховного Совета СССР и Президиума, зал Конституции, валы, посвященные теме героики гражданской войны и строительства социализма, залы правительственных приемов и других. Кроме того, во Дворце Советов должны были разместиться государственный документальный архив, библиотека и специальные аудитории для работы депутатов. Строительство Дворца было прервано из-за начала Великой Отечественной войны. В послевоенное время от идеи Сталин формально не отказался, но такой гигантский проект был не под силу обескровленной стране. Уникальный опыт архитекторов был использован при строительстве многоэтажных зданий, а затем Останкинской телебашни (14887).</w:t>
      </w:r>
    </w:p>
    <w:p w14:paraId="60EE4243" w14:textId="77777777" w:rsidR="00810511" w:rsidRPr="00C33834" w:rsidRDefault="00810511" w:rsidP="00C33834">
      <w:pPr>
        <w:spacing w:after="0" w:line="240" w:lineRule="auto"/>
        <w:jc w:val="both"/>
        <w:rPr>
          <w:rFonts w:ascii="Times New Roman" w:hAnsi="Times New Roman"/>
          <w:color w:val="000000" w:themeColor="text1"/>
          <w:sz w:val="16"/>
          <w:szCs w:val="16"/>
        </w:rPr>
      </w:pPr>
    </w:p>
    <w:p w14:paraId="2F70F230"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мая 1933</w:t>
      </w:r>
    </w:p>
    <w:p w14:paraId="1B07D9DB"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Протокол № 137 заседания Политбюро ЦК ВКП(б) от 10 мая 1933 года</w:t>
      </w:r>
    </w:p>
    <w:p w14:paraId="173D65CD"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Заседание Политбюро ЦК ВКП(б) от 10</w:t>
      </w:r>
      <w:r w:rsidRPr="00C33834">
        <w:rPr>
          <w:rFonts w:ascii="Times New Roman" w:hAnsi="Times New Roman"/>
          <w:color w:val="000000" w:themeColor="text1"/>
          <w:sz w:val="16"/>
          <w:szCs w:val="16"/>
        </w:rPr>
        <w:noBreakHyphen/>
        <w:t>го мая 1933 года</w:t>
      </w:r>
    </w:p>
    <w:p w14:paraId="297728A4"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56/43: О Дворце Советов</w:t>
      </w:r>
    </w:p>
    <w:p w14:paraId="5B5ED3C6"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Принять проект т. Иофана в основу проекта Дворца Советов.</w:t>
      </w:r>
    </w:p>
    <w:p w14:paraId="5FEF359C"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Верхнюю часть Дворца Советов завершить мощной скульптурой Ленина (величиной 50</w:t>
      </w:r>
      <w:r w:rsidRPr="00C33834">
        <w:rPr>
          <w:rFonts w:ascii="Times New Roman" w:hAnsi="Times New Roman"/>
          <w:color w:val="000000" w:themeColor="text1"/>
          <w:sz w:val="16"/>
          <w:szCs w:val="16"/>
        </w:rPr>
        <w:noBreakHyphen/>
        <w:t>75 метров) с тем, чтобы Дворец Советов представлял вид пьедестала для фигуры Ленина.</w:t>
      </w:r>
    </w:p>
    <w:p w14:paraId="76E883FA"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На этой основе (п.п. 1 и 2) поручить т. Иофану продолжить разработку проекта Дворца Советов с тем, чтобы при этом были использованы лучшие части проектов и других архитекторов.</w:t>
      </w:r>
    </w:p>
    <w:p w14:paraId="511BF3A6"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Считать возможным привлечение к дальнейшей работе над проектом и других архитекторов.</w:t>
      </w:r>
    </w:p>
    <w:p w14:paraId="385EFB73"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Поручить Совету строительства Дворца Советов утвердить срок окончания разработки Дверца Советов и внести свое решение в декадный срок на утверждение Политбюро.</w:t>
      </w:r>
    </w:p>
    <w:p w14:paraId="2EE143F2"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(18140).</w:t>
      </w:r>
    </w:p>
    <w:p w14:paraId="12F8543D" w14:textId="77777777" w:rsidR="00153F88" w:rsidRPr="00C33834" w:rsidRDefault="00153F88" w:rsidP="00C33834">
      <w:pPr>
        <w:spacing w:after="0" w:line="240" w:lineRule="auto"/>
        <w:jc w:val="both"/>
        <w:rPr>
          <w:rFonts w:ascii="Times New Roman" w:hAnsi="Times New Roman"/>
          <w:color w:val="000000" w:themeColor="text1"/>
          <w:sz w:val="16"/>
          <w:szCs w:val="16"/>
        </w:rPr>
      </w:pPr>
    </w:p>
    <w:p w14:paraId="5BC459E9" w14:textId="77777777" w:rsidR="00153F88" w:rsidRPr="00C33834" w:rsidRDefault="00153F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мая 1933. Началась прописка населения в домовых книгах (18722).</w:t>
      </w:r>
    </w:p>
    <w:p w14:paraId="16BA30DD" w14:textId="77777777" w:rsidR="00153F88" w:rsidRPr="00C33834" w:rsidRDefault="00153F88" w:rsidP="00C33834">
      <w:pPr>
        <w:spacing w:after="0" w:line="240" w:lineRule="auto"/>
        <w:jc w:val="both"/>
        <w:rPr>
          <w:rFonts w:ascii="Times New Roman" w:hAnsi="Times New Roman"/>
          <w:color w:val="000000" w:themeColor="text1"/>
          <w:sz w:val="16"/>
          <w:szCs w:val="16"/>
        </w:rPr>
      </w:pPr>
    </w:p>
    <w:p w14:paraId="7FF1535E"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мая 1933 приказом по лагерю № 116 объявлялось о наказаниях провинившимся заключенным. В частности, зав. шорным складом Дмитровского лагпункта И. И. Беспрозванного «за нарушения положения о Исправительно-Трудовых Лагерях, выразившиеся в нелегальном свидании с женой в течение месяца и помещении ребенка в барак заключенных» предписывалось «заключить в штрафизолятор сроком на 6-ть месяцев»; начальника Лагпункта 70 километра Пономарева «за организацию неоднократных пьянок заключенных» - «перевести в штрафной Л/П сроком на 3 месяца.., с использованием на общих работах»; шофера Автобазы з/к Кинько «за дебош в пьяном виде, неподчинение стрелку и удар стрелка по лицу» - «подвергнуть содержанию в штрафлагпунте сроком на 4 месяца с использованием исключительно на тяжелых работах», и т. п (7560).</w:t>
      </w:r>
    </w:p>
    <w:p w14:paraId="6818291E"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01EE5A5D" w14:textId="77777777" w:rsidR="00BB0DB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300D5BEE" w14:textId="77777777" w:rsidR="00BB0DBE" w:rsidRPr="00C33834" w:rsidRDefault="00BB0DB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B8C918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и 15 мая 1933 в беседах с Тухачевским и Фишманом Боккельберг договорился о возобновлении опытно-испытательных работ на полигоне «Томка» в период с 15. 08 по 1. 11. (ADAP, Ser.C, Bd.I,2, Dok. № 252, Anlage 2.) (11784).</w:t>
      </w:r>
    </w:p>
    <w:p w14:paraId="2AB6DCC1"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443F9841" w14:textId="77777777" w:rsidR="00BB0DB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6C0BBAC" w14:textId="77777777" w:rsidR="00BB0DBE" w:rsidRPr="00C33834" w:rsidRDefault="00BB0DB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AEC88F5" w14:textId="77777777" w:rsidR="00810511" w:rsidRPr="00C33834" w:rsidRDefault="00810511" w:rsidP="00C33834">
      <w:pPr>
        <w:pStyle w:val="aff2"/>
        <w:shd w:val="clear" w:color="auto" w:fill="auto"/>
        <w:spacing w:line="240" w:lineRule="auto"/>
        <w:rPr>
          <w:rFonts w:ascii="Times New Roman" w:hAnsi="Times New Roman" w:cs="Times New Roman"/>
          <w:i w:val="0"/>
          <w:color w:val="000000" w:themeColor="text1"/>
          <w:sz w:val="16"/>
          <w:szCs w:val="16"/>
          <w:lang w:val="ru-RU"/>
        </w:rPr>
      </w:pPr>
      <w:r w:rsidRPr="00C33834">
        <w:rPr>
          <w:rFonts w:ascii="Times New Roman" w:hAnsi="Times New Roman" w:cs="Times New Roman"/>
          <w:i w:val="0"/>
          <w:color w:val="000000" w:themeColor="text1"/>
          <w:sz w:val="16"/>
          <w:szCs w:val="16"/>
          <w:lang w:val="ru-RU"/>
        </w:rPr>
        <w:t xml:space="preserve">10 мая 1933 г. взлетел спортивный </w:t>
      </w:r>
      <w:r w:rsidRPr="00C33834">
        <w:rPr>
          <w:rFonts w:ascii="Times New Roman" w:hAnsi="Times New Roman" w:cs="Times New Roman"/>
          <w:i w:val="0"/>
          <w:color w:val="000000" w:themeColor="text1"/>
          <w:sz w:val="16"/>
          <w:szCs w:val="16"/>
        </w:rPr>
        <w:t>FarmanF</w:t>
      </w:r>
      <w:r w:rsidRPr="00C33834">
        <w:rPr>
          <w:rFonts w:ascii="Times New Roman" w:hAnsi="Times New Roman" w:cs="Times New Roman"/>
          <w:i w:val="0"/>
          <w:color w:val="000000" w:themeColor="text1"/>
          <w:sz w:val="16"/>
          <w:szCs w:val="16"/>
          <w:lang w:val="ru-RU"/>
        </w:rPr>
        <w:t>.380, который стал первым в мире самолётом с велосипедной схемой шасси. Правильность выбора схемы шасси для рекордного</w:t>
      </w:r>
      <w:r w:rsidRPr="00C33834">
        <w:rPr>
          <w:rStyle w:val="85pt"/>
          <w:rFonts w:ascii="Times New Roman" w:eastAsia="Arial Unicode MS" w:hAnsi="Times New Roman" w:cs="Times New Roman"/>
          <w:i w:val="0"/>
          <w:color w:val="000000" w:themeColor="text1"/>
          <w:sz w:val="16"/>
          <w:szCs w:val="16"/>
          <w:lang w:val="ru-RU"/>
        </w:rPr>
        <w:t xml:space="preserve"> самолёта </w:t>
      </w:r>
      <w:r w:rsidRPr="00C33834">
        <w:rPr>
          <w:rFonts w:ascii="Times New Roman" w:hAnsi="Times New Roman" w:cs="Times New Roman"/>
          <w:i w:val="0"/>
          <w:color w:val="000000" w:themeColor="text1"/>
          <w:sz w:val="16"/>
          <w:szCs w:val="16"/>
          <w:lang w:val="ru-RU"/>
        </w:rPr>
        <w:t xml:space="preserve">подтвердилась тем, что уже 22 мая 1933 г. пилот </w:t>
      </w:r>
      <w:r w:rsidRPr="00C33834">
        <w:rPr>
          <w:rFonts w:ascii="Times New Roman" w:hAnsi="Times New Roman" w:cs="Times New Roman"/>
          <w:i w:val="0"/>
          <w:color w:val="000000" w:themeColor="text1"/>
          <w:sz w:val="16"/>
          <w:szCs w:val="16"/>
        </w:rPr>
        <w:t>MauriceArnoux</w:t>
      </w:r>
      <w:r w:rsidRPr="00C33834">
        <w:rPr>
          <w:rFonts w:ascii="Times New Roman" w:hAnsi="Times New Roman" w:cs="Times New Roman"/>
          <w:i w:val="0"/>
          <w:color w:val="000000" w:themeColor="text1"/>
          <w:sz w:val="16"/>
          <w:szCs w:val="16"/>
          <w:lang w:val="ru-RU"/>
        </w:rPr>
        <w:t xml:space="preserve"> установил рекорд в</w:t>
      </w:r>
      <w:r w:rsidRPr="00C33834">
        <w:rPr>
          <w:rStyle w:val="85pt"/>
          <w:rFonts w:ascii="Times New Roman" w:eastAsia="Arial Unicode MS" w:hAnsi="Times New Roman" w:cs="Times New Roman"/>
          <w:i w:val="0"/>
          <w:color w:val="000000" w:themeColor="text1"/>
          <w:sz w:val="16"/>
          <w:szCs w:val="16"/>
          <w:lang w:val="ru-RU"/>
        </w:rPr>
        <w:t xml:space="preserve"> своём клас</w:t>
      </w:r>
      <w:r w:rsidRPr="00C33834">
        <w:rPr>
          <w:rStyle w:val="85pt"/>
          <w:rFonts w:ascii="Times New Roman" w:eastAsia="Arial Unicode MS" w:hAnsi="Times New Roman" w:cs="Times New Roman"/>
          <w:i w:val="0"/>
          <w:color w:val="000000" w:themeColor="text1"/>
          <w:sz w:val="16"/>
          <w:szCs w:val="16"/>
          <w:lang w:val="ru-RU"/>
        </w:rPr>
        <w:softHyphen/>
        <w:t>се,</w:t>
      </w:r>
      <w:r w:rsidRPr="00C33834">
        <w:rPr>
          <w:rFonts w:ascii="Times New Roman" w:hAnsi="Times New Roman" w:cs="Times New Roman"/>
          <w:i w:val="0"/>
          <w:color w:val="000000" w:themeColor="text1"/>
          <w:sz w:val="16"/>
          <w:szCs w:val="16"/>
          <w:lang w:val="ru-RU"/>
        </w:rPr>
        <w:t xml:space="preserve"> пролетев 100 км со скоростью 303,387 км/ч. Рекорд в определённом смысле был</w:t>
      </w:r>
      <w:r w:rsidRPr="00C33834">
        <w:rPr>
          <w:rStyle w:val="85pt"/>
          <w:rFonts w:ascii="Times New Roman" w:eastAsia="Arial Unicode MS" w:hAnsi="Times New Roman" w:cs="Times New Roman"/>
          <w:i w:val="0"/>
          <w:color w:val="000000" w:themeColor="text1"/>
          <w:sz w:val="16"/>
          <w:szCs w:val="16"/>
          <w:lang w:val="ru-RU"/>
        </w:rPr>
        <w:t xml:space="preserve"> уникален: он </w:t>
      </w:r>
      <w:r w:rsidRPr="00C33834">
        <w:rPr>
          <w:rFonts w:ascii="Times New Roman" w:hAnsi="Times New Roman" w:cs="Times New Roman"/>
          <w:i w:val="0"/>
          <w:color w:val="000000" w:themeColor="text1"/>
          <w:sz w:val="16"/>
          <w:szCs w:val="16"/>
          <w:lang w:val="ru-RU"/>
        </w:rPr>
        <w:t xml:space="preserve">продержался лишь 30 минут, а затем его побил пилот </w:t>
      </w:r>
      <w:r w:rsidRPr="00C33834">
        <w:rPr>
          <w:rFonts w:ascii="Times New Roman" w:hAnsi="Times New Roman" w:cs="Times New Roman"/>
          <w:i w:val="0"/>
          <w:color w:val="000000" w:themeColor="text1"/>
          <w:sz w:val="16"/>
          <w:szCs w:val="16"/>
        </w:rPr>
        <w:t>Delmotte</w:t>
      </w:r>
      <w:r w:rsidRPr="00C33834">
        <w:rPr>
          <w:rFonts w:ascii="Times New Roman" w:hAnsi="Times New Roman" w:cs="Times New Roman"/>
          <w:i w:val="0"/>
          <w:color w:val="000000" w:themeColor="text1"/>
          <w:sz w:val="16"/>
          <w:szCs w:val="16"/>
          <w:lang w:val="ru-RU"/>
        </w:rPr>
        <w:t xml:space="preserve">, прошедший на </w:t>
      </w:r>
      <w:r w:rsidRPr="00C33834">
        <w:rPr>
          <w:rFonts w:ascii="Times New Roman" w:hAnsi="Times New Roman" w:cs="Times New Roman"/>
          <w:i w:val="0"/>
          <w:color w:val="000000" w:themeColor="text1"/>
          <w:sz w:val="16"/>
          <w:szCs w:val="16"/>
        </w:rPr>
        <w:t>Caudron</w:t>
      </w:r>
      <w:r w:rsidRPr="00C33834">
        <w:rPr>
          <w:rStyle w:val="85pt"/>
          <w:rFonts w:ascii="Times New Roman" w:eastAsia="Arial Unicode MS" w:hAnsi="Times New Roman" w:cs="Times New Roman"/>
          <w:i w:val="0"/>
          <w:color w:val="000000" w:themeColor="text1"/>
          <w:sz w:val="16"/>
          <w:szCs w:val="16"/>
          <w:lang w:val="ru-RU"/>
        </w:rPr>
        <w:t xml:space="preserve"> 362 ту же </w:t>
      </w:r>
      <w:r w:rsidRPr="00C33834">
        <w:rPr>
          <w:rFonts w:ascii="Times New Roman" w:hAnsi="Times New Roman" w:cs="Times New Roman"/>
          <w:i w:val="0"/>
          <w:color w:val="000000" w:themeColor="text1"/>
          <w:sz w:val="16"/>
          <w:szCs w:val="16"/>
          <w:lang w:val="ru-RU"/>
        </w:rPr>
        <w:t>дистанцию уже со скоростью 333,765 км/ч. Поэтому Сталь-6 был только вторым (15844).</w:t>
      </w:r>
    </w:p>
    <w:p w14:paraId="1F4EDFD2" w14:textId="77777777" w:rsidR="00810511" w:rsidRPr="00C33834" w:rsidRDefault="00810511" w:rsidP="00C33834">
      <w:pPr>
        <w:spacing w:after="0" w:line="240" w:lineRule="auto"/>
        <w:jc w:val="both"/>
        <w:rPr>
          <w:rFonts w:ascii="Times New Roman" w:hAnsi="Times New Roman"/>
          <w:color w:val="000000" w:themeColor="text1"/>
          <w:sz w:val="16"/>
          <w:szCs w:val="16"/>
        </w:rPr>
      </w:pPr>
    </w:p>
    <w:p w14:paraId="2FED3356" w14:textId="77777777" w:rsidR="00BB0DBE" w:rsidRPr="00C33834" w:rsidRDefault="00BB0DB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мая 1933 на площади Опера в Берлине нацистами сожжены 20 тысяч книг «неарийского духа» (4962).</w:t>
      </w:r>
    </w:p>
    <w:p w14:paraId="39D73EFD" w14:textId="77777777" w:rsidR="00BB0DBE" w:rsidRPr="00C33834" w:rsidRDefault="00BB0DB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983419"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lang w:val="en-US"/>
        </w:rPr>
      </w:pPr>
      <w:r w:rsidRPr="00C33834">
        <w:rPr>
          <w:rFonts w:ascii="Times New Roman" w:hAnsi="Times New Roman"/>
          <w:color w:val="000000" w:themeColor="text1"/>
          <w:sz w:val="16"/>
          <w:szCs w:val="16"/>
          <w:lang w:val="en-US"/>
        </w:rPr>
        <w:t>May 10 1933 Nazis burn books in Germany (1050).</w:t>
      </w:r>
    </w:p>
    <w:p w14:paraId="171361CD"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lang w:val="en-US"/>
        </w:rPr>
      </w:pPr>
    </w:p>
    <w:p w14:paraId="5D9BAA38"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мая 1933 нацисты начали сжигать книги (1050).</w:t>
      </w:r>
    </w:p>
    <w:p w14:paraId="37DE21C0"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5FC1A2CE" w14:textId="77777777" w:rsidR="00810511" w:rsidRPr="00C33834" w:rsidRDefault="008105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10 мая в 1933 году в Берлине перед зданием Государственной оперы и в некоторых других немецких городах произошла варварская акция сожжения национал-социалистами книг, неугодных гитлеровскому режиму. Акция эта планировалась в недрах министерства пропаганды Германии еще в феврале 1933 года. Авторство ее приписывают филологу-германисту, доктору Геббельсу, незадолго до этого назначенному министром пропаганды. названного выше ведомства. Публичное сожжение книг было направлено, во-первых, на запугивание «среднего человека», привыкшего относиться с уважением к печатному слову, во-вторых, на привлечение молодежи на сторону национал-социалистов. Она давала возможность почувствовать молодежи радикализм новой власти, а так же то, что новая власть возлагает на нее большие надежды. Именно студентам предписывалась основная роль в чудовищной акции. Публичные акции сожжения книг проходили во многих, в основном </w:t>
      </w:r>
      <w:r w:rsidRPr="00C33834">
        <w:rPr>
          <w:rFonts w:ascii="Times New Roman" w:hAnsi="Times New Roman"/>
          <w:color w:val="000000" w:themeColor="text1"/>
          <w:sz w:val="16"/>
          <w:szCs w:val="16"/>
        </w:rPr>
        <w:lastRenderedPageBreak/>
        <w:t>университетских городах страны: Бонне, Франкфурте-на-Майне, Мюнхене. На «празднике костра» обязаны были присутствовать преподаватели и ректоры университетов. Нацисты сожгли на костре книги всемирно известных прогрессивных авторов. Произведения 149 писателей, по мнению власть имущих, содержали «чуждые немцам идеи». Среди них - труды Альберта Эйнштейна, Карла Маркса, сочинения Томаса и Генриха Маннов, Штефана Цвейга, Эриха Кестнера, Зигмунда Фрейда и других. «Праздник костра» послужил отправной точкой введения тотальной цензуры. За годы нацистской диктатуры список запрещенных книг вырос до 5,5 тысяч произведений. Некоторых авторов запрещают полностью, других частично. Под пресс государственной пропаганды попали и писатели, и поэты, и ученые. В эмиграцию уехали почти все видные писатели - семья Манн (Томас и Генрих), Ремарк, Фейхтвангер, Стефан Георге, Бертольт Брехт. Те же, кто остался, либо перестали писать, либо стали жертвами неизвестных убийц. Судьба немецких эмигрантов тоже сложилась драматично: Курт Тухольский, Карл Ейнштейн, Вальтер Беньямин, Стефан Цвейг добровольно расстались с жизнью. 20 марта 1995 года в Берлине был открыт мемориал «Библиотека». На памятной доске начертаны пророческие слова Генриха Гейне, написавшего еще в 1834 году: «Там, где сжигают книги, в конце сжигают и людей». День книги в Германии отмечается с 1947 года, проводится в день сожжения фашистами в 1933 году книг писателей-гуманистов (14887).</w:t>
      </w:r>
    </w:p>
    <w:p w14:paraId="228FB3CC" w14:textId="77777777" w:rsidR="00810511" w:rsidRPr="00C33834" w:rsidRDefault="00810511" w:rsidP="00C33834">
      <w:pPr>
        <w:spacing w:after="0" w:line="240" w:lineRule="auto"/>
        <w:jc w:val="both"/>
        <w:rPr>
          <w:rFonts w:ascii="Times New Roman" w:hAnsi="Times New Roman"/>
          <w:color w:val="000000" w:themeColor="text1"/>
          <w:sz w:val="16"/>
          <w:szCs w:val="16"/>
        </w:rPr>
      </w:pPr>
    </w:p>
    <w:p w14:paraId="7DF14F5B"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мая 1933 созданный нацистами Трудовой фронт был объявлен главной организацией всех трудящихся (3186).</w:t>
      </w:r>
    </w:p>
    <w:p w14:paraId="2D7E4361"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5FEBBAAD" w14:textId="77777777" w:rsidR="00BB0DBE" w:rsidRPr="00C33834" w:rsidRDefault="00BB0DB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мая 1933 в Германии создан профашистский профсоюз «Германский трудовой фронт» (4962).</w:t>
      </w:r>
    </w:p>
    <w:p w14:paraId="716561E6" w14:textId="77777777" w:rsidR="00BB0DBE" w:rsidRPr="00C33834" w:rsidRDefault="00BB0DB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69B9B3" w14:textId="77777777" w:rsidR="00810511" w:rsidRPr="00C33834" w:rsidRDefault="008105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мая в 1933 году Нельсон Рокфеллер уволил мексиканского художника Диего Риверу, приглашенного для создания стенной росписи нового здания компании RCA. Причиной конфликта стал отказ художника убрать со стены портрет Ленина (14887).</w:t>
      </w:r>
    </w:p>
    <w:p w14:paraId="4805FFB0" w14:textId="77777777" w:rsidR="00810511" w:rsidRPr="00C33834" w:rsidRDefault="00810511" w:rsidP="00C33834">
      <w:pPr>
        <w:spacing w:after="0" w:line="240" w:lineRule="auto"/>
        <w:jc w:val="both"/>
        <w:rPr>
          <w:rFonts w:ascii="Times New Roman" w:hAnsi="Times New Roman"/>
          <w:color w:val="000000" w:themeColor="text1"/>
          <w:sz w:val="16"/>
          <w:szCs w:val="16"/>
        </w:rPr>
      </w:pPr>
    </w:p>
    <w:p w14:paraId="2ECC2B10" w14:textId="77777777" w:rsidR="00E9787D" w:rsidRPr="00C33834" w:rsidRDefault="00E9787D"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99CC4F3" w14:textId="77777777" w:rsidR="00E9787D" w:rsidRPr="00C33834" w:rsidRDefault="00E9787D"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1149103" w14:textId="77777777" w:rsidR="00E9787D" w:rsidRPr="00C33834" w:rsidRDefault="00E978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11 мая 1933 Корзинщиков совершил успешный взлет по прямой, далее последовал 2-минутный полет и благополучная по</w:t>
      </w:r>
      <w:r w:rsidRPr="00C33834">
        <w:rPr>
          <w:rFonts w:ascii="Times New Roman" w:hAnsi="Times New Roman"/>
          <w:color w:val="0070C0"/>
          <w:sz w:val="16"/>
          <w:szCs w:val="16"/>
        </w:rPr>
        <w:softHyphen/>
        <w:t>садка автожира А-4. 13 мая были выполнены 2 круга над аэродромом на высоте 300 м в течение 10 минут. В период с 14 мая по 2 июня произвели 10 полетов, в том числе один полет на вы</w:t>
      </w:r>
      <w:r w:rsidRPr="00C33834">
        <w:rPr>
          <w:rFonts w:ascii="Times New Roman" w:hAnsi="Times New Roman"/>
          <w:color w:val="0070C0"/>
          <w:sz w:val="16"/>
          <w:szCs w:val="16"/>
        </w:rPr>
        <w:softHyphen/>
        <w:t>соту 3360 м. 12 июля ротор переставили на первый опыт</w:t>
      </w:r>
      <w:r w:rsidRPr="00C33834">
        <w:rPr>
          <w:rFonts w:ascii="Times New Roman" w:hAnsi="Times New Roman"/>
          <w:color w:val="0070C0"/>
          <w:sz w:val="16"/>
          <w:szCs w:val="16"/>
        </w:rPr>
        <w:softHyphen/>
        <w:t>ный А-4 постройки ЗОК, после чего 13 июля летчик Попов выполнил пробный полет на высоте 350 м. 17 августа произошла очередная поломка в момент посадки.</w:t>
      </w:r>
    </w:p>
    <w:p w14:paraId="0D0BDE49" w14:textId="77777777" w:rsidR="00E9787D" w:rsidRPr="00C33834" w:rsidRDefault="00E978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Как видим, испытательные полеты автожиров А-4 проис</w:t>
      </w:r>
      <w:r w:rsidRPr="00C33834">
        <w:rPr>
          <w:rFonts w:ascii="Times New Roman" w:hAnsi="Times New Roman"/>
          <w:color w:val="0070C0"/>
          <w:sz w:val="16"/>
          <w:szCs w:val="16"/>
        </w:rPr>
        <w:softHyphen/>
        <w:t>ходили с преодолением многочисленных трудностей. Ле</w:t>
      </w:r>
      <w:r w:rsidRPr="00C33834">
        <w:rPr>
          <w:rFonts w:ascii="Times New Roman" w:hAnsi="Times New Roman"/>
          <w:color w:val="0070C0"/>
          <w:sz w:val="16"/>
          <w:szCs w:val="16"/>
        </w:rPr>
        <w:softHyphen/>
        <w:t>том 1933 г. два первых автожира (московской и киевской постройки) летали уже вполне уверенно - по состоянию на 4 августа они совершили 28 полетов с общим полетным временем 7 часов 53 минуты (20381).</w:t>
      </w:r>
    </w:p>
    <w:p w14:paraId="1B5B40DC" w14:textId="77777777" w:rsidR="00E9787D" w:rsidRPr="00C33834" w:rsidRDefault="00E9787D" w:rsidP="00C33834">
      <w:pPr>
        <w:spacing w:after="0" w:line="240" w:lineRule="auto"/>
        <w:jc w:val="both"/>
        <w:rPr>
          <w:rFonts w:ascii="Times New Roman" w:hAnsi="Times New Roman"/>
          <w:color w:val="0070C0"/>
          <w:sz w:val="16"/>
          <w:szCs w:val="16"/>
        </w:rPr>
      </w:pPr>
    </w:p>
    <w:p w14:paraId="292EDFDA" w14:textId="77777777" w:rsidR="00BB0DB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64E6AAB" w14:textId="77777777" w:rsidR="00BB0DBE" w:rsidRPr="00C33834" w:rsidRDefault="00BB0DB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95EC5A4"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мая 1933 г. Ствол № 2 152-мм дальнобойной пушки Б-10 был подан на полигон с завода "Большевик" , его наложили на лафет № 1. Существенным недостатком Б-10 (со штатным лафетом) был медленный подъем и спуск орудия, производившийся вручную. Так, чтобы придать угол возвышения от 0 до +43 требовалось 1 минута 20 секунд, чтобы опустить обратно 55 секунд. В связи с тем, что угол заряжания пушки был близок к 0, это существенно снижало скорострельность орудия (3861).</w:t>
      </w:r>
    </w:p>
    <w:p w14:paraId="13D0DBCE"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4E8D1C4A" w14:textId="77777777" w:rsidR="00BB0DBE" w:rsidRPr="00C33834" w:rsidRDefault="00BB0DB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мая 1933 г. М. Тухачевский на совеща</w:t>
      </w:r>
      <w:r w:rsidRPr="00C33834">
        <w:rPr>
          <w:rFonts w:ascii="Times New Roman" w:hAnsi="Times New Roman"/>
          <w:color w:val="000000" w:themeColor="text1"/>
          <w:sz w:val="16"/>
          <w:szCs w:val="16"/>
        </w:rPr>
        <w:softHyphen/>
        <w:t>нии еще раз подчеркнул, что именно двухбашенные машины Т-26 являются наиболее подходящими для це</w:t>
      </w:r>
      <w:r w:rsidRPr="00C33834">
        <w:rPr>
          <w:rFonts w:ascii="Times New Roman" w:hAnsi="Times New Roman"/>
          <w:color w:val="000000" w:themeColor="text1"/>
          <w:sz w:val="16"/>
          <w:szCs w:val="16"/>
        </w:rPr>
        <w:softHyphen/>
        <w:t>лей сопровождения пехоты, и именно они должны состав</w:t>
      </w:r>
      <w:r w:rsidRPr="00C33834">
        <w:rPr>
          <w:rFonts w:ascii="Times New Roman" w:hAnsi="Times New Roman"/>
          <w:color w:val="000000" w:themeColor="text1"/>
          <w:sz w:val="16"/>
          <w:szCs w:val="16"/>
        </w:rPr>
        <w:softHyphen/>
        <w:t>лять костяк танковых сил. Даже в черновиках штатов меха</w:t>
      </w:r>
      <w:r w:rsidRPr="00C33834">
        <w:rPr>
          <w:rFonts w:ascii="Times New Roman" w:hAnsi="Times New Roman"/>
          <w:color w:val="000000" w:themeColor="text1"/>
          <w:sz w:val="16"/>
          <w:szCs w:val="16"/>
        </w:rPr>
        <w:softHyphen/>
        <w:t>низированных полков, разработанных им в 1932 г., имелась фраза: «Танковый взвод состоит из четырех легких танков, вооруженных пулеметами (или аналогичного числа танкеток) и одного танка усиления, вооруженного пушкой...». Выпуск двухбашенных Т-26 планировался и в 1934 г., но фактически план был скорректирован в пользу выпуска химических, саперных боевых машин и бронированных тя</w:t>
      </w:r>
      <w:r w:rsidRPr="00C33834">
        <w:rPr>
          <w:rFonts w:ascii="Times New Roman" w:hAnsi="Times New Roman"/>
          <w:color w:val="000000" w:themeColor="text1"/>
          <w:sz w:val="16"/>
          <w:szCs w:val="16"/>
        </w:rPr>
        <w:softHyphen/>
        <w:t>гачей-транспортеров вместо пулеметных танков (10733,180).</w:t>
      </w:r>
    </w:p>
    <w:p w14:paraId="16833467" w14:textId="77777777" w:rsidR="00BB0DBE" w:rsidRPr="00C33834" w:rsidRDefault="00BB0DB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7E0E03" w14:textId="77777777" w:rsidR="00BB0DB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78EC6493" w14:textId="77777777" w:rsidR="00BB0DBE" w:rsidRPr="00C33834" w:rsidRDefault="00BB0DB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FDB534A"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мая 1933 впервые было отчетливо увидено и описано Лох-Несское чудовище (2621,131).</w:t>
      </w:r>
    </w:p>
    <w:p w14:paraId="3C170956"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5ACDFEB5" w14:textId="77777777" w:rsidR="000768A2" w:rsidRPr="00C33834" w:rsidRDefault="000768A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мая в 1933 году Замечают первое появление Несси – чудовища озера Лох-Несс в Шотландии. В настоящее время зарегистрировано свыше 3 тысяч свидетельств очевидцев (14888).</w:t>
      </w:r>
    </w:p>
    <w:p w14:paraId="2BB1571F" w14:textId="77777777" w:rsidR="000768A2" w:rsidRPr="00C33834" w:rsidRDefault="000768A2" w:rsidP="00C33834">
      <w:pPr>
        <w:spacing w:after="0" w:line="240" w:lineRule="auto"/>
        <w:jc w:val="both"/>
        <w:rPr>
          <w:rFonts w:ascii="Times New Roman" w:hAnsi="Times New Roman"/>
          <w:color w:val="000000" w:themeColor="text1"/>
          <w:sz w:val="16"/>
          <w:szCs w:val="16"/>
        </w:rPr>
      </w:pPr>
    </w:p>
    <w:p w14:paraId="4D681348" w14:textId="77777777" w:rsidR="00BB0DB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CB894E3" w14:textId="77777777" w:rsidR="00BB0DBE" w:rsidRPr="00C33834" w:rsidRDefault="00BB0DB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034993D" w14:textId="77777777" w:rsidR="00197613" w:rsidRPr="00C33834" w:rsidRDefault="0019761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мая 1933. Гигант советского самолетостроения "АНТ-14" возобновил круговые полеты над Москвой (18722).</w:t>
      </w:r>
    </w:p>
    <w:p w14:paraId="3CE78BA8" w14:textId="77777777" w:rsidR="00197613" w:rsidRPr="00C33834" w:rsidRDefault="00197613" w:rsidP="00C33834">
      <w:pPr>
        <w:spacing w:after="0" w:line="240" w:lineRule="auto"/>
        <w:jc w:val="both"/>
        <w:rPr>
          <w:rFonts w:ascii="Times New Roman" w:hAnsi="Times New Roman"/>
          <w:color w:val="000000" w:themeColor="text1"/>
          <w:sz w:val="16"/>
          <w:szCs w:val="16"/>
        </w:rPr>
      </w:pPr>
    </w:p>
    <w:p w14:paraId="19E58559"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мая 1933 Открылся Центральный клуб Осоавиахима в Тушино (274) на базе высшей парашютной школы (2628,5).</w:t>
      </w:r>
    </w:p>
    <w:p w14:paraId="15396E97"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575466BA" w14:textId="77777777" w:rsidR="00BB0DB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5BF5DF89" w14:textId="77777777" w:rsidR="00BB0DBE" w:rsidRPr="00C33834" w:rsidRDefault="00BB0DB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28D6F2D"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12 и 18 мая 1933. Из протокола заседания Политбюро N 138, 1933 г.</w:t>
      </w:r>
    </w:p>
    <w:p w14:paraId="06EED41D"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борьбе с саранчой в Средней Азии </w:t>
      </w:r>
    </w:p>
    <w:p w14:paraId="134C09F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 Ввиду угрожающего залета саранчи, особенно из Афганистана, на всю территорию Средней Азии разрешить командованию САВО по мере необходимости использовать воинские части на помощь местному населению по борьбе с саранчой. </w:t>
      </w:r>
    </w:p>
    <w:p w14:paraId="6726563B"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В целях усиления борьбы химическим способом немедленно перебросить химический батальон в распоряжение командования САВО (11652).</w:t>
      </w:r>
    </w:p>
    <w:p w14:paraId="44C6F168"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1F280E61" w14:textId="77777777" w:rsidR="00BB0DB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EBC72C8" w14:textId="77777777" w:rsidR="00BB0DBE" w:rsidRPr="00C33834" w:rsidRDefault="00BB0DB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E8C50CC"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мая 1933 в США приняли закон об общественных работах. установили гарантированную оплату и заняли 3 млн. чел. (3481).</w:t>
      </w:r>
    </w:p>
    <w:p w14:paraId="6804A2C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14E4E809" w14:textId="77777777" w:rsidR="00BB0DB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CA668E7" w14:textId="77777777" w:rsidR="00BB0DBE" w:rsidRPr="00C33834" w:rsidRDefault="00BB0DB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5D83D28" w14:textId="77777777" w:rsidR="00E9787D" w:rsidRPr="00C33834" w:rsidRDefault="00E9787D" w:rsidP="00C33834">
      <w:pPr>
        <w:spacing w:after="0" w:line="240" w:lineRule="auto"/>
        <w:jc w:val="both"/>
        <w:rPr>
          <w:rFonts w:ascii="Times New Roman" w:hAnsi="Times New Roman"/>
          <w:color w:val="0070C0"/>
          <w:sz w:val="16"/>
          <w:szCs w:val="16"/>
          <w:lang w:eastAsia="ru-RU" w:bidi="ru-RU"/>
        </w:rPr>
      </w:pPr>
      <w:r w:rsidRPr="00C33834">
        <w:rPr>
          <w:rFonts w:ascii="Times New Roman" w:hAnsi="Times New Roman"/>
          <w:color w:val="0070C0"/>
          <w:sz w:val="16"/>
          <w:szCs w:val="16"/>
          <w:lang w:eastAsia="ru-RU" w:bidi="ru-RU"/>
        </w:rPr>
        <w:t>13 мая 1933 г. один МБР-4 с двигателем с М-34 его поднял в воздух эки</w:t>
      </w:r>
      <w:r w:rsidRPr="00C33834">
        <w:rPr>
          <w:rFonts w:ascii="Times New Roman" w:hAnsi="Times New Roman"/>
          <w:color w:val="0070C0"/>
          <w:sz w:val="16"/>
          <w:szCs w:val="16"/>
          <w:lang w:eastAsia="ru-RU" w:bidi="ru-RU"/>
        </w:rPr>
        <w:softHyphen/>
        <w:t>паж в составе летчика-испытателя Б.Л. Бухгольца и летнаба инженера М.С. Владимирова. В первом же полете «об</w:t>
      </w:r>
      <w:r w:rsidRPr="00C33834">
        <w:rPr>
          <w:rFonts w:ascii="Times New Roman" w:hAnsi="Times New Roman"/>
          <w:color w:val="0070C0"/>
          <w:sz w:val="16"/>
          <w:szCs w:val="16"/>
          <w:lang w:eastAsia="ru-RU" w:bidi="ru-RU"/>
        </w:rPr>
        <w:softHyphen/>
        <w:t>наружилась непригодность масляного радиатора из-за высокой температуры масла». В целом же испытания по</w:t>
      </w:r>
      <w:r w:rsidRPr="00C33834">
        <w:rPr>
          <w:rFonts w:ascii="Times New Roman" w:hAnsi="Times New Roman"/>
          <w:color w:val="0070C0"/>
          <w:sz w:val="16"/>
          <w:szCs w:val="16"/>
          <w:lang w:eastAsia="ru-RU" w:bidi="ru-RU"/>
        </w:rPr>
        <w:softHyphen/>
        <w:t>казали, что особых преимуществ у МБР-4 с новым двига</w:t>
      </w:r>
      <w:r w:rsidRPr="00C33834">
        <w:rPr>
          <w:rFonts w:ascii="Times New Roman" w:hAnsi="Times New Roman"/>
          <w:color w:val="0070C0"/>
          <w:sz w:val="16"/>
          <w:szCs w:val="16"/>
          <w:lang w:eastAsia="ru-RU" w:bidi="ru-RU"/>
        </w:rPr>
        <w:softHyphen/>
        <w:t>телем нет (20325).</w:t>
      </w:r>
    </w:p>
    <w:p w14:paraId="23AEE13A" w14:textId="77777777" w:rsidR="00E9787D" w:rsidRPr="00C33834" w:rsidRDefault="00E9787D" w:rsidP="00C33834">
      <w:pPr>
        <w:spacing w:after="0" w:line="240" w:lineRule="auto"/>
        <w:jc w:val="both"/>
        <w:rPr>
          <w:rFonts w:ascii="Times New Roman" w:hAnsi="Times New Roman"/>
          <w:color w:val="0070C0"/>
          <w:sz w:val="16"/>
          <w:szCs w:val="16"/>
          <w:lang w:eastAsia="ru-RU" w:bidi="ru-RU"/>
        </w:rPr>
      </w:pPr>
    </w:p>
    <w:p w14:paraId="65DAB678" w14:textId="77777777" w:rsidR="00E9787D" w:rsidRPr="00C33834" w:rsidRDefault="00E978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13 мая 1933 Корзинщиков на А-4 были выполнены 2 круга над аэродромом на высоте 300 м в течение 10 минут. В период с 14 мая по 2 июня произвели 10 полетов, в том числе один полет на вы</w:t>
      </w:r>
      <w:r w:rsidRPr="00C33834">
        <w:rPr>
          <w:rFonts w:ascii="Times New Roman" w:hAnsi="Times New Roman"/>
          <w:color w:val="0070C0"/>
          <w:sz w:val="16"/>
          <w:szCs w:val="16"/>
        </w:rPr>
        <w:softHyphen/>
        <w:t>соту 3360 м. 12 июля ротор переставили на первый опыт</w:t>
      </w:r>
      <w:r w:rsidRPr="00C33834">
        <w:rPr>
          <w:rFonts w:ascii="Times New Roman" w:hAnsi="Times New Roman"/>
          <w:color w:val="0070C0"/>
          <w:sz w:val="16"/>
          <w:szCs w:val="16"/>
        </w:rPr>
        <w:softHyphen/>
        <w:t>ный А-4 постройки ЗОК, после чего 13 июля летчик Попов выполнил пробный полет на высоте 350 м. 17 августа произошла очередная поломка в момент посадки.</w:t>
      </w:r>
    </w:p>
    <w:p w14:paraId="129714B4" w14:textId="77777777" w:rsidR="00E9787D" w:rsidRPr="00C33834" w:rsidRDefault="00E978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Как видим, испытательные полеты автожиров А-4 проис</w:t>
      </w:r>
      <w:r w:rsidRPr="00C33834">
        <w:rPr>
          <w:rFonts w:ascii="Times New Roman" w:hAnsi="Times New Roman"/>
          <w:color w:val="0070C0"/>
          <w:sz w:val="16"/>
          <w:szCs w:val="16"/>
        </w:rPr>
        <w:softHyphen/>
        <w:t>ходили с преодолением многочисленных трудностей. Ле</w:t>
      </w:r>
      <w:r w:rsidRPr="00C33834">
        <w:rPr>
          <w:rFonts w:ascii="Times New Roman" w:hAnsi="Times New Roman"/>
          <w:color w:val="0070C0"/>
          <w:sz w:val="16"/>
          <w:szCs w:val="16"/>
        </w:rPr>
        <w:softHyphen/>
        <w:t>том 1933 г. два первых автожира (московской и киевской постройки) летали уже вполне уверенно - по состоянию на 4 августа они совершили 28 полетов с общим полетным временем 7 часов 53 минуты (20381).</w:t>
      </w:r>
    </w:p>
    <w:p w14:paraId="49020193" w14:textId="77777777" w:rsidR="00E9787D" w:rsidRPr="00C33834" w:rsidRDefault="00E9787D" w:rsidP="00C33834">
      <w:pPr>
        <w:spacing w:after="0" w:line="240" w:lineRule="auto"/>
        <w:jc w:val="both"/>
        <w:rPr>
          <w:rFonts w:ascii="Times New Roman" w:hAnsi="Times New Roman"/>
          <w:color w:val="0070C0"/>
          <w:sz w:val="16"/>
          <w:szCs w:val="16"/>
        </w:rPr>
      </w:pPr>
    </w:p>
    <w:p w14:paraId="07133246"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мая 1933 года Начальник НИИ ВВС Алкснис утвердил Ведомость по эталонам на самолеты, оборудование и предметы вооружения ВВС.</w:t>
      </w:r>
    </w:p>
    <w:p w14:paraId="067C5E6E"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tblGrid>
      <w:tr w:rsidR="00F26F01" w:rsidRPr="00C33834" w14:paraId="05DAFBAA" w14:textId="77777777">
        <w:tc>
          <w:tcPr>
            <w:tcW w:w="2254" w:type="dxa"/>
          </w:tcPr>
          <w:p w14:paraId="6C3F61DF"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69AA5E4"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Наличие эталонов и становленные сроки готовности</w:t>
            </w:r>
          </w:p>
        </w:tc>
      </w:tr>
      <w:tr w:rsidR="00F26F01" w:rsidRPr="00C33834" w14:paraId="0B2BB02A" w14:textId="77777777">
        <w:tc>
          <w:tcPr>
            <w:tcW w:w="2254" w:type="dxa"/>
          </w:tcPr>
          <w:p w14:paraId="3CF56873"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ТБ3-М34</w:t>
            </w:r>
          </w:p>
        </w:tc>
        <w:tc>
          <w:tcPr>
            <w:tcW w:w="2254" w:type="dxa"/>
          </w:tcPr>
          <w:p w14:paraId="2DB4C664"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30.05.33 г.</w:t>
            </w:r>
          </w:p>
        </w:tc>
      </w:tr>
      <w:tr w:rsidR="00F26F01" w:rsidRPr="00C33834" w14:paraId="0223024E" w14:textId="77777777">
        <w:tc>
          <w:tcPr>
            <w:tcW w:w="2254" w:type="dxa"/>
          </w:tcPr>
          <w:p w14:paraId="2611F9D3"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Образцовый с-т ТБ4-М34</w:t>
            </w:r>
          </w:p>
        </w:tc>
        <w:tc>
          <w:tcPr>
            <w:tcW w:w="2254" w:type="dxa"/>
          </w:tcPr>
          <w:p w14:paraId="1AA9E0D5"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1.07 по 1.08.33 г.</w:t>
            </w:r>
          </w:p>
        </w:tc>
      </w:tr>
      <w:tr w:rsidR="00F26F01" w:rsidRPr="00C33834" w14:paraId="222ECE36" w14:textId="77777777">
        <w:tc>
          <w:tcPr>
            <w:tcW w:w="2254" w:type="dxa"/>
          </w:tcPr>
          <w:p w14:paraId="141C2349"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Образцовый с-т МИ3-М34</w:t>
            </w:r>
          </w:p>
        </w:tc>
        <w:tc>
          <w:tcPr>
            <w:tcW w:w="2254" w:type="dxa"/>
          </w:tcPr>
          <w:p w14:paraId="16825CCC"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1.07.33 г.</w:t>
            </w:r>
          </w:p>
        </w:tc>
      </w:tr>
      <w:tr w:rsidR="00F26F01" w:rsidRPr="00C33834" w14:paraId="4E559110" w14:textId="77777777">
        <w:tc>
          <w:tcPr>
            <w:tcW w:w="2254" w:type="dxa"/>
          </w:tcPr>
          <w:p w14:paraId="78A9A7C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МБР4-М34</w:t>
            </w:r>
          </w:p>
        </w:tc>
        <w:tc>
          <w:tcPr>
            <w:tcW w:w="2254" w:type="dxa"/>
          </w:tcPr>
          <w:p w14:paraId="1F95BBE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1.06.33 г.</w:t>
            </w:r>
          </w:p>
        </w:tc>
      </w:tr>
      <w:tr w:rsidR="00F26F01" w:rsidRPr="00C33834" w14:paraId="69DD4B19" w14:textId="77777777">
        <w:tc>
          <w:tcPr>
            <w:tcW w:w="2254" w:type="dxa"/>
          </w:tcPr>
          <w:p w14:paraId="43AAE2FC"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 М-17</w:t>
            </w:r>
          </w:p>
        </w:tc>
        <w:tc>
          <w:tcPr>
            <w:tcW w:w="2254" w:type="dxa"/>
          </w:tcPr>
          <w:p w14:paraId="0DD2C507"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1.06.33 г.</w:t>
            </w:r>
          </w:p>
        </w:tc>
      </w:tr>
      <w:tr w:rsidR="00F26F01" w:rsidRPr="00C33834" w14:paraId="4D5DF8AE" w14:textId="77777777">
        <w:tc>
          <w:tcPr>
            <w:tcW w:w="2254" w:type="dxa"/>
          </w:tcPr>
          <w:p w14:paraId="6996E8B4"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АШ М-11</w:t>
            </w:r>
          </w:p>
        </w:tc>
        <w:tc>
          <w:tcPr>
            <w:tcW w:w="2254" w:type="dxa"/>
          </w:tcPr>
          <w:p w14:paraId="5D6A2D70"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1.05.33 г.</w:t>
            </w:r>
          </w:p>
        </w:tc>
      </w:tr>
      <w:tr w:rsidR="00F26F01" w:rsidRPr="00C33834" w14:paraId="6C75B588" w14:textId="77777777">
        <w:tc>
          <w:tcPr>
            <w:tcW w:w="2254" w:type="dxa"/>
          </w:tcPr>
          <w:p w14:paraId="291A00A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 М-17</w:t>
            </w:r>
          </w:p>
        </w:tc>
        <w:tc>
          <w:tcPr>
            <w:tcW w:w="2254" w:type="dxa"/>
          </w:tcPr>
          <w:p w14:paraId="6596FD06"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15.05.33 г.</w:t>
            </w:r>
          </w:p>
        </w:tc>
      </w:tr>
      <w:tr w:rsidR="00F26F01" w:rsidRPr="00C33834" w14:paraId="126FA282" w14:textId="77777777">
        <w:tc>
          <w:tcPr>
            <w:tcW w:w="2254" w:type="dxa"/>
          </w:tcPr>
          <w:p w14:paraId="7AC200E3"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 М-17</w:t>
            </w:r>
          </w:p>
        </w:tc>
        <w:tc>
          <w:tcPr>
            <w:tcW w:w="2254" w:type="dxa"/>
          </w:tcPr>
          <w:p w14:paraId="7FA9069D"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10.05.33 г.</w:t>
            </w:r>
          </w:p>
        </w:tc>
      </w:tr>
      <w:tr w:rsidR="00F26F01" w:rsidRPr="00C33834" w14:paraId="6AFA84FD" w14:textId="77777777">
        <w:tc>
          <w:tcPr>
            <w:tcW w:w="2254" w:type="dxa"/>
          </w:tcPr>
          <w:p w14:paraId="5FBA173D"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 М-22</w:t>
            </w:r>
          </w:p>
        </w:tc>
        <w:tc>
          <w:tcPr>
            <w:tcW w:w="2254" w:type="dxa"/>
          </w:tcPr>
          <w:p w14:paraId="011A59FA"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15.05.33 г.</w:t>
            </w:r>
          </w:p>
        </w:tc>
      </w:tr>
      <w:tr w:rsidR="00F26F01" w:rsidRPr="00C33834" w14:paraId="188B9395" w14:textId="77777777">
        <w:tc>
          <w:tcPr>
            <w:tcW w:w="2254" w:type="dxa"/>
          </w:tcPr>
          <w:p w14:paraId="27CCCE75"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Р5-а М-17</w:t>
            </w:r>
          </w:p>
        </w:tc>
        <w:tc>
          <w:tcPr>
            <w:tcW w:w="2254" w:type="dxa"/>
          </w:tcPr>
          <w:p w14:paraId="771916C6"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1.08.33 г.</w:t>
            </w:r>
          </w:p>
        </w:tc>
      </w:tr>
      <w:tr w:rsidR="00F26F01" w:rsidRPr="00C33834" w14:paraId="3BAAA503" w14:textId="77777777">
        <w:tc>
          <w:tcPr>
            <w:tcW w:w="2254" w:type="dxa"/>
          </w:tcPr>
          <w:p w14:paraId="3DA9731A"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Р5 - штурмовик</w:t>
            </w:r>
          </w:p>
        </w:tc>
        <w:tc>
          <w:tcPr>
            <w:tcW w:w="2254" w:type="dxa"/>
          </w:tcPr>
          <w:p w14:paraId="28B17A39"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Эталоном на 1933 г.</w:t>
            </w:r>
          </w:p>
        </w:tc>
      </w:tr>
      <w:tr w:rsidR="00F26F01" w:rsidRPr="00C33834" w14:paraId="60C2DCE3" w14:textId="77777777">
        <w:tc>
          <w:tcPr>
            <w:tcW w:w="2254" w:type="dxa"/>
          </w:tcPr>
          <w:p w14:paraId="1C8948CC"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9BA7261"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оставить самолет,</w:t>
            </w:r>
          </w:p>
        </w:tc>
      </w:tr>
      <w:tr w:rsidR="00F26F01" w:rsidRPr="00C33834" w14:paraId="1994F7C7" w14:textId="77777777">
        <w:tc>
          <w:tcPr>
            <w:tcW w:w="2254" w:type="dxa"/>
          </w:tcPr>
          <w:p w14:paraId="2EA0CEA7"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6A249C81"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предъявленный з-дом</w:t>
            </w:r>
          </w:p>
        </w:tc>
      </w:tr>
      <w:tr w:rsidR="00F26F01" w:rsidRPr="00C33834" w14:paraId="52F7AFCA" w14:textId="77777777">
        <w:tc>
          <w:tcPr>
            <w:tcW w:w="2254" w:type="dxa"/>
          </w:tcPr>
          <w:p w14:paraId="02F24AE3"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242FA5C8"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N 1 в НИИ на испытан.</w:t>
            </w:r>
          </w:p>
        </w:tc>
      </w:tr>
      <w:tr w:rsidR="00F26F01" w:rsidRPr="00C33834" w14:paraId="7676DC30" w14:textId="77777777">
        <w:tc>
          <w:tcPr>
            <w:tcW w:w="2254" w:type="dxa"/>
          </w:tcPr>
          <w:p w14:paraId="031FC9D4"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ЗЕТ М-22</w:t>
            </w:r>
          </w:p>
        </w:tc>
        <w:tc>
          <w:tcPr>
            <w:tcW w:w="2254" w:type="dxa"/>
          </w:tcPr>
          <w:p w14:paraId="758E7DA3"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30.05.33 г.</w:t>
            </w:r>
          </w:p>
        </w:tc>
      </w:tr>
      <w:tr w:rsidR="00F26F01" w:rsidRPr="00C33834" w14:paraId="66E2697F" w14:textId="77777777">
        <w:tc>
          <w:tcPr>
            <w:tcW w:w="2254" w:type="dxa"/>
          </w:tcPr>
          <w:p w14:paraId="48EA05AA"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4E817B5"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предъявляется образц.</w:t>
            </w:r>
          </w:p>
        </w:tc>
      </w:tr>
      <w:tr w:rsidR="00F26F01" w:rsidRPr="00C33834" w14:paraId="1C230B25" w14:textId="77777777">
        <w:tc>
          <w:tcPr>
            <w:tcW w:w="2254" w:type="dxa"/>
          </w:tcPr>
          <w:p w14:paraId="16F618D0"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A2297B6"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 на испытание в</w:t>
            </w:r>
          </w:p>
        </w:tc>
      </w:tr>
      <w:tr w:rsidR="00F26F01" w:rsidRPr="00C33834" w14:paraId="4184A013" w14:textId="77777777">
        <w:tc>
          <w:tcPr>
            <w:tcW w:w="2254" w:type="dxa"/>
          </w:tcPr>
          <w:p w14:paraId="076F3ED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1C9B07E"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НИИ.</w:t>
            </w:r>
          </w:p>
        </w:tc>
      </w:tr>
      <w:tr w:rsidR="00F26F01" w:rsidRPr="00C33834" w14:paraId="1655FE72" w14:textId="77777777">
        <w:tc>
          <w:tcPr>
            <w:tcW w:w="2254" w:type="dxa"/>
          </w:tcPr>
          <w:p w14:paraId="17FDCBA0"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 М-11</w:t>
            </w:r>
          </w:p>
        </w:tc>
        <w:tc>
          <w:tcPr>
            <w:tcW w:w="2254" w:type="dxa"/>
          </w:tcPr>
          <w:p w14:paraId="7E7980FA"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 предъявлен в</w:t>
            </w:r>
          </w:p>
        </w:tc>
      </w:tr>
      <w:tr w:rsidR="00F26F01" w:rsidRPr="00C33834" w14:paraId="73D996B8" w14:textId="77777777">
        <w:tc>
          <w:tcPr>
            <w:tcW w:w="2254" w:type="dxa"/>
          </w:tcPr>
          <w:p w14:paraId="7C0F063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676DA180"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НИИ и испытан.</w:t>
            </w:r>
          </w:p>
        </w:tc>
      </w:tr>
      <w:tr w:rsidR="00F26F01" w:rsidRPr="00C33834" w14:paraId="017C3D29" w14:textId="77777777">
        <w:tc>
          <w:tcPr>
            <w:tcW w:w="2254" w:type="dxa"/>
          </w:tcPr>
          <w:p w14:paraId="7D780E45"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 М-34</w:t>
            </w:r>
          </w:p>
        </w:tc>
        <w:tc>
          <w:tcPr>
            <w:tcW w:w="2254" w:type="dxa"/>
          </w:tcPr>
          <w:p w14:paraId="01C86FF8"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виду отказа </w:t>
            </w:r>
          </w:p>
        </w:tc>
      </w:tr>
      <w:tr w:rsidR="00F26F01" w:rsidRPr="00C33834" w14:paraId="71691F52" w14:textId="77777777">
        <w:tc>
          <w:tcPr>
            <w:tcW w:w="2254" w:type="dxa"/>
          </w:tcPr>
          <w:p w14:paraId="16430CFD"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25560E23"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промышленности от</w:t>
            </w:r>
          </w:p>
        </w:tc>
      </w:tr>
      <w:tr w:rsidR="00F26F01" w:rsidRPr="00C33834" w14:paraId="1DDF01A3" w14:textId="77777777">
        <w:tc>
          <w:tcPr>
            <w:tcW w:w="2254" w:type="dxa"/>
          </w:tcPr>
          <w:p w14:paraId="68E3918F"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D54160E"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представления эталона</w:t>
            </w:r>
          </w:p>
        </w:tc>
      </w:tr>
      <w:tr w:rsidR="00F26F01" w:rsidRPr="00C33834" w14:paraId="031EC93B" w14:textId="77777777">
        <w:tc>
          <w:tcPr>
            <w:tcW w:w="2254" w:type="dxa"/>
          </w:tcPr>
          <w:p w14:paraId="0F4E8915"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2EDAD50"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этого самолета и</w:t>
            </w:r>
          </w:p>
        </w:tc>
      </w:tr>
      <w:tr w:rsidR="00F26F01" w:rsidRPr="00C33834" w14:paraId="095A1EA7" w14:textId="77777777">
        <w:tc>
          <w:tcPr>
            <w:tcW w:w="2254" w:type="dxa"/>
          </w:tcPr>
          <w:p w14:paraId="4F1A96E1"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A1B034B"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постройки его в 1933 г.</w:t>
            </w:r>
          </w:p>
        </w:tc>
      </w:tr>
      <w:tr w:rsidR="00F26F01" w:rsidRPr="00C33834" w14:paraId="55AAC842" w14:textId="77777777">
        <w:tc>
          <w:tcPr>
            <w:tcW w:w="2254" w:type="dxa"/>
          </w:tcPr>
          <w:p w14:paraId="6156AE4E"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569C4AB"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 поставить в</w:t>
            </w:r>
          </w:p>
        </w:tc>
      </w:tr>
      <w:tr w:rsidR="00F26F01" w:rsidRPr="00C33834" w14:paraId="49CEC893" w14:textId="77777777">
        <w:tc>
          <w:tcPr>
            <w:tcW w:w="2254" w:type="dxa"/>
          </w:tcPr>
          <w:p w14:paraId="13D17AA6"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665AF0A5"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правительстве (3058).</w:t>
            </w:r>
          </w:p>
        </w:tc>
      </w:tr>
    </w:tbl>
    <w:p w14:paraId="1CF1990E"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Основание: Протокол заседания у зам. начальника ВВС от 21.04.33 года.</w:t>
      </w:r>
    </w:p>
    <w:p w14:paraId="7B8965E7"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Предметы вооружения.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F26F01" w:rsidRPr="00C33834" w14:paraId="7D0ECF2B" w14:textId="77777777">
        <w:tc>
          <w:tcPr>
            <w:tcW w:w="2818" w:type="dxa"/>
          </w:tcPr>
          <w:p w14:paraId="61175B7B"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АО-10</w:t>
            </w:r>
          </w:p>
        </w:tc>
        <w:tc>
          <w:tcPr>
            <w:tcW w:w="2818" w:type="dxa"/>
          </w:tcPr>
          <w:p w14:paraId="581D7498"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Имеется ВСТ</w:t>
            </w:r>
          </w:p>
        </w:tc>
      </w:tr>
      <w:tr w:rsidR="00F26F01" w:rsidRPr="00C33834" w14:paraId="2E08F823" w14:textId="77777777">
        <w:tc>
          <w:tcPr>
            <w:tcW w:w="2818" w:type="dxa"/>
          </w:tcPr>
          <w:p w14:paraId="3C2EB0AA"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АО-8</w:t>
            </w:r>
          </w:p>
        </w:tc>
        <w:tc>
          <w:tcPr>
            <w:tcW w:w="2818" w:type="dxa"/>
          </w:tcPr>
          <w:p w14:paraId="663C2FF7"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Сняты с вооружения</w:t>
            </w:r>
          </w:p>
        </w:tc>
      </w:tr>
      <w:tr w:rsidR="00F26F01" w:rsidRPr="00C33834" w14:paraId="25BDA2EF" w14:textId="77777777">
        <w:tc>
          <w:tcPr>
            <w:tcW w:w="2818" w:type="dxa"/>
          </w:tcPr>
          <w:p w14:paraId="292435A7"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АФ-50</w:t>
            </w:r>
          </w:p>
        </w:tc>
        <w:tc>
          <w:tcPr>
            <w:tcW w:w="2818" w:type="dxa"/>
          </w:tcPr>
          <w:p w14:paraId="6D2B0076"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Имеется ВСТ</w:t>
            </w:r>
          </w:p>
        </w:tc>
      </w:tr>
      <w:tr w:rsidR="00F26F01" w:rsidRPr="00C33834" w14:paraId="3F795FFF" w14:textId="77777777">
        <w:tc>
          <w:tcPr>
            <w:tcW w:w="2818" w:type="dxa"/>
          </w:tcPr>
          <w:p w14:paraId="77206C3C"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АФ-32</w:t>
            </w:r>
          </w:p>
        </w:tc>
        <w:tc>
          <w:tcPr>
            <w:tcW w:w="2818" w:type="dxa"/>
          </w:tcPr>
          <w:p w14:paraId="31E52997"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Сняты с производства</w:t>
            </w:r>
          </w:p>
        </w:tc>
      </w:tr>
      <w:tr w:rsidR="00F26F01" w:rsidRPr="00C33834" w14:paraId="2B366AE4" w14:textId="77777777">
        <w:tc>
          <w:tcPr>
            <w:tcW w:w="2818" w:type="dxa"/>
          </w:tcPr>
          <w:p w14:paraId="2E6480D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АФ-100</w:t>
            </w:r>
          </w:p>
        </w:tc>
        <w:tc>
          <w:tcPr>
            <w:tcW w:w="2818" w:type="dxa"/>
          </w:tcPr>
          <w:p w14:paraId="60AEC131"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Временные техусловия</w:t>
            </w:r>
          </w:p>
        </w:tc>
      </w:tr>
      <w:tr w:rsidR="00F26F01" w:rsidRPr="00C33834" w14:paraId="783B013E" w14:textId="77777777">
        <w:tc>
          <w:tcPr>
            <w:tcW w:w="2818" w:type="dxa"/>
          </w:tcPr>
          <w:p w14:paraId="61AF6A7E"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2195506C"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эталоны и чертежи</w:t>
            </w:r>
          </w:p>
        </w:tc>
      </w:tr>
      <w:tr w:rsidR="00F26F01" w:rsidRPr="00C33834" w14:paraId="50C8F07E" w14:textId="77777777">
        <w:tc>
          <w:tcPr>
            <w:tcW w:w="2818" w:type="dxa"/>
          </w:tcPr>
          <w:p w14:paraId="0AABA8B4"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7673BA8F"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будут на 1934 г.</w:t>
            </w:r>
          </w:p>
        </w:tc>
      </w:tr>
      <w:tr w:rsidR="00F26F01" w:rsidRPr="00C33834" w14:paraId="119D0DC5" w14:textId="77777777">
        <w:tc>
          <w:tcPr>
            <w:tcW w:w="2818" w:type="dxa"/>
          </w:tcPr>
          <w:p w14:paraId="47BEE505"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АФ-82</w:t>
            </w:r>
          </w:p>
        </w:tc>
        <w:tc>
          <w:tcPr>
            <w:tcW w:w="2818" w:type="dxa"/>
          </w:tcPr>
          <w:p w14:paraId="0164C318"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Сняты с валового</w:t>
            </w:r>
          </w:p>
        </w:tc>
      </w:tr>
      <w:tr w:rsidR="00F26F01" w:rsidRPr="00C33834" w14:paraId="1E6B9DC6" w14:textId="77777777">
        <w:tc>
          <w:tcPr>
            <w:tcW w:w="2818" w:type="dxa"/>
          </w:tcPr>
          <w:p w14:paraId="5125EBD3"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36D4D7E8"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производства</w:t>
            </w:r>
          </w:p>
        </w:tc>
      </w:tr>
      <w:tr w:rsidR="00F26F01" w:rsidRPr="00C33834" w14:paraId="6BA6B732" w14:textId="77777777">
        <w:tc>
          <w:tcPr>
            <w:tcW w:w="2818" w:type="dxa"/>
          </w:tcPr>
          <w:p w14:paraId="21907B24"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АФ-250</w:t>
            </w:r>
          </w:p>
        </w:tc>
        <w:tc>
          <w:tcPr>
            <w:tcW w:w="2818" w:type="dxa"/>
          </w:tcPr>
          <w:p w14:paraId="3ED0CF1F"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Имеется ВСТ</w:t>
            </w:r>
          </w:p>
        </w:tc>
      </w:tr>
      <w:tr w:rsidR="00F26F01" w:rsidRPr="00C33834" w14:paraId="0F4C13B7" w14:textId="77777777">
        <w:tc>
          <w:tcPr>
            <w:tcW w:w="2818" w:type="dxa"/>
          </w:tcPr>
          <w:p w14:paraId="75CED85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АФ-500</w:t>
            </w:r>
          </w:p>
        </w:tc>
        <w:tc>
          <w:tcPr>
            <w:tcW w:w="2818" w:type="dxa"/>
          </w:tcPr>
          <w:p w14:paraId="1B4DB601"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Имеется ВСТ</w:t>
            </w:r>
          </w:p>
        </w:tc>
      </w:tr>
      <w:tr w:rsidR="00F26F01" w:rsidRPr="00C33834" w14:paraId="2162964E" w14:textId="77777777">
        <w:tc>
          <w:tcPr>
            <w:tcW w:w="2818" w:type="dxa"/>
          </w:tcPr>
          <w:p w14:paraId="749D14AA"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АФ-1000</w:t>
            </w:r>
          </w:p>
        </w:tc>
        <w:tc>
          <w:tcPr>
            <w:tcW w:w="2818" w:type="dxa"/>
          </w:tcPr>
          <w:p w14:paraId="492EBF0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Имеется ВСТ</w:t>
            </w:r>
          </w:p>
        </w:tc>
      </w:tr>
      <w:tr w:rsidR="00F26F01" w:rsidRPr="00C33834" w14:paraId="57C375E7" w14:textId="77777777">
        <w:tc>
          <w:tcPr>
            <w:tcW w:w="2818" w:type="dxa"/>
          </w:tcPr>
          <w:p w14:paraId="5E2CFB5C"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АФ-2000</w:t>
            </w:r>
          </w:p>
        </w:tc>
        <w:tc>
          <w:tcPr>
            <w:tcW w:w="2818" w:type="dxa"/>
          </w:tcPr>
          <w:p w14:paraId="7EB3EE21"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Временные техусловия</w:t>
            </w:r>
          </w:p>
        </w:tc>
      </w:tr>
      <w:tr w:rsidR="00F26F01" w:rsidRPr="00C33834" w14:paraId="1AE1B573" w14:textId="77777777">
        <w:tc>
          <w:tcPr>
            <w:tcW w:w="2818" w:type="dxa"/>
          </w:tcPr>
          <w:p w14:paraId="008EF9F6"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0817FA15"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эталоны и чертежи</w:t>
            </w:r>
          </w:p>
        </w:tc>
      </w:tr>
      <w:tr w:rsidR="00F26F01" w:rsidRPr="00C33834" w14:paraId="5BDF655D" w14:textId="77777777">
        <w:tc>
          <w:tcPr>
            <w:tcW w:w="2818" w:type="dxa"/>
          </w:tcPr>
          <w:p w14:paraId="5FFAB62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302A252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будут на 1934 г.</w:t>
            </w:r>
          </w:p>
        </w:tc>
      </w:tr>
      <w:tr w:rsidR="00F26F01" w:rsidRPr="00C33834" w14:paraId="14108971" w14:textId="77777777">
        <w:tc>
          <w:tcPr>
            <w:tcW w:w="2818" w:type="dxa"/>
          </w:tcPr>
          <w:p w14:paraId="24407CB9"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АБР-250</w:t>
            </w:r>
          </w:p>
        </w:tc>
        <w:tc>
          <w:tcPr>
            <w:tcW w:w="2818" w:type="dxa"/>
          </w:tcPr>
          <w:p w14:paraId="58FD9A2D"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Временные техусловия</w:t>
            </w:r>
          </w:p>
        </w:tc>
      </w:tr>
      <w:tr w:rsidR="00F26F01" w:rsidRPr="00C33834" w14:paraId="2B0A4C83" w14:textId="77777777">
        <w:tc>
          <w:tcPr>
            <w:tcW w:w="2818" w:type="dxa"/>
          </w:tcPr>
          <w:p w14:paraId="59756667"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АБР-500</w:t>
            </w:r>
          </w:p>
        </w:tc>
        <w:tc>
          <w:tcPr>
            <w:tcW w:w="2818" w:type="dxa"/>
          </w:tcPr>
          <w:p w14:paraId="07E659A9"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Временные техусловия</w:t>
            </w:r>
          </w:p>
        </w:tc>
      </w:tr>
      <w:tr w:rsidR="00F26F01" w:rsidRPr="00C33834" w14:paraId="4DD80563" w14:textId="77777777">
        <w:tc>
          <w:tcPr>
            <w:tcW w:w="2818" w:type="dxa"/>
          </w:tcPr>
          <w:p w14:paraId="4526063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АБР-1000</w:t>
            </w:r>
          </w:p>
        </w:tc>
        <w:tc>
          <w:tcPr>
            <w:tcW w:w="2818" w:type="dxa"/>
          </w:tcPr>
          <w:p w14:paraId="5EC88660"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Временные техусловия</w:t>
            </w:r>
          </w:p>
        </w:tc>
      </w:tr>
      <w:tr w:rsidR="00F26F01" w:rsidRPr="00C33834" w14:paraId="29B85170" w14:textId="77777777">
        <w:tc>
          <w:tcPr>
            <w:tcW w:w="2818" w:type="dxa"/>
          </w:tcPr>
          <w:p w14:paraId="7353921C"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АОХ-8</w:t>
            </w:r>
          </w:p>
        </w:tc>
        <w:tc>
          <w:tcPr>
            <w:tcW w:w="2818" w:type="dxa"/>
          </w:tcPr>
          <w:p w14:paraId="681932A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Сняты с производства</w:t>
            </w:r>
          </w:p>
        </w:tc>
      </w:tr>
      <w:tr w:rsidR="00F26F01" w:rsidRPr="00C33834" w14:paraId="25D82B4F" w14:textId="77777777">
        <w:tc>
          <w:tcPr>
            <w:tcW w:w="2818" w:type="dxa"/>
          </w:tcPr>
          <w:p w14:paraId="1F18EE56"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АОХ-10</w:t>
            </w:r>
          </w:p>
        </w:tc>
        <w:tc>
          <w:tcPr>
            <w:tcW w:w="2818" w:type="dxa"/>
          </w:tcPr>
          <w:p w14:paraId="1A7C190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Имеется ВСТ</w:t>
            </w:r>
          </w:p>
        </w:tc>
      </w:tr>
      <w:tr w:rsidR="00F26F01" w:rsidRPr="00C33834" w14:paraId="1AC2B16F" w14:textId="77777777">
        <w:tc>
          <w:tcPr>
            <w:tcW w:w="2818" w:type="dxa"/>
          </w:tcPr>
          <w:p w14:paraId="71023769"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АХ-25</w:t>
            </w:r>
          </w:p>
        </w:tc>
        <w:tc>
          <w:tcPr>
            <w:tcW w:w="2818" w:type="dxa"/>
          </w:tcPr>
          <w:p w14:paraId="7D149C7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265B31C8" w14:textId="77777777">
        <w:tc>
          <w:tcPr>
            <w:tcW w:w="2818" w:type="dxa"/>
          </w:tcPr>
          <w:p w14:paraId="3A1DB815"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АХ-200</w:t>
            </w:r>
          </w:p>
        </w:tc>
        <w:tc>
          <w:tcPr>
            <w:tcW w:w="2818" w:type="dxa"/>
          </w:tcPr>
          <w:p w14:paraId="212BBF6B"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Имеется ВСТ</w:t>
            </w:r>
          </w:p>
        </w:tc>
      </w:tr>
      <w:tr w:rsidR="00F26F01" w:rsidRPr="00C33834" w14:paraId="74227237" w14:textId="77777777">
        <w:tc>
          <w:tcPr>
            <w:tcW w:w="2818" w:type="dxa"/>
          </w:tcPr>
          <w:p w14:paraId="13918B31"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АО-25ПР</w:t>
            </w:r>
          </w:p>
        </w:tc>
        <w:tc>
          <w:tcPr>
            <w:tcW w:w="2818" w:type="dxa"/>
          </w:tcPr>
          <w:p w14:paraId="51959FDB"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Имеется ВСТ</w:t>
            </w:r>
          </w:p>
        </w:tc>
      </w:tr>
      <w:tr w:rsidR="00F26F01" w:rsidRPr="00C33834" w14:paraId="6F61EDCD" w14:textId="77777777">
        <w:tc>
          <w:tcPr>
            <w:tcW w:w="2818" w:type="dxa"/>
          </w:tcPr>
          <w:p w14:paraId="6884AA21"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АЗ-1</w:t>
            </w:r>
          </w:p>
        </w:tc>
        <w:tc>
          <w:tcPr>
            <w:tcW w:w="2818" w:type="dxa"/>
          </w:tcPr>
          <w:p w14:paraId="447FA175"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Временные техусловия</w:t>
            </w:r>
          </w:p>
        </w:tc>
      </w:tr>
      <w:tr w:rsidR="00F26F01" w:rsidRPr="00C33834" w14:paraId="2BA6AF53" w14:textId="77777777">
        <w:tc>
          <w:tcPr>
            <w:tcW w:w="2818" w:type="dxa"/>
          </w:tcPr>
          <w:p w14:paraId="1AECCBAF"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АЗ-50</w:t>
            </w:r>
          </w:p>
        </w:tc>
        <w:tc>
          <w:tcPr>
            <w:tcW w:w="2818" w:type="dxa"/>
          </w:tcPr>
          <w:p w14:paraId="094EB5F2"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Временные техусловия</w:t>
            </w:r>
          </w:p>
        </w:tc>
      </w:tr>
      <w:tr w:rsidR="00F26F01" w:rsidRPr="00C33834" w14:paraId="0BD70D06" w14:textId="77777777">
        <w:tc>
          <w:tcPr>
            <w:tcW w:w="2818" w:type="dxa"/>
          </w:tcPr>
          <w:p w14:paraId="34A0D5A6"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АС-5</w:t>
            </w:r>
          </w:p>
        </w:tc>
        <w:tc>
          <w:tcPr>
            <w:tcW w:w="2818" w:type="dxa"/>
          </w:tcPr>
          <w:p w14:paraId="19311A9F"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Имеется ВСТ</w:t>
            </w:r>
          </w:p>
        </w:tc>
      </w:tr>
      <w:tr w:rsidR="00F26F01" w:rsidRPr="00C33834" w14:paraId="34117753" w14:textId="77777777">
        <w:tc>
          <w:tcPr>
            <w:tcW w:w="2818" w:type="dxa"/>
          </w:tcPr>
          <w:p w14:paraId="541B48B0"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АФДЗ-50</w:t>
            </w:r>
          </w:p>
        </w:tc>
        <w:tc>
          <w:tcPr>
            <w:tcW w:w="2818" w:type="dxa"/>
          </w:tcPr>
          <w:p w14:paraId="35C079E8"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Временные техусловия</w:t>
            </w:r>
          </w:p>
        </w:tc>
      </w:tr>
      <w:tr w:rsidR="00F26F01" w:rsidRPr="00C33834" w14:paraId="046A17FC" w14:textId="77777777">
        <w:tc>
          <w:tcPr>
            <w:tcW w:w="2818" w:type="dxa"/>
          </w:tcPr>
          <w:p w14:paraId="1D1B6DEA"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ЗАМ-70</w:t>
            </w:r>
          </w:p>
        </w:tc>
        <w:tc>
          <w:tcPr>
            <w:tcW w:w="2818" w:type="dxa"/>
          </w:tcPr>
          <w:p w14:paraId="40547DC7"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Условно приняты</w:t>
            </w:r>
          </w:p>
        </w:tc>
      </w:tr>
      <w:tr w:rsidR="00F26F01" w:rsidRPr="00C33834" w14:paraId="4D1C1D0B" w14:textId="77777777">
        <w:tc>
          <w:tcPr>
            <w:tcW w:w="2818" w:type="dxa"/>
          </w:tcPr>
          <w:p w14:paraId="7526C61B"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ПБМ-40</w:t>
            </w:r>
          </w:p>
        </w:tc>
        <w:tc>
          <w:tcPr>
            <w:tcW w:w="2818" w:type="dxa"/>
          </w:tcPr>
          <w:p w14:paraId="6B8AF669"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Условно приняты</w:t>
            </w:r>
          </w:p>
        </w:tc>
      </w:tr>
      <w:tr w:rsidR="00F26F01" w:rsidRPr="00C33834" w14:paraId="14ABF888" w14:textId="77777777">
        <w:tc>
          <w:tcPr>
            <w:tcW w:w="2818" w:type="dxa"/>
          </w:tcPr>
          <w:p w14:paraId="4A93156C"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Пулеметы ПВ-1 7,62 мм</w:t>
            </w:r>
          </w:p>
        </w:tc>
        <w:tc>
          <w:tcPr>
            <w:tcW w:w="2818" w:type="dxa"/>
          </w:tcPr>
          <w:p w14:paraId="07A9B5B1"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Эталоны и чертежи</w:t>
            </w:r>
          </w:p>
        </w:tc>
      </w:tr>
      <w:tr w:rsidR="00F26F01" w:rsidRPr="00C33834" w14:paraId="3C883368" w14:textId="77777777">
        <w:tc>
          <w:tcPr>
            <w:tcW w:w="2818" w:type="dxa"/>
          </w:tcPr>
          <w:p w14:paraId="246A39D9"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A39F567"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имеются</w:t>
            </w:r>
          </w:p>
        </w:tc>
      </w:tr>
      <w:tr w:rsidR="00F26F01" w:rsidRPr="00C33834" w14:paraId="5D54B10B" w14:textId="77777777">
        <w:tc>
          <w:tcPr>
            <w:tcW w:w="2818" w:type="dxa"/>
          </w:tcPr>
          <w:p w14:paraId="5028DF18"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Пулеметы ДА-2 7,62 мм</w:t>
            </w:r>
          </w:p>
        </w:tc>
        <w:tc>
          <w:tcPr>
            <w:tcW w:w="2818" w:type="dxa"/>
          </w:tcPr>
          <w:p w14:paraId="4B036C0B"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Эталоны и чертежи</w:t>
            </w:r>
          </w:p>
        </w:tc>
      </w:tr>
      <w:tr w:rsidR="00F26F01" w:rsidRPr="00C33834" w14:paraId="5A08F995" w14:textId="77777777">
        <w:tc>
          <w:tcPr>
            <w:tcW w:w="2818" w:type="dxa"/>
          </w:tcPr>
          <w:p w14:paraId="1518E50A"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771775A4"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имеются</w:t>
            </w:r>
          </w:p>
        </w:tc>
      </w:tr>
      <w:tr w:rsidR="00F26F01" w:rsidRPr="00C33834" w14:paraId="043929E8" w14:textId="77777777">
        <w:tc>
          <w:tcPr>
            <w:tcW w:w="2818" w:type="dxa"/>
          </w:tcPr>
          <w:p w14:paraId="255B9D46"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Пулеметы ШКАС 7,62 мм</w:t>
            </w:r>
          </w:p>
        </w:tc>
        <w:tc>
          <w:tcPr>
            <w:tcW w:w="2818" w:type="dxa"/>
          </w:tcPr>
          <w:p w14:paraId="46AD5F98"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Эталонов не имеется</w:t>
            </w:r>
          </w:p>
        </w:tc>
      </w:tr>
      <w:tr w:rsidR="00F26F01" w:rsidRPr="00C33834" w14:paraId="7D1417B5" w14:textId="77777777">
        <w:tc>
          <w:tcPr>
            <w:tcW w:w="2818" w:type="dxa"/>
          </w:tcPr>
          <w:p w14:paraId="20095B09"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Пулеметы ДАК 12,7 мм</w:t>
            </w:r>
          </w:p>
        </w:tc>
        <w:tc>
          <w:tcPr>
            <w:tcW w:w="2818" w:type="dxa"/>
          </w:tcPr>
          <w:p w14:paraId="21F63320"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Эталонов не имеется</w:t>
            </w:r>
          </w:p>
        </w:tc>
      </w:tr>
      <w:tr w:rsidR="00F26F01" w:rsidRPr="00C33834" w14:paraId="32D429A1" w14:textId="77777777">
        <w:tc>
          <w:tcPr>
            <w:tcW w:w="2818" w:type="dxa"/>
          </w:tcPr>
          <w:p w14:paraId="06DE66BB"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ВАП-4</w:t>
            </w:r>
          </w:p>
        </w:tc>
        <w:tc>
          <w:tcPr>
            <w:tcW w:w="2818" w:type="dxa"/>
          </w:tcPr>
          <w:p w14:paraId="1D17BDAC"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Эталоны и чертежи есть</w:t>
            </w:r>
          </w:p>
        </w:tc>
      </w:tr>
      <w:tr w:rsidR="00F26F01" w:rsidRPr="00C33834" w14:paraId="0DEBFC74" w14:textId="77777777">
        <w:tc>
          <w:tcPr>
            <w:tcW w:w="2818" w:type="dxa"/>
          </w:tcPr>
          <w:p w14:paraId="104DDD88"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ДАП-100</w:t>
            </w:r>
          </w:p>
        </w:tc>
        <w:tc>
          <w:tcPr>
            <w:tcW w:w="2818" w:type="dxa"/>
          </w:tcPr>
          <w:p w14:paraId="16386E4B"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Эталоны и чертежи есть</w:t>
            </w:r>
          </w:p>
        </w:tc>
      </w:tr>
      <w:tr w:rsidR="00F26F01" w:rsidRPr="00C33834" w14:paraId="7AF72003" w14:textId="77777777">
        <w:tc>
          <w:tcPr>
            <w:tcW w:w="2818" w:type="dxa"/>
          </w:tcPr>
          <w:p w14:paraId="3140B360"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ДАП-200</w:t>
            </w:r>
          </w:p>
        </w:tc>
        <w:tc>
          <w:tcPr>
            <w:tcW w:w="2818" w:type="dxa"/>
          </w:tcPr>
          <w:p w14:paraId="1A2E3D6C"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Имеются временные</w:t>
            </w:r>
          </w:p>
        </w:tc>
      </w:tr>
      <w:tr w:rsidR="00F26F01" w:rsidRPr="00C33834" w14:paraId="6AF46D0C" w14:textId="77777777">
        <w:tc>
          <w:tcPr>
            <w:tcW w:w="2818" w:type="dxa"/>
          </w:tcPr>
          <w:p w14:paraId="759413BD"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4CC63537"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техусловия; заказывается</w:t>
            </w:r>
          </w:p>
        </w:tc>
      </w:tr>
      <w:tr w:rsidR="00F26F01" w:rsidRPr="00C33834" w14:paraId="59E99E73" w14:textId="77777777">
        <w:tc>
          <w:tcPr>
            <w:tcW w:w="2818" w:type="dxa"/>
          </w:tcPr>
          <w:p w14:paraId="3E085F0B"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6233023C"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опытная партия</w:t>
            </w:r>
          </w:p>
        </w:tc>
      </w:tr>
      <w:tr w:rsidR="00F26F01" w:rsidRPr="00C33834" w14:paraId="72D6FE74" w14:textId="77777777">
        <w:tc>
          <w:tcPr>
            <w:tcW w:w="2818" w:type="dxa"/>
          </w:tcPr>
          <w:p w14:paraId="727075C5"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Разливочные станции</w:t>
            </w:r>
          </w:p>
        </w:tc>
        <w:tc>
          <w:tcPr>
            <w:tcW w:w="2818" w:type="dxa"/>
          </w:tcPr>
          <w:p w14:paraId="5F62F828"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Находится в стадии опытных</w:t>
            </w:r>
          </w:p>
        </w:tc>
      </w:tr>
      <w:tr w:rsidR="00F26F01" w:rsidRPr="00C33834" w14:paraId="7E87CB50" w14:textId="77777777">
        <w:tc>
          <w:tcPr>
            <w:tcW w:w="2818" w:type="dxa"/>
          </w:tcPr>
          <w:p w14:paraId="3CECA5DF"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5DA42E0F"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w:t>
            </w:r>
          </w:p>
        </w:tc>
      </w:tr>
      <w:tr w:rsidR="00F26F01" w:rsidRPr="00C33834" w14:paraId="0BFA5D2C" w14:textId="77777777">
        <w:tc>
          <w:tcPr>
            <w:tcW w:w="2818" w:type="dxa"/>
          </w:tcPr>
          <w:p w14:paraId="3A8FC269"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Противогазы для летного</w:t>
            </w:r>
          </w:p>
        </w:tc>
        <w:tc>
          <w:tcPr>
            <w:tcW w:w="2818" w:type="dxa"/>
          </w:tcPr>
          <w:p w14:paraId="382203D9"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44975A8" w14:textId="77777777">
        <w:tc>
          <w:tcPr>
            <w:tcW w:w="2818" w:type="dxa"/>
          </w:tcPr>
          <w:p w14:paraId="1ED52373"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состава</w:t>
            </w:r>
          </w:p>
        </w:tc>
        <w:tc>
          <w:tcPr>
            <w:tcW w:w="2818" w:type="dxa"/>
          </w:tcPr>
          <w:p w14:paraId="71BDAAAC"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Эталонов не имеется (3058)</w:t>
            </w:r>
          </w:p>
        </w:tc>
      </w:tr>
    </w:tbl>
    <w:p w14:paraId="61337A88"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Основание: Протокол совещания у начальника УМТСиВ ВВС от 22.04.1933 года. (3058,31-36).</w:t>
      </w:r>
    </w:p>
    <w:p w14:paraId="0EF09EB5"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40053D6D" w14:textId="77777777" w:rsidR="000768A2" w:rsidRPr="00C33834" w:rsidRDefault="000768A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мая 1933 г.</w:t>
      </w:r>
    </w:p>
    <w:p w14:paraId="241256DD" w14:textId="77777777" w:rsidR="000768A2" w:rsidRPr="00C33834" w:rsidRDefault="000768A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БЮРО ПРЕЗИДИУМА ЦЕНТРАЛЬНОГО СОВЕТА СОЮЗА ОСОАВИАХИМ СССР</w:t>
      </w:r>
    </w:p>
    <w:p w14:paraId="6E9B3513" w14:textId="77777777" w:rsidR="000768A2" w:rsidRPr="00C33834" w:rsidRDefault="000768A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СЛУШАЛИ: Об увековечении памяти т. Цандера и обеспечении его семьи.</w:t>
      </w:r>
    </w:p>
    <w:p w14:paraId="534FFD1B" w14:textId="77777777" w:rsidR="000768A2" w:rsidRPr="00C33834" w:rsidRDefault="000768A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ПОСТАНОВИЛИ: 1. Присвоить ГИРД"у, основоположником которого и руководителем головной бригады по реактивному двигателю был т. ЦАНДЕР, - имя т. ЦАНДЕРА.</w:t>
      </w:r>
    </w:p>
    <w:p w14:paraId="3EADE188" w14:textId="77777777" w:rsidR="000768A2" w:rsidRPr="00C33834" w:rsidRDefault="000768A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Широко осветить в печати проделанную т. Ф.А.ЦАНДЕР работу в области реактивного двигателя.</w:t>
      </w:r>
    </w:p>
    <w:p w14:paraId="2FB1E763" w14:textId="77777777" w:rsidR="000768A2" w:rsidRPr="00C33834" w:rsidRDefault="000768A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Изучить, разработать и издать труды т. ЦАНДЕРА по реактивному движению.</w:t>
      </w:r>
    </w:p>
    <w:p w14:paraId="570697A8" w14:textId="77777777" w:rsidR="000768A2" w:rsidRPr="00C33834" w:rsidRDefault="000768A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4. Войти в Правительство с ходатайством об установлении семье покойного - персональной пенсии.</w:t>
      </w:r>
    </w:p>
    <w:p w14:paraId="32F4E7F1" w14:textId="77777777" w:rsidR="000768A2" w:rsidRPr="00C33834" w:rsidRDefault="000768A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Установить в Московском Авиаинституте одну стипендию имени Цандера для слушателей реактивной специальности.</w:t>
      </w:r>
    </w:p>
    <w:p w14:paraId="7872CF34" w14:textId="77777777" w:rsidR="000768A2" w:rsidRPr="00C33834" w:rsidRDefault="000768A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На могиле т. Ф.А.ЦАНДЕРА установить памятник.</w:t>
      </w:r>
    </w:p>
    <w:p w14:paraId="6784091B" w14:textId="77777777" w:rsidR="000768A2" w:rsidRPr="00C33834" w:rsidRDefault="000768A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Впредь до разрешения правительством вопроса о персональной пенсии семье т. Цандера, Нач. ГИРД"а выплачивать жене т. Цандера ставку, получающуюся т. Цандером.</w:t>
      </w:r>
    </w:p>
    <w:p w14:paraId="4F5E3D87" w14:textId="77777777" w:rsidR="000768A2" w:rsidRPr="00C33834" w:rsidRDefault="000768A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Выдать из резерва Президиума ЦС единовременное пособие семье т. Цандера в размере 2000 р.</w:t>
      </w:r>
    </w:p>
    <w:p w14:paraId="6D6B5362" w14:textId="77777777" w:rsidR="000768A2" w:rsidRPr="00C33834" w:rsidRDefault="000768A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Ассигновать из резерва Президиума необходимую сумму на обеспечение стипендии и установку памятника.</w:t>
      </w:r>
    </w:p>
    <w:p w14:paraId="496AD3A8" w14:textId="77777777" w:rsidR="000768A2" w:rsidRPr="00C33834" w:rsidRDefault="000768A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Секретариатом (Шестарикова)</w:t>
      </w:r>
    </w:p>
    <w:p w14:paraId="2246B404" w14:textId="77777777" w:rsidR="000768A2" w:rsidRPr="00C33834" w:rsidRDefault="000768A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ГАРФ. Ф. Р-9545. Оп. 1. Д. 2. Л. 25 (15814).</w:t>
      </w:r>
    </w:p>
    <w:p w14:paraId="0D74CB15" w14:textId="77777777" w:rsidR="000768A2" w:rsidRPr="00C33834" w:rsidRDefault="000768A2" w:rsidP="00C33834">
      <w:pPr>
        <w:spacing w:after="0" w:line="240" w:lineRule="auto"/>
        <w:jc w:val="both"/>
        <w:rPr>
          <w:rFonts w:ascii="Times New Roman" w:hAnsi="Times New Roman"/>
          <w:color w:val="000000" w:themeColor="text1"/>
          <w:sz w:val="16"/>
          <w:szCs w:val="16"/>
        </w:rPr>
      </w:pPr>
    </w:p>
    <w:p w14:paraId="549F9EFF" w14:textId="77777777" w:rsidR="001B0090"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AA38996" w14:textId="77777777" w:rsidR="001B0090" w:rsidRPr="00C33834" w:rsidRDefault="001B0090"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EE1F704" w14:textId="77777777" w:rsidR="001B0090" w:rsidRPr="00C33834" w:rsidRDefault="001B0090" w:rsidP="00C33834">
      <w:pPr>
        <w:pStyle w:val="rtejustify"/>
        <w:spacing w:before="0" w:after="0"/>
        <w:rPr>
          <w:color w:val="000000" w:themeColor="text1"/>
          <w:sz w:val="16"/>
          <w:szCs w:val="16"/>
        </w:rPr>
      </w:pPr>
      <w:r w:rsidRPr="00C33834">
        <w:rPr>
          <w:color w:val="000000" w:themeColor="text1"/>
          <w:sz w:val="16"/>
          <w:szCs w:val="16"/>
        </w:rPr>
        <w:t>13 мая 1933 г. Приказ РВС СССР № 046 «О порядке эксплуатации боевых машин в мотомехвойсках РККА» потребовал 50% всех боевых машин (танков, танкетак, бронемашин и трехосных автомобилей), состоящих на вооружении каждой части, содержать в неприкосновенном запасе в постоянной полной боевой готовности. Эти машины, говорилось в приказе, могут быть использованы лишь с разрешения наркома по военным и морским делам распоряжением начальника Управления механизации и моторизации РККА и командующих войсками округов только для маневров, опытных учений и инспекторских смотров по утвержденной наркомом программе. Норма эксплуатации для этой (первой) категории машин устанавливалась не более 50 мото-ро-часов в год.</w:t>
      </w:r>
    </w:p>
    <w:p w14:paraId="7DCE1EC7" w14:textId="77777777" w:rsidR="001B0090" w:rsidRPr="00C33834" w:rsidRDefault="001B0090" w:rsidP="00C33834">
      <w:pPr>
        <w:pStyle w:val="rtejustify"/>
        <w:spacing w:before="0" w:after="0"/>
        <w:rPr>
          <w:color w:val="000000" w:themeColor="text1"/>
          <w:sz w:val="16"/>
          <w:szCs w:val="16"/>
        </w:rPr>
      </w:pPr>
      <w:r w:rsidRPr="00C33834">
        <w:rPr>
          <w:color w:val="000000" w:themeColor="text1"/>
          <w:sz w:val="16"/>
          <w:szCs w:val="16"/>
        </w:rPr>
        <w:t>Оставшиеся боевые машины входили во вторую и третью категории эксплуатации. Вторую категорию машин (25%) разрешалось использовать только для строевой и тактической подготовки частей с расходом не более 100 моторо-часов на машину в год, а третью категорию (также 25% боевых машин) использовать для всех видов боевой учебы, обучения вождению личного состава, технических сборов и т.д. С расходом для этого не более 200 моторо-часов на машину в год (РГВА. Ф. 4. Оп. 15 а. Д. 352. Л. 75) (12605).</w:t>
      </w:r>
    </w:p>
    <w:p w14:paraId="677FBFB0" w14:textId="77777777" w:rsidR="001B0090" w:rsidRPr="00C33834" w:rsidRDefault="001B0090" w:rsidP="00C33834">
      <w:pPr>
        <w:spacing w:after="0" w:line="240" w:lineRule="auto"/>
        <w:jc w:val="both"/>
        <w:rPr>
          <w:rFonts w:ascii="Times New Roman" w:hAnsi="Times New Roman"/>
          <w:color w:val="000000" w:themeColor="text1"/>
          <w:sz w:val="16"/>
          <w:szCs w:val="16"/>
        </w:rPr>
      </w:pPr>
    </w:p>
    <w:p w14:paraId="2AE9A578" w14:textId="77777777" w:rsidR="00BB0DB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607DC0F6" w14:textId="77777777" w:rsidR="00BB0DBE" w:rsidRPr="00C33834" w:rsidRDefault="00BB0DB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3608B70" w14:textId="77777777" w:rsidR="00BB0DBE" w:rsidRPr="00C33834" w:rsidRDefault="00BB0DB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мая 1933 покончил с собой украинский писатель Николай Хвылевый (4962).</w:t>
      </w:r>
    </w:p>
    <w:p w14:paraId="39D21B02" w14:textId="77777777" w:rsidR="00BB0DBE" w:rsidRPr="00C33834" w:rsidRDefault="00BB0DB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62F4F7" w14:textId="77777777" w:rsidR="00BB0DB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0B5C8E63" w14:textId="77777777" w:rsidR="00BB0DBE" w:rsidRPr="00C33834" w:rsidRDefault="00BB0DB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8CF1998"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мая 1933 г. на обеде у Дирксена по случаю визита присутствовал почти полный состав Реввоенсовета СССР (Ворошилов, Тухачевский, Егоров, Буденный, Орлов, а также Корк, Ефимов, Меженинов, Сухоруков). Царило приподнятое настроение. Ворошилов во всеуслышание дал понять свое намерение сохранить связи между двумя армиями (Hilger Gustav. Op. cit. S. 246.). Присутствовавший на приеме Крестинский также отмечал, что «вечер прошел задушевно, военные старались подчеркнуть не только то, что рейхсвер хочет сохранить прежние германо-советские отношения, но что ему удается оказать в этом отношении соответствующее влияние на Гитлеpa» (АВП РФ, ф. 05, on. 13, п.91, д. 27, л. 39.). В беседах с Тухачевским и Фишманом 10 и 15 мая Боккельберг договорился о возобновлении опытно-испытательных работ на полигоне «Томка» в период с 15. 08 по 1. 11. (ADAP, Ser.C, Bd.I,2, Dok. № 252, Anlage 2.) (11784).</w:t>
      </w:r>
    </w:p>
    <w:p w14:paraId="3C15CDD0" w14:textId="77777777" w:rsidR="00BB0DBE" w:rsidRPr="00C33834" w:rsidRDefault="00BB0DBE" w:rsidP="00C33834">
      <w:pPr>
        <w:autoSpaceDE w:val="0"/>
        <w:autoSpaceDN w:val="0"/>
        <w:adjustRightInd w:val="0"/>
        <w:spacing w:after="0" w:line="240" w:lineRule="auto"/>
        <w:jc w:val="both"/>
        <w:rPr>
          <w:rFonts w:ascii="Times New Roman" w:hAnsi="Times New Roman"/>
          <w:color w:val="000000" w:themeColor="text1"/>
          <w:sz w:val="16"/>
          <w:szCs w:val="16"/>
        </w:rPr>
      </w:pPr>
    </w:p>
    <w:p w14:paraId="2B856620" w14:textId="77777777" w:rsidR="00197613" w:rsidRPr="00C33834" w:rsidRDefault="0019761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мая 1933 г. на обеде у Дирксена по случаю визита присутствовал почти полный состав Реввоенсовета СССР (Ворошилов, Тухачевский, Егоров, Буденный, Орлов, а также Корк, Ефимов, Меженинов, Сухоруков). Царило приподнятое настроение. Ворошилов во всеуслышание дал понять свое намерение сохранить связи между двумя армиями</w:t>
      </w:r>
      <w:hyperlink r:id="rId165" w:anchor="n_454" w:history="1">
        <w:r w:rsidRPr="00C33834">
          <w:rPr>
            <w:rStyle w:val="a5"/>
            <w:rFonts w:ascii="Times New Roman" w:hAnsi="Times New Roman"/>
            <w:color w:val="000000" w:themeColor="text1"/>
            <w:sz w:val="16"/>
            <w:szCs w:val="16"/>
          </w:rPr>
          <w:t>[454]</w:t>
        </w:r>
      </w:hyperlink>
      <w:r w:rsidRPr="00C33834">
        <w:rPr>
          <w:rFonts w:ascii="Times New Roman" w:hAnsi="Times New Roman"/>
          <w:color w:val="000000" w:themeColor="text1"/>
          <w:sz w:val="16"/>
          <w:szCs w:val="16"/>
        </w:rPr>
        <w:t>. Присутствовавший на приеме Крестинский также отмечал, что «вечер прошел задушевно, военные старались подчеркнуть не только то, что рейхсвер хочет сохранить прежние германо-советские отношения, но что ему удается оказать в этом отношении соответствующее влияние на Гитлеpa» (19269).</w:t>
      </w:r>
    </w:p>
    <w:p w14:paraId="37ABB0FE" w14:textId="2595DF18" w:rsidR="00197613" w:rsidRPr="00C33834" w:rsidRDefault="00197613" w:rsidP="00C33834">
      <w:pPr>
        <w:spacing w:after="0" w:line="240" w:lineRule="auto"/>
        <w:jc w:val="both"/>
        <w:rPr>
          <w:rFonts w:ascii="Times New Roman" w:hAnsi="Times New Roman"/>
          <w:color w:val="000000" w:themeColor="text1"/>
          <w:sz w:val="16"/>
          <w:szCs w:val="16"/>
        </w:rPr>
      </w:pPr>
    </w:p>
    <w:p w14:paraId="019C5844" w14:textId="24BE4DC8" w:rsidR="00E9787D" w:rsidRPr="00C33834" w:rsidRDefault="00E9787D" w:rsidP="00C33834">
      <w:pPr>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За рубежом:</w:t>
      </w:r>
    </w:p>
    <w:p w14:paraId="2F9CB1E8" w14:textId="77777777" w:rsidR="00E9787D" w:rsidRPr="00C33834" w:rsidRDefault="00E9787D" w:rsidP="00C33834">
      <w:pPr>
        <w:spacing w:after="0" w:line="240" w:lineRule="auto"/>
        <w:jc w:val="both"/>
        <w:rPr>
          <w:rFonts w:ascii="Times New Roman" w:hAnsi="Times New Roman"/>
          <w:i/>
          <w:iCs/>
          <w:color w:val="000000" w:themeColor="text1"/>
          <w:sz w:val="16"/>
          <w:szCs w:val="16"/>
        </w:rPr>
      </w:pPr>
    </w:p>
    <w:p w14:paraId="50151378" w14:textId="77777777" w:rsidR="00E9787D" w:rsidRPr="00C33834" w:rsidRDefault="00E9787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13 мая 1933 Основатель британской Aircraft Company, Charles H. Lowe-Wylde, погиб во время полета BAC Planette в аэропорту Мейдстона возле Западной Маллинг, Кент, Англия (20802).</w:t>
      </w:r>
    </w:p>
    <w:p w14:paraId="5398BCF5" w14:textId="77777777" w:rsidR="00E9787D" w:rsidRPr="00C33834" w:rsidRDefault="00E9787D" w:rsidP="00C33834">
      <w:pPr>
        <w:spacing w:after="0" w:line="240" w:lineRule="auto"/>
        <w:jc w:val="both"/>
        <w:rPr>
          <w:rFonts w:ascii="Times New Roman" w:hAnsi="Times New Roman"/>
          <w:color w:val="0070C0"/>
          <w:sz w:val="16"/>
          <w:szCs w:val="16"/>
        </w:rPr>
      </w:pPr>
    </w:p>
    <w:p w14:paraId="50B1D22B"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0D8A9EA"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2FB5E3C"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и 16 мая 1933 состоялись совещания (прот. 69 и 61) у начальника Глававиапрома П.И.Б. по вопросу облегчения веса ТБ-3 (АНТ-6) (1077,128).</w:t>
      </w:r>
    </w:p>
    <w:p w14:paraId="205AF0A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5BCFDE42"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мая 1933 года.</w:t>
      </w:r>
    </w:p>
    <w:p w14:paraId="508E79C5"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Отчет</w:t>
      </w:r>
    </w:p>
    <w:p w14:paraId="04E254B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испытанию вооруженного самолета Р6 2М17 N 2202</w:t>
      </w:r>
    </w:p>
    <w:p w14:paraId="79D86AEF"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7E8B421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ведущий самолет Кудрявцев</w:t>
      </w:r>
    </w:p>
    <w:p w14:paraId="3F736285"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Рябенко</w:t>
      </w:r>
    </w:p>
    <w:p w14:paraId="48974D0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6F72CEAC"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Снятие летно-тактических характеристик самолета для оценки возможности принятия данного типа на вооружение ВВС.</w:t>
      </w:r>
    </w:p>
    <w:p w14:paraId="226F811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прошел гос. испытание в двух вариантах:</w:t>
      </w:r>
    </w:p>
    <w:p w14:paraId="2AB90D4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Многоместный истребитель с бомбовой нагрузкой - 6х32=192 кг - полная нагрузка - 1770 кг.</w:t>
      </w:r>
    </w:p>
    <w:p w14:paraId="183F2B2C"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Морской разведчик с бомбовой нагрузкой 6х32=192 кг. Полная нагрузка - 2860 кг.</w:t>
      </w:r>
    </w:p>
    <w:p w14:paraId="4A67EA4F"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0F94C2C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Р6а-2М17 может быть принят на вооружение ВВС морей в качестве морского базового многоместного истребителя.</w:t>
      </w:r>
    </w:p>
    <w:p w14:paraId="5901EDB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N 2202 после устранения дефектов указанных в отчете и выполнения работ по пунктам 4 и 5 Выводов может быть использован в качестве эталона серии.</w:t>
      </w:r>
    </w:p>
    <w:p w14:paraId="3A0A5F80"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применения самолета в условиях морских театров в качестве дальнего разведчика и воздушного крейсера необходимо использовать достигнутое перегружение в 1090 кг (полетный вес 7500 кг) в специализированных сериях; путем увеличения емкости баков горючего с 1660 л до 2000 л, что дает радиус действия 900 км и увеличения стрелкового вооружения по калибру пулеметов и количеству патрон.</w:t>
      </w:r>
    </w:p>
    <w:p w14:paraId="3AFE844C"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использования самолета как бомбардировщика и торпедоносца низкого торпедометания предложить ЦАГИ проработать вопрос о возможности увеличения бомбовой нагрузки до 1000 кг и подвески торпед.</w:t>
      </w:r>
    </w:p>
    <w:p w14:paraId="5126266F"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постройке принят по плану 4 июля 1932 года</w:t>
      </w:r>
    </w:p>
    <w:p w14:paraId="3F9D4D7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Предъявление по плану было назначено 1 сентября 1932 года</w:t>
      </w:r>
    </w:p>
    <w:p w14:paraId="10B1793E"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Практически предъявлено в НИИ ВВС 9 декабря 1932 года</w:t>
      </w:r>
    </w:p>
    <w:p w14:paraId="0384FD0B"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Заводские испытания с 19 октября 1932 года оп 1 ноября 1932 года</w:t>
      </w:r>
    </w:p>
    <w:p w14:paraId="1FEC4758"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 на гос. испытания 10 декабря 1932 года</w:t>
      </w:r>
    </w:p>
    <w:p w14:paraId="4679C539"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закончены 27 декабря 1932 года</w:t>
      </w:r>
    </w:p>
    <w:p w14:paraId="488FF5C5"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Доиспытан 17 апреля 1933 года (3899,340-366).</w:t>
      </w:r>
    </w:p>
    <w:p w14:paraId="55D46D24"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516BF178"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мая 1933 года начальник 7 сектора НИИ ВВС писал письмо начальнику штаба ВВС.</w:t>
      </w:r>
    </w:p>
    <w:p w14:paraId="351B57F2"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Доношу, что УВИ НВ РККА развертывает работу по проектированию и постройке одноместного самолета, вооруженного ракетными снарядами.</w:t>
      </w:r>
    </w:p>
    <w:p w14:paraId="7509A019"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Тактико-технические требования к боевому самолету особого назначения под мотор М-34 НР - 750 л.с.</w:t>
      </w:r>
    </w:p>
    <w:p w14:paraId="0D4FE05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высотностью до 5000 м).</w:t>
      </w:r>
    </w:p>
    <w:p w14:paraId="4C5E0375"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 самолета</w:t>
      </w:r>
    </w:p>
    <w:p w14:paraId="4DB76C88"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Борьба с воздушным противником, главным образом, с его тяжелыми кораблями.</w:t>
      </w:r>
    </w:p>
    <w:p w14:paraId="10CB6CC2"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Применение в основном над своей территорией, в районе охраняемых объектов и на важных оперативных направлениях.</w:t>
      </w:r>
    </w:p>
    <w:p w14:paraId="67180FAA"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Использование отдельных машин для сопровождения своих тяжелых кораблей в качестве самолетов звена.</w:t>
      </w:r>
    </w:p>
    <w:p w14:paraId="211DC7A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Поражение наземных целей открытого и полузакрытого характера как в ближнем тылу противника, так и десантных групп противника на своей территории.</w:t>
      </w:r>
    </w:p>
    <w:p w14:paraId="0E80EB72"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II. Метод применения.</w:t>
      </w:r>
    </w:p>
    <w:p w14:paraId="02D53A7A"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в группе: звеном, отрядом, эскадрильей, Воздушный бой звеном, отрядом и одиночными самолетами (последнее как исключение).</w:t>
      </w:r>
    </w:p>
    <w:p w14:paraId="4931076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Ведение воздушного боя днем и ночью, как самостоятельного, так совместно с другими родами авиации и наземными средствами ПВО.</w:t>
      </w:r>
    </w:p>
    <w:p w14:paraId="78F6C7C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III. Летно-тактические данные</w:t>
      </w:r>
    </w:p>
    <w:p w14:paraId="2E5AEC58"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 полезной нагрузкой 321 кг и запасом горючего и смазочного обеспечивающими дальность полета 600 км на боевой высоте 7000 м должен обладать нижеследующими летными данными:</w:t>
      </w:r>
    </w:p>
    <w:p w14:paraId="7129B7B8"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максимальной горизонтальной скоростью на высоте 7000 м - 400 км/час</w:t>
      </w:r>
    </w:p>
    <w:p w14:paraId="687A002F"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временем подъема на 7000 м при нормальном пользовании газом 9-10 мин.</w:t>
      </w:r>
    </w:p>
    <w:p w14:paraId="2B65EC1C"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практическим потолком - 10000-12000 м</w:t>
      </w:r>
    </w:p>
    <w:p w14:paraId="001FAA45"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посадочной скоростью - 70-90 км/час.</w:t>
      </w:r>
    </w:p>
    <w:p w14:paraId="59D3C01A"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Емкость баков самолета должна обеспечивать дальность полета 700 км.</w:t>
      </w:r>
    </w:p>
    <w:p w14:paraId="2B7D97A4"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V. Конструкция</w:t>
      </w:r>
    </w:p>
    <w:p w14:paraId="0C2F298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должен иметь закрытую (герметическая не требуется) кабину с хорошим обзором и с запасом кислорода, обеспечивающим полет на высоте 7000-8000 м продолжительностью на всю дальность полета.</w:t>
      </w:r>
    </w:p>
    <w:p w14:paraId="0859B7D4"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Обзор вперед (в интересах навигации и воздушного боя) должен быть обеспечен в полную полусферу, назад и в стороны должен обеспечить беспрепятственное хождение в строю и гарантировать от внезапного нападения противника.</w:t>
      </w:r>
    </w:p>
    <w:p w14:paraId="74EDFCEE"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Предусмотреть и выполнить обогрев пилота от мотора.</w:t>
      </w:r>
    </w:p>
    <w:p w14:paraId="690D2A2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Конструкция фюзеляжа должна предусматривать защиту летчика при капоте.</w:t>
      </w:r>
    </w:p>
    <w:p w14:paraId="3916DF0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Должна быть обеспечена возможность легкого выпрыгивания летчика на парашюте.</w:t>
      </w:r>
    </w:p>
    <w:p w14:paraId="3D76E69C"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Сиденье должно быть регулирующимся под рост летчика и обеспечивать ему полное удобство пилотирования и стрельбы в зимнем полетном обмундировании с парашютом.</w:t>
      </w:r>
    </w:p>
    <w:p w14:paraId="1579CB10"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должен обладать тормозными колесами.</w:t>
      </w:r>
    </w:p>
    <w:p w14:paraId="7C6FD6DC"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__</w:t>
      </w:r>
    </w:p>
    <w:p w14:paraId="6992C302"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Требования к вооружению:</w:t>
      </w:r>
    </w:p>
    <w:p w14:paraId="3E502521"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 должно обеспечить ведение прицельного огня снарядами на дистанцию не менее 1500 м и пулеметного не менее 1000 м.</w:t>
      </w:r>
    </w:p>
    <w:p w14:paraId="23AD3111"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 должно состоять из:</w:t>
      </w:r>
    </w:p>
    <w:p w14:paraId="464016FE"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Жестко установленного пулемета Шкасс с 1000 тыс. патрон к нему.</w:t>
      </w:r>
    </w:p>
    <w:p w14:paraId="23BEE27F"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Двух барабанного типа (в каждом по 6 снарядов) ракетных орудий под снаряды ракетного действия калибром 82 мм (3899,215-233).</w:t>
      </w:r>
    </w:p>
    <w:p w14:paraId="6D03DBE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25B4AB7A" w14:textId="77777777" w:rsidR="00EC1465" w:rsidRPr="00C33834" w:rsidRDefault="00EC1465" w:rsidP="00C33834">
      <w:pPr>
        <w:spacing w:after="0" w:line="240" w:lineRule="auto"/>
        <w:jc w:val="both"/>
        <w:rPr>
          <w:rFonts w:ascii="Times New Roman" w:eastAsia="Times New Roman" w:hAnsi="Times New Roman"/>
          <w:color w:val="0070C0"/>
          <w:sz w:val="16"/>
          <w:szCs w:val="16"/>
          <w:shd w:val="clear" w:color="auto" w:fill="DCDCDC"/>
          <w:lang w:eastAsia="ru-RU"/>
        </w:rPr>
      </w:pPr>
      <w:r w:rsidRPr="00C33834">
        <w:rPr>
          <w:rFonts w:ascii="Times New Roman" w:hAnsi="Times New Roman"/>
          <w:color w:val="0070C0"/>
          <w:sz w:val="16"/>
          <w:szCs w:val="16"/>
        </w:rPr>
        <w:t>14 мая 1933 хвостовая балка Г-37 разрушилась под нагрузкой в 1004 кг. За две недели конструкцию доработали, выполнив ряд местных усилений, и 29 мая балка выдержала нагрузку уже более 1400 кг (19841).</w:t>
      </w:r>
    </w:p>
    <w:p w14:paraId="1F232942" w14:textId="77777777" w:rsidR="00EC1465" w:rsidRPr="00C33834" w:rsidRDefault="00EC1465" w:rsidP="00C33834">
      <w:pPr>
        <w:spacing w:after="0" w:line="240" w:lineRule="auto"/>
        <w:jc w:val="both"/>
        <w:rPr>
          <w:rFonts w:ascii="Times New Roman" w:eastAsia="Times New Roman" w:hAnsi="Times New Roman"/>
          <w:color w:val="0070C0"/>
          <w:sz w:val="16"/>
          <w:szCs w:val="16"/>
          <w:shd w:val="clear" w:color="auto" w:fill="DCDCDC"/>
          <w:lang w:eastAsia="ru-RU"/>
        </w:rPr>
      </w:pPr>
    </w:p>
    <w:p w14:paraId="123E1B8F" w14:textId="77777777" w:rsidR="00EC1465" w:rsidRPr="00C33834" w:rsidRDefault="00EC146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период с 14 мая по 2 июня 1933 на автожире А-4 произвели 10 полетов, в том числе один полет на вы</w:t>
      </w:r>
      <w:r w:rsidRPr="00C33834">
        <w:rPr>
          <w:rFonts w:ascii="Times New Roman" w:hAnsi="Times New Roman"/>
          <w:color w:val="0070C0"/>
          <w:sz w:val="16"/>
          <w:szCs w:val="16"/>
        </w:rPr>
        <w:softHyphen/>
        <w:t>соту 3360 м. 12 июля ротор переставили на первый опыт</w:t>
      </w:r>
      <w:r w:rsidRPr="00C33834">
        <w:rPr>
          <w:rFonts w:ascii="Times New Roman" w:hAnsi="Times New Roman"/>
          <w:color w:val="0070C0"/>
          <w:sz w:val="16"/>
          <w:szCs w:val="16"/>
        </w:rPr>
        <w:softHyphen/>
        <w:t>ный А-4 постройки ЗОК, после чего 13 июля летчик Попов выполнил пробный полет на высоте 350 м. 17 августа произошла очередная поломка в момент посадки.</w:t>
      </w:r>
    </w:p>
    <w:p w14:paraId="73B3E9E7" w14:textId="77777777" w:rsidR="00EC1465" w:rsidRPr="00C33834" w:rsidRDefault="00EC146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Как видим, испытательные полеты автожиров А-4 проис</w:t>
      </w:r>
      <w:r w:rsidRPr="00C33834">
        <w:rPr>
          <w:rFonts w:ascii="Times New Roman" w:hAnsi="Times New Roman"/>
          <w:color w:val="0070C0"/>
          <w:sz w:val="16"/>
          <w:szCs w:val="16"/>
        </w:rPr>
        <w:softHyphen/>
        <w:t>ходили с преодолением многочисленных трудностей. Ле</w:t>
      </w:r>
      <w:r w:rsidRPr="00C33834">
        <w:rPr>
          <w:rFonts w:ascii="Times New Roman" w:hAnsi="Times New Roman"/>
          <w:color w:val="0070C0"/>
          <w:sz w:val="16"/>
          <w:szCs w:val="16"/>
        </w:rPr>
        <w:softHyphen/>
        <w:t>том 1933 г. два первых автожира (московской и киевской постройки) летали уже вполне уверенно - по состоянию на 4 августа они совершили 28 полетов с общим полетным временем 7 часов 53 минуты (20381).</w:t>
      </w:r>
    </w:p>
    <w:p w14:paraId="58214285" w14:textId="77777777" w:rsidR="00EC1465" w:rsidRPr="00C33834" w:rsidRDefault="00EC1465" w:rsidP="00C33834">
      <w:pPr>
        <w:spacing w:after="0" w:line="240" w:lineRule="auto"/>
        <w:jc w:val="both"/>
        <w:rPr>
          <w:rFonts w:ascii="Times New Roman" w:hAnsi="Times New Roman"/>
          <w:color w:val="0070C0"/>
          <w:sz w:val="16"/>
          <w:szCs w:val="16"/>
        </w:rPr>
      </w:pPr>
    </w:p>
    <w:p w14:paraId="48182ED8"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2C9ED1B"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79A2070"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мая 1933 в ш Нью Йорк, США, Американское межпланетное общество осуществило пуск ракеты своей конструкции N 2. Полет продолжался 2 сек. и была достигнута высота 80 м (2990).</w:t>
      </w:r>
    </w:p>
    <w:p w14:paraId="6EDB5DA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70A497F9"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567103C"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DE6B37A"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мая 1933 началась постройка АНТ-31бис (И-14бис) (514).</w:t>
      </w:r>
    </w:p>
    <w:p w14:paraId="6680158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5AC6BD73"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мая 1933 на гос. испытания был сдан Р-5 с разрезным крылом (2287,231).</w:t>
      </w:r>
    </w:p>
    <w:p w14:paraId="155EC3B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6F86FC46" w14:textId="77777777" w:rsidR="008524B2" w:rsidRPr="00C33834" w:rsidRDefault="008524B2"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мая 1933 года ЦАГИ был предъявлен 2-й вариант разрезных крыльев на самолет Р-5 для производства гос. испытаний (4235).</w:t>
      </w:r>
    </w:p>
    <w:p w14:paraId="2888FD7F" w14:textId="77777777" w:rsidR="008524B2" w:rsidRPr="00C33834" w:rsidRDefault="008524B2"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A71B28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мая 1933 состоялось заседание у Врид нач. ГУАП Макаровского (протокол 60):</w:t>
      </w:r>
    </w:p>
    <w:p w14:paraId="66DB94A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Слушали: Сроки утверждения эталонов самолетов" (2291,142).</w:t>
      </w:r>
    </w:p>
    <w:p w14:paraId="10E2A4CF"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Постановили:</w:t>
      </w:r>
    </w:p>
    <w:p w14:paraId="61D96061"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И-5</w:t>
      </w:r>
    </w:p>
    <w:p w14:paraId="6B535881"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Обязать ЦАГИ эталон И-5 М-22 сдать в полет УВВС 30 мая</w:t>
      </w:r>
    </w:p>
    <w:p w14:paraId="777742F2"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Р-5</w:t>
      </w:r>
    </w:p>
    <w:p w14:paraId="3550484F"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Обязать завод 1 эталон Р-5 20 мая передать с лета в НИИ УВВС</w:t>
      </w:r>
    </w:p>
    <w:p w14:paraId="63F2C50E"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И-7</w:t>
      </w:r>
    </w:p>
    <w:p w14:paraId="737E996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Принять к сведению заявление Косткина о том, что эталон И-7 будет сдан с лета НИИ УВВС 20 мая</w:t>
      </w:r>
    </w:p>
    <w:p w14:paraId="5AD0E7A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МБР-4</w:t>
      </w:r>
    </w:p>
    <w:p w14:paraId="1B53D1A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Принять к сведению заявление Косткина о том, что эталон МБР-4 будет сдан с лета НИИ УВВС 1 июня." (2291).</w:t>
      </w:r>
    </w:p>
    <w:p w14:paraId="799EC14A"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5A6A3AFA"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мая 1933 Нач. бригады 3 ЦКБ завода 39 Чижевским была подготовлена заявка на приборы для высотного самолета (2304,12).</w:t>
      </w:r>
    </w:p>
    <w:p w14:paraId="386575D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Высокий полет предъявляет целый ряд новых требований к аэронавигационным и измерительным приборам, помещаемым на самолете. Отсутствие этих приборов на Советском рынке вынуждает составить настоящую заявку.</w:t>
      </w:r>
    </w:p>
    <w:p w14:paraId="27669DF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Кислородные приборы</w:t>
      </w:r>
    </w:p>
    <w:p w14:paraId="26C6AC94"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Кислородный прибор Гейланда. Прибор является оригинальным и до настоящего времени образца, сделанного у нас, не имеется. Прибор замечателен тем, что имеет специальную насадку для продуапния воздуха кабины, который увлекается выходящей струей кислорода.</w:t>
      </w:r>
    </w:p>
    <w:p w14:paraId="2ED764CF"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Воздух продувается через регенеративный патрон, который поглощает углекислоту.</w:t>
      </w:r>
    </w:p>
    <w:p w14:paraId="18433823"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Регенеративные патроны Гейланда выписываются в количестве 5-ти шт., как необходимый комплект для полета и образщцы, по которым можно будет изготовить последующие экземпляры у нас в СССР.</w:t>
      </w:r>
    </w:p>
    <w:p w14:paraId="65CD4F82"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Кислородный прибор с сухим кислородом также не имеется в СССР и покупка его позволяет обойтись без сжатого и жидкого кислорода, отсутствие которых могло бы задержать высотный полет.</w:t>
      </w:r>
    </w:p>
    <w:p w14:paraId="1070224B"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Приборы, регулирующие давление</w:t>
      </w:r>
    </w:p>
    <w:p w14:paraId="38E0589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Точный прибор записи давления до двух атмосфер позволит заснять полную картину изменения давления в кабине, что весьма важно, как для характеристики герметичности гондолы, так и для проверки работы автоматического регулятора давления кислородного прибора.</w:t>
      </w:r>
    </w:p>
    <w:p w14:paraId="11B334F5"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Автоматический регулятор давлениея имеет своим назначением поддерживать заданное давление и должен быть выполнен весьма надежно, т.к. сообщается с наружной атмосферой.</w:t>
      </w:r>
    </w:p>
    <w:p w14:paraId="230352E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Аэронавигационные приборы</w:t>
      </w:r>
    </w:p>
    <w:p w14:paraId="51902EB9"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Безинерционный компас (с катодной лампой) разрешит весьма трудный в настоящее время вопрос пользования обычным компасом, который подвержен действию расположенных вокруг него стальных деталей. Безинерционный компас представляет очень интересный новый прибор, который необходимо изучить и внедрить у нас в Союзе...(2304,39).</w:t>
      </w:r>
    </w:p>
    <w:p w14:paraId="235D6200"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508557F7" w14:textId="77777777" w:rsidR="00185C06" w:rsidRPr="00C33834" w:rsidRDefault="00185C06" w:rsidP="00C33834">
      <w:pPr>
        <w:pStyle w:val="a3"/>
        <w:rPr>
          <w:color w:val="000000" w:themeColor="text1"/>
          <w:lang w:val="ru-RU"/>
        </w:rPr>
      </w:pPr>
      <w:r w:rsidRPr="00C33834">
        <w:rPr>
          <w:color w:val="000000" w:themeColor="text1"/>
          <w:lang w:val="ru-RU"/>
        </w:rPr>
        <w:t>15 мая 1933 г. было письмо заместителя генерала Нобиле по КБ лейтенанта Ф. Трояни на имя министра авиации Италии, которое стало известным. Неза</w:t>
      </w:r>
      <w:r w:rsidRPr="00C33834">
        <w:rPr>
          <w:color w:val="000000" w:themeColor="text1"/>
          <w:lang w:val="ru-RU"/>
        </w:rPr>
        <w:softHyphen/>
        <w:t xml:space="preserve">служенно третируемый своим тщеславным начальником инженер, 6 недель (за время болезни Нобиле) несший скандальную ответственность за сборку В-5, весьма корректно </w:t>
      </w:r>
      <w:r w:rsidRPr="00C33834">
        <w:rPr>
          <w:color w:val="000000" w:themeColor="text1"/>
          <w:lang w:val="ru-RU"/>
        </w:rPr>
        <w:lastRenderedPageBreak/>
        <w:t>поведал маршалу о просчетах генерала, как специалиста. Для себя же автор письма просил лишь поддержки и совета от соратника по партии.</w:t>
      </w:r>
    </w:p>
    <w:p w14:paraId="268C80E3" w14:textId="77777777" w:rsidR="00185C06" w:rsidRPr="00C33834" w:rsidRDefault="00185C06" w:rsidP="00C33834">
      <w:pPr>
        <w:pStyle w:val="a3"/>
        <w:rPr>
          <w:color w:val="000000" w:themeColor="text1"/>
          <w:lang w:val="ru-RU"/>
        </w:rPr>
      </w:pPr>
      <w:r w:rsidRPr="00C33834">
        <w:rPr>
          <w:color w:val="000000" w:themeColor="text1"/>
          <w:lang w:val="ru-RU"/>
        </w:rPr>
        <w:t>Тем не менее, в КБ Нобиле полным ходом шла не только разработка рабочих чертежей по В-6, но решались и другие сложные и срочные задачи:</w:t>
      </w:r>
    </w:p>
    <w:p w14:paraId="77395C5A" w14:textId="77777777" w:rsidR="00185C06" w:rsidRPr="00C33834" w:rsidRDefault="00185C06" w:rsidP="00C33834">
      <w:pPr>
        <w:pStyle w:val="a3"/>
        <w:widowControl/>
        <w:tabs>
          <w:tab w:val="left" w:pos="433"/>
        </w:tabs>
        <w:autoSpaceDE/>
        <w:autoSpaceDN/>
        <w:adjustRightInd/>
        <w:rPr>
          <w:color w:val="000000" w:themeColor="text1"/>
          <w:lang w:val="ru-RU"/>
        </w:rPr>
      </w:pPr>
      <w:r w:rsidRPr="00C33834">
        <w:rPr>
          <w:color w:val="000000" w:themeColor="text1"/>
          <w:lang w:val="ru-RU"/>
        </w:rPr>
        <w:t>-по проектам жесткого и полужесткого дирижаблей объемом в 100000 и 56000 м</w:t>
      </w:r>
      <w:r w:rsidRPr="00C33834">
        <w:rPr>
          <w:color w:val="000000" w:themeColor="text1"/>
          <w:vertAlign w:val="superscript"/>
          <w:lang w:val="ru-RU"/>
        </w:rPr>
        <w:t>3</w:t>
      </w:r>
      <w:r w:rsidRPr="00C33834">
        <w:rPr>
          <w:color w:val="000000" w:themeColor="text1"/>
          <w:lang w:val="ru-RU"/>
        </w:rPr>
        <w:t>;</w:t>
      </w:r>
    </w:p>
    <w:p w14:paraId="6E98EB5E" w14:textId="77777777" w:rsidR="00185C06" w:rsidRPr="00C33834" w:rsidRDefault="00185C06" w:rsidP="00C33834">
      <w:pPr>
        <w:pStyle w:val="a3"/>
        <w:widowControl/>
        <w:tabs>
          <w:tab w:val="left" w:pos="433"/>
        </w:tabs>
        <w:autoSpaceDE/>
        <w:autoSpaceDN/>
        <w:adjustRightInd/>
        <w:rPr>
          <w:color w:val="000000" w:themeColor="text1"/>
          <w:lang w:val="ru-RU"/>
        </w:rPr>
      </w:pPr>
      <w:r w:rsidRPr="00C33834">
        <w:rPr>
          <w:color w:val="000000" w:themeColor="text1"/>
          <w:lang w:val="ru-RU"/>
        </w:rPr>
        <w:t>- исследовались варианты двух полу</w:t>
      </w:r>
      <w:r w:rsidRPr="00C33834">
        <w:rPr>
          <w:color w:val="000000" w:themeColor="text1"/>
          <w:lang w:val="ru-RU"/>
        </w:rPr>
        <w:softHyphen/>
        <w:t>жестких кораблей объемом в 28000 (для высотных) и в 100000 м</w:t>
      </w:r>
      <w:r w:rsidRPr="00C33834">
        <w:rPr>
          <w:color w:val="000000" w:themeColor="text1"/>
          <w:vertAlign w:val="superscript"/>
          <w:lang w:val="ru-RU"/>
        </w:rPr>
        <w:t>3</w:t>
      </w:r>
      <w:r w:rsidRPr="00C33834">
        <w:rPr>
          <w:color w:val="000000" w:themeColor="text1"/>
          <w:lang w:val="ru-RU"/>
        </w:rPr>
        <w:t xml:space="preserve"> (для стратосферных полетов-до 11000 м).</w:t>
      </w:r>
    </w:p>
    <w:p w14:paraId="7B8A6CF5" w14:textId="77777777" w:rsidR="00185C06" w:rsidRPr="00C33834" w:rsidRDefault="00185C06" w:rsidP="00C33834">
      <w:pPr>
        <w:pStyle w:val="a3"/>
        <w:rPr>
          <w:color w:val="000000" w:themeColor="text1"/>
          <w:lang w:val="ru-RU"/>
        </w:rPr>
      </w:pPr>
      <w:r w:rsidRPr="00C33834">
        <w:rPr>
          <w:color w:val="000000" w:themeColor="text1"/>
          <w:lang w:val="ru-RU"/>
        </w:rPr>
        <w:t>К концу августа почти весь проект В-6 (3500 чертежей) был передан в произ</w:t>
      </w:r>
      <w:r w:rsidRPr="00C33834">
        <w:rPr>
          <w:color w:val="000000" w:themeColor="text1"/>
          <w:lang w:val="ru-RU"/>
        </w:rPr>
        <w:softHyphen/>
        <w:t>водство. Но не готовым оказался первый металлический эллинг для сборки корабля, доставленный на площадку из Бердичева. По требованию Нобиле, помня просчеты по В-5, его размеры были увеличены по высоте до 33,28 м и в длину до 178,0 м (на два пролета колонн). Так что сборка В-6 откладывалась до января 1934 г.</w:t>
      </w:r>
    </w:p>
    <w:p w14:paraId="0882DDEE" w14:textId="77777777" w:rsidR="00185C06" w:rsidRPr="00C33834" w:rsidRDefault="00185C06" w:rsidP="00C33834">
      <w:pPr>
        <w:pStyle w:val="a3"/>
        <w:rPr>
          <w:color w:val="000000" w:themeColor="text1"/>
          <w:lang w:val="ru-RU"/>
        </w:rPr>
      </w:pPr>
      <w:r w:rsidRPr="00C33834">
        <w:rPr>
          <w:color w:val="000000" w:themeColor="text1"/>
          <w:lang w:val="ru-RU"/>
        </w:rPr>
        <w:t>Надо заметить, что нужды и заботы «Дирижаблестроя» с самого начала, в силу своей специфики не находили должного понимания в «Аэрофлоте», изначально нацеленного на задачи стремительно разви</w:t>
      </w:r>
      <w:r w:rsidRPr="00C33834">
        <w:rPr>
          <w:color w:val="000000" w:themeColor="text1"/>
          <w:lang w:val="ru-RU"/>
        </w:rPr>
        <w:softHyphen/>
        <w:t>вающейся гражданской авиации с ее аэро</w:t>
      </w:r>
      <w:r w:rsidRPr="00C33834">
        <w:rPr>
          <w:color w:val="000000" w:themeColor="text1"/>
          <w:lang w:val="ru-RU"/>
        </w:rPr>
        <w:softHyphen/>
        <w:t>дромной инфраструктурой по городам и весям необъятного СССР. Воздухоплавание оставалось, какбы, падчерицей ведомства, у которого и собственных проблем хватало выше крыши. Достаточно сказать хотябы о том, что 5 сентября 1933 г. в авиационной катастрофе погибли начальники ГУ ГВФ и ГУАП А.З. Гольцман и П.И. Баранов. Мы не располагаем полными данными по авариям и катастрофам в ГВФ СССР за 1933 г. Но соотнесем их с рассекреченным отчетом за 1934 г., когда «Аэрофлотом» руководил, сменивший А.З. Гольцмана, не</w:t>
      </w:r>
      <w:r w:rsidRPr="00C33834">
        <w:rPr>
          <w:color w:val="000000" w:themeColor="text1"/>
          <w:lang w:val="ru-RU"/>
        </w:rPr>
        <w:softHyphen/>
        <w:t>давний заместитель наркомвоенмора СССР И.С. Уншлихт. Тогда было разбито само</w:t>
      </w:r>
      <w:r w:rsidRPr="00C33834">
        <w:rPr>
          <w:color w:val="000000" w:themeColor="text1"/>
          <w:lang w:val="ru-RU"/>
        </w:rPr>
        <w:softHyphen/>
        <w:t>летов - 348, погибло и ранено - 132 чел.; признаны виновными - 507 специалистов, в т.ч. привлечено ксуду- 190(РГАЭ.Ф. 9527, оп.2,д. 3, л. 45) (12732).</w:t>
      </w:r>
    </w:p>
    <w:p w14:paraId="1F88AEBB" w14:textId="77777777" w:rsidR="00185C06" w:rsidRPr="00C33834" w:rsidRDefault="00185C06" w:rsidP="00C33834">
      <w:pPr>
        <w:pStyle w:val="a3"/>
        <w:rPr>
          <w:color w:val="000000" w:themeColor="text1"/>
          <w:lang w:val="ru-RU"/>
        </w:rPr>
      </w:pPr>
    </w:p>
    <w:p w14:paraId="5A58A308" w14:textId="77777777" w:rsidR="00EC1465" w:rsidRPr="00C33834" w:rsidRDefault="00EC146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мая 1933 опросом членов ПБ</w:t>
      </w:r>
    </w:p>
    <w:p w14:paraId="157357FB" w14:textId="77777777" w:rsidR="00EC1465" w:rsidRPr="00C33834" w:rsidRDefault="00EC146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52/31.- О продлении линии "Дерулюфта"</w:t>
      </w:r>
    </w:p>
    <w:p w14:paraId="0502E525" w14:textId="77777777" w:rsidR="00EC1465" w:rsidRPr="00C33834" w:rsidRDefault="00EC146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(ПБ от 23.1У.33 г.,пр. № 136, пI. 143/119).</w:t>
      </w:r>
    </w:p>
    <w:p w14:paraId="5B1D6F51" w14:textId="77777777" w:rsidR="00EC1465" w:rsidRPr="00C33834" w:rsidRDefault="00EC146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Отклонить предложение "Люфтганза" о продлении линии "Дерулюфта" до китайской границы.</w:t>
      </w:r>
    </w:p>
    <w:p w14:paraId="13445D15" w14:textId="77777777" w:rsidR="00EC1465" w:rsidRPr="00C33834" w:rsidRDefault="00EC146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Выписка послана: тов.Гольцману.</w:t>
      </w:r>
    </w:p>
    <w:p w14:paraId="40B39C43" w14:textId="77777777" w:rsidR="00EC1465" w:rsidRPr="00C33834" w:rsidRDefault="00EC146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июня 1933 состоялось заседание ПБ и был оформлен протокол № 138 (22988).</w:t>
      </w:r>
    </w:p>
    <w:p w14:paraId="457E8191" w14:textId="77777777" w:rsidR="00EC1465" w:rsidRPr="00C33834" w:rsidRDefault="00EC1465" w:rsidP="00C33834">
      <w:pPr>
        <w:spacing w:after="0" w:line="240" w:lineRule="auto"/>
        <w:jc w:val="both"/>
        <w:rPr>
          <w:rFonts w:ascii="Times New Roman" w:hAnsi="Times New Roman"/>
          <w:color w:val="0070C0"/>
          <w:sz w:val="16"/>
          <w:szCs w:val="16"/>
        </w:rPr>
      </w:pPr>
    </w:p>
    <w:p w14:paraId="59A40969" w14:textId="77777777" w:rsidR="0058354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509D3F2" w14:textId="77777777" w:rsidR="0058354C" w:rsidRPr="00C33834" w:rsidRDefault="0058354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5149360"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мая 1933 г. с конвейера ЧТЗ сошел первый серийный «Сталинец» С-60. В качестве прототипа серийной машины был окончательно утвержден трактор №4.</w:t>
      </w:r>
    </w:p>
    <w:p w14:paraId="6166A702" w14:textId="77777777" w:rsidR="0058354C" w:rsidRPr="00C33834" w:rsidRDefault="0058354C" w:rsidP="00C33834">
      <w:pPr>
        <w:spacing w:after="0" w:line="240" w:lineRule="auto"/>
        <w:jc w:val="both"/>
        <w:rPr>
          <w:rFonts w:ascii="Times New Roman" w:hAnsi="Times New Roman"/>
          <w:color w:val="000000" w:themeColor="text1"/>
          <w:sz w:val="16"/>
          <w:szCs w:val="16"/>
        </w:rPr>
      </w:pPr>
    </w:p>
    <w:p w14:paraId="3A21EF76"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мая 1933 г. с конвейера ЧТЗ сошел первый трактор промышленного производства «Стапинец-60» (С-60), а 1 июня завод полностью вошел в строй. К тому времени собрали 13 машин установочной партии. К 7 ноября 1933 г. на ЧТЗ выпустили тысячный трактор С-60. Всего за 1933 г. изготовили 1650 машин, за 1934 г. — 10100, за 1935 г. - 20450, за 1936 г. - 29059, до 31 марта 1937 г. - 8002 (в марте - 2810) (12258).</w:t>
      </w:r>
    </w:p>
    <w:p w14:paraId="42EC65BF" w14:textId="77777777" w:rsidR="0058354C" w:rsidRPr="00C33834" w:rsidRDefault="0058354C" w:rsidP="00C33834">
      <w:pPr>
        <w:spacing w:after="0" w:line="240" w:lineRule="auto"/>
        <w:jc w:val="both"/>
        <w:rPr>
          <w:rFonts w:ascii="Times New Roman" w:hAnsi="Times New Roman"/>
          <w:color w:val="000000" w:themeColor="text1"/>
          <w:sz w:val="16"/>
          <w:szCs w:val="16"/>
        </w:rPr>
      </w:pPr>
    </w:p>
    <w:p w14:paraId="02082F1A" w14:textId="77777777" w:rsidR="00180F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0F039C57" w14:textId="77777777" w:rsidR="00180F83" w:rsidRPr="00C33834" w:rsidRDefault="00180F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8916950" w14:textId="77777777" w:rsidR="00180F83" w:rsidRPr="00C33834" w:rsidRDefault="00180F8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мая в 1933 году были утверждены единые для всех регионов страны «Правила движения автомобильного и гужевого транспорта по дорогам СССР» (14892).</w:t>
      </w:r>
    </w:p>
    <w:p w14:paraId="1D81D2EB" w14:textId="77777777" w:rsidR="00180F83" w:rsidRPr="00C33834" w:rsidRDefault="00180F83" w:rsidP="00C33834">
      <w:pPr>
        <w:spacing w:after="0" w:line="240" w:lineRule="auto"/>
        <w:jc w:val="both"/>
        <w:rPr>
          <w:rFonts w:ascii="Times New Roman" w:hAnsi="Times New Roman"/>
          <w:color w:val="000000" w:themeColor="text1"/>
          <w:sz w:val="16"/>
          <w:szCs w:val="16"/>
        </w:rPr>
      </w:pPr>
    </w:p>
    <w:p w14:paraId="18854555" w14:textId="77777777" w:rsidR="0042145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BC19E0D" w14:textId="77777777" w:rsidR="00421459" w:rsidRPr="00C33834" w:rsidRDefault="0042145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DD94032" w14:textId="77777777" w:rsidR="00DD6690" w:rsidRPr="00C33834" w:rsidRDefault="0042145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15 мая 1933 г. министр обороны Германии Вернер фон Бломберг издал приказ об обязательной отдаче нацистского приветствия нацистскому флагу и шествиям национальных союзов – т.е. СА, СС, гитлерюгенту и «Стальному шлему». За неисполнение данных приказов полагались взыскания, вплоть до арестов. </w:t>
      </w:r>
      <w:r w:rsidR="00DD6690" w:rsidRPr="00C33834">
        <w:rPr>
          <w:rFonts w:ascii="Times New Roman" w:hAnsi="Times New Roman"/>
          <w:color w:val="000000" w:themeColor="text1"/>
          <w:sz w:val="16"/>
          <w:szCs w:val="16"/>
        </w:rPr>
        <w:t xml:space="preserve">19 сентября 1933 г. </w:t>
      </w:r>
      <w:r w:rsidRPr="00C33834">
        <w:rPr>
          <w:rFonts w:ascii="Times New Roman" w:hAnsi="Times New Roman"/>
          <w:color w:val="000000" w:themeColor="text1"/>
          <w:sz w:val="16"/>
          <w:szCs w:val="16"/>
        </w:rPr>
        <w:t xml:space="preserve">он </w:t>
      </w:r>
      <w:r w:rsidR="00DD6690" w:rsidRPr="00C33834">
        <w:rPr>
          <w:rFonts w:ascii="Times New Roman" w:hAnsi="Times New Roman"/>
          <w:color w:val="000000" w:themeColor="text1"/>
          <w:sz w:val="16"/>
          <w:szCs w:val="16"/>
        </w:rPr>
        <w:t xml:space="preserve">отдал приказ, который фактически </w:t>
      </w:r>
      <w:r w:rsidR="00DD6690" w:rsidRPr="00C33834">
        <w:rPr>
          <w:rFonts w:ascii="Times New Roman" w:hAnsi="Times New Roman"/>
          <w:bCs/>
          <w:iCs/>
          <w:color w:val="000000" w:themeColor="text1"/>
          <w:sz w:val="16"/>
          <w:szCs w:val="16"/>
        </w:rPr>
        <w:t>нацифицировал вермахт</w:t>
      </w:r>
      <w:r w:rsidR="00DD6690" w:rsidRPr="00C33834">
        <w:rPr>
          <w:rFonts w:ascii="Times New Roman" w:hAnsi="Times New Roman"/>
          <w:color w:val="000000" w:themeColor="text1"/>
          <w:sz w:val="16"/>
          <w:szCs w:val="16"/>
        </w:rPr>
        <w:t>. Этот приказ требовал от военнослужащих в военной форме отдавать честь членам НСДАП, одетым в нацистскую форму, а от военнослужащих в штатской форме приветствовать нацистов нацистским приветствием. Это было беспрецедентное для военной практики решение</w:t>
      </w:r>
      <w:r w:rsidRPr="00C33834">
        <w:rPr>
          <w:rFonts w:ascii="Times New Roman" w:hAnsi="Times New Roman"/>
          <w:color w:val="000000" w:themeColor="text1"/>
          <w:sz w:val="16"/>
          <w:szCs w:val="16"/>
        </w:rPr>
        <w:t xml:space="preserve"> (17325)</w:t>
      </w:r>
      <w:r w:rsidR="00DD6690" w:rsidRPr="00C33834">
        <w:rPr>
          <w:rFonts w:ascii="Times New Roman" w:hAnsi="Times New Roman"/>
          <w:color w:val="000000" w:themeColor="text1"/>
          <w:sz w:val="16"/>
          <w:szCs w:val="16"/>
        </w:rPr>
        <w:t>.</w:t>
      </w:r>
    </w:p>
    <w:p w14:paraId="7280B872" w14:textId="77777777" w:rsidR="00DD6690" w:rsidRPr="00C33834" w:rsidRDefault="00DD6690" w:rsidP="00C33834">
      <w:pPr>
        <w:spacing w:after="0" w:line="240" w:lineRule="auto"/>
        <w:jc w:val="both"/>
        <w:rPr>
          <w:rFonts w:ascii="Times New Roman" w:hAnsi="Times New Roman"/>
          <w:color w:val="000000" w:themeColor="text1"/>
          <w:sz w:val="16"/>
          <w:szCs w:val="16"/>
        </w:rPr>
      </w:pPr>
    </w:p>
    <w:p w14:paraId="4F30D809"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FDCBD65"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25A8349"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мая 1933 был готов И-14 (1454,24) c Бристоль IVS2 мощностью 500 нр (1719,46).</w:t>
      </w:r>
    </w:p>
    <w:p w14:paraId="156B7F2F"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57FAE4B2" w14:textId="77777777" w:rsidR="008524B2" w:rsidRPr="00C33834" w:rsidRDefault="008524B2"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середине мая 1933 завершилась постройка первого экземпляра самолета И-14. Председателем комиссии главка по приемке его на испытания назначили Н.Н.По</w:t>
      </w:r>
      <w:r w:rsidRPr="00C33834">
        <w:rPr>
          <w:rFonts w:ascii="Times New Roman" w:hAnsi="Times New Roman"/>
          <w:color w:val="000000" w:themeColor="text1"/>
          <w:sz w:val="16"/>
          <w:szCs w:val="16"/>
        </w:rPr>
        <w:softHyphen/>
        <w:t>ликарпова. Как вспоминал один из ветеранов КБ, В.И.Тарасов, Павел Осипович Сухой очень нервничал, услышав об этом. Н.Н.Поликарпов, числившийся его заместителем по конструкторской бригаде, прекрасно знал все достоинства и недостатки машины и при жела</w:t>
      </w:r>
      <w:r w:rsidRPr="00C33834">
        <w:rPr>
          <w:rFonts w:ascii="Times New Roman" w:hAnsi="Times New Roman"/>
          <w:color w:val="000000" w:themeColor="text1"/>
          <w:sz w:val="16"/>
          <w:szCs w:val="16"/>
        </w:rPr>
        <w:softHyphen/>
        <w:t>нии мог «зарубить» передачу истребителя на испыта</w:t>
      </w:r>
      <w:r w:rsidRPr="00C33834">
        <w:rPr>
          <w:rFonts w:ascii="Times New Roman" w:hAnsi="Times New Roman"/>
          <w:color w:val="000000" w:themeColor="text1"/>
          <w:sz w:val="16"/>
          <w:szCs w:val="16"/>
        </w:rPr>
        <w:softHyphen/>
        <w:t>ния. Сухой встретил Поликарпова на аэродроме.</w:t>
      </w:r>
    </w:p>
    <w:p w14:paraId="4F246A76" w14:textId="77777777" w:rsidR="008524B2" w:rsidRPr="00C33834" w:rsidRDefault="008524B2"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Как Вам машина, Николай Николаевич? - спросил Сухой.</w:t>
      </w:r>
    </w:p>
    <w:p w14:paraId="43151CFD" w14:textId="77777777" w:rsidR="008524B2" w:rsidRPr="00C33834" w:rsidRDefault="008524B2"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Ничего машина, - односложно отвечает Поликар</w:t>
      </w:r>
      <w:r w:rsidRPr="00C33834">
        <w:rPr>
          <w:rFonts w:ascii="Times New Roman" w:hAnsi="Times New Roman"/>
          <w:color w:val="000000" w:themeColor="text1"/>
          <w:sz w:val="16"/>
          <w:szCs w:val="16"/>
        </w:rPr>
        <w:softHyphen/>
        <w:t>пов.</w:t>
      </w:r>
    </w:p>
    <w:p w14:paraId="1C05F3DF" w14:textId="77777777" w:rsidR="008524B2" w:rsidRPr="00C33834" w:rsidRDefault="008524B2"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А крыло мы сделали с металлической обшивкой, хотя и гофрированной. Как Вам крыло?</w:t>
      </w:r>
    </w:p>
    <w:p w14:paraId="2B69834F" w14:textId="77777777" w:rsidR="008524B2" w:rsidRPr="00C33834" w:rsidRDefault="008524B2"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Ничего крыло.</w:t>
      </w:r>
    </w:p>
    <w:p w14:paraId="09DF4A9D" w14:textId="77777777" w:rsidR="008524B2" w:rsidRPr="00C33834" w:rsidRDefault="008524B2"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Сухой подводит гостя к шасси.</w:t>
      </w:r>
    </w:p>
    <w:p w14:paraId="563E2580" w14:textId="77777777" w:rsidR="008524B2" w:rsidRPr="00C33834" w:rsidRDefault="008524B2"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Вот видите, шасси мы сделали убирающимся. Как Вам шасси? - спрашивает Павел Осипович.</w:t>
      </w:r>
    </w:p>
    <w:p w14:paraId="29318FBF" w14:textId="77777777" w:rsidR="008524B2" w:rsidRPr="00C33834" w:rsidRDefault="008524B2"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Ничего шасси, - слышится в ответ спокойный го</w:t>
      </w:r>
      <w:r w:rsidRPr="00C33834">
        <w:rPr>
          <w:rFonts w:ascii="Times New Roman" w:hAnsi="Times New Roman"/>
          <w:color w:val="000000" w:themeColor="text1"/>
          <w:sz w:val="16"/>
          <w:szCs w:val="16"/>
        </w:rPr>
        <w:softHyphen/>
        <w:t>лос Поликарпова.</w:t>
      </w:r>
    </w:p>
    <w:p w14:paraId="6D64499B" w14:textId="77777777" w:rsidR="008524B2" w:rsidRPr="00C33834" w:rsidRDefault="008524B2"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Сухой сажает Поликарпова в кабину, показывает расположение оборудования и приборов.</w:t>
      </w:r>
    </w:p>
    <w:p w14:paraId="3B68BA7E" w14:textId="77777777" w:rsidR="008524B2" w:rsidRPr="00C33834" w:rsidRDefault="008524B2"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Как Вам кабина, Николай Николаевич, как обзор, что видно?</w:t>
      </w:r>
    </w:p>
    <w:p w14:paraId="3BC73EE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Да ничего из нее не видно, - невозмутимо отвечает Поликарпов и после этого также невозмутимо подпи</w:t>
      </w:r>
      <w:r w:rsidRPr="00C33834">
        <w:rPr>
          <w:rFonts w:ascii="Times New Roman" w:hAnsi="Times New Roman"/>
          <w:color w:val="000000" w:themeColor="text1"/>
          <w:sz w:val="16"/>
          <w:szCs w:val="16"/>
        </w:rPr>
        <w:softHyphen/>
        <w:t>сывает акт о допуске самолета к первому полету (10667).</w:t>
      </w:r>
    </w:p>
    <w:p w14:paraId="65C5EB0E"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74D75392" w14:textId="77777777" w:rsidR="00197613" w:rsidRPr="00C33834" w:rsidRDefault="0019761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середине мая 1933 бригада № 2 ЦКБ выпустила проект маневренного истребителя И-15 (ЦКБ-3) с мотором Райт «Циклон» SGR- 1820 F-3. Самолет-полутораплан с изогнутым верхним крылом типа «чайка» имел длину 6,1 метра, размах верхнего крыла составлял 9,75 метра, взлетный вес – 1340 кг. Вес самолета уменьшился в результате применения новых конструкционных материалов: хромомолибденовых труб, листового электрона. Профиль крыла Геттинген 436 (10% – на верхнем крыле и 12% – на нижнем) (18254).</w:t>
      </w:r>
    </w:p>
    <w:p w14:paraId="03ADFFEE" w14:textId="77777777" w:rsidR="00197613" w:rsidRPr="00C33834" w:rsidRDefault="00197613" w:rsidP="00C33834">
      <w:pPr>
        <w:spacing w:after="0" w:line="240" w:lineRule="auto"/>
        <w:jc w:val="both"/>
        <w:rPr>
          <w:rFonts w:ascii="Times New Roman" w:hAnsi="Times New Roman"/>
          <w:color w:val="000000" w:themeColor="text1"/>
          <w:sz w:val="16"/>
          <w:szCs w:val="16"/>
        </w:rPr>
      </w:pPr>
    </w:p>
    <w:p w14:paraId="453FF28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середине мая 1933 бригада № 2 выпустила проект маневренного истребителя И-15 (ЦКБ-3) с мотором Райт «Циклон» SGR-1820 F-3. Самолет-полутораплан с изогнутым верхним крылом типа «чайка» имел длину 6,1 метра, размах верхнего крыла составлял 9,75 метра, взлетный вес - 1340 кг. Вес самолета уменьшился в результате применения новых конструкционных материалов: хромомолибдено-выхтруб, листового электрона. Профиль крыла Геттинген 436 (10% - на верхнем крыле и 12% - на нижнем).</w:t>
      </w:r>
    </w:p>
    <w:p w14:paraId="4148E1B1"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 атмосфере, царившей в конструкторском бюро, писал Дмитрий Людвигович Томашевич в своих воспоминаниях:</w:t>
      </w:r>
    </w:p>
    <w:p w14:paraId="24070E4E"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«Здесь я... не ощущал никакого давления. Просто говорил Николаю Николаевичу: «На таком-то самолете сделано так-то и, мне кажется, лучше, чем на таком-то», и обычно получал согласие или слушал сомнения в добротности конструкции, обоснованные технологически. Это заставляло и самого подумать еще раз, прежде чем принимать решение.</w:t>
      </w:r>
    </w:p>
    <w:p w14:paraId="3DBC995B"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Если не было хороших образцов, то искали сами, делали образцы, испытывали. Так было и с нервюрами, которые удалось сделать простыми и надежными. И всегда получал немногословное и ненапыщенное одобрение. Свои предложения Николай Николаевич излагал в виде желания посоветоваться... Работу выполняли весело и напористо...</w:t>
      </w:r>
    </w:p>
    <w:p w14:paraId="07541BCB"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И-15 было реализовано несколько моих изобретений и рацпредложений. Они были приняты Николаем Николаевичем как-то естественно, без грохота и без препон, как теперь часто бывает» (9536,5).</w:t>
      </w:r>
    </w:p>
    <w:p w14:paraId="40BAE528"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5CF60207" w14:textId="77777777" w:rsidR="008524B2" w:rsidRPr="00C33834" w:rsidRDefault="008524B2"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мая 1933 состоялась встреча руководства РККА и делегацией рейхсвера во главе с г А.Боккельбергом, новым нач. Вооружений. ВОХИМУ в качекстве главного условия продолжения экспериментов выдвигало требования доставить на Томку новые, более стойкие и эффективные по воздействию ОВ с обеспеченим доступа к ним советских специалистов. Отказались и встал вопрос о свертывании объекта, но решили продолжить эксперименты до сентября-ноября 1933, при условии, что немцы представят новейшие противогазы, защитные костюмы и газометы. Немцы опять утверждали, что новых ОВ у них нет (6121).</w:t>
      </w:r>
    </w:p>
    <w:p w14:paraId="64B89FDB" w14:textId="77777777" w:rsidR="008524B2" w:rsidRPr="00C33834" w:rsidRDefault="008524B2"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D9822E"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середине мая 1933 г. на территории Советского Союза потерпел катастрофу немецкий стратостат "Deutshland". Стратонавты Мартин Шренк и Виктор Мазух погибли. Их тела встретили 18 мая на Ржевском вокзале Москвы и в этот же день отправили через Александровский вокзал в Германию. Очевидно, причиной неудачи стала недостаточная тщательность подготовки полета, "Deutshland" назывался спортивным стратостатом, не имел герметической кабины, а необходимая жизнедеятельность стратонавтов обеспечивалась стандартной кислородной аппаратурой для высотных полетов самолетов. Согласно данным самописцев, обнаруженных на этом разбившемся аппарате, он сумел достичь максимальной высоты 9750 м. Полет немецкого стратостата производился для добычи высотного рекорда, однако, как показывают события, имел определенное отношение к теме нашего повествования (11941).</w:t>
      </w:r>
    </w:p>
    <w:p w14:paraId="4863EE9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63DF7B2C" w14:textId="77777777" w:rsidR="00EC1465" w:rsidRPr="00C33834" w:rsidRDefault="00EC146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F8536C8" w14:textId="77777777" w:rsidR="00EC1465" w:rsidRPr="00C33834" w:rsidRDefault="00EC146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D12E4F6" w14:textId="77777777" w:rsidR="00EC1465" w:rsidRPr="00C33834" w:rsidRDefault="00EC146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середине мая 1933 г. на совещании у за</w:t>
      </w:r>
      <w:r w:rsidRPr="00C33834">
        <w:rPr>
          <w:rFonts w:ascii="Times New Roman" w:hAnsi="Times New Roman"/>
          <w:color w:val="0070C0"/>
          <w:sz w:val="16"/>
          <w:szCs w:val="16"/>
        </w:rPr>
        <w:softHyphen/>
        <w:t>местителя Наркома тяжелой промышленности по вопросу проведения международного конкурса ди</w:t>
      </w:r>
      <w:r w:rsidRPr="00C33834">
        <w:rPr>
          <w:rFonts w:ascii="Times New Roman" w:hAnsi="Times New Roman"/>
          <w:color w:val="0070C0"/>
          <w:sz w:val="16"/>
          <w:szCs w:val="16"/>
        </w:rPr>
        <w:softHyphen/>
        <w:t>зельных моторов автотракторного типа постано</w:t>
      </w:r>
      <w:r w:rsidRPr="00C33834">
        <w:rPr>
          <w:rFonts w:ascii="Times New Roman" w:hAnsi="Times New Roman"/>
          <w:color w:val="0070C0"/>
          <w:sz w:val="16"/>
          <w:szCs w:val="16"/>
        </w:rPr>
        <w:softHyphen/>
        <w:t>вили: фирме, занявшей первое место, выплатить 100 тыс. долларов: за мотор, комплект рабочих чер</w:t>
      </w:r>
      <w:r w:rsidRPr="00C33834">
        <w:rPr>
          <w:rFonts w:ascii="Times New Roman" w:hAnsi="Times New Roman"/>
          <w:color w:val="0070C0"/>
          <w:sz w:val="16"/>
          <w:szCs w:val="16"/>
        </w:rPr>
        <w:softHyphen/>
        <w:t>тежей, технико-производственных и конструктор</w:t>
      </w:r>
      <w:r w:rsidRPr="00C33834">
        <w:rPr>
          <w:rFonts w:ascii="Times New Roman" w:hAnsi="Times New Roman"/>
          <w:color w:val="0070C0"/>
          <w:sz w:val="16"/>
          <w:szCs w:val="16"/>
        </w:rPr>
        <w:softHyphen/>
        <w:t>ских указаний -15-20 тыс. долларов, и за 100 шт. дизельмоторов - остальные 80-85 тыс. долларов (22518).</w:t>
      </w:r>
    </w:p>
    <w:p w14:paraId="28E6794D" w14:textId="77777777" w:rsidR="00EC1465" w:rsidRPr="00C33834" w:rsidRDefault="00EC1465" w:rsidP="00C33834">
      <w:pPr>
        <w:spacing w:after="0" w:line="240" w:lineRule="auto"/>
        <w:jc w:val="both"/>
        <w:rPr>
          <w:rFonts w:ascii="Times New Roman" w:hAnsi="Times New Roman"/>
          <w:color w:val="0070C0"/>
          <w:sz w:val="16"/>
          <w:szCs w:val="16"/>
        </w:rPr>
      </w:pPr>
    </w:p>
    <w:p w14:paraId="3CC4BC18" w14:textId="77777777" w:rsidR="00197613" w:rsidRPr="00C33834" w:rsidRDefault="00197613"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6270C91F" w14:textId="77777777" w:rsidR="00197613" w:rsidRPr="00C33834" w:rsidRDefault="0019761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BE09363" w14:textId="77777777" w:rsidR="00197613" w:rsidRPr="00C33834" w:rsidRDefault="0019761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мая 1933 г. в Москве состоялась встреча между руководством РККА и делегацией рейхсвера, возглавляемой генерал-лейтенантом А. Боккельбергом, новым начальником управления вооружений рейхсвера. Главным условием продолжения совместных экспериментов ВОХИМУ выдвигало требование: доставить на «Томку» новые, более стойкие, эффективные по своему воздействию отравляющие вещества с обеспечением доступа к ним советских специалистов. Однако немцы не спешили реагировать на это требование. И тогда весной 1933 г. встал вопрос о свертывании объекта «Томка» по инициативе Москвы. Возникшая напряженность в политических отношениях между двумя странами, в связи с приходом Гитлера к власти, делала позицию руководства РККА, в частности, Наркома К.Е. Ворошилова, начальника штаба РККА А.И. Егорова, начальника вооружений РККА М.Н. Тухачевского, в вопросах военного сотрудничества с рейхсвером довольно жесткой (18271).</w:t>
      </w:r>
    </w:p>
    <w:p w14:paraId="118310BD" w14:textId="77777777" w:rsidR="00197613" w:rsidRPr="00C33834" w:rsidRDefault="00197613" w:rsidP="00C33834">
      <w:pPr>
        <w:spacing w:after="0" w:line="240" w:lineRule="auto"/>
        <w:jc w:val="both"/>
        <w:rPr>
          <w:rFonts w:ascii="Times New Roman" w:hAnsi="Times New Roman"/>
          <w:color w:val="000000" w:themeColor="text1"/>
          <w:sz w:val="16"/>
          <w:szCs w:val="16"/>
        </w:rPr>
      </w:pPr>
    </w:p>
    <w:p w14:paraId="6C25D8FB"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302097A"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0323D34"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16-17 мая 1933 польские летчики Г.Баян и П.Дудзинский, участники звездного слета в Вене совершили перелет на двух спортивных машинах с механиками по маршруту Варшава-Харьков-Ленинград. 17 мая - вылетели назад в Вену (438,646).</w:t>
      </w:r>
    </w:p>
    <w:p w14:paraId="2262A9FE"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133B5B98" w14:textId="77777777" w:rsidR="00FD33CB" w:rsidRPr="00C33834" w:rsidRDefault="00FD33CB"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shd w:val="clear" w:color="auto" w:fill="FFFFFF"/>
        </w:rPr>
        <w:t>16 мая 1933 в 5 часов утра экипажи двух самолетов PZL-19: пилот Ежи Баян (Jerzy Bajan) с механиком Густавом Покживкой (Gustaw Pokrzywka) и пилот Петр Дудзиньский (Piotr Dudzi;ski) со штурманом Войцеховским (O. Wojciechowski) вылетели с варшавского аэродрома Мокотув. Советско-польскую границу экипажи пролетели в 8 часов, затем они прошли над Брестом, Пинском, Мозырем, Черниговом и в 13.30 приземлились в Харькове. Заправившись, поляки собрались лететь в Ленинград, но представленные советскими метеорологами сводки предвещали крайне неблагоприятную погоду по маршруту и авиаторы были вынуждены направиться в Москву. Вероятно, погода за это время немного улучшилась и до конца дня летчики смогли из Москвы долететь до Ленинграда. Более того, в Ленинграде они успели поучаствовать в банкете, данном советскими авиационными руководителями в честь польских друзей, а затем отдохнуть в номерах гостиницы «Астория».</w:t>
      </w:r>
    </w:p>
    <w:p w14:paraId="67358F63" w14:textId="77777777" w:rsidR="00FD33CB" w:rsidRPr="00C33834" w:rsidRDefault="00FD33CB"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shd w:val="clear" w:color="auto" w:fill="FFFFFF"/>
        </w:rPr>
        <w:t>Вылет из Ленинграда состоялся в 5 часов утра. Экипаж Баяна произвел посадку во Львове в 12.16, а через 40 минут уже вылетел по направлению к Вене. Экипаж Дудзиньского приземлился на львовском аэродроме в 13.20, а в 13.50 – вновь взлетел.</w:t>
      </w:r>
    </w:p>
    <w:p w14:paraId="0CCAB983" w14:textId="77777777" w:rsidR="00FD33CB" w:rsidRPr="00C33834" w:rsidRDefault="00FD33CB"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shd w:val="clear" w:color="auto" w:fill="FFFFFF"/>
        </w:rPr>
        <w:t>В 16.25 самолет под управлением Ежи Баяна произвел посадку в Асперне. Самолет Дудзиньского попал в аварию (экипаж не пострадал), однако по сумме балов именно он в «Альпийском рейсе» занял третье место.</w:t>
      </w:r>
    </w:p>
    <w:p w14:paraId="583B8352" w14:textId="77777777" w:rsidR="00FD33CB" w:rsidRPr="00C33834" w:rsidRDefault="00FD33C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shd w:val="clear" w:color="auto" w:fill="FFFFFF"/>
        </w:rPr>
        <w:t>«Альпийский рейс» (Alpenflug). В гонках участвовали многие известные авиаторы Европы на туристических легкомоторных самолетах. Состязания проходили по, так называемой звездной схеме, когда самолеты вылетали со своих аэродромов, прокладывали маршрут равной длины и прибывали на аэродром назначения в строго определенное время. В «Альпийском рейсе» все самолеты должны были финишировать в венском аэропорту Асперн (21438).</w:t>
      </w:r>
    </w:p>
    <w:p w14:paraId="7E29CB7C" w14:textId="77777777" w:rsidR="00FD33CB" w:rsidRPr="00C33834" w:rsidRDefault="00FD33CB" w:rsidP="00C33834">
      <w:pPr>
        <w:spacing w:after="0" w:line="240" w:lineRule="auto"/>
        <w:jc w:val="both"/>
        <w:rPr>
          <w:rFonts w:ascii="Times New Roman" w:hAnsi="Times New Roman"/>
          <w:color w:val="0070C0"/>
          <w:sz w:val="16"/>
          <w:szCs w:val="16"/>
        </w:rPr>
      </w:pPr>
    </w:p>
    <w:p w14:paraId="3E20454B"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770F1786"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906623F"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мая 1933 датирован подшитый к делам Дмитлага приказ ГУЛАГа № 50 «О запрещении использования на административной и культурно-воспитательной работе заключенных, осужденных за к.-р. преступления». Как показало обследование ряда лагерей, «указанный контингент» занимал в них должности начальников и помощников начальников лагпунктов, работал в аппаратах аттестационных комиссий и т. п. Впредь категорически запрещалось допускать политзаключенных «на какую бы то ни было работу в 3-их отделах Управлений лагерей и их филиалов», на административные должности выше начальника командировок, «на работу по линии связи в качестве радистов и телеграфистов», «в УРО выше должности нарядчика» и т. д (7560).</w:t>
      </w:r>
    </w:p>
    <w:p w14:paraId="24F3DA63"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3A0DD717"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0016000"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FCCC741"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мая 1933 К.А.Попов на ЦА выполнил первый полет на АНТ-31 (И-14) с Бристоль Меркурием, деревянным ВФШ, с 1хПВ-1 под капотом и без АПК (4020,11).</w:t>
      </w:r>
    </w:p>
    <w:p w14:paraId="3E04C7A1"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586B3C1C" w14:textId="77777777" w:rsidR="00180F83" w:rsidRPr="00C33834" w:rsidRDefault="00180F8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мая 1933 г. сотрудник Дирижаблестроя Б. Воробьев в рапорте начальнику Дирижаблестроя И.А. Фельдману сделал вывод о том, что в Германии следует ожидать « поворота в сторону уделения большего внимания дирижаблестроению» [4, л. 232-233]. В 1933 г. дирижаблестроение пережило мощный удар, нанесенный гибелью «Акрона», но этот удар, как выяснилось позже, не был последним. Основными объектами работ верфи на 1934 г. были: строительство полужесткого дирижабля В-6 с окончанием к 1 октября 1934 г. и строительство полужесткого дирижабля  В-7 объемом 9150 м3. В отличие от В-5, имевшего скорее учебное значение, дирижабль В-6 был предназначен для транспортного использования [1, с.148-150]. Выпуск В-6 объемом 18500 м3., ставшего крупнейшим советским дирижаблем, был наиболее важным итогом рассматриваемого периода (15797).</w:t>
      </w:r>
    </w:p>
    <w:p w14:paraId="24EDE919" w14:textId="77777777" w:rsidR="00180F83" w:rsidRPr="00C33834" w:rsidRDefault="00180F83" w:rsidP="00C33834">
      <w:pPr>
        <w:spacing w:after="0" w:line="240" w:lineRule="auto"/>
        <w:jc w:val="both"/>
        <w:rPr>
          <w:rFonts w:ascii="Times New Roman" w:hAnsi="Times New Roman"/>
          <w:color w:val="000000" w:themeColor="text1"/>
          <w:sz w:val="16"/>
          <w:szCs w:val="16"/>
        </w:rPr>
      </w:pPr>
    </w:p>
    <w:p w14:paraId="56141F46" w14:textId="77777777" w:rsidR="00180F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D00AD4D" w14:textId="77777777" w:rsidR="00180F83" w:rsidRPr="00C33834" w:rsidRDefault="00180F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E0539E3" w14:textId="77777777" w:rsidR="00180F83" w:rsidRPr="00C33834" w:rsidRDefault="00180F83" w:rsidP="00C33834">
      <w:pPr>
        <w:pStyle w:val="rtejustify"/>
        <w:spacing w:before="0" w:after="0"/>
        <w:rPr>
          <w:color w:val="000000" w:themeColor="text1"/>
          <w:sz w:val="16"/>
          <w:szCs w:val="16"/>
        </w:rPr>
      </w:pPr>
      <w:r w:rsidRPr="00C33834">
        <w:rPr>
          <w:rStyle w:val="af0"/>
          <w:bCs/>
          <w:i w:val="0"/>
          <w:color w:val="000000" w:themeColor="text1"/>
          <w:sz w:val="16"/>
          <w:szCs w:val="16"/>
        </w:rPr>
        <w:t>17 мая</w:t>
      </w:r>
      <w:r w:rsidRPr="00C33834">
        <w:rPr>
          <w:color w:val="000000" w:themeColor="text1"/>
          <w:sz w:val="16"/>
          <w:szCs w:val="16"/>
        </w:rPr>
        <w:t xml:space="preserve"> 1933. Постановление Комиссии обороны СССР № 4 «О взрывателях и дистанционных трубках». (ГА РФ. Ф. Р</w:t>
      </w:r>
      <w:r w:rsidRPr="00C33834">
        <w:rPr>
          <w:color w:val="000000" w:themeColor="text1"/>
          <w:sz w:val="16"/>
          <w:szCs w:val="16"/>
        </w:rPr>
        <w:noBreakHyphen/>
        <w:t>8418. Оп. 28. Д. 25а. Л. 23</w:t>
      </w:r>
      <w:r w:rsidRPr="00C33834">
        <w:rPr>
          <w:color w:val="000000" w:themeColor="text1"/>
          <w:sz w:val="16"/>
          <w:szCs w:val="16"/>
        </w:rPr>
        <w:noBreakHyphen/>
        <w:t>30) (15460).</w:t>
      </w:r>
    </w:p>
    <w:p w14:paraId="298AAE48" w14:textId="77777777" w:rsidR="00180F83" w:rsidRPr="00C33834" w:rsidRDefault="00180F83" w:rsidP="00C33834">
      <w:pPr>
        <w:pStyle w:val="rtejustify"/>
        <w:spacing w:before="0" w:after="0"/>
        <w:rPr>
          <w:color w:val="000000" w:themeColor="text1"/>
          <w:sz w:val="16"/>
          <w:szCs w:val="16"/>
        </w:rPr>
      </w:pPr>
    </w:p>
    <w:p w14:paraId="484CBA86" w14:textId="77777777" w:rsidR="00180F83" w:rsidRPr="00C33834" w:rsidRDefault="00180F83" w:rsidP="00C33834">
      <w:pPr>
        <w:pStyle w:val="rtejustify"/>
        <w:spacing w:before="0" w:after="0"/>
        <w:rPr>
          <w:color w:val="000000" w:themeColor="text1"/>
          <w:sz w:val="16"/>
          <w:szCs w:val="16"/>
        </w:rPr>
      </w:pPr>
      <w:r w:rsidRPr="00C33834">
        <w:rPr>
          <w:rStyle w:val="af0"/>
          <w:bCs/>
          <w:i w:val="0"/>
          <w:color w:val="000000" w:themeColor="text1"/>
          <w:sz w:val="16"/>
          <w:szCs w:val="16"/>
        </w:rPr>
        <w:t>17 мая</w:t>
      </w:r>
      <w:r w:rsidRPr="00C33834">
        <w:rPr>
          <w:color w:val="000000" w:themeColor="text1"/>
          <w:sz w:val="16"/>
          <w:szCs w:val="16"/>
        </w:rPr>
        <w:t xml:space="preserve"> 1933. Постановление СТО СССР № 30сс/о «О размере бюджетного ассигнования на научно-исследовательские работы НКВМ в 1933 г.». (ГА РФ. Ф. Р</w:t>
      </w:r>
      <w:r w:rsidRPr="00C33834">
        <w:rPr>
          <w:color w:val="000000" w:themeColor="text1"/>
          <w:sz w:val="16"/>
          <w:szCs w:val="16"/>
        </w:rPr>
        <w:noBreakHyphen/>
        <w:t>8418. Оп. 28. Д. 1. Л. 141) (15460).</w:t>
      </w:r>
    </w:p>
    <w:p w14:paraId="429C93A0" w14:textId="77777777" w:rsidR="00180F83" w:rsidRPr="00C33834" w:rsidRDefault="00180F83" w:rsidP="00C33834">
      <w:pPr>
        <w:pStyle w:val="rtejustify"/>
        <w:spacing w:before="0" w:after="0"/>
        <w:rPr>
          <w:color w:val="000000" w:themeColor="text1"/>
          <w:sz w:val="16"/>
          <w:szCs w:val="16"/>
        </w:rPr>
      </w:pPr>
    </w:p>
    <w:p w14:paraId="0BD83F03"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1F6206C"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A4689E7" w14:textId="77777777" w:rsidR="008524B2" w:rsidRPr="00C33834" w:rsidRDefault="008524B2"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мая 1933 в Германии запрещены забастовки (4962).</w:t>
      </w:r>
    </w:p>
    <w:p w14:paraId="5F254560" w14:textId="77777777" w:rsidR="008524B2" w:rsidRPr="00C33834" w:rsidRDefault="008524B2"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E35848" w14:textId="77777777" w:rsidR="00362C4F" w:rsidRPr="00C33834" w:rsidRDefault="008D1795"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17 мая 1933 года Гитлер выступил в рейхстаге с "мирной речью" - одной из самых эффектных за все годы его деятельности; это был шедевр лживой пропаганды, глубоко взволновавший немецкий народ и сплотивший его вокруг фюрера. Большое впечатление произвела эта речь и за рубежом. Она была произнесена через день после того, как президент Рузвельт обратился к главам сорока четырех государств с сенсационным посланием, выразив в нем стремление Соединенных Штатов к разоружению и миру и призвав запретить всякое наступательное оружие - бомбардировщики, танки, подвижную тяжелую артиллерию. Гитлер не замедлил подхватить этот призыв и использовать его наилучшим образом."Предложение, внесенное президентом Рузвельтом, о котором я узнал вчера вечером, заслуживает самых теплых слов благодарности германского правительства. Оно готово одобрить такой способ преодоления международного кризиса... Предложение президента - это луч надежды для каждого, кто желает сотрудничать в деле сохранения мира... Германия целиком и полностью за запрещение всякого наступательного оружия, если вооруженные страны в свою очередь уничтожат наступательное оружие... Германия также готова ликвидировать все свои вооруженные силы и уничтожить те небольшие запасы оружия, которые у нас еще имеются, если также поступят соседние государства... Германия готова пойти на любой торжественный договор о ненападении, ибо думает она не о нападении, с о собственной безопасности"</w:t>
      </w:r>
    </w:p>
    <w:p w14:paraId="33BE84EB" w14:textId="77777777" w:rsidR="008D1795" w:rsidRPr="00C33834" w:rsidRDefault="00362C4F"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hAnsi="Times New Roman"/>
          <w:color w:val="000000" w:themeColor="text1"/>
          <w:sz w:val="16"/>
          <w:szCs w:val="16"/>
        </w:rPr>
        <w:t>Но в речи прозвучало одно предупреждение. Германия требует равенства с другими странами и прежде всего - в области вооружений. Если равенства не будет, она предпочтет уйти с конференции по разоружению и выйти из Лиги Наций</w:t>
      </w:r>
      <w:r w:rsidR="008D1795" w:rsidRPr="00C33834">
        <w:rPr>
          <w:rFonts w:ascii="Times New Roman" w:eastAsia="Times New Roman" w:hAnsi="Times New Roman"/>
          <w:color w:val="000000" w:themeColor="text1"/>
          <w:sz w:val="16"/>
          <w:szCs w:val="16"/>
          <w:lang w:eastAsia="ru-RU"/>
        </w:rPr>
        <w:t xml:space="preserve"> (17283).</w:t>
      </w:r>
    </w:p>
    <w:p w14:paraId="2EFDFF24" w14:textId="77777777" w:rsidR="008D1795" w:rsidRPr="00C33834" w:rsidRDefault="008D179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131E4C3" w14:textId="77777777" w:rsidR="005B4FE8" w:rsidRPr="00C33834" w:rsidRDefault="005B4FE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17 мая 1933 г. во Франции путем объединения четырех авиакомпаний образована государственная авиакомпания Эйр-Франс (17325).</w:t>
      </w:r>
    </w:p>
    <w:p w14:paraId="52220121" w14:textId="77777777" w:rsidR="005B4FE8" w:rsidRPr="00C33834" w:rsidRDefault="005B4FE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D92253A"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AAB24E5"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2B344BA"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специальная комиссия рассмотрела И-4 N 1649 с 2хАПК-3бис (65 мм) под верхним крылом. Провели наземные испытания с зарядами различной мощности. При заряде 425 г наблюдалось разрушение обшивки. Выхлопные газу отсасывали обшивку (2693,14).</w:t>
      </w:r>
    </w:p>
    <w:p w14:paraId="72605DBF"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75F961D8"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мая 1933 Т.П.Сузи вылетел на И-4 с двумя АПК-36бис над верхнем правом (1060,53) крылом - через 2 с после выстрела - взрыв (203,28). Это происходило в Ленинграде и после взрыва, разрушившего 0.5 кв. м обшивки, - сел на Комендантский аэродром. По фото явно видно, что не над, а под крылом. Курчевский предлагал для И-4 и 67 мм гладкоствольную под картечь, но интереса пушка не вызвала (2693,14).</w:t>
      </w:r>
    </w:p>
    <w:p w14:paraId="7B2B863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этого специальная комиссия осмотрела машину (3996, 100).</w:t>
      </w:r>
    </w:p>
    <w:p w14:paraId="4FC9CC38"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0BAC5624"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мая 1933 года в 14 ч 40 мин выстрел в воздухе привел к разрыву ствола правой пушки, и образованию в крыле И-4 под управлением Сузи рва</w:t>
      </w:r>
      <w:r w:rsidRPr="00C33834">
        <w:rPr>
          <w:rFonts w:ascii="Times New Roman" w:hAnsi="Times New Roman"/>
          <w:color w:val="000000" w:themeColor="text1"/>
          <w:sz w:val="16"/>
          <w:szCs w:val="16"/>
        </w:rPr>
        <w:softHyphen/>
        <w:t>ной дыры площадью более полуметра. Пи</w:t>
      </w:r>
      <w:r w:rsidRPr="00C33834">
        <w:rPr>
          <w:rFonts w:ascii="Times New Roman" w:hAnsi="Times New Roman"/>
          <w:color w:val="000000" w:themeColor="text1"/>
          <w:sz w:val="16"/>
          <w:szCs w:val="16"/>
        </w:rPr>
        <w:softHyphen/>
        <w:t>лоту удалось посадить поврежденный истре</w:t>
      </w:r>
      <w:r w:rsidRPr="00C33834">
        <w:rPr>
          <w:rFonts w:ascii="Times New Roman" w:hAnsi="Times New Roman"/>
          <w:color w:val="000000" w:themeColor="text1"/>
          <w:sz w:val="16"/>
          <w:szCs w:val="16"/>
        </w:rPr>
        <w:softHyphen/>
        <w:t>битель на Комендантский аэродром, что подтвердило высокую живучесть многолон- жеронного крыла этого самолета. Хотя ис</w:t>
      </w:r>
      <w:r w:rsidRPr="00C33834">
        <w:rPr>
          <w:rFonts w:ascii="Times New Roman" w:hAnsi="Times New Roman"/>
          <w:color w:val="000000" w:themeColor="text1"/>
          <w:sz w:val="16"/>
          <w:szCs w:val="16"/>
        </w:rPr>
        <w:softHyphen/>
        <w:t>пытания И-4 с АП К-Збис продолжились, однако вопрос о массовом перевооружении ис</w:t>
      </w:r>
      <w:r w:rsidRPr="00C33834">
        <w:rPr>
          <w:rFonts w:ascii="Times New Roman" w:hAnsi="Times New Roman"/>
          <w:color w:val="000000" w:themeColor="text1"/>
          <w:sz w:val="16"/>
          <w:szCs w:val="16"/>
        </w:rPr>
        <w:softHyphen/>
        <w:t>требителя более не поднимется. Известно, что позднее Курчевский предлагал для воо</w:t>
      </w:r>
      <w:r w:rsidRPr="00C33834">
        <w:rPr>
          <w:rFonts w:ascii="Times New Roman" w:hAnsi="Times New Roman"/>
          <w:color w:val="000000" w:themeColor="text1"/>
          <w:sz w:val="16"/>
          <w:szCs w:val="16"/>
        </w:rPr>
        <w:softHyphen/>
        <w:t>ружения И-4 гладкоствольную АПК калибра 67 мм, стреляющую картечью. Интереса это его предложение уже не вызвало (12295).</w:t>
      </w:r>
    </w:p>
    <w:p w14:paraId="6D7155BA" w14:textId="77777777" w:rsidR="0058354C" w:rsidRPr="00C33834" w:rsidRDefault="0058354C" w:rsidP="00C33834">
      <w:pPr>
        <w:spacing w:after="0" w:line="240" w:lineRule="auto"/>
        <w:jc w:val="both"/>
        <w:rPr>
          <w:rFonts w:ascii="Times New Roman" w:hAnsi="Times New Roman"/>
          <w:color w:val="000000" w:themeColor="text1"/>
          <w:sz w:val="16"/>
          <w:szCs w:val="16"/>
        </w:rPr>
      </w:pPr>
    </w:p>
    <w:p w14:paraId="2FF2B8AF"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мая 1933 г. в 14 ч. 40 мин. местного времени при выполнении стрельбы в воздухе произошел разрыв ствола правой пушки на расстоянии 38 см от казенного среза. При осмотре после посадки на комендантском аэродроме выяснилось, что непосредственно за местом разрыва ствола к дульной части заклинен снаряд. Снаряд раздут, с отпечатками нарезов на его поверхности вблизи центрирующего утолщения. Вокруг заклинившего снаряда в стволе обнаружены остатки деревянного донышка (поддона) и нитроклетчатки от гильзы. В правом крыле обнаружена рваная дыра площадью около квадратного метра.</w:t>
      </w:r>
    </w:p>
    <w:p w14:paraId="0DA3CBA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г. специальная комиссия осматривала И-4 № 1649 с установленными под верхними крыльями АПКЗбис. По внешнему виду пушки были признаны годными к стрельбе. Испытания проводились с различными по мощности зарядами, испытывалось не только орудие, но и влияние стрельбы на конструкцию самолета. Так, при использовании зарядов весом 425 г отмечалось разрушение обшивки фюзеляжа. Происходило так, что исходящие газы буквально «отсасывали» обшивку от конструкции самолета. Летные испытания и воздушные стрельбы на НИАПе вел летчик Сузи.</w:t>
      </w:r>
    </w:p>
    <w:p w14:paraId="5FC84A03"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разрыва в ОКБ-1 началось изготовление двух новых пушек АПК-Збис. Первая из них была закончена к июню 1933 г., и летные испытания продолжились. Однако 17 июля 1933 г. руководители испытаний заявили, что пушка «боевым требованиям не удовлетворяет» и система будет использоваться как учебная, а планируемый заказ на 50 пушек АПК-Збис размещению не подлежит (12091).</w:t>
      </w:r>
    </w:p>
    <w:p w14:paraId="21CC437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3444CEB3" w14:textId="77777777" w:rsidR="00180F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EBA71C8" w14:textId="77777777" w:rsidR="00180F83" w:rsidRPr="00C33834" w:rsidRDefault="00180F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1ABEDCE" w14:textId="77777777" w:rsidR="00180F83" w:rsidRPr="00C33834" w:rsidRDefault="00180F83"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18 мая</w:t>
      </w:r>
      <w:r w:rsidRPr="00C33834">
        <w:rPr>
          <w:rStyle w:val="selected1"/>
          <w:rFonts w:ascii="Times New Roman" w:hAnsi="Times New Roman"/>
          <w:color w:val="000000" w:themeColor="text1"/>
          <w:sz w:val="16"/>
          <w:szCs w:val="16"/>
        </w:rPr>
        <w:t xml:space="preserve"> 1933 </w:t>
      </w:r>
      <w:r w:rsidRPr="00C33834">
        <w:rPr>
          <w:rFonts w:ascii="Times New Roman" w:hAnsi="Times New Roman"/>
          <w:color w:val="000000" w:themeColor="text1"/>
          <w:sz w:val="16"/>
          <w:szCs w:val="16"/>
        </w:rPr>
        <w:t>- Начало экспедиции ЭОН-1 (14895).</w:t>
      </w:r>
    </w:p>
    <w:p w14:paraId="1BCEE41C" w14:textId="77777777" w:rsidR="00180F83" w:rsidRPr="00C33834" w:rsidRDefault="00180F83" w:rsidP="00C33834">
      <w:pPr>
        <w:spacing w:after="0" w:line="240" w:lineRule="auto"/>
        <w:jc w:val="both"/>
        <w:rPr>
          <w:rFonts w:ascii="Times New Roman" w:hAnsi="Times New Roman"/>
          <w:color w:val="000000" w:themeColor="text1"/>
          <w:sz w:val="16"/>
          <w:szCs w:val="16"/>
        </w:rPr>
      </w:pPr>
    </w:p>
    <w:p w14:paraId="6B11CBB4" w14:textId="77777777" w:rsidR="008524B2"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24C0A7D0"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DF28DF0" w14:textId="77777777" w:rsidR="008524B2" w:rsidRPr="00C33834" w:rsidRDefault="008524B2"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мая 1933 г. для создания Северной флотилии начался перевод по Беломоро-Балтийскому каналу из Кронштадта в Мурманск военных кораблей Балтфлота (экспедиция особого назначения ЭОН-1). В состав экспедиции, завершившейся 5 августа, входили эсминцы "Урицкий" и "Куйбышев", СКР "Ураган" и "Смерч", подводные лодки Д-1 и Д-2. (6395).</w:t>
      </w:r>
    </w:p>
    <w:p w14:paraId="2D3BEC95" w14:textId="77777777" w:rsidR="008524B2" w:rsidRPr="00C33834" w:rsidRDefault="008524B2"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C0270E" w14:textId="77777777" w:rsidR="00FD33CB" w:rsidRPr="00C33834" w:rsidRDefault="00FD33C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18 мая 1933 начался переход кораблей из Кронштадта, а завершился швартовкой в торговом порту Мурманска 5 августа. Но еще до прихода в Кольский залив, 1 июня, приказ штаба РККА объявил о создании флотилии. Уже после официального открытия канала по нему в августе — сентябре провели и второй отряд: эсминец «Карл Либкнехт», подводную лодку «Красногвардеец», сторожевик «Гроза» и два траулера треста Главрыба — «Налим» и «Форель», срочно вооруженные и ставшие тральщиками Т-31 и Т-32.</w:t>
      </w:r>
    </w:p>
    <w:p w14:paraId="2EA72D36" w14:textId="77777777" w:rsidR="00FD33CB" w:rsidRPr="00C33834" w:rsidRDefault="00FD33C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Северная флотилия теперь могла выполнять боевые задачи. Охранять если не всю акваторию Баренцева моря, то хотя бы подходы к Мурманскому побережью и горлу Белого моря31. К тому времени было определено и место для военно-морской базы. Им стал Александровский порт, основанный еще в 1899 году на левом берегу залива, при выходе его в Баренцево море (20467).</w:t>
      </w:r>
    </w:p>
    <w:p w14:paraId="5E7E4463" w14:textId="77777777" w:rsidR="00FD33CB" w:rsidRPr="00C33834" w:rsidRDefault="00FD33CB" w:rsidP="00C33834">
      <w:pPr>
        <w:spacing w:after="0" w:line="240" w:lineRule="auto"/>
        <w:jc w:val="both"/>
        <w:rPr>
          <w:rFonts w:ascii="Times New Roman" w:hAnsi="Times New Roman"/>
          <w:color w:val="0070C0"/>
          <w:sz w:val="16"/>
          <w:szCs w:val="16"/>
        </w:rPr>
      </w:pPr>
    </w:p>
    <w:p w14:paraId="6EEFD30A"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01800858"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7CCC60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мая 1933 новый начальник Дмитлага Я. Д. Рапопорт подписал приказ по лагерю № 127. «При личном ознакомлении с состоянием подлагпункта 69 километра отдельного Дмитровского лагпункта» он обнаружил «антисанитарное состояние лагеря» и «безобразное содержание оружия во 2-м взводе 3-й команды ВОХР». В частности, тех «стрелков из з/к.., у коих в стволах винтовок была обнаружена грязь и ржавчина», равно как и вольнонаемного стрелка ВОХР - «за отдачу мне рапорта будучи одетым не по форме и за недисциплинированность», - предписывалось арестовать каждого на пять суток с содержанием на гауптвахте.</w:t>
      </w:r>
    </w:p>
    <w:p w14:paraId="75D6AF65"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Аналогичный по содержанию приказ № 129 появился под впечатлением «личного ознакомления» Я. Д. Рапопорта «с состоянием Фоминского 1-го лагпункта 7 Отделения» Дмитлага (7560).</w:t>
      </w:r>
    </w:p>
    <w:p w14:paraId="4813B6C1"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3756F27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18 мая 1933 г., когда на ББК заканчивали 18-й и 19-й шлюзы, из Ленинграда вышли эскадренные миноносцы "Урицкий", "Валериан Куйбышев", сторожевые корабли "Смерч" и "Ураган", подводные лодки Д-1, Д-2. Для обеспечения прохода по фарватеру с кораблей было снято вооружение и выгружена часть топлива. Первая экспедиция часто отстаивалась в ожидании окончания работ, поэтому ее переход длился довольно долго. Но все же к 21 июля 1933 г. эскадра, перевооруженная и в полной боевой готовности, уже смогла принять на борт руководителей советского государства в Сорокской губе. Ядро Северной Военной флотилии было создано. </w:t>
      </w:r>
    </w:p>
    <w:p w14:paraId="1DA1803A"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Каково было значение Беломорско-Балтийского канала? Если до открытия канала суда тратили на переход из Ленинграда в Архангельск 17 дней, то с начала навигации такой путь стал занимать не больше 4 дней. Судовой путь пролегал по советской территории, что создало условия для усиления советской военно-морской мощи на Севере путем межтеатрового маневра кораблей Балтфлота. При отсутствии канала создание сколько-нибудь значительных морских сил было невозможно. Семнадцатидневный переход вокруг Скандинавии при полном отсутствии промежуточных баз, невозможности пополнения запасов был не под силу военным кораблям среднего и малого водоизмещения. Дальность плавания советских эскадренных миноносцев того времени составляла 1700 миль, а между Кронштадтом и Полярным лежали 2300 миль штормового моря. </w:t>
      </w:r>
    </w:p>
    <w:p w14:paraId="57C0EA3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Открытие навигации по ББК дало стратегический выигрыш почти немедленно. Все 20-е годы в Белом море продолжалась "тюленья война": конфликт между СССР и Норвегией из-за биологических ресурсов. Каждую весну сотни норвежских и английских траулеров входили в горло Белого моря и методично выбивали беломорского тюленя. Попытки слабых судов морской пограничной охраны вмешаться в ситуацию немедленно пресекались норвежскими и британскими военными кораблями. Насколько широко была поставлена "силовая поддержка", видно из того, что на границе территориальных вод СССР в путину постоянно находилась эскадра британского флота, с крейсером в качестве флагмана. Дело дважды, в 1929 и 1930 годах, доходило до обстрела советской территории норвежскими кораблями. </w:t>
      </w:r>
    </w:p>
    <w:p w14:paraId="1EE716B4"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Урегулировать конфликт политическим путем было невозможно: королевство Норвегия не признавало СССР. Зато летом 1933 г., с переброской по каналу подводных лодок, норвежская сторона настолько изменила свою позицию, что стало возможным восстановление между странами дипломатических отношений. До начала Великой Отечественной войны было проведено б операций по переброске каналом эскадренных миноносцев, 2 операции по переброске сторожевых кораблей и 9 (!) перебросок подводных лодок. Три корабля, эсминцы "Сталин" и "Войков" и подводная лодка Щ-404, по Северному морскому пути перешли на Дальний Восток и вошли в состав ТОФ (переброска кораблей этого класса другим путем для СССР в 30-е гг. была невозможна). </w:t>
      </w:r>
    </w:p>
    <w:p w14:paraId="225ECA7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Всего в 1933–1941 гг. по каналу было переведено на Север 10 эсминцев, 3 сторожевых корабля и 26 подводных лодок. Последние корабли прошли по трассе 29 августа 1941 г. </w:t>
      </w:r>
    </w:p>
    <w:p w14:paraId="298AE1BF"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Значение ББК для обороны СССР вполне осознавалось военными деятелями Запада. В 1940 г., когда Англия и Франция готовились в порядке помощи Финляндии высадить десант на севере СССР, командующий французским флотом адмирал Ж. Дарлан настаивал на захвате канала неповрежденным, считая его использование союзниками ключевым фактором для захвата Ленинграда. Все оперативные планы финской армии, составлявшиеся в 1940–1941 гг., непременно предусматривали захват либо вывод из строя сооружений канала, который считался в Хельсинки "главной опорой" Советской власти в Карелии. А военно-морской атташе Германии в мае 1941 г. высказывал тревогу по поводу того, что "Балтийский и Северный флоты русских благодаря Беломорскому каналу служат резервом друг для друга". В том, </w:t>
      </w:r>
      <w:r w:rsidRPr="00C33834">
        <w:rPr>
          <w:rFonts w:ascii="Times New Roman" w:hAnsi="Times New Roman"/>
          <w:color w:val="000000" w:themeColor="text1"/>
          <w:sz w:val="16"/>
          <w:szCs w:val="16"/>
        </w:rPr>
        <w:lastRenderedPageBreak/>
        <w:t>что в годы Великой Отечественной войны успешные действия Северного флота способствовали удержанию Советского Заполярья, тоже состоит значение Беломорско-Балтийского канала (12107).</w:t>
      </w:r>
    </w:p>
    <w:p w14:paraId="5003290A"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244A3781"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4E4025A8"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DF1770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мая 1933 СССР ратифицировал договор о ненападении с Францией (1348,242).</w:t>
      </w:r>
    </w:p>
    <w:p w14:paraId="0370D91C"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1B45C12B" w14:textId="77777777" w:rsidR="008524B2" w:rsidRPr="00C33834" w:rsidRDefault="008524B2"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мая 1933 состоялась ратификация советско-французского договора о ненападении (4962).</w:t>
      </w:r>
    </w:p>
    <w:p w14:paraId="5E1058B9" w14:textId="77777777" w:rsidR="008524B2" w:rsidRPr="00C33834" w:rsidRDefault="008524B2"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28A3B3" w14:textId="77777777" w:rsidR="004907C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161CD27C" w14:textId="77777777" w:rsidR="004907CB" w:rsidRPr="00C33834" w:rsidRDefault="004907C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AC3AB52" w14:textId="77777777" w:rsidR="004907CB" w:rsidRPr="00C33834" w:rsidRDefault="004907CB"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bCs/>
          <w:color w:val="000000" w:themeColor="text1"/>
          <w:sz w:val="16"/>
          <w:szCs w:val="16"/>
        </w:rPr>
        <w:t>18 мая 1933 г. на речь Рузвельта (от 16 мая) отозвался и Гинденбург. Приветствуя инициативу Рузвельта в деле сокращения вооружений, Гинденбург, тем не менее, заявил, что ответом Германии является Речь Гитлера, произнесённая накануне в Рейхстаге (17325).</w:t>
      </w:r>
    </w:p>
    <w:p w14:paraId="6F90658B" w14:textId="77777777" w:rsidR="004907CB" w:rsidRPr="00C33834" w:rsidRDefault="004907C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1946FE6"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6957B56"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FA94F3C" w14:textId="77777777" w:rsidR="008524B2" w:rsidRPr="00C33834" w:rsidRDefault="008524B2"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мая 1934 года Постановлением СНК СССР «О реорганизации органов управления гражданского воздушного флота» от были образованы 12 территориальных управлений Граж</w:t>
      </w:r>
      <w:r w:rsidRPr="00C33834">
        <w:rPr>
          <w:rFonts w:ascii="Times New Roman" w:hAnsi="Times New Roman"/>
          <w:color w:val="000000" w:themeColor="text1"/>
          <w:sz w:val="16"/>
          <w:szCs w:val="16"/>
        </w:rPr>
        <w:softHyphen/>
        <w:t>данской авиации СССР: Московское, Украинское, Среднеазиатское, Закавказс</w:t>
      </w:r>
      <w:r w:rsidRPr="00C33834">
        <w:rPr>
          <w:rFonts w:ascii="Times New Roman" w:hAnsi="Times New Roman"/>
          <w:color w:val="000000" w:themeColor="text1"/>
          <w:sz w:val="16"/>
          <w:szCs w:val="16"/>
        </w:rPr>
        <w:softHyphen/>
        <w:t>кое, Казахское, Северо-Кавказское, Западно-Сибирское, Волжское, Уральское, Восточно-Сибирское, Дальневосточное, Северное. ГУГВФ были переданы из Наркомзема СССР сельскохозяйственная авиация (в ноябре 1932-го) и из Наркомздрава СССР санитарная авиация (в ноябре 1937-го) ('История гражданской авиации. Научно-популярный очерк. Под общ. ред. Бугаева Б.П. С. 58,60, 75,85.) (11710,355).</w:t>
      </w:r>
    </w:p>
    <w:p w14:paraId="0D518518" w14:textId="77777777" w:rsidR="008524B2" w:rsidRPr="00C33834" w:rsidRDefault="008524B2"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6BAA76" w14:textId="77777777" w:rsidR="008524B2" w:rsidRPr="00C33834" w:rsidRDefault="008524B2"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мая 1933 года утвердили ТУ на М-34, ког</w:t>
      </w:r>
      <w:r w:rsidRPr="00C33834">
        <w:rPr>
          <w:rFonts w:ascii="Times New Roman" w:hAnsi="Times New Roman"/>
          <w:color w:val="000000" w:themeColor="text1"/>
          <w:sz w:val="16"/>
          <w:szCs w:val="16"/>
        </w:rPr>
        <w:softHyphen/>
        <w:t>да М-34 уже шли из цехов сотнями! Их писали на за</w:t>
      </w:r>
      <w:r w:rsidRPr="00C33834">
        <w:rPr>
          <w:rFonts w:ascii="Times New Roman" w:hAnsi="Times New Roman"/>
          <w:color w:val="000000" w:themeColor="text1"/>
          <w:sz w:val="16"/>
          <w:szCs w:val="16"/>
        </w:rPr>
        <w:softHyphen/>
        <w:t>воде и в УВВС их отправили только в декабре 1932 г.(11848).</w:t>
      </w:r>
    </w:p>
    <w:p w14:paraId="3C7721F2" w14:textId="77777777" w:rsidR="008524B2" w:rsidRPr="00C33834" w:rsidRDefault="008524B2"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5E19C7" w14:textId="77777777" w:rsidR="0049110B" w:rsidRPr="00C33834" w:rsidRDefault="004911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19 мая</w:t>
      </w:r>
      <w:r w:rsidRPr="00C33834">
        <w:rPr>
          <w:rFonts w:ascii="Times New Roman" w:hAnsi="Times New Roman"/>
          <w:color w:val="000000" w:themeColor="text1"/>
          <w:sz w:val="16"/>
          <w:szCs w:val="16"/>
        </w:rPr>
        <w:t xml:space="preserve"> в 1933 году испытание высотного скафандра </w:t>
      </w:r>
      <w:hyperlink r:id="rId166" w:tgtFrame="_blank" w:history="1">
        <w:r w:rsidRPr="00C33834">
          <w:rPr>
            <w:rFonts w:ascii="Times New Roman" w:hAnsi="Times New Roman"/>
            <w:color w:val="000000" w:themeColor="text1"/>
            <w:sz w:val="16"/>
            <w:szCs w:val="16"/>
          </w:rPr>
          <w:t xml:space="preserve">«Ч-3» </w:t>
        </w:r>
      </w:hyperlink>
      <w:r w:rsidRPr="00C33834">
        <w:rPr>
          <w:rFonts w:ascii="Times New Roman" w:hAnsi="Times New Roman"/>
          <w:color w:val="000000" w:themeColor="text1"/>
          <w:sz w:val="16"/>
          <w:szCs w:val="16"/>
        </w:rPr>
        <w:t>Е.Е.Чертовского, С.М.Коробов на «ТБ-3» (14896).</w:t>
      </w:r>
    </w:p>
    <w:p w14:paraId="520FD177" w14:textId="77777777" w:rsidR="0049110B" w:rsidRPr="00C33834" w:rsidRDefault="0049110B" w:rsidP="00C33834">
      <w:pPr>
        <w:spacing w:after="0" w:line="240" w:lineRule="auto"/>
        <w:jc w:val="both"/>
        <w:rPr>
          <w:rFonts w:ascii="Times New Roman" w:hAnsi="Times New Roman"/>
          <w:color w:val="000000" w:themeColor="text1"/>
          <w:sz w:val="16"/>
          <w:szCs w:val="16"/>
        </w:rPr>
      </w:pPr>
    </w:p>
    <w:p w14:paraId="43E3AAD5"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01D76BD"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560DD7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мая 1933 опытный Т-18 с подвеской от Т-26 поступил на испытания, но получилось неудачно (4243,17).</w:t>
      </w:r>
    </w:p>
    <w:p w14:paraId="001D0FE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75F7B315"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 мая по 14 июня 1933 г. прошли Государственные испытания МС-1А в Кубинке под руководством начальника полигона т. Штагина,начальника испытательного отде</w:t>
      </w:r>
      <w:r w:rsidRPr="00C33834">
        <w:rPr>
          <w:rFonts w:ascii="Times New Roman" w:hAnsi="Times New Roman"/>
          <w:color w:val="000000" w:themeColor="text1"/>
          <w:sz w:val="16"/>
          <w:szCs w:val="16"/>
        </w:rPr>
        <w:softHyphen/>
        <w:t>ла т. Воробьева,представителей 1 -й станции Лаврентьева и Кульчицкого.</w:t>
      </w:r>
    </w:p>
    <w:p w14:paraId="3A9E263D"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итогам испытаний было составлено следующее заключение:</w:t>
      </w:r>
    </w:p>
    <w:p w14:paraId="602DD2E4"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Общий вид танка МС-1 А с ходовой частью типа Т-26.МС-1А преодолевает танковый окоп шириной 500 мм на 1 -й передаче.</w:t>
      </w:r>
    </w:p>
    <w:p w14:paraId="590061C6"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Продольные колебания танка уста</w:t>
      </w:r>
      <w:r w:rsidRPr="00C33834">
        <w:rPr>
          <w:rFonts w:ascii="Times New Roman" w:hAnsi="Times New Roman"/>
          <w:color w:val="000000" w:themeColor="text1"/>
          <w:sz w:val="16"/>
          <w:szCs w:val="16"/>
        </w:rPr>
        <w:softHyphen/>
        <w:t>новкой подвески Т-26 не устранены, так как задняя часть подвески несет на себе основную нагрузку, оставляя переднюю часть загруженной значительно меньше. Для уменьшения продольных колебаний танка необходимо распределить нагруз</w:t>
      </w:r>
      <w:r w:rsidRPr="00C33834">
        <w:rPr>
          <w:rFonts w:ascii="Times New Roman" w:hAnsi="Times New Roman"/>
          <w:color w:val="000000" w:themeColor="text1"/>
          <w:sz w:val="16"/>
          <w:szCs w:val="16"/>
        </w:rPr>
        <w:softHyphen/>
        <w:t>ку более равномерно на все несущие кат</w:t>
      </w:r>
      <w:r w:rsidRPr="00C33834">
        <w:rPr>
          <w:rFonts w:ascii="Times New Roman" w:hAnsi="Times New Roman"/>
          <w:color w:val="000000" w:themeColor="text1"/>
          <w:sz w:val="16"/>
          <w:szCs w:val="16"/>
        </w:rPr>
        <w:softHyphen/>
        <w:t>ки подвески.</w:t>
      </w:r>
    </w:p>
    <w:p w14:paraId="7EB3C6D0"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 заменой движителя изменились скорости движения танка, так как диаметр ведущего колеса увеличен по сравнению со старым. Передаточные числа остались без изменений...</w:t>
      </w:r>
    </w:p>
    <w:p w14:paraId="51DF0A41"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Недостатком новой подвески также является близкое расположение задних кат</w:t>
      </w:r>
      <w:r w:rsidRPr="00C33834">
        <w:rPr>
          <w:rFonts w:ascii="Times New Roman" w:hAnsi="Times New Roman"/>
          <w:color w:val="000000" w:themeColor="text1"/>
          <w:sz w:val="16"/>
          <w:szCs w:val="16"/>
        </w:rPr>
        <w:softHyphen/>
        <w:t>ков к ведущим колесам танка, что ведет при прохождении неровностей к набеганию зу</w:t>
      </w:r>
      <w:r w:rsidRPr="00C33834">
        <w:rPr>
          <w:rFonts w:ascii="Times New Roman" w:hAnsi="Times New Roman"/>
          <w:color w:val="000000" w:themeColor="text1"/>
          <w:sz w:val="16"/>
          <w:szCs w:val="16"/>
        </w:rPr>
        <w:softHyphen/>
        <w:t>бьев ведущего колеса на бандаж катка. Это будет устранено с уменьшением диаметра ведущего колеса. Передние рессоры жела</w:t>
      </w:r>
      <w:r w:rsidRPr="00C33834">
        <w:rPr>
          <w:rFonts w:ascii="Times New Roman" w:hAnsi="Times New Roman"/>
          <w:color w:val="000000" w:themeColor="text1"/>
          <w:sz w:val="16"/>
          <w:szCs w:val="16"/>
        </w:rPr>
        <w:softHyphen/>
      </w:r>
    </w:p>
    <w:p w14:paraId="749940A4"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Фактические скорости движения тан</w:t>
      </w:r>
      <w:r w:rsidRPr="00C33834">
        <w:rPr>
          <w:rFonts w:ascii="Times New Roman" w:hAnsi="Times New Roman"/>
          <w:color w:val="000000" w:themeColor="text1"/>
          <w:sz w:val="16"/>
          <w:szCs w:val="16"/>
        </w:rPr>
        <w:softHyphen/>
        <w:t>ка с новой подвеской составили 2,4 км/ч и 11,5 км/ч на 1-й и 2-й передачах соответ</w:t>
      </w:r>
      <w:r w:rsidRPr="00C33834">
        <w:rPr>
          <w:rFonts w:ascii="Times New Roman" w:hAnsi="Times New Roman"/>
          <w:color w:val="000000" w:themeColor="text1"/>
          <w:sz w:val="16"/>
          <w:szCs w:val="16"/>
        </w:rPr>
        <w:softHyphen/>
        <w:t>ственно. Вследствие большого диаметра ведущего колеса в новой подвеске мощно- тельно укоротить для более надежной рабо</w:t>
      </w:r>
      <w:r w:rsidRPr="00C33834">
        <w:rPr>
          <w:rFonts w:ascii="Times New Roman" w:hAnsi="Times New Roman"/>
          <w:color w:val="000000" w:themeColor="text1"/>
          <w:sz w:val="16"/>
          <w:szCs w:val="16"/>
        </w:rPr>
        <w:softHyphen/>
        <w:t>ты на скручивание при поворотах и устране</w:t>
      </w:r>
      <w:r w:rsidRPr="00C33834">
        <w:rPr>
          <w:rFonts w:ascii="Times New Roman" w:hAnsi="Times New Roman"/>
          <w:color w:val="000000" w:themeColor="text1"/>
          <w:sz w:val="16"/>
          <w:szCs w:val="16"/>
        </w:rPr>
        <w:softHyphen/>
        <w:t>ния набегания катка на направляющее ко</w:t>
      </w:r>
      <w:r w:rsidRPr="00C33834">
        <w:rPr>
          <w:rFonts w:ascii="Times New Roman" w:hAnsi="Times New Roman"/>
          <w:color w:val="000000" w:themeColor="text1"/>
          <w:sz w:val="16"/>
          <w:szCs w:val="16"/>
        </w:rPr>
        <w:softHyphen/>
        <w:t>лесо при прохождении неровностей»</w:t>
      </w:r>
    </w:p>
    <w:p w14:paraId="3651DC66"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Расчетные скорости движения</w:t>
      </w:r>
    </w:p>
    <w:tbl>
      <w:tblPr>
        <w:tblW w:w="0" w:type="auto"/>
        <w:tblInd w:w="-18" w:type="dxa"/>
        <w:tblLayout w:type="fixed"/>
        <w:tblCellMar>
          <w:left w:w="10" w:type="dxa"/>
          <w:right w:w="10" w:type="dxa"/>
        </w:tblCellMar>
        <w:tblLook w:val="0000" w:firstRow="0" w:lastRow="0" w:firstColumn="0" w:lastColumn="0" w:noHBand="0" w:noVBand="0"/>
      </w:tblPr>
      <w:tblGrid>
        <w:gridCol w:w="1925"/>
        <w:gridCol w:w="1862"/>
        <w:gridCol w:w="1834"/>
      </w:tblGrid>
      <w:tr w:rsidR="00F26F01" w:rsidRPr="00C33834" w14:paraId="0336CC91" w14:textId="77777777" w:rsidTr="00CE35D9">
        <w:trPr>
          <w:trHeight w:val="197"/>
        </w:trPr>
        <w:tc>
          <w:tcPr>
            <w:tcW w:w="1925" w:type="dxa"/>
            <w:tcBorders>
              <w:top w:val="single" w:sz="6" w:space="0" w:color="auto"/>
              <w:left w:val="single" w:sz="6" w:space="0" w:color="auto"/>
              <w:bottom w:val="single" w:sz="6" w:space="0" w:color="auto"/>
              <w:right w:val="single" w:sz="6" w:space="0" w:color="auto"/>
            </w:tcBorders>
            <w:shd w:val="clear" w:color="auto" w:fill="FFFFFF"/>
          </w:tcPr>
          <w:p w14:paraId="7D81029A"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Скорости движения</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594DCE12"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Новая подвеска</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14:paraId="18E779C2"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Старая подвеска</w:t>
            </w:r>
          </w:p>
        </w:tc>
      </w:tr>
      <w:tr w:rsidR="00F26F01" w:rsidRPr="00C33834" w14:paraId="16D347EA" w14:textId="77777777" w:rsidTr="00CE35D9">
        <w:trPr>
          <w:trHeight w:val="192"/>
        </w:trPr>
        <w:tc>
          <w:tcPr>
            <w:tcW w:w="1925" w:type="dxa"/>
            <w:tcBorders>
              <w:top w:val="single" w:sz="6" w:space="0" w:color="auto"/>
              <w:left w:val="single" w:sz="6" w:space="0" w:color="auto"/>
              <w:bottom w:val="single" w:sz="6" w:space="0" w:color="auto"/>
              <w:right w:val="single" w:sz="6" w:space="0" w:color="auto"/>
            </w:tcBorders>
            <w:shd w:val="clear" w:color="auto" w:fill="FFFFFF"/>
          </w:tcPr>
          <w:p w14:paraId="685275EB"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3E82AEC3"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2,96</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14:paraId="36773905"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1,94</w:t>
            </w:r>
          </w:p>
        </w:tc>
      </w:tr>
      <w:tr w:rsidR="00F26F01" w:rsidRPr="00C33834" w14:paraId="5BF166CB" w14:textId="77777777" w:rsidTr="00CE35D9">
        <w:trPr>
          <w:trHeight w:val="192"/>
        </w:trPr>
        <w:tc>
          <w:tcPr>
            <w:tcW w:w="1925" w:type="dxa"/>
            <w:tcBorders>
              <w:top w:val="single" w:sz="6" w:space="0" w:color="auto"/>
              <w:left w:val="single" w:sz="6" w:space="0" w:color="auto"/>
              <w:bottom w:val="single" w:sz="6" w:space="0" w:color="auto"/>
              <w:right w:val="single" w:sz="6" w:space="0" w:color="auto"/>
            </w:tcBorders>
            <w:shd w:val="clear" w:color="auto" w:fill="FFFFFF"/>
          </w:tcPr>
          <w:p w14:paraId="427AA058"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75661C9E"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12,43</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14:paraId="6964D2A1"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8,14</w:t>
            </w:r>
          </w:p>
        </w:tc>
      </w:tr>
      <w:tr w:rsidR="00F26F01" w:rsidRPr="00C33834" w14:paraId="404DE104" w14:textId="77777777" w:rsidTr="00CE35D9">
        <w:trPr>
          <w:trHeight w:val="187"/>
        </w:trPr>
        <w:tc>
          <w:tcPr>
            <w:tcW w:w="1925" w:type="dxa"/>
            <w:tcBorders>
              <w:top w:val="single" w:sz="6" w:space="0" w:color="auto"/>
              <w:left w:val="single" w:sz="6" w:space="0" w:color="auto"/>
              <w:bottom w:val="single" w:sz="6" w:space="0" w:color="auto"/>
              <w:right w:val="single" w:sz="6" w:space="0" w:color="auto"/>
            </w:tcBorders>
            <w:shd w:val="clear" w:color="auto" w:fill="FFFFFF"/>
          </w:tcPr>
          <w:p w14:paraId="570160B2"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6AE77C88"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24,87</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14:paraId="4DA14E83"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16,38</w:t>
            </w:r>
          </w:p>
        </w:tc>
      </w:tr>
      <w:tr w:rsidR="00F26F01" w:rsidRPr="00C33834" w14:paraId="068E8842" w14:textId="77777777" w:rsidTr="00CE35D9">
        <w:trPr>
          <w:trHeight w:val="206"/>
        </w:trPr>
        <w:tc>
          <w:tcPr>
            <w:tcW w:w="1925" w:type="dxa"/>
            <w:tcBorders>
              <w:top w:val="single" w:sz="6" w:space="0" w:color="auto"/>
              <w:left w:val="single" w:sz="6" w:space="0" w:color="auto"/>
              <w:bottom w:val="single" w:sz="6" w:space="0" w:color="auto"/>
              <w:right w:val="single" w:sz="6" w:space="0" w:color="auto"/>
            </w:tcBorders>
            <w:shd w:val="clear" w:color="auto" w:fill="FFFFFF"/>
          </w:tcPr>
          <w:p w14:paraId="06BE1FBD"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Задний ход</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46D43B80"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14:paraId="56FB6CEC"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r>
    </w:tbl>
    <w:p w14:paraId="250DFC62"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целом по итогам испытаний конста</w:t>
      </w:r>
      <w:r w:rsidRPr="00C33834">
        <w:rPr>
          <w:rFonts w:ascii="Times New Roman" w:hAnsi="Times New Roman"/>
          <w:color w:val="000000" w:themeColor="text1"/>
          <w:sz w:val="16"/>
          <w:szCs w:val="16"/>
        </w:rPr>
        <w:softHyphen/>
        <w:t>тировалось, что использование на МС-1 подвески типа Т-26 могло снизить (но не исключить) продольные колебания, повы</w:t>
      </w:r>
      <w:r w:rsidRPr="00C33834">
        <w:rPr>
          <w:rFonts w:ascii="Times New Roman" w:hAnsi="Times New Roman"/>
          <w:color w:val="000000" w:themeColor="text1"/>
          <w:sz w:val="16"/>
          <w:szCs w:val="16"/>
        </w:rPr>
        <w:softHyphen/>
        <w:t>сить надежность танка «в отношении сбра</w:t>
      </w:r>
      <w:r w:rsidRPr="00C33834">
        <w:rPr>
          <w:rFonts w:ascii="Times New Roman" w:hAnsi="Times New Roman"/>
          <w:color w:val="000000" w:themeColor="text1"/>
          <w:sz w:val="16"/>
          <w:szCs w:val="16"/>
        </w:rPr>
        <w:softHyphen/>
        <w:t>сывания гусениц, что является больным ме</w:t>
      </w:r>
      <w:r w:rsidRPr="00C33834">
        <w:rPr>
          <w:rFonts w:ascii="Times New Roman" w:hAnsi="Times New Roman"/>
          <w:color w:val="000000" w:themeColor="text1"/>
          <w:sz w:val="16"/>
          <w:szCs w:val="16"/>
        </w:rPr>
        <w:softHyphen/>
        <w:t>стом на Т-18». Однако эффект от модер</w:t>
      </w:r>
      <w:r w:rsidRPr="00C33834">
        <w:rPr>
          <w:rFonts w:ascii="Times New Roman" w:hAnsi="Times New Roman"/>
          <w:color w:val="000000" w:themeColor="text1"/>
          <w:sz w:val="16"/>
          <w:szCs w:val="16"/>
        </w:rPr>
        <w:softHyphen/>
        <w:t>низации оказался не столь существенным, как ожидалось, и от внедрения новшества воздержались.сти двигателя для движения на 3-й переда</w:t>
      </w:r>
      <w:r w:rsidRPr="00C33834">
        <w:rPr>
          <w:rFonts w:ascii="Times New Roman" w:hAnsi="Times New Roman"/>
          <w:color w:val="000000" w:themeColor="text1"/>
          <w:sz w:val="16"/>
          <w:szCs w:val="16"/>
        </w:rPr>
        <w:softHyphen/>
        <w:t>че стало недостаточно.</w:t>
      </w:r>
    </w:p>
    <w:p w14:paraId="2497FC1E"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приведенных материалов видно, что повышенные скорости использовать при существующей мощности двигателя нель</w:t>
      </w:r>
      <w:r w:rsidRPr="00C33834">
        <w:rPr>
          <w:rFonts w:ascii="Times New Roman" w:hAnsi="Times New Roman"/>
          <w:color w:val="000000" w:themeColor="text1"/>
          <w:sz w:val="16"/>
          <w:szCs w:val="16"/>
        </w:rPr>
        <w:softHyphen/>
        <w:t>зя. Кроме того, увеличение диаметра ве</w:t>
      </w:r>
      <w:r w:rsidRPr="00C33834">
        <w:rPr>
          <w:rFonts w:ascii="Times New Roman" w:hAnsi="Times New Roman"/>
          <w:color w:val="000000" w:themeColor="text1"/>
          <w:sz w:val="16"/>
          <w:szCs w:val="16"/>
        </w:rPr>
        <w:softHyphen/>
        <w:t>дущего колеса уменьшило запас мощно</w:t>
      </w:r>
      <w:r w:rsidRPr="00C33834">
        <w:rPr>
          <w:rFonts w:ascii="Times New Roman" w:hAnsi="Times New Roman"/>
          <w:color w:val="000000" w:themeColor="text1"/>
          <w:sz w:val="16"/>
          <w:szCs w:val="16"/>
        </w:rPr>
        <w:softHyphen/>
        <w:t>сти двигателя, что резко сказывается во всех условиях работы танка. Необходимо сохранить прежний диаметр ведущего ко</w:t>
      </w:r>
      <w:r w:rsidRPr="00C33834">
        <w:rPr>
          <w:rFonts w:ascii="Times New Roman" w:hAnsi="Times New Roman"/>
          <w:color w:val="000000" w:themeColor="text1"/>
          <w:sz w:val="16"/>
          <w:szCs w:val="16"/>
        </w:rPr>
        <w:softHyphen/>
        <w:t>леса или увеличить мощность двигателя, так как одним увеличением диаметра ко</w:t>
      </w:r>
      <w:r w:rsidRPr="00C33834">
        <w:rPr>
          <w:rFonts w:ascii="Times New Roman" w:hAnsi="Times New Roman"/>
          <w:color w:val="000000" w:themeColor="text1"/>
          <w:sz w:val="16"/>
          <w:szCs w:val="16"/>
        </w:rPr>
        <w:softHyphen/>
        <w:t>леса (при существующей мощности двига</w:t>
      </w:r>
      <w:r w:rsidRPr="00C33834">
        <w:rPr>
          <w:rFonts w:ascii="Times New Roman" w:hAnsi="Times New Roman"/>
          <w:color w:val="000000" w:themeColor="text1"/>
          <w:sz w:val="16"/>
          <w:szCs w:val="16"/>
        </w:rPr>
        <w:softHyphen/>
        <w:t>теля) повышения скоростей движения до</w:t>
      </w:r>
      <w:r w:rsidRPr="00C33834">
        <w:rPr>
          <w:rFonts w:ascii="Times New Roman" w:hAnsi="Times New Roman"/>
          <w:color w:val="000000" w:themeColor="text1"/>
          <w:sz w:val="16"/>
          <w:szCs w:val="16"/>
        </w:rPr>
        <w:softHyphen/>
        <w:t>стигнуть нельзя (12267).</w:t>
      </w:r>
    </w:p>
    <w:p w14:paraId="75AFCD6F" w14:textId="77777777" w:rsidR="0058354C" w:rsidRPr="00C33834" w:rsidRDefault="0058354C" w:rsidP="00C33834">
      <w:pPr>
        <w:spacing w:after="0" w:line="240" w:lineRule="auto"/>
        <w:jc w:val="both"/>
        <w:rPr>
          <w:rFonts w:ascii="Times New Roman" w:hAnsi="Times New Roman"/>
          <w:color w:val="000000" w:themeColor="text1"/>
          <w:sz w:val="16"/>
          <w:szCs w:val="16"/>
        </w:rPr>
      </w:pPr>
    </w:p>
    <w:p w14:paraId="7469008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мая 1933 г. первые шесть машин Л-1 приняли участие в испытательном пробеге в Москву и обратно. В столице их осматривал Г. К. Орджоникидзе, возглавлявший Наркомтяжпром. Он поставил перед коллективом завода задачу - дать в 1934 г. 2 тыс. легковых автомобилей. Позже приказом Наркомтяжпрома работы по автомобилям на "Красном путиловце" были прекращены, и задание создать представительскую легковую модель дали московскому предприятию ЗИС. Такое решение объяснялось тем, что перед "Красным путилов-цем" стояла более важная народнохозяйственная задача: оперативно освоить выпуск пропашных тракторов с таким расчетом, чтобы к концу 1934 г. изготовить их 5 тыс. штук. Кроме того, завод с февраля 1933 г. приступил еще и к производству танков Т-28, и для выпуска автомобилей просто не оставалось производственных возможностей. Нужно подчеркнуть, что в конструкции Л-1 впервые в нашем автомобилестроении нашли применение такие технические новшества, как восьмицилиндровый двигатель, сдвоенный карбюратор, синхронизаторы, термостат в системе охлаждения. После НАМИ-1 это была вторая модель с газораспределением с помощью подвесных клапанов, приводимых толкающими штангами. Если в отечественных автомобильных двигателях поверхность камеры сгорания оставалась шероховатой после отливки, то на Л-1 ее поверхность полностью механически обрабатывалась. Умеренная (4,4) степень сжатия позволяла работать на любом сорте бензина. У восьмицилиндрового двигателя с чугунным блоком коленчатый вал был сделан пятиопорным. Зависимая подвеска всех колес на полуэллиптических рессорах, трехступенчатая коробка передач, массивная рама с развитыми поперечинами, одношарнирный карданный вал, служивший для передачи толкающих усилий от заднего моста, отражали технические тенденции в легковом автомобилестроении тех лет. Основные параметры автомобиля Л-1: количество мест - 7; количество цилиндров двигателя - 8; рабочий объем - 5641 см1'; мощность - 105 л. с. при 2900 об/мин; число передач - 3; размер шин - 7,50-17"; длина - 5300 мм, ширина - 1890 мм, высота- 1860 мм; колесная база - 3380 мм; колея колес: передних-1520 мм, задних - 1500 мм. Масса в снаряженном состоянии - 2300 кг. Наибольшая скорость - 115 км/ч. Дальнейшие работы по представительскому автомобилю вел уже коллектив московского ЗИСа. Общую конструкцию "Бьюика-32-90" он сохранил, но отказался от сложных в доводке узлов: дистанционного управления амортизаторами, автоматического управления сцеплением и некоторых других. Более того, конструкторы ЗИСа во главе с Е. И. Ва-жинским творчески переосмыслили технические решения, заложенные в прототипе. В итоге получилась модель, мало похожая на "Бьюик", но сохранившая с ним конструктивную преемственность. Однако производство столь сложного изделия, как легковой автомобиль высшего класса, наше машиностроение еще не могло обеспечить штампами для панелей кузова и лонжеронов рамы, сварочными кондукторами для кузова, специальными станками и сложной оснасткой. Их заказали в США кузовной фирме "Бадд", уплатив почти полтора миллиона долларов (в ценах тех лет) (12098).</w:t>
      </w:r>
    </w:p>
    <w:p w14:paraId="7B470A58"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6F64CC2D" w14:textId="77777777" w:rsidR="0049110B" w:rsidRPr="00C33834" w:rsidRDefault="0049110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bCs/>
          <w:iCs/>
          <w:color w:val="000000" w:themeColor="text1"/>
          <w:sz w:val="16"/>
          <w:szCs w:val="16"/>
        </w:rPr>
        <w:t>19 мая 1933 г.</w:t>
      </w:r>
      <w:r w:rsidRPr="00C33834">
        <w:rPr>
          <w:rFonts w:ascii="Times New Roman" w:hAnsi="Times New Roman"/>
          <w:color w:val="000000" w:themeColor="text1"/>
          <w:sz w:val="16"/>
          <w:szCs w:val="16"/>
        </w:rPr>
        <w:t xml:space="preserve"> Утверждение заместителем председателя РВС СССР М.Н.Тухачевским «</w:t>
      </w:r>
      <w:r w:rsidRPr="00C33834">
        <w:rPr>
          <w:rFonts w:ascii="Times New Roman" w:hAnsi="Times New Roman"/>
          <w:iCs/>
          <w:color w:val="000000" w:themeColor="text1"/>
          <w:sz w:val="16"/>
          <w:szCs w:val="16"/>
        </w:rPr>
        <w:t>Перечня вопросов, составляющих военную тайну по военно-химическому вооружению и военно-химической подготовке РККА</w:t>
      </w:r>
      <w:r w:rsidRPr="00C33834">
        <w:rPr>
          <w:rFonts w:ascii="Times New Roman" w:hAnsi="Times New Roman"/>
          <w:color w:val="000000" w:themeColor="text1"/>
          <w:sz w:val="16"/>
          <w:szCs w:val="16"/>
        </w:rPr>
        <w:t>». О боевых химических машинах от БХМ-1 до БХМ-4 враг не должен был знать из открытых источников ничего. О шашках ядовитого дыма ЯМ-21, ЯМ-31 и ЯМ-41 и об их применении никто не должен был знать ничего — все шло только под грифом «секретно». За исключением того, что прятали под гриф «совершенно секретно», а на этот уровень тайны тянула такая информация, как «</w:t>
      </w:r>
      <w:r w:rsidRPr="00C33834">
        <w:rPr>
          <w:rFonts w:ascii="Times New Roman" w:hAnsi="Times New Roman"/>
          <w:iCs/>
          <w:color w:val="000000" w:themeColor="text1"/>
          <w:sz w:val="16"/>
          <w:szCs w:val="16"/>
        </w:rPr>
        <w:t xml:space="preserve">действие дымовой волны на дальности свыше 10 км </w:t>
      </w:r>
      <w:r w:rsidRPr="00C33834">
        <w:rPr>
          <w:rFonts w:ascii="Times New Roman" w:hAnsi="Times New Roman"/>
          <w:iCs/>
          <w:color w:val="000000" w:themeColor="text1"/>
          <w:sz w:val="16"/>
          <w:szCs w:val="16"/>
        </w:rPr>
        <w:lastRenderedPageBreak/>
        <w:t>и в сверхминимальных концентрациях</w:t>
      </w:r>
      <w:r w:rsidRPr="00C33834">
        <w:rPr>
          <w:rFonts w:ascii="Times New Roman" w:hAnsi="Times New Roman"/>
          <w:color w:val="000000" w:themeColor="text1"/>
          <w:sz w:val="16"/>
          <w:szCs w:val="16"/>
        </w:rPr>
        <w:t>». Напомним, что дальность могла достигать 80 км и более. О таком оружии, как химический фугас ХФ: боевые нормы — это «секретно», не говоря уж о «</w:t>
      </w:r>
      <w:r w:rsidRPr="00C33834">
        <w:rPr>
          <w:rFonts w:ascii="Times New Roman" w:hAnsi="Times New Roman"/>
          <w:iCs/>
          <w:color w:val="000000" w:themeColor="text1"/>
          <w:sz w:val="16"/>
          <w:szCs w:val="16"/>
        </w:rPr>
        <w:t>телемеханическом способе подрыва</w:t>
      </w:r>
      <w:r w:rsidRPr="00C33834">
        <w:rPr>
          <w:rFonts w:ascii="Times New Roman" w:hAnsi="Times New Roman"/>
          <w:color w:val="000000" w:themeColor="text1"/>
          <w:sz w:val="16"/>
          <w:szCs w:val="16"/>
        </w:rPr>
        <w:t>», который проходил как тайна уровня «совершенно секретно». О ВАПах как о химическом оружии авиации никому нельзя было знать ничего: применение этого средства распыления ОВ до высот 1000 метров было тайной уровня «секретно», а вот использование с высот выше 1000 метров было тайной «совершенно секретно». Столь же высокой тайной была окружена возможность применения авиацией из ВАПов таких ОВ, как синильная кислота и фосген. Под грифом «совершенно секретно» проходили любые рецептуры ОВ — для химических и осколочно-химических авиационных бомб и артиллерийских снарядов, а также для применения всеми иными способами. Что касается самих ОВ, то о ранее известных из прессы широкой публике дозволялось знать то и только то, что уже было опубликовано после первой мировой войны. Скажем, в отношении синильной кислоты режим «секретно» распространялся на «</w:t>
      </w:r>
      <w:r w:rsidRPr="00C33834">
        <w:rPr>
          <w:rFonts w:ascii="Times New Roman" w:hAnsi="Times New Roman"/>
          <w:iCs/>
          <w:color w:val="000000" w:themeColor="text1"/>
          <w:sz w:val="16"/>
          <w:szCs w:val="16"/>
        </w:rPr>
        <w:t>все работы, проводимые в СССР, и вопросы боевого применения</w:t>
      </w:r>
      <w:r w:rsidRPr="00C33834">
        <w:rPr>
          <w:rFonts w:ascii="Times New Roman" w:hAnsi="Times New Roman"/>
          <w:color w:val="000000" w:themeColor="text1"/>
          <w:sz w:val="16"/>
          <w:szCs w:val="16"/>
        </w:rPr>
        <w:t>», а режим «совершенно секретно» — на «</w:t>
      </w:r>
      <w:r w:rsidRPr="00C33834">
        <w:rPr>
          <w:rFonts w:ascii="Times New Roman" w:hAnsi="Times New Roman"/>
          <w:iCs/>
          <w:color w:val="000000" w:themeColor="text1"/>
          <w:sz w:val="16"/>
          <w:szCs w:val="16"/>
        </w:rPr>
        <w:t>применение синильной кислоты авиацией и другими холодными способами</w:t>
      </w:r>
      <w:r w:rsidRPr="00C33834">
        <w:rPr>
          <w:rFonts w:ascii="Times New Roman" w:hAnsi="Times New Roman"/>
          <w:color w:val="000000" w:themeColor="text1"/>
          <w:sz w:val="16"/>
          <w:szCs w:val="16"/>
        </w:rPr>
        <w:t>». В отношении адамсита и дифенилхлорарсина режим «совершенно секретно» действовал по такому боевому вопросу, как «</w:t>
      </w:r>
      <w:r w:rsidRPr="00C33834">
        <w:rPr>
          <w:rFonts w:ascii="Times New Roman" w:hAnsi="Times New Roman"/>
          <w:iCs/>
          <w:color w:val="000000" w:themeColor="text1"/>
          <w:sz w:val="16"/>
          <w:szCs w:val="16"/>
        </w:rPr>
        <w:t>действие на организм сверхминимальных концентраций</w:t>
      </w:r>
      <w:r w:rsidRPr="00C33834">
        <w:rPr>
          <w:rFonts w:ascii="Times New Roman" w:hAnsi="Times New Roman"/>
          <w:color w:val="000000" w:themeColor="text1"/>
          <w:sz w:val="16"/>
          <w:szCs w:val="16"/>
        </w:rPr>
        <w:t>». А в отношении практически всех известных ОВ (иприта, фосгена, дифосгена, хлора, адамсита, дифенилхлорарсина, хлорацетофенона, бромбензилцианида) в режиме «секретно» должно было оставаться все, что касалось усовершенствования технологических процессов, а в режиме «совершенно секретно» — сведения о боевых рецептурах. Что касается новых, ранее не известных ОВ, то публикации о них типографские или литографские публикации запрещались вообще, даже под грифом «совершенно секретно». О химических войсках и их работе в режиме химического нападения нельзя было знать ничего. В отношении факта существования «</w:t>
      </w:r>
      <w:r w:rsidRPr="00C33834">
        <w:rPr>
          <w:rFonts w:ascii="Times New Roman" w:hAnsi="Times New Roman"/>
          <w:iCs/>
          <w:color w:val="000000" w:themeColor="text1"/>
          <w:sz w:val="16"/>
          <w:szCs w:val="16"/>
        </w:rPr>
        <w:t>химических частей и подразделений больше взвода</w:t>
      </w:r>
      <w:r w:rsidRPr="00C33834">
        <w:rPr>
          <w:rFonts w:ascii="Times New Roman" w:hAnsi="Times New Roman"/>
          <w:color w:val="000000" w:themeColor="text1"/>
          <w:sz w:val="16"/>
          <w:szCs w:val="16"/>
        </w:rPr>
        <w:t>», равно как и об их технике и тактике при заражении местности действовал режим «секретно». Ну а в отношении мест размещения химвойск нельзя было знать ничего — даже о взводах (17133).</w:t>
      </w:r>
    </w:p>
    <w:p w14:paraId="08F9BE15" w14:textId="77777777" w:rsidR="0049110B" w:rsidRPr="00C33834" w:rsidRDefault="0049110B" w:rsidP="00C33834">
      <w:pPr>
        <w:shd w:val="clear" w:color="auto" w:fill="FFFFFF"/>
        <w:spacing w:after="0" w:line="240" w:lineRule="auto"/>
        <w:jc w:val="both"/>
        <w:rPr>
          <w:rFonts w:ascii="Times New Roman" w:hAnsi="Times New Roman"/>
          <w:color w:val="000000" w:themeColor="text1"/>
          <w:sz w:val="16"/>
          <w:szCs w:val="16"/>
        </w:rPr>
      </w:pPr>
    </w:p>
    <w:p w14:paraId="6FFDD61C"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780BEFFF"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D03055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19 и 25 мая 1933. Из протокола заседания Политбюро N 138, 1933 г.</w:t>
      </w:r>
    </w:p>
    <w:p w14:paraId="77F0D69C"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Монголии </w:t>
      </w:r>
    </w:p>
    <w:p w14:paraId="6D661030"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 Поручить тов. Ворошилову послать от имени правительства СССР в подарок монголам Гендуну и Амору персонально в подарок по одному автомобилю (Бьюик) и по одной машине в гаражи Сов. Мин. и ЦК НРП. </w:t>
      </w:r>
    </w:p>
    <w:p w14:paraId="7F87E27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 Машины временно взять у Наркомвоенмора. </w:t>
      </w:r>
    </w:p>
    <w:p w14:paraId="1B07F821"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Наркомвнешторгу ввезти из Америки четыре машины тех же марок для возмещения НКВМ (11652).</w:t>
      </w:r>
    </w:p>
    <w:p w14:paraId="1BC6B812"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31905937" w14:textId="77777777" w:rsidR="005B4FE8" w:rsidRPr="00C33834" w:rsidRDefault="005B4FE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мая 1933 г. Калинин поддержал предложения Рузвельта (от 1</w:t>
      </w:r>
      <w:r w:rsidR="004907CB" w:rsidRPr="00C33834">
        <w:rPr>
          <w:rFonts w:ascii="Times New Roman" w:hAnsi="Times New Roman"/>
          <w:color w:val="000000" w:themeColor="text1"/>
          <w:sz w:val="16"/>
          <w:szCs w:val="16"/>
        </w:rPr>
        <w:t>6</w:t>
      </w:r>
      <w:r w:rsidRPr="00C33834">
        <w:rPr>
          <w:rFonts w:ascii="Times New Roman" w:hAnsi="Times New Roman"/>
          <w:color w:val="000000" w:themeColor="text1"/>
          <w:sz w:val="16"/>
          <w:szCs w:val="16"/>
        </w:rPr>
        <w:t xml:space="preserve"> мая) по разоружению (17325).</w:t>
      </w:r>
    </w:p>
    <w:p w14:paraId="09BB622F" w14:textId="77777777" w:rsidR="005B4FE8" w:rsidRPr="00C33834" w:rsidRDefault="005B4FE8" w:rsidP="00C33834">
      <w:pPr>
        <w:autoSpaceDE w:val="0"/>
        <w:autoSpaceDN w:val="0"/>
        <w:adjustRightInd w:val="0"/>
        <w:spacing w:after="0" w:line="240" w:lineRule="auto"/>
        <w:jc w:val="both"/>
        <w:rPr>
          <w:rFonts w:ascii="Times New Roman" w:hAnsi="Times New Roman"/>
          <w:color w:val="000000" w:themeColor="text1"/>
          <w:sz w:val="16"/>
          <w:szCs w:val="16"/>
        </w:rPr>
      </w:pPr>
    </w:p>
    <w:p w14:paraId="74B25853" w14:textId="77777777" w:rsidR="009A796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78F34B48" w14:textId="77777777" w:rsidR="009A7962" w:rsidRPr="00C33834" w:rsidRDefault="009A796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89BEEFC" w14:textId="77777777" w:rsidR="009A7962" w:rsidRPr="00C33834" w:rsidRDefault="009A7962"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19 мая</w:t>
      </w:r>
      <w:r w:rsidRPr="00C33834">
        <w:rPr>
          <w:rFonts w:ascii="Times New Roman" w:hAnsi="Times New Roman"/>
          <w:color w:val="000000" w:themeColor="text1"/>
          <w:sz w:val="16"/>
          <w:szCs w:val="16"/>
        </w:rPr>
        <w:t xml:space="preserve"> в 1933 году взлетел одноместный истребитель </w:t>
      </w:r>
      <w:hyperlink r:id="rId167" w:tgtFrame="_blank" w:history="1">
        <w:r w:rsidRPr="00C33834">
          <w:rPr>
            <w:rFonts w:ascii="Times New Roman" w:hAnsi="Times New Roman"/>
            <w:color w:val="000000" w:themeColor="text1"/>
            <w:sz w:val="16"/>
            <w:szCs w:val="16"/>
          </w:rPr>
          <w:t xml:space="preserve">«V-80P». </w:t>
        </w:r>
      </w:hyperlink>
      <w:r w:rsidRPr="00C33834">
        <w:rPr>
          <w:rFonts w:ascii="Times New Roman" w:hAnsi="Times New Roman"/>
          <w:color w:val="000000" w:themeColor="text1"/>
          <w:sz w:val="16"/>
          <w:szCs w:val="16"/>
        </w:rPr>
        <w:t>Было изготовлено три экземпляра «V-80P» для ВВС Перу. Это вариант самолета с двигателем «R-1690-T1D1» «Hornet» мощностью 700 л.с. Вооружение состояло из двух передних 7.62-мм пулеметов, установленных над верхней центральной секцией крыла, и двух таких же, стреляющих через радиатор двигателя. Кроме того истребитель мог нести одну 227-кг бомбу. Колесное шасси могло заменяться поплавком (14896).</w:t>
      </w:r>
    </w:p>
    <w:p w14:paraId="012C0DB2" w14:textId="77777777" w:rsidR="009A7962" w:rsidRPr="00C33834" w:rsidRDefault="009A7962" w:rsidP="00C33834">
      <w:pPr>
        <w:spacing w:after="0" w:line="240" w:lineRule="auto"/>
        <w:jc w:val="both"/>
        <w:rPr>
          <w:rFonts w:ascii="Times New Roman" w:hAnsi="Times New Roman"/>
          <w:color w:val="000000" w:themeColor="text1"/>
          <w:sz w:val="16"/>
          <w:szCs w:val="16"/>
        </w:rPr>
      </w:pPr>
    </w:p>
    <w:p w14:paraId="12161878" w14:textId="77777777" w:rsidR="007937A6" w:rsidRPr="00C33834" w:rsidRDefault="00793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мая 1933 года социал-демократы (те, кто остался на свободе и не эмигрировал) без единого возражения проголосовали в рейхстаге за одобрение внешней политики Гитлера. За девять дней до этого полиция захватила помещения социал-демократической партии и редакций газет, конфисковала их имущество. Тем не менее социалисты, продолжая потакать Гитлеру, выступили с осуждением своих товарищей, находившихся в эмиграции, за их нападки на фюрера. 19 июня они избрали новый партийный комитет. Но Фрик три дня спустя лишил их всякой надежды на компромисс, запретив социал-демократическую партию как "подрывную и враждебную государству". Пауль Лобе, уцелевший руководитель, и несколько членов партии - депутатов рейхстага были арестованы (17283).</w:t>
      </w:r>
    </w:p>
    <w:p w14:paraId="74B56CEA" w14:textId="77777777" w:rsidR="007937A6" w:rsidRPr="00C33834" w:rsidRDefault="007937A6" w:rsidP="00C33834">
      <w:pPr>
        <w:spacing w:after="0" w:line="240" w:lineRule="auto"/>
        <w:jc w:val="both"/>
        <w:rPr>
          <w:rFonts w:ascii="Times New Roman" w:hAnsi="Times New Roman"/>
          <w:color w:val="000000" w:themeColor="text1"/>
          <w:sz w:val="16"/>
          <w:szCs w:val="16"/>
        </w:rPr>
      </w:pPr>
    </w:p>
    <w:p w14:paraId="6F20309F"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0F643AA"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28EACFF"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мая 1933 состоялось заседание представителей ЦАГИ и завода 39 по самолету РД - военный вариант (1102).</w:t>
      </w:r>
    </w:p>
    <w:p w14:paraId="768F7D1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79BFB080"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мая 1933 ВМ-34 для глиссеров был предъявлен на 50 час. гос. испытания, но на 48 часу произошла авария (2310,130).</w:t>
      </w:r>
    </w:p>
    <w:p w14:paraId="49E31F2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292EF05D" w14:textId="77777777" w:rsidR="008524B2" w:rsidRPr="00C33834" w:rsidRDefault="008524B2"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мая 1933 ГМ-34 выста</w:t>
      </w:r>
      <w:r w:rsidRPr="00C33834">
        <w:rPr>
          <w:rFonts w:ascii="Times New Roman" w:hAnsi="Times New Roman"/>
          <w:color w:val="000000" w:themeColor="text1"/>
          <w:sz w:val="16"/>
          <w:szCs w:val="16"/>
        </w:rPr>
        <w:softHyphen/>
        <w:t>вили на государственные. На 48-м часу полетела водяная помпа, позже лопнул вал ре</w:t>
      </w:r>
      <w:r w:rsidRPr="00C33834">
        <w:rPr>
          <w:rFonts w:ascii="Times New Roman" w:hAnsi="Times New Roman"/>
          <w:color w:val="000000" w:themeColor="text1"/>
          <w:sz w:val="16"/>
          <w:szCs w:val="16"/>
        </w:rPr>
        <w:softHyphen/>
        <w:t>верса. В ноябре 1933 г. на за</w:t>
      </w:r>
      <w:r w:rsidRPr="00C33834">
        <w:rPr>
          <w:rFonts w:ascii="Times New Roman" w:hAnsi="Times New Roman"/>
          <w:color w:val="000000" w:themeColor="text1"/>
          <w:sz w:val="16"/>
          <w:szCs w:val="16"/>
        </w:rPr>
        <w:softHyphen/>
        <w:t>воде им. Марти в Ленинграде пару опытных двигателей уста</w:t>
      </w:r>
      <w:r w:rsidRPr="00C33834">
        <w:rPr>
          <w:rFonts w:ascii="Times New Roman" w:hAnsi="Times New Roman"/>
          <w:color w:val="000000" w:themeColor="text1"/>
          <w:sz w:val="16"/>
          <w:szCs w:val="16"/>
        </w:rPr>
        <w:softHyphen/>
        <w:t>новили на головной торпедный катер типа Г-5. Один ГМ-34 был левого исполнения, другой -правого. 5 декабря катер при</w:t>
      </w:r>
      <w:r w:rsidRPr="00C33834">
        <w:rPr>
          <w:rFonts w:ascii="Times New Roman" w:hAnsi="Times New Roman"/>
          <w:color w:val="000000" w:themeColor="text1"/>
          <w:sz w:val="16"/>
          <w:szCs w:val="16"/>
        </w:rPr>
        <w:softHyphen/>
        <w:t>был на Черное море, а 12 декабря уже вышел в море. Государственные испытания на нем завершились в августе 1934 г. Параллельно весь 1933 г. мотор работал на стенде в ЦИАМ. С 1934 г. он выпускался се</w:t>
      </w:r>
      <w:r w:rsidRPr="00C33834">
        <w:rPr>
          <w:rFonts w:ascii="Times New Roman" w:hAnsi="Times New Roman"/>
          <w:color w:val="000000" w:themeColor="text1"/>
          <w:sz w:val="16"/>
          <w:szCs w:val="16"/>
        </w:rPr>
        <w:softHyphen/>
        <w:t>рийно, к 1 июля изготовили 21 ка</w:t>
      </w:r>
      <w:r w:rsidRPr="00C33834">
        <w:rPr>
          <w:rFonts w:ascii="Times New Roman" w:hAnsi="Times New Roman"/>
          <w:color w:val="000000" w:themeColor="text1"/>
          <w:sz w:val="16"/>
          <w:szCs w:val="16"/>
        </w:rPr>
        <w:softHyphen/>
        <w:t>терный двигатель, а к концу года -156. Мощность была та же, что у авиационного М-34, а вес суще</w:t>
      </w:r>
      <w:r w:rsidRPr="00C33834">
        <w:rPr>
          <w:rFonts w:ascii="Times New Roman" w:hAnsi="Times New Roman"/>
          <w:color w:val="000000" w:themeColor="text1"/>
          <w:sz w:val="16"/>
          <w:szCs w:val="16"/>
        </w:rPr>
        <w:softHyphen/>
        <w:t>ственно больше, 864 кг, а с реверс-муфтой и коллекторами - 1000 кг. Катерный вариант совершенство</w:t>
      </w:r>
      <w:r w:rsidRPr="00C33834">
        <w:rPr>
          <w:rFonts w:ascii="Times New Roman" w:hAnsi="Times New Roman"/>
          <w:color w:val="000000" w:themeColor="text1"/>
          <w:sz w:val="16"/>
          <w:szCs w:val="16"/>
        </w:rPr>
        <w:softHyphen/>
        <w:t>вался параллельно с авиационным. Так, ГМ-34Ф имел коренные вклады</w:t>
      </w:r>
      <w:r w:rsidRPr="00C33834">
        <w:rPr>
          <w:rFonts w:ascii="Times New Roman" w:hAnsi="Times New Roman"/>
          <w:color w:val="000000" w:themeColor="text1"/>
          <w:sz w:val="16"/>
          <w:szCs w:val="16"/>
        </w:rPr>
        <w:softHyphen/>
        <w:t>ши из бронзы, коленчатый вал, го</w:t>
      </w:r>
      <w:r w:rsidRPr="00C33834">
        <w:rPr>
          <w:rFonts w:ascii="Times New Roman" w:hAnsi="Times New Roman"/>
          <w:color w:val="000000" w:themeColor="text1"/>
          <w:sz w:val="16"/>
          <w:szCs w:val="16"/>
        </w:rPr>
        <w:softHyphen/>
        <w:t>ловки блоков и часть агрегатов от М-34ФРНВ. Степень сжатия у него равнялась 7,3. Он был на 80 кг тя</w:t>
      </w:r>
      <w:r w:rsidRPr="00C33834">
        <w:rPr>
          <w:rFonts w:ascii="Times New Roman" w:hAnsi="Times New Roman"/>
          <w:color w:val="000000" w:themeColor="text1"/>
          <w:sz w:val="16"/>
          <w:szCs w:val="16"/>
        </w:rPr>
        <w:softHyphen/>
        <w:t>желее ГМ-34, но зато максимально выдавал 1000 л.с. Интересно, что для него предусматривалась работа как на чистом бензине, так и на бензи-но-спиртовой смеси. Но очень сомни</w:t>
      </w:r>
      <w:r w:rsidRPr="00C33834">
        <w:rPr>
          <w:rFonts w:ascii="Times New Roman" w:hAnsi="Times New Roman"/>
          <w:color w:val="000000" w:themeColor="text1"/>
          <w:sz w:val="16"/>
          <w:szCs w:val="16"/>
        </w:rPr>
        <w:softHyphen/>
        <w:t>тельно, чтобы эта смесь использова</w:t>
      </w:r>
      <w:r w:rsidRPr="00C33834">
        <w:rPr>
          <w:rFonts w:ascii="Times New Roman" w:hAnsi="Times New Roman"/>
          <w:color w:val="000000" w:themeColor="text1"/>
          <w:sz w:val="16"/>
          <w:szCs w:val="16"/>
        </w:rPr>
        <w:softHyphen/>
        <w:t>лась для серий-ных двигателей на флотах. Первые два ГМ-34Ф выпус</w:t>
      </w:r>
      <w:r w:rsidRPr="00C33834">
        <w:rPr>
          <w:rFonts w:ascii="Times New Roman" w:hAnsi="Times New Roman"/>
          <w:color w:val="000000" w:themeColor="text1"/>
          <w:sz w:val="16"/>
          <w:szCs w:val="16"/>
        </w:rPr>
        <w:softHyphen/>
        <w:t>тили в 1936 г. С конца 1936 г. работали над форсированием за счет применения наддува. С августа 1939 г. в серию пошел ГМ-34ФН с нагнетателем ФН-25, одним карбюратором К-4 и усо</w:t>
      </w:r>
      <w:r w:rsidRPr="00C33834">
        <w:rPr>
          <w:rFonts w:ascii="Times New Roman" w:hAnsi="Times New Roman"/>
          <w:color w:val="000000" w:themeColor="text1"/>
          <w:sz w:val="16"/>
          <w:szCs w:val="16"/>
        </w:rPr>
        <w:softHyphen/>
        <w:t>вершенствованной маслосистемой. Степень сжатия у него опять понизи</w:t>
      </w:r>
      <w:r w:rsidRPr="00C33834">
        <w:rPr>
          <w:rFonts w:ascii="Times New Roman" w:hAnsi="Times New Roman"/>
          <w:color w:val="000000" w:themeColor="text1"/>
          <w:sz w:val="16"/>
          <w:szCs w:val="16"/>
        </w:rPr>
        <w:softHyphen/>
        <w:t>ли до 6,0, чтобы использовать низ</w:t>
      </w:r>
      <w:r w:rsidRPr="00C33834">
        <w:rPr>
          <w:rFonts w:ascii="Times New Roman" w:hAnsi="Times New Roman"/>
          <w:color w:val="000000" w:themeColor="text1"/>
          <w:sz w:val="16"/>
          <w:szCs w:val="16"/>
        </w:rPr>
        <w:softHyphen/>
        <w:t>кокачественное топливо, но мощ</w:t>
      </w:r>
      <w:r w:rsidRPr="00C33834">
        <w:rPr>
          <w:rFonts w:ascii="Times New Roman" w:hAnsi="Times New Roman"/>
          <w:color w:val="000000" w:themeColor="text1"/>
          <w:sz w:val="16"/>
          <w:szCs w:val="16"/>
        </w:rPr>
        <w:softHyphen/>
        <w:t>ность довели до 1200 л.с. Вес при этом увеличился незначительно - до 1110 кг. Существовал и дефорсированный мотор ГМ-34БП для речных броне</w:t>
      </w:r>
      <w:r w:rsidRPr="00C33834">
        <w:rPr>
          <w:rFonts w:ascii="Times New Roman" w:hAnsi="Times New Roman"/>
          <w:color w:val="000000" w:themeColor="text1"/>
          <w:sz w:val="16"/>
          <w:szCs w:val="16"/>
        </w:rPr>
        <w:softHyphen/>
        <w:t>катеров мощностью 800 л.с. Он тоже выпускался серийно. В войну его сменил ГМ-34БС, развивавший 850 л.с. Эти двигатели ставились на катерах проектов 1124 и 1125, стро</w:t>
      </w:r>
      <w:r w:rsidRPr="00C33834">
        <w:rPr>
          <w:rFonts w:ascii="Times New Roman" w:hAnsi="Times New Roman"/>
          <w:color w:val="000000" w:themeColor="text1"/>
          <w:sz w:val="16"/>
          <w:szCs w:val="16"/>
        </w:rPr>
        <w:softHyphen/>
        <w:t>ившихся до 1944 г. На основе катерного варианта был разработан ГМ-34БТ мощнос</w:t>
      </w:r>
      <w:r w:rsidRPr="00C33834">
        <w:rPr>
          <w:rFonts w:ascii="Times New Roman" w:hAnsi="Times New Roman"/>
          <w:color w:val="000000" w:themeColor="text1"/>
          <w:sz w:val="16"/>
          <w:szCs w:val="16"/>
        </w:rPr>
        <w:softHyphen/>
        <w:t>тью 850 л.с. для танков с изменен</w:t>
      </w:r>
      <w:r w:rsidRPr="00C33834">
        <w:rPr>
          <w:rFonts w:ascii="Times New Roman" w:hAnsi="Times New Roman"/>
          <w:color w:val="000000" w:themeColor="text1"/>
          <w:sz w:val="16"/>
          <w:szCs w:val="16"/>
        </w:rPr>
        <w:softHyphen/>
        <w:t>ной системой охлаждения, вентиля</w:t>
      </w:r>
      <w:r w:rsidRPr="00C33834">
        <w:rPr>
          <w:rFonts w:ascii="Times New Roman" w:hAnsi="Times New Roman"/>
          <w:color w:val="000000" w:themeColor="text1"/>
          <w:sz w:val="16"/>
          <w:szCs w:val="16"/>
        </w:rPr>
        <w:softHyphen/>
        <w:t>тором принудительного обдува. Он имел электростартер вместо пневмопуска. ГМ-34БТ выпустили ма</w:t>
      </w:r>
      <w:r w:rsidRPr="00C33834">
        <w:rPr>
          <w:rFonts w:ascii="Times New Roman" w:hAnsi="Times New Roman"/>
          <w:color w:val="000000" w:themeColor="text1"/>
          <w:sz w:val="16"/>
          <w:szCs w:val="16"/>
        </w:rPr>
        <w:softHyphen/>
        <w:t>лой серией в 1939 г. Такие моторы устанавливались на опытных танках Т-100 и СМК, проходивших войсковые испы</w:t>
      </w:r>
      <w:r w:rsidRPr="00C33834">
        <w:rPr>
          <w:rFonts w:ascii="Times New Roman" w:hAnsi="Times New Roman"/>
          <w:color w:val="000000" w:themeColor="text1"/>
          <w:sz w:val="16"/>
          <w:szCs w:val="16"/>
        </w:rPr>
        <w:softHyphen/>
        <w:t>тания на фронте во время войны с Финляндией зимой 1940 г., а также опытном са</w:t>
      </w:r>
      <w:r w:rsidRPr="00C33834">
        <w:rPr>
          <w:rFonts w:ascii="Times New Roman" w:hAnsi="Times New Roman"/>
          <w:color w:val="000000" w:themeColor="text1"/>
          <w:sz w:val="16"/>
          <w:szCs w:val="16"/>
        </w:rPr>
        <w:softHyphen/>
        <w:t>моходном орудии СУ-100у («Игрек», 1940 г.), применяв</w:t>
      </w:r>
      <w:r w:rsidRPr="00C33834">
        <w:rPr>
          <w:rFonts w:ascii="Times New Roman" w:hAnsi="Times New Roman"/>
          <w:color w:val="000000" w:themeColor="text1"/>
          <w:sz w:val="16"/>
          <w:szCs w:val="16"/>
        </w:rPr>
        <w:softHyphen/>
        <w:t>шемся в боях под Москвой зимой 1941 г. (11848).</w:t>
      </w:r>
    </w:p>
    <w:p w14:paraId="08C7E76C" w14:textId="77777777" w:rsidR="008524B2" w:rsidRPr="00C33834" w:rsidRDefault="008524B2"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05C038"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FAC2812"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A89FA9A"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C 20 по 31 мая 1933 года на НИАПе были проведены полигонные испытания 76-мм пушки обр. 1933 г.. Причем стрельбы велись гранатами 6,5 кг и 7,1 кг (3861).</w:t>
      </w:r>
    </w:p>
    <w:p w14:paraId="7A5FCB65"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480ADFA5"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6432A3D1"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5C371D4"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мая 1933 приказом № 133 «в целях активной борьбы с внутрилагерной преступностью, изоляции отрицательного и разложившегося элемента и заключенных, склонных к побегу, 2-й Лагпункт 3-го Отделения (Полуденная Сторожка)» реорганизовывался в Отдельный Лагерный Пункт усиленного режима со штрафизолятором (ШИЗО) в его составе. Приложенное к приказу Положение об этом лагпункте подписал начальник 3 отдела Дмитлага В. А. Барабанов (7560).</w:t>
      </w:r>
    </w:p>
    <w:p w14:paraId="35F290E2"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35ACF0CA"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69E422F"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05DE5E2"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мая 1933 Дуглас получил заказ на XP3D, а через 5 месяцев - Консолидейтед на XP3Y (1049,106).</w:t>
      </w:r>
    </w:p>
    <w:p w14:paraId="6D48DCA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1F45CC6F"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3C0892D"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C5B6ECC"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мая 1933 года Базилевич писал письмо № 724/ко в НКВМ Тухачевскому, НКТП Павлуковскому, ГУАП Баранову, ОГПУ Горянову, ГУГВФ Анвельт</w:t>
      </w:r>
    </w:p>
    <w:p w14:paraId="7AB64DB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Препровождая копию проекта постановления СТО по вопросу об опытном авиадизелестроении, внесенному НК РКИ, прошу для доклада Молотову срочно сообщить Ваше заключение.</w:t>
      </w:r>
    </w:p>
    <w:p w14:paraId="3ED05BDE"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 на 3 листах (4223, 41).</w:t>
      </w:r>
    </w:p>
    <w:p w14:paraId="5A612D30"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апреля 1933 был подготовлен:</w:t>
      </w:r>
    </w:p>
    <w:p w14:paraId="5D0F6699"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 Постановления СТО (к № 515).</w:t>
      </w:r>
    </w:p>
    <w:p w14:paraId="32DFE575"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вопросу: Об опытном авиадизелестроении</w:t>
      </w:r>
    </w:p>
    <w:p w14:paraId="5272863B"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 постановляет:</w:t>
      </w:r>
    </w:p>
    <w:p w14:paraId="0E945F47" w14:textId="77777777" w:rsidR="008524B2" w:rsidRPr="00C33834" w:rsidRDefault="008524B2"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Признать состояние опытного строительства авиадизелей неудовлетворительным.</w:t>
      </w:r>
    </w:p>
    <w:p w14:paraId="6D17D219" w14:textId="77777777" w:rsidR="008524B2" w:rsidRPr="00C33834" w:rsidRDefault="008524B2"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Указать Баранову – ГУАП, Анвельт – ГУГВФ, Горянову – ОГПУ, Павлуновскому – НКТП на невыполнение постановления СТО от 4 августа 1932 года по опытному строительству, в результате чего опытное дизелестроение не было обеспечено производственными базами, отсутствовал контроль за выполнением сроков проектирования и производства.</w:t>
      </w:r>
    </w:p>
    <w:p w14:paraId="45E408D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Обратить внимание Тухачевского на отсутствие с его стороны наблюдения за состоянием опытных работ по дизелестроению.</w:t>
      </w:r>
    </w:p>
    <w:p w14:paraId="5833C80B" w14:textId="77777777" w:rsidR="008524B2" w:rsidRPr="00C33834" w:rsidRDefault="008524B2"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Установить следующие окончательные сроки предъявления дизелей на гос.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F26F01" w:rsidRPr="00C33834" w14:paraId="02BC09E2" w14:textId="77777777">
        <w:tc>
          <w:tcPr>
            <w:tcW w:w="2318" w:type="dxa"/>
          </w:tcPr>
          <w:p w14:paraId="558E20B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Название дизеля</w:t>
            </w:r>
          </w:p>
        </w:tc>
        <w:tc>
          <w:tcPr>
            <w:tcW w:w="2318" w:type="dxa"/>
          </w:tcPr>
          <w:p w14:paraId="4889FAB3"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w:t>
            </w:r>
          </w:p>
        </w:tc>
        <w:tc>
          <w:tcPr>
            <w:tcW w:w="2318" w:type="dxa"/>
          </w:tcPr>
          <w:p w14:paraId="70638648"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2318" w:type="dxa"/>
          </w:tcPr>
          <w:p w14:paraId="35236F85"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2318" w:type="dxa"/>
          </w:tcPr>
          <w:p w14:paraId="2B7A026E"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r>
      <w:tr w:rsidR="00F26F01" w:rsidRPr="00C33834" w14:paraId="6659AEB0" w14:textId="77777777">
        <w:tc>
          <w:tcPr>
            <w:tcW w:w="2318" w:type="dxa"/>
          </w:tcPr>
          <w:p w14:paraId="02D3E75E"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Н-1</w:t>
            </w:r>
          </w:p>
        </w:tc>
        <w:tc>
          <w:tcPr>
            <w:tcW w:w="2318" w:type="dxa"/>
          </w:tcPr>
          <w:p w14:paraId="165FA079"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1933 года</w:t>
            </w:r>
          </w:p>
        </w:tc>
        <w:tc>
          <w:tcPr>
            <w:tcW w:w="2318" w:type="dxa"/>
          </w:tcPr>
          <w:p w14:paraId="6D9C0995"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2318" w:type="dxa"/>
          </w:tcPr>
          <w:p w14:paraId="16288439"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2318" w:type="dxa"/>
          </w:tcPr>
          <w:p w14:paraId="2B65401F"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840</w:t>
            </w:r>
          </w:p>
        </w:tc>
      </w:tr>
      <w:tr w:rsidR="00F26F01" w:rsidRPr="00C33834" w14:paraId="4B9D6FF6" w14:textId="77777777">
        <w:tc>
          <w:tcPr>
            <w:tcW w:w="2318" w:type="dxa"/>
          </w:tcPr>
          <w:p w14:paraId="198F9671"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Н-2</w:t>
            </w:r>
          </w:p>
        </w:tc>
        <w:tc>
          <w:tcPr>
            <w:tcW w:w="2318" w:type="dxa"/>
          </w:tcPr>
          <w:p w14:paraId="348B343C"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февраля 1934 года</w:t>
            </w:r>
          </w:p>
        </w:tc>
        <w:tc>
          <w:tcPr>
            <w:tcW w:w="2318" w:type="dxa"/>
          </w:tcPr>
          <w:p w14:paraId="5B5FAAB3"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2318" w:type="dxa"/>
          </w:tcPr>
          <w:p w14:paraId="00248B1E"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2318" w:type="dxa"/>
          </w:tcPr>
          <w:p w14:paraId="14F9BB91"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w:t>
            </w:r>
          </w:p>
        </w:tc>
      </w:tr>
      <w:tr w:rsidR="00F26F01" w:rsidRPr="00C33834" w14:paraId="50095B2E" w14:textId="77777777">
        <w:tc>
          <w:tcPr>
            <w:tcW w:w="2318" w:type="dxa"/>
          </w:tcPr>
          <w:p w14:paraId="71DD00BE"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Н-3</w:t>
            </w:r>
          </w:p>
        </w:tc>
        <w:tc>
          <w:tcPr>
            <w:tcW w:w="2318" w:type="dxa"/>
          </w:tcPr>
          <w:p w14:paraId="46727D4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февраля 1934 года</w:t>
            </w:r>
          </w:p>
        </w:tc>
        <w:tc>
          <w:tcPr>
            <w:tcW w:w="2318" w:type="dxa"/>
          </w:tcPr>
          <w:p w14:paraId="313CB0D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2318" w:type="dxa"/>
          </w:tcPr>
          <w:p w14:paraId="0058C362"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2318" w:type="dxa"/>
          </w:tcPr>
          <w:p w14:paraId="684C3E92"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650</w:t>
            </w:r>
          </w:p>
        </w:tc>
      </w:tr>
      <w:tr w:rsidR="00F26F01" w:rsidRPr="00C33834" w14:paraId="107BD279" w14:textId="77777777">
        <w:tc>
          <w:tcPr>
            <w:tcW w:w="2318" w:type="dxa"/>
          </w:tcPr>
          <w:p w14:paraId="11FBCA68"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Н-4</w:t>
            </w:r>
          </w:p>
        </w:tc>
        <w:tc>
          <w:tcPr>
            <w:tcW w:w="2318" w:type="dxa"/>
          </w:tcPr>
          <w:p w14:paraId="0390B155"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апреля 1934 года</w:t>
            </w:r>
          </w:p>
        </w:tc>
        <w:tc>
          <w:tcPr>
            <w:tcW w:w="2318" w:type="dxa"/>
          </w:tcPr>
          <w:p w14:paraId="60EFAA2C"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500-600</w:t>
            </w:r>
          </w:p>
        </w:tc>
        <w:tc>
          <w:tcPr>
            <w:tcW w:w="2318" w:type="dxa"/>
          </w:tcPr>
          <w:p w14:paraId="65603ED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2318" w:type="dxa"/>
          </w:tcPr>
          <w:p w14:paraId="38578450"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500-600</w:t>
            </w:r>
          </w:p>
        </w:tc>
      </w:tr>
      <w:tr w:rsidR="00F26F01" w:rsidRPr="00C33834" w14:paraId="7090F8E2" w14:textId="77777777">
        <w:tc>
          <w:tcPr>
            <w:tcW w:w="2318" w:type="dxa"/>
          </w:tcPr>
          <w:p w14:paraId="7946248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Н-5</w:t>
            </w:r>
          </w:p>
        </w:tc>
        <w:tc>
          <w:tcPr>
            <w:tcW w:w="2318" w:type="dxa"/>
          </w:tcPr>
          <w:p w14:paraId="12F42E34"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1933 года</w:t>
            </w:r>
          </w:p>
        </w:tc>
        <w:tc>
          <w:tcPr>
            <w:tcW w:w="2318" w:type="dxa"/>
          </w:tcPr>
          <w:p w14:paraId="3C9D4EBE"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2318" w:type="dxa"/>
          </w:tcPr>
          <w:p w14:paraId="79E29E4B"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2318" w:type="dxa"/>
          </w:tcPr>
          <w:p w14:paraId="05DFAA32"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r>
    </w:tbl>
    <w:p w14:paraId="04A8E333" w14:textId="77777777" w:rsidR="008524B2" w:rsidRPr="00C33834" w:rsidRDefault="008524B2"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Подтвердить полную ответственность за своевременный выпуск дизелей:</w:t>
      </w:r>
    </w:p>
    <w:p w14:paraId="5E20E0FC"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Баранова (ГУАП) дизелей Н-1 и Н-4</w:t>
      </w:r>
    </w:p>
    <w:p w14:paraId="2E640C00"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Анвельта (ГУГВФ) дизелей Н-2 и Н-3</w:t>
      </w:r>
    </w:p>
    <w:p w14:paraId="4F2D176B"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Миронова (ОГПУ) дизеля Н-5</w:t>
      </w:r>
    </w:p>
    <w:p w14:paraId="0FE83F49" w14:textId="77777777" w:rsidR="008524B2" w:rsidRPr="00C33834" w:rsidRDefault="008524B2"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Возложить персональную ответственность за своевременное производство, сборку дизелей и сдачу дизелей на гос. испытания на лиц:</w:t>
      </w:r>
    </w:p>
    <w:p w14:paraId="5BD09E12"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 мотору Н-1: под ответственность Побережского (ЦИАМ) закончить производство всех деталей к 1 июля 1933 года, сборку мотора к 15 августа 1933 года, своевременно сдать дизель на гос. испытание.</w:t>
      </w:r>
    </w:p>
    <w:p w14:paraId="6D4D0E79"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 мотору Н-2: 1. Под ответственность Мартенса (Ленинградский дизельный институт) своевременно сдать дизель на гос. испытание. 2. Под ответственность Побережского (ЦИАМ) выполнить: выданный ему заказ на механическую обработку и сборку узлов к 1 мая 1933 года, колено кривошипного механизма наддувочного компрессора (для хиртовского вала) – к 15 мая 1933 года. Коленчатый вал с комплектом пропеллерной втулки и кривоколенный механизм наддувочного компрессора – к 1 августа 1933 года; топливные насосы к 1 июня 1933 года. 3. Под ответственность директора завода № 26 Королева выполнить узлы золотникового картера и распределительных валов к 1 мая 1933 года. 4. Под ответственность директора завода им. Ворошилова Барыкова обеспечить подачу деталей по заказу ВНИДИ к 10 мая 1933 года, обеспечить сборку и испытание двигателя на заводе и начать таковую 20 мая 1933 года. 5. Директору (завод им. Молотова) Премудрову обеспечить выполнение заказов на поковки коленчатого вала со сроками подачи начиная с 1 мая 1933 года.</w:t>
      </w:r>
    </w:p>
    <w:p w14:paraId="4031346A"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 мотору Н-3: 1. Под ответственность Майера (Харьковский дизельный институт) своевременно сдать дизель на гос. испытание. 2. Под ответственность директора завода № 26 Королева , цветное литье (картеры, блоки и головки) закончить к 1 июня 1933 года. 3.. Под ответственность директора ХАЗ Владимирова закончить механическую обработку всех крупных деталей к 1 августа 1933 года. 4. Под ответственность директора Ижевского завода Максимова к 1 июля 1933 года закончить поковку коленчатого вала.</w:t>
      </w:r>
    </w:p>
    <w:p w14:paraId="3AB4951C"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По мотору Н-4: 1. Под ответственность Красильникова (Харьковский авиационный институт) своевременно сдать дизель на гос. испытание. 2. Под ответственность директора Ижевского завода Максимова поковку коленвала закончить к 1 июля 1933 года. 3. Под ответственность директора ХПЗ Владимирова обработку вала и картера закончить 1 сентября 1933 года. 4. Под ответственность директора завода № 29 Александрова С-литье поршней, блоков и головок закончить к 1 июля 1933 года. 5. Предложить Красильниковуразместить группу компрессоров к 1 мая 1933 года. 6. Сборку мотора, под ответственность Красильникова закончить к 1 декабря 1933 года.</w:t>
      </w:r>
    </w:p>
    <w:p w14:paraId="3CC91B6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По мотору Н-5: 1. Под ответственность Горянова своевременно сдать дизель на гос. испытание. 2. Под ответственность зам. директора завода № 24 Колосова выполнитьпроизводство шатунов, блоков и втулок для винтов к 1 июня 1933 года. 3. Под ответственность директора завода № 26 Королева , отлить и обработать цветное литье к 1 июня 1933 года. 4. Под ответственность директора ЦИАМ Побережского испытание импеллерной группы закончить к 1 июля 1933 года, а сборку моторов в целом к 1 августа 1933 года.</w:t>
      </w:r>
    </w:p>
    <w:p w14:paraId="0A2D1C28" w14:textId="77777777" w:rsidR="008524B2" w:rsidRPr="00C33834" w:rsidRDefault="008524B2"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Отметить, что работы по проектированию двигателя Н-6 не привела к положительным результатам (мотор имеет пониженную мощность и высотность). Дальнейшие работы по двигателю Н-6 прекратить.</w:t>
      </w:r>
    </w:p>
    <w:p w14:paraId="7F9DE6EB" w14:textId="77777777" w:rsidR="008524B2" w:rsidRPr="00C33834" w:rsidRDefault="008524B2"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Учитывая недочеты проектирования и отсутствие ответственности в организации производства опытных дизелей, приведшие к самовольному изменению заданий и технических норм, затруднениям в размещении деталей на заводах и срыву плана опытного дизелестроения – впредь запретить запускать в производство опытные авиадизели до тщательной проверки основных элементов конструкций.</w:t>
      </w:r>
    </w:p>
    <w:p w14:paraId="67B0D502"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 о внедрении в производство опытных дизелей должен разрешаться в каждом отдельном случае замнаркомтяжпрома Барановым.</w:t>
      </w:r>
    </w:p>
    <w:p w14:paraId="05E88F83" w14:textId="77777777" w:rsidR="008524B2" w:rsidRPr="00C33834" w:rsidRDefault="008524B2"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Комиссия в составе: Куйбышева Н.В. (председатель), Баранова, Алксниса, Гольцмана – к 1 августа 1933 года представить в СТО свои соображения об организации дизельного института и спецобъединен. производственной базы для опытного дизелестроения.</w:t>
      </w:r>
    </w:p>
    <w:p w14:paraId="45D649A4" w14:textId="77777777" w:rsidR="008524B2" w:rsidRPr="00C33834" w:rsidRDefault="008524B2"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Предложить УВВС (Алкснису) и ГУГВФ (Анвельт) немедленно приступить к разработке условий гос. испытаний использования и эксплоатации дизелей.</w:t>
      </w:r>
    </w:p>
    <w:p w14:paraId="48D3E322" w14:textId="77777777" w:rsidR="008524B2" w:rsidRPr="00C33834" w:rsidRDefault="008524B2"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Тресту Авиатопливо, УВВС (Зильберт) и ГУГВФ (Ангелов) – немедленно приступить к экспериментальным работам по подбору тяжелых топлив и обеспечить опытные установки и испытания авиадизелей необходимым количеством и требуемыми сортами топлив.</w:t>
      </w:r>
    </w:p>
    <w:p w14:paraId="03BD5EEE" w14:textId="77777777" w:rsidR="008524B2" w:rsidRPr="00C33834" w:rsidRDefault="008524B2"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зам. НКТП Баранова подготовить базу к производству дизельной аппаратуры (насосы, форсунки) с расчетом обеспечения серийного производства дизелей в 1934 году.</w:t>
      </w:r>
    </w:p>
    <w:p w14:paraId="12EF8031" w14:textId="77777777" w:rsidR="008524B2" w:rsidRPr="00C33834" w:rsidRDefault="008524B2"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НКТП Баранову не позднее 1 мая 1933 года представить в СТО план финансирования опытных работ по дизелестроению.</w:t>
      </w:r>
    </w:p>
    <w:p w14:paraId="0915A654" w14:textId="77777777" w:rsidR="008524B2" w:rsidRPr="00C33834" w:rsidRDefault="008524B2"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Военно-морской инспекции НК-РКИ поквартально докладывать в СТО о ходе выполнения настоящего постановления (4223, 23-25).</w:t>
      </w:r>
    </w:p>
    <w:p w14:paraId="1E9AA5C8" w14:textId="77777777" w:rsidR="008524B2" w:rsidRPr="00C33834" w:rsidRDefault="008524B2"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DD6A527" w14:textId="77777777" w:rsidR="009A796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E8A8530" w14:textId="77777777" w:rsidR="009A7962" w:rsidRPr="00C33834" w:rsidRDefault="009A796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32448DF" w14:textId="77777777" w:rsidR="009A7962" w:rsidRPr="00C33834" w:rsidRDefault="009A7962" w:rsidP="00C33834">
      <w:pPr>
        <w:pStyle w:val="rtejustify"/>
        <w:spacing w:before="0" w:after="0"/>
        <w:rPr>
          <w:color w:val="000000" w:themeColor="text1"/>
          <w:sz w:val="16"/>
          <w:szCs w:val="16"/>
        </w:rPr>
      </w:pPr>
      <w:r w:rsidRPr="00C33834">
        <w:rPr>
          <w:rStyle w:val="af0"/>
          <w:bCs/>
          <w:i w:val="0"/>
          <w:color w:val="000000" w:themeColor="text1"/>
          <w:sz w:val="16"/>
          <w:szCs w:val="16"/>
        </w:rPr>
        <w:t>21 мая 1933 вышел приказ НКТП № 62с.</w:t>
      </w:r>
      <w:r w:rsidRPr="00C33834">
        <w:rPr>
          <w:color w:val="000000" w:themeColor="text1"/>
          <w:sz w:val="16"/>
          <w:szCs w:val="16"/>
        </w:rPr>
        <w:t xml:space="preserve"> О передаче трестов ВИВ и Вохимтреста в ведение Главхимпрома и улучшении их работы. (РГАЭ. Ф. 7297. Оп. 38. Д. 38. Л. 21) (15246).</w:t>
      </w:r>
    </w:p>
    <w:p w14:paraId="620C62F5" w14:textId="77777777" w:rsidR="009A7962" w:rsidRPr="00C33834" w:rsidRDefault="009A7962" w:rsidP="00C33834">
      <w:pPr>
        <w:pStyle w:val="rtejustify"/>
        <w:spacing w:before="0" w:after="0"/>
        <w:rPr>
          <w:color w:val="000000" w:themeColor="text1"/>
          <w:sz w:val="16"/>
          <w:szCs w:val="16"/>
        </w:rPr>
      </w:pPr>
    </w:p>
    <w:p w14:paraId="103D49F1"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A4A5C79"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1CA5118"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мая 1933 состоялось заседание комиссии ГУАП по выработке мероприятий по снижению веса ТБ-3 (АНТ-6) (1077,128).</w:t>
      </w:r>
    </w:p>
    <w:p w14:paraId="3995D5F8"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443E532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мая 1933 НИИ ВВС писал письмо N 2/0646с Нач. НТОС ГУАП (копия - ХАЗОСС К.А.К.):</w:t>
      </w:r>
    </w:p>
    <w:p w14:paraId="2609B52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полученным сведениям К-7 будет выпущен с колесами Пальмер размерами 2000х450 и 1750х350.</w:t>
      </w:r>
    </w:p>
    <w:p w14:paraId="5D773770"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 установки этих колес (2000х450) на ТБ-3 показал, что из-за недоброкачественной резины пришлось прекратить полеты.</w:t>
      </w:r>
    </w:p>
    <w:p w14:paraId="4196AC3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Поэтому НИИ ВВС, предупреждая о выявленной уже негодности колес фирмы Пальмер, сообщает, что К-7 с упомянутыми колесами на гос. испытания принят быть не может.</w:t>
      </w:r>
    </w:p>
    <w:p w14:paraId="4C597C5E"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Необходимо учесть, что завод 32 в будущем сможет изготовить колеса 2000х450 и 1600-350 и поэтому замена колес 1750 х 350 не обеспечена." (2206,43).</w:t>
      </w:r>
    </w:p>
    <w:p w14:paraId="2004F971"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79E22EFA"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мая 1933 г. на утверждение помощнику начальника НИИ ВВС была направлена докладная записка к эскизно</w:t>
      </w:r>
      <w:r w:rsidRPr="00C33834">
        <w:rPr>
          <w:rFonts w:ascii="Times New Roman" w:hAnsi="Times New Roman"/>
          <w:color w:val="000000" w:themeColor="text1"/>
          <w:sz w:val="16"/>
          <w:szCs w:val="16"/>
        </w:rPr>
        <w:softHyphen/>
        <w:t>му проекту самолета ЦКБ-3, подписанная начальником бригады № 2 Н.Н.Поликарповым и начальником ЦКБ С.В.Ильюшиным (10667).</w:t>
      </w:r>
    </w:p>
    <w:p w14:paraId="75311F3C"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788828B8"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мая 1933 закончились гос. испытания опытного самолета ДИ4 с мотором Кертисс Конкверор Е=7,5 N 521 Винт стандарт стиль Д=2,66 м. Шаг винта переменный. Испытания производились на 17,5 делений, которые проходили с 7 мая 1933.</w:t>
      </w:r>
    </w:p>
    <w:p w14:paraId="1A8F18A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7EB1713E"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ведущий самолет - Холодов И.</w:t>
      </w:r>
    </w:p>
    <w:p w14:paraId="785248A9"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 Кокинаки</w:t>
      </w:r>
    </w:p>
    <w:p w14:paraId="07BA8664"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19C25BB5"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летных данных с целью выяснения вопроса о целесообразности серийной постройки самолета.</w:t>
      </w:r>
    </w:p>
    <w:p w14:paraId="5044FD21"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01AFB4AE"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ДИ4 - Кертисс Конкверор не может быть допущен к серийной постройке как не отвечающий требованиям к современным двухместным истребителям.</w:t>
      </w:r>
    </w:p>
    <w:p w14:paraId="4CB33AF2"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 самолета ДИ4-КК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F26F01" w:rsidRPr="00C33834" w14:paraId="0D390557" w14:textId="77777777">
        <w:tc>
          <w:tcPr>
            <w:tcW w:w="2818" w:type="dxa"/>
          </w:tcPr>
          <w:p w14:paraId="12E9378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7 мая 1933 года</w:t>
            </w:r>
          </w:p>
        </w:tc>
        <w:tc>
          <w:tcPr>
            <w:tcW w:w="2818" w:type="dxa"/>
          </w:tcPr>
          <w:p w14:paraId="1804DA5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Перелет в Щелково</w:t>
            </w:r>
          </w:p>
        </w:tc>
      </w:tr>
      <w:tr w:rsidR="00F26F01" w:rsidRPr="00C33834" w14:paraId="70EA5B3B" w14:textId="77777777">
        <w:tc>
          <w:tcPr>
            <w:tcW w:w="2818" w:type="dxa"/>
          </w:tcPr>
          <w:p w14:paraId="5F8E83E4"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мая 1933 года</w:t>
            </w:r>
          </w:p>
        </w:tc>
        <w:tc>
          <w:tcPr>
            <w:tcW w:w="2818" w:type="dxa"/>
          </w:tcPr>
          <w:p w14:paraId="79669EE3"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Фактическое начало испытаний</w:t>
            </w:r>
          </w:p>
        </w:tc>
      </w:tr>
      <w:tr w:rsidR="00F26F01" w:rsidRPr="00C33834" w14:paraId="63E8A8EE" w14:textId="77777777">
        <w:tc>
          <w:tcPr>
            <w:tcW w:w="2818" w:type="dxa"/>
          </w:tcPr>
          <w:p w14:paraId="69BACE82"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мая 1933 года</w:t>
            </w:r>
          </w:p>
        </w:tc>
        <w:tc>
          <w:tcPr>
            <w:tcW w:w="2818" w:type="dxa"/>
          </w:tcPr>
          <w:p w14:paraId="3E91369B"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Фактическое окончание испытаний</w:t>
            </w:r>
          </w:p>
        </w:tc>
      </w:tr>
    </w:tbl>
    <w:p w14:paraId="6FA59D62"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Фактически затрачено на испытание 15 календарных дней, из них летных 8 дней.</w:t>
      </w:r>
    </w:p>
    <w:p w14:paraId="3F939A29"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время нахождения самолета в НИИ ВВС налетано 13 час. 25 мин.</w:t>
      </w:r>
    </w:p>
    <w:p w14:paraId="1C8DDD8E"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Сделано посадок - 19 (3914).</w:t>
      </w:r>
    </w:p>
    <w:p w14:paraId="09794F14"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0DDB787A" w14:textId="77777777" w:rsidR="008524B2" w:rsidRPr="00C33834" w:rsidRDefault="008524B2"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мая 1933 г. на аэродроме НИИ ВВС в Щелково закончились Государственные испытания Д-4 Лавиля, которые проходили с 8-го мая (11134).</w:t>
      </w:r>
    </w:p>
    <w:p w14:paraId="37A99B5D" w14:textId="77777777" w:rsidR="008524B2" w:rsidRPr="00C33834" w:rsidRDefault="008524B2"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Было признано, что ДИ-4 построен по ус</w:t>
      </w:r>
      <w:r w:rsidRPr="00C33834">
        <w:rPr>
          <w:rFonts w:ascii="Times New Roman" w:hAnsi="Times New Roman"/>
          <w:color w:val="000000" w:themeColor="text1"/>
          <w:sz w:val="16"/>
          <w:szCs w:val="16"/>
        </w:rPr>
        <w:softHyphen/>
        <w:t>таревшей схеме (крепящиеся на шасси под</w:t>
      </w:r>
      <w:r w:rsidRPr="00C33834">
        <w:rPr>
          <w:rFonts w:ascii="Times New Roman" w:hAnsi="Times New Roman"/>
          <w:color w:val="000000" w:themeColor="text1"/>
          <w:sz w:val="16"/>
          <w:szCs w:val="16"/>
        </w:rPr>
        <w:softHyphen/>
        <w:t>косы); отмечалось, что само шасси очень сложное и неудобное в обслуживании. Зна</w:t>
      </w:r>
      <w:r w:rsidRPr="00C33834">
        <w:rPr>
          <w:rFonts w:ascii="Times New Roman" w:hAnsi="Times New Roman"/>
          <w:color w:val="000000" w:themeColor="text1"/>
          <w:sz w:val="16"/>
          <w:szCs w:val="16"/>
        </w:rPr>
        <w:softHyphen/>
        <w:t>чительным недостатком виделся большой вес конструкции, а кроме того, нарекания вызвало и крыло: сделанное в виде «чайки» для улучшения обзора, оно на самом деле не обнаружило этого преимущества по причине использованного толстого профиля. Само</w:t>
      </w:r>
      <w:r w:rsidRPr="00C33834">
        <w:rPr>
          <w:rFonts w:ascii="Times New Roman" w:hAnsi="Times New Roman"/>
          <w:color w:val="000000" w:themeColor="text1"/>
          <w:sz w:val="16"/>
          <w:szCs w:val="16"/>
        </w:rPr>
        <w:softHyphen/>
        <w:t>лет с трудом входил в штопор, однако пре</w:t>
      </w:r>
      <w:r w:rsidRPr="00C33834">
        <w:rPr>
          <w:rFonts w:ascii="Times New Roman" w:hAnsi="Times New Roman"/>
          <w:color w:val="000000" w:themeColor="text1"/>
          <w:sz w:val="16"/>
          <w:szCs w:val="16"/>
        </w:rPr>
        <w:softHyphen/>
        <w:t>красно из него выходил; в остальном летные качества оценивались как невысокие.</w:t>
      </w:r>
    </w:p>
    <w:p w14:paraId="00BA1DB9" w14:textId="77777777" w:rsidR="008524B2" w:rsidRPr="00C33834" w:rsidRDefault="008524B2"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дальнейшем намечалось использовать вместо двигателя Кертисс «Конкверор» отечественный М-32. Однако после того как выяснилось, что переделки при этом потребуются весьма и весьма существен</w:t>
      </w:r>
      <w:r w:rsidRPr="00C33834">
        <w:rPr>
          <w:rFonts w:ascii="Times New Roman" w:hAnsi="Times New Roman"/>
          <w:color w:val="000000" w:themeColor="text1"/>
          <w:sz w:val="16"/>
          <w:szCs w:val="16"/>
        </w:rPr>
        <w:softHyphen/>
        <w:t>ные, совершенствование машины решили не продолжать и от ее серийного производ</w:t>
      </w:r>
      <w:r w:rsidRPr="00C33834">
        <w:rPr>
          <w:rFonts w:ascii="Times New Roman" w:hAnsi="Times New Roman"/>
          <w:color w:val="000000" w:themeColor="text1"/>
          <w:sz w:val="16"/>
          <w:szCs w:val="16"/>
        </w:rPr>
        <w:softHyphen/>
        <w:t>ства отказаться. Опытный экземпляр оста</w:t>
      </w:r>
      <w:r w:rsidRPr="00C33834">
        <w:rPr>
          <w:rFonts w:ascii="Times New Roman" w:hAnsi="Times New Roman"/>
          <w:color w:val="000000" w:themeColor="text1"/>
          <w:sz w:val="16"/>
          <w:szCs w:val="16"/>
        </w:rPr>
        <w:softHyphen/>
        <w:t>вили в НИИ ВВС, где, начиная с июля 1934 г., ДИ-4 использовался в испытатель</w:t>
      </w:r>
      <w:r w:rsidRPr="00C33834">
        <w:rPr>
          <w:rFonts w:ascii="Times New Roman" w:hAnsi="Times New Roman"/>
          <w:color w:val="000000" w:themeColor="text1"/>
          <w:sz w:val="16"/>
          <w:szCs w:val="16"/>
        </w:rPr>
        <w:softHyphen/>
        <w:t>ных полетах для сравнения характеристик других опытных истребителей.</w:t>
      </w:r>
    </w:p>
    <w:p w14:paraId="7F12FB00" w14:textId="77777777" w:rsidR="008524B2" w:rsidRPr="00C33834" w:rsidRDefault="008524B2"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Летные и технические характеристики самолета ДИ-4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F26F01" w:rsidRPr="00C33834" w14:paraId="40A18A5F" w14:textId="77777777">
        <w:tc>
          <w:tcPr>
            <w:tcW w:w="4788" w:type="dxa"/>
            <w:tcBorders>
              <w:top w:val="single" w:sz="12" w:space="0" w:color="auto"/>
            </w:tcBorders>
            <w:shd w:val="clear" w:color="auto" w:fill="FFFFFF"/>
          </w:tcPr>
          <w:p w14:paraId="16342311"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Размах крыла (м)</w:t>
            </w:r>
          </w:p>
        </w:tc>
        <w:tc>
          <w:tcPr>
            <w:tcW w:w="4788" w:type="dxa"/>
            <w:tcBorders>
              <w:top w:val="single" w:sz="12" w:space="0" w:color="auto"/>
            </w:tcBorders>
            <w:shd w:val="clear" w:color="auto" w:fill="FFFFFF"/>
          </w:tcPr>
          <w:p w14:paraId="69321020"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13,36</w:t>
            </w:r>
          </w:p>
        </w:tc>
      </w:tr>
      <w:tr w:rsidR="00F26F01" w:rsidRPr="00C33834" w14:paraId="3A59E77F" w14:textId="77777777">
        <w:tc>
          <w:tcPr>
            <w:tcW w:w="4788" w:type="dxa"/>
            <w:shd w:val="clear" w:color="auto" w:fill="FFFFFF"/>
          </w:tcPr>
          <w:p w14:paraId="104623D3"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(м)</w:t>
            </w:r>
          </w:p>
        </w:tc>
        <w:tc>
          <w:tcPr>
            <w:tcW w:w="4788" w:type="dxa"/>
            <w:shd w:val="clear" w:color="auto" w:fill="FFFFFF"/>
          </w:tcPr>
          <w:p w14:paraId="6DD909C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8,50</w:t>
            </w:r>
          </w:p>
        </w:tc>
      </w:tr>
      <w:tr w:rsidR="00F26F01" w:rsidRPr="00C33834" w14:paraId="17BF05DB" w14:textId="77777777">
        <w:tc>
          <w:tcPr>
            <w:tcW w:w="4788" w:type="dxa"/>
            <w:shd w:val="clear" w:color="auto" w:fill="FFFFFF"/>
          </w:tcPr>
          <w:p w14:paraId="2612CDE0"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крыла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w:t>
            </w:r>
          </w:p>
        </w:tc>
        <w:tc>
          <w:tcPr>
            <w:tcW w:w="4788" w:type="dxa"/>
            <w:shd w:val="clear" w:color="auto" w:fill="FFFFFF"/>
          </w:tcPr>
          <w:p w14:paraId="3A70E2F1"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23,90</w:t>
            </w:r>
          </w:p>
        </w:tc>
      </w:tr>
      <w:tr w:rsidR="00F26F01" w:rsidRPr="00C33834" w14:paraId="1C027354" w14:textId="77777777">
        <w:tc>
          <w:tcPr>
            <w:tcW w:w="4788" w:type="dxa"/>
            <w:shd w:val="clear" w:color="auto" w:fill="FFFFFF"/>
          </w:tcPr>
          <w:p w14:paraId="16504EEB"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Хорда крыла (м)</w:t>
            </w:r>
          </w:p>
        </w:tc>
        <w:tc>
          <w:tcPr>
            <w:tcW w:w="4788" w:type="dxa"/>
            <w:shd w:val="clear" w:color="auto" w:fill="FFFFFF"/>
          </w:tcPr>
          <w:p w14:paraId="21F0553B"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2,0</w:t>
            </w:r>
          </w:p>
        </w:tc>
      </w:tr>
      <w:tr w:rsidR="00F26F01" w:rsidRPr="00C33834" w14:paraId="6A156339" w14:textId="77777777">
        <w:tc>
          <w:tcPr>
            <w:tcW w:w="4788" w:type="dxa"/>
            <w:shd w:val="clear" w:color="auto" w:fill="FFFFFF"/>
          </w:tcPr>
          <w:p w14:paraId="250F2E84"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пустого (кг)</w:t>
            </w:r>
          </w:p>
        </w:tc>
        <w:tc>
          <w:tcPr>
            <w:tcW w:w="4788" w:type="dxa"/>
            <w:shd w:val="clear" w:color="auto" w:fill="FFFFFF"/>
          </w:tcPr>
          <w:p w14:paraId="52783EF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1441,0</w:t>
            </w:r>
          </w:p>
        </w:tc>
      </w:tr>
      <w:tr w:rsidR="00F26F01" w:rsidRPr="00C33834" w14:paraId="34D0314B" w14:textId="77777777">
        <w:tc>
          <w:tcPr>
            <w:tcW w:w="4788" w:type="dxa"/>
            <w:shd w:val="clear" w:color="auto" w:fill="FFFFFF"/>
          </w:tcPr>
          <w:p w14:paraId="518C7073"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Полетный вес (кг)</w:t>
            </w:r>
          </w:p>
        </w:tc>
        <w:tc>
          <w:tcPr>
            <w:tcW w:w="4788" w:type="dxa"/>
            <w:shd w:val="clear" w:color="auto" w:fill="FFFFFF"/>
          </w:tcPr>
          <w:p w14:paraId="13C2D774"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1949</w:t>
            </w:r>
          </w:p>
        </w:tc>
      </w:tr>
      <w:tr w:rsidR="00F26F01" w:rsidRPr="00C33834" w14:paraId="1C227083" w14:textId="77777777">
        <w:tc>
          <w:tcPr>
            <w:tcW w:w="4788" w:type="dxa"/>
            <w:shd w:val="clear" w:color="auto" w:fill="FFFFFF"/>
          </w:tcPr>
          <w:p w14:paraId="31FFCDE8"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максимальная Н=0 (км/ч)</w:t>
            </w:r>
          </w:p>
        </w:tc>
        <w:tc>
          <w:tcPr>
            <w:tcW w:w="4788" w:type="dxa"/>
            <w:shd w:val="clear" w:color="auto" w:fill="FFFFFF"/>
          </w:tcPr>
          <w:p w14:paraId="3D8B17F2"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266</w:t>
            </w:r>
          </w:p>
        </w:tc>
      </w:tr>
      <w:tr w:rsidR="00F26F01" w:rsidRPr="00C33834" w14:paraId="7978E923" w14:textId="77777777">
        <w:tc>
          <w:tcPr>
            <w:tcW w:w="4788" w:type="dxa"/>
            <w:shd w:val="clear" w:color="auto" w:fill="FFFFFF"/>
          </w:tcPr>
          <w:p w14:paraId="70432402"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максимальная Н=3000 (км/ч)</w:t>
            </w:r>
          </w:p>
        </w:tc>
        <w:tc>
          <w:tcPr>
            <w:tcW w:w="4788" w:type="dxa"/>
            <w:shd w:val="clear" w:color="auto" w:fill="FFFFFF"/>
          </w:tcPr>
          <w:p w14:paraId="5AC9596F"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248,7</w:t>
            </w:r>
          </w:p>
        </w:tc>
      </w:tr>
      <w:tr w:rsidR="00F26F01" w:rsidRPr="00C33834" w14:paraId="15FA220D" w14:textId="77777777">
        <w:tc>
          <w:tcPr>
            <w:tcW w:w="4788" w:type="dxa"/>
            <w:shd w:val="clear" w:color="auto" w:fill="FFFFFF"/>
          </w:tcPr>
          <w:p w14:paraId="2E94E08C"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максимальная Н=5000 (км/ч)</w:t>
            </w:r>
          </w:p>
        </w:tc>
        <w:tc>
          <w:tcPr>
            <w:tcW w:w="4788" w:type="dxa"/>
            <w:shd w:val="clear" w:color="auto" w:fill="FFFFFF"/>
          </w:tcPr>
          <w:p w14:paraId="20772604"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237,0</w:t>
            </w:r>
          </w:p>
        </w:tc>
      </w:tr>
      <w:tr w:rsidR="00F26F01" w:rsidRPr="00C33834" w14:paraId="3C957583" w14:textId="77777777">
        <w:tc>
          <w:tcPr>
            <w:tcW w:w="4788" w:type="dxa"/>
            <w:shd w:val="clear" w:color="auto" w:fill="FFFFFF"/>
          </w:tcPr>
          <w:p w14:paraId="37F901D9"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набора высоты 3000 м (мин)</w:t>
            </w:r>
          </w:p>
        </w:tc>
        <w:tc>
          <w:tcPr>
            <w:tcW w:w="4788" w:type="dxa"/>
            <w:shd w:val="clear" w:color="auto" w:fill="FFFFFF"/>
          </w:tcPr>
          <w:p w14:paraId="66C8B35A"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7,4</w:t>
            </w:r>
          </w:p>
        </w:tc>
      </w:tr>
      <w:tr w:rsidR="00F26F01" w:rsidRPr="00C33834" w14:paraId="597A5829" w14:textId="77777777">
        <w:tc>
          <w:tcPr>
            <w:tcW w:w="4788" w:type="dxa"/>
            <w:shd w:val="clear" w:color="auto" w:fill="FFFFFF"/>
          </w:tcPr>
          <w:p w14:paraId="4CC9F90E"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набора высоты 5000 м (мин)</w:t>
            </w:r>
          </w:p>
        </w:tc>
        <w:tc>
          <w:tcPr>
            <w:tcW w:w="4788" w:type="dxa"/>
            <w:shd w:val="clear" w:color="auto" w:fill="FFFFFF"/>
          </w:tcPr>
          <w:p w14:paraId="7B647F73"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17,0</w:t>
            </w:r>
          </w:p>
        </w:tc>
      </w:tr>
      <w:tr w:rsidR="00F26F01" w:rsidRPr="00C33834" w14:paraId="1085AC0E" w14:textId="77777777">
        <w:tc>
          <w:tcPr>
            <w:tcW w:w="4788" w:type="dxa"/>
            <w:shd w:val="clear" w:color="auto" w:fill="FFFFFF"/>
          </w:tcPr>
          <w:p w14:paraId="459500A0"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Практический потолок (м)</w:t>
            </w:r>
          </w:p>
        </w:tc>
        <w:tc>
          <w:tcPr>
            <w:tcW w:w="4788" w:type="dxa"/>
            <w:shd w:val="clear" w:color="auto" w:fill="FFFFFF"/>
          </w:tcPr>
          <w:p w14:paraId="0045CAE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6440</w:t>
            </w:r>
          </w:p>
        </w:tc>
      </w:tr>
      <w:tr w:rsidR="00F26F01" w:rsidRPr="00C33834" w14:paraId="74201FEB" w14:textId="77777777">
        <w:tc>
          <w:tcPr>
            <w:tcW w:w="4788" w:type="dxa"/>
            <w:tcBorders>
              <w:bottom w:val="single" w:sz="12" w:space="0" w:color="auto"/>
            </w:tcBorders>
            <w:shd w:val="clear" w:color="auto" w:fill="FFFFFF"/>
          </w:tcPr>
          <w:p w14:paraId="73264809"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виража на 100 м (сек)</w:t>
            </w:r>
          </w:p>
        </w:tc>
        <w:tc>
          <w:tcPr>
            <w:tcW w:w="4788" w:type="dxa"/>
            <w:tcBorders>
              <w:bottom w:val="single" w:sz="12" w:space="0" w:color="auto"/>
            </w:tcBorders>
            <w:shd w:val="clear" w:color="auto" w:fill="FFFFFF"/>
          </w:tcPr>
          <w:p w14:paraId="1EA67D42"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15,0 (11134)</w:t>
            </w:r>
          </w:p>
        </w:tc>
      </w:tr>
    </w:tbl>
    <w:p w14:paraId="0F757D80" w14:textId="77777777" w:rsidR="008524B2" w:rsidRPr="00C33834" w:rsidRDefault="008524B2"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5C462F" w14:textId="77777777" w:rsidR="009A7962" w:rsidRPr="00C33834" w:rsidRDefault="009A7962"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22 мая</w:t>
      </w:r>
      <w:r w:rsidRPr="00C33834">
        <w:rPr>
          <w:rFonts w:ascii="Times New Roman" w:hAnsi="Times New Roman"/>
          <w:color w:val="000000" w:themeColor="text1"/>
          <w:sz w:val="16"/>
          <w:szCs w:val="16"/>
        </w:rPr>
        <w:t xml:space="preserve"> в 1933 году завершились (с 8 мая) Государственные испытания истребителя «ДИ-4» на аэродромн НИИ ВВС. Для самолета выбрали новый двигатель - американский Кертисс "Конкверор" мощностью 625/700 л.с. «ДИ-4» был выполнен по схеме подкосного высокоплана, в котором подкосы опирались на элементы шасси. Конструкция - цельнометаллическая, в основном дюралевая. Обшивка гладкая, тонкая, с редкими подкреплениями, что при недостатке опыта изготовления приводило к появлению хлопунов и неровностей. Крыло спроектировано в виде "чайки" для улучшения обзора из кабины пилота; ребра нервюр снаружи. Топливо размещалось в двух фюзеляжных баках общей емкостью 230 кг. Вооружение состояло из 4-х синхронных пулеметов «ПВ-1» и одного кормового пулемета «ДА» на шкворневой установке. В противоположность обычной практике изготовление «ДИ-4» длилось достаточно долго: сказывалась новизна конструкции и необходимость освоения технологии гладких металлических обшивок (14899).</w:t>
      </w:r>
    </w:p>
    <w:p w14:paraId="53FD32C5" w14:textId="77777777" w:rsidR="009A7962" w:rsidRPr="00C33834" w:rsidRDefault="009A7962" w:rsidP="00C33834">
      <w:pPr>
        <w:spacing w:after="0" w:line="240" w:lineRule="auto"/>
        <w:jc w:val="both"/>
        <w:rPr>
          <w:rFonts w:ascii="Times New Roman" w:hAnsi="Times New Roman"/>
          <w:color w:val="000000" w:themeColor="text1"/>
          <w:sz w:val="16"/>
          <w:szCs w:val="16"/>
        </w:rPr>
      </w:pPr>
    </w:p>
    <w:p w14:paraId="33918429"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22 мая 1933 С.Н.Анохин участвует в первом буксировочном перелёте трёх планеров Г-9 за самолётом Р-5 (пилоты планеров-С.Н.Анохин, Н.Я.Симонов, И.И.Шелест; пилот Р-5 - Н Д.Федосеев). Аэропоезд стартовал из Москвы и вскоре с промежуточными посадками достиг Коктебеля (5996).</w:t>
      </w:r>
    </w:p>
    <w:p w14:paraId="7087F581"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2AE2432F"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мая 1933 года начальник 2 управления УММ РККА Бокис и начальник 4 отдела Магидов писали письмо № 155168с в Кремль, секретариат Базилевичу</w:t>
      </w:r>
    </w:p>
    <w:p w14:paraId="45383C83"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Справка по делу о передаче участка территории склада № 37 (два участка) в распоряжение ЦАГИ.</w:t>
      </w:r>
    </w:p>
    <w:p w14:paraId="197650A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1931 году часть территории склада № 37 (два участка) были переданы в распоряжение ЦАГИ и Авиазавода.</w:t>
      </w:r>
    </w:p>
    <w:p w14:paraId="6B00A8B9"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постановления КО от 4 июля 1932 года часть территории Склада должна быть отрезана в распоряжение ЦАГИ.</w:t>
      </w:r>
    </w:p>
    <w:p w14:paraId="1355B8CC"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связи с тем, что намеченный к выделению ЦАГИ участок его не удовлетворил и он претендовал на большой участок, на котором расположена часть хранилищ и проходит ветка подъездного ж/д пути Склада, начальник УММ РККА Халепский лично выезжал на место и согласовал с ЦАГИ передачу участка, причем: по согласованию с начальником УММ, ЦАГИ обязалось компенсировать все расходы, связанные с выделением этого участка, как-то: постройка новых хранилищ взамен представленных ЦАГИ, перенос подъездных путей, а также и расходы по переброске имущества из хранилищ отошедших ЦАГИ.</w:t>
      </w:r>
    </w:p>
    <w:p w14:paraId="5A9F19B0"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сих пор, однако, ЦАГИ своего обязательства не выполнило, новые хранилища взамен подлежащих передачи не построены, не произведен также перенос подъездных путей, вследствие этого УММ не имеет возможности освободить подлежащий передаче участок, так как свободной крытой площадки на Складе 37 нет, а выбрасывать имущество и укладывать его под открытым небом не считаю возможным.</w:t>
      </w:r>
    </w:p>
    <w:p w14:paraId="24A95BE4"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осуществлении ЦАГИ своих обязательств по компенсациям, КЭУ РККА ведающее этим вопросом будет произведено оформление передачи ЦАГИ, участка территории Склада 37 (3530,128).</w:t>
      </w:r>
    </w:p>
    <w:p w14:paraId="1037035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2987B4FD"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63710F8"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992E9BD" w14:textId="77777777" w:rsidR="009A7962" w:rsidRPr="00C33834" w:rsidRDefault="009A7962" w:rsidP="00C33834">
      <w:pPr>
        <w:pStyle w:val="rtejustify"/>
        <w:spacing w:before="0" w:after="0"/>
        <w:rPr>
          <w:color w:val="000000" w:themeColor="text1"/>
          <w:sz w:val="16"/>
          <w:szCs w:val="16"/>
        </w:rPr>
      </w:pPr>
      <w:r w:rsidRPr="00C33834">
        <w:rPr>
          <w:rStyle w:val="af0"/>
          <w:bCs/>
          <w:i w:val="0"/>
          <w:color w:val="000000" w:themeColor="text1"/>
          <w:sz w:val="16"/>
          <w:szCs w:val="16"/>
        </w:rPr>
        <w:t>22 мая</w:t>
      </w:r>
      <w:r w:rsidRPr="00C33834">
        <w:rPr>
          <w:rStyle w:val="af0"/>
          <w:rFonts w:eastAsiaTheme="majorEastAsia"/>
          <w:bCs/>
          <w:i w:val="0"/>
          <w:color w:val="000000" w:themeColor="text1"/>
          <w:sz w:val="16"/>
          <w:szCs w:val="16"/>
        </w:rPr>
        <w:t xml:space="preserve"> 1933</w:t>
      </w:r>
      <w:r w:rsidRPr="00C33834">
        <w:rPr>
          <w:color w:val="000000" w:themeColor="text1"/>
          <w:sz w:val="16"/>
          <w:szCs w:val="16"/>
        </w:rPr>
        <w:t>. Постановление РВСС «О необходимости ввода на вооружение РККА усовершенствованной модели МТГ (механическая трубка инженера Георгиева) и планомерного развертывания производства МТГ на заводе «Прогресс»». (РГВА. Ф. 4. Оп. 18. Д. 23. Л. 180</w:t>
      </w:r>
      <w:r w:rsidRPr="00C33834">
        <w:rPr>
          <w:color w:val="000000" w:themeColor="text1"/>
          <w:sz w:val="16"/>
          <w:szCs w:val="16"/>
        </w:rPr>
        <w:noBreakHyphen/>
        <w:t>181) (15461).</w:t>
      </w:r>
    </w:p>
    <w:p w14:paraId="341DC3DD" w14:textId="77777777" w:rsidR="009A7962" w:rsidRPr="00C33834" w:rsidRDefault="009A7962" w:rsidP="00C33834">
      <w:pPr>
        <w:pStyle w:val="rtejustify"/>
        <w:spacing w:before="0" w:after="0"/>
        <w:rPr>
          <w:rStyle w:val="af0"/>
          <w:bCs/>
          <w:i w:val="0"/>
          <w:color w:val="000000" w:themeColor="text1"/>
          <w:sz w:val="16"/>
          <w:szCs w:val="16"/>
        </w:rPr>
      </w:pPr>
    </w:p>
    <w:p w14:paraId="74EFC4B5"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мая 1933 была подготовлена оперативная сводка военпреда на ХПЗ в/и Гинсбурга о состоянии опытных работ на заводе на 22 мая и там была сказано “КБ отдела Т-2О (2-й танковый опытный) ХПЗ приступило к разработке в чертежах” - к конструктивной проработки установки 76-мм пушки в БТ (3881,3) -</w:t>
      </w:r>
    </w:p>
    <w:p w14:paraId="2D5A424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“Корпус машины - конструктивно меняются в передней части все броневые листы;</w:t>
      </w:r>
    </w:p>
    <w:p w14:paraId="7AAD4E45"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Нос машины закругляется по радиусу приблизительно 230 мм. Ширина в самом узком месте носа - 500 мм вместо 250 мм на БТ и БТ-5. Длинна корпуса машины не меняется. Нос - сварной, на основе конструкции сварного корпуса (опытного танка) БТ-6. Сидение водителя перенесено вперед вместе с кулисой, рычагами управления, бортовыми фрикционами и управлением зажиганием, причем боевое помещение увеличилось на 100 мм.</w:t>
      </w:r>
    </w:p>
    <w:p w14:paraId="65A09AE9"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Ведется работа по изменению кормы машины в целях увеличения запаса горючего и улучшения бронировки незащищенных листов.” (3881,3).</w:t>
      </w:r>
    </w:p>
    <w:p w14:paraId="5D63C192"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5705F194"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1A11980E"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0030A08"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мая 1933 приказом № 141 предписывалось «сконцентрировать нацменов, в особенности восточных национальностей, в отдельные бригады, коллективы, артели и лагпункты», обеспечив их национальной литературой, особыми котлами на кухнях (подразумевалось, - чтобы готовить пищу для мусульман) и т. п.; отмечалось, что «население лагеря имеет в своем составе большое число украинцев,...различных народностей Северного Кавказа и народностей Востока. Так, например,: 3-е и 8-е отделения почти полностью укомплектованы украинцами, 13-е отделение имеет большой состав татар и башкир и т. д. Почти все отделения достаточно не учитывают этого... Со стороны несознательных лагерников наблюдались и имели место случаи проявления «великодержавного российского» шовинизма (в марте месяце на 69 километре Дмитровского пункта)» (7560).</w:t>
      </w:r>
    </w:p>
    <w:p w14:paraId="7FA4B08A"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6C15A3F4"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53FB15E"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7842203" w14:textId="77777777" w:rsidR="009A7962" w:rsidRPr="00C33834" w:rsidRDefault="009A7962"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23 мая</w:t>
      </w:r>
      <w:r w:rsidRPr="00C33834">
        <w:rPr>
          <w:rFonts w:ascii="Times New Roman" w:hAnsi="Times New Roman"/>
          <w:color w:val="000000" w:themeColor="text1"/>
          <w:sz w:val="16"/>
          <w:szCs w:val="16"/>
        </w:rPr>
        <w:t xml:space="preserve"> в 1933 году первый полет многоместного истребителя </w:t>
      </w:r>
      <w:hyperlink r:id="rId168" w:tgtFrame="_blank" w:history="1">
        <w:r w:rsidRPr="00C33834">
          <w:rPr>
            <w:rFonts w:ascii="Times New Roman" w:hAnsi="Times New Roman"/>
            <w:color w:val="000000" w:themeColor="text1"/>
            <w:sz w:val="16"/>
            <w:szCs w:val="16"/>
          </w:rPr>
          <w:t xml:space="preserve">«Ми-3» («АНТ-21»), </w:t>
        </w:r>
      </w:hyperlink>
      <w:r w:rsidRPr="00C33834">
        <w:rPr>
          <w:rFonts w:ascii="Times New Roman" w:hAnsi="Times New Roman"/>
          <w:color w:val="000000" w:themeColor="text1"/>
          <w:sz w:val="16"/>
          <w:szCs w:val="16"/>
        </w:rPr>
        <w:t>пилот И.Ф.Козлов (14900).</w:t>
      </w:r>
    </w:p>
    <w:p w14:paraId="3319B624" w14:textId="77777777" w:rsidR="009A7962" w:rsidRPr="00C33834" w:rsidRDefault="009A7962" w:rsidP="00C33834">
      <w:pPr>
        <w:spacing w:after="0" w:line="240" w:lineRule="auto"/>
        <w:jc w:val="both"/>
        <w:rPr>
          <w:rFonts w:ascii="Times New Roman" w:hAnsi="Times New Roman"/>
          <w:color w:val="000000" w:themeColor="text1"/>
          <w:sz w:val="16"/>
          <w:szCs w:val="16"/>
        </w:rPr>
      </w:pPr>
    </w:p>
    <w:p w14:paraId="7C6D4FE0"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мая 1933 был выполнен первый полет МИ-3 (АНТ-21). Потребовались доработки (80,236). Летал И.Ф.Козлов (6200, 8).</w:t>
      </w:r>
    </w:p>
    <w:p w14:paraId="089E4B8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самолет МИ-3 (АНТ-21) был построен только 1 июня, а заводские испытания начались только осенью 1933.</w:t>
      </w:r>
    </w:p>
    <w:p w14:paraId="3BC50769"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0BA20E9" w14:textId="77777777" w:rsidR="0058354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F8D5559" w14:textId="77777777" w:rsidR="0058354C" w:rsidRPr="00C33834" w:rsidRDefault="0058354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C1014D7" w14:textId="77777777" w:rsidR="009A7962" w:rsidRPr="00C33834" w:rsidRDefault="009A7962" w:rsidP="00C33834">
      <w:pPr>
        <w:pStyle w:val="rtejustify"/>
        <w:spacing w:before="0" w:after="0"/>
        <w:rPr>
          <w:color w:val="000000" w:themeColor="text1"/>
          <w:sz w:val="16"/>
          <w:szCs w:val="16"/>
        </w:rPr>
      </w:pPr>
      <w:r w:rsidRPr="00C33834">
        <w:rPr>
          <w:rStyle w:val="af0"/>
          <w:bCs/>
          <w:i w:val="0"/>
          <w:color w:val="000000" w:themeColor="text1"/>
          <w:sz w:val="16"/>
          <w:szCs w:val="16"/>
        </w:rPr>
        <w:t>23 мая 1933 вышел приказ НКТП № 66сс.</w:t>
      </w:r>
      <w:r w:rsidRPr="00C33834">
        <w:rPr>
          <w:color w:val="000000" w:themeColor="text1"/>
          <w:sz w:val="16"/>
          <w:szCs w:val="16"/>
        </w:rPr>
        <w:t xml:space="preserve"> О переводе Специального снарядного бюро на завод «Большевик» с целью оказания непосредственной помощи по производству опытных партий снарядов. (РГАЭ. Ф. 7297. Оп. 38. Д. 37. Л. 101) (15246).</w:t>
      </w:r>
    </w:p>
    <w:p w14:paraId="0FFC7053" w14:textId="77777777" w:rsidR="009A7962" w:rsidRPr="00C33834" w:rsidRDefault="009A7962" w:rsidP="00C33834">
      <w:pPr>
        <w:pStyle w:val="rtejustify"/>
        <w:spacing w:before="0" w:after="0"/>
        <w:rPr>
          <w:color w:val="000000" w:themeColor="text1"/>
          <w:sz w:val="16"/>
          <w:szCs w:val="16"/>
        </w:rPr>
      </w:pPr>
    </w:p>
    <w:p w14:paraId="626DC923" w14:textId="77777777" w:rsidR="009A7962" w:rsidRPr="00C33834" w:rsidRDefault="009A7962" w:rsidP="00C33834">
      <w:pPr>
        <w:pStyle w:val="rtejustify"/>
        <w:spacing w:before="0" w:after="0"/>
        <w:rPr>
          <w:color w:val="000000" w:themeColor="text1"/>
          <w:sz w:val="16"/>
          <w:szCs w:val="16"/>
        </w:rPr>
      </w:pPr>
      <w:r w:rsidRPr="00C33834">
        <w:rPr>
          <w:rStyle w:val="af0"/>
          <w:bCs/>
          <w:i w:val="0"/>
          <w:color w:val="000000" w:themeColor="text1"/>
          <w:sz w:val="16"/>
          <w:szCs w:val="16"/>
        </w:rPr>
        <w:t>23 мая 1933 вышел приказ НКТП № 63с.</w:t>
      </w:r>
      <w:r w:rsidRPr="00C33834">
        <w:rPr>
          <w:color w:val="000000" w:themeColor="text1"/>
          <w:sz w:val="16"/>
          <w:szCs w:val="16"/>
        </w:rPr>
        <w:t xml:space="preserve"> О порядке увольнения иностранных работников с предприятий военной промышленности. (РГАЭ. Ф. 7297. Оп. 38. Д. 37. Л. 57</w:t>
      </w:r>
      <w:r w:rsidRPr="00C33834">
        <w:rPr>
          <w:color w:val="000000" w:themeColor="text1"/>
          <w:sz w:val="16"/>
          <w:szCs w:val="16"/>
        </w:rPr>
        <w:noBreakHyphen/>
        <w:t>59) (15246).</w:t>
      </w:r>
    </w:p>
    <w:p w14:paraId="28CA2B44" w14:textId="77777777" w:rsidR="009A7962" w:rsidRPr="00C33834" w:rsidRDefault="009A7962" w:rsidP="00C33834">
      <w:pPr>
        <w:pStyle w:val="rtejustify"/>
        <w:spacing w:before="0" w:after="0"/>
        <w:rPr>
          <w:color w:val="000000" w:themeColor="text1"/>
          <w:sz w:val="16"/>
          <w:szCs w:val="16"/>
        </w:rPr>
      </w:pPr>
    </w:p>
    <w:p w14:paraId="6EEAAA97" w14:textId="77777777" w:rsidR="009A7962" w:rsidRPr="00C33834" w:rsidRDefault="009A7962" w:rsidP="00C33834">
      <w:pPr>
        <w:pStyle w:val="rtejustify"/>
        <w:spacing w:before="0" w:after="0"/>
        <w:rPr>
          <w:color w:val="000000" w:themeColor="text1"/>
          <w:sz w:val="16"/>
          <w:szCs w:val="16"/>
        </w:rPr>
      </w:pPr>
      <w:r w:rsidRPr="00C33834">
        <w:rPr>
          <w:color w:val="000000" w:themeColor="text1"/>
          <w:sz w:val="16"/>
          <w:szCs w:val="16"/>
        </w:rPr>
        <w:t>23 мая 1933 г. — Приказ по Наркомтяжпрому СССР о работе и условиях труда иностранных специалистов на предприятиях отрасли</w:t>
      </w:r>
    </w:p>
    <w:p w14:paraId="3B9F495C"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Коллегия Наркомтяжпрома в заседании от 5.III. с. г. констатировала, что подавляющее большинство работающих в тяжелой промышленности иностранных рабочих и инженеров оказали существенную помощь в строительстве, пуске и освоении новых видов производств на крупнейших гигантах (Магнитострой, Кузнецкстрой, ХТЗ, СТЗ, ГАЗ им. тов. Молотова, автозавод им. тов. Сталина, Электрокомбинат, Электроаппарат, Челябинский ферросплавный, Электросталь, Красноуральский медеплавильный комбинат и др.).</w:t>
      </w:r>
    </w:p>
    <w:p w14:paraId="68CE147A"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Не менее значительную помощь оказали иностранные кадры в обучении нашего персонала, обслуживании дорогостоящего импортного оборудования.</w:t>
      </w:r>
    </w:p>
    <w:p w14:paraId="44F48627"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Несмотря на это, руководители целого ряда предприятий и хозорганов, недооценивая роль иностранных кадров, не уделяют должного внимания вопросам использования и материально-бытового обслуживания иностранных кадров, а в последнее время пошли по неправильному пути освобождения под тем или иным предлогом от иностранных работников вообще (Востоксоюзстрой, Союзстандартжилстрой, Металлостройпроект, Союзтранстехпром, завод фрезерных станков).</w:t>
      </w:r>
    </w:p>
    <w:p w14:paraId="73CB6D57"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Это отношение хозяйственников не имело должного отпора со стороны главных управлений НКТП, которые в большинстве совершенно не занимаются вопросами контроля за использованием иноработников.</w:t>
      </w:r>
    </w:p>
    <w:p w14:paraId="5E2EA760"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В результате такого положения, мы имеем за последнее время резкое повышение текучести среди иноработников и отъезд их на родину, что, кроме хозяйственного ущерба производству, наносит нам и значительный политический вред: так за три квартала 32 года выбыло из тяжелой промышленности 392 иноработника, за IV</w:t>
      </w:r>
      <w:r w:rsidRPr="00C33834">
        <w:rPr>
          <w:color w:val="000000" w:themeColor="text1"/>
          <w:sz w:val="16"/>
          <w:szCs w:val="16"/>
        </w:rPr>
        <w:noBreakHyphen/>
        <w:t>й квартал 1932 г. — 586 иноработников и за первый квартал 1933 г. — уже свыше 700 иноработников, причем в виду указанного отношения хозяйственников к вопросам использования и материально-бытового обслуживания иноработников, количество отъезжающих заграницу и в данное время продолжает увеличиваться.</w:t>
      </w:r>
    </w:p>
    <w:p w14:paraId="3ED808FC"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Особенно неблагополучными по текучести иноработников являются: Кузбассуголь, ГАЗ, Магнитострой, Тагилкомбинатстрой, Стандартгорпроект, Березникхимстрой, Востоксоюзстрой, Востокосталь и Электрокомбинат.</w:t>
      </w:r>
    </w:p>
    <w:p w14:paraId="00DD6FBC"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Считая такое положение абсолютно недопустимым и учитывая необходимость как в сохранении уже работающих в тяжелой промышленности квалифицированных инокадров, так и в создании условий для вновь приглашаемых на отдельные новые предприятия иностранных рабочих и инженеров, ПРИКАЗЫВАЮ:</w:t>
      </w:r>
    </w:p>
    <w:p w14:paraId="4A143E03"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1. Увольнение иноработников производить в исключительных случаях и только с предварительного согласия иностранного сектора НКТП.</w:t>
      </w:r>
    </w:p>
    <w:p w14:paraId="059BD435"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При заявлениях квалифицированных иноработников об уходе по собственному желанию руководители предприятий и хозорганов обязаны лично выяснять действительные причины ухода иноработников, и о всех случаях ухода иноработников по собственному желанию, либо в порядке увольнения, в 5</w:t>
      </w:r>
      <w:r w:rsidRPr="00C33834">
        <w:rPr>
          <w:color w:val="000000" w:themeColor="text1"/>
          <w:sz w:val="16"/>
          <w:szCs w:val="16"/>
        </w:rPr>
        <w:noBreakHyphen/>
        <w:t>ти дневный срок сообщать в ИНО НКТП с приложением характеризующего материала.</w:t>
      </w:r>
    </w:p>
    <w:p w14:paraId="4628AF66"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2. Учитывая невозможность для ряда высококвалифицированных иностранных рабочих приспособиться к сдельной оплате труда, ввиду незнания ими наших условий и языка — предоставить право директорам предприятий устанавливать для высококвалифицированных рабочих гарантированные оклады по машиностроению и металлургии не ниже 6</w:t>
      </w:r>
      <w:r w:rsidRPr="00C33834">
        <w:rPr>
          <w:color w:val="000000" w:themeColor="text1"/>
          <w:sz w:val="16"/>
          <w:szCs w:val="16"/>
        </w:rPr>
        <w:noBreakHyphen/>
        <w:t>го разряда и по каменноугольной промышленности не ниже 9</w:t>
      </w:r>
      <w:r w:rsidRPr="00C33834">
        <w:rPr>
          <w:color w:val="000000" w:themeColor="text1"/>
          <w:sz w:val="16"/>
          <w:szCs w:val="16"/>
        </w:rPr>
        <w:noBreakHyphen/>
        <w:t>й ставки.</w:t>
      </w:r>
    </w:p>
    <w:p w14:paraId="21DDB419"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3. Имея в виду жесткое лимитирование фонда заработной платы и повышенные ставки некоторых высокоценных иностранных инженеров, сектору труда, по представлению хозорганов, повышать фонды зарплаты отдельных предприятий и хозорганизаций для покрытия разницы между средней ставкой специалистов данного хозоргана и повышенными ставками отдельных иноспециалистов.</w:t>
      </w:r>
    </w:p>
    <w:p w14:paraId="5152E6F7"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Сектору труда, совместно с ИНО НКТП, в 5</w:t>
      </w:r>
      <w:r w:rsidRPr="00C33834">
        <w:rPr>
          <w:color w:val="000000" w:themeColor="text1"/>
          <w:sz w:val="16"/>
          <w:szCs w:val="16"/>
        </w:rPr>
        <w:noBreakHyphen/>
        <w:t>ти дневный срок дать практические указания предприятиям и хозорганам по выполнению пунктов 2 и 3 настоящего приказа.</w:t>
      </w:r>
    </w:p>
    <w:p w14:paraId="7473814C"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4. В связи со снижением норм по централизованному снабжению иноработников и перебоями по самому снабжению системой Инснаба, руководителям предприятий и хозорганов дополнять снабжение иноработников за счет общих фондов снабжения, главным образом, за счет самозаготовок, для чего: зам. наркома по рабочему снабжению тов. ПИТЕРСКОМУ, совместно с финсектором в декадный срок определить потребные дополнительные средства предприятиям и хозорганам, где сконцентрировано значительное количество иноработников на пополнение получаемого ими централизованного снабжения, удешевление общественного питания и т. д., и финансовому сектору эти средства выделить в распоряжение руководителей предприятий. Тов. Питерскому, совместно с ИНО НКТП, дать в двухдекадный срок указания хозорганам о проведении этих мероприятий в жизнь.</w:t>
      </w:r>
    </w:p>
    <w:p w14:paraId="0E342C36"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5. Учитывая пуск в текущем году ряда новых предприятий (Краммашкомбинат, ЧТЗ, Уралмашзавод, Уралвагонстрой, заводы ГУАПа), и необходимость обеспечения их высококвалифицированными кадрами в текущем году:</w:t>
      </w:r>
    </w:p>
    <w:p w14:paraId="0290C0CE"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а) директорам указанных предприятий в декадный срок уточнить, совместно с главными управлениями, заявки на инокадры.</w:t>
      </w:r>
    </w:p>
    <w:p w14:paraId="06414042"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б) Иносектору в месячный срок проверить возможность производственного и жилищно-бытового освоения вновь приглашаемых иноработников на этих предприятиях.</w:t>
      </w:r>
    </w:p>
    <w:p w14:paraId="104AD7E8"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6. Директорам предприятий под их персональную ответственность подготовить к указанным в заявках на инокадры срокам все виды материально-бытового обслуживания (снабжение, жилище и т. д.) и производственные условия для полного освоения приглашаемых на указанные предприятия иноработников.</w:t>
      </w:r>
    </w:p>
    <w:p w14:paraId="2249A508"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7. Главным управлениям НКТП практически заняться вопросами контроля, наблюдения за использованием иноработников и перераспределением их совместно с ИНО по отдельным предприятиям своей отрасли промышленности, таким образом, чтобы иностранные работники были сконцентрированы на ограниченном количестве новых или реконструированных предприятий компактными группами.</w:t>
      </w:r>
    </w:p>
    <w:p w14:paraId="7E4CF29D"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Ответственность за организацию этой работы в главных управлениях возложить на одного из заместителей начальника главка, фамилию которого в декадный срок сообщить в ИНО НКТП.</w:t>
      </w:r>
    </w:p>
    <w:p w14:paraId="69047D43"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8. Ответственность за использование иноработников на предприятиях и в хозорганах возлагается персонально на технических директоров и начальников цехов с оставлением за директорами предприятий и руководителями хозорганов общего руководства работой по инокадрам.</w:t>
      </w:r>
    </w:p>
    <w:p w14:paraId="6C465E1C"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9. Руководителям предприятий и начальникам цехов, в целях создания условия для обучения и повышения квалификации советских кадров, а также внедрения иностранного технического опыта, практиковать назначение лучших иноработников на должности мастеров, инструкторов и бригадиров.</w:t>
      </w:r>
    </w:p>
    <w:p w14:paraId="62955227"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10. Руководителям предприятий и хозорганов в месячный срок пересмотреть и укрепить личные составы работников иностранных отделов предприятий и хозорганизаций, представив сектору кадров и ИНО НКТП данные о состоянии этих аппаратов.</w:t>
      </w:r>
    </w:p>
    <w:p w14:paraId="157D9749"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Сектору кадров НКТП оказать всемерное содействие в укомплектовании иноотделов предприятий и хозорганизаций, технически грамотными и политически проверенными переводчиками.</w:t>
      </w:r>
    </w:p>
    <w:p w14:paraId="0E217B54"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11. Управлению делами НКТП:</w:t>
      </w:r>
    </w:p>
    <w:p w14:paraId="3584F4A6"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а) Обеспечить в Москве в двухдекадный срок общежитие для проезжающих через Москву иноработников.</w:t>
      </w:r>
    </w:p>
    <w:p w14:paraId="48AA4172"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б) Создать при Управлении делами в тресте Хозстрой группу для обслуживания проезжающих через Москву иноработников из двух единиц с отнесением всех расходов за счет заинтересованных хозорганов и предприятий.</w:t>
      </w:r>
    </w:p>
    <w:p w14:paraId="469D94A5"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Наблюдение за выполнением настоящего приказа возлагаю на ИНО и СЕКТОР ПРОВЕРКИ ИСПОЛНЕНИЯ НКТП, которым на местах проверить выполнение и к 1</w:t>
      </w:r>
      <w:r w:rsidRPr="00C33834">
        <w:rPr>
          <w:color w:val="000000" w:themeColor="text1"/>
          <w:sz w:val="16"/>
          <w:szCs w:val="16"/>
        </w:rPr>
        <w:noBreakHyphen/>
        <w:t>му августа доложить мне о результатах проверки.</w:t>
      </w:r>
    </w:p>
    <w:p w14:paraId="265C5CCD" w14:textId="77777777" w:rsidR="0058354C" w:rsidRPr="00C33834" w:rsidRDefault="0058354C" w:rsidP="00C33834">
      <w:pPr>
        <w:pStyle w:val="rteright"/>
        <w:spacing w:before="0" w:after="0"/>
        <w:jc w:val="both"/>
        <w:rPr>
          <w:color w:val="000000" w:themeColor="text1"/>
          <w:sz w:val="16"/>
          <w:szCs w:val="16"/>
        </w:rPr>
      </w:pPr>
      <w:r w:rsidRPr="00C33834">
        <w:rPr>
          <w:color w:val="000000" w:themeColor="text1"/>
          <w:sz w:val="16"/>
          <w:szCs w:val="16"/>
        </w:rPr>
        <w:t xml:space="preserve">П. п. зам. наркома тяжелой промышленности СССР — </w:t>
      </w:r>
      <w:r w:rsidRPr="00C33834">
        <w:rPr>
          <w:rStyle w:val="af0"/>
          <w:i w:val="0"/>
          <w:color w:val="000000" w:themeColor="text1"/>
          <w:sz w:val="16"/>
          <w:szCs w:val="16"/>
        </w:rPr>
        <w:t>Каганович [М. М.]</w:t>
      </w:r>
    </w:p>
    <w:p w14:paraId="4060FCAA" w14:textId="77777777" w:rsidR="0058354C" w:rsidRPr="00C33834" w:rsidRDefault="0058354C" w:rsidP="00C33834">
      <w:pPr>
        <w:pStyle w:val="rteindent1"/>
        <w:spacing w:before="0" w:after="0"/>
        <w:ind w:left="0"/>
        <w:jc w:val="both"/>
        <w:rPr>
          <w:color w:val="000000" w:themeColor="text1"/>
          <w:sz w:val="16"/>
          <w:szCs w:val="16"/>
        </w:rPr>
      </w:pPr>
      <w:r w:rsidRPr="00C33834">
        <w:rPr>
          <w:color w:val="000000" w:themeColor="text1"/>
          <w:sz w:val="16"/>
          <w:szCs w:val="16"/>
        </w:rPr>
        <w:t>РГАЭ. Ф. 7297. Оп. 38. Д. 37. Л. 57-54. Заверенная копия.</w:t>
      </w:r>
    </w:p>
    <w:p w14:paraId="63C9D794"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Индустриализация Советского Союза. Новые документы. Новые факты. Новые подходы. Институт российской истории РАН, М. 1999. Ч. II. стр. 221-225.</w:t>
      </w:r>
    </w:p>
    <w:p w14:paraId="51603017"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Архив: РГАЭ. Ф. 7297. Оп. 38. Д. 37. Л. 57-54. Заверенная копия (12177)</w:t>
      </w:r>
    </w:p>
    <w:p w14:paraId="7221CEB3" w14:textId="77777777" w:rsidR="0058354C" w:rsidRPr="00C33834" w:rsidRDefault="0058354C" w:rsidP="00C33834">
      <w:pPr>
        <w:spacing w:after="0" w:line="240" w:lineRule="auto"/>
        <w:jc w:val="both"/>
        <w:rPr>
          <w:rFonts w:ascii="Times New Roman" w:hAnsi="Times New Roman"/>
          <w:color w:val="000000" w:themeColor="text1"/>
          <w:sz w:val="16"/>
          <w:szCs w:val="16"/>
        </w:rPr>
      </w:pPr>
    </w:p>
    <w:p w14:paraId="16039BE5" w14:textId="77777777" w:rsidR="009A7962" w:rsidRPr="00C33834" w:rsidRDefault="009A7962"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23 мая</w:t>
      </w:r>
      <w:r w:rsidRPr="00C33834">
        <w:rPr>
          <w:rFonts w:ascii="Times New Roman" w:hAnsi="Times New Roman"/>
          <w:color w:val="000000" w:themeColor="text1"/>
          <w:sz w:val="16"/>
          <w:szCs w:val="16"/>
        </w:rPr>
        <w:t xml:space="preserve"> в 1933 году основано ОАО "Судостроительная фирма "Алмаз". Город Санкт-Петербург. Судостроительная фирма специализируется на создании патрульных и боевых катеров. За всю историю предприятия корабелами "Алмаза" построено и передано заказчикам более 1000 катеров и малых кораблей. "Алмаз" многие годы специализировался на постройке головных образцов современной морской техники с отработкой передовых достижений в области военного кораблестроения и передачей заказов в серийное производство. На Судостроительной фирме "Алмаз" были построены первые в мире ракетные катера и малые ракетные корабли, уникальный ракетный катер с автоматической системой управления подводными крыльями. На верфи освоено серийное строительство кораблей на воздушной подушке, в том числе самых больших в мире десантных кораблей. В 1992 году судостроительное объединение "Алмаз" было преобразовано в ОАО "Судостроительная фирма "Алмаз". В настоящее время "Алмаз" входит в состав ОАО "Объединенные Машиностроительные Заводы" (14900).</w:t>
      </w:r>
    </w:p>
    <w:p w14:paraId="23806534" w14:textId="77777777" w:rsidR="009A7962" w:rsidRPr="00C33834" w:rsidRDefault="009A7962" w:rsidP="00C33834">
      <w:pPr>
        <w:spacing w:after="0" w:line="240" w:lineRule="auto"/>
        <w:jc w:val="both"/>
        <w:rPr>
          <w:rFonts w:ascii="Times New Roman" w:hAnsi="Times New Roman"/>
          <w:color w:val="000000" w:themeColor="text1"/>
          <w:sz w:val="16"/>
          <w:szCs w:val="16"/>
        </w:rPr>
      </w:pPr>
    </w:p>
    <w:p w14:paraId="0FB73A89"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lastRenderedPageBreak/>
        <w:t>Жизнь и внутренняя политика:</w:t>
      </w:r>
    </w:p>
    <w:p w14:paraId="034D478E"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6BEC563"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мая 1933 нарком путей сообщения СССР А. А. Андреев направил на имя зампреда ОГПУ Ягоды следующее письмо:</w:t>
      </w:r>
    </w:p>
    <w:p w14:paraId="1FA746A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«НКПС («Трансуголь») должен приступить в текущем году к освоению нового угольного района в ДВК [Дальневосточном крае] на Райчихинском угольном месторождении, для чего специально построена ж. д. ветка на 32 км., направлено 3 экскаватора, завозится оборудование, материалы и т. д. Программа добычи на 33 г. утверждена Правительством в 230.000 тонн.</w:t>
      </w:r>
    </w:p>
    <w:p w14:paraId="6F4E3D6C"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Райчихинское угольное предприятие должно явиться основным по снабжению топливом Уссурийской ж. д., на западном ее участке, что крайне важно в части обеспечения обороноспособности ДВК, имея в виду, что Уссурийская ж. д. сейчас живет только 4-х дневными запасами топлива.</w:t>
      </w:r>
    </w:p>
    <w:p w14:paraId="27974063"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29.04.33 ГУЛАГ ОГПУ дал свое согласие на завоз 3.100 человек на Райчиху с организацией там специального лагеря по освоению добычи угля. Сейчас ГУЛАГ от этого отказывается по мотивам невозможности обеспечить эти работы рабсилой.</w:t>
      </w:r>
    </w:p>
    <w:p w14:paraId="708DDC05"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 как времени для вскрышных работ по угольному пласту осталось всего 4-5 месяцев, причем надо учесть 1-2 месяца на переброску рабочих, вербовка туда вольнонаемной рабочей силы невозможна, то отсюда весь операционный текущий год и первый квартал 34 года для Райчихинского месторождения может оказаться сорванным.</w:t>
      </w:r>
    </w:p>
    <w:p w14:paraId="0D3EA5A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Единственный исход для форсирования работ по вскрышке туфов и добыче угля - это срочная переброска 3.100 человек ГУЛАГом, о чем я убедительно прошу Ваших распоряжений, дабы не поставить Уссурийскую ж. д. в безвыходное положение с топливом» (7560).</w:t>
      </w:r>
    </w:p>
    <w:p w14:paraId="3765B8A2" w14:textId="123E1D31"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73F289B5" w14:textId="0FC1C04F" w:rsidR="002D5408" w:rsidRPr="00C33834" w:rsidRDefault="002D5408" w:rsidP="00C33834">
      <w:pPr>
        <w:autoSpaceDE w:val="0"/>
        <w:autoSpaceDN w:val="0"/>
        <w:adjustRightInd w:val="0"/>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За рубежом:</w:t>
      </w:r>
    </w:p>
    <w:p w14:paraId="3DF4111D" w14:textId="77777777" w:rsidR="002D5408" w:rsidRPr="00C33834" w:rsidRDefault="002D5408" w:rsidP="00C33834">
      <w:pPr>
        <w:autoSpaceDE w:val="0"/>
        <w:autoSpaceDN w:val="0"/>
        <w:adjustRightInd w:val="0"/>
        <w:spacing w:after="0" w:line="240" w:lineRule="auto"/>
        <w:jc w:val="both"/>
        <w:rPr>
          <w:rFonts w:ascii="Times New Roman" w:hAnsi="Times New Roman"/>
          <w:i/>
          <w:iCs/>
          <w:color w:val="000000" w:themeColor="text1"/>
          <w:sz w:val="16"/>
          <w:szCs w:val="16"/>
        </w:rPr>
      </w:pPr>
    </w:p>
    <w:p w14:paraId="762D651D" w14:textId="77777777" w:rsidR="00FD33CB" w:rsidRPr="00C33834" w:rsidRDefault="00FD33C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24 мая 1933 французский пионер межконтинентальной авиации Людовик Аррачар погибает в результате отказа двигателя его Caudron C.362 во время предварительных полетов к гонке Coupe Deutsch de la Meurthe 1933 года (20802).</w:t>
      </w:r>
    </w:p>
    <w:p w14:paraId="468CF67B" w14:textId="77777777" w:rsidR="00FD33CB" w:rsidRPr="00C33834" w:rsidRDefault="00FD33CB" w:rsidP="00C33834">
      <w:pPr>
        <w:spacing w:after="0" w:line="240" w:lineRule="auto"/>
        <w:jc w:val="both"/>
        <w:rPr>
          <w:rFonts w:ascii="Times New Roman" w:hAnsi="Times New Roman"/>
          <w:color w:val="0070C0"/>
          <w:sz w:val="16"/>
          <w:szCs w:val="16"/>
        </w:rPr>
      </w:pPr>
    </w:p>
    <w:p w14:paraId="5468E4D5"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71FB23E"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605DFD1"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мая 1933 года зам. председателя ОГПУ Прокофьев и начальник ЭКУ ОГПУ Миронов писали письмо № 50314 в СТО</w:t>
      </w:r>
    </w:p>
    <w:p w14:paraId="5A685953"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 724/КО от 21 мая 1933 года</w:t>
      </w:r>
    </w:p>
    <w:p w14:paraId="70379D7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проекту постановления СТО об опытном авиадизелестроении ОГПУ сообщает следующее:</w:t>
      </w:r>
    </w:p>
    <w:p w14:paraId="20A1CA89"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 2 ОГПУ собственной производственной базы не имеет и в организации такой базы Техотделу ЭКУ ОГПУ было отказано. В силу этого Техотдел ЭКУ ОГПУ может отвечать только за конструкцию мотора, но никак за сроки производства, тем более, что для размещения заказов на Н-5 потребовалось двукратное распоряжение Наркомтяжпрома.</w:t>
      </w:r>
    </w:p>
    <w:p w14:paraId="79E3A2A3"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мотора Н-5 проводится на авиазаводах, находящихся в ведении ГУАПа. Задержки в чертежах по Н-5, выполняемых Техотделом ЭКУ ОГПУ не было.</w:t>
      </w:r>
    </w:p>
    <w:p w14:paraId="2CE34240"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Техотдел ЭКУ ОГПУ выполнил постановление СТО.</w:t>
      </w:r>
    </w:p>
    <w:p w14:paraId="25714E9E"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 3. В пункте 3 указано, что мотор Н-5 имеет высотность 3000 м. Мотор Н-5 высотности не имеет; его проект, доложенный представителям УВВС, ЦИАМ и др., высотности никакой не имел. Высотность мотора Н-5 будет достигнута (для высоты 5000 м и выше) постановкой турбокомпрессора, расчет которого ведется в Техотделе ЭКУ ОГПУ и который может быть сделан после получения данных испытаний мотора Н-5. Строящийся ЦИАМом мотор Н-1, после проведенной длительной лабораторной работы и испытаний на опытных образцах, предполагается невысотным с весом 1,4 кг на силу. Не ясно почему мотор Н-1, проектировавшийся на 800 сил, сдается в 600 сил, а требование высотности вовсе отсутствует.</w:t>
      </w:r>
    </w:p>
    <w:p w14:paraId="06E1D42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Просим изменить данные мотора Н-5 на следующие: «мощность – 2000 л.с., высотность – нет».</w:t>
      </w:r>
    </w:p>
    <w:p w14:paraId="20956E7C"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 4. Своевременный выпуск мотора Н-5 производства должен быть обеспечен ГУАПом под ответственность начальника ГУАПа Баранова. Своевременная подача чертежей и техническое наблюдение за производством и испытанием мотора должно быть обеспечено Техотделом ЭКУ ОГПУ.</w:t>
      </w:r>
    </w:p>
    <w:p w14:paraId="1FBC3E00"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 5. Своевременная сдача мотора на гос. испытание определяется сроком его производства и, следовательно, ответственность за производство необходимо возложить на производящие организации, т. е. директоров заводов №№ 24 и 26, а также на начальника ЦИАМа.</w:t>
      </w:r>
    </w:p>
    <w:p w14:paraId="13A34D43"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должно быть закончено к 1 июля 1933 года, заводские испытания должны начаться 1 августа 1933 года (4223, 28-29).</w:t>
      </w:r>
    </w:p>
    <w:p w14:paraId="7AD7ACD9"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3F0EF2CC"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B856097"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6D74A97" w14:textId="77777777" w:rsidR="008524B2" w:rsidRPr="00C33834" w:rsidRDefault="008524B2"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мая 1933 лодка «Комсомолец» завода Красное Сормово в доке начала движение по Волге, а затем — по Мариинской системе каналов, и 1 июня 1933 г. прибыла в Ленинград. «Балтийцы» быстро поняли, что им прислали не «почти готовую» субмарину, а всего лишь полуфабрикат. После начала достроечных работ выявилось огромное количество дефектов: было необходимо заново изготовить и установить валы горизонтальных рулей, устранить дефекты топливных цистерн, заменить кабели и т. д. Согласно акту от 9 июля 1933 г., было выявлено, что «соединительные швы топливных цистерн зашпаклеваны смесью гудрона и сурика черного цвета. Это маскировка брака, могущая привести к течи». [160 — ГУ ЦАНО, Ф. 15, Оп. 3, Д. 135, Л. 142.] А в акте от 11 сентября того же года говорилось: «…при испытании гидравлическим давлением жесткого корпуса обнаружилось 250 течей». [161 — Там же, Д. 136, Л. 16.] Когда прибыли торпедные аппараты, долго задерживавшиеся заводом № 6, оказалось, что подлодка не готова к их установке. Кроме того, 40 % электромонтажных работ подлежали демонтажу и переделке, из-за брака пришлось заменить и 90 % арматуры. [162 — Там же, Д. 135, Л. 177.]. В связи с переходом «Красного Сормова» на производство спецсудов — так в целях секретности именовали подлодки, которое должно было стать его основным профилем, с 1933 г. стал сокращаться выпуск железнодорожных вагонов и платформ, а также трамваев. Начались командировки на Балтийский завод рабочего и технического персонала с последующей сдачей экзамена. Впоследствии в ноябре 1933 — мае 1934 гг. филиал учебно-курсового комбината в Ленинграде организовал курсы повышения квалификации инженеров — строителей подлодок. На них была отправлена группа ИТР с «Красного Сормова»: корпусники, механики и электротехники. Пять дней в неделю они работали на предприятиях Ленинграда, а один день проводились теоретические занятия. Основными темами занятий были общее устройство подлодок, технологические процессы и монтаж (11741).</w:t>
      </w:r>
    </w:p>
    <w:p w14:paraId="0C552C25" w14:textId="77777777" w:rsidR="008524B2" w:rsidRPr="00C33834" w:rsidRDefault="008524B2"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8B3E24"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ADBB57C"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9CE17B0"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мая 1933 И-14 Бристоль-Марк был перевезен на аэродром, но при пробе мотора обнаружился его перегрев и детонации (2310,143).</w:t>
      </w:r>
    </w:p>
    <w:p w14:paraId="626F72E8"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6898226B" w14:textId="77777777" w:rsidR="009A7962" w:rsidRPr="00C33834" w:rsidRDefault="009A796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26 мая 1933 г. опытный самолёт И-14 (АНТ-31, заказ 7057) с мотором </w:t>
      </w:r>
      <w:r w:rsidRPr="00C33834">
        <w:rPr>
          <w:rFonts w:ascii="Times New Roman" w:hAnsi="Times New Roman"/>
          <w:color w:val="000000" w:themeColor="text1"/>
          <w:sz w:val="16"/>
          <w:szCs w:val="16"/>
          <w:lang w:val="en-US"/>
        </w:rPr>
        <w:t>Bristol</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Mer</w:t>
      </w:r>
      <w:r w:rsidRPr="00C33834">
        <w:rPr>
          <w:rFonts w:ascii="Times New Roman" w:hAnsi="Times New Roman"/>
          <w:color w:val="000000" w:themeColor="text1"/>
          <w:sz w:val="16"/>
          <w:szCs w:val="16"/>
        </w:rPr>
        <w:softHyphen/>
      </w:r>
      <w:r w:rsidRPr="00C33834">
        <w:rPr>
          <w:rFonts w:ascii="Times New Roman" w:hAnsi="Times New Roman"/>
          <w:color w:val="000000" w:themeColor="text1"/>
          <w:sz w:val="16"/>
          <w:szCs w:val="16"/>
          <w:lang w:val="en-US"/>
        </w:rPr>
        <w:t>cury</w:t>
      </w:r>
      <w:r w:rsidRPr="00C33834">
        <w:rPr>
          <w:rFonts w:ascii="Times New Roman" w:hAnsi="Times New Roman"/>
          <w:color w:val="000000" w:themeColor="text1"/>
          <w:sz w:val="16"/>
          <w:szCs w:val="16"/>
        </w:rPr>
        <w:t xml:space="preserve"> IV </w:t>
      </w:r>
      <w:r w:rsidRPr="00C33834">
        <w:rPr>
          <w:rFonts w:ascii="Times New Roman" w:hAnsi="Times New Roman"/>
          <w:color w:val="000000" w:themeColor="text1"/>
          <w:sz w:val="16"/>
          <w:szCs w:val="16"/>
          <w:lang w:val="en-US"/>
        </w:rPr>
        <w:t>S</w:t>
      </w:r>
      <w:r w:rsidRPr="00C33834">
        <w:rPr>
          <w:rFonts w:ascii="Times New Roman" w:hAnsi="Times New Roman"/>
          <w:color w:val="000000" w:themeColor="text1"/>
          <w:sz w:val="16"/>
          <w:szCs w:val="16"/>
        </w:rPr>
        <w:t>2 перевезли на Центральный аэродром, а 27 мая лётчик-испытатель К.К. По</w:t>
      </w:r>
      <w:r w:rsidRPr="00C33834">
        <w:rPr>
          <w:rFonts w:ascii="Times New Roman" w:hAnsi="Times New Roman"/>
          <w:color w:val="000000" w:themeColor="text1"/>
          <w:sz w:val="16"/>
          <w:szCs w:val="16"/>
        </w:rPr>
        <w:softHyphen/>
        <w:t>пов совершил первый вылет (15823).</w:t>
      </w:r>
    </w:p>
    <w:p w14:paraId="2F6D518B" w14:textId="77777777" w:rsidR="009A7962" w:rsidRPr="00C33834" w:rsidRDefault="009A7962" w:rsidP="00C33834">
      <w:pPr>
        <w:spacing w:after="0" w:line="240" w:lineRule="auto"/>
        <w:jc w:val="both"/>
        <w:rPr>
          <w:rFonts w:ascii="Times New Roman" w:hAnsi="Times New Roman"/>
          <w:color w:val="000000" w:themeColor="text1"/>
          <w:sz w:val="16"/>
          <w:szCs w:val="16"/>
        </w:rPr>
      </w:pPr>
    </w:p>
    <w:p w14:paraId="0FDDFFD7" w14:textId="77777777" w:rsidR="00197613" w:rsidRPr="00C33834" w:rsidRDefault="00197613"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26 мая 1933 года опытный самолет И-14 (АНТ-31, заказ 7057) с мотором Bristol-Mercury IV S2 перевезли на Центральный аэродром, а 27 мая летчик испытатель К. К. Попов совершил на нем первый вылет (19177).</w:t>
      </w:r>
    </w:p>
    <w:p w14:paraId="52AC9360" w14:textId="77777777" w:rsidR="00197613" w:rsidRPr="00C33834" w:rsidRDefault="00197613" w:rsidP="00C33834">
      <w:pPr>
        <w:pStyle w:val="ae"/>
        <w:shd w:val="clear" w:color="auto" w:fill="FFFFFF"/>
        <w:spacing w:before="0" w:after="0"/>
        <w:jc w:val="both"/>
        <w:textAlignment w:val="baseline"/>
        <w:rPr>
          <w:color w:val="000000" w:themeColor="text1"/>
          <w:sz w:val="16"/>
          <w:szCs w:val="16"/>
        </w:rPr>
      </w:pPr>
    </w:p>
    <w:p w14:paraId="419EB38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мая 1933 г. головной И-14 была отправлен ранним утром на Центральный аэродром, где размещался Отдел экспериментов, летных испытаний и доводок (ОЭЛИД) ЦАГИ, а уже вечером следующего дня состоялся первый полет без уборки шасси. Летчик К.Попов сделал два круга над Центральным аэродромом.</w:t>
      </w:r>
    </w:p>
    <w:p w14:paraId="0059F9DE"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июня 1933 г. первая фаза испытаний завершилась и 17 июля машина была передана обратно в ЦАГИ, поскольку в акте было записано, что самолет имеет ряд конструктивных недостатков.</w:t>
      </w:r>
    </w:p>
    <w:p w14:paraId="16D3797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цехе ЗОК на головном самолете произвели регулировку убирающегося шасси, заменили консоли с полотняной обшивкой на новые, умевшие метеллическую гофрированную обшивку. Поскольку радиатор не отвечал требованиям эффективного охлаждения масла, его заменили на более мощный. Заодно переделали коллектор выпускной системы мотора. В таком виде И-14 30 сентября 1933 г. вновь отправили на аэродром, где летчикииспытатели ОЭЛИД ЦАГИ обнаружили, что механизм уборки шасси опять не работает, поэтому снятие летных характеристик происходило с выпущенными стойками. Особого смысла такая работа не имела, а потому 30 октября машину опять вернули в ЗОКдлн нового этапа доработок. Лишь 14 ноября старания производственников увенчались успехом и шасси стало работать без замечаний. В ходе летного эксперимента это подтвердили испытатели, и 16 ноября 1933 г. самолет передали в ОЭЛИД по акту №32. Эту дату следует считать началом полномасштабных испытаний И -14 (12037).</w:t>
      </w:r>
    </w:p>
    <w:p w14:paraId="49E880F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77A82953" w14:textId="77777777" w:rsidR="009A7962"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9463DE8" w14:textId="77777777" w:rsidR="009A7962" w:rsidRPr="00C33834" w:rsidRDefault="009A7962" w:rsidP="00C33834">
      <w:pPr>
        <w:spacing w:after="0" w:line="240" w:lineRule="auto"/>
        <w:jc w:val="both"/>
        <w:rPr>
          <w:rFonts w:ascii="Times New Roman" w:hAnsi="Times New Roman"/>
          <w:iCs/>
          <w:color w:val="000000" w:themeColor="text1"/>
          <w:sz w:val="16"/>
          <w:szCs w:val="16"/>
        </w:rPr>
      </w:pPr>
    </w:p>
    <w:p w14:paraId="66C19E5B" w14:textId="77777777" w:rsidR="009A7962" w:rsidRPr="00C33834" w:rsidRDefault="009A7962" w:rsidP="00C33834">
      <w:pPr>
        <w:pStyle w:val="rtejustify"/>
        <w:spacing w:before="0" w:after="0"/>
        <w:rPr>
          <w:color w:val="000000" w:themeColor="text1"/>
          <w:sz w:val="16"/>
          <w:szCs w:val="16"/>
        </w:rPr>
      </w:pPr>
      <w:r w:rsidRPr="00C33834">
        <w:rPr>
          <w:color w:val="000000" w:themeColor="text1"/>
          <w:sz w:val="16"/>
          <w:szCs w:val="16"/>
        </w:rPr>
        <w:t xml:space="preserve">26 мая 1933 г. член коллегии НК РКИ СССР и начальник Военно-морской инспекции Н. В. Куйбышев представил в СТО СССР докладную записку </w:t>
      </w:r>
      <w:r w:rsidRPr="00C33834">
        <w:rPr>
          <w:rStyle w:val="af0"/>
          <w:bCs/>
          <w:i w:val="0"/>
          <w:color w:val="000000" w:themeColor="text1"/>
          <w:sz w:val="16"/>
          <w:szCs w:val="16"/>
        </w:rPr>
        <w:t>о производстве крупнокалиберных снарядов</w:t>
      </w:r>
      <w:r w:rsidRPr="00C33834">
        <w:rPr>
          <w:color w:val="000000" w:themeColor="text1"/>
          <w:sz w:val="16"/>
          <w:szCs w:val="16"/>
        </w:rPr>
        <w:t xml:space="preserve">. В ней говорилось, что в 1933 г. к техническим условиям для производства крупнокалиберных снарядов предъявлены повышенные </w:t>
      </w:r>
      <w:r w:rsidRPr="00C33834">
        <w:rPr>
          <w:color w:val="000000" w:themeColor="text1"/>
          <w:sz w:val="16"/>
          <w:szCs w:val="16"/>
        </w:rPr>
        <w:lastRenderedPageBreak/>
        <w:t>требования, но оборудование осталось старым и изношенным. За исключением завода «Большевик» на всех остальных заводах вовсе не было специалистов, металлургов по производству сталей для снарядных корпусов. Кадры старых рабочих потеряны. В результате заводы не получили требуемую для крупнокалиберных снарядов высококачественную сталь. В январе 1933 г. было создано бюро при ВОАО для восстановления потерянных навыков по производству крупнокалиберных снарядов. Бюро развернуло работы и разработало инструкции по всем стадиям металлургии производства крупнокалиберных снарядов, поставило исследовательскую работу по технике производства, но имело слабую связь с заводами. Н. В. Куйбышев констатировал, что на начало 1933 г. производство крупнокалиберных снарядов по новым техническим условиям не освоено и не обеспечено в потребном количестве оборудованием для валового производства и соответствующей металлургической базой. Чтобы избежать полного срыва обеспечения крупнокалиберной артиллерии выстрелами он предлагал разработать переходные технические условия от старых норм к новым, ускорить строительство Челябинского снарядного завода, как основной базы по крупнокалиберным снарядам, ускорить освоение капитальных вложений в размере 40 млн. руб., разместить 1100 станков и обеспечить производство металлом в 35 тыс. т. (ГАРФ. Ф. Р</w:t>
      </w:r>
      <w:r w:rsidRPr="00C33834">
        <w:rPr>
          <w:color w:val="000000" w:themeColor="text1"/>
          <w:sz w:val="16"/>
          <w:szCs w:val="16"/>
        </w:rPr>
        <w:noBreakHyphen/>
        <w:t>8418. Оп. 28. Д. 1. Л. 155</w:t>
      </w:r>
      <w:r w:rsidRPr="00C33834">
        <w:rPr>
          <w:color w:val="000000" w:themeColor="text1"/>
          <w:sz w:val="16"/>
          <w:szCs w:val="16"/>
        </w:rPr>
        <w:noBreakHyphen/>
        <w:t>158) (15270).</w:t>
      </w:r>
    </w:p>
    <w:p w14:paraId="2CE5084A" w14:textId="77777777" w:rsidR="009A7962" w:rsidRPr="00C33834" w:rsidRDefault="009A7962" w:rsidP="00C33834">
      <w:pPr>
        <w:pStyle w:val="rtejustify"/>
        <w:spacing w:before="0" w:after="0"/>
        <w:rPr>
          <w:rStyle w:val="af0"/>
          <w:bCs/>
          <w:i w:val="0"/>
          <w:color w:val="000000" w:themeColor="text1"/>
          <w:sz w:val="16"/>
          <w:szCs w:val="16"/>
        </w:rPr>
      </w:pPr>
    </w:p>
    <w:p w14:paraId="697BC2B1" w14:textId="77777777" w:rsidR="009A7962" w:rsidRPr="00C33834" w:rsidRDefault="009A7962" w:rsidP="00C33834">
      <w:pPr>
        <w:pStyle w:val="rtejustify"/>
        <w:spacing w:before="0" w:after="0"/>
        <w:rPr>
          <w:color w:val="000000" w:themeColor="text1"/>
          <w:sz w:val="16"/>
          <w:szCs w:val="16"/>
        </w:rPr>
      </w:pPr>
      <w:r w:rsidRPr="00C33834">
        <w:rPr>
          <w:rStyle w:val="af0"/>
          <w:bCs/>
          <w:i w:val="0"/>
          <w:color w:val="000000" w:themeColor="text1"/>
          <w:sz w:val="16"/>
          <w:szCs w:val="16"/>
        </w:rPr>
        <w:t>26 мая</w:t>
      </w:r>
      <w:r w:rsidRPr="00C33834">
        <w:rPr>
          <w:color w:val="000000" w:themeColor="text1"/>
          <w:sz w:val="16"/>
          <w:szCs w:val="16"/>
        </w:rPr>
        <w:t xml:space="preserve"> 1933 вышел приказ РВСС № 11. 1. Об артиллерийском вооружении: а) итоги выполнения системы вооружения в первой пятилетке; б) основные установки для работы по системе вооружения во вторую пятилетку; в) состояние вооружения; г) использование и применение артвооружения. (Ефимов, Егоров, Роговский). 2. О конструктивных изменениях в производстве 152</w:t>
      </w:r>
      <w:r w:rsidRPr="00C33834">
        <w:rPr>
          <w:color w:val="000000" w:themeColor="text1"/>
          <w:sz w:val="16"/>
          <w:szCs w:val="16"/>
        </w:rPr>
        <w:noBreakHyphen/>
        <w:t>мм мортиры 1931 г. и о 45</w:t>
      </w:r>
      <w:r w:rsidRPr="00C33834">
        <w:rPr>
          <w:color w:val="000000" w:themeColor="text1"/>
          <w:sz w:val="16"/>
          <w:szCs w:val="16"/>
        </w:rPr>
        <w:noBreakHyphen/>
        <w:t>мм танковой пушке. (Ефимов). (РГВА. Ф. 4. Оп. 18. Д. 23. Л. 177</w:t>
      </w:r>
      <w:r w:rsidRPr="00C33834">
        <w:rPr>
          <w:color w:val="000000" w:themeColor="text1"/>
          <w:sz w:val="16"/>
          <w:szCs w:val="16"/>
        </w:rPr>
        <w:noBreakHyphen/>
        <w:t>178) (15461).</w:t>
      </w:r>
    </w:p>
    <w:p w14:paraId="4BE8E8E6" w14:textId="77777777" w:rsidR="009A7962" w:rsidRPr="00C33834" w:rsidRDefault="009A7962" w:rsidP="00C33834">
      <w:pPr>
        <w:pStyle w:val="rtejustify"/>
        <w:spacing w:before="0" w:after="0"/>
        <w:rPr>
          <w:color w:val="000000" w:themeColor="text1"/>
          <w:sz w:val="16"/>
          <w:szCs w:val="16"/>
        </w:rPr>
      </w:pPr>
    </w:p>
    <w:p w14:paraId="413BAF46"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29BFE39A"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18B5640"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мая 1933 была запрещена компартия Австрии (3186).</w:t>
      </w:r>
    </w:p>
    <w:p w14:paraId="19789DC9"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4349D4E7"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2797431"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86B4037" w14:textId="77777777" w:rsidR="008524B2" w:rsidRPr="00C33834" w:rsidRDefault="008524B2"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мая 1933 закончились гос. испытания опытного самолета ДИ4 с мотором Кертис Конкверор, которые проходили с 5 мая 1933 (6820).</w:t>
      </w:r>
    </w:p>
    <w:p w14:paraId="158B2B3E" w14:textId="77777777" w:rsidR="008524B2" w:rsidRPr="00C33834" w:rsidRDefault="008524B2"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1706A8E8" w14:textId="77777777" w:rsidR="008524B2" w:rsidRPr="00C33834" w:rsidRDefault="008524B2"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ведущий самолет – Холодов</w:t>
      </w:r>
    </w:p>
    <w:p w14:paraId="758A8A22" w14:textId="77777777" w:rsidR="008524B2" w:rsidRPr="00C33834" w:rsidRDefault="008524B2"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 Кокинаки</w:t>
      </w:r>
    </w:p>
    <w:p w14:paraId="5EE2253C" w14:textId="77777777" w:rsidR="008524B2" w:rsidRPr="00C33834" w:rsidRDefault="008524B2"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24BB602A" w14:textId="77777777" w:rsidR="008524B2" w:rsidRPr="00C33834" w:rsidRDefault="008524B2"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летных данных с целью выяснения вопроса о целесообразности серийной постройки самолета.</w:t>
      </w:r>
    </w:p>
    <w:p w14:paraId="4364FE47" w14:textId="77777777" w:rsidR="008524B2" w:rsidRPr="00C33834" w:rsidRDefault="008524B2"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147BCD87" w14:textId="77777777" w:rsidR="008524B2" w:rsidRPr="00C33834" w:rsidRDefault="008524B2"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ДИ4 – Кертис Конкверор не может быть допущен к серийной постройке как не отвечающий требованиям к современным двухместным истребителям.</w:t>
      </w:r>
    </w:p>
    <w:p w14:paraId="6C885E73" w14:textId="77777777" w:rsidR="008524B2" w:rsidRPr="00C33834" w:rsidRDefault="008524B2"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p w14:paraId="469C5AA3" w14:textId="77777777" w:rsidR="008524B2" w:rsidRPr="00C33834" w:rsidRDefault="008524B2"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мая 1933 года – самолет поступил с завода № 39 для прохождения гос. испытаний.</w:t>
      </w:r>
    </w:p>
    <w:p w14:paraId="774DF89A" w14:textId="77777777" w:rsidR="008524B2" w:rsidRPr="00C33834" w:rsidRDefault="008524B2"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мая 1933 года – перелет в Щелково.</w:t>
      </w:r>
    </w:p>
    <w:p w14:paraId="0547208A" w14:textId="77777777" w:rsidR="008524B2" w:rsidRPr="00C33834" w:rsidRDefault="008524B2"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мая 1933 года – фактическое начало испытаний.</w:t>
      </w:r>
    </w:p>
    <w:p w14:paraId="14B7F386" w14:textId="77777777" w:rsidR="008524B2" w:rsidRPr="00C33834" w:rsidRDefault="008524B2"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мая 1933 года – окончание испытаний</w:t>
      </w:r>
    </w:p>
    <w:p w14:paraId="700627A8" w14:textId="77777777" w:rsidR="008524B2" w:rsidRPr="00C33834" w:rsidRDefault="008524B2"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Фактически затрачено на испытание 15 календарных дней, испытание проведено в 7 летных дней. Налетано 13 час. 25 мин. (6820).</w:t>
      </w:r>
    </w:p>
    <w:p w14:paraId="372C38EA" w14:textId="77777777" w:rsidR="008524B2" w:rsidRPr="00C33834" w:rsidRDefault="008524B2"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903D9A"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мая 1933 состоялся первый полет И-14 (АНТ-31) с Бристоль-Марк (2310,143). Заводские испытания шли долго и на гос. испытания передали только 2 января 1934 (80,148) Небольшая серия. Первый серийный истребитель с убирающимся шасси и летал К.К.Попов (109,237).</w:t>
      </w:r>
    </w:p>
    <w:p w14:paraId="5698198E"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в мае 1933 И-14 П.О.С. был только построен (а не полет) в ЗОК (92,464). Н.М.Харламов якобы предложил отметить в ресторанчике на Динамо. А.Н.Т. - в Национале. П.О.С. - исчез тихонечко. Поехали в Националь (84,26).</w:t>
      </w:r>
    </w:p>
    <w:p w14:paraId="241949E9"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третьим данным И-14 (АНТ-31) строили с мая 1933 по декабрь 1933 (80,128).</w:t>
      </w:r>
    </w:p>
    <w:p w14:paraId="793523A4"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первый полет выполнил И.Ф.Козлов, но машину возвратили на доработку (2072,68).</w:t>
      </w:r>
    </w:p>
    <w:p w14:paraId="06A54D08"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0E88E88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мая 1933 К.Попов выполнил первый полет на И-14 (1454,24).</w:t>
      </w:r>
    </w:p>
    <w:p w14:paraId="354D347F"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6DE3C17A"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мая 1933 г. летчик К.А.Попов поднял И-14 в воз</w:t>
      </w:r>
      <w:r w:rsidRPr="00C33834">
        <w:rPr>
          <w:rFonts w:ascii="Times New Roman" w:hAnsi="Times New Roman"/>
          <w:color w:val="000000" w:themeColor="text1"/>
          <w:sz w:val="16"/>
          <w:szCs w:val="16"/>
        </w:rPr>
        <w:softHyphen/>
        <w:t>дух. Результаты первых полетов оказались обескуражи</w:t>
      </w:r>
      <w:r w:rsidRPr="00C33834">
        <w:rPr>
          <w:rFonts w:ascii="Times New Roman" w:hAnsi="Times New Roman"/>
          <w:color w:val="000000" w:themeColor="text1"/>
          <w:sz w:val="16"/>
          <w:szCs w:val="16"/>
        </w:rPr>
        <w:softHyphen/>
        <w:t>вающими. Наблюдался перегрев мотора, детонация, шасси убирались плохо, управление было тугим, а само</w:t>
      </w:r>
      <w:r w:rsidRPr="00C33834">
        <w:rPr>
          <w:rFonts w:ascii="Times New Roman" w:hAnsi="Times New Roman"/>
          <w:color w:val="000000" w:themeColor="text1"/>
          <w:sz w:val="16"/>
          <w:szCs w:val="16"/>
        </w:rPr>
        <w:softHyphen/>
        <w:t>лет неустойчивым. Выявился ряд других недостатков в конструкции. В итоге 17 июля 1933 г. заводские испыта</w:t>
      </w:r>
      <w:r w:rsidRPr="00C33834">
        <w:rPr>
          <w:rFonts w:ascii="Times New Roman" w:hAnsi="Times New Roman"/>
          <w:color w:val="000000" w:themeColor="text1"/>
          <w:sz w:val="16"/>
          <w:szCs w:val="16"/>
        </w:rPr>
        <w:softHyphen/>
        <w:t>ния прервали и самолет возвратили в ЦАГИ для дорабо</w:t>
      </w:r>
      <w:r w:rsidRPr="00C33834">
        <w:rPr>
          <w:rFonts w:ascii="Times New Roman" w:hAnsi="Times New Roman"/>
          <w:color w:val="000000" w:themeColor="text1"/>
          <w:sz w:val="16"/>
          <w:szCs w:val="16"/>
        </w:rPr>
        <w:softHyphen/>
        <w:t>ток. Полеты возобновились 30 сентября 1933 г., но продолжались они недолго: 25 октября 1933 г. И-14 вновь вернули в ЦАГИ для устранения выявленных не</w:t>
      </w:r>
      <w:r w:rsidRPr="00C33834">
        <w:rPr>
          <w:rFonts w:ascii="Times New Roman" w:hAnsi="Times New Roman"/>
          <w:color w:val="000000" w:themeColor="text1"/>
          <w:sz w:val="16"/>
          <w:szCs w:val="16"/>
        </w:rPr>
        <w:softHyphen/>
        <w:t>достатков (10667).</w:t>
      </w:r>
    </w:p>
    <w:p w14:paraId="55826140"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05D9BEE0"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мая 1933 г. состоялся первый полет головного И-14, который ранним утром 26 мая поступил на Центральный аэродром, где размещался Отдел экспериментов, летных испытаний и доводок (ОЭЛИД) ЦАГИ, а уже вечером следующего дня состоялся первый полет без уборки шасси. Летчик К.Попов сделал два круга над Центральным аэродромом.</w:t>
      </w:r>
    </w:p>
    <w:p w14:paraId="0D7C5D10"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июня 1933 г. первая фаза испытаний завершилась и 17 июля машина была передана обратно в ЦАГИ, поскольку в акте было записано, что самолет имеет ряд конструктивных недостатков.</w:t>
      </w:r>
    </w:p>
    <w:p w14:paraId="770ADF70"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цехе ЗОК на головном самолете произвели регулировку убирающегося шасси, заменили консоли с полотняной обшивкой на новые, умевшие метеллическую гофрированную обшивку. Поскольку радиатор не отвечал требованиям эффективного охлаждения масла, его заменили на более мощный. Заодно переделали коллектор выпускной системы мотора. В таком виде И-14 30 сентября 1933 г. вновь отправили на аэродром, где летчикииспытатели ОЭЛИД ЦАГИ обнаружили, что механизм уборки шасси опять не работает, поэтому снятие летных характеристик происходило с выпущенными стойками. Особого смысла такая работа не имела, а потому 30 октября машину опять вернули в ЗОКдлн нового этапа доработок. Лишь 14 ноября старания производственников увенчались успехом и шасси стало работать без замечаний. В ходе летного эксперимента это подтвердили испытатели, и 16 ноября 1933 г. самолет передали в ОЭЛИД по акту №32. Эту дату следует считать началом полномасштабных испытаний И -14 (12037).</w:t>
      </w:r>
    </w:p>
    <w:p w14:paraId="772AC77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3F332321" w14:textId="77777777" w:rsidR="00E81C2C" w:rsidRPr="00C33834" w:rsidRDefault="00E81C2C"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27 мая</w:t>
      </w:r>
      <w:r w:rsidRPr="00C33834">
        <w:rPr>
          <w:rFonts w:ascii="Times New Roman" w:hAnsi="Times New Roman"/>
          <w:color w:val="000000" w:themeColor="text1"/>
          <w:sz w:val="16"/>
          <w:szCs w:val="16"/>
        </w:rPr>
        <w:t xml:space="preserve"> в 1933 году первый полет истребителя </w:t>
      </w:r>
      <w:hyperlink r:id="rId169" w:tgtFrame="_blank" w:history="1">
        <w:r w:rsidRPr="00C33834">
          <w:rPr>
            <w:rFonts w:ascii="Times New Roman" w:hAnsi="Times New Roman"/>
            <w:color w:val="000000" w:themeColor="text1"/>
            <w:sz w:val="16"/>
            <w:szCs w:val="16"/>
          </w:rPr>
          <w:t xml:space="preserve">«АНТ-31» («И-14») </w:t>
        </w:r>
      </w:hyperlink>
      <w:r w:rsidRPr="00C33834">
        <w:rPr>
          <w:rFonts w:ascii="Times New Roman" w:hAnsi="Times New Roman"/>
          <w:color w:val="000000" w:themeColor="text1"/>
          <w:sz w:val="16"/>
          <w:szCs w:val="16"/>
        </w:rPr>
        <w:t>с мотором "Бристоль-Меркур" VS2 мощностью 500 л. с., пилот К.К.Попов. Первый советский цельнометаллический самолет-истребитель со свободнонесущим монопланным крылом. Впервые на истребителе было применено убираемое в полете шасси, закрываемый фонарь, отапливаемая кабина Самолет состоял на вооружении ВВС. Было построено 18 самолетов (14904).</w:t>
      </w:r>
    </w:p>
    <w:p w14:paraId="27D78F6B" w14:textId="77777777" w:rsidR="00E81C2C" w:rsidRPr="00C33834" w:rsidRDefault="00E81C2C" w:rsidP="00C33834">
      <w:pPr>
        <w:spacing w:after="0" w:line="240" w:lineRule="auto"/>
        <w:jc w:val="both"/>
        <w:rPr>
          <w:rFonts w:ascii="Times New Roman" w:hAnsi="Times New Roman"/>
          <w:color w:val="000000" w:themeColor="text1"/>
          <w:sz w:val="16"/>
          <w:szCs w:val="16"/>
        </w:rPr>
      </w:pPr>
    </w:p>
    <w:p w14:paraId="13A5BAF7" w14:textId="77777777" w:rsidR="00E81C2C" w:rsidRPr="00C33834" w:rsidRDefault="00E81C2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мая 1933 лётчик-испытатель К.К. По</w:t>
      </w:r>
      <w:r w:rsidRPr="00C33834">
        <w:rPr>
          <w:rFonts w:ascii="Times New Roman" w:hAnsi="Times New Roman"/>
          <w:color w:val="000000" w:themeColor="text1"/>
          <w:sz w:val="16"/>
          <w:szCs w:val="16"/>
        </w:rPr>
        <w:softHyphen/>
        <w:t xml:space="preserve">пов совершил первый вылет на опытном самолёте И-14 (АНТ-31, заказ 7057) с мотором </w:t>
      </w:r>
      <w:r w:rsidRPr="00C33834">
        <w:rPr>
          <w:rFonts w:ascii="Times New Roman" w:hAnsi="Times New Roman"/>
          <w:color w:val="000000" w:themeColor="text1"/>
          <w:sz w:val="16"/>
          <w:szCs w:val="16"/>
          <w:lang w:val="en-US"/>
        </w:rPr>
        <w:t>Bristol</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Mer</w:t>
      </w:r>
      <w:r w:rsidRPr="00C33834">
        <w:rPr>
          <w:rFonts w:ascii="Times New Roman" w:hAnsi="Times New Roman"/>
          <w:color w:val="000000" w:themeColor="text1"/>
          <w:sz w:val="16"/>
          <w:szCs w:val="16"/>
        </w:rPr>
        <w:softHyphen/>
      </w:r>
      <w:r w:rsidRPr="00C33834">
        <w:rPr>
          <w:rFonts w:ascii="Times New Roman" w:hAnsi="Times New Roman"/>
          <w:color w:val="000000" w:themeColor="text1"/>
          <w:sz w:val="16"/>
          <w:szCs w:val="16"/>
          <w:lang w:val="en-US"/>
        </w:rPr>
        <w:t>cury</w:t>
      </w:r>
      <w:r w:rsidRPr="00C33834">
        <w:rPr>
          <w:rFonts w:ascii="Times New Roman" w:hAnsi="Times New Roman"/>
          <w:color w:val="000000" w:themeColor="text1"/>
          <w:sz w:val="16"/>
          <w:szCs w:val="16"/>
        </w:rPr>
        <w:t xml:space="preserve"> IV </w:t>
      </w:r>
      <w:r w:rsidRPr="00C33834">
        <w:rPr>
          <w:rFonts w:ascii="Times New Roman" w:hAnsi="Times New Roman"/>
          <w:color w:val="000000" w:themeColor="text1"/>
          <w:sz w:val="16"/>
          <w:szCs w:val="16"/>
          <w:lang w:val="en-US"/>
        </w:rPr>
        <w:t>S</w:t>
      </w:r>
      <w:r w:rsidRPr="00C33834">
        <w:rPr>
          <w:rFonts w:ascii="Times New Roman" w:hAnsi="Times New Roman"/>
          <w:color w:val="000000" w:themeColor="text1"/>
          <w:sz w:val="16"/>
          <w:szCs w:val="16"/>
        </w:rPr>
        <w:t>2 (15823).</w:t>
      </w:r>
    </w:p>
    <w:p w14:paraId="580246F5" w14:textId="77777777" w:rsidR="00E81C2C" w:rsidRPr="00C33834" w:rsidRDefault="00E81C2C" w:rsidP="00C33834">
      <w:pPr>
        <w:spacing w:after="0" w:line="240" w:lineRule="auto"/>
        <w:jc w:val="both"/>
        <w:rPr>
          <w:rFonts w:ascii="Times New Roman" w:hAnsi="Times New Roman"/>
          <w:color w:val="000000" w:themeColor="text1"/>
          <w:sz w:val="16"/>
          <w:szCs w:val="16"/>
        </w:rPr>
      </w:pPr>
    </w:p>
    <w:p w14:paraId="6A690BCE"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мая 1933 Пом. Нач. ГУАП Алмазов писал письмо Нач. ЦАГИ Харламову, Нач. ЦИАМ Побережскому и Дир. завода 39 Марголину:</w:t>
      </w:r>
    </w:p>
    <w:p w14:paraId="5AF6BFC4"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опытного самолето- и моторостроения, принятый комиссией РВС СССР под пред. Егорова, подлежит выполнению в 1933 не дожидаясь утверждения его РВС ССС, в соответствии с чем предлагаю произвести перестройку ваших работ." (2286).</w:t>
      </w:r>
    </w:p>
    <w:p w14:paraId="4727AB8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57ED28E5"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мая 1933 года врид начальника ГУГВФ Анвельт писал письмо № 11сс в СТО Базилевичу</w:t>
      </w:r>
    </w:p>
    <w:p w14:paraId="4046CFE1"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проекту постановления СТО об опытном дизелестроении имею следующие замечания:</w:t>
      </w:r>
    </w:p>
    <w:p w14:paraId="77A1B9C9"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 1. – Постройка Н3 (Майер) не была в полной мере обеспечена производственной базой в системе ГУГВФ. Гольцман просил письмом от 11 августа 1932 года СТО вынести постановление об обеспечении постройки некоторых деталей дизеля в системе Наркомтяжмаша. По этому ходатайству, однако, не было принято решения. Детали изготовлялись а порядке договорных отношений, почему постройка дизеля и затянулась.</w:t>
      </w:r>
    </w:p>
    <w:p w14:paraId="12614610"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 4. – Дизель Н2 проектируется Мартенсом не работающим в ГУГВФ и строится Ленинградским дизельным институтом не находящимся в системе Аэрофлота; поэтому Гл. управление ГУГВФ не может принять на себя ответственности за сроки изготовления этого дизеля.</w:t>
      </w:r>
    </w:p>
    <w:p w14:paraId="38C998F9"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 7. – Очевидно второй обзац должен быть сформулирован таким образом: «Вопрос о внедрении в производство опытных дизелей в системе Наркомтяжпрома должен разрешаться в каждом отдельном случае зам. НКТП Барановым».</w:t>
      </w:r>
    </w:p>
    <w:p w14:paraId="28FE5509"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 п. 8. – Концентрация проектирования и постройки опытных конструкций исключетельно в одном предприятии является неправильной. Так, на опыте постройки самолетов и бензиновых моторов мы убедились, что кроме ЦАГИ и ЦИАМа ряд организаций дал новые конструкции, являющимися большим достижением в авиатехнике (самолет из нержавеющей стали на электросварке ГУГВФ, транспортный самолет с убирающимися шасси Харьковского авиационного института, моторы завода № 29 и т.д.). Особенно вредно было бы собрать в одном институте всех конструкторов по дизелям, когда каждая конструкторская группа добивается разрешения </w:t>
      </w:r>
      <w:r w:rsidRPr="00C33834">
        <w:rPr>
          <w:rFonts w:ascii="Times New Roman" w:hAnsi="Times New Roman"/>
          <w:color w:val="000000" w:themeColor="text1"/>
          <w:sz w:val="16"/>
          <w:szCs w:val="16"/>
        </w:rPr>
        <w:lastRenderedPageBreak/>
        <w:t>проблемы дизеля своим особым методом. По крайней мере в данный момент создание единого Дизельного института является преждевременным и этот пункт необходимо из постановления исключить.</w:t>
      </w:r>
    </w:p>
    <w:p w14:paraId="4011062C"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 10. – Вместо «ГУГВФ (Ангелов)» ………………. следует написать «ГУГВФ (Майер) ……………..».</w:t>
      </w:r>
    </w:p>
    <w:p w14:paraId="68269FE5"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 12. – п 12 целесообразно изложить в следующей редакции: «Зам. НКТП Баранову не позднее ………………… представить в СТО план финансирования работ по дизелестроению в системе Наркомтяжпрома, а начальнику ГУГВФ Гольцману – в системе Аэрофлота» (4223, 31).</w:t>
      </w:r>
    </w:p>
    <w:p w14:paraId="2CD11332"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6BDA3A6E"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мая 1933 датирован чертеж планера-парителя С.П.К. тип 7 (105,77).</w:t>
      </w:r>
    </w:p>
    <w:p w14:paraId="2E0082E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64AB866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мая 1933 был завершен предварительный проект планера-парителя "тип-7" (см. Приложение 1). Планировалась установка мотора (АМЖ, ф. 5300, № 11) (10676).</w:t>
      </w:r>
    </w:p>
    <w:p w14:paraId="23500220"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4F6E3DE5"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мая 1933 г. С.П.К. подготовил еще один проект СК-7. Майский вариант имел вполне конкретные "планерлетные" черты: предусматривалась установка маломощного мотора — 38 л.с., с толкающим винтом. Похожими январский и майский варианты делает двухбалочная схема, однако в майском варианте предлагаются два фюзеляжа, для которых хвостовые балки служат силовыми элементами. Конструктивные характеристики майского и январского вариантов существенно различались. С.П. Королев принял для майского варианта не только размах, но и удлинение крыла, как у "Коктебеля". Видимо, он хотел воспользоваться опробованной конструкцией крыла для нового варианта планера.</w:t>
      </w:r>
    </w:p>
    <w:p w14:paraId="534963D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Конструктивные данные планера "типа 7" (майский вариант):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70"/>
        <w:gridCol w:w="990"/>
        <w:gridCol w:w="2160"/>
        <w:gridCol w:w="990"/>
      </w:tblGrid>
      <w:tr w:rsidR="00F26F01" w:rsidRPr="00C33834" w14:paraId="4E748577" w14:textId="77777777">
        <w:tc>
          <w:tcPr>
            <w:tcW w:w="2070" w:type="dxa"/>
            <w:tcBorders>
              <w:top w:val="single" w:sz="12" w:space="0" w:color="auto"/>
              <w:bottom w:val="single" w:sz="12" w:space="0" w:color="auto"/>
            </w:tcBorders>
          </w:tcPr>
          <w:p w14:paraId="41880D4A"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Максимальное качество</w:t>
            </w:r>
          </w:p>
          <w:p w14:paraId="1B72B61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Скорость, м/с </w:t>
            </w:r>
          </w:p>
          <w:p w14:paraId="1AC03A8B"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снижения </w:t>
            </w:r>
          </w:p>
          <w:p w14:paraId="5B92A41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полета </w:t>
            </w:r>
          </w:p>
          <w:p w14:paraId="23ADC5AC"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посадочная</w:t>
            </w:r>
          </w:p>
        </w:tc>
        <w:tc>
          <w:tcPr>
            <w:tcW w:w="990" w:type="dxa"/>
            <w:tcBorders>
              <w:top w:val="single" w:sz="12" w:space="0" w:color="auto"/>
              <w:bottom w:val="single" w:sz="12" w:space="0" w:color="auto"/>
            </w:tcBorders>
          </w:tcPr>
          <w:p w14:paraId="5C851D9E"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p w14:paraId="79CE10D5"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7168C4CB"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0,66 </w:t>
            </w:r>
          </w:p>
          <w:p w14:paraId="5B52A50B"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17 </w:t>
            </w:r>
          </w:p>
          <w:p w14:paraId="0C92763C"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c>
          <w:tcPr>
            <w:tcW w:w="2160" w:type="dxa"/>
            <w:tcBorders>
              <w:top w:val="single" w:sz="12" w:space="0" w:color="auto"/>
              <w:bottom w:val="single" w:sz="12" w:space="0" w:color="auto"/>
            </w:tcBorders>
          </w:tcPr>
          <w:p w14:paraId="69CE8A1A"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Вес в полете, кг </w:t>
            </w:r>
          </w:p>
          <w:p w14:paraId="3394EB0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Нагрузка на крыло, кг/м</w:t>
            </w:r>
            <w:r w:rsidRPr="00C33834">
              <w:rPr>
                <w:rFonts w:ascii="Times New Roman" w:hAnsi="Times New Roman"/>
                <w:color w:val="000000" w:themeColor="text1"/>
                <w:sz w:val="16"/>
                <w:szCs w:val="16"/>
                <w:vertAlign w:val="superscript"/>
              </w:rPr>
              <w:t>2</w:t>
            </w:r>
          </w:p>
          <w:p w14:paraId="73092E60"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Удлинение</w:t>
            </w:r>
          </w:p>
        </w:tc>
        <w:tc>
          <w:tcPr>
            <w:tcW w:w="990" w:type="dxa"/>
            <w:tcBorders>
              <w:top w:val="single" w:sz="12" w:space="0" w:color="auto"/>
              <w:bottom w:val="single" w:sz="12" w:space="0" w:color="auto"/>
            </w:tcBorders>
          </w:tcPr>
          <w:p w14:paraId="424519FA"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340</w:t>
            </w:r>
          </w:p>
          <w:p w14:paraId="70026475"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p w14:paraId="26D4D823"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w:t>
            </w:r>
          </w:p>
        </w:tc>
      </w:tr>
    </w:tbl>
    <w:p w14:paraId="6730FC65"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Конструктивные данные планера "типа 7" с мотором "Черуб-IIIА":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10"/>
        <w:gridCol w:w="990"/>
      </w:tblGrid>
      <w:tr w:rsidR="00F26F01" w:rsidRPr="00C33834" w14:paraId="366503A7" w14:textId="77777777">
        <w:tc>
          <w:tcPr>
            <w:tcW w:w="1710" w:type="dxa"/>
            <w:tcBorders>
              <w:top w:val="single" w:sz="12" w:space="0" w:color="auto"/>
              <w:bottom w:val="single" w:sz="12" w:space="0" w:color="auto"/>
            </w:tcBorders>
          </w:tcPr>
          <w:p w14:paraId="5D4FAA8C"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Скорость, км/ч </w:t>
            </w:r>
          </w:p>
          <w:p w14:paraId="544EA05D"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полета </w:t>
            </w:r>
          </w:p>
          <w:p w14:paraId="676AF204"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посадки</w:t>
            </w:r>
            <w:r w:rsidRPr="00C33834">
              <w:rPr>
                <w:rFonts w:ascii="Times New Roman" w:hAnsi="Times New Roman"/>
                <w:color w:val="000000" w:themeColor="text1"/>
                <w:sz w:val="16"/>
                <w:szCs w:val="16"/>
              </w:rPr>
              <w:br/>
              <w:t>Потолок, м</w:t>
            </w:r>
          </w:p>
        </w:tc>
        <w:tc>
          <w:tcPr>
            <w:tcW w:w="990" w:type="dxa"/>
            <w:tcBorders>
              <w:top w:val="single" w:sz="12" w:space="0" w:color="auto"/>
              <w:bottom w:val="single" w:sz="12" w:space="0" w:color="auto"/>
            </w:tcBorders>
          </w:tcPr>
          <w:p w14:paraId="0CD36251"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246F6F41"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120 </w:t>
            </w:r>
          </w:p>
          <w:p w14:paraId="620BE26F"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50 </w:t>
            </w:r>
          </w:p>
          <w:p w14:paraId="7CFAA3A6"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 (10676)</w:t>
            </w:r>
          </w:p>
        </w:tc>
      </w:tr>
    </w:tbl>
    <w:p w14:paraId="5C49EA51"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1AAF1EAA" w14:textId="77777777" w:rsidR="000B1B08"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B380F30" w14:textId="77777777" w:rsidR="000B1B08" w:rsidRPr="00C33834" w:rsidRDefault="000B1B08" w:rsidP="00C33834">
      <w:pPr>
        <w:spacing w:after="0" w:line="240" w:lineRule="auto"/>
        <w:jc w:val="both"/>
        <w:rPr>
          <w:rFonts w:ascii="Times New Roman" w:hAnsi="Times New Roman"/>
          <w:iCs/>
          <w:color w:val="000000" w:themeColor="text1"/>
          <w:sz w:val="16"/>
          <w:szCs w:val="16"/>
        </w:rPr>
      </w:pPr>
    </w:p>
    <w:p w14:paraId="40AB7D74" w14:textId="77777777" w:rsidR="000B1B08" w:rsidRPr="00C33834" w:rsidRDefault="000B1B08" w:rsidP="00C33834">
      <w:pPr>
        <w:pStyle w:val="rtejustify"/>
        <w:spacing w:before="0" w:after="0"/>
        <w:rPr>
          <w:color w:val="000000" w:themeColor="text1"/>
          <w:sz w:val="16"/>
          <w:szCs w:val="16"/>
        </w:rPr>
      </w:pPr>
      <w:r w:rsidRPr="00C33834">
        <w:rPr>
          <w:rStyle w:val="af0"/>
          <w:bCs/>
          <w:i w:val="0"/>
          <w:color w:val="000000" w:themeColor="text1"/>
          <w:sz w:val="16"/>
          <w:szCs w:val="16"/>
        </w:rPr>
        <w:t>27 мая</w:t>
      </w:r>
      <w:r w:rsidRPr="00C33834">
        <w:rPr>
          <w:color w:val="000000" w:themeColor="text1"/>
          <w:sz w:val="16"/>
          <w:szCs w:val="16"/>
        </w:rPr>
        <w:t xml:space="preserve"> 1933. Постановление СТО СССР № 31сс/о «Об оплате Паттрубвзрывтресту продукции по взрывателям без капсюлей». (ГА РФ. Ф. Р</w:t>
      </w:r>
      <w:r w:rsidRPr="00C33834">
        <w:rPr>
          <w:color w:val="000000" w:themeColor="text1"/>
          <w:sz w:val="16"/>
          <w:szCs w:val="16"/>
        </w:rPr>
        <w:noBreakHyphen/>
        <w:t>8418. Оп. 28. Д. 1. Л. 142) (15460).</w:t>
      </w:r>
    </w:p>
    <w:p w14:paraId="0DF89CE4" w14:textId="77777777" w:rsidR="000B1B08" w:rsidRPr="00C33834" w:rsidRDefault="000B1B08" w:rsidP="00C33834">
      <w:pPr>
        <w:pStyle w:val="rtejustify"/>
        <w:spacing w:before="0" w:after="0"/>
        <w:rPr>
          <w:color w:val="000000" w:themeColor="text1"/>
          <w:sz w:val="16"/>
          <w:szCs w:val="16"/>
        </w:rPr>
      </w:pPr>
    </w:p>
    <w:p w14:paraId="15A790D3" w14:textId="77777777" w:rsidR="000B1B08" w:rsidRPr="00C33834" w:rsidRDefault="000B1B08" w:rsidP="00C33834">
      <w:pPr>
        <w:pStyle w:val="rtejustify"/>
        <w:spacing w:before="0" w:after="0"/>
        <w:rPr>
          <w:color w:val="000000" w:themeColor="text1"/>
          <w:sz w:val="16"/>
          <w:szCs w:val="16"/>
        </w:rPr>
      </w:pPr>
      <w:r w:rsidRPr="00C33834">
        <w:rPr>
          <w:rStyle w:val="af0"/>
          <w:bCs/>
          <w:i w:val="0"/>
          <w:color w:val="000000" w:themeColor="text1"/>
          <w:sz w:val="16"/>
          <w:szCs w:val="16"/>
        </w:rPr>
        <w:t>27 мая 1933</w:t>
      </w:r>
      <w:r w:rsidRPr="00C33834">
        <w:rPr>
          <w:color w:val="000000" w:themeColor="text1"/>
          <w:sz w:val="16"/>
          <w:szCs w:val="16"/>
        </w:rPr>
        <w:t xml:space="preserve">. </w:t>
      </w:r>
      <w:hyperlink r:id="rId170" w:history="1">
        <w:r w:rsidRPr="00C33834">
          <w:rPr>
            <w:rStyle w:val="a5"/>
            <w:color w:val="000000" w:themeColor="text1"/>
            <w:sz w:val="16"/>
            <w:szCs w:val="16"/>
          </w:rPr>
          <w:t>Постановление СТО СССР № ЗЗсс/о «По крупнокалиберным снарядам»</w:t>
        </w:r>
      </w:hyperlink>
      <w:r w:rsidRPr="00C33834">
        <w:rPr>
          <w:color w:val="000000" w:themeColor="text1"/>
          <w:sz w:val="16"/>
          <w:szCs w:val="16"/>
        </w:rPr>
        <w:t>. (ГА РФ. Ф. Р</w:t>
      </w:r>
      <w:r w:rsidRPr="00C33834">
        <w:rPr>
          <w:color w:val="000000" w:themeColor="text1"/>
          <w:sz w:val="16"/>
          <w:szCs w:val="16"/>
        </w:rPr>
        <w:noBreakHyphen/>
        <w:t>8418. Оп. 28. Д. 1. Л. 150</w:t>
      </w:r>
      <w:r w:rsidRPr="00C33834">
        <w:rPr>
          <w:color w:val="000000" w:themeColor="text1"/>
          <w:sz w:val="16"/>
          <w:szCs w:val="16"/>
        </w:rPr>
        <w:noBreakHyphen/>
        <w:t>154) (15460).</w:t>
      </w:r>
    </w:p>
    <w:p w14:paraId="586BB8C1" w14:textId="77777777" w:rsidR="000B1B08" w:rsidRPr="00C33834" w:rsidRDefault="000B1B08" w:rsidP="00C33834">
      <w:pPr>
        <w:pStyle w:val="rtejustify"/>
        <w:spacing w:before="0" w:after="0"/>
        <w:rPr>
          <w:color w:val="000000" w:themeColor="text1"/>
          <w:sz w:val="16"/>
          <w:szCs w:val="16"/>
        </w:rPr>
      </w:pPr>
    </w:p>
    <w:p w14:paraId="379BB69B" w14:textId="77777777" w:rsidR="000B1B08" w:rsidRPr="00C33834" w:rsidRDefault="000B1B08" w:rsidP="00C33834">
      <w:pPr>
        <w:spacing w:after="0" w:line="240" w:lineRule="auto"/>
        <w:jc w:val="both"/>
        <w:rPr>
          <w:rStyle w:val="af0"/>
          <w:rFonts w:ascii="Times New Roman" w:hAnsi="Times New Roman"/>
          <w:i w:val="0"/>
          <w:color w:val="000000" w:themeColor="text1"/>
          <w:sz w:val="16"/>
          <w:szCs w:val="16"/>
        </w:rPr>
      </w:pPr>
      <w:r w:rsidRPr="00C33834">
        <w:rPr>
          <w:rStyle w:val="af0"/>
          <w:rFonts w:ascii="Times New Roman" w:hAnsi="Times New Roman"/>
          <w:i w:val="0"/>
          <w:color w:val="000000" w:themeColor="text1"/>
          <w:sz w:val="16"/>
          <w:szCs w:val="16"/>
        </w:rPr>
        <w:t xml:space="preserve">27 мая 1933 г. </w:t>
      </w:r>
      <w:r w:rsidRPr="00C33834">
        <w:rPr>
          <w:rFonts w:ascii="Times New Roman" w:hAnsi="Times New Roman"/>
          <w:color w:val="000000" w:themeColor="text1"/>
          <w:sz w:val="16"/>
          <w:szCs w:val="16"/>
        </w:rPr>
        <w:t>Постановление СТО СССР № ЗЗсс/о «По крупнокалиберным снарядам»</w:t>
      </w:r>
    </w:p>
    <w:p w14:paraId="6BB920C3" w14:textId="77777777" w:rsidR="000B1B08" w:rsidRPr="00C33834" w:rsidRDefault="000B1B08"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Совершенно секретно.</w:t>
      </w:r>
    </w:p>
    <w:p w14:paraId="382ACB7B" w14:textId="77777777" w:rsidR="000B1B08" w:rsidRPr="00C33834" w:rsidRDefault="000B1B08" w:rsidP="00C33834">
      <w:pPr>
        <w:pStyle w:val="rtejustify"/>
        <w:spacing w:before="0" w:after="0"/>
        <w:rPr>
          <w:color w:val="000000" w:themeColor="text1"/>
          <w:sz w:val="16"/>
          <w:szCs w:val="16"/>
        </w:rPr>
      </w:pPr>
      <w:r w:rsidRPr="00C33834">
        <w:rPr>
          <w:color w:val="000000" w:themeColor="text1"/>
          <w:sz w:val="16"/>
          <w:szCs w:val="16"/>
        </w:rPr>
        <w:t>1. Отметить, что после выполнения промышленностью полностью программы 1933 г. по крупнокалиберным снарядам тяжелая крупнокалиберная артиллерия будет обеспечена положенными в запасах НКВМ выстрелами на первый период войны:</w:t>
      </w:r>
    </w:p>
    <w:p w14:paraId="5CCD0439" w14:textId="77777777" w:rsidR="000B1B08" w:rsidRPr="00C33834" w:rsidRDefault="000B1B08" w:rsidP="00C33834">
      <w:pPr>
        <w:pStyle w:val="rtejustify"/>
        <w:spacing w:before="0" w:after="0"/>
        <w:rPr>
          <w:color w:val="000000" w:themeColor="text1"/>
          <w:sz w:val="16"/>
          <w:szCs w:val="16"/>
        </w:rPr>
      </w:pPr>
      <w:r w:rsidRPr="00C33834">
        <w:rPr>
          <w:color w:val="000000" w:themeColor="text1"/>
          <w:sz w:val="16"/>
          <w:szCs w:val="16"/>
        </w:rPr>
        <w:t>а) новая сухопутная на 16% и старых образцов 280</w:t>
      </w:r>
      <w:r w:rsidRPr="00C33834">
        <w:rPr>
          <w:color w:val="000000" w:themeColor="text1"/>
          <w:sz w:val="16"/>
          <w:szCs w:val="16"/>
        </w:rPr>
        <w:noBreakHyphen/>
        <w:t>мм на 191% и 305</w:t>
      </w:r>
      <w:r w:rsidRPr="00C33834">
        <w:rPr>
          <w:color w:val="000000" w:themeColor="text1"/>
          <w:sz w:val="16"/>
          <w:szCs w:val="16"/>
        </w:rPr>
        <w:noBreakHyphen/>
        <w:t>мм на 88%;</w:t>
      </w:r>
    </w:p>
    <w:p w14:paraId="4027F70B" w14:textId="77777777" w:rsidR="000B1B08" w:rsidRPr="00C33834" w:rsidRDefault="000B1B08" w:rsidP="00C33834">
      <w:pPr>
        <w:pStyle w:val="rtejustify"/>
        <w:spacing w:before="0" w:after="0"/>
        <w:rPr>
          <w:color w:val="000000" w:themeColor="text1"/>
          <w:sz w:val="16"/>
          <w:szCs w:val="16"/>
        </w:rPr>
      </w:pPr>
      <w:r w:rsidRPr="00C33834">
        <w:rPr>
          <w:color w:val="000000" w:themeColor="text1"/>
          <w:sz w:val="16"/>
          <w:szCs w:val="16"/>
        </w:rPr>
        <w:t>б) новая морская 180</w:t>
      </w:r>
      <w:r w:rsidRPr="00C33834">
        <w:rPr>
          <w:color w:val="000000" w:themeColor="text1"/>
          <w:sz w:val="16"/>
          <w:szCs w:val="16"/>
        </w:rPr>
        <w:noBreakHyphen/>
        <w:t>мм на 40%, 305</w:t>
      </w:r>
      <w:r w:rsidRPr="00C33834">
        <w:rPr>
          <w:color w:val="000000" w:themeColor="text1"/>
          <w:sz w:val="16"/>
          <w:szCs w:val="16"/>
        </w:rPr>
        <w:noBreakHyphen/>
        <w:t>мм 40 кал. — на 51%, 356</w:t>
      </w:r>
      <w:r w:rsidRPr="00C33834">
        <w:rPr>
          <w:color w:val="000000" w:themeColor="text1"/>
          <w:sz w:val="16"/>
          <w:szCs w:val="16"/>
        </w:rPr>
        <w:noBreakHyphen/>
        <w:t>мм на 58% и старых образцов — 203</w:t>
      </w:r>
      <w:r w:rsidRPr="00C33834">
        <w:rPr>
          <w:color w:val="000000" w:themeColor="text1"/>
          <w:sz w:val="16"/>
          <w:szCs w:val="16"/>
        </w:rPr>
        <w:noBreakHyphen/>
        <w:t>мм на 121%, 254</w:t>
      </w:r>
      <w:r w:rsidRPr="00C33834">
        <w:rPr>
          <w:color w:val="000000" w:themeColor="text1"/>
          <w:sz w:val="16"/>
          <w:szCs w:val="16"/>
        </w:rPr>
        <w:noBreakHyphen/>
        <w:t>мм на 100%, 305</w:t>
      </w:r>
      <w:r w:rsidRPr="00C33834">
        <w:rPr>
          <w:color w:val="000000" w:themeColor="text1"/>
          <w:sz w:val="16"/>
          <w:szCs w:val="16"/>
        </w:rPr>
        <w:noBreakHyphen/>
        <w:t>мм в 52 кал. на 127%. Кроме того, в запасах НКВМ будут храниться не скомплектованными в выстрелах: а) снаряженных снарядов для сухопутной артиллерии крупных калибров 17 460 шт. и для морской артиллерии крупных калибров 3874 шт.; б) неснаряженных корпусов для сухопутной артиллерии тяжелых калибров 11 500 шт. и для морской артиллерии крупных калибров — 9082 шт.</w:t>
      </w:r>
    </w:p>
    <w:p w14:paraId="583D2FE5" w14:textId="77777777" w:rsidR="000B1B08" w:rsidRPr="00C33834" w:rsidRDefault="000B1B08" w:rsidP="00C33834">
      <w:pPr>
        <w:pStyle w:val="rtejustify"/>
        <w:spacing w:before="0" w:after="0"/>
        <w:rPr>
          <w:color w:val="000000" w:themeColor="text1"/>
          <w:sz w:val="16"/>
          <w:szCs w:val="16"/>
        </w:rPr>
      </w:pPr>
      <w:r w:rsidRPr="00C33834">
        <w:rPr>
          <w:color w:val="000000" w:themeColor="text1"/>
          <w:sz w:val="16"/>
          <w:szCs w:val="16"/>
        </w:rPr>
        <w:t>2. Констатировать, что НКТП базирует производство крупнокалиберных снарядов на заводах «Большевик», МЗМ, «Красное Сормово», «Красный Профинтерн» и Верхне-Туринском и по номинальным мощностям этих заводов наметил удовлетворение крупнокалиберными выстрелами заявки НКВМ по МВ</w:t>
      </w:r>
      <w:r w:rsidRPr="00C33834">
        <w:rPr>
          <w:color w:val="000000" w:themeColor="text1"/>
          <w:sz w:val="16"/>
          <w:szCs w:val="16"/>
        </w:rPr>
        <w:noBreakHyphen/>
        <w:t>10: а) для новой сухопутной артиллерии тяжелых калибров на 13% и для старых образцов артиллерии тяжелых калибров на 23%; б) для новой морской артиллерии тяжелых калибров 180</w:t>
      </w:r>
      <w:r w:rsidRPr="00C33834">
        <w:rPr>
          <w:color w:val="000000" w:themeColor="text1"/>
          <w:sz w:val="16"/>
          <w:szCs w:val="16"/>
        </w:rPr>
        <w:noBreakHyphen/>
        <w:t>мм на 77%, 305 мм 40 кал. на 0%, 356</w:t>
      </w:r>
      <w:r w:rsidRPr="00C33834">
        <w:rPr>
          <w:color w:val="000000" w:themeColor="text1"/>
          <w:sz w:val="16"/>
          <w:szCs w:val="16"/>
        </w:rPr>
        <w:noBreakHyphen/>
        <w:t>мм на 0% и для старых образцов артиллерии тяжелых калибров 305</w:t>
      </w:r>
      <w:r w:rsidRPr="00C33834">
        <w:rPr>
          <w:color w:val="000000" w:themeColor="text1"/>
          <w:sz w:val="16"/>
          <w:szCs w:val="16"/>
        </w:rPr>
        <w:noBreakHyphen/>
        <w:t>мм 52 кал. на 22%, без подачи дальнобойных и осколочных выстрелов.</w:t>
      </w:r>
    </w:p>
    <w:p w14:paraId="3E63484C" w14:textId="77777777" w:rsidR="000B1B08" w:rsidRPr="00C33834" w:rsidRDefault="000B1B08" w:rsidP="00C33834">
      <w:pPr>
        <w:pStyle w:val="rtejustify"/>
        <w:spacing w:before="0" w:after="0"/>
        <w:rPr>
          <w:color w:val="000000" w:themeColor="text1"/>
          <w:sz w:val="16"/>
          <w:szCs w:val="16"/>
        </w:rPr>
      </w:pPr>
      <w:r w:rsidRPr="00C33834">
        <w:rPr>
          <w:color w:val="000000" w:themeColor="text1"/>
          <w:sz w:val="16"/>
          <w:szCs w:val="16"/>
        </w:rPr>
        <w:t>3. Отметить, что намеченная НКТП подача крупнокалиберных выстрелов совершенно не удовлетворяет заявки НКВМ по МВ</w:t>
      </w:r>
      <w:r w:rsidRPr="00C33834">
        <w:rPr>
          <w:color w:val="000000" w:themeColor="text1"/>
          <w:sz w:val="16"/>
          <w:szCs w:val="16"/>
        </w:rPr>
        <w:noBreakHyphen/>
        <w:t>10 и что даже и она является нереальной, т. к.: а) вследствие потери старых производственных навыков производство крупнокалиберных снарядов и, особенно, бронебойных не только по новым техническим условиям, но и по техническим условиям дореволюционного периода 1911 г., значительно облегченным, не освоено; б) не созданы необходимая металлургическая база и условия для получения высококачественной стали для производства крупнокалиберных снарядов; в) заводы не обеспечены соответствующей квалификации инженерно-техническим персоналом и рабочими; г) недостает необходимого оборудования для валового производства; д) текущие программы и, особенно, по снарядам, требующим при испытаниях пробития плиты, не выполняются; е) созданное в начале 1933 г. бюро при ВОАО для восстановления и организации производства крупнокалиберных снарядов хотя и развернуло работы в этом направлении, но реальных результатов еще не достигнуто.</w:t>
      </w:r>
    </w:p>
    <w:p w14:paraId="01D958DD" w14:textId="77777777" w:rsidR="000B1B08" w:rsidRPr="00C33834" w:rsidRDefault="000B1B08" w:rsidP="00C33834">
      <w:pPr>
        <w:pStyle w:val="rtejustify"/>
        <w:spacing w:before="0" w:after="0"/>
        <w:rPr>
          <w:color w:val="000000" w:themeColor="text1"/>
          <w:sz w:val="16"/>
          <w:szCs w:val="16"/>
        </w:rPr>
      </w:pPr>
      <w:r w:rsidRPr="00C33834">
        <w:rPr>
          <w:color w:val="000000" w:themeColor="text1"/>
          <w:sz w:val="16"/>
          <w:szCs w:val="16"/>
        </w:rPr>
        <w:t>Совет труда и обороны постановляет:</w:t>
      </w:r>
    </w:p>
    <w:p w14:paraId="0A32D42E" w14:textId="77777777" w:rsidR="000B1B08" w:rsidRPr="00C33834" w:rsidRDefault="000B1B08" w:rsidP="00C33834">
      <w:pPr>
        <w:pStyle w:val="rtejustify"/>
        <w:spacing w:before="0" w:after="0"/>
        <w:rPr>
          <w:color w:val="000000" w:themeColor="text1"/>
          <w:sz w:val="16"/>
          <w:szCs w:val="16"/>
        </w:rPr>
      </w:pPr>
      <w:r w:rsidRPr="00C33834">
        <w:rPr>
          <w:color w:val="000000" w:themeColor="text1"/>
          <w:sz w:val="16"/>
          <w:szCs w:val="16"/>
        </w:rPr>
        <w:t>1. Обязать НКВМ тт. Тухачевского и Орлова использовать годные, хранящиеся в запасах, снаряженные корпуса для комплектации их в выстрелы — срок 1 октября 1933 г.</w:t>
      </w:r>
    </w:p>
    <w:p w14:paraId="5B029D89" w14:textId="77777777" w:rsidR="000B1B08" w:rsidRPr="00C33834" w:rsidRDefault="000B1B08" w:rsidP="00C33834">
      <w:pPr>
        <w:pStyle w:val="rtejustify"/>
        <w:spacing w:before="0" w:after="0"/>
        <w:rPr>
          <w:color w:val="000000" w:themeColor="text1"/>
          <w:sz w:val="16"/>
          <w:szCs w:val="16"/>
        </w:rPr>
      </w:pPr>
      <w:r w:rsidRPr="00C33834">
        <w:rPr>
          <w:color w:val="000000" w:themeColor="text1"/>
          <w:sz w:val="16"/>
          <w:szCs w:val="16"/>
        </w:rPr>
        <w:t>2. Обязать НКТП т. Павлуновского и НКВМ тт. Тухачевского и Орлова в соответствии с п. 1 — “а” и “б” произвести тщательную разбраковку нескомплектованных снарядов и годные для использования снарядить и скомплектовать. О сроках выполнения этой работы НКВМ договориться с НКТП и доложить в СТО.</w:t>
      </w:r>
    </w:p>
    <w:p w14:paraId="0E6283C7" w14:textId="77777777" w:rsidR="000B1B08" w:rsidRPr="00C33834" w:rsidRDefault="000B1B08" w:rsidP="00C33834">
      <w:pPr>
        <w:pStyle w:val="rtejustify"/>
        <w:spacing w:before="0" w:after="0"/>
        <w:rPr>
          <w:color w:val="000000" w:themeColor="text1"/>
          <w:sz w:val="16"/>
          <w:szCs w:val="16"/>
        </w:rPr>
      </w:pPr>
      <w:r w:rsidRPr="00C33834">
        <w:rPr>
          <w:color w:val="000000" w:themeColor="text1"/>
          <w:sz w:val="16"/>
          <w:szCs w:val="16"/>
        </w:rPr>
        <w:t>3. Учитывая состояние производства крупнокалиберных снарядов и предъявляемые НКВМ технические условия для изготовления их, по которым заводы до сих пор не могут освоить производство, допустить как временную меру освоение валового производства по переходным техническим условиям от старых к современным.</w:t>
      </w:r>
    </w:p>
    <w:p w14:paraId="74662CE0" w14:textId="77777777" w:rsidR="000B1B08" w:rsidRPr="00C33834" w:rsidRDefault="000B1B08" w:rsidP="00C33834">
      <w:pPr>
        <w:pStyle w:val="rtejustify"/>
        <w:spacing w:before="0" w:after="0"/>
        <w:rPr>
          <w:color w:val="000000" w:themeColor="text1"/>
          <w:sz w:val="16"/>
          <w:szCs w:val="16"/>
        </w:rPr>
      </w:pPr>
      <w:r w:rsidRPr="00C33834">
        <w:rPr>
          <w:color w:val="000000" w:themeColor="text1"/>
          <w:sz w:val="16"/>
          <w:szCs w:val="16"/>
        </w:rPr>
        <w:t>В соответствии с этим обязать НКВМ тт. Тухачевского и Орлова разработать временные переходные технические условия и передать их промышленности к 5 июня 1933 г.</w:t>
      </w:r>
    </w:p>
    <w:p w14:paraId="0ED48770" w14:textId="77777777" w:rsidR="000B1B08" w:rsidRPr="00C33834" w:rsidRDefault="000B1B08" w:rsidP="00C33834">
      <w:pPr>
        <w:pStyle w:val="rtejustify"/>
        <w:spacing w:before="0" w:after="0"/>
        <w:rPr>
          <w:color w:val="000000" w:themeColor="text1"/>
          <w:sz w:val="16"/>
          <w:szCs w:val="16"/>
        </w:rPr>
      </w:pPr>
      <w:r w:rsidRPr="00C33834">
        <w:rPr>
          <w:color w:val="000000" w:themeColor="text1"/>
          <w:sz w:val="16"/>
          <w:szCs w:val="16"/>
        </w:rPr>
        <w:t>4. Обязать НКТП т. Павлуновского: а) в течение 1933 г. добиться валового производства крупнокалиберных снарядов по переходным техническим условиям с тем, чтобы с 1 марта 1934 г. перейти на валовое производство по основным техническим условиям; б) в течение третьего квартала 1933 г. обеспечить валовое производство крупнокалиберных снарядов необходимым оборудованием и создать условия для получения высококачественной стали, для чего снабжать металлургию завода «Большевик» и МЗМ отборными чистыми чугуном, болванками и чистыми по сере и фосфору ферросплавами и высококачественными огнеупорными материалами; в) разрешить вопрос с обеспечением Челябинского снарядного завода оборудованием, электро- и теплоснабжением и металлургической базой — срок 1 июля 1933 г.; г) закончить строительство первой очереди Челябинского снарядного завода на 15% мощности к 1 апреля 1934 г.</w:t>
      </w:r>
    </w:p>
    <w:p w14:paraId="0A5C831F" w14:textId="77777777" w:rsidR="000B1B08" w:rsidRPr="00C33834" w:rsidRDefault="000B1B08" w:rsidP="00C33834">
      <w:pPr>
        <w:pStyle w:val="rtejustify"/>
        <w:spacing w:before="0" w:after="0"/>
        <w:rPr>
          <w:color w:val="000000" w:themeColor="text1"/>
          <w:sz w:val="16"/>
          <w:szCs w:val="16"/>
        </w:rPr>
      </w:pPr>
      <w:r w:rsidRPr="00C33834">
        <w:rPr>
          <w:color w:val="000000" w:themeColor="text1"/>
          <w:sz w:val="16"/>
          <w:szCs w:val="16"/>
        </w:rPr>
        <w:t>5. НКТруда т. Цихону и НКТП т. Орджоникидзе перебросить на производство крупнокалиберных снарядов ранее работавших на нем инженеров-специалистов и квалифицированных рабочих.</w:t>
      </w:r>
    </w:p>
    <w:p w14:paraId="1A1EEEEA" w14:textId="77777777" w:rsidR="000B1B08" w:rsidRPr="00C33834" w:rsidRDefault="000B1B08" w:rsidP="00C33834">
      <w:pPr>
        <w:pStyle w:val="rtejustify"/>
        <w:spacing w:before="0" w:after="0"/>
        <w:rPr>
          <w:color w:val="000000" w:themeColor="text1"/>
          <w:sz w:val="16"/>
          <w:szCs w:val="16"/>
        </w:rPr>
      </w:pPr>
      <w:r w:rsidRPr="00C33834">
        <w:rPr>
          <w:color w:val="000000" w:themeColor="text1"/>
          <w:sz w:val="16"/>
          <w:szCs w:val="16"/>
        </w:rPr>
        <w:t>6. Для концентрации всех технических сил и единого руководства всем снарядным производством на заводах военной и гражданской промышленности реорганизовать Снарядный трест в Главное управление снарядных производств с возложением на него, кроме руководства подчиненными ему заводами: а) непосредственного руководства по установлению всего технологического процесса и рационализацией снарядного производства; б) непосредственного технико-организационного контроля за снарядным производством; в) обеспечение снарядных производств инженерно-техническим персоналом и квалифицированной рабочей силой; г) руководство всеми научно-исследовательскими и опытными работами.</w:t>
      </w:r>
    </w:p>
    <w:p w14:paraId="2FC058C2" w14:textId="77777777" w:rsidR="000B1B08" w:rsidRPr="00C33834" w:rsidRDefault="000B1B08" w:rsidP="00C33834">
      <w:pPr>
        <w:pStyle w:val="rtejustify"/>
        <w:spacing w:before="0" w:after="0"/>
        <w:rPr>
          <w:color w:val="000000" w:themeColor="text1"/>
          <w:sz w:val="16"/>
          <w:szCs w:val="16"/>
        </w:rPr>
      </w:pPr>
      <w:r w:rsidRPr="00C33834">
        <w:rPr>
          <w:color w:val="000000" w:themeColor="text1"/>
          <w:sz w:val="16"/>
          <w:szCs w:val="16"/>
        </w:rPr>
        <w:t>7. В соответствии с п. 6 создать в Научно-исследовательском снарядном институте¹* мощную научно-техническую базу для разработки вопросов усовершенствования конструкции и техники производства всех калибров и типов снарядов и возложить на НИСИ руководство отдельными научно-исследовательскими группами, работающими в различных учреждениях по снарядному производству, которое будет признано необходимым сохранить.</w:t>
      </w:r>
    </w:p>
    <w:p w14:paraId="0119C47A" w14:textId="77777777" w:rsidR="000B1B08" w:rsidRPr="00C33834" w:rsidRDefault="000B1B08" w:rsidP="00C33834">
      <w:pPr>
        <w:pStyle w:val="rtejustify"/>
        <w:spacing w:before="0" w:after="0"/>
        <w:rPr>
          <w:color w:val="000000" w:themeColor="text1"/>
          <w:sz w:val="16"/>
          <w:szCs w:val="16"/>
        </w:rPr>
      </w:pPr>
      <w:r w:rsidRPr="00C33834">
        <w:rPr>
          <w:color w:val="000000" w:themeColor="text1"/>
          <w:sz w:val="16"/>
          <w:szCs w:val="16"/>
        </w:rPr>
        <w:t>8. Снарядное бюро ВОАО передать в Главное управление снарядных производств, но до окончания периода настройки валового производства бронебойных и морских фугасных снарядов не вливать в состав НИСИ и сохранить за ним права, предоставленные приказом НКТП и НКВМ от 27 февраля и 2 марта 1933 г. за №№ 15 и 19с.</w:t>
      </w:r>
    </w:p>
    <w:p w14:paraId="5493200F" w14:textId="77777777" w:rsidR="000B1B08" w:rsidRPr="00C33834" w:rsidRDefault="000B1B08" w:rsidP="00C33834">
      <w:pPr>
        <w:pStyle w:val="rtejustify"/>
        <w:spacing w:before="0" w:after="0"/>
        <w:rPr>
          <w:color w:val="000000" w:themeColor="text1"/>
          <w:sz w:val="16"/>
          <w:szCs w:val="16"/>
        </w:rPr>
      </w:pPr>
      <w:r w:rsidRPr="00C33834">
        <w:rPr>
          <w:color w:val="000000" w:themeColor="text1"/>
          <w:sz w:val="16"/>
          <w:szCs w:val="16"/>
        </w:rPr>
        <w:t>9. НКТП т. Орджоникидзе установить денежные премии специалистам, привлеченным для восстановления потерянных навыков по производству крупнокалиберных снарядов, за быстрое налаживание валового производства как по старым, так и по новым техническим условиям. Кроме того, установить для них и для инженерно-</w:t>
      </w:r>
      <w:r w:rsidRPr="00C33834">
        <w:rPr>
          <w:color w:val="000000" w:themeColor="text1"/>
          <w:sz w:val="16"/>
          <w:szCs w:val="16"/>
        </w:rPr>
        <w:lastRenderedPageBreak/>
        <w:t>технического персонала и мастеров заводов денежные вознаграждения за выполнение в срок валовых заказов по текущим программам в общей сумме, не превышающей для всех 2% стоимости выданного валового заказа²*.</w:t>
      </w:r>
    </w:p>
    <w:p w14:paraId="2B41D1F1" w14:textId="77777777" w:rsidR="000B1B08" w:rsidRPr="00C33834" w:rsidRDefault="000B1B08" w:rsidP="00C33834">
      <w:pPr>
        <w:pStyle w:val="ae"/>
        <w:spacing w:before="0" w:after="0"/>
        <w:jc w:val="both"/>
        <w:rPr>
          <w:color w:val="000000" w:themeColor="text1"/>
          <w:sz w:val="16"/>
          <w:szCs w:val="16"/>
        </w:rPr>
      </w:pPr>
      <w:r w:rsidRPr="00C33834">
        <w:rPr>
          <w:rStyle w:val="af0"/>
          <w:i w:val="0"/>
          <w:color w:val="000000" w:themeColor="text1"/>
          <w:sz w:val="16"/>
          <w:szCs w:val="16"/>
        </w:rPr>
        <w:t>Председатель Совета труда и обороны В. Молотов/Скрябин</w:t>
      </w:r>
    </w:p>
    <w:p w14:paraId="171FDE79" w14:textId="77777777" w:rsidR="000B1B08" w:rsidRPr="00C33834" w:rsidRDefault="000B1B08" w:rsidP="00C33834">
      <w:pPr>
        <w:pStyle w:val="ae"/>
        <w:spacing w:before="0" w:after="0"/>
        <w:jc w:val="both"/>
        <w:rPr>
          <w:color w:val="000000" w:themeColor="text1"/>
          <w:sz w:val="16"/>
          <w:szCs w:val="16"/>
        </w:rPr>
      </w:pPr>
      <w:r w:rsidRPr="00C33834">
        <w:rPr>
          <w:rStyle w:val="af0"/>
          <w:i w:val="0"/>
          <w:color w:val="000000" w:themeColor="text1"/>
          <w:sz w:val="16"/>
          <w:szCs w:val="16"/>
        </w:rPr>
        <w:t>За секретаря Совета труда и обороны Базилевич</w:t>
      </w:r>
    </w:p>
    <w:p w14:paraId="3CA68C38" w14:textId="77777777" w:rsidR="000B1B08" w:rsidRPr="00C33834" w:rsidRDefault="000B1B08"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Примечания</w:t>
      </w:r>
      <w:r w:rsidRPr="00C33834">
        <w:rPr>
          <w:color w:val="000000" w:themeColor="text1"/>
          <w:sz w:val="16"/>
          <w:szCs w:val="16"/>
        </w:rPr>
        <w:t>:</w:t>
      </w:r>
    </w:p>
    <w:p w14:paraId="5C5E0607" w14:textId="77777777" w:rsidR="000B1B08" w:rsidRPr="00C33834" w:rsidRDefault="000B1B08" w:rsidP="00C33834">
      <w:pPr>
        <w:pStyle w:val="rtejustify"/>
        <w:spacing w:before="0" w:after="0"/>
        <w:rPr>
          <w:color w:val="000000" w:themeColor="text1"/>
          <w:sz w:val="16"/>
          <w:szCs w:val="16"/>
        </w:rPr>
      </w:pPr>
      <w:r w:rsidRPr="00C33834">
        <w:rPr>
          <w:color w:val="000000" w:themeColor="text1"/>
          <w:sz w:val="16"/>
          <w:szCs w:val="16"/>
        </w:rPr>
        <w:t>¹* </w:t>
      </w:r>
      <w:r w:rsidRPr="00C33834">
        <w:rPr>
          <w:rStyle w:val="af0"/>
          <w:bCs/>
          <w:i w:val="0"/>
          <w:color w:val="000000" w:themeColor="text1"/>
          <w:sz w:val="16"/>
          <w:szCs w:val="16"/>
        </w:rPr>
        <w:t>Научно-исследовательский снарядный институт (НИСИ)</w:t>
      </w:r>
      <w:r w:rsidRPr="00C33834">
        <w:rPr>
          <w:color w:val="000000" w:themeColor="text1"/>
          <w:sz w:val="16"/>
          <w:szCs w:val="16"/>
        </w:rPr>
        <w:t xml:space="preserve"> был создан в ноябре 1932 г. на базе завода № 75 и занимался разработкой и проектированием артиллерийских снарядов. Организация работы по созданию НИСИ была поручена М. Е. Максимову, который стал первым его директором. Перед вновь созданным институтом были поставлены задачи: в кратчайшие сроки разработать и снабдить новые и модернизированные артиллерийские системы современными боеприпасами. Предусматривалось, прежде всего, увеличение мощности снарядов за счет улучшения конструктивных характеристик, применения новых, более прочных материалов для корпусов, изменения технологии снаряжения взрывчатыми веществами, разработки новых прогрессивных технологий производства снарядов, применения новых менее дефицитных материалов. Были организованы следующие подразделения института: 1. Специальное бюро для конструирования снарядов по заданным тактико-техническим требованиям и под контролем ГАУ РККА. 2. Технологическое бюро, основной задачей которого было совершенствование технологии изготовления штампованных и литых снарядов. 3. Подразделение по обмену опытом между заводами, выпускающими снаряды. 4. Бюро информации о достижениях науки и техники в области создания и производства боеприпасов в СССР и за рубежом. С 7 по 11 сентября 1933 г., НИСИ организовал и провел Всесоюзную снарядную конференцию, где особое внимание уделялось вопросам создания менее трудоемких, дешевых методов изготовления снарядов без ущерба для качества и эффективности разрабатываемых образцов. После включения в состав НИСИ в 1934 г. ОКБ</w:t>
      </w:r>
      <w:r w:rsidRPr="00C33834">
        <w:rPr>
          <w:color w:val="000000" w:themeColor="text1"/>
          <w:sz w:val="16"/>
          <w:szCs w:val="16"/>
        </w:rPr>
        <w:noBreakHyphen/>
        <w:t>3 РККА (проектирование боеприпасов) и организации отдела «Станкокалибр» (производство оборудования, оснастки и специального инструмента для производства снарядов) была создана возможность комплексного решения вопросов создания и производства боеприпасов.</w:t>
      </w:r>
    </w:p>
    <w:p w14:paraId="1E1A118A" w14:textId="77777777" w:rsidR="000B1B08" w:rsidRPr="00C33834" w:rsidRDefault="000B1B08" w:rsidP="00C33834">
      <w:pPr>
        <w:pStyle w:val="rtejustify"/>
        <w:spacing w:before="0" w:after="0"/>
        <w:rPr>
          <w:color w:val="000000" w:themeColor="text1"/>
          <w:sz w:val="16"/>
          <w:szCs w:val="16"/>
        </w:rPr>
      </w:pPr>
      <w:r w:rsidRPr="00C33834">
        <w:rPr>
          <w:color w:val="000000" w:themeColor="text1"/>
          <w:sz w:val="16"/>
          <w:szCs w:val="16"/>
        </w:rPr>
        <w:t xml:space="preserve">²* 26 мая 1933 г. член коллегии НК РКИ СССР и начальник Военно-морской инспекции Н. В. Куйбышев представил в СТО СССР докладную записку </w:t>
      </w:r>
      <w:r w:rsidRPr="00C33834">
        <w:rPr>
          <w:rStyle w:val="af0"/>
          <w:bCs/>
          <w:i w:val="0"/>
          <w:color w:val="000000" w:themeColor="text1"/>
          <w:sz w:val="16"/>
          <w:szCs w:val="16"/>
        </w:rPr>
        <w:t>о производстве крупнокалиберных снарядов</w:t>
      </w:r>
      <w:r w:rsidRPr="00C33834">
        <w:rPr>
          <w:color w:val="000000" w:themeColor="text1"/>
          <w:sz w:val="16"/>
          <w:szCs w:val="16"/>
        </w:rPr>
        <w:t>. В ней говорилось, что в 1933 г. к техническим условиям для производства крупнокалиберных снарядов предъявлены повышенные требования, но оборудование осталось старым и изношенным. За исключением завода «Большевик» на всех остальных заводах вовсе не было специалистов, металлургов по производству сталей для снарядных корпусов. Кадры старых рабочих потеряны. В результате заводы не получили требуемую для крупнокалиберных снарядов высококачественную сталь. В январе 1933 г. было создано бюро при ВОАО для восстановления потерянных навыков по производству крупнокалиберных снарядов. Бюро развернуло работы и разработало инструкции по всем стадиям металлургии производства крупнокалиберных снарядов, поставило исследовательскую работу по технике производства, но имело слабую связь с заводами. Н. В. Куйбышев констатировал, что на начало 1933 г. производство крупнокалиберных снарядов по новым техническим условиям не освоено и не обеспечено в потребном количестве оборудованием для валового производства и соответствующей металлургической базой. Чтобы избежать полного срыва обеспечения крупнокалиберной артиллерии выстрелами он предлагал разработать переходные технические условия от старых норм к новым, ускорить строительство Челябинского снарядного завода, как основной базы по крупнокалиберным снарядам, ускорить освоение капитальных вложений в размере 40 млн. руб., разместить 1100 станков и обеспечить производство металлом в 35 тыс. т. (ГАРФ. Ф. Р</w:t>
      </w:r>
      <w:r w:rsidRPr="00C33834">
        <w:rPr>
          <w:color w:val="000000" w:themeColor="text1"/>
          <w:sz w:val="16"/>
          <w:szCs w:val="16"/>
        </w:rPr>
        <w:noBreakHyphen/>
        <w:t>8418. Оп. 28. Д. 1. Л. 155</w:t>
      </w:r>
      <w:r w:rsidRPr="00C33834">
        <w:rPr>
          <w:color w:val="000000" w:themeColor="text1"/>
          <w:sz w:val="16"/>
          <w:szCs w:val="16"/>
        </w:rPr>
        <w:noBreakHyphen/>
        <w:t>158).</w:t>
      </w:r>
    </w:p>
    <w:p w14:paraId="691F8A30" w14:textId="77777777" w:rsidR="000B1B08" w:rsidRPr="00C33834" w:rsidRDefault="000B1B08" w:rsidP="00C33834">
      <w:pPr>
        <w:pStyle w:val="ae"/>
        <w:spacing w:before="0" w:after="0"/>
        <w:jc w:val="both"/>
        <w:rPr>
          <w:color w:val="000000" w:themeColor="text1"/>
          <w:sz w:val="16"/>
          <w:szCs w:val="16"/>
        </w:rPr>
      </w:pPr>
      <w:r w:rsidRPr="00C33834">
        <w:rPr>
          <w:color w:val="000000" w:themeColor="text1"/>
          <w:sz w:val="16"/>
          <w:szCs w:val="16"/>
        </w:rPr>
        <w:t>ГА РФ. Ф. Р-8418. Оп. 28. Д. 1. Л. 150-154. Подлинник (15270).</w:t>
      </w:r>
    </w:p>
    <w:p w14:paraId="7A052FF9" w14:textId="77777777" w:rsidR="000B1B08" w:rsidRPr="00C33834" w:rsidRDefault="000B1B0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40E49CF" w14:textId="77777777" w:rsidR="008524B2"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233268D6"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FEC9D07" w14:textId="77777777" w:rsidR="000B1B08" w:rsidRPr="00C33834" w:rsidRDefault="000B1B08" w:rsidP="00C33834">
      <w:pPr>
        <w:pStyle w:val="rtejustify"/>
        <w:spacing w:before="0" w:after="0"/>
        <w:rPr>
          <w:color w:val="000000" w:themeColor="text1"/>
          <w:sz w:val="16"/>
          <w:szCs w:val="16"/>
        </w:rPr>
      </w:pPr>
      <w:r w:rsidRPr="00C33834">
        <w:rPr>
          <w:rStyle w:val="af0"/>
          <w:bCs/>
          <w:i w:val="0"/>
          <w:color w:val="000000" w:themeColor="text1"/>
          <w:sz w:val="16"/>
          <w:szCs w:val="16"/>
        </w:rPr>
        <w:t>27 мая</w:t>
      </w:r>
      <w:r w:rsidRPr="00C33834">
        <w:rPr>
          <w:color w:val="000000" w:themeColor="text1"/>
          <w:sz w:val="16"/>
          <w:szCs w:val="16"/>
        </w:rPr>
        <w:t xml:space="preserve"> 1933. Постановление СТО  СССР № 32сс/о «О мероприятиях первой очереди по усилению ОКДВА». (ГА РФ. Ф. Р</w:t>
      </w:r>
      <w:r w:rsidRPr="00C33834">
        <w:rPr>
          <w:color w:val="000000" w:themeColor="text1"/>
          <w:sz w:val="16"/>
          <w:szCs w:val="16"/>
        </w:rPr>
        <w:noBreakHyphen/>
        <w:t>8418. Оп. 28. Д. 1. Л. 143</w:t>
      </w:r>
      <w:r w:rsidRPr="00C33834">
        <w:rPr>
          <w:color w:val="000000" w:themeColor="text1"/>
          <w:sz w:val="16"/>
          <w:szCs w:val="16"/>
        </w:rPr>
        <w:noBreakHyphen/>
        <w:t>149) (15460).</w:t>
      </w:r>
    </w:p>
    <w:p w14:paraId="1350F3BB" w14:textId="77777777" w:rsidR="000B1B08" w:rsidRPr="00C33834" w:rsidRDefault="000B1B08" w:rsidP="00C33834">
      <w:pPr>
        <w:pStyle w:val="rtejustify"/>
        <w:spacing w:before="0" w:after="0"/>
        <w:rPr>
          <w:color w:val="000000" w:themeColor="text1"/>
          <w:sz w:val="16"/>
          <w:szCs w:val="16"/>
        </w:rPr>
      </w:pPr>
    </w:p>
    <w:p w14:paraId="23A30CC6" w14:textId="77777777" w:rsidR="000B1B08" w:rsidRPr="00C33834" w:rsidRDefault="000B1B08" w:rsidP="00C33834">
      <w:pPr>
        <w:pStyle w:val="rtejustify"/>
        <w:spacing w:before="0" w:after="0"/>
        <w:rPr>
          <w:color w:val="000000" w:themeColor="text1"/>
          <w:sz w:val="16"/>
          <w:szCs w:val="16"/>
        </w:rPr>
      </w:pPr>
      <w:r w:rsidRPr="00C33834">
        <w:rPr>
          <w:rStyle w:val="af0"/>
          <w:bCs/>
          <w:i w:val="0"/>
          <w:color w:val="000000" w:themeColor="text1"/>
          <w:sz w:val="16"/>
          <w:szCs w:val="16"/>
        </w:rPr>
        <w:t>27 мая</w:t>
      </w:r>
      <w:r w:rsidRPr="00C33834">
        <w:rPr>
          <w:color w:val="000000" w:themeColor="text1"/>
          <w:sz w:val="16"/>
          <w:szCs w:val="16"/>
        </w:rPr>
        <w:t xml:space="preserve"> 1933. Постановление СТО СССР № 34сс/о «О состоянии и развитии берегового оборонительного строительства Черного, Балтийского морей и Севера». (ГА РФ. Ф. Р</w:t>
      </w:r>
      <w:r w:rsidRPr="00C33834">
        <w:rPr>
          <w:color w:val="000000" w:themeColor="text1"/>
          <w:sz w:val="16"/>
          <w:szCs w:val="16"/>
        </w:rPr>
        <w:noBreakHyphen/>
        <w:t>8418. Оп. 28. Д. 1. Л. 160</w:t>
      </w:r>
      <w:r w:rsidRPr="00C33834">
        <w:rPr>
          <w:color w:val="000000" w:themeColor="text1"/>
          <w:sz w:val="16"/>
          <w:szCs w:val="16"/>
        </w:rPr>
        <w:noBreakHyphen/>
        <w:t>164) (15460).</w:t>
      </w:r>
    </w:p>
    <w:p w14:paraId="412DD87A" w14:textId="77777777" w:rsidR="000B1B08" w:rsidRPr="00C33834" w:rsidRDefault="000B1B08" w:rsidP="00C33834">
      <w:pPr>
        <w:pStyle w:val="rtejustify"/>
        <w:spacing w:before="0" w:after="0"/>
        <w:rPr>
          <w:color w:val="000000" w:themeColor="text1"/>
          <w:sz w:val="16"/>
          <w:szCs w:val="16"/>
        </w:rPr>
      </w:pPr>
    </w:p>
    <w:p w14:paraId="16D6A447"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мая 1933 в связи с агрессией Японии в Китае СНК СССР принял решение об увеличении численности войск на ДВ: развертывании строительства дорог, укреплений, аэродромов (3908,340).</w:t>
      </w:r>
    </w:p>
    <w:p w14:paraId="4368F71C" w14:textId="77777777" w:rsidR="008524B2" w:rsidRPr="00C33834" w:rsidRDefault="008524B2" w:rsidP="00C33834">
      <w:pPr>
        <w:autoSpaceDE w:val="0"/>
        <w:autoSpaceDN w:val="0"/>
        <w:adjustRightInd w:val="0"/>
        <w:spacing w:after="0" w:line="240" w:lineRule="auto"/>
        <w:jc w:val="both"/>
        <w:rPr>
          <w:rFonts w:ascii="Times New Roman" w:hAnsi="Times New Roman"/>
          <w:color w:val="000000" w:themeColor="text1"/>
          <w:sz w:val="16"/>
          <w:szCs w:val="16"/>
        </w:rPr>
      </w:pPr>
    </w:p>
    <w:p w14:paraId="2CDCB34E" w14:textId="77777777" w:rsidR="008524B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29D791C7" w14:textId="77777777" w:rsidR="008524B2" w:rsidRPr="00C33834" w:rsidRDefault="008524B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E003BFC" w14:textId="77777777" w:rsidR="000B1B08" w:rsidRPr="00C33834" w:rsidRDefault="000B1B08"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27 мая</w:t>
      </w:r>
      <w:r w:rsidRPr="00C33834">
        <w:rPr>
          <w:rFonts w:ascii="Times New Roman" w:hAnsi="Times New Roman"/>
          <w:color w:val="000000" w:themeColor="text1"/>
          <w:sz w:val="16"/>
          <w:szCs w:val="16"/>
        </w:rPr>
        <w:t xml:space="preserve"> в 1933 году закончена поставка американских палубных истребителей </w:t>
      </w:r>
      <w:hyperlink r:id="rId171" w:tgtFrame="_blank" w:history="1">
        <w:r w:rsidRPr="00C33834">
          <w:rPr>
            <w:rFonts w:ascii="Times New Roman" w:hAnsi="Times New Roman"/>
            <w:color w:val="000000" w:themeColor="text1"/>
            <w:sz w:val="16"/>
            <w:szCs w:val="16"/>
          </w:rPr>
          <w:t xml:space="preserve">«F11C» «Goshawk», </w:t>
        </w:r>
      </w:hyperlink>
      <w:r w:rsidRPr="00C33834">
        <w:rPr>
          <w:rFonts w:ascii="Times New Roman" w:hAnsi="Times New Roman"/>
          <w:color w:val="000000" w:themeColor="text1"/>
          <w:sz w:val="16"/>
          <w:szCs w:val="16"/>
        </w:rPr>
        <w:t>а первым подразделением, получившим эти самолеты, стала истребительная эскадра VF-1B, базировавшаяся на авианосце "Саратога". Кроме этого, небольшое количество «F11C-2» поступило на "Энтерпрайз" (14904).</w:t>
      </w:r>
    </w:p>
    <w:p w14:paraId="7A0A1154" w14:textId="77777777" w:rsidR="000B1B08" w:rsidRPr="00C33834" w:rsidRDefault="000B1B08" w:rsidP="00C33834">
      <w:pPr>
        <w:spacing w:after="0" w:line="240" w:lineRule="auto"/>
        <w:jc w:val="both"/>
        <w:rPr>
          <w:rFonts w:ascii="Times New Roman" w:hAnsi="Times New Roman"/>
          <w:color w:val="000000" w:themeColor="text1"/>
          <w:sz w:val="16"/>
          <w:szCs w:val="16"/>
        </w:rPr>
      </w:pPr>
    </w:p>
    <w:p w14:paraId="6F47BB19" w14:textId="77777777" w:rsidR="000B1B08" w:rsidRPr="00C33834" w:rsidRDefault="000B1B08"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27 мая</w:t>
      </w:r>
      <w:r w:rsidRPr="00C33834">
        <w:rPr>
          <w:rFonts w:ascii="Times New Roman" w:hAnsi="Times New Roman"/>
          <w:color w:val="000000" w:themeColor="text1"/>
          <w:sz w:val="16"/>
          <w:szCs w:val="16"/>
        </w:rPr>
        <w:t xml:space="preserve"> в 1933 году в Стэг Лэйне совершил первый полет прототип </w:t>
      </w:r>
      <w:hyperlink r:id="rId172" w:tgtFrame="_blank" w:history="1">
        <w:r w:rsidRPr="00C33834">
          <w:rPr>
            <w:rFonts w:ascii="Times New Roman" w:hAnsi="Times New Roman"/>
            <w:color w:val="000000" w:themeColor="text1"/>
            <w:sz w:val="16"/>
            <w:szCs w:val="16"/>
          </w:rPr>
          <w:t xml:space="preserve">«de Havilland» «D.H.85» «Leopard Moth», </w:t>
        </w:r>
      </w:hyperlink>
      <w:r w:rsidRPr="00C33834">
        <w:rPr>
          <w:rFonts w:ascii="Times New Roman" w:hAnsi="Times New Roman"/>
          <w:color w:val="000000" w:themeColor="text1"/>
          <w:sz w:val="16"/>
          <w:szCs w:val="16"/>
        </w:rPr>
        <w:t>а cпустя всего две недели выиграл гонку на Королевский кубок в Хэтфилде; еще два самолета «D.H.85» финишировали третьим и шестым. Самолет «de Havilland» «D.H.85» «Leopard Moth» имел фюзеляж коробчатой конструкции из ели и клееной фанеры, которая стала стандартной на самолетах компании de Havilland. В фюзеляже размещались пилот и два пассажира, которые располагались бок о бок в задней части кабины. Использовались новые трапециевидные складывающиеся крылья со стреловидными передними кромками. Верхнее крепление амортизаторов основных стоек шасси было перенесено в другое место. В результате трехлетнего серийного производства сначала в Стэг Лэйне, а затем в Хэтфилде было выпущено 132 машины (14904).</w:t>
      </w:r>
    </w:p>
    <w:p w14:paraId="2DE1AA64" w14:textId="77777777" w:rsidR="000B1B08" w:rsidRPr="00C33834" w:rsidRDefault="000B1B08" w:rsidP="00C33834">
      <w:pPr>
        <w:spacing w:after="0" w:line="240" w:lineRule="auto"/>
        <w:jc w:val="both"/>
        <w:rPr>
          <w:rFonts w:ascii="Times New Roman" w:hAnsi="Times New Roman"/>
          <w:color w:val="000000" w:themeColor="text1"/>
          <w:sz w:val="16"/>
          <w:szCs w:val="16"/>
        </w:rPr>
      </w:pPr>
    </w:p>
    <w:p w14:paraId="4A219D30" w14:textId="77777777" w:rsidR="00EB09F2" w:rsidRPr="00C33834" w:rsidRDefault="00EB09F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27 мая 1933 состоялся первый полет Леопардовый мотылек De Havilland (20802).</w:t>
      </w:r>
    </w:p>
    <w:p w14:paraId="06982331" w14:textId="77777777" w:rsidR="00EB09F2" w:rsidRPr="00C33834" w:rsidRDefault="00EB09F2" w:rsidP="00C33834">
      <w:pPr>
        <w:spacing w:after="0" w:line="240" w:lineRule="auto"/>
        <w:jc w:val="both"/>
        <w:rPr>
          <w:rFonts w:ascii="Times New Roman" w:hAnsi="Times New Roman"/>
          <w:color w:val="0070C0"/>
          <w:sz w:val="16"/>
          <w:szCs w:val="16"/>
        </w:rPr>
      </w:pPr>
    </w:p>
    <w:p w14:paraId="45527EFE" w14:textId="77777777" w:rsidR="000B1B08" w:rsidRPr="00C33834" w:rsidRDefault="000B1B08"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27 мая</w:t>
      </w:r>
      <w:r w:rsidRPr="00C33834">
        <w:rPr>
          <w:rFonts w:ascii="Times New Roman" w:hAnsi="Times New Roman"/>
          <w:color w:val="000000" w:themeColor="text1"/>
          <w:sz w:val="16"/>
          <w:szCs w:val="16"/>
        </w:rPr>
        <w:t xml:space="preserve"> в 1933 году разбился английский транспортный самолет «Airspeed» «AS.4» «Ferry», восстановлению не подлежал (14904).</w:t>
      </w:r>
    </w:p>
    <w:p w14:paraId="08DEA6C0" w14:textId="77777777" w:rsidR="000B1B08" w:rsidRPr="00C33834" w:rsidRDefault="000B1B08" w:rsidP="00C33834">
      <w:pPr>
        <w:spacing w:after="0" w:line="240" w:lineRule="auto"/>
        <w:jc w:val="both"/>
        <w:rPr>
          <w:rFonts w:ascii="Times New Roman" w:hAnsi="Times New Roman"/>
          <w:color w:val="000000" w:themeColor="text1"/>
          <w:sz w:val="16"/>
          <w:szCs w:val="16"/>
        </w:rPr>
      </w:pPr>
    </w:p>
    <w:p w14:paraId="60AFCA5F" w14:textId="77777777" w:rsidR="008524B2" w:rsidRPr="00C33834" w:rsidRDefault="008524B2"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мая 1933 состоялась премьера мультфильма Уолта Диснея «Три поросенка» (4962).</w:t>
      </w:r>
    </w:p>
    <w:p w14:paraId="52F3884F" w14:textId="77777777" w:rsidR="008524B2" w:rsidRPr="00C33834" w:rsidRDefault="008524B2"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C12AD2" w14:textId="77777777" w:rsidR="008C5AAD"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4949841" w14:textId="77777777" w:rsidR="008C5AAD" w:rsidRPr="00C33834" w:rsidRDefault="008C5AAD" w:rsidP="00C33834">
      <w:pPr>
        <w:spacing w:after="0" w:line="240" w:lineRule="auto"/>
        <w:jc w:val="both"/>
        <w:rPr>
          <w:rFonts w:ascii="Times New Roman" w:hAnsi="Times New Roman"/>
          <w:iCs/>
          <w:color w:val="000000" w:themeColor="text1"/>
          <w:sz w:val="16"/>
          <w:szCs w:val="16"/>
        </w:rPr>
      </w:pPr>
    </w:p>
    <w:p w14:paraId="53A1A08C"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мая 1933 г. на первом из 10 заказанных Р-5 иранский летчик А. Макуи, выпускник Качинской летной школы, совершил перелет Москва-Тегеран, прибыв на место Остальные Р-5 из Москвы везли по железной дороге, а затем по Каспию в иранский порт Пехлеви. Все машины имели моторы BMW VI и пулеметы "Льюис" в задней кабине. Они успешно эксплуатировались в иранских ВВС сначала как боевые, а с конца 1934 г. как тренировочные (11936).</w:t>
      </w:r>
    </w:p>
    <w:p w14:paraId="7A98F7C4" w14:textId="77777777" w:rsidR="008C5AAD" w:rsidRPr="00C33834" w:rsidRDefault="008C5AAD" w:rsidP="00C33834">
      <w:pPr>
        <w:spacing w:after="0" w:line="240" w:lineRule="auto"/>
        <w:jc w:val="both"/>
        <w:rPr>
          <w:rFonts w:ascii="Times New Roman" w:hAnsi="Times New Roman"/>
          <w:color w:val="000000" w:themeColor="text1"/>
          <w:sz w:val="16"/>
          <w:szCs w:val="16"/>
        </w:rPr>
      </w:pPr>
    </w:p>
    <w:p w14:paraId="59662365" w14:textId="77777777" w:rsidR="00197613" w:rsidRPr="00C33834" w:rsidRDefault="0019761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мая 1933 г. успешно завершил на Р-5 перелет Москва-Тегеран иранский летчик А. Макуи, выпускник Качинской летной школы, остальные машины перевозились в разобранном виде по железной дороге, а затем - через Каспийское море в порт Пехлеви. В качестве боевых они использовались в ВВС Ирана до конца 1934 г. (18261).</w:t>
      </w:r>
    </w:p>
    <w:p w14:paraId="3E68CA02" w14:textId="77777777" w:rsidR="00197613" w:rsidRPr="00C33834" w:rsidRDefault="00197613" w:rsidP="00C33834">
      <w:pPr>
        <w:spacing w:after="0" w:line="240" w:lineRule="auto"/>
        <w:jc w:val="both"/>
        <w:rPr>
          <w:rFonts w:ascii="Times New Roman" w:hAnsi="Times New Roman"/>
          <w:color w:val="000000" w:themeColor="text1"/>
          <w:sz w:val="16"/>
          <w:szCs w:val="16"/>
        </w:rPr>
      </w:pPr>
    </w:p>
    <w:p w14:paraId="551A9348"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мая 1933 Дорнье "Валь" СССР-Н8 - заводской № 131, двигатели - 2 М-17, дата приемки - 14.09.28 г, дата присвоения опознавательного знака с литерой "Н" - 08.05.33 г., который получил экипаж С.А.Леваневского (второй пилот - Г.М.Чернявский, штурман В.И.Левченко), вылетел из Севастополя, далее по маршруту Вольск - Свердловск - Омск - Новосибирск - Красноярск - Иркутск - Верхнеудинск - Чита - Джалинда - Благовещенск дошел до Хабаровска. По прибытию самолет мобилизовали для выполнения специальных заданий. После их выполнения СССР-Н8 встал на смену моторов, а далее Леваневский получил правительственное распоряжение направиться в Анадырь для доставки американского пилота Маттерна на Аляску. В тяжелых метеоусловиях самолет совершил перелет по маршруту: Хабаровск - Николаевск - Охотск - б. Нагаево - Янек - Пенжин- ская губа - Марково - Анадырь. Захватив Маттерна и оборудование его машины, Леваневский 20 июля прибыл на Аляску в Ном. Затем СССР-Н8 прошел по северному побережью Чукотки и выполнил ряд ледовых разведок для судов Колымской экспедиции 1933 г. и зимующего каравана судов Колымской экспедиции 1932 г.</w:t>
      </w:r>
    </w:p>
    <w:p w14:paraId="779101DA"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Дальнейшие полеты самолета:</w:t>
      </w:r>
    </w:p>
    <w:p w14:paraId="1100FA17"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12-го августа - летал на о. Врангеля; привез сведения, что зимовщики здоровы и что зимовка прошла благополучно.</w:t>
      </w:r>
    </w:p>
    <w:p w14:paraId="6D86FB6D"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18-го августа - вылетал к м. Биллингс навстречу судам.</w:t>
      </w:r>
    </w:p>
    <w:p w14:paraId="6E6871D7"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r w:rsidRPr="00C33834">
        <w:rPr>
          <w:rFonts w:ascii="Times New Roman" w:hAnsi="Times New Roman"/>
          <w:color w:val="000000" w:themeColor="text1"/>
          <w:sz w:val="16"/>
          <w:szCs w:val="16"/>
        </w:rPr>
        <w:tab/>
        <w:t>го</w:t>
      </w:r>
      <w:r w:rsidRPr="00C33834">
        <w:rPr>
          <w:rFonts w:ascii="Times New Roman" w:hAnsi="Times New Roman"/>
          <w:color w:val="000000" w:themeColor="text1"/>
          <w:sz w:val="16"/>
          <w:szCs w:val="16"/>
        </w:rPr>
        <w:tab/>
        <w:t>августа - на м. Северный, встретив в пути шквал с пургой.</w:t>
      </w:r>
    </w:p>
    <w:p w14:paraId="37E43F04"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r w:rsidRPr="00C33834">
        <w:rPr>
          <w:rFonts w:ascii="Times New Roman" w:hAnsi="Times New Roman"/>
          <w:color w:val="000000" w:themeColor="text1"/>
          <w:sz w:val="16"/>
          <w:szCs w:val="16"/>
        </w:rPr>
        <w:tab/>
        <w:t>го</w:t>
      </w:r>
      <w:r w:rsidRPr="00C33834">
        <w:rPr>
          <w:rFonts w:ascii="Times New Roman" w:hAnsi="Times New Roman"/>
          <w:color w:val="000000" w:themeColor="text1"/>
          <w:sz w:val="16"/>
          <w:szCs w:val="16"/>
        </w:rPr>
        <w:tab/>
        <w:t>- вылетел на м. Ванкарем для разведки проходов судам "Сунчан" и "Партизан".</w:t>
      </w:r>
    </w:p>
    <w:p w14:paraId="4A52444F"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25-го августа самолет находился на мысе Северном, а к 27 августа прошел в устье Лены.</w:t>
      </w:r>
    </w:p>
    <w:p w14:paraId="51136BF5"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навигации, 24 сентября, СССР-Н8 прибыл в Иркутск, где экипаж сдал его в авиаремонтные мастерские Аэрофлота. Налет за год составил 222 часа, пройденное расстояние - свыше 37000 км.</w:t>
      </w:r>
    </w:p>
    <w:p w14:paraId="71216700"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Летом 1934 г. СССР-Н8 использовался для проведения ледовой разведки в море Лаптевых. Командир П.Г.Головин, штурман А.П.Ште- пенко (у него это был первый сезон работы в Арктике, поэтому вылетел в легоньком кителе) бортмеханики Н.Л.Кекушев и Краснопевков (11970).</w:t>
      </w:r>
    </w:p>
    <w:p w14:paraId="29795267" w14:textId="77777777" w:rsidR="008C5AAD" w:rsidRPr="00C33834" w:rsidRDefault="008C5AAD" w:rsidP="00C33834">
      <w:pPr>
        <w:spacing w:after="0" w:line="240" w:lineRule="auto"/>
        <w:jc w:val="both"/>
        <w:rPr>
          <w:rFonts w:ascii="Times New Roman" w:hAnsi="Times New Roman"/>
          <w:color w:val="000000" w:themeColor="text1"/>
          <w:sz w:val="16"/>
          <w:szCs w:val="16"/>
        </w:rPr>
      </w:pPr>
    </w:p>
    <w:p w14:paraId="5ADA1457" w14:textId="77777777" w:rsidR="002D5408" w:rsidRPr="00C33834" w:rsidRDefault="002D540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28 мая 1933 опросом членов ПБ</w:t>
      </w:r>
    </w:p>
    <w:p w14:paraId="7B4B414B" w14:textId="77777777" w:rsidR="002D5408" w:rsidRPr="00C33834" w:rsidRDefault="002D540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131/110.- О перелете немецких аэропланов.</w:t>
      </w:r>
    </w:p>
    <w:p w14:paraId="1114DC7A" w14:textId="77777777" w:rsidR="002D5408" w:rsidRPr="00C33834" w:rsidRDefault="002D540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Разрешить однократный перелет через СССР в Западный Китай по маршруту Дерулюфта до Москвы, а затем через Казань-Свердловск-Семипалатинск- Сергиополь трех аэропланов, принадлежащих гер</w:t>
      </w:r>
      <w:r w:rsidRPr="00C33834">
        <w:rPr>
          <w:rFonts w:ascii="Times New Roman" w:hAnsi="Times New Roman"/>
          <w:color w:val="0070C0"/>
          <w:sz w:val="16"/>
          <w:szCs w:val="16"/>
        </w:rPr>
        <w:softHyphen/>
        <w:t>манскому обществу воздушных сообщений - "Люфт- ханза".</w:t>
      </w:r>
    </w:p>
    <w:p w14:paraId="685ADC1B" w14:textId="77777777" w:rsidR="002D5408" w:rsidRPr="00C33834" w:rsidRDefault="002D540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Крестинскому,Анвельту, Артузову.</w:t>
      </w:r>
    </w:p>
    <w:p w14:paraId="00BAE2F6" w14:textId="77777777" w:rsidR="002D5408" w:rsidRPr="00C33834" w:rsidRDefault="002D540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132/111.- Вопросы Комиссии обороны.</w:t>
      </w:r>
    </w:p>
    <w:p w14:paraId="1CA1A11B" w14:textId="77777777" w:rsidR="002D5408" w:rsidRPr="00C33834" w:rsidRDefault="002D540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Для закупки за границей недостающего коли</w:t>
      </w:r>
      <w:r w:rsidRPr="00C33834">
        <w:rPr>
          <w:rFonts w:ascii="Times New Roman" w:hAnsi="Times New Roman"/>
          <w:color w:val="0070C0"/>
          <w:sz w:val="16"/>
          <w:szCs w:val="16"/>
        </w:rPr>
        <w:softHyphen/>
        <w:t>чества дальномеров (8 и 6 метровых) для батарей выделить НКВМ валютные контингенты в раэмере  300.000 руб.</w:t>
      </w:r>
    </w:p>
    <w:p w14:paraId="7FAE42F3" w14:textId="77777777" w:rsidR="002D5408" w:rsidRPr="00C33834" w:rsidRDefault="002D540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Заказ произвести немедленно.</w:t>
      </w:r>
    </w:p>
    <w:p w14:paraId="5B4B6E2E" w14:textId="77777777" w:rsidR="002D5408" w:rsidRPr="00C33834" w:rsidRDefault="002D540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Обязать НКВТ т. Розенгольц немедленно ввезти металлического калия, металлического натрия, бромис</w:t>
      </w:r>
      <w:r w:rsidRPr="00C33834">
        <w:rPr>
          <w:rFonts w:ascii="Times New Roman" w:hAnsi="Times New Roman"/>
          <w:color w:val="0070C0"/>
          <w:sz w:val="16"/>
          <w:szCs w:val="16"/>
        </w:rPr>
        <w:softHyphen/>
        <w:t>того натрия и химически-чистого свинца на общую сумму 300.000 р. (валютой) для выполнения програм</w:t>
      </w:r>
      <w:r w:rsidRPr="00C33834">
        <w:rPr>
          <w:rFonts w:ascii="Times New Roman" w:hAnsi="Times New Roman"/>
          <w:color w:val="0070C0"/>
          <w:sz w:val="16"/>
          <w:szCs w:val="16"/>
        </w:rPr>
        <w:softHyphen/>
        <w:t>мы по этиловой жидкости.</w:t>
      </w:r>
    </w:p>
    <w:p w14:paraId="77CED3B8" w14:textId="77777777" w:rsidR="002D5408" w:rsidRPr="00C33834" w:rsidRDefault="002D540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Базилевичу, Розенгольцу, Ворошилову.</w:t>
      </w:r>
    </w:p>
    <w:p w14:paraId="549D2118" w14:textId="77777777" w:rsidR="002D5408" w:rsidRPr="00C33834" w:rsidRDefault="002D540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июня 1933 состоялось заседание ПБ и был оформлен протокол № 138 (22988).</w:t>
      </w:r>
    </w:p>
    <w:p w14:paraId="2B0B7B40" w14:textId="77777777" w:rsidR="002D5408" w:rsidRPr="00C33834" w:rsidRDefault="002D5408" w:rsidP="00C33834">
      <w:pPr>
        <w:spacing w:after="0" w:line="240" w:lineRule="auto"/>
        <w:jc w:val="both"/>
        <w:rPr>
          <w:rFonts w:ascii="Times New Roman" w:hAnsi="Times New Roman"/>
          <w:color w:val="0070C0"/>
          <w:sz w:val="16"/>
          <w:szCs w:val="16"/>
        </w:rPr>
      </w:pPr>
    </w:p>
    <w:p w14:paraId="2E5B065F" w14:textId="77777777" w:rsidR="008C5AAD"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751032E4" w14:textId="77777777" w:rsidR="008C5AAD" w:rsidRPr="00C33834" w:rsidRDefault="008C5AAD" w:rsidP="00C33834">
      <w:pPr>
        <w:spacing w:after="0" w:line="240" w:lineRule="auto"/>
        <w:jc w:val="both"/>
        <w:rPr>
          <w:rFonts w:ascii="Times New Roman" w:hAnsi="Times New Roman"/>
          <w:color w:val="000000" w:themeColor="text1"/>
          <w:sz w:val="16"/>
          <w:szCs w:val="16"/>
        </w:rPr>
      </w:pPr>
    </w:p>
    <w:p w14:paraId="097D4081"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мая 1933 зампред ОГПУ, Г. Е. Прокофьев, ответил наркому путей сообщения:</w:t>
      </w:r>
    </w:p>
    <w:p w14:paraId="25204917"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время переговоров между НКПС и Гл. упр. лагерей ОГПУ, происходивших в конце апреля, действительно было дано принципиальное согласие на предоставление 3.100 человек заключенных для разработки Райчихинских каменноугольных месторождений.</w:t>
      </w:r>
    </w:p>
    <w:p w14:paraId="62A0C1FB"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в связи с постановлением СНК и ЦК ВКП(б) от 08.05.33 должно произойти резкое сокращение числа заключенных и перед ОГПУ стоит задача обеспечения рабочей силой тех работ, которые уже возложены на ОГПУ Правительством.</w:t>
      </w:r>
    </w:p>
    <w:p w14:paraId="4C3EB717"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 положение является основным мотивом, по которому ОГПУ не может взять на себя работ по освоению добычи угля на Райчихинском месторождении» (7560).</w:t>
      </w:r>
    </w:p>
    <w:p w14:paraId="1D02BF54" w14:textId="77777777" w:rsidR="008C5AAD" w:rsidRPr="00C33834" w:rsidRDefault="008C5AAD" w:rsidP="00C33834">
      <w:pPr>
        <w:spacing w:after="0" w:line="240" w:lineRule="auto"/>
        <w:jc w:val="both"/>
        <w:rPr>
          <w:rFonts w:ascii="Times New Roman" w:hAnsi="Times New Roman"/>
          <w:color w:val="000000" w:themeColor="text1"/>
          <w:sz w:val="16"/>
          <w:szCs w:val="16"/>
        </w:rPr>
      </w:pPr>
    </w:p>
    <w:p w14:paraId="0D72C86B" w14:textId="77777777" w:rsidR="008C5AAD" w:rsidRPr="00C33834" w:rsidRDefault="008C5AAD"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28 мая 1933 г. Демонстрационная передача механического ТВ 30 строк на установке в Политехническом музее (Москва) на экране 1 х 1,3 м. Разработка ВЭИ (11482).</w:t>
      </w:r>
    </w:p>
    <w:p w14:paraId="077F6E9E" w14:textId="77777777" w:rsidR="008C5AAD" w:rsidRPr="00C33834" w:rsidRDefault="008C5AAD" w:rsidP="00C33834">
      <w:pPr>
        <w:pStyle w:val="af2"/>
        <w:jc w:val="both"/>
        <w:rPr>
          <w:i w:val="0"/>
          <w:iCs w:val="0"/>
          <w:color w:val="000000" w:themeColor="text1"/>
          <w:spacing w:val="0"/>
          <w:kern w:val="0"/>
          <w:position w:val="0"/>
          <w:sz w:val="16"/>
          <w:szCs w:val="16"/>
          <w:lang w:val="ru-RU"/>
        </w:rPr>
      </w:pPr>
    </w:p>
    <w:p w14:paraId="3EC34A49"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мая 1933 года началась навигация на Беломоро-Балтийском канале (9046)</w:t>
      </w:r>
    </w:p>
    <w:p w14:paraId="6505B6C6" w14:textId="77777777" w:rsidR="008C5AAD" w:rsidRPr="00C33834" w:rsidRDefault="008C5AAD" w:rsidP="00C33834">
      <w:pPr>
        <w:spacing w:after="0" w:line="240" w:lineRule="auto"/>
        <w:jc w:val="both"/>
        <w:rPr>
          <w:rFonts w:ascii="Times New Roman" w:hAnsi="Times New Roman"/>
          <w:iCs/>
          <w:color w:val="000000" w:themeColor="text1"/>
          <w:sz w:val="16"/>
          <w:szCs w:val="16"/>
        </w:rPr>
      </w:pPr>
    </w:p>
    <w:p w14:paraId="2741A51F"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28 мая 1933 г. по каналу начал движение первый караван судов. Караван сопровождался землечерпалками, доводившими глубину на фарватере до проектных 12 футов. </w:t>
      </w:r>
    </w:p>
    <w:p w14:paraId="1C684BEA"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Беломорско-Балтийский канал был построен. Он обошелся в 101 316 тыс. рублей, из которых 17 316 тыс. рублей было покрыто за счет выполнения Беломорстроем работ по договорам с другими организациями. Строители полностью уложились в проектную смету. Постановлением ЦК ВКП(б) от 2 августа 1933 г. канал был официально зачислен в число действующих водных путей Союза ССР. В постановлении особо подчеркивался масштаб проделанной работы. На трассе канала возведено 128 гидротехнических сооружений: 19 шлюзов, 15 плотин, 12 водоспусков, 49 дамб и 33 искусственных канала. Вынуто 21 млн. кубометров грунта, уложено 390 тыс. кубометров бетона и 921 тыс. кубометров ряжевых конструкций. Строительство обошлось почти в 4 раза дешевле первоначальной сметной стоимости и было закончено точно в срок. </w:t>
      </w:r>
    </w:p>
    <w:p w14:paraId="68350594"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Тем временем к переходу по трассе канала готовилась первая группа военных кораблей Балтийского флота. Хотя официально канал был принят в эксплуатацию только 2 августа 1933 г., интересы обороны страны требовали скорейшего создания на Севере военно-морской группировки. </w:t>
      </w:r>
    </w:p>
    <w:p w14:paraId="5523FA19"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Еще 18 мая 1933 г., когда на ББК заканчивали 18-й и 19-й шлюзы, из Ленинграда вышли эскадренные миноносцы "Урицкий", "Валериан Куйбышев", сторожевые корабли "Смерч" и "Ураган", подводные лодки Д-1, Д-2. Для обеспечения прохода по фарватеру с кораблей было снято вооружение и выгружена часть топлива. Первая экспедиция часто отстаивалась в ожидании окончания работ, поэтому ее переход длился довольно долго. Но все же к 21 июля 1933 г. эскадра, перевооруженная и в полной боевой готовности, уже смогла принять на борт руководителей советского государства в Сорокской губе. Ядро Северной Военной флотилии было создано. </w:t>
      </w:r>
    </w:p>
    <w:p w14:paraId="603E6A2C"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Каково было значение Беломорско-Балтийского канала? Если до открытия канала суда тратили на переход из Ленинграда в Архангельск 17 дней, то с начала навигации такой путь стал занимать не больше 4 дней. Судовой путь пролегал по советской территории, что создало условия для усиления советской военно-морской мощи на Севере путем межтеатрового маневра кораблей Балтфлота. При отсутствии канала создание сколько-нибудь значительных морских сил было невозможно. Семнадцатидневный переход вокруг Скандинавии при полном отсутствии промежуточных баз, невозможности пополнения запасов был не под силу военным кораблям среднего и малого водоизмещения. Дальность плавания советских эскадренных миноносцев того времени составляла 1700 миль, а между Кронштадтом и Полярным лежали 2300 миль штормового моря. </w:t>
      </w:r>
    </w:p>
    <w:p w14:paraId="557BF2B3"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Открытие навигации по ББК дало стратегический выигрыш почти немедленно. Все 20-е годы в Белом море продолжалась "тюленья война": конфликт между СССР и Норвегией из-за биологических ресурсов. Каждую весну сотни норвежских и английских траулеров входили в горло Белого моря и методично выбивали беломорского тюленя. Попытки слабых судов морской пограничной охраны вмешаться в ситуацию немедленно пресекались норвежскими и британскими военными кораблями. Насколько широко была поставлена "силовая поддержка", видно из того, что на границе территориальных вод СССР в путину постоянно находилась эскадра британского флота, с крейсером в качестве флагмана. Дело дважды, в 1929 и 1930 годах, доходило до обстрела советской территории норвежскими кораблями. </w:t>
      </w:r>
    </w:p>
    <w:p w14:paraId="0F1A9944"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Урегулировать конфликт политическим путем было невозможно: королевство Норвегия не признавало СССР. Зато летом 1933 г., с переброской по каналу подводных лодок, норвежская сторона настолько изменила свою позицию, что стало возможным восстановление между странами дипломатических отношений. До начала Великой Отечественной войны было проведено б операций по переброске каналом эскадренных миноносцев, 2 операции по переброске сторожевых кораблей и 9 (!) перебросок подводных лодок. Три корабля, эсминцы "Сталин" и "Войков" и подводная лодка Щ-404, по Северному морскому пути перешли на Дальний Восток и вошли в состав ТОФ (переброска кораблей этого класса другим путем для СССР в 30-е гг. была невозможна). </w:t>
      </w:r>
    </w:p>
    <w:p w14:paraId="0A76902F"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Всего в 1933–1941 гг. по каналу было переведено на Север 10 эсминцев, 3 сторожевых корабля и 26 подводных лодок. Последние корабли прошли по трассе 29 августа 1941 г. </w:t>
      </w:r>
    </w:p>
    <w:p w14:paraId="018623AF"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Значение ББК для обороны СССР вполне осознавалось военными деятелями Запада. В 1940 г., когда Англия и Франция готовились в порядке помощи Финляндии высадить десант на севере СССР, командующий французским флотом адмирал Ж. Дарлан настаивал на захвате канала неповрежденным, считая его использование союзниками ключевым фактором для захвата Ленинграда. Все оперативные планы финской армии, составлявшиеся в 1940–1941 гг., непременно предусматривали захват либо вывод из строя сооружений канала, который считался в Хельсинки "главной опорой" Советской власти в Карелии. А военно-морской атташе Германии в мае 1941 г. высказывал тревогу по поводу того, что "Балтийский и Северный флоты русских благодаря Беломорскому каналу служат резервом друг для друга". В том, что в годы Великой Отечественной войны успешные действия Северного флота способствовали удержанию Советского Заполярья, тоже состоит значение Беломорско-Балтийского канала (12107).</w:t>
      </w:r>
    </w:p>
    <w:p w14:paraId="1213A46D" w14:textId="77777777" w:rsidR="008C5AAD" w:rsidRPr="00C33834" w:rsidRDefault="008C5AAD" w:rsidP="00C33834">
      <w:pPr>
        <w:spacing w:after="0" w:line="240" w:lineRule="auto"/>
        <w:jc w:val="both"/>
        <w:rPr>
          <w:rFonts w:ascii="Times New Roman" w:hAnsi="Times New Roman"/>
          <w:color w:val="000000" w:themeColor="text1"/>
          <w:sz w:val="16"/>
          <w:szCs w:val="16"/>
        </w:rPr>
      </w:pPr>
    </w:p>
    <w:p w14:paraId="1697B7C0" w14:textId="77777777" w:rsidR="008C5AAD"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55711109" w14:textId="77777777" w:rsidR="008C5AAD" w:rsidRPr="00C33834" w:rsidRDefault="008C5AAD" w:rsidP="00C33834">
      <w:pPr>
        <w:spacing w:after="0" w:line="240" w:lineRule="auto"/>
        <w:jc w:val="both"/>
        <w:rPr>
          <w:rFonts w:ascii="Times New Roman" w:hAnsi="Times New Roman"/>
          <w:iCs/>
          <w:color w:val="000000" w:themeColor="text1"/>
          <w:sz w:val="16"/>
          <w:szCs w:val="16"/>
        </w:rPr>
      </w:pPr>
    </w:p>
    <w:p w14:paraId="6DA76504"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мая 1933 г. «Боккельберг отбыл, сопровождаемый добрыми пожеланиями своих друзей, но еще до прибытия его группы в Берлин. Красная Армия внезапно потребовала, чтобы райхсвер полностью ликвидировал все свои предприятия в России. Вскоре русские в резкой форме отказались от дальнейшего прохождения каких-либо курсов в германской военной академии». Так описывал ситуацию Хильгер (Hilger Gustav. Op. cit. S. 246.). 30 мая заместитель военного атташе в Берлине Шниттман заявил немцам об отказе в проведении совместных опытов на полигоне «Томка» и посылке советских курсантов в танковую школу в Казани (РГВА, ф. 33987, on. 3, д. 497, л. 146-147.) (11784).</w:t>
      </w:r>
    </w:p>
    <w:p w14:paraId="49DB2B69" w14:textId="77777777" w:rsidR="008C5AAD" w:rsidRPr="00C33834" w:rsidRDefault="008C5AAD" w:rsidP="00C33834">
      <w:pPr>
        <w:spacing w:after="0" w:line="240" w:lineRule="auto"/>
        <w:jc w:val="both"/>
        <w:rPr>
          <w:rFonts w:ascii="Times New Roman" w:hAnsi="Times New Roman"/>
          <w:color w:val="000000" w:themeColor="text1"/>
          <w:sz w:val="16"/>
          <w:szCs w:val="16"/>
        </w:rPr>
      </w:pPr>
    </w:p>
    <w:p w14:paraId="781D36C7"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мая 1933 г. первый из 10 закупленных в СССР Р-5 прибыл в Тегеран. На нем иранский летчик А. Макуи, выпускник Качинской летной школы, успешно совершил перелет . Остальные Р-5 перевозились в разобранном виде. Из Москвы их везли по железной дороге, а затем по Каспию в иранский порт Пехлеви. Советские Р-5 успешно эксплуатировались в иранских ВВС сначала как боевые, а с конца 1934 г. как тренировочные. В отличие от поставлявшихся иранцам Р-1 в боевых действиях они никогда не участвовали. Когда в Иране списали последние Р-5 - неизвестно (12034).</w:t>
      </w:r>
    </w:p>
    <w:p w14:paraId="13CB761E" w14:textId="77777777" w:rsidR="008C5AAD" w:rsidRPr="00C33834" w:rsidRDefault="008C5AAD" w:rsidP="00C33834">
      <w:pPr>
        <w:spacing w:after="0" w:line="240" w:lineRule="auto"/>
        <w:jc w:val="both"/>
        <w:rPr>
          <w:rFonts w:ascii="Times New Roman" w:hAnsi="Times New Roman"/>
          <w:color w:val="000000" w:themeColor="text1"/>
          <w:sz w:val="16"/>
          <w:szCs w:val="16"/>
        </w:rPr>
      </w:pPr>
    </w:p>
    <w:p w14:paraId="7F7F2041" w14:textId="77777777" w:rsidR="008C5AAD"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B056921" w14:textId="77777777" w:rsidR="008C5AAD" w:rsidRPr="00C33834" w:rsidRDefault="008C5AAD" w:rsidP="00C33834">
      <w:pPr>
        <w:spacing w:after="0" w:line="240" w:lineRule="auto"/>
        <w:jc w:val="both"/>
        <w:rPr>
          <w:rFonts w:ascii="Times New Roman" w:hAnsi="Times New Roman"/>
          <w:iCs/>
          <w:color w:val="000000" w:themeColor="text1"/>
          <w:sz w:val="16"/>
          <w:szCs w:val="16"/>
        </w:rPr>
      </w:pPr>
    </w:p>
    <w:p w14:paraId="299EF939"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мая 1933 ТБ-3 (АНТ-6) N 2221 с М-34 закончились заводские испытания, которые шли с 8 марта 1933. Скорость выросла всего на 10 км/час (1854,8).</w:t>
      </w:r>
    </w:p>
    <w:p w14:paraId="52CBB834" w14:textId="77777777" w:rsidR="008C5AAD" w:rsidRPr="00C33834" w:rsidRDefault="008C5AAD" w:rsidP="00C33834">
      <w:pPr>
        <w:spacing w:after="0" w:line="240" w:lineRule="auto"/>
        <w:jc w:val="both"/>
        <w:rPr>
          <w:rFonts w:ascii="Times New Roman" w:hAnsi="Times New Roman"/>
          <w:color w:val="000000" w:themeColor="text1"/>
          <w:sz w:val="16"/>
          <w:szCs w:val="16"/>
        </w:rPr>
      </w:pPr>
    </w:p>
    <w:p w14:paraId="6C667B14"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мая 1933 ТБ-3 (АНТ-6) N 2221с 4М-34 ОЭЛИД ЦАГИ на самом деле потерпел аварию на ЦА (2331,220).</w:t>
      </w:r>
    </w:p>
    <w:p w14:paraId="328CA674" w14:textId="77777777" w:rsidR="008C5AAD" w:rsidRPr="00C33834" w:rsidRDefault="008C5AAD" w:rsidP="00C33834">
      <w:pPr>
        <w:spacing w:after="0" w:line="240" w:lineRule="auto"/>
        <w:jc w:val="both"/>
        <w:rPr>
          <w:rFonts w:ascii="Times New Roman" w:hAnsi="Times New Roman"/>
          <w:color w:val="000000" w:themeColor="text1"/>
          <w:sz w:val="16"/>
          <w:szCs w:val="16"/>
        </w:rPr>
      </w:pPr>
    </w:p>
    <w:p w14:paraId="58DA711A" w14:textId="77777777" w:rsidR="008C5AAD" w:rsidRPr="00C33834" w:rsidRDefault="008C5AAD"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мая 1933 М.М. Громову не хватило тяги для взлета, машина рухнула вниз и встала на нос. Взамен списанного прислали новый ТБ-3 и к нему комп</w:t>
      </w:r>
      <w:r w:rsidRPr="00C33834">
        <w:rPr>
          <w:rFonts w:ascii="Times New Roman" w:hAnsi="Times New Roman"/>
          <w:color w:val="000000" w:themeColor="text1"/>
          <w:sz w:val="16"/>
          <w:szCs w:val="16"/>
        </w:rPr>
        <w:softHyphen/>
        <w:t>лект моторов, уже из 3-й серии. При монтаже обнаружили, что габариты и посадочные места для двигателей разных серий не совпадают: при</w:t>
      </w:r>
      <w:r w:rsidRPr="00C33834">
        <w:rPr>
          <w:rFonts w:ascii="Times New Roman" w:hAnsi="Times New Roman"/>
          <w:color w:val="000000" w:themeColor="text1"/>
          <w:sz w:val="16"/>
          <w:szCs w:val="16"/>
        </w:rPr>
        <w:softHyphen/>
        <w:t>шлось резать капоты и переделывать моторамы. Результат испытаний: ско</w:t>
      </w:r>
      <w:r w:rsidRPr="00C33834">
        <w:rPr>
          <w:rFonts w:ascii="Times New Roman" w:hAnsi="Times New Roman"/>
          <w:color w:val="000000" w:themeColor="text1"/>
          <w:sz w:val="16"/>
          <w:szCs w:val="16"/>
        </w:rPr>
        <w:softHyphen/>
        <w:t>рость по сравнению с серийными машинами с М-17 не изменилась, потолок - упал. У многих возникал резонный воп</w:t>
      </w:r>
      <w:r w:rsidRPr="00C33834">
        <w:rPr>
          <w:rFonts w:ascii="Times New Roman" w:hAnsi="Times New Roman"/>
          <w:color w:val="000000" w:themeColor="text1"/>
          <w:sz w:val="16"/>
          <w:szCs w:val="16"/>
        </w:rPr>
        <w:softHyphen/>
        <w:t>рос: а нужно ли было внедрять М-34 в производство? В УВВС решили, что все-таки стоит. Пришли к выводу, что в настоящем виде микулинский мо</w:t>
      </w:r>
      <w:r w:rsidRPr="00C33834">
        <w:rPr>
          <w:rFonts w:ascii="Times New Roman" w:hAnsi="Times New Roman"/>
          <w:color w:val="000000" w:themeColor="text1"/>
          <w:sz w:val="16"/>
          <w:szCs w:val="16"/>
        </w:rPr>
        <w:softHyphen/>
        <w:t>тор выгод не дает, но имеет перс</w:t>
      </w:r>
      <w:r w:rsidRPr="00C33834">
        <w:rPr>
          <w:rFonts w:ascii="Times New Roman" w:hAnsi="Times New Roman"/>
          <w:color w:val="000000" w:themeColor="text1"/>
          <w:sz w:val="16"/>
          <w:szCs w:val="16"/>
        </w:rPr>
        <w:softHyphen/>
        <w:t>пективы совершенствования в буду</w:t>
      </w:r>
      <w:r w:rsidRPr="00C33834">
        <w:rPr>
          <w:rFonts w:ascii="Times New Roman" w:hAnsi="Times New Roman"/>
          <w:color w:val="000000" w:themeColor="text1"/>
          <w:sz w:val="16"/>
          <w:szCs w:val="16"/>
        </w:rPr>
        <w:softHyphen/>
        <w:t>щем. Производство же следует про</w:t>
      </w:r>
      <w:r w:rsidRPr="00C33834">
        <w:rPr>
          <w:rFonts w:ascii="Times New Roman" w:hAnsi="Times New Roman"/>
          <w:color w:val="000000" w:themeColor="text1"/>
          <w:sz w:val="16"/>
          <w:szCs w:val="16"/>
        </w:rPr>
        <w:softHyphen/>
        <w:t>должать для того, чтобы и промыш</w:t>
      </w:r>
      <w:r w:rsidRPr="00C33834">
        <w:rPr>
          <w:rFonts w:ascii="Times New Roman" w:hAnsi="Times New Roman"/>
          <w:color w:val="000000" w:themeColor="text1"/>
          <w:sz w:val="16"/>
          <w:szCs w:val="16"/>
        </w:rPr>
        <w:softHyphen/>
        <w:t>ленность освоила необходимую тех</w:t>
      </w:r>
      <w:r w:rsidRPr="00C33834">
        <w:rPr>
          <w:rFonts w:ascii="Times New Roman" w:hAnsi="Times New Roman"/>
          <w:color w:val="000000" w:themeColor="text1"/>
          <w:sz w:val="16"/>
          <w:szCs w:val="16"/>
        </w:rPr>
        <w:softHyphen/>
        <w:t>нологию, а ВВС - эксплуатацию. А кроме того - тогда ничего лучшего наши моторостроители предложить просто не могли. Далее успехи производственников перемежались с неудачами. 4-я се</w:t>
      </w:r>
      <w:r w:rsidRPr="00C33834">
        <w:rPr>
          <w:rFonts w:ascii="Times New Roman" w:hAnsi="Times New Roman"/>
          <w:color w:val="000000" w:themeColor="text1"/>
          <w:sz w:val="16"/>
          <w:szCs w:val="16"/>
        </w:rPr>
        <w:softHyphen/>
        <w:t>рия («Г») была забракована полнос</w:t>
      </w:r>
      <w:r w:rsidRPr="00C33834">
        <w:rPr>
          <w:rFonts w:ascii="Times New Roman" w:hAnsi="Times New Roman"/>
          <w:color w:val="000000" w:themeColor="text1"/>
          <w:sz w:val="16"/>
          <w:szCs w:val="16"/>
        </w:rPr>
        <w:softHyphen/>
        <w:t>тью - на контрольных испытаниях вышли из строя подряд три мотора. В них выявили трещины коленчатого вала, картера, разрушение головок шатунов, задиры поршней, течь воды в картер (то есть в масло). В итоге все 145 двигателей серии отправи</w:t>
      </w:r>
      <w:r w:rsidRPr="00C33834">
        <w:rPr>
          <w:rFonts w:ascii="Times New Roman" w:hAnsi="Times New Roman"/>
          <w:color w:val="000000" w:themeColor="text1"/>
          <w:sz w:val="16"/>
          <w:szCs w:val="16"/>
        </w:rPr>
        <w:softHyphen/>
        <w:t>ли на переборку, а производство временно приостановили. Серию «Д» в июле приемщики пропустили, а «Е» в сентябре опять была забракована. Инспектор Уп</w:t>
      </w:r>
      <w:r w:rsidRPr="00C33834">
        <w:rPr>
          <w:rFonts w:ascii="Times New Roman" w:hAnsi="Times New Roman"/>
          <w:color w:val="000000" w:themeColor="text1"/>
          <w:sz w:val="16"/>
          <w:szCs w:val="16"/>
        </w:rPr>
        <w:softHyphen/>
        <w:t>равления материально-технического снабжения в июле 1933 г. доклады</w:t>
      </w:r>
      <w:r w:rsidRPr="00C33834">
        <w:rPr>
          <w:rFonts w:ascii="Times New Roman" w:hAnsi="Times New Roman"/>
          <w:color w:val="000000" w:themeColor="text1"/>
          <w:sz w:val="16"/>
          <w:szCs w:val="16"/>
        </w:rPr>
        <w:softHyphen/>
        <w:t>вал в УВВС: «Качество моторов М-34, выпускаемых заводом, с начала производства оставляет желать мно</w:t>
      </w:r>
      <w:r w:rsidRPr="00C33834">
        <w:rPr>
          <w:rFonts w:ascii="Times New Roman" w:hAnsi="Times New Roman"/>
          <w:color w:val="000000" w:themeColor="text1"/>
          <w:sz w:val="16"/>
          <w:szCs w:val="16"/>
        </w:rPr>
        <w:softHyphen/>
        <w:t>го лучшего» (11848).</w:t>
      </w:r>
    </w:p>
    <w:p w14:paraId="4F31DECB" w14:textId="77777777" w:rsidR="008C5AAD" w:rsidRPr="00C33834" w:rsidRDefault="008C5AAD" w:rsidP="00C33834">
      <w:pPr>
        <w:shd w:val="clear" w:color="auto" w:fill="FFFFFF"/>
        <w:spacing w:after="0" w:line="240" w:lineRule="auto"/>
        <w:jc w:val="both"/>
        <w:rPr>
          <w:rFonts w:ascii="Times New Roman" w:hAnsi="Times New Roman"/>
          <w:color w:val="000000" w:themeColor="text1"/>
          <w:sz w:val="16"/>
          <w:szCs w:val="16"/>
        </w:rPr>
      </w:pPr>
    </w:p>
    <w:p w14:paraId="473CDE3F"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мая 1933 года зам. начальника ГУАП Макаровский писал письмо № Н-151/сс в СНК Базилевичу, копия НК РКИ Куйбышеву</w:t>
      </w:r>
    </w:p>
    <w:p w14:paraId="05270230"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 724/КО от 21 мая 1933 года</w:t>
      </w:r>
    </w:p>
    <w:p w14:paraId="448BA31C"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проекту постановления СТО об опытном дизелестроении, внесенного НК РКИ, считаю необходимым внести следующие изменения:</w:t>
      </w:r>
    </w:p>
    <w:p w14:paraId="3BFD4170"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 2 – указание Баранову (ГУАП) в части невыполнения постановления СТО от 4 июля 1932 года по опытному строительству должно быть снято, так как со стороны ГУАП были приняты все меры по развертыванию в ЦИАМе опытных и научно-исследовательских работ и созданию собственной производственной базы.</w:t>
      </w:r>
    </w:p>
    <w:p w14:paraId="7DC43E79"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Основными причинами невыполнения в сроки плана, утвержденного Правительством явилось то, что в вопросах дизелестроения не только у нас, но и за границей нет еще достаточно накопленного опыта, который позволил бы иметь на сегодня вполне годный к эксплоатации двигатель. Ряд заграничных фирм (Паккард, Юнкерс, Даймлер-Бенц и др.), работающих над этой проблемой в течение многих лет, до настоящего времени не имеют серийного выпуска двигателей и их работы еще не вышли из опытной стадии.</w:t>
      </w:r>
    </w:p>
    <w:p w14:paraId="6C9DB186"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ускорения разрешения проблемы дизелестроения ГУАП предполагал пригласить иностранных специалистов, но эта возможность отпала, так как требуемых специалистов пригласить не представилось возможным из-за отсутствия их за границей. Кроме того, имеющийся опыт приглашения специалистов по самолетостроению (Ришар, Лявилль) не дал положительных результатов.</w:t>
      </w:r>
    </w:p>
    <w:p w14:paraId="78B04E66"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Отсутствие опыта вызвало необходимость пойти по пути развития предварительного, широкого экспериментирования для последовательного разрешения задач.</w:t>
      </w:r>
    </w:p>
    <w:p w14:paraId="1EBC8E7A"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Велись предварительные усиленные работы по изучению процесса сгорания, впрыска топлива, по изучению форм камеры сгорания, что потребовало изготовления и изучения нескольких одноцилиндровых установок (ОН-1, ОН-3, ОН-3а, ОН-3в, Т-17).</w:t>
      </w:r>
    </w:p>
    <w:p w14:paraId="42B295B1"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Только на базе собственного экспериментирования и накопления опыта были развернуты работы по проектированию нефтяного двигателя Н-1. В настоящее время проектные работы закончены и авиадизель Н-1 находится в производстве на опытном заводе ЦИАМ и в текущем году мотор выходит на заводские испытания. Таким образом со стороны ГУАП приняты все меры к созданию кадра собственных конструкторов и развертыванию производственной базы на опытном заводе ЦИАМ.</w:t>
      </w:r>
    </w:p>
    <w:p w14:paraId="58258A0E"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 3. Не фиксировать срок предъявления дизелей на гос. испытание, а установить срок выхода на заводские испытания, так как работы в области дизелестроения находятся в сугубо определенной экспериментальной стадии.</w:t>
      </w:r>
    </w:p>
    <w:p w14:paraId="332E245C"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гос. испытаний будет определяться в процессе производства заводских испытаний, после доработки двигателя и внесения в него изменений на основе результатов испытаний.</w:t>
      </w:r>
    </w:p>
    <w:p w14:paraId="0C35BF22"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 4. Подтвердить полную ответственность за своевременный выпуск дизеля Н-4 на УВВС Алксниса, являющегося заказчиком данного типа.</w:t>
      </w:r>
    </w:p>
    <w:p w14:paraId="04F22970"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 5, п. а) По мотору Н-1 под ответственность Побережского закончить производство всех деталей к 15 сентября 1933 года, а ……….. и постановку на заводские испытания к 1 ноября 1933 года. п. б) По мотору Н-2 под ответственность Побережского – 1. Выполнить заказ на механическую обработку и сборку к 15 июня; колено кривошипного механизма наддувочного компрессора (для Хиртовского вала) к 1 июля 1933 года (поковки поданы 26 мая 1933 года).</w:t>
      </w:r>
    </w:p>
    <w:p w14:paraId="592C55FF"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Коленчатый вал с комплектом пропел. втулки и кривоколенный механизм наддувного компрессора – через 2,5 месяца после подачи поковок (поковки не поданы). Топливные насосы к 15 июня 1933 года.</w:t>
      </w:r>
    </w:p>
    <w:p w14:paraId="14EC0D34"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Пункт д, 4. Под ответственность Побережского испытания импеллерной группы закончить к 1 августа 1933 года, а сборку мотора в …………………. Закончить к 1 сентября 1933 года.</w:t>
      </w:r>
    </w:p>
    <w:p w14:paraId="3EC33724"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 12. Зам. НКТП Баранову представить в СТО план финансирования опытных работ по дизелестроению к 1 июля 1933 года (4223, 32).</w:t>
      </w:r>
    </w:p>
    <w:p w14:paraId="62274335" w14:textId="77777777" w:rsidR="008C5AAD" w:rsidRPr="00C33834" w:rsidRDefault="008C5AAD" w:rsidP="00C33834">
      <w:pPr>
        <w:spacing w:after="0" w:line="240" w:lineRule="auto"/>
        <w:jc w:val="both"/>
        <w:rPr>
          <w:rFonts w:ascii="Times New Roman" w:hAnsi="Times New Roman"/>
          <w:color w:val="000000" w:themeColor="text1"/>
          <w:sz w:val="16"/>
          <w:szCs w:val="16"/>
        </w:rPr>
      </w:pPr>
    </w:p>
    <w:p w14:paraId="174A2E02" w14:textId="77777777" w:rsidR="000B1B08" w:rsidRPr="00C33834" w:rsidRDefault="000B1B08" w:rsidP="00C33834">
      <w:pPr>
        <w:pStyle w:val="rtejustify"/>
        <w:spacing w:before="0" w:after="0"/>
        <w:rPr>
          <w:color w:val="000000" w:themeColor="text1"/>
          <w:sz w:val="16"/>
          <w:szCs w:val="16"/>
        </w:rPr>
      </w:pPr>
      <w:r w:rsidRPr="00C33834">
        <w:rPr>
          <w:color w:val="000000" w:themeColor="text1"/>
          <w:sz w:val="16"/>
          <w:szCs w:val="16"/>
        </w:rPr>
        <w:t>29 мая 1933 г. в докладной записке ЦАГИ во Всесоюзное объединение авиационной промышленности «О постройке аэродинамических труб государственного значения» говорилось о том, что СССР существенно отстал в этой области от передовых капиталистических стран, и это негативно сказалось на качестве советского самолетостроения и обороноспособности страны. «Принимая во внимание большую программу строительства новых военных самолетов во II пятилетке, характеризующейся постройкой очень быстроходных машин с одной стороны, а с другой, машин колоссального размера, следует со всей категоричностью констатировать полное отсутствие экспериментальной базы для будущего самолетостроения, так как те исследования ведутся в трубах Союза на маленьких моделях, дают результаты, совершенно не отвечающие тому, что получается в натуре у скоростных машин и у машин гигантского размера, которые будут строиться во II пятилетке». В связи с вышеизложенным, ЦАГИ просил построить две большие аэродинамические трубы (винтовую и самолетную) на новом участке института, в Раменском. НКТП должен был включить в программу работ заводов необходимое оборудование по тяжелому машиностроению с таким расчетом, чтобы заказанное оборудование было готово по самолетной трубе в начале 1935 г., а по винтовой трубе к середине 1936 г., а также обеспечить необходимое энергоснабжение новых труб и командировать специалистов в Америку, Германию, Англию для ознакомления с большими трубами. Аналогичную записку ЦАГИ направил в ЦК ВКП(б) 25 ноября 1934 г. Постановлением СТО СССР № С</w:t>
      </w:r>
      <w:r w:rsidRPr="00C33834">
        <w:rPr>
          <w:color w:val="000000" w:themeColor="text1"/>
          <w:sz w:val="16"/>
          <w:szCs w:val="16"/>
        </w:rPr>
        <w:noBreakHyphen/>
        <w:t>108сс от 26 августа 1935 г. «О развитии научно-технических исследований по авиации» были утверждены объемы и сроки строительства лабораторий и аэродрома ЦАГИ на Раменском участке. Была образована комиссия под председательством Г. Л. Пятакова. Этим же постановлением ГУ АП обязывалось построить в 1936</w:t>
      </w:r>
      <w:r w:rsidRPr="00C33834">
        <w:rPr>
          <w:color w:val="000000" w:themeColor="text1"/>
          <w:sz w:val="16"/>
          <w:szCs w:val="16"/>
        </w:rPr>
        <w:noBreakHyphen/>
        <w:t>1937 гг. аэродинамические трубы и лаборатории в Харьковском и Казанском авиационных институтах, а также на заводах № 18, 22, 23, 31 и 125. Для усиления темпов работы научно-исследовательские отделы ЦАГИ объединялись в Научно-исследовательское управление, возглавлявшееся заместителем начальника ЦАГИ. (РГАЭ. Ф. 8328. Оп. 1. Д. 681. Л. 9</w:t>
      </w:r>
      <w:r w:rsidRPr="00C33834">
        <w:rPr>
          <w:color w:val="000000" w:themeColor="text1"/>
          <w:sz w:val="16"/>
          <w:szCs w:val="16"/>
        </w:rPr>
        <w:noBreakHyphen/>
        <w:t>8; АП РФ. Ф. 3. Оп. 46. Д. 95. Л. 144</w:t>
      </w:r>
      <w:r w:rsidRPr="00C33834">
        <w:rPr>
          <w:color w:val="000000" w:themeColor="text1"/>
          <w:sz w:val="16"/>
          <w:szCs w:val="16"/>
        </w:rPr>
        <w:noBreakHyphen/>
        <w:t>147; ГА РФ. Ф. Р</w:t>
      </w:r>
      <w:r w:rsidRPr="00C33834">
        <w:rPr>
          <w:color w:val="000000" w:themeColor="text1"/>
          <w:sz w:val="16"/>
          <w:szCs w:val="16"/>
        </w:rPr>
        <w:noBreakHyphen/>
        <w:t>8418. Оп. 28. Д. 7. Л. 79</w:t>
      </w:r>
      <w:r w:rsidRPr="00C33834">
        <w:rPr>
          <w:color w:val="000000" w:themeColor="text1"/>
          <w:sz w:val="16"/>
          <w:szCs w:val="16"/>
        </w:rPr>
        <w:noBreakHyphen/>
        <w:t>81) (15265).</w:t>
      </w:r>
    </w:p>
    <w:p w14:paraId="13D3CFD5" w14:textId="77777777" w:rsidR="000B1B08" w:rsidRPr="00C33834" w:rsidRDefault="000B1B08" w:rsidP="00C33834">
      <w:pPr>
        <w:spacing w:after="0" w:line="240" w:lineRule="auto"/>
        <w:jc w:val="both"/>
        <w:rPr>
          <w:rFonts w:ascii="Times New Roman" w:hAnsi="Times New Roman"/>
          <w:iCs/>
          <w:color w:val="000000" w:themeColor="text1"/>
          <w:sz w:val="16"/>
          <w:szCs w:val="16"/>
        </w:rPr>
      </w:pPr>
    </w:p>
    <w:p w14:paraId="3FD8CE55" w14:textId="77777777" w:rsidR="000B1B08"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B70764E" w14:textId="77777777" w:rsidR="000B1B08" w:rsidRPr="00C33834" w:rsidRDefault="000B1B08" w:rsidP="00C33834">
      <w:pPr>
        <w:spacing w:after="0" w:line="240" w:lineRule="auto"/>
        <w:jc w:val="both"/>
        <w:rPr>
          <w:rFonts w:ascii="Times New Roman" w:hAnsi="Times New Roman"/>
          <w:iCs/>
          <w:color w:val="000000" w:themeColor="text1"/>
          <w:sz w:val="16"/>
          <w:szCs w:val="16"/>
        </w:rPr>
      </w:pPr>
    </w:p>
    <w:p w14:paraId="24778FF7" w14:textId="77777777" w:rsidR="000B1B08" w:rsidRPr="00C33834" w:rsidRDefault="000B1B08" w:rsidP="00C33834">
      <w:pPr>
        <w:pStyle w:val="rtejustify"/>
        <w:spacing w:before="0" w:after="0"/>
        <w:rPr>
          <w:color w:val="000000" w:themeColor="text1"/>
          <w:sz w:val="16"/>
          <w:szCs w:val="16"/>
        </w:rPr>
      </w:pPr>
      <w:r w:rsidRPr="00C33834">
        <w:rPr>
          <w:rStyle w:val="af0"/>
          <w:bCs/>
          <w:i w:val="0"/>
          <w:color w:val="000000" w:themeColor="text1"/>
          <w:sz w:val="16"/>
          <w:szCs w:val="16"/>
        </w:rPr>
        <w:t>29 мая 1933 вышел приказ НКТП № 68с.</w:t>
      </w:r>
      <w:r w:rsidRPr="00C33834">
        <w:rPr>
          <w:color w:val="000000" w:themeColor="text1"/>
          <w:sz w:val="16"/>
          <w:szCs w:val="16"/>
        </w:rPr>
        <w:t xml:space="preserve"> Об укреплении дисциплины на предприятиях военной промышленности. (РГАЭ. Ф. 7297. Оп. 38. Д. 38. Л. 18) (15246).</w:t>
      </w:r>
    </w:p>
    <w:p w14:paraId="19DAB380" w14:textId="2E5B2BEE" w:rsidR="000B1B08" w:rsidRPr="00C33834" w:rsidRDefault="000B1B08" w:rsidP="00C33834">
      <w:pPr>
        <w:pStyle w:val="rtejustify"/>
        <w:spacing w:before="0" w:after="0"/>
        <w:rPr>
          <w:color w:val="000000" w:themeColor="text1"/>
          <w:sz w:val="16"/>
          <w:szCs w:val="16"/>
        </w:rPr>
      </w:pPr>
    </w:p>
    <w:p w14:paraId="7AB10ED7" w14:textId="1B109330" w:rsidR="00EB09F2" w:rsidRPr="00C33834" w:rsidRDefault="00EB09F2" w:rsidP="00C33834">
      <w:pPr>
        <w:pStyle w:val="rtejustify"/>
        <w:spacing w:before="0" w:after="0"/>
        <w:rPr>
          <w:i/>
          <w:iCs/>
          <w:color w:val="000000" w:themeColor="text1"/>
          <w:sz w:val="16"/>
          <w:szCs w:val="16"/>
        </w:rPr>
      </w:pPr>
      <w:r w:rsidRPr="00C33834">
        <w:rPr>
          <w:i/>
          <w:iCs/>
          <w:color w:val="000000" w:themeColor="text1"/>
          <w:sz w:val="16"/>
          <w:szCs w:val="16"/>
        </w:rPr>
        <w:t>За рубежом:</w:t>
      </w:r>
    </w:p>
    <w:p w14:paraId="30553142" w14:textId="77777777" w:rsidR="00EB09F2" w:rsidRPr="00C33834" w:rsidRDefault="00EB09F2" w:rsidP="00C33834">
      <w:pPr>
        <w:pStyle w:val="rtejustify"/>
        <w:spacing w:before="0" w:after="0"/>
        <w:rPr>
          <w:i/>
          <w:iCs/>
          <w:color w:val="000000" w:themeColor="text1"/>
          <w:sz w:val="16"/>
          <w:szCs w:val="16"/>
        </w:rPr>
      </w:pPr>
    </w:p>
    <w:p w14:paraId="3DCAE11E" w14:textId="77777777" w:rsidR="00EB09F2" w:rsidRPr="00C33834" w:rsidRDefault="00EB09F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29 мая 1933 на POTEZ 53 Джордж Детре выигрывает 1933 Coupe Deutsch де ла Мерт - гонки, охватывающие 2000 км (1243 миль) за два этапа по замкнутой за 6 часов 11 минут 45 секунд со средней скоростью 322.81 км / ч (200,58 миль / ч) (20802).</w:t>
      </w:r>
    </w:p>
    <w:p w14:paraId="2B2B11EB" w14:textId="77777777" w:rsidR="00EB09F2" w:rsidRPr="00C33834" w:rsidRDefault="00EB09F2" w:rsidP="00C33834">
      <w:pPr>
        <w:spacing w:after="0" w:line="240" w:lineRule="auto"/>
        <w:jc w:val="both"/>
        <w:rPr>
          <w:rFonts w:ascii="Times New Roman" w:hAnsi="Times New Roman"/>
          <w:color w:val="0070C0"/>
          <w:sz w:val="16"/>
          <w:szCs w:val="16"/>
        </w:rPr>
      </w:pPr>
    </w:p>
    <w:p w14:paraId="7624F4E3" w14:textId="77777777" w:rsidR="008C5AAD"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2D39BEF" w14:textId="77777777" w:rsidR="008C5AAD" w:rsidRPr="00C33834" w:rsidRDefault="008C5AAD" w:rsidP="00C33834">
      <w:pPr>
        <w:spacing w:after="0" w:line="240" w:lineRule="auto"/>
        <w:jc w:val="both"/>
        <w:rPr>
          <w:rFonts w:ascii="Times New Roman" w:hAnsi="Times New Roman"/>
          <w:iCs/>
          <w:color w:val="000000" w:themeColor="text1"/>
          <w:sz w:val="16"/>
          <w:szCs w:val="16"/>
        </w:rPr>
      </w:pPr>
    </w:p>
    <w:p w14:paraId="0B11CFDB"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30 мая по 18 июня 1933 С.А.Леваневский со ш В.И.Левченко и вторым пилотом Г.А.Страубе совершил перелет из Севастополя в Хабаровск для перегонки самолета Дорнье-Валь (Н-8). Из Хабаровска вылетел спасать Маттерна (438,647).</w:t>
      </w:r>
    </w:p>
    <w:p w14:paraId="455FC899" w14:textId="77777777" w:rsidR="008C5AAD" w:rsidRPr="00C33834" w:rsidRDefault="008C5AAD" w:rsidP="00C33834">
      <w:pPr>
        <w:spacing w:after="0" w:line="240" w:lineRule="auto"/>
        <w:jc w:val="both"/>
        <w:rPr>
          <w:rFonts w:ascii="Times New Roman" w:hAnsi="Times New Roman"/>
          <w:color w:val="000000" w:themeColor="text1"/>
          <w:sz w:val="16"/>
          <w:szCs w:val="16"/>
        </w:rPr>
      </w:pPr>
    </w:p>
    <w:p w14:paraId="069F5D5C" w14:textId="77777777" w:rsidR="008C5AAD"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ACD3710" w14:textId="77777777" w:rsidR="008C5AAD" w:rsidRPr="00C33834" w:rsidRDefault="008C5AAD" w:rsidP="00C33834">
      <w:pPr>
        <w:spacing w:after="0" w:line="240" w:lineRule="auto"/>
        <w:jc w:val="both"/>
        <w:rPr>
          <w:rFonts w:ascii="Times New Roman" w:hAnsi="Times New Roman"/>
          <w:iCs/>
          <w:color w:val="000000" w:themeColor="text1"/>
          <w:sz w:val="16"/>
          <w:szCs w:val="16"/>
        </w:rPr>
      </w:pPr>
    </w:p>
    <w:p w14:paraId="1DC633D6"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мая 1933 г. по приказу директора завода было создано Бюро конструирования объектов нового вооружения (Бюро конструирования объектов нового вооружения, Отдел Главного конструктора, Конструкторско-оружейный центр ОАО «Ижмаш»)</w:t>
      </w:r>
    </w:p>
    <w:p w14:paraId="57BF561B"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(конец 1940-х-58 г.)- В(Н).И. Лавренов, И. Семеновых, (1990-е)- Н. Безбородов.</w:t>
      </w:r>
    </w:p>
    <w:p w14:paraId="625740F1"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начальника (2006 г.)- Ю.А. Широбоков.</w:t>
      </w:r>
    </w:p>
    <w:p w14:paraId="48635669"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Ведущие конструкторы: (1945 г.-)- Е.Ф. Драгунов (С-49, МЦВ-50, ЦВ-50, СМ, «Биатлон», «Зенит», «Стрела», «Тайга», СВД), (2002 г.)- В.М. Калашников (ПП-19).</w:t>
      </w:r>
    </w:p>
    <w:p w14:paraId="25F6D376"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Создано: снайперская винтовка СВД; автомат АН-94 «Абакан»; винтовка «Биатлон»; охотничье оружие: карабин «Сайга» (11982).</w:t>
      </w:r>
    </w:p>
    <w:p w14:paraId="091B1D21" w14:textId="77777777" w:rsidR="008C5AAD" w:rsidRPr="00C33834" w:rsidRDefault="008C5AAD" w:rsidP="00C33834">
      <w:pPr>
        <w:spacing w:after="0" w:line="240" w:lineRule="auto"/>
        <w:jc w:val="both"/>
        <w:rPr>
          <w:rFonts w:ascii="Times New Roman" w:hAnsi="Times New Roman"/>
          <w:color w:val="000000" w:themeColor="text1"/>
          <w:sz w:val="16"/>
          <w:szCs w:val="16"/>
        </w:rPr>
      </w:pPr>
    </w:p>
    <w:p w14:paraId="7039247F" w14:textId="77777777" w:rsidR="00197613" w:rsidRPr="00C33834" w:rsidRDefault="0019761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мая и 13 июня 1933 Москвы отказалась от совместного производства химических опытов («Томка») и дальнейшей деятельности танковой школы в Казани (18265).</w:t>
      </w:r>
    </w:p>
    <w:p w14:paraId="5B3A0E1A" w14:textId="77777777" w:rsidR="00197613" w:rsidRPr="00C33834" w:rsidRDefault="00197613" w:rsidP="00C33834">
      <w:pPr>
        <w:spacing w:after="0" w:line="240" w:lineRule="auto"/>
        <w:jc w:val="both"/>
        <w:rPr>
          <w:rFonts w:ascii="Times New Roman" w:hAnsi="Times New Roman"/>
          <w:color w:val="000000" w:themeColor="text1"/>
          <w:sz w:val="16"/>
          <w:szCs w:val="16"/>
        </w:rPr>
      </w:pPr>
    </w:p>
    <w:p w14:paraId="5D3BDFEC" w14:textId="77777777" w:rsidR="008C5AAD"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5D0A50D3" w14:textId="77777777" w:rsidR="008C5AAD" w:rsidRPr="00C33834" w:rsidRDefault="008C5AAD" w:rsidP="00C33834">
      <w:pPr>
        <w:spacing w:after="0" w:line="240" w:lineRule="auto"/>
        <w:jc w:val="both"/>
        <w:rPr>
          <w:rFonts w:ascii="Times New Roman" w:hAnsi="Times New Roman"/>
          <w:color w:val="000000" w:themeColor="text1"/>
          <w:sz w:val="16"/>
          <w:szCs w:val="16"/>
        </w:rPr>
      </w:pPr>
    </w:p>
    <w:p w14:paraId="6FCBA4A9"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мая 1933 приказом № 165 трехмесячному заключению в штрафизолятор подвергались 16 заключенных, «замеченных в саботаже и симуляции на производстве», а именно в членовредительстве путем создания себе «искусственных заболеваний путем употребления соли, овса, сырого кофе и разных отбросов, уксусной эссенции и других растравляющих и вредно действующих на организм веществ, вызывая тем самым злокачественные опухоли и отеки конечностей» (7560).</w:t>
      </w:r>
    </w:p>
    <w:p w14:paraId="7278EAD1" w14:textId="77777777" w:rsidR="008C5AAD" w:rsidRPr="00C33834" w:rsidRDefault="008C5AAD" w:rsidP="00C33834">
      <w:pPr>
        <w:spacing w:after="0" w:line="240" w:lineRule="auto"/>
        <w:jc w:val="both"/>
        <w:rPr>
          <w:rFonts w:ascii="Times New Roman" w:hAnsi="Times New Roman"/>
          <w:color w:val="000000" w:themeColor="text1"/>
          <w:sz w:val="16"/>
          <w:szCs w:val="16"/>
        </w:rPr>
      </w:pPr>
    </w:p>
    <w:p w14:paraId="23D544D8" w14:textId="77777777" w:rsidR="008C5AAD"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47BEE21E" w14:textId="77777777" w:rsidR="008C5AAD" w:rsidRPr="00C33834" w:rsidRDefault="008C5AAD" w:rsidP="00C33834">
      <w:pPr>
        <w:spacing w:after="0" w:line="240" w:lineRule="auto"/>
        <w:jc w:val="both"/>
        <w:rPr>
          <w:rFonts w:ascii="Times New Roman" w:hAnsi="Times New Roman"/>
          <w:iCs/>
          <w:color w:val="000000" w:themeColor="text1"/>
          <w:sz w:val="16"/>
          <w:szCs w:val="16"/>
        </w:rPr>
      </w:pPr>
    </w:p>
    <w:p w14:paraId="00F575F7"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мая 1933 заместитель военного атташе в Берлине Шниттман заявил немцам об отказе в проведении совместных опытов на полигоне «Томка» и посылке советских курсантов в танковую школу в Казани (РГВА, ф. 33987, on. 3, д. 497, л. 146-147.) (11784).</w:t>
      </w:r>
    </w:p>
    <w:p w14:paraId="63BB28C5" w14:textId="77777777" w:rsidR="008C5AAD" w:rsidRPr="00C33834" w:rsidRDefault="008C5AAD" w:rsidP="00C33834">
      <w:pPr>
        <w:spacing w:after="0" w:line="240" w:lineRule="auto"/>
        <w:jc w:val="both"/>
        <w:rPr>
          <w:rFonts w:ascii="Times New Roman" w:hAnsi="Times New Roman"/>
          <w:color w:val="000000" w:themeColor="text1"/>
          <w:sz w:val="16"/>
          <w:szCs w:val="16"/>
        </w:rPr>
      </w:pPr>
    </w:p>
    <w:p w14:paraId="1E17F592"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мая и 13 июня 1933 Москва отказалась от совместного производства химических опытов («Томка») и дальнейшей деятельности танковой школы в Казани и германский военный атташе Хартман 22 июля 1933 г. передал советской стороне меморандум, в котором излагалось решение главнокомандующего райхсвером о прекращении обучения летчиков-истребителей в Липецке в связи с «необходимостью железной экономии» и невозможностью для райхсвера производить новые крупные капитальные затраты для обновления материальной части авиационной школы (РГВА, ф. 33987, оп. 3, д. 504, л. 153.). Таким образом, все три школы райхсвера на территории СССР должны были прекратить свое существование. Однако, дабы сохранить для внешнего мира видимость продолжения сотрудничества между РККА и райхсвером, от имени германского главкома предлагалось осуществлять в дальнейшем обмен офицерами и специалистами, обмен сообщениями и опытом. Все постройки и сооружения в Липецке было обещано передать в распоряжение советской стороны. Меморандум Хартмана Ворошилов направил Сталину (РГВА, ф. 33987, оп. 3, д. 504, л. 153.). Однако Москва пошла дальше. Наряду с ликвидацией школ райхсвера, которая пошла полным ходом по утвержденному Ворошиловым в конце июля 1933г. графику, она отказалась направить командиров РККА на осмотр частей райхсвера. В ответ военный атташе Германии Хартман 8 августа 1933г. направил письмо заместителю начальника внешних сношений Штаба РККА Смагину с извещением о невозможности направить германских офицеров на учения частей РККА в конце летнего периода «по уже раньше обозначенным причинам» (нехватка денежных средств). На документе стоит изумительная по краткости и емкости резолюция Ворошилова: «Очень хорошо! В. 15. 8. 1933 г. » (РГВА, ф. 33987, оп. 3, д. 504, л. 153.), из которой видно, что данный ответный шаг немецкой стороны полностью вписывался в намеченную Москвой кампанию по ускоренному сворачиванию сотрудничества между РККА и райхсвером. Кстати сказать, немцев очень сильно задел и отказ советской стороны направить краскомов на курсы германской военной академии, поскольку «отказ от дальнейшего обмена офицерами и военными сведениями не предполагался» (РГВА, ф. 33987, оп. 3, д. 504, л. 153.). В соответствии с упоминавшимся графиком ликвидации предприятий «друзей» к 15 августа должна была быть закончена ликвидация «Томки», к 1 октября — «Липецка», к 1 — 15 октября — «Казани»{53}. Менее чем за месяц (26 июля — 15 августа)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 — 50 тыс. золотых руб. (РГВА, ф. 33987, оп. 3, д. 504, л. 153.).</w:t>
      </w:r>
    </w:p>
    <w:p w14:paraId="1834A57A" w14:textId="77777777" w:rsidR="008C5AAD" w:rsidRPr="00C33834" w:rsidRDefault="008C5AAD" w:rsidP="00C33834">
      <w:pPr>
        <w:spacing w:after="0" w:line="240" w:lineRule="auto"/>
        <w:jc w:val="both"/>
        <w:rPr>
          <w:rFonts w:ascii="Times New Roman" w:hAnsi="Times New Roman"/>
          <w:color w:val="000000" w:themeColor="text1"/>
          <w:sz w:val="16"/>
          <w:szCs w:val="16"/>
        </w:rPr>
      </w:pPr>
    </w:p>
    <w:p w14:paraId="36BCFF14" w14:textId="77777777" w:rsidR="000B1B08"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B92803B" w14:textId="77777777" w:rsidR="000B1B08" w:rsidRPr="00C33834" w:rsidRDefault="000B1B0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E4E025F" w14:textId="77777777" w:rsidR="000B1B08" w:rsidRPr="00C33834" w:rsidRDefault="000B1B08"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30 мая</w:t>
      </w:r>
      <w:r w:rsidRPr="00C33834">
        <w:rPr>
          <w:rFonts w:ascii="Times New Roman" w:hAnsi="Times New Roman"/>
          <w:color w:val="000000" w:themeColor="text1"/>
          <w:sz w:val="16"/>
          <w:szCs w:val="16"/>
        </w:rPr>
        <w:t xml:space="preserve"> в 1933 году состоялся первый полет прототипа «G.5/1» самолета </w:t>
      </w:r>
      <w:hyperlink r:id="rId173" w:tgtFrame="_blank" w:history="1">
        <w:r w:rsidRPr="00C33834">
          <w:rPr>
            <w:rFonts w:ascii="Times New Roman" w:hAnsi="Times New Roman"/>
            <w:color w:val="000000" w:themeColor="text1"/>
            <w:sz w:val="16"/>
            <w:szCs w:val="16"/>
          </w:rPr>
          <w:t xml:space="preserve">«Fiat» «G.5». </w:t>
        </w:r>
      </w:hyperlink>
      <w:r w:rsidRPr="00C33834">
        <w:rPr>
          <w:rFonts w:ascii="Times New Roman" w:hAnsi="Times New Roman"/>
          <w:color w:val="000000" w:themeColor="text1"/>
          <w:sz w:val="16"/>
          <w:szCs w:val="16"/>
        </w:rPr>
        <w:t>После проведения испытаний фирма получила контракт на 34 экземпляра модифицированных самолетов «G.5bis» с двигателем «Fiat A».70 мощностью 200 л.с. Строительством самолетов занималась дочерняя фирма CMASA. Из построенных машин лишь одна пережила Вторую Мировую войну (14907).</w:t>
      </w:r>
    </w:p>
    <w:p w14:paraId="61BDAD0F" w14:textId="77777777" w:rsidR="000B1B08" w:rsidRPr="00C33834" w:rsidRDefault="000B1B08" w:rsidP="00C33834">
      <w:pPr>
        <w:spacing w:after="0" w:line="240" w:lineRule="auto"/>
        <w:jc w:val="both"/>
        <w:rPr>
          <w:rFonts w:ascii="Times New Roman" w:hAnsi="Times New Roman"/>
          <w:color w:val="000000" w:themeColor="text1"/>
          <w:sz w:val="16"/>
          <w:szCs w:val="16"/>
        </w:rPr>
      </w:pPr>
    </w:p>
    <w:p w14:paraId="44A4FB48" w14:textId="77777777" w:rsidR="008C5AAD"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848C30A" w14:textId="77777777" w:rsidR="008C5AAD" w:rsidRPr="00C33834" w:rsidRDefault="008C5AAD" w:rsidP="00C33834">
      <w:pPr>
        <w:spacing w:after="0" w:line="240" w:lineRule="auto"/>
        <w:jc w:val="both"/>
        <w:rPr>
          <w:rFonts w:ascii="Times New Roman" w:hAnsi="Times New Roman"/>
          <w:iCs/>
          <w:color w:val="000000" w:themeColor="text1"/>
          <w:sz w:val="16"/>
          <w:szCs w:val="16"/>
        </w:rPr>
      </w:pPr>
    </w:p>
    <w:p w14:paraId="6A6F0DDA"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мая 1933 года вышло Постановление N 35сс/о СТО О предельном радиусе действия ТБ-3:</w:t>
      </w:r>
    </w:p>
    <w:p w14:paraId="41735F61"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 постановляет:</w:t>
      </w:r>
    </w:p>
    <w:p w14:paraId="021ED765"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к сведению следующие заявления Баранова и Алксниса.</w:t>
      </w:r>
    </w:p>
    <w:p w14:paraId="7439F848" w14:textId="77777777" w:rsidR="008C5AAD" w:rsidRPr="00C33834" w:rsidRDefault="008C5AAD" w:rsidP="00C33834">
      <w:pPr>
        <w:numPr>
          <w:ilvl w:val="0"/>
          <w:numId w:val="21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серийного производства ТБ-3 с 4-мя моторами М-17 для увеличения радиуса действия должен быть облегчен путем снятия: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1418"/>
      </w:tblGrid>
      <w:tr w:rsidR="00F26F01" w:rsidRPr="00C33834" w14:paraId="66EDC513" w14:textId="77777777">
        <w:tc>
          <w:tcPr>
            <w:tcW w:w="4077" w:type="dxa"/>
          </w:tcPr>
          <w:p w14:paraId="6EF6E402"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с веса конструкции</w:t>
            </w:r>
          </w:p>
        </w:tc>
        <w:tc>
          <w:tcPr>
            <w:tcW w:w="1418" w:type="dxa"/>
          </w:tcPr>
          <w:p w14:paraId="10960941"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214 кг</w:t>
            </w:r>
          </w:p>
        </w:tc>
      </w:tr>
      <w:tr w:rsidR="00F26F01" w:rsidRPr="00C33834" w14:paraId="4BA76A9A" w14:textId="77777777">
        <w:tc>
          <w:tcPr>
            <w:tcW w:w="4077" w:type="dxa"/>
          </w:tcPr>
          <w:p w14:paraId="4AAE4829"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с веса вооружения и оборудования</w:t>
            </w:r>
          </w:p>
        </w:tc>
        <w:tc>
          <w:tcPr>
            <w:tcW w:w="1418" w:type="dxa"/>
          </w:tcPr>
          <w:p w14:paraId="1B133A11"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 кг</w:t>
            </w:r>
          </w:p>
        </w:tc>
      </w:tr>
      <w:tr w:rsidR="00F26F01" w:rsidRPr="00C33834" w14:paraId="73259F88" w14:textId="77777777">
        <w:tc>
          <w:tcPr>
            <w:tcW w:w="4077" w:type="dxa"/>
          </w:tcPr>
          <w:p w14:paraId="70B17A46"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 веса экипажа (вместо 8 чел. оставить 6)</w:t>
            </w:r>
          </w:p>
        </w:tc>
        <w:tc>
          <w:tcPr>
            <w:tcW w:w="1418" w:type="dxa"/>
          </w:tcPr>
          <w:p w14:paraId="63ACB195"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 кг</w:t>
            </w:r>
          </w:p>
        </w:tc>
      </w:tr>
      <w:tr w:rsidR="00F26F01" w:rsidRPr="00C33834" w14:paraId="21E10523" w14:textId="77777777">
        <w:tc>
          <w:tcPr>
            <w:tcW w:w="4077" w:type="dxa"/>
          </w:tcPr>
          <w:p w14:paraId="05660EA9"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1418" w:type="dxa"/>
          </w:tcPr>
          <w:p w14:paraId="374D0C63"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1090 кг</w:t>
            </w:r>
          </w:p>
        </w:tc>
      </w:tr>
    </w:tbl>
    <w:p w14:paraId="508EDB04" w14:textId="77777777" w:rsidR="008C5AAD" w:rsidRPr="00C33834" w:rsidRDefault="008C5AAD" w:rsidP="00C33834">
      <w:pPr>
        <w:numPr>
          <w:ilvl w:val="0"/>
          <w:numId w:val="21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Серийный самолет ТБ-3 с 4-мя моторами М-17, имея нормальный полетный вес в 17200 кг допускает перегрузку на 2,1 т и увеличение этим путем полетного веса до 19300 кг.</w:t>
      </w:r>
    </w:p>
    <w:p w14:paraId="1375175A" w14:textId="77777777" w:rsidR="008C5AAD" w:rsidRPr="00C33834" w:rsidRDefault="008C5AAD" w:rsidP="00C33834">
      <w:pPr>
        <w:numPr>
          <w:ilvl w:val="0"/>
          <w:numId w:val="21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полетном весе с перегрузкой 19300 кг и указанном в п. 1 облегчении самолет ТБ-3 имеет: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20"/>
        <w:gridCol w:w="2160"/>
        <w:gridCol w:w="2160"/>
      </w:tblGrid>
      <w:tr w:rsidR="00F26F01" w:rsidRPr="00C33834" w14:paraId="5433C19D" w14:textId="77777777">
        <w:tc>
          <w:tcPr>
            <w:tcW w:w="4320" w:type="dxa"/>
          </w:tcPr>
          <w:p w14:paraId="0E0D8495" w14:textId="77777777" w:rsidR="008C5AAD" w:rsidRPr="00C33834" w:rsidRDefault="008C5AAD" w:rsidP="00C33834">
            <w:pPr>
              <w:spacing w:after="0" w:line="240" w:lineRule="auto"/>
              <w:jc w:val="both"/>
              <w:rPr>
                <w:rFonts w:ascii="Times New Roman" w:hAnsi="Times New Roman"/>
                <w:color w:val="000000" w:themeColor="text1"/>
                <w:sz w:val="16"/>
                <w:szCs w:val="16"/>
              </w:rPr>
            </w:pPr>
          </w:p>
        </w:tc>
        <w:tc>
          <w:tcPr>
            <w:tcW w:w="2160" w:type="dxa"/>
          </w:tcPr>
          <w:p w14:paraId="37A3F40A"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Техническая дальность действия</w:t>
            </w:r>
          </w:p>
        </w:tc>
        <w:tc>
          <w:tcPr>
            <w:tcW w:w="2160" w:type="dxa"/>
          </w:tcPr>
          <w:p w14:paraId="27D5E80B"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Технический радиус действия</w:t>
            </w:r>
          </w:p>
        </w:tc>
      </w:tr>
      <w:tr w:rsidR="00F26F01" w:rsidRPr="00C33834" w14:paraId="039BBAC9" w14:textId="77777777">
        <w:tc>
          <w:tcPr>
            <w:tcW w:w="4320" w:type="dxa"/>
          </w:tcPr>
          <w:p w14:paraId="60979925"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бомбовой нагрузке в 1 т на 4-х держателях Дер-13 под крыльями</w:t>
            </w:r>
          </w:p>
        </w:tc>
        <w:tc>
          <w:tcPr>
            <w:tcW w:w="2160" w:type="dxa"/>
          </w:tcPr>
          <w:p w14:paraId="32DB1CF9"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2600 км</w:t>
            </w:r>
          </w:p>
        </w:tc>
        <w:tc>
          <w:tcPr>
            <w:tcW w:w="2160" w:type="dxa"/>
          </w:tcPr>
          <w:p w14:paraId="1AF351F4"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 км</w:t>
            </w:r>
          </w:p>
        </w:tc>
      </w:tr>
      <w:tr w:rsidR="00F26F01" w:rsidRPr="00C33834" w14:paraId="107F80CB" w14:textId="77777777">
        <w:tc>
          <w:tcPr>
            <w:tcW w:w="4320" w:type="dxa"/>
          </w:tcPr>
          <w:p w14:paraId="08596CE4"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бомбовой нагрузке на тех же 4-х Дер-13 в 2 т</w:t>
            </w:r>
          </w:p>
        </w:tc>
        <w:tc>
          <w:tcPr>
            <w:tcW w:w="2160" w:type="dxa"/>
          </w:tcPr>
          <w:p w14:paraId="69B31F52"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2200 км</w:t>
            </w:r>
          </w:p>
        </w:tc>
        <w:tc>
          <w:tcPr>
            <w:tcW w:w="2160" w:type="dxa"/>
          </w:tcPr>
          <w:p w14:paraId="17C58B59"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1100 км</w:t>
            </w:r>
          </w:p>
        </w:tc>
      </w:tr>
    </w:tbl>
    <w:p w14:paraId="067CACB6"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Предложить начальнику Глававиапрома и начальнику ВВС продолжать изыскивать пути и способы дальнейшего облегчения конструкции и вооружения ТБ-3, уменьшения удельного расхода горючего и дальнейшего увеличения за этот счет радиуса действия и бомбовой нагрузки.</w:t>
      </w:r>
    </w:p>
    <w:p w14:paraId="77FA8819"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(4014,1-2).</w:t>
      </w:r>
    </w:p>
    <w:p w14:paraId="614419F2" w14:textId="77777777" w:rsidR="008C5AAD" w:rsidRPr="00C33834" w:rsidRDefault="008C5AAD" w:rsidP="00C33834">
      <w:pPr>
        <w:spacing w:after="0" w:line="240" w:lineRule="auto"/>
        <w:jc w:val="both"/>
        <w:rPr>
          <w:rFonts w:ascii="Times New Roman" w:hAnsi="Times New Roman"/>
          <w:color w:val="000000" w:themeColor="text1"/>
          <w:sz w:val="16"/>
          <w:szCs w:val="16"/>
        </w:rPr>
      </w:pPr>
    </w:p>
    <w:p w14:paraId="0CA4444A"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мая 1933 года постановление № 35сс/о СТО</w:t>
      </w:r>
    </w:p>
    <w:p w14:paraId="14DC8987"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предельном радиусе действия ТБ-3</w:t>
      </w:r>
    </w:p>
    <w:p w14:paraId="6B94ADD2"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 постановляет:</w:t>
      </w:r>
    </w:p>
    <w:p w14:paraId="41DD50D1" w14:textId="77777777" w:rsidR="008C5AAD" w:rsidRPr="00C33834" w:rsidRDefault="008C5AAD" w:rsidP="00C33834">
      <w:pPr>
        <w:numPr>
          <w:ilvl w:val="0"/>
          <w:numId w:val="21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к сведению следующие заявления Баранова и Алксниса:</w:t>
      </w:r>
    </w:p>
    <w:p w14:paraId="627241C2" w14:textId="77777777" w:rsidR="008C5AAD" w:rsidRPr="00C33834" w:rsidRDefault="008C5AAD" w:rsidP="00C33834">
      <w:pPr>
        <w:pStyle w:val="24"/>
        <w:widowControl/>
        <w:numPr>
          <w:ilvl w:val="0"/>
          <w:numId w:val="219"/>
        </w:numPr>
        <w:tabs>
          <w:tab w:val="left" w:pos="360"/>
        </w:tabs>
        <w:ind w:left="0" w:firstLine="0"/>
        <w:rPr>
          <w:color w:val="000000" w:themeColor="text1"/>
        </w:rPr>
      </w:pPr>
      <w:r w:rsidRPr="00C33834">
        <w:rPr>
          <w:color w:val="000000" w:themeColor="text1"/>
        </w:rPr>
        <w:t>Самолет серийного производства ТБ-3 с 4-мя моторами М-17 для увеличения радиуса действия должен быть облегчен путем снятия:</w:t>
      </w:r>
    </w:p>
    <w:p w14:paraId="54519587"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с веса конструкции – 214 кг</w:t>
      </w:r>
    </w:p>
    <w:p w14:paraId="58E24504"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с веса вооружения и оборудования – 700 кг</w:t>
      </w:r>
    </w:p>
    <w:p w14:paraId="7B7E96A5"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 веса экипажа (вместо 8 человек оставить 6 человек) – 176 кг</w:t>
      </w:r>
    </w:p>
    <w:p w14:paraId="4266433C"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 1090 кг</w:t>
      </w:r>
    </w:p>
    <w:p w14:paraId="682E220C" w14:textId="77777777" w:rsidR="008C5AAD" w:rsidRPr="00C33834" w:rsidRDefault="008C5AAD" w:rsidP="00C33834">
      <w:pPr>
        <w:numPr>
          <w:ilvl w:val="0"/>
          <w:numId w:val="22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Серийный самолет ТБ-3 с 4-мя моторами М-17, имея нормальный полетный вес в 17200 кг, допускает перегрузку на 2,1 тн и увеличение этим путем полетного веса до 19300 кг.</w:t>
      </w:r>
    </w:p>
    <w:p w14:paraId="4CDD0A9D" w14:textId="77777777" w:rsidR="008C5AAD" w:rsidRPr="00C33834" w:rsidRDefault="008C5AAD" w:rsidP="00C33834">
      <w:pPr>
        <w:numPr>
          <w:ilvl w:val="0"/>
          <w:numId w:val="22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полетном весе с перегрузкой 19300 кг и указанном в п. 1 облегчении самолет ТБ-3 имеет: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8"/>
        <w:gridCol w:w="3868"/>
        <w:gridCol w:w="3868"/>
      </w:tblGrid>
      <w:tr w:rsidR="00F26F01" w:rsidRPr="00C33834" w14:paraId="4D0AEDA0" w14:textId="77777777">
        <w:tc>
          <w:tcPr>
            <w:tcW w:w="3868" w:type="dxa"/>
          </w:tcPr>
          <w:p w14:paraId="56ED0439" w14:textId="77777777" w:rsidR="008C5AAD" w:rsidRPr="00C33834" w:rsidRDefault="008C5AAD" w:rsidP="00C33834">
            <w:pPr>
              <w:spacing w:after="0" w:line="240" w:lineRule="auto"/>
              <w:jc w:val="both"/>
              <w:rPr>
                <w:rFonts w:ascii="Times New Roman" w:hAnsi="Times New Roman"/>
                <w:color w:val="000000" w:themeColor="text1"/>
                <w:sz w:val="16"/>
                <w:szCs w:val="16"/>
              </w:rPr>
            </w:pPr>
          </w:p>
        </w:tc>
        <w:tc>
          <w:tcPr>
            <w:tcW w:w="3868" w:type="dxa"/>
          </w:tcPr>
          <w:p w14:paraId="5DC7DAB8"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Техническая дальность действия</w:t>
            </w:r>
          </w:p>
        </w:tc>
        <w:tc>
          <w:tcPr>
            <w:tcW w:w="3868" w:type="dxa"/>
          </w:tcPr>
          <w:p w14:paraId="571EA0C8"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Технический радиус действия</w:t>
            </w:r>
          </w:p>
        </w:tc>
      </w:tr>
      <w:tr w:rsidR="00F26F01" w:rsidRPr="00C33834" w14:paraId="365EB266" w14:textId="77777777">
        <w:tc>
          <w:tcPr>
            <w:tcW w:w="3868" w:type="dxa"/>
          </w:tcPr>
          <w:p w14:paraId="374AEC37"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бомбовой нагрузке в 1 тн на 4-х держателях Дер-13 под крыльями</w:t>
            </w:r>
          </w:p>
        </w:tc>
        <w:tc>
          <w:tcPr>
            <w:tcW w:w="3868" w:type="dxa"/>
          </w:tcPr>
          <w:p w14:paraId="5054D2B2"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2600 км</w:t>
            </w:r>
          </w:p>
        </w:tc>
        <w:tc>
          <w:tcPr>
            <w:tcW w:w="3868" w:type="dxa"/>
          </w:tcPr>
          <w:p w14:paraId="6123D2E6"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 км</w:t>
            </w:r>
          </w:p>
        </w:tc>
      </w:tr>
      <w:tr w:rsidR="00F26F01" w:rsidRPr="00C33834" w14:paraId="1E191570" w14:textId="77777777">
        <w:tc>
          <w:tcPr>
            <w:tcW w:w="3868" w:type="dxa"/>
          </w:tcPr>
          <w:p w14:paraId="69EEBBA8"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бомбовой нагрузке на тех же 4-х держателях Дер-13 в 2 тонны</w:t>
            </w:r>
          </w:p>
        </w:tc>
        <w:tc>
          <w:tcPr>
            <w:tcW w:w="3868" w:type="dxa"/>
          </w:tcPr>
          <w:p w14:paraId="06A21C9D"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2200</w:t>
            </w:r>
          </w:p>
        </w:tc>
        <w:tc>
          <w:tcPr>
            <w:tcW w:w="3868" w:type="dxa"/>
          </w:tcPr>
          <w:p w14:paraId="14305AD3"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1100</w:t>
            </w:r>
          </w:p>
        </w:tc>
      </w:tr>
    </w:tbl>
    <w:p w14:paraId="435839C9"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………………………………………(7503, 26-27).</w:t>
      </w:r>
    </w:p>
    <w:p w14:paraId="2AADB487" w14:textId="77777777" w:rsidR="008C5AAD" w:rsidRPr="00C33834" w:rsidRDefault="008C5AAD" w:rsidP="00C33834">
      <w:pPr>
        <w:spacing w:after="0" w:line="240" w:lineRule="auto"/>
        <w:jc w:val="both"/>
        <w:rPr>
          <w:rFonts w:ascii="Times New Roman" w:hAnsi="Times New Roman"/>
          <w:color w:val="000000" w:themeColor="text1"/>
          <w:sz w:val="16"/>
          <w:szCs w:val="16"/>
        </w:rPr>
      </w:pPr>
    </w:p>
    <w:p w14:paraId="64F37715"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мая 1933 вышло постановление СТО N 35сс "О предельном радиусе действия ТБ-3" (2282,27).</w:t>
      </w:r>
    </w:p>
    <w:p w14:paraId="6B2C4AE0"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 постановляет:</w:t>
      </w:r>
    </w:p>
    <w:p w14:paraId="1D4162F2"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Принять к сведению следующие заявления П.И.Б. и Алксниса:</w:t>
      </w:r>
    </w:p>
    <w:p w14:paraId="707DA338"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самолет серийного производства ТБ-3 4М-17 для увеличения радиуса действия д.б. облегчен путем снятия:</w:t>
      </w:r>
    </w:p>
    <w:p w14:paraId="1EEB9C39"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с веса конструкции - 214 кг</w:t>
      </w:r>
    </w:p>
    <w:p w14:paraId="4FD4FA5E"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с веса вооружения и оборудования - 700 кг</w:t>
      </w:r>
    </w:p>
    <w:p w14:paraId="3895C2D0"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 веса экипажа (6 вместо 8) - 176 кг</w:t>
      </w:r>
    </w:p>
    <w:p w14:paraId="645F7728"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- 1090 кг</w:t>
      </w:r>
    </w:p>
    <w:p w14:paraId="3D6B3251"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Серийный самолет ТБ-3 4М-17, имея нормальный полетный вес 17200 кг, допускает перегрузку на 271 т и увеличение этим путем полетного веса до 19300 кг.</w:t>
      </w:r>
    </w:p>
    <w:p w14:paraId="54761FC5"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При полетном весе с перегрузкой 19300 и указанным в п. 1 облегчении самолет ТБ-3 имеет: с 1 т - 2600 км, с 2 т - 2200 км..." (2282,27).</w:t>
      </w:r>
    </w:p>
    <w:p w14:paraId="52ADBA4F" w14:textId="77777777" w:rsidR="008C5AAD" w:rsidRPr="00C33834" w:rsidRDefault="008C5AAD" w:rsidP="00C33834">
      <w:pPr>
        <w:spacing w:after="0" w:line="240" w:lineRule="auto"/>
        <w:jc w:val="both"/>
        <w:rPr>
          <w:rFonts w:ascii="Times New Roman" w:hAnsi="Times New Roman"/>
          <w:color w:val="000000" w:themeColor="text1"/>
          <w:sz w:val="16"/>
          <w:szCs w:val="16"/>
        </w:rPr>
      </w:pPr>
    </w:p>
    <w:p w14:paraId="6DD13832" w14:textId="77777777" w:rsidR="000B1B08" w:rsidRPr="00C33834" w:rsidRDefault="000B1B08" w:rsidP="00C33834">
      <w:pPr>
        <w:pStyle w:val="rtejustify"/>
        <w:spacing w:before="0" w:after="0"/>
        <w:rPr>
          <w:color w:val="000000" w:themeColor="text1"/>
          <w:sz w:val="16"/>
          <w:szCs w:val="16"/>
        </w:rPr>
      </w:pPr>
      <w:r w:rsidRPr="00C33834">
        <w:rPr>
          <w:rStyle w:val="af0"/>
          <w:bCs/>
          <w:i w:val="0"/>
          <w:color w:val="000000" w:themeColor="text1"/>
          <w:sz w:val="16"/>
          <w:szCs w:val="16"/>
        </w:rPr>
        <w:t>31 мая</w:t>
      </w:r>
      <w:r w:rsidRPr="00C33834">
        <w:rPr>
          <w:color w:val="000000" w:themeColor="text1"/>
          <w:sz w:val="16"/>
          <w:szCs w:val="16"/>
        </w:rPr>
        <w:t xml:space="preserve"> 1933. Постановление СТО СССР № 35сс/о «О предельном радиусе действия ТБ</w:t>
      </w:r>
      <w:r w:rsidRPr="00C33834">
        <w:rPr>
          <w:color w:val="000000" w:themeColor="text1"/>
          <w:sz w:val="16"/>
          <w:szCs w:val="16"/>
        </w:rPr>
        <w:noBreakHyphen/>
        <w:t>3». (ГА РФ. Ф. Р</w:t>
      </w:r>
      <w:r w:rsidRPr="00C33834">
        <w:rPr>
          <w:color w:val="000000" w:themeColor="text1"/>
          <w:sz w:val="16"/>
          <w:szCs w:val="16"/>
        </w:rPr>
        <w:noBreakHyphen/>
        <w:t>8418. Оп. 28. Д. 1. Л. 169</w:t>
      </w:r>
      <w:r w:rsidRPr="00C33834">
        <w:rPr>
          <w:color w:val="000000" w:themeColor="text1"/>
          <w:sz w:val="16"/>
          <w:szCs w:val="16"/>
        </w:rPr>
        <w:noBreakHyphen/>
        <w:t>170) (15460).</w:t>
      </w:r>
    </w:p>
    <w:p w14:paraId="0E65CBA8" w14:textId="77777777" w:rsidR="000B1B08" w:rsidRPr="00C33834" w:rsidRDefault="000B1B08" w:rsidP="00C33834">
      <w:pPr>
        <w:pStyle w:val="rtejustify"/>
        <w:spacing w:before="0" w:after="0"/>
        <w:rPr>
          <w:color w:val="000000" w:themeColor="text1"/>
          <w:sz w:val="16"/>
          <w:szCs w:val="16"/>
        </w:rPr>
      </w:pPr>
    </w:p>
    <w:p w14:paraId="72429850" w14:textId="77777777" w:rsidR="000B1B08" w:rsidRPr="00C33834" w:rsidRDefault="000B1B0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31 мая 1933 г. Ворошилов был проинформировали о ходе работ по детающему танку Рафаэлянца, при этом отмечалось, что «проблема летающего </w:t>
      </w:r>
      <w:hyperlink r:id="rId174"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а в настоящее время оформилась в виде 3-х предложений», каковые имели следующие ТТХ (представлены в таблице 1).</w:t>
      </w:r>
    </w:p>
    <w:p w14:paraId="7FDA1C4F" w14:textId="77777777" w:rsidR="000B1B08" w:rsidRPr="00C33834" w:rsidRDefault="000B1B0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Товарищ Ворошилов, ознакомившись с присланными материалами, и, в частности, с особым мнением начальника 7-го сектора НИИ ВВС Горощенко «летающий </w:t>
      </w:r>
      <w:hyperlink r:id="rId175"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 технически осуществим, но требует очень длительного времени для получения положительных результатов работы его», пришел к выводу о том, что проще подвешивать </w:t>
      </w:r>
      <w:hyperlink r:id="rId176"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 под многомоторный бомбовоз, нежели делать «самолетающий». Таким образом, к лету 1933 г. все работы по летающим </w:t>
      </w:r>
      <w:hyperlink r:id="rId177"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ам Рафаэлянца, Камова и Самсонова-Добровольского были прекращены.</w:t>
      </w:r>
    </w:p>
    <w:p w14:paraId="6D7D0E97" w14:textId="77777777" w:rsidR="000B1B08" w:rsidRPr="00C33834" w:rsidRDefault="000B1B0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Основные усилия конструкторов были направлены на создание устройств для подвески </w:t>
      </w:r>
      <w:hyperlink r:id="rId178"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ов под самолет. Так, в техтребования на перспективный бомардировщик ТБ-4 внесли дополнения. Уже в июле в ЦАГИ формально началась работа по приспособлению ТБ-4 для перевозки по воздуху </w:t>
      </w:r>
      <w:hyperlink r:id="rId179"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ов по две штуки Т-18, Т-34, Т-26, Т-37 или сразу четырёх </w:t>
      </w:r>
      <w:hyperlink r:id="rId180"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еток Т-27. Через некоторое время системы внешней подвески </w:t>
      </w:r>
      <w:hyperlink r:id="rId181"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ов к самолету были доведены до работоспособного состояния и приняты на снабжение армии. Позднее конструкторы М.Смалько (в 1937 г.) и О.Антонов (в 1941 г.) занимались конструированием летающих </w:t>
      </w:r>
      <w:hyperlink r:id="rId182"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ов (15632).</w:t>
      </w:r>
    </w:p>
    <w:p w14:paraId="71A5957D" w14:textId="77777777" w:rsidR="000B1B08" w:rsidRPr="00C33834" w:rsidRDefault="000B1B08" w:rsidP="00C33834">
      <w:pPr>
        <w:spacing w:after="0" w:line="240" w:lineRule="auto"/>
        <w:jc w:val="both"/>
        <w:rPr>
          <w:rFonts w:ascii="Times New Roman" w:hAnsi="Times New Roman"/>
          <w:color w:val="000000" w:themeColor="text1"/>
          <w:sz w:val="16"/>
          <w:szCs w:val="16"/>
        </w:rPr>
      </w:pPr>
    </w:p>
    <w:p w14:paraId="7864C622" w14:textId="77777777" w:rsidR="00197613" w:rsidRPr="00C33834" w:rsidRDefault="00197613"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31 мая 1933 о ходе работ проинформировали Наркома Ворошилова (по всем трём направлениям, по которым на тот момент имелись какие-либо наработки). Ознакомившись с предоставленное информацией, а также мнением конструкторов о том, что проект технически осуществить можно, но это потребует много времени и расходов, Ворошилов принимает решение, что для РККА легче подвесить танк под бомбовоз, чем копаться с «самолетающим». И в июне 1933  работы Рафаэлянца, а также групп Камова и Самсонова-Добровольского свернули (19529).</w:t>
      </w:r>
    </w:p>
    <w:p w14:paraId="4D11EB94" w14:textId="77777777" w:rsidR="00197613" w:rsidRPr="00C33834" w:rsidRDefault="00197613" w:rsidP="00C33834">
      <w:pPr>
        <w:spacing w:after="0" w:line="240" w:lineRule="auto"/>
        <w:jc w:val="both"/>
        <w:rPr>
          <w:rFonts w:ascii="Times New Roman" w:hAnsi="Times New Roman"/>
          <w:color w:val="000000" w:themeColor="text1"/>
          <w:sz w:val="16"/>
          <w:szCs w:val="16"/>
        </w:rPr>
      </w:pPr>
    </w:p>
    <w:p w14:paraId="438775E4" w14:textId="77777777" w:rsidR="00197613" w:rsidRPr="00C33834" w:rsidRDefault="00197613" w:rsidP="00C33834">
      <w:pPr>
        <w:pStyle w:val="ae"/>
        <w:shd w:val="clear" w:color="auto" w:fill="FFFFFF"/>
        <w:spacing w:before="0" w:after="0"/>
        <w:jc w:val="both"/>
        <w:rPr>
          <w:color w:val="000000" w:themeColor="text1"/>
          <w:sz w:val="16"/>
          <w:szCs w:val="16"/>
        </w:rPr>
      </w:pPr>
      <w:r w:rsidRPr="00C33834">
        <w:rPr>
          <w:color w:val="000000" w:themeColor="text1"/>
          <w:sz w:val="16"/>
          <w:szCs w:val="16"/>
        </w:rPr>
        <w:t>31 мая 1933 г. проинформировали Первого Красного Офицера Ворошилова о ходе работ по летающему танку Рафаэлянца, при этом отмечалось, что «проблема летающего танка в настоящее время оформилась в виде 3-х предложений», каковые имели следующие ТТХ (представлены в таблице 1).</w:t>
      </w:r>
    </w:p>
    <w:p w14:paraId="3EC27F99" w14:textId="77777777" w:rsidR="00197613" w:rsidRPr="00C33834" w:rsidRDefault="00197613" w:rsidP="00C33834">
      <w:pPr>
        <w:pStyle w:val="ae"/>
        <w:shd w:val="clear" w:color="auto" w:fill="FFFFFF"/>
        <w:spacing w:before="0" w:after="0"/>
        <w:jc w:val="both"/>
        <w:rPr>
          <w:color w:val="000000" w:themeColor="text1"/>
          <w:sz w:val="16"/>
          <w:szCs w:val="16"/>
        </w:rPr>
      </w:pPr>
      <w:r w:rsidRPr="00C33834">
        <w:rPr>
          <w:color w:val="000000" w:themeColor="text1"/>
          <w:sz w:val="16"/>
          <w:szCs w:val="16"/>
        </w:rPr>
        <w:t>Товарищ Ворошилов, ознакомившись с присланными материалами, и, в частности, с особым мнением начальника 7-го сектора НИИ ВВС Горощенко</w:t>
      </w:r>
    </w:p>
    <w:p w14:paraId="46A5ED45" w14:textId="77777777" w:rsidR="00197613" w:rsidRPr="00C33834" w:rsidRDefault="00197613" w:rsidP="00C33834">
      <w:pPr>
        <w:pStyle w:val="ae"/>
        <w:shd w:val="clear" w:color="auto" w:fill="FFFFFF"/>
        <w:spacing w:before="0" w:after="0"/>
        <w:jc w:val="both"/>
        <w:rPr>
          <w:iCs/>
          <w:color w:val="000000" w:themeColor="text1"/>
          <w:sz w:val="16"/>
          <w:szCs w:val="16"/>
        </w:rPr>
      </w:pPr>
      <w:r w:rsidRPr="00C33834">
        <w:rPr>
          <w:iCs/>
          <w:color w:val="000000" w:themeColor="text1"/>
          <w:sz w:val="16"/>
          <w:szCs w:val="16"/>
        </w:rPr>
        <w:t>«летающий танк технически осуществим, но требует очень длительного времени для получения положительных результатов работы его»</w:t>
      </w:r>
    </w:p>
    <w:p w14:paraId="668C3DFD" w14:textId="77777777" w:rsidR="00197613" w:rsidRPr="00C33834" w:rsidRDefault="00197613" w:rsidP="00C33834">
      <w:pPr>
        <w:pStyle w:val="ae"/>
        <w:shd w:val="clear" w:color="auto" w:fill="FFFFFF"/>
        <w:spacing w:before="0" w:after="0"/>
        <w:jc w:val="both"/>
        <w:rPr>
          <w:color w:val="000000" w:themeColor="text1"/>
          <w:sz w:val="16"/>
          <w:szCs w:val="16"/>
        </w:rPr>
      </w:pPr>
      <w:r w:rsidRPr="00C33834">
        <w:rPr>
          <w:color w:val="000000" w:themeColor="text1"/>
          <w:sz w:val="16"/>
          <w:szCs w:val="16"/>
        </w:rPr>
        <w:t>, пришел к выводу о том, что проще подвешивать танк под многомоторный бомбовоз, нежели делать «самолетающий».</w:t>
      </w:r>
    </w:p>
    <w:p w14:paraId="2D330F84" w14:textId="77777777" w:rsidR="00197613" w:rsidRPr="00C33834" w:rsidRDefault="00197613" w:rsidP="00C33834">
      <w:pPr>
        <w:pStyle w:val="ae"/>
        <w:shd w:val="clear" w:color="auto" w:fill="FFFFFF"/>
        <w:spacing w:before="0" w:after="0"/>
        <w:jc w:val="both"/>
        <w:rPr>
          <w:color w:val="000000" w:themeColor="text1"/>
          <w:sz w:val="16"/>
          <w:szCs w:val="16"/>
        </w:rPr>
      </w:pPr>
      <w:r w:rsidRPr="00C33834">
        <w:rPr>
          <w:color w:val="000000" w:themeColor="text1"/>
          <w:sz w:val="16"/>
          <w:szCs w:val="16"/>
        </w:rPr>
        <w:t>Таким образом, к лету 1933 г. все работы по летающим танкам Рафаэлянца, Камова и Самсонова-Добровольского были прекращены (19530).</w:t>
      </w:r>
    </w:p>
    <w:p w14:paraId="1AE7176B" w14:textId="77777777" w:rsidR="00197613" w:rsidRPr="00C33834" w:rsidRDefault="00197613" w:rsidP="00C33834">
      <w:pPr>
        <w:pStyle w:val="ae"/>
        <w:shd w:val="clear" w:color="auto" w:fill="FFFFFF"/>
        <w:spacing w:before="0" w:after="0"/>
        <w:jc w:val="both"/>
        <w:rPr>
          <w:color w:val="000000" w:themeColor="text1"/>
          <w:sz w:val="16"/>
          <w:szCs w:val="16"/>
        </w:rPr>
      </w:pPr>
    </w:p>
    <w:p w14:paraId="2E7A1CE5"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мая 1933 года Главный инженер-механик ВВС Аузан утвердил Технические требования к двухместному самолету трех назначений с мотором М34 НР</w:t>
      </w:r>
    </w:p>
    <w:p w14:paraId="1DB33970"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 самолета.</w:t>
      </w:r>
    </w:p>
    <w:p w14:paraId="7FAF32A9"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качестве оперативного разведчика.</w:t>
      </w:r>
    </w:p>
    <w:p w14:paraId="7F376757"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Разведка глубокого тыла противника с целью выявления его оперативных намерений (ж/д переброски, инженерные сооружения, изменение в дислокации тыловых учреждений и дислокации ВВС противника).</w:t>
      </w:r>
    </w:p>
    <w:p w14:paraId="0B846ED1"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Разведка в интересах бомбардировочной авиации (объектов предназначенных к бомбардированию).</w:t>
      </w:r>
    </w:p>
    <w:p w14:paraId="729C054A"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качестве двухместного истребителя.</w:t>
      </w:r>
    </w:p>
    <w:p w14:paraId="6683DF04"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Активный наступательный и оборонительный воздушный бой как одиночными самолетами, так и в соединенных (преимущественно).</w:t>
      </w:r>
    </w:p>
    <w:p w14:paraId="6C0F9576"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Сопровождение и прикрытие подвижных наступательных средств (авиация, мото-тех. части, конница).</w:t>
      </w:r>
    </w:p>
    <w:p w14:paraId="2CE5B71F"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Прикрытие малоподвижных объектов (крупные соединения наземных войск, резервы).</w:t>
      </w:r>
    </w:p>
    <w:p w14:paraId="03AEDF6E"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качестве легкого бомбардировщика.</w:t>
      </w:r>
    </w:p>
    <w:p w14:paraId="66BE3728"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Разрушение укреплений полевого типа и поражение мотомех, бронечастей артиллерии и живых сил противника.</w:t>
      </w:r>
    </w:p>
    <w:p w14:paraId="2A56DC37"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Разрушение объектов в ближнем тылу противника, общевойсковые базы, авиабазы, аэродромы, легкие ж/д сооружения и т.д.).</w:t>
      </w:r>
    </w:p>
    <w:p w14:paraId="614AE5EC"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Разрушения речных переправ.</w:t>
      </w:r>
    </w:p>
    <w:p w14:paraId="11637491"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Метод применения.</w:t>
      </w:r>
    </w:p>
    <w:p w14:paraId="2F7B8C62"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качестве оперативного разведчика.</w:t>
      </w:r>
    </w:p>
    <w:p w14:paraId="31C55DCD"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Основной метод фоторазведка с больших высот объектов удаленных от фронта.</w:t>
      </w:r>
    </w:p>
    <w:p w14:paraId="7BAC3EE9"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оперативного разведчика будет строиться на принципе внезапности, что предполагает полет одиночным самолетом и реже в соединении (звено, отряд).</w:t>
      </w:r>
    </w:p>
    <w:p w14:paraId="19F66EC0"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днем и ночью.</w:t>
      </w:r>
    </w:p>
    <w:p w14:paraId="1E038A34"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Большая вероятность встречи с воздушным противником и неизбежное противодействие истребителей и других средств. ПВО предъявляют к самолету требования возможно большой скорости горизонтального полета на высоте 6000 м как основному средству для самозащиты и выполнения задания.</w:t>
      </w:r>
    </w:p>
    <w:p w14:paraId="08D9A730"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Бой оборонительный вынужденный, при невозможности пользуясь преимуществом скорости уйти от боя.</w:t>
      </w:r>
    </w:p>
    <w:p w14:paraId="20EF9C0E"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качестве двухместного истребителя.</w:t>
      </w:r>
    </w:p>
    <w:p w14:paraId="234280BB"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Как самолет сопровождения легкобомбардировочной авиации соединением (звено, отряд) и отдельными самолетами на больших высотах. Полет днем и ночью.</w:t>
      </w:r>
    </w:p>
    <w:p w14:paraId="49514FE3"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обеспечении подвижных объектов - бой наступательный как одиночный, так и соединением. Полет преимущественно днем на средних и малых высотах.</w:t>
      </w:r>
    </w:p>
    <w:p w14:paraId="4F729C05"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качестве легкого бомбардировщика.</w:t>
      </w:r>
    </w:p>
    <w:p w14:paraId="7AD83C83"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в составе соединения (отряд, эскадрилья). Бомбардирование с больших и средних высот. Полет днем и ночью. Оборонительный.</w:t>
      </w:r>
    </w:p>
    <w:p w14:paraId="54965F7B"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Применение в качестве установщика дымовых завес. Полет в составе бомбардировочного соединения.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992"/>
        <w:gridCol w:w="1134"/>
        <w:gridCol w:w="1277"/>
      </w:tblGrid>
      <w:tr w:rsidR="00F26F01" w:rsidRPr="00C33834" w14:paraId="4BEEC2CF" w14:textId="77777777">
        <w:tc>
          <w:tcPr>
            <w:tcW w:w="2802" w:type="dxa"/>
          </w:tcPr>
          <w:p w14:paraId="27D9CF1F"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Летно-тактические данные:</w:t>
            </w:r>
          </w:p>
        </w:tc>
        <w:tc>
          <w:tcPr>
            <w:tcW w:w="992" w:type="dxa"/>
          </w:tcPr>
          <w:p w14:paraId="69EB9F24" w14:textId="77777777" w:rsidR="008C5AAD" w:rsidRPr="00C33834" w:rsidRDefault="008C5AAD" w:rsidP="00C33834">
            <w:pPr>
              <w:spacing w:after="0" w:line="240" w:lineRule="auto"/>
              <w:jc w:val="both"/>
              <w:rPr>
                <w:rFonts w:ascii="Times New Roman" w:hAnsi="Times New Roman"/>
                <w:color w:val="000000" w:themeColor="text1"/>
                <w:sz w:val="16"/>
                <w:szCs w:val="16"/>
              </w:rPr>
            </w:pPr>
          </w:p>
        </w:tc>
        <w:tc>
          <w:tcPr>
            <w:tcW w:w="1134" w:type="dxa"/>
          </w:tcPr>
          <w:p w14:paraId="0F4521D7" w14:textId="77777777" w:rsidR="008C5AAD" w:rsidRPr="00C33834" w:rsidRDefault="008C5AAD" w:rsidP="00C33834">
            <w:pPr>
              <w:spacing w:after="0" w:line="240" w:lineRule="auto"/>
              <w:jc w:val="both"/>
              <w:rPr>
                <w:rFonts w:ascii="Times New Roman" w:hAnsi="Times New Roman"/>
                <w:color w:val="000000" w:themeColor="text1"/>
                <w:sz w:val="16"/>
                <w:szCs w:val="16"/>
              </w:rPr>
            </w:pPr>
          </w:p>
        </w:tc>
        <w:tc>
          <w:tcPr>
            <w:tcW w:w="1277" w:type="dxa"/>
          </w:tcPr>
          <w:p w14:paraId="6A2FEEF3" w14:textId="77777777" w:rsidR="008C5AAD" w:rsidRPr="00C33834" w:rsidRDefault="008C5AAD" w:rsidP="00C33834">
            <w:pPr>
              <w:spacing w:after="0" w:line="240" w:lineRule="auto"/>
              <w:jc w:val="both"/>
              <w:rPr>
                <w:rFonts w:ascii="Times New Roman" w:hAnsi="Times New Roman"/>
                <w:color w:val="000000" w:themeColor="text1"/>
                <w:sz w:val="16"/>
                <w:szCs w:val="16"/>
              </w:rPr>
            </w:pPr>
          </w:p>
        </w:tc>
      </w:tr>
      <w:tr w:rsidR="00F26F01" w:rsidRPr="00C33834" w14:paraId="66C69BEC" w14:textId="77777777">
        <w:tc>
          <w:tcPr>
            <w:tcW w:w="2802" w:type="dxa"/>
          </w:tcPr>
          <w:p w14:paraId="21B45392" w14:textId="77777777" w:rsidR="008C5AAD" w:rsidRPr="00C33834" w:rsidRDefault="008C5AAD" w:rsidP="00C33834">
            <w:pPr>
              <w:spacing w:after="0" w:line="240" w:lineRule="auto"/>
              <w:jc w:val="both"/>
              <w:rPr>
                <w:rFonts w:ascii="Times New Roman" w:hAnsi="Times New Roman"/>
                <w:color w:val="000000" w:themeColor="text1"/>
                <w:sz w:val="16"/>
                <w:szCs w:val="16"/>
              </w:rPr>
            </w:pPr>
          </w:p>
        </w:tc>
        <w:tc>
          <w:tcPr>
            <w:tcW w:w="992" w:type="dxa"/>
          </w:tcPr>
          <w:p w14:paraId="1DF6CFBF"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w:t>
            </w:r>
          </w:p>
        </w:tc>
        <w:tc>
          <w:tcPr>
            <w:tcW w:w="1134" w:type="dxa"/>
          </w:tcPr>
          <w:p w14:paraId="208CA5B6"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ЛБ</w:t>
            </w:r>
          </w:p>
        </w:tc>
        <w:tc>
          <w:tcPr>
            <w:tcW w:w="1277" w:type="dxa"/>
          </w:tcPr>
          <w:p w14:paraId="4EBDE9FE"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w:t>
            </w:r>
          </w:p>
        </w:tc>
      </w:tr>
      <w:tr w:rsidR="00F26F01" w:rsidRPr="00C33834" w14:paraId="534C7001" w14:textId="77777777">
        <w:tc>
          <w:tcPr>
            <w:tcW w:w="2802" w:type="dxa"/>
          </w:tcPr>
          <w:p w14:paraId="6C58A717"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 горизонтальная скорость</w:t>
            </w:r>
          </w:p>
        </w:tc>
        <w:tc>
          <w:tcPr>
            <w:tcW w:w="992" w:type="dxa"/>
          </w:tcPr>
          <w:p w14:paraId="200F0EF3" w14:textId="77777777" w:rsidR="008C5AAD" w:rsidRPr="00C33834" w:rsidRDefault="008C5AAD" w:rsidP="00C33834">
            <w:pPr>
              <w:spacing w:after="0" w:line="240" w:lineRule="auto"/>
              <w:jc w:val="both"/>
              <w:rPr>
                <w:rFonts w:ascii="Times New Roman" w:hAnsi="Times New Roman"/>
                <w:color w:val="000000" w:themeColor="text1"/>
                <w:sz w:val="16"/>
                <w:szCs w:val="16"/>
              </w:rPr>
            </w:pPr>
          </w:p>
        </w:tc>
        <w:tc>
          <w:tcPr>
            <w:tcW w:w="1134" w:type="dxa"/>
          </w:tcPr>
          <w:p w14:paraId="7CBD41D6" w14:textId="77777777" w:rsidR="008C5AAD" w:rsidRPr="00C33834" w:rsidRDefault="008C5AAD" w:rsidP="00C33834">
            <w:pPr>
              <w:spacing w:after="0" w:line="240" w:lineRule="auto"/>
              <w:jc w:val="both"/>
              <w:rPr>
                <w:rFonts w:ascii="Times New Roman" w:hAnsi="Times New Roman"/>
                <w:color w:val="000000" w:themeColor="text1"/>
                <w:sz w:val="16"/>
                <w:szCs w:val="16"/>
              </w:rPr>
            </w:pPr>
          </w:p>
        </w:tc>
        <w:tc>
          <w:tcPr>
            <w:tcW w:w="1277" w:type="dxa"/>
          </w:tcPr>
          <w:p w14:paraId="0393AC7A" w14:textId="77777777" w:rsidR="008C5AAD" w:rsidRPr="00C33834" w:rsidRDefault="008C5AAD" w:rsidP="00C33834">
            <w:pPr>
              <w:spacing w:after="0" w:line="240" w:lineRule="auto"/>
              <w:jc w:val="both"/>
              <w:rPr>
                <w:rFonts w:ascii="Times New Roman" w:hAnsi="Times New Roman"/>
                <w:color w:val="000000" w:themeColor="text1"/>
                <w:sz w:val="16"/>
                <w:szCs w:val="16"/>
              </w:rPr>
            </w:pPr>
          </w:p>
        </w:tc>
      </w:tr>
      <w:tr w:rsidR="00F26F01" w:rsidRPr="00C33834" w14:paraId="723D7E97" w14:textId="77777777">
        <w:tc>
          <w:tcPr>
            <w:tcW w:w="2802" w:type="dxa"/>
          </w:tcPr>
          <w:p w14:paraId="3671AC3B"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высоте 5000 м</w:t>
            </w:r>
          </w:p>
        </w:tc>
        <w:tc>
          <w:tcPr>
            <w:tcW w:w="992" w:type="dxa"/>
          </w:tcPr>
          <w:p w14:paraId="41E9336B"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420-450</w:t>
            </w:r>
          </w:p>
        </w:tc>
        <w:tc>
          <w:tcPr>
            <w:tcW w:w="1134" w:type="dxa"/>
          </w:tcPr>
          <w:p w14:paraId="2A665D80"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350-380</w:t>
            </w:r>
          </w:p>
        </w:tc>
        <w:tc>
          <w:tcPr>
            <w:tcW w:w="1277" w:type="dxa"/>
          </w:tcPr>
          <w:p w14:paraId="341DB1DF"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370-400</w:t>
            </w:r>
          </w:p>
        </w:tc>
      </w:tr>
      <w:tr w:rsidR="00F26F01" w:rsidRPr="00C33834" w14:paraId="28473913" w14:textId="77777777">
        <w:tc>
          <w:tcPr>
            <w:tcW w:w="2802" w:type="dxa"/>
          </w:tcPr>
          <w:p w14:paraId="3C2E6B1B"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на 5000 м не более</w:t>
            </w:r>
          </w:p>
        </w:tc>
        <w:tc>
          <w:tcPr>
            <w:tcW w:w="992" w:type="dxa"/>
          </w:tcPr>
          <w:p w14:paraId="5BCFB536"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tc>
        <w:tc>
          <w:tcPr>
            <w:tcW w:w="1134" w:type="dxa"/>
          </w:tcPr>
          <w:p w14:paraId="4A67C09E"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w:t>
            </w:r>
          </w:p>
        </w:tc>
        <w:tc>
          <w:tcPr>
            <w:tcW w:w="1277" w:type="dxa"/>
          </w:tcPr>
          <w:p w14:paraId="09554BBD"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r>
      <w:tr w:rsidR="00F26F01" w:rsidRPr="00C33834" w14:paraId="56997657" w14:textId="77777777">
        <w:tc>
          <w:tcPr>
            <w:tcW w:w="2802" w:type="dxa"/>
          </w:tcPr>
          <w:p w14:paraId="4F655635"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Практический потолок</w:t>
            </w:r>
          </w:p>
        </w:tc>
        <w:tc>
          <w:tcPr>
            <w:tcW w:w="992" w:type="dxa"/>
          </w:tcPr>
          <w:p w14:paraId="7DA913F4"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10000</w:t>
            </w:r>
          </w:p>
        </w:tc>
        <w:tc>
          <w:tcPr>
            <w:tcW w:w="1134" w:type="dxa"/>
          </w:tcPr>
          <w:p w14:paraId="5A6F7CA3"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9000</w:t>
            </w:r>
          </w:p>
        </w:tc>
        <w:tc>
          <w:tcPr>
            <w:tcW w:w="1277" w:type="dxa"/>
          </w:tcPr>
          <w:p w14:paraId="020D62F1"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9500</w:t>
            </w:r>
          </w:p>
        </w:tc>
      </w:tr>
      <w:tr w:rsidR="00F26F01" w:rsidRPr="00C33834" w14:paraId="6294D39B" w14:textId="77777777">
        <w:tc>
          <w:tcPr>
            <w:tcW w:w="2802" w:type="dxa"/>
          </w:tcPr>
          <w:p w14:paraId="585DC9B0"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Техническая дальность</w:t>
            </w:r>
          </w:p>
        </w:tc>
        <w:tc>
          <w:tcPr>
            <w:tcW w:w="992" w:type="dxa"/>
          </w:tcPr>
          <w:p w14:paraId="210F4CDE"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w:t>
            </w:r>
          </w:p>
        </w:tc>
        <w:tc>
          <w:tcPr>
            <w:tcW w:w="1134" w:type="dxa"/>
          </w:tcPr>
          <w:p w14:paraId="630491A6"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w:t>
            </w:r>
          </w:p>
        </w:tc>
        <w:tc>
          <w:tcPr>
            <w:tcW w:w="1277" w:type="dxa"/>
          </w:tcPr>
          <w:p w14:paraId="41548591"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w:t>
            </w:r>
          </w:p>
        </w:tc>
      </w:tr>
      <w:tr w:rsidR="00F26F01" w:rsidRPr="00C33834" w14:paraId="697305DA" w14:textId="77777777">
        <w:tc>
          <w:tcPr>
            <w:tcW w:w="2802" w:type="dxa"/>
          </w:tcPr>
          <w:p w14:paraId="0286C98A"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Емкость бака из расчета технической </w:t>
            </w:r>
          </w:p>
        </w:tc>
        <w:tc>
          <w:tcPr>
            <w:tcW w:w="992" w:type="dxa"/>
          </w:tcPr>
          <w:p w14:paraId="07EE59A6" w14:textId="77777777" w:rsidR="008C5AAD" w:rsidRPr="00C33834" w:rsidRDefault="008C5AAD" w:rsidP="00C33834">
            <w:pPr>
              <w:spacing w:after="0" w:line="240" w:lineRule="auto"/>
              <w:jc w:val="both"/>
              <w:rPr>
                <w:rFonts w:ascii="Times New Roman" w:hAnsi="Times New Roman"/>
                <w:color w:val="000000" w:themeColor="text1"/>
                <w:sz w:val="16"/>
                <w:szCs w:val="16"/>
              </w:rPr>
            </w:pPr>
          </w:p>
        </w:tc>
        <w:tc>
          <w:tcPr>
            <w:tcW w:w="1134" w:type="dxa"/>
          </w:tcPr>
          <w:p w14:paraId="5DF1F6B8" w14:textId="77777777" w:rsidR="008C5AAD" w:rsidRPr="00C33834" w:rsidRDefault="008C5AAD" w:rsidP="00C33834">
            <w:pPr>
              <w:spacing w:after="0" w:line="240" w:lineRule="auto"/>
              <w:jc w:val="both"/>
              <w:rPr>
                <w:rFonts w:ascii="Times New Roman" w:hAnsi="Times New Roman"/>
                <w:color w:val="000000" w:themeColor="text1"/>
                <w:sz w:val="16"/>
                <w:szCs w:val="16"/>
              </w:rPr>
            </w:pPr>
          </w:p>
        </w:tc>
        <w:tc>
          <w:tcPr>
            <w:tcW w:w="1277" w:type="dxa"/>
          </w:tcPr>
          <w:p w14:paraId="2692D145" w14:textId="77777777" w:rsidR="008C5AAD" w:rsidRPr="00C33834" w:rsidRDefault="008C5AAD" w:rsidP="00C33834">
            <w:pPr>
              <w:spacing w:after="0" w:line="240" w:lineRule="auto"/>
              <w:jc w:val="both"/>
              <w:rPr>
                <w:rFonts w:ascii="Times New Roman" w:hAnsi="Times New Roman"/>
                <w:color w:val="000000" w:themeColor="text1"/>
                <w:sz w:val="16"/>
                <w:szCs w:val="16"/>
              </w:rPr>
            </w:pPr>
          </w:p>
        </w:tc>
      </w:tr>
      <w:tr w:rsidR="00F26F01" w:rsidRPr="00C33834" w14:paraId="7A5B1FD1" w14:textId="77777777">
        <w:tc>
          <w:tcPr>
            <w:tcW w:w="2802" w:type="dxa"/>
          </w:tcPr>
          <w:p w14:paraId="7CB46877"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дальности</w:t>
            </w:r>
          </w:p>
        </w:tc>
        <w:tc>
          <w:tcPr>
            <w:tcW w:w="992" w:type="dxa"/>
          </w:tcPr>
          <w:p w14:paraId="30188921"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c>
          <w:tcPr>
            <w:tcW w:w="1134" w:type="dxa"/>
          </w:tcPr>
          <w:p w14:paraId="3851800B"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c>
          <w:tcPr>
            <w:tcW w:w="1277" w:type="dxa"/>
          </w:tcPr>
          <w:p w14:paraId="29AA03A8"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r>
      <w:tr w:rsidR="00F26F01" w:rsidRPr="00C33834" w14:paraId="549B2C05" w14:textId="77777777">
        <w:tc>
          <w:tcPr>
            <w:tcW w:w="2802" w:type="dxa"/>
          </w:tcPr>
          <w:p w14:paraId="14E08253"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Посадочная скорость</w:t>
            </w:r>
          </w:p>
        </w:tc>
        <w:tc>
          <w:tcPr>
            <w:tcW w:w="992" w:type="dxa"/>
          </w:tcPr>
          <w:p w14:paraId="03F46520"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90-100</w:t>
            </w:r>
          </w:p>
        </w:tc>
        <w:tc>
          <w:tcPr>
            <w:tcW w:w="1134" w:type="dxa"/>
          </w:tcPr>
          <w:p w14:paraId="51D82E3A"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80-90</w:t>
            </w:r>
          </w:p>
        </w:tc>
        <w:tc>
          <w:tcPr>
            <w:tcW w:w="1277" w:type="dxa"/>
          </w:tcPr>
          <w:p w14:paraId="6D724A59"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90-100</w:t>
            </w:r>
          </w:p>
        </w:tc>
      </w:tr>
      <w:tr w:rsidR="00F26F01" w:rsidRPr="00C33834" w14:paraId="29FC4276" w14:textId="77777777">
        <w:tc>
          <w:tcPr>
            <w:tcW w:w="2802" w:type="dxa"/>
          </w:tcPr>
          <w:p w14:paraId="5FF4A70A"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разбега</w:t>
            </w:r>
          </w:p>
        </w:tc>
        <w:tc>
          <w:tcPr>
            <w:tcW w:w="992" w:type="dxa"/>
          </w:tcPr>
          <w:p w14:paraId="47B901B3"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c>
          <w:tcPr>
            <w:tcW w:w="1134" w:type="dxa"/>
          </w:tcPr>
          <w:p w14:paraId="1F830C6B"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100-120</w:t>
            </w:r>
          </w:p>
        </w:tc>
        <w:tc>
          <w:tcPr>
            <w:tcW w:w="1277" w:type="dxa"/>
          </w:tcPr>
          <w:p w14:paraId="018016ED"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w:t>
            </w:r>
          </w:p>
        </w:tc>
      </w:tr>
      <w:tr w:rsidR="00F26F01" w:rsidRPr="00C33834" w14:paraId="4635C226" w14:textId="77777777">
        <w:tc>
          <w:tcPr>
            <w:tcW w:w="2802" w:type="dxa"/>
          </w:tcPr>
          <w:p w14:paraId="4D8E83D5"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пробега с тормозом</w:t>
            </w:r>
          </w:p>
        </w:tc>
        <w:tc>
          <w:tcPr>
            <w:tcW w:w="992" w:type="dxa"/>
          </w:tcPr>
          <w:p w14:paraId="6F6454FC"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90-110</w:t>
            </w:r>
          </w:p>
        </w:tc>
        <w:tc>
          <w:tcPr>
            <w:tcW w:w="1134" w:type="dxa"/>
          </w:tcPr>
          <w:p w14:paraId="771D3E88"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90-110</w:t>
            </w:r>
          </w:p>
        </w:tc>
        <w:tc>
          <w:tcPr>
            <w:tcW w:w="1277" w:type="dxa"/>
          </w:tcPr>
          <w:p w14:paraId="37F4D254"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90-110</w:t>
            </w:r>
          </w:p>
        </w:tc>
      </w:tr>
      <w:tr w:rsidR="00F26F01" w:rsidRPr="00C33834" w14:paraId="00597D86" w14:textId="77777777">
        <w:tc>
          <w:tcPr>
            <w:tcW w:w="2802" w:type="dxa"/>
          </w:tcPr>
          <w:p w14:paraId="1765F949"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Последовательность требований для вариантов назначения</w:t>
            </w:r>
          </w:p>
        </w:tc>
        <w:tc>
          <w:tcPr>
            <w:tcW w:w="992" w:type="dxa"/>
          </w:tcPr>
          <w:p w14:paraId="3E1911F4" w14:textId="77777777" w:rsidR="008C5AAD" w:rsidRPr="00C33834" w:rsidRDefault="008C5AAD" w:rsidP="00C33834">
            <w:pPr>
              <w:spacing w:after="0" w:line="240" w:lineRule="auto"/>
              <w:jc w:val="both"/>
              <w:rPr>
                <w:rFonts w:ascii="Times New Roman" w:hAnsi="Times New Roman"/>
                <w:color w:val="000000" w:themeColor="text1"/>
                <w:sz w:val="16"/>
                <w:szCs w:val="16"/>
              </w:rPr>
            </w:pPr>
          </w:p>
        </w:tc>
        <w:tc>
          <w:tcPr>
            <w:tcW w:w="1134" w:type="dxa"/>
          </w:tcPr>
          <w:p w14:paraId="62D28C77" w14:textId="77777777" w:rsidR="008C5AAD" w:rsidRPr="00C33834" w:rsidRDefault="008C5AAD" w:rsidP="00C33834">
            <w:pPr>
              <w:spacing w:after="0" w:line="240" w:lineRule="auto"/>
              <w:jc w:val="both"/>
              <w:rPr>
                <w:rFonts w:ascii="Times New Roman" w:hAnsi="Times New Roman"/>
                <w:color w:val="000000" w:themeColor="text1"/>
                <w:sz w:val="16"/>
                <w:szCs w:val="16"/>
              </w:rPr>
            </w:pPr>
          </w:p>
        </w:tc>
        <w:tc>
          <w:tcPr>
            <w:tcW w:w="1277" w:type="dxa"/>
          </w:tcPr>
          <w:p w14:paraId="42638E5E" w14:textId="77777777" w:rsidR="008C5AAD" w:rsidRPr="00C33834" w:rsidRDefault="008C5AAD" w:rsidP="00C33834">
            <w:pPr>
              <w:spacing w:after="0" w:line="240" w:lineRule="auto"/>
              <w:jc w:val="both"/>
              <w:rPr>
                <w:rFonts w:ascii="Times New Roman" w:hAnsi="Times New Roman"/>
                <w:color w:val="000000" w:themeColor="text1"/>
                <w:sz w:val="16"/>
                <w:szCs w:val="16"/>
              </w:rPr>
            </w:pPr>
          </w:p>
        </w:tc>
      </w:tr>
      <w:tr w:rsidR="00F26F01" w:rsidRPr="00C33834" w14:paraId="6898BCE5" w14:textId="77777777">
        <w:tc>
          <w:tcPr>
            <w:tcW w:w="2802" w:type="dxa"/>
          </w:tcPr>
          <w:p w14:paraId="04313B33" w14:textId="77777777" w:rsidR="008C5AAD" w:rsidRPr="00C33834" w:rsidRDefault="008C5AAD" w:rsidP="00C33834">
            <w:pPr>
              <w:spacing w:after="0" w:line="240" w:lineRule="auto"/>
              <w:jc w:val="both"/>
              <w:rPr>
                <w:rFonts w:ascii="Times New Roman" w:hAnsi="Times New Roman"/>
                <w:color w:val="000000" w:themeColor="text1"/>
                <w:sz w:val="16"/>
                <w:szCs w:val="16"/>
              </w:rPr>
            </w:pPr>
          </w:p>
        </w:tc>
        <w:tc>
          <w:tcPr>
            <w:tcW w:w="992" w:type="dxa"/>
          </w:tcPr>
          <w:p w14:paraId="6FB8CBDF"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w:t>
            </w:r>
          </w:p>
        </w:tc>
        <w:tc>
          <w:tcPr>
            <w:tcW w:w="1134" w:type="dxa"/>
          </w:tcPr>
          <w:p w14:paraId="1F722901"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1277" w:type="dxa"/>
          </w:tcPr>
          <w:p w14:paraId="799BC9C6"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w:t>
            </w:r>
          </w:p>
        </w:tc>
      </w:tr>
      <w:tr w:rsidR="00F26F01" w:rsidRPr="00C33834" w14:paraId="429FF1CB" w14:textId="77777777">
        <w:tc>
          <w:tcPr>
            <w:tcW w:w="2802" w:type="dxa"/>
          </w:tcPr>
          <w:p w14:paraId="469382B8" w14:textId="77777777" w:rsidR="008C5AAD" w:rsidRPr="00C33834" w:rsidRDefault="008C5AAD" w:rsidP="00C33834">
            <w:pPr>
              <w:spacing w:after="0" w:line="240" w:lineRule="auto"/>
              <w:jc w:val="both"/>
              <w:rPr>
                <w:rFonts w:ascii="Times New Roman" w:hAnsi="Times New Roman"/>
                <w:color w:val="000000" w:themeColor="text1"/>
                <w:sz w:val="16"/>
                <w:szCs w:val="16"/>
              </w:rPr>
            </w:pPr>
          </w:p>
        </w:tc>
        <w:tc>
          <w:tcPr>
            <w:tcW w:w="992" w:type="dxa"/>
          </w:tcPr>
          <w:p w14:paraId="240AAB68"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w:t>
            </w:r>
          </w:p>
        </w:tc>
        <w:tc>
          <w:tcPr>
            <w:tcW w:w="1134" w:type="dxa"/>
          </w:tcPr>
          <w:p w14:paraId="485E7119"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w:t>
            </w:r>
          </w:p>
        </w:tc>
        <w:tc>
          <w:tcPr>
            <w:tcW w:w="1277" w:type="dxa"/>
          </w:tcPr>
          <w:p w14:paraId="6A25AE63"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r>
      <w:tr w:rsidR="00F26F01" w:rsidRPr="00C33834" w14:paraId="3814CDBF" w14:textId="77777777">
        <w:tc>
          <w:tcPr>
            <w:tcW w:w="2802" w:type="dxa"/>
          </w:tcPr>
          <w:p w14:paraId="0D0BCCD2" w14:textId="77777777" w:rsidR="008C5AAD" w:rsidRPr="00C33834" w:rsidRDefault="008C5AAD" w:rsidP="00C33834">
            <w:pPr>
              <w:spacing w:after="0" w:line="240" w:lineRule="auto"/>
              <w:jc w:val="both"/>
              <w:rPr>
                <w:rFonts w:ascii="Times New Roman" w:hAnsi="Times New Roman"/>
                <w:color w:val="000000" w:themeColor="text1"/>
                <w:sz w:val="16"/>
                <w:szCs w:val="16"/>
              </w:rPr>
            </w:pPr>
          </w:p>
        </w:tc>
        <w:tc>
          <w:tcPr>
            <w:tcW w:w="992" w:type="dxa"/>
          </w:tcPr>
          <w:p w14:paraId="18BD4020"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действий</w:t>
            </w:r>
          </w:p>
        </w:tc>
        <w:tc>
          <w:tcPr>
            <w:tcW w:w="1134" w:type="dxa"/>
          </w:tcPr>
          <w:p w14:paraId="2F51C911" w14:textId="77777777" w:rsidR="008C5AAD" w:rsidRPr="00C33834" w:rsidRDefault="008C5AAD" w:rsidP="00C33834">
            <w:pPr>
              <w:spacing w:after="0" w:line="240" w:lineRule="auto"/>
              <w:jc w:val="both"/>
              <w:rPr>
                <w:rFonts w:ascii="Times New Roman" w:hAnsi="Times New Roman"/>
                <w:color w:val="000000" w:themeColor="text1"/>
                <w:sz w:val="16"/>
                <w:szCs w:val="16"/>
              </w:rPr>
            </w:pPr>
          </w:p>
        </w:tc>
        <w:tc>
          <w:tcPr>
            <w:tcW w:w="1277" w:type="dxa"/>
          </w:tcPr>
          <w:p w14:paraId="6F9B68EA" w14:textId="77777777" w:rsidR="008C5AAD" w:rsidRPr="00C33834" w:rsidRDefault="008C5AAD" w:rsidP="00C33834">
            <w:pPr>
              <w:spacing w:after="0" w:line="240" w:lineRule="auto"/>
              <w:jc w:val="both"/>
              <w:rPr>
                <w:rFonts w:ascii="Times New Roman" w:hAnsi="Times New Roman"/>
                <w:color w:val="000000" w:themeColor="text1"/>
                <w:sz w:val="16"/>
                <w:szCs w:val="16"/>
              </w:rPr>
            </w:pPr>
          </w:p>
        </w:tc>
      </w:tr>
      <w:tr w:rsidR="00F26F01" w:rsidRPr="00C33834" w14:paraId="390745EC" w14:textId="77777777">
        <w:tc>
          <w:tcPr>
            <w:tcW w:w="2802" w:type="dxa"/>
          </w:tcPr>
          <w:p w14:paraId="1125F23B" w14:textId="77777777" w:rsidR="008C5AAD" w:rsidRPr="00C33834" w:rsidRDefault="008C5AAD" w:rsidP="00C33834">
            <w:pPr>
              <w:spacing w:after="0" w:line="240" w:lineRule="auto"/>
              <w:jc w:val="both"/>
              <w:rPr>
                <w:rFonts w:ascii="Times New Roman" w:hAnsi="Times New Roman"/>
                <w:color w:val="000000" w:themeColor="text1"/>
                <w:sz w:val="16"/>
                <w:szCs w:val="16"/>
              </w:rPr>
            </w:pPr>
          </w:p>
        </w:tc>
        <w:tc>
          <w:tcPr>
            <w:tcW w:w="992" w:type="dxa"/>
          </w:tcPr>
          <w:p w14:paraId="77CA6CBD"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w:t>
            </w:r>
          </w:p>
        </w:tc>
        <w:tc>
          <w:tcPr>
            <w:tcW w:w="1134" w:type="dxa"/>
          </w:tcPr>
          <w:p w14:paraId="2BBA8E6A"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w:t>
            </w:r>
          </w:p>
        </w:tc>
        <w:tc>
          <w:tcPr>
            <w:tcW w:w="1277" w:type="dxa"/>
          </w:tcPr>
          <w:p w14:paraId="2EF646CF"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маневренность</w:t>
            </w:r>
          </w:p>
        </w:tc>
      </w:tr>
      <w:tr w:rsidR="00F26F01" w:rsidRPr="00C33834" w14:paraId="0E8ACB27" w14:textId="77777777">
        <w:tc>
          <w:tcPr>
            <w:tcW w:w="2802" w:type="dxa"/>
          </w:tcPr>
          <w:p w14:paraId="67123697" w14:textId="77777777" w:rsidR="008C5AAD" w:rsidRPr="00C33834" w:rsidRDefault="008C5AAD" w:rsidP="00C33834">
            <w:pPr>
              <w:spacing w:after="0" w:line="240" w:lineRule="auto"/>
              <w:jc w:val="both"/>
              <w:rPr>
                <w:rFonts w:ascii="Times New Roman" w:hAnsi="Times New Roman"/>
                <w:color w:val="000000" w:themeColor="text1"/>
                <w:sz w:val="16"/>
                <w:szCs w:val="16"/>
              </w:rPr>
            </w:pPr>
          </w:p>
        </w:tc>
        <w:tc>
          <w:tcPr>
            <w:tcW w:w="992" w:type="dxa"/>
          </w:tcPr>
          <w:p w14:paraId="40C5201D"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1134" w:type="dxa"/>
          </w:tcPr>
          <w:p w14:paraId="656DC988"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действий</w:t>
            </w:r>
          </w:p>
        </w:tc>
        <w:tc>
          <w:tcPr>
            <w:tcW w:w="1277" w:type="dxa"/>
          </w:tcPr>
          <w:p w14:paraId="3FD94DCF" w14:textId="77777777" w:rsidR="008C5AAD" w:rsidRPr="00C33834" w:rsidRDefault="008C5AAD" w:rsidP="00C33834">
            <w:pPr>
              <w:spacing w:after="0" w:line="240" w:lineRule="auto"/>
              <w:jc w:val="both"/>
              <w:rPr>
                <w:rFonts w:ascii="Times New Roman" w:hAnsi="Times New Roman"/>
                <w:color w:val="000000" w:themeColor="text1"/>
                <w:sz w:val="16"/>
                <w:szCs w:val="16"/>
              </w:rPr>
            </w:pPr>
          </w:p>
        </w:tc>
      </w:tr>
      <w:tr w:rsidR="00F26F01" w:rsidRPr="00C33834" w14:paraId="74EAC43E" w14:textId="77777777">
        <w:tc>
          <w:tcPr>
            <w:tcW w:w="2802" w:type="dxa"/>
          </w:tcPr>
          <w:p w14:paraId="7DA05F8C" w14:textId="77777777" w:rsidR="008C5AAD" w:rsidRPr="00C33834" w:rsidRDefault="008C5AAD" w:rsidP="00C33834">
            <w:pPr>
              <w:spacing w:after="0" w:line="240" w:lineRule="auto"/>
              <w:jc w:val="both"/>
              <w:rPr>
                <w:rFonts w:ascii="Times New Roman" w:hAnsi="Times New Roman"/>
                <w:color w:val="000000" w:themeColor="text1"/>
                <w:sz w:val="16"/>
                <w:szCs w:val="16"/>
              </w:rPr>
            </w:pPr>
          </w:p>
        </w:tc>
        <w:tc>
          <w:tcPr>
            <w:tcW w:w="992" w:type="dxa"/>
          </w:tcPr>
          <w:p w14:paraId="0C7E6989"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маневренность</w:t>
            </w:r>
          </w:p>
        </w:tc>
        <w:tc>
          <w:tcPr>
            <w:tcW w:w="1134" w:type="dxa"/>
          </w:tcPr>
          <w:p w14:paraId="68A360FE"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маневренность</w:t>
            </w:r>
          </w:p>
        </w:tc>
        <w:tc>
          <w:tcPr>
            <w:tcW w:w="1277" w:type="dxa"/>
          </w:tcPr>
          <w:p w14:paraId="5ECCE144"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w:t>
            </w:r>
          </w:p>
        </w:tc>
      </w:tr>
      <w:tr w:rsidR="00F26F01" w:rsidRPr="00C33834" w14:paraId="74064F3F" w14:textId="77777777">
        <w:tc>
          <w:tcPr>
            <w:tcW w:w="2802" w:type="dxa"/>
          </w:tcPr>
          <w:p w14:paraId="6D7776DB" w14:textId="77777777" w:rsidR="008C5AAD" w:rsidRPr="00C33834" w:rsidRDefault="008C5AAD" w:rsidP="00C33834">
            <w:pPr>
              <w:spacing w:after="0" w:line="240" w:lineRule="auto"/>
              <w:jc w:val="both"/>
              <w:rPr>
                <w:rFonts w:ascii="Times New Roman" w:hAnsi="Times New Roman"/>
                <w:color w:val="000000" w:themeColor="text1"/>
                <w:sz w:val="16"/>
                <w:szCs w:val="16"/>
              </w:rPr>
            </w:pPr>
          </w:p>
        </w:tc>
        <w:tc>
          <w:tcPr>
            <w:tcW w:w="992" w:type="dxa"/>
          </w:tcPr>
          <w:p w14:paraId="1B17A4F9" w14:textId="77777777" w:rsidR="008C5AAD" w:rsidRPr="00C33834" w:rsidRDefault="008C5AAD" w:rsidP="00C33834">
            <w:pPr>
              <w:spacing w:after="0" w:line="240" w:lineRule="auto"/>
              <w:jc w:val="both"/>
              <w:rPr>
                <w:rFonts w:ascii="Times New Roman" w:hAnsi="Times New Roman"/>
                <w:color w:val="000000" w:themeColor="text1"/>
                <w:sz w:val="16"/>
                <w:szCs w:val="16"/>
              </w:rPr>
            </w:pPr>
          </w:p>
        </w:tc>
        <w:tc>
          <w:tcPr>
            <w:tcW w:w="1134" w:type="dxa"/>
          </w:tcPr>
          <w:p w14:paraId="7520B035" w14:textId="77777777" w:rsidR="008C5AAD" w:rsidRPr="00C33834" w:rsidRDefault="008C5AAD" w:rsidP="00C33834">
            <w:pPr>
              <w:spacing w:after="0" w:line="240" w:lineRule="auto"/>
              <w:jc w:val="both"/>
              <w:rPr>
                <w:rFonts w:ascii="Times New Roman" w:hAnsi="Times New Roman"/>
                <w:color w:val="000000" w:themeColor="text1"/>
                <w:sz w:val="16"/>
                <w:szCs w:val="16"/>
              </w:rPr>
            </w:pPr>
          </w:p>
        </w:tc>
        <w:tc>
          <w:tcPr>
            <w:tcW w:w="1277" w:type="dxa"/>
          </w:tcPr>
          <w:p w14:paraId="0214D399"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действий</w:t>
            </w:r>
          </w:p>
        </w:tc>
      </w:tr>
    </w:tbl>
    <w:p w14:paraId="311B2CB6"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Конструкция самолета.</w:t>
      </w:r>
    </w:p>
    <w:p w14:paraId="7A8F003B"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конструировании самолета должна быть осуществлена основная цель создания унифицированного в производстве типа, позволяющего путем установки того или иного специализированного оборудования, отвечающего назначению самолета или замены определенных элементов конструкции самолета выпускать самолет одним и тем же серийным заводом в трех вариантах.</w:t>
      </w:r>
    </w:p>
    <w:p w14:paraId="5B08C786"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p w14:paraId="7ADB55B0"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Допускается создание 3-х типов самолетов при наличии двух разных фюзеляжей и 2-х комплектов крыльев. Пример: основные типы: ОР и ЛБ. Фюзеляж Л6 вместе с комплектом крыльев ОР дают самолет ДИ.</w:t>
      </w:r>
    </w:p>
    <w:p w14:paraId="4B73445D"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20126E57"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должен иметь убирающиеся в полете шасси. Механизм убирания должен быть снабжен контрольным прибором, показывающим положение шасси.</w:t>
      </w:r>
    </w:p>
    <w:p w14:paraId="7E1FCF2D"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p w14:paraId="255BEDCE"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представлении эскизного проекта, конструктор обязан представить мотивировку и обоснование применения того или другого материала в особенности в случае отказа от применения новых легких материалов.</w:t>
      </w:r>
    </w:p>
    <w:p w14:paraId="52BEC66F"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Также должны быть представлены материалы, характеризующие насколько полно отражены в данном самолете новейшие достижения авиатехники как в отношении аэродинамики, так и в конструкции основных элементов и отдельных деталей (3899,397-404).</w:t>
      </w:r>
    </w:p>
    <w:p w14:paraId="7BCF7EEA" w14:textId="77777777" w:rsidR="008C5AAD" w:rsidRPr="00C33834" w:rsidRDefault="008C5AAD" w:rsidP="00C33834">
      <w:pPr>
        <w:spacing w:after="0" w:line="240" w:lineRule="auto"/>
        <w:jc w:val="both"/>
        <w:rPr>
          <w:rFonts w:ascii="Times New Roman" w:hAnsi="Times New Roman"/>
          <w:color w:val="000000" w:themeColor="text1"/>
          <w:sz w:val="16"/>
          <w:szCs w:val="16"/>
        </w:rPr>
      </w:pPr>
    </w:p>
    <w:p w14:paraId="6244DB1B"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мая 1933 года Главный инженер-механик ВВС Аузан утвердил Технические требования к 2-х местному самолету трех назначений с мотором М34 НР с нагнетателем до 5000 м и винтом с переменным в полете шагом (6649).</w:t>
      </w:r>
    </w:p>
    <w:p w14:paraId="06967DA5"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 самолета</w:t>
      </w:r>
    </w:p>
    <w:p w14:paraId="565EC675" w14:textId="77777777" w:rsidR="008C5AAD" w:rsidRPr="00C33834" w:rsidRDefault="008C5AAD" w:rsidP="00C33834">
      <w:pPr>
        <w:numPr>
          <w:ilvl w:val="0"/>
          <w:numId w:val="22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качестве оперативного разведчика.</w:t>
      </w:r>
    </w:p>
    <w:p w14:paraId="0CF05418"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Разведка глубокого тыла противника с целью выявления его оперативных намерений (ж/д переброски, инженерные сооружения, изменение в дислокации тыловых учреждений и дислокации противника).</w:t>
      </w:r>
    </w:p>
    <w:p w14:paraId="7AD6CB2C"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Разведка в интересах бомбардировочной авиации (объектов намеченных к бомбардированию).</w:t>
      </w:r>
    </w:p>
    <w:p w14:paraId="1D3D4881" w14:textId="77777777" w:rsidR="008C5AAD" w:rsidRPr="00C33834" w:rsidRDefault="008C5AAD" w:rsidP="00C33834">
      <w:pPr>
        <w:numPr>
          <w:ilvl w:val="0"/>
          <w:numId w:val="22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качестве двухместного истребителя.</w:t>
      </w:r>
    </w:p>
    <w:p w14:paraId="53133788"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Активный наступательный и оборонительный воздушный бой как одиночными самолетами, так и в соединениях (преимущественно).</w:t>
      </w:r>
    </w:p>
    <w:p w14:paraId="23463EDD"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Сопровождение и прикрытие подвижных наступательных средств (авиация, мото-мех. части, конница).</w:t>
      </w:r>
    </w:p>
    <w:p w14:paraId="58E671AF"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Прикрытие малоподвижных объектов (крупные соединения наземных войск, резервы …).</w:t>
      </w:r>
    </w:p>
    <w:p w14:paraId="1BA438C4" w14:textId="77777777" w:rsidR="008C5AAD" w:rsidRPr="00C33834" w:rsidRDefault="008C5AAD" w:rsidP="00C33834">
      <w:pPr>
        <w:numPr>
          <w:ilvl w:val="0"/>
          <w:numId w:val="22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качестве легкого бомбардировщика.</w:t>
      </w:r>
    </w:p>
    <w:p w14:paraId="06228A27"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Разрушение укреплений полевого типа и поражение мотомех., бронечастей, артиллерии и живых сил противника.</w:t>
      </w:r>
    </w:p>
    <w:p w14:paraId="761AB090"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Разрушение объектов в ближнем тылу противника (общевойсковые базы, авиабазы, аэродромы, легкие ж/д сооружения и т.д.).</w:t>
      </w:r>
    </w:p>
    <w:p w14:paraId="78F47F91"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Разрушение речных переправ.</w:t>
      </w:r>
    </w:p>
    <w:p w14:paraId="56CED63C"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Летно-тактические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1134"/>
        <w:gridCol w:w="1134"/>
        <w:gridCol w:w="1134"/>
      </w:tblGrid>
      <w:tr w:rsidR="00F26F01" w:rsidRPr="00C33834" w14:paraId="43A0C938" w14:textId="77777777">
        <w:tc>
          <w:tcPr>
            <w:tcW w:w="3085" w:type="dxa"/>
          </w:tcPr>
          <w:p w14:paraId="57FD9FAD"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p>
        </w:tc>
        <w:tc>
          <w:tcPr>
            <w:tcW w:w="1134" w:type="dxa"/>
          </w:tcPr>
          <w:p w14:paraId="37E38E8F"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w:t>
            </w:r>
          </w:p>
        </w:tc>
        <w:tc>
          <w:tcPr>
            <w:tcW w:w="1134" w:type="dxa"/>
          </w:tcPr>
          <w:p w14:paraId="2FE0CE34"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Л6</w:t>
            </w:r>
          </w:p>
        </w:tc>
        <w:tc>
          <w:tcPr>
            <w:tcW w:w="1134" w:type="dxa"/>
          </w:tcPr>
          <w:p w14:paraId="5E537AF4"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w:t>
            </w:r>
          </w:p>
        </w:tc>
      </w:tr>
      <w:tr w:rsidR="00F26F01" w:rsidRPr="00C33834" w14:paraId="6E1734F8" w14:textId="77777777">
        <w:tc>
          <w:tcPr>
            <w:tcW w:w="3085" w:type="dxa"/>
          </w:tcPr>
          <w:p w14:paraId="0A543660"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 горизонтальная скорость</w:t>
            </w:r>
          </w:p>
        </w:tc>
        <w:tc>
          <w:tcPr>
            <w:tcW w:w="1134" w:type="dxa"/>
          </w:tcPr>
          <w:p w14:paraId="5BB6A9DC"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p>
        </w:tc>
        <w:tc>
          <w:tcPr>
            <w:tcW w:w="1134" w:type="dxa"/>
          </w:tcPr>
          <w:p w14:paraId="099F447A"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p>
        </w:tc>
        <w:tc>
          <w:tcPr>
            <w:tcW w:w="1134" w:type="dxa"/>
          </w:tcPr>
          <w:p w14:paraId="3E12B0D8"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p>
        </w:tc>
      </w:tr>
      <w:tr w:rsidR="00F26F01" w:rsidRPr="00C33834" w14:paraId="0DE6C589" w14:textId="77777777">
        <w:tc>
          <w:tcPr>
            <w:tcW w:w="3085" w:type="dxa"/>
          </w:tcPr>
          <w:p w14:paraId="0B57FA85"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высоте 5000 м</w:t>
            </w:r>
          </w:p>
        </w:tc>
        <w:tc>
          <w:tcPr>
            <w:tcW w:w="1134" w:type="dxa"/>
          </w:tcPr>
          <w:p w14:paraId="49326D7F"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420-450</w:t>
            </w:r>
          </w:p>
        </w:tc>
        <w:tc>
          <w:tcPr>
            <w:tcW w:w="1134" w:type="dxa"/>
          </w:tcPr>
          <w:p w14:paraId="2E9F8F48"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350-380</w:t>
            </w:r>
          </w:p>
        </w:tc>
        <w:tc>
          <w:tcPr>
            <w:tcW w:w="1134" w:type="dxa"/>
          </w:tcPr>
          <w:p w14:paraId="3A489772"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370-400</w:t>
            </w:r>
          </w:p>
        </w:tc>
      </w:tr>
      <w:tr w:rsidR="00F26F01" w:rsidRPr="00C33834" w14:paraId="60907813" w14:textId="77777777">
        <w:tc>
          <w:tcPr>
            <w:tcW w:w="3085" w:type="dxa"/>
          </w:tcPr>
          <w:p w14:paraId="6934D96E"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на 5000 м не более</w:t>
            </w:r>
          </w:p>
        </w:tc>
        <w:tc>
          <w:tcPr>
            <w:tcW w:w="1134" w:type="dxa"/>
          </w:tcPr>
          <w:p w14:paraId="2B8647CC"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мин.</w:t>
            </w:r>
          </w:p>
        </w:tc>
        <w:tc>
          <w:tcPr>
            <w:tcW w:w="1134" w:type="dxa"/>
          </w:tcPr>
          <w:p w14:paraId="597D3A18"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мин.</w:t>
            </w:r>
          </w:p>
        </w:tc>
        <w:tc>
          <w:tcPr>
            <w:tcW w:w="1134" w:type="dxa"/>
          </w:tcPr>
          <w:p w14:paraId="342A9485"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мин.</w:t>
            </w:r>
          </w:p>
        </w:tc>
      </w:tr>
      <w:tr w:rsidR="00F26F01" w:rsidRPr="00C33834" w14:paraId="0A3D0B1D" w14:textId="77777777">
        <w:tc>
          <w:tcPr>
            <w:tcW w:w="3085" w:type="dxa"/>
          </w:tcPr>
          <w:p w14:paraId="215B4EDD"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Практический потолок</w:t>
            </w:r>
          </w:p>
        </w:tc>
        <w:tc>
          <w:tcPr>
            <w:tcW w:w="1134" w:type="dxa"/>
          </w:tcPr>
          <w:p w14:paraId="46ED4595"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10000</w:t>
            </w:r>
          </w:p>
        </w:tc>
        <w:tc>
          <w:tcPr>
            <w:tcW w:w="1134" w:type="dxa"/>
          </w:tcPr>
          <w:p w14:paraId="1793420B"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9000</w:t>
            </w:r>
          </w:p>
        </w:tc>
        <w:tc>
          <w:tcPr>
            <w:tcW w:w="1134" w:type="dxa"/>
          </w:tcPr>
          <w:p w14:paraId="07595C78"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9500</w:t>
            </w:r>
          </w:p>
        </w:tc>
      </w:tr>
      <w:tr w:rsidR="00F26F01" w:rsidRPr="00C33834" w14:paraId="72F59198" w14:textId="77777777">
        <w:tc>
          <w:tcPr>
            <w:tcW w:w="3085" w:type="dxa"/>
          </w:tcPr>
          <w:p w14:paraId="62E00EC1"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Техническая дальность</w:t>
            </w:r>
          </w:p>
        </w:tc>
        <w:tc>
          <w:tcPr>
            <w:tcW w:w="1134" w:type="dxa"/>
          </w:tcPr>
          <w:p w14:paraId="48A2FD4C"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w:t>
            </w:r>
          </w:p>
        </w:tc>
        <w:tc>
          <w:tcPr>
            <w:tcW w:w="1134" w:type="dxa"/>
          </w:tcPr>
          <w:p w14:paraId="2FDC17C4"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w:t>
            </w:r>
          </w:p>
        </w:tc>
        <w:tc>
          <w:tcPr>
            <w:tcW w:w="1134" w:type="dxa"/>
          </w:tcPr>
          <w:p w14:paraId="298874CC"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w:t>
            </w:r>
          </w:p>
        </w:tc>
      </w:tr>
      <w:tr w:rsidR="00F26F01" w:rsidRPr="00C33834" w14:paraId="635C83EA" w14:textId="77777777">
        <w:tc>
          <w:tcPr>
            <w:tcW w:w="3085" w:type="dxa"/>
          </w:tcPr>
          <w:p w14:paraId="51DF6C1A"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Посадочная скорость</w:t>
            </w:r>
          </w:p>
        </w:tc>
        <w:tc>
          <w:tcPr>
            <w:tcW w:w="1134" w:type="dxa"/>
          </w:tcPr>
          <w:p w14:paraId="03431344"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90-100</w:t>
            </w:r>
          </w:p>
        </w:tc>
        <w:tc>
          <w:tcPr>
            <w:tcW w:w="1134" w:type="dxa"/>
          </w:tcPr>
          <w:p w14:paraId="3F46C7CF"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80-90</w:t>
            </w:r>
          </w:p>
        </w:tc>
        <w:tc>
          <w:tcPr>
            <w:tcW w:w="1134" w:type="dxa"/>
          </w:tcPr>
          <w:p w14:paraId="196C1B35"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90-100</w:t>
            </w:r>
          </w:p>
        </w:tc>
      </w:tr>
      <w:tr w:rsidR="00F26F01" w:rsidRPr="00C33834" w14:paraId="67994ACE" w14:textId="77777777">
        <w:tc>
          <w:tcPr>
            <w:tcW w:w="3085" w:type="dxa"/>
          </w:tcPr>
          <w:p w14:paraId="6F3D82AB"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разбега</w:t>
            </w:r>
          </w:p>
        </w:tc>
        <w:tc>
          <w:tcPr>
            <w:tcW w:w="1134" w:type="dxa"/>
          </w:tcPr>
          <w:p w14:paraId="25CAD215"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c>
          <w:tcPr>
            <w:tcW w:w="1134" w:type="dxa"/>
          </w:tcPr>
          <w:p w14:paraId="70EA421F"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100-120</w:t>
            </w:r>
          </w:p>
        </w:tc>
        <w:tc>
          <w:tcPr>
            <w:tcW w:w="1134" w:type="dxa"/>
          </w:tcPr>
          <w:p w14:paraId="65F79EF0"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w:t>
            </w:r>
          </w:p>
        </w:tc>
      </w:tr>
      <w:tr w:rsidR="00F26F01" w:rsidRPr="00C33834" w14:paraId="101A73AE" w14:textId="77777777">
        <w:tc>
          <w:tcPr>
            <w:tcW w:w="3085" w:type="dxa"/>
          </w:tcPr>
          <w:p w14:paraId="7ED7B712"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пробега с тормозами</w:t>
            </w:r>
          </w:p>
        </w:tc>
        <w:tc>
          <w:tcPr>
            <w:tcW w:w="1134" w:type="dxa"/>
          </w:tcPr>
          <w:p w14:paraId="34971F82"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90-110</w:t>
            </w:r>
          </w:p>
        </w:tc>
        <w:tc>
          <w:tcPr>
            <w:tcW w:w="1134" w:type="dxa"/>
          </w:tcPr>
          <w:p w14:paraId="24A07C58"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90-110</w:t>
            </w:r>
          </w:p>
        </w:tc>
        <w:tc>
          <w:tcPr>
            <w:tcW w:w="1134" w:type="dxa"/>
          </w:tcPr>
          <w:p w14:paraId="3BCF05B3"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90-110</w:t>
            </w:r>
          </w:p>
        </w:tc>
      </w:tr>
    </w:tbl>
    <w:p w14:paraId="61D490E8"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Последовательность требований для вариантов назначения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tblGrid>
      <w:tr w:rsidR="00F26F01" w:rsidRPr="00C33834" w14:paraId="2EE1F841" w14:textId="77777777">
        <w:tc>
          <w:tcPr>
            <w:tcW w:w="1878" w:type="dxa"/>
          </w:tcPr>
          <w:p w14:paraId="32C8050D"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Оперативный разведчик</w:t>
            </w:r>
          </w:p>
        </w:tc>
        <w:tc>
          <w:tcPr>
            <w:tcW w:w="1878" w:type="dxa"/>
          </w:tcPr>
          <w:p w14:paraId="3E76855C"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Легкий бомбардировщик</w:t>
            </w:r>
          </w:p>
        </w:tc>
        <w:tc>
          <w:tcPr>
            <w:tcW w:w="1878" w:type="dxa"/>
          </w:tcPr>
          <w:p w14:paraId="63E6F8C1"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2-х местный истребитель</w:t>
            </w:r>
          </w:p>
        </w:tc>
      </w:tr>
      <w:tr w:rsidR="00F26F01" w:rsidRPr="00C33834" w14:paraId="760EF97E" w14:textId="77777777">
        <w:tc>
          <w:tcPr>
            <w:tcW w:w="1878" w:type="dxa"/>
          </w:tcPr>
          <w:p w14:paraId="2DFD9DEC"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w:t>
            </w:r>
          </w:p>
        </w:tc>
        <w:tc>
          <w:tcPr>
            <w:tcW w:w="1878" w:type="dxa"/>
          </w:tcPr>
          <w:p w14:paraId="75A02512"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1878" w:type="dxa"/>
          </w:tcPr>
          <w:p w14:paraId="1BBB288A"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w:t>
            </w:r>
          </w:p>
        </w:tc>
      </w:tr>
      <w:tr w:rsidR="00F26F01" w:rsidRPr="00C33834" w14:paraId="7DBDF910" w14:textId="77777777">
        <w:tc>
          <w:tcPr>
            <w:tcW w:w="1878" w:type="dxa"/>
          </w:tcPr>
          <w:p w14:paraId="37863BED"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c>
          <w:tcPr>
            <w:tcW w:w="1878" w:type="dxa"/>
          </w:tcPr>
          <w:p w14:paraId="33B5D554"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w:t>
            </w:r>
          </w:p>
        </w:tc>
        <w:tc>
          <w:tcPr>
            <w:tcW w:w="1878" w:type="dxa"/>
          </w:tcPr>
          <w:p w14:paraId="61C5D660"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r>
      <w:tr w:rsidR="00F26F01" w:rsidRPr="00C33834" w14:paraId="00DDFCEF" w14:textId="77777777">
        <w:tc>
          <w:tcPr>
            <w:tcW w:w="1878" w:type="dxa"/>
          </w:tcPr>
          <w:p w14:paraId="7C08D2FE"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потолок</w:t>
            </w:r>
          </w:p>
        </w:tc>
        <w:tc>
          <w:tcPr>
            <w:tcW w:w="1878" w:type="dxa"/>
          </w:tcPr>
          <w:p w14:paraId="799367F6"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c>
          <w:tcPr>
            <w:tcW w:w="1878" w:type="dxa"/>
          </w:tcPr>
          <w:p w14:paraId="270834CA"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маневренность</w:t>
            </w:r>
          </w:p>
        </w:tc>
      </w:tr>
      <w:tr w:rsidR="00F26F01" w:rsidRPr="00C33834" w14:paraId="59720073" w14:textId="77777777">
        <w:tc>
          <w:tcPr>
            <w:tcW w:w="1878" w:type="dxa"/>
          </w:tcPr>
          <w:p w14:paraId="5F3CFE3E"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маневренность</w:t>
            </w:r>
          </w:p>
        </w:tc>
        <w:tc>
          <w:tcPr>
            <w:tcW w:w="1878" w:type="dxa"/>
          </w:tcPr>
          <w:p w14:paraId="41F26AD0"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маневренность</w:t>
            </w:r>
          </w:p>
        </w:tc>
        <w:tc>
          <w:tcPr>
            <w:tcW w:w="1878" w:type="dxa"/>
          </w:tcPr>
          <w:p w14:paraId="0BF88E26"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w:t>
            </w:r>
          </w:p>
        </w:tc>
      </w:tr>
    </w:tbl>
    <w:p w14:paraId="058821E9"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Конструкция самолета</w:t>
      </w:r>
    </w:p>
    <w:p w14:paraId="52898ADC"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конструировании самолета должна быть осуществлена основная цель создания унифицированного в производстве типа, позволяющего путем установки того или другого специализированного оборудования, отвечающего назначению самолета или замены отдельных элементов конструкции самолета, выпускать самолет одним и тем серийным заводом в трех вариантах.</w:t>
      </w:r>
    </w:p>
    <w:p w14:paraId="01A10200"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Допускается создание 3-х типов самолетов при наличии 2-х основных фюзеляжей и 2-х комплектов крыльев.</w:t>
      </w:r>
    </w:p>
    <w:p w14:paraId="18D678F1"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Пример: основные типы «ОР» и «ЛБ». Фюзеляж «ЛБ» вместе с комплектом крыльев «ОР» дают самолет «ДИ».</w:t>
      </w:r>
    </w:p>
    <w:p w14:paraId="76EA7F34"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Высокие летно-тактические требования к самолету ставят особо необходимым широкое применение новых легких материалов и требуют наряду с конструированием самолета производство соответствующих широких исследований и экспериментальных работ.</w:t>
      </w:r>
    </w:p>
    <w:p w14:paraId="1D1EE870"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45C7DA31"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Стреловое вооружение</w:t>
      </w:r>
    </w:p>
    <w:p w14:paraId="1F0A6AE9" w14:textId="77777777" w:rsidR="008C5AAD" w:rsidRPr="00C33834" w:rsidRDefault="008C5AAD" w:rsidP="00C33834">
      <w:pPr>
        <w:numPr>
          <w:ilvl w:val="0"/>
          <w:numId w:val="22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Передний огонь</w:t>
      </w:r>
    </w:p>
    <w:p w14:paraId="6DB42FB4"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типа О.Р., Л.Б. и Д.И. (2-й вариант).</w:t>
      </w:r>
    </w:p>
    <w:p w14:paraId="3496FC09"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Синхронизированный Шкасс – 1 шт.</w:t>
      </w:r>
    </w:p>
    <w:p w14:paraId="1F4FB1A0"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Патронов – 1000 шт.</w:t>
      </w:r>
    </w:p>
    <w:p w14:paraId="4F5DFE1F"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типа 2-х местного истребителя (ДИ) (1-й вариант).</w:t>
      </w:r>
    </w:p>
    <w:p w14:paraId="63EAD189"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Синхронизированный ДАК – 1 шт.</w:t>
      </w:r>
    </w:p>
    <w:p w14:paraId="427572A6"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Патронов в металлических звеньях – 200 шт.</w:t>
      </w:r>
    </w:p>
    <w:p w14:paraId="2EBC2A24" w14:textId="77777777" w:rsidR="008C5AAD" w:rsidRPr="00C33834" w:rsidRDefault="008C5AAD" w:rsidP="00C33834">
      <w:pPr>
        <w:numPr>
          <w:ilvl w:val="0"/>
          <w:numId w:val="226"/>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Задний огонь</w:t>
      </w:r>
    </w:p>
    <w:p w14:paraId="03A966C5"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типа О.Р. Дублер и ЛБ</w:t>
      </w:r>
    </w:p>
    <w:p w14:paraId="14D8562E"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пулемет ШКАСС</w:t>
      </w:r>
    </w:p>
    <w:p w14:paraId="4A6EE88B"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Патронов в металлических звеньях – 1500 шт.</w:t>
      </w:r>
    </w:p>
    <w:p w14:paraId="1BDC016D"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типа ДИ (1-й вариант).</w:t>
      </w:r>
    </w:p>
    <w:p w14:paraId="622F7FC6"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Пулемет ШКАСС с 1000 патронами</w:t>
      </w:r>
    </w:p>
    <w:p w14:paraId="5345AC37"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типа ДИ (2-й вариант).</w:t>
      </w:r>
    </w:p>
    <w:p w14:paraId="32EC994A"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Спарка пулеметов ШКАСС</w:t>
      </w:r>
    </w:p>
    <w:p w14:paraId="39C18785"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 патрон, экранированный</w:t>
      </w:r>
    </w:p>
    <w:p w14:paraId="5078D8C6"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Бомбардировочное вооружение</w:t>
      </w:r>
    </w:p>
    <w:p w14:paraId="47210D81"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Дымовой прибор (только для ЛБ при отсутствии бомб).</w:t>
      </w:r>
    </w:p>
    <w:p w14:paraId="5A0FE514"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Дымовой прибор ДАП ДХ-1 с двумя баллонами по 23 литра каждый (6649).</w:t>
      </w:r>
    </w:p>
    <w:p w14:paraId="2ED41A97" w14:textId="77777777" w:rsidR="008C5AAD" w:rsidRPr="00C33834" w:rsidRDefault="008C5AAD" w:rsidP="00C33834">
      <w:pPr>
        <w:tabs>
          <w:tab w:val="left" w:pos="11199"/>
        </w:tabs>
        <w:spacing w:after="0" w:line="240" w:lineRule="auto"/>
        <w:jc w:val="both"/>
        <w:rPr>
          <w:rFonts w:ascii="Times New Roman" w:hAnsi="Times New Roman"/>
          <w:color w:val="000000" w:themeColor="text1"/>
          <w:sz w:val="16"/>
          <w:szCs w:val="16"/>
        </w:rPr>
      </w:pPr>
    </w:p>
    <w:p w14:paraId="1A0CE308"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мая 1933 года Гл. инженер-механик ВВС Аузан утвердил Тактико-технические требования к учебному самолету У3 под мотор М-48 - 185 л.с.</w:t>
      </w:r>
    </w:p>
    <w:p w14:paraId="7B6E6B04"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Настоящие тактико-технические требования являются дальнейшим развитием тактико-технических требований на самолеты У3 (имеющихся в промышленности), согласно постановления РВС от 3 марта 1933 года.</w:t>
      </w:r>
    </w:p>
    <w:p w14:paraId="560C72BC"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Изменения и дополнения в существующие требования внесены на специальном заседании тактико-технического совета ВВС от 3 мая 1933 года.</w:t>
      </w:r>
    </w:p>
    <w:p w14:paraId="369A80EC"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Летно-тактические данные</w:t>
      </w:r>
    </w:p>
    <w:p w14:paraId="6050A36B"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в варианте учебного самолета с полезной нагрузкой 206 кг и запасом горючего смазочного, обеспечивающим техническую дальность полета 600 км на высоте применения 1000 м должен обладать нижеследующими летными данными:</w:t>
      </w:r>
    </w:p>
    <w:p w14:paraId="109A16DE"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Максимальная горизонтальная скорость на высоте 1000 м - 180 км/час</w:t>
      </w:r>
    </w:p>
    <w:p w14:paraId="026BF1B5"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Посадочная скорость 50-60 км/час</w:t>
      </w:r>
    </w:p>
    <w:p w14:paraId="022462EE"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Практический потолок не менее 5000 м</w:t>
      </w:r>
    </w:p>
    <w:p w14:paraId="48F40474"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варианте самолета связи сопровождения должен обладать:</w:t>
      </w:r>
    </w:p>
    <w:p w14:paraId="545BA542"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Максимальной горизонтальной скоростью не менее 200 км/час</w:t>
      </w:r>
    </w:p>
    <w:p w14:paraId="5ADFC657"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Посадочной скоростью не более 60 км/час</w:t>
      </w:r>
    </w:p>
    <w:p w14:paraId="55C8F0FD"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предназначается прежде всего как учебный самолет, но должен быть приспособлен к использованию его: для связи сопровождения, для туризма, для спорта, как легкий санитарный самолет, как самолет местной авиации.</w:t>
      </w:r>
    </w:p>
    <w:p w14:paraId="18D1FDA4"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Последовательность требований</w:t>
      </w:r>
    </w:p>
    <w:p w14:paraId="4AFC4D5A"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Взлетно-посадочные качества и диапазоны скоростей.</w:t>
      </w:r>
    </w:p>
    <w:p w14:paraId="4C304831"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Маневренность.</w:t>
      </w:r>
    </w:p>
    <w:p w14:paraId="734E591D"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и потолок.</w:t>
      </w:r>
    </w:p>
    <w:p w14:paraId="1FBD9B28"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Простота ухода, сборка и разборка (3899,265-280).</w:t>
      </w:r>
    </w:p>
    <w:p w14:paraId="47F61D7B" w14:textId="77777777" w:rsidR="008C5AAD" w:rsidRPr="00C33834" w:rsidRDefault="008C5AAD" w:rsidP="00C33834">
      <w:pPr>
        <w:spacing w:after="0" w:line="240" w:lineRule="auto"/>
        <w:jc w:val="both"/>
        <w:rPr>
          <w:rFonts w:ascii="Times New Roman" w:hAnsi="Times New Roman"/>
          <w:color w:val="000000" w:themeColor="text1"/>
          <w:sz w:val="16"/>
          <w:szCs w:val="16"/>
        </w:rPr>
      </w:pPr>
    </w:p>
    <w:p w14:paraId="47D5CA41"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мая 1933 года врид. начальник ВВС Хрипин УБП N 31/001078.</w:t>
      </w:r>
    </w:p>
    <w:p w14:paraId="6FBCFFE5"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истекшем зимнем периоде полеты на предельный радиус действия были проведены лишь в ОКДВА и то без цельных выводов.</w:t>
      </w:r>
    </w:p>
    <w:p w14:paraId="40B1DDB1"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Высотные полеты не проводились.</w:t>
      </w:r>
    </w:p>
    <w:p w14:paraId="02929F8E"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текущем летнем периоде провести опыты дальних и высотных перелетов по следующему плану.</w:t>
      </w:r>
    </w:p>
    <w:p w14:paraId="4DFFAC4E"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Перелеты:</w:t>
      </w:r>
    </w:p>
    <w:p w14:paraId="6481FC23"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По с-ту Р5, как легкому бомбардировщику.</w:t>
      </w:r>
    </w:p>
    <w:p w14:paraId="69B2A65A"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 НИИ ВВС немедленно испытать два облегченных Р5 из бригады НИИ на полетах на предельный радиус с предельно возможной нагрузкой, комбинируя нагрузки бомбовые и запасы горючего.</w:t>
      </w:r>
    </w:p>
    <w:p w14:paraId="05A4AA28"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Установить дополнительные баки на двух самолетах Р5 и испытать на предельный радиус действия также с разной бомбовой нагрузкой.</w:t>
      </w:r>
    </w:p>
    <w:p w14:paraId="192083BF"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Р5 произвести также в летных бригадах.</w:t>
      </w:r>
    </w:p>
    <w:p w14:paraId="0F6AE73E"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Р5 как штурмовик.</w:t>
      </w:r>
    </w:p>
    <w:p w14:paraId="1335F97D"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отряд, загруженный бомбами с новыми (40 бомб) бомбодержателями (возможно снять одну или две пары подкрыльных пулеметов и уменьшить запас патронов).</w:t>
      </w:r>
    </w:p>
    <w:p w14:paraId="18B0DA39"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Второй отряд, максимально загруженный пулеметами и патронами с минимальной бомбовой нагрузкой.</w:t>
      </w:r>
    </w:p>
    <w:p w14:paraId="53B07DD2"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Третий отряд, загруженный ВАПами при минимальной нагрузке пулеметами и бомбами.</w:t>
      </w:r>
    </w:p>
    <w:p w14:paraId="34D7B536"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каждого отряда участвуют в испытаниях 3 самолета.</w:t>
      </w:r>
    </w:p>
    <w:p w14:paraId="524F9CE0"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проводить в полетах на малых высотах штурмовых действий и подхода к цели.</w:t>
      </w:r>
    </w:p>
    <w:p w14:paraId="5342296C"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Р5 как разведчик.</w:t>
      </w:r>
    </w:p>
    <w:p w14:paraId="2C3BEB3A"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Произвести испытания Р: как разведчика на предельном потолке, на предельную дальность действия звеньями, выделяя в каждой назначенной для испытания эскадрильи одно звено с нормальными баками и одно звено с дополнительными баками.</w:t>
      </w:r>
    </w:p>
    <w:p w14:paraId="11BBE57E"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Разведчикам иметь на борту фотоаппарат и нормальный запас патронов для пулеметов на турели. Задачу разведчик выполняет на оперативном фоне с обязательной фоторазведкой и доставкой снимков заданного пункта.</w:t>
      </w:r>
    </w:p>
    <w:p w14:paraId="705FC8F2"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полеты по этим заданиям закончить 15.08.33 года.</w:t>
      </w:r>
    </w:p>
    <w:p w14:paraId="25ACD245"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Тяжелый бомбардировщик ТБ1.</w:t>
      </w:r>
    </w:p>
    <w:p w14:paraId="720B5956"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Произвести в Едровской АБ испытания на предельный радиус действия с разной бомбовой нагрузкой ТБ1.</w:t>
      </w:r>
    </w:p>
    <w:p w14:paraId="386F21E4"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Окончание испытаний 15.08.1933 года.</w:t>
      </w:r>
    </w:p>
    <w:p w14:paraId="1A74062A"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Тяжелый бомбардировщик ТБ3.</w:t>
      </w:r>
    </w:p>
    <w:p w14:paraId="701D4708"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исполнение постановления СТО нач. НИИ ВВС совместно с ЦАГИ провести испытание двух кораблей ТБ3 на предельный радиус действия.</w:t>
      </w:r>
    </w:p>
    <w:p w14:paraId="2E3AEC94"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Наладить систематические перелеты по маршруту Хабаровск, Петропавловск-на-Камчатке и обратно, согласно указаний наркома.</w:t>
      </w:r>
    </w:p>
    <w:p w14:paraId="2592A82F"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Наметить в 9 и 18 АБ по одной эскадрильи для испытаний ТБ3 на дальний перелет (на восток) на предельный радиус действия согласно особого плана и программы, высылаемой дополнительно. Конец испытаниям к 20.08.33 года.</w:t>
      </w:r>
    </w:p>
    <w:p w14:paraId="064AD251"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Помкомвойск по ВВС УВО представить к 15.06 мне план полетов двух сухопутных ТБ3 на морем на радиус, близкий к предельному. Начало полетов по утверждении мною плана.</w:t>
      </w:r>
    </w:p>
    <w:p w14:paraId="7F732C96"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Использовать для выявления предельного радиуса действий предполагаемые перелеты эскадрилий Шестакова и Широкого. Материалы по опытным перелетам представить мне не позднее 20.07.33 года.</w:t>
      </w:r>
    </w:p>
    <w:p w14:paraId="00827B6B"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По самолету Р6.</w:t>
      </w:r>
    </w:p>
    <w:p w14:paraId="28C57457"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Испытать на предельный радиус действия, согласно особых указаний штаба ВВС. Срок окончания испытаний 15.08.33 года.</w:t>
      </w:r>
    </w:p>
    <w:p w14:paraId="3A0CF77D"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По самолету И7.</w:t>
      </w:r>
    </w:p>
    <w:p w14:paraId="1E7F3923"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Организовать в эскадрильях 453 и 201 АБ испытания И7 на предельный радиус действия и на больших высотах (не ниже 4500 м) по расчету - звено на каждую эскадрилью.</w:t>
      </w:r>
    </w:p>
    <w:p w14:paraId="11BFB0DC"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закончить 15.08.</w:t>
      </w:r>
    </w:p>
    <w:p w14:paraId="01F0A3CB"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По самолету И5.</w:t>
      </w:r>
    </w:p>
    <w:p w14:paraId="07C85B3F"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аналогичных основаниях с испытаниями И7 произвести испытания И5 (в ЛВО - на восток). Срок тот же.</w:t>
      </w:r>
    </w:p>
    <w:p w14:paraId="2C6131B8"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 высотных полетах.</w:t>
      </w:r>
    </w:p>
    <w:p w14:paraId="27BD224C"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Произвести испытания Р5 на высотах не ниже 5000 м (кислородные приборы). Привлечь одно звено. Испытываются как легко-бомбардировщики.</w:t>
      </w:r>
    </w:p>
    <w:p w14:paraId="1DD98CA0"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То же. Полет разведывательный на высоте не ниже 5000 м.</w:t>
      </w:r>
    </w:p>
    <w:p w14:paraId="3DF48B23"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Окончание всех испытаний 15.08.33 года. (3059,1-2).</w:t>
      </w:r>
    </w:p>
    <w:p w14:paraId="698A97F7" w14:textId="77777777" w:rsidR="008C5AAD" w:rsidRPr="00C33834" w:rsidRDefault="008C5AAD" w:rsidP="00C33834">
      <w:pPr>
        <w:spacing w:after="0" w:line="240" w:lineRule="auto"/>
        <w:jc w:val="both"/>
        <w:rPr>
          <w:rFonts w:ascii="Times New Roman" w:hAnsi="Times New Roman"/>
          <w:color w:val="000000" w:themeColor="text1"/>
          <w:sz w:val="16"/>
          <w:szCs w:val="16"/>
        </w:rPr>
      </w:pPr>
    </w:p>
    <w:p w14:paraId="04F4C396" w14:textId="77777777" w:rsidR="00185C06" w:rsidRPr="00C33834" w:rsidRDefault="00185C0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мая 1933 народный комиссар по военным и морским делам К.Е. Вороши</w:t>
      </w:r>
      <w:r w:rsidRPr="00C33834">
        <w:rPr>
          <w:rFonts w:ascii="Times New Roman" w:hAnsi="Times New Roman"/>
          <w:color w:val="000000" w:themeColor="text1"/>
          <w:sz w:val="16"/>
          <w:szCs w:val="16"/>
        </w:rPr>
        <w:softHyphen/>
        <w:t>лов сообщил началь</w:t>
      </w:r>
      <w:r w:rsidRPr="00C33834">
        <w:rPr>
          <w:rFonts w:ascii="Times New Roman" w:hAnsi="Times New Roman"/>
          <w:color w:val="000000" w:themeColor="text1"/>
          <w:sz w:val="16"/>
          <w:szCs w:val="16"/>
        </w:rPr>
        <w:softHyphen/>
        <w:t>нику Главного управления авиационной промышленности (ГУАП) П.И. Барано</w:t>
      </w:r>
      <w:r w:rsidRPr="00C33834">
        <w:rPr>
          <w:rFonts w:ascii="Times New Roman" w:hAnsi="Times New Roman"/>
          <w:color w:val="000000" w:themeColor="text1"/>
          <w:sz w:val="16"/>
          <w:szCs w:val="16"/>
        </w:rPr>
        <w:softHyphen/>
        <w:t>ву, что он дал согласие на рекордно дальний пере</w:t>
      </w:r>
      <w:r w:rsidRPr="00C33834">
        <w:rPr>
          <w:rFonts w:ascii="Times New Roman" w:hAnsi="Times New Roman"/>
          <w:color w:val="000000" w:themeColor="text1"/>
          <w:sz w:val="16"/>
          <w:szCs w:val="16"/>
        </w:rPr>
        <w:softHyphen/>
        <w:t>лет по маршруту Москва - Оренбург - Но</w:t>
      </w:r>
      <w:r w:rsidRPr="00C33834">
        <w:rPr>
          <w:rFonts w:ascii="Times New Roman" w:hAnsi="Times New Roman"/>
          <w:color w:val="000000" w:themeColor="text1"/>
          <w:sz w:val="16"/>
          <w:szCs w:val="16"/>
        </w:rPr>
        <w:softHyphen/>
        <w:t>восибирск — Чита — Новосибирск — Орен</w:t>
      </w:r>
      <w:r w:rsidRPr="00C33834">
        <w:rPr>
          <w:rFonts w:ascii="Times New Roman" w:hAnsi="Times New Roman"/>
          <w:color w:val="000000" w:themeColor="text1"/>
          <w:sz w:val="16"/>
          <w:szCs w:val="16"/>
        </w:rPr>
        <w:softHyphen/>
        <w:t>бург— Харьков — Москва, протяженностью 10 150 км и. Взлет по указанию наркома следовало производить с аэродрома, расположенного вблизи железнодорожной станции Томская (ныне Чкаловская) недалеко от подмосков</w:t>
      </w:r>
      <w:r w:rsidRPr="00C33834">
        <w:rPr>
          <w:rFonts w:ascii="Times New Roman" w:hAnsi="Times New Roman"/>
          <w:color w:val="000000" w:themeColor="text1"/>
          <w:sz w:val="16"/>
          <w:szCs w:val="16"/>
        </w:rPr>
        <w:softHyphen/>
        <w:t>ного города Щелково, где надлежало по</w:t>
      </w:r>
      <w:r w:rsidRPr="00C33834">
        <w:rPr>
          <w:rFonts w:ascii="Times New Roman" w:hAnsi="Times New Roman"/>
          <w:color w:val="000000" w:themeColor="text1"/>
          <w:sz w:val="16"/>
          <w:szCs w:val="16"/>
        </w:rPr>
        <w:softHyphen/>
        <w:t>строить бетонированную взлетную дорож</w:t>
      </w:r>
      <w:r w:rsidRPr="00C33834">
        <w:rPr>
          <w:rFonts w:ascii="Times New Roman" w:hAnsi="Times New Roman"/>
          <w:color w:val="000000" w:themeColor="text1"/>
          <w:sz w:val="16"/>
          <w:szCs w:val="16"/>
        </w:rPr>
        <w:softHyphen/>
        <w:t>ку. Техническое задание на строительство было угверждено ориентировочно 7 июня 1933 года.</w:t>
      </w:r>
    </w:p>
    <w:p w14:paraId="3D0017B3" w14:textId="77777777" w:rsidR="00185C06" w:rsidRPr="00C33834" w:rsidRDefault="00185C0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Спустя шесть дней разработали техниче</w:t>
      </w:r>
      <w:r w:rsidRPr="00C33834">
        <w:rPr>
          <w:rFonts w:ascii="Times New Roman" w:hAnsi="Times New Roman"/>
          <w:color w:val="000000" w:themeColor="text1"/>
          <w:sz w:val="16"/>
          <w:szCs w:val="16"/>
        </w:rPr>
        <w:softHyphen/>
        <w:t>ское задание на проектирование взлетной полосы специального назначения длиной 1500 метров и шириной 50 метров, направ</w:t>
      </w:r>
      <w:r w:rsidRPr="00C33834">
        <w:rPr>
          <w:rFonts w:ascii="Times New Roman" w:hAnsi="Times New Roman"/>
          <w:color w:val="000000" w:themeColor="text1"/>
          <w:sz w:val="16"/>
          <w:szCs w:val="16"/>
        </w:rPr>
        <w:softHyphen/>
        <w:t>ленной с юго-востока на северо-запад. По проекту полоса включала наклонную и го</w:t>
      </w:r>
      <w:r w:rsidRPr="00C33834">
        <w:rPr>
          <w:rFonts w:ascii="Times New Roman" w:hAnsi="Times New Roman"/>
          <w:color w:val="000000" w:themeColor="text1"/>
          <w:sz w:val="16"/>
          <w:szCs w:val="16"/>
        </w:rPr>
        <w:softHyphen/>
        <w:t>ризонтальную части с площадкой разме</w:t>
      </w:r>
      <w:r w:rsidRPr="00C33834">
        <w:rPr>
          <w:rFonts w:ascii="Times New Roman" w:hAnsi="Times New Roman"/>
          <w:color w:val="000000" w:themeColor="text1"/>
          <w:sz w:val="16"/>
          <w:szCs w:val="16"/>
        </w:rPr>
        <w:softHyphen/>
        <w:t>ром 25x25 метров, расположенной на вер</w:t>
      </w:r>
      <w:r w:rsidRPr="00C33834">
        <w:rPr>
          <w:rFonts w:ascii="Times New Roman" w:hAnsi="Times New Roman"/>
          <w:color w:val="000000" w:themeColor="text1"/>
          <w:sz w:val="16"/>
          <w:szCs w:val="16"/>
        </w:rPr>
        <w:softHyphen/>
        <w:t>шине десяти метровой горки. Последняя находилась в юго-восточной части аэро</w:t>
      </w:r>
      <w:r w:rsidRPr="00C33834">
        <w:rPr>
          <w:rFonts w:ascii="Times New Roman" w:hAnsi="Times New Roman"/>
          <w:color w:val="000000" w:themeColor="text1"/>
          <w:sz w:val="16"/>
          <w:szCs w:val="16"/>
        </w:rPr>
        <w:softHyphen/>
        <w:t>дрома. Однако в ходе постройки высоту горки увеличили до 12 метров, а протяжен</w:t>
      </w:r>
      <w:r w:rsidRPr="00C33834">
        <w:rPr>
          <w:rFonts w:ascii="Times New Roman" w:hAnsi="Times New Roman"/>
          <w:color w:val="000000" w:themeColor="text1"/>
          <w:sz w:val="16"/>
          <w:szCs w:val="16"/>
        </w:rPr>
        <w:softHyphen/>
        <w:t>ность бетонной дорожки возросла с 1500 до 1800 метров. Наклонная часть старто</w:t>
      </w:r>
      <w:r w:rsidRPr="00C33834">
        <w:rPr>
          <w:rFonts w:ascii="Times New Roman" w:hAnsi="Times New Roman"/>
          <w:color w:val="000000" w:themeColor="text1"/>
          <w:sz w:val="16"/>
          <w:szCs w:val="16"/>
        </w:rPr>
        <w:softHyphen/>
        <w:t>вой горки постепенно расширялась с 25 до 50 метров. В таком виде горка просущест</w:t>
      </w:r>
      <w:r w:rsidRPr="00C33834">
        <w:rPr>
          <w:rFonts w:ascii="Times New Roman" w:hAnsi="Times New Roman"/>
          <w:color w:val="000000" w:themeColor="text1"/>
          <w:sz w:val="16"/>
          <w:szCs w:val="16"/>
        </w:rPr>
        <w:softHyphen/>
        <w:t>вовала до середины 1960-х годов. Этот па</w:t>
      </w:r>
      <w:r w:rsidRPr="00C33834">
        <w:rPr>
          <w:rFonts w:ascii="Times New Roman" w:hAnsi="Times New Roman"/>
          <w:color w:val="000000" w:themeColor="text1"/>
          <w:sz w:val="16"/>
          <w:szCs w:val="16"/>
        </w:rPr>
        <w:softHyphen/>
        <w:t>мятник истории снесли по нелепому рас</w:t>
      </w:r>
      <w:r w:rsidRPr="00C33834">
        <w:rPr>
          <w:rFonts w:ascii="Times New Roman" w:hAnsi="Times New Roman"/>
          <w:color w:val="000000" w:themeColor="text1"/>
          <w:sz w:val="16"/>
          <w:szCs w:val="16"/>
        </w:rPr>
        <w:softHyphen/>
        <w:t>поряжению генерала Н. Пушко, совме</w:t>
      </w:r>
      <w:r w:rsidRPr="00C33834">
        <w:rPr>
          <w:rFonts w:ascii="Times New Roman" w:hAnsi="Times New Roman"/>
          <w:color w:val="000000" w:themeColor="text1"/>
          <w:sz w:val="16"/>
          <w:szCs w:val="16"/>
        </w:rPr>
        <w:softHyphen/>
        <w:t>щавшего тогда должности начальника филиала НИИ ВВС имени В.П. Чкалова, базировавшегося на территории, прилега</w:t>
      </w:r>
      <w:r w:rsidRPr="00C33834">
        <w:rPr>
          <w:rFonts w:ascii="Times New Roman" w:hAnsi="Times New Roman"/>
          <w:color w:val="000000" w:themeColor="text1"/>
          <w:sz w:val="16"/>
          <w:szCs w:val="16"/>
        </w:rPr>
        <w:softHyphen/>
        <w:t>ющей к аэродрому, и начальника Щелков</w:t>
      </w:r>
      <w:r w:rsidRPr="00C33834">
        <w:rPr>
          <w:rFonts w:ascii="Times New Roman" w:hAnsi="Times New Roman"/>
          <w:color w:val="000000" w:themeColor="text1"/>
          <w:sz w:val="16"/>
          <w:szCs w:val="16"/>
        </w:rPr>
        <w:softHyphen/>
        <w:t>ского гарнизона.</w:t>
      </w:r>
    </w:p>
    <w:p w14:paraId="479A0F6F" w14:textId="77777777" w:rsidR="00185C06" w:rsidRPr="00C33834" w:rsidRDefault="00185C0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Одновременно со строительством поло</w:t>
      </w:r>
      <w:r w:rsidRPr="00C33834">
        <w:rPr>
          <w:rFonts w:ascii="Times New Roman" w:hAnsi="Times New Roman"/>
          <w:color w:val="000000" w:themeColor="text1"/>
          <w:sz w:val="16"/>
          <w:szCs w:val="16"/>
        </w:rPr>
        <w:softHyphen/>
        <w:t>сы 2000 рабочих и красноармейцев в те</w:t>
      </w:r>
      <w:r w:rsidRPr="00C33834">
        <w:rPr>
          <w:rFonts w:ascii="Times New Roman" w:hAnsi="Times New Roman"/>
          <w:color w:val="000000" w:themeColor="text1"/>
          <w:sz w:val="16"/>
          <w:szCs w:val="16"/>
        </w:rPr>
        <w:softHyphen/>
        <w:t>чение 15 суток сравнивали большой зем</w:t>
      </w:r>
      <w:r w:rsidRPr="00C33834">
        <w:rPr>
          <w:rFonts w:ascii="Times New Roman" w:hAnsi="Times New Roman"/>
          <w:color w:val="000000" w:themeColor="text1"/>
          <w:sz w:val="16"/>
          <w:szCs w:val="16"/>
        </w:rPr>
        <w:softHyphen/>
        <w:t>ляной холм, лежавший на пути самоле</w:t>
      </w:r>
      <w:r w:rsidRPr="00C33834">
        <w:rPr>
          <w:rFonts w:ascii="Times New Roman" w:hAnsi="Times New Roman"/>
          <w:color w:val="000000" w:themeColor="text1"/>
          <w:sz w:val="16"/>
          <w:szCs w:val="16"/>
        </w:rPr>
        <w:softHyphen/>
        <w:t>та. Вертикальная скорость перегруженной машины была столь низка, что она после отрыва не успевала преодолеть это естест</w:t>
      </w:r>
      <w:r w:rsidRPr="00C33834">
        <w:rPr>
          <w:rFonts w:ascii="Times New Roman" w:hAnsi="Times New Roman"/>
          <w:color w:val="000000" w:themeColor="text1"/>
          <w:sz w:val="16"/>
          <w:szCs w:val="16"/>
        </w:rPr>
        <w:softHyphen/>
        <w:t>венное препятствие.</w:t>
      </w:r>
    </w:p>
    <w:p w14:paraId="7C4EF441" w14:textId="77777777" w:rsidR="00185C06" w:rsidRPr="00C33834" w:rsidRDefault="00185C0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Подобных бетонных дорожек со старто</w:t>
      </w:r>
      <w:r w:rsidRPr="00C33834">
        <w:rPr>
          <w:rFonts w:ascii="Times New Roman" w:hAnsi="Times New Roman"/>
          <w:color w:val="000000" w:themeColor="text1"/>
          <w:sz w:val="16"/>
          <w:szCs w:val="16"/>
        </w:rPr>
        <w:softHyphen/>
        <w:t>вой горкой не было ни в одной стране ми</w:t>
      </w:r>
      <w:r w:rsidRPr="00C33834">
        <w:rPr>
          <w:rFonts w:ascii="Times New Roman" w:hAnsi="Times New Roman"/>
          <w:color w:val="000000" w:themeColor="text1"/>
          <w:sz w:val="16"/>
          <w:szCs w:val="16"/>
        </w:rPr>
        <w:softHyphen/>
        <w:t>ра, и причиной ее появления было отсутст</w:t>
      </w:r>
      <w:r w:rsidRPr="00C33834">
        <w:rPr>
          <w:rFonts w:ascii="Times New Roman" w:hAnsi="Times New Roman"/>
          <w:color w:val="000000" w:themeColor="text1"/>
          <w:sz w:val="16"/>
          <w:szCs w:val="16"/>
        </w:rPr>
        <w:softHyphen/>
        <w:t>вие тормозов колес у самолета РД. Послед</w:t>
      </w:r>
      <w:r w:rsidRPr="00C33834">
        <w:rPr>
          <w:rFonts w:ascii="Times New Roman" w:hAnsi="Times New Roman"/>
          <w:color w:val="000000" w:themeColor="text1"/>
          <w:sz w:val="16"/>
          <w:szCs w:val="16"/>
        </w:rPr>
        <w:softHyphen/>
        <w:t>нее обстоятельство усложняло выдержива</w:t>
      </w:r>
      <w:r w:rsidRPr="00C33834">
        <w:rPr>
          <w:rFonts w:ascii="Times New Roman" w:hAnsi="Times New Roman"/>
          <w:color w:val="000000" w:themeColor="text1"/>
          <w:sz w:val="16"/>
          <w:szCs w:val="16"/>
        </w:rPr>
        <w:softHyphen/>
        <w:t>ние направления разбега тяжелой маши</w:t>
      </w:r>
      <w:r w:rsidRPr="00C33834">
        <w:rPr>
          <w:rFonts w:ascii="Times New Roman" w:hAnsi="Times New Roman"/>
          <w:color w:val="000000" w:themeColor="text1"/>
          <w:sz w:val="16"/>
          <w:szCs w:val="16"/>
        </w:rPr>
        <w:softHyphen/>
        <w:t>ны. Горка же позволяла ускорить разгон и, практически, с самого начала разбега со</w:t>
      </w:r>
      <w:r w:rsidRPr="00C33834">
        <w:rPr>
          <w:rFonts w:ascii="Times New Roman" w:hAnsi="Times New Roman"/>
          <w:color w:val="000000" w:themeColor="text1"/>
          <w:sz w:val="16"/>
          <w:szCs w:val="16"/>
        </w:rPr>
        <w:softHyphen/>
        <w:t>хранять его направление с помощью аэро</w:t>
      </w:r>
      <w:r w:rsidRPr="00C33834">
        <w:rPr>
          <w:rFonts w:ascii="Times New Roman" w:hAnsi="Times New Roman"/>
          <w:color w:val="000000" w:themeColor="text1"/>
          <w:sz w:val="16"/>
          <w:szCs w:val="16"/>
        </w:rPr>
        <w:softHyphen/>
        <w:t>динамического руля.</w:t>
      </w:r>
    </w:p>
    <w:p w14:paraId="7BFD6722" w14:textId="77777777" w:rsidR="00185C06" w:rsidRPr="00C33834" w:rsidRDefault="00185C06" w:rsidP="00C33834">
      <w:pPr>
        <w:pStyle w:val="txt1"/>
        <w:shd w:val="clear" w:color="auto" w:fill="FFFFFF"/>
        <w:spacing w:before="0" w:beforeAutospacing="0" w:after="0" w:afterAutospacing="0" w:line="240" w:lineRule="auto"/>
        <w:ind w:firstLine="0"/>
        <w:rPr>
          <w:color w:val="000000" w:themeColor="text1"/>
          <w:sz w:val="16"/>
          <w:szCs w:val="16"/>
        </w:rPr>
      </w:pPr>
      <w:r w:rsidRPr="00C33834">
        <w:rPr>
          <w:color w:val="000000" w:themeColor="text1"/>
          <w:sz w:val="16"/>
          <w:szCs w:val="16"/>
        </w:rPr>
        <w:t>Впоследствии аэродром НИИ ВВС стали называть Чкаловская в соответствии с од</w:t>
      </w:r>
      <w:r w:rsidRPr="00C33834">
        <w:rPr>
          <w:color w:val="000000" w:themeColor="text1"/>
          <w:sz w:val="16"/>
          <w:szCs w:val="16"/>
        </w:rPr>
        <w:softHyphen/>
        <w:t>ноименной железнодорожной станцией (12725).</w:t>
      </w:r>
    </w:p>
    <w:p w14:paraId="436A7791" w14:textId="77777777" w:rsidR="00185C06" w:rsidRPr="00C33834" w:rsidRDefault="00185C06" w:rsidP="00C33834">
      <w:pPr>
        <w:pStyle w:val="txt1"/>
        <w:shd w:val="clear" w:color="auto" w:fill="FFFFFF"/>
        <w:spacing w:before="0" w:beforeAutospacing="0" w:after="0" w:afterAutospacing="0" w:line="240" w:lineRule="auto"/>
        <w:ind w:firstLine="0"/>
        <w:rPr>
          <w:color w:val="000000" w:themeColor="text1"/>
          <w:sz w:val="16"/>
          <w:szCs w:val="16"/>
        </w:rPr>
      </w:pPr>
    </w:p>
    <w:p w14:paraId="2C82463E" w14:textId="77777777" w:rsidR="00EB09F2" w:rsidRPr="00C33834" w:rsidRDefault="00EB09F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31 мая 1933 опросом членов ПБ</w:t>
      </w:r>
    </w:p>
    <w:p w14:paraId="1CCD72D2" w14:textId="77777777" w:rsidR="00EB09F2" w:rsidRPr="00C33834" w:rsidRDefault="00EB09F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158/137.-О ГУГВФ (записка т. Куйбышева В.)</w:t>
      </w:r>
    </w:p>
    <w:p w14:paraId="10BAA1E8" w14:textId="77777777" w:rsidR="00EB09F2" w:rsidRPr="00C33834" w:rsidRDefault="00EB09F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Поручить т.т. Куйбышеву и Ворошилову пред</w:t>
      </w:r>
      <w:r w:rsidRPr="00C33834">
        <w:rPr>
          <w:rFonts w:ascii="Times New Roman" w:hAnsi="Times New Roman"/>
          <w:color w:val="0070C0"/>
          <w:sz w:val="16"/>
          <w:szCs w:val="16"/>
        </w:rPr>
        <w:softHyphen/>
        <w:t xml:space="preserve">ставить проект постановления по следующим вопросам: </w:t>
      </w:r>
    </w:p>
    <w:p w14:paraId="62E1FCEC" w14:textId="77777777" w:rsidR="00EB09F2" w:rsidRPr="00C33834" w:rsidRDefault="00EB09F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О создании политорганов в системе Аэро-флота.</w:t>
      </w:r>
    </w:p>
    <w:p w14:paraId="12B0DA0E" w14:textId="753C58F8" w:rsidR="00EB09F2" w:rsidRPr="00C33834" w:rsidRDefault="00EB09F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О переводе на работу в транспортной авиации квалифицированных работников из системы ГУАП и НКВоен</w:t>
      </w:r>
      <w:r w:rsidR="00A82C31" w:rsidRPr="00C33834">
        <w:rPr>
          <w:rFonts w:ascii="Times New Roman" w:hAnsi="Times New Roman"/>
          <w:color w:val="0070C0"/>
          <w:sz w:val="16"/>
          <w:szCs w:val="16"/>
        </w:rPr>
        <w:t>м</w:t>
      </w:r>
      <w:r w:rsidRPr="00C33834">
        <w:rPr>
          <w:rFonts w:ascii="Times New Roman" w:hAnsi="Times New Roman"/>
          <w:color w:val="0070C0"/>
          <w:sz w:val="16"/>
          <w:szCs w:val="16"/>
        </w:rPr>
        <w:t>ора.</w:t>
      </w:r>
    </w:p>
    <w:p w14:paraId="25AA0947" w14:textId="77777777" w:rsidR="00EB09F2" w:rsidRPr="00C33834" w:rsidRDefault="00EB09F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Bыписки посланы:</w:t>
      </w:r>
    </w:p>
    <w:p w14:paraId="0732B97F" w14:textId="77777777" w:rsidR="00EB09F2" w:rsidRPr="00C33834" w:rsidRDefault="00EB09F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т.т. Куйбышеву, Ворошилову</w:t>
      </w:r>
    </w:p>
    <w:p w14:paraId="4002E24D" w14:textId="77777777" w:rsidR="00EB09F2" w:rsidRPr="00C33834" w:rsidRDefault="00EB09F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июня 1933 состоялось заседание ПБ и был оформлен протокол № 138 (22988).</w:t>
      </w:r>
    </w:p>
    <w:p w14:paraId="49B08168" w14:textId="77777777" w:rsidR="00EB09F2" w:rsidRPr="00C33834" w:rsidRDefault="00EB09F2" w:rsidP="00C33834">
      <w:pPr>
        <w:spacing w:after="0" w:line="240" w:lineRule="auto"/>
        <w:jc w:val="both"/>
        <w:rPr>
          <w:rFonts w:ascii="Times New Roman" w:hAnsi="Times New Roman"/>
          <w:color w:val="0070C0"/>
          <w:sz w:val="16"/>
          <w:szCs w:val="16"/>
        </w:rPr>
      </w:pPr>
    </w:p>
    <w:p w14:paraId="6679C506"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мая 1933 открылась Высшая парашютная школа Осоавиахима. В мае 1933 в Москве в ПГ была построена первая в СССР парашютная вышка (271,134).</w:t>
      </w:r>
    </w:p>
    <w:p w14:paraId="68885EBA" w14:textId="77777777" w:rsidR="008C5AAD" w:rsidRPr="00C33834" w:rsidRDefault="008C5AAD" w:rsidP="00C33834">
      <w:pPr>
        <w:spacing w:after="0" w:line="240" w:lineRule="auto"/>
        <w:jc w:val="both"/>
        <w:rPr>
          <w:rFonts w:ascii="Times New Roman" w:hAnsi="Times New Roman"/>
          <w:color w:val="000000" w:themeColor="text1"/>
          <w:sz w:val="16"/>
          <w:szCs w:val="16"/>
        </w:rPr>
      </w:pPr>
    </w:p>
    <w:p w14:paraId="52A706D2" w14:textId="77777777" w:rsidR="008C5AAD" w:rsidRPr="00C33834" w:rsidRDefault="008C5A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мая 1933 в НКВМД состоялось совещание начальников управлений Штаба РККА, посвященное немецким военным центрам в России и в т.ч. Липецкой школе. Председательствовал Я.Берзин - военная разведка. Решили снизить до минимума состав служащих и ограничить их передвижения, а также организовать ликвидационную комиссию (1131,32).</w:t>
      </w:r>
    </w:p>
    <w:p w14:paraId="6CBD8CCA" w14:textId="77777777" w:rsidR="008C5AAD" w:rsidRPr="00C33834" w:rsidRDefault="008C5AAD" w:rsidP="00C33834">
      <w:pPr>
        <w:spacing w:after="0" w:line="240" w:lineRule="auto"/>
        <w:jc w:val="both"/>
        <w:rPr>
          <w:rFonts w:ascii="Times New Roman" w:hAnsi="Times New Roman"/>
          <w:color w:val="000000" w:themeColor="text1"/>
          <w:sz w:val="16"/>
          <w:szCs w:val="16"/>
        </w:rPr>
      </w:pPr>
    </w:p>
    <w:p w14:paraId="3ECF0DCE" w14:textId="77777777" w:rsidR="006E56A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8516B62" w14:textId="77777777" w:rsidR="006E56A1" w:rsidRPr="00C33834" w:rsidRDefault="006E56A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6915662"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мая 1933 года на НИАП был подан первый однобашенный танк Т-26 с 45-мм пушкой обр. 1932 года - 20К, созданной на основе 37-мм противотанковой пушки Рейнметалл (3861).</w:t>
      </w:r>
    </w:p>
    <w:p w14:paraId="20ABC7E4" w14:textId="7BA1B1A4"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0528C882" w14:textId="2C673FD3" w:rsidR="00A82C31" w:rsidRPr="00C33834" w:rsidRDefault="00A82C31" w:rsidP="00C33834">
      <w:pPr>
        <w:autoSpaceDE w:val="0"/>
        <w:autoSpaceDN w:val="0"/>
        <w:adjustRightInd w:val="0"/>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За рубежом:</w:t>
      </w:r>
    </w:p>
    <w:p w14:paraId="1CFD8D34" w14:textId="77777777" w:rsidR="00A82C31" w:rsidRPr="00C33834" w:rsidRDefault="00A82C31" w:rsidP="00C33834">
      <w:pPr>
        <w:autoSpaceDE w:val="0"/>
        <w:autoSpaceDN w:val="0"/>
        <w:adjustRightInd w:val="0"/>
        <w:spacing w:after="0" w:line="240" w:lineRule="auto"/>
        <w:jc w:val="both"/>
        <w:rPr>
          <w:rFonts w:ascii="Times New Roman" w:hAnsi="Times New Roman"/>
          <w:i/>
          <w:iCs/>
          <w:color w:val="000000" w:themeColor="text1"/>
          <w:sz w:val="16"/>
          <w:szCs w:val="16"/>
        </w:rPr>
      </w:pPr>
    </w:p>
    <w:p w14:paraId="41259A0F" w14:textId="77777777" w:rsidR="00A82C31" w:rsidRPr="00C33834" w:rsidRDefault="00A82C3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31 мая 1933 начинается первое регулярное гражданское воздушное сообщение из Северной Ирландии в аэропорт Ренфрю в Глазго, Шотландия (20802).</w:t>
      </w:r>
    </w:p>
    <w:p w14:paraId="5A940571" w14:textId="77777777" w:rsidR="00A82C31" w:rsidRPr="00C33834" w:rsidRDefault="00A82C31" w:rsidP="00C33834">
      <w:pPr>
        <w:spacing w:after="0" w:line="240" w:lineRule="auto"/>
        <w:jc w:val="both"/>
        <w:rPr>
          <w:rFonts w:ascii="Times New Roman" w:hAnsi="Times New Roman"/>
          <w:color w:val="0070C0"/>
          <w:sz w:val="16"/>
          <w:szCs w:val="16"/>
        </w:rPr>
      </w:pPr>
    </w:p>
    <w:p w14:paraId="79204AF2" w14:textId="77777777" w:rsidR="006E56A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6E80CF0" w14:textId="77777777" w:rsidR="006E56A1" w:rsidRPr="00C33834" w:rsidRDefault="006E56A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F454A19"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мая 1933 был утвержден Отчет по гос. испытаниям опытного самолета ДИ4 с мотором Кертис Конкверор (6820).</w:t>
      </w:r>
    </w:p>
    <w:p w14:paraId="50388509"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23549019"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ведущий самолет – Холодов</w:t>
      </w:r>
    </w:p>
    <w:p w14:paraId="7E28E326"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 Кокинаки</w:t>
      </w:r>
    </w:p>
    <w:p w14:paraId="019F215E"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50CFD0AA"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летных данных с целью выяснения вопроса о целесообразности серийной постройки самолета.</w:t>
      </w:r>
    </w:p>
    <w:p w14:paraId="4F84E878"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38D71950" w14:textId="77777777" w:rsidR="006E56A1" w:rsidRPr="00C33834" w:rsidRDefault="006E56A1"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ДИ4 – Кертис Конкверор не может быть допущен к серийной постройке как не отвечающий требованиям к современным двухместным истребителям.</w:t>
      </w:r>
    </w:p>
    <w:p w14:paraId="2EF2E41C"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p w14:paraId="3725DC0A"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мая 1933 года – самолет поступил с завода № 39 для прохождения гос. испытаний.</w:t>
      </w:r>
    </w:p>
    <w:p w14:paraId="42774B9E"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мая 1933 года – перелет в Щелково.</w:t>
      </w:r>
    </w:p>
    <w:p w14:paraId="759CBA05"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мая 1933 года – фактическое начало испытаний.</w:t>
      </w:r>
    </w:p>
    <w:p w14:paraId="189958EA"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мая 1933 года – окончание испытаний</w:t>
      </w:r>
    </w:p>
    <w:p w14:paraId="4DF4CFAA"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Фактически затрачено на испытание 15 календарных дней, испытание проведено в 7 летных дней. Налетано 13 час. 25 мин. (6820).</w:t>
      </w:r>
    </w:p>
    <w:p w14:paraId="43CF919D"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11FA3F"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мая 1933 ХАЗОС представил эскизный проект ВС 2М-22, но после рассмотрения установили необходимость серьезных управлений (2310,143).</w:t>
      </w:r>
    </w:p>
    <w:p w14:paraId="05B9FDEF"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4B4F7265"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мая 1933 после ряда технических оценок проекта летающего танка Рафаэлянца НИИ ВВС стало окончательно ясно, что М-17 не хватает для обеспечения требуемых ЛТД. Сложно было подготовить и танкиста-летчика. В заключении отметили: “проект вызывает большие сомнения как с тактической, так и с экономической стороны в сравнении с другими уже имеющимися способами переброски танков (высадка с самолета, сбрасывание на парашюте.)” (3879,39).</w:t>
      </w:r>
    </w:p>
    <w:p w14:paraId="41E46BDA" w14:textId="6A5BBA0C"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5BFD5CB0" w14:textId="05C2EC73" w:rsidR="00297268" w:rsidRPr="00C33834" w:rsidRDefault="00297268" w:rsidP="00C33834">
      <w:pPr>
        <w:autoSpaceDE w:val="0"/>
        <w:autoSpaceDN w:val="0"/>
        <w:adjustRightInd w:val="0"/>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Армия:</w:t>
      </w:r>
    </w:p>
    <w:p w14:paraId="3723C4AC" w14:textId="77777777" w:rsidR="00297268" w:rsidRPr="00C33834" w:rsidRDefault="00297268" w:rsidP="00C33834">
      <w:pPr>
        <w:autoSpaceDE w:val="0"/>
        <w:autoSpaceDN w:val="0"/>
        <w:adjustRightInd w:val="0"/>
        <w:spacing w:after="0" w:line="240" w:lineRule="auto"/>
        <w:jc w:val="both"/>
        <w:rPr>
          <w:rFonts w:ascii="Times New Roman" w:hAnsi="Times New Roman"/>
          <w:i/>
          <w:iCs/>
          <w:color w:val="000000" w:themeColor="text1"/>
          <w:sz w:val="16"/>
          <w:szCs w:val="16"/>
        </w:rPr>
      </w:pPr>
    </w:p>
    <w:p w14:paraId="2F162352" w14:textId="77777777" w:rsidR="00297268" w:rsidRPr="00C33834" w:rsidRDefault="0029726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конце мая 1933 года на Монинском военном аэродроме начались сборы десантных отделений стрелковых дивизий Московского военного округа.</w:t>
      </w:r>
    </w:p>
    <w:p w14:paraId="7F55CA71" w14:textId="77777777" w:rsidR="00297268" w:rsidRPr="00C33834" w:rsidRDefault="0029726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Прыжки с парашютом осуществлялись из самолётов ТБ-1, оборудованных подвесными кабинами системы выдающегося советского инженера и конструктора Павла Игнатьевича Гроховского, возглавлявшего в те годы Особое конструкторское производственное бюро Военно-воздушных сил Красной Армии. Подвесная десантная кабина КП-1 крепилась непосредственно под фюзеляжем самолёта. Она была рассчитана на шестнадцать человек и весила около тонны. Всё это, безусловно, негативно отражалось на лётных характеристиках ТБ-1, увеличивая разбег, ухудшая манёвренность и уменьшая скорость тяжёлого бомбардировщика (21535).</w:t>
      </w:r>
    </w:p>
    <w:p w14:paraId="19444019" w14:textId="77777777" w:rsidR="00297268" w:rsidRPr="00C33834" w:rsidRDefault="00297268" w:rsidP="00C33834">
      <w:pPr>
        <w:spacing w:after="0" w:line="240" w:lineRule="auto"/>
        <w:jc w:val="both"/>
        <w:rPr>
          <w:rFonts w:ascii="Times New Roman" w:hAnsi="Times New Roman"/>
          <w:color w:val="0070C0"/>
          <w:sz w:val="16"/>
          <w:szCs w:val="16"/>
        </w:rPr>
      </w:pPr>
    </w:p>
    <w:p w14:paraId="730A57E5" w14:textId="77777777" w:rsidR="006E56A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6EDAD3E4" w14:textId="77777777" w:rsidR="006E56A1" w:rsidRPr="00C33834" w:rsidRDefault="006E56A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BFFBAA7"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второй половине мая 1933 КБ отдела Т-2О (2-й танковый опытный) ХПЗ приступил к конструктивной проработки установки 76-мм пушки в БТ (3881,3).</w:t>
      </w:r>
    </w:p>
    <w:p w14:paraId="7CA87700"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65EA2F23" w14:textId="77777777" w:rsidR="006E56A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41F4088" w14:textId="77777777" w:rsidR="006E56A1" w:rsidRPr="00C33834" w:rsidRDefault="006E56A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DFB940D"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был подготовлен Отчет по испытанию самолета ТБ3 4М17 с тормозными колесами по устранении дефектов согласно заключения по испытаниям 7 марта 1933 года (6638).</w:t>
      </w:r>
    </w:p>
    <w:p w14:paraId="576B66C0"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4E51BE26"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самолета ТБ3 4М17 с тормозными колесами по устранении дефектов гидравлического управления тормозами и установки тормозных колес согласно заключения по испытаниям от 7 марта 1933 года.</w:t>
      </w:r>
    </w:p>
    <w:p w14:paraId="30F88EF3"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4A90BD45" w14:textId="77777777" w:rsidR="006E56A1" w:rsidRPr="00C33834" w:rsidRDefault="006E56A1"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Гидравлическое управление тормозами колес самолета ТБ3 4М17 размерами 1350х300 мм утверждается.</w:t>
      </w:r>
    </w:p>
    <w:p w14:paraId="2DB9D45D"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начато 19 апреля 1933 года</w:t>
      </w:r>
    </w:p>
    <w:p w14:paraId="4D14B486"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окончено 21 апреля 1933 года (6638).</w:t>
      </w:r>
    </w:p>
    <w:p w14:paraId="2E5E501F"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348E20"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г. командующий Приволж</w:t>
      </w:r>
      <w:r w:rsidRPr="00C33834">
        <w:rPr>
          <w:rFonts w:ascii="Times New Roman" w:hAnsi="Times New Roman"/>
          <w:color w:val="000000" w:themeColor="text1"/>
          <w:sz w:val="16"/>
          <w:szCs w:val="16"/>
        </w:rPr>
        <w:softHyphen/>
        <w:t>ским военным округом командарм Федько написал письмо заместителю наркома по военным и морским делам Тухачев</w:t>
      </w:r>
      <w:r w:rsidRPr="00C33834">
        <w:rPr>
          <w:rFonts w:ascii="Times New Roman" w:hAnsi="Times New Roman"/>
          <w:color w:val="000000" w:themeColor="text1"/>
          <w:sz w:val="16"/>
          <w:szCs w:val="16"/>
        </w:rPr>
        <w:softHyphen/>
        <w:t>скому. В нем он выдвинул идею создания «линейного воздушного флота» - большого соединения тяжелых бомбардировщиков, вооруженных пушками крупных калибров. Пушечное вооружение на самолетах тогда уже не являлось новостью. Еще в Первую мировую войну на некоторых аэро</w:t>
      </w:r>
      <w:r w:rsidRPr="00C33834">
        <w:rPr>
          <w:rFonts w:ascii="Times New Roman" w:hAnsi="Times New Roman"/>
          <w:color w:val="000000" w:themeColor="text1"/>
          <w:sz w:val="16"/>
          <w:szCs w:val="16"/>
        </w:rPr>
        <w:softHyphen/>
        <w:t>планах монтировали небольшие пушки. В частности, французы применяли глад</w:t>
      </w:r>
      <w:r w:rsidRPr="00C33834">
        <w:rPr>
          <w:rFonts w:ascii="Times New Roman" w:hAnsi="Times New Roman"/>
          <w:color w:val="000000" w:themeColor="text1"/>
          <w:sz w:val="16"/>
          <w:szCs w:val="16"/>
        </w:rPr>
        <w:softHyphen/>
        <w:t>коствольные 37-мм орудия, стрелявшие картечью. Позже в употребление вошли автоматические пушки калибра 20 мм или 23 мм. Но все это оружие предназначалось для воздушного боя одного самолета против другого или поражения небольших наземных целей.</w:t>
      </w:r>
    </w:p>
    <w:p w14:paraId="423D4BCC"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Новая же концепция выходила совсем на другой уровень. Если сражаться с самолетами, то уже не с одним, а с целой группой или даже соединением, если стрелять по земле, то не по танку, а по целому заводу, порту, городу. Эти возможности должна была обеспечить значительно возросшая огневая мощь. От «линейного флота» требовали установки орудий калибром от 76 мм до 245 мм! И таких пушек намеревались устанавливать от двух до шести!</w:t>
      </w:r>
    </w:p>
    <w:p w14:paraId="4491B9C9"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Разумеется, взять такое громоздкое и тяжелое оружие вместе с боезапасом мог только большой самолет. А такая машина в Советском Союзе имелась всего одна - четырехмоторный бомбардировщик ТБ-3, созданный в ЦАГИ под руководством А.Н. Туполева. Его и стали рассматривать как базу для будущего «линейного воз</w:t>
      </w:r>
      <w:r w:rsidRPr="00C33834">
        <w:rPr>
          <w:rFonts w:ascii="Times New Roman" w:hAnsi="Times New Roman"/>
          <w:color w:val="000000" w:themeColor="text1"/>
          <w:sz w:val="16"/>
          <w:szCs w:val="16"/>
        </w:rPr>
        <w:softHyphen/>
        <w:t>душного корабля».</w:t>
      </w:r>
    </w:p>
    <w:p w14:paraId="25912458"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Существовали две концепции создания «воздушного линкора». Одни специалисты ратовали за использование динаморе- активных (безоткатных) пушек (ДРП), обеспечивающих при крупном калибре сравнительно малый вес. Но при этом ДРП отличались малой начальной скоростью, что приводило к низкой точности </w:t>
      </w:r>
      <w:r w:rsidRPr="00C33834">
        <w:rPr>
          <w:rFonts w:ascii="Times New Roman" w:hAnsi="Times New Roman"/>
          <w:color w:val="000000" w:themeColor="text1"/>
          <w:sz w:val="16"/>
          <w:szCs w:val="16"/>
        </w:rPr>
        <w:lastRenderedPageBreak/>
        <w:t>стрельбы, а выходная реактивная струя</w:t>
      </w:r>
      <w:r w:rsidRPr="00C33834">
        <w:rPr>
          <w:rFonts w:ascii="Times New Roman" w:hAnsi="Times New Roman"/>
          <w:color w:val="000000" w:themeColor="text1"/>
          <w:sz w:val="16"/>
          <w:szCs w:val="16"/>
          <w:vertAlign w:val="subscript"/>
        </w:rPr>
        <w:t>&gt;</w:t>
      </w:r>
      <w:r w:rsidRPr="00C33834">
        <w:rPr>
          <w:rFonts w:ascii="Times New Roman" w:hAnsi="Times New Roman"/>
          <w:color w:val="000000" w:themeColor="text1"/>
          <w:sz w:val="16"/>
          <w:szCs w:val="16"/>
        </w:rPr>
        <w:t xml:space="preserve"> могла повредить обшивку самолета. Еще легче были пуско</w:t>
      </w:r>
      <w:r w:rsidRPr="00C33834">
        <w:rPr>
          <w:rFonts w:ascii="Times New Roman" w:hAnsi="Times New Roman"/>
          <w:color w:val="000000" w:themeColor="text1"/>
          <w:sz w:val="16"/>
          <w:szCs w:val="16"/>
        </w:rPr>
        <w:softHyphen/>
        <w:t>вые установки с неуправляемыми ракетами, но с точностью у них было еще хуже. Поэтому другие специалисты предпочитали классические нарезные орудия.</w:t>
      </w:r>
    </w:p>
    <w:p w14:paraId="4C2C1305"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ДРП предлагали попробовать еще на трехмоторном немецком бомбардировщике ЮГ-1 в феврале 1928 г. На этом самолете намеревались смонтировать 76-мм безот</w:t>
      </w:r>
      <w:r w:rsidRPr="00C33834">
        <w:rPr>
          <w:rFonts w:ascii="Times New Roman" w:hAnsi="Times New Roman"/>
          <w:color w:val="000000" w:themeColor="text1"/>
          <w:sz w:val="16"/>
          <w:szCs w:val="16"/>
        </w:rPr>
        <w:softHyphen/>
        <w:t>катную гаубицу. Но затея сорвалась - ЮГ-1 имелось немного и Управление ВВС дать один из них для экспериментов отказалось.В декабре 1930 г. московский завод №39 поставил 76-мм ДРП на двухмоторный бомбардировщик ТБ-1. Пушка весом 88 кг стояла вертикально в бомбоотсеке на специальной ферме - «пауке». Ее ствол выступал на 770 мм вниз, а конус выходного сопла на 400 мм торчал вверх над обшивкой. Крепление допускало ограниченное пере</w:t>
      </w:r>
      <w:r w:rsidRPr="00C33834">
        <w:rPr>
          <w:rFonts w:ascii="Times New Roman" w:hAnsi="Times New Roman"/>
          <w:color w:val="000000" w:themeColor="text1"/>
          <w:sz w:val="16"/>
          <w:szCs w:val="16"/>
        </w:rPr>
        <w:softHyphen/>
        <w:t>мещение вперед-назад по полету, вбок же ствол не двигался. Какие-либо прицельные приспособления отсутствовали.</w:t>
      </w:r>
    </w:p>
    <w:p w14:paraId="51E2727E"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Стрелять собирались по наземным целям с горизонтального полета. Огонь вел пилот, дергавший за шнур. Возле пушки располагался заряжающий, при стрельбе стоявший на маленькой квадратной пло</w:t>
      </w:r>
      <w:r w:rsidRPr="00C33834">
        <w:rPr>
          <w:rFonts w:ascii="Times New Roman" w:hAnsi="Times New Roman"/>
          <w:color w:val="000000" w:themeColor="text1"/>
          <w:sz w:val="16"/>
          <w:szCs w:val="16"/>
        </w:rPr>
        <w:softHyphen/>
        <w:t>щадке. Снаряды хранились в ящиках у мест воздушных стрелков.</w:t>
      </w:r>
    </w:p>
    <w:p w14:paraId="774F3725"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велись на Кунцевском полигоне в марте 1931 г. Всего за три дня сделали 18 выстрелов шрапнелью по земле без прицеливания. На пилотирование самолета стрельба не повлияла, но при осмотре выявились деформации обшивки и подкрепляющих профилей. Вылетели некоторые заклепки.</w:t>
      </w:r>
    </w:p>
    <w:p w14:paraId="35036B72"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 летчик, ни заряжающий не видели, куда стреляют. Отсутствие связи между ними вызвало немало нестыковок. Заря</w:t>
      </w:r>
      <w:r w:rsidRPr="00C33834">
        <w:rPr>
          <w:rFonts w:ascii="Times New Roman" w:hAnsi="Times New Roman"/>
          <w:color w:val="000000" w:themeColor="text1"/>
          <w:sz w:val="16"/>
          <w:szCs w:val="16"/>
        </w:rPr>
        <w:softHyphen/>
        <w:t>жающему приходилось лазать по тесному проходу на четвереньках, таская снаряды. Но этот эксперимент доказал, что воору</w:t>
      </w:r>
      <w:r w:rsidRPr="00C33834">
        <w:rPr>
          <w:rFonts w:ascii="Times New Roman" w:hAnsi="Times New Roman"/>
          <w:color w:val="000000" w:themeColor="text1"/>
          <w:sz w:val="16"/>
          <w:szCs w:val="16"/>
        </w:rPr>
        <w:softHyphen/>
        <w:t>жить бомбардировщик ДРП можно, хотя эффективность этого оружия оставалась спорной.</w:t>
      </w:r>
    </w:p>
    <w:p w14:paraId="5F3DC88F"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1931 г. специально для ТБ-1 спро</w:t>
      </w:r>
      <w:r w:rsidRPr="00C33834">
        <w:rPr>
          <w:rFonts w:ascii="Times New Roman" w:hAnsi="Times New Roman"/>
          <w:color w:val="000000" w:themeColor="text1"/>
          <w:sz w:val="16"/>
          <w:szCs w:val="16"/>
        </w:rPr>
        <w:softHyphen/>
        <w:t>ектировали 76-мм нарезную «безоткатку» ДРП-76. Два таких орудия собирались установить по бортам снаружи у средней турели, за крылом. Саму пушку изготовили, но на самолете не испытывали. В плане Осо</w:t>
      </w:r>
      <w:r w:rsidRPr="00C33834">
        <w:rPr>
          <w:rFonts w:ascii="Times New Roman" w:hAnsi="Times New Roman"/>
          <w:color w:val="000000" w:themeColor="text1"/>
          <w:sz w:val="16"/>
          <w:szCs w:val="16"/>
        </w:rPr>
        <w:softHyphen/>
        <w:t>бого конструкторского бюро (Осконбюро) ВВС на 1932 г. значилась некая «ротативная батарея» из четырех стволов калибра 76 мм. Как она должна была выглядеть - остается загадкой.</w:t>
      </w:r>
    </w:p>
    <w:p w14:paraId="6043EF1D"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1934 г. было выдвинуто предложение вооружить бомбардировщик Туполева четырьмя-шестью ДРП «крупного калибра». Часть пушек должна была крепиться неподвижно, другая часть - рас</w:t>
      </w:r>
      <w:r w:rsidRPr="00C33834">
        <w:rPr>
          <w:rFonts w:ascii="Times New Roman" w:hAnsi="Times New Roman"/>
          <w:color w:val="000000" w:themeColor="text1"/>
          <w:sz w:val="16"/>
          <w:szCs w:val="16"/>
        </w:rPr>
        <w:softHyphen/>
        <w:t>полагаться на вращающихся турелях. При этом хотели оснастить самолет системой управления огнем на корабельный манер. Более того, планировалось создать систему управления артиллерией целой группы «воздушных линкоров». Но даже толкового задания на подобную машину разработать не сумели. Немалую роль в этом сыграла недоведенность самих динамо-реактивных пушек, которые в то время так и не дошли до уровня надежной серийной продукции.</w:t>
      </w:r>
    </w:p>
    <w:p w14:paraId="29390B38"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Гораздо дальше продвинулись с клас</w:t>
      </w:r>
      <w:r w:rsidRPr="00C33834">
        <w:rPr>
          <w:rFonts w:ascii="Times New Roman" w:hAnsi="Times New Roman"/>
          <w:color w:val="000000" w:themeColor="text1"/>
          <w:sz w:val="16"/>
          <w:szCs w:val="16"/>
        </w:rPr>
        <w:softHyphen/>
        <w:t>сической артиллерией (12613).</w:t>
      </w:r>
    </w:p>
    <w:p w14:paraId="0C703B77" w14:textId="77777777" w:rsidR="0058354C" w:rsidRPr="00C33834" w:rsidRDefault="0058354C" w:rsidP="00C33834">
      <w:pPr>
        <w:spacing w:after="0" w:line="240" w:lineRule="auto"/>
        <w:jc w:val="both"/>
        <w:rPr>
          <w:rFonts w:ascii="Times New Roman" w:hAnsi="Times New Roman"/>
          <w:color w:val="000000" w:themeColor="text1"/>
          <w:sz w:val="16"/>
          <w:szCs w:val="16"/>
        </w:rPr>
      </w:pPr>
    </w:p>
    <w:p w14:paraId="48A5E8B8"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было начато проектирование ДБ-1 (АНТ-36) - военного варианта АНТ-25. Работы велись в бригаде П.О.С. (1102).</w:t>
      </w:r>
    </w:p>
    <w:p w14:paraId="1FDDC64B"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1A0CF0DB"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ЦАГИ облегчил два серийных ТБ-3 (АНТ-6) на 722 кг (156,21).</w:t>
      </w:r>
    </w:p>
    <w:p w14:paraId="7D80D194"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51F51AAB" w14:textId="77777777" w:rsidR="00323684" w:rsidRPr="00C33834" w:rsidRDefault="00323684"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В мае 1933 вышло постановление РВС о вооружении эскадрильи истребителей усовершенствованными пушками АПК-65 калибра 65 мм до конца года. Но до реализации этого распоряжения дело не дошло. Возможно, здесь сказалась авария, произошедшая на полигонных испытаниях 18 мая, когда у летчика Т. Сузи в правой пушке АПК-3бис взорвался снаряд. Перебило один из лонжеронов крыла, несколько нервюр, сорвало часть обшивки. Вдобавок повреждения получил руль направления, а в фюзеляже возникла пробоина. Но пилоту удалось сесть на изувеченном самолете. А, возможно, «наверху» просто проанализировали недостатки динамореактивных пушек - низкую скорострельность, малую выходную скорость снаряда и низкую точность, а также сложность в обращении (19100).</w:t>
      </w:r>
    </w:p>
    <w:p w14:paraId="430CEE5C" w14:textId="77777777" w:rsidR="00323684" w:rsidRPr="00C33834" w:rsidRDefault="00323684" w:rsidP="00C33834">
      <w:pPr>
        <w:pStyle w:val="a8"/>
        <w:jc w:val="both"/>
        <w:rPr>
          <w:rFonts w:ascii="Times New Roman" w:hAnsi="Times New Roman" w:cs="Times New Roman"/>
          <w:color w:val="000000" w:themeColor="text1"/>
        </w:rPr>
      </w:pPr>
    </w:p>
    <w:p w14:paraId="622109E6"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была проведена первая в СССР опытная дозаправка самолета в воздухе: ТБ-1 с Р-5 (237,166). Л Р-5 - И.П.Белозеров. руководил и НИИ ВВС А.К.Запанованный, предложивший схему (438,646).</w:t>
      </w:r>
    </w:p>
    <w:p w14:paraId="2885AB86"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2258AB8B" w14:textId="77777777" w:rsidR="00297268" w:rsidRPr="00C33834" w:rsidRDefault="0029726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мае 1933 г. на двухмоторном ТБ-1 начались испытания дозаправки в воздухе с Р-5 первой серии, на котором были установлены лебедки с бронированным (т.е. имеющим защитную металлическую оплетку) шлангом, который стабилизировался тяжелой «грузовой грушей» на конце (23013).</w:t>
      </w:r>
    </w:p>
    <w:p w14:paraId="3EB9C3D2" w14:textId="77777777" w:rsidR="00297268" w:rsidRPr="00C33834" w:rsidRDefault="00297268" w:rsidP="00C33834">
      <w:pPr>
        <w:spacing w:after="0" w:line="240" w:lineRule="auto"/>
        <w:jc w:val="both"/>
        <w:rPr>
          <w:rFonts w:ascii="Times New Roman" w:hAnsi="Times New Roman"/>
          <w:color w:val="0070C0"/>
          <w:sz w:val="16"/>
          <w:szCs w:val="16"/>
        </w:rPr>
      </w:pPr>
    </w:p>
    <w:p w14:paraId="2B120DE5"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был готов ТБ-4 (437,111).</w:t>
      </w:r>
    </w:p>
    <w:p w14:paraId="6EABD857"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51976CC1"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г. на заводе № 39 по своему проекту переоборудовали один самолет Р-5 с увеличенным запасом горючего. УВВС распорядилось с привлечением завода № 1 сделать еще четыре такие же машины (но под один пулемет ДА в задней кабине и с дополнительными маслобаками), и сдать все пять в НИИ ВВС. На них хотели проверить возможность осуществить рекордный перелет. Но данных об этом нет. Рассматривались также варианты с подвесными баками, о которых толком ничего не известно (12034).</w:t>
      </w:r>
    </w:p>
    <w:p w14:paraId="3933F85D"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19CBCFDE"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г. руководство ГВФ составило список требований к модернизации П-5. В нем предусматривались как раз закрытая кабина с остеклением из целлулоида, усиление каркаса фюзеляжа, тормозные колеса и улучшенное приборное оснащение. Дальнейшие ЛП-5 изготовлялись уже на базе Р-5 образца 1934 г. и соответствовали этим требованиям (12034).</w:t>
      </w:r>
    </w:p>
    <w:p w14:paraId="3AF24773"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7BABCB69"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совершил первый полет Ми-3 (АНТ-21) (2693,15).</w:t>
      </w:r>
    </w:p>
    <w:p w14:paraId="08A763AC"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18A77FF3"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в аэродинамической лаборатории ХАИ продували модель бесхвостки ХАИ-4 П.Г.Бенинга (553,154).</w:t>
      </w:r>
    </w:p>
    <w:p w14:paraId="6CE4452C"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0C3E9629"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К-5 под именем Огонек и под управлением В.В.Осипова участвовал в агитперелете Москва-Харьков-Ростов на Дону-Харьков-Москва, которым начала работу эскадрилья им. МГ (70,168).</w:t>
      </w:r>
    </w:p>
    <w:p w14:paraId="58134908"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76E5A333"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был готов эскизный проект ЭМАИ-1-34 (Э-1) (Серго Орджоникидзе) С.О.Зоншайна и А.Л.Гиммельфарба (1076,786).</w:t>
      </w:r>
    </w:p>
    <w:p w14:paraId="62B2DFED"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47DB7D8A" w14:textId="77777777" w:rsidR="00297268" w:rsidRPr="00C33834" w:rsidRDefault="0029726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мае 1933 г. постановлением Совета Труда и Обороны СССР, ведущие сотрудники ООК А.М. Черемухин, К.А. Бункин и А.М. Изаксон за участие в создании первого совет</w:t>
      </w:r>
      <w:r w:rsidRPr="00C33834">
        <w:rPr>
          <w:rFonts w:ascii="Times New Roman" w:hAnsi="Times New Roman"/>
          <w:color w:val="0070C0"/>
          <w:sz w:val="16"/>
          <w:szCs w:val="16"/>
        </w:rPr>
        <w:softHyphen/>
        <w:t>ского вертолета были премированы легковыми автомоби</w:t>
      </w:r>
      <w:r w:rsidRPr="00C33834">
        <w:rPr>
          <w:rFonts w:ascii="Times New Roman" w:hAnsi="Times New Roman"/>
          <w:color w:val="0070C0"/>
          <w:sz w:val="16"/>
          <w:szCs w:val="16"/>
        </w:rPr>
        <w:softHyphen/>
        <w:t>лями. В конце года они были награждены орденами Крас</w:t>
      </w:r>
      <w:r w:rsidRPr="00C33834">
        <w:rPr>
          <w:rFonts w:ascii="Times New Roman" w:hAnsi="Times New Roman"/>
          <w:color w:val="0070C0"/>
          <w:sz w:val="16"/>
          <w:szCs w:val="16"/>
        </w:rPr>
        <w:softHyphen/>
        <w:t>ной Звезды, вместе с ними эти ордена получили Б.Н. Юрьев и Д.И. Антонов (20361).</w:t>
      </w:r>
    </w:p>
    <w:p w14:paraId="4A6BFDEF" w14:textId="77777777" w:rsidR="00297268" w:rsidRPr="00C33834" w:rsidRDefault="00297268" w:rsidP="00C33834">
      <w:pPr>
        <w:shd w:val="clear" w:color="auto" w:fill="FFFFFF"/>
        <w:spacing w:after="0" w:line="240" w:lineRule="auto"/>
        <w:jc w:val="both"/>
        <w:rPr>
          <w:rFonts w:ascii="Times New Roman" w:hAnsi="Times New Roman"/>
          <w:color w:val="0070C0"/>
          <w:sz w:val="16"/>
          <w:szCs w:val="16"/>
        </w:rPr>
      </w:pPr>
    </w:p>
    <w:p w14:paraId="03455F71"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г. впервые испытали поворотные стойки на переделанном старом И-5 из установочной серии завода № 39. При правильном управлении стойками запаздывание уменьшалось вдвое, но механизм был тяжеловат и не очень надёжен; на испытаниях его трижды заедало (11997).</w:t>
      </w:r>
    </w:p>
    <w:p w14:paraId="176B2B73"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056E9381"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ВВС проявили интерес к проекту И-16 и выдали Н.Н.П. задание (1808,3).</w:t>
      </w:r>
    </w:p>
    <w:p w14:paraId="7E1D733B"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4ADAA78D"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г. ВВС проявляют интерес к самолету-моноплану Н.Н.П., поэтому выдают Поликарпову на него задание, не включая, однако, при этом в уже сверстанный план опытных работ Главного Управления авиапромышленности (ГУАП) (12015).</w:t>
      </w:r>
    </w:p>
    <w:p w14:paraId="415AB5A6"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4FF76A95"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был закончен И-14 П.О.С. (2869,23).</w:t>
      </w:r>
    </w:p>
    <w:p w14:paraId="61C0C8B1"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3BE02417"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была закончена постройка опытного И-14 (АНТ-31) (1102) м Бристоль IVS-2 Меркюри и без пушек АПК-5 37 мм, но с одним ПВ под капотом и его перевезли на ЦА (4020,10).</w:t>
      </w:r>
    </w:p>
    <w:p w14:paraId="20D54E83"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3231CE5C"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ДИ-4 КК БНК прошел гос. испытания и показал низкие данные, не был принят ВВС на снабжение (2287,131).</w:t>
      </w:r>
    </w:p>
    <w:p w14:paraId="3BC65FF0"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445B3CB9" w14:textId="77777777" w:rsidR="000B1B08" w:rsidRPr="00C33834" w:rsidRDefault="000B1B08"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истребитель ДИ-4 доставили с завода № 39 в Щелково, на аэродром НИИ ВВС для проведения Государственных испытаний. В ходе этих испытаний было признано, что ДИ-4 создан по устаревшей схеме. Отмечалось, что его шасси очень сложное и неудобное в обслуживании. Значительным недостатком являлся большой вес конструкции. Кроме того, нарекания вызвало и крыло: сделанное в виде «чайки» для улучшения обзора, оно на самом деле не обнаружило этого преимущества по причине использования толстого профиля. Истребитель с трудом входил в штопор, но прекрасно из него выходил; остальные летные качества машины оценивались как невысокие (15223).</w:t>
      </w:r>
    </w:p>
    <w:p w14:paraId="7B356A6F" w14:textId="77777777" w:rsidR="000B1B08" w:rsidRPr="00C33834" w:rsidRDefault="000B1B08" w:rsidP="00C33834">
      <w:pPr>
        <w:shd w:val="clear" w:color="auto" w:fill="FFFFFF"/>
        <w:spacing w:after="0" w:line="240" w:lineRule="auto"/>
        <w:jc w:val="both"/>
        <w:rPr>
          <w:rFonts w:ascii="Times New Roman" w:hAnsi="Times New Roman"/>
          <w:color w:val="000000" w:themeColor="text1"/>
          <w:sz w:val="16"/>
          <w:szCs w:val="16"/>
        </w:rPr>
      </w:pPr>
    </w:p>
    <w:p w14:paraId="4B410D60"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мае 1933 после демонстрации в апреле 1933 членам РВС на ЦА был И-4 с АПК-3 РВС постановил вооружить эскадрилью И-4 пушками АПК-65 (1060,53).</w:t>
      </w:r>
    </w:p>
    <w:p w14:paraId="19AAE8D4"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4CB2D565"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г. Курчевского назначили начальником Особого конструкторского бюро Главного артиллерийского управления (ОКБ ГАУ), обосновавшегося на заводе № 8 в Подлипках. Далее Курчевский добился передачи ему ещё одного предприятия-завода № 38, располагавшегося поблизости. В конце года "хозяйство" ОКБ ГАУ полностью перебралось на территорию завода № 38. Там же, неподалеку, оборудовали полигон и аэродром, с которого проводили отдельные испытания.</w:t>
      </w:r>
    </w:p>
    <w:p w14:paraId="03B16F5E"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Несмотря на многочисленные проблемы и весьма условные достижения в деле создания динамореактивных пушек, считалось, что буквально "вот-вот" - и Красная Армия будет обладать чудо-ору- жием. Курчевский продолжал фонтанировать идеями и увеличивать ассортимент предложений. Для вооружения самолётов под его руководством были спроектированы и строились ДРП калибров 37, 65, 76 и 102 мм. Разрабатывались варианты пушек для установки на корабли, танки и автомобили, безоткатные системы для пехоты и воздушных десантников.</w:t>
      </w:r>
    </w:p>
    <w:p w14:paraId="490A1D4C"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Деятельность Курчевского одобрительно воспринималась И.В. Сталиным, который лично распорядился выделить ему в качестве поощрения американский легковой автомобиль. При непосредственной поддержке начальника вооружений РККА М.Н. Тухачевского и наркома тяжёлой промышленности Г.К. Орджоникидзе для расширения деятельности Курчевского в 1934 г. создается Управление уполномоченного по специальным работам (сокращенно УСР - Управление специальных работ) при НКТП. Авиационный отдел в УСР возглавил Д.П. Григорович, который после испытаний и запуска в серию И-Z приступил к проектированию более совершенного пушечного истребителя ПИ-1, получившего также обозначение ДГ-52 ("Дмитрий Григорович - 52"). </w:t>
      </w:r>
    </w:p>
    <w:p w14:paraId="2412D6A3"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Этот самолёт создавался как скоростной моноплан с убираемым шасси и двигателем Райт R-1820F-3 "Циклон" мощностью 625 л.с. (у нас этот мотор выпускался позже в Перми как М-25), рассчитывался под установку двух ди- намореактивных пушек АПК-4 и двух пулемётов ШКАС. История появления ПИ-1 (ДГ-52) по имеющимся документам полностью не просматривается. Известно, что Алкснис требовал подготовить задание на машину, условно именовавшуюся тогда "ЗЕТ-бис", к 15 января 1934 г.</w:t>
      </w:r>
    </w:p>
    <w:p w14:paraId="01C0DF85"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требования к ней сформулировали еще в декабре 1933 г. Ка новом самолёте хотели исправить главные недостатки И-ЗЕТ: малый радиус действия, недостаточные скорость и потолок, неэффективное вооружение. "ЗЕТ-бис" должен был иметь максимальную скорость 350 км/ч, продолжительность полёта 3 - 4 ч, практический потолок 7000 - 8000 м, новые пушки с дальностью прицельной стрельбы 2000 - 2500 м</w:t>
      </w:r>
    </w:p>
    <w:p w14:paraId="5F4B9C8C"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документах конструкторского бюро Григоровича периода 1934 - 1935 гг. указывались расчётные характеристики этой машины. Они вполне укладывались в рамки задания, а скорость даже превосходила требуемую. Но новых ДРП с увеличенной дальностью стрельбы не имелось, поэтому в проект заложили всё те же АПК-4.</w:t>
      </w:r>
    </w:p>
    <w:p w14:paraId="72C19FA5"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Расчётные характеристики ДГ-52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F26F01" w:rsidRPr="00C33834" w14:paraId="489DB703" w14:textId="77777777">
        <w:tc>
          <w:tcPr>
            <w:tcW w:w="5605" w:type="dxa"/>
            <w:tcBorders>
              <w:top w:val="single" w:sz="12" w:space="0" w:color="auto"/>
            </w:tcBorders>
          </w:tcPr>
          <w:p w14:paraId="0916664B"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конструкции, кг</w:t>
            </w:r>
          </w:p>
        </w:tc>
        <w:tc>
          <w:tcPr>
            <w:tcW w:w="5605" w:type="dxa"/>
            <w:tcBorders>
              <w:top w:val="single" w:sz="12" w:space="0" w:color="auto"/>
            </w:tcBorders>
          </w:tcPr>
          <w:p w14:paraId="3B5F0DB5"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568,7</w:t>
            </w:r>
          </w:p>
        </w:tc>
      </w:tr>
      <w:tr w:rsidR="00F26F01" w:rsidRPr="00C33834" w14:paraId="0AA6F489" w14:textId="77777777">
        <w:tc>
          <w:tcPr>
            <w:tcW w:w="5605" w:type="dxa"/>
          </w:tcPr>
          <w:p w14:paraId="6582DB42"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Полная нагрузка, кг</w:t>
            </w:r>
          </w:p>
        </w:tc>
        <w:tc>
          <w:tcPr>
            <w:tcW w:w="5605" w:type="dxa"/>
          </w:tcPr>
          <w:p w14:paraId="682265C4"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565</w:t>
            </w:r>
          </w:p>
        </w:tc>
      </w:tr>
      <w:tr w:rsidR="00F26F01" w:rsidRPr="00C33834" w14:paraId="2B154234" w14:textId="77777777">
        <w:tc>
          <w:tcPr>
            <w:tcW w:w="5605" w:type="dxa"/>
          </w:tcPr>
          <w:p w14:paraId="41FFE790"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крыла, м2</w:t>
            </w:r>
          </w:p>
        </w:tc>
        <w:tc>
          <w:tcPr>
            <w:tcW w:w="5605" w:type="dxa"/>
          </w:tcPr>
          <w:p w14:paraId="11635735"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19,98</w:t>
            </w:r>
          </w:p>
        </w:tc>
      </w:tr>
      <w:tr w:rsidR="00F26F01" w:rsidRPr="00C33834" w14:paraId="7F58E8F1" w14:textId="77777777">
        <w:tc>
          <w:tcPr>
            <w:tcW w:w="5605" w:type="dxa"/>
          </w:tcPr>
          <w:p w14:paraId="69999656"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Нагрузка на крыло, кг/м2</w:t>
            </w:r>
          </w:p>
        </w:tc>
        <w:tc>
          <w:tcPr>
            <w:tcW w:w="5605" w:type="dxa"/>
          </w:tcPr>
          <w:p w14:paraId="44294C17"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94,0</w:t>
            </w:r>
          </w:p>
        </w:tc>
      </w:tr>
      <w:tr w:rsidR="00F26F01" w:rsidRPr="00C33834" w14:paraId="2281F69B" w14:textId="77777777">
        <w:tc>
          <w:tcPr>
            <w:tcW w:w="5605" w:type="dxa"/>
          </w:tcPr>
          <w:p w14:paraId="10ED568C"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Весовая отдача</w:t>
            </w:r>
          </w:p>
        </w:tc>
        <w:tc>
          <w:tcPr>
            <w:tcW w:w="5605" w:type="dxa"/>
          </w:tcPr>
          <w:p w14:paraId="7C1DE909"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32,4 %</w:t>
            </w:r>
          </w:p>
        </w:tc>
      </w:tr>
      <w:tr w:rsidR="00F26F01" w:rsidRPr="00C33834" w14:paraId="7D80AA9A" w14:textId="77777777">
        <w:tc>
          <w:tcPr>
            <w:tcW w:w="5605" w:type="dxa"/>
          </w:tcPr>
          <w:p w14:paraId="6EDE675B"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максимальная, км/ч:</w:t>
            </w:r>
          </w:p>
        </w:tc>
        <w:tc>
          <w:tcPr>
            <w:tcW w:w="5605" w:type="dxa"/>
          </w:tcPr>
          <w:p w14:paraId="65300019"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60C47CD" w14:textId="77777777">
        <w:tc>
          <w:tcPr>
            <w:tcW w:w="5605" w:type="dxa"/>
          </w:tcPr>
          <w:p w14:paraId="4C1DC8E3"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 земли</w:t>
            </w:r>
          </w:p>
        </w:tc>
        <w:tc>
          <w:tcPr>
            <w:tcW w:w="5605" w:type="dxa"/>
          </w:tcPr>
          <w:p w14:paraId="2DB07885"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368</w:t>
            </w:r>
          </w:p>
        </w:tc>
      </w:tr>
      <w:tr w:rsidR="00F26F01" w:rsidRPr="00C33834" w14:paraId="70A08A7B" w14:textId="77777777">
        <w:tc>
          <w:tcPr>
            <w:tcW w:w="5605" w:type="dxa"/>
          </w:tcPr>
          <w:p w14:paraId="002B7A3D"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высоте 3000 м</w:t>
            </w:r>
          </w:p>
        </w:tc>
        <w:tc>
          <w:tcPr>
            <w:tcW w:w="5605" w:type="dxa"/>
          </w:tcPr>
          <w:p w14:paraId="1EFD25D1"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410</w:t>
            </w:r>
          </w:p>
        </w:tc>
      </w:tr>
      <w:tr w:rsidR="00F26F01" w:rsidRPr="00C33834" w14:paraId="796E24B3" w14:textId="77777777">
        <w:tc>
          <w:tcPr>
            <w:tcW w:w="5605" w:type="dxa"/>
          </w:tcPr>
          <w:p w14:paraId="59ED8AD1"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высоте 5000 м</w:t>
            </w:r>
          </w:p>
        </w:tc>
        <w:tc>
          <w:tcPr>
            <w:tcW w:w="5605" w:type="dxa"/>
          </w:tcPr>
          <w:p w14:paraId="08F350C4"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389</w:t>
            </w:r>
          </w:p>
        </w:tc>
      </w:tr>
      <w:tr w:rsidR="00F26F01" w:rsidRPr="00C33834" w14:paraId="56E52E58" w14:textId="77777777">
        <w:tc>
          <w:tcPr>
            <w:tcW w:w="5605" w:type="dxa"/>
          </w:tcPr>
          <w:p w14:paraId="1182DB65"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посадочная, км/ч:</w:t>
            </w:r>
          </w:p>
        </w:tc>
        <w:tc>
          <w:tcPr>
            <w:tcW w:w="5605" w:type="dxa"/>
          </w:tcPr>
          <w:p w14:paraId="6427689D"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1F8E6C7" w14:textId="77777777">
        <w:tc>
          <w:tcPr>
            <w:tcW w:w="5605" w:type="dxa"/>
          </w:tcPr>
          <w:p w14:paraId="312FC19B"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без щитков</w:t>
            </w:r>
          </w:p>
        </w:tc>
        <w:tc>
          <w:tcPr>
            <w:tcW w:w="5605" w:type="dxa"/>
          </w:tcPr>
          <w:p w14:paraId="102336C5"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114</w:t>
            </w:r>
          </w:p>
        </w:tc>
      </w:tr>
      <w:tr w:rsidR="00F26F01" w:rsidRPr="00C33834" w14:paraId="2EB4D166" w14:textId="77777777">
        <w:tc>
          <w:tcPr>
            <w:tcW w:w="5605" w:type="dxa"/>
          </w:tcPr>
          <w:p w14:paraId="34BA3783"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 щитками</w:t>
            </w:r>
          </w:p>
        </w:tc>
        <w:tc>
          <w:tcPr>
            <w:tcW w:w="5605" w:type="dxa"/>
          </w:tcPr>
          <w:p w14:paraId="66F0608C"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97</w:t>
            </w:r>
          </w:p>
        </w:tc>
      </w:tr>
      <w:tr w:rsidR="00F26F01" w:rsidRPr="00C33834" w14:paraId="2F9598C2" w14:textId="77777777">
        <w:tc>
          <w:tcPr>
            <w:tcW w:w="5605" w:type="dxa"/>
          </w:tcPr>
          <w:p w14:paraId="69D1F72A"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набора высоты 5000 м, мин</w:t>
            </w:r>
          </w:p>
        </w:tc>
        <w:tc>
          <w:tcPr>
            <w:tcW w:w="5605" w:type="dxa"/>
          </w:tcPr>
          <w:p w14:paraId="3704008B"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w:t>
            </w:r>
          </w:p>
        </w:tc>
      </w:tr>
      <w:tr w:rsidR="00F26F01" w:rsidRPr="00C33834" w14:paraId="375498E2" w14:textId="77777777">
        <w:tc>
          <w:tcPr>
            <w:tcW w:w="5605" w:type="dxa"/>
          </w:tcPr>
          <w:p w14:paraId="1912102A"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 практический, м</w:t>
            </w:r>
          </w:p>
        </w:tc>
        <w:tc>
          <w:tcPr>
            <w:tcW w:w="5605" w:type="dxa"/>
          </w:tcPr>
          <w:p w14:paraId="6502CBE2"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7700</w:t>
            </w:r>
          </w:p>
        </w:tc>
      </w:tr>
      <w:tr w:rsidR="00F26F01" w:rsidRPr="00C33834" w14:paraId="126CC22A" w14:textId="77777777">
        <w:tc>
          <w:tcPr>
            <w:tcW w:w="5605" w:type="dxa"/>
          </w:tcPr>
          <w:p w14:paraId="4379F2A3"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пробега, м (продолжительность, с)</w:t>
            </w:r>
          </w:p>
        </w:tc>
        <w:tc>
          <w:tcPr>
            <w:tcW w:w="5605" w:type="dxa"/>
          </w:tcPr>
          <w:p w14:paraId="385E3D91"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 (11,0)</w:t>
            </w:r>
          </w:p>
        </w:tc>
      </w:tr>
      <w:tr w:rsidR="00F26F01" w:rsidRPr="00C33834" w14:paraId="56A37BD3" w14:textId="77777777">
        <w:tc>
          <w:tcPr>
            <w:tcW w:w="5605" w:type="dxa"/>
          </w:tcPr>
          <w:p w14:paraId="71617A9B"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полёта, км:</w:t>
            </w:r>
          </w:p>
        </w:tc>
        <w:tc>
          <w:tcPr>
            <w:tcW w:w="5605" w:type="dxa"/>
          </w:tcPr>
          <w:p w14:paraId="43A972BC"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A53A3EA" w14:textId="77777777">
        <w:tc>
          <w:tcPr>
            <w:tcW w:w="5605" w:type="dxa"/>
          </w:tcPr>
          <w:p w14:paraId="58D22C36"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нормальная</w:t>
            </w:r>
          </w:p>
        </w:tc>
        <w:tc>
          <w:tcPr>
            <w:tcW w:w="5605" w:type="dxa"/>
          </w:tcPr>
          <w:p w14:paraId="11F6F64D"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r>
      <w:tr w:rsidR="00F26F01" w:rsidRPr="00C33834" w14:paraId="13B983C3" w14:textId="77777777">
        <w:tc>
          <w:tcPr>
            <w:tcW w:w="5605" w:type="dxa"/>
            <w:tcBorders>
              <w:bottom w:val="single" w:sz="12" w:space="0" w:color="auto"/>
            </w:tcBorders>
          </w:tcPr>
          <w:p w14:paraId="05C42DD7"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w:t>
            </w:r>
          </w:p>
        </w:tc>
        <w:tc>
          <w:tcPr>
            <w:tcW w:w="5605" w:type="dxa"/>
            <w:tcBorders>
              <w:bottom w:val="single" w:sz="12" w:space="0" w:color="auto"/>
            </w:tcBorders>
          </w:tcPr>
          <w:p w14:paraId="521F3ED0"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r>
    </w:tbl>
    <w:p w14:paraId="4F008D48"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(12005).</w:t>
      </w:r>
    </w:p>
    <w:p w14:paraId="6338DAE5"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173277EF"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г. специальная комиссия осматривала И-4 № 1649 с установленными под верхними крыльями АПКЗбис. По внешнему виду пушки были признаны годными к стрельбе. Испытания проводились с различными по мощности зарядами, испытывалось не только орудие, но и влияние стрельбы на конструкцию самолета. Так, при использовании зарядов весом 425 г отмечалось разрушение обшивки фюзеляжа. Происходило так, что исходящие газы буквально «отсасывали» обшивку от конструкции самолета.</w:t>
      </w:r>
    </w:p>
    <w:p w14:paraId="062FBF27"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Летные испытания и воздушные стрельбы были продолжены на НИАПе. Летал летчик Сузи. 18 мая 1933 г. в 14 ч. 40 мин. местного времени при выполнении стрельбы в воздухе произошел разрыв ствола правой пушки на расстоянии 38 см от казенного среза. При осмотре после посадки на комендантском аэродроме выяснилось, что непосредственно за местом разрыва ствола к дульной части заклинен снаряд. Снаряд раздут, с отпечатками нарезов на его поверхности вблизи центрирующего утолщения. Вокруг заклинившего снаряда в стволе обнаружены остатки деревянного донышка (поддона) и нитроклетчатки от гильзы. В правом крыле обнаружена рваная дыра площадью около квадратного метра.</w:t>
      </w:r>
    </w:p>
    <w:p w14:paraId="70C4FEE7"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разрыва в ОКБ-1 началось изготовление двух новых пушек АПК-Збис. Первая из них была закончена к июню 1933 г., и летные испытания продолжились. Однако 17 июля 1933 г. руководители испытаний заявили, что пушка «боевым требованиям не удовлетворяет» и система будет использоваться как учебная, а планируемый заказ на 50 пушек АПК-Збис размещению не подлежит (12091).</w:t>
      </w:r>
    </w:p>
    <w:p w14:paraId="5073C58D"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046E7FC7"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г. специальная комиссия осмотрела И-4 № 1649 с двумя АП К-Збис, установленными под вер</w:t>
      </w:r>
      <w:r w:rsidRPr="00C33834">
        <w:rPr>
          <w:rFonts w:ascii="Times New Roman" w:hAnsi="Times New Roman"/>
          <w:color w:val="000000" w:themeColor="text1"/>
          <w:sz w:val="16"/>
          <w:szCs w:val="16"/>
        </w:rPr>
        <w:softHyphen/>
        <w:t>хним крылом. После проведения внешне</w:t>
      </w:r>
      <w:r w:rsidRPr="00C33834">
        <w:rPr>
          <w:rFonts w:ascii="Times New Roman" w:hAnsi="Times New Roman"/>
          <w:color w:val="000000" w:themeColor="text1"/>
          <w:sz w:val="16"/>
          <w:szCs w:val="16"/>
        </w:rPr>
        <w:softHyphen/>
        <w:t>го осмотра пушки были признаны годными к стрельбе. Наземные испытания проводи</w:t>
      </w:r>
      <w:r w:rsidRPr="00C33834">
        <w:rPr>
          <w:rFonts w:ascii="Times New Roman" w:hAnsi="Times New Roman"/>
          <w:color w:val="000000" w:themeColor="text1"/>
          <w:sz w:val="16"/>
          <w:szCs w:val="16"/>
        </w:rPr>
        <w:softHyphen/>
        <w:t>лись с зарядами различной мощности. При использовании зарядов массой 425 г отмеча</w:t>
      </w:r>
      <w:r w:rsidRPr="00C33834">
        <w:rPr>
          <w:rFonts w:ascii="Times New Roman" w:hAnsi="Times New Roman"/>
          <w:color w:val="000000" w:themeColor="text1"/>
          <w:sz w:val="16"/>
          <w:szCs w:val="16"/>
        </w:rPr>
        <w:softHyphen/>
        <w:t>лось разрушение обшивки фюзеляжа — исхо</w:t>
      </w:r>
      <w:r w:rsidRPr="00C33834">
        <w:rPr>
          <w:rFonts w:ascii="Times New Roman" w:hAnsi="Times New Roman"/>
          <w:color w:val="000000" w:themeColor="text1"/>
          <w:sz w:val="16"/>
          <w:szCs w:val="16"/>
        </w:rPr>
        <w:softHyphen/>
        <w:t>дящие газы буквально «отсасывали» гофри</w:t>
      </w:r>
      <w:r w:rsidRPr="00C33834">
        <w:rPr>
          <w:rFonts w:ascii="Times New Roman" w:hAnsi="Times New Roman"/>
          <w:color w:val="000000" w:themeColor="text1"/>
          <w:sz w:val="16"/>
          <w:szCs w:val="16"/>
        </w:rPr>
        <w:softHyphen/>
        <w:t>рованные листы от конструкции. Тем не ме</w:t>
      </w:r>
      <w:r w:rsidRPr="00C33834">
        <w:rPr>
          <w:rFonts w:ascii="Times New Roman" w:hAnsi="Times New Roman"/>
          <w:color w:val="000000" w:themeColor="text1"/>
          <w:sz w:val="16"/>
          <w:szCs w:val="16"/>
        </w:rPr>
        <w:softHyphen/>
        <w:t>нее, опыты продолжились.</w:t>
      </w:r>
    </w:p>
    <w:p w14:paraId="1E28A8B2"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практической истории И-4 имеются два знаковых эпизода, удачное завершение кото</w:t>
      </w:r>
      <w:r w:rsidRPr="00C33834">
        <w:rPr>
          <w:rFonts w:ascii="Times New Roman" w:hAnsi="Times New Roman"/>
          <w:color w:val="000000" w:themeColor="text1"/>
          <w:sz w:val="16"/>
          <w:szCs w:val="16"/>
        </w:rPr>
        <w:softHyphen/>
        <w:t>рых могло заметно повысить практическую ценность его как боевого самолета. Пер</w:t>
      </w:r>
      <w:r w:rsidRPr="00C33834">
        <w:rPr>
          <w:rFonts w:ascii="Times New Roman" w:hAnsi="Times New Roman"/>
          <w:color w:val="000000" w:themeColor="text1"/>
          <w:sz w:val="16"/>
          <w:szCs w:val="16"/>
        </w:rPr>
        <w:softHyphen/>
        <w:t>вый эпизод относился к попытке внедрения в практику ВВС безоткатных, так называе</w:t>
      </w:r>
      <w:r w:rsidRPr="00C33834">
        <w:rPr>
          <w:rFonts w:ascii="Times New Roman" w:hAnsi="Times New Roman"/>
          <w:color w:val="000000" w:themeColor="text1"/>
          <w:sz w:val="16"/>
          <w:szCs w:val="16"/>
        </w:rPr>
        <w:softHyphen/>
        <w:t>мых динамореактивных пушек (ДРП), инте</w:t>
      </w:r>
      <w:r w:rsidRPr="00C33834">
        <w:rPr>
          <w:rFonts w:ascii="Times New Roman" w:hAnsi="Times New Roman"/>
          <w:color w:val="000000" w:themeColor="text1"/>
          <w:sz w:val="16"/>
          <w:szCs w:val="16"/>
        </w:rPr>
        <w:softHyphen/>
        <w:t>рес к использованию которых отмечался как раз в начале 1930-х годов. Он был обусловлен осознаваемой необходимостью сушествен- ного усиления огневой мощи самолетов-ис- требителей, так как обычные пулеметы вин</w:t>
      </w:r>
      <w:r w:rsidRPr="00C33834">
        <w:rPr>
          <w:rFonts w:ascii="Times New Roman" w:hAnsi="Times New Roman"/>
          <w:color w:val="000000" w:themeColor="text1"/>
          <w:sz w:val="16"/>
          <w:szCs w:val="16"/>
        </w:rPr>
        <w:softHyphen/>
        <w:t>товочного калибра уже считались малоэф</w:t>
      </w:r>
      <w:r w:rsidRPr="00C33834">
        <w:rPr>
          <w:rFonts w:ascii="Times New Roman" w:hAnsi="Times New Roman"/>
          <w:color w:val="000000" w:themeColor="text1"/>
          <w:sz w:val="16"/>
          <w:szCs w:val="16"/>
        </w:rPr>
        <w:softHyphen/>
        <w:t>фективными в борьбе с тяжелыми цельно</w:t>
      </w:r>
      <w:r w:rsidRPr="00C33834">
        <w:rPr>
          <w:rFonts w:ascii="Times New Roman" w:hAnsi="Times New Roman"/>
          <w:color w:val="000000" w:themeColor="text1"/>
          <w:sz w:val="16"/>
          <w:szCs w:val="16"/>
        </w:rPr>
        <w:softHyphen/>
        <w:t>металлическими бомбардировщиками. Наи</w:t>
      </w:r>
      <w:r w:rsidRPr="00C33834">
        <w:rPr>
          <w:rFonts w:ascii="Times New Roman" w:hAnsi="Times New Roman"/>
          <w:color w:val="000000" w:themeColor="text1"/>
          <w:sz w:val="16"/>
          <w:szCs w:val="16"/>
        </w:rPr>
        <w:softHyphen/>
        <w:t>более мощными такими ДРП считались ору</w:t>
      </w:r>
      <w:r w:rsidRPr="00C33834">
        <w:rPr>
          <w:rFonts w:ascii="Times New Roman" w:hAnsi="Times New Roman"/>
          <w:color w:val="000000" w:themeColor="text1"/>
          <w:sz w:val="16"/>
          <w:szCs w:val="16"/>
        </w:rPr>
        <w:softHyphen/>
        <w:t>дия калибра 76-мм, однако для них требова</w:t>
      </w:r>
      <w:r w:rsidRPr="00C33834">
        <w:rPr>
          <w:rFonts w:ascii="Times New Roman" w:hAnsi="Times New Roman"/>
          <w:color w:val="000000" w:themeColor="text1"/>
          <w:sz w:val="16"/>
          <w:szCs w:val="16"/>
        </w:rPr>
        <w:softHyphen/>
        <w:t>лось создавать специальные самолеты. Од</w:t>
      </w:r>
      <w:r w:rsidRPr="00C33834">
        <w:rPr>
          <w:rFonts w:ascii="Times New Roman" w:hAnsi="Times New Roman"/>
          <w:color w:val="000000" w:themeColor="text1"/>
          <w:sz w:val="16"/>
          <w:szCs w:val="16"/>
        </w:rPr>
        <w:softHyphen/>
        <w:t>новременно, состоящий на вооружении ВВС И-4 являлся единственным советским цель</w:t>
      </w:r>
      <w:r w:rsidRPr="00C33834">
        <w:rPr>
          <w:rFonts w:ascii="Times New Roman" w:hAnsi="Times New Roman"/>
          <w:color w:val="000000" w:themeColor="text1"/>
          <w:sz w:val="16"/>
          <w:szCs w:val="16"/>
        </w:rPr>
        <w:softHyphen/>
        <w:t>нометаллическим истребителем, считался наиболее прочным по сравнению с самоле</w:t>
      </w:r>
      <w:r w:rsidRPr="00C33834">
        <w:rPr>
          <w:rFonts w:ascii="Times New Roman" w:hAnsi="Times New Roman"/>
          <w:color w:val="000000" w:themeColor="text1"/>
          <w:sz w:val="16"/>
          <w:szCs w:val="16"/>
        </w:rPr>
        <w:softHyphen/>
        <w:t>тами смешанной конструкции, поэтому бо</w:t>
      </w:r>
      <w:r w:rsidRPr="00C33834">
        <w:rPr>
          <w:rFonts w:ascii="Times New Roman" w:hAnsi="Times New Roman"/>
          <w:color w:val="000000" w:themeColor="text1"/>
          <w:sz w:val="16"/>
          <w:szCs w:val="16"/>
        </w:rPr>
        <w:softHyphen/>
        <w:t>лее подходил для оснащения ДРП. Меж</w:t>
      </w:r>
      <w:r w:rsidRPr="00C33834">
        <w:rPr>
          <w:rFonts w:ascii="Times New Roman" w:hAnsi="Times New Roman"/>
          <w:color w:val="000000" w:themeColor="text1"/>
          <w:sz w:val="16"/>
          <w:szCs w:val="16"/>
        </w:rPr>
        <w:softHyphen/>
        <w:t>ду тем 76-миллиметровые АПК-4 конструк</w:t>
      </w:r>
      <w:r w:rsidRPr="00C33834">
        <w:rPr>
          <w:rFonts w:ascii="Times New Roman" w:hAnsi="Times New Roman"/>
          <w:color w:val="000000" w:themeColor="text1"/>
          <w:sz w:val="16"/>
          <w:szCs w:val="16"/>
        </w:rPr>
        <w:softHyphen/>
        <w:t>ции Курчевского были для И-4 слишком ве</w:t>
      </w:r>
      <w:r w:rsidRPr="00C33834">
        <w:rPr>
          <w:rFonts w:ascii="Times New Roman" w:hAnsi="Times New Roman"/>
          <w:color w:val="000000" w:themeColor="text1"/>
          <w:sz w:val="16"/>
          <w:szCs w:val="16"/>
        </w:rPr>
        <w:softHyphen/>
        <w:t>лики. Поэтому спроектировали и построили уменьшенную систему калибра 65 мм, полу</w:t>
      </w:r>
      <w:r w:rsidRPr="00C33834">
        <w:rPr>
          <w:rFonts w:ascii="Times New Roman" w:hAnsi="Times New Roman"/>
          <w:color w:val="000000" w:themeColor="text1"/>
          <w:sz w:val="16"/>
          <w:szCs w:val="16"/>
        </w:rPr>
        <w:softHyphen/>
        <w:t>чившую обозначение АП К-3 бис. Расчет был прост — в случае удачи появлялась возмож</w:t>
      </w:r>
      <w:r w:rsidRPr="00C33834">
        <w:rPr>
          <w:rFonts w:ascii="Times New Roman" w:hAnsi="Times New Roman"/>
          <w:color w:val="000000" w:themeColor="text1"/>
          <w:sz w:val="16"/>
          <w:szCs w:val="16"/>
        </w:rPr>
        <w:softHyphen/>
        <w:t>ность перевооружить этими пушками все строевые И-4. Об этом говорилось на сове</w:t>
      </w:r>
      <w:r w:rsidRPr="00C33834">
        <w:rPr>
          <w:rFonts w:ascii="Times New Roman" w:hAnsi="Times New Roman"/>
          <w:color w:val="000000" w:themeColor="text1"/>
          <w:sz w:val="16"/>
          <w:szCs w:val="16"/>
        </w:rPr>
        <w:softHyphen/>
        <w:t>щании, которое проводил начальник ВВС РККА Я.И.Алкснис: «Ускорить работу по установке пушек калибра 65 мм на И-4. Если получим удовлетворительные результаты, то нужно в кратчайший срок вооружить имею</w:t>
      </w:r>
      <w:r w:rsidRPr="00C33834">
        <w:rPr>
          <w:rFonts w:ascii="Times New Roman" w:hAnsi="Times New Roman"/>
          <w:color w:val="000000" w:themeColor="text1"/>
          <w:sz w:val="16"/>
          <w:szCs w:val="16"/>
        </w:rPr>
        <w:softHyphen/>
        <w:t>щиеся самолеты И-4 этими пушками. ...Кур- чевскому доработать АПК-3, чтобы в апре</w:t>
      </w:r>
      <w:r w:rsidRPr="00C33834">
        <w:rPr>
          <w:rFonts w:ascii="Times New Roman" w:hAnsi="Times New Roman"/>
          <w:color w:val="000000" w:themeColor="text1"/>
          <w:sz w:val="16"/>
          <w:szCs w:val="16"/>
        </w:rPr>
        <w:softHyphen/>
        <w:t>ле-мае 1933 года провести госиспытания. ...ЦАГИ установить пушки на самолет И-4 и предъявить в НИИ ВВС».</w:t>
      </w:r>
    </w:p>
    <w:p w14:paraId="18DC7F5F"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Летные испытания и воздушные стрель</w:t>
      </w:r>
      <w:r w:rsidRPr="00C33834">
        <w:rPr>
          <w:rFonts w:ascii="Times New Roman" w:hAnsi="Times New Roman"/>
          <w:color w:val="000000" w:themeColor="text1"/>
          <w:sz w:val="16"/>
          <w:szCs w:val="16"/>
        </w:rPr>
        <w:softHyphen/>
        <w:t>бы проходили в Ленинграде. Пушечным И-4 №1649 управлял летчик-испытатель Томас Павлович Сузи. 18 мая 1933 года в 14 ч 40 мин выстрел в воздухе привел к разрыву ствола правой пушки, и образованию в крыле рва</w:t>
      </w:r>
      <w:r w:rsidRPr="00C33834">
        <w:rPr>
          <w:rFonts w:ascii="Times New Roman" w:hAnsi="Times New Roman"/>
          <w:color w:val="000000" w:themeColor="text1"/>
          <w:sz w:val="16"/>
          <w:szCs w:val="16"/>
        </w:rPr>
        <w:softHyphen/>
        <w:t>ной дыры площадью более полуметра. Пи</w:t>
      </w:r>
      <w:r w:rsidRPr="00C33834">
        <w:rPr>
          <w:rFonts w:ascii="Times New Roman" w:hAnsi="Times New Roman"/>
          <w:color w:val="000000" w:themeColor="text1"/>
          <w:sz w:val="16"/>
          <w:szCs w:val="16"/>
        </w:rPr>
        <w:softHyphen/>
        <w:t>лоту удалось посадить поврежденный истре</w:t>
      </w:r>
      <w:r w:rsidRPr="00C33834">
        <w:rPr>
          <w:rFonts w:ascii="Times New Roman" w:hAnsi="Times New Roman"/>
          <w:color w:val="000000" w:themeColor="text1"/>
          <w:sz w:val="16"/>
          <w:szCs w:val="16"/>
        </w:rPr>
        <w:softHyphen/>
        <w:t>битель на Комендантский аэродром, что подтвердило высокую живучесть многолон- жеронного крыла этого самолета. Хотя ис</w:t>
      </w:r>
      <w:r w:rsidRPr="00C33834">
        <w:rPr>
          <w:rFonts w:ascii="Times New Roman" w:hAnsi="Times New Roman"/>
          <w:color w:val="000000" w:themeColor="text1"/>
          <w:sz w:val="16"/>
          <w:szCs w:val="16"/>
        </w:rPr>
        <w:softHyphen/>
        <w:t>пытания И-4 с АП К-Збис продолжились, однако вопрос о массовом перевооружении ис</w:t>
      </w:r>
      <w:r w:rsidRPr="00C33834">
        <w:rPr>
          <w:rFonts w:ascii="Times New Roman" w:hAnsi="Times New Roman"/>
          <w:color w:val="000000" w:themeColor="text1"/>
          <w:sz w:val="16"/>
          <w:szCs w:val="16"/>
        </w:rPr>
        <w:softHyphen/>
        <w:t>требителя более не поднимется. Известно, что позднее Курчевский предлагал для воо</w:t>
      </w:r>
      <w:r w:rsidRPr="00C33834">
        <w:rPr>
          <w:rFonts w:ascii="Times New Roman" w:hAnsi="Times New Roman"/>
          <w:color w:val="000000" w:themeColor="text1"/>
          <w:sz w:val="16"/>
          <w:szCs w:val="16"/>
        </w:rPr>
        <w:softHyphen/>
        <w:t>ружения И-4 гладкоствольную АПК калибра 67 мм, стреляющую картечью. Интереса это его предложение уже не вызвало (12295).</w:t>
      </w:r>
    </w:p>
    <w:p w14:paraId="5E0F16A8" w14:textId="77777777" w:rsidR="0058354C" w:rsidRPr="00C33834" w:rsidRDefault="0058354C" w:rsidP="00C33834">
      <w:pPr>
        <w:spacing w:after="0" w:line="240" w:lineRule="auto"/>
        <w:jc w:val="both"/>
        <w:rPr>
          <w:rFonts w:ascii="Times New Roman" w:hAnsi="Times New Roman"/>
          <w:color w:val="000000" w:themeColor="text1"/>
          <w:sz w:val="16"/>
          <w:szCs w:val="16"/>
        </w:rPr>
      </w:pPr>
    </w:p>
    <w:p w14:paraId="03E51F40"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Зам. наркома, нач. вооружений М.Н.Т. отмечал "Следовало бы пересмотреть конструкцию Р-5 в сторону введения в него новейших аэродинамических достижений, осуществления убирающегося шасси..." (1805,9).</w:t>
      </w:r>
    </w:p>
    <w:p w14:paraId="07EC832A"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17709C7B"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был утвержден Отчет по испытанию вооруженного самолета У-2 № 3115 (эталон на 1933 год), мотор М-11 (6645).</w:t>
      </w:r>
    </w:p>
    <w:p w14:paraId="562FD354"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03CB23A6"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Инженер ведущий самолет – Мируц</w:t>
      </w:r>
    </w:p>
    <w:p w14:paraId="23233A86"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Летчики: Петров, Долгов</w:t>
      </w:r>
    </w:p>
    <w:p w14:paraId="1988E865"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344829A2" w14:textId="77777777" w:rsidR="006E56A1" w:rsidRPr="00C33834" w:rsidRDefault="006E56A1"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Выявить возможность использования самолета № 3115 в качестве образца (эталона) для серийной постройки.</w:t>
      </w:r>
    </w:p>
    <w:p w14:paraId="4F71F581" w14:textId="77777777" w:rsidR="006E56A1" w:rsidRPr="00C33834" w:rsidRDefault="006E56A1"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Определить летные данные вооруженного самолета У2-М11.</w:t>
      </w:r>
    </w:p>
    <w:p w14:paraId="61E444E8"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0D345977" w14:textId="77777777" w:rsidR="006E56A1" w:rsidRPr="00C33834" w:rsidRDefault="006E56A1"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 3115 после устранения дефектов может быть использован в качестве эталона вооруженного варианта У2 для вооружения самолетов У2 силами авиачастей.</w:t>
      </w:r>
    </w:p>
    <w:p w14:paraId="2C58F443"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серийной постройки, ввиду наличия в турельной установке ряда дефектов (малая сфера обстрела, недостаточная устойчивость) требующих проектирования совершенно новой установки – представленный самолет эталоном служить не может.</w:t>
      </w:r>
    </w:p>
    <w:p w14:paraId="6B9F737F"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начато 17 апреля 1933 года</w:t>
      </w:r>
    </w:p>
    <w:p w14:paraId="5F1EC213"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закончено 23 апреля 1933 года</w:t>
      </w:r>
    </w:p>
    <w:p w14:paraId="3A084552"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Летные испытания – 6 дней (6645).</w:t>
      </w:r>
    </w:p>
    <w:p w14:paraId="6A581C46" w14:textId="77777777" w:rsidR="006E56A1" w:rsidRPr="00C33834" w:rsidRDefault="006E56A1"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41A031"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г. Начальник ЦКБ ЦАГИ С.Н.Ильюшин докладывает в ГУАП о бесхвостках:</w:t>
      </w:r>
    </w:p>
    <w:p w14:paraId="5DAB4DD1"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 подобной схемы на опыте не проверены. Подобного рода поперечное управление (элероны, вынесенные поверх крыла) имеется на американском самолете «Нортроп-Гама», сделанное в комбинации с закрылками типа «Цапа». Каких-либо сведений об управляемости этого самолета нет (7570,2).</w:t>
      </w:r>
    </w:p>
    <w:p w14:paraId="0FD538D9"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Продувки, произведенные в ЦАГИ при аэродинамических исследованиях, показывают очень низкую эффективность конструкции подобных элеронов. По аналогии с указанными продувками можно ожидать ухудшения эффективности горизонтального оперения, расположенного под обрезом задней кромки (7570,2).</w:t>
      </w:r>
    </w:p>
    <w:p w14:paraId="01F2A238"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ЦКБ считает, что самолет подобной конструкции является сугубо экспериментальным, и поэтому сразу строить самолет большого тоннажа (4-5 т) нецелесообразно. Необходимо провести продувки в аэродинамической трубе, и в случае благоприятных результатов построить самолет с мотором в 75-100 л.с. для опытной проверки» (7570,2).</w:t>
      </w:r>
    </w:p>
    <w:p w14:paraId="5445F976"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1B8009C6"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началось проектирование МДР-4 3М-34РН и было закончено 15 ноября 1933 (2287,128).</w:t>
      </w:r>
    </w:p>
    <w:p w14:paraId="1A03BC9C"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1C6771AF"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года были закончены испытания самолета с гребными воздушными колесами инженера ВВС Попова, причем результаты вполне совпали с результатами первых испытаний весной 1932. Так как средств и людей на разработку проекта самолета не хватало, Попов приступил к проектированию универсальной модели, позволяющей испытание различных гребных колес. Кроме того спроектировали специальные аэродинамические весы для испытания гребных колес в трубе Т-1 аэродинамической лаборатории ВВА.</w:t>
      </w:r>
    </w:p>
    <w:p w14:paraId="47810537"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3BB1E320"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Были исследованы все детали вопроса и мы вплотную подошли к созданию проекта самолета с вращающимися крыльями, способного вертикально взлетать и спускаться, висеть в воздухе и передвигаться со скоростями современных самолетов………….(4015,3-10).</w:t>
      </w:r>
    </w:p>
    <w:p w14:paraId="32631BCA"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1F2DF412"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опытная серия М-34Р, которая была изготовлена июле 1932 на заводе № 24, прошла госиспытания, с конца 1933 М-34Р выпускались в серии и с апреля 1934 стали ставиться на ТБ-3 (9086).</w:t>
      </w:r>
    </w:p>
    <w:p w14:paraId="40F9084B"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2CBFF01A"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был построен и поставлен на заводские испытания упрощенный нагнетатель с высотностью 3500 м для М-34 (2281,66).</w:t>
      </w:r>
    </w:p>
    <w:p w14:paraId="5A6ADA87"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504E5904"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года ГУАП и завод № 24 еще получили все необходимые данные (образцы, чертежи и спецификации) для организации производства редуктора к мотору М-34, при чем РВС Союза еще 17 июля 1933 года подтвердил Наркомтяжпрому, что с 1 января 1934 года не будет принимать ни одного М-34 без редуктора для тяжелых самолетов (4267,15-17).</w:t>
      </w:r>
    </w:p>
    <w:p w14:paraId="68B9BE79"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38CD27DC"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прошел гос. испытания М-34Р и в конце года его запустили в серию также на 24 заводе, где ГК был В.А.Добрынин, а с 1936 - сам А.А.М. (80,74).</w:t>
      </w:r>
    </w:p>
    <w:p w14:paraId="317EFF16"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700CB280"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М-34Р прошел государственные испытания, а с конца года выпускалась серийно, но только в апреле 1934 г. из цехов начали выходить первые, вполне годные моторы (7668).</w:t>
      </w:r>
    </w:p>
    <w:p w14:paraId="3228CB97"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621739B1"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года соглашение с фирмой «Райт» в США, подписанное 22 апреля 1933 делегацией во главе с И.И. Побережским, в которую входили также А.Д. Швецов и Н.П. Базилев, было подтверждено специальным решением советского правительства. Впоследствии вышло еще несколь</w:t>
      </w:r>
      <w:r w:rsidRPr="00C33834">
        <w:rPr>
          <w:rFonts w:ascii="Times New Roman" w:hAnsi="Times New Roman"/>
          <w:color w:val="000000" w:themeColor="text1"/>
          <w:sz w:val="16"/>
          <w:szCs w:val="16"/>
        </w:rPr>
        <w:softHyphen/>
        <w:t xml:space="preserve">ко постановлений Комитета обороны и Совета труда и обороны СССР, </w:t>
      </w:r>
      <w:r w:rsidRPr="00C33834">
        <w:rPr>
          <w:rFonts w:ascii="Times New Roman" w:hAnsi="Times New Roman"/>
          <w:smallCaps/>
          <w:color w:val="000000" w:themeColor="text1"/>
          <w:sz w:val="16"/>
          <w:szCs w:val="16"/>
        </w:rPr>
        <w:t xml:space="preserve">уточнявших </w:t>
      </w:r>
      <w:r w:rsidRPr="00C33834">
        <w:rPr>
          <w:rFonts w:ascii="Times New Roman" w:hAnsi="Times New Roman"/>
          <w:color w:val="000000" w:themeColor="text1"/>
          <w:sz w:val="16"/>
          <w:szCs w:val="16"/>
        </w:rPr>
        <w:t>количество закупавшихся в США двигателей дюймового и метрического стандартов, комплектов деталей и наиболее важных узлов. В частности, постановление Совета труда и обороны от 28 ноября 1933 г. говорило о 150 готовых моторах, 100 комплектах деталей и приобретении наиболее сложных в изготовлении деталей еще на 100 двигателей — все на общую сумму 4 350 000 рублей. В конце декабря 1933 г. первый «Циклон» отправили в СССР. Примерно в это же время конструкторы фирмы «Райт» подготовили чертежи метрического варианта мотора, построили опытный образец и в январе 1934 г. поставили его на стенд. В апреле он завершил 100-часовые испытания в США. Для освоения производства американских моторов выделили новый за</w:t>
      </w:r>
      <w:r w:rsidRPr="00C33834">
        <w:rPr>
          <w:rFonts w:ascii="Times New Roman" w:hAnsi="Times New Roman"/>
          <w:color w:val="000000" w:themeColor="text1"/>
          <w:sz w:val="16"/>
          <w:szCs w:val="16"/>
        </w:rPr>
        <w:softHyphen/>
        <w:t>вод № 19 в Перми. Постановление Совета труда и обороны от 15 декабря 1933 г. предписывало ему к концу 1934 г. собрать первые 50 моторов из покупных деталей. Но «Циклон» уже не являлся новинкой. Осознавая это, Совет труда и обороны в марте 1934 г. распорядился организовать на заводе конструкторский отдел, который занялся бы совершенствованием американского двигателя в отношении мощности, высотности, надежности и уменьшения расхода горючего и масла. Главным конструктором завода № 19 назначили А.Д. Швецова (11852).</w:t>
      </w:r>
    </w:p>
    <w:p w14:paraId="300D3356"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057743A3" w14:textId="77777777" w:rsidR="006E56A1" w:rsidRPr="00C33834" w:rsidRDefault="006E56A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г. приняли принципиальное решение о приобретении подходящих двигателей за рубежом. Среди отобранных советскими специалистами конструкций оказался французский 12-цилиндровый У-образный двигатель водяного охлаждения Испано-Сюиза 12У. Это был по тому времени вполне современный мотор — мощный, легкий, снабженный редуктором и ПЦН. Номинальная мощность его со</w:t>
      </w:r>
      <w:r w:rsidRPr="00C33834">
        <w:rPr>
          <w:rFonts w:ascii="Times New Roman" w:hAnsi="Times New Roman"/>
          <w:color w:val="000000" w:themeColor="text1"/>
          <w:sz w:val="16"/>
          <w:szCs w:val="16"/>
        </w:rPr>
        <w:softHyphen/>
        <w:t>ставляла 750 л.с., а максимальная — 850 л.с. при сухом весе 438 кг. Он выпускался в ряде модификаций, включая специальную модель для истре</w:t>
      </w:r>
      <w:r w:rsidRPr="00C33834">
        <w:rPr>
          <w:rFonts w:ascii="Times New Roman" w:hAnsi="Times New Roman"/>
          <w:color w:val="000000" w:themeColor="text1"/>
          <w:sz w:val="16"/>
          <w:szCs w:val="16"/>
        </w:rPr>
        <w:softHyphen/>
        <w:t>бителей 12Усг§, предусматривавшую крепление пушки в развале блоков цилиндров. Пушка при этом стреляла через полый вал редуктора. Выбор французской компании определялся как политическими причина</w:t>
      </w:r>
      <w:r w:rsidRPr="00C33834">
        <w:rPr>
          <w:rFonts w:ascii="Times New Roman" w:hAnsi="Times New Roman"/>
          <w:color w:val="000000" w:themeColor="text1"/>
          <w:sz w:val="16"/>
          <w:szCs w:val="16"/>
        </w:rPr>
        <w:softHyphen/>
        <w:t>ми (в этот период отношения между Францией и СССР существенно улуч</w:t>
      </w:r>
      <w:r w:rsidRPr="00C33834">
        <w:rPr>
          <w:rFonts w:ascii="Times New Roman" w:hAnsi="Times New Roman"/>
          <w:color w:val="000000" w:themeColor="text1"/>
          <w:sz w:val="16"/>
          <w:szCs w:val="16"/>
        </w:rPr>
        <w:softHyphen/>
        <w:t>шились), так и техническими: считалось, что французские двигатели по применяемой технологии и материалам ближе к возможностям советской промышленности, чем, скажем, английские. Кроме этого, не возникало не</w:t>
      </w:r>
      <w:r w:rsidRPr="00C33834">
        <w:rPr>
          <w:rFonts w:ascii="Times New Roman" w:hAnsi="Times New Roman"/>
          <w:color w:val="000000" w:themeColor="text1"/>
          <w:sz w:val="16"/>
          <w:szCs w:val="16"/>
        </w:rPr>
        <w:softHyphen/>
        <w:t>обходимости пересчитывать дюймовые размеры в метрические (11852).</w:t>
      </w:r>
    </w:p>
    <w:p w14:paraId="4B6A6C14" w14:textId="77777777" w:rsidR="006E56A1" w:rsidRPr="00C33834" w:rsidRDefault="006E56A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C10705"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Г.К.Орджоникидзе посетил ЦАГИ и ознакомился с исследованиями в области создания новых типов военных самолетов (149,32).</w:t>
      </w:r>
    </w:p>
    <w:p w14:paraId="243716CC"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70724AA0"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г. Авиазавод ГРОСС был переименован в ХАЗОСС (Харьковский завод опытного самолетостроения) и передан в подчинение вновь образованного ВАО. 21.05.1932 г. ХАЗОСС объединён с серийным ХАЗом в единый опытный ХАЗ, директором/ гл. конструктором которого стал К.А. Калинин.</w:t>
      </w:r>
    </w:p>
    <w:p w14:paraId="6BA5D701"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07.1934 г. ОКБ Калинина переведено в Воронеж на завод № 18.</w:t>
      </w:r>
    </w:p>
    <w:p w14:paraId="54363D5E"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1926-35 г. в КБ работал А.Я. Щербаков, возглавивший затем ОСК на заводе № 1.</w:t>
      </w:r>
    </w:p>
    <w:p w14:paraId="3FDD30AA"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1934-35 г. спроектированы истребители И-</w:t>
      </w:r>
      <w:r w:rsidRPr="00C33834">
        <w:rPr>
          <w:rFonts w:ascii="Times New Roman" w:hAnsi="Times New Roman"/>
          <w:color w:val="000000" w:themeColor="text1"/>
          <w:sz w:val="16"/>
          <w:szCs w:val="16"/>
          <w:lang w:val="en-US"/>
        </w:rPr>
        <w:t>Z</w:t>
      </w:r>
      <w:r w:rsidRPr="00C33834">
        <w:rPr>
          <w:rFonts w:ascii="Times New Roman" w:hAnsi="Times New Roman"/>
          <w:color w:val="000000" w:themeColor="text1"/>
          <w:sz w:val="16"/>
          <w:szCs w:val="16"/>
        </w:rPr>
        <w:t xml:space="preserve"> и ИП-1. В 06.1936 г. - проект ИП-2, в 09.1936 г. - ИП-3 (не были построены). В 1936-38 г. И. Г. Неманом разработан ХАИ-5 (Р-Ю). В 1938 г. - работы по достройке и испытаниям ХАИ-51 и ХАИ-52, в 1939 г. прекращены в связи с началом освоения Су-2.</w:t>
      </w:r>
    </w:p>
    <w:p w14:paraId="23A0CAB8"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(16.10.1929-21.05.32 г.)- К.А. Калинин.</w:t>
      </w:r>
    </w:p>
    <w:p w14:paraId="6A8DA9F7"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конструктор (12.12.1926-07.1934 г.)- К.А. Калинин, (1934-35 г.)- Д.П. Григорович {6.02.1883-26.07.1938}, (1936-11.12.1938 г.)- И. Г. Неман (репрессирован) {26.02.1903-52}, (12.1938 г.)- А.А. Дубровин (отказался от должности и уехал в Москву).</w:t>
      </w:r>
    </w:p>
    <w:p w14:paraId="57BE609D"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гл. конструктора (1933 г.)- А.Т. Руденко.</w:t>
      </w:r>
    </w:p>
    <w:p w14:paraId="3D8D58DA"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Создано: самолеты: К-1 (26.07.1925 г.), пассажирские К-2 (12.05.1927 г.), К-3, К-4, К-5 (18.10.1929 г.), К-6, бомбардировщик К-7 (21.08.1933 г.), К-9, К-10, К-12, К-13, К-14, разведчик ХАИ-5 (Р-10) (11982).</w:t>
      </w:r>
    </w:p>
    <w:p w14:paraId="729679A9"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11C639C4"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Л.В.Курчевский стал Нач. ОКБ ГАУ и полностью занял завод 8 в Подлипках и еще и получил завод 38 - через ж/д (2693,17).</w:t>
      </w:r>
    </w:p>
    <w:p w14:paraId="7CA2C0EF"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0AD07B87"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реорганизовали авиацию ЧМ и все Дорнье Валь сосредоточились в 123 эскадрилье (2543,13).</w:t>
      </w:r>
    </w:p>
    <w:p w14:paraId="7B1F9054"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04F0DFC1"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мае 1933 были произведены организационно-штатные преобразования в морской авиации и переименования (1085,105).</w:t>
      </w:r>
    </w:p>
    <w:p w14:paraId="27C49EB2"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3D08D341"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в Москве в Парке Горького установили первую в СССР парашютную вышку (271,1340).</w:t>
      </w:r>
    </w:p>
    <w:p w14:paraId="169D2E1F"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26FF1602"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года по постановлению правительства Красносельская мебельная фабрика № 1 была переоборудована для изготовления деревянных самолетных винтов, что по объему производства заняло 2-ой корпус фабрики.</w:t>
      </w:r>
    </w:p>
    <w:p w14:paraId="22FC0DCA"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1935 года фабрика № 1 была по постановлению Экономсовета переименована в завод № 161. В июле 1940 года завод № 161 на основании Постановления Правительства от 5 июля 1940 года № 1169-456с из системы Наркомлеса был передан в систему НКАП для производства авиасвечей и магнето.</w:t>
      </w:r>
    </w:p>
    <w:p w14:paraId="3AA9C7AA"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оборудование и приспособления для деревообработки были сняты. Завод подвергся полной реконструкции и 23 сентября 1940 года был пущен один цех № 6 (штамповочный) для выпуска новой продукции (9286).</w:t>
      </w:r>
    </w:p>
    <w:p w14:paraId="1E5D90F6"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068EFCCC" w14:textId="77777777" w:rsidR="00323684" w:rsidRPr="00C33834" w:rsidRDefault="00323684" w:rsidP="00C33834">
      <w:pPr>
        <w:pStyle w:val="ae"/>
        <w:shd w:val="clear" w:color="auto" w:fill="FFFFFF"/>
        <w:spacing w:before="0" w:after="0"/>
        <w:jc w:val="both"/>
        <w:rPr>
          <w:color w:val="000000" w:themeColor="text1"/>
          <w:sz w:val="16"/>
          <w:szCs w:val="16"/>
        </w:rPr>
      </w:pPr>
      <w:r w:rsidRPr="00C33834">
        <w:rPr>
          <w:color w:val="000000" w:themeColor="text1"/>
          <w:sz w:val="16"/>
          <w:szCs w:val="16"/>
        </w:rPr>
        <w:t>В мае 1933 года закончили изготовление оболочки. Объем оболочки стратостата «СССР-1» составил 24340 м3 (обычно это значение округляли и писали 25000 м3), при подъеме на расчетную высоту оболочка расширялась и принимала форму шара диаметром 36 м.</w:t>
      </w:r>
    </w:p>
    <w:p w14:paraId="3684BFE7" w14:textId="77777777" w:rsidR="00323684" w:rsidRPr="00C33834" w:rsidRDefault="00323684" w:rsidP="00C33834">
      <w:pPr>
        <w:pStyle w:val="ae"/>
        <w:shd w:val="clear" w:color="auto" w:fill="FFFFFF"/>
        <w:spacing w:before="0" w:after="0"/>
        <w:jc w:val="both"/>
        <w:rPr>
          <w:color w:val="000000" w:themeColor="text1"/>
          <w:sz w:val="16"/>
          <w:szCs w:val="16"/>
        </w:rPr>
      </w:pPr>
      <w:r w:rsidRPr="00C33834">
        <w:rPr>
          <w:color w:val="000000" w:themeColor="text1"/>
          <w:sz w:val="16"/>
          <w:szCs w:val="16"/>
        </w:rPr>
        <w:t xml:space="preserve">Проектирование оболочки произвел начальник конструкторского отдела московского завода «Каучук» инженер К.Д.Годунов. Рабочее проектирование, разработку технологии, изготовление и предварительные испытания оболочки велись Научно-исследовательским институтом резиновой промышленности (НИИРП). Одновременно решались вопросы обеспечения прочности оболочки, покрытия внешней поверхности специальной краской на основе алюминиевой пудры для защиты от ультрафиолетового облучения и уменьшения нагрева газа. Когда опытные работы завершились, практическое изготовление оболочки перенесли на завод «Каучук». Особо отмечалось, что при значительном объеме удалось добиться ее незначительного веса – всего 950 кг. На неё пошло примерно 5000 погонных метров перкалевой материи производства Богородско-Глуховской мануфактуры, на которую нанесли тонкие слои специального резинового состава. Рецептуру и технологические процессы для изготовления ткани оболочки разработали сотрудники Научно-исследовательского института резиновой промышленности Е.Н.Кузина и Г.К.Левитина (19614). </w:t>
      </w:r>
    </w:p>
    <w:p w14:paraId="1DC2D7B0" w14:textId="77777777" w:rsidR="00323684" w:rsidRPr="00C33834" w:rsidRDefault="00323684" w:rsidP="00C33834">
      <w:pPr>
        <w:spacing w:after="0" w:line="240" w:lineRule="auto"/>
        <w:jc w:val="both"/>
        <w:rPr>
          <w:rFonts w:ascii="Times New Roman" w:hAnsi="Times New Roman"/>
          <w:color w:val="000000" w:themeColor="text1"/>
          <w:sz w:val="16"/>
          <w:szCs w:val="16"/>
        </w:rPr>
      </w:pPr>
    </w:p>
    <w:p w14:paraId="56D93B73"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того же года после успешного завершения государственных приемных испытаний, которые подтвердили, что дирижабль В-5 удовлетворяет всем техническим требованиям, оговоренным в техническом задании на проектирование, В-5 был принят на эксплуатацию в гражданский воздушный флот. По конструкции В-5 во многом был схож с хорошо себя зарекомендовавшими итальянскими полужесткими дирижаблями. Неизменяемость формы мягкой оболочки, выполненной из двухслойной прорезиненной ткани и разделенной двумя поперечными перегородками на три отсека, обеспечивалась помимо перепада давления газа, поддерживаемого баллонетами, жесткой килевой фермой. Ферма была расположена под оболочкой, имела в поперечном сечении форму равнобедренного треугольника, обращенного вершиной вниз, и представляла собой набор жестких поперечных шпангоутов, соединенных по вершинам продольными стрингерами. К килевой ферме крепились носовое усиление, кормовое развитие с горизонтальными стабилизаторами и рулями высоты и нижний вертикальный стабилизатор с рулем направления. Верхний вертикальный стабилизатор был присоединен непосредственно к мягкой оболочке посредством матерчатых поясов и расчаливался по обе стороны тремя парами тросов. Гондола удобообтекаемой каплеобразной формы подвешивалась к килевой ферме с помощью пяти пар тросов. На борту имелся водяной балласт, помещавшийся в двух баках, емкостью 0,09 куб. м каждый. В 1933 году было выполнено более 100 полетов, показавших, что дирижабль В-5 обладал хорошими характеристиками устойчивости и управляемости во всем диапазоне встреченных метеорологических условий. В целом дирижабль выполнил поставленные перед ним задачи (10731).</w:t>
      </w:r>
    </w:p>
    <w:p w14:paraId="66CA93AD"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04903914"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г. проект аэростата Осоавиахим-1 был пересмотрен в сторону увеличения: объем до 22.450 м</w:t>
      </w:r>
      <w:r w:rsidRPr="00C33834">
        <w:rPr>
          <w:rFonts w:ascii="Times New Roman" w:hAnsi="Times New Roman"/>
          <w:color w:val="000000" w:themeColor="text1"/>
          <w:sz w:val="16"/>
          <w:szCs w:val="16"/>
          <w:vertAlign w:val="superscript"/>
        </w:rPr>
        <w:t>3</w:t>
      </w:r>
      <w:r w:rsidRPr="00C33834">
        <w:rPr>
          <w:rFonts w:ascii="Times New Roman" w:hAnsi="Times New Roman"/>
          <w:color w:val="000000" w:themeColor="text1"/>
          <w:sz w:val="16"/>
          <w:szCs w:val="16"/>
        </w:rPr>
        <w:t xml:space="preserve"> при подъемной силе газа 1,15 кг/м3, предусматривался потолок 20.000 м. Причем, по заявлению инженера Васенко «все элементы, повышающие потолок, при расчете не учитывались», т. е. потолок за счет нагрева газа мог быть достигнут и выше 20.000 м. </w:t>
      </w:r>
    </w:p>
    <w:p w14:paraId="2BEA76F4"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июне месяце проект был переделан в третий раз и оболочка была доведена в объеме до 24.940 кб. м. При подъемной силе газа 2600 кг и весе всей системы 2480 кг, стратостат полностью восполнялся на 17.700 метрах и за счет сплавной силы в 120 кгр достигал зоны равновесия на 19.500 м. </w:t>
      </w:r>
    </w:p>
    <w:p w14:paraId="5CE23B71"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 17 августа 1934 г. стратостат был построен, собран, осмотрен комиссией Гражданского Воздушного флота под руководством т. СПАССКОГО и получил свидетельство на полет, хотя в акте люк кабины был признан неудовлетворительным по закрытию. </w:t>
      </w:r>
    </w:p>
    <w:p w14:paraId="6E0F3EDB"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Конструкция в основном рассчитывалась на малый полетный вес и малое количество маневренного и посадочного балласта: в оболочке применялась материя весом 62 грамма на 1 кв. мт. (в однослойных полотнищах), способ крепления такелажа был применен без верхней сетки по всей оболочке, а к оригинального устройства лапам, пришитым и приклеенным ниже экватора оболочки к поясу двухслойной материи. Такелаж предусматривался с уменьшенными стропами (8), соединенными в одном кольце. Общее количество в числе 8. Гондола шарообразной формы строилась из стали в 0,8 мм путем сварки и имела люк, открывающийся во внутрь кабины и задраиваемый 12 болтами на барашках, балласт располагался внутри кабины и мог выбрасываться через два трубчатых сбрасывателя путем перекрывания двух кранов в течение 800 кгр — 800 сек., управление клапаном выводилось из кабины через коленчатую трубку, наполненную ртутью, уздечка к разрывному приспособлению прикреплялась к кольцу над гондолой. </w:t>
      </w:r>
    </w:p>
    <w:p w14:paraId="59EB4B79"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Каждая деталь, материал и агрегаты испытывались в лаборатории и показали запасы прочности, предусмотренные расчетами. </w:t>
      </w:r>
    </w:p>
    <w:p w14:paraId="32BB3ACC"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Общего расчета на конструкцию комиссия не могла получить от инженера Чертовского, ведавшего постройкой, а также не найден он и в делах т. Федосеенко, с мая м-ца фактически руководившего всеми работами по постройке и подготовке к полету. Самая постройка производилась по отдельным чертежам, выдаваемым на заводы инженером Чертовским. В основном все расчеты предусматривали и фактические испытания проводили на статические нагрузки, динамические нагрузки принимались больше первых в 4 раза, но испытаний на динамические нагрузки не проводилось за неимением машин и малой отработанностью самих методов испытаний. Раскрой и пошивка оболочки производилась кустарным способом в мастерских Института Аэросъемки. Фактической поверки расчетов и общей компоновки проекта не производилось и все лежало на усмотрении и знаниях т. Федосеенко, Васенко и Чертовского. Консультационный совет рассматривал на заседаниях предложения этих товарищей, вносил отдельные замечания, но не следил и не добивался исправлений по этим замечаниям. Комиссия считает, что техническая проработка конструкции была достаточна в объеме задач, поставленных себе т. Федосеенко и Власенко, но ее целесообразность и соответствие поставленным задачам по существу не были проверены консультационным советом при ЛОСО. Наблюдение в процессе постройки осуществлялось инженером Чертовским в пределах его знаний и практического опыта, но помощи в техническом руководстве он не имел. </w:t>
      </w:r>
    </w:p>
    <w:p w14:paraId="53CB75C8"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Так в тексте; правильно: Васенко. </w:t>
      </w:r>
    </w:p>
    <w:p w14:paraId="3F72530C"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 Так в тексте; правильно: 1933 г. </w:t>
      </w:r>
    </w:p>
    <w:p w14:paraId="1FE8C196"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 * Так в тексте; правильно: 1933 г. </w:t>
      </w:r>
    </w:p>
    <w:p w14:paraId="3F57633F"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 * * Так в тексте; правильно: Васенко (11611).</w:t>
      </w:r>
    </w:p>
    <w:p w14:paraId="168733DE"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0EE2AB97" w14:textId="77777777" w:rsidR="003E339D" w:rsidRPr="00C33834" w:rsidRDefault="003E339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мае 1933 г. Бюро по постройке стратостата «Осоавиахим-1» («ОАХ-1») было преобразовано в бригаду по строительству и эксплу</w:t>
      </w:r>
      <w:r w:rsidRPr="00C33834">
        <w:rPr>
          <w:rFonts w:ascii="Times New Roman" w:hAnsi="Times New Roman"/>
          <w:color w:val="0070C0"/>
          <w:sz w:val="16"/>
          <w:szCs w:val="16"/>
        </w:rPr>
        <w:softHyphen/>
        <w:t>атации стратостата, которую возглавил инже</w:t>
      </w:r>
      <w:r w:rsidRPr="00C33834">
        <w:rPr>
          <w:rFonts w:ascii="Times New Roman" w:hAnsi="Times New Roman"/>
          <w:color w:val="0070C0"/>
          <w:sz w:val="16"/>
          <w:szCs w:val="16"/>
        </w:rPr>
        <w:softHyphen/>
        <w:t>нер-пилот П.Ф. Федосеенко. В бригаду вошли: начальник работ — инженер Е.Е. Чертовской, старший инженер — А.Б. Васенко; руководи</w:t>
      </w:r>
      <w:r w:rsidRPr="00C33834">
        <w:rPr>
          <w:rFonts w:ascii="Times New Roman" w:hAnsi="Times New Roman"/>
          <w:color w:val="0070C0"/>
          <w:sz w:val="16"/>
          <w:szCs w:val="16"/>
        </w:rPr>
        <w:softHyphen/>
        <w:t>тель по внутреннему оборудованию — инженер Ю.К. Юцевич; руководитель по испытаниям — инженер К.С. Кирпичников; руководитель груп</w:t>
      </w:r>
      <w:r w:rsidRPr="00C33834">
        <w:rPr>
          <w:rFonts w:ascii="Times New Roman" w:hAnsi="Times New Roman"/>
          <w:color w:val="0070C0"/>
          <w:sz w:val="16"/>
          <w:szCs w:val="16"/>
        </w:rPr>
        <w:softHyphen/>
        <w:t>пы научно-полётной и аэронавигационной — В.Ю. Веспе; руководитель эксплуатационно-тех</w:t>
      </w:r>
      <w:r w:rsidRPr="00C33834">
        <w:rPr>
          <w:rFonts w:ascii="Times New Roman" w:hAnsi="Times New Roman"/>
          <w:color w:val="0070C0"/>
          <w:sz w:val="16"/>
          <w:szCs w:val="16"/>
        </w:rPr>
        <w:softHyphen/>
        <w:t>нической группы — Н.С. Дмитриев. Метеороло</w:t>
      </w:r>
      <w:r w:rsidRPr="00C33834">
        <w:rPr>
          <w:rFonts w:ascii="Times New Roman" w:hAnsi="Times New Roman"/>
          <w:color w:val="0070C0"/>
          <w:sz w:val="16"/>
          <w:szCs w:val="16"/>
        </w:rPr>
        <w:softHyphen/>
        <w:t>гическое обеспечение возлагалось на профессора П.А. Молчанова. Руководство научной програм</w:t>
      </w:r>
      <w:r w:rsidRPr="00C33834">
        <w:rPr>
          <w:rFonts w:ascii="Times New Roman" w:hAnsi="Times New Roman"/>
          <w:color w:val="0070C0"/>
          <w:sz w:val="16"/>
          <w:szCs w:val="16"/>
        </w:rPr>
        <w:softHyphen/>
        <w:t>мой полёта осуществлял академик А.Ф. Иоффе.</w:t>
      </w:r>
    </w:p>
    <w:p w14:paraId="28DD8B9C" w14:textId="77777777" w:rsidR="003E339D" w:rsidRPr="00C33834" w:rsidRDefault="003E339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Тренировка экипажа и медицинская под</w:t>
      </w:r>
      <w:r w:rsidRPr="00C33834">
        <w:rPr>
          <w:rFonts w:ascii="Times New Roman" w:hAnsi="Times New Roman"/>
          <w:color w:val="0070C0"/>
          <w:sz w:val="16"/>
          <w:szCs w:val="16"/>
        </w:rPr>
        <w:softHyphen/>
        <w:t>готовка к полёту велась группой врачей Воен</w:t>
      </w:r>
      <w:r w:rsidRPr="00C33834">
        <w:rPr>
          <w:rFonts w:ascii="Times New Roman" w:hAnsi="Times New Roman"/>
          <w:color w:val="0070C0"/>
          <w:sz w:val="16"/>
          <w:szCs w:val="16"/>
        </w:rPr>
        <w:softHyphen/>
        <w:t>но-медицинской академии под руководством начальника кафедры физиологии академика Л.А. Орбели. Основные вопросы, связанные со строительством и подготовкой к полёту, реша</w:t>
      </w:r>
      <w:r w:rsidRPr="00C33834">
        <w:rPr>
          <w:rFonts w:ascii="Times New Roman" w:hAnsi="Times New Roman"/>
          <w:color w:val="0070C0"/>
          <w:sz w:val="16"/>
          <w:szCs w:val="16"/>
        </w:rPr>
        <w:softHyphen/>
        <w:t>лись Консультационным советом, составленным из представителей научных и инженерно-техни</w:t>
      </w:r>
      <w:r w:rsidRPr="00C33834">
        <w:rPr>
          <w:rFonts w:ascii="Times New Roman" w:hAnsi="Times New Roman"/>
          <w:color w:val="0070C0"/>
          <w:sz w:val="16"/>
          <w:szCs w:val="16"/>
        </w:rPr>
        <w:softHyphen/>
        <w:t>ческих сил Ленинграда.</w:t>
      </w:r>
    </w:p>
    <w:p w14:paraId="5641ABA6" w14:textId="77777777" w:rsidR="003E339D" w:rsidRPr="00C33834" w:rsidRDefault="003E339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Главными задачами первого полёта были из</w:t>
      </w:r>
      <w:r w:rsidRPr="00C33834">
        <w:rPr>
          <w:rFonts w:ascii="Times New Roman" w:hAnsi="Times New Roman"/>
          <w:color w:val="0070C0"/>
          <w:sz w:val="16"/>
          <w:szCs w:val="16"/>
        </w:rPr>
        <w:softHyphen/>
        <w:t>учение космических лучей и фотосъёмка с боль</w:t>
      </w:r>
      <w:r w:rsidRPr="00C33834">
        <w:rPr>
          <w:rFonts w:ascii="Times New Roman" w:hAnsi="Times New Roman"/>
          <w:color w:val="0070C0"/>
          <w:sz w:val="16"/>
          <w:szCs w:val="16"/>
        </w:rPr>
        <w:softHyphen/>
        <w:t>ших высот. Планировалось также провести ис</w:t>
      </w:r>
      <w:r w:rsidRPr="00C33834">
        <w:rPr>
          <w:rFonts w:ascii="Times New Roman" w:hAnsi="Times New Roman"/>
          <w:color w:val="0070C0"/>
          <w:sz w:val="16"/>
          <w:szCs w:val="16"/>
        </w:rPr>
        <w:softHyphen/>
        <w:t>следование напряжённости магнитного поля и отбор проб воздуха на разных высотах.</w:t>
      </w:r>
    </w:p>
    <w:p w14:paraId="3062E030" w14:textId="77777777" w:rsidR="003E339D" w:rsidRPr="00C33834" w:rsidRDefault="003E339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Оболочка стратостата объёмом 24 920 м3 и ди</w:t>
      </w:r>
      <w:r w:rsidRPr="00C33834">
        <w:rPr>
          <w:rFonts w:ascii="Times New Roman" w:hAnsi="Times New Roman"/>
          <w:color w:val="0070C0"/>
          <w:sz w:val="16"/>
          <w:szCs w:val="16"/>
        </w:rPr>
        <w:softHyphen/>
        <w:t>аметром 36,24 м состояла из 25 сегментов трапе</w:t>
      </w:r>
      <w:r w:rsidRPr="00C33834">
        <w:rPr>
          <w:rFonts w:ascii="Times New Roman" w:hAnsi="Times New Roman"/>
          <w:color w:val="0070C0"/>
          <w:sz w:val="16"/>
          <w:szCs w:val="16"/>
        </w:rPr>
        <w:softHyphen/>
        <w:t>цеидального раскроя, причём трапеции соседних сегментов располагались в шахматном порядке. Верхнюю часть оболочки, включая места крепле</w:t>
      </w:r>
      <w:r w:rsidRPr="00C33834">
        <w:rPr>
          <w:rFonts w:ascii="Times New Roman" w:hAnsi="Times New Roman"/>
          <w:color w:val="0070C0"/>
          <w:sz w:val="16"/>
          <w:szCs w:val="16"/>
        </w:rPr>
        <w:softHyphen/>
        <w:t>ния поясных лап, изготовили из двухслойного прорезиненного перкаля. Из него же выполнили пояс. Нижнюю часть оболочки сшили из одно</w:t>
      </w:r>
      <w:r w:rsidRPr="00C33834">
        <w:rPr>
          <w:rFonts w:ascii="Times New Roman" w:hAnsi="Times New Roman"/>
          <w:color w:val="0070C0"/>
          <w:sz w:val="16"/>
          <w:szCs w:val="16"/>
        </w:rPr>
        <w:softHyphen/>
        <w:t>слойного прорезиненного перкаля. Полный вес оболочки с аппендиксом, клапаном и разрывны</w:t>
      </w:r>
      <w:r w:rsidRPr="00C33834">
        <w:rPr>
          <w:rFonts w:ascii="Times New Roman" w:hAnsi="Times New Roman"/>
          <w:color w:val="0070C0"/>
          <w:sz w:val="16"/>
          <w:szCs w:val="16"/>
        </w:rPr>
        <w:softHyphen/>
        <w:t>ми лентами составлял 950 кг.</w:t>
      </w:r>
    </w:p>
    <w:p w14:paraId="5C3F65F5" w14:textId="77777777" w:rsidR="003E339D" w:rsidRPr="00C33834" w:rsidRDefault="003E339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Оболочка имела пять аппендиксов: большой в нижнем полюсе — для выхода газа при расши</w:t>
      </w:r>
      <w:r w:rsidRPr="00C33834">
        <w:rPr>
          <w:rFonts w:ascii="Times New Roman" w:hAnsi="Times New Roman"/>
          <w:color w:val="0070C0"/>
          <w:sz w:val="16"/>
          <w:szCs w:val="16"/>
        </w:rPr>
        <w:softHyphen/>
        <w:t>рении, два малых боковых — для пропуска кла</w:t>
      </w:r>
      <w:r w:rsidRPr="00C33834">
        <w:rPr>
          <w:rFonts w:ascii="Times New Roman" w:hAnsi="Times New Roman"/>
          <w:color w:val="0070C0"/>
          <w:sz w:val="16"/>
          <w:szCs w:val="16"/>
        </w:rPr>
        <w:softHyphen/>
        <w:t>панной верёвки и разрывной вожжи, два малых (между экватором и поясными лапами) — для наполнения оболочки водородом.</w:t>
      </w:r>
    </w:p>
    <w:p w14:paraId="07373DA7" w14:textId="77777777" w:rsidR="003E339D" w:rsidRPr="00C33834" w:rsidRDefault="003E339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верхней части оболочки, в области двух</w:t>
      </w:r>
      <w:r w:rsidRPr="00C33834">
        <w:rPr>
          <w:rFonts w:ascii="Times New Roman" w:hAnsi="Times New Roman"/>
          <w:color w:val="0070C0"/>
          <w:sz w:val="16"/>
          <w:szCs w:val="16"/>
        </w:rPr>
        <w:softHyphen/>
        <w:t>слойного прорезиненного перкаля были вклеены два разрывных полотнища в виде треугольника, направленного вершиной вверх, позволявшие в течение пяти минут выпустить газ из оболочки.</w:t>
      </w:r>
    </w:p>
    <w:p w14:paraId="6D44D461" w14:textId="77777777" w:rsidR="003E339D" w:rsidRPr="00C33834" w:rsidRDefault="003E339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Гондола, оплетённая сеткой, подвешивалась на 8 стропах. Хотя каждая стропа одна выдержи</w:t>
      </w:r>
      <w:r w:rsidRPr="00C33834">
        <w:rPr>
          <w:rFonts w:ascii="Times New Roman" w:hAnsi="Times New Roman"/>
          <w:color w:val="0070C0"/>
          <w:sz w:val="16"/>
          <w:szCs w:val="16"/>
        </w:rPr>
        <w:softHyphen/>
        <w:t>вала вес гондолы, крепление не гарантировало гондолу от произвольного поворота в сетке под действием местных нагрузок.</w:t>
      </w:r>
    </w:p>
    <w:p w14:paraId="04948D98" w14:textId="77777777" w:rsidR="003E339D" w:rsidRPr="00C33834" w:rsidRDefault="003E339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Гондола имела форму шара диаметром 2,4 м и весом около 160 кг и состояла из труб</w:t>
      </w:r>
      <w:r w:rsidRPr="00C33834">
        <w:rPr>
          <w:rFonts w:ascii="Times New Roman" w:hAnsi="Times New Roman"/>
          <w:color w:val="0070C0"/>
          <w:sz w:val="16"/>
          <w:szCs w:val="16"/>
        </w:rPr>
        <w:softHyphen/>
        <w:t>чатого каркаса и оболочки. Каркас из стальных трубок включал 10 стрингеров и 6 горизонталь</w:t>
      </w:r>
      <w:r w:rsidRPr="00C33834">
        <w:rPr>
          <w:rFonts w:ascii="Times New Roman" w:hAnsi="Times New Roman"/>
          <w:color w:val="0070C0"/>
          <w:sz w:val="16"/>
          <w:szCs w:val="16"/>
        </w:rPr>
        <w:softHyphen/>
        <w:t>ных шпангоутов. К каркасу сваркой крепилась оболочка из листовой стали толщиной 0,8 мм. Обшивка гондолы, помимо избыточного давле</w:t>
      </w:r>
      <w:r w:rsidRPr="00C33834">
        <w:rPr>
          <w:rFonts w:ascii="Times New Roman" w:hAnsi="Times New Roman"/>
          <w:color w:val="0070C0"/>
          <w:sz w:val="16"/>
          <w:szCs w:val="16"/>
        </w:rPr>
        <w:softHyphen/>
        <w:t>ния изнутри, воспринимала также все местные нагрузки от массы балласта, оборудования и эки</w:t>
      </w:r>
      <w:r w:rsidRPr="00C33834">
        <w:rPr>
          <w:rFonts w:ascii="Times New Roman" w:hAnsi="Times New Roman"/>
          <w:color w:val="0070C0"/>
          <w:sz w:val="16"/>
          <w:szCs w:val="16"/>
        </w:rPr>
        <w:softHyphen/>
        <w:t>пажа, что вызвало местные деформации.</w:t>
      </w:r>
    </w:p>
    <w:p w14:paraId="5208B98A" w14:textId="77777777" w:rsidR="003E339D" w:rsidRPr="00C33834" w:rsidRDefault="003E339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верхнем полюсе гондолы имелся лаз диаме</w:t>
      </w:r>
      <w:r w:rsidRPr="00C33834">
        <w:rPr>
          <w:rFonts w:ascii="Times New Roman" w:hAnsi="Times New Roman"/>
          <w:color w:val="0070C0"/>
          <w:sz w:val="16"/>
          <w:szCs w:val="16"/>
        </w:rPr>
        <w:softHyphen/>
        <w:t>тром 800 мм, закрывавшийся изнутри люком. Вы</w:t>
      </w:r>
      <w:r w:rsidRPr="00C33834">
        <w:rPr>
          <w:rFonts w:ascii="Times New Roman" w:hAnsi="Times New Roman"/>
          <w:color w:val="0070C0"/>
          <w:sz w:val="16"/>
          <w:szCs w:val="16"/>
        </w:rPr>
        <w:softHyphen/>
        <w:t>ход в него осуществлялся по верёвочной лестни</w:t>
      </w:r>
      <w:r w:rsidRPr="00C33834">
        <w:rPr>
          <w:rFonts w:ascii="Times New Roman" w:hAnsi="Times New Roman"/>
          <w:color w:val="0070C0"/>
          <w:sz w:val="16"/>
          <w:szCs w:val="16"/>
        </w:rPr>
        <w:softHyphen/>
        <w:t>це. В целях экономии веса крышка люка не имела специального затворного механизма, а затягива</w:t>
      </w:r>
      <w:r w:rsidRPr="00C33834">
        <w:rPr>
          <w:rFonts w:ascii="Times New Roman" w:hAnsi="Times New Roman"/>
          <w:color w:val="0070C0"/>
          <w:sz w:val="16"/>
          <w:szCs w:val="16"/>
        </w:rPr>
        <w:softHyphen/>
        <w:t>лась на винтах, укреплённых в ободе люка гондо</w:t>
      </w:r>
      <w:r w:rsidRPr="00C33834">
        <w:rPr>
          <w:rFonts w:ascii="Times New Roman" w:hAnsi="Times New Roman"/>
          <w:color w:val="0070C0"/>
          <w:sz w:val="16"/>
          <w:szCs w:val="16"/>
        </w:rPr>
        <w:softHyphen/>
        <w:t>лы, 12 барашками. Уплотнителем для герметич</w:t>
      </w:r>
      <w:r w:rsidRPr="00C33834">
        <w:rPr>
          <w:rFonts w:ascii="Times New Roman" w:hAnsi="Times New Roman"/>
          <w:color w:val="0070C0"/>
          <w:sz w:val="16"/>
          <w:szCs w:val="16"/>
        </w:rPr>
        <w:softHyphen/>
        <w:t>ности служила резиновая прокладка в пазу обода люка. Для открытия люка требовалось отвернуть все барашки и затем снять крышку, на что даже в наземных условиях уходило несколько минут.</w:t>
      </w:r>
    </w:p>
    <w:p w14:paraId="33C2BB40" w14:textId="77777777" w:rsidR="003E339D" w:rsidRPr="00C33834" w:rsidRDefault="003E339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Имелось шесть иллюминаторов диаметром 150 мм: четыре — в верхней полусфере гондолы, один — в нижней полусфере и один в нижнем полюсе (для наблюдений и фотосъёмки). В ил</w:t>
      </w:r>
      <w:r w:rsidRPr="00C33834">
        <w:rPr>
          <w:rFonts w:ascii="Times New Roman" w:hAnsi="Times New Roman"/>
          <w:color w:val="0070C0"/>
          <w:sz w:val="16"/>
          <w:szCs w:val="16"/>
        </w:rPr>
        <w:softHyphen/>
        <w:t>люминаторах использовались зеркальные стёкла толщиной 14 мм.</w:t>
      </w:r>
    </w:p>
    <w:p w14:paraId="5096511A" w14:textId="77777777" w:rsidR="003E339D" w:rsidRPr="00C33834" w:rsidRDefault="003E339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Балласт (0,4 т свинцовой дроби) помещался внутри гондолы. Для сбрасывания его в гондоле имелись воронка и карман с трубой, выходившей через обшивку наружу. Дробь зачерпывали сов</w:t>
      </w:r>
      <w:r w:rsidRPr="00C33834">
        <w:rPr>
          <w:rFonts w:ascii="Times New Roman" w:hAnsi="Times New Roman"/>
          <w:color w:val="0070C0"/>
          <w:sz w:val="16"/>
          <w:szCs w:val="16"/>
        </w:rPr>
        <w:softHyphen/>
        <w:t>ком и засыпали в воронку, из которой она пере</w:t>
      </w:r>
      <w:r w:rsidRPr="00C33834">
        <w:rPr>
          <w:rFonts w:ascii="Times New Roman" w:hAnsi="Times New Roman"/>
          <w:color w:val="0070C0"/>
          <w:sz w:val="16"/>
          <w:szCs w:val="16"/>
        </w:rPr>
        <w:softHyphen/>
        <w:t>сыпалась в расположенный ниже карман. Затем кран между воронкой и карманом закрывался, и открывался кран между карманом и трубкой, так что дробь через трубку высыпалась наружу, не нарушая герметичность гондолы. Скорость сбро</w:t>
      </w:r>
      <w:r w:rsidRPr="00C33834">
        <w:rPr>
          <w:rFonts w:ascii="Times New Roman" w:hAnsi="Times New Roman"/>
          <w:color w:val="0070C0"/>
          <w:sz w:val="16"/>
          <w:szCs w:val="16"/>
        </w:rPr>
        <w:softHyphen/>
        <w:t>са балласта при наземных испытаниях составля</w:t>
      </w:r>
      <w:r w:rsidRPr="00C33834">
        <w:rPr>
          <w:rFonts w:ascii="Times New Roman" w:hAnsi="Times New Roman"/>
          <w:color w:val="0070C0"/>
          <w:sz w:val="16"/>
          <w:szCs w:val="16"/>
        </w:rPr>
        <w:softHyphen/>
        <w:t>ла 1 кг/с, что при опасном возрастании скорости спуска не позволяло быстро (менее чем за 7 ми</w:t>
      </w:r>
      <w:r w:rsidRPr="00C33834">
        <w:rPr>
          <w:rFonts w:ascii="Times New Roman" w:hAnsi="Times New Roman"/>
          <w:color w:val="0070C0"/>
          <w:sz w:val="16"/>
          <w:szCs w:val="16"/>
        </w:rPr>
        <w:softHyphen/>
        <w:t>нут) освободиться от всего балласта. Амортизато</w:t>
      </w:r>
      <w:r w:rsidRPr="00C33834">
        <w:rPr>
          <w:rFonts w:ascii="Times New Roman" w:hAnsi="Times New Roman"/>
          <w:color w:val="0070C0"/>
          <w:sz w:val="16"/>
          <w:szCs w:val="16"/>
        </w:rPr>
        <w:softHyphen/>
        <w:t>ром при посадке служила резиновая камера, кре</w:t>
      </w:r>
      <w:r w:rsidRPr="00C33834">
        <w:rPr>
          <w:rFonts w:ascii="Times New Roman" w:hAnsi="Times New Roman"/>
          <w:color w:val="0070C0"/>
          <w:sz w:val="16"/>
          <w:szCs w:val="16"/>
        </w:rPr>
        <w:softHyphen/>
        <w:t>пившаяся снизу к сетке, охватывавшей гондолу.</w:t>
      </w:r>
    </w:p>
    <w:p w14:paraId="31B23DE5" w14:textId="77777777" w:rsidR="003E339D" w:rsidRPr="00C33834" w:rsidRDefault="003E339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Для обеспечения работы экипажа в гондо</w:t>
      </w:r>
      <w:r w:rsidRPr="00C33834">
        <w:rPr>
          <w:rFonts w:ascii="Times New Roman" w:hAnsi="Times New Roman"/>
          <w:color w:val="0070C0"/>
          <w:sz w:val="16"/>
          <w:szCs w:val="16"/>
        </w:rPr>
        <w:softHyphen/>
        <w:t>ле предусматривался запас сжатого кислорода в 15-20 баллонах ёмкостью 0,8 л. В полу гондо</w:t>
      </w:r>
      <w:r w:rsidRPr="00C33834">
        <w:rPr>
          <w:rFonts w:ascii="Times New Roman" w:hAnsi="Times New Roman"/>
          <w:color w:val="0070C0"/>
          <w:sz w:val="16"/>
          <w:szCs w:val="16"/>
        </w:rPr>
        <w:softHyphen/>
        <w:t>лы размещалась система поглощения углекисло</w:t>
      </w:r>
      <w:r w:rsidRPr="00C33834">
        <w:rPr>
          <w:rFonts w:ascii="Times New Roman" w:hAnsi="Times New Roman"/>
          <w:color w:val="0070C0"/>
          <w:sz w:val="16"/>
          <w:szCs w:val="16"/>
        </w:rPr>
        <w:softHyphen/>
        <w:t>ты, через которую электрическим вентилятором прокачивался воздух.</w:t>
      </w:r>
    </w:p>
    <w:p w14:paraId="1DFD3FCD" w14:textId="77777777" w:rsidR="003E339D" w:rsidRPr="00C33834" w:rsidRDefault="003E339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 стратостате находилось разнообразное научное оборудование. Для исследования кос</w:t>
      </w:r>
      <w:r w:rsidRPr="00C33834">
        <w:rPr>
          <w:rFonts w:ascii="Times New Roman" w:hAnsi="Times New Roman"/>
          <w:color w:val="0070C0"/>
          <w:sz w:val="16"/>
          <w:szCs w:val="16"/>
        </w:rPr>
        <w:softHyphen/>
        <w:t>мических лучей предназначались камера Виль</w:t>
      </w:r>
      <w:r w:rsidRPr="00C33834">
        <w:rPr>
          <w:rFonts w:ascii="Times New Roman" w:hAnsi="Times New Roman"/>
          <w:color w:val="0070C0"/>
          <w:sz w:val="16"/>
          <w:szCs w:val="16"/>
        </w:rPr>
        <w:softHyphen/>
        <w:t>сона и два электрометра Гесса. Для исследования напряжённости магнитного поля Земли имел</w:t>
      </w:r>
      <w:r w:rsidRPr="00C33834">
        <w:rPr>
          <w:rFonts w:ascii="Times New Roman" w:hAnsi="Times New Roman"/>
          <w:color w:val="0070C0"/>
          <w:sz w:val="16"/>
          <w:szCs w:val="16"/>
        </w:rPr>
        <w:softHyphen/>
        <w:t>ся магнетрон профессора Яновского. Оборудо</w:t>
      </w:r>
      <w:r w:rsidRPr="00C33834">
        <w:rPr>
          <w:rFonts w:ascii="Times New Roman" w:hAnsi="Times New Roman"/>
          <w:color w:val="0070C0"/>
          <w:sz w:val="16"/>
          <w:szCs w:val="16"/>
        </w:rPr>
        <w:softHyphen/>
        <w:t>вание для фотосъёмки включало обычный и ши</w:t>
      </w:r>
      <w:r w:rsidRPr="00C33834">
        <w:rPr>
          <w:rFonts w:ascii="Times New Roman" w:hAnsi="Times New Roman"/>
          <w:color w:val="0070C0"/>
          <w:sz w:val="16"/>
          <w:szCs w:val="16"/>
        </w:rPr>
        <w:softHyphen/>
        <w:t>рокоформатный фотоаппараты. Имелся также фотометр для измерения прозрачности атмосфе</w:t>
      </w:r>
      <w:r w:rsidRPr="00C33834">
        <w:rPr>
          <w:rFonts w:ascii="Times New Roman" w:hAnsi="Times New Roman"/>
          <w:color w:val="0070C0"/>
          <w:sz w:val="16"/>
          <w:szCs w:val="16"/>
        </w:rPr>
        <w:softHyphen/>
        <w:t>ры и для оптических наблюдений. Для исследо</w:t>
      </w:r>
      <w:r w:rsidRPr="00C33834">
        <w:rPr>
          <w:rFonts w:ascii="Times New Roman" w:hAnsi="Times New Roman"/>
          <w:color w:val="0070C0"/>
          <w:sz w:val="16"/>
          <w:szCs w:val="16"/>
        </w:rPr>
        <w:softHyphen/>
        <w:t>вания химического состава атмосферы инженер М.В. Беженцев (ЛХТИ) разработал прибор для отбора проб воздуха, аналогичный установлен</w:t>
      </w:r>
      <w:r w:rsidRPr="00C33834">
        <w:rPr>
          <w:rFonts w:ascii="Times New Roman" w:hAnsi="Times New Roman"/>
          <w:color w:val="0070C0"/>
          <w:sz w:val="16"/>
          <w:szCs w:val="16"/>
        </w:rPr>
        <w:softHyphen/>
        <w:t>ному на «СССР-1». Гондолу оборудовали ртут</w:t>
      </w:r>
      <w:r w:rsidRPr="00C33834">
        <w:rPr>
          <w:rFonts w:ascii="Times New Roman" w:hAnsi="Times New Roman"/>
          <w:color w:val="0070C0"/>
          <w:sz w:val="16"/>
          <w:szCs w:val="16"/>
        </w:rPr>
        <w:softHyphen/>
        <w:t>ным чашечным барометром и микробарометра</w:t>
      </w:r>
      <w:r w:rsidRPr="00C33834">
        <w:rPr>
          <w:rFonts w:ascii="Times New Roman" w:hAnsi="Times New Roman"/>
          <w:color w:val="0070C0"/>
          <w:sz w:val="16"/>
          <w:szCs w:val="16"/>
        </w:rPr>
        <w:softHyphen/>
        <w:t>ми для измерения малых давлений на высоте. Два метеорографа для записи давления, темпера</w:t>
      </w:r>
      <w:r w:rsidRPr="00C33834">
        <w:rPr>
          <w:rFonts w:ascii="Times New Roman" w:hAnsi="Times New Roman"/>
          <w:color w:val="0070C0"/>
          <w:sz w:val="16"/>
          <w:szCs w:val="16"/>
        </w:rPr>
        <w:softHyphen/>
        <w:t>туры и влажности наружного воздуха поместили вне гондолы — на стропах между ней и оболоч</w:t>
      </w:r>
      <w:r w:rsidRPr="00C33834">
        <w:rPr>
          <w:rFonts w:ascii="Times New Roman" w:hAnsi="Times New Roman"/>
          <w:color w:val="0070C0"/>
          <w:sz w:val="16"/>
          <w:szCs w:val="16"/>
        </w:rPr>
        <w:softHyphen/>
        <w:t>кой. Вне гондолы были и два термографа: один — вблизи клапана, другой — вблизи аппендикса.</w:t>
      </w:r>
    </w:p>
    <w:p w14:paraId="17856B80" w14:textId="77777777" w:rsidR="003E339D" w:rsidRPr="00C33834" w:rsidRDefault="003E339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Параллельно со строительством стратоста</w:t>
      </w:r>
      <w:r w:rsidRPr="00C33834">
        <w:rPr>
          <w:rFonts w:ascii="Times New Roman" w:hAnsi="Times New Roman"/>
          <w:color w:val="0070C0"/>
          <w:sz w:val="16"/>
          <w:szCs w:val="16"/>
        </w:rPr>
        <w:softHyphen/>
        <w:t>та шла подготовка и самих пилотов. 28 июля 1933 г. аэронавты поднялись с Волкова поля на сферическом аэростате, пилотируемом П.Ф. Федосеенко, с целью испытания приборов. Для А.Б. Васенко и И.Д. Усыскина это был пер</w:t>
      </w:r>
      <w:r w:rsidRPr="00C33834">
        <w:rPr>
          <w:rFonts w:ascii="Times New Roman" w:hAnsi="Times New Roman"/>
          <w:color w:val="0070C0"/>
          <w:sz w:val="16"/>
          <w:szCs w:val="16"/>
        </w:rPr>
        <w:softHyphen/>
        <w:t>вый свободный полёт.</w:t>
      </w:r>
    </w:p>
    <w:p w14:paraId="7479C0AC" w14:textId="77777777" w:rsidR="003E339D" w:rsidRPr="00C33834" w:rsidRDefault="003E339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августа на заседании научно-экспертного консультационного совета обсуждался вопрос о замене люка с отдельными болтами на крепле</w:t>
      </w:r>
      <w:r w:rsidRPr="00C33834">
        <w:rPr>
          <w:rFonts w:ascii="Times New Roman" w:hAnsi="Times New Roman"/>
          <w:color w:val="0070C0"/>
          <w:sz w:val="16"/>
          <w:szCs w:val="16"/>
        </w:rPr>
        <w:softHyphen/>
        <w:t>ние с заклинением. П.Ф. Федосеенко возражал против новой конструкции, так как это означало бы постройку новой гондолы. Он рассчитывал на то, что при аварийном спуске оболочка страто</w:t>
      </w:r>
      <w:r w:rsidRPr="00C33834">
        <w:rPr>
          <w:rFonts w:ascii="Times New Roman" w:hAnsi="Times New Roman"/>
          <w:color w:val="0070C0"/>
          <w:sz w:val="16"/>
          <w:szCs w:val="16"/>
        </w:rPr>
        <w:softHyphen/>
        <w:t>стата превратится в парашют.</w:t>
      </w:r>
    </w:p>
    <w:p w14:paraId="7DE18902" w14:textId="77777777" w:rsidR="003E339D" w:rsidRPr="00C33834" w:rsidRDefault="003E339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 следующий день комиссия в составе П.Ф. Федосеенко, Е.Е. Чертовского и К.С. Кир- пичникова провела успешные испытания гондо</w:t>
      </w:r>
      <w:r w:rsidRPr="00C33834">
        <w:rPr>
          <w:rFonts w:ascii="Times New Roman" w:hAnsi="Times New Roman"/>
          <w:color w:val="0070C0"/>
          <w:sz w:val="16"/>
          <w:szCs w:val="16"/>
        </w:rPr>
        <w:softHyphen/>
        <w:t>лы на прочность и воздухонепроницаемость на заводе им. Сталина. Разрушение стёкол произо</w:t>
      </w:r>
      <w:r w:rsidRPr="00C33834">
        <w:rPr>
          <w:rFonts w:ascii="Times New Roman" w:hAnsi="Times New Roman"/>
          <w:color w:val="0070C0"/>
          <w:sz w:val="16"/>
          <w:szCs w:val="16"/>
        </w:rPr>
        <w:softHyphen/>
        <w:t>шло при давлении 0,46 МПа (при нормальном сверхдавлении 0,07 МПа). Одновременно прове</w:t>
      </w:r>
      <w:r w:rsidRPr="00C33834">
        <w:rPr>
          <w:rFonts w:ascii="Times New Roman" w:hAnsi="Times New Roman"/>
          <w:color w:val="0070C0"/>
          <w:sz w:val="16"/>
          <w:szCs w:val="16"/>
        </w:rPr>
        <w:softHyphen/>
        <w:t>ли продувку оболочки вентилятором (20120).</w:t>
      </w:r>
    </w:p>
    <w:p w14:paraId="5051FBC0" w14:textId="77777777" w:rsidR="003E339D" w:rsidRPr="00C33834" w:rsidRDefault="003E339D" w:rsidP="00C33834">
      <w:pPr>
        <w:shd w:val="clear" w:color="auto" w:fill="FFFFFF"/>
        <w:spacing w:after="0" w:line="240" w:lineRule="auto"/>
        <w:jc w:val="both"/>
        <w:rPr>
          <w:rFonts w:ascii="Times New Roman" w:hAnsi="Times New Roman"/>
          <w:color w:val="0070C0"/>
          <w:sz w:val="16"/>
          <w:szCs w:val="16"/>
        </w:rPr>
      </w:pPr>
    </w:p>
    <w:p w14:paraId="5BDD862B" w14:textId="77777777" w:rsidR="006E56A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C70F424" w14:textId="77777777" w:rsidR="006E56A1" w:rsidRPr="00C33834" w:rsidRDefault="006E56A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452DEB8" w14:textId="77777777" w:rsidR="000B1B08" w:rsidRPr="00C33834" w:rsidRDefault="000B1B08" w:rsidP="00C33834">
      <w:pPr>
        <w:pStyle w:val="a3"/>
        <w:rPr>
          <w:color w:val="000000" w:themeColor="text1"/>
          <w:lang w:val="ru-RU"/>
        </w:rPr>
      </w:pPr>
      <w:r w:rsidRPr="00C33834">
        <w:rPr>
          <w:color w:val="000000" w:themeColor="text1"/>
          <w:lang w:val="ru-RU"/>
        </w:rPr>
        <w:t>В мае 1933 г. создателя Курчевского назначили начальником Осо</w:t>
      </w:r>
      <w:r w:rsidRPr="00C33834">
        <w:rPr>
          <w:color w:val="000000" w:themeColor="text1"/>
          <w:lang w:val="ru-RU"/>
        </w:rPr>
        <w:softHyphen/>
        <w:t>бого конструкторского бюро Главного артиллерийского управления (ОКБ ГАУ), после чего эта организация обосновалась на заводе №8 в подмосковных Подлипках. Для расширения работ по ДРП Курчев- ский добился передачи ему еще одного предприятия из ведомства ГАУ - завода №38. Он располагался вблизи артзавода №8, что, вероятно, и явилось причиной повышенного внимания к нему со стороны Курчевского. В конце года «хозяйство» ОКБ ГАУ полностью перебралось на тер</w:t>
      </w:r>
      <w:r w:rsidRPr="00C33834">
        <w:rPr>
          <w:color w:val="000000" w:themeColor="text1"/>
          <w:lang w:val="ru-RU"/>
        </w:rPr>
        <w:softHyphen/>
        <w:t>риторию завода №38. Там же, неподале</w:t>
      </w:r>
      <w:r w:rsidRPr="00C33834">
        <w:rPr>
          <w:color w:val="000000" w:themeColor="text1"/>
          <w:lang w:val="ru-RU"/>
        </w:rPr>
        <w:softHyphen/>
        <w:t>ку, оборудовали полигон и аэродром, с которого летали и проводили отдельные испытания (15742).</w:t>
      </w:r>
    </w:p>
    <w:p w14:paraId="2A372A49" w14:textId="77777777" w:rsidR="000B1B08" w:rsidRPr="00C33834" w:rsidRDefault="000B1B08" w:rsidP="00C33834">
      <w:pPr>
        <w:pStyle w:val="a3"/>
        <w:rPr>
          <w:color w:val="000000" w:themeColor="text1"/>
          <w:lang w:val="ru-RU"/>
        </w:rPr>
      </w:pPr>
    </w:p>
    <w:p w14:paraId="215E0CA9" w14:textId="77777777" w:rsidR="000B1B08" w:rsidRPr="00C33834" w:rsidRDefault="000B1B0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Курчевского назначили начальником Особого конструкторского бюро Главного артиллерийского управления, и ОКБ ГАУ полностью заняло завод No.8 в Подлипках. Для расширения работ по ДРП Курчевский добился передачи ему еще одного завода из ведомства ГАУ - No.38. Это предприятие располагается вблизи артзавода No.8 (если ехать в Подлипки на электричке, то завод No.8 стоит слева от дороги, а No.38 - почти напротив), что, вероятно, и явилось причиной повышенного внимания к нему со стороны Курчевского.</w:t>
      </w:r>
    </w:p>
    <w:p w14:paraId="30187694" w14:textId="77777777" w:rsidR="000B1B08" w:rsidRPr="00C33834" w:rsidRDefault="000B1B0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Перешел к Курчевскому и Б.И.Черановский, который уже полтора десятка лет пестовал самолеты схемы "летающее крыло". Назывались они "параболы Черановского", так как передние кромки их крыльев выполнялись в виде параболы. Летали эти аппараты по-разному и, как это часто бывает у оригинальных разработок. не всегда удачно. Построенный в 1934 г. на заводе No.39 самолет БИЧ-14, последняя к тому времени "парабола", оказался очень сложным в пилотировании и требовал доводки. Понимания руководства эта работа не находила. Поэтому, узнав, что Управлению спецработ требуются идеи и конструкторы, Черановский предложил построить истребитель с АПК-4 по своей схеме. Конечно, широкое крыло "параболы" и отсутствие горизонтального оперения - идеальные условия для установки динамореактивных пушек, но, с другой стороны, "бесхвостка" очень чувствительна к изменению центровки. Результаты же испытаний И-Z и И-12 показали, что после израсходования боекомплекта центровка самолета становилась "недопустимо задней": у первого -36,3%, у второго - 37,3%. Тем не менее, этот истребитель Черановского, получивший обозначение БИЧ-17, строился. Самолет имел цельнодеревянную конструкцию, двигатель М-22 в 480 л.с. (предусматривалась установка в дальнейшем более мощного М-25), убираемое двухколесное шасси и закрытый фонарь. Вооружение - две АПК калибра 80 мм, установленных в крыле вне диска винта. Схема самолета парабола-низкоплан с 5 угла чайка на половине полуразмаха для лучшей путевой устойчивости (было проверено на моделях). Эта схема бесхвостого самолета была особо благоприятной для установки ДРП. Постройка была прекращена на 69% готовности (15560).</w:t>
      </w:r>
    </w:p>
    <w:p w14:paraId="3589D4AC" w14:textId="77777777" w:rsidR="000B1B08" w:rsidRPr="00C33834" w:rsidRDefault="000B1B08" w:rsidP="00C33834">
      <w:pPr>
        <w:spacing w:after="0" w:line="240" w:lineRule="auto"/>
        <w:jc w:val="both"/>
        <w:rPr>
          <w:rFonts w:ascii="Times New Roman" w:hAnsi="Times New Roman"/>
          <w:color w:val="000000" w:themeColor="text1"/>
          <w:sz w:val="16"/>
          <w:szCs w:val="16"/>
        </w:rPr>
      </w:pPr>
    </w:p>
    <w:p w14:paraId="03B09A36"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г. несмотря на отдельные недостатки в работе полуавтоматики 76 мм пушка ПС-3 П.Сячентова была принята на вооружение под индексом «танковая пушка обр. 1933 г.» и Кировскому заводу была поставлена задача по освоению ее серийного производства. Интересной особенностью пушки ПС-3 была ее способность поглощать выстрелы не только полкового орудия обр. 1927 г., но и штатные выстрелы дивизионной пушки обр. 1902 г., даже с зарядом пороха в 935 г., в то время как пушка КТ могла использовать только выстрелы «полковушки» обр. 1927 г. с зарядом пороха 475 г. Еще одним важным преимуществом ПС-3 был клиновой полуавтоматический затвор, обеспечивающий нормальное заряжание орудия с места и в движении танка одним человеком, тогда как в пушке КТ все это было очень и очень затруднительно. Пушка же КТ (выполненная на основе конструкции полковой пушки обр. 1927 г.) была допущена для вооружения танков Т-35 и Т-28 «вплоть до начала массового выпуска 76,2-мм специальной танковой пушки по типу ПС-3», поскольку маски у них были почти одинаковыми. Интересна также фраза , отмеченная в отчете по 76-мм танковым пушкам 1934 г. «универсальная танковая пушка типа «Л» - технически несовершенна, обладает большим количеством недостатков. Разработку пушки типа «Л» немедленно прекратить.» ПС-3 была СПЕЦИАЛЬНОЙ ТАНКОВОЙ пушкой, так как имела свою оригинальную баллистику и была специально приспособлена именно и только для установки в танке. Несмотря на то, что пушка ПС-3 уже была принята на вооружение, работы по ее доводке активно продолжались. Первоначально их вел сам конструктор, но с началом серийного производства и назначением П.Сячинтова начальником секции «спецмашин и самоходов» Управления Моторизации и Механизации, все работы по ПС-3 были переданы с ОКМО на КБ Кировского завода (6208, 42).</w:t>
      </w:r>
    </w:p>
    <w:p w14:paraId="2918C749"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36A201CE" w14:textId="77777777" w:rsidR="006E56A1" w:rsidRPr="00C33834" w:rsidRDefault="006E56A1" w:rsidP="00C33834">
      <w:pPr>
        <w:tabs>
          <w:tab w:val="left" w:pos="1153"/>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 мая 1933 г. на Путиловском заводе (Санкт-Петербургский чугунолитейный казенный завод, Металлургический и машиностроительный завод АО «Путиловские заводы», «Красный путиловец» НКТП, Ленинградский Кировский завод (ЛКЗ) НКТП, НКМ, НКТМ, НКСМ, НКТП, Кировский завод МТМ, МОП, Дважды ордена Ленина, ордена Октябрьской революции, ордена Красного Знамени, ордена Трудового Красного знамени, ордена Дружбы Народов Ленинградское ПО «Кировский завод» МОП, АООТ, ОАО «Кировский завод» /г. Санкт-Петербург,  г. Ленинград;  г. Челябинск/ /198097  г. Ленинград,  г. Санкт-Петербург пр. Стачек, д. 47 тел. 183-80-01/). начато освоение производства танковой пушки ПС-3, в 1938 г. она снята с вооружения в связи с арестом П. Сячинтова. В 1935-36 г. конструкторами П. Сячинтовым и ЛИ. Горлицким под руководством С.А. Маханова на базе ПС-19 создана 76-мм пушка </w:t>
      </w:r>
      <w:r w:rsidRPr="00C33834">
        <w:rPr>
          <w:rFonts w:ascii="Times New Roman" w:hAnsi="Times New Roman"/>
          <w:color w:val="000000" w:themeColor="text1"/>
          <w:sz w:val="16"/>
          <w:szCs w:val="16"/>
          <w:lang w:val="en-US"/>
        </w:rPr>
        <w:t>JI</w:t>
      </w:r>
      <w:r w:rsidRPr="00C33834">
        <w:rPr>
          <w:rFonts w:ascii="Times New Roman" w:hAnsi="Times New Roman"/>
          <w:color w:val="000000" w:themeColor="text1"/>
          <w:sz w:val="16"/>
          <w:szCs w:val="16"/>
        </w:rPr>
        <w:t xml:space="preserve">-7 для Т-28, велись работы по универсальной 76-мм пушке </w:t>
      </w:r>
      <w:r w:rsidRPr="00C33834">
        <w:rPr>
          <w:rFonts w:ascii="Times New Roman" w:hAnsi="Times New Roman"/>
          <w:color w:val="000000" w:themeColor="text1"/>
          <w:sz w:val="16"/>
          <w:szCs w:val="16"/>
          <w:lang w:val="en-US"/>
        </w:rPr>
        <w:t>JI</w:t>
      </w:r>
      <w:r w:rsidRPr="00C33834">
        <w:rPr>
          <w:rFonts w:ascii="Times New Roman" w:hAnsi="Times New Roman"/>
          <w:color w:val="000000" w:themeColor="text1"/>
          <w:sz w:val="16"/>
          <w:szCs w:val="16"/>
        </w:rPr>
        <w:t xml:space="preserve">-10 (1938 г.). В 1938 г. на базе </w:t>
      </w:r>
      <w:r w:rsidRPr="00C33834">
        <w:rPr>
          <w:rFonts w:ascii="Times New Roman" w:hAnsi="Times New Roman"/>
          <w:color w:val="000000" w:themeColor="text1"/>
          <w:sz w:val="16"/>
          <w:szCs w:val="16"/>
          <w:lang w:val="en-US"/>
        </w:rPr>
        <w:t>JI</w:t>
      </w:r>
      <w:r w:rsidRPr="00C33834">
        <w:rPr>
          <w:rFonts w:ascii="Times New Roman" w:hAnsi="Times New Roman"/>
          <w:color w:val="000000" w:themeColor="text1"/>
          <w:sz w:val="16"/>
          <w:szCs w:val="16"/>
        </w:rPr>
        <w:t xml:space="preserve">-10 создана </w:t>
      </w:r>
      <w:r w:rsidRPr="00C33834">
        <w:rPr>
          <w:rFonts w:ascii="Times New Roman" w:hAnsi="Times New Roman"/>
          <w:color w:val="000000" w:themeColor="text1"/>
          <w:sz w:val="16"/>
          <w:szCs w:val="16"/>
          <w:lang w:val="en-US"/>
        </w:rPr>
        <w:t>JI</w:t>
      </w:r>
      <w:r w:rsidRPr="00C33834">
        <w:rPr>
          <w:rFonts w:ascii="Times New Roman" w:hAnsi="Times New Roman"/>
          <w:color w:val="000000" w:themeColor="text1"/>
          <w:sz w:val="16"/>
          <w:szCs w:val="16"/>
        </w:rPr>
        <w:t>-11, в 04.1939 г. он пнв для танков Т-28 и БТ-7А, но затем снята с вооружения из-за конструктивных недостатков (11982).</w:t>
      </w:r>
    </w:p>
    <w:p w14:paraId="002BFDDA"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32B648A5"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года в соответствии с Постановлением Правительства СССР серийное производство Т-35 было передано на Харьковский паровозостроительный завод имени Коминтерна (ХПЗ) (3862).</w:t>
      </w:r>
    </w:p>
    <w:p w14:paraId="160DC17B"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28C43DE3" w14:textId="77777777" w:rsidR="00006C61" w:rsidRPr="00C33834" w:rsidRDefault="00006C6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г. в соответствии с Постановлением Правительства СССР серийное производство Т-35 было передано на Харьковский паровозостроительный завод имени Коминтерна (ХПЗ). Туда в начале июня 1933 г. в срочном порядке отправили еще не прошедшую испытания машину Т-35—2 и всю рабочую документацию по Т-35А. Проект последнего значительно отличался от обоих прототипов. Танк имел удлиненную на одну тележку ходовую часть, малые пулеметные башни новой конструкции, средние башни увеличенного размера с 45-мм орудиями 20К, измененную форму корпуса и т.д (15117).</w:t>
      </w:r>
    </w:p>
    <w:p w14:paraId="0B86FBC5" w14:textId="77777777" w:rsidR="00006C61" w:rsidRPr="00C33834" w:rsidRDefault="00006C61" w:rsidP="00C33834">
      <w:pPr>
        <w:spacing w:after="0" w:line="240" w:lineRule="auto"/>
        <w:jc w:val="both"/>
        <w:rPr>
          <w:rFonts w:ascii="Times New Roman" w:hAnsi="Times New Roman"/>
          <w:color w:val="000000" w:themeColor="text1"/>
          <w:sz w:val="16"/>
          <w:szCs w:val="16"/>
        </w:rPr>
      </w:pPr>
    </w:p>
    <w:p w14:paraId="547560EC"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мае 1933 на ХПЗ был закончен проект по увеличению запаса топлива на БТ за счет двойного дна, а также установка дополнительного бака в корме (3880,19).</w:t>
      </w:r>
    </w:p>
    <w:p w14:paraId="36142BF4"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3EE710E6" w14:textId="77777777" w:rsidR="006E56A1" w:rsidRPr="00C33834" w:rsidRDefault="006E56A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г. был установлен порог мощности но</w:t>
      </w:r>
      <w:r w:rsidRPr="00C33834">
        <w:rPr>
          <w:rFonts w:ascii="Times New Roman" w:hAnsi="Times New Roman"/>
          <w:color w:val="000000" w:themeColor="text1"/>
          <w:sz w:val="16"/>
          <w:szCs w:val="16"/>
        </w:rPr>
        <w:softHyphen/>
        <w:t>вого мотора в 92 л.с. (часто писали 90 л.с.), который новый мотор легко одолел. При этом эксплуатационная мощность мотора составляла 75 л.с. Именно таким «железным сердцем» и оборудовались почти все Т-26 с цилиндрической пушечной башней (10733,218).</w:t>
      </w:r>
    </w:p>
    <w:p w14:paraId="4180188D" w14:textId="77777777" w:rsidR="006E56A1" w:rsidRPr="00C33834" w:rsidRDefault="006E56A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3AC09F" w14:textId="77777777" w:rsidR="006E56A1" w:rsidRPr="00C33834" w:rsidRDefault="006E56A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маю 1933 проект танка, получившего индекс КТ-26, и его ходовой макет были предъявлены УММ, которое для рас</w:t>
      </w:r>
      <w:r w:rsidRPr="00C33834">
        <w:rPr>
          <w:rFonts w:ascii="Times New Roman" w:hAnsi="Times New Roman"/>
          <w:color w:val="000000" w:themeColor="text1"/>
          <w:sz w:val="16"/>
          <w:szCs w:val="16"/>
        </w:rPr>
        <w:softHyphen/>
        <w:t>смотрения полученных материалов созвало Техсовет, конс</w:t>
      </w:r>
      <w:r w:rsidRPr="00C33834">
        <w:rPr>
          <w:rFonts w:ascii="Times New Roman" w:hAnsi="Times New Roman"/>
          <w:color w:val="000000" w:themeColor="text1"/>
          <w:sz w:val="16"/>
          <w:szCs w:val="16"/>
        </w:rPr>
        <w:softHyphen/>
        <w:t>татировавший, что для реализации требований проекта слушатели ВАММ под руководством М. Данченко и В. Степаницкого «провели большую и успешную работу». Они разработали новую пятискоростную КПП и ходовую часть, сочетающую как гусеничный, так и колесный ход. Броне-корпус был в целом сохранен, лишь в носовой части он был сужен до 300 мм для осуществления поворотов передней пары катков при движении танка на колесном ходу. Так как башню танка предполагалось использовать без изменений от танка Т-26, то с сохранением его вооружения вопросов не возникало. МТО танка сохраняло двигатель воздушного охлажде</w:t>
      </w:r>
      <w:r w:rsidRPr="00C33834">
        <w:rPr>
          <w:rFonts w:ascii="Times New Roman" w:hAnsi="Times New Roman"/>
          <w:color w:val="000000" w:themeColor="text1"/>
          <w:sz w:val="16"/>
          <w:szCs w:val="16"/>
        </w:rPr>
        <w:softHyphen/>
        <w:t>ния Т-26 мощностью 90 л.с., а трансмиссия, помимо новой 5-ступенчатой КПП, получила также два карданных вала для обеспечения колесного хода, простой дифференциал с дополнительным редуктором, бортовой редуктор привода от дифференциала к гитарам, две гитары и новый механизм быстрого перехода с гусеничного хода на колесный. Ходовая часть танка содержала три пары опорных кат</w:t>
      </w:r>
      <w:r w:rsidRPr="00C33834">
        <w:rPr>
          <w:rFonts w:ascii="Times New Roman" w:hAnsi="Times New Roman"/>
          <w:color w:val="000000" w:themeColor="text1"/>
          <w:sz w:val="16"/>
          <w:szCs w:val="16"/>
        </w:rPr>
        <w:softHyphen/>
        <w:t>ков диаметром 780 мм с внешней резиновой ошиновкой, два штатных ведущих колеса танка Т-26 и два направляю</w:t>
      </w:r>
      <w:r w:rsidRPr="00C33834">
        <w:rPr>
          <w:rFonts w:ascii="Times New Roman" w:hAnsi="Times New Roman"/>
          <w:color w:val="000000" w:themeColor="text1"/>
          <w:sz w:val="16"/>
          <w:szCs w:val="16"/>
        </w:rPr>
        <w:softHyphen/>
        <w:t>щих колеса диаметром 535 мм. Однако, по мнению Техсовета УММ, танк не отвечал требованиям оперативной подвижности, так как с двигате</w:t>
      </w:r>
      <w:r w:rsidRPr="00C33834">
        <w:rPr>
          <w:rFonts w:ascii="Times New Roman" w:hAnsi="Times New Roman"/>
          <w:color w:val="000000" w:themeColor="text1"/>
          <w:sz w:val="16"/>
          <w:szCs w:val="16"/>
        </w:rPr>
        <w:softHyphen/>
        <w:t>лем 90 л.с. при массе свыше 10 т никак не мог развивать скорость свыше 40 км/ч. Кроме того, были обнаружены множественные ошибки в прочностном расчете КПП и трансмиссии колесного хода. Поэтому от изготовления опытного образца КТ-26 было решено отказаться (10733,307).</w:t>
      </w:r>
    </w:p>
    <w:p w14:paraId="6AFC8713" w14:textId="77777777" w:rsidR="006E56A1" w:rsidRPr="00C33834" w:rsidRDefault="006E56A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D6D2A5"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мае 1933 года универсальный гусеничный трактор «Комсомолец» (не путать с тягачом Т-20) с опытным дизелем был построен на СТЗ, но оказался не совсем удачным, и не столько по своей конструкции (увеличенная масса, неудобная компоновка, недове-денность двигателя, малая надежность агрегатов), сколько по общему замыслу, Выяснилось, что совместить в одной машине противоречивые требования к принципиально различным условиям эксплуатации невозможно. От идеи универсальной машины пришлось отказаться, но спроектировать два трактора — сельскохозяйственный и транспортный, максимально унифицированных по своим основным агрегатам, способных выпускаться параллельно на одном конвейере, представлялось тогда реальным. </w:t>
      </w:r>
    </w:p>
    <w:p w14:paraId="705BEFC3"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 этой инициативой и выступили летом 1933 года конструкторы НАТИ. Ими предлагалась обратная поузловая унификация, когда сельскохозяйственный вариант трактора получал элементы трансмиссии и ходовой части, более характерные для быстроходной гусеничной машины; четырехступенчатую коробку передач с возможностью увеличения числа ступеней, двухкат-ковые блокированные пружино-балансирные каретки подвески, легкие и ажурные литые траки гусениц, торцевой отбор мощности, закрытую кабину (Через несколько десятков лет, когда потребовались более высокие рабочие скорости сельскохозяйственных тракторов, эти удачно выбранные конструктивные элементы оказались для них очень уместными). Эти прогрессивные решения, заложенные в конструкцию транспортного трактора, при его ограниченных сцепных возможностях и мощности двигателя, не обеспечивали выполнения всех требований к полноценному среднему артиллерийскому тягачу для армии, но позволяли в определенной мере содействовать решению транспортных задач. </w:t>
      </w:r>
    </w:p>
    <w:p w14:paraId="1209F45E"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Разработка двух видов тракторов под общим руководством В.Я.Слонимского (НАТИ) велась параллельно в течение двух лет на СТЗ объединенным КБ (30 человек), куда входили заводские инженеры и прикомандированные к ним работники института. Большой вклад в создание транспортного трактора СТЗ-НАТИ 2ТВ (чаще использовалось заводское название СТЗ-5) внесли конструкторы И.И.Дронг, В.А.Кэр-гополов, Г.Ф.Матюков и Г.В.Соколов — от СТЗ; А.В.Васильев, В.Э.Малаховский, Д.А.Чудаков и В.Н.Тюляев - от НАТИ (11639).</w:t>
      </w:r>
    </w:p>
    <w:p w14:paraId="22F07C9D"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7EE94AEE" w14:textId="77777777" w:rsidR="006E56A1" w:rsidRPr="00C33834" w:rsidRDefault="006E56A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мая по сентябрь 1933 года нервый опытный дизель-мотор ХПЗ БД-1 проходил стендо</w:t>
      </w:r>
      <w:r w:rsidRPr="00C33834">
        <w:rPr>
          <w:rFonts w:ascii="Times New Roman" w:hAnsi="Times New Roman"/>
          <w:color w:val="000000" w:themeColor="text1"/>
          <w:sz w:val="16"/>
          <w:szCs w:val="16"/>
        </w:rPr>
        <w:softHyphen/>
        <w:t>вые испытания. К 1 мая 1933 года быстроходный дизель БД-1 был собран. Помня свой богатый опыт неудач, начиная с Д-40, Челпан и Вихман приготовились к тому, что, во-первых, он сразу же не запустится, а во-вторых, долго не проработает. А проработать на испытаниях согласно техническому зада</w:t>
      </w:r>
      <w:r w:rsidRPr="00C33834">
        <w:rPr>
          <w:rFonts w:ascii="Times New Roman" w:hAnsi="Times New Roman"/>
          <w:color w:val="000000" w:themeColor="text1"/>
          <w:sz w:val="16"/>
          <w:szCs w:val="16"/>
        </w:rPr>
        <w:softHyphen/>
        <w:t>нию на дизель Д-300 мотор должен был целых 150 часов. Неожиданно мотор сразу запустился и начал работать, словно это на</w:t>
      </w:r>
      <w:r w:rsidRPr="00C33834">
        <w:rPr>
          <w:rFonts w:ascii="Times New Roman" w:hAnsi="Times New Roman"/>
          <w:color w:val="000000" w:themeColor="text1"/>
          <w:sz w:val="16"/>
          <w:szCs w:val="16"/>
        </w:rPr>
        <w:softHyphen/>
        <w:t>дежный серийный двигатель. был поставлен на специальный обкаточ</w:t>
      </w:r>
      <w:r w:rsidRPr="00C33834">
        <w:rPr>
          <w:rFonts w:ascii="Times New Roman" w:hAnsi="Times New Roman"/>
          <w:color w:val="000000" w:themeColor="text1"/>
          <w:sz w:val="16"/>
          <w:szCs w:val="16"/>
        </w:rPr>
        <w:softHyphen/>
        <w:t>ный стенд (11504).</w:t>
      </w:r>
    </w:p>
    <w:p w14:paraId="56EC79A1" w14:textId="77777777" w:rsidR="006E56A1" w:rsidRPr="00C33834" w:rsidRDefault="006E56A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03085A" w14:textId="77777777" w:rsidR="00323684" w:rsidRPr="00C33834" w:rsidRDefault="0032368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г. Гудериан в составе делегации Боккельберга вторично посетил СССР. Он осматривал тракторное и танковое производство в Харькове (18265).</w:t>
      </w:r>
    </w:p>
    <w:p w14:paraId="14644FFF" w14:textId="77777777" w:rsidR="00323684" w:rsidRPr="00C33834" w:rsidRDefault="00323684" w:rsidP="00C33834">
      <w:pPr>
        <w:spacing w:after="0" w:line="240" w:lineRule="auto"/>
        <w:jc w:val="both"/>
        <w:rPr>
          <w:rFonts w:ascii="Times New Roman" w:hAnsi="Times New Roman"/>
          <w:color w:val="000000" w:themeColor="text1"/>
          <w:sz w:val="16"/>
          <w:szCs w:val="16"/>
        </w:rPr>
      </w:pPr>
    </w:p>
    <w:p w14:paraId="675DA14E" w14:textId="77777777" w:rsidR="00323684" w:rsidRPr="00C33834" w:rsidRDefault="0032368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года в КБМ 3-38 (что это автору неизвестно) закончилось проектирование мотоброневагона А-34, представленный в УММ РККА в 1932-1933 годах. Судя по сохранившимся чертежам, это была двухосная машина, вооружение которой состояло из 122-мм пушки образца 1931 года (А-19) и 3 пулеметов Максима. Орудие размещалось в башне кругового вращения, имевшей довольно большой размер. В днище А-34 имелись специальные домкраты, на которые мотоброневагон мог опираться при стрельбе. Два пулемета Максима размещались в башенках, по одной в передней и задней части машины, а один выдвигался из артиллерийской башни и использовался для зенитной стрельбы. Мотобронева-гон оснащался радиостанцией</w:t>
      </w:r>
    </w:p>
    <w:p w14:paraId="0E022BF8" w14:textId="77777777" w:rsidR="00323684" w:rsidRPr="00C33834" w:rsidRDefault="0032368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 осенью 1933 года провели очередную модернизацию бронедрезины Д-37 - на ней установили башню танка Т-26 с 45-мм пушкой (при этом кормовую нишу заменили двухстворчатым люком), радиостанцию 71 -ТК с поручневой антенной, оснастили укладками шанцевого инструмента и ящиками с ЗИП (18626).</w:t>
      </w:r>
    </w:p>
    <w:p w14:paraId="045D7B86" w14:textId="77777777" w:rsidR="00323684" w:rsidRPr="00C33834" w:rsidRDefault="00323684" w:rsidP="00C33834">
      <w:pPr>
        <w:spacing w:after="0" w:line="240" w:lineRule="auto"/>
        <w:jc w:val="both"/>
        <w:rPr>
          <w:rFonts w:ascii="Times New Roman" w:hAnsi="Times New Roman"/>
          <w:color w:val="000000" w:themeColor="text1"/>
          <w:sz w:val="16"/>
          <w:szCs w:val="16"/>
        </w:rPr>
      </w:pPr>
    </w:p>
    <w:p w14:paraId="11588086"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мае 1933 г. был основан Ижевский мотозавод (Завод № 524 НКВ, Ижевский государственный мотоциклетный завод им. Всесоюзного общества «Автодор», Ижевский мотозавод </w:t>
      </w:r>
      <w:r w:rsidRPr="00C33834">
        <w:rPr>
          <w:rFonts w:ascii="Times New Roman" w:hAnsi="Times New Roman"/>
          <w:color w:val="000000" w:themeColor="text1"/>
          <w:sz w:val="16"/>
          <w:szCs w:val="16"/>
          <w:lang w:val="en-US"/>
        </w:rPr>
        <w:t>MOM</w:t>
      </w:r>
      <w:r w:rsidRPr="00C33834">
        <w:rPr>
          <w:rFonts w:ascii="Times New Roman" w:hAnsi="Times New Roman"/>
          <w:color w:val="000000" w:themeColor="text1"/>
          <w:sz w:val="16"/>
          <w:szCs w:val="16"/>
        </w:rPr>
        <w:t>, ПО «Ижевский мотозавод», Устиновский мотозавод, АООТ «Аксион», ОАО «Ижевский мотозавод «Аксион-Холдинг», ЗАО «Концерн «Аксион» /426000 (426057)  г. Ижевск ул. М. Горького, 90 тел. 78-30-74/) как первенец отечественного мотоциклостроения. Разработаны первые советские мотоциклы ИЖ-7, ИЖ-8, ИЖ-9, ИЖ-12. В годы войны перешел на выпуск стрелкового оружия. Завод № 524 НКВ был в 1943 г. После войны освоен выпуск охотничьего оружия. Здесь также была изготовлена опытная партия автомата АК-47.</w:t>
      </w:r>
    </w:p>
    <w:p w14:paraId="0B475B0A"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1949 г. завод перепрофилирован на приборостроение. Производство аппаратуры связи и телеметрии КА. Вторым направлением стал выпуск систем управления (СУ) ОТРК, РК ВМФ.</w:t>
      </w:r>
    </w:p>
    <w:p w14:paraId="4B7C579D"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Позднее из системы СИХ передан в подчинение 5ГУ </w:t>
      </w:r>
      <w:r w:rsidRPr="00C33834">
        <w:rPr>
          <w:rFonts w:ascii="Times New Roman" w:hAnsi="Times New Roman"/>
          <w:color w:val="000000" w:themeColor="text1"/>
          <w:sz w:val="16"/>
          <w:szCs w:val="16"/>
          <w:lang w:val="en-US"/>
        </w:rPr>
        <w:t>MOM</w:t>
      </w:r>
      <w:r w:rsidRPr="00C33834">
        <w:rPr>
          <w:rFonts w:ascii="Times New Roman" w:hAnsi="Times New Roman"/>
          <w:color w:val="000000" w:themeColor="text1"/>
          <w:sz w:val="16"/>
          <w:szCs w:val="16"/>
        </w:rPr>
        <w:t xml:space="preserve"> и по приказу от 6.03.1966 г. переименован в Ижевский мотозавод. Производство средств приема и автоматизированной обработки телеметрической информации.</w:t>
      </w:r>
    </w:p>
    <w:p w14:paraId="7C39F8B9"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1976 г. построен корпус микроэлектроники.</w:t>
      </w:r>
    </w:p>
    <w:p w14:paraId="5707D77A"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1994 г. предприятие акционировано и преобразовано в АООТ «Аксион». В 1997 г. переименовано в ОАО «Ижевский мотозавод «Аксион-холдинг». С 1999 г. - ЗАО «Концерн «Аксион».</w:t>
      </w:r>
    </w:p>
    <w:p w14:paraId="62E25057"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Принимал участие в программах: «Восток», «Восход», «Венера», «Марс», «Миф», «Союз», «Прогресс», «Фобос», «Союз-Аполлон», «Интеркосмос», «Буран-Энергия», «Салют», «Алмаз», «Бион», «Вега», «Гермес», «Ямал», МКС.</w:t>
      </w:r>
    </w:p>
    <w:p w14:paraId="1F30FE76"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(2002 г.): бортовые и наземные средства передачи, обработки, приема телеметрической информации.</w:t>
      </w:r>
    </w:p>
    <w:p w14:paraId="359EBB13"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Имелся филиал в Москве (2000 г.). В состав предприятия входили заводы (2002 г.): приборной техники, медтехники, бытовых магнитофонов, инструментальный. Имеются производства: сборочно-монтажное приборов и систем; печатных плат, в т.ч. многослойных; гибридных микросборок; механическое; электроэрозионная и электроискровая обработка; точное литье; переработка пластмасс; гальванические и лакокрасочные покрытия.</w:t>
      </w:r>
    </w:p>
    <w:p w14:paraId="257BA950"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решению правительства № 22-р от 9.01.2004 г. ОАО «Ижевский мотозавод «Аксион холдинг»« вошло в перечень стратегических предприятий. По указу № 526 от 11.05.2009 г. предприятие исключено из перечня стратегических.</w:t>
      </w:r>
    </w:p>
    <w:p w14:paraId="141B1AA3"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Численность персонала (2002 г.)- около 7000 чел.</w:t>
      </w:r>
    </w:p>
    <w:p w14:paraId="6ED99802"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(1960-е)- И.С. Стыценко, (2000-е)- М.Н. Гехтман. Гендиректор (-2002-05 г.-)-  Г.И. Кудрявцев.</w:t>
      </w:r>
    </w:p>
    <w:p w14:paraId="2CA978CB"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по маркетингу и сбыту (2000-е)- А.В. Рудаков; по развитию (2000-е)- В.А. Николаев; по экономике, финансам и управлению (2002 г.)- В.А. Пилин; по науке (2002 г.)- А.С. Пышков; технический (2002 г.)- И.К. Ижболдин.</w:t>
      </w:r>
    </w:p>
    <w:p w14:paraId="7C8BC528"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(-1964 г.)- А.В. Воскресенский.</w:t>
      </w:r>
    </w:p>
    <w:p w14:paraId="19177F54"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гл. инженера (1958 г.-)- А.В. Воскресенский.</w:t>
      </w:r>
    </w:p>
    <w:p w14:paraId="357C6D4B"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конструктор (2002 г.)- А.С. Пышков. Гл. технолог (1942-43 г.)- Н.В. Кочерыгин.</w:t>
      </w:r>
    </w:p>
    <w:p w14:paraId="01799D6F"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iCs/>
          <w:color w:val="000000" w:themeColor="text1"/>
          <w:sz w:val="16"/>
          <w:szCs w:val="16"/>
        </w:rPr>
        <w:t>Производство:</w:t>
      </w:r>
      <w:r w:rsidRPr="00C33834">
        <w:rPr>
          <w:rFonts w:ascii="Times New Roman" w:hAnsi="Times New Roman"/>
          <w:color w:val="000000" w:themeColor="text1"/>
          <w:sz w:val="16"/>
          <w:szCs w:val="16"/>
        </w:rPr>
        <w:t xml:space="preserve"> мотоциклы ИЖ-7, ИЖ-8, ИЖ-9, ИЖ-12 (1930-е); пулемет «Максима» (ВОВ), АК-47 -1500; охотничье ружье ИЖ-49; электронно-моделирующая станция «Электрон» (1950-е); счетно-решающие приборы для самоходных установок «Астра», «Шилка», «Ваза» (1950-е); топографические привязчики; наземные и корабельные командно-измерительные станции управления КА (1960-е); быстродействующий радиотелеметрический комплекс БРС-1, радиотелеметрический комплекс РТС-1 в составе машин МА-9 и МО-9 (1960-е); аппаратура обработки телеметрической информации СТИ-90 (1968-),</w:t>
      </w:r>
      <w:r w:rsidRPr="00C33834">
        <w:rPr>
          <w:rFonts w:ascii="Times New Roman" w:hAnsi="Times New Roman"/>
          <w:color w:val="000000" w:themeColor="text1"/>
          <w:sz w:val="16"/>
          <w:szCs w:val="16"/>
          <w:vertAlign w:val="superscript"/>
        </w:rPr>
        <w:t>77</w:t>
      </w:r>
      <w:r w:rsidRPr="00C33834">
        <w:rPr>
          <w:rFonts w:ascii="Times New Roman" w:hAnsi="Times New Roman"/>
          <w:color w:val="000000" w:themeColor="text1"/>
          <w:sz w:val="16"/>
          <w:szCs w:val="16"/>
        </w:rPr>
        <w:t xml:space="preserve"> ПРС-7, НПРС-9(2002); КИС для управления КА «Купон», «Горизонт», «Экспресс», «Галс» (2002); комплекс «Крым-2М»; аппаратура связи «Наука М-04» и «Чолбон» для КА «Горизонт» и «Экспресс», телекоммуникационная аппаратура «Радуга-4», «Радуга-6» (2002); бортовая СУ для КА «Кондор» (2005); СУ ракет 8К11, 8К14, «Темп-С» (1960-е), ЗМ65, 3</w:t>
      </w:r>
      <w:r w:rsidRPr="00C33834">
        <w:rPr>
          <w:rFonts w:ascii="Times New Roman" w:hAnsi="Times New Roman"/>
          <w:color w:val="000000" w:themeColor="text1"/>
          <w:sz w:val="16"/>
          <w:szCs w:val="16"/>
          <w:lang w:val="en-US"/>
        </w:rPr>
        <w:t>M</w:t>
      </w:r>
      <w:r w:rsidRPr="00C33834">
        <w:rPr>
          <w:rFonts w:ascii="Times New Roman" w:hAnsi="Times New Roman"/>
          <w:color w:val="000000" w:themeColor="text1"/>
          <w:sz w:val="16"/>
          <w:szCs w:val="16"/>
        </w:rPr>
        <w:t>37 (1970-е), корабельная аппаратура СУ ЗР65 комплекса «Тайфун», ЗРЗО комплекса 3</w:t>
      </w:r>
      <w:r w:rsidRPr="00C33834">
        <w:rPr>
          <w:rFonts w:ascii="Times New Roman" w:hAnsi="Times New Roman"/>
          <w:color w:val="000000" w:themeColor="text1"/>
          <w:sz w:val="16"/>
          <w:szCs w:val="16"/>
          <w:lang w:val="en-US"/>
        </w:rPr>
        <w:t>K</w:t>
      </w:r>
      <w:r w:rsidRPr="00C33834">
        <w:rPr>
          <w:rFonts w:ascii="Times New Roman" w:hAnsi="Times New Roman"/>
          <w:color w:val="000000" w:themeColor="text1"/>
          <w:sz w:val="16"/>
          <w:szCs w:val="16"/>
        </w:rPr>
        <w:t>37 (1970-е), СУ комплекса «Тополь», «Тополь-М» (1990-е);</w:t>
      </w:r>
      <w:r w:rsidRPr="00C33834">
        <w:rPr>
          <w:rFonts w:ascii="Times New Roman" w:hAnsi="Times New Roman"/>
          <w:color w:val="000000" w:themeColor="text1"/>
          <w:sz w:val="16"/>
          <w:szCs w:val="16"/>
          <w:vertAlign w:val="superscript"/>
        </w:rPr>
        <w:t xml:space="preserve">102 </w:t>
      </w:r>
      <w:r w:rsidRPr="00C33834">
        <w:rPr>
          <w:rFonts w:ascii="Times New Roman" w:hAnsi="Times New Roman"/>
          <w:iCs/>
          <w:color w:val="000000" w:themeColor="text1"/>
          <w:sz w:val="16"/>
          <w:szCs w:val="16"/>
        </w:rPr>
        <w:t>магнитофоны:</w:t>
      </w:r>
      <w:r w:rsidRPr="00C33834">
        <w:rPr>
          <w:rFonts w:ascii="Times New Roman" w:hAnsi="Times New Roman"/>
          <w:color w:val="000000" w:themeColor="text1"/>
          <w:sz w:val="16"/>
          <w:szCs w:val="16"/>
        </w:rPr>
        <w:t xml:space="preserve"> «ИЖ-302, -303, -305, -306, -207»; медтехника (дефибрилляторы ДКИ-Н-04, электрокардиограф ЭК1Т-04 «Аксион», оксиметр «0ксипульс-01», массажер «Ковак») (11982).</w:t>
      </w:r>
    </w:p>
    <w:p w14:paraId="31994DDE"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614D0D5F" w14:textId="77777777" w:rsidR="00323684" w:rsidRPr="00C33834" w:rsidRDefault="0032368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г. было принято правительственное решение о проектировании и строительстве в Ленинграде опытного завода по получению хлоропренового каучука, производительностью 1 тонна каучука в сутки, с вводом в эксплуатацию в июле 1934 г., о строительстве крупного промышленного производства хлоропренового каучука и всех вспомогательных производств в г. Ереване. Решение об организации производства хлоропренового каучука в г. Ереване было принято по инициативе Совнаркома Армении.</w:t>
      </w:r>
    </w:p>
    <w:p w14:paraId="6406E50A" w14:textId="77777777" w:rsidR="00323684" w:rsidRPr="00C33834" w:rsidRDefault="0032368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и строительство опытного завода хлоропренового каучука велось исключительно быстрыми темпами, в июле 1934 г. завод уже начал выпускать каучук. Опытный завод получил название опытный завод СК «Литер С» [22] (18298).</w:t>
      </w:r>
    </w:p>
    <w:p w14:paraId="778DABF6" w14:textId="77777777" w:rsidR="00323684" w:rsidRPr="00C33834" w:rsidRDefault="00323684" w:rsidP="00C33834">
      <w:pPr>
        <w:spacing w:after="0" w:line="240" w:lineRule="auto"/>
        <w:jc w:val="both"/>
        <w:rPr>
          <w:rFonts w:ascii="Times New Roman" w:hAnsi="Times New Roman"/>
          <w:color w:val="000000" w:themeColor="text1"/>
          <w:sz w:val="16"/>
          <w:szCs w:val="16"/>
        </w:rPr>
      </w:pPr>
    </w:p>
    <w:p w14:paraId="110AFBD3"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года для детального изучения проекта лодки Е-1 фирмы IVS за границу командировали группу ведущих специалистов в области подводного плавания — А.И. Зельтинга, В.Н. Перегудова, С.Г. Туркова, В.И. Говорухи­на, В.Ф. Критского, З.А. Дерибина, А.А. Толчинского и А.Г. Соколова. Сначала советская делегация посетила фирму «Дешимаг» в Бремене (фактически являвшуюся владельцем голландской IVS), а затем выехала в Картахену, где состоялись испытания достроен­ной Е-1. Несмотря на две аварии, произо­шедшие в процессе испытаний - пожар в носовой аккумуляторной яме и выход из строя электропривода горизонтальных ру­лей, - в целом конструкция подлодки заслу­жила положительную оценку. Поэтому вско­ре после возвращения делегации в Москву и доклада о результатах командировки пра­вительству был заключен договор между «Союзверфью» и фирмой «Дешимаг» В нем предусматривалось, что немецкая сторона откорректирует проект лодки Е-1 с учетом высказанных замечаний и предоставит СССР полный комплект чертежей. Кроме того, «Дешимаг» брал на себя обязательство оказать содействие в размещении на германских предприятиях заказов на аккумуляторы, электро- и радиоприборы, эхолоты, гироком­пасы и другое дефицитное оборудование, в котором остро нуждалось советское кораб­лестроение. Основные замечания к тактико-техничес­ким элементам лодки, высказанные советскими специалистами, касались состава ар­тиллерийского вооружения, скорости и дальности плавания, автономности. В частности, от проектировщиков потребовали повысить мощность дизелей и электродвигателей, уве­личить запас топлива и масла. Все это, ра­зумеется, приводило к росту водоизмеще­ния и изменению ряда кораблестроительных элементов. В течение 1933 г. проект "Е-2", такое обозначение получил новый корабль, разрабатывался в Бремене при участии нескольких наших специалистов (10672).</w:t>
      </w:r>
    </w:p>
    <w:p w14:paraId="6D6B8014"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501D6278" w14:textId="77777777" w:rsidR="0058354C" w:rsidRPr="00C33834" w:rsidRDefault="0058354C" w:rsidP="00C33834">
      <w:pPr>
        <w:pStyle w:val="ae"/>
        <w:shd w:val="clear" w:color="auto" w:fill="FFFFFF"/>
        <w:spacing w:before="0" w:after="0"/>
        <w:jc w:val="both"/>
        <w:rPr>
          <w:color w:val="000000" w:themeColor="text1"/>
          <w:sz w:val="16"/>
          <w:szCs w:val="16"/>
        </w:rPr>
      </w:pPr>
      <w:r w:rsidRPr="00C33834">
        <w:rPr>
          <w:color w:val="000000" w:themeColor="text1"/>
          <w:sz w:val="16"/>
          <w:szCs w:val="16"/>
        </w:rPr>
        <w:t>В мае 1933 года вместо сдачи в 1932 году, как было предусмотрено планом, первая Сормовская Щука была отправлена в Ленинград. В те годы у завода не было достроечной базы ни в Ленинграде, ни в Кронштадте, не было и опыта в проведении испытаний подводных лодок, поэтому к достройке и сдаче привлекли Балтийский завод. В доке, построенном на «Красном Сормове», первая подводная лодка ушла из Сормова в Ленинград. А 1 июня 1933 года в 5 часов 30 минут она ошвартовалась у стенки Балтийского завода. По Неве лодка шла не в доке, а «расчаленная между двух барж». Когда в 1934 году заводу выдали наряд на передачу подводной лодки — 4 июня «Красное Сормово» и Балтийский завод заключили договор, где в протоколе на передачу особо оговаривалось условие: Балтийский завод обязуется (за плату, конечно) обучить сормовичей — четверых инженерно-технических работников и 42 рабочих — монтажу механизмов и устройств, допустив их к цеховым («швартовным») испытаниям. А уж лучших из них допустить и к участию в сдаточных испытаниях. Нелегко дался первый подводный корабль сормовичам, но опыт они получили богатый. Подводное кораблестроение на заводе набирало силу. Еще до начала войны требование ВМФ, изложенное в первом задании на строительство подводной лодки («…20 подлодок на случай войны…»), было выполнено. Завод построил 32 субмарины. 15 августа 1934 года, после испытаний и сдачи подлодка «Щ-304» («Комсомолец») была принята в состав ВМФ страны (12189).</w:t>
      </w:r>
    </w:p>
    <w:p w14:paraId="12578251" w14:textId="0E79FA82" w:rsidR="0058354C" w:rsidRPr="00C33834" w:rsidRDefault="0058354C" w:rsidP="00C33834">
      <w:pPr>
        <w:pStyle w:val="ae"/>
        <w:shd w:val="clear" w:color="auto" w:fill="FFFFFF"/>
        <w:spacing w:before="0" w:after="0"/>
        <w:jc w:val="both"/>
        <w:rPr>
          <w:color w:val="000000" w:themeColor="text1"/>
          <w:sz w:val="16"/>
          <w:szCs w:val="16"/>
        </w:rPr>
      </w:pPr>
    </w:p>
    <w:p w14:paraId="788C177A" w14:textId="241C0B83" w:rsidR="003E339D" w:rsidRPr="00C33834" w:rsidRDefault="003E339D" w:rsidP="00C33834">
      <w:pPr>
        <w:pStyle w:val="ae"/>
        <w:shd w:val="clear" w:color="auto" w:fill="FFFFFF"/>
        <w:spacing w:before="0" w:after="0"/>
        <w:jc w:val="both"/>
        <w:rPr>
          <w:i/>
          <w:iCs/>
          <w:color w:val="000000" w:themeColor="text1"/>
          <w:sz w:val="16"/>
          <w:szCs w:val="16"/>
        </w:rPr>
      </w:pPr>
      <w:r w:rsidRPr="00C33834">
        <w:rPr>
          <w:i/>
          <w:iCs/>
          <w:color w:val="000000" w:themeColor="text1"/>
          <w:sz w:val="16"/>
          <w:szCs w:val="16"/>
        </w:rPr>
        <w:t>Армия:</w:t>
      </w:r>
    </w:p>
    <w:p w14:paraId="562FBD1D" w14:textId="77777777" w:rsidR="003E339D" w:rsidRPr="00C33834" w:rsidRDefault="003E339D" w:rsidP="00C33834">
      <w:pPr>
        <w:pStyle w:val="ae"/>
        <w:shd w:val="clear" w:color="auto" w:fill="FFFFFF"/>
        <w:spacing w:before="0" w:after="0"/>
        <w:jc w:val="both"/>
        <w:rPr>
          <w:i/>
          <w:iCs/>
          <w:color w:val="000000" w:themeColor="text1"/>
          <w:sz w:val="16"/>
          <w:szCs w:val="16"/>
        </w:rPr>
      </w:pPr>
    </w:p>
    <w:p w14:paraId="1A52C52B" w14:textId="77777777" w:rsidR="003E339D" w:rsidRPr="00C33834" w:rsidRDefault="003E339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мае 1933 г. УВВС РККА издал директиву о развитии воздушно-десантного дела, в которой подчеркивалось, что в будущей революционноклассовой войне, в которой примет участие РККА, воздушные десанты будут играть крупную роль (Архив ЦДА и К. Ф. 50. Оп. 1. Д. 3. Л. 35.) (21402).</w:t>
      </w:r>
    </w:p>
    <w:p w14:paraId="7462D45D" w14:textId="77777777" w:rsidR="003E339D" w:rsidRPr="00C33834" w:rsidRDefault="003E339D" w:rsidP="00C33834">
      <w:pPr>
        <w:spacing w:after="0" w:line="240" w:lineRule="auto"/>
        <w:jc w:val="both"/>
        <w:rPr>
          <w:rFonts w:ascii="Times New Roman" w:hAnsi="Times New Roman"/>
          <w:color w:val="0070C0"/>
          <w:sz w:val="16"/>
          <w:szCs w:val="16"/>
        </w:rPr>
      </w:pPr>
    </w:p>
    <w:p w14:paraId="422F2668" w14:textId="77777777" w:rsidR="006E56A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25E13A7A" w14:textId="77777777" w:rsidR="006E56A1" w:rsidRPr="00C33834" w:rsidRDefault="006E56A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C8D13DD"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мае 1933 г. была выполнена опытная модель вагона метрополитена. После обкатки и проверки работы вагона Государственной комиссией над доработкой конструкции работала группа ведущих специалистов под руководством главного конструктора Т. А. Казанского и конструктора И. К. Ковалева. </w:t>
      </w:r>
    </w:p>
    <w:p w14:paraId="5B3FF24E"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Тормозная система была разработана на Московском тормозном заводе группой конструкторов в составе И. К. Матросова, В. И. Крылова и Е. В. Клыкова. </w:t>
      </w:r>
    </w:p>
    <w:p w14:paraId="3F3F7F31"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27 августа 1934 г. Мытищинским заводом было подготовлено два опытных вагона, которые были направлены на завод «Динамо», где было смонтировано электротехническое оборудование и аппаратура. Там же вагоны были опробованы, прошли обкатку и 14 октября 1934 г. были отправлены на метрополитен. 15 октября первая секция прибыла в депо «Северное». Первый вагон был опробован со скоростью около 25 км/ч с пассажирами, которыми были работники заводов-изготовителей Мытищинского машиностроительного, Московского тормозного и завода «Динамо». Среди первых пассажиров были также специалисты метростроя. Первые вагоны получили названия «ММ-1 моторный» и «МП-1001 прицепной» типа «А». </w:t>
      </w:r>
    </w:p>
    <w:p w14:paraId="01FF4103"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 дню открытия VII съезда Советов 25 января 1935 г. Мытищинский завод выпустил первые 40 вагонов, обеспечив тем самым своевременное открытие движения на метрополитене. В процессе эксплуатации и доводки первые вагоны типа «А» и «Б» были значительно модернизированы, особенно усовершенствована их электрическая схема. Эксплуатация показала высокую надежность и долговечность вагонов. Срок их эксплуатации был определен в 50 лет. Вагоны обеспечивали устойчивый пробег без капитального ремонта 2,5 млн. км. </w:t>
      </w:r>
    </w:p>
    <w:p w14:paraId="386DCB22"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Серьезным недостатком конструкции первых вагонов было несовершенство конструкции автотормозов. Торможение было пневматическим, производилось за счет трения колодок о бандажи колес (электротормоз был внедрен позднее). Недостаточна была и электрическая защита от токов перегрузки и коротких замыканий (11613).</w:t>
      </w:r>
    </w:p>
    <w:p w14:paraId="6716B649" w14:textId="77777777" w:rsidR="006E56A1" w:rsidRPr="00C33834" w:rsidRDefault="006E56A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5C04AE" w14:textId="77777777" w:rsidR="00323684" w:rsidRPr="00C33834" w:rsidRDefault="0032368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течение мая 1933 г. Абакумову удалось перестроить аппарат и стиль работы Метростроя согласно директивам Политбюро. Кроме того, он привез с собой значительное число инженеров, техников и шахтеров из Донбасса, обладавших опытом прокладки тоннелей глубокого залегания{481}.Впрочем, возник известный антагонизм между первыми строителями и шахтерами, так как первые считали строительство метро своим делом и считали неуместным вмешательство со стороны горняков{482} (18299).</w:t>
      </w:r>
    </w:p>
    <w:p w14:paraId="7E2C7234" w14:textId="77777777" w:rsidR="00323684" w:rsidRPr="00C33834" w:rsidRDefault="00323684" w:rsidP="00C33834">
      <w:pPr>
        <w:spacing w:after="0" w:line="240" w:lineRule="auto"/>
        <w:jc w:val="both"/>
        <w:rPr>
          <w:rFonts w:ascii="Times New Roman" w:hAnsi="Times New Roman"/>
          <w:color w:val="000000" w:themeColor="text1"/>
          <w:sz w:val="16"/>
          <w:szCs w:val="16"/>
        </w:rPr>
      </w:pPr>
    </w:p>
    <w:p w14:paraId="0A2643C8" w14:textId="77777777" w:rsidR="006E56A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7903121D" w14:textId="77777777" w:rsidR="006E56A1" w:rsidRPr="00C33834" w:rsidRDefault="006E56A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5DAE72A"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г. во Францию прибыл первый советский военный атташе комдив С. И. Венцов. Он довольно быстро наладил хорошие отношения с представителями французских военных кругов. В августе-сентябре 1933 г. СССР посетил видный французский государственный деятель Э. Эррио. Ему был показан ряд военных, в т. ч. авиационных, объектов. В сентябре 1933 г. в СССР нанес визит военный министр Франции П. Кот. Он посетил Киев, Харьков, Москву, авиационный завод в Филях и завод по производству авиамоторов. В начале 1934 г. произошел обмен военно-воздушными атташе. При этом «французов не оставляло ощущение, что инициатива к сближению исходила от советской стороны». (Подробнее см.: Орлов Б. М. Указ, соч.).) (11784).</w:t>
      </w:r>
    </w:p>
    <w:p w14:paraId="39E2D6DA"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4E59438F" w14:textId="77777777" w:rsidR="006E56A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181A109" w14:textId="77777777" w:rsidR="006E56A1" w:rsidRPr="00C33834" w:rsidRDefault="006E56A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F98269E" w14:textId="77777777" w:rsidR="003E339D" w:rsidRPr="00C33834" w:rsidRDefault="003E339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мае 1933 Эрхард Мильх, государственный секретарь министерства авиации Германии, получает подробное исследование будущего новых ВВС Германии, написанное доктором Робертом Кнауссом. Кнаусс прогнозирует, что основной угрозой для восстановления Германии как великой державы будет превентивная атака Франции и Польши, прежде чем Германия сможет полностью перевооружиться, и он рекомендует создать силы из 400 четырехмоторных бомбардировщиков, которые могли бы совершить такое нападение. с возможностью атаковать население и промышленные центры врага и разрушать боевой дух врага (20802).</w:t>
      </w:r>
    </w:p>
    <w:p w14:paraId="6B0E657F" w14:textId="77777777" w:rsidR="003E339D" w:rsidRPr="00C33834" w:rsidRDefault="003E339D" w:rsidP="00C33834">
      <w:pPr>
        <w:spacing w:after="0" w:line="240" w:lineRule="auto"/>
        <w:jc w:val="both"/>
        <w:rPr>
          <w:rFonts w:ascii="Times New Roman" w:hAnsi="Times New Roman"/>
          <w:color w:val="0070C0"/>
          <w:sz w:val="16"/>
          <w:szCs w:val="16"/>
        </w:rPr>
      </w:pPr>
    </w:p>
    <w:p w14:paraId="750BB92C" w14:textId="77777777" w:rsidR="00323684" w:rsidRPr="00C33834" w:rsidRDefault="00323684" w:rsidP="00C33834">
      <w:pPr>
        <w:pStyle w:val="rtejustify"/>
        <w:shd w:val="clear" w:color="auto" w:fill="FFFFFF"/>
        <w:spacing w:before="0" w:after="0"/>
        <w:rPr>
          <w:color w:val="000000" w:themeColor="text1"/>
          <w:sz w:val="16"/>
          <w:szCs w:val="16"/>
        </w:rPr>
      </w:pPr>
      <w:r w:rsidRPr="00C33834">
        <w:rPr>
          <w:color w:val="000000" w:themeColor="text1"/>
          <w:sz w:val="16"/>
          <w:szCs w:val="16"/>
        </w:rPr>
        <w:t>В мае 1933 года закончили щпытный образец военной «Гаммы» 2С. 15 июля по договоренности с Нортропом эту машину приняли на испытания на авиабазу Райтфилд, где располагался центр Управления материальной части Авиационного корпуса армии США. Военные одобрительно отнеслись к новому штурмовику, по летным данным существенно превосходившему состоявший на вооружении самолет «Шрайк», однако не купили его и высказали ряд замечаний. Китайцы оказались менее привередливы. Они заказали 24 самолета модели 2Е, являвшейся практически копией 2С с небольшими изменениями. Основным внешним отличием была полуубирающаяся «ванна» для стрелка-радиста, выполнявшего также функции бомбардира. Она обеспечивала ему обзор вниз-вперед при прицеливании (19168).</w:t>
      </w:r>
    </w:p>
    <w:p w14:paraId="5DCBC432" w14:textId="77777777" w:rsidR="00323684" w:rsidRPr="00C33834" w:rsidRDefault="00323684" w:rsidP="00C33834">
      <w:pPr>
        <w:pStyle w:val="rtecenter"/>
        <w:shd w:val="clear" w:color="auto" w:fill="FFFFFF"/>
        <w:spacing w:before="0" w:after="0"/>
        <w:jc w:val="both"/>
        <w:textAlignment w:val="baseline"/>
        <w:rPr>
          <w:color w:val="000000" w:themeColor="text1"/>
          <w:sz w:val="16"/>
          <w:szCs w:val="16"/>
        </w:rPr>
      </w:pPr>
    </w:p>
    <w:p w14:paraId="090669AB" w14:textId="77777777" w:rsidR="003E339D" w:rsidRPr="00C33834" w:rsidRDefault="003E339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мае 1933 образована Turkish Airlines под названием «Государственные авиалинии» (20802).</w:t>
      </w:r>
    </w:p>
    <w:p w14:paraId="56106976" w14:textId="77777777" w:rsidR="003E339D" w:rsidRPr="00C33834" w:rsidRDefault="003E339D" w:rsidP="00C33834">
      <w:pPr>
        <w:spacing w:after="0" w:line="240" w:lineRule="auto"/>
        <w:jc w:val="both"/>
        <w:rPr>
          <w:rFonts w:ascii="Times New Roman" w:hAnsi="Times New Roman"/>
          <w:color w:val="0070C0"/>
          <w:sz w:val="16"/>
          <w:szCs w:val="16"/>
        </w:rPr>
      </w:pPr>
    </w:p>
    <w:p w14:paraId="6D328BB3"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национал-социалистическое правительство Германии ратифицировало протокол о возобновлении действия Берлинского договора 1926 (3240).</w:t>
      </w:r>
    </w:p>
    <w:p w14:paraId="4726548D"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24868F40"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Байрише Флюгцойгбау, на которой работал Вилли Мессершмитт и которая разорилась в 1931, восстановилась и имела в штате 81 чел. (3417,36).</w:t>
      </w:r>
    </w:p>
    <w:p w14:paraId="59323E8C"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779678D1" w14:textId="77777777" w:rsidR="006E56A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2A5E2B5" w14:textId="77777777" w:rsidR="006E56A1" w:rsidRPr="00C33834" w:rsidRDefault="006E56A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0F73277"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мае-июне 1933 проводились испытания закупленного Фейри Файрфлай в сравнении с И-5. Выше скорость, хуже маневренность - но преимущества англичанина были очевидны (80,147).</w:t>
      </w:r>
    </w:p>
    <w:p w14:paraId="7657CA9B"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2104922C"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мае-июне 1933 серийный К-5М-22 вышел на пробную эксплуатацию на основную линию украинского ГВФ Москва-Харьков-Пятигорск. Первые же рейсы выявили недостатки конструкции масляного радиатора и коллектора, а также винта (70,172).</w:t>
      </w:r>
    </w:p>
    <w:p w14:paraId="4768712F"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588611D7" w14:textId="77777777" w:rsidR="00FD16A4" w:rsidRPr="00C33834" w:rsidRDefault="00FD16A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 мае—июне 1933 г. государственные испытания ХАИ-1 продемонстрировали высокие летные качества новой машины. В частности, она установила всесоюзный рекорд скорости — 324 км/ч. Самолет признали пригодным к использованию. ХАИ-1 строился серийно, но не в Харькове, а на Киевском и Горьковском авиазаводах. В общей сложности изготовили 43 таких самолета, эксплуатировавшихся на авиалиниях Харьков—Москва, Москва—Минводы, Ростов—Краснодар и др. (23180).</w:t>
      </w:r>
    </w:p>
    <w:p w14:paraId="2A6751C1" w14:textId="77777777" w:rsidR="00FD16A4" w:rsidRPr="00C33834" w:rsidRDefault="00FD16A4" w:rsidP="00C33834">
      <w:pPr>
        <w:shd w:val="clear" w:color="auto" w:fill="FFFFFF"/>
        <w:spacing w:after="0" w:line="240" w:lineRule="auto"/>
        <w:jc w:val="both"/>
        <w:rPr>
          <w:rFonts w:ascii="Times New Roman" w:hAnsi="Times New Roman"/>
          <w:color w:val="0070C0"/>
          <w:sz w:val="16"/>
          <w:szCs w:val="16"/>
        </w:rPr>
      </w:pPr>
    </w:p>
    <w:p w14:paraId="0CCAF1B1"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мая по август 1933 в Ленинграде ремонтировали десантный планер Г-63 Б.Д.Урлапова, построенный у П.И.Гроховского. После ремонта стал Г-3-1 или Г-31 (94,21).</w:t>
      </w:r>
    </w:p>
    <w:p w14:paraId="60A6D011"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7A8901ED" w14:textId="77777777" w:rsidR="00323684" w:rsidRPr="00C33834" w:rsidRDefault="0032368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 июне 1933 г. при технической поддержке «Дерулюфта» из Берлина в Китай через территорию СССР летчиками «Люфтганзы» была осуществлена переброска самолетов «Юнкерс» (D-5 и D-7). Маршрут полета предполагал дозаправку машин и отдых экипажа на аэродромах по линии Кенигсберг – Москва – Казань – Омск – Сергиополь – Чугучак (Китай) (19572).</w:t>
      </w:r>
    </w:p>
    <w:p w14:paraId="751BD48F" w14:textId="77777777" w:rsidR="00323684" w:rsidRPr="00C33834" w:rsidRDefault="00323684" w:rsidP="00C33834">
      <w:pPr>
        <w:spacing w:after="0" w:line="240" w:lineRule="auto"/>
        <w:jc w:val="both"/>
        <w:rPr>
          <w:rFonts w:ascii="Times New Roman" w:hAnsi="Times New Roman"/>
          <w:color w:val="000000" w:themeColor="text1"/>
          <w:sz w:val="16"/>
          <w:szCs w:val="16"/>
        </w:rPr>
      </w:pPr>
    </w:p>
    <w:p w14:paraId="47B66EB4" w14:textId="77777777" w:rsidR="006E56A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CC1D9DD" w14:textId="77777777" w:rsidR="006E56A1" w:rsidRPr="00C33834" w:rsidRDefault="006E56A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3CFD164"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1933 - марте 1934 КБ ХПЗ под руководством А.О.Фирсова на базе опытного танка БТ-6 был разработан колесно-гусеничный БТ-7 (9527,101).</w:t>
      </w:r>
    </w:p>
    <w:p w14:paraId="06A0EEEE" w14:textId="77777777" w:rsidR="006E56A1" w:rsidRPr="00C33834" w:rsidRDefault="006E56A1" w:rsidP="00C33834">
      <w:pPr>
        <w:autoSpaceDE w:val="0"/>
        <w:autoSpaceDN w:val="0"/>
        <w:adjustRightInd w:val="0"/>
        <w:spacing w:after="0" w:line="240" w:lineRule="auto"/>
        <w:jc w:val="both"/>
        <w:rPr>
          <w:rFonts w:ascii="Times New Roman" w:hAnsi="Times New Roman"/>
          <w:color w:val="000000" w:themeColor="text1"/>
          <w:sz w:val="16"/>
          <w:szCs w:val="16"/>
        </w:rPr>
      </w:pPr>
    </w:p>
    <w:p w14:paraId="66FACED7" w14:textId="77777777" w:rsidR="00C7619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EDDF8A7" w14:textId="77777777" w:rsidR="00C76194" w:rsidRPr="00C33834" w:rsidRDefault="00C7619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D0A8086" w14:textId="77777777" w:rsidR="00FD16A4" w:rsidRPr="00C33834" w:rsidRDefault="00FD16A4" w:rsidP="00C33834">
      <w:pPr>
        <w:shd w:val="clear" w:color="auto" w:fill="FFFFFF"/>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Весной 1933 г. был готов эскизный проект тяжелого штурмовика ТШ-3 с двигателем М-34. Работа велась в ЦКБ бригаде №1 С.А. Кочеригина груп</w:t>
      </w:r>
      <w:r w:rsidRPr="00C33834">
        <w:rPr>
          <w:rFonts w:ascii="Times New Roman" w:hAnsi="Times New Roman"/>
          <w:color w:val="0070C0"/>
          <w:sz w:val="16"/>
          <w:szCs w:val="16"/>
        </w:rPr>
        <w:softHyphen/>
        <w:t>пой проектировщиков под руководством М.И. Гуревича.</w:t>
      </w:r>
    </w:p>
    <w:p w14:paraId="16F18D2B" w14:textId="77777777" w:rsidR="00FD16A4" w:rsidRPr="00C33834" w:rsidRDefault="00FD16A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Он представлял собой двухместный моноплан с низкорас</w:t>
      </w:r>
      <w:r w:rsidRPr="00C33834">
        <w:rPr>
          <w:rFonts w:ascii="Times New Roman" w:hAnsi="Times New Roman"/>
          <w:color w:val="0070C0"/>
          <w:sz w:val="16"/>
          <w:szCs w:val="16"/>
        </w:rPr>
        <w:softHyphen/>
        <w:t>положенным подкосным крылом и неубирающимся шасси.</w:t>
      </w:r>
    </w:p>
    <w:p w14:paraId="4BC16118" w14:textId="77777777" w:rsidR="00FD16A4" w:rsidRPr="00C33834" w:rsidRDefault="00FD16A4" w:rsidP="00C33834">
      <w:pPr>
        <w:shd w:val="clear" w:color="auto" w:fill="FFFFFF"/>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Основной задачей при проектировании считалось обес</w:t>
      </w:r>
      <w:r w:rsidRPr="00C33834">
        <w:rPr>
          <w:rFonts w:ascii="Times New Roman" w:hAnsi="Times New Roman"/>
          <w:color w:val="0070C0"/>
          <w:sz w:val="16"/>
          <w:szCs w:val="16"/>
        </w:rPr>
        <w:softHyphen/>
        <w:t>печение хорошего обзора вперед при неуязвимости от на</w:t>
      </w:r>
      <w:r w:rsidRPr="00C33834">
        <w:rPr>
          <w:rFonts w:ascii="Times New Roman" w:hAnsi="Times New Roman"/>
          <w:color w:val="0070C0"/>
          <w:sz w:val="16"/>
          <w:szCs w:val="16"/>
        </w:rPr>
        <w:softHyphen/>
        <w:t>земного огня и большой огневой мощи. Всего разрабаты</w:t>
      </w:r>
      <w:r w:rsidRPr="00C33834">
        <w:rPr>
          <w:rFonts w:ascii="Times New Roman" w:hAnsi="Times New Roman"/>
          <w:color w:val="0070C0"/>
          <w:sz w:val="16"/>
          <w:szCs w:val="16"/>
        </w:rPr>
        <w:softHyphen/>
        <w:t>валось 8 вариантов вооружения, с возможно быстрой их за</w:t>
      </w:r>
      <w:r w:rsidRPr="00C33834">
        <w:rPr>
          <w:rFonts w:ascii="Times New Roman" w:hAnsi="Times New Roman"/>
          <w:color w:val="0070C0"/>
          <w:sz w:val="16"/>
          <w:szCs w:val="16"/>
        </w:rPr>
        <w:softHyphen/>
        <w:t>меной. Вооружение состояло из 10 пулеметов ШКАС в крыле (две батареи по пять пулеметов) и одного пулемета ШКАС на турели у воздушного стрелка. Бомбы до 400 кг: в трех отсеках между лонжеронами (по 6 осколочных бомб) и на внешней подвеске под центропланом. Особое внима</w:t>
      </w:r>
      <w:r w:rsidRPr="00C33834">
        <w:rPr>
          <w:rFonts w:ascii="Times New Roman" w:hAnsi="Times New Roman"/>
          <w:color w:val="0070C0"/>
          <w:sz w:val="16"/>
          <w:szCs w:val="16"/>
        </w:rPr>
        <w:softHyphen/>
        <w:t>ние уделялось вопросам обслуживания вооружения, то есть так называемой подготовке к повторному боевому вылету.</w:t>
      </w:r>
    </w:p>
    <w:p w14:paraId="54B6B194" w14:textId="77777777" w:rsidR="00FD16A4" w:rsidRPr="00C33834" w:rsidRDefault="00FD16A4" w:rsidP="00C33834">
      <w:pPr>
        <w:shd w:val="clear" w:color="auto" w:fill="FFFFFF"/>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Уже 3 июня состоялась макетная комиссия. 5 июня прошло совещание у начальника штаба ВВС Хрипина по вопросу рассмотре</w:t>
      </w:r>
      <w:r w:rsidRPr="00C33834">
        <w:rPr>
          <w:rFonts w:ascii="Times New Roman" w:hAnsi="Times New Roman"/>
          <w:color w:val="0070C0"/>
          <w:sz w:val="16"/>
          <w:szCs w:val="16"/>
        </w:rPr>
        <w:softHyphen/>
        <w:t>ния боевой схемы самолета ТШ-3 М-34 (20362).</w:t>
      </w:r>
    </w:p>
    <w:p w14:paraId="7FC76F20" w14:textId="77777777" w:rsidR="00FD16A4" w:rsidRPr="00C33834" w:rsidRDefault="00FD16A4" w:rsidP="00C33834">
      <w:pPr>
        <w:spacing w:after="0" w:line="240" w:lineRule="auto"/>
        <w:jc w:val="both"/>
        <w:rPr>
          <w:rFonts w:ascii="Times New Roman" w:hAnsi="Times New Roman"/>
          <w:color w:val="0070C0"/>
          <w:sz w:val="16"/>
          <w:szCs w:val="16"/>
        </w:rPr>
      </w:pPr>
    </w:p>
    <w:p w14:paraId="1E72E269" w14:textId="77777777" w:rsidR="00FD16A4" w:rsidRPr="00C33834" w:rsidRDefault="00FD16A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 весны 1933 г. в бригаде № 1 Кочеригина нового ЦКБ строился первый опытный экземпляр сухопутного армейского самолета-разведчика и легкого бомбардировщика для замены разведчика Р-5 - ЦКБ-1 и был окончен постройкой в кон</w:t>
      </w:r>
      <w:r w:rsidRPr="00C33834">
        <w:rPr>
          <w:rFonts w:ascii="Times New Roman" w:hAnsi="Times New Roman"/>
          <w:color w:val="0070C0"/>
          <w:sz w:val="16"/>
          <w:szCs w:val="16"/>
        </w:rPr>
        <w:softHyphen/>
        <w:t>це лета этого года. 6 сентября 1933 г. было произведено взвешивание перед выходом самолета на аэродром, веспустого составил 1635 кг. Испытание в полете состоялось во второй половине сентября - начале октября. 23 нояб</w:t>
      </w:r>
      <w:r w:rsidRPr="00C33834">
        <w:rPr>
          <w:rFonts w:ascii="Times New Roman" w:hAnsi="Times New Roman"/>
          <w:color w:val="0070C0"/>
          <w:sz w:val="16"/>
          <w:szCs w:val="16"/>
        </w:rPr>
        <w:softHyphen/>
        <w:t>ря 1933 г. ЦКБ-1 участвовал совместно с первым опытным истребителем ЦКБ-3 (прототип И-15) в демонстрационных полетах на Центральном аэродроме Москвы. С новейшей авиационной техникой в этот день знакомились руководи</w:t>
      </w:r>
      <w:r w:rsidRPr="00C33834">
        <w:rPr>
          <w:rFonts w:ascii="Times New Roman" w:hAnsi="Times New Roman"/>
          <w:color w:val="0070C0"/>
          <w:sz w:val="16"/>
          <w:szCs w:val="16"/>
        </w:rPr>
        <w:softHyphen/>
        <w:t>тели государства и участники проходившего в те дни пле</w:t>
      </w:r>
      <w:r w:rsidRPr="00C33834">
        <w:rPr>
          <w:rFonts w:ascii="Times New Roman" w:hAnsi="Times New Roman"/>
          <w:color w:val="0070C0"/>
          <w:sz w:val="16"/>
          <w:szCs w:val="16"/>
        </w:rPr>
        <w:softHyphen/>
        <w:t>нума Реввоенсовета республики (20362).</w:t>
      </w:r>
    </w:p>
    <w:p w14:paraId="38648F04" w14:textId="77777777" w:rsidR="00FD16A4" w:rsidRPr="00C33834" w:rsidRDefault="00FD16A4" w:rsidP="00C33834">
      <w:pPr>
        <w:shd w:val="clear" w:color="auto" w:fill="FFFFFF"/>
        <w:spacing w:after="0" w:line="240" w:lineRule="auto"/>
        <w:jc w:val="both"/>
        <w:rPr>
          <w:rFonts w:ascii="Times New Roman" w:hAnsi="Times New Roman"/>
          <w:color w:val="0070C0"/>
          <w:sz w:val="16"/>
          <w:szCs w:val="16"/>
        </w:rPr>
      </w:pPr>
    </w:p>
    <w:p w14:paraId="649903BF"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Весной 1933 на серийном ТБ-3 (АНТ-6) 4М-17 с номером 22211 сняли подкрыльные стрелковые башни, наружные бомбодержатели, турели и пулеметы, а оставшиеся отверстия - тщательно заделали. Получился "задраенный самолет" (346,29).</w:t>
      </w:r>
    </w:p>
    <w:p w14:paraId="5D319180"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51A7B08B"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весны 1933 г. в плане работ ЦКБ завода № 39 числилось задание на создание ближнего бомбардировщика ББ-2 смешанной конструкции из дерева и металла, который должен был иметь дальность полета 1500 км с бомбовым грузом 500 кг и максимальную скорость 400-450 км/ч. По сути это задание дублировало программу создания скоростного цельнометаллического бомбардировщика СБ.</w:t>
      </w:r>
    </w:p>
    <w:p w14:paraId="292CA48E"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Считая, что заложенные в СБ конструкторские решения обеспечат выполнение требований, предъявляемых к самолету ББ-2, С.В.Ильюшин по собственной инициативе принял решение о проведении в рамках программы создания ББ-2 исследований по скоростному дальнему бомбардировщику с двигателями М-85 и с максимальной скоростью на расчетной высоте не менее 400 км/ч (в то время для дальнего двухдвигательного самолета такая скорость считалась очень большой). Принятию этого решения способствовало и то обстоятельство, что в соответствии с требованиями ВВС и скоростной (ближний), и дальний бомбардировщики должны были иметь одинаковый состав экипажа из трех человек, а также одинаковое стрелковое оборонительное вооружение.</w:t>
      </w:r>
    </w:p>
    <w:p w14:paraId="30B1B02E"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процессе работы над проектом ББ-2 были изучены особенности различных схем самолета, рассмотрена возможность создания на базе его конструкции пассажирского варианта, выбраны наивыгоднейшие параметры машины. Эти исследования показали, что скоростной дальний бомбардировщик может быть создан на основе традиционной схемы двухдвигательного свободнонесущего низкоплана с высоким уровнем аэродинамического и весового совершенства, с двигателями М-85, которые имели относительно небольшой вес, сравнительно малый мидель и хорошую экономичность (9528).</w:t>
      </w:r>
    </w:p>
    <w:p w14:paraId="2BC0B153"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1A5F841D"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Весной 1933 испытывали И-5 серийный эталон (80,117).</w:t>
      </w:r>
    </w:p>
    <w:p w14:paraId="5D5C0089"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2D8D63DC"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Весной 1933 г. вернулись к пассажирской версии Р-6, пере-оборудовав в неё первый опытный об-разец. Изменения коснулись в основном фюзеляжа. Сверху надставили частично остеклённый гаргрот, закрыли пилотскую кабину, сделали по правому борту вход-ную дверь. Запас бензина увеличили, доведя до 1720 кг. Мотоустановка соот-ветствовала серийному боевому Р-6 с моторами ВМ\Л/ VI. Гражданский АНТ-7 перевозил семь пассажиров при двух членах экипажа. В июле 1933 г. самолёт прошёл заводские испытания, а следом за ними - государственные.</w:t>
      </w:r>
    </w:p>
    <w:p w14:paraId="243CAB77"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АНТ-7 передали в лётный отряд ГУАП Наркомтяжпрома. Там он эксплуатиро-вался как служебный, перевозя предста-вителей руководства на заводы.</w:t>
      </w:r>
    </w:p>
    <w:p w14:paraId="468AC514"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Пассажирский вариант Р-6 имел на правом борту входную дверь в салон, а эки-паж попадал внутрь через сдвижную секцию фонаря кабины.</w:t>
      </w:r>
    </w:p>
    <w:p w14:paraId="54B769BB"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 машина разбилась 5 сентября 1933 г. Группа работников ГУАП воз-вращалась с курортов Кавказа, АНТ-7 пилотировал командир лётного отряда управления И.М. Дорфман. В районе Ло- пасни (ныне г. Чехов) в тумане самолёт, прижимавшийся к земле, зацепился за верхушки деревьев. Все находившие-ся на борту, включая начальника ГУАП П.И. Баранова и директора завода № 22 С.П. Горбунова, погибли. Комиссия, расследовавшая катастрофу, признала, что самолёт был исправен. Этот слу-чай лёг тёмным пятном на репутацию пассажирского АНТ-7, и в серию его не запустили (12264).</w:t>
      </w:r>
    </w:p>
    <w:p w14:paraId="1B600021" w14:textId="77777777" w:rsidR="0058354C" w:rsidRPr="00C33834" w:rsidRDefault="0058354C" w:rsidP="00C33834">
      <w:pPr>
        <w:spacing w:after="0" w:line="240" w:lineRule="auto"/>
        <w:jc w:val="both"/>
        <w:rPr>
          <w:rFonts w:ascii="Times New Roman" w:hAnsi="Times New Roman"/>
          <w:color w:val="000000" w:themeColor="text1"/>
          <w:sz w:val="16"/>
          <w:szCs w:val="16"/>
        </w:rPr>
      </w:pPr>
    </w:p>
    <w:p w14:paraId="4B2BB24E" w14:textId="77777777" w:rsidR="00FD16A4" w:rsidRPr="00C33834" w:rsidRDefault="00FD16A4" w:rsidP="00C33834">
      <w:pPr>
        <w:spacing w:after="0" w:line="240" w:lineRule="auto"/>
        <w:jc w:val="both"/>
        <w:rPr>
          <w:rFonts w:ascii="Times New Roman" w:eastAsia="Times New Roman" w:hAnsi="Times New Roman"/>
          <w:color w:val="0070C0"/>
          <w:sz w:val="16"/>
          <w:szCs w:val="16"/>
          <w:shd w:val="clear" w:color="auto" w:fill="DCDCDC"/>
          <w:lang w:eastAsia="ru-RU"/>
        </w:rPr>
      </w:pPr>
      <w:r w:rsidRPr="00C33834">
        <w:rPr>
          <w:rFonts w:ascii="Times New Roman" w:hAnsi="Times New Roman"/>
          <w:color w:val="0070C0"/>
          <w:sz w:val="16"/>
          <w:szCs w:val="16"/>
        </w:rPr>
        <w:t>Весной-летом 1933 года был выполнен ряд прочностных испытаний агрегатов самолета Г-37. Некоторые проблемы возникли только с хвостовой балкой, которая 14 мая разрушилась под нагрузкой в 1004 кг. За две недели конструкцию доработали, выполнив ряд местных усилений, и 29 мая балка выдержала нагрузку уже более 1400 кг (19841).</w:t>
      </w:r>
    </w:p>
    <w:p w14:paraId="66643512" w14:textId="77777777" w:rsidR="00FD16A4" w:rsidRPr="00C33834" w:rsidRDefault="00FD16A4" w:rsidP="00C33834">
      <w:pPr>
        <w:spacing w:after="0" w:line="240" w:lineRule="auto"/>
        <w:jc w:val="both"/>
        <w:rPr>
          <w:rFonts w:ascii="Times New Roman" w:eastAsia="Times New Roman" w:hAnsi="Times New Roman"/>
          <w:color w:val="0070C0"/>
          <w:sz w:val="16"/>
          <w:szCs w:val="16"/>
          <w:shd w:val="clear" w:color="auto" w:fill="DCDCDC"/>
          <w:lang w:eastAsia="ru-RU"/>
        </w:rPr>
      </w:pPr>
    </w:p>
    <w:p w14:paraId="4CF1B99F" w14:textId="77777777" w:rsidR="00C76194" w:rsidRPr="00C33834" w:rsidRDefault="00C76194"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Весной 1933 года, когда стало очевидным, что ВВС не получат от промышленности нужных истребителей, главным образом из-за того, что промышленность не в состоянии дать современные мощные легкие моторы советской конструкции и советского производства, ВВС совместно с промышленностью был поставлен вопрос о немедленном заключении договора на покупку лицензии и техпомощи на мотор Райт-Циклон воздушного охлаждения фирмы Кертис-Райт специально для обеспечения нашей истребительной авиации. В результате этой постановки вопроса в мае 1933 года Правительством разрешено заключить договор на приобретении лицензии и техпомощи на мотор Райт-Циклон для производства его в Союзе (7439, 14).</w:t>
      </w:r>
    </w:p>
    <w:p w14:paraId="706AD51C" w14:textId="77777777" w:rsidR="00C76194" w:rsidRPr="00C33834" w:rsidRDefault="00C76194"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D7E96E5" w14:textId="77777777" w:rsidR="00185C06" w:rsidRPr="00C33834" w:rsidRDefault="00185C0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Весной 1933 года народный комиссар по военным и морским делам К.Е. Вороши</w:t>
      </w:r>
      <w:r w:rsidRPr="00C33834">
        <w:rPr>
          <w:rFonts w:ascii="Times New Roman" w:hAnsi="Times New Roman"/>
          <w:color w:val="000000" w:themeColor="text1"/>
          <w:sz w:val="16"/>
          <w:szCs w:val="16"/>
        </w:rPr>
        <w:softHyphen/>
        <w:t>лов дал согласие на рекордно дальний пере</w:t>
      </w:r>
      <w:r w:rsidRPr="00C33834">
        <w:rPr>
          <w:rFonts w:ascii="Times New Roman" w:hAnsi="Times New Roman"/>
          <w:color w:val="000000" w:themeColor="text1"/>
          <w:sz w:val="16"/>
          <w:szCs w:val="16"/>
        </w:rPr>
        <w:softHyphen/>
        <w:t>лет по маршруту Москва - Оренбург - Но</w:t>
      </w:r>
      <w:r w:rsidRPr="00C33834">
        <w:rPr>
          <w:rFonts w:ascii="Times New Roman" w:hAnsi="Times New Roman"/>
          <w:color w:val="000000" w:themeColor="text1"/>
          <w:sz w:val="16"/>
          <w:szCs w:val="16"/>
        </w:rPr>
        <w:softHyphen/>
        <w:t>восибирск — Чита — Новосибирск — Орен</w:t>
      </w:r>
      <w:r w:rsidRPr="00C33834">
        <w:rPr>
          <w:rFonts w:ascii="Times New Roman" w:hAnsi="Times New Roman"/>
          <w:color w:val="000000" w:themeColor="text1"/>
          <w:sz w:val="16"/>
          <w:szCs w:val="16"/>
        </w:rPr>
        <w:softHyphen/>
        <w:t>бург— Харьков — Москва, протяженностью 10 150 км и 31 мая сообщил об этом началь</w:t>
      </w:r>
      <w:r w:rsidRPr="00C33834">
        <w:rPr>
          <w:rFonts w:ascii="Times New Roman" w:hAnsi="Times New Roman"/>
          <w:color w:val="000000" w:themeColor="text1"/>
          <w:sz w:val="16"/>
          <w:szCs w:val="16"/>
        </w:rPr>
        <w:softHyphen/>
        <w:t>нику Главного управления авиационной промышленности (ГУАП) П.И. Барано</w:t>
      </w:r>
      <w:r w:rsidRPr="00C33834">
        <w:rPr>
          <w:rFonts w:ascii="Times New Roman" w:hAnsi="Times New Roman"/>
          <w:color w:val="000000" w:themeColor="text1"/>
          <w:sz w:val="16"/>
          <w:szCs w:val="16"/>
        </w:rPr>
        <w:softHyphen/>
        <w:t>ву. Взлет по указанию наркома следовало производить с аэродрома, расположенного вблизи железнодорожной станции Томская (ныне Чкаловская) недалеко от подмосков</w:t>
      </w:r>
      <w:r w:rsidRPr="00C33834">
        <w:rPr>
          <w:rFonts w:ascii="Times New Roman" w:hAnsi="Times New Roman"/>
          <w:color w:val="000000" w:themeColor="text1"/>
          <w:sz w:val="16"/>
          <w:szCs w:val="16"/>
        </w:rPr>
        <w:softHyphen/>
        <w:t>ного города Щелково, где надлежало по</w:t>
      </w:r>
      <w:r w:rsidRPr="00C33834">
        <w:rPr>
          <w:rFonts w:ascii="Times New Roman" w:hAnsi="Times New Roman"/>
          <w:color w:val="000000" w:themeColor="text1"/>
          <w:sz w:val="16"/>
          <w:szCs w:val="16"/>
        </w:rPr>
        <w:softHyphen/>
        <w:t>строить бетонированную взлетную дорож</w:t>
      </w:r>
      <w:r w:rsidRPr="00C33834">
        <w:rPr>
          <w:rFonts w:ascii="Times New Roman" w:hAnsi="Times New Roman"/>
          <w:color w:val="000000" w:themeColor="text1"/>
          <w:sz w:val="16"/>
          <w:szCs w:val="16"/>
        </w:rPr>
        <w:softHyphen/>
        <w:t>ку. Техническое задание на строительство было угверждено ориентировочно 7 июня 1933 года.</w:t>
      </w:r>
    </w:p>
    <w:p w14:paraId="0C6FB59F" w14:textId="77777777" w:rsidR="00185C06" w:rsidRPr="00C33834" w:rsidRDefault="00185C0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Спустя шесть дней разработали техниче</w:t>
      </w:r>
      <w:r w:rsidRPr="00C33834">
        <w:rPr>
          <w:rFonts w:ascii="Times New Roman" w:hAnsi="Times New Roman"/>
          <w:color w:val="000000" w:themeColor="text1"/>
          <w:sz w:val="16"/>
          <w:szCs w:val="16"/>
        </w:rPr>
        <w:softHyphen/>
        <w:t>ское задание на проектирование взлетной полосы специального назначения длиной 1500 метров и шириной 50 метров, направ</w:t>
      </w:r>
      <w:r w:rsidRPr="00C33834">
        <w:rPr>
          <w:rFonts w:ascii="Times New Roman" w:hAnsi="Times New Roman"/>
          <w:color w:val="000000" w:themeColor="text1"/>
          <w:sz w:val="16"/>
          <w:szCs w:val="16"/>
        </w:rPr>
        <w:softHyphen/>
        <w:t>ленной с юго-востока на северо-запад. По проекту полоса включала наклонную и го</w:t>
      </w:r>
      <w:r w:rsidRPr="00C33834">
        <w:rPr>
          <w:rFonts w:ascii="Times New Roman" w:hAnsi="Times New Roman"/>
          <w:color w:val="000000" w:themeColor="text1"/>
          <w:sz w:val="16"/>
          <w:szCs w:val="16"/>
        </w:rPr>
        <w:softHyphen/>
        <w:t>ризонтальную части с площадкой разме</w:t>
      </w:r>
      <w:r w:rsidRPr="00C33834">
        <w:rPr>
          <w:rFonts w:ascii="Times New Roman" w:hAnsi="Times New Roman"/>
          <w:color w:val="000000" w:themeColor="text1"/>
          <w:sz w:val="16"/>
          <w:szCs w:val="16"/>
        </w:rPr>
        <w:softHyphen/>
        <w:t>ром 25x25 метров, расположенной на вер</w:t>
      </w:r>
      <w:r w:rsidRPr="00C33834">
        <w:rPr>
          <w:rFonts w:ascii="Times New Roman" w:hAnsi="Times New Roman"/>
          <w:color w:val="000000" w:themeColor="text1"/>
          <w:sz w:val="16"/>
          <w:szCs w:val="16"/>
        </w:rPr>
        <w:softHyphen/>
        <w:t>шине десяти метровой горки. Последняя находилась в юго-восточной части аэро</w:t>
      </w:r>
      <w:r w:rsidRPr="00C33834">
        <w:rPr>
          <w:rFonts w:ascii="Times New Roman" w:hAnsi="Times New Roman"/>
          <w:color w:val="000000" w:themeColor="text1"/>
          <w:sz w:val="16"/>
          <w:szCs w:val="16"/>
        </w:rPr>
        <w:softHyphen/>
        <w:t>дрома. Однако в ходе постройки высоту горки увеличили до 12 метров, а протяжен</w:t>
      </w:r>
      <w:r w:rsidRPr="00C33834">
        <w:rPr>
          <w:rFonts w:ascii="Times New Roman" w:hAnsi="Times New Roman"/>
          <w:color w:val="000000" w:themeColor="text1"/>
          <w:sz w:val="16"/>
          <w:szCs w:val="16"/>
        </w:rPr>
        <w:softHyphen/>
        <w:t>ность бетонной дорожки возросла с 1500 до 1800 метров. Наклонная часть старто</w:t>
      </w:r>
      <w:r w:rsidRPr="00C33834">
        <w:rPr>
          <w:rFonts w:ascii="Times New Roman" w:hAnsi="Times New Roman"/>
          <w:color w:val="000000" w:themeColor="text1"/>
          <w:sz w:val="16"/>
          <w:szCs w:val="16"/>
        </w:rPr>
        <w:softHyphen/>
        <w:t>вой горки постепенно расширялась с 25 до 50 метров. В таком виде горка просущест</w:t>
      </w:r>
      <w:r w:rsidRPr="00C33834">
        <w:rPr>
          <w:rFonts w:ascii="Times New Roman" w:hAnsi="Times New Roman"/>
          <w:color w:val="000000" w:themeColor="text1"/>
          <w:sz w:val="16"/>
          <w:szCs w:val="16"/>
        </w:rPr>
        <w:softHyphen/>
        <w:t>вовала до середины 1960-х годов. Этот па</w:t>
      </w:r>
      <w:r w:rsidRPr="00C33834">
        <w:rPr>
          <w:rFonts w:ascii="Times New Roman" w:hAnsi="Times New Roman"/>
          <w:color w:val="000000" w:themeColor="text1"/>
          <w:sz w:val="16"/>
          <w:szCs w:val="16"/>
        </w:rPr>
        <w:softHyphen/>
        <w:t>мятник истории снесли по нелепому рас</w:t>
      </w:r>
      <w:r w:rsidRPr="00C33834">
        <w:rPr>
          <w:rFonts w:ascii="Times New Roman" w:hAnsi="Times New Roman"/>
          <w:color w:val="000000" w:themeColor="text1"/>
          <w:sz w:val="16"/>
          <w:szCs w:val="16"/>
        </w:rPr>
        <w:softHyphen/>
        <w:t>поряжению генерала Н. Пушко, совме</w:t>
      </w:r>
      <w:r w:rsidRPr="00C33834">
        <w:rPr>
          <w:rFonts w:ascii="Times New Roman" w:hAnsi="Times New Roman"/>
          <w:color w:val="000000" w:themeColor="text1"/>
          <w:sz w:val="16"/>
          <w:szCs w:val="16"/>
        </w:rPr>
        <w:softHyphen/>
        <w:t>щавшего тогда должности начальника филиала НИИ ВВС имени В.П. Чкалова, базировавшегося на территории, прилега</w:t>
      </w:r>
      <w:r w:rsidRPr="00C33834">
        <w:rPr>
          <w:rFonts w:ascii="Times New Roman" w:hAnsi="Times New Roman"/>
          <w:color w:val="000000" w:themeColor="text1"/>
          <w:sz w:val="16"/>
          <w:szCs w:val="16"/>
        </w:rPr>
        <w:softHyphen/>
        <w:t>ющей к аэродрому, и начальника Щелков</w:t>
      </w:r>
      <w:r w:rsidRPr="00C33834">
        <w:rPr>
          <w:rFonts w:ascii="Times New Roman" w:hAnsi="Times New Roman"/>
          <w:color w:val="000000" w:themeColor="text1"/>
          <w:sz w:val="16"/>
          <w:szCs w:val="16"/>
        </w:rPr>
        <w:softHyphen/>
        <w:t>ского гарнизона.</w:t>
      </w:r>
    </w:p>
    <w:p w14:paraId="349753DA" w14:textId="77777777" w:rsidR="00185C06" w:rsidRPr="00C33834" w:rsidRDefault="00185C0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Одновременно со строительством поло</w:t>
      </w:r>
      <w:r w:rsidRPr="00C33834">
        <w:rPr>
          <w:rFonts w:ascii="Times New Roman" w:hAnsi="Times New Roman"/>
          <w:color w:val="000000" w:themeColor="text1"/>
          <w:sz w:val="16"/>
          <w:szCs w:val="16"/>
        </w:rPr>
        <w:softHyphen/>
        <w:t>сы 2000 рабочих и красноармейцев в те</w:t>
      </w:r>
      <w:r w:rsidRPr="00C33834">
        <w:rPr>
          <w:rFonts w:ascii="Times New Roman" w:hAnsi="Times New Roman"/>
          <w:color w:val="000000" w:themeColor="text1"/>
          <w:sz w:val="16"/>
          <w:szCs w:val="16"/>
        </w:rPr>
        <w:softHyphen/>
        <w:t>чение 15 суток сравнивали большой зем</w:t>
      </w:r>
      <w:r w:rsidRPr="00C33834">
        <w:rPr>
          <w:rFonts w:ascii="Times New Roman" w:hAnsi="Times New Roman"/>
          <w:color w:val="000000" w:themeColor="text1"/>
          <w:sz w:val="16"/>
          <w:szCs w:val="16"/>
        </w:rPr>
        <w:softHyphen/>
        <w:t>ляной холм, лежавший на пути самоле</w:t>
      </w:r>
      <w:r w:rsidRPr="00C33834">
        <w:rPr>
          <w:rFonts w:ascii="Times New Roman" w:hAnsi="Times New Roman"/>
          <w:color w:val="000000" w:themeColor="text1"/>
          <w:sz w:val="16"/>
          <w:szCs w:val="16"/>
        </w:rPr>
        <w:softHyphen/>
        <w:t>та. Вертикальная скорость перегруженной машины была столь низка, что она после отрыва не успевала преодолеть это естест</w:t>
      </w:r>
      <w:r w:rsidRPr="00C33834">
        <w:rPr>
          <w:rFonts w:ascii="Times New Roman" w:hAnsi="Times New Roman"/>
          <w:color w:val="000000" w:themeColor="text1"/>
          <w:sz w:val="16"/>
          <w:szCs w:val="16"/>
        </w:rPr>
        <w:softHyphen/>
        <w:t>венное препятствие.</w:t>
      </w:r>
    </w:p>
    <w:p w14:paraId="2C78A9CA" w14:textId="77777777" w:rsidR="00185C06" w:rsidRPr="00C33834" w:rsidRDefault="00185C0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Подобных бетонных дорожек со старто</w:t>
      </w:r>
      <w:r w:rsidRPr="00C33834">
        <w:rPr>
          <w:rFonts w:ascii="Times New Roman" w:hAnsi="Times New Roman"/>
          <w:color w:val="000000" w:themeColor="text1"/>
          <w:sz w:val="16"/>
          <w:szCs w:val="16"/>
        </w:rPr>
        <w:softHyphen/>
        <w:t>вой горкой не было ни в одной стране ми</w:t>
      </w:r>
      <w:r w:rsidRPr="00C33834">
        <w:rPr>
          <w:rFonts w:ascii="Times New Roman" w:hAnsi="Times New Roman"/>
          <w:color w:val="000000" w:themeColor="text1"/>
          <w:sz w:val="16"/>
          <w:szCs w:val="16"/>
        </w:rPr>
        <w:softHyphen/>
        <w:t>ра, и причиной ее появления было отсутст</w:t>
      </w:r>
      <w:r w:rsidRPr="00C33834">
        <w:rPr>
          <w:rFonts w:ascii="Times New Roman" w:hAnsi="Times New Roman"/>
          <w:color w:val="000000" w:themeColor="text1"/>
          <w:sz w:val="16"/>
          <w:szCs w:val="16"/>
        </w:rPr>
        <w:softHyphen/>
        <w:t>вие тормозов колес у самолета РД. Послед</w:t>
      </w:r>
      <w:r w:rsidRPr="00C33834">
        <w:rPr>
          <w:rFonts w:ascii="Times New Roman" w:hAnsi="Times New Roman"/>
          <w:color w:val="000000" w:themeColor="text1"/>
          <w:sz w:val="16"/>
          <w:szCs w:val="16"/>
        </w:rPr>
        <w:softHyphen/>
        <w:t>нее обстоятельство усложняло выдержива</w:t>
      </w:r>
      <w:r w:rsidRPr="00C33834">
        <w:rPr>
          <w:rFonts w:ascii="Times New Roman" w:hAnsi="Times New Roman"/>
          <w:color w:val="000000" w:themeColor="text1"/>
          <w:sz w:val="16"/>
          <w:szCs w:val="16"/>
        </w:rPr>
        <w:softHyphen/>
        <w:t>ние направления разбега тяжелой маши</w:t>
      </w:r>
      <w:r w:rsidRPr="00C33834">
        <w:rPr>
          <w:rFonts w:ascii="Times New Roman" w:hAnsi="Times New Roman"/>
          <w:color w:val="000000" w:themeColor="text1"/>
          <w:sz w:val="16"/>
          <w:szCs w:val="16"/>
        </w:rPr>
        <w:softHyphen/>
        <w:t>ны. Горка же позволяла ускорить разгон и, практически, с самого начала разбега со</w:t>
      </w:r>
      <w:r w:rsidRPr="00C33834">
        <w:rPr>
          <w:rFonts w:ascii="Times New Roman" w:hAnsi="Times New Roman"/>
          <w:color w:val="000000" w:themeColor="text1"/>
          <w:sz w:val="16"/>
          <w:szCs w:val="16"/>
        </w:rPr>
        <w:softHyphen/>
        <w:t>хранять его направление с помощью аэро</w:t>
      </w:r>
      <w:r w:rsidRPr="00C33834">
        <w:rPr>
          <w:rFonts w:ascii="Times New Roman" w:hAnsi="Times New Roman"/>
          <w:color w:val="000000" w:themeColor="text1"/>
          <w:sz w:val="16"/>
          <w:szCs w:val="16"/>
        </w:rPr>
        <w:softHyphen/>
        <w:t>динамического руля.</w:t>
      </w:r>
    </w:p>
    <w:p w14:paraId="2C166AD3" w14:textId="77777777" w:rsidR="00185C06" w:rsidRPr="00C33834" w:rsidRDefault="00185C06" w:rsidP="00C33834">
      <w:pPr>
        <w:pStyle w:val="txt1"/>
        <w:shd w:val="clear" w:color="auto" w:fill="FFFFFF"/>
        <w:spacing w:before="0" w:beforeAutospacing="0" w:after="0" w:afterAutospacing="0" w:line="240" w:lineRule="auto"/>
        <w:ind w:firstLine="0"/>
        <w:rPr>
          <w:color w:val="000000" w:themeColor="text1"/>
          <w:sz w:val="16"/>
          <w:szCs w:val="16"/>
        </w:rPr>
      </w:pPr>
      <w:r w:rsidRPr="00C33834">
        <w:rPr>
          <w:color w:val="000000" w:themeColor="text1"/>
          <w:sz w:val="16"/>
          <w:szCs w:val="16"/>
        </w:rPr>
        <w:t>Впоследствии аэродром НИИ ВВС стали называть Чкаловская в соответствии с од</w:t>
      </w:r>
      <w:r w:rsidRPr="00C33834">
        <w:rPr>
          <w:color w:val="000000" w:themeColor="text1"/>
          <w:sz w:val="16"/>
          <w:szCs w:val="16"/>
        </w:rPr>
        <w:softHyphen/>
        <w:t>ноименной железнодорожной станцией (12725).</w:t>
      </w:r>
    </w:p>
    <w:p w14:paraId="730CDC38" w14:textId="77777777" w:rsidR="00185C06" w:rsidRPr="00C33834" w:rsidRDefault="00185C06" w:rsidP="00C33834">
      <w:pPr>
        <w:pStyle w:val="txt1"/>
        <w:shd w:val="clear" w:color="auto" w:fill="FFFFFF"/>
        <w:spacing w:before="0" w:beforeAutospacing="0" w:after="0" w:afterAutospacing="0" w:line="240" w:lineRule="auto"/>
        <w:ind w:firstLine="0"/>
        <w:rPr>
          <w:color w:val="000000" w:themeColor="text1"/>
          <w:sz w:val="16"/>
          <w:szCs w:val="16"/>
        </w:rPr>
      </w:pPr>
    </w:p>
    <w:p w14:paraId="4F6939B1" w14:textId="77777777" w:rsidR="00006C61" w:rsidRPr="00C33834" w:rsidRDefault="00006C6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Весной 1933 г. Начальник Дирижаблестроя Фельдман, подчеркивая важность В-6, говорил начальнику Конструкторского Бюро Нобиле: «Основной корабль - 8500 м3. Этот корабль решает всё, его все ждут. По этому кораблю будут судить о нашей работе и выпустить этот корабль с очень большим запозданием или плохого качества - значит нанести очень серьезный ущерб делу дирижаблестроения» [4, л.215]. Строительство В-6 было завершено только к началу ноября 1934 г. Приказом по Дирижаблестрою № 344 от 2 ноября 1934 г. был определен экипаж для первого испытательного полета дирижабля СССР В-6 «Осоавиахим» из 16 человек, шеф-командиром корабля назначался главный конструктор У. Нобиле [2, с. 104]. Как и при проектировании В-5, в чертежах В-6 не обошлось без ошибок. Так, еще в апреле 1933 г. из 370 чертежей пассажирской гондолы исправлению было подвергнуто 259 [4, л.223]. Не выявленные вовремя ошибки привели к дефектам. Комиссия по испытанию корабля В-6 в протоколе заседания от 5 декабря 1934 г. указала, что корабль может пройти заводские испытания после завершения «необходимых доделок и переделок», количество которых составляло 21, в том числе 6 - по винто-моторной группе [5, л.35]. Дирижабль В-7 был закончен к 15 августа 1934 г. [14, л. 70-78], но подняться в воздух ему суждено не было. 16 августа 1934 г. в 18 часов 28 минут от удара молнии в деревянном эллинге начался пожар вследствие которого сгорели дирижабли В-7, В-4, а так же гондола и оперение дирижабля В-5. Все имущество, сгоревшее в эллинге 16 августа 1934 г., было оценено в 2 690 643 руб. 43 коп [5, л.100-101]. Расследование показало, что для сборки дирижаблей сгоревший эллинг не годился, т. к. представлял большую опасность в пожарном отношении. Не было обеспечения подъездными путями, подводкой воды, пожарными кранами и шлангами. Эллинг технически не соответствовал назначению - сборке дирижабля В-7, так как был слишком тесен. Руководство Дирижаблестроя не использовало возможность перевести В-7 из деревянного эллинга в металлический [5, л.109] (15797).</w:t>
      </w:r>
    </w:p>
    <w:p w14:paraId="12D72421" w14:textId="77777777" w:rsidR="00006C61" w:rsidRPr="00C33834" w:rsidRDefault="00006C61" w:rsidP="00C33834">
      <w:pPr>
        <w:spacing w:after="0" w:line="240" w:lineRule="auto"/>
        <w:jc w:val="both"/>
        <w:rPr>
          <w:rFonts w:ascii="Times New Roman" w:hAnsi="Times New Roman"/>
          <w:color w:val="000000" w:themeColor="text1"/>
          <w:sz w:val="16"/>
          <w:szCs w:val="16"/>
        </w:rPr>
      </w:pPr>
    </w:p>
    <w:p w14:paraId="6291BDE2" w14:textId="77777777" w:rsidR="00C7619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C2E7447" w14:textId="77777777" w:rsidR="00C76194" w:rsidRPr="00C33834" w:rsidRDefault="00C7619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D2F6DDB" w14:textId="77777777" w:rsidR="00C76194" w:rsidRPr="00C33834" w:rsidRDefault="00C7619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Весной 1933 г. для проектирования самоходного триплекса тяжелой артиллерии особого назначения (ТАОН) еще была образована особая группа в составе трех конструкто</w:t>
      </w:r>
      <w:r w:rsidRPr="00C33834">
        <w:rPr>
          <w:rFonts w:ascii="Times New Roman" w:hAnsi="Times New Roman"/>
          <w:color w:val="000000" w:themeColor="text1"/>
          <w:sz w:val="16"/>
          <w:szCs w:val="16"/>
        </w:rPr>
        <w:softHyphen/>
        <w:t>ров КБ завода «Большевик» и шести сотрудников отдела самоходной артиллерии опытного завода № 185 под общим руководством П.Н. Сячинтова. Уже в октябре 1933 г. ГАУ РККА рассмотрел вопрос о ходе эскизного проектирова</w:t>
      </w:r>
      <w:r w:rsidRPr="00C33834">
        <w:rPr>
          <w:rFonts w:ascii="Times New Roman" w:hAnsi="Times New Roman"/>
          <w:color w:val="000000" w:themeColor="text1"/>
          <w:sz w:val="16"/>
          <w:szCs w:val="16"/>
        </w:rPr>
        <w:softHyphen/>
        <w:t>ния комбинированной самоходной установки для «боль</w:t>
      </w:r>
      <w:r w:rsidRPr="00C33834">
        <w:rPr>
          <w:rFonts w:ascii="Times New Roman" w:hAnsi="Times New Roman"/>
          <w:color w:val="000000" w:themeColor="text1"/>
          <w:sz w:val="16"/>
          <w:szCs w:val="16"/>
        </w:rPr>
        <w:softHyphen/>
        <w:t>шого триплекса» в составе 254-мм пушки, 305-мм гаубицы и 400-мм мортиры на едином самоходном лафете (11417).</w:t>
      </w:r>
    </w:p>
    <w:p w14:paraId="4F964EE3" w14:textId="77777777" w:rsidR="00C76194" w:rsidRPr="00C33834" w:rsidRDefault="00C7619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5D3CB2" w14:textId="77777777" w:rsidR="00C76194" w:rsidRPr="00C33834" w:rsidRDefault="00C7619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весны 1933 г. 45-мм пушка уже считается основ</w:t>
      </w:r>
      <w:r w:rsidRPr="00C33834">
        <w:rPr>
          <w:rFonts w:ascii="Times New Roman" w:hAnsi="Times New Roman"/>
          <w:color w:val="000000" w:themeColor="text1"/>
          <w:sz w:val="16"/>
          <w:szCs w:val="16"/>
        </w:rPr>
        <w:softHyphen/>
        <w:t>ным оружием для танков Т-26 и БТ. Правда, конструкция пушки 20К обр. 1932 г. была еще несовершенна. Полуавто</w:t>
      </w:r>
      <w:r w:rsidRPr="00C33834">
        <w:rPr>
          <w:rFonts w:ascii="Times New Roman" w:hAnsi="Times New Roman"/>
          <w:color w:val="000000" w:themeColor="text1"/>
          <w:sz w:val="16"/>
          <w:szCs w:val="16"/>
        </w:rPr>
        <w:softHyphen/>
        <w:t>матика давала большое число отказов, что приводило к не</w:t>
      </w:r>
      <w:r w:rsidRPr="00C33834">
        <w:rPr>
          <w:rFonts w:ascii="Times New Roman" w:hAnsi="Times New Roman"/>
          <w:color w:val="000000" w:themeColor="text1"/>
          <w:sz w:val="16"/>
          <w:szCs w:val="16"/>
        </w:rPr>
        <w:softHyphen/>
        <w:t>обходимости частого ручного разряжания и значительно снижало скорострельность (10733,214).</w:t>
      </w:r>
    </w:p>
    <w:p w14:paraId="17EE5787" w14:textId="77777777" w:rsidR="00C76194" w:rsidRPr="00C33834" w:rsidRDefault="00C7619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A087DF" w14:textId="77777777" w:rsidR="00C76194" w:rsidRPr="00C33834" w:rsidRDefault="00C7619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Весной 1933 г. слушатели ВАММ предъявили три решения по переоборудованию Т-26 в колесно-гусеничный, на основании которых НИО ВАММ начал разработку колесно-гусеничного танка, предназначенного на замену Т-26 в подвижных со</w:t>
      </w:r>
      <w:r w:rsidRPr="00C33834">
        <w:rPr>
          <w:rFonts w:ascii="Times New Roman" w:hAnsi="Times New Roman"/>
          <w:color w:val="000000" w:themeColor="text1"/>
          <w:sz w:val="16"/>
          <w:szCs w:val="16"/>
        </w:rPr>
        <w:softHyphen/>
        <w:t>единениях. Согласно требованиям предполагалось при возможно более полном сохранении корпуса, двигателя и вооружения Т-26 установить его на колесно-гусеничный ход для увеличения оперативной подвижности (10733,307).</w:t>
      </w:r>
    </w:p>
    <w:p w14:paraId="028947D6" w14:textId="77777777" w:rsidR="00C76194" w:rsidRPr="00C33834" w:rsidRDefault="00C7619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959DB4"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Весной 1933 был разработан проект установки дизеля БД-2 в БТ-5, но смогли сделать лишь в середине 1934 (3880,17).</w:t>
      </w:r>
    </w:p>
    <w:p w14:paraId="71CFEEBD"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5106AC2A"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Весной 1933 г. в НАТИ под руководством и.о. директора инженера Зелинского велись проектные работы по установке в танк БТ-2 опытного быстроходного бескомпрессорного дизеля Д-300 конструкции ОКМО. В 1934 г. в КБ по быстроходным дизелям прибыло новое пополнение специалистов. В дизельном отделе завода было организовано три КБ, разрабатывающих до десятка модификаций дизеля БД-2 (танковых, судовых, тракторных, авиационных). Для разработки серийной технологии изготовления и оснастки в ноябре 1935 г. было создано технологическое бюро по БД-2, в котором, правда, уже на БТ-5, были продолжены объектовые испытания двигателей первой серии. По результатам испытаний первой серии и замечаниям специалистов ЦИАМ конструкторы выпустили техническую документацию дизеля БД-2 второй серии. Для повышения надежности и технологичности предусматривалось изготовление коленчатых валов, шатунов, поршней из штампованных заготовок. Однако очередные стендовые испытания, проведенные в январе - марте 1937 г., снова выявили дефекты. С середины 1937 г. усовершенствованный дизель получил наименование В-2. Первые Государственные испытания В-2 состоялись в апреле - мае 1938 г. К концу 1938 г. заводом были изготовлены первые 50 дизелей. В январе 1939 г. из состава завода № 183 (бывший ХПЗ) был образован новый дизельный завод, который позже был переименован в Государственный союзный завод № 75. В 1939 г. решением ГКО дизель В-2 был принят на вооружение РККА.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 </w:t>
      </w:r>
    </w:p>
    <w:p w14:paraId="0807A97E"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63902AE9" w14:textId="77777777" w:rsidR="00FD16A4" w:rsidRPr="00C33834" w:rsidRDefault="00FD16A4"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Весной 1933 г. при подведении итогов работы промышленности в предшествующем году выяснилось, что заказ НКВМ на боевые самолеты был выполнен на 51%, авиабомбы - на 50%, малые танки (Т-26) - на 85%, средние танки (БТ) - на 66%. В абсолютных цифрах общее чисто произведенных в 1932 г. танков составило 3500, а самолетов- 1000 машин. Выпуск пулеметов позволил достичь обеспеченности РККА в этом виде артвооружений. По тяжелым артсистемам, напротив, констатировался провал: план производства 152-миллиметровых мортир был выполнен на 8%, 152-миллиметровых пушек - на 1%, 203-миллиметровых гаубиц - на 26%. Что было еще хуже, из 7 млн заказанных военными снарядов промышнность в 1932 г. подала всего 2 млн254. Хотя прямое соотнесение способности промышленности обеспечить подачу первого года войны с выполнением ею заказов мирного времени, разумеется, невозможно, их общее сопоставление применительно к плану мобилизационного развертывания на 1933 г. убеждает в его необеспеченности не только по людским и транспортным ресурсам, но и по вооружению (22725).</w:t>
      </w:r>
    </w:p>
    <w:p w14:paraId="2CCB1ADE" w14:textId="77777777" w:rsidR="00FD16A4" w:rsidRPr="00C33834" w:rsidRDefault="00FD16A4" w:rsidP="00C33834">
      <w:pPr>
        <w:spacing w:after="0" w:line="240" w:lineRule="auto"/>
        <w:jc w:val="both"/>
        <w:rPr>
          <w:rFonts w:ascii="Times New Roman" w:hAnsi="Times New Roman"/>
          <w:color w:val="0070C0"/>
          <w:sz w:val="16"/>
          <w:szCs w:val="16"/>
        </w:rPr>
      </w:pPr>
    </w:p>
    <w:p w14:paraId="7C7E732C" w14:textId="77777777" w:rsidR="00FD16A4" w:rsidRPr="00C33834" w:rsidRDefault="00FD16A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shd w:val="clear" w:color="auto" w:fill="FFFFFF"/>
        </w:rPr>
        <w:t>Весной 1933 года приоритет по Т-34 был высокий (предполагалось выпускать это танк на ЗИС, так теперь именовался АМО), 28 марта в Москву передали комплект чертежей. Но 13 августа 1933 года на вооружение Красной Армии приняли разведывательный танк-амфибию Т-37. Разработали его в КБ завода №37 в плотном сотрудничестве с ОКМО. Таким образом, Красная Армия пошла своим путем. Вместо "патрульного" танка, как это сделали в ряде стран, у нас поставили на плавающий танк-разведчик. И нельзя сказать, что ошиблись. Т-37 (позже Т-37А) и Т-38 были первыми реально массовыми танками-амфибиями. Т-34 же в обновленной системе вооружения места не нашлось. Машина не стала бесполезной тратой времени, ее элементы можно видеть в других танках. Но с "патрульными" танками у нас, на время, завязали (22724).</w:t>
      </w:r>
    </w:p>
    <w:p w14:paraId="1A15524D" w14:textId="77777777" w:rsidR="00FD16A4" w:rsidRPr="00C33834" w:rsidRDefault="00FD16A4" w:rsidP="00C33834">
      <w:pPr>
        <w:spacing w:after="0" w:line="240" w:lineRule="auto"/>
        <w:jc w:val="both"/>
        <w:rPr>
          <w:rFonts w:ascii="Times New Roman" w:hAnsi="Times New Roman"/>
          <w:color w:val="0070C0"/>
          <w:sz w:val="16"/>
          <w:szCs w:val="16"/>
        </w:rPr>
      </w:pPr>
    </w:p>
    <w:p w14:paraId="28FDFF45" w14:textId="77777777" w:rsidR="00C76194" w:rsidRPr="00C33834" w:rsidRDefault="00C7619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Весной 1933 года на «Компрессоре» спроектировали и изготовили партию БХМ-800 на шасси «Форд-ААА» с ба</w:t>
      </w:r>
      <w:r w:rsidRPr="00C33834">
        <w:rPr>
          <w:rFonts w:ascii="Times New Roman" w:hAnsi="Times New Roman"/>
          <w:color w:val="000000" w:themeColor="text1"/>
          <w:sz w:val="16"/>
          <w:szCs w:val="16"/>
        </w:rPr>
        <w:softHyphen/>
        <w:t>ком емкостью 800 литров. Весной на заводах Союзторфмаша на эти машины смонтировали защиту баков из листов обычной (не броневой) стали толщиной 6-8 мм (11284).</w:t>
      </w:r>
    </w:p>
    <w:p w14:paraId="3336D242" w14:textId="77777777" w:rsidR="00C76194" w:rsidRPr="00C33834" w:rsidRDefault="00C7619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2CFFCC"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Весной 1933 г. было решено прибегнуть к использо</w:t>
      </w:r>
      <w:r w:rsidRPr="00C33834">
        <w:rPr>
          <w:rFonts w:ascii="Times New Roman" w:hAnsi="Times New Roman"/>
          <w:color w:val="000000" w:themeColor="text1"/>
          <w:sz w:val="16"/>
          <w:szCs w:val="16"/>
        </w:rPr>
        <w:softHyphen/>
        <w:t>ванию германского опыта подводного судостроения. Этот опыт был воплощен в деятельности фирмы "Дешимаг" в Гааге (Голландия), которая занималась проектированием подводных лодок в условиях действия соответствующих статей Версальского договора 1919 г. о запрещении Германии иметь подводный флот.</w:t>
      </w:r>
    </w:p>
    <w:p w14:paraId="2E5E1C70"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качестве прототипа для проектирования бьша выбрана под</w:t>
      </w:r>
      <w:r w:rsidRPr="00C33834">
        <w:rPr>
          <w:rFonts w:ascii="Times New Roman" w:hAnsi="Times New Roman"/>
          <w:color w:val="000000" w:themeColor="text1"/>
          <w:sz w:val="16"/>
          <w:szCs w:val="16"/>
        </w:rPr>
        <w:softHyphen/>
        <w:t>водная лодка Е-1 ("Эчвариэтта"), построенная в Испании по черте</w:t>
      </w:r>
      <w:r w:rsidRPr="00C33834">
        <w:rPr>
          <w:rFonts w:ascii="Times New Roman" w:hAnsi="Times New Roman"/>
          <w:color w:val="000000" w:themeColor="text1"/>
          <w:sz w:val="16"/>
          <w:szCs w:val="16"/>
        </w:rPr>
        <w:softHyphen/>
        <w:t>жам "Дешимага" и впоследствии переданная Турции. На основании изучения Е-1 в процессе испытаний и учета требований РККФ ЦКБС-2 подготовило задание на проектирование новой средней подводной лодки, условно названной Е-2 (3898).</w:t>
      </w:r>
    </w:p>
    <w:p w14:paraId="6B75BAAB"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1E8724FD" w14:textId="77777777" w:rsidR="007112A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41A2C2EB" w14:textId="77777777" w:rsidR="007112AB" w:rsidRPr="00C33834" w:rsidRDefault="007112A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C1C9660" w14:textId="77777777" w:rsidR="00323684" w:rsidRPr="00C33834" w:rsidRDefault="0032368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Весна 1933. Для школьников Москвы введен единый школьный билет. Впуск в школьные помещения производился только по предъявлению билета. Этот же билет давал право входа в трамвай через переднюю площадку (18722).</w:t>
      </w:r>
    </w:p>
    <w:p w14:paraId="0FC1B506" w14:textId="77777777" w:rsidR="00323684" w:rsidRPr="00C33834" w:rsidRDefault="00323684" w:rsidP="00C33834">
      <w:pPr>
        <w:spacing w:after="0" w:line="240" w:lineRule="auto"/>
        <w:jc w:val="both"/>
        <w:rPr>
          <w:rFonts w:ascii="Times New Roman" w:hAnsi="Times New Roman"/>
          <w:color w:val="000000" w:themeColor="text1"/>
          <w:sz w:val="16"/>
          <w:szCs w:val="16"/>
        </w:rPr>
      </w:pPr>
    </w:p>
    <w:p w14:paraId="154A59FC" w14:textId="77777777" w:rsidR="007112AB" w:rsidRPr="00C33834" w:rsidRDefault="007112A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Весной 1933 г. в южных районах ЦЧО начался голод. Об отношении Кагановича к хлебозаготовкам красноречиво свидетельствует его деятельность на Северном Кавказе. Что касается Молотова, то небезынтересно привести полемику между ним и секретарем ЦК КП(б) Украины М.М. Хатаевичем.</w:t>
      </w:r>
    </w:p>
    <w:p w14:paraId="606AD1DE" w14:textId="77777777" w:rsidR="007112AB" w:rsidRPr="00C33834" w:rsidRDefault="007112A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Хатаевич в подготовленной к печати брошюре писал, что заготавливать нужно только товарный хлеб, а не хлеб вообще. Это вызвало резкую критику со стороны Молотова, который считал, что хлеб нужно взять из деревни любой ценой и в первую очередь. В связи с этим Хатаевич в письме Молотову в середине ноября  1932  г. писал: «Я согласен, что в нынешних условиях, условиях борьбы за хлеб на Украине в текущем году, было с моей стороны неправильно оставлять в брошюре подобное место, ибо, чтобы накормить теперь, немедленно рабочий класс и Красную Армию, нам придется брать любой хлеб в колхозах и где угодно, не считаясь с тем, товарный он или нетоварный (курсив наш. - Н.И.).</w:t>
      </w:r>
    </w:p>
    <w:p w14:paraId="7D0209C3" w14:textId="77777777" w:rsidR="007112AB" w:rsidRPr="00C33834" w:rsidRDefault="007112A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 если ставить вопрос о хлебозаготовках вообще, то я продолжаю считать формулировку, данную мною на странице 7 брошюры, правильной. Я считаю, что мы должны заготовлять в колхозах товарный хлеб, а не хлеб вообще. Борьба за хлеб должна иметь в виду не только получение того хлеба, который уже произведен, но и увеличение производства хлеба. А для того, чтобы производство хлеба увеличивалось соответственно нуждам и потребностям пролетарского государства, мы должны заботиться о том, чтобы основные производственные и потребительские нужды колхозов и колхозников были удовлетворены, иначе они сеять и расширять производство не будут».</w:t>
      </w:r>
    </w:p>
    <w:p w14:paraId="523D6F0E" w14:textId="77777777" w:rsidR="007112AB" w:rsidRPr="00C33834" w:rsidRDefault="007112A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Примерно такого же мнения придерживались Рудзутак и Косиор, телеграфируя Сталину ( январь-март   1932  г.) о планировании хлебозаготовок.</w:t>
      </w:r>
    </w:p>
    <w:p w14:paraId="19DA579C" w14:textId="77777777" w:rsidR="007112AB" w:rsidRPr="00C33834" w:rsidRDefault="007112A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«Мне кажется, - продолжал Хатаевич, - что из этого исходило постановление ЦК ВКП(б) и СНК СССР от 6 мая с. г., в котором объявлялось о некотором уменьшении планов хлебозаготовок и о колхозной торговле хлебом.</w:t>
      </w:r>
    </w:p>
    <w:p w14:paraId="685FC83F" w14:textId="77777777" w:rsidR="007112AB" w:rsidRPr="00C33834" w:rsidRDefault="007112A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сих пор во всех местах и случаях, где мне приходилось организовывать, проводить хлебозаготовки, я исходил именно из этого положения и глубоко убежден, что иначе, при общей постановке вопроса о хлебозаготовках, к борьбе за хлеб подходить невозможно (17254).</w:t>
      </w:r>
    </w:p>
    <w:p w14:paraId="3D920B27" w14:textId="77777777" w:rsidR="007112AB" w:rsidRPr="00C33834" w:rsidRDefault="007112AB" w:rsidP="00C33834">
      <w:pPr>
        <w:spacing w:after="0" w:line="240" w:lineRule="auto"/>
        <w:jc w:val="both"/>
        <w:rPr>
          <w:rFonts w:ascii="Times New Roman" w:hAnsi="Times New Roman"/>
          <w:color w:val="000000" w:themeColor="text1"/>
          <w:sz w:val="16"/>
          <w:szCs w:val="16"/>
        </w:rPr>
      </w:pPr>
    </w:p>
    <w:p w14:paraId="26C2B115" w14:textId="77777777" w:rsidR="00C7619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6104B46" w14:textId="77777777" w:rsidR="00C76194" w:rsidRPr="00C33834" w:rsidRDefault="00C7619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A246B57"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июню 1933 вся партия самолетов Савойя S.55 была готова, после чего лодки отправляли в Одессу морем по мере приемки, которая началась в конце апреля. Руководил ей прибывший из Москвы Силин. После приемочных испытаний самолеты разбирали, упаковывали и грузили на суда. Но одна лодка добралась до Советского Союза «своим ходом» (5486,3).</w:t>
      </w:r>
    </w:p>
    <w:p w14:paraId="323690D8"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725F76B2" w14:textId="77777777" w:rsidR="00C7619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3598EC3" w14:textId="77777777" w:rsidR="00C76194" w:rsidRPr="00C33834" w:rsidRDefault="00C7619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DC6B1AC"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лету 1933 будущий И-16, получивший рабочее обозначение ЦКБ-12, начал обретать реальные черты. Разрабатывалось два варианта с кольцом Тауненда и капотом НАСА на Райт Циклон, но Я.И.А. рекомендовал ориентироваться на М-22 (1808,3).</w:t>
      </w:r>
    </w:p>
    <w:p w14:paraId="3A9ADD5D"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622B165E"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лету 1933 г. истребитель-моноплан Н.Н.П., получивший рабочее обозначение ЦКБ-12, обретает реальные черты. Низкоплан с коротким веретенообразным фюзеляжем, закрытым фонарем кабины и убираемым шасси был представлен в двух вариантах капотировании двигателя: с кольцом Таунснда и капотом NACA. Решение об использовании легкого и узкого кольца Тауненда хотя бы для одной опытной машины оставалось в силе до декабря 1933 г. Однако на практике лва первых опытных экземпляра самолета оснащались широким капотом NACA.</w:t>
      </w:r>
    </w:p>
    <w:p w14:paraId="2A060F55"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качестве силовой установки конструктор считал наиболее приемлемыми американские двигатели воздушного охлаждения "Циклон” фирмы "Райт". Появившиеся в 1925 году, звездообразные "Циклоны" непрерывно совершенствовались и в 1933 г. являлись одними из наиболее перспективных двигателей мира. В течение 1932-33 гг. советские представители провели переговоры с фирмой Кертнсс-Райт, результатом которых стало приобретение целого моторостроительного завода со всем оборудованием и лицензии на производство двигателей "Циклон" R-1820 F-3 мощностью 625 л.с.</w:t>
      </w:r>
    </w:p>
    <w:p w14:paraId="4586FB08"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Однако в первой половине 1933 г. получить хотя бы один такой двигатель для инициативного проекта ЦКБ-12 оказалось затруднительно. Начальник ВВС Красной Армии Яков Алкснис предложил Поликарпову первый опытный экземпляр построить с распространенным двигателем М-22 меньшей мощности (480 л.с.), который вполне обеспечивал по расчетам требуемую скорость - 300 км/ч на высоте пять километров (12015).</w:t>
      </w:r>
    </w:p>
    <w:p w14:paraId="665942DD"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5C3017D1" w14:textId="77777777" w:rsidR="0085124E" w:rsidRPr="00C33834" w:rsidRDefault="0085124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 летнему сезону 1933 г. новая воздушная система, по</w:t>
      </w:r>
      <w:r w:rsidRPr="00C33834">
        <w:rPr>
          <w:rFonts w:ascii="Times New Roman" w:hAnsi="Times New Roman"/>
          <w:color w:val="0070C0"/>
          <w:sz w:val="16"/>
          <w:szCs w:val="16"/>
        </w:rPr>
        <w:softHyphen/>
        <w:t>лучившая наименование «Самолет-Звено» 3-2 - ТБ-3+3 И-5 в целом была готова (20345).</w:t>
      </w:r>
    </w:p>
    <w:p w14:paraId="3C0E90E1" w14:textId="77777777" w:rsidR="0085124E" w:rsidRPr="00C33834" w:rsidRDefault="0085124E" w:rsidP="00C33834">
      <w:pPr>
        <w:spacing w:after="0" w:line="240" w:lineRule="auto"/>
        <w:jc w:val="both"/>
        <w:rPr>
          <w:rFonts w:ascii="Times New Roman" w:hAnsi="Times New Roman"/>
          <w:color w:val="0070C0"/>
          <w:sz w:val="16"/>
          <w:szCs w:val="16"/>
        </w:rPr>
      </w:pPr>
    </w:p>
    <w:p w14:paraId="0966F3C7" w14:textId="77777777" w:rsidR="00C7619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DA2C473" w14:textId="77777777" w:rsidR="00C76194" w:rsidRPr="00C33834" w:rsidRDefault="00C7619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8576197"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лету 1933 г</w:t>
      </w:r>
      <w:r w:rsidRPr="00C33834">
        <w:rPr>
          <w:rFonts w:ascii="Times New Roman" w:hAnsi="Times New Roman"/>
          <w:iCs/>
          <w:color w:val="000000" w:themeColor="text1"/>
          <w:sz w:val="16"/>
          <w:szCs w:val="16"/>
        </w:rPr>
        <w:t>.</w:t>
      </w:r>
      <w:r w:rsidRPr="00C33834">
        <w:rPr>
          <w:rFonts w:ascii="Times New Roman" w:hAnsi="Times New Roman"/>
          <w:color w:val="000000" w:themeColor="text1"/>
          <w:sz w:val="16"/>
          <w:szCs w:val="16"/>
        </w:rPr>
        <w:t xml:space="preserve"> грузовик АМО-3 был модернизирован, его грузоподъемность была повышена до 3 т.</w:t>
      </w:r>
    </w:p>
    <w:p w14:paraId="4B47DAB0"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2CEBF0D4" w14:textId="77777777" w:rsidR="0085124E" w:rsidRPr="00C33834" w:rsidRDefault="0085124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 лету 1933 были готовы 2 автомобиля на базе грузовиков ГАЗ-АА. Летом 1933 г. Г.А. Сонкин показал их полярно</w:t>
      </w:r>
      <w:r w:rsidRPr="00C33834">
        <w:rPr>
          <w:rFonts w:ascii="Times New Roman" w:hAnsi="Times New Roman"/>
          <w:color w:val="0070C0"/>
          <w:sz w:val="16"/>
          <w:szCs w:val="16"/>
        </w:rPr>
        <w:softHyphen/>
        <w:t>му исследователю Н.Н. Урванцеву. Геологу, собирав</w:t>
      </w:r>
      <w:r w:rsidRPr="00C33834">
        <w:rPr>
          <w:rFonts w:ascii="Times New Roman" w:hAnsi="Times New Roman"/>
          <w:color w:val="0070C0"/>
          <w:sz w:val="16"/>
          <w:szCs w:val="16"/>
        </w:rPr>
        <w:softHyphen/>
        <w:t>шемуся в арктические широты, такие машины были нужны, он специально добрался до института в на</w:t>
      </w:r>
      <w:r w:rsidRPr="00C33834">
        <w:rPr>
          <w:rFonts w:ascii="Times New Roman" w:hAnsi="Times New Roman"/>
          <w:color w:val="0070C0"/>
          <w:sz w:val="16"/>
          <w:szCs w:val="16"/>
        </w:rPr>
        <w:softHyphen/>
        <w:t>дежде подыскать механический транспорт для своей экспедиции. Ему удалось добиться изготовления че</w:t>
      </w:r>
      <w:r w:rsidRPr="00C33834">
        <w:rPr>
          <w:rFonts w:ascii="Times New Roman" w:hAnsi="Times New Roman"/>
          <w:color w:val="0070C0"/>
          <w:sz w:val="16"/>
          <w:szCs w:val="16"/>
        </w:rPr>
        <w:softHyphen/>
        <w:t>тырех машин для экспедиции. Так в условиях арктической зимы прошли первые испытания ме</w:t>
      </w:r>
      <w:r w:rsidRPr="00C33834">
        <w:rPr>
          <w:rFonts w:ascii="Times New Roman" w:hAnsi="Times New Roman"/>
          <w:color w:val="0070C0"/>
          <w:sz w:val="16"/>
          <w:szCs w:val="16"/>
        </w:rPr>
        <w:softHyphen/>
        <w:t>ханического транспорта. Всего вездехо</w:t>
      </w:r>
      <w:r w:rsidRPr="00C33834">
        <w:rPr>
          <w:rFonts w:ascii="Times New Roman" w:hAnsi="Times New Roman"/>
          <w:color w:val="0070C0"/>
          <w:sz w:val="16"/>
          <w:szCs w:val="16"/>
        </w:rPr>
        <w:softHyphen/>
        <w:t>дами НАТИ-2 (как их называ</w:t>
      </w:r>
      <w:r w:rsidRPr="00C33834">
        <w:rPr>
          <w:rFonts w:ascii="Times New Roman" w:hAnsi="Times New Roman"/>
          <w:color w:val="0070C0"/>
          <w:sz w:val="16"/>
          <w:szCs w:val="16"/>
        </w:rPr>
        <w:softHyphen/>
        <w:t>ет в своих воспоминаниях Н.Н. Урванцев) на зи</w:t>
      </w:r>
      <w:r w:rsidRPr="00C33834">
        <w:rPr>
          <w:rFonts w:ascii="Times New Roman" w:hAnsi="Times New Roman"/>
          <w:color w:val="0070C0"/>
          <w:sz w:val="16"/>
          <w:szCs w:val="16"/>
        </w:rPr>
        <w:softHyphen/>
        <w:t>мовке было перевезено 2600 т раз</w:t>
      </w:r>
      <w:r w:rsidRPr="00C33834">
        <w:rPr>
          <w:rFonts w:ascii="Times New Roman" w:hAnsi="Times New Roman"/>
          <w:color w:val="0070C0"/>
          <w:sz w:val="16"/>
          <w:szCs w:val="16"/>
        </w:rPr>
        <w:softHyphen/>
        <w:t>ных грузов и проделано в общей сложности 7000 км. Моторы везде</w:t>
      </w:r>
      <w:r w:rsidRPr="00C33834">
        <w:rPr>
          <w:rFonts w:ascii="Times New Roman" w:hAnsi="Times New Roman"/>
          <w:color w:val="0070C0"/>
          <w:sz w:val="16"/>
          <w:szCs w:val="16"/>
        </w:rPr>
        <w:softHyphen/>
        <w:t>ходов работали без ремонта 1800 ч.</w:t>
      </w:r>
    </w:p>
    <w:p w14:paraId="7282C63C" w14:textId="77777777" w:rsidR="0085124E" w:rsidRPr="00C33834" w:rsidRDefault="0085124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После этого машины еще неко</w:t>
      </w:r>
      <w:r w:rsidRPr="00C33834">
        <w:rPr>
          <w:rFonts w:ascii="Times New Roman" w:hAnsi="Times New Roman"/>
          <w:color w:val="0070C0"/>
          <w:sz w:val="16"/>
          <w:szCs w:val="16"/>
        </w:rPr>
        <w:softHyphen/>
        <w:t>торое время работали на островах Самуила, потом они были погру</w:t>
      </w:r>
      <w:r w:rsidRPr="00C33834">
        <w:rPr>
          <w:rFonts w:ascii="Times New Roman" w:hAnsi="Times New Roman"/>
          <w:color w:val="0070C0"/>
          <w:sz w:val="16"/>
          <w:szCs w:val="16"/>
        </w:rPr>
        <w:softHyphen/>
        <w:t>жены на пароход и в навигацию 1934 г. доставлены в бухту Нор- двик, где использовались при раз</w:t>
      </w:r>
      <w:r w:rsidRPr="00C33834">
        <w:rPr>
          <w:rFonts w:ascii="Times New Roman" w:hAnsi="Times New Roman"/>
          <w:color w:val="0070C0"/>
          <w:sz w:val="16"/>
          <w:szCs w:val="16"/>
        </w:rPr>
        <w:softHyphen/>
        <w:t>грузке бурового оборудования и снаряжения, доставке грузов от берега к месту складирования.</w:t>
      </w:r>
    </w:p>
    <w:p w14:paraId="1DFBE81B" w14:textId="77777777" w:rsidR="0085124E" w:rsidRPr="00C33834" w:rsidRDefault="0085124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этой экспедиции участвовали два сотрудника НАТИ - И.А. Бизи- кин и Г.Г. Колобаев, который рабо</w:t>
      </w:r>
      <w:r w:rsidRPr="00C33834">
        <w:rPr>
          <w:rFonts w:ascii="Times New Roman" w:hAnsi="Times New Roman"/>
          <w:color w:val="0070C0"/>
          <w:sz w:val="16"/>
          <w:szCs w:val="16"/>
        </w:rPr>
        <w:softHyphen/>
        <w:t>тал в институте механиком. Случи</w:t>
      </w:r>
      <w:r w:rsidRPr="00C33834">
        <w:rPr>
          <w:rFonts w:ascii="Times New Roman" w:hAnsi="Times New Roman"/>
          <w:color w:val="0070C0"/>
          <w:sz w:val="16"/>
          <w:szCs w:val="16"/>
        </w:rPr>
        <w:softHyphen/>
        <w:t>лось так, что автомобиль Ивана Бизикина провалился под лед. Он и находившийся в кабине Урван</w:t>
      </w:r>
      <w:r w:rsidRPr="00C33834">
        <w:rPr>
          <w:rFonts w:ascii="Times New Roman" w:hAnsi="Times New Roman"/>
          <w:color w:val="0070C0"/>
          <w:sz w:val="16"/>
          <w:szCs w:val="16"/>
        </w:rPr>
        <w:softHyphen/>
        <w:t>цев успели выпрыгнуть и зацепить оказавшийся рядом трос для подъема льда на судно за переднюю ось автомобиля, перед тем как тот ушел под воду. Используя этот трос, вездеход поз</w:t>
      </w:r>
      <w:r w:rsidRPr="00C33834">
        <w:rPr>
          <w:rFonts w:ascii="Times New Roman" w:hAnsi="Times New Roman"/>
          <w:color w:val="0070C0"/>
          <w:sz w:val="16"/>
          <w:szCs w:val="16"/>
        </w:rPr>
        <w:softHyphen/>
        <w:t>же удалось поднять. Спасенный автомобиль исправ</w:t>
      </w:r>
      <w:r w:rsidRPr="00C33834">
        <w:rPr>
          <w:rFonts w:ascii="Times New Roman" w:hAnsi="Times New Roman"/>
          <w:color w:val="0070C0"/>
          <w:sz w:val="16"/>
          <w:szCs w:val="16"/>
        </w:rPr>
        <w:softHyphen/>
        <w:t>но служил экспедиции и участвовал в походе вокруг Таймыра  (22518).</w:t>
      </w:r>
    </w:p>
    <w:p w14:paraId="64041478" w14:textId="77777777" w:rsidR="0085124E" w:rsidRPr="00C33834" w:rsidRDefault="0085124E" w:rsidP="00C33834">
      <w:pPr>
        <w:spacing w:after="0" w:line="240" w:lineRule="auto"/>
        <w:jc w:val="both"/>
        <w:rPr>
          <w:rFonts w:ascii="Times New Roman" w:hAnsi="Times New Roman"/>
          <w:color w:val="0070C0"/>
          <w:sz w:val="16"/>
          <w:szCs w:val="16"/>
        </w:rPr>
      </w:pPr>
    </w:p>
    <w:p w14:paraId="1E9D5D18" w14:textId="77777777" w:rsidR="00C7619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6091C51" w14:textId="77777777" w:rsidR="00C76194" w:rsidRPr="00C33834" w:rsidRDefault="00C7619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690048C"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июню 1933 г. после разрыва пушки АПК-3 на И-4 18 мая в ОКБ-1 началось изготовление двух новых пушек АПК-Збис. Первая из них была закончена, и летные испытания продолжились. Однако 17 июля 1933 г. руководители испытаний заявили, что пушка «боевым требованиям не удовлетворяет» и система будет использоваться как учебная, а планируемый заказ на 50 пушек АПК-Збис размещению не подлежит (12091).</w:t>
      </w:r>
    </w:p>
    <w:p w14:paraId="0E0B66BF"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667178D6" w14:textId="77777777" w:rsidR="00C7619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A35A693" w14:textId="77777777" w:rsidR="00C76194" w:rsidRPr="00C33834" w:rsidRDefault="00C7619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7442067"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была закончена постройка АНТ-25 (514).</w:t>
      </w:r>
    </w:p>
    <w:p w14:paraId="3B9C08CD"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- 13 июня 1932 (2072,72).</w:t>
      </w:r>
    </w:p>
    <w:p w14:paraId="6C0A8433"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1933 машина всерьез рассматривалась ЦАГИ как конкурент ТБ-3 (АНТ-6) в роли бомбардировщика (1072).</w:t>
      </w:r>
    </w:p>
    <w:p w14:paraId="6A7E8FA9"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145A3F68"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года Дубинский писал письмо № 42923 в СНК Базилевичу</w:t>
      </w:r>
    </w:p>
    <w:p w14:paraId="653F39AB"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Харьковский авиазавод, по заданию Правительства, строит самолет-гигант «К-7» – специального назначения, для которого необходимы колеса-дутики 2000х900, изготовляемые заводом «Каучук» в Москве и для которых были отлиты и обработаны на заводе «Марти» формы-вулканизаторы.</w:t>
      </w:r>
    </w:p>
    <w:p w14:paraId="45943A80"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данный момент формы-вулканизаторы заводом «Каучук» получены, но изготовление дутиков затягивается как заводом «Каучук», так и НИРПом.</w:t>
      </w:r>
    </w:p>
    <w:p w14:paraId="6295111F"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обеспечения выпуска машины в намеченный срок, прошу обязать завод «Каучук» и НИРП изготовить колеса-дутики 2000х900 в кратчайший срок (3530,129).</w:t>
      </w:r>
    </w:p>
    <w:p w14:paraId="0BBEBD30"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2F6C95A2"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началась постройка АНТ-29 (ДИП) (514).</w:t>
      </w:r>
    </w:p>
    <w:p w14:paraId="73B52E5B"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08C05658"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была закончена постройка АНТ-21 (МИ-3) (514).</w:t>
      </w:r>
    </w:p>
    <w:p w14:paraId="55BD160E"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23 мая 1933 был выполнен первый полет</w:t>
      </w:r>
    </w:p>
    <w:p w14:paraId="5203F7BE"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7D4419FF"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 июня 1933 была закончена постройка АНТ-31 (И-14), который в 1934 под управлением В.К.Коккинаки потерпел аварию и не был восстановлен (514).</w:t>
      </w:r>
    </w:p>
    <w:p w14:paraId="38A65402"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5FF19AAE"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был утвержден макет МДР-4 2М-34 (2310,143).</w:t>
      </w:r>
    </w:p>
    <w:p w14:paraId="52C7E9C4"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5A5FD4E6"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1 июня 1933 был утвержден макет МДР-3бис 2М-34РН (2305,35).</w:t>
      </w:r>
    </w:p>
    <w:p w14:paraId="29776D73"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65AE8BD9" w14:textId="77777777" w:rsidR="00006C61" w:rsidRPr="00C33834" w:rsidRDefault="00006C6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г. Протокол ПБ № 138 п.118/98: Просьба Орджоникидзе откомандировать на постоянную работу в США по реализации договора о производстве авиамоторов уполномоченного ГУАП и его бюро в составе 5 человек (ОБ от 23-5-1933, протокол № 147, п. 36-гс). Решено ограничиться командировкой трех человек, командировав уполномоченным ГУАП Михайлова И.С. и членами бюро Старченко и Родзевича (15936).</w:t>
      </w:r>
    </w:p>
    <w:p w14:paraId="7437F113" w14:textId="77777777" w:rsidR="00006C61" w:rsidRPr="00C33834" w:rsidRDefault="00006C61" w:rsidP="00C33834">
      <w:pPr>
        <w:spacing w:after="0" w:line="240" w:lineRule="auto"/>
        <w:jc w:val="both"/>
        <w:rPr>
          <w:rFonts w:ascii="Times New Roman" w:hAnsi="Times New Roman"/>
          <w:color w:val="000000" w:themeColor="text1"/>
          <w:sz w:val="16"/>
          <w:szCs w:val="16"/>
        </w:rPr>
      </w:pPr>
    </w:p>
    <w:p w14:paraId="21285FAA"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в Москве был организован дирижаблестроительный учебный комбинат ГВФ, включающий Дирижаблестроительный институт и Воздухоплавательную школу (237,166).</w:t>
      </w:r>
    </w:p>
    <w:p w14:paraId="24EAB6AE"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5B6EF458" w14:textId="77777777" w:rsidR="00006C61" w:rsidRPr="00C33834" w:rsidRDefault="00006C6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г. Протокол ПБ № 138 п.131/110: О перелете немецких аэропланов – ОП. Решено разрешить однократный перелет через СССР в Западный Китай по маршруту Дерулюфта до Москвы, а затем через Казань – Свердловск – Семипалатинск – Сергиополь трех аэропланов, принадлежащих германскому обществу воздушных сообщений «Люфтганза» (15964).</w:t>
      </w:r>
    </w:p>
    <w:p w14:paraId="4AA0CA94" w14:textId="77777777" w:rsidR="00006C61" w:rsidRPr="00C33834" w:rsidRDefault="00006C61" w:rsidP="00C33834">
      <w:pPr>
        <w:spacing w:after="0" w:line="240" w:lineRule="auto"/>
        <w:jc w:val="both"/>
        <w:rPr>
          <w:rFonts w:ascii="Times New Roman" w:hAnsi="Times New Roman"/>
          <w:color w:val="000000" w:themeColor="text1"/>
          <w:sz w:val="16"/>
          <w:szCs w:val="16"/>
        </w:rPr>
      </w:pPr>
    </w:p>
    <w:p w14:paraId="15887E36" w14:textId="77777777" w:rsidR="00C7619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05EAD6B" w14:textId="77777777" w:rsidR="00C76194" w:rsidRPr="00C33834" w:rsidRDefault="00C7619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B2FA682" w14:textId="77777777" w:rsidR="00FD14F6" w:rsidRPr="00C33834" w:rsidRDefault="00FD14F6"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 xml:space="preserve">1 июня 1933 г. </w:t>
      </w:r>
      <w:r w:rsidRPr="00C33834">
        <w:rPr>
          <w:rFonts w:ascii="Times New Roman" w:hAnsi="Times New Roman"/>
          <w:color w:val="000000" w:themeColor="text1"/>
          <w:sz w:val="16"/>
          <w:szCs w:val="16"/>
        </w:rPr>
        <w:t>Справка заместителя начальника сектора рационализации Орудийно-арсенального объединения НКТП СССР С. Мыльникова о суррогатировании в артиллерийском производстве</w:t>
      </w:r>
    </w:p>
    <w:p w14:paraId="2E138B64" w14:textId="77777777" w:rsidR="00FD14F6" w:rsidRPr="00C33834" w:rsidRDefault="00FD14F6"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Секретно.</w:t>
      </w:r>
    </w:p>
    <w:p w14:paraId="3ED73DB7" w14:textId="77777777" w:rsidR="00FD14F6" w:rsidRPr="00C33834" w:rsidRDefault="00FD14F6" w:rsidP="00C33834">
      <w:pPr>
        <w:pStyle w:val="rtejustify"/>
        <w:spacing w:before="0" w:after="0"/>
        <w:rPr>
          <w:color w:val="000000" w:themeColor="text1"/>
          <w:sz w:val="16"/>
          <w:szCs w:val="16"/>
        </w:rPr>
      </w:pPr>
      <w:r w:rsidRPr="00C33834">
        <w:rPr>
          <w:color w:val="000000" w:themeColor="text1"/>
          <w:sz w:val="16"/>
          <w:szCs w:val="16"/>
        </w:rPr>
        <w:t>Суррогатированием ВОАО стало заниматься с июня 1930 г., для каковой цели была сорганизована Междуведомственная комиссия по суррогатированию, в каковую входили представители ГАУ, Орудийно-арсенального объединения и вызывались, когда это требовалось, представители заводов, артсистемы коих разбирались на том или ином совещании. Междуведомственная комиссия существовала до 1 июля 1932 г., после чего дело суррогатирования передано в Гипроспецмет, каковой к этой работе приступил с 7 января 1933 г. В состав новой комиссии входят представители АНИИ, НИАП и Гипроспецмета.</w:t>
      </w:r>
    </w:p>
    <w:p w14:paraId="62676CC5" w14:textId="77777777" w:rsidR="00FD14F6" w:rsidRPr="00C33834" w:rsidRDefault="00FD14F6" w:rsidP="00C33834">
      <w:pPr>
        <w:pStyle w:val="rtejustify"/>
        <w:spacing w:before="0" w:after="0"/>
        <w:rPr>
          <w:color w:val="000000" w:themeColor="text1"/>
          <w:sz w:val="16"/>
          <w:szCs w:val="16"/>
        </w:rPr>
      </w:pPr>
      <w:r w:rsidRPr="00C33834">
        <w:rPr>
          <w:color w:val="000000" w:themeColor="text1"/>
          <w:sz w:val="16"/>
          <w:szCs w:val="16"/>
        </w:rPr>
        <w:t>По сие число просуррогатировано 45 артсистем. По системам 152</w:t>
      </w:r>
      <w:r w:rsidRPr="00C33834">
        <w:rPr>
          <w:color w:val="000000" w:themeColor="text1"/>
          <w:sz w:val="16"/>
          <w:szCs w:val="16"/>
        </w:rPr>
        <w:noBreakHyphen/>
        <w:t>мм осадная гаубица Шнейдера, 152</w:t>
      </w:r>
      <w:r w:rsidRPr="00C33834">
        <w:rPr>
          <w:color w:val="000000" w:themeColor="text1"/>
          <w:sz w:val="16"/>
          <w:szCs w:val="16"/>
        </w:rPr>
        <w:noBreakHyphen/>
        <w:t>мм гаубица Шнейдера и 122</w:t>
      </w:r>
      <w:r w:rsidRPr="00C33834">
        <w:rPr>
          <w:color w:val="000000" w:themeColor="text1"/>
          <w:sz w:val="16"/>
          <w:szCs w:val="16"/>
        </w:rPr>
        <w:noBreakHyphen/>
        <w:t>мм гаубица 1910/1930 г. суррогатирование на заводах проведено полностью. По остальным системам проведение в жизнь постановлений комиссии выявляется, и эта работа ГСМ будет закончена к 1 июля 1933 г. и увязана с заводами в отношении экономии металла в весовых единицах к 1 августа 1933 г., что же касается уже проведенного суррогатирования, то по этим системам выявлена экономия цветных металлов на 1 систему: 1) 152</w:t>
      </w:r>
      <w:r w:rsidRPr="00C33834">
        <w:rPr>
          <w:color w:val="000000" w:themeColor="text1"/>
          <w:sz w:val="16"/>
          <w:szCs w:val="16"/>
        </w:rPr>
        <w:noBreakHyphen/>
        <w:t>мм осадная гаубица Шнейдера — 113 кг; 2) 152</w:t>
      </w:r>
      <w:r w:rsidRPr="00C33834">
        <w:rPr>
          <w:color w:val="000000" w:themeColor="text1"/>
          <w:sz w:val="16"/>
          <w:szCs w:val="16"/>
        </w:rPr>
        <w:noBreakHyphen/>
        <w:t>мм гаубица Шнейдера — 102 кг; 3) 122</w:t>
      </w:r>
      <w:r w:rsidRPr="00C33834">
        <w:rPr>
          <w:color w:val="000000" w:themeColor="text1"/>
          <w:sz w:val="16"/>
          <w:szCs w:val="16"/>
        </w:rPr>
        <w:noBreakHyphen/>
        <w:t>мм гаубица 1910/1930 г. — 24,4 кг.</w:t>
      </w:r>
    </w:p>
    <w:p w14:paraId="34C4B2DC" w14:textId="77777777" w:rsidR="00FD14F6" w:rsidRPr="00C33834" w:rsidRDefault="00FD14F6" w:rsidP="00C33834">
      <w:pPr>
        <w:pStyle w:val="rtejustify"/>
        <w:spacing w:before="0" w:after="0"/>
        <w:rPr>
          <w:color w:val="000000" w:themeColor="text1"/>
          <w:sz w:val="16"/>
          <w:szCs w:val="16"/>
        </w:rPr>
      </w:pPr>
      <w:r w:rsidRPr="00C33834">
        <w:rPr>
          <w:color w:val="000000" w:themeColor="text1"/>
          <w:sz w:val="16"/>
          <w:szCs w:val="16"/>
        </w:rPr>
        <w:t>Кроме того производится работа по замене оловянных бронз бронзами, не содержащими олова (марганцевистая и кремнистая бронза), и в настоящее время для ВОАО проводится в Институте материалов НКПС исследовательская работа по определению сравнительных характеристик трения и износов оловянной бронзы № 1 (ВСТ</w:t>
      </w:r>
      <w:r w:rsidRPr="00C33834">
        <w:rPr>
          <w:color w:val="000000" w:themeColor="text1"/>
          <w:sz w:val="16"/>
          <w:szCs w:val="16"/>
        </w:rPr>
        <w:noBreakHyphen/>
        <w:t>40) и марганцевистой по стали марки “Г” в различных условиях службы. Проведение этой работы позволит уже только по одному из заводов по системам: 1) 102</w:t>
      </w:r>
      <w:r w:rsidRPr="00C33834">
        <w:rPr>
          <w:color w:val="000000" w:themeColor="text1"/>
          <w:sz w:val="16"/>
          <w:szCs w:val="16"/>
        </w:rPr>
        <w:noBreakHyphen/>
        <w:t>мм пушка — 60 кал[ибров], 2) 107</w:t>
      </w:r>
      <w:r w:rsidRPr="00C33834">
        <w:rPr>
          <w:color w:val="000000" w:themeColor="text1"/>
          <w:sz w:val="16"/>
          <w:szCs w:val="16"/>
        </w:rPr>
        <w:noBreakHyphen/>
        <w:t>мм пушка — 38 кал[ибров], 3) 180</w:t>
      </w:r>
      <w:r w:rsidRPr="00C33834">
        <w:rPr>
          <w:color w:val="000000" w:themeColor="text1"/>
          <w:sz w:val="16"/>
          <w:szCs w:val="16"/>
        </w:rPr>
        <w:noBreakHyphen/>
        <w:t>мм пушка — 60 кал[ибров], 4) 203</w:t>
      </w:r>
      <w:r w:rsidRPr="00C33834">
        <w:rPr>
          <w:color w:val="000000" w:themeColor="text1"/>
          <w:sz w:val="16"/>
          <w:szCs w:val="16"/>
        </w:rPr>
        <w:noBreakHyphen/>
        <w:t>мм гаубица (Б</w:t>
      </w:r>
      <w:r w:rsidRPr="00C33834">
        <w:rPr>
          <w:color w:val="000000" w:themeColor="text1"/>
          <w:sz w:val="16"/>
          <w:szCs w:val="16"/>
        </w:rPr>
        <w:noBreakHyphen/>
        <w:t>4) сэкономить импортных материалов: олова — до 10 т, меди — до 32 т, а по всей системе заводов эта экономия будет выражаться в еще более значительных цифрах.</w:t>
      </w:r>
    </w:p>
    <w:p w14:paraId="790E6DF9" w14:textId="77777777" w:rsidR="00FD14F6" w:rsidRPr="00C33834" w:rsidRDefault="00FD14F6" w:rsidP="00C33834">
      <w:pPr>
        <w:pStyle w:val="rtejustify"/>
        <w:spacing w:before="0" w:after="0"/>
        <w:rPr>
          <w:color w:val="000000" w:themeColor="text1"/>
          <w:sz w:val="16"/>
          <w:szCs w:val="16"/>
        </w:rPr>
      </w:pPr>
      <w:r w:rsidRPr="00C33834">
        <w:rPr>
          <w:color w:val="000000" w:themeColor="text1"/>
          <w:sz w:val="16"/>
          <w:szCs w:val="16"/>
        </w:rPr>
        <w:t>Нельзя не отметить, что замедленные темпы проведения в жизнь просмотренного суррогатирования на заводах в значительной степени зависят от чрезвычайно слабых темпов со стороны ГАУ в утверждении им протоколов заседаний Комиссии по суррогатированию. Так, для примера укажу, что всего протоколов по суррогатированию было 108, а на сие число утверждено протоколов только 75 (с [№] 1 по 75).</w:t>
      </w:r>
    </w:p>
    <w:p w14:paraId="399DD14F" w14:textId="77777777" w:rsidR="00FD14F6" w:rsidRPr="00C33834" w:rsidRDefault="00FD14F6" w:rsidP="00C33834">
      <w:pPr>
        <w:pStyle w:val="rtejustify"/>
        <w:spacing w:before="0" w:after="0"/>
        <w:rPr>
          <w:color w:val="000000" w:themeColor="text1"/>
          <w:sz w:val="16"/>
          <w:szCs w:val="16"/>
        </w:rPr>
      </w:pPr>
      <w:r w:rsidRPr="00C33834">
        <w:rPr>
          <w:color w:val="000000" w:themeColor="text1"/>
          <w:sz w:val="16"/>
          <w:szCs w:val="16"/>
        </w:rPr>
        <w:t>Кроме указанного по линии суррогатирования на заводах ВОАО проводится работа по изучению плавильных процессов, связанных с освобождением от импортных ферросплавов отечественными путем замены сталей, содержащих молибден, ванадий и никель сталями марганцевистыми, хромо-марганцевистыми и хромо-кремнистыми.</w:t>
      </w:r>
    </w:p>
    <w:p w14:paraId="7673943E" w14:textId="77777777" w:rsidR="00FD14F6" w:rsidRPr="00C33834" w:rsidRDefault="00FD14F6" w:rsidP="00C33834">
      <w:pPr>
        <w:pStyle w:val="ae"/>
        <w:spacing w:before="0" w:after="0"/>
        <w:jc w:val="both"/>
        <w:rPr>
          <w:color w:val="000000" w:themeColor="text1"/>
          <w:sz w:val="16"/>
          <w:szCs w:val="16"/>
        </w:rPr>
      </w:pPr>
      <w:r w:rsidRPr="00C33834">
        <w:rPr>
          <w:rStyle w:val="af0"/>
          <w:i w:val="0"/>
          <w:color w:val="000000" w:themeColor="text1"/>
          <w:sz w:val="16"/>
          <w:szCs w:val="16"/>
        </w:rPr>
        <w:t>Зам. начальника Сектора рационализации Орудийно-арсенального объединения С. Мыльников</w:t>
      </w:r>
    </w:p>
    <w:p w14:paraId="4B0B18D7" w14:textId="77777777" w:rsidR="00FD14F6" w:rsidRPr="00C33834" w:rsidRDefault="00FD14F6" w:rsidP="00C33834">
      <w:pPr>
        <w:pStyle w:val="ae"/>
        <w:spacing w:before="0" w:after="0"/>
        <w:jc w:val="both"/>
        <w:rPr>
          <w:color w:val="000000" w:themeColor="text1"/>
          <w:sz w:val="16"/>
          <w:szCs w:val="16"/>
        </w:rPr>
      </w:pPr>
      <w:r w:rsidRPr="00C33834">
        <w:rPr>
          <w:color w:val="000000" w:themeColor="text1"/>
          <w:sz w:val="16"/>
          <w:szCs w:val="16"/>
        </w:rPr>
        <w:t>РГАЭ. Ф. 4372. Оп. 91. Д. 1356. Л. 25-25 об. Подлинник (15271).</w:t>
      </w:r>
    </w:p>
    <w:p w14:paraId="03C4D5F0" w14:textId="77777777" w:rsidR="00FD14F6" w:rsidRPr="00C33834" w:rsidRDefault="00FD14F6" w:rsidP="00C33834">
      <w:pPr>
        <w:autoSpaceDE w:val="0"/>
        <w:autoSpaceDN w:val="0"/>
        <w:adjustRightInd w:val="0"/>
        <w:spacing w:after="0" w:line="240" w:lineRule="auto"/>
        <w:jc w:val="both"/>
        <w:rPr>
          <w:rFonts w:ascii="Times New Roman" w:hAnsi="Times New Roman"/>
          <w:color w:val="000000" w:themeColor="text1"/>
          <w:sz w:val="16"/>
          <w:szCs w:val="16"/>
        </w:rPr>
      </w:pPr>
    </w:p>
    <w:p w14:paraId="315005E5"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приказом НКТП N 506 было объявлено о введении в строй Челябинского тракторного завода (3398,201).</w:t>
      </w:r>
    </w:p>
    <w:p w14:paraId="65FEF463"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00F25DC6" w14:textId="77777777" w:rsidR="00006C61" w:rsidRPr="00C33834" w:rsidRDefault="00006C6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ЧТЗ полностью вошел в строй. К тому времени собрали 13 машин установочной партии. К 7 ноября 1933 г. на ЧТЗ выпустили тысячный трактор С-60. Всего за 1933 г. изготовили 1650 машин, за 1934 г. — 10100, за 1935 г. - 20450, за 1936 г. - 29059, до 31 марта 1937 г. - 8002 (в марте - 2810) (12258).</w:t>
      </w:r>
    </w:p>
    <w:p w14:paraId="6D04264E" w14:textId="77777777" w:rsidR="00006C61" w:rsidRPr="00C33834" w:rsidRDefault="00006C61" w:rsidP="00C33834">
      <w:pPr>
        <w:spacing w:after="0" w:line="240" w:lineRule="auto"/>
        <w:jc w:val="both"/>
        <w:rPr>
          <w:rFonts w:ascii="Times New Roman" w:hAnsi="Times New Roman"/>
          <w:color w:val="000000" w:themeColor="text1"/>
          <w:sz w:val="16"/>
          <w:szCs w:val="16"/>
        </w:rPr>
      </w:pPr>
    </w:p>
    <w:p w14:paraId="533E7313" w14:textId="77777777" w:rsidR="00C76194" w:rsidRPr="00C33834" w:rsidRDefault="00C7619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г. вступил в строй Челябинский тракторный завод В этот день в 1933 г. приказом Наркома тяжелой промышленности № 506 было объявлено о вступлении в строй действующих Челябинского тракторного завода. В годы Великой Отечественной войны на нем было налажено производство различных типов танков и самоходных артиллерийских установок (КВ, ИС, Т-34, САУ). За вклад в дело Победы советского народа в Великой Отечественной войне завод был награжден орденами Красной Звезды (1944 г.) и Кутузова 1-й степени (1945 г.). (6395).</w:t>
      </w:r>
    </w:p>
    <w:p w14:paraId="1DD18522" w14:textId="77777777" w:rsidR="00C76194" w:rsidRPr="00C33834" w:rsidRDefault="00C7619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ED2C0B"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года из ворот проходной ЧТЗ вышел первый трактор, а за ним - еще двенадцать новеньких тракторов. Это была огромная победа. Новый тракторный гигант поражал своей мощью и грандиозностью. Один из американских специалистов, представитель фирмы "Нортон", писал: "Благодаря своему первоклассному оборудованию и прекрасному устройству ЧТЗ может с успехом выдержать сравнение с любым европейским или американским заводом, производящим те же предметы. Нахожу даже, что завод является лучшим в мире". В 1935 году ЧТЗ выпускал уже 20,5 тысяч тракторов в год. Конечно, качество этих машин еще значительно уступало западным аналогам. Зарплата рабочих и инженеров на ЧТЗ достигла самого высокого уровня среди заработков рабочих автотракторных заводов страны. В особо удачные периоды завод был способен выпускать до 114 тракторов в сутки! (11252).</w:t>
      </w:r>
    </w:p>
    <w:p w14:paraId="6ABF486F"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474AAB22"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г. ЧТЗ вступил в строй действующих предприятий, и Челябинск стал родиной гусеничного тракторостроения. Перед участниками торжественного митинга прошла первая колонна челябинских тракторов. Их вели лучшие люди завода: М.Макагон, М.Суровцева, ударники Зыков, Спиридонов, Ветренкова, а также делегаты совхозов и МТС, прибывшие на праздник – Шурупов, Мавлюта, Бондаренко и др. Оценивая пуск ЧТЗ, С.Орджоникидзе говорил на XVII съезде партии: "Такого огромнейшего и роскошнейшего завода нет не только в Европе, но, кажется, и в Америке". Десять лучших работников были удостоены ордена Ленина: начальник стройки К.П.Ловин, его заместитель Л.Б.Сафразьян, главный инженер В.В.Лельков, зам. технического директора завода С.М.Лещенко, председатель постройкома И.А.Смагин, бригадиры И.В.Монахов, А.Т.Першин и др. 21 человек был награжден орденом Трудового Красного Знамени; 42 строителя получили грамоты ЦИК СССР, в их числе А.И.Александров, сотрудник газеты "Наш трактор", позднее заслуженный учитель РСФСР. Имена девяти лучших организаторов строительства были занесены на Доску почёта Челябинского тракторного завода (11557).</w:t>
      </w:r>
    </w:p>
    <w:p w14:paraId="169404E8"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478CEBAF" w14:textId="77777777" w:rsidR="001A6981" w:rsidRPr="00C33834" w:rsidRDefault="001A6981"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 июня</w:t>
      </w:r>
      <w:r w:rsidRPr="00C33834">
        <w:rPr>
          <w:rFonts w:ascii="Times New Roman" w:hAnsi="Times New Roman"/>
          <w:color w:val="000000" w:themeColor="text1"/>
          <w:sz w:val="16"/>
          <w:szCs w:val="16"/>
        </w:rPr>
        <w:t xml:space="preserve"> в 1933 году введен в строй Челябинский тракторный завод (в этот день из заводских ворот вышли первые гусеничные тракторы «С-60»). Челябинский тракторный завод введен в строй 1 июня 1933 года. Первой продукцией, сошедшей с конвейера, были гусеничные тракторы «С-60» мощностью 60 лошадиных сил, работавшие на легроиновом топливе. В 1937 году, впервые в России освоив производство тракторных дизелей, завод перешел на выпуск более экономичных дизельных тракторов «С-65». В период второй мировой войны предприятие вынуждено было полностью перейти на военную продукцию и стать крупнейшим в мире танкостроительным производством. На территории завода возник Танкоград, на котором силами эвакуированных производств Кировского и Харьковского моторных заводов производились танки «Т-34», самоходные установки «СУ-152», тяжелые танки «KB», «ИС-1», «ИС-2», «ИС-З», ставшие лучшими образцами военной техники того времени. В последующие годы челябинскими тракторостроителями был освоен выпуск мощных и высокопроизводительных тракторов «С-80», «С-10», «Т-100МЗ», «ДЭТ-250». Они завоевали огромную популярность у потребителей. На рубеже 1980-х годов завод претерпел широкомасштабную реконструкцию. В итоге были созданы условия для производства тракторов нового поколения – «Т-130», «Т-170» и «ДЭТ-350» и инженерных машин на их базе. Исходя из требований потребительского рынка, кроме выпуска тракторов, которые раньше традиционно поставлялись на другие заводы как базовые машины для различных агрегатов, взят курс на изготовление законченных видов изделий - инженерных машин для строительства и коммунального хозяйства, добычи полезных ископаемых и топливно-энергетического комплекса, лесной промышленности и других отраслей (14909).</w:t>
      </w:r>
    </w:p>
    <w:p w14:paraId="043A6348" w14:textId="77777777" w:rsidR="001A6981" w:rsidRPr="00C33834" w:rsidRDefault="001A6981" w:rsidP="00C33834">
      <w:pPr>
        <w:spacing w:after="0" w:line="240" w:lineRule="auto"/>
        <w:jc w:val="both"/>
        <w:rPr>
          <w:rFonts w:ascii="Times New Roman" w:hAnsi="Times New Roman"/>
          <w:color w:val="000000" w:themeColor="text1"/>
          <w:sz w:val="16"/>
          <w:szCs w:val="16"/>
        </w:rPr>
      </w:pPr>
    </w:p>
    <w:p w14:paraId="4EFF784E" w14:textId="77777777" w:rsidR="00C76194" w:rsidRPr="00C33834" w:rsidRDefault="00C7619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был введен в строй Уралмаш - УЗТМ (3960, 214).</w:t>
      </w:r>
    </w:p>
    <w:p w14:paraId="39B71630" w14:textId="77777777" w:rsidR="00C76194" w:rsidRPr="00C33834" w:rsidRDefault="00C7619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DAFEB6"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w:t>
      </w:r>
    </w:p>
    <w:p w14:paraId="4F6A6CB3"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w:t>
      </w:r>
    </w:p>
    <w:p w14:paraId="40D8EE09"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http://sovdoc.rusarchives.ru</w:t>
      </w:r>
    </w:p>
    <w:p w14:paraId="5D30B565"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Архив: </w:t>
      </w:r>
    </w:p>
    <w:p w14:paraId="30ABD3A3"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РГАСПИ. Ф. 17. Оп. 3. Д. 923. Л. 1-55; РГАСПИ. Ф. 17. Оп. 162. Д. 14. Л. 140-154. </w:t>
      </w:r>
    </w:p>
    <w:p w14:paraId="4AE2D5ED"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Протокол № 137 заседания Политбюро ЦК ВКП(б) от 1 июня 1933 года</w:t>
      </w:r>
    </w:p>
    <w:p w14:paraId="7B35CA66"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Заседание Политбюро ЦК ВКП(б) от 1</w:t>
      </w:r>
      <w:r w:rsidRPr="00C33834">
        <w:rPr>
          <w:rFonts w:ascii="Times New Roman" w:hAnsi="Times New Roman"/>
          <w:color w:val="000000" w:themeColor="text1"/>
          <w:sz w:val="16"/>
          <w:szCs w:val="16"/>
        </w:rPr>
        <w:noBreakHyphen/>
        <w:t>го июня 1933 года.</w:t>
      </w:r>
    </w:p>
    <w:p w14:paraId="59A29B12"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21: Об обеспечении спецработы ВИЭМ</w:t>
      </w:r>
    </w:p>
    <w:p w14:paraId="4E23F0A8"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(Ворошилов).</w:t>
      </w:r>
    </w:p>
    <w:p w14:paraId="53D4452E"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 особая папка.</w:t>
      </w:r>
    </w:p>
    <w:p w14:paraId="116EE1FC"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Вопрос о Центральной радио-лаборатории ВИЭМ передать на разрешение комиссии в составе т.т. Кирова, Лютова и Федорова в 3</w:t>
      </w:r>
      <w:r w:rsidRPr="00C33834">
        <w:rPr>
          <w:rFonts w:ascii="Times New Roman" w:hAnsi="Times New Roman"/>
          <w:color w:val="000000" w:themeColor="text1"/>
          <w:sz w:val="16"/>
          <w:szCs w:val="16"/>
        </w:rPr>
        <w:noBreakHyphen/>
        <w:t>дневный срок.</w:t>
      </w:r>
    </w:p>
    <w:p w14:paraId="65E04614"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Обеспечить бюджет для ее содержания.</w:t>
      </w:r>
    </w:p>
    <w:p w14:paraId="67ED5CAF"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Обеспечить оборонную работу снабжением материалами, приравняв в этой части к предприятиям, имеющим оборонное значение.</w:t>
      </w:r>
    </w:p>
    <w:p w14:paraId="1809833D"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Ввиду особой опасности в работе с УКВ приравнять к особо вредным производствам в смысле снабжения сотрудников, работающих с УКВ диетпитанием наравне с летчиками.</w:t>
      </w:r>
    </w:p>
    <w:p w14:paraId="3FFC7096"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Выделить 2 легковые машины для Колендарова и Сперанского.</w:t>
      </w:r>
    </w:p>
    <w:p w14:paraId="5277F186"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Выписки посланы:</w:t>
      </w:r>
    </w:p>
    <w:p w14:paraId="5E798303"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Лютову, Федорову, Кирову — п. “а”;</w:t>
      </w:r>
    </w:p>
    <w:p w14:paraId="76A3E20D"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Ворошилову, Орджоникидзе — все (18061).</w:t>
      </w:r>
    </w:p>
    <w:p w14:paraId="0824165F" w14:textId="77777777" w:rsidR="00DD4F9F" w:rsidRPr="00C33834" w:rsidRDefault="00DD4F9F" w:rsidP="00C33834">
      <w:pPr>
        <w:spacing w:after="0" w:line="240" w:lineRule="auto"/>
        <w:jc w:val="both"/>
        <w:rPr>
          <w:rFonts w:ascii="Times New Roman" w:hAnsi="Times New Roman"/>
          <w:color w:val="000000" w:themeColor="text1"/>
          <w:sz w:val="16"/>
          <w:szCs w:val="16"/>
        </w:rPr>
      </w:pPr>
    </w:p>
    <w:p w14:paraId="304D9268"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июня 1933 состоялось заседание ПБ и был оформлен протокол № 138</w:t>
      </w:r>
    </w:p>
    <w:p w14:paraId="2AF66F22"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21.- Об обеспечении спецработ ВИЭМ (т. Ворошилов).</w:t>
      </w:r>
    </w:p>
    <w:p w14:paraId="4B122C8A"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Вопрос о Центральной радио-лаборатории ВИЭМ пе</w:t>
      </w:r>
      <w:r w:rsidRPr="00C33834">
        <w:rPr>
          <w:rFonts w:ascii="Times New Roman" w:hAnsi="Times New Roman"/>
          <w:color w:val="0070C0"/>
          <w:sz w:val="16"/>
          <w:szCs w:val="16"/>
        </w:rPr>
        <w:softHyphen/>
        <w:t>редать на рассмотрение комиссии в составе т.т. Кирова, Лю</w:t>
      </w:r>
      <w:r w:rsidRPr="00C33834">
        <w:rPr>
          <w:rFonts w:ascii="Times New Roman" w:hAnsi="Times New Roman"/>
          <w:color w:val="0070C0"/>
          <w:sz w:val="16"/>
          <w:szCs w:val="16"/>
        </w:rPr>
        <w:softHyphen/>
        <w:t>това и Федорова в 3-дневный срок.</w:t>
      </w:r>
    </w:p>
    <w:p w14:paraId="13438506"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Обеопечить бюджет для ее содержания.</w:t>
      </w:r>
    </w:p>
    <w:p w14:paraId="2052F752"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Обеспечить оборонную работу снабжением материа</w:t>
      </w:r>
      <w:r w:rsidRPr="00C33834">
        <w:rPr>
          <w:rFonts w:ascii="Times New Roman" w:hAnsi="Times New Roman"/>
          <w:color w:val="0070C0"/>
          <w:sz w:val="16"/>
          <w:szCs w:val="16"/>
        </w:rPr>
        <w:softHyphen/>
        <w:t>лами, приравняв в этой части к предприятиям, имеющим оборонное значение.</w:t>
      </w:r>
    </w:p>
    <w:p w14:paraId="29E6CAD9"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 Ввиду особой опасности в работе с УКВ приравнять к особо вредным производствам в смысле снабжения сот</w:t>
      </w:r>
      <w:r w:rsidRPr="00C33834">
        <w:rPr>
          <w:rFonts w:ascii="Times New Roman" w:hAnsi="Times New Roman"/>
          <w:color w:val="0070C0"/>
          <w:sz w:val="16"/>
          <w:szCs w:val="16"/>
        </w:rPr>
        <w:softHyphen/>
        <w:t>рудников, работающих с УКВ диетпитанием наравне с лет</w:t>
      </w:r>
      <w:r w:rsidRPr="00C33834">
        <w:rPr>
          <w:rFonts w:ascii="Times New Roman" w:hAnsi="Times New Roman"/>
          <w:color w:val="0070C0"/>
          <w:sz w:val="16"/>
          <w:szCs w:val="16"/>
        </w:rPr>
        <w:softHyphen/>
        <w:t>чиками .</w:t>
      </w:r>
    </w:p>
    <w:p w14:paraId="1600BA4E"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 Выделить 2 легковые машины для Колендарова и Сперанского.</w:t>
      </w:r>
    </w:p>
    <w:p w14:paraId="34F80326"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w:t>
      </w:r>
    </w:p>
    <w:p w14:paraId="299DA737"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т.т. Лютову, Федосову, Кирову,- п."а".</w:t>
      </w:r>
    </w:p>
    <w:p w14:paraId="2024BDBA"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Ворошилову, Орджоникидзе - все.</w:t>
      </w:r>
    </w:p>
    <w:p w14:paraId="3C8F4CC1"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мая 1933 опросом членов ПБ</w:t>
      </w:r>
    </w:p>
    <w:p w14:paraId="60806D31"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52/31.- О продлении линии "ЛерулюЬта"</w:t>
      </w:r>
    </w:p>
    <w:p w14:paraId="39E9CBEA"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(ПБ от 23.1У.33 г.,пр. № 136, пI. 143/119).</w:t>
      </w:r>
    </w:p>
    <w:p w14:paraId="5940A50D"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Отклонить предложение "Люфтганза" о продлении линии "Дерулюфта" до китайской границы.</w:t>
      </w:r>
    </w:p>
    <w:p w14:paraId="2008C3C8"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Выписка послана: тов.Гольцману.</w:t>
      </w:r>
    </w:p>
    <w:p w14:paraId="0B4BA441"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28 мая 1933 опросом членов ПБ</w:t>
      </w:r>
    </w:p>
    <w:p w14:paraId="6FE907DC"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131/110.- О перелете немецких аэропланов.</w:t>
      </w:r>
    </w:p>
    <w:p w14:paraId="59DF703E"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Разрешить однократный перелет через СССР в Западный Китай по маршруту Дерулюфта до Москвы, а затем через Казань-Свердловск-Семипалатинск- Сергиополь трех аэропланов, принадлежащих гер</w:t>
      </w:r>
      <w:r w:rsidRPr="00C33834">
        <w:rPr>
          <w:rFonts w:ascii="Times New Roman" w:hAnsi="Times New Roman"/>
          <w:color w:val="0070C0"/>
          <w:sz w:val="16"/>
          <w:szCs w:val="16"/>
        </w:rPr>
        <w:softHyphen/>
        <w:t>манскому обществу воздушных сообщений - "Люфт- ханза".</w:t>
      </w:r>
    </w:p>
    <w:p w14:paraId="6BE1D4F6"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Крестинскому,Анвельту, Артузову.</w:t>
      </w:r>
    </w:p>
    <w:p w14:paraId="51B3C46C"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132/111.- Вопросы Комиссии обороны.</w:t>
      </w:r>
    </w:p>
    <w:p w14:paraId="7883422A"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Для закупки за границей недостающего коли</w:t>
      </w:r>
      <w:r w:rsidRPr="00C33834">
        <w:rPr>
          <w:rFonts w:ascii="Times New Roman" w:hAnsi="Times New Roman"/>
          <w:color w:val="0070C0"/>
          <w:sz w:val="16"/>
          <w:szCs w:val="16"/>
        </w:rPr>
        <w:softHyphen/>
        <w:t>чества дальномеров (8 и 6 метровых) для батарей выделить НКВМ валютные контингенты в раэмере  300.000 руб.</w:t>
      </w:r>
    </w:p>
    <w:p w14:paraId="5E8E4AC7"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Заказ произвести немедленно.</w:t>
      </w:r>
    </w:p>
    <w:p w14:paraId="13D7A883"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Обязать НКВТ т. Розенгольц немедленно ввезти металлического калия, металлического натрия, бромис</w:t>
      </w:r>
      <w:r w:rsidRPr="00C33834">
        <w:rPr>
          <w:rFonts w:ascii="Times New Roman" w:hAnsi="Times New Roman"/>
          <w:color w:val="0070C0"/>
          <w:sz w:val="16"/>
          <w:szCs w:val="16"/>
        </w:rPr>
        <w:softHyphen/>
        <w:t>того натрия и химически-чистого свинца на общую сумму 300.000 р. (валютой) для выполнения програм</w:t>
      </w:r>
      <w:r w:rsidRPr="00C33834">
        <w:rPr>
          <w:rFonts w:ascii="Times New Roman" w:hAnsi="Times New Roman"/>
          <w:color w:val="0070C0"/>
          <w:sz w:val="16"/>
          <w:szCs w:val="16"/>
        </w:rPr>
        <w:softHyphen/>
        <w:t>мы по этиловой жидкости.</w:t>
      </w:r>
    </w:p>
    <w:p w14:paraId="53685280"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Базилевичу, Розенгольцу, Ворошилову.</w:t>
      </w:r>
    </w:p>
    <w:p w14:paraId="6431D915"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31 мая 1933 опросом членов ПБ</w:t>
      </w:r>
    </w:p>
    <w:p w14:paraId="6761D9A3"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158/137.-О ГУГВФ (записка т. Куйбышева В.)</w:t>
      </w:r>
    </w:p>
    <w:p w14:paraId="2FE72858"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Поручить т.т. Куйбышеву и Ворошилову пред</w:t>
      </w:r>
      <w:r w:rsidRPr="00C33834">
        <w:rPr>
          <w:rFonts w:ascii="Times New Roman" w:hAnsi="Times New Roman"/>
          <w:color w:val="0070C0"/>
          <w:sz w:val="16"/>
          <w:szCs w:val="16"/>
        </w:rPr>
        <w:softHyphen/>
        <w:t xml:space="preserve">ставить проект постановления по следующим вопросам: </w:t>
      </w:r>
    </w:p>
    <w:p w14:paraId="5203818C"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О создании политорганов в системе Аэро-флота.</w:t>
      </w:r>
    </w:p>
    <w:p w14:paraId="6B8DBFEF"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О переводе на работу в транспортной авиации квалифицированных работников из системы ГУАП и НКВоеныора.</w:t>
      </w:r>
    </w:p>
    <w:p w14:paraId="38091921"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Bыписки посланы:</w:t>
      </w:r>
    </w:p>
    <w:p w14:paraId="5015D0A4"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т.т. Куйбышеву, Ворошилову</w:t>
      </w:r>
    </w:p>
    <w:p w14:paraId="6FF2129F"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июня 1933 опросом членов ПБ</w:t>
      </w:r>
    </w:p>
    <w:p w14:paraId="34C13EF2"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177/156.- С комиссии НКТП и НКВМ.</w:t>
      </w:r>
    </w:p>
    <w:p w14:paraId="74989404"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(ПБ от 5 .Ш.3Зг., Пр. № 132, п.59/36).</w:t>
      </w:r>
    </w:p>
    <w:p w14:paraId="1C734FF2"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Для испытания подводной лодки Е-1 послать в Испанию (Картагена) комиссию в следующем составе:</w:t>
      </w:r>
    </w:p>
    <w:p w14:paraId="0ECEBF60"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от НКВМ: т.т.Орас (председатель); члены комиссии - Зельтинг,Турков, Перегудов, Говорухин, Крит</w:t>
      </w:r>
      <w:r w:rsidRPr="00C33834">
        <w:rPr>
          <w:rFonts w:ascii="Times New Roman" w:hAnsi="Times New Roman"/>
          <w:color w:val="0070C0"/>
          <w:sz w:val="16"/>
          <w:szCs w:val="16"/>
        </w:rPr>
        <w:softHyphen/>
        <w:t>ский.</w:t>
      </w:r>
    </w:p>
    <w:p w14:paraId="2C906BCA"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от НКП: т.т. Толчинский А.А., Соколов Я.Г., Дерибин З.А. (22988).</w:t>
      </w:r>
    </w:p>
    <w:p w14:paraId="3B83FAC7" w14:textId="77777777" w:rsidR="00945ABF" w:rsidRPr="00C33834" w:rsidRDefault="00945ABF" w:rsidP="00C33834">
      <w:pPr>
        <w:spacing w:after="0" w:line="240" w:lineRule="auto"/>
        <w:jc w:val="both"/>
        <w:rPr>
          <w:rFonts w:ascii="Times New Roman" w:hAnsi="Times New Roman"/>
          <w:color w:val="0070C0"/>
          <w:sz w:val="16"/>
          <w:szCs w:val="16"/>
        </w:rPr>
      </w:pPr>
    </w:p>
    <w:p w14:paraId="51386854" w14:textId="77777777" w:rsidR="00945ABF" w:rsidRPr="00C33834" w:rsidRDefault="00945AB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июня 1933 года введен в действие Челябинский тракторный завод (ЧТЗ). Челябинский тракторный завод был построен в годы первой пятилетки. 29 мая 1929 года вышло Постановление СНК СССР о строительстве тракторного завода на Урале с производительной мощностью не менее 40 тысяч тракторов в год. В 1933 году – год пуска – ЧТЗ дал стране первые 1650 тракторов (21177).</w:t>
      </w:r>
    </w:p>
    <w:p w14:paraId="7C0735A7" w14:textId="77777777" w:rsidR="00945ABF" w:rsidRPr="00C33834" w:rsidRDefault="00945ABF" w:rsidP="00C33834">
      <w:pPr>
        <w:spacing w:after="0" w:line="240" w:lineRule="auto"/>
        <w:jc w:val="both"/>
        <w:rPr>
          <w:rFonts w:ascii="Times New Roman" w:eastAsia="Times New Roman" w:hAnsi="Times New Roman"/>
          <w:color w:val="0070C0"/>
          <w:sz w:val="16"/>
          <w:szCs w:val="16"/>
          <w:shd w:val="clear" w:color="auto" w:fill="DCDCDC"/>
          <w:lang w:eastAsia="ru-RU"/>
        </w:rPr>
      </w:pPr>
    </w:p>
    <w:p w14:paraId="6B7AE18C" w14:textId="77777777" w:rsidR="00FD14F6" w:rsidRPr="00C33834" w:rsidRDefault="00FD14F6" w:rsidP="00C33834">
      <w:pPr>
        <w:pStyle w:val="rtejustify"/>
        <w:spacing w:before="0" w:after="0"/>
        <w:rPr>
          <w:color w:val="000000" w:themeColor="text1"/>
          <w:sz w:val="16"/>
          <w:szCs w:val="16"/>
        </w:rPr>
      </w:pPr>
      <w:r w:rsidRPr="00C33834">
        <w:rPr>
          <w:rStyle w:val="af0"/>
          <w:bCs/>
          <w:i w:val="0"/>
          <w:color w:val="000000" w:themeColor="text1"/>
          <w:sz w:val="16"/>
          <w:szCs w:val="16"/>
        </w:rPr>
        <w:t>1 июня</w:t>
      </w:r>
      <w:r w:rsidRPr="00C33834">
        <w:rPr>
          <w:color w:val="000000" w:themeColor="text1"/>
          <w:sz w:val="16"/>
          <w:szCs w:val="16"/>
        </w:rPr>
        <w:t xml:space="preserve"> 1933. Протокол заседания Политбюро ЦК ВКП (б) № 138. </w:t>
      </w:r>
      <w:hyperlink r:id="rId183" w:anchor="showunit&amp;id=86606" w:history="1">
        <w:r w:rsidRPr="00C33834">
          <w:rPr>
            <w:rStyle w:val="a5"/>
            <w:color w:val="000000" w:themeColor="text1"/>
            <w:sz w:val="16"/>
            <w:szCs w:val="16"/>
            <w:u w:val="none"/>
          </w:rPr>
          <w:t>4. О Магнитострое</w:t>
        </w:r>
      </w:hyperlink>
      <w:r w:rsidRPr="00C33834">
        <w:rPr>
          <w:color w:val="000000" w:themeColor="text1"/>
          <w:sz w:val="16"/>
          <w:szCs w:val="16"/>
        </w:rPr>
        <w:t xml:space="preserve"> (ПБ от 23 апреля 1933 г., пр. № 136, п. 22) (Орджоникидзе, Гуревич, Левенсон). Решено принять к сведению сообщение НКТП по вопросу о Магнитогорской плотине. </w:t>
      </w:r>
      <w:hyperlink r:id="rId184" w:anchor="showunit&amp;id=86528" w:history="1">
        <w:r w:rsidRPr="00C33834">
          <w:rPr>
            <w:rStyle w:val="a5"/>
            <w:color w:val="000000" w:themeColor="text1"/>
            <w:sz w:val="16"/>
            <w:szCs w:val="16"/>
            <w:u w:val="none"/>
          </w:rPr>
          <w:t>13. Об улучшении организационной структуры наркоматов, объединений, трестов и предприятий по НКТП, НКЛП, НКЛесу, НКЗему, НКСовхозов, НКВоду и НКСнабу</w:t>
        </w:r>
      </w:hyperlink>
      <w:r w:rsidRPr="00C33834">
        <w:rPr>
          <w:color w:val="000000" w:themeColor="text1"/>
          <w:sz w:val="16"/>
          <w:szCs w:val="16"/>
        </w:rPr>
        <w:t xml:space="preserve"> (ПБ от 23 апреля 1933 г., пр. № 136, п. 6в) (Орджоникидзе, Еремин, Лобов, Яковлев, Юркин, Янсон, Микоян). Решено: а) Передать вопрос об улучшении организационной структуры наркоматов тяжелой промышленности в комиссию в составе Орджоникидзе (председатель), Сталина, Кагановича Л. М., Антипова, Пятакова, Вейнберга, Кагановича М., Ежова, Полонского, Бухарина; б) По остальным наркоматам отложить вопрос до следующего заседания Политбюро. </w:t>
      </w:r>
      <w:hyperlink r:id="rId185" w:anchor="showunit&amp;id=86583" w:history="1">
        <w:r w:rsidRPr="00C33834">
          <w:rPr>
            <w:rStyle w:val="a5"/>
            <w:color w:val="000000" w:themeColor="text1"/>
            <w:sz w:val="16"/>
            <w:szCs w:val="16"/>
            <w:u w:val="none"/>
          </w:rPr>
          <w:t>19. О приемке импортного металла</w:t>
        </w:r>
      </w:hyperlink>
      <w:r w:rsidRPr="00C33834">
        <w:rPr>
          <w:color w:val="000000" w:themeColor="text1"/>
          <w:sz w:val="16"/>
          <w:szCs w:val="16"/>
        </w:rPr>
        <w:t xml:space="preserve"> (Орджоникидзе, Розенгольц). — ОП. Решено изъять приемку импортного металла из ведения НКВТ и передать ее в ведение НКТП. </w:t>
      </w:r>
      <w:hyperlink r:id="rId186" w:anchor="showunit&amp;id=86586" w:history="1">
        <w:r w:rsidRPr="00C33834">
          <w:rPr>
            <w:rStyle w:val="a5"/>
            <w:color w:val="000000" w:themeColor="text1"/>
            <w:sz w:val="16"/>
            <w:szCs w:val="16"/>
            <w:u w:val="none"/>
          </w:rPr>
          <w:t>21. Об обеспечении спецработы ВИЭМ</w:t>
        </w:r>
      </w:hyperlink>
      <w:r w:rsidRPr="00C33834">
        <w:rPr>
          <w:color w:val="000000" w:themeColor="text1"/>
          <w:sz w:val="16"/>
          <w:szCs w:val="16"/>
        </w:rPr>
        <w:t xml:space="preserve"> (Ворошилов). — ОП. Решено: а) вопрос о центральной радиолаборатории ВИЭМ передать на разрешение комиссии в составе Кирова, Лютова и Федорова в 3</w:t>
      </w:r>
      <w:r w:rsidRPr="00C33834">
        <w:rPr>
          <w:color w:val="000000" w:themeColor="text1"/>
          <w:sz w:val="16"/>
          <w:szCs w:val="16"/>
        </w:rPr>
        <w:noBreakHyphen/>
        <w:t xml:space="preserve">дневный срок; б) обеспечить бюджет для ее содержания; в) обеспечить оборонную работу снабжением материалами, приравняв в этой части к предприятиям, имеющим оборонное значение; г) Виду особой опасности в работе с УКВ, приравнять к особо вредным производствам в смысле снабжения сотрудников, работающих с УКВ диетическим питанием наравне с летчиками; д) Выделить 2 легковые машины для Колендарова и Сперанского. </w:t>
      </w:r>
      <w:hyperlink r:id="rId187" w:anchor="showunit&amp;id=86608" w:history="1">
        <w:r w:rsidRPr="00C33834">
          <w:rPr>
            <w:rStyle w:val="a5"/>
            <w:color w:val="000000" w:themeColor="text1"/>
            <w:sz w:val="16"/>
            <w:szCs w:val="16"/>
            <w:u w:val="none"/>
          </w:rPr>
          <w:t>41/20. Об отпуске средств НКТП СССР</w:t>
        </w:r>
      </w:hyperlink>
      <w:r w:rsidRPr="00C33834">
        <w:rPr>
          <w:color w:val="000000" w:themeColor="text1"/>
          <w:sz w:val="16"/>
          <w:szCs w:val="16"/>
        </w:rPr>
        <w:t xml:space="preserve"> (ПБ от 14 мая 1933 г.). Решено утвердить постановление СТО об отпуске НКТП на работы 1933 года, связанные с улучшением состояния техники безопасности военно-химических заводов, за счет резервного фонда СНК – 3 млн. рублей (500 тысяч рублей во II квартале и 2500 тысяч рублей в III и IV кварталах). </w:t>
      </w:r>
      <w:hyperlink r:id="rId188" w:anchor="showunit&amp;id=86658" w:history="1">
        <w:r w:rsidRPr="00C33834">
          <w:rPr>
            <w:rStyle w:val="a5"/>
            <w:color w:val="000000" w:themeColor="text1"/>
            <w:sz w:val="16"/>
            <w:szCs w:val="16"/>
            <w:u w:val="none"/>
          </w:rPr>
          <w:t>87/66. О пуске ЧТЗ</w:t>
        </w:r>
      </w:hyperlink>
      <w:r w:rsidRPr="00C33834">
        <w:rPr>
          <w:color w:val="000000" w:themeColor="text1"/>
          <w:sz w:val="16"/>
          <w:szCs w:val="16"/>
        </w:rPr>
        <w:t xml:space="preserve"> (ПБ от 23 мая 1933 г.). — ОП. Решено командировать от имени партии и правительства Калинина на пуск ЧТЗ 1</w:t>
      </w:r>
      <w:r w:rsidRPr="00C33834">
        <w:rPr>
          <w:color w:val="000000" w:themeColor="text1"/>
          <w:sz w:val="16"/>
          <w:szCs w:val="16"/>
        </w:rPr>
        <w:noBreakHyphen/>
        <w:t>6</w:t>
      </w:r>
      <w:r w:rsidRPr="00C33834">
        <w:rPr>
          <w:color w:val="000000" w:themeColor="text1"/>
          <w:sz w:val="16"/>
          <w:szCs w:val="16"/>
        </w:rPr>
        <w:noBreakHyphen/>
        <w:t xml:space="preserve">1933. </w:t>
      </w:r>
      <w:hyperlink r:id="rId189" w:anchor="showunit&amp;id=86667" w:history="1">
        <w:r w:rsidRPr="00C33834">
          <w:rPr>
            <w:rStyle w:val="a5"/>
            <w:color w:val="000000" w:themeColor="text1"/>
            <w:sz w:val="16"/>
            <w:szCs w:val="16"/>
            <w:u w:val="none"/>
          </w:rPr>
          <w:t>95/74. О мероприятиях по экспорту и импорту</w:t>
        </w:r>
      </w:hyperlink>
      <w:r w:rsidRPr="00C33834">
        <w:rPr>
          <w:color w:val="000000" w:themeColor="text1"/>
          <w:sz w:val="16"/>
          <w:szCs w:val="16"/>
        </w:rPr>
        <w:t xml:space="preserve"> (ПБ от 25 мая 1933 г.). — ОП. Решено: I. В области экспорта. 1) Наркомснабу выделить на экспорт сверх годового плана 8 тысяч тонн растительного масла. 2) Уменьшить во II квартале план сдачи на экспорт коровьего масла на 6 тысяч тонн. 3) НКТП сдать на экспорт сверх предусмотренных планом II квартала 10 тысяч тонн никопольской марганцевой руды. 4) Установить сдачу НКТП на экспорт в июне 125 тысяч тонн бензина и 160 тысяч тонн угля. 5) Отклонить предложение об уменьшении годового экспорта жмыхов. 6) Уменьшить годовой план сдачи на экспорт фанеры на 60 тысяч кубометров. Предложить НКЛесу выделить из снятой с экспорта фанеры 12 тысяч кубометров в распоряжение НКВТ в качестве фонда для экспортной тары, а 48 тысяч кубометров распределить между потребителями. 7) Уменьшить план сдачи на экспорт на 350 тысяч дверей. II. В области </w:t>
      </w:r>
      <w:r w:rsidRPr="00C33834">
        <w:rPr>
          <w:color w:val="000000" w:themeColor="text1"/>
          <w:sz w:val="16"/>
          <w:szCs w:val="16"/>
        </w:rPr>
        <w:lastRenderedPageBreak/>
        <w:t xml:space="preserve">импорта. Принять предложение НКВТ о сокращении квартального и годового плана импорта со следующими изменениями: а) импорт никеля не сокращать; б) годовой план импорта ферросплавов сократить на 1 млн. рублей; в) импорт олова не сокращать; г) импорт меди не сокращать; д) импорт проката не сокращать; е) годовой план импорта сталей сократить на 10 тысяч тонн; ж) годовой план импорта цинка сократить на 800 тонн; з) план импорта алюминия сократить на 1 тысячу тонн, импорт окиси алюминия не сокращать; и) импорт свинца не сокращать; к) сократить импорт лоскута на 500 тысяч рублей; л) годовой план по джуту и сежалю не уменьшать. III. По хлопку. Закупить 500 тысяч пудов хлопка, увеличив план сдачи хлопка на экспорт на 500 тысяч пудов. IV. Обязать Орджоникидзе и Серебровского обеспечить полное выполнение утвержденного на II квартал плана сдачи золота. V. Разослать от имени ЦК и СНК телеграммы крайкомам, крайисполкомам и наркоматам по вопросу об усилении работы по экспорту. VI. Вопрос об импорте из Латвии, а также об импорте кожсырья оставить открытым. </w:t>
      </w:r>
      <w:hyperlink r:id="rId190" w:anchor="showunit&amp;id=86514" w:history="1">
        <w:r w:rsidRPr="00C33834">
          <w:rPr>
            <w:rStyle w:val="a5"/>
            <w:color w:val="000000" w:themeColor="text1"/>
            <w:sz w:val="16"/>
            <w:szCs w:val="16"/>
            <w:u w:val="none"/>
          </w:rPr>
          <w:t>117/97. Об отпуске средств НКВМ</w:t>
        </w:r>
      </w:hyperlink>
      <w:r w:rsidRPr="00C33834">
        <w:rPr>
          <w:color w:val="000000" w:themeColor="text1"/>
          <w:sz w:val="16"/>
          <w:szCs w:val="16"/>
        </w:rPr>
        <w:t xml:space="preserve"> (ПБ от 26 мая 1933 г.). — ОП. Решено утвердить решение Валютной комиссии об отпуске НКВМ за счет резервного фонда СНК СССР 155 тысяч тугриков на расходы, связанные с отправкой в МНР топографического отряда. </w:t>
      </w:r>
      <w:hyperlink r:id="rId191" w:anchor="showunit&amp;id=86515" w:history="1">
        <w:r w:rsidRPr="00C33834">
          <w:rPr>
            <w:rStyle w:val="a5"/>
            <w:color w:val="000000" w:themeColor="text1"/>
            <w:sz w:val="16"/>
            <w:szCs w:val="16"/>
            <w:u w:val="none"/>
          </w:rPr>
          <w:t>118/98. Просьба Орджоникидзе командировать на постоянную работу в САСШ по реализации договора о производстве авиамоторов уполномоченного ГУАПа и его бюро в составе 5 человек</w:t>
        </w:r>
      </w:hyperlink>
      <w:r w:rsidRPr="00C33834">
        <w:rPr>
          <w:color w:val="000000" w:themeColor="text1"/>
          <w:sz w:val="16"/>
          <w:szCs w:val="16"/>
        </w:rPr>
        <w:t>. (ОБ от 23 мая 1933 г., пр. № 147, п. 36</w:t>
      </w:r>
      <w:r w:rsidRPr="00C33834">
        <w:rPr>
          <w:color w:val="000000" w:themeColor="text1"/>
          <w:sz w:val="16"/>
          <w:szCs w:val="16"/>
        </w:rPr>
        <w:noBreakHyphen/>
        <w:t xml:space="preserve">гс), (ПБ от 26 мая 1933 г.). Решено ограничиться командировкой трех человек, командировав уполномоченным ГУАП Михайлова И. С. и членами бюро Старченко и Родзевича. </w:t>
      </w:r>
      <w:hyperlink r:id="rId192" w:anchor="showunit&amp;id=86531" w:history="1">
        <w:r w:rsidRPr="00C33834">
          <w:rPr>
            <w:rStyle w:val="a5"/>
            <w:color w:val="000000" w:themeColor="text1"/>
            <w:sz w:val="16"/>
            <w:szCs w:val="16"/>
            <w:u w:val="none"/>
          </w:rPr>
          <w:t>132/111. Вопросы Комиссии обороны</w:t>
        </w:r>
      </w:hyperlink>
      <w:r w:rsidRPr="00C33834">
        <w:rPr>
          <w:color w:val="000000" w:themeColor="text1"/>
          <w:sz w:val="16"/>
          <w:szCs w:val="16"/>
        </w:rPr>
        <w:t xml:space="preserve"> (ПБ от 28 мая 1933 г.). — ОП. Решено: а) Для закупки за границей недостающего количества дальномеров для батарей выделить НКВМ валютные контингенты в размере 300 тысяч рублей. Заказ произвести немедленно. б) Обязать НКВТ (Розенгольц) немедленно ввезти металлического калия, металлического натрия, бромистого натрия и химически чистого свинца на общую сумму 300 тысяч рублей (валютой) для выполнения программы по этиловой жидкости. </w:t>
      </w:r>
      <w:hyperlink r:id="rId193" w:anchor="showunit&amp;id=86534" w:history="1">
        <w:r w:rsidRPr="00C33834">
          <w:rPr>
            <w:rStyle w:val="a5"/>
            <w:color w:val="000000" w:themeColor="text1"/>
            <w:sz w:val="16"/>
            <w:szCs w:val="16"/>
            <w:u w:val="none"/>
          </w:rPr>
          <w:t>135/114. Вопрос Комиссии обороны</w:t>
        </w:r>
      </w:hyperlink>
      <w:r w:rsidRPr="00C33834">
        <w:rPr>
          <w:color w:val="000000" w:themeColor="text1"/>
          <w:sz w:val="16"/>
          <w:szCs w:val="16"/>
        </w:rPr>
        <w:t xml:space="preserve"> (ПБ от 29 мая 1933 г.). — ОП. Решено для выполнения работ по береговой обороне на Балтийском, Черном и Северном морях увеличить объем капитальных работ по НКВМ на 5 млн. рублей и план заказов НКВМ на 20300 тысяч рублей, ассигновав на работы и заказы 25300 тысяч рублей, из них 12650 тысяч по общей смете НКВМ и 12650 тысяч рублей из резервного фонда СНК СССР. </w:t>
      </w:r>
      <w:hyperlink r:id="rId194" w:anchor="showunit&amp;id=86675" w:history="1">
        <w:r w:rsidRPr="00C33834">
          <w:rPr>
            <w:rStyle w:val="a5"/>
            <w:color w:val="000000" w:themeColor="text1"/>
            <w:sz w:val="16"/>
            <w:szCs w:val="16"/>
            <w:u w:val="none"/>
          </w:rPr>
          <w:t>160/139. г) Об импорте каучука (записка Биткера)</w:t>
        </w:r>
      </w:hyperlink>
      <w:r w:rsidRPr="00C33834">
        <w:rPr>
          <w:color w:val="000000" w:themeColor="text1"/>
          <w:sz w:val="16"/>
          <w:szCs w:val="16"/>
        </w:rPr>
        <w:t xml:space="preserve"> (ПБ от 31 мая 1933 г.). Решено передать на предварительное рассмотрение Молотову. </w:t>
      </w:r>
      <w:hyperlink r:id="rId195" w:anchor="showunit&amp;id=86578" w:history="1">
        <w:r w:rsidRPr="00C33834">
          <w:rPr>
            <w:rStyle w:val="a5"/>
            <w:color w:val="000000" w:themeColor="text1"/>
            <w:sz w:val="16"/>
            <w:szCs w:val="16"/>
            <w:u w:val="none"/>
          </w:rPr>
          <w:t>177/156. О комиссии НКТП и НКВМ</w:t>
        </w:r>
      </w:hyperlink>
      <w:r w:rsidRPr="00C33834">
        <w:rPr>
          <w:color w:val="000000" w:themeColor="text1"/>
          <w:sz w:val="16"/>
          <w:szCs w:val="16"/>
        </w:rPr>
        <w:t xml:space="preserve"> (ПБ от 5 марта 1933 г., пр. № 132, п. 59/36). — ОП. Решено для испытания подводной лодки Е</w:t>
      </w:r>
      <w:r w:rsidRPr="00C33834">
        <w:rPr>
          <w:color w:val="000000" w:themeColor="text1"/>
          <w:sz w:val="16"/>
          <w:szCs w:val="16"/>
        </w:rPr>
        <w:noBreakHyphen/>
        <w:t>1 послать в Испанию (Картахена) комиссию в следующем составе: от НКВМ: Орас (председатель); члены комиссии – Зельтинг, Турков, Перегудов, Говорухин, Критский. От НКТП: Толчинский А. А., Соколов Я. Г., Дерибин З. А (15462).</w:t>
      </w:r>
    </w:p>
    <w:p w14:paraId="642BAA0C" w14:textId="77777777" w:rsidR="00FD14F6" w:rsidRPr="00C33834" w:rsidRDefault="00FD14F6" w:rsidP="00C33834">
      <w:pPr>
        <w:pStyle w:val="rtejustify"/>
        <w:spacing w:before="0" w:after="0"/>
        <w:rPr>
          <w:color w:val="000000" w:themeColor="text1"/>
          <w:sz w:val="16"/>
          <w:szCs w:val="16"/>
        </w:rPr>
      </w:pPr>
    </w:p>
    <w:p w14:paraId="7A2787AA" w14:textId="77777777" w:rsidR="00323684" w:rsidRPr="00C33834" w:rsidRDefault="0032368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В Политехническом музее впервые демонстрировалась телевизионная приемная установка, разработанная учеными Всесоюзного экспериментального электротехнического института (18722).</w:t>
      </w:r>
    </w:p>
    <w:p w14:paraId="598C87E2" w14:textId="77777777" w:rsidR="00323684" w:rsidRPr="00C33834" w:rsidRDefault="00323684" w:rsidP="00C33834">
      <w:pPr>
        <w:spacing w:after="0" w:line="240" w:lineRule="auto"/>
        <w:jc w:val="both"/>
        <w:rPr>
          <w:rFonts w:ascii="Times New Roman" w:hAnsi="Times New Roman"/>
          <w:color w:val="000000" w:themeColor="text1"/>
          <w:sz w:val="16"/>
          <w:szCs w:val="16"/>
        </w:rPr>
      </w:pPr>
    </w:p>
    <w:p w14:paraId="7F45BE24" w14:textId="77777777" w:rsidR="00C76194" w:rsidRPr="00C33834" w:rsidRDefault="00C7619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г. лодка «Комсомолец» завода Красное Сормово в доке прибыла в Ленинград. «Балтийцы» быстро поняли, что им прислали не «почти готовую» субмарину, а всего лишь полуфабрикат. После начала достроечных работ выявилось огромное количество дефектов: было необходимо заново изготовить и установить валы горизонтальных рулей, устранить дефекты топливных цистерн, заменить кабели и т. д. Согласно акту от 9 июля 1933 г., было выявлено, что «соединительные швы топливных цистерн зашпаклеваны смесью гудрона и сурика черного цвета. Это маскировка брака, могущая привести к течи». [160 — ГУ ЦАНО, Ф. 15, Оп. 3, Д. 135, Л. 142.] А в акте от 11 сентября того же года говорилось: «…при испытании гидравлическим давлением жесткого корпуса обнаружилось 250 течей». [161 — Там же, Д. 136, Л. 16.] Когда прибыли торпедные аппараты, долго задерживавшиеся заводом № 6, оказалось, что подлодка не готова к их установке. Кроме того, 40 % электромонтажных работ подлежали демонтажу и переделке, из-за брака пришлось заменить и 90 % арматуры. [162 — Там же, Д. 135, Л. 177.]. В связи с переходом «Красного Сормова» на производство спецсудов — так в целях секретности именовали подлодки, которое должно было стать его основным профилем, с 1933 г. стал сокращаться выпуск железнодорожных вагонов и платформ, а также трамваев. Начались командировки на Балтийский завод рабочего и технического персонала с последующей сдачей экзамена. Впоследствии в ноябре 1933 — мае 1934 гг. филиал учебно-курсового комбината в Ленинграде организовал курсы повышения квалификации инженеров — строителей подлодок. На них была отправлена группа ИТР с «Красного Сормова»: корпусники, механики и электротехники. Пять дней в неделю они работали на предприятиях Ленинграда, а один день проводились теоретические занятия. Основными темами занятий были общее устройство подлодок, технологические процессы и монтаж (11741).</w:t>
      </w:r>
    </w:p>
    <w:p w14:paraId="319C7180" w14:textId="77777777" w:rsidR="00C76194" w:rsidRPr="00C33834" w:rsidRDefault="00C7619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BB103E"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г. был введен в строй Завод точного приборостроения «Водтрансприбор» ВО «Судостройремонт» НКВТ (ГС завод № 206 НКОП, НКСП, МСП, МТиТМ, Завод точного приборостроения «Водтрансприбор» НКВТ, Завод специального приборостроения «Водтрансприбор» НКТП, МСП, ГП, ОАО «Водтрансприбор» /г. Ленинград, 51 п/я 731 (1936 г.);  г. Омск/ /197342  г. Санкт-Петербург ул. Сердобольская, 64/), огранизованный в 1932 г. на Выборгской стороне. В 1934 г. переименован в завод специального приборостроения «Водтрансприбор» НКТП. По пр. НКОП № Обсс от 30.12.1936 г. переименован в завод № 206 5ГУ НКОП, приказом № 116 от 31.03.1937 г. утвержден Устав ГС завода № 206. По пр. № 108с от 25.03.1938 г. передан в ведение нового 20ГУ. В 02.1939 г. из 20ГУ передан в ведение НКСП.</w:t>
      </w:r>
    </w:p>
    <w:p w14:paraId="786B0511"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Выпускал проблесковую аппаратуру для маяков. В 01.1934 г. создан первый советский эхолот. Приказом № 0020 от 3.02.1937 г. заводу предписано создать к 1.01.1938 г. мощности по производству гидроакустической (ГА) аппаратуры; приказом № 0101 от 7.05.1937 г. — к 1.01.1938 г. ввести в эксплуатацию производственную лабораторию и цех защитных покрытий. Первый отечественный завод по производству ГА аппаратуры для ВМФ.</w:t>
      </w:r>
    </w:p>
    <w:p w14:paraId="3CAE689E"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составе завода цехи (1936 г.): кузнечно-литейный, механический; столярная мастерская.</w:t>
      </w:r>
    </w:p>
    <w:p w14:paraId="09F05097"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пост.ениями ГКО № 4 от 3.07.1941 г. и № 99сс от 11.07.1941 г. и пост. Совета по эвакуации № 33 от 30.07.1941 г. часть завода № 206 эвакуирована в Омск на площадку завода «Мотор» НК совхозов (планировалось- в помещения Автодорожного института), а его перевели в помещение мастерских совхоза № 43. Оборудование и личный состав завода № 206 эвакуировались в Омск в 08-09.1941 г. 12.09.1941 г. заводу № 206 также было передано здание школы по ул. Куйбышева, 42. Сюда же, в здание школы был эвакуирован из Ленинграда НИИ гидроакустики. В 09.1941 г. завод уже начал выдавать продукцию.</w:t>
      </w:r>
    </w:p>
    <w:p w14:paraId="63506681"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1941 г. строился корпус № 50 цеха № 2, действовал литейный цех.</w:t>
      </w:r>
    </w:p>
    <w:p w14:paraId="1E793ECD"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04.1943 г. завод № 206 продолжал действовать в Ленинграде.</w:t>
      </w:r>
      <w:r w:rsidRPr="00C33834">
        <w:rPr>
          <w:rFonts w:ascii="Times New Roman" w:hAnsi="Times New Roman"/>
          <w:color w:val="000000" w:themeColor="text1"/>
          <w:sz w:val="16"/>
          <w:szCs w:val="16"/>
          <w:vertAlign w:val="superscript"/>
        </w:rPr>
        <w:t>65</w:t>
      </w:r>
      <w:r w:rsidRPr="00C33834">
        <w:rPr>
          <w:rFonts w:ascii="Times New Roman" w:hAnsi="Times New Roman"/>
          <w:color w:val="000000" w:themeColor="text1"/>
          <w:sz w:val="16"/>
          <w:szCs w:val="16"/>
        </w:rPr>
        <w:t xml:space="preserve"> В 11.1944 г. завод реэвакуирован из Омска на старое место.</w:t>
      </w:r>
    </w:p>
    <w:p w14:paraId="2C6B1371"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1946 г. завод № 206 - в ведении МСП, МТиТМ (03.1953-05.1954 г.), затем- вновь в МСП. В 1955 г. Государственный завод № 206 присоединен к организации «п/я 731» как опытный завод.</w:t>
      </w:r>
      <w:r w:rsidRPr="00C33834">
        <w:rPr>
          <w:rFonts w:ascii="Times New Roman" w:hAnsi="Times New Roman"/>
          <w:color w:val="000000" w:themeColor="text1"/>
          <w:sz w:val="16"/>
          <w:szCs w:val="16"/>
          <w:vertAlign w:val="superscript"/>
        </w:rPr>
        <w:t>131</w:t>
      </w:r>
    </w:p>
    <w:p w14:paraId="22D5AF25"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1946 г. при заводе образовано ОКБ-206 для разработки ГА аппаратуры.</w:t>
      </w:r>
    </w:p>
    <w:p w14:paraId="7AACD0CA"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1959-66 г. освоен выпуск 20 типов ГАС.</w:t>
      </w:r>
    </w:p>
    <w:p w14:paraId="52D2D7FB"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1965 г. на заводе образована регулировочно-сдаточная служба для отладки ГА комплексов на кораблях ВМФ. Служба имела 7 регулировочно-сдаточных баз на основных ССЗ и СРЗ. В 05.1991 г. решением МСП на ее базе создано ГП «Водтрансприбор-Пуск».</w:t>
      </w:r>
    </w:p>
    <w:p w14:paraId="7DB4A919"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Ведущее предприятие страны по производству ГАК для ПЛ.</w:t>
      </w:r>
    </w:p>
    <w:p w14:paraId="16C81A06"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1973 по 1991 г. завод входил в состав НПО «Океанприбор». В 1993 г. ГП преобразовано в ОАО «Водтрансприбор». По решению правительства № 22-р от 9.01.2004 г. вошло в перечень стратегических предприятий.</w:t>
      </w:r>
    </w:p>
    <w:p w14:paraId="159B0810"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Имелись производства (2006 г.): механообрабатывающее, заготовительное, сварочное, компрессионное формирование и литье РТИ, переработка пластмасс, сборочно-монтажное, окрасочное, нанесение покрытий, изготовление герметичных металло-стеклянных вводов. Имелась лаборатория надежности с оборудованием для испытаний: механических, гидростатических, климатических</w:t>
      </w:r>
    </w:p>
    <w:p w14:paraId="779103E8"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Производственные площади (начало 1941 г.)- более 13 тыс.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(09.1941 г.)- 4700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(конец 1941 г.)- 5600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w:t>
      </w:r>
    </w:p>
    <w:p w14:paraId="114FE108"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(-02-28.07.1937 г.)- С.Т. Баркунцев, (28.07.1937-05.1938 г.-)- Ф.А. Мотиенко, (1941 г.)- Соколов, (1942 г.)- Постнов, (1962-76 г.)- Л.И. Вороничев.</w:t>
      </w:r>
    </w:p>
    <w:p w14:paraId="4078AC39"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директора (06.1937 г.)- Ф.Ф. Дьяконов. Помощник директора по найму и увольнению (7.12.1938 г.-)- Я.А. Бычков.</w:t>
      </w:r>
    </w:p>
    <w:p w14:paraId="7073E903"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(-06-25.09.1937 г.)- Ф.Ф. Дьяконов, (25.09.1937 г.-)- С.С. Тец, (1939-40 г.)-  Г.В. Петров.</w:t>
      </w:r>
    </w:p>
    <w:p w14:paraId="29BEFDEB"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Создано: ультраакустический прибор связи (1937).</w:t>
      </w:r>
    </w:p>
    <w:p w14:paraId="1F1FF485"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звуковые приборы связи (1937); гидроакустический пеленгатор УКЗ (1937); изделия «Арктур», «Марс», «Сириус», «Земля», «Меркурий», «Альбион» (1938); эхолоты (1938); ГАС: «Орион» (1940), «Тамир-1» для кораблей (1940-), «Тамир» для ПЛ (1941), «Вега» (1960-е); шумопеленгаторы: для линкоров и ПЛ (1937), «Марс» (ВОВ); приборы измерения шума (1957);™^™ усилители: «Бриг-001, У-001С».</w:t>
      </w:r>
    </w:p>
    <w:p w14:paraId="27F4451F" w14:textId="77777777" w:rsidR="00C76194" w:rsidRPr="00C33834" w:rsidRDefault="00C761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Особое КБ № 206 (ОКБ-206), НИИ-3 МСП, ГКРЭ, ЦНИИ «Морфизприбор»,</w:t>
      </w:r>
    </w:p>
    <w:p w14:paraId="610C6F95" w14:textId="77777777" w:rsidR="00C76194" w:rsidRPr="00C33834" w:rsidRDefault="00C761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ФГУП ЦНИИ «Морфизприбор» /197376  г. Ленинград,  г. Санкт-Петербург Чкаловский пр., 46 тел. 320-80-40/</w:t>
      </w:r>
    </w:p>
    <w:p w14:paraId="35217F3F" w14:textId="77777777" w:rsidR="00C76194" w:rsidRPr="00C33834" w:rsidRDefault="00C761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ОКБ-206 образовано в 1946 г. для разработки гидроакустической аппаратуры. В 1949 г. преобразовано в НИИ-3 гидролокации и гидроакустики МСП. В ~1958 г. передан в ведение ГКРЭ. В 1966 г. переименован в ЦНИИ «Морфизприбор», стал головным предприятием страны в области военной гидроакустики.</w:t>
      </w:r>
    </w:p>
    <w:p w14:paraId="611B5EBD" w14:textId="77777777" w:rsidR="00C76194" w:rsidRPr="00C33834" w:rsidRDefault="00C761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Разработка гидроакустических станций (ГАС) и комплексов (ГАК) для надводных кораблей (НК) и ПЛ, береговых станций. В начале 1960-х  г. началась разработка средств гидроакустического противодействия. Изучались проблемы гидрологии моря.</w:t>
      </w:r>
    </w:p>
    <w:p w14:paraId="720E641B" w14:textId="77777777" w:rsidR="00C76194" w:rsidRPr="00C33834" w:rsidRDefault="00C761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1959 г. введен в эксплуатацию Ладожский гидроакустический полигон, в 1960-е  г. в институте построен уникальный гидроакустический бассейн размером 50х 14х 10м.</w:t>
      </w:r>
    </w:p>
    <w:p w14:paraId="2D234BC8" w14:textId="77777777" w:rsidR="00C76194" w:rsidRPr="00C33834" w:rsidRDefault="00C761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Действовал филиал Камчатского гидрофизического института.</w:t>
      </w:r>
    </w:p>
    <w:p w14:paraId="3E1F07C1" w14:textId="77777777" w:rsidR="00C76194" w:rsidRPr="00C33834" w:rsidRDefault="00C761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11.10.1960 г. вышло распоряжение правительства № 3083-рс об изготовлении и испытаниях ГАС «Лань».</w:t>
      </w:r>
    </w:p>
    <w:p w14:paraId="4779579F" w14:textId="77777777" w:rsidR="00C76194" w:rsidRPr="00C33834" w:rsidRDefault="00C761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ПСМ № 605-198 от 4.07.1967 г. ГАС «Вега» пнв; пост. № 534-183 от 10,07.1969 г. ГАС «Амур» пнв.</w:t>
      </w:r>
    </w:p>
    <w:p w14:paraId="152346CE" w14:textId="77777777" w:rsidR="00C76194" w:rsidRPr="00C33834" w:rsidRDefault="00C761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Направления работ (2005 г.): многофункциональные пассивные и активные ГАС и ГАК освещения подводной обстановки для ПЛ, кораблей, ЛА, системы обнаружения подводных пловцов; активные и пассивные стационарные ГАК для защиты шельфовой зоны; гидроакустические навигационные и поисково- обследовательские системы; ГА преобразователи, антенны, ФАР; акустические экраны и звукопрозрачные обтекатели; системы передачи информации по акустическому каналу; адаптивные системы обработки гидроакустической информации; классификаторы целей; измерители скорости звука для кораблей и ПЛ.</w:t>
      </w:r>
    </w:p>
    <w:p w14:paraId="056010BA" w14:textId="77777777" w:rsidR="00C76194" w:rsidRPr="00C33834" w:rsidRDefault="00C761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2005 г. создано около 120 систем.</w:t>
      </w:r>
    </w:p>
    <w:p w14:paraId="516E5269" w14:textId="77777777" w:rsidR="00C76194" w:rsidRPr="00C33834" w:rsidRDefault="00C761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Численность персонала (2005 г.)- около 2000 чел.101</w:t>
      </w:r>
    </w:p>
    <w:p w14:paraId="105C71BF" w14:textId="77777777" w:rsidR="00C76194" w:rsidRPr="00C33834" w:rsidRDefault="00C761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Гендиректор (2003 г.)- Ю. Корякин.</w:t>
      </w:r>
    </w:p>
    <w:p w14:paraId="45845992" w14:textId="77777777" w:rsidR="00C76194" w:rsidRPr="00C33834" w:rsidRDefault="00C761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конструктор- Я. Карлик (БГАС).</w:t>
      </w:r>
    </w:p>
    <w:p w14:paraId="016CFDD3" w14:textId="77777777" w:rsidR="00C76194" w:rsidRPr="00C33834" w:rsidRDefault="00C761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конструкторы: (1963 г.)- Н.Н. Свиридов («Рубин»),</w:t>
      </w:r>
    </w:p>
    <w:p w14:paraId="4D523B94" w14:textId="77777777" w:rsidR="00C76194" w:rsidRPr="00C33834" w:rsidRDefault="00C761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отделения: (2003 г.)- С. Смирнов.</w:t>
      </w:r>
    </w:p>
    <w:p w14:paraId="66C471E2" w14:textId="77777777" w:rsidR="00C76194" w:rsidRPr="00C33834" w:rsidRDefault="00C761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Создано: ГАС: для НК «Пегас-2М», «Геркулес» (1956-57), с опускаемой антенной «Шелонь», дальнего обнаружения ПЛ «Орион», миноискания «Олень» и «Лань» (1960-е), для обнаружения подводных пловцов «Паллада» (2000-е); ГАК: «Платина» для ПЛК (1970-е), «Полином» для кораблей I и II ранга (1970-е), «Днестр» (1990-е), экспортные МГК-335ЭМ, «Виньетка-ЭМ», «Веста-К» (2000-е); для ПЛ «Феникс», «Плутоний» (1956- 57), «Рубин» для целеуказания КР ПЛ П-70 «Аметист» (1963), «Океан» для ПЛ пр. 705, «Скат-БРДМ», «Скат- Плавник», «Рубикон» (1960-е), «Скат-3», «Иртыш-Амфора» (2000-е), «Минотавр», экспортная МГК-400ЭМ (2000-е); береговые: «Волхов» (1950-е), протяженного гидроакустического рубежа «Лиман», шумопеленгаторные ГАС дальнего обнаружения подводных объектов (БГАС) «Амур» (пнв 10.07.1969 г.), «Агам» (1970-е); позиционная инфразвуковая система для прикрытия пунктов базирования кораблей «Лиман-М», унифицированная аппаратура гидроакустической связи и опознавания «Штиль»; измеритель скорости звука в морской воде МГ-543ЭМ (2000-е).23</w:t>
      </w:r>
    </w:p>
    <w:p w14:paraId="1951DD98" w14:textId="77777777" w:rsidR="00C76194" w:rsidRPr="00C33834" w:rsidRDefault="00C761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ГП «Водтрансприбор-Пуск» МСП, ФГУП, ОАО «Водтрансприбор-Пуск» /197342  г. Санкт-Петербург ул. Сердобольская, 64 тел. 242-29-11, -18-53/</w:t>
      </w:r>
    </w:p>
    <w:p w14:paraId="74AED8AC"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ГП «Водтрансприбор-Пуск» создано решением МСП в 05.1991 г. на базе регулировочно-сдаточной службы завода «Водтрансприбор» для отладки гидроакустических комплексов на кораблях ВМФ. Предприятие приняло участие в оснащении РЭВ нескольких сотен судов.</w:t>
      </w:r>
    </w:p>
    <w:p w14:paraId="72BB311F"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06.1999 г. получило статус ФГУП, в 01.2005 г. преобразовано в ОАО. Входит в ассоциацию «Океанприбор» (2003 г.).</w:t>
      </w:r>
    </w:p>
    <w:p w14:paraId="12586F2C"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Гендиректор (1991-2005 г.-)- Б.А. Ергин (11982).</w:t>
      </w:r>
    </w:p>
    <w:p w14:paraId="65AD96AA"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4F79F3FD" w14:textId="77777777" w:rsidR="0058354C" w:rsidRPr="00C33834" w:rsidRDefault="0058354C" w:rsidP="00C33834">
      <w:pPr>
        <w:pStyle w:val="ae"/>
        <w:shd w:val="clear" w:color="auto" w:fill="FFFFFF"/>
        <w:spacing w:before="0" w:after="0"/>
        <w:jc w:val="both"/>
        <w:rPr>
          <w:color w:val="000000" w:themeColor="text1"/>
          <w:sz w:val="16"/>
          <w:szCs w:val="16"/>
        </w:rPr>
      </w:pPr>
      <w:r w:rsidRPr="00C33834">
        <w:rPr>
          <w:color w:val="000000" w:themeColor="text1"/>
          <w:sz w:val="16"/>
          <w:szCs w:val="16"/>
        </w:rPr>
        <w:t>1 июня 1933 года в 5 часов 30 минут первая сормовская Щука ошвартовалась у стенки Балтийского завода. По Неве лодка шла не в доке, а «расчаленная между двух барж». Когда в 1934 году заводу выдали наряд на передачу подводной лодки — 4 июня «Красное Сормово» и Балтийский завод заключили договор, где в протоколе на передачу особо оговаривалось условие: Балтийский завод обязуется (за плату, конечно) обучить сормовичей — четверых инженерно-технических работников и 42 рабочих — монтажу механизмов и устройств, допустив их к цеховым («швартовным») испытаниям. А уж лучших из них допустить и к участию в сдаточных испытаниях. Нелегко дался первый подводный корабль сормовичам, но опыт они получили богатый. Подводное кораблестроение на заводе набирало силу. Еще до начала войны требование ВМФ, изложенное в первом задании на строительство подводной лодки («…20 подлодок на случай войны…»), было выполнено. Завод построил 32 субмарины. 15 августа 1934 года, после испытаний и сдачи подлодка «Щ-304» («Комсомолец») была принята в состав ВМФ страны (12189).</w:t>
      </w:r>
    </w:p>
    <w:p w14:paraId="149210E5" w14:textId="77777777" w:rsidR="0058354C" w:rsidRPr="00C33834" w:rsidRDefault="0058354C" w:rsidP="00C33834">
      <w:pPr>
        <w:pStyle w:val="ae"/>
        <w:shd w:val="clear" w:color="auto" w:fill="FFFFFF"/>
        <w:spacing w:before="0" w:after="0"/>
        <w:jc w:val="both"/>
        <w:rPr>
          <w:color w:val="000000" w:themeColor="text1"/>
          <w:sz w:val="16"/>
          <w:szCs w:val="16"/>
        </w:rPr>
      </w:pPr>
    </w:p>
    <w:p w14:paraId="429EEED1" w14:textId="77777777" w:rsidR="00C76194"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663CA8A8" w14:textId="77777777" w:rsidR="00C76194" w:rsidRPr="00C33834" w:rsidRDefault="00C7619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01F21FA"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началось формирование Северной военной флотилии с базированием в Мурманске и в Северный флот была преобразована 11 мая 1937 (3398,201).</w:t>
      </w:r>
    </w:p>
    <w:p w14:paraId="056751B6"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67B65715" w14:textId="77777777" w:rsidR="00C76194" w:rsidRPr="00C33834" w:rsidRDefault="00C7619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г. была образована Северная военная флотилия В этот день в 1933 г. в Кольском заливе образована Северная военная флотилия, преобразованная в 1937 г. в Северный флот. Ее первым командующем стал капитан 1 ранга З.А.Закупнев (впоследствии флагман 2 ранга, незаконно репрессирован). Этот день считается днем рождения Северного флота России. (6395).</w:t>
      </w:r>
    </w:p>
    <w:p w14:paraId="5937A1A9" w14:textId="77777777" w:rsidR="00C76194" w:rsidRPr="00C33834" w:rsidRDefault="00C7619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41B2DA" w14:textId="77777777" w:rsidR="00AE6002" w:rsidRPr="00C33834" w:rsidRDefault="00AE6002"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 июня</w:t>
      </w:r>
      <w:r w:rsidRPr="00C33834">
        <w:rPr>
          <w:rFonts w:ascii="Times New Roman" w:hAnsi="Times New Roman"/>
          <w:color w:val="000000" w:themeColor="text1"/>
          <w:sz w:val="16"/>
          <w:szCs w:val="16"/>
        </w:rPr>
        <w:t xml:space="preserve"> в 1933 году создана Северная военная флотилия (Северный флот). Из флотов России Северный - самый молодой. Если Балтийскому флоту исполнилось 302 года, Черноморскому - 222, то Северному флоту 1 июня 2005 года исполнилось 72 года. Однако первая попытка создания военного флота на Севере была сделана свыше 300 лет назад: в 1693 году по указанию Петра I в Архангельске была заложена Соломбальская верфь и началось строительство военных кораблей. Но постоянный, регулярный Северный флот берет свое начало с 1 июня 1933 года, когда Циркуляром Начальника штаба РККА была сформирована Северная военная флотилия с местом базирования в Кольском заливе. В 1937 году на базе флотилии создан Северный флот ВМФ СССР, с 1991 года - Северный флот Военно-морского флота России. В Великую Отечественную войну флот оборонял побережье, обеспечивал морские перевозки, охранял конвои союзников СССР, следовавшие в города Архангельск и Мурманск и обратно в Великобританию и США, действовал на морских коммуникациях противника, поддерживал сухопутные войска, высаживал тактические десанты, участвовал в Петсамо-Киркенесской операции (1944). Флот до конца выполнил свой долг перед Родиной. Более 48 тысяч североморцев были награждены орденами и медалями, 85 человек удостоены звания Героя Советского Союза, а трое из них стали дважды Героями Советского Союза. 12 кораблей, частей и соединений флота были преобразованы в гвардейские, 47 - награждены орденами, 14-ти присвоены почетные наименования. Основу современного Северного флота ВМФ Российской Федерации, имеющего статус самого мощного флота страны, составляют атомные ракетные и торпедные подводные лодки, ракетоносная и противолодочная авиация, ракетные, авианесущие и противолодочные корабли. День Северного флота (в честь дня образования Северной флотилии) (14909).</w:t>
      </w:r>
    </w:p>
    <w:p w14:paraId="61772298" w14:textId="77777777" w:rsidR="00AE6002" w:rsidRPr="00C33834" w:rsidRDefault="00AE6002" w:rsidP="00C33834">
      <w:pPr>
        <w:spacing w:after="0" w:line="240" w:lineRule="auto"/>
        <w:jc w:val="both"/>
        <w:rPr>
          <w:rFonts w:ascii="Times New Roman" w:hAnsi="Times New Roman"/>
          <w:color w:val="000000" w:themeColor="text1"/>
          <w:sz w:val="16"/>
          <w:szCs w:val="16"/>
        </w:rPr>
      </w:pPr>
    </w:p>
    <w:p w14:paraId="32771369"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июня 1933 была создана Северная военная флотилия (с 11.5 1937 Северный флот). </w:t>
      </w:r>
    </w:p>
    <w:p w14:paraId="1D307618"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Флотилия была сформирована для обороны северных морских рубежей в связи с обострением международной обстановки и возросшей угрозой империалистической агрессии против СССР. </w:t>
      </w:r>
    </w:p>
    <w:p w14:paraId="672F2D1D"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Большую роль в создании СВФ сыграл Беломорско-Балтийский канал, вступивший в строй в 1933. По нему с Балтики в базу флотилии Мурманск в мае — августе прибыли ЭМ «Урицкий» и «Валериан Куйбышев», СКР «Смерч» и «Ураган», ПЛ «Д-1» и «Д-2», а несколько позже ЭМ «Карл Либкнехт», СКР «Гроза» и ПЛ «Д-3». </w:t>
      </w:r>
    </w:p>
    <w:p w14:paraId="17E2ACCC"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 завершением основных работ по созданию главной базы в Полярном в октябре 1934 туда были переведены надводные корабли, а в октябре 1935 — подводные лодки, штаб, политотдел и другие учреждения. Военно-морские силы в Заполярье быстро наращивались, и приказом Наркома обороны от 11.5 1937 СВФ была реорганизована в Северный флот. </w:t>
      </w:r>
    </w:p>
    <w:p w14:paraId="6E0BB9DD"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 время советско-финляндской войны 1939–40 СФ взаимодействовал с 14-й армией, части флота участвовали в овладении базой Петсамо (Печенга), портом Линахамари (Лиинахамарп) и др. Корабли осуществляли перевозки войск, несли дозор, ставили минные заграждения. </w:t>
      </w:r>
    </w:p>
    <w:p w14:paraId="52E6567C"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1940 для обороны побережья Белого моря и выполнения других задач в составе СФ была сформирована Беломорская ВМБ (в Архангельске). </w:t>
      </w:r>
    </w:p>
    <w:p w14:paraId="6990AEFB"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 началу Великой Отечественной войны СФ насчитывал 8 эсминцев, 7 сторожевых кораблей, минный заградитель, 2 тральщика, 15 охотников за ПЛ, 15 подводных лодок, 116 самолетов. В ходе войны его состав пополнился надводными кораблями, подводными лодками и авиацией, перебазировавшимися с КБФ, ТОФ и КВФ. </w:t>
      </w:r>
    </w:p>
    <w:p w14:paraId="6E95CE83"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Великой Отечественной войне североморцы с честью выполнили поставленные задачи, сорвав планы гитлеровцев в короткий срок захватить Мурманск и пункты базирования флота на Кольском п-ове. Ударами кораблей и авиации по немецко-фашистским войскам, высадками десантов, действиями морской пехоты, пресечением морских перевозок противника СФ содействовал 14-й армии в срыве наступления врага в Заполярье. Более 39 тыс. краснофлотцев и командиров флота было послано на сухопутный фронт. </w:t>
      </w:r>
    </w:p>
    <w:p w14:paraId="0420770C"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СФ успешно действовал на морских сообщениях противника, обеспечивал внешние и внутренние морские коммуникации. Общий объем воинских перевозок на Северном морском театре за годы войны составил 1 млн человек и более 1,6 млн т грузов, кроме того, транспортным флотом было перевезено до 2 млн т народнохозяйственных грузов. Корабли флота провели по внутренним коммуникациям свыше 2500 судов и около 1500 конвоев. Североморцы участвовали в проводке 76 союзных конвоев с 4 млн т грузов. Летчиками и зенитчиками флота было уничтожено 1300 самолетов противника. Общие потери немецко-фашистского флота на театре составили 214 кораблей и вспомогательных судов, более 400 транспортов общим тоннажем свыше 1 млн т. </w:t>
      </w:r>
    </w:p>
    <w:p w14:paraId="6C83B9C9"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Велика роль СФ в разгроме врага в Заполярье в октябре 1944 в Петсамо-Киркенесской наступательной операции, в освобождении Печенгской области и Северной Норвегии. За доблесть и отвагу более 48 тыс. североморцев награждено орденами и медалями, 85 присвоено звание Героя Советского Союза, Б. Ф. Сафонов и А. О. Шабалин удостоены этого звания дважды. 8 подводных лодок, эсминец «Гремящий», 2 авиаполка и дивизион малых охотников преобразованы в гвардейские, 47 кораблей, частей и соединений награждены орденами, восьми частям и соединениям присвоено почетное наименование Печенгских и шести — Киркенесских. </w:t>
      </w:r>
    </w:p>
    <w:p w14:paraId="147B373A"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СФ (СВФ) командовали: З. А. Закупнев (июнь 1933 — март 1935), К. И. Душенов (март 1935 — май 1938), В. П. Дрозд (май 1938 — июль 1940), А. Г. Головко (июль 1940 — август 1946), В. И. Платонов (август 1946 — апрель 1952), А. Т. Чабаненко (апрель 1952 — февраль 1962), В. А. Касатонов (февраль 1962 — июнь 1964), С. М. Лобов (июнь 1964 — май 1972), Г. М. Егоров (май 1972 — июль 1977), В. Н. Чернавин (июль 1977 — декабрь 1981), А. П. Михайловский (декабрь 1981 — февраль 1985), И. М. Капитанец (с марта 1985) (11712).</w:t>
      </w:r>
    </w:p>
    <w:p w14:paraId="5602726D"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36ECAEF1" w14:textId="77777777" w:rsidR="00C7619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1002A3E" w14:textId="77777777" w:rsidR="00C76194" w:rsidRPr="00C33834" w:rsidRDefault="00C7619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E616C6E" w14:textId="77777777" w:rsidR="00C75FEC" w:rsidRPr="00C33834" w:rsidRDefault="00C75FEC"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lastRenderedPageBreak/>
        <w:t>1 июня</w:t>
      </w:r>
      <w:r w:rsidRPr="00C33834">
        <w:rPr>
          <w:rFonts w:ascii="Times New Roman" w:hAnsi="Times New Roman"/>
          <w:color w:val="000000" w:themeColor="text1"/>
          <w:sz w:val="16"/>
          <w:szCs w:val="16"/>
        </w:rPr>
        <w:t xml:space="preserve"> в 1933 году взлетел первый самолет Дональда Дугласа знаменитой марки «DC» – «Douglas» «DC-1» (14909).</w:t>
      </w:r>
    </w:p>
    <w:p w14:paraId="2A89A4FC" w14:textId="77777777" w:rsidR="00C75FEC" w:rsidRPr="00C33834" w:rsidRDefault="00C75FEC" w:rsidP="00C33834">
      <w:pPr>
        <w:spacing w:after="0" w:line="240" w:lineRule="auto"/>
        <w:jc w:val="both"/>
        <w:rPr>
          <w:rFonts w:ascii="Times New Roman" w:hAnsi="Times New Roman"/>
          <w:color w:val="000000" w:themeColor="text1"/>
          <w:sz w:val="16"/>
          <w:szCs w:val="16"/>
        </w:rPr>
      </w:pPr>
    </w:p>
    <w:p w14:paraId="7D8B161C" w14:textId="77777777" w:rsidR="00C76194" w:rsidRPr="00C33834" w:rsidRDefault="00C7619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1933 американский актер Чарли Чаплин секретно обвенчался с актрисой Полетт Годдар (4962).</w:t>
      </w:r>
    </w:p>
    <w:p w14:paraId="5BDC23B6" w14:textId="77777777" w:rsidR="00C76194" w:rsidRPr="00C33834" w:rsidRDefault="00C7619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52DA8E" w14:textId="77777777" w:rsidR="00C7619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0974078" w14:textId="77777777" w:rsidR="00C76194" w:rsidRPr="00C33834" w:rsidRDefault="00C7619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5910EFD"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июня 1933 года гл. инженер-механик ВВС Аузан писал письмо N 2/0700с Алкснису.</w:t>
      </w:r>
    </w:p>
    <w:p w14:paraId="18F8E01F"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сем представляю на Ваше утверждение материал по облегчению самолетов ТБ1 и Р6 в 2-х вариантах: один вариант максимального облегчения для самолетов с увеличенной емкостью бензиновых баков и больших радиусов действия, другой вариант - для самолетов серийного производства эксплуатирующихся в ВВС с нормальной емкостью баков и нормальными радиусами действия.</w:t>
      </w:r>
    </w:p>
    <w:p w14:paraId="1EBAC16E"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Несмотря на облегчение самолета ТБ1 большем чем на тонну, полетный вес его при взлете с добавочными баками емкостью 2750 кг достигает почти 9 тонн. Так как при этом весе запас прочности крыльев уменьшается до 3,4, а для прочности шасси вес 9 тонн, по данным ЦАГИ является пределом, учитывая кроме того, значительное ухудшение летно-тактических данных самолета при дальнейшем увеличении полетного веса, считаю нецелесообразным увеличение полетного веса самолета ТБ1 свыше 9 тонн.</w:t>
      </w:r>
    </w:p>
    <w:p w14:paraId="7D9B6D54"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Обычный самолет ТБ1 с нормальной нагрузкой, запасом топлива в 750 кг и бомб 1000 кг в полете на высоте 2000-3000 м имеет техническую дальность 650 км.</w:t>
      </w:r>
    </w:p>
    <w:p w14:paraId="4EBE1D96"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Максимально же облегченный самолет с запасом бомб 500 кг и топлива 2750 кг в полете на высоте 2000-3000 м будет иметь техническую дальность около 2100 км.</w:t>
      </w:r>
    </w:p>
    <w:p w14:paraId="6E81D6E3"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Заказ на добавочные баки для самолета ТБ1 выполняет завод ГУАП N 18.</w:t>
      </w:r>
    </w:p>
    <w:p w14:paraId="061DA2AD"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увеличения и выявления дальности самолетов Р6 в 1932 году по заданию УВВС был оборудован ЦАГИ самолет Р-6 N 2226 новыми бензиновыми баками емкостью в 3000 л (2500 кг). Однако, испытания на расходы топлива и на дальние перелеты указанный самолет не прошел, т.к. в процессе испытаний разбился.</w:t>
      </w:r>
    </w:p>
    <w:p w14:paraId="39F68304"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Тактико-технические данные облегченного самолета Р6 с новыми баками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3C8BCEBE" w14:textId="77777777">
        <w:tc>
          <w:tcPr>
            <w:tcW w:w="5636" w:type="dxa"/>
          </w:tcPr>
          <w:p w14:paraId="410D04D3"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Полная емкость бензиновых баков</w:t>
            </w:r>
          </w:p>
        </w:tc>
        <w:tc>
          <w:tcPr>
            <w:tcW w:w="5636" w:type="dxa"/>
          </w:tcPr>
          <w:p w14:paraId="2B7EDA5C"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 л</w:t>
            </w:r>
          </w:p>
        </w:tc>
      </w:tr>
      <w:tr w:rsidR="00F26F01" w:rsidRPr="00C33834" w14:paraId="0ECE7C45" w14:textId="77777777">
        <w:tc>
          <w:tcPr>
            <w:tcW w:w="5636" w:type="dxa"/>
          </w:tcPr>
          <w:p w14:paraId="5A872843"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Полетный вес при взлете</w:t>
            </w:r>
          </w:p>
        </w:tc>
        <w:tc>
          <w:tcPr>
            <w:tcW w:w="5636" w:type="dxa"/>
          </w:tcPr>
          <w:p w14:paraId="0E2078FF"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7522 кг</w:t>
            </w:r>
          </w:p>
        </w:tc>
      </w:tr>
      <w:tr w:rsidR="00F26F01" w:rsidRPr="00C33834" w14:paraId="0E82FE5B" w14:textId="77777777">
        <w:tc>
          <w:tcPr>
            <w:tcW w:w="5636" w:type="dxa"/>
          </w:tcPr>
          <w:p w14:paraId="22822E4C"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Ориентировочная техническая дальность</w:t>
            </w:r>
          </w:p>
        </w:tc>
        <w:tc>
          <w:tcPr>
            <w:tcW w:w="5636" w:type="dxa"/>
          </w:tcPr>
          <w:p w14:paraId="7736DB2B"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2630 км (2500)</w:t>
            </w:r>
          </w:p>
        </w:tc>
      </w:tr>
      <w:tr w:rsidR="00F26F01" w:rsidRPr="00C33834" w14:paraId="790094CF" w14:textId="77777777">
        <w:tc>
          <w:tcPr>
            <w:tcW w:w="5636" w:type="dxa"/>
          </w:tcPr>
          <w:p w14:paraId="526494BE"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Ориентировочный технический радиус</w:t>
            </w:r>
          </w:p>
        </w:tc>
        <w:tc>
          <w:tcPr>
            <w:tcW w:w="5636" w:type="dxa"/>
          </w:tcPr>
          <w:p w14:paraId="77AB12E3"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A519754" w14:textId="77777777">
        <w:tc>
          <w:tcPr>
            <w:tcW w:w="5636" w:type="dxa"/>
          </w:tcPr>
          <w:p w14:paraId="2659BD44"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действия</w:t>
            </w:r>
          </w:p>
        </w:tc>
        <w:tc>
          <w:tcPr>
            <w:tcW w:w="5636" w:type="dxa"/>
          </w:tcPr>
          <w:p w14:paraId="5BBE9B1D"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1050 км (2630)</w:t>
            </w:r>
          </w:p>
        </w:tc>
      </w:tr>
    </w:tbl>
    <w:p w14:paraId="67274BA7"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Обычный самолет Р6 с нормальной нагрузкой, запасом бомб 192 кг и запасом топлива 1400 кг имеет техническую дальность 1560 км и тактический ралиус действия 620 км (3903,63-65).</w:t>
      </w:r>
    </w:p>
    <w:p w14:paraId="698E3336"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0F4F8DE4"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июня 1933 дата присвоения опознавательного знака с литерой "Н" - СССР-Н11 - Савойя S-55, зав. № 10526, моторы - Ассо 750 л.с. Опознавательный знак нанесен не был. Первоначальный владелец воздушного судна - Аэрофлот. Самолет выпуска 1933 года. Потерпел катастрофу 12 июля 1933 г. До катастрофы самолет налетал 12 часов и произвел 15 посадок (11955).</w:t>
      </w:r>
    </w:p>
    <w:p w14:paraId="7A030D2F"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621DCE77"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июня 1933 дата присвоения опознавательного знака с литерой "Н" - СССР-Н12 - У-2, зав. № 4397, мотор - М-11. Первоначальный владелец воздушного судна - УВС ГУСМП. Самолет выпуска 1933 г, Разбит в аварии. Исключен из списков самолетного парка ГУСМП 05.01.35 г. (11955).</w:t>
      </w:r>
    </w:p>
    <w:p w14:paraId="2C8697F4"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4280349F"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июня 1933 дата присвоения опознавательного знака с литерой "Н" - СССР-Н13 - У-2, зав. № 4395, мотор - М-11. Первоначальный владелец воздушного судна - УВС ГУСМП. Самолет выпуска 1933 г. Приказом по УПА № 1 от 05.02.37 г. исключен из списков и списан с баланса Челюскинского авиаотряда как снятый с эксплуатации по выслуге срока службы и не подлежащий ремонту (11955).</w:t>
      </w:r>
    </w:p>
    <w:p w14:paraId="4B6F8E74"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11B8D80D"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июня 1933 дата присвоения опознавательного знака с литерой "И" - СССР-Н14 - У-2, зав. № 4392, мотор - М-11. Первоначальный владелец воздушного судна - УВС ГУСМП. Самолет выпуска 1933 г, списан в конце 1936 г. (11955).</w:t>
      </w:r>
    </w:p>
    <w:p w14:paraId="7B453160"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28843B18"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июня 1933 дата присвоения опознавательного знака с литерой "Н" - СССР-Н15 - У-2, зав. № 4398, мотор - М-11. Первоначальный владелец воздушного судна - УВС ГУСМП. Самолет выпуска 1933 г, списан в начале 1936 г. (11955).</w:t>
      </w:r>
    </w:p>
    <w:p w14:paraId="73DBCE13"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527D9E3F"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июня 1933 состоялось заседание у Врид нач. ГУАП Макаровского (протокол 7):</w:t>
      </w:r>
    </w:p>
    <w:p w14:paraId="382CADBB"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Слушали: "О претензиях ГУГВФ к ГУАП по программе 1933" (2291,172).</w:t>
      </w:r>
    </w:p>
    <w:p w14:paraId="2511A66B"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312A154A"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нач. разведуправления РККА Я.Берзин докладывал М.Тухачевскому, курировавшему "немецкие дела", что 2 июня 1933 во время учебных полетов на Липецкой станции столкнулись два Фоккер Д-Х и разбились (1131,31).</w:t>
      </w:r>
    </w:p>
    <w:p w14:paraId="367F7720"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 есть еще во всю работала.</w:t>
      </w:r>
    </w:p>
    <w:p w14:paraId="5309C5CA" w14:textId="77777777" w:rsidR="00C76194" w:rsidRPr="00C33834" w:rsidRDefault="00C7619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8F5B4F1" w14:textId="77777777" w:rsidR="00C76194"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452B643B" w14:textId="77777777" w:rsidR="00C76194" w:rsidRPr="00C33834" w:rsidRDefault="00C7619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CB10DBE"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2 и 8 июня 1933. Из протокола заседания Политбюро N 138, 1933 г.</w:t>
      </w:r>
    </w:p>
    <w:p w14:paraId="1F68F17D"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Вопрос т. Ворошилова </w:t>
      </w:r>
    </w:p>
    <w:p w14:paraId="18051C7C"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Удовлетворить просьбу т. Ворошилова об отпуске из госбанковского фонда 500 золотых часов для наградного фонда НКВМора (11652).</w:t>
      </w:r>
    </w:p>
    <w:p w14:paraId="17226CE2"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1EB7D78C"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2 и 8 июня 1933. Из протокола заседания Политбюро N 138, 1933 г.</w:t>
      </w:r>
    </w:p>
    <w:p w14:paraId="0DD4C73E"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Вопрос т. Ворошилова </w:t>
      </w:r>
    </w:p>
    <w:p w14:paraId="36EC3D89"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дополнение к постановлению ЦК все имеющиеся в наличии Госбанка механизмы часов, освобожденные от золотых покрышек, передать в наградный фонд НКВМора (11652).</w:t>
      </w:r>
    </w:p>
    <w:p w14:paraId="20018A76"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76299499" w14:textId="77777777" w:rsidR="00C7619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3436B994" w14:textId="77777777" w:rsidR="00C76194" w:rsidRPr="00C33834" w:rsidRDefault="00C7619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27A3051"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2 и 8 июня 1933. Из протокола заседания Политбюро N 138, 1933 г.</w:t>
      </w:r>
    </w:p>
    <w:p w14:paraId="149C6D31"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поездке за границу артистов МХАТ 1 для лечения </w:t>
      </w:r>
    </w:p>
    <w:p w14:paraId="5015BB81"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Разрешить поездку: </w:t>
      </w:r>
    </w:p>
    <w:p w14:paraId="6CC7215F"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Качалову В. И. (в Ригу и Мариенбад) на 2 м-ца 400 дол. </w:t>
      </w:r>
    </w:p>
    <w:p w14:paraId="2E582DBA"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Леонидову Л. М. (в Ригу и Мариенбад) на 2 м-ца 400 дол. </w:t>
      </w:r>
    </w:p>
    <w:p w14:paraId="07DF07EC"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 Москвину И. М. с женой (в Мариенбад) на 1 м-ц 500 дол. </w:t>
      </w:r>
    </w:p>
    <w:p w14:paraId="123FA9ED"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4. Станиславскому К. С. и Лилиной М. И. в сопровождении врача (в Ригу и Францию) на 4 м-ца 1800 дол. </w:t>
      </w:r>
    </w:p>
    <w:p w14:paraId="2F669DA0"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5. Аркановой (в Вену и Карлсбад) на 1 м-ц 200 дол. </w:t>
      </w:r>
    </w:p>
    <w:p w14:paraId="0EB9C344"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6. Гельцер К. (в Берлин и Францию) на 2 м-ца 400 дол. </w:t>
      </w:r>
    </w:p>
    <w:p w14:paraId="0784CDC4"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Подгорному (в Ригу и Францию) на 2 м-ца 300 дол. (11652).</w:t>
      </w:r>
    </w:p>
    <w:p w14:paraId="0CD68550"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1CC50EE1" w14:textId="77777777" w:rsidR="00C7619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ED885C9" w14:textId="77777777" w:rsidR="00C76194" w:rsidRPr="00C33834" w:rsidRDefault="00C7619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6CEF3BA" w14:textId="77777777" w:rsidR="00A378B3" w:rsidRPr="00C33834" w:rsidRDefault="00A378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3 и 5 июня 1933 г. состоялись осмотр макета самолета од</w:t>
      </w:r>
      <w:r w:rsidRPr="00C33834">
        <w:rPr>
          <w:rFonts w:ascii="Times New Roman" w:hAnsi="Times New Roman"/>
          <w:color w:val="0070C0"/>
          <w:sz w:val="16"/>
          <w:szCs w:val="16"/>
          <w:lang w:eastAsia="ru-RU" w:bidi="ru-RU"/>
        </w:rPr>
        <w:softHyphen/>
        <w:t>номоторного бронированного штурмо</w:t>
      </w:r>
      <w:r w:rsidRPr="00C33834">
        <w:rPr>
          <w:rFonts w:ascii="Times New Roman" w:hAnsi="Times New Roman"/>
          <w:color w:val="0070C0"/>
          <w:sz w:val="16"/>
          <w:szCs w:val="16"/>
          <w:lang w:eastAsia="ru-RU" w:bidi="ru-RU"/>
        </w:rPr>
        <w:softHyphen/>
        <w:t>вика ТШ-3 (ЦКБ-4) с мотором М-34 и совещание у началь</w:t>
      </w:r>
      <w:r w:rsidRPr="00C33834">
        <w:rPr>
          <w:rFonts w:ascii="Times New Roman" w:hAnsi="Times New Roman"/>
          <w:color w:val="0070C0"/>
          <w:sz w:val="16"/>
          <w:szCs w:val="16"/>
          <w:lang w:eastAsia="ru-RU" w:bidi="ru-RU"/>
        </w:rPr>
        <w:softHyphen/>
        <w:t>ника штаба В.В. Хрипина по согласованию боевой схемы ТШ-3. Само</w:t>
      </w:r>
      <w:r w:rsidRPr="00C33834">
        <w:rPr>
          <w:rFonts w:ascii="Times New Roman" w:hAnsi="Times New Roman"/>
          <w:color w:val="0070C0"/>
          <w:sz w:val="16"/>
          <w:szCs w:val="16"/>
          <w:lang w:eastAsia="ru-RU" w:bidi="ru-RU"/>
        </w:rPr>
        <w:softHyphen/>
        <w:t>лет проектировался в ЦКБ бригадой №1 под руководством Кочеригина и строился на заводе №39. План опытного стро</w:t>
      </w:r>
      <w:r w:rsidRPr="00C33834">
        <w:rPr>
          <w:rFonts w:ascii="Times New Roman" w:hAnsi="Times New Roman"/>
          <w:color w:val="0070C0"/>
          <w:sz w:val="16"/>
          <w:szCs w:val="16"/>
          <w:lang w:eastAsia="ru-RU" w:bidi="ru-RU"/>
        </w:rPr>
        <w:softHyphen/>
        <w:t>ительства на 1934-1935 гг. предполагал передачу ТШ-3 на государственные испы</w:t>
      </w:r>
      <w:r w:rsidRPr="00C33834">
        <w:rPr>
          <w:rFonts w:ascii="Times New Roman" w:hAnsi="Times New Roman"/>
          <w:color w:val="0070C0"/>
          <w:sz w:val="16"/>
          <w:szCs w:val="16"/>
          <w:lang w:eastAsia="ru-RU" w:bidi="ru-RU"/>
        </w:rPr>
        <w:softHyphen/>
        <w:t>тания к 1 июня 1934 г.</w:t>
      </w:r>
    </w:p>
    <w:p w14:paraId="5C68FA0A" w14:textId="77777777" w:rsidR="00A378B3" w:rsidRPr="00C33834" w:rsidRDefault="00A378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Самолет представлял собой двухмест</w:t>
      </w:r>
      <w:r w:rsidRPr="00C33834">
        <w:rPr>
          <w:rFonts w:ascii="Times New Roman" w:hAnsi="Times New Roman"/>
          <w:color w:val="0070C0"/>
          <w:sz w:val="16"/>
          <w:szCs w:val="16"/>
          <w:lang w:eastAsia="ru-RU" w:bidi="ru-RU"/>
        </w:rPr>
        <w:softHyphen/>
        <w:t>ный моноплан смешанной конструкции с низкорасположенным подкосным кры</w:t>
      </w:r>
      <w:r w:rsidRPr="00C33834">
        <w:rPr>
          <w:rFonts w:ascii="Times New Roman" w:hAnsi="Times New Roman"/>
          <w:color w:val="0070C0"/>
          <w:sz w:val="16"/>
          <w:szCs w:val="16"/>
          <w:lang w:eastAsia="ru-RU" w:bidi="ru-RU"/>
        </w:rPr>
        <w:softHyphen/>
        <w:t>лом и неубирающимся шасси. Мотор с агрегатами, водо- и маслорадиаторы, ка</w:t>
      </w:r>
      <w:r w:rsidRPr="00C33834">
        <w:rPr>
          <w:rFonts w:ascii="Times New Roman" w:hAnsi="Times New Roman"/>
          <w:color w:val="0070C0"/>
          <w:sz w:val="16"/>
          <w:szCs w:val="16"/>
          <w:lang w:eastAsia="ru-RU" w:bidi="ru-RU"/>
        </w:rPr>
        <w:softHyphen/>
        <w:t>бины экипажа и бензобаки размещались внутри бронекоробки. К бронекоробке крепилась хвостовая часть, которая пред</w:t>
      </w:r>
      <w:r w:rsidRPr="00C33834">
        <w:rPr>
          <w:rFonts w:ascii="Times New Roman" w:hAnsi="Times New Roman"/>
          <w:color w:val="0070C0"/>
          <w:sz w:val="16"/>
          <w:szCs w:val="16"/>
          <w:lang w:eastAsia="ru-RU" w:bidi="ru-RU"/>
        </w:rPr>
        <w:softHyphen/>
        <w:t>ставляла собой ферменную конструк</w:t>
      </w:r>
      <w:r w:rsidRPr="00C33834">
        <w:rPr>
          <w:rFonts w:ascii="Times New Roman" w:hAnsi="Times New Roman"/>
          <w:color w:val="0070C0"/>
          <w:sz w:val="16"/>
          <w:szCs w:val="16"/>
          <w:lang w:eastAsia="ru-RU" w:bidi="ru-RU"/>
        </w:rPr>
        <w:softHyphen/>
        <w:t>цию из сварных стальных труб с полотня</w:t>
      </w:r>
      <w:r w:rsidRPr="00C33834">
        <w:rPr>
          <w:rFonts w:ascii="Times New Roman" w:hAnsi="Times New Roman"/>
          <w:color w:val="0070C0"/>
          <w:sz w:val="16"/>
          <w:szCs w:val="16"/>
          <w:lang w:eastAsia="ru-RU" w:bidi="ru-RU"/>
        </w:rPr>
        <w:softHyphen/>
        <w:t>ной обшивкой.</w:t>
      </w:r>
    </w:p>
    <w:p w14:paraId="424D38CF" w14:textId="77777777" w:rsidR="00A378B3" w:rsidRPr="00C33834" w:rsidRDefault="00A378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lastRenderedPageBreak/>
        <w:t>Бронекоробка собиралась из плоских броневых деталей. Передний броневой лист имел толщину 8 мм, низ, борта и зад</w:t>
      </w:r>
      <w:r w:rsidRPr="00C33834">
        <w:rPr>
          <w:rFonts w:ascii="Times New Roman" w:hAnsi="Times New Roman"/>
          <w:color w:val="0070C0"/>
          <w:sz w:val="16"/>
          <w:szCs w:val="16"/>
          <w:lang w:eastAsia="ru-RU" w:bidi="ru-RU"/>
        </w:rPr>
        <w:softHyphen/>
        <w:t>няя стенка - 6 мм, верх, кроме мотора, ко</w:t>
      </w:r>
      <w:r w:rsidRPr="00C33834">
        <w:rPr>
          <w:rFonts w:ascii="Times New Roman" w:hAnsi="Times New Roman"/>
          <w:color w:val="0070C0"/>
          <w:sz w:val="16"/>
          <w:szCs w:val="16"/>
          <w:lang w:eastAsia="ru-RU" w:bidi="ru-RU"/>
        </w:rPr>
        <w:softHyphen/>
        <w:t>торый сверху не бронировался (прикры</w:t>
      </w:r>
      <w:r w:rsidRPr="00C33834">
        <w:rPr>
          <w:rFonts w:ascii="Times New Roman" w:hAnsi="Times New Roman"/>
          <w:color w:val="0070C0"/>
          <w:sz w:val="16"/>
          <w:szCs w:val="16"/>
          <w:lang w:eastAsia="ru-RU" w:bidi="ru-RU"/>
        </w:rPr>
        <w:softHyphen/>
        <w:t>вался дюралевым капотом), - 5 мм. Об</w:t>
      </w:r>
      <w:r w:rsidRPr="00C33834">
        <w:rPr>
          <w:rFonts w:ascii="Times New Roman" w:hAnsi="Times New Roman"/>
          <w:color w:val="0070C0"/>
          <w:sz w:val="16"/>
          <w:szCs w:val="16"/>
          <w:lang w:eastAsia="ru-RU" w:bidi="ru-RU"/>
        </w:rPr>
        <w:softHyphen/>
        <w:t>щий вес брони достигал 576 кг.</w:t>
      </w:r>
    </w:p>
    <w:p w14:paraId="27893B9C" w14:textId="77777777" w:rsidR="00A378B3" w:rsidRPr="00C33834" w:rsidRDefault="00A378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Боковые листы бронекоробки по всей длине моторной установки откидывались на шарнирах. В нижней части бронекор- пуса сделаны откидные лючки для до</w:t>
      </w:r>
      <w:r w:rsidRPr="00C33834">
        <w:rPr>
          <w:rFonts w:ascii="Times New Roman" w:hAnsi="Times New Roman"/>
          <w:color w:val="0070C0"/>
          <w:sz w:val="16"/>
          <w:szCs w:val="16"/>
          <w:lang w:eastAsia="ru-RU" w:bidi="ru-RU"/>
        </w:rPr>
        <w:softHyphen/>
        <w:t>ступа к масляному фильтру и наносам.</w:t>
      </w:r>
    </w:p>
    <w:p w14:paraId="56C0A46A" w14:textId="77777777" w:rsidR="00A378B3" w:rsidRPr="00C33834" w:rsidRDefault="00A378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Маслорадиатор помещался полно</w:t>
      </w:r>
      <w:r w:rsidRPr="00C33834">
        <w:rPr>
          <w:rFonts w:ascii="Times New Roman" w:hAnsi="Times New Roman"/>
          <w:color w:val="0070C0"/>
          <w:sz w:val="16"/>
          <w:szCs w:val="16"/>
          <w:lang w:eastAsia="ru-RU" w:bidi="ru-RU"/>
        </w:rPr>
        <w:softHyphen/>
        <w:t>стью в бронекоробке за мотором, а охла</w:t>
      </w:r>
      <w:r w:rsidRPr="00C33834">
        <w:rPr>
          <w:rFonts w:ascii="Times New Roman" w:hAnsi="Times New Roman"/>
          <w:color w:val="0070C0"/>
          <w:sz w:val="16"/>
          <w:szCs w:val="16"/>
          <w:lang w:eastAsia="ru-RU" w:bidi="ru-RU"/>
        </w:rPr>
        <w:softHyphen/>
        <w:t>ждение масла обеспечивалось водой под давлением.</w:t>
      </w:r>
    </w:p>
    <w:p w14:paraId="3770610F" w14:textId="77777777" w:rsidR="00A378B3" w:rsidRPr="00C33834" w:rsidRDefault="00A378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Снизу бронекоробки располагался выдвижной сотовый водяной радиатор, прикрытый снизу 6-мм броней. Во время атаки (в течение 5 минут) радиатор пол</w:t>
      </w:r>
      <w:r w:rsidRPr="00C33834">
        <w:rPr>
          <w:rFonts w:ascii="Times New Roman" w:hAnsi="Times New Roman"/>
          <w:color w:val="0070C0"/>
          <w:sz w:val="16"/>
          <w:szCs w:val="16"/>
          <w:lang w:eastAsia="ru-RU" w:bidi="ru-RU"/>
        </w:rPr>
        <w:softHyphen/>
        <w:t>ностью задвигался в фюзеляж, а охлажде</w:t>
      </w:r>
      <w:r w:rsidRPr="00C33834">
        <w:rPr>
          <w:rFonts w:ascii="Times New Roman" w:hAnsi="Times New Roman"/>
          <w:color w:val="0070C0"/>
          <w:sz w:val="16"/>
          <w:szCs w:val="16"/>
          <w:lang w:eastAsia="ru-RU" w:bidi="ru-RU"/>
        </w:rPr>
        <w:softHyphen/>
        <w:t>ние воды в радиаторе в это время осу</w:t>
      </w:r>
      <w:r w:rsidRPr="00C33834">
        <w:rPr>
          <w:rFonts w:ascii="Times New Roman" w:hAnsi="Times New Roman"/>
          <w:color w:val="0070C0"/>
          <w:sz w:val="16"/>
          <w:szCs w:val="16"/>
          <w:lang w:eastAsia="ru-RU" w:bidi="ru-RU"/>
        </w:rPr>
        <w:softHyphen/>
        <w:t>ществлялось через бронесовок (внизу за винтом) и щель за радиатором с «жа</w:t>
      </w:r>
      <w:r w:rsidRPr="00C33834">
        <w:rPr>
          <w:rFonts w:ascii="Times New Roman" w:hAnsi="Times New Roman"/>
          <w:color w:val="0070C0"/>
          <w:sz w:val="16"/>
          <w:szCs w:val="16"/>
          <w:lang w:eastAsia="ru-RU" w:bidi="ru-RU"/>
        </w:rPr>
        <w:softHyphen/>
        <w:t>брами» из брони. Часть тепла при убран</w:t>
      </w:r>
      <w:r w:rsidRPr="00C33834">
        <w:rPr>
          <w:rFonts w:ascii="Times New Roman" w:hAnsi="Times New Roman"/>
          <w:color w:val="0070C0"/>
          <w:sz w:val="16"/>
          <w:szCs w:val="16"/>
          <w:lang w:eastAsia="ru-RU" w:bidi="ru-RU"/>
        </w:rPr>
        <w:softHyphen/>
        <w:t>ном радиаторе поглощалась водой в ра</w:t>
      </w:r>
      <w:r w:rsidRPr="00C33834">
        <w:rPr>
          <w:rFonts w:ascii="Times New Roman" w:hAnsi="Times New Roman"/>
          <w:color w:val="0070C0"/>
          <w:sz w:val="16"/>
          <w:szCs w:val="16"/>
          <w:lang w:eastAsia="ru-RU" w:bidi="ru-RU"/>
        </w:rPr>
        <w:softHyphen/>
        <w:t>диаторе и в системе (трубопроводы, вода в масляном радиаторе и расходном бачке). Размеры радиатора и емкость во</w:t>
      </w:r>
      <w:r w:rsidRPr="00C33834">
        <w:rPr>
          <w:rFonts w:ascii="Times New Roman" w:hAnsi="Times New Roman"/>
          <w:color w:val="0070C0"/>
          <w:sz w:val="16"/>
          <w:szCs w:val="16"/>
          <w:lang w:eastAsia="ru-RU" w:bidi="ru-RU"/>
        </w:rPr>
        <w:softHyphen/>
        <w:t>дяной системы (всего 106 кг воды) вы</w:t>
      </w:r>
      <w:r w:rsidRPr="00C33834">
        <w:rPr>
          <w:rFonts w:ascii="Times New Roman" w:hAnsi="Times New Roman"/>
          <w:color w:val="0070C0"/>
          <w:sz w:val="16"/>
          <w:szCs w:val="16"/>
          <w:lang w:eastAsia="ru-RU" w:bidi="ru-RU"/>
        </w:rPr>
        <w:softHyphen/>
        <w:t>браны больше необходимого. В кабине летчика имелся специальный указатель высоты подъема радиатора. Для предо</w:t>
      </w:r>
      <w:r w:rsidRPr="00C33834">
        <w:rPr>
          <w:rFonts w:ascii="Times New Roman" w:hAnsi="Times New Roman"/>
          <w:color w:val="0070C0"/>
          <w:sz w:val="16"/>
          <w:szCs w:val="16"/>
          <w:lang w:eastAsia="ru-RU" w:bidi="ru-RU"/>
        </w:rPr>
        <w:softHyphen/>
        <w:t>хранения мотора от пулевых попаданий через бронесовок за ним сверху устанав</w:t>
      </w:r>
      <w:r w:rsidRPr="00C33834">
        <w:rPr>
          <w:rFonts w:ascii="Times New Roman" w:hAnsi="Times New Roman"/>
          <w:color w:val="0070C0"/>
          <w:sz w:val="16"/>
          <w:szCs w:val="16"/>
          <w:lang w:eastAsia="ru-RU" w:bidi="ru-RU"/>
        </w:rPr>
        <w:softHyphen/>
        <w:t>ливался бронещиток. Рассматривалось предложение о переходе на этиленглико</w:t>
      </w:r>
      <w:r w:rsidRPr="00C33834">
        <w:rPr>
          <w:rFonts w:ascii="Times New Roman" w:hAnsi="Times New Roman"/>
          <w:color w:val="0070C0"/>
          <w:sz w:val="16"/>
          <w:szCs w:val="16"/>
          <w:lang w:eastAsia="ru-RU" w:bidi="ru-RU"/>
        </w:rPr>
        <w:softHyphen/>
        <w:t>левое охлаждение по типу ТШ-2, но его не поддержали специалисты ЦИАМ и НИИ ВВС.</w:t>
      </w:r>
    </w:p>
    <w:p w14:paraId="6D483B29" w14:textId="77777777" w:rsidR="00A378B3" w:rsidRPr="00C33834" w:rsidRDefault="00A378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При постройке бронекорпуса ТШ-3 применялась броневая сталь двух марок ИЗ (Ижорский завод) и Э (Выксунский за</w:t>
      </w:r>
      <w:r w:rsidRPr="00C33834">
        <w:rPr>
          <w:rFonts w:ascii="Times New Roman" w:hAnsi="Times New Roman"/>
          <w:color w:val="0070C0"/>
          <w:sz w:val="16"/>
          <w:szCs w:val="16"/>
          <w:lang w:eastAsia="ru-RU" w:bidi="ru-RU"/>
        </w:rPr>
        <w:softHyphen/>
        <w:t>вод). Всего на Подольском машинострои</w:t>
      </w:r>
      <w:r w:rsidRPr="00C33834">
        <w:rPr>
          <w:rFonts w:ascii="Times New Roman" w:hAnsi="Times New Roman"/>
          <w:color w:val="0070C0"/>
          <w:sz w:val="16"/>
          <w:szCs w:val="16"/>
          <w:lang w:eastAsia="ru-RU" w:bidi="ru-RU"/>
        </w:rPr>
        <w:softHyphen/>
        <w:t>тельном заводе было собрано два броне- корпуса. Затруднений при изготовлении этих двух комплектов не встретилось. Тех</w:t>
      </w:r>
      <w:r w:rsidRPr="00C33834">
        <w:rPr>
          <w:rFonts w:ascii="Times New Roman" w:hAnsi="Times New Roman"/>
          <w:color w:val="0070C0"/>
          <w:sz w:val="16"/>
          <w:szCs w:val="16"/>
          <w:lang w:eastAsia="ru-RU" w:bidi="ru-RU"/>
        </w:rPr>
        <w:softHyphen/>
        <w:t>нология была применена такая же, как и в бронетанковом производстве. Допуска и технические условия такие же. Детали соединялись сваркой, клепкой и болто</w:t>
      </w:r>
      <w:r w:rsidRPr="00C33834">
        <w:rPr>
          <w:rFonts w:ascii="Times New Roman" w:hAnsi="Times New Roman"/>
          <w:color w:val="0070C0"/>
          <w:sz w:val="16"/>
          <w:szCs w:val="16"/>
          <w:lang w:eastAsia="ru-RU" w:bidi="ru-RU"/>
        </w:rPr>
        <w:softHyphen/>
        <w:t>выми соединениями на дюралюминиевых угольниках. Оба бронекорпуса испытыва</w:t>
      </w:r>
      <w:r w:rsidRPr="00C33834">
        <w:rPr>
          <w:rFonts w:ascii="Times New Roman" w:hAnsi="Times New Roman"/>
          <w:color w:val="0070C0"/>
          <w:sz w:val="16"/>
          <w:szCs w:val="16"/>
          <w:lang w:eastAsia="ru-RU" w:bidi="ru-RU"/>
        </w:rPr>
        <w:softHyphen/>
        <w:t>лись на обстрел простыми пулями винто</w:t>
      </w:r>
      <w:r w:rsidRPr="00C33834">
        <w:rPr>
          <w:rFonts w:ascii="Times New Roman" w:hAnsi="Times New Roman"/>
          <w:color w:val="0070C0"/>
          <w:sz w:val="16"/>
          <w:szCs w:val="16"/>
          <w:lang w:eastAsia="ru-RU" w:bidi="ru-RU"/>
        </w:rPr>
        <w:softHyphen/>
        <w:t>вочного калибра.</w:t>
      </w:r>
    </w:p>
    <w:p w14:paraId="07129560" w14:textId="77777777" w:rsidR="00A378B3" w:rsidRPr="00C33834" w:rsidRDefault="00A378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Отмечалось, что, несмотря на приме</w:t>
      </w:r>
      <w:r w:rsidRPr="00C33834">
        <w:rPr>
          <w:rFonts w:ascii="Times New Roman" w:hAnsi="Times New Roman"/>
          <w:color w:val="0070C0"/>
          <w:sz w:val="16"/>
          <w:szCs w:val="16"/>
          <w:lang w:eastAsia="ru-RU" w:bidi="ru-RU"/>
        </w:rPr>
        <w:softHyphen/>
        <w:t>нение плоских броневых листов, удалось подобрать достаточно хорошую в аэро</w:t>
      </w:r>
      <w:r w:rsidRPr="00C33834">
        <w:rPr>
          <w:rFonts w:ascii="Times New Roman" w:hAnsi="Times New Roman"/>
          <w:color w:val="0070C0"/>
          <w:sz w:val="16"/>
          <w:szCs w:val="16"/>
          <w:lang w:eastAsia="ru-RU" w:bidi="ru-RU"/>
        </w:rPr>
        <w:softHyphen/>
        <w:t>динамическом отношении форму носо</w:t>
      </w:r>
      <w:r w:rsidRPr="00C33834">
        <w:rPr>
          <w:rFonts w:ascii="Times New Roman" w:hAnsi="Times New Roman"/>
          <w:color w:val="0070C0"/>
          <w:sz w:val="16"/>
          <w:szCs w:val="16"/>
          <w:lang w:eastAsia="ru-RU" w:bidi="ru-RU"/>
        </w:rPr>
        <w:softHyphen/>
        <w:t>вой части фюзеляжа самолета. В перспек</w:t>
      </w:r>
      <w:r w:rsidRPr="00C33834">
        <w:rPr>
          <w:rFonts w:ascii="Times New Roman" w:hAnsi="Times New Roman"/>
          <w:color w:val="0070C0"/>
          <w:sz w:val="16"/>
          <w:szCs w:val="16"/>
          <w:lang w:eastAsia="ru-RU" w:bidi="ru-RU"/>
        </w:rPr>
        <w:softHyphen/>
        <w:t>тиве предполагалось перейти «на штам</w:t>
      </w:r>
      <w:r w:rsidRPr="00C33834">
        <w:rPr>
          <w:rFonts w:ascii="Times New Roman" w:hAnsi="Times New Roman"/>
          <w:color w:val="0070C0"/>
          <w:sz w:val="16"/>
          <w:szCs w:val="16"/>
          <w:lang w:eastAsia="ru-RU" w:bidi="ru-RU"/>
        </w:rPr>
        <w:softHyphen/>
        <w:t>повку броневых листов по кривым по</w:t>
      </w:r>
      <w:r w:rsidRPr="00C33834">
        <w:rPr>
          <w:rFonts w:ascii="Times New Roman" w:hAnsi="Times New Roman"/>
          <w:color w:val="0070C0"/>
          <w:sz w:val="16"/>
          <w:szCs w:val="16"/>
          <w:lang w:eastAsia="ru-RU" w:bidi="ru-RU"/>
        </w:rPr>
        <w:softHyphen/>
        <w:t>верхностям» и за счет этого «получить еще дальнейшие улучшения формы фю</w:t>
      </w:r>
      <w:r w:rsidRPr="00C33834">
        <w:rPr>
          <w:rFonts w:ascii="Times New Roman" w:hAnsi="Times New Roman"/>
          <w:color w:val="0070C0"/>
          <w:sz w:val="16"/>
          <w:szCs w:val="16"/>
          <w:lang w:eastAsia="ru-RU" w:bidi="ru-RU"/>
        </w:rPr>
        <w:softHyphen/>
        <w:t>зеляжа и уменьшение его лобового со</w:t>
      </w:r>
      <w:r w:rsidRPr="00C33834">
        <w:rPr>
          <w:rFonts w:ascii="Times New Roman" w:hAnsi="Times New Roman"/>
          <w:color w:val="0070C0"/>
          <w:sz w:val="16"/>
          <w:szCs w:val="16"/>
          <w:lang w:eastAsia="ru-RU" w:bidi="ru-RU"/>
        </w:rPr>
        <w:softHyphen/>
        <w:t>противления».</w:t>
      </w:r>
    </w:p>
    <w:p w14:paraId="6EF9328E" w14:textId="77777777" w:rsidR="00A378B3" w:rsidRPr="00C33834" w:rsidRDefault="00A378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Крыло и оперение дюралевой кон</w:t>
      </w:r>
      <w:r w:rsidRPr="00C33834">
        <w:rPr>
          <w:rFonts w:ascii="Times New Roman" w:hAnsi="Times New Roman"/>
          <w:color w:val="0070C0"/>
          <w:sz w:val="16"/>
          <w:szCs w:val="16"/>
          <w:lang w:eastAsia="ru-RU" w:bidi="ru-RU"/>
        </w:rPr>
        <w:softHyphen/>
        <w:t>струкции обшивались листовым дюралем и полотном. Консоли крыла подпирались сверху Л-образными подкосами (сталь</w:t>
      </w:r>
      <w:r w:rsidRPr="00C33834">
        <w:rPr>
          <w:rFonts w:ascii="Times New Roman" w:hAnsi="Times New Roman"/>
          <w:color w:val="0070C0"/>
          <w:sz w:val="16"/>
          <w:szCs w:val="16"/>
          <w:lang w:eastAsia="ru-RU" w:bidi="ru-RU"/>
        </w:rPr>
        <w:softHyphen/>
        <w:t>ные трубы с дюралевыми обтекателями). Подкосы должны были «парализовать вредное влияние вибрации при стрельбе батареи пулеметов». За подкосами была небольшая постоянного профиля часть крыла, где помещались пулеметные ба</w:t>
      </w:r>
      <w:r w:rsidRPr="00C33834">
        <w:rPr>
          <w:rFonts w:ascii="Times New Roman" w:hAnsi="Times New Roman"/>
          <w:color w:val="0070C0"/>
          <w:sz w:val="16"/>
          <w:szCs w:val="16"/>
          <w:lang w:eastAsia="ru-RU" w:bidi="ru-RU"/>
        </w:rPr>
        <w:softHyphen/>
        <w:t>тареи и кассеты с мелкими осколочными бомбами. Элероны - щелевые, опускае</w:t>
      </w:r>
      <w:r w:rsidRPr="00C33834">
        <w:rPr>
          <w:rFonts w:ascii="Times New Roman" w:hAnsi="Times New Roman"/>
          <w:color w:val="0070C0"/>
          <w:sz w:val="16"/>
          <w:szCs w:val="16"/>
          <w:lang w:eastAsia="ru-RU" w:bidi="ru-RU"/>
        </w:rPr>
        <w:softHyphen/>
        <w:t>мые на 15° как закрылки, дифференци</w:t>
      </w:r>
      <w:r w:rsidRPr="00C33834">
        <w:rPr>
          <w:rFonts w:ascii="Times New Roman" w:hAnsi="Times New Roman"/>
          <w:color w:val="0070C0"/>
          <w:sz w:val="16"/>
          <w:szCs w:val="16"/>
          <w:lang w:eastAsia="ru-RU" w:bidi="ru-RU"/>
        </w:rPr>
        <w:softHyphen/>
        <w:t>альные. Управление элеронами, рулями высоты и поворота - тросовое, дублиро</w:t>
      </w:r>
      <w:r w:rsidRPr="00C33834">
        <w:rPr>
          <w:rFonts w:ascii="Times New Roman" w:hAnsi="Times New Roman"/>
          <w:color w:val="0070C0"/>
          <w:sz w:val="16"/>
          <w:szCs w:val="16"/>
          <w:lang w:eastAsia="ru-RU" w:bidi="ru-RU"/>
        </w:rPr>
        <w:softHyphen/>
        <w:t>ванное («идет двойная, разведенная ши</w:t>
      </w:r>
      <w:r w:rsidRPr="00C33834">
        <w:rPr>
          <w:rFonts w:ascii="Times New Roman" w:hAnsi="Times New Roman"/>
          <w:color w:val="0070C0"/>
          <w:sz w:val="16"/>
          <w:szCs w:val="16"/>
          <w:lang w:eastAsia="ru-RU" w:bidi="ru-RU"/>
        </w:rPr>
        <w:softHyphen/>
        <w:t>роко одна от другой»).</w:t>
      </w:r>
    </w:p>
    <w:p w14:paraId="691551A4" w14:textId="77777777" w:rsidR="00A378B3" w:rsidRPr="00C33834" w:rsidRDefault="00A378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При проектировании самолета на</w:t>
      </w:r>
      <w:r w:rsidRPr="00C33834">
        <w:rPr>
          <w:rFonts w:ascii="Times New Roman" w:hAnsi="Times New Roman"/>
          <w:color w:val="0070C0"/>
          <w:sz w:val="16"/>
          <w:szCs w:val="16"/>
          <w:lang w:eastAsia="ru-RU" w:bidi="ru-RU"/>
        </w:rPr>
        <w:softHyphen/>
        <w:t>меренно отказались от применения ав</w:t>
      </w:r>
      <w:r w:rsidRPr="00C33834">
        <w:rPr>
          <w:rFonts w:ascii="Times New Roman" w:hAnsi="Times New Roman"/>
          <w:color w:val="0070C0"/>
          <w:sz w:val="16"/>
          <w:szCs w:val="16"/>
          <w:lang w:eastAsia="ru-RU" w:bidi="ru-RU"/>
        </w:rPr>
        <w:softHyphen/>
        <w:t>томатических предкрылков («разрезного крыла»), как того требовали ВВС. Счита</w:t>
      </w:r>
      <w:r w:rsidRPr="00C33834">
        <w:rPr>
          <w:rFonts w:ascii="Times New Roman" w:hAnsi="Times New Roman"/>
          <w:color w:val="0070C0"/>
          <w:sz w:val="16"/>
          <w:szCs w:val="16"/>
          <w:lang w:eastAsia="ru-RU" w:bidi="ru-RU"/>
        </w:rPr>
        <w:softHyphen/>
        <w:t>лось, что предкрылки увеличивают уязви</w:t>
      </w:r>
      <w:r w:rsidRPr="00C33834">
        <w:rPr>
          <w:rFonts w:ascii="Times New Roman" w:hAnsi="Times New Roman"/>
          <w:color w:val="0070C0"/>
          <w:sz w:val="16"/>
          <w:szCs w:val="16"/>
          <w:lang w:eastAsia="ru-RU" w:bidi="ru-RU"/>
        </w:rPr>
        <w:softHyphen/>
        <w:t>мость самолета, «так как механизм пред</w:t>
      </w:r>
      <w:r w:rsidRPr="00C33834">
        <w:rPr>
          <w:rFonts w:ascii="Times New Roman" w:hAnsi="Times New Roman"/>
          <w:color w:val="0070C0"/>
          <w:sz w:val="16"/>
          <w:szCs w:val="16"/>
          <w:lang w:eastAsia="ru-RU" w:bidi="ru-RU"/>
        </w:rPr>
        <w:softHyphen/>
        <w:t>крылков, требующий точной работы, неиз</w:t>
      </w:r>
      <w:r w:rsidRPr="00C33834">
        <w:rPr>
          <w:rFonts w:ascii="Times New Roman" w:hAnsi="Times New Roman"/>
          <w:color w:val="0070C0"/>
          <w:sz w:val="16"/>
          <w:szCs w:val="16"/>
          <w:lang w:eastAsia="ru-RU" w:bidi="ru-RU"/>
        </w:rPr>
        <w:softHyphen/>
        <w:t>бежно выводится из строя при попадании пулей в него или около места крепле</w:t>
      </w:r>
      <w:r w:rsidRPr="00C33834">
        <w:rPr>
          <w:rFonts w:ascii="Times New Roman" w:hAnsi="Times New Roman"/>
          <w:color w:val="0070C0"/>
          <w:sz w:val="16"/>
          <w:szCs w:val="16"/>
          <w:lang w:eastAsia="ru-RU" w:bidi="ru-RU"/>
        </w:rPr>
        <w:softHyphen/>
        <w:t>ния его кронштейнов». При этом «повре</w:t>
      </w:r>
      <w:r w:rsidRPr="00C33834">
        <w:rPr>
          <w:rFonts w:ascii="Times New Roman" w:hAnsi="Times New Roman"/>
          <w:color w:val="0070C0"/>
          <w:sz w:val="16"/>
          <w:szCs w:val="16"/>
          <w:lang w:eastAsia="ru-RU" w:bidi="ru-RU"/>
        </w:rPr>
        <w:softHyphen/>
        <w:t>ждение одного из них при функциони</w:t>
      </w:r>
      <w:r w:rsidRPr="00C33834">
        <w:rPr>
          <w:rFonts w:ascii="Times New Roman" w:hAnsi="Times New Roman"/>
          <w:color w:val="0070C0"/>
          <w:sz w:val="16"/>
          <w:szCs w:val="16"/>
          <w:lang w:eastAsia="ru-RU" w:bidi="ru-RU"/>
        </w:rPr>
        <w:softHyphen/>
        <w:t>ровании другого может привести к што</w:t>
      </w:r>
      <w:r w:rsidRPr="00C33834">
        <w:rPr>
          <w:rFonts w:ascii="Times New Roman" w:hAnsi="Times New Roman"/>
          <w:color w:val="0070C0"/>
          <w:sz w:val="16"/>
          <w:szCs w:val="16"/>
          <w:lang w:eastAsia="ru-RU" w:bidi="ru-RU"/>
        </w:rPr>
        <w:softHyphen/>
        <w:t>пору самолета».</w:t>
      </w:r>
    </w:p>
    <w:p w14:paraId="71E9FBAF" w14:textId="77777777" w:rsidR="00A378B3" w:rsidRPr="00C33834" w:rsidRDefault="00A378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Шасси имело форму свободнонесущих стоек-вилок с резиновой амортиза</w:t>
      </w:r>
      <w:r w:rsidRPr="00C33834">
        <w:rPr>
          <w:rFonts w:ascii="Times New Roman" w:hAnsi="Times New Roman"/>
          <w:color w:val="0070C0"/>
          <w:sz w:val="16"/>
          <w:szCs w:val="16"/>
          <w:lang w:eastAsia="ru-RU" w:bidi="ru-RU"/>
        </w:rPr>
        <w:softHyphen/>
        <w:t>цией и обтекателями типа «штаны». Ко</w:t>
      </w:r>
      <w:r w:rsidRPr="00C33834">
        <w:rPr>
          <w:rFonts w:ascii="Times New Roman" w:hAnsi="Times New Roman"/>
          <w:color w:val="0070C0"/>
          <w:sz w:val="16"/>
          <w:szCs w:val="16"/>
          <w:lang w:eastAsia="ru-RU" w:bidi="ru-RU"/>
        </w:rPr>
        <w:softHyphen/>
        <w:t>леса - тормозные, костыль - управляемый.</w:t>
      </w:r>
    </w:p>
    <w:p w14:paraId="38695320" w14:textId="77777777" w:rsidR="00A378B3" w:rsidRPr="00C33834" w:rsidRDefault="00A378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Судя по документам, ВВС требовали предусмотреть для ТШ-3 колесное шасси повышенной проходимости, а также воз</w:t>
      </w:r>
      <w:r w:rsidRPr="00C33834">
        <w:rPr>
          <w:rFonts w:ascii="Times New Roman" w:hAnsi="Times New Roman"/>
          <w:color w:val="0070C0"/>
          <w:sz w:val="16"/>
          <w:szCs w:val="16"/>
          <w:lang w:eastAsia="ru-RU" w:bidi="ru-RU"/>
        </w:rPr>
        <w:softHyphen/>
        <w:t>можность установки шасси на гусеничном многоколесном ходу («с возможностью использования, как гусеничным ходом, так и колесным при снятой гусенице»).</w:t>
      </w:r>
    </w:p>
    <w:p w14:paraId="3BA6B17E" w14:textId="77777777" w:rsidR="00A378B3" w:rsidRPr="00C33834" w:rsidRDefault="00A378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Вооружение самолета включало 10 пулеметов ШКАС в крыле (две бата</w:t>
      </w:r>
      <w:r w:rsidRPr="00C33834">
        <w:rPr>
          <w:rFonts w:ascii="Times New Roman" w:hAnsi="Times New Roman"/>
          <w:color w:val="0070C0"/>
          <w:sz w:val="16"/>
          <w:szCs w:val="16"/>
          <w:lang w:eastAsia="ru-RU" w:bidi="ru-RU"/>
        </w:rPr>
        <w:softHyphen/>
        <w:t>реи по четыре легкосъемных пулеме</w:t>
      </w:r>
      <w:r w:rsidRPr="00C33834">
        <w:rPr>
          <w:rFonts w:ascii="Times New Roman" w:hAnsi="Times New Roman"/>
          <w:color w:val="0070C0"/>
          <w:sz w:val="16"/>
          <w:szCs w:val="16"/>
          <w:lang w:eastAsia="ru-RU" w:bidi="ru-RU"/>
        </w:rPr>
        <w:softHyphen/>
        <w:t>тов - 4000 патрон, и два пулемета «са</w:t>
      </w:r>
      <w:r w:rsidRPr="00C33834">
        <w:rPr>
          <w:rFonts w:ascii="Times New Roman" w:hAnsi="Times New Roman"/>
          <w:color w:val="0070C0"/>
          <w:sz w:val="16"/>
          <w:szCs w:val="16"/>
          <w:lang w:eastAsia="ru-RU" w:bidi="ru-RU"/>
        </w:rPr>
        <w:softHyphen/>
        <w:t>мозащиты» - 1500 патрон), один ШКАС у летнаба на турели Тур-8 (1000 патрон) и 400 кг бомб (в перегрузку до 700 кг). Осколочные бомбы калибра 10 кг раз</w:t>
      </w:r>
      <w:r w:rsidRPr="00C33834">
        <w:rPr>
          <w:rFonts w:ascii="Times New Roman" w:hAnsi="Times New Roman"/>
          <w:color w:val="0070C0"/>
          <w:sz w:val="16"/>
          <w:szCs w:val="16"/>
          <w:lang w:eastAsia="ru-RU" w:bidi="ru-RU"/>
        </w:rPr>
        <w:softHyphen/>
        <w:t>мещались в шести крыльевых отсеках на кассетах мелких бомб КД-1 по 6 штук каждая (всего 360 кг). Фугасные бомбы калибра 50 кг (всего 400 кг) подвешива</w:t>
      </w:r>
      <w:r w:rsidRPr="00C33834">
        <w:rPr>
          <w:rFonts w:ascii="Times New Roman" w:hAnsi="Times New Roman"/>
          <w:color w:val="0070C0"/>
          <w:sz w:val="16"/>
          <w:szCs w:val="16"/>
          <w:lang w:eastAsia="ru-RU" w:bidi="ru-RU"/>
        </w:rPr>
        <w:softHyphen/>
        <w:t>лись в крыльевых отсеках и снаружи на балочные держатели, введенные в кон</w:t>
      </w:r>
      <w:r w:rsidRPr="00C33834">
        <w:rPr>
          <w:rFonts w:ascii="Times New Roman" w:hAnsi="Times New Roman"/>
          <w:color w:val="0070C0"/>
          <w:sz w:val="16"/>
          <w:szCs w:val="16"/>
          <w:lang w:eastAsia="ru-RU" w:bidi="ru-RU"/>
        </w:rPr>
        <w:softHyphen/>
        <w:t>струкцию крыла. Выливные и химиче</w:t>
      </w:r>
      <w:r w:rsidRPr="00C33834">
        <w:rPr>
          <w:rFonts w:ascii="Times New Roman" w:hAnsi="Times New Roman"/>
          <w:color w:val="0070C0"/>
          <w:sz w:val="16"/>
          <w:szCs w:val="16"/>
          <w:lang w:eastAsia="ru-RU" w:bidi="ru-RU"/>
        </w:rPr>
        <w:softHyphen/>
        <w:t>ские авиаприборы размещались в отсе</w:t>
      </w:r>
      <w:r w:rsidRPr="00C33834">
        <w:rPr>
          <w:rFonts w:ascii="Times New Roman" w:hAnsi="Times New Roman"/>
          <w:color w:val="0070C0"/>
          <w:sz w:val="16"/>
          <w:szCs w:val="16"/>
          <w:lang w:eastAsia="ru-RU" w:bidi="ru-RU"/>
        </w:rPr>
        <w:softHyphen/>
        <w:t>ках крыла (по одному с каждой стороны). Бомбы крупного калибра (250 кг) и ДАП подвешивались только снаружи.</w:t>
      </w:r>
    </w:p>
    <w:p w14:paraId="04F3F177" w14:textId="77777777" w:rsidR="00A378B3" w:rsidRPr="00C33834" w:rsidRDefault="00A378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Для удобства обслуживания пулемет</w:t>
      </w:r>
      <w:r w:rsidRPr="00C33834">
        <w:rPr>
          <w:rFonts w:ascii="Times New Roman" w:hAnsi="Times New Roman"/>
          <w:color w:val="0070C0"/>
          <w:sz w:val="16"/>
          <w:szCs w:val="16"/>
          <w:lang w:eastAsia="ru-RU" w:bidi="ru-RU"/>
        </w:rPr>
        <w:softHyphen/>
        <w:t>ных батарей верхняя часть носка крыла откидывалась вверх, «открывая свобод</w:t>
      </w:r>
      <w:r w:rsidRPr="00C33834">
        <w:rPr>
          <w:rFonts w:ascii="Times New Roman" w:hAnsi="Times New Roman"/>
          <w:color w:val="0070C0"/>
          <w:sz w:val="16"/>
          <w:szCs w:val="16"/>
          <w:lang w:eastAsia="ru-RU" w:bidi="ru-RU"/>
        </w:rPr>
        <w:softHyphen/>
        <w:t>ный доступ к пулеметам». Лафеты пуле</w:t>
      </w:r>
      <w:r w:rsidRPr="00C33834">
        <w:rPr>
          <w:rFonts w:ascii="Times New Roman" w:hAnsi="Times New Roman"/>
          <w:color w:val="0070C0"/>
          <w:sz w:val="16"/>
          <w:szCs w:val="16"/>
          <w:lang w:eastAsia="ru-RU" w:bidi="ru-RU"/>
        </w:rPr>
        <w:softHyphen/>
        <w:t>метов крепились к кронштейнам, образо</w:t>
      </w:r>
      <w:r w:rsidRPr="00C33834">
        <w:rPr>
          <w:rFonts w:ascii="Times New Roman" w:hAnsi="Times New Roman"/>
          <w:color w:val="0070C0"/>
          <w:sz w:val="16"/>
          <w:szCs w:val="16"/>
          <w:lang w:eastAsia="ru-RU" w:bidi="ru-RU"/>
        </w:rPr>
        <w:softHyphen/>
        <w:t>ванными носками нервюр. Снаряженные патронные ящики вставлялись спереди крыла и перемещались по направляющим параллельно пулеметам. Крепления пу</w:t>
      </w:r>
      <w:r w:rsidRPr="00C33834">
        <w:rPr>
          <w:rFonts w:ascii="Times New Roman" w:hAnsi="Times New Roman"/>
          <w:color w:val="0070C0"/>
          <w:sz w:val="16"/>
          <w:szCs w:val="16"/>
          <w:lang w:eastAsia="ru-RU" w:bidi="ru-RU"/>
        </w:rPr>
        <w:softHyphen/>
        <w:t>леметов и патронных ящиков выполнены легкосъемными, и «смена видов вооруже</w:t>
      </w:r>
      <w:r w:rsidRPr="00C33834">
        <w:rPr>
          <w:rFonts w:ascii="Times New Roman" w:hAnsi="Times New Roman"/>
          <w:color w:val="0070C0"/>
          <w:sz w:val="16"/>
          <w:szCs w:val="16"/>
          <w:lang w:eastAsia="ru-RU" w:bidi="ru-RU"/>
        </w:rPr>
        <w:softHyphen/>
        <w:t>ния производится без труда».</w:t>
      </w:r>
    </w:p>
    <w:p w14:paraId="1D8308AC" w14:textId="77777777" w:rsidR="00A378B3" w:rsidRPr="00C33834" w:rsidRDefault="00A378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Бомбовые отсеки закрывались двухст</w:t>
      </w:r>
      <w:r w:rsidRPr="00C33834">
        <w:rPr>
          <w:rFonts w:ascii="Times New Roman" w:hAnsi="Times New Roman"/>
          <w:color w:val="0070C0"/>
          <w:sz w:val="16"/>
          <w:szCs w:val="16"/>
          <w:lang w:eastAsia="ru-RU" w:bidi="ru-RU"/>
        </w:rPr>
        <w:softHyphen/>
        <w:t>ворчатыми люками на пружинах, что по</w:t>
      </w:r>
      <w:r w:rsidRPr="00C33834">
        <w:rPr>
          <w:rFonts w:ascii="Times New Roman" w:hAnsi="Times New Roman"/>
          <w:color w:val="0070C0"/>
          <w:sz w:val="16"/>
          <w:szCs w:val="16"/>
          <w:lang w:eastAsia="ru-RU" w:bidi="ru-RU"/>
        </w:rPr>
        <w:softHyphen/>
        <w:t>зволяло бомбам при сбрасывании выпа</w:t>
      </w:r>
      <w:r w:rsidRPr="00C33834">
        <w:rPr>
          <w:rFonts w:ascii="Times New Roman" w:hAnsi="Times New Roman"/>
          <w:color w:val="0070C0"/>
          <w:sz w:val="16"/>
          <w:szCs w:val="16"/>
          <w:lang w:eastAsia="ru-RU" w:bidi="ru-RU"/>
        </w:rPr>
        <w:softHyphen/>
        <w:t>дать из отсека под действием своего веса.</w:t>
      </w:r>
    </w:p>
    <w:p w14:paraId="46F068EE" w14:textId="77777777" w:rsidR="00A378B3" w:rsidRPr="00C33834" w:rsidRDefault="00A378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Известно, что в ЦКБ прорабатывался и пассажирский вариант ТШ-3. Самолеты предполагалось унифицировать по крылу, шасси, оперению, винтомоторной группе. Бронирование передней части фюзеляжа не предполагалось. Проектом предусма</w:t>
      </w:r>
      <w:r w:rsidRPr="00C33834">
        <w:rPr>
          <w:rFonts w:ascii="Times New Roman" w:hAnsi="Times New Roman"/>
          <w:color w:val="0070C0"/>
          <w:sz w:val="16"/>
          <w:szCs w:val="16"/>
          <w:lang w:eastAsia="ru-RU" w:bidi="ru-RU"/>
        </w:rPr>
        <w:softHyphen/>
        <w:t>тривалось «также и легкое превраще</w:t>
      </w:r>
      <w:r w:rsidRPr="00C33834">
        <w:rPr>
          <w:rFonts w:ascii="Times New Roman" w:hAnsi="Times New Roman"/>
          <w:color w:val="0070C0"/>
          <w:sz w:val="16"/>
          <w:szCs w:val="16"/>
          <w:lang w:eastAsia="ru-RU" w:bidi="ru-RU"/>
        </w:rPr>
        <w:softHyphen/>
        <w:t>ние этой пассажирской вариации ТШ-3 в военный самолет - бомбардировщик с кассетными держателями внутри фюзе</w:t>
      </w:r>
      <w:r w:rsidRPr="00C33834">
        <w:rPr>
          <w:rFonts w:ascii="Times New Roman" w:hAnsi="Times New Roman"/>
          <w:color w:val="0070C0"/>
          <w:sz w:val="16"/>
          <w:szCs w:val="16"/>
          <w:lang w:eastAsia="ru-RU" w:bidi="ru-RU"/>
        </w:rPr>
        <w:softHyphen/>
        <w:t>ляжа для бомб калибром до 50 кг и кас</w:t>
      </w:r>
      <w:r w:rsidRPr="00C33834">
        <w:rPr>
          <w:rFonts w:ascii="Times New Roman" w:hAnsi="Times New Roman"/>
          <w:color w:val="0070C0"/>
          <w:sz w:val="16"/>
          <w:szCs w:val="16"/>
          <w:lang w:eastAsia="ru-RU" w:bidi="ru-RU"/>
        </w:rPr>
        <w:softHyphen/>
        <w:t>сет мелких бомб внутри крыла». По рас</w:t>
      </w:r>
      <w:r w:rsidRPr="00C33834">
        <w:rPr>
          <w:rFonts w:ascii="Times New Roman" w:hAnsi="Times New Roman"/>
          <w:color w:val="0070C0"/>
          <w:sz w:val="16"/>
          <w:szCs w:val="16"/>
          <w:lang w:eastAsia="ru-RU" w:bidi="ru-RU"/>
        </w:rPr>
        <w:softHyphen/>
        <w:t>четам пассажирский вариант должен был иметь на 4-5% выше максимальную ско</w:t>
      </w:r>
      <w:r w:rsidRPr="00C33834">
        <w:rPr>
          <w:rFonts w:ascii="Times New Roman" w:hAnsi="Times New Roman"/>
          <w:color w:val="0070C0"/>
          <w:sz w:val="16"/>
          <w:szCs w:val="16"/>
          <w:lang w:eastAsia="ru-RU" w:bidi="ru-RU"/>
        </w:rPr>
        <w:softHyphen/>
        <w:t>рость полета и более чем вдвое большую дальность полета.</w:t>
      </w:r>
    </w:p>
    <w:p w14:paraId="0FF64004" w14:textId="77777777" w:rsidR="00A378B3" w:rsidRPr="00C33834" w:rsidRDefault="00A378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Планом опытного строительства за</w:t>
      </w:r>
      <w:r w:rsidRPr="00C33834">
        <w:rPr>
          <w:rFonts w:ascii="Times New Roman" w:hAnsi="Times New Roman"/>
          <w:color w:val="0070C0"/>
          <w:sz w:val="16"/>
          <w:szCs w:val="16"/>
          <w:lang w:eastAsia="ru-RU" w:bidi="ru-RU"/>
        </w:rPr>
        <w:softHyphen/>
        <w:t>вода №39 предполагалась постройка в 1934 г. двух экземпляров самолета ТШ-3: первый - «выпуск к 1 апреля 1934 г.», второй - «выпуск в 1934 г.». Кроме того, «по заделу на 1935 г.» в плане значилась постройка эталона ТШ-3 для серийного производства и раз</w:t>
      </w:r>
      <w:r w:rsidRPr="00C33834">
        <w:rPr>
          <w:rFonts w:ascii="Times New Roman" w:hAnsi="Times New Roman"/>
          <w:color w:val="0070C0"/>
          <w:sz w:val="16"/>
          <w:szCs w:val="16"/>
          <w:lang w:eastAsia="ru-RU" w:bidi="ru-RU"/>
        </w:rPr>
        <w:softHyphen/>
        <w:t>работка для ТШ-3 «разрезного крыла».</w:t>
      </w:r>
    </w:p>
    <w:p w14:paraId="75028CDA" w14:textId="77777777" w:rsidR="00A378B3" w:rsidRPr="00C33834" w:rsidRDefault="00A378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Планом опытного строительства, ут</w:t>
      </w:r>
      <w:r w:rsidRPr="00C33834">
        <w:rPr>
          <w:rFonts w:ascii="Times New Roman" w:hAnsi="Times New Roman"/>
          <w:color w:val="0070C0"/>
          <w:sz w:val="16"/>
          <w:szCs w:val="16"/>
          <w:lang w:eastAsia="ru-RU" w:bidi="ru-RU"/>
        </w:rPr>
        <w:softHyphen/>
        <w:t>вержденного Советом Труда и Обороны 4 июля 1934 г., первый опытный экзем</w:t>
      </w:r>
      <w:r w:rsidRPr="00C33834">
        <w:rPr>
          <w:rFonts w:ascii="Times New Roman" w:hAnsi="Times New Roman"/>
          <w:color w:val="0070C0"/>
          <w:sz w:val="16"/>
          <w:szCs w:val="16"/>
          <w:lang w:eastAsia="ru-RU" w:bidi="ru-RU"/>
        </w:rPr>
        <w:softHyphen/>
        <w:t>пляр самолета ТШ-3 М-34 следовало предъявить на государственные испыта</w:t>
      </w:r>
      <w:r w:rsidRPr="00C33834">
        <w:rPr>
          <w:rFonts w:ascii="Times New Roman" w:hAnsi="Times New Roman"/>
          <w:color w:val="0070C0"/>
          <w:sz w:val="16"/>
          <w:szCs w:val="16"/>
          <w:lang w:eastAsia="ru-RU" w:bidi="ru-RU"/>
        </w:rPr>
        <w:softHyphen/>
        <w:t>ния к 1 ноября текущего года.</w:t>
      </w:r>
    </w:p>
    <w:p w14:paraId="7DE27842" w14:textId="77777777" w:rsidR="00A378B3" w:rsidRPr="00C33834" w:rsidRDefault="00A378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Всего построили два опытных экзем</w:t>
      </w:r>
      <w:r w:rsidRPr="00C33834">
        <w:rPr>
          <w:rFonts w:ascii="Times New Roman" w:hAnsi="Times New Roman"/>
          <w:color w:val="0070C0"/>
          <w:sz w:val="16"/>
          <w:szCs w:val="16"/>
          <w:lang w:eastAsia="ru-RU" w:bidi="ru-RU"/>
        </w:rPr>
        <w:softHyphen/>
        <w:t>пляра ТШ-3. Второй экземпляр получился более легким (на 35 кг) главным обра</w:t>
      </w:r>
      <w:r w:rsidRPr="00C33834">
        <w:rPr>
          <w:rFonts w:ascii="Times New Roman" w:hAnsi="Times New Roman"/>
          <w:color w:val="0070C0"/>
          <w:sz w:val="16"/>
          <w:szCs w:val="16"/>
          <w:lang w:eastAsia="ru-RU" w:bidi="ru-RU"/>
        </w:rPr>
        <w:softHyphen/>
        <w:t>зом за счет разницы весов винтомоторной группы, фюзеляжа, крыла, оперения, шасси (21062).</w:t>
      </w:r>
    </w:p>
    <w:p w14:paraId="742C7FEC" w14:textId="77777777" w:rsidR="00A378B3" w:rsidRPr="00C33834" w:rsidRDefault="00A378B3" w:rsidP="00C33834">
      <w:pPr>
        <w:spacing w:after="0" w:line="240" w:lineRule="auto"/>
        <w:jc w:val="both"/>
        <w:rPr>
          <w:rFonts w:ascii="Times New Roman" w:hAnsi="Times New Roman"/>
          <w:color w:val="0070C0"/>
          <w:sz w:val="16"/>
          <w:szCs w:val="16"/>
          <w:lang w:eastAsia="ru-RU" w:bidi="ru-RU"/>
        </w:rPr>
      </w:pPr>
    </w:p>
    <w:p w14:paraId="396253B7" w14:textId="77777777" w:rsidR="00290858" w:rsidRPr="00C33834" w:rsidRDefault="00290858" w:rsidP="00C33834">
      <w:pPr>
        <w:shd w:val="clear" w:color="auto" w:fill="FFFFFF"/>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июня 1933 состоялась макетная комиссия по ТШ-3 с двигателем М-34. 5 июня прошло совещание у начальника штаба ВВС Хрипина по вопросу рассмотре</w:t>
      </w:r>
      <w:r w:rsidRPr="00C33834">
        <w:rPr>
          <w:rFonts w:ascii="Times New Roman" w:hAnsi="Times New Roman"/>
          <w:color w:val="0070C0"/>
          <w:sz w:val="16"/>
          <w:szCs w:val="16"/>
        </w:rPr>
        <w:softHyphen/>
        <w:t>ния боевой схемы самолета ТШ-3 М-34.</w:t>
      </w:r>
    </w:p>
    <w:p w14:paraId="0C3256B2" w14:textId="77777777" w:rsidR="00290858" w:rsidRPr="00C33834" w:rsidRDefault="0029085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Утвердили схему моноплана, уже представленную в полноразмерном маке</w:t>
      </w:r>
      <w:r w:rsidRPr="00C33834">
        <w:rPr>
          <w:rFonts w:ascii="Times New Roman" w:hAnsi="Times New Roman"/>
          <w:color w:val="0070C0"/>
          <w:sz w:val="16"/>
          <w:szCs w:val="16"/>
        </w:rPr>
        <w:softHyphen/>
        <w:t>те и проектных документах. Особые разногласия между конструкторами и представителями ВВС вызывал обзор для летчика и стрелка. По этой причине со стороны ЦКБ было высказано, что для выполнения задач, возлагаемых на штурмовой самолет в предъявленном проекте ТШ-3 об</w:t>
      </w:r>
      <w:r w:rsidRPr="00C33834">
        <w:rPr>
          <w:rFonts w:ascii="Times New Roman" w:hAnsi="Times New Roman"/>
          <w:color w:val="0070C0"/>
          <w:sz w:val="16"/>
          <w:szCs w:val="16"/>
        </w:rPr>
        <w:softHyphen/>
        <w:t>зор вперед-вниз является достаточным.</w:t>
      </w:r>
    </w:p>
    <w:p w14:paraId="02349B85" w14:textId="77777777" w:rsidR="00290858" w:rsidRPr="00C33834" w:rsidRDefault="0029085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 обсуждении макета присутствовал Борис Туржанский, который настаивал на необходимости сократить число пуле</w:t>
      </w:r>
      <w:r w:rsidRPr="00C33834">
        <w:rPr>
          <w:rFonts w:ascii="Times New Roman" w:hAnsi="Times New Roman"/>
          <w:color w:val="0070C0"/>
          <w:sz w:val="16"/>
          <w:szCs w:val="16"/>
        </w:rPr>
        <w:softHyphen/>
        <w:t>метов вперед до 6, считая плотность огня при этом вполне достаточной. Тем не менее, было решено на опытном образ</w:t>
      </w:r>
      <w:r w:rsidRPr="00C33834">
        <w:rPr>
          <w:rFonts w:ascii="Times New Roman" w:hAnsi="Times New Roman"/>
          <w:color w:val="0070C0"/>
          <w:sz w:val="16"/>
          <w:szCs w:val="16"/>
        </w:rPr>
        <w:softHyphen/>
        <w:t>це оставить все 10 пулеметов с тем, чтобы испытать плот</w:t>
      </w:r>
      <w:r w:rsidRPr="00C33834">
        <w:rPr>
          <w:rFonts w:ascii="Times New Roman" w:hAnsi="Times New Roman"/>
          <w:color w:val="0070C0"/>
          <w:sz w:val="16"/>
          <w:szCs w:val="16"/>
        </w:rPr>
        <w:softHyphen/>
        <w:t>ность огня и путем практического испытания определить действительно необходимое количество пулеметов.</w:t>
      </w:r>
    </w:p>
    <w:p w14:paraId="373F0147" w14:textId="77777777" w:rsidR="00290858" w:rsidRPr="00C33834" w:rsidRDefault="0029085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Конструкция ТШ-3 определялась как смешанная. Носо</w:t>
      </w:r>
      <w:r w:rsidRPr="00C33834">
        <w:rPr>
          <w:rFonts w:ascii="Times New Roman" w:hAnsi="Times New Roman"/>
          <w:color w:val="0070C0"/>
          <w:sz w:val="16"/>
          <w:szCs w:val="16"/>
        </w:rPr>
        <w:softHyphen/>
        <w:t>вая часть фюзеляжа в виде бронекоробки, собранной на болтах из плоских кусков гомогенной брони толщиной 5</w:t>
      </w:r>
      <w:r w:rsidRPr="00C33834">
        <w:rPr>
          <w:rFonts w:ascii="Times New Roman" w:hAnsi="Times New Roman"/>
          <w:color w:val="0070C0"/>
          <w:sz w:val="16"/>
          <w:szCs w:val="16"/>
        </w:rPr>
        <w:softHyphen/>
        <w:t>8 мм (поначалу по проекту 4-5 мм). Бронекоробка являлась конструктивным элементом самолета. Хвостовая часть фюзеляжа ферменная, с полотняной обшивкой. Крыло и оперение дюралевое с полотняной обшивкой. Шасси не- убирающееся, с резиновой пластинчатой амортизацией, колеса 900x200 мм в обтекателях (20362).</w:t>
      </w:r>
    </w:p>
    <w:p w14:paraId="0720D0F9" w14:textId="77777777" w:rsidR="00290858" w:rsidRPr="00C33834" w:rsidRDefault="00290858" w:rsidP="00C33834">
      <w:pPr>
        <w:spacing w:after="0" w:line="240" w:lineRule="auto"/>
        <w:jc w:val="both"/>
        <w:rPr>
          <w:rFonts w:ascii="Times New Roman" w:hAnsi="Times New Roman"/>
          <w:color w:val="0070C0"/>
          <w:sz w:val="16"/>
          <w:szCs w:val="16"/>
        </w:rPr>
      </w:pPr>
    </w:p>
    <w:p w14:paraId="639144C3"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июня 1933 М.М.Громов совершил первый полет на ТБ-4 (437,111).</w:t>
      </w:r>
    </w:p>
    <w:p w14:paraId="5707D763"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62DED60B"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июня 1933 Н.М.Харламов писал Алмазову в письме N 967с о состоянии экспериментальных работ по самолетам и было указано, что в ЦАГИ имеется ТБ-6 - заканчивается постройка и выходит на испытания в ноябре, СК 2М34Н - не выходит, так как нет моторов и ДИП 2М34Н - нет пушки (1025,78).</w:t>
      </w:r>
    </w:p>
    <w:p w14:paraId="19C63F1D"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656FEA37" w14:textId="77777777" w:rsidR="00C75FEC" w:rsidRPr="00C33834" w:rsidRDefault="00C75FE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июня 1933 самолёт И-14 по акту передали в ОЭЛИД ЦАГИ. Первые полёты выявили ряд недостатков, и 17 июля машину возвратили в ЗОК ЦАГИ для их устранения. До 30 сен</w:t>
      </w:r>
      <w:r w:rsidRPr="00C33834">
        <w:rPr>
          <w:rFonts w:ascii="Times New Roman" w:hAnsi="Times New Roman"/>
          <w:color w:val="000000" w:themeColor="text1"/>
          <w:sz w:val="16"/>
          <w:szCs w:val="16"/>
        </w:rPr>
        <w:softHyphen/>
        <w:t>тября на самолёте выполнили следующие работы: отрегулировали систему уборки и выпуска шасси; на отъёмных частях крыла перкалевую обшивку заменили гофрирован</w:t>
      </w:r>
      <w:r w:rsidRPr="00C33834">
        <w:rPr>
          <w:rFonts w:ascii="Times New Roman" w:hAnsi="Times New Roman"/>
          <w:color w:val="000000" w:themeColor="text1"/>
          <w:sz w:val="16"/>
          <w:szCs w:val="16"/>
        </w:rPr>
        <w:softHyphen/>
        <w:t>ной; установили масляный радиатор с увеличенной площадью охлаждения; передела</w:t>
      </w:r>
      <w:r w:rsidRPr="00C33834">
        <w:rPr>
          <w:rFonts w:ascii="Times New Roman" w:hAnsi="Times New Roman"/>
          <w:color w:val="000000" w:themeColor="text1"/>
          <w:sz w:val="16"/>
          <w:szCs w:val="16"/>
        </w:rPr>
        <w:softHyphen/>
        <w:t>ли выхлопной коллектор мотора. В связи с затруднениями, возникшими при доводке самолёта и срывом сроков передачи его на госиспытания (15.03.33), постановлением РВС СССР от 17.07.33 г. определили новый срок — 1.02.34 г.</w:t>
      </w:r>
    </w:p>
    <w:p w14:paraId="1179200B" w14:textId="77777777" w:rsidR="00C75FEC" w:rsidRPr="00C33834" w:rsidRDefault="00C75FE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Учитывая то, что в Советском Союзе имелся лишь один экземпляр мотора </w:t>
      </w:r>
      <w:r w:rsidRPr="00C33834">
        <w:rPr>
          <w:rFonts w:ascii="Times New Roman" w:hAnsi="Times New Roman"/>
          <w:color w:val="000000" w:themeColor="text1"/>
          <w:sz w:val="16"/>
          <w:szCs w:val="16"/>
          <w:lang w:val="en-US"/>
        </w:rPr>
        <w:t>Bristol</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Mer</w:t>
      </w:r>
      <w:r w:rsidRPr="00C33834">
        <w:rPr>
          <w:rFonts w:ascii="Times New Roman" w:hAnsi="Times New Roman"/>
          <w:color w:val="000000" w:themeColor="text1"/>
          <w:sz w:val="16"/>
          <w:szCs w:val="16"/>
        </w:rPr>
        <w:softHyphen/>
      </w:r>
      <w:r w:rsidRPr="00C33834">
        <w:rPr>
          <w:rFonts w:ascii="Times New Roman" w:hAnsi="Times New Roman"/>
          <w:color w:val="000000" w:themeColor="text1"/>
          <w:sz w:val="16"/>
          <w:szCs w:val="16"/>
          <w:lang w:val="en-US"/>
        </w:rPr>
        <w:t>cury</w:t>
      </w:r>
      <w:r w:rsidRPr="00C33834">
        <w:rPr>
          <w:rFonts w:ascii="Times New Roman" w:hAnsi="Times New Roman"/>
          <w:color w:val="000000" w:themeColor="text1"/>
          <w:sz w:val="16"/>
          <w:szCs w:val="16"/>
        </w:rPr>
        <w:t>, в июле 1933 г. в ЦАГИ приступили к постройке второго экземпляра И-14 или так на</w:t>
      </w:r>
      <w:r w:rsidRPr="00C33834">
        <w:rPr>
          <w:rFonts w:ascii="Times New Roman" w:hAnsi="Times New Roman"/>
          <w:color w:val="000000" w:themeColor="text1"/>
          <w:sz w:val="16"/>
          <w:szCs w:val="16"/>
        </w:rPr>
        <w:softHyphen/>
        <w:t xml:space="preserve">зываемого «дублёра» (И-14бис, АНТ-31бис, заказ 7189, иногда в переписке — И14 РЦ) с мотором </w:t>
      </w:r>
      <w:r w:rsidRPr="00C33834">
        <w:rPr>
          <w:rFonts w:ascii="Times New Roman" w:hAnsi="Times New Roman"/>
          <w:color w:val="000000" w:themeColor="text1"/>
          <w:sz w:val="16"/>
          <w:szCs w:val="16"/>
          <w:lang w:val="en-US"/>
        </w:rPr>
        <w:t>Wright</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CycloneF</w:t>
      </w:r>
      <w:r w:rsidRPr="00C33834">
        <w:rPr>
          <w:rFonts w:ascii="Times New Roman" w:hAnsi="Times New Roman"/>
          <w:color w:val="000000" w:themeColor="text1"/>
          <w:sz w:val="16"/>
          <w:szCs w:val="16"/>
        </w:rPr>
        <w:t>2. При проектировании дублёра учли некоторые недостатки первого экземпляра самолёта (15823).</w:t>
      </w:r>
    </w:p>
    <w:p w14:paraId="6ECEF439" w14:textId="77777777" w:rsidR="00C75FEC" w:rsidRPr="00C33834" w:rsidRDefault="00C75FEC" w:rsidP="00C33834">
      <w:pPr>
        <w:spacing w:after="0" w:line="240" w:lineRule="auto"/>
        <w:jc w:val="both"/>
        <w:rPr>
          <w:rFonts w:ascii="Times New Roman" w:hAnsi="Times New Roman"/>
          <w:color w:val="000000" w:themeColor="text1"/>
          <w:sz w:val="16"/>
          <w:szCs w:val="16"/>
        </w:rPr>
      </w:pPr>
    </w:p>
    <w:p w14:paraId="147C31AF" w14:textId="77777777" w:rsidR="0044195E" w:rsidRPr="00C33834" w:rsidRDefault="0044195E"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3 июня 1933 самолет И-14 по акту передали в ОЭЛИД ЦАГИ. Первые полеты выявили ряд недостатков, и 17 июля машина была возвращена в ЗОК ЦАГИ для их устранения. До 30 сентября на самолете выполнили следующие работы: отрегулировали систему уборки и выпуска шасси; на отъемных частях крыла перкалевую обшивку заменили на гофрированную; установили масляный радиатор с увеличенной площадью охлаждения; переделали выхлопной коллектор мотора. В связи с затруднениями, возникшими при доводке самолета и срывом сроков передачи его на госиспытания (15.03.33), постановлением РВС СССР от 17.07.33 был определен новый срок – 1.02.34 г. (19177)</w:t>
      </w:r>
    </w:p>
    <w:p w14:paraId="7B8ACD87" w14:textId="77777777" w:rsidR="0044195E" w:rsidRPr="00C33834" w:rsidRDefault="0044195E" w:rsidP="00C33834">
      <w:pPr>
        <w:pStyle w:val="ae"/>
        <w:shd w:val="clear" w:color="auto" w:fill="FFFFFF"/>
        <w:spacing w:before="0" w:after="0"/>
        <w:jc w:val="both"/>
        <w:textAlignment w:val="baseline"/>
        <w:rPr>
          <w:color w:val="000000" w:themeColor="text1"/>
          <w:sz w:val="16"/>
          <w:szCs w:val="16"/>
        </w:rPr>
      </w:pPr>
    </w:p>
    <w:p w14:paraId="16FBB4C6"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июня 1933 года был утвержден Отчет По гос. испытаниям опытного самолета ДИ4 с мотором Кертисс Конкверор Е=7,5 N 521 Винт стандарт стиль Д=2,66 м. Шаг винта переменный. Испытания производись на 17,5 делений.</w:t>
      </w:r>
    </w:p>
    <w:p w14:paraId="5152C5CD"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6F7B3A50"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ведущий самолет - Холодов И.</w:t>
      </w:r>
    </w:p>
    <w:p w14:paraId="6578FE08"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Летчик - Кокинаки</w:t>
      </w:r>
    </w:p>
    <w:p w14:paraId="6DB65331"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06A27A49"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летных данных с целью выяснения вопроса о целесообразности серийной постройки самолета.</w:t>
      </w:r>
    </w:p>
    <w:p w14:paraId="223A032F"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2698F28D"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ДИ4 - Кертис Конкверор не может быть допущен к серийной постройке как не отвечающий требованиям к современным двухместным истребителям.</w:t>
      </w:r>
    </w:p>
    <w:p w14:paraId="549DC1D8"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 самолета ДИ4-КК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F26F01" w:rsidRPr="00C33834" w14:paraId="564BF59D" w14:textId="77777777">
        <w:tc>
          <w:tcPr>
            <w:tcW w:w="2818" w:type="dxa"/>
          </w:tcPr>
          <w:p w14:paraId="43226545"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мая 1933 года</w:t>
            </w:r>
          </w:p>
        </w:tc>
        <w:tc>
          <w:tcPr>
            <w:tcW w:w="2818" w:type="dxa"/>
          </w:tcPr>
          <w:p w14:paraId="1993CDD4"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Перелет в Щелково</w:t>
            </w:r>
          </w:p>
        </w:tc>
      </w:tr>
      <w:tr w:rsidR="00F26F01" w:rsidRPr="00C33834" w14:paraId="02929E38" w14:textId="77777777">
        <w:tc>
          <w:tcPr>
            <w:tcW w:w="2818" w:type="dxa"/>
          </w:tcPr>
          <w:p w14:paraId="3B1A5955"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мая 1933 года</w:t>
            </w:r>
          </w:p>
        </w:tc>
        <w:tc>
          <w:tcPr>
            <w:tcW w:w="2818" w:type="dxa"/>
          </w:tcPr>
          <w:p w14:paraId="7CE1EEC9"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Фактическое начало испытаний</w:t>
            </w:r>
          </w:p>
        </w:tc>
      </w:tr>
      <w:tr w:rsidR="00F26F01" w:rsidRPr="00C33834" w14:paraId="0BA5C6F1" w14:textId="77777777">
        <w:tc>
          <w:tcPr>
            <w:tcW w:w="2818" w:type="dxa"/>
          </w:tcPr>
          <w:p w14:paraId="4DCC6DEF"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мая 1933 года</w:t>
            </w:r>
          </w:p>
        </w:tc>
        <w:tc>
          <w:tcPr>
            <w:tcW w:w="2818" w:type="dxa"/>
          </w:tcPr>
          <w:p w14:paraId="36A24E62"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Фактическое окончание испытаний</w:t>
            </w:r>
          </w:p>
        </w:tc>
      </w:tr>
    </w:tbl>
    <w:p w14:paraId="71CDCE02"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Фактически затрачено на испытание 15 календарных дней, из них летных 8 дней.</w:t>
      </w:r>
    </w:p>
    <w:p w14:paraId="7F652759"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время нахождения самолета в НИИ ВВС налетано 13 час. 25 мин.</w:t>
      </w:r>
    </w:p>
    <w:p w14:paraId="66A36EA6"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Сделано посадок - 19 (3914).</w:t>
      </w:r>
    </w:p>
    <w:p w14:paraId="26D8D71C"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67C109DD" w14:textId="77777777" w:rsidR="00C7619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3A44211" w14:textId="77777777" w:rsidR="00C76194" w:rsidRPr="00C33834" w:rsidRDefault="00C7619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F877DC2" w14:textId="77777777" w:rsidR="00C76194" w:rsidRPr="00C33834" w:rsidRDefault="00C7619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июня 1933 г. в записке начальника ГВМУ И.П.Павлуновского Наркому Тяжелой промышленности Серго Орджони</w:t>
      </w:r>
      <w:r w:rsidRPr="00C33834">
        <w:rPr>
          <w:rFonts w:ascii="Times New Roman" w:hAnsi="Times New Roman"/>
          <w:color w:val="000000" w:themeColor="text1"/>
          <w:sz w:val="16"/>
          <w:szCs w:val="16"/>
        </w:rPr>
        <w:softHyphen/>
        <w:t>кидзе говорилось о причинах невыполнения артиллерий</w:t>
      </w:r>
      <w:r w:rsidRPr="00C33834">
        <w:rPr>
          <w:rFonts w:ascii="Times New Roman" w:hAnsi="Times New Roman"/>
          <w:color w:val="000000" w:themeColor="text1"/>
          <w:sz w:val="16"/>
          <w:szCs w:val="16"/>
        </w:rPr>
        <w:softHyphen/>
        <w:t>скими заводами производственной программы:</w:t>
      </w:r>
    </w:p>
    <w:p w14:paraId="0BF077C9" w14:textId="77777777" w:rsidR="00C76194" w:rsidRPr="00C33834" w:rsidRDefault="00C7619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последние годы проделана большая работа по техническо</w:t>
      </w:r>
      <w:r w:rsidRPr="00C33834">
        <w:rPr>
          <w:rFonts w:ascii="Times New Roman" w:hAnsi="Times New Roman"/>
          <w:color w:val="000000" w:themeColor="text1"/>
          <w:sz w:val="16"/>
          <w:szCs w:val="16"/>
        </w:rPr>
        <w:softHyphen/>
        <w:t>му переоснащению орудийных заводов. Завезено громадное ко</w:t>
      </w:r>
      <w:r w:rsidRPr="00C33834">
        <w:rPr>
          <w:rFonts w:ascii="Times New Roman" w:hAnsi="Times New Roman"/>
          <w:color w:val="000000" w:themeColor="text1"/>
          <w:sz w:val="16"/>
          <w:szCs w:val="16"/>
        </w:rPr>
        <w:softHyphen/>
        <w:t>личество нового импортного оборудования, а такие заводы как «Баррикады» и строящийся Сормовский целиком оснащены но</w:t>
      </w:r>
      <w:r w:rsidRPr="00C33834">
        <w:rPr>
          <w:rFonts w:ascii="Times New Roman" w:hAnsi="Times New Roman"/>
          <w:color w:val="000000" w:themeColor="text1"/>
          <w:sz w:val="16"/>
          <w:szCs w:val="16"/>
        </w:rPr>
        <w:softHyphen/>
        <w:t>вой техникой. Основная проблема — отсутствие налаженного технологического процесса массового производства.</w:t>
      </w:r>
    </w:p>
    <w:p w14:paraId="23301AAF" w14:textId="77777777" w:rsidR="00C76194" w:rsidRPr="00C33834" w:rsidRDefault="00C7619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Орудийные заводы и до настоящего времени производят свою продукцию в основном теми же методами, которыми орудия де</w:t>
      </w:r>
      <w:r w:rsidRPr="00C33834">
        <w:rPr>
          <w:rFonts w:ascii="Times New Roman" w:hAnsi="Times New Roman"/>
          <w:color w:val="000000" w:themeColor="text1"/>
          <w:sz w:val="16"/>
          <w:szCs w:val="16"/>
        </w:rPr>
        <w:softHyphen/>
        <w:t>лались десятки лет назад. Слишком много усилий тратится на пригонки-притирки деталей. Операции эти, как правило, осуще</w:t>
      </w:r>
      <w:r w:rsidRPr="00C33834">
        <w:rPr>
          <w:rFonts w:ascii="Times New Roman" w:hAnsi="Times New Roman"/>
          <w:color w:val="000000" w:themeColor="text1"/>
          <w:sz w:val="16"/>
          <w:szCs w:val="16"/>
        </w:rPr>
        <w:softHyphen/>
        <w:t>ствляются без технических приспособлений, вручную, и требуют большого количества высококвалифицированных рабочих. На каждую пушку, от мартена до завершения сборки, уходит не меньше 8 месяцев.</w:t>
      </w:r>
    </w:p>
    <w:p w14:paraId="077C7C0D" w14:textId="77777777" w:rsidR="00C76194" w:rsidRPr="00C33834" w:rsidRDefault="00C7619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Орудийные заводы превращаются в склады неукомплектован</w:t>
      </w:r>
      <w:r w:rsidRPr="00C33834">
        <w:rPr>
          <w:rFonts w:ascii="Times New Roman" w:hAnsi="Times New Roman"/>
          <w:color w:val="000000" w:themeColor="text1"/>
          <w:sz w:val="16"/>
          <w:szCs w:val="16"/>
        </w:rPr>
        <w:softHyphen/>
        <w:t>ных деталей, или, лучше сказать, кустарные мастерские. Напри</w:t>
      </w:r>
      <w:r w:rsidRPr="00C33834">
        <w:rPr>
          <w:rFonts w:ascii="Times New Roman" w:hAnsi="Times New Roman"/>
          <w:color w:val="000000" w:themeColor="text1"/>
          <w:sz w:val="16"/>
          <w:szCs w:val="16"/>
        </w:rPr>
        <w:softHyphen/>
        <w:t>мер, на заводе № 8 изготовлено орудийных тел и деталей на 800 систем, а сдано на вооружение только 45 систем. Остальные си</w:t>
      </w:r>
      <w:r w:rsidRPr="00C33834">
        <w:rPr>
          <w:rFonts w:ascii="Times New Roman" w:hAnsi="Times New Roman"/>
          <w:color w:val="000000" w:themeColor="text1"/>
          <w:sz w:val="16"/>
          <w:szCs w:val="16"/>
        </w:rPr>
        <w:softHyphen/>
        <w:t>стемы никак не могут отладить.</w:t>
      </w:r>
    </w:p>
    <w:p w14:paraId="4DAFB558" w14:textId="77777777" w:rsidR="00C76194" w:rsidRPr="00C33834" w:rsidRDefault="00C7619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Заводы сравнительно быстро справляются с изготовлением опытных образцов, которые, действительно, требуют много руч</w:t>
      </w:r>
      <w:r w:rsidRPr="00C33834">
        <w:rPr>
          <w:rFonts w:ascii="Times New Roman" w:hAnsi="Times New Roman"/>
          <w:color w:val="000000" w:themeColor="text1"/>
          <w:sz w:val="16"/>
          <w:szCs w:val="16"/>
        </w:rPr>
        <w:softHyphen/>
        <w:t>ной работы, но как только дело доходит до массового производ</w:t>
      </w:r>
      <w:r w:rsidRPr="00C33834">
        <w:rPr>
          <w:rFonts w:ascii="Times New Roman" w:hAnsi="Times New Roman"/>
          <w:color w:val="000000" w:themeColor="text1"/>
          <w:sz w:val="16"/>
          <w:szCs w:val="16"/>
        </w:rPr>
        <w:softHyphen/>
        <w:t>ства, установленные сроки не выдерживаются. Так, опытный образец 180 мм. пушки заводом «Большевик» был изготовлен в те чение 12-13 месяцев. Организация серийного производства затя</w:t>
      </w:r>
      <w:r w:rsidRPr="00C33834">
        <w:rPr>
          <w:rFonts w:ascii="Times New Roman" w:hAnsi="Times New Roman"/>
          <w:color w:val="000000" w:themeColor="text1"/>
          <w:sz w:val="16"/>
          <w:szCs w:val="16"/>
        </w:rPr>
        <w:softHyphen/>
        <w:t>нулась на 3 года.</w:t>
      </w:r>
    </w:p>
    <w:p w14:paraId="68CCDAC4" w14:textId="77777777" w:rsidR="00C76194" w:rsidRPr="00C33834" w:rsidRDefault="00C7619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Положение можно было бы исправить, разработав соответст</w:t>
      </w:r>
      <w:r w:rsidRPr="00C33834">
        <w:rPr>
          <w:rFonts w:ascii="Times New Roman" w:hAnsi="Times New Roman"/>
          <w:color w:val="000000" w:themeColor="text1"/>
          <w:sz w:val="16"/>
          <w:szCs w:val="16"/>
        </w:rPr>
        <w:softHyphen/>
        <w:t>вующие базы обмера наиболее ответственных деталей, а также систему допусков для лекального инструмента. Следует также наладить кооперацию с гражданскими металлообрабатывающими предприятиями, имеющими опыт массового производства техни</w:t>
      </w:r>
      <w:r w:rsidRPr="00C33834">
        <w:rPr>
          <w:rFonts w:ascii="Times New Roman" w:hAnsi="Times New Roman"/>
          <w:color w:val="000000" w:themeColor="text1"/>
          <w:sz w:val="16"/>
          <w:szCs w:val="16"/>
        </w:rPr>
        <w:softHyphen/>
        <w:t>чески сложной продукции» (РГАЭ ф. 7297, оп. 38, д. 170, л. 12) (1566,87).</w:t>
      </w:r>
    </w:p>
    <w:p w14:paraId="15F17D54" w14:textId="77777777" w:rsidR="00C76194" w:rsidRPr="00C33834" w:rsidRDefault="00C7619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07A0FF" w14:textId="77777777" w:rsidR="00290858" w:rsidRPr="00C33834" w:rsidRDefault="00290858" w:rsidP="00C33834">
      <w:pPr>
        <w:pStyle w:val="Default"/>
        <w:jc w:val="both"/>
        <w:rPr>
          <w:color w:val="0070C0"/>
          <w:sz w:val="16"/>
          <w:szCs w:val="16"/>
        </w:rPr>
      </w:pPr>
      <w:r w:rsidRPr="00C33834">
        <w:rPr>
          <w:color w:val="0070C0"/>
          <w:sz w:val="16"/>
          <w:szCs w:val="16"/>
        </w:rPr>
        <w:t>3 июня 1933 г. начальник ГВМУ И. П. Павлуновский в записке, адресованной Наркому тяжелой промышленности С. Орджоникидзе от, так объяснял причины срыва производственной программы по выпуску артиллерийских орудий:</w:t>
      </w:r>
    </w:p>
    <w:p w14:paraId="06B83B32" w14:textId="77777777" w:rsidR="00290858" w:rsidRPr="00C33834" w:rsidRDefault="00290858" w:rsidP="00C33834">
      <w:pPr>
        <w:pStyle w:val="Default"/>
        <w:jc w:val="both"/>
        <w:rPr>
          <w:color w:val="0070C0"/>
          <w:sz w:val="16"/>
          <w:szCs w:val="16"/>
        </w:rPr>
      </w:pPr>
      <w:r w:rsidRPr="00C33834">
        <w:rPr>
          <w:color w:val="0070C0"/>
          <w:sz w:val="16"/>
          <w:szCs w:val="16"/>
        </w:rPr>
        <w:t>«За последние годы проделана большая работа по техническому переоснащению орудийных заводов. … Основная проблема – отсутствие налаженного технологического процесса массового производства. Орудийные заводы и до настоящего времени производят свою продукцию в основном теми же методами, которыми орудия делались десятки лет назад. Слишком много усилий тратится на пригонки-притирки деталей. Операции эти, как правило, осуществляются без технических приспособлений, вручную, и требуют большого количества высококвалифицированных рабочих… Заводы сравнительно быстро справляются с изготовлением опытных образцов, которые, действительно, требуют много ручной работы, но как только дело доходит до массового производства, установленные сроки не выдерживаются…».</w:t>
      </w:r>
    </w:p>
    <w:p w14:paraId="64C397A6" w14:textId="77777777" w:rsidR="00290858" w:rsidRPr="00C33834" w:rsidRDefault="00290858" w:rsidP="00C33834">
      <w:pPr>
        <w:autoSpaceDE w:val="0"/>
        <w:autoSpaceDN w:val="0"/>
        <w:adjustRightInd w:val="0"/>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Такая оценка состояния военной промышленности ее руководством в целом характеризовала и состояние дел на оборонных предприятиях Ленинграда. При этом, конечно, с поправкой на специфику, возможности и усилия каждого конкретного завода (20074).</w:t>
      </w:r>
    </w:p>
    <w:p w14:paraId="3E9D94C5" w14:textId="77777777" w:rsidR="00290858" w:rsidRPr="00C33834" w:rsidRDefault="00290858" w:rsidP="00C33834">
      <w:pPr>
        <w:autoSpaceDE w:val="0"/>
        <w:autoSpaceDN w:val="0"/>
        <w:adjustRightInd w:val="0"/>
        <w:spacing w:after="0" w:line="240" w:lineRule="auto"/>
        <w:jc w:val="both"/>
        <w:rPr>
          <w:rFonts w:ascii="Times New Roman" w:hAnsi="Times New Roman"/>
          <w:color w:val="0070C0"/>
          <w:sz w:val="16"/>
          <w:szCs w:val="16"/>
        </w:rPr>
      </w:pPr>
    </w:p>
    <w:p w14:paraId="6C61B71C"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июня 1933 нач. ГВМУ И.П.Павлуновский писал Серго записку и причинах невыполнения артиллерийскими заводами производственной программы. Оборудование завезено по импорту и основная причина - отсутствие налаженного технологического процесса массового производства (1566,87).</w:t>
      </w:r>
    </w:p>
    <w:p w14:paraId="7BBAA4D4"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42525C5D" w14:textId="77777777" w:rsidR="00C7619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6CAE45A8" w14:textId="77777777" w:rsidR="00C76194" w:rsidRPr="00C33834" w:rsidRDefault="00C7619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4B3311E"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июня 1933 г. в Москве состоялась беседа между Крестинским и Дирксеном, в которой как бы была проведена инвентаризация всего комплекса советско-германских отношений. Дирксен как раз тогда вернулся в Москву после 10-дневной поездки в Берлин, где он виделся практически со всеми членами германского кабинета, включая самого Гитлера и президента Гинденбурга, и неоднократно совещался с Нойратом и Бломбергом. Согласно записи Крестинского, германский дипломат задал в лоб вопрос о том, «наступило ли у правящих кругов СССР отчуждение по отношению к Германии, изменил ли СССР коренным образом свою внешнюю политику, или же у нас наблюдается лишь выжидание, как пойдет дальнейшее внутреннее, и внешнее развитие Германии». В этой же связи Дирксен отметил, что «не меньше сомнений вызывает у германской стороны отношение нашего Реввоенсовета к той военной работе, которая германским рейхсвером велась до сих пор в СССР». Дирксен указал на то, что несмотря на прежнее дружелюбие Ворошилова и хороший прием Боккельберга, «решение о прекращении совместного производства военно-химических опытов &lt;...&gt; остается в силе. Мало того, сделан дальнейший шаг — прекращается танковая работа. Делается это без попытки объяснить немцам мотивы прекращения. Heвольно возникает вопрос, не оказывают ли французы давления на нас в смысле отказа немцам в той технической помощи, которую они от нас имели». Крестинский заявил, что Москва не хочет менять линию своей политики по отношению к Берлину, но она не может не считаться с поведением Германии по отношению к СССР, которая сначала пыталась принять активное участие в создании антисоветского блока, но из-за неудачи этой попытки вынуждена была сманеврировать, заявив о желании продолжать прежнюю политику, и даже сделать некоторые шаги в этом направлении. В данной связи правительство СССР «не может не относиться настороженно и выжидательно к зигзагам германской внешней политики». Сближение же с Францией, Польшей, другими государствами «не направлено против Германии, а имеет целью противодействие образованию антисоветского блока». Относительно прекращения военного сотрудничества Крестинский заявил: «Неосновательно предположение Дирксена о том, что наше военное ведомство свертывает совместную работу с рейхсвером под давлением франпра. Никаких разговоров об этом с франпра у нас не было. Но мы вынуждены считаться с тем, что о работе рейхсвера на территории СССР известно правительствам Антанты. Ведь и франпра открыто заявляло, что фон Папен, предлагая Франции союз против СССР, рассказал подробно о взаимоотношениях между рейхсвером и Красной Армией. При таких условиях, чтобы избежать обвинения нас в Женеве на конференции по разоружению в неискренности и в действиях, идущих вразрез с нашими предложениями (Имелись советские проект резолюции о всеобщем и полном разоружении, а также проект конвенции о частичном (пропорциональном) сокращении вооружений. Подробнее см.: Хайцман В. М. Указ, соч., с. 33), Реввоенсовет счел себя вынужденным пойти на прекращение совместной работы &lt;...&gt;. Это вынужденный, совершенно разумный шаг, ни в коем случае не продиктованный враждебностью к Германии» (АВП РФ, ф. 082, оп. 16, п. 71, д. 1, л. 228-233.) (11784).</w:t>
      </w:r>
    </w:p>
    <w:p w14:paraId="19704C1A"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04245332" w14:textId="77777777" w:rsidR="00F17F30" w:rsidRPr="00C33834" w:rsidRDefault="00F17F3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июня 1933 г. в Москве состоялась беседа между Крестинским и Дирксеном, в которой как бы была проведена инвентаризация всего комплекса советско-германских отношений. Дирксен как раз тогда вернулся в Москву после 10-дневной поездки в Берлин, где он виделся практически со всеми членами германского кабинета, включая самого Гитлера и президента Гинденбурга, и неоднократно совещался с Нойратом и Бломбергом. Согласно записи Крестинского, германский дипломат задал в лоб вопрос о том,</w:t>
      </w:r>
    </w:p>
    <w:p w14:paraId="00985F2A" w14:textId="77777777" w:rsidR="00F17F30" w:rsidRPr="00C33834" w:rsidRDefault="00F17F3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«наступило ли у правящих кругов СССР отчуждение по отношению к Германии, изменил ли СССР коренным образом свою внешнюю политику, или же у нас наблюдается лишь выжидание, как пойдет дальнейшее внутреннее, и внешнее развитие Германии».</w:t>
      </w:r>
    </w:p>
    <w:p w14:paraId="708771FF" w14:textId="77777777" w:rsidR="00F17F30" w:rsidRPr="00C33834" w:rsidRDefault="00F17F3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этой же связи Дирксен отметил, что</w:t>
      </w:r>
    </w:p>
    <w:p w14:paraId="172D3622" w14:textId="77777777" w:rsidR="00F17F30" w:rsidRPr="00C33834" w:rsidRDefault="00F17F3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меньше сомнений вызывает у германской стороны отношение нашего Реввоенсовета к той военной работе, которая германским рейхсвером велась до сих пор в СССР».</w:t>
      </w:r>
    </w:p>
    <w:p w14:paraId="3C8263FC" w14:textId="77777777" w:rsidR="00F17F30" w:rsidRPr="00C33834" w:rsidRDefault="00F17F3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Дирксен указал на то, что несмотря на прежнее дружелюбие Ворошилова и хороший прием Боккельберга,</w:t>
      </w:r>
    </w:p>
    <w:p w14:paraId="714285C6" w14:textId="77777777" w:rsidR="00F17F30" w:rsidRPr="00C33834" w:rsidRDefault="00F17F3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о прекращении совместного производства военно-химических опытов &lt;…&gt; остается в силе. Мало того, сделан дальнейший шаг — прекращается танковая работа. Делается это без попытки объяснить немцам мотивы прекращения. Heвольно возникает вопрос, не оказывают ли французы давления на нас в смысле отказа немцам в той технической помощи, которую они от нас имели».</w:t>
      </w:r>
    </w:p>
    <w:p w14:paraId="2012E4DC" w14:textId="77777777" w:rsidR="00F17F30" w:rsidRPr="00C33834" w:rsidRDefault="00F17F3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Крестинский заявил, что Москва не хочет менять линию своей политики по отношению к Берлину, но она не может не считаться с поведением Германии по отношению к СССР, которая сначала пыталась принять активное участие в создании антисоветского блока, но из-за неудачи этой попытки вынуждена была сманеврировать, заявив о желании продолжать прежнюю политику, и даже сделать некоторые шаги в этом направлении. В данной связи правительство СССР «не может не относиться настороженно и выжидательно к зигзагам германской внешней политики». Сближение же с Францией, Польшей, другими государствами «не направлено против Германии, а имеет целью противодействие образованию антисоветского блока».</w:t>
      </w:r>
    </w:p>
    <w:p w14:paraId="0FE27D01" w14:textId="77777777" w:rsidR="00F17F30" w:rsidRPr="00C33834" w:rsidRDefault="00F17F3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Относительно прекращения военного сотрудничества Крестинский заявил:</w:t>
      </w:r>
    </w:p>
    <w:p w14:paraId="7EE241DD" w14:textId="77777777" w:rsidR="00F17F30" w:rsidRPr="00C33834" w:rsidRDefault="00F17F3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«Неосновательно предположение Дирксена о том, что наше военное ведомство свертывает совместную работу с рейхсвером под давлением франпра</w:t>
      </w:r>
      <w:hyperlink r:id="rId196" w:anchor="n_459" w:history="1">
        <w:r w:rsidRPr="00C33834">
          <w:rPr>
            <w:rStyle w:val="a5"/>
            <w:rFonts w:ascii="Times New Roman" w:hAnsi="Times New Roman"/>
            <w:color w:val="000000" w:themeColor="text1"/>
            <w:sz w:val="16"/>
            <w:szCs w:val="16"/>
          </w:rPr>
          <w:t>[459]</w:t>
        </w:r>
      </w:hyperlink>
      <w:r w:rsidRPr="00C33834">
        <w:rPr>
          <w:rFonts w:ascii="Times New Roman" w:hAnsi="Times New Roman"/>
          <w:color w:val="000000" w:themeColor="text1"/>
          <w:sz w:val="16"/>
          <w:szCs w:val="16"/>
        </w:rPr>
        <w:t>. Никаких разговоров об этом с франпра у нас не было. Но мы вынуждены считаться с тем, что о работе рейхсвера на территории СССР известно правительствам Антанты. Ведь и франпра открыто заявляло, что фон Папен, предлагая Франции союз против СССР, рассказал подробно о взаимоотношениях между рейхсвером и Красной Армией. При таких условиях, чтобы избежать обвинения нас в Женеве на конференции по разоружению в неискренности и в действиях, идущих вразрез с нашими предложениями, Реввоенсовет счел себя вынужденным пойти на прекращение совместной работы &lt;…&gt;. Это вынужденный, совершенно разумный шаг, ни в коем случае не продиктованный враждебностью к Германии» (18265).</w:t>
      </w:r>
    </w:p>
    <w:p w14:paraId="4905A575" w14:textId="77777777" w:rsidR="00F17F30" w:rsidRPr="00C33834" w:rsidRDefault="00F17F30" w:rsidP="00C33834">
      <w:pPr>
        <w:spacing w:after="0" w:line="240" w:lineRule="auto"/>
        <w:jc w:val="both"/>
        <w:rPr>
          <w:rFonts w:ascii="Times New Roman" w:hAnsi="Times New Roman"/>
          <w:color w:val="000000" w:themeColor="text1"/>
          <w:sz w:val="16"/>
          <w:szCs w:val="16"/>
        </w:rPr>
      </w:pPr>
    </w:p>
    <w:p w14:paraId="78A9622D" w14:textId="77777777" w:rsidR="00C7619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15284F09" w14:textId="77777777" w:rsidR="00C76194" w:rsidRPr="00C33834" w:rsidRDefault="00C7619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66CDB52"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июня 1933 Джеймс Маттерн на самолете Локхид "Вега" "Century of Progress" стартовал из Нью-Йорка. Однако, его возвращение домой состоялось намного позднее. 7-го июня, преодолев большую часть территории СССР, Маттерн вылетел из Хабаровска в направлении Берингова пролива. Практически на самом краю необъятной русской территории, в районе поселка Анадырь, он был вынужден совершить посадку по причине неустойчивой работы двигателя. Приземление оказалось неудачным^ самолета были сломаны стойки шасси. Девять суток пилот бедствовал, питаясь шоколадом из бортового пайка. Затем он перебрался на берег реки Анадырь, где на 12-е сутки после исчезновения его обнаружили местные жители. О нахождении Маттерна сообщили властям, которые приняли решение доставить его домой на советском самолете. Дело считалось срочным, ибо американская пресса уже предполагала, что беднягу Маттерна съели местные туземцы.</w:t>
      </w:r>
    </w:p>
    <w:p w14:paraId="5926A477"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Вывезти неудачливого американца поручили Сигизмунду Леваневскому, который незадолго до описываемых событий перегнал на Дальний Восток из Севастополя летающую лодку Дорнье "Валь" СССР-Н8.</w:t>
      </w:r>
    </w:p>
    <w:p w14:paraId="3A80549A"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кратчайшие сроки экипаж Леваневского сменил на Дорнье "Валь" изношенные двигатели и в начале августа вылетел из Хабаровска. В тяжелых метеоусловиях экипаж совершил перелет по маршруту: Хабаровск - Николаевск - Охотск - бухта Нагаево - Янек - Пен- жинская губа - Марково - Анадырь. Захватив Маттерна и оборудование его машины, Леваневский 20 июля прибыл в Ном на Аляске. Возвращаясь назад, СССР-Н8 прошел вдоль северного побережья Чукотки и выполнил ряд ледовых разведок для судов Колымской экспедиции 1933 года. На заключительном этапе мар шрут пролегал вверх по Лене, затем по Ангаре в Иркутск, куда экипаж Н8 прибыл 24 сентября, пролетев свыше 37000 км. Таким образом, за весь летне-осенний вояж Леваневский преодолел расстояние, равнозначное по протяженности экваториальному перелету вокруг земного шара (11941).</w:t>
      </w:r>
    </w:p>
    <w:p w14:paraId="683A7CF2"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26D84A6C" w14:textId="77777777" w:rsidR="00C7619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2ABEA66" w14:textId="77777777" w:rsidR="00C76194" w:rsidRPr="00C33834" w:rsidRDefault="00C7619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84C2ABD"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июня 1933 года был подписан Протокол макетной комиссии по самолету ТШ-3</w:t>
      </w:r>
    </w:p>
    <w:p w14:paraId="0D106CC7"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осмотра макета самолета, рассмотрения технических требований к нему и данных эскизного проекта, представленных ЦКБ завода N 39 комиссия пришла к нижеследующим решениям:</w:t>
      </w:r>
    </w:p>
    <w:p w14:paraId="4A29D925"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 боевой и аэродинамической схеме самолета:</w:t>
      </w:r>
    </w:p>
    <w:p w14:paraId="427C4BE4"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Мнение членов комиссии в отношении оценки схемы самолета разошлось. В итоге прений и заслушивания объяснений и обоснований выбора схемы сделанных С.В.И. и Кочергиным было выдвинуто два варианта решения:</w:t>
      </w:r>
    </w:p>
    <w:p w14:paraId="35782F70"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Предъявленный макет самолета с точки зрения обзора как для летчика так и для наблюдателя с одной стороны, ухудшенной маневренности, благодаря монопланной с размахом 18 м конструкции и ухудшенной проходимости при подходе к цели с другой стороны, признать неудовлетворительным. Предложить ЦКБ предъявить другой макет, представив предварительно на утверждение несколько вариантов боевых схем.</w:t>
      </w:r>
    </w:p>
    <w:p w14:paraId="5EC0ABB6"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Предъявленный макет с внесенными, указанными ниже изменениями для улучшения обзора утвердить и принять к постройке.</w:t>
      </w:r>
    </w:p>
    <w:p w14:paraId="20883EA9"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Особое мнение ЦКБ - ЦКБ считает, что для выполнения задач возлагаемых на штурмовой самолет в предъявленном проекте самолета ТШ-3 обзор вперед - вниз является достаточным.</w:t>
      </w:r>
    </w:p>
    <w:p w14:paraId="25D88F32"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Постановили:</w:t>
      </w:r>
    </w:p>
    <w:p w14:paraId="7FFA34AC"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Расхождение в мнениях членов комиссии по схеме самолета представить на разрешение начальнику ВВС.</w:t>
      </w:r>
    </w:p>
    <w:p w14:paraId="3CC39D93"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 расхождениям в требованиях</w:t>
      </w:r>
    </w:p>
    <w:p w14:paraId="3780EA3E"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 радиусе действия</w:t>
      </w:r>
    </w:p>
    <w:p w14:paraId="67A71E31"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тех. требованиям - тех. дальность - 385 км</w:t>
      </w:r>
    </w:p>
    <w:p w14:paraId="113E3D8F"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проекту - 470 км</w:t>
      </w:r>
    </w:p>
    <w:p w14:paraId="1BCC3ED0"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Комиссия считает, что в связи с развитием задач поставленных перед штурмовой авиацией радиус действия указанный в тех. требованиях является явно неудовлетворительным.</w:t>
      </w:r>
    </w:p>
    <w:p w14:paraId="05927D52"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Постановили:</w:t>
      </w:r>
    </w:p>
    <w:p w14:paraId="5FDE5867"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Просить начальника ВВС изменить тех. требования в сторону увеличения технической дальности самолета до 1000 км при полете на крейсерской скорости (при полной емкости баков - количество горючего должно быть не менее 400 кг). Разницу в весе горючего и дополнительных баков, каковые можно поместить и вне брони, отнести в счет перегрузки.</w:t>
      </w:r>
    </w:p>
    <w:p w14:paraId="6FF2484C"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 стрелковом вооружении.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F26F01" w:rsidRPr="00C33834" w14:paraId="604F84F3" w14:textId="77777777">
        <w:tc>
          <w:tcPr>
            <w:tcW w:w="3757" w:type="dxa"/>
          </w:tcPr>
          <w:p w14:paraId="3CCC867E"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тех. Требованиям</w:t>
            </w:r>
          </w:p>
        </w:tc>
        <w:tc>
          <w:tcPr>
            <w:tcW w:w="3757" w:type="dxa"/>
          </w:tcPr>
          <w:p w14:paraId="0D50656B"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пул. Шкасс вперед</w:t>
            </w:r>
          </w:p>
        </w:tc>
      </w:tr>
      <w:tr w:rsidR="00F26F01" w:rsidRPr="00C33834" w14:paraId="20699636" w14:textId="77777777">
        <w:tc>
          <w:tcPr>
            <w:tcW w:w="3757" w:type="dxa"/>
          </w:tcPr>
          <w:p w14:paraId="65AC3844"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1AF76850"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пул. Шкасс назад</w:t>
            </w:r>
          </w:p>
        </w:tc>
      </w:tr>
    </w:tbl>
    <w:p w14:paraId="0DB46498"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Туржанский настаивает на необходимости сократить число пулеметов вперед до 6, считая плотность огня при этом вполне достаточной.</w:t>
      </w:r>
    </w:p>
    <w:p w14:paraId="5C83DFED"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Постановили:</w:t>
      </w:r>
    </w:p>
    <w:p w14:paraId="4A327697"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опытном образце оставить все 10 пулеметов вперед с тем, чтобы испытать плотность огня и путем практического испытания определить действительно необходимое количество пулеметов.</w:t>
      </w:r>
    </w:p>
    <w:p w14:paraId="0CFC637D"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варианте нагрузки из кассетниц с ручными гранатами.</w:t>
      </w:r>
    </w:p>
    <w:p w14:paraId="498163B6"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отсутствия действующих образцов конструкции просить начальника ВВС снять этот пункт техтребований.</w:t>
      </w:r>
    </w:p>
    <w:p w14:paraId="03DB2AE4"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бронировании кассетниц с осколочными бомбами.</w:t>
      </w:r>
    </w:p>
    <w:p w14:paraId="0A092447"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виду малой эффективности даваемой броней в смысле безопасности просить начальника ВВС этот пункт снять.</w:t>
      </w:r>
    </w:p>
    <w:p w14:paraId="1BC17B28"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 автоматических предкрылках.</w:t>
      </w:r>
    </w:p>
    <w:p w14:paraId="689E6C52"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Мотивировку отказа ЦКБ от установки предкрылков не принять. Допустить опытный самолет к выпуску без предкрылков. Обязать ЦКБ предкрылки установить на дублере.</w:t>
      </w:r>
    </w:p>
    <w:p w14:paraId="20AE67DF"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 автоматической перезарядке пулеметов.</w:t>
      </w:r>
    </w:p>
    <w:p w14:paraId="5DD3A6EF"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Согласиться с установкой только механической перезарядки.</w:t>
      </w:r>
    </w:p>
    <w:p w14:paraId="1BB7FF42"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перископическом прицеле.</w:t>
      </w:r>
    </w:p>
    <w:p w14:paraId="7CC8580C"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отсутствия перископического прицела в программе ВОМТа в 1933 году поставить вопрос через начальника ВВС о необходимости включения этого прицела в программу и обеспечения им штурмовой авиации.</w:t>
      </w:r>
    </w:p>
    <w:p w14:paraId="2CE6B2BB"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 размещению оборудования.</w:t>
      </w:r>
    </w:p>
    <w:p w14:paraId="296378D7"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Перечисленные ниже размещения макета должны быть введены в случае принятия начальником ВВС решения о допущении сам. ТШ3 предъявленной ЦКБ схемы для постройки (3899,300-304).</w:t>
      </w:r>
    </w:p>
    <w:p w14:paraId="681F9FD4"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20436C0C"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июня 1933 года был подписан Протокол макетной комиссии по самолету И-15.</w:t>
      </w:r>
    </w:p>
    <w:p w14:paraId="5594CEA4"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Протокол макетной комиссии по самолету И-15 от 4 июня 1933 года.</w:t>
      </w:r>
    </w:p>
    <w:p w14:paraId="48C851F4"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осмотру макета и рассмотрению техтребований и данных эскизного проекта комиссия пришла к следующему:</w:t>
      </w:r>
    </w:p>
    <w:p w14:paraId="47FCD874"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ожидаемым основным летным данным:</w:t>
      </w:r>
    </w:p>
    <w:p w14:paraId="4A08B9AD"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 как самолет проектируется под мотор Райт-Циклон, а техтребования даны были под мотор М-38 несмотря на то, что в отношении скорости требования не выполнены, считать, что самолет поставленным ему требованиям удовлетворяет.</w:t>
      </w:r>
    </w:p>
    <w:p w14:paraId="4BC7EC07"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О величине пробега:</w:t>
      </w:r>
    </w:p>
    <w:p w14:paraId="4FB69BA3"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Считать, что пробег 80 м должен происходить при наличии тормозов.</w:t>
      </w:r>
    </w:p>
    <w:p w14:paraId="2B7DA6EA"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входе в штопор:</w:t>
      </w:r>
    </w:p>
    <w:p w14:paraId="0E792BAA"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 как самолет о общей схеме и расположению рулей дает некоторую уверенность, что в смысле штопора И-15 будет лучше И-5 просить начальника ВВС отменить в отношении И-15 требование относительно абсолютного не ввода машины в штопор.</w:t>
      </w:r>
    </w:p>
    <w:p w14:paraId="598CC544"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Открывающуюся стойку сделать на опытной машине как страховочный вариант для исследований.</w:t>
      </w:r>
    </w:p>
    <w:p w14:paraId="08789780"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1558BC28"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0836F5EB"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учетом внесенных изменений в расположение оборудования предъявленный макет утверждается (3899,305-306).</w:t>
      </w:r>
    </w:p>
    <w:p w14:paraId="3F84F25E"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6A52CA40"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июня 1933 г. на заседании макетной комиссии предлагалось строить первый опытный экземпляр И-15 с надвигающимся до середины кабины козырьком пилота, второй опытный - с полностью закрытым фонарем (как в эскизном проекте И-14а). Первый опытный ЦКБ-3 действительно попытались сделать с надвигающимся козырьком, однако в действии новшество показалось ненадежным и от него отказались. Впоследствии, ни надвигающихся козырьков, ни закрытого фонаря на И-15 не встречалось (6593).</w:t>
      </w:r>
    </w:p>
    <w:p w14:paraId="0525EBBF"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1AD1A07B"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июня 1933 г. на заседании макетной комиссии предлагалось строить первый опытный экземпляр ЦКБ-3 с надвигающимся до середины кабины козырьком пилота, второй опытный - с полностью закрытым фонарем (как в эскизном проекте И-14а). Первый опытный ЦКБ-3 действительно попытались сделать с надвигающимся козырьком, однако в действии новшество показалось ненадежным и от него отказались. Впоследствии, ни надвигающихся козырьков, ни закрытого фонаря на И-15 не встречалось (12014).</w:t>
      </w:r>
    </w:p>
    <w:p w14:paraId="77065AF5"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49DC65C2"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июня 1933 г. на заседании макетной комиссии предлагалось строить первый опытный образец истребителя с надвигающимся до середины кабины козырьком пилота, а второй - с полностью закрытым фонарём (как в эскизном проекте И-14а). На первом экземпляре ЦКБ-3 действительно Изготовление первого ЦКБ-3 завершили к осени. Рулёжки, первые подлёты и, естественно, доделки начались в октябре. Облётывал машину В.П. Чкалов. В ноябре выпал снег, поэтому колёса заменили на лыжи от истребителя И-2. Произошло это 18 ноября, а спустя пять дней случилась первая неприятность (12261).</w:t>
      </w:r>
    </w:p>
    <w:p w14:paraId="2738ADF4" w14:textId="77777777" w:rsidR="0058354C" w:rsidRPr="00C33834" w:rsidRDefault="0058354C" w:rsidP="00C33834">
      <w:pPr>
        <w:spacing w:after="0" w:line="240" w:lineRule="auto"/>
        <w:jc w:val="both"/>
        <w:rPr>
          <w:rFonts w:ascii="Times New Roman" w:hAnsi="Times New Roman"/>
          <w:color w:val="000000" w:themeColor="text1"/>
          <w:sz w:val="16"/>
          <w:szCs w:val="16"/>
        </w:rPr>
      </w:pPr>
    </w:p>
    <w:p w14:paraId="44762163"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июня 1933 года Базилевич писал № 815/ко начальнику Резинового объединения Биткеру и начальнику Спецотдела НИИРП Экгауту</w:t>
      </w:r>
    </w:p>
    <w:p w14:paraId="02EBB234"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Харьковский автозавод постановлением КО от 4 июля 1932 года возложено срочное задание по изготовлению опытного образца самолета спецназначения.</w:t>
      </w:r>
    </w:p>
    <w:p w14:paraId="27202333"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Сейчас работы с самолетом задерживаются из-за неготовности колес-дутиков, изготовляемых заводом «Каучук».</w:t>
      </w:r>
    </w:p>
    <w:p w14:paraId="16F318C0"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указанию Молотова прошу принять меры к ускорению выпуска заводом «Каучук» потребных колес-дутиков (3530,130).</w:t>
      </w:r>
    </w:p>
    <w:p w14:paraId="0709313B" w14:textId="77777777" w:rsidR="00C76194" w:rsidRPr="00C33834" w:rsidRDefault="00C76194" w:rsidP="00C33834">
      <w:pPr>
        <w:autoSpaceDE w:val="0"/>
        <w:autoSpaceDN w:val="0"/>
        <w:adjustRightInd w:val="0"/>
        <w:spacing w:after="0" w:line="240" w:lineRule="auto"/>
        <w:jc w:val="both"/>
        <w:rPr>
          <w:rFonts w:ascii="Times New Roman" w:hAnsi="Times New Roman"/>
          <w:color w:val="000000" w:themeColor="text1"/>
          <w:sz w:val="16"/>
          <w:szCs w:val="16"/>
        </w:rPr>
      </w:pPr>
    </w:p>
    <w:p w14:paraId="06B24FBF"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1AA056B"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29E81BB"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июня 1933 вышло постановление СТО N 39/сс/о "О порядке утверждения титульных списков и планов ввода в эксплуатацию оборонного строительства" (2282).</w:t>
      </w:r>
    </w:p>
    <w:p w14:paraId="45E3D50D" w14:textId="77777777" w:rsidR="00AE51CE" w:rsidRPr="00C33834" w:rsidRDefault="00AE51C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 ПОСТАНОВЛЯЕТ:</w:t>
      </w:r>
    </w:p>
    <w:p w14:paraId="50712B50" w14:textId="77777777" w:rsidR="00AE51CE" w:rsidRPr="00C33834" w:rsidRDefault="00AE51C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Обязать Наркоматы представлять на утверждение СТО годовые и квартальные титульные списки и планы ввода в эксплоатацию об"ектов оборонного строительства.</w:t>
      </w:r>
    </w:p>
    <w:p w14:paraId="209782DE" w14:textId="77777777" w:rsidR="00AE51CE" w:rsidRPr="00C33834" w:rsidRDefault="00AE51C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Предложить Наркоматам копии титульных списков и планов ввода в эксплоатацию представлять одновременно в Госплан Союза на заключение последнего.</w:t>
      </w:r>
    </w:p>
    <w:p w14:paraId="6F843A37" w14:textId="77777777" w:rsidR="00AE51CE" w:rsidRPr="00C33834" w:rsidRDefault="00AE51C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Установить, что оборонные титульные списки и планы ввода в эксплоатацию представляется не позднее, чем в те же сроки, в которые-представляются общие титульные, списки и планы ввода в эксплоатацию по народному хозяйству.</w:t>
      </w:r>
    </w:p>
    <w:p w14:paraId="3EBA3954" w14:textId="77777777" w:rsidR="00AE51CE" w:rsidRPr="00C33834" w:rsidRDefault="00AE51C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Предложить нарксматам немедленно представить на утверндение СТО титульные списки и планы ввода в эксплоатацию на П-й кв.</w:t>
      </w:r>
    </w:p>
    <w:p w14:paraId="09363458" w14:textId="77777777" w:rsidR="00AE51CE" w:rsidRPr="00C33834" w:rsidRDefault="00AE51C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Обязать НКТяжпром в 5-ти дневный срок представить на утверждение в СТО план ввода в эксплоатацию объектов военной и авиационной промышленности на 1933 г. (2228).</w:t>
      </w:r>
    </w:p>
    <w:p w14:paraId="7F82CBDD"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57D3CA74" w14:textId="77777777" w:rsidR="00550226"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730AB701" w14:textId="77777777" w:rsidR="00550226" w:rsidRPr="00C33834" w:rsidRDefault="0055022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D1B8CA8" w14:textId="77777777" w:rsidR="00550226" w:rsidRPr="00C33834" w:rsidRDefault="00550226" w:rsidP="00C33834">
      <w:pPr>
        <w:pStyle w:val="rtejustify"/>
        <w:spacing w:before="0" w:after="0"/>
        <w:rPr>
          <w:color w:val="000000" w:themeColor="text1"/>
          <w:sz w:val="16"/>
          <w:szCs w:val="16"/>
        </w:rPr>
      </w:pPr>
      <w:r w:rsidRPr="00C33834">
        <w:rPr>
          <w:rStyle w:val="af0"/>
          <w:bCs/>
          <w:i w:val="0"/>
          <w:color w:val="000000" w:themeColor="text1"/>
          <w:sz w:val="16"/>
          <w:szCs w:val="16"/>
        </w:rPr>
        <w:t>4 июня</w:t>
      </w:r>
      <w:r w:rsidRPr="00C33834">
        <w:rPr>
          <w:color w:val="000000" w:themeColor="text1"/>
          <w:sz w:val="16"/>
          <w:szCs w:val="16"/>
        </w:rPr>
        <w:t xml:space="preserve"> 1933. Постановление СТО СССР № 40сс/о «О строительстве военно-морских баз в Мурманске». (ГА РФ. Ф. Р</w:t>
      </w:r>
      <w:r w:rsidRPr="00C33834">
        <w:rPr>
          <w:color w:val="000000" w:themeColor="text1"/>
          <w:sz w:val="16"/>
          <w:szCs w:val="16"/>
        </w:rPr>
        <w:noBreakHyphen/>
        <w:t>8418. Оп. 28. Д. 1. Л. 177</w:t>
      </w:r>
      <w:r w:rsidRPr="00C33834">
        <w:rPr>
          <w:color w:val="000000" w:themeColor="text1"/>
          <w:sz w:val="16"/>
          <w:szCs w:val="16"/>
        </w:rPr>
        <w:noBreakHyphen/>
        <w:t>178 об.) (15460).</w:t>
      </w:r>
    </w:p>
    <w:p w14:paraId="24F00D6E" w14:textId="77777777" w:rsidR="00550226" w:rsidRPr="00C33834" w:rsidRDefault="00550226" w:rsidP="00C33834">
      <w:pPr>
        <w:pStyle w:val="rtejustify"/>
        <w:spacing w:before="0" w:after="0"/>
        <w:rPr>
          <w:color w:val="000000" w:themeColor="text1"/>
          <w:sz w:val="16"/>
          <w:szCs w:val="16"/>
        </w:rPr>
      </w:pPr>
    </w:p>
    <w:p w14:paraId="28400D4E" w14:textId="77777777" w:rsidR="0044195E" w:rsidRPr="00C33834" w:rsidRDefault="0044195E"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3C4B22BB" w14:textId="77777777" w:rsidR="0044195E" w:rsidRPr="00C33834" w:rsidRDefault="0044195E" w:rsidP="00C33834">
      <w:pPr>
        <w:autoSpaceDE w:val="0"/>
        <w:autoSpaceDN w:val="0"/>
        <w:adjustRightInd w:val="0"/>
        <w:spacing w:after="0" w:line="240" w:lineRule="auto"/>
        <w:jc w:val="both"/>
        <w:rPr>
          <w:rFonts w:ascii="Times New Roman" w:hAnsi="Times New Roman"/>
          <w:color w:val="000000" w:themeColor="text1"/>
          <w:sz w:val="16"/>
          <w:szCs w:val="16"/>
        </w:rPr>
      </w:pPr>
    </w:p>
    <w:p w14:paraId="29803F05" w14:textId="77777777" w:rsidR="0044195E" w:rsidRPr="00C33834" w:rsidRDefault="0044195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июня - Газета "Вечерняя Москва" сообщала: "Единственное предприятие в СССР, производящее зонтики, находится в Москве, о - артель "Промзонт", входящая в систему секопромсовета. Вот уже два года, как артель наладила производство ЗОНТИКОВ, и выпускает их не только на внутренний рынок, но и для экспорта" (18722).</w:t>
      </w:r>
    </w:p>
    <w:p w14:paraId="37FE698D" w14:textId="77777777" w:rsidR="0044195E" w:rsidRPr="00C33834" w:rsidRDefault="0044195E" w:rsidP="00C33834">
      <w:pPr>
        <w:spacing w:after="0" w:line="240" w:lineRule="auto"/>
        <w:jc w:val="both"/>
        <w:rPr>
          <w:rFonts w:ascii="Times New Roman" w:hAnsi="Times New Roman"/>
          <w:color w:val="000000" w:themeColor="text1"/>
          <w:sz w:val="16"/>
          <w:szCs w:val="16"/>
        </w:rPr>
      </w:pPr>
    </w:p>
    <w:p w14:paraId="36240BAF"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1FE0FAAA"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4FD072E"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 июня 1933 в Париже прошел Европейский антифашистский конгресс (3186).</w:t>
      </w:r>
    </w:p>
    <w:p w14:paraId="4A0924C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5BD41764"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2924D43"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1AAFFCB"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июня 1933 года состоялось Совещание у начальника штаба ВВС Хрипина по вопросу рассмотрения боевой схемы самолета ТШ3-М34 от</w:t>
      </w:r>
    </w:p>
    <w:p w14:paraId="482403B6"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рассмотрения боевой схемы самолета и анализа летно-тактических данных самолета постановлено:</w:t>
      </w:r>
    </w:p>
    <w:p w14:paraId="28AF256D"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Предъявленную боевую схему самолета (моноплан-низкоплан), как наиболее обеспечивающую основное требование к штурмовику -скорость и дающего достаточный обзор для стрельбы и бомбометания утвердить, обязав завод N 39 ввести в самолет все изменения, указанные в протоколе макетной комиссии от 4 июня 1933 года.</w:t>
      </w:r>
    </w:p>
    <w:p w14:paraId="623B84F0"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изменение технических требований к самолету подтвердить полученную в эскизном проекте самолета техническую дальность его полета с нормальной нагрузкой 470 км/час вместо 375 по техническим требованиям.</w:t>
      </w:r>
    </w:p>
    <w:p w14:paraId="2067C9D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Считать необходимым увеличить емкость баков самолета до величины обеспечивающей ему тактическую дальность в 800 км, допустив размещение баков на 330 км вне брони.</w:t>
      </w:r>
    </w:p>
    <w:p w14:paraId="48B666F0"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опытном самолете считать уменьшение числа пулеметов нерациональным.</w:t>
      </w:r>
    </w:p>
    <w:p w14:paraId="1897E360"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 об установке на крыльях самолета автоматических предкрылков решить после представления заводом N 39 подсчетов на сколько кг увеличит вес конструкции самолета введение автоматических предкрылков (3899,298-299).</w:t>
      </w:r>
    </w:p>
    <w:p w14:paraId="15FA99B8"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67903E33" w14:textId="77777777" w:rsidR="00290858" w:rsidRPr="00C33834" w:rsidRDefault="00290858" w:rsidP="00C33834">
      <w:pPr>
        <w:shd w:val="clear" w:color="auto" w:fill="FFFFFF"/>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июня 1933 прошло совещание у начальника штаба ВВС Хрипина по вопросу рассмотре</w:t>
      </w:r>
      <w:r w:rsidRPr="00C33834">
        <w:rPr>
          <w:rFonts w:ascii="Times New Roman" w:hAnsi="Times New Roman"/>
          <w:color w:val="0070C0"/>
          <w:sz w:val="16"/>
          <w:szCs w:val="16"/>
        </w:rPr>
        <w:softHyphen/>
        <w:t>ния боевой схемы самолета ТШ-3 М-34.</w:t>
      </w:r>
    </w:p>
    <w:p w14:paraId="23AF0771" w14:textId="77777777" w:rsidR="00290858" w:rsidRPr="00C33834" w:rsidRDefault="0029085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Утвердили схему моноплана, уже представленную в полноразмерном маке</w:t>
      </w:r>
      <w:r w:rsidRPr="00C33834">
        <w:rPr>
          <w:rFonts w:ascii="Times New Roman" w:hAnsi="Times New Roman"/>
          <w:color w:val="0070C0"/>
          <w:sz w:val="16"/>
          <w:szCs w:val="16"/>
        </w:rPr>
        <w:softHyphen/>
        <w:t>те и проектных документах. Особые разногласия между конструкторами и представителями ВВС вызывал обзор для летчика и стрелка. По этой причине со стороны ЦКБ было высказано, что для выполнения задач, возлагаемых на штурмовой самолет в предъявленном проекте ТШ-3 об</w:t>
      </w:r>
      <w:r w:rsidRPr="00C33834">
        <w:rPr>
          <w:rFonts w:ascii="Times New Roman" w:hAnsi="Times New Roman"/>
          <w:color w:val="0070C0"/>
          <w:sz w:val="16"/>
          <w:szCs w:val="16"/>
        </w:rPr>
        <w:softHyphen/>
        <w:t>зор вперед-вниз является достаточным.</w:t>
      </w:r>
    </w:p>
    <w:p w14:paraId="0CBD3685" w14:textId="77777777" w:rsidR="00290858" w:rsidRPr="00C33834" w:rsidRDefault="0029085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 обсуждении макета присутствовал Борис Туржанский, который настаивал на необходимости сократить число пуле</w:t>
      </w:r>
      <w:r w:rsidRPr="00C33834">
        <w:rPr>
          <w:rFonts w:ascii="Times New Roman" w:hAnsi="Times New Roman"/>
          <w:color w:val="0070C0"/>
          <w:sz w:val="16"/>
          <w:szCs w:val="16"/>
        </w:rPr>
        <w:softHyphen/>
        <w:t>метов вперед до 6, считая плотность огня при этом вполне достаточной. Тем не менее, было решено на опытном образ</w:t>
      </w:r>
      <w:r w:rsidRPr="00C33834">
        <w:rPr>
          <w:rFonts w:ascii="Times New Roman" w:hAnsi="Times New Roman"/>
          <w:color w:val="0070C0"/>
          <w:sz w:val="16"/>
          <w:szCs w:val="16"/>
        </w:rPr>
        <w:softHyphen/>
        <w:t>це оставить все 10 пулеметов с тем, чтобы испытать плот</w:t>
      </w:r>
      <w:r w:rsidRPr="00C33834">
        <w:rPr>
          <w:rFonts w:ascii="Times New Roman" w:hAnsi="Times New Roman"/>
          <w:color w:val="0070C0"/>
          <w:sz w:val="16"/>
          <w:szCs w:val="16"/>
        </w:rPr>
        <w:softHyphen/>
        <w:t>ность огня и путем практического испытания определить действительно необходимое количество пулеметов.</w:t>
      </w:r>
    </w:p>
    <w:p w14:paraId="51E15632" w14:textId="77777777" w:rsidR="00290858" w:rsidRPr="00C33834" w:rsidRDefault="0029085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Конструкция ТШ-3 определялась как смешанная. Носо</w:t>
      </w:r>
      <w:r w:rsidRPr="00C33834">
        <w:rPr>
          <w:rFonts w:ascii="Times New Roman" w:hAnsi="Times New Roman"/>
          <w:color w:val="0070C0"/>
          <w:sz w:val="16"/>
          <w:szCs w:val="16"/>
        </w:rPr>
        <w:softHyphen/>
        <w:t>вая часть фюзеляжа в виде бронекоробки, собранной на болтах из плоских кусков гомогенной брони толщиной 5</w:t>
      </w:r>
      <w:r w:rsidRPr="00C33834">
        <w:rPr>
          <w:rFonts w:ascii="Times New Roman" w:hAnsi="Times New Roman"/>
          <w:color w:val="0070C0"/>
          <w:sz w:val="16"/>
          <w:szCs w:val="16"/>
        </w:rPr>
        <w:softHyphen/>
        <w:t>8 мм (поначалу по проекту 4-5 мм). Бронекоробка являлась конструктивным элементом самолета. Хвостовая часть фюзеляжа ферменная, с полотняной обшивкой. Крыло и оперение дюралевое с полотняной обшивкой. Шасси не- убирающееся, с резиновой пластинчатой амортизацией, колеса 900x200 мм в обтекателях (20362).</w:t>
      </w:r>
    </w:p>
    <w:p w14:paraId="4CB499C0" w14:textId="77777777" w:rsidR="00290858" w:rsidRPr="00C33834" w:rsidRDefault="00290858" w:rsidP="00C33834">
      <w:pPr>
        <w:spacing w:after="0" w:line="240" w:lineRule="auto"/>
        <w:jc w:val="both"/>
        <w:rPr>
          <w:rFonts w:ascii="Times New Roman" w:hAnsi="Times New Roman"/>
          <w:color w:val="0070C0"/>
          <w:sz w:val="16"/>
          <w:szCs w:val="16"/>
        </w:rPr>
      </w:pPr>
    </w:p>
    <w:p w14:paraId="49E7D207"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июня 1933 Нач. самолетного сектора НТОС ГУАП Машкевич писал в НИИ ВВС РККА нач. 7 сектора Горощенко письмо N 275/316с на письмо N 2/0646с от 22 мая 1933 о том, что на К-7 колеса размером 2000х450 фирмы Пальмер будут использованы только на заводских испытаниях с неполной нагрузкой. Для полетных испытаний К-7 будет снабжена специальными колесами дутиками... НИИ ВВС отмечал, что колеса показали недоброкачественность резины на ТБ-3</w:t>
      </w:r>
    </w:p>
    <w:p w14:paraId="5D713A7F"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Ваше отношение от 22 мая 1933 за № 2/0646с по вопросу непригодности для полетных испытаний самолета К-7 колес размером 2000 х 450 сообщаем, что этих колесах с-т К-7 будет производить только заводские испытания с неполной нагрузкой.</w:t>
      </w:r>
    </w:p>
    <w:p w14:paraId="5BDDFFD0"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Для полных испытаний с-та К-7, согласно проекта ГК т. Калинина, с-т будет снабжен специальными колесами “дутиками”. Для отливки этой резины завод “Проводник” снабжен уже готовой формой, вопрос идет сейчас о сроке изготовления заводом самой резины и ее испытании.</w:t>
      </w:r>
    </w:p>
    <w:p w14:paraId="6EABBB0E"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Что же касается второго вопроса затронутого Вами о колесах 1600 х 360, то таковые, согласно распоряжения Нач. ГУАП т. Баранова, выключены из стандартов и не будут производиться в 1933 г. (2306).</w:t>
      </w:r>
    </w:p>
    <w:p w14:paraId="4D3408E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6045CF98"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5-го июня 1933 года «Савойю» № 10526 передали в Главное Управление северного морского пути (ГУСМП) и включили в Северо-восточную летную группу. Кроме нее в группу во</w:t>
      </w:r>
      <w:r w:rsidRPr="00C33834">
        <w:rPr>
          <w:rFonts w:ascii="Times New Roman" w:hAnsi="Times New Roman"/>
          <w:color w:val="000000" w:themeColor="text1"/>
          <w:sz w:val="16"/>
          <w:szCs w:val="16"/>
        </w:rPr>
        <w:softHyphen/>
        <w:t>шли самолеты Дорнье «Валь» СССР-Н8, ЮГ-1 СССР-Н4 и два У-2 СССР-Н14 и СССР-Н15. За</w:t>
      </w:r>
      <w:r w:rsidRPr="00C33834">
        <w:rPr>
          <w:rFonts w:ascii="Times New Roman" w:hAnsi="Times New Roman"/>
          <w:color w:val="000000" w:themeColor="text1"/>
          <w:sz w:val="16"/>
          <w:szCs w:val="16"/>
        </w:rPr>
        <w:softHyphen/>
        <w:t>дачами группы были поставлены: ледовая разведка для зимующих судов Колымской иорской экспедиции 1932 г., оказание помо</w:t>
      </w:r>
      <w:r w:rsidRPr="00C33834">
        <w:rPr>
          <w:rFonts w:ascii="Times New Roman" w:hAnsi="Times New Roman"/>
          <w:color w:val="000000" w:themeColor="text1"/>
          <w:sz w:val="16"/>
          <w:szCs w:val="16"/>
        </w:rPr>
        <w:softHyphen/>
        <w:t>ги и вывод дрейфующего во льдах парохода «Урицкий», установление связи с советской юлонией на о. Врангеля, глубокая ледовая разведка к северо-западу от Берингова про</w:t>
      </w:r>
      <w:r w:rsidRPr="00C33834">
        <w:rPr>
          <w:rFonts w:ascii="Times New Roman" w:hAnsi="Times New Roman"/>
          <w:color w:val="000000" w:themeColor="text1"/>
          <w:sz w:val="16"/>
          <w:szCs w:val="16"/>
        </w:rPr>
        <w:softHyphen/>
        <w:t>лива и в районах к северу и западу от о. Врангеля, к востоку от Новосибирских ост</w:t>
      </w:r>
      <w:r w:rsidRPr="00C33834">
        <w:rPr>
          <w:rFonts w:ascii="Times New Roman" w:hAnsi="Times New Roman"/>
          <w:color w:val="000000" w:themeColor="text1"/>
          <w:sz w:val="16"/>
          <w:szCs w:val="16"/>
        </w:rPr>
        <w:softHyphen/>
        <w:t>ровов. Начальником летной группы назначи</w:t>
      </w:r>
      <w:r w:rsidRPr="00C33834">
        <w:rPr>
          <w:rFonts w:ascii="Times New Roman" w:hAnsi="Times New Roman"/>
          <w:color w:val="000000" w:themeColor="text1"/>
          <w:sz w:val="16"/>
          <w:szCs w:val="16"/>
        </w:rPr>
        <w:softHyphen/>
        <w:t xml:space="preserve">ли Г.Д. Красинского. С этого момента в документах полярной авиации Савойю </w:t>
      </w:r>
      <w:r w:rsidRPr="00C33834">
        <w:rPr>
          <w:rFonts w:ascii="Times New Roman" w:hAnsi="Times New Roman"/>
          <w:color w:val="000000" w:themeColor="text1"/>
          <w:sz w:val="16"/>
          <w:szCs w:val="16"/>
          <w:lang w:val="en-US"/>
        </w:rPr>
        <w:t>S</w:t>
      </w:r>
      <w:r w:rsidRPr="00C33834">
        <w:rPr>
          <w:rFonts w:ascii="Times New Roman" w:hAnsi="Times New Roman"/>
          <w:color w:val="000000" w:themeColor="text1"/>
          <w:sz w:val="16"/>
          <w:szCs w:val="16"/>
        </w:rPr>
        <w:t>.55 зав. № 10526 стали на</w:t>
      </w:r>
      <w:r w:rsidRPr="00C33834">
        <w:rPr>
          <w:rFonts w:ascii="Times New Roman" w:hAnsi="Times New Roman"/>
          <w:color w:val="000000" w:themeColor="text1"/>
          <w:sz w:val="16"/>
          <w:szCs w:val="16"/>
        </w:rPr>
        <w:softHyphen/>
        <w:t>зывать «СССР-Н11». Однако, в Реестре граж</w:t>
      </w:r>
      <w:r w:rsidRPr="00C33834">
        <w:rPr>
          <w:rFonts w:ascii="Times New Roman" w:hAnsi="Times New Roman"/>
          <w:color w:val="000000" w:themeColor="text1"/>
          <w:sz w:val="16"/>
          <w:szCs w:val="16"/>
        </w:rPr>
        <w:softHyphen/>
        <w:t>данских воздушных судов СССР самолет с этим опознавательным знаком в то время так и не появился. Только 16.06.55 под этим опозна</w:t>
      </w:r>
      <w:r w:rsidRPr="00C33834">
        <w:rPr>
          <w:rFonts w:ascii="Times New Roman" w:hAnsi="Times New Roman"/>
          <w:color w:val="000000" w:themeColor="text1"/>
          <w:sz w:val="16"/>
          <w:szCs w:val="16"/>
        </w:rPr>
        <w:softHyphen/>
        <w:t>вательным знаком был зарегистрирован вер</w:t>
      </w:r>
      <w:r w:rsidRPr="00C33834">
        <w:rPr>
          <w:rFonts w:ascii="Times New Roman" w:hAnsi="Times New Roman"/>
          <w:color w:val="000000" w:themeColor="text1"/>
          <w:sz w:val="16"/>
          <w:szCs w:val="16"/>
        </w:rPr>
        <w:softHyphen/>
        <w:t>толет Ми-1 зав. № 010308.</w:t>
      </w:r>
    </w:p>
    <w:p w14:paraId="7139DFF8"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Одновременно с передачей «Савойи», на</w:t>
      </w:r>
      <w:r w:rsidRPr="00C33834">
        <w:rPr>
          <w:rFonts w:ascii="Times New Roman" w:hAnsi="Times New Roman"/>
          <w:color w:val="000000" w:themeColor="text1"/>
          <w:sz w:val="16"/>
          <w:szCs w:val="16"/>
        </w:rPr>
        <w:softHyphen/>
        <w:t>чальник УПА Шевелев назначил ее команди</w:t>
      </w:r>
      <w:r w:rsidRPr="00C33834">
        <w:rPr>
          <w:rFonts w:ascii="Times New Roman" w:hAnsi="Times New Roman"/>
          <w:color w:val="000000" w:themeColor="text1"/>
          <w:sz w:val="16"/>
          <w:szCs w:val="16"/>
        </w:rPr>
        <w:softHyphen/>
        <w:t>ром летчика-испытателя Бенедикта Леоновича Бухгольца.</w:t>
      </w:r>
    </w:p>
    <w:p w14:paraId="5452208F"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Бухгольцу предстояло провести, если по</w:t>
      </w:r>
      <w:r w:rsidRPr="00C33834">
        <w:rPr>
          <w:rFonts w:ascii="Times New Roman" w:hAnsi="Times New Roman"/>
          <w:color w:val="000000" w:themeColor="text1"/>
          <w:sz w:val="16"/>
          <w:szCs w:val="16"/>
        </w:rPr>
        <w:softHyphen/>
        <w:t>требуется, дополнительные испытания и выле</w:t>
      </w:r>
      <w:r w:rsidRPr="00C33834">
        <w:rPr>
          <w:rFonts w:ascii="Times New Roman" w:hAnsi="Times New Roman"/>
          <w:color w:val="000000" w:themeColor="text1"/>
          <w:sz w:val="16"/>
          <w:szCs w:val="16"/>
        </w:rPr>
        <w:softHyphen/>
        <w:t>теть по маршруту Вольск - Свердловск - Ново</w:t>
      </w:r>
      <w:r w:rsidRPr="00C33834">
        <w:rPr>
          <w:rFonts w:ascii="Times New Roman" w:hAnsi="Times New Roman"/>
          <w:color w:val="000000" w:themeColor="text1"/>
          <w:sz w:val="16"/>
          <w:szCs w:val="16"/>
        </w:rPr>
        <w:softHyphen/>
        <w:t>сибирск - Красноярск - Иркутск, с расчетом прибытия в Иркутск 28 июля. В Иркутске на борт самолета должен был перейти Красинский. Из Иркутска ему предстояло вылететь по возможности не позднее 30 июня по маршру</w:t>
      </w:r>
      <w:r w:rsidRPr="00C33834">
        <w:rPr>
          <w:rFonts w:ascii="Times New Roman" w:hAnsi="Times New Roman"/>
          <w:color w:val="000000" w:themeColor="text1"/>
          <w:sz w:val="16"/>
          <w:szCs w:val="16"/>
        </w:rPr>
        <w:softHyphen/>
        <w:t>ту: Иркутск - Витим - Якутск - Ногаево - Ча- унская губа - мыс Северный - остров Вран</w:t>
      </w:r>
      <w:r w:rsidRPr="00C33834">
        <w:rPr>
          <w:rFonts w:ascii="Times New Roman" w:hAnsi="Times New Roman"/>
          <w:color w:val="000000" w:themeColor="text1"/>
          <w:sz w:val="16"/>
          <w:szCs w:val="16"/>
        </w:rPr>
        <w:softHyphen/>
        <w:t>геля и для дальнейшей работы в район Берин</w:t>
      </w:r>
      <w:r w:rsidRPr="00C33834">
        <w:rPr>
          <w:rFonts w:ascii="Times New Roman" w:hAnsi="Times New Roman"/>
          <w:color w:val="000000" w:themeColor="text1"/>
          <w:sz w:val="16"/>
          <w:szCs w:val="16"/>
        </w:rPr>
        <w:softHyphen/>
        <w:t>гов пролив - устье Лены с возвращением по окончании экспедиции в г. Красноярск.</w:t>
      </w:r>
    </w:p>
    <w:p w14:paraId="6DB7E457"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Однако командировку в Севастополь под</w:t>
      </w:r>
      <w:r w:rsidRPr="00C33834">
        <w:rPr>
          <w:rFonts w:ascii="Times New Roman" w:hAnsi="Times New Roman"/>
          <w:color w:val="000000" w:themeColor="text1"/>
          <w:sz w:val="16"/>
          <w:szCs w:val="16"/>
        </w:rPr>
        <w:softHyphen/>
        <w:t>писали только 2 июля. В тот же день Бухгольц выехал в Севастополь. Всего за день до этого, 1-го июля, пилот был извещен об окончатель</w:t>
      </w:r>
      <w:r w:rsidRPr="00C33834">
        <w:rPr>
          <w:rFonts w:ascii="Times New Roman" w:hAnsi="Times New Roman"/>
          <w:color w:val="000000" w:themeColor="text1"/>
          <w:sz w:val="16"/>
          <w:szCs w:val="16"/>
        </w:rPr>
        <w:softHyphen/>
        <w:t>ном решении Правительства (резолюция Куй</w:t>
      </w:r>
      <w:r w:rsidRPr="00C33834">
        <w:rPr>
          <w:rFonts w:ascii="Times New Roman" w:hAnsi="Times New Roman"/>
          <w:color w:val="000000" w:themeColor="text1"/>
          <w:sz w:val="16"/>
          <w:szCs w:val="16"/>
        </w:rPr>
        <w:softHyphen/>
        <w:t>бышева) о своем назначении в ГУСМП. По этой причине он не смог в должной мере участво</w:t>
      </w:r>
      <w:r w:rsidRPr="00C33834">
        <w:rPr>
          <w:rFonts w:ascii="Times New Roman" w:hAnsi="Times New Roman"/>
          <w:color w:val="000000" w:themeColor="text1"/>
          <w:sz w:val="16"/>
          <w:szCs w:val="16"/>
        </w:rPr>
        <w:softHyphen/>
        <w:t>вать в подготовке самолета к операции.</w:t>
      </w:r>
    </w:p>
    <w:p w14:paraId="42BFC801"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июля Бухгольц прибыл в Севастополь и сделал три полета продолжительностью около часа. На следующий день приехал летнаб Па</w:t>
      </w:r>
      <w:r w:rsidRPr="00C33834">
        <w:rPr>
          <w:rFonts w:ascii="Times New Roman" w:hAnsi="Times New Roman"/>
          <w:color w:val="000000" w:themeColor="text1"/>
          <w:sz w:val="16"/>
          <w:szCs w:val="16"/>
        </w:rPr>
        <w:softHyphen/>
        <w:t>дал ко.</w:t>
      </w:r>
    </w:p>
    <w:p w14:paraId="5268A581"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Хотя самолет был новым, но к полетам на Севере подготовлен полностью не был. В част</w:t>
      </w:r>
      <w:r w:rsidRPr="00C33834">
        <w:rPr>
          <w:rFonts w:ascii="Times New Roman" w:hAnsi="Times New Roman"/>
          <w:color w:val="000000" w:themeColor="text1"/>
          <w:sz w:val="16"/>
          <w:szCs w:val="16"/>
        </w:rPr>
        <w:softHyphen/>
        <w:t>ности, на нем не были установлены дополни</w:t>
      </w:r>
      <w:r w:rsidRPr="00C33834">
        <w:rPr>
          <w:rFonts w:ascii="Times New Roman" w:hAnsi="Times New Roman"/>
          <w:color w:val="000000" w:themeColor="text1"/>
          <w:sz w:val="16"/>
          <w:szCs w:val="16"/>
        </w:rPr>
        <w:softHyphen/>
      </w:r>
    </w:p>
    <w:p w14:paraId="13A22939"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тельные баки. Полет задерживало также от</w:t>
      </w:r>
      <w:r w:rsidRPr="00C33834">
        <w:rPr>
          <w:rFonts w:ascii="Times New Roman" w:hAnsi="Times New Roman"/>
          <w:color w:val="000000" w:themeColor="text1"/>
          <w:sz w:val="16"/>
          <w:szCs w:val="16"/>
        </w:rPr>
        <w:softHyphen/>
        <w:t>сутствие запасных частей к мотору. Однако сроки поджимали...</w:t>
      </w:r>
    </w:p>
    <w:p w14:paraId="4F141DA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расчетам Бухгольца, полет от Севасто</w:t>
      </w:r>
      <w:r w:rsidRPr="00C33834">
        <w:rPr>
          <w:rFonts w:ascii="Times New Roman" w:hAnsi="Times New Roman"/>
          <w:color w:val="000000" w:themeColor="text1"/>
          <w:sz w:val="16"/>
          <w:szCs w:val="16"/>
        </w:rPr>
        <w:softHyphen/>
        <w:t>поля до Якутска должен был продолжаться 37 летных часов, за которые самолет мог покрыть 5500 км (до Иркутска, соответственно, 27 ча</w:t>
      </w:r>
      <w:r w:rsidRPr="00C33834">
        <w:rPr>
          <w:rFonts w:ascii="Times New Roman" w:hAnsi="Times New Roman"/>
          <w:color w:val="000000" w:themeColor="text1"/>
          <w:sz w:val="16"/>
          <w:szCs w:val="16"/>
        </w:rPr>
        <w:softHyphen/>
        <w:t>сов и 2950 км). Участок от Севастополя до Вольска протяженностью 1450 км предполага</w:t>
      </w:r>
      <w:r w:rsidRPr="00C33834">
        <w:rPr>
          <w:rFonts w:ascii="Times New Roman" w:hAnsi="Times New Roman"/>
          <w:color w:val="000000" w:themeColor="text1"/>
          <w:sz w:val="16"/>
          <w:szCs w:val="16"/>
        </w:rPr>
        <w:softHyphen/>
        <w:t>лось преодолеть за 7 часов (11975).</w:t>
      </w:r>
    </w:p>
    <w:p w14:paraId="51C1DD51"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155443DF"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июня 1933 в Москву прилетел американский летчик Джимми Маттерн, который выполнял на Локхид-Вега кругосветный перелет. 8 июня сел на вынужденную в Прокопьевске, 11 прилетел в Хабаровск, но не опознал его и сел в другом месте. 13 взял курс на Север, но вскоре вернулся. 14 снова вылетел, держа курс на Аляску, вернулся и сел в 100 км от Анадыря. 26 июня чукчи нашли, а 21 июля С.А.Леваневский отвез его на Аляску (438,647).</w:t>
      </w:r>
    </w:p>
    <w:p w14:paraId="5CBC748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44CEAFC3" w14:textId="77777777" w:rsidR="00AE51CE" w:rsidRPr="00C33834" w:rsidRDefault="00AE51C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июня 1933 г. в Евпатории в присутствии наркомвоенмора и под председательством начальника вооружений РККА М.Н.Тухачевского состоялись официальные испытания 132-мм ракетных осветительных парашютных снарядов модели 140500 (тема объекта №58) - для корабельной или для береговой артил</w:t>
      </w:r>
      <w:r w:rsidRPr="00C33834">
        <w:rPr>
          <w:rFonts w:ascii="Times New Roman" w:hAnsi="Times New Roman"/>
          <w:color w:val="000000" w:themeColor="text1"/>
          <w:sz w:val="16"/>
          <w:szCs w:val="16"/>
        </w:rPr>
        <w:softHyphen/>
        <w:t>лерии, дает основания отне</w:t>
      </w:r>
      <w:r w:rsidRPr="00C33834">
        <w:rPr>
          <w:rFonts w:ascii="Times New Roman" w:hAnsi="Times New Roman"/>
          <w:color w:val="000000" w:themeColor="text1"/>
          <w:sz w:val="16"/>
          <w:szCs w:val="16"/>
        </w:rPr>
        <w:softHyphen/>
        <w:t>сти их к оружию береговых артиллеристов. Однако, последующий ход событий свидетельствует в пользу палубной артиллерии. Хотя, возможно их разрабатывали и для тех, и для других (11402).</w:t>
      </w:r>
    </w:p>
    <w:p w14:paraId="4839B471"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68CC1C67" w14:textId="77777777" w:rsidR="00AE51CE" w:rsidRPr="00C33834" w:rsidRDefault="00AE51C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июня 1933 г. в Евпатории в присутствии комиссии НКВМ и под председательством на</w:t>
      </w:r>
      <w:r w:rsidRPr="00C33834">
        <w:rPr>
          <w:rFonts w:ascii="Times New Roman" w:hAnsi="Times New Roman"/>
          <w:color w:val="000000" w:themeColor="text1"/>
          <w:sz w:val="16"/>
          <w:szCs w:val="16"/>
        </w:rPr>
        <w:softHyphen/>
        <w:t>чальника вооружений РККА М.Н.Тухачевского состоялись официальные испытания 74-мм ракетных осветительных пара</w:t>
      </w:r>
      <w:r w:rsidRPr="00C33834">
        <w:rPr>
          <w:rFonts w:ascii="Times New Roman" w:hAnsi="Times New Roman"/>
          <w:color w:val="000000" w:themeColor="text1"/>
          <w:sz w:val="16"/>
          <w:szCs w:val="16"/>
        </w:rPr>
        <w:softHyphen/>
        <w:t>шютных снарядов. На основании положи</w:t>
      </w:r>
      <w:r w:rsidRPr="00C33834">
        <w:rPr>
          <w:rFonts w:ascii="Times New Roman" w:hAnsi="Times New Roman"/>
          <w:color w:val="000000" w:themeColor="text1"/>
          <w:sz w:val="16"/>
          <w:szCs w:val="16"/>
        </w:rPr>
        <w:softHyphen/>
        <w:t>тельных результатов полигонных стрельб, а также повторных в присутствии комиссии был заключен договор с АУ РККА на поставку 70 штук сна</w:t>
      </w:r>
      <w:r w:rsidRPr="00C33834">
        <w:rPr>
          <w:rFonts w:ascii="Times New Roman" w:hAnsi="Times New Roman"/>
          <w:color w:val="000000" w:themeColor="text1"/>
          <w:sz w:val="16"/>
          <w:szCs w:val="16"/>
        </w:rPr>
        <w:softHyphen/>
        <w:t>рядов, которые изготовили в РНИИ и сдали заказчику в декабре 1935 г.</w:t>
      </w:r>
    </w:p>
    <w:p w14:paraId="796A94F3" w14:textId="77777777" w:rsidR="00AE51CE" w:rsidRPr="00C33834" w:rsidRDefault="00AE51C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промышленности тогда заказали 1000 таких бое</w:t>
      </w:r>
      <w:r w:rsidRPr="00C33834">
        <w:rPr>
          <w:rFonts w:ascii="Times New Roman" w:hAnsi="Times New Roman"/>
          <w:color w:val="000000" w:themeColor="text1"/>
          <w:sz w:val="16"/>
          <w:szCs w:val="16"/>
        </w:rPr>
        <w:softHyphen/>
        <w:t>припасов, однако, в письме начальника 1 отдела РНИИ Ю.А.Победонос</w:t>
      </w:r>
      <w:r w:rsidRPr="00C33834">
        <w:rPr>
          <w:rFonts w:ascii="Times New Roman" w:hAnsi="Times New Roman"/>
          <w:color w:val="000000" w:themeColor="text1"/>
          <w:sz w:val="16"/>
          <w:szCs w:val="16"/>
        </w:rPr>
        <w:softHyphen/>
        <w:t>цева и ведущего инженера В.А.Артемьева начальнику НТО-1 ОБАА АУ РККА, датированном 23 декабря 1935 г., говорилось: «В настоящее время РНИИ, согласно резолюции начальника АУ РККА Н.А.Ефимова, изгото</w:t>
      </w:r>
      <w:r w:rsidRPr="00C33834">
        <w:rPr>
          <w:rFonts w:ascii="Times New Roman" w:hAnsi="Times New Roman"/>
          <w:color w:val="000000" w:themeColor="text1"/>
          <w:sz w:val="16"/>
          <w:szCs w:val="16"/>
        </w:rPr>
        <w:softHyphen/>
        <w:t>вило 70 штук 74-мм ракетных осветительных и агитационных снарядов. Вместе с тем, ставим в известность, что все руководства по ним составлены в 1933 г., и в случае опытных заказов АУ по ним, должны быть переработа</w:t>
      </w:r>
      <w:r w:rsidRPr="00C33834">
        <w:rPr>
          <w:rFonts w:ascii="Times New Roman" w:hAnsi="Times New Roman"/>
          <w:color w:val="000000" w:themeColor="text1"/>
          <w:sz w:val="16"/>
          <w:szCs w:val="16"/>
        </w:rPr>
        <w:softHyphen/>
        <w:t>ны. Снаряды предполагается испытывать в разных войсковых частях».</w:t>
      </w:r>
    </w:p>
    <w:p w14:paraId="08E11FF2" w14:textId="77777777" w:rsidR="00AE51CE" w:rsidRPr="00C33834" w:rsidRDefault="00AE51C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ведомости на изделия, подлежащие контрольному испытанию в 1941 г. на Софринском контрольно-испытательном артполигоне, зна</w:t>
      </w:r>
      <w:r w:rsidRPr="00C33834">
        <w:rPr>
          <w:rFonts w:ascii="Times New Roman" w:hAnsi="Times New Roman"/>
          <w:color w:val="000000" w:themeColor="text1"/>
          <w:sz w:val="16"/>
          <w:szCs w:val="16"/>
        </w:rPr>
        <w:softHyphen/>
        <w:t>чилось 40 штук 165-мм ракетно-осветительных снарядов РОСС-165 и ра-кетно-сигнальных РСС-165, разработанных по теме объекта №148 «для нужд береговой обороны». В это же время, ракетные боеприпасы того же назначения для НКВМФ разрабатывали и в калибре 140 мм (11402).</w:t>
      </w:r>
    </w:p>
    <w:p w14:paraId="3F934F85" w14:textId="77777777" w:rsidR="00AE51CE" w:rsidRPr="00C33834" w:rsidRDefault="00AE51C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5E7B89" w14:textId="77777777" w:rsidR="0058354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0B5DE8E" w14:textId="77777777" w:rsidR="0058354C" w:rsidRPr="00C33834" w:rsidRDefault="0058354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C27D8BD" w14:textId="77777777" w:rsidR="00550226" w:rsidRPr="00C33834" w:rsidRDefault="00550226" w:rsidP="00C33834">
      <w:pPr>
        <w:pStyle w:val="rtejustify"/>
        <w:spacing w:before="0" w:after="0"/>
        <w:rPr>
          <w:color w:val="000000" w:themeColor="text1"/>
          <w:sz w:val="16"/>
          <w:szCs w:val="16"/>
        </w:rPr>
      </w:pPr>
      <w:r w:rsidRPr="00C33834">
        <w:rPr>
          <w:color w:val="000000" w:themeColor="text1"/>
          <w:sz w:val="16"/>
          <w:szCs w:val="16"/>
        </w:rPr>
        <w:t>5 июня 1933 О концентрации производства и организации сбыта запасных частей к тракторам</w:t>
      </w:r>
    </w:p>
    <w:p w14:paraId="6FB2748B"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В целях концентрации производства тракторных запасных частей на специализированных для этого заводах и максимального приближения заводов по изготовлению тракторных запасных частей к районам наибольшего потребления последних и наиболее рационального продвижения готовых запасных частей к потребителю, Совет народных комиссаров Союза ССР постановляет:</w:t>
      </w:r>
    </w:p>
    <w:p w14:paraId="2C2DE6F1"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1. Возложить на Всесоюзное объединение «Ватозапчасть», с системой районных контор в его составе, концентрацию производства запасных частей и организацию сбыта последних.</w:t>
      </w:r>
    </w:p>
    <w:p w14:paraId="78017B7F"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2. Закрепить за Всесоюзным объединением «Ватозапчасть» следующие заводы:</w:t>
      </w:r>
    </w:p>
    <w:p w14:paraId="6BEBB012" w14:textId="77777777" w:rsidR="0058354C" w:rsidRPr="00C33834" w:rsidRDefault="0058354C" w:rsidP="00C33834">
      <w:pPr>
        <w:numPr>
          <w:ilvl w:val="0"/>
          <w:numId w:val="440"/>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«Красный Профинтерн» — Одесса.</w:t>
      </w:r>
    </w:p>
    <w:p w14:paraId="4BCE82F9" w14:textId="77777777" w:rsidR="0058354C" w:rsidRPr="00C33834" w:rsidRDefault="0058354C" w:rsidP="00C33834">
      <w:pPr>
        <w:numPr>
          <w:ilvl w:val="0"/>
          <w:numId w:val="440"/>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«Красный Двигатель» — Новороссийск.</w:t>
      </w:r>
    </w:p>
    <w:p w14:paraId="4C835B9B" w14:textId="77777777" w:rsidR="0058354C" w:rsidRPr="00C33834" w:rsidRDefault="0058354C" w:rsidP="00C33834">
      <w:pPr>
        <w:numPr>
          <w:ilvl w:val="0"/>
          <w:numId w:val="440"/>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Трактородеталь — Саратов.</w:t>
      </w:r>
    </w:p>
    <w:p w14:paraId="665E1848" w14:textId="77777777" w:rsidR="0058354C" w:rsidRPr="00C33834" w:rsidRDefault="0058354C" w:rsidP="00C33834">
      <w:pPr>
        <w:numPr>
          <w:ilvl w:val="0"/>
          <w:numId w:val="440"/>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Средне-Волжский — Самара.</w:t>
      </w:r>
    </w:p>
    <w:p w14:paraId="42D66D3B" w14:textId="77777777" w:rsidR="0058354C" w:rsidRPr="00C33834" w:rsidRDefault="0058354C" w:rsidP="00C33834">
      <w:pPr>
        <w:numPr>
          <w:ilvl w:val="0"/>
          <w:numId w:val="440"/>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Ленпромет — Мичуринск.</w:t>
      </w:r>
    </w:p>
    <w:p w14:paraId="37293991" w14:textId="77777777" w:rsidR="0058354C" w:rsidRPr="00C33834" w:rsidRDefault="0058354C" w:rsidP="00C33834">
      <w:pPr>
        <w:numPr>
          <w:ilvl w:val="0"/>
          <w:numId w:val="441"/>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 Лепсе — Киев.</w:t>
      </w:r>
    </w:p>
    <w:p w14:paraId="43922DF1" w14:textId="77777777" w:rsidR="0058354C" w:rsidRPr="00C33834" w:rsidRDefault="0058354C" w:rsidP="00C33834">
      <w:pPr>
        <w:numPr>
          <w:ilvl w:val="0"/>
          <w:numId w:val="442"/>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 Медведева — Орёл.</w:t>
      </w:r>
    </w:p>
    <w:p w14:paraId="59F94E37" w14:textId="77777777" w:rsidR="0058354C" w:rsidRPr="00C33834" w:rsidRDefault="0058354C" w:rsidP="00C33834">
      <w:pPr>
        <w:numPr>
          <w:ilvl w:val="0"/>
          <w:numId w:val="443"/>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 Энгельса — Хортица.</w:t>
      </w:r>
    </w:p>
    <w:p w14:paraId="4C3A81C0" w14:textId="77777777" w:rsidR="0058354C" w:rsidRPr="00C33834" w:rsidRDefault="0058354C" w:rsidP="00C33834">
      <w:pPr>
        <w:numPr>
          <w:ilvl w:val="0"/>
          <w:numId w:val="444"/>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 Будённого — Москва.</w:t>
      </w:r>
    </w:p>
    <w:p w14:paraId="7B90808F" w14:textId="77777777" w:rsidR="0058354C" w:rsidRPr="00C33834" w:rsidRDefault="0058354C" w:rsidP="00C33834">
      <w:pPr>
        <w:numPr>
          <w:ilvl w:val="0"/>
          <w:numId w:val="445"/>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«Спартак» — Москва.</w:t>
      </w:r>
    </w:p>
    <w:p w14:paraId="71A0D7AC" w14:textId="77777777" w:rsidR="0058354C" w:rsidRPr="00C33834" w:rsidRDefault="0058354C" w:rsidP="00C33834">
      <w:pPr>
        <w:numPr>
          <w:ilvl w:val="0"/>
          <w:numId w:val="446"/>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Рессора — Москва.</w:t>
      </w:r>
    </w:p>
    <w:p w14:paraId="427EC6B6" w14:textId="77777777" w:rsidR="0058354C" w:rsidRPr="00C33834" w:rsidRDefault="0058354C" w:rsidP="00C33834">
      <w:pPr>
        <w:numPr>
          <w:ilvl w:val="0"/>
          <w:numId w:val="447"/>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Сибзавод — Омск.</w:t>
      </w:r>
    </w:p>
    <w:p w14:paraId="149A1D3F"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3.  Передать «Ватозапчасти» заводы:</w:t>
      </w:r>
    </w:p>
    <w:p w14:paraId="7760A74A"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а)  Из системы Народного комиссариата земледелия Союза ССР:</w:t>
      </w:r>
    </w:p>
    <w:p w14:paraId="51FEC4EE" w14:textId="77777777" w:rsidR="0058354C" w:rsidRPr="00C33834" w:rsidRDefault="0058354C" w:rsidP="00C33834">
      <w:pPr>
        <w:numPr>
          <w:ilvl w:val="0"/>
          <w:numId w:val="448"/>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Воронежский завод Трактороцентра — Воронеж.</w:t>
      </w:r>
    </w:p>
    <w:p w14:paraId="35D5D2D3" w14:textId="77777777" w:rsidR="0058354C" w:rsidRPr="00C33834" w:rsidRDefault="0058354C" w:rsidP="00C33834">
      <w:pPr>
        <w:numPr>
          <w:ilvl w:val="0"/>
          <w:numId w:val="448"/>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Ростовские производственные мастерские Трактороцентра — Ростов н/Д.</w:t>
      </w:r>
    </w:p>
    <w:p w14:paraId="6705C5DC" w14:textId="77777777" w:rsidR="0058354C" w:rsidRPr="00C33834" w:rsidRDefault="0058354C" w:rsidP="00C33834">
      <w:pPr>
        <w:numPr>
          <w:ilvl w:val="0"/>
          <w:numId w:val="448"/>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Морозовский завод Трактороцентра — Морозовская.</w:t>
      </w:r>
    </w:p>
    <w:p w14:paraId="638487A0" w14:textId="77777777" w:rsidR="0058354C" w:rsidRPr="00C33834" w:rsidRDefault="0058354C" w:rsidP="00C33834">
      <w:pPr>
        <w:numPr>
          <w:ilvl w:val="0"/>
          <w:numId w:val="448"/>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Каховские производственные мастерские Трактороцентра — Каховка.</w:t>
      </w:r>
    </w:p>
    <w:p w14:paraId="6E53E4E1" w14:textId="77777777" w:rsidR="0058354C" w:rsidRPr="00C33834" w:rsidRDefault="0058354C" w:rsidP="00C33834">
      <w:pPr>
        <w:numPr>
          <w:ilvl w:val="0"/>
          <w:numId w:val="448"/>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Мариупольские производственные мастерские Трактороцентра — Мариуполь.</w:t>
      </w:r>
    </w:p>
    <w:p w14:paraId="23809130" w14:textId="77777777" w:rsidR="0058354C" w:rsidRPr="00C33834" w:rsidRDefault="0058354C" w:rsidP="00C33834">
      <w:pPr>
        <w:numPr>
          <w:ilvl w:val="0"/>
          <w:numId w:val="448"/>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Оренбургский завод Трактороцентра — Оренбург.</w:t>
      </w:r>
    </w:p>
    <w:p w14:paraId="164EA53F"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б)   Из системы Народного комиссариата зерновых и животноводческих совхозов Союза ССР:</w:t>
      </w:r>
    </w:p>
    <w:p w14:paraId="62262E50" w14:textId="77777777" w:rsidR="0058354C" w:rsidRPr="00C33834" w:rsidRDefault="0058354C" w:rsidP="00C33834">
      <w:pPr>
        <w:numPr>
          <w:ilvl w:val="0"/>
          <w:numId w:val="449"/>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Харьковский завод «Поршень» — Харьков.</w:t>
      </w:r>
    </w:p>
    <w:p w14:paraId="6DCB9764" w14:textId="77777777" w:rsidR="0058354C" w:rsidRPr="00C33834" w:rsidRDefault="0058354C" w:rsidP="00C33834">
      <w:pPr>
        <w:numPr>
          <w:ilvl w:val="0"/>
          <w:numId w:val="449"/>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Краснодарский завод «Октябрь» — Краснодар.</w:t>
      </w:r>
    </w:p>
    <w:p w14:paraId="367BB97C" w14:textId="77777777" w:rsidR="0058354C" w:rsidRPr="00C33834" w:rsidRDefault="0058354C" w:rsidP="00C33834">
      <w:pPr>
        <w:numPr>
          <w:ilvl w:val="0"/>
          <w:numId w:val="449"/>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Сысертский завод — Сысертск.</w:t>
      </w:r>
    </w:p>
    <w:p w14:paraId="4387A216" w14:textId="77777777" w:rsidR="0058354C" w:rsidRPr="00C33834" w:rsidRDefault="0058354C" w:rsidP="00C33834">
      <w:pPr>
        <w:numPr>
          <w:ilvl w:val="0"/>
          <w:numId w:val="449"/>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Мелекесский завод — Мелекес.</w:t>
      </w:r>
    </w:p>
    <w:p w14:paraId="4562103E"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в)  Из объединения Союзсельмаша: Петуховский завод — ст. Петухово (Казахстан).</w:t>
      </w:r>
    </w:p>
    <w:p w14:paraId="5E15E3BA"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г)   Из системы управления уполномоченного Народного комиссариата тяжёлой промышленности при Совете народных комиссаров Узбекской ССР:</w:t>
      </w:r>
    </w:p>
    <w:p w14:paraId="08CE422C"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Завод им. Ильича (полностью старые и новые корпуса) — Ташкент.</w:t>
      </w:r>
    </w:p>
    <w:p w14:paraId="6BCD3F2A" w14:textId="77777777" w:rsidR="0058354C" w:rsidRPr="00C33834" w:rsidRDefault="0058354C" w:rsidP="00C33834">
      <w:pPr>
        <w:numPr>
          <w:ilvl w:val="0"/>
          <w:numId w:val="450"/>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Передачу всех указанных в ст. 3 заводов с оборудованием и со всеми фондами на металл произвести с активом и пассивом на ходу и закончить к 1 июля 1933 г. Запретить вывоз с этих заводов оборудования и материалов, а также снятие и переброски рабочих, ИТР и административно-технического персонала.</w:t>
      </w:r>
    </w:p>
    <w:p w14:paraId="3BFD1C67" w14:textId="77777777" w:rsidR="0058354C" w:rsidRPr="00C33834" w:rsidRDefault="0058354C" w:rsidP="00C33834">
      <w:pPr>
        <w:numPr>
          <w:ilvl w:val="0"/>
          <w:numId w:val="451"/>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Поручить Народному комиссариату тяжёлой промышленности к 15 июля 1933 г. разработать календарный план выпуска тракторных запасных частей в 1934 году и план освобождения в 1934 году союзных и республиканских заводов от производства тракторных запасных частей, учтя при этом необходимость оставления производства в 1934 году тракторных частей на отдельных заводах на время, до полного освоения заводами «Ватозапчасти» проектной мощности.</w:t>
      </w:r>
    </w:p>
    <w:p w14:paraId="783775DA" w14:textId="77777777" w:rsidR="0058354C" w:rsidRPr="00C33834" w:rsidRDefault="0058354C" w:rsidP="00C33834">
      <w:pPr>
        <w:numPr>
          <w:ilvl w:val="0"/>
          <w:numId w:val="452"/>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Довести мощность заводов Всесоюзного объединения «Ватозапчасть» по выпуску тракторных запасных частей до 242 млн. руб. в ценах 1926/27 года с выпуском в 1934 г. запасных частей на этих заводах на 167 млн. рублей.</w:t>
      </w:r>
    </w:p>
    <w:p w14:paraId="02B1359E" w14:textId="77777777" w:rsidR="0058354C" w:rsidRPr="00C33834" w:rsidRDefault="0058354C" w:rsidP="00C33834">
      <w:pPr>
        <w:numPr>
          <w:ilvl w:val="0"/>
          <w:numId w:val="453"/>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обеспечения окончания реконструкции заводов «Ватозапчасти» и доведения их мощности до 242 млн. руб. в год ассигновать «Ватозапчасти», сверх предусмотренных в 1933 году 10 млн. руб. по заводам «Ватозапчасти» и 2,3 млн. руб. по заводам Народного комиссариата земледелия и Народного комиссариата зерновых и животноводческих совхозов Союза ССР — дополнительно 8 млн. руб. в 1933 году из резервного фонда Совета народных комиссаров Союза ССР.</w:t>
      </w:r>
    </w:p>
    <w:p w14:paraId="6362A6F8" w14:textId="77777777" w:rsidR="0058354C" w:rsidRPr="00C33834" w:rsidRDefault="0058354C" w:rsidP="00C33834">
      <w:pPr>
        <w:pStyle w:val="rtejustify"/>
        <w:spacing w:before="0" w:after="0"/>
        <w:rPr>
          <w:color w:val="000000" w:themeColor="text1"/>
          <w:sz w:val="16"/>
          <w:szCs w:val="16"/>
        </w:rPr>
      </w:pPr>
      <w:r w:rsidRPr="00C33834">
        <w:rPr>
          <w:color w:val="000000" w:themeColor="text1"/>
          <w:sz w:val="16"/>
          <w:szCs w:val="16"/>
        </w:rPr>
        <w:t>Всю реконструкцию заводов закончить не позднее 1 июля 1934 г.</w:t>
      </w:r>
    </w:p>
    <w:p w14:paraId="5AAC5741" w14:textId="77777777" w:rsidR="0058354C" w:rsidRPr="00C33834" w:rsidRDefault="0058354C" w:rsidP="00C33834">
      <w:pPr>
        <w:numPr>
          <w:ilvl w:val="0"/>
          <w:numId w:val="454"/>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Предложить Народному комиссариату тяжёлой промышленности полностью обеспечить заводы «Ватозапчасти» в 1933 г. всеми необходимыми материалами и оборудованием.</w:t>
      </w:r>
    </w:p>
    <w:p w14:paraId="209C3D52" w14:textId="77777777" w:rsidR="0058354C" w:rsidRPr="00C33834" w:rsidRDefault="0058354C" w:rsidP="00C33834">
      <w:pPr>
        <w:numPr>
          <w:ilvl w:val="0"/>
          <w:numId w:val="455"/>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создания производственной базы по изготовлению запасных частей в Сибири, организовать в Новосибирске на строящемся заводе «Сибтекстильмашстрой» цех тракторных запасных частей, с программой на 1934 г. в 10 млн. руб. и на 1936 год в 27 млн. руб.</w:t>
      </w:r>
    </w:p>
    <w:p w14:paraId="24E92B10" w14:textId="77777777" w:rsidR="0058354C" w:rsidRPr="00C33834" w:rsidRDefault="0058354C" w:rsidP="00C33834">
      <w:pPr>
        <w:numPr>
          <w:ilvl w:val="0"/>
          <w:numId w:val="455"/>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Предложить Народному комиссариату тяжёлой промышленности с 1 октября 1933 года организовать на Украине, Северном Кавказе и Нижней Волге продажу тракторных запасных частей через специальную сеть своих складов для непосредственной торговли с совхозами, машино-тракторными станциями и машино-тракторными мастерскими.</w:t>
      </w:r>
      <w:r w:rsidRPr="00C33834">
        <w:rPr>
          <w:rFonts w:ascii="Times New Roman" w:hAnsi="Times New Roman"/>
          <w:color w:val="000000" w:themeColor="text1"/>
          <w:sz w:val="16"/>
          <w:szCs w:val="16"/>
        </w:rPr>
        <w:br/>
        <w:t>Предложить Народному комиссариату земледелия и Народному комиссариату зерновых и животноводческих совхозов Союза ССР передать Народному комиссариату тяжёлой промышленности свои склады запасных частей в этих областях со всеми помещениями, оборудованием и персоналом.</w:t>
      </w:r>
    </w:p>
    <w:p w14:paraId="2025C81A" w14:textId="77777777" w:rsidR="0058354C" w:rsidRPr="00C33834" w:rsidRDefault="0058354C" w:rsidP="00C33834">
      <w:pPr>
        <w:numPr>
          <w:ilvl w:val="0"/>
          <w:numId w:val="455"/>
        </w:numPr>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Предложить Всесоюзному объединению «Ватозапчасть» начать приёмку складов Народного комиссариата земледелия и Народного комиссариата зерновых и животноводческих совхозов Союза ССР не позднее 1 августа 1933 года и закончить таковую не позднее 15 сентября 1933 года.</w:t>
      </w:r>
    </w:p>
    <w:p w14:paraId="647A4544" w14:textId="77777777" w:rsidR="0058354C" w:rsidRPr="00C33834" w:rsidRDefault="0058354C" w:rsidP="00C33834">
      <w:pPr>
        <w:pStyle w:val="rteright"/>
        <w:spacing w:before="0" w:after="0"/>
        <w:jc w:val="both"/>
        <w:rPr>
          <w:rStyle w:val="a7"/>
          <w:b w:val="0"/>
          <w:color w:val="000000" w:themeColor="text1"/>
          <w:sz w:val="16"/>
          <w:szCs w:val="16"/>
        </w:rPr>
      </w:pPr>
      <w:r w:rsidRPr="00C33834">
        <w:rPr>
          <w:color w:val="000000" w:themeColor="text1"/>
          <w:sz w:val="16"/>
          <w:szCs w:val="16"/>
        </w:rPr>
        <w:t xml:space="preserve">Председатель СНК Союза ССР </w:t>
      </w:r>
      <w:r w:rsidRPr="00C33834">
        <w:rPr>
          <w:rStyle w:val="a7"/>
          <w:b w:val="0"/>
          <w:color w:val="000000" w:themeColor="text1"/>
          <w:sz w:val="16"/>
          <w:szCs w:val="16"/>
        </w:rPr>
        <w:t>В. Молотов (Скрябин)</w:t>
      </w:r>
    </w:p>
    <w:p w14:paraId="41C027E8" w14:textId="77777777" w:rsidR="0058354C" w:rsidRPr="00C33834" w:rsidRDefault="0058354C" w:rsidP="00C33834">
      <w:pPr>
        <w:pStyle w:val="rteright"/>
        <w:spacing w:before="0" w:after="0"/>
        <w:jc w:val="both"/>
        <w:rPr>
          <w:color w:val="000000" w:themeColor="text1"/>
          <w:sz w:val="16"/>
          <w:szCs w:val="16"/>
        </w:rPr>
      </w:pPr>
      <w:r w:rsidRPr="00C33834">
        <w:rPr>
          <w:color w:val="000000" w:themeColor="text1"/>
          <w:sz w:val="16"/>
          <w:szCs w:val="16"/>
        </w:rPr>
        <w:t xml:space="preserve">Управляющий делами СНК Союза ССР </w:t>
      </w:r>
      <w:r w:rsidRPr="00C33834">
        <w:rPr>
          <w:rStyle w:val="a7"/>
          <w:b w:val="0"/>
          <w:color w:val="000000" w:themeColor="text1"/>
          <w:sz w:val="16"/>
          <w:szCs w:val="16"/>
        </w:rPr>
        <w:t>И. Мирошников.</w:t>
      </w:r>
    </w:p>
    <w:p w14:paraId="03C7BFD5" w14:textId="77777777" w:rsidR="0058354C" w:rsidRPr="00C33834" w:rsidRDefault="0058354C" w:rsidP="00C33834">
      <w:pPr>
        <w:pStyle w:val="ae"/>
        <w:spacing w:before="0" w:after="0"/>
        <w:jc w:val="both"/>
        <w:rPr>
          <w:color w:val="000000" w:themeColor="text1"/>
          <w:sz w:val="16"/>
          <w:szCs w:val="16"/>
        </w:rPr>
      </w:pPr>
      <w:r w:rsidRPr="00C33834">
        <w:rPr>
          <w:color w:val="000000" w:themeColor="text1"/>
          <w:sz w:val="16"/>
          <w:szCs w:val="16"/>
        </w:rPr>
        <w:t>Москва, Кремль. 5 июня 1933 г. № 1157 (12580).</w:t>
      </w:r>
    </w:p>
    <w:p w14:paraId="21170BF9" w14:textId="77777777" w:rsidR="0058354C" w:rsidRPr="00C33834" w:rsidRDefault="0058354C" w:rsidP="00C33834">
      <w:pPr>
        <w:pStyle w:val="ae"/>
        <w:shd w:val="clear" w:color="auto" w:fill="FFFFFF"/>
        <w:spacing w:before="0" w:after="0"/>
        <w:jc w:val="both"/>
        <w:rPr>
          <w:color w:val="000000" w:themeColor="text1"/>
          <w:sz w:val="16"/>
          <w:szCs w:val="16"/>
        </w:rPr>
      </w:pPr>
    </w:p>
    <w:p w14:paraId="0C330EC6"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1DCA8811"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DD2A83F"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lang w:val="en-US"/>
        </w:rPr>
        <w:t xml:space="preserve">June 05 1933 United States goes off of the "gold standard." </w:t>
      </w:r>
      <w:r w:rsidRPr="00C33834">
        <w:rPr>
          <w:rFonts w:ascii="Times New Roman" w:hAnsi="Times New Roman"/>
          <w:color w:val="000000" w:themeColor="text1"/>
          <w:sz w:val="16"/>
          <w:szCs w:val="16"/>
        </w:rPr>
        <w:t>(1769).</w:t>
      </w:r>
    </w:p>
    <w:p w14:paraId="158D824F"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70CCC944"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июня 1933 США отказались от золотого стандарта (1769).</w:t>
      </w:r>
    </w:p>
    <w:p w14:paraId="7B523B39"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1CB6EDEC"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0D24616"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DD77B2F"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июня 1933 из НКОП (Наркомата оборонной промышленности) было отправлено письмо ректору КАИ тов. Гудзику, в котором говорилось:</w:t>
      </w:r>
    </w:p>
    <w:p w14:paraId="1E9D6E9A"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установке начальника ГУАП тов. Баранова при авиаинститутах необходимо создать опытно-конструкторские бюро с задачей развертывания конструкторских работ по самолето- и моторостроению с привлечением к этой работе профессорско-преподавательского и студенческого коллектива. При КАИ решено создать такое Бюро, для чего Вам направляются четыре инженера-конструктора т.т. Воробьев, Поляков, Рогатнев, Езеров (из Новочеркасска – авт.), которые являются основными организаторами этой работы…».</w:t>
      </w:r>
    </w:p>
    <w:p w14:paraId="18A8CA16"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из Харькова, с авиационного завода в КАИ приезжает Ицкович Зельман Исаакович, ведущий инженер ОКБ главного конструктора Калинина. Его ставят заведующим институтской кафедрой конструкции самолетов, а также руководителем ОКБ КАИ. Первоначально ОКБ разместили в 1-м здании, на третьем этаже. Сразу же начинаются работы по постройке первенца казанского авиастроения – двухмоторного самолета КАИ-1. Если учесть, как быстро был пройден этап перехода от проектирования к постройке аппарата, то высока вероятность, что проект самолета Ицкович привез с собой из Харькова. Украинские машины получили в 1930-е гг. широкую известность благодаря оригинальным решениям, принятым при их создании.</w:t>
      </w:r>
    </w:p>
    <w:p w14:paraId="1E5D740D"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в местной прессе впервые появилась информация о проектировании КАИ-1, в октябре началась подготовка производства. Прототип решено было строить на базе завода № 124 и в КАИ, что и зафиксировал приказ начальника Авиастроя об учреждении ОКБ для опытного самолетостроения. 15 октября стал днем официального начала работ, в ноябре приступили к строительству самолета. Зимой проводились статические испытания, а с февраля по апрель уже шла сборка машины. 30 апреля 1934 г. КАИ-1 был закончен и 1 мая осуществлен первый полет. Летные испытания закончились 18 августа. Есть информация, что поднимал первую машину начальник авиаотряда КАИ летчик Николаев А.Д. (12049).</w:t>
      </w:r>
    </w:p>
    <w:p w14:paraId="0239EA32"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02DA40FB"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9FB953C"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398E42E" w14:textId="77777777" w:rsidR="00550226" w:rsidRPr="00C33834" w:rsidRDefault="005502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6 июня</w:t>
      </w:r>
      <w:r w:rsidRPr="00C33834">
        <w:rPr>
          <w:rFonts w:ascii="Times New Roman" w:hAnsi="Times New Roman"/>
          <w:color w:val="000000" w:themeColor="text1"/>
          <w:sz w:val="16"/>
          <w:szCs w:val="16"/>
        </w:rPr>
        <w:t xml:space="preserve"> в 1933 году «DoJ II» «Монсун» впервые катапультировали с борта «Вестфалена» с грузом почты. Он благополучно достиг Наталя. После еще нескольких пробных полетов в феврале 1934 года "Люфтганза" официально открыла южноатлантическую почтовую трассу. Так реализовывался проект организации регулярного почтового сообщения через Южную Атлантику. Для него фирма "Дорнье металльбаутен" разработала катапультный вариант «DoJ II». Планер усилили, лодку перекомпоновали, заменив пассажирские салоны грузовыми отсеками, установили дополнительные бензобаки. Экипаж увеличился до четырех человек. При этом полетная масса возросла до 8500 кг. В качестве плавучей базы, на которой монтировалась паровая катапульта фирмы "Хейнкель", использовали пароход "Вестфален", занимавший позицию на полпути между Наталем в Бразилии и Батерстом в Африке. Перевозивший почту самолет садился возле плавбазы, а затем заруливал на специальный фартук за ее кормой. Оттуда лодку краном поднимали на тележку катапульты. Машину осматривали, при необходимости ремонтировали, дозаправляли горючим и маслом на оставшийся путь. Катапульта использовалась потому, что самостоятельно взлететь с таким весом «Дорнье» «Валь» практически не мог (14914).</w:t>
      </w:r>
    </w:p>
    <w:p w14:paraId="6B766C34" w14:textId="77777777" w:rsidR="00550226" w:rsidRPr="00C33834" w:rsidRDefault="00550226" w:rsidP="00C33834">
      <w:pPr>
        <w:spacing w:after="0" w:line="240" w:lineRule="auto"/>
        <w:jc w:val="both"/>
        <w:rPr>
          <w:rFonts w:ascii="Times New Roman" w:hAnsi="Times New Roman"/>
          <w:color w:val="000000" w:themeColor="text1"/>
          <w:sz w:val="16"/>
          <w:szCs w:val="16"/>
        </w:rPr>
      </w:pPr>
    </w:p>
    <w:p w14:paraId="32E829EB" w14:textId="77777777" w:rsidR="00290858" w:rsidRPr="00C33834" w:rsidRDefault="0029085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июня 1933 - DoJ II "Монсун" впервые катапультировали с борта "Вестфалена" с грузом почты. Он благополучно достиг Наталя. После ещё нескольких пробных полётов в феврале 1934 года "Люфтганза" официально открыла южноатлантическую почтовую трассу. Так реализовывался проект организации регулярного почтового сообщения через Южную Атлантику. Для него фирма "Дорнье металльбаутен" разработала катапультный вариант DoJ II. Планер усилили, лодку перекомпоновали, заменив пассажирские салоны грузовыми отсеками, установили дополнительные бензобаки. Экипаж увеличился до четырёх человек. При этом полётная масса возросла до 8500 кг.</w:t>
      </w:r>
    </w:p>
    <w:p w14:paraId="0F9CF5B0" w14:textId="77777777" w:rsidR="00290858" w:rsidRPr="00C33834" w:rsidRDefault="0029085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качестве плавучей базы, на которой монтировалась паровая катапульта фирмы "Хейнкель", использовали пароход "Вестфален", занимавший позицию на полпути между Наталем в Бразилии и Батерстом в Африке. Перевозивший почту самолёт садился возле плавбазы, а затем заруливал на специальный фартук за её кормой. Оттуда лодку краном поднимали на тележку катапульты. Машину осматривали, при необходимости ремонтировали, дозаправляли горючим и маслом на оставшийся путь. Катапульта использовалась потому, что самостоятельно взлететь с таким весом Дорнье "Валь" практически не мог (22649).</w:t>
      </w:r>
    </w:p>
    <w:p w14:paraId="138A2833" w14:textId="77777777" w:rsidR="00290858" w:rsidRPr="00C33834" w:rsidRDefault="00290858" w:rsidP="00C33834">
      <w:pPr>
        <w:spacing w:after="0" w:line="240" w:lineRule="auto"/>
        <w:jc w:val="both"/>
        <w:rPr>
          <w:rFonts w:ascii="Times New Roman" w:hAnsi="Times New Roman"/>
          <w:color w:val="0070C0"/>
          <w:sz w:val="16"/>
          <w:szCs w:val="16"/>
        </w:rPr>
      </w:pPr>
    </w:p>
    <w:p w14:paraId="4EAFB270" w14:textId="77777777" w:rsidR="00290858" w:rsidRPr="00C33834" w:rsidRDefault="00290858"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shd w:val="clear" w:color="auto" w:fill="FFFFFF"/>
        </w:rPr>
        <w:t>6 июня 1933 «Локхид «Вега» «Век прогресса», раскрашенный под гигантского стилизованного орла, стартовавший из Нью-Йорка 3 июня 1933 под управлением Джеймса Маттерна, выполнил перелет Москва – Омск. Вылетев в тот же день из Омска, Маттерн очень скоро ощутил в кабине запах выхлопных газов. В районе города Белово, Кемеровской области, летчик, страдая от головокружения и почти теряя сознание, ранним утром 7 июня был вынужден посадить самолет. При осмотре самолета было обнаружено разрушение выхлопного коллектора двигателя и повреждение руля высоты, возникшее при не очень удачной посадке.</w:t>
      </w:r>
    </w:p>
    <w:p w14:paraId="455D4F60" w14:textId="77777777" w:rsidR="00290858" w:rsidRPr="00C33834" w:rsidRDefault="00290858"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shd w:val="clear" w:color="auto" w:fill="FFFFFF"/>
        </w:rPr>
        <w:t>9 июня в 4 часа по московскому времени Маттерн вылетел из Белово, а через три часа опустился на аэродроме Красноярска. В 12 часов – взлет из Красноярска. 10 июня в 2.30 «Век прогресса» пролетел над Иркутском, а 11 июня в 3.20 (по московскому времени) Маттерн произвел посадку в Хабаровске.</w:t>
      </w:r>
    </w:p>
    <w:p w14:paraId="27BAE3CD" w14:textId="77777777" w:rsidR="00290858" w:rsidRPr="00C33834" w:rsidRDefault="0029085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shd w:val="clear" w:color="auto" w:fill="FFFFFF"/>
        </w:rPr>
        <w:t>Только 14 июня, после двух неудачных стартов (11 и 13 июня), американец продолжил свой путь из Хабаровска на Аляску, которую ему довелось увидеть только месяц спустя. Через 18 часов полета Маттерн обнаружил, что двигатель самолета перегревается из-за масляного голодания – замерз масляный трубопровод. Километрах в восьмидесяти от села Анадырь на берегу реки Анадырь он приземлился, но неудачно – подломил шасси и помял крылья. К счастью, сам пилот не пострадал. Много дней он провел в ожидании спасателей. На двенадцатые сутки его обнаружили чукчи и привезли в Анадырь.</w:t>
      </w:r>
      <w:r w:rsidRPr="00C33834">
        <w:rPr>
          <w:rFonts w:ascii="Times New Roman" w:hAnsi="Times New Roman"/>
          <w:color w:val="0070C0"/>
          <w:sz w:val="16"/>
          <w:szCs w:val="16"/>
        </w:rPr>
        <w:br/>
      </w:r>
      <w:r w:rsidRPr="00C33834">
        <w:rPr>
          <w:rFonts w:ascii="Times New Roman" w:hAnsi="Times New Roman"/>
          <w:color w:val="0070C0"/>
          <w:sz w:val="16"/>
          <w:szCs w:val="16"/>
          <w:shd w:val="clear" w:color="auto" w:fill="FFFFFF"/>
        </w:rPr>
        <w:t>Дальнейший путь Маттерна проходил уже на советском самолете. Летчик С.А. Леваневский, перегонявший из Севастополя на Чукотку летающую лодку «Дорнье «Валь», получил задание вывезти американца на Аляску. 20 июля экипаж Леваневского доставил несостоявшегося рекордсмена в город Ном. 29 июля Джеймс Маттерн, замкнув кругосветный маршрут, добрался до Нью-Йорка (21438).</w:t>
      </w:r>
    </w:p>
    <w:p w14:paraId="47C205B7" w14:textId="77777777" w:rsidR="00290858" w:rsidRPr="00C33834" w:rsidRDefault="00290858" w:rsidP="00C33834">
      <w:pPr>
        <w:spacing w:after="0" w:line="240" w:lineRule="auto"/>
        <w:jc w:val="both"/>
        <w:rPr>
          <w:rFonts w:ascii="Times New Roman" w:hAnsi="Times New Roman"/>
          <w:color w:val="0070C0"/>
          <w:sz w:val="16"/>
          <w:szCs w:val="16"/>
        </w:rPr>
      </w:pPr>
    </w:p>
    <w:p w14:paraId="3921F714" w14:textId="77777777" w:rsidR="00AE51CE" w:rsidRPr="00C33834" w:rsidRDefault="00AE51C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июня 1933 в Нью-Джерси впервые открылся кинотеатр, в котором зрители могли смотреть кино, не выходя из автомобилей (4962).</w:t>
      </w:r>
    </w:p>
    <w:p w14:paraId="6710892A" w14:textId="77777777" w:rsidR="00AE51CE" w:rsidRPr="00C33834" w:rsidRDefault="00AE51C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6AF45E" w14:textId="77777777" w:rsidR="00550226" w:rsidRPr="00C33834" w:rsidRDefault="005502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lastRenderedPageBreak/>
        <w:t>6 июня</w:t>
      </w:r>
      <w:r w:rsidRPr="00C33834">
        <w:rPr>
          <w:rFonts w:ascii="Times New Roman" w:hAnsi="Times New Roman"/>
          <w:color w:val="000000" w:themeColor="text1"/>
          <w:sz w:val="16"/>
          <w:szCs w:val="16"/>
        </w:rPr>
        <w:t xml:space="preserve"> в 1933 году в городе Кэмден (штат Нью-Джерси) открывается первый кинотеатр, в котором автолюбители могут смотреть кино не выходя из автомобиля. Стоит это удовольствие 25 центов для одного человека плюс 25 центов за просмотр фильма машиной, но в сумме не превышает одного доллара. Размер экрана был 12х15 м (14914).</w:t>
      </w:r>
    </w:p>
    <w:p w14:paraId="222D610A" w14:textId="77777777" w:rsidR="00550226" w:rsidRPr="00C33834" w:rsidRDefault="00550226" w:rsidP="00C33834">
      <w:pPr>
        <w:spacing w:after="0" w:line="240" w:lineRule="auto"/>
        <w:jc w:val="both"/>
        <w:rPr>
          <w:rFonts w:ascii="Times New Roman" w:hAnsi="Times New Roman"/>
          <w:color w:val="000000" w:themeColor="text1"/>
          <w:sz w:val="16"/>
          <w:szCs w:val="16"/>
        </w:rPr>
      </w:pPr>
    </w:p>
    <w:p w14:paraId="41F07A86"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1994D5F"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139F9D9" w14:textId="77777777" w:rsidR="00AE51CE" w:rsidRPr="00C33834" w:rsidRDefault="00AE51C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июня 1933 года после демонстрации Наркомвоенмору Ворошилову и Наркомтяжпрому Орджоникидзе самолета РД, там же на аэродроме в присутствии Баранова и Алксниса было принято решение о постройке 40 экземпляров этой машины в военном варианте.</w:t>
      </w:r>
    </w:p>
    <w:p w14:paraId="1832C67D" w14:textId="77777777" w:rsidR="00AE51CE" w:rsidRPr="00C33834" w:rsidRDefault="00AE51C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исполнение этого решения в июне 1933 года Барановым было отдано распоряжение 39 заводу: «Немедленно приступить к работам по серийной постройке самолета РД в военном варианте. Работу вести самым быстрым темпом с тем, чтобы в мае 1934 года выпустить первые 10 машин и обеспечить последующий выпуск их по 10 машин в месяц. Ввиду особой важности и срочности задачи по подготовке производства и по постройке, пойти на необходимый производственный риск, отказавшись от нормальной схемы серийного производства, как не укладывающейся в указанные короткие сроки. Чертежи самолета будут Вам поданы в срок с 1 июля – 1 ноября 1933 года» (4256, 30).</w:t>
      </w:r>
    </w:p>
    <w:p w14:paraId="6EF555EA" w14:textId="77777777" w:rsidR="00AE51CE" w:rsidRPr="00C33834" w:rsidRDefault="00AE51C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EDEE2A"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июня 1933 г. построили макет машины И-15 мотора Райт «Циклон» 8СК-1820 Р-3 и началось изго</w:t>
      </w:r>
      <w:r w:rsidRPr="00C33834">
        <w:rPr>
          <w:rFonts w:ascii="Times New Roman" w:hAnsi="Times New Roman"/>
          <w:color w:val="000000" w:themeColor="text1"/>
          <w:sz w:val="16"/>
          <w:szCs w:val="16"/>
        </w:rPr>
        <w:softHyphen/>
        <w:t>товление деталей самолета (10667).</w:t>
      </w:r>
    </w:p>
    <w:p w14:paraId="46D69A59"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31EC210C"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ABCA599"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96B0C08" w14:textId="77777777" w:rsidR="004E5B4E" w:rsidRPr="00C33834" w:rsidRDefault="004E5B4E" w:rsidP="00C33834">
      <w:pPr>
        <w:pStyle w:val="ae"/>
        <w:shd w:val="clear" w:color="auto" w:fill="FFFFFF"/>
        <w:spacing w:before="0" w:after="0"/>
        <w:jc w:val="both"/>
        <w:textAlignment w:val="baseline"/>
        <w:rPr>
          <w:color w:val="0070C0"/>
          <w:sz w:val="16"/>
          <w:szCs w:val="16"/>
        </w:rPr>
      </w:pPr>
      <w:r w:rsidRPr="00C33834">
        <w:rPr>
          <w:color w:val="0070C0"/>
          <w:sz w:val="16"/>
          <w:szCs w:val="16"/>
        </w:rPr>
        <w:t>К началу июня 1933 года появилась САУ, предназначенная для установки на ней 203-мм гаубицы особой мощности Б-4, которая получила обозначение СУ-14. В отличие от СУ-7, приоритет по СУ-14 оказался более высоким. Дело в том, что Б-4 как раз в 1933 году приняли на вооружение Красной армии, и для неё «самоходный лафет» был вполне актуален. Базой для СУ-14 был выбран Т-28, но при этом с самого начала ходовая часть машины весьма существенно отличалась от прародителя. Ведущим инженером машины был П.Н. Сячинтов, большую работу по ней провёл и Л.С. Троянов, в будущем — один из наиболее известных создателей советских тяжёлых САУ (19857).</w:t>
      </w:r>
    </w:p>
    <w:p w14:paraId="6AB94C58" w14:textId="77777777" w:rsidR="004E5B4E" w:rsidRPr="00C33834" w:rsidRDefault="004E5B4E" w:rsidP="00C33834">
      <w:pPr>
        <w:shd w:val="clear" w:color="auto" w:fill="FFFFFF"/>
        <w:spacing w:after="0" w:line="240" w:lineRule="auto"/>
        <w:jc w:val="both"/>
        <w:rPr>
          <w:rFonts w:ascii="Times New Roman" w:hAnsi="Times New Roman"/>
          <w:color w:val="0070C0"/>
          <w:sz w:val="16"/>
          <w:szCs w:val="16"/>
        </w:rPr>
      </w:pPr>
    </w:p>
    <w:p w14:paraId="4229A910"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июня 1933 года на Харьковский паровозостроительный завод имени Коминтерна (ХПЗ), куда в мае постановлением Правительства было передано производство танка Т-35, в срочном порядке отправили еще не прошедшую испытания машину Т-35-2 и всю рабочую документацию по Т-35А. Проект последнего значительно отличался от обоих прототипов. Танк имел удлиненную на одну тележку ходовую часть, малые пулеметные башни новой конструкции, средние башни увеличенного размера с 45-мм орудиями 20K, измененную форму корпуса и т.д. По существу это была уже новая машина, что вызвало ряд трудностей при ее изготовлении (3862).</w:t>
      </w:r>
    </w:p>
    <w:p w14:paraId="5347936B"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производству Т-35 подключили несколько заводов, в том числе Ижорский (бронекорпуса), "Красный Октябрь" (коробки передач), Рыбинский (двигатели). По плану Харьковского предприятия, смежники должны были уже в июне 1933 года начать отгрузку своей продукции на ХПЗ, но реально они смогли это сделать лишь в августе (3862).</w:t>
      </w:r>
    </w:p>
    <w:p w14:paraId="7BEF4A15"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25F9FC25" w14:textId="77777777" w:rsidR="000F0C05" w:rsidRPr="00C33834" w:rsidRDefault="000F0C0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июня 1933 г. в Харьков в срочном порядке отправили еще не прошедшую испытания машину Т-35—2 и всю рабочую документацию по Т-35А. Проект последнего значительно отличался от обоих прототипов. Танк имел удлиненную на одну тележку ходовую часть, малые пулеметные башни новой конструкции, средние башни увеличенного размера с 45-мм орудиями 20К, измененную форму корпуса и т.д (15117).</w:t>
      </w:r>
    </w:p>
    <w:p w14:paraId="024ADC4E" w14:textId="77777777" w:rsidR="000F0C05" w:rsidRPr="00C33834" w:rsidRDefault="000F0C05" w:rsidP="00C33834">
      <w:pPr>
        <w:spacing w:after="0" w:line="240" w:lineRule="auto"/>
        <w:jc w:val="both"/>
        <w:rPr>
          <w:rFonts w:ascii="Times New Roman" w:hAnsi="Times New Roman"/>
          <w:color w:val="000000" w:themeColor="text1"/>
          <w:sz w:val="16"/>
          <w:szCs w:val="16"/>
        </w:rPr>
      </w:pPr>
    </w:p>
    <w:p w14:paraId="0CF24D0B"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первых числах июня 1933 директор ХПЗ И.П.Бондаренко направил Нач. УММ РККА Халепскому фотоснимки модели, разработанного эскизного проекта БТ с 76-мм пушкой (3881,3).</w:t>
      </w:r>
    </w:p>
    <w:p w14:paraId="46825506"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1104903B"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71DCF71"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DAC221A" w14:textId="77777777" w:rsidR="00185C06" w:rsidRPr="00C33834" w:rsidRDefault="00185C0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июня 1933 года было угверждено Техническое задание на строительство бетонированной взлетной дорож</w:t>
      </w:r>
      <w:r w:rsidRPr="00C33834">
        <w:rPr>
          <w:rFonts w:ascii="Times New Roman" w:hAnsi="Times New Roman"/>
          <w:color w:val="000000" w:themeColor="text1"/>
          <w:sz w:val="16"/>
          <w:szCs w:val="16"/>
        </w:rPr>
        <w:softHyphen/>
        <w:t>ки. 13 июня 1933 спустя шесть дней разработали техниче</w:t>
      </w:r>
      <w:r w:rsidRPr="00C33834">
        <w:rPr>
          <w:rFonts w:ascii="Times New Roman" w:hAnsi="Times New Roman"/>
          <w:color w:val="000000" w:themeColor="text1"/>
          <w:sz w:val="16"/>
          <w:szCs w:val="16"/>
        </w:rPr>
        <w:softHyphen/>
        <w:t>ское задание на проектирование взлетной полосы специального назначения длиной 1500 метров и шириной 50 метров, направ</w:t>
      </w:r>
      <w:r w:rsidRPr="00C33834">
        <w:rPr>
          <w:rFonts w:ascii="Times New Roman" w:hAnsi="Times New Roman"/>
          <w:color w:val="000000" w:themeColor="text1"/>
          <w:sz w:val="16"/>
          <w:szCs w:val="16"/>
        </w:rPr>
        <w:softHyphen/>
        <w:t>ленной с юго-востока на северо-запад. По проекту полоса включала наклонную и го</w:t>
      </w:r>
      <w:r w:rsidRPr="00C33834">
        <w:rPr>
          <w:rFonts w:ascii="Times New Roman" w:hAnsi="Times New Roman"/>
          <w:color w:val="000000" w:themeColor="text1"/>
          <w:sz w:val="16"/>
          <w:szCs w:val="16"/>
        </w:rPr>
        <w:softHyphen/>
        <w:t>ризонтальную части с площадкой разме</w:t>
      </w:r>
      <w:r w:rsidRPr="00C33834">
        <w:rPr>
          <w:rFonts w:ascii="Times New Roman" w:hAnsi="Times New Roman"/>
          <w:color w:val="000000" w:themeColor="text1"/>
          <w:sz w:val="16"/>
          <w:szCs w:val="16"/>
        </w:rPr>
        <w:softHyphen/>
        <w:t>ром 25x25 метров, расположенной на вер</w:t>
      </w:r>
      <w:r w:rsidRPr="00C33834">
        <w:rPr>
          <w:rFonts w:ascii="Times New Roman" w:hAnsi="Times New Roman"/>
          <w:color w:val="000000" w:themeColor="text1"/>
          <w:sz w:val="16"/>
          <w:szCs w:val="16"/>
        </w:rPr>
        <w:softHyphen/>
        <w:t>шине десяти метровой горки. Последняя находилась в юго-восточной части аэро</w:t>
      </w:r>
      <w:r w:rsidRPr="00C33834">
        <w:rPr>
          <w:rFonts w:ascii="Times New Roman" w:hAnsi="Times New Roman"/>
          <w:color w:val="000000" w:themeColor="text1"/>
          <w:sz w:val="16"/>
          <w:szCs w:val="16"/>
        </w:rPr>
        <w:softHyphen/>
        <w:t>дрома. Однако в ходе постройки высоту горки увеличили до 12 метров, а протяжен</w:t>
      </w:r>
      <w:r w:rsidRPr="00C33834">
        <w:rPr>
          <w:rFonts w:ascii="Times New Roman" w:hAnsi="Times New Roman"/>
          <w:color w:val="000000" w:themeColor="text1"/>
          <w:sz w:val="16"/>
          <w:szCs w:val="16"/>
        </w:rPr>
        <w:softHyphen/>
        <w:t>ность бетонной дорожки возросла с 1500 до 1800 метров. Наклонная часть старто</w:t>
      </w:r>
      <w:r w:rsidRPr="00C33834">
        <w:rPr>
          <w:rFonts w:ascii="Times New Roman" w:hAnsi="Times New Roman"/>
          <w:color w:val="000000" w:themeColor="text1"/>
          <w:sz w:val="16"/>
          <w:szCs w:val="16"/>
        </w:rPr>
        <w:softHyphen/>
        <w:t>вой горки постепенно расширялась с 25 до 50 метров. В таком виде горка просущест</w:t>
      </w:r>
      <w:r w:rsidRPr="00C33834">
        <w:rPr>
          <w:rFonts w:ascii="Times New Roman" w:hAnsi="Times New Roman"/>
          <w:color w:val="000000" w:themeColor="text1"/>
          <w:sz w:val="16"/>
          <w:szCs w:val="16"/>
        </w:rPr>
        <w:softHyphen/>
        <w:t>вовала до середины 1960-х годов. Этот па</w:t>
      </w:r>
      <w:r w:rsidRPr="00C33834">
        <w:rPr>
          <w:rFonts w:ascii="Times New Roman" w:hAnsi="Times New Roman"/>
          <w:color w:val="000000" w:themeColor="text1"/>
          <w:sz w:val="16"/>
          <w:szCs w:val="16"/>
        </w:rPr>
        <w:softHyphen/>
        <w:t>мятник истории снесли по нелепому рас</w:t>
      </w:r>
      <w:r w:rsidRPr="00C33834">
        <w:rPr>
          <w:rFonts w:ascii="Times New Roman" w:hAnsi="Times New Roman"/>
          <w:color w:val="000000" w:themeColor="text1"/>
          <w:sz w:val="16"/>
          <w:szCs w:val="16"/>
        </w:rPr>
        <w:softHyphen/>
        <w:t>поряжению генерала Н. Пушко, совме</w:t>
      </w:r>
      <w:r w:rsidRPr="00C33834">
        <w:rPr>
          <w:rFonts w:ascii="Times New Roman" w:hAnsi="Times New Roman"/>
          <w:color w:val="000000" w:themeColor="text1"/>
          <w:sz w:val="16"/>
          <w:szCs w:val="16"/>
        </w:rPr>
        <w:softHyphen/>
        <w:t>щавшего тогда должности начальника филиала НИИ ВВС имени В.П. Чкалова, базировавшегося на территории, прилега</w:t>
      </w:r>
      <w:r w:rsidRPr="00C33834">
        <w:rPr>
          <w:rFonts w:ascii="Times New Roman" w:hAnsi="Times New Roman"/>
          <w:color w:val="000000" w:themeColor="text1"/>
          <w:sz w:val="16"/>
          <w:szCs w:val="16"/>
        </w:rPr>
        <w:softHyphen/>
        <w:t>ющей к аэродрому, и начальника Щелков</w:t>
      </w:r>
      <w:r w:rsidRPr="00C33834">
        <w:rPr>
          <w:rFonts w:ascii="Times New Roman" w:hAnsi="Times New Roman"/>
          <w:color w:val="000000" w:themeColor="text1"/>
          <w:sz w:val="16"/>
          <w:szCs w:val="16"/>
        </w:rPr>
        <w:softHyphen/>
        <w:t>ского гарнизона.</w:t>
      </w:r>
    </w:p>
    <w:p w14:paraId="5FA5299E" w14:textId="77777777" w:rsidR="00185C06" w:rsidRPr="00C33834" w:rsidRDefault="00185C0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Одновременно со строительством поло</w:t>
      </w:r>
      <w:r w:rsidRPr="00C33834">
        <w:rPr>
          <w:rFonts w:ascii="Times New Roman" w:hAnsi="Times New Roman"/>
          <w:color w:val="000000" w:themeColor="text1"/>
          <w:sz w:val="16"/>
          <w:szCs w:val="16"/>
        </w:rPr>
        <w:softHyphen/>
        <w:t>сы 2000 рабочих и красноармейцев в те</w:t>
      </w:r>
      <w:r w:rsidRPr="00C33834">
        <w:rPr>
          <w:rFonts w:ascii="Times New Roman" w:hAnsi="Times New Roman"/>
          <w:color w:val="000000" w:themeColor="text1"/>
          <w:sz w:val="16"/>
          <w:szCs w:val="16"/>
        </w:rPr>
        <w:softHyphen/>
        <w:t>чение 15 суток сравнивали большой зем</w:t>
      </w:r>
      <w:r w:rsidRPr="00C33834">
        <w:rPr>
          <w:rFonts w:ascii="Times New Roman" w:hAnsi="Times New Roman"/>
          <w:color w:val="000000" w:themeColor="text1"/>
          <w:sz w:val="16"/>
          <w:szCs w:val="16"/>
        </w:rPr>
        <w:softHyphen/>
        <w:t>ляной холм, лежавший на пути самоле</w:t>
      </w:r>
      <w:r w:rsidRPr="00C33834">
        <w:rPr>
          <w:rFonts w:ascii="Times New Roman" w:hAnsi="Times New Roman"/>
          <w:color w:val="000000" w:themeColor="text1"/>
          <w:sz w:val="16"/>
          <w:szCs w:val="16"/>
        </w:rPr>
        <w:softHyphen/>
        <w:t>та. Вертикальная скорость перегруженной машины была столь низка, что она после отрыва не успевала преодолеть это естест</w:t>
      </w:r>
      <w:r w:rsidRPr="00C33834">
        <w:rPr>
          <w:rFonts w:ascii="Times New Roman" w:hAnsi="Times New Roman"/>
          <w:color w:val="000000" w:themeColor="text1"/>
          <w:sz w:val="16"/>
          <w:szCs w:val="16"/>
        </w:rPr>
        <w:softHyphen/>
        <w:t>венное препятствие.</w:t>
      </w:r>
    </w:p>
    <w:p w14:paraId="5E3A7AFF" w14:textId="77777777" w:rsidR="00185C06" w:rsidRPr="00C33834" w:rsidRDefault="00185C0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Подобных бетонных дорожек со старто</w:t>
      </w:r>
      <w:r w:rsidRPr="00C33834">
        <w:rPr>
          <w:rFonts w:ascii="Times New Roman" w:hAnsi="Times New Roman"/>
          <w:color w:val="000000" w:themeColor="text1"/>
          <w:sz w:val="16"/>
          <w:szCs w:val="16"/>
        </w:rPr>
        <w:softHyphen/>
        <w:t>вой горкой не было ни в одной стране ми</w:t>
      </w:r>
      <w:r w:rsidRPr="00C33834">
        <w:rPr>
          <w:rFonts w:ascii="Times New Roman" w:hAnsi="Times New Roman"/>
          <w:color w:val="000000" w:themeColor="text1"/>
          <w:sz w:val="16"/>
          <w:szCs w:val="16"/>
        </w:rPr>
        <w:softHyphen/>
        <w:t>ра, и причиной ее появления было отсутст</w:t>
      </w:r>
      <w:r w:rsidRPr="00C33834">
        <w:rPr>
          <w:rFonts w:ascii="Times New Roman" w:hAnsi="Times New Roman"/>
          <w:color w:val="000000" w:themeColor="text1"/>
          <w:sz w:val="16"/>
          <w:szCs w:val="16"/>
        </w:rPr>
        <w:softHyphen/>
        <w:t>вие тормозов колес у самолета РД. Послед</w:t>
      </w:r>
      <w:r w:rsidRPr="00C33834">
        <w:rPr>
          <w:rFonts w:ascii="Times New Roman" w:hAnsi="Times New Roman"/>
          <w:color w:val="000000" w:themeColor="text1"/>
          <w:sz w:val="16"/>
          <w:szCs w:val="16"/>
        </w:rPr>
        <w:softHyphen/>
        <w:t>нее обстоятельство усложняло выдержива</w:t>
      </w:r>
      <w:r w:rsidRPr="00C33834">
        <w:rPr>
          <w:rFonts w:ascii="Times New Roman" w:hAnsi="Times New Roman"/>
          <w:color w:val="000000" w:themeColor="text1"/>
          <w:sz w:val="16"/>
          <w:szCs w:val="16"/>
        </w:rPr>
        <w:softHyphen/>
        <w:t>ние направления разбега тяжелой маши</w:t>
      </w:r>
      <w:r w:rsidRPr="00C33834">
        <w:rPr>
          <w:rFonts w:ascii="Times New Roman" w:hAnsi="Times New Roman"/>
          <w:color w:val="000000" w:themeColor="text1"/>
          <w:sz w:val="16"/>
          <w:szCs w:val="16"/>
        </w:rPr>
        <w:softHyphen/>
        <w:t>ны. Горка же позволяла ускорить разгон и, практически, с самого начала разбега со</w:t>
      </w:r>
      <w:r w:rsidRPr="00C33834">
        <w:rPr>
          <w:rFonts w:ascii="Times New Roman" w:hAnsi="Times New Roman"/>
          <w:color w:val="000000" w:themeColor="text1"/>
          <w:sz w:val="16"/>
          <w:szCs w:val="16"/>
        </w:rPr>
        <w:softHyphen/>
        <w:t>хранять его направление с помощью аэро</w:t>
      </w:r>
      <w:r w:rsidRPr="00C33834">
        <w:rPr>
          <w:rFonts w:ascii="Times New Roman" w:hAnsi="Times New Roman"/>
          <w:color w:val="000000" w:themeColor="text1"/>
          <w:sz w:val="16"/>
          <w:szCs w:val="16"/>
        </w:rPr>
        <w:softHyphen/>
        <w:t>динамического руля.</w:t>
      </w:r>
    </w:p>
    <w:p w14:paraId="048D785C" w14:textId="77777777" w:rsidR="00185C06" w:rsidRPr="00C33834" w:rsidRDefault="00185C06" w:rsidP="00C33834">
      <w:pPr>
        <w:pStyle w:val="txt1"/>
        <w:shd w:val="clear" w:color="auto" w:fill="FFFFFF"/>
        <w:spacing w:before="0" w:beforeAutospacing="0" w:after="0" w:afterAutospacing="0" w:line="240" w:lineRule="auto"/>
        <w:ind w:firstLine="0"/>
        <w:rPr>
          <w:color w:val="000000" w:themeColor="text1"/>
          <w:sz w:val="16"/>
          <w:szCs w:val="16"/>
        </w:rPr>
      </w:pPr>
      <w:r w:rsidRPr="00C33834">
        <w:rPr>
          <w:color w:val="000000" w:themeColor="text1"/>
          <w:sz w:val="16"/>
          <w:szCs w:val="16"/>
        </w:rPr>
        <w:t>Впоследствии аэродром НИИ ВВС стали называть Чкаловская в соответствии с од</w:t>
      </w:r>
      <w:r w:rsidRPr="00C33834">
        <w:rPr>
          <w:color w:val="000000" w:themeColor="text1"/>
          <w:sz w:val="16"/>
          <w:szCs w:val="16"/>
        </w:rPr>
        <w:softHyphen/>
        <w:t>ноименной железнодорожной станцией (12725).</w:t>
      </w:r>
    </w:p>
    <w:p w14:paraId="424F0E3B" w14:textId="77777777" w:rsidR="00185C06" w:rsidRPr="00C33834" w:rsidRDefault="00185C06" w:rsidP="00C33834">
      <w:pPr>
        <w:pStyle w:val="txt1"/>
        <w:shd w:val="clear" w:color="auto" w:fill="FFFFFF"/>
        <w:spacing w:before="0" w:beforeAutospacing="0" w:after="0" w:afterAutospacing="0" w:line="240" w:lineRule="auto"/>
        <w:ind w:firstLine="0"/>
        <w:rPr>
          <w:color w:val="000000" w:themeColor="text1"/>
          <w:sz w:val="16"/>
          <w:szCs w:val="16"/>
        </w:rPr>
      </w:pPr>
    </w:p>
    <w:p w14:paraId="2B96F957" w14:textId="77777777" w:rsidR="00B80661" w:rsidRPr="00C33834" w:rsidRDefault="00B8066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 июня 1933 г. «С-1» вышел на государственные испытания, предусматривавшие пять полётов: один — на потолок, два — на переходы с привяз</w:t>
      </w:r>
      <w:r w:rsidRPr="00C33834">
        <w:rPr>
          <w:rFonts w:ascii="Times New Roman" w:hAnsi="Times New Roman"/>
          <w:color w:val="0070C0"/>
          <w:sz w:val="16"/>
          <w:szCs w:val="16"/>
        </w:rPr>
        <w:softHyphen/>
        <w:t>ного состояния на моторный полёт (на это затра</w:t>
      </w:r>
      <w:r w:rsidRPr="00C33834">
        <w:rPr>
          <w:rFonts w:ascii="Times New Roman" w:hAnsi="Times New Roman"/>
          <w:color w:val="0070C0"/>
          <w:sz w:val="16"/>
          <w:szCs w:val="16"/>
        </w:rPr>
        <w:softHyphen/>
        <w:t>чивалось 9 минут), один — на продолжитель</w:t>
      </w:r>
      <w:r w:rsidRPr="00C33834">
        <w:rPr>
          <w:rFonts w:ascii="Times New Roman" w:hAnsi="Times New Roman"/>
          <w:color w:val="0070C0"/>
          <w:sz w:val="16"/>
          <w:szCs w:val="16"/>
        </w:rPr>
        <w:softHyphen/>
        <w:t>ность и один — тренировочный. Помимо двух наблюдателей и аппаратуры для наблюдения, в корзине предусмотрели штатный пулемёт.</w:t>
      </w:r>
    </w:p>
    <w:p w14:paraId="59E837ED" w14:textId="77777777" w:rsidR="00B80661" w:rsidRPr="00C33834" w:rsidRDefault="00B8066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9 июня испытания завершились. Комиссия пришла к выводу, что «С-1» представляет собой оригинальную конструкцию, увеличивающую в четыре раза мобильность воздухоплаватель</w:t>
      </w:r>
      <w:r w:rsidRPr="00C33834">
        <w:rPr>
          <w:rFonts w:ascii="Times New Roman" w:hAnsi="Times New Roman"/>
          <w:color w:val="0070C0"/>
          <w:sz w:val="16"/>
          <w:szCs w:val="16"/>
        </w:rPr>
        <w:softHyphen/>
        <w:t>ных строевых частей. Аэростат показал удовлет</w:t>
      </w:r>
      <w:r w:rsidRPr="00C33834">
        <w:rPr>
          <w:rFonts w:ascii="Times New Roman" w:hAnsi="Times New Roman"/>
          <w:color w:val="0070C0"/>
          <w:sz w:val="16"/>
          <w:szCs w:val="16"/>
        </w:rPr>
        <w:softHyphen/>
        <w:t>ворительную устойчивость, надёжную управляе</w:t>
      </w:r>
      <w:r w:rsidRPr="00C33834">
        <w:rPr>
          <w:rFonts w:ascii="Times New Roman" w:hAnsi="Times New Roman"/>
          <w:color w:val="0070C0"/>
          <w:sz w:val="16"/>
          <w:szCs w:val="16"/>
        </w:rPr>
        <w:softHyphen/>
        <w:t>мость по высоте и направлению. Конструкцию гондолы, однако, признали неудовлетворитель</w:t>
      </w:r>
      <w:r w:rsidRPr="00C33834">
        <w:rPr>
          <w:rFonts w:ascii="Times New Roman" w:hAnsi="Times New Roman"/>
          <w:color w:val="0070C0"/>
          <w:sz w:val="16"/>
          <w:szCs w:val="16"/>
        </w:rPr>
        <w:softHyphen/>
        <w:t>ной, так как она не обеспечивала нормальный обзор в полёте. Расположение оборудования и приборов также признали неудачным. Боль</w:t>
      </w:r>
      <w:r w:rsidRPr="00C33834">
        <w:rPr>
          <w:rFonts w:ascii="Times New Roman" w:hAnsi="Times New Roman"/>
          <w:color w:val="0070C0"/>
          <w:sz w:val="16"/>
          <w:szCs w:val="16"/>
        </w:rPr>
        <w:softHyphen/>
        <w:t>шие неудобства доставлял и тянущий винт. «С-1» не смог развить максимальную скорость, так как его киль начинал деформироваться уже при ско</w:t>
      </w:r>
      <w:r w:rsidRPr="00C33834">
        <w:rPr>
          <w:rFonts w:ascii="Times New Roman" w:hAnsi="Times New Roman"/>
          <w:color w:val="0070C0"/>
          <w:sz w:val="16"/>
          <w:szCs w:val="16"/>
        </w:rPr>
        <w:softHyphen/>
        <w:t>рости 60 км/ч.</w:t>
      </w:r>
    </w:p>
    <w:p w14:paraId="3CB65737" w14:textId="77777777" w:rsidR="00B80661" w:rsidRPr="00C33834" w:rsidRDefault="00B8066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Поскольку устранение указанных дефектов влекло за собой перерасчёт многих частей аэро</w:t>
      </w:r>
      <w:r w:rsidRPr="00C33834">
        <w:rPr>
          <w:rFonts w:ascii="Times New Roman" w:hAnsi="Times New Roman"/>
          <w:color w:val="0070C0"/>
          <w:sz w:val="16"/>
          <w:szCs w:val="16"/>
        </w:rPr>
        <w:softHyphen/>
        <w:t>стата, то решили после исправления киля и пе</w:t>
      </w:r>
      <w:r w:rsidRPr="00C33834">
        <w:rPr>
          <w:rFonts w:ascii="Times New Roman" w:hAnsi="Times New Roman"/>
          <w:color w:val="0070C0"/>
          <w:sz w:val="16"/>
          <w:szCs w:val="16"/>
        </w:rPr>
        <w:softHyphen/>
        <w:t>реконструирования такелажа передать «С-1» в строевую часть для тренировочных полётов, а «Дирижаблестрою» заказать войсковую серию из двух аэростатов, лишённых отмеченных недо</w:t>
      </w:r>
      <w:r w:rsidRPr="00C33834">
        <w:rPr>
          <w:rFonts w:ascii="Times New Roman" w:hAnsi="Times New Roman"/>
          <w:color w:val="0070C0"/>
          <w:sz w:val="16"/>
          <w:szCs w:val="16"/>
        </w:rPr>
        <w:softHyphen/>
        <w:t>статков (20120).</w:t>
      </w:r>
    </w:p>
    <w:p w14:paraId="3A3CA3D6" w14:textId="77777777" w:rsidR="00B80661" w:rsidRPr="00C33834" w:rsidRDefault="00B80661" w:rsidP="00C33834">
      <w:pPr>
        <w:spacing w:after="0" w:line="240" w:lineRule="auto"/>
        <w:jc w:val="both"/>
        <w:rPr>
          <w:rFonts w:ascii="Times New Roman" w:hAnsi="Times New Roman"/>
          <w:color w:val="0070C0"/>
          <w:sz w:val="16"/>
          <w:szCs w:val="16"/>
        </w:rPr>
      </w:pPr>
    </w:p>
    <w:p w14:paraId="42DA8E03" w14:textId="77777777" w:rsidR="00B80661" w:rsidRPr="00C33834" w:rsidRDefault="00B80661"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586E2EE" w14:textId="77777777" w:rsidR="00B80661" w:rsidRPr="00C33834" w:rsidRDefault="00B8066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DE1B8BC"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июня 1933 СТО принял постановление О программе военно-морского строительства. Предусматривалось и развитие авиации (3398,206).</w:t>
      </w:r>
    </w:p>
    <w:p w14:paraId="0778F332"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4616720C"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62208A1"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2B1F34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7-го июня 1933, преодолев большую часть территории СССР, Маттерн вылетел из Хабаровска в направлении Берингова пролива. Практически на самом краю необъятной русской территории, в районе поселка Анадырь, он был вынужден совершить посадку по причине неустойчивой работы двигателя. Приземление оказалось неудачным: у самолета были сломаны стойки шасси. Девять суток пилот бедствовал, питаясь шоколадом из бортового пайка. Затем он перебрался на берег реки Анадырь, где на 12-е сутки после исчезновения его обнаружили местные жители. О нахождении Маттерна сообщили властям, которые приняли решение доставить его домой на советском самолете. Дело считалось срочным, ибо американская пресса уже предполагала, что беднягу Маттерна съели местные туземцы.</w:t>
      </w:r>
    </w:p>
    <w:p w14:paraId="3FCE24F6"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Вывезти неудачливого американца поручили Сигизмунду Леваневскому, который незадолго до описываемых событий перегнал на Дальний Восток из Севастополя летающую лодку Дорнье "Валь" СССР-Н8.</w:t>
      </w:r>
    </w:p>
    <w:p w14:paraId="626CC01D"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кратчайшие сроки экипаж Леваневского сменил на Дорнье "Валь" изношенные двигатели и в начале августа вылетел из Хабаровска. В тяжелых метеоусловиях экипаж совершил перелет по маршруту: Хабаровск - Николаевск - Охотск - бухта Нагаево - Янек - Пенжинская губа - Марково - Анадырь. Захватив Маттерна и оборудование его машины, Леваневский 20 июля прибыл в Ном на Аляске. Возвращаясь назад, СССР-Н8 прошел вдоль северного побережья Чукотки и выполнил ряд ледовых разведок для судов Колымской экспедиции 1933 года. На заключительном этапе мар шрут пролегал вверх по Лене, затем по Ангаре в Иркутск, куда </w:t>
      </w:r>
      <w:r w:rsidRPr="00C33834">
        <w:rPr>
          <w:rFonts w:ascii="Times New Roman" w:hAnsi="Times New Roman"/>
          <w:color w:val="000000" w:themeColor="text1"/>
          <w:sz w:val="16"/>
          <w:szCs w:val="16"/>
        </w:rPr>
        <w:lastRenderedPageBreak/>
        <w:t>экипаж Н8 прибыл 24 сентября, пролетев свыше 37000 км. Таким образом, за весь летне-осенний вояж Леваневский преодолел расстояние, равнозначное по протяженности экваториальному перелету вокруг земного шара (11941).</w:t>
      </w:r>
    </w:p>
    <w:p w14:paraId="01131512"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541C02AB"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19F3DA0"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50C10D1"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июня 1933 И-14 (АНТ-31) с убирающимся шасси передали в ОАЛИД ЦАГИ (1454,25), где он находился до 17 июля, когда был возвращен для доработок (2869,23).</w:t>
      </w:r>
    </w:p>
    <w:p w14:paraId="1AEE1F22"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3C2D22D5"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июня 1933 г. первая фаза испытаний И-14 завершилась и 17 июля машина была передана обратно в ЦАГИ, поскольку в акте было записано, что самолет имеет ряд конструктивных недостатков.</w:t>
      </w:r>
    </w:p>
    <w:p w14:paraId="2A9E2A29"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цехе ЗОК на головном самолете произвели регулировку убирающегося шасси, заменили консоли с полотняной обшивкой на новые, умевшие метеллическую гофрированную обшивку. Поскольку радиатор не отвечал требованиям эффективного охлаждения масла, его заменили на более мощный. Заодно переделали коллектор выпускной системы мотора. В таком виде И-14 30 сентября 1933 г. вновь отправили на аэродром, где летчикииспытатели ОЭЛИД ЦАГИ обнаружили, что механизм уборки шасси опять не работает, поэтому снятие летных характеристик происходило с выпущенными стойками. Особого смысла такая работа не имела, а потому 30 октября машину опять вернули в ЗОКдлн нового этапа доработок. Лишь 14 ноября старания производственников увенчались успехом и шасси стало работать без замечаний. В ходе летного эксперимента это подтвердили испытатели, и 16 ноября 1933 г. самолет передали в ОЭЛИД по акту №32. Эту дату следует считать началом полномасштабных испытаний И -14 (12037).</w:t>
      </w:r>
    </w:p>
    <w:p w14:paraId="10C4262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4FF7CBE1"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июня 1933 Нач. ЦКБ С.В.И. писал Пом. нач. ГУАП Алмазову:</w:t>
      </w:r>
    </w:p>
    <w:p w14:paraId="7055554C"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И-15 был запланирован нами постройкой в 1933 лишь в одном экземпляре, в отличие от всех остальных типов самолетов (которые будут построены в 2-3 экз.), потому, что И-15 проектировался под мотор Бристоль-Меркур, который имелся у нас лишь в одном экз.</w:t>
      </w:r>
    </w:p>
    <w:p w14:paraId="14B6274B"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в виду замены мотора Бристоль-Меркур мотором Райт считаем необходимым строить самолет И-15 РЦ нормально в 2-х экз.</w:t>
      </w:r>
    </w:p>
    <w:p w14:paraId="2B0E2444"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Дополнительных средств на это не потребуется, т.к. вместо ЛК 2М-34 будем строить ЛК 2М-11. Прошу это изменение внести в план." (2303,14).</w:t>
      </w:r>
    </w:p>
    <w:p w14:paraId="58920B22"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0D5BD5EE" w14:textId="77777777" w:rsidR="00435D80" w:rsidRPr="00C33834" w:rsidRDefault="00435D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8 июня 1933 г. первый опытный экземпляр ЦАГИ А-4, отремонтированный после аварии 9 сентября 1932 г. при попытке первого взлета, вторич</w:t>
      </w:r>
      <w:r w:rsidRPr="00C33834">
        <w:rPr>
          <w:rFonts w:ascii="Times New Roman" w:hAnsi="Times New Roman"/>
          <w:color w:val="0070C0"/>
          <w:sz w:val="16"/>
          <w:szCs w:val="16"/>
        </w:rPr>
        <w:softHyphen/>
        <w:t>но приняли для проведения ис</w:t>
      </w:r>
      <w:r w:rsidRPr="00C33834">
        <w:rPr>
          <w:rFonts w:ascii="Times New Roman" w:hAnsi="Times New Roman"/>
          <w:color w:val="0070C0"/>
          <w:sz w:val="16"/>
          <w:szCs w:val="16"/>
        </w:rPr>
        <w:softHyphen/>
        <w:t>пытаний (20361).</w:t>
      </w:r>
    </w:p>
    <w:p w14:paraId="172AC48F" w14:textId="77777777" w:rsidR="00435D80" w:rsidRPr="00C33834" w:rsidRDefault="00435D80" w:rsidP="00C33834">
      <w:pPr>
        <w:shd w:val="clear" w:color="auto" w:fill="FFFFFF"/>
        <w:spacing w:after="0" w:line="240" w:lineRule="auto"/>
        <w:jc w:val="both"/>
        <w:rPr>
          <w:rFonts w:ascii="Times New Roman" w:hAnsi="Times New Roman"/>
          <w:color w:val="0070C0"/>
          <w:sz w:val="16"/>
          <w:szCs w:val="16"/>
        </w:rPr>
      </w:pPr>
    </w:p>
    <w:p w14:paraId="75C20DA9"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0930554"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34047F4"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—9 июня 1933 г. Проведены испытания второй артустановки ТМ-1-14 (11454).</w:t>
      </w:r>
    </w:p>
    <w:p w14:paraId="2415065A"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55A172B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июня 1933 вышел приказ народного комиссара тяжёлой промышленности СССР С.Орджоникидзе о создании в восточной части Казахстана государственного золотопромышленного треста - "Алтайзолото" путём объединения ранее действующих золотодобывающих предприятий и приисков. В состав треста "Алтайзолото" была введена транспортная контора, расположенная в с. Георгиевка, которая, начиная с 1929 года была оснащена в основном гужевым транспортом, а с 1932 года получила 35 новых отечественных автомобилей- грузовиков. В этом же году поступает первый токарный станок "Красный пролетарий". С 1 января 1933 года на базе транспортной конторы начинается создание механических мастерских, которые к концу года преобразуются в ремонтно-механический завод (10768).</w:t>
      </w:r>
    </w:p>
    <w:p w14:paraId="2DBA2C39"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5A3F4F76"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49D84A04"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099C67BA"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июня 1933 приказом МВС и лагеря № 79 было объявлено:</w:t>
      </w:r>
    </w:p>
    <w:p w14:paraId="5044101A"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«Разведывательными работами научной экспедиции государственной Академии истории Материальной Культуры были выявлены в зоне Строительства памятники исторического прошлого (остатки древних поселений, городищ, курганов, могильников и пр.).</w:t>
      </w:r>
    </w:p>
    <w:p w14:paraId="5E2AA4DD"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 к. памятники эти имеют большое научное значение, предлагаю:</w:t>
      </w:r>
    </w:p>
    <w:p w14:paraId="25038FF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всех случаях обнаружения при изыскательных и строительных работах каких-либо памятников древности, а так же о случайных находках древних предметов (изделий из камня, кости, рога, железа, бронзы, серебра, обломков глиняной посуды и пр.) немедленно сообщать Музею Строительства в Дмитрове, или представителям ГАИМК на местах.</w:t>
      </w:r>
    </w:p>
    <w:p w14:paraId="14B612B4"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Заведующему Музеем Строительства по получении сведений о находках археологического характера немедленно совместно с представителями ГАИМК выяснять, какие из найденных предметов должны быть помещены в Музее Строительства, и какие следует передать в другие специальные Музеи и хранилища для изучения.</w:t>
      </w:r>
    </w:p>
    <w:p w14:paraId="27F84A6D"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Придавая значение обогащению Музея экспонатами археологического характера, имеющими лишь косвенное отношение к задачам Москва-Волгострой, настоящим напоминаю начальникам отделов Строительства о необходимости скорейшего пополнения Музея экспонатами, иллюстрирующими современный ход и достижения Строительства Москва-Волгострой по линии каждого отдела» (7560).</w:t>
      </w:r>
    </w:p>
    <w:p w14:paraId="7B4BF290"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2BA57CA5"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6AB8303"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CCDBEFC"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июня 1933 был подготовлен расчет испытаний И-14 БМ по летным дням в соответствии с программой испытаний (2303,29).</w:t>
      </w:r>
    </w:p>
    <w:p w14:paraId="7C24D2E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2BBB4CB8"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июня 1933 года начальник ЦКБ зав. 39 С.В.И. писал письмо N 101с пом. нач. ГУАП Алмазову.</w:t>
      </w:r>
    </w:p>
    <w:p w14:paraId="4B7B0B3B"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И15 был запланирован нами постройкой в 1933 году лишь в одном экземпляре, в отличии от всех остальных типов самолетов (которые будут построены в двух и трех экземплярах) потому что самолет И15 проектировался под мотор "Бристоль-Меркур", который имелся у нас в одном экземпляре.</w:t>
      </w:r>
    </w:p>
    <w:p w14:paraId="4A6AAED9"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в виду замены мотора "Бристоль-Меркур" мотором Райт, считаем необходимым строить самолет И15 Р.Ц. нормально в 2-х экземплярах.</w:t>
      </w:r>
    </w:p>
    <w:p w14:paraId="79C2A18E"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Дополнительных средств на это не потребуется. Прошу это изменение внести в план (2303,14).</w:t>
      </w:r>
    </w:p>
    <w:p w14:paraId="3ABCC5EA"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7701694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июня 1933 Нач. ЦКБ С.В.И. писал письмо N 102с Пом. Нач. ГУАП Алмазову:</w:t>
      </w:r>
    </w:p>
    <w:p w14:paraId="0C302595"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экспериментальным самолетам установить нижеследующие сроки выхода на аэродром:</w:t>
      </w:r>
    </w:p>
    <w:p w14:paraId="2E1E6A85"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ДИ-6 (М-58 или РЦ) - 01.05.34</w:t>
      </w:r>
    </w:p>
    <w:p w14:paraId="5FE93C4B"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СС М-34 - 01.01.34</w:t>
      </w:r>
    </w:p>
    <w:p w14:paraId="11BAEA22"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РК М-11 - 01.10.33</w:t>
      </w:r>
    </w:p>
    <w:p w14:paraId="4AB4C882"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ЛК 2М-11 - 01.01.34</w:t>
      </w:r>
    </w:p>
    <w:p w14:paraId="147CF8DF"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ПК М-11 - 01.03.34 (2286,93).</w:t>
      </w:r>
    </w:p>
    <w:p w14:paraId="19644E18"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3814A258" w14:textId="77777777" w:rsidR="000F0C05" w:rsidRPr="00C33834" w:rsidRDefault="000F0C05" w:rsidP="00C33834">
      <w:pPr>
        <w:pStyle w:val="rtejustify"/>
        <w:spacing w:before="0" w:after="0"/>
        <w:rPr>
          <w:color w:val="000000" w:themeColor="text1"/>
          <w:sz w:val="16"/>
          <w:szCs w:val="16"/>
        </w:rPr>
      </w:pPr>
      <w:r w:rsidRPr="00C33834">
        <w:rPr>
          <w:rStyle w:val="af0"/>
          <w:bCs/>
          <w:i w:val="0"/>
          <w:color w:val="000000" w:themeColor="text1"/>
          <w:sz w:val="16"/>
          <w:szCs w:val="16"/>
        </w:rPr>
        <w:t>9 июня</w:t>
      </w:r>
      <w:r w:rsidRPr="00C33834">
        <w:rPr>
          <w:color w:val="000000" w:themeColor="text1"/>
          <w:sz w:val="16"/>
          <w:szCs w:val="16"/>
        </w:rPr>
        <w:t xml:space="preserve"> 1933. Постановление СТО СССР № 41сс/о «Об обеспечении строительства в 1933 г. взлетно-посадочных полос и рулежных дорожек к ним». (ГА РФ. Ф. Р</w:t>
      </w:r>
      <w:r w:rsidRPr="00C33834">
        <w:rPr>
          <w:color w:val="000000" w:themeColor="text1"/>
          <w:sz w:val="16"/>
          <w:szCs w:val="16"/>
        </w:rPr>
        <w:noBreakHyphen/>
        <w:t>8418. Оп. 28. Д. 1. Л. 181</w:t>
      </w:r>
      <w:r w:rsidRPr="00C33834">
        <w:rPr>
          <w:color w:val="000000" w:themeColor="text1"/>
          <w:sz w:val="16"/>
          <w:szCs w:val="16"/>
        </w:rPr>
        <w:noBreakHyphen/>
        <w:t>183) (15460).</w:t>
      </w:r>
    </w:p>
    <w:p w14:paraId="0AA4E995" w14:textId="77777777" w:rsidR="000F0C05" w:rsidRPr="00C33834" w:rsidRDefault="000F0C05" w:rsidP="00C33834">
      <w:pPr>
        <w:pStyle w:val="rtejustify"/>
        <w:spacing w:before="0" w:after="0"/>
        <w:rPr>
          <w:color w:val="000000" w:themeColor="text1"/>
          <w:sz w:val="16"/>
          <w:szCs w:val="16"/>
        </w:rPr>
      </w:pPr>
    </w:p>
    <w:p w14:paraId="73A1A3E9"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B1A16FC"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2F08668"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июня 1933 года прошла испытания вторая установка, а 15 июня того же года — третья. Испытания на полигоне и позициях показали, что основные тактико-технические данные советских железнодорожных артустановок ТМ-1-14 по ряду параметров превосходили подобные американские и французские системы. В частности, наши транспортеры обладали способностью вести стрельбу в диапазоне 360 градусов, а также опережали зарубежные аналоги по скорострельности. В тот период особой угрозы с Запада в СССР не ожидали, и после испытаний транспортеров Реввоенсовет принял решение разместить 6-ю железнодорожную батарею ТМ-1-14 на Дальнем Востоке (11454).</w:t>
      </w:r>
    </w:p>
    <w:p w14:paraId="70611AD8"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584FD338"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июня 1933 Пом. Нач. УММ РККА Г.Г.Бокис уведомил директора ХПЗ И.П.Бондаренко о том, что “заключение по фотографиии (эскизного проекта БТ с 76-мм пушкой) дать невозможно” и просил представить на рассмотрение весь проект, а не только фотографии. Его еще не было (3881,3).</w:t>
      </w:r>
    </w:p>
    <w:p w14:paraId="0966E3D6"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4B3F5013"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56EFBFBE"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469BC9DE"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Между 9 и15 июня 1933. Из протокола заседания Политбюро N 139, 1933 г.</w:t>
      </w:r>
    </w:p>
    <w:p w14:paraId="619C2E6D"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Телеграмма тт. Шеболдаева и Евдокимова </w:t>
      </w:r>
    </w:p>
    <w:p w14:paraId="3FADF13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Согласиться с предложением тт. Шеболдаева и Евдокимова о снижении нормы продовольственного снабжения выселяемым хозяйствам (кулакам, отправлявшимся с Дона в Сибирь) с трехмесячного запаса до месячного (11652). </w:t>
      </w:r>
    </w:p>
    <w:p w14:paraId="0F0B170F"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378052A5"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июня 1933-го начальник 1 отделения ГУЛАГа О. В. Шедвид подписал распоряжение ГУЛАГа за № 3, гласившее:</w:t>
      </w:r>
    </w:p>
    <w:p w14:paraId="50EF669F"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ГУЛАГа ОГПУ тов. Берман приказал: (всем начальникам отделений ГУЛАГа ОГПУ) все составляемые Вами сводки, доклады, обзоры, а также издаваемые директивы направлять для ознакомления:</w:t>
      </w:r>
    </w:p>
    <w:p w14:paraId="0B40C412"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Нач. ГУЛАГа ОГПУ - т. Берману</w:t>
      </w:r>
    </w:p>
    <w:p w14:paraId="4EAEA601"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Зам. нач. ГУЛАГа - т. Рапопорту</w:t>
      </w:r>
    </w:p>
    <w:p w14:paraId="1D23486F"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Зам. нач. ГУЛАГа - т. Фирину</w:t>
      </w:r>
    </w:p>
    <w:p w14:paraId="6D9E9C85"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Пом. нач. ГУЛАГа - т. Еремину</w:t>
      </w:r>
    </w:p>
    <w:p w14:paraId="78E77E1E"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Пом. нач. ГУЛАГа - т. Плинеру</w:t>
      </w:r>
    </w:p>
    <w:p w14:paraId="63DE4300"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Пом. нач. ГУЛАГа - т. Мейеру</w:t>
      </w:r>
    </w:p>
    <w:p w14:paraId="60BD4BD0"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случае их отсутствия материалы направлять по месту их нахождения в командировке» (7560).</w:t>
      </w:r>
    </w:p>
    <w:p w14:paraId="59124B38"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2DDC8953"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08CF0CD"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9FE8C10"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Утром 9 июня 1933 года поблизости от Магдебурга, где была сооружена большая пусковая направляющая высотой 9 м, 4.5-метровая модель Pilot-Rakete» («Пилот-Ракете») подготовили к запуску. Она начала медленно подниматься, но, прежде чем достигла верхней части направляющей, остановилась и поползла вниз. Тяга была недостаточной, но причину этого обнаружить не удалось. Следующая попытка запустить ракету сорвалась из-за течи в сальнике. Двигатель получил только четвертую часть необходимого ему топлива, ревел в течение двух минут (вместо 30 секунд), но ракета не двигалась.</w:t>
      </w:r>
    </w:p>
    <w:p w14:paraId="7550265D"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Еще одно испытание, 13 июня, также закончилось неудачей. Когда ракета поднялась на высоту 2 м, выпал запорный винт топливного бака – ракета рухнула на землю почти без топлива.</w:t>
      </w:r>
    </w:p>
    <w:p w14:paraId="1EDCC050"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Замена отдельных конструктивных элементов не помогла. Когда 29 июня ракету удалось запустить, один из роликов сошел с направляющего рельса и застрял. Он, разумеется, был сорван, но из-за этого ракета взлетела почти горизонтально. Быстро теряя высоту, она упала плашмя на землю в 300 м от пусковой установки.</w:t>
      </w:r>
    </w:p>
    <w:p w14:paraId="15CA80BA"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Конец «Ракетенфлюгплатц» был печальным. Однажды на территорию, принадлежащую «Обществу межпланетных сообщений» нагрянула большая группа молодых людей в серо-голубой форме, назвавших себя представителями «Дойче люфтвахт», которые заявили, что это место передано им в качестве учебного плаца (11688).</w:t>
      </w:r>
    </w:p>
    <w:p w14:paraId="14B913E0"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1B3C239C"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июня 1933 Национальное собрание Чехословакии одобрило закон о предоставлении правительству чрезвычайных полномочий в сфере ценообразования и налогообложения (3186).</w:t>
      </w:r>
    </w:p>
    <w:p w14:paraId="6D2EEA17"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3BD76D11"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27FF0A1"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13F26F5"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10 по 26 июня 1933 в НИИ ВВС прошли испытания самолета И7 N 4449 (эталон на 1933 год) с мотором М17 N 262646.</w:t>
      </w:r>
    </w:p>
    <w:p w14:paraId="3EC65002"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58F82FBF"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возможности использования самолета И7 N 4449 с мотором М17 как эталона для постройки самолетов И7 М17 в 1933 году.</w:t>
      </w:r>
    </w:p>
    <w:p w14:paraId="444C961E"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летных данных самолета, отличающегося от опытного самолета И7 БМВ VI постройки завода N 1 в 1931 году установкой усиленной фанерной обшивки крыльев, паука водяной системы, подвесной корзины под радиатор _..</w:t>
      </w:r>
    </w:p>
    <w:p w14:paraId="4927CDAC"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170A11FC"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И7 М17 N 4449 постройки завода N 1эталоном на 1933 год служить не может.</w:t>
      </w:r>
    </w:p>
    <w:p w14:paraId="7860A37F"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2E6D2CC2"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Осипенко П.И.</w:t>
      </w:r>
    </w:p>
    <w:p w14:paraId="2D5ADE6D"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Пилот Сцельников</w:t>
      </w:r>
    </w:p>
    <w:p w14:paraId="1213CE2C"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4658"/>
      </w:tblGrid>
      <w:tr w:rsidR="00F26F01" w:rsidRPr="00C33834" w14:paraId="1AB5831F" w14:textId="77777777">
        <w:tc>
          <w:tcPr>
            <w:tcW w:w="2254" w:type="dxa"/>
          </w:tcPr>
          <w:p w14:paraId="1CD927E8"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июня 1933 года</w:t>
            </w:r>
          </w:p>
        </w:tc>
        <w:tc>
          <w:tcPr>
            <w:tcW w:w="4658" w:type="dxa"/>
          </w:tcPr>
          <w:p w14:paraId="51DCB26B"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тренировочные полеты ведущего летчика</w:t>
            </w:r>
          </w:p>
        </w:tc>
      </w:tr>
      <w:tr w:rsidR="00F26F01" w:rsidRPr="00C33834" w14:paraId="0D811134" w14:textId="77777777">
        <w:tc>
          <w:tcPr>
            <w:tcW w:w="2254" w:type="dxa"/>
          </w:tcPr>
          <w:p w14:paraId="40740458"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июня 1933 года</w:t>
            </w:r>
          </w:p>
        </w:tc>
        <w:tc>
          <w:tcPr>
            <w:tcW w:w="4658" w:type="dxa"/>
          </w:tcPr>
          <w:p w14:paraId="3DD773C5"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полеты на управляемость и фигуры на высоте</w:t>
            </w:r>
          </w:p>
        </w:tc>
      </w:tr>
      <w:tr w:rsidR="00F26F01" w:rsidRPr="00C33834" w14:paraId="620F923F" w14:textId="77777777">
        <w:tc>
          <w:tcPr>
            <w:tcW w:w="2254" w:type="dxa"/>
          </w:tcPr>
          <w:p w14:paraId="2B7DBA0E"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11576D7A"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 м и определение скороподъемности с</w:t>
            </w:r>
          </w:p>
        </w:tc>
      </w:tr>
      <w:tr w:rsidR="00F26F01" w:rsidRPr="00C33834" w14:paraId="30BBDCB1" w14:textId="77777777">
        <w:tc>
          <w:tcPr>
            <w:tcW w:w="2254" w:type="dxa"/>
          </w:tcPr>
          <w:p w14:paraId="0A6A6C2F"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2FC4ECC4"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форсированным газом. Полет на управляемость</w:t>
            </w:r>
          </w:p>
        </w:tc>
      </w:tr>
      <w:tr w:rsidR="00F26F01" w:rsidRPr="00C33834" w14:paraId="6D78CAEA" w14:textId="77777777">
        <w:tc>
          <w:tcPr>
            <w:tcW w:w="2254" w:type="dxa"/>
          </w:tcPr>
          <w:p w14:paraId="320E42B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6821A30B"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фигуры на высоте 1000 м.</w:t>
            </w:r>
          </w:p>
        </w:tc>
      </w:tr>
      <w:tr w:rsidR="00F26F01" w:rsidRPr="00C33834" w14:paraId="76ABB3DC" w14:textId="77777777">
        <w:tc>
          <w:tcPr>
            <w:tcW w:w="2254" w:type="dxa"/>
          </w:tcPr>
          <w:p w14:paraId="4E0D5EC1"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июня 1933 года</w:t>
            </w:r>
          </w:p>
        </w:tc>
        <w:tc>
          <w:tcPr>
            <w:tcW w:w="4658" w:type="dxa"/>
          </w:tcPr>
          <w:p w14:paraId="71F8F3BE"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полеты на управляемость и фигуры на высоте</w:t>
            </w:r>
          </w:p>
        </w:tc>
      </w:tr>
      <w:tr w:rsidR="00F26F01" w:rsidRPr="00C33834" w14:paraId="39E34EEE" w14:textId="77777777">
        <w:tc>
          <w:tcPr>
            <w:tcW w:w="2254" w:type="dxa"/>
          </w:tcPr>
          <w:p w14:paraId="341FF83B"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4982CC45"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 м.</w:t>
            </w:r>
          </w:p>
        </w:tc>
      </w:tr>
      <w:tr w:rsidR="00F26F01" w:rsidRPr="00C33834" w14:paraId="27F7719C" w14:textId="77777777">
        <w:tc>
          <w:tcPr>
            <w:tcW w:w="2254" w:type="dxa"/>
          </w:tcPr>
          <w:p w14:paraId="6057CE76"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июня 1933 года</w:t>
            </w:r>
          </w:p>
        </w:tc>
        <w:tc>
          <w:tcPr>
            <w:tcW w:w="4658" w:type="dxa"/>
          </w:tcPr>
          <w:p w14:paraId="23986214"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два полета на штопор.</w:t>
            </w:r>
          </w:p>
        </w:tc>
      </w:tr>
      <w:tr w:rsidR="00F26F01" w:rsidRPr="00C33834" w14:paraId="513A4F12" w14:textId="77777777">
        <w:tc>
          <w:tcPr>
            <w:tcW w:w="2254" w:type="dxa"/>
          </w:tcPr>
          <w:p w14:paraId="5ACE2711"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июня 1933 года</w:t>
            </w:r>
          </w:p>
        </w:tc>
        <w:tc>
          <w:tcPr>
            <w:tcW w:w="4658" w:type="dxa"/>
          </w:tcPr>
          <w:p w14:paraId="31BD964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километраж. Полет на зубцы на высотах 500,</w:t>
            </w:r>
          </w:p>
        </w:tc>
      </w:tr>
      <w:tr w:rsidR="00F26F01" w:rsidRPr="00C33834" w14:paraId="53EB32CB" w14:textId="77777777">
        <w:tc>
          <w:tcPr>
            <w:tcW w:w="2254" w:type="dxa"/>
          </w:tcPr>
          <w:p w14:paraId="44F8515C"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05561EE0"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 и 5000 м.</w:t>
            </w:r>
          </w:p>
        </w:tc>
      </w:tr>
      <w:tr w:rsidR="00F26F01" w:rsidRPr="00C33834" w14:paraId="1A86975B" w14:textId="77777777">
        <w:tc>
          <w:tcPr>
            <w:tcW w:w="2254" w:type="dxa"/>
          </w:tcPr>
          <w:p w14:paraId="0108712A"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июня 1933 года</w:t>
            </w:r>
          </w:p>
        </w:tc>
        <w:tc>
          <w:tcPr>
            <w:tcW w:w="4658" w:type="dxa"/>
          </w:tcPr>
          <w:p w14:paraId="3BE9FC7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скороподъемность с форсированным</w:t>
            </w:r>
          </w:p>
        </w:tc>
      </w:tr>
      <w:tr w:rsidR="00F26F01" w:rsidRPr="00C33834" w14:paraId="4A8A312E" w14:textId="77777777">
        <w:tc>
          <w:tcPr>
            <w:tcW w:w="2254" w:type="dxa"/>
          </w:tcPr>
          <w:p w14:paraId="38693941"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37C6391F"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газом до 5000 м и стрельба на высоте 5000 м.</w:t>
            </w:r>
          </w:p>
        </w:tc>
      </w:tr>
      <w:tr w:rsidR="00F26F01" w:rsidRPr="00C33834" w14:paraId="6C625833" w14:textId="77777777">
        <w:tc>
          <w:tcPr>
            <w:tcW w:w="2254" w:type="dxa"/>
          </w:tcPr>
          <w:p w14:paraId="328D8029"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июня 1933 года</w:t>
            </w:r>
          </w:p>
        </w:tc>
        <w:tc>
          <w:tcPr>
            <w:tcW w:w="4658" w:type="dxa"/>
          </w:tcPr>
          <w:p w14:paraId="797A858D"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воздушный бой с самолетом Р5.</w:t>
            </w:r>
          </w:p>
        </w:tc>
      </w:tr>
      <w:tr w:rsidR="00F26F01" w:rsidRPr="00C33834" w14:paraId="35494286" w14:textId="77777777">
        <w:tc>
          <w:tcPr>
            <w:tcW w:w="2254" w:type="dxa"/>
          </w:tcPr>
          <w:p w14:paraId="13DE7E9D"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июня 1933 года</w:t>
            </w:r>
          </w:p>
        </w:tc>
        <w:tc>
          <w:tcPr>
            <w:tcW w:w="4658" w:type="dxa"/>
          </w:tcPr>
          <w:p w14:paraId="59ABF7AB"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по маршруту на дальность и определение</w:t>
            </w:r>
          </w:p>
        </w:tc>
      </w:tr>
      <w:tr w:rsidR="00F26F01" w:rsidRPr="00C33834" w14:paraId="15B2291C" w14:textId="77777777">
        <w:tc>
          <w:tcPr>
            <w:tcW w:w="2254" w:type="dxa"/>
          </w:tcPr>
          <w:p w14:paraId="5689DBA1"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01BB9E3D"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расхода горючего с фотографированием.</w:t>
            </w:r>
          </w:p>
        </w:tc>
      </w:tr>
      <w:tr w:rsidR="00F26F01" w:rsidRPr="00C33834" w14:paraId="6FED68AC" w14:textId="77777777">
        <w:tc>
          <w:tcPr>
            <w:tcW w:w="2254" w:type="dxa"/>
          </w:tcPr>
          <w:p w14:paraId="6EDFCB52"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1A8809D1"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Воздушный бой с самолетом И-5. Полет на</w:t>
            </w:r>
          </w:p>
        </w:tc>
      </w:tr>
      <w:tr w:rsidR="00F26F01" w:rsidRPr="00C33834" w14:paraId="43497946" w14:textId="77777777">
        <w:tc>
          <w:tcPr>
            <w:tcW w:w="2254" w:type="dxa"/>
          </w:tcPr>
          <w:p w14:paraId="01D56ED9"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740A1EB8"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штопор.</w:t>
            </w:r>
          </w:p>
        </w:tc>
      </w:tr>
      <w:tr w:rsidR="00F26F01" w:rsidRPr="00C33834" w14:paraId="18AE4FC5" w14:textId="77777777">
        <w:tc>
          <w:tcPr>
            <w:tcW w:w="2254" w:type="dxa"/>
          </w:tcPr>
          <w:p w14:paraId="74BE49B8"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июня 1933 года</w:t>
            </w:r>
          </w:p>
        </w:tc>
        <w:tc>
          <w:tcPr>
            <w:tcW w:w="4658" w:type="dxa"/>
          </w:tcPr>
          <w:p w14:paraId="431F092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два полета на воздушные бои с самолетами Р-5</w:t>
            </w:r>
          </w:p>
        </w:tc>
      </w:tr>
      <w:tr w:rsidR="00F26F01" w:rsidRPr="00C33834" w14:paraId="6FDC5A23" w14:textId="77777777">
        <w:tc>
          <w:tcPr>
            <w:tcW w:w="2254" w:type="dxa"/>
          </w:tcPr>
          <w:p w14:paraId="7236FA0D"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4223BB7C"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И-5 - летчики: Кокинаки, Лагутин и Гродзь.</w:t>
            </w:r>
          </w:p>
        </w:tc>
      </w:tr>
      <w:tr w:rsidR="00F26F01" w:rsidRPr="00C33834" w14:paraId="1005BEF9" w14:textId="77777777">
        <w:tc>
          <w:tcPr>
            <w:tcW w:w="2254" w:type="dxa"/>
          </w:tcPr>
          <w:p w14:paraId="737AE59A"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4CC72C92"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Три полета по облету со стрельбой по земным целям:</w:t>
            </w:r>
          </w:p>
        </w:tc>
      </w:tr>
      <w:tr w:rsidR="00F26F01" w:rsidRPr="00C33834" w14:paraId="48CE6BE5" w14:textId="77777777">
        <w:tc>
          <w:tcPr>
            <w:tcW w:w="2254" w:type="dxa"/>
          </w:tcPr>
          <w:p w14:paraId="477C1971"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7EE8ECB9"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летчики Залевский, Лагутин, Кокинаки.</w:t>
            </w:r>
          </w:p>
        </w:tc>
      </w:tr>
      <w:tr w:rsidR="00F26F01" w:rsidRPr="00C33834" w14:paraId="1C9EC4E7" w14:textId="77777777">
        <w:tc>
          <w:tcPr>
            <w:tcW w:w="2254" w:type="dxa"/>
          </w:tcPr>
          <w:p w14:paraId="320DFF3E"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июня 1933 года</w:t>
            </w:r>
          </w:p>
        </w:tc>
        <w:tc>
          <w:tcPr>
            <w:tcW w:w="4658" w:type="dxa"/>
          </w:tcPr>
          <w:p w14:paraId="5E05B93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с нормальным газом.</w:t>
            </w:r>
          </w:p>
        </w:tc>
      </w:tr>
    </w:tbl>
    <w:p w14:paraId="11F49090"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проведено за 11 летных дней.</w:t>
      </w:r>
    </w:p>
    <w:p w14:paraId="6E5A9217"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Налетано 29 час. 53 мин.</w:t>
      </w:r>
    </w:p>
    <w:p w14:paraId="23A37BE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Сделано посадок - 27 (3917).</w:t>
      </w:r>
    </w:p>
    <w:p w14:paraId="51D46CEF"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5D63F2E0"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июня 1933 на аэродром был отправлен РД М-34 (2310,143).</w:t>
      </w:r>
    </w:p>
    <w:p w14:paraId="5E696459"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0C3B9688"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650A9DF8"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35B26A2" w14:textId="77777777" w:rsidR="00AE51CE" w:rsidRPr="00C33834" w:rsidRDefault="00AE51C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июня 1933 г. на специальном заседании НТК УММ РККА варианты Т-39 были рассмотрены вместе с проектами 100-тонного танка Гроте ТГ-6 и 75-тонного танка фирмы «Ансальдо». По результатам сравнительного анализа ОКМО под руководством С. Гинзбурга и Н. Барыкова бы</w:t>
      </w:r>
      <w:r w:rsidRPr="00C33834">
        <w:rPr>
          <w:rFonts w:ascii="Times New Roman" w:hAnsi="Times New Roman"/>
          <w:color w:val="000000" w:themeColor="text1"/>
          <w:sz w:val="16"/>
          <w:szCs w:val="16"/>
        </w:rPr>
        <w:softHyphen/>
        <w:t>ли разработаны еще три варианта (вернее - два, один из которых имел две версии установки пушечного вооруже</w:t>
      </w:r>
      <w:r w:rsidRPr="00C33834">
        <w:rPr>
          <w:rFonts w:ascii="Times New Roman" w:hAnsi="Times New Roman"/>
          <w:color w:val="000000" w:themeColor="text1"/>
          <w:sz w:val="16"/>
          <w:szCs w:val="16"/>
        </w:rPr>
        <w:softHyphen/>
        <w:t>ния в башнях), которые рассматривались на заседании НТК 9 августа. Последние были признаны «весьма удачными» и послужили образцом для изготовления деревянных моделей в масштабе 1:10, которые после заседания макетной комиссии вместе с пояснительной запиской спецкурьером прибыли к наркому обороны К. Ворошило</w:t>
      </w:r>
      <w:r w:rsidRPr="00C33834">
        <w:rPr>
          <w:rFonts w:ascii="Times New Roman" w:hAnsi="Times New Roman"/>
          <w:color w:val="000000" w:themeColor="text1"/>
          <w:sz w:val="16"/>
          <w:szCs w:val="16"/>
        </w:rPr>
        <w:softHyphen/>
        <w:t>ву (10733,277).</w:t>
      </w:r>
    </w:p>
    <w:p w14:paraId="3AE5F223" w14:textId="77777777" w:rsidR="00AE51CE" w:rsidRPr="00C33834" w:rsidRDefault="00AE51C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870807" w14:textId="77777777" w:rsidR="000F0C05" w:rsidRPr="00C33834" w:rsidRDefault="000F0C0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10 июня 1933 года на специальном заседании Научно-технического комитета УММ РККА эти варианты были рассмотрены вместе с проектами 100-тонного </w:t>
      </w:r>
      <w:hyperlink r:id="rId197"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а ТГ-6 (разработан Гроте во время его пребывания в СССР) и 70-тонным </w:t>
      </w:r>
      <w:hyperlink r:id="rId198"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ом итальянской фирмы «Ансальдо». По результатам обсуждения КБ Опытного завода под </w:t>
      </w:r>
      <w:r w:rsidRPr="00C33834">
        <w:rPr>
          <w:rFonts w:ascii="Times New Roman" w:hAnsi="Times New Roman"/>
          <w:color w:val="000000" w:themeColor="text1"/>
          <w:sz w:val="16"/>
          <w:szCs w:val="16"/>
        </w:rPr>
        <w:lastRenderedPageBreak/>
        <w:t xml:space="preserve">руководством И.В.Барыкова и С.А.Гинзбурга разработало седьмой и восьмой варианты Т-39, которые, в свою очередь, рассматривались на заседании 7 августа. Первый из них представлял собой 90-тонный </w:t>
      </w:r>
      <w:hyperlink r:id="rId199"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 с 50—75-мм броней, вооруженный двумя 107-мм, двумя -45-мм орудиями и пятью пулеметами. Второй отличался только вооружением — одна 152-мм, три 45-мм орудия и четыре пулемета. Оба варианта признали удачными и решили построить их деревянные макеты в 1/10 натуральной величины. Фотографии макетов и эскизные чертежи были посланы наркому обороны СССР К.Е.Ворошилову, который в декабре 1933 года докладывал но этому вопросу председателю Комиссии Обороны СССР В.М.Молотову: • Представляя особо удачные варианты большого </w:t>
      </w:r>
      <w:hyperlink r:id="rId200"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а, прошу рассмотреть их на Комиссии Обороны и окончательно решить — нужна ли нам вообще такая боевая машина взамен достаточно мощного, на мой взгляд, </w:t>
      </w:r>
      <w:hyperlink r:id="rId201"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а особого назначения Т-35, который в состоянии выполнить большинство боевых задач. Производство опытного образца Т-39 потребует около 3 млн. рублей и не менее одного года». Аргументы Ворошилова были убедительными, и в начале 1934 года Комиссия Обороны постановила: работы по Т-39 прекратить, продолжать производство Т-35. Для сравнения следует заметить, что последний обходился  казне» в 525 тыс. рублей (за эти же деньги можно было построить девять легких </w:t>
      </w:r>
      <w:hyperlink r:id="rId202"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ов ВТ-5) (15609).</w:t>
      </w:r>
    </w:p>
    <w:p w14:paraId="314BA9D1" w14:textId="77777777" w:rsidR="000F0C05" w:rsidRPr="00C33834" w:rsidRDefault="000F0C05" w:rsidP="00C33834">
      <w:pPr>
        <w:spacing w:after="0" w:line="240" w:lineRule="auto"/>
        <w:jc w:val="both"/>
        <w:rPr>
          <w:rFonts w:ascii="Times New Roman" w:hAnsi="Times New Roman"/>
          <w:color w:val="000000" w:themeColor="text1"/>
          <w:sz w:val="16"/>
          <w:szCs w:val="16"/>
        </w:rPr>
      </w:pPr>
    </w:p>
    <w:p w14:paraId="3EBE9663" w14:textId="77777777" w:rsidR="000F0C05" w:rsidRPr="00C33834" w:rsidRDefault="000F0C05" w:rsidP="00C33834">
      <w:pPr>
        <w:pStyle w:val="rtejustify"/>
        <w:spacing w:before="0" w:after="0"/>
        <w:rPr>
          <w:color w:val="000000" w:themeColor="text1"/>
          <w:sz w:val="16"/>
          <w:szCs w:val="16"/>
        </w:rPr>
      </w:pPr>
      <w:r w:rsidRPr="00C33834">
        <w:rPr>
          <w:rStyle w:val="af0"/>
          <w:bCs/>
          <w:i w:val="0"/>
          <w:color w:val="000000" w:themeColor="text1"/>
          <w:sz w:val="16"/>
          <w:szCs w:val="16"/>
        </w:rPr>
        <w:t>10 июня</w:t>
      </w:r>
      <w:r w:rsidRPr="00C33834">
        <w:rPr>
          <w:color w:val="000000" w:themeColor="text1"/>
          <w:sz w:val="16"/>
          <w:szCs w:val="16"/>
        </w:rPr>
        <w:t xml:space="preserve"> 1933 вышел приказ РВСС № 12. 1. О введении на вооружение РККА трактора «Коминтерн». (Халепский). 2. О производстве мотоброневагонов конструкции Дыренкова. (Халепский). 3. Об изменении тактико-технических элементов п/л «Правда». (Орлов). 5. — 4). Сообщение о подписании председателем РВСС постановлений РВСС «Об изготовлении двух опытных образцов танков ПТ</w:t>
      </w:r>
      <w:r w:rsidRPr="00C33834">
        <w:rPr>
          <w:color w:val="000000" w:themeColor="text1"/>
          <w:sz w:val="16"/>
          <w:szCs w:val="16"/>
        </w:rPr>
        <w:noBreakHyphen/>
        <w:t>1 от 3 июня 1933 г.». (РГВА. Ф. 4. Оп. 18. Д. 23. Л. 183</w:t>
      </w:r>
      <w:r w:rsidRPr="00C33834">
        <w:rPr>
          <w:color w:val="000000" w:themeColor="text1"/>
          <w:sz w:val="16"/>
          <w:szCs w:val="16"/>
        </w:rPr>
        <w:noBreakHyphen/>
        <w:t>184) (15461).</w:t>
      </w:r>
    </w:p>
    <w:p w14:paraId="309C172D" w14:textId="77777777" w:rsidR="000F0C05" w:rsidRPr="00C33834" w:rsidRDefault="000F0C05" w:rsidP="00C33834">
      <w:pPr>
        <w:pStyle w:val="rtejustify"/>
        <w:spacing w:before="0" w:after="0"/>
        <w:rPr>
          <w:rStyle w:val="af0"/>
          <w:bCs/>
          <w:i w:val="0"/>
          <w:color w:val="000000" w:themeColor="text1"/>
          <w:sz w:val="16"/>
          <w:szCs w:val="16"/>
        </w:rPr>
      </w:pPr>
    </w:p>
    <w:p w14:paraId="6F31F090"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июня 1933 г. приказом РВС СССР №5249сс "Коминтерн", который 31 марта 1933 г. приказом НКТП №146, утверждался к серийному производству был принят на вооружение. Однако "с апреля месяца работа по подготовке производства стала значительно падать т.к. тракторному отделу было добавлено в производство 100 шт. моторов "Коммунар". Кроме того, помимо совершенствования трактора "Коммунар" и работ по "Коминтерну", в 1933 г. завод был загружен и другими заказами, а именно - вел работы по дизелям БД-2 и БД-14, занимался совершенствованием конструкции танка БТ (простое перечисление работ в докладе военпреда заняло шесть листов). В итоге освоение "Коминтерна" перенесли на 1934 г. (12008).</w:t>
      </w:r>
    </w:p>
    <w:p w14:paraId="69E6AEA2"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51C67376" w14:textId="77777777" w:rsidR="000F0C05" w:rsidRPr="00C33834" w:rsidRDefault="000F0C05"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10 июня</w:t>
      </w:r>
      <w:r w:rsidRPr="00C33834">
        <w:rPr>
          <w:rFonts w:ascii="Times New Roman" w:hAnsi="Times New Roman"/>
          <w:color w:val="000000" w:themeColor="text1"/>
          <w:sz w:val="16"/>
          <w:szCs w:val="16"/>
        </w:rPr>
        <w:t xml:space="preserve"> в 1933 году на базе Днепровской ГЭС был введен в строй Днепровский алюминиевый завод (ныне – ОАО «Запорожский производственный алюминиевый комбинат», Украина) (14918).</w:t>
      </w:r>
    </w:p>
    <w:p w14:paraId="45486450" w14:textId="77777777" w:rsidR="000F0C05" w:rsidRPr="00C33834" w:rsidRDefault="000F0C05" w:rsidP="00C33834">
      <w:pPr>
        <w:spacing w:after="0" w:line="240" w:lineRule="auto"/>
        <w:jc w:val="both"/>
        <w:rPr>
          <w:rFonts w:ascii="Times New Roman" w:hAnsi="Times New Roman"/>
          <w:color w:val="000000" w:themeColor="text1"/>
          <w:sz w:val="16"/>
          <w:szCs w:val="16"/>
        </w:rPr>
      </w:pPr>
    </w:p>
    <w:p w14:paraId="053D20DD"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52282EC"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80559E5"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июня 1933 были подготовлены программа и план опытного производства завода 39:</w:t>
      </w:r>
    </w:p>
    <w:p w14:paraId="30568EF1"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ЛР опытная - гос. исп. 01.11.33</w:t>
      </w:r>
    </w:p>
    <w:p w14:paraId="03B68AD9"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ЛР головная</w:t>
      </w:r>
    </w:p>
    <w:p w14:paraId="0CF94B67"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СС опытная</w:t>
      </w:r>
    </w:p>
    <w:p w14:paraId="52CE541B"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СС головная - переносится на 1934</w:t>
      </w:r>
    </w:p>
    <w:p w14:paraId="507D77A9"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И-15 опытная</w:t>
      </w:r>
    </w:p>
    <w:p w14:paraId="78645ECA"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И-15 головной</w:t>
      </w:r>
    </w:p>
    <w:p w14:paraId="3D9567C4"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ТШ-3 опытный</w:t>
      </w:r>
    </w:p>
    <w:p w14:paraId="27BA91C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ТШ головной</w:t>
      </w:r>
    </w:p>
    <w:p w14:paraId="3B76AB39"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РК опытный</w:t>
      </w:r>
    </w:p>
    <w:p w14:paraId="52938B30"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П-48 с М-49</w:t>
      </w:r>
    </w:p>
    <w:p w14:paraId="014F9658"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ЛК опытн.</w:t>
      </w:r>
    </w:p>
    <w:p w14:paraId="654762A4"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ДИ-6 опытный</w:t>
      </w:r>
    </w:p>
    <w:p w14:paraId="7EA02204"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ДИ-6 головной</w:t>
      </w:r>
    </w:p>
    <w:p w14:paraId="6045E318"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И-? опытная</w:t>
      </w:r>
    </w:p>
    <w:p w14:paraId="7426026E"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ТУР опытная</w:t>
      </w:r>
    </w:p>
    <w:p w14:paraId="713839AF"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ТУР головная</w:t>
      </w:r>
    </w:p>
    <w:p w14:paraId="1509D501"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СБС - снять с 1933</w:t>
      </w:r>
    </w:p>
    <w:p w14:paraId="353D4687"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ИС опытный</w:t>
      </w:r>
    </w:p>
    <w:p w14:paraId="0AC7879B"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ИС головной (2286,90).</w:t>
      </w:r>
    </w:p>
    <w:p w14:paraId="23AA01A1"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4C0D396E"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26116CA"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1B41774"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июня 1933 г. постановлением СТО СССР был утвержден второй пятилетний планом военного строительства (11870).</w:t>
      </w:r>
    </w:p>
    <w:p w14:paraId="04F48F57"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352BBA0C"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июня 1933 г. после устранения конструктивных неисправностей, обнаруженных в Кунцеве, танкетка Т-27 была вновь испытана. В ходе испытаний проводилась стрельба с места. Вес снаряда составлял 3,2 кг, вес заряда — 0,62 кг пороха МСК. За 13 секунд было проведено 5 выстрелов. Затем в течение 23 секунд магазин заполнялся патронами. Следующие 4 выстрела произведены за 8 секунд. Итого 9 выстрелов за 44 секунды. Задержек при стрельбе не было.</w:t>
      </w:r>
    </w:p>
    <w:p w14:paraId="698D3619"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г. танкетку Т-27 с 76-мм пушкой Курчевского доставили в Ленинград на НИАП, где с 28 июля по 29 августа производились их испытания стрельбой и возкой.</w:t>
      </w:r>
    </w:p>
    <w:p w14:paraId="696151D1"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Скорострельность составила 6–7 выстр/мин. Экипаж танкетки Т-27 — 2 человека. Вооружение: только 76-мм пушка К. Боекомплект 30 снарядов.</w:t>
      </w:r>
    </w:p>
    <w:p w14:paraId="558CBEFA"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Сравнительные данные стрельбы снарядами чертежа 3999 с 76-мм полковой пушкой обр. 1927 г. показали, что отклонения по высоте те же, что и у полковой пушки, а боковое рассеивание лучше табличного у полковой пушки.</w:t>
      </w:r>
    </w:p>
    <w:p w14:paraId="138766EC"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возкой проводились на дистанции 50 км по шоссе со скоростью 20–30 км/час. Комиссия сделала следующие выводы:</w:t>
      </w:r>
    </w:p>
    <w:p w14:paraId="4C842701"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Достигнута скорострельность 18 выстрелов в 3 минуты.</w:t>
      </w:r>
    </w:p>
    <w:p w14:paraId="04D91ED8"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Боеприпасы должны быть одинаковой длины для всех снарядов, так как при стрельбе бронебойными снарядами чертежа 4716 пользоваться механизмом заряжания нельзя, поскольку снаряды слишком длинные.</w:t>
      </w:r>
    </w:p>
    <w:p w14:paraId="1880F0E7"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Деревянные поддоны у патронов должны быть строго калиброваны по диаметру сопла.</w:t>
      </w:r>
    </w:p>
    <w:p w14:paraId="25A69CBF"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Необходимо, кроме пушки, поставить на танкетку 7,62-мм пулемет ДТ.</w:t>
      </w:r>
    </w:p>
    <w:p w14:paraId="03D8022A"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Очередные испытания Т-27 с 76-мм пушкой Курчевского, которая к тому времени получила название ТПК-27, прошли на Кунцевском полигоне 25 апреля 1934 г. Предоставлю читателю выдержки из отчета комиссии:</w:t>
      </w:r>
    </w:p>
    <w:p w14:paraId="10D7B045"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Стрельба с хода (до 15 км/час) и с коротких остановок показала «полное отсутствие меткости».</w:t>
      </w:r>
    </w:p>
    <w:p w14:paraId="3D920495"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Стрельбы закончились поперечным разрывом ствола на расстоянии около 400 мм от устья сопла, разрушен правый борт танкетки, оторван лист брони весом около 18 кг. Стрелявший инженер Нейланд убит, водитель Каплюр легко ранен и контужен. Взрыв произошел из-за двойного заряжания пушки.</w:t>
      </w:r>
    </w:p>
    <w:p w14:paraId="25C6A6D7"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сделано 44 выстрела, и ни одного попадания. Осечек 5, один «плевок», то есть падение снаряда на расстоянии 3–4 м от дульного среза.</w:t>
      </w:r>
    </w:p>
    <w:p w14:paraId="50FB505C"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Грубое вертикальное наведение проводилось поворотом танкетки.</w:t>
      </w:r>
    </w:p>
    <w:p w14:paraId="5446B37C"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 комиссии: «Самоходная установка испытания не выдержала и требованиям не удовлетворяет».</w:t>
      </w:r>
    </w:p>
    <w:p w14:paraId="376082A0"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этом работы по ТПК-27 были прекращены (12705).</w:t>
      </w:r>
    </w:p>
    <w:p w14:paraId="0C800128" w14:textId="77777777" w:rsidR="00CE35D9" w:rsidRPr="00C33834" w:rsidRDefault="00CE35D9" w:rsidP="00C33834">
      <w:pPr>
        <w:spacing w:after="0" w:line="240" w:lineRule="auto"/>
        <w:jc w:val="both"/>
        <w:rPr>
          <w:rFonts w:ascii="Times New Roman" w:hAnsi="Times New Roman"/>
          <w:color w:val="000000" w:themeColor="text1"/>
          <w:sz w:val="16"/>
          <w:szCs w:val="16"/>
        </w:rPr>
      </w:pPr>
    </w:p>
    <w:p w14:paraId="25B90485" w14:textId="77777777" w:rsidR="000F0C05" w:rsidRPr="00C33834" w:rsidRDefault="000F0C0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июня 1933 г. после устранения конструктивных неисправностей, обнаруженных в Кунцево, танкетка Т-27 была вновь испытана В ходе испытаний проводилась стрельба с места. Вес снаряда составлял 3,2 кг, вес заряда 0,62 кг пороха МСК. За 13 секунд было проведено 5 выстрелов. Затем в течение 23 секунд магазин заполнялся патронами. Следующие 4 выстрела произведены за 8 секунд. Итого 9 выстрелов за 44 секунды. Задержек при стрельбе не было.</w:t>
      </w:r>
    </w:p>
    <w:p w14:paraId="45EF2381" w14:textId="77777777" w:rsidR="000F0C05" w:rsidRPr="00C33834" w:rsidRDefault="000F0C0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г» танкетку Т-27 с 76-мм пушкой Курчевского доставили в Ленинград на НИАП, где с 28 июля по 29 августа производились их испытания стрельбой и возкой.</w:t>
      </w:r>
    </w:p>
    <w:p w14:paraId="0231E6C1" w14:textId="77777777" w:rsidR="000F0C05" w:rsidRPr="00C33834" w:rsidRDefault="000F0C05" w:rsidP="00C33834">
      <w:pPr>
        <w:spacing w:after="0" w:line="240" w:lineRule="auto"/>
        <w:jc w:val="both"/>
        <w:rPr>
          <w:rFonts w:ascii="Times New Roman" w:hAnsi="Times New Roman"/>
          <w:bCs/>
          <w:color w:val="000000" w:themeColor="text1"/>
          <w:sz w:val="16"/>
          <w:szCs w:val="16"/>
        </w:rPr>
      </w:pPr>
      <w:bookmarkStart w:id="15" w:name="label64"/>
      <w:bookmarkStart w:id="16" w:name="label65"/>
      <w:bookmarkEnd w:id="15"/>
      <w:bookmarkEnd w:id="16"/>
      <w:r w:rsidRPr="00C33834">
        <w:rPr>
          <w:rFonts w:ascii="Times New Roman" w:hAnsi="Times New Roman"/>
          <w:bCs/>
          <w:color w:val="000000" w:themeColor="text1"/>
          <w:sz w:val="16"/>
          <w:szCs w:val="16"/>
        </w:rPr>
        <w:t>Результаты испытаний 76-мм пушки К на танкетке Т-27 в июле—августе 1933 г.</w:t>
      </w:r>
    </w:p>
    <w:p w14:paraId="4F6E3A40" w14:textId="77777777" w:rsidR="000F0C05" w:rsidRPr="00C33834" w:rsidRDefault="000F0C05" w:rsidP="00C33834">
      <w:pPr>
        <w:spacing w:after="0" w:line="240" w:lineRule="auto"/>
        <w:jc w:val="both"/>
        <w:rPr>
          <w:rFonts w:ascii="Times New Roman" w:hAnsi="Times New Roman"/>
          <w:bCs/>
          <w:color w:val="000000" w:themeColor="text1"/>
          <w:sz w:val="16"/>
          <w:szCs w:val="16"/>
        </w:rPr>
      </w:pPr>
      <w:bookmarkStart w:id="17" w:name="label66"/>
      <w:bookmarkEnd w:id="17"/>
      <w:r w:rsidRPr="00C33834">
        <w:rPr>
          <w:rFonts w:ascii="Times New Roman" w:hAnsi="Times New Roman"/>
          <w:bCs/>
          <w:color w:val="000000" w:themeColor="text1"/>
          <w:sz w:val="16"/>
          <w:szCs w:val="16"/>
          <w:vertAlign w:val="superscript"/>
        </w:rPr>
        <w:t>Снаряд …… Вес снаряда, кг — Начальная скорость, м/с — Дальность стрельбы при: 45° / +35°</w:t>
      </w:r>
    </w:p>
    <w:p w14:paraId="52BD95AC" w14:textId="77777777" w:rsidR="000F0C05" w:rsidRPr="00C33834" w:rsidRDefault="000F0C0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Практическая шрапнель чертежа 3999 …… 3,2 — 341 — (1400 / 4300)</w:t>
      </w:r>
    </w:p>
    <w:p w14:paraId="4E23D1F5" w14:textId="77777777" w:rsidR="000F0C05" w:rsidRPr="00C33834" w:rsidRDefault="000F0C0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Бронебойный чертежа 4716 …… 4,0 — 278 — (1100 / 4000)</w:t>
      </w:r>
    </w:p>
    <w:p w14:paraId="4F3A821D" w14:textId="77777777" w:rsidR="000F0C05" w:rsidRPr="00C33834" w:rsidRDefault="000F0C0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Скорострельность составила 6—7 выстр/мин. Экипаж танкетки Т-27 — 2 человека. Вооружение: только 76-мм пушка К. Боекомплект 30 снарядов.</w:t>
      </w:r>
    </w:p>
    <w:p w14:paraId="129E71C6" w14:textId="77777777" w:rsidR="000F0C05" w:rsidRPr="00C33834" w:rsidRDefault="000F0C0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Сравнительные данные стрельбы снарядами чертежа 3999 с 76-мм полковой пушкой обр. 1927 г. показали, что отклонения по высоте те же, что и у полковой пушки, а боковое рассеивание лучше табличного у полковой пушки.</w:t>
      </w:r>
    </w:p>
    <w:p w14:paraId="637F673C" w14:textId="77777777" w:rsidR="000F0C05" w:rsidRPr="00C33834" w:rsidRDefault="000F0C0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возкой проводились на дистанции 50 км по шоссе со скоростью 20—30 км/час.</w:t>
      </w:r>
    </w:p>
    <w:p w14:paraId="29A84C61" w14:textId="77777777" w:rsidR="000F0C05" w:rsidRPr="00C33834" w:rsidRDefault="000F0C0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Комиссия сделала следующие выводы:</w:t>
      </w:r>
    </w:p>
    <w:p w14:paraId="3886E813" w14:textId="77777777" w:rsidR="000F0C05" w:rsidRPr="00C33834" w:rsidRDefault="000F0C0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Достигнута скорострельность 18 выстрелов в 3 минуты,</w:t>
      </w:r>
    </w:p>
    <w:p w14:paraId="2A81FBA4" w14:textId="77777777" w:rsidR="000F0C05" w:rsidRPr="00C33834" w:rsidRDefault="000F0C0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Боеприпасы должны быть одинаковой длины для всех снарядов, так как при стрельбе бронебойными снарядами чертежа 4716 пользоваться механизмом заряжания нельзя, поскольку снаряды слишком длинные.</w:t>
      </w:r>
    </w:p>
    <w:p w14:paraId="579F9B24" w14:textId="77777777" w:rsidR="000F0C05" w:rsidRPr="00C33834" w:rsidRDefault="000F0C0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Деревянные поддоны у патронов должны быть строго калиброваны по диаметру сопла.</w:t>
      </w:r>
    </w:p>
    <w:p w14:paraId="210FA8BE" w14:textId="77777777" w:rsidR="000F0C05" w:rsidRPr="00C33834" w:rsidRDefault="000F0C0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Необходимо, кроме пушки, поставить на танкетку 7,62-мм пулемет ДТ.</w:t>
      </w:r>
    </w:p>
    <w:p w14:paraId="70C953BE" w14:textId="77777777" w:rsidR="000F0C05" w:rsidRPr="00C33834" w:rsidRDefault="000F0C0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Очередные испытания Т-27 с 76-мм пушкой Курчевского, которая к тому времени получила название ТПК-27, прошли на Кунцевском полигоне 25 апреля 1934 г. Предоставлю читателю выдержки из отчета комиссии:</w:t>
      </w:r>
    </w:p>
    <w:p w14:paraId="769E8E3D" w14:textId="77777777" w:rsidR="000F0C05" w:rsidRPr="00C33834" w:rsidRDefault="000F0C0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Стрельба с хода (до 15 км/час) и с коротких остановок показала «полное отсутствие меткости».</w:t>
      </w:r>
    </w:p>
    <w:p w14:paraId="3BC3C1DB" w14:textId="77777777" w:rsidR="000F0C05" w:rsidRPr="00C33834" w:rsidRDefault="000F0C0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Стрельбы закончились поперечным разрывом ствола на расстоянии около 400 мм от устья сопла, разрушен правый борт танкетки, оторван лист брони весом около 18 кг. Стрелявший инженер Нейланд убит, водитель Каплюр легко ранен и контужен. Взрыв произошел из-за двойного заряжания пушки.</w:t>
      </w:r>
    </w:p>
    <w:p w14:paraId="5FF0C699" w14:textId="77777777" w:rsidR="000F0C05" w:rsidRPr="00C33834" w:rsidRDefault="000F0C0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сделано 44 выстрела, и ни одного попадания. Осечек 5, один «плевок», то есть падение снаряда на расстоянии 3—4 м от дульного среза.</w:t>
      </w:r>
    </w:p>
    <w:p w14:paraId="32FFC5D5" w14:textId="77777777" w:rsidR="000F0C05" w:rsidRPr="00C33834" w:rsidRDefault="000F0C0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Грубое вертикальное наведение проводилось поворотом танкетки.</w:t>
      </w:r>
    </w:p>
    <w:p w14:paraId="19554596" w14:textId="77777777" w:rsidR="000F0C05" w:rsidRPr="00C33834" w:rsidRDefault="000F0C0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 комиссии: «Самоходная установка испытания не выдержала и требований не удовлетворяет».</w:t>
      </w:r>
    </w:p>
    <w:p w14:paraId="775B50B9" w14:textId="77777777" w:rsidR="000F0C05" w:rsidRPr="00C33834" w:rsidRDefault="000F0C0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этом работы по ТПК-27 были прекращены (15117).</w:t>
      </w:r>
    </w:p>
    <w:p w14:paraId="0534C31F" w14:textId="77777777" w:rsidR="000F0C05" w:rsidRPr="00C33834" w:rsidRDefault="000F0C05" w:rsidP="00C33834">
      <w:pPr>
        <w:spacing w:after="0" w:line="240" w:lineRule="auto"/>
        <w:jc w:val="both"/>
        <w:rPr>
          <w:rFonts w:ascii="Times New Roman" w:hAnsi="Times New Roman"/>
          <w:color w:val="000000" w:themeColor="text1"/>
          <w:sz w:val="16"/>
          <w:szCs w:val="16"/>
        </w:rPr>
      </w:pPr>
    </w:p>
    <w:p w14:paraId="542E1DC1" w14:textId="77777777" w:rsidR="00260BE5" w:rsidRPr="00C33834" w:rsidRDefault="00260BE5" w:rsidP="00C33834">
      <w:pPr>
        <w:pStyle w:val="rtejustify"/>
        <w:spacing w:before="0" w:after="0"/>
        <w:rPr>
          <w:color w:val="000000" w:themeColor="text1"/>
          <w:sz w:val="16"/>
          <w:szCs w:val="16"/>
        </w:rPr>
      </w:pPr>
      <w:r w:rsidRPr="00C33834">
        <w:rPr>
          <w:rStyle w:val="af0"/>
          <w:bCs/>
          <w:i w:val="0"/>
          <w:color w:val="000000" w:themeColor="text1"/>
          <w:sz w:val="16"/>
          <w:szCs w:val="16"/>
        </w:rPr>
        <w:t>11 июня 1933 вышел приказ НКТП № 79с.</w:t>
      </w:r>
      <w:r w:rsidRPr="00C33834">
        <w:rPr>
          <w:color w:val="000000" w:themeColor="text1"/>
          <w:sz w:val="16"/>
          <w:szCs w:val="16"/>
        </w:rPr>
        <w:t xml:space="preserve"> Об обеспечении заводами производственной программы по запчастям к танкам. (РГАЭ. Ф. 7297. Оп. 38. Д. 38. Л. 28) (15246).</w:t>
      </w:r>
    </w:p>
    <w:p w14:paraId="08385660" w14:textId="77777777" w:rsidR="00260BE5" w:rsidRPr="00C33834" w:rsidRDefault="00260BE5" w:rsidP="00C33834">
      <w:pPr>
        <w:pStyle w:val="rtejustify"/>
        <w:spacing w:before="0" w:after="0"/>
        <w:rPr>
          <w:color w:val="000000" w:themeColor="text1"/>
          <w:sz w:val="16"/>
          <w:szCs w:val="16"/>
        </w:rPr>
      </w:pPr>
    </w:p>
    <w:p w14:paraId="74564B82" w14:textId="77777777" w:rsidR="00260BE5" w:rsidRPr="00C33834" w:rsidRDefault="00260BE5" w:rsidP="00C33834">
      <w:pPr>
        <w:pStyle w:val="rtejustify"/>
        <w:spacing w:before="0" w:after="0"/>
        <w:rPr>
          <w:color w:val="000000" w:themeColor="text1"/>
          <w:sz w:val="16"/>
          <w:szCs w:val="16"/>
        </w:rPr>
      </w:pPr>
      <w:r w:rsidRPr="00C33834">
        <w:rPr>
          <w:rStyle w:val="af0"/>
          <w:bCs/>
          <w:i w:val="0"/>
          <w:color w:val="000000" w:themeColor="text1"/>
          <w:sz w:val="16"/>
          <w:szCs w:val="16"/>
        </w:rPr>
        <w:t>11 июня</w:t>
      </w:r>
      <w:r w:rsidRPr="00C33834">
        <w:rPr>
          <w:color w:val="000000" w:themeColor="text1"/>
          <w:sz w:val="16"/>
          <w:szCs w:val="16"/>
        </w:rPr>
        <w:t xml:space="preserve"> 1933. Постановление СТО СССР № 43сс/о «О мероприятиях первой очереди по усилению ОКДВА». (ГА РФ. Ф. Р</w:t>
      </w:r>
      <w:r w:rsidRPr="00C33834">
        <w:rPr>
          <w:color w:val="000000" w:themeColor="text1"/>
          <w:sz w:val="16"/>
          <w:szCs w:val="16"/>
        </w:rPr>
        <w:noBreakHyphen/>
        <w:t>8418. Оп. 28. Д. 1. Л. 188</w:t>
      </w:r>
      <w:r w:rsidRPr="00C33834">
        <w:rPr>
          <w:color w:val="000000" w:themeColor="text1"/>
          <w:sz w:val="16"/>
          <w:szCs w:val="16"/>
        </w:rPr>
        <w:noBreakHyphen/>
        <w:t>190) (15460).</w:t>
      </w:r>
    </w:p>
    <w:p w14:paraId="2D9BA1A1" w14:textId="77777777" w:rsidR="00260BE5" w:rsidRPr="00C33834" w:rsidRDefault="00260BE5" w:rsidP="00C33834">
      <w:pPr>
        <w:pStyle w:val="rtejustify"/>
        <w:spacing w:before="0" w:after="0"/>
        <w:rPr>
          <w:color w:val="000000" w:themeColor="text1"/>
          <w:sz w:val="16"/>
          <w:szCs w:val="16"/>
        </w:rPr>
      </w:pPr>
    </w:p>
    <w:p w14:paraId="46946A71" w14:textId="77777777" w:rsidR="00260BE5" w:rsidRPr="00C33834" w:rsidRDefault="00260BE5" w:rsidP="00C33834">
      <w:pPr>
        <w:pStyle w:val="rtejustify"/>
        <w:spacing w:before="0" w:after="0"/>
        <w:rPr>
          <w:color w:val="000000" w:themeColor="text1"/>
          <w:sz w:val="16"/>
          <w:szCs w:val="16"/>
        </w:rPr>
      </w:pPr>
      <w:r w:rsidRPr="00C33834">
        <w:rPr>
          <w:rStyle w:val="af0"/>
          <w:bCs/>
          <w:i w:val="0"/>
          <w:color w:val="000000" w:themeColor="text1"/>
          <w:sz w:val="16"/>
          <w:szCs w:val="16"/>
        </w:rPr>
        <w:t>11 июня</w:t>
      </w:r>
      <w:r w:rsidRPr="00C33834">
        <w:rPr>
          <w:color w:val="000000" w:themeColor="text1"/>
          <w:sz w:val="16"/>
          <w:szCs w:val="16"/>
        </w:rPr>
        <w:t xml:space="preserve"> 1933. Постановление СТО СССР № 45сс/о «О мероприятиях второй очереди по усилению ОКДВА». (ГА РФ. Ф. Р</w:t>
      </w:r>
      <w:r w:rsidRPr="00C33834">
        <w:rPr>
          <w:color w:val="000000" w:themeColor="text1"/>
          <w:sz w:val="16"/>
          <w:szCs w:val="16"/>
        </w:rPr>
        <w:noBreakHyphen/>
        <w:t>8418. Оп. 28. Д. 1. Л. 193</w:t>
      </w:r>
      <w:r w:rsidRPr="00C33834">
        <w:rPr>
          <w:color w:val="000000" w:themeColor="text1"/>
          <w:sz w:val="16"/>
          <w:szCs w:val="16"/>
        </w:rPr>
        <w:noBreakHyphen/>
        <w:t>195) (15460).</w:t>
      </w:r>
    </w:p>
    <w:p w14:paraId="46C4396E" w14:textId="77777777" w:rsidR="00260BE5" w:rsidRPr="00C33834" w:rsidRDefault="00260BE5" w:rsidP="00C33834">
      <w:pPr>
        <w:pStyle w:val="rtejustify"/>
        <w:spacing w:before="0" w:after="0"/>
        <w:rPr>
          <w:color w:val="000000" w:themeColor="text1"/>
          <w:sz w:val="16"/>
          <w:szCs w:val="16"/>
        </w:rPr>
      </w:pPr>
    </w:p>
    <w:p w14:paraId="70DC1CA1" w14:textId="77777777" w:rsidR="00260BE5" w:rsidRPr="00C33834" w:rsidRDefault="00260BE5" w:rsidP="00C33834">
      <w:pPr>
        <w:pStyle w:val="rtejustify"/>
        <w:spacing w:before="0" w:after="0"/>
        <w:rPr>
          <w:color w:val="000000" w:themeColor="text1"/>
          <w:sz w:val="16"/>
          <w:szCs w:val="16"/>
        </w:rPr>
      </w:pPr>
      <w:r w:rsidRPr="00C33834">
        <w:rPr>
          <w:rStyle w:val="af0"/>
          <w:bCs/>
          <w:i w:val="0"/>
          <w:color w:val="000000" w:themeColor="text1"/>
          <w:sz w:val="16"/>
          <w:szCs w:val="16"/>
        </w:rPr>
        <w:t>11 июня 1933 вышел приказ НКТП № 80с.</w:t>
      </w:r>
      <w:r w:rsidRPr="00C33834">
        <w:rPr>
          <w:color w:val="000000" w:themeColor="text1"/>
          <w:sz w:val="16"/>
          <w:szCs w:val="16"/>
        </w:rPr>
        <w:t xml:space="preserve"> Об улучшении работы предприятий химической промышленности. (РГАЭ. Ф. 7297. Оп. 38. Д. 38. Л. 30</w:t>
      </w:r>
      <w:r w:rsidRPr="00C33834">
        <w:rPr>
          <w:color w:val="000000" w:themeColor="text1"/>
          <w:sz w:val="16"/>
          <w:szCs w:val="16"/>
        </w:rPr>
        <w:noBreakHyphen/>
        <w:t>29) (15246).</w:t>
      </w:r>
    </w:p>
    <w:p w14:paraId="47434D5D" w14:textId="77777777" w:rsidR="00260BE5" w:rsidRPr="00C33834" w:rsidRDefault="00260BE5" w:rsidP="00C33834">
      <w:pPr>
        <w:pStyle w:val="rtejustify"/>
        <w:spacing w:before="0" w:after="0"/>
        <w:rPr>
          <w:color w:val="000000" w:themeColor="text1"/>
          <w:sz w:val="16"/>
          <w:szCs w:val="16"/>
        </w:rPr>
      </w:pPr>
    </w:p>
    <w:p w14:paraId="7BFBD2CE"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июня 1933 г. Приказ начальника военно-химического управления и химических войск РККА Я.М.Фишмана о перевозке запасов ОВ со склада © 136 (г.Москва, Очаково) на НИХП (Москва, Кузьминки) и ЦВХП (склад © 303, пос. Шиханы, Саратовская область). Перевозку ОВ © 11 предписано осуществить в ночное время (имеется в виду синильная кислота) (4423).</w:t>
      </w:r>
    </w:p>
    <w:p w14:paraId="06D329DE"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6DF9D508" w14:textId="77777777" w:rsidR="0044195E" w:rsidRPr="00C33834" w:rsidRDefault="0044195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июня 1933 г. постановлением СТО СССР вторым пятилетним планом военного строительства были определены задачи по дальнейшему развитию военно-полевой проводной связи А еще ранее, в августе 1932 г., выступая на конференции «Связь во втором пятиле</w:t>
      </w:r>
      <w:r w:rsidRPr="00C33834">
        <w:rPr>
          <w:rFonts w:ascii="Times New Roman" w:hAnsi="Times New Roman"/>
          <w:color w:val="000000" w:themeColor="text1"/>
          <w:sz w:val="16"/>
          <w:szCs w:val="16"/>
        </w:rPr>
        <w:softHyphen/>
        <w:t>тии» инспектор войск связи Р.В. Лонгва среди прочих приоритетов технической реконструкции техники также назвал внедрение многократного телефонирова</w:t>
      </w:r>
      <w:r w:rsidRPr="00C33834">
        <w:rPr>
          <w:rFonts w:ascii="Times New Roman" w:hAnsi="Times New Roman"/>
          <w:color w:val="000000" w:themeColor="text1"/>
          <w:sz w:val="16"/>
          <w:szCs w:val="16"/>
        </w:rPr>
        <w:softHyphen/>
        <w:t>ния и телеграфирования. Кроме этого, планами развития военной связи преду</w:t>
      </w:r>
      <w:r w:rsidRPr="00C33834">
        <w:rPr>
          <w:rFonts w:ascii="Times New Roman" w:hAnsi="Times New Roman"/>
          <w:color w:val="000000" w:themeColor="text1"/>
          <w:sz w:val="16"/>
          <w:szCs w:val="16"/>
        </w:rPr>
        <w:softHyphen/>
        <w:t>сматривалось: полная замена телефонных аппаратов старых марок на стандарт</w:t>
      </w:r>
      <w:r w:rsidRPr="00C33834">
        <w:rPr>
          <w:rFonts w:ascii="Times New Roman" w:hAnsi="Times New Roman"/>
          <w:color w:val="000000" w:themeColor="text1"/>
          <w:sz w:val="16"/>
          <w:szCs w:val="16"/>
        </w:rPr>
        <w:softHyphen/>
        <w:t>ные типа УНА; засекречивание работы телефонных средств связи; разработка и внедрение в войска аппаратуры дальней связи; введение в стратегическом и опе</w:t>
      </w:r>
      <w:r w:rsidRPr="00C33834">
        <w:rPr>
          <w:rFonts w:ascii="Times New Roman" w:hAnsi="Times New Roman"/>
          <w:color w:val="000000" w:themeColor="text1"/>
          <w:sz w:val="16"/>
          <w:szCs w:val="16"/>
        </w:rPr>
        <w:softHyphen/>
        <w:t>ративном звеньях управления подвижных проводных узлов связи (19098).</w:t>
      </w:r>
    </w:p>
    <w:p w14:paraId="246E7444" w14:textId="77777777" w:rsidR="0044195E" w:rsidRPr="00C33834" w:rsidRDefault="0044195E" w:rsidP="00C33834">
      <w:pPr>
        <w:spacing w:after="0" w:line="240" w:lineRule="auto"/>
        <w:jc w:val="both"/>
        <w:rPr>
          <w:rFonts w:ascii="Times New Roman" w:hAnsi="Times New Roman"/>
          <w:color w:val="000000" w:themeColor="text1"/>
          <w:sz w:val="16"/>
          <w:szCs w:val="16"/>
        </w:rPr>
      </w:pPr>
    </w:p>
    <w:p w14:paraId="3C6F1EF5" w14:textId="77777777" w:rsidR="00260BE5" w:rsidRPr="00C33834" w:rsidRDefault="00260BE5" w:rsidP="00C33834">
      <w:pPr>
        <w:pStyle w:val="rtejustify"/>
        <w:spacing w:before="0" w:after="0"/>
        <w:rPr>
          <w:color w:val="000000" w:themeColor="text1"/>
          <w:sz w:val="16"/>
          <w:szCs w:val="16"/>
        </w:rPr>
      </w:pPr>
      <w:r w:rsidRPr="00C33834">
        <w:rPr>
          <w:rStyle w:val="af0"/>
          <w:bCs/>
          <w:i w:val="0"/>
          <w:color w:val="000000" w:themeColor="text1"/>
          <w:sz w:val="16"/>
          <w:szCs w:val="16"/>
        </w:rPr>
        <w:t>11 июня</w:t>
      </w:r>
      <w:r w:rsidRPr="00C33834">
        <w:rPr>
          <w:color w:val="000000" w:themeColor="text1"/>
          <w:sz w:val="16"/>
          <w:szCs w:val="16"/>
        </w:rPr>
        <w:t xml:space="preserve"> 1933. Постановление СТО СССР № 42сс/о «О строительстве 30 подводных лодок «Щука» в 1934 г.». (ГА РФ. Ф. Р</w:t>
      </w:r>
      <w:r w:rsidRPr="00C33834">
        <w:rPr>
          <w:color w:val="000000" w:themeColor="text1"/>
          <w:sz w:val="16"/>
          <w:szCs w:val="16"/>
        </w:rPr>
        <w:noBreakHyphen/>
        <w:t>8418. Оп. 28. Д. 1. Л. 187) (15460).</w:t>
      </w:r>
    </w:p>
    <w:p w14:paraId="0E037712" w14:textId="77777777" w:rsidR="00260BE5" w:rsidRPr="00C33834" w:rsidRDefault="00260BE5" w:rsidP="00C33834">
      <w:pPr>
        <w:pStyle w:val="rtejustify"/>
        <w:spacing w:before="0" w:after="0"/>
        <w:rPr>
          <w:color w:val="000000" w:themeColor="text1"/>
          <w:sz w:val="16"/>
          <w:szCs w:val="16"/>
        </w:rPr>
      </w:pPr>
    </w:p>
    <w:p w14:paraId="35FBADC1"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июня 1933 г. постановлением СТО СССР была утверждена программа военно-морского строительства на 1933-1938 гг., в соответствии с которой телеграфный аппарат Шорина Ш-32 дол жен был заменить устаревшие буквопечатающие аппараты Юза (Архив ВИМАИВиВС, ф. 61р, оп. 2, д. 1, л. 104.). Поэтому про изводство его было поставлено в ряду других приоритетных направлений дея тельности электрослаботочной промышленности. Заслуги же самого А.Ф. Шо рина в деле укрепления обороноспособности страны были высоко оценены руко водством страны: постановлением ЦИК СССР и приказом РВС СССР № 336/347 от 22 апреля 1934 г. он был награжден орденом Ленина (Нижегородские пионеры советской радиотехники. - М.-Л., 1966. С. 210.). Нужно отметить, что одновременно с Шориным проблемой создания бук вопечатающего телеграфного аппарата занимался сотрудник НКПиТ Тремль. Два опытных образца его аппарата были изготовлены в конце 1929 г., и они сра зу же попали в поле зрения ВТУ. На своем заседании в ноябре 1929 г. Техниче ский комитет управления пришел к заключению, что аппараты Тремля представ ляют интерес для НКВМ. НКПиТ было предложено изготовить новые образцы аппаратов в мастерских ЦЛПС под наблюдением ее сотрудников и при участии Технического комитета ВТУ (ЦГА СПб., ф. 945, оп. 3, д. 111, л. 1.). После доработки в 1931 г. аппарат Тремля БТА-3 успешно выдержал испытания, был принят для эксплуатации и освоен в серий ном производстве. Применялся он для обеспечения телеграфной связи до штаба дивизии включительно (ВИМАИВиВС, ф. 60р, оп. 1, д. 27, л. 245.) (11870).</w:t>
      </w:r>
    </w:p>
    <w:p w14:paraId="13459225"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6F043E6D"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11 июня 1933 Совет труда и обороны принял постановление «О программе военно-морского строительства на 1933–1938 гг.». </w:t>
      </w:r>
    </w:p>
    <w:p w14:paraId="10DBC327"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годы второй пятилетки (1933–37) было начато строительство 137 подводных лодок, заложены 5 крейсеров (типа «Киров» и «Максим Горький»), 4 лидера, 46 эсминцев, 6 сторожевых кораблей, 27 тральщиков, 9 речных мониторов. Были созданы подводные лодки типов «М», «П», «Щ», «С», а затем типа «К» — большого водоизмещения с сильным торпедным и артиллерийским вооружением. В 1935 началось серийное строительство эсминцев типа «Гневный». Основной упор был сделан на строительство подводных лодок и торпедных катеров, которые должны были решать оборонительные и наступательные задачи. </w:t>
      </w:r>
    </w:p>
    <w:p w14:paraId="59DA63D7"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Большой вклад в развитие кораблестроения внесли выдающиеся ученые и инженеры А. Н. Крылов, П. Ф. Папкович, В. Л. Поздюнин, В. Ф. Попов, В. П. Костенко, Б. М. Малинин, Ю. А. Шиманский, А. П. Шершов, Н. В. Исаченков, В. Г. Власов и другие. </w:t>
      </w:r>
    </w:p>
    <w:p w14:paraId="2A35238C"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Наряду со строительством кораблей по плану, утвержденному в мае 1931, создавалась система береговой обороны, главной ударной силой которой была крупнокалиберная артиллерия. Развивалась бомбардировочная, истребительная и минно-торпедная морская авиация. Строились военно-морские базы. Тоннаж ВМФ с 1930 по 1939 увеличился почти в 2,5 раза (11712).</w:t>
      </w:r>
    </w:p>
    <w:p w14:paraId="53A16FAD"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70AECED5" w14:textId="77777777" w:rsidR="0059042B" w:rsidRPr="00C33834" w:rsidRDefault="0059042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11 июня 1933 Комиссии обороны СССР был заслушан доклад НКТП и НКВМ "О форсировании строительства подводных лодок". Внешне неожиданно, наряду с утверждением соответствующего постановления по проекту Наркомтяжпрома, КО решила:</w:t>
      </w:r>
    </w:p>
    <w:p w14:paraId="7D41A7BA" w14:textId="77777777" w:rsidR="0059042B" w:rsidRPr="00C33834" w:rsidRDefault="0059042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"Комиссии в составе тт. Молотова (председатель), Сталина, Ворошилова, Орджоникидзе, Куйбышева В., Кагановича Л., Ягоды, Тухачевского, Егорова, Орлова, Кагановича М., Сивкова, Кондратьева и Муклевича в декадный срок, исходя из необходимости форсированного развития военно-морских сил, разработать:</w:t>
      </w:r>
    </w:p>
    <w:p w14:paraId="5ACC8F91" w14:textId="77777777" w:rsidR="0059042B" w:rsidRPr="00C33834" w:rsidRDefault="0059042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а) программу военно-морского судостроения на 1933, 1934 и 1935 гг.;</w:t>
      </w:r>
    </w:p>
    <w:p w14:paraId="74AC9766" w14:textId="77777777" w:rsidR="0059042B" w:rsidRPr="00C33834" w:rsidRDefault="0059042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б) план экстраординарных мероприятий по обеспечению реального выполнения этой программы;</w:t>
      </w:r>
    </w:p>
    <w:p w14:paraId="1C390936" w14:textId="77777777" w:rsidR="0059042B" w:rsidRPr="00C33834" w:rsidRDefault="0059042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в) особо рассмотреть вопрос о типах судов гражданского флота сточки зрения их использования для военных целей" (Выписка из протокола № 6 Комиссии Обороны СССР от 11.06.1931 (заверенная копия)//РГА ВМФ. Ф. Р-1483-Оп. 1.Д 498. Л. 71.) (22725).</w:t>
      </w:r>
    </w:p>
    <w:p w14:paraId="5323187C" w14:textId="49B0C0BF" w:rsidR="0059042B" w:rsidRPr="00C33834" w:rsidRDefault="0059042B" w:rsidP="00C33834">
      <w:pPr>
        <w:shd w:val="clear" w:color="auto" w:fill="FFFFFF"/>
        <w:spacing w:after="0" w:line="240" w:lineRule="auto"/>
        <w:jc w:val="both"/>
        <w:rPr>
          <w:rFonts w:ascii="Times New Roman" w:hAnsi="Times New Roman"/>
          <w:color w:val="0070C0"/>
          <w:sz w:val="16"/>
          <w:szCs w:val="16"/>
        </w:rPr>
      </w:pPr>
    </w:p>
    <w:p w14:paraId="1CDF2BE4" w14:textId="369941A0" w:rsidR="0059042B" w:rsidRPr="00C33834" w:rsidRDefault="0059042B" w:rsidP="00C33834">
      <w:pPr>
        <w:shd w:val="clear" w:color="auto" w:fill="FFFFFF"/>
        <w:spacing w:after="0" w:line="240" w:lineRule="auto"/>
        <w:jc w:val="both"/>
        <w:rPr>
          <w:rFonts w:ascii="Times New Roman" w:hAnsi="Times New Roman"/>
          <w:i/>
          <w:iCs/>
          <w:color w:val="0070C0"/>
          <w:sz w:val="16"/>
          <w:szCs w:val="16"/>
        </w:rPr>
      </w:pPr>
      <w:r w:rsidRPr="00C33834">
        <w:rPr>
          <w:rFonts w:ascii="Times New Roman" w:hAnsi="Times New Roman"/>
          <w:i/>
          <w:iCs/>
          <w:color w:val="0070C0"/>
          <w:sz w:val="16"/>
          <w:szCs w:val="16"/>
        </w:rPr>
        <w:t>За рубежом:</w:t>
      </w:r>
    </w:p>
    <w:p w14:paraId="75A8ACDF" w14:textId="77777777" w:rsidR="0059042B" w:rsidRPr="00C33834" w:rsidRDefault="0059042B" w:rsidP="00C33834">
      <w:pPr>
        <w:shd w:val="clear" w:color="auto" w:fill="FFFFFF"/>
        <w:spacing w:after="0" w:line="240" w:lineRule="auto"/>
        <w:jc w:val="both"/>
        <w:rPr>
          <w:rFonts w:ascii="Times New Roman" w:hAnsi="Times New Roman"/>
          <w:i/>
          <w:iCs/>
          <w:color w:val="0070C0"/>
          <w:sz w:val="16"/>
          <w:szCs w:val="16"/>
        </w:rPr>
      </w:pPr>
    </w:p>
    <w:p w14:paraId="2F9A62C8" w14:textId="77777777" w:rsidR="0059042B" w:rsidRPr="00C33834" w:rsidRDefault="005904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11 июня 1933 состоялся первый полет Cessna CR-3 (20802).</w:t>
      </w:r>
    </w:p>
    <w:p w14:paraId="50CC539E" w14:textId="77777777" w:rsidR="0059042B" w:rsidRPr="00C33834" w:rsidRDefault="0059042B" w:rsidP="00C33834">
      <w:pPr>
        <w:spacing w:after="0" w:line="240" w:lineRule="auto"/>
        <w:jc w:val="both"/>
        <w:rPr>
          <w:rFonts w:ascii="Times New Roman" w:hAnsi="Times New Roman"/>
          <w:color w:val="0070C0"/>
          <w:sz w:val="16"/>
          <w:szCs w:val="16"/>
        </w:rPr>
      </w:pPr>
    </w:p>
    <w:p w14:paraId="73461410" w14:textId="77777777" w:rsidR="0030712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27CB04F" w14:textId="77777777" w:rsidR="0030712B" w:rsidRPr="00C33834" w:rsidRDefault="0030712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484A256" w14:textId="77777777" w:rsidR="0030712B" w:rsidRPr="00C33834" w:rsidRDefault="003071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июня 1933 г. В-5 участвовал в параде физкультурников, пролетев в 15 часов 45 минут вместе с дирижаблем В-3 над Красной площадью [4, л.244]. В 1934 г. из-за непригодности В-5 к дальнейшей эксплуатации по решению технической комиссии [14, л. 9]  он был разоружен [14, л. 74] и помещен в деревянный эллинг, где и сгорел во время пожара 16 августа 1934 г. (15797)</w:t>
      </w:r>
    </w:p>
    <w:p w14:paraId="4F549CB3" w14:textId="77777777" w:rsidR="0030712B" w:rsidRPr="00C33834" w:rsidRDefault="0030712B" w:rsidP="00C33834">
      <w:pPr>
        <w:spacing w:after="0" w:line="240" w:lineRule="auto"/>
        <w:jc w:val="both"/>
        <w:rPr>
          <w:rFonts w:ascii="Times New Roman" w:hAnsi="Times New Roman"/>
          <w:color w:val="000000" w:themeColor="text1"/>
          <w:sz w:val="16"/>
          <w:szCs w:val="16"/>
        </w:rPr>
      </w:pPr>
    </w:p>
    <w:p w14:paraId="7C0C6899"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315B32A"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2871637"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июня 1933 г. бьш заложен первый камень в основание первого цеха нового судостроительного завода Амурская верфь (3898).</w:t>
      </w:r>
    </w:p>
    <w:p w14:paraId="436C3285"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28DAF082" w14:textId="77777777" w:rsidR="0030712B" w:rsidRPr="00C33834" w:rsidRDefault="003071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12 июня</w:t>
      </w:r>
      <w:r w:rsidRPr="00C33834">
        <w:rPr>
          <w:rFonts w:ascii="Times New Roman" w:hAnsi="Times New Roman"/>
          <w:color w:val="000000" w:themeColor="text1"/>
          <w:sz w:val="16"/>
          <w:szCs w:val="16"/>
        </w:rPr>
        <w:t xml:space="preserve"> в 1933 году состоялась закладка фундамента Амурского судостроительного завода (14920).</w:t>
      </w:r>
    </w:p>
    <w:p w14:paraId="72497D0C" w14:textId="77777777" w:rsidR="0030712B" w:rsidRPr="00C33834" w:rsidRDefault="0030712B" w:rsidP="00C33834">
      <w:pPr>
        <w:spacing w:after="0" w:line="240" w:lineRule="auto"/>
        <w:jc w:val="both"/>
        <w:rPr>
          <w:rFonts w:ascii="Times New Roman" w:hAnsi="Times New Roman"/>
          <w:color w:val="000000" w:themeColor="text1"/>
          <w:sz w:val="16"/>
          <w:szCs w:val="16"/>
        </w:rPr>
      </w:pPr>
    </w:p>
    <w:p w14:paraId="084F1CB0"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июня 1933 г. был заложен первый камень первого цеха завода (Завод № 199 НКОП, Завод № 199 им. Ленинского комсомола НКСП, Амурская верфь, Амурский судостроительный завод (АСЗ) НКТП, НКОП, Завод им. Ленинского комсомола, ОАО «АСЗ» /г. Комсомольск-на-Амуре п/я 199 «Доки» (1938г.)/ /681000 г. Комсомольск-на-Амуре Хабаровского кр. Аллея труда, 1 тел. 43-224/). Начальником строительства был сначала Н. Г. Оксман, затем- И. Жданов. Строил трест Дальстрой, в 1936 г. для ускорения строительства сформирован военно-строительный корпус численностью 15.000 чел. В 07.1934 г. построена электростанция. Первая очередь завода вступила в строй 1.07.1936 г., но продолжал строиться вплоть до начала ВОВ. Впервые в мире на заводе реализовано проектное решение, предложенное инженером В.П. Костенко: из-за большого колебания паводкового уровня воды Амура (до 10 м) для постройки кораблей сооружены не традиционные наклонные стапели, а горизонтальные стапельные места в наливных доках, перекрытых отапливаемыми эллингами, в которых размещались козловые и мостовые краны. Наливной док имел глубоководную прорезь, по которой после спуска воды из дока судно выводилось в естественную акваторию. Строилось 9 доков в трех группах: малые доки в эллинге А (№ 3, 5), средние Б, большие В длиной 114...210 м с общим наливным бассейном. Группа В введена в строй в 1938 г., группа А - в 1940 г. Кроме того завод имел достроечную набережную, цеха: корпусной, сборочно-монтажный, котельный, механический, литейный, дизель-турбинный; плаз, склад стали. Проектная мощность завода- крейсер, 4 лидера эсминцев и 6 ПЛ в год. 25.05.1935 г. на стапеле № 1 был заложен первый корабль - ПЛ-заградитель Л-11 Х1-й серии. Приказом № 0023 от 3.02.1937 г. утверждены работы по капстроительству на 1937 г.: сдать в эксплуатацию группу корпусных цехов (кроме эллинга № 2 и малярно-такелажного цеха), группу гидро-технических сооружений (кроме дока № 2 и береговых устройств), турбо-дизельный и контрагентский цехи, литейный и кузнечно-прессовый цехи, 2-ю очередь ТЭЦ.</w:t>
      </w:r>
    </w:p>
    <w:p w14:paraId="5E0C51FE"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время строительства был организован строительный участок - филиал завода № 198. Для достройки в нем лидеров пр. 38бис, изготовление которых было начато в Николаеве, был организован цех № 2 («Доки»), а действовавшая временная верфь получила название цех № 1. Пр. № 444сс от 25.11.1938 г. заводу предписано построить достроечную базу завода в Совгавани.</w:t>
      </w:r>
    </w:p>
    <w:p w14:paraId="19B2771C"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 НКОП № Обсс от 30.12.1936 г. АСЗ переименован в завод № 199 (эта дата считается днем рождения завода), немного позже получил имя Ленинского комсомола. 22.04.1937 г. вышел пр. НКОП № 0088 о приемке АСЗ от НКТП в НКОП по состоянию на 1.03.1937 г.</w:t>
      </w:r>
      <w:r w:rsidRPr="00C33834">
        <w:rPr>
          <w:rFonts w:ascii="Times New Roman" w:hAnsi="Times New Roman"/>
          <w:color w:val="000000" w:themeColor="text1"/>
          <w:sz w:val="16"/>
          <w:szCs w:val="16"/>
          <w:vertAlign w:val="superscript"/>
        </w:rPr>
        <w:t>139</w:t>
      </w:r>
      <w:r w:rsidRPr="00C33834">
        <w:rPr>
          <w:rFonts w:ascii="Times New Roman" w:hAnsi="Times New Roman"/>
          <w:color w:val="000000" w:themeColor="text1"/>
          <w:sz w:val="16"/>
          <w:szCs w:val="16"/>
        </w:rPr>
        <w:t>, в 05.1937 г. - в ведении 2ГУ. Пр. № 14 от 16.01.1938 г. утвержден Устав завода. В 02.1939 г. передан из 2ГУ НКОП в ведение ЗГУ НКСП.</w:t>
      </w:r>
    </w:p>
    <w:p w14:paraId="6E902DFB"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Приказом № 249сс от 17.07.1938 г. заводу предписано заложить два крейсера типа «Максим Горький».</w:t>
      </w:r>
    </w:p>
    <w:p w14:paraId="2C40FAF5"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 № 335 от 1.09.1938 г. для производства работ по контрольно-измерительным приборам на заводе с 1.09.1938 г. организовано отделение Московской проектно-монтажной конторы треста «Теплоконтроль».</w:t>
      </w:r>
    </w:p>
    <w:p w14:paraId="53E85DBF"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годы ВОВ сюда эвакуирована часть заводов № 103, № 189, № 194 и № 638 НКСП.</w:t>
      </w:r>
    </w:p>
    <w:p w14:paraId="146152F0"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 ГКО № 2710 от 6.01.1943 г. крейсер «Калинин» пр. 26бис постройки завода передан в состав ВМФ.</w:t>
      </w:r>
    </w:p>
    <w:p w14:paraId="74B77FE6"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21.12.1943 г. вышло постановление ГКО № 4820 о мероприятиях по обеспечению строительства боевых кораблей на заводе.</w:t>
      </w:r>
    </w:p>
    <w:p w14:paraId="3EB29C08"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войны продолжено строительство завода. В 1953 г. завершено строительство группы доков Б.</w:t>
      </w:r>
    </w:p>
    <w:p w14:paraId="6518B3F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Специализация завода - производство ПЛ, в т.ч. атомных. Водоизмещение строившихся ПЛ было ограничено возможностями их последующей транспортировки по Амуру в плавучем доке. Для строительства ПЛ был реконструирован основной судостроительный комплекс: в каждом из доков были оборудованы стапельные линии, на которых по рельсам перемещались корпуса ПЛ, строившихся поточно-позиционным методом.</w:t>
      </w:r>
    </w:p>
    <w:p w14:paraId="7FBC5155"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1960-61 г. начаты работы по созданию сдаточной базы завода в пос. Большой Камень недалеко от завода «Звезда» (вероято, далее это - завод «Восток»).</w:t>
      </w:r>
    </w:p>
    <w:p w14:paraId="768924D5"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1993 г.- Амурский ССЗ. В 2001 г. вошел в ОАО «Концерн средне- и малотоннажного кораблестроения». В 2004 г.- ОАО «Амурский судостроительный завод». В соответствии с Указом Президента РФ № 394 от 21.03.2007 г. и распоряжением правительства от 06.2007 г. планировалось вхождение предприятия в один из 7 создаваемых в России судостроительных холдингов ОСК- ОАО «ДЦСС». К 1.12.2008 г. предприятие частично (20% акций) вошло в состав ДЦСС.</w:t>
      </w:r>
    </w:p>
    <w:p w14:paraId="0657026F"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Выпускал также изделия судового и общего машиностроения, мостовые опоры, резервуары, насосы, плуги.</w:t>
      </w:r>
    </w:p>
    <w:p w14:paraId="530503F6"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2005 г. всего построено 396 судов: 194 военных (в т.ч. 41 дизельная и 56 АЛЛ), 202- гражданских.</w:t>
      </w:r>
      <w:r w:rsidRPr="00C33834">
        <w:rPr>
          <w:rFonts w:ascii="Times New Roman" w:hAnsi="Times New Roman"/>
          <w:color w:val="000000" w:themeColor="text1"/>
          <w:sz w:val="16"/>
          <w:szCs w:val="16"/>
          <w:vertAlign w:val="superscript"/>
        </w:rPr>
        <w:t>101</w:t>
      </w:r>
    </w:p>
    <w:p w14:paraId="0275D195"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Имел филиал (2004-08 г.)- завод «Восток» ( г. Большой Камень).</w:t>
      </w:r>
    </w:p>
    <w:p w14:paraId="7CF5F31A"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Численность персонала (1937 г.)- 3664 чел., (1.01.1946 г.)- 7800 чел.</w:t>
      </w:r>
    </w:p>
    <w:p w14:paraId="027C329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(1936-3.08.1937 г.)- И.М. Жданов (репрессирован), (3.08.1937-41 г.-)- А.Л. Токарев.</w:t>
      </w:r>
      <w:r w:rsidRPr="00C33834">
        <w:rPr>
          <w:rFonts w:ascii="Times New Roman" w:hAnsi="Times New Roman"/>
          <w:color w:val="000000" w:themeColor="text1"/>
          <w:sz w:val="16"/>
          <w:szCs w:val="16"/>
          <w:vertAlign w:val="superscript"/>
        </w:rPr>
        <w:t>61</w:t>
      </w:r>
      <w:r w:rsidRPr="00C33834">
        <w:rPr>
          <w:rFonts w:ascii="Times New Roman" w:hAnsi="Times New Roman"/>
          <w:color w:val="000000" w:themeColor="text1"/>
          <w:sz w:val="16"/>
          <w:szCs w:val="16"/>
        </w:rPr>
        <w:t xml:space="preserve"> Гендиректор (1990-е-06.2005; 12.02.2009 г.-)- Н. Повзык, (06.2005-12.02.2009 г.)- А.И. Адаменя.</w:t>
      </w:r>
    </w:p>
    <w:p w14:paraId="71ACDAD6"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строительства (1932 г.-)- Н. Г. Оксман. Зам. директора (29.03.1936 г.-)- П. Г. Гойнкис. Зам. гендиректора: по производству (2008 г.)-  Г. Васильев; (-06.2005 г.)- А.И. Адаменя.</w:t>
      </w:r>
    </w:p>
    <w:p w14:paraId="0F542EBF"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(29.03.1936-9.05.1938 г.-)- П. Г. Гойнкис; и.о. (-1938 г.)- З. Г. Сгибнев; В.Ф. Ивочкин, (2008 г.)- А. Меринов.</w:t>
      </w:r>
    </w:p>
    <w:p w14:paraId="2B920844"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цехов: № 2 (13.12.1935 г.-)- К.Ф. Терлецкий.</w:t>
      </w:r>
    </w:p>
    <w:p w14:paraId="1C53D8FE"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начальника цеха: № 19 (2008 г.)- В. Стародубов.</w:t>
      </w:r>
    </w:p>
    <w:p w14:paraId="57B85C44"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УКС (02.1937 г.)- Я.П. Варенцов.</w:t>
      </w:r>
    </w:p>
    <w:p w14:paraId="56B88E4B"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отделов: ППО (02.1938 г.)- З. Г. Сгибнев.</w:t>
      </w:r>
    </w:p>
    <w:p w14:paraId="0137BB2D"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строители: (1938-42 г.-)- А.З. Голданд (пр. 26бис). Строители кораблей: (12.1935 г.-)- К.Ф. Терлецкий (пр. 38бис), (1930-е)- В.Ф. Ивочкин (пр. 38бис).</w:t>
      </w:r>
    </w:p>
    <w:p w14:paraId="52145E5A"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Уполномоченный завода во Владивостоке (1.09.1938 г.-)- З. Г. Сгибнев.</w:t>
      </w:r>
    </w:p>
    <w:p w14:paraId="72747497"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Производство: ПЛ. сборка лодок завода им. Марта Л-11 (зак. 284, 05.1935-38), Л-12 (зак. 286, 05.1935-38); типа «Щ» (1936-37)- 2; пр. 613 (1954-57)- 11; пр. 629 (1959-62)- 22 (вместе с заводом 402), (1960-е, сборка в Китае)- 2; пр. 877 «Варшавянка» («Палтус») Б-248 (-1980), (1980-2000)- 15; пр. 971; спасательная пр. 940 «Ленок» (БС-257, 1978; БС-486, 1979)- 2; АПЛ: с КР П-5 пр. 659 (12.1958-06.1961), (1961-63)- 4; стратегические ракетоносцы: с Д-5 пр. 667А (1967-74)- 10, 667АУ, 667Б (1972-77)- 8; многоцелевая пр. 671РТМ (1977-92&gt; 26 (вместе с ЛАО); пр. 675 с КР П-6 (1963-68)- 22; мишень пр. 690 (1967-69)- 4; спасательная пр. 940 (1976-79)- 2; пр. 971 «Щука-Б» головная К-284 «Акула» (1983-91)- 7, К-152 «Нерпа» достроена по пр. 971И (зак. 518, 1993- 06.2006), еще 1 заложена в 1980-х, на 2006 г. не достроена; «Дракон» («Самара», 1994); эсминцы: пр. 7 «Решительный» (-10.1937), «Ретивый», «Расторопный», «Передовой» («Разъяренный», «Развитой»), «Поспешный» («Решительный»), «Проворный» («Ревностный») (1941), «Пылкий» («Редкий») (1942), всего (-1944)- 7; пр. 30 «Внушительный», «Выносливый», «Властный» (1940-), «Ведущий», «Внезапный» (09.1941-), пр. 30К (1947-48)- 3, пр. ЗОбис (1949-52)- 18; пр. 56 (1955-57)- 7, 56М «Неудержимый» (-12.1958); пр. 57бис «Гордый» (1959-61); крейсеры: легкие пр. 26бис «Калинин» (06.1938-05.1942), «Лазарь Каганович» (08.1938- 05.1944); сторожевики: пр. 29к «Альбатрос» (12.1939-45), «Буревестник» (1947); пр. 50 (1954)- 7; лидеры: пр. 38бис «Киев» (№ 267, «Орджоникидзе», «Баку») (03.1936-07.1938), «Тифлис» (№ 268, «Тбилиси») (08.1936- 09.1939); большой охотник пр. 122а «Связист» (1945); корвет пр. 20380 «Совершенный» (07.2006-); железнодорожные паромы пр. 723 «Волга», «Дон» (1944-45), «Амур», «Комсомольск» (1951); несамоходный артиллерийский щит пр. 436 (1949-52); транспортно-ледокольное судно- 10; сухогруз ледового плавания пр. 550 «Амгуема» (1962-)- 13 (вместе с заводом 873); плавбаза для перезарядки реакторов АПЛ пр. 326 (1960-66)- 4; плавучие доки: транспортные пр. 764 (1956-58)- 7 (вместе с заводом 189), пр. 769, пр. 769А (1958-64)- всего 4, пр. 1757, пр. 17571 (1970-е), док-эллинг пр. 1780 (1970-е); транспортно-буксирное судно </w:t>
      </w:r>
      <w:r w:rsidRPr="00C33834">
        <w:rPr>
          <w:rFonts w:ascii="Times New Roman" w:hAnsi="Times New Roman"/>
          <w:color w:val="000000" w:themeColor="text1"/>
          <w:sz w:val="16"/>
          <w:szCs w:val="16"/>
          <w:lang w:val="en-US"/>
        </w:rPr>
        <w:t>UT</w:t>
      </w:r>
      <w:r w:rsidRPr="00C33834">
        <w:rPr>
          <w:rFonts w:ascii="Times New Roman" w:hAnsi="Times New Roman"/>
          <w:color w:val="000000" w:themeColor="text1"/>
          <w:sz w:val="16"/>
          <w:szCs w:val="16"/>
        </w:rPr>
        <w:t>-722 для Вьетнама (2000- е); танкер-химовоз для Германии (2000-е)- 4; единственное в мире судно сейсморазведки пр. 3383 «Сагар Самикша» для Индии (2006); буксир-кантовщик пр. 01710 «Вагис» (-06.2006); судно по переработке жидких радиоактивных отходов «Ландыш» (-1998); артиллерийские снаряды (ВОВ)- 161.500, авиабомбы ФАБ-250 (ВОВ)- 5120, ФАБ-100 (ВОВ)- 40895, головки авиабомб, минометные плиты (ВОВ)- 6049; энергетический модуль для морской платформы «Моликпак» (2000- е);</w:t>
      </w:r>
    </w:p>
    <w:p w14:paraId="78A9BE9C"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капремонт: ПЛ: типа «Щ» (-1944)- 9, типа «М» (-1944)- 4</w:t>
      </w:r>
      <w:r w:rsidRPr="00C33834">
        <w:rPr>
          <w:rFonts w:ascii="Times New Roman" w:hAnsi="Times New Roman"/>
          <w:color w:val="000000" w:themeColor="text1"/>
          <w:sz w:val="16"/>
          <w:szCs w:val="16"/>
          <w:vertAlign w:val="superscript"/>
        </w:rPr>
        <w:t>90</w:t>
      </w:r>
      <w:r w:rsidRPr="00C33834">
        <w:rPr>
          <w:rFonts w:ascii="Times New Roman" w:hAnsi="Times New Roman"/>
          <w:color w:val="000000" w:themeColor="text1"/>
          <w:sz w:val="16"/>
          <w:szCs w:val="16"/>
        </w:rPr>
        <w:t>; мониторов (ВОВ)- 3; тральщиков (ВОВ)- 24; переоборудование ПЛ пр. 659 в пр. 659Т (1968-74)- 5 (вместе с заводом 892); модернизация: плавучих технических баз перезарядки реакторов ЯЭУ пр. 326 по пр. 326М (1970-е); 2 дизельных ПЛ (2006), 1 АПЛ (2006); буровой платформы «Моликпак», «Орлан» для США (2000-е).</w:t>
      </w:r>
    </w:p>
    <w:p w14:paraId="23026D52"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«Восток», ОАО «Завод судового оборудования «Восток»</w:t>
      </w:r>
    </w:p>
    <w:p w14:paraId="2F28A600"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/692804  г. Большой Камень Приморского кр. ул. Колхозная, 1Б/</w:t>
      </w:r>
    </w:p>
    <w:p w14:paraId="45752537"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1960-61 г. начаты работы по созданию сдаточной базы завода № 199 в пос. Большой Камень недалеко от завода «Звезда» (далее это - завод «Восток»).</w:t>
      </w:r>
    </w:p>
    <w:p w14:paraId="3A21994E"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Филиал АСЗ, достроечная база (2004-08 г.).</w:t>
      </w:r>
    </w:p>
    <w:p w14:paraId="3603158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Переоборудование АПЛ К-55, К-178 пр. 658 в пр. 658Т (торпедная) (1970-е).</w:t>
      </w:r>
    </w:p>
    <w:p w14:paraId="2F5D03B4"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(-2008-09 г.-)-  Г. Вагин.</w:t>
      </w:r>
    </w:p>
    <w:p w14:paraId="1E63E450"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цехов: сдаточно-монтажного (1975 г.-)- Л. Г. Мещеряков (11982).</w:t>
      </w:r>
    </w:p>
    <w:p w14:paraId="793A9552"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577F56D6" w14:textId="77777777" w:rsidR="0030712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B3326E2" w14:textId="77777777" w:rsidR="0030712B" w:rsidRPr="00C33834" w:rsidRDefault="0030712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4678F76" w14:textId="77777777" w:rsidR="0030712B" w:rsidRPr="00C33834" w:rsidRDefault="003071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12 июня</w:t>
      </w:r>
      <w:r w:rsidRPr="00C33834">
        <w:rPr>
          <w:rFonts w:ascii="Times New Roman" w:hAnsi="Times New Roman"/>
          <w:color w:val="000000" w:themeColor="text1"/>
          <w:sz w:val="16"/>
          <w:szCs w:val="16"/>
        </w:rPr>
        <w:t xml:space="preserve"> в 1933 году на Всемирной конференции по денежному обращению и экономическим вопросам в Лондоне (завершится 27 июля) присутствуют представители 64 стран, но вопрос о методах стабилизации национальных валют так и не решен (14920).</w:t>
      </w:r>
    </w:p>
    <w:p w14:paraId="13F74FCD" w14:textId="77777777" w:rsidR="0030712B" w:rsidRPr="00C33834" w:rsidRDefault="0030712B" w:rsidP="00C33834">
      <w:pPr>
        <w:spacing w:after="0" w:line="240" w:lineRule="auto"/>
        <w:jc w:val="both"/>
        <w:rPr>
          <w:rFonts w:ascii="Times New Roman" w:hAnsi="Times New Roman"/>
          <w:color w:val="000000" w:themeColor="text1"/>
          <w:sz w:val="16"/>
          <w:szCs w:val="16"/>
        </w:rPr>
      </w:pPr>
    </w:p>
    <w:p w14:paraId="11BD2C37"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lastRenderedPageBreak/>
        <w:t>Авиапромышленность:</w:t>
      </w:r>
    </w:p>
    <w:p w14:paraId="2155EB10"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8277750" w14:textId="77777777" w:rsidR="00AE51CE" w:rsidRPr="00C33834" w:rsidRDefault="00AE51C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июня 1933 года начальник 7 сектора НИИ ВВС Горощенко писал письмо № 2/0749с начальнику ВВС Алкснису.</w:t>
      </w:r>
    </w:p>
    <w:p w14:paraId="1D19223D" w14:textId="77777777" w:rsidR="00AE51CE" w:rsidRPr="00C33834" w:rsidRDefault="00AE51C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Вашему приказанию доношу о состоянии постройки самолета РД-М34 на 11 июня 1933 года.</w:t>
      </w:r>
    </w:p>
    <w:p w14:paraId="68434078" w14:textId="77777777" w:rsidR="00AE51CE" w:rsidRPr="00C33834" w:rsidRDefault="00AE51C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собран. Стоит во дворе ЗОКа ЦАГИ и проходит в настоящее время отладку винтомоторной группы.</w:t>
      </w:r>
    </w:p>
    <w:p w14:paraId="770D3247" w14:textId="77777777" w:rsidR="00AE51CE" w:rsidRPr="00C33834" w:rsidRDefault="00AE51C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Туполев дает срок выхода самолета на аэродром с доведением на земле винтомоторной группы 25 июня 1933 года.</w:t>
      </w:r>
    </w:p>
    <w:p w14:paraId="504EC334" w14:textId="77777777" w:rsidR="00AE51CE" w:rsidRPr="00C33834" w:rsidRDefault="00AE51C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настоящего времени темпы работ ЦАГИ (производство) по самолету были крайне низкими.</w:t>
      </w:r>
    </w:p>
    <w:p w14:paraId="78A39401" w14:textId="77777777" w:rsidR="00AE51CE" w:rsidRPr="00C33834" w:rsidRDefault="00AE51C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Указанный выше срок является приемлемым лишь в случае устранения в течении его такого крупного дефекта самолета как течь радиаторов и достижение надежной работы винтомоторной группы на земле (6779, 50).</w:t>
      </w:r>
    </w:p>
    <w:p w14:paraId="3671DCB4" w14:textId="77777777" w:rsidR="00AE51CE" w:rsidRPr="00C33834" w:rsidRDefault="00AE51C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2CC66C"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июня 1933 была закончена постройка АНТ-25 с безредукторным двигателем М-34 (2072,72).</w:t>
      </w:r>
    </w:p>
    <w:p w14:paraId="55C4FFB0"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- 1 июня 1933</w:t>
      </w:r>
    </w:p>
    <w:p w14:paraId="0191F6B5"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57B22338"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июня 1933 Чл. коллегии НК РКИ СССР, Нач. ВМИ В.Куйбышев писал письмо N 697/ви Нач. ГУАП П.И.Б. по вопросу состояния работ группы и Заславского:</w:t>
      </w:r>
    </w:p>
    <w:p w14:paraId="67FDEE4A"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"Военной инспекцией проведено обследование работ конструкторской группы и Заславского по проектированию скоростного самолета.</w:t>
      </w:r>
    </w:p>
    <w:p w14:paraId="13AB751C"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 группой поставлен ряд задач чрезвычайно сложных, в смысле конструкторского оформления, требующих в процессе работы привлечения сил специальных Институтов.</w:t>
      </w:r>
    </w:p>
    <w:p w14:paraId="33B8800D"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Обследованием выявлено, что условий для работы группы УВИ не создано, группа не имеет производственной базы (в результате чего проектные работы выражаются лишь в подсчетах и чертежах), не имеет также необходимых литературно-технических материалов. исходя из того, что при существующем положении работа группы не м.б. развернута должным образом - считаю необходимым, для доведения проектирования самолета, КГ из ведения УВИ изъять и передать на один из опытных самолетных заводов ГУАП.</w:t>
      </w:r>
    </w:p>
    <w:p w14:paraId="4815342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Прошу Ваши соображения по данному вопросу сообщить в Военную инспекцию." (2305).</w:t>
      </w:r>
    </w:p>
    <w:p w14:paraId="707DEC24"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29D92195"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июня 1933 спустя шесть дней разработали техниче</w:t>
      </w:r>
      <w:r w:rsidRPr="00C33834">
        <w:rPr>
          <w:rFonts w:ascii="Times New Roman" w:hAnsi="Times New Roman"/>
          <w:color w:val="000000" w:themeColor="text1"/>
          <w:sz w:val="16"/>
          <w:szCs w:val="16"/>
        </w:rPr>
        <w:softHyphen/>
        <w:t>ское задание на проектирование взлетной полосы специального назначения длиной 1500 метров и шириной 50 метров, направ</w:t>
      </w:r>
      <w:r w:rsidRPr="00C33834">
        <w:rPr>
          <w:rFonts w:ascii="Times New Roman" w:hAnsi="Times New Roman"/>
          <w:color w:val="000000" w:themeColor="text1"/>
          <w:sz w:val="16"/>
          <w:szCs w:val="16"/>
        </w:rPr>
        <w:softHyphen/>
        <w:t>ленной с юго-востока на северо-запад. По проекту полоса включала наклонную и го</w:t>
      </w:r>
      <w:r w:rsidRPr="00C33834">
        <w:rPr>
          <w:rFonts w:ascii="Times New Roman" w:hAnsi="Times New Roman"/>
          <w:color w:val="000000" w:themeColor="text1"/>
          <w:sz w:val="16"/>
          <w:szCs w:val="16"/>
        </w:rPr>
        <w:softHyphen/>
        <w:t>ризонтальную части с площадкой разме</w:t>
      </w:r>
      <w:r w:rsidRPr="00C33834">
        <w:rPr>
          <w:rFonts w:ascii="Times New Roman" w:hAnsi="Times New Roman"/>
          <w:color w:val="000000" w:themeColor="text1"/>
          <w:sz w:val="16"/>
          <w:szCs w:val="16"/>
        </w:rPr>
        <w:softHyphen/>
        <w:t>ром 25x25 метров, расположенной на вер</w:t>
      </w:r>
      <w:r w:rsidRPr="00C33834">
        <w:rPr>
          <w:rFonts w:ascii="Times New Roman" w:hAnsi="Times New Roman"/>
          <w:color w:val="000000" w:themeColor="text1"/>
          <w:sz w:val="16"/>
          <w:szCs w:val="16"/>
        </w:rPr>
        <w:softHyphen/>
        <w:t>шине десяти метровой горки. Последняя находилась в юго-восточной части аэро</w:t>
      </w:r>
      <w:r w:rsidRPr="00C33834">
        <w:rPr>
          <w:rFonts w:ascii="Times New Roman" w:hAnsi="Times New Roman"/>
          <w:color w:val="000000" w:themeColor="text1"/>
          <w:sz w:val="16"/>
          <w:szCs w:val="16"/>
        </w:rPr>
        <w:softHyphen/>
        <w:t>дрома. Однако в ходе постройки высоту горки увеличили до 12 метров, а протяжен</w:t>
      </w:r>
      <w:r w:rsidRPr="00C33834">
        <w:rPr>
          <w:rFonts w:ascii="Times New Roman" w:hAnsi="Times New Roman"/>
          <w:color w:val="000000" w:themeColor="text1"/>
          <w:sz w:val="16"/>
          <w:szCs w:val="16"/>
        </w:rPr>
        <w:softHyphen/>
        <w:t>ность бетонной дорожки возросла с 1500 до 1800 метров. Наклонная часть старто</w:t>
      </w:r>
      <w:r w:rsidRPr="00C33834">
        <w:rPr>
          <w:rFonts w:ascii="Times New Roman" w:hAnsi="Times New Roman"/>
          <w:color w:val="000000" w:themeColor="text1"/>
          <w:sz w:val="16"/>
          <w:szCs w:val="16"/>
        </w:rPr>
        <w:softHyphen/>
        <w:t>вой горки постепенно расширялась с 25 до 50 метров. В таком виде горка просущест</w:t>
      </w:r>
      <w:r w:rsidRPr="00C33834">
        <w:rPr>
          <w:rFonts w:ascii="Times New Roman" w:hAnsi="Times New Roman"/>
          <w:color w:val="000000" w:themeColor="text1"/>
          <w:sz w:val="16"/>
          <w:szCs w:val="16"/>
        </w:rPr>
        <w:softHyphen/>
        <w:t>вовала до середины 1960-х годов. Этот па</w:t>
      </w:r>
      <w:r w:rsidRPr="00C33834">
        <w:rPr>
          <w:rFonts w:ascii="Times New Roman" w:hAnsi="Times New Roman"/>
          <w:color w:val="000000" w:themeColor="text1"/>
          <w:sz w:val="16"/>
          <w:szCs w:val="16"/>
        </w:rPr>
        <w:softHyphen/>
        <w:t>мятник истории снесли по нелепому рас</w:t>
      </w:r>
      <w:r w:rsidRPr="00C33834">
        <w:rPr>
          <w:rFonts w:ascii="Times New Roman" w:hAnsi="Times New Roman"/>
          <w:color w:val="000000" w:themeColor="text1"/>
          <w:sz w:val="16"/>
          <w:szCs w:val="16"/>
        </w:rPr>
        <w:softHyphen/>
        <w:t>поряжению генерала Н. Пушко, совме</w:t>
      </w:r>
      <w:r w:rsidRPr="00C33834">
        <w:rPr>
          <w:rFonts w:ascii="Times New Roman" w:hAnsi="Times New Roman"/>
          <w:color w:val="000000" w:themeColor="text1"/>
          <w:sz w:val="16"/>
          <w:szCs w:val="16"/>
        </w:rPr>
        <w:softHyphen/>
        <w:t>щавшего тогда должности начальника филиала НИИ ВВС имени В.П. Чкалова, базировавшегося на территории, прилега</w:t>
      </w:r>
      <w:r w:rsidRPr="00C33834">
        <w:rPr>
          <w:rFonts w:ascii="Times New Roman" w:hAnsi="Times New Roman"/>
          <w:color w:val="000000" w:themeColor="text1"/>
          <w:sz w:val="16"/>
          <w:szCs w:val="16"/>
        </w:rPr>
        <w:softHyphen/>
        <w:t>ющей к аэродрому, и начальника Щелков</w:t>
      </w:r>
      <w:r w:rsidRPr="00C33834">
        <w:rPr>
          <w:rFonts w:ascii="Times New Roman" w:hAnsi="Times New Roman"/>
          <w:color w:val="000000" w:themeColor="text1"/>
          <w:sz w:val="16"/>
          <w:szCs w:val="16"/>
        </w:rPr>
        <w:softHyphen/>
        <w:t>ского гарнизона.</w:t>
      </w:r>
    </w:p>
    <w:p w14:paraId="09EA1864"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Одновременно со строительством поло</w:t>
      </w:r>
      <w:r w:rsidRPr="00C33834">
        <w:rPr>
          <w:rFonts w:ascii="Times New Roman" w:hAnsi="Times New Roman"/>
          <w:color w:val="000000" w:themeColor="text1"/>
          <w:sz w:val="16"/>
          <w:szCs w:val="16"/>
        </w:rPr>
        <w:softHyphen/>
        <w:t>сы 2000 рабочих и красноармейцев в те</w:t>
      </w:r>
      <w:r w:rsidRPr="00C33834">
        <w:rPr>
          <w:rFonts w:ascii="Times New Roman" w:hAnsi="Times New Roman"/>
          <w:color w:val="000000" w:themeColor="text1"/>
          <w:sz w:val="16"/>
          <w:szCs w:val="16"/>
        </w:rPr>
        <w:softHyphen/>
        <w:t>чение 15 суток сравнивали большой зем</w:t>
      </w:r>
      <w:r w:rsidRPr="00C33834">
        <w:rPr>
          <w:rFonts w:ascii="Times New Roman" w:hAnsi="Times New Roman"/>
          <w:color w:val="000000" w:themeColor="text1"/>
          <w:sz w:val="16"/>
          <w:szCs w:val="16"/>
        </w:rPr>
        <w:softHyphen/>
        <w:t>ляной холм, лежавший на пути самоле</w:t>
      </w:r>
      <w:r w:rsidRPr="00C33834">
        <w:rPr>
          <w:rFonts w:ascii="Times New Roman" w:hAnsi="Times New Roman"/>
          <w:color w:val="000000" w:themeColor="text1"/>
          <w:sz w:val="16"/>
          <w:szCs w:val="16"/>
        </w:rPr>
        <w:softHyphen/>
        <w:t>та. Вертикальная скорость перегруженной машины была столь низка, что она после отрыва не успевала преодолеть это естест</w:t>
      </w:r>
      <w:r w:rsidRPr="00C33834">
        <w:rPr>
          <w:rFonts w:ascii="Times New Roman" w:hAnsi="Times New Roman"/>
          <w:color w:val="000000" w:themeColor="text1"/>
          <w:sz w:val="16"/>
          <w:szCs w:val="16"/>
        </w:rPr>
        <w:softHyphen/>
        <w:t>венное препятствие.</w:t>
      </w:r>
    </w:p>
    <w:p w14:paraId="74B65DD6"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Подобных бетонных дорожек со старто</w:t>
      </w:r>
      <w:r w:rsidRPr="00C33834">
        <w:rPr>
          <w:rFonts w:ascii="Times New Roman" w:hAnsi="Times New Roman"/>
          <w:color w:val="000000" w:themeColor="text1"/>
          <w:sz w:val="16"/>
          <w:szCs w:val="16"/>
        </w:rPr>
        <w:softHyphen/>
        <w:t>вой горкой не было ни в одной стране ми</w:t>
      </w:r>
      <w:r w:rsidRPr="00C33834">
        <w:rPr>
          <w:rFonts w:ascii="Times New Roman" w:hAnsi="Times New Roman"/>
          <w:color w:val="000000" w:themeColor="text1"/>
          <w:sz w:val="16"/>
          <w:szCs w:val="16"/>
        </w:rPr>
        <w:softHyphen/>
        <w:t>ра, и причиной ее появления было отсутст</w:t>
      </w:r>
      <w:r w:rsidRPr="00C33834">
        <w:rPr>
          <w:rFonts w:ascii="Times New Roman" w:hAnsi="Times New Roman"/>
          <w:color w:val="000000" w:themeColor="text1"/>
          <w:sz w:val="16"/>
          <w:szCs w:val="16"/>
        </w:rPr>
        <w:softHyphen/>
        <w:t>вие тормозов колес у самолета РД. Послед</w:t>
      </w:r>
      <w:r w:rsidRPr="00C33834">
        <w:rPr>
          <w:rFonts w:ascii="Times New Roman" w:hAnsi="Times New Roman"/>
          <w:color w:val="000000" w:themeColor="text1"/>
          <w:sz w:val="16"/>
          <w:szCs w:val="16"/>
        </w:rPr>
        <w:softHyphen/>
        <w:t>нее обстоятельство усложняло выдержива</w:t>
      </w:r>
      <w:r w:rsidRPr="00C33834">
        <w:rPr>
          <w:rFonts w:ascii="Times New Roman" w:hAnsi="Times New Roman"/>
          <w:color w:val="000000" w:themeColor="text1"/>
          <w:sz w:val="16"/>
          <w:szCs w:val="16"/>
        </w:rPr>
        <w:softHyphen/>
        <w:t>ние направления разбега тяжелой маши</w:t>
      </w:r>
      <w:r w:rsidRPr="00C33834">
        <w:rPr>
          <w:rFonts w:ascii="Times New Roman" w:hAnsi="Times New Roman"/>
          <w:color w:val="000000" w:themeColor="text1"/>
          <w:sz w:val="16"/>
          <w:szCs w:val="16"/>
        </w:rPr>
        <w:softHyphen/>
        <w:t>ны. Горка же позволяла ускорить разгон и, практически, с самого начала разбега со</w:t>
      </w:r>
      <w:r w:rsidRPr="00C33834">
        <w:rPr>
          <w:rFonts w:ascii="Times New Roman" w:hAnsi="Times New Roman"/>
          <w:color w:val="000000" w:themeColor="text1"/>
          <w:sz w:val="16"/>
          <w:szCs w:val="16"/>
        </w:rPr>
        <w:softHyphen/>
        <w:t>хранять его направление с помощью аэро</w:t>
      </w:r>
      <w:r w:rsidRPr="00C33834">
        <w:rPr>
          <w:rFonts w:ascii="Times New Roman" w:hAnsi="Times New Roman"/>
          <w:color w:val="000000" w:themeColor="text1"/>
          <w:sz w:val="16"/>
          <w:szCs w:val="16"/>
        </w:rPr>
        <w:softHyphen/>
        <w:t>динамического руля.</w:t>
      </w:r>
    </w:p>
    <w:p w14:paraId="133ACCB6" w14:textId="77777777" w:rsidR="004050DA" w:rsidRPr="00C33834" w:rsidRDefault="004050DA" w:rsidP="00C33834">
      <w:pPr>
        <w:pStyle w:val="txt1"/>
        <w:shd w:val="clear" w:color="auto" w:fill="FFFFFF"/>
        <w:spacing w:before="0" w:beforeAutospacing="0" w:after="0" w:afterAutospacing="0" w:line="240" w:lineRule="auto"/>
        <w:ind w:firstLine="0"/>
        <w:rPr>
          <w:color w:val="000000" w:themeColor="text1"/>
          <w:sz w:val="16"/>
          <w:szCs w:val="16"/>
        </w:rPr>
      </w:pPr>
      <w:r w:rsidRPr="00C33834">
        <w:rPr>
          <w:color w:val="000000" w:themeColor="text1"/>
          <w:sz w:val="16"/>
          <w:szCs w:val="16"/>
        </w:rPr>
        <w:t>Впоследствии аэродром НИИ ВВС стали называть Чкаловская в соответствии с од</w:t>
      </w:r>
      <w:r w:rsidRPr="00C33834">
        <w:rPr>
          <w:color w:val="000000" w:themeColor="text1"/>
          <w:sz w:val="16"/>
          <w:szCs w:val="16"/>
        </w:rPr>
        <w:softHyphen/>
        <w:t>ноименной железнодорожной станцией (12725).</w:t>
      </w:r>
    </w:p>
    <w:p w14:paraId="51CC203B" w14:textId="77777777" w:rsidR="004050DA" w:rsidRPr="00C33834" w:rsidRDefault="004050DA" w:rsidP="00C33834">
      <w:pPr>
        <w:pStyle w:val="txt1"/>
        <w:shd w:val="clear" w:color="auto" w:fill="FFFFFF"/>
        <w:spacing w:before="0" w:beforeAutospacing="0" w:after="0" w:afterAutospacing="0" w:line="240" w:lineRule="auto"/>
        <w:ind w:firstLine="0"/>
        <w:rPr>
          <w:color w:val="000000" w:themeColor="text1"/>
          <w:sz w:val="16"/>
          <w:szCs w:val="16"/>
        </w:rPr>
      </w:pPr>
    </w:p>
    <w:p w14:paraId="1EFD6787" w14:textId="77777777" w:rsidR="0030712B" w:rsidRPr="00C33834" w:rsidRDefault="0030712B" w:rsidP="00C33834">
      <w:pPr>
        <w:pStyle w:val="rtejustify"/>
        <w:spacing w:before="0" w:after="0"/>
        <w:rPr>
          <w:color w:val="000000" w:themeColor="text1"/>
          <w:sz w:val="16"/>
          <w:szCs w:val="16"/>
        </w:rPr>
      </w:pPr>
      <w:r w:rsidRPr="00C33834">
        <w:rPr>
          <w:rStyle w:val="af0"/>
          <w:bCs/>
          <w:i w:val="0"/>
          <w:color w:val="000000" w:themeColor="text1"/>
          <w:sz w:val="16"/>
          <w:szCs w:val="16"/>
        </w:rPr>
        <w:t>13 июня</w:t>
      </w:r>
      <w:r w:rsidRPr="00C33834">
        <w:rPr>
          <w:color w:val="000000" w:themeColor="text1"/>
          <w:sz w:val="16"/>
          <w:szCs w:val="16"/>
        </w:rPr>
        <w:t xml:space="preserve"> 1933. Постановление СТО СССР № 47сс/о «Об обеспечении РККА авиатопливом и антидетонаторами». (ГА РФ. Ф. Р</w:t>
      </w:r>
      <w:r w:rsidRPr="00C33834">
        <w:rPr>
          <w:color w:val="000000" w:themeColor="text1"/>
          <w:sz w:val="16"/>
          <w:szCs w:val="16"/>
        </w:rPr>
        <w:noBreakHyphen/>
        <w:t>8418. Оп. 28. Д. 1. Л. 201</w:t>
      </w:r>
      <w:r w:rsidRPr="00C33834">
        <w:rPr>
          <w:color w:val="000000" w:themeColor="text1"/>
          <w:sz w:val="16"/>
          <w:szCs w:val="16"/>
        </w:rPr>
        <w:noBreakHyphen/>
        <w:t>203) (15460).</w:t>
      </w:r>
    </w:p>
    <w:p w14:paraId="7A7975B0" w14:textId="77777777" w:rsidR="0030712B" w:rsidRPr="00C33834" w:rsidRDefault="0030712B" w:rsidP="00C33834">
      <w:pPr>
        <w:pStyle w:val="rtejustify"/>
        <w:spacing w:before="0" w:after="0"/>
        <w:rPr>
          <w:color w:val="000000" w:themeColor="text1"/>
          <w:sz w:val="16"/>
          <w:szCs w:val="16"/>
        </w:rPr>
      </w:pPr>
    </w:p>
    <w:p w14:paraId="420B7F19" w14:textId="77777777" w:rsidR="0059042B" w:rsidRPr="00C33834" w:rsidRDefault="0059042B"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E17B939" w14:textId="77777777" w:rsidR="0059042B" w:rsidRPr="00C33834" w:rsidRDefault="0059042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926B394" w14:textId="77777777" w:rsidR="0059042B" w:rsidRPr="00C33834" w:rsidRDefault="005904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13 июня 1933 опросом членов ПБ</w:t>
      </w:r>
    </w:p>
    <w:p w14:paraId="2CC3D8BC" w14:textId="77777777" w:rsidR="0059042B" w:rsidRPr="00C33834" w:rsidRDefault="005904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113/96.- Вопросы К.О.</w:t>
      </w:r>
    </w:p>
    <w:p w14:paraId="705E5EF7" w14:textId="77777777" w:rsidR="0059042B" w:rsidRPr="00C33834" w:rsidRDefault="005904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Утвердить следующие постановления СТО:</w:t>
      </w:r>
    </w:p>
    <w:p w14:paraId="6F6E0C2F" w14:textId="77777777" w:rsidR="0059042B" w:rsidRPr="00C33834" w:rsidRDefault="005904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Об отпуске 500 тыс.р.за счет импортных кон</w:t>
      </w:r>
      <w:r w:rsidRPr="00C33834">
        <w:rPr>
          <w:rFonts w:ascii="Times New Roman" w:hAnsi="Times New Roman"/>
          <w:color w:val="0070C0"/>
          <w:sz w:val="16"/>
          <w:szCs w:val="16"/>
        </w:rPr>
        <w:softHyphen/>
        <w:t>тингентов НКТП на оборудование и техснабжение и о немедленной закупке цветных металлов для строитель</w:t>
      </w:r>
      <w:r w:rsidRPr="00C33834">
        <w:rPr>
          <w:rFonts w:ascii="Times New Roman" w:hAnsi="Times New Roman"/>
          <w:color w:val="0070C0"/>
          <w:sz w:val="16"/>
          <w:szCs w:val="16"/>
        </w:rPr>
        <w:softHyphen/>
        <w:t>ства 30 подлодок.</w:t>
      </w:r>
    </w:p>
    <w:p w14:paraId="6BD65AFC" w14:textId="77777777" w:rsidR="0059042B" w:rsidRPr="00C33834" w:rsidRDefault="005904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Об отпуске 26 млн.р.из резервного фонда СНК ССОР по мероприятиям первой очереди для НКПС и 5 млн.р. из резервного фонда СНК СССР для Цудор- транса.</w:t>
      </w:r>
    </w:p>
    <w:p w14:paraId="196D75C0" w14:textId="77777777" w:rsidR="0059042B" w:rsidRPr="00C33834" w:rsidRDefault="005904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О разрешении НКВМору закупки за счет его импортных контингентов в Америке запчастей к мото</w:t>
      </w:r>
      <w:r w:rsidRPr="00C33834">
        <w:rPr>
          <w:rFonts w:ascii="Times New Roman" w:hAnsi="Times New Roman"/>
          <w:color w:val="0070C0"/>
          <w:sz w:val="16"/>
          <w:szCs w:val="16"/>
        </w:rPr>
        <w:softHyphen/>
        <w:t>рам "Либерти" на 75 т.р. и НКТяжпрому на приборы зажигания "Делько" и запчасти 223.248 р. за счёт его импортных контингентов.</w:t>
      </w:r>
    </w:p>
    <w:p w14:paraId="174B1880" w14:textId="77777777" w:rsidR="0059042B" w:rsidRPr="00C33834" w:rsidRDefault="005904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Об отпуске 50 тыс.р. на недостающие импорт</w:t>
      </w:r>
      <w:r w:rsidRPr="00C33834">
        <w:rPr>
          <w:rFonts w:ascii="Times New Roman" w:hAnsi="Times New Roman"/>
          <w:color w:val="0070C0"/>
          <w:sz w:val="16"/>
          <w:szCs w:val="16"/>
        </w:rPr>
        <w:softHyphen/>
        <w:t>ные части оборудования для окончания строительства Горьковского завода Нефтегаз Jr 2(за счет импортных контингентов НКТПрома).</w:t>
      </w:r>
    </w:p>
    <w:p w14:paraId="36F7A07F" w14:textId="77777777" w:rsidR="0059042B" w:rsidRPr="00C33834" w:rsidRDefault="005904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Об отпуске 23,6 млн.р. на окончание рекон</w:t>
      </w:r>
      <w:r w:rsidRPr="00C33834">
        <w:rPr>
          <w:rFonts w:ascii="Times New Roman" w:hAnsi="Times New Roman"/>
          <w:color w:val="0070C0"/>
          <w:sz w:val="16"/>
          <w:szCs w:val="16"/>
        </w:rPr>
        <w:softHyphen/>
        <w:t>струкции з-да б. Дальсельмаш, дополнительное строи</w:t>
      </w:r>
      <w:r w:rsidRPr="00C33834">
        <w:rPr>
          <w:rFonts w:ascii="Times New Roman" w:hAnsi="Times New Roman"/>
          <w:color w:val="0070C0"/>
          <w:sz w:val="16"/>
          <w:szCs w:val="16"/>
        </w:rPr>
        <w:softHyphen/>
        <w:t>тельство бензинохранилищ, строительство Новоспасско</w:t>
      </w:r>
      <w:r w:rsidRPr="00C33834">
        <w:rPr>
          <w:rFonts w:ascii="Times New Roman" w:hAnsi="Times New Roman"/>
          <w:color w:val="0070C0"/>
          <w:sz w:val="16"/>
          <w:szCs w:val="16"/>
        </w:rPr>
        <w:softHyphen/>
        <w:t>го цементного з-да и реконструкцию Иркутского заво</w:t>
      </w:r>
      <w:r w:rsidRPr="00C33834">
        <w:rPr>
          <w:rFonts w:ascii="Times New Roman" w:hAnsi="Times New Roman"/>
          <w:color w:val="0070C0"/>
          <w:sz w:val="16"/>
          <w:szCs w:val="16"/>
        </w:rPr>
        <w:softHyphen/>
        <w:t>да им. Куйбышева.</w:t>
      </w:r>
    </w:p>
    <w:p w14:paraId="54D4F23D" w14:textId="77777777" w:rsidR="0059042B" w:rsidRPr="00C33834" w:rsidRDefault="005904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 т.Базилевичу, Розенгольцу, Вороши</w:t>
      </w:r>
      <w:r w:rsidRPr="00C33834">
        <w:rPr>
          <w:rFonts w:ascii="Times New Roman" w:hAnsi="Times New Roman"/>
          <w:color w:val="0070C0"/>
          <w:sz w:val="16"/>
          <w:szCs w:val="16"/>
        </w:rPr>
        <w:softHyphen/>
        <w:t>лову</w:t>
      </w:r>
    </w:p>
    <w:p w14:paraId="085E00A8" w14:textId="77777777" w:rsidR="0059042B" w:rsidRPr="00C33834" w:rsidRDefault="005904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июня 1933 состоялось заседание ПБ и был оформлен протокол № 139 (22989).</w:t>
      </w:r>
    </w:p>
    <w:p w14:paraId="194BCF20" w14:textId="77777777" w:rsidR="0059042B" w:rsidRPr="00C33834" w:rsidRDefault="0059042B" w:rsidP="00C33834">
      <w:pPr>
        <w:spacing w:after="0" w:line="240" w:lineRule="auto"/>
        <w:jc w:val="both"/>
        <w:rPr>
          <w:rFonts w:ascii="Times New Roman" w:hAnsi="Times New Roman"/>
          <w:color w:val="0070C0"/>
          <w:sz w:val="16"/>
          <w:szCs w:val="16"/>
        </w:rPr>
      </w:pPr>
    </w:p>
    <w:p w14:paraId="20A4E45D"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70D98E56"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5366F2D"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13 июня 1933 г. Советский военный атташе В. Н. Левичев так описывал свое сообщение капитану Йодлю, начальнику Русского отдела Стз» сделанное им «без всяких мот ивировок и объяснений»: «Сообщение об урезанной программе и особенно отказ в опытах на Томке вызвало у него краску на лице и мелкие капли пота. Записав и повторив полученное извещение, он сказал, что для них особенно печально и неожиданно дело с Томкой.» (АВП РФ, ф. 082, оп. 16, п. 71, д. 1, л. 228-233.) (11784). </w:t>
      </w:r>
    </w:p>
    <w:p w14:paraId="74540DF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57A8261A"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8CA92FA"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E75715D"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июня 1933 еще одно испытание 4.5-метровой модели Pilot-Rakete» («Пилот-Ракете») также закончилось неудачей. Когда ракета поднялась на высоту 2 м, выпал запорный винт топливного бака – ракета рухнула на землю почти без топлива.</w:t>
      </w:r>
    </w:p>
    <w:p w14:paraId="3A8ACFE2"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Замена отдельных конструктивных элементов не помогла. Когда 29 июня ракету удалось запустить, один из роликов сошел с направляющего рельса и застрял. Он, разумеется, был сорван, но из-за этого ракета взлетела почти горизонтально. Быстро теряя высоту, она упала плашмя на землю в 300 м от пусковой установки.</w:t>
      </w:r>
    </w:p>
    <w:p w14:paraId="7A55D56F"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Конец «Ракетенфлюгплатц» был печальным. Однажды на территорию, принадлежащую «Обществу межпланетных сообщений» нагрянула большая группа молодых людей в серо-голубой форме, назвавших себя представителями «Дойче люфтвахт», которые заявили, что это место передано им в качестве учебного плаца (11688).</w:t>
      </w:r>
    </w:p>
    <w:p w14:paraId="49E9F657"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2F9C3A8D"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77F0FFD"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0950B72"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июня 1933 состоялось заседание техкомиссии по подготовке рекордного перелета (1102).</w:t>
      </w:r>
    </w:p>
    <w:p w14:paraId="70E4C02B"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12AD34D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июня 1933 Нач. ВВС Алкснис писал письмо N УМТС/03479 Нач. ГУАП П.И.Б.:</w:t>
      </w:r>
    </w:p>
    <w:p w14:paraId="19D043C5"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договору между ГУАП и УВВС предусмотрена поставка на 1933 150 ТБ-3 под М-17 и 150 под М-34. Ввиду задержки ЦАГИ в изготовлении эталона (образца) ТБ-3 под М-34, я дал Вам согласие в апреле на увеличение заказа на ТБ-3 М-17 на 30 единиц за счет такого же сокращения заказов на ТБ-3 М-34 с тем, чтобы ЦАГИ не позднее первых чисел мая предъявил эталон ТБ-3 М-34.</w:t>
      </w:r>
    </w:p>
    <w:p w14:paraId="65C48A1F"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Настало время получать уже из серийного производства ТБ-3 М-34, а эталона еще не сдано и никто из ЦАГИ сказать не берется, когда он будет дан ВВС для испытания.</w:t>
      </w:r>
    </w:p>
    <w:p w14:paraId="3FF3B1E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 обстоятельство обрекает под величайшую угрозу срыва весь заказ на ТБ-3 М-34 в текущем году.</w:t>
      </w:r>
    </w:p>
    <w:p w14:paraId="02FC1727"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Прошу Вашего самого решительного вмешательства в это дело.</w:t>
      </w:r>
    </w:p>
    <w:p w14:paraId="1C10E3CD"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последующем прошу меня уведомить." (2305,33).</w:t>
      </w:r>
    </w:p>
    <w:p w14:paraId="4EFFDE88"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4908D495"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июня 1933 РД М-34Р вышел на аэродром (2287,131).</w:t>
      </w:r>
    </w:p>
    <w:p w14:paraId="72D03569"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389E02D1"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14 июня 1933 состоялись стендовые испытания первого пульсирующего ВРД (274).</w:t>
      </w:r>
    </w:p>
    <w:p w14:paraId="20DEE791"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22665EC6"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июня 1933 года Глававиапрома специальным решением утвердил перенесение строительства завода № 126 на новую площадку, которая была выбрана в 1932. Осенью 1932 года наводнением реки Амур был почти целиком уничтожено все, что было сделано на осваиваемой площадке. Новая площадка отстояла от Амура на расстоянии 4,5 км, на незаливаемых местах (9444).</w:t>
      </w:r>
    </w:p>
    <w:p w14:paraId="4C4E9524"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7DBC5D4B"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E53F092"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540E14A"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июня 1933 вышло постановление СТО N 39сс/о "О порядке утверждения титульных списков и плана ввода в эксплуатацию оборонного строительства" (2282,30).</w:t>
      </w:r>
    </w:p>
    <w:p w14:paraId="150F9BF7"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12DF2288"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153C800B"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4D08E828" w14:textId="77777777" w:rsidR="0030712B" w:rsidRPr="00C33834" w:rsidRDefault="0030712B" w:rsidP="00C33834">
      <w:pPr>
        <w:pStyle w:val="27"/>
        <w:shd w:val="clear" w:color="auto" w:fill="auto"/>
        <w:spacing w:after="0" w:line="240" w:lineRule="auto"/>
        <w:ind w:firstLine="0"/>
        <w:rPr>
          <w:rFonts w:ascii="Times New Roman" w:cs="Times New Roman"/>
          <w:color w:val="000000" w:themeColor="text1"/>
          <w:spacing w:val="0"/>
        </w:rPr>
      </w:pPr>
      <w:r w:rsidRPr="00C33834">
        <w:rPr>
          <w:rFonts w:ascii="Times New Roman" w:cs="Times New Roman"/>
          <w:color w:val="000000" w:themeColor="text1"/>
          <w:spacing w:val="0"/>
        </w:rPr>
        <w:t>14 июня 1933 г. был сформирован Минский авиационный отряд ОГПУ – с этого дня отряд приступил к выполнению задач охраны белорусского участка советско-латвийской и советско-польской границ – его звенья и отдельные самолеты, в зависимости от оперативной обстановки, несли службу на полевых площадках вблизи мест дислокации управлений пограничных отрядов, комендатур и застав. Кроме того, отряд выполнял различные задачи в интересах органов ОГПУ и внутренней охраны войск ОГПУ.</w:t>
      </w:r>
    </w:p>
    <w:p w14:paraId="69BF2F47" w14:textId="77777777" w:rsidR="0030712B" w:rsidRPr="00C33834" w:rsidRDefault="0030712B" w:rsidP="00C33834">
      <w:pPr>
        <w:pStyle w:val="27"/>
        <w:shd w:val="clear" w:color="auto" w:fill="auto"/>
        <w:spacing w:after="0" w:line="240" w:lineRule="auto"/>
        <w:ind w:firstLine="0"/>
        <w:rPr>
          <w:rFonts w:ascii="Times New Roman" w:cs="Times New Roman"/>
          <w:color w:val="000000" w:themeColor="text1"/>
          <w:spacing w:val="0"/>
        </w:rPr>
      </w:pPr>
      <w:r w:rsidRPr="00C33834">
        <w:rPr>
          <w:rFonts w:ascii="Times New Roman" w:cs="Times New Roman"/>
          <w:color w:val="000000" w:themeColor="text1"/>
          <w:spacing w:val="0"/>
        </w:rPr>
        <w:t>В разные годы на вооружении отряда были самолеты Р-1, Р-3, Р-5, У-2 (15231).</w:t>
      </w:r>
    </w:p>
    <w:p w14:paraId="6685B472" w14:textId="77777777" w:rsidR="0030712B" w:rsidRPr="00C33834" w:rsidRDefault="0030712B" w:rsidP="00C33834">
      <w:pPr>
        <w:pStyle w:val="27"/>
        <w:shd w:val="clear" w:color="auto" w:fill="auto"/>
        <w:spacing w:after="0" w:line="240" w:lineRule="auto"/>
        <w:ind w:firstLine="0"/>
        <w:rPr>
          <w:rFonts w:ascii="Times New Roman" w:cs="Times New Roman"/>
          <w:color w:val="000000" w:themeColor="text1"/>
          <w:spacing w:val="0"/>
        </w:rPr>
      </w:pPr>
    </w:p>
    <w:p w14:paraId="32686AB5"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июня 1933 приказом по МВС и лагерю № 83 «каналоармейцы» оповещались о том, что «двести двадцать семь километров скал, лесов и болот Карелии, миллионы лет лежавших непреодолимой преградой между двумя морями - Балтийским и Белым - взорваны вашим энтузиазмом... Каналоармейцы Москва-Волгостроя, ценя доверие власти, расположившей Дмитровский лагерь около пролетарской столицы - Москвы, следя за сказочными успехами своих товарищей беломорцев, приступили к строительству канала, призванного соединить две великих реки - Москву и Волгу... В помощь мосволгостроевцам в их трудном деле уже подходят эшелоны краснознаменных белморстроевцев... Заставим Волгу течь мимо Кремля!» (7560).</w:t>
      </w:r>
    </w:p>
    <w:p w14:paraId="6AD26DCE"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25CB5FB0"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0622B37D"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C4C7FFF"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июня 1933 года глава наркомата иностранных дел СССР М. Литвинов на пленарном заседании Мировой экономической конференции в Лондоне сказал: "советское правительство могло бы разместить в ближайшее время за границей заказов на сумму примерно 1000 млн. долл., если бы были предоставлены кредиты и обеспечены нормальные условия для советского экспорта". (Документы внешней политики СССР. Т.16. С.345) (11581).</w:t>
      </w:r>
    </w:p>
    <w:p w14:paraId="1DD765AE"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6B648A6B" w14:textId="77777777" w:rsidR="00AE51CE" w:rsidRPr="00C33834" w:rsidRDefault="00AE51CE" w:rsidP="00C33834">
      <w:pPr>
        <w:autoSpaceDE w:val="0"/>
        <w:autoSpaceDN w:val="0"/>
        <w:adjustRightInd w:val="0"/>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Авиа</w:t>
      </w:r>
      <w:r w:rsidR="0044195E" w:rsidRPr="00C33834">
        <w:rPr>
          <w:rFonts w:ascii="Times New Roman" w:hAnsi="Times New Roman"/>
          <w:i/>
          <w:iCs/>
          <w:color w:val="000000" w:themeColor="text1"/>
          <w:sz w:val="16"/>
          <w:szCs w:val="16"/>
        </w:rPr>
        <w:t>промышленность</w:t>
      </w:r>
      <w:r w:rsidRPr="00C33834">
        <w:rPr>
          <w:rFonts w:ascii="Times New Roman" w:hAnsi="Times New Roman"/>
          <w:i/>
          <w:iCs/>
          <w:color w:val="000000" w:themeColor="text1"/>
          <w:sz w:val="16"/>
          <w:szCs w:val="16"/>
        </w:rPr>
        <w:t>:</w:t>
      </w:r>
    </w:p>
    <w:p w14:paraId="0B1F0C48" w14:textId="77777777" w:rsidR="00AE51CE" w:rsidRPr="00C33834" w:rsidRDefault="00AE51CE" w:rsidP="00C33834">
      <w:pPr>
        <w:autoSpaceDE w:val="0"/>
        <w:autoSpaceDN w:val="0"/>
        <w:adjustRightInd w:val="0"/>
        <w:spacing w:after="0" w:line="240" w:lineRule="auto"/>
        <w:jc w:val="both"/>
        <w:rPr>
          <w:rFonts w:ascii="Times New Roman" w:hAnsi="Times New Roman"/>
          <w:i/>
          <w:iCs/>
          <w:color w:val="000000" w:themeColor="text1"/>
          <w:sz w:val="16"/>
          <w:szCs w:val="16"/>
        </w:rPr>
      </w:pPr>
    </w:p>
    <w:p w14:paraId="4126DEBA"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15 июня 1933 г. за № 50378 </w:t>
      </w:r>
    </w:p>
    <w:p w14:paraId="0B3B64BC"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СЕКРЕТАРЮ ЦК ВКП (Б)</w:t>
      </w:r>
    </w:p>
    <w:p w14:paraId="009427A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 Сталину</w:t>
      </w:r>
    </w:p>
    <w:p w14:paraId="4EC1598D"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было подготовлено СПЕЦСООБЩЕНИЕ О ЗАДЕРЖАНИИ ЯПОНСКОГО ВОЕННОГО АТТАШЕ</w:t>
      </w:r>
    </w:p>
    <w:p w14:paraId="6A955F0C"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iCs/>
          <w:color w:val="000000" w:themeColor="text1"/>
          <w:sz w:val="16"/>
          <w:szCs w:val="16"/>
        </w:rPr>
        <w:t>Рез. Сталина: т. АграновуПредлагаю выдать красноармейцу Копытову50 р. наградных за правильное исполнение своих обязанностей и объявитьему благодарность. Обо всем этом объявить в соответствующей части.</w:t>
      </w:r>
    </w:p>
    <w:p w14:paraId="7F6C3914"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20.00 14 июня 1933 г. около проволочной изгороди аэродрома завода № 22, дозорным караулом от 1 д-на 56-го полка войск ОГПУ МО красноармейцем тов. Копытовым был задержан военный атташе японского посольства Кавабэ Торашилло.</w:t>
      </w:r>
    </w:p>
    <w:p w14:paraId="75D6BFC7"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Обстоятельства задержания следующие:</w:t>
      </w:r>
    </w:p>
    <w:p w14:paraId="4A883DE3"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Рабочий – плотник завода № 22 тов. Горячев, находясь у кипятильников около р. Москва, увидел спустившуюся к территории завода новую машину № Д-40-73 с флагом японского посольства. Из машины вышел неизвестный и пошел опушкой леса по направлению тупику забора завода. Рабочий Горячев, проследив неизвестного, пошел и сообщил в комендатуру и пришедшей с подозрительным неизвестным машине и о его поведении. Одновременно эти же данные сообщили к иному дозорному кр-цу т. Копытову рабочие завода, находившиеся около буфета, расположенного на территории завода.</w:t>
      </w:r>
    </w:p>
    <w:p w14:paraId="67BB0C66"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Кр-ц Копытов, выехав непосредственно к забору, увидел уже удалившегося от машины неизвестного – метрах в 20 от машины. Неизвестный пошел вперед по опушке леса, стремясь осмотреть территорию аэродрома, вместе с находящимися на ней машинами ТБ-3 (на аэродроме было около 70 машин).</w:t>
      </w:r>
    </w:p>
    <w:p w14:paraId="0DD78438"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Неизвестный дошел до тупика, осмотрел новую стройку и вышел на угол забора, где в течение 3-5 минут через щель вел наблюдение за территорией аэродрома и находящимися там машинами. После этого свернул обратно и прежним путем пошел по направлению к машине.</w:t>
      </w:r>
    </w:p>
    <w:p w14:paraId="1FF7FFAF"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машины неизвестный пересек луг и вышел на берег р. Москва к изгороди из колючей проволоки. В этот момент дозорным кр-цем тов. Копытовым неизвестный был задержан и приглашен на территорию аэродрома.</w:t>
      </w:r>
    </w:p>
    <w:p w14:paraId="08189DEA"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Неизвестный отказался пойти, приговорив кр-цу: – “Вам будет очень плохо”. Кр-ц Копытов на это ответил: – “Ну, что же, плохо ли, хорошо ли, а я Вас не отпущу”.</w:t>
      </w:r>
    </w:p>
    <w:p w14:paraId="336EDC78"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этот момент по условному вызову часового поста № 7 прибежал карнач-помкомвзвода т. Хижняк, который задал задержанному следующие вопросы:</w:t>
      </w:r>
    </w:p>
    <w:p w14:paraId="3F0CC5DB"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 “Зачем Вы сюда попали и что Вас здесь интересует”</w:t>
      </w:r>
    </w:p>
    <w:p w14:paraId="680F295D"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 “Делать нечего и решил погулять по Москва реке”.</w:t>
      </w:r>
    </w:p>
    <w:p w14:paraId="28B2C794"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 “Предъявите Ваши документы”.</w:t>
      </w:r>
    </w:p>
    <w:p w14:paraId="6D9F36BB"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 “Я – японский военный атташе, запишите мою фамилию и № моего автомобиля и отпустите меня”.</w:t>
      </w:r>
    </w:p>
    <w:p w14:paraId="10038618"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это время к карначу подошли приехавшие на машине пом. директора завода по т/г т. Фельдман и начальник цеха “Припо” т. Титов, которые вместе с задержанным проехали в комендатуру завода, где проверили его документы и, по согласовании вопроса с директором завода, предварительно извинившись, задержанного отпустили.</w:t>
      </w:r>
    </w:p>
    <w:p w14:paraId="723BF865"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Председателя ОГПУ Я. Агранов</w:t>
      </w:r>
    </w:p>
    <w:p w14:paraId="01B524F2"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 РФ, ф.3, оп.58, д.240, л.159 а-159 б (11462).</w:t>
      </w:r>
    </w:p>
    <w:p w14:paraId="1D56FAE8"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14EF21CF" w14:textId="77777777" w:rsidR="003C1335" w:rsidRPr="00C33834" w:rsidRDefault="003C1335" w:rsidP="00C33834">
      <w:pPr>
        <w:pStyle w:val="HTML2"/>
        <w:shd w:val="clear" w:color="auto" w:fill="FFFFFF"/>
        <w:jc w:val="both"/>
        <w:rPr>
          <w:color w:val="0070C0"/>
          <w:sz w:val="16"/>
          <w:szCs w:val="16"/>
        </w:rPr>
      </w:pPr>
      <w:r w:rsidRPr="00C33834">
        <w:rPr>
          <w:i w:val="0"/>
          <w:iCs w:val="0"/>
          <w:color w:val="0070C0"/>
          <w:sz w:val="16"/>
          <w:szCs w:val="16"/>
        </w:rPr>
        <w:t>15 июня 1933 года Серго Орджоникидзе написал секретную докладную записку в ЦК ВКП (б). Нарком указал, что не уверен в том, "что мы сможем достаточно быстро овладеть всем циклом процесса", и просил "ЦК срочно рассмотреть вопрос – в каком направлении целесообразнее осуществить инопомощь по гелию". Вероятно, санкция была дана, так как в декабре 1933 года "Союзгаз" и Гай Риддель подписали договор. И уже в январе 1934 года американец привез 120 кг различных записок по гелиевому делу, которые стали переводиться и передаваться на экспертизу советским специалистам. Большая часть сведений оказалась выдержками из опубликованных работ. Например, группа геологов писала: "Вся геологическая часть записки &lt;…&gt; дает нам добросовестно собранную и изложенную совокупность данных по состоянию этой части гелиевого дела в Соединенных Штатах, но сообщает нам очень мало принципиально нового, чего бы мы не знали до сих пор" (21452).</w:t>
      </w:r>
    </w:p>
    <w:p w14:paraId="34F0B8D3" w14:textId="77777777" w:rsidR="003C1335" w:rsidRPr="00C33834" w:rsidRDefault="003C1335" w:rsidP="00C33834">
      <w:pPr>
        <w:pStyle w:val="article-renderblock"/>
        <w:shd w:val="clear" w:color="auto" w:fill="FFFFFF"/>
        <w:spacing w:before="0" w:beforeAutospacing="0" w:after="0" w:afterAutospacing="0"/>
        <w:jc w:val="both"/>
        <w:rPr>
          <w:color w:val="0070C0"/>
          <w:sz w:val="16"/>
          <w:szCs w:val="16"/>
        </w:rPr>
      </w:pPr>
    </w:p>
    <w:p w14:paraId="2CE46975"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1AE6972"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B10203E"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июня 1933 г. Проведены испытания третьей железнодорожной артустановки ТМ-1-14 (11454).</w:t>
      </w:r>
    </w:p>
    <w:p w14:paraId="24B1BE98"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51E99F6A" w14:textId="77777777" w:rsidR="00DE2EF9" w:rsidRPr="00C33834" w:rsidRDefault="00DE2EF9" w:rsidP="00C33834">
      <w:pPr>
        <w:pStyle w:val="rtejustify"/>
        <w:spacing w:before="0" w:after="0"/>
        <w:rPr>
          <w:color w:val="000000" w:themeColor="text1"/>
          <w:sz w:val="16"/>
          <w:szCs w:val="16"/>
        </w:rPr>
      </w:pPr>
      <w:r w:rsidRPr="00C33834">
        <w:rPr>
          <w:rStyle w:val="af0"/>
          <w:bCs/>
          <w:i w:val="0"/>
          <w:color w:val="000000" w:themeColor="text1"/>
          <w:sz w:val="16"/>
          <w:szCs w:val="16"/>
        </w:rPr>
        <w:t>15 июня</w:t>
      </w:r>
      <w:r w:rsidRPr="00C33834">
        <w:rPr>
          <w:color w:val="000000" w:themeColor="text1"/>
          <w:sz w:val="16"/>
          <w:szCs w:val="16"/>
        </w:rPr>
        <w:t xml:space="preserve"> 1933. Протокол заседания Политбюро ЦК ВКП (б) № 139. </w:t>
      </w:r>
      <w:hyperlink r:id="rId203" w:anchor="showunit&amp;id=86727" w:history="1">
        <w:r w:rsidRPr="00C33834">
          <w:rPr>
            <w:rStyle w:val="a5"/>
            <w:color w:val="000000" w:themeColor="text1"/>
            <w:sz w:val="16"/>
            <w:szCs w:val="16"/>
          </w:rPr>
          <w:t>2. О бензине</w:t>
        </w:r>
      </w:hyperlink>
      <w:r w:rsidRPr="00C33834">
        <w:rPr>
          <w:color w:val="000000" w:themeColor="text1"/>
          <w:sz w:val="16"/>
          <w:szCs w:val="16"/>
        </w:rPr>
        <w:t xml:space="preserve"> (ПБ от 15 июня 1933 г.) (Куйбышев). — ОП. Решено, оставляя в силе план экспорта, направить на внутренний рынок 10 тыс. тонн бензина и лигроина за счет уменьшения запасов НКВТ. </w:t>
      </w:r>
      <w:hyperlink r:id="rId204" w:anchor="showunit&amp;id=86804" w:history="1">
        <w:r w:rsidRPr="00C33834">
          <w:rPr>
            <w:rStyle w:val="a5"/>
            <w:color w:val="000000" w:themeColor="text1"/>
            <w:sz w:val="16"/>
            <w:szCs w:val="16"/>
          </w:rPr>
          <w:t>9. О заводе № 8</w:t>
        </w:r>
      </w:hyperlink>
      <w:r w:rsidRPr="00C33834">
        <w:rPr>
          <w:color w:val="000000" w:themeColor="text1"/>
          <w:sz w:val="16"/>
          <w:szCs w:val="16"/>
        </w:rPr>
        <w:t xml:space="preserve"> (проект постановления ЦКК) (ПБ от 1 июня 1933 г., пр. № 138, п. 11) (Антипов, Павлуновский, Тухачевский, Будняк, Мирзаханов). Решено утвердить с поправками постановление Президиума ЦКК о заводе № 8 (см. приложение). Президиум ЦКК ВКП(б) констатировал, что на заводе № 8 систематически устраивались банкеты и вечера с обильной выпивкой. Секретарь Мытищинского райкома ВКП(б) Полещук, бывший секретарь парткома завода Ожехинский и члены парткома Матвеев и Прицкер, вместо борьбы с безобразнейшими фактами, свидетельствующими об элементах разложения среди руководства завода, принимали участие в банкетах и вечерах, устраиваемых директором завода, и сами организовывали выпивки за счет заводоуправления. Эти преступно безобразные факты, свидетельствующие о наличии элементов бытового разложения среди отдельных руководящих работников заводоуправления, парткома и Мытищинского райкома ВКП(б), в известной мере могли влиять на ослабление бдительности, необходимой в условиях работы важнейшего военного предприятия. Президиум ЦКК ВКП(б) постановил: за использование служебного положения в личных целях из партии исключить и снять с работы секретаря дирекции Виноградова В. Я. – фактического организатора банкетов и вечеров. Объявлены строгие выговоры директору завода, бывшему секретарю парткома завода, секретарю Мытищинского райкома ВКП(б), врио секретаря парткома завода. Ряду других работников </w:t>
      </w:r>
      <w:r w:rsidRPr="00C33834">
        <w:rPr>
          <w:color w:val="000000" w:themeColor="text1"/>
          <w:sz w:val="16"/>
          <w:szCs w:val="16"/>
        </w:rPr>
        <w:lastRenderedPageBreak/>
        <w:t>объявлены выговоры. Средства, израсходованные на банкеты и вечера, организованные заводом № 8 и объединением, предложено взыскать с их участников в течение 1933</w:t>
      </w:r>
      <w:r w:rsidRPr="00C33834">
        <w:rPr>
          <w:color w:val="000000" w:themeColor="text1"/>
          <w:sz w:val="16"/>
          <w:szCs w:val="16"/>
        </w:rPr>
        <w:noBreakHyphen/>
        <w:t xml:space="preserve">34 гг.; в месячный срок взыскать всю задолженность с работников объединения за использование имущества, принадлежащего объединению (мебель, ковры и пр.), по действительной стоимости. Директору завода № 8 Мирзаханову предложено в месячный срок взыскать задолженность со всех работников заводоуправления как по столовой, так и за отпущенную мебель; немедленно установить оплату работникам столовой в соответствии с колдоговором, отменив все виды натуральной оплаты. Президиум ЦКК предупредил руководителей заводов и объединений военной промышленности, что за устройство каких-либо угощений приезжающих на заводы по служебным обязанностям работников НКТП, объединений и Военведа, а также допущения в какой либо форме незаконной оплаты труда приемщиков, они будут привлечены к самой суровой партийной ответственности. </w:t>
      </w:r>
      <w:hyperlink r:id="rId205" w:anchor="showunit&amp;id=86734" w:history="1">
        <w:r w:rsidRPr="00C33834">
          <w:rPr>
            <w:rStyle w:val="a5"/>
            <w:color w:val="000000" w:themeColor="text1"/>
            <w:sz w:val="16"/>
            <w:szCs w:val="16"/>
          </w:rPr>
          <w:t>26/8. Об отпуске цветных металлов НКТП</w:t>
        </w:r>
      </w:hyperlink>
      <w:r w:rsidRPr="00C33834">
        <w:rPr>
          <w:color w:val="000000" w:themeColor="text1"/>
          <w:sz w:val="16"/>
          <w:szCs w:val="16"/>
        </w:rPr>
        <w:t xml:space="preserve"> (ПБ от 3 июня 1933 г.). — ОП. Решено предложить Куйбышеву выделить для НКТП из фондов Комитета резервов необходимое количество цветных металлов (олово, никель, свинец, алюминий, цинк, сурьма, ферровольфрам) с условием возврата по мере поступления импорта цветного металла; сверх завезенного металла и сверх плана, установленного Политбюро, будет завезено требуемое количество цветного металла. Контроль за поступлением в Союз цветных металлов — в ЦК и СНК. </w:t>
      </w:r>
      <w:hyperlink r:id="rId206" w:anchor="showunit&amp;id=86739" w:history="1">
        <w:r w:rsidRPr="00C33834">
          <w:rPr>
            <w:rStyle w:val="a5"/>
            <w:color w:val="000000" w:themeColor="text1"/>
            <w:sz w:val="16"/>
            <w:szCs w:val="16"/>
          </w:rPr>
          <w:t>30/12. Об олове</w:t>
        </w:r>
      </w:hyperlink>
      <w:r w:rsidRPr="00C33834">
        <w:rPr>
          <w:color w:val="000000" w:themeColor="text1"/>
          <w:sz w:val="16"/>
          <w:szCs w:val="16"/>
        </w:rPr>
        <w:t xml:space="preserve"> (ПБ от 3 июня 1933 г.). — ОП. Решено разрешить Комитету резервов отпустить Наркомтяжпрому 80 тонн олова для изготовления баббита Б1 для Наркомзема и Наркомсовхозов. </w:t>
      </w:r>
      <w:hyperlink r:id="rId207" w:anchor="showunit&amp;id=86789" w:history="1">
        <w:r w:rsidRPr="00C33834">
          <w:rPr>
            <w:rStyle w:val="a5"/>
            <w:color w:val="000000" w:themeColor="text1"/>
            <w:sz w:val="16"/>
            <w:szCs w:val="16"/>
          </w:rPr>
          <w:t>76/59. Вопрос КО</w:t>
        </w:r>
      </w:hyperlink>
      <w:r w:rsidRPr="00C33834">
        <w:rPr>
          <w:color w:val="000000" w:themeColor="text1"/>
          <w:sz w:val="16"/>
          <w:szCs w:val="16"/>
        </w:rPr>
        <w:t xml:space="preserve"> (ПБ от 8 июня 1933 г.). — ОП. Решено утвердить постановление комиссии обороны об отпуске из резервного фонда СНК СССР 4 млн. руб. на строительство военно-морских баз в Мурманске, увеличив соответственно объем капитальных работ: а) НКВМору — на строительство военно-морской базы в Мурманске в 1933 г. – 2 000 000 руб. б) НКВоду – 500 000 руб., НКСнабу – 500 000 руб. и НКТяжпрому – 1 000 000 руб. </w:t>
      </w:r>
      <w:hyperlink r:id="rId208" w:anchor="showunit&amp;id=86791" w:history="1">
        <w:r w:rsidRPr="00C33834">
          <w:rPr>
            <w:rStyle w:val="a5"/>
            <w:color w:val="000000" w:themeColor="text1"/>
            <w:sz w:val="16"/>
            <w:szCs w:val="16"/>
          </w:rPr>
          <w:t>78/61. Вопрос КО</w:t>
        </w:r>
      </w:hyperlink>
      <w:r w:rsidRPr="00C33834">
        <w:rPr>
          <w:color w:val="000000" w:themeColor="text1"/>
          <w:sz w:val="16"/>
          <w:szCs w:val="16"/>
        </w:rPr>
        <w:t xml:space="preserve"> (ПБ от 9 июня 1933 г.). — ОП. Решено разрешить НКВМ закупить в Германии 10 шт. прицепных гудронаторов, для чего выделить 50 тыс. руб. инвалюты. </w:t>
      </w:r>
      <w:hyperlink r:id="rId209" w:anchor="showunit&amp;id=86799" w:history="1">
        <w:r w:rsidRPr="00C33834">
          <w:rPr>
            <w:rStyle w:val="a5"/>
            <w:color w:val="000000" w:themeColor="text1"/>
            <w:sz w:val="16"/>
            <w:szCs w:val="16"/>
          </w:rPr>
          <w:t>85/68. О ходе производства синтетического каучука</w:t>
        </w:r>
      </w:hyperlink>
      <w:r w:rsidRPr="00C33834">
        <w:rPr>
          <w:color w:val="000000" w:themeColor="text1"/>
          <w:sz w:val="16"/>
          <w:szCs w:val="16"/>
        </w:rPr>
        <w:t xml:space="preserve"> (ПБ от 11 июня 1933 г.). Решено утвердить постановление СТО об отпуске 12 млн. рублей на окончание строительства завода № 4 и на строительство в Москве нового опытного завода, из них 6 млн. рублей за счет средств НКТП и 6 млн. рублей за счет резервного фонда СНК СССР. </w:t>
      </w:r>
      <w:hyperlink r:id="rId210" w:anchor="showunit&amp;id=86810" w:history="1">
        <w:r w:rsidRPr="00C33834">
          <w:rPr>
            <w:rStyle w:val="a5"/>
            <w:color w:val="000000" w:themeColor="text1"/>
            <w:sz w:val="16"/>
            <w:szCs w:val="16"/>
          </w:rPr>
          <w:t>95/78. О запасах сырья и топлива на заводах черной металлургии</w:t>
        </w:r>
      </w:hyperlink>
      <w:r w:rsidRPr="00C33834">
        <w:rPr>
          <w:color w:val="000000" w:themeColor="text1"/>
          <w:sz w:val="16"/>
          <w:szCs w:val="16"/>
        </w:rPr>
        <w:t xml:space="preserve"> (ПБ от 13 июня 1933 г.). Решено передать на разрешение СТО. </w:t>
      </w:r>
      <w:hyperlink r:id="rId211" w:anchor="showunit&amp;id=86688" w:history="1">
        <w:r w:rsidRPr="00C33834">
          <w:rPr>
            <w:rStyle w:val="a5"/>
            <w:color w:val="000000" w:themeColor="text1"/>
            <w:sz w:val="16"/>
            <w:szCs w:val="16"/>
          </w:rPr>
          <w:t>107/90. О выделении специальных заводов по производству запасных частей для автомашин</w:t>
        </w:r>
      </w:hyperlink>
      <w:r w:rsidRPr="00C33834">
        <w:rPr>
          <w:color w:val="000000" w:themeColor="text1"/>
          <w:sz w:val="16"/>
          <w:szCs w:val="16"/>
        </w:rPr>
        <w:t xml:space="preserve"> (ПБ от 4 мая 1933 г., пр. № 137, п. 61/48), (ПБ от 13 июня 1933 г.). Решено передать на разрешение СТО. </w:t>
      </w:r>
      <w:hyperlink r:id="rId212" w:anchor="showunit&amp;id=86695" w:history="1">
        <w:r w:rsidRPr="00C33834">
          <w:rPr>
            <w:rStyle w:val="a5"/>
            <w:color w:val="000000" w:themeColor="text1"/>
            <w:sz w:val="16"/>
            <w:szCs w:val="16"/>
          </w:rPr>
          <w:t>113/96. Вопросы КО</w:t>
        </w:r>
      </w:hyperlink>
      <w:r w:rsidRPr="00C33834">
        <w:rPr>
          <w:color w:val="000000" w:themeColor="text1"/>
          <w:sz w:val="16"/>
          <w:szCs w:val="16"/>
        </w:rPr>
        <w:t xml:space="preserve"> (ПБ от 13 июня 1933 г.). — ОП. Решено утвердить следующие постановления СТО: 1) Об отпуске 500 тыс. руб. за счет импортных контингентов НКТП на оборудование и техснабжение и о немедленной закупке цветных металлов для строительства 30 подлодок. 2) Об отпуске 26 млн. руб. из резервного фонда СНК СССР по мероприятиям первой очереди для НКПС и 5 млн. руб. из резервного фонда СНК СССР для Цудортранса. 3) О разрешении НКВМору закупки за счет его импортных контингентов в Америке запчастей к моторам “Лиоарти” на 75 тыс. руб. и НКТяжпрому на приборы зажигания “Делько” и запчасти 223 248 руб. за счет его импортных контингентов. 4) Об отпуске 50 тыс. руб. на недостающие импортные части оборудования для окончания строительства Горьковского завода Нефтегаз № 2 (за счет импортных контингентов НКТПрома). 5) Об отпуске 23,6 млн. руб. на окончание реконструкции завода Дальсельмаш, дополнительное строительство бензинохранилищ, строительство Новоспасского цементного завода и реконструкцию Иркутского завода им. Куйбышева (15462).</w:t>
      </w:r>
    </w:p>
    <w:p w14:paraId="0A958951" w14:textId="77777777" w:rsidR="00DE2EF9" w:rsidRPr="00C33834" w:rsidRDefault="00DE2EF9" w:rsidP="00C33834">
      <w:pPr>
        <w:pStyle w:val="rtejustify"/>
        <w:spacing w:before="0" w:after="0"/>
        <w:rPr>
          <w:color w:val="000000" w:themeColor="text1"/>
          <w:sz w:val="16"/>
          <w:szCs w:val="16"/>
        </w:rPr>
      </w:pPr>
    </w:p>
    <w:p w14:paraId="25C199CE"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июня 1933</w:t>
      </w:r>
    </w:p>
    <w:p w14:paraId="0F364237"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w:t>
      </w:r>
    </w:p>
    <w:p w14:paraId="2F96EB4F"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http://sovdoc.rusarchives.ru</w:t>
      </w:r>
    </w:p>
    <w:p w14:paraId="4BCDF96F"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Архив: </w:t>
      </w:r>
    </w:p>
    <w:p w14:paraId="37E6F8F5"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РГАСПИ. Ф. 17. Оп. 3. Д. 924. Л. 28-30.</w:t>
      </w:r>
    </w:p>
    <w:p w14:paraId="32E99C7B"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 № 1</w:t>
      </w:r>
    </w:p>
    <w:p w14:paraId="4724ED7B"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 9 пр. ПБ № 139.</w:t>
      </w:r>
    </w:p>
    <w:p w14:paraId="6EB75681"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безобразнейших фактах, имевших место на заводе № 8.</w:t>
      </w:r>
    </w:p>
    <w:p w14:paraId="0A7E965E"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Президиума ЦКК ВКП(б).</w:t>
      </w:r>
    </w:p>
    <w:p w14:paraId="355B3F3C"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(Утверждено Политбюро ЦК ВКП(б) 15 июня 1933 г.).</w:t>
      </w:r>
    </w:p>
    <w:p w14:paraId="0895A549"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Президиум ЦКК ВКП(б) констатирует, что на заводе № 8 систематически устраивались банкеты и вечера с обильной, выпивкой.</w:t>
      </w:r>
    </w:p>
    <w:p w14:paraId="6FF295BE"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августа 1932 г. по май 1933 г. было организовано 37 таких банкетов и вечеров, из них 17 в 1933 г. На эти банкеты и вечера директором завода т. Мирзахановым было израсходовано свыше 40.000 рублей государственных средств, в том числе около 13.000 рублей на коньяк, шампанское и другие дорогостоящие спиртные напитки.</w:t>
      </w:r>
    </w:p>
    <w:p w14:paraId="48678B04"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Указанные банкеты и вечера устраивались на заводе, главным образом, для приема представителей Военведа и ВОАО-НКТП, приезжающих для проверки работы завода и испытания качества его продукции.</w:t>
      </w:r>
    </w:p>
    <w:p w14:paraId="474CEEFF"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Работникам столовой (61 чел.), в которой устраивались банкеты и вечера, дирекция завода предоставила бесплатно комнаты с обстановкой и питание, на что ежемесячно расходовала 15.000 рублей.</w:t>
      </w:r>
    </w:p>
    <w:p w14:paraId="6D797E9B"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Покупка и расходование остро-дефицитных и дорогостоящих продуктов (икра, балык, окорока, фрукты и т. п.), часть которых приобреталась “по знакомству” в Инснабе, производились бесконтрольно. В указанной столовой имелись большие запасы различных вин (коньяк, ликеры, шампанское и пр.), (покупаемых на средства заводоуправления), из которых снабжались руководящие работники завода.</w:t>
      </w:r>
    </w:p>
    <w:p w14:paraId="68FAF592"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Секретарь Мытищинского райкома ВКП(б) т. Полещук, быв. секретарь парткома завода Ожехинский и члены парткома — т.т. Матвеев и Прицкер, вместо борьбы с безобразнейшими фактами, свидетельствующими об элементах разложения среди руководства завода принимали участие в банкетах и вечерах, устраиваемых директором завода и сами организовывали выпивки за счет заводоуправления.</w:t>
      </w:r>
    </w:p>
    <w:p w14:paraId="7EABC637"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ВОАО</w:t>
      </w:r>
      <w:r w:rsidRPr="00C33834">
        <w:rPr>
          <w:rFonts w:ascii="Times New Roman" w:hAnsi="Times New Roman"/>
          <w:color w:val="000000" w:themeColor="text1"/>
          <w:sz w:val="16"/>
          <w:szCs w:val="16"/>
        </w:rPr>
        <w:noBreakHyphen/>
        <w:t>НКТП т. Будняк и начальник ГАУ РККА т. Ефимов, зная о большинстве банкетов и вечеров, происходивших на заводе, не только не принимали мер к их предотвращению, но в целом ряде случаев сами принимали в них участие.</w:t>
      </w:r>
    </w:p>
    <w:p w14:paraId="1EE02691"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 Будняк в связи с совещанием директоров заводов объединений в декабре 1932 г. в гостинице “Селект” организовал банкет, на который израсходовал государственных средств свыше 12.000 руб. (120 руб. на человека), а до этого устроил у себя на даче выпивку за счет средств завода № 8.</w:t>
      </w:r>
    </w:p>
    <w:p w14:paraId="18344273"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 Будняк допустил разбазаривание значительной части имущества, ранее закупленного объединением для иноспециалистов (мебель, дорогостоящие ковры, шелковые одеяла и т. п.), путем произвольного снижения стоимости этих предметов и раздачи их в бесплатное пользование группе работников объединения.</w:t>
      </w:r>
    </w:p>
    <w:p w14:paraId="27E5EAFA"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Эти преступно безобразные факты, свидетельствующие о наличии элементов бытового разложения среди отдельных руководящих работников заводоуправления, парткома и Мытищинского райкома ВКП(б), в известной мере могли влиять на ослабление бдительности, необходимой в условиях заботы важнейшего военного предприятия.</w:t>
      </w:r>
    </w:p>
    <w:p w14:paraId="3A745150"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Президиум ЦКК ВКП(б) постановляет:</w:t>
      </w:r>
    </w:p>
    <w:p w14:paraId="1B603166"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Директор завода № 8 т. Мирзаханов А. И. (член ВКП(б) с 1905 г.) за антипартийное поведение, выразившееся в преступном разбазаривании государственных средств, устройство и участие в банкетах и вечерах с выпивкой на заводе заслуживает исключения из партии, но учитывая осознание, и осуждение им допущенных антипартийных поступков, ограничиться объявлением ему строгого выговора и предупредить его, что при малейшем повторении подобных поступков, он будет исключен из партии.</w:t>
      </w:r>
    </w:p>
    <w:p w14:paraId="5453C688"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Секретаря дирекции т. Виноградова В. И. (член ВКП(б) с 1926 г.), являвшегося фактическим организатором банкетов и вечеров с обильными выпивками у систематически принимавшего участие в них, за использование служебного положения в личных целях ИЗ ПАРТИИ ИСКЛЮЧИТЬ И С РАБОТЫ СНЯТЬ.</w:t>
      </w:r>
    </w:p>
    <w:p w14:paraId="2CF43D41"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Бывшему секретарю парткома завода (в данное время начальника политотдела Каширской МТС) т. Ожехинскому, за отсутствие партийной бдительности и антипартийное поведение, выразившегося в том, что он не только не принял мер к прекращению банкетов и вечеров, происходящих на заводе № 8, но и сам принимал в них участие — ОБЪЯВИТЬ СТРОГИЙ ВЫГОВОР.</w:t>
      </w:r>
    </w:p>
    <w:p w14:paraId="30DEA508"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Секретарю Мытищинского райкома ВКП(б) т. Полещук (член ВКП(б) с 1915 г.), который вместо, борьбы с безобразиями, происходящими на заводе № 8, свидетельствующими об элементах разложения среди руководящих работников завода, — сам участвовал в банкетах и вечерах, организуемых на заводе — ОБЪЯВИТЬ СТРОГИЙ ВЫГОВОР.</w:t>
      </w:r>
    </w:p>
    <w:p w14:paraId="686DE325"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Врид. секретарю парткома завода № 8 т. Матвееву А. И. (член ВКП(б) с 1928 г.), за антипартийное поведение и отсутствие классовой бдительности, выразившееся в том, что он вместо борьбы с безобразиями, происходящими на заводе, сам принимал участие в банкетах и вечерах — ОБЪЯВИТЬ СТРОГИЙ ВЫГОВОР и вывести из состава парткома.</w:t>
      </w:r>
    </w:p>
    <w:p w14:paraId="5AAFE7F8"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Культпропу парткома завода № 8 т. Прицкер (член ВКП(б) с 1919 г.), знавшей о безобразиях, происходящих на заводе и не принявшей мер к их прекращению — ОБЪЯВИТЬ ВЫГОВОР.</w:t>
      </w:r>
    </w:p>
    <w:p w14:paraId="2962F3A8"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Начальнику ВОАО</w:t>
      </w:r>
      <w:r w:rsidRPr="00C33834">
        <w:rPr>
          <w:rFonts w:ascii="Times New Roman" w:hAnsi="Times New Roman"/>
          <w:color w:val="000000" w:themeColor="text1"/>
          <w:sz w:val="16"/>
          <w:szCs w:val="16"/>
        </w:rPr>
        <w:noBreakHyphen/>
        <w:t>НКТП т. Будняк (член ВКП(б) с 1906 г.), за непринятие мер к прекращению преступно-безобразных фактов, имевших место на заводе № 8, участие в ряде банкетов и вечеров, устраиваемых директором завода, организацию банкета для совещания директоров заводов объединения, за трату государственных средств свыше 12.000 руб. и допущение разбазаривания имущества, принадлежащего объединению — ОБЪЯВИТЬ ВЫГОВОР.</w:t>
      </w:r>
    </w:p>
    <w:p w14:paraId="542A3059"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Начальнику ГАУ РККА т. Ефимову (член ВКП(б) с 1918 г.), за участие в ряде банкетов и вечеров на заводе № 8 и непринятие мер к прекращению этих безобразий — ОБЪЯВИТЬ ВЫГОВОР.</w:t>
      </w:r>
    </w:p>
    <w:p w14:paraId="718DA8A3"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9) Председателю Мытищинского НК</w:t>
      </w:r>
      <w:r w:rsidRPr="00C33834">
        <w:rPr>
          <w:rFonts w:ascii="Times New Roman" w:hAnsi="Times New Roman"/>
          <w:color w:val="000000" w:themeColor="text1"/>
          <w:sz w:val="16"/>
          <w:szCs w:val="16"/>
        </w:rPr>
        <w:noBreakHyphen/>
        <w:t>РКИ т. Кузнецову (член ВКП(б) с 1917 г.), проглядевшему безобразные факты, имевшие место на заводе № 8, за отсутствие бдительности — ОБЪЯВИТЬ ВЫГОВОР и ПРЕДУПРЕДИТЬ ЕГО, ЧТО ПРИ ПОВТОРЕНИИ ПОДОБНЫХ ФАКТОВ В ЕГО РАБОТЕ, К НЕМУ БУДУТ ПРИМЕНЕНЫ САМЫЕ СТРОГИЕ МЕРЫ ВЗЫСКАНИЯ.</w:t>
      </w:r>
    </w:p>
    <w:p w14:paraId="628B5B0A"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Предупредить руководителей заводов и объединений военной промышленности, что за устройство каких-либо угощений, приезжающих на заводы по служебным обязанностям работников НКТП, объединений и Военведа, а также допущения в какой либо форме незаконной оплаты труда приемщиков, они будут привлечены к самой суровой партийной ответственности.</w:t>
      </w:r>
    </w:p>
    <w:p w14:paraId="17308925"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Обязать т. Будняка:</w:t>
      </w:r>
    </w:p>
    <w:p w14:paraId="3C0A033E"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средства, израсходованные на банкеты и вечера, организованные заводом № 8 и объединением, взыскать с их участников в течение 1933</w:t>
      </w:r>
      <w:r w:rsidRPr="00C33834">
        <w:rPr>
          <w:rFonts w:ascii="Times New Roman" w:hAnsi="Times New Roman"/>
          <w:color w:val="000000" w:themeColor="text1"/>
          <w:sz w:val="16"/>
          <w:szCs w:val="16"/>
        </w:rPr>
        <w:noBreakHyphen/>
        <w:t>34 г.г.;</w:t>
      </w:r>
    </w:p>
    <w:p w14:paraId="672B4134"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в месячный срок взыскать всю задолженность с работников объединения за использование имущества, принадлежащего объединению (мебель, ковры и пр.) по действительной стоимости.</w:t>
      </w:r>
    </w:p>
    <w:p w14:paraId="01716660"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Предложить директору завода № 8 т. Мирзаханову:</w:t>
      </w:r>
    </w:p>
    <w:p w14:paraId="7671155D"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в месячный срок взыскать задолженность со всех работников заводоуправления как по столовой, так и за отпущенную мебель;</w:t>
      </w:r>
    </w:p>
    <w:p w14:paraId="6B4D7C3B"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немедленно установить оплату работникам столовой №1 в полном соответствии с колдоговором, отменив все виды натуральной оплаты (бесплатное питание, комнаты).</w:t>
      </w:r>
    </w:p>
    <w:p w14:paraId="16A3DAF2" w14:textId="77777777" w:rsidR="00DD4F9F" w:rsidRPr="00C33834" w:rsidRDefault="00DD4F9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Принять к сведению, что директором завода № 8 т. Мирзахановым столовая № 1, обслуживающая руководящих работников завода, передана в распоряжение ОРС'а (18062).</w:t>
      </w:r>
    </w:p>
    <w:p w14:paraId="271344F7" w14:textId="77777777" w:rsidR="00DD4F9F" w:rsidRPr="00C33834" w:rsidRDefault="00DD4F9F" w:rsidP="00C33834">
      <w:pPr>
        <w:spacing w:after="0" w:line="240" w:lineRule="auto"/>
        <w:jc w:val="both"/>
        <w:rPr>
          <w:rFonts w:ascii="Times New Roman" w:hAnsi="Times New Roman"/>
          <w:color w:val="000000" w:themeColor="text1"/>
          <w:sz w:val="16"/>
          <w:szCs w:val="16"/>
        </w:rPr>
      </w:pPr>
    </w:p>
    <w:p w14:paraId="29498369" w14:textId="77777777" w:rsidR="00DE2EF9" w:rsidRPr="00C33834" w:rsidRDefault="00DE2EF9"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color w:val="000000" w:themeColor="text1"/>
          <w:sz w:val="16"/>
          <w:szCs w:val="16"/>
        </w:rPr>
        <w:t>15 июня 1933 г. Протокол ПБ № 139 п.9: О заводе № 8 (проект постановления ЦKK) (Антипов, Павлуновский, Тухачевский, Будняк, Мирзаханов; ПБ 1-6-1933, протокол № 138, п.11). Решено утвердить с поправками постановление Президиума ЦКК о заводе № 8 (см. приложение). Президиум ЦКК ВКП(б) констатировал, что на заводе № 8 систематически устраивались банкеты и вечера с обильной выпивкой. Секретарь Мытищинского райкома ВКП(б) Полещук, бывший секретарь парткома завода Ожехинский и члены парткома Матвеев и Прицкер, вместо борьбы с безобразнейшими фактами, свидетельствующими об элементах разложения среди руководства завода, принимали участие в банкетах и вечерах, устраиваемых директором завода, и сами организовывали выпивки за cчет заводоуправления. Эти преступно безобразные факты, свидетельствующие о наличии элементов бытового разложения среди отдельных руководящих работников заводоуправления, парткома и Мытищинского райкома ВКП(б), в известной мере могли влиять на ослабление бдительности, необходимой в условиях работы важнейшего военного предприятия. Президиум ЦКК ВКП(б) постановил: за использование служебного положения в личных целях из партии исключить и снять с работы секретаря дирекции Виноградова В.Я. – фактического организатора банкетов и вечеров. Объявлены строгие выговоры директору завода, бывшему секретарю парткома завода, секретарю Мытищинского райкома ВКП(б), врио секретаря парткома завода. Ряду других работников объявлены выговоры. Средства, израсходованные на банкеты и вечера, организованные заводом № 8 и объединением, предложено взыскать с их участников в течение 1933-34 гг.; в месячный срок взыскать всю задолженность с работников объединения за использование имущества, принадлежащего объединению (мебель, ковры и пр.), по действительной стоимости. Директору завода № 8 Мирзаханову предложено в месячный срок взыскать задолженность со всех работников заводоуправления как по столовой, так и за отпущенную мебель; немедленно установить оплату работникам столовой в соответствии с колдоговором, отменив все виды натуральной оплаты. Президиум ЦКК предупредил руководителей заводов и объединений военной промышленности, что за устройство каких-либо угощений приезжающих на заводы по служебным обязанностям работников НКТП, объединений и Военведа, а также допущения в какой либо форме незаконной оплаты труда приемщиков, они будут привлечены к самой суровой партийной ответственности (15878).</w:t>
      </w:r>
    </w:p>
    <w:p w14:paraId="04431828" w14:textId="77777777" w:rsidR="00DE2EF9" w:rsidRPr="00C33834" w:rsidRDefault="00DE2EF9" w:rsidP="00C33834">
      <w:pPr>
        <w:spacing w:after="0" w:line="240" w:lineRule="auto"/>
        <w:jc w:val="both"/>
        <w:rPr>
          <w:rFonts w:ascii="Times New Roman" w:hAnsi="Times New Roman"/>
          <w:iCs/>
          <w:color w:val="000000" w:themeColor="text1"/>
          <w:sz w:val="16"/>
          <w:szCs w:val="16"/>
        </w:rPr>
      </w:pPr>
    </w:p>
    <w:p w14:paraId="1D02752C" w14:textId="77777777" w:rsidR="00DE2EF9" w:rsidRPr="00C33834" w:rsidRDefault="00DE2EF9"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color w:val="000000" w:themeColor="text1"/>
          <w:sz w:val="16"/>
          <w:szCs w:val="16"/>
        </w:rPr>
        <w:t>15 июня 1933 г. Протокол ПБ № 139 п.113/96: Вопросы Комиссии обороны - ОП. Решено утвердить следующие постановления СТО: 1) Об отпуске 500 тыс. руб. за счет импортных контингентов НКТП на оборудование и техснабжение и о немедленной закупке цветных металлов для строительства 30 подлодок. 2) Об отпуске 26 млн. руб. из резервного фонда СНК СССР по мероприятиям первой очереди для НКПС и 5 млн. руб. из резервного фонда СНК СССР для Цудортранса. 3) О разрешении НКВМору закупки за счет его импортных контингентов в Америке запчастей к моторам «Лиоарти» на 75 тыс. руб. и НКТяжпрому на приборы зажигания "Делько" и запчасти 223 248 руб. за счет его импортных контингентов. 4) Об отпуске 50 тыс. руб. на недостающие импортные части оборудования для окончания строительства Горьковского завода Нефтегаз № 2 (за счет импортных контингентов НКТПрома). 5) Об отпуске 23,6 млн. руб. на окончание реконструкции завода Дальсельмаш, дополнительное строительство бензинохранилищ, строительство Новоспасского цементного завода и реконструкцию Иркутского завода им.Куйбышева (15879).</w:t>
      </w:r>
    </w:p>
    <w:p w14:paraId="0255ED22" w14:textId="77777777" w:rsidR="00DE2EF9" w:rsidRPr="00C33834" w:rsidRDefault="00DE2EF9" w:rsidP="00C33834">
      <w:pPr>
        <w:spacing w:after="0" w:line="240" w:lineRule="auto"/>
        <w:jc w:val="both"/>
        <w:rPr>
          <w:rFonts w:ascii="Times New Roman" w:hAnsi="Times New Roman"/>
          <w:iCs/>
          <w:color w:val="000000" w:themeColor="text1"/>
          <w:sz w:val="16"/>
          <w:szCs w:val="16"/>
        </w:rPr>
      </w:pPr>
    </w:p>
    <w:p w14:paraId="3576E427" w14:textId="77777777" w:rsidR="0044195E" w:rsidRPr="00C33834" w:rsidRDefault="0044195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shd w:val="clear" w:color="auto" w:fill="FFFFFF"/>
        </w:rPr>
        <w:t>15 июня 1933 г. другой зампред ОГПУ, Г.Е. Прокофьев, вместе со своим товарищем по Киевскому университету, начальником Экономического управления (ЭКУ) того же ведомства Л.Г. Мироновым, сообщили Сталину о раскрытии в химпроме другой "контрреволюционной вредительской и диверсионной организации". По состоянию на 1 июня в Москве, Кинешме и в Рубежном (УССР) было арестовано "25 работников химической промышленности, из них: инженеров - 14, техников - 1, других специалистов - 3 и мастеров из бывших кулаков - 7"</w:t>
      </w:r>
      <w:r w:rsidRPr="00C33834">
        <w:rPr>
          <w:rFonts w:ascii="Times New Roman" w:hAnsi="Times New Roman"/>
          <w:color w:val="000000" w:themeColor="text1"/>
          <w:sz w:val="16"/>
          <w:szCs w:val="16"/>
          <w:shd w:val="clear" w:color="auto" w:fill="FFFFFF"/>
          <w:vertAlign w:val="superscript"/>
        </w:rPr>
        <w:t>11</w:t>
      </w:r>
      <w:r w:rsidRPr="00C33834">
        <w:rPr>
          <w:rFonts w:ascii="Times New Roman" w:hAnsi="Times New Roman"/>
          <w:color w:val="000000" w:themeColor="text1"/>
          <w:sz w:val="16"/>
          <w:szCs w:val="16"/>
          <w:shd w:val="clear" w:color="auto" w:fill="FFFFFF"/>
        </w:rPr>
        <w:t>. Любопытно, что бывший анархо-коммунист Прокофьев и бывший бундовец Миронов не стали делать этих вредителей "фашистами", несмотря на то что действовали они якобы "по заданиям" германского химического концерна "ИГ Фарбениндустри".</w:t>
      </w:r>
    </w:p>
    <w:p w14:paraId="2D1B8BDB" w14:textId="77777777" w:rsidR="0044195E" w:rsidRPr="00C33834" w:rsidRDefault="0044195E" w:rsidP="00C33834">
      <w:pPr>
        <w:pStyle w:val="ae"/>
        <w:spacing w:before="0" w:after="0"/>
        <w:jc w:val="both"/>
        <w:rPr>
          <w:color w:val="000000" w:themeColor="text1"/>
          <w:sz w:val="16"/>
          <w:szCs w:val="16"/>
        </w:rPr>
      </w:pPr>
      <w:r w:rsidRPr="00C33834">
        <w:rPr>
          <w:color w:val="000000" w:themeColor="text1"/>
          <w:sz w:val="16"/>
          <w:szCs w:val="16"/>
        </w:rPr>
        <w:t>Организацию обнаружили по вполне конкретному поводу - 17 ноября 1932 г. на заводе им. Ворошилова в НИОПИК (Научно-исследовательский институт полупродуктов и красителей) произошел взрыв опытной установки резиновых ускорителей, в результате которого погибли 4 и тяжело ранены 3 человека. Из расследования ЭКУ ОГПУ получился изобилующий крутыми поворотами сюжета детектив на производственную тему с элементами откровенно ненаучной фантастики. Ответ на главный вопрос, почему стал возможен взрыв на важном для обороны страны химическом предприятии, прятал концы в воду: инцидент объявили диверсией, произведенной "по прямому заданию представителя фирмы "И.Г." - Мирбаха (ныне выехал в Берлин)"</w:t>
      </w:r>
      <w:r w:rsidRPr="00C33834">
        <w:rPr>
          <w:color w:val="000000" w:themeColor="text1"/>
          <w:sz w:val="16"/>
          <w:szCs w:val="16"/>
          <w:vertAlign w:val="superscript"/>
        </w:rPr>
        <w:t>12</w:t>
      </w:r>
      <w:r w:rsidRPr="00C33834">
        <w:rPr>
          <w:color w:val="000000" w:themeColor="text1"/>
          <w:sz w:val="16"/>
          <w:szCs w:val="16"/>
        </w:rPr>
        <w:t>. Получалось, что главный диверсант со знакомой после покушения левых эсеров на германского посла (6 июля 1918 г.) фамилией скрылся, а его пособников чекисты почему-то выявлять не поспешили, сосредоточившись на куда более мелком вредительстве на трех химкомбинатах и попутно, похоже, зацепивших экономический шпионаж немцев, но без цели диверсии.</w:t>
      </w:r>
    </w:p>
    <w:p w14:paraId="14D11951" w14:textId="77777777" w:rsidR="0044195E" w:rsidRPr="00C33834" w:rsidRDefault="0044195E" w:rsidP="00C33834">
      <w:pPr>
        <w:pStyle w:val="ae"/>
        <w:spacing w:before="0" w:after="0"/>
        <w:jc w:val="both"/>
        <w:rPr>
          <w:color w:val="000000" w:themeColor="text1"/>
          <w:sz w:val="16"/>
          <w:szCs w:val="16"/>
        </w:rPr>
      </w:pPr>
      <w:r w:rsidRPr="00C33834">
        <w:rPr>
          <w:color w:val="000000" w:themeColor="text1"/>
          <w:sz w:val="16"/>
          <w:szCs w:val="16"/>
        </w:rPr>
        <w:t>Из многостраничных приложений к записке взору Сталина открывалась довольно сумбурная картина: показания Ивана Ивановича Лосева, бывшего заведующего планово-техническим отделом НИОПИК, отразили движение, скорее всего, реальных денег в сумме 12 и 9,5 тысячи рублей, полученных из германского посольства за сведения о советском химпроме, в особенности о заводе в Кинешме</w:t>
      </w:r>
      <w:r w:rsidRPr="00C33834">
        <w:rPr>
          <w:color w:val="000000" w:themeColor="text1"/>
          <w:sz w:val="16"/>
          <w:szCs w:val="16"/>
          <w:vertAlign w:val="superscript"/>
        </w:rPr>
        <w:t>13</w:t>
      </w:r>
      <w:r w:rsidRPr="00C33834">
        <w:rPr>
          <w:color w:val="000000" w:themeColor="text1"/>
          <w:sz w:val="16"/>
          <w:szCs w:val="16"/>
        </w:rPr>
        <w:t>. Но при этом Лосев раскаивался и в том, что диверсии и вредительство финансировались немцами, причем почему-то постфактум и без проверки сообщенных данных.</w:t>
      </w:r>
    </w:p>
    <w:p w14:paraId="34C4FA37" w14:textId="77777777" w:rsidR="0044195E" w:rsidRPr="00C33834" w:rsidRDefault="0044195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shd w:val="clear" w:color="auto" w:fill="FFFFFF"/>
        </w:rPr>
        <w:t>Масштаб же проплаченных злодеяний был явно мелок - утомительные даже для любознательного вождя описания аварий химического оборудования с терминами типа альфанафтиламин и эпизоды откровенного ротозейства, к примеру, на Кинешемском химзаводе: "Проведенная электриком Соловьевым по заданию главного механика затяжка с переменой мотора в нитровальном цеху приводила к недостаточно интенсивной работе вентиляционной системы цеха, что увеличивало случаи отравления в цеху, особенно в жаркое время"</w:t>
      </w:r>
      <w:r w:rsidRPr="00C33834">
        <w:rPr>
          <w:rFonts w:ascii="Times New Roman" w:hAnsi="Times New Roman"/>
          <w:color w:val="000000" w:themeColor="text1"/>
          <w:sz w:val="16"/>
          <w:szCs w:val="16"/>
          <w:shd w:val="clear" w:color="auto" w:fill="FFFFFF"/>
          <w:vertAlign w:val="superscript"/>
        </w:rPr>
        <w:t>14</w:t>
      </w:r>
      <w:r w:rsidRPr="00C33834">
        <w:rPr>
          <w:rFonts w:ascii="Times New Roman" w:hAnsi="Times New Roman"/>
          <w:color w:val="000000" w:themeColor="text1"/>
          <w:sz w:val="16"/>
          <w:szCs w:val="16"/>
          <w:shd w:val="clear" w:color="auto" w:fill="FFFFFF"/>
        </w:rPr>
        <w:t>. А на Дорогомиловском химкомбинате им. Фрунзе в корпусе N 11 3 февраля 1933 г. в аппарате системы Фредеркинг была обнаружена гайка в коробке шестерни, "что привело к повреждению подшипника и остановке аппарата на ремонт". Сталина убеждали в том, что случившееся "могло быть следствием умышленного подкидывания ее (гайки. - Авт.) с целью порчи и выведения из строя важнейшего аппарата корпуса" (18727).</w:t>
      </w:r>
    </w:p>
    <w:p w14:paraId="03BFD5E4" w14:textId="77777777" w:rsidR="0044195E" w:rsidRPr="00C33834" w:rsidRDefault="0044195E" w:rsidP="00C33834">
      <w:pPr>
        <w:spacing w:after="0" w:line="240" w:lineRule="auto"/>
        <w:jc w:val="both"/>
        <w:rPr>
          <w:rFonts w:ascii="Times New Roman" w:hAnsi="Times New Roman"/>
          <w:color w:val="000000" w:themeColor="text1"/>
          <w:sz w:val="16"/>
          <w:szCs w:val="16"/>
        </w:rPr>
      </w:pPr>
    </w:p>
    <w:p w14:paraId="717D515C" w14:textId="77777777" w:rsidR="0044195E" w:rsidRPr="00C33834" w:rsidRDefault="0044195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июня 1933 г. зампред ОГПУ, Г.Е. Прокофьев, вместе со своим товарищем по Киевскому университету, начальником Экономического управления (ЭКУ) того же ведомства Л.Г. Мироновым, сообщили Сталину о раскрытии в химпроме другой "контрреволюционной вредительской и диверсионной организации". По состоянию на 1 июня в Москве, Кинешме и в Рубежном (УССР) было арестовано "25 работников химической промышленности, из них: инженеров - 14, техников - 1, других специалистов - 3 и мастеров из бывших кулаков - 7". Любопытно, что бывший анархо-коммунист Прокофьев и бывший бундовец Миронов не стали делать этих вредителей "фашистами", несмотря на то что действовали они якобы "по заданиям" германского химического концерна "ИГ Фарбениндустри".</w:t>
      </w:r>
    </w:p>
    <w:p w14:paraId="6FA725D6" w14:textId="77777777" w:rsidR="0044195E" w:rsidRPr="00C33834" w:rsidRDefault="0044195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Организацию обнаружили по вполне конкретному поводу - 17 ноября 1932 г. на заводе им. Ворошилова в НИОПИК (Научно-исследовательский институт полупродуктов и красителей) произошел взрыв опытной установки резиновых ускорителей, в результате которого погибли 4 и тяжело ранены 3 человека. Из расследования ЭКУ ОГПУ получился изобилующий крутыми поворотами сюжета детектив на производственную тему с элементами откровенно ненаучной фантастики. Ответ на главный вопрос, почему стал возможен взрыв на важном для обороны страны химическом предприятии, прятал концы в воду: инцидент объявили диверсией, произведенной "по прямому заданию представителя фирмы "И.Г." - Мирбаха (ныне выехал в Берлин)". Получалось, что главный диверсант со знакомой после покушения левых эсеров на германского посла (6 июля 1918 г.) фамилией скрылся, а его пособников чекисты почему-то выявлять не поспешили, сосредоточившись на куда более мелком вредительстве на трех химкомбинатах и попутно, похоже, зацепивших экономический шпионаж немцев, но без цели диверсии.</w:t>
      </w:r>
    </w:p>
    <w:p w14:paraId="7A6386D6" w14:textId="77777777" w:rsidR="0044195E" w:rsidRPr="00C33834" w:rsidRDefault="0044195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многостраничных приложений к записке взору Сталина открывалась довольно сумбурная картина: показания Ивана Ивановича Лосева, бывшего заведующего планово-техническим отделом НИОПИК, отразили движение, скорее всего, реальных денег в сумме 12 и 9,5 тысячи рублей, полученных из германского посольства за сведения о советском химпроме, в особенности о заводе в Кинешме. Но при этом Лосев раскаивался и в том, что диверсии и вредительство финансировались немцами, причем почему-то постфактум и без проверки сообщенных данных.</w:t>
      </w:r>
    </w:p>
    <w:p w14:paraId="5738C8EF" w14:textId="77777777" w:rsidR="0044195E" w:rsidRPr="00C33834" w:rsidRDefault="0044195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Масштаб же проплаченных злодеяний был явно мелок - утомительные даже для любознательного вождя описания аварий химического оборудования с терминами типа альфанафтиламин и эпизоды откровенного ротозейства, к примеру, на Кинешемском химзаводе: "Проведенная электриком Соловьевым по заданию главного механика затяжка с переменой мотора в нитровальном цеху приводила к недостаточно интенсивной работе вентиляционной системы цеха, что увеличивало случаи отравления в цеху, особенно в жаркое время". А на Дорогомиловском химкомбинате им. Фрунзе в корпусе N 11 3 февраля 1933 г. в аппарате системы Фредеркинг была обнаружена гайка в коробке шестерни, "что привело к повреждению подшипника и остановке аппарата на ремонт". Сталина убеждали в том, что случившееся "могло быть следствием умышленного подкидывания ее (гайки. - Авт.) с целью порчи и выведения из строя важнейшего аппарата корпуса".</w:t>
      </w:r>
    </w:p>
    <w:p w14:paraId="38816924" w14:textId="77777777" w:rsidR="0044195E" w:rsidRPr="00C33834" w:rsidRDefault="0044195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Большого процесса не стали устраивать и после записки Прокофьева и Миронова - иначе пришлось бы публично доказывать, что немцы, которые сами же и поставляли химическое оборудование, устраивали на нем же диверсии вплоть до подбрасывания гаек и "обреза болтов при действии мешалки" (19523).</w:t>
      </w:r>
    </w:p>
    <w:p w14:paraId="57AB6EA1" w14:textId="77777777" w:rsidR="0044195E" w:rsidRPr="00C33834" w:rsidRDefault="0044195E" w:rsidP="00C33834">
      <w:pPr>
        <w:spacing w:after="0" w:line="240" w:lineRule="auto"/>
        <w:jc w:val="both"/>
        <w:rPr>
          <w:rFonts w:ascii="Times New Roman" w:hAnsi="Times New Roman"/>
          <w:color w:val="000000" w:themeColor="text1"/>
          <w:sz w:val="16"/>
          <w:szCs w:val="16"/>
        </w:rPr>
      </w:pPr>
    </w:p>
    <w:p w14:paraId="798A2048" w14:textId="77777777" w:rsidR="003C1335" w:rsidRPr="00C33834" w:rsidRDefault="003C13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июня 1933 состоялось заседание ПБ и был оформлен протокол № 139</w:t>
      </w:r>
    </w:p>
    <w:p w14:paraId="43055DFF" w14:textId="77777777" w:rsidR="003C1335" w:rsidRPr="00C33834" w:rsidRDefault="003C13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13 июня 1933 опросом членов ПБ</w:t>
      </w:r>
    </w:p>
    <w:p w14:paraId="3FF3D295" w14:textId="77777777" w:rsidR="003C1335" w:rsidRPr="00C33834" w:rsidRDefault="003C13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113/96.- Вопросы К.О.</w:t>
      </w:r>
    </w:p>
    <w:p w14:paraId="07E27AE5" w14:textId="77777777" w:rsidR="003C1335" w:rsidRPr="00C33834" w:rsidRDefault="003C13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Утвердить следующие постановления СТО:</w:t>
      </w:r>
    </w:p>
    <w:p w14:paraId="169151BA" w14:textId="77777777" w:rsidR="003C1335" w:rsidRPr="00C33834" w:rsidRDefault="003C13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Об отпуске 500 тыс.р.за счет импортных кон</w:t>
      </w:r>
      <w:r w:rsidRPr="00C33834">
        <w:rPr>
          <w:rFonts w:ascii="Times New Roman" w:hAnsi="Times New Roman"/>
          <w:color w:val="0070C0"/>
          <w:sz w:val="16"/>
          <w:szCs w:val="16"/>
        </w:rPr>
        <w:softHyphen/>
        <w:t>тингентов НКТП на оборудование и техснабжение и о немедленной закупке цветных металлов для строитель</w:t>
      </w:r>
      <w:r w:rsidRPr="00C33834">
        <w:rPr>
          <w:rFonts w:ascii="Times New Roman" w:hAnsi="Times New Roman"/>
          <w:color w:val="0070C0"/>
          <w:sz w:val="16"/>
          <w:szCs w:val="16"/>
        </w:rPr>
        <w:softHyphen/>
        <w:t>ства 30 подлодок.</w:t>
      </w:r>
    </w:p>
    <w:p w14:paraId="5FF8F854" w14:textId="77777777" w:rsidR="003C1335" w:rsidRPr="00C33834" w:rsidRDefault="003C13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Об отпуске 26 млн.р.из резервного фонда СНК ССОР по мероприятиям первой очереди для НКПС и 5 млн.р. из резервного фонда СНК СССР для Цудор- транса.</w:t>
      </w:r>
    </w:p>
    <w:p w14:paraId="6D5B8B59" w14:textId="77777777" w:rsidR="003C1335" w:rsidRPr="00C33834" w:rsidRDefault="003C13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О разрешении НКВМору закупки за счет его импортных контингентов в Америке запчастей к мото</w:t>
      </w:r>
      <w:r w:rsidRPr="00C33834">
        <w:rPr>
          <w:rFonts w:ascii="Times New Roman" w:hAnsi="Times New Roman"/>
          <w:color w:val="0070C0"/>
          <w:sz w:val="16"/>
          <w:szCs w:val="16"/>
        </w:rPr>
        <w:softHyphen/>
        <w:t>рам "Либерти" на 75 т.р. и НКТяжпрому на приборы зажигания "Делько" и запчасти 223.248 р. за счёт его импортных контингентов.</w:t>
      </w:r>
    </w:p>
    <w:p w14:paraId="6BFDD78E" w14:textId="77777777" w:rsidR="003C1335" w:rsidRPr="00C33834" w:rsidRDefault="003C13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Об отпуске 50 тыс.р. на недостающие импорт</w:t>
      </w:r>
      <w:r w:rsidRPr="00C33834">
        <w:rPr>
          <w:rFonts w:ascii="Times New Roman" w:hAnsi="Times New Roman"/>
          <w:color w:val="0070C0"/>
          <w:sz w:val="16"/>
          <w:szCs w:val="16"/>
        </w:rPr>
        <w:softHyphen/>
        <w:t>ные части оборудования для окончания строительства Горьковского завода Нефтегаз Jr 2(за счет импортных контингентов НКТПрома).</w:t>
      </w:r>
    </w:p>
    <w:p w14:paraId="0443571A" w14:textId="77777777" w:rsidR="003C1335" w:rsidRPr="00C33834" w:rsidRDefault="003C13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Об отпуске 23,6 млн.р. на окончание рекон</w:t>
      </w:r>
      <w:r w:rsidRPr="00C33834">
        <w:rPr>
          <w:rFonts w:ascii="Times New Roman" w:hAnsi="Times New Roman"/>
          <w:color w:val="0070C0"/>
          <w:sz w:val="16"/>
          <w:szCs w:val="16"/>
        </w:rPr>
        <w:softHyphen/>
        <w:t>струкции з-да б. Дальсельмаш, дополнительное строи</w:t>
      </w:r>
      <w:r w:rsidRPr="00C33834">
        <w:rPr>
          <w:rFonts w:ascii="Times New Roman" w:hAnsi="Times New Roman"/>
          <w:color w:val="0070C0"/>
          <w:sz w:val="16"/>
          <w:szCs w:val="16"/>
        </w:rPr>
        <w:softHyphen/>
        <w:t>тельство бензинохранилищ, строительство Новоспасско</w:t>
      </w:r>
      <w:r w:rsidRPr="00C33834">
        <w:rPr>
          <w:rFonts w:ascii="Times New Roman" w:hAnsi="Times New Roman"/>
          <w:color w:val="0070C0"/>
          <w:sz w:val="16"/>
          <w:szCs w:val="16"/>
        </w:rPr>
        <w:softHyphen/>
        <w:t>го цементного з-да и реконструкцию Иркутского заво</w:t>
      </w:r>
      <w:r w:rsidRPr="00C33834">
        <w:rPr>
          <w:rFonts w:ascii="Times New Roman" w:hAnsi="Times New Roman"/>
          <w:color w:val="0070C0"/>
          <w:sz w:val="16"/>
          <w:szCs w:val="16"/>
        </w:rPr>
        <w:softHyphen/>
        <w:t>да им. Куйбышева.</w:t>
      </w:r>
    </w:p>
    <w:p w14:paraId="2671454E" w14:textId="77777777" w:rsidR="003C1335" w:rsidRPr="00C33834" w:rsidRDefault="003C13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 т.Базилевичу, Розенгольцу, Вороши</w:t>
      </w:r>
      <w:r w:rsidRPr="00C33834">
        <w:rPr>
          <w:rFonts w:ascii="Times New Roman" w:hAnsi="Times New Roman"/>
          <w:color w:val="0070C0"/>
          <w:sz w:val="16"/>
          <w:szCs w:val="16"/>
        </w:rPr>
        <w:softHyphen/>
        <w:t>лову (22989).</w:t>
      </w:r>
    </w:p>
    <w:p w14:paraId="627C9867" w14:textId="77777777" w:rsidR="003C1335" w:rsidRPr="00C33834" w:rsidRDefault="003C1335" w:rsidP="00C33834">
      <w:pPr>
        <w:spacing w:after="0" w:line="240" w:lineRule="auto"/>
        <w:jc w:val="both"/>
        <w:rPr>
          <w:rFonts w:ascii="Times New Roman" w:hAnsi="Times New Roman"/>
          <w:color w:val="0070C0"/>
          <w:sz w:val="16"/>
          <w:szCs w:val="16"/>
        </w:rPr>
      </w:pPr>
    </w:p>
    <w:p w14:paraId="66C00D8C"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70D4A5BF"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28E79430"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июня 1933 вышло Постановление ЦК ВКП(б) "О работе политотделов МТС, о колхозной ячейке и о взаимоотношениях политотделов и райкомов" (10687).</w:t>
      </w:r>
    </w:p>
    <w:p w14:paraId="572CBC65" w14:textId="77777777" w:rsidR="00AE51CE" w:rsidRPr="00C33834" w:rsidRDefault="00AE51CE" w:rsidP="00C33834">
      <w:pPr>
        <w:autoSpaceDE w:val="0"/>
        <w:autoSpaceDN w:val="0"/>
        <w:adjustRightInd w:val="0"/>
        <w:spacing w:after="0" w:line="240" w:lineRule="auto"/>
        <w:jc w:val="both"/>
        <w:rPr>
          <w:rFonts w:ascii="Times New Roman" w:hAnsi="Times New Roman"/>
          <w:color w:val="000000" w:themeColor="text1"/>
          <w:sz w:val="16"/>
          <w:szCs w:val="16"/>
        </w:rPr>
      </w:pPr>
    </w:p>
    <w:p w14:paraId="6A44490D" w14:textId="77777777" w:rsidR="00AE51C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8B37A2C" w14:textId="77777777" w:rsidR="00AE51CE" w:rsidRPr="00C33834" w:rsidRDefault="00AE51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862CCE3" w14:textId="77777777" w:rsidR="00AE51CE" w:rsidRPr="00C33834" w:rsidRDefault="00AE51C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июня 1933 Англия выплатила последнюю символическую сумму в счет погашения долгов перед США времен первой мировой войны (4962).</w:t>
      </w:r>
    </w:p>
    <w:p w14:paraId="015B17AE" w14:textId="77777777" w:rsidR="00AE51CE" w:rsidRPr="00C33834" w:rsidRDefault="00AE51CE"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A82164" w14:textId="77777777" w:rsidR="00D5040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315AF21" w14:textId="77777777" w:rsidR="00D50409" w:rsidRPr="00C33834" w:rsidRDefault="00D50409" w:rsidP="00C33834">
      <w:pPr>
        <w:spacing w:after="0" w:line="240" w:lineRule="auto"/>
        <w:jc w:val="both"/>
        <w:rPr>
          <w:rFonts w:ascii="Times New Roman" w:hAnsi="Times New Roman"/>
          <w:iCs/>
          <w:color w:val="000000" w:themeColor="text1"/>
          <w:sz w:val="16"/>
          <w:szCs w:val="16"/>
        </w:rPr>
      </w:pPr>
    </w:p>
    <w:p w14:paraId="61EC5400" w14:textId="77777777" w:rsidR="00D50409" w:rsidRPr="00C33834" w:rsidRDefault="00D50409"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июня 1933 года в НИИ ВВС было закончено гос. испытание Р-5 с разрезным крылом (второй экземпляр). В результате гос. испытания – разрезные крылья на самолете Р-5 были признаны ВВС удовлетворительными и были намечены для постройки в эксплуатационной серии самолеты Р-5 в количестве 10 комплектов. В дальнейшем ВВС и ГУАП от этого заказа отказались, имея в виду 3-й вариант как наиболее рациональный (4235).</w:t>
      </w:r>
    </w:p>
    <w:p w14:paraId="425F5F60" w14:textId="77777777" w:rsidR="00D50409" w:rsidRPr="00C33834" w:rsidRDefault="00D50409" w:rsidP="00C33834">
      <w:pPr>
        <w:tabs>
          <w:tab w:val="left" w:pos="360"/>
        </w:tabs>
        <w:spacing w:after="0" w:line="240" w:lineRule="auto"/>
        <w:jc w:val="both"/>
        <w:rPr>
          <w:rFonts w:ascii="Times New Roman" w:hAnsi="Times New Roman"/>
          <w:color w:val="000000" w:themeColor="text1"/>
          <w:sz w:val="16"/>
          <w:szCs w:val="16"/>
        </w:rPr>
      </w:pPr>
    </w:p>
    <w:p w14:paraId="5FDAC01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июня 1933 на ХАИ-1 сложились стойки шасси (562,46).</w:t>
      </w:r>
    </w:p>
    <w:p w14:paraId="66080081" w14:textId="77777777" w:rsidR="00D50409" w:rsidRPr="00C33834" w:rsidRDefault="00D50409" w:rsidP="00C33834">
      <w:pPr>
        <w:spacing w:after="0" w:line="240" w:lineRule="auto"/>
        <w:jc w:val="both"/>
        <w:rPr>
          <w:rFonts w:ascii="Times New Roman" w:hAnsi="Times New Roman"/>
          <w:color w:val="000000" w:themeColor="text1"/>
          <w:sz w:val="16"/>
          <w:szCs w:val="16"/>
        </w:rPr>
      </w:pPr>
    </w:p>
    <w:p w14:paraId="5C08400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июня 1933 дата присвоения опознавательного знака с литерой "Н" - СССР-Н19 - У-2, зав. № 4120, мотор - М-11. Первоначальный владелец воздушного судна - УВС ГУСМП. В марте 1933 г. на ледоколе "Красин", в конце августа того же года СССР-Н19 находился в Москве в качестве резервного и тренировочного самолета. СССР-Н19 был исключен из списков самолетного парка ГУСМП за прекращением эксплуатации в 193? Году (11955).</w:t>
      </w:r>
    </w:p>
    <w:p w14:paraId="438C8330" w14:textId="77777777" w:rsidR="00D50409" w:rsidRPr="00C33834" w:rsidRDefault="00D50409" w:rsidP="00C33834">
      <w:pPr>
        <w:spacing w:after="0" w:line="240" w:lineRule="auto"/>
        <w:jc w:val="both"/>
        <w:rPr>
          <w:rFonts w:ascii="Times New Roman" w:hAnsi="Times New Roman"/>
          <w:color w:val="000000" w:themeColor="text1"/>
          <w:sz w:val="16"/>
          <w:szCs w:val="16"/>
        </w:rPr>
      </w:pPr>
    </w:p>
    <w:p w14:paraId="0091A8F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июня 1933 состоялось заседание техсовета ЦАГИ по вопросу об облегчении веса конструкций самолетов (1077,135).</w:t>
      </w:r>
    </w:p>
    <w:p w14:paraId="6F0B23F4" w14:textId="77777777" w:rsidR="00D50409" w:rsidRPr="00C33834" w:rsidRDefault="00D50409" w:rsidP="00C33834">
      <w:pPr>
        <w:spacing w:after="0" w:line="240" w:lineRule="auto"/>
        <w:jc w:val="both"/>
        <w:rPr>
          <w:rFonts w:ascii="Times New Roman" w:hAnsi="Times New Roman"/>
          <w:color w:val="000000" w:themeColor="text1"/>
          <w:sz w:val="16"/>
          <w:szCs w:val="16"/>
        </w:rPr>
      </w:pPr>
    </w:p>
    <w:p w14:paraId="196F31E5" w14:textId="77777777" w:rsidR="00D5040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9D9CC92" w14:textId="77777777" w:rsidR="00D50409" w:rsidRPr="00C33834" w:rsidRDefault="00D50409" w:rsidP="00C33834">
      <w:pPr>
        <w:spacing w:after="0" w:line="240" w:lineRule="auto"/>
        <w:jc w:val="both"/>
        <w:rPr>
          <w:rFonts w:ascii="Times New Roman" w:hAnsi="Times New Roman"/>
          <w:iCs/>
          <w:color w:val="000000" w:themeColor="text1"/>
          <w:sz w:val="16"/>
          <w:szCs w:val="16"/>
        </w:rPr>
      </w:pPr>
    </w:p>
    <w:p w14:paraId="1389E79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июня 1933 Врио. Нач. УММ Бокис докладывал НКВМД К.Е.В. о том, что при закупке Кристи М.1932 предусматривалась: “... не установка его на производство, а изучение новых достижений конструкции КПП. Ведущих колес, подвески, гусениц, крепления ленивцев, главного фрикциона.” (3879,37).</w:t>
      </w:r>
    </w:p>
    <w:p w14:paraId="2C864A92" w14:textId="77777777" w:rsidR="00D50409" w:rsidRPr="00C33834" w:rsidRDefault="00D50409" w:rsidP="00C33834">
      <w:pPr>
        <w:spacing w:after="0" w:line="240" w:lineRule="auto"/>
        <w:jc w:val="both"/>
        <w:rPr>
          <w:rFonts w:ascii="Times New Roman" w:hAnsi="Times New Roman"/>
          <w:color w:val="000000" w:themeColor="text1"/>
          <w:sz w:val="16"/>
          <w:szCs w:val="16"/>
        </w:rPr>
      </w:pPr>
    </w:p>
    <w:p w14:paraId="1892C71E" w14:textId="77777777" w:rsidR="00E6695E" w:rsidRPr="00C33834" w:rsidRDefault="00E669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16 июня 1933 вышло постановление Совета на</w:t>
      </w:r>
      <w:r w:rsidRPr="00C33834">
        <w:rPr>
          <w:rFonts w:ascii="Times New Roman" w:hAnsi="Times New Roman"/>
          <w:color w:val="0070C0"/>
          <w:sz w:val="16"/>
          <w:szCs w:val="16"/>
        </w:rPr>
        <w:softHyphen/>
        <w:t>родных комиссаров СССР об организации автопро</w:t>
      </w:r>
      <w:r w:rsidRPr="00C33834">
        <w:rPr>
          <w:rFonts w:ascii="Times New Roman" w:hAnsi="Times New Roman"/>
          <w:color w:val="0070C0"/>
          <w:sz w:val="16"/>
          <w:szCs w:val="16"/>
        </w:rPr>
        <w:softHyphen/>
        <w:t>бега Москва - Каракумы.</w:t>
      </w:r>
    </w:p>
    <w:p w14:paraId="51ED94AD" w14:textId="77777777" w:rsidR="00E6695E" w:rsidRPr="00C33834" w:rsidRDefault="00E669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Автопробег стартовал 6 июля в Москве. В путь отправилось 23 автомобиля: 6 легковых ГАЗ-А, 5 гру</w:t>
      </w:r>
      <w:r w:rsidRPr="00C33834">
        <w:rPr>
          <w:rFonts w:ascii="Times New Roman" w:hAnsi="Times New Roman"/>
          <w:color w:val="0070C0"/>
          <w:sz w:val="16"/>
          <w:szCs w:val="16"/>
        </w:rPr>
        <w:softHyphen/>
        <w:t>зовых ГАЗ-АА, 5 трехосных Фордов, 6 грузовиков АМО. Из пяти две трехоски имели доработку, прове</w:t>
      </w:r>
      <w:r w:rsidRPr="00C33834">
        <w:rPr>
          <w:rFonts w:ascii="Times New Roman" w:hAnsi="Times New Roman"/>
          <w:color w:val="0070C0"/>
          <w:sz w:val="16"/>
          <w:szCs w:val="16"/>
        </w:rPr>
        <w:softHyphen/>
        <w:t>денную на ГАЗ, а под номером 23 шел эксперимен</w:t>
      </w:r>
      <w:r w:rsidRPr="00C33834">
        <w:rPr>
          <w:rFonts w:ascii="Times New Roman" w:hAnsi="Times New Roman"/>
          <w:color w:val="0070C0"/>
          <w:sz w:val="16"/>
          <w:szCs w:val="16"/>
        </w:rPr>
        <w:softHyphen/>
        <w:t>тальный трехосный автомобиль ГАЗ-НАТИ-ЗО. Два АМО были после капитального ремонта. Колонна направилась по маршруту Москва - Горький - Ка</w:t>
      </w:r>
      <w:r w:rsidRPr="00C33834">
        <w:rPr>
          <w:rFonts w:ascii="Times New Roman" w:hAnsi="Times New Roman"/>
          <w:color w:val="0070C0"/>
          <w:sz w:val="16"/>
          <w:szCs w:val="16"/>
        </w:rPr>
        <w:softHyphen/>
        <w:t>зань - Самара - Оренбург - Бухара - Чарджуй - Ургенч - Красноводск - Баку - Тифлис - Ростов-на- Дону - Харьков - Воронеж - Тула - Москва. Весь путь составил 9375 км.</w:t>
      </w:r>
    </w:p>
    <w:p w14:paraId="226D9554" w14:textId="77777777" w:rsidR="00E6695E" w:rsidRPr="00C33834" w:rsidRDefault="00E669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Автопробег продолжался 86 суток - 2062 часа, из которых время в движении составляло 432 часа. Кро</w:t>
      </w:r>
      <w:r w:rsidRPr="00C33834">
        <w:rPr>
          <w:rFonts w:ascii="Times New Roman" w:hAnsi="Times New Roman"/>
          <w:color w:val="0070C0"/>
          <w:sz w:val="16"/>
          <w:szCs w:val="16"/>
        </w:rPr>
        <w:softHyphen/>
        <w:t>ме проверки выносливости отечественных автомо</w:t>
      </w:r>
      <w:r w:rsidRPr="00C33834">
        <w:rPr>
          <w:rFonts w:ascii="Times New Roman" w:hAnsi="Times New Roman"/>
          <w:color w:val="0070C0"/>
          <w:sz w:val="16"/>
          <w:szCs w:val="16"/>
        </w:rPr>
        <w:softHyphen/>
        <w:t>билей, испытывались шины из синтетического каучука, а также из натурального, но добытого из рас</w:t>
      </w:r>
      <w:r w:rsidRPr="00C33834">
        <w:rPr>
          <w:rFonts w:ascii="Times New Roman" w:hAnsi="Times New Roman"/>
          <w:color w:val="0070C0"/>
          <w:sz w:val="16"/>
          <w:szCs w:val="16"/>
        </w:rPr>
        <w:softHyphen/>
        <w:t>тения тау-сагыз, произрастающего на территории страны.</w:t>
      </w:r>
    </w:p>
    <w:p w14:paraId="6106813E" w14:textId="77777777" w:rsidR="00E6695E" w:rsidRPr="00C33834" w:rsidRDefault="00E669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пробеге участвовало четыре автомобиля ГАЗ-А с шинами типа «сверхбаллон» размером 800x250 и 800x200, изготовленными из синтетического каучука СК-1 и СК-2. Автомобили, оборудованные такими</w:t>
      </w:r>
    </w:p>
    <w:p w14:paraId="51991D89" w14:textId="77777777" w:rsidR="00E6695E" w:rsidRPr="00C33834" w:rsidRDefault="00E669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шинами, уверенно двигались по пескам, что нельзя было сказать о грузовиках на стандартных шинах (22518).</w:t>
      </w:r>
    </w:p>
    <w:p w14:paraId="7A0EEDD4" w14:textId="77777777" w:rsidR="00E6695E" w:rsidRPr="00C33834" w:rsidRDefault="00E6695E" w:rsidP="00C33834">
      <w:pPr>
        <w:spacing w:after="0" w:line="240" w:lineRule="auto"/>
        <w:jc w:val="both"/>
        <w:rPr>
          <w:rFonts w:ascii="Times New Roman" w:hAnsi="Times New Roman"/>
          <w:color w:val="0070C0"/>
          <w:sz w:val="16"/>
          <w:szCs w:val="16"/>
        </w:rPr>
      </w:pPr>
    </w:p>
    <w:p w14:paraId="36E79E2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июня 1933 г. - и</w:t>
      </w:r>
      <w:r w:rsidRPr="00C33834">
        <w:rPr>
          <w:rStyle w:val="a7"/>
          <w:rFonts w:ascii="Times New Roman" w:hAnsi="Times New Roman"/>
          <w:b w:val="0"/>
          <w:bCs w:val="0"/>
          <w:color w:val="000000" w:themeColor="text1"/>
          <w:sz w:val="16"/>
          <w:szCs w:val="16"/>
        </w:rPr>
        <w:t>з приказа Наркомтяжпрома № 557 о развертывании станкостроения</w:t>
      </w:r>
    </w:p>
    <w:p w14:paraId="6EAB133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За годы первой пятилетки станкостроение в Союзе выросло в самостоятельную отрасль машиностроения. Значительно расширена производственная база станкостроения, собраны и подготовлены значительные кадры конструкторов и производственников, резко выросла количественно и качественно продукция станкостроительных заводов и расширена номенклатура выпускаемых станков за счет освоения ряда новых современных станков. </w:t>
      </w:r>
    </w:p>
    <w:p w14:paraId="340CDEA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Несмотря на указанные достижения, наиболее узким местом в развитии станкостроения является крайняя ограниченность номенклатуры выпускаемых станков, вследствие чего мы вынуждены прибегать в значительных размерах к импорту. Производимые в Союзе станки — преимущественно универсального типа; еще совершенно не производятся шлифовальные станки — автоматы и полуавтоматы, крупные и тяжелые станки, специальные и упрощенного типа станки узкого назначения, все более применяемые в массовом производстве. </w:t>
      </w:r>
    </w:p>
    <w:p w14:paraId="6CC7679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целях скорейшего освобождения страны от иностранной зависимости и удовлетворения неотложных нужд важнейшей отрасли народного хозяйства в металлорежущих станках приказываю: </w:t>
      </w:r>
    </w:p>
    <w:p w14:paraId="38DDF66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Станкообъединению па протяжении второго пятилетия обеспечить организацию производства не менее 200 типоразмеров новых станков, кроме 40 типоразмеров станков, уже выпускаемых в настоящее время. </w:t>
      </w:r>
      <w:r w:rsidR="000656DA" w:rsidRPr="00C33834">
        <w:rPr>
          <w:rFonts w:ascii="Times New Roman" w:hAnsi="Times New Roman"/>
          <w:sz w:val="16"/>
          <w:szCs w:val="16"/>
        </w:rPr>
        <w:fldChar w:fldCharType="begin"/>
      </w:r>
      <w:r w:rsidR="000656DA" w:rsidRPr="00C33834">
        <w:rPr>
          <w:rFonts w:ascii="Times New Roman" w:hAnsi="Times New Roman"/>
          <w:color w:val="000000" w:themeColor="text1"/>
          <w:sz w:val="16"/>
          <w:szCs w:val="16"/>
        </w:rPr>
        <w:instrText xml:space="preserve">ref HYPERLINK  \l "_edn1" \* MERGEFORMAT </w:instrText>
      </w:r>
      <w:r w:rsidR="000656DA" w:rsidRPr="00C33834">
        <w:rPr>
          <w:rFonts w:ascii="Times New Roman" w:hAnsi="Times New Roman"/>
          <w:sz w:val="16"/>
          <w:szCs w:val="16"/>
        </w:rPr>
        <w:fldChar w:fldCharType="separate"/>
      </w:r>
      <w:r w:rsidRPr="00C33834">
        <w:rPr>
          <w:rStyle w:val="a5"/>
          <w:rFonts w:ascii="Times New Roman" w:hAnsi="Times New Roman"/>
          <w:color w:val="000000" w:themeColor="text1"/>
          <w:sz w:val="16"/>
          <w:szCs w:val="16"/>
        </w:rPr>
        <w:t>[1]</w:t>
      </w:r>
      <w:r w:rsidR="000656DA" w:rsidRPr="00C33834">
        <w:rPr>
          <w:rStyle w:val="a5"/>
          <w:rFonts w:ascii="Times New Roman" w:hAnsi="Times New Roman"/>
          <w:color w:val="000000" w:themeColor="text1"/>
          <w:sz w:val="16"/>
          <w:szCs w:val="16"/>
        </w:rPr>
        <w:fldChar w:fldCharType="end"/>
      </w:r>
    </w:p>
    <w:p w14:paraId="3642B2A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В целях дальнейшей конкретизации подлежащих изготовлению новых типов и размеров станков Станкообъединению на основе детального рассмотрения ряда крупных объектов нового строительства совместно с заинтересованными потребителями — ГУТЛП, ГУАП, Главтрансмаш и другими научно-исследовательскими организациями и анализа запроектированной технологии и сроков ввода в эксплуатацию этих объектов уточнить и дополнить типаж станков их изготовления на ближайшие три года. </w:t>
      </w:r>
    </w:p>
    <w:p w14:paraId="37CC4CF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 При выборе конструкции новых станков брать в основу, после сравнительного их изучения, лучшие американские или ев­ропейские образцы, обладающие наибольшей простотой конструкций, удобством управления и гибкостью в отношении применения стандартных узлов. </w:t>
      </w:r>
    </w:p>
    <w:p w14:paraId="33B2791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4. Продолжать производство ныне изготовляемых типов стан­ков (токарные, строгальные, фрезерные, револьверные и т.д.), расширяя их номенклатуру как в отношении типов, так и увеличения их размеров, в первую очередь в части шлифовальных, зуборезных, карусельных и крупнотокарных станков. </w:t>
      </w:r>
    </w:p>
    <w:p w14:paraId="60DBAEB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5. Начать с конца 1933 г. производство одношпиндельных автоматов и полуавтоматов, а в 1934 г. — многошпиндельных автоматов. </w:t>
      </w:r>
    </w:p>
    <w:p w14:paraId="66CA49A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6. Начать внедрение в станкостроение гидравлики, в пер­вую очередь в отношении шлифовальных станков. </w:t>
      </w:r>
    </w:p>
    <w:p w14:paraId="7978FEE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xml:space="preserve">7. ВЭО и Станкообъединению широко развернуть работу по электрификации станков и по освоению производства многоскоростных моторов и электроредукторов для нужд станкостроения. </w:t>
      </w:r>
    </w:p>
    <w:p w14:paraId="31D7152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8. Станкообъединению в течение 1933 г. наладить производство в централизованном порядке основных нормалей станков (крепежные, рычаги, маховички) для снабжения ими заводов, занимающихся станкостроением. </w:t>
      </w:r>
    </w:p>
    <w:p w14:paraId="2353F03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9. Станкообъединению пересмотреть план специализации своих заводов в сторону резкого расширения количества типов и размеров изготовленных на каждом заводе станков и не позже 1 июля с.г. представить на утверждение Главмашпрома новый план специализации заводов. </w:t>
      </w:r>
    </w:p>
    <w:p w14:paraId="6632F61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10. В целях расширения производственной базы станкостроения обязать главные управления, объединения и тресты и уполномоченных НКТП на местах широко использовать имеющиеся у них возможности для постановки на своих заводах производства металлообрабатывающих станков. </w:t>
      </w:r>
    </w:p>
    <w:p w14:paraId="4C17020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11. Предоставить Станкообъединению право назначения типов и размеров станков, подлежащих изготовлению на всех заводах тяжелой промышленности, и утверждения конструктивных чертежей до начала изготовления станка. </w:t>
      </w:r>
    </w:p>
    <w:p w14:paraId="29B6B40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12. Образовать в составе Станкообъединения бюро по планированию станкостроения иа заводах, не входящих в Станкообъединение. Главмашпрому и ОРГРАЦу в двухдекадный срок рассмотреть положение о бюро и провести его оформление через надлежащие органы.* </w:t>
      </w:r>
    </w:p>
    <w:p w14:paraId="6125E57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13. Обязать все предприятия НКТП, изготовляющие металлорежущие станки как для собственных нужд, так и на сторону, ежеквартально давать Станкообъединению сведения о выпущенных станках. </w:t>
      </w:r>
    </w:p>
    <w:p w14:paraId="05E1979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14. Плановому сектору и главным управлениям при установлении и утверждении производственных программ объединений обеспечить включение в годовые и квартальные программы объединений, трестов и заводов выпуск станков по заданиям Станкообъединения, утвержденным Главмашпромом. </w:t>
      </w:r>
    </w:p>
    <w:p w14:paraId="3A80877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15. Станкообъединению широко развернуть работу по изготовлению чертежей новых станков, укрепив центральное конструкторское бюро и конструкторские бюро заводов и привлекая конструкторские силы научных и учебных учреждений, а также предприятий, не входящих в Станкообъединение. Особое внимание уделить скорейшей разработке и опубликованию альбомов нормалей и стандартных частей, применяемых в станкостроении. </w:t>
      </w:r>
    </w:p>
    <w:p w14:paraId="6FDAC33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16. Превратить центральное конструкторское бюро Станкообъединения в руководящий конструкторский аппарат всей станкостроительной промышленности Союза, действующей на хозрасчетных основаниях в виде коммерческо-технической конторы Станкообъединения. Финансовому сектору НКТП выделить в ЦКБ Станкообъединения 300 тыс. руб. оборотных средств в течение III кварталас.г. </w:t>
      </w:r>
    </w:p>
    <w:p w14:paraId="3680EC8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17. Станкообъединению развернуть во второй половине 1933 г. строительство завода опытных станков «Станкоконструкция» с расчетом начала производства на нем не позднее II квартала 1934 г. </w:t>
      </w:r>
    </w:p>
    <w:p w14:paraId="0AFECA2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18. Разрешить Станкообъединению в течение 1933 г. профинансировать за счет своих лимитов на капстроительство отдельные работы по заводам республиканской и местной промышленности, принимающих на себя производство станков, в сумме 350 тыс. руб., а по линии оборотных средств на подготовку новых производств — в сумме до 500 тыс. руб. </w:t>
      </w:r>
    </w:p>
    <w:p w14:paraId="6B9D8B6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19. Главстройпрому под ответственностью тов. Гинзбурга взять под особое наблюдение строительство Московского «Станколита», Харьковского завода сверлильных станков и московского завода «Станкоконструкция» и обязать трест «Строитель» развернуть строительные работы на заводе «Станколит» и «Станко­конструкция» в Москве и обеспечить в первую очередь эти стройки завозом стройматериалов и рабочей силой. Выделить для Харьковского завода сверлильных станков в III квартале 2 тыс. куб. м леса. </w:t>
      </w:r>
    </w:p>
    <w:p w14:paraId="15FA2E2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20. Главмашпрому загрузить полностью станкоцех завода «Двигатель революции» в Горьком производством крупных станков по указанной выше номенклатуре, кооперируя его в части узких мест с другими машиностроительными заводами. Плановому сектору с III квартала с.г. обеспечить этот завод минимальными средствами, необходимыми на развертывание производства станков. </w:t>
      </w:r>
    </w:p>
    <w:p w14:paraId="39C9ADD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21. «Стальсбыту» под ответственностью тов. Бабаева дать указания своим местным конторам о первоочередном снабжении чугуном и прокатным металлом строго кондиционного качества заводов, занимающихся станкостроением. </w:t>
      </w:r>
    </w:p>
    <w:p w14:paraId="091EEDDF"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22. ГУУЗу НКТП и Станкообъединению принять решительные меры к созданию условий нормальной учебной работы Станкина. ГУУЗу не позднее 1 июля с.г. определить для Станки на новое помещение и осуществить перевод до 15 июля с.г. </w:t>
      </w:r>
    </w:p>
    <w:p w14:paraId="0298328C"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Станкообъединению отпустить Станкину из своих средств на капстроительство 300 тыс. руб. на организацию лабораторий, расширение механической мастерской и создание конструкторского кабинета. Станкообъединению, Оргаметаллу и всем заводам, занимающимся станкостроением, периодически снабжать Станкин материалами по конструированию станков и технологией их производства для учебных целей Станкина. Сосредоточить при Станкине подготовку аспирантуры, квалифицирующейся по станкам и инструменту. Восстановить бюро при Станкине и обеспечить его реальными промзаданиями. </w:t>
      </w:r>
    </w:p>
    <w:p w14:paraId="23D7D09F"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23. Сектору труда тов. Фигатнеру провести через Нарком-труд, ВЦСПС и Наркомснаб вопрос об установлении условий оплаты труда и снабжения работников конструкторских бюро, научных работников и лаборантов предприятий по станкостроению наравне с условиями, существующими для ИТР промпредприятий 1-й категории. </w:t>
      </w:r>
    </w:p>
    <w:p w14:paraId="296B1A3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24. Станкообъединению по согласованию с ЦК машиностроителей приступить еще в 1933 г. к созданию сети переподготовки рабочих и среднетехнического персонала наиболее дефицитных специальностей. </w:t>
      </w:r>
    </w:p>
    <w:p w14:paraId="0CDA62A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25. Станкообъединению в месячный срок разработать и представить на утверждение Главмашпрома положение о фонде премирования за освоение новых номенклатур станков и создание новых конструкций. </w:t>
      </w:r>
    </w:p>
    <w:p w14:paraId="3107D8B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Нарком тяжелой промышленности С. Орджоникидзе </w:t>
      </w:r>
    </w:p>
    <w:p w14:paraId="1510DC5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ЦГАНХ СССР, ф. 7297, on. 1, д. 16, лл. 171, 176—178. Заверенная копия (12053).</w:t>
      </w:r>
    </w:p>
    <w:p w14:paraId="42E1A782" w14:textId="77777777" w:rsidR="00D50409" w:rsidRPr="00C33834" w:rsidRDefault="00D50409" w:rsidP="00C33834">
      <w:pPr>
        <w:spacing w:after="0" w:line="240" w:lineRule="auto"/>
        <w:jc w:val="both"/>
        <w:rPr>
          <w:rFonts w:ascii="Times New Roman" w:hAnsi="Times New Roman"/>
          <w:color w:val="000000" w:themeColor="text1"/>
          <w:sz w:val="16"/>
          <w:szCs w:val="16"/>
        </w:rPr>
      </w:pPr>
    </w:p>
    <w:p w14:paraId="65E3FF04" w14:textId="77777777" w:rsidR="00DA66D7" w:rsidRPr="00C33834" w:rsidRDefault="00DA66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июня 1933 г. из приказа Наркомтяжпрома № 557 о развертывании станкостроения За годы первой пятилетки станкостроение в Союзе выросло в самостоятельную отрасль машиностроения. Значительно расширена производственная база станкостроения, собраны и подготовлены значительные кадры конструкторов и производственников, резко выросла количественно и качественно продукция станкостроительных заводов и расширена номенклатура выпускаемых станков за счет освоения ряда новых современных станков. Несмотря на указанные достижения, наиболее узким местом в развитии станкостроения является крайняя ограниченность номенклатуры выпускаемых станков, вследствие чего мы вынуждены прибегать в значительных размерах к импорту. Производимые в Союзе станки — преимущественно универсального типа; еще совершенно не производятся шлифовальные станки — автоматы и полуавтоматы, крупные и тяжелые станки, специальные и упрощенного типа станки узкого назначения, все более применяемые в массовом производстве. В целях скорейшего освобождения страны от иностранной зависимости и удовлетворения неотложных нужд важнейшей отрасли народного хозяйства в металлорежущих станках приказываю: 1. Станкообъединению па протяжении второго пятилетия обеспечить организацию производства не менее 200 типоразмеров новых станков, кроме 40 типоразмеров станков, уже выпускаемых в настоящее время.* 2. В целях дальнейшей конкретизации подлежащих изготовлению новых типов и размеров станков Станкообъединению на основе детального рассмотрения ряда крупных объектов нового строительства совместно с заинтересованными потребителями — ГУТЛП, ГУАП, Главтрансмаш и другими научно-исследовательскими организациями и анализа запроектированной технологии и сроков ввода в эксплуатацию этих объектов уточнить и дополнить типаж станков их изготовления на ближайшие три года. 3. При выборе конструкции новых станков брать в основу, после сравнительного их изучения, лучшие американские или ев</w:t>
      </w:r>
      <w:r w:rsidRPr="00C33834">
        <w:rPr>
          <w:rFonts w:ascii="Times New Roman" w:hAnsi="Times New Roman"/>
          <w:color w:val="000000" w:themeColor="text1"/>
          <w:sz w:val="16"/>
          <w:szCs w:val="16"/>
        </w:rPr>
        <w:softHyphen/>
        <w:t>ропейские образцы, обладающие наибольшей простотой конструкций, удобством управления и гибкостью в отношении применения стандартных узлов.</w:t>
      </w:r>
    </w:p>
    <w:p w14:paraId="76BB1FA8" w14:textId="77777777" w:rsidR="00DA66D7" w:rsidRPr="00C33834" w:rsidRDefault="00DA66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Продолжать производство ныне изготовляемых типов стан</w:t>
      </w:r>
      <w:r w:rsidRPr="00C33834">
        <w:rPr>
          <w:rFonts w:ascii="Times New Roman" w:hAnsi="Times New Roman"/>
          <w:color w:val="000000" w:themeColor="text1"/>
          <w:sz w:val="16"/>
          <w:szCs w:val="16"/>
        </w:rPr>
        <w:softHyphen/>
        <w:t xml:space="preserve">ков (токарные, строгальные, фрезерные, револьверные и т.д.), расширяя их номенклатуру как в отношении типов, так и увеличения их размеров, в первую очередь в части шлифовальных, зуборезных, карусельных и крупнотокарных станков. </w:t>
      </w:r>
    </w:p>
    <w:p w14:paraId="03BA5CC2" w14:textId="77777777" w:rsidR="00DA66D7" w:rsidRPr="00C33834" w:rsidRDefault="00DA66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5. Начать с конца 1933 г. производство одношпиндельных автоматов и полуавтоматов, а в 1934 г. — многошпиндельных автоматов. </w:t>
      </w:r>
    </w:p>
    <w:p w14:paraId="1F85212C" w14:textId="77777777" w:rsidR="00DA66D7" w:rsidRPr="00C33834" w:rsidRDefault="00DA66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Начать внедрение в станкостроение гидравлики, в пер</w:t>
      </w:r>
      <w:r w:rsidRPr="00C33834">
        <w:rPr>
          <w:rFonts w:ascii="Times New Roman" w:hAnsi="Times New Roman"/>
          <w:color w:val="000000" w:themeColor="text1"/>
          <w:sz w:val="16"/>
          <w:szCs w:val="16"/>
        </w:rPr>
        <w:softHyphen/>
        <w:t xml:space="preserve">вую очередь в отношении шлифовальных станков. </w:t>
      </w:r>
    </w:p>
    <w:p w14:paraId="51564C48" w14:textId="77777777" w:rsidR="00DA66D7" w:rsidRPr="00C33834" w:rsidRDefault="00DA66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7. ВЭО и Станкообъединению широко развернуть работу по электрификации станков и по освоению производства многоскоростных моторов и электроредукторов для нужд станкостроения. </w:t>
      </w:r>
    </w:p>
    <w:p w14:paraId="76B941F1" w14:textId="77777777" w:rsidR="00DA66D7" w:rsidRPr="00C33834" w:rsidRDefault="00DA66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8. Станкообъединению в течение 1933 г. наладить производство в централизованном порядке основных нормалей станков (крепежные, рычаги, маховички) для снабжения ими заводов, занимающихся станкостроением. </w:t>
      </w:r>
    </w:p>
    <w:p w14:paraId="3C23A7F2" w14:textId="77777777" w:rsidR="00DA66D7" w:rsidRPr="00C33834" w:rsidRDefault="00DA66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9. Станкообъединению пересмотреть план специализации своих заводов в сторону резкого расширения количества типов и размеров изготовленных на каждом заводе станков и не позже 1 июля с.г. представить на утверждение Главмашпрома новый план специализации заводов. </w:t>
      </w:r>
    </w:p>
    <w:p w14:paraId="3EEED03F" w14:textId="77777777" w:rsidR="00DA66D7" w:rsidRPr="00C33834" w:rsidRDefault="00DA66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10. В целях расширения производственной базы станкостроения обязать главные управления, объединения и тресты и уполномоченных НКТП на местах широко использовать имеющиеся у них возможности для постановки на своих заводах производства металлообрабатывающих станков. </w:t>
      </w:r>
    </w:p>
    <w:p w14:paraId="6AB7D8DA" w14:textId="77777777" w:rsidR="00DA66D7" w:rsidRPr="00C33834" w:rsidRDefault="00DA66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11. Предоставить Станкообъединению право назначения типов и размеров станков, подлежащих изготовлению на всех заводах тяжелой промышленности, и утверждения конструктивных чертежей до начала изготовления станка. </w:t>
      </w:r>
    </w:p>
    <w:p w14:paraId="2A07067A" w14:textId="77777777" w:rsidR="00DA66D7" w:rsidRPr="00C33834" w:rsidRDefault="00DA66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12. Образовать в составе Станкообъединения бюро по планированию станкостроения иа заводах, не входящих в Станкообъединение. Главмашпрому и ОРГРАЦу в двухдекадный срок рассмотреть положение о бюро и провести его оформление через надлежащие органы.* </w:t>
      </w:r>
    </w:p>
    <w:p w14:paraId="6A9043A5" w14:textId="77777777" w:rsidR="00DA66D7" w:rsidRPr="00C33834" w:rsidRDefault="00DA66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13. Обязать все предприятия НКТП, изготовляющие металлорежущие станки как для собственных нужд, так и на сторону, ежеквартально давать Станкообъединению сведения о выпущенных станках. </w:t>
      </w:r>
    </w:p>
    <w:p w14:paraId="3B7FFC2A" w14:textId="77777777" w:rsidR="00DA66D7" w:rsidRPr="00C33834" w:rsidRDefault="00DA66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xml:space="preserve">14. Плановому сектору и главным управлениям при установлении и утверждении производственных программ объединений обеспечить включение в годовые и квартальные программы объединений, трестов и заводов выпуск станков по заданиям Станкообъединения, утвержденным Главмашпромом. </w:t>
      </w:r>
    </w:p>
    <w:p w14:paraId="37F9AE53" w14:textId="77777777" w:rsidR="00DA66D7" w:rsidRPr="00C33834" w:rsidRDefault="00DA66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Станкообъединению широко развернуть работу по изготовлению чертежей новых станков, укрепив центральное конструкторское бюро и конструкторские бюро заводов и привлекая конструкторские силы научных и учебных учреждений, а также предприятий, не входящих в Станкообъединение. Особое внимание уделить скорейшей разработке и опубликованию альбомов нормалей и стандартных частей, применяемых в станкостроении.</w:t>
      </w:r>
    </w:p>
    <w:p w14:paraId="00A1828B" w14:textId="77777777" w:rsidR="0068370E" w:rsidRPr="00C33834" w:rsidRDefault="00DA66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16. Превратить центральное конструкторское бюро Станкообъединения в руководящий конструкторский аппарат всей станкостроительной промышленности Союза, действующей на хозрасчетных основаниях в виде коммерческо-технической конторы Станкообъединения. Финансовому сектору НКТП выделить в ЦКБ Станкообъединения 300 тыс. руб. оборотных средств в течение III кварталас.г. </w:t>
      </w:r>
    </w:p>
    <w:p w14:paraId="4F19C08C" w14:textId="77777777" w:rsidR="0068370E" w:rsidRPr="00C33834" w:rsidRDefault="00DA66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17. Станкообъединению развернуть во второй половине 1933 г. строительство завода опытных станков «Станкоконструкция» с расчетом начала производства на нем не позднее II квартала 1934 г. </w:t>
      </w:r>
    </w:p>
    <w:p w14:paraId="29FCA197" w14:textId="77777777" w:rsidR="0068370E" w:rsidRPr="00C33834" w:rsidRDefault="00DA66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18. Разрешить Станкообъединению в течение 1933 г. профинансировать за счет своих лимитов на капстроительство отдельные работы по заводам республиканской и местной промышленности, принимающих на себя производство станков, в сумме 350 тыс. руб., а по линии оборотных средств на подготовку новых производств — в сумме до 500 тыс. руб. </w:t>
      </w:r>
    </w:p>
    <w:p w14:paraId="5BCFDDEB" w14:textId="77777777" w:rsidR="0068370E" w:rsidRPr="00C33834" w:rsidRDefault="00DA66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Главстройпрому под ответственностью тов. Гинзбурга взять под особое наблюдение строительство Московского «Станколита», Харьковского завода сверлильных станков и московского завода «Станкоконструкция» и обязать трест «Строитель» развернуть строительные работы на заводе «Станколит» и «Станко</w:t>
      </w:r>
      <w:r w:rsidRPr="00C33834">
        <w:rPr>
          <w:rFonts w:ascii="Times New Roman" w:hAnsi="Times New Roman"/>
          <w:color w:val="000000" w:themeColor="text1"/>
          <w:sz w:val="16"/>
          <w:szCs w:val="16"/>
        </w:rPr>
        <w:softHyphen/>
        <w:t xml:space="preserve">конструкция» в Москве и обеспечить в первую очередь эти стройки завозом стройматериалов и рабочей силой. Выделить для Харьковского завода сверлильных станков в III квартале 2 тыс. куб. м леса. </w:t>
      </w:r>
    </w:p>
    <w:p w14:paraId="508165D3" w14:textId="77777777" w:rsidR="0068370E" w:rsidRPr="00C33834" w:rsidRDefault="00DA66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20. Главмашпрому загрузить полностью станкоцех завода «Двигатель революции» в Горьком производством крупных станков по указанной выше номенклатуре, кооперируя его в части узких мест с другими машиностроительными заводами. Плановому сектору с III квартала с.г. обеспечить этот завод минимальными средствами, необходимыми на развертывание производства станков. </w:t>
      </w:r>
    </w:p>
    <w:p w14:paraId="0F2C273F" w14:textId="77777777" w:rsidR="0068370E" w:rsidRPr="00C33834" w:rsidRDefault="00DA66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21. «Стальсбыту» под ответственностью тов. Бабаева дать указания своим местным конторам о первоочередном снабжении чугуном и прокатным металлом строго кондиционного качества заводов, занимающихся станкостроением. </w:t>
      </w:r>
    </w:p>
    <w:p w14:paraId="2BEA5C54" w14:textId="77777777" w:rsidR="00DA66D7" w:rsidRPr="00C33834" w:rsidRDefault="00DA66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ГУУЗу НКТП и Станкообъединению принять решительные меры к созданию условий нормальной учебной работы Станкина. ГУУЗу не позднее 1 июля с.г. определить для Станки на новое помещение и осуществить перевод до 15 июля с.г.</w:t>
      </w:r>
    </w:p>
    <w:p w14:paraId="58E4BE15" w14:textId="77777777" w:rsidR="0068370E" w:rsidRPr="00C33834" w:rsidRDefault="00DA66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Станкообъединению отпустить Станкину из своих средств на капстроительство 300 тыс. руб. на организацию лабораторий, расширение механической мастерской и создание конструкторского кабинета. Станкообъединению, Оргаметаллу и всем заводам, занимающимся станкостроением, периодически снабжать Станкин материалами по конструированию станков и технологией их производства для учебных целей Станкина. Сосредоточить при Станкине подготовку аспирантуры, квалифицирующейся по станкам и инструменту. Восстановить бюро при Станкине и обеспечить его реальными промзаданиями. </w:t>
      </w:r>
    </w:p>
    <w:p w14:paraId="5A5D14FA" w14:textId="77777777" w:rsidR="0068370E" w:rsidRPr="00C33834" w:rsidRDefault="00DA66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23. Сектору труда тов. Фигатнеру провести через Нарком-труд, ВЦСПС и Наркомснаб вопрос об установлении условий оплаты труда и снабжения работников конструкторских бюро, научных работников и лаборантов предприятий по станкостроению наравне с условиями, существующими для ИТР промпредприятий 1-й категории. </w:t>
      </w:r>
    </w:p>
    <w:p w14:paraId="3FFAA37F" w14:textId="77777777" w:rsidR="0068370E" w:rsidRPr="00C33834" w:rsidRDefault="00DA66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24. Станкообъединению по согласованию с ЦК машиностроителей приступить еще в 1933 г. к созданию сети переподготовки рабочих и среднетехнического персонала наиболее дефицитных специальностей. </w:t>
      </w:r>
    </w:p>
    <w:p w14:paraId="0D5F0F77" w14:textId="77777777" w:rsidR="00DA66D7" w:rsidRPr="00C33834" w:rsidRDefault="00DA66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Станкообъединению в месячный срок разработать и представить на утверждение Главмашпрома положение о фонде премирования за освоение новых номенклатур станков и создание новых конструкций. Нарком тяжелой промышленности С. Орджоникидзе ЦГАНХ СССР, ф. 7297, on. 1, д. 16, лл. 171, 176—178. Заверенная копия (18300).</w:t>
      </w:r>
    </w:p>
    <w:p w14:paraId="12E0F0EB" w14:textId="77777777" w:rsidR="00DA66D7" w:rsidRPr="00C33834" w:rsidRDefault="00DA66D7" w:rsidP="00C33834">
      <w:pPr>
        <w:spacing w:after="0" w:line="240" w:lineRule="auto"/>
        <w:jc w:val="both"/>
        <w:rPr>
          <w:rFonts w:ascii="Times New Roman" w:hAnsi="Times New Roman"/>
          <w:color w:val="000000" w:themeColor="text1"/>
          <w:sz w:val="16"/>
          <w:szCs w:val="16"/>
        </w:rPr>
      </w:pPr>
    </w:p>
    <w:p w14:paraId="5A87330C" w14:textId="77777777" w:rsidR="0040441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0FBE3EBC" w14:textId="77777777" w:rsidR="00404414" w:rsidRPr="00C33834" w:rsidRDefault="00404414" w:rsidP="00C33834">
      <w:pPr>
        <w:spacing w:after="0" w:line="240" w:lineRule="auto"/>
        <w:jc w:val="both"/>
        <w:rPr>
          <w:rFonts w:ascii="Times New Roman" w:hAnsi="Times New Roman"/>
          <w:iCs/>
          <w:color w:val="000000" w:themeColor="text1"/>
          <w:sz w:val="16"/>
          <w:szCs w:val="16"/>
        </w:rPr>
      </w:pPr>
    </w:p>
    <w:p w14:paraId="107970F1" w14:textId="77777777" w:rsidR="00404414" w:rsidRPr="00C33834" w:rsidRDefault="00404414"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16 июня 1933. Секретный циркуляр ЦК ВКП(б) №113/79 о спецхранах в библиотеках (6.74 Kb)</w:t>
      </w:r>
    </w:p>
    <w:p w14:paraId="1DEE7B56" w14:textId="77777777" w:rsidR="00404414" w:rsidRPr="00C33834" w:rsidRDefault="0040441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Секретно</w:t>
      </w:r>
    </w:p>
    <w:p w14:paraId="60FE450B" w14:textId="77777777" w:rsidR="00404414" w:rsidRPr="00C33834" w:rsidRDefault="0040441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Заведующий Культпропотделом ЦК Стецкий</w:t>
      </w:r>
      <w:bookmarkStart w:id="18" w:name="_ednref1"/>
      <w:r w:rsidR="00EF7814" w:rsidRPr="00C33834">
        <w:rPr>
          <w:rFonts w:ascii="Times New Roman" w:hAnsi="Times New Roman"/>
          <w:color w:val="000000" w:themeColor="text1"/>
          <w:sz w:val="16"/>
          <w:szCs w:val="16"/>
        </w:rPr>
        <w:fldChar w:fldCharType="begin"/>
      </w:r>
      <w:r w:rsidRPr="00C33834">
        <w:rPr>
          <w:rFonts w:ascii="Times New Roman" w:hAnsi="Times New Roman"/>
          <w:color w:val="000000" w:themeColor="text1"/>
          <w:sz w:val="16"/>
          <w:szCs w:val="16"/>
        </w:rPr>
        <w:instrText xml:space="preserve"> HYPERLINK "http://www.opentextnn.ru/censorship/russia/sov/law/tsk/1930/&amp;DTh_Code=64" \l "_edn1" \o "" </w:instrText>
      </w:r>
      <w:r w:rsidR="00EF7814" w:rsidRPr="00C33834">
        <w:rPr>
          <w:rFonts w:ascii="Times New Roman" w:hAnsi="Times New Roman"/>
          <w:color w:val="000000" w:themeColor="text1"/>
          <w:sz w:val="16"/>
          <w:szCs w:val="16"/>
        </w:rPr>
        <w:fldChar w:fldCharType="separate"/>
      </w:r>
      <w:r w:rsidRPr="00C33834">
        <w:rPr>
          <w:rStyle w:val="a5"/>
          <w:rFonts w:ascii="Times New Roman" w:hAnsi="Times New Roman"/>
          <w:color w:val="000000" w:themeColor="text1"/>
          <w:sz w:val="16"/>
          <w:szCs w:val="16"/>
        </w:rPr>
        <w:t>[i]</w:t>
      </w:r>
      <w:r w:rsidR="00EF7814" w:rsidRPr="00C33834">
        <w:rPr>
          <w:rFonts w:ascii="Times New Roman" w:hAnsi="Times New Roman"/>
          <w:color w:val="000000" w:themeColor="text1"/>
          <w:sz w:val="16"/>
          <w:szCs w:val="16"/>
        </w:rPr>
        <w:fldChar w:fldCharType="end"/>
      </w:r>
      <w:bookmarkEnd w:id="18"/>
      <w:r w:rsidRPr="00C33834">
        <w:rPr>
          <w:rFonts w:ascii="Times New Roman" w:hAnsi="Times New Roman"/>
          <w:color w:val="000000" w:themeColor="text1"/>
          <w:sz w:val="16"/>
          <w:szCs w:val="16"/>
        </w:rPr>
        <w:t>.</w:t>
      </w:r>
    </w:p>
    <w:p w14:paraId="15AB96AF" w14:textId="77777777" w:rsidR="00404414" w:rsidRPr="00C33834" w:rsidRDefault="0040441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Всем Культпропам райкомов (Обкомов) и ЦК нацпартий.</w:t>
      </w:r>
    </w:p>
    <w:p w14:paraId="72C06953" w14:textId="77777777" w:rsidR="00404414" w:rsidRPr="00C33834" w:rsidRDefault="0040441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Несмотря на решение ЦК ВКП(б), категорически запрещающее производить массовые чистки библиотек</w:t>
      </w:r>
      <w:bookmarkStart w:id="19" w:name="_ednref2"/>
      <w:r w:rsidR="00EF7814" w:rsidRPr="00C33834">
        <w:rPr>
          <w:rFonts w:ascii="Times New Roman" w:hAnsi="Times New Roman"/>
          <w:color w:val="000000" w:themeColor="text1"/>
          <w:sz w:val="16"/>
          <w:szCs w:val="16"/>
        </w:rPr>
        <w:fldChar w:fldCharType="begin"/>
      </w:r>
      <w:r w:rsidRPr="00C33834">
        <w:rPr>
          <w:rFonts w:ascii="Times New Roman" w:hAnsi="Times New Roman"/>
          <w:color w:val="000000" w:themeColor="text1"/>
          <w:sz w:val="16"/>
          <w:szCs w:val="16"/>
        </w:rPr>
        <w:instrText xml:space="preserve"> HYPERLINK "http://www.opentextnn.ru/censorship/russia/sov/law/tsk/1930/&amp;DTh_Code=64" \l "_edn2" \o "" </w:instrText>
      </w:r>
      <w:r w:rsidR="00EF7814" w:rsidRPr="00C33834">
        <w:rPr>
          <w:rFonts w:ascii="Times New Roman" w:hAnsi="Times New Roman"/>
          <w:color w:val="000000" w:themeColor="text1"/>
          <w:sz w:val="16"/>
          <w:szCs w:val="16"/>
        </w:rPr>
        <w:fldChar w:fldCharType="separate"/>
      </w:r>
      <w:r w:rsidRPr="00C33834">
        <w:rPr>
          <w:rStyle w:val="a5"/>
          <w:rFonts w:ascii="Times New Roman" w:hAnsi="Times New Roman"/>
          <w:color w:val="000000" w:themeColor="text1"/>
          <w:sz w:val="16"/>
          <w:szCs w:val="16"/>
        </w:rPr>
        <w:t>[ii]</w:t>
      </w:r>
      <w:r w:rsidR="00EF7814" w:rsidRPr="00C33834">
        <w:rPr>
          <w:rFonts w:ascii="Times New Roman" w:hAnsi="Times New Roman"/>
          <w:color w:val="000000" w:themeColor="text1"/>
          <w:sz w:val="16"/>
          <w:szCs w:val="16"/>
        </w:rPr>
        <w:fldChar w:fldCharType="end"/>
      </w:r>
      <w:bookmarkEnd w:id="19"/>
      <w:r w:rsidRPr="00C33834">
        <w:rPr>
          <w:rFonts w:ascii="Times New Roman" w:hAnsi="Times New Roman"/>
          <w:color w:val="000000" w:themeColor="text1"/>
          <w:sz w:val="16"/>
          <w:szCs w:val="16"/>
        </w:rPr>
        <w:t xml:space="preserve">, в ряде областей, краев и республик это постановление не выполняется. Культпропы не извлекли необходимый урок из допущенных извращений. Случаи массовых чисток библиотек имеют место до самых последних дней: в апреле месяце культпроп Северо-Кавказского крайкома решил произвести чистку всех библиотек края и в соответствии с этим, Край ОНО была издана инструкция, по которой, наряду с предложением изъять всю контрреволюционную монархическую литературу, изымаются отдельные книги тт. Молотова, Кагановича и Калинина, классиков философии, естествознания, художественной литературы (Ожешко, Шпильгаген, Геккель, Шопенгауэр и др.). В ряде мест изымают все книги, напечатанные по старой орфографии. </w:t>
      </w:r>
    </w:p>
    <w:p w14:paraId="5A95865E" w14:textId="77777777" w:rsidR="00404414" w:rsidRPr="00C33834" w:rsidRDefault="0040441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Наряду с этим, получившая широкое распространение практика организации "закрытых фондов" в библиотеках привела к тому, что значительная часть книжного фонда фактически была изъята из обращения.</w:t>
      </w:r>
    </w:p>
    <w:p w14:paraId="3550AFAC" w14:textId="77777777" w:rsidR="00404414" w:rsidRPr="00C33834" w:rsidRDefault="0040441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ликвидации извращений, допущенных в чистке библиотек, исходя из решения ЦК, Наркомпрос РСФСР создал Центральную комиссию по организации практической помощи и даче указаний местам об использовании книжных фондов</w:t>
      </w:r>
      <w:hyperlink r:id="rId213" w:anchor="_edn3" w:history="1">
        <w:r w:rsidRPr="00C33834">
          <w:rPr>
            <w:rStyle w:val="a5"/>
            <w:rFonts w:ascii="Times New Roman" w:hAnsi="Times New Roman"/>
            <w:color w:val="000000" w:themeColor="text1"/>
            <w:sz w:val="16"/>
            <w:szCs w:val="16"/>
          </w:rPr>
          <w:t>[iii]</w:t>
        </w:r>
      </w:hyperlink>
      <w:r w:rsidRPr="00C33834">
        <w:rPr>
          <w:rFonts w:ascii="Times New Roman" w:hAnsi="Times New Roman"/>
          <w:color w:val="000000" w:themeColor="text1"/>
          <w:sz w:val="16"/>
          <w:szCs w:val="16"/>
        </w:rPr>
        <w:t>.</w:t>
      </w:r>
    </w:p>
    <w:p w14:paraId="7370260F" w14:textId="77777777" w:rsidR="00404414" w:rsidRPr="00C33834" w:rsidRDefault="0040441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обеспечения строжайшего контроля и оказания практической помощи органам народного образования на местах вам необходимо осуществить следующие мероприятия:</w:t>
      </w:r>
    </w:p>
    <w:p w14:paraId="3070FFB7" w14:textId="77777777" w:rsidR="00404414" w:rsidRPr="00C33834" w:rsidRDefault="0040441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Взять под непосредственное наблюдение работу и состояние книжных фондов республиканских, краевых и областных библиотек. Обязать осуществить аналогичные мероприятия культпропы горкомов и райкомов.</w:t>
      </w:r>
    </w:p>
    <w:p w14:paraId="7A0EE977" w14:textId="77777777" w:rsidR="00404414" w:rsidRPr="00C33834" w:rsidRDefault="0040441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 примеру НКПроса РСФСР организовать республиканские, краевые и областные постоянно действующие комиссии, обеспечить контроль за их работой. Особое внимание должно быть обращено на выполнение следующих решений Центральной комиссии:</w:t>
      </w:r>
    </w:p>
    <w:p w14:paraId="291F8034" w14:textId="77777777" w:rsidR="00404414" w:rsidRPr="00C33834" w:rsidRDefault="0040441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изъятие книг из библиотек разрешается только по специальным указаниям Центральной комиссии;</w:t>
      </w:r>
    </w:p>
    <w:p w14:paraId="38861C0A" w14:textId="77777777" w:rsidR="00404414" w:rsidRPr="00C33834" w:rsidRDefault="0040441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под руководством Край.Обл.Комиссии из библиотек должна быть удалена явно контрреволюционная и религиозная литература (евангелия, четьи-минеи, проповеди и т.п.). Причем литература, имеющая исторический интерес в крупных центральных городских библиотеках остается;</w:t>
      </w:r>
    </w:p>
    <w:p w14:paraId="0BEE7A9C" w14:textId="77777777" w:rsidR="00404414" w:rsidRPr="00C33834" w:rsidRDefault="0040441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книги Троцкого и Зиновьева должны быть переданы из сельских библиотек и мелких районных в областные библиотеки или библиотеку при Обкоме. Выдача этих книг должна быть крайне ограничена и разрешается исключительно по согласованию с парторганизацией;</w:t>
      </w:r>
    </w:p>
    <w:p w14:paraId="56E27761" w14:textId="77777777" w:rsidR="00404414" w:rsidRPr="00C33834" w:rsidRDefault="0040441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воспрещается организация в библиотеках "специальных" или "закрытых" фондов. Существующие "закрытые" и специальные фонды немедленно ликвидировать, введя всю литературу в каталог библиотек;</w:t>
      </w:r>
    </w:p>
    <w:p w14:paraId="490AB3BB" w14:textId="77777777" w:rsidR="00404414" w:rsidRPr="00C33834" w:rsidRDefault="0040441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инструкция Главполитпросвета о пересмотре книжного состава массовых библиотек от 1930 г.</w:t>
      </w:r>
      <w:bookmarkStart w:id="20" w:name="_ednref4"/>
      <w:r w:rsidR="00EF7814" w:rsidRPr="00C33834">
        <w:rPr>
          <w:rFonts w:ascii="Times New Roman" w:hAnsi="Times New Roman"/>
          <w:color w:val="000000" w:themeColor="text1"/>
          <w:sz w:val="16"/>
          <w:szCs w:val="16"/>
        </w:rPr>
        <w:fldChar w:fldCharType="begin"/>
      </w:r>
      <w:r w:rsidRPr="00C33834">
        <w:rPr>
          <w:rFonts w:ascii="Times New Roman" w:hAnsi="Times New Roman"/>
          <w:color w:val="000000" w:themeColor="text1"/>
          <w:sz w:val="16"/>
          <w:szCs w:val="16"/>
        </w:rPr>
        <w:instrText xml:space="preserve"> HYPERLINK "http://www.opentextnn.ru/censorship/russia/sov/law/tsk/1930/&amp;DTh_Code=64" \l "_edn4" \o "" </w:instrText>
      </w:r>
      <w:r w:rsidR="00EF7814" w:rsidRPr="00C33834">
        <w:rPr>
          <w:rFonts w:ascii="Times New Roman" w:hAnsi="Times New Roman"/>
          <w:color w:val="000000" w:themeColor="text1"/>
          <w:sz w:val="16"/>
          <w:szCs w:val="16"/>
        </w:rPr>
        <w:fldChar w:fldCharType="separate"/>
      </w:r>
      <w:r w:rsidRPr="00C33834">
        <w:rPr>
          <w:rStyle w:val="a5"/>
          <w:rFonts w:ascii="Times New Roman" w:hAnsi="Times New Roman"/>
          <w:color w:val="000000" w:themeColor="text1"/>
          <w:sz w:val="16"/>
          <w:szCs w:val="16"/>
        </w:rPr>
        <w:t>[iv]</w:t>
      </w:r>
      <w:r w:rsidR="00EF7814" w:rsidRPr="00C33834">
        <w:rPr>
          <w:rFonts w:ascii="Times New Roman" w:hAnsi="Times New Roman"/>
          <w:color w:val="000000" w:themeColor="text1"/>
          <w:sz w:val="16"/>
          <w:szCs w:val="16"/>
        </w:rPr>
        <w:fldChar w:fldCharType="end"/>
      </w:r>
      <w:bookmarkEnd w:id="20"/>
      <w:r w:rsidRPr="00C33834">
        <w:rPr>
          <w:rFonts w:ascii="Times New Roman" w:hAnsi="Times New Roman"/>
          <w:color w:val="000000" w:themeColor="text1"/>
          <w:sz w:val="16"/>
          <w:szCs w:val="16"/>
        </w:rPr>
        <w:t xml:space="preserve"> отменяется.</w:t>
      </w:r>
    </w:p>
    <w:p w14:paraId="3A9DF190" w14:textId="77777777" w:rsidR="00404414" w:rsidRPr="00C33834" w:rsidRDefault="0040441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Категорически запрещается пользование списками книгоцентра</w:t>
      </w:r>
      <w:bookmarkStart w:id="21" w:name="_ednref5"/>
      <w:r w:rsidR="00EF7814" w:rsidRPr="00C33834">
        <w:rPr>
          <w:rFonts w:ascii="Times New Roman" w:hAnsi="Times New Roman"/>
          <w:color w:val="000000" w:themeColor="text1"/>
          <w:sz w:val="16"/>
          <w:szCs w:val="16"/>
        </w:rPr>
        <w:fldChar w:fldCharType="begin"/>
      </w:r>
      <w:r w:rsidRPr="00C33834">
        <w:rPr>
          <w:rFonts w:ascii="Times New Roman" w:hAnsi="Times New Roman"/>
          <w:color w:val="000000" w:themeColor="text1"/>
          <w:sz w:val="16"/>
          <w:szCs w:val="16"/>
        </w:rPr>
        <w:instrText xml:space="preserve"> HYPERLINK "http://www.opentextnn.ru/censorship/russia/sov/law/tsk/1930/&amp;DTh_Code=64" \l "_edn5" \o "" </w:instrText>
      </w:r>
      <w:r w:rsidR="00EF7814" w:rsidRPr="00C33834">
        <w:rPr>
          <w:rFonts w:ascii="Times New Roman" w:hAnsi="Times New Roman"/>
          <w:color w:val="000000" w:themeColor="text1"/>
          <w:sz w:val="16"/>
          <w:szCs w:val="16"/>
        </w:rPr>
        <w:fldChar w:fldCharType="separate"/>
      </w:r>
      <w:r w:rsidRPr="00C33834">
        <w:rPr>
          <w:rStyle w:val="a5"/>
          <w:rFonts w:ascii="Times New Roman" w:hAnsi="Times New Roman"/>
          <w:color w:val="000000" w:themeColor="text1"/>
          <w:sz w:val="16"/>
          <w:szCs w:val="16"/>
        </w:rPr>
        <w:t>[v]</w:t>
      </w:r>
      <w:r w:rsidR="00EF7814" w:rsidRPr="00C33834">
        <w:rPr>
          <w:rFonts w:ascii="Times New Roman" w:hAnsi="Times New Roman"/>
          <w:color w:val="000000" w:themeColor="text1"/>
          <w:sz w:val="16"/>
          <w:szCs w:val="16"/>
        </w:rPr>
        <w:fldChar w:fldCharType="end"/>
      </w:r>
      <w:bookmarkEnd w:id="21"/>
      <w:r w:rsidRPr="00C33834">
        <w:rPr>
          <w:rFonts w:ascii="Times New Roman" w:hAnsi="Times New Roman"/>
          <w:color w:val="000000" w:themeColor="text1"/>
          <w:sz w:val="16"/>
          <w:szCs w:val="16"/>
        </w:rPr>
        <w:t xml:space="preserve"> по списанию книг в макулатуру в целях изъятия на их основании книг из библиотек.</w:t>
      </w:r>
    </w:p>
    <w:p w14:paraId="5848F8FA" w14:textId="77777777" w:rsidR="00404414" w:rsidRPr="00C33834" w:rsidRDefault="0040441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 Ответственность за правильность использования книжных фондов библиотек возлагается на заведующего библиотекой.</w:t>
      </w:r>
    </w:p>
    <w:p w14:paraId="02847C98" w14:textId="77777777" w:rsidR="00404414" w:rsidRPr="00C33834" w:rsidRDefault="0040441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РЦХИДНИ. Ф.17. Оп.120. Д.87. Л.27-28. Подлинник. </w:t>
      </w:r>
    </w:p>
    <w:p w14:paraId="2FAC8AAB" w14:textId="77777777" w:rsidR="00404414" w:rsidRPr="00C33834" w:rsidRDefault="00C33834" w:rsidP="00C33834">
      <w:pPr>
        <w:spacing w:after="0" w:line="240" w:lineRule="auto"/>
        <w:jc w:val="both"/>
        <w:rPr>
          <w:rFonts w:ascii="Times New Roman" w:hAnsi="Times New Roman"/>
          <w:color w:val="000000" w:themeColor="text1"/>
          <w:sz w:val="16"/>
          <w:szCs w:val="16"/>
        </w:rPr>
      </w:pPr>
      <w:hyperlink r:id="rId214" w:anchor="_ednref1" w:history="1">
        <w:r w:rsidR="00404414" w:rsidRPr="00C33834">
          <w:rPr>
            <w:rStyle w:val="a5"/>
            <w:rFonts w:ascii="Times New Roman" w:hAnsi="Times New Roman"/>
            <w:color w:val="000000" w:themeColor="text1"/>
            <w:sz w:val="16"/>
            <w:szCs w:val="16"/>
          </w:rPr>
          <w:t>[i]</w:t>
        </w:r>
      </w:hyperlink>
      <w:r w:rsidR="00404414" w:rsidRPr="00C33834">
        <w:rPr>
          <w:rFonts w:ascii="Times New Roman" w:hAnsi="Times New Roman"/>
          <w:color w:val="000000" w:themeColor="text1"/>
          <w:sz w:val="16"/>
          <w:szCs w:val="16"/>
        </w:rPr>
        <w:t xml:space="preserve">. Спецхраны в библиотеках были созданы впервые в 1921 г. на основе постановления СНК РСФСР от 12 декабря 1921 г., развиты постановлениями СНК РСФСР от 22 сентября 1925 г. и 8 июля 1926 г. Это было связано, во-первых, с публикацией секретных изданий различных ведомств, а во-вторых, с массовыми чистками библиотек (подробнее о ччистках в библиотеках см.: Bertram D. Wolf. </w:t>
      </w:r>
      <w:r w:rsidR="00404414" w:rsidRPr="00C33834">
        <w:rPr>
          <w:rFonts w:ascii="Times New Roman" w:hAnsi="Times New Roman"/>
          <w:color w:val="000000" w:themeColor="text1"/>
          <w:sz w:val="16"/>
          <w:szCs w:val="16"/>
          <w:lang w:val="en-US"/>
        </w:rPr>
        <w:t xml:space="preserve">Krupskaya Purges the People"s Libraries // Survey: a juarnal of Soviet and East European Studies. </w:t>
      </w:r>
      <w:r w:rsidR="00404414" w:rsidRPr="00C33834">
        <w:rPr>
          <w:rFonts w:ascii="Times New Roman" w:hAnsi="Times New Roman"/>
          <w:color w:val="000000" w:themeColor="text1"/>
          <w:sz w:val="16"/>
          <w:szCs w:val="16"/>
        </w:rPr>
        <w:t xml:space="preserve">L.1969. №72. P.141-155). Новый этап чистки библиотек, повлевший за собой создание разветвленной системы провинциальных спецхранов, начался после публикации Постановления ЦК ВКП(б) "Об улучшении библиотечной работы" от 30 октября 1929 г., на основе которого было разработано постановление СНК от 14 января 1930 г. "О мероприятиях по улучшению библиотечной работы" (в них был особый параграф о необходимости чистки библиотечных фондов). Шквал изъятия литературы затронул и книги Ленина, Маркса, а также произведения членов ЦК ВКП(б), которые попадали в спецхран. Это вынудило Коллегию Наркомпроса в октябре 1932 г. признать наличие спецхранов в библиотеках ошибкой. Данный документ стоит в ряду с другими, ограничивающих шквал изъятия литературы. Но в реальности спецхраны не были уничтожены, хотя порядок их создания и функционирования не был разработан централизованным путем. 9 декабря 1937 г. ЦК ВКП(б) принял решение, запрещающее Главлиту проводить изъятия литературы без санкции ЦК. 25 октября 1938 г. приказом Уполномоченного СНК СССР по охране военных тайн в печати и Начальника Главлита в стране вводилась система особых фондов периодических и непериодических изданий. (См.: ГА РФ. Ф.9425. Оп.1. Д.2. Л.32). С этого момента и до 1991 г. спецхраны существовали в СССР практически без изменений. </w:t>
      </w:r>
    </w:p>
    <w:p w14:paraId="0950857D" w14:textId="77777777" w:rsidR="00404414" w:rsidRPr="00C33834" w:rsidRDefault="00C33834" w:rsidP="00C33834">
      <w:pPr>
        <w:spacing w:after="0" w:line="240" w:lineRule="auto"/>
        <w:jc w:val="both"/>
        <w:rPr>
          <w:rFonts w:ascii="Times New Roman" w:hAnsi="Times New Roman"/>
          <w:color w:val="000000" w:themeColor="text1"/>
          <w:sz w:val="16"/>
          <w:szCs w:val="16"/>
        </w:rPr>
      </w:pPr>
      <w:hyperlink r:id="rId215" w:anchor="_ednref2" w:history="1">
        <w:r w:rsidR="00404414" w:rsidRPr="00C33834">
          <w:rPr>
            <w:rStyle w:val="a5"/>
            <w:rFonts w:ascii="Times New Roman" w:hAnsi="Times New Roman"/>
            <w:color w:val="000000" w:themeColor="text1"/>
            <w:sz w:val="16"/>
            <w:szCs w:val="16"/>
          </w:rPr>
          <w:t>[ii]</w:t>
        </w:r>
      </w:hyperlink>
      <w:r w:rsidR="00404414" w:rsidRPr="00C33834">
        <w:rPr>
          <w:rFonts w:ascii="Times New Roman" w:hAnsi="Times New Roman"/>
          <w:color w:val="000000" w:themeColor="text1"/>
          <w:sz w:val="16"/>
          <w:szCs w:val="16"/>
        </w:rPr>
        <w:t xml:space="preserve">. После Постановления Коллегии Наркомпроса от 4 октября 1932 г., признавшей разделение библиотечных фондов на открытые и закрытые ошибочным, вопрос о чистках библиотек слушался на заседании Политбюро ЦК 23 октября 1932 г. В ноябре, после сообщения ЦКК по этому вопросу, дело было передано в Секретариат ЦК. </w:t>
      </w:r>
    </w:p>
    <w:p w14:paraId="711DBBD6" w14:textId="77777777" w:rsidR="00404414" w:rsidRPr="00C33834" w:rsidRDefault="00C33834" w:rsidP="00C33834">
      <w:pPr>
        <w:spacing w:after="0" w:line="240" w:lineRule="auto"/>
        <w:jc w:val="both"/>
        <w:rPr>
          <w:rFonts w:ascii="Times New Roman" w:hAnsi="Times New Roman"/>
          <w:color w:val="000000" w:themeColor="text1"/>
          <w:sz w:val="16"/>
          <w:szCs w:val="16"/>
        </w:rPr>
      </w:pPr>
      <w:hyperlink r:id="rId216" w:anchor="_ednref3" w:history="1">
        <w:r w:rsidR="00404414" w:rsidRPr="00C33834">
          <w:rPr>
            <w:rStyle w:val="a5"/>
            <w:rFonts w:ascii="Times New Roman" w:hAnsi="Times New Roman"/>
            <w:color w:val="000000" w:themeColor="text1"/>
            <w:sz w:val="16"/>
            <w:szCs w:val="16"/>
          </w:rPr>
          <w:t>[iii]</w:t>
        </w:r>
      </w:hyperlink>
      <w:r w:rsidR="00404414" w:rsidRPr="00C33834">
        <w:rPr>
          <w:rFonts w:ascii="Times New Roman" w:hAnsi="Times New Roman"/>
          <w:color w:val="000000" w:themeColor="text1"/>
          <w:sz w:val="16"/>
          <w:szCs w:val="16"/>
        </w:rPr>
        <w:t xml:space="preserve">. См.: Приказ по Наркомпросу № 44 от 2 февраля 1933 г. "О порядке комплектования, хранения и изъятия книг из библиотек" // Бюллетень Наркомпроса РСФСР. 1933. № 6. С.11. </w:t>
      </w:r>
    </w:p>
    <w:bookmarkStart w:id="22" w:name="_edn4"/>
    <w:p w14:paraId="1CBC001F" w14:textId="77777777" w:rsidR="00404414" w:rsidRPr="00C33834" w:rsidRDefault="00EF781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fldChar w:fldCharType="begin"/>
      </w:r>
      <w:r w:rsidR="00404414" w:rsidRPr="00C33834">
        <w:rPr>
          <w:rFonts w:ascii="Times New Roman" w:hAnsi="Times New Roman"/>
          <w:color w:val="000000" w:themeColor="text1"/>
          <w:sz w:val="16"/>
          <w:szCs w:val="16"/>
        </w:rPr>
        <w:instrText xml:space="preserve"> HYPERLINK "http://www.opentextnn.ru/censorship/russia/sov/law/tsk/1930/&amp;DTh_Code=64" \l "_ednref4" \o "" </w:instrText>
      </w:r>
      <w:r w:rsidRPr="00C33834">
        <w:rPr>
          <w:rFonts w:ascii="Times New Roman" w:hAnsi="Times New Roman"/>
          <w:color w:val="000000" w:themeColor="text1"/>
          <w:sz w:val="16"/>
          <w:szCs w:val="16"/>
        </w:rPr>
        <w:fldChar w:fldCharType="separate"/>
      </w:r>
      <w:r w:rsidR="00404414" w:rsidRPr="00C33834">
        <w:rPr>
          <w:rStyle w:val="a5"/>
          <w:rFonts w:ascii="Times New Roman" w:hAnsi="Times New Roman"/>
          <w:color w:val="000000" w:themeColor="text1"/>
          <w:sz w:val="16"/>
          <w:szCs w:val="16"/>
        </w:rPr>
        <w:t>[iv]</w:t>
      </w:r>
      <w:r w:rsidRPr="00C33834">
        <w:rPr>
          <w:rFonts w:ascii="Times New Roman" w:hAnsi="Times New Roman"/>
          <w:color w:val="000000" w:themeColor="text1"/>
          <w:sz w:val="16"/>
          <w:szCs w:val="16"/>
        </w:rPr>
        <w:fldChar w:fldCharType="end"/>
      </w:r>
      <w:bookmarkEnd w:id="22"/>
      <w:r w:rsidR="00404414" w:rsidRPr="00C33834">
        <w:rPr>
          <w:rFonts w:ascii="Times New Roman" w:hAnsi="Times New Roman"/>
          <w:color w:val="000000" w:themeColor="text1"/>
          <w:sz w:val="16"/>
          <w:szCs w:val="16"/>
        </w:rPr>
        <w:t xml:space="preserve">. См.: "Инструктивное письмо о пересмотре книжного состава массовых библиотек политпросветских и профсоюзных" // Бюллетень Наркомпроса РСФСР. 1930. № 11. С.25-35. </w:t>
      </w:r>
    </w:p>
    <w:bookmarkStart w:id="23" w:name="_edn5"/>
    <w:p w14:paraId="735D7701" w14:textId="77777777" w:rsidR="00404414" w:rsidRPr="00C33834" w:rsidRDefault="00EF781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fldChar w:fldCharType="begin"/>
      </w:r>
      <w:r w:rsidR="00404414" w:rsidRPr="00C33834">
        <w:rPr>
          <w:rFonts w:ascii="Times New Roman" w:hAnsi="Times New Roman"/>
          <w:color w:val="000000" w:themeColor="text1"/>
          <w:sz w:val="16"/>
          <w:szCs w:val="16"/>
        </w:rPr>
        <w:instrText xml:space="preserve"> HYPERLINK "http://www.opentextnn.ru/censorship/russia/sov/law/tsk/1930/&amp;DTh_Code=64" \l "_ednref5" \o "" </w:instrText>
      </w:r>
      <w:r w:rsidRPr="00C33834">
        <w:rPr>
          <w:rFonts w:ascii="Times New Roman" w:hAnsi="Times New Roman"/>
          <w:color w:val="000000" w:themeColor="text1"/>
          <w:sz w:val="16"/>
          <w:szCs w:val="16"/>
        </w:rPr>
        <w:fldChar w:fldCharType="separate"/>
      </w:r>
      <w:r w:rsidR="00404414" w:rsidRPr="00C33834">
        <w:rPr>
          <w:rStyle w:val="a5"/>
          <w:rFonts w:ascii="Times New Roman" w:hAnsi="Times New Roman"/>
          <w:color w:val="000000" w:themeColor="text1"/>
          <w:sz w:val="16"/>
          <w:szCs w:val="16"/>
        </w:rPr>
        <w:t>[v]</w:t>
      </w:r>
      <w:r w:rsidRPr="00C33834">
        <w:rPr>
          <w:rFonts w:ascii="Times New Roman" w:hAnsi="Times New Roman"/>
          <w:color w:val="000000" w:themeColor="text1"/>
          <w:sz w:val="16"/>
          <w:szCs w:val="16"/>
        </w:rPr>
        <w:fldChar w:fldCharType="end"/>
      </w:r>
      <w:bookmarkEnd w:id="23"/>
      <w:r w:rsidR="00404414" w:rsidRPr="00C33834">
        <w:rPr>
          <w:rFonts w:ascii="Times New Roman" w:hAnsi="Times New Roman"/>
          <w:color w:val="000000" w:themeColor="text1"/>
          <w:sz w:val="16"/>
          <w:szCs w:val="16"/>
        </w:rPr>
        <w:t>. Имеется в виду Центр книгожурального распространения ОГИЗа при Наркомпросе РСФСР (1930-1935 гг.), издававший циркуляры об изъятии книг из книготорговых предприятий и направлении их в макулатуру на переработку (17260).</w:t>
      </w:r>
    </w:p>
    <w:p w14:paraId="63AB6815" w14:textId="77777777" w:rsidR="00404414" w:rsidRPr="00C33834" w:rsidRDefault="00404414" w:rsidP="00C33834">
      <w:pPr>
        <w:spacing w:after="0" w:line="240" w:lineRule="auto"/>
        <w:jc w:val="both"/>
        <w:rPr>
          <w:rFonts w:ascii="Times New Roman" w:hAnsi="Times New Roman"/>
          <w:color w:val="000000" w:themeColor="text1"/>
          <w:sz w:val="16"/>
          <w:szCs w:val="16"/>
        </w:rPr>
      </w:pPr>
    </w:p>
    <w:p w14:paraId="41C4DE3F" w14:textId="77777777" w:rsidR="00D5040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388EF0F4" w14:textId="77777777" w:rsidR="00D50409" w:rsidRPr="00C33834" w:rsidRDefault="00D50409" w:rsidP="00C33834">
      <w:pPr>
        <w:spacing w:after="0" w:line="240" w:lineRule="auto"/>
        <w:jc w:val="both"/>
        <w:rPr>
          <w:rFonts w:ascii="Times New Roman" w:hAnsi="Times New Roman"/>
          <w:iCs/>
          <w:color w:val="000000" w:themeColor="text1"/>
          <w:sz w:val="16"/>
          <w:szCs w:val="16"/>
        </w:rPr>
      </w:pPr>
    </w:p>
    <w:p w14:paraId="5EBE80D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16 и 22 июня 1933. Из протокола заседания Политбюро N 140, 1933 г.</w:t>
      </w:r>
    </w:p>
    <w:p w14:paraId="4D621E9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Об Италии </w:t>
      </w:r>
    </w:p>
    <w:p w14:paraId="483C2FD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Независимо от извещения французов о переговорах с Италией немедля дать согласие Муссолини на его предложение о пакте и представить ему наш проект пакта ненападения, поручив ведение переговоров т. Потемкину (11652).</w:t>
      </w:r>
    </w:p>
    <w:p w14:paraId="480432A8" w14:textId="77777777" w:rsidR="00D50409" w:rsidRPr="00C33834" w:rsidRDefault="00D50409" w:rsidP="00C33834">
      <w:pPr>
        <w:spacing w:after="0" w:line="240" w:lineRule="auto"/>
        <w:jc w:val="both"/>
        <w:rPr>
          <w:rFonts w:ascii="Times New Roman" w:hAnsi="Times New Roman"/>
          <w:color w:val="000000" w:themeColor="text1"/>
          <w:sz w:val="16"/>
          <w:szCs w:val="16"/>
        </w:rPr>
      </w:pPr>
    </w:p>
    <w:p w14:paraId="641831E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июня 1933 г. министр экономики Германии А. Хугенберг вручил меморандум председателю Международной экономической конференции в Лондоне X. Коллину. В нем Хугенберг под предлогом преодоления экономического кризиса наряду с требованием вернуть Германии потерянные колонии потребовал предоставления Германии «новых территорий для колонизации» за счет СССР. Он призвал западные державы положить конец «революции и внутренней разрухе, которые нашли свою исходную точку в России» («Меморандум Хугенберга» см.: ADAP, Ser.C, Bd.I,2. S. 557—562 (Dok. №312).). Крестинский, явно встревоженный «меморандумом Хугенберга», 23 июня 1933 г. в очередном ориентировочном письме Хинчуку писал, что данный меморандум отнюдь не является единичным выступлением Хугенберга, а «представляет из себя строго продуманный акт германского правительства в целом. &lt;...&gt; Гермпра готово принять участие в военной коалиции против нас, готово выставить основные военные силы для войны с нами и требует за это лишь двух вещей — свободы вооружений и компенсаций за счет СССР. &lt;...&gt; Нам прежде всего нужно будет помнить, что дружественным уверениям гермпра верить нельзя, что в более отдаленные политические планы Германии входит война с нами, что нынешнее положение является лишь временной передышкой» (АВП РФ, ф. 082, оп. 16, п. 71, д. 1, л. 266-267.) (11784). «Меморандум Хугенберга» напрочь отрезал пути возврата к «рапалльской политике», — в нем почти неприкрыто прозвучал призыв к войне против СССР. После этого переориентация СССР с Германии на Францию и Польшу стала уже лишь «делом техники». В начале июля 1933 г. Москва предложила Парижу заключить негласное и устное двустороннее джентльменское соглашение о взаимном обмене информацией по важнейшим проблемам обстановки в Европе, а также по соглашениям, которые каждая из сторон намеревалась заключать с третьими странами (Максимычев И. Ф. Указ, соч, с. 48—49.). В августе 1933 г. СССР снял часть войск со своей западной границы с Польшей и направил их на Дальний Восток, предоставил Польше крупные заказы на поставку железа (РГВА, ф. 33987, оп. 3, д. 504, л. 153.). Тем временем обе стороны шаг за шагом, постепенно, поэтапно повели дело к сворачиванию своих связей. После отказа Москвы от совместного производства химических опытов («Томка») и дальнейшей деятельности танковой школы в Казани (30 мая и 13 июня) германский военный атташе Хартман 22 июля 1933 г. передал советской стороне меморандум, в котором излагалось решение главнокомандующего райхсвером о прекращении обучения летчиков-истребителей в Липецке в связи с «необходимостью железной экономии» и невозможностью для райхсвера производить новые крупные капитальные затраты для обновления материальной части авиационной школы (РГВА, ф. 33987, оп. 3, д. 504, л. 153.). Таким образом, все три школы райхсвера на территории СССР должны были прекратить свое существование. Однако, дабы сохранить для внешнего мира видимость продолжения сотрудничества между РККА и райхсвером, от имени германского главкома предлагалось осуществлять в дальнейшем обмен офицерами и специалистами, обмен сообщениями и опытом. Все постройки и сооружения в Липецке было обещано передать в распоряжение советской стороны. Меморандум Хартмана Ворошилов направил Сталину (РГВА, ф. 33987, оп. 3, д. 504, л. 153.). Однако Москва пошла дальше. Наряду с ликвидацией школ райхсвера, которая пошла полным ходом по утвержденному Ворошиловым в конце июля 1933г. графику, она отказалась направить командиров РККА на осмотр частей райхсвера. В ответ военный атташе Германии Хартман 8 августа 1933г. направил письмо заместителю начальника внешних сношений Штаба РККА Смагину с извещением о невозможности направить германских офицеров на учения частей РККА в конце летнего периода «по уже раньше обозначенным причинам» (нехватка денежных средств). На документе стоит изумительная по краткости и емкости резолюция Ворошилова: «Очень хорошо! В. 15. 8. 1933 г. » (РГВА, ф. 33987, оп. 3, д. 504, л. 153.), из которой видно, что данный ответный шаг немецкой стороны полностью вписывался в намеченную Москвой кампанию по ускоренному сворачиванию сотрудничества между РККА и райхсвером. Кстати сказать, немцев очень сильно задел и отказ советской стороны направить краскомов на курсы германской военной академии, поскольку «отказ от дальнейшего обмена офицерами и военными сведениями не предполагался» (РГВА, ф. 33987, оп. 3, д. 504, л. 153.). В соответствии с упоминавшимся графиком ликвидации предприятий «друзей» к 15 августа должна была быть закончена ликвидация «Томки», к 1 октября — «Липецка», к 1 — 15 октября — «Казани»{53}. Менее чем за месяц (26 июля — 15 августа)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 — 50 тыс. золотых руб. (РГВА, ф. 33987, оп. 3, д. 504, л. 153.).</w:t>
      </w:r>
    </w:p>
    <w:p w14:paraId="0F3FEAE0" w14:textId="77777777" w:rsidR="00D50409" w:rsidRPr="00C33834" w:rsidRDefault="00D50409" w:rsidP="00C33834">
      <w:pPr>
        <w:spacing w:after="0" w:line="240" w:lineRule="auto"/>
        <w:jc w:val="both"/>
        <w:rPr>
          <w:rFonts w:ascii="Times New Roman" w:hAnsi="Times New Roman"/>
          <w:color w:val="000000" w:themeColor="text1"/>
          <w:sz w:val="16"/>
          <w:szCs w:val="16"/>
        </w:rPr>
      </w:pPr>
    </w:p>
    <w:p w14:paraId="2222596F" w14:textId="77777777" w:rsidR="00D5040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1ACDCACC" w14:textId="77777777" w:rsidR="00D50409" w:rsidRPr="00C33834" w:rsidRDefault="00D50409" w:rsidP="00C33834">
      <w:pPr>
        <w:spacing w:after="0" w:line="240" w:lineRule="auto"/>
        <w:jc w:val="both"/>
        <w:rPr>
          <w:rFonts w:ascii="Times New Roman" w:hAnsi="Times New Roman"/>
          <w:iCs/>
          <w:color w:val="000000" w:themeColor="text1"/>
          <w:sz w:val="16"/>
          <w:szCs w:val="16"/>
        </w:rPr>
      </w:pPr>
    </w:p>
    <w:p w14:paraId="63E9B4EC"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июня 1933 в США был принят закон о восстановлении промышленности, который ввел элементы госрегулирования, ограничил конкуренцию и ввел колдоговоры (3481).</w:t>
      </w:r>
    </w:p>
    <w:p w14:paraId="17CEA026" w14:textId="77777777" w:rsidR="00D50409" w:rsidRPr="00C33834" w:rsidRDefault="00D50409" w:rsidP="00C33834">
      <w:pPr>
        <w:spacing w:after="0" w:line="240" w:lineRule="auto"/>
        <w:jc w:val="both"/>
        <w:rPr>
          <w:rFonts w:ascii="Times New Roman" w:hAnsi="Times New Roman"/>
          <w:color w:val="000000" w:themeColor="text1"/>
          <w:sz w:val="16"/>
          <w:szCs w:val="16"/>
        </w:rPr>
      </w:pPr>
    </w:p>
    <w:p w14:paraId="6CE2802F" w14:textId="77777777" w:rsidR="00404414" w:rsidRPr="00C33834" w:rsidRDefault="00404414"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16 июня</w:t>
      </w:r>
      <w:r w:rsidRPr="00C33834">
        <w:rPr>
          <w:rFonts w:ascii="Times New Roman" w:hAnsi="Times New Roman"/>
          <w:color w:val="000000" w:themeColor="text1"/>
          <w:sz w:val="16"/>
          <w:szCs w:val="16"/>
        </w:rPr>
        <w:t xml:space="preserve"> в 1933 году США. Закон о восстановлении промышленности (вводит элементы государственного регулирования и ограничивает конкурентную борьбу, провозглашает право рабочих на коллективный договор с предпринимателем) (14924).</w:t>
      </w:r>
    </w:p>
    <w:p w14:paraId="485C759F" w14:textId="77777777" w:rsidR="00404414" w:rsidRPr="00C33834" w:rsidRDefault="00404414" w:rsidP="00C33834">
      <w:pPr>
        <w:spacing w:after="0" w:line="240" w:lineRule="auto"/>
        <w:jc w:val="both"/>
        <w:rPr>
          <w:rFonts w:ascii="Times New Roman" w:hAnsi="Times New Roman"/>
          <w:color w:val="000000" w:themeColor="text1"/>
          <w:sz w:val="16"/>
          <w:szCs w:val="16"/>
        </w:rPr>
      </w:pPr>
    </w:p>
    <w:p w14:paraId="1E1939FE" w14:textId="77777777" w:rsidR="00D5040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8D287F6" w14:textId="77777777" w:rsidR="00D50409" w:rsidRPr="00C33834" w:rsidRDefault="00D50409" w:rsidP="00C33834">
      <w:pPr>
        <w:spacing w:after="0" w:line="240" w:lineRule="auto"/>
        <w:jc w:val="both"/>
        <w:rPr>
          <w:rFonts w:ascii="Times New Roman" w:hAnsi="Times New Roman"/>
          <w:iCs/>
          <w:color w:val="000000" w:themeColor="text1"/>
          <w:sz w:val="16"/>
          <w:szCs w:val="16"/>
        </w:rPr>
      </w:pPr>
    </w:p>
    <w:p w14:paraId="4FB6B52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июня 1933 состоялось техническое совещание КОСОС и ОЭЛИД по ТБ-4 (1077,177).</w:t>
      </w:r>
    </w:p>
    <w:p w14:paraId="2F51136E" w14:textId="77777777" w:rsidR="00D50409" w:rsidRPr="00C33834" w:rsidRDefault="00D50409" w:rsidP="00C33834">
      <w:pPr>
        <w:spacing w:after="0" w:line="240" w:lineRule="auto"/>
        <w:jc w:val="both"/>
        <w:rPr>
          <w:rFonts w:ascii="Times New Roman" w:hAnsi="Times New Roman"/>
          <w:color w:val="000000" w:themeColor="text1"/>
          <w:sz w:val="16"/>
          <w:szCs w:val="16"/>
        </w:rPr>
      </w:pPr>
    </w:p>
    <w:p w14:paraId="5463308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июня 1933 состоялся первый полет И-14 Бристоль Меркурий IVS2 500 нр, построенного в ЗОК ЦАГИ в мае 1933 (1719,46).</w:t>
      </w:r>
    </w:p>
    <w:p w14:paraId="7C48EB5A" w14:textId="77777777" w:rsidR="00D50409" w:rsidRPr="00C33834" w:rsidRDefault="00D50409" w:rsidP="00C33834">
      <w:pPr>
        <w:spacing w:after="0" w:line="240" w:lineRule="auto"/>
        <w:jc w:val="both"/>
        <w:rPr>
          <w:rFonts w:ascii="Times New Roman" w:hAnsi="Times New Roman"/>
          <w:color w:val="000000" w:themeColor="text1"/>
          <w:sz w:val="16"/>
          <w:szCs w:val="16"/>
        </w:rPr>
      </w:pPr>
    </w:p>
    <w:p w14:paraId="1479CCC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июня 1933 года вышло Постановление Революционного Военного Совета Союза ССР N 3022сс (3903) "О ходе выполнения плана опытного самолето и моторостроения и вооружения авиации" (2286,91):</w:t>
      </w:r>
    </w:p>
    <w:p w14:paraId="1FB1326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РВС Союза констатирует, что план опытного строительства авиационных моторов и самолетов, утвержденный СТО 4.VII-32 г., ГУАПом и ГУГВФом в установленные Правительством сроки не выполнен. Это невыполнение плана опытного самолето и моторостроения создает серьезную угрозу технического отставания материальной части ВВС РККА от материальной части ВВС вероятных противников. В то время, как почти все иностранные воздушные флоты в основном уже перешли на высотные моторы, резко повышающие скорость самолета на боевых высотах, его скороподъемность и практический потолок, наша промышленность не дала еще ни одного мотора с нагнетателем даже в опытном образце, что отчасти объясняется трудностью непосредственного осуществления выключающегося нагнетателя без предварительного осуществления нагнетателя не выключающегося.</w:t>
      </w:r>
    </w:p>
    <w:p w14:paraId="6BE8546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Одной из причин невыполнения в срок плана опытного самолетостроения является опоздание подачи моторов, а также частично загрузка ЦАГИ работами по модернизации самолетов, находящихся в серийном производстве.</w:t>
      </w:r>
    </w:p>
    <w:p w14:paraId="4AFB580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Отметить, что ГУАП, ввиду возрастающего объема опытного строительства, совершенно правильно принял меры к расширению базы опытного самолето-моторостроения, создав на заводе N 39 конструкторское бюро по проектированию и постройке опытных образцов легких сухопутных и морских самолетов, на заводе N 29 - базу по опытному моторостроению, развернув в ХАИ и МАИ базу по опытному самолето и моторостроения.</w:t>
      </w:r>
    </w:p>
    <w:p w14:paraId="276CBF3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Тяжелые пулеметы и мелкокалиберные пушки для вооружения авиации также еще не вышли из стадии опытного строительства и испытания в образцах. Пулеметы ШКАС, поступившие с производства не удовлетворяют требованиям живучести.</w:t>
      </w:r>
    </w:p>
    <w:p w14:paraId="11F05D1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по изысканию новых видов жидкого авиационного топлива и масел и особенно антидетонаторов для авиационных моторов с высокой степенью сжатия и моторов с нагнетателями - велись явно недостаточными темпами.</w:t>
      </w:r>
    </w:p>
    <w:p w14:paraId="4D2F6F4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основании всего вышеизложенного РВС Союза постановляет:</w:t>
      </w:r>
    </w:p>
    <w:p w14:paraId="2FCDCF2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По опытному моторо и самолетостроению</w:t>
      </w:r>
    </w:p>
    <w:p w14:paraId="0591513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скорейшей ликвидации прорыва в опытном строительстве авиации и предотвращении значительного технического отставания материальной части ВВС от таковой вероятных противников, просить К.О. об утверждении нижеследующего плана опытного строительства, во изменение плана опытного строительства, утвержденного СТО 4.VII-32 года.</w:t>
      </w:r>
    </w:p>
    <w:p w14:paraId="32E514A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А. По опытному моторостроению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813"/>
        <w:gridCol w:w="813"/>
        <w:gridCol w:w="813"/>
        <w:gridCol w:w="813"/>
        <w:gridCol w:w="813"/>
        <w:gridCol w:w="4298"/>
      </w:tblGrid>
      <w:tr w:rsidR="00F26F01" w:rsidRPr="00C33834" w14:paraId="2A811F0A" w14:textId="77777777">
        <w:tc>
          <w:tcPr>
            <w:tcW w:w="2235" w:type="dxa"/>
          </w:tcPr>
          <w:p w14:paraId="19561F9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Марка</w:t>
            </w:r>
          </w:p>
        </w:tc>
        <w:tc>
          <w:tcPr>
            <w:tcW w:w="813" w:type="dxa"/>
          </w:tcPr>
          <w:p w14:paraId="1805A97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813" w:type="dxa"/>
          </w:tcPr>
          <w:p w14:paraId="2C41E42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813" w:type="dxa"/>
          </w:tcPr>
          <w:p w14:paraId="76DAD4C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813" w:type="dxa"/>
          </w:tcPr>
          <w:p w14:paraId="4420E47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813" w:type="dxa"/>
          </w:tcPr>
          <w:p w14:paraId="3CE9F99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Расход</w:t>
            </w:r>
          </w:p>
        </w:tc>
        <w:tc>
          <w:tcPr>
            <w:tcW w:w="4298" w:type="dxa"/>
          </w:tcPr>
          <w:p w14:paraId="77198E9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испытания</w:t>
            </w:r>
          </w:p>
        </w:tc>
      </w:tr>
      <w:tr w:rsidR="00F26F01" w:rsidRPr="00C33834" w14:paraId="3AE3D7DC" w14:textId="77777777">
        <w:tc>
          <w:tcPr>
            <w:tcW w:w="2235" w:type="dxa"/>
          </w:tcPr>
          <w:p w14:paraId="36907BCE"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13" w:type="dxa"/>
          </w:tcPr>
          <w:p w14:paraId="5FEA5803"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13" w:type="dxa"/>
          </w:tcPr>
          <w:p w14:paraId="3C3F648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л.с.</w:t>
            </w:r>
          </w:p>
        </w:tc>
        <w:tc>
          <w:tcPr>
            <w:tcW w:w="813" w:type="dxa"/>
          </w:tcPr>
          <w:p w14:paraId="6701398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w:t>
            </w:r>
          </w:p>
        </w:tc>
        <w:tc>
          <w:tcPr>
            <w:tcW w:w="813" w:type="dxa"/>
          </w:tcPr>
          <w:p w14:paraId="3509EF9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кг</w:t>
            </w:r>
          </w:p>
        </w:tc>
        <w:tc>
          <w:tcPr>
            <w:tcW w:w="813" w:type="dxa"/>
          </w:tcPr>
          <w:p w14:paraId="5939B9D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горюч.</w:t>
            </w:r>
          </w:p>
        </w:tc>
        <w:tc>
          <w:tcPr>
            <w:tcW w:w="4298" w:type="dxa"/>
          </w:tcPr>
          <w:p w14:paraId="169A5CB9"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1E493C9A" w14:textId="77777777">
        <w:tc>
          <w:tcPr>
            <w:tcW w:w="2235" w:type="dxa"/>
          </w:tcPr>
          <w:p w14:paraId="51DCE4AB"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13" w:type="dxa"/>
          </w:tcPr>
          <w:p w14:paraId="223D547B"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13" w:type="dxa"/>
          </w:tcPr>
          <w:p w14:paraId="25DEBCCA"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13" w:type="dxa"/>
          </w:tcPr>
          <w:p w14:paraId="6CFD5D82"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13" w:type="dxa"/>
          </w:tcPr>
          <w:p w14:paraId="4EF9330C"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13" w:type="dxa"/>
          </w:tcPr>
          <w:p w14:paraId="49281FB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гр/лс/ч</w:t>
            </w:r>
          </w:p>
        </w:tc>
        <w:tc>
          <w:tcPr>
            <w:tcW w:w="4298" w:type="dxa"/>
          </w:tcPr>
          <w:p w14:paraId="2355667B"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0498EB8F" w14:textId="77777777">
        <w:tc>
          <w:tcPr>
            <w:tcW w:w="2235" w:type="dxa"/>
          </w:tcPr>
          <w:p w14:paraId="7AA6911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Опытные</w:t>
            </w:r>
          </w:p>
        </w:tc>
        <w:tc>
          <w:tcPr>
            <w:tcW w:w="813" w:type="dxa"/>
          </w:tcPr>
          <w:p w14:paraId="63194BEA"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13" w:type="dxa"/>
          </w:tcPr>
          <w:p w14:paraId="5C823622"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13" w:type="dxa"/>
          </w:tcPr>
          <w:p w14:paraId="0A63A64C"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13" w:type="dxa"/>
          </w:tcPr>
          <w:p w14:paraId="2BEF7353"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13" w:type="dxa"/>
          </w:tcPr>
          <w:p w14:paraId="1C27F618"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4298" w:type="dxa"/>
          </w:tcPr>
          <w:p w14:paraId="4418C060"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21018BE3" w14:textId="77777777">
        <w:tc>
          <w:tcPr>
            <w:tcW w:w="2235" w:type="dxa"/>
          </w:tcPr>
          <w:p w14:paraId="799187C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813" w:type="dxa"/>
          </w:tcPr>
          <w:p w14:paraId="5F125A9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Водян.</w:t>
            </w:r>
          </w:p>
        </w:tc>
        <w:tc>
          <w:tcPr>
            <w:tcW w:w="813" w:type="dxa"/>
          </w:tcPr>
          <w:p w14:paraId="5E2A64B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813" w:type="dxa"/>
          </w:tcPr>
          <w:p w14:paraId="1B67999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3500</w:t>
            </w:r>
          </w:p>
        </w:tc>
        <w:tc>
          <w:tcPr>
            <w:tcW w:w="813" w:type="dxa"/>
          </w:tcPr>
          <w:p w14:paraId="707C74D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650</w:t>
            </w:r>
          </w:p>
        </w:tc>
        <w:tc>
          <w:tcPr>
            <w:tcW w:w="813" w:type="dxa"/>
          </w:tcPr>
          <w:p w14:paraId="719B82B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225</w:t>
            </w:r>
          </w:p>
        </w:tc>
        <w:tc>
          <w:tcPr>
            <w:tcW w:w="4298" w:type="dxa"/>
          </w:tcPr>
          <w:p w14:paraId="75F3B20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1.XI-33 г.</w:t>
            </w:r>
          </w:p>
        </w:tc>
      </w:tr>
      <w:tr w:rsidR="00F26F01" w:rsidRPr="00C33834" w14:paraId="2735131D" w14:textId="77777777">
        <w:tc>
          <w:tcPr>
            <w:tcW w:w="2235" w:type="dxa"/>
          </w:tcPr>
          <w:p w14:paraId="5360591B"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13" w:type="dxa"/>
          </w:tcPr>
          <w:p w14:paraId="3247524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13" w:type="dxa"/>
          </w:tcPr>
          <w:p w14:paraId="752B3B3C"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813" w:type="dxa"/>
          </w:tcPr>
          <w:p w14:paraId="168C72C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3600</w:t>
            </w:r>
          </w:p>
        </w:tc>
        <w:tc>
          <w:tcPr>
            <w:tcW w:w="813" w:type="dxa"/>
          </w:tcPr>
          <w:p w14:paraId="251BC0B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720</w:t>
            </w:r>
          </w:p>
        </w:tc>
        <w:tc>
          <w:tcPr>
            <w:tcW w:w="813" w:type="dxa"/>
          </w:tcPr>
          <w:p w14:paraId="34BCFB7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4298" w:type="dxa"/>
          </w:tcPr>
          <w:p w14:paraId="51077C3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1.XI-33 г.</w:t>
            </w:r>
          </w:p>
        </w:tc>
      </w:tr>
      <w:tr w:rsidR="00F26F01" w:rsidRPr="00C33834" w14:paraId="15C54E95" w14:textId="77777777">
        <w:tc>
          <w:tcPr>
            <w:tcW w:w="2235" w:type="dxa"/>
          </w:tcPr>
          <w:p w14:paraId="3A2AFDC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813" w:type="dxa"/>
          </w:tcPr>
          <w:p w14:paraId="1E57792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13" w:type="dxa"/>
          </w:tcPr>
          <w:p w14:paraId="1CCF217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c>
          <w:tcPr>
            <w:tcW w:w="813" w:type="dxa"/>
          </w:tcPr>
          <w:p w14:paraId="51446FD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13" w:type="dxa"/>
          </w:tcPr>
          <w:p w14:paraId="49840E4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675</w:t>
            </w:r>
          </w:p>
        </w:tc>
        <w:tc>
          <w:tcPr>
            <w:tcW w:w="813" w:type="dxa"/>
          </w:tcPr>
          <w:p w14:paraId="6A24C54F"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210</w:t>
            </w:r>
          </w:p>
        </w:tc>
        <w:tc>
          <w:tcPr>
            <w:tcW w:w="4298" w:type="dxa"/>
          </w:tcPr>
          <w:p w14:paraId="1FB249C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1.III-34 г.</w:t>
            </w:r>
          </w:p>
        </w:tc>
      </w:tr>
      <w:tr w:rsidR="00F26F01" w:rsidRPr="00C33834" w14:paraId="19F22CDC" w14:textId="77777777">
        <w:tc>
          <w:tcPr>
            <w:tcW w:w="2235" w:type="dxa"/>
          </w:tcPr>
          <w:p w14:paraId="4D64643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РН</w:t>
            </w:r>
          </w:p>
        </w:tc>
        <w:tc>
          <w:tcPr>
            <w:tcW w:w="813" w:type="dxa"/>
          </w:tcPr>
          <w:p w14:paraId="1F64C99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13" w:type="dxa"/>
          </w:tcPr>
          <w:p w14:paraId="7896E0F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c>
          <w:tcPr>
            <w:tcW w:w="813" w:type="dxa"/>
          </w:tcPr>
          <w:p w14:paraId="4F40B97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3500</w:t>
            </w:r>
          </w:p>
        </w:tc>
        <w:tc>
          <w:tcPr>
            <w:tcW w:w="813" w:type="dxa"/>
          </w:tcPr>
          <w:p w14:paraId="01181FB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720</w:t>
            </w:r>
          </w:p>
        </w:tc>
        <w:tc>
          <w:tcPr>
            <w:tcW w:w="813" w:type="dxa"/>
          </w:tcPr>
          <w:p w14:paraId="1585714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4298" w:type="dxa"/>
          </w:tcPr>
          <w:p w14:paraId="3B5729F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1.V-34 г.</w:t>
            </w:r>
          </w:p>
        </w:tc>
      </w:tr>
      <w:tr w:rsidR="00F26F01" w:rsidRPr="00C33834" w14:paraId="6FA10EFB" w14:textId="77777777">
        <w:tc>
          <w:tcPr>
            <w:tcW w:w="2235" w:type="dxa"/>
          </w:tcPr>
          <w:p w14:paraId="7AAFA53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813" w:type="dxa"/>
          </w:tcPr>
          <w:p w14:paraId="3F62697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13" w:type="dxa"/>
          </w:tcPr>
          <w:p w14:paraId="3D754B3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c>
          <w:tcPr>
            <w:tcW w:w="813" w:type="dxa"/>
          </w:tcPr>
          <w:p w14:paraId="57D2FA9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813" w:type="dxa"/>
          </w:tcPr>
          <w:p w14:paraId="53E4072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720</w:t>
            </w:r>
          </w:p>
        </w:tc>
        <w:tc>
          <w:tcPr>
            <w:tcW w:w="813" w:type="dxa"/>
          </w:tcPr>
          <w:p w14:paraId="6DF3925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4298" w:type="dxa"/>
          </w:tcPr>
          <w:p w14:paraId="3442541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1.IX-34 г.</w:t>
            </w:r>
          </w:p>
        </w:tc>
      </w:tr>
      <w:tr w:rsidR="00F26F01" w:rsidRPr="00C33834" w14:paraId="6B20AC77" w14:textId="77777777">
        <w:tc>
          <w:tcPr>
            <w:tcW w:w="2235" w:type="dxa"/>
          </w:tcPr>
          <w:p w14:paraId="10C8B37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813" w:type="dxa"/>
          </w:tcPr>
          <w:p w14:paraId="7E998E8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13" w:type="dxa"/>
          </w:tcPr>
          <w:p w14:paraId="63FCE67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c>
          <w:tcPr>
            <w:tcW w:w="813" w:type="dxa"/>
          </w:tcPr>
          <w:p w14:paraId="782364E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813" w:type="dxa"/>
          </w:tcPr>
          <w:p w14:paraId="00E22EA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w:t>
            </w:r>
          </w:p>
        </w:tc>
        <w:tc>
          <w:tcPr>
            <w:tcW w:w="813" w:type="dxa"/>
          </w:tcPr>
          <w:p w14:paraId="0023D28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4298" w:type="dxa"/>
          </w:tcPr>
          <w:p w14:paraId="794F1D3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1.IX-34 г.</w:t>
            </w:r>
          </w:p>
        </w:tc>
      </w:tr>
      <w:tr w:rsidR="00F26F01" w:rsidRPr="00C33834" w14:paraId="79D4905B" w14:textId="77777777">
        <w:tc>
          <w:tcPr>
            <w:tcW w:w="2235" w:type="dxa"/>
          </w:tcPr>
          <w:p w14:paraId="5F8551B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однорядн.</w:t>
            </w:r>
          </w:p>
        </w:tc>
        <w:tc>
          <w:tcPr>
            <w:tcW w:w="813" w:type="dxa"/>
          </w:tcPr>
          <w:p w14:paraId="189D608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13" w:type="dxa"/>
          </w:tcPr>
          <w:p w14:paraId="688DF77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813" w:type="dxa"/>
          </w:tcPr>
          <w:p w14:paraId="295B357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13" w:type="dxa"/>
          </w:tcPr>
          <w:p w14:paraId="2B1F210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390</w:t>
            </w:r>
          </w:p>
        </w:tc>
        <w:tc>
          <w:tcPr>
            <w:tcW w:w="813" w:type="dxa"/>
          </w:tcPr>
          <w:p w14:paraId="6441BFC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4298" w:type="dxa"/>
          </w:tcPr>
          <w:p w14:paraId="49666F9C"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1.XII-33 г.</w:t>
            </w:r>
          </w:p>
        </w:tc>
      </w:tr>
      <w:tr w:rsidR="00F26F01" w:rsidRPr="00C33834" w14:paraId="1EB7F6BD" w14:textId="77777777">
        <w:tc>
          <w:tcPr>
            <w:tcW w:w="2235" w:type="dxa"/>
          </w:tcPr>
          <w:p w14:paraId="6AB2E75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ГМ34 глиссерн.</w:t>
            </w:r>
          </w:p>
        </w:tc>
        <w:tc>
          <w:tcPr>
            <w:tcW w:w="813" w:type="dxa"/>
          </w:tcPr>
          <w:p w14:paraId="6C62179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13" w:type="dxa"/>
          </w:tcPr>
          <w:p w14:paraId="0A2F3ED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813" w:type="dxa"/>
          </w:tcPr>
          <w:p w14:paraId="518B83D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13" w:type="dxa"/>
          </w:tcPr>
          <w:p w14:paraId="704CD97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950</w:t>
            </w:r>
          </w:p>
        </w:tc>
        <w:tc>
          <w:tcPr>
            <w:tcW w:w="813" w:type="dxa"/>
          </w:tcPr>
          <w:p w14:paraId="4F3FA3B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4298" w:type="dxa"/>
          </w:tcPr>
          <w:p w14:paraId="577781B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1.VII-33 г.</w:t>
            </w:r>
          </w:p>
        </w:tc>
      </w:tr>
      <w:tr w:rsidR="00F26F01" w:rsidRPr="00C33834" w14:paraId="333E114A" w14:textId="77777777">
        <w:tc>
          <w:tcPr>
            <w:tcW w:w="2235" w:type="dxa"/>
          </w:tcPr>
          <w:p w14:paraId="12817F6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ГМ34фрн</w:t>
            </w:r>
          </w:p>
        </w:tc>
        <w:tc>
          <w:tcPr>
            <w:tcW w:w="813" w:type="dxa"/>
          </w:tcPr>
          <w:p w14:paraId="0D01B55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13" w:type="dxa"/>
          </w:tcPr>
          <w:p w14:paraId="1595938F"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c>
          <w:tcPr>
            <w:tcW w:w="813" w:type="dxa"/>
          </w:tcPr>
          <w:p w14:paraId="264A921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13" w:type="dxa"/>
          </w:tcPr>
          <w:p w14:paraId="15D35E9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950</w:t>
            </w:r>
          </w:p>
        </w:tc>
        <w:tc>
          <w:tcPr>
            <w:tcW w:w="813" w:type="dxa"/>
          </w:tcPr>
          <w:p w14:paraId="68E07F5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4298" w:type="dxa"/>
          </w:tcPr>
          <w:p w14:paraId="078277E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1.VII-34 г.</w:t>
            </w:r>
          </w:p>
        </w:tc>
      </w:tr>
      <w:tr w:rsidR="00F26F01" w:rsidRPr="00C33834" w14:paraId="3421AF53" w14:textId="77777777">
        <w:tc>
          <w:tcPr>
            <w:tcW w:w="2235" w:type="dxa"/>
          </w:tcPr>
          <w:p w14:paraId="6F2A04D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М58 с нагнетат.</w:t>
            </w:r>
          </w:p>
        </w:tc>
        <w:tc>
          <w:tcPr>
            <w:tcW w:w="813" w:type="dxa"/>
          </w:tcPr>
          <w:p w14:paraId="3A08BED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возд.</w:t>
            </w:r>
          </w:p>
        </w:tc>
        <w:tc>
          <w:tcPr>
            <w:tcW w:w="813" w:type="dxa"/>
          </w:tcPr>
          <w:p w14:paraId="7C8D249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630</w:t>
            </w:r>
          </w:p>
        </w:tc>
        <w:tc>
          <w:tcPr>
            <w:tcW w:w="813" w:type="dxa"/>
          </w:tcPr>
          <w:p w14:paraId="4DC114A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c>
          <w:tcPr>
            <w:tcW w:w="813" w:type="dxa"/>
          </w:tcPr>
          <w:p w14:paraId="0341872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w:t>
            </w:r>
          </w:p>
        </w:tc>
        <w:tc>
          <w:tcPr>
            <w:tcW w:w="813" w:type="dxa"/>
          </w:tcPr>
          <w:p w14:paraId="03EAF07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w:t>
            </w:r>
          </w:p>
        </w:tc>
        <w:tc>
          <w:tcPr>
            <w:tcW w:w="4298" w:type="dxa"/>
          </w:tcPr>
          <w:p w14:paraId="67188E8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1.IX-33 г.</w:t>
            </w:r>
          </w:p>
        </w:tc>
      </w:tr>
      <w:tr w:rsidR="00F26F01" w:rsidRPr="00C33834" w14:paraId="28127C06" w14:textId="77777777">
        <w:tc>
          <w:tcPr>
            <w:tcW w:w="2235" w:type="dxa"/>
          </w:tcPr>
          <w:p w14:paraId="0B4FD43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Экспериментальные</w:t>
            </w:r>
          </w:p>
        </w:tc>
        <w:tc>
          <w:tcPr>
            <w:tcW w:w="813" w:type="dxa"/>
          </w:tcPr>
          <w:p w14:paraId="108D7D14"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13" w:type="dxa"/>
          </w:tcPr>
          <w:p w14:paraId="1F043119"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13" w:type="dxa"/>
          </w:tcPr>
          <w:p w14:paraId="7EDC54D5"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13" w:type="dxa"/>
          </w:tcPr>
          <w:p w14:paraId="65AF7DE4"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13" w:type="dxa"/>
          </w:tcPr>
          <w:p w14:paraId="187D8041"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4298" w:type="dxa"/>
          </w:tcPr>
          <w:p w14:paraId="21ADEAB9"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4B74DBFF" w14:textId="77777777">
        <w:tc>
          <w:tcPr>
            <w:tcW w:w="2235" w:type="dxa"/>
          </w:tcPr>
          <w:p w14:paraId="682CAA3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М-32 с нагнетат.</w:t>
            </w:r>
          </w:p>
        </w:tc>
        <w:tc>
          <w:tcPr>
            <w:tcW w:w="813" w:type="dxa"/>
          </w:tcPr>
          <w:p w14:paraId="148B47D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Водян.</w:t>
            </w:r>
          </w:p>
        </w:tc>
        <w:tc>
          <w:tcPr>
            <w:tcW w:w="813" w:type="dxa"/>
          </w:tcPr>
          <w:p w14:paraId="3E4EE11C"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813" w:type="dxa"/>
          </w:tcPr>
          <w:p w14:paraId="731ED43F"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c>
          <w:tcPr>
            <w:tcW w:w="813" w:type="dxa"/>
          </w:tcPr>
          <w:p w14:paraId="00C1765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813" w:type="dxa"/>
          </w:tcPr>
          <w:p w14:paraId="18E6A2D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4298" w:type="dxa"/>
          </w:tcPr>
          <w:p w14:paraId="63017F1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1.VI-34 г.</w:t>
            </w:r>
          </w:p>
        </w:tc>
      </w:tr>
      <w:tr w:rsidR="00F26F01" w:rsidRPr="00C33834" w14:paraId="2D01FA3C" w14:textId="77777777">
        <w:tc>
          <w:tcPr>
            <w:tcW w:w="2235" w:type="dxa"/>
          </w:tcPr>
          <w:p w14:paraId="5D28B0EF"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редуктор.</w:t>
            </w:r>
          </w:p>
        </w:tc>
        <w:tc>
          <w:tcPr>
            <w:tcW w:w="813" w:type="dxa"/>
          </w:tcPr>
          <w:p w14:paraId="7D189EDB"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13" w:type="dxa"/>
          </w:tcPr>
          <w:p w14:paraId="34933630"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13" w:type="dxa"/>
          </w:tcPr>
          <w:p w14:paraId="0E92A861"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13" w:type="dxa"/>
          </w:tcPr>
          <w:p w14:paraId="2B525C05"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13" w:type="dxa"/>
          </w:tcPr>
          <w:p w14:paraId="11A0E9EF"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4298" w:type="dxa"/>
          </w:tcPr>
          <w:p w14:paraId="653B3F8D"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301A9ECC" w14:textId="77777777">
        <w:tc>
          <w:tcPr>
            <w:tcW w:w="2235" w:type="dxa"/>
          </w:tcPr>
          <w:p w14:paraId="3FE9ACDC"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ГМ-44</w:t>
            </w:r>
          </w:p>
        </w:tc>
        <w:tc>
          <w:tcPr>
            <w:tcW w:w="813" w:type="dxa"/>
          </w:tcPr>
          <w:p w14:paraId="02993E5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13" w:type="dxa"/>
          </w:tcPr>
          <w:p w14:paraId="4BF8DE2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813" w:type="dxa"/>
          </w:tcPr>
          <w:p w14:paraId="256F5C8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13" w:type="dxa"/>
          </w:tcPr>
          <w:p w14:paraId="3C3CA5A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1700</w:t>
            </w:r>
          </w:p>
        </w:tc>
        <w:tc>
          <w:tcPr>
            <w:tcW w:w="813" w:type="dxa"/>
          </w:tcPr>
          <w:p w14:paraId="7DAB6A2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298" w:type="dxa"/>
          </w:tcPr>
          <w:p w14:paraId="34154C3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456189C8" w14:textId="77777777">
        <w:tc>
          <w:tcPr>
            <w:tcW w:w="2235" w:type="dxa"/>
          </w:tcPr>
          <w:p w14:paraId="084ABB6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Н1 (дизель)</w:t>
            </w:r>
          </w:p>
        </w:tc>
        <w:tc>
          <w:tcPr>
            <w:tcW w:w="813" w:type="dxa"/>
          </w:tcPr>
          <w:p w14:paraId="3603EFE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13" w:type="dxa"/>
          </w:tcPr>
          <w:p w14:paraId="50164A9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600-750</w:t>
            </w:r>
          </w:p>
        </w:tc>
        <w:tc>
          <w:tcPr>
            <w:tcW w:w="813" w:type="dxa"/>
          </w:tcPr>
          <w:p w14:paraId="0237E05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13" w:type="dxa"/>
          </w:tcPr>
          <w:p w14:paraId="34A5410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840</w:t>
            </w:r>
          </w:p>
        </w:tc>
        <w:tc>
          <w:tcPr>
            <w:tcW w:w="813" w:type="dxa"/>
          </w:tcPr>
          <w:p w14:paraId="42BC1C2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w:t>
            </w:r>
          </w:p>
        </w:tc>
        <w:tc>
          <w:tcPr>
            <w:tcW w:w="4298" w:type="dxa"/>
          </w:tcPr>
          <w:p w14:paraId="4590217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1.XI-33 г.</w:t>
            </w:r>
          </w:p>
        </w:tc>
      </w:tr>
      <w:tr w:rsidR="00F26F01" w:rsidRPr="00C33834" w14:paraId="56D6A53F" w14:textId="77777777">
        <w:tc>
          <w:tcPr>
            <w:tcW w:w="2235" w:type="dxa"/>
          </w:tcPr>
          <w:p w14:paraId="49EFA18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Н5 ( -"-)</w:t>
            </w:r>
          </w:p>
        </w:tc>
        <w:tc>
          <w:tcPr>
            <w:tcW w:w="813" w:type="dxa"/>
          </w:tcPr>
          <w:p w14:paraId="0914E37C"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13" w:type="dxa"/>
          </w:tcPr>
          <w:p w14:paraId="0167AFF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813" w:type="dxa"/>
          </w:tcPr>
          <w:p w14:paraId="01D5644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813" w:type="dxa"/>
          </w:tcPr>
          <w:p w14:paraId="7273D1D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813" w:type="dxa"/>
          </w:tcPr>
          <w:p w14:paraId="60458A8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180-190</w:t>
            </w:r>
          </w:p>
        </w:tc>
        <w:tc>
          <w:tcPr>
            <w:tcW w:w="4298" w:type="dxa"/>
          </w:tcPr>
          <w:p w14:paraId="66E0BD9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1.IX-33 г.</w:t>
            </w:r>
          </w:p>
        </w:tc>
      </w:tr>
      <w:tr w:rsidR="00F26F01" w:rsidRPr="00C33834" w14:paraId="0C3751B8" w14:textId="77777777">
        <w:tc>
          <w:tcPr>
            <w:tcW w:w="2235" w:type="dxa"/>
          </w:tcPr>
          <w:p w14:paraId="038E35BC"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М44 (бенз. С </w:t>
            </w:r>
          </w:p>
        </w:tc>
        <w:tc>
          <w:tcPr>
            <w:tcW w:w="813" w:type="dxa"/>
          </w:tcPr>
          <w:p w14:paraId="01B02A9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13" w:type="dxa"/>
          </w:tcPr>
          <w:p w14:paraId="5E5EACA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813" w:type="dxa"/>
          </w:tcPr>
          <w:p w14:paraId="7112A60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3500</w:t>
            </w:r>
          </w:p>
        </w:tc>
        <w:tc>
          <w:tcPr>
            <w:tcW w:w="813" w:type="dxa"/>
          </w:tcPr>
          <w:p w14:paraId="7377B10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c>
          <w:tcPr>
            <w:tcW w:w="813" w:type="dxa"/>
          </w:tcPr>
          <w:p w14:paraId="51CF682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4298" w:type="dxa"/>
          </w:tcPr>
          <w:p w14:paraId="1CDAAD4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1.X-33 г.</w:t>
            </w:r>
          </w:p>
        </w:tc>
      </w:tr>
      <w:tr w:rsidR="00F26F01" w:rsidRPr="00C33834" w14:paraId="19A5F4D5" w14:textId="77777777">
        <w:tc>
          <w:tcPr>
            <w:tcW w:w="2235" w:type="dxa"/>
          </w:tcPr>
          <w:p w14:paraId="4146C52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нагнет.)</w:t>
            </w:r>
          </w:p>
        </w:tc>
        <w:tc>
          <w:tcPr>
            <w:tcW w:w="813" w:type="dxa"/>
          </w:tcPr>
          <w:p w14:paraId="530643AE"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13" w:type="dxa"/>
          </w:tcPr>
          <w:p w14:paraId="325F543C"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13" w:type="dxa"/>
          </w:tcPr>
          <w:p w14:paraId="0E2F5C77"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13" w:type="dxa"/>
          </w:tcPr>
          <w:p w14:paraId="49FAEC77"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13" w:type="dxa"/>
          </w:tcPr>
          <w:p w14:paraId="3A4E63A7"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4298" w:type="dxa"/>
          </w:tcPr>
          <w:p w14:paraId="6C51D003"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02A9A35A" w14:textId="77777777">
        <w:tc>
          <w:tcPr>
            <w:tcW w:w="2235" w:type="dxa"/>
          </w:tcPr>
          <w:p w14:paraId="0EAE5F0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М48 (бенз.)</w:t>
            </w:r>
          </w:p>
        </w:tc>
        <w:tc>
          <w:tcPr>
            <w:tcW w:w="813" w:type="dxa"/>
          </w:tcPr>
          <w:p w14:paraId="52806C9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возд.</w:t>
            </w:r>
          </w:p>
        </w:tc>
        <w:tc>
          <w:tcPr>
            <w:tcW w:w="813" w:type="dxa"/>
          </w:tcPr>
          <w:p w14:paraId="23D340B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w:t>
            </w:r>
          </w:p>
        </w:tc>
        <w:tc>
          <w:tcPr>
            <w:tcW w:w="813" w:type="dxa"/>
          </w:tcPr>
          <w:p w14:paraId="7A666E1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813" w:type="dxa"/>
          </w:tcPr>
          <w:p w14:paraId="469B533C"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190</w:t>
            </w:r>
          </w:p>
        </w:tc>
        <w:tc>
          <w:tcPr>
            <w:tcW w:w="813" w:type="dxa"/>
          </w:tcPr>
          <w:p w14:paraId="4FD4F2A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235</w:t>
            </w:r>
          </w:p>
        </w:tc>
        <w:tc>
          <w:tcPr>
            <w:tcW w:w="4298" w:type="dxa"/>
          </w:tcPr>
          <w:p w14:paraId="376D999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1.IX-33 г.</w:t>
            </w:r>
          </w:p>
        </w:tc>
      </w:tr>
      <w:tr w:rsidR="00F26F01" w:rsidRPr="00C33834" w14:paraId="51070FFC" w14:textId="77777777">
        <w:tc>
          <w:tcPr>
            <w:tcW w:w="2235" w:type="dxa"/>
          </w:tcPr>
          <w:p w14:paraId="40EC6C5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М38 с нагн.</w:t>
            </w:r>
          </w:p>
        </w:tc>
        <w:tc>
          <w:tcPr>
            <w:tcW w:w="813" w:type="dxa"/>
          </w:tcPr>
          <w:p w14:paraId="49052BBC"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13" w:type="dxa"/>
          </w:tcPr>
          <w:p w14:paraId="666BABE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813" w:type="dxa"/>
          </w:tcPr>
          <w:p w14:paraId="4BADB5BF"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c>
          <w:tcPr>
            <w:tcW w:w="813" w:type="dxa"/>
          </w:tcPr>
          <w:p w14:paraId="6222468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813" w:type="dxa"/>
          </w:tcPr>
          <w:p w14:paraId="57F7FF8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235</w:t>
            </w:r>
          </w:p>
        </w:tc>
        <w:tc>
          <w:tcPr>
            <w:tcW w:w="4298" w:type="dxa"/>
          </w:tcPr>
          <w:p w14:paraId="6012EC7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1.I-34 г.</w:t>
            </w:r>
          </w:p>
        </w:tc>
      </w:tr>
      <w:tr w:rsidR="00F26F01" w:rsidRPr="00C33834" w14:paraId="19A76DCF" w14:textId="77777777">
        <w:tc>
          <w:tcPr>
            <w:tcW w:w="2235" w:type="dxa"/>
          </w:tcPr>
          <w:p w14:paraId="16FD269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М56 -"-</w:t>
            </w:r>
          </w:p>
        </w:tc>
        <w:tc>
          <w:tcPr>
            <w:tcW w:w="813" w:type="dxa"/>
          </w:tcPr>
          <w:p w14:paraId="08BD515C"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13" w:type="dxa"/>
          </w:tcPr>
          <w:p w14:paraId="61E6F13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w:t>
            </w:r>
          </w:p>
        </w:tc>
        <w:tc>
          <w:tcPr>
            <w:tcW w:w="813" w:type="dxa"/>
          </w:tcPr>
          <w:p w14:paraId="73C1A18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813" w:type="dxa"/>
          </w:tcPr>
          <w:p w14:paraId="665F89B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w:t>
            </w:r>
          </w:p>
        </w:tc>
        <w:tc>
          <w:tcPr>
            <w:tcW w:w="813" w:type="dxa"/>
          </w:tcPr>
          <w:p w14:paraId="7A34310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298" w:type="dxa"/>
          </w:tcPr>
          <w:p w14:paraId="3F4A1F8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1.Х-34 г.</w:t>
            </w:r>
          </w:p>
        </w:tc>
      </w:tr>
    </w:tbl>
    <w:p w14:paraId="472C5EC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 опытному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868"/>
        <w:gridCol w:w="868"/>
        <w:gridCol w:w="868"/>
        <w:gridCol w:w="1223"/>
        <w:gridCol w:w="1559"/>
        <w:gridCol w:w="3543"/>
      </w:tblGrid>
      <w:tr w:rsidR="00F26F01" w:rsidRPr="00C33834" w14:paraId="157A30D9" w14:textId="77777777">
        <w:tc>
          <w:tcPr>
            <w:tcW w:w="1668" w:type="dxa"/>
          </w:tcPr>
          <w:p w14:paraId="0C3D34E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w:t>
            </w:r>
          </w:p>
        </w:tc>
        <w:tc>
          <w:tcPr>
            <w:tcW w:w="868" w:type="dxa"/>
          </w:tcPr>
          <w:p w14:paraId="2322C99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Горизон.</w:t>
            </w:r>
          </w:p>
        </w:tc>
        <w:tc>
          <w:tcPr>
            <w:tcW w:w="868" w:type="dxa"/>
          </w:tcPr>
          <w:p w14:paraId="089BCF7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w:t>
            </w:r>
          </w:p>
        </w:tc>
        <w:tc>
          <w:tcPr>
            <w:tcW w:w="868" w:type="dxa"/>
          </w:tcPr>
          <w:p w14:paraId="5C72D18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w:t>
            </w:r>
          </w:p>
        </w:tc>
        <w:tc>
          <w:tcPr>
            <w:tcW w:w="1223" w:type="dxa"/>
          </w:tcPr>
          <w:p w14:paraId="3BDC5AC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Сбрас. груз:</w:t>
            </w:r>
          </w:p>
        </w:tc>
        <w:tc>
          <w:tcPr>
            <w:tcW w:w="1559" w:type="dxa"/>
          </w:tcPr>
          <w:p w14:paraId="0F93ED2C"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3543" w:type="dxa"/>
          </w:tcPr>
          <w:p w14:paraId="38FE792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w:t>
            </w:r>
          </w:p>
        </w:tc>
      </w:tr>
      <w:tr w:rsidR="00F26F01" w:rsidRPr="00C33834" w14:paraId="0E9B2EC8" w14:textId="77777777">
        <w:tc>
          <w:tcPr>
            <w:tcW w:w="1668" w:type="dxa"/>
          </w:tcPr>
          <w:p w14:paraId="0BB0B55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 с-та</w:t>
            </w:r>
          </w:p>
        </w:tc>
        <w:tc>
          <w:tcPr>
            <w:tcW w:w="868" w:type="dxa"/>
          </w:tcPr>
          <w:p w14:paraId="1529D9DF"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 км/час/</w:t>
            </w:r>
          </w:p>
        </w:tc>
        <w:tc>
          <w:tcPr>
            <w:tcW w:w="868" w:type="dxa"/>
          </w:tcPr>
          <w:p w14:paraId="0197FEE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подъема/</w:t>
            </w:r>
          </w:p>
        </w:tc>
        <w:tc>
          <w:tcPr>
            <w:tcW w:w="868" w:type="dxa"/>
          </w:tcPr>
          <w:p w14:paraId="3F19C06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действ.</w:t>
            </w:r>
          </w:p>
        </w:tc>
        <w:tc>
          <w:tcPr>
            <w:tcW w:w="1223" w:type="dxa"/>
          </w:tcPr>
          <w:p w14:paraId="59F7E26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нормальн./</w:t>
            </w:r>
          </w:p>
        </w:tc>
        <w:tc>
          <w:tcPr>
            <w:tcW w:w="1559" w:type="dxa"/>
          </w:tcPr>
          <w:p w14:paraId="15B54F54"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3543" w:type="dxa"/>
          </w:tcPr>
          <w:p w14:paraId="67B10F0C"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w:t>
            </w:r>
          </w:p>
        </w:tc>
      </w:tr>
      <w:tr w:rsidR="00F26F01" w:rsidRPr="00C33834" w14:paraId="09C2D813" w14:textId="77777777">
        <w:tc>
          <w:tcPr>
            <w:tcW w:w="1668" w:type="dxa"/>
          </w:tcPr>
          <w:p w14:paraId="725E65F3"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2A7A1D6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м</w:t>
            </w:r>
          </w:p>
        </w:tc>
        <w:tc>
          <w:tcPr>
            <w:tcW w:w="868" w:type="dxa"/>
          </w:tcPr>
          <w:p w14:paraId="29C7CC1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м</w:t>
            </w:r>
          </w:p>
        </w:tc>
        <w:tc>
          <w:tcPr>
            <w:tcW w:w="868" w:type="dxa"/>
          </w:tcPr>
          <w:p w14:paraId="70EC907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норм./с</w:t>
            </w:r>
          </w:p>
        </w:tc>
        <w:tc>
          <w:tcPr>
            <w:tcW w:w="1223" w:type="dxa"/>
          </w:tcPr>
          <w:p w14:paraId="3E6F6C2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перегруз.</w:t>
            </w:r>
          </w:p>
        </w:tc>
        <w:tc>
          <w:tcPr>
            <w:tcW w:w="1559" w:type="dxa"/>
          </w:tcPr>
          <w:p w14:paraId="53956AFD"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3543" w:type="dxa"/>
          </w:tcPr>
          <w:p w14:paraId="26363CAF"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2C64BDE7" w14:textId="77777777">
        <w:tc>
          <w:tcPr>
            <w:tcW w:w="1668" w:type="dxa"/>
          </w:tcPr>
          <w:p w14:paraId="12E803DB"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69E8AFD0"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1EADB4CD"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08FDE81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перегр.</w:t>
            </w:r>
          </w:p>
        </w:tc>
        <w:tc>
          <w:tcPr>
            <w:tcW w:w="1223" w:type="dxa"/>
          </w:tcPr>
          <w:p w14:paraId="0FBD054F"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559" w:type="dxa"/>
          </w:tcPr>
          <w:p w14:paraId="61816A75"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3543" w:type="dxa"/>
          </w:tcPr>
          <w:p w14:paraId="3CDE04A3"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2EE054B3" w14:textId="77777777">
        <w:tc>
          <w:tcPr>
            <w:tcW w:w="1668" w:type="dxa"/>
          </w:tcPr>
          <w:p w14:paraId="2FD614D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 Бомб.</w:t>
            </w:r>
          </w:p>
        </w:tc>
        <w:tc>
          <w:tcPr>
            <w:tcW w:w="868" w:type="dxa"/>
          </w:tcPr>
          <w:p w14:paraId="42EA78B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200/3000</w:t>
            </w:r>
          </w:p>
        </w:tc>
        <w:tc>
          <w:tcPr>
            <w:tcW w:w="868" w:type="dxa"/>
          </w:tcPr>
          <w:p w14:paraId="3825BA9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68" w:type="dxa"/>
          </w:tcPr>
          <w:p w14:paraId="1A739F2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750/1000</w:t>
            </w:r>
          </w:p>
        </w:tc>
        <w:tc>
          <w:tcPr>
            <w:tcW w:w="1223" w:type="dxa"/>
          </w:tcPr>
          <w:p w14:paraId="60AD576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w:t>
            </w:r>
          </w:p>
        </w:tc>
        <w:tc>
          <w:tcPr>
            <w:tcW w:w="1559" w:type="dxa"/>
          </w:tcPr>
          <w:p w14:paraId="74FF327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пул.</w:t>
            </w:r>
          </w:p>
        </w:tc>
        <w:tc>
          <w:tcPr>
            <w:tcW w:w="3543" w:type="dxa"/>
          </w:tcPr>
          <w:p w14:paraId="7D4082A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15.VIII-33 г.</w:t>
            </w:r>
          </w:p>
        </w:tc>
      </w:tr>
      <w:tr w:rsidR="00F26F01" w:rsidRPr="00C33834" w14:paraId="74F3B04B" w14:textId="77777777">
        <w:tc>
          <w:tcPr>
            <w:tcW w:w="1668" w:type="dxa"/>
          </w:tcPr>
          <w:p w14:paraId="6F1E146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ТБ4-6М34</w:t>
            </w:r>
          </w:p>
        </w:tc>
        <w:tc>
          <w:tcPr>
            <w:tcW w:w="868" w:type="dxa"/>
          </w:tcPr>
          <w:p w14:paraId="70013776"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79B9A2E0"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61AA52B3"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223" w:type="dxa"/>
          </w:tcPr>
          <w:p w14:paraId="5E338972"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559" w:type="dxa"/>
          </w:tcPr>
          <w:p w14:paraId="7A2CD43F"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пушки</w:t>
            </w:r>
          </w:p>
        </w:tc>
        <w:tc>
          <w:tcPr>
            <w:tcW w:w="3543" w:type="dxa"/>
          </w:tcPr>
          <w:p w14:paraId="24D75C11"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60AD47EA" w14:textId="77777777">
        <w:tc>
          <w:tcPr>
            <w:tcW w:w="1668" w:type="dxa"/>
          </w:tcPr>
          <w:p w14:paraId="43BF2F5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 Бомб.</w:t>
            </w:r>
          </w:p>
        </w:tc>
        <w:tc>
          <w:tcPr>
            <w:tcW w:w="868" w:type="dxa"/>
          </w:tcPr>
          <w:p w14:paraId="1887433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260/5000</w:t>
            </w:r>
          </w:p>
        </w:tc>
        <w:tc>
          <w:tcPr>
            <w:tcW w:w="868" w:type="dxa"/>
          </w:tcPr>
          <w:p w14:paraId="182A7A70"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30A7CBE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w:t>
            </w:r>
          </w:p>
        </w:tc>
        <w:tc>
          <w:tcPr>
            <w:tcW w:w="1223" w:type="dxa"/>
          </w:tcPr>
          <w:p w14:paraId="3046B6D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1500/1000</w:t>
            </w:r>
          </w:p>
        </w:tc>
        <w:tc>
          <w:tcPr>
            <w:tcW w:w="1559" w:type="dxa"/>
          </w:tcPr>
          <w:p w14:paraId="23E0052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 пул.</w:t>
            </w:r>
          </w:p>
        </w:tc>
        <w:tc>
          <w:tcPr>
            <w:tcW w:w="3543" w:type="dxa"/>
          </w:tcPr>
          <w:p w14:paraId="6431AC5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1.Х-34 г.</w:t>
            </w:r>
          </w:p>
        </w:tc>
      </w:tr>
      <w:tr w:rsidR="00F26F01" w:rsidRPr="00C33834" w14:paraId="6D5338E0" w14:textId="77777777">
        <w:tc>
          <w:tcPr>
            <w:tcW w:w="1668" w:type="dxa"/>
          </w:tcPr>
          <w:p w14:paraId="72ACD2B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ТБ3-4М34НР</w:t>
            </w:r>
          </w:p>
        </w:tc>
        <w:tc>
          <w:tcPr>
            <w:tcW w:w="868" w:type="dxa"/>
          </w:tcPr>
          <w:p w14:paraId="6B1BC5B6"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237CC93C"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0540CED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c>
          <w:tcPr>
            <w:tcW w:w="1223" w:type="dxa"/>
          </w:tcPr>
          <w:p w14:paraId="224C42AF"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559" w:type="dxa"/>
          </w:tcPr>
          <w:p w14:paraId="62A703F8"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3543" w:type="dxa"/>
          </w:tcPr>
          <w:p w14:paraId="3C503D7A"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59F8C996" w14:textId="77777777">
        <w:tc>
          <w:tcPr>
            <w:tcW w:w="1668" w:type="dxa"/>
          </w:tcPr>
          <w:p w14:paraId="2CB9D52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Многом. истр.</w:t>
            </w:r>
          </w:p>
        </w:tc>
        <w:tc>
          <w:tcPr>
            <w:tcW w:w="868" w:type="dxa"/>
          </w:tcPr>
          <w:p w14:paraId="7031E7E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300/5000</w:t>
            </w:r>
          </w:p>
        </w:tc>
        <w:tc>
          <w:tcPr>
            <w:tcW w:w="868" w:type="dxa"/>
          </w:tcPr>
          <w:p w14:paraId="459A09A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15/5000</w:t>
            </w:r>
          </w:p>
        </w:tc>
        <w:tc>
          <w:tcPr>
            <w:tcW w:w="868" w:type="dxa"/>
          </w:tcPr>
          <w:p w14:paraId="4171B81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223" w:type="dxa"/>
          </w:tcPr>
          <w:p w14:paraId="42AF40F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9" w:type="dxa"/>
          </w:tcPr>
          <w:p w14:paraId="585B0C1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пулем.</w:t>
            </w:r>
          </w:p>
        </w:tc>
        <w:tc>
          <w:tcPr>
            <w:tcW w:w="3543" w:type="dxa"/>
          </w:tcPr>
          <w:p w14:paraId="37EB53C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1.IX.-33 г.</w:t>
            </w:r>
          </w:p>
        </w:tc>
      </w:tr>
      <w:tr w:rsidR="00F26F01" w:rsidRPr="00C33834" w14:paraId="69A1ACF4" w14:textId="77777777">
        <w:tc>
          <w:tcPr>
            <w:tcW w:w="1668" w:type="dxa"/>
          </w:tcPr>
          <w:p w14:paraId="385A5B5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Ми3-2М34</w:t>
            </w:r>
          </w:p>
        </w:tc>
        <w:tc>
          <w:tcPr>
            <w:tcW w:w="868" w:type="dxa"/>
          </w:tcPr>
          <w:p w14:paraId="7D6F800E"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39909CA9"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7BD6D7BB"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223" w:type="dxa"/>
          </w:tcPr>
          <w:p w14:paraId="7C1F270D"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559" w:type="dxa"/>
          </w:tcPr>
          <w:p w14:paraId="522A235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пушка</w:t>
            </w:r>
          </w:p>
        </w:tc>
        <w:tc>
          <w:tcPr>
            <w:tcW w:w="3543" w:type="dxa"/>
          </w:tcPr>
          <w:p w14:paraId="3599D589"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6AF73454" w14:textId="77777777">
        <w:tc>
          <w:tcPr>
            <w:tcW w:w="1668" w:type="dxa"/>
          </w:tcPr>
          <w:p w14:paraId="7A74F1B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Морск. Крейсер</w:t>
            </w:r>
          </w:p>
        </w:tc>
        <w:tc>
          <w:tcPr>
            <w:tcW w:w="868" w:type="dxa"/>
          </w:tcPr>
          <w:p w14:paraId="7369FAF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230/4000</w:t>
            </w:r>
          </w:p>
        </w:tc>
        <w:tc>
          <w:tcPr>
            <w:tcW w:w="868" w:type="dxa"/>
          </w:tcPr>
          <w:p w14:paraId="43CD5E0C"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68" w:type="dxa"/>
          </w:tcPr>
          <w:p w14:paraId="389DD27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750/1200</w:t>
            </w:r>
          </w:p>
        </w:tc>
        <w:tc>
          <w:tcPr>
            <w:tcW w:w="1223" w:type="dxa"/>
          </w:tcPr>
          <w:p w14:paraId="19A1075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3500/1800</w:t>
            </w:r>
          </w:p>
        </w:tc>
        <w:tc>
          <w:tcPr>
            <w:tcW w:w="1559" w:type="dxa"/>
          </w:tcPr>
          <w:p w14:paraId="51A346B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43" w:type="dxa"/>
          </w:tcPr>
          <w:p w14:paraId="7FDD61A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1.VIII-34 г.</w:t>
            </w:r>
          </w:p>
        </w:tc>
      </w:tr>
      <w:tr w:rsidR="00F26F01" w:rsidRPr="00C33834" w14:paraId="2A07F56B" w14:textId="77777777">
        <w:tc>
          <w:tcPr>
            <w:tcW w:w="1668" w:type="dxa"/>
          </w:tcPr>
          <w:p w14:paraId="289F687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МК1-6М34НР</w:t>
            </w:r>
          </w:p>
        </w:tc>
        <w:tc>
          <w:tcPr>
            <w:tcW w:w="868" w:type="dxa"/>
          </w:tcPr>
          <w:p w14:paraId="06765626"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04D3B1E5"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485C599C"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223" w:type="dxa"/>
          </w:tcPr>
          <w:p w14:paraId="19E69116"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559" w:type="dxa"/>
          </w:tcPr>
          <w:p w14:paraId="3D58C38C"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3543" w:type="dxa"/>
          </w:tcPr>
          <w:p w14:paraId="1152A170"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0ABF1CF4" w14:textId="77777777">
        <w:tc>
          <w:tcPr>
            <w:tcW w:w="1668" w:type="dxa"/>
          </w:tcPr>
          <w:p w14:paraId="0E5ED86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 Дальн.</w:t>
            </w:r>
          </w:p>
        </w:tc>
        <w:tc>
          <w:tcPr>
            <w:tcW w:w="868" w:type="dxa"/>
          </w:tcPr>
          <w:p w14:paraId="67A0825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215-225/</w:t>
            </w:r>
          </w:p>
        </w:tc>
        <w:tc>
          <w:tcPr>
            <w:tcW w:w="868" w:type="dxa"/>
          </w:tcPr>
          <w:p w14:paraId="13B43F4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20/3000</w:t>
            </w:r>
          </w:p>
        </w:tc>
        <w:tc>
          <w:tcPr>
            <w:tcW w:w="868" w:type="dxa"/>
          </w:tcPr>
          <w:p w14:paraId="04EC8F8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750/1250</w:t>
            </w:r>
          </w:p>
        </w:tc>
        <w:tc>
          <w:tcPr>
            <w:tcW w:w="1223" w:type="dxa"/>
          </w:tcPr>
          <w:p w14:paraId="024B679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559" w:type="dxa"/>
          </w:tcPr>
          <w:p w14:paraId="21D0F5A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пулем.</w:t>
            </w:r>
          </w:p>
        </w:tc>
        <w:tc>
          <w:tcPr>
            <w:tcW w:w="3543" w:type="dxa"/>
          </w:tcPr>
          <w:p w14:paraId="686BCDB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1.V-34 г.</w:t>
            </w:r>
          </w:p>
        </w:tc>
      </w:tr>
      <w:tr w:rsidR="00F26F01" w:rsidRPr="00C33834" w14:paraId="3134131A" w14:textId="77777777">
        <w:tc>
          <w:tcPr>
            <w:tcW w:w="1668" w:type="dxa"/>
          </w:tcPr>
          <w:p w14:paraId="60C676B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разведчик</w:t>
            </w:r>
          </w:p>
        </w:tc>
        <w:tc>
          <w:tcPr>
            <w:tcW w:w="868" w:type="dxa"/>
          </w:tcPr>
          <w:p w14:paraId="38C4F53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3600</w:t>
            </w:r>
          </w:p>
        </w:tc>
        <w:tc>
          <w:tcPr>
            <w:tcW w:w="868" w:type="dxa"/>
          </w:tcPr>
          <w:p w14:paraId="76FF20CE"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349A6E08"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223" w:type="dxa"/>
          </w:tcPr>
          <w:p w14:paraId="237BF1AA"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559" w:type="dxa"/>
          </w:tcPr>
          <w:p w14:paraId="64F2C88B"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3543" w:type="dxa"/>
          </w:tcPr>
          <w:p w14:paraId="510468C4"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61E8099E" w14:textId="77777777">
        <w:tc>
          <w:tcPr>
            <w:tcW w:w="1668" w:type="dxa"/>
          </w:tcPr>
          <w:p w14:paraId="35CD958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МДР4-3М34РН</w:t>
            </w:r>
          </w:p>
        </w:tc>
        <w:tc>
          <w:tcPr>
            <w:tcW w:w="868" w:type="dxa"/>
          </w:tcPr>
          <w:p w14:paraId="2AED2D29"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67EA59AE"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247F559C"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223" w:type="dxa"/>
          </w:tcPr>
          <w:p w14:paraId="4403FCA4"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559" w:type="dxa"/>
          </w:tcPr>
          <w:p w14:paraId="67FFF78B"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3543" w:type="dxa"/>
          </w:tcPr>
          <w:p w14:paraId="61C872C6"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3EE57792" w14:textId="77777777">
        <w:tc>
          <w:tcPr>
            <w:tcW w:w="1668" w:type="dxa"/>
          </w:tcPr>
          <w:p w14:paraId="1DC5DDA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 Штурмовик</w:t>
            </w:r>
          </w:p>
        </w:tc>
        <w:tc>
          <w:tcPr>
            <w:tcW w:w="868" w:type="dxa"/>
          </w:tcPr>
          <w:p w14:paraId="4AD3F3D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250/0</w:t>
            </w:r>
          </w:p>
        </w:tc>
        <w:tc>
          <w:tcPr>
            <w:tcW w:w="868" w:type="dxa"/>
          </w:tcPr>
          <w:p w14:paraId="403DE86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11/3000</w:t>
            </w:r>
          </w:p>
        </w:tc>
        <w:tc>
          <w:tcPr>
            <w:tcW w:w="868" w:type="dxa"/>
          </w:tcPr>
          <w:p w14:paraId="22098FD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1223" w:type="dxa"/>
          </w:tcPr>
          <w:p w14:paraId="63DFC51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9" w:type="dxa"/>
          </w:tcPr>
          <w:p w14:paraId="1A9977C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пулем.</w:t>
            </w:r>
          </w:p>
        </w:tc>
        <w:tc>
          <w:tcPr>
            <w:tcW w:w="3543" w:type="dxa"/>
          </w:tcPr>
          <w:p w14:paraId="0C94AE0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1.II-34 г.</w:t>
            </w:r>
          </w:p>
        </w:tc>
      </w:tr>
      <w:tr w:rsidR="00F26F01" w:rsidRPr="00C33834" w14:paraId="59C6BE17" w14:textId="77777777">
        <w:tc>
          <w:tcPr>
            <w:tcW w:w="1668" w:type="dxa"/>
          </w:tcPr>
          <w:p w14:paraId="0428EFE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ТШ3-М34</w:t>
            </w:r>
          </w:p>
        </w:tc>
        <w:tc>
          <w:tcPr>
            <w:tcW w:w="868" w:type="dxa"/>
          </w:tcPr>
          <w:p w14:paraId="318794C2"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3962A048"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17ABC0C7"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223" w:type="dxa"/>
          </w:tcPr>
          <w:p w14:paraId="330F44DF"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559" w:type="dxa"/>
          </w:tcPr>
          <w:p w14:paraId="6BD1E9CA"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3543" w:type="dxa"/>
          </w:tcPr>
          <w:p w14:paraId="6F02CEDC"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1F1D9B38" w14:textId="77777777">
        <w:tc>
          <w:tcPr>
            <w:tcW w:w="1668" w:type="dxa"/>
          </w:tcPr>
          <w:p w14:paraId="38774F0C"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 истребит.</w:t>
            </w:r>
          </w:p>
        </w:tc>
        <w:tc>
          <w:tcPr>
            <w:tcW w:w="868" w:type="dxa"/>
          </w:tcPr>
          <w:p w14:paraId="54205F4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400/5000</w:t>
            </w:r>
          </w:p>
        </w:tc>
        <w:tc>
          <w:tcPr>
            <w:tcW w:w="868" w:type="dxa"/>
          </w:tcPr>
          <w:p w14:paraId="78F3A0B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7/5000</w:t>
            </w:r>
          </w:p>
        </w:tc>
        <w:tc>
          <w:tcPr>
            <w:tcW w:w="868" w:type="dxa"/>
          </w:tcPr>
          <w:p w14:paraId="3569BE1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223" w:type="dxa"/>
          </w:tcPr>
          <w:p w14:paraId="34AD322C"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9" w:type="dxa"/>
          </w:tcPr>
          <w:p w14:paraId="736A8AF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Пушки</w:t>
            </w:r>
          </w:p>
        </w:tc>
        <w:tc>
          <w:tcPr>
            <w:tcW w:w="3543" w:type="dxa"/>
          </w:tcPr>
          <w:p w14:paraId="5961FC6C"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30.VII-33 г.</w:t>
            </w:r>
          </w:p>
        </w:tc>
      </w:tr>
      <w:tr w:rsidR="00F26F01" w:rsidRPr="00C33834" w14:paraId="673CA117" w14:textId="77777777">
        <w:tc>
          <w:tcPr>
            <w:tcW w:w="1668" w:type="dxa"/>
          </w:tcPr>
          <w:p w14:paraId="4DD880F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Бристоль-</w:t>
            </w:r>
          </w:p>
        </w:tc>
        <w:tc>
          <w:tcPr>
            <w:tcW w:w="868" w:type="dxa"/>
          </w:tcPr>
          <w:p w14:paraId="05D88AD4"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5F52AD99"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01DAA479"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223" w:type="dxa"/>
          </w:tcPr>
          <w:p w14:paraId="3BE459EC"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559" w:type="dxa"/>
          </w:tcPr>
          <w:p w14:paraId="425A93C5"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3543" w:type="dxa"/>
          </w:tcPr>
          <w:p w14:paraId="27E3BFAA"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475612AC" w14:textId="77777777">
        <w:tc>
          <w:tcPr>
            <w:tcW w:w="1668" w:type="dxa"/>
          </w:tcPr>
          <w:p w14:paraId="1BFCE25F"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Меркур</w:t>
            </w:r>
          </w:p>
        </w:tc>
        <w:tc>
          <w:tcPr>
            <w:tcW w:w="868" w:type="dxa"/>
          </w:tcPr>
          <w:p w14:paraId="4F852962"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42916A65"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5FAB7DB4"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223" w:type="dxa"/>
          </w:tcPr>
          <w:p w14:paraId="51025A80"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559" w:type="dxa"/>
          </w:tcPr>
          <w:p w14:paraId="6256C0DB"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3543" w:type="dxa"/>
          </w:tcPr>
          <w:p w14:paraId="35318207"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2C318D0E" w14:textId="77777777">
        <w:tc>
          <w:tcPr>
            <w:tcW w:w="1668" w:type="dxa"/>
          </w:tcPr>
          <w:p w14:paraId="4C1718F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 истреб.</w:t>
            </w:r>
          </w:p>
        </w:tc>
        <w:tc>
          <w:tcPr>
            <w:tcW w:w="868" w:type="dxa"/>
          </w:tcPr>
          <w:p w14:paraId="2D24A1D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68" w:type="dxa"/>
          </w:tcPr>
          <w:p w14:paraId="7161186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68" w:type="dxa"/>
          </w:tcPr>
          <w:p w14:paraId="34F2382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23" w:type="dxa"/>
          </w:tcPr>
          <w:p w14:paraId="4B6213D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9" w:type="dxa"/>
          </w:tcPr>
          <w:p w14:paraId="0CA0758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43" w:type="dxa"/>
          </w:tcPr>
          <w:p w14:paraId="02CA768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1.II-34 г.</w:t>
            </w:r>
          </w:p>
        </w:tc>
      </w:tr>
      <w:tr w:rsidR="00F26F01" w:rsidRPr="00C33834" w14:paraId="3020B929" w14:textId="77777777">
        <w:tc>
          <w:tcPr>
            <w:tcW w:w="1668" w:type="dxa"/>
          </w:tcPr>
          <w:p w14:paraId="03FD298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Райт-Циклон</w:t>
            </w:r>
          </w:p>
        </w:tc>
        <w:tc>
          <w:tcPr>
            <w:tcW w:w="868" w:type="dxa"/>
          </w:tcPr>
          <w:p w14:paraId="222F0FEA"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02823EC1"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59AE352C"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223" w:type="dxa"/>
          </w:tcPr>
          <w:p w14:paraId="0B3AC8A2"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559" w:type="dxa"/>
          </w:tcPr>
          <w:p w14:paraId="692FABB1"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3543" w:type="dxa"/>
          </w:tcPr>
          <w:p w14:paraId="64DA9205"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4A35110F" w14:textId="77777777">
        <w:tc>
          <w:tcPr>
            <w:tcW w:w="1668" w:type="dxa"/>
          </w:tcPr>
          <w:p w14:paraId="726C309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 истребит.</w:t>
            </w:r>
          </w:p>
        </w:tc>
        <w:tc>
          <w:tcPr>
            <w:tcW w:w="868" w:type="dxa"/>
          </w:tcPr>
          <w:p w14:paraId="3B90CA6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400/5000</w:t>
            </w:r>
          </w:p>
        </w:tc>
        <w:tc>
          <w:tcPr>
            <w:tcW w:w="868" w:type="dxa"/>
          </w:tcPr>
          <w:p w14:paraId="3CB1981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7/5000</w:t>
            </w:r>
          </w:p>
        </w:tc>
        <w:tc>
          <w:tcPr>
            <w:tcW w:w="868" w:type="dxa"/>
          </w:tcPr>
          <w:p w14:paraId="0423F5C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223" w:type="dxa"/>
          </w:tcPr>
          <w:p w14:paraId="7297D9A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9" w:type="dxa"/>
          </w:tcPr>
          <w:p w14:paraId="4686EFF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пулем.</w:t>
            </w:r>
          </w:p>
        </w:tc>
        <w:tc>
          <w:tcPr>
            <w:tcW w:w="3543" w:type="dxa"/>
          </w:tcPr>
          <w:p w14:paraId="41B14F1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1.XII-33 г.</w:t>
            </w:r>
          </w:p>
        </w:tc>
      </w:tr>
      <w:tr w:rsidR="00F26F01" w:rsidRPr="00C33834" w14:paraId="030DC3D4" w14:textId="77777777">
        <w:tc>
          <w:tcPr>
            <w:tcW w:w="1668" w:type="dxa"/>
          </w:tcPr>
          <w:p w14:paraId="70DC3A2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И15 Райт. Циклон</w:t>
            </w:r>
          </w:p>
        </w:tc>
        <w:tc>
          <w:tcPr>
            <w:tcW w:w="868" w:type="dxa"/>
          </w:tcPr>
          <w:p w14:paraId="4BAFAB81"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2D535CB0"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7217AA32"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223" w:type="dxa"/>
          </w:tcPr>
          <w:p w14:paraId="10E92D56"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559" w:type="dxa"/>
          </w:tcPr>
          <w:p w14:paraId="5C7D08BE"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3543" w:type="dxa"/>
          </w:tcPr>
          <w:p w14:paraId="43C54C52"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2696EB66" w14:textId="77777777">
        <w:tc>
          <w:tcPr>
            <w:tcW w:w="1668" w:type="dxa"/>
          </w:tcPr>
          <w:p w14:paraId="421E4DE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 истр.</w:t>
            </w:r>
          </w:p>
        </w:tc>
        <w:tc>
          <w:tcPr>
            <w:tcW w:w="868" w:type="dxa"/>
          </w:tcPr>
          <w:p w14:paraId="1FA0092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68" w:type="dxa"/>
          </w:tcPr>
          <w:p w14:paraId="598C641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68" w:type="dxa"/>
          </w:tcPr>
          <w:p w14:paraId="79E91D1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23" w:type="dxa"/>
          </w:tcPr>
          <w:p w14:paraId="7F0E383F"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9" w:type="dxa"/>
          </w:tcPr>
          <w:p w14:paraId="5F90C5F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43" w:type="dxa"/>
          </w:tcPr>
          <w:p w14:paraId="50068E8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Через 6 мес. после</w:t>
            </w:r>
          </w:p>
        </w:tc>
      </w:tr>
      <w:tr w:rsidR="00F26F01" w:rsidRPr="00C33834" w14:paraId="09FDCC7E" w14:textId="77777777">
        <w:tc>
          <w:tcPr>
            <w:tcW w:w="1668" w:type="dxa"/>
          </w:tcPr>
          <w:p w14:paraId="06D1626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И15-М58</w:t>
            </w:r>
          </w:p>
        </w:tc>
        <w:tc>
          <w:tcPr>
            <w:tcW w:w="868" w:type="dxa"/>
          </w:tcPr>
          <w:p w14:paraId="29B9B62F"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548EE098"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084B17EA"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223" w:type="dxa"/>
          </w:tcPr>
          <w:p w14:paraId="43E126AD"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559" w:type="dxa"/>
          </w:tcPr>
          <w:p w14:paraId="2F959D4E"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3543" w:type="dxa"/>
          </w:tcPr>
          <w:p w14:paraId="19C086B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 мотора</w:t>
            </w:r>
          </w:p>
        </w:tc>
      </w:tr>
      <w:tr w:rsidR="00F26F01" w:rsidRPr="00C33834" w14:paraId="11B152BC" w14:textId="77777777">
        <w:tc>
          <w:tcPr>
            <w:tcW w:w="1668" w:type="dxa"/>
          </w:tcPr>
          <w:p w14:paraId="689AAA5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 бл. разв.</w:t>
            </w:r>
          </w:p>
        </w:tc>
        <w:tc>
          <w:tcPr>
            <w:tcW w:w="868" w:type="dxa"/>
          </w:tcPr>
          <w:p w14:paraId="108641D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68" w:type="dxa"/>
          </w:tcPr>
          <w:p w14:paraId="0997EA3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68" w:type="dxa"/>
          </w:tcPr>
          <w:p w14:paraId="23FFDF3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23" w:type="dxa"/>
          </w:tcPr>
          <w:p w14:paraId="2A225E0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9" w:type="dxa"/>
          </w:tcPr>
          <w:p w14:paraId="037D01D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43" w:type="dxa"/>
          </w:tcPr>
          <w:p w14:paraId="6DBD494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1.VIII-33 г.</w:t>
            </w:r>
          </w:p>
        </w:tc>
      </w:tr>
      <w:tr w:rsidR="00F26F01" w:rsidRPr="00C33834" w14:paraId="6B478E7D" w14:textId="77777777">
        <w:tc>
          <w:tcPr>
            <w:tcW w:w="1668" w:type="dxa"/>
          </w:tcPr>
          <w:p w14:paraId="5ABFA84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МБР4-М34 (С62)</w:t>
            </w:r>
          </w:p>
        </w:tc>
        <w:tc>
          <w:tcPr>
            <w:tcW w:w="868" w:type="dxa"/>
          </w:tcPr>
          <w:p w14:paraId="05A76531"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01E1C187"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4CC9F869"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223" w:type="dxa"/>
          </w:tcPr>
          <w:p w14:paraId="7B4BBFF7"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559" w:type="dxa"/>
          </w:tcPr>
          <w:p w14:paraId="2410662F"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3543" w:type="dxa"/>
          </w:tcPr>
          <w:p w14:paraId="242CF1DE"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46E9726F" w14:textId="77777777">
        <w:tc>
          <w:tcPr>
            <w:tcW w:w="1668" w:type="dxa"/>
          </w:tcPr>
          <w:p w14:paraId="33323E2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Экспериментальные.</w:t>
            </w:r>
          </w:p>
        </w:tc>
        <w:tc>
          <w:tcPr>
            <w:tcW w:w="868" w:type="dxa"/>
          </w:tcPr>
          <w:p w14:paraId="29866769"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2439DE72"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5B1770D6"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223" w:type="dxa"/>
          </w:tcPr>
          <w:p w14:paraId="2D50AF24"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559" w:type="dxa"/>
          </w:tcPr>
          <w:p w14:paraId="0B5BB30D"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3543" w:type="dxa"/>
          </w:tcPr>
          <w:p w14:paraId="57F0AB53"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377336B2" w14:textId="77777777">
        <w:tc>
          <w:tcPr>
            <w:tcW w:w="1668" w:type="dxa"/>
          </w:tcPr>
          <w:p w14:paraId="04D7D9A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Сухоп. крейсер</w:t>
            </w:r>
          </w:p>
        </w:tc>
        <w:tc>
          <w:tcPr>
            <w:tcW w:w="868" w:type="dxa"/>
          </w:tcPr>
          <w:p w14:paraId="67C5A08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300/5000</w:t>
            </w:r>
          </w:p>
        </w:tc>
        <w:tc>
          <w:tcPr>
            <w:tcW w:w="868" w:type="dxa"/>
          </w:tcPr>
          <w:p w14:paraId="23AC321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68" w:type="dxa"/>
          </w:tcPr>
          <w:p w14:paraId="200B389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600/1000</w:t>
            </w:r>
          </w:p>
        </w:tc>
        <w:tc>
          <w:tcPr>
            <w:tcW w:w="1223" w:type="dxa"/>
          </w:tcPr>
          <w:p w14:paraId="69859E5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559" w:type="dxa"/>
          </w:tcPr>
          <w:p w14:paraId="46193C8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 и тяж.</w:t>
            </w:r>
          </w:p>
        </w:tc>
        <w:tc>
          <w:tcPr>
            <w:tcW w:w="3543" w:type="dxa"/>
          </w:tcPr>
          <w:p w14:paraId="5133488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1.XII-34 г.</w:t>
            </w:r>
          </w:p>
        </w:tc>
      </w:tr>
      <w:tr w:rsidR="00F26F01" w:rsidRPr="00C33834" w14:paraId="02AC8086" w14:textId="77777777">
        <w:tc>
          <w:tcPr>
            <w:tcW w:w="1668" w:type="dxa"/>
          </w:tcPr>
          <w:p w14:paraId="5A060C9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К1-2М32 (или 34)</w:t>
            </w:r>
          </w:p>
        </w:tc>
        <w:tc>
          <w:tcPr>
            <w:tcW w:w="868" w:type="dxa"/>
          </w:tcPr>
          <w:p w14:paraId="351E43CB"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651B8009"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6B0BC96F"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223" w:type="dxa"/>
          </w:tcPr>
          <w:p w14:paraId="3E3BA44E"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559" w:type="dxa"/>
          </w:tcPr>
          <w:p w14:paraId="111B1D4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пулеметы</w:t>
            </w:r>
          </w:p>
        </w:tc>
        <w:tc>
          <w:tcPr>
            <w:tcW w:w="3543" w:type="dxa"/>
          </w:tcPr>
          <w:p w14:paraId="583EF792"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30597280" w14:textId="77777777">
        <w:tc>
          <w:tcPr>
            <w:tcW w:w="1668" w:type="dxa"/>
          </w:tcPr>
          <w:p w14:paraId="2ECB380C"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Войск. самол.</w:t>
            </w:r>
          </w:p>
        </w:tc>
        <w:tc>
          <w:tcPr>
            <w:tcW w:w="868" w:type="dxa"/>
          </w:tcPr>
          <w:p w14:paraId="4531F40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250/3000</w:t>
            </w:r>
          </w:p>
        </w:tc>
        <w:tc>
          <w:tcPr>
            <w:tcW w:w="868" w:type="dxa"/>
          </w:tcPr>
          <w:p w14:paraId="286AE4C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12/3000</w:t>
            </w:r>
          </w:p>
        </w:tc>
        <w:tc>
          <w:tcPr>
            <w:tcW w:w="868" w:type="dxa"/>
          </w:tcPr>
          <w:p w14:paraId="27D8011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350/600</w:t>
            </w:r>
          </w:p>
        </w:tc>
        <w:tc>
          <w:tcPr>
            <w:tcW w:w="1223" w:type="dxa"/>
          </w:tcPr>
          <w:p w14:paraId="24AE6B7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300/500</w:t>
            </w:r>
          </w:p>
        </w:tc>
        <w:tc>
          <w:tcPr>
            <w:tcW w:w="1559" w:type="dxa"/>
          </w:tcPr>
          <w:p w14:paraId="525D1F6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 пулем.</w:t>
            </w:r>
          </w:p>
        </w:tc>
        <w:tc>
          <w:tcPr>
            <w:tcW w:w="3543" w:type="dxa"/>
          </w:tcPr>
          <w:p w14:paraId="598A793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1.V-34 г.</w:t>
            </w:r>
          </w:p>
        </w:tc>
      </w:tr>
      <w:tr w:rsidR="00F26F01" w:rsidRPr="00C33834" w14:paraId="1119A5F7" w14:textId="77777777">
        <w:tc>
          <w:tcPr>
            <w:tcW w:w="1668" w:type="dxa"/>
          </w:tcPr>
          <w:p w14:paraId="728A567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ВС2-М22</w:t>
            </w:r>
          </w:p>
        </w:tc>
        <w:tc>
          <w:tcPr>
            <w:tcW w:w="868" w:type="dxa"/>
          </w:tcPr>
          <w:p w14:paraId="4023F563"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3E89AF02"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430BA39D"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223" w:type="dxa"/>
          </w:tcPr>
          <w:p w14:paraId="3090873E"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559" w:type="dxa"/>
          </w:tcPr>
          <w:p w14:paraId="33A11AC2"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3543" w:type="dxa"/>
          </w:tcPr>
          <w:p w14:paraId="468C5806"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07C4625F" w14:textId="77777777">
        <w:tc>
          <w:tcPr>
            <w:tcW w:w="1668" w:type="dxa"/>
          </w:tcPr>
          <w:p w14:paraId="2000A8A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2-х местн. пуш.</w:t>
            </w:r>
          </w:p>
        </w:tc>
        <w:tc>
          <w:tcPr>
            <w:tcW w:w="868" w:type="dxa"/>
          </w:tcPr>
          <w:p w14:paraId="54530A2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325/5000</w:t>
            </w:r>
          </w:p>
        </w:tc>
        <w:tc>
          <w:tcPr>
            <w:tcW w:w="868" w:type="dxa"/>
          </w:tcPr>
          <w:p w14:paraId="10B93AD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15/5000</w:t>
            </w:r>
          </w:p>
        </w:tc>
        <w:tc>
          <w:tcPr>
            <w:tcW w:w="868" w:type="dxa"/>
          </w:tcPr>
          <w:p w14:paraId="2D12CDD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300/500</w:t>
            </w:r>
          </w:p>
        </w:tc>
        <w:tc>
          <w:tcPr>
            <w:tcW w:w="1223" w:type="dxa"/>
          </w:tcPr>
          <w:p w14:paraId="4570012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9" w:type="dxa"/>
          </w:tcPr>
          <w:p w14:paraId="74EA2B8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Пушки</w:t>
            </w:r>
          </w:p>
        </w:tc>
        <w:tc>
          <w:tcPr>
            <w:tcW w:w="3543" w:type="dxa"/>
          </w:tcPr>
          <w:p w14:paraId="5694065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1.VI-34 г.</w:t>
            </w:r>
          </w:p>
        </w:tc>
      </w:tr>
      <w:tr w:rsidR="00F26F01" w:rsidRPr="00C33834" w14:paraId="659D62C6" w14:textId="77777777">
        <w:tc>
          <w:tcPr>
            <w:tcW w:w="1668" w:type="dxa"/>
          </w:tcPr>
          <w:p w14:paraId="13FE886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 ДИП-2М34</w:t>
            </w:r>
          </w:p>
        </w:tc>
        <w:tc>
          <w:tcPr>
            <w:tcW w:w="868" w:type="dxa"/>
          </w:tcPr>
          <w:p w14:paraId="26C4234D"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4D8AFDD0"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68380148"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223" w:type="dxa"/>
          </w:tcPr>
          <w:p w14:paraId="47961680"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559" w:type="dxa"/>
          </w:tcPr>
          <w:p w14:paraId="63EA0331"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3543" w:type="dxa"/>
          </w:tcPr>
          <w:p w14:paraId="23894EB6"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03991B74" w14:textId="77777777">
        <w:tc>
          <w:tcPr>
            <w:tcW w:w="1668" w:type="dxa"/>
          </w:tcPr>
          <w:p w14:paraId="61E32AC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2-х местн. ист.</w:t>
            </w:r>
          </w:p>
        </w:tc>
        <w:tc>
          <w:tcPr>
            <w:tcW w:w="868" w:type="dxa"/>
          </w:tcPr>
          <w:p w14:paraId="62ED273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375/5000</w:t>
            </w:r>
          </w:p>
        </w:tc>
        <w:tc>
          <w:tcPr>
            <w:tcW w:w="868" w:type="dxa"/>
          </w:tcPr>
          <w:p w14:paraId="3F06BD7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9/5000</w:t>
            </w:r>
          </w:p>
        </w:tc>
        <w:tc>
          <w:tcPr>
            <w:tcW w:w="868" w:type="dxa"/>
          </w:tcPr>
          <w:p w14:paraId="009FD04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400/700</w:t>
            </w:r>
          </w:p>
        </w:tc>
        <w:tc>
          <w:tcPr>
            <w:tcW w:w="1223" w:type="dxa"/>
          </w:tcPr>
          <w:p w14:paraId="0E052CC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559" w:type="dxa"/>
          </w:tcPr>
          <w:p w14:paraId="779375A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 и лег.</w:t>
            </w:r>
          </w:p>
        </w:tc>
        <w:tc>
          <w:tcPr>
            <w:tcW w:w="3543" w:type="dxa"/>
          </w:tcPr>
          <w:p w14:paraId="6F1494B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1.V-34 г.</w:t>
            </w:r>
          </w:p>
        </w:tc>
      </w:tr>
      <w:tr w:rsidR="00F26F01" w:rsidRPr="00C33834" w14:paraId="1F419304" w14:textId="77777777">
        <w:tc>
          <w:tcPr>
            <w:tcW w:w="1668" w:type="dxa"/>
          </w:tcPr>
          <w:p w14:paraId="23BED9D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ДИ6 Райт-Цикл.</w:t>
            </w:r>
          </w:p>
        </w:tc>
        <w:tc>
          <w:tcPr>
            <w:tcW w:w="868" w:type="dxa"/>
          </w:tcPr>
          <w:p w14:paraId="6BB765B1"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75C522AC"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26D00591"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223" w:type="dxa"/>
          </w:tcPr>
          <w:p w14:paraId="15724081"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559" w:type="dxa"/>
          </w:tcPr>
          <w:p w14:paraId="5B214A8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w:t>
            </w:r>
          </w:p>
        </w:tc>
        <w:tc>
          <w:tcPr>
            <w:tcW w:w="3543" w:type="dxa"/>
          </w:tcPr>
          <w:p w14:paraId="27345F87"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58B40A96" w14:textId="77777777">
        <w:tc>
          <w:tcPr>
            <w:tcW w:w="1668" w:type="dxa"/>
          </w:tcPr>
          <w:p w14:paraId="31B1B32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 бомбовоз</w:t>
            </w:r>
          </w:p>
        </w:tc>
        <w:tc>
          <w:tcPr>
            <w:tcW w:w="868" w:type="dxa"/>
          </w:tcPr>
          <w:p w14:paraId="0933C46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868" w:type="dxa"/>
          </w:tcPr>
          <w:p w14:paraId="220365D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68" w:type="dxa"/>
          </w:tcPr>
          <w:p w14:paraId="77668D3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223" w:type="dxa"/>
          </w:tcPr>
          <w:p w14:paraId="34448C5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9" w:type="dxa"/>
          </w:tcPr>
          <w:p w14:paraId="44C7B35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43" w:type="dxa"/>
          </w:tcPr>
          <w:p w14:paraId="3C3858D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1.VIII-33 г.</w:t>
            </w:r>
          </w:p>
        </w:tc>
      </w:tr>
      <w:tr w:rsidR="00F26F01" w:rsidRPr="00C33834" w14:paraId="66B9069E" w14:textId="77777777">
        <w:tc>
          <w:tcPr>
            <w:tcW w:w="1668" w:type="dxa"/>
          </w:tcPr>
          <w:p w14:paraId="0E07135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ТБ-7М34</w:t>
            </w:r>
          </w:p>
        </w:tc>
        <w:tc>
          <w:tcPr>
            <w:tcW w:w="868" w:type="dxa"/>
          </w:tcPr>
          <w:p w14:paraId="407D5A80"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2405CA4D"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0D2EB1BC"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223" w:type="dxa"/>
          </w:tcPr>
          <w:p w14:paraId="536530E5"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559" w:type="dxa"/>
          </w:tcPr>
          <w:p w14:paraId="6C11927C"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3543" w:type="dxa"/>
          </w:tcPr>
          <w:p w14:paraId="792DA251"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00F68358" w14:textId="77777777">
        <w:tc>
          <w:tcPr>
            <w:tcW w:w="1668" w:type="dxa"/>
          </w:tcPr>
          <w:p w14:paraId="633FCBB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 бомб. ТБ6</w:t>
            </w:r>
          </w:p>
        </w:tc>
        <w:tc>
          <w:tcPr>
            <w:tcW w:w="868" w:type="dxa"/>
          </w:tcPr>
          <w:p w14:paraId="2177100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250/5000</w:t>
            </w:r>
          </w:p>
        </w:tc>
        <w:tc>
          <w:tcPr>
            <w:tcW w:w="868" w:type="dxa"/>
          </w:tcPr>
          <w:p w14:paraId="6FAEF9F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68" w:type="dxa"/>
          </w:tcPr>
          <w:p w14:paraId="26B86AA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c>
          <w:tcPr>
            <w:tcW w:w="1223" w:type="dxa"/>
          </w:tcPr>
          <w:p w14:paraId="0BDF333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тн.</w:t>
            </w:r>
          </w:p>
        </w:tc>
        <w:tc>
          <w:tcPr>
            <w:tcW w:w="1559" w:type="dxa"/>
          </w:tcPr>
          <w:p w14:paraId="0CBBF26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 пул. и</w:t>
            </w:r>
          </w:p>
        </w:tc>
        <w:tc>
          <w:tcPr>
            <w:tcW w:w="3543" w:type="dxa"/>
          </w:tcPr>
          <w:p w14:paraId="214F798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1.XII-35 г.</w:t>
            </w:r>
          </w:p>
        </w:tc>
      </w:tr>
      <w:tr w:rsidR="00F26F01" w:rsidRPr="00C33834" w14:paraId="1F8C4BAA" w14:textId="77777777">
        <w:tc>
          <w:tcPr>
            <w:tcW w:w="1668" w:type="dxa"/>
          </w:tcPr>
          <w:p w14:paraId="0C198324"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49C8AA16"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3231E134"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3E994389"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223" w:type="dxa"/>
          </w:tcPr>
          <w:p w14:paraId="18C0A8B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559" w:type="dxa"/>
          </w:tcPr>
          <w:p w14:paraId="3215A5C3"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3543" w:type="dxa"/>
          </w:tcPr>
          <w:p w14:paraId="0384FA8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пушки</w:t>
            </w:r>
          </w:p>
        </w:tc>
      </w:tr>
      <w:tr w:rsidR="00F26F01" w:rsidRPr="00C33834" w14:paraId="6AAE9E77" w14:textId="77777777">
        <w:tc>
          <w:tcPr>
            <w:tcW w:w="1668" w:type="dxa"/>
          </w:tcPr>
          <w:p w14:paraId="643F6FD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 разв.</w:t>
            </w:r>
          </w:p>
        </w:tc>
        <w:tc>
          <w:tcPr>
            <w:tcW w:w="868" w:type="dxa"/>
          </w:tcPr>
          <w:p w14:paraId="70B2054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425/4000</w:t>
            </w:r>
          </w:p>
        </w:tc>
        <w:tc>
          <w:tcPr>
            <w:tcW w:w="868" w:type="dxa"/>
          </w:tcPr>
          <w:p w14:paraId="7880AEB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12/4000</w:t>
            </w:r>
          </w:p>
        </w:tc>
        <w:tc>
          <w:tcPr>
            <w:tcW w:w="868" w:type="dxa"/>
          </w:tcPr>
          <w:p w14:paraId="7BBC429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223" w:type="dxa"/>
          </w:tcPr>
          <w:p w14:paraId="0053115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9" w:type="dxa"/>
          </w:tcPr>
          <w:p w14:paraId="0DCD0DE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43" w:type="dxa"/>
          </w:tcPr>
          <w:p w14:paraId="0E9AFB7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Через 6 мес. после</w:t>
            </w:r>
          </w:p>
        </w:tc>
      </w:tr>
      <w:tr w:rsidR="00F26F01" w:rsidRPr="00C33834" w14:paraId="5793BD28" w14:textId="77777777">
        <w:tc>
          <w:tcPr>
            <w:tcW w:w="1668" w:type="dxa"/>
          </w:tcPr>
          <w:p w14:paraId="4802262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Р-М58</w:t>
            </w:r>
          </w:p>
        </w:tc>
        <w:tc>
          <w:tcPr>
            <w:tcW w:w="868" w:type="dxa"/>
          </w:tcPr>
          <w:p w14:paraId="157DCFC7"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1698CE93"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7F39A99A"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223" w:type="dxa"/>
          </w:tcPr>
          <w:p w14:paraId="622C6EBB"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559" w:type="dxa"/>
          </w:tcPr>
          <w:p w14:paraId="5DA0EA74"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3543" w:type="dxa"/>
          </w:tcPr>
          <w:p w14:paraId="014F3AE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получ. мотора</w:t>
            </w:r>
          </w:p>
        </w:tc>
      </w:tr>
      <w:tr w:rsidR="00F26F01" w:rsidRPr="00C33834" w14:paraId="271F2244" w14:textId="77777777">
        <w:tc>
          <w:tcPr>
            <w:tcW w:w="1668" w:type="dxa"/>
          </w:tcPr>
          <w:p w14:paraId="59CC906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Стратосф. с-т</w:t>
            </w:r>
          </w:p>
        </w:tc>
        <w:tc>
          <w:tcPr>
            <w:tcW w:w="868" w:type="dxa"/>
          </w:tcPr>
          <w:p w14:paraId="17CDBCA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68" w:type="dxa"/>
          </w:tcPr>
          <w:p w14:paraId="4ACB33B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68" w:type="dxa"/>
          </w:tcPr>
          <w:p w14:paraId="708B3C7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23" w:type="dxa"/>
          </w:tcPr>
          <w:p w14:paraId="289C2E7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9" w:type="dxa"/>
          </w:tcPr>
          <w:p w14:paraId="0AAEBDAF"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43" w:type="dxa"/>
          </w:tcPr>
          <w:p w14:paraId="6CAF961F"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1.I-34 г.</w:t>
            </w:r>
          </w:p>
        </w:tc>
      </w:tr>
      <w:tr w:rsidR="00F26F01" w:rsidRPr="00C33834" w14:paraId="6BE677CE" w14:textId="77777777">
        <w:tc>
          <w:tcPr>
            <w:tcW w:w="1668" w:type="dxa"/>
          </w:tcPr>
          <w:p w14:paraId="7072600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Летающ. крыло</w:t>
            </w:r>
          </w:p>
        </w:tc>
        <w:tc>
          <w:tcPr>
            <w:tcW w:w="868" w:type="dxa"/>
          </w:tcPr>
          <w:p w14:paraId="6EDB81E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68" w:type="dxa"/>
          </w:tcPr>
          <w:p w14:paraId="76144BB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68" w:type="dxa"/>
          </w:tcPr>
          <w:p w14:paraId="03A9BDF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23" w:type="dxa"/>
          </w:tcPr>
          <w:p w14:paraId="21E98AC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9" w:type="dxa"/>
          </w:tcPr>
          <w:p w14:paraId="177D597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43" w:type="dxa"/>
          </w:tcPr>
          <w:p w14:paraId="3EDE296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1.I-34 г.</w:t>
            </w:r>
          </w:p>
        </w:tc>
      </w:tr>
      <w:tr w:rsidR="00F26F01" w:rsidRPr="00C33834" w14:paraId="2BDF8686" w14:textId="77777777">
        <w:tc>
          <w:tcPr>
            <w:tcW w:w="1668" w:type="dxa"/>
          </w:tcPr>
          <w:p w14:paraId="038F069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Разрезн. крыло</w:t>
            </w:r>
          </w:p>
        </w:tc>
        <w:tc>
          <w:tcPr>
            <w:tcW w:w="868" w:type="dxa"/>
          </w:tcPr>
          <w:p w14:paraId="20FB650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68" w:type="dxa"/>
          </w:tcPr>
          <w:p w14:paraId="675EB50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68" w:type="dxa"/>
          </w:tcPr>
          <w:p w14:paraId="375382F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23" w:type="dxa"/>
          </w:tcPr>
          <w:p w14:paraId="19D42B2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9" w:type="dxa"/>
          </w:tcPr>
          <w:p w14:paraId="7B874BF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43" w:type="dxa"/>
          </w:tcPr>
          <w:p w14:paraId="1079CDF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1.Х-33 г.</w:t>
            </w:r>
          </w:p>
        </w:tc>
      </w:tr>
      <w:tr w:rsidR="00F26F01" w:rsidRPr="00C33834" w14:paraId="258BE4DB" w14:textId="77777777">
        <w:tc>
          <w:tcPr>
            <w:tcW w:w="1668" w:type="dxa"/>
          </w:tcPr>
          <w:p w14:paraId="39389DF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Геликоптер ВГ2</w:t>
            </w:r>
          </w:p>
        </w:tc>
        <w:tc>
          <w:tcPr>
            <w:tcW w:w="868" w:type="dxa"/>
          </w:tcPr>
          <w:p w14:paraId="4C10098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68" w:type="dxa"/>
          </w:tcPr>
          <w:p w14:paraId="1E4A7E3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68" w:type="dxa"/>
          </w:tcPr>
          <w:p w14:paraId="2AD9260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23" w:type="dxa"/>
          </w:tcPr>
          <w:p w14:paraId="6795964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9" w:type="dxa"/>
          </w:tcPr>
          <w:p w14:paraId="70B37F5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43" w:type="dxa"/>
          </w:tcPr>
          <w:p w14:paraId="3129A42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15.VII-33 г.</w:t>
            </w:r>
          </w:p>
        </w:tc>
      </w:tr>
      <w:tr w:rsidR="00F26F01" w:rsidRPr="00C33834" w14:paraId="5D2F65D7" w14:textId="77777777">
        <w:tc>
          <w:tcPr>
            <w:tcW w:w="1668" w:type="dxa"/>
          </w:tcPr>
          <w:p w14:paraId="02D77A3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Учебный самолет</w:t>
            </w:r>
          </w:p>
        </w:tc>
        <w:tc>
          <w:tcPr>
            <w:tcW w:w="868" w:type="dxa"/>
          </w:tcPr>
          <w:p w14:paraId="1F78E6A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180/1000</w:t>
            </w:r>
          </w:p>
        </w:tc>
        <w:tc>
          <w:tcPr>
            <w:tcW w:w="868" w:type="dxa"/>
          </w:tcPr>
          <w:p w14:paraId="7C35578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68" w:type="dxa"/>
          </w:tcPr>
          <w:p w14:paraId="256AE19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360</w:t>
            </w:r>
          </w:p>
        </w:tc>
        <w:tc>
          <w:tcPr>
            <w:tcW w:w="1223" w:type="dxa"/>
          </w:tcPr>
          <w:p w14:paraId="105DC6F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9" w:type="dxa"/>
          </w:tcPr>
          <w:p w14:paraId="78A6821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43" w:type="dxa"/>
          </w:tcPr>
          <w:p w14:paraId="26D8909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1.VI-34 г.</w:t>
            </w:r>
          </w:p>
        </w:tc>
      </w:tr>
      <w:tr w:rsidR="00F26F01" w:rsidRPr="00C33834" w14:paraId="0040BF2A" w14:textId="77777777">
        <w:tc>
          <w:tcPr>
            <w:tcW w:w="1668" w:type="dxa"/>
          </w:tcPr>
          <w:p w14:paraId="7E62CE6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У3-М48</w:t>
            </w:r>
          </w:p>
        </w:tc>
        <w:tc>
          <w:tcPr>
            <w:tcW w:w="868" w:type="dxa"/>
          </w:tcPr>
          <w:p w14:paraId="2F955BCD"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0FEF903B"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868" w:type="dxa"/>
          </w:tcPr>
          <w:p w14:paraId="747CE938"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223" w:type="dxa"/>
          </w:tcPr>
          <w:p w14:paraId="770BF59D"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1559" w:type="dxa"/>
          </w:tcPr>
          <w:p w14:paraId="20DA7402"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c>
          <w:tcPr>
            <w:tcW w:w="3543" w:type="dxa"/>
          </w:tcPr>
          <w:p w14:paraId="77A140D2"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bl>
    <w:p w14:paraId="4EF25FEF"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Примечание: Выполнение моторов и самолетов по группе опытных отнести к первоочередным и решающим объектам плана, обязав ГУАП выполнить все работы, предъявив моторы и самолеты в указанные сроки на гос. испытания.</w:t>
      </w:r>
    </w:p>
    <w:p w14:paraId="43573E1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отношении экспериментальных моторов и самолетов указанные в плане сроки считать сроками предъявления на заводские испытания.</w:t>
      </w:r>
    </w:p>
    <w:p w14:paraId="04F5367F"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 связи с необходимостью значительного увеличения радиуса действия нашей авиации, зависящих в основном от безотказности и надежности работы мотора, считать главнейшим требованием ко всем перечисленным выше моторам их надежную и безотказную работу (без замены каких-либо то ни было деталей) не менее 200 часов между переборками, а для М-34 однорядного и М48 - не менее 300 часов.</w:t>
      </w:r>
    </w:p>
    <w:p w14:paraId="4E38669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При конструировании всех вышеперечисленных типов самолетов обратить особое внимание на скорейшее достижение:</w:t>
      </w:r>
    </w:p>
    <w:p w14:paraId="64C3F75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Уменьшения мертвого веса конструкций, причем для бомбардировочных самолетов мертвый вес конструкции должен составлять не более 50% нормального полетного веса;</w:t>
      </w:r>
    </w:p>
    <w:p w14:paraId="4CF4613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Увеличения обтекаемости в целях увеличения горизонтальной скорости и</w:t>
      </w:r>
    </w:p>
    <w:p w14:paraId="5642D6B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Уменьшения посадочной скорости до 50-60 км и достижения коэффициента посадочной скорости (соотношение между максимальной горизонтальной и посадочной скоростью) не менее 4-х.</w:t>
      </w:r>
    </w:p>
    <w:p w14:paraId="5D352DB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Принять к сведению заявление нач. ГУАП Баранова о том, что сверх утвержденного плана ГУАП будет продолжать технически руководить и финансировать паровую турбину ХАИ и примет на себя с 1-го июля с.г. техническое руководство и финансирование конструирования и постройки 2-тактного дизеля того же ХАИ, работы по которому........................ Сверх указанного плана обязать ГУАП построить эталон ТБ-4..... производства. Алкснису и Баранову установить такие требования для этого самолета и срок предъявления его на испытания; согласованное предложение внести на утверждение в 2-х декадный срок.</w:t>
      </w:r>
    </w:p>
    <w:p w14:paraId="5C276E2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Просить К.О. возложить персональную ответственность за...... планы опытного строительства в обусловленные сроки на....... ГУАП Баранова, а по мотору Н5 - на начальника ОКБ..... Горянова.</w:t>
      </w:r>
    </w:p>
    <w:p w14:paraId="6FBA334C"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 По опытному строительству вооружения.</w:t>
      </w:r>
    </w:p>
    <w:p w14:paraId="554ED5F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Основными и решающими задачами на 1933 год по вооружению авиации</w:t>
      </w:r>
    </w:p>
    <w:p w14:paraId="4C73E34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...Окончательную отработку эталона, испытание в воздухе и постановку... производства кондиционных пулеметов ШКАС, вооружение ими самолетов, а в дальнейшем - модернизация этого пулемета в повышения начальной скорости до 1000-1200-1500 м/сек.</w:t>
      </w:r>
    </w:p>
    <w:p w14:paraId="14E25C7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Постройку опытных образцов, испытание и постановку в серийное производство крупнокалиберного пулемета 12,7 ШВАК (с последующей..... в сторону увеличения начальной скорости до 1200 м/сек), отработку образца автоматической авиационной пушки калибром.... мм.</w:t>
      </w:r>
    </w:p>
    <w:p w14:paraId="4B01A32F"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самолете специального назначения закончить отработку системы калибра 76-100-152 мм.</w:t>
      </w:r>
    </w:p>
    <w:p w14:paraId="18DE222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Постановку массового производства авиабомб всех типов, особенно......, зажигательных, светящихся и планирующих.</w:t>
      </w:r>
    </w:p>
    <w:p w14:paraId="1CD046F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Совершенствование прицелов приборов управления для стрельбы.... на дальние расстояния (свыше 800 метров).</w:t>
      </w:r>
    </w:p>
    <w:p w14:paraId="7D3E8E8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III.</w:t>
      </w:r>
    </w:p>
    <w:p w14:paraId="63EE980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w:t>
      </w:r>
    </w:p>
    <w:p w14:paraId="534A127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изготовление и испытание не выключающегося нагнетателя для мотора М-34 в ЦИАМ"е и немедленно приступить к подготовке серийного производства нагнетателя и редуктора к этому мотору с таким расчетом, чтобы с 1.Х-с.г. выпускать моторы М-34 с редуктором, а с 1.I-34 г. - с нагнетателем в количестве, потребном для НКВМ.</w:t>
      </w:r>
    </w:p>
    <w:p w14:paraId="5BB235B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Принять к сведению заявление Баранова, что им приняты все меры к использованию тех. помощи фирмы Райт-Кертисс и подготовке производства моторов Райт-Циклон и Кертис 1800 95V в обусловленные договором сроки.</w:t>
      </w:r>
    </w:p>
    <w:p w14:paraId="5EC498C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своевременной постройки опытных образцов самолетов под мотор Райт-Циклон и мотор Кертис типа 1800 95V и внедрения этих самолетов в серийное производство ко времени выпуска на советских заводах моторов Райт-циклон и Кертис по лицензии, - признать необходимым закупить немедленно 30 моторов Райт-Циклон и 20 моторов Кертис 1800 95V с необходимым количеством запчастей и инструмента.</w:t>
      </w:r>
    </w:p>
    <w:p w14:paraId="37270E6C"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Реализацию покупки этих моторов возложить на НКТяжпром с отпуском для этой цели необходимых средств в инвалюте из резервного фонда СНК.</w:t>
      </w:r>
    </w:p>
    <w:p w14:paraId="70611B2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Баранову и Алкснису докладывать ежеквартально НКТяжпрому Орджоникидзе и НКВМору Ворошилову о ходе реализации договора на техпомощь на моторы Райт-Циклон и Кертис, ходе подготовки производства указанных моторов на советских заводах и о заключении договора на поставку 50 моторов (30 Райт-Циклон и 20 Кертис) и реализации этого договора.</w:t>
      </w:r>
    </w:p>
    <w:p w14:paraId="585C744C"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поручить Баранову ознакомиться с работами группы Проскура-Майзеля в харьковском институте промэнергетики на предмет ее выделения в самостоятельное научно-исследовательское и опытное бюро по конструированию и постройке нагнетателей для авиационных моторов.</w:t>
      </w:r>
    </w:p>
    <w:p w14:paraId="6DE677A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Свои конкретные предложения, согласованные с нач. ВВС, доложить К.О. в месячный срок.</w:t>
      </w:r>
    </w:p>
    <w:p w14:paraId="3D88242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 целях обеспечения необходимого развертывания опытного........................................................................ ответственность Баранова организовать на одном из незамерзающих морей мощное конструкторское бюро по созданию новых типов гидросамолетов.</w:t>
      </w:r>
    </w:p>
    <w:p w14:paraId="2AE066F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Баранову, Алкснису и Орлову в 2-х месячный срок внести по этому вопросу в КО конкретные согласованные предложения.</w:t>
      </w:r>
    </w:p>
    <w:p w14:paraId="7DDA769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Впредь до перевода конструкторского бюро по опытному гидросамолетостроению на одно из незамерзающих морей, обязать Баранова принять меры к оформлению и выделению внутри ЦАГИ и 39 завода конструкторов по гидросамолетостроению в самостоятельные конструкторские бюро с непосредственным подчинением главных конструкторов конструкторских бюро начальнику ЦАГИ и директору 39 завода - по принадлежности.</w:t>
      </w:r>
    </w:p>
    <w:p w14:paraId="4104FB9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Принять к сведению заявление Баранова о том, что на..... заводах организованы конструкторские бюро для усовершенствования и модернизации моторов и самолетов серийного производства и что ГУАП принимает меры к усилению таковых в целях ускорения модернизации самолетов и моторов.</w:t>
      </w:r>
    </w:p>
    <w:p w14:paraId="77349D4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Возложить на начальника ГУАП Баранова подготовку производства в 1934 г. стандартного типа ТБ3-АНТ-14, легкого бомбардировщика, тяжелого штурмовика, приспособленных для почтово-пассажирской........ в ГВФ.</w:t>
      </w:r>
    </w:p>
    <w:p w14:paraId="3881B8C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Обязать начальника ГУАП Баранова внедрить в серийное производство скоростной пассажирский самолет ХАИ-1 с 1.I-34 г., предусмотрев на случай войны приспособления его для военных нужд обязать ГУАП к 1.I-34 г. разработать вопрос о замене реверсив............. для моторов торпедных катеров добавочным слабосильным.......</w:t>
      </w:r>
    </w:p>
    <w:p w14:paraId="639B89C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Обязать ГУАП обеспечить предъявление на испытания окончательного образца турели для пулемета ШКАС к 15 июля; самолетной установки для крупнокалиберного пулемета ШВАК - к 15 октября; установки для 20 мм автоматической пушки - к 1 октября; установки для 37 мм автоматической пушки - к 1 января 1933 г.</w:t>
      </w:r>
    </w:p>
    <w:p w14:paraId="61019A6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Обязать ГУАП в течение 1933 г. закончить разработку бомбовых балок со свободной подвеской бомб, оборудуя впредь все новые самолеты этим типом балок.</w:t>
      </w:r>
    </w:p>
    <w:p w14:paraId="158DCFC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Признать необходимым конструирование и постройку специального самолета-линкора с сильным артиллерийским вооружением для истребления воздушного флота противника на земле и в воздухе и достижения абсолютного превосходства.</w:t>
      </w:r>
    </w:p>
    <w:p w14:paraId="7C68645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нач. ГУАП Баранова образовать в системе ГУАП"а специальное отдельное конструкторское бюро для конструирования и постройки самолета-линкора во главе с Курчевским. Откомандировать в состав этого нового бюро проф. Петрова (ОГПУ), Агокаса (ГУАП) и Козлова (ВВА - по совместительству).</w:t>
      </w:r>
    </w:p>
    <w:p w14:paraId="4BDDA0F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Обязать начальника нефтяного сектора НКТП Ганшина обеспечить выпуск для авиамоторов следующих стандартов:</w:t>
      </w:r>
    </w:p>
    <w:p w14:paraId="1075E5D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для моторов с нагнетателем - топливо с октановым числом 90.</w:t>
      </w:r>
    </w:p>
    <w:p w14:paraId="15FF8AC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для моторов со степенью сжатия 7,3 - топливо с октановым числом 96.</w:t>
      </w:r>
    </w:p>
    <w:p w14:paraId="077CB39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для невысотных моторов со степенью сжатия 6-6,5 - топливо с октановым числом 75.</w:t>
      </w:r>
    </w:p>
    <w:p w14:paraId="5601740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для учебных моторов и М5 - грозненский бензин с октановым числом 58.</w:t>
      </w:r>
    </w:p>
    <w:p w14:paraId="10CD0CC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Обязать Союзсланец под ответственность Шварца в течение 1933 г. дать на испытание опытную партию аиабензинов из Волжских сланцев и сибирских сапропелитов в НИИ ВВС РККА.</w:t>
      </w:r>
    </w:p>
    <w:p w14:paraId="25701F2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Обязать комитет по стандартизации при СТО в месячный срок установить стандарты летных масел для авиамоторов всех типов и назначений, в частности, для авиамоторов с нагнетателем, по выходе последних в эксплуатацию.</w:t>
      </w:r>
    </w:p>
    <w:p w14:paraId="59674A5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Поставить на вид Нач. ГУГВФ Гольцману самовольное прекращение работ по плану опытного строительства ВВС, утвержденного СТО 4.VII-32 г......................................................................... предъявления этих опытных самолетов на гос. испытания, согласованного с нач-ком ВВС РККА.</w:t>
      </w:r>
    </w:p>
    <w:p w14:paraId="6A9B060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начальника ГАУ РККА:</w:t>
      </w:r>
    </w:p>
    <w:p w14:paraId="5842228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.....-му июля представить на гос. испытания в воздухе образец ШКАС для стрельбы с турели, с отработанными звеньями и.......</w:t>
      </w:r>
    </w:p>
    <w:p w14:paraId="7C32E6BC"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для синхронной стрельбы предъявить к 15 июля.</w:t>
      </w:r>
    </w:p>
    <w:p w14:paraId="47CAB0C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Дальнейшую разработку пулемета ШВАК 12,7 мм вести с расчетом...... его к вводу на вооружение к 1-му октября т.г. и обеспечению валового производства в 1934 г.</w:t>
      </w:r>
    </w:p>
    <w:p w14:paraId="45EBE30F"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проведения испытаний в воздухе и освоения, а также своевременной разработки самолетной установки, передать в НИИ ВВС:</w:t>
      </w:r>
    </w:p>
    <w:p w14:paraId="0572957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 июля - 2 образца;</w:t>
      </w:r>
    </w:p>
    <w:p w14:paraId="17DC8FA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 октября - 2 образца.</w:t>
      </w:r>
    </w:p>
    <w:p w14:paraId="037F036F"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Образец для синхронной стрельбы передать в НИИ ВВС к 1-му августа. При разработке образцов добиться начальной скорости, обеспечивающей дальность прямого выстрела на 1200 метров.</w:t>
      </w:r>
    </w:p>
    <w:p w14:paraId="3AB37B0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самолеты МИ3 производства текущего года полностью обеспечить пулеметами ДН (60 пулеметов) с расчетом установки их к началу самолетов с завода.</w:t>
      </w:r>
    </w:p>
    <w:p w14:paraId="1283ED9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Передать на государственные испытания на земле и в воздухе новые опытные образцы 20мм самолетных пушек:</w:t>
      </w:r>
    </w:p>
    <w:p w14:paraId="6A3DEA0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конструкции Дягтерева - к 1-му июля с.г.</w:t>
      </w:r>
    </w:p>
    <w:p w14:paraId="64490A2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конструкции Блюма - к 1-му октября с.г.</w:t>
      </w:r>
    </w:p>
    <w:p w14:paraId="6116752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конструкции Шпитального - к 1-му августа.</w:t>
      </w:r>
    </w:p>
    <w:p w14:paraId="3599E30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Образец 37 мм авиационной пушки конструкции Шпитального представ. на гос. испытания на землю и в воздухе к 1-му декабря.</w:t>
      </w:r>
    </w:p>
    <w:p w14:paraId="6BA6D59C"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Обеспечить в текущем году вооружение одной эскадрильи самолетов пушками АПК-65 (50 пушек).</w:t>
      </w:r>
    </w:p>
    <w:p w14:paraId="7A5DB49C"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77E6B71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1-му июля с.г. передать в ЦАГИ 2 окончательно отработанных образца пушек АПК-37 для установки и испытаний на самолете И-14.</w:t>
      </w:r>
    </w:p>
    <w:p w14:paraId="690AAEE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Полностью обеспечить опытные образцы и валовое производство пулеметов и пушек пулями по типам и качеству удовлетворяющими требованиям своевременного боя авиации:</w:t>
      </w:r>
    </w:p>
    <w:p w14:paraId="59E544D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для пулеметов - обыкновенные, тяжелые, трассирующие и зажигательные.</w:t>
      </w:r>
    </w:p>
    <w:p w14:paraId="4B8DB86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Для автоматических пушек - осколочно-фугасные, трассирующие и зажигательные.</w:t>
      </w:r>
    </w:p>
    <w:p w14:paraId="16E917C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Для пушек "К" - осколочно-фугасные и зажигательные.</w:t>
      </w:r>
    </w:p>
    <w:p w14:paraId="0741C92C"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К 1-му сентября с.г. закончить испытания суррогатных зажигательных и бронебойных бомб и представить их к вводу на вооружение.</w:t>
      </w:r>
    </w:p>
    <w:p w14:paraId="01CF3FF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Обеспечить в тек. году развертывание валового производства светящихся бомб чертежами и тех. условиями для штурмовой авиации и взрывателями с замедлением в 24-48 часов для бомбардировочной авиации.</w:t>
      </w:r>
    </w:p>
    <w:p w14:paraId="06D62CFF"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Включить в план работ задание по повышению эффективности авиабомб.</w:t>
      </w:r>
    </w:p>
    <w:p w14:paraId="6188D79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Форсировать работы по изготовлению опытных образцов ракетных снарядов для авиации, с расчетом начала испытания их в течение летного периода 1933 года.</w:t>
      </w:r>
    </w:p>
    <w:p w14:paraId="59C3284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Независимо от работ Майвеля по планирующим бомбам, ввиду особой важности данной задачи, в декадный срок подыскать конструкторскую базу и выдать новое задание на разработку образцов планирующих бомб.</w:t>
      </w:r>
    </w:p>
    <w:p w14:paraId="2EED802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Привлечь силы и дать задание Артиллерийской Академии для проектирования специальных прицелов для самолетных пушек и пулеметов дальней стрельбы.</w:t>
      </w:r>
    </w:p>
    <w:p w14:paraId="6859B61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Немедленно приступить к работам по ПУАО на самолетах. Как первый этап этих работ считать необходимым к 1.VII_34 г. получить 1 комплект ПУАО с синхронной (не силовой) передачей на орудия.</w:t>
      </w:r>
    </w:p>
    <w:p w14:paraId="54AADE4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Подготовить доклад в КО о том, что промышленность приняла заказ на СПБ в размере лишь 20 штук вместо установленных правительством........................................................................</w:t>
      </w:r>
    </w:p>
    <w:p w14:paraId="3A1F234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Просить КО концентрировать производство бомбовых прицелов на заводе ЗАТЭМ с установлением этого производства в 1934 г.</w:t>
      </w:r>
    </w:p>
    <w:p w14:paraId="5799964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Командировать в Англию инженеров ГАУ и УВВС для испытания........ и закупки образцов 37 мм самолетной пушки Виккерса.</w:t>
      </w:r>
    </w:p>
    <w:p w14:paraId="3A26740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V. Обязать начальника ВОХИМУ:</w:t>
      </w:r>
    </w:p>
    <w:p w14:paraId="703D719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1-му июля с.г. представить на испытания на самолете образец...... и дымообразующего прибора для истребительной авиации.</w:t>
      </w:r>
    </w:p>
    <w:p w14:paraId="003C0AF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15-му июля с.г. закончить испытания специального летного.....газа.</w:t>
      </w:r>
    </w:p>
    <w:p w14:paraId="1A7DA6D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Разработать к 1-му июля с.г. план обеспечения ВВС разливочными станциями позволяющими производить заправку эскадрильи самолетов в срок, не превышающий заправки такой же эскадрильи горючим.</w:t>
      </w:r>
    </w:p>
    <w:p w14:paraId="617611F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1-му июля с.г. закончить опыты по дегазации самолетов и.......... и снабдить строевые части ВВС соответствующими указаниями и инструкциями.</w:t>
      </w:r>
    </w:p>
    <w:p w14:paraId="099B4D9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VI. Обязать начальника УСКА:</w:t>
      </w:r>
    </w:p>
    <w:p w14:paraId="25FC22EC"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Установить следующие типовые радиостанции для ВВС:</w:t>
      </w:r>
    </w:p>
    <w:p w14:paraId="54D490C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15-02 - для истребителей;</w:t>
      </w:r>
    </w:p>
    <w:p w14:paraId="79C1E77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13-СК - для разведчиков;</w:t>
      </w:r>
    </w:p>
    <w:p w14:paraId="1EDAD37F"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13-СК с добавочным контуром для бомбардировщиков.</w:t>
      </w:r>
    </w:p>
    <w:p w14:paraId="4BF0796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текущем году разработать образец самолетной радиостанции с радиусом действия на 2000 км.</w:t>
      </w:r>
    </w:p>
    <w:p w14:paraId="636DCB6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15-му июля с.г. реализовать заказ серии в 10 шт. приборов........ Передать их на войсковые испытания.</w:t>
      </w:r>
    </w:p>
    <w:p w14:paraId="0620A1E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1-му августа с.г. разработать и предъявить на испытания образцы аппаратуры для связи внутри самолета.</w:t>
      </w:r>
    </w:p>
    <w:p w14:paraId="2CF00E4F"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1-му января 1934 года разработать и предъявить на испытания приспособления для проверки радиостанции на земле перед полетом.</w:t>
      </w:r>
    </w:p>
    <w:p w14:paraId="1061BC0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VII. Обязать начальника ВВС РККА:</w:t>
      </w:r>
    </w:p>
    <w:p w14:paraId="1077FFE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 15.VII-с.г. провести и закончить сравнительные испытания в воздухе пушек Надсена, Эрликона и РМ. Результаты доложить РВС Союза 20.VII.</w:t>
      </w:r>
    </w:p>
    <w:p w14:paraId="66A1688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К 15.VII-с.г. совместно с ГАИ провести испытание стрельбы в воздухе прицелов образца Петрова и ОП-1 (с лирой) и принять окончательное решение о типе прицела для системы "К".</w:t>
      </w:r>
    </w:p>
    <w:p w14:paraId="59340FE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МIII. Обязать начальника штаба РККА и начальника ВВС РККА:</w:t>
      </w:r>
    </w:p>
    <w:p w14:paraId="3D5323B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 соответствии с приказом РВС СССР за N -009:</w:t>
      </w:r>
    </w:p>
    <w:p w14:paraId="398D83D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К 1-му июля сформировать и укомплектовать пушечный сектор..... НИИ ВВС в составе 8-ми чел. военнослужащих увеличив соответственно штат НИИ ВВС.</w:t>
      </w:r>
    </w:p>
    <w:p w14:paraId="0508761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Утвердить штаты вольнонаемных вычислительного бюро при НИИ ВВС и к 15-му июля укомплектовать бюро до полного штата.</w:t>
      </w:r>
    </w:p>
    <w:p w14:paraId="30A77B7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Расходы по содержанию и оборудованию вычислительного бюро в сумме 300000 рублей отнести счет текущей сметы ВВС на заказы.</w:t>
      </w:r>
    </w:p>
    <w:p w14:paraId="2439658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Бомбовое отделение НИИ ВВС выделить в самостоятельный бомбовый сектор, увеличив штаты личного состава военнослужащих НИИ ВВС на.... чел., специально для усиления бомбового сектора.</w:t>
      </w:r>
    </w:p>
    <w:p w14:paraId="48F8638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Сформирование и укомплектование сектора закончить к 1-му июля.</w:t>
      </w:r>
    </w:p>
    <w:p w14:paraId="7C0E0A9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IX. Поручить начальнику Вооружений РККА:</w:t>
      </w:r>
    </w:p>
    <w:p w14:paraId="41B8AAE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месячный срок разработать и представить Народному комиссару на утверждение Положение о четком разграничении функций в области вооружения авиации между соответствующими ДУ (в частности, порядок прохождения комплексных испытаний - ввода на вооружение и т.д.) (2286,87).</w:t>
      </w:r>
    </w:p>
    <w:p w14:paraId="64804EC8" w14:textId="77777777" w:rsidR="00D50409" w:rsidRPr="00C33834" w:rsidRDefault="00D50409" w:rsidP="00C33834">
      <w:pPr>
        <w:spacing w:after="0" w:line="240" w:lineRule="auto"/>
        <w:jc w:val="both"/>
        <w:rPr>
          <w:rFonts w:ascii="Times New Roman" w:hAnsi="Times New Roman"/>
          <w:color w:val="000000" w:themeColor="text1"/>
          <w:sz w:val="16"/>
          <w:szCs w:val="16"/>
        </w:rPr>
      </w:pPr>
    </w:p>
    <w:p w14:paraId="295B2EB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июня 1933 года с исх. № 712/262с были направлены:</w:t>
      </w:r>
    </w:p>
    <w:p w14:paraId="2A1BF71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Извлечение из объяснительной записки ГВФ к годовому отчету на 1932 год по труду</w:t>
      </w:r>
    </w:p>
    <w:p w14:paraId="0DE2708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год был первым годом существования завода № 81 им. Молотова</w:t>
      </w:r>
    </w:p>
    <w:p w14:paraId="43033EE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Январь-апрель – строительство завода</w:t>
      </w:r>
    </w:p>
    <w:p w14:paraId="6E914B0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Май-август – пусковой период</w:t>
      </w:r>
    </w:p>
    <w:p w14:paraId="56F767D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Сентябрь-декабрь – освоение технологического процесса по выпуску основной продукции, в ноябре была выпущена первая головная машина Сталь-2 (7741).</w:t>
      </w:r>
    </w:p>
    <w:p w14:paraId="6C56798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82 в системе ГВФ основан в 1932 году. Перед ним поставлена задача производства авиамоторов воздушного охлаждения. Уже в первом квартале 1933 года он должен был дать первую продукцию. Пущен в срок не был. Проводились работы по разработке технологического процесса производства моторов М-48 и М-49 вместо снятых с производства моторов М-11 и 23, для которых процессы уже были разработаны.</w:t>
      </w:r>
    </w:p>
    <w:p w14:paraId="4C81A15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завод находится в периоде подготовки к пуску (7741, 22-36).</w:t>
      </w:r>
    </w:p>
    <w:p w14:paraId="24164F6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81 Молотова</w:t>
      </w:r>
    </w:p>
    <w:p w14:paraId="06F11E5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начался стройкой 15 января 1932 года и в основном был закончен 5 мая 1932 года (7741).</w:t>
      </w:r>
    </w:p>
    <w:p w14:paraId="6B2626CE" w14:textId="77777777" w:rsidR="00D50409" w:rsidRPr="00C33834" w:rsidRDefault="00D50409" w:rsidP="00C33834">
      <w:pPr>
        <w:spacing w:after="0" w:line="240" w:lineRule="auto"/>
        <w:jc w:val="both"/>
        <w:rPr>
          <w:rFonts w:ascii="Times New Roman" w:hAnsi="Times New Roman"/>
          <w:color w:val="000000" w:themeColor="text1"/>
          <w:sz w:val="16"/>
          <w:szCs w:val="16"/>
        </w:rPr>
      </w:pPr>
    </w:p>
    <w:p w14:paraId="31AB8AF2" w14:textId="77777777" w:rsidR="00D5040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CFE4526" w14:textId="77777777" w:rsidR="00D50409" w:rsidRPr="00C33834" w:rsidRDefault="00D50409" w:rsidP="00C33834">
      <w:pPr>
        <w:spacing w:after="0" w:line="240" w:lineRule="auto"/>
        <w:jc w:val="both"/>
        <w:rPr>
          <w:rFonts w:ascii="Times New Roman" w:hAnsi="Times New Roman"/>
          <w:iCs/>
          <w:color w:val="000000" w:themeColor="text1"/>
          <w:sz w:val="16"/>
          <w:szCs w:val="16"/>
        </w:rPr>
      </w:pPr>
    </w:p>
    <w:p w14:paraId="61AF977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июня 1933 года на НИАПе начались полигонные испытания 82-мм минометов, изготовленных на заводе "Красный Октябрь". Вес минометов с колесным ходом составлял 81 кг. Стрельба велась трофейными минами с шестикрылыми стабилизаторами. Всего у китайцев было захвачено около 10 тысяч мин. Стрельба ими велась на дистанции от 1800 до 80 метров. Качество минометов и отечественных мин было неудовлетворительное, и испытания шли одно за другим. К работе над минометами подключились заводы № 13 (г. Брянск) и № 7 ("Красный Арсенал"). Постепенно завод № 7 стал ведущим разработчиком и изготовителем минометов (3861).</w:t>
      </w:r>
    </w:p>
    <w:p w14:paraId="2852E08A" w14:textId="77777777" w:rsidR="00D50409" w:rsidRPr="00C33834" w:rsidRDefault="00D50409" w:rsidP="00C33834">
      <w:pPr>
        <w:spacing w:after="0" w:line="240" w:lineRule="auto"/>
        <w:jc w:val="both"/>
        <w:rPr>
          <w:rFonts w:ascii="Times New Roman" w:hAnsi="Times New Roman"/>
          <w:color w:val="000000" w:themeColor="text1"/>
          <w:sz w:val="16"/>
          <w:szCs w:val="16"/>
        </w:rPr>
      </w:pPr>
    </w:p>
    <w:p w14:paraId="0E7CD0F9" w14:textId="77777777" w:rsidR="00404414" w:rsidRPr="00C33834" w:rsidRDefault="00404414" w:rsidP="00C33834">
      <w:pPr>
        <w:widowControl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17 июня 1933 года начались полигонные испытания 82-мм минометов, изготовленных на заводе «Красный Октябрь». Вес минометов с колесным ходом составлял </w:t>
      </w:r>
      <w:smartTag w:uri="urn:schemas-microsoft-com:office:smarttags" w:element="metricconverter">
        <w:smartTagPr>
          <w:attr w:name="ProductID" w:val="1945 г"/>
        </w:smartTagPr>
        <w:r w:rsidRPr="00C33834">
          <w:rPr>
            <w:rFonts w:ascii="Times New Roman" w:hAnsi="Times New Roman"/>
            <w:color w:val="000000" w:themeColor="text1"/>
            <w:sz w:val="16"/>
            <w:szCs w:val="16"/>
          </w:rPr>
          <w:t>81 кг</w:t>
        </w:r>
      </w:smartTag>
      <w:r w:rsidRPr="00C33834">
        <w:rPr>
          <w:rFonts w:ascii="Times New Roman" w:hAnsi="Times New Roman"/>
          <w:color w:val="000000" w:themeColor="text1"/>
          <w:sz w:val="16"/>
          <w:szCs w:val="16"/>
        </w:rPr>
        <w:t xml:space="preserve">. Стрельба велась трофейными минами с шестикрылыми стабилизаторами. Всего у китайцев было захвачено около 10 тысяч мин. Стрельба ими велась на дистанции от 1800 до </w:t>
      </w:r>
      <w:smartTag w:uri="urn:schemas-microsoft-com:office:smarttags" w:element="metricconverter">
        <w:smartTagPr>
          <w:attr w:name="ProductID" w:val="1945 г"/>
        </w:smartTagPr>
        <w:r w:rsidRPr="00C33834">
          <w:rPr>
            <w:rFonts w:ascii="Times New Roman" w:hAnsi="Times New Roman"/>
            <w:color w:val="000000" w:themeColor="text1"/>
            <w:sz w:val="16"/>
            <w:szCs w:val="16"/>
          </w:rPr>
          <w:t>80 метров</w:t>
        </w:r>
      </w:smartTag>
      <w:r w:rsidRPr="00C33834">
        <w:rPr>
          <w:rFonts w:ascii="Times New Roman" w:hAnsi="Times New Roman"/>
          <w:color w:val="000000" w:themeColor="text1"/>
          <w:sz w:val="16"/>
          <w:szCs w:val="16"/>
        </w:rPr>
        <w:t xml:space="preserve">. Качество минометов и отечественных мин было неудовлетворительное, и испытания шли одно за другим. К работе над минометами подключились заводы №13 (Брянск) и №7 («Красный Арсенал»). Постепенно завод №7 стал ведущим разработчиком и изготовителем минометов. В 1935-1936 годах началось малосерийное производство 82-мм батальонных минометов. Выяснилось, что на 82-мм миномете можно отказаться от противооткатного устройства. Более того, проведенные испытания покали, что оно излишне и на всех других минометах. В итоге для всех минометов калибра от 50 до </w:t>
      </w:r>
      <w:smartTag w:uri="urn:schemas-microsoft-com:office:smarttags" w:element="metricconverter">
        <w:smartTagPr>
          <w:attr w:name="ProductID" w:val="1945 г"/>
        </w:smartTagPr>
        <w:r w:rsidRPr="00C33834">
          <w:rPr>
            <w:rFonts w:ascii="Times New Roman" w:hAnsi="Times New Roman"/>
            <w:color w:val="000000" w:themeColor="text1"/>
            <w:sz w:val="16"/>
            <w:szCs w:val="16"/>
          </w:rPr>
          <w:t>120 мм</w:t>
        </w:r>
      </w:smartTag>
      <w:r w:rsidRPr="00C33834">
        <w:rPr>
          <w:rFonts w:ascii="Times New Roman" w:hAnsi="Times New Roman"/>
          <w:color w:val="000000" w:themeColor="text1"/>
          <w:sz w:val="16"/>
          <w:szCs w:val="16"/>
        </w:rPr>
        <w:t xml:space="preserve"> была утверждена единая </w:t>
      </w:r>
      <w:r w:rsidRPr="00C33834">
        <w:rPr>
          <w:rFonts w:ascii="Times New Roman" w:hAnsi="Times New Roman"/>
          <w:color w:val="000000" w:themeColor="text1"/>
          <w:sz w:val="16"/>
          <w:szCs w:val="16"/>
        </w:rPr>
        <w:lastRenderedPageBreak/>
        <w:t xml:space="preserve">жесткая схема, так называемая схема «мнимого треугольника». Основными элементами конструкции являются: ствол с казенником, двунога с подъемно-поворотным механизмом, амортизатором и опорная плита. Кроме того, конструкторами была проведена большая работа по унификации и сокращению наименований материалов, сортамента, типоразмеров, диаметров отверстий, резьб, инструмента, которым пользовались при изготовлении миномета. Все это позволило резко удешевить и упростить производство. Сказанное выше о простоте конструкции и технологичности изготовления минометов можно полностью отнести и к их боеприпасам, основной элемент которых – корпус – изготавливался литьем из чугуна. К 1 ноября 1936 года в РККА состояло 73 82-мм батальонных миномета, хотя по штатам их положено иметь 2 586 штук. В 1937 году было произведено 1 587 82-мм минометов, в </w:t>
      </w:r>
      <w:smartTag w:uri="urn:schemas-microsoft-com:office:smarttags" w:element="metricconverter">
        <w:smartTagPr>
          <w:attr w:name="ProductID" w:val="1945 г"/>
        </w:smartTagPr>
        <w:r w:rsidRPr="00C33834">
          <w:rPr>
            <w:rFonts w:ascii="Times New Roman" w:hAnsi="Times New Roman"/>
            <w:color w:val="000000" w:themeColor="text1"/>
            <w:sz w:val="16"/>
            <w:szCs w:val="16"/>
          </w:rPr>
          <w:t>1938 г</w:t>
        </w:r>
      </w:smartTag>
      <w:r w:rsidRPr="00C33834">
        <w:rPr>
          <w:rFonts w:ascii="Times New Roman" w:hAnsi="Times New Roman"/>
          <w:color w:val="000000" w:themeColor="text1"/>
          <w:sz w:val="16"/>
          <w:szCs w:val="16"/>
        </w:rPr>
        <w:t xml:space="preserve">. – 1188, в </w:t>
      </w:r>
      <w:smartTag w:uri="urn:schemas-microsoft-com:office:smarttags" w:element="metricconverter">
        <w:smartTagPr>
          <w:attr w:name="ProductID" w:val="1945 г"/>
        </w:smartTagPr>
        <w:r w:rsidRPr="00C33834">
          <w:rPr>
            <w:rFonts w:ascii="Times New Roman" w:hAnsi="Times New Roman"/>
            <w:color w:val="000000" w:themeColor="text1"/>
            <w:sz w:val="16"/>
            <w:szCs w:val="16"/>
          </w:rPr>
          <w:t>1939 г</w:t>
        </w:r>
      </w:smartTag>
      <w:r w:rsidRPr="00C33834">
        <w:rPr>
          <w:rFonts w:ascii="Times New Roman" w:hAnsi="Times New Roman"/>
          <w:color w:val="000000" w:themeColor="text1"/>
          <w:sz w:val="16"/>
          <w:szCs w:val="16"/>
        </w:rPr>
        <w:t xml:space="preserve">. – 1678. На </w:t>
      </w:r>
      <w:r w:rsidRPr="00C33834">
        <w:rPr>
          <w:rFonts w:ascii="Times New Roman" w:hAnsi="Times New Roman"/>
          <w:color w:val="000000" w:themeColor="text1"/>
          <w:sz w:val="16"/>
          <w:szCs w:val="16"/>
          <w:lang w:val="en-US"/>
        </w:rPr>
        <w:t>I</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III</w:t>
      </w:r>
      <w:r w:rsidRPr="00C33834">
        <w:rPr>
          <w:rFonts w:ascii="Times New Roman" w:hAnsi="Times New Roman"/>
          <w:color w:val="000000" w:themeColor="text1"/>
          <w:sz w:val="16"/>
          <w:szCs w:val="16"/>
        </w:rPr>
        <w:t xml:space="preserve"> кварталы 1940 года трем заводам Наркомата вооружения (НКВ) (№ 7, 106 и 393), а также заводам Кировскому, Горловскому и «Красный Октябрь» было дано задание изготовить 6700 минометов. К 1 августа 1940 года изготовлено 5543 миномета по цене 6750 руб. за штуку. 82-мм минометы образца </w:t>
      </w:r>
      <w:smartTag w:uri="urn:schemas-microsoft-com:office:smarttags" w:element="metricconverter">
        <w:smartTagPr>
          <w:attr w:name="ProductID" w:val="1945 г"/>
        </w:smartTagPr>
        <w:r w:rsidRPr="00C33834">
          <w:rPr>
            <w:rFonts w:ascii="Times New Roman" w:hAnsi="Times New Roman"/>
            <w:color w:val="000000" w:themeColor="text1"/>
            <w:sz w:val="16"/>
            <w:szCs w:val="16"/>
          </w:rPr>
          <w:t>1936 г</w:t>
        </w:r>
      </w:smartTag>
      <w:r w:rsidRPr="00C33834">
        <w:rPr>
          <w:rFonts w:ascii="Times New Roman" w:hAnsi="Times New Roman"/>
          <w:color w:val="000000" w:themeColor="text1"/>
          <w:sz w:val="16"/>
          <w:szCs w:val="16"/>
        </w:rPr>
        <w:t>. обладали целым рядом недостатков, среди которых была необходимость разборки при переноске, сбиваемость прицела, малое изменение горизонтальных углов с помощью поворотного механизма (15218).</w:t>
      </w:r>
    </w:p>
    <w:p w14:paraId="656994D4" w14:textId="77777777" w:rsidR="00404414" w:rsidRPr="00C33834" w:rsidRDefault="00404414" w:rsidP="00C33834">
      <w:pPr>
        <w:widowControl w:val="0"/>
        <w:spacing w:after="0" w:line="240" w:lineRule="auto"/>
        <w:jc w:val="both"/>
        <w:rPr>
          <w:rFonts w:ascii="Times New Roman" w:hAnsi="Times New Roman"/>
          <w:color w:val="000000" w:themeColor="text1"/>
          <w:sz w:val="16"/>
          <w:szCs w:val="16"/>
        </w:rPr>
      </w:pPr>
    </w:p>
    <w:p w14:paraId="1E7F87F2" w14:textId="77777777" w:rsidR="00404414" w:rsidRPr="00C33834" w:rsidRDefault="00404414" w:rsidP="00C33834">
      <w:pPr>
        <w:pStyle w:val="rtejustify"/>
        <w:spacing w:before="0" w:after="0"/>
        <w:rPr>
          <w:color w:val="000000" w:themeColor="text1"/>
          <w:sz w:val="16"/>
          <w:szCs w:val="16"/>
        </w:rPr>
      </w:pPr>
      <w:r w:rsidRPr="00C33834">
        <w:rPr>
          <w:rStyle w:val="af0"/>
          <w:bCs/>
          <w:i w:val="0"/>
          <w:color w:val="000000" w:themeColor="text1"/>
          <w:sz w:val="16"/>
          <w:szCs w:val="16"/>
        </w:rPr>
        <w:t>17 июня</w:t>
      </w:r>
      <w:r w:rsidRPr="00C33834">
        <w:rPr>
          <w:color w:val="000000" w:themeColor="text1"/>
          <w:sz w:val="16"/>
          <w:szCs w:val="16"/>
        </w:rPr>
        <w:t xml:space="preserve"> 1933. Постановление СТО СССР № 51сс/о «Об изготовлении двух опытных образцов не плавающих колесно-гусеничных танков типа ПТ</w:t>
      </w:r>
      <w:r w:rsidRPr="00C33834">
        <w:rPr>
          <w:color w:val="000000" w:themeColor="text1"/>
          <w:sz w:val="16"/>
          <w:szCs w:val="16"/>
        </w:rPr>
        <w:noBreakHyphen/>
        <w:t>1». (ГА РФ. Ф. Р</w:t>
      </w:r>
      <w:r w:rsidRPr="00C33834">
        <w:rPr>
          <w:color w:val="000000" w:themeColor="text1"/>
          <w:sz w:val="16"/>
          <w:szCs w:val="16"/>
        </w:rPr>
        <w:noBreakHyphen/>
        <w:t>8418. Оп. 28. Д. 2. Л. 1</w:t>
      </w:r>
      <w:r w:rsidRPr="00C33834">
        <w:rPr>
          <w:color w:val="000000" w:themeColor="text1"/>
          <w:sz w:val="16"/>
          <w:szCs w:val="16"/>
        </w:rPr>
        <w:noBreakHyphen/>
        <w:t>2) (15460).</w:t>
      </w:r>
    </w:p>
    <w:p w14:paraId="1D8F1D37" w14:textId="77777777" w:rsidR="00404414" w:rsidRPr="00C33834" w:rsidRDefault="00404414" w:rsidP="00C33834">
      <w:pPr>
        <w:pStyle w:val="rtejustify"/>
        <w:spacing w:before="0" w:after="0"/>
        <w:rPr>
          <w:color w:val="000000" w:themeColor="text1"/>
          <w:sz w:val="16"/>
          <w:szCs w:val="16"/>
        </w:rPr>
      </w:pPr>
    </w:p>
    <w:p w14:paraId="166099B4" w14:textId="77777777" w:rsidR="00404414" w:rsidRPr="00C33834" w:rsidRDefault="00404414" w:rsidP="00C33834">
      <w:pPr>
        <w:pStyle w:val="rtejustify"/>
        <w:spacing w:before="0" w:after="0"/>
        <w:rPr>
          <w:color w:val="000000" w:themeColor="text1"/>
          <w:sz w:val="16"/>
          <w:szCs w:val="16"/>
        </w:rPr>
      </w:pPr>
      <w:r w:rsidRPr="00C33834">
        <w:rPr>
          <w:rStyle w:val="af0"/>
          <w:bCs/>
          <w:i w:val="0"/>
          <w:color w:val="000000" w:themeColor="text1"/>
          <w:sz w:val="16"/>
          <w:szCs w:val="16"/>
        </w:rPr>
        <w:t>17 июня</w:t>
      </w:r>
      <w:r w:rsidRPr="00C33834">
        <w:rPr>
          <w:color w:val="000000" w:themeColor="text1"/>
          <w:sz w:val="16"/>
          <w:szCs w:val="16"/>
        </w:rPr>
        <w:t xml:space="preserve"> 1933. Постановление СТО СССР № 50сс/о «О передаче Харьковского автосборочного ремонтного завода в ведение Спецмаштреста». (ГА РФ. Ф. Р</w:t>
      </w:r>
      <w:r w:rsidRPr="00C33834">
        <w:rPr>
          <w:color w:val="000000" w:themeColor="text1"/>
          <w:sz w:val="16"/>
          <w:szCs w:val="16"/>
        </w:rPr>
        <w:noBreakHyphen/>
        <w:t>8418. Оп. 28. Д. 1. Л. 207) (15460).</w:t>
      </w:r>
    </w:p>
    <w:p w14:paraId="12F55640" w14:textId="77777777" w:rsidR="00404414" w:rsidRPr="00C33834" w:rsidRDefault="00404414" w:rsidP="00C33834">
      <w:pPr>
        <w:pStyle w:val="rtejustify"/>
        <w:spacing w:before="0" w:after="0"/>
        <w:rPr>
          <w:color w:val="000000" w:themeColor="text1"/>
          <w:sz w:val="16"/>
          <w:szCs w:val="16"/>
        </w:rPr>
      </w:pPr>
    </w:p>
    <w:p w14:paraId="68FA9024" w14:textId="77777777" w:rsidR="00404414" w:rsidRPr="00C33834" w:rsidRDefault="00404414" w:rsidP="00C33834">
      <w:pPr>
        <w:pStyle w:val="rtejustify"/>
        <w:spacing w:before="0" w:after="0"/>
        <w:rPr>
          <w:color w:val="000000" w:themeColor="text1"/>
          <w:sz w:val="16"/>
          <w:szCs w:val="16"/>
        </w:rPr>
      </w:pPr>
      <w:r w:rsidRPr="00C33834">
        <w:rPr>
          <w:rStyle w:val="af0"/>
          <w:bCs/>
          <w:i w:val="0"/>
          <w:color w:val="000000" w:themeColor="text1"/>
          <w:sz w:val="16"/>
          <w:szCs w:val="16"/>
        </w:rPr>
        <w:t>17 июня 1933 вышел приказ НКТП № 85с.</w:t>
      </w:r>
      <w:r w:rsidRPr="00C33834">
        <w:rPr>
          <w:color w:val="000000" w:themeColor="text1"/>
          <w:sz w:val="16"/>
          <w:szCs w:val="16"/>
        </w:rPr>
        <w:t xml:space="preserve"> Об организации проектных и строительных работ по тресту «Бензоскладстрой». (РГАЭ. Ф. 7297. Оп. 38. Д. 37. Л. 76</w:t>
      </w:r>
      <w:r w:rsidRPr="00C33834">
        <w:rPr>
          <w:color w:val="000000" w:themeColor="text1"/>
          <w:sz w:val="16"/>
          <w:szCs w:val="16"/>
        </w:rPr>
        <w:noBreakHyphen/>
        <w:t>76 об.) (15246).</w:t>
      </w:r>
    </w:p>
    <w:p w14:paraId="6F78AC70" w14:textId="77777777" w:rsidR="00404414" w:rsidRPr="00C33834" w:rsidRDefault="00404414" w:rsidP="00C33834">
      <w:pPr>
        <w:pStyle w:val="rtejustify"/>
        <w:spacing w:before="0" w:after="0"/>
        <w:rPr>
          <w:color w:val="000000" w:themeColor="text1"/>
          <w:sz w:val="16"/>
          <w:szCs w:val="16"/>
        </w:rPr>
      </w:pPr>
    </w:p>
    <w:p w14:paraId="037C2C18" w14:textId="77777777" w:rsidR="00D5040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DB43B4E" w14:textId="77777777" w:rsidR="00D50409" w:rsidRPr="00C33834" w:rsidRDefault="00D50409" w:rsidP="00C33834">
      <w:pPr>
        <w:spacing w:after="0" w:line="240" w:lineRule="auto"/>
        <w:jc w:val="both"/>
        <w:rPr>
          <w:rFonts w:ascii="Times New Roman" w:hAnsi="Times New Roman"/>
          <w:iCs/>
          <w:color w:val="000000" w:themeColor="text1"/>
          <w:sz w:val="16"/>
          <w:szCs w:val="16"/>
        </w:rPr>
      </w:pPr>
    </w:p>
    <w:p w14:paraId="16540E1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июня 1933 С.А.Леваневский перелетел из Севастополя в Хабаровск. Перелет на Дорнье-Валь (Н-8) начался 30 мая (438,647).</w:t>
      </w:r>
    </w:p>
    <w:p w14:paraId="31AD00F0" w14:textId="77777777" w:rsidR="00D50409" w:rsidRPr="00C33834" w:rsidRDefault="00D50409" w:rsidP="00C33834">
      <w:pPr>
        <w:spacing w:after="0" w:line="240" w:lineRule="auto"/>
        <w:jc w:val="both"/>
        <w:rPr>
          <w:rFonts w:ascii="Times New Roman" w:hAnsi="Times New Roman"/>
          <w:color w:val="000000" w:themeColor="text1"/>
          <w:sz w:val="16"/>
          <w:szCs w:val="16"/>
        </w:rPr>
      </w:pPr>
    </w:p>
    <w:p w14:paraId="5509D1B3" w14:textId="77777777" w:rsidR="000B241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74BEAA0C" w14:textId="77777777" w:rsidR="000B2414" w:rsidRPr="00C33834" w:rsidRDefault="000B2414" w:rsidP="00C33834">
      <w:pPr>
        <w:spacing w:after="0" w:line="240" w:lineRule="auto"/>
        <w:jc w:val="both"/>
        <w:rPr>
          <w:rFonts w:ascii="Times New Roman" w:hAnsi="Times New Roman"/>
          <w:iCs/>
          <w:color w:val="000000" w:themeColor="text1"/>
          <w:sz w:val="16"/>
          <w:szCs w:val="16"/>
        </w:rPr>
      </w:pPr>
    </w:p>
    <w:p w14:paraId="518E8F63" w14:textId="77777777" w:rsidR="000B2414" w:rsidRPr="00C33834" w:rsidRDefault="000B2414"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18 июня</w:t>
      </w:r>
      <w:r w:rsidRPr="00C33834">
        <w:rPr>
          <w:rFonts w:ascii="Times New Roman" w:hAnsi="Times New Roman"/>
          <w:color w:val="000000" w:themeColor="text1"/>
          <w:sz w:val="16"/>
          <w:szCs w:val="16"/>
        </w:rPr>
        <w:t xml:space="preserve"> в 1933 году первый полет трехместного самолета-амфибии </w:t>
      </w:r>
      <w:hyperlink r:id="rId217" w:tgtFrame="_blank" w:history="1">
        <w:r w:rsidRPr="00C33834">
          <w:rPr>
            <w:rFonts w:ascii="Times New Roman" w:hAnsi="Times New Roman"/>
            <w:color w:val="000000" w:themeColor="text1"/>
            <w:sz w:val="16"/>
            <w:szCs w:val="16"/>
          </w:rPr>
          <w:t xml:space="preserve">«SEV-3», </w:t>
        </w:r>
      </w:hyperlink>
      <w:r w:rsidRPr="00C33834">
        <w:rPr>
          <w:rFonts w:ascii="Times New Roman" w:hAnsi="Times New Roman"/>
          <w:color w:val="000000" w:themeColor="text1"/>
          <w:sz w:val="16"/>
          <w:szCs w:val="16"/>
        </w:rPr>
        <w:t>конструктор А.Северский сам поднял в воздух свое детище. Испытания показали отличные скоростные качества машины. 8 ноября 1927 года Северский получил американское подданство, а в следующем году ему было присвоено звание майора ВВС США (в запасе). Успешное развитие дел было нарушено тяжелейшим экономическим кризисом, разразившимся в США в конце 1920-х годов. Среди тысяч обанкротившихся предприятий оказалась и фирма Северского. В очередной раз все пришлось начинать заново. К началу 1930-х годов он разработал проект самолета-амфибии. Для реализации замысла собрал вокруг себя несколько единомышленников, и в феврале 1931 года в Лонг Айленде (штат Нью-Йорк) появилась новая самолетостроительная фирма Северский Айркрафт Корпорейшн. Александр стал одновременно президентом, конструктором и летчиком-испытателем. Главным инженером был его соотечественник талантливый авиационный специалист Александр Картвелли. В конструкторскую группу входили также инженеры М.Грегор и М.Бондар. Собственного производства новоиспеченная фирма не имела, и Северский заключил договор на изготовление самолета с расположенным по соседству авиационным предприятием. Трехместный самолет-амфибия, названный «SEV-3», был готов к лету 1933 года. Эта подлинно новаторская машина представляла собой цельнометаллический моноплан с низкорасположенным свободнонесущим крылом с работающей обшивкой. В отличие от других металлических самолетов того времени гофрированную обшивку крыла покрыли сверху гладкими металлическими листами. Это, наряду с хорошо обтекаемым фюзеляжем овальной формы, позволило заметно уменьшить аэродинамическое сопротивление. В результате по максимальной скорости амфибия, несмотря на большие подкрыльевые поплавки, не уступала самолетам с обычным колесным шасси. Внутренняя поверхность крыла представляла собой топливный бак, что также являлось новшеством. Посадочные щитки и аэродинамические тормоза оригинальной конструкции способствовали улучшению посадочных характеристик. При взлете с воды колеса шасси с помощью гидравлической системы могли убираться внутрь поплавков, уменьшая тем самым гидродинамическое сопротивление при разбеге. При использовании самолета с грунтовых поверхностей колеса выдвигались, одновременно освобождался замок-фиксатор поплавков. Они получали возможность поворачиваться вокруг оси в вертикальной плоскости, что исключало опасность их поломки при приземлении под большим углом атаки. Устанавливался двигатель воздушного охлаждения «Райт» «J-6» мощностью 420 л.с. С момента появления «SEV-3» такие конструктивные особенности как гладкая металлическая работающая обшивка, свободнонесущее низкорасположенное крыло многолонжеронной схемы, с резервуаром для топлива, монококовый фюзеляж, звездообразный двигатель воздушного охлаждения стали характерными для всех самолетов Северского (14926).</w:t>
      </w:r>
    </w:p>
    <w:p w14:paraId="651F9AB6" w14:textId="77777777" w:rsidR="000B2414" w:rsidRPr="00C33834" w:rsidRDefault="000B2414" w:rsidP="00C33834">
      <w:pPr>
        <w:spacing w:after="0" w:line="240" w:lineRule="auto"/>
        <w:jc w:val="both"/>
        <w:rPr>
          <w:rFonts w:ascii="Times New Roman" w:hAnsi="Times New Roman"/>
          <w:color w:val="000000" w:themeColor="text1"/>
          <w:sz w:val="16"/>
          <w:szCs w:val="16"/>
        </w:rPr>
      </w:pPr>
    </w:p>
    <w:p w14:paraId="087F187B" w14:textId="77777777" w:rsidR="00D5040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EDACA6D" w14:textId="77777777" w:rsidR="00D50409" w:rsidRPr="00C33834" w:rsidRDefault="00D50409" w:rsidP="00C33834">
      <w:pPr>
        <w:spacing w:after="0" w:line="240" w:lineRule="auto"/>
        <w:jc w:val="both"/>
        <w:rPr>
          <w:rFonts w:ascii="Times New Roman" w:hAnsi="Times New Roman"/>
          <w:iCs/>
          <w:color w:val="000000" w:themeColor="text1"/>
          <w:sz w:val="16"/>
          <w:szCs w:val="16"/>
        </w:rPr>
      </w:pPr>
    </w:p>
    <w:p w14:paraId="7A9483B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июня 1933 года зам. нач. НТОС Машкевич писал письмо N ОП 257/348с директору завода N 39 Марголину.</w:t>
      </w:r>
    </w:p>
    <w:p w14:paraId="2E8E3F0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просьбе Ильюшина (N 114с от 15/VI-33 г.), направляю при сем план опытного строительства по Вашему заводу, посылаемый в комиссию РВС СССР.</w:t>
      </w:r>
    </w:p>
    <w:p w14:paraId="2214BBE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Основные плановые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F26F01" w:rsidRPr="00C33834" w14:paraId="347BB74A" w14:textId="77777777">
        <w:tc>
          <w:tcPr>
            <w:tcW w:w="2254" w:type="dxa"/>
          </w:tcPr>
          <w:p w14:paraId="10791D8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ЛР-М34</w:t>
            </w:r>
          </w:p>
        </w:tc>
        <w:tc>
          <w:tcPr>
            <w:tcW w:w="2254" w:type="dxa"/>
          </w:tcPr>
          <w:p w14:paraId="116F908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1/IX-33 г.</w:t>
            </w:r>
          </w:p>
        </w:tc>
        <w:tc>
          <w:tcPr>
            <w:tcW w:w="2254" w:type="dxa"/>
          </w:tcPr>
          <w:p w14:paraId="0007560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w:t>
            </w:r>
          </w:p>
        </w:tc>
      </w:tr>
      <w:tr w:rsidR="00F26F01" w:rsidRPr="00C33834" w14:paraId="0CD7CF8D" w14:textId="77777777">
        <w:tc>
          <w:tcPr>
            <w:tcW w:w="2254" w:type="dxa"/>
          </w:tcPr>
          <w:p w14:paraId="0933519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ТШ3-М34</w:t>
            </w:r>
          </w:p>
        </w:tc>
        <w:tc>
          <w:tcPr>
            <w:tcW w:w="2254" w:type="dxa"/>
          </w:tcPr>
          <w:p w14:paraId="10CD44A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1/II-34 г.</w:t>
            </w:r>
          </w:p>
        </w:tc>
        <w:tc>
          <w:tcPr>
            <w:tcW w:w="2254" w:type="dxa"/>
          </w:tcPr>
          <w:p w14:paraId="2DCF82C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2347F888" w14:textId="77777777">
        <w:tc>
          <w:tcPr>
            <w:tcW w:w="2254" w:type="dxa"/>
          </w:tcPr>
          <w:p w14:paraId="4E4218D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И15-Р.Ц.</w:t>
            </w:r>
          </w:p>
        </w:tc>
        <w:tc>
          <w:tcPr>
            <w:tcW w:w="2254" w:type="dxa"/>
          </w:tcPr>
          <w:p w14:paraId="58C0721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1/XII-33 г.</w:t>
            </w:r>
          </w:p>
        </w:tc>
        <w:tc>
          <w:tcPr>
            <w:tcW w:w="2254" w:type="dxa"/>
          </w:tcPr>
          <w:p w14:paraId="69E5786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4F40BB7B" w14:textId="77777777">
        <w:tc>
          <w:tcPr>
            <w:tcW w:w="2254" w:type="dxa"/>
          </w:tcPr>
          <w:p w14:paraId="1B16445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И15-М58</w:t>
            </w:r>
          </w:p>
        </w:tc>
        <w:tc>
          <w:tcPr>
            <w:tcW w:w="2254" w:type="dxa"/>
          </w:tcPr>
          <w:p w14:paraId="4048634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через 6 мес. после получения моторов.</w:t>
            </w:r>
          </w:p>
        </w:tc>
        <w:tc>
          <w:tcPr>
            <w:tcW w:w="2254" w:type="dxa"/>
          </w:tcPr>
          <w:p w14:paraId="34161C19"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bl>
    <w:p w14:paraId="016533B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Экспериментальные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F26F01" w:rsidRPr="00C33834" w14:paraId="53C61260" w14:textId="77777777">
        <w:tc>
          <w:tcPr>
            <w:tcW w:w="2818" w:type="dxa"/>
          </w:tcPr>
          <w:p w14:paraId="227D47F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ДИ6-М58</w:t>
            </w:r>
          </w:p>
        </w:tc>
        <w:tc>
          <w:tcPr>
            <w:tcW w:w="2818" w:type="dxa"/>
          </w:tcPr>
          <w:p w14:paraId="3B3DFAAA"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18B3589A" w14:textId="77777777">
        <w:tc>
          <w:tcPr>
            <w:tcW w:w="2818" w:type="dxa"/>
          </w:tcPr>
          <w:p w14:paraId="70BBE17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или Р.Ц.</w:t>
            </w:r>
          </w:p>
        </w:tc>
        <w:tc>
          <w:tcPr>
            <w:tcW w:w="2818" w:type="dxa"/>
          </w:tcPr>
          <w:p w14:paraId="72C55DF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1/V-34 г.</w:t>
            </w:r>
          </w:p>
        </w:tc>
      </w:tr>
      <w:tr w:rsidR="00F26F01" w:rsidRPr="00C33834" w14:paraId="10B1581E" w14:textId="77777777">
        <w:tc>
          <w:tcPr>
            <w:tcW w:w="2818" w:type="dxa"/>
          </w:tcPr>
          <w:p w14:paraId="335ACD82"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Старт. сам.</w:t>
            </w:r>
          </w:p>
        </w:tc>
        <w:tc>
          <w:tcPr>
            <w:tcW w:w="2818" w:type="dxa"/>
          </w:tcPr>
          <w:p w14:paraId="3D8ACB98"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3F739E7A" w14:textId="77777777">
        <w:tc>
          <w:tcPr>
            <w:tcW w:w="2818" w:type="dxa"/>
          </w:tcPr>
          <w:p w14:paraId="7E8E3ED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2818" w:type="dxa"/>
          </w:tcPr>
          <w:p w14:paraId="320D333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1/I-34 г.</w:t>
            </w:r>
          </w:p>
        </w:tc>
      </w:tr>
      <w:tr w:rsidR="00F26F01" w:rsidRPr="00C33834" w14:paraId="53B1598A" w14:textId="77777777">
        <w:tc>
          <w:tcPr>
            <w:tcW w:w="2818" w:type="dxa"/>
          </w:tcPr>
          <w:p w14:paraId="519376B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Летающ. крыло</w:t>
            </w:r>
          </w:p>
        </w:tc>
        <w:tc>
          <w:tcPr>
            <w:tcW w:w="2818" w:type="dxa"/>
          </w:tcPr>
          <w:p w14:paraId="213D9CB4"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4ABA39C3" w14:textId="77777777">
        <w:tc>
          <w:tcPr>
            <w:tcW w:w="2818" w:type="dxa"/>
          </w:tcPr>
          <w:p w14:paraId="55C4ED2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2М11</w:t>
            </w:r>
          </w:p>
        </w:tc>
        <w:tc>
          <w:tcPr>
            <w:tcW w:w="2818" w:type="dxa"/>
          </w:tcPr>
          <w:p w14:paraId="7ECAF23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1/I-34 г.</w:t>
            </w:r>
          </w:p>
        </w:tc>
      </w:tr>
      <w:tr w:rsidR="00F26F01" w:rsidRPr="00C33834" w14:paraId="45B04135" w14:textId="77777777">
        <w:tc>
          <w:tcPr>
            <w:tcW w:w="2818" w:type="dxa"/>
          </w:tcPr>
          <w:p w14:paraId="6546C05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летающ. крыло</w:t>
            </w:r>
          </w:p>
        </w:tc>
        <w:tc>
          <w:tcPr>
            <w:tcW w:w="2818" w:type="dxa"/>
          </w:tcPr>
          <w:p w14:paraId="664D7C8E"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49A4FC42" w14:textId="77777777">
        <w:tc>
          <w:tcPr>
            <w:tcW w:w="2818" w:type="dxa"/>
          </w:tcPr>
          <w:p w14:paraId="15C25E2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w:t>
            </w:r>
          </w:p>
        </w:tc>
        <w:tc>
          <w:tcPr>
            <w:tcW w:w="2818" w:type="dxa"/>
          </w:tcPr>
          <w:p w14:paraId="5CA1E39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1/III-34 г.</w:t>
            </w:r>
          </w:p>
        </w:tc>
      </w:tr>
      <w:tr w:rsidR="00F26F01" w:rsidRPr="00C33834" w14:paraId="01F730AC" w14:textId="77777777">
        <w:tc>
          <w:tcPr>
            <w:tcW w:w="2818" w:type="dxa"/>
          </w:tcPr>
          <w:p w14:paraId="596E591A"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Разрезн. крыло</w:t>
            </w:r>
          </w:p>
        </w:tc>
        <w:tc>
          <w:tcPr>
            <w:tcW w:w="2818" w:type="dxa"/>
          </w:tcPr>
          <w:p w14:paraId="795D0E36" w14:textId="77777777" w:rsidR="00D50409" w:rsidRPr="00C33834" w:rsidRDefault="00D50409" w:rsidP="00C33834">
            <w:pPr>
              <w:spacing w:after="0" w:line="240" w:lineRule="auto"/>
              <w:jc w:val="both"/>
              <w:rPr>
                <w:rFonts w:ascii="Times New Roman" w:hAnsi="Times New Roman"/>
                <w:color w:val="000000" w:themeColor="text1"/>
                <w:sz w:val="16"/>
                <w:szCs w:val="16"/>
              </w:rPr>
            </w:pPr>
          </w:p>
        </w:tc>
      </w:tr>
      <w:tr w:rsidR="00F26F01" w:rsidRPr="00C33834" w14:paraId="037D994D" w14:textId="77777777">
        <w:tc>
          <w:tcPr>
            <w:tcW w:w="2818" w:type="dxa"/>
          </w:tcPr>
          <w:p w14:paraId="0312DE2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 Кричевского</w:t>
            </w:r>
          </w:p>
        </w:tc>
        <w:tc>
          <w:tcPr>
            <w:tcW w:w="2818" w:type="dxa"/>
          </w:tcPr>
          <w:p w14:paraId="05E0287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1/Х-33 г. (2286,64)</w:t>
            </w:r>
          </w:p>
        </w:tc>
      </w:tr>
    </w:tbl>
    <w:p w14:paraId="046EC7AD" w14:textId="77777777" w:rsidR="00D50409" w:rsidRPr="00C33834" w:rsidRDefault="00D50409" w:rsidP="00C33834">
      <w:pPr>
        <w:spacing w:after="0" w:line="240" w:lineRule="auto"/>
        <w:jc w:val="both"/>
        <w:rPr>
          <w:rFonts w:ascii="Times New Roman" w:hAnsi="Times New Roman"/>
          <w:iCs/>
          <w:color w:val="000000" w:themeColor="text1"/>
          <w:sz w:val="16"/>
          <w:szCs w:val="16"/>
        </w:rPr>
      </w:pPr>
    </w:p>
    <w:p w14:paraId="28EEF40D" w14:textId="77777777" w:rsidR="00D5040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21553C3" w14:textId="77777777" w:rsidR="00D50409" w:rsidRPr="00C33834" w:rsidRDefault="00D50409" w:rsidP="00C33834">
      <w:pPr>
        <w:spacing w:after="0" w:line="240" w:lineRule="auto"/>
        <w:jc w:val="both"/>
        <w:rPr>
          <w:rFonts w:ascii="Times New Roman" w:hAnsi="Times New Roman"/>
          <w:iCs/>
          <w:color w:val="000000" w:themeColor="text1"/>
          <w:sz w:val="16"/>
          <w:szCs w:val="16"/>
        </w:rPr>
      </w:pPr>
    </w:p>
    <w:p w14:paraId="373B61B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19 июня 1933 г. принято решение о реконструкции завода (Завод-комбинат № 259 им. В.И. Ленина НКБ, Златоустовский оружейный завод, Златоустовский Князь-Михайловский завод, Златоустовский механический завод им. В.И.Ленина, Златоустовский инструментальный завод-комбинат им. В.И. Ленина ВСНХ, п/я 39, Златоустовский машиностроительный завод им. В.И. Ленина, Завод, ПО им. В.И. Ленина МОП, ОАО «Златоустовский машиностроительный завод «Булат» Росбоеприпаса /г. Златоуст п/я 39 «Сегмент» (1943 г.)/ /456200  г. Златоуст Челябинской обл. пл. </w:t>
      </w:r>
      <w:r w:rsidRPr="00C33834">
        <w:rPr>
          <w:rFonts w:ascii="Times New Roman" w:hAnsi="Times New Roman"/>
          <w:color w:val="000000" w:themeColor="text1"/>
          <w:sz w:val="16"/>
          <w:szCs w:val="16"/>
          <w:lang w:val="en-US"/>
        </w:rPr>
        <w:t>Ill</w:t>
      </w:r>
      <w:r w:rsidRPr="00C33834">
        <w:rPr>
          <w:rFonts w:ascii="Times New Roman" w:hAnsi="Times New Roman"/>
          <w:color w:val="000000" w:themeColor="text1"/>
          <w:sz w:val="16"/>
          <w:szCs w:val="16"/>
        </w:rPr>
        <w:t>-го Интернационала, 1/) для массового выпуска быстрорежущего и измерительного инструмента и станкостроения. К концу 1930-х  г. действовали цеха: машиностроительный, сверловый, калибровочный, граверный им. Фрунзе.</w:t>
      </w:r>
    </w:p>
    <w:p w14:paraId="7C1F94E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 НКОП № 382сс от 29.09.1938 г. все здания и сооружения завода, находящиеся на стройплощадке нового строящегося оружейного завода № 54 15ГУ переданы в его ведение.</w:t>
      </w:r>
    </w:p>
    <w:p w14:paraId="62A00DF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23.04.1939 г. завод передан в ведение НКБ и получил № 259. Входил в состав комбината им. Ленина. В 09.1939 г. начато строительство цеха № 35, четвертого снарядного цеха на заводе. К концу 1940 г. завод полностью переведен на производство военной продукции - снарядов и мин.</w:t>
      </w:r>
    </w:p>
    <w:p w14:paraId="3145022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Сюда в начале войны эвакуированы предприятия НКБ: производство 120-мм мин завода № 561 (81 ед. оборудования, 1407 чел.), к 30.01.1942 г. прибыло 60 ед. оборудования, часть его смонтирована и введена в строй, личный состав позднее возвращен в Лианозово; часть завода № 79 из Днепропетровска (производство 100-мм морских снарядов, 240 ед. оборудования, 314 чел.), на ее базе создан новый снарядный цех, который уже в 10.1941 г. выдал первую партию 100-мм снарядов; к 30.01.1942 г. восстановлено производство прежней мощностью - 235 тыс. шт. в год. Производство корпусов снарядов во время ВОВ. В соответствии с распоряжением ГКО № 3699 от 8.07.1943 г. с 3-го квартала 1943 г. на заводе ограничено производство шанцевого и деревообрабатываюего инструмента.</w:t>
      </w:r>
    </w:p>
    <w:p w14:paraId="3F70F70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12.1942-09.1944 г. -в ведении 4ГУ НКБ. Имел обозначение «п/я 39» (1943 г.).</w:t>
      </w:r>
    </w:p>
    <w:p w14:paraId="6BC08A7F"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составе завода цехи (1943 г.): основные: механические, кузнечно-прессовые, термический, мартеновский, чугунолитейный, цветного литья; вспомогательные: инструментальный, пресс-состр., столярного инструмента и холодного оружия.</w:t>
      </w:r>
    </w:p>
    <w:p w14:paraId="548E1FA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распоряжением ГКО № 6369 от 11.08.1944 г. комбинат им. Ленина НКБ разделен на два завода: № 259 и № 391 НКБ (бывший цех холодного оружия).</w:t>
      </w:r>
    </w:p>
    <w:p w14:paraId="6B600FC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05.1945 г. завод по спецзаказу изготовил клинки для участников Парада Победы в Москве.</w:t>
      </w:r>
    </w:p>
    <w:p w14:paraId="5F49DFD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04.1946 г. начат выпуск сельскохозяйственных культиваторов, с 11.1946 г.- буровых машин для нефтяников. 1.05.1948 г. выпущен первый самоходный комбайн. В 1959 г. завод первым в РСФСР освоил выпуск экскаваторов на базе колесных тракторов ЮМЗ. Пост, правительства в 1964 г. Златоустовскому машиностроительному заводу поручено освоение производства бытовых холодильников.</w:t>
      </w:r>
    </w:p>
    <w:p w14:paraId="301C3A74"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приказу МОП от 20.11.1991 г. на базе Завода им. В.И. Ленина создано ПО, в состав которого вошли также завод экскаваторов, завод холодильников (с 1993 г.- АООТ «Златоустовский завод холодильников «Полюс»), металлургический завод, сельскохозяйственное предприятие, конструкторско-технологическая фирма «Конструктор», техноторговый центр «Зенит».</w:t>
      </w:r>
    </w:p>
    <w:p w14:paraId="45FB52B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03.1998 г. было налажено производство казачьих шашек образца 1881 г.</w:t>
      </w:r>
    </w:p>
    <w:p w14:paraId="55A07FB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1993 г. завод был акционирован на базе 15 % основных фондов. В 11.1996 г. на заводе введено конкурсное управление, в 05.1998 г. завод объявлен банкротом. Затем в результате реструктуризации было создано ОАО «Завод «Булат». По Указу Президента РФ № 1009 от 4.08.2004 г. ОАО вошло в число стратегических оборонных предприятий.</w:t>
      </w:r>
    </w:p>
    <w:p w14:paraId="09502510"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(1943 г.): производственная- 68343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вспомогательная- 23265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w:t>
      </w:r>
    </w:p>
    <w:p w14:paraId="62AA964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Численность персонала (12.1942 г.)- 11.956 чел., (2002 г.)- 11.377 чел.</w:t>
      </w:r>
    </w:p>
    <w:p w14:paraId="4553F5DD"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(02-12.1937 г.)- Я.А. Никольский, (12.1937-06.1940 г.)- В.Ф. Романовский, (1941 г.)- В.Н. Кононов; и.о. директора (04.1943 г.)- Винокуров; (11.1943 г.)- Н.Н. Шилин. Конкурсный управляющий (1996 г.)- И. Золотухин. Гендиректор (2001-04 г.)- В. Вальтер, (2007 г.)- Р.Б. Галин.</w:t>
      </w:r>
    </w:p>
    <w:p w14:paraId="410BF17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Коммерческий директор (2004 г.)- Р.Р. Хаджимуратов. Директор по производству (2004 г.)- </w:t>
      </w:r>
      <w:r w:rsidRPr="00C33834">
        <w:rPr>
          <w:rFonts w:ascii="Times New Roman" w:hAnsi="Times New Roman"/>
          <w:color w:val="000000" w:themeColor="text1"/>
          <w:sz w:val="16"/>
          <w:szCs w:val="16"/>
          <w:lang w:val="en-US"/>
        </w:rPr>
        <w:t>P</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P</w:t>
      </w:r>
      <w:r w:rsidRPr="00C33834">
        <w:rPr>
          <w:rFonts w:ascii="Times New Roman" w:hAnsi="Times New Roman"/>
          <w:color w:val="000000" w:themeColor="text1"/>
          <w:sz w:val="16"/>
          <w:szCs w:val="16"/>
        </w:rPr>
        <w:t>. Билалов.</w:t>
      </w:r>
    </w:p>
    <w:p w14:paraId="023BDF7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(ВОВ)-  Г.А. Винокуров.</w:t>
      </w:r>
    </w:p>
    <w:p w14:paraId="4DF9962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гл. инженера (1964 г.)- Н.В. Машарин.</w:t>
      </w:r>
    </w:p>
    <w:p w14:paraId="7B02248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цехов: (1941 г.-)- В.Я. Клименков, Н.С. Дегтяренко. Начальник производства холодильников (1960-е)- Н.В. Машарин.</w:t>
      </w:r>
    </w:p>
    <w:p w14:paraId="1C40D931"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начальника цеха: калибровочного (1942 г.)- С. Мурдасов.</w:t>
      </w:r>
    </w:p>
    <w:p w14:paraId="7ED8E77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отделов: 2-го (04.1943 г.)- Александров.</w:t>
      </w:r>
    </w:p>
    <w:p w14:paraId="6234C90C"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iCs/>
          <w:color w:val="000000" w:themeColor="text1"/>
          <w:sz w:val="16"/>
          <w:szCs w:val="16"/>
        </w:rPr>
        <w:t>Производство:</w:t>
      </w:r>
      <w:r w:rsidRPr="00C33834">
        <w:rPr>
          <w:rFonts w:ascii="Times New Roman" w:hAnsi="Times New Roman"/>
          <w:color w:val="000000" w:themeColor="text1"/>
          <w:sz w:val="16"/>
          <w:szCs w:val="16"/>
        </w:rPr>
        <w:t xml:space="preserve"> шашки обр. 1927 г., ножи обр. 1941 г. (1943); снаряды: 45-мм бронебойный, 107-мм осколочно- фугасный, зажигательный и химический, 122-мм осколочно-фугасный (1940-) и осветительный (1937- опытная партия, 1940-), 100-мм (1941-), 76-мм, 100-мм, 45-мм (1943); 107-мм мина для горно-вьючного полкового миномета (1940-); комбайн С-4 (1948-); экскаваторы: Э-153 (I960-), ЭО-2621А (1971-), ЭО-2621В2 (1986-), ЭО- 3626 (2004-) (11982).</w:t>
      </w:r>
    </w:p>
    <w:p w14:paraId="1E11C547" w14:textId="77777777" w:rsidR="00D50409" w:rsidRPr="00C33834" w:rsidRDefault="00D50409" w:rsidP="00C33834">
      <w:pPr>
        <w:spacing w:after="0" w:line="240" w:lineRule="auto"/>
        <w:jc w:val="both"/>
        <w:rPr>
          <w:rFonts w:ascii="Times New Roman" w:hAnsi="Times New Roman"/>
          <w:color w:val="000000" w:themeColor="text1"/>
          <w:sz w:val="16"/>
          <w:szCs w:val="16"/>
        </w:rPr>
      </w:pPr>
    </w:p>
    <w:p w14:paraId="2AC9E832" w14:textId="77777777" w:rsidR="00D5040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1EDD90DF" w14:textId="77777777" w:rsidR="00D50409" w:rsidRPr="00C33834" w:rsidRDefault="00D50409" w:rsidP="00C33834">
      <w:pPr>
        <w:spacing w:after="0" w:line="240" w:lineRule="auto"/>
        <w:jc w:val="both"/>
        <w:rPr>
          <w:rFonts w:ascii="Times New Roman" w:hAnsi="Times New Roman"/>
          <w:iCs/>
          <w:color w:val="000000" w:themeColor="text1"/>
          <w:sz w:val="16"/>
          <w:szCs w:val="16"/>
        </w:rPr>
      </w:pPr>
    </w:p>
    <w:p w14:paraId="350B7229"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июня 1933 Франция предоставила Л.Д.Троцкому политическое убежище (2100).</w:t>
      </w:r>
    </w:p>
    <w:p w14:paraId="13275CC0" w14:textId="77777777" w:rsidR="00D50409" w:rsidRPr="00C33834" w:rsidRDefault="00D50409" w:rsidP="00C33834">
      <w:pPr>
        <w:spacing w:after="0" w:line="240" w:lineRule="auto"/>
        <w:jc w:val="both"/>
        <w:rPr>
          <w:rFonts w:ascii="Times New Roman" w:hAnsi="Times New Roman"/>
          <w:color w:val="000000" w:themeColor="text1"/>
          <w:sz w:val="16"/>
          <w:szCs w:val="16"/>
        </w:rPr>
      </w:pPr>
    </w:p>
    <w:p w14:paraId="681DDAA9" w14:textId="77777777" w:rsidR="00D5040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C5A65FA" w14:textId="77777777" w:rsidR="00D50409" w:rsidRPr="00C33834" w:rsidRDefault="00D50409" w:rsidP="00C33834">
      <w:pPr>
        <w:spacing w:after="0" w:line="240" w:lineRule="auto"/>
        <w:jc w:val="both"/>
        <w:rPr>
          <w:rFonts w:ascii="Times New Roman" w:hAnsi="Times New Roman"/>
          <w:iCs/>
          <w:color w:val="000000" w:themeColor="text1"/>
          <w:sz w:val="16"/>
          <w:szCs w:val="16"/>
        </w:rPr>
      </w:pPr>
    </w:p>
    <w:p w14:paraId="130706D5" w14:textId="77777777" w:rsidR="000B2414" w:rsidRPr="00C33834" w:rsidRDefault="000B2414"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 xml:space="preserve">19 июня </w:t>
      </w:r>
      <w:r w:rsidRPr="00C33834">
        <w:rPr>
          <w:rFonts w:ascii="Times New Roman" w:hAnsi="Times New Roman"/>
          <w:color w:val="000000" w:themeColor="text1"/>
          <w:sz w:val="16"/>
          <w:szCs w:val="16"/>
        </w:rPr>
        <w:t xml:space="preserve">в 1933 году был заказан морской разведчик «XO3C-12, обозначенный компанией </w:t>
      </w:r>
      <w:hyperlink r:id="rId218" w:tgtFrame="_blank" w:history="1">
        <w:r w:rsidRPr="00C33834">
          <w:rPr>
            <w:rFonts w:ascii="Times New Roman" w:hAnsi="Times New Roman"/>
            <w:color w:val="000000" w:themeColor="text1"/>
            <w:sz w:val="16"/>
            <w:szCs w:val="16"/>
          </w:rPr>
          <w:t xml:space="preserve">«Curtiss» «Model 71», </w:t>
        </w:r>
      </w:hyperlink>
      <w:r w:rsidRPr="00C33834">
        <w:rPr>
          <w:rFonts w:ascii="Times New Roman" w:hAnsi="Times New Roman"/>
          <w:color w:val="000000" w:themeColor="text1"/>
          <w:sz w:val="16"/>
          <w:szCs w:val="16"/>
        </w:rPr>
        <w:t>который совершил свой первый полет в апреле 1934г. В серийное производство он поступил под обозначением «SOC-1» («Model 71A») - самолет предназначался для разведывательных и наблюдательных целей. Во время первого полета прототип был оборудован колесно-поплавковым шасси (два основных колеса располагались в центральном поплавке). Однако серийные самолеты выпускались как поплавковые, но на выбор могли иметь неубирающееся колесное шасси с хвостовым колесом. В любом случае эти самолеты легко переделывались из одной конфигурации в другую. Конструкция была смешанной и имела складывающееся крыло, хвостовое оперение из легких сплавов, фюзеляж с каркасом из сварных стальных труб и смешанную металло-полотняную обшивку. Пилот и стрелок- наблюдатель размещались в тандемных кабинах, закрытых сплошным прозрачным сдвижным фонарем. Чтобы обеспечить максимальное огневое пространство для турельного пулемета, задняя часть фонаря могла убираться (14927).</w:t>
      </w:r>
    </w:p>
    <w:p w14:paraId="0F9DD925" w14:textId="77777777" w:rsidR="000B2414" w:rsidRPr="00C33834" w:rsidRDefault="000B2414" w:rsidP="00C33834">
      <w:pPr>
        <w:spacing w:after="0" w:line="240" w:lineRule="auto"/>
        <w:jc w:val="both"/>
        <w:rPr>
          <w:rFonts w:ascii="Times New Roman" w:hAnsi="Times New Roman"/>
          <w:color w:val="000000" w:themeColor="text1"/>
          <w:sz w:val="16"/>
          <w:szCs w:val="16"/>
        </w:rPr>
      </w:pPr>
    </w:p>
    <w:p w14:paraId="2597DECE" w14:textId="77777777" w:rsidR="002913B1" w:rsidRPr="00C33834" w:rsidRDefault="002913B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19 июня 1933 - Первый полёт трёхместного самолёта-амфибии SEV-3, конструктор Александр Николаевич Прокофьев-Северский сам поднял в воздух свое детище. Испытания показали отличные скоростные качества машины. 8 ноября 1927 года Северский получил американское подданство, а в следующем году ему было присвоено звание майора ВВС США (в запасе). Успешное развитие дел было нарушено тяжелейшим экономическим кризисом, разразившимся в США в конце 1920-х годов. Среди тысяч обанкротившихся предприятий оказалась и фирма Северского. В очередной раз всё пришлось начинать заново. К началу 1930-х годов он разработал проект самолёта-амфибии. Для реализации замысла собрал вокруг себя несколько единомышленников, и в феврале 1931 года в Лонг Айленде (штат Нью-Йорк) появилась новая самолётостроительная фирма Северский Айркрафт Корпорейшн. Александр стал одновременно президентом, конструктором и лётчиком-испытателем. Главным инженером был его соотечественник талантливый авиационный специалист Александр Михайлович Картвели. В конструкторскую группу входили также инженеры М.Грегор и М.Бондар. Собственного производства новоиспеченная фирма не имела, и Северский заключил договор на изготовление самолёта с расположенным по соседству авиационным предприятием. Трёхместный самолёт-амфибия, названный SEV-3, был готов к лету 1933 года. Эта подлинно новаторская машина представляла собой цельнометаллический моноплан с низкорасположенным свободнонесущим крылом с работающей обшивкой. В отличие от других металлических самолётов того времени гофрированную обшивку крыла покрыли сверху гладкими металлическими листами. Это, наряду с хорошо обтекаемым фюзеляжем овальной формы, позволило заметно уменьшить аэродинамическое сопротивление. В результате по максимальной скорости амфибия, несмотря на большие подкрыльевые поплавки, не уступала самолётам с обычным колесным шасси (22457).</w:t>
      </w:r>
    </w:p>
    <w:p w14:paraId="4E4B49FF" w14:textId="77777777" w:rsidR="002913B1" w:rsidRPr="00C33834" w:rsidRDefault="002913B1" w:rsidP="00C33834">
      <w:pPr>
        <w:pStyle w:val="article-renderblock"/>
        <w:shd w:val="clear" w:color="auto" w:fill="FFFFFF"/>
        <w:spacing w:before="0" w:beforeAutospacing="0" w:after="0" w:afterAutospacing="0"/>
        <w:jc w:val="both"/>
        <w:rPr>
          <w:color w:val="0070C0"/>
          <w:sz w:val="16"/>
          <w:szCs w:val="16"/>
        </w:rPr>
      </w:pPr>
    </w:p>
    <w:p w14:paraId="35A02A06"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июня 1933 В Австрии канцлер Дольфус отдает распоряжение о роспуске нацистской партии, однако нацистская агитация в стране продолжается (7444).</w:t>
      </w:r>
    </w:p>
    <w:p w14:paraId="5C78E9E4" w14:textId="77777777" w:rsidR="00D50409" w:rsidRPr="00C33834" w:rsidRDefault="00D50409" w:rsidP="00C33834">
      <w:pPr>
        <w:spacing w:after="0" w:line="240" w:lineRule="auto"/>
        <w:jc w:val="both"/>
        <w:rPr>
          <w:rFonts w:ascii="Times New Roman" w:hAnsi="Times New Roman"/>
          <w:color w:val="000000" w:themeColor="text1"/>
          <w:sz w:val="16"/>
          <w:szCs w:val="16"/>
        </w:rPr>
      </w:pPr>
    </w:p>
    <w:p w14:paraId="25B1B522" w14:textId="77777777" w:rsidR="00D5040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D7EA302" w14:textId="77777777" w:rsidR="00D50409" w:rsidRPr="00C33834" w:rsidRDefault="00D50409" w:rsidP="00C33834">
      <w:pPr>
        <w:spacing w:after="0" w:line="240" w:lineRule="auto"/>
        <w:jc w:val="both"/>
        <w:rPr>
          <w:rFonts w:ascii="Times New Roman" w:hAnsi="Times New Roman"/>
          <w:iCs/>
          <w:color w:val="000000" w:themeColor="text1"/>
          <w:sz w:val="16"/>
          <w:szCs w:val="16"/>
        </w:rPr>
      </w:pPr>
    </w:p>
    <w:p w14:paraId="6E404C68"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июня 1933 ЦАГИ получил новый самолет ТБ-3 для заводских испытаний и доводок (2310,143). Это был ТБ-3 без редукторов взамен того, который был разбит на испытаниях (2287,129).</w:t>
      </w:r>
    </w:p>
    <w:p w14:paraId="33C012F7" w14:textId="77777777" w:rsidR="00D50409" w:rsidRPr="00C33834" w:rsidRDefault="00D50409" w:rsidP="00C33834">
      <w:pPr>
        <w:spacing w:after="0" w:line="240" w:lineRule="auto"/>
        <w:jc w:val="both"/>
        <w:rPr>
          <w:rFonts w:ascii="Times New Roman" w:hAnsi="Times New Roman"/>
          <w:color w:val="000000" w:themeColor="text1"/>
          <w:sz w:val="16"/>
          <w:szCs w:val="16"/>
        </w:rPr>
      </w:pPr>
    </w:p>
    <w:p w14:paraId="6AA457D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июня 1933 был подготовлен отчет НИИ ВВС по испытаниям двух Р-5 с двумя вариантами разрезных крыльев. Из предъявленных к испытаниям двух вариантов разрезных крыльев, первый вариант был УВВС забракован, а по второму варианту было признано “рациональным построить серию самолетов Р5-М17 с разрезными крыльями по типу испытанного самолета для войсковых испытаний (10-12 самолетов). Из отчета испытаний видно. Что этот второй вариант разрезных крыльев дал самолету Р5 следующие качества: посадочная скорость сократилась на 17%, длина пробега сократилась на 45%, улучшилась управляемость на малых скоростях, улучшилась устойчивость на виражах.</w:t>
      </w:r>
    </w:p>
    <w:p w14:paraId="3DCA78DF"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июня это заключение НИИ ВВС было утверждено актом начальника ВВС Алксниса, в котором он предлагает начальнику управления МТС “дать заказ ГУАПу (согласно постановления КО) на постройку 10 самолетов Р5-М17 со вторым вариантом разрезных крыльев для войсковых испытаний”. Затем Алкснис отменил решение о заказе серии в 10 самолетов Р-5 со вторым вариантом разрезных крыльев, а ГУАПу было предложено сконструировать третий вариант разрезных крыльев, в котором были бы устранены дефекты, выявленные во втором варианте (4234).</w:t>
      </w:r>
    </w:p>
    <w:p w14:paraId="1B8BCB78" w14:textId="77777777" w:rsidR="00D50409" w:rsidRPr="00C33834" w:rsidRDefault="00D50409" w:rsidP="00C33834">
      <w:pPr>
        <w:spacing w:after="0" w:line="240" w:lineRule="auto"/>
        <w:jc w:val="both"/>
        <w:rPr>
          <w:rFonts w:ascii="Times New Roman" w:hAnsi="Times New Roman"/>
          <w:color w:val="000000" w:themeColor="text1"/>
          <w:sz w:val="16"/>
          <w:szCs w:val="16"/>
        </w:rPr>
      </w:pPr>
    </w:p>
    <w:p w14:paraId="5D0986DF" w14:textId="77777777" w:rsidR="001C32AD" w:rsidRPr="00C33834" w:rsidRDefault="001C32AD"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20 июня 1933 г. Ю.И. Пионтковский выполнил первый полет на АИР-6А, на месте пассажира сидел А.С. Яковлев. Во второй полет взяли корреспондента газеты «Известия». А 24 июня гидроплан участвовал в спортивном празднике общества «Динамо», проходившем на водной станции напротив Центрального парка культуры и отдыха им. Горького.</w:t>
      </w:r>
    </w:p>
    <w:p w14:paraId="5187EF67" w14:textId="77777777" w:rsidR="001C32AD" w:rsidRPr="00C33834" w:rsidRDefault="001C32AD"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Там же 6 - 17 июля проходили государственные испытания АИР-6А по программе СНИИ ГВФ. Кроме Ю.И. Пионтковского, на машине летал Б.Л. Местон. В ходе испытаний совершили перелет Москва - Коломна - Москва.</w:t>
      </w:r>
    </w:p>
    <w:p w14:paraId="66F82CD0" w14:textId="77777777" w:rsidR="001C32AD" w:rsidRPr="00C33834" w:rsidRDefault="001C32AD"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Несмотря на увеличение веса и дополнительное аэродинамическое сопротивление поплавков, данные самолета не особенно снизились. Машина хорошо слушалась рулей. Нагрузки на ручке и педалях определялась как «незначительные». Благодаря хорошей устойчивости пилот мог позволить себе бросить ручку управления не только на прямой, но и при выполнении виражей. Более того, самолет сам исправлял небольшие ошибки летчика. АИР-6А маневрировал на малой высоте без риска потери скорости. Тенденция к сваливанию на крыло отсутствовала. В отчете указывалось, что АИР-6А «может найти применение во многих отраслях народного хозяйства». Машину рекомендовали к серийному производству (19099).</w:t>
      </w:r>
    </w:p>
    <w:p w14:paraId="59DC2511" w14:textId="77777777" w:rsidR="001C32AD" w:rsidRPr="00C33834" w:rsidRDefault="001C32AD" w:rsidP="00C33834">
      <w:pPr>
        <w:pStyle w:val="a8"/>
        <w:jc w:val="both"/>
        <w:rPr>
          <w:rFonts w:ascii="Times New Roman" w:hAnsi="Times New Roman" w:cs="Times New Roman"/>
          <w:color w:val="000000" w:themeColor="text1"/>
        </w:rPr>
      </w:pPr>
    </w:p>
    <w:p w14:paraId="6D86E087"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До 20 июня 1933 "агрегат" (по фамилии конструктора основной редуктор в документах иногда именовали "агрегат т. Дзюбе") с М-17 наработал 58 ч. 9 апреля 1933 после многократных поломок запуски прекратили и испытания опытного образца мотоустановки для Д-1 или Г-1 - два спаренных М-27, которые шли с 23 января - приостановили. Затем вместо двух М-27 поставили пару М-17 меньшей мощности.</w:t>
      </w:r>
    </w:p>
    <w:p w14:paraId="6A6095B3"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15 февраля 1933 г. были выполнены все рабочие чертежи оперения, 98% чертежей шасси, 94% - фюзеляжа, 70% - консолей крыла, 50% - нервюр центроплана. К 1 апреля 1933 г. академия должна была предъявить макет самолета. Был ли он изготовлен - неизвестно.</w:t>
      </w:r>
    </w:p>
    <w:p w14:paraId="165BDB35"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по Г-1 (Д-1) приостановили в первом квартале 1934 г. Причина была тривиальной - кончились отпущенные деньги. Готовность опытного образца в это время определяли в 70%. По оценкам конструкторов, для завершения машины требовалось еще 508 000 рублей (12036).</w:t>
      </w:r>
    </w:p>
    <w:p w14:paraId="5CF5384D" w14:textId="77777777" w:rsidR="00D50409" w:rsidRPr="00C33834" w:rsidRDefault="00D50409" w:rsidP="00C33834">
      <w:pPr>
        <w:spacing w:after="0" w:line="240" w:lineRule="auto"/>
        <w:jc w:val="both"/>
        <w:rPr>
          <w:rFonts w:ascii="Times New Roman" w:hAnsi="Times New Roman"/>
          <w:color w:val="000000" w:themeColor="text1"/>
          <w:sz w:val="16"/>
          <w:szCs w:val="16"/>
        </w:rPr>
      </w:pPr>
    </w:p>
    <w:p w14:paraId="467DB6B7" w14:textId="77777777" w:rsidR="00D5040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5FD77507" w14:textId="77777777" w:rsidR="00D50409" w:rsidRPr="00C33834" w:rsidRDefault="00D50409" w:rsidP="00C33834">
      <w:pPr>
        <w:spacing w:after="0" w:line="240" w:lineRule="auto"/>
        <w:jc w:val="both"/>
        <w:rPr>
          <w:rFonts w:ascii="Times New Roman" w:hAnsi="Times New Roman"/>
          <w:iCs/>
          <w:color w:val="000000" w:themeColor="text1"/>
          <w:sz w:val="16"/>
          <w:szCs w:val="16"/>
        </w:rPr>
      </w:pPr>
    </w:p>
    <w:p w14:paraId="67B1729E"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июня 1933 был открыт Беломорканал им. И.В.С. (3186).</w:t>
      </w:r>
    </w:p>
    <w:p w14:paraId="1D8718E0" w14:textId="77777777" w:rsidR="00D50409" w:rsidRPr="00C33834" w:rsidRDefault="00D50409" w:rsidP="00C33834">
      <w:pPr>
        <w:spacing w:after="0" w:line="240" w:lineRule="auto"/>
        <w:jc w:val="both"/>
        <w:rPr>
          <w:rFonts w:ascii="Times New Roman" w:hAnsi="Times New Roman"/>
          <w:color w:val="000000" w:themeColor="text1"/>
          <w:sz w:val="16"/>
          <w:szCs w:val="16"/>
        </w:rPr>
      </w:pPr>
    </w:p>
    <w:p w14:paraId="62D21E6B" w14:textId="77777777" w:rsidR="002620B8" w:rsidRPr="00C33834" w:rsidRDefault="002620B8"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20 июня</w:t>
      </w:r>
      <w:r w:rsidRPr="00C33834">
        <w:rPr>
          <w:rFonts w:ascii="Times New Roman" w:hAnsi="Times New Roman"/>
          <w:color w:val="000000" w:themeColor="text1"/>
          <w:sz w:val="16"/>
          <w:szCs w:val="16"/>
        </w:rPr>
        <w:t xml:space="preserve"> в 1933 году завершено строительство Беломорско-Балтийского канала. Беломорско-Балтийский канал (сокращённо Беломорканал, ББК, до 1961 — Беломорско-Балтийский канал имени Сталина) — канал, соединяющий Белое море с Онежским озером и имеющий выход в Балтийское море и к Волго-Балтийскому водному пути. Построен между 1931 и 1933 годами в рекордно короткий срок. Был построен заключёнными ГУЛАГ. Общая протяжённость канала — 227 километров. Включает 19 шлюзов. Награждён Орденом Трудового Красного Знамени в 1983 году. Считается гордостью первой пятилетки (1929—1932), но к числу «Великих строек коммунизма» не относится. В 1930-х годах советское правительство обратилось к вопросу строительства канала. 3 июня 1930 года было принято решение о начале работ. 1 июля 1931 года были поданы на рассмотрение первые эскизные проекты строительства, а месяцем позже начались работы по проектированию на местности. Хотя окончательный проект был утверждён в феврале 1932 года, к строительству приступили ещё в конце 1931-го, оно длилось 1 год и 9 месяцев (по другим источникам — 20 месяцев ). В рекордно короткие сроки были построены более 100 сложных инженерных сооружений, проложено 2,5 тысячи км железнодорожных путей. Постройка совершалась без современной техники и без поставок от страны. В сооружениях канала применялись главным образом местные недефицитные строительные материалы: дерево, камень, грунт, торф. Строительство велось в основном заключёнными ГУЛАГа, общая численность которых не превышает 126 тысяч человек. В разные периоды строительства численность заключённых менялась, не превышая 108 тысяч. Каждый подневольный строитель назывался заключённый каналоармеец, сокращенно «з/к», от чего произошло жаргонное слово «зек». Подразделение ГУЛАГа на канале называлось Беломоро-Балтийский лагерь («БелБалтЛаг»). Кураторами стройки стали будущий сталинский нарком Генрих Ягода и начальник ГУЛАГа Матвей Берман. Строительством канала с 1931 по 1933 год руководил Н. А. Френкель. Именно ему приписывают идею использования дешёвой рабочей силы заключённых для работы на крупных народно-хозяйственных стройках. В руководство БелБалтЛага на этапе строительства входили также Э.И.Сенкевич, П.Ф.Александров и С.Г.Фирин. В целом, за всё время строительства, каналоармейцы выполнили земляные работы объёмом 21 млн. кубометров, соорудили 37 км искусственных путей, перенесли Мурманскую железную дорогу, которая мешала проведению земляных работ. Норма питания заключенных (т. н. «пайка» зависела от фактической выработки: чем меньше з/к вырабатывал, тем меньшим была его пайка, а за ударный труд пайку, наоборот, увеличивали. Обычный паёк заключённого-строителя составляли буханка хлеба и баланда из мороженой рыбы. Согласно официальным данным во время строительства канала в БелБалтЛаге умерло в 1931 году 1438 заключённых (2,24 % от числа работавших), в 1932 году — 2010 человек (2,03 %), в 1933 году 8870 заключённых (10,56 %) из-за голода в стране и аврала перед завершением стройки. По другим данным на строительстве канала погибло от 50 до 200 тысяч человек (по разным источникам). После окончания строительства 4 августа 1933 года освобождены 12484 заключённых, сокращены сроки для 59516 заключённых. За руководство строительством награждены орденом Ленина 6 крупных деятелей ОГПУ — Г.Г.Ягода, М.Д.Берман, Л.И.Коган, Я.Д.Рапопорт, С.Г.Фирин и Н.А.Френкель, а также 2 амнистированных инженера — С.Я.Жук и К.А.Вержбицкий. После окончания строительства в Беломоро-Балтийском комбинате на эксплуатации канала была занята 71 тысяча заключённых. В мае 1933 г. Г.Г.Ягода докладывал И.В.Сталину о готовности Беломорканала. Строительство завершилось 20 июня 1933 года, канал был назван «каналом имени Сталина». 25 июня 1933 г. по всему каналу от начала до конца прошёл пароход «Чекист». В июле этого же года И.В.Сталин, К.Е.Ворошилов и С.М.Киров совершают прогулку на катере по новому рукотворному водному пути (14928).</w:t>
      </w:r>
    </w:p>
    <w:p w14:paraId="31E5CEEE" w14:textId="77777777" w:rsidR="002620B8" w:rsidRPr="00C33834" w:rsidRDefault="002620B8" w:rsidP="00C33834">
      <w:pPr>
        <w:spacing w:after="0" w:line="240" w:lineRule="auto"/>
        <w:jc w:val="both"/>
        <w:rPr>
          <w:rFonts w:ascii="Times New Roman" w:hAnsi="Times New Roman"/>
          <w:color w:val="000000" w:themeColor="text1"/>
          <w:sz w:val="16"/>
          <w:szCs w:val="16"/>
        </w:rPr>
      </w:pPr>
    </w:p>
    <w:p w14:paraId="54D6F761" w14:textId="77777777" w:rsidR="00A503A4" w:rsidRPr="00C33834" w:rsidRDefault="00A503A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20 июня 1933 года Беломорско-Балтийскому каналу присвоено имя И.В.Сталина.</w:t>
      </w:r>
    </w:p>
    <w:p w14:paraId="55DD2532" w14:textId="77777777" w:rsidR="00A503A4" w:rsidRPr="00C33834" w:rsidRDefault="00A503A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25 июня 1933 г. по всему каналу от начала до конца прошёл пароход "Чекист".</w:t>
      </w:r>
    </w:p>
    <w:p w14:paraId="1FE8CAA7" w14:textId="77777777" w:rsidR="00A503A4" w:rsidRPr="00C33834" w:rsidRDefault="00A503A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июле этого же года И. В. Сталин, К. Е. Ворошилов и С. М. Киров совершают прогулку на катере по новому рукотворному водному пути.</w:t>
      </w:r>
    </w:p>
    <w:p w14:paraId="40B33A31" w14:textId="77777777" w:rsidR="00A503A4" w:rsidRPr="00C33834" w:rsidRDefault="00A503A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августа 1933 года строительство канала было завершено.</w:t>
      </w:r>
    </w:p>
    <w:p w14:paraId="36CC3541" w14:textId="77777777" w:rsidR="00A503A4" w:rsidRPr="00C33834" w:rsidRDefault="00A503A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Официальное открытие канала состоялось 5 августа 1933 года.</w:t>
      </w:r>
    </w:p>
    <w:p w14:paraId="5323D514" w14:textId="77777777" w:rsidR="00A503A4" w:rsidRPr="00C33834" w:rsidRDefault="00A503A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17 августа 1933 года был организован Беломорско-Балтийский комбинат, в задачи которого входила эксплуатация канала, а также освоение районов, которые окружали канал.</w:t>
      </w:r>
    </w:p>
    <w:p w14:paraId="20B251A2" w14:textId="77777777" w:rsidR="00A503A4" w:rsidRPr="00C33834" w:rsidRDefault="00A503A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17 августа 1933 года ББК посетила группа из 120 писателей и художников во главе с Максимом Горьким (также среди них были такие известные писатели, как Алексей Толстой, Михаил Зощенко, Вс. Иванов, Виктор Шкловский, Ильф и Петров, Бруно Ясeнский, Валентин Катаев, Вера Инбер, С. Буданцев, Д. Мирский и другие) для освещения строительства канала. Часть из них (36 человек) приняли затем участие в написании 600-страничной книги, посвящённой созданию Беломорканала. Памятная книга "Беломорско-Балтийский канал имени Сталина" была издана в конце 1934 года Гос. издательством "История фабрик и заводов", специально к XVII съезду коммунистической партии. Редакторами книги являлись: Максим Горький, Л. Л. Авербах, С. Г. Фирин.</w:t>
      </w:r>
    </w:p>
    <w:p w14:paraId="73F286DF" w14:textId="77777777" w:rsidR="00A503A4" w:rsidRPr="00C33834" w:rsidRDefault="00A503A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Официальное открытие первой судоходной навигации состоялось 30 августа 1933 года.</w:t>
      </w:r>
    </w:p>
    <w:p w14:paraId="3A2CFCBE" w14:textId="77777777" w:rsidR="00A503A4" w:rsidRPr="00C33834" w:rsidRDefault="00A503A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Со стратегической точки зрения канал предоставил возможность связать Белое и Балтийское моря. Уже в 1933 году Беломорский канал позволил создать защиту северных рубежей государства. До этого времени северо-арктическое побережье практически никем не охранялось и не было защищено от возможного вторжения. Первыми судами, прошедшими по новой водной трассе, стали военные корабли - одни из первых советских субмарин класса "Декабрист".</w:t>
      </w:r>
    </w:p>
    <w:p w14:paraId="6AE8D5DE" w14:textId="77777777" w:rsidR="00A503A4" w:rsidRPr="00C33834" w:rsidRDefault="00A503A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первую навигацию 1933 года было перевезено 1143 тыс. тонн грузов и 27 тыс. пассажиров. В 1940 году объём перевозок составил около миллиона тонн. Пик грузоперевозок по каналу пришёлся на 1985 год. Тогда по Беломорско-Балтийскому водному пути было перевезено 7 млн. 300 тыс. тонн грузов. Такие объёмы перевозок сохранялись на протяжении последующих пяти лет, после чего интенсивность судоходства по каналу значительно снизилась (21177).</w:t>
      </w:r>
    </w:p>
    <w:p w14:paraId="0161A57B" w14:textId="77777777" w:rsidR="00A503A4" w:rsidRPr="00C33834" w:rsidRDefault="00A503A4" w:rsidP="00C33834">
      <w:pPr>
        <w:spacing w:after="0" w:line="240" w:lineRule="auto"/>
        <w:jc w:val="both"/>
        <w:rPr>
          <w:rFonts w:ascii="Times New Roman" w:hAnsi="Times New Roman"/>
          <w:color w:val="0070C0"/>
          <w:sz w:val="16"/>
          <w:szCs w:val="16"/>
        </w:rPr>
      </w:pPr>
    </w:p>
    <w:p w14:paraId="5840550E" w14:textId="77777777" w:rsidR="00D50409" w:rsidRPr="00C33834" w:rsidRDefault="00D5040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июня 1933 создана генеральная прокуратура СССР (4962).</w:t>
      </w:r>
    </w:p>
    <w:p w14:paraId="370BD6B3" w14:textId="77777777" w:rsidR="00D50409" w:rsidRPr="00C33834" w:rsidRDefault="00D50409" w:rsidP="00C33834">
      <w:pPr>
        <w:tabs>
          <w:tab w:val="left" w:pos="11199"/>
        </w:tabs>
        <w:spacing w:after="0" w:line="240" w:lineRule="auto"/>
        <w:jc w:val="both"/>
        <w:rPr>
          <w:rFonts w:ascii="Times New Roman" w:hAnsi="Times New Roman"/>
          <w:color w:val="000000" w:themeColor="text1"/>
          <w:sz w:val="16"/>
          <w:szCs w:val="16"/>
        </w:rPr>
      </w:pPr>
    </w:p>
    <w:p w14:paraId="5C3857FC" w14:textId="77777777" w:rsidR="00D5040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89438E8" w14:textId="77777777" w:rsidR="00D50409" w:rsidRPr="00C33834" w:rsidRDefault="00D50409" w:rsidP="00C33834">
      <w:pPr>
        <w:spacing w:after="0" w:line="240" w:lineRule="auto"/>
        <w:jc w:val="both"/>
        <w:rPr>
          <w:rFonts w:ascii="Times New Roman" w:hAnsi="Times New Roman"/>
          <w:iCs/>
          <w:color w:val="000000" w:themeColor="text1"/>
          <w:sz w:val="16"/>
          <w:szCs w:val="16"/>
        </w:rPr>
      </w:pPr>
    </w:p>
    <w:p w14:paraId="69581EBB" w14:textId="77777777" w:rsidR="00D50409" w:rsidRPr="00C33834" w:rsidRDefault="00D504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июня 1933 было подготовлено заключение Нач. бригады 3 ЦКБ завода 39 Чижевского по поводу заявки на специальное оборудование для самолета ЦКБ-2 (2304,40).</w:t>
      </w:r>
    </w:p>
    <w:p w14:paraId="749FCEE9" w14:textId="77777777" w:rsidR="00D50409" w:rsidRPr="00C33834" w:rsidRDefault="00D50409" w:rsidP="00C33834">
      <w:pPr>
        <w:spacing w:after="0" w:line="240" w:lineRule="auto"/>
        <w:jc w:val="both"/>
        <w:rPr>
          <w:rFonts w:ascii="Times New Roman" w:hAnsi="Times New Roman"/>
          <w:color w:val="000000" w:themeColor="text1"/>
          <w:sz w:val="16"/>
          <w:szCs w:val="16"/>
        </w:rPr>
      </w:pPr>
    </w:p>
    <w:p w14:paraId="31D1BED3" w14:textId="77777777" w:rsidR="002620B8" w:rsidRPr="00C33834" w:rsidRDefault="002620B8" w:rsidP="00C33834">
      <w:pPr>
        <w:pStyle w:val="rtejustify"/>
        <w:spacing w:before="0" w:after="0"/>
        <w:rPr>
          <w:color w:val="000000" w:themeColor="text1"/>
          <w:sz w:val="16"/>
          <w:szCs w:val="16"/>
        </w:rPr>
      </w:pPr>
      <w:r w:rsidRPr="00C33834">
        <w:rPr>
          <w:rStyle w:val="af0"/>
          <w:bCs/>
          <w:i w:val="0"/>
          <w:color w:val="000000" w:themeColor="text1"/>
          <w:sz w:val="16"/>
          <w:szCs w:val="16"/>
        </w:rPr>
        <w:t>21 июня</w:t>
      </w:r>
      <w:r w:rsidRPr="00C33834">
        <w:rPr>
          <w:color w:val="000000" w:themeColor="text1"/>
          <w:sz w:val="16"/>
          <w:szCs w:val="16"/>
        </w:rPr>
        <w:t xml:space="preserve"> 1933 вышел приказ РВСС № 13. 1. О состоянии опытного моторо- и самолетостроения. (Тухачевский, Егоров, Алкснис, Меженинов). 3. Система танкового вооружения. (Егоров, Халепский). 5. Об организации научно-исследовательских и конструкторских работ в РККА. (Тухачевский). 7. О минно-торпедном вооружении ВВС РККА. (Алкснис, Орлов, Бекаури). 9. О порядке размещения опытных заказов. (Хрулев). 10. О результатах испытаний механической трубки Георгиева (МТГ). (Тухачевский). (РГВА. Ф. 4. Оп. 18. Д. 23. Л. 210</w:t>
      </w:r>
      <w:r w:rsidRPr="00C33834">
        <w:rPr>
          <w:color w:val="000000" w:themeColor="text1"/>
          <w:sz w:val="16"/>
          <w:szCs w:val="16"/>
        </w:rPr>
        <w:noBreakHyphen/>
        <w:t>212) (15461).</w:t>
      </w:r>
    </w:p>
    <w:p w14:paraId="569279FF" w14:textId="77777777" w:rsidR="002620B8" w:rsidRPr="00C33834" w:rsidRDefault="002620B8" w:rsidP="00C33834">
      <w:pPr>
        <w:pStyle w:val="rtejustify"/>
        <w:spacing w:before="0" w:after="0"/>
        <w:rPr>
          <w:rStyle w:val="af0"/>
          <w:bCs/>
          <w:i w:val="0"/>
          <w:color w:val="000000" w:themeColor="text1"/>
          <w:sz w:val="16"/>
          <w:szCs w:val="16"/>
        </w:rPr>
      </w:pPr>
    </w:p>
    <w:p w14:paraId="4C5F0134" w14:textId="77777777" w:rsidR="002620B8"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3BE125C" w14:textId="77777777" w:rsidR="002620B8" w:rsidRPr="00C33834" w:rsidRDefault="002620B8" w:rsidP="00C33834">
      <w:pPr>
        <w:spacing w:after="0" w:line="240" w:lineRule="auto"/>
        <w:jc w:val="both"/>
        <w:rPr>
          <w:rFonts w:ascii="Times New Roman" w:hAnsi="Times New Roman"/>
          <w:iCs/>
          <w:color w:val="000000" w:themeColor="text1"/>
          <w:sz w:val="16"/>
          <w:szCs w:val="16"/>
        </w:rPr>
      </w:pPr>
    </w:p>
    <w:p w14:paraId="5DD357E5" w14:textId="77777777" w:rsidR="002620B8" w:rsidRPr="00C33834" w:rsidRDefault="002620B8"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21 июня</w:t>
      </w:r>
      <w:r w:rsidRPr="00C33834">
        <w:rPr>
          <w:rFonts w:ascii="Times New Roman" w:hAnsi="Times New Roman"/>
          <w:color w:val="000000" w:themeColor="text1"/>
          <w:sz w:val="16"/>
          <w:szCs w:val="16"/>
        </w:rPr>
        <w:t xml:space="preserve"> в 1933 году в бухте Золотой Рог города Владивостока состоялось пробное погружение первой советской тихоокеанской подводной лодки. Командиром лодки был ныне Герой Советского Союза вице-адмирал в отставке Г.Н.Холостяков (14929).</w:t>
      </w:r>
    </w:p>
    <w:p w14:paraId="0FDFCB6E" w14:textId="77777777" w:rsidR="002620B8" w:rsidRPr="00C33834" w:rsidRDefault="002620B8" w:rsidP="00C33834">
      <w:pPr>
        <w:spacing w:after="0" w:line="240" w:lineRule="auto"/>
        <w:jc w:val="both"/>
        <w:rPr>
          <w:rFonts w:ascii="Times New Roman" w:hAnsi="Times New Roman"/>
          <w:color w:val="000000" w:themeColor="text1"/>
          <w:sz w:val="16"/>
          <w:szCs w:val="16"/>
        </w:rPr>
      </w:pPr>
    </w:p>
    <w:p w14:paraId="178BE945" w14:textId="77777777" w:rsidR="002620B8"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D80B948" w14:textId="77777777" w:rsidR="002620B8" w:rsidRPr="00C33834" w:rsidRDefault="002620B8" w:rsidP="00C33834">
      <w:pPr>
        <w:spacing w:after="0" w:line="240" w:lineRule="auto"/>
        <w:jc w:val="both"/>
        <w:rPr>
          <w:rFonts w:ascii="Times New Roman" w:hAnsi="Times New Roman"/>
          <w:iCs/>
          <w:color w:val="000000" w:themeColor="text1"/>
          <w:sz w:val="16"/>
          <w:szCs w:val="16"/>
        </w:rPr>
      </w:pPr>
    </w:p>
    <w:p w14:paraId="7E50E85A" w14:textId="77777777" w:rsidR="002620B8" w:rsidRPr="00C33834" w:rsidRDefault="002620B8"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21 июня</w:t>
      </w:r>
      <w:r w:rsidRPr="00C33834">
        <w:rPr>
          <w:rFonts w:ascii="Times New Roman" w:hAnsi="Times New Roman"/>
          <w:color w:val="000000" w:themeColor="text1"/>
          <w:sz w:val="16"/>
          <w:szCs w:val="16"/>
        </w:rPr>
        <w:t xml:space="preserve"> в 1933 году состоялся первый полет прототипа «N-1» английского многоцелевого гидроплана </w:t>
      </w:r>
      <w:hyperlink r:id="rId219" w:tgtFrame="_blank" w:history="1">
        <w:r w:rsidRPr="00C33834">
          <w:rPr>
            <w:rFonts w:ascii="Times New Roman" w:hAnsi="Times New Roman"/>
            <w:color w:val="000000" w:themeColor="text1"/>
            <w:sz w:val="16"/>
            <w:szCs w:val="16"/>
          </w:rPr>
          <w:t xml:space="preserve">«Supermarine Walrus». </w:t>
        </w:r>
      </w:hyperlink>
      <w:r w:rsidRPr="00C33834">
        <w:rPr>
          <w:rFonts w:ascii="Times New Roman" w:hAnsi="Times New Roman"/>
          <w:color w:val="000000" w:themeColor="text1"/>
          <w:sz w:val="16"/>
          <w:szCs w:val="16"/>
        </w:rPr>
        <w:t>Машину пилотировал главный испытатель ("Шеф Тест-Пилот") "Виккерса" "Мэтт" Саммерс. Он отметил хорошие летные качества самолета. Единственным существенным недостатком, проявившимся в первые дни испытаний, стала неважная управляемость на рулении по земле, связанная с недоработками в конструкции шасси (14929).</w:t>
      </w:r>
    </w:p>
    <w:p w14:paraId="00EEC5CD" w14:textId="77777777" w:rsidR="002620B8" w:rsidRPr="00C33834" w:rsidRDefault="002620B8" w:rsidP="00C33834">
      <w:pPr>
        <w:spacing w:after="0" w:line="240" w:lineRule="auto"/>
        <w:jc w:val="both"/>
        <w:rPr>
          <w:rFonts w:ascii="Times New Roman" w:hAnsi="Times New Roman"/>
          <w:color w:val="000000" w:themeColor="text1"/>
          <w:sz w:val="16"/>
          <w:szCs w:val="16"/>
        </w:rPr>
      </w:pPr>
    </w:p>
    <w:p w14:paraId="51B6E680" w14:textId="77777777" w:rsidR="00640A34" w:rsidRPr="00C33834" w:rsidRDefault="00640A3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21 июня 1933 состоялся первый полет - Супермарин Морж (20802).</w:t>
      </w:r>
    </w:p>
    <w:p w14:paraId="70B5AAF1" w14:textId="77777777" w:rsidR="00640A34" w:rsidRPr="00C33834" w:rsidRDefault="00640A34" w:rsidP="00C33834">
      <w:pPr>
        <w:spacing w:after="0" w:line="240" w:lineRule="auto"/>
        <w:jc w:val="both"/>
        <w:rPr>
          <w:rFonts w:ascii="Times New Roman" w:hAnsi="Times New Roman"/>
          <w:color w:val="0070C0"/>
          <w:sz w:val="16"/>
          <w:szCs w:val="16"/>
        </w:rPr>
      </w:pPr>
    </w:p>
    <w:p w14:paraId="046BD5B7" w14:textId="77777777" w:rsidR="00640A34" w:rsidRPr="00C33834" w:rsidRDefault="00640A3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21 июня 1933 - Состоялся первый полет прототипа N-1 английского многоцелевого гидроплана Supermarine Walrus. Машину пилотировал главный испытатель ("Шеф Тест-Пилот") "Виккерса" "Мэтт" Саммерс. Он отметил хорошие летные качества самолета. Единственным существенным недостатком, проявившимся в первые дни испытаний, стала неважная управляемость на рулении по земле, связанная с недоработками в конструкции шасси. Всего было построено 770 экземпляров машины. Широко применялся англичанами во Второй Мировой войне (22454).</w:t>
      </w:r>
    </w:p>
    <w:p w14:paraId="37F29231" w14:textId="77777777" w:rsidR="00640A34" w:rsidRPr="00C33834" w:rsidRDefault="00640A34" w:rsidP="00C33834">
      <w:pPr>
        <w:spacing w:after="0" w:line="240" w:lineRule="auto"/>
        <w:jc w:val="both"/>
        <w:rPr>
          <w:rFonts w:ascii="Times New Roman" w:hAnsi="Times New Roman"/>
          <w:color w:val="0070C0"/>
          <w:sz w:val="16"/>
          <w:szCs w:val="16"/>
        </w:rPr>
      </w:pPr>
    </w:p>
    <w:p w14:paraId="6326FBBF" w14:textId="77777777" w:rsidR="0066456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994CA04" w14:textId="77777777" w:rsidR="00664564" w:rsidRPr="00C33834" w:rsidRDefault="0066456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C16FBE2"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июня 1933 г. состоялся первый полет рекордного самолета АНТ-25 "РД" (6395).</w:t>
      </w:r>
    </w:p>
    <w:p w14:paraId="68C9CD50"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D6697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июня 1933 состоялся первый полет АНТ-25 РД с мотором М-34 без редуктора (92,486). Летал М.М.Г. (2072,72).</w:t>
      </w:r>
    </w:p>
    <w:p w14:paraId="5C98567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5B3AE0F6" w14:textId="77777777" w:rsidR="00BB14D0" w:rsidRPr="00C33834" w:rsidRDefault="00BB14D0"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22 июня</w:t>
      </w:r>
      <w:r w:rsidRPr="00C33834">
        <w:rPr>
          <w:rFonts w:ascii="Times New Roman" w:hAnsi="Times New Roman"/>
          <w:color w:val="000000" w:themeColor="text1"/>
          <w:sz w:val="16"/>
          <w:szCs w:val="16"/>
        </w:rPr>
        <w:t xml:space="preserve"> в 1933 году под управлением летчика М.М.Громова состоялся первый полет опытного самолета «АНТ-25» с двигателем «М-34» без редуктора. Самолет представлял собой цельнометаллический свободнонесущий моноплан с двигателем «М-34» мощностью 874 л.с. На этом самолете были выполнены исторические дальние полеты экипажей М.Громова и В.Чкалова, а в 1937 г. установлен мировой рекорд дальности полета по прямой - 10 148 м. По оценке М.М.Громова самолет оказался устойчивым и простым в управлении. С конца июня 1934 г. первый экипаж в составе М.М.Громова, А.И.Филина, И.Т.Спирина начал выполнять дальние испытательные полеты с целью проверки возможностей доработанного второго опытного самолета «АНТ-25». На одномоторном самолете «АНТ-25» он, пробыв в воздухе 75 часов, пролетел 12 411 км. Этот абсолютный мировой рекорд дальности беспосадочного полета по замкнутому маршруту держался много лет (14930).</w:t>
      </w:r>
    </w:p>
    <w:p w14:paraId="7CD51840" w14:textId="77777777" w:rsidR="00BB14D0" w:rsidRPr="00C33834" w:rsidRDefault="00BB14D0" w:rsidP="00C33834">
      <w:pPr>
        <w:spacing w:after="0" w:line="240" w:lineRule="auto"/>
        <w:jc w:val="both"/>
        <w:rPr>
          <w:rFonts w:ascii="Times New Roman" w:hAnsi="Times New Roman"/>
          <w:color w:val="000000" w:themeColor="text1"/>
          <w:sz w:val="16"/>
          <w:szCs w:val="16"/>
        </w:rPr>
      </w:pPr>
    </w:p>
    <w:p w14:paraId="16105C1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июня 1933 года самолет РД-1 или, как его называли, ЦАГИ-25, АНТ-25, пилотируемый летчиком М. М. 1 громовым, совершил первый полет. Вслед за ним на испытания передали второй экземпляр, получивший обозначение РД-2. но уже с редукторным мотором М-34Р. Замена двигателя позволила увеличить дальность полета почти в полтора раза. Но о рекорде пока речь не шла, так как у РД было два французских соперника- Блерио-110 и Beнap-80) с расчетной дальностью 13 000 км.</w:t>
      </w:r>
    </w:p>
    <w:p w14:paraId="0CAAB0F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РД показали, что конструкция перетяжелена, эффективность элеронов и руля поворота малы, а нагрузки на рули велики, что делает самолет опасным при сильной турбулентности. Требовалась также доводка винтомоторной группы. Аэродинамические характеристики обеих машин были значительно хуже, чем у заграничных. Самолет явно нуждался в доработке. И тогда в акте по государственным испытаниям самолета появилась такая запись: «... ЦАГИ все конструктивные изменения по устранению дефектов и доводке рекордных самолетов РД внести в чертежи военного варианта РД (ДБ-1) (...). Алкснис - декабрь 1933 г.» (160).</w:t>
      </w:r>
    </w:p>
    <w:p w14:paraId="0B537A7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1C8E5B23"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июня 1933 состоялся первый полет АНТ-25, с дви</w:t>
      </w:r>
      <w:r w:rsidRPr="00C33834">
        <w:rPr>
          <w:rFonts w:ascii="Times New Roman" w:hAnsi="Times New Roman"/>
          <w:color w:val="000000" w:themeColor="text1"/>
          <w:sz w:val="16"/>
          <w:szCs w:val="16"/>
        </w:rPr>
        <w:softHyphen/>
        <w:t>гателем М-34, пилотируемого Михаилом Громовым с Центрального аэродрома столицы СССР.</w:t>
      </w:r>
    </w:p>
    <w:p w14:paraId="1C4B05C4"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Крыло РД, как и всех машин тех лет, созданных под руководством А.Н. Туполева, имело ферменную конструкцию с тремя лонже</w:t>
      </w:r>
      <w:r w:rsidRPr="00C33834">
        <w:rPr>
          <w:rFonts w:ascii="Times New Roman" w:hAnsi="Times New Roman"/>
          <w:color w:val="000000" w:themeColor="text1"/>
          <w:sz w:val="16"/>
          <w:szCs w:val="16"/>
        </w:rPr>
        <w:softHyphen/>
        <w:t>ронами: два основных и третий — вспомо</w:t>
      </w:r>
      <w:r w:rsidRPr="00C33834">
        <w:rPr>
          <w:rFonts w:ascii="Times New Roman" w:hAnsi="Times New Roman"/>
          <w:color w:val="000000" w:themeColor="text1"/>
          <w:sz w:val="16"/>
          <w:szCs w:val="16"/>
        </w:rPr>
        <w:softHyphen/>
        <w:t>гательный. Полки лонжеронов изготавли</w:t>
      </w:r>
      <w:r w:rsidRPr="00C33834">
        <w:rPr>
          <w:rFonts w:ascii="Times New Roman" w:hAnsi="Times New Roman"/>
          <w:color w:val="000000" w:themeColor="text1"/>
          <w:sz w:val="16"/>
          <w:szCs w:val="16"/>
        </w:rPr>
        <w:softHyphen/>
        <w:t>вались из стальных труб и соединялись за</w:t>
      </w:r>
      <w:r w:rsidRPr="00C33834">
        <w:rPr>
          <w:rFonts w:ascii="Times New Roman" w:hAnsi="Times New Roman"/>
          <w:color w:val="000000" w:themeColor="text1"/>
          <w:sz w:val="16"/>
          <w:szCs w:val="16"/>
        </w:rPr>
        <w:softHyphen/>
        <w:t>клепками с помощью дюралевых подкосов и прочих элементов. Между лонжеронами располагались клепаные бензиновые баки, образовывавшие кессонную конструкцию. К третьему лонжерону крепились элероны с флетнером, обтянутые полотном.</w:t>
      </w:r>
    </w:p>
    <w:p w14:paraId="0528DE96"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Особенностью первого опытного экзем</w:t>
      </w:r>
      <w:r w:rsidRPr="00C33834">
        <w:rPr>
          <w:rFonts w:ascii="Times New Roman" w:hAnsi="Times New Roman"/>
          <w:color w:val="000000" w:themeColor="text1"/>
          <w:sz w:val="16"/>
          <w:szCs w:val="16"/>
        </w:rPr>
        <w:softHyphen/>
        <w:t>пляра РД была система охлаждения двига</w:t>
      </w:r>
      <w:r w:rsidRPr="00C33834">
        <w:rPr>
          <w:rFonts w:ascii="Times New Roman" w:hAnsi="Times New Roman"/>
          <w:color w:val="000000" w:themeColor="text1"/>
          <w:sz w:val="16"/>
          <w:szCs w:val="16"/>
        </w:rPr>
        <w:softHyphen/>
        <w:t>теля, состоявшая из трех радиаторов: двух передней кромке крыла и одного - выпу</w:t>
      </w:r>
      <w:r w:rsidRPr="00C33834">
        <w:rPr>
          <w:rFonts w:ascii="Times New Roman" w:hAnsi="Times New Roman"/>
          <w:color w:val="000000" w:themeColor="text1"/>
          <w:sz w:val="16"/>
          <w:szCs w:val="16"/>
        </w:rPr>
        <w:softHyphen/>
        <w:t>скаемого.</w:t>
      </w:r>
    </w:p>
    <w:p w14:paraId="0BEFE4AE"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Обшивка крыла (как, впрочем, и опере</w:t>
      </w:r>
      <w:r w:rsidRPr="00C33834">
        <w:rPr>
          <w:rFonts w:ascii="Times New Roman" w:hAnsi="Times New Roman"/>
          <w:color w:val="000000" w:themeColor="text1"/>
          <w:sz w:val="16"/>
          <w:szCs w:val="16"/>
        </w:rPr>
        <w:softHyphen/>
        <w:t>ния), за исключением участков, где распо</w:t>
      </w:r>
      <w:r w:rsidRPr="00C33834">
        <w:rPr>
          <w:rFonts w:ascii="Times New Roman" w:hAnsi="Times New Roman"/>
          <w:color w:val="000000" w:themeColor="text1"/>
          <w:sz w:val="16"/>
          <w:szCs w:val="16"/>
        </w:rPr>
        <w:softHyphen/>
        <w:t>лагались кессон-баки, — из гофрированно</w:t>
      </w:r>
      <w:r w:rsidRPr="00C33834">
        <w:rPr>
          <w:rFonts w:ascii="Times New Roman" w:hAnsi="Times New Roman"/>
          <w:color w:val="000000" w:themeColor="text1"/>
          <w:sz w:val="16"/>
          <w:szCs w:val="16"/>
        </w:rPr>
        <w:softHyphen/>
        <w:t>го дюралюминиевого листа, работавшего только на кручение. Профиль крыла ЦА- ГИ-6, использовавшийся на большинстве самолетов Туполева предвоенной поры.</w:t>
      </w:r>
    </w:p>
    <w:p w14:paraId="0D24A5EE"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Фюзеляж технологически делился на пе</w:t>
      </w:r>
      <w:r w:rsidRPr="00C33834">
        <w:rPr>
          <w:rFonts w:ascii="Times New Roman" w:hAnsi="Times New Roman"/>
          <w:color w:val="000000" w:themeColor="text1"/>
          <w:sz w:val="16"/>
          <w:szCs w:val="16"/>
        </w:rPr>
        <w:softHyphen/>
        <w:t>реднюю часть с подмоторной рамой, каби</w:t>
      </w:r>
      <w:r w:rsidRPr="00C33834">
        <w:rPr>
          <w:rFonts w:ascii="Times New Roman" w:hAnsi="Times New Roman"/>
          <w:color w:val="000000" w:themeColor="text1"/>
          <w:sz w:val="16"/>
          <w:szCs w:val="16"/>
        </w:rPr>
        <w:softHyphen/>
        <w:t>ну пилотов с центропланом крыла и хво</w:t>
      </w:r>
      <w:r w:rsidRPr="00C33834">
        <w:rPr>
          <w:rFonts w:ascii="Times New Roman" w:hAnsi="Times New Roman"/>
          <w:color w:val="000000" w:themeColor="text1"/>
          <w:sz w:val="16"/>
          <w:szCs w:val="16"/>
        </w:rPr>
        <w:softHyphen/>
        <w:t>стовую часть монококовой конструкции с гладкой металлической обшивкой.</w:t>
      </w:r>
    </w:p>
    <w:p w14:paraId="51FE5036"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передней части фюзеляжа находилась кабина пилота с постом управления са</w:t>
      </w:r>
      <w:r w:rsidRPr="00C33834">
        <w:rPr>
          <w:rFonts w:ascii="Times New Roman" w:hAnsi="Times New Roman"/>
          <w:color w:val="000000" w:themeColor="text1"/>
          <w:sz w:val="16"/>
          <w:szCs w:val="16"/>
        </w:rPr>
        <w:softHyphen/>
        <w:t>молетом - ручкой и педалями. Позже для снижения нагрузки на пилота ручку управ</w:t>
      </w:r>
      <w:r w:rsidRPr="00C33834">
        <w:rPr>
          <w:rFonts w:ascii="Times New Roman" w:hAnsi="Times New Roman"/>
          <w:color w:val="000000" w:themeColor="text1"/>
          <w:sz w:val="16"/>
          <w:szCs w:val="16"/>
        </w:rPr>
        <w:softHyphen/>
        <w:t>ления самолетом заменили штурвалом.</w:t>
      </w:r>
    </w:p>
    <w:p w14:paraId="2457FCAA"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кабиной пилота располагался масля</w:t>
      </w:r>
      <w:r w:rsidRPr="00C33834">
        <w:rPr>
          <w:rFonts w:ascii="Times New Roman" w:hAnsi="Times New Roman"/>
          <w:color w:val="000000" w:themeColor="text1"/>
          <w:sz w:val="16"/>
          <w:szCs w:val="16"/>
        </w:rPr>
        <w:softHyphen/>
        <w:t>ный бак, а за ним — сиденье штурмана, на котором он располагался во время взле</w:t>
      </w:r>
      <w:r w:rsidRPr="00C33834">
        <w:rPr>
          <w:rFonts w:ascii="Times New Roman" w:hAnsi="Times New Roman"/>
          <w:color w:val="000000" w:themeColor="text1"/>
          <w:sz w:val="16"/>
          <w:szCs w:val="16"/>
        </w:rPr>
        <w:softHyphen/>
        <w:t>та и посадки. Ближе к хвосту находилось сиденье второго пилота с ручкой управле</w:t>
      </w:r>
      <w:r w:rsidRPr="00C33834">
        <w:rPr>
          <w:rFonts w:ascii="Times New Roman" w:hAnsi="Times New Roman"/>
          <w:color w:val="000000" w:themeColor="text1"/>
          <w:sz w:val="16"/>
          <w:szCs w:val="16"/>
        </w:rPr>
        <w:softHyphen/>
        <w:t>ния самолетом и педалями. Но пилотиро</w:t>
      </w:r>
      <w:r w:rsidRPr="00C33834">
        <w:rPr>
          <w:rFonts w:ascii="Times New Roman" w:hAnsi="Times New Roman"/>
          <w:color w:val="000000" w:themeColor="text1"/>
          <w:sz w:val="16"/>
          <w:szCs w:val="16"/>
        </w:rPr>
        <w:softHyphen/>
        <w:t>вать машину с этого места из-за практиче</w:t>
      </w:r>
      <w:r w:rsidRPr="00C33834">
        <w:rPr>
          <w:rFonts w:ascii="Times New Roman" w:hAnsi="Times New Roman"/>
          <w:color w:val="000000" w:themeColor="text1"/>
          <w:sz w:val="16"/>
          <w:szCs w:val="16"/>
        </w:rPr>
        <w:softHyphen/>
        <w:t>ски полного отсутствия обзора было очень сложно.</w:t>
      </w:r>
    </w:p>
    <w:p w14:paraId="5E84BF73"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Смена летчиков в полете происходила весьма своеобразно. Пилот, находивший</w:t>
      </w:r>
      <w:r w:rsidRPr="00C33834">
        <w:rPr>
          <w:rFonts w:ascii="Times New Roman" w:hAnsi="Times New Roman"/>
          <w:color w:val="000000" w:themeColor="text1"/>
          <w:sz w:val="16"/>
          <w:szCs w:val="16"/>
        </w:rPr>
        <w:softHyphen/>
        <w:t>ся на втором сиденье, пробирался вперед по-пластунски по масляному баку. Затем летчик, управлявший самолетом, на сво</w:t>
      </w:r>
      <w:r w:rsidRPr="00C33834">
        <w:rPr>
          <w:rFonts w:ascii="Times New Roman" w:hAnsi="Times New Roman"/>
          <w:color w:val="000000" w:themeColor="text1"/>
          <w:sz w:val="16"/>
          <w:szCs w:val="16"/>
        </w:rPr>
        <w:softHyphen/>
        <w:t>ем сиденье откидывал спинку и отодвигал</w:t>
      </w:r>
      <w:r w:rsidRPr="00C33834">
        <w:rPr>
          <w:rFonts w:ascii="Times New Roman" w:hAnsi="Times New Roman"/>
          <w:color w:val="000000" w:themeColor="text1"/>
          <w:sz w:val="16"/>
          <w:szCs w:val="16"/>
        </w:rPr>
        <w:softHyphen/>
        <w:t>ся влево, затем, придерживая рукой штурвал, переносил обе ноги на левую педаль. Сменявший его пилот протискивал свои ноги правее и ставил их на правую педаль. После этого летчик, управлявший самоле</w:t>
      </w:r>
      <w:r w:rsidRPr="00C33834">
        <w:rPr>
          <w:rFonts w:ascii="Times New Roman" w:hAnsi="Times New Roman"/>
          <w:color w:val="000000" w:themeColor="text1"/>
          <w:sz w:val="16"/>
          <w:szCs w:val="16"/>
        </w:rPr>
        <w:softHyphen/>
        <w:t>том, откидывался назад и вылезал из пере</w:t>
      </w:r>
      <w:r w:rsidRPr="00C33834">
        <w:rPr>
          <w:rFonts w:ascii="Times New Roman" w:hAnsi="Times New Roman"/>
          <w:color w:val="000000" w:themeColor="text1"/>
          <w:sz w:val="16"/>
          <w:szCs w:val="16"/>
        </w:rPr>
        <w:softHyphen/>
        <w:t>дней кабины. Это была весьма трудоемкая операция, но, по мнению Г.Ф. Байдуко</w:t>
      </w:r>
      <w:r w:rsidRPr="00C33834">
        <w:rPr>
          <w:rFonts w:ascii="Times New Roman" w:hAnsi="Times New Roman"/>
          <w:color w:val="000000" w:themeColor="text1"/>
          <w:sz w:val="16"/>
          <w:szCs w:val="16"/>
        </w:rPr>
        <w:softHyphen/>
        <w:t>ва. весьма полезная, поскольку была свое</w:t>
      </w:r>
      <w:r w:rsidRPr="00C33834">
        <w:rPr>
          <w:rFonts w:ascii="Times New Roman" w:hAnsi="Times New Roman"/>
          <w:color w:val="000000" w:themeColor="text1"/>
          <w:sz w:val="16"/>
          <w:szCs w:val="16"/>
        </w:rPr>
        <w:softHyphen/>
        <w:t>го рода разминкой, отвлекавшей от одноо</w:t>
      </w:r>
      <w:r w:rsidRPr="00C33834">
        <w:rPr>
          <w:rFonts w:ascii="Times New Roman" w:hAnsi="Times New Roman"/>
          <w:color w:val="000000" w:themeColor="text1"/>
          <w:sz w:val="16"/>
          <w:szCs w:val="16"/>
        </w:rPr>
        <w:softHyphen/>
        <w:t>бразного длительного полета.</w:t>
      </w:r>
    </w:p>
    <w:p w14:paraId="25B199BD"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Сиденье штурмана размещалось за вто</w:t>
      </w:r>
      <w:r w:rsidRPr="00C33834">
        <w:rPr>
          <w:rFonts w:ascii="Times New Roman" w:hAnsi="Times New Roman"/>
          <w:color w:val="000000" w:themeColor="text1"/>
          <w:sz w:val="16"/>
          <w:szCs w:val="16"/>
        </w:rPr>
        <w:softHyphen/>
        <w:t>рым пилотом, причем на запасном бачке с жидкостью для охлаждения двигателя.</w:t>
      </w:r>
    </w:p>
    <w:p w14:paraId="29639DE9"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Оперение - цельнометаллическое, расчалочное, с гофрированной обшивкой. Рули высоты и поворота имели аэродина</w:t>
      </w:r>
      <w:r w:rsidRPr="00C33834">
        <w:rPr>
          <w:rFonts w:ascii="Times New Roman" w:hAnsi="Times New Roman"/>
          <w:color w:val="000000" w:themeColor="text1"/>
          <w:sz w:val="16"/>
          <w:szCs w:val="16"/>
        </w:rPr>
        <w:softHyphen/>
        <w:t>мическую компенсацию и управляемые триммеры и флетнеры.</w:t>
      </w:r>
    </w:p>
    <w:p w14:paraId="6DADBA99"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Воздушный винт — трехлопастный, до</w:t>
      </w:r>
      <w:r w:rsidRPr="00C33834">
        <w:rPr>
          <w:rFonts w:ascii="Times New Roman" w:hAnsi="Times New Roman"/>
          <w:color w:val="000000" w:themeColor="text1"/>
          <w:sz w:val="16"/>
          <w:szCs w:val="16"/>
        </w:rPr>
        <w:softHyphen/>
        <w:t>пускавший регулировку шага на земле. Кабина пилотов обогревалась выхлопны</w:t>
      </w:r>
      <w:r w:rsidRPr="00C33834">
        <w:rPr>
          <w:rFonts w:ascii="Times New Roman" w:hAnsi="Times New Roman"/>
          <w:color w:val="000000" w:themeColor="text1"/>
          <w:sz w:val="16"/>
          <w:szCs w:val="16"/>
        </w:rPr>
        <w:softHyphen/>
        <w:t>ми газами от двигателя.</w:t>
      </w:r>
    </w:p>
    <w:p w14:paraId="3CDC804F"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состав оборудования входили, в част</w:t>
      </w:r>
      <w:r w:rsidRPr="00C33834">
        <w:rPr>
          <w:rFonts w:ascii="Times New Roman" w:hAnsi="Times New Roman"/>
          <w:color w:val="000000" w:themeColor="text1"/>
          <w:sz w:val="16"/>
          <w:szCs w:val="16"/>
        </w:rPr>
        <w:softHyphen/>
        <w:t>ности, связная и аварийная радиостанции, пневматические (питавшиеся от трубок Вентури) авиагоризонт и гирополуком- пас, солнечный указатель курса и астро- секстант. Позже перед полетом в Америку на обоих РД установили радиополукомпа</w:t>
      </w:r>
      <w:r w:rsidRPr="00C33834">
        <w:rPr>
          <w:rFonts w:ascii="Times New Roman" w:hAnsi="Times New Roman"/>
          <w:color w:val="000000" w:themeColor="text1"/>
          <w:sz w:val="16"/>
          <w:szCs w:val="16"/>
        </w:rPr>
        <w:softHyphen/>
        <w:t>сы «Файерчальд» с круглыми рамочными антеннами, расположенными над кабина</w:t>
      </w:r>
      <w:r w:rsidRPr="00C33834">
        <w:rPr>
          <w:rFonts w:ascii="Times New Roman" w:hAnsi="Times New Roman"/>
          <w:color w:val="000000" w:themeColor="text1"/>
          <w:sz w:val="16"/>
          <w:szCs w:val="16"/>
        </w:rPr>
        <w:softHyphen/>
        <w:t>ми штурманов.</w:t>
      </w:r>
    </w:p>
    <w:p w14:paraId="723332EF"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отличие от «Девуатина» </w:t>
      </w:r>
      <w:r w:rsidRPr="00C33834">
        <w:rPr>
          <w:rFonts w:ascii="Times New Roman" w:hAnsi="Times New Roman"/>
          <w:color w:val="000000" w:themeColor="text1"/>
          <w:sz w:val="16"/>
          <w:szCs w:val="16"/>
          <w:lang w:val="en-US"/>
        </w:rPr>
        <w:t>D</w:t>
      </w:r>
      <w:r w:rsidRPr="00C33834">
        <w:rPr>
          <w:rFonts w:ascii="Times New Roman" w:hAnsi="Times New Roman"/>
          <w:color w:val="000000" w:themeColor="text1"/>
          <w:sz w:val="16"/>
          <w:szCs w:val="16"/>
        </w:rPr>
        <w:t>-33, на РД установили полуубирающиеся с помощью электропривода основные опоры шасси со спаренными колесами и масляно-воздуш</w:t>
      </w:r>
      <w:r w:rsidRPr="00C33834">
        <w:rPr>
          <w:rFonts w:ascii="Times New Roman" w:hAnsi="Times New Roman"/>
          <w:color w:val="000000" w:themeColor="text1"/>
          <w:sz w:val="16"/>
          <w:szCs w:val="16"/>
        </w:rPr>
        <w:softHyphen/>
        <w:t>ными амортизаторами. Но на колесах с шинами (размерами 900x250 мм), изготов</w:t>
      </w:r>
      <w:r w:rsidRPr="00C33834">
        <w:rPr>
          <w:rFonts w:ascii="Times New Roman" w:hAnsi="Times New Roman"/>
          <w:color w:val="000000" w:themeColor="text1"/>
          <w:sz w:val="16"/>
          <w:szCs w:val="16"/>
        </w:rPr>
        <w:softHyphen/>
        <w:t>ленными на Ярославском резиновом ком</w:t>
      </w:r>
      <w:r w:rsidRPr="00C33834">
        <w:rPr>
          <w:rFonts w:ascii="Times New Roman" w:hAnsi="Times New Roman"/>
          <w:color w:val="000000" w:themeColor="text1"/>
          <w:sz w:val="16"/>
          <w:szCs w:val="16"/>
        </w:rPr>
        <w:softHyphen/>
        <w:t>бинате, отсутствовали тормоза, что, ви</w:t>
      </w:r>
      <w:r w:rsidRPr="00C33834">
        <w:rPr>
          <w:rFonts w:ascii="Times New Roman" w:hAnsi="Times New Roman"/>
          <w:color w:val="000000" w:themeColor="text1"/>
          <w:sz w:val="16"/>
          <w:szCs w:val="16"/>
        </w:rPr>
        <w:softHyphen/>
        <w:t>димо, связано с отсутствием соответству</w:t>
      </w:r>
      <w:r w:rsidRPr="00C33834">
        <w:rPr>
          <w:rFonts w:ascii="Times New Roman" w:hAnsi="Times New Roman"/>
          <w:color w:val="000000" w:themeColor="text1"/>
          <w:sz w:val="16"/>
          <w:szCs w:val="16"/>
        </w:rPr>
        <w:softHyphen/>
        <w:t>ющих гидравлических приводов. А затор</w:t>
      </w:r>
      <w:r w:rsidRPr="00C33834">
        <w:rPr>
          <w:rFonts w:ascii="Times New Roman" w:hAnsi="Times New Roman"/>
          <w:color w:val="000000" w:themeColor="text1"/>
          <w:sz w:val="16"/>
          <w:szCs w:val="16"/>
        </w:rPr>
        <w:softHyphen/>
        <w:t>мозить бег многотонной громадины иным путем не представлялось возможным. На костыльной опоре установили колесо раз</w:t>
      </w:r>
      <w:r w:rsidRPr="00C33834">
        <w:rPr>
          <w:rFonts w:ascii="Times New Roman" w:hAnsi="Times New Roman"/>
          <w:color w:val="000000" w:themeColor="text1"/>
          <w:sz w:val="16"/>
          <w:szCs w:val="16"/>
        </w:rPr>
        <w:softHyphen/>
        <w:t>мером 325x200 мм.</w:t>
      </w:r>
    </w:p>
    <w:p w14:paraId="3135EBAB"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Электрооборудование было представле</w:t>
      </w:r>
      <w:r w:rsidRPr="00C33834">
        <w:rPr>
          <w:rFonts w:ascii="Times New Roman" w:hAnsi="Times New Roman"/>
          <w:color w:val="000000" w:themeColor="text1"/>
          <w:sz w:val="16"/>
          <w:szCs w:val="16"/>
        </w:rPr>
        <w:softHyphen/>
        <w:t>но 500-ваттным электрогенератором (ди</w:t>
      </w:r>
      <w:r w:rsidRPr="00C33834">
        <w:rPr>
          <w:rFonts w:ascii="Times New Roman" w:hAnsi="Times New Roman"/>
          <w:color w:val="000000" w:themeColor="text1"/>
          <w:sz w:val="16"/>
          <w:szCs w:val="16"/>
        </w:rPr>
        <w:softHyphen/>
        <w:t>намо-машиной) и аккумуляторной бата</w:t>
      </w:r>
      <w:r w:rsidRPr="00C33834">
        <w:rPr>
          <w:rFonts w:ascii="Times New Roman" w:hAnsi="Times New Roman"/>
          <w:color w:val="000000" w:themeColor="text1"/>
          <w:sz w:val="16"/>
          <w:szCs w:val="16"/>
        </w:rPr>
        <w:softHyphen/>
        <w:t>реей емкостью 65 ампер-часов.</w:t>
      </w:r>
    </w:p>
    <w:p w14:paraId="7C9EC7E0"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Поскольку полеты на РД предполага</w:t>
      </w:r>
      <w:r w:rsidRPr="00C33834">
        <w:rPr>
          <w:rFonts w:ascii="Times New Roman" w:hAnsi="Times New Roman"/>
          <w:color w:val="000000" w:themeColor="text1"/>
          <w:sz w:val="16"/>
          <w:szCs w:val="16"/>
        </w:rPr>
        <w:softHyphen/>
        <w:t>лось проводить над протяженными аква</w:t>
      </w:r>
      <w:r w:rsidRPr="00C33834">
        <w:rPr>
          <w:rFonts w:ascii="Times New Roman" w:hAnsi="Times New Roman"/>
          <w:color w:val="000000" w:themeColor="text1"/>
          <w:sz w:val="16"/>
          <w:szCs w:val="16"/>
        </w:rPr>
        <w:softHyphen/>
        <w:t>ториями, то для обеспечения плавучести машины в случае вынужденной посадки на водную поверхность в крыле и фюзеля</w:t>
      </w:r>
      <w:r w:rsidRPr="00C33834">
        <w:rPr>
          <w:rFonts w:ascii="Times New Roman" w:hAnsi="Times New Roman"/>
          <w:color w:val="000000" w:themeColor="text1"/>
          <w:sz w:val="16"/>
          <w:szCs w:val="16"/>
        </w:rPr>
        <w:softHyphen/>
        <w:t>же расположили надувные мешки из про</w:t>
      </w:r>
      <w:r w:rsidRPr="00C33834">
        <w:rPr>
          <w:rFonts w:ascii="Times New Roman" w:hAnsi="Times New Roman"/>
          <w:color w:val="000000" w:themeColor="text1"/>
          <w:sz w:val="16"/>
          <w:szCs w:val="16"/>
        </w:rPr>
        <w:softHyphen/>
        <w:t>резиненной ткани. Но воспользоваться ими, к счастью, так и не довелось (12725).</w:t>
      </w:r>
    </w:p>
    <w:p w14:paraId="7266C486" w14:textId="77777777" w:rsidR="004050DA" w:rsidRPr="00C33834" w:rsidRDefault="004050DA" w:rsidP="00C33834">
      <w:pPr>
        <w:pStyle w:val="txt1"/>
        <w:shd w:val="clear" w:color="auto" w:fill="FFFFFF"/>
        <w:spacing w:before="0" w:beforeAutospacing="0" w:after="0" w:afterAutospacing="0" w:line="240" w:lineRule="auto"/>
        <w:ind w:firstLine="0"/>
        <w:rPr>
          <w:color w:val="000000" w:themeColor="text1"/>
          <w:sz w:val="16"/>
          <w:szCs w:val="16"/>
        </w:rPr>
      </w:pPr>
    </w:p>
    <w:p w14:paraId="6B8E351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июня 1933 актом начальника ВВС Алксниса было утверждено заключение НИИ ВВС, в котором он предлагает начальнику управления МТС “дать заказ ГУАПу (согласно постановления КО) на постройку 10 самолетов Р5-М17 со вторым вариантом разрезных крыльев для войсковых испытаний”. Заключение было в отчете НИИ ВВС по испытаниям двух Р-5 с двумя вариантами разрезных крыльев. Из предъявленных к испытаниям двух вариантов разрезных крыльев, первый вариант был УВВС забракован, а по второму варианту было признано “рациональным построить серию самолетов Р5-М17 с разрезными крыльями по типу испытанного самолета для войсковых испытаний (10-12 самолетов). Из отчета испытаний видно. Что этот второй вариант разрезных крыльев дал самолету Р5 следующие качества: посадочная скорость сократилась на 17%, длина пробега сократилась на 45%, улучшилась управляемость на малых скоростях, улучшилась устойчивость на виражах. Затем Алкснис отменил решение о заказе серии в 10 самолетов Р-5 со вторым вариантом разрезных крыльев, а ГУАПу было предложено сконструировать третий вариант разрезных крыльев, в котором были бы устранены дефекты, выявленные во втором варианте (4234).</w:t>
      </w:r>
    </w:p>
    <w:p w14:paraId="4997F9F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665E4D21" w14:textId="77777777" w:rsidR="000F1987" w:rsidRPr="00C33834" w:rsidRDefault="000F1987" w:rsidP="00C33834">
      <w:pPr>
        <w:pStyle w:val="rtejustify"/>
        <w:spacing w:before="0" w:after="0"/>
        <w:rPr>
          <w:color w:val="000000" w:themeColor="text1"/>
          <w:sz w:val="16"/>
          <w:szCs w:val="16"/>
        </w:rPr>
      </w:pPr>
      <w:r w:rsidRPr="00C33834">
        <w:rPr>
          <w:rStyle w:val="af0"/>
          <w:bCs/>
          <w:i w:val="0"/>
          <w:color w:val="000000" w:themeColor="text1"/>
          <w:sz w:val="16"/>
          <w:szCs w:val="16"/>
        </w:rPr>
        <w:t>22</w:t>
      </w:r>
      <w:r w:rsidRPr="00C33834">
        <w:rPr>
          <w:rStyle w:val="af0"/>
          <w:bCs/>
          <w:i w:val="0"/>
          <w:color w:val="000000" w:themeColor="text1"/>
          <w:sz w:val="16"/>
          <w:szCs w:val="16"/>
        </w:rPr>
        <w:noBreakHyphen/>
        <w:t>23 июня</w:t>
      </w:r>
      <w:r w:rsidRPr="00C33834">
        <w:rPr>
          <w:color w:val="000000" w:themeColor="text1"/>
          <w:sz w:val="16"/>
          <w:szCs w:val="16"/>
        </w:rPr>
        <w:t xml:space="preserve"> 1933 вышел приказ РВСС № 14. 1. Об опытном самолето- и моторостроении. (Тухачевский, Егоров, Алкснис, Меженинов). 2. Система танкового вооружения. (Халепский). (РГВА. Ф. 4. Оп. 18. Д. 23. Л. 227) (15461).</w:t>
      </w:r>
    </w:p>
    <w:p w14:paraId="4AC1CC3F" w14:textId="77777777" w:rsidR="000F1987" w:rsidRPr="00C33834" w:rsidRDefault="000F1987" w:rsidP="00C33834">
      <w:pPr>
        <w:pStyle w:val="rtejustify"/>
        <w:spacing w:before="0" w:after="0"/>
        <w:rPr>
          <w:color w:val="000000" w:themeColor="text1"/>
          <w:sz w:val="16"/>
          <w:szCs w:val="16"/>
        </w:rPr>
      </w:pPr>
    </w:p>
    <w:p w14:paraId="07C55DE3" w14:textId="77777777" w:rsidR="00BB14D0" w:rsidRPr="00C33834" w:rsidRDefault="00BB14D0"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22 июня</w:t>
      </w:r>
      <w:r w:rsidRPr="00C33834">
        <w:rPr>
          <w:rFonts w:ascii="Times New Roman" w:hAnsi="Times New Roman"/>
          <w:color w:val="000000" w:themeColor="text1"/>
          <w:sz w:val="16"/>
          <w:szCs w:val="16"/>
        </w:rPr>
        <w:t xml:space="preserve"> в 1933 году открылась пассажирская линия Аэрофлота Москва - Тбилиси. Самолёт </w:t>
      </w:r>
      <w:hyperlink r:id="rId220" w:tgtFrame="_blank" w:history="1">
        <w:r w:rsidRPr="00C33834">
          <w:rPr>
            <w:rFonts w:ascii="Times New Roman" w:hAnsi="Times New Roman"/>
            <w:color w:val="000000" w:themeColor="text1"/>
            <w:sz w:val="16"/>
            <w:szCs w:val="16"/>
          </w:rPr>
          <w:t xml:space="preserve">«Калинин» «К-5М» </w:t>
        </w:r>
      </w:hyperlink>
      <w:r w:rsidRPr="00C33834">
        <w:rPr>
          <w:rFonts w:ascii="Times New Roman" w:hAnsi="Times New Roman"/>
          <w:color w:val="000000" w:themeColor="text1"/>
          <w:sz w:val="16"/>
          <w:szCs w:val="16"/>
        </w:rPr>
        <w:t>впервые пересекал Кавказский хребет (14930).</w:t>
      </w:r>
    </w:p>
    <w:p w14:paraId="39AF8E81" w14:textId="77777777" w:rsidR="00BB14D0" w:rsidRPr="00C33834" w:rsidRDefault="00BB14D0" w:rsidP="00C33834">
      <w:pPr>
        <w:spacing w:after="0" w:line="240" w:lineRule="auto"/>
        <w:jc w:val="both"/>
        <w:rPr>
          <w:rFonts w:ascii="Times New Roman" w:hAnsi="Times New Roman"/>
          <w:color w:val="000000" w:themeColor="text1"/>
          <w:sz w:val="16"/>
          <w:szCs w:val="16"/>
        </w:rPr>
      </w:pPr>
    </w:p>
    <w:p w14:paraId="1EFAB7D1" w14:textId="77777777" w:rsidR="0066456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36A954F" w14:textId="77777777" w:rsidR="00664564" w:rsidRPr="00C33834" w:rsidRDefault="0066456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AEEBD01" w14:textId="77777777" w:rsidR="000F1987" w:rsidRPr="00C33834" w:rsidRDefault="000F1987" w:rsidP="00C33834">
      <w:pPr>
        <w:pStyle w:val="rtejustify"/>
        <w:spacing w:before="0" w:after="0"/>
        <w:rPr>
          <w:color w:val="000000" w:themeColor="text1"/>
          <w:sz w:val="16"/>
          <w:szCs w:val="16"/>
        </w:rPr>
      </w:pPr>
      <w:r w:rsidRPr="00C33834">
        <w:rPr>
          <w:rStyle w:val="af0"/>
          <w:bCs/>
          <w:i w:val="0"/>
          <w:color w:val="000000" w:themeColor="text1"/>
          <w:sz w:val="16"/>
          <w:szCs w:val="16"/>
        </w:rPr>
        <w:t>22 июня</w:t>
      </w:r>
      <w:r w:rsidRPr="00C33834">
        <w:rPr>
          <w:rStyle w:val="af0"/>
          <w:rFonts w:eastAsiaTheme="majorEastAsia"/>
          <w:bCs/>
          <w:i w:val="0"/>
          <w:color w:val="000000" w:themeColor="text1"/>
          <w:sz w:val="16"/>
          <w:szCs w:val="16"/>
        </w:rPr>
        <w:t xml:space="preserve"> 1933</w:t>
      </w:r>
      <w:r w:rsidRPr="00C33834">
        <w:rPr>
          <w:color w:val="000000" w:themeColor="text1"/>
          <w:sz w:val="16"/>
          <w:szCs w:val="16"/>
        </w:rPr>
        <w:t>. Постановление РВСС «О результатах испытания механической трубки Георгиева (МТГ) и вводе на вооружение РККА». (Приложение: характеристика МТГ (по докладу комиссии РВСС), сравнительная таблица результатов испытаний МТГ, трубки «Тилль-Крупп» (ТК), ТМ</w:t>
      </w:r>
      <w:r w:rsidRPr="00C33834">
        <w:rPr>
          <w:color w:val="000000" w:themeColor="text1"/>
          <w:sz w:val="16"/>
          <w:szCs w:val="16"/>
        </w:rPr>
        <w:noBreakHyphen/>
        <w:t>1 (Карпова) и пороховой (Т</w:t>
      </w:r>
      <w:r w:rsidRPr="00C33834">
        <w:rPr>
          <w:color w:val="000000" w:themeColor="text1"/>
          <w:sz w:val="16"/>
          <w:szCs w:val="16"/>
        </w:rPr>
        <w:noBreakHyphen/>
        <w:t>3) и таблица основных критериев для оценки трубок). (РГВА. Ф. 4. Оп. 18. Д. 23. Л. 213</w:t>
      </w:r>
      <w:r w:rsidRPr="00C33834">
        <w:rPr>
          <w:color w:val="000000" w:themeColor="text1"/>
          <w:sz w:val="16"/>
          <w:szCs w:val="16"/>
        </w:rPr>
        <w:noBreakHyphen/>
        <w:t>217).</w:t>
      </w:r>
    </w:p>
    <w:p w14:paraId="33D5D03E" w14:textId="77777777" w:rsidR="000F1987" w:rsidRPr="00C33834" w:rsidRDefault="000F1987" w:rsidP="00C33834">
      <w:pPr>
        <w:pStyle w:val="rtejustify"/>
        <w:spacing w:before="0" w:after="0"/>
        <w:rPr>
          <w:rStyle w:val="af0"/>
          <w:bCs/>
          <w:i w:val="0"/>
          <w:color w:val="000000" w:themeColor="text1"/>
          <w:sz w:val="16"/>
          <w:szCs w:val="16"/>
        </w:rPr>
      </w:pPr>
    </w:p>
    <w:p w14:paraId="2CA29E2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22 июня 1933 года пунктом 2 Постановления РВС было предложено организовать контрольно-испытательный полигон для испытаний безоткатных орудий системы Л.В.Курчевского. Штатное расписание контрольно-испытательного полигона было утверждено председателем Реввоенсовета М.Н.Тухачевским в количестве 36 </w:t>
      </w:r>
      <w:r w:rsidRPr="00C33834">
        <w:rPr>
          <w:rFonts w:ascii="Times New Roman" w:hAnsi="Times New Roman"/>
          <w:color w:val="000000" w:themeColor="text1"/>
          <w:sz w:val="16"/>
          <w:szCs w:val="16"/>
        </w:rPr>
        <w:lastRenderedPageBreak/>
        <w:t>человек и вводилось в действие с 01 октября 1932 года. Президиум Московского облисполкома 10 июля 1932 года постановил отвести земельный участок под полигон вблизи ст. Лосиностровская в районе артсклада №36 площадью 42 кв.км., однако уже 29 ноября 1932 года он отменил это решение и создание полигона на ранее отведённом месте и вообще в 50 километровой зоне вокруг Москвы запретил.</w:t>
      </w:r>
    </w:p>
    <w:p w14:paraId="759B4BB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Новый участок для вновь создаваемого полигона был выбран в Софринском районе Московской области, в 18 км от ст. Софрино к северу от села Путилово.</w:t>
      </w:r>
    </w:p>
    <w:p w14:paraId="61B5634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1933 года в село Путилово под командованием военного инженера 1 ранга В.П.Серебрякова прибыли первые сотрудники полигона: М.Ф.Тимофеев, В.Д.Иващенко, Ф.В.Колимбет, Н.А.Тураев, И.Ф.Бодров и др. Начались изыскательские и геодезические работы, затем расчистка трассы.</w:t>
      </w:r>
    </w:p>
    <w:p w14:paraId="06ADAD7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период организации полигон назывался Московским контрольно-испытательным полигоном опытно-артиллерийским полигоном. Впервые он упоминается как Софринский в постановлении СНК СССР №1917-421с от 05 сентября 1933 года о переносе Гроховецкого полигона на Софринский полигон. Штат сотрудников полигона начал комплектоваться в основном работниками бывшего военсклада №51 (г.Ростов Ярославской обл.), расформированном в конце 1932 года. Первыми сотрудниками полигона были:</w:t>
      </w:r>
    </w:p>
    <w:p w14:paraId="4FE4D44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полигона – Серебряков В.П.</w:t>
      </w:r>
    </w:p>
    <w:p w14:paraId="18B048B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политрук – Турукин Г.М.</w:t>
      </w:r>
    </w:p>
    <w:p w14:paraId="3DE157D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технической части - Кораблин Н.П.</w:t>
      </w:r>
    </w:p>
    <w:p w14:paraId="08F2922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АХЧ – Лазарев Д.Е.</w:t>
      </w:r>
    </w:p>
    <w:p w14:paraId="5CDE39A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руководители опытов - Корзин И.В., Тимофеев М.В., Бредис С.Я., начальник снаряжательной мастерской - Иващенко В.Д.,</w:t>
      </w:r>
    </w:p>
    <w:p w14:paraId="5456F18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также Тураев Н.А, руководивший переброской имущества расформированного склада №51 к месту строительства нового полигона и Бодров И.Ф. (12071)</w:t>
      </w:r>
    </w:p>
    <w:p w14:paraId="267C4F1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09F2DBA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июня 1933 года челябинские руководители направили телеграмму наркому тяжелой промышленности Серго Орджоникидзе: "Москва Наркомтяжпром Орджоникидзе Положение строительства завода катастрофическое Отсутствием леса цемента гвоздей электроматериалов стройка остановлена Главное управление безобразно обеспечило фондами и финансированием первое полугодие результате чего сроки пуска первой очереди установленные Правительством срываются тчк Необходимо Ваше вмешательство немедленного поворота Главного управления заводу обеспечения полной потребности третий квартал фондами леса цемента гвоздями электроматериалами автотранспортом по заявкам завода находящимся Главном управлении а также срочного разрешения последних проектных вопросов Гипроспецом особенно подземного хозяйства тормозящего подземные работы. Секретарь горкома Прусаков. Председатель горсовета Парамонов".</w:t>
      </w:r>
    </w:p>
    <w:p w14:paraId="44E2702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ответ на телеграмму на стройку Челябинского завода крупного станкостроения прибыли 2 экскаватора, 123 автомобиля, 4 тягача, более равномерно стали поступать строительные материалы. Появилась возможность вести работы одновременно на всех основных объектах завода. Однако кризисные ситуации продолжали возникать по всем основным направлениям стройки. Одной из причин такого положения было отсутствие грамотных управленцев среднего звена. Еще больший дефицит наблюдался в обеспечении стройки рабочей силой. Для полноценного производственного процесса строительству требовалось 14 тысяч рабочих, а жилой фонд, состоявший преимущественно из бараков и землянок, вмещал только 5700 человек. Строительство же новых каменных домов тормозилось отсутствием генерального плана застройки Челябинска. Из-за тяжелейших жилищных условий текучесть кадров в первые годы составляла 98 процентов, и это при том, что вербовка одного человека обходилась в среднем в 92 рубля (11556).</w:t>
      </w:r>
    </w:p>
    <w:p w14:paraId="3DF4C4F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7234C776"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период с 22 июня 1933 г. по 31 августа 1934 г. на базе Ленинградских краснознамен</w:t>
      </w:r>
      <w:r w:rsidRPr="00C33834">
        <w:rPr>
          <w:rFonts w:ascii="Times New Roman" w:hAnsi="Times New Roman"/>
          <w:color w:val="000000" w:themeColor="text1"/>
          <w:sz w:val="16"/>
          <w:szCs w:val="16"/>
        </w:rPr>
        <w:softHyphen/>
        <w:t>ных бронетанковых курсов усовершенствования комсостава РККА им. тов. Бубнов прошли войсковые испытания легкой броневой дрези</w:t>
      </w:r>
      <w:r w:rsidRPr="00C33834">
        <w:rPr>
          <w:rFonts w:ascii="Times New Roman" w:hAnsi="Times New Roman"/>
          <w:color w:val="000000" w:themeColor="text1"/>
          <w:sz w:val="16"/>
          <w:szCs w:val="16"/>
        </w:rPr>
        <w:softHyphen/>
        <w:t>ны.</w:t>
      </w:r>
    </w:p>
    <w:p w14:paraId="6DD4FF9D"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положи</w:t>
      </w:r>
      <w:r w:rsidRPr="00C33834">
        <w:rPr>
          <w:rFonts w:ascii="Times New Roman" w:hAnsi="Times New Roman"/>
          <w:color w:val="000000" w:themeColor="text1"/>
          <w:sz w:val="16"/>
          <w:szCs w:val="16"/>
        </w:rPr>
        <w:softHyphen/>
        <w:t>тельным качествам «брдл» на основе Д-8, позволяющим эффективно ис</w:t>
      </w:r>
      <w:r w:rsidRPr="00C33834">
        <w:rPr>
          <w:rFonts w:ascii="Times New Roman" w:hAnsi="Times New Roman"/>
          <w:color w:val="000000" w:themeColor="text1"/>
          <w:sz w:val="16"/>
          <w:szCs w:val="16"/>
        </w:rPr>
        <w:softHyphen/>
        <w:t xml:space="preserve">пользовать ее как средство механизированной разведки в бронепоезд- ных частях, отнесли высокую скорость движения (до 100 км/ч по рельсам и 80 км/ч по шоссе, повышенную проходимость (переход на грунт силами экипажа занимал не более 10 мин), небольшие габариты (длина - 3540 мм, ширина - 1705 мм, высота - 1700 мм), наличие броневой защиты </w:t>
      </w:r>
      <w:r w:rsidRPr="00C33834">
        <w:rPr>
          <w:rStyle w:val="aff5"/>
          <w:rFonts w:ascii="Times New Roman" w:hAnsi="Times New Roman" w:cs="Times New Roman"/>
          <w:i w:val="0"/>
          <w:color w:val="000000" w:themeColor="text1"/>
        </w:rPr>
        <w:t>(«броня простой пулей не пробивается»).</w:t>
      </w:r>
      <w:r w:rsidRPr="00C33834">
        <w:rPr>
          <w:rFonts w:ascii="Times New Roman" w:hAnsi="Times New Roman"/>
          <w:color w:val="000000" w:themeColor="text1"/>
          <w:sz w:val="16"/>
          <w:szCs w:val="16"/>
        </w:rPr>
        <w:t xml:space="preserve"> Специальное оборудование в целом получило высокую оценку.</w:t>
      </w:r>
    </w:p>
    <w:p w14:paraId="1F5F0CB8"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Однако и недостатков хватало. Так, в выводах по результатам испы</w:t>
      </w:r>
      <w:r w:rsidRPr="00C33834">
        <w:rPr>
          <w:rFonts w:ascii="Times New Roman" w:hAnsi="Times New Roman"/>
          <w:color w:val="000000" w:themeColor="text1"/>
          <w:sz w:val="16"/>
          <w:szCs w:val="16"/>
        </w:rPr>
        <w:softHyphen/>
        <w:t>таний начальник курса Лебедевский, наряду с достоинствами машины, отмечал:</w:t>
      </w:r>
    </w:p>
    <w:p w14:paraId="1C77AADD" w14:textId="77777777" w:rsidR="004050DA" w:rsidRPr="00C33834" w:rsidRDefault="004050DA" w:rsidP="00C33834">
      <w:pPr>
        <w:pStyle w:val="34"/>
        <w:shd w:val="clear" w:color="auto" w:fill="auto"/>
        <w:spacing w:line="240" w:lineRule="auto"/>
        <w:jc w:val="both"/>
        <w:rPr>
          <w:rFonts w:ascii="Times New Roman" w:cs="Times New Roman"/>
          <w:color w:val="000000" w:themeColor="text1"/>
          <w:spacing w:val="0"/>
          <w:sz w:val="16"/>
          <w:szCs w:val="16"/>
        </w:rPr>
      </w:pPr>
      <w:r w:rsidRPr="00C33834">
        <w:rPr>
          <w:rFonts w:ascii="Times New Roman" w:cs="Times New Roman"/>
          <w:color w:val="000000" w:themeColor="text1"/>
          <w:spacing w:val="0"/>
          <w:sz w:val="16"/>
          <w:szCs w:val="16"/>
        </w:rPr>
        <w:t>«1. Бр.д.л., имея положительные и отрицательные свойства броне</w:t>
      </w:r>
      <w:r w:rsidRPr="00C33834">
        <w:rPr>
          <w:rFonts w:ascii="Times New Roman" w:cs="Times New Roman"/>
          <w:color w:val="000000" w:themeColor="text1"/>
          <w:spacing w:val="0"/>
          <w:sz w:val="16"/>
          <w:szCs w:val="16"/>
        </w:rPr>
        <w:softHyphen/>
        <w:t>автомобиля «Д-8», при движении по жел. дор. пути не может компен</w:t>
      </w:r>
      <w:r w:rsidRPr="00C33834">
        <w:rPr>
          <w:rFonts w:ascii="Times New Roman" w:cs="Times New Roman"/>
          <w:color w:val="000000" w:themeColor="text1"/>
          <w:spacing w:val="0"/>
          <w:sz w:val="16"/>
          <w:szCs w:val="16"/>
        </w:rPr>
        <w:softHyphen/>
        <w:t>сировать поворотливостью ограниченный угол обстрела своих пулеме</w:t>
      </w:r>
      <w:r w:rsidRPr="00C33834">
        <w:rPr>
          <w:rFonts w:ascii="Times New Roman" w:cs="Times New Roman"/>
          <w:color w:val="000000" w:themeColor="text1"/>
          <w:spacing w:val="0"/>
          <w:sz w:val="16"/>
          <w:szCs w:val="16"/>
        </w:rPr>
        <w:softHyphen/>
        <w:t>тов и при движении задним ходом имеет недостаточную скорость (до 10 клм./ч); поворот брдл на 180 град, и переход на грунт (и обратно) под действительным огнем пр-ка невозможен.</w:t>
      </w:r>
    </w:p>
    <w:p w14:paraId="35E2A6B8" w14:textId="77777777" w:rsidR="004050DA" w:rsidRPr="00C33834" w:rsidRDefault="004050DA" w:rsidP="00C33834">
      <w:pPr>
        <w:pStyle w:val="19"/>
        <w:shd w:val="clear" w:color="auto" w:fill="auto"/>
        <w:spacing w:line="240" w:lineRule="auto"/>
        <w:jc w:val="both"/>
        <w:rPr>
          <w:rFonts w:ascii="Times New Roman" w:hAnsi="Times New Roman" w:cs="Times New Roman"/>
          <w:color w:val="000000" w:themeColor="text1"/>
          <w:sz w:val="16"/>
          <w:szCs w:val="16"/>
        </w:rPr>
      </w:pPr>
      <w:bookmarkStart w:id="24" w:name="bookmark3"/>
      <w:r w:rsidRPr="00C33834">
        <w:rPr>
          <w:rFonts w:ascii="Times New Roman" w:hAnsi="Times New Roman" w:cs="Times New Roman"/>
          <w:color w:val="000000" w:themeColor="text1"/>
          <w:sz w:val="16"/>
          <w:szCs w:val="16"/>
        </w:rPr>
        <w:t>(...)</w:t>
      </w:r>
      <w:bookmarkEnd w:id="24"/>
    </w:p>
    <w:p w14:paraId="5322B0CB" w14:textId="77777777" w:rsidR="004050DA" w:rsidRPr="00C33834" w:rsidRDefault="004050DA" w:rsidP="00C33834">
      <w:pPr>
        <w:pStyle w:val="34"/>
        <w:shd w:val="clear" w:color="auto" w:fill="auto"/>
        <w:spacing w:line="240" w:lineRule="auto"/>
        <w:jc w:val="both"/>
        <w:rPr>
          <w:rFonts w:ascii="Times New Roman" w:cs="Times New Roman"/>
          <w:color w:val="000000" w:themeColor="text1"/>
          <w:spacing w:val="0"/>
          <w:sz w:val="16"/>
          <w:szCs w:val="16"/>
        </w:rPr>
      </w:pPr>
      <w:r w:rsidRPr="00C33834">
        <w:rPr>
          <w:rFonts w:ascii="Times New Roman" w:cs="Times New Roman"/>
          <w:color w:val="000000" w:themeColor="text1"/>
          <w:spacing w:val="0"/>
          <w:sz w:val="16"/>
          <w:szCs w:val="16"/>
        </w:rPr>
        <w:t>4. Специальное оборудование:</w:t>
      </w:r>
    </w:p>
    <w:p w14:paraId="74E52E50" w14:textId="77777777" w:rsidR="004050DA" w:rsidRPr="00C33834" w:rsidRDefault="004050DA" w:rsidP="00C33834">
      <w:pPr>
        <w:pStyle w:val="34"/>
        <w:shd w:val="clear" w:color="auto" w:fill="auto"/>
        <w:spacing w:line="240" w:lineRule="auto"/>
        <w:jc w:val="both"/>
        <w:rPr>
          <w:rFonts w:ascii="Times New Roman" w:cs="Times New Roman"/>
          <w:color w:val="000000" w:themeColor="text1"/>
          <w:spacing w:val="0"/>
          <w:sz w:val="16"/>
          <w:szCs w:val="16"/>
        </w:rPr>
      </w:pPr>
      <w:r w:rsidRPr="00C33834">
        <w:rPr>
          <w:rFonts w:ascii="Times New Roman" w:cs="Times New Roman"/>
          <w:color w:val="000000" w:themeColor="text1"/>
          <w:spacing w:val="0"/>
          <w:sz w:val="16"/>
          <w:szCs w:val="16"/>
        </w:rPr>
        <w:t>а) Съемные диски с ребордами и резиновыми шинами крепятся к колесам надежно и просто; взаимозаменяемость или обеспечение уста</w:t>
      </w:r>
      <w:r w:rsidRPr="00C33834">
        <w:rPr>
          <w:rFonts w:ascii="Times New Roman" w:cs="Times New Roman"/>
          <w:color w:val="000000" w:themeColor="text1"/>
          <w:spacing w:val="0"/>
          <w:sz w:val="16"/>
          <w:szCs w:val="16"/>
        </w:rPr>
        <w:softHyphen/>
        <w:t>новки дисков задних колес на передние (и наоборот) - необходимы. Из 4 дисков 2 пришли в негодность из-за износа резиновых шин: диск левого переднего колеса после экстренного торможения на скорости 75 клм./ч. - на 730 клм.; диск левого заднего колеса -на 212 клм. скоростного про</w:t>
      </w:r>
      <w:r w:rsidRPr="00C33834">
        <w:rPr>
          <w:rFonts w:ascii="Times New Roman" w:cs="Times New Roman"/>
          <w:color w:val="000000" w:themeColor="text1"/>
          <w:spacing w:val="0"/>
          <w:sz w:val="16"/>
          <w:szCs w:val="16"/>
        </w:rPr>
        <w:softHyphen/>
        <w:t>бега на 1012 клм. Шина 2-го диска имела роговую прослойку.</w:t>
      </w:r>
    </w:p>
    <w:p w14:paraId="172EB9B6" w14:textId="77777777" w:rsidR="004050DA" w:rsidRPr="00C33834" w:rsidRDefault="004050DA" w:rsidP="00C33834">
      <w:pPr>
        <w:pStyle w:val="3b"/>
        <w:shd w:val="clear" w:color="auto" w:fill="auto"/>
        <w:spacing w:before="0" w:after="0" w:line="240" w:lineRule="auto"/>
        <w:jc w:val="both"/>
        <w:rPr>
          <w:color w:val="000000" w:themeColor="text1"/>
          <w:spacing w:val="0"/>
          <w:sz w:val="16"/>
          <w:szCs w:val="16"/>
        </w:rPr>
      </w:pPr>
      <w:bookmarkStart w:id="25" w:name="bookmark4"/>
      <w:r w:rsidRPr="00C33834">
        <w:rPr>
          <w:color w:val="000000" w:themeColor="text1"/>
          <w:spacing w:val="0"/>
          <w:sz w:val="16"/>
          <w:szCs w:val="16"/>
        </w:rPr>
        <w:t>(...)</w:t>
      </w:r>
      <w:bookmarkEnd w:id="25"/>
    </w:p>
    <w:p w14:paraId="76973E53" w14:textId="77777777" w:rsidR="004050DA" w:rsidRPr="00C33834" w:rsidRDefault="004050DA" w:rsidP="00C33834">
      <w:pPr>
        <w:pStyle w:val="34"/>
        <w:shd w:val="clear" w:color="auto" w:fill="auto"/>
        <w:spacing w:line="240" w:lineRule="auto"/>
        <w:jc w:val="both"/>
        <w:rPr>
          <w:rFonts w:ascii="Times New Roman" w:cs="Times New Roman"/>
          <w:color w:val="000000" w:themeColor="text1"/>
          <w:spacing w:val="0"/>
          <w:sz w:val="16"/>
          <w:szCs w:val="16"/>
        </w:rPr>
      </w:pPr>
      <w:r w:rsidRPr="00C33834">
        <w:rPr>
          <w:rFonts w:ascii="Times New Roman" w:cs="Times New Roman"/>
          <w:color w:val="000000" w:themeColor="text1"/>
          <w:spacing w:val="0"/>
          <w:sz w:val="16"/>
          <w:szCs w:val="16"/>
        </w:rPr>
        <w:t>г) Подъемное приспособление: домкрат имел две поломки. Всю тя</w:t>
      </w:r>
      <w:r w:rsidRPr="00C33834">
        <w:rPr>
          <w:rFonts w:ascii="Times New Roman" w:cs="Times New Roman"/>
          <w:color w:val="000000" w:themeColor="text1"/>
          <w:spacing w:val="0"/>
          <w:sz w:val="16"/>
          <w:szCs w:val="16"/>
        </w:rPr>
        <w:softHyphen/>
        <w:t>жесть брдл при подъемке принимает на себя дно, приклепанное к кор-</w:t>
      </w:r>
    </w:p>
    <w:p w14:paraId="233EF3BC" w14:textId="77777777" w:rsidR="004050DA" w:rsidRPr="00C33834" w:rsidRDefault="004050DA" w:rsidP="00C33834">
      <w:pPr>
        <w:pStyle w:val="5a"/>
        <w:shd w:val="clear" w:color="auto" w:fill="auto"/>
        <w:spacing w:line="240" w:lineRule="auto"/>
        <w:ind w:firstLine="0"/>
        <w:jc w:val="both"/>
        <w:rPr>
          <w:rFonts w:ascii="Times New Roman" w:hAnsi="Times New Roman"/>
          <w:color w:val="000000" w:themeColor="text1"/>
          <w:spacing w:val="0"/>
          <w:sz w:val="16"/>
          <w:szCs w:val="16"/>
        </w:rPr>
      </w:pPr>
      <w:r w:rsidRPr="00C33834">
        <w:rPr>
          <w:rFonts w:ascii="Times New Roman" w:hAnsi="Times New Roman"/>
          <w:color w:val="000000" w:themeColor="text1"/>
          <w:spacing w:val="0"/>
          <w:sz w:val="16"/>
          <w:szCs w:val="16"/>
        </w:rPr>
        <w:t>Легкая броневая дрезина на железнодорожном ходу. Съемные диски устанавливались поверх автомобильных колес.</w:t>
      </w:r>
    </w:p>
    <w:p w14:paraId="41193742" w14:textId="77777777" w:rsidR="004050DA" w:rsidRPr="00C33834" w:rsidRDefault="004050DA" w:rsidP="00C33834">
      <w:pPr>
        <w:pStyle w:val="34"/>
        <w:shd w:val="clear" w:color="auto" w:fill="auto"/>
        <w:spacing w:line="240" w:lineRule="auto"/>
        <w:jc w:val="both"/>
        <w:rPr>
          <w:rFonts w:ascii="Times New Roman" w:cs="Times New Roman"/>
          <w:color w:val="000000" w:themeColor="text1"/>
          <w:spacing w:val="0"/>
          <w:sz w:val="16"/>
          <w:szCs w:val="16"/>
        </w:rPr>
      </w:pPr>
      <w:r w:rsidRPr="00C33834">
        <w:rPr>
          <w:rFonts w:ascii="Times New Roman" w:cs="Times New Roman"/>
          <w:color w:val="000000" w:themeColor="text1"/>
          <w:spacing w:val="0"/>
          <w:sz w:val="16"/>
          <w:szCs w:val="16"/>
        </w:rPr>
        <w:t>пусу домкрата; последний изготовлен из мягкого железа. При поломках срезались заклепки, корпус домкрата и дно его перекашивались, шари</w:t>
      </w:r>
      <w:r w:rsidRPr="00C33834">
        <w:rPr>
          <w:rFonts w:ascii="Times New Roman" w:cs="Times New Roman"/>
          <w:color w:val="000000" w:themeColor="text1"/>
          <w:spacing w:val="0"/>
          <w:sz w:val="16"/>
          <w:szCs w:val="16"/>
        </w:rPr>
        <w:softHyphen/>
        <w:t>ки из упорного подшипника выпадали. Корпус домкрата и дно его долж</w:t>
      </w:r>
      <w:r w:rsidRPr="00C33834">
        <w:rPr>
          <w:rFonts w:ascii="Times New Roman" w:cs="Times New Roman"/>
          <w:color w:val="000000" w:themeColor="text1"/>
          <w:spacing w:val="0"/>
          <w:sz w:val="16"/>
          <w:szCs w:val="16"/>
        </w:rPr>
        <w:softHyphen/>
        <w:t>ны быть прочнее и абсолютно жесткими.</w:t>
      </w:r>
    </w:p>
    <w:p w14:paraId="7F69AF25" w14:textId="77777777" w:rsidR="004050DA" w:rsidRPr="00C33834" w:rsidRDefault="004050DA" w:rsidP="00C33834">
      <w:pPr>
        <w:pStyle w:val="321"/>
        <w:shd w:val="clear" w:color="auto" w:fill="auto"/>
        <w:spacing w:line="240" w:lineRule="auto"/>
        <w:ind w:firstLine="0"/>
        <w:jc w:val="both"/>
        <w:outlineLvl w:val="9"/>
        <w:rPr>
          <w:rFonts w:ascii="Times New Roman" w:hAnsi="Times New Roman" w:cs="Times New Roman"/>
          <w:color w:val="000000" w:themeColor="text1"/>
          <w:sz w:val="16"/>
          <w:szCs w:val="16"/>
        </w:rPr>
      </w:pPr>
      <w:bookmarkStart w:id="26" w:name="bookmark5"/>
      <w:r w:rsidRPr="00C33834">
        <w:rPr>
          <w:rFonts w:ascii="Times New Roman" w:hAnsi="Times New Roman" w:cs="Times New Roman"/>
          <w:color w:val="000000" w:themeColor="text1"/>
          <w:sz w:val="16"/>
          <w:szCs w:val="16"/>
        </w:rPr>
        <w:t>(...)</w:t>
      </w:r>
      <w:bookmarkEnd w:id="26"/>
    </w:p>
    <w:p w14:paraId="14712C49" w14:textId="77777777" w:rsidR="004050DA" w:rsidRPr="00C33834" w:rsidRDefault="004050DA" w:rsidP="00C33834">
      <w:pPr>
        <w:pStyle w:val="34"/>
        <w:shd w:val="clear" w:color="auto" w:fill="auto"/>
        <w:spacing w:line="240" w:lineRule="auto"/>
        <w:jc w:val="both"/>
        <w:rPr>
          <w:rFonts w:ascii="Times New Roman" w:cs="Times New Roman"/>
          <w:color w:val="000000" w:themeColor="text1"/>
          <w:spacing w:val="0"/>
          <w:sz w:val="16"/>
          <w:szCs w:val="16"/>
        </w:rPr>
      </w:pPr>
      <w:r w:rsidRPr="00C33834">
        <w:rPr>
          <w:rFonts w:ascii="Times New Roman" w:cs="Times New Roman"/>
          <w:color w:val="000000" w:themeColor="text1"/>
          <w:spacing w:val="0"/>
          <w:sz w:val="16"/>
          <w:szCs w:val="16"/>
        </w:rPr>
        <w:t>ж) Деревянные мостки - пришли в полную негодность. При исполь</w:t>
      </w:r>
      <w:r w:rsidRPr="00C33834">
        <w:rPr>
          <w:rFonts w:ascii="Times New Roman" w:cs="Times New Roman"/>
          <w:color w:val="000000" w:themeColor="text1"/>
          <w:spacing w:val="0"/>
          <w:sz w:val="16"/>
          <w:szCs w:val="16"/>
        </w:rPr>
        <w:softHyphen/>
        <w:t>зовании требуется особая бдительность экипажа брдл: переход перед</w:t>
      </w:r>
      <w:r w:rsidRPr="00C33834">
        <w:rPr>
          <w:rFonts w:ascii="Times New Roman" w:cs="Times New Roman"/>
          <w:color w:val="000000" w:themeColor="text1"/>
          <w:spacing w:val="0"/>
          <w:sz w:val="16"/>
          <w:szCs w:val="16"/>
        </w:rPr>
        <w:softHyphen/>
        <w:t>них колес через наружную нитку рельс наблюдается часто. Предупреж</w:t>
      </w:r>
      <w:r w:rsidRPr="00C33834">
        <w:rPr>
          <w:rFonts w:ascii="Times New Roman" w:cs="Times New Roman"/>
          <w:color w:val="000000" w:themeColor="text1"/>
          <w:spacing w:val="0"/>
          <w:sz w:val="16"/>
          <w:szCs w:val="16"/>
        </w:rPr>
        <w:softHyphen/>
        <w:t>дение износа - крепление мостков от погружения в балласт».</w:t>
      </w:r>
    </w:p>
    <w:p w14:paraId="54BC9A26"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Выяснилось, что при неполной боевой на</w:t>
      </w:r>
      <w:r w:rsidRPr="00C33834">
        <w:rPr>
          <w:rFonts w:ascii="Times New Roman" w:hAnsi="Times New Roman"/>
          <w:color w:val="000000" w:themeColor="text1"/>
          <w:sz w:val="16"/>
          <w:szCs w:val="16"/>
        </w:rPr>
        <w:softHyphen/>
        <w:t>грузке (если, например, отсутствовали воору</w:t>
      </w:r>
      <w:r w:rsidRPr="00C33834">
        <w:rPr>
          <w:rFonts w:ascii="Times New Roman" w:hAnsi="Times New Roman"/>
          <w:color w:val="000000" w:themeColor="text1"/>
          <w:sz w:val="16"/>
          <w:szCs w:val="16"/>
        </w:rPr>
        <w:softHyphen/>
        <w:t>жение или боеприпасы и передняя часть «брдл» становилась тяжелее задней), установить маши</w:t>
      </w:r>
      <w:r w:rsidRPr="00C33834">
        <w:rPr>
          <w:rFonts w:ascii="Times New Roman" w:hAnsi="Times New Roman"/>
          <w:color w:val="000000" w:themeColor="text1"/>
          <w:sz w:val="16"/>
          <w:szCs w:val="16"/>
        </w:rPr>
        <w:softHyphen/>
        <w:t>ну на рельсы правильно (или снять для движения по грунту) с помощью домкрата экипаж из двух человек не мог. Требовалось привлекать до</w:t>
      </w:r>
      <w:r w:rsidRPr="00C33834">
        <w:rPr>
          <w:rFonts w:ascii="Times New Roman" w:hAnsi="Times New Roman"/>
          <w:color w:val="000000" w:themeColor="text1"/>
          <w:sz w:val="16"/>
          <w:szCs w:val="16"/>
        </w:rPr>
        <w:softHyphen/>
        <w:t>полнительные силы и средства, что в боевых ус</w:t>
      </w:r>
      <w:r w:rsidRPr="00C33834">
        <w:rPr>
          <w:rFonts w:ascii="Times New Roman" w:hAnsi="Times New Roman"/>
          <w:color w:val="000000" w:themeColor="text1"/>
          <w:sz w:val="16"/>
          <w:szCs w:val="16"/>
        </w:rPr>
        <w:softHyphen/>
        <w:t>ловиях далеко не всегда было возможно. Кроме того, при движении машины в боевом порядке (с закрытыми люками) обзор из нее признали явно недостаточным.</w:t>
      </w:r>
    </w:p>
    <w:p w14:paraId="62729565" w14:textId="77777777" w:rsidR="004050DA" w:rsidRPr="00C33834" w:rsidRDefault="004050DA" w:rsidP="00C33834">
      <w:pPr>
        <w:spacing w:after="0" w:line="240" w:lineRule="auto"/>
        <w:jc w:val="both"/>
        <w:rPr>
          <w:rStyle w:val="aff5"/>
          <w:rFonts w:ascii="Times New Roman" w:hAnsi="Times New Roman" w:cs="Times New Roman"/>
          <w:i w:val="0"/>
          <w:color w:val="000000" w:themeColor="text1"/>
        </w:rPr>
      </w:pPr>
      <w:r w:rsidRPr="00C33834">
        <w:rPr>
          <w:rFonts w:ascii="Times New Roman" w:hAnsi="Times New Roman"/>
          <w:color w:val="000000" w:themeColor="text1"/>
          <w:sz w:val="16"/>
          <w:szCs w:val="16"/>
        </w:rPr>
        <w:t>Дальнейшие работы по легким бронедрези</w:t>
      </w:r>
      <w:r w:rsidRPr="00C33834">
        <w:rPr>
          <w:rFonts w:ascii="Times New Roman" w:hAnsi="Times New Roman"/>
          <w:color w:val="000000" w:themeColor="text1"/>
          <w:sz w:val="16"/>
          <w:szCs w:val="16"/>
        </w:rPr>
        <w:softHyphen/>
        <w:t>нам на основе бронеавтомобиля Д-8 прекратили. Тем не менее, на основе опытной эксплуатации «брдл» в Ленинграде составили временную ин</w:t>
      </w:r>
      <w:r w:rsidRPr="00C33834">
        <w:rPr>
          <w:rFonts w:ascii="Times New Roman" w:hAnsi="Times New Roman"/>
          <w:color w:val="000000" w:themeColor="text1"/>
          <w:sz w:val="16"/>
          <w:szCs w:val="16"/>
        </w:rPr>
        <w:softHyphen/>
        <w:t>струкцию</w:t>
      </w:r>
      <w:r w:rsidRPr="00C33834">
        <w:rPr>
          <w:rStyle w:val="aff5"/>
          <w:rFonts w:ascii="Times New Roman" w:hAnsi="Times New Roman" w:cs="Times New Roman"/>
          <w:i w:val="0"/>
          <w:color w:val="000000" w:themeColor="text1"/>
        </w:rPr>
        <w:t xml:space="preserve"> «по службе на бронедрезинах» (12737).</w:t>
      </w:r>
    </w:p>
    <w:p w14:paraId="60DA2B9E" w14:textId="77777777" w:rsidR="004050DA" w:rsidRPr="00C33834" w:rsidRDefault="004050DA" w:rsidP="00C33834">
      <w:pPr>
        <w:spacing w:after="0" w:line="240" w:lineRule="auto"/>
        <w:jc w:val="both"/>
        <w:rPr>
          <w:rFonts w:ascii="Times New Roman" w:hAnsi="Times New Roman"/>
          <w:color w:val="000000" w:themeColor="text1"/>
          <w:sz w:val="16"/>
          <w:szCs w:val="16"/>
        </w:rPr>
      </w:pPr>
    </w:p>
    <w:p w14:paraId="2CC823C4" w14:textId="77777777" w:rsidR="0066456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1510E81A" w14:textId="77777777" w:rsidR="00664564" w:rsidRPr="00C33834" w:rsidRDefault="0066456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4A4F560"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июня 1933 лидер коммунистов Украины П. Постышев объявил о массовых арестах среди буржуазной интеллигенции Украины (4962).</w:t>
      </w:r>
    </w:p>
    <w:p w14:paraId="07664C1B"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824E5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июня 1932 Первый секретарь обкома и председатель облисполкома ЦЧО получили правительственную депешу следующего содержания: "Предлагаю вам обеспечить во что бы то ни стало первую сдачу [хлеба нового урожая]... Никакие уклонения от выполнения плана... не должны быть допущены ни под каким видом... Молотов,Сталин" (10687).</w:t>
      </w:r>
    </w:p>
    <w:p w14:paraId="7403879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46748F2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22 и 29 июня 1933. Из протокола заседания Политбюро N 140, 1933 г.</w:t>
      </w:r>
    </w:p>
    <w:p w14:paraId="00A5B8E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т. Шостаковиче </w:t>
      </w:r>
    </w:p>
    <w:p w14:paraId="70B2F33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Объявить т. Шостаковичу строгий выговор за политически недопустимую выходку (посылка из-за границы открытой телеграммы со ссылкой на Политбюро) (11652). </w:t>
      </w:r>
    </w:p>
    <w:p w14:paraId="1C2996D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028D9AD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22 и 29 июня 1933. Из протокола заседания Политбюро N 140, 1933 г.</w:t>
      </w:r>
    </w:p>
    <w:p w14:paraId="0D79FBE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финансировании коммунального хозяйства городов УССР </w:t>
      </w:r>
    </w:p>
    <w:p w14:paraId="1BC29A6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Удовлетворить за счет резервного фонда СНК СССР ходатайство Украины о дополнительных ассигнованиях в 1933 году на капитальное строительство коммунального хозяйства: по гор. Киеву — 4,4 млн руб., по гор. Одессе — 4,4 млн. руб., всего по Украине на 8,8 млн рублей (11652).</w:t>
      </w:r>
    </w:p>
    <w:p w14:paraId="13AB249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27A751EE" w14:textId="77777777" w:rsidR="0066456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8FEDD38" w14:textId="77777777" w:rsidR="00664564" w:rsidRPr="00C33834" w:rsidRDefault="0066456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4798B4E"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22 июня</w:t>
      </w:r>
      <w:r w:rsidRPr="00C33834">
        <w:rPr>
          <w:rFonts w:ascii="Times New Roman" w:hAnsi="Times New Roman"/>
          <w:color w:val="000000" w:themeColor="text1"/>
          <w:sz w:val="16"/>
          <w:szCs w:val="16"/>
        </w:rPr>
        <w:t xml:space="preserve"> в 1933 году выпущен опытный самолет, </w:t>
      </w:r>
      <w:hyperlink r:id="rId221" w:tgtFrame="_blank" w:history="1">
        <w:r w:rsidRPr="00C33834">
          <w:rPr>
            <w:rFonts w:ascii="Times New Roman" w:hAnsi="Times New Roman"/>
            <w:color w:val="000000" w:themeColor="text1"/>
            <w:sz w:val="16"/>
            <w:szCs w:val="16"/>
          </w:rPr>
          <w:t xml:space="preserve">«Douglas» «DC-1» </w:t>
        </w:r>
      </w:hyperlink>
      <w:r w:rsidRPr="00C33834">
        <w:rPr>
          <w:rFonts w:ascii="Times New Roman" w:hAnsi="Times New Roman"/>
          <w:color w:val="000000" w:themeColor="text1"/>
          <w:sz w:val="16"/>
          <w:szCs w:val="16"/>
        </w:rPr>
        <w:t>(«DC» - «Douglas Commercial»), и оснащенный двумя двигателями «Wright» «R-1820» «Cyclone», совершил свой первый полет 1 июля. Самолет «DC-1», однако, никогда не эксплуатировался в пассажирских перевозках, а использовался только в рекламных целях. К ним относился и рекордный перелет между Атлантическим и Тихоокеанским побережьями США в ночь с 18 на 19 февраля 1934 года, длившийся 13 часов 4 минуты (14930).</w:t>
      </w:r>
    </w:p>
    <w:p w14:paraId="05E200A3" w14:textId="77777777" w:rsidR="003417C8" w:rsidRPr="00C33834" w:rsidRDefault="003417C8" w:rsidP="00C33834">
      <w:pPr>
        <w:spacing w:after="0" w:line="240" w:lineRule="auto"/>
        <w:jc w:val="both"/>
        <w:rPr>
          <w:rFonts w:ascii="Times New Roman" w:hAnsi="Times New Roman"/>
          <w:color w:val="000000" w:themeColor="text1"/>
          <w:sz w:val="16"/>
          <w:szCs w:val="16"/>
        </w:rPr>
      </w:pPr>
    </w:p>
    <w:p w14:paraId="4A3F23C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22 июня 1933 А.Гитлер запретил все политические партии кроме национал-социалистической (2100).</w:t>
      </w:r>
    </w:p>
    <w:p w14:paraId="734BD2A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3EDDDA5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июня 1933 г. решением правительства Гитлера была распущена СДПГ. Затем наступил черед буржуазных партий: 4 июля 1933 г. немецкая национальная народная партия и Баварская народная партия (соответственно 53 и 19 мандатов на последних выборах) заявили о своем самороспуске; 5 июля самораспустилась католическая партия Центра (73 мандата). 7 июля были объявлены недействительными полномочия депутатов СДПГ всех уровней. 14 июля был издан закон, запрещавший существование в Германии какой-либо партии, кроме НСДАП. И довершил установление национал-социалистического режима закон «об обеспечении единства партии и государства», объявивший НСДАП «носительницей немецкой государственной мысли» (Reichsgesetzblatt, 1933, Bd.I. S. 1016). Наконец, специальным постановлением Гитлера уже в 1937 г., когда последние беспартийные министры Шахт, Нойрат и др. вступили в НСДАП, было решено, что любое назначение на государственную должность, произведенное без согласия НСДАП, считалось недействительным. (Розанов Г. Л. Указ. соч. с. 102) (11784).</w:t>
      </w:r>
    </w:p>
    <w:p w14:paraId="600EFF8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3A6D7413"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июня 1933 государственным чиновникам Германии предписано доносить на инакомыслящих коллег (4962).</w:t>
      </w:r>
    </w:p>
    <w:p w14:paraId="140ABFD1"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6D7044" w14:textId="77777777" w:rsidR="0066456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078DB83" w14:textId="77777777" w:rsidR="00664564" w:rsidRPr="00C33834" w:rsidRDefault="0066456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789FF5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июня 1933 НИИ ВВС дал заключение о предварительных испытаниях на земле И-5 N 21117 эталона на 1933 (1041).</w:t>
      </w:r>
    </w:p>
    <w:p w14:paraId="741582C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7846BB6B" w14:textId="77777777" w:rsidR="00664564" w:rsidRPr="00C33834" w:rsidRDefault="0066456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июня 1933 года было подписано заключение НИИ ВВС о предварительном испытании на земле самолета И-5 № 21117 эталона 1933 года, пред"явленного ЦАГИ на государственные испытания (10757).</w:t>
      </w:r>
    </w:p>
    <w:p w14:paraId="4C9101D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71FF71D6"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23 июня по 26 июля 1933 года в Борисоглебской школе проходили войсковые испытания вооруженного самолета У-2 М-11 (6644).</w:t>
      </w:r>
    </w:p>
    <w:p w14:paraId="6FBF0072"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0D81103A"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7 сектора Калилец</w:t>
      </w:r>
    </w:p>
    <w:p w14:paraId="2B582975"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Летчики:</w:t>
      </w:r>
    </w:p>
    <w:p w14:paraId="703B43AB"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Агеев</w:t>
      </w:r>
    </w:p>
    <w:p w14:paraId="2C9FF2FB"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Чугунов</w:t>
      </w:r>
    </w:p>
    <w:p w14:paraId="0F394467"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2301E642"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Выявить летно-тактические и эксплуатационные данные вооруженного самолета У-2, исходя из возможности использования его для боевой и тактической подготовки летного состава (летчиков и летчиков-наблюдателей).</w:t>
      </w:r>
    </w:p>
    <w:p w14:paraId="1AEB265B"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4A2B2343"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Считать возможным после устранения дефектов вооруженный самолет У-2 допустить к серийному производству.</w:t>
      </w:r>
    </w:p>
    <w:p w14:paraId="73F48FA3"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испытаний</w:t>
      </w:r>
    </w:p>
    <w:p w14:paraId="0837594D"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испытаниях принимали участие 3 самолета У-2 М-11 2-ой Борисоглебской Школы летчиков (6644).</w:t>
      </w:r>
    </w:p>
    <w:p w14:paraId="4E69A6D4"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31F44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июня 1933 состоялось заседание техкомиссии по подготовке рекордного перелета (1102).</w:t>
      </w:r>
    </w:p>
    <w:p w14:paraId="0574F26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728526F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23-го июня 1933 г. приемочная комиссия советского торгпредства приняла от фирмы Дорнье Дорнье "Валь" СССР-Н9 - Заводской № 238, двигатели - 2 М-17 (так в документе), дата присвоения опознавательного знака с литерой "Н" - 22.08.33 г. Самолет более совершенной конструкции. 27 июля машина вылетела в Ленинград, где должна была проходить испытания. Окончание испытаний планировалось на 1 сентября, после чего самолет должен был отправиться в Карское море для ледовой разведки и вывозки пушнины с дальних пунктов.</w:t>
      </w:r>
    </w:p>
    <w:p w14:paraId="7935F7F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сезон эксплуатации СССР-Н9 оказался неудачным по причине поломки двигателя в бухте Пойндте. Необходимо было заменить два поршня кормового мотора. На выручку экипажа 10-го сентября с запасными частями прибыл "Валь" СССР-Н2. Предполагалось лететь на базу на одном моторе, но за час до взлета у бортмеханика возникло подозрение еще и на задир поршней носового мотора. Перелет на базу был отставлен, и самолет погрузили на борт подошедшего судна (11970).</w:t>
      </w:r>
    </w:p>
    <w:p w14:paraId="2676141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1AEDCF7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июня 1933 машину Дорнье "Валь" СССР-Н10 - Заводской № 239, двигатели - 2 М-17, дата присвоения опознавательного знака с литерой "Н" - 22.08.33 г., как и родственную СССР- Н9, комиссия Торгпредства приняла от фирмы Дорнье. Из-за границы самолет прибыл только 23 августа, после чего встал на длительные испытания в Ленинграде совместно с комиссией НИИ ВВС. Из Ленинграда СССР-НЮ вылетел в устье Енисея для выполнения транспортных полетов только в октябре 1933 г. Экипаж летающей лодки состоял из командира летчика Рябенко, второго пилота Жихарева, бортмехаников Орлова и Ивашины. Кроме экипажа, на борту находились два пассажира. В районе Матюйсале (у входа в Гыданскую губу) летчики заблудились в тумане, выработали почти все горючее и приводнились вблизи от зимовки Грудицкого. На зимовке бензина не было, имелся только керосин, которым полярники поделились с авиаторами. По воде уже плавали льдины, и тянуть с отлетом было нельзя.</w:t>
      </w:r>
    </w:p>
    <w:p w14:paraId="303BB2B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Взлетев на остатках бензина, пилоты переключили питание моторов на керосин. Моторы сильно задымили, но продолжали тянуть самолет. Курс взяли на Гыдо-Ямо, где рассчитывали заправить машину.</w:t>
      </w:r>
    </w:p>
    <w:p w14:paraId="7D42C9D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Налетевшая пурга снова сбила пилотов с курса. Когда, минут через 50 видимость улучшилась, под гидропланом расстилался сплошной лед. Почти одновременно моторы начали "чихать" - керосин был на исходе. Заметив небольшую полынью, Рябенко немедленно пошел на посадку. Сели в Гыдоямском заливе, однако точное место посадки было не известно.</w:t>
      </w:r>
    </w:p>
    <w:p w14:paraId="064687B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Две недели экипаж и пассажиры провели на самолете. Погода не улучшалась, стоял густой туман. На 14-й день Жихареву, Ивашине и одному из пассажиров удалось на клиппер- боте добраться до края полыньи. Лед оказался слабым и с трудом выдерживал стоящего человека. Несколько километров (!) Ивашина с товарищами ползком тащил лодку с припасами до твердого льда. Здесь авиаторы разделились: Ивашина отправился обратно на гидроплан; двое других пошли за помощью.</w:t>
      </w:r>
    </w:p>
    <w:p w14:paraId="5AD130F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Тем временем площадь открытой воды все время уменьшалась, самолет обледеневал, осадка его увеличивалась, кончалось продовольствие. Законсервировав подручными средствами оборудование, экипаж высадился на берег.</w:t>
      </w:r>
    </w:p>
    <w:p w14:paraId="264FC05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Вскоре вернулся 2-й пилот Жихарев с известием, что им удалось найти рыбаков, с помощью которых добрались до Гыдо-Ямо. Здесь был бензин, и на нартах его привезли к месту посадки. Погрузив два бидона на клиппер-бот, Рябенко и Ивашина отправились на самолет. При причаливании острой сосулькой, свисавшей с борта, пробило резиновую лодку. Залив в бак первый бидон, Ивашина неожиданно обнаружил течь из поврежденного бензопровода - первый бидон потратили впустую. Заделав трещину и, взявшись за второй бидон, бортмеханик с удивлением обнаружил в нем вместо бензина масло.</w:t>
      </w:r>
    </w:p>
    <w:p w14:paraId="5C923F7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Переночевав, Рябенко и Ивашина заклеили пробоину на клиппер-боте и вернулись на берег. Обратный путь занял почти весь день.</w:t>
      </w:r>
    </w:p>
    <w:p w14:paraId="719A8A9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следующий день с четырьмя бидонами авиаторы вернулись к машине. Залили горючее и попробовали запустить моторы, но не удачно. Бензин оказался по качеству хуже керосина, не помог даже прогрев моторов кипятком.</w:t>
      </w:r>
    </w:p>
    <w:p w14:paraId="50C4413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Убедившись, что силами экипажа самолет освободить из ледового плена невозможно, отправились за помощью. В начале ноября удалось собрать бригаду из 16 человек, достали инструмент и материалы. С немалыми трудностями удалось вырубить СССР-НЮ изо льда и за 10 суток вытащить его на берег. После этого летчики отправились на рыбацкую зимовку. Регулярно, три раза в месяц Ивашина ходил за 80 км. для осмотра гидроплана.</w:t>
      </w:r>
    </w:p>
    <w:p w14:paraId="14078E6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мая 1934 г. снег, лежавший на крыльях "Валя" начал подтаивать и пропитываться водой. Вес его увеличился, и появилась опасность деформации плоскостей. Новый спасательный отряд освободил самолет от снега, а Ивашина начал ремонт повреждений, полученных машиной за зиму. Когда залив освободился ото льда, оказалось, что самолет лежит в 1,5 км от берега - зимой спасатели явно перестарались.</w:t>
      </w:r>
    </w:p>
    <w:p w14:paraId="00EF366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Решили подвести к лодке воду протекавшей неподалеку речки. Две недели ушло на рытье канала. Еще трое суток Жихарев и Ивашина "по бурлацки" вели самолет по заливу, обходя подводные льдины, и два дня двигались по протоке к реке Юрибей. Здесь низкопробный бензин неожиданно дал вспышку, и летчики смогли дойти до Гыдо-Ямо на моторах. 23 августа экипаж Махоткина доставил сюда дополнительный бензин, после чего самолет перелетел для проведения ремонта в Красноярск (11970).</w:t>
      </w:r>
    </w:p>
    <w:p w14:paraId="7406C23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4256A089" w14:textId="77777777" w:rsidR="0066456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10598F40" w14:textId="77777777" w:rsidR="00664564" w:rsidRPr="00C33834" w:rsidRDefault="0066456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6D937C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lang w:val="en-US"/>
        </w:rPr>
      </w:pPr>
      <w:r w:rsidRPr="00C33834">
        <w:rPr>
          <w:rFonts w:ascii="Times New Roman" w:hAnsi="Times New Roman"/>
          <w:color w:val="000000" w:themeColor="text1"/>
          <w:sz w:val="16"/>
          <w:szCs w:val="16"/>
        </w:rPr>
        <w:t>23 июня 1933 г. Крестинский, явно встревоженный «меморандумом Хугенберга», в очередном ориентировочном письме Хинчуку писал, что данный меморандум отнюдь не является единичным выступлением Хугенберга, а «представляет из себя строго продуманный акт германского правительства в целом. &lt;...&gt; Гермпра готово принять участие в военной коалиции против нас, готово выставить основные военные силы для войны с нами и требует за это лишь двух вещей — свободы вооружений и компенсаций за счет СССР. &lt;...&gt; Нам прежде всего нужно будет помнить, что дружественным уверениям гермпра верить нельзя, что в более отдаленные политические планы Германии входит война с нами, что нынешнее положение является лишь временной передышкой» (АВП РФ, ф. 082, оп. 16, п. 71, д. 1, л. 266-</w:t>
      </w:r>
      <w:r w:rsidRPr="00C33834">
        <w:rPr>
          <w:rFonts w:ascii="Times New Roman" w:hAnsi="Times New Roman"/>
          <w:color w:val="000000" w:themeColor="text1"/>
          <w:sz w:val="16"/>
          <w:szCs w:val="16"/>
        </w:rPr>
        <w:lastRenderedPageBreak/>
        <w:t xml:space="preserve">267.) (11784). «Меморандум Хугенберга» напрочь отрезал пути возврата к «рапалльской политике», — в нем почти неприкрыто прозвучал призыв к войне против СССР. После этого переориентация СССР с Германии на Францию и Польшу стала уже лишь «делом техники». В начале июля 1933 г. Москва предложила Парижу заключить негласное и устное двустороннее джентльменское соглашение о взаимном обмене информацией по важнейшим проблемам обстановки в Европе, а также по соглашениям, которые каждая из сторон намеревалась заключать с третьими странами (Максимычев И. Ф. Указ, соч, с. 48—49.). В августе 1933 г. СССР снял часть войск со своей западной границы с Польшей и направил их на Дальний Восток, предоставил Польше крупные заказы на поставку железа (РГВА, ф. 33987, оп. 3, д. 504, л. 153.). Тем временем обе стороны шаг за шагом, постепенно, поэтапно повели дело к сворачиванию своих связей. После отказа Москвы от совместного производства химических опытов («Томка») и дальнейшей деятельности танковой школы в Казани (30 мая и 13 июня) германский военный атташе Хартман 22 июля 1933 г. передал советской стороне меморандум, в котором излагалось решение главнокомандующего райхсвером о прекращении обучения летчиков-истребителей в Липецке в связи с «необходимостью железной экономии» и невозможностью для райхсвера производить новые крупные капитальные затраты для обновления материальной части авиационной школы (РГВА, ф. 33987, оп. 3, д. 504, л. 153.). Таким образом, все три школы райхсвера на территории СССР должны были прекратить свое существование. Однако, дабы сохранить для внешнего мира видимость продолжения сотрудничества между РККА и райхсвером, от имени германского главкома предлагалось осуществлять в дальнейшем обмен офицерами и специалистами, обмен сообщениями и опытом. Все постройки и сооружения в Липецке было обещано передать в распоряжение советской стороны. Меморандум Хартмана Ворошилов направил Сталину (РГВА, ф. 33987, оп. 3, д. 504, л. 153.). Однако Москва пошла дальше. Наряду с ликвидацией школ райхсвера, которая пошла полным ходом по утвержденному Ворошиловым в конце июля 1933г. графику, она отказалась направить командиров РККА на осмотр частей райхсвера. В ответ военный атташе Германии Хартман 8 августа 1933г. направил письмо заместителю начальника внешних сношений Штаба РККА Смагину с извещением о невозможности направить германских офицеров на учения частей РККА в конце летнего периода «по уже раньше обозначенным причинам» (нехватка денежных средств). На документе стоит изумительная по краткости и емкости резолюция Ворошилова: «Очень хорошо! В. 15. 8. 1933 г. » (РГВА, ф. 33987, оп. 3, д. 504, л. 153.), из которой видно, что данный ответный шаг немецкой стороны полностью вписывался в намеченную Москвой кампанию по ускоренному сворачиванию сотрудничества между РККА и райхсвером. Кстати сказать, немцев очень сильно задел и отказ советской стороны направить краскомов на курсы германской военной академии, поскольку «отказ от дальнейшего обмена офицерами и военными сведениями не предполагался» (РГВА, ф. 33987, оп. 3, д. 504, л. 153.). В соответствии с упоминавшимся графиком ликвидации предприятий «друзей» к 15 августа должна была быть закончена ликвидация «Томки», к 1 октября — «Липецка», к 1 — 15 октября — «Казани»{53}. Менее чем за месяц (26 июля — 15 августа)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 — 50 тыс. золотых руб. </w:t>
      </w:r>
      <w:r w:rsidRPr="00C33834">
        <w:rPr>
          <w:rFonts w:ascii="Times New Roman" w:hAnsi="Times New Roman"/>
          <w:color w:val="000000" w:themeColor="text1"/>
          <w:sz w:val="16"/>
          <w:szCs w:val="16"/>
          <w:lang w:val="en-US"/>
        </w:rPr>
        <w:t>(</w:t>
      </w:r>
      <w:r w:rsidRPr="00C33834">
        <w:rPr>
          <w:rFonts w:ascii="Times New Roman" w:hAnsi="Times New Roman"/>
          <w:color w:val="000000" w:themeColor="text1"/>
          <w:sz w:val="16"/>
          <w:szCs w:val="16"/>
        </w:rPr>
        <w:t>РГВА</w:t>
      </w:r>
      <w:r w:rsidRPr="00C33834">
        <w:rPr>
          <w:rFonts w:ascii="Times New Roman" w:hAnsi="Times New Roman"/>
          <w:color w:val="000000" w:themeColor="text1"/>
          <w:sz w:val="16"/>
          <w:szCs w:val="16"/>
          <w:lang w:val="en-US"/>
        </w:rPr>
        <w:t xml:space="preserve">, </w:t>
      </w:r>
      <w:r w:rsidRPr="00C33834">
        <w:rPr>
          <w:rFonts w:ascii="Times New Roman" w:hAnsi="Times New Roman"/>
          <w:color w:val="000000" w:themeColor="text1"/>
          <w:sz w:val="16"/>
          <w:szCs w:val="16"/>
        </w:rPr>
        <w:t>ф</w:t>
      </w:r>
      <w:r w:rsidRPr="00C33834">
        <w:rPr>
          <w:rFonts w:ascii="Times New Roman" w:hAnsi="Times New Roman"/>
          <w:color w:val="000000" w:themeColor="text1"/>
          <w:sz w:val="16"/>
          <w:szCs w:val="16"/>
          <w:lang w:val="en-US"/>
        </w:rPr>
        <w:t xml:space="preserve">. 33987, </w:t>
      </w:r>
      <w:r w:rsidRPr="00C33834">
        <w:rPr>
          <w:rFonts w:ascii="Times New Roman" w:hAnsi="Times New Roman"/>
          <w:color w:val="000000" w:themeColor="text1"/>
          <w:sz w:val="16"/>
          <w:szCs w:val="16"/>
        </w:rPr>
        <w:t>оп</w:t>
      </w:r>
      <w:r w:rsidRPr="00C33834">
        <w:rPr>
          <w:rFonts w:ascii="Times New Roman" w:hAnsi="Times New Roman"/>
          <w:color w:val="000000" w:themeColor="text1"/>
          <w:sz w:val="16"/>
          <w:szCs w:val="16"/>
          <w:lang w:val="en-US"/>
        </w:rPr>
        <w:t xml:space="preserve">. 3, </w:t>
      </w:r>
      <w:r w:rsidRPr="00C33834">
        <w:rPr>
          <w:rFonts w:ascii="Times New Roman" w:hAnsi="Times New Roman"/>
          <w:color w:val="000000" w:themeColor="text1"/>
          <w:sz w:val="16"/>
          <w:szCs w:val="16"/>
        </w:rPr>
        <w:t>д</w:t>
      </w:r>
      <w:r w:rsidRPr="00C33834">
        <w:rPr>
          <w:rFonts w:ascii="Times New Roman" w:hAnsi="Times New Roman"/>
          <w:color w:val="000000" w:themeColor="text1"/>
          <w:sz w:val="16"/>
          <w:szCs w:val="16"/>
          <w:lang w:val="en-US"/>
        </w:rPr>
        <w:t xml:space="preserve">. 504, </w:t>
      </w:r>
      <w:r w:rsidRPr="00C33834">
        <w:rPr>
          <w:rFonts w:ascii="Times New Roman" w:hAnsi="Times New Roman"/>
          <w:color w:val="000000" w:themeColor="text1"/>
          <w:sz w:val="16"/>
          <w:szCs w:val="16"/>
        </w:rPr>
        <w:t>л</w:t>
      </w:r>
      <w:r w:rsidRPr="00C33834">
        <w:rPr>
          <w:rFonts w:ascii="Times New Roman" w:hAnsi="Times New Roman"/>
          <w:color w:val="000000" w:themeColor="text1"/>
          <w:sz w:val="16"/>
          <w:szCs w:val="16"/>
          <w:lang w:val="en-US"/>
        </w:rPr>
        <w:t>. 153.).</w:t>
      </w:r>
    </w:p>
    <w:p w14:paraId="663EC47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lang w:val="en-US"/>
        </w:rPr>
      </w:pPr>
    </w:p>
    <w:p w14:paraId="1103A88E" w14:textId="77777777" w:rsidR="0066456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lang w:val="en-US"/>
        </w:rPr>
      </w:pPr>
      <w:r w:rsidRPr="00C33834">
        <w:rPr>
          <w:rFonts w:ascii="Times New Roman" w:hAnsi="Times New Roman"/>
          <w:i/>
          <w:iCs/>
          <w:color w:val="000000" w:themeColor="text1"/>
          <w:sz w:val="16"/>
          <w:szCs w:val="16"/>
        </w:rPr>
        <w:t>За</w:t>
      </w:r>
      <w:r w:rsidRPr="00C33834">
        <w:rPr>
          <w:rFonts w:ascii="Times New Roman" w:hAnsi="Times New Roman"/>
          <w:i/>
          <w:iCs/>
          <w:color w:val="000000" w:themeColor="text1"/>
          <w:sz w:val="16"/>
          <w:szCs w:val="16"/>
          <w:lang w:val="en-US"/>
        </w:rPr>
        <w:t xml:space="preserve"> </w:t>
      </w:r>
      <w:r w:rsidRPr="00C33834">
        <w:rPr>
          <w:rFonts w:ascii="Times New Roman" w:hAnsi="Times New Roman"/>
          <w:i/>
          <w:iCs/>
          <w:color w:val="000000" w:themeColor="text1"/>
          <w:sz w:val="16"/>
          <w:szCs w:val="16"/>
        </w:rPr>
        <w:t>рубежом</w:t>
      </w:r>
      <w:r w:rsidRPr="00C33834">
        <w:rPr>
          <w:rFonts w:ascii="Times New Roman" w:hAnsi="Times New Roman"/>
          <w:i/>
          <w:iCs/>
          <w:color w:val="000000" w:themeColor="text1"/>
          <w:sz w:val="16"/>
          <w:szCs w:val="16"/>
          <w:lang w:val="en-US"/>
        </w:rPr>
        <w:t>:</w:t>
      </w:r>
    </w:p>
    <w:p w14:paraId="54660037" w14:textId="77777777" w:rsidR="00664564" w:rsidRPr="00C33834" w:rsidRDefault="00664564" w:rsidP="00C3383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40D3D9D4" w14:textId="77777777" w:rsidR="00E5244A" w:rsidRPr="00C33834" w:rsidRDefault="00E5244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23 июня 1933 состоялся первый полет Couzinet 100 (20802).</w:t>
      </w:r>
    </w:p>
    <w:p w14:paraId="1A5868FE" w14:textId="77777777" w:rsidR="00E5244A" w:rsidRPr="00C33834" w:rsidRDefault="00E5244A" w:rsidP="00C33834">
      <w:pPr>
        <w:spacing w:after="0" w:line="240" w:lineRule="auto"/>
        <w:jc w:val="both"/>
        <w:rPr>
          <w:rFonts w:ascii="Times New Roman" w:hAnsi="Times New Roman"/>
          <w:color w:val="0070C0"/>
          <w:sz w:val="16"/>
          <w:szCs w:val="16"/>
        </w:rPr>
      </w:pPr>
    </w:p>
    <w:p w14:paraId="6823136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lang w:val="en-US"/>
        </w:rPr>
      </w:pPr>
      <w:r w:rsidRPr="00C33834">
        <w:rPr>
          <w:rFonts w:ascii="Times New Roman" w:hAnsi="Times New Roman"/>
          <w:color w:val="000000" w:themeColor="text1"/>
          <w:sz w:val="16"/>
          <w:szCs w:val="16"/>
          <w:lang w:val="en-US"/>
        </w:rPr>
        <w:t>June 23, 1933 Macon (ZRS-5), having made its first flight on 21 April, was commissioned at Akron, Ohio, with Commander Alger H. Dressel as Commanding Officer (1090).</w:t>
      </w:r>
    </w:p>
    <w:p w14:paraId="24AC0C9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lang w:val="en-US"/>
        </w:rPr>
      </w:pPr>
    </w:p>
    <w:p w14:paraId="776BE33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июня 1933 был принят дирижабль Macon (ZRS-5), который первый полет выполнил 21 апреля 1933 (1090).</w:t>
      </w:r>
    </w:p>
    <w:p w14:paraId="00F846B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4FBE9C72" w14:textId="77777777" w:rsidR="0066456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E84AECF" w14:textId="77777777" w:rsidR="00664564" w:rsidRPr="00C33834" w:rsidRDefault="0066456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33327F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24 июня по 13 ноября 1933 проходили полигонные (государственные) испытания торпеды высокого торпедометания образца 1912 года (ТАВ-12) (3053).</w:t>
      </w:r>
    </w:p>
    <w:p w14:paraId="7C92319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0F851A11" w14:textId="77777777" w:rsidR="0066456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045B840" w14:textId="77777777" w:rsidR="00664564" w:rsidRPr="00C33834" w:rsidRDefault="0066456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DBA19F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июня 1933 Гл. и-механик ВВС Аузан послал П.И.Баранову проект постановления РВС "О ходе выполнения плана опытного самолето- и моторостроения и вооружения авиации". Констатировали, что план не выполнен. Дали предложения по первоочередным и решающим машинам на 1933 (1025,81):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1418"/>
        <w:gridCol w:w="1276"/>
        <w:gridCol w:w="1417"/>
        <w:gridCol w:w="1276"/>
        <w:gridCol w:w="1842"/>
      </w:tblGrid>
      <w:tr w:rsidR="00F26F01" w:rsidRPr="00C33834" w14:paraId="0008F7A2" w14:textId="77777777">
        <w:tc>
          <w:tcPr>
            <w:tcW w:w="2376" w:type="dxa"/>
          </w:tcPr>
          <w:p w14:paraId="3782BA6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w:t>
            </w:r>
          </w:p>
        </w:tc>
        <w:tc>
          <w:tcPr>
            <w:tcW w:w="1418" w:type="dxa"/>
          </w:tcPr>
          <w:p w14:paraId="2D34CC1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Литер</w:t>
            </w:r>
          </w:p>
        </w:tc>
        <w:tc>
          <w:tcPr>
            <w:tcW w:w="1276" w:type="dxa"/>
          </w:tcPr>
          <w:p w14:paraId="5D85C0B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w:t>
            </w:r>
          </w:p>
        </w:tc>
        <w:tc>
          <w:tcPr>
            <w:tcW w:w="1417" w:type="dxa"/>
          </w:tcPr>
          <w:p w14:paraId="6F3F98E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Материал</w:t>
            </w:r>
          </w:p>
        </w:tc>
        <w:tc>
          <w:tcPr>
            <w:tcW w:w="1276" w:type="dxa"/>
          </w:tcPr>
          <w:p w14:paraId="75D8CC7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Заменяет</w:t>
            </w:r>
          </w:p>
        </w:tc>
        <w:tc>
          <w:tcPr>
            <w:tcW w:w="1842" w:type="dxa"/>
          </w:tcPr>
          <w:p w14:paraId="192A1F8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Примечания</w:t>
            </w:r>
          </w:p>
        </w:tc>
      </w:tr>
      <w:tr w:rsidR="00F26F01" w:rsidRPr="00C33834" w14:paraId="6C443586" w14:textId="77777777">
        <w:tc>
          <w:tcPr>
            <w:tcW w:w="2376" w:type="dxa"/>
          </w:tcPr>
          <w:p w14:paraId="7310B70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плановые:</w:t>
            </w:r>
          </w:p>
        </w:tc>
        <w:tc>
          <w:tcPr>
            <w:tcW w:w="1418" w:type="dxa"/>
          </w:tcPr>
          <w:p w14:paraId="634B463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9D1810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54FA33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B362FC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18D2DBB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0C0D237" w14:textId="77777777">
        <w:tc>
          <w:tcPr>
            <w:tcW w:w="2376" w:type="dxa"/>
          </w:tcPr>
          <w:p w14:paraId="0FC6566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Тяжелый бомбовоз</w:t>
            </w:r>
          </w:p>
        </w:tc>
        <w:tc>
          <w:tcPr>
            <w:tcW w:w="1418" w:type="dxa"/>
          </w:tcPr>
          <w:p w14:paraId="46EDB00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ТБ4-6М34 Оп.</w:t>
            </w:r>
          </w:p>
        </w:tc>
        <w:tc>
          <w:tcPr>
            <w:tcW w:w="1276" w:type="dxa"/>
          </w:tcPr>
          <w:p w14:paraId="27867A4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15.07.1933</w:t>
            </w:r>
          </w:p>
        </w:tc>
        <w:tc>
          <w:tcPr>
            <w:tcW w:w="1417" w:type="dxa"/>
          </w:tcPr>
          <w:p w14:paraId="6D0E7E3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Дюраль</w:t>
            </w:r>
          </w:p>
        </w:tc>
        <w:tc>
          <w:tcPr>
            <w:tcW w:w="1276" w:type="dxa"/>
          </w:tcPr>
          <w:p w14:paraId="600CDE3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1842" w:type="dxa"/>
          </w:tcPr>
          <w:p w14:paraId="68B4F25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плана</w:t>
            </w:r>
          </w:p>
        </w:tc>
      </w:tr>
      <w:tr w:rsidR="00F26F01" w:rsidRPr="00C33834" w14:paraId="56D362C1" w14:textId="77777777">
        <w:tc>
          <w:tcPr>
            <w:tcW w:w="2376" w:type="dxa"/>
          </w:tcPr>
          <w:p w14:paraId="004D31B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Тяжелый бомбовоз</w:t>
            </w:r>
          </w:p>
        </w:tc>
        <w:tc>
          <w:tcPr>
            <w:tcW w:w="1418" w:type="dxa"/>
          </w:tcPr>
          <w:p w14:paraId="2C7919F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ТБ3-4М34РН</w:t>
            </w:r>
          </w:p>
        </w:tc>
        <w:tc>
          <w:tcPr>
            <w:tcW w:w="1276" w:type="dxa"/>
          </w:tcPr>
          <w:p w14:paraId="3CE6E27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01.10.1934</w:t>
            </w:r>
          </w:p>
        </w:tc>
        <w:tc>
          <w:tcPr>
            <w:tcW w:w="1417" w:type="dxa"/>
          </w:tcPr>
          <w:p w14:paraId="008A3A8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1F53F3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4885F9F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000A884" w14:textId="77777777">
        <w:tc>
          <w:tcPr>
            <w:tcW w:w="2376" w:type="dxa"/>
          </w:tcPr>
          <w:p w14:paraId="068060C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Многоместный истребитель</w:t>
            </w:r>
          </w:p>
        </w:tc>
        <w:tc>
          <w:tcPr>
            <w:tcW w:w="1418" w:type="dxa"/>
          </w:tcPr>
          <w:p w14:paraId="060D83E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МИ3-2М34 Оп.</w:t>
            </w:r>
          </w:p>
        </w:tc>
        <w:tc>
          <w:tcPr>
            <w:tcW w:w="1276" w:type="dxa"/>
          </w:tcPr>
          <w:p w14:paraId="4F89944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01.12.1933</w:t>
            </w:r>
          </w:p>
        </w:tc>
        <w:tc>
          <w:tcPr>
            <w:tcW w:w="1417" w:type="dxa"/>
          </w:tcPr>
          <w:p w14:paraId="6C092D9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Дюраль</w:t>
            </w:r>
          </w:p>
        </w:tc>
        <w:tc>
          <w:tcPr>
            <w:tcW w:w="1276" w:type="dxa"/>
          </w:tcPr>
          <w:p w14:paraId="372711F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842" w:type="dxa"/>
          </w:tcPr>
          <w:p w14:paraId="70E8DA0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Согласовали</w:t>
            </w:r>
          </w:p>
        </w:tc>
      </w:tr>
      <w:tr w:rsidR="00F26F01" w:rsidRPr="00C33834" w14:paraId="374B6D90" w14:textId="77777777">
        <w:tc>
          <w:tcPr>
            <w:tcW w:w="2376" w:type="dxa"/>
          </w:tcPr>
          <w:p w14:paraId="244D9A8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02D3CC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2825A9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DD93B3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1C0FB2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436FE90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снижение ра-</w:t>
            </w:r>
          </w:p>
        </w:tc>
      </w:tr>
      <w:tr w:rsidR="00F26F01" w:rsidRPr="00C33834" w14:paraId="6A5FA374" w14:textId="77777777">
        <w:tc>
          <w:tcPr>
            <w:tcW w:w="2376" w:type="dxa"/>
          </w:tcPr>
          <w:p w14:paraId="63B6F3B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CB1B65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8ACD3D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946B2F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84DB1B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77A75B1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диуса до 500</w:t>
            </w:r>
          </w:p>
        </w:tc>
      </w:tr>
      <w:tr w:rsidR="00F26F01" w:rsidRPr="00C33834" w14:paraId="65560D5C" w14:textId="77777777">
        <w:tc>
          <w:tcPr>
            <w:tcW w:w="2376" w:type="dxa"/>
          </w:tcPr>
          <w:p w14:paraId="720E884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1418" w:type="dxa"/>
          </w:tcPr>
          <w:p w14:paraId="328E342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МК-6М34Р</w:t>
            </w:r>
          </w:p>
        </w:tc>
        <w:tc>
          <w:tcPr>
            <w:tcW w:w="1276" w:type="dxa"/>
          </w:tcPr>
          <w:p w14:paraId="14729C0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01.08.1934</w:t>
            </w:r>
          </w:p>
        </w:tc>
        <w:tc>
          <w:tcPr>
            <w:tcW w:w="1417" w:type="dxa"/>
          </w:tcPr>
          <w:p w14:paraId="0BD94BD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A3EEB3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4AD1953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107DD3C" w14:textId="77777777">
        <w:tc>
          <w:tcPr>
            <w:tcW w:w="2376" w:type="dxa"/>
          </w:tcPr>
          <w:p w14:paraId="314B6CF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1418" w:type="dxa"/>
          </w:tcPr>
          <w:p w14:paraId="35A04B2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МДР4-3М34Р</w:t>
            </w:r>
          </w:p>
        </w:tc>
        <w:tc>
          <w:tcPr>
            <w:tcW w:w="1276" w:type="dxa"/>
          </w:tcPr>
          <w:p w14:paraId="6170B21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01.05.1934</w:t>
            </w:r>
          </w:p>
        </w:tc>
        <w:tc>
          <w:tcPr>
            <w:tcW w:w="1417" w:type="dxa"/>
          </w:tcPr>
          <w:p w14:paraId="3B6D3E2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8F531A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217FDB2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98FD172" w14:textId="77777777">
        <w:tc>
          <w:tcPr>
            <w:tcW w:w="2376" w:type="dxa"/>
          </w:tcPr>
          <w:p w14:paraId="65BF0DC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Легкий разведчик</w:t>
            </w:r>
          </w:p>
        </w:tc>
        <w:tc>
          <w:tcPr>
            <w:tcW w:w="1418" w:type="dxa"/>
          </w:tcPr>
          <w:p w14:paraId="6D7F7F7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ЛР-М34</w:t>
            </w:r>
          </w:p>
        </w:tc>
        <w:tc>
          <w:tcPr>
            <w:tcW w:w="1276" w:type="dxa"/>
          </w:tcPr>
          <w:p w14:paraId="4F4A476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01.09.1933</w:t>
            </w:r>
          </w:p>
        </w:tc>
        <w:tc>
          <w:tcPr>
            <w:tcW w:w="1417" w:type="dxa"/>
          </w:tcPr>
          <w:p w14:paraId="6FA243C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F0E67A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26AB6D6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НИИ ГВФ</w:t>
            </w:r>
          </w:p>
        </w:tc>
      </w:tr>
      <w:tr w:rsidR="00F26F01" w:rsidRPr="00C33834" w14:paraId="49B2ADCD" w14:textId="77777777">
        <w:tc>
          <w:tcPr>
            <w:tcW w:w="2376" w:type="dxa"/>
          </w:tcPr>
          <w:p w14:paraId="3D62C68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c>
          <w:tcPr>
            <w:tcW w:w="1418" w:type="dxa"/>
          </w:tcPr>
          <w:p w14:paraId="1166E0C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ТШ3-М34</w:t>
            </w:r>
          </w:p>
        </w:tc>
        <w:tc>
          <w:tcPr>
            <w:tcW w:w="1276" w:type="dxa"/>
          </w:tcPr>
          <w:p w14:paraId="32CA849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01.02.1934</w:t>
            </w:r>
          </w:p>
        </w:tc>
        <w:tc>
          <w:tcPr>
            <w:tcW w:w="1417" w:type="dxa"/>
          </w:tcPr>
          <w:p w14:paraId="1E4E761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3144DC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7CF7CE4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B448095" w14:textId="77777777">
        <w:tc>
          <w:tcPr>
            <w:tcW w:w="2376" w:type="dxa"/>
          </w:tcPr>
          <w:p w14:paraId="66C26A1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Одноместный истреб.</w:t>
            </w:r>
          </w:p>
        </w:tc>
        <w:tc>
          <w:tcPr>
            <w:tcW w:w="1418" w:type="dxa"/>
          </w:tcPr>
          <w:p w14:paraId="4B6DAFC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И14-БМ</w:t>
            </w:r>
          </w:p>
        </w:tc>
        <w:tc>
          <w:tcPr>
            <w:tcW w:w="1276" w:type="dxa"/>
          </w:tcPr>
          <w:p w14:paraId="49FE406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15.07.1933</w:t>
            </w:r>
          </w:p>
        </w:tc>
        <w:tc>
          <w:tcPr>
            <w:tcW w:w="1417" w:type="dxa"/>
          </w:tcPr>
          <w:p w14:paraId="39FAD0E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62DA51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0023DF9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98E3CB2" w14:textId="77777777">
        <w:tc>
          <w:tcPr>
            <w:tcW w:w="2376" w:type="dxa"/>
          </w:tcPr>
          <w:p w14:paraId="0E05DC3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Одноместный истреб.</w:t>
            </w:r>
          </w:p>
        </w:tc>
        <w:tc>
          <w:tcPr>
            <w:tcW w:w="1418" w:type="dxa"/>
          </w:tcPr>
          <w:p w14:paraId="11DD735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И14-РЦ</w:t>
            </w:r>
          </w:p>
        </w:tc>
        <w:tc>
          <w:tcPr>
            <w:tcW w:w="1276" w:type="dxa"/>
          </w:tcPr>
          <w:p w14:paraId="779F5A4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01.02.1934</w:t>
            </w:r>
          </w:p>
        </w:tc>
        <w:tc>
          <w:tcPr>
            <w:tcW w:w="1417" w:type="dxa"/>
          </w:tcPr>
          <w:p w14:paraId="3758198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9D957D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320BCB9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BE19BAD" w14:textId="77777777">
        <w:tc>
          <w:tcPr>
            <w:tcW w:w="2376" w:type="dxa"/>
          </w:tcPr>
          <w:p w14:paraId="30BB2E2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1418" w:type="dxa"/>
          </w:tcPr>
          <w:p w14:paraId="17E6CF4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И15-РЦ</w:t>
            </w:r>
          </w:p>
        </w:tc>
        <w:tc>
          <w:tcPr>
            <w:tcW w:w="1276" w:type="dxa"/>
          </w:tcPr>
          <w:p w14:paraId="0CA9F43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01.12.1933</w:t>
            </w:r>
          </w:p>
        </w:tc>
        <w:tc>
          <w:tcPr>
            <w:tcW w:w="1417" w:type="dxa"/>
          </w:tcPr>
          <w:p w14:paraId="6F09ADC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15C8B0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364F50F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9683F36" w14:textId="77777777">
        <w:tc>
          <w:tcPr>
            <w:tcW w:w="2376" w:type="dxa"/>
          </w:tcPr>
          <w:p w14:paraId="391DF91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w:t>
            </w:r>
          </w:p>
        </w:tc>
        <w:tc>
          <w:tcPr>
            <w:tcW w:w="1418" w:type="dxa"/>
          </w:tcPr>
          <w:p w14:paraId="4DE8C40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И15-М58</w:t>
            </w:r>
          </w:p>
        </w:tc>
        <w:tc>
          <w:tcPr>
            <w:tcW w:w="1276" w:type="dxa"/>
          </w:tcPr>
          <w:p w14:paraId="75B481D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через 6 мес. послу получения моторов</w:t>
            </w:r>
          </w:p>
        </w:tc>
        <w:tc>
          <w:tcPr>
            <w:tcW w:w="1417" w:type="dxa"/>
          </w:tcPr>
          <w:p w14:paraId="28E57A9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69C749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3B31326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BAAB3F9" w14:textId="77777777">
        <w:tc>
          <w:tcPr>
            <w:tcW w:w="2376" w:type="dxa"/>
          </w:tcPr>
          <w:p w14:paraId="5F4DDC9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w:t>
            </w:r>
          </w:p>
        </w:tc>
        <w:tc>
          <w:tcPr>
            <w:tcW w:w="1418" w:type="dxa"/>
          </w:tcPr>
          <w:p w14:paraId="4915B01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С62-М34</w:t>
            </w:r>
          </w:p>
        </w:tc>
        <w:tc>
          <w:tcPr>
            <w:tcW w:w="1276" w:type="dxa"/>
          </w:tcPr>
          <w:p w14:paraId="6010D3D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01.08.1933</w:t>
            </w:r>
          </w:p>
        </w:tc>
        <w:tc>
          <w:tcPr>
            <w:tcW w:w="1417" w:type="dxa"/>
          </w:tcPr>
          <w:p w14:paraId="009AEFF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2F5887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30800E2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72BBADB" w14:textId="77777777">
        <w:tc>
          <w:tcPr>
            <w:tcW w:w="2376" w:type="dxa"/>
          </w:tcPr>
          <w:p w14:paraId="1EC722D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Экспериментальные:</w:t>
            </w:r>
          </w:p>
        </w:tc>
        <w:tc>
          <w:tcPr>
            <w:tcW w:w="1418" w:type="dxa"/>
          </w:tcPr>
          <w:p w14:paraId="58903B3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03D88A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3B01AF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606C38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5C87F76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6010A6C" w14:textId="77777777">
        <w:tc>
          <w:tcPr>
            <w:tcW w:w="2376" w:type="dxa"/>
          </w:tcPr>
          <w:p w14:paraId="13AC4E7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418" w:type="dxa"/>
          </w:tcPr>
          <w:p w14:paraId="544BA63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СК1-2М32</w:t>
            </w:r>
          </w:p>
        </w:tc>
        <w:tc>
          <w:tcPr>
            <w:tcW w:w="1276" w:type="dxa"/>
          </w:tcPr>
          <w:p w14:paraId="75355F0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01.12.1934</w:t>
            </w:r>
          </w:p>
        </w:tc>
        <w:tc>
          <w:tcPr>
            <w:tcW w:w="1417" w:type="dxa"/>
          </w:tcPr>
          <w:p w14:paraId="1B8B8CD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3A6491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2D4F4B1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06C5125" w14:textId="77777777">
        <w:tc>
          <w:tcPr>
            <w:tcW w:w="2376" w:type="dxa"/>
          </w:tcPr>
          <w:p w14:paraId="00F9B33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1418" w:type="dxa"/>
          </w:tcPr>
          <w:p w14:paraId="065E1B7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ВС-2М22</w:t>
            </w:r>
          </w:p>
        </w:tc>
        <w:tc>
          <w:tcPr>
            <w:tcW w:w="1276" w:type="dxa"/>
          </w:tcPr>
          <w:p w14:paraId="6350FBE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01.05.1934</w:t>
            </w:r>
          </w:p>
        </w:tc>
        <w:tc>
          <w:tcPr>
            <w:tcW w:w="1417" w:type="dxa"/>
          </w:tcPr>
          <w:p w14:paraId="34DB9C9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8125F9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23EAC3F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97365E1" w14:textId="77777777">
        <w:tc>
          <w:tcPr>
            <w:tcW w:w="2376" w:type="dxa"/>
          </w:tcPr>
          <w:p w14:paraId="5671A25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1418" w:type="dxa"/>
          </w:tcPr>
          <w:p w14:paraId="606D389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ДИП-2М34</w:t>
            </w:r>
          </w:p>
        </w:tc>
        <w:tc>
          <w:tcPr>
            <w:tcW w:w="1276" w:type="dxa"/>
          </w:tcPr>
          <w:p w14:paraId="592120D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01.06.1934</w:t>
            </w:r>
          </w:p>
        </w:tc>
        <w:tc>
          <w:tcPr>
            <w:tcW w:w="1417" w:type="dxa"/>
          </w:tcPr>
          <w:p w14:paraId="66F5E17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1D6D09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290D2C9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40EDA7C" w14:textId="77777777">
        <w:tc>
          <w:tcPr>
            <w:tcW w:w="2376" w:type="dxa"/>
          </w:tcPr>
          <w:p w14:paraId="5B186A3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1418" w:type="dxa"/>
          </w:tcPr>
          <w:p w14:paraId="52AF950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ДИ6 РЦ</w:t>
            </w:r>
          </w:p>
        </w:tc>
        <w:tc>
          <w:tcPr>
            <w:tcW w:w="1276" w:type="dxa"/>
          </w:tcPr>
          <w:p w14:paraId="34F4E73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01.05.1934</w:t>
            </w:r>
          </w:p>
        </w:tc>
        <w:tc>
          <w:tcPr>
            <w:tcW w:w="1417" w:type="dxa"/>
          </w:tcPr>
          <w:p w14:paraId="3257E3C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0C93FB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739E898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AF6F27C" w14:textId="77777777">
        <w:tc>
          <w:tcPr>
            <w:tcW w:w="2376" w:type="dxa"/>
          </w:tcPr>
          <w:p w14:paraId="68E083D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1418" w:type="dxa"/>
          </w:tcPr>
          <w:p w14:paraId="082DA85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К7-7М34</w:t>
            </w:r>
          </w:p>
        </w:tc>
        <w:tc>
          <w:tcPr>
            <w:tcW w:w="1276" w:type="dxa"/>
          </w:tcPr>
          <w:p w14:paraId="5A9EF88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01.12.1935</w:t>
            </w:r>
          </w:p>
        </w:tc>
        <w:tc>
          <w:tcPr>
            <w:tcW w:w="1417" w:type="dxa"/>
          </w:tcPr>
          <w:p w14:paraId="1FB1295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A8C91D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2DC4337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BABE23F" w14:textId="77777777">
        <w:tc>
          <w:tcPr>
            <w:tcW w:w="2376" w:type="dxa"/>
          </w:tcPr>
          <w:p w14:paraId="4EC156D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1418" w:type="dxa"/>
          </w:tcPr>
          <w:p w14:paraId="6A2E31A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ТБ6</w:t>
            </w:r>
          </w:p>
        </w:tc>
        <w:tc>
          <w:tcPr>
            <w:tcW w:w="1276" w:type="dxa"/>
          </w:tcPr>
          <w:p w14:paraId="0932C30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01.12.1935</w:t>
            </w:r>
          </w:p>
        </w:tc>
        <w:tc>
          <w:tcPr>
            <w:tcW w:w="1417" w:type="dxa"/>
          </w:tcPr>
          <w:p w14:paraId="7B71DA8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9DA7E0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2E22E4A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F3A4368" w14:textId="77777777">
        <w:tc>
          <w:tcPr>
            <w:tcW w:w="2376" w:type="dxa"/>
          </w:tcPr>
          <w:p w14:paraId="5C13481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c>
          <w:tcPr>
            <w:tcW w:w="1418" w:type="dxa"/>
          </w:tcPr>
          <w:p w14:paraId="6AC1F6A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СР1-М-58</w:t>
            </w:r>
          </w:p>
        </w:tc>
        <w:tc>
          <w:tcPr>
            <w:tcW w:w="1276" w:type="dxa"/>
          </w:tcPr>
          <w:p w14:paraId="2E1FF2A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мес. после мотора</w:t>
            </w:r>
          </w:p>
        </w:tc>
        <w:tc>
          <w:tcPr>
            <w:tcW w:w="1417" w:type="dxa"/>
          </w:tcPr>
          <w:p w14:paraId="1AADD5C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9EF019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011CF6F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67EE9BF" w14:textId="77777777">
        <w:tc>
          <w:tcPr>
            <w:tcW w:w="2376" w:type="dxa"/>
          </w:tcPr>
          <w:p w14:paraId="0938CE0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8. </w:t>
            </w:r>
          </w:p>
        </w:tc>
        <w:tc>
          <w:tcPr>
            <w:tcW w:w="1418" w:type="dxa"/>
          </w:tcPr>
          <w:p w14:paraId="6345321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Страт. сам. М34</w:t>
            </w:r>
          </w:p>
        </w:tc>
        <w:tc>
          <w:tcPr>
            <w:tcW w:w="1276" w:type="dxa"/>
          </w:tcPr>
          <w:p w14:paraId="709FA21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01.01.1934</w:t>
            </w:r>
          </w:p>
        </w:tc>
        <w:tc>
          <w:tcPr>
            <w:tcW w:w="1417" w:type="dxa"/>
          </w:tcPr>
          <w:p w14:paraId="371AA20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3C7A81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6D87316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CF7FCEE" w14:textId="77777777">
        <w:tc>
          <w:tcPr>
            <w:tcW w:w="2376" w:type="dxa"/>
          </w:tcPr>
          <w:p w14:paraId="7DDA408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tc>
        <w:tc>
          <w:tcPr>
            <w:tcW w:w="1418" w:type="dxa"/>
          </w:tcPr>
          <w:p w14:paraId="38EAED9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 крыло 2М11</w:t>
            </w:r>
          </w:p>
        </w:tc>
        <w:tc>
          <w:tcPr>
            <w:tcW w:w="1276" w:type="dxa"/>
          </w:tcPr>
          <w:p w14:paraId="27A96C4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01.01.1934</w:t>
            </w:r>
          </w:p>
        </w:tc>
        <w:tc>
          <w:tcPr>
            <w:tcW w:w="1417" w:type="dxa"/>
          </w:tcPr>
          <w:p w14:paraId="29ABE95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3245B2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64C9636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B4D80FF" w14:textId="77777777">
        <w:tc>
          <w:tcPr>
            <w:tcW w:w="2376" w:type="dxa"/>
          </w:tcPr>
          <w:p w14:paraId="70AEF00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1418" w:type="dxa"/>
          </w:tcPr>
          <w:p w14:paraId="023A436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 кр. Крич.</w:t>
            </w:r>
          </w:p>
        </w:tc>
        <w:tc>
          <w:tcPr>
            <w:tcW w:w="1276" w:type="dxa"/>
          </w:tcPr>
          <w:p w14:paraId="1037EB8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01.10.1933</w:t>
            </w:r>
          </w:p>
        </w:tc>
        <w:tc>
          <w:tcPr>
            <w:tcW w:w="1417" w:type="dxa"/>
          </w:tcPr>
          <w:p w14:paraId="4C538D9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C6B816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0350BC1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A4296E2" w14:textId="77777777">
        <w:tc>
          <w:tcPr>
            <w:tcW w:w="2376" w:type="dxa"/>
          </w:tcPr>
          <w:p w14:paraId="775A960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w:t>
            </w:r>
          </w:p>
        </w:tc>
        <w:tc>
          <w:tcPr>
            <w:tcW w:w="1418" w:type="dxa"/>
          </w:tcPr>
          <w:p w14:paraId="693A376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Геликоптер ВГ2</w:t>
            </w:r>
          </w:p>
        </w:tc>
        <w:tc>
          <w:tcPr>
            <w:tcW w:w="1276" w:type="dxa"/>
          </w:tcPr>
          <w:p w14:paraId="796D22F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15.07.1933</w:t>
            </w:r>
          </w:p>
        </w:tc>
        <w:tc>
          <w:tcPr>
            <w:tcW w:w="1417" w:type="dxa"/>
          </w:tcPr>
          <w:p w14:paraId="6AE2694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AEE31E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6EFCFB5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C29C037" w14:textId="77777777">
        <w:tc>
          <w:tcPr>
            <w:tcW w:w="2376" w:type="dxa"/>
          </w:tcPr>
          <w:p w14:paraId="67A3667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c>
          <w:tcPr>
            <w:tcW w:w="1418" w:type="dxa"/>
          </w:tcPr>
          <w:p w14:paraId="029FDC8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 М22</w:t>
            </w:r>
          </w:p>
        </w:tc>
        <w:tc>
          <w:tcPr>
            <w:tcW w:w="1276" w:type="dxa"/>
          </w:tcPr>
          <w:p w14:paraId="49DABD1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01.10.1933</w:t>
            </w:r>
          </w:p>
        </w:tc>
        <w:tc>
          <w:tcPr>
            <w:tcW w:w="1417" w:type="dxa"/>
          </w:tcPr>
          <w:p w14:paraId="6795FE9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054DDC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52CC8C2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1C221B5" w14:textId="77777777">
        <w:tc>
          <w:tcPr>
            <w:tcW w:w="2376" w:type="dxa"/>
          </w:tcPr>
          <w:p w14:paraId="38BFAC2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w:t>
            </w:r>
          </w:p>
        </w:tc>
        <w:tc>
          <w:tcPr>
            <w:tcW w:w="1418" w:type="dxa"/>
          </w:tcPr>
          <w:p w14:paraId="2C3B905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У-3-М43</w:t>
            </w:r>
          </w:p>
        </w:tc>
        <w:tc>
          <w:tcPr>
            <w:tcW w:w="1276" w:type="dxa"/>
          </w:tcPr>
          <w:p w14:paraId="041DE48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01.06.1034</w:t>
            </w:r>
          </w:p>
        </w:tc>
        <w:tc>
          <w:tcPr>
            <w:tcW w:w="1417" w:type="dxa"/>
          </w:tcPr>
          <w:p w14:paraId="09D3DC7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FBE870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6B4E9BF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4F93E19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(1025,87).</w:t>
      </w:r>
    </w:p>
    <w:p w14:paraId="77431B1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647390D4" w14:textId="77777777" w:rsidR="001C32AD" w:rsidRPr="00C33834" w:rsidRDefault="001C32AD"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24 июня 1933 гидроплан АИР-6А участвовал в спортивном празднике общества «Динамо», проходившем на водной станции напротив Центрального парка культуры и отдыха им. Горького.</w:t>
      </w:r>
    </w:p>
    <w:p w14:paraId="408813DF" w14:textId="77777777" w:rsidR="001C32AD" w:rsidRPr="00C33834" w:rsidRDefault="001C32AD"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Там же 6 - 17 июля проходили государственные испытания АИР-6А по программе СНИИ ГВФ. Кроме Ю.И. Пионтковского, на машине летал Б.Л. Местон. В ходе испытаний совершили перелет Москва - Коломна - Москва.</w:t>
      </w:r>
    </w:p>
    <w:p w14:paraId="3F6F1958" w14:textId="77777777" w:rsidR="001C32AD" w:rsidRPr="00C33834" w:rsidRDefault="001C32AD"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lastRenderedPageBreak/>
        <w:t>Несмотря на увеличение веса и дополнительное аэродинамическое сопротивление поплавков, данные самолета не особенно снизились. Машина хорошо слушалась рулей. Нагрузки на ручке и педалях определялась как «незначительные». Благодаря хорошей устойчивости пилот мог позволить себе бросить ручку управления не только на прямой, но и при выполнении виражей. Более того, самолет сам исправлял небольшие ошибки летчика. АИР-6А маневрировал на малой высоте без риска потери скорости. Тенденция к сваливанию на крыло отсутствовала. В отчете указывалось, что АИР-6А «может найти применение во многих отраслях народного хозяйства». Машину рекомендовали к серийному производству (19099).</w:t>
      </w:r>
    </w:p>
    <w:p w14:paraId="242C1BD0" w14:textId="77777777" w:rsidR="001C32AD" w:rsidRPr="00C33834" w:rsidRDefault="001C32AD" w:rsidP="00C33834">
      <w:pPr>
        <w:pStyle w:val="a8"/>
        <w:jc w:val="both"/>
        <w:rPr>
          <w:rFonts w:ascii="Times New Roman" w:hAnsi="Times New Roman" w:cs="Times New Roman"/>
          <w:color w:val="000000" w:themeColor="text1"/>
        </w:rPr>
      </w:pPr>
    </w:p>
    <w:p w14:paraId="4B33C20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июня 1933 впервые в ГВФ перелетели на К-5 через Кавказский хребет из Тбилиси в Пятигорск (442,303).</w:t>
      </w:r>
    </w:p>
    <w:p w14:paraId="1BA804C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17CC0589"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25 июня</w:t>
      </w:r>
      <w:r w:rsidRPr="00C33834">
        <w:rPr>
          <w:rFonts w:ascii="Times New Roman" w:hAnsi="Times New Roman"/>
          <w:color w:val="000000" w:themeColor="text1"/>
          <w:sz w:val="16"/>
          <w:szCs w:val="16"/>
        </w:rPr>
        <w:t xml:space="preserve"> в 1933 году совершен перелет через Большой Кавказский хребет на отечественном самолете </w:t>
      </w:r>
      <w:hyperlink r:id="rId222" w:tgtFrame="_blank" w:history="1">
        <w:r w:rsidRPr="00C33834">
          <w:rPr>
            <w:rFonts w:ascii="Times New Roman" w:hAnsi="Times New Roman"/>
            <w:color w:val="000000" w:themeColor="text1"/>
            <w:sz w:val="16"/>
            <w:szCs w:val="16"/>
          </w:rPr>
          <w:t xml:space="preserve">«К-5» </w:t>
        </w:r>
      </w:hyperlink>
      <w:r w:rsidRPr="00C33834">
        <w:rPr>
          <w:rFonts w:ascii="Times New Roman" w:hAnsi="Times New Roman"/>
          <w:color w:val="000000" w:themeColor="text1"/>
          <w:sz w:val="16"/>
          <w:szCs w:val="16"/>
        </w:rPr>
        <w:t>с двигателем «М-15», первый в отечественной истории. Рейс из Тбилиси в Пятигорск выполнил один из самолётов Закавказского управления ГВФ. Маршрут пролегал на высоте 4500 метров. Время в пути составило 2 часа 30 минут. (Затем должен был лететь в Москву, однако полёт не состоялся из-за отслоившейся обшивки) (14933).</w:t>
      </w:r>
    </w:p>
    <w:p w14:paraId="08FD17F0" w14:textId="77777777" w:rsidR="003417C8" w:rsidRPr="00C33834" w:rsidRDefault="003417C8" w:rsidP="00C33834">
      <w:pPr>
        <w:spacing w:after="0" w:line="240" w:lineRule="auto"/>
        <w:jc w:val="both"/>
        <w:rPr>
          <w:rFonts w:ascii="Times New Roman" w:hAnsi="Times New Roman"/>
          <w:color w:val="000000" w:themeColor="text1"/>
          <w:sz w:val="16"/>
          <w:szCs w:val="16"/>
        </w:rPr>
      </w:pPr>
    </w:p>
    <w:p w14:paraId="708C0A6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июня 1933 С.П.К. направил докладную записку в Финансовое управление РККА по поводу внеплановых закупок, которая позволяет судить об условиях создания ГИРД: "Покупка пишущей машинки у частного лица была произведена с разрешения начальника Авиапрома ОХА. Покупка трансформатора (600 р.), парового котла (2000 р.) и воздушного компрессора была произведена (...) потому, что на территории ГИРД не было промышленной энергии. Мастерские работали от осветительной сети, что недопустимо. Паровой котел был нужен потому, что ГИРД работает в сыром подвале без какого бы то ни было отопления. При дровяных и электрических печах температура опускалась до 0°С" (ААН, р. 4, оп. 14, № 238, л. 23) (10676).</w:t>
      </w:r>
    </w:p>
    <w:p w14:paraId="4777344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431D908A" w14:textId="77777777" w:rsidR="0066456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03EC490" w14:textId="77777777" w:rsidR="00664564" w:rsidRPr="00C33834" w:rsidRDefault="0066456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307BE9F"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июня 1933 в ОЭЛИД ЦАГИ с завода 22 поступили ТБ3-4М17 за №№ 22243 и 22250 для проведения испытания двух облегченных самолетов на определение расхода горючего и предельной дальности (проходило с 7 по 11 июля 1933) (6794).</w:t>
      </w:r>
    </w:p>
    <w:p w14:paraId="3B28D2B2"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27D6F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июня 1933 в НИИ ВВС закончились испытания самолета И7 N 4449 (эталон на 1933 год) с мотором М17 N 262646, которые проходили с 10 июня 1933.</w:t>
      </w:r>
    </w:p>
    <w:p w14:paraId="1B6DEB6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62ED11C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возможности использования самолета И7 N 4449 с мотором М17 как эталона для постройки самолетов И7 М17 в 1933 году.</w:t>
      </w:r>
    </w:p>
    <w:p w14:paraId="3BCF078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летных данных самолета, отличающегося от опытного самолета И7 БМВ VI постройки завода N 1 в 1931 году установкой усиленной фанерной обшивки крыльев, паука водяной системы, подвесной корзины под радиатор _..</w:t>
      </w:r>
    </w:p>
    <w:p w14:paraId="1061C8C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125F326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И7 М17 N 4449 постройки завода N 1эталоном на 1933 год служить не может.</w:t>
      </w:r>
    </w:p>
    <w:p w14:paraId="691CC22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0F502E6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Осипенко П.И.</w:t>
      </w:r>
    </w:p>
    <w:p w14:paraId="120FF02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Пилот Сцельников</w:t>
      </w:r>
    </w:p>
    <w:p w14:paraId="087D6C8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43047C8E" w14:textId="77777777">
        <w:tc>
          <w:tcPr>
            <w:tcW w:w="5636" w:type="dxa"/>
          </w:tcPr>
          <w:p w14:paraId="4EBA294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июня 1933 года</w:t>
            </w:r>
          </w:p>
        </w:tc>
        <w:tc>
          <w:tcPr>
            <w:tcW w:w="5636" w:type="dxa"/>
          </w:tcPr>
          <w:p w14:paraId="56CE4A4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тренировочные полеты ведущего летчика</w:t>
            </w:r>
          </w:p>
        </w:tc>
      </w:tr>
      <w:tr w:rsidR="00F26F01" w:rsidRPr="00C33834" w14:paraId="73909807" w14:textId="77777777">
        <w:tc>
          <w:tcPr>
            <w:tcW w:w="5636" w:type="dxa"/>
          </w:tcPr>
          <w:p w14:paraId="1E2B299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июня 1933 года</w:t>
            </w:r>
          </w:p>
        </w:tc>
        <w:tc>
          <w:tcPr>
            <w:tcW w:w="5636" w:type="dxa"/>
          </w:tcPr>
          <w:p w14:paraId="78E7E6D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полеты на управляемость и фигуры на высоте</w:t>
            </w:r>
          </w:p>
        </w:tc>
      </w:tr>
      <w:tr w:rsidR="00F26F01" w:rsidRPr="00C33834" w14:paraId="7DF76E56" w14:textId="77777777">
        <w:tc>
          <w:tcPr>
            <w:tcW w:w="5636" w:type="dxa"/>
          </w:tcPr>
          <w:p w14:paraId="0D254C8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AF617A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 м и определение скороподъемности с</w:t>
            </w:r>
          </w:p>
        </w:tc>
      </w:tr>
      <w:tr w:rsidR="00F26F01" w:rsidRPr="00C33834" w14:paraId="6CE6971E" w14:textId="77777777">
        <w:tc>
          <w:tcPr>
            <w:tcW w:w="5636" w:type="dxa"/>
          </w:tcPr>
          <w:p w14:paraId="1850CA7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E73D60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форсированным газом. Полет на управляемость</w:t>
            </w:r>
          </w:p>
        </w:tc>
      </w:tr>
      <w:tr w:rsidR="00F26F01" w:rsidRPr="00C33834" w14:paraId="50AD4147" w14:textId="77777777">
        <w:tc>
          <w:tcPr>
            <w:tcW w:w="5636" w:type="dxa"/>
          </w:tcPr>
          <w:p w14:paraId="65404C5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EBC80F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фигуры на высоте 1000 м.</w:t>
            </w:r>
          </w:p>
        </w:tc>
      </w:tr>
      <w:tr w:rsidR="00F26F01" w:rsidRPr="00C33834" w14:paraId="0D740B72" w14:textId="77777777">
        <w:tc>
          <w:tcPr>
            <w:tcW w:w="5636" w:type="dxa"/>
          </w:tcPr>
          <w:p w14:paraId="21AE12D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июня 1933 года</w:t>
            </w:r>
          </w:p>
        </w:tc>
        <w:tc>
          <w:tcPr>
            <w:tcW w:w="5636" w:type="dxa"/>
          </w:tcPr>
          <w:p w14:paraId="2E1597F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полеты на управляемость и фигуры на высоте</w:t>
            </w:r>
          </w:p>
        </w:tc>
      </w:tr>
      <w:tr w:rsidR="00F26F01" w:rsidRPr="00C33834" w14:paraId="39AA66B6" w14:textId="77777777">
        <w:tc>
          <w:tcPr>
            <w:tcW w:w="5636" w:type="dxa"/>
          </w:tcPr>
          <w:p w14:paraId="37E7BBA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5017BC9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 м.</w:t>
            </w:r>
          </w:p>
        </w:tc>
      </w:tr>
      <w:tr w:rsidR="00F26F01" w:rsidRPr="00C33834" w14:paraId="7D96D954" w14:textId="77777777">
        <w:tc>
          <w:tcPr>
            <w:tcW w:w="5636" w:type="dxa"/>
          </w:tcPr>
          <w:p w14:paraId="5933320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июня 1933 года</w:t>
            </w:r>
          </w:p>
        </w:tc>
        <w:tc>
          <w:tcPr>
            <w:tcW w:w="5636" w:type="dxa"/>
          </w:tcPr>
          <w:p w14:paraId="1C121AB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два полета на штопор.</w:t>
            </w:r>
          </w:p>
        </w:tc>
      </w:tr>
      <w:tr w:rsidR="00F26F01" w:rsidRPr="00C33834" w14:paraId="3E9B4983" w14:textId="77777777">
        <w:tc>
          <w:tcPr>
            <w:tcW w:w="5636" w:type="dxa"/>
          </w:tcPr>
          <w:p w14:paraId="1F1C745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июня 1933 года</w:t>
            </w:r>
          </w:p>
        </w:tc>
        <w:tc>
          <w:tcPr>
            <w:tcW w:w="5636" w:type="dxa"/>
          </w:tcPr>
          <w:p w14:paraId="21A7D4C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километраж. Полет на зубцы на высотах 500,</w:t>
            </w:r>
          </w:p>
        </w:tc>
      </w:tr>
      <w:tr w:rsidR="00F26F01" w:rsidRPr="00C33834" w14:paraId="0C088B55" w14:textId="77777777">
        <w:tc>
          <w:tcPr>
            <w:tcW w:w="5636" w:type="dxa"/>
          </w:tcPr>
          <w:p w14:paraId="665FF14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9B8A7C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 и 5000 м.</w:t>
            </w:r>
          </w:p>
        </w:tc>
      </w:tr>
      <w:tr w:rsidR="00F26F01" w:rsidRPr="00C33834" w14:paraId="3CA057BD" w14:textId="77777777">
        <w:tc>
          <w:tcPr>
            <w:tcW w:w="5636" w:type="dxa"/>
          </w:tcPr>
          <w:p w14:paraId="3ED5E4C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июня 1933 года</w:t>
            </w:r>
          </w:p>
        </w:tc>
        <w:tc>
          <w:tcPr>
            <w:tcW w:w="5636" w:type="dxa"/>
          </w:tcPr>
          <w:p w14:paraId="2EB6F9F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скороподъемность с форсированным</w:t>
            </w:r>
          </w:p>
        </w:tc>
      </w:tr>
      <w:tr w:rsidR="00F26F01" w:rsidRPr="00C33834" w14:paraId="0FB88699" w14:textId="77777777">
        <w:tc>
          <w:tcPr>
            <w:tcW w:w="5636" w:type="dxa"/>
          </w:tcPr>
          <w:p w14:paraId="6E52D3C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7A93B5F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газом до 5000 м и стрельба на высоте 5000 м.</w:t>
            </w:r>
          </w:p>
        </w:tc>
      </w:tr>
      <w:tr w:rsidR="00F26F01" w:rsidRPr="00C33834" w14:paraId="39E28D75" w14:textId="77777777">
        <w:tc>
          <w:tcPr>
            <w:tcW w:w="5636" w:type="dxa"/>
          </w:tcPr>
          <w:p w14:paraId="3510422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июня 1933 года</w:t>
            </w:r>
          </w:p>
        </w:tc>
        <w:tc>
          <w:tcPr>
            <w:tcW w:w="5636" w:type="dxa"/>
          </w:tcPr>
          <w:p w14:paraId="4BC75A5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воздушный бой с самолетом Р5.</w:t>
            </w:r>
          </w:p>
        </w:tc>
      </w:tr>
      <w:tr w:rsidR="00F26F01" w:rsidRPr="00C33834" w14:paraId="5E0135FB" w14:textId="77777777">
        <w:tc>
          <w:tcPr>
            <w:tcW w:w="5636" w:type="dxa"/>
          </w:tcPr>
          <w:p w14:paraId="43599C0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июня 1933 года</w:t>
            </w:r>
          </w:p>
        </w:tc>
        <w:tc>
          <w:tcPr>
            <w:tcW w:w="5636" w:type="dxa"/>
          </w:tcPr>
          <w:p w14:paraId="5FC32F7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по маршруту на дальность и определение</w:t>
            </w:r>
          </w:p>
        </w:tc>
      </w:tr>
      <w:tr w:rsidR="00F26F01" w:rsidRPr="00C33834" w14:paraId="7ECDBFA1" w14:textId="77777777">
        <w:tc>
          <w:tcPr>
            <w:tcW w:w="5636" w:type="dxa"/>
          </w:tcPr>
          <w:p w14:paraId="6F80D62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3CA41BD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расхода горючего с фотографированием.</w:t>
            </w:r>
          </w:p>
        </w:tc>
      </w:tr>
      <w:tr w:rsidR="00F26F01" w:rsidRPr="00C33834" w14:paraId="69598AB0" w14:textId="77777777">
        <w:tc>
          <w:tcPr>
            <w:tcW w:w="5636" w:type="dxa"/>
          </w:tcPr>
          <w:p w14:paraId="363D753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EC7281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Воздушный бой с самолетом И-5. Полет на</w:t>
            </w:r>
          </w:p>
        </w:tc>
      </w:tr>
      <w:tr w:rsidR="00F26F01" w:rsidRPr="00C33834" w14:paraId="0908ED73" w14:textId="77777777">
        <w:tc>
          <w:tcPr>
            <w:tcW w:w="5636" w:type="dxa"/>
          </w:tcPr>
          <w:p w14:paraId="2B2A72D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16850B2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штопор.</w:t>
            </w:r>
          </w:p>
        </w:tc>
      </w:tr>
      <w:tr w:rsidR="00F26F01" w:rsidRPr="00C33834" w14:paraId="72438F6B" w14:textId="77777777">
        <w:tc>
          <w:tcPr>
            <w:tcW w:w="5636" w:type="dxa"/>
          </w:tcPr>
          <w:p w14:paraId="3689FCF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июня 1933 года</w:t>
            </w:r>
          </w:p>
        </w:tc>
        <w:tc>
          <w:tcPr>
            <w:tcW w:w="5636" w:type="dxa"/>
          </w:tcPr>
          <w:p w14:paraId="66B96AD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два полета на воздушные бои с самолетами Р-5</w:t>
            </w:r>
          </w:p>
        </w:tc>
      </w:tr>
      <w:tr w:rsidR="00F26F01" w:rsidRPr="00C33834" w14:paraId="2214BE2E" w14:textId="77777777">
        <w:tc>
          <w:tcPr>
            <w:tcW w:w="5636" w:type="dxa"/>
          </w:tcPr>
          <w:p w14:paraId="24E1DE4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8182A2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И-5 - летчики: Кокинаки, Лагутин и Гродзь.</w:t>
            </w:r>
          </w:p>
        </w:tc>
      </w:tr>
      <w:tr w:rsidR="00F26F01" w:rsidRPr="00C33834" w14:paraId="173F1934" w14:textId="77777777">
        <w:tc>
          <w:tcPr>
            <w:tcW w:w="5636" w:type="dxa"/>
          </w:tcPr>
          <w:p w14:paraId="10D0B92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325C3A8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Три полета по облету со стрельбой по земным целям:</w:t>
            </w:r>
          </w:p>
        </w:tc>
      </w:tr>
      <w:tr w:rsidR="00F26F01" w:rsidRPr="00C33834" w14:paraId="2717BDC3" w14:textId="77777777">
        <w:tc>
          <w:tcPr>
            <w:tcW w:w="5636" w:type="dxa"/>
          </w:tcPr>
          <w:p w14:paraId="6AB69B8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7A79A0B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летчики Залевский, Лагутин, Кокинаки.</w:t>
            </w:r>
          </w:p>
        </w:tc>
      </w:tr>
      <w:tr w:rsidR="00F26F01" w:rsidRPr="00C33834" w14:paraId="7496BB9C" w14:textId="77777777">
        <w:tc>
          <w:tcPr>
            <w:tcW w:w="5636" w:type="dxa"/>
          </w:tcPr>
          <w:p w14:paraId="54D7B2B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июня 1933 года</w:t>
            </w:r>
          </w:p>
        </w:tc>
        <w:tc>
          <w:tcPr>
            <w:tcW w:w="5636" w:type="dxa"/>
          </w:tcPr>
          <w:p w14:paraId="71EEE36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с нормальным газом.</w:t>
            </w:r>
          </w:p>
        </w:tc>
      </w:tr>
    </w:tbl>
    <w:p w14:paraId="55A83DB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проведено за 11 летных дней.</w:t>
      </w:r>
    </w:p>
    <w:p w14:paraId="3255756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Налетано 29 час. 53 мин.</w:t>
      </w:r>
    </w:p>
    <w:p w14:paraId="13866A1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Сделано посадок - 27 (3917).</w:t>
      </w:r>
    </w:p>
    <w:p w14:paraId="26A063C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72215D7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июня 1933 Нач. самолетного сектора НТОС Машкевич писал дир. завода 39 Марголину письмо N 282/364с:</w:t>
      </w:r>
    </w:p>
    <w:p w14:paraId="050BFF6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указанию т. Алмазова направляю при сем тех. требования к двухместному самолету 3-х назначений и прошу дать Ваши соображения о возможности включения указанного самолета в программу 1934." (2305,29).</w:t>
      </w:r>
    </w:p>
    <w:p w14:paraId="385172B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27AB036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июня 1933 у зам. пред. РВСР т. Тухачевского состоялось совещание по обсуждению результатов работы Комиссии нач. штаба РККА по рассмотрению выполнения плана опытного строительства (2305,43).</w:t>
      </w:r>
    </w:p>
    <w:p w14:paraId="66AEDC0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5D3C400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июня 1933 Зам. НКТП П.И.Б. писал письмо Чл. Коллегии НК РКИ СССР, Нач. ВМИ В.В.Куйбышеву по вопросу реализации постановления ЦКК НК РКИ УССР N 15/11 от 16 марта 1933 по обследованию ХАЗ и реализации ряда мероприятий. Отмечал, что ГУАП начал эту работу еще до выхода постановления с тем, чтобы К.А.К. сосредоточился на К-7 во 2 кв. 1933, однако соглашался, что положение с опытным самолетостроением не совсем нормальная. Кроме К-5 нет ничего и прежде всего современного образца для запуска в производство в 1934. Единственная загрузка на 1934 - внедрение маломощного К-9. Текст почти не отличается от письма 4 мая 1933 - письмо так и не появилось (2305,93).</w:t>
      </w:r>
    </w:p>
    <w:p w14:paraId="6B702E1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вх./№ 456Мс по вопросу постановления ЦКК НК РКИ УССР за № 15/11 от 16 марта 1933 г., связанное с обследованием ХАЗ с указанием ряда мероприятий, необходимых к проведению на ХАЗе с целью оздоровления его работы.</w:t>
      </w:r>
    </w:p>
    <w:p w14:paraId="49A43BD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 своей стороны мною еще до обследования ХАЗа НК РКИ УССР в связи с невыполнением заводом программы как следствие несвоевременной подготовки производства со стороны директора завода и его помошников по техчасти, неоднократно высылались бригады ответственных технических работников для выяснения всех ненормальностей в работе завода и устранения их непосредственно на месте. - с целью производства соответствующего задела, каковой совершенно отсутствовал в начале 1-го квартала 1933 г. Мною изменена годовая разбивка сдачи самолетов с последующей загрузкой 3-го и 4-го кварталов и одновременно дать возможность т. Калинину сосредоточить все внимание на выпуске опытного с-та К-7 во втором квартале.</w:t>
      </w:r>
    </w:p>
    <w:p w14:paraId="3C99402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Соответствующими Секторами ГУВА произведены:</w:t>
      </w:r>
    </w:p>
    <w:p w14:paraId="5E3F4B8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расчеты квартальных норм на единицу изделия выпускаемой продукции заводом,</w:t>
      </w:r>
    </w:p>
    <w:p w14:paraId="3D420DD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оказана техническая помощь по внедрению технорм, пересматриваемых заводом, согласно постановления НКТП от 13 февраля 1933,</w:t>
      </w:r>
    </w:p>
    <w:p w14:paraId="2A1A55C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годовая программа разбита на серии с целью выявления себестоимости с-тов,</w:t>
      </w:r>
    </w:p>
    <w:p w14:paraId="4F59E7F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г) в пределах утвержденных мною годовых лимитов произведено сокращение излишней рабсилы и административно-технического состава в пределах задела.</w:t>
      </w:r>
    </w:p>
    <w:p w14:paraId="4724064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срыв подготовки производства моим распоряжением снят с работы техдиректор т. Петров, с объявлением ему выговора по заводу.</w:t>
      </w:r>
    </w:p>
    <w:p w14:paraId="4C11CA0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целью укрепления технического аппарата завода по серийному производству произведен ряд перемещений техперсонала с целью укрепления слабых участков в работе завода.</w:t>
      </w:r>
    </w:p>
    <w:p w14:paraId="6181430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Считая, что принятые мною меры по исжитию ряда нездоровых явлений в работе ХАЗа и считаясь с положением, в котором находится задел, надо отметить, что все эти мероприятия вывели задел из хронического прорывного состояния - результат выполнения программы за 5 мес. Текущего года.</w:t>
      </w:r>
    </w:p>
    <w:p w14:paraId="36F4D8A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Что же касается опытного самолетостроения, то положение на ХАЗе не совсем нормальное.</w:t>
      </w:r>
    </w:p>
    <w:p w14:paraId="6A29581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 Калинин является не только директором з-да, но и ГК, а потому сам должен подготавливать для серийного пр-ва новые образцы, улучшающие год от года гражданское самолетостроение.</w:t>
      </w:r>
    </w:p>
    <w:p w14:paraId="4F252BC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тем, кроме как выпускаемого с-та К-5, ХАХом мы ничего не имеем современного с-та для подготовки производства по выпуску в 1934 г. Потребность же в более современных гражданских с-тах имеется большая.</w:t>
      </w:r>
    </w:p>
    <w:p w14:paraId="600CEDF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Единственная загрузка з-да на 1934 конструкциями ХАЗв, это внедрение маломощного с-та К-9, при условии форсирования выпуска со стороны т. Калинина эталона на линии производства и производство летных испытаний в воздухе.Только после этого можно будет говорить об образце типа каковой загрузит цеха завода.Срок и установки мною даны и все будет зависить от завода и от тех заказчиков, которые должны будут приняты на снабжение этот тип с-та.</w:t>
      </w:r>
    </w:p>
    <w:p w14:paraId="6B1329C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отношении дальнейшего существования завода ХАЗ, то он как был, так и остается опытно-серийным з-дом в системе ГУАП, причем серийная программа давалась и будет даваться в пределах существующей мощности и никакой больше реорганизации ХАЗа не предусматривается в 1933 г., за исключением тех необходимых мероприятий в пределах предусмотренных лимитов по капитальному строительству на 1933 г. (2305,93).</w:t>
      </w:r>
    </w:p>
    <w:p w14:paraId="59367E7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1A9ED76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июня 1933 л-курсант Х.Хардер, обучавшийся в Липецке с мая по август 1933, записал в дневнике "Русское правительство запретило полет W-33 в Москву. Наш командир сообщил, что ситуация очень напряженная и запретил критиковать русских и их решения (1795,40).</w:t>
      </w:r>
    </w:p>
    <w:p w14:paraId="5AB95B8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13F9728F" w14:textId="77777777" w:rsidR="003417C8"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63AC9EFB" w14:textId="77777777" w:rsidR="003417C8" w:rsidRPr="00C33834" w:rsidRDefault="003417C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05BE483" w14:textId="77777777" w:rsidR="003417C8" w:rsidRPr="00C33834" w:rsidRDefault="003417C8" w:rsidP="00C33834">
      <w:pPr>
        <w:pStyle w:val="rtejustify"/>
        <w:spacing w:before="0" w:after="0"/>
        <w:rPr>
          <w:color w:val="000000" w:themeColor="text1"/>
          <w:sz w:val="16"/>
          <w:szCs w:val="16"/>
        </w:rPr>
      </w:pPr>
      <w:r w:rsidRPr="00C33834">
        <w:rPr>
          <w:rStyle w:val="af0"/>
          <w:bCs/>
          <w:i w:val="0"/>
          <w:color w:val="000000" w:themeColor="text1"/>
          <w:sz w:val="16"/>
          <w:szCs w:val="16"/>
        </w:rPr>
        <w:t>26 июня</w:t>
      </w:r>
      <w:r w:rsidRPr="00C33834">
        <w:rPr>
          <w:color w:val="000000" w:themeColor="text1"/>
          <w:sz w:val="16"/>
          <w:szCs w:val="16"/>
        </w:rPr>
        <w:t xml:space="preserve"> 1933. Постановление СНК СССР № 13сс/о «Об ассигнованиях по общесоюзному бюджету на оборонные мероприятия на 3 квартал 1933 г.». (ГА РФ. Ф. Р</w:t>
      </w:r>
      <w:r w:rsidRPr="00C33834">
        <w:rPr>
          <w:color w:val="000000" w:themeColor="text1"/>
          <w:sz w:val="16"/>
          <w:szCs w:val="16"/>
        </w:rPr>
        <w:noBreakHyphen/>
        <w:t>8418. Оп. 28. Д. 15. Л. 22</w:t>
      </w:r>
      <w:r w:rsidRPr="00C33834">
        <w:rPr>
          <w:color w:val="000000" w:themeColor="text1"/>
          <w:sz w:val="16"/>
          <w:szCs w:val="16"/>
        </w:rPr>
        <w:noBreakHyphen/>
        <w:t>23) (15460).</w:t>
      </w:r>
    </w:p>
    <w:p w14:paraId="105A73EC" w14:textId="77777777" w:rsidR="003417C8" w:rsidRPr="00C33834" w:rsidRDefault="003417C8" w:rsidP="00C33834">
      <w:pPr>
        <w:pStyle w:val="rtejustify"/>
        <w:spacing w:before="0" w:after="0"/>
        <w:rPr>
          <w:color w:val="000000" w:themeColor="text1"/>
          <w:sz w:val="16"/>
          <w:szCs w:val="16"/>
        </w:rPr>
      </w:pPr>
    </w:p>
    <w:p w14:paraId="791DE1CC" w14:textId="77777777" w:rsidR="0066456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0A6C50BD" w14:textId="77777777" w:rsidR="00664564" w:rsidRPr="00C33834" w:rsidRDefault="0066456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8621F6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июня 1933 был распущен Наркомат по труду. Его функции - социальное страхование, охрана труда, тарифная политика - передали профсоюзам, которые стали частью административной системы (3908,340).</w:t>
      </w:r>
    </w:p>
    <w:p w14:paraId="675C7E5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62680FF2" w14:textId="77777777" w:rsidR="00C51D0F"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4D389B2B" w14:textId="77777777" w:rsidR="00C51D0F" w:rsidRPr="00C33834" w:rsidRDefault="00C51D0F"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FA59BD0" w14:textId="77777777" w:rsidR="002E47F6" w:rsidRPr="00C33834" w:rsidRDefault="002E47F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июня 1933 г. в Токио открылась Конференция но вопросу о продаже КВЖД. Маньчжоу-Го на конференции представлял вице-министр иностранных дел Охаси. Основным пунктом разногласий была цена, которую соглашалось платить за дорогу Маньчжоу-Го. Предложенная первоначально цена в 50 млн иен была отвергнута советской стороной. После серии официальных заседаний обсуждение продолжилось на «промежуточных» совещаниях при неполном составе делегаций. 17 августа делегация Маньчжоу-Го предложила заниженный курс пересчета золотых рублей в бумажные иены: что означало повторение предложения о выкупной цене в 50 млн иен (См. подробнее: ДВП. Т. XVI. С. 837–838). 20 августа Сталин и Ворошилов из Казани ответили согласием на проект ответа Охаси (РГАСПИ. Ф. 558. Оп. 11. Д. 80. Л. 4, 6). Переговоры о продаже вскоре прервались и возобновились только в 1934 г. См. также документы № 296, 303 (17281).</w:t>
      </w:r>
    </w:p>
    <w:p w14:paraId="5F573036" w14:textId="77777777" w:rsidR="002E47F6" w:rsidRPr="00C33834" w:rsidRDefault="002E47F6" w:rsidP="00C33834">
      <w:pPr>
        <w:autoSpaceDE w:val="0"/>
        <w:autoSpaceDN w:val="0"/>
        <w:adjustRightInd w:val="0"/>
        <w:spacing w:after="0" w:line="240" w:lineRule="auto"/>
        <w:jc w:val="both"/>
        <w:rPr>
          <w:rFonts w:ascii="Times New Roman" w:hAnsi="Times New Roman"/>
          <w:color w:val="000000" w:themeColor="text1"/>
          <w:sz w:val="16"/>
          <w:szCs w:val="16"/>
        </w:rPr>
      </w:pPr>
    </w:p>
    <w:p w14:paraId="2EE1638E" w14:textId="77777777" w:rsidR="00C51D0F" w:rsidRPr="00C33834" w:rsidRDefault="00C51D0F"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26 июня </w:t>
      </w:r>
      <w:bookmarkStart w:id="27" w:name="YANDEX_31"/>
      <w:bookmarkEnd w:id="27"/>
      <w:r w:rsidRPr="00C33834">
        <w:rPr>
          <w:rStyle w:val="highlight"/>
          <w:rFonts w:ascii="Times New Roman" w:hAnsi="Times New Roman"/>
          <w:color w:val="000000" w:themeColor="text1"/>
          <w:sz w:val="16"/>
          <w:szCs w:val="16"/>
        </w:rPr>
        <w:t> 1933 </w:t>
      </w:r>
      <w:r w:rsidRPr="00C33834">
        <w:rPr>
          <w:rFonts w:ascii="Times New Roman" w:hAnsi="Times New Roman"/>
          <w:color w:val="000000" w:themeColor="text1"/>
          <w:sz w:val="16"/>
          <w:szCs w:val="16"/>
        </w:rPr>
        <w:t xml:space="preserve"> г. как уступка Японии в Токио начались переговоры о продаже Китайско-Восточной железной дороги, принадлежавшей СССР. Делегация Маньчжоу-Го на переговорах оспаривала право собственности СССР на КВЖД и предлагала продать дорогу за цену, в десять раз меньшую той, которую требовало советское правительство. Советская делегация отклоняла эти предложения. Тогда японцы решили действовать силой. 19 сентября японский посол в Маньчжоу-Го получил уведомление о принятом решении арестовать группу советских служащих железной дороги. Советское руководство узнало об этом благодаря расшифровке японских кодов. В НКИД был подготовлен проект заявления о том, что советское правительство располагает сведениями о предполагающихся акциях маньчжурских властей против советского персонала на КВЖД. Первоначально документ был составлен в достаточно мягких тонах. Каганович, видимо учитывавший осторожность Сталина по отношению к Японии в предыдущий период, специально подчеркивал это в своем письме. Однако на этот раз Сталин решил продемонстрировать твердость и потребовал внести в текст заявления резкий абзац об ответственности Японии за нарушения договоров и за готовившийся захват дороги. 20 сентября </w:t>
      </w:r>
      <w:bookmarkStart w:id="28" w:name="YANDEX_32"/>
      <w:bookmarkEnd w:id="28"/>
      <w:r w:rsidRPr="00C33834">
        <w:rPr>
          <w:rStyle w:val="highlight"/>
          <w:rFonts w:ascii="Times New Roman" w:hAnsi="Times New Roman"/>
          <w:color w:val="000000" w:themeColor="text1"/>
          <w:sz w:val="16"/>
          <w:szCs w:val="16"/>
        </w:rPr>
        <w:t> 1933 </w:t>
      </w:r>
      <w:r w:rsidRPr="00C33834">
        <w:rPr>
          <w:rFonts w:ascii="Times New Roman" w:hAnsi="Times New Roman"/>
          <w:color w:val="000000" w:themeColor="text1"/>
          <w:sz w:val="16"/>
          <w:szCs w:val="16"/>
        </w:rPr>
        <w:t xml:space="preserve"> г. сталинский вариант был утвержден Политбюро. Сталинские поправки в сентябрьском заявлении отражали существенные перемены, происходившие в позиции советского руководства по отношению к Японии (17281).</w:t>
      </w:r>
    </w:p>
    <w:p w14:paraId="17B5138F" w14:textId="77777777" w:rsidR="00C51D0F" w:rsidRPr="00C33834" w:rsidRDefault="00C51D0F" w:rsidP="00C33834">
      <w:pPr>
        <w:autoSpaceDE w:val="0"/>
        <w:autoSpaceDN w:val="0"/>
        <w:adjustRightInd w:val="0"/>
        <w:spacing w:after="0" w:line="240" w:lineRule="auto"/>
        <w:jc w:val="both"/>
        <w:rPr>
          <w:rFonts w:ascii="Times New Roman" w:hAnsi="Times New Roman"/>
          <w:color w:val="000000" w:themeColor="text1"/>
          <w:sz w:val="16"/>
          <w:szCs w:val="16"/>
        </w:rPr>
      </w:pPr>
    </w:p>
    <w:p w14:paraId="18BC07AE" w14:textId="77777777" w:rsidR="003417C8"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07F5091" w14:textId="77777777" w:rsidR="003417C8" w:rsidRPr="00C33834" w:rsidRDefault="003417C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F42808D"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26 июня</w:t>
      </w:r>
      <w:r w:rsidRPr="00C33834">
        <w:rPr>
          <w:rFonts w:ascii="Times New Roman" w:hAnsi="Times New Roman"/>
          <w:color w:val="000000" w:themeColor="text1"/>
          <w:sz w:val="16"/>
          <w:szCs w:val="16"/>
        </w:rPr>
        <w:t xml:space="preserve"> в 1933 году гидроплан </w:t>
      </w:r>
      <w:hyperlink r:id="rId223" w:tgtFrame="_blank" w:history="1">
        <w:r w:rsidRPr="00C33834">
          <w:rPr>
            <w:rFonts w:ascii="Times New Roman" w:hAnsi="Times New Roman"/>
            <w:color w:val="000000" w:themeColor="text1"/>
            <w:sz w:val="16"/>
            <w:szCs w:val="16"/>
          </w:rPr>
          <w:t xml:space="preserve">«Walrus» «N-1» </w:t>
        </w:r>
      </w:hyperlink>
      <w:r w:rsidRPr="00C33834">
        <w:rPr>
          <w:rFonts w:ascii="Times New Roman" w:hAnsi="Times New Roman"/>
          <w:color w:val="000000" w:themeColor="text1"/>
          <w:sz w:val="16"/>
          <w:szCs w:val="16"/>
        </w:rPr>
        <w:t>показали общественности и прессе на аэрошоу Общества Британских Авиаконструкторов («SBAC») в Хендоне. Саммерс продемонстрировал пилотажные возможности амфибии, выполнив в показательном полете "мертвую петлю". По окончании шоу прототип вернулся на базу в Вулстоне для продолжения испытаний. После завершения программы самолет 29 июля 1933 г. отправили в Морской Авиационный Экспериментальный Центр («МАЕЕ») в Феликстоу для официальных испытаний под эгидой Министерства Авиации. Непосредственно перед перелетом в МАЕЕ обозначение на борту машины изменили на «N-2», так как выяснилось, что уже находящаяся в Феликстоу летающая лодка "Саутгемптон" (также супермариновской разработки) имеет номер «N-1» (14934).</w:t>
      </w:r>
    </w:p>
    <w:p w14:paraId="254A6BB4" w14:textId="77777777" w:rsidR="003417C8" w:rsidRPr="00C33834" w:rsidRDefault="003417C8" w:rsidP="00C33834">
      <w:pPr>
        <w:spacing w:after="0" w:line="240" w:lineRule="auto"/>
        <w:jc w:val="both"/>
        <w:rPr>
          <w:rFonts w:ascii="Times New Roman" w:hAnsi="Times New Roman"/>
          <w:color w:val="000000" w:themeColor="text1"/>
          <w:sz w:val="16"/>
          <w:szCs w:val="16"/>
        </w:rPr>
      </w:pPr>
    </w:p>
    <w:p w14:paraId="3312AC80" w14:textId="77777777" w:rsidR="0066456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E706CFF" w14:textId="77777777" w:rsidR="00664564" w:rsidRPr="00C33834" w:rsidRDefault="0066456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A12678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июня 1933 в ВАО ВСНХ были зарегистрированы ростьупившая справка по К-7, подписанная директором завода и ГК К.А.К. и зам. директора по опытному строительству А.Я.Щербаковым:</w:t>
      </w:r>
    </w:p>
    <w:p w14:paraId="5F1BD75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4A2181F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июня 1933 в ВАО ВСНХ были зарегистрированы поступившая справка по К-7 (оп 881с), подписанная директором завода и ГК К.А.К. и зам. директора по опытному строительству А.Я.Щербаковым:</w:t>
      </w:r>
    </w:p>
    <w:p w14:paraId="0282EA2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Основные размеры: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1092"/>
      </w:tblGrid>
      <w:tr w:rsidR="00F26F01" w:rsidRPr="00C33834" w14:paraId="1388735D" w14:textId="77777777">
        <w:tc>
          <w:tcPr>
            <w:tcW w:w="4261" w:type="dxa"/>
            <w:tcBorders>
              <w:top w:val="single" w:sz="12" w:space="0" w:color="auto"/>
            </w:tcBorders>
          </w:tcPr>
          <w:p w14:paraId="735C6C7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Размах</w:t>
            </w:r>
          </w:p>
        </w:tc>
        <w:tc>
          <w:tcPr>
            <w:tcW w:w="1092" w:type="dxa"/>
            <w:tcBorders>
              <w:top w:val="single" w:sz="12" w:space="0" w:color="auto"/>
            </w:tcBorders>
          </w:tcPr>
          <w:p w14:paraId="3BBB17A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 м</w:t>
            </w:r>
          </w:p>
        </w:tc>
      </w:tr>
      <w:tr w:rsidR="00F26F01" w:rsidRPr="00C33834" w14:paraId="2124E121" w14:textId="77777777">
        <w:tc>
          <w:tcPr>
            <w:tcW w:w="4261" w:type="dxa"/>
          </w:tcPr>
          <w:p w14:paraId="74BE61A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w:t>
            </w:r>
          </w:p>
        </w:tc>
        <w:tc>
          <w:tcPr>
            <w:tcW w:w="1092" w:type="dxa"/>
          </w:tcPr>
          <w:p w14:paraId="46B4CCE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28,184</w:t>
            </w:r>
          </w:p>
        </w:tc>
      </w:tr>
      <w:tr w:rsidR="00F26F01" w:rsidRPr="00C33834" w14:paraId="0193CB00" w14:textId="77777777">
        <w:tc>
          <w:tcPr>
            <w:tcW w:w="4261" w:type="dxa"/>
          </w:tcPr>
          <w:p w14:paraId="1EDD7F7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w:t>
            </w:r>
          </w:p>
        </w:tc>
        <w:tc>
          <w:tcPr>
            <w:tcW w:w="1092" w:type="dxa"/>
          </w:tcPr>
          <w:p w14:paraId="326FAED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10,8</w:t>
            </w:r>
          </w:p>
        </w:tc>
      </w:tr>
      <w:tr w:rsidR="00F26F01" w:rsidRPr="00C33834" w14:paraId="1B18B178" w14:textId="77777777">
        <w:tc>
          <w:tcPr>
            <w:tcW w:w="4261" w:type="dxa"/>
          </w:tcPr>
          <w:p w14:paraId="1DDF5E6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 хорда</w:t>
            </w:r>
          </w:p>
        </w:tc>
        <w:tc>
          <w:tcPr>
            <w:tcW w:w="1092" w:type="dxa"/>
          </w:tcPr>
          <w:p w14:paraId="1D3526A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10,6</w:t>
            </w:r>
          </w:p>
        </w:tc>
      </w:tr>
      <w:tr w:rsidR="00F26F01" w:rsidRPr="00C33834" w14:paraId="556A9426" w14:textId="77777777">
        <w:tc>
          <w:tcPr>
            <w:tcW w:w="4261" w:type="dxa"/>
          </w:tcPr>
          <w:p w14:paraId="1D5D0DC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 толщина профиля</w:t>
            </w:r>
          </w:p>
        </w:tc>
        <w:tc>
          <w:tcPr>
            <w:tcW w:w="1092" w:type="dxa"/>
          </w:tcPr>
          <w:p w14:paraId="15E6E1A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2,343</w:t>
            </w:r>
          </w:p>
        </w:tc>
      </w:tr>
      <w:tr w:rsidR="00F26F01" w:rsidRPr="00C33834" w14:paraId="1E44C8FB" w14:textId="77777777">
        <w:tc>
          <w:tcPr>
            <w:tcW w:w="4261" w:type="dxa"/>
          </w:tcPr>
          <w:p w14:paraId="74C24FE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Расстояние между шасси</w:t>
            </w:r>
          </w:p>
        </w:tc>
        <w:tc>
          <w:tcPr>
            <w:tcW w:w="1092" w:type="dxa"/>
          </w:tcPr>
          <w:p w14:paraId="5D804E3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w:t>
            </w:r>
          </w:p>
        </w:tc>
      </w:tr>
      <w:tr w:rsidR="00F26F01" w:rsidRPr="00C33834" w14:paraId="2F99329E" w14:textId="77777777">
        <w:tc>
          <w:tcPr>
            <w:tcW w:w="4261" w:type="dxa"/>
          </w:tcPr>
          <w:p w14:paraId="4FDEFF7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Расстояние между хвостовыми фермами</w:t>
            </w:r>
          </w:p>
        </w:tc>
        <w:tc>
          <w:tcPr>
            <w:tcW w:w="1092" w:type="dxa"/>
          </w:tcPr>
          <w:p w14:paraId="38FBD14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9,9</w:t>
            </w:r>
          </w:p>
        </w:tc>
      </w:tr>
      <w:tr w:rsidR="00F26F01" w:rsidRPr="00C33834" w14:paraId="359C0DF3" w14:textId="77777777">
        <w:tc>
          <w:tcPr>
            <w:tcW w:w="4261" w:type="dxa"/>
          </w:tcPr>
          <w:p w14:paraId="2337A15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Расстояние между килями</w:t>
            </w:r>
          </w:p>
        </w:tc>
        <w:tc>
          <w:tcPr>
            <w:tcW w:w="1092" w:type="dxa"/>
          </w:tcPr>
          <w:p w14:paraId="2835DE4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5,85</w:t>
            </w:r>
          </w:p>
        </w:tc>
      </w:tr>
      <w:tr w:rsidR="00F26F01" w:rsidRPr="00C33834" w14:paraId="5DDA6E4F" w14:textId="77777777">
        <w:tc>
          <w:tcPr>
            <w:tcW w:w="4261" w:type="dxa"/>
          </w:tcPr>
          <w:p w14:paraId="3ECFEEC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Размах элеронов</w:t>
            </w:r>
          </w:p>
        </w:tc>
        <w:tc>
          <w:tcPr>
            <w:tcW w:w="1092" w:type="dxa"/>
          </w:tcPr>
          <w:p w14:paraId="4A09324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м</w:t>
            </w:r>
          </w:p>
        </w:tc>
      </w:tr>
      <w:tr w:rsidR="00F26F01" w:rsidRPr="00C33834" w14:paraId="65E366A5" w14:textId="77777777">
        <w:tc>
          <w:tcPr>
            <w:tcW w:w="4261" w:type="dxa"/>
          </w:tcPr>
          <w:p w14:paraId="1FC6C67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 хорда элерона</w:t>
            </w:r>
          </w:p>
        </w:tc>
        <w:tc>
          <w:tcPr>
            <w:tcW w:w="1092" w:type="dxa"/>
          </w:tcPr>
          <w:p w14:paraId="27B856B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1,647</w:t>
            </w:r>
          </w:p>
        </w:tc>
      </w:tr>
      <w:tr w:rsidR="00F26F01" w:rsidRPr="00C33834" w14:paraId="6088D0E8" w14:textId="77777777">
        <w:tc>
          <w:tcPr>
            <w:tcW w:w="4261" w:type="dxa"/>
          </w:tcPr>
          <w:p w14:paraId="5FE5C2A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Размах горизонтального оперения</w:t>
            </w:r>
          </w:p>
        </w:tc>
        <w:tc>
          <w:tcPr>
            <w:tcW w:w="1092" w:type="dxa"/>
          </w:tcPr>
          <w:p w14:paraId="0C6A2E8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19,0</w:t>
            </w:r>
          </w:p>
        </w:tc>
      </w:tr>
      <w:tr w:rsidR="00F26F01" w:rsidRPr="00C33834" w14:paraId="2D0E573D" w14:textId="77777777">
        <w:tc>
          <w:tcPr>
            <w:tcW w:w="4261" w:type="dxa"/>
          </w:tcPr>
          <w:p w14:paraId="7BC32D8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 хорда горизонтального оперения</w:t>
            </w:r>
          </w:p>
        </w:tc>
        <w:tc>
          <w:tcPr>
            <w:tcW w:w="1092" w:type="dxa"/>
          </w:tcPr>
          <w:p w14:paraId="09B62DF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tc>
      </w:tr>
      <w:tr w:rsidR="00F26F01" w:rsidRPr="00C33834" w14:paraId="4264F4DC" w14:textId="77777777">
        <w:tc>
          <w:tcPr>
            <w:tcW w:w="4261" w:type="dxa"/>
          </w:tcPr>
          <w:p w14:paraId="1A35985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 хорда вертикального оперения</w:t>
            </w:r>
          </w:p>
        </w:tc>
        <w:tc>
          <w:tcPr>
            <w:tcW w:w="1092" w:type="dxa"/>
          </w:tcPr>
          <w:p w14:paraId="152187D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r>
      <w:tr w:rsidR="00F26F01" w:rsidRPr="00C33834" w14:paraId="6FBE3FD8" w14:textId="77777777">
        <w:tc>
          <w:tcPr>
            <w:tcW w:w="4261" w:type="dxa"/>
          </w:tcPr>
          <w:p w14:paraId="361266C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вертикального оперения</w:t>
            </w:r>
          </w:p>
        </w:tc>
        <w:tc>
          <w:tcPr>
            <w:tcW w:w="1092" w:type="dxa"/>
          </w:tcPr>
          <w:p w14:paraId="7AFDA56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r>
      <w:tr w:rsidR="00F26F01" w:rsidRPr="00C33834" w14:paraId="66DD3314" w14:textId="77777777">
        <w:tc>
          <w:tcPr>
            <w:tcW w:w="4261" w:type="dxa"/>
          </w:tcPr>
          <w:p w14:paraId="70A437E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Расстояние от оси с-та до:</w:t>
            </w:r>
          </w:p>
        </w:tc>
        <w:tc>
          <w:tcPr>
            <w:tcW w:w="1092" w:type="dxa"/>
          </w:tcPr>
          <w:p w14:paraId="6702860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A8E3EF9" w14:textId="77777777">
        <w:tc>
          <w:tcPr>
            <w:tcW w:w="4261" w:type="dxa"/>
          </w:tcPr>
          <w:p w14:paraId="4EFD735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оси первого мотора</w:t>
            </w:r>
          </w:p>
        </w:tc>
        <w:tc>
          <w:tcPr>
            <w:tcW w:w="1092" w:type="dxa"/>
          </w:tcPr>
          <w:p w14:paraId="6C3F7C3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4,125</w:t>
            </w:r>
          </w:p>
        </w:tc>
      </w:tr>
      <w:tr w:rsidR="00F26F01" w:rsidRPr="00C33834" w14:paraId="4911C0BD" w14:textId="77777777">
        <w:tc>
          <w:tcPr>
            <w:tcW w:w="4261" w:type="dxa"/>
          </w:tcPr>
          <w:p w14:paraId="1E12B86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оси второго мотора</w:t>
            </w:r>
          </w:p>
        </w:tc>
        <w:tc>
          <w:tcPr>
            <w:tcW w:w="1092" w:type="dxa"/>
          </w:tcPr>
          <w:p w14:paraId="4F38975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w:t>
            </w:r>
          </w:p>
        </w:tc>
      </w:tr>
      <w:tr w:rsidR="00F26F01" w:rsidRPr="00C33834" w14:paraId="18ED3543" w14:textId="77777777">
        <w:tc>
          <w:tcPr>
            <w:tcW w:w="4261" w:type="dxa"/>
          </w:tcPr>
          <w:p w14:paraId="491BE2F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оси третьего мотора</w:t>
            </w:r>
          </w:p>
        </w:tc>
        <w:tc>
          <w:tcPr>
            <w:tcW w:w="1092" w:type="dxa"/>
          </w:tcPr>
          <w:p w14:paraId="4DDFAC9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13,5</w:t>
            </w:r>
          </w:p>
        </w:tc>
      </w:tr>
      <w:tr w:rsidR="00F26F01" w:rsidRPr="00C33834" w14:paraId="6228B663" w14:textId="77777777">
        <w:tc>
          <w:tcPr>
            <w:tcW w:w="4261" w:type="dxa"/>
          </w:tcPr>
          <w:p w14:paraId="5F21105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Диаметр винта</w:t>
            </w:r>
          </w:p>
        </w:tc>
        <w:tc>
          <w:tcPr>
            <w:tcW w:w="1092" w:type="dxa"/>
          </w:tcPr>
          <w:p w14:paraId="127D0B5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w:t>
            </w:r>
          </w:p>
        </w:tc>
      </w:tr>
      <w:tr w:rsidR="00F26F01" w:rsidRPr="00C33834" w14:paraId="1A90809A" w14:textId="77777777">
        <w:tc>
          <w:tcPr>
            <w:tcW w:w="4261" w:type="dxa"/>
            <w:tcBorders>
              <w:bottom w:val="single" w:sz="12" w:space="0" w:color="auto"/>
            </w:tcBorders>
          </w:tcPr>
          <w:p w14:paraId="4EE9CD2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Шаг винта</w:t>
            </w:r>
          </w:p>
        </w:tc>
        <w:tc>
          <w:tcPr>
            <w:tcW w:w="1092" w:type="dxa"/>
            <w:tcBorders>
              <w:bottom w:val="single" w:sz="12" w:space="0" w:color="auto"/>
            </w:tcBorders>
          </w:tcPr>
          <w:p w14:paraId="7A6F4AA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2,08</w:t>
            </w:r>
          </w:p>
        </w:tc>
      </w:tr>
    </w:tbl>
    <w:p w14:paraId="34A25EC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Площади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1092"/>
      </w:tblGrid>
      <w:tr w:rsidR="00F26F01" w:rsidRPr="00C33834" w14:paraId="182ABFFA" w14:textId="77777777">
        <w:tc>
          <w:tcPr>
            <w:tcW w:w="4261" w:type="dxa"/>
            <w:tcBorders>
              <w:top w:val="single" w:sz="12" w:space="0" w:color="auto"/>
            </w:tcBorders>
          </w:tcPr>
          <w:p w14:paraId="541BA38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крыла с элеронами</w:t>
            </w:r>
          </w:p>
        </w:tc>
        <w:tc>
          <w:tcPr>
            <w:tcW w:w="1092" w:type="dxa"/>
            <w:tcBorders>
              <w:top w:val="single" w:sz="12" w:space="0" w:color="auto"/>
            </w:tcBorders>
          </w:tcPr>
          <w:p w14:paraId="435E6A8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457,7</w:t>
            </w:r>
          </w:p>
        </w:tc>
      </w:tr>
      <w:tr w:rsidR="00F26F01" w:rsidRPr="00C33834" w14:paraId="5619F1FB" w14:textId="77777777">
        <w:tc>
          <w:tcPr>
            <w:tcW w:w="4261" w:type="dxa"/>
          </w:tcPr>
          <w:p w14:paraId="3B138CF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элеронов</w:t>
            </w:r>
          </w:p>
        </w:tc>
        <w:tc>
          <w:tcPr>
            <w:tcW w:w="1092" w:type="dxa"/>
          </w:tcPr>
          <w:p w14:paraId="7814EEC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31,8</w:t>
            </w:r>
          </w:p>
        </w:tc>
      </w:tr>
      <w:tr w:rsidR="00F26F01" w:rsidRPr="00C33834" w14:paraId="0C8EF2A2" w14:textId="77777777">
        <w:tc>
          <w:tcPr>
            <w:tcW w:w="4261" w:type="dxa"/>
          </w:tcPr>
          <w:p w14:paraId="3C651D5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осевой компенсации элеронов</w:t>
            </w:r>
          </w:p>
        </w:tc>
        <w:tc>
          <w:tcPr>
            <w:tcW w:w="1092" w:type="dxa"/>
          </w:tcPr>
          <w:p w14:paraId="0E23C02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r>
      <w:tr w:rsidR="00F26F01" w:rsidRPr="00C33834" w14:paraId="4EED6CF0" w14:textId="77777777">
        <w:tc>
          <w:tcPr>
            <w:tcW w:w="4261" w:type="dxa"/>
          </w:tcPr>
          <w:p w14:paraId="62FEE44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сервоэлероновы</w:t>
            </w:r>
          </w:p>
        </w:tc>
        <w:tc>
          <w:tcPr>
            <w:tcW w:w="1092" w:type="dxa"/>
          </w:tcPr>
          <w:p w14:paraId="67875C5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3,82</w:t>
            </w:r>
          </w:p>
        </w:tc>
      </w:tr>
      <w:tr w:rsidR="00F26F01" w:rsidRPr="00C33834" w14:paraId="6FB4C3DC" w14:textId="77777777">
        <w:tc>
          <w:tcPr>
            <w:tcW w:w="4261" w:type="dxa"/>
          </w:tcPr>
          <w:p w14:paraId="0579010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стабилизатора</w:t>
            </w:r>
          </w:p>
        </w:tc>
        <w:tc>
          <w:tcPr>
            <w:tcW w:w="1092" w:type="dxa"/>
          </w:tcPr>
          <w:p w14:paraId="0E29ABE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33,3</w:t>
            </w:r>
          </w:p>
        </w:tc>
      </w:tr>
      <w:tr w:rsidR="00F26F01" w:rsidRPr="00C33834" w14:paraId="35D65775" w14:textId="77777777">
        <w:tc>
          <w:tcPr>
            <w:tcW w:w="4261" w:type="dxa"/>
          </w:tcPr>
          <w:p w14:paraId="04CAD44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руля глубины</w:t>
            </w:r>
          </w:p>
        </w:tc>
        <w:tc>
          <w:tcPr>
            <w:tcW w:w="1092" w:type="dxa"/>
          </w:tcPr>
          <w:p w14:paraId="743F275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r>
      <w:tr w:rsidR="00F26F01" w:rsidRPr="00C33834" w14:paraId="0516121C" w14:textId="77777777">
        <w:tc>
          <w:tcPr>
            <w:tcW w:w="4261" w:type="dxa"/>
          </w:tcPr>
          <w:p w14:paraId="7AE5E55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осевой компенсации руля глубины</w:t>
            </w:r>
          </w:p>
        </w:tc>
        <w:tc>
          <w:tcPr>
            <w:tcW w:w="1092" w:type="dxa"/>
          </w:tcPr>
          <w:p w14:paraId="609D140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5,65</w:t>
            </w:r>
          </w:p>
        </w:tc>
      </w:tr>
      <w:tr w:rsidR="00F26F01" w:rsidRPr="00C33834" w14:paraId="1AE91DD2" w14:textId="77777777">
        <w:tc>
          <w:tcPr>
            <w:tcW w:w="4261" w:type="dxa"/>
          </w:tcPr>
          <w:p w14:paraId="3AC16D2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серворуля глубины</w:t>
            </w:r>
          </w:p>
        </w:tc>
        <w:tc>
          <w:tcPr>
            <w:tcW w:w="1092" w:type="dxa"/>
          </w:tcPr>
          <w:p w14:paraId="2986293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2,38</w:t>
            </w:r>
          </w:p>
        </w:tc>
      </w:tr>
      <w:tr w:rsidR="00F26F01" w:rsidRPr="00C33834" w14:paraId="041399ED" w14:textId="77777777">
        <w:tc>
          <w:tcPr>
            <w:tcW w:w="4261" w:type="dxa"/>
          </w:tcPr>
          <w:p w14:paraId="7C29C32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килей</w:t>
            </w:r>
          </w:p>
        </w:tc>
        <w:tc>
          <w:tcPr>
            <w:tcW w:w="1092" w:type="dxa"/>
          </w:tcPr>
          <w:p w14:paraId="69307C0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w:t>
            </w:r>
          </w:p>
        </w:tc>
      </w:tr>
      <w:tr w:rsidR="00F26F01" w:rsidRPr="00C33834" w14:paraId="653B0CF9" w14:textId="77777777">
        <w:tc>
          <w:tcPr>
            <w:tcW w:w="4261" w:type="dxa"/>
          </w:tcPr>
          <w:p w14:paraId="7F04CA1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рулей направления</w:t>
            </w:r>
          </w:p>
        </w:tc>
        <w:tc>
          <w:tcPr>
            <w:tcW w:w="1092" w:type="dxa"/>
          </w:tcPr>
          <w:p w14:paraId="75CA195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w:t>
            </w:r>
          </w:p>
        </w:tc>
      </w:tr>
      <w:tr w:rsidR="00F26F01" w:rsidRPr="00C33834" w14:paraId="76576746" w14:textId="77777777">
        <w:tc>
          <w:tcPr>
            <w:tcW w:w="4261" w:type="dxa"/>
          </w:tcPr>
          <w:p w14:paraId="256D9BB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осевой компенсации рулей направления</w:t>
            </w:r>
          </w:p>
        </w:tc>
        <w:tc>
          <w:tcPr>
            <w:tcW w:w="1092" w:type="dxa"/>
          </w:tcPr>
          <w:p w14:paraId="78FBFE4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r>
      <w:tr w:rsidR="00F26F01" w:rsidRPr="00C33834" w14:paraId="5691225E" w14:textId="77777777">
        <w:tc>
          <w:tcPr>
            <w:tcW w:w="4261" w:type="dxa"/>
            <w:tcBorders>
              <w:bottom w:val="single" w:sz="12" w:space="0" w:color="auto"/>
            </w:tcBorders>
          </w:tcPr>
          <w:p w14:paraId="1221D52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серворуля направления</w:t>
            </w:r>
          </w:p>
        </w:tc>
        <w:tc>
          <w:tcPr>
            <w:tcW w:w="1092" w:type="dxa"/>
            <w:tcBorders>
              <w:bottom w:val="single" w:sz="12" w:space="0" w:color="auto"/>
            </w:tcBorders>
          </w:tcPr>
          <w:p w14:paraId="36FB023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1,32</w:t>
            </w:r>
          </w:p>
        </w:tc>
      </w:tr>
    </w:tbl>
    <w:p w14:paraId="18E04BF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Моторы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1092"/>
      </w:tblGrid>
      <w:tr w:rsidR="00F26F01" w:rsidRPr="00C33834" w14:paraId="39A37AE4" w14:textId="77777777">
        <w:tc>
          <w:tcPr>
            <w:tcW w:w="4261" w:type="dxa"/>
            <w:tcBorders>
              <w:top w:val="single" w:sz="12" w:space="0" w:color="auto"/>
            </w:tcBorders>
          </w:tcPr>
          <w:p w14:paraId="6FCDFD3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w:t>
            </w:r>
          </w:p>
        </w:tc>
        <w:tc>
          <w:tcPr>
            <w:tcW w:w="1092" w:type="dxa"/>
            <w:tcBorders>
              <w:top w:val="single" w:sz="12" w:space="0" w:color="auto"/>
            </w:tcBorders>
          </w:tcPr>
          <w:p w14:paraId="4C782EA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М-34 750 нр</w:t>
            </w:r>
          </w:p>
        </w:tc>
      </w:tr>
      <w:tr w:rsidR="00F26F01" w:rsidRPr="00C33834" w14:paraId="65B0A62B" w14:textId="77777777">
        <w:tc>
          <w:tcPr>
            <w:tcW w:w="4261" w:type="dxa"/>
          </w:tcPr>
          <w:p w14:paraId="4FAE40B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Число моторов</w:t>
            </w:r>
          </w:p>
        </w:tc>
        <w:tc>
          <w:tcPr>
            <w:tcW w:w="1092" w:type="dxa"/>
          </w:tcPr>
          <w:p w14:paraId="6AF575A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r>
      <w:tr w:rsidR="00F26F01" w:rsidRPr="00C33834" w14:paraId="1F9731BA" w14:textId="77777777">
        <w:tc>
          <w:tcPr>
            <w:tcW w:w="4261" w:type="dxa"/>
            <w:tcBorders>
              <w:bottom w:val="single" w:sz="12" w:space="0" w:color="auto"/>
            </w:tcBorders>
          </w:tcPr>
          <w:p w14:paraId="44E3B98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Полная мощность</w:t>
            </w:r>
          </w:p>
        </w:tc>
        <w:tc>
          <w:tcPr>
            <w:tcW w:w="1092" w:type="dxa"/>
            <w:tcBorders>
              <w:bottom w:val="single" w:sz="12" w:space="0" w:color="auto"/>
            </w:tcBorders>
          </w:tcPr>
          <w:p w14:paraId="6F515E2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5250 нр</w:t>
            </w:r>
          </w:p>
        </w:tc>
      </w:tr>
    </w:tbl>
    <w:p w14:paraId="065B81C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Летные данные при полном весе 36 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1092"/>
        <w:gridCol w:w="4678"/>
      </w:tblGrid>
      <w:tr w:rsidR="00F26F01" w:rsidRPr="00C33834" w14:paraId="62D00069" w14:textId="77777777">
        <w:tc>
          <w:tcPr>
            <w:tcW w:w="4261" w:type="dxa"/>
            <w:tcBorders>
              <w:top w:val="single" w:sz="12" w:space="0" w:color="auto"/>
            </w:tcBorders>
          </w:tcPr>
          <w:p w14:paraId="7F8E03D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максимальная</w:t>
            </w:r>
          </w:p>
        </w:tc>
        <w:tc>
          <w:tcPr>
            <w:tcW w:w="1092" w:type="dxa"/>
            <w:tcBorders>
              <w:top w:val="single" w:sz="12" w:space="0" w:color="auto"/>
            </w:tcBorders>
          </w:tcPr>
          <w:p w14:paraId="0635F51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213 км/час</w:t>
            </w:r>
          </w:p>
        </w:tc>
        <w:tc>
          <w:tcPr>
            <w:tcW w:w="4678" w:type="dxa"/>
            <w:tcBorders>
              <w:top w:val="single" w:sz="12" w:space="0" w:color="auto"/>
            </w:tcBorders>
          </w:tcPr>
          <w:p w14:paraId="5F08772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Заметки от 1 июля 1933</w:t>
            </w:r>
          </w:p>
        </w:tc>
      </w:tr>
      <w:tr w:rsidR="00F26F01" w:rsidRPr="00C33834" w14:paraId="7A6A7FE6" w14:textId="77777777">
        <w:tc>
          <w:tcPr>
            <w:tcW w:w="4261" w:type="dxa"/>
          </w:tcPr>
          <w:p w14:paraId="60ACB5E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у земли</w:t>
            </w:r>
          </w:p>
        </w:tc>
        <w:tc>
          <w:tcPr>
            <w:tcW w:w="1092" w:type="dxa"/>
          </w:tcPr>
          <w:p w14:paraId="5CCB3F2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204,5</w:t>
            </w:r>
          </w:p>
        </w:tc>
        <w:tc>
          <w:tcPr>
            <w:tcW w:w="4678" w:type="dxa"/>
          </w:tcPr>
          <w:p w14:paraId="7C41912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1560A9E" w14:textId="77777777">
        <w:tc>
          <w:tcPr>
            <w:tcW w:w="4261" w:type="dxa"/>
          </w:tcPr>
          <w:p w14:paraId="62B988C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на высоте 1000 м</w:t>
            </w:r>
          </w:p>
        </w:tc>
        <w:tc>
          <w:tcPr>
            <w:tcW w:w="1092" w:type="dxa"/>
          </w:tcPr>
          <w:p w14:paraId="02C0F54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198,5</w:t>
            </w:r>
          </w:p>
        </w:tc>
        <w:tc>
          <w:tcPr>
            <w:tcW w:w="4678" w:type="dxa"/>
          </w:tcPr>
          <w:p w14:paraId="3F8DE34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DD28E2E" w14:textId="77777777">
        <w:tc>
          <w:tcPr>
            <w:tcW w:w="4261" w:type="dxa"/>
          </w:tcPr>
          <w:p w14:paraId="1CE233B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на высоте 3000 м</w:t>
            </w:r>
          </w:p>
        </w:tc>
        <w:tc>
          <w:tcPr>
            <w:tcW w:w="1092" w:type="dxa"/>
          </w:tcPr>
          <w:p w14:paraId="2CE748B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165,5</w:t>
            </w:r>
          </w:p>
        </w:tc>
        <w:tc>
          <w:tcPr>
            <w:tcW w:w="4678" w:type="dxa"/>
          </w:tcPr>
          <w:p w14:paraId="3FDDDF7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по плану РВС д.б. 215 км/час на высоте применения</w:t>
            </w:r>
          </w:p>
        </w:tc>
      </w:tr>
      <w:tr w:rsidR="00F26F01" w:rsidRPr="00C33834" w14:paraId="7349F3A4" w14:textId="77777777">
        <w:tc>
          <w:tcPr>
            <w:tcW w:w="4261" w:type="dxa"/>
          </w:tcPr>
          <w:p w14:paraId="51A54C2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крейсерская у земли</w:t>
            </w:r>
          </w:p>
        </w:tc>
        <w:tc>
          <w:tcPr>
            <w:tcW w:w="1092" w:type="dxa"/>
          </w:tcPr>
          <w:p w14:paraId="4D67856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183</w:t>
            </w:r>
          </w:p>
        </w:tc>
        <w:tc>
          <w:tcPr>
            <w:tcW w:w="4678" w:type="dxa"/>
          </w:tcPr>
          <w:p w14:paraId="1774B4D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485426D" w14:textId="77777777">
        <w:tc>
          <w:tcPr>
            <w:tcW w:w="4261" w:type="dxa"/>
          </w:tcPr>
          <w:p w14:paraId="7714D77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посадочная</w:t>
            </w:r>
          </w:p>
        </w:tc>
        <w:tc>
          <w:tcPr>
            <w:tcW w:w="1092" w:type="dxa"/>
          </w:tcPr>
          <w:p w14:paraId="759B821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96,5</w:t>
            </w:r>
          </w:p>
        </w:tc>
        <w:tc>
          <w:tcPr>
            <w:tcW w:w="4678" w:type="dxa"/>
          </w:tcPr>
          <w:p w14:paraId="69DAA8A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D93F9A0" w14:textId="77777777">
        <w:tc>
          <w:tcPr>
            <w:tcW w:w="4261" w:type="dxa"/>
          </w:tcPr>
          <w:p w14:paraId="0751F9B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Время подъема на 1000 м </w:t>
            </w:r>
          </w:p>
        </w:tc>
        <w:tc>
          <w:tcPr>
            <w:tcW w:w="1092" w:type="dxa"/>
          </w:tcPr>
          <w:p w14:paraId="6EE571B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8,3</w:t>
            </w:r>
          </w:p>
        </w:tc>
        <w:tc>
          <w:tcPr>
            <w:tcW w:w="4678" w:type="dxa"/>
          </w:tcPr>
          <w:p w14:paraId="7349497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3C22BDB" w14:textId="77777777">
        <w:tc>
          <w:tcPr>
            <w:tcW w:w="4261" w:type="dxa"/>
          </w:tcPr>
          <w:p w14:paraId="10DC4D2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на 3000 м</w:t>
            </w:r>
          </w:p>
        </w:tc>
        <w:tc>
          <w:tcPr>
            <w:tcW w:w="1092" w:type="dxa"/>
          </w:tcPr>
          <w:p w14:paraId="6E88F62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57,5</w:t>
            </w:r>
          </w:p>
        </w:tc>
        <w:tc>
          <w:tcPr>
            <w:tcW w:w="4678" w:type="dxa"/>
          </w:tcPr>
          <w:p w14:paraId="17585BB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3150DBB" w14:textId="77777777">
        <w:tc>
          <w:tcPr>
            <w:tcW w:w="4261" w:type="dxa"/>
          </w:tcPr>
          <w:p w14:paraId="3B193DE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Практический потолок 3100 м</w:t>
            </w:r>
          </w:p>
        </w:tc>
        <w:tc>
          <w:tcPr>
            <w:tcW w:w="1092" w:type="dxa"/>
          </w:tcPr>
          <w:p w14:paraId="5267F25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678" w:type="dxa"/>
          </w:tcPr>
          <w:p w14:paraId="78C8313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 д.б. 3650 м</w:t>
            </w:r>
          </w:p>
        </w:tc>
      </w:tr>
      <w:tr w:rsidR="00F26F01" w:rsidRPr="00C33834" w14:paraId="160B43D2" w14:textId="77777777">
        <w:tc>
          <w:tcPr>
            <w:tcW w:w="4261" w:type="dxa"/>
          </w:tcPr>
          <w:p w14:paraId="49BC976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полета</w:t>
            </w:r>
          </w:p>
        </w:tc>
        <w:tc>
          <w:tcPr>
            <w:tcW w:w="1092" w:type="dxa"/>
          </w:tcPr>
          <w:p w14:paraId="6309F7E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2400 км</w:t>
            </w:r>
          </w:p>
        </w:tc>
        <w:tc>
          <w:tcPr>
            <w:tcW w:w="4678" w:type="dxa"/>
          </w:tcPr>
          <w:p w14:paraId="10793C4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 д.б. 2000 км</w:t>
            </w:r>
          </w:p>
        </w:tc>
      </w:tr>
      <w:tr w:rsidR="00F26F01" w:rsidRPr="00C33834" w14:paraId="6B73A708" w14:textId="77777777">
        <w:tc>
          <w:tcPr>
            <w:tcW w:w="4261" w:type="dxa"/>
          </w:tcPr>
          <w:p w14:paraId="49358DB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 дальность при весе 43 т на экономичном режиме</w:t>
            </w:r>
          </w:p>
        </w:tc>
        <w:tc>
          <w:tcPr>
            <w:tcW w:w="1092" w:type="dxa"/>
          </w:tcPr>
          <w:p w14:paraId="268A17F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4330</w:t>
            </w:r>
          </w:p>
        </w:tc>
        <w:tc>
          <w:tcPr>
            <w:tcW w:w="4678" w:type="dxa"/>
          </w:tcPr>
          <w:p w14:paraId="1AC750C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1E56C25" w14:textId="77777777">
        <w:tc>
          <w:tcPr>
            <w:tcW w:w="4261" w:type="dxa"/>
            <w:tcBorders>
              <w:bottom w:val="single" w:sz="12" w:space="0" w:color="auto"/>
            </w:tcBorders>
          </w:tcPr>
          <w:p w14:paraId="4EDBC09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 дальность на крейсерском режиме</w:t>
            </w:r>
          </w:p>
        </w:tc>
        <w:tc>
          <w:tcPr>
            <w:tcW w:w="1092" w:type="dxa"/>
            <w:tcBorders>
              <w:bottom w:val="single" w:sz="12" w:space="0" w:color="auto"/>
            </w:tcBorders>
          </w:tcPr>
          <w:p w14:paraId="5F781CD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3740</w:t>
            </w:r>
          </w:p>
        </w:tc>
        <w:tc>
          <w:tcPr>
            <w:tcW w:w="4678" w:type="dxa"/>
            <w:tcBorders>
              <w:bottom w:val="single" w:sz="12" w:space="0" w:color="auto"/>
            </w:tcBorders>
          </w:tcPr>
          <w:p w14:paraId="1DF883C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3972C06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Весовые данные и нагрузка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709"/>
        <w:gridCol w:w="1397"/>
        <w:gridCol w:w="699"/>
        <w:gridCol w:w="1306"/>
        <w:gridCol w:w="709"/>
        <w:gridCol w:w="1276"/>
        <w:gridCol w:w="708"/>
        <w:gridCol w:w="1276"/>
        <w:gridCol w:w="709"/>
      </w:tblGrid>
      <w:tr w:rsidR="00F26F01" w:rsidRPr="00C33834" w14:paraId="7C7F3211" w14:textId="77777777">
        <w:tc>
          <w:tcPr>
            <w:tcW w:w="1242" w:type="dxa"/>
            <w:tcBorders>
              <w:top w:val="single" w:sz="12" w:space="0" w:color="auto"/>
            </w:tcBorders>
          </w:tcPr>
          <w:p w14:paraId="024B032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пустого</w:t>
            </w:r>
          </w:p>
        </w:tc>
        <w:tc>
          <w:tcPr>
            <w:tcW w:w="709" w:type="dxa"/>
            <w:tcBorders>
              <w:top w:val="single" w:sz="12" w:space="0" w:color="auto"/>
            </w:tcBorders>
          </w:tcPr>
          <w:p w14:paraId="12C4FF0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97" w:type="dxa"/>
            <w:tcBorders>
              <w:top w:val="single" w:sz="12" w:space="0" w:color="auto"/>
            </w:tcBorders>
          </w:tcPr>
          <w:p w14:paraId="2A78A62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Нагрузка</w:t>
            </w:r>
          </w:p>
        </w:tc>
        <w:tc>
          <w:tcPr>
            <w:tcW w:w="699" w:type="dxa"/>
            <w:tcBorders>
              <w:top w:val="single" w:sz="12" w:space="0" w:color="auto"/>
            </w:tcBorders>
          </w:tcPr>
          <w:p w14:paraId="718B2B9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12" w:space="0" w:color="auto"/>
            </w:tcBorders>
          </w:tcPr>
          <w:p w14:paraId="0315132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12" w:space="0" w:color="auto"/>
            </w:tcBorders>
          </w:tcPr>
          <w:p w14:paraId="5A8BC4C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12" w:space="0" w:color="auto"/>
            </w:tcBorders>
          </w:tcPr>
          <w:p w14:paraId="3F0A21A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top w:val="single" w:sz="12" w:space="0" w:color="auto"/>
            </w:tcBorders>
          </w:tcPr>
          <w:p w14:paraId="02B9D61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12" w:space="0" w:color="auto"/>
            </w:tcBorders>
          </w:tcPr>
          <w:p w14:paraId="2E5702B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12" w:space="0" w:color="auto"/>
            </w:tcBorders>
          </w:tcPr>
          <w:p w14:paraId="5B0F7EC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75DC26A" w14:textId="77777777">
        <w:tc>
          <w:tcPr>
            <w:tcW w:w="1242" w:type="dxa"/>
          </w:tcPr>
          <w:p w14:paraId="36B0A29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15A9B2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97" w:type="dxa"/>
          </w:tcPr>
          <w:p w14:paraId="7BFE08C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1000 км</w:t>
            </w:r>
          </w:p>
        </w:tc>
        <w:tc>
          <w:tcPr>
            <w:tcW w:w="699" w:type="dxa"/>
          </w:tcPr>
          <w:p w14:paraId="5BA347D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Pr>
          <w:p w14:paraId="220871C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1000 км</w:t>
            </w:r>
          </w:p>
        </w:tc>
        <w:tc>
          <w:tcPr>
            <w:tcW w:w="709" w:type="dxa"/>
          </w:tcPr>
          <w:p w14:paraId="3900C0B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CEF2BB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2400 км</w:t>
            </w:r>
          </w:p>
        </w:tc>
        <w:tc>
          <w:tcPr>
            <w:tcW w:w="708" w:type="dxa"/>
          </w:tcPr>
          <w:p w14:paraId="2E6DCF0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5ABD93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Пассажирский вариант</w:t>
            </w:r>
          </w:p>
        </w:tc>
        <w:tc>
          <w:tcPr>
            <w:tcW w:w="709" w:type="dxa"/>
          </w:tcPr>
          <w:p w14:paraId="6CBA04F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560DC77" w14:textId="77777777">
        <w:tc>
          <w:tcPr>
            <w:tcW w:w="1242" w:type="dxa"/>
          </w:tcPr>
          <w:p w14:paraId="22F81D0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Хвостовые фермы</w:t>
            </w:r>
          </w:p>
        </w:tc>
        <w:tc>
          <w:tcPr>
            <w:tcW w:w="709" w:type="dxa"/>
          </w:tcPr>
          <w:p w14:paraId="237E31B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730,35</w:t>
            </w:r>
          </w:p>
        </w:tc>
        <w:tc>
          <w:tcPr>
            <w:tcW w:w="1397" w:type="dxa"/>
          </w:tcPr>
          <w:p w14:paraId="3B461EB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 и обор.</w:t>
            </w:r>
          </w:p>
        </w:tc>
        <w:tc>
          <w:tcPr>
            <w:tcW w:w="699" w:type="dxa"/>
          </w:tcPr>
          <w:p w14:paraId="0C14EEC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3040</w:t>
            </w:r>
          </w:p>
        </w:tc>
        <w:tc>
          <w:tcPr>
            <w:tcW w:w="1306" w:type="dxa"/>
          </w:tcPr>
          <w:p w14:paraId="1A1A21A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7894B0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3400</w:t>
            </w:r>
          </w:p>
        </w:tc>
        <w:tc>
          <w:tcPr>
            <w:tcW w:w="1276" w:type="dxa"/>
          </w:tcPr>
          <w:p w14:paraId="690FF2B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3DFC9C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3040</w:t>
            </w:r>
          </w:p>
        </w:tc>
        <w:tc>
          <w:tcPr>
            <w:tcW w:w="1276" w:type="dxa"/>
          </w:tcPr>
          <w:p w14:paraId="5B4C829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 пассажира</w:t>
            </w:r>
          </w:p>
        </w:tc>
        <w:tc>
          <w:tcPr>
            <w:tcW w:w="709" w:type="dxa"/>
          </w:tcPr>
          <w:p w14:paraId="213B275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5120</w:t>
            </w:r>
          </w:p>
        </w:tc>
      </w:tr>
      <w:tr w:rsidR="00F26F01" w:rsidRPr="00C33834" w14:paraId="462724ED" w14:textId="77777777">
        <w:tc>
          <w:tcPr>
            <w:tcW w:w="1242" w:type="dxa"/>
          </w:tcPr>
          <w:p w14:paraId="1FF6B35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w:t>
            </w:r>
          </w:p>
        </w:tc>
        <w:tc>
          <w:tcPr>
            <w:tcW w:w="709" w:type="dxa"/>
          </w:tcPr>
          <w:p w14:paraId="564B296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3160,75</w:t>
            </w:r>
          </w:p>
        </w:tc>
        <w:tc>
          <w:tcPr>
            <w:tcW w:w="1397" w:type="dxa"/>
          </w:tcPr>
          <w:p w14:paraId="1C7F7C7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Приспособления для подвески</w:t>
            </w:r>
          </w:p>
        </w:tc>
        <w:tc>
          <w:tcPr>
            <w:tcW w:w="699" w:type="dxa"/>
          </w:tcPr>
          <w:p w14:paraId="61D63E8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560</w:t>
            </w:r>
          </w:p>
        </w:tc>
        <w:tc>
          <w:tcPr>
            <w:tcW w:w="1306" w:type="dxa"/>
          </w:tcPr>
          <w:p w14:paraId="732A0A2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Приспособления для сбрасывания</w:t>
            </w:r>
          </w:p>
        </w:tc>
        <w:tc>
          <w:tcPr>
            <w:tcW w:w="709" w:type="dxa"/>
          </w:tcPr>
          <w:p w14:paraId="2ED441B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w:t>
            </w:r>
          </w:p>
        </w:tc>
        <w:tc>
          <w:tcPr>
            <w:tcW w:w="1276" w:type="dxa"/>
          </w:tcPr>
          <w:p w14:paraId="1FEA420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Приспособления для подвески</w:t>
            </w:r>
          </w:p>
        </w:tc>
        <w:tc>
          <w:tcPr>
            <w:tcW w:w="708" w:type="dxa"/>
          </w:tcPr>
          <w:p w14:paraId="78F3EEF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560</w:t>
            </w:r>
          </w:p>
        </w:tc>
        <w:tc>
          <w:tcPr>
            <w:tcW w:w="1276" w:type="dxa"/>
          </w:tcPr>
          <w:p w14:paraId="4124680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Багаж</w:t>
            </w:r>
          </w:p>
        </w:tc>
        <w:tc>
          <w:tcPr>
            <w:tcW w:w="709" w:type="dxa"/>
          </w:tcPr>
          <w:p w14:paraId="2CB8BC9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4400</w:t>
            </w:r>
          </w:p>
        </w:tc>
      </w:tr>
      <w:tr w:rsidR="00F26F01" w:rsidRPr="00C33834" w14:paraId="48C5C205" w14:textId="77777777">
        <w:tc>
          <w:tcPr>
            <w:tcW w:w="1242" w:type="dxa"/>
          </w:tcPr>
          <w:p w14:paraId="66C0638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Мотоустановка</w:t>
            </w:r>
          </w:p>
        </w:tc>
        <w:tc>
          <w:tcPr>
            <w:tcW w:w="709" w:type="dxa"/>
          </w:tcPr>
          <w:p w14:paraId="7DB7EEB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8540</w:t>
            </w:r>
          </w:p>
        </w:tc>
        <w:tc>
          <w:tcPr>
            <w:tcW w:w="1397" w:type="dxa"/>
          </w:tcPr>
          <w:p w14:paraId="144CC74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Горючее им смазочное</w:t>
            </w:r>
          </w:p>
        </w:tc>
        <w:tc>
          <w:tcPr>
            <w:tcW w:w="699" w:type="dxa"/>
          </w:tcPr>
          <w:p w14:paraId="6086CE6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5400</w:t>
            </w:r>
          </w:p>
        </w:tc>
        <w:tc>
          <w:tcPr>
            <w:tcW w:w="1306" w:type="dxa"/>
          </w:tcPr>
          <w:p w14:paraId="2EAA3CA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3E5EC0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6160</w:t>
            </w:r>
          </w:p>
        </w:tc>
        <w:tc>
          <w:tcPr>
            <w:tcW w:w="1276" w:type="dxa"/>
          </w:tcPr>
          <w:p w14:paraId="369D5B3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DC1BC3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13600</w:t>
            </w:r>
          </w:p>
        </w:tc>
        <w:tc>
          <w:tcPr>
            <w:tcW w:w="1276" w:type="dxa"/>
          </w:tcPr>
          <w:p w14:paraId="1C5ED61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D47DBB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5400</w:t>
            </w:r>
          </w:p>
        </w:tc>
      </w:tr>
      <w:tr w:rsidR="00F26F01" w:rsidRPr="00C33834" w14:paraId="11F48178" w14:textId="77777777">
        <w:tc>
          <w:tcPr>
            <w:tcW w:w="1242" w:type="dxa"/>
          </w:tcPr>
          <w:p w14:paraId="65B1041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Центроплан</w:t>
            </w:r>
          </w:p>
        </w:tc>
        <w:tc>
          <w:tcPr>
            <w:tcW w:w="709" w:type="dxa"/>
          </w:tcPr>
          <w:p w14:paraId="52F6009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3820</w:t>
            </w:r>
          </w:p>
        </w:tc>
        <w:tc>
          <w:tcPr>
            <w:tcW w:w="1397" w:type="dxa"/>
          </w:tcPr>
          <w:p w14:paraId="4281FA8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Сбрасываемый груз</w:t>
            </w:r>
          </w:p>
        </w:tc>
        <w:tc>
          <w:tcPr>
            <w:tcW w:w="699" w:type="dxa"/>
          </w:tcPr>
          <w:p w14:paraId="0F74B3B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7000</w:t>
            </w:r>
          </w:p>
        </w:tc>
        <w:tc>
          <w:tcPr>
            <w:tcW w:w="1306" w:type="dxa"/>
          </w:tcPr>
          <w:p w14:paraId="0B1EF61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DD42AF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14000</w:t>
            </w:r>
          </w:p>
        </w:tc>
        <w:tc>
          <w:tcPr>
            <w:tcW w:w="1276" w:type="dxa"/>
          </w:tcPr>
          <w:p w14:paraId="0F82538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5CB222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6240</w:t>
            </w:r>
          </w:p>
        </w:tc>
        <w:tc>
          <w:tcPr>
            <w:tcW w:w="1276" w:type="dxa"/>
          </w:tcPr>
          <w:p w14:paraId="2CEB2B2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Продовольствие и вода</w:t>
            </w:r>
          </w:p>
        </w:tc>
        <w:tc>
          <w:tcPr>
            <w:tcW w:w="709" w:type="dxa"/>
          </w:tcPr>
          <w:p w14:paraId="54E28AD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480</w:t>
            </w:r>
          </w:p>
        </w:tc>
      </w:tr>
      <w:tr w:rsidR="00F26F01" w:rsidRPr="00C33834" w14:paraId="4CF03DE9" w14:textId="77777777">
        <w:tc>
          <w:tcPr>
            <w:tcW w:w="1242" w:type="dxa"/>
          </w:tcPr>
          <w:p w14:paraId="6C1790A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Открылки</w:t>
            </w:r>
          </w:p>
        </w:tc>
        <w:tc>
          <w:tcPr>
            <w:tcW w:w="709" w:type="dxa"/>
          </w:tcPr>
          <w:p w14:paraId="5F14B85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2325</w:t>
            </w:r>
          </w:p>
        </w:tc>
        <w:tc>
          <w:tcPr>
            <w:tcW w:w="1397" w:type="dxa"/>
          </w:tcPr>
          <w:p w14:paraId="38F00C6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6C19043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Pr>
          <w:p w14:paraId="16C2A2C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3EC1B3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3DDD6A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Добавочные баки</w:t>
            </w:r>
          </w:p>
        </w:tc>
        <w:tc>
          <w:tcPr>
            <w:tcW w:w="708" w:type="dxa"/>
          </w:tcPr>
          <w:p w14:paraId="008119F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110</w:t>
            </w:r>
          </w:p>
        </w:tc>
        <w:tc>
          <w:tcPr>
            <w:tcW w:w="1276" w:type="dxa"/>
          </w:tcPr>
          <w:p w14:paraId="73CEDDC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Экипаж</w:t>
            </w:r>
          </w:p>
        </w:tc>
        <w:tc>
          <w:tcPr>
            <w:tcW w:w="709" w:type="dxa"/>
          </w:tcPr>
          <w:p w14:paraId="621EA6C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640</w:t>
            </w:r>
          </w:p>
        </w:tc>
      </w:tr>
      <w:tr w:rsidR="00F26F01" w:rsidRPr="00C33834" w14:paraId="25D43371" w14:textId="77777777">
        <w:tc>
          <w:tcPr>
            <w:tcW w:w="1242" w:type="dxa"/>
          </w:tcPr>
          <w:p w14:paraId="378400E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Хвостовое оперение</w:t>
            </w:r>
          </w:p>
        </w:tc>
        <w:tc>
          <w:tcPr>
            <w:tcW w:w="709" w:type="dxa"/>
          </w:tcPr>
          <w:p w14:paraId="5E22FE3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680</w:t>
            </w:r>
          </w:p>
        </w:tc>
        <w:tc>
          <w:tcPr>
            <w:tcW w:w="1397" w:type="dxa"/>
          </w:tcPr>
          <w:p w14:paraId="7F7FB0E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60B2E38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Pr>
          <w:p w14:paraId="49CFF99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AA6717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E5ACB3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C342FD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91D146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BA50C4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3631283" w14:textId="77777777">
        <w:tc>
          <w:tcPr>
            <w:tcW w:w="1242" w:type="dxa"/>
          </w:tcPr>
          <w:p w14:paraId="58C64C5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Управление</w:t>
            </w:r>
          </w:p>
        </w:tc>
        <w:tc>
          <w:tcPr>
            <w:tcW w:w="709" w:type="dxa"/>
          </w:tcPr>
          <w:p w14:paraId="4A6C959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185</w:t>
            </w:r>
          </w:p>
        </w:tc>
        <w:tc>
          <w:tcPr>
            <w:tcW w:w="1397" w:type="dxa"/>
          </w:tcPr>
          <w:p w14:paraId="42B32A0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6E60318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Pr>
          <w:p w14:paraId="7B58B97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5D1127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0BECE5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2FE379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DA79C3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2207CD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88D12A8" w14:textId="77777777">
        <w:tc>
          <w:tcPr>
            <w:tcW w:w="1242" w:type="dxa"/>
          </w:tcPr>
          <w:p w14:paraId="4AC9F87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Рубка</w:t>
            </w:r>
          </w:p>
        </w:tc>
        <w:tc>
          <w:tcPr>
            <w:tcW w:w="709" w:type="dxa"/>
          </w:tcPr>
          <w:p w14:paraId="414DD50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560</w:t>
            </w:r>
          </w:p>
        </w:tc>
        <w:tc>
          <w:tcPr>
            <w:tcW w:w="1397" w:type="dxa"/>
          </w:tcPr>
          <w:p w14:paraId="61F1772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077513A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Pr>
          <w:p w14:paraId="318074A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8088D0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B17154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F97B5B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A23B3A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6AFFD1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D249D0E" w14:textId="77777777">
        <w:tc>
          <w:tcPr>
            <w:tcW w:w="1242" w:type="dxa"/>
          </w:tcPr>
          <w:p w14:paraId="77116C7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709" w:type="dxa"/>
          </w:tcPr>
          <w:p w14:paraId="727A8B8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20000</w:t>
            </w:r>
          </w:p>
        </w:tc>
        <w:tc>
          <w:tcPr>
            <w:tcW w:w="1397" w:type="dxa"/>
          </w:tcPr>
          <w:p w14:paraId="6247E81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7BA0057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16000</w:t>
            </w:r>
          </w:p>
        </w:tc>
        <w:tc>
          <w:tcPr>
            <w:tcW w:w="1306" w:type="dxa"/>
          </w:tcPr>
          <w:p w14:paraId="44FF504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1B83CF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23000</w:t>
            </w:r>
          </w:p>
        </w:tc>
        <w:tc>
          <w:tcPr>
            <w:tcW w:w="1276" w:type="dxa"/>
          </w:tcPr>
          <w:p w14:paraId="6407A2E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401433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22410</w:t>
            </w:r>
          </w:p>
        </w:tc>
        <w:tc>
          <w:tcPr>
            <w:tcW w:w="1276" w:type="dxa"/>
          </w:tcPr>
          <w:p w14:paraId="0F7CAA3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C9BB96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16000</w:t>
            </w:r>
          </w:p>
        </w:tc>
      </w:tr>
      <w:tr w:rsidR="00F26F01" w:rsidRPr="00C33834" w14:paraId="2F67E981" w14:textId="77777777">
        <w:tc>
          <w:tcPr>
            <w:tcW w:w="1242" w:type="dxa"/>
          </w:tcPr>
          <w:p w14:paraId="40A9E67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Полный полетный</w:t>
            </w:r>
          </w:p>
        </w:tc>
        <w:tc>
          <w:tcPr>
            <w:tcW w:w="709" w:type="dxa"/>
          </w:tcPr>
          <w:p w14:paraId="50FC69C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97" w:type="dxa"/>
          </w:tcPr>
          <w:p w14:paraId="7E72063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7765B53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36000</w:t>
            </w:r>
          </w:p>
        </w:tc>
        <w:tc>
          <w:tcPr>
            <w:tcW w:w="1306" w:type="dxa"/>
          </w:tcPr>
          <w:p w14:paraId="13E6BAC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5993BF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43000</w:t>
            </w:r>
          </w:p>
        </w:tc>
        <w:tc>
          <w:tcPr>
            <w:tcW w:w="1276" w:type="dxa"/>
          </w:tcPr>
          <w:p w14:paraId="329F39D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17BD52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42520</w:t>
            </w:r>
          </w:p>
        </w:tc>
        <w:tc>
          <w:tcPr>
            <w:tcW w:w="1276" w:type="dxa"/>
          </w:tcPr>
          <w:p w14:paraId="26AC713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080FC9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36000</w:t>
            </w:r>
          </w:p>
        </w:tc>
      </w:tr>
      <w:tr w:rsidR="00F26F01" w:rsidRPr="00C33834" w14:paraId="7BB4F078" w14:textId="77777777">
        <w:tc>
          <w:tcPr>
            <w:tcW w:w="1242" w:type="dxa"/>
          </w:tcPr>
          <w:p w14:paraId="4075C4D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полезной нагрузки</w:t>
            </w:r>
          </w:p>
        </w:tc>
        <w:tc>
          <w:tcPr>
            <w:tcW w:w="709" w:type="dxa"/>
          </w:tcPr>
          <w:p w14:paraId="010E4BA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97" w:type="dxa"/>
          </w:tcPr>
          <w:p w14:paraId="1C79C2D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0634F5F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44,45</w:t>
            </w:r>
          </w:p>
        </w:tc>
        <w:tc>
          <w:tcPr>
            <w:tcW w:w="1306" w:type="dxa"/>
          </w:tcPr>
          <w:p w14:paraId="38CD091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CE29F5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52,3</w:t>
            </w:r>
          </w:p>
        </w:tc>
        <w:tc>
          <w:tcPr>
            <w:tcW w:w="1276" w:type="dxa"/>
          </w:tcPr>
          <w:p w14:paraId="0D06D46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A0FFF9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50,9</w:t>
            </w:r>
          </w:p>
        </w:tc>
        <w:tc>
          <w:tcPr>
            <w:tcW w:w="1276" w:type="dxa"/>
          </w:tcPr>
          <w:p w14:paraId="32CCFAD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CC0637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44,45</w:t>
            </w:r>
          </w:p>
        </w:tc>
      </w:tr>
      <w:tr w:rsidR="00F26F01" w:rsidRPr="00C33834" w14:paraId="7E59828C" w14:textId="77777777">
        <w:tc>
          <w:tcPr>
            <w:tcW w:w="1242" w:type="dxa"/>
          </w:tcPr>
          <w:p w14:paraId="677A31C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Нагрузка на 1 нр</w:t>
            </w:r>
          </w:p>
        </w:tc>
        <w:tc>
          <w:tcPr>
            <w:tcW w:w="709" w:type="dxa"/>
          </w:tcPr>
          <w:p w14:paraId="55D4F88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97" w:type="dxa"/>
          </w:tcPr>
          <w:p w14:paraId="664E832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6D0AF0B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c>
          <w:tcPr>
            <w:tcW w:w="1306" w:type="dxa"/>
          </w:tcPr>
          <w:p w14:paraId="57C0C1F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8DE10C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w:t>
            </w:r>
          </w:p>
        </w:tc>
        <w:tc>
          <w:tcPr>
            <w:tcW w:w="1276" w:type="dxa"/>
          </w:tcPr>
          <w:p w14:paraId="1A355E6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C74832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w:t>
            </w:r>
          </w:p>
        </w:tc>
        <w:tc>
          <w:tcPr>
            <w:tcW w:w="1276" w:type="dxa"/>
          </w:tcPr>
          <w:p w14:paraId="6CD7EC7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297A31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r>
      <w:tr w:rsidR="00F26F01" w:rsidRPr="00C33834" w14:paraId="72C88C12" w14:textId="77777777">
        <w:tc>
          <w:tcPr>
            <w:tcW w:w="1242" w:type="dxa"/>
          </w:tcPr>
          <w:p w14:paraId="4AF22E1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м2</w:t>
            </w:r>
          </w:p>
        </w:tc>
        <w:tc>
          <w:tcPr>
            <w:tcW w:w="709" w:type="dxa"/>
          </w:tcPr>
          <w:p w14:paraId="47DF24A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97" w:type="dxa"/>
          </w:tcPr>
          <w:p w14:paraId="568E4E5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2C6075D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78,2</w:t>
            </w:r>
          </w:p>
        </w:tc>
        <w:tc>
          <w:tcPr>
            <w:tcW w:w="1306" w:type="dxa"/>
          </w:tcPr>
          <w:p w14:paraId="0B9573D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F8A354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98,5</w:t>
            </w:r>
          </w:p>
        </w:tc>
        <w:tc>
          <w:tcPr>
            <w:tcW w:w="1276" w:type="dxa"/>
          </w:tcPr>
          <w:p w14:paraId="7429EE4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7A6265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98,5</w:t>
            </w:r>
          </w:p>
        </w:tc>
        <w:tc>
          <w:tcPr>
            <w:tcW w:w="1276" w:type="dxa"/>
          </w:tcPr>
          <w:p w14:paraId="0C1941F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003F48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78,2</w:t>
            </w:r>
          </w:p>
        </w:tc>
      </w:tr>
      <w:tr w:rsidR="00F26F01" w:rsidRPr="00C33834" w14:paraId="264E0E08" w14:textId="77777777">
        <w:tc>
          <w:tcPr>
            <w:tcW w:w="1242" w:type="dxa"/>
            <w:tcBorders>
              <w:bottom w:val="single" w:sz="12" w:space="0" w:color="auto"/>
            </w:tcBorders>
          </w:tcPr>
          <w:p w14:paraId="12B2951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Сила на площадь</w:t>
            </w:r>
          </w:p>
        </w:tc>
        <w:tc>
          <w:tcPr>
            <w:tcW w:w="709" w:type="dxa"/>
            <w:tcBorders>
              <w:bottom w:val="single" w:sz="12" w:space="0" w:color="auto"/>
            </w:tcBorders>
          </w:tcPr>
          <w:p w14:paraId="680F35B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97" w:type="dxa"/>
            <w:tcBorders>
              <w:bottom w:val="single" w:sz="12" w:space="0" w:color="auto"/>
            </w:tcBorders>
          </w:tcPr>
          <w:p w14:paraId="2A8C0EC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Borders>
              <w:bottom w:val="single" w:sz="12" w:space="0" w:color="auto"/>
            </w:tcBorders>
          </w:tcPr>
          <w:p w14:paraId="5A1F168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11,4</w:t>
            </w:r>
          </w:p>
        </w:tc>
        <w:tc>
          <w:tcPr>
            <w:tcW w:w="1306" w:type="dxa"/>
            <w:tcBorders>
              <w:bottom w:val="single" w:sz="12" w:space="0" w:color="auto"/>
            </w:tcBorders>
          </w:tcPr>
          <w:p w14:paraId="75B0CC2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bottom w:val="single" w:sz="12" w:space="0" w:color="auto"/>
            </w:tcBorders>
          </w:tcPr>
          <w:p w14:paraId="1A95D9F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11,4</w:t>
            </w:r>
          </w:p>
        </w:tc>
        <w:tc>
          <w:tcPr>
            <w:tcW w:w="1276" w:type="dxa"/>
            <w:tcBorders>
              <w:bottom w:val="single" w:sz="12" w:space="0" w:color="auto"/>
            </w:tcBorders>
          </w:tcPr>
          <w:p w14:paraId="01D7260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35D9CF5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11,4</w:t>
            </w:r>
          </w:p>
        </w:tc>
        <w:tc>
          <w:tcPr>
            <w:tcW w:w="1276" w:type="dxa"/>
            <w:tcBorders>
              <w:bottom w:val="single" w:sz="12" w:space="0" w:color="auto"/>
            </w:tcBorders>
          </w:tcPr>
          <w:p w14:paraId="7FF3909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bottom w:val="single" w:sz="12" w:space="0" w:color="auto"/>
            </w:tcBorders>
          </w:tcPr>
          <w:p w14:paraId="3E00231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11,4</w:t>
            </w:r>
          </w:p>
        </w:tc>
      </w:tr>
    </w:tbl>
    <w:p w14:paraId="1B7D0DF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(2306,38).</w:t>
      </w:r>
    </w:p>
    <w:p w14:paraId="278E8EE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230C4421" w14:textId="77777777" w:rsidR="0066456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89E592B" w14:textId="77777777" w:rsidR="00664564" w:rsidRPr="00C33834" w:rsidRDefault="0066456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DCF7C6B"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28 июня по 29 июля 1933 года проходили совместные испытания головного серийного самолета «Z» № 39004 с мотором Гном Рон ЮVI 9 АО (6787).</w:t>
      </w:r>
    </w:p>
    <w:p w14:paraId="7BE4FEBE"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1B0DB21E"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Холодов</w:t>
      </w:r>
    </w:p>
    <w:p w14:paraId="7776DC5F"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Попов</w:t>
      </w:r>
    </w:p>
    <w:p w14:paraId="25F1208C"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2E7A7466"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летных данных самолета и выявление дефектов для исправления их на последующих образцах.</w:t>
      </w:r>
    </w:p>
    <w:p w14:paraId="2AD04938"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1395ACDB" w14:textId="77777777" w:rsidR="00664564" w:rsidRPr="00C33834" w:rsidRDefault="00664564"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Считать совершенно необходимым форсировать доводку пушечного вооружения с тем, чтобы последнее было испытано на самолете не позднее 1 сентября 1932 года.</w:t>
      </w:r>
    </w:p>
    <w:p w14:paraId="70151A48"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p w14:paraId="749E3C5B"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поступил на испытания – 28 июня 1932 года</w:t>
      </w:r>
    </w:p>
    <w:p w14:paraId="757E672A"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начато – 28 июня 1932 года</w:t>
      </w:r>
    </w:p>
    <w:p w14:paraId="0D48BD0F"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окончено – 29 июля 1932 года</w:t>
      </w:r>
    </w:p>
    <w:p w14:paraId="3A89933C"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Фактически затрачено на испытания 32 календарных дня.</w:t>
      </w:r>
    </w:p>
    <w:p w14:paraId="4AE233C5"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произведено в 9 летных дней (6787).</w:t>
      </w:r>
    </w:p>
    <w:p w14:paraId="62E8F7A3"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7117B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июня 1933 года вышло Постановление СНК N 1317/295с О постройке морского самолета.</w:t>
      </w:r>
    </w:p>
    <w:p w14:paraId="73A75F6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СНК постановляет:</w:t>
      </w:r>
    </w:p>
    <w:p w14:paraId="77030A4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Утвердить предложение летчика Чухновского о постройке морского самолета пригодного для работы во внебазовых условиях (3899,307).</w:t>
      </w:r>
    </w:p>
    <w:p w14:paraId="4AADC09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Возложить на Чухновского выбор типа самолета, предъявление к нему заданий, наблюдение за его постройкой и подбор инженеров и конструкторов.</w:t>
      </w:r>
    </w:p>
    <w:p w14:paraId="06C37F9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Откомандировать на эту работу инженера - морского летчика Коровина А.Л. _..</w:t>
      </w:r>
    </w:p>
    <w:p w14:paraId="15025F9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Создать для проектирования самолета конструкторское бюро, возглавляемое инженером-самолетостроителем Бартини, работающим в ГУГВФ.</w:t>
      </w:r>
    </w:p>
    <w:p w14:paraId="1719928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Утвердить базу для постройки самолета - завод им. Марти в Ленинграде.</w:t>
      </w:r>
    </w:p>
    <w:p w14:paraId="4B17E04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Обязать Кондратьева и Чухновского закончить постройку самолета к 1 мая 1934 года с тем, чтобы испытать самолет на Севере в летнюю навигацию (3899,307).</w:t>
      </w:r>
    </w:p>
    <w:p w14:paraId="6E03A7F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1D503E2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июня 1933 года постановление № 1317/295с СНК</w:t>
      </w:r>
    </w:p>
    <w:p w14:paraId="2A6C018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постройке морского самолета</w:t>
      </w:r>
    </w:p>
    <w:p w14:paraId="0C828E5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СНК постановляет:</w:t>
      </w:r>
    </w:p>
    <w:p w14:paraId="079AE58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Утвердить предложение летчика Чухновского о постройке морского самолета, пригодного для работы во внебазовых условиях, в связи с чем:</w:t>
      </w:r>
    </w:p>
    <w:p w14:paraId="5C649B60" w14:textId="77777777" w:rsidR="00664564" w:rsidRPr="00C33834" w:rsidRDefault="00664564"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Возложить на Чухновского выбор типа самолета, предъявление к нему заданий, наблюдение за его постройкой и подбор инженеров и конструкторов.</w:t>
      </w:r>
    </w:p>
    <w:p w14:paraId="1AA98D37" w14:textId="77777777" w:rsidR="00664564" w:rsidRPr="00C33834" w:rsidRDefault="00664564"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Откомандировать на эту работу инженера – морского летчика Коровина В.Л. – временно исполняющего обязанности технического директора Воронежского авиазавода.</w:t>
      </w:r>
    </w:p>
    <w:p w14:paraId="759B3A90" w14:textId="77777777" w:rsidR="00664564" w:rsidRPr="00C33834" w:rsidRDefault="00664564"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Создать для проектирования самолета КБ, возглавляемое инженером-самолетостроителем Бартини, работающим в ГУГВФ.</w:t>
      </w:r>
    </w:p>
    <w:p w14:paraId="5F22A05E" w14:textId="77777777" w:rsidR="00664564" w:rsidRPr="00C33834" w:rsidRDefault="00664564"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Возложить хозяйственно-оперативные обязанности на Гл. управление судостроительной промышленности в Ленинграде.</w:t>
      </w:r>
    </w:p>
    <w:p w14:paraId="4E6F324E" w14:textId="77777777" w:rsidR="00664564" w:rsidRPr="00C33834" w:rsidRDefault="00664564"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Утвердить базу для постройки самолета – завод им. Марти в Ленинграде.</w:t>
      </w:r>
    </w:p>
    <w:p w14:paraId="1AE9B35A" w14:textId="77777777" w:rsidR="00664564" w:rsidRPr="00C33834" w:rsidRDefault="00664564"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Средства на постройку самолета отпустить из резервного фонда СНК, ориентировочно до полутора миллионов рублей.</w:t>
      </w:r>
    </w:p>
    <w:p w14:paraId="12925572" w14:textId="77777777" w:rsidR="00664564" w:rsidRPr="00C33834" w:rsidRDefault="00664564"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Кондратьева и Чухновского закончить постройку самолета к 1 мая 1934 года с тем, чтобы испытать самолет на Севере в летнюю навигацию (7503, 50).</w:t>
      </w:r>
    </w:p>
    <w:p w14:paraId="12E4B069" w14:textId="77777777" w:rsidR="00664564" w:rsidRPr="00C33834" w:rsidRDefault="00664564"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A50763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июня 1933 на совещании у начальника КОСОС А.Н.Т. обсуждался план работ конструкторского отдела и ЗОК (1077,178).</w:t>
      </w:r>
    </w:p>
    <w:p w14:paraId="2BD5416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2F39EEB2" w14:textId="77777777" w:rsidR="0066456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5C86EEF1" w14:textId="77777777" w:rsidR="00664564" w:rsidRPr="00C33834" w:rsidRDefault="0066456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F8969F2"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июня 1933 в Москве начата широкомасштабная операция по аресту и высылке цыган (в ходе ее депортированы 5470 человек) (4962).</w:t>
      </w:r>
    </w:p>
    <w:p w14:paraId="15B22CF4"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733D6B" w14:textId="77777777" w:rsidR="003417C8"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308153A" w14:textId="77777777" w:rsidR="003417C8" w:rsidRPr="00C33834" w:rsidRDefault="003417C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8232683"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28 июня</w:t>
      </w:r>
      <w:r w:rsidRPr="00C33834">
        <w:rPr>
          <w:rFonts w:ascii="Times New Roman" w:hAnsi="Times New Roman"/>
          <w:color w:val="000000" w:themeColor="text1"/>
          <w:sz w:val="16"/>
          <w:szCs w:val="16"/>
        </w:rPr>
        <w:t xml:space="preserve"> в 1933 году польский учебно-тренировочный самолет </w:t>
      </w:r>
      <w:hyperlink r:id="rId224" w:tgtFrame="_blank" w:history="1">
        <w:r w:rsidRPr="00C33834">
          <w:rPr>
            <w:rFonts w:ascii="Times New Roman" w:hAnsi="Times New Roman"/>
            <w:color w:val="000000" w:themeColor="text1"/>
            <w:sz w:val="16"/>
            <w:szCs w:val="16"/>
          </w:rPr>
          <w:t xml:space="preserve">«WK-3» </w:t>
        </w:r>
      </w:hyperlink>
      <w:r w:rsidRPr="00C33834">
        <w:rPr>
          <w:rFonts w:ascii="Times New Roman" w:hAnsi="Times New Roman"/>
          <w:color w:val="000000" w:themeColor="text1"/>
          <w:sz w:val="16"/>
          <w:szCs w:val="16"/>
        </w:rPr>
        <w:t>с регистрационным знаком «SP-JAKO» был облетан на аэродроме Мокотовский капитаном Гиедговда. Для первого вылета самолет был оснащен двигателем «Anzani» в 70 л.с.. Всего с этим двигателем было проведено 11 вылетов (всего 3 часа) (14936).</w:t>
      </w:r>
    </w:p>
    <w:p w14:paraId="578964A0" w14:textId="77777777" w:rsidR="003417C8" w:rsidRPr="00C33834" w:rsidRDefault="003417C8" w:rsidP="00C33834">
      <w:pPr>
        <w:spacing w:after="0" w:line="240" w:lineRule="auto"/>
        <w:jc w:val="both"/>
        <w:rPr>
          <w:rFonts w:ascii="Times New Roman" w:hAnsi="Times New Roman"/>
          <w:color w:val="000000" w:themeColor="text1"/>
          <w:sz w:val="16"/>
          <w:szCs w:val="16"/>
        </w:rPr>
      </w:pPr>
    </w:p>
    <w:p w14:paraId="4CE643B0" w14:textId="77777777" w:rsidR="0066456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8BF908D" w14:textId="77777777" w:rsidR="00664564" w:rsidRPr="00C33834" w:rsidRDefault="0066456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819545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июня 1933 года был утвержден Отчет по испытаниям самолета И5 - М22 N 21117 эталона на 1933 год</w:t>
      </w:r>
    </w:p>
    <w:p w14:paraId="6EC5E67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392696E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возможности использования самолета И5 N 21117 как эталона для постройки самолетов И5 М22 в 1933 году.</w:t>
      </w:r>
    </w:p>
    <w:p w14:paraId="18770C2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летных данных самолета, отличающегося от серии И5 выпуска 1932 года с установкой: металлического винта, поворотных стоек, обтекателей на колесах, электровооружением, новым подогревателем и заменой помпы АМ на помпу типа Хорнет.</w:t>
      </w:r>
    </w:p>
    <w:p w14:paraId="2A19386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2495051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И5-М22 эталон на 1933 год утвердить лишь после устранения частично на самолете, частично в чертежах дефектов обнаруженных при испытании. Устранение дефектов самолетному тресту провести не позднее 20 июля 1933 года.</w:t>
      </w:r>
    </w:p>
    <w:p w14:paraId="03F1C02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самолета И5 ЮVI</w:t>
      </w:r>
    </w:p>
    <w:p w14:paraId="6C65DF8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И-5 N2 постройки ЦКБ - мотор Гном Рон _Юпитер_ VI 480 НР N 42071</w:t>
      </w:r>
    </w:p>
    <w:p w14:paraId="1B3E0B5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Краткий журнал прохождения работ: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3BD325CE" w14:textId="77777777">
        <w:tc>
          <w:tcPr>
            <w:tcW w:w="5636" w:type="dxa"/>
          </w:tcPr>
          <w:p w14:paraId="3645469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начато</w:t>
            </w:r>
          </w:p>
        </w:tc>
        <w:tc>
          <w:tcPr>
            <w:tcW w:w="5636" w:type="dxa"/>
          </w:tcPr>
          <w:p w14:paraId="1AB20E1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июля 1931 года</w:t>
            </w:r>
          </w:p>
        </w:tc>
      </w:tr>
      <w:tr w:rsidR="00F26F01" w:rsidRPr="00C33834" w14:paraId="0AF6B327" w14:textId="77777777">
        <w:tc>
          <w:tcPr>
            <w:tcW w:w="5636" w:type="dxa"/>
          </w:tcPr>
          <w:p w14:paraId="2E5E121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закончено</w:t>
            </w:r>
          </w:p>
        </w:tc>
        <w:tc>
          <w:tcPr>
            <w:tcW w:w="5636" w:type="dxa"/>
          </w:tcPr>
          <w:p w14:paraId="69E82C4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августа 1931 года</w:t>
            </w:r>
          </w:p>
        </w:tc>
      </w:tr>
      <w:tr w:rsidR="00F26F01" w:rsidRPr="00C33834" w14:paraId="1BE542A3" w14:textId="77777777">
        <w:tc>
          <w:tcPr>
            <w:tcW w:w="5636" w:type="dxa"/>
          </w:tcPr>
          <w:p w14:paraId="3543841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Летных дней </w:t>
            </w:r>
          </w:p>
        </w:tc>
        <w:tc>
          <w:tcPr>
            <w:tcW w:w="5636" w:type="dxa"/>
          </w:tcPr>
          <w:p w14:paraId="7A2FEEB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r>
    </w:tbl>
    <w:p w14:paraId="453A399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самолет находился на испытаниях 31 день.</w:t>
      </w:r>
    </w:p>
    <w:p w14:paraId="65BF14B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6E8999C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основании произведенных испытаний НИИ считает:</w:t>
      </w:r>
    </w:p>
    <w:p w14:paraId="2FDE1C9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Что самолет И-5 ЮVI, обладая хорошими летными и эксплоатационными данными может быть признан современным истребителем.</w:t>
      </w:r>
    </w:p>
    <w:p w14:paraId="76FBEC3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устранении недочетов и при получении удовлетворительных результатов испытания вооружения и оборудования самолет И-5 может быть принят на вооружение ВВС (3915).</w:t>
      </w:r>
    </w:p>
    <w:p w14:paraId="39A2545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2389B35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июня 1933 года был утвержден Отчет по испытаниям самолета И7 N 4449 (эталон на 1933 год) с мотором М17 N 262646</w:t>
      </w:r>
    </w:p>
    <w:p w14:paraId="74B108F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46B28E3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возможности использования самолета И7 N 4449 с мотором М17 как эталона для постройки самолетов И7 М17 в 1933 году.</w:t>
      </w:r>
    </w:p>
    <w:p w14:paraId="4B07297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летных данных самолета, отличающегося от опытного самолета И7 БМВ VI постройки завода N 1 в 1931 году установкой усиленной фанерной обшивки крыльев, паука водяной системы, подвесной корзины под радиатор _..</w:t>
      </w:r>
    </w:p>
    <w:p w14:paraId="6CCE0D9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37EB905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И7 М17 N 4449 постройки завода N 1эталоном на 1933 год служить не может.</w:t>
      </w:r>
    </w:p>
    <w:p w14:paraId="630D9F5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1CA6B3D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Осипенко П.И.</w:t>
      </w:r>
    </w:p>
    <w:p w14:paraId="424EBDF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Пилот Сцельников</w:t>
      </w:r>
    </w:p>
    <w:p w14:paraId="61D970C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78DC8CF1" w14:textId="77777777">
        <w:tc>
          <w:tcPr>
            <w:tcW w:w="5636" w:type="dxa"/>
          </w:tcPr>
          <w:p w14:paraId="6DC9A01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июня 1933 года</w:t>
            </w:r>
          </w:p>
        </w:tc>
        <w:tc>
          <w:tcPr>
            <w:tcW w:w="5636" w:type="dxa"/>
          </w:tcPr>
          <w:p w14:paraId="6B10A6D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тренировочные полеты ведущего летчика</w:t>
            </w:r>
          </w:p>
        </w:tc>
      </w:tr>
      <w:tr w:rsidR="00F26F01" w:rsidRPr="00C33834" w14:paraId="38C23A19" w14:textId="77777777">
        <w:tc>
          <w:tcPr>
            <w:tcW w:w="5636" w:type="dxa"/>
          </w:tcPr>
          <w:p w14:paraId="401804D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июня 1933 года</w:t>
            </w:r>
          </w:p>
        </w:tc>
        <w:tc>
          <w:tcPr>
            <w:tcW w:w="5636" w:type="dxa"/>
          </w:tcPr>
          <w:p w14:paraId="747E9FB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полеты на управляемость и фигуры на высоте</w:t>
            </w:r>
          </w:p>
        </w:tc>
      </w:tr>
      <w:tr w:rsidR="00F26F01" w:rsidRPr="00C33834" w14:paraId="4F7241FC" w14:textId="77777777">
        <w:tc>
          <w:tcPr>
            <w:tcW w:w="5636" w:type="dxa"/>
          </w:tcPr>
          <w:p w14:paraId="0E3BAC6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22526ED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 м и определение скороподъемности с</w:t>
            </w:r>
          </w:p>
        </w:tc>
      </w:tr>
      <w:tr w:rsidR="00F26F01" w:rsidRPr="00C33834" w14:paraId="1C83BBB2" w14:textId="77777777">
        <w:tc>
          <w:tcPr>
            <w:tcW w:w="5636" w:type="dxa"/>
          </w:tcPr>
          <w:p w14:paraId="6D5A364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38E0A0C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форсированным газом. Полет на управляемость</w:t>
            </w:r>
          </w:p>
        </w:tc>
      </w:tr>
      <w:tr w:rsidR="00F26F01" w:rsidRPr="00C33834" w14:paraId="2462A702" w14:textId="77777777">
        <w:tc>
          <w:tcPr>
            <w:tcW w:w="5636" w:type="dxa"/>
          </w:tcPr>
          <w:p w14:paraId="04C45C4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7C13F31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фигуры на высоте 1000 м.</w:t>
            </w:r>
          </w:p>
        </w:tc>
      </w:tr>
      <w:tr w:rsidR="00F26F01" w:rsidRPr="00C33834" w14:paraId="5D97661C" w14:textId="77777777">
        <w:tc>
          <w:tcPr>
            <w:tcW w:w="5636" w:type="dxa"/>
          </w:tcPr>
          <w:p w14:paraId="77ADBAC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июня 1933 года</w:t>
            </w:r>
          </w:p>
        </w:tc>
        <w:tc>
          <w:tcPr>
            <w:tcW w:w="5636" w:type="dxa"/>
          </w:tcPr>
          <w:p w14:paraId="5EE3A0A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полеты на управляемость и фигуры на высоте</w:t>
            </w:r>
          </w:p>
        </w:tc>
      </w:tr>
      <w:tr w:rsidR="00F26F01" w:rsidRPr="00C33834" w14:paraId="1DE4A118" w14:textId="77777777">
        <w:tc>
          <w:tcPr>
            <w:tcW w:w="5636" w:type="dxa"/>
          </w:tcPr>
          <w:p w14:paraId="14351D8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54BAD0A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 м.</w:t>
            </w:r>
          </w:p>
        </w:tc>
      </w:tr>
      <w:tr w:rsidR="00F26F01" w:rsidRPr="00C33834" w14:paraId="4D6F8662" w14:textId="77777777">
        <w:tc>
          <w:tcPr>
            <w:tcW w:w="5636" w:type="dxa"/>
          </w:tcPr>
          <w:p w14:paraId="6704CF3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июня 1933 года</w:t>
            </w:r>
          </w:p>
        </w:tc>
        <w:tc>
          <w:tcPr>
            <w:tcW w:w="5636" w:type="dxa"/>
          </w:tcPr>
          <w:p w14:paraId="3E8D4A7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два полета на штопор.</w:t>
            </w:r>
          </w:p>
        </w:tc>
      </w:tr>
      <w:tr w:rsidR="00F26F01" w:rsidRPr="00C33834" w14:paraId="527BD8CF" w14:textId="77777777">
        <w:tc>
          <w:tcPr>
            <w:tcW w:w="5636" w:type="dxa"/>
          </w:tcPr>
          <w:p w14:paraId="4A8349C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июня 1933 года</w:t>
            </w:r>
          </w:p>
        </w:tc>
        <w:tc>
          <w:tcPr>
            <w:tcW w:w="5636" w:type="dxa"/>
          </w:tcPr>
          <w:p w14:paraId="29B2FC0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километраж. Полет на зубцы на высотах 500,</w:t>
            </w:r>
          </w:p>
        </w:tc>
      </w:tr>
      <w:tr w:rsidR="00F26F01" w:rsidRPr="00C33834" w14:paraId="5F394CB2" w14:textId="77777777">
        <w:tc>
          <w:tcPr>
            <w:tcW w:w="5636" w:type="dxa"/>
          </w:tcPr>
          <w:p w14:paraId="74395A7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5751265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 и 5000 м.</w:t>
            </w:r>
          </w:p>
        </w:tc>
      </w:tr>
      <w:tr w:rsidR="00F26F01" w:rsidRPr="00C33834" w14:paraId="4788E6F5" w14:textId="77777777">
        <w:tc>
          <w:tcPr>
            <w:tcW w:w="5636" w:type="dxa"/>
          </w:tcPr>
          <w:p w14:paraId="3440282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июня 1933 года</w:t>
            </w:r>
          </w:p>
        </w:tc>
        <w:tc>
          <w:tcPr>
            <w:tcW w:w="5636" w:type="dxa"/>
          </w:tcPr>
          <w:p w14:paraId="1C5016D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скороподъемность с форсированным</w:t>
            </w:r>
          </w:p>
        </w:tc>
      </w:tr>
      <w:tr w:rsidR="00F26F01" w:rsidRPr="00C33834" w14:paraId="40B63C6A" w14:textId="77777777">
        <w:tc>
          <w:tcPr>
            <w:tcW w:w="5636" w:type="dxa"/>
          </w:tcPr>
          <w:p w14:paraId="6A112F5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305179B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газом до 5000 м и стрельба на высоте 5000 м.</w:t>
            </w:r>
          </w:p>
        </w:tc>
      </w:tr>
      <w:tr w:rsidR="00F26F01" w:rsidRPr="00C33834" w14:paraId="288DA264" w14:textId="77777777">
        <w:tc>
          <w:tcPr>
            <w:tcW w:w="5636" w:type="dxa"/>
          </w:tcPr>
          <w:p w14:paraId="2A38826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июня 1933 года</w:t>
            </w:r>
          </w:p>
        </w:tc>
        <w:tc>
          <w:tcPr>
            <w:tcW w:w="5636" w:type="dxa"/>
          </w:tcPr>
          <w:p w14:paraId="54F07A3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воздушный бой с самолетом Р5.</w:t>
            </w:r>
          </w:p>
        </w:tc>
      </w:tr>
      <w:tr w:rsidR="00F26F01" w:rsidRPr="00C33834" w14:paraId="65C2E5CA" w14:textId="77777777">
        <w:tc>
          <w:tcPr>
            <w:tcW w:w="5636" w:type="dxa"/>
          </w:tcPr>
          <w:p w14:paraId="5C9BAD5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20 июня 1933 года</w:t>
            </w:r>
          </w:p>
        </w:tc>
        <w:tc>
          <w:tcPr>
            <w:tcW w:w="5636" w:type="dxa"/>
          </w:tcPr>
          <w:p w14:paraId="5B54F83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по маршруту на дальность и определение</w:t>
            </w:r>
          </w:p>
        </w:tc>
      </w:tr>
      <w:tr w:rsidR="00F26F01" w:rsidRPr="00C33834" w14:paraId="57E9B25E" w14:textId="77777777">
        <w:tc>
          <w:tcPr>
            <w:tcW w:w="5636" w:type="dxa"/>
          </w:tcPr>
          <w:p w14:paraId="00F65CB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65076C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расхода горючего с фотографированием.</w:t>
            </w:r>
          </w:p>
        </w:tc>
      </w:tr>
      <w:tr w:rsidR="00F26F01" w:rsidRPr="00C33834" w14:paraId="7716B8B4" w14:textId="77777777">
        <w:tc>
          <w:tcPr>
            <w:tcW w:w="5636" w:type="dxa"/>
          </w:tcPr>
          <w:p w14:paraId="3B6CB21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53F8490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Воздушный бой с самолетом И-5. Полет на</w:t>
            </w:r>
          </w:p>
        </w:tc>
      </w:tr>
      <w:tr w:rsidR="00F26F01" w:rsidRPr="00C33834" w14:paraId="12F0F583" w14:textId="77777777">
        <w:tc>
          <w:tcPr>
            <w:tcW w:w="5636" w:type="dxa"/>
          </w:tcPr>
          <w:p w14:paraId="3DB8DAC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77AF162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штопор.</w:t>
            </w:r>
          </w:p>
        </w:tc>
      </w:tr>
      <w:tr w:rsidR="00F26F01" w:rsidRPr="00C33834" w14:paraId="7BA246BB" w14:textId="77777777">
        <w:tc>
          <w:tcPr>
            <w:tcW w:w="5636" w:type="dxa"/>
          </w:tcPr>
          <w:p w14:paraId="4107707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июня 1933 года</w:t>
            </w:r>
          </w:p>
        </w:tc>
        <w:tc>
          <w:tcPr>
            <w:tcW w:w="5636" w:type="dxa"/>
          </w:tcPr>
          <w:p w14:paraId="55716E5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два полета на воздушные бои с самолетами Р-5</w:t>
            </w:r>
          </w:p>
        </w:tc>
      </w:tr>
      <w:tr w:rsidR="00F26F01" w:rsidRPr="00C33834" w14:paraId="51851DCF" w14:textId="77777777">
        <w:tc>
          <w:tcPr>
            <w:tcW w:w="5636" w:type="dxa"/>
          </w:tcPr>
          <w:p w14:paraId="1B80794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2ABA8B7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И-5 - летчики: Кокинаки, Лагутин и Гродзь.</w:t>
            </w:r>
          </w:p>
        </w:tc>
      </w:tr>
      <w:tr w:rsidR="00F26F01" w:rsidRPr="00C33834" w14:paraId="7EEB35F3" w14:textId="77777777">
        <w:tc>
          <w:tcPr>
            <w:tcW w:w="5636" w:type="dxa"/>
          </w:tcPr>
          <w:p w14:paraId="7AD5764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A2740B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Три полета по облету со стрельбой по земным целям:</w:t>
            </w:r>
          </w:p>
        </w:tc>
      </w:tr>
      <w:tr w:rsidR="00F26F01" w:rsidRPr="00C33834" w14:paraId="4A0C063A" w14:textId="77777777">
        <w:tc>
          <w:tcPr>
            <w:tcW w:w="5636" w:type="dxa"/>
          </w:tcPr>
          <w:p w14:paraId="20819A5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270A1D1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летчики Залевский, Лагутин, Кокинаки.</w:t>
            </w:r>
          </w:p>
        </w:tc>
      </w:tr>
      <w:tr w:rsidR="00F26F01" w:rsidRPr="00C33834" w14:paraId="41B7DF0A" w14:textId="77777777">
        <w:tc>
          <w:tcPr>
            <w:tcW w:w="5636" w:type="dxa"/>
          </w:tcPr>
          <w:p w14:paraId="4A57C25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июня 1933 года</w:t>
            </w:r>
          </w:p>
        </w:tc>
        <w:tc>
          <w:tcPr>
            <w:tcW w:w="5636" w:type="dxa"/>
          </w:tcPr>
          <w:p w14:paraId="23C7C40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с нормальным газом.</w:t>
            </w:r>
          </w:p>
        </w:tc>
      </w:tr>
    </w:tbl>
    <w:p w14:paraId="45F459B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проведено за 11 летных дней.</w:t>
      </w:r>
    </w:p>
    <w:p w14:paraId="4A22046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Налетано 29 час. 53 мин.</w:t>
      </w:r>
    </w:p>
    <w:p w14:paraId="16102EE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Сделано посадок - 27 (3917).</w:t>
      </w:r>
    </w:p>
    <w:p w14:paraId="05E4FA7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3C695BD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июня 1933 К-7 вывели на аэродром, где доводили (92,437).</w:t>
      </w:r>
    </w:p>
    <w:p w14:paraId="30F4C17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в тот же день в июле</w:t>
      </w:r>
    </w:p>
    <w:p w14:paraId="38AF9A5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43C11C2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июня 1933 состоялось совещание, согласно которому завод № 22 подготавливал чертежи АНТ-14 под 4 М-34 (8863,7)</w:t>
      </w:r>
    </w:p>
    <w:p w14:paraId="6262CE00" w14:textId="77777777" w:rsidR="00664564" w:rsidRPr="00C33834" w:rsidRDefault="0066456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385C62C"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29 июня 1933 начались испытания системы дозаправка в воздухе системы Гроховского, которые шли до 8 июля 1933. Было выполнено 8 полетов</w:t>
      </w:r>
    </w:p>
    <w:p w14:paraId="3E10363D"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Работы начались в 1931 г. в конструкторском отделе П.И. Гроховского при НИИ ВВС под руководством Запанованного. В качестве заправщика был выбран одномоторный разведчик-биплан Р-5. Под самолётом установили съёмный топливный бак из листовой стали ёмкостью 550 литров, соединённый с основным фюзеляжным баком. За кабиной лётчика-наблюдателя разместили лебёдку с барабаном, на которую наматывался резиновый шланг длиной 34,5 м и внутренним диаметром 25 мм. Один конец шланга крепился к управляемому с места пилота вентилю на подфюзеляжном баке, на другом конце находился клапан, открывавшийся при вводе металлического наконечника шланга в заправочную горловину бомбардировщика и зарывавшийся, когда шланг извлекали наружу. К шлангу присоединили груз, чтобы он меньше болтался на ветру. Были предусмотрены также страховочные тросы для предохранения от потери шланга и провод с вилками для уравновешивания электрических потенциалов самолётов. Общий вес топливного оборудования составил 120 кг.</w:t>
      </w:r>
    </w:p>
    <w:p w14:paraId="0EFD9B1A"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На ТБ-1 перед кабиной носового стрелка сконструировали приемную горловину, от которой изогнутые трубопроводы вели к бензобакам в левом и правом крыле. Эту достаточно сложную перекомпоновку поручили авиазаводу № 39. Завершающие работы выполнялись в Особом техническом бюро ВВС, созданном на основе конструкторского отдела Гроховского.</w:t>
      </w:r>
    </w:p>
    <w:p w14:paraId="3233FF3A"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Наземные испытания выявили течь баков и топливных магистралей, работы затянулись, и к лётным экспериментам приступили только в 1933 г.</w:t>
      </w:r>
    </w:p>
    <w:p w14:paraId="0FD31230"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Летом 1933 г. в НИИ ВВС прошли государственные испытания. Сначала экипаж бомбардировщика тренировался ловить спускаемую с заправщика верёвку с грузом на конце, затем — шланг, потом учились выполнять дозаправку. ТБ-1 приближался к Р-5 на скорости 130–140 км/ч так, чтобы висящий в воздухе шланг располагался по оси самолёта на полтора-два метра выше пропеллеров. Затем пилот бомбардировщика набирал высоту, чтобы из открытой кабины переднего летнаба можно было схватить шланг. Одному человеку осуществить дозаправку было сложно, поэтому в переднюю кабину перебирался ещё один член экипажа. Он помогал удерживать шланг, пока летнаб заводил его в заправочную горловину, предварительно вставив вилку электропровода для уравнивания потенциалов. Получив сигнал, что заправка закончена и убедившись, что шланг освобождён, второй член экипажа Р-5 начинал наматывать шланг на барабан.</w:t>
      </w:r>
    </w:p>
    <w:p w14:paraId="2F6D852B"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Клапан на конце шланга, предназначенный для прекращения подачи бензина после извлечения из горловины, работал ненадёжно и пару раз забрызгивал заправщиков и нос бомбардировщика топливом. Но в целом результатами экспериментов военные остались довольны:</w:t>
      </w:r>
    </w:p>
    <w:p w14:paraId="179A9246"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«Испытания выявили:</w:t>
      </w:r>
    </w:p>
    <w:p w14:paraId="1FEA3E21"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а). сравнительную лёгкость переливки горючего в воздухе из самолёта Р5 в самолёт ТБ1 при натренированности лётного состава…</w:t>
      </w:r>
    </w:p>
    <w:p w14:paraId="785E4264"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б). для переливки не имеет значения:</w:t>
      </w:r>
    </w:p>
    <w:p w14:paraId="5325DE54"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 Направление ветра…</w:t>
      </w:r>
    </w:p>
    <w:p w14:paraId="6ECF1AD9"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2. Высота полёта, лишь бы слои атмосферы, в которых идут самолёты, не были сильно возмущены (отсутствие болтанки, затрудняющей выдерживание самолёта в равномерном прямолинейном полёте).</w:t>
      </w:r>
    </w:p>
    <w:p w14:paraId="1A45EAF9"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переливку можно производить даже при небольшом дожде;</w:t>
      </w:r>
    </w:p>
    <w:p w14:paraId="07541AEB"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г). во время переливки, не отрываясь один от другого, самолёты могут совершать повороты на 5-10 градусов с небольшим креном» </w:t>
      </w:r>
      <w:hyperlink r:id="rId225" w:history="1">
        <w:r w:rsidRPr="00C33834">
          <w:rPr>
            <w:rFonts w:ascii="Times New Roman" w:eastAsia="Times New Roman" w:hAnsi="Times New Roman"/>
            <w:color w:val="000000" w:themeColor="text1"/>
            <w:sz w:val="16"/>
            <w:szCs w:val="16"/>
            <w:lang w:eastAsia="ru-RU"/>
          </w:rPr>
          <w:t>[56]</w:t>
        </w:r>
      </w:hyperlink>
      <w:r w:rsidRPr="00C33834">
        <w:rPr>
          <w:rFonts w:ascii="Times New Roman" w:eastAsia="Times New Roman" w:hAnsi="Times New Roman"/>
          <w:color w:val="000000" w:themeColor="text1"/>
          <w:sz w:val="16"/>
          <w:szCs w:val="16"/>
          <w:lang w:eastAsia="ru-RU"/>
        </w:rPr>
        <w:t xml:space="preserve"> (17489).</w:t>
      </w:r>
    </w:p>
    <w:p w14:paraId="40994F49"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p>
    <w:p w14:paraId="548379E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июня 1933 С.П.К. получил из ВВА им. Н.Е. Жуковского отчет "Обеспечение дыхательных функций экипажа на стратосамолете", в подготовке которого принимала участие его жена К.М. Винцентини (Там же, № 167, л. 2) (10676).</w:t>
      </w:r>
    </w:p>
    <w:p w14:paraId="52E8CA0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479BDF23" w14:textId="77777777" w:rsidR="001C32AD" w:rsidRPr="00C33834" w:rsidRDefault="001C32AD"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41CC2512" w14:textId="77777777" w:rsidR="001C32AD" w:rsidRPr="00C33834" w:rsidRDefault="001C32AD"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FB6F7D5" w14:textId="77777777" w:rsidR="001C32AD" w:rsidRPr="00C33834" w:rsidRDefault="001C32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29 июня</w:t>
      </w:r>
      <w:r w:rsidRPr="00C33834">
        <w:rPr>
          <w:rFonts w:ascii="Times New Roman" w:hAnsi="Times New Roman"/>
          <w:color w:val="000000" w:themeColor="text1"/>
          <w:sz w:val="16"/>
          <w:szCs w:val="16"/>
        </w:rPr>
        <w:t xml:space="preserve"> в 1933 году создается Генеральная прокуратура СССР. Органы прокуратуры долго и настойчиво выдвигали идею о централизации органов прокуратуры и преобразовании их в самостоятельный государственный орган общегосударственного масштаба. Это давало бы органам прокуратуры большие возможности для установления и устранения нарушений законов, в особенности в сфере уголовного и гражданского судопроизводства. Решению этой проблемы и посвящено постановление ЦИК и СНК СССР от 29 июня 1933 г. "Об учреждении Прокуратуры Союза ССР'" (14937).</w:t>
      </w:r>
    </w:p>
    <w:p w14:paraId="394E8D7B" w14:textId="77777777" w:rsidR="001C32AD" w:rsidRPr="00C33834" w:rsidRDefault="001C32AD" w:rsidP="00C33834">
      <w:pPr>
        <w:spacing w:after="0" w:line="240" w:lineRule="auto"/>
        <w:jc w:val="both"/>
        <w:rPr>
          <w:rFonts w:ascii="Times New Roman" w:hAnsi="Times New Roman"/>
          <w:color w:val="000000" w:themeColor="text1"/>
          <w:sz w:val="16"/>
          <w:szCs w:val="16"/>
        </w:rPr>
      </w:pPr>
    </w:p>
    <w:p w14:paraId="15967F21" w14:textId="77777777" w:rsidR="0066456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997C77D" w14:textId="77777777" w:rsidR="00664564" w:rsidRPr="00C33834" w:rsidRDefault="0066456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ECCF09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июня 1933, когда 4.5-метровую модель Pilot-Rakete» («Пилот-Ракете») удалось запустить, один из роликов сошел с направляющего рельса и застрял. Он, разумеется, был сорван, но из-за этого ракета взлетела почти горизонтально. Быстро теряя высоту, она упала плашмя на землю в 300 м от пусковой установки.</w:t>
      </w:r>
    </w:p>
    <w:p w14:paraId="77366CB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Конец «Ракетенфлюгплатц» был печальным. Однажды на территорию, принадлежащую «Обществу межпланетных сообщений» нагрянула большая группа молодых людей в серо-голубой форме, назвавших себя представителями «Дойче люфтвахт», которые заявили, что это место передано им в качестве учебного плаца (11688).</w:t>
      </w:r>
    </w:p>
    <w:p w14:paraId="7DF60B4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631BE920" w14:textId="77777777" w:rsidR="001C32AD" w:rsidRPr="00C33834" w:rsidRDefault="001C32AD"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0CB6956" w14:textId="77777777" w:rsidR="001C32AD" w:rsidRPr="00C33834" w:rsidRDefault="001C32AD"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694D39E" w14:textId="77777777" w:rsidR="001C32AD" w:rsidRPr="00C33834" w:rsidRDefault="001C32A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июня 1933 г. начальник школы Гехер, сменивший Раббе, был вызван в германское посольство в Москве, где получил инструкцию, что курсы ТЕКО (так к этому времени стали называть «Каму») ликвидируются в течение трех месяцев (18264).</w:t>
      </w:r>
    </w:p>
    <w:p w14:paraId="26874A43" w14:textId="77777777" w:rsidR="001C32AD" w:rsidRPr="00C33834" w:rsidRDefault="001C32AD" w:rsidP="00C33834">
      <w:pPr>
        <w:spacing w:after="0" w:line="240" w:lineRule="auto"/>
        <w:jc w:val="both"/>
        <w:rPr>
          <w:rFonts w:ascii="Times New Roman" w:hAnsi="Times New Roman"/>
          <w:color w:val="000000" w:themeColor="text1"/>
          <w:sz w:val="16"/>
          <w:szCs w:val="16"/>
        </w:rPr>
      </w:pPr>
    </w:p>
    <w:p w14:paraId="2F38BB77" w14:textId="77777777" w:rsidR="0066456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2E7C96E1" w14:textId="77777777" w:rsidR="00664564" w:rsidRPr="00C33834" w:rsidRDefault="0066456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CB4F69F" w14:textId="77777777" w:rsidR="001C32AD" w:rsidRPr="00C33834" w:rsidRDefault="001C32AD"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июня 1933 была учреждена Прокуратура СССР, до этого входившая в состав Верховного Суда СССР. Прокурором назначили И.А.Акулова (3908,340).</w:t>
      </w:r>
    </w:p>
    <w:p w14:paraId="45663D81" w14:textId="77777777" w:rsidR="001C32AD" w:rsidRPr="00C33834" w:rsidRDefault="001C32AD" w:rsidP="00C33834">
      <w:pPr>
        <w:autoSpaceDE w:val="0"/>
        <w:autoSpaceDN w:val="0"/>
        <w:adjustRightInd w:val="0"/>
        <w:spacing w:after="0" w:line="240" w:lineRule="auto"/>
        <w:jc w:val="both"/>
        <w:rPr>
          <w:rFonts w:ascii="Times New Roman" w:hAnsi="Times New Roman"/>
          <w:color w:val="000000" w:themeColor="text1"/>
          <w:sz w:val="16"/>
          <w:szCs w:val="16"/>
        </w:rPr>
      </w:pPr>
    </w:p>
    <w:p w14:paraId="7E524E8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30 июня и 6 июля 1933. Из протокола заседания Политбюро N 140, 1933 г.</w:t>
      </w:r>
    </w:p>
    <w:p w14:paraId="369CB5D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Вешенском районе </w:t>
      </w:r>
    </w:p>
    <w:p w14:paraId="34F8D68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Заслушав сообщение т. Шкирятова о перегибах в Вешенском районе в связи с хлебозаготовками* и опросив тт. Зимина (второй секретарь крайкома), Овчинникова (уполномоченный крайкома в Вешенском районе), Плоткина (районный работник), Пашинского (районный работник) и Шолохова (свидетель), ЦК ВКП(б) находит, что главная ответственность за массовое изгнание колхозников из домов и запрещение другим колхозникам приютить на ночь изгнанных на улицу колхозников падает на крайком, который не принял своевременных мер для прекращения, не говоря уж о предупреждении, этих перегибов, и прежде всего на второго секретаря крайкома т. Зимина, который, приехав в Вешенский район и ознакомившись с творившимися там безобразиями, не только не обуздал т. Овчинникова — инициатора перегибов, а, наоборот, стал их накручивать и подстегивать в духе дальнейшего проведения перегибов. ЦК считает, что совершенно правильная и абсолютно необходимая политика нажима на саботирующих хлебозаготовки колхозников была искривлена и скомпрометирована в Вешенском районе благодаря отсутствию достаточного контроля со стороны крайкома. </w:t>
      </w:r>
    </w:p>
    <w:p w14:paraId="494B596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ЦК ВКП(б) постановляет: </w:t>
      </w:r>
    </w:p>
    <w:p w14:paraId="6AB0B1A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xml:space="preserve">1. Указать крайкому на недостаточный контроль над действиями своих представителей и уполномоченных. </w:t>
      </w:r>
    </w:p>
    <w:p w14:paraId="179B741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Снять т. Зимина с поста второго секретаря крайкома и направить его в распоряжение ЦК ВКП(б). </w:t>
      </w:r>
    </w:p>
    <w:p w14:paraId="41C045F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 Объявить строгий выговор с предупреждением т. Овчинникову, снять его с поста секретаря Ростовского горкома и воспретить ему на год работу в деревне. </w:t>
      </w:r>
    </w:p>
    <w:p w14:paraId="0849828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4. Объявить строгий выговор с предупреждением тт. Плоткину и Пашинскому и воспретить им работу в Вешенском районе. </w:t>
      </w:r>
    </w:p>
    <w:p w14:paraId="0722494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Все другие меры наказания, вынесенные партийными и советскими органами в отношении тт. Плоткина и Пашинского, считать аннулированными (11652).</w:t>
      </w:r>
    </w:p>
    <w:p w14:paraId="4962959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*Весной 1933 года Михаил Шолохов писал Сталину: "В Архиповском колхозе двух колхозниц, Фомину и Краснову, после ночного допроса вывезли за три километра в степь, раздели на снегу догола и пустили, приказав бежать к хутору рысью" (11652).</w:t>
      </w:r>
    </w:p>
    <w:p w14:paraId="6610B4E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29F95BA9" w14:textId="77777777" w:rsidR="0066456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5E3E3663" w14:textId="77777777" w:rsidR="00664564" w:rsidRPr="00C33834" w:rsidRDefault="0066456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3B9658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30 июня и 6 июля 1933. Из протокола заседания Политбюро N 140, 1933 г.</w:t>
      </w:r>
    </w:p>
    <w:p w14:paraId="4A79E08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просьбе семей эмигрантов о продлении им советских паспортов </w:t>
      </w:r>
    </w:p>
    <w:p w14:paraId="40A6D8F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Предложить НКИД дать распоряжение советским консульствам за границей не выдавать больше советских паспортов семьям лишенных советского гражданства эмигрантов (11652).</w:t>
      </w:r>
    </w:p>
    <w:p w14:paraId="5BDE00E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6ED565D9" w14:textId="77777777" w:rsidR="0066456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BB11E10" w14:textId="77777777" w:rsidR="00664564" w:rsidRPr="00C33834" w:rsidRDefault="0066456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4DAF267"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30 июня</w:t>
      </w:r>
      <w:r w:rsidRPr="00C33834">
        <w:rPr>
          <w:rFonts w:ascii="Times New Roman" w:hAnsi="Times New Roman"/>
          <w:color w:val="000000" w:themeColor="text1"/>
          <w:sz w:val="16"/>
          <w:szCs w:val="16"/>
        </w:rPr>
        <w:t xml:space="preserve"> в 1933 году разбился первый опытный образец самолета «Blackburn» «B-3» (S1640) (14938).</w:t>
      </w:r>
    </w:p>
    <w:p w14:paraId="7E9221CC" w14:textId="77777777" w:rsidR="003417C8" w:rsidRPr="00C33834" w:rsidRDefault="003417C8" w:rsidP="00C33834">
      <w:pPr>
        <w:spacing w:after="0" w:line="240" w:lineRule="auto"/>
        <w:jc w:val="both"/>
        <w:rPr>
          <w:rFonts w:ascii="Times New Roman" w:hAnsi="Times New Roman"/>
          <w:color w:val="000000" w:themeColor="text1"/>
          <w:sz w:val="16"/>
          <w:szCs w:val="16"/>
        </w:rPr>
      </w:pPr>
    </w:p>
    <w:p w14:paraId="47277AC8"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июня 1933 немецким евреям запрещено заниматься творческой работой (4962).</w:t>
      </w:r>
    </w:p>
    <w:p w14:paraId="509E253E"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07AC84" w14:textId="77777777" w:rsidR="0066456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67721A7E" w14:textId="77777777" w:rsidR="00664564" w:rsidRPr="00C33834" w:rsidRDefault="0066456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F6F4C1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июня 1933 были готовы в карандаше чертежи установки на БТ-5 двигателя М-17, отслужившего в авиации (100 часов), хотя срок был 10 апреля 1933 (3880,17).</w:t>
      </w:r>
    </w:p>
    <w:p w14:paraId="0BC79D1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03E19FA6" w14:textId="77777777" w:rsidR="00664564" w:rsidRPr="00C33834" w:rsidRDefault="0066456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июня 1933 сделали второй опытный мотоцикл ИЖ-7, внешне отличавшийся от Л-300 отсутствием щитков и формой ру</w:t>
      </w:r>
      <w:r w:rsidRPr="00C33834">
        <w:rPr>
          <w:rFonts w:ascii="Times New Roman" w:hAnsi="Times New Roman"/>
          <w:color w:val="000000" w:themeColor="text1"/>
          <w:sz w:val="16"/>
          <w:szCs w:val="16"/>
        </w:rPr>
        <w:softHyphen/>
        <w:t>ля. Изготовление НАТИ-Б-375 и НАТИ-В-375 заказом не преду</w:t>
      </w:r>
      <w:r w:rsidRPr="00C33834">
        <w:rPr>
          <w:rFonts w:ascii="Times New Roman" w:hAnsi="Times New Roman"/>
          <w:color w:val="000000" w:themeColor="text1"/>
          <w:sz w:val="16"/>
          <w:szCs w:val="16"/>
        </w:rPr>
        <w:softHyphen/>
        <w:t>сматривалось. В июне-июле 1933 г. проходила доводка собран</w:t>
      </w:r>
      <w:r w:rsidRPr="00C33834">
        <w:rPr>
          <w:rFonts w:ascii="Times New Roman" w:hAnsi="Times New Roman"/>
          <w:color w:val="000000" w:themeColor="text1"/>
          <w:sz w:val="16"/>
          <w:szCs w:val="16"/>
        </w:rPr>
        <w:softHyphen/>
        <w:t>ных машин в движении по окрестностям Ижевска с устранениями отказов и доработками на территории ИжМЗе [4.67] (11429).</w:t>
      </w:r>
    </w:p>
    <w:p w14:paraId="01B64A32" w14:textId="77777777" w:rsidR="00664564" w:rsidRPr="00C33834" w:rsidRDefault="0066456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491E0E" w14:textId="77777777" w:rsidR="0066456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512DA47" w14:textId="77777777" w:rsidR="00664564" w:rsidRPr="00C33834" w:rsidRDefault="0066456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F4CA273"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года вышел Отчет об испытании двух облегченных самолетов ТБ3-4М17 за №№ 22243 и 22250 на определение расхода горючего и предельной дальности (6785).</w:t>
      </w:r>
    </w:p>
    <w:p w14:paraId="0A00C24A"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5A2A4050"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Лосюков</w:t>
      </w:r>
    </w:p>
    <w:p w14:paraId="21F21614"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Юмашев</w:t>
      </w:r>
    </w:p>
    <w:p w14:paraId="5F45CF03"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14238673"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задания Правительства об увеличении радиуса действия и бомбовой нагрузки самолета ТБ3:</w:t>
      </w:r>
    </w:p>
    <w:p w14:paraId="31E9B3E2" w14:textId="77777777" w:rsidR="00664564" w:rsidRPr="00C33834" w:rsidRDefault="00664564"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максимальной дальности самолета при разном горючем (бензольная и этиловая смеси).</w:t>
      </w:r>
    </w:p>
    <w:p w14:paraId="6DA6B13A" w14:textId="77777777" w:rsidR="00664564" w:rsidRPr="00C33834" w:rsidRDefault="00664564"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наивыгоднейшего положения высотного корректора на разных высотах.</w:t>
      </w:r>
    </w:p>
    <w:p w14:paraId="2EE9ECE4" w14:textId="77777777" w:rsidR="00664564" w:rsidRPr="00C33834" w:rsidRDefault="00664564"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расходов указанных видов горючего при полетах на предельной дальности.</w:t>
      </w:r>
    </w:p>
    <w:p w14:paraId="5F31B32E" w14:textId="77777777" w:rsidR="00664564" w:rsidRPr="00C33834" w:rsidRDefault="00664564"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максимального полетного веса самолета и особенностей взлета и пилотажа при этом весе.</w:t>
      </w:r>
    </w:p>
    <w:p w14:paraId="10B3C913"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5C359DD1" w14:textId="77777777" w:rsidR="00664564" w:rsidRPr="00C33834" w:rsidRDefault="00664564"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основании произведенных испытаний, НИИ ВВС и ЦАГИ считают возможным допустить для дальних перелетов полетный вес самолета ТБ3-4М17 19,5 тонн и регулировку моторов, имевшую место при испытаниях.</w:t>
      </w:r>
    </w:p>
    <w:p w14:paraId="0FF43272"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исполнение постановления СТО от 31 мая 1933 года 9-й сектор НИИ ВВС наметил и провел ряд работ, имевших целью повышение дальности (или бомбовой нагрузки) самолета ТБ3 (6785).</w:t>
      </w:r>
    </w:p>
    <w:p w14:paraId="263FF8E3"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3BDC2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НИИ ВВС испытывал "задраенный" ТБ-3 (АНТ-6), который был сделан из серийного ТБ-3 (АНТ-6) 4М-17 с номером 22211 после того, как сняли подкрыльные стрелковые башни, наружные бомбодержатели, турели и пулеметы, а оставшиеся отверстия - тщательно заделали. Получили прирост скорости на 19 км/ч и потолок вырос на 250-300 м. НИИ ВВС рекомендовал ставить только экранированное оружие (346,29). В это время ставили и дизели АН-1 (156,21).</w:t>
      </w:r>
    </w:p>
    <w:p w14:paraId="3679AD2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74F42A5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была закончена постройка опытного АНТ-25 (1102).</w:t>
      </w:r>
    </w:p>
    <w:p w14:paraId="5609843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4622947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г. два самолета, М.М.Громова и А.Б.Юмашева, за счет применения обедненной смеси и этилированного бензина показали дальность 3150 км. Все члены экипажей получили благодарность Реввоенсовета и по месячному окладу. Необходимостъ увеличения этого параметра особенно ощущалась в Забайкалье и на Дальнем Востоке, где потенциальные цели далеко отстояли от советской границы. В частях практиковали облегчение бомбардировщиков за счет снятия подкрыльевых башен, балок Дёр-15 и Дёр-16, а иногда и кассет Дер-9, что экономило до 400 кг. Но увеличение дальности за счет ослабления вооружения сокращало боевые возможности самолета. Поэтому пошли по пути увеличения разрешенного взлетного веса. Последний сначала довели до 19.300 кг, а затем до 19.500 кг. Правда, взлет получался затянутым, разбег занимал 680 м - для аэродромов того времени это было довольно много. После этого лимиты по взлетному весу для строевых частей пересмотрели. Для ранних серий (до №22200) его официально установили равным 19,5 т, для более поздних - 20 т. На бомбардировщиках выпуска 1933 г. добились достаточно высокой надежности как планера, так и мотоустановки. При этом от серии к серии вес пустого самолета неуклонно снижался. Если для первых машин он был около 12.000 кг, то к машине №22301 дошли до уровня 11.350 кг. В годовом отчете НИИ ВВС удовлетворенно записано: "Самолет ТБЗ-4М17 был доведен по своим данным полностью удовлетворяющим поставленной задаче» (7668).</w:t>
      </w:r>
    </w:p>
    <w:p w14:paraId="37A75D1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2AAA5754"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года начальник ВВС Алкснис писал председателю РВС.</w:t>
      </w:r>
    </w:p>
    <w:p w14:paraId="63E4F88C"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результатах гос. испытаний пассажирского самолета ХАИ1-М22.</w:t>
      </w:r>
    </w:p>
    <w:p w14:paraId="621FF431"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 пассажирского самолета ХАИ1-М22 показали. Что самолет с полной нагрузкой 875 кг обладает несмотря на не высотный мотор М22, очень высокими летными данными, превосходящими данные не только эксплоатируемых в СССР пассажирских самолетов, но, при скоростном полете, даже данные состоящих на вооружении ВВС истребителей.</w:t>
      </w:r>
    </w:p>
    <w:p w14:paraId="7EE7D3C3"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 горизонтальная скорость самолета ХАИ1-М22 с убранным шасси у земли равна 292 км, на 3000 м – 272 км/час., на 5000 м – 249 км/час.</w:t>
      </w:r>
    </w:p>
    <w:p w14:paraId="1EB3E97C"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Практический потолок самолета равен 7200 м, время подъема на 5000 м – 23 мин. Дальность полета нормальная 820 км, при перегрузке – 1410 км.</w:t>
      </w:r>
    </w:p>
    <w:p w14:paraId="77110772"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Благодаря высоким летным данным и тому, что ХАИ1-М22 целиком построен из дерева, военное применение самолета является особо важным.</w:t>
      </w:r>
    </w:p>
    <w:p w14:paraId="6357929A"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Наиболее целесообразным является использовать самолет ХАИ1-М22 в качестве легкого бомбардировщика, несущего 200-400 кг бомб и вооруженного двумя пулеметами ШКАСС, одним через винт, другим на шкворневой установке для обстрела верхней полусферы.</w:t>
      </w:r>
    </w:p>
    <w:p w14:paraId="31A01741"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помещении бомб внутри кабин с вертикальной подвеской и правильной установке вооружения скорости военного варианта самолета ХАИ1 по сравнению с пассажирским вариантом не должны понизится более чем на 10-15 км/час.</w:t>
      </w:r>
    </w:p>
    <w:p w14:paraId="65A8F55F"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этом ХАИ1-М22 не только будет превосходить по своим данным самолет Р5-М17, но не значительно уступит строющемуся опытному легкому разведчику под мотор М34 (до выпуска М34 с нагнетателем).</w:t>
      </w:r>
    </w:p>
    <w:p w14:paraId="1DDA38C5"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C0AFB0"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ГУАПом предложено осуществить серийную постройку самолета ХАИ1-М22 в 1934 году на заводе № 21.</w:t>
      </w:r>
    </w:p>
    <w:p w14:paraId="1620CFC7"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…………………………(6784, 17-18).</w:t>
      </w:r>
    </w:p>
    <w:p w14:paraId="03CFBACC"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3DCBB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ХАИ-1 прошел весь комплекс гос. испытаний и был рекомендован ГУ ГВФ как основной тип, которые велись с марта 1933. Серию поручили 21 заводу. Где-то в 1934 испытывали серийный (143,23). Гос. испытания ХАИ-1 серийного сначала в Горьком, затем - в Киеве (80,379).</w:t>
      </w:r>
    </w:p>
    <w:p w14:paraId="04BE3B9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110134E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в план включили СР-1 Немана по типу ХАИ-1 (2310,143).</w:t>
      </w:r>
    </w:p>
    <w:p w14:paraId="7658217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2E09BDD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июня 1933 разработка ЦКБ-12 (будущего И-16) шла полным ходом (1808,4).</w:t>
      </w:r>
    </w:p>
    <w:p w14:paraId="46C567B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1E293D5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г. завершилась разработка эскизного проекта самолета, получившего «фирменное» обозначе</w:t>
      </w:r>
      <w:r w:rsidRPr="00C33834">
        <w:rPr>
          <w:rFonts w:ascii="Times New Roman" w:hAnsi="Times New Roman"/>
          <w:color w:val="000000" w:themeColor="text1"/>
          <w:sz w:val="16"/>
          <w:szCs w:val="16"/>
        </w:rPr>
        <w:softHyphen/>
        <w:t>ние ЦКБ-12. В его конструкции предполагалось исполь</w:t>
      </w:r>
      <w:r w:rsidRPr="00C33834">
        <w:rPr>
          <w:rFonts w:ascii="Times New Roman" w:hAnsi="Times New Roman"/>
          <w:color w:val="000000" w:themeColor="text1"/>
          <w:sz w:val="16"/>
          <w:szCs w:val="16"/>
        </w:rPr>
        <w:softHyphen/>
        <w:t>зовать двигатели Райт «Циклон» SGR-1820 Р-3 или Р-5. Тип капота еще не был окончательно определен. Рассма</w:t>
      </w:r>
      <w:r w:rsidRPr="00C33834">
        <w:rPr>
          <w:rFonts w:ascii="Times New Roman" w:hAnsi="Times New Roman"/>
          <w:color w:val="000000" w:themeColor="text1"/>
          <w:sz w:val="16"/>
          <w:szCs w:val="16"/>
        </w:rPr>
        <w:softHyphen/>
        <w:t>тривалось кольцо Тауненда, с которым максимальная скорость полета достигала значения 395 км/ч на высоте 3000 м, а также капот ЫАСА - с ним расчетная макси</w:t>
      </w:r>
      <w:r w:rsidRPr="00C33834">
        <w:rPr>
          <w:rFonts w:ascii="Times New Roman" w:hAnsi="Times New Roman"/>
          <w:color w:val="000000" w:themeColor="text1"/>
          <w:sz w:val="16"/>
          <w:szCs w:val="16"/>
        </w:rPr>
        <w:softHyphen/>
        <w:t>мальная скорость на той же высоте составляла 415 км/ч (10667).</w:t>
      </w:r>
    </w:p>
    <w:p w14:paraId="2F23D6C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0CF265E9" w14:textId="77777777" w:rsidR="00664564" w:rsidRPr="00C33834" w:rsidRDefault="0066456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г. Н.Н.П.</w:t>
      </w:r>
      <w:r w:rsidRPr="00C33834">
        <w:rPr>
          <w:rFonts w:ascii="Times New Roman" w:hAnsi="Times New Roman"/>
          <w:color w:val="000000" w:themeColor="text1"/>
          <w:sz w:val="16"/>
          <w:szCs w:val="16"/>
        </w:rPr>
        <w:softHyphen/>
        <w:t>правили варианты проектов ЦКБ-12 в НИИ ВВС. Там их устно одобрили, однако с письменным заключением не торопились (10667).</w:t>
      </w:r>
    </w:p>
    <w:p w14:paraId="4A3C4D2C" w14:textId="77777777" w:rsidR="00664564" w:rsidRPr="00C33834" w:rsidRDefault="0066456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696D4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нюня 1933 г. разработка ЦКБ-12 ведется полным ходом. Военные внимательно следят за созданием самолета - осмотр деревянного макета ЦКБ-12 в ноябре окончательно убеждает их в правильности выбора (12015).</w:t>
      </w:r>
    </w:p>
    <w:p w14:paraId="1592CE0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3BF7D9E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первый опытный АНТ-31 (И-14) официально передали в ОЭЛИД и там он до 17 июля совершил несколько полетов, в т.ч. один с уборкой шасси (4020,11).</w:t>
      </w:r>
    </w:p>
    <w:p w14:paraId="2E70806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2CFB2D2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состоялись испытания И-7 серийного эталона (80,117).</w:t>
      </w:r>
    </w:p>
    <w:p w14:paraId="3AFF6E4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7435ABF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П.М.Стефановский облетывал И-7 с М-17 (2921,156).</w:t>
      </w:r>
    </w:p>
    <w:p w14:paraId="4A12582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3CCD9A87" w14:textId="77777777" w:rsidR="00183C6C" w:rsidRPr="00C33834" w:rsidRDefault="00183C6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года на заводе № 21 был построен эталон истребителя, получивший наименование И-5бис. Эталон создавался с целью улучшение летных характеристик истребителя, и в первую очередь, скорости полета. На новом образце появились каплевидные обтекатели на колесах, новый воздушный винт из алюминиевого сплава с возможностью установки требуемого шага, что позволило увеличить скорость до 286 км/ч. Произвели также модернизацию вооружения. Пулеметов стало четыре: одновременно был увеличен боезапас патронов. Пулеметы работали от электроспуска, позволявшим вести огонь как одним стволом, так и всеми четырьмя одновременно. Вместо упрощенного коллиматорного прицела КПТ-5 (кольцо и мушка), установили стандартный оптический прицел «Альдис». Но главное – было найдено оригинальное техническое решение, позволяющее быстро выводить истребитель из штопора. На передние стойки коробки крыльев эталона установили поворачивающие обтекатели, выполняющие функции дополнительных рулевых поверхностей. При попадании в штопор пилот должен был повернуть обтекатель на внешней по отношению к описываемой спирали стойке, увеличивая тем самым момент, прекращающий вращение истребителя. Впервые это устройство испытали на доработанном И-5 из установочной серии завода № 39 в мае 1933 года. Действовало оно очень эффективно – после поворота обтекателей, штопор практически сразу прекращался. Несмотря на то, что И-5бис Государственной комиссией принят не был, почти все его отличительные признаки появились на серийных истребителях И-5 выпуска 1933-34 гг. До 1934 года заводами № 1 и № 21 было построено 803 самолета (18293).</w:t>
      </w:r>
    </w:p>
    <w:p w14:paraId="36AE0143" w14:textId="77777777" w:rsidR="00183C6C" w:rsidRPr="00C33834" w:rsidRDefault="00183C6C" w:rsidP="00C33834">
      <w:pPr>
        <w:spacing w:after="0" w:line="240" w:lineRule="auto"/>
        <w:jc w:val="both"/>
        <w:rPr>
          <w:rFonts w:ascii="Times New Roman" w:hAnsi="Times New Roman"/>
          <w:color w:val="000000" w:themeColor="text1"/>
          <w:sz w:val="16"/>
          <w:szCs w:val="16"/>
        </w:rPr>
      </w:pPr>
    </w:p>
    <w:p w14:paraId="4C734779"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года лет</w:t>
      </w:r>
      <w:r w:rsidRPr="00C33834">
        <w:rPr>
          <w:rFonts w:ascii="Times New Roman" w:hAnsi="Times New Roman"/>
          <w:color w:val="000000" w:themeColor="text1"/>
          <w:sz w:val="16"/>
          <w:szCs w:val="16"/>
        </w:rPr>
        <w:softHyphen/>
        <w:t>ные испытания № 21117, которые провели И.Ф. Петров и А.И. Филин показали, что самолет еше более потяжелел и стал инертнее в пилотировании. Поворот</w:t>
      </w:r>
      <w:r w:rsidRPr="00C33834">
        <w:rPr>
          <w:rFonts w:ascii="Times New Roman" w:hAnsi="Times New Roman"/>
          <w:color w:val="000000" w:themeColor="text1"/>
          <w:sz w:val="16"/>
          <w:szCs w:val="16"/>
        </w:rPr>
        <w:softHyphen/>
        <w:t>ные стойки у летчиков восторга не вызвали, а их необходимость подвергалась сомнению: «Открываешь ручку внешней стойки — вроде тормозит. Однако пользоваться неудобно, ... управлять трудно, мешает перезарядке пуле</w:t>
      </w:r>
      <w:r w:rsidRPr="00C33834">
        <w:rPr>
          <w:rFonts w:ascii="Times New Roman" w:hAnsi="Times New Roman"/>
          <w:color w:val="000000" w:themeColor="text1"/>
          <w:sz w:val="16"/>
          <w:szCs w:val="16"/>
        </w:rPr>
        <w:softHyphen/>
        <w:t>метов». Если предположение о всего двух постро</w:t>
      </w:r>
      <w:r w:rsidRPr="00C33834">
        <w:rPr>
          <w:rFonts w:ascii="Times New Roman" w:hAnsi="Times New Roman"/>
          <w:color w:val="000000" w:themeColor="text1"/>
          <w:sz w:val="16"/>
          <w:szCs w:val="16"/>
        </w:rPr>
        <w:softHyphen/>
        <w:t>енных И-5 с поворотными стойками верно, то именно один из этих построенных аппа</w:t>
      </w:r>
      <w:r w:rsidRPr="00C33834">
        <w:rPr>
          <w:rFonts w:ascii="Times New Roman" w:hAnsi="Times New Roman"/>
          <w:color w:val="000000" w:themeColor="text1"/>
          <w:sz w:val="16"/>
          <w:szCs w:val="16"/>
        </w:rPr>
        <w:softHyphen/>
        <w:t>ратов использовался Иваном Ульяновичем Павловым как личный самолет и традицион</w:t>
      </w:r>
      <w:r w:rsidRPr="00C33834">
        <w:rPr>
          <w:rFonts w:ascii="Times New Roman" w:hAnsi="Times New Roman"/>
          <w:color w:val="000000" w:themeColor="text1"/>
          <w:sz w:val="16"/>
          <w:szCs w:val="16"/>
        </w:rPr>
        <w:softHyphen/>
        <w:t>но имел на фюзеляже изображение красного флага с надписью «за ВКП (б)» (12295).</w:t>
      </w:r>
    </w:p>
    <w:p w14:paraId="7D89C884" w14:textId="77777777" w:rsidR="0058354C" w:rsidRPr="00C33834" w:rsidRDefault="0058354C" w:rsidP="00C33834">
      <w:pPr>
        <w:spacing w:after="0" w:line="240" w:lineRule="auto"/>
        <w:jc w:val="both"/>
        <w:rPr>
          <w:rFonts w:ascii="Times New Roman" w:hAnsi="Times New Roman"/>
          <w:color w:val="000000" w:themeColor="text1"/>
          <w:sz w:val="16"/>
          <w:szCs w:val="16"/>
        </w:rPr>
      </w:pPr>
    </w:p>
    <w:p w14:paraId="29DE6EC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г. самолёт И-5бис № 21117 вышел на испытания. Истребитель стал не легче, а, наоборот, тяжелее - вес пустого самолёта на колёсах возрос до 1002 кг. Это явилось оборотной стороной усовершенствований, внесённых в конструкцию, оборудование и вооружение машины. Новый вариант внешне отличался каплевидными обтекателями на колёсах и металлическим (из алюминиевого сплава) воздушным винтом меньшего, чем у старого деревянного, диаметра (2,7 м против 2,9 м). Шаг нового пропеллера можно было регулировать, выставляя его на земле в положения для малого и большого шага. Кок на втулке винта теперь отсутствовал. Конструкторы оптимизировали параметры кольца Тауненда, снизив его лобовое сопротивление. Вооружение было модернизировано по проекту Н.М. Брагина. Пулемётов ПВ-1 опять стояло четыре. Боезапас увеличили суммарно до 1200 патронов. Четыре бомбы по 10 кг могли подвешиваться на электрифицированных держателях Д-1 под нижним крылом. Предусматривалась установка электробомбосбрасывателя и дублирующего механического. Два пулемёта и бомбы шли в счёт перегрузки. Пулемёты работали от электроспуска. Он позволял стрелять из одного, двух, трёх или всех четырёх стволов. Механическую систему управления огнём сохранили как дублирующую.</w:t>
      </w:r>
    </w:p>
    <w:p w14:paraId="554DC29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Ещё больше изменений внесли в оборудование машины. Сменили подогреватель карбюратора и бензопомпу, предусмотрели установку фотоаппарата АФА-14 и радиостанции 15-СК. В это время на Западе радио уже активно внедрялось на одноместных истребителях. В кабине появилась по-новому скомпонованная приборная доска. Раньше, например, лётчики жаловались, что ручка управления закрывает компас. Набор приборов, правда, остался по-прежнему небогатым: тахометр, масляный термометр, два манометра (масло и бензин), указатель скорости, "Пионер" (указатель курса), высотомер, часы и компас. На И-5 не было даже бензиномера!</w:t>
      </w:r>
    </w:p>
    <w:p w14:paraId="232F921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 главной "изюминкой" эталона 1933 г. стали поворотные межкрыльные стойки. На обычные стойки из труб надели поворачивающиеся обтекатели, выполнявшие функции дополнительных рулевых поверхностей при выходе из штопора. Они значительно увеличивали момент, прекращающий вращение. При попадании в штопор пилот должен был повернуть внешнюю по отношению к описываемой спирали стойку.</w:t>
      </w:r>
    </w:p>
    <w:p w14:paraId="7305729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 1933 г. продемонстрировал увеличение скорости на высотах до 3000 м (только обтекатели колёс обеспечили прирост в 9 км/ч), но одновременно ухудшились скороподъёмность и манёвренность, а выше 5000 м упала и максимальная скорость. Подвеска бомб уменьшала скорость ещё на 7 - 8 км/ч.</w:t>
      </w:r>
    </w:p>
    <w:p w14:paraId="330B22E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Поворотные стойки подвергли критике. Сочли, что они неоправданно утяжеляют конструкцию, и хотя и уменьшают время запаздывания при выходе из штопора, трудность управления ими практически обесценивает получаемый эффект. Более того, при ошибочном открывании внутренней стойки самолёт не выходил из штопора вообще. Электроспуск пулемётов работал ненадёжно.</w:t>
      </w:r>
    </w:p>
    <w:p w14:paraId="4D474D3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итоге эталон 1933 г. государственной комиссией принят не был, несмотря на две попытки его сдать. Однако почти все его отличительные черты внедрили на серийных И-5 выпуска 1933 - 1934 гг., новая приборная доска стала стандартной. Ввели и некоторые усиления конструкции, предложенные для "эталона". </w:t>
      </w:r>
    </w:p>
    <w:p w14:paraId="436AFC0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Внедрили металлические винты, причём в частях их ставили и на машины более раннего выпуска.</w:t>
      </w:r>
    </w:p>
    <w:p w14:paraId="7A53240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Электрифицированное вооружение предписывалось монтировать на всех самолётах с 1 декабря 1933 г., но из-за нехватки комплектующих это распоряжение выполнили с задержкой более чем на полгода (11997).</w:t>
      </w:r>
    </w:p>
    <w:p w14:paraId="6299328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2A350C3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г. И.Ф. Петров и А.И.Филин провели летные испытания И-5 № 21117 с поворотными противоштопорными стойками, которые, показали, что самолет потяжелел и стал инертнее в пилотировании. Поворотные стойки у летчиков восторга не вызвали, а их необходимость подвергалась сомнению: «Открываешь ручку внешней стойки - вроде тормозит. Однако пользоваться неудобно, ...управлять трудно, мешает перезарядке пу</w:t>
      </w:r>
      <w:r w:rsidRPr="00C33834">
        <w:rPr>
          <w:rFonts w:ascii="Times New Roman" w:hAnsi="Times New Roman"/>
          <w:color w:val="000000" w:themeColor="text1"/>
          <w:sz w:val="16"/>
          <w:szCs w:val="16"/>
        </w:rPr>
        <w:softHyphen/>
        <w:t>леметов».</w:t>
      </w:r>
    </w:p>
    <w:p w14:paraId="5021536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Если предположение о всего двух И-5 с по- шротными стойками верно, то один из них использовался Иваном Ульяновичем Павловым «к личный самолет и традиционно имел на фюзеляже изображение красного флага с над- м»сью«за ВКП (6)» (11974).</w:t>
      </w:r>
    </w:p>
    <w:p w14:paraId="298A22B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3363719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июня 1933 по май 1936 на заводе 21 проектировался 7211 - опытный самолет № 7 с мотором М-85 конструкции инженеров Боровкова и Флорова (7663, 9).</w:t>
      </w:r>
    </w:p>
    <w:p w14:paraId="0909B24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54083FE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были завершены испытания ДИ-4 Лавиля. В.К.Коккинаки - не рекомендован военными. И-4 в боях превосходил ДИ-4 (80,127).</w:t>
      </w:r>
    </w:p>
    <w:p w14:paraId="5B87738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39815D80" w14:textId="77777777" w:rsidR="00E5244A" w:rsidRPr="00C33834" w:rsidRDefault="00E5244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июне 1933 г. самолет К-12 Калинина был включен в список важнейших работ по опытному самолетостроению на 1934 г. под № 1 в плане, представленном УВВС. Были утверждены компоновка в виде летающего крыла и уточненное ТЗ, см. табл. Срок сдачи самолета на ГИ сдвинут на 01.05.34 г. (23157).</w:t>
      </w:r>
    </w:p>
    <w:p w14:paraId="32ECD995" w14:textId="77777777" w:rsidR="00E5244A" w:rsidRPr="00C33834" w:rsidRDefault="00E5244A" w:rsidP="00C33834">
      <w:pPr>
        <w:spacing w:after="0" w:line="240" w:lineRule="auto"/>
        <w:jc w:val="both"/>
        <w:rPr>
          <w:rFonts w:ascii="Times New Roman" w:hAnsi="Times New Roman"/>
          <w:color w:val="0070C0"/>
          <w:sz w:val="16"/>
          <w:szCs w:val="16"/>
          <w:lang w:eastAsia="ru-RU" w:bidi="ru-RU"/>
        </w:rPr>
      </w:pPr>
    </w:p>
    <w:p w14:paraId="4A93C7E3" w14:textId="77777777" w:rsidR="00E5244A" w:rsidRPr="00C33834" w:rsidRDefault="00E5244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 июня 1933 г. проектирование ДИ-6 велось под ру</w:t>
      </w:r>
      <w:r w:rsidRPr="00C33834">
        <w:rPr>
          <w:rFonts w:ascii="Times New Roman" w:hAnsi="Times New Roman"/>
          <w:color w:val="0070C0"/>
          <w:sz w:val="16"/>
          <w:szCs w:val="16"/>
        </w:rPr>
        <w:softHyphen/>
        <w:t>ководством опытного конструктора В.П. Яценко.</w:t>
      </w:r>
    </w:p>
    <w:p w14:paraId="22683EF6" w14:textId="77777777" w:rsidR="00E5244A" w:rsidRPr="00C33834" w:rsidRDefault="00E5244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результате получился небольшой компактный аппарат, по своим размерностям и весовым характеристикам при</w:t>
      </w:r>
      <w:r w:rsidRPr="00C33834">
        <w:rPr>
          <w:rFonts w:ascii="Times New Roman" w:hAnsi="Times New Roman"/>
          <w:color w:val="0070C0"/>
          <w:sz w:val="16"/>
          <w:szCs w:val="16"/>
        </w:rPr>
        <w:softHyphen/>
        <w:t>ближавшийся к одноместным машинам. В частности, раз</w:t>
      </w:r>
      <w:r w:rsidRPr="00C33834">
        <w:rPr>
          <w:rFonts w:ascii="Times New Roman" w:hAnsi="Times New Roman"/>
          <w:color w:val="0070C0"/>
          <w:sz w:val="16"/>
          <w:szCs w:val="16"/>
        </w:rPr>
        <w:softHyphen/>
        <w:t>мах верхнего крыла составлял всего 10,0 м, что практиче</w:t>
      </w:r>
      <w:r w:rsidRPr="00C33834">
        <w:rPr>
          <w:rFonts w:ascii="Times New Roman" w:hAnsi="Times New Roman"/>
          <w:color w:val="0070C0"/>
          <w:sz w:val="16"/>
          <w:szCs w:val="16"/>
        </w:rPr>
        <w:softHyphen/>
        <w:t>ски равнялось размаху крыла одноместного истребителя И-15 (9,75 м).</w:t>
      </w:r>
    </w:p>
    <w:p w14:paraId="144421A3" w14:textId="77777777" w:rsidR="00E5244A" w:rsidRPr="00C33834" w:rsidRDefault="00E5244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ДИ-6 представлял собой полутораплан смешанной конст</w:t>
      </w:r>
      <w:r w:rsidRPr="00C33834">
        <w:rPr>
          <w:rFonts w:ascii="Times New Roman" w:hAnsi="Times New Roman"/>
          <w:color w:val="0070C0"/>
          <w:sz w:val="16"/>
          <w:szCs w:val="16"/>
        </w:rPr>
        <w:softHyphen/>
        <w:t>рукции с убираемым шасси. Его классическая бипланная коробка включала в себя деревянные крылья с полотняной об</w:t>
      </w:r>
      <w:r w:rsidRPr="00C33834">
        <w:rPr>
          <w:rFonts w:ascii="Times New Roman" w:hAnsi="Times New Roman"/>
          <w:color w:val="0070C0"/>
          <w:sz w:val="16"/>
          <w:szCs w:val="16"/>
        </w:rPr>
        <w:softHyphen/>
        <w:t xml:space="preserve">шивкой, соединенные I-образными стойками и системой расчалок. Элероны находились только на верхнем крыле. Нижнее крыло в районе сочленения с фюзеляжем имело мощные зализы, позволяющие одновременно разрешить проблему компактного складывания стоек шасси. Фюзеляж - стальная сварная ферма, </w:t>
      </w:r>
      <w:r w:rsidRPr="00C33834">
        <w:rPr>
          <w:rFonts w:ascii="Times New Roman" w:hAnsi="Times New Roman"/>
          <w:color w:val="0070C0"/>
          <w:sz w:val="16"/>
          <w:szCs w:val="16"/>
        </w:rPr>
        <w:lastRenderedPageBreak/>
        <w:t>оборудованная формообразую</w:t>
      </w:r>
      <w:r w:rsidRPr="00C33834">
        <w:rPr>
          <w:rFonts w:ascii="Times New Roman" w:hAnsi="Times New Roman"/>
          <w:color w:val="0070C0"/>
          <w:sz w:val="16"/>
          <w:szCs w:val="16"/>
        </w:rPr>
        <w:softHyphen/>
        <w:t>щим каркасом. В передней части обшивка фюзеляжа дюра</w:t>
      </w:r>
      <w:r w:rsidRPr="00C33834">
        <w:rPr>
          <w:rFonts w:ascii="Times New Roman" w:hAnsi="Times New Roman"/>
          <w:color w:val="0070C0"/>
          <w:sz w:val="16"/>
          <w:szCs w:val="16"/>
        </w:rPr>
        <w:softHyphen/>
        <w:t>левая, хвостовая часть обшивалась полотном. Хвостовое оперение с высоко поднятым стабилизатором, что позволя</w:t>
      </w:r>
      <w:r w:rsidRPr="00C33834">
        <w:rPr>
          <w:rFonts w:ascii="Times New Roman" w:hAnsi="Times New Roman"/>
          <w:color w:val="0070C0"/>
          <w:sz w:val="16"/>
          <w:szCs w:val="16"/>
        </w:rPr>
        <w:softHyphen/>
        <w:t>ло улучшить зоны обстрела назад из кормового пулемета. Са</w:t>
      </w:r>
      <w:r w:rsidRPr="00C33834">
        <w:rPr>
          <w:rFonts w:ascii="Times New Roman" w:hAnsi="Times New Roman"/>
          <w:color w:val="0070C0"/>
          <w:sz w:val="16"/>
          <w:szCs w:val="16"/>
        </w:rPr>
        <w:softHyphen/>
        <w:t>молет предполагалось вооружить двумя подкрыльевыми пу</w:t>
      </w:r>
      <w:r w:rsidRPr="00C33834">
        <w:rPr>
          <w:rFonts w:ascii="Times New Roman" w:hAnsi="Times New Roman"/>
          <w:color w:val="0070C0"/>
          <w:sz w:val="16"/>
          <w:szCs w:val="16"/>
        </w:rPr>
        <w:softHyphen/>
        <w:t>леметами ШКАС, размещенными вне диска вращения воз</w:t>
      </w:r>
      <w:r w:rsidRPr="00C33834">
        <w:rPr>
          <w:rFonts w:ascii="Times New Roman" w:hAnsi="Times New Roman"/>
          <w:color w:val="0070C0"/>
          <w:sz w:val="16"/>
          <w:szCs w:val="16"/>
        </w:rPr>
        <w:softHyphen/>
        <w:t>душного винта, еще один пулемет ШКАС для обороны задней полусферы стоял на шкворневой установке.</w:t>
      </w:r>
    </w:p>
    <w:p w14:paraId="14CB1B85" w14:textId="77777777" w:rsidR="00E5244A" w:rsidRPr="00C33834" w:rsidRDefault="00E5244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целом конструкторскому коллективу удалось реализовать противоречивые требования, предъявленные к машине (20352).</w:t>
      </w:r>
    </w:p>
    <w:p w14:paraId="4EEB84B9" w14:textId="77777777" w:rsidR="00E5244A" w:rsidRPr="00C33834" w:rsidRDefault="00E5244A" w:rsidP="00C33834">
      <w:pPr>
        <w:shd w:val="clear" w:color="auto" w:fill="FFFFFF"/>
        <w:spacing w:after="0" w:line="240" w:lineRule="auto"/>
        <w:jc w:val="both"/>
        <w:rPr>
          <w:rFonts w:ascii="Times New Roman" w:hAnsi="Times New Roman"/>
          <w:color w:val="0070C0"/>
          <w:sz w:val="16"/>
          <w:szCs w:val="16"/>
        </w:rPr>
      </w:pPr>
    </w:p>
    <w:p w14:paraId="7667E53F"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июню 1933 ОКБ-1 Л.П.Курчевского закончило новую пушку АПК-3бис, доработанную по результатам разрыва на И-4 18 мая 1933 (3996, 100).</w:t>
      </w:r>
    </w:p>
    <w:p w14:paraId="0AD28E9C" w14:textId="77777777" w:rsidR="00664564" w:rsidRPr="00C33834" w:rsidRDefault="0066456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B5BFB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был готов второй АИР-6, уже модифицированный Е.Г.Адлером (3550,10).</w:t>
      </w:r>
    </w:p>
    <w:p w14:paraId="3989203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5CA65338"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и сентябре 1933-го были готовы второй и третий самолеты АИР-6 (15727)</w:t>
      </w:r>
    </w:p>
    <w:p w14:paraId="73D378BC" w14:textId="77777777" w:rsidR="003417C8" w:rsidRPr="00C33834" w:rsidRDefault="003417C8" w:rsidP="00C33834">
      <w:pPr>
        <w:spacing w:after="0" w:line="240" w:lineRule="auto"/>
        <w:jc w:val="both"/>
        <w:rPr>
          <w:rFonts w:ascii="Times New Roman" w:hAnsi="Times New Roman"/>
          <w:color w:val="000000" w:themeColor="text1"/>
          <w:sz w:val="16"/>
          <w:szCs w:val="16"/>
        </w:rPr>
      </w:pPr>
    </w:p>
    <w:p w14:paraId="12CBCBF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Ю.И.Пионтковский выполнил с Москвы реки первый полет на первом АИР-6, поставленным на однореданные деревянные поплавки, спроектированные В.Б.Ш. по подобию поплавков для АИР-2, но увеличенных размеров. В этом же месяце участвовал в празднике на Водной станции Динамо. Понравился М.С.Бабушкину. Потом были гос. испытания в СНИИ ГВФ, где отметили, что на поплавках летные характеристики отличаются незначительной (3550,9).</w:t>
      </w:r>
    </w:p>
    <w:p w14:paraId="2F5DA75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701D054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инж. Барсук переделал У-2 в СП (СП Лимузин, Башнефть) - аэрораспыливательный (1076,721).</w:t>
      </w:r>
    </w:p>
    <w:p w14:paraId="246152C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44B1AD9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Нач. УВВС Я.И.Алкснис приказал провести во 2-й военной школе л (будущем Борисоглебском ВААУ) испытание вооруженного У-2. Прошел и стали использовать (8689,15).</w:t>
      </w:r>
    </w:p>
    <w:p w14:paraId="6F5CE85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5A497EA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г. М-51 испытывался на самолете У-2 (11478).</w:t>
      </w:r>
    </w:p>
    <w:p w14:paraId="508CF06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49EEDB62" w14:textId="77777777" w:rsidR="00183C6C" w:rsidRPr="00C33834" w:rsidRDefault="00183C6C"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В июне 1933 г. завершили второй образец («дублер») АИР-6. На нем переделали шасси. На первом образце стояли шнуровые амортизаторы от самолета У-2, работавшие на растяжение, на втором - комплекты резиновых и металлических пластин, действовавшие на сжатие. Новый вариант получился значительно менее громоздким. Это отразилось на внешнем виде машины - пропали большие коробки обтекателей амортизаторов на стойках. Каркас оперения был переработан и облегчен Г. Седельниковым. Внешние его очертания не изменились. Металлические колпаки, закрывавшие спицы колес, заменили полотняными чехлами. Часть болтовых соединений подкосов стали выполнять сварными. Все это способствовало снижению веса пустого самолета, который довели до 634 кг.</w:t>
      </w:r>
    </w:p>
    <w:p w14:paraId="6B631B23" w14:textId="77777777" w:rsidR="00183C6C" w:rsidRPr="00C33834" w:rsidRDefault="00183C6C"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Второй образец АИР-6 демонстрировался на Центральном аэродроме на выставке, приуроченной к визиту в Советский Союз министра авиации Франции П. Кота. 13 сентября выставку посетил новый начальник ГУАП Г.Н. Королев, принявший яковлевский моноплан за заграничную работу (в экспозиции действительно имелась одна французская машина). Смущенный начальник поспешил двинуться дальше (19099).</w:t>
      </w:r>
    </w:p>
    <w:p w14:paraId="5414F411" w14:textId="77777777" w:rsidR="00183C6C" w:rsidRPr="00C33834" w:rsidRDefault="00183C6C" w:rsidP="00C33834">
      <w:pPr>
        <w:pStyle w:val="a8"/>
        <w:jc w:val="both"/>
        <w:rPr>
          <w:rFonts w:ascii="Times New Roman" w:hAnsi="Times New Roman" w:cs="Times New Roman"/>
          <w:color w:val="000000" w:themeColor="text1"/>
        </w:rPr>
      </w:pPr>
    </w:p>
    <w:p w14:paraId="42E40ECF" w14:textId="77777777" w:rsidR="00A24FE3" w:rsidRPr="00C33834" w:rsidRDefault="00A24FE3"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В июне 1933 в новом договоре между Осоавиахим и МАИ речь шла о постройке только одного самолёта, меньших размеров, о кругосветном перелёте уже не упоминалось. «В целях скорейшего и бесперебойного строительства самолёта МАИ обязуется пополнить имеющееся конструкторское бюро инженерно-техническими работниками, профессурой и аспирантами», — отмечалось в договоре </w:t>
      </w:r>
      <w:hyperlink r:id="rId226" w:history="1">
        <w:r w:rsidRPr="00C33834">
          <w:rPr>
            <w:rFonts w:ascii="Times New Roman" w:eastAsia="Times New Roman" w:hAnsi="Times New Roman"/>
            <w:color w:val="000000" w:themeColor="text1"/>
            <w:sz w:val="16"/>
            <w:szCs w:val="16"/>
            <w:lang w:eastAsia="ru-RU"/>
          </w:rPr>
          <w:t>[135]</w:t>
        </w:r>
      </w:hyperlink>
      <w:r w:rsidRPr="00C33834">
        <w:rPr>
          <w:rFonts w:ascii="Times New Roman" w:eastAsia="Times New Roman" w:hAnsi="Times New Roman"/>
          <w:color w:val="000000" w:themeColor="text1"/>
          <w:sz w:val="16"/>
          <w:szCs w:val="16"/>
          <w:lang w:eastAsia="ru-RU"/>
        </w:rPr>
        <w:t xml:space="preserve"> .</w:t>
      </w:r>
    </w:p>
    <w:p w14:paraId="421904D9" w14:textId="77777777" w:rsidR="00A24FE3" w:rsidRPr="00C33834" w:rsidRDefault="00A24FE3"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Машина должна была быть готова к началу 1934 г. Затраты на завершение работ определили в 550 тыс. рублей, финансирование взяло на себя Главное управление ГВФ, затем — Главное управление авиационной промышленности.</w:t>
      </w:r>
    </w:p>
    <w:p w14:paraId="54DBD704" w14:textId="77777777" w:rsidR="00A24FE3" w:rsidRPr="00C33834" w:rsidRDefault="00A24FE3"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Григорович так сформулировал назначение строящейся машины: «установление рекорда дальности полёта самолёта советской конструкции с советским мотором на основе покрытия большой дальности полёта при минимальном времени пребывания в воздухе с одновременным освоением в производстве и испытании новых элементов конструкции из нержавеющей стали по принципу применения электросварки» </w:t>
      </w:r>
      <w:hyperlink r:id="rId227" w:history="1">
        <w:r w:rsidRPr="00C33834">
          <w:rPr>
            <w:rFonts w:ascii="Times New Roman" w:eastAsia="Times New Roman" w:hAnsi="Times New Roman"/>
            <w:color w:val="000000" w:themeColor="text1"/>
            <w:sz w:val="16"/>
            <w:szCs w:val="16"/>
            <w:lang w:eastAsia="ru-RU"/>
          </w:rPr>
          <w:t>[136]</w:t>
        </w:r>
      </w:hyperlink>
      <w:r w:rsidRPr="00C33834">
        <w:rPr>
          <w:rFonts w:ascii="Times New Roman" w:eastAsia="Times New Roman" w:hAnsi="Times New Roman"/>
          <w:color w:val="000000" w:themeColor="text1"/>
          <w:sz w:val="16"/>
          <w:szCs w:val="16"/>
          <w:lang w:eastAsia="ru-RU"/>
        </w:rPr>
        <w:t xml:space="preserve"> . Таким образом, самолёт предназначался для установления скоростного рекорда дальности, с прицелом на использование этих наработок при создании дальнего бомбардировщика.</w:t>
      </w:r>
    </w:p>
    <w:p w14:paraId="10D49AA9" w14:textId="77777777" w:rsidR="00A24FE3" w:rsidRPr="00C33834" w:rsidRDefault="00A24FE3"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расширенное конструкторское бюро вошли студенты П.Д. Грушин, М.М. Пашинин, Л.П. Курбала, В.А. Федулов, А.П. Щекин и другие. Расчёты на прочность выполнил В.Д. Яровицкий. С появлением в МАИ учебно-производственных мастерских изготовлением самолёта руководил С.М. Беляйкин.</w:t>
      </w:r>
    </w:p>
    <w:p w14:paraId="473DEF94" w14:textId="77777777" w:rsidR="00A24FE3" w:rsidRPr="00C33834" w:rsidRDefault="00A24FE3"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«ОСО-МАИ» представлял собой одномоторный низкоплан с трапециевидным крылом однолонжеронной конструкции. Относительная толщина профиля была 16 %. В крыле размещались топливные баки. Крыло — свободнонесущей схемы, горизонтальное оперение — с подкосами. Фюзеляж — полумонокок овального сечения, с двухместной кабиной, закрытой общим фонарём. Кресла пилотов имели откидные спинки и были оборудованы таким образом, чтобы экипаж мог отдыхать в полёте. Посадка в самолёт осуществлялась через дверцы в фонаре. При необходимости экипаж мог быть увеличен до трёх человек — для этого за кабиной оборудовали небольшой отсек с иллюминаторами в боковых стенках фюзеляжа.</w:t>
      </w:r>
    </w:p>
    <w:p w14:paraId="2E1CE4B9" w14:textId="77777777" w:rsidR="00A24FE3" w:rsidRPr="00C33834" w:rsidRDefault="00A24FE3"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При изготовлении каркаса планера использовали опыт постройки «Сталь-2» А.И. Путилова. Основным материалом служила сталь «Энерж-6», из дюраля были только капот двигателя, элероны и хвостовое оперение. Рулевые поверхности имели полотняную обшивку. Винт — деревянный. Практически вся конструкция фюзеляжа, крыла и оперения из катаных листовых профилей была соединена точечной и роликовой электросваркой, обшивка крыла и фюзеляжа сделана из листа толщиной 0,2–0,3 мм с частыми отбортовками (рифтами или зигами) с шагом 80 мм. В.Б. Шавров пишет, что тонкая стальная обшивка образовывала многочисленные мелкие неровности на поверхности фюзеляжа </w:t>
      </w:r>
      <w:hyperlink r:id="rId228" w:history="1">
        <w:r w:rsidRPr="00C33834">
          <w:rPr>
            <w:rFonts w:ascii="Times New Roman" w:eastAsia="Times New Roman" w:hAnsi="Times New Roman"/>
            <w:color w:val="000000" w:themeColor="text1"/>
            <w:sz w:val="16"/>
            <w:szCs w:val="16"/>
            <w:lang w:eastAsia="ru-RU"/>
          </w:rPr>
          <w:t>[137]</w:t>
        </w:r>
      </w:hyperlink>
      <w:r w:rsidRPr="00C33834">
        <w:rPr>
          <w:rFonts w:ascii="Times New Roman" w:eastAsia="Times New Roman" w:hAnsi="Times New Roman"/>
          <w:color w:val="000000" w:themeColor="text1"/>
          <w:sz w:val="16"/>
          <w:szCs w:val="16"/>
          <w:lang w:eastAsia="ru-RU"/>
        </w:rPr>
        <w:t xml:space="preserve"> .</w:t>
      </w:r>
    </w:p>
    <w:p w14:paraId="257F4C86" w14:textId="77777777" w:rsidR="00A24FE3" w:rsidRPr="00C33834" w:rsidRDefault="00A24FE3"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Силовая установка — двигатель М-34Р с номинальной мощностью 750 л. с. Ранее он экспонировался на выставке, поэтому отличался особой тщательностью отделки (возможно, первоначально это был макетный вариант, полученный для проведения увязочных работ по винтомоторной группе) (17489).</w:t>
      </w:r>
    </w:p>
    <w:p w14:paraId="1FA776D1" w14:textId="77777777" w:rsidR="00A24FE3" w:rsidRPr="00C33834" w:rsidRDefault="00A24FE3" w:rsidP="00C33834">
      <w:pPr>
        <w:spacing w:after="0" w:line="240" w:lineRule="auto"/>
        <w:jc w:val="both"/>
        <w:rPr>
          <w:rFonts w:ascii="Times New Roman" w:eastAsia="Times New Roman" w:hAnsi="Times New Roman"/>
          <w:color w:val="000000" w:themeColor="text1"/>
          <w:sz w:val="16"/>
          <w:szCs w:val="16"/>
          <w:lang w:eastAsia="ru-RU"/>
        </w:rPr>
      </w:pPr>
    </w:p>
    <w:p w14:paraId="7685E3FF" w14:textId="77777777" w:rsidR="00A24FE3" w:rsidRPr="00C33834" w:rsidRDefault="00A24FE3" w:rsidP="00C33834">
      <w:pPr>
        <w:pStyle w:val="a3"/>
        <w:rPr>
          <w:color w:val="000000" w:themeColor="text1"/>
          <w:lang w:val="ru-RU"/>
        </w:rPr>
      </w:pPr>
      <w:r w:rsidRPr="00C33834">
        <w:rPr>
          <w:color w:val="000000" w:themeColor="text1"/>
          <w:lang w:val="ru-RU"/>
        </w:rPr>
        <w:t>В июне 1933 г. подготовили головной комплект, включавший ТБ-1 №677 и два И-4 (№1533 - левый и №1583 - правый). Испытания его вели в июле в Кре- чевицах, где базировалась 1-я авиабри</w:t>
      </w:r>
      <w:r w:rsidRPr="00C33834">
        <w:rPr>
          <w:color w:val="000000" w:themeColor="text1"/>
          <w:lang w:val="ru-RU"/>
        </w:rPr>
        <w:softHyphen/>
        <w:t>гада. Дело в том, что 3-я бригада к этому времени получила приставку «особого назначения» и стала специализировать</w:t>
      </w:r>
      <w:r w:rsidRPr="00C33834">
        <w:rPr>
          <w:color w:val="000000" w:themeColor="text1"/>
          <w:lang w:val="ru-RU"/>
        </w:rPr>
        <w:softHyphen/>
        <w:t>ся на воздушно-десантных операциях. Поэтому место войсковых испытаний перенесли.</w:t>
      </w:r>
    </w:p>
    <w:p w14:paraId="0988B70F" w14:textId="77777777" w:rsidR="00A24FE3" w:rsidRPr="00C33834" w:rsidRDefault="00A24FE3" w:rsidP="00C33834">
      <w:pPr>
        <w:pStyle w:val="a3"/>
        <w:rPr>
          <w:color w:val="000000" w:themeColor="text1"/>
          <w:lang w:val="ru-RU"/>
        </w:rPr>
      </w:pPr>
      <w:r w:rsidRPr="00C33834">
        <w:rPr>
          <w:color w:val="000000" w:themeColor="text1"/>
          <w:lang w:val="ru-RU"/>
        </w:rPr>
        <w:t>Носитель получил усиленное шасси с добавочными стойками. На И-4 сохрани</w:t>
      </w:r>
      <w:r w:rsidRPr="00C33834">
        <w:rPr>
          <w:color w:val="000000" w:themeColor="text1"/>
          <w:lang w:val="ru-RU"/>
        </w:rPr>
        <w:softHyphen/>
        <w:t>ли нижние плоскости, поскольку сочли, что снятие их ничего не дало. Задний за</w:t>
      </w:r>
      <w:r w:rsidRPr="00C33834">
        <w:rPr>
          <w:color w:val="000000" w:themeColor="text1"/>
          <w:lang w:val="ru-RU"/>
        </w:rPr>
        <w:softHyphen/>
        <w:t>мок перенесли со стойки треноги на фю</w:t>
      </w:r>
      <w:r w:rsidRPr="00C33834">
        <w:rPr>
          <w:color w:val="000000" w:themeColor="text1"/>
          <w:lang w:val="ru-RU"/>
        </w:rPr>
        <w:softHyphen/>
        <w:t>зеляж истребителя (17741).</w:t>
      </w:r>
    </w:p>
    <w:p w14:paraId="5CE37305" w14:textId="77777777" w:rsidR="00A24FE3" w:rsidRPr="00C33834" w:rsidRDefault="00A24FE3" w:rsidP="00C33834">
      <w:pPr>
        <w:spacing w:after="0" w:line="240" w:lineRule="auto"/>
        <w:jc w:val="both"/>
        <w:rPr>
          <w:rFonts w:ascii="Times New Roman" w:eastAsia="Times New Roman" w:hAnsi="Times New Roman"/>
          <w:color w:val="000000" w:themeColor="text1"/>
          <w:sz w:val="16"/>
          <w:szCs w:val="16"/>
          <w:lang w:eastAsia="ru-RU"/>
        </w:rPr>
      </w:pPr>
    </w:p>
    <w:p w14:paraId="1CC065FA" w14:textId="77777777" w:rsidR="00183C6C" w:rsidRPr="00C33834" w:rsidRDefault="00183C6C"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В июне 1933 г. подготовили головной комплект переделки ТБ под звено. Основным отличием серийного варианта должно было стать усиленное шасси ТБ-1. Испытания его вели в июле в Кречевицах, где базировалась 1-я авиабригада. Дело в том, что 3-я бригада к этому времени получила приставку «особого назначения» и стала специализироваться на воздушно-десантных операциях. Поэтому место войсковых испытаний перенесли.</w:t>
      </w:r>
    </w:p>
    <w:p w14:paraId="1C14F586" w14:textId="77777777" w:rsidR="00183C6C" w:rsidRPr="00C33834" w:rsidRDefault="00183C6C"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Носитель получил усиленное шасси с добавочными стойками. На И-4 сохранили нижние плоскости, поскольку сочли, что снятие их ничего не дало. Задний замок перенесли со стойки треноги на фюзеляж истребителя.</w:t>
      </w:r>
    </w:p>
    <w:p w14:paraId="6B1BD704" w14:textId="77777777" w:rsidR="00183C6C" w:rsidRPr="00C33834" w:rsidRDefault="00183C6C"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Руководил испытаниями в качестве председателя комиссии А.И. Залевский. На борту ТБ-1 находились Стефановский, Вахмистров, Морозов и Никитин. В кабине левого И-4 сидел В.К. Коккинаки, правого - В.А. Степан- ченок. В первом полете взлетный вес всей связки составлял 9500 кг. Замеренное время разбега составило 12 с. В отчете записано: «Взлет нормальный. Самолет в полете устойчив, допускает виражи до 60 градусов». Оба истребителя сбросили одновременно на высоте 600 м. Никаких происшествий не отмечалось.</w:t>
      </w:r>
    </w:p>
    <w:p w14:paraId="26149D48" w14:textId="77777777" w:rsidR="00183C6C" w:rsidRPr="00C33834" w:rsidRDefault="00183C6C"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Всего выполнили пять полетов. В ходе испытаний также проводили подготовку строевых летчиков, которым предстояло эксплуатировать «звенья». С новой техникой в воздухе познакомили двух летчиков-истребителей и трех командиров ТБ-1.</w:t>
      </w:r>
    </w:p>
    <w:p w14:paraId="7FE28B20" w14:textId="77777777" w:rsidR="00183C6C" w:rsidRPr="00C33834" w:rsidRDefault="00183C6C"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Общий вывод отчета гласил: «...вполне годен к эксплуатации в строевых частях ВВС РККА».</w:t>
      </w:r>
    </w:p>
    <w:p w14:paraId="31003EC4" w14:textId="77777777" w:rsidR="00183C6C" w:rsidRPr="00C33834" w:rsidRDefault="00183C6C"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Но «Звено-1» на вооружение не поступило. Упомянутый выше комплект так и остался единственным. Распоряжение о передаче для доработки последующих десяти И-4 отменили. Причиной стало желание начальника ВВС Я.И. Алксниса заменить эти машины на более современные И-5 (19100).</w:t>
      </w:r>
    </w:p>
    <w:p w14:paraId="7174ADA8" w14:textId="77777777" w:rsidR="00183C6C" w:rsidRPr="00C33834" w:rsidRDefault="00183C6C" w:rsidP="00C33834">
      <w:pPr>
        <w:pStyle w:val="a8"/>
        <w:jc w:val="both"/>
        <w:rPr>
          <w:rFonts w:ascii="Times New Roman" w:hAnsi="Times New Roman" w:cs="Times New Roman"/>
          <w:color w:val="000000" w:themeColor="text1"/>
        </w:rPr>
      </w:pPr>
    </w:p>
    <w:p w14:paraId="2436F8AC"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г. в постановлении РВС СССР, говорилось: «В то время как почти все иностранные воздушные флоты в основном уже перешли на высотные моторы, резко повышающие скорость самолёта на больших высотах, его скороподъёмность и практический потолок, наша промышленность не дала ещё ни одного мотора с нагнетателем даже в опытном образце для госиспытаний...»</w:t>
      </w:r>
    </w:p>
    <w:p w14:paraId="6BEEB506"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Попытки снабдить отечественные двигатели приводными нагнетателями оказались неудачными. Лишь М-15 и М-26 дошли до стадии серийного производства, но так и не были приняты на снабжение ВВС из-за низкой надёжности. А разрушались у них именно нагнетатели.</w:t>
      </w:r>
    </w:p>
    <w:p w14:paraId="3FA39F84"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Начался поиск подходящих конструкций за рубежом. Среди отобранных был американский 9-цилиндровый звездообразный мотор воздушного охлаждения Райт Р-1820 «Циклон», оснащённый од носкоростным приводным центробежным нагнетателем. Осенью 1932 г. в США для переговоров отправилась делегация во главе с И.И. Побережским. Переговоры завершились подписанием 22 апреля 1933 г. соглашения о приобретении лицензии. По нему фирма предоставляла необходимый </w:t>
      </w:r>
      <w:r w:rsidRPr="00C33834">
        <w:rPr>
          <w:rFonts w:ascii="Times New Roman" w:hAnsi="Times New Roman"/>
          <w:color w:val="000000" w:themeColor="text1"/>
          <w:sz w:val="16"/>
          <w:szCs w:val="16"/>
        </w:rPr>
        <w:lastRenderedPageBreak/>
        <w:t>комплект документации, специально переведённый в метрическую систему, а также должна была изготовить и испытать образцы двигателей метрического варианта. Позднее этот договор дополнили контрактами на приобретение готовых моторов, комплектов узлов и наиболее важных деталей (12261).</w:t>
      </w:r>
    </w:p>
    <w:p w14:paraId="032B5A02" w14:textId="77777777" w:rsidR="0058354C" w:rsidRPr="00C33834" w:rsidRDefault="0058354C" w:rsidP="00C33834">
      <w:pPr>
        <w:spacing w:after="0" w:line="240" w:lineRule="auto"/>
        <w:jc w:val="both"/>
        <w:rPr>
          <w:rFonts w:ascii="Times New Roman" w:hAnsi="Times New Roman"/>
          <w:color w:val="000000" w:themeColor="text1"/>
          <w:sz w:val="16"/>
          <w:szCs w:val="16"/>
        </w:rPr>
      </w:pPr>
    </w:p>
    <w:p w14:paraId="3128A40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рейсовый К-5М-15 с пассажирами впервые пересек Кавказский хребет совершая рейс Москва - Тбилиси (70,168).</w:t>
      </w:r>
    </w:p>
    <w:p w14:paraId="7F29FF0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0928C56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испытали автопилот АВП-2 на ТБ-1 при перелете Евпатория - Харьков - Москва в условиях сильной болтанки (378,105).</w:t>
      </w:r>
    </w:p>
    <w:p w14:paraId="7C2898A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3C7592B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июня 1933 И.Ф.Петров стал зам. начальника сектора изучения и испытаний опытных сухопутных самолетов НИИ ВВС (262,35).</w:t>
      </w:r>
    </w:p>
    <w:p w14:paraId="058A521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267D285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был заключен договор МАИ с ГУАП и заводами 1 и 34 о постройке ЭМАИ-1-34 (Э-1) (Серго Орджоникидзе) С.О.Зоншайна и А.Л.Гиммельфарба (1076,786).</w:t>
      </w:r>
    </w:p>
    <w:p w14:paraId="2A8214A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5B5E6211" w14:textId="77777777" w:rsidR="00664564" w:rsidRPr="00C33834" w:rsidRDefault="0066456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г. там работали уже 3600 человек, в т.ч. 1000 инженерно-технических ра</w:t>
      </w:r>
      <w:r w:rsidRPr="00C33834">
        <w:rPr>
          <w:rFonts w:ascii="Times New Roman" w:hAnsi="Times New Roman"/>
          <w:color w:val="000000" w:themeColor="text1"/>
          <w:sz w:val="16"/>
          <w:szCs w:val="16"/>
        </w:rPr>
        <w:softHyphen/>
        <w:t>ботников. В состав института вошли собственные мастерские, а затем опытный завод. При этом небольшие конструкторские отделы на заводах сохранили. Но затея с концентрацией сил не дала результатов. Чрезмерное коли</w:t>
      </w:r>
      <w:r w:rsidRPr="00C33834">
        <w:rPr>
          <w:rFonts w:ascii="Times New Roman" w:hAnsi="Times New Roman"/>
          <w:color w:val="000000" w:themeColor="text1"/>
          <w:sz w:val="16"/>
          <w:szCs w:val="16"/>
        </w:rPr>
        <w:softHyphen/>
        <w:t>чество проектируемых типов и отсутствие персональной ответственности привели к тому, что очень немногие моторы были доведены до состояния, пригодного к серийному производству. Из 10 моторов плана 1931 г. реаль</w:t>
      </w:r>
      <w:r w:rsidRPr="00C33834">
        <w:rPr>
          <w:rFonts w:ascii="Times New Roman" w:hAnsi="Times New Roman"/>
          <w:color w:val="000000" w:themeColor="text1"/>
          <w:sz w:val="16"/>
          <w:szCs w:val="16"/>
        </w:rPr>
        <w:softHyphen/>
        <w:t>но построили четыре, а на вооружение приняли всего один. Из 14 двига</w:t>
      </w:r>
      <w:r w:rsidRPr="00C33834">
        <w:rPr>
          <w:rFonts w:ascii="Times New Roman" w:hAnsi="Times New Roman"/>
          <w:color w:val="000000" w:themeColor="text1"/>
          <w:sz w:val="16"/>
          <w:szCs w:val="16"/>
        </w:rPr>
        <w:softHyphen/>
        <w:t>телей плана 1932 г. до стадии опытных образцов дошли пять (11852).</w:t>
      </w:r>
    </w:p>
    <w:p w14:paraId="4EE51080" w14:textId="77777777" w:rsidR="00664564" w:rsidRPr="00C33834" w:rsidRDefault="0066456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B6CEAC" w14:textId="77777777" w:rsidR="00183C6C" w:rsidRPr="00C33834" w:rsidRDefault="00183C6C"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г. на заводе № 24 выпустили ма</w:t>
      </w:r>
      <w:r w:rsidRPr="00C33834">
        <w:rPr>
          <w:rFonts w:ascii="Times New Roman" w:hAnsi="Times New Roman"/>
          <w:color w:val="000000" w:themeColor="text1"/>
          <w:sz w:val="16"/>
          <w:szCs w:val="16"/>
        </w:rPr>
        <w:softHyphen/>
        <w:t>лой серией М-34Ф, Мотор форсировали по оборотам без вне</w:t>
      </w:r>
      <w:r w:rsidRPr="00C33834">
        <w:rPr>
          <w:rFonts w:ascii="Times New Roman" w:hAnsi="Times New Roman"/>
          <w:color w:val="000000" w:themeColor="text1"/>
          <w:sz w:val="16"/>
          <w:szCs w:val="16"/>
        </w:rPr>
        <w:softHyphen/>
        <w:t>сения существенных конструктивных изменений только за счет регулиров</w:t>
      </w:r>
      <w:r w:rsidRPr="00C33834">
        <w:rPr>
          <w:rFonts w:ascii="Times New Roman" w:hAnsi="Times New Roman"/>
          <w:color w:val="000000" w:themeColor="text1"/>
          <w:sz w:val="16"/>
          <w:szCs w:val="16"/>
        </w:rPr>
        <w:softHyphen/>
        <w:t>ки, получив на максимальных обо</w:t>
      </w:r>
      <w:r w:rsidRPr="00C33834">
        <w:rPr>
          <w:rFonts w:ascii="Times New Roman" w:hAnsi="Times New Roman"/>
          <w:color w:val="000000" w:themeColor="text1"/>
          <w:sz w:val="16"/>
          <w:szCs w:val="16"/>
        </w:rPr>
        <w:softHyphen/>
        <w:t>ротах 830 л.с. В плане УВВС стоял и форсированный до 900 л.с. вариант М-34, именовавшийся М-54. Но он существовал, только в строчках до</w:t>
      </w:r>
      <w:r w:rsidRPr="00C33834">
        <w:rPr>
          <w:rFonts w:ascii="Times New Roman" w:hAnsi="Times New Roman"/>
          <w:color w:val="000000" w:themeColor="text1"/>
          <w:sz w:val="16"/>
          <w:szCs w:val="16"/>
        </w:rPr>
        <w:softHyphen/>
        <w:t>кументов, также как имевший такую же мощность М-34ФРНУ. К более позднему типу ФРН он никакого от</w:t>
      </w:r>
      <w:r w:rsidRPr="00C33834">
        <w:rPr>
          <w:rFonts w:ascii="Times New Roman" w:hAnsi="Times New Roman"/>
          <w:color w:val="000000" w:themeColor="text1"/>
          <w:sz w:val="16"/>
          <w:szCs w:val="16"/>
        </w:rPr>
        <w:softHyphen/>
        <w:t>ношения не имел - предусматрива</w:t>
      </w:r>
      <w:r w:rsidRPr="00C33834">
        <w:rPr>
          <w:rFonts w:ascii="Times New Roman" w:hAnsi="Times New Roman"/>
          <w:color w:val="000000" w:themeColor="text1"/>
          <w:sz w:val="16"/>
          <w:szCs w:val="16"/>
        </w:rPr>
        <w:softHyphen/>
        <w:t>лось, что это будет развитие М-34Ф с редуктором, выключаемым нагне</w:t>
      </w:r>
      <w:r w:rsidRPr="00C33834">
        <w:rPr>
          <w:rFonts w:ascii="Times New Roman" w:hAnsi="Times New Roman"/>
          <w:color w:val="000000" w:themeColor="text1"/>
          <w:sz w:val="16"/>
          <w:szCs w:val="16"/>
        </w:rPr>
        <w:softHyphen/>
        <w:t>тателем и удлиненным валом. Фактически только один серийный самолет оснащался М-34 - тяжелый бомбардировщик ТБ-3. Хлопот с этим было много: пришлось менять мото</w:t>
      </w:r>
      <w:r w:rsidRPr="00C33834">
        <w:rPr>
          <w:rFonts w:ascii="Times New Roman" w:hAnsi="Times New Roman"/>
          <w:color w:val="000000" w:themeColor="text1"/>
          <w:sz w:val="16"/>
          <w:szCs w:val="16"/>
        </w:rPr>
        <w:softHyphen/>
        <w:t>рамы, радиаторы и многое другое. А результат оказался почти нулевым. Практически весь прирост мощнос</w:t>
      </w:r>
      <w:r w:rsidRPr="00C33834">
        <w:rPr>
          <w:rFonts w:ascii="Times New Roman" w:hAnsi="Times New Roman"/>
          <w:color w:val="000000" w:themeColor="text1"/>
          <w:sz w:val="16"/>
          <w:szCs w:val="16"/>
        </w:rPr>
        <w:softHyphen/>
        <w:t>ти «съел» увеличившийся вес мото</w:t>
      </w:r>
      <w:r w:rsidRPr="00C33834">
        <w:rPr>
          <w:rFonts w:ascii="Times New Roman" w:hAnsi="Times New Roman"/>
          <w:color w:val="000000" w:themeColor="text1"/>
          <w:sz w:val="16"/>
          <w:szCs w:val="16"/>
        </w:rPr>
        <w:softHyphen/>
        <w:t>установки. УВВС потребовало установить на М-34 редуктор. Он должен был по</w:t>
      </w:r>
      <w:r w:rsidRPr="00C33834">
        <w:rPr>
          <w:rFonts w:ascii="Times New Roman" w:hAnsi="Times New Roman"/>
          <w:color w:val="000000" w:themeColor="text1"/>
          <w:sz w:val="16"/>
          <w:szCs w:val="16"/>
        </w:rPr>
        <w:softHyphen/>
        <w:t>высить эффективность работы про</w:t>
      </w:r>
      <w:r w:rsidRPr="00C33834">
        <w:rPr>
          <w:rFonts w:ascii="Times New Roman" w:hAnsi="Times New Roman"/>
          <w:color w:val="000000" w:themeColor="text1"/>
          <w:sz w:val="16"/>
          <w:szCs w:val="16"/>
        </w:rPr>
        <w:softHyphen/>
        <w:t>пеллера на тихоходном самолете. В результате появился М-34Р. Носок картера стал отъемным, в нем разместили простенький редуктор-«гитару» из двух шестерен. Он под</w:t>
      </w:r>
      <w:r w:rsidRPr="00C33834">
        <w:rPr>
          <w:rFonts w:ascii="Times New Roman" w:hAnsi="Times New Roman"/>
          <w:color w:val="000000" w:themeColor="text1"/>
          <w:sz w:val="16"/>
          <w:szCs w:val="16"/>
        </w:rPr>
        <w:softHyphen/>
        <w:t>нял вес двигателя примерно на 70 кг. Как отметили специалисты НИИ ВВС, это было примерно в полтора раза больше, чем у иностранных конст</w:t>
      </w:r>
      <w:r w:rsidRPr="00C33834">
        <w:rPr>
          <w:rFonts w:ascii="Times New Roman" w:hAnsi="Times New Roman"/>
          <w:color w:val="000000" w:themeColor="text1"/>
          <w:sz w:val="16"/>
          <w:szCs w:val="16"/>
        </w:rPr>
        <w:softHyphen/>
        <w:t>рукций с той же мощностью. Первый опытный образец М-34Р завершили 6 ноября 1932 г.; всего их сделали семь. Полгода продолжались завод</w:t>
      </w:r>
      <w:r w:rsidRPr="00C33834">
        <w:rPr>
          <w:rFonts w:ascii="Times New Roman" w:hAnsi="Times New Roman"/>
          <w:color w:val="000000" w:themeColor="text1"/>
          <w:sz w:val="16"/>
          <w:szCs w:val="16"/>
        </w:rPr>
        <w:softHyphen/>
        <w:t>ские испытания и доводка, а в апре</w:t>
      </w:r>
      <w:r w:rsidRPr="00C33834">
        <w:rPr>
          <w:rFonts w:ascii="Times New Roman" w:hAnsi="Times New Roman"/>
          <w:color w:val="000000" w:themeColor="text1"/>
          <w:sz w:val="16"/>
          <w:szCs w:val="16"/>
        </w:rPr>
        <w:softHyphen/>
        <w:t>ле-мае 1933 г. прошли государствен</w:t>
      </w:r>
      <w:r w:rsidRPr="00C33834">
        <w:rPr>
          <w:rFonts w:ascii="Times New Roman" w:hAnsi="Times New Roman"/>
          <w:color w:val="000000" w:themeColor="text1"/>
          <w:sz w:val="16"/>
          <w:szCs w:val="16"/>
        </w:rPr>
        <w:softHyphen/>
        <w:t>ные испытания на стенде. Один из двух участвовавших в них двигателей сломался (полетела вертикальная передача к распределительному валу). Но правила испытаний разре</w:t>
      </w:r>
      <w:r w:rsidRPr="00C33834">
        <w:rPr>
          <w:rFonts w:ascii="Times New Roman" w:hAnsi="Times New Roman"/>
          <w:color w:val="000000" w:themeColor="text1"/>
          <w:sz w:val="16"/>
          <w:szCs w:val="16"/>
        </w:rPr>
        <w:softHyphen/>
        <w:t>шали замену и вторую попытку. В итоге — «удовлетворительно» (11848).</w:t>
      </w:r>
    </w:p>
    <w:p w14:paraId="342383F6" w14:textId="77777777" w:rsidR="00183C6C" w:rsidRPr="00C33834" w:rsidRDefault="00183C6C"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8A484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Штаб РККА представил ряд важных докладов о необходимости дальнейшего развития новых видов оружия, танков и авиациию Нач. штаба А.И.Егоров обратил внимание на развитие механизации и моторизации во второй пятилетке, а также на новые оперативные возможности, открывающеся благодаря механизации. НКО и РВС одобрили ориентировочный план военных заказов на оставшиеся годы пятилетки, новую мобзаявку на год войны в конце пятилетки, а также предложения по бюджету НКВМ на 1934-1937:</w:t>
      </w:r>
    </w:p>
    <w:p w14:paraId="4104032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Мобзаявки НКВМ на 1932, 1933 и 1938 (годовое производство на случай войны):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252"/>
        <w:gridCol w:w="2126"/>
        <w:gridCol w:w="2126"/>
      </w:tblGrid>
      <w:tr w:rsidR="00F26F01" w:rsidRPr="00C33834" w14:paraId="64016F38" w14:textId="77777777">
        <w:tc>
          <w:tcPr>
            <w:tcW w:w="2818" w:type="dxa"/>
          </w:tcPr>
          <w:p w14:paraId="51F9682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w:t>
            </w:r>
          </w:p>
        </w:tc>
        <w:tc>
          <w:tcPr>
            <w:tcW w:w="2252" w:type="dxa"/>
          </w:tcPr>
          <w:p w14:paraId="681C6A9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Предельный уровень производства в 1932 (поставки на год войны)</w:t>
            </w:r>
          </w:p>
        </w:tc>
        <w:tc>
          <w:tcPr>
            <w:tcW w:w="2126" w:type="dxa"/>
          </w:tcPr>
          <w:p w14:paraId="253304D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МР-15 (1933)</w:t>
            </w:r>
          </w:p>
        </w:tc>
        <w:tc>
          <w:tcPr>
            <w:tcW w:w="2126" w:type="dxa"/>
          </w:tcPr>
          <w:p w14:paraId="314CA27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М-18 (1938)</w:t>
            </w:r>
          </w:p>
        </w:tc>
      </w:tr>
      <w:tr w:rsidR="00F26F01" w:rsidRPr="00C33834" w14:paraId="3DDFC7D1" w14:textId="77777777">
        <w:tc>
          <w:tcPr>
            <w:tcW w:w="2818" w:type="dxa"/>
          </w:tcPr>
          <w:p w14:paraId="261495D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w:t>
            </w:r>
          </w:p>
        </w:tc>
        <w:tc>
          <w:tcPr>
            <w:tcW w:w="2252" w:type="dxa"/>
          </w:tcPr>
          <w:p w14:paraId="7EC4C1B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7490</w:t>
            </w:r>
          </w:p>
        </w:tc>
        <w:tc>
          <w:tcPr>
            <w:tcW w:w="2126" w:type="dxa"/>
          </w:tcPr>
          <w:p w14:paraId="5D48E2F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14500</w:t>
            </w:r>
          </w:p>
        </w:tc>
        <w:tc>
          <w:tcPr>
            <w:tcW w:w="2126" w:type="dxa"/>
          </w:tcPr>
          <w:p w14:paraId="5039362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30000</w:t>
            </w:r>
          </w:p>
        </w:tc>
      </w:tr>
      <w:tr w:rsidR="00F26F01" w:rsidRPr="00C33834" w14:paraId="3DF26641" w14:textId="77777777">
        <w:tc>
          <w:tcPr>
            <w:tcW w:w="2818" w:type="dxa"/>
          </w:tcPr>
          <w:p w14:paraId="4D017F9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истребителей (лдно и двухместных)</w:t>
            </w:r>
          </w:p>
        </w:tc>
        <w:tc>
          <w:tcPr>
            <w:tcW w:w="2252" w:type="dxa"/>
          </w:tcPr>
          <w:p w14:paraId="4D893F9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2367</w:t>
            </w:r>
          </w:p>
        </w:tc>
        <w:tc>
          <w:tcPr>
            <w:tcW w:w="2126" w:type="dxa"/>
          </w:tcPr>
          <w:p w14:paraId="255A4FD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2126" w:type="dxa"/>
          </w:tcPr>
          <w:p w14:paraId="14B6A55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8000</w:t>
            </w:r>
          </w:p>
        </w:tc>
      </w:tr>
      <w:tr w:rsidR="00F26F01" w:rsidRPr="00C33834" w14:paraId="7F15FE16" w14:textId="77777777">
        <w:tc>
          <w:tcPr>
            <w:tcW w:w="2818" w:type="dxa"/>
          </w:tcPr>
          <w:p w14:paraId="1749AF6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тяжелых бомбардировщиков</w:t>
            </w:r>
          </w:p>
        </w:tc>
        <w:tc>
          <w:tcPr>
            <w:tcW w:w="2252" w:type="dxa"/>
          </w:tcPr>
          <w:p w14:paraId="00DB739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402</w:t>
            </w:r>
          </w:p>
        </w:tc>
        <w:tc>
          <w:tcPr>
            <w:tcW w:w="2126" w:type="dxa"/>
          </w:tcPr>
          <w:p w14:paraId="7DEF1C6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w:t>
            </w:r>
          </w:p>
        </w:tc>
        <w:tc>
          <w:tcPr>
            <w:tcW w:w="2126" w:type="dxa"/>
          </w:tcPr>
          <w:p w14:paraId="5921C1D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3250</w:t>
            </w:r>
          </w:p>
        </w:tc>
      </w:tr>
      <w:tr w:rsidR="00F26F01" w:rsidRPr="00C33834" w14:paraId="4C015C73" w14:textId="77777777">
        <w:tc>
          <w:tcPr>
            <w:tcW w:w="2818" w:type="dxa"/>
          </w:tcPr>
          <w:p w14:paraId="09C19FE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лб и ш</w:t>
            </w:r>
          </w:p>
        </w:tc>
        <w:tc>
          <w:tcPr>
            <w:tcW w:w="2252" w:type="dxa"/>
          </w:tcPr>
          <w:p w14:paraId="6420625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3814</w:t>
            </w:r>
          </w:p>
        </w:tc>
        <w:tc>
          <w:tcPr>
            <w:tcW w:w="2126" w:type="dxa"/>
          </w:tcPr>
          <w:p w14:paraId="4968B1D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5430</w:t>
            </w:r>
          </w:p>
        </w:tc>
        <w:tc>
          <w:tcPr>
            <w:tcW w:w="2126" w:type="dxa"/>
          </w:tcPr>
          <w:p w14:paraId="507C4F7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6850</w:t>
            </w:r>
          </w:p>
        </w:tc>
      </w:tr>
      <w:tr w:rsidR="00F26F01" w:rsidRPr="00C33834" w14:paraId="1F7C3178" w14:textId="77777777">
        <w:tc>
          <w:tcPr>
            <w:tcW w:w="2818" w:type="dxa"/>
          </w:tcPr>
          <w:p w14:paraId="6B4487E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разведчиков</w:t>
            </w:r>
          </w:p>
        </w:tc>
        <w:tc>
          <w:tcPr>
            <w:tcW w:w="2252" w:type="dxa"/>
          </w:tcPr>
          <w:p w14:paraId="3F1ED13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2126" w:type="dxa"/>
          </w:tcPr>
          <w:p w14:paraId="1C4CB6E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1070</w:t>
            </w:r>
          </w:p>
        </w:tc>
        <w:tc>
          <w:tcPr>
            <w:tcW w:w="2126" w:type="dxa"/>
          </w:tcPr>
          <w:p w14:paraId="4611447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8850</w:t>
            </w:r>
          </w:p>
        </w:tc>
      </w:tr>
      <w:tr w:rsidR="00F26F01" w:rsidRPr="00C33834" w14:paraId="7A592A5D" w14:textId="77777777">
        <w:tc>
          <w:tcPr>
            <w:tcW w:w="2818" w:type="dxa"/>
          </w:tcPr>
          <w:p w14:paraId="7A8290D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прочих</w:t>
            </w:r>
          </w:p>
        </w:tc>
        <w:tc>
          <w:tcPr>
            <w:tcW w:w="2252" w:type="dxa"/>
          </w:tcPr>
          <w:p w14:paraId="7DFACC6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907</w:t>
            </w:r>
          </w:p>
        </w:tc>
        <w:tc>
          <w:tcPr>
            <w:tcW w:w="2126" w:type="dxa"/>
          </w:tcPr>
          <w:p w14:paraId="197FD4C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1700</w:t>
            </w:r>
          </w:p>
        </w:tc>
        <w:tc>
          <w:tcPr>
            <w:tcW w:w="2126" w:type="dxa"/>
          </w:tcPr>
          <w:p w14:paraId="5813601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3050</w:t>
            </w:r>
          </w:p>
        </w:tc>
      </w:tr>
      <w:tr w:rsidR="00F26F01" w:rsidRPr="00C33834" w14:paraId="740A966E" w14:textId="77777777">
        <w:tc>
          <w:tcPr>
            <w:tcW w:w="2818" w:type="dxa"/>
          </w:tcPr>
          <w:p w14:paraId="49BB28D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Авиадвигателей</w:t>
            </w:r>
          </w:p>
        </w:tc>
        <w:tc>
          <w:tcPr>
            <w:tcW w:w="2252" w:type="dxa"/>
          </w:tcPr>
          <w:p w14:paraId="2C1AD87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11200</w:t>
            </w:r>
          </w:p>
        </w:tc>
        <w:tc>
          <w:tcPr>
            <w:tcW w:w="2126" w:type="dxa"/>
          </w:tcPr>
          <w:p w14:paraId="1CEDFEB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24000</w:t>
            </w:r>
          </w:p>
        </w:tc>
        <w:tc>
          <w:tcPr>
            <w:tcW w:w="2126" w:type="dxa"/>
          </w:tcPr>
          <w:p w14:paraId="71520EB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75000</w:t>
            </w:r>
          </w:p>
        </w:tc>
      </w:tr>
      <w:tr w:rsidR="00F26F01" w:rsidRPr="00C33834" w14:paraId="5EFE67F3" w14:textId="77777777">
        <w:tc>
          <w:tcPr>
            <w:tcW w:w="2818" w:type="dxa"/>
          </w:tcPr>
          <w:p w14:paraId="5539FD2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52" w:type="dxa"/>
          </w:tcPr>
          <w:p w14:paraId="2CB1E9D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064655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690E06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3F94400" w14:textId="77777777">
        <w:tc>
          <w:tcPr>
            <w:tcW w:w="2818" w:type="dxa"/>
          </w:tcPr>
          <w:p w14:paraId="60E6B18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Танки всех типов</w:t>
            </w:r>
          </w:p>
        </w:tc>
        <w:tc>
          <w:tcPr>
            <w:tcW w:w="2252" w:type="dxa"/>
          </w:tcPr>
          <w:p w14:paraId="0D34DF6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19800</w:t>
            </w:r>
          </w:p>
        </w:tc>
        <w:tc>
          <w:tcPr>
            <w:tcW w:w="2126" w:type="dxa"/>
          </w:tcPr>
          <w:p w14:paraId="406C6DE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32200</w:t>
            </w:r>
          </w:p>
        </w:tc>
        <w:tc>
          <w:tcPr>
            <w:tcW w:w="2126" w:type="dxa"/>
          </w:tcPr>
          <w:p w14:paraId="1AC21DA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45000</w:t>
            </w:r>
          </w:p>
        </w:tc>
      </w:tr>
      <w:tr w:rsidR="00F26F01" w:rsidRPr="00C33834" w14:paraId="7CFF3589" w14:textId="77777777">
        <w:tc>
          <w:tcPr>
            <w:tcW w:w="2818" w:type="dxa"/>
          </w:tcPr>
          <w:p w14:paraId="2CB278C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разведывательных Т-37</w:t>
            </w:r>
          </w:p>
        </w:tc>
        <w:tc>
          <w:tcPr>
            <w:tcW w:w="2252" w:type="dxa"/>
          </w:tcPr>
          <w:p w14:paraId="55D0871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2126" w:type="dxa"/>
          </w:tcPr>
          <w:p w14:paraId="3BDC6A6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15000</w:t>
            </w:r>
          </w:p>
        </w:tc>
        <w:tc>
          <w:tcPr>
            <w:tcW w:w="2126" w:type="dxa"/>
          </w:tcPr>
          <w:p w14:paraId="11EAEFD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14200</w:t>
            </w:r>
          </w:p>
        </w:tc>
      </w:tr>
      <w:tr w:rsidR="00F26F01" w:rsidRPr="00C33834" w14:paraId="050B1D46" w14:textId="77777777">
        <w:tc>
          <w:tcPr>
            <w:tcW w:w="2818" w:type="dxa"/>
          </w:tcPr>
          <w:p w14:paraId="65B5B85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общего назначения Т-26</w:t>
            </w:r>
          </w:p>
        </w:tc>
        <w:tc>
          <w:tcPr>
            <w:tcW w:w="2252" w:type="dxa"/>
          </w:tcPr>
          <w:p w14:paraId="076DA6E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13800</w:t>
            </w:r>
          </w:p>
        </w:tc>
        <w:tc>
          <w:tcPr>
            <w:tcW w:w="2126" w:type="dxa"/>
          </w:tcPr>
          <w:p w14:paraId="14A9398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11500</w:t>
            </w:r>
          </w:p>
        </w:tc>
        <w:tc>
          <w:tcPr>
            <w:tcW w:w="2126" w:type="dxa"/>
          </w:tcPr>
          <w:p w14:paraId="3B108D5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20000</w:t>
            </w:r>
          </w:p>
        </w:tc>
      </w:tr>
      <w:tr w:rsidR="00F26F01" w:rsidRPr="00C33834" w14:paraId="1569E284" w14:textId="77777777">
        <w:tc>
          <w:tcPr>
            <w:tcW w:w="2818" w:type="dxa"/>
          </w:tcPr>
          <w:p w14:paraId="166EB1A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оперативного назначения БТ-ПТ-1</w:t>
            </w:r>
          </w:p>
        </w:tc>
        <w:tc>
          <w:tcPr>
            <w:tcW w:w="2252" w:type="dxa"/>
          </w:tcPr>
          <w:p w14:paraId="2FA2992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2126" w:type="dxa"/>
          </w:tcPr>
          <w:p w14:paraId="0BDB4C1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2126" w:type="dxa"/>
          </w:tcPr>
          <w:p w14:paraId="7701A6D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7000</w:t>
            </w:r>
          </w:p>
        </w:tc>
      </w:tr>
      <w:tr w:rsidR="00F26F01" w:rsidRPr="00C33834" w14:paraId="11B7D609" w14:textId="77777777">
        <w:tc>
          <w:tcPr>
            <w:tcW w:w="2818" w:type="dxa"/>
          </w:tcPr>
          <w:p w14:paraId="1A23B12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танков прорыва Т-28</w:t>
            </w:r>
          </w:p>
        </w:tc>
        <w:tc>
          <w:tcPr>
            <w:tcW w:w="2252" w:type="dxa"/>
          </w:tcPr>
          <w:p w14:paraId="664FFEC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2126" w:type="dxa"/>
          </w:tcPr>
          <w:p w14:paraId="25EE21C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2126" w:type="dxa"/>
          </w:tcPr>
          <w:p w14:paraId="3B9301C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r>
      <w:tr w:rsidR="00F26F01" w:rsidRPr="00C33834" w14:paraId="621F2349" w14:textId="77777777">
        <w:tc>
          <w:tcPr>
            <w:tcW w:w="2818" w:type="dxa"/>
          </w:tcPr>
          <w:p w14:paraId="549AC73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тяжелых Т-35</w:t>
            </w:r>
          </w:p>
        </w:tc>
        <w:tc>
          <w:tcPr>
            <w:tcW w:w="2252" w:type="dxa"/>
          </w:tcPr>
          <w:p w14:paraId="50D9B92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2126" w:type="dxa"/>
          </w:tcPr>
          <w:p w14:paraId="4BA04EF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2126" w:type="dxa"/>
          </w:tcPr>
          <w:p w14:paraId="6002AFC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w:t>
            </w:r>
          </w:p>
        </w:tc>
      </w:tr>
      <w:tr w:rsidR="00F26F01" w:rsidRPr="00C33834" w14:paraId="1D2F3198" w14:textId="77777777">
        <w:tc>
          <w:tcPr>
            <w:tcW w:w="2818" w:type="dxa"/>
          </w:tcPr>
          <w:p w14:paraId="5F99A33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САУ</w:t>
            </w:r>
          </w:p>
        </w:tc>
        <w:tc>
          <w:tcPr>
            <w:tcW w:w="2252" w:type="dxa"/>
          </w:tcPr>
          <w:p w14:paraId="2417BDA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2126" w:type="dxa"/>
          </w:tcPr>
          <w:p w14:paraId="3DD300B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2126" w:type="dxa"/>
          </w:tcPr>
          <w:p w14:paraId="62CE3E0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r>
      <w:tr w:rsidR="00F26F01" w:rsidRPr="00C33834" w14:paraId="60EA257C" w14:textId="77777777">
        <w:tc>
          <w:tcPr>
            <w:tcW w:w="2818" w:type="dxa"/>
          </w:tcPr>
          <w:p w14:paraId="368E68E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52" w:type="dxa"/>
          </w:tcPr>
          <w:p w14:paraId="105AB00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2207F3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3BC7BE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88C237A" w14:textId="77777777">
        <w:tc>
          <w:tcPr>
            <w:tcW w:w="2818" w:type="dxa"/>
          </w:tcPr>
          <w:p w14:paraId="11ACEB5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Бронемашины</w:t>
            </w:r>
          </w:p>
        </w:tc>
        <w:tc>
          <w:tcPr>
            <w:tcW w:w="2252" w:type="dxa"/>
          </w:tcPr>
          <w:p w14:paraId="31CDA55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c>
          <w:tcPr>
            <w:tcW w:w="2126" w:type="dxa"/>
          </w:tcPr>
          <w:p w14:paraId="394D3660"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2126" w:type="dxa"/>
          </w:tcPr>
          <w:p w14:paraId="622BE20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r>
      <w:tr w:rsidR="00F26F01" w:rsidRPr="00C33834" w14:paraId="76D4A340" w14:textId="77777777">
        <w:tc>
          <w:tcPr>
            <w:tcW w:w="2818" w:type="dxa"/>
          </w:tcPr>
          <w:p w14:paraId="4339EAD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Автомобили</w:t>
            </w:r>
          </w:p>
        </w:tc>
        <w:tc>
          <w:tcPr>
            <w:tcW w:w="2252" w:type="dxa"/>
          </w:tcPr>
          <w:p w14:paraId="1FF32D0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50000</w:t>
            </w:r>
          </w:p>
        </w:tc>
        <w:tc>
          <w:tcPr>
            <w:tcW w:w="2126" w:type="dxa"/>
          </w:tcPr>
          <w:p w14:paraId="4F13F14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75000</w:t>
            </w:r>
          </w:p>
        </w:tc>
        <w:tc>
          <w:tcPr>
            <w:tcW w:w="2126" w:type="dxa"/>
          </w:tcPr>
          <w:p w14:paraId="4B1B714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200000</w:t>
            </w:r>
          </w:p>
        </w:tc>
      </w:tr>
      <w:tr w:rsidR="00F26F01" w:rsidRPr="00C33834" w14:paraId="4409D64C" w14:textId="77777777">
        <w:tc>
          <w:tcPr>
            <w:tcW w:w="2818" w:type="dxa"/>
          </w:tcPr>
          <w:p w14:paraId="5687C9E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Гусеничные тракторы</w:t>
            </w:r>
          </w:p>
        </w:tc>
        <w:tc>
          <w:tcPr>
            <w:tcW w:w="2252" w:type="dxa"/>
          </w:tcPr>
          <w:p w14:paraId="3258B1D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c>
          <w:tcPr>
            <w:tcW w:w="2126" w:type="dxa"/>
          </w:tcPr>
          <w:p w14:paraId="0FABCE5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5400</w:t>
            </w:r>
          </w:p>
        </w:tc>
        <w:tc>
          <w:tcPr>
            <w:tcW w:w="2126" w:type="dxa"/>
          </w:tcPr>
          <w:p w14:paraId="4D189B4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15000</w:t>
            </w:r>
          </w:p>
        </w:tc>
      </w:tr>
      <w:tr w:rsidR="00F26F01" w:rsidRPr="00C33834" w14:paraId="405915EA" w14:textId="77777777">
        <w:tc>
          <w:tcPr>
            <w:tcW w:w="2818" w:type="dxa"/>
          </w:tcPr>
          <w:p w14:paraId="486F03D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Орудия</w:t>
            </w:r>
          </w:p>
        </w:tc>
        <w:tc>
          <w:tcPr>
            <w:tcW w:w="2252" w:type="dxa"/>
          </w:tcPr>
          <w:p w14:paraId="65F32DF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18000</w:t>
            </w:r>
          </w:p>
        </w:tc>
        <w:tc>
          <w:tcPr>
            <w:tcW w:w="2126" w:type="dxa"/>
          </w:tcPr>
          <w:p w14:paraId="3D3734E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28615</w:t>
            </w:r>
          </w:p>
        </w:tc>
        <w:tc>
          <w:tcPr>
            <w:tcW w:w="2126" w:type="dxa"/>
          </w:tcPr>
          <w:p w14:paraId="09F6138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41600</w:t>
            </w:r>
          </w:p>
        </w:tc>
      </w:tr>
      <w:tr w:rsidR="00F26F01" w:rsidRPr="00C33834" w14:paraId="20F5D914" w14:textId="77777777">
        <w:tc>
          <w:tcPr>
            <w:tcW w:w="2818" w:type="dxa"/>
          </w:tcPr>
          <w:p w14:paraId="34AA77F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Снаряды</w:t>
            </w:r>
          </w:p>
        </w:tc>
        <w:tc>
          <w:tcPr>
            <w:tcW w:w="2252" w:type="dxa"/>
          </w:tcPr>
          <w:p w14:paraId="0ACA17C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46400000</w:t>
            </w:r>
          </w:p>
        </w:tc>
        <w:tc>
          <w:tcPr>
            <w:tcW w:w="2126" w:type="dxa"/>
          </w:tcPr>
          <w:p w14:paraId="05FEF23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84200000</w:t>
            </w:r>
          </w:p>
        </w:tc>
        <w:tc>
          <w:tcPr>
            <w:tcW w:w="2126" w:type="dxa"/>
          </w:tcPr>
          <w:p w14:paraId="209F791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160000000</w:t>
            </w:r>
          </w:p>
        </w:tc>
      </w:tr>
      <w:tr w:rsidR="00F26F01" w:rsidRPr="00C33834" w14:paraId="3FF9CBA6" w14:textId="77777777">
        <w:tc>
          <w:tcPr>
            <w:tcW w:w="2818" w:type="dxa"/>
          </w:tcPr>
          <w:p w14:paraId="129586B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Винтовки</w:t>
            </w:r>
          </w:p>
        </w:tc>
        <w:tc>
          <w:tcPr>
            <w:tcW w:w="2252" w:type="dxa"/>
          </w:tcPr>
          <w:p w14:paraId="0D5D178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1575000</w:t>
            </w:r>
          </w:p>
        </w:tc>
        <w:tc>
          <w:tcPr>
            <w:tcW w:w="2126" w:type="dxa"/>
          </w:tcPr>
          <w:p w14:paraId="475B9C9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2000000</w:t>
            </w:r>
          </w:p>
        </w:tc>
        <w:tc>
          <w:tcPr>
            <w:tcW w:w="2126" w:type="dxa"/>
          </w:tcPr>
          <w:p w14:paraId="2092EF79"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3000000</w:t>
            </w:r>
          </w:p>
        </w:tc>
      </w:tr>
      <w:tr w:rsidR="00F26F01" w:rsidRPr="00C33834" w14:paraId="73A5A7AE" w14:textId="77777777">
        <w:tc>
          <w:tcPr>
            <w:tcW w:w="2818" w:type="dxa"/>
          </w:tcPr>
          <w:p w14:paraId="6D067F3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Пулеметы</w:t>
            </w:r>
          </w:p>
        </w:tc>
        <w:tc>
          <w:tcPr>
            <w:tcW w:w="2252" w:type="dxa"/>
          </w:tcPr>
          <w:p w14:paraId="2D4B27A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117800</w:t>
            </w:r>
          </w:p>
        </w:tc>
        <w:tc>
          <w:tcPr>
            <w:tcW w:w="2126" w:type="dxa"/>
          </w:tcPr>
          <w:p w14:paraId="373C7D2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175000</w:t>
            </w:r>
          </w:p>
        </w:tc>
        <w:tc>
          <w:tcPr>
            <w:tcW w:w="2126" w:type="dxa"/>
          </w:tcPr>
          <w:p w14:paraId="2699C19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206000</w:t>
            </w:r>
          </w:p>
        </w:tc>
      </w:tr>
      <w:tr w:rsidR="00F26F01" w:rsidRPr="00C33834" w14:paraId="332D92EB" w14:textId="77777777">
        <w:tc>
          <w:tcPr>
            <w:tcW w:w="2818" w:type="dxa"/>
          </w:tcPr>
          <w:p w14:paraId="351EC3E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Патроны</w:t>
            </w:r>
          </w:p>
        </w:tc>
        <w:tc>
          <w:tcPr>
            <w:tcW w:w="2252" w:type="dxa"/>
          </w:tcPr>
          <w:p w14:paraId="784D90B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5500000000</w:t>
            </w:r>
          </w:p>
        </w:tc>
        <w:tc>
          <w:tcPr>
            <w:tcW w:w="2126" w:type="dxa"/>
          </w:tcPr>
          <w:p w14:paraId="52B6821E"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8000000000</w:t>
            </w:r>
          </w:p>
        </w:tc>
        <w:tc>
          <w:tcPr>
            <w:tcW w:w="2126" w:type="dxa"/>
          </w:tcPr>
          <w:p w14:paraId="3EAAA29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14000000000</w:t>
            </w:r>
          </w:p>
        </w:tc>
      </w:tr>
      <w:tr w:rsidR="00F26F01" w:rsidRPr="00C33834" w14:paraId="27150D73" w14:textId="77777777">
        <w:tc>
          <w:tcPr>
            <w:tcW w:w="2818" w:type="dxa"/>
          </w:tcPr>
          <w:p w14:paraId="7669FD16"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Авиабомбы (тонн)</w:t>
            </w:r>
          </w:p>
        </w:tc>
        <w:tc>
          <w:tcPr>
            <w:tcW w:w="2252" w:type="dxa"/>
          </w:tcPr>
          <w:p w14:paraId="5B1F2C4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100000</w:t>
            </w:r>
          </w:p>
        </w:tc>
        <w:tc>
          <w:tcPr>
            <w:tcW w:w="2126" w:type="dxa"/>
          </w:tcPr>
          <w:p w14:paraId="55F2803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200000</w:t>
            </w:r>
          </w:p>
        </w:tc>
        <w:tc>
          <w:tcPr>
            <w:tcW w:w="2126" w:type="dxa"/>
          </w:tcPr>
          <w:p w14:paraId="532E0224"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500000</w:t>
            </w:r>
          </w:p>
        </w:tc>
      </w:tr>
      <w:tr w:rsidR="00F26F01" w:rsidRPr="00C33834" w14:paraId="390700D2" w14:textId="77777777">
        <w:tc>
          <w:tcPr>
            <w:tcW w:w="2818" w:type="dxa"/>
          </w:tcPr>
          <w:p w14:paraId="6DB1BD9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Химоружие (тонн)</w:t>
            </w:r>
          </w:p>
        </w:tc>
        <w:tc>
          <w:tcPr>
            <w:tcW w:w="2252" w:type="dxa"/>
          </w:tcPr>
          <w:p w14:paraId="56C3D26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63000</w:t>
            </w:r>
          </w:p>
        </w:tc>
        <w:tc>
          <w:tcPr>
            <w:tcW w:w="2126" w:type="dxa"/>
          </w:tcPr>
          <w:p w14:paraId="316C87D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150000</w:t>
            </w:r>
          </w:p>
        </w:tc>
        <w:tc>
          <w:tcPr>
            <w:tcW w:w="2126" w:type="dxa"/>
          </w:tcPr>
          <w:p w14:paraId="2BA3768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250000</w:t>
            </w:r>
          </w:p>
        </w:tc>
      </w:tr>
    </w:tbl>
    <w:p w14:paraId="5CB741B8"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(9448)</w:t>
      </w:r>
    </w:p>
    <w:p w14:paraId="7D6109F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0EC8CFBB"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года на территории будущего завода 288 и 491 было закончено строительство одного производственного корпуса и был произведен выпуск продукции. До 1936 года завод находился в ведении треста автогаражного оборудования «ГАРО». В 1937 году вошел в систему авиапромышленности как опытный завод № 288 по гидросамолетостроению. Завод имел самостоятельное ОКБ, гл. еонструкторами которого последовательно были Самсонов и Бериев. В 1941 году завод № 288 был эвакуирован в Омск, а на базе его были созданы фронтовые мастерские НКАП. В июне 1943 года на эту промплощадку был перебазирован завод № 2 Оргавиапрома, реэвакуированный из Челябинской области. Объединенному заводу был присвоен № 491. На нем таким образом, произошло слияние кадров бывш. завода № 288, основная часть работников которого вернулась из эвакуации, завода № 2 Оргавиапрома и фронтовых мастерских. Начиная с 1943 года МАП профилировало завод по изготовлению специального и уникального оборудования для производства самолетов, авиадвигателей и приборов (10279).</w:t>
      </w:r>
    </w:p>
    <w:p w14:paraId="48D601F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1510D4C1"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июне 1933, разрабатываемы в ОТБ с осени 1932 г. группой Коренева автопилот АВП-2, который имел два свободных гироскопа – курсовой и продольно-поперечный – и с помощью рулевых машинок с пневмоприводом мог управлять самолётом был установлен на бомбардировщик ТБ-1 и прошёл испытания, в том числе во время 8-часового перелёта по маршруту Евпатория – Харьков – Москва (22673).</w:t>
      </w:r>
    </w:p>
    <w:p w14:paraId="41BEB4AC" w14:textId="77777777" w:rsidR="00231D42" w:rsidRPr="00C33834" w:rsidRDefault="00231D42" w:rsidP="00C33834">
      <w:pPr>
        <w:spacing w:after="0" w:line="240" w:lineRule="auto"/>
        <w:jc w:val="both"/>
        <w:rPr>
          <w:rFonts w:ascii="Times New Roman" w:hAnsi="Times New Roman"/>
          <w:color w:val="0070C0"/>
          <w:sz w:val="16"/>
          <w:szCs w:val="16"/>
        </w:rPr>
      </w:pPr>
    </w:p>
    <w:p w14:paraId="6884CCDC" w14:textId="77777777" w:rsidR="00FC3467" w:rsidRPr="00C33834" w:rsidRDefault="00FC3467" w:rsidP="00C33834">
      <w:pPr>
        <w:shd w:val="clear" w:color="auto" w:fill="FFFFFF"/>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shd w:val="clear" w:color="auto" w:fill="FFFFFF"/>
        </w:rPr>
        <w:t>В июне 1933 года Сталину доложили, что Анастас Микоян опять летал на самолете. Решение Политбюро последовало незамедлительно: "За грубое нарушение постановления Политбюро ЦК ВКП (б) о запрете полетов ответработникам объявить т.Микояну строгий выговор" (21579).</w:t>
      </w:r>
    </w:p>
    <w:p w14:paraId="49B3F807" w14:textId="77777777" w:rsidR="00FC3467" w:rsidRPr="00C33834" w:rsidRDefault="00FC3467" w:rsidP="00C33834">
      <w:pPr>
        <w:shd w:val="clear" w:color="auto" w:fill="FFFFFF"/>
        <w:spacing w:after="0" w:line="240" w:lineRule="auto"/>
        <w:jc w:val="both"/>
        <w:rPr>
          <w:rFonts w:ascii="Times New Roman" w:hAnsi="Times New Roman"/>
          <w:color w:val="0070C0"/>
          <w:sz w:val="16"/>
          <w:szCs w:val="16"/>
        </w:rPr>
      </w:pPr>
    </w:p>
    <w:p w14:paraId="55172492"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июне месяце 1933 проект аэростата Осоавиахим-1 был переделан в третий раз и оболочка была доведена в объеме до 24.940 кб. м. При подъемной силе газа 2600 кг и весе всей системы 2480 кг, стратостат полностью восполнялся на 17.700 метрах и за счет сплавной силы в 120 кгр достигал зоны равновесия на 19.500 м. </w:t>
      </w:r>
    </w:p>
    <w:p w14:paraId="73E2D0D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xml:space="preserve">К 17 августа 1934 г. стратостат был построен, собран, осмотрен комиссией Гражданского Воздушного флота под руководством т. СПАССКОГО и получил свидетельство на полет, хотя в акте люк кабины был признан неудовлетворительным по закрытию. </w:t>
      </w:r>
    </w:p>
    <w:p w14:paraId="5F721C0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Конструкция в основном рассчитывалась на малый полетный вес и малое количество маневренного и посадочного балласта: в оболочке применялась материя весом 62 грамма на 1 кв. мт. (в однослойных полотнищах), способ крепления такелажа был применен без верхней сетки по всей оболочке, а к оригинального устройства лапам, пришитым и приклеенным ниже экватора оболочки к поясу двухслойной материи. Такелаж предусматривался с уменьшенными стропами (8), соединенными в одном кольце. Общее количество в числе 8. Гондола шарообразной формы строилась из стали в 0,8 мм путем сварки и имела люк, открывающийся во внутрь кабины и задраиваемый 12 болтами на барашках, балласт располагался внутри кабины и мог выбрасываться через два трубчатых сбрасывателя путем перекрывания двух кранов в течение 800 кгр — 800 сек., управление клапаном выводилось из кабины через коленчатую трубку, наполненную ртутью, уздечка к разрывному приспособлению прикреплялась к кольцу над гондолой. </w:t>
      </w:r>
    </w:p>
    <w:p w14:paraId="37AAD9B1"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Каждая деталь, материал и агрегаты испытывались в лаборатории и показали запасы прочности, предусмотренные расчетами. </w:t>
      </w:r>
    </w:p>
    <w:p w14:paraId="306E3345"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Общего расчета на конструкцию комиссия не могла получить от инженера Чертовского, ведавшего постройкой, а также не найден он и в делах т. Федосеенко, с мая м-ца фактически руководившего всеми работами по постройке и подготовке к полету. Самая постройка производилась по отдельным чертежам, выдаваемым на заводы инженером Чертовским. В основном все расчеты предусматривали и фактические испытания проводили на статические нагрузки, динамические нагрузки принимались больше первых в 4 раза, но испытаний на динамические нагрузки не проводилось за неимением машин и малой отработанностью самих методов испытаний. Раскрой и пошивка оболочки производилась кустарным способом в мастерских Института Аэросъемки. Фактической поверки расчетов и общей компоновки проекта не производилось и все лежало на усмотрении и знаниях т. Федосеенко, Васенко и Чертовского. Консультационный совет рассматривал на заседаниях предложения этих товарищей, вносил отдельные замечания, но не следил и не добивался исправлений по этим замечаниям. Комиссия считает, что техническая проработка конструкции была достаточна в объеме задач, поставленных себе т. Федосеенко и Власенко, но ее целесообразность и соответствие поставленным задачам по существу не были проверены консультационным советом при ЛОСО. Наблюдение в процессе постройки осуществлялось инженером Чертовским в пределах его знаний и практического опыта, но помощи в техническом руководстве он не имел. </w:t>
      </w:r>
    </w:p>
    <w:p w14:paraId="0EB19AF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Так в тексте; правильно: Васенко. </w:t>
      </w:r>
    </w:p>
    <w:p w14:paraId="4E9382DF"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 Так в тексте; правильно: 1933 г. </w:t>
      </w:r>
    </w:p>
    <w:p w14:paraId="0C10903D"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 * Так в тексте; правильно: 1933 г. </w:t>
      </w:r>
    </w:p>
    <w:p w14:paraId="727A24D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 * * Так в тексте; правильно: Васенко (11611).</w:t>
      </w:r>
    </w:p>
    <w:p w14:paraId="52E50EAC"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p>
    <w:p w14:paraId="3870B4FA"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г., после выезда в Ленинград комиссии т. Ильина (обнаружившей обезличку в ходе постройки стратостата), решением президиума Леноблсовета наблюдение было возложено на Зам. пред. Лен. Осоавиахима т. Барандохина; но и эта мера не обеспечивала конкретного технического руководства, т. к. сейчас нельзя восстановить, кем же, кроме Федосеенко, утверждено изменение объема кубатуры оболочки, т. к. было решено вначале иметь ее объем в 20.000 м</w:t>
      </w:r>
      <w:r w:rsidRPr="00C33834">
        <w:rPr>
          <w:rFonts w:ascii="Times New Roman" w:hAnsi="Times New Roman"/>
          <w:color w:val="000000" w:themeColor="text1"/>
          <w:sz w:val="16"/>
          <w:szCs w:val="16"/>
          <w:vertAlign w:val="superscript"/>
        </w:rPr>
        <w:t>3</w:t>
      </w:r>
      <w:r w:rsidRPr="00C33834">
        <w:rPr>
          <w:rFonts w:ascii="Times New Roman" w:hAnsi="Times New Roman"/>
          <w:color w:val="000000" w:themeColor="text1"/>
          <w:sz w:val="16"/>
          <w:szCs w:val="16"/>
        </w:rPr>
        <w:t>, потом 22.000, а впоследствии 24.940 м</w:t>
      </w:r>
      <w:r w:rsidRPr="00C33834">
        <w:rPr>
          <w:rFonts w:ascii="Times New Roman" w:hAnsi="Times New Roman"/>
          <w:color w:val="000000" w:themeColor="text1"/>
          <w:sz w:val="16"/>
          <w:szCs w:val="16"/>
          <w:vertAlign w:val="superscript"/>
        </w:rPr>
        <w:t>3</w:t>
      </w:r>
      <w:r w:rsidRPr="00C33834">
        <w:rPr>
          <w:rFonts w:ascii="Times New Roman" w:hAnsi="Times New Roman"/>
          <w:color w:val="000000" w:themeColor="text1"/>
          <w:sz w:val="16"/>
          <w:szCs w:val="16"/>
        </w:rPr>
        <w:t xml:space="preserve">. </w:t>
      </w:r>
    </w:p>
    <w:p w14:paraId="56DBA227"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Опыт конструкции стратостата СССР Ленинградской группой не использовался, а всякое указание явно игнорировалось. </w:t>
      </w:r>
    </w:p>
    <w:p w14:paraId="42E88903" w14:textId="77777777" w:rsidR="00664564" w:rsidRPr="00C33834" w:rsidRDefault="0066456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этой части надлежащего конкретного организационного руководства со стороны руководящих лиц Осоавиахима (Ильин, Барандохин) не было, и их утверждение, что все проводится без проверки, по существу только прикрывало самотек и самостийность действий конструкторов (11611).</w:t>
      </w:r>
    </w:p>
    <w:p w14:paraId="6DDCFF92" w14:textId="77777777" w:rsidR="00664564" w:rsidRPr="00C33834" w:rsidRDefault="0066456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21ACB3" w14:textId="77777777" w:rsidR="00231D42" w:rsidRPr="00C33834" w:rsidRDefault="00231D42" w:rsidP="00C33834">
      <w:pPr>
        <w:pStyle w:val="HTML2"/>
        <w:shd w:val="clear" w:color="auto" w:fill="FFFFFF"/>
        <w:jc w:val="both"/>
        <w:rPr>
          <w:color w:val="0070C0"/>
          <w:sz w:val="16"/>
          <w:szCs w:val="16"/>
        </w:rPr>
      </w:pPr>
      <w:r w:rsidRPr="00C33834">
        <w:rPr>
          <w:i w:val="0"/>
          <w:iCs w:val="0"/>
          <w:color w:val="0070C0"/>
          <w:sz w:val="16"/>
          <w:szCs w:val="16"/>
        </w:rPr>
        <w:t>В июне 1933 года инженер Риддель от которого осенью 1932 поступило предложение от группы американских инженеров помочь в решении "гелиевого вопроса" частным порядком, без привлечения какой-либо фирмы приехал в СССР и связался с начальником одного из отделов экономического управления ОГПУ Павлом Гуровским (именно это управление ведало внешнеэкономической разведкой и вело дела о "вредительстве" в советской промышленности). Тот ухватился за предложение американцев и вместе с руководителями иностранного отдела (ИНО) Наркомтяжпрома СССР стал склонять нового начальника треста "Союзгаз" Моисея Гурвича к подписанию договора "о доставке комплексного технико-проектного и расчетного материала по гелию". Вопрос был вынесен на решение наркома тяжелой промышленности Серго Орджоникидзе.</w:t>
      </w:r>
    </w:p>
    <w:p w14:paraId="36EB1E74" w14:textId="77777777" w:rsidR="00231D42" w:rsidRPr="00C33834" w:rsidRDefault="00231D42" w:rsidP="00C33834">
      <w:pPr>
        <w:pStyle w:val="HTML2"/>
        <w:shd w:val="clear" w:color="auto" w:fill="FFFFFF"/>
        <w:jc w:val="both"/>
        <w:rPr>
          <w:color w:val="0070C0"/>
          <w:sz w:val="16"/>
          <w:szCs w:val="16"/>
        </w:rPr>
      </w:pPr>
      <w:r w:rsidRPr="00C33834">
        <w:rPr>
          <w:i w:val="0"/>
          <w:iCs w:val="0"/>
          <w:color w:val="0070C0"/>
          <w:sz w:val="16"/>
          <w:szCs w:val="16"/>
        </w:rPr>
        <w:t>Начальник ИНО НКТП и управляющий "Союзгаза" признавались в письме к наркому, что "работы, проводившиеся в Союзе по гелию на протяжении 3-4 лет, бесспорно, показали, что самостоятельное разрешение в СССР гелиевого дела нам не под силу". Чтобы не было "потери темпа и детских болезней, неизбежных при новом деле, и для сбережения огромных затрат и усилий" наркому предлагалось обратиться за помощью к американцам. Однако далее мнения авторов письма разделились. Начальник ИНО НКТП считал, что нужно заплатить группе Ридделя: это было бы дешевле, делало американских сотрудников на срок договора зависимыми "от нас" (вероятно, от ОГПУ) и позволяло в случае неудовлетворительного выполнения договора ничего не платить. "Союзгаз" считал, что необходимо поддержать предложение The Helium Co. Это было хотя и дороже, но надежнее с точки зрения достижения намеченной цели – начала широкой эксплуатации газовых месторождений СССР и получения советского гелия в промышленных объемах. В качестве аргументов Моисей Гурвич указывал на практический опыт фирмы, производящей весь цикл работ, и возможность стажировки советских специалистов в США. Даже материальный вопрос не носил такого острого характера, поскольку к моменту написания письма, июню 1933 года, американская компания снизила сумму контракта до 350 тыс. долларов и, как писал Гурвич, эту сумму можно было еще снизить до 250 тыс (21452).</w:t>
      </w:r>
    </w:p>
    <w:p w14:paraId="74FC104B" w14:textId="77777777" w:rsidR="00231D42" w:rsidRPr="00C33834" w:rsidRDefault="00231D42" w:rsidP="00C33834">
      <w:pPr>
        <w:pStyle w:val="article-renderblock"/>
        <w:shd w:val="clear" w:color="auto" w:fill="FFFFFF"/>
        <w:spacing w:before="0" w:beforeAutospacing="0" w:after="0" w:afterAutospacing="0"/>
        <w:jc w:val="both"/>
        <w:rPr>
          <w:color w:val="0070C0"/>
          <w:sz w:val="16"/>
          <w:szCs w:val="16"/>
        </w:rPr>
      </w:pPr>
    </w:p>
    <w:p w14:paraId="524568D1" w14:textId="77777777" w:rsidR="00EA7008"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BD2FF9A" w14:textId="77777777" w:rsidR="00EA7008" w:rsidRPr="00C33834" w:rsidRDefault="00EA700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8A4A370"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опытный образец СУ-14 был закончен, на нем была установлена 203-мм гаубица Б-4, имевшая лишь незначительные изменения. Ходовая часть СУ-14 в основном была комбинацией из агрегатов танков Т-26 и Т-35. Подобно танку Т-35 на СУ-14 был установлен авиационный карбюраторный двигатель М-17, развивавший мощность 500 л. с. при 1450 об/мин. Двигатель располагался в передней части установки. Впереди слева по ходу шасси находилось место механика-водителя, остальные номера расчета помещались на трех съемных скамьях в кормовой части установки. Возимый боекомплект установки 8 выстрелов. При стрельбе СУ-14 опиралась на два задних сошника, имевших ручной и гидравлический приводы. После заводской обкатки на расстояние 80 км СУ-14 была направлена на НИАП, где с 1 по 15 августа проводилась показательная стрельба в присутствии маршала Ворошилова. После этого СУ-14 долго ремонтировалась и модернизировалась ( в основном ходовая часть) (3861).</w:t>
      </w:r>
    </w:p>
    <w:p w14:paraId="5F1F007D"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43629E8A"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г. собрали опытный образец тяжёлой самоходной артиллерийской установки САУ-14, тогда же на него была установлена 203-мм гаубица Б-4. Корпус САУ, клепаносварной конструкции, изготовили из катаных броневых листов. На верхней палубе САУ установили 203-мм гаубицу без каких-либо значительных переделок. Полевая гаубица Б-4 была создана КБ «Большевика» и имела раздельное картузное заряжание, затвор поршневой. Гаубица была принята на вооружение в 1932 г. Как орудие АРГК гаубица стала поступать на вооружение РККА с 1932 г. Для самоходной установки орудие Б-4 было частично доработано в части его размещения на шасси. Возимый боекомплект САУ составлял восемь выстрелов. С установки могли использоваться снаряды нескольких типов, в том числе фугасно-бетонобойные, пробивающие железобетонные перекрытая толщиной до 1 метра (15132).</w:t>
      </w:r>
    </w:p>
    <w:p w14:paraId="3968F9E3" w14:textId="77777777" w:rsidR="003417C8" w:rsidRPr="00C33834" w:rsidRDefault="003417C8" w:rsidP="00C33834">
      <w:pPr>
        <w:spacing w:after="0" w:line="240" w:lineRule="auto"/>
        <w:jc w:val="both"/>
        <w:rPr>
          <w:rFonts w:ascii="Times New Roman" w:hAnsi="Times New Roman"/>
          <w:color w:val="000000" w:themeColor="text1"/>
          <w:sz w:val="16"/>
          <w:szCs w:val="16"/>
        </w:rPr>
      </w:pPr>
    </w:p>
    <w:p w14:paraId="0B474692"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СТО принял Постановление №51 “Об изготовлении двух опытных образцов неплавающих колесно-гусеничных танков типа ПТ-1. В основу разработки был положен проект колесно-гусеничного танка - танка истребителя ИТ-3, разработанный Автотанковым бюро ТО ЭКУ ОГПУ с учетом опыта по ПТ-1 Н.А.Астрова (9527,119).</w:t>
      </w:r>
    </w:p>
    <w:p w14:paraId="486AFEFE"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4BC539B4"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г. СТО принял постановление № 51 «Об изготовлении двух опытных образцов неплавающего колесно-гусеничного танка типа ПТ-1» со следующими ТТХ: «Боевой вес не более 17,5 т, толщина бронирования — 20 мм, вооружение: 1 — 76,2-мм пушка и 4 пулемета, эки</w:t>
      </w:r>
      <w:r w:rsidRPr="00C33834">
        <w:rPr>
          <w:rFonts w:ascii="Times New Roman" w:hAnsi="Times New Roman"/>
          <w:color w:val="000000" w:themeColor="text1"/>
          <w:sz w:val="16"/>
          <w:szCs w:val="16"/>
        </w:rPr>
        <w:softHyphen/>
        <w:t>паж - 5 чел., максимальная скорость на колесах — 70 км/ч, на гусеницах - 50 км/ч». Проект трехбашенного танка на шасси ПТ-1А был разра</w:t>
      </w:r>
      <w:r w:rsidRPr="00C33834">
        <w:rPr>
          <w:rFonts w:ascii="Times New Roman" w:hAnsi="Times New Roman"/>
          <w:color w:val="000000" w:themeColor="text1"/>
          <w:sz w:val="16"/>
          <w:szCs w:val="16"/>
        </w:rPr>
        <w:softHyphen/>
        <w:t>ботан ЭКУ ОПТУ под руководством Н. Астрова в пяти вариантах. В 1934 г. ввиду расформирования КБ ОГПУ опыт</w:t>
      </w:r>
      <w:r w:rsidRPr="00C33834">
        <w:rPr>
          <w:rFonts w:ascii="Times New Roman" w:hAnsi="Times New Roman"/>
          <w:color w:val="000000" w:themeColor="text1"/>
          <w:sz w:val="16"/>
          <w:szCs w:val="16"/>
        </w:rPr>
        <w:softHyphen/>
        <w:t>ные образцы танков Т-29-4 и Т-29-5, были изготовлены на опытном заводе Спецмаштреста им. Кирова. Между собой варианты отличались толщиной брони (15—20 мм и 20—30 мм соответственно), массой (16,8 и 23,2 т), скоростью и дальностью хода. Компоновка и воору</w:t>
      </w:r>
      <w:r w:rsidRPr="00C33834">
        <w:rPr>
          <w:rFonts w:ascii="Times New Roman" w:hAnsi="Times New Roman"/>
          <w:color w:val="000000" w:themeColor="text1"/>
          <w:sz w:val="16"/>
          <w:szCs w:val="16"/>
        </w:rPr>
        <w:softHyphen/>
        <w:t>жение у них были аналогичны. Серийный танк Т-28 тем временем тоже подвергся до</w:t>
      </w:r>
      <w:r w:rsidRPr="00C33834">
        <w:rPr>
          <w:rFonts w:ascii="Times New Roman" w:hAnsi="Times New Roman"/>
          <w:color w:val="000000" w:themeColor="text1"/>
          <w:sz w:val="16"/>
          <w:szCs w:val="16"/>
        </w:rPr>
        <w:softHyphen/>
        <w:t>работкам в КБ Кировского завода. Был проведен комплекс мер по совершенствованию конструкции трансмиссии. Танки выпуска 1935 г. по надежности уже не шли ни в какое сравнение с танками первых серий. Поломки у них встре</w:t>
      </w:r>
      <w:r w:rsidRPr="00C33834">
        <w:rPr>
          <w:rFonts w:ascii="Times New Roman" w:hAnsi="Times New Roman"/>
          <w:color w:val="000000" w:themeColor="text1"/>
          <w:sz w:val="16"/>
          <w:szCs w:val="16"/>
        </w:rPr>
        <w:softHyphen/>
        <w:t xml:space="preserve">чались все реже и реже. А вскоре СКБ-2 под руководством О. Иванова предприняло самостоятельную работу по созданию скоростного танка «Сталин». Ведущим инженером танка, получившего индекс Т-28А, стал А. Ефимов. Танк получил новую КПП и бортредуктора и на испытаниях 11 сентября развил скорость 55,8 км/ч. После доработок комиссия под руководством командира 6-й тбр Лизюкова отмечала, что танк Т-28А является вполнее пригодным для войсковой эксплуатации. «Для прохождения средне-пересеченнои местности третья передача (46 км/час при оборотах яигателя 1450 об/мин) должна быть нормальной экспуата-ионной, а четвертая (55,8 км/час при 1450 об/мин) должна шъ резервной при движении по грунтовым дорогам и шоссе.». В 1934-35 гг. танки Т-29-4 и Т-29-5 прошли обширные испытания совместно с танками Т-28, показав при этом ряд преимуществ. В частности, отмечалось, что танк Т-29 имеет лучшую поворотливость и подвижность, особенно во время маршей на дорогах. Среднетехническая и эксплуатационная скорость Т-29 была сравнима со скоростью скоростного Т-28А и, конечно, выше, чем у серийного танка Т-28. Но </w:t>
      </w:r>
      <w:r w:rsidRPr="00C33834">
        <w:rPr>
          <w:rFonts w:ascii="Times New Roman" w:hAnsi="Times New Roman"/>
          <w:color w:val="000000" w:themeColor="text1"/>
          <w:sz w:val="16"/>
          <w:szCs w:val="16"/>
        </w:rPr>
        <w:lastRenderedPageBreak/>
        <w:t>главное — за все время испытаний танк ни разу не простаивал неисправным, так как даже в случае внезапной потери гусеничной цепи сохранял способность к движе</w:t>
      </w:r>
      <w:r w:rsidRPr="00C33834">
        <w:rPr>
          <w:rFonts w:ascii="Times New Roman" w:hAnsi="Times New Roman"/>
          <w:color w:val="000000" w:themeColor="text1"/>
          <w:sz w:val="16"/>
          <w:szCs w:val="16"/>
        </w:rPr>
        <w:softHyphen/>
        <w:t>нию из-за синхронизации гусеничного и колесного хода. По вооружению танк Т-29 был аналогичен своему трех-башенному предшественнику. Но поскольку его башня имела меньшие размеры, чем таковая у Т-28 (ее конструк</w:t>
      </w:r>
      <w:r w:rsidRPr="00C33834">
        <w:rPr>
          <w:rFonts w:ascii="Times New Roman" w:hAnsi="Times New Roman"/>
          <w:color w:val="000000" w:themeColor="text1"/>
          <w:sz w:val="16"/>
          <w:szCs w:val="16"/>
        </w:rPr>
        <w:softHyphen/>
        <w:t>ция была подобна башне танка Т-26-4), на испытаниях стрельбой танк проигрывал в скорострельности. Несмотря на то, что башня была двухместной, постоянно отмечалась теснота внутри, и потому ее конструкцию рекомендовалось пересмотреть. Но все же танк был очень сложен в производстве, регу</w:t>
      </w:r>
      <w:r w:rsidRPr="00C33834">
        <w:rPr>
          <w:rFonts w:ascii="Times New Roman" w:hAnsi="Times New Roman"/>
          <w:color w:val="000000" w:themeColor="text1"/>
          <w:sz w:val="16"/>
          <w:szCs w:val="16"/>
        </w:rPr>
        <w:softHyphen/>
        <w:t>лировке и обслуживании из-за наличия колесного хода с приводом на несколько осей. По окончании испытаний Т-29-4 и Т-29-5 были скорректированы ТТТ, по которым в 1935-36 гг. КБ завода Спецмаштреста им. Кирова под руководством ведущего инженера В. Цейца был спроектирован и изготовлен эта</w:t>
      </w:r>
      <w:r w:rsidRPr="00C33834">
        <w:rPr>
          <w:rFonts w:ascii="Times New Roman" w:hAnsi="Times New Roman"/>
          <w:color w:val="000000" w:themeColor="text1"/>
          <w:sz w:val="16"/>
          <w:szCs w:val="16"/>
        </w:rPr>
        <w:softHyphen/>
        <w:t>лонный образец танка Т-29 для серийного производства. В целом компоновочно танк повторял уже рассмотрен</w:t>
      </w:r>
      <w:r w:rsidRPr="00C33834">
        <w:rPr>
          <w:rFonts w:ascii="Times New Roman" w:hAnsi="Times New Roman"/>
          <w:color w:val="000000" w:themeColor="text1"/>
          <w:sz w:val="16"/>
          <w:szCs w:val="16"/>
        </w:rPr>
        <w:softHyphen/>
        <w:t>ные Т-29-4 и Т-29-5, но круг обслуживания главной башни был увеличен на 100 мм в диаметре. В качестве основного вооружения танка планировалась установка в лобовой час</w:t>
      </w:r>
      <w:r w:rsidRPr="00C33834">
        <w:rPr>
          <w:rFonts w:ascii="Times New Roman" w:hAnsi="Times New Roman"/>
          <w:color w:val="000000" w:themeColor="text1"/>
          <w:sz w:val="16"/>
          <w:szCs w:val="16"/>
        </w:rPr>
        <w:softHyphen/>
        <w:t>ти большой башни 76,2-мм пушки ПС-3 и 7,62-мм пулеме</w:t>
      </w:r>
      <w:r w:rsidRPr="00C33834">
        <w:rPr>
          <w:rFonts w:ascii="Times New Roman" w:hAnsi="Times New Roman"/>
          <w:color w:val="000000" w:themeColor="text1"/>
          <w:sz w:val="16"/>
          <w:szCs w:val="16"/>
        </w:rPr>
        <w:softHyphen/>
        <w:t>та ДТ в шаровой установке. Еще один пулемет устанавли</w:t>
      </w:r>
      <w:r w:rsidRPr="00C33834">
        <w:rPr>
          <w:rFonts w:ascii="Times New Roman" w:hAnsi="Times New Roman"/>
          <w:color w:val="000000" w:themeColor="text1"/>
          <w:sz w:val="16"/>
          <w:szCs w:val="16"/>
        </w:rPr>
        <w:softHyphen/>
        <w:t>вался в кормовом шаровом яблоке. Он же мог быть перене</w:t>
      </w:r>
      <w:r w:rsidRPr="00C33834">
        <w:rPr>
          <w:rFonts w:ascii="Times New Roman" w:hAnsi="Times New Roman"/>
          <w:color w:val="000000" w:themeColor="text1"/>
          <w:sz w:val="16"/>
          <w:szCs w:val="16"/>
        </w:rPr>
        <w:softHyphen/>
        <w:t>сен на крышу для обороны танка с воздуха. Малые пулеметные башни, вооруженные 7,62-мм пуле</w:t>
      </w:r>
      <w:r w:rsidRPr="00C33834">
        <w:rPr>
          <w:rFonts w:ascii="Times New Roman" w:hAnsi="Times New Roman"/>
          <w:color w:val="000000" w:themeColor="text1"/>
          <w:sz w:val="16"/>
          <w:szCs w:val="16"/>
        </w:rPr>
        <w:softHyphen/>
        <w:t>метами ДТ каждая, заимствовались от танка Т-28. Планировалось, что в 1937 г. завод начнет серийный выпуск танка Т-29, но эталонный Танк упорно не желал сдаваться и даже на испытаниях марта 1937 г. продолжал «радовать» испытателей очередными фортелями. Подлили масла в огонь и финансовые расчеты. Они не радовали. Даже с учетом широкой унификации вооруже</w:t>
      </w:r>
      <w:r w:rsidRPr="00C33834">
        <w:rPr>
          <w:rFonts w:ascii="Times New Roman" w:hAnsi="Times New Roman"/>
          <w:color w:val="000000" w:themeColor="text1"/>
          <w:sz w:val="16"/>
          <w:szCs w:val="16"/>
        </w:rPr>
        <w:softHyphen/>
        <w:t>ния, башен, двигателя танк все равно получался почти вдвое дороже, чем Т-28, притом что Т28А имел подвиж</w:t>
      </w:r>
      <w:r w:rsidRPr="00C33834">
        <w:rPr>
          <w:rFonts w:ascii="Times New Roman" w:hAnsi="Times New Roman"/>
          <w:color w:val="000000" w:themeColor="text1"/>
          <w:sz w:val="16"/>
          <w:szCs w:val="16"/>
        </w:rPr>
        <w:softHyphen/>
        <w:t>ность, сравнимую с Т-29, а с новыми траками его пробег утроился. Судьба «трехбашенного колесно-гусеничного» повисла на волоске (10733,319).</w:t>
      </w:r>
    </w:p>
    <w:p w14:paraId="684389A7"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04AEA7"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июне 1933 года Совет Труда и Обороны принял постановление №51 "Об изготовлении двух опытных образцов неплавающих колесно-гусеничных </w:t>
      </w:r>
      <w:hyperlink r:id="rId229"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ов типа ПТ-1":</w:t>
      </w:r>
    </w:p>
    <w:p w14:paraId="08ACEE20"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Наркомтяжпрому изготовить два опытных образца неплавающих колесно-гусеничных </w:t>
      </w:r>
      <w:hyperlink r:id="rId230"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ов по типу ПТ-1, по чертежам, разработанным Опытным конструкторским бюро ОГПУ по следующим основным ТТХ:</w:t>
      </w:r>
    </w:p>
    <w:p w14:paraId="6D37F09B"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образец: боевая масса 17,2; броневая защита: лоб - 20 мм, борт - 15 мм; вооружение: 76,2-мм пушка и 4 пулемета, размещенные в трех башнях, скорость движения на колесном ходу - 70 км/ч, на гусеничном - 59 км/ч; экипаж - 5 человек.</w:t>
      </w:r>
    </w:p>
    <w:p w14:paraId="161656E0"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Второй образец: боевая масса 20,2 т; броневая защита: лоб - 30 мм, борт - 25 мм; вооружение: 76,2-мм пушка и 4 пулемета, размещенные в трех башнях, скорость движения на колесном ходу - 70 км/ч, на гусеничном - 59 км/ч; экипаж - 5 человек.</w:t>
      </w:r>
    </w:p>
    <w:p w14:paraId="720F7B35"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Работу по изготовлению обоих образцов закончить в течение 1933 г." (15620).</w:t>
      </w:r>
    </w:p>
    <w:p w14:paraId="56F6840F"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основу новой разработки средних колесно-гусеничных </w:t>
      </w:r>
      <w:hyperlink r:id="rId231"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ов был положен проект колесно-гусеничного </w:t>
      </w:r>
      <w:hyperlink r:id="rId232"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а, разработанный Авто</w:t>
      </w:r>
      <w:hyperlink r:id="rId233"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овым бюро Технического отдела ЭКУ ОГПУ в 1933г. с учетом опыта создания </w:t>
      </w:r>
      <w:hyperlink r:id="rId234"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а ПТ-1, получивший название </w:t>
      </w:r>
      <w:hyperlink r:id="rId235"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-истребитель ИТ-3. Согласно проекту это была машина боевой массой 17,5 т и экипажем их 4 человек. Танк был вооружен 76,2-мм пушкой обр. 1927 г. и тремя пулеметами - одним ДК калибра 12,7 мм и двумя авиационными скорострельными ШКАС калибра 7,62 мм, один из которых был спарен с пушкой, а второй с пулеметом ДК. Третий (запасной) пулемет мог устанавливаться в зенитной турели на люке крыши башни. В боекомплект входили 50 выстрелов к пушке, 1500 патронов к пулемету ДК и 7000 патронов к пулеметам ШКАС.</w:t>
      </w:r>
    </w:p>
    <w:p w14:paraId="4A350B31"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Броневая защита была противопульной. Башня и отдельные части корпуса были выполнены штампованными из стальных листов толщиной 6, 10, 15 и 20 мм. На </w:t>
      </w:r>
      <w:hyperlink r:id="rId236"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е предполагалось установить карбюраторный двигатель М-17Б мощностью 500 л.с., который бы обеспечивал машины маскимальную скорость движения на гусеничном ходу до 60 км/ч, на колесном - до 80 км/ч. В ходовой части использовалась четырехкатковая схема со всеми ведущими колесами на колесном ходу, причем передняя и задняя пары колес были управляемыми. В окончательном варианте проекта скорострельные пулеметы ШКАС были заменены на пулеметы ДТ и размещены в отдельных пулеметных башенках по типу </w:t>
      </w:r>
      <w:hyperlink r:id="rId237"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а Т-28, а пулемет ДК исключен из состава вооружения машины.</w:t>
      </w:r>
    </w:p>
    <w:p w14:paraId="6FFB252C"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1933 г. эти </w:t>
      </w:r>
      <w:hyperlink r:id="rId238"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и изготовить не успели, и заказ на их производство был перенесен на следующий год. Проекты двух новых средних колесно гусеничных </w:t>
      </w:r>
      <w:hyperlink r:id="rId239"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ов были разработанны КБ ЭКУ ОГПУ под руководством Н.А. Астрова (15620).</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9"/>
        <w:gridCol w:w="1673"/>
        <w:gridCol w:w="2725"/>
        <w:gridCol w:w="2725"/>
        <w:gridCol w:w="2726"/>
      </w:tblGrid>
      <w:tr w:rsidR="00F26F01" w:rsidRPr="00C33834" w14:paraId="7246C059" w14:textId="77777777" w:rsidTr="003417C8">
        <w:tc>
          <w:tcPr>
            <w:tcW w:w="3035" w:type="dxa"/>
            <w:gridSpan w:val="2"/>
            <w:shd w:val="clear" w:color="auto" w:fill="FFFFFF"/>
            <w:vAlign w:val="center"/>
            <w:hideMark/>
          </w:tcPr>
          <w:p w14:paraId="10CE090A"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Тип </w:t>
            </w:r>
            <w:hyperlink r:id="rId240"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а</w:t>
            </w:r>
          </w:p>
        </w:tc>
        <w:tc>
          <w:tcPr>
            <w:tcW w:w="2624" w:type="dxa"/>
            <w:shd w:val="clear" w:color="auto" w:fill="FFFFFF"/>
            <w:tcMar>
              <w:top w:w="168" w:type="dxa"/>
              <w:left w:w="72" w:type="dxa"/>
              <w:bottom w:w="168" w:type="dxa"/>
              <w:right w:w="72" w:type="dxa"/>
            </w:tcMar>
            <w:vAlign w:val="center"/>
            <w:hideMark/>
          </w:tcPr>
          <w:p w14:paraId="4B3D8871"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 Тоскина №1</w:t>
            </w:r>
          </w:p>
        </w:tc>
        <w:tc>
          <w:tcPr>
            <w:tcW w:w="2624" w:type="dxa"/>
            <w:shd w:val="clear" w:color="auto" w:fill="FFFFFF"/>
            <w:tcMar>
              <w:top w:w="168" w:type="dxa"/>
              <w:left w:w="72" w:type="dxa"/>
              <w:bottom w:w="168" w:type="dxa"/>
              <w:right w:w="72" w:type="dxa"/>
            </w:tcMar>
            <w:vAlign w:val="center"/>
            <w:hideMark/>
          </w:tcPr>
          <w:p w14:paraId="12A83FA7"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 Тоскина №2</w:t>
            </w:r>
          </w:p>
        </w:tc>
        <w:tc>
          <w:tcPr>
            <w:tcW w:w="2625" w:type="dxa"/>
            <w:shd w:val="clear" w:color="auto" w:fill="FFFFFF"/>
            <w:tcMar>
              <w:top w:w="168" w:type="dxa"/>
              <w:left w:w="72" w:type="dxa"/>
              <w:bottom w:w="168" w:type="dxa"/>
              <w:right w:w="72" w:type="dxa"/>
            </w:tcMar>
            <w:vAlign w:val="center"/>
            <w:hideMark/>
          </w:tcPr>
          <w:p w14:paraId="5B9EB305"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ИТ-3</w:t>
            </w:r>
          </w:p>
        </w:tc>
      </w:tr>
      <w:tr w:rsidR="00F26F01" w:rsidRPr="00C33834" w14:paraId="052EEE3E" w14:textId="77777777" w:rsidTr="003417C8">
        <w:tc>
          <w:tcPr>
            <w:tcW w:w="3035" w:type="dxa"/>
            <w:gridSpan w:val="2"/>
            <w:shd w:val="clear" w:color="auto" w:fill="FFFFFF"/>
            <w:tcMar>
              <w:top w:w="168" w:type="dxa"/>
              <w:left w:w="72" w:type="dxa"/>
              <w:bottom w:w="168" w:type="dxa"/>
              <w:right w:w="72" w:type="dxa"/>
            </w:tcMar>
            <w:vAlign w:val="center"/>
            <w:hideMark/>
          </w:tcPr>
          <w:p w14:paraId="1F4E0800"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Боевая масса, т</w:t>
            </w:r>
          </w:p>
        </w:tc>
        <w:tc>
          <w:tcPr>
            <w:tcW w:w="2624" w:type="dxa"/>
            <w:shd w:val="clear" w:color="auto" w:fill="FFFFFF"/>
            <w:vAlign w:val="center"/>
            <w:hideMark/>
          </w:tcPr>
          <w:p w14:paraId="0F95B09C"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2624" w:type="dxa"/>
            <w:shd w:val="clear" w:color="auto" w:fill="FFFFFF"/>
            <w:vAlign w:val="center"/>
            <w:hideMark/>
          </w:tcPr>
          <w:p w14:paraId="7CA50485"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26000 - 28000</w:t>
            </w:r>
          </w:p>
        </w:tc>
        <w:tc>
          <w:tcPr>
            <w:tcW w:w="2625" w:type="dxa"/>
            <w:shd w:val="clear" w:color="auto" w:fill="FFFFFF"/>
            <w:vAlign w:val="center"/>
            <w:hideMark/>
          </w:tcPr>
          <w:p w14:paraId="61AB56D4"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17500</w:t>
            </w:r>
          </w:p>
        </w:tc>
      </w:tr>
      <w:tr w:rsidR="00F26F01" w:rsidRPr="00C33834" w14:paraId="56BF2BCE" w14:textId="77777777" w:rsidTr="003417C8">
        <w:tc>
          <w:tcPr>
            <w:tcW w:w="3035" w:type="dxa"/>
            <w:gridSpan w:val="2"/>
            <w:shd w:val="clear" w:color="auto" w:fill="FFFFFF"/>
            <w:tcMar>
              <w:top w:w="168" w:type="dxa"/>
              <w:left w:w="72" w:type="dxa"/>
              <w:bottom w:w="168" w:type="dxa"/>
              <w:right w:w="72" w:type="dxa"/>
            </w:tcMar>
            <w:vAlign w:val="center"/>
            <w:hideMark/>
          </w:tcPr>
          <w:p w14:paraId="74767139"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Экипаж, чел</w:t>
            </w:r>
          </w:p>
        </w:tc>
        <w:tc>
          <w:tcPr>
            <w:tcW w:w="2624" w:type="dxa"/>
            <w:shd w:val="clear" w:color="auto" w:fill="FFFFFF"/>
            <w:vAlign w:val="center"/>
            <w:hideMark/>
          </w:tcPr>
          <w:p w14:paraId="7EE29A74"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w:t>
            </w:r>
          </w:p>
        </w:tc>
        <w:tc>
          <w:tcPr>
            <w:tcW w:w="2624" w:type="dxa"/>
            <w:shd w:val="clear" w:color="auto" w:fill="FFFFFF"/>
            <w:vAlign w:val="center"/>
            <w:hideMark/>
          </w:tcPr>
          <w:p w14:paraId="564C52FE"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w:t>
            </w:r>
          </w:p>
        </w:tc>
        <w:tc>
          <w:tcPr>
            <w:tcW w:w="2625" w:type="dxa"/>
            <w:shd w:val="clear" w:color="auto" w:fill="FFFFFF"/>
            <w:vAlign w:val="center"/>
            <w:hideMark/>
          </w:tcPr>
          <w:p w14:paraId="4918C80B"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r>
      <w:tr w:rsidR="00F26F01" w:rsidRPr="00C33834" w14:paraId="4D91BE1A" w14:textId="77777777" w:rsidTr="003417C8">
        <w:tc>
          <w:tcPr>
            <w:tcW w:w="10908" w:type="dxa"/>
            <w:gridSpan w:val="5"/>
            <w:shd w:val="clear" w:color="auto" w:fill="FFFFFF"/>
            <w:tcMar>
              <w:top w:w="168" w:type="dxa"/>
              <w:left w:w="72" w:type="dxa"/>
              <w:bottom w:w="168" w:type="dxa"/>
              <w:right w:w="72" w:type="dxa"/>
            </w:tcMar>
            <w:vAlign w:val="center"/>
            <w:hideMark/>
          </w:tcPr>
          <w:p w14:paraId="7F00678E"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Габаритные размеры, мм</w:t>
            </w:r>
          </w:p>
        </w:tc>
      </w:tr>
      <w:tr w:rsidR="00F26F01" w:rsidRPr="00C33834" w14:paraId="19F6CB68" w14:textId="77777777" w:rsidTr="003417C8">
        <w:tc>
          <w:tcPr>
            <w:tcW w:w="3035" w:type="dxa"/>
            <w:gridSpan w:val="2"/>
            <w:shd w:val="clear" w:color="auto" w:fill="FFFFFF"/>
            <w:tcMar>
              <w:top w:w="168" w:type="dxa"/>
              <w:left w:w="72" w:type="dxa"/>
              <w:bottom w:w="168" w:type="dxa"/>
              <w:right w:w="72" w:type="dxa"/>
            </w:tcMar>
            <w:vAlign w:val="center"/>
            <w:hideMark/>
          </w:tcPr>
          <w:p w14:paraId="6B36CDAD"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w:t>
            </w:r>
          </w:p>
        </w:tc>
        <w:tc>
          <w:tcPr>
            <w:tcW w:w="2624" w:type="dxa"/>
            <w:shd w:val="clear" w:color="auto" w:fill="FFFFFF"/>
            <w:vAlign w:val="center"/>
            <w:hideMark/>
          </w:tcPr>
          <w:p w14:paraId="307D44B5"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2624" w:type="dxa"/>
            <w:shd w:val="clear" w:color="auto" w:fill="FFFFFF"/>
            <w:vAlign w:val="center"/>
            <w:hideMark/>
          </w:tcPr>
          <w:p w14:paraId="50C1AC18"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2625" w:type="dxa"/>
            <w:shd w:val="clear" w:color="auto" w:fill="FFFFFF"/>
            <w:vAlign w:val="center"/>
            <w:hideMark/>
          </w:tcPr>
          <w:p w14:paraId="30F3F47A"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≈6500</w:t>
            </w:r>
          </w:p>
        </w:tc>
      </w:tr>
      <w:tr w:rsidR="00F26F01" w:rsidRPr="00C33834" w14:paraId="052BD06B" w14:textId="77777777" w:rsidTr="003417C8">
        <w:tc>
          <w:tcPr>
            <w:tcW w:w="3035" w:type="dxa"/>
            <w:gridSpan w:val="2"/>
            <w:shd w:val="clear" w:color="auto" w:fill="FFFFFF"/>
            <w:tcMar>
              <w:top w:w="168" w:type="dxa"/>
              <w:left w:w="72" w:type="dxa"/>
              <w:bottom w:w="168" w:type="dxa"/>
              <w:right w:w="72" w:type="dxa"/>
            </w:tcMar>
            <w:vAlign w:val="center"/>
            <w:hideMark/>
          </w:tcPr>
          <w:p w14:paraId="2BE61B84"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Ширина</w:t>
            </w:r>
          </w:p>
        </w:tc>
        <w:tc>
          <w:tcPr>
            <w:tcW w:w="2624" w:type="dxa"/>
            <w:shd w:val="clear" w:color="auto" w:fill="FFFFFF"/>
            <w:vAlign w:val="center"/>
            <w:hideMark/>
          </w:tcPr>
          <w:p w14:paraId="35BA5C6A"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2624" w:type="dxa"/>
            <w:shd w:val="clear" w:color="auto" w:fill="FFFFFF"/>
            <w:vAlign w:val="center"/>
            <w:hideMark/>
          </w:tcPr>
          <w:p w14:paraId="49781098"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2625" w:type="dxa"/>
            <w:shd w:val="clear" w:color="auto" w:fill="FFFFFF"/>
            <w:vAlign w:val="center"/>
            <w:hideMark/>
          </w:tcPr>
          <w:p w14:paraId="1E217901"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≈2400-2600**</w:t>
            </w:r>
          </w:p>
        </w:tc>
      </w:tr>
      <w:tr w:rsidR="00F26F01" w:rsidRPr="00C33834" w14:paraId="4CE2A703" w14:textId="77777777" w:rsidTr="003417C8">
        <w:tc>
          <w:tcPr>
            <w:tcW w:w="3035" w:type="dxa"/>
            <w:gridSpan w:val="2"/>
            <w:shd w:val="clear" w:color="auto" w:fill="FFFFFF"/>
            <w:tcMar>
              <w:top w:w="168" w:type="dxa"/>
              <w:left w:w="72" w:type="dxa"/>
              <w:bottom w:w="168" w:type="dxa"/>
              <w:right w:w="72" w:type="dxa"/>
            </w:tcMar>
            <w:vAlign w:val="center"/>
            <w:hideMark/>
          </w:tcPr>
          <w:p w14:paraId="7CE73D0F"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w:t>
            </w:r>
          </w:p>
        </w:tc>
        <w:tc>
          <w:tcPr>
            <w:tcW w:w="2624" w:type="dxa"/>
            <w:shd w:val="clear" w:color="auto" w:fill="FFFFFF"/>
            <w:vAlign w:val="center"/>
            <w:hideMark/>
          </w:tcPr>
          <w:p w14:paraId="4E1E5E63"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2624" w:type="dxa"/>
            <w:shd w:val="clear" w:color="auto" w:fill="FFFFFF"/>
            <w:vAlign w:val="center"/>
            <w:hideMark/>
          </w:tcPr>
          <w:p w14:paraId="7E17D234"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2625" w:type="dxa"/>
            <w:shd w:val="clear" w:color="auto" w:fill="FFFFFF"/>
            <w:vAlign w:val="center"/>
            <w:hideMark/>
          </w:tcPr>
          <w:p w14:paraId="72E817B6"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≈2520</w:t>
            </w:r>
          </w:p>
        </w:tc>
      </w:tr>
      <w:tr w:rsidR="00F26F01" w:rsidRPr="00C33834" w14:paraId="765C3A2D" w14:textId="77777777" w:rsidTr="003417C8">
        <w:tc>
          <w:tcPr>
            <w:tcW w:w="3035" w:type="dxa"/>
            <w:gridSpan w:val="2"/>
            <w:shd w:val="clear" w:color="auto" w:fill="FFFFFF"/>
            <w:tcMar>
              <w:top w:w="168" w:type="dxa"/>
              <w:left w:w="72" w:type="dxa"/>
              <w:bottom w:w="168" w:type="dxa"/>
              <w:right w:w="72" w:type="dxa"/>
            </w:tcMar>
            <w:vAlign w:val="center"/>
            <w:hideMark/>
          </w:tcPr>
          <w:p w14:paraId="2E2E0EB5"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Клиренс</w:t>
            </w:r>
          </w:p>
        </w:tc>
        <w:tc>
          <w:tcPr>
            <w:tcW w:w="2624" w:type="dxa"/>
            <w:shd w:val="clear" w:color="auto" w:fill="FFFFFF"/>
            <w:vAlign w:val="center"/>
            <w:hideMark/>
          </w:tcPr>
          <w:p w14:paraId="37F70FD2"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2624" w:type="dxa"/>
            <w:shd w:val="clear" w:color="auto" w:fill="FFFFFF"/>
            <w:vAlign w:val="center"/>
            <w:hideMark/>
          </w:tcPr>
          <w:p w14:paraId="1C26AB81"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2625" w:type="dxa"/>
            <w:shd w:val="clear" w:color="auto" w:fill="FFFFFF"/>
            <w:vAlign w:val="center"/>
            <w:hideMark/>
          </w:tcPr>
          <w:p w14:paraId="128E40E5"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≈480</w:t>
            </w:r>
          </w:p>
        </w:tc>
      </w:tr>
      <w:tr w:rsidR="00F26F01" w:rsidRPr="00C33834" w14:paraId="391B24D1" w14:textId="77777777" w:rsidTr="003417C8">
        <w:tc>
          <w:tcPr>
            <w:tcW w:w="3035" w:type="dxa"/>
            <w:gridSpan w:val="2"/>
            <w:shd w:val="clear" w:color="auto" w:fill="FFFFFF"/>
            <w:tcMar>
              <w:top w:w="168" w:type="dxa"/>
              <w:left w:w="72" w:type="dxa"/>
              <w:bottom w:w="168" w:type="dxa"/>
              <w:right w:w="72" w:type="dxa"/>
            </w:tcMar>
            <w:vAlign w:val="center"/>
            <w:hideMark/>
          </w:tcPr>
          <w:p w14:paraId="4B30B7E6"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2624" w:type="dxa"/>
            <w:shd w:val="clear" w:color="auto" w:fill="FFFFFF"/>
            <w:vAlign w:val="center"/>
            <w:hideMark/>
          </w:tcPr>
          <w:p w14:paraId="270BCD98"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2624" w:type="dxa"/>
            <w:shd w:val="clear" w:color="auto" w:fill="FFFFFF"/>
            <w:vAlign w:val="center"/>
            <w:hideMark/>
          </w:tcPr>
          <w:p w14:paraId="0ADB0E4C"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2625" w:type="dxa"/>
            <w:shd w:val="clear" w:color="auto" w:fill="FFFFFF"/>
            <w:vAlign w:val="center"/>
            <w:hideMark/>
          </w:tcPr>
          <w:p w14:paraId="10C0376E"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40D6E4B6" w14:textId="77777777" w:rsidTr="003417C8">
        <w:tc>
          <w:tcPr>
            <w:tcW w:w="3035" w:type="dxa"/>
            <w:gridSpan w:val="2"/>
            <w:shd w:val="clear" w:color="auto" w:fill="FFFFFF"/>
            <w:tcMar>
              <w:top w:w="168" w:type="dxa"/>
              <w:left w:w="72" w:type="dxa"/>
              <w:bottom w:w="168" w:type="dxa"/>
              <w:right w:w="72" w:type="dxa"/>
            </w:tcMar>
            <w:vAlign w:val="center"/>
            <w:hideMark/>
          </w:tcPr>
          <w:p w14:paraId="6160460F"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Пушки, мм</w:t>
            </w:r>
          </w:p>
        </w:tc>
        <w:tc>
          <w:tcPr>
            <w:tcW w:w="2624" w:type="dxa"/>
            <w:shd w:val="clear" w:color="auto" w:fill="FFFFFF"/>
            <w:vAlign w:val="center"/>
            <w:hideMark/>
          </w:tcPr>
          <w:p w14:paraId="456C8903"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 76,2 Гарфорд</w:t>
            </w:r>
          </w:p>
        </w:tc>
        <w:tc>
          <w:tcPr>
            <w:tcW w:w="2624" w:type="dxa"/>
            <w:shd w:val="clear" w:color="auto" w:fill="FFFFFF"/>
            <w:vAlign w:val="center"/>
            <w:hideMark/>
          </w:tcPr>
          <w:p w14:paraId="6FD11094"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 76,2 Гарфорд</w:t>
            </w:r>
          </w:p>
        </w:tc>
        <w:tc>
          <w:tcPr>
            <w:tcW w:w="2625" w:type="dxa"/>
            <w:shd w:val="clear" w:color="auto" w:fill="FFFFFF"/>
            <w:vAlign w:val="center"/>
            <w:hideMark/>
          </w:tcPr>
          <w:p w14:paraId="4275EB76"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 76,2 обр. 1927г.</w:t>
            </w:r>
          </w:p>
        </w:tc>
      </w:tr>
      <w:tr w:rsidR="00F26F01" w:rsidRPr="00C33834" w14:paraId="5884EF63" w14:textId="77777777" w:rsidTr="003417C8">
        <w:tc>
          <w:tcPr>
            <w:tcW w:w="3035" w:type="dxa"/>
            <w:gridSpan w:val="2"/>
            <w:shd w:val="clear" w:color="auto" w:fill="FFFFFF"/>
            <w:tcMar>
              <w:top w:w="168" w:type="dxa"/>
              <w:left w:w="72" w:type="dxa"/>
              <w:bottom w:w="168" w:type="dxa"/>
              <w:right w:w="72" w:type="dxa"/>
            </w:tcMar>
            <w:vAlign w:val="center"/>
            <w:hideMark/>
          </w:tcPr>
          <w:p w14:paraId="0F10E19A"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Пулеметы, мм</w:t>
            </w:r>
          </w:p>
        </w:tc>
        <w:tc>
          <w:tcPr>
            <w:tcW w:w="2624" w:type="dxa"/>
            <w:shd w:val="clear" w:color="auto" w:fill="FFFFFF"/>
            <w:vAlign w:val="center"/>
            <w:hideMark/>
          </w:tcPr>
          <w:p w14:paraId="15AB8F5D"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 7,62 ДТ</w:t>
            </w:r>
          </w:p>
        </w:tc>
        <w:tc>
          <w:tcPr>
            <w:tcW w:w="2624" w:type="dxa"/>
            <w:shd w:val="clear" w:color="auto" w:fill="FFFFFF"/>
            <w:vAlign w:val="center"/>
            <w:hideMark/>
          </w:tcPr>
          <w:p w14:paraId="71A7A206"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 7,62 ДТ</w:t>
            </w:r>
          </w:p>
        </w:tc>
        <w:tc>
          <w:tcPr>
            <w:tcW w:w="2625" w:type="dxa"/>
            <w:shd w:val="clear" w:color="auto" w:fill="FFFFFF"/>
            <w:vAlign w:val="center"/>
            <w:hideMark/>
          </w:tcPr>
          <w:p w14:paraId="46FFA5B5"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 7,62 ДК, 3 × 7,62 ШКАС</w:t>
            </w:r>
          </w:p>
        </w:tc>
      </w:tr>
      <w:tr w:rsidR="00F26F01" w:rsidRPr="00C33834" w14:paraId="08656F39" w14:textId="77777777" w:rsidTr="003417C8">
        <w:tc>
          <w:tcPr>
            <w:tcW w:w="10908" w:type="dxa"/>
            <w:gridSpan w:val="5"/>
            <w:shd w:val="clear" w:color="auto" w:fill="FFFFFF"/>
            <w:tcMar>
              <w:top w:w="168" w:type="dxa"/>
              <w:left w:w="72" w:type="dxa"/>
              <w:bottom w:w="168" w:type="dxa"/>
              <w:right w:w="72" w:type="dxa"/>
            </w:tcMar>
            <w:vAlign w:val="center"/>
            <w:hideMark/>
          </w:tcPr>
          <w:p w14:paraId="7EE0929C"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Боекомплект</w:t>
            </w:r>
          </w:p>
        </w:tc>
      </w:tr>
      <w:tr w:rsidR="00F26F01" w:rsidRPr="00C33834" w14:paraId="0FC8667A" w14:textId="77777777" w:rsidTr="003417C8">
        <w:tc>
          <w:tcPr>
            <w:tcW w:w="3035" w:type="dxa"/>
            <w:gridSpan w:val="2"/>
            <w:shd w:val="clear" w:color="auto" w:fill="FFFFFF"/>
            <w:tcMar>
              <w:top w:w="168" w:type="dxa"/>
              <w:left w:w="72" w:type="dxa"/>
              <w:bottom w:w="168" w:type="dxa"/>
              <w:right w:w="72" w:type="dxa"/>
            </w:tcMar>
            <w:vAlign w:val="center"/>
            <w:hideMark/>
          </w:tcPr>
          <w:p w14:paraId="36689D9F"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Пушки, выстрелы</w:t>
            </w:r>
          </w:p>
        </w:tc>
        <w:tc>
          <w:tcPr>
            <w:tcW w:w="2624" w:type="dxa"/>
            <w:shd w:val="clear" w:color="auto" w:fill="FFFFFF"/>
            <w:vAlign w:val="center"/>
            <w:hideMark/>
          </w:tcPr>
          <w:p w14:paraId="6673B447"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50 - 60</w:t>
            </w:r>
          </w:p>
        </w:tc>
        <w:tc>
          <w:tcPr>
            <w:tcW w:w="2624" w:type="dxa"/>
            <w:shd w:val="clear" w:color="auto" w:fill="FFFFFF"/>
            <w:vAlign w:val="center"/>
            <w:hideMark/>
          </w:tcPr>
          <w:p w14:paraId="7FD7E79F"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50 - 60</w:t>
            </w:r>
          </w:p>
        </w:tc>
        <w:tc>
          <w:tcPr>
            <w:tcW w:w="2625" w:type="dxa"/>
            <w:shd w:val="clear" w:color="auto" w:fill="FFFFFF"/>
            <w:vAlign w:val="center"/>
            <w:hideMark/>
          </w:tcPr>
          <w:p w14:paraId="18DDCB2E"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r>
      <w:tr w:rsidR="00F26F01" w:rsidRPr="00C33834" w14:paraId="3DF93D5B" w14:textId="77777777" w:rsidTr="003417C8">
        <w:tc>
          <w:tcPr>
            <w:tcW w:w="3035" w:type="dxa"/>
            <w:gridSpan w:val="2"/>
            <w:shd w:val="clear" w:color="auto" w:fill="FFFFFF"/>
            <w:tcMar>
              <w:top w:w="168" w:type="dxa"/>
              <w:left w:w="72" w:type="dxa"/>
              <w:bottom w:w="168" w:type="dxa"/>
              <w:right w:w="72" w:type="dxa"/>
            </w:tcMar>
            <w:vAlign w:val="center"/>
            <w:hideMark/>
          </w:tcPr>
          <w:p w14:paraId="161003BB"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Пулеметы, патроны</w:t>
            </w:r>
          </w:p>
        </w:tc>
        <w:tc>
          <w:tcPr>
            <w:tcW w:w="2624" w:type="dxa"/>
            <w:shd w:val="clear" w:color="auto" w:fill="FFFFFF"/>
            <w:vAlign w:val="center"/>
            <w:hideMark/>
          </w:tcPr>
          <w:p w14:paraId="7F6BD341"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w:t>
            </w:r>
          </w:p>
        </w:tc>
        <w:tc>
          <w:tcPr>
            <w:tcW w:w="2624" w:type="dxa"/>
            <w:shd w:val="clear" w:color="auto" w:fill="FFFFFF"/>
            <w:vAlign w:val="center"/>
            <w:hideMark/>
          </w:tcPr>
          <w:p w14:paraId="669458E6"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w:t>
            </w:r>
          </w:p>
        </w:tc>
        <w:tc>
          <w:tcPr>
            <w:tcW w:w="2625" w:type="dxa"/>
            <w:shd w:val="clear" w:color="auto" w:fill="FFFFFF"/>
            <w:vAlign w:val="center"/>
            <w:hideMark/>
          </w:tcPr>
          <w:p w14:paraId="64236C29"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 к ДК, 7000 к ШКАС</w:t>
            </w:r>
          </w:p>
        </w:tc>
      </w:tr>
      <w:tr w:rsidR="00F26F01" w:rsidRPr="00C33834" w14:paraId="51FC8AED" w14:textId="77777777" w:rsidTr="003417C8">
        <w:tc>
          <w:tcPr>
            <w:tcW w:w="3035" w:type="dxa"/>
            <w:gridSpan w:val="2"/>
            <w:shd w:val="clear" w:color="auto" w:fill="FFFFFF"/>
            <w:tcMar>
              <w:top w:w="168" w:type="dxa"/>
              <w:left w:w="72" w:type="dxa"/>
              <w:bottom w:w="168" w:type="dxa"/>
              <w:right w:w="72" w:type="dxa"/>
            </w:tcMar>
            <w:vAlign w:val="center"/>
            <w:hideMark/>
          </w:tcPr>
          <w:p w14:paraId="1DB3AB72"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Приборы прицеливания</w:t>
            </w:r>
          </w:p>
        </w:tc>
        <w:tc>
          <w:tcPr>
            <w:tcW w:w="2624" w:type="dxa"/>
            <w:shd w:val="clear" w:color="auto" w:fill="FFFFFF"/>
            <w:vAlign w:val="center"/>
            <w:hideMark/>
          </w:tcPr>
          <w:p w14:paraId="10C4F0A9"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Прицел ПТ-1, ТОП, телескопическая панорама ПТК</w:t>
            </w:r>
          </w:p>
        </w:tc>
        <w:tc>
          <w:tcPr>
            <w:tcW w:w="2624" w:type="dxa"/>
            <w:shd w:val="clear" w:color="auto" w:fill="FFFFFF"/>
            <w:vAlign w:val="center"/>
            <w:hideMark/>
          </w:tcPr>
          <w:p w14:paraId="6E51385E"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Прицел ПТ-1, ТОП, телескопическая панорама ПТК</w:t>
            </w:r>
          </w:p>
        </w:tc>
        <w:tc>
          <w:tcPr>
            <w:tcW w:w="2625" w:type="dxa"/>
            <w:shd w:val="clear" w:color="auto" w:fill="FFFFFF"/>
            <w:vAlign w:val="center"/>
            <w:hideMark/>
          </w:tcPr>
          <w:p w14:paraId="3CEC5819"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Прицел ПТ-1, ТОП, телескопическая панорама ПТК</w:t>
            </w:r>
          </w:p>
        </w:tc>
      </w:tr>
      <w:tr w:rsidR="00F26F01" w:rsidRPr="00C33834" w14:paraId="72337AEA" w14:textId="77777777" w:rsidTr="003417C8">
        <w:tc>
          <w:tcPr>
            <w:tcW w:w="10908" w:type="dxa"/>
            <w:gridSpan w:val="5"/>
            <w:shd w:val="clear" w:color="auto" w:fill="FFFFFF"/>
            <w:tcMar>
              <w:top w:w="168" w:type="dxa"/>
              <w:left w:w="72" w:type="dxa"/>
              <w:bottom w:w="168" w:type="dxa"/>
              <w:right w:w="72" w:type="dxa"/>
            </w:tcMar>
            <w:vAlign w:val="center"/>
            <w:hideMark/>
          </w:tcPr>
          <w:p w14:paraId="606A89C0"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Бронирование</w:t>
            </w:r>
          </w:p>
        </w:tc>
      </w:tr>
      <w:tr w:rsidR="00F26F01" w:rsidRPr="00C33834" w14:paraId="517ADAEB" w14:textId="77777777" w:rsidTr="003417C8">
        <w:tc>
          <w:tcPr>
            <w:tcW w:w="3035" w:type="dxa"/>
            <w:gridSpan w:val="2"/>
            <w:shd w:val="clear" w:color="auto" w:fill="FFFFFF"/>
            <w:tcMar>
              <w:top w:w="168" w:type="dxa"/>
              <w:left w:w="72" w:type="dxa"/>
              <w:bottom w:w="168" w:type="dxa"/>
              <w:right w:w="72" w:type="dxa"/>
            </w:tcMar>
            <w:vAlign w:val="center"/>
            <w:hideMark/>
          </w:tcPr>
          <w:p w14:paraId="3BFF5FFD"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Лоб корпуса</w:t>
            </w:r>
          </w:p>
        </w:tc>
        <w:tc>
          <w:tcPr>
            <w:tcW w:w="2624" w:type="dxa"/>
            <w:shd w:val="clear" w:color="auto" w:fill="FFFFFF"/>
            <w:vAlign w:val="center"/>
            <w:hideMark/>
          </w:tcPr>
          <w:p w14:paraId="4F1245D9"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2624" w:type="dxa"/>
            <w:shd w:val="clear" w:color="auto" w:fill="FFFFFF"/>
            <w:vAlign w:val="center"/>
            <w:hideMark/>
          </w:tcPr>
          <w:p w14:paraId="0B0E86FA"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2625" w:type="dxa"/>
            <w:shd w:val="clear" w:color="auto" w:fill="FFFFFF"/>
            <w:vAlign w:val="center"/>
            <w:hideMark/>
          </w:tcPr>
          <w:p w14:paraId="475CE2F0"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r>
      <w:tr w:rsidR="00F26F01" w:rsidRPr="00C33834" w14:paraId="25303141" w14:textId="77777777" w:rsidTr="003417C8">
        <w:tc>
          <w:tcPr>
            <w:tcW w:w="3035" w:type="dxa"/>
            <w:gridSpan w:val="2"/>
            <w:shd w:val="clear" w:color="auto" w:fill="FFFFFF"/>
            <w:tcMar>
              <w:top w:w="168" w:type="dxa"/>
              <w:left w:w="72" w:type="dxa"/>
              <w:bottom w:w="168" w:type="dxa"/>
              <w:right w:w="72" w:type="dxa"/>
            </w:tcMar>
            <w:vAlign w:val="center"/>
            <w:hideMark/>
          </w:tcPr>
          <w:p w14:paraId="712D3904"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Борт корпуса</w:t>
            </w:r>
          </w:p>
        </w:tc>
        <w:tc>
          <w:tcPr>
            <w:tcW w:w="2624" w:type="dxa"/>
            <w:shd w:val="clear" w:color="auto" w:fill="FFFFFF"/>
            <w:vAlign w:val="center"/>
            <w:hideMark/>
          </w:tcPr>
          <w:p w14:paraId="6EF151E0"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2624" w:type="dxa"/>
            <w:shd w:val="clear" w:color="auto" w:fill="FFFFFF"/>
            <w:vAlign w:val="center"/>
            <w:hideMark/>
          </w:tcPr>
          <w:p w14:paraId="3ADEEF4B"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tc>
        <w:tc>
          <w:tcPr>
            <w:tcW w:w="2625" w:type="dxa"/>
            <w:shd w:val="clear" w:color="auto" w:fill="FFFFFF"/>
            <w:vAlign w:val="center"/>
            <w:hideMark/>
          </w:tcPr>
          <w:p w14:paraId="158EDFE6"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r>
      <w:tr w:rsidR="00F26F01" w:rsidRPr="00C33834" w14:paraId="2761AF64" w14:textId="77777777" w:rsidTr="003417C8">
        <w:tc>
          <w:tcPr>
            <w:tcW w:w="3035" w:type="dxa"/>
            <w:gridSpan w:val="2"/>
            <w:shd w:val="clear" w:color="auto" w:fill="FFFFFF"/>
            <w:tcMar>
              <w:top w:w="168" w:type="dxa"/>
              <w:left w:w="72" w:type="dxa"/>
              <w:bottom w:w="168" w:type="dxa"/>
              <w:right w:w="72" w:type="dxa"/>
            </w:tcMar>
            <w:vAlign w:val="center"/>
            <w:hideMark/>
          </w:tcPr>
          <w:p w14:paraId="44DE5504"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Корма корпуса</w:t>
            </w:r>
          </w:p>
        </w:tc>
        <w:tc>
          <w:tcPr>
            <w:tcW w:w="2624" w:type="dxa"/>
            <w:shd w:val="clear" w:color="auto" w:fill="FFFFFF"/>
            <w:vAlign w:val="center"/>
            <w:hideMark/>
          </w:tcPr>
          <w:p w14:paraId="20706275"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2624" w:type="dxa"/>
            <w:shd w:val="clear" w:color="auto" w:fill="FFFFFF"/>
            <w:vAlign w:val="center"/>
            <w:hideMark/>
          </w:tcPr>
          <w:p w14:paraId="127DDA7A"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tc>
        <w:tc>
          <w:tcPr>
            <w:tcW w:w="2625" w:type="dxa"/>
            <w:shd w:val="clear" w:color="auto" w:fill="FFFFFF"/>
            <w:vAlign w:val="center"/>
            <w:hideMark/>
          </w:tcPr>
          <w:p w14:paraId="0133481A"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r>
      <w:tr w:rsidR="00F26F01" w:rsidRPr="00C33834" w14:paraId="6CDD0373" w14:textId="77777777" w:rsidTr="003417C8">
        <w:tc>
          <w:tcPr>
            <w:tcW w:w="3035" w:type="dxa"/>
            <w:gridSpan w:val="2"/>
            <w:shd w:val="clear" w:color="auto" w:fill="FFFFFF"/>
            <w:tcMar>
              <w:top w:w="168" w:type="dxa"/>
              <w:left w:w="72" w:type="dxa"/>
              <w:bottom w:w="168" w:type="dxa"/>
              <w:right w:w="72" w:type="dxa"/>
            </w:tcMar>
            <w:vAlign w:val="center"/>
            <w:hideMark/>
          </w:tcPr>
          <w:p w14:paraId="69924DAB"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Башня</w:t>
            </w:r>
          </w:p>
        </w:tc>
        <w:tc>
          <w:tcPr>
            <w:tcW w:w="2624" w:type="dxa"/>
            <w:shd w:val="clear" w:color="auto" w:fill="FFFFFF"/>
            <w:vAlign w:val="center"/>
            <w:hideMark/>
          </w:tcPr>
          <w:p w14:paraId="2CBA8342"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25-30</w:t>
            </w:r>
          </w:p>
        </w:tc>
        <w:tc>
          <w:tcPr>
            <w:tcW w:w="2624" w:type="dxa"/>
            <w:shd w:val="clear" w:color="auto" w:fill="FFFFFF"/>
            <w:vAlign w:val="center"/>
            <w:hideMark/>
          </w:tcPr>
          <w:p w14:paraId="0A4A4CF4"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35-50**</w:t>
            </w:r>
          </w:p>
        </w:tc>
        <w:tc>
          <w:tcPr>
            <w:tcW w:w="2625" w:type="dxa"/>
            <w:shd w:val="clear" w:color="auto" w:fill="FFFFFF"/>
            <w:vAlign w:val="center"/>
            <w:hideMark/>
          </w:tcPr>
          <w:p w14:paraId="5F76D52D"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15-20</w:t>
            </w:r>
          </w:p>
        </w:tc>
      </w:tr>
      <w:tr w:rsidR="00F26F01" w:rsidRPr="00C33834" w14:paraId="2BDA6EDF" w14:textId="77777777" w:rsidTr="003417C8">
        <w:tc>
          <w:tcPr>
            <w:tcW w:w="3035" w:type="dxa"/>
            <w:gridSpan w:val="2"/>
            <w:shd w:val="clear" w:color="auto" w:fill="FFFFFF"/>
            <w:tcMar>
              <w:top w:w="168" w:type="dxa"/>
              <w:left w:w="72" w:type="dxa"/>
              <w:bottom w:w="168" w:type="dxa"/>
              <w:right w:w="72" w:type="dxa"/>
            </w:tcMar>
            <w:vAlign w:val="center"/>
            <w:hideMark/>
          </w:tcPr>
          <w:p w14:paraId="75DA4664"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Крыша</w:t>
            </w:r>
          </w:p>
        </w:tc>
        <w:tc>
          <w:tcPr>
            <w:tcW w:w="2624" w:type="dxa"/>
            <w:shd w:val="clear" w:color="auto" w:fill="FFFFFF"/>
            <w:vAlign w:val="center"/>
            <w:hideMark/>
          </w:tcPr>
          <w:p w14:paraId="51CB4EA8"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2624" w:type="dxa"/>
            <w:shd w:val="clear" w:color="auto" w:fill="FFFFFF"/>
            <w:vAlign w:val="center"/>
            <w:hideMark/>
          </w:tcPr>
          <w:p w14:paraId="7F956542"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2625" w:type="dxa"/>
            <w:shd w:val="clear" w:color="auto" w:fill="FFFFFF"/>
            <w:vAlign w:val="center"/>
            <w:hideMark/>
          </w:tcPr>
          <w:p w14:paraId="215A9A34"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r>
      <w:tr w:rsidR="00F26F01" w:rsidRPr="00C33834" w14:paraId="654833CA" w14:textId="77777777" w:rsidTr="003417C8">
        <w:tc>
          <w:tcPr>
            <w:tcW w:w="3035" w:type="dxa"/>
            <w:gridSpan w:val="2"/>
            <w:shd w:val="clear" w:color="auto" w:fill="FFFFFF"/>
            <w:tcMar>
              <w:top w:w="168" w:type="dxa"/>
              <w:left w:w="72" w:type="dxa"/>
              <w:bottom w:w="168" w:type="dxa"/>
              <w:right w:w="72" w:type="dxa"/>
            </w:tcMar>
            <w:vAlign w:val="center"/>
            <w:hideMark/>
          </w:tcPr>
          <w:p w14:paraId="75DC1A67"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Днище</w:t>
            </w:r>
          </w:p>
        </w:tc>
        <w:tc>
          <w:tcPr>
            <w:tcW w:w="2624" w:type="dxa"/>
            <w:shd w:val="clear" w:color="auto" w:fill="FFFFFF"/>
            <w:vAlign w:val="center"/>
            <w:hideMark/>
          </w:tcPr>
          <w:p w14:paraId="17EDE6DE"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2624" w:type="dxa"/>
            <w:shd w:val="clear" w:color="auto" w:fill="FFFFFF"/>
            <w:vAlign w:val="center"/>
            <w:hideMark/>
          </w:tcPr>
          <w:p w14:paraId="1CBE9975"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2625" w:type="dxa"/>
            <w:shd w:val="clear" w:color="auto" w:fill="FFFFFF"/>
            <w:vAlign w:val="center"/>
            <w:hideMark/>
          </w:tcPr>
          <w:p w14:paraId="5711E9EE"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r>
      <w:tr w:rsidR="00F26F01" w:rsidRPr="00C33834" w14:paraId="41EFBC06" w14:textId="77777777" w:rsidTr="003417C8">
        <w:tc>
          <w:tcPr>
            <w:tcW w:w="10908" w:type="dxa"/>
            <w:gridSpan w:val="5"/>
            <w:shd w:val="clear" w:color="auto" w:fill="FFFFFF"/>
            <w:tcMar>
              <w:top w:w="168" w:type="dxa"/>
              <w:left w:w="72" w:type="dxa"/>
              <w:bottom w:w="168" w:type="dxa"/>
              <w:right w:w="72" w:type="dxa"/>
            </w:tcMar>
            <w:vAlign w:val="center"/>
            <w:hideMark/>
          </w:tcPr>
          <w:p w14:paraId="1DF7AE8B"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Силовая установка</w:t>
            </w:r>
          </w:p>
        </w:tc>
      </w:tr>
      <w:tr w:rsidR="00F26F01" w:rsidRPr="00C33834" w14:paraId="75ACF06B" w14:textId="77777777" w:rsidTr="003417C8">
        <w:tc>
          <w:tcPr>
            <w:tcW w:w="3035" w:type="dxa"/>
            <w:gridSpan w:val="2"/>
            <w:shd w:val="clear" w:color="auto" w:fill="FFFFFF"/>
            <w:tcMar>
              <w:top w:w="168" w:type="dxa"/>
              <w:left w:w="72" w:type="dxa"/>
              <w:bottom w:w="168" w:type="dxa"/>
              <w:right w:w="72" w:type="dxa"/>
            </w:tcMar>
            <w:vAlign w:val="center"/>
            <w:hideMark/>
          </w:tcPr>
          <w:p w14:paraId="250D0E7E"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 двигателя</w:t>
            </w:r>
          </w:p>
        </w:tc>
        <w:tc>
          <w:tcPr>
            <w:tcW w:w="2624" w:type="dxa"/>
            <w:shd w:val="clear" w:color="auto" w:fill="FFFFFF"/>
            <w:vAlign w:val="center"/>
            <w:hideMark/>
          </w:tcPr>
          <w:p w14:paraId="00F1C93A"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четырехтактный двенадцатилитровый V-образный карбюраторный двигатель М-5</w:t>
            </w:r>
          </w:p>
        </w:tc>
        <w:tc>
          <w:tcPr>
            <w:tcW w:w="2624" w:type="dxa"/>
            <w:shd w:val="clear" w:color="auto" w:fill="FFFFFF"/>
            <w:vAlign w:val="center"/>
            <w:hideMark/>
          </w:tcPr>
          <w:p w14:paraId="56C15431"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четырехтактный двенадцатилитровый V-образный карбюраторный двигатель М-5</w:t>
            </w:r>
          </w:p>
        </w:tc>
        <w:tc>
          <w:tcPr>
            <w:tcW w:w="2625" w:type="dxa"/>
            <w:shd w:val="clear" w:color="auto" w:fill="FFFFFF"/>
            <w:vAlign w:val="center"/>
            <w:hideMark/>
          </w:tcPr>
          <w:p w14:paraId="51C7B664"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четырехтактный двенадцатилитровый V-образный карбюраторный двигатель М-17Б</w:t>
            </w:r>
          </w:p>
        </w:tc>
      </w:tr>
      <w:tr w:rsidR="00F26F01" w:rsidRPr="00C33834" w14:paraId="0E0A837F" w14:textId="77777777" w:rsidTr="003417C8">
        <w:tc>
          <w:tcPr>
            <w:tcW w:w="3035" w:type="dxa"/>
            <w:gridSpan w:val="2"/>
            <w:shd w:val="clear" w:color="auto" w:fill="FFFFFF"/>
            <w:tcMar>
              <w:top w:w="168" w:type="dxa"/>
              <w:left w:w="72" w:type="dxa"/>
              <w:bottom w:w="168" w:type="dxa"/>
              <w:right w:w="72" w:type="dxa"/>
            </w:tcMar>
            <w:vAlign w:val="center"/>
            <w:hideMark/>
          </w:tcPr>
          <w:p w14:paraId="06902DC3"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л.с.</w:t>
            </w:r>
          </w:p>
        </w:tc>
        <w:tc>
          <w:tcPr>
            <w:tcW w:w="2624" w:type="dxa"/>
            <w:shd w:val="clear" w:color="auto" w:fill="FFFFFF"/>
            <w:vAlign w:val="center"/>
            <w:hideMark/>
          </w:tcPr>
          <w:p w14:paraId="6438531A"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2624" w:type="dxa"/>
            <w:shd w:val="clear" w:color="auto" w:fill="FFFFFF"/>
            <w:vAlign w:val="center"/>
            <w:hideMark/>
          </w:tcPr>
          <w:p w14:paraId="5FD8EE4D"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2625" w:type="dxa"/>
            <w:shd w:val="clear" w:color="auto" w:fill="FFFFFF"/>
            <w:vAlign w:val="center"/>
            <w:hideMark/>
          </w:tcPr>
          <w:p w14:paraId="203AE25B"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r>
      <w:tr w:rsidR="00F26F01" w:rsidRPr="00C33834" w14:paraId="5AD8DF2A" w14:textId="77777777" w:rsidTr="003417C8">
        <w:tc>
          <w:tcPr>
            <w:tcW w:w="3035" w:type="dxa"/>
            <w:gridSpan w:val="2"/>
            <w:shd w:val="clear" w:color="auto" w:fill="FFFFFF"/>
            <w:tcMar>
              <w:top w:w="168" w:type="dxa"/>
              <w:left w:w="72" w:type="dxa"/>
              <w:bottom w:w="168" w:type="dxa"/>
              <w:right w:w="72" w:type="dxa"/>
            </w:tcMar>
            <w:vAlign w:val="center"/>
            <w:hideMark/>
          </w:tcPr>
          <w:p w14:paraId="446348B9"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Общая мощность, л.с.</w:t>
            </w:r>
          </w:p>
        </w:tc>
        <w:tc>
          <w:tcPr>
            <w:tcW w:w="2624" w:type="dxa"/>
            <w:shd w:val="clear" w:color="auto" w:fill="FFFFFF"/>
            <w:vAlign w:val="center"/>
            <w:hideMark/>
          </w:tcPr>
          <w:p w14:paraId="2FE9B3C8"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2624" w:type="dxa"/>
            <w:shd w:val="clear" w:color="auto" w:fill="FFFFFF"/>
            <w:vAlign w:val="center"/>
            <w:hideMark/>
          </w:tcPr>
          <w:p w14:paraId="33A2B994"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2625" w:type="dxa"/>
            <w:shd w:val="clear" w:color="auto" w:fill="FFFFFF"/>
            <w:vAlign w:val="center"/>
            <w:hideMark/>
          </w:tcPr>
          <w:p w14:paraId="04B625E8"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r>
      <w:tr w:rsidR="00F26F01" w:rsidRPr="00C33834" w14:paraId="05D47496" w14:textId="77777777" w:rsidTr="003417C8">
        <w:tc>
          <w:tcPr>
            <w:tcW w:w="3035" w:type="dxa"/>
            <w:gridSpan w:val="2"/>
            <w:shd w:val="clear" w:color="auto" w:fill="FFFFFF"/>
            <w:tcMar>
              <w:top w:w="168" w:type="dxa"/>
              <w:left w:w="72" w:type="dxa"/>
              <w:bottom w:w="168" w:type="dxa"/>
              <w:right w:w="72" w:type="dxa"/>
            </w:tcMar>
            <w:vAlign w:val="center"/>
            <w:hideMark/>
          </w:tcPr>
          <w:p w14:paraId="4CF63CB4"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Трансмиссия</w:t>
            </w:r>
          </w:p>
        </w:tc>
        <w:tc>
          <w:tcPr>
            <w:tcW w:w="2624" w:type="dxa"/>
            <w:shd w:val="clear" w:color="auto" w:fill="FFFFFF"/>
            <w:vAlign w:val="center"/>
            <w:hideMark/>
          </w:tcPr>
          <w:p w14:paraId="1D839531"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механическая</w:t>
            </w:r>
          </w:p>
        </w:tc>
        <w:tc>
          <w:tcPr>
            <w:tcW w:w="2624" w:type="dxa"/>
            <w:shd w:val="clear" w:color="auto" w:fill="FFFFFF"/>
            <w:vAlign w:val="center"/>
            <w:hideMark/>
          </w:tcPr>
          <w:p w14:paraId="5BFF3D6F"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механическая</w:t>
            </w:r>
          </w:p>
        </w:tc>
        <w:tc>
          <w:tcPr>
            <w:tcW w:w="2625" w:type="dxa"/>
            <w:shd w:val="clear" w:color="auto" w:fill="FFFFFF"/>
            <w:vAlign w:val="center"/>
            <w:hideMark/>
          </w:tcPr>
          <w:p w14:paraId="69E4B3D9"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механическая</w:t>
            </w:r>
          </w:p>
        </w:tc>
      </w:tr>
      <w:tr w:rsidR="00F26F01" w:rsidRPr="00C33834" w14:paraId="5FAA14C7" w14:textId="77777777" w:rsidTr="003417C8">
        <w:trPr>
          <w:trHeight w:val="575"/>
        </w:trPr>
        <w:tc>
          <w:tcPr>
            <w:tcW w:w="1424" w:type="dxa"/>
            <w:vMerge w:val="restart"/>
            <w:shd w:val="clear" w:color="auto" w:fill="FFFFFF"/>
            <w:tcMar>
              <w:top w:w="168" w:type="dxa"/>
              <w:left w:w="72" w:type="dxa"/>
              <w:bottom w:w="168" w:type="dxa"/>
              <w:right w:w="72" w:type="dxa"/>
            </w:tcMar>
            <w:vAlign w:val="center"/>
            <w:hideMark/>
          </w:tcPr>
          <w:p w14:paraId="42894F6C"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Ходовая часть</w:t>
            </w:r>
          </w:p>
        </w:tc>
        <w:tc>
          <w:tcPr>
            <w:tcW w:w="1611" w:type="dxa"/>
            <w:shd w:val="clear" w:color="auto" w:fill="FFFFFF"/>
            <w:vAlign w:val="center"/>
            <w:hideMark/>
          </w:tcPr>
          <w:p w14:paraId="28B8AD2A"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гусеницах</w:t>
            </w:r>
          </w:p>
        </w:tc>
        <w:tc>
          <w:tcPr>
            <w:tcW w:w="2624" w:type="dxa"/>
            <w:vMerge w:val="restart"/>
            <w:shd w:val="clear" w:color="auto" w:fill="FFFFFF"/>
            <w:vAlign w:val="center"/>
            <w:hideMark/>
          </w:tcPr>
          <w:p w14:paraId="4FD7F04F"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2624" w:type="dxa"/>
            <w:vMerge w:val="restart"/>
            <w:shd w:val="clear" w:color="auto" w:fill="FFFFFF"/>
            <w:vAlign w:val="center"/>
            <w:hideMark/>
          </w:tcPr>
          <w:p w14:paraId="2A2AEE8D"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2625" w:type="dxa"/>
            <w:shd w:val="clear" w:color="auto" w:fill="FFFFFF"/>
            <w:vAlign w:val="center"/>
            <w:hideMark/>
          </w:tcPr>
          <w:p w14:paraId="4C0E679F"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опорных катка, переднее направляющее и заднее ведущее колесо</w:t>
            </w:r>
          </w:p>
        </w:tc>
      </w:tr>
      <w:tr w:rsidR="00F26F01" w:rsidRPr="00C33834" w14:paraId="2095912C" w14:textId="77777777" w:rsidTr="003417C8">
        <w:trPr>
          <w:trHeight w:val="575"/>
        </w:trPr>
        <w:tc>
          <w:tcPr>
            <w:tcW w:w="0" w:type="auto"/>
            <w:vMerge/>
            <w:shd w:val="clear" w:color="auto" w:fill="FFFFFF"/>
            <w:vAlign w:val="center"/>
            <w:hideMark/>
          </w:tcPr>
          <w:p w14:paraId="1AEC0437" w14:textId="77777777" w:rsidR="003417C8" w:rsidRPr="00C33834" w:rsidRDefault="003417C8" w:rsidP="00C33834">
            <w:pPr>
              <w:spacing w:after="0" w:line="240" w:lineRule="auto"/>
              <w:jc w:val="both"/>
              <w:rPr>
                <w:rFonts w:ascii="Times New Roman" w:hAnsi="Times New Roman"/>
                <w:color w:val="000000" w:themeColor="text1"/>
                <w:sz w:val="16"/>
                <w:szCs w:val="16"/>
              </w:rPr>
            </w:pPr>
          </w:p>
        </w:tc>
        <w:tc>
          <w:tcPr>
            <w:tcW w:w="1611" w:type="dxa"/>
            <w:shd w:val="clear" w:color="auto" w:fill="FFFFFF"/>
            <w:vAlign w:val="center"/>
            <w:hideMark/>
          </w:tcPr>
          <w:p w14:paraId="6B6A775D"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колесах</w:t>
            </w:r>
          </w:p>
        </w:tc>
        <w:tc>
          <w:tcPr>
            <w:tcW w:w="0" w:type="auto"/>
            <w:vMerge/>
            <w:shd w:val="clear" w:color="auto" w:fill="FFFFFF"/>
            <w:vAlign w:val="center"/>
            <w:hideMark/>
          </w:tcPr>
          <w:p w14:paraId="6E720C44" w14:textId="77777777" w:rsidR="003417C8" w:rsidRPr="00C33834" w:rsidRDefault="003417C8" w:rsidP="00C33834">
            <w:pPr>
              <w:spacing w:after="0" w:line="240" w:lineRule="auto"/>
              <w:jc w:val="both"/>
              <w:rPr>
                <w:rFonts w:ascii="Times New Roman" w:hAnsi="Times New Roman"/>
                <w:color w:val="000000" w:themeColor="text1"/>
                <w:sz w:val="16"/>
                <w:szCs w:val="16"/>
              </w:rPr>
            </w:pPr>
          </w:p>
        </w:tc>
        <w:tc>
          <w:tcPr>
            <w:tcW w:w="0" w:type="auto"/>
            <w:vMerge/>
            <w:shd w:val="clear" w:color="auto" w:fill="FFFFFF"/>
            <w:vAlign w:val="center"/>
            <w:hideMark/>
          </w:tcPr>
          <w:p w14:paraId="284D72AF" w14:textId="77777777" w:rsidR="003417C8" w:rsidRPr="00C33834" w:rsidRDefault="003417C8" w:rsidP="00C33834">
            <w:pPr>
              <w:spacing w:after="0" w:line="240" w:lineRule="auto"/>
              <w:jc w:val="both"/>
              <w:rPr>
                <w:rFonts w:ascii="Times New Roman" w:hAnsi="Times New Roman"/>
                <w:color w:val="000000" w:themeColor="text1"/>
                <w:sz w:val="16"/>
                <w:szCs w:val="16"/>
              </w:rPr>
            </w:pPr>
          </w:p>
        </w:tc>
        <w:tc>
          <w:tcPr>
            <w:tcW w:w="2625" w:type="dxa"/>
            <w:shd w:val="clear" w:color="auto" w:fill="FFFFFF"/>
            <w:vAlign w:val="center"/>
            <w:hideMark/>
          </w:tcPr>
          <w:p w14:paraId="3E355F4B"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передняя и задняя пары колес управляемые,</w:t>
            </w:r>
          </w:p>
        </w:tc>
      </w:tr>
      <w:tr w:rsidR="00F26F01" w:rsidRPr="00C33834" w14:paraId="34B00BE8" w14:textId="77777777" w:rsidTr="003417C8">
        <w:tc>
          <w:tcPr>
            <w:tcW w:w="1424" w:type="dxa"/>
            <w:vMerge w:val="restart"/>
            <w:shd w:val="clear" w:color="auto" w:fill="FFFFFF"/>
            <w:tcMar>
              <w:top w:w="168" w:type="dxa"/>
              <w:left w:w="72" w:type="dxa"/>
              <w:bottom w:w="168" w:type="dxa"/>
              <w:right w:w="72" w:type="dxa"/>
            </w:tcMar>
            <w:vAlign w:val="center"/>
            <w:hideMark/>
          </w:tcPr>
          <w:p w14:paraId="24EEFF0E"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Скорость </w:t>
            </w:r>
          </w:p>
        </w:tc>
        <w:tc>
          <w:tcPr>
            <w:tcW w:w="1611" w:type="dxa"/>
            <w:shd w:val="clear" w:color="auto" w:fill="FFFFFF"/>
            <w:vAlign w:val="center"/>
            <w:hideMark/>
          </w:tcPr>
          <w:p w14:paraId="7FBB8D28"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гусеницах</w:t>
            </w:r>
          </w:p>
        </w:tc>
        <w:tc>
          <w:tcPr>
            <w:tcW w:w="2624" w:type="dxa"/>
            <w:shd w:val="clear" w:color="auto" w:fill="FFFFFF"/>
            <w:vAlign w:val="center"/>
            <w:hideMark/>
          </w:tcPr>
          <w:p w14:paraId="592325E6"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2624" w:type="dxa"/>
            <w:shd w:val="clear" w:color="auto" w:fill="FFFFFF"/>
            <w:vAlign w:val="center"/>
            <w:hideMark/>
          </w:tcPr>
          <w:p w14:paraId="3471D7D3"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30-35</w:t>
            </w:r>
          </w:p>
        </w:tc>
        <w:tc>
          <w:tcPr>
            <w:tcW w:w="2625" w:type="dxa"/>
            <w:shd w:val="clear" w:color="auto" w:fill="FFFFFF"/>
            <w:vAlign w:val="center"/>
            <w:hideMark/>
          </w:tcPr>
          <w:p w14:paraId="0E718961"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r>
      <w:tr w:rsidR="00F26F01" w:rsidRPr="00C33834" w14:paraId="6D80F81F" w14:textId="77777777" w:rsidTr="003417C8">
        <w:tc>
          <w:tcPr>
            <w:tcW w:w="0" w:type="auto"/>
            <w:vMerge/>
            <w:shd w:val="clear" w:color="auto" w:fill="FFFFFF"/>
            <w:vAlign w:val="center"/>
            <w:hideMark/>
          </w:tcPr>
          <w:p w14:paraId="60C58990" w14:textId="77777777" w:rsidR="003417C8" w:rsidRPr="00C33834" w:rsidRDefault="003417C8" w:rsidP="00C33834">
            <w:pPr>
              <w:spacing w:after="0" w:line="240" w:lineRule="auto"/>
              <w:jc w:val="both"/>
              <w:rPr>
                <w:rFonts w:ascii="Times New Roman" w:hAnsi="Times New Roman"/>
                <w:color w:val="000000" w:themeColor="text1"/>
                <w:sz w:val="16"/>
                <w:szCs w:val="16"/>
              </w:rPr>
            </w:pPr>
          </w:p>
        </w:tc>
        <w:tc>
          <w:tcPr>
            <w:tcW w:w="1611" w:type="dxa"/>
            <w:shd w:val="clear" w:color="auto" w:fill="FFFFFF"/>
            <w:vAlign w:val="center"/>
            <w:hideMark/>
          </w:tcPr>
          <w:p w14:paraId="153B41B1"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колесах</w:t>
            </w:r>
          </w:p>
        </w:tc>
        <w:tc>
          <w:tcPr>
            <w:tcW w:w="2624" w:type="dxa"/>
            <w:shd w:val="clear" w:color="auto" w:fill="FFFFFF"/>
            <w:vAlign w:val="center"/>
            <w:hideMark/>
          </w:tcPr>
          <w:p w14:paraId="1D53D7C1"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2624" w:type="dxa"/>
            <w:shd w:val="clear" w:color="auto" w:fill="FFFFFF"/>
            <w:vAlign w:val="center"/>
            <w:hideMark/>
          </w:tcPr>
          <w:p w14:paraId="3488C049"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40-45</w:t>
            </w:r>
          </w:p>
        </w:tc>
        <w:tc>
          <w:tcPr>
            <w:tcW w:w="2625" w:type="dxa"/>
            <w:shd w:val="clear" w:color="auto" w:fill="FFFFFF"/>
            <w:vAlign w:val="center"/>
            <w:hideMark/>
          </w:tcPr>
          <w:p w14:paraId="7D457AB2"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r>
      <w:tr w:rsidR="00F26F01" w:rsidRPr="00C33834" w14:paraId="0794B82D" w14:textId="77777777" w:rsidTr="003417C8">
        <w:tc>
          <w:tcPr>
            <w:tcW w:w="1424" w:type="dxa"/>
            <w:vMerge w:val="restart"/>
            <w:shd w:val="clear" w:color="auto" w:fill="FFFFFF"/>
            <w:tcMar>
              <w:top w:w="168" w:type="dxa"/>
              <w:left w:w="72" w:type="dxa"/>
              <w:bottom w:w="168" w:type="dxa"/>
              <w:right w:w="72" w:type="dxa"/>
            </w:tcMar>
            <w:vAlign w:val="center"/>
            <w:hideMark/>
          </w:tcPr>
          <w:p w14:paraId="07BBA80A"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Запас хода, км</w:t>
            </w:r>
          </w:p>
        </w:tc>
        <w:tc>
          <w:tcPr>
            <w:tcW w:w="1611" w:type="dxa"/>
            <w:shd w:val="clear" w:color="auto" w:fill="FFFFFF"/>
            <w:vAlign w:val="center"/>
            <w:hideMark/>
          </w:tcPr>
          <w:p w14:paraId="452A34F7"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гусеницах</w:t>
            </w:r>
          </w:p>
        </w:tc>
        <w:tc>
          <w:tcPr>
            <w:tcW w:w="2624" w:type="dxa"/>
            <w:shd w:val="clear" w:color="auto" w:fill="FFFFFF"/>
            <w:vAlign w:val="center"/>
            <w:hideMark/>
          </w:tcPr>
          <w:p w14:paraId="7F3EBD72"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2624" w:type="dxa"/>
            <w:shd w:val="clear" w:color="auto" w:fill="FFFFFF"/>
            <w:vAlign w:val="center"/>
            <w:hideMark/>
          </w:tcPr>
          <w:p w14:paraId="24F6B6D3"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2625" w:type="dxa"/>
            <w:shd w:val="clear" w:color="auto" w:fill="FFFFFF"/>
            <w:vAlign w:val="center"/>
            <w:hideMark/>
          </w:tcPr>
          <w:p w14:paraId="27D09299"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r>
      <w:tr w:rsidR="00F26F01" w:rsidRPr="00C33834" w14:paraId="2A4E47D1" w14:textId="77777777" w:rsidTr="003417C8">
        <w:tc>
          <w:tcPr>
            <w:tcW w:w="0" w:type="auto"/>
            <w:vMerge/>
            <w:shd w:val="clear" w:color="auto" w:fill="FFFFFF"/>
            <w:vAlign w:val="center"/>
            <w:hideMark/>
          </w:tcPr>
          <w:p w14:paraId="6F6A397D" w14:textId="77777777" w:rsidR="003417C8" w:rsidRPr="00C33834" w:rsidRDefault="003417C8" w:rsidP="00C33834">
            <w:pPr>
              <w:spacing w:after="0" w:line="240" w:lineRule="auto"/>
              <w:jc w:val="both"/>
              <w:rPr>
                <w:rFonts w:ascii="Times New Roman" w:hAnsi="Times New Roman"/>
                <w:color w:val="000000" w:themeColor="text1"/>
                <w:sz w:val="16"/>
                <w:szCs w:val="16"/>
              </w:rPr>
            </w:pPr>
          </w:p>
        </w:tc>
        <w:tc>
          <w:tcPr>
            <w:tcW w:w="1611" w:type="dxa"/>
            <w:shd w:val="clear" w:color="auto" w:fill="FFFFFF"/>
            <w:vAlign w:val="center"/>
            <w:hideMark/>
          </w:tcPr>
          <w:p w14:paraId="592C5184"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колесах</w:t>
            </w:r>
          </w:p>
        </w:tc>
        <w:tc>
          <w:tcPr>
            <w:tcW w:w="2624" w:type="dxa"/>
            <w:shd w:val="clear" w:color="auto" w:fill="FFFFFF"/>
            <w:vAlign w:val="center"/>
            <w:hideMark/>
          </w:tcPr>
          <w:p w14:paraId="14401E61"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2624" w:type="dxa"/>
            <w:shd w:val="clear" w:color="auto" w:fill="FFFFFF"/>
            <w:vAlign w:val="center"/>
            <w:hideMark/>
          </w:tcPr>
          <w:p w14:paraId="7ADA3884"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2625" w:type="dxa"/>
            <w:shd w:val="clear" w:color="auto" w:fill="FFFFFF"/>
            <w:vAlign w:val="center"/>
            <w:hideMark/>
          </w:tcPr>
          <w:p w14:paraId="20B71285"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r>
      <w:tr w:rsidR="00F26F01" w:rsidRPr="00C33834" w14:paraId="01DD815F" w14:textId="77777777" w:rsidTr="003417C8">
        <w:tc>
          <w:tcPr>
            <w:tcW w:w="10908" w:type="dxa"/>
            <w:gridSpan w:val="5"/>
            <w:shd w:val="clear" w:color="auto" w:fill="FFFFFF"/>
            <w:tcMar>
              <w:top w:w="168" w:type="dxa"/>
              <w:left w:w="72" w:type="dxa"/>
              <w:bottom w:w="168" w:type="dxa"/>
              <w:right w:w="72" w:type="dxa"/>
            </w:tcMar>
            <w:vAlign w:val="center"/>
            <w:hideMark/>
          </w:tcPr>
          <w:p w14:paraId="1825EC0E"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Преодолеваемые препятствия</w:t>
            </w:r>
          </w:p>
        </w:tc>
      </w:tr>
      <w:tr w:rsidR="00F26F01" w:rsidRPr="00C33834" w14:paraId="41B507BC" w14:textId="77777777" w:rsidTr="003417C8">
        <w:tc>
          <w:tcPr>
            <w:tcW w:w="3035" w:type="dxa"/>
            <w:gridSpan w:val="2"/>
            <w:shd w:val="clear" w:color="auto" w:fill="FFFFFF"/>
            <w:tcMar>
              <w:top w:w="168" w:type="dxa"/>
              <w:left w:w="72" w:type="dxa"/>
              <w:bottom w:w="168" w:type="dxa"/>
              <w:right w:w="72" w:type="dxa"/>
            </w:tcMar>
            <w:vAlign w:val="center"/>
            <w:hideMark/>
          </w:tcPr>
          <w:p w14:paraId="29B8DA67"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Угол подъёма, град.</w:t>
            </w:r>
          </w:p>
        </w:tc>
        <w:tc>
          <w:tcPr>
            <w:tcW w:w="2624" w:type="dxa"/>
            <w:shd w:val="clear" w:color="auto" w:fill="FFFFFF"/>
            <w:vAlign w:val="center"/>
            <w:hideMark/>
          </w:tcPr>
          <w:p w14:paraId="339F6070"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2624" w:type="dxa"/>
            <w:shd w:val="clear" w:color="auto" w:fill="FFFFFF"/>
            <w:vAlign w:val="center"/>
            <w:hideMark/>
          </w:tcPr>
          <w:p w14:paraId="044369F4"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2625" w:type="dxa"/>
            <w:shd w:val="clear" w:color="auto" w:fill="FFFFFF"/>
            <w:vAlign w:val="center"/>
            <w:hideMark/>
          </w:tcPr>
          <w:p w14:paraId="29447123"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r>
      <w:tr w:rsidR="00F26F01" w:rsidRPr="00C33834" w14:paraId="3F2C13B5" w14:textId="77777777" w:rsidTr="003417C8">
        <w:tc>
          <w:tcPr>
            <w:tcW w:w="3035" w:type="dxa"/>
            <w:gridSpan w:val="2"/>
            <w:shd w:val="clear" w:color="auto" w:fill="FFFFFF"/>
            <w:tcMar>
              <w:top w:w="168" w:type="dxa"/>
              <w:left w:w="72" w:type="dxa"/>
              <w:bottom w:w="168" w:type="dxa"/>
              <w:right w:w="72" w:type="dxa"/>
            </w:tcMar>
            <w:vAlign w:val="center"/>
            <w:hideMark/>
          </w:tcPr>
          <w:p w14:paraId="58F67DBA"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стенки, м</w:t>
            </w:r>
          </w:p>
        </w:tc>
        <w:tc>
          <w:tcPr>
            <w:tcW w:w="2624" w:type="dxa"/>
            <w:shd w:val="clear" w:color="auto" w:fill="FFFFFF"/>
            <w:vAlign w:val="center"/>
            <w:hideMark/>
          </w:tcPr>
          <w:p w14:paraId="03423EE3"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2624" w:type="dxa"/>
            <w:shd w:val="clear" w:color="auto" w:fill="FFFFFF"/>
            <w:vAlign w:val="center"/>
            <w:hideMark/>
          </w:tcPr>
          <w:p w14:paraId="1F7336AD"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2625" w:type="dxa"/>
            <w:shd w:val="clear" w:color="auto" w:fill="FFFFFF"/>
            <w:vAlign w:val="center"/>
            <w:hideMark/>
          </w:tcPr>
          <w:p w14:paraId="220544C6"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r>
      <w:tr w:rsidR="00F26F01" w:rsidRPr="00C33834" w14:paraId="71B357FC" w14:textId="77777777" w:rsidTr="003417C8">
        <w:tc>
          <w:tcPr>
            <w:tcW w:w="3035" w:type="dxa"/>
            <w:gridSpan w:val="2"/>
            <w:shd w:val="clear" w:color="auto" w:fill="FFFFFF"/>
            <w:tcMar>
              <w:top w:w="168" w:type="dxa"/>
              <w:left w:w="72" w:type="dxa"/>
              <w:bottom w:w="168" w:type="dxa"/>
              <w:right w:w="72" w:type="dxa"/>
            </w:tcMar>
            <w:vAlign w:val="center"/>
            <w:hideMark/>
          </w:tcPr>
          <w:p w14:paraId="18FCCDF0"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Ширина рва, м</w:t>
            </w:r>
          </w:p>
        </w:tc>
        <w:tc>
          <w:tcPr>
            <w:tcW w:w="2624" w:type="dxa"/>
            <w:shd w:val="clear" w:color="auto" w:fill="FFFFFF"/>
            <w:vAlign w:val="center"/>
            <w:hideMark/>
          </w:tcPr>
          <w:p w14:paraId="35753918"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2624" w:type="dxa"/>
            <w:shd w:val="clear" w:color="auto" w:fill="FFFFFF"/>
            <w:vAlign w:val="center"/>
            <w:hideMark/>
          </w:tcPr>
          <w:p w14:paraId="6D1C1D71"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2625" w:type="dxa"/>
            <w:shd w:val="clear" w:color="auto" w:fill="FFFFFF"/>
            <w:vAlign w:val="center"/>
            <w:hideMark/>
          </w:tcPr>
          <w:p w14:paraId="6AA25C14"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r>
      <w:tr w:rsidR="00F26F01" w:rsidRPr="00C33834" w14:paraId="65AF3FD4" w14:textId="77777777" w:rsidTr="003417C8">
        <w:tc>
          <w:tcPr>
            <w:tcW w:w="3035" w:type="dxa"/>
            <w:gridSpan w:val="2"/>
            <w:shd w:val="clear" w:color="auto" w:fill="FFFFFF"/>
            <w:tcMar>
              <w:top w:w="168" w:type="dxa"/>
              <w:left w:w="72" w:type="dxa"/>
              <w:bottom w:w="168" w:type="dxa"/>
              <w:right w:w="72" w:type="dxa"/>
            </w:tcMar>
            <w:vAlign w:val="center"/>
            <w:hideMark/>
          </w:tcPr>
          <w:p w14:paraId="08434DE5"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Глубина брода, м</w:t>
            </w:r>
          </w:p>
        </w:tc>
        <w:tc>
          <w:tcPr>
            <w:tcW w:w="2624" w:type="dxa"/>
            <w:shd w:val="clear" w:color="auto" w:fill="FFFFFF"/>
            <w:vAlign w:val="center"/>
            <w:hideMark/>
          </w:tcPr>
          <w:p w14:paraId="190FFAAC"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2624" w:type="dxa"/>
            <w:shd w:val="clear" w:color="auto" w:fill="FFFFFF"/>
            <w:vAlign w:val="center"/>
            <w:hideMark/>
          </w:tcPr>
          <w:p w14:paraId="15105FF8"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2625" w:type="dxa"/>
            <w:shd w:val="clear" w:color="auto" w:fill="FFFFFF"/>
            <w:vAlign w:val="center"/>
            <w:hideMark/>
          </w:tcPr>
          <w:p w14:paraId="303E6B83"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r>
      <w:tr w:rsidR="00F26F01" w:rsidRPr="00C33834" w14:paraId="4610AD0E" w14:textId="77777777" w:rsidTr="003417C8">
        <w:tc>
          <w:tcPr>
            <w:tcW w:w="3035" w:type="dxa"/>
            <w:gridSpan w:val="2"/>
            <w:shd w:val="clear" w:color="auto" w:fill="FFFFFF"/>
            <w:tcMar>
              <w:top w:w="168" w:type="dxa"/>
              <w:left w:w="72" w:type="dxa"/>
              <w:bottom w:w="168" w:type="dxa"/>
              <w:right w:w="72" w:type="dxa"/>
            </w:tcMar>
            <w:vAlign w:val="center"/>
            <w:hideMark/>
          </w:tcPr>
          <w:p w14:paraId="0F308D8C"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Средства связи</w:t>
            </w:r>
          </w:p>
        </w:tc>
        <w:tc>
          <w:tcPr>
            <w:tcW w:w="2624" w:type="dxa"/>
            <w:shd w:val="clear" w:color="auto" w:fill="FFFFFF"/>
            <w:vAlign w:val="center"/>
            <w:hideMark/>
          </w:tcPr>
          <w:p w14:paraId="54B2EC0E"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2624" w:type="dxa"/>
            <w:shd w:val="clear" w:color="auto" w:fill="FFFFFF"/>
            <w:vAlign w:val="center"/>
            <w:hideMark/>
          </w:tcPr>
          <w:p w14:paraId="6F16B7C4"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c>
          <w:tcPr>
            <w:tcW w:w="2625" w:type="dxa"/>
            <w:shd w:val="clear" w:color="auto" w:fill="FFFFFF"/>
            <w:vAlign w:val="center"/>
            <w:hideMark/>
          </w:tcPr>
          <w:p w14:paraId="5594BC82"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w:t>
            </w:r>
          </w:p>
        </w:tc>
      </w:tr>
    </w:tbl>
    <w:p w14:paraId="08CBC629"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(15620).</w:t>
      </w:r>
    </w:p>
    <w:p w14:paraId="0C7DBEBB" w14:textId="77777777" w:rsidR="003417C8" w:rsidRPr="00C33834" w:rsidRDefault="003417C8" w:rsidP="00C33834">
      <w:pPr>
        <w:spacing w:after="0" w:line="240" w:lineRule="auto"/>
        <w:jc w:val="both"/>
        <w:rPr>
          <w:rFonts w:ascii="Times New Roman" w:hAnsi="Times New Roman"/>
          <w:color w:val="000000" w:themeColor="text1"/>
          <w:sz w:val="16"/>
          <w:szCs w:val="16"/>
        </w:rPr>
      </w:pPr>
    </w:p>
    <w:p w14:paraId="4F0AC960"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НИО ВАММ под руководством М.В.Данченко выполнило проект сверхтяжелого танка массой 500 т. 2х107 мм, 2х76 мм, 2х45 мм, 12хДТ, экипаж - 60 чел. (9527,152).</w:t>
      </w:r>
    </w:p>
    <w:p w14:paraId="6BDC3F9D"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7B815EC5"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г. в распоряжение 3-го управления УММ от имени дирекции ХПЗ были направлены фотоснимки модели нового танка БТ с 76,2-мм пушкой. Зам. начальни</w:t>
      </w:r>
      <w:r w:rsidRPr="00C33834">
        <w:rPr>
          <w:rFonts w:ascii="Times New Roman" w:hAnsi="Times New Roman"/>
          <w:color w:val="000000" w:themeColor="text1"/>
          <w:sz w:val="16"/>
          <w:szCs w:val="16"/>
        </w:rPr>
        <w:softHyphen/>
        <w:t>ка УММ Г. Бокис просил срочно прислать на рассмотрение весь проект, но ничего кроме эскизной проработки Т-2-О в срок представить не смог. Проектирование и изготовление опытной серии затягивалось (10733,339).</w:t>
      </w:r>
    </w:p>
    <w:p w14:paraId="2D1DABC5"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537650"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г. на ХПЗ был отправлен изготов</w:t>
      </w:r>
      <w:r w:rsidRPr="00C33834">
        <w:rPr>
          <w:rFonts w:ascii="Times New Roman" w:hAnsi="Times New Roman"/>
          <w:color w:val="000000" w:themeColor="text1"/>
          <w:sz w:val="16"/>
          <w:szCs w:val="16"/>
        </w:rPr>
        <w:softHyphen/>
        <w:t>ленный танк Т-35-2, рабочая документация по Т-35А, а также весь задел по корпусу нового танка и его башням. Несмотря на то что танк был максимально унифицирован с производимым в Ленинграде Т-28, для Харькова, который лихорадило от программы выпуска БТ-5, это была совершенно новая машина, в которой многое пришлось осваивать впервые. Планировалось, что первый танк Т-35А должен был выйти из ворот ХПЗ в июле 1933 г., но этот срок оказался слишком оптимистичным. Из смежников вовремя отгрузили свою продукцию только Ижорский Завод (бронекорпус) и Рыбинский (двигатели). Остальные начали от</w:t>
      </w:r>
      <w:r w:rsidRPr="00C33834">
        <w:rPr>
          <w:rFonts w:ascii="Times New Roman" w:hAnsi="Times New Roman"/>
          <w:color w:val="000000" w:themeColor="text1"/>
          <w:sz w:val="16"/>
          <w:szCs w:val="16"/>
        </w:rPr>
        <w:softHyphen/>
        <w:t>грузку своей продукции только в августе—сентябре (10733,263).</w:t>
      </w:r>
    </w:p>
    <w:p w14:paraId="2AEEBB6C"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98E857" w14:textId="77777777" w:rsidR="00183C6C" w:rsidRPr="00C33834" w:rsidRDefault="00183C6C" w:rsidP="00C33834">
      <w:pPr>
        <w:pStyle w:val="ae"/>
        <w:spacing w:before="0" w:after="0"/>
        <w:jc w:val="both"/>
        <w:textAlignment w:val="baseline"/>
        <w:rPr>
          <w:color w:val="000000" w:themeColor="text1"/>
          <w:sz w:val="16"/>
          <w:szCs w:val="16"/>
        </w:rPr>
      </w:pPr>
      <w:r w:rsidRPr="00C33834">
        <w:rPr>
          <w:color w:val="000000" w:themeColor="text1"/>
          <w:sz w:val="16"/>
          <w:szCs w:val="16"/>
        </w:rPr>
        <w:t>С июня 1933 года в документах ОКМО завода №174 появляется наряд №12064 на разработку самоходной артиллерийской установки СУ-5. Ввиду сильной загрузки ОКМО по другим работам проектирование данной машины затянулось. В сентябре 1933 года по этому поводу провели небольшое разбирательство, тогда же СУ-5 впервые назвали «малым триплексом». В итоге проектная документация на СУ-5 была готова только в конце 1933 года (19721).</w:t>
      </w:r>
    </w:p>
    <w:p w14:paraId="3C161DBC" w14:textId="77777777" w:rsidR="00183C6C" w:rsidRPr="00C33834" w:rsidRDefault="00183C6C" w:rsidP="00C33834">
      <w:pPr>
        <w:pStyle w:val="ae"/>
        <w:spacing w:before="0" w:after="0"/>
        <w:jc w:val="both"/>
        <w:textAlignment w:val="baseline"/>
        <w:rPr>
          <w:color w:val="000000" w:themeColor="text1"/>
          <w:sz w:val="16"/>
          <w:szCs w:val="16"/>
        </w:rPr>
      </w:pPr>
    </w:p>
    <w:p w14:paraId="67853442"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июне 1933, после окончания постройки и сборки, с Ярославского завода поступило два автомобиля Я-НАТИ-9Д для проведения испытаний. Испытания базировались на пробегах общей протяженностью 10 тыс. км, сопровождающихся плановыми экспери</w:t>
      </w:r>
      <w:r w:rsidRPr="00C33834">
        <w:rPr>
          <w:rFonts w:ascii="Times New Roman" w:hAnsi="Times New Roman"/>
          <w:color w:val="0070C0"/>
          <w:sz w:val="16"/>
          <w:szCs w:val="16"/>
        </w:rPr>
        <w:softHyphen/>
        <w:t>ментами. Предусматривались две плановых разбор</w:t>
      </w:r>
      <w:r w:rsidRPr="00C33834">
        <w:rPr>
          <w:rFonts w:ascii="Times New Roman" w:hAnsi="Times New Roman"/>
          <w:color w:val="0070C0"/>
          <w:sz w:val="16"/>
          <w:szCs w:val="16"/>
        </w:rPr>
        <w:softHyphen/>
        <w:t>ки в середине и в конце испытания.</w:t>
      </w:r>
    </w:p>
    <w:p w14:paraId="7C32B84A"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 опытных автомобилях Я-НАТИ-9Д уста</w:t>
      </w:r>
      <w:r w:rsidRPr="00C33834">
        <w:rPr>
          <w:rFonts w:ascii="Times New Roman" w:hAnsi="Times New Roman"/>
          <w:color w:val="0070C0"/>
          <w:sz w:val="16"/>
          <w:szCs w:val="16"/>
        </w:rPr>
        <w:softHyphen/>
        <w:t>навливались 6-цилиндровые двигатели Continental К 21 рабочим объемом 7,02 л. Двигатели размернос</w:t>
      </w:r>
      <w:r w:rsidRPr="00C33834">
        <w:rPr>
          <w:rFonts w:ascii="Times New Roman" w:hAnsi="Times New Roman"/>
          <w:color w:val="0070C0"/>
          <w:sz w:val="16"/>
          <w:szCs w:val="16"/>
        </w:rPr>
        <w:softHyphen/>
        <w:t>тью 111,12 х 120,65 мм развивали мощность 102 л.с. при 2400 об./мин.</w:t>
      </w:r>
    </w:p>
    <w:p w14:paraId="40D4F9CD"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Демультипликатор, установленный на автомоби</w:t>
      </w:r>
      <w:r w:rsidRPr="00C33834">
        <w:rPr>
          <w:rFonts w:ascii="Times New Roman" w:hAnsi="Times New Roman"/>
          <w:color w:val="0070C0"/>
          <w:sz w:val="16"/>
          <w:szCs w:val="16"/>
        </w:rPr>
        <w:softHyphen/>
        <w:t>ле, имел прямую и понижающую передачу (I = 1,4). При работе демультипликатора шестерни произво</w:t>
      </w:r>
      <w:r w:rsidRPr="00C33834">
        <w:rPr>
          <w:rFonts w:ascii="Times New Roman" w:hAnsi="Times New Roman"/>
          <w:color w:val="0070C0"/>
          <w:sz w:val="16"/>
          <w:szCs w:val="16"/>
        </w:rPr>
        <w:softHyphen/>
        <w:t>дили значительный шум из-за плохой обработки зубьев. При испытаниях имела место поломка зубь</w:t>
      </w:r>
      <w:r w:rsidRPr="00C33834">
        <w:rPr>
          <w:rFonts w:ascii="Times New Roman" w:hAnsi="Times New Roman"/>
          <w:color w:val="0070C0"/>
          <w:sz w:val="16"/>
          <w:szCs w:val="16"/>
        </w:rPr>
        <w:softHyphen/>
        <w:t>ев ведущей шестерни постоянного зацепления.</w:t>
      </w:r>
    </w:p>
    <w:p w14:paraId="457FFE52"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Грузовик оснащался рабочей тормозной систе</w:t>
      </w:r>
      <w:r w:rsidRPr="00C33834">
        <w:rPr>
          <w:rFonts w:ascii="Times New Roman" w:hAnsi="Times New Roman"/>
          <w:color w:val="0070C0"/>
          <w:sz w:val="16"/>
          <w:szCs w:val="16"/>
        </w:rPr>
        <w:softHyphen/>
        <w:t>мой с вакуумным усилителем типа Девандер, мощ</w:t>
      </w:r>
      <w:r w:rsidRPr="00C33834">
        <w:rPr>
          <w:rFonts w:ascii="Times New Roman" w:hAnsi="Times New Roman"/>
          <w:color w:val="0070C0"/>
          <w:sz w:val="16"/>
          <w:szCs w:val="16"/>
        </w:rPr>
        <w:softHyphen/>
        <w:t>ности которого не хватало для эффективного замед</w:t>
      </w:r>
      <w:r w:rsidRPr="00C33834">
        <w:rPr>
          <w:rFonts w:ascii="Times New Roman" w:hAnsi="Times New Roman"/>
          <w:color w:val="0070C0"/>
          <w:sz w:val="16"/>
          <w:szCs w:val="16"/>
        </w:rPr>
        <w:softHyphen/>
        <w:t>ления тяжелого грузовика.</w:t>
      </w:r>
    </w:p>
    <w:p w14:paraId="5A4C6941"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Проводятся испытания грузовика Я-НАТИ-9Д с прицепом фирмы Lappet. Прицеп грузоподъемнос</w:t>
      </w:r>
      <w:r w:rsidRPr="00C33834">
        <w:rPr>
          <w:rFonts w:ascii="Times New Roman" w:hAnsi="Times New Roman"/>
          <w:color w:val="0070C0"/>
          <w:sz w:val="16"/>
          <w:szCs w:val="16"/>
        </w:rPr>
        <w:softHyphen/>
        <w:t>тью 5 т весил 2,5 т. Тяговые свойства автопоезда оставались удовлетворительными, однако при дви</w:t>
      </w:r>
      <w:r w:rsidRPr="00C33834">
        <w:rPr>
          <w:rFonts w:ascii="Times New Roman" w:hAnsi="Times New Roman"/>
          <w:color w:val="0070C0"/>
          <w:sz w:val="16"/>
          <w:szCs w:val="16"/>
        </w:rPr>
        <w:softHyphen/>
        <w:t>жении по холмистой местности, а также по дорогам среднего и низкого качества требовалось частое включение демультипликатора. Автопоезд на пер</w:t>
      </w:r>
      <w:r w:rsidRPr="00C33834">
        <w:rPr>
          <w:rFonts w:ascii="Times New Roman" w:hAnsi="Times New Roman"/>
          <w:color w:val="0070C0"/>
          <w:sz w:val="16"/>
          <w:szCs w:val="16"/>
        </w:rPr>
        <w:softHyphen/>
        <w:t>вой передаче с включенным демультипликатором уверенно преодолевал подъем порядка 6-7° на Труд</w:t>
      </w:r>
      <w:r w:rsidRPr="00C33834">
        <w:rPr>
          <w:rFonts w:ascii="Times New Roman" w:hAnsi="Times New Roman"/>
          <w:color w:val="0070C0"/>
          <w:sz w:val="16"/>
          <w:szCs w:val="16"/>
        </w:rPr>
        <w:softHyphen/>
        <w:t>ную гору в Москве. (22518).</w:t>
      </w:r>
    </w:p>
    <w:p w14:paraId="406EB7CF" w14:textId="77777777" w:rsidR="00231D42" w:rsidRPr="00C33834" w:rsidRDefault="00231D42" w:rsidP="00C33834">
      <w:pPr>
        <w:spacing w:after="0" w:line="240" w:lineRule="auto"/>
        <w:jc w:val="both"/>
        <w:rPr>
          <w:rFonts w:ascii="Times New Roman" w:hAnsi="Times New Roman"/>
          <w:color w:val="0070C0"/>
          <w:sz w:val="16"/>
          <w:szCs w:val="16"/>
        </w:rPr>
      </w:pPr>
    </w:p>
    <w:p w14:paraId="377F7DC1" w14:textId="77777777" w:rsidR="00183C6C" w:rsidRPr="00C33834" w:rsidRDefault="00183C6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г. СТО принял решение о строительстве в Москве опытного завода для получения дивинила, этилена и др. ценных углеводородов на основе газов нефтепереработки. Завод должен был работать на отходящих газах завода «Нефтегаз», состав которых был в 1932-1933 гг. изучен Ф.Н. Вороновым. Завод получил название опытный завод СК «Литер А» (Москва). В течение 1934-1939 гг. опытный завод проводил исследования (18298)</w:t>
      </w:r>
    </w:p>
    <w:p w14:paraId="31082164" w14:textId="77777777" w:rsidR="00183C6C" w:rsidRPr="00C33834" w:rsidRDefault="00183C6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1940 г. решением правительства опытный завод СК «Литер А» в Москве был закрыт. Территория и сооружения опытного завода, были переданы для создаваемого института шинной промышленности (18298).</w:t>
      </w:r>
    </w:p>
    <w:p w14:paraId="1FF5CFB9" w14:textId="77777777" w:rsidR="00183C6C" w:rsidRPr="00C33834" w:rsidRDefault="00183C6C" w:rsidP="00C33834">
      <w:pPr>
        <w:spacing w:after="0" w:line="240" w:lineRule="auto"/>
        <w:jc w:val="both"/>
        <w:rPr>
          <w:rFonts w:ascii="Times New Roman" w:hAnsi="Times New Roman"/>
          <w:color w:val="000000" w:themeColor="text1"/>
          <w:sz w:val="16"/>
          <w:szCs w:val="16"/>
        </w:rPr>
      </w:pPr>
    </w:p>
    <w:p w14:paraId="342EB03E"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г. вопросы радиообнаружения обсуждались у К. Е. Ворошилова в целях определения порядка финансирования предстоявших работ. К. Е. Ворошилов и М. Н. Тухачевский одобрительно отнеслись к инициативе Управления ПВО и рекомендовали обсудить данную проблему с учеными АН СССР и промышленности. В связи с этой рекомендацией 16 января 1934 г. у академика А. Ф. Иоффе в Ленинградском физико-техническом институте было проведено совещание с участием академиков А. А. Чернышева и С. И. Вавилова, профессоров Н. Н. Андреева, Н. Д. Папалекси, А. А. Лебедева, Д. А. Рожанского, В. П. Линника, научных сотрудников ЛЭФИ, ЛФТИ и представителей других учреждений. От УПВО в совещании приняли участие П. К. Ощепков и П. Е. Хорошилов (11026).</w:t>
      </w:r>
    </w:p>
    <w:p w14:paraId="7E2C11A9"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5361C277" w14:textId="77777777" w:rsidR="00E5244A" w:rsidRPr="00C33834" w:rsidRDefault="00E5244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 июне 1933 Фельдман провёл с итальянскими инженерами совещание, на котором говорил:</w:t>
      </w:r>
    </w:p>
    <w:p w14:paraId="686E25FF" w14:textId="77777777" w:rsidR="00E5244A" w:rsidRPr="00C33834" w:rsidRDefault="00E5244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Основной [корабль] в 18500 м, этот корабль решает всё, этого корабля все ждут. По этому кораблю будут судить о нашей работе, и выпустить этот корабль с очень большим запозданием или плохого качества - значит нанести очень серьёзный ущерб делу дирижаблестроения, ибо синьор Нобиле должен понимать, что больших друзей у дирижаблестроения довольно мало, в особенности после последних событий с иностранными кораблями. Мы, с одной стороны, должны во что бы то ни стало дать достаточно хороший по своему качеству корабль, а с другой - не чрезмерно затягивать это дело (23192).</w:t>
      </w:r>
    </w:p>
    <w:p w14:paraId="64B48E83" w14:textId="77777777" w:rsidR="00E5244A" w:rsidRPr="00C33834" w:rsidRDefault="00E5244A" w:rsidP="00C33834">
      <w:pPr>
        <w:spacing w:after="0" w:line="240" w:lineRule="auto"/>
        <w:jc w:val="both"/>
        <w:rPr>
          <w:rFonts w:ascii="Times New Roman" w:hAnsi="Times New Roman"/>
          <w:color w:val="0070C0"/>
          <w:sz w:val="16"/>
          <w:szCs w:val="16"/>
          <w:lang w:eastAsia="ru-RU" w:bidi="ru-RU"/>
        </w:rPr>
      </w:pPr>
    </w:p>
    <w:p w14:paraId="7BAE8A1C" w14:textId="77777777" w:rsidR="00EA7008"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71F54EFA" w14:textId="77777777" w:rsidR="00EA7008" w:rsidRPr="00C33834" w:rsidRDefault="00EA700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AE3C1EE"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1932 г. в Белорусском округе произошли две катастрофы Р-5 подряд. В одном случае крыло разломилось в воздухе. Нарком К.Е. Ворошилов направил вокруг комиссию. И оказалось, что личный состав настолько уверен в надежности Р-5, что напрочь игнорирует ограничения, записанные в инструкции по эксплуатации. Взлетный вес доводили до 3800 кг (при предписанном 2640 кг), пытались использовать самолет как пикирующий бомбардировщик и даже как тяжелый истребитель, выполняя горки, глубокие виражи, двойные перевороты ("бочки") и даже петли, категорически запрещенные в строевых частях. И самолет все это терпел! (12034).</w:t>
      </w:r>
    </w:p>
    <w:p w14:paraId="3E93C411"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45D59CB6"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г. сдала МР-1 последняя строевая часть - 67-й речной отряд. В 1935 г. в ВВС остались только единичные машины, использовавшиеся как вспомогательные. Так, на весь Украинский военный округ остались четыре Р-1. Через год не стало и их (11923).</w:t>
      </w:r>
    </w:p>
    <w:p w14:paraId="2EE9D878"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5C225214"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постановлением ЦК ВУП(б) и СНК в подразделениях были созданы политотделы (356,416).</w:t>
      </w:r>
    </w:p>
    <w:p w14:paraId="2BB3A4FB"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25CCF140"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решили перевести часть кораблей Балтфлота на Север (1085,94).</w:t>
      </w:r>
    </w:p>
    <w:p w14:paraId="424FE357"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0DD15833" w14:textId="77777777" w:rsidR="00EA7008"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33315CF7" w14:textId="77777777" w:rsidR="00EA7008" w:rsidRPr="00C33834" w:rsidRDefault="00EA700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7C851AA"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года Сталину доложили, что А.И.Микоян он опять летал на самолете. Решение Политбюро последовало незамедлительно: «За грубое нарушение постановления Политбюро ЦК ВКП (б) о запрете полетов ответработникам объявить т.Микояну строгий выговор» (12634).</w:t>
      </w:r>
    </w:p>
    <w:p w14:paraId="2AF1A9BF" w14:textId="77777777" w:rsidR="0058354C" w:rsidRPr="00C33834" w:rsidRDefault="0058354C" w:rsidP="00C33834">
      <w:pPr>
        <w:spacing w:after="0" w:line="240" w:lineRule="auto"/>
        <w:jc w:val="both"/>
        <w:rPr>
          <w:rFonts w:ascii="Times New Roman" w:hAnsi="Times New Roman"/>
          <w:color w:val="000000" w:themeColor="text1"/>
          <w:sz w:val="16"/>
          <w:szCs w:val="16"/>
        </w:rPr>
      </w:pPr>
    </w:p>
    <w:p w14:paraId="1409C6B4" w14:textId="77777777" w:rsidR="00681942" w:rsidRPr="00C33834" w:rsidRDefault="0068194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г. первые шахты достигли требуемой глубины, и стало возможным перейти к прокладке горизонтальных штолен{494}.В конце августа 1933 г. на Фрунзенском радиусе между Кропоткинской пл. и Крымской пл. начались работы по берлинскому способу{495}.Осенью 1933 г. на некоторых участках приступили к соединению горизонтальных штолен, проложенных между шахтами{496} (18299).</w:t>
      </w:r>
    </w:p>
    <w:p w14:paraId="56189159" w14:textId="77777777" w:rsidR="00681942" w:rsidRPr="00C33834" w:rsidRDefault="00681942" w:rsidP="00C33834">
      <w:pPr>
        <w:spacing w:after="0" w:line="240" w:lineRule="auto"/>
        <w:jc w:val="both"/>
        <w:rPr>
          <w:rFonts w:ascii="Times New Roman" w:hAnsi="Times New Roman"/>
          <w:color w:val="000000" w:themeColor="text1"/>
          <w:sz w:val="16"/>
          <w:szCs w:val="16"/>
        </w:rPr>
      </w:pPr>
    </w:p>
    <w:p w14:paraId="078CF8C0"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был ликвидирован наркомат труда и его функции были переданы профсоюзам (1348,200).</w:t>
      </w:r>
    </w:p>
    <w:p w14:paraId="462F8310"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27C3E830" w14:textId="77777777" w:rsidR="00EA7008" w:rsidRPr="00C33834" w:rsidRDefault="00EA7008"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был распущен наркомат по труду. Его функции переданы профсоюзам, которые становятся таким образом частью государственной административной системы.</w:t>
      </w:r>
    </w:p>
    <w:p w14:paraId="21AF3814" w14:textId="77777777" w:rsidR="00EA7008" w:rsidRPr="00C33834" w:rsidRDefault="00EA700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A072B69" w14:textId="77777777" w:rsidR="00EA7008"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6019344F" w14:textId="77777777" w:rsidR="00EA7008" w:rsidRPr="00C33834" w:rsidRDefault="00EA700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1F89A62"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СССР прервал военное сотрудничество с Германией (3240).</w:t>
      </w:r>
    </w:p>
    <w:p w14:paraId="794779B7"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461552B2" w14:textId="77777777" w:rsidR="00EA7008"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B126230" w14:textId="77777777" w:rsidR="00EA7008" w:rsidRPr="00C33834" w:rsidRDefault="00EA700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B4D9804" w14:textId="77777777" w:rsidR="003417C8" w:rsidRPr="00C33834" w:rsidRDefault="003417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июне 1933 г. изготовили макет нового самолета "Фьюри моноплейн" ("Фьюри"- моноплан) – будущего Харрикейна в масштабе 1:10 и продули его в аэродинамической трубе. К августу результаты обработали и вместе с эскизным проектом представили министерству авиации. Большого интереса они не вызвали, ибо чиновники все-таки более склонялись к проверенным бипланам. Кэмм продолжил работу на свой риск и за счет фирмы (он был не только главным конструктором, но и членом совета директоров). А деньги у "Хаукер" были - на базе "Харта" расплодилось большое семейство легких бомбардировщиков, разведчиков и тяжелых истребителей, ставшее одной из основных составных частей парка королевских   ВВС  в межвоенные годы. Более того, перестраховываясь, Кэмм делал сразу две машины: параллельно с "Фьюри"- монопланом готовился и биплан РУ.З, представлявший собой "Фьюри" с усиленным вооружением и тем же мотором "Госхок". Политика британского министерства авиации в отношении материальной части истребительной авиации в те годы определялась техническим заданием Р.7/30. Это задание было довольно "размытым", противоречивым, ибо исходило лишь из минимального прироста летных данных с сохранением маломощного вооружения и привычной тактики ближнего маневренного боя - т.н. "собачьей свалки". Максимальная скорость планировалась всего в 250 миль/час (403 км/ч). Продолжая принятую после Первой мировой войны традицию жесткой экономии, самолет хотели сделать универсальным. Он должен был быть и перехватчиком, и вести воздушный бой с истребителями противника у линии фронта, и сопровождать бомбардировщики. В итоге, обилие противоречивых требований сделало задание вообще трудновыполнимым. Задание Р.7/30 просуществовало долго, хотя время от времени в него вносили некоторые изменения. Так, в 1939 г. максимальную скорость подняли до 443 км/ч. Первоначально Кэмм исходил лишь из глубокой модернизации "Фьюри". Он решил превратить его в моноплан. В 1925 г. Кэмм уже создал небольшой истребитель-моноплан, но тот не имел успеха и не был запущен в серию. Теперь же он счел, что время монопланов пришло. В этом он не был одинок. По всему миру создавалось новое поколение скоростных истребителей, прозванное впоследствии на западе "новой волной". За основу приняли один из опытных вариантов - "Хай Спид Фьюри" ("скоростной"). Фюзеляж от него взяли почти целиком, хотя размеры шпангоутов в средней части увеличили, чтобы сделать кабину закрытой. Фюзеляж имел традиционную для "Хаукер” конструкцию, запатентованную еще Т.Сопвичем в 1926 г. – несущую ферму из труб, усиленную косыми расчалками, поверх которой одевались шпангоуты и стрингеры, лишь поддерживавшие полотняную обшивку. Перешло к моноплану и оперение. Шасси тоже </w:t>
      </w:r>
      <w:r w:rsidRPr="00C33834">
        <w:rPr>
          <w:rFonts w:ascii="Times New Roman" w:hAnsi="Times New Roman"/>
          <w:color w:val="000000" w:themeColor="text1"/>
          <w:sz w:val="16"/>
          <w:szCs w:val="16"/>
        </w:rPr>
        <w:lastRenderedPageBreak/>
        <w:t>сохранили старое: неубирающиеся свободнонесущие стойки и колеса в каплевидных обтекателях. Заново спроектировали лишь крыло довольно толстого профиля. На истребителе собирались установить новый двигатель фирмы Роллс-Ройс "Госхок" с испарительным охлаждением (15129).</w:t>
      </w:r>
    </w:p>
    <w:p w14:paraId="7ACD9D5A" w14:textId="77777777" w:rsidR="003417C8" w:rsidRPr="00C33834" w:rsidRDefault="003417C8" w:rsidP="00C33834">
      <w:pPr>
        <w:spacing w:after="0" w:line="240" w:lineRule="auto"/>
        <w:jc w:val="both"/>
        <w:rPr>
          <w:rFonts w:ascii="Times New Roman" w:hAnsi="Times New Roman"/>
          <w:color w:val="000000" w:themeColor="text1"/>
          <w:sz w:val="16"/>
          <w:szCs w:val="16"/>
        </w:rPr>
      </w:pPr>
    </w:p>
    <w:p w14:paraId="54EBC4E4"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xml:space="preserve">В июне 1933, управляя самолетом Northrop Gamma Texaco Sky Chief , Фрэнк Хоукс устанавливает новый трансконтинентальный рекорд скорости полета с запада на восток для перелета через Соединенные Штаты из Лос-Анджелеса, Калифорния, до Флойд Беннетт Филд в Бруклине , Нью-Йорк, за 13 часов. 26 минут 15 секунд при средней скорости 181 миль в час (291 км / ч) (20802). </w:t>
      </w:r>
    </w:p>
    <w:p w14:paraId="73ED53F0" w14:textId="77777777" w:rsidR="00231D42" w:rsidRPr="00C33834" w:rsidRDefault="00231D42" w:rsidP="00C33834">
      <w:pPr>
        <w:spacing w:after="0" w:line="240" w:lineRule="auto"/>
        <w:jc w:val="both"/>
        <w:rPr>
          <w:rFonts w:ascii="Times New Roman" w:hAnsi="Times New Roman"/>
          <w:color w:val="0070C0"/>
          <w:sz w:val="16"/>
          <w:szCs w:val="16"/>
        </w:rPr>
      </w:pPr>
    </w:p>
    <w:p w14:paraId="72BA1AB7"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июне 1933 года фирма «Потез» получила задание на про</w:t>
      </w:r>
      <w:r w:rsidRPr="00C33834">
        <w:rPr>
          <w:rFonts w:ascii="Times New Roman" w:hAnsi="Times New Roman"/>
          <w:color w:val="0070C0"/>
          <w:sz w:val="16"/>
          <w:szCs w:val="16"/>
        </w:rPr>
        <w:softHyphen/>
        <w:t>ектирование самолета по программе BCR (в то время в моде была концепция «воздушного крейсера», многоцелево</w:t>
      </w:r>
      <w:r w:rsidRPr="00C33834">
        <w:rPr>
          <w:rFonts w:ascii="Times New Roman" w:hAnsi="Times New Roman"/>
          <w:color w:val="0070C0"/>
          <w:sz w:val="16"/>
          <w:szCs w:val="16"/>
        </w:rPr>
        <w:softHyphen/>
        <w:t>го самолета, способного как к самосто</w:t>
      </w:r>
      <w:r w:rsidRPr="00C33834">
        <w:rPr>
          <w:rFonts w:ascii="Times New Roman" w:hAnsi="Times New Roman"/>
          <w:color w:val="0070C0"/>
          <w:sz w:val="16"/>
          <w:szCs w:val="16"/>
        </w:rPr>
        <w:softHyphen/>
        <w:t>ятельным действиям, так и к работе в составе сводной группы (эскадры). «Крейсер» (а во Франции тогда при</w:t>
      </w:r>
      <w:r w:rsidRPr="00C33834">
        <w:rPr>
          <w:rFonts w:ascii="Times New Roman" w:hAnsi="Times New Roman"/>
          <w:color w:val="0070C0"/>
          <w:sz w:val="16"/>
          <w:szCs w:val="16"/>
        </w:rPr>
        <w:softHyphen/>
        <w:t>менялся термин BCR - Bombardement, Combat, Reconnaissance - «бомбарди</w:t>
      </w:r>
      <w:r w:rsidRPr="00C33834">
        <w:rPr>
          <w:rFonts w:ascii="Times New Roman" w:hAnsi="Times New Roman"/>
          <w:color w:val="0070C0"/>
          <w:sz w:val="16"/>
          <w:szCs w:val="16"/>
        </w:rPr>
        <w:softHyphen/>
        <w:t>ровщик, самолет поля боя, разведчик) должен был работать в основном над линией фронта).</w:t>
      </w:r>
    </w:p>
    <w:p w14:paraId="689FDA7C"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Два мо</w:t>
      </w:r>
      <w:r w:rsidRPr="00C33834">
        <w:rPr>
          <w:rFonts w:ascii="Times New Roman" w:hAnsi="Times New Roman"/>
          <w:color w:val="0070C0"/>
          <w:sz w:val="16"/>
          <w:szCs w:val="16"/>
        </w:rPr>
        <w:softHyphen/>
        <w:t>тора H.S. 12 и убирающееся шасси мог</w:t>
      </w:r>
      <w:r w:rsidRPr="00C33834">
        <w:rPr>
          <w:rFonts w:ascii="Times New Roman" w:hAnsi="Times New Roman"/>
          <w:color w:val="0070C0"/>
          <w:sz w:val="16"/>
          <w:szCs w:val="16"/>
        </w:rPr>
        <w:softHyphen/>
        <w:t>ли бы обеспечить самолету Потез 54 неплохую скорость, но чтобы укоро</w:t>
      </w:r>
      <w:r w:rsidRPr="00C33834">
        <w:rPr>
          <w:rFonts w:ascii="Times New Roman" w:hAnsi="Times New Roman"/>
          <w:color w:val="0070C0"/>
          <w:sz w:val="16"/>
          <w:szCs w:val="16"/>
        </w:rPr>
        <w:softHyphen/>
        <w:t>тить стойки, пришлось опустить мо</w:t>
      </w:r>
      <w:r w:rsidRPr="00C33834">
        <w:rPr>
          <w:rFonts w:ascii="Times New Roman" w:hAnsi="Times New Roman"/>
          <w:color w:val="0070C0"/>
          <w:sz w:val="16"/>
          <w:szCs w:val="16"/>
        </w:rPr>
        <w:softHyphen/>
        <w:t>тогондолы, в которые они прятались, под крыло на громоздкой ферме, «за</w:t>
      </w:r>
      <w:r w:rsidRPr="00C33834">
        <w:rPr>
          <w:rFonts w:ascii="Times New Roman" w:hAnsi="Times New Roman"/>
          <w:color w:val="0070C0"/>
          <w:sz w:val="16"/>
          <w:szCs w:val="16"/>
        </w:rPr>
        <w:softHyphen/>
        <w:t>вязанной» на подкосы, поддерживав</w:t>
      </w:r>
      <w:r w:rsidRPr="00C33834">
        <w:rPr>
          <w:rFonts w:ascii="Times New Roman" w:hAnsi="Times New Roman"/>
          <w:color w:val="0070C0"/>
          <w:sz w:val="16"/>
          <w:szCs w:val="16"/>
        </w:rPr>
        <w:softHyphen/>
        <w:t>шие консоли. В результате выигрыш от уборки шасси получился мизерный, а тяга винтомоторной группы упала.</w:t>
      </w:r>
    </w:p>
    <w:p w14:paraId="578DB890"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Конструкция Потез 54 в угоду примитивной производственной базе была максимально простой, преобла</w:t>
      </w:r>
      <w:r w:rsidRPr="00C33834">
        <w:rPr>
          <w:rFonts w:ascii="Times New Roman" w:hAnsi="Times New Roman"/>
          <w:color w:val="0070C0"/>
          <w:sz w:val="16"/>
          <w:szCs w:val="16"/>
        </w:rPr>
        <w:softHyphen/>
        <w:t>дали прямые и плоские поверхности. Каркас крыла и оперения выполнял</w:t>
      </w:r>
      <w:r w:rsidRPr="00C33834">
        <w:rPr>
          <w:rFonts w:ascii="Times New Roman" w:hAnsi="Times New Roman"/>
          <w:color w:val="0070C0"/>
          <w:sz w:val="16"/>
          <w:szCs w:val="16"/>
        </w:rPr>
        <w:softHyphen/>
        <w:t>ся из дюраля, обшивка полотняная, фюзеляж был по преимуществу дере</w:t>
      </w:r>
      <w:r w:rsidRPr="00C33834">
        <w:rPr>
          <w:rFonts w:ascii="Times New Roman" w:hAnsi="Times New Roman"/>
          <w:color w:val="0070C0"/>
          <w:sz w:val="16"/>
          <w:szCs w:val="16"/>
        </w:rPr>
        <w:softHyphen/>
        <w:t>вянный. Зато все кабины были закры</w:t>
      </w:r>
      <w:r w:rsidRPr="00C33834">
        <w:rPr>
          <w:rFonts w:ascii="Times New Roman" w:hAnsi="Times New Roman"/>
          <w:color w:val="0070C0"/>
          <w:sz w:val="16"/>
          <w:szCs w:val="16"/>
        </w:rPr>
        <w:softHyphen/>
        <w:t>тыми, удобными, с хорошим обзором. Самолет содержал два важных нов</w:t>
      </w:r>
      <w:r w:rsidRPr="00C33834">
        <w:rPr>
          <w:rFonts w:ascii="Times New Roman" w:hAnsi="Times New Roman"/>
          <w:color w:val="0070C0"/>
          <w:sz w:val="16"/>
          <w:szCs w:val="16"/>
        </w:rPr>
        <w:softHyphen/>
        <w:t>шества. На элеронах установили трим</w:t>
      </w:r>
      <w:r w:rsidRPr="00C33834">
        <w:rPr>
          <w:rFonts w:ascii="Times New Roman" w:hAnsi="Times New Roman"/>
          <w:color w:val="0070C0"/>
          <w:sz w:val="16"/>
          <w:szCs w:val="16"/>
        </w:rPr>
        <w:softHyphen/>
        <w:t>меры-сервокомпенсаторы, небольшие поверхности, которые снижали уси</w:t>
      </w:r>
      <w:r w:rsidRPr="00C33834">
        <w:rPr>
          <w:rFonts w:ascii="Times New Roman" w:hAnsi="Times New Roman"/>
          <w:color w:val="0070C0"/>
          <w:sz w:val="16"/>
          <w:szCs w:val="16"/>
        </w:rPr>
        <w:softHyphen/>
        <w:t>лия на штурвале и позволяли выров</w:t>
      </w:r>
      <w:r w:rsidRPr="00C33834">
        <w:rPr>
          <w:rFonts w:ascii="Times New Roman" w:hAnsi="Times New Roman"/>
          <w:color w:val="0070C0"/>
          <w:sz w:val="16"/>
          <w:szCs w:val="16"/>
        </w:rPr>
        <w:softHyphen/>
        <w:t>нять крен, возникавший при отказе одного из моторов. Благодаря этому, а также тому, что двигатели имели про</w:t>
      </w:r>
      <w:r w:rsidRPr="00C33834">
        <w:rPr>
          <w:rFonts w:ascii="Times New Roman" w:hAnsi="Times New Roman"/>
          <w:color w:val="0070C0"/>
          <w:sz w:val="16"/>
          <w:szCs w:val="16"/>
        </w:rPr>
        <w:softHyphen/>
        <w:t>тивоположное направление вращения винтов, управление этим большим и довольно тяжелым самолетом было легким и приятным. Второе нововве</w:t>
      </w:r>
      <w:r w:rsidRPr="00C33834">
        <w:rPr>
          <w:rFonts w:ascii="Times New Roman" w:hAnsi="Times New Roman"/>
          <w:color w:val="0070C0"/>
          <w:sz w:val="16"/>
          <w:szCs w:val="16"/>
        </w:rPr>
        <w:softHyphen/>
        <w:t>дение повышало живучесть: единый топливный бак был покрыт толстым слоем губчатой невулканизированной резины, которая при простреле бака под воздействием бензина набухала и затягивала пулевую пробоину. Сам бак не встраивался в конструкцию, а подвешивался к ней на замках как, на</w:t>
      </w:r>
      <w:r w:rsidRPr="00C33834">
        <w:rPr>
          <w:rFonts w:ascii="Times New Roman" w:hAnsi="Times New Roman"/>
          <w:color w:val="0070C0"/>
          <w:sz w:val="16"/>
          <w:szCs w:val="16"/>
        </w:rPr>
        <w:softHyphen/>
        <w:t>пример, авиабомба, и в случае пожара на борту или вынужденной посадки мог быть сброшен.</w:t>
      </w:r>
    </w:p>
    <w:p w14:paraId="72EE4D44"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Оборонительное вооружение со</w:t>
      </w:r>
      <w:r w:rsidRPr="00C33834">
        <w:rPr>
          <w:rFonts w:ascii="Times New Roman" w:hAnsi="Times New Roman"/>
          <w:color w:val="0070C0"/>
          <w:sz w:val="16"/>
          <w:szCs w:val="16"/>
        </w:rPr>
        <w:softHyphen/>
        <w:t>ставили три 7,69-мм «Льюиса», также в остекленных установках - в носу, на «спине» фюзеляжа и под ним, причем два последних имели круговой об</w:t>
      </w:r>
      <w:r w:rsidRPr="00C33834">
        <w:rPr>
          <w:rFonts w:ascii="Times New Roman" w:hAnsi="Times New Roman"/>
          <w:color w:val="0070C0"/>
          <w:sz w:val="16"/>
          <w:szCs w:val="16"/>
        </w:rPr>
        <w:softHyphen/>
        <w:t>стрел. Для мелких бомб весом до 55 кг сделали кассеты за кабиной летчика, а на раме, соединяющей мотогондолы с фюзеляжем, установили 4 замка для тяжелых (по французским меркам) 225-кг фугасок (22797).</w:t>
      </w:r>
    </w:p>
    <w:p w14:paraId="3B172B8E" w14:textId="77777777" w:rsidR="00231D42" w:rsidRPr="00C33834" w:rsidRDefault="00231D42" w:rsidP="00C33834">
      <w:pPr>
        <w:spacing w:after="0" w:line="240" w:lineRule="auto"/>
        <w:jc w:val="both"/>
        <w:rPr>
          <w:rFonts w:ascii="Times New Roman" w:hAnsi="Times New Roman"/>
          <w:color w:val="0070C0"/>
          <w:sz w:val="16"/>
          <w:szCs w:val="16"/>
        </w:rPr>
      </w:pPr>
    </w:p>
    <w:p w14:paraId="3D1A85F9"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г. в Риме был парафирован четырехсторонний договор. В его основу лег не итальянский, а французский проект, который был существенно изменен в соответствии с пожеланиями Франции и ее восточноевропейских союзников. Вместо признания допустимости пересмотра мирных договоров в тексте говорилось только о возможности рассматривать новые предложения, направленные на усиление эффективности уже имеющихся обязательств. В договоре специально подтверждались гарантии территориальной целостности государств-членов Лиги Наций. В нем было опущено положение о совместном воздействии на третьи страны и обходился вопрос о равноправии Германии в вопросах вооружений. В этом "урезанном" виде "пакт четырех" не удовлетворил никого. Он не был ратифицирован подписавшими его странами и не позволил стабилизировать европейскую ситуацию. Зато сама его идея и факт подписания способствовали появлению новых линий раскола в мире. Если раньше друг другу противопоставляли демократические и тоталитарные государства, то теперь к этому добавилась оппозиция между большими и малыми странами. Хотя французское правительство после подписания пакта направило свои разъяснения по его поводу Чехословакии, Румынии, Югославии и Польше, это не предотвратило кризиса доверия внутри некогда единого лагеря победителей и примкнувших к ним. Что же касается Польши, то ее правительство открыто заявило, что оставляет за собой свободу действий в связи с линией, проводимой Францией (3871).</w:t>
      </w:r>
    </w:p>
    <w:p w14:paraId="3D927A19"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3762E65A"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lang w:val="en-US"/>
        </w:rPr>
      </w:pPr>
      <w:r w:rsidRPr="00C33834">
        <w:rPr>
          <w:rFonts w:ascii="Times New Roman" w:hAnsi="Times New Roman"/>
          <w:color w:val="000000" w:themeColor="text1"/>
          <w:sz w:val="16"/>
          <w:szCs w:val="16"/>
          <w:lang w:val="en-US"/>
        </w:rPr>
        <w:t>In June 1933 Nazis open Dachau concentration camp (1050).</w:t>
      </w:r>
    </w:p>
    <w:p w14:paraId="682BD94B"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lang w:val="en-US"/>
        </w:rPr>
      </w:pPr>
    </w:p>
    <w:p w14:paraId="753C00D6"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нацисты открыли концлагерь Дахау (1050).</w:t>
      </w:r>
    </w:p>
    <w:p w14:paraId="19F915D8"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Есть данные, что в 1934</w:t>
      </w:r>
    </w:p>
    <w:p w14:paraId="03C7BBF1" w14:textId="77777777" w:rsidR="00EA7008" w:rsidRPr="00C33834" w:rsidRDefault="00EA700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081B012" w14:textId="77777777" w:rsidR="00EA7008"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A4C59C3" w14:textId="77777777" w:rsidR="00EA7008" w:rsidRPr="00C33834" w:rsidRDefault="00EA700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E1C62A8"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июне-июле 1933 г. Кричевицком аэ</w:t>
      </w:r>
      <w:r w:rsidRPr="00C33834">
        <w:rPr>
          <w:rFonts w:ascii="Times New Roman" w:hAnsi="Times New Roman"/>
          <w:color w:val="000000" w:themeColor="text1"/>
          <w:sz w:val="16"/>
          <w:szCs w:val="16"/>
        </w:rPr>
        <w:softHyphen/>
        <w:t>родроме проходили войско</w:t>
      </w:r>
      <w:r w:rsidRPr="00C33834">
        <w:rPr>
          <w:rFonts w:ascii="Times New Roman" w:hAnsi="Times New Roman"/>
          <w:color w:val="000000" w:themeColor="text1"/>
          <w:sz w:val="16"/>
          <w:szCs w:val="16"/>
        </w:rPr>
        <w:softHyphen/>
        <w:t>вые испытания ТБ-1 № 678 + два И-4 №№ 1533 и 1583. Экипаж ТБ-1 состоял из командира корабля Стефанов-ского, второго пилота Вахмистрова, инже</w:t>
      </w:r>
      <w:r w:rsidRPr="00C33834">
        <w:rPr>
          <w:rFonts w:ascii="Times New Roman" w:hAnsi="Times New Roman"/>
          <w:color w:val="000000" w:themeColor="text1"/>
          <w:sz w:val="16"/>
          <w:szCs w:val="16"/>
        </w:rPr>
        <w:softHyphen/>
        <w:t>нера-монтажиста Морозова, борттехника Никитина. Левым истребителем управлял В.К. Коккинаки, правым — В.А. Степанчонок. Испытания вновь оценивались положи</w:t>
      </w:r>
      <w:r w:rsidRPr="00C33834">
        <w:rPr>
          <w:rFonts w:ascii="Times New Roman" w:hAnsi="Times New Roman"/>
          <w:color w:val="000000" w:themeColor="text1"/>
          <w:sz w:val="16"/>
          <w:szCs w:val="16"/>
        </w:rPr>
        <w:softHyphen/>
        <w:t>тельно. После произведенных доработок техника отрыва истребителей упростилась. Старт с аэродрома происходил на скорости 130 км/ч при полетной массе 9600 кг, время взлета составило 12 с. В полете самолет был устойчив, допускал виражи до 60°. За 5 полетов были оттренированы два новых пи</w:t>
      </w:r>
      <w:r w:rsidRPr="00C33834">
        <w:rPr>
          <w:rFonts w:ascii="Times New Roman" w:hAnsi="Times New Roman"/>
          <w:color w:val="000000" w:themeColor="text1"/>
          <w:sz w:val="16"/>
          <w:szCs w:val="16"/>
        </w:rPr>
        <w:softHyphen/>
        <w:t>лота на И-4 и 3 командира ТБ-1. 5 июля ко</w:t>
      </w:r>
      <w:r w:rsidRPr="00C33834">
        <w:rPr>
          <w:rFonts w:ascii="Times New Roman" w:hAnsi="Times New Roman"/>
          <w:color w:val="000000" w:themeColor="text1"/>
          <w:sz w:val="16"/>
          <w:szCs w:val="16"/>
        </w:rPr>
        <w:softHyphen/>
        <w:t>мандир авиабригады НИИ ВВС А. Залев-ский подписал следующее заключение: «Самолет 3-1 с вышеуказанными переделками вполне годен к эксплуатации в строе</w:t>
      </w:r>
      <w:r w:rsidRPr="00C33834">
        <w:rPr>
          <w:rFonts w:ascii="Times New Roman" w:hAnsi="Times New Roman"/>
          <w:color w:val="000000" w:themeColor="text1"/>
          <w:sz w:val="16"/>
          <w:szCs w:val="16"/>
        </w:rPr>
        <w:softHyphen/>
        <w:t>вых частях ВВС РККА».</w:t>
      </w:r>
    </w:p>
    <w:p w14:paraId="3201B88C"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Очевидно, к этому периоду относится и воспоминание Стефановского: «В процессе доработок меня назначили командиром «цирка Вахмистрова» — так наши летчики с чьей-то легкой руки стали величать самолет-звено. В этом названии было и восхищение созданной Владимиром Сергеевичем бое</w:t>
      </w:r>
      <w:r w:rsidRPr="00C33834">
        <w:rPr>
          <w:rFonts w:ascii="Times New Roman" w:hAnsi="Times New Roman"/>
          <w:color w:val="000000" w:themeColor="text1"/>
          <w:sz w:val="16"/>
          <w:szCs w:val="16"/>
        </w:rPr>
        <w:softHyphen/>
        <w:t>вой воздушной «единицей в трех лицах», и некоторая толика юмора. Полет самолета-звена и впрямь напоминал что-то вроде цир</w:t>
      </w:r>
      <w:r w:rsidRPr="00C33834">
        <w:rPr>
          <w:rFonts w:ascii="Times New Roman" w:hAnsi="Times New Roman"/>
          <w:color w:val="000000" w:themeColor="text1"/>
          <w:sz w:val="16"/>
          <w:szCs w:val="16"/>
        </w:rPr>
        <w:softHyphen/>
        <w:t>кового аттракциона... Вспоминается такой случай. Задание выполнялось обычное — от</w:t>
      </w:r>
      <w:r w:rsidRPr="00C33834">
        <w:rPr>
          <w:rFonts w:ascii="Times New Roman" w:hAnsi="Times New Roman"/>
          <w:color w:val="000000" w:themeColor="text1"/>
          <w:sz w:val="16"/>
          <w:szCs w:val="16"/>
        </w:rPr>
        <w:softHyphen/>
        <w:t>рабатывалась техника отрыва истребителей от бомбардировщика. ТБ-1 пилотировал я. Вторым пилотом был Михаил Александро</w:t>
      </w:r>
      <w:r w:rsidRPr="00C33834">
        <w:rPr>
          <w:rFonts w:ascii="Times New Roman" w:hAnsi="Times New Roman"/>
          <w:color w:val="000000" w:themeColor="text1"/>
          <w:sz w:val="16"/>
          <w:szCs w:val="16"/>
        </w:rPr>
        <w:softHyphen/>
        <w:t>вич Нюхтиков. На истребителях находились В. К. Коккинаки и И.Ф. Гродзь.</w:t>
      </w:r>
    </w:p>
    <w:p w14:paraId="0711B3D2"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Летим. Пришли в заданный район. Даю команду своим «седокам» — отцепляйтесь! Самолет Гродзя забалансировал на перед</w:t>
      </w:r>
      <w:r w:rsidRPr="00C33834">
        <w:rPr>
          <w:rFonts w:ascii="Times New Roman" w:hAnsi="Times New Roman"/>
          <w:color w:val="000000" w:themeColor="text1"/>
          <w:sz w:val="16"/>
          <w:szCs w:val="16"/>
        </w:rPr>
        <w:softHyphen/>
        <w:t>них креплениях. А почему Коккинаки дерга</w:t>
      </w:r>
      <w:r w:rsidRPr="00C33834">
        <w:rPr>
          <w:rFonts w:ascii="Times New Roman" w:hAnsi="Times New Roman"/>
          <w:color w:val="000000" w:themeColor="text1"/>
          <w:sz w:val="16"/>
          <w:szCs w:val="16"/>
        </w:rPr>
        <w:softHyphen/>
        <w:t>ется в кабине и, словно сумасшедший, шу</w:t>
      </w:r>
      <w:r w:rsidRPr="00C33834">
        <w:rPr>
          <w:rFonts w:ascii="Times New Roman" w:hAnsi="Times New Roman"/>
          <w:color w:val="000000" w:themeColor="text1"/>
          <w:sz w:val="16"/>
          <w:szCs w:val="16"/>
        </w:rPr>
        <w:softHyphen/>
        <w:t>рует рулями? Увлекся я разгадыванием его «манипуляций», а про Гродзя забыл. Он же по-прежнему балансирует, ждет сигнала на отрыв.</w:t>
      </w:r>
    </w:p>
    <w:p w14:paraId="4D2C346A"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Коккинаки вскоре все стало ясно: при</w:t>
      </w:r>
      <w:r w:rsidRPr="00C33834">
        <w:rPr>
          <w:rFonts w:ascii="Times New Roman" w:hAnsi="Times New Roman"/>
          <w:color w:val="000000" w:themeColor="text1"/>
          <w:sz w:val="16"/>
          <w:szCs w:val="16"/>
        </w:rPr>
        <w:softHyphen/>
        <w:t>няв команду отсоединиться, он, со всей его медвежьей силой, рванул рукоятку расцеп</w:t>
      </w:r>
      <w:r w:rsidRPr="00C33834">
        <w:rPr>
          <w:rFonts w:ascii="Times New Roman" w:hAnsi="Times New Roman"/>
          <w:color w:val="000000" w:themeColor="text1"/>
          <w:sz w:val="16"/>
          <w:szCs w:val="16"/>
        </w:rPr>
        <w:softHyphen/>
        <w:t>ления и... оборвал трос хвостового замка. А теперь вот летчик создает рулями пере</w:t>
      </w:r>
      <w:r w:rsidRPr="00C33834">
        <w:rPr>
          <w:rFonts w:ascii="Times New Roman" w:hAnsi="Times New Roman"/>
          <w:color w:val="000000" w:themeColor="text1"/>
          <w:sz w:val="16"/>
          <w:szCs w:val="16"/>
        </w:rPr>
        <w:softHyphen/>
        <w:t>грузки, чтобы оторвать замок, удерживаю</w:t>
      </w:r>
      <w:r w:rsidRPr="00C33834">
        <w:rPr>
          <w:rFonts w:ascii="Times New Roman" w:hAnsi="Times New Roman"/>
          <w:color w:val="000000" w:themeColor="text1"/>
          <w:sz w:val="16"/>
          <w:szCs w:val="16"/>
        </w:rPr>
        <w:softHyphen/>
        <w:t>щий хвост истребителя, и любой ценой от</w:t>
      </w:r>
      <w:r w:rsidRPr="00C33834">
        <w:rPr>
          <w:rFonts w:ascii="Times New Roman" w:hAnsi="Times New Roman"/>
          <w:color w:val="000000" w:themeColor="text1"/>
          <w:sz w:val="16"/>
          <w:szCs w:val="16"/>
        </w:rPr>
        <w:softHyphen/>
        <w:t>делиться от нас. Но не тут-то было. Истре</w:t>
      </w:r>
      <w:r w:rsidRPr="00C33834">
        <w:rPr>
          <w:rFonts w:ascii="Times New Roman" w:hAnsi="Times New Roman"/>
          <w:color w:val="000000" w:themeColor="text1"/>
          <w:sz w:val="16"/>
          <w:szCs w:val="16"/>
        </w:rPr>
        <w:softHyphen/>
        <w:t>битель, как припаянный, сидит на нашей плоскости. Катастрофа кажется неизбежной. Бортмеханик (жаль, забыл его фами</w:t>
      </w:r>
      <w:r w:rsidRPr="00C33834">
        <w:rPr>
          <w:rFonts w:ascii="Times New Roman" w:hAnsi="Times New Roman"/>
          <w:color w:val="000000" w:themeColor="text1"/>
          <w:sz w:val="16"/>
          <w:szCs w:val="16"/>
        </w:rPr>
        <w:softHyphen/>
        <w:t>лию) рвется на подвиг: хочет влезть на кры</w:t>
      </w:r>
      <w:r w:rsidRPr="00C33834">
        <w:rPr>
          <w:rFonts w:ascii="Times New Roman" w:hAnsi="Times New Roman"/>
          <w:color w:val="000000" w:themeColor="text1"/>
          <w:sz w:val="16"/>
          <w:szCs w:val="16"/>
        </w:rPr>
        <w:softHyphen/>
        <w:t>ло, по-пластунски добраться до хвоста ист</w:t>
      </w:r>
      <w:r w:rsidRPr="00C33834">
        <w:rPr>
          <w:rFonts w:ascii="Times New Roman" w:hAnsi="Times New Roman"/>
          <w:color w:val="000000" w:themeColor="text1"/>
          <w:sz w:val="16"/>
          <w:szCs w:val="16"/>
        </w:rPr>
        <w:softHyphen/>
        <w:t>ребителя и открыть замок. Запрещаю: по</w:t>
      </w:r>
      <w:r w:rsidRPr="00C33834">
        <w:rPr>
          <w:rFonts w:ascii="Times New Roman" w:hAnsi="Times New Roman"/>
          <w:color w:val="000000" w:themeColor="text1"/>
          <w:sz w:val="16"/>
          <w:szCs w:val="16"/>
        </w:rPr>
        <w:softHyphen/>
        <w:t>ток воздуха мгновенно сорвет его с крыла. Второй пилот Миша Нюхтиков, мой одно</w:t>
      </w:r>
      <w:r w:rsidRPr="00C33834">
        <w:rPr>
          <w:rFonts w:ascii="Times New Roman" w:hAnsi="Times New Roman"/>
          <w:color w:val="000000" w:themeColor="text1"/>
          <w:sz w:val="16"/>
          <w:szCs w:val="16"/>
        </w:rPr>
        <w:softHyphen/>
        <w:t>кашник по качинской школе, предлагает стрелять из нагана, чтобы пулей перебить злосчастный замок. Тоже мне снайпер на</w:t>
      </w:r>
      <w:r w:rsidRPr="00C33834">
        <w:rPr>
          <w:rFonts w:ascii="Times New Roman" w:hAnsi="Times New Roman"/>
          <w:color w:val="000000" w:themeColor="text1"/>
          <w:sz w:val="16"/>
          <w:szCs w:val="16"/>
        </w:rPr>
        <w:softHyphen/>
        <w:t>шелся! Еще в Коккинаки угодит.</w:t>
      </w:r>
    </w:p>
    <w:p w14:paraId="33E39808"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звено летит. Гродзь, не получив пос</w:t>
      </w:r>
      <w:r w:rsidRPr="00C33834">
        <w:rPr>
          <w:rFonts w:ascii="Times New Roman" w:hAnsi="Times New Roman"/>
          <w:color w:val="000000" w:themeColor="text1"/>
          <w:sz w:val="16"/>
          <w:szCs w:val="16"/>
        </w:rPr>
        <w:softHyphen/>
        <w:t>ледней команды и ничего не подозревая о случившемся, продолжает балансировать. Отпусти его — станет еще хуже: с одним истребителем на плоскости ни за что бла</w:t>
      </w:r>
      <w:r w:rsidRPr="00C33834">
        <w:rPr>
          <w:rFonts w:ascii="Times New Roman" w:hAnsi="Times New Roman"/>
          <w:color w:val="000000" w:themeColor="text1"/>
          <w:sz w:val="16"/>
          <w:szCs w:val="16"/>
        </w:rPr>
        <w:softHyphen/>
        <w:t>гополучно не сядешь. Да и поломкой, пожа</w:t>
      </w:r>
      <w:r w:rsidRPr="00C33834">
        <w:rPr>
          <w:rFonts w:ascii="Times New Roman" w:hAnsi="Times New Roman"/>
          <w:color w:val="000000" w:themeColor="text1"/>
          <w:sz w:val="16"/>
          <w:szCs w:val="16"/>
        </w:rPr>
        <w:softHyphen/>
        <w:t>луй, не отделаешься. Лихорадочно работа</w:t>
      </w:r>
      <w:r w:rsidRPr="00C33834">
        <w:rPr>
          <w:rFonts w:ascii="Times New Roman" w:hAnsi="Times New Roman"/>
          <w:color w:val="000000" w:themeColor="text1"/>
          <w:sz w:val="16"/>
          <w:szCs w:val="16"/>
        </w:rPr>
        <w:softHyphen/>
        <w:t>ет мозг. Нервы напряжены до предела. Что же предпринять? Правда, горючего еще много. Надо держаться поспокойнее, все хорошенько обдумать. Время еще есть.</w:t>
      </w:r>
    </w:p>
    <w:p w14:paraId="3D4C365C"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тут пришла наконец спасительная мысль. Правда, такого решения еще никто не принимал — не было подобного приме</w:t>
      </w:r>
      <w:r w:rsidRPr="00C33834">
        <w:rPr>
          <w:rFonts w:ascii="Times New Roman" w:hAnsi="Times New Roman"/>
          <w:color w:val="000000" w:themeColor="text1"/>
          <w:sz w:val="16"/>
          <w:szCs w:val="16"/>
        </w:rPr>
        <w:softHyphen/>
        <w:t>ра... Мысль воплотилась в окончательное решение: — Будем садиться втроем, — со</w:t>
      </w:r>
      <w:r w:rsidRPr="00C33834">
        <w:rPr>
          <w:rFonts w:ascii="Times New Roman" w:hAnsi="Times New Roman"/>
          <w:color w:val="000000" w:themeColor="text1"/>
          <w:sz w:val="16"/>
          <w:szCs w:val="16"/>
        </w:rPr>
        <w:softHyphen/>
        <w:t>общаю экипажу. — Все по местам.</w:t>
      </w:r>
    </w:p>
    <w:p w14:paraId="2FCE3DE4"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Теперь и Иустин Феликсович Гродзь ра</w:t>
      </w:r>
      <w:r w:rsidRPr="00C33834">
        <w:rPr>
          <w:rFonts w:ascii="Times New Roman" w:hAnsi="Times New Roman"/>
          <w:color w:val="000000" w:themeColor="text1"/>
          <w:sz w:val="16"/>
          <w:szCs w:val="16"/>
        </w:rPr>
        <w:softHyphen/>
        <w:t>зобрался в случившемся. Даю ему понять — что бы ни случилось, держись до конца: са</w:t>
      </w:r>
      <w:r w:rsidRPr="00C33834">
        <w:rPr>
          <w:rFonts w:ascii="Times New Roman" w:hAnsi="Times New Roman"/>
          <w:color w:val="000000" w:themeColor="text1"/>
          <w:sz w:val="16"/>
          <w:szCs w:val="16"/>
        </w:rPr>
        <w:softHyphen/>
        <w:t>диться будем вместе. Он кивает в ответ: по</w:t>
      </w:r>
      <w:r w:rsidRPr="00C33834">
        <w:rPr>
          <w:rFonts w:ascii="Times New Roman" w:hAnsi="Times New Roman"/>
          <w:color w:val="000000" w:themeColor="text1"/>
          <w:sz w:val="16"/>
          <w:szCs w:val="16"/>
        </w:rPr>
        <w:softHyphen/>
        <w:t>нял. Снижаемся. Все идет хорошо. Трево</w:t>
      </w:r>
      <w:r w:rsidRPr="00C33834">
        <w:rPr>
          <w:rFonts w:ascii="Times New Roman" w:hAnsi="Times New Roman"/>
          <w:color w:val="000000" w:themeColor="text1"/>
          <w:sz w:val="16"/>
          <w:szCs w:val="16"/>
        </w:rPr>
        <w:softHyphen/>
        <w:t>жит одно: выдержит ли шасси ТВ-1 посадку с таким весом?</w:t>
      </w:r>
    </w:p>
    <w:p w14:paraId="16291ED6"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Плавное касание. Самолет бежит по полосе. Шасси не подвело! Вдруг — удар, треск! Неужели машина ломается? Да нет! Вот она и скорость потеряла, остановилась. И тут возникло острое беспокойство за Иустина — не сорвался ли он с плоскос</w:t>
      </w:r>
      <w:r w:rsidRPr="00C33834">
        <w:rPr>
          <w:rFonts w:ascii="Times New Roman" w:hAnsi="Times New Roman"/>
          <w:color w:val="000000" w:themeColor="text1"/>
          <w:sz w:val="16"/>
          <w:szCs w:val="16"/>
        </w:rPr>
        <w:softHyphen/>
        <w:t>ти? Глянул в его сторону и обмер. Истреби</w:t>
      </w:r>
      <w:r w:rsidRPr="00C33834">
        <w:rPr>
          <w:rFonts w:ascii="Times New Roman" w:hAnsi="Times New Roman"/>
          <w:color w:val="000000" w:themeColor="text1"/>
          <w:sz w:val="16"/>
          <w:szCs w:val="16"/>
        </w:rPr>
        <w:softHyphen/>
        <w:t>тель повис на задней треноге крепления и раскачивается. Вверху в такт ему болтает</w:t>
      </w:r>
      <w:r w:rsidRPr="00C33834">
        <w:rPr>
          <w:rFonts w:ascii="Times New Roman" w:hAnsi="Times New Roman"/>
          <w:color w:val="000000" w:themeColor="text1"/>
          <w:sz w:val="16"/>
          <w:szCs w:val="16"/>
        </w:rPr>
        <w:softHyphen/>
        <w:t>ся летчик. Одним словом — цирк Вахмист</w:t>
      </w:r>
      <w:r w:rsidRPr="00C33834">
        <w:rPr>
          <w:rFonts w:ascii="Times New Roman" w:hAnsi="Times New Roman"/>
          <w:color w:val="000000" w:themeColor="text1"/>
          <w:sz w:val="16"/>
          <w:szCs w:val="16"/>
        </w:rPr>
        <w:softHyphen/>
        <w:t>рова.</w:t>
      </w:r>
    </w:p>
    <w:p w14:paraId="4290A466"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первую очередь освободили Гродзя. Обняли, расцеловали. Как-никак он больше всех натерпелся страху. А могло быть и ху</w:t>
      </w:r>
      <w:r w:rsidRPr="00C33834">
        <w:rPr>
          <w:rFonts w:ascii="Times New Roman" w:hAnsi="Times New Roman"/>
          <w:color w:val="000000" w:themeColor="text1"/>
          <w:sz w:val="16"/>
          <w:szCs w:val="16"/>
        </w:rPr>
        <w:softHyphen/>
        <w:t>же. Дело в том, что на пробеге, когда руль глубины из-за потери скорости потерял эф</w:t>
      </w:r>
      <w:r w:rsidRPr="00C33834">
        <w:rPr>
          <w:rFonts w:ascii="Times New Roman" w:hAnsi="Times New Roman"/>
          <w:color w:val="000000" w:themeColor="text1"/>
          <w:sz w:val="16"/>
          <w:szCs w:val="16"/>
        </w:rPr>
        <w:softHyphen/>
        <w:t>фективность, истребитель, хвост которого не был закреплен, начал сползать с плос</w:t>
      </w:r>
      <w:r w:rsidRPr="00C33834">
        <w:rPr>
          <w:rFonts w:ascii="Times New Roman" w:hAnsi="Times New Roman"/>
          <w:color w:val="000000" w:themeColor="text1"/>
          <w:sz w:val="16"/>
          <w:szCs w:val="16"/>
        </w:rPr>
        <w:softHyphen/>
        <w:t>кости бомбардировщика. Задняя ферма крепления, наклонившись под углом трид</w:t>
      </w:r>
      <w:r w:rsidRPr="00C33834">
        <w:rPr>
          <w:rFonts w:ascii="Times New Roman" w:hAnsi="Times New Roman"/>
          <w:color w:val="000000" w:themeColor="text1"/>
          <w:sz w:val="16"/>
          <w:szCs w:val="16"/>
        </w:rPr>
        <w:softHyphen/>
        <w:t>цать градусов, прорвала фюзеляж И-4 и уперлась в спинку сиденья летчика. Нос истребителя неестественно задрался. Будь при посадке толчок посильнее, самолет Гродзя сорвался бы» (11286).</w:t>
      </w:r>
    </w:p>
    <w:p w14:paraId="41FFC0C9"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93AFCC"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июне—июле 1933 г. на Кричевицком аэродроме вклись войсковые испытания модернизированного «звена».</w:t>
      </w:r>
    </w:p>
    <w:p w14:paraId="3BCBD13E"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«самолет-звено» оборудова</w:t>
      </w:r>
      <w:r w:rsidRPr="00C33834">
        <w:rPr>
          <w:rFonts w:ascii="Times New Roman" w:hAnsi="Times New Roman"/>
          <w:color w:val="000000" w:themeColor="text1"/>
          <w:sz w:val="16"/>
          <w:szCs w:val="16"/>
        </w:rPr>
        <w:softHyphen/>
        <w:t>ли ТБ-1 №678, И-4 №1533 и №1583. На этих истребителях нижние малые крылья не сни</w:t>
      </w:r>
      <w:r w:rsidRPr="00C33834">
        <w:rPr>
          <w:rFonts w:ascii="Times New Roman" w:hAnsi="Times New Roman"/>
          <w:color w:val="000000" w:themeColor="text1"/>
          <w:sz w:val="16"/>
          <w:szCs w:val="16"/>
        </w:rPr>
        <w:softHyphen/>
        <w:t>мались, а летчики сами открывали замок рас</w:t>
      </w:r>
      <w:r w:rsidRPr="00C33834">
        <w:rPr>
          <w:rFonts w:ascii="Times New Roman" w:hAnsi="Times New Roman"/>
          <w:color w:val="000000" w:themeColor="text1"/>
          <w:sz w:val="16"/>
          <w:szCs w:val="16"/>
        </w:rPr>
        <w:softHyphen/>
        <w:t xml:space="preserve">цепления при выполнении воздушного старта. Дополнительная амортизационная стойка на основном шасси ТБ-1 №678 была выполнена по типу костыля ТБ-3. </w:t>
      </w:r>
    </w:p>
    <w:p w14:paraId="152710D7"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Эки</w:t>
      </w:r>
      <w:r w:rsidRPr="00C33834">
        <w:rPr>
          <w:rFonts w:ascii="Times New Roman" w:hAnsi="Times New Roman"/>
          <w:color w:val="000000" w:themeColor="text1"/>
          <w:sz w:val="16"/>
          <w:szCs w:val="16"/>
        </w:rPr>
        <w:softHyphen/>
        <w:t>паж ТБ-1 был следующим: командир корабля Стефановский, второй пилот Вахмистров, ин</w:t>
      </w:r>
      <w:r w:rsidRPr="00C33834">
        <w:rPr>
          <w:rFonts w:ascii="Times New Roman" w:hAnsi="Times New Roman"/>
          <w:color w:val="000000" w:themeColor="text1"/>
          <w:sz w:val="16"/>
          <w:szCs w:val="16"/>
        </w:rPr>
        <w:softHyphen/>
        <w:t>женер монтажист Морозов, борттехник Ни</w:t>
      </w:r>
      <w:r w:rsidRPr="00C33834">
        <w:rPr>
          <w:rFonts w:ascii="Times New Roman" w:hAnsi="Times New Roman"/>
          <w:color w:val="000000" w:themeColor="text1"/>
          <w:sz w:val="16"/>
          <w:szCs w:val="16"/>
        </w:rPr>
        <w:softHyphen/>
        <w:t>китин. Левым истребителем управлял летчик Коккинаки, правым — Степанчонок. Испы</w:t>
      </w:r>
      <w:r w:rsidRPr="00C33834">
        <w:rPr>
          <w:rFonts w:ascii="Times New Roman" w:hAnsi="Times New Roman"/>
          <w:color w:val="000000" w:themeColor="text1"/>
          <w:sz w:val="16"/>
          <w:szCs w:val="16"/>
        </w:rPr>
        <w:softHyphen/>
        <w:t>тания и на этот раз оценивались положитель</w:t>
      </w:r>
      <w:r w:rsidRPr="00C33834">
        <w:rPr>
          <w:rFonts w:ascii="Times New Roman" w:hAnsi="Times New Roman"/>
          <w:color w:val="000000" w:themeColor="text1"/>
          <w:sz w:val="16"/>
          <w:szCs w:val="16"/>
        </w:rPr>
        <w:softHyphen/>
        <w:t>но. Подтверждалось, что после произведенных усовершенствований техника отрыва истреби</w:t>
      </w:r>
      <w:r w:rsidRPr="00C33834">
        <w:rPr>
          <w:rFonts w:ascii="Times New Roman" w:hAnsi="Times New Roman"/>
          <w:color w:val="000000" w:themeColor="text1"/>
          <w:sz w:val="16"/>
          <w:szCs w:val="16"/>
        </w:rPr>
        <w:softHyphen/>
        <w:t>телей упростилась. Взлет с аэродрома проис</w:t>
      </w:r>
      <w:r w:rsidRPr="00C33834">
        <w:rPr>
          <w:rFonts w:ascii="Times New Roman" w:hAnsi="Times New Roman"/>
          <w:color w:val="000000" w:themeColor="text1"/>
          <w:sz w:val="16"/>
          <w:szCs w:val="16"/>
        </w:rPr>
        <w:softHyphen/>
        <w:t>ходил на скорости 130 км/ч при полетном ве</w:t>
      </w:r>
      <w:r w:rsidRPr="00C33834">
        <w:rPr>
          <w:rFonts w:ascii="Times New Roman" w:hAnsi="Times New Roman"/>
          <w:color w:val="000000" w:themeColor="text1"/>
          <w:sz w:val="16"/>
          <w:szCs w:val="16"/>
        </w:rPr>
        <w:softHyphen/>
        <w:t>се 9600 кг, время взлета составляло 12 секунд. В полете составной самолет был устойчив, допу</w:t>
      </w:r>
      <w:r w:rsidRPr="00C33834">
        <w:rPr>
          <w:rFonts w:ascii="Times New Roman" w:hAnsi="Times New Roman"/>
          <w:color w:val="000000" w:themeColor="text1"/>
          <w:sz w:val="16"/>
          <w:szCs w:val="16"/>
        </w:rPr>
        <w:softHyphen/>
        <w:t>скал выполнение виражей до 60°. За 5 полетов, произведенных в Кричевицах, были обучены два новых пилота на И-4 и 3 командира ТБ-1.</w:t>
      </w:r>
    </w:p>
    <w:p w14:paraId="16BDCF5D"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После завершения войсковых испытаний СЗ-1, начальник ВВС Алкснис направил до</w:t>
      </w:r>
      <w:r w:rsidRPr="00C33834">
        <w:rPr>
          <w:rFonts w:ascii="Times New Roman" w:hAnsi="Times New Roman"/>
          <w:color w:val="000000" w:themeColor="text1"/>
          <w:sz w:val="16"/>
          <w:szCs w:val="16"/>
        </w:rPr>
        <w:softHyphen/>
        <w:t>кладную записку на имя Заместителя Пред</w:t>
      </w:r>
      <w:r w:rsidRPr="00C33834">
        <w:rPr>
          <w:rFonts w:ascii="Times New Roman" w:hAnsi="Times New Roman"/>
          <w:color w:val="000000" w:themeColor="text1"/>
          <w:sz w:val="16"/>
          <w:szCs w:val="16"/>
        </w:rPr>
        <w:softHyphen/>
        <w:t>седателя РВС СССР Тухачевского. В ней го</w:t>
      </w:r>
      <w:r w:rsidRPr="00C33834">
        <w:rPr>
          <w:rFonts w:ascii="Times New Roman" w:hAnsi="Times New Roman"/>
          <w:color w:val="000000" w:themeColor="text1"/>
          <w:sz w:val="16"/>
          <w:szCs w:val="16"/>
        </w:rPr>
        <w:softHyphen/>
        <w:t>ворилось, что теперь полезная нагрузка ТБ- 1 может быть увеличена с 3500 кг до 4650 кг при условии сопровождения истребителями до цели и обратно; и до 5230 кг — при сопро</w:t>
      </w:r>
      <w:r w:rsidRPr="00C33834">
        <w:rPr>
          <w:rFonts w:ascii="Times New Roman" w:hAnsi="Times New Roman"/>
          <w:color w:val="000000" w:themeColor="text1"/>
          <w:sz w:val="16"/>
          <w:szCs w:val="16"/>
        </w:rPr>
        <w:softHyphen/>
        <w:t>вождении истребителями на расстоянии 50 км. В первом варианте дальность ТБ-1 с од</w:t>
      </w:r>
      <w:r w:rsidRPr="00C33834">
        <w:rPr>
          <w:rFonts w:ascii="Times New Roman" w:hAnsi="Times New Roman"/>
          <w:color w:val="000000" w:themeColor="text1"/>
          <w:sz w:val="16"/>
          <w:szCs w:val="16"/>
        </w:rPr>
        <w:softHyphen/>
        <w:t>ной тонной бомб увеличивается с 820 км до 1580 км, а во втором (сопровождение до 50 км) дальность увеличивается до 2000 км.</w:t>
      </w:r>
    </w:p>
    <w:p w14:paraId="0AC8F2AA"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Предлагалось наградить В.С. Вахмистро- ва Орденом Ленина, А.И. Залевского, А.Ф. Анисимова, В.П. Чкалова — Орденом Кра</w:t>
      </w:r>
      <w:r w:rsidRPr="00C33834">
        <w:rPr>
          <w:rFonts w:ascii="Times New Roman" w:hAnsi="Times New Roman"/>
          <w:color w:val="000000" w:themeColor="text1"/>
          <w:sz w:val="16"/>
          <w:szCs w:val="16"/>
        </w:rPr>
        <w:softHyphen/>
        <w:t>сной Звезды. Помимо этого Вахмистрова и Залевского предлагалось премировать ав</w:t>
      </w:r>
      <w:r w:rsidRPr="00C33834">
        <w:rPr>
          <w:rFonts w:ascii="Times New Roman" w:hAnsi="Times New Roman"/>
          <w:color w:val="000000" w:themeColor="text1"/>
          <w:sz w:val="16"/>
          <w:szCs w:val="16"/>
        </w:rPr>
        <w:softHyphen/>
        <w:t>томобилем «Форд», а Анисимова, Чкалова, механика Панюшкина и инженера Морозо</w:t>
      </w:r>
      <w:r w:rsidRPr="00C33834">
        <w:rPr>
          <w:rFonts w:ascii="Times New Roman" w:hAnsi="Times New Roman"/>
          <w:color w:val="000000" w:themeColor="text1"/>
          <w:sz w:val="16"/>
          <w:szCs w:val="16"/>
        </w:rPr>
        <w:softHyphen/>
        <w:t>ва — мотоциклами. Сам Владимир Сергеевич позднее записал: «За эти полеты три летчика и я получили по «Красной Звезде» (т.е. были награждены орденами Красная Звезда)»</w:t>
      </w:r>
    </w:p>
    <w:p w14:paraId="5A1208FF"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Впрочем, более И-4 для «Самолета-звена» не использовали. Опыты продолжили с бо</w:t>
      </w:r>
      <w:r w:rsidRPr="00C33834">
        <w:rPr>
          <w:rFonts w:ascii="Times New Roman" w:hAnsi="Times New Roman"/>
          <w:color w:val="000000" w:themeColor="text1"/>
          <w:sz w:val="16"/>
          <w:szCs w:val="16"/>
        </w:rPr>
        <w:softHyphen/>
        <w:t>лее мощными носителями ТБ-3, а в качестве закрепляемых на них самолетов сначала ис</w:t>
      </w:r>
      <w:r w:rsidRPr="00C33834">
        <w:rPr>
          <w:rFonts w:ascii="Times New Roman" w:hAnsi="Times New Roman"/>
          <w:color w:val="000000" w:themeColor="text1"/>
          <w:sz w:val="16"/>
          <w:szCs w:val="16"/>
        </w:rPr>
        <w:softHyphen/>
        <w:t>пользовали истребители И-5, а позднее мо</w:t>
      </w:r>
      <w:r w:rsidRPr="00C33834">
        <w:rPr>
          <w:rFonts w:ascii="Times New Roman" w:hAnsi="Times New Roman"/>
          <w:color w:val="000000" w:themeColor="text1"/>
          <w:sz w:val="16"/>
          <w:szCs w:val="16"/>
        </w:rPr>
        <w:softHyphen/>
        <w:t>нопланы И-16 (12295).</w:t>
      </w:r>
    </w:p>
    <w:p w14:paraId="00F0030B" w14:textId="77777777" w:rsidR="0058354C" w:rsidRPr="00C33834" w:rsidRDefault="0058354C" w:rsidP="00C33834">
      <w:pPr>
        <w:spacing w:after="0" w:line="240" w:lineRule="auto"/>
        <w:jc w:val="both"/>
        <w:rPr>
          <w:rFonts w:ascii="Times New Roman" w:hAnsi="Times New Roman"/>
          <w:color w:val="000000" w:themeColor="text1"/>
          <w:sz w:val="16"/>
          <w:szCs w:val="16"/>
        </w:rPr>
      </w:pPr>
    </w:p>
    <w:p w14:paraId="32318439"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июне-июле 1933 г. на Кричевицком аэродроме вели войсковые испытания модернизированного «звена».</w:t>
      </w:r>
    </w:p>
    <w:p w14:paraId="30AA4537"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«самолет-звено» оборудовали ТБ-1 №678, И-4 №1533 и №1583. На этих истребителях нижние малые крылья не снимались, а замок расцепления при вы</w:t>
      </w:r>
      <w:r w:rsidRPr="00C33834">
        <w:rPr>
          <w:rFonts w:ascii="Times New Roman" w:hAnsi="Times New Roman"/>
          <w:color w:val="0070C0"/>
          <w:sz w:val="16"/>
          <w:szCs w:val="16"/>
        </w:rPr>
        <w:softHyphen/>
        <w:t>полнении воздушного старта открывали летчики сами. До</w:t>
      </w:r>
      <w:r w:rsidRPr="00C33834">
        <w:rPr>
          <w:rFonts w:ascii="Times New Roman" w:hAnsi="Times New Roman"/>
          <w:color w:val="0070C0"/>
          <w:sz w:val="16"/>
          <w:szCs w:val="16"/>
        </w:rPr>
        <w:softHyphen/>
        <w:t>полнительная амортизационная стойка на основном шасси ТБ-1 была выполнена по типу костыля ТБ-3.</w:t>
      </w:r>
    </w:p>
    <w:p w14:paraId="0F2E25E7"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Экипаж ТБ-1 был следующим: командир корабля Стефановский, второй пи</w:t>
      </w:r>
      <w:r w:rsidRPr="00C33834">
        <w:rPr>
          <w:rFonts w:ascii="Times New Roman" w:hAnsi="Times New Roman"/>
          <w:color w:val="0070C0"/>
          <w:sz w:val="16"/>
          <w:szCs w:val="16"/>
        </w:rPr>
        <w:softHyphen/>
        <w:t>лот Вахмистров, инженер-монтажист Морозов, борттехник Никитин. Левым истребителем управлял летчик Коккинаки, правым — летчик Степанчонок. Испытания и на этот раз оце</w:t>
      </w:r>
      <w:r w:rsidRPr="00C33834">
        <w:rPr>
          <w:rFonts w:ascii="Times New Roman" w:hAnsi="Times New Roman"/>
          <w:color w:val="0070C0"/>
          <w:sz w:val="16"/>
          <w:szCs w:val="16"/>
        </w:rPr>
        <w:softHyphen/>
        <w:t>нивались положительно. Подтверждалось, что после про</w:t>
      </w:r>
      <w:r w:rsidRPr="00C33834">
        <w:rPr>
          <w:rFonts w:ascii="Times New Roman" w:hAnsi="Times New Roman"/>
          <w:color w:val="0070C0"/>
          <w:sz w:val="16"/>
          <w:szCs w:val="16"/>
        </w:rPr>
        <w:softHyphen/>
        <w:t>изведенных усовершенствований техника отрыва истреби</w:t>
      </w:r>
      <w:r w:rsidRPr="00C33834">
        <w:rPr>
          <w:rFonts w:ascii="Times New Roman" w:hAnsi="Times New Roman"/>
          <w:color w:val="0070C0"/>
          <w:sz w:val="16"/>
          <w:szCs w:val="16"/>
        </w:rPr>
        <w:softHyphen/>
        <w:t>телей упростилась. Взлет с аэродрома происходил на скорости 130 км/ч при полетном весе 9600 кг, время взле</w:t>
      </w:r>
      <w:r w:rsidRPr="00C33834">
        <w:rPr>
          <w:rFonts w:ascii="Times New Roman" w:hAnsi="Times New Roman"/>
          <w:color w:val="0070C0"/>
          <w:sz w:val="16"/>
          <w:szCs w:val="16"/>
        </w:rPr>
        <w:softHyphen/>
        <w:t>та составляло 12 секунд. В полете составной самолет был устойчив, допускал выполнение виражей с креном до 60°. За 5 полетов, произведенных в Кричевицах, были «облетаны» два новых пилота на И-4 и 3 командира ТБ-1.</w:t>
      </w:r>
    </w:p>
    <w:p w14:paraId="7870B700"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 сравнениею с обычным ТБ-1, система СЗ-1 имеет значительные пре</w:t>
      </w:r>
      <w:r w:rsidRPr="00C33834">
        <w:rPr>
          <w:rFonts w:ascii="Times New Roman" w:hAnsi="Times New Roman"/>
          <w:color w:val="0070C0"/>
          <w:sz w:val="16"/>
          <w:szCs w:val="16"/>
        </w:rPr>
        <w:softHyphen/>
        <w:t>имущества. При одинаковой нагрузке потолок увеличива</w:t>
      </w:r>
      <w:r w:rsidRPr="00C33834">
        <w:rPr>
          <w:rFonts w:ascii="Times New Roman" w:hAnsi="Times New Roman"/>
          <w:color w:val="0070C0"/>
          <w:sz w:val="16"/>
          <w:szCs w:val="16"/>
        </w:rPr>
        <w:softHyphen/>
        <w:t>ется на 500-600 метров, длина разбега уменьшается на 150-200 м. Создание СЗ-1 оценивалось как значительное достижение, для оценки тактических и эксплуатационных особенностей звена предлагалось построить эскадрилью таких самолетов. Далее предлагалось произвести установ</w:t>
      </w:r>
      <w:r w:rsidRPr="00C33834">
        <w:rPr>
          <w:rFonts w:ascii="Times New Roman" w:hAnsi="Times New Roman"/>
          <w:color w:val="0070C0"/>
          <w:sz w:val="16"/>
          <w:szCs w:val="16"/>
        </w:rPr>
        <w:softHyphen/>
        <w:t>ку на ТБ-1 двух истребителей И-5, а затем приступить к опы</w:t>
      </w:r>
      <w:r w:rsidRPr="00C33834">
        <w:rPr>
          <w:rFonts w:ascii="Times New Roman" w:hAnsi="Times New Roman"/>
          <w:color w:val="0070C0"/>
          <w:sz w:val="16"/>
          <w:szCs w:val="16"/>
        </w:rPr>
        <w:softHyphen/>
        <w:t>там по переливу горючего с ТБ-1 и ТБ-3 на И-4 и И-5.5 июля 1933 г. командир авиабригады НИИ ВВС Залев- ский подписал следующее заключение: «Самолет 3-1 с вы</w:t>
      </w:r>
      <w:r w:rsidRPr="00C33834">
        <w:rPr>
          <w:rFonts w:ascii="Times New Roman" w:hAnsi="Times New Roman"/>
          <w:color w:val="0070C0"/>
          <w:sz w:val="16"/>
          <w:szCs w:val="16"/>
        </w:rPr>
        <w:softHyphen/>
        <w:t>шеуказанными переделками вполне годен к эксплуатации в строевых частях ВВС РККА».</w:t>
      </w:r>
    </w:p>
    <w:p w14:paraId="17298206"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Очевидно, к испытаниям 1933 года относится еще одно воспоминание Стефановского:</w:t>
      </w:r>
    </w:p>
    <w:p w14:paraId="2E6DDFF2"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процессе доработок меня назначили командиром «цирка Вахмистрова» - так наши летчики с чьей-то легкой руки стали величать самолет-звено. В этом названии бы</w:t>
      </w:r>
      <w:r w:rsidRPr="00C33834">
        <w:rPr>
          <w:rFonts w:ascii="Times New Roman" w:hAnsi="Times New Roman"/>
          <w:color w:val="0070C0"/>
          <w:sz w:val="16"/>
          <w:szCs w:val="16"/>
        </w:rPr>
        <w:softHyphen/>
        <w:t>ло и восхищение созданной Владимиром Сергеевичем бо</w:t>
      </w:r>
      <w:r w:rsidRPr="00C33834">
        <w:rPr>
          <w:rFonts w:ascii="Times New Roman" w:hAnsi="Times New Roman"/>
          <w:color w:val="0070C0"/>
          <w:sz w:val="16"/>
          <w:szCs w:val="16"/>
        </w:rPr>
        <w:softHyphen/>
        <w:t>евой воздушной «единицы в трех лицах», и некоторая то</w:t>
      </w:r>
      <w:r w:rsidRPr="00C33834">
        <w:rPr>
          <w:rFonts w:ascii="Times New Roman" w:hAnsi="Times New Roman"/>
          <w:color w:val="0070C0"/>
          <w:sz w:val="16"/>
          <w:szCs w:val="16"/>
        </w:rPr>
        <w:softHyphen/>
        <w:t>лика юмора. Полет самолета-звена и впрямь напоминал что-то вроде циркового аттракциона. ТБ-1 нисколько не ут</w:t>
      </w:r>
      <w:r w:rsidRPr="00C33834">
        <w:rPr>
          <w:rFonts w:ascii="Times New Roman" w:hAnsi="Times New Roman"/>
          <w:color w:val="0070C0"/>
          <w:sz w:val="16"/>
          <w:szCs w:val="16"/>
        </w:rPr>
        <w:softHyphen/>
        <w:t>ратил своих качеств из-за размещенного на его плос</w:t>
      </w:r>
      <w:r w:rsidRPr="00C33834">
        <w:rPr>
          <w:rFonts w:ascii="Times New Roman" w:hAnsi="Times New Roman"/>
          <w:color w:val="0070C0"/>
          <w:sz w:val="16"/>
          <w:szCs w:val="16"/>
        </w:rPr>
        <w:softHyphen/>
        <w:t>костях добавочного оборудования, выполнял в полете все эволюции, вплоть до глубоких виражей. Освободившись от истребителей, он вел себя, как обычный серийный бом</w:t>
      </w:r>
      <w:r w:rsidRPr="00C33834">
        <w:rPr>
          <w:rFonts w:ascii="Times New Roman" w:hAnsi="Times New Roman"/>
          <w:color w:val="0070C0"/>
          <w:sz w:val="16"/>
          <w:szCs w:val="16"/>
        </w:rPr>
        <w:softHyphen/>
        <w:t>бардировщик. Не обошлось, правда, и без циркачества. Вспоминается такой случай.</w:t>
      </w:r>
    </w:p>
    <w:p w14:paraId="4835107E"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Задание выполнялось обычное - отрабатывалась техни</w:t>
      </w:r>
      <w:r w:rsidRPr="00C33834">
        <w:rPr>
          <w:rFonts w:ascii="Times New Roman" w:hAnsi="Times New Roman"/>
          <w:color w:val="0070C0"/>
          <w:sz w:val="16"/>
          <w:szCs w:val="16"/>
        </w:rPr>
        <w:softHyphen/>
        <w:t>ка отрыва истребителей от бомбардировщика. ТБ-1 пило</w:t>
      </w:r>
      <w:r w:rsidRPr="00C33834">
        <w:rPr>
          <w:rFonts w:ascii="Times New Roman" w:hAnsi="Times New Roman"/>
          <w:color w:val="0070C0"/>
          <w:sz w:val="16"/>
          <w:szCs w:val="16"/>
        </w:rPr>
        <w:softHyphen/>
        <w:t>тировал я. Вторым пилотом был Михаил Александрович Нюхтиков. На истребителях находились В.К. Коккинаки и И.Ф. Гродзь.</w:t>
      </w:r>
    </w:p>
    <w:p w14:paraId="36C699DA"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Летим. Пришли в заданный район. Даю команду своим «седокам» - отцепляйтесь! Самолет Гродзя забалансиро</w:t>
      </w:r>
      <w:r w:rsidRPr="00C33834">
        <w:rPr>
          <w:rFonts w:ascii="Times New Roman" w:hAnsi="Times New Roman"/>
          <w:color w:val="0070C0"/>
          <w:sz w:val="16"/>
          <w:szCs w:val="16"/>
        </w:rPr>
        <w:softHyphen/>
        <w:t>вал на передних креплениях. А почему Коккинаки дерга</w:t>
      </w:r>
      <w:r w:rsidRPr="00C33834">
        <w:rPr>
          <w:rFonts w:ascii="Times New Roman" w:hAnsi="Times New Roman"/>
          <w:color w:val="0070C0"/>
          <w:sz w:val="16"/>
          <w:szCs w:val="16"/>
        </w:rPr>
        <w:softHyphen/>
        <w:t>ется в кабине и, словно сумасшедший, шурует рулями? Ув</w:t>
      </w:r>
      <w:r w:rsidRPr="00C33834">
        <w:rPr>
          <w:rFonts w:ascii="Times New Roman" w:hAnsi="Times New Roman"/>
          <w:color w:val="0070C0"/>
          <w:sz w:val="16"/>
          <w:szCs w:val="16"/>
        </w:rPr>
        <w:softHyphen/>
        <w:t>лекся я разгадыванием его «манипуляций», а про Гродзя забыл. Он же по-прежнему балансирует, ждет сигнала на отрыв.</w:t>
      </w:r>
    </w:p>
    <w:p w14:paraId="7C08FF22"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 Коккинаки вскоре все стало ясно: приняв команду отсоединиться, он, со всей его медвежьей силой, рванул рукоятку расцепления и... оборвал трос хвостового замка. А теперь вот летчик создает рулями перегрузки, чтобы ото</w:t>
      </w:r>
      <w:r w:rsidRPr="00C33834">
        <w:rPr>
          <w:rFonts w:ascii="Times New Roman" w:hAnsi="Times New Roman"/>
          <w:color w:val="0070C0"/>
          <w:sz w:val="16"/>
          <w:szCs w:val="16"/>
        </w:rPr>
        <w:softHyphen/>
        <w:t>рвать замок, удерживающий хвост истребителя, и любой ценой отделиться от нас.</w:t>
      </w:r>
    </w:p>
    <w:p w14:paraId="0030AB60"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Но не тут-то было. Истребитель, как припаянный, сидит на нашей плоскости. Катастрофа кажется неизбежной. Бортмеханик (жаль, забыл его фамилию) рвется на подвиг: хочет влезть на крыло, по-пластунски добраться до хвоста истребителя и открыть замок. Запрещаю: поток воз</w:t>
      </w:r>
      <w:r w:rsidRPr="00C33834">
        <w:rPr>
          <w:rFonts w:ascii="Times New Roman" w:hAnsi="Times New Roman"/>
          <w:color w:val="0070C0"/>
          <w:sz w:val="16"/>
          <w:szCs w:val="16"/>
        </w:rPr>
        <w:softHyphen/>
        <w:t>духа мгновенно сорвет его с крыла. Второй пилот Миша Нюхтиков, мой однокашник по качинской школе, предла</w:t>
      </w:r>
      <w:r w:rsidRPr="00C33834">
        <w:rPr>
          <w:rFonts w:ascii="Times New Roman" w:hAnsi="Times New Roman"/>
          <w:color w:val="0070C0"/>
          <w:sz w:val="16"/>
          <w:szCs w:val="16"/>
        </w:rPr>
        <w:softHyphen/>
        <w:t>гает стрелять из нагана, чтобы пулей перебить злосчаст</w:t>
      </w:r>
      <w:r w:rsidRPr="00C33834">
        <w:rPr>
          <w:rFonts w:ascii="Times New Roman" w:hAnsi="Times New Roman"/>
          <w:color w:val="0070C0"/>
          <w:sz w:val="16"/>
          <w:szCs w:val="16"/>
        </w:rPr>
        <w:softHyphen/>
        <w:t>ный замок. Тоже мне, снайпер нашелся! Еще в Коккина- ки угодит.</w:t>
      </w:r>
    </w:p>
    <w:p w14:paraId="662B2444"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звено летит. Гродзь, не получив последней команды, и ничего не подозревая о случившемся, продолжает ба</w:t>
      </w:r>
      <w:r w:rsidRPr="00C33834">
        <w:rPr>
          <w:rFonts w:ascii="Times New Roman" w:hAnsi="Times New Roman"/>
          <w:color w:val="0070C0"/>
          <w:sz w:val="16"/>
          <w:szCs w:val="16"/>
        </w:rPr>
        <w:softHyphen/>
        <w:t>лансировать. Отпусти его - станет еще хуже: с одним ис</w:t>
      </w:r>
      <w:r w:rsidRPr="00C33834">
        <w:rPr>
          <w:rFonts w:ascii="Times New Roman" w:hAnsi="Times New Roman"/>
          <w:color w:val="0070C0"/>
          <w:sz w:val="16"/>
          <w:szCs w:val="16"/>
        </w:rPr>
        <w:softHyphen/>
        <w:t>требителем на плоскости ни за что благополучно не ся</w:t>
      </w:r>
      <w:r w:rsidRPr="00C33834">
        <w:rPr>
          <w:rFonts w:ascii="Times New Roman" w:hAnsi="Times New Roman"/>
          <w:color w:val="0070C0"/>
          <w:sz w:val="16"/>
          <w:szCs w:val="16"/>
        </w:rPr>
        <w:softHyphen/>
        <w:t>дешь. Да и поломкой, пожалуй, не отделаешься.</w:t>
      </w:r>
    </w:p>
    <w:p w14:paraId="201B2CDB"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Лихорадочно работает мозг. Нервы напряжены до пре</w:t>
      </w:r>
      <w:r w:rsidRPr="00C33834">
        <w:rPr>
          <w:rFonts w:ascii="Times New Roman" w:hAnsi="Times New Roman"/>
          <w:color w:val="0070C0"/>
          <w:sz w:val="16"/>
          <w:szCs w:val="16"/>
        </w:rPr>
        <w:softHyphen/>
        <w:t>дела. Что же предпринять? Правда, горючего еще много. Надо держаться поспокойнее, все хорошенько обдумать. Время еще есть.</w:t>
      </w:r>
    </w:p>
    <w:p w14:paraId="4D94A1DA"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 тут пришла, наконец, спасительная мысль. Правда, та</w:t>
      </w:r>
      <w:r w:rsidRPr="00C33834">
        <w:rPr>
          <w:rFonts w:ascii="Times New Roman" w:hAnsi="Times New Roman"/>
          <w:color w:val="0070C0"/>
          <w:sz w:val="16"/>
          <w:szCs w:val="16"/>
        </w:rPr>
        <w:softHyphen/>
        <w:t>кого решения еще никто не принимал - не было подоб</w:t>
      </w:r>
      <w:r w:rsidRPr="00C33834">
        <w:rPr>
          <w:rFonts w:ascii="Times New Roman" w:hAnsi="Times New Roman"/>
          <w:color w:val="0070C0"/>
          <w:sz w:val="16"/>
          <w:szCs w:val="16"/>
        </w:rPr>
        <w:softHyphen/>
        <w:t>ного примера. Но и ситуации такой тоже никогда и ни у ко</w:t>
      </w:r>
      <w:r w:rsidRPr="00C33834">
        <w:rPr>
          <w:rFonts w:ascii="Times New Roman" w:hAnsi="Times New Roman"/>
          <w:color w:val="0070C0"/>
          <w:sz w:val="16"/>
          <w:szCs w:val="16"/>
        </w:rPr>
        <w:softHyphen/>
        <w:t>го не создавалось.</w:t>
      </w:r>
    </w:p>
    <w:p w14:paraId="5A120F4C"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Мысль воплотилась в окончательное решение. - Будем садиться втроем, - сообщаю экипажу. - Все по местам.</w:t>
      </w:r>
    </w:p>
    <w:p w14:paraId="01E1AE0E"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Теперь и Иустин Феликсович Гродзь разобрался в случив</w:t>
      </w:r>
      <w:r w:rsidRPr="00C33834">
        <w:rPr>
          <w:rFonts w:ascii="Times New Roman" w:hAnsi="Times New Roman"/>
          <w:color w:val="0070C0"/>
          <w:sz w:val="16"/>
          <w:szCs w:val="16"/>
        </w:rPr>
        <w:softHyphen/>
        <w:t>шемся. Даю ему понять - что бы не случилось, держись до конца: садиться будем вместе. Он кивает в ответ: понял.</w:t>
      </w:r>
    </w:p>
    <w:p w14:paraId="49DF0196"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Снижаемся. Все идет хорошо. Тревожит одно: выдержит ли шасси ТБ-1 посадку с таким весом?</w:t>
      </w:r>
    </w:p>
    <w:p w14:paraId="0B4CC1AC"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Плавное касание. Самолет бежит по полосе. Шасси не подвели! Вдруг - удар, треск! Неужели машина ломается?</w:t>
      </w:r>
    </w:p>
    <w:p w14:paraId="1AAE965D"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Да нет! Вот она и скорость потеряла, остановилась. И тут возникло острое беспокойство за Иустина - не сорвался ли он с плоскости? Гпянул в его сторону и обмер. Истре</w:t>
      </w:r>
      <w:r w:rsidRPr="00C33834">
        <w:rPr>
          <w:rFonts w:ascii="Times New Roman" w:hAnsi="Times New Roman"/>
          <w:color w:val="0070C0"/>
          <w:sz w:val="16"/>
          <w:szCs w:val="16"/>
        </w:rPr>
        <w:softHyphen/>
        <w:t>битель повис на задней треноге крепления и раскачивает</w:t>
      </w:r>
      <w:r w:rsidRPr="00C33834">
        <w:rPr>
          <w:rFonts w:ascii="Times New Roman" w:hAnsi="Times New Roman"/>
          <w:color w:val="0070C0"/>
          <w:sz w:val="16"/>
          <w:szCs w:val="16"/>
        </w:rPr>
        <w:softHyphen/>
        <w:t>ся. Вверху в такт ему болтается летчик. Одним словом - цирк Вахмистрова.</w:t>
      </w:r>
    </w:p>
    <w:p w14:paraId="36CB2E13"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первую очередь освободили Гродзя. Обняли, расцело</w:t>
      </w:r>
      <w:r w:rsidRPr="00C33834">
        <w:rPr>
          <w:rFonts w:ascii="Times New Roman" w:hAnsi="Times New Roman"/>
          <w:color w:val="0070C0"/>
          <w:sz w:val="16"/>
          <w:szCs w:val="16"/>
        </w:rPr>
        <w:softHyphen/>
        <w:t>вали. Как-никак он больше всех натерпелся страху. А мог</w:t>
      </w:r>
      <w:r w:rsidRPr="00C33834">
        <w:rPr>
          <w:rFonts w:ascii="Times New Roman" w:hAnsi="Times New Roman"/>
          <w:color w:val="0070C0"/>
          <w:sz w:val="16"/>
          <w:szCs w:val="16"/>
        </w:rPr>
        <w:softHyphen/>
        <w:t>ло быть и хуже. Дело в том, что на пробеге, когда руль глу</w:t>
      </w:r>
      <w:r w:rsidRPr="00C33834">
        <w:rPr>
          <w:rFonts w:ascii="Times New Roman" w:hAnsi="Times New Roman"/>
          <w:color w:val="0070C0"/>
          <w:sz w:val="16"/>
          <w:szCs w:val="16"/>
        </w:rPr>
        <w:softHyphen/>
        <w:t>бины из-за потери скорости потерял эффективность, истре</w:t>
      </w:r>
      <w:r w:rsidRPr="00C33834">
        <w:rPr>
          <w:rFonts w:ascii="Times New Roman" w:hAnsi="Times New Roman"/>
          <w:color w:val="0070C0"/>
          <w:sz w:val="16"/>
          <w:szCs w:val="16"/>
        </w:rPr>
        <w:softHyphen/>
        <w:t>битель, хвост которого не был закреплен, начал сползать с плоскости бомбардировщика. Задняя ферма крепления, наклонившись под углом тридцать градусов, прорвала фю</w:t>
      </w:r>
      <w:r w:rsidRPr="00C33834">
        <w:rPr>
          <w:rFonts w:ascii="Times New Roman" w:hAnsi="Times New Roman"/>
          <w:color w:val="0070C0"/>
          <w:sz w:val="16"/>
          <w:szCs w:val="16"/>
        </w:rPr>
        <w:softHyphen/>
        <w:t>зеляж И-4 и уперлась в спинку сиденья летчика. Нос истре</w:t>
      </w:r>
      <w:r w:rsidRPr="00C33834">
        <w:rPr>
          <w:rFonts w:ascii="Times New Roman" w:hAnsi="Times New Roman"/>
          <w:color w:val="0070C0"/>
          <w:sz w:val="16"/>
          <w:szCs w:val="16"/>
        </w:rPr>
        <w:softHyphen/>
        <w:t>бителя неестественно задрался. Будь при посадке толчок посильнее, самолет Гродзя сорвался бы».</w:t>
      </w:r>
    </w:p>
    <w:p w14:paraId="2BB362E6"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После завершения войсковых испытаний СЗ-1, началь</w:t>
      </w:r>
      <w:r w:rsidRPr="00C33834">
        <w:rPr>
          <w:rFonts w:ascii="Times New Roman" w:hAnsi="Times New Roman"/>
          <w:color w:val="0070C0"/>
          <w:sz w:val="16"/>
          <w:szCs w:val="16"/>
        </w:rPr>
        <w:softHyphen/>
        <w:t>ник ВВС Алкснис направил докладную записку на имя за</w:t>
      </w:r>
      <w:r w:rsidRPr="00C33834">
        <w:rPr>
          <w:rFonts w:ascii="Times New Roman" w:hAnsi="Times New Roman"/>
          <w:color w:val="0070C0"/>
          <w:sz w:val="16"/>
          <w:szCs w:val="16"/>
        </w:rPr>
        <w:softHyphen/>
        <w:t>местителя председателя РВС СССР Тухачевского. В ней го</w:t>
      </w:r>
      <w:r w:rsidRPr="00C33834">
        <w:rPr>
          <w:rFonts w:ascii="Times New Roman" w:hAnsi="Times New Roman"/>
          <w:color w:val="0070C0"/>
          <w:sz w:val="16"/>
          <w:szCs w:val="16"/>
        </w:rPr>
        <w:softHyphen/>
        <w:t>ворилось, что теперь полезная нагрузка ТБ-1 может быть увеличена с 3500 до 4650 кг при условии сопровождения истребителями до цели и обратно и до 5230 кг - при сопровождении истребителями на расстоянии 50 км. В пер</w:t>
      </w:r>
      <w:r w:rsidRPr="00C33834">
        <w:rPr>
          <w:rFonts w:ascii="Times New Roman" w:hAnsi="Times New Roman"/>
          <w:color w:val="0070C0"/>
          <w:sz w:val="16"/>
          <w:szCs w:val="16"/>
        </w:rPr>
        <w:softHyphen/>
        <w:t>вом варианте дальность ТБ-1 с одной тонной бомб увели</w:t>
      </w:r>
      <w:r w:rsidRPr="00C33834">
        <w:rPr>
          <w:rFonts w:ascii="Times New Roman" w:hAnsi="Times New Roman"/>
          <w:color w:val="0070C0"/>
          <w:sz w:val="16"/>
          <w:szCs w:val="16"/>
        </w:rPr>
        <w:softHyphen/>
        <w:t>чивается с 820 км до 1580 км, а во втором (сопровожде</w:t>
      </w:r>
      <w:r w:rsidRPr="00C33834">
        <w:rPr>
          <w:rFonts w:ascii="Times New Roman" w:hAnsi="Times New Roman"/>
          <w:color w:val="0070C0"/>
          <w:sz w:val="16"/>
          <w:szCs w:val="16"/>
        </w:rPr>
        <w:softHyphen/>
        <w:t>ние до 50 км) - до 2000 км.</w:t>
      </w:r>
    </w:p>
    <w:p w14:paraId="1BE5DCC9"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Таким образом, высшее руководство армии и ВВС весь</w:t>
      </w:r>
      <w:r w:rsidRPr="00C33834">
        <w:rPr>
          <w:rFonts w:ascii="Times New Roman" w:hAnsi="Times New Roman"/>
          <w:color w:val="0070C0"/>
          <w:sz w:val="16"/>
          <w:szCs w:val="16"/>
        </w:rPr>
        <w:softHyphen/>
        <w:t>ма положительно оценило появление системы «Самолет- Звено». Предлагалось наградить В.С. Вахмистрова орде</w:t>
      </w:r>
      <w:r w:rsidRPr="00C33834">
        <w:rPr>
          <w:rFonts w:ascii="Times New Roman" w:hAnsi="Times New Roman"/>
          <w:color w:val="0070C0"/>
          <w:sz w:val="16"/>
          <w:szCs w:val="16"/>
        </w:rPr>
        <w:softHyphen/>
        <w:t>ном Ленина, А.И. Залевского, А.Ф. Анисимова, В.П. Чкало</w:t>
      </w:r>
      <w:r w:rsidRPr="00C33834">
        <w:rPr>
          <w:rFonts w:ascii="Times New Roman" w:hAnsi="Times New Roman"/>
          <w:color w:val="0070C0"/>
          <w:sz w:val="16"/>
          <w:szCs w:val="16"/>
        </w:rPr>
        <w:softHyphen/>
        <w:t>ва - Красной Звезды. Помимо этого, Вахмистрова и Залевского предлагалось премировать автомобилем «Форд», а Анисимова, Чкалова, механика Панюшкина и ин</w:t>
      </w:r>
      <w:r w:rsidRPr="00C33834">
        <w:rPr>
          <w:rFonts w:ascii="Times New Roman" w:hAnsi="Times New Roman"/>
          <w:color w:val="0070C0"/>
          <w:sz w:val="16"/>
          <w:szCs w:val="16"/>
        </w:rPr>
        <w:softHyphen/>
        <w:t>женера Морозова - мотоциклами. Сам Владимир Серге</w:t>
      </w:r>
      <w:r w:rsidRPr="00C33834">
        <w:rPr>
          <w:rFonts w:ascii="Times New Roman" w:hAnsi="Times New Roman"/>
          <w:color w:val="0070C0"/>
          <w:sz w:val="16"/>
          <w:szCs w:val="16"/>
        </w:rPr>
        <w:softHyphen/>
        <w:t>евич позднее записал: «За эти полеты три летчика и я по</w:t>
      </w:r>
      <w:r w:rsidRPr="00C33834">
        <w:rPr>
          <w:rFonts w:ascii="Times New Roman" w:hAnsi="Times New Roman"/>
          <w:color w:val="0070C0"/>
          <w:sz w:val="16"/>
          <w:szCs w:val="16"/>
        </w:rPr>
        <w:softHyphen/>
        <w:t>лучили по «Красной Звезде» (т.е. были награждены орде</w:t>
      </w:r>
      <w:r w:rsidRPr="00C33834">
        <w:rPr>
          <w:rFonts w:ascii="Times New Roman" w:hAnsi="Times New Roman"/>
          <w:color w:val="0070C0"/>
          <w:sz w:val="16"/>
          <w:szCs w:val="16"/>
        </w:rPr>
        <w:softHyphen/>
        <w:t>нами «Красная Звезда»)».</w:t>
      </w:r>
    </w:p>
    <w:p w14:paraId="5C53CC95"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Испытания «самолета-звена» ТБ-1+2 И-4 были не единст</w:t>
      </w:r>
      <w:r w:rsidRPr="00C33834">
        <w:rPr>
          <w:rFonts w:ascii="Times New Roman" w:hAnsi="Times New Roman"/>
          <w:color w:val="0070C0"/>
          <w:sz w:val="16"/>
          <w:szCs w:val="16"/>
        </w:rPr>
        <w:softHyphen/>
        <w:t>венными в 1933 г. (20345).</w:t>
      </w:r>
    </w:p>
    <w:p w14:paraId="15DC4780" w14:textId="77777777" w:rsidR="00231D42" w:rsidRPr="00C33834" w:rsidRDefault="00231D42" w:rsidP="00C33834">
      <w:pPr>
        <w:spacing w:after="0" w:line="240" w:lineRule="auto"/>
        <w:jc w:val="both"/>
        <w:rPr>
          <w:rFonts w:ascii="Times New Roman" w:hAnsi="Times New Roman"/>
          <w:color w:val="0070C0"/>
          <w:sz w:val="16"/>
          <w:szCs w:val="16"/>
        </w:rPr>
      </w:pPr>
    </w:p>
    <w:p w14:paraId="3EAFA509" w14:textId="77777777" w:rsidR="00231D42" w:rsidRPr="00C33834" w:rsidRDefault="00231D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ию</w:t>
      </w:r>
      <w:r w:rsidRPr="00C33834">
        <w:rPr>
          <w:rFonts w:ascii="Times New Roman" w:hAnsi="Times New Roman"/>
          <w:color w:val="0070C0"/>
          <w:sz w:val="16"/>
          <w:szCs w:val="16"/>
        </w:rPr>
        <w:softHyphen/>
        <w:t>не-сентябре 1933 года провели летные испытания Самолет-Звено» 3-2 - ТБ-3+3 И-5. Носитель поднимался в воздух с од</w:t>
      </w:r>
      <w:r w:rsidRPr="00C33834">
        <w:rPr>
          <w:rFonts w:ascii="Times New Roman" w:hAnsi="Times New Roman"/>
          <w:color w:val="0070C0"/>
          <w:sz w:val="16"/>
          <w:szCs w:val="16"/>
        </w:rPr>
        <w:softHyphen/>
        <w:t>ним, двумя и тремя истребителями. Между тем, установка истребителей сверху крыла ока</w:t>
      </w:r>
      <w:r w:rsidRPr="00C33834">
        <w:rPr>
          <w:rFonts w:ascii="Times New Roman" w:hAnsi="Times New Roman"/>
          <w:color w:val="0070C0"/>
          <w:sz w:val="16"/>
          <w:szCs w:val="16"/>
        </w:rPr>
        <w:softHyphen/>
        <w:t>залась хороша лишь в случае использования ТБ-1. Трудо</w:t>
      </w:r>
      <w:r w:rsidRPr="00C33834">
        <w:rPr>
          <w:rFonts w:ascii="Times New Roman" w:hAnsi="Times New Roman"/>
          <w:color w:val="0070C0"/>
          <w:sz w:val="16"/>
          <w:szCs w:val="16"/>
        </w:rPr>
        <w:softHyphen/>
        <w:t>емкость закатывания истребителей на крыло ТБ-3 оказа</w:t>
      </w:r>
      <w:r w:rsidRPr="00C33834">
        <w:rPr>
          <w:rFonts w:ascii="Times New Roman" w:hAnsi="Times New Roman"/>
          <w:color w:val="0070C0"/>
          <w:sz w:val="16"/>
          <w:szCs w:val="16"/>
        </w:rPr>
        <w:softHyphen/>
        <w:t>лась значительно большей, что заставило конструктора ис</w:t>
      </w:r>
      <w:r w:rsidRPr="00C33834">
        <w:rPr>
          <w:rFonts w:ascii="Times New Roman" w:hAnsi="Times New Roman"/>
          <w:color w:val="0070C0"/>
          <w:sz w:val="16"/>
          <w:szCs w:val="16"/>
        </w:rPr>
        <w:softHyphen/>
        <w:t>кать другие варианты «звеньев». Именно поэтому в 1934 г. Вахмистров разработал комбинацию «3вено-3» (3-3), состоящую из четырехмоторного ТБ-3 и двух истре</w:t>
      </w:r>
      <w:r w:rsidRPr="00C33834">
        <w:rPr>
          <w:rFonts w:ascii="Times New Roman" w:hAnsi="Times New Roman"/>
          <w:color w:val="0070C0"/>
          <w:sz w:val="16"/>
          <w:szCs w:val="16"/>
        </w:rPr>
        <w:softHyphen/>
        <w:t>бителей И-ЗЕТ (динамореактивные пушки Курчевского на них не устанавливались). На земле истребители подрули</w:t>
      </w:r>
      <w:r w:rsidRPr="00C33834">
        <w:rPr>
          <w:rFonts w:ascii="Times New Roman" w:hAnsi="Times New Roman"/>
          <w:color w:val="0070C0"/>
          <w:sz w:val="16"/>
          <w:szCs w:val="16"/>
        </w:rPr>
        <w:softHyphen/>
        <w:t>вали под крыло бомбардировщика слева и справа, закреп</w:t>
      </w:r>
      <w:r w:rsidRPr="00C33834">
        <w:rPr>
          <w:rFonts w:ascii="Times New Roman" w:hAnsi="Times New Roman"/>
          <w:color w:val="0070C0"/>
          <w:sz w:val="16"/>
          <w:szCs w:val="16"/>
        </w:rPr>
        <w:softHyphen/>
        <w:t>лялись на специальной плавающей подвеске, позволявшей в воздухе перед отцепкой опускать их на 0,5 м (20345).</w:t>
      </w:r>
    </w:p>
    <w:p w14:paraId="735B1233" w14:textId="77777777" w:rsidR="00231D42" w:rsidRPr="00C33834" w:rsidRDefault="00231D42" w:rsidP="00C33834">
      <w:pPr>
        <w:spacing w:after="0" w:line="240" w:lineRule="auto"/>
        <w:jc w:val="both"/>
        <w:rPr>
          <w:rFonts w:ascii="Times New Roman" w:hAnsi="Times New Roman"/>
          <w:color w:val="0070C0"/>
          <w:sz w:val="16"/>
          <w:szCs w:val="16"/>
        </w:rPr>
      </w:pPr>
    </w:p>
    <w:p w14:paraId="3A5862A2" w14:textId="77777777" w:rsidR="005E4457" w:rsidRPr="00C33834" w:rsidRDefault="005E445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июне-июле 1933 г. У-2ВС проходил войсковые испытания в Борисоглебской школе. По их результатам сделали вывод о целесообразности использования самолета в качестве учебно-боевого. У-2ВС в 1935-36 годах выпускался относительно большой серией. Было построено 468 экземпляров. Приемка самолетов осуществлялась по требованиям, изложенным в авиационном стандарте 93 СТУ, разработанным Объединенным Бюро Стандартизации ГУАП.</w:t>
      </w:r>
    </w:p>
    <w:p w14:paraId="6BCCBE96" w14:textId="77777777" w:rsidR="005E4457" w:rsidRPr="00C33834" w:rsidRDefault="005E445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Стандарт определял основные геометрические размеры самолета У-2 М-11(воор) — У-2ВС.</w:t>
      </w:r>
    </w:p>
    <w:p w14:paraId="28B86340" w14:textId="77777777" w:rsidR="005E4457" w:rsidRPr="00C33834" w:rsidRDefault="005E445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Весовые характеристики: полетный вес — 1064,00 кг.</w:t>
      </w:r>
    </w:p>
    <w:p w14:paraId="44C45150" w14:textId="77777777" w:rsidR="005E4457" w:rsidRPr="00C33834" w:rsidRDefault="005E445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пустого самолета — 726,22 кг,</w:t>
      </w:r>
    </w:p>
    <w:p w14:paraId="3A703358" w14:textId="77777777" w:rsidR="005E4457" w:rsidRPr="00C33834" w:rsidRDefault="005E445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полной нагрузки — 237,76 кг.</w:t>
      </w:r>
    </w:p>
    <w:p w14:paraId="7D6E832B" w14:textId="77777777" w:rsidR="005E4457" w:rsidRPr="00C33834" w:rsidRDefault="005E445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Стрелковое вооружение предусматривало использование переднего огня в виде синхронного крыльевого пулемета ПВ-1 с запасом 200 патронов (ленточное питание) и заднего огня — шкворневой турели ТУР-7 под пулемет Дегтярева ДТ с запасом 252 патрона, размещенных в четырех сменных магазинах.</w:t>
      </w:r>
    </w:p>
    <w:p w14:paraId="13AAFE69" w14:textId="77777777" w:rsidR="005E4457" w:rsidRPr="00C33834" w:rsidRDefault="005E445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Бомбардировочное вооружение предусматривало подвеску шести бомб калибра 8 кг. Управление сбросом бомб механическое. Прицел для бомбометания — АП-2.</w:t>
      </w:r>
    </w:p>
    <w:p w14:paraId="21EECA4D" w14:textId="77777777" w:rsidR="005E4457" w:rsidRPr="00C33834" w:rsidRDefault="005E445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На приборной доске летчика размещались: указатель скорости, высотомер, указатели поворота и скольжения, навигационные приборы — компас и часы, приборы контроля работы мотора — тахометр, манометр давления масла, термометр масла. Для улучшения обзора задней полусферы было установлено зеркало, предусматривалось переговорное устройство для связи между членами экипажа.</w:t>
      </w:r>
    </w:p>
    <w:p w14:paraId="60D3C2BD" w14:textId="77777777" w:rsidR="005E4457" w:rsidRPr="00C33834" w:rsidRDefault="005E445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Приборное оборудование кабины наблюдателя включало: указатель скорости, высотомер, манометр и термометр масла, компас.</w:t>
      </w:r>
    </w:p>
    <w:p w14:paraId="36E2B38A" w14:textId="77777777" w:rsidR="005E4457" w:rsidRPr="00C33834" w:rsidRDefault="005E445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обеспечения посадки в ночных условиях под нижним крылом устанавливались два посадочных факела.</w:t>
      </w:r>
    </w:p>
    <w:p w14:paraId="320E77AC" w14:textId="77777777" w:rsidR="005E4457" w:rsidRPr="00C33834" w:rsidRDefault="005E445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Если вначале планировалось использовать У-2ВС преимущественно как легкий боевой самолет, то позднее он, в основном, стал применяться как учебно-тренировочный для обучения использованию стрелкового и бомбардировочного вооружения. В частности, об этом говорилось в отчете по специальным испытаниям У-2ВС в начале 1938 г. На самолете дополнительно устанавливалась фотоустановка ФТ-1 для обучения ведению фоторазведки (15142).</w:t>
      </w:r>
    </w:p>
    <w:p w14:paraId="7011C059" w14:textId="77777777" w:rsidR="005E4457" w:rsidRPr="00C33834" w:rsidRDefault="005E4457" w:rsidP="00C33834">
      <w:pPr>
        <w:spacing w:after="0" w:line="240" w:lineRule="auto"/>
        <w:jc w:val="both"/>
        <w:rPr>
          <w:rFonts w:ascii="Times New Roman" w:hAnsi="Times New Roman"/>
          <w:color w:val="000000" w:themeColor="text1"/>
          <w:sz w:val="16"/>
          <w:szCs w:val="16"/>
        </w:rPr>
      </w:pPr>
    </w:p>
    <w:p w14:paraId="12B17FC3"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июне-июле 1933 в Борисоглебской школе проходили войсковые испытания четырех вооруженных У-2 - серию делать не стали (217,23). Был ПВ по левому борту и ДА в задней кабине + 4 подкрыльных бомбодержателя и фотоаппарат (3523).</w:t>
      </w:r>
    </w:p>
    <w:p w14:paraId="3E7F093F"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2A929E13" w14:textId="77777777" w:rsidR="004050DA" w:rsidRPr="00C33834" w:rsidRDefault="004050DA" w:rsidP="00C33834">
      <w:pPr>
        <w:pStyle w:val="txt1"/>
        <w:shd w:val="clear" w:color="auto" w:fill="FFFFFF"/>
        <w:spacing w:before="0" w:beforeAutospacing="0" w:after="0" w:afterAutospacing="0" w:line="240" w:lineRule="auto"/>
        <w:ind w:firstLine="0"/>
        <w:rPr>
          <w:color w:val="000000" w:themeColor="text1"/>
          <w:sz w:val="16"/>
          <w:szCs w:val="16"/>
        </w:rPr>
      </w:pPr>
      <w:r w:rsidRPr="00C33834">
        <w:rPr>
          <w:color w:val="000000" w:themeColor="text1"/>
          <w:sz w:val="16"/>
          <w:szCs w:val="16"/>
        </w:rPr>
        <w:t xml:space="preserve">В июне—октябре 1933 года основоположник теоретической космонавтики К. Э. Циолковский активно участвовал в создании сценария и разработал «альбом космических путешествий» в виде эскизов для художников и подписей к рисункам для постановщиков фильма «Космический рейс», которые приезжали к нему в Калугу. Он же давал (до 1935 г.) консультации по плану полетов людей за атмосферу Земли и распространения по Солнечной системе, включая эпизоды полета и высадки на Луну. Следует отметить, что кабину ракетоплана «СССР-1» для фильма проектировал известный летчик — М. М. Громов, ставший в 1941 году начальником Летно-исследовательского института (ЛИИ). В силу столь глубокого проникновения в тему, именно в этом фильме были впервые наглядно имитированы такие спецэффекты как ракетный старт, невесомость и прогулка в скафандрах прыжками по Луне при пониженном до 1/6 от земного уровня тяготении. Вдохновленные новаторскими идеями К. Э. Циолковского и казавшейся тогда очень близкой перспективой завоевания космических высот, завершающейся высадкой человека на другое небесное тело (Луну) молодые инженеры </w:t>
      </w:r>
      <w:bookmarkStart w:id="29" w:name="YANDEX_3"/>
      <w:bookmarkEnd w:id="29"/>
      <w:r w:rsidRPr="00C33834">
        <w:rPr>
          <w:rStyle w:val="highlight"/>
          <w:color w:val="000000" w:themeColor="text1"/>
          <w:sz w:val="16"/>
          <w:szCs w:val="16"/>
        </w:rPr>
        <w:t> ЦАГИ </w:t>
      </w:r>
      <w:r w:rsidRPr="00C33834">
        <w:rPr>
          <w:color w:val="000000" w:themeColor="text1"/>
          <w:sz w:val="16"/>
          <w:szCs w:val="16"/>
        </w:rPr>
        <w:t xml:space="preserve">, только что закончившие московские институты, взялись за НИОКР по авиационным скафандрам. Именно с 1936 года высотные скафандры стали проектироваться в </w:t>
      </w:r>
      <w:bookmarkStart w:id="30" w:name="YANDEX_4"/>
      <w:bookmarkEnd w:id="30"/>
      <w:r w:rsidRPr="00C33834">
        <w:rPr>
          <w:rStyle w:val="highlight"/>
          <w:color w:val="000000" w:themeColor="text1"/>
          <w:sz w:val="16"/>
          <w:szCs w:val="16"/>
        </w:rPr>
        <w:t> ЦАГИ </w:t>
      </w:r>
      <w:r w:rsidRPr="00C33834">
        <w:rPr>
          <w:color w:val="000000" w:themeColor="text1"/>
          <w:sz w:val="16"/>
          <w:szCs w:val="16"/>
        </w:rPr>
        <w:t xml:space="preserve"> под руководством Александра Ивановича Бойко (конструкция оболочки скафандра), Андрея Ивановича Хромушкина (разработка системы жизнеобеспечения для скафандров) и Николая Григорьевича Усачева (испытания в барокамере и отработка комплекта оборудования для системы жизнеобеспечения и скафандра на борту самолета). Работы были поддержаны летно-испытательным отделом №8 и руководством </w:t>
      </w:r>
      <w:bookmarkStart w:id="31" w:name="YANDEX_5"/>
      <w:bookmarkEnd w:id="31"/>
      <w:r w:rsidRPr="00C33834">
        <w:rPr>
          <w:rStyle w:val="highlight"/>
          <w:color w:val="000000" w:themeColor="text1"/>
          <w:sz w:val="16"/>
          <w:szCs w:val="16"/>
        </w:rPr>
        <w:t> ЦАГИ </w:t>
      </w:r>
      <w:r w:rsidRPr="00C33834">
        <w:rPr>
          <w:color w:val="000000" w:themeColor="text1"/>
          <w:sz w:val="16"/>
          <w:szCs w:val="16"/>
        </w:rPr>
        <w:t xml:space="preserve">, прежде всего, в целях обеспечения рекордных по высоте полетов на самолетах, не имеющих герметических кабин. Испытания было решено проводить на базе термобарокамеры «ТБК-1» и создававшейся при ней высотной </w:t>
      </w:r>
      <w:bookmarkStart w:id="32" w:name="YANDEX_6"/>
      <w:bookmarkEnd w:id="32"/>
      <w:r w:rsidRPr="00C33834">
        <w:rPr>
          <w:rStyle w:val="highlight"/>
          <w:color w:val="000000" w:themeColor="text1"/>
          <w:sz w:val="16"/>
          <w:szCs w:val="16"/>
        </w:rPr>
        <w:t> лаборатории </w:t>
      </w:r>
      <w:r w:rsidRPr="00C33834">
        <w:rPr>
          <w:color w:val="000000" w:themeColor="text1"/>
          <w:sz w:val="16"/>
          <w:szCs w:val="16"/>
        </w:rPr>
        <w:t xml:space="preserve">. Тренировки летного состава с моделированием полета на высоте 14—15 км при отрицательных температурах до -60°С, специально, для подготовки к полетам в скафандрах широко развернулись после ввода в строй «ТБК-1» и завершения строительства корпуса высотной </w:t>
      </w:r>
      <w:bookmarkStart w:id="33" w:name="YANDEX_7"/>
      <w:bookmarkEnd w:id="33"/>
      <w:r w:rsidRPr="00C33834">
        <w:rPr>
          <w:rStyle w:val="highlight"/>
          <w:color w:val="000000" w:themeColor="text1"/>
          <w:sz w:val="16"/>
          <w:szCs w:val="16"/>
        </w:rPr>
        <w:t> лаборатории </w:t>
      </w:r>
      <w:r w:rsidRPr="00C33834">
        <w:rPr>
          <w:color w:val="000000" w:themeColor="text1"/>
          <w:sz w:val="16"/>
          <w:szCs w:val="16"/>
        </w:rPr>
        <w:t xml:space="preserve"> в 1939 г. В итоге, </w:t>
      </w:r>
      <w:bookmarkStart w:id="34" w:name="YANDEX_8"/>
      <w:bookmarkEnd w:id="34"/>
      <w:r w:rsidRPr="00C33834">
        <w:rPr>
          <w:rStyle w:val="highlight"/>
          <w:color w:val="000000" w:themeColor="text1"/>
          <w:sz w:val="16"/>
          <w:szCs w:val="16"/>
        </w:rPr>
        <w:t> ЦАГИ </w:t>
      </w:r>
      <w:r w:rsidRPr="00C33834">
        <w:rPr>
          <w:color w:val="000000" w:themeColor="text1"/>
          <w:sz w:val="16"/>
          <w:szCs w:val="16"/>
        </w:rPr>
        <w:t xml:space="preserve"> стал головным научным авиационным институтом, который накануне 2-ой мировой войны вел исследования по теме создания боевых скафандров для военной авиации. Кроме того, </w:t>
      </w:r>
      <w:bookmarkStart w:id="35" w:name="YANDEX_9"/>
      <w:bookmarkEnd w:id="35"/>
      <w:r w:rsidRPr="00C33834">
        <w:rPr>
          <w:rStyle w:val="highlight"/>
          <w:color w:val="000000" w:themeColor="text1"/>
          <w:sz w:val="16"/>
          <w:szCs w:val="16"/>
        </w:rPr>
        <w:t> ЦАГИ </w:t>
      </w:r>
      <w:r w:rsidRPr="00C33834">
        <w:rPr>
          <w:color w:val="000000" w:themeColor="text1"/>
          <w:sz w:val="16"/>
          <w:szCs w:val="16"/>
        </w:rPr>
        <w:t xml:space="preserve"> в 1938-1940 годы провел летные испытания скафандров «</w:t>
      </w:r>
      <w:bookmarkStart w:id="36" w:name="YANDEX_10"/>
      <w:bookmarkEnd w:id="36"/>
      <w:r w:rsidRPr="00C33834">
        <w:rPr>
          <w:rStyle w:val="highlight"/>
          <w:color w:val="000000" w:themeColor="text1"/>
          <w:sz w:val="16"/>
          <w:szCs w:val="16"/>
        </w:rPr>
        <w:t> ЦАГИ </w:t>
      </w:r>
      <w:r w:rsidRPr="00C33834">
        <w:rPr>
          <w:color w:val="000000" w:themeColor="text1"/>
          <w:sz w:val="16"/>
          <w:szCs w:val="16"/>
        </w:rPr>
        <w:t>-4», «</w:t>
      </w:r>
      <w:bookmarkStart w:id="37" w:name="YANDEX_11"/>
      <w:bookmarkEnd w:id="37"/>
      <w:r w:rsidRPr="00C33834">
        <w:rPr>
          <w:rStyle w:val="highlight"/>
          <w:color w:val="000000" w:themeColor="text1"/>
          <w:sz w:val="16"/>
          <w:szCs w:val="16"/>
        </w:rPr>
        <w:t> ЦАГИ </w:t>
      </w:r>
      <w:r w:rsidRPr="00C33834">
        <w:rPr>
          <w:color w:val="000000" w:themeColor="text1"/>
          <w:sz w:val="16"/>
          <w:szCs w:val="16"/>
        </w:rPr>
        <w:t>-5» и «</w:t>
      </w:r>
      <w:bookmarkStart w:id="38" w:name="YANDEX_12"/>
      <w:bookmarkEnd w:id="38"/>
      <w:r w:rsidRPr="00C33834">
        <w:rPr>
          <w:rStyle w:val="highlight"/>
          <w:color w:val="000000" w:themeColor="text1"/>
          <w:sz w:val="16"/>
          <w:szCs w:val="16"/>
        </w:rPr>
        <w:t> ЦАГИ </w:t>
      </w:r>
      <w:r w:rsidRPr="00C33834">
        <w:rPr>
          <w:color w:val="000000" w:themeColor="text1"/>
          <w:sz w:val="16"/>
          <w:szCs w:val="16"/>
        </w:rPr>
        <w:t>-8» на бомбардировщиках (СБ-</w:t>
      </w:r>
      <w:bookmarkStart w:id="39" w:name="YANDEX_13"/>
      <w:bookmarkEnd w:id="39"/>
      <w:r w:rsidRPr="00C33834">
        <w:rPr>
          <w:rStyle w:val="highlight"/>
          <w:color w:val="000000" w:themeColor="text1"/>
          <w:sz w:val="16"/>
          <w:szCs w:val="16"/>
        </w:rPr>
        <w:t> 3 </w:t>
      </w:r>
      <w:r w:rsidRPr="00C33834">
        <w:rPr>
          <w:color w:val="000000" w:themeColor="text1"/>
          <w:sz w:val="16"/>
          <w:szCs w:val="16"/>
        </w:rPr>
        <w:t xml:space="preserve">, ТБ-3), самолете разведчике Р-5 и истребителе И-153. В предвоенный период основной вклад в создание кислородного оборудования для скафандров внесли специалисты высотной </w:t>
      </w:r>
      <w:bookmarkStart w:id="40" w:name="YANDEX_14"/>
      <w:bookmarkEnd w:id="40"/>
      <w:r w:rsidRPr="00C33834">
        <w:rPr>
          <w:rStyle w:val="highlight"/>
          <w:color w:val="000000" w:themeColor="text1"/>
          <w:sz w:val="16"/>
          <w:szCs w:val="16"/>
        </w:rPr>
        <w:t> лаборатории </w:t>
      </w:r>
      <w:r w:rsidRPr="00C33834">
        <w:rPr>
          <w:color w:val="000000" w:themeColor="text1"/>
          <w:sz w:val="16"/>
          <w:szCs w:val="16"/>
        </w:rPr>
        <w:t xml:space="preserve"> Н. Г. Усачев, А. И. Хромушкин; а в исследование вариантов гермокабин и систем кондиционирования к ним выполнили М. С. Егоров, А. М. Гершкович, Н. Г. Усачев. Однако, в начале войны «ТБК-1» была эвакуирована вместе с инженерно-техническим составом в Новосибирск, но уже на следующий год «ТБК-1» была возвращена и восстановлена в высотной лаборатории. Всю войну в ней проводили только технические испытания оборудования, связанные с текущими нуждами фронта. Сложные и ответственные физиолого-гигиенические испытания скафандров следующего поколения, а также тренировки в барокамере «ТБК-1» летчиков и парашютистов по работе в скафандрах на высотах 15—20 км были продолжены тем же коллективом лишь после окончания Второй мировой войны, но уже в ЛИИ им. М. М. Громова (в г. Жуковском). В 1946 году для разработки и испытаний скафандров в ЛИИ была воссоздана высотная лаборатория. </w:t>
      </w:r>
    </w:p>
    <w:p w14:paraId="55C71B83" w14:textId="77777777" w:rsidR="004050DA" w:rsidRPr="00C33834" w:rsidRDefault="004050DA" w:rsidP="00C33834">
      <w:pPr>
        <w:pStyle w:val="txt1"/>
        <w:shd w:val="clear" w:color="auto" w:fill="FFFFFF"/>
        <w:spacing w:before="0" w:beforeAutospacing="0" w:after="0" w:afterAutospacing="0" w:line="240" w:lineRule="auto"/>
        <w:ind w:firstLine="0"/>
        <w:rPr>
          <w:color w:val="000000" w:themeColor="text1"/>
          <w:sz w:val="16"/>
          <w:szCs w:val="16"/>
        </w:rPr>
      </w:pPr>
      <w:r w:rsidRPr="00C33834">
        <w:rPr>
          <w:color w:val="000000" w:themeColor="text1"/>
          <w:sz w:val="16"/>
          <w:szCs w:val="16"/>
        </w:rPr>
        <w:t xml:space="preserve">За 6 лет работы коллективом высотной лаборатории ЛИИ были созданы четыре высотных спасательных скафандра типа «ВСС ЛИИ-1-4» для стратегической и истребительной авиации (Ту-4 и МиГ-15). Однако в процессе летных испытаний летчиками ЛИИ были выявлены определенные проблемы: потребность в создании дополнительной переносной вентиляционной установки кондиционирования, необходимость переделки рабочего места в кабине под сильно ограниченную скафандром психомоторную зону операторской деятельности; 3) запотевание остекления шлема при низких температурах с использованием специальной смазки, либо внедрением электрообогрева иллюминатора. В результате скафандры не пошли в серийное производство, а изготавливались опытно-конструкторским производством ЛИИ малыми партиями в 10—50 штук для летчиков и парашютистов. Работа по серийному изготовлению авиационных скафандров типа «ВСС-04», «ВСС-04А», «ВСС-04М» и «Воркута» была продолжена А. И Бойко в 1953 году на организованном в октябре 1952 года номерном заводе № 918 МАП СССР (с 1994 г. — открытое акционерное общество научно-производственное предприятие «НПП Звезда»). Из ЛИИ на это предприятие были переведены С. М. Алексеев (первый главный конструктор «Звезды»), А. М. Гершкович (ведущий конструктор «Звезды»), А. С. Повицкий (заместитель главного конструктора «Звезды») и др. Хромушкин и Усачев остались работать над конструкцией герметических кабин и систем кондиционирования воздуха в высотной </w:t>
      </w:r>
      <w:bookmarkStart w:id="41" w:name="YANDEX_15"/>
      <w:bookmarkEnd w:id="41"/>
      <w:r w:rsidRPr="00C33834">
        <w:rPr>
          <w:rStyle w:val="highlight"/>
          <w:color w:val="000000" w:themeColor="text1"/>
          <w:sz w:val="16"/>
          <w:szCs w:val="16"/>
        </w:rPr>
        <w:t> лаборатории </w:t>
      </w:r>
      <w:r w:rsidRPr="00C33834">
        <w:rPr>
          <w:color w:val="000000" w:themeColor="text1"/>
          <w:sz w:val="16"/>
          <w:szCs w:val="16"/>
        </w:rPr>
        <w:t xml:space="preserve"> ЛИИ под руководством лауреата государственной премии, к. т. н. — М. С. Егорова. Они периодически привлекались к проведению летных испытаний скафандров на базе ЛИИ и других институтов. Например, А. И. Хромушкин в 1962 году обеспечил научно-техническую отработку комплектов защитного снаряжения из высотно-компенсирующего костюма (ВКК), скафандра и бортовой системы СОЖ, предназначавшихся для прыжков с высоты 25485 м из стратостата с герметической кабиной в виде капсулы корабля «Восток». В экипаж стратостата «Волга» входили два парашютиста-испытателя — майор Е. Н. Андреев (катапультировался из кабины в ВКК-</w:t>
      </w:r>
      <w:bookmarkStart w:id="42" w:name="YANDEX_16"/>
      <w:bookmarkEnd w:id="42"/>
      <w:r w:rsidRPr="00C33834">
        <w:rPr>
          <w:rStyle w:val="highlight"/>
          <w:color w:val="000000" w:themeColor="text1"/>
          <w:sz w:val="16"/>
          <w:szCs w:val="16"/>
        </w:rPr>
        <w:t> 3 </w:t>
      </w:r>
      <w:r w:rsidRPr="00C33834">
        <w:rPr>
          <w:color w:val="000000" w:themeColor="text1"/>
          <w:sz w:val="16"/>
          <w:szCs w:val="16"/>
        </w:rPr>
        <w:t xml:space="preserve"> с последующим затяжным прыжком на парашюте) и полковник П. И. Долгов (спустился на Землю после автоматического раскрытия парашюта в момент выхода из кабины стратостата, но погиб от острой гипоксии из-за разгерметизации гермошлема скафандра (12721). </w:t>
      </w:r>
    </w:p>
    <w:p w14:paraId="52775DE9" w14:textId="77777777" w:rsidR="004050DA" w:rsidRPr="00C33834" w:rsidRDefault="004050DA" w:rsidP="00C33834">
      <w:pPr>
        <w:pStyle w:val="txt1"/>
        <w:shd w:val="clear" w:color="auto" w:fill="FFFFFF"/>
        <w:spacing w:before="0" w:beforeAutospacing="0" w:after="0" w:afterAutospacing="0" w:line="240" w:lineRule="auto"/>
        <w:ind w:firstLine="0"/>
        <w:rPr>
          <w:color w:val="000000" w:themeColor="text1"/>
          <w:sz w:val="16"/>
          <w:szCs w:val="16"/>
        </w:rPr>
      </w:pPr>
    </w:p>
    <w:p w14:paraId="485A8E02" w14:textId="77777777" w:rsidR="00EA7008"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506BED0" w14:textId="77777777" w:rsidR="00EA7008" w:rsidRPr="00C33834" w:rsidRDefault="00EA700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ED31477"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июне-июле 1933 г. проходила доводка собран</w:t>
      </w:r>
      <w:r w:rsidRPr="00C33834">
        <w:rPr>
          <w:rFonts w:ascii="Times New Roman" w:hAnsi="Times New Roman"/>
          <w:color w:val="000000" w:themeColor="text1"/>
          <w:sz w:val="16"/>
          <w:szCs w:val="16"/>
        </w:rPr>
        <w:softHyphen/>
        <w:t>ных машин в движении по окрестностям Ижевска с устранениями отказов и доработками на территории ИжМЗе [4.67] (11429).</w:t>
      </w:r>
    </w:p>
    <w:p w14:paraId="02C51072"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149897" w14:textId="77777777" w:rsidR="00EA7008"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A2EB504" w14:textId="77777777" w:rsidR="00EA7008" w:rsidRPr="00C33834" w:rsidRDefault="00EA700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CE35B54"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лета 1933 г. С.В.Ильюшин начинает работать над проектом собственного самолета - дальнего скоростного бомбардировщика ЦКБ-26. В соответствии со спецификой ЦКБ, ориентированной на создание «легких боевых самолетов», новая машина разрабатывалась под шифром «ближний бомбардировщик» - ББ-2. С расширением фронта работ по ЦКБ-26 численность сотрудников ЦКБ, занятых этой темой, постепенно увеличивалась. После перевода В.А.Чижевского в Смоленск специалисты, работавшие над самолетом ЦКБ-26, были объединены в бригаде № 3, которой стал руководить лично С.В.Ильюшин. Понимая, что уровень качества разработки нового самолета во многом будет определяться кадровым составом конструкторского коллектива, С.В.Ильюшин очень внимательно относился к отбору специалистов для работы в этом подразделении. Он лично знакомился с каждым новым сотрудником, расспрашивал о прежней работе, старался оценить уровень его технической подготовки и знаний. При этом С.В.Ильюшин делал ставку на сочетание опытных инженеров и молодых специалистов. Его заместителем по бригаде являлся опытный инженер В.В.Калинин, еще до революции окончивший Петроградский технологический институт имени Петра Великого. Ведущими специалистами в бригаде являлись однокашники С.В.Ильюшина по академии имени Н.Е.Жуковского - А.А.Сеньков и Б.Ф.Ляпин, ранее работавший в качестве ведущего инженера при постройке гондолы стратостата «СССР» (9528).</w:t>
      </w:r>
    </w:p>
    <w:p w14:paraId="69338F89"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7A167BDE"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1933 года на госиспытаниях в НИИ ВВС курсовой автопилот для Р-5 показал в общем удовлетворительную работу. Зимние испытания в бригаде НИИ ВВС выявили, что этот автопилот замерзает и что в нем имеется целый ряд дефектов, кои требуют дальнейшей проверки на двух-трех автопилотах этой же конструкции. Однако, такую проверку осуществить не удалось, вследствие непонятного отказа управляющего ВОТИ Немова выдать ВВС еще два таких же автопилота построенных на средства НИИ ВВС и на средства ассигнованные СТО постановлением от 27 апреля 1933 года (4039,144).</w:t>
      </w:r>
    </w:p>
    <w:p w14:paraId="4B9AF294"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1258E638"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лета 1933 на Р-5 начали внедрять отдельные новшества. С 18-й серии под крылом смонтировали держатели для так называемых ракет Хольца с автоматическим сбросом догоревших ракет (если маломощные фары не помогали, их можно было использовать для освещения, например, посадочной площадки). Чуть позже изменили короба для дисков пулеметов ДА, ввели усовершенствованный кольцевой прицел, переделали привод синхронизатора. Тормоза появились только с конца осени. Из-за нехватки колес до марта следующего года с завода периодически отправляли Р-5 с новыми осями, но колесами старого образца.</w:t>
      </w:r>
    </w:p>
    <w:p w14:paraId="7784ACA3"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воинских частях к первым самолетам с тормозными колесами отнеслись неодобрительно. Тормоза работали ненадежно. Вскоре начали ломаться оси. Оказалось, что на заводе их делали второпях, оставляли заусенцы, забывали снимать фаски. Установка тормозов увеличила нагрузку на амортизаторы, с мая 1934 г. из строевых частей посыпались жалобы на быстрый износ внутренней трубы, скользившей в наружной.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выпущенной в октябре 1934 г.</w:t>
      </w:r>
    </w:p>
    <w:p w14:paraId="37DFCF31"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1932-34 гг. попробовали два варианта крыла с предкрылками и закрылками. Механизация позволила снизить посадочную скорость и улучшить поведение самолета на малых скоростях, но скороподъемность и максимальная скорость уменьшились. В серию такое крыло не внедрили.</w:t>
      </w:r>
    </w:p>
    <w:p w14:paraId="201C6CE2"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в 1933 г. выпустили 1572 машины. На 1934 г. УВВС планировало дальнейшее совершенствование Р-5. Ставились задачи увеличить скорость на 15 км/ч, снизить массу не менее чем на 200 кг за счет внедрения магниевого сплава "электрон", ввести масляно-пневматическую амортизацию шасси, а со второго полугодия - модернизировать вооружение. Скорость при неизменной мотоустановке можно было поднять за счет улучшения аэродинамики. Конструкторы решили ввести зализы у стоек, крыла и оперения. С уменьшением веса было хуже - "электрон" в СССР не производился. За счет облегчения отдельных узлов и применения легированной стали можно было "выжать" 80-85 кг.</w:t>
      </w:r>
    </w:p>
    <w:p w14:paraId="7D89EB05"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Замену вооружения планировали на второе полугодие. В задней кабине собирались поставить новую турель Тур-Ток (Тур-8) с пулеметом LUKAC обр. 1933 г., известным как "ШКАС с бородой" (подствольным коробом для ленты). Позже от "бороды" отказались. ШКАС обр. 1934 г. питался из ящика турели, в котором находилось 750 патронов, затем 1000. Наружные балки бомбодержателей требовали заменить на встроенные Д-1 (Дер-31). Их электропиротехнические замки срабатывали по команде электросбрасывателя СР (11936).</w:t>
      </w:r>
    </w:p>
    <w:p w14:paraId="2F0A259D"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3351C92F"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 лета 1933 на Р-5 начали внедрять отдельные изменения. С 18-й серии под крылом смонтировали ракетодержатели с автоматическим сбросом догоревших ракет. Чуть позже изменили короба для дисков пулеметов ДА, ввели усовершенствованный кольцевой прицел, переделали привод синхронизатора переднего пулемета. Тормоза появились с конца осени, но из-за нехватки колес до марта следующего года с завода периодически отправляли Р-5 с новыми осями, но с колесами старого образца. </w:t>
      </w:r>
    </w:p>
    <w:p w14:paraId="639FDF0C"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Более того, из-за нехватки отечественных колес в августе-сентябре 1933 г. пришлось выпустить партию самолетов с импортными колесами "Палмер", правда, при этом завод письменно обязался заменить их при первой возможности.</w:t>
      </w:r>
    </w:p>
    <w:p w14:paraId="073CBA70"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Надо сказать, что в воинских частях к первым сериям самолетов с тормозными колесами отнеслись неодобрительно. Тормоза работали ненадежно. Вскоре начали ломаться оси. Оказалось, что на заводе их делают второпях, оставляют заусенцы, забывают снимать фаски. Смазки вообше не оказалось. Присланные самолеты перед эксплуатацией приходилось разбирать и проверять.</w:t>
      </w:r>
    </w:p>
    <w:p w14:paraId="3FC8FD74"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тормозов увеличила нагрузку на амортизаторы, с мая 1934 г. из строевых частей посыпались жалобы на быстрый износ внутренней трубы, скользившей в наружной.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выпушенной в октябре 1934 г. (12034).</w:t>
      </w:r>
    </w:p>
    <w:p w14:paraId="1CB02FC6"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2E25703C" w14:textId="77777777" w:rsidR="00681942" w:rsidRPr="00C33834" w:rsidRDefault="00681942" w:rsidP="00C33834">
      <w:pPr>
        <w:pStyle w:val="27"/>
        <w:shd w:val="clear" w:color="auto" w:fill="auto"/>
        <w:spacing w:after="0" w:line="240" w:lineRule="auto"/>
        <w:ind w:firstLine="0"/>
        <w:rPr>
          <w:rFonts w:ascii="Times New Roman" w:cs="Times New Roman"/>
          <w:color w:val="000000" w:themeColor="text1"/>
          <w:spacing w:val="0"/>
        </w:rPr>
      </w:pPr>
      <w:r w:rsidRPr="00C33834">
        <w:rPr>
          <w:rFonts w:ascii="Times New Roman" w:cs="Times New Roman"/>
          <w:color w:val="000000" w:themeColor="text1"/>
          <w:spacing w:val="0"/>
        </w:rPr>
        <w:t>Летом 1933 г. началась по</w:t>
      </w:r>
      <w:r w:rsidRPr="00C33834">
        <w:rPr>
          <w:rFonts w:ascii="Times New Roman" w:cs="Times New Roman"/>
          <w:color w:val="000000" w:themeColor="text1"/>
          <w:spacing w:val="0"/>
        </w:rPr>
        <w:softHyphen/>
        <w:t>стройка самолета ЦКБ-3 и шла без особых затруднений. По сути, техно</w:t>
      </w:r>
      <w:r w:rsidRPr="00C33834">
        <w:rPr>
          <w:rFonts w:ascii="Times New Roman" w:cs="Times New Roman"/>
          <w:color w:val="000000" w:themeColor="text1"/>
          <w:spacing w:val="0"/>
        </w:rPr>
        <w:softHyphen/>
        <w:t>логия ЦКБ-3 во многом напоминала методы, используемые при изготовлении истребителя И-5. Такие же деревянные крылья с полотняной обшивкой, дюралевое оперение и ферменный стальной каркас фюзеляжа. Новыми явились тормозные коле</w:t>
      </w:r>
      <w:r w:rsidRPr="00C33834">
        <w:rPr>
          <w:rFonts w:ascii="Times New Roman" w:cs="Times New Roman"/>
          <w:color w:val="000000" w:themeColor="text1"/>
          <w:spacing w:val="0"/>
        </w:rPr>
        <w:softHyphen/>
        <w:t>са, масляно-пневматическая амортизация, металлический винт, крепление обшивки (19107).</w:t>
      </w:r>
    </w:p>
    <w:p w14:paraId="6D4F7533" w14:textId="77777777" w:rsidR="00681942" w:rsidRPr="00C33834" w:rsidRDefault="00681942" w:rsidP="00C33834">
      <w:pPr>
        <w:pStyle w:val="27"/>
        <w:shd w:val="clear" w:color="auto" w:fill="auto"/>
        <w:spacing w:after="0" w:line="240" w:lineRule="auto"/>
        <w:ind w:firstLine="0"/>
        <w:rPr>
          <w:rFonts w:ascii="Times New Roman" w:cs="Times New Roman"/>
          <w:color w:val="000000" w:themeColor="text1"/>
          <w:spacing w:val="0"/>
        </w:rPr>
      </w:pPr>
    </w:p>
    <w:p w14:paraId="1C5029B4"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1933 г. И-5 шли в массовой серии на заводе №21. По качеству исполнения они оценивались ниже, потяжелели на 12% по сравнению с московскими машинами, лет</w:t>
      </w:r>
      <w:r w:rsidRPr="00C33834">
        <w:rPr>
          <w:rFonts w:ascii="Times New Roman" w:hAnsi="Times New Roman"/>
          <w:color w:val="000000" w:themeColor="text1"/>
          <w:sz w:val="16"/>
          <w:szCs w:val="16"/>
        </w:rPr>
        <w:softHyphen/>
        <w:t>ные качества снизились. После того как На</w:t>
      </w:r>
      <w:r w:rsidRPr="00C33834">
        <w:rPr>
          <w:rFonts w:ascii="Times New Roman" w:hAnsi="Times New Roman"/>
          <w:color w:val="000000" w:themeColor="text1"/>
          <w:sz w:val="16"/>
          <w:szCs w:val="16"/>
        </w:rPr>
        <w:softHyphen/>
        <w:t>чальник ВВС Алкснис потребовал улучшить боевые качества самолета, на И-5 задумали внедрить отдельные конструктивные реше</w:t>
      </w:r>
      <w:r w:rsidRPr="00C33834">
        <w:rPr>
          <w:rFonts w:ascii="Times New Roman" w:hAnsi="Times New Roman"/>
          <w:color w:val="000000" w:themeColor="text1"/>
          <w:sz w:val="16"/>
          <w:szCs w:val="16"/>
        </w:rPr>
        <w:softHyphen/>
        <w:t>ния, использованные в строящемся опытном истребителе ЦКБ-3 (И-15). Предлагалось применить длинный кок-обтекатель за го</w:t>
      </w:r>
      <w:r w:rsidRPr="00C33834">
        <w:rPr>
          <w:rFonts w:ascii="Times New Roman" w:hAnsi="Times New Roman"/>
          <w:color w:val="000000" w:themeColor="text1"/>
          <w:sz w:val="16"/>
          <w:szCs w:val="16"/>
        </w:rPr>
        <w:softHyphen/>
        <w:t>ловой пилота, улучшить обводы фюзеляжа и установить зализы в районе сочленения ни</w:t>
      </w:r>
      <w:r w:rsidRPr="00C33834">
        <w:rPr>
          <w:rFonts w:ascii="Times New Roman" w:hAnsi="Times New Roman"/>
          <w:color w:val="000000" w:themeColor="text1"/>
          <w:sz w:val="16"/>
          <w:szCs w:val="16"/>
        </w:rPr>
        <w:softHyphen/>
        <w:t>жнего крыла с фюзеляжем, желоба пулеметов заменить трубами, установить передвижной козырек, И-образные межкрыльевые стой</w:t>
      </w:r>
      <w:r w:rsidRPr="00C33834">
        <w:rPr>
          <w:rFonts w:ascii="Times New Roman" w:hAnsi="Times New Roman"/>
          <w:color w:val="000000" w:themeColor="text1"/>
          <w:sz w:val="16"/>
          <w:szCs w:val="16"/>
        </w:rPr>
        <w:softHyphen/>
        <w:t>ки заменить одной широкой стойкой, в кон</w:t>
      </w:r>
      <w:r w:rsidRPr="00C33834">
        <w:rPr>
          <w:rFonts w:ascii="Times New Roman" w:hAnsi="Times New Roman"/>
          <w:color w:val="000000" w:themeColor="text1"/>
          <w:sz w:val="16"/>
          <w:szCs w:val="16"/>
        </w:rPr>
        <w:softHyphen/>
        <w:t>струкции использовать сплав электрон.</w:t>
      </w:r>
    </w:p>
    <w:p w14:paraId="4A5CA1C0"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Впрочем, все эти хорошие предложения реализованы не были (12295).</w:t>
      </w:r>
    </w:p>
    <w:p w14:paraId="5EB627E7" w14:textId="77777777" w:rsidR="0058354C" w:rsidRPr="00C33834" w:rsidRDefault="0058354C" w:rsidP="00C33834">
      <w:pPr>
        <w:spacing w:after="0" w:line="240" w:lineRule="auto"/>
        <w:jc w:val="both"/>
        <w:rPr>
          <w:rFonts w:ascii="Times New Roman" w:hAnsi="Times New Roman"/>
          <w:color w:val="000000" w:themeColor="text1"/>
          <w:sz w:val="16"/>
          <w:szCs w:val="16"/>
        </w:rPr>
      </w:pPr>
    </w:p>
    <w:p w14:paraId="0D25AB01"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лето 1933 года были сделаны все приспособления для установки на крыльях ТБ-3 трех самолетов И-5 и подвески двух самолетов "ЗЕТ" под крыльями того же ТБ-3. Однако при испытаниях этих установок и подвесок, проведенными НИИ ВВС 19 октября 1933 года, при полетах с подкрыльными самолетами "ЗЕТ" один из них не отцепился, несмотря на все принятые меры и при посадке ТБ-3 с этим подкрыльным самолетом последний был разбит, а сидевший в нем летчик (один из лучших командиров истребительных отрядов Коротков) убит (7439, 206-207).</w:t>
      </w:r>
    </w:p>
    <w:p w14:paraId="791DEFEB"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0C8A112C"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1933 г. И-5 шел в массовой серии на заводе №21. Самолеты были более грубо вы</w:t>
      </w:r>
      <w:r w:rsidRPr="00C33834">
        <w:rPr>
          <w:rFonts w:ascii="Times New Roman" w:hAnsi="Times New Roman"/>
          <w:color w:val="000000" w:themeColor="text1"/>
          <w:sz w:val="16"/>
          <w:szCs w:val="16"/>
        </w:rPr>
        <w:softHyphen/>
        <w:t>полнены, оценивались тяжелее на 12%, лет</w:t>
      </w:r>
      <w:r w:rsidRPr="00C33834">
        <w:rPr>
          <w:rFonts w:ascii="Times New Roman" w:hAnsi="Times New Roman"/>
          <w:color w:val="000000" w:themeColor="text1"/>
          <w:sz w:val="16"/>
          <w:szCs w:val="16"/>
        </w:rPr>
        <w:softHyphen/>
        <w:t>ные качества машины снизились. Начальник ВВС Алкснис потребовал резко улучшить бое- не качества самолета. Поэтому на И-5 заду</w:t>
      </w:r>
      <w:r w:rsidRPr="00C33834">
        <w:rPr>
          <w:rFonts w:ascii="Times New Roman" w:hAnsi="Times New Roman"/>
          <w:color w:val="000000" w:themeColor="text1"/>
          <w:sz w:val="16"/>
          <w:szCs w:val="16"/>
        </w:rPr>
        <w:softHyphen/>
        <w:t>вали внедрить отдельные конструктивные решения, использованные в строящемся опытном истребителе ЦКБ-3 (И-15). Пред</w:t>
      </w:r>
      <w:r w:rsidRPr="00C33834">
        <w:rPr>
          <w:rFonts w:ascii="Times New Roman" w:hAnsi="Times New Roman"/>
          <w:color w:val="000000" w:themeColor="text1"/>
          <w:sz w:val="16"/>
          <w:szCs w:val="16"/>
        </w:rPr>
        <w:softHyphen/>
        <w:t>лагалось применить длинный кок-обтекатель за головой пилота, улучшить обводы фюзеля</w:t>
      </w:r>
      <w:r w:rsidRPr="00C33834">
        <w:rPr>
          <w:rFonts w:ascii="Times New Roman" w:hAnsi="Times New Roman"/>
          <w:color w:val="000000" w:themeColor="text1"/>
          <w:sz w:val="16"/>
          <w:szCs w:val="16"/>
        </w:rPr>
        <w:softHyphen/>
        <w:t>жа и установить зализы в районе сочленения нижнего крыла с фюзеляжем, желоба пулеметов заменить трубами, установить пере</w:t>
      </w:r>
      <w:r w:rsidRPr="00C33834">
        <w:rPr>
          <w:rFonts w:ascii="Times New Roman" w:hAnsi="Times New Roman"/>
          <w:color w:val="000000" w:themeColor="text1"/>
          <w:sz w:val="16"/>
          <w:szCs w:val="16"/>
        </w:rPr>
        <w:softHyphen/>
        <w:t>движной козырек, И - образные межкрыльевые стойки заменить одной широкой стойкой, в конструкции использовать сплав элек</w:t>
      </w:r>
      <w:r w:rsidRPr="00C33834">
        <w:rPr>
          <w:rFonts w:ascii="Times New Roman" w:hAnsi="Times New Roman"/>
          <w:color w:val="000000" w:themeColor="text1"/>
          <w:sz w:val="16"/>
          <w:szCs w:val="16"/>
        </w:rPr>
        <w:softHyphen/>
        <w:t>трон. Впрочем, все эти хорошие предложения реализованы не были (11974).</w:t>
      </w:r>
    </w:p>
    <w:p w14:paraId="27C16FC5"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42E9A78A" w14:textId="77777777" w:rsidR="00B849DC" w:rsidRPr="00C33834" w:rsidRDefault="00B849DC"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Летом 1933 г. известный полярный летчик М.С. Бабушкин заинтересовался возможностью эксплуатации АИР-6 в Арктике. Возможно, именно с его подачи в план заводу № 47 на 1934 г. вписали 14 машин для Управления воздушной службы ГУСМП. Чем они должны были отличаться от прочих - достоверно неизвестно. Указывают, что предусматривалось утепление маслобака, масло- и бензопроводов, подводящих топливо-воздушную смесь патрубков двигателя, подогрев выхлопными газами впускного патрубка карбюратора. Для утепления использовались сукно, ватин, листовой и шнуровой асбест. Самолеты комплектовались всеми тремя вариантами шасси - колесами, лыжами и поплавками.</w:t>
      </w:r>
    </w:p>
    <w:p w14:paraId="18CD4435" w14:textId="77777777" w:rsidR="00B849DC" w:rsidRPr="00C33834" w:rsidRDefault="00B849DC"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Реально Управлению воздушной службы ГУСМП завод № 47 сдал три машины: третью серийную (в октябре 1934 г.), восьмую (в ноябре) и тринадцатую (в декабре). Сборку первой из них завершили 2 октября 1934 г. Никаких изменений по сравнению с остальной серией в нее не вносили. Предполагалось, что этот АИР-6 перегонят в Москву, где переставят с колес на поплавки и переоборудуют для эксплуатации в Арктике (19099).</w:t>
      </w:r>
    </w:p>
    <w:p w14:paraId="15BE6E63" w14:textId="77777777" w:rsidR="00B849DC" w:rsidRPr="00C33834" w:rsidRDefault="00B849DC" w:rsidP="00C33834">
      <w:pPr>
        <w:pStyle w:val="a8"/>
        <w:jc w:val="both"/>
        <w:rPr>
          <w:rFonts w:ascii="Times New Roman" w:hAnsi="Times New Roman" w:cs="Times New Roman"/>
          <w:color w:val="000000" w:themeColor="text1"/>
        </w:rPr>
      </w:pPr>
    </w:p>
    <w:p w14:paraId="459D8A3B" w14:textId="77777777" w:rsidR="00B849DC" w:rsidRPr="00C33834" w:rsidRDefault="00B849DC"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Летом 1933 г опытный образец АИР-6 переставили с колес на поплавки. Этот вариант получил собственное обозначение - АИР-6А. Поплавковое шасси спроектировал В.Б. Шавров. За основу он взял поплавки, созданные им же для самолета АИР-2, но увеличил их размеры и водоизмещение.</w:t>
      </w:r>
    </w:p>
    <w:p w14:paraId="47CCD119" w14:textId="77777777" w:rsidR="00B849DC" w:rsidRPr="00C33834" w:rsidRDefault="00B849DC"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Самолет устанавливался на два поплавка, связывавшихся между собой и с фюзеляжем машины системой труб. Сами поплавки полностью изготавливались из дерева. Каркас выполнялся из сосны и ясеня, он обшивался фанерой, которая обклеивалась полотном на аэролаке. Каждый поплавок разбивался перегородками на пять водонепроницаемых отсеков. Поплавковое шасси в целом весило 120 кг, на 85 кг тяжелее варианта с колесами.</w:t>
      </w:r>
    </w:p>
    <w:p w14:paraId="177E99DB" w14:textId="77777777" w:rsidR="00B849DC" w:rsidRPr="00C33834" w:rsidRDefault="00B849DC"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Первый полет на АИР-6А совершили 20 июня 1933 г. Машину пилотировал Ю.И. Пионтковский, на месте пассажира сидел А.С. Яковлев. Во второй полет взяли корреспондента газеты «Известия». А 24 июня гидроплан участвовал в спортивном празднике общества «Динамо», проходившем на водной станции напротив Центрального парка культуры и отдыха им. Горького.</w:t>
      </w:r>
    </w:p>
    <w:p w14:paraId="6EE11E01" w14:textId="77777777" w:rsidR="00B849DC" w:rsidRPr="00C33834" w:rsidRDefault="00B849DC"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Там же 6 - 17 июля проходили государственные испытания АИР-6А по программе СНИИ ГВФ. Кроме Ю.И. Пионт- ковского, на машине летал Б.Л. Местон. В ходе испытаний совершили перелет Москва - Коломна - Москва.</w:t>
      </w:r>
    </w:p>
    <w:p w14:paraId="4D48F616" w14:textId="77777777" w:rsidR="00B849DC" w:rsidRPr="00C33834" w:rsidRDefault="00B849DC"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Несмотря на увеличение веса и дополнительное аэродинамическое сопротивление поплавков, данные самолета не особенно снизились. Машина хорошо слушалась рулей. Нагрузки на ручке и педалях определялась как «незначительные». Благодаря хорошей устойчивости пилот мог позволить себе бросить ручку управления не только на прямой, но и при выполнении виражей. Более того, самолет сам исправлял небольшие ошибки летчика. АИР-6А маневрировал на малой высоте без риска потери скорости. Тенденция к сваливанию на крыло отсутствовала. В отчете указывалось, что АИР-6А «может найти применение во многих отраслях народного хозяйства». Машину рекомендовали к серийному производству (19099).</w:t>
      </w:r>
    </w:p>
    <w:p w14:paraId="03158F39" w14:textId="77777777" w:rsidR="00B849DC" w:rsidRPr="00C33834" w:rsidRDefault="00B849DC" w:rsidP="00C33834">
      <w:pPr>
        <w:pStyle w:val="a8"/>
        <w:jc w:val="both"/>
        <w:rPr>
          <w:rFonts w:ascii="Times New Roman" w:hAnsi="Times New Roman" w:cs="Times New Roman"/>
          <w:color w:val="000000" w:themeColor="text1"/>
        </w:rPr>
      </w:pPr>
    </w:p>
    <w:p w14:paraId="6D244064" w14:textId="77777777" w:rsidR="00B849DC" w:rsidRPr="00C33834" w:rsidRDefault="00B849DC"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Летом 1933 г. Осоавиахим запланировал провести международный перелет АИР-6. Но это мероприятие так и не состоялось (19099).</w:t>
      </w:r>
    </w:p>
    <w:p w14:paraId="22C72F7F" w14:textId="77777777" w:rsidR="00B849DC" w:rsidRPr="00C33834" w:rsidRDefault="00B849DC" w:rsidP="00C33834">
      <w:pPr>
        <w:pStyle w:val="a8"/>
        <w:jc w:val="both"/>
        <w:rPr>
          <w:rFonts w:ascii="Times New Roman" w:hAnsi="Times New Roman" w:cs="Times New Roman"/>
          <w:color w:val="000000" w:themeColor="text1"/>
        </w:rPr>
      </w:pPr>
    </w:p>
    <w:p w14:paraId="4E75EC95"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лета 1933 ДАП-100 приспособили к подвеске на «крейсере» Р-6. Некоторые проблемы создавало то, что балки Дер-7 на нем стояли укороченные, но с этим благополучно справились. Дымовые приборы несли как Р-6 и КР-6 на колесах, так и Р-ба и КР-ба на поплавках. В 1937 г. монтаж ДАП- 100 запланировали на разведчике Р-10. Этот же прибор входил в пер- воначЬльный комплект химического вооружения бомбардировщика ДБ-3, испытывавшийся в НИИ ВВС в авгу</w:t>
      </w:r>
      <w:r w:rsidRPr="00C33834">
        <w:rPr>
          <w:rFonts w:ascii="Times New Roman" w:hAnsi="Times New Roman"/>
          <w:color w:val="000000" w:themeColor="text1"/>
          <w:sz w:val="16"/>
          <w:szCs w:val="16"/>
        </w:rPr>
        <w:softHyphen/>
        <w:t>сте 1936 г. Два ДАП-100 подвеши</w:t>
      </w:r>
      <w:r w:rsidRPr="00C33834">
        <w:rPr>
          <w:rFonts w:ascii="Times New Roman" w:hAnsi="Times New Roman"/>
          <w:color w:val="000000" w:themeColor="text1"/>
          <w:sz w:val="16"/>
          <w:szCs w:val="16"/>
        </w:rPr>
        <w:softHyphen/>
        <w:t>вались под центропланом на бал</w:t>
      </w:r>
      <w:r w:rsidRPr="00C33834">
        <w:rPr>
          <w:rFonts w:ascii="Times New Roman" w:hAnsi="Times New Roman"/>
          <w:color w:val="000000" w:themeColor="text1"/>
          <w:sz w:val="16"/>
          <w:szCs w:val="16"/>
        </w:rPr>
        <w:softHyphen/>
        <w:t>ках Дер-19. Для этой машины они были маловаты, и военные потре</w:t>
      </w:r>
      <w:r w:rsidRPr="00C33834">
        <w:rPr>
          <w:rFonts w:ascii="Times New Roman" w:hAnsi="Times New Roman"/>
          <w:color w:val="000000" w:themeColor="text1"/>
          <w:sz w:val="16"/>
          <w:szCs w:val="16"/>
        </w:rPr>
        <w:softHyphen/>
        <w:t>бовали сменить их на ДАП-200, но этого так и не сделали (12269).</w:t>
      </w:r>
    </w:p>
    <w:p w14:paraId="1D01FAFB" w14:textId="77777777" w:rsidR="0058354C" w:rsidRPr="00C33834" w:rsidRDefault="0058354C" w:rsidP="00C33834">
      <w:pPr>
        <w:spacing w:after="0" w:line="240" w:lineRule="auto"/>
        <w:jc w:val="both"/>
        <w:rPr>
          <w:rFonts w:ascii="Times New Roman" w:hAnsi="Times New Roman"/>
          <w:color w:val="000000" w:themeColor="text1"/>
          <w:sz w:val="16"/>
          <w:szCs w:val="16"/>
        </w:rPr>
      </w:pPr>
    </w:p>
    <w:p w14:paraId="70062368" w14:textId="77777777" w:rsidR="00361643" w:rsidRPr="00C33834" w:rsidRDefault="0036164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Летом 1933-го первый АИР-6 поставили на однореданные деревянные поплавки, спроектированные В.Б.Шавровым по подобию самолета АИР-2, но с увеличением размеров. Первый полет АИР-6А с Москвы-реки Пионтковский с пассажиром Яковлевым выполнил в июне 1933-го. В этом же месяце самолет участвовал в празднике на водной станции "Динамо" на Москве-реке. Большой интерес к самолету проявил известный полярный летчик М.С.Бабушкин, беседовавший с Яковлевым о возможностям его применения. По итогам госиспытаний в СНИИ ГВФ отмечалось, что летные характеристики АИР-6 на поплавках мало отличаются от колесного </w:t>
      </w:r>
      <w:r w:rsidRPr="00C33834">
        <w:rPr>
          <w:rFonts w:ascii="Times New Roman" w:hAnsi="Times New Roman"/>
          <w:color w:val="000000" w:themeColor="text1"/>
          <w:sz w:val="16"/>
          <w:szCs w:val="16"/>
        </w:rPr>
        <w:lastRenderedPageBreak/>
        <w:t>варианта. В горизонтальном полете при всех вариантах нагрузок, будучи отрегулирован стабилизатором, самолет идет устойчиво, позволяет бросать ручное и ножное управление (15727).</w:t>
      </w:r>
    </w:p>
    <w:p w14:paraId="36893DC6" w14:textId="77777777" w:rsidR="00361643" w:rsidRPr="00C33834" w:rsidRDefault="00361643" w:rsidP="00C33834">
      <w:pPr>
        <w:spacing w:after="0" w:line="240" w:lineRule="auto"/>
        <w:jc w:val="both"/>
        <w:rPr>
          <w:rFonts w:ascii="Times New Roman" w:hAnsi="Times New Roman"/>
          <w:color w:val="000000" w:themeColor="text1"/>
          <w:sz w:val="16"/>
          <w:szCs w:val="16"/>
        </w:rPr>
      </w:pPr>
    </w:p>
    <w:p w14:paraId="4A13AB79" w14:textId="77777777" w:rsidR="00361643" w:rsidRPr="00C33834" w:rsidRDefault="00361643" w:rsidP="00C33834">
      <w:pPr>
        <w:pStyle w:val="a3"/>
        <w:rPr>
          <w:color w:val="000000" w:themeColor="text1"/>
          <w:lang w:val="ru-RU"/>
        </w:rPr>
      </w:pPr>
      <w:r w:rsidRPr="00C33834">
        <w:rPr>
          <w:color w:val="000000" w:themeColor="text1"/>
          <w:lang w:val="ru-RU"/>
        </w:rPr>
        <w:t>Летом 1933 года С.В.И. совместно с Н.Н. Поликарповым был разработан проект пассажирского самолета мест</w:t>
      </w:r>
      <w:r w:rsidRPr="00C33834">
        <w:rPr>
          <w:color w:val="000000" w:themeColor="text1"/>
          <w:lang w:val="ru-RU"/>
        </w:rPr>
        <w:softHyphen/>
        <w:t>ных воздушных линий ЦКБ-6 с мото</w:t>
      </w:r>
      <w:r w:rsidRPr="00C33834">
        <w:rPr>
          <w:color w:val="000000" w:themeColor="text1"/>
          <w:lang w:val="ru-RU"/>
        </w:rPr>
        <w:softHyphen/>
        <w:t>ром М-49 мощностью 300 л.с. Расчет</w:t>
      </w:r>
      <w:r w:rsidRPr="00C33834">
        <w:rPr>
          <w:color w:val="000000" w:themeColor="text1"/>
          <w:lang w:val="ru-RU"/>
        </w:rPr>
        <w:softHyphen/>
        <w:t>ная максимальная скорость на высоте 1000 м составляла 240 км/ч (крейсер</w:t>
      </w:r>
      <w:r w:rsidRPr="00C33834">
        <w:rPr>
          <w:color w:val="000000" w:themeColor="text1"/>
          <w:lang w:val="ru-RU"/>
        </w:rPr>
        <w:softHyphen/>
        <w:t>ская - 190 км/ч), практический потолок равнялся 4300 м, а дальность полета приближалась к 600 км. Стоит привести несколько выдержек из объяснительной записки к эскизному проекту, подпи</w:t>
      </w:r>
      <w:r w:rsidRPr="00C33834">
        <w:rPr>
          <w:color w:val="000000" w:themeColor="text1"/>
          <w:lang w:val="ru-RU"/>
        </w:rPr>
        <w:softHyphen/>
        <w:t>санной Н.Н. Поликарповым и С.В. Иль</w:t>
      </w:r>
      <w:r w:rsidRPr="00C33834">
        <w:rPr>
          <w:color w:val="000000" w:themeColor="text1"/>
          <w:lang w:val="ru-RU"/>
        </w:rPr>
        <w:softHyphen/>
        <w:t>юшиным, дающими представление о взглядах того времени на проектирова</w:t>
      </w:r>
      <w:r w:rsidRPr="00C33834">
        <w:rPr>
          <w:color w:val="000000" w:themeColor="text1"/>
          <w:lang w:val="ru-RU"/>
        </w:rPr>
        <w:softHyphen/>
        <w:t>ние пассажирских машин</w:t>
      </w:r>
      <w:r w:rsidRPr="00C33834">
        <w:rPr>
          <w:rStyle w:val="184"/>
          <w:rFonts w:ascii="Times New Roman" w:hAnsi="Times New Roman" w:cs="Times New Roman"/>
          <w:i w:val="0"/>
          <w:color w:val="000000" w:themeColor="text1"/>
          <w:sz w:val="16"/>
          <w:szCs w:val="16"/>
          <w:lang w:val="ru-RU"/>
        </w:rPr>
        <w:t xml:space="preserve"> (текст и знаки препинания даны по оригиналу).</w:t>
      </w:r>
    </w:p>
    <w:p w14:paraId="6FA612ED" w14:textId="77777777" w:rsidR="00361643" w:rsidRPr="00C33834" w:rsidRDefault="00361643" w:rsidP="00C33834">
      <w:pPr>
        <w:pStyle w:val="1010"/>
        <w:shd w:val="clear" w:color="auto" w:fill="auto"/>
        <w:spacing w:line="240" w:lineRule="auto"/>
        <w:ind w:firstLine="0"/>
        <w:rPr>
          <w:rFonts w:ascii="Times New Roman" w:hAnsi="Times New Roman" w:cs="Times New Roman"/>
          <w:i w:val="0"/>
          <w:color w:val="000000" w:themeColor="text1"/>
          <w:sz w:val="16"/>
          <w:szCs w:val="16"/>
        </w:rPr>
      </w:pPr>
      <w:r w:rsidRPr="00C33834">
        <w:rPr>
          <w:rFonts w:ascii="Times New Roman" w:hAnsi="Times New Roman" w:cs="Times New Roman"/>
          <w:i w:val="0"/>
          <w:color w:val="000000" w:themeColor="text1"/>
          <w:sz w:val="16"/>
          <w:szCs w:val="16"/>
        </w:rPr>
        <w:t xml:space="preserve"> «Самолет проектируется под 4-е пассажирских места, под пилота и кроме того дается еще одно приставное сиденье для шестого человека, распо</w:t>
      </w:r>
      <w:r w:rsidRPr="00C33834">
        <w:rPr>
          <w:rFonts w:ascii="Times New Roman" w:hAnsi="Times New Roman" w:cs="Times New Roman"/>
          <w:i w:val="0"/>
          <w:color w:val="000000" w:themeColor="text1"/>
          <w:sz w:val="16"/>
          <w:szCs w:val="16"/>
        </w:rPr>
        <w:softHyphen/>
        <w:t>ложенное рядом с пилотом. Для воз</w:t>
      </w:r>
      <w:r w:rsidRPr="00C33834">
        <w:rPr>
          <w:rFonts w:ascii="Times New Roman" w:hAnsi="Times New Roman" w:cs="Times New Roman"/>
          <w:i w:val="0"/>
          <w:color w:val="000000" w:themeColor="text1"/>
          <w:sz w:val="16"/>
          <w:szCs w:val="16"/>
        </w:rPr>
        <w:softHyphen/>
        <w:t>можного багажа пассажиров в центро</w:t>
      </w:r>
      <w:r w:rsidRPr="00C33834">
        <w:rPr>
          <w:rFonts w:ascii="Times New Roman" w:hAnsi="Times New Roman" w:cs="Times New Roman"/>
          <w:i w:val="0"/>
          <w:color w:val="000000" w:themeColor="text1"/>
          <w:sz w:val="16"/>
          <w:szCs w:val="16"/>
        </w:rPr>
        <w:softHyphen/>
        <w:t>плане устроен специальный багажник, открывающийся в кабину пассажиров. Кабина пассажиров выбрана такого размера, каковой допускает комфор</w:t>
      </w:r>
      <w:r w:rsidRPr="00C33834">
        <w:rPr>
          <w:rFonts w:ascii="Times New Roman" w:hAnsi="Times New Roman" w:cs="Times New Roman"/>
          <w:i w:val="0"/>
          <w:color w:val="000000" w:themeColor="text1"/>
          <w:sz w:val="16"/>
          <w:szCs w:val="16"/>
        </w:rPr>
        <w:softHyphen/>
        <w:t>табельное размещение пассажиров в течение 4-5 часов непрерывного полета. Для удобства входа и выхода пассажиров из кабины особенно в слу</w:t>
      </w:r>
      <w:r w:rsidRPr="00C33834">
        <w:rPr>
          <w:rFonts w:ascii="Times New Roman" w:hAnsi="Times New Roman" w:cs="Times New Roman"/>
          <w:i w:val="0"/>
          <w:color w:val="000000" w:themeColor="text1"/>
          <w:sz w:val="16"/>
          <w:szCs w:val="16"/>
        </w:rPr>
        <w:softHyphen/>
        <w:t>чае аварии, или при необходимости выбрасывания экипажа и пассажиров на парашютах, нами в кабине предус</w:t>
      </w:r>
      <w:r w:rsidRPr="00C33834">
        <w:rPr>
          <w:rFonts w:ascii="Times New Roman" w:hAnsi="Times New Roman" w:cs="Times New Roman"/>
          <w:i w:val="0"/>
          <w:color w:val="000000" w:themeColor="text1"/>
          <w:sz w:val="16"/>
          <w:szCs w:val="16"/>
        </w:rPr>
        <w:softHyphen/>
        <w:t>мотрено две двери с разных сторон фюзеляжа, передняя для пилота и двух передних пассажиров, задняя для двух задних пассажиров. Подобное распо</w:t>
      </w:r>
      <w:r w:rsidRPr="00C33834">
        <w:rPr>
          <w:rFonts w:ascii="Times New Roman" w:hAnsi="Times New Roman" w:cs="Times New Roman"/>
          <w:i w:val="0"/>
          <w:color w:val="000000" w:themeColor="text1"/>
          <w:sz w:val="16"/>
          <w:szCs w:val="16"/>
        </w:rPr>
        <w:softHyphen/>
        <w:t>ложение гарантирует удобный вход и выход из кабины. Как самолет местных сообщений ЦКБ-6, естественно, должен быть самолетом дешевым и простым в эксплуатации. С этой точки зрения он делается целиком из дерева. Мы пола</w:t>
      </w:r>
      <w:r w:rsidRPr="00C33834">
        <w:rPr>
          <w:rFonts w:ascii="Times New Roman" w:hAnsi="Times New Roman" w:cs="Times New Roman"/>
          <w:i w:val="0"/>
          <w:color w:val="000000" w:themeColor="text1"/>
          <w:sz w:val="16"/>
          <w:szCs w:val="16"/>
        </w:rPr>
        <w:softHyphen/>
        <w:t>гаем, что такой выбор материала, вме</w:t>
      </w:r>
      <w:r w:rsidRPr="00C33834">
        <w:rPr>
          <w:rFonts w:ascii="Times New Roman" w:hAnsi="Times New Roman" w:cs="Times New Roman"/>
          <w:i w:val="0"/>
          <w:color w:val="000000" w:themeColor="text1"/>
          <w:sz w:val="16"/>
          <w:szCs w:val="16"/>
        </w:rPr>
        <w:softHyphen/>
        <w:t>сте с дешевизною его, обеспечивает простоту и дешевизну производства, а в конечном счете дешевый самолет».</w:t>
      </w:r>
    </w:p>
    <w:p w14:paraId="5131035C" w14:textId="77777777" w:rsidR="00361643" w:rsidRPr="00C33834" w:rsidRDefault="00361643" w:rsidP="00C33834">
      <w:pPr>
        <w:pStyle w:val="1010"/>
        <w:shd w:val="clear" w:color="auto" w:fill="auto"/>
        <w:spacing w:line="240" w:lineRule="auto"/>
        <w:ind w:firstLine="0"/>
        <w:rPr>
          <w:rFonts w:ascii="Times New Roman" w:hAnsi="Times New Roman" w:cs="Times New Roman"/>
          <w:i w:val="0"/>
          <w:color w:val="000000" w:themeColor="text1"/>
          <w:sz w:val="16"/>
          <w:szCs w:val="16"/>
        </w:rPr>
      </w:pPr>
      <w:r w:rsidRPr="00C33834">
        <w:rPr>
          <w:rStyle w:val="1d"/>
          <w:rFonts w:ascii="Times New Roman" w:hAnsi="Times New Roman" w:cs="Times New Roman"/>
          <w:i w:val="0"/>
          <w:iCs w:val="0"/>
          <w:color w:val="000000" w:themeColor="text1"/>
          <w:sz w:val="16"/>
          <w:szCs w:val="16"/>
        </w:rPr>
        <w:t>ЦКБ-6 был включен в план опытного строительства самолетов на 1934 г., но его дальнейшую судьбу выяснить не удалось (15749).</w:t>
      </w:r>
    </w:p>
    <w:p w14:paraId="605AC499" w14:textId="77777777" w:rsidR="00361643" w:rsidRPr="00C33834" w:rsidRDefault="00361643" w:rsidP="00C33834">
      <w:pPr>
        <w:pStyle w:val="a3"/>
        <w:rPr>
          <w:color w:val="000000" w:themeColor="text1"/>
          <w:lang w:val="ru-RU"/>
        </w:rPr>
      </w:pPr>
    </w:p>
    <w:p w14:paraId="15351C2B"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1933 в БОК началось проектирование пятиместного БИЧ-14 2М-11, который потом стал ЦКБ-10 (2544,56).</w:t>
      </w:r>
    </w:p>
    <w:p w14:paraId="31865764"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09D372E5" w14:textId="77777777" w:rsidR="0043495B" w:rsidRPr="00C33834" w:rsidRDefault="0043495B"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Летом 1933 г. началось «Проектирование БИЧ-14, в январе следующего года были готовы чертежи. Работы затянулись из-за перевода Бюро особых конструкций из столицы на смоленский авиаремонтный завод № 35. „Принято решение достроить самолёт на заводе № 39, но Чижевский отказывается передать чертежи ввиду реорганизации его КБ“», — сказано в отчёте по опытному самолётостроению от 1 июля 1934 г.</w:t>
      </w:r>
    </w:p>
    <w:p w14:paraId="0FEB6D52" w14:textId="77777777" w:rsidR="0043495B" w:rsidRPr="00C33834" w:rsidRDefault="0043495B"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Удачный в целом опыт с БИЧ-7А давал основания для следующего шага на пути к большому «летающему крылу» — созданию экспериментального двухмоторного самолёта БИЧ-14. «Задачи, которые ставятся непосредственно перед данным самолётом, — это установление пригодности самолёта типа „парабола“ для военной и гражданской авиации в смысле управляемости, маневренности и лётно-эксплуатационных выгод относительно самолётов других типов», — сообщалось в отчёте БОК </w:t>
      </w:r>
      <w:hyperlink r:id="rId241" w:history="1">
        <w:r w:rsidRPr="00C33834">
          <w:rPr>
            <w:rFonts w:ascii="Times New Roman" w:eastAsia="Times New Roman" w:hAnsi="Times New Roman"/>
            <w:color w:val="000000" w:themeColor="text1"/>
            <w:sz w:val="16"/>
            <w:szCs w:val="16"/>
            <w:lang w:eastAsia="ru-RU"/>
          </w:rPr>
          <w:t>[50]</w:t>
        </w:r>
      </w:hyperlink>
      <w:r w:rsidRPr="00C33834">
        <w:rPr>
          <w:rFonts w:ascii="Times New Roman" w:eastAsia="Times New Roman" w:hAnsi="Times New Roman"/>
          <w:color w:val="000000" w:themeColor="text1"/>
          <w:sz w:val="16"/>
          <w:szCs w:val="16"/>
          <w:lang w:eastAsia="ru-RU"/>
        </w:rPr>
        <w:t xml:space="preserve"> .</w:t>
      </w:r>
    </w:p>
    <w:p w14:paraId="55CDAA1F" w14:textId="77777777" w:rsidR="0043495B" w:rsidRPr="00C33834" w:rsidRDefault="0043495B"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Хотя БИЧ 14 строили как уменьшенный прототип включенного в план работ БОК бомбардировщика ЦКБ-17 с двумя двигателями М-34, его для маскировки спроектировали пассажирским, на 5 человек (пилот и 4 пассажира) с двумя двигателя М-11 мощностью по 100 л. с. По расчётам самолёт мог развить скорость 210 км/ч и иметь 5-часовую продолжительность полёта.</w:t>
      </w:r>
    </w:p>
    <w:p w14:paraId="4E043E1A" w14:textId="77777777" w:rsidR="0043495B" w:rsidRPr="00C33834" w:rsidRDefault="0043495B"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Крыло БИЧ-14, как у всех предыдущих «парабол», было многолонжеронное, деревянной конструкции, с полотняной обшивкой. С каждой стороны к крылу на кронштейнах крепилось три секции горизонтальных рулей. Они действовали и как рули высоты, и как элероны. Профиль имел необычно большую относительную толщину (19 %), поэтому у основания крыло было почти метровой высоты и округлый фонарь кабины лишь немного выступал вверх. Он был выполнен из дюралюминия и имел по бокам овальные окна, затянутые целлулоидом. В кабине за сидением пилота стояли два двухместных пассажирских кресла, расположенных спинками друг к другу. Двери не было, внутрь можно было попасть только через откидывающиеся вверх окна. Звездообразные двигатели с кольцевидными обтекателями цилиндров были врезаны в переднюю кромку крыла. Горючее поступало из бензобаков, находящихся в крыле по бокам кабины. Шасси — двухколесное, с ориентирующимся хвостовым костылем. С помощью тросового привода летчик мог убирать стойки в крыло (17489).</w:t>
      </w:r>
    </w:p>
    <w:p w14:paraId="13CF594B" w14:textId="77777777" w:rsidR="0043495B" w:rsidRPr="00C33834" w:rsidRDefault="0043495B" w:rsidP="00C33834">
      <w:pPr>
        <w:spacing w:after="0" w:line="240" w:lineRule="auto"/>
        <w:jc w:val="both"/>
        <w:rPr>
          <w:rFonts w:ascii="Times New Roman" w:eastAsia="Times New Roman" w:hAnsi="Times New Roman"/>
          <w:color w:val="000000" w:themeColor="text1"/>
          <w:sz w:val="16"/>
          <w:szCs w:val="16"/>
          <w:lang w:eastAsia="ru-RU"/>
        </w:rPr>
      </w:pPr>
    </w:p>
    <w:p w14:paraId="14A150AA" w14:textId="77777777" w:rsidR="0043495B" w:rsidRPr="00C33834" w:rsidRDefault="0043495B"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Летом 1933 г. готовились к войсковым испытаниям «Звена-1». Конструкция составного самолёта вновь претерпела изменения. На ТБ-1 установили серийные И-4 с необрезанным нижним крылом. Была доработана конструкция замков, причём замок задней опоры перенесли с крыльевой треноги на фюзеляж истребителя — теперь он открывался проще, с меньшим усилием (17489).</w:t>
      </w:r>
    </w:p>
    <w:p w14:paraId="0BA04900" w14:textId="77777777" w:rsidR="0043495B" w:rsidRPr="00C33834" w:rsidRDefault="0043495B" w:rsidP="00C33834">
      <w:pPr>
        <w:spacing w:after="0" w:line="240" w:lineRule="auto"/>
        <w:jc w:val="both"/>
        <w:rPr>
          <w:rFonts w:ascii="Times New Roman" w:hAnsi="Times New Roman"/>
          <w:color w:val="000000" w:themeColor="text1"/>
          <w:sz w:val="16"/>
          <w:szCs w:val="16"/>
        </w:rPr>
      </w:pPr>
    </w:p>
    <w:p w14:paraId="1F1D442B" w14:textId="77777777" w:rsidR="0043495B" w:rsidRPr="00C33834" w:rsidRDefault="0043495B"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Летом 1933 г. Комиссия проверявшая состояние работ по Сталь-МАИ (к этому времени Осоавиахим уже перевёл МАИ 350 тыс. рублей), пришла к выводу, что часть этих средств потрачена не по назначению. «Незаконно израсходованные деньги на строительство квартир вернуть Осоавиахиму, а несгораемый шкаф и автомобиль считать собственностью Осоавиахима», — говорится в заключении комиссии </w:t>
      </w:r>
      <w:hyperlink r:id="rId242" w:history="1">
        <w:r w:rsidRPr="00C33834">
          <w:rPr>
            <w:rFonts w:ascii="Times New Roman" w:eastAsia="Times New Roman" w:hAnsi="Times New Roman"/>
            <w:color w:val="000000" w:themeColor="text1"/>
            <w:sz w:val="16"/>
            <w:szCs w:val="16"/>
            <w:lang w:eastAsia="ru-RU"/>
          </w:rPr>
          <w:t>[134]</w:t>
        </w:r>
      </w:hyperlink>
      <w:r w:rsidRPr="00C33834">
        <w:rPr>
          <w:rFonts w:ascii="Times New Roman" w:eastAsia="Times New Roman" w:hAnsi="Times New Roman"/>
          <w:color w:val="000000" w:themeColor="text1"/>
          <w:sz w:val="16"/>
          <w:szCs w:val="16"/>
          <w:lang w:eastAsia="ru-RU"/>
        </w:rPr>
        <w:t xml:space="preserve"> .</w:t>
      </w:r>
    </w:p>
    <w:p w14:paraId="40CCDDD1" w14:textId="77777777" w:rsidR="0043495B" w:rsidRPr="00C33834" w:rsidRDefault="0043495B"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Другим, более важным решением, стал вывод о необходимости изменения задания на более реальное для МАИ. В новом договоре (июнь 1933 г.) речь шла о постройке только одного самолёта, меньших размеров, о кругосветном перелёте уже не упоминалось. «В целях скорейшего и бесперебойного строительства самолёта МАИ обязуется пополнить имеющееся конструкторское бюро инженерно-техническими работниками, профессурой и аспирантами», — отмечалось в договоре </w:t>
      </w:r>
      <w:hyperlink r:id="rId243" w:history="1">
        <w:r w:rsidRPr="00C33834">
          <w:rPr>
            <w:rFonts w:ascii="Times New Roman" w:eastAsia="Times New Roman" w:hAnsi="Times New Roman"/>
            <w:color w:val="000000" w:themeColor="text1"/>
            <w:sz w:val="16"/>
            <w:szCs w:val="16"/>
            <w:lang w:eastAsia="ru-RU"/>
          </w:rPr>
          <w:t>[135]</w:t>
        </w:r>
      </w:hyperlink>
      <w:r w:rsidRPr="00C33834">
        <w:rPr>
          <w:rFonts w:ascii="Times New Roman" w:eastAsia="Times New Roman" w:hAnsi="Times New Roman"/>
          <w:color w:val="000000" w:themeColor="text1"/>
          <w:sz w:val="16"/>
          <w:szCs w:val="16"/>
          <w:lang w:eastAsia="ru-RU"/>
        </w:rPr>
        <w:t xml:space="preserve"> .</w:t>
      </w:r>
    </w:p>
    <w:p w14:paraId="0E667D9C" w14:textId="77777777" w:rsidR="0043495B" w:rsidRPr="00C33834" w:rsidRDefault="0043495B"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Машина должна была быть готова к началу 1934 г. Затраты на завершение работ определили в 550 тыс. рублей, финансирование взяло на себя Главное управление ГВФ, затем — Главное управление авиационной промышленности.</w:t>
      </w:r>
    </w:p>
    <w:p w14:paraId="0CED859E" w14:textId="77777777" w:rsidR="0043495B" w:rsidRPr="00C33834" w:rsidRDefault="0043495B"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Григорович так сформулировал назначение строящейся машины: «установление рекорда дальности полёта самолёта советской конструкции с советским мотором на основе покрытия большой дальности полёта при минимальном времени пребывания в воздухе с одновременным освоением в производстве и испытании новых элементов конструкции из нержавеющей стали по принципу применения электросварки» </w:t>
      </w:r>
      <w:hyperlink r:id="rId244" w:history="1">
        <w:r w:rsidRPr="00C33834">
          <w:rPr>
            <w:rFonts w:ascii="Times New Roman" w:eastAsia="Times New Roman" w:hAnsi="Times New Roman"/>
            <w:color w:val="000000" w:themeColor="text1"/>
            <w:sz w:val="16"/>
            <w:szCs w:val="16"/>
            <w:lang w:eastAsia="ru-RU"/>
          </w:rPr>
          <w:t>[136]</w:t>
        </w:r>
      </w:hyperlink>
      <w:r w:rsidRPr="00C33834">
        <w:rPr>
          <w:rFonts w:ascii="Times New Roman" w:eastAsia="Times New Roman" w:hAnsi="Times New Roman"/>
          <w:color w:val="000000" w:themeColor="text1"/>
          <w:sz w:val="16"/>
          <w:szCs w:val="16"/>
          <w:lang w:eastAsia="ru-RU"/>
        </w:rPr>
        <w:t xml:space="preserve"> . Таким образом, самолёт предназначался для установления скоростного рекорда дальности, с прицелом на использование этих наработок при создании дальнего бомбардировщика.</w:t>
      </w:r>
    </w:p>
    <w:p w14:paraId="0F2BBDDE" w14:textId="77777777" w:rsidR="0043495B" w:rsidRPr="00C33834" w:rsidRDefault="0043495B"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расширенное конструкторское бюро вошли студенты П.Д. Грушин, М.М. Пашинин, Л.П. Курбала, В.А. Федулов, А.П. Щекин и другие. Расчёты на прочность выполнил В.Д. Яровицкий. С появлением в МАИ учебно-производственных мастерских изготовлением самолёта руководил С.М. Беляйкин.</w:t>
      </w:r>
    </w:p>
    <w:p w14:paraId="1C1F9B5B" w14:textId="77777777" w:rsidR="0043495B" w:rsidRPr="00C33834" w:rsidRDefault="0043495B"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«ОСО-МАИ» представлял собой одномоторный низкоплан с трапециевидным крылом однолонжеронной конструкции. Относительная толщина профиля была 16 %. В крыле размещались топливные баки. Крыло — свободнонесущей схемы, горизонтальное оперение — с подкосами. Фюзеляж — полумонокок овального сечения, с двухместной кабиной, закрытой общим фонарём. Кресла пилотов имели откидные спинки и были оборудованы таким образом, чтобы экипаж мог отдыхать в полёте. Посадка в самолёт осуществлялась через дверцы в фонаре. При необходимости экипаж мог быть увеличен до трёх человек — для этого за кабиной оборудовали небольшой отсек с иллюминаторами в боковых стенках фюзеляжа.</w:t>
      </w:r>
    </w:p>
    <w:p w14:paraId="0397C442" w14:textId="77777777" w:rsidR="0043495B" w:rsidRPr="00C33834" w:rsidRDefault="0043495B"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При изготовлении каркаса планера использовали опыт постройки «Сталь-2» А.И. Путилова. Основным материалом служила сталь «Энерж-6», из дюраля были только капот двигателя, элероны и хвостовое оперение. Рулевые поверхности имели полотняную обшивку. Винт — деревянный. Практически вся конструкция фюзеляжа, крыла и оперения из катаных листовых профилей была соединена точечной и роликовой электросваркой, обшивка крыла и фюзеляжа сделана из листа толщиной 0,2–0,3 мм с частыми отбортовками (рифтами или зигами) с шагом 80 мм. В.Б. Шавров пишет, что тонкая стальная обшивка образовывала многочисленные мелкие неровности на поверхности фюзеляжа </w:t>
      </w:r>
      <w:hyperlink r:id="rId245" w:history="1">
        <w:r w:rsidRPr="00C33834">
          <w:rPr>
            <w:rFonts w:ascii="Times New Roman" w:eastAsia="Times New Roman" w:hAnsi="Times New Roman"/>
            <w:color w:val="000000" w:themeColor="text1"/>
            <w:sz w:val="16"/>
            <w:szCs w:val="16"/>
            <w:lang w:eastAsia="ru-RU"/>
          </w:rPr>
          <w:t>[137]</w:t>
        </w:r>
      </w:hyperlink>
      <w:r w:rsidRPr="00C33834">
        <w:rPr>
          <w:rFonts w:ascii="Times New Roman" w:eastAsia="Times New Roman" w:hAnsi="Times New Roman"/>
          <w:color w:val="000000" w:themeColor="text1"/>
          <w:sz w:val="16"/>
          <w:szCs w:val="16"/>
          <w:lang w:eastAsia="ru-RU"/>
        </w:rPr>
        <w:t xml:space="preserve"> .</w:t>
      </w:r>
    </w:p>
    <w:p w14:paraId="7050D56A" w14:textId="77777777" w:rsidR="0043495B" w:rsidRPr="00C33834" w:rsidRDefault="0043495B"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Силовая установка — двигатель М-34Р с номинальной мощностью 750 л. с. Ранее он экспонировался на выставке, поэтому отличался особой тщательностью отделки (возможно, первоначально это был макетный вариант, полученный для проведения увязочных работ по винтомоторной группе) (17489).</w:t>
      </w:r>
    </w:p>
    <w:p w14:paraId="6818419C" w14:textId="77777777" w:rsidR="0043495B" w:rsidRPr="00C33834" w:rsidRDefault="0043495B" w:rsidP="00C33834">
      <w:pPr>
        <w:spacing w:after="0" w:line="240" w:lineRule="auto"/>
        <w:jc w:val="both"/>
        <w:rPr>
          <w:rFonts w:ascii="Times New Roman" w:eastAsia="Times New Roman" w:hAnsi="Times New Roman"/>
          <w:color w:val="000000" w:themeColor="text1"/>
          <w:sz w:val="16"/>
          <w:szCs w:val="16"/>
          <w:lang w:eastAsia="ru-RU"/>
        </w:rPr>
      </w:pPr>
    </w:p>
    <w:p w14:paraId="0599F27D" w14:textId="77777777" w:rsidR="0043495B" w:rsidRPr="00C33834" w:rsidRDefault="0043495B"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Летом 1933 г. НИИ ВВС подготовил технические требования для военной модификации. Такой вариант разрабатывался и 15 октября 1933 г. Главным конструктором Д.П. Григоровичем и инженером П.М. Крейсоном был утвержден военный вариант Сталь-МАИ. Предусматривалась установка пулемётов ШКАС (один — для стрельбы вперед через винт, второй — для стрельбы назад-вверх) и крыльевых держателей для бомб весом до 500 кг.</w:t>
      </w:r>
    </w:p>
    <w:p w14:paraId="7DF85FB3" w14:textId="77777777" w:rsidR="0043495B" w:rsidRPr="00C33834" w:rsidRDefault="0043495B"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то время, когда самолёт ещё строился, Григорович переключился на другие работы, в частности на создание истребителей с динамо-реактивными пушками Курчевского, поэтому техническое руководство созданием стального самолёта МАИ перешло к П.Д. Грушину. К концу 1933 г. в институте окончательно оформилось конструкторское бюро, которое получило официальное наименование ОКБ-1 и в дальнейшем функционировало как полноценное проектное подразделение во главе с главным конструктором Грушиным (17489).</w:t>
      </w:r>
    </w:p>
    <w:p w14:paraId="3C7C625E" w14:textId="77777777" w:rsidR="0043495B" w:rsidRPr="00C33834" w:rsidRDefault="0043495B" w:rsidP="00C33834">
      <w:pPr>
        <w:spacing w:after="0" w:line="240" w:lineRule="auto"/>
        <w:jc w:val="both"/>
        <w:rPr>
          <w:rFonts w:ascii="Times New Roman" w:eastAsia="Times New Roman" w:hAnsi="Times New Roman"/>
          <w:color w:val="000000" w:themeColor="text1"/>
          <w:sz w:val="16"/>
          <w:szCs w:val="16"/>
          <w:lang w:eastAsia="ru-RU"/>
        </w:rPr>
      </w:pPr>
    </w:p>
    <w:p w14:paraId="0AD6923C"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1933 ГУСМП опять имел 3 Дорнье Валь несмотря на то, что Валь N 1 списали после экспедиции С.В.Обручева, а N 3 разбили после разведки в Карском море (погиб экипаж Порцеля). N 2 ремонтировали с осени 1932. ЧФ дал N 8 и N 9 и N-8 С.Леваневский перегнал из Севастополя в Хабаровск, а затем в Анадырь для спасения Д.Маттерна, которого нашли и доставили в Ном на Аляске (2543,14).</w:t>
      </w:r>
    </w:p>
    <w:p w14:paraId="64B4B25B"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032B2D7F"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1933 СТО СССР принял решение продолжить опытно-конструкторские работы по созданию боевых машин с использованием положительных наработок конструкторов ХАИ (1166,28).</w:t>
      </w:r>
    </w:p>
    <w:p w14:paraId="2A7D0BD9"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1A3C4BD8"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1933 кооперированным производством Осоавиахима УССР на территории Харьковского завода муз. инструментов под руководством С.Я.Жолтовского был построен облагороженный У-2, но достичь прироста скорости до 150-160 км/час достичь не удалось. Работа велась с начала 1932 (553,144).</w:t>
      </w:r>
    </w:p>
    <w:p w14:paraId="163656F1"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3DB21B3E"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1933 первый АИР-6 поставили на однореданные деревянные поплавки, спроектированные В.Б.Ш. по подобию поплавков для АИР-2, но увеличенных размеров (3550,9).</w:t>
      </w:r>
    </w:p>
    <w:p w14:paraId="74CBDC22"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2F5299FD" w14:textId="77777777" w:rsidR="000268E0" w:rsidRPr="00C33834" w:rsidRDefault="000268E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Ле</w:t>
      </w:r>
      <w:r w:rsidRPr="00C33834">
        <w:rPr>
          <w:rFonts w:ascii="Times New Roman" w:hAnsi="Times New Roman"/>
          <w:color w:val="0070C0"/>
          <w:sz w:val="16"/>
          <w:szCs w:val="16"/>
        </w:rPr>
        <w:softHyphen/>
        <w:t>том 1933 г. два первых автожира (московской и киевской постройки) летали уже вполне уверенно - по состоянию на 4 августа они совершили 28 полетов с общим полетным временем 7 часов 53 минуты (20381).</w:t>
      </w:r>
    </w:p>
    <w:p w14:paraId="0EEA5083" w14:textId="77777777" w:rsidR="000268E0" w:rsidRPr="00C33834" w:rsidRDefault="000268E0" w:rsidP="00C33834">
      <w:pPr>
        <w:spacing w:after="0" w:line="240" w:lineRule="auto"/>
        <w:jc w:val="both"/>
        <w:rPr>
          <w:rFonts w:ascii="Times New Roman" w:hAnsi="Times New Roman"/>
          <w:color w:val="0070C0"/>
          <w:sz w:val="16"/>
          <w:szCs w:val="16"/>
        </w:rPr>
      </w:pPr>
    </w:p>
    <w:p w14:paraId="718C810B" w14:textId="77777777" w:rsidR="000268E0" w:rsidRPr="00C33834" w:rsidRDefault="000268E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Летом 1933 г. первый экземпляр автожира А- 6 вышел на испытания, а второй, который хо</w:t>
      </w:r>
      <w:r w:rsidRPr="00C33834">
        <w:rPr>
          <w:rFonts w:ascii="Times New Roman" w:hAnsi="Times New Roman"/>
          <w:color w:val="0070C0"/>
          <w:sz w:val="16"/>
          <w:szCs w:val="16"/>
        </w:rPr>
        <w:softHyphen/>
        <w:t>тели закончить осенью 1933 г., значился уже как А-8 (20361).</w:t>
      </w:r>
    </w:p>
    <w:p w14:paraId="363F78DC" w14:textId="77777777" w:rsidR="000268E0" w:rsidRPr="00C33834" w:rsidRDefault="000268E0" w:rsidP="00C33834">
      <w:pPr>
        <w:spacing w:after="0" w:line="240" w:lineRule="auto"/>
        <w:jc w:val="both"/>
        <w:rPr>
          <w:rFonts w:ascii="Times New Roman" w:hAnsi="Times New Roman"/>
          <w:color w:val="0070C0"/>
          <w:sz w:val="16"/>
          <w:szCs w:val="16"/>
        </w:rPr>
      </w:pPr>
    </w:p>
    <w:p w14:paraId="4BC8F08C"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1933 г. в мастерских ЦИАМ изготовили первый опытный образец АН-1 (Н-1). Разрабатывался в отделе нефтяных двигателей НАМ (ЦИАМ) под руко</w:t>
      </w:r>
      <w:r w:rsidRPr="00C33834">
        <w:rPr>
          <w:rFonts w:ascii="Times New Roman" w:hAnsi="Times New Roman"/>
          <w:color w:val="000000" w:themeColor="text1"/>
          <w:sz w:val="16"/>
          <w:szCs w:val="16"/>
        </w:rPr>
        <w:softHyphen/>
        <w:t>водством А.Д. Чаромского с 1931 г. по заданию Н-1. Общая компоновка и силовая схема двигателя были аналогичны М-34. Газораспределение — че-тырехклапанное. Он проходил стендовые испытания в 1933-1934 гг. Были отмечены неу</w:t>
      </w:r>
      <w:r w:rsidRPr="00C33834">
        <w:rPr>
          <w:rFonts w:ascii="Times New Roman" w:hAnsi="Times New Roman"/>
          <w:color w:val="000000" w:themeColor="text1"/>
          <w:sz w:val="16"/>
          <w:szCs w:val="16"/>
        </w:rPr>
        <w:softHyphen/>
        <w:t>стойчивая работа на малом газе, плохой запуск при низких температурах. В октябре — ноябре 1935 г. АН-1 прошел госиспытания. По их результатам предложили выпустить опытную партию из 35—40 дизелей. В конце 1936 г. двигатель проходил летные испытания (50 ч) на самолете АНТ-36 (РДД) — АНТ-25 (РД), переделанном под дизель. Впоследствии АН-1 неоднократно модифицировался, включая и не авиа</w:t>
      </w:r>
      <w:r w:rsidRPr="00C33834">
        <w:rPr>
          <w:rFonts w:ascii="Times New Roman" w:hAnsi="Times New Roman"/>
          <w:color w:val="000000" w:themeColor="text1"/>
          <w:sz w:val="16"/>
          <w:szCs w:val="16"/>
        </w:rPr>
        <w:softHyphen/>
        <w:t>ционные варианты. В массовом производстве он не был, но различные модификации изготавливались небольшими опытными сериями. В общей сложности выпущено около 100 экз.</w:t>
      </w:r>
    </w:p>
    <w:p w14:paraId="76C10FC9"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Характеристики:</w:t>
      </w:r>
    </w:p>
    <w:p w14:paraId="6787858F"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12-цилиндровый, рядный У-образный дизель, четырехтактный, водя</w:t>
      </w:r>
      <w:r w:rsidRPr="00C33834">
        <w:rPr>
          <w:rFonts w:ascii="Times New Roman" w:hAnsi="Times New Roman"/>
          <w:color w:val="000000" w:themeColor="text1"/>
          <w:sz w:val="16"/>
          <w:szCs w:val="16"/>
        </w:rPr>
        <w:softHyphen/>
        <w:t>ного охлаждения;</w:t>
      </w:r>
    </w:p>
    <w:p w14:paraId="551B9C62"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объем 61,04 л;</w:t>
      </w:r>
    </w:p>
    <w:p w14:paraId="1F4B48D9"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диаметр цилиндра/ход поршня 180/200 мм (в цилиндрах с прицепными шатунами 209,95 мм);</w:t>
      </w:r>
    </w:p>
    <w:p w14:paraId="2636803B"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степень сжатия 13,5;</w:t>
      </w:r>
    </w:p>
    <w:p w14:paraId="13E21148"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мощность и вес в зависимости от модификации. Известны следующие модификации:</w:t>
      </w:r>
    </w:p>
    <w:p w14:paraId="62BDB352"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АН-1, первый опытный вариант, изготовлен летом 1933 г. Первона</w:t>
      </w:r>
      <w:r w:rsidRPr="00C33834">
        <w:rPr>
          <w:rFonts w:ascii="Times New Roman" w:hAnsi="Times New Roman"/>
          <w:color w:val="000000" w:themeColor="text1"/>
          <w:sz w:val="16"/>
          <w:szCs w:val="16"/>
        </w:rPr>
        <w:softHyphen/>
        <w:t>чально не имел наддува, затем испытывался с односкоростным ПЦН конструкции П.И. Орлова. По плану заводские испытания предполага</w:t>
      </w:r>
      <w:r w:rsidRPr="00C33834">
        <w:rPr>
          <w:rFonts w:ascii="Times New Roman" w:hAnsi="Times New Roman"/>
          <w:color w:val="000000" w:themeColor="text1"/>
          <w:sz w:val="16"/>
          <w:szCs w:val="16"/>
        </w:rPr>
        <w:softHyphen/>
        <w:t>лось начать 1 ноября 1933 г. В действительности АН-1 проходил ис-| пытания и доводку в 1933-1934 гг. Мощность 750/800 л.с. (фактиче-| ски на испытаниях добились 814 л.с.). Вес по заданию 950 кг, позднее поднятый до 975 кг, фактически 1003 кг, после доводки и внесения</w:t>
      </w:r>
    </w:p>
    <w:p w14:paraId="22954B86"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ряда местных усилений 1021 кг. В октябре — ноябре двигатель про</w:t>
      </w:r>
      <w:r w:rsidRPr="00C33834">
        <w:rPr>
          <w:rFonts w:ascii="Times New Roman" w:hAnsi="Times New Roman"/>
          <w:color w:val="000000" w:themeColor="text1"/>
          <w:sz w:val="16"/>
          <w:szCs w:val="16"/>
        </w:rPr>
        <w:softHyphen/>
        <w:t>шел госиспытания. В конце 1936 г. АН-1 испытывался на самолете АНТ-36. Советский дизель уступал современным ему немецким кон</w:t>
      </w:r>
      <w:r w:rsidRPr="00C33834">
        <w:rPr>
          <w:rFonts w:ascii="Times New Roman" w:hAnsi="Times New Roman"/>
          <w:color w:val="000000" w:themeColor="text1"/>
          <w:sz w:val="16"/>
          <w:szCs w:val="16"/>
        </w:rPr>
        <w:softHyphen/>
        <w:t>струкциям по удельному весу и имел большую лобовую площадь.</w:t>
      </w:r>
    </w:p>
    <w:p w14:paraId="547F1B63"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АН-1А, модифицированный вариант 1936 г. с одно скоростным ПЦН. Проектировался и доводился под руководством Чаромского, после ареста последнего — Ф.Я. Тулупова. Форсирован по оборотам. Мощ</w:t>
      </w:r>
      <w:r w:rsidRPr="00C33834">
        <w:rPr>
          <w:rFonts w:ascii="Times New Roman" w:hAnsi="Times New Roman"/>
          <w:color w:val="000000" w:themeColor="text1"/>
          <w:sz w:val="16"/>
          <w:szCs w:val="16"/>
        </w:rPr>
        <w:softHyphen/>
        <w:t>ность 850/900 л.с., вес 1040 кг. Первый раз выставлялся на госиспы</w:t>
      </w:r>
      <w:r w:rsidRPr="00C33834">
        <w:rPr>
          <w:rFonts w:ascii="Times New Roman" w:hAnsi="Times New Roman"/>
          <w:color w:val="000000" w:themeColor="text1"/>
          <w:sz w:val="16"/>
          <w:szCs w:val="16"/>
        </w:rPr>
        <w:softHyphen/>
        <w:t>тания в 1936 г., но неудачно. В январе 1937 г. прошел госиспытания (100 ч), показав мощность 900/913 л.с. Изготовлена малая серия в мастерских ЦИАМ. В начале 1937 г. испытывался на ТБ-ЗД (испы</w:t>
      </w:r>
      <w:r w:rsidRPr="00C33834">
        <w:rPr>
          <w:rFonts w:ascii="Times New Roman" w:hAnsi="Times New Roman"/>
          <w:color w:val="000000" w:themeColor="text1"/>
          <w:sz w:val="16"/>
          <w:szCs w:val="16"/>
        </w:rPr>
        <w:softHyphen/>
        <w:t>тания закончились катастрофой).</w:t>
      </w:r>
    </w:p>
    <w:p w14:paraId="2B4A7849"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АН-1Р, редукторный вариант АН-1А. Разрабатывался параллельно с последним с 1936 г. Мощность 850/900 л.с., вес 1000 кг (по заданию). Прошел госиспытания на стенде в начале 1938 г., в том же году — летные испытания. В январе 1939 г. передан ЦИАМ для доработки. Предполагалось серийное производство АН-1Р на заводе № 82, но затем решили делать более позднюю модификацию — АН-1РТК.</w:t>
      </w:r>
    </w:p>
    <w:p w14:paraId="62F561C2"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АН-1РТК, усовершенствованный вариант с турбонаддувом. Проекти</w:t>
      </w:r>
      <w:r w:rsidRPr="00C33834">
        <w:rPr>
          <w:rFonts w:ascii="Times New Roman" w:hAnsi="Times New Roman"/>
          <w:color w:val="000000" w:themeColor="text1"/>
          <w:sz w:val="16"/>
          <w:szCs w:val="16"/>
        </w:rPr>
        <w:softHyphen/>
        <w:t>ровался с 1936 г. под руководством Чаромского, затем В.М. Яковле</w:t>
      </w:r>
      <w:r w:rsidRPr="00C33834">
        <w:rPr>
          <w:rFonts w:ascii="Times New Roman" w:hAnsi="Times New Roman"/>
          <w:color w:val="000000" w:themeColor="text1"/>
          <w:sz w:val="16"/>
          <w:szCs w:val="16"/>
        </w:rPr>
        <w:softHyphen/>
        <w:t>ва. В январе 1938 г. АН-1РТК предъявили на госиспытания с двумя турбонагнетателями конструкции В.И. Дмитриевского и И.Е. Скляра и ПЦН Э-88. Мощность этого варианта 1000/1200 л.с. В 1939 г. дви</w:t>
      </w:r>
      <w:r w:rsidRPr="00C33834">
        <w:rPr>
          <w:rFonts w:ascii="Times New Roman" w:hAnsi="Times New Roman"/>
          <w:color w:val="000000" w:themeColor="text1"/>
          <w:sz w:val="16"/>
          <w:szCs w:val="16"/>
        </w:rPr>
        <w:softHyphen/>
        <w:t>гатель проходил стендовые высотные испытания на Памире. В ходе Памирской экспедиции 1939 г. АН-1Р испытывали на передвижном стенде в высокогорье с тремя системами наддува: с турбокомпрес</w:t>
      </w:r>
      <w:r w:rsidRPr="00C33834">
        <w:rPr>
          <w:rFonts w:ascii="Times New Roman" w:hAnsi="Times New Roman"/>
          <w:color w:val="000000" w:themeColor="text1"/>
          <w:sz w:val="16"/>
          <w:szCs w:val="16"/>
        </w:rPr>
        <w:softHyphen/>
        <w:t>сорами, с Э-88 и с комбинированной — два турбонагнетателя плюс ПЦН. Лучшим признали вариант с Э-88.</w:t>
      </w:r>
    </w:p>
    <w:p w14:paraId="7AB43620"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1940 г. изготовлен вариант с измененной системой наддува, он имел четыре турбонагнетателя конструкции М.А. Кузьмина и И.Е. Скля</w:t>
      </w:r>
      <w:r w:rsidRPr="00C33834">
        <w:rPr>
          <w:rFonts w:ascii="Times New Roman" w:hAnsi="Times New Roman"/>
          <w:color w:val="000000" w:themeColor="text1"/>
          <w:sz w:val="16"/>
          <w:szCs w:val="16"/>
        </w:rPr>
        <w:softHyphen/>
        <w:t>ра без ПЦН. Этот дизель имел мощность 1000/1250 л.с., вес 1100 кг. В 1940 г. готовился специальный вариант с приводом наддува гермо-кабины для планировавшегося кругосветного перелета М.М. Громова.</w:t>
      </w:r>
    </w:p>
    <w:p w14:paraId="6E8D63FB"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АН-1М, катерный вариант АН-1А с реверс-муфтой, без наддува и с агре</w:t>
      </w:r>
      <w:r w:rsidRPr="00C33834">
        <w:rPr>
          <w:rFonts w:ascii="Times New Roman" w:hAnsi="Times New Roman"/>
          <w:color w:val="000000" w:themeColor="text1"/>
          <w:sz w:val="16"/>
          <w:szCs w:val="16"/>
        </w:rPr>
        <w:softHyphen/>
        <w:t>гатами от ГАМ-34. Мощность 850/950 л.с., вес 1350 кг. Создавался в кон</w:t>
      </w:r>
      <w:r w:rsidRPr="00C33834">
        <w:rPr>
          <w:rFonts w:ascii="Times New Roman" w:hAnsi="Times New Roman"/>
          <w:color w:val="000000" w:themeColor="text1"/>
          <w:sz w:val="16"/>
          <w:szCs w:val="16"/>
        </w:rPr>
        <w:softHyphen/>
        <w:t>структорском бюро завода № 24 под руководством В.М. Яковлева с начала 1937 г. В 1939 г. прошел заводские испытания. В конце 1939 г. работу прекратили, поскольку наркомат ВМФ изменил требования задания. Модификация АН-1РТК послужила основой для более поздних дизелей М-30, М-40 и М-50. Разработки по АН-1Р использовали для проектирова</w:t>
      </w:r>
      <w:r w:rsidRPr="00C33834">
        <w:rPr>
          <w:rFonts w:ascii="Times New Roman" w:hAnsi="Times New Roman"/>
          <w:color w:val="000000" w:themeColor="text1"/>
          <w:sz w:val="16"/>
          <w:szCs w:val="16"/>
        </w:rPr>
        <w:softHyphen/>
        <w:t>ния катерного М-50Р, строившегося серийно. Многие элементы конструк</w:t>
      </w:r>
      <w:r w:rsidRPr="00C33834">
        <w:rPr>
          <w:rFonts w:ascii="Times New Roman" w:hAnsi="Times New Roman"/>
          <w:color w:val="000000" w:themeColor="text1"/>
          <w:sz w:val="16"/>
          <w:szCs w:val="16"/>
        </w:rPr>
        <w:softHyphen/>
        <w:t>ции АН-1 заимствовали в массовом танковом дизеле В-2.</w:t>
      </w:r>
    </w:p>
    <w:p w14:paraId="414185DA"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АН-1 проходил летные испытания на самолетах РДД и ТБ-ЗД (11852).</w:t>
      </w:r>
    </w:p>
    <w:p w14:paraId="09B8C4CE"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62C6B1"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1933 г. был изготовлен АН-1, первый опытный вариант. Первона</w:t>
      </w:r>
      <w:r w:rsidRPr="00C33834">
        <w:rPr>
          <w:rFonts w:ascii="Times New Roman" w:hAnsi="Times New Roman"/>
          <w:color w:val="000000" w:themeColor="text1"/>
          <w:sz w:val="16"/>
          <w:szCs w:val="16"/>
        </w:rPr>
        <w:softHyphen/>
        <w:t>чально не имел наддува, затем испытывался с односкоростным ПЦН конструкции П.И. Орлова. По плану заводские испытания предполага</w:t>
      </w:r>
      <w:r w:rsidRPr="00C33834">
        <w:rPr>
          <w:rFonts w:ascii="Times New Roman" w:hAnsi="Times New Roman"/>
          <w:color w:val="000000" w:themeColor="text1"/>
          <w:sz w:val="16"/>
          <w:szCs w:val="16"/>
        </w:rPr>
        <w:softHyphen/>
        <w:t>лось начать 1 ноября 1933 г. В действительности АН-1 проходил испытания и доводку в 1933-1934 гг. Мощность 750/800 л.с. (фактически на испытаниях добились 814 л.с.). Вес по заданию 950 кг, позднее поднятый до 975 кг, фактически 1003 кг, после доводки и внесения ряда местных усилений 1021 кг. В октябре — ноябре двигатель про</w:t>
      </w:r>
      <w:r w:rsidRPr="00C33834">
        <w:rPr>
          <w:rFonts w:ascii="Times New Roman" w:hAnsi="Times New Roman"/>
          <w:color w:val="000000" w:themeColor="text1"/>
          <w:sz w:val="16"/>
          <w:szCs w:val="16"/>
        </w:rPr>
        <w:softHyphen/>
        <w:t>шел госиспытания. В конце 1936 г. АН-1 испытывался на самолете АНТ-36. Советский дизель уступал современным ему немецким кон</w:t>
      </w:r>
      <w:r w:rsidRPr="00C33834">
        <w:rPr>
          <w:rFonts w:ascii="Times New Roman" w:hAnsi="Times New Roman"/>
          <w:color w:val="000000" w:themeColor="text1"/>
          <w:sz w:val="16"/>
          <w:szCs w:val="16"/>
        </w:rPr>
        <w:softHyphen/>
        <w:t>струкциям по удельному весу и имел большую лобовую площадь (11852).</w:t>
      </w:r>
    </w:p>
    <w:p w14:paraId="386D1C17"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DB6324" w14:textId="77777777" w:rsidR="00EA7008" w:rsidRPr="00C33834" w:rsidRDefault="00EA7008"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1933 года серия из 24 автопилота для ТБ-1, изготовленных заводом «Метрон» была установлена на самолеты и проходила опытную эксплуатацию в строевых частях ВВС РККА. Вторая опытная серия этого же автопилота в количестве 50 штук была заказана летом 1933 года и закончена изготовлением в январе 1934 года. Вся серия автопилотов разослана по строевым частям, где они монтируются на самолеты силами самих частей (4039,114).</w:t>
      </w:r>
    </w:p>
    <w:p w14:paraId="17772C2E" w14:textId="77777777" w:rsidR="00EA7008" w:rsidRPr="00C33834" w:rsidRDefault="00EA7008"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1E69ADB" w14:textId="77777777" w:rsidR="00B849DC" w:rsidRPr="00C33834" w:rsidRDefault="00B849DC" w:rsidP="00C33834">
      <w:pPr>
        <w:pStyle w:val="ae"/>
        <w:shd w:val="clear" w:color="auto" w:fill="FFFFFF"/>
        <w:spacing w:before="0" w:after="0"/>
        <w:jc w:val="both"/>
        <w:rPr>
          <w:color w:val="000000" w:themeColor="text1"/>
          <w:sz w:val="16"/>
          <w:szCs w:val="16"/>
        </w:rPr>
      </w:pPr>
      <w:r w:rsidRPr="00C33834">
        <w:rPr>
          <w:color w:val="000000" w:themeColor="text1"/>
          <w:sz w:val="16"/>
          <w:szCs w:val="16"/>
        </w:rPr>
        <w:t>Летом 1933 года, когда ленинградские создатели стратостата «ОСОАВИАХИМ-1» доложили правительству о завершении строительства стратостата и готовности к полету, из Москвы приехала комиссия для проверки готовности и конструкции аэростата, прежде всего его гондолы. Ознакомившись на месте с гондолой ленинградского стратостата, комиссия составила официальный акт и доложила свои соображения на собрании ленинградского отделения ОСОАВИАХИМа, на котором присутствовали руководство организации (Иванов) и все участники строительства. Общий вывод комиссии гласил: гондола имеет существенные конструктивные недостатки и выпускать ее в таком состоянии в полет с людьми нельзя. Важнейшие недостатки гондолы были связаны с обеспечением безопасности полета и аварийного спуска.</w:t>
      </w:r>
    </w:p>
    <w:p w14:paraId="16CF9B9A" w14:textId="77777777" w:rsidR="00B849DC" w:rsidRPr="00C33834" w:rsidRDefault="00B849DC" w:rsidP="00C33834">
      <w:pPr>
        <w:pStyle w:val="ae"/>
        <w:shd w:val="clear" w:color="auto" w:fill="FFFFFF"/>
        <w:spacing w:before="0" w:after="0"/>
        <w:jc w:val="both"/>
        <w:rPr>
          <w:color w:val="000000" w:themeColor="text1"/>
          <w:sz w:val="16"/>
          <w:szCs w:val="16"/>
        </w:rPr>
      </w:pPr>
      <w:r w:rsidRPr="00C33834">
        <w:rPr>
          <w:color w:val="000000" w:themeColor="text1"/>
          <w:sz w:val="16"/>
          <w:szCs w:val="16"/>
        </w:rPr>
        <w:t>Прежде всего, это была неудачная конструкция единственного люка гондолы «ОСОАВИАХИМ-1». В гондоле стратостата «СССР-1» было два люка, причем открывание их производилось поворотом штурвала в его центре в течение 5-6 с. В гондоле стратостата «ОСОАВИАХИМ» крышка единственного люка имела по окружности 24 отверстия, а на кольце обшивки гондолы было 24 шпильки. Крышка поднималась руками и надевалась отверстиями на шпильки, на которые затем навертывались барашковые гайки, прижимавшие крышку к кольцу обшивки. Для открывания люка нужно было отвернуть 24 гайки, а затем снять крышку со шпилек. Даже в наземных условиях для этого требовалось несколько минут. Кроме того, люк находился в самой верхней части гондолы, а выход в него осуществлялся при помощи веревочной лестницы.</w:t>
      </w:r>
    </w:p>
    <w:p w14:paraId="359126D5" w14:textId="77777777" w:rsidR="00B849DC" w:rsidRPr="00C33834" w:rsidRDefault="00B849DC" w:rsidP="00C33834">
      <w:pPr>
        <w:pStyle w:val="ae"/>
        <w:shd w:val="clear" w:color="auto" w:fill="FFFFFF"/>
        <w:spacing w:before="0" w:after="0"/>
        <w:jc w:val="both"/>
        <w:rPr>
          <w:color w:val="000000" w:themeColor="text1"/>
          <w:sz w:val="16"/>
          <w:szCs w:val="16"/>
        </w:rPr>
      </w:pPr>
      <w:r w:rsidRPr="00C33834">
        <w:rPr>
          <w:color w:val="000000" w:themeColor="text1"/>
          <w:sz w:val="16"/>
          <w:szCs w:val="16"/>
        </w:rPr>
        <w:t>Столь же неудовлетворительно был решен вопрос с балластом. Балласт, необходимый для безопасного спуска аэростата (1 т мелкой свинцовой дроби) помещался внутри гондолы. Для сбрасывания в гондоле имелось устройство в виде воронки и специального кармана с трубой, проходившей через обшивку наружу. Дробь зачерпывалась совком и засыпалась в воронку, из нее пересыпаясь в расположенный ниже карман. После этого закрывался кран между воронкой и карманом, и открывался кран между карманом и трубкой. Таким образом, дробь через трубку высыпалась наружу без нарушения герметичности гондолы. Скорость сбрасывания балласта была очень незначительной, поэтому для освобождения от тонны балласта требовалось больше часа времени. (Для сравнения, на «СССР-1» на это уходило всего 1-2 минуты.) Таким образом, было невозможно быстро сбросить балласт при опасном возрастании скорости спуска.</w:t>
      </w:r>
    </w:p>
    <w:p w14:paraId="1C8B8296" w14:textId="77777777" w:rsidR="00B849DC" w:rsidRPr="00C33834" w:rsidRDefault="00B849DC" w:rsidP="00C33834">
      <w:pPr>
        <w:pStyle w:val="ae"/>
        <w:shd w:val="clear" w:color="auto" w:fill="FFFFFF"/>
        <w:spacing w:before="0" w:after="0"/>
        <w:jc w:val="both"/>
        <w:rPr>
          <w:color w:val="000000" w:themeColor="text1"/>
          <w:sz w:val="16"/>
          <w:szCs w:val="16"/>
        </w:rPr>
      </w:pPr>
      <w:r w:rsidRPr="00C33834">
        <w:rPr>
          <w:color w:val="000000" w:themeColor="text1"/>
          <w:sz w:val="16"/>
          <w:szCs w:val="16"/>
        </w:rPr>
        <w:t>Помимо этих недостатков были и другие. Гондола шарообразной формы, сваренная из листовой стали толщиной 0,8 мм, не имела никакого каркаса. Ее обшивка, помимо избыточного давления изнутри, воспринимала также все местные нагрузки от веса балласта, оборудования, экипажа, что могло вызвать местные деформации. Гондола охватывалась веревочной сеткой, подведенной под ее днище, которая крепилась к стропам оболочки не двадцатью четырьмя, а восемью веревками. Хотя каждая из этих веревок была настолько прочной, что одна могла выдержать тяжесть гондолы, такое крепление гондолы не гарантировало ее от произвольного поворота в сетке под действием местных нагрузок. Концы веревок разделялись на несколько ветвей, и уже концы этих ветвей прикреплялись к оболочке посредством особых лап, пришитых к оболочке. Веревки крепились к разветвлениям не узлом, а посредством петель. В случае обрыва ветки петля сползала и освобождала веревку. Амортизатором при посадке служила резиновая камера, прикрепленная снизу к сетке, охватывающей гондолу. Небольшое сечение камеры не могло обеспечить при посадке сколько-нибудь существенное смягчение удара/</w:t>
      </w:r>
    </w:p>
    <w:p w14:paraId="2F1D79BA" w14:textId="77777777" w:rsidR="00B849DC" w:rsidRPr="00C33834" w:rsidRDefault="00B849DC" w:rsidP="00C33834">
      <w:pPr>
        <w:pStyle w:val="ae"/>
        <w:shd w:val="clear" w:color="auto" w:fill="FFFFFF"/>
        <w:spacing w:before="0" w:after="0"/>
        <w:jc w:val="both"/>
        <w:rPr>
          <w:color w:val="000000" w:themeColor="text1"/>
          <w:sz w:val="16"/>
          <w:szCs w:val="16"/>
        </w:rPr>
      </w:pPr>
      <w:r w:rsidRPr="00C33834">
        <w:rPr>
          <w:color w:val="000000" w:themeColor="text1"/>
          <w:sz w:val="16"/>
          <w:szCs w:val="16"/>
        </w:rPr>
        <w:t xml:space="preserve">Полет аэростата «ОСОАВИАХИМ-1» задержали, но исправить отмеченные комиссией недостатки не удалось. Тем не менее было все же решено совершить полет на стратостате. По сегодняшним представлениям такое решение было ошибочным, вызванным лишь стремлением побить мировой рекорд. Но нельзя игнорировать </w:t>
      </w:r>
      <w:r w:rsidRPr="00C33834">
        <w:rPr>
          <w:color w:val="000000" w:themeColor="text1"/>
          <w:sz w:val="16"/>
          <w:szCs w:val="16"/>
        </w:rPr>
        <w:lastRenderedPageBreak/>
        <w:t>общий настрой людей того времени, которые, стремясь к победе, «экономили» на средствах спасения.</w:t>
      </w:r>
    </w:p>
    <w:p w14:paraId="18D3A81E" w14:textId="77777777" w:rsidR="00B849DC" w:rsidRPr="00C33834" w:rsidRDefault="00B849DC" w:rsidP="00C33834">
      <w:pPr>
        <w:pStyle w:val="ae"/>
        <w:shd w:val="clear" w:color="auto" w:fill="FFFFFF"/>
        <w:spacing w:before="0" w:after="0"/>
        <w:jc w:val="both"/>
        <w:rPr>
          <w:color w:val="000000" w:themeColor="text1"/>
          <w:sz w:val="16"/>
          <w:szCs w:val="16"/>
        </w:rPr>
      </w:pPr>
      <w:r w:rsidRPr="00C33834">
        <w:rPr>
          <w:color w:val="000000" w:themeColor="text1"/>
          <w:sz w:val="16"/>
          <w:szCs w:val="16"/>
        </w:rPr>
        <w:t>Стратостат должен был стартовать 30 сентября 1933 года, в тот же день, что и «СССР-1». Однако поднявшийся ветер помешал полету. Плохая погода не позволила выпустить стратостат ОСОАВИАХИМа до января 1934 года. В конце этого месяца условия оказались более благоприятными, и решено было произвести исследование стратосферы в зимних условиях (19614).</w:t>
      </w:r>
    </w:p>
    <w:p w14:paraId="0AE54EAF" w14:textId="77777777" w:rsidR="00B849DC" w:rsidRPr="00C33834" w:rsidRDefault="00B849DC" w:rsidP="00C33834">
      <w:pPr>
        <w:spacing w:after="0" w:line="240" w:lineRule="auto"/>
        <w:jc w:val="both"/>
        <w:rPr>
          <w:rFonts w:ascii="Times New Roman" w:hAnsi="Times New Roman"/>
          <w:color w:val="000000" w:themeColor="text1"/>
          <w:sz w:val="16"/>
          <w:szCs w:val="16"/>
        </w:rPr>
      </w:pPr>
    </w:p>
    <w:p w14:paraId="1A084381"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лета 1933 г. на ленин</w:t>
      </w:r>
      <w:r w:rsidRPr="00C33834">
        <w:rPr>
          <w:rFonts w:ascii="Times New Roman" w:hAnsi="Times New Roman"/>
          <w:color w:val="000000" w:themeColor="text1"/>
          <w:sz w:val="16"/>
          <w:szCs w:val="16"/>
        </w:rPr>
        <w:softHyphen/>
        <w:t>градском заводе им. А. Марти под руководством инженера-судостроителя В. М. Бурдакова строились серийные катера АНТ-5, получившие обозначение Г-5. На них устанавливались отече</w:t>
      </w:r>
      <w:r w:rsidRPr="00C33834">
        <w:rPr>
          <w:rFonts w:ascii="Times New Roman" w:hAnsi="Times New Roman"/>
          <w:color w:val="000000" w:themeColor="text1"/>
          <w:sz w:val="16"/>
          <w:szCs w:val="16"/>
        </w:rPr>
        <w:softHyphen/>
        <w:t>ственные двигатели ГАМ-34 (конвертированные авиацион</w:t>
      </w:r>
      <w:r w:rsidRPr="00C33834">
        <w:rPr>
          <w:rFonts w:ascii="Times New Roman" w:hAnsi="Times New Roman"/>
          <w:color w:val="000000" w:themeColor="text1"/>
          <w:sz w:val="16"/>
          <w:szCs w:val="16"/>
        </w:rPr>
        <w:softHyphen/>
        <w:t>ные АМ-34 известного впос</w:t>
      </w:r>
      <w:r w:rsidRPr="00C33834">
        <w:rPr>
          <w:rFonts w:ascii="Times New Roman" w:hAnsi="Times New Roman"/>
          <w:color w:val="000000" w:themeColor="text1"/>
          <w:sz w:val="16"/>
          <w:szCs w:val="16"/>
        </w:rPr>
        <w:softHyphen/>
        <w:t>ледствии конструктора авиа</w:t>
      </w:r>
      <w:r w:rsidRPr="00C33834">
        <w:rPr>
          <w:rFonts w:ascii="Times New Roman" w:hAnsi="Times New Roman"/>
          <w:color w:val="000000" w:themeColor="text1"/>
          <w:sz w:val="16"/>
          <w:szCs w:val="16"/>
        </w:rPr>
        <w:softHyphen/>
        <w:t>двигателей А. А. Микулина). Отдельные узлы корпуса бы</w:t>
      </w:r>
      <w:r w:rsidRPr="00C33834">
        <w:rPr>
          <w:rFonts w:ascii="Times New Roman" w:hAnsi="Times New Roman"/>
          <w:color w:val="000000" w:themeColor="text1"/>
          <w:sz w:val="16"/>
          <w:szCs w:val="16"/>
        </w:rPr>
        <w:softHyphen/>
        <w:t>ли усилены заводским КБ по инициативе его начальника К. В. Попова. Головной катер № 140 на испытаниях развил скорость 51,4 уз. В 1934— 1935 гг. завод им. А. Марти по</w:t>
      </w:r>
      <w:r w:rsidRPr="00C33834">
        <w:rPr>
          <w:rFonts w:ascii="Times New Roman" w:hAnsi="Times New Roman"/>
          <w:color w:val="000000" w:themeColor="text1"/>
          <w:sz w:val="16"/>
          <w:szCs w:val="16"/>
        </w:rPr>
        <w:softHyphen/>
        <w:t>строил 150 торпедных катеров трех серий, нумерация которых следовала за нумерацией серий катеров Ш-4 (т. е. VI—VIII се</w:t>
      </w:r>
      <w:r w:rsidRPr="00C33834">
        <w:rPr>
          <w:rFonts w:ascii="Times New Roman" w:hAnsi="Times New Roman"/>
          <w:color w:val="000000" w:themeColor="text1"/>
          <w:sz w:val="16"/>
          <w:szCs w:val="16"/>
        </w:rPr>
        <w:softHyphen/>
        <w:t>рии). Сметная стоимость одно</w:t>
      </w:r>
      <w:r w:rsidRPr="00C33834">
        <w:rPr>
          <w:rFonts w:ascii="Times New Roman" w:hAnsi="Times New Roman"/>
          <w:color w:val="000000" w:themeColor="text1"/>
          <w:sz w:val="16"/>
          <w:szCs w:val="16"/>
        </w:rPr>
        <w:softHyphen/>
        <w:t>го серийного катера составила 336 тыс. руб.</w:t>
      </w:r>
    </w:p>
    <w:p w14:paraId="4A125A9E"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1934 г. бьша сделана по</w:t>
      </w:r>
      <w:r w:rsidRPr="00C33834">
        <w:rPr>
          <w:rFonts w:ascii="Times New Roman" w:hAnsi="Times New Roman"/>
          <w:color w:val="000000" w:themeColor="text1"/>
          <w:sz w:val="16"/>
          <w:szCs w:val="16"/>
        </w:rPr>
        <w:softHyphen/>
        <w:t>пытка создать деревянный ана</w:t>
      </w:r>
      <w:r w:rsidRPr="00C33834">
        <w:rPr>
          <w:rFonts w:ascii="Times New Roman" w:hAnsi="Times New Roman"/>
          <w:color w:val="000000" w:themeColor="text1"/>
          <w:sz w:val="16"/>
          <w:szCs w:val="16"/>
        </w:rPr>
        <w:softHyphen/>
        <w:t>лог торпедного катера типа Г-5. Проект его разрабатывался в конструкторском бюро НИСС, а постройка головного катера осуществлялась на заводе Осоавиахи-ма в Ленинграде. Еще 3 единицы бьши построены на заводе № 5 НКВД. По водоизмещению деревянный катер ДТК в 1,5 раза "превзошел" Г-5, а его скорость снизилась до 47 уз. Дальнейшего развития эти разработки не получили.</w:t>
      </w:r>
    </w:p>
    <w:p w14:paraId="3D2B466D"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Туполевские торпедные катера типов Ш-4 и Г-5 представляли собой удачный в инженерном отношении пример реализации зада</w:t>
      </w:r>
      <w:r w:rsidRPr="00C33834">
        <w:rPr>
          <w:rFonts w:ascii="Times New Roman" w:hAnsi="Times New Roman"/>
          <w:color w:val="000000" w:themeColor="text1"/>
          <w:sz w:val="16"/>
          <w:szCs w:val="16"/>
        </w:rPr>
        <w:softHyphen/>
        <w:t>ний флота с применением нового легкого материала для корпуса. Освоение технологии изготовления дюралевых корпусов на судо</w:t>
      </w:r>
      <w:r w:rsidRPr="00C33834">
        <w:rPr>
          <w:rFonts w:ascii="Times New Roman" w:hAnsi="Times New Roman"/>
          <w:color w:val="000000" w:themeColor="text1"/>
          <w:sz w:val="16"/>
          <w:szCs w:val="16"/>
        </w:rPr>
        <w:softHyphen/>
        <w:t>строительном заводе</w:t>
      </w:r>
      <w:r w:rsidRPr="00C33834">
        <w:rPr>
          <w:rFonts w:ascii="Times New Roman" w:hAnsi="Times New Roman"/>
          <w:color w:val="000000" w:themeColor="text1"/>
          <w:sz w:val="16"/>
          <w:szCs w:val="16"/>
          <w:vertAlign w:val="superscript"/>
        </w:rPr>
        <w:t>8</w:t>
      </w:r>
      <w:r w:rsidRPr="00C33834">
        <w:rPr>
          <w:rFonts w:ascii="Times New Roman" w:hAnsi="Times New Roman"/>
          <w:color w:val="000000" w:themeColor="text1"/>
          <w:sz w:val="16"/>
          <w:szCs w:val="16"/>
        </w:rPr>
        <w:t xml:space="preserve"> и легких мощных авиамоторов следует приJзнать заслугой конструкторов и производственников. Эти достиже</w:t>
      </w:r>
      <w:r w:rsidRPr="00C33834">
        <w:rPr>
          <w:rFonts w:ascii="Times New Roman" w:hAnsi="Times New Roman"/>
          <w:color w:val="000000" w:themeColor="text1"/>
          <w:sz w:val="16"/>
          <w:szCs w:val="16"/>
        </w:rPr>
        <w:softHyphen/>
        <w:t>ния обеспечили в первую очередь высокую скорость хода при удовлетворительной маневренности. Однако Г-5, как и его предше</w:t>
      </w:r>
      <w:r w:rsidRPr="00C33834">
        <w:rPr>
          <w:rFonts w:ascii="Times New Roman" w:hAnsi="Times New Roman"/>
          <w:color w:val="000000" w:themeColor="text1"/>
          <w:sz w:val="16"/>
          <w:szCs w:val="16"/>
        </w:rPr>
        <w:softHyphen/>
        <w:t>ственнику, бьши свойственны ограниченная мореходность (до 3—4 баллов), отсутствие режимов малого хода и неудобство желоб-ных торпедных аппаратов: торпеда сбрасывалась за корму на ско</w:t>
      </w:r>
      <w:r w:rsidRPr="00C33834">
        <w:rPr>
          <w:rFonts w:ascii="Times New Roman" w:hAnsi="Times New Roman"/>
          <w:color w:val="000000" w:themeColor="text1"/>
          <w:sz w:val="16"/>
          <w:szCs w:val="16"/>
        </w:rPr>
        <w:softHyphen/>
        <w:t>рости не менее 16—18 уз. Небольшая дальность плавания также ог</w:t>
      </w:r>
      <w:r w:rsidRPr="00C33834">
        <w:rPr>
          <w:rFonts w:ascii="Times New Roman" w:hAnsi="Times New Roman"/>
          <w:color w:val="000000" w:themeColor="text1"/>
          <w:sz w:val="16"/>
          <w:szCs w:val="16"/>
        </w:rPr>
        <w:softHyphen/>
        <w:t>раничивала возможности использования Г-5 прибрежными вода</w:t>
      </w:r>
      <w:r w:rsidRPr="00C33834">
        <w:rPr>
          <w:rFonts w:ascii="Times New Roman" w:hAnsi="Times New Roman"/>
          <w:color w:val="000000" w:themeColor="text1"/>
          <w:sz w:val="16"/>
          <w:szCs w:val="16"/>
        </w:rPr>
        <w:softHyphen/>
        <w:t>ми, а применение бензиновых двигателей делало катер пожароо</w:t>
      </w:r>
      <w:r w:rsidRPr="00C33834">
        <w:rPr>
          <w:rFonts w:ascii="Times New Roman" w:hAnsi="Times New Roman"/>
          <w:color w:val="000000" w:themeColor="text1"/>
          <w:sz w:val="16"/>
          <w:szCs w:val="16"/>
        </w:rPr>
        <w:softHyphen/>
        <w:t>пасным. Его стрелковое вооружение бьшо неэффективным как против катеров, так и против самолетов. Эти недостатки морякам были известны еще в процессе испытания опытных глиссеров и руководство УВМС периодически обращалось к проблеме создания более крупных и мореходнь1х катеров, вооруженных крупнокали</w:t>
      </w:r>
      <w:r w:rsidRPr="00C33834">
        <w:rPr>
          <w:rFonts w:ascii="Times New Roman" w:hAnsi="Times New Roman"/>
          <w:color w:val="000000" w:themeColor="text1"/>
          <w:sz w:val="16"/>
          <w:szCs w:val="16"/>
        </w:rPr>
        <w:softHyphen/>
        <w:t>берными (12,7 мм) пулеметами. Так, в июле 1932 г. заместитель наморси И. М. Лудри, утвердил оперативно-тактическое задание на мореходный 45-узловой торпедный катер водоизмещением "не более 50 т", вооруженный двумя 12,7-мм пулеметами. Катер пред</w:t>
      </w:r>
      <w:r w:rsidRPr="00C33834">
        <w:rPr>
          <w:rFonts w:ascii="Times New Roman" w:hAnsi="Times New Roman"/>
          <w:color w:val="000000" w:themeColor="text1"/>
          <w:sz w:val="16"/>
          <w:szCs w:val="16"/>
        </w:rPr>
        <w:softHyphen/>
        <w:t>назначался для применения разрабатывавшихся тогда в Остехбюро "сверхторпед" типа "СУ" калибром 24 или 27 дюймов (610 и 686 мм). Предполагалось, что стрельба этими торпедами будет вес</w:t>
      </w:r>
      <w:r w:rsidRPr="00C33834">
        <w:rPr>
          <w:rFonts w:ascii="Times New Roman" w:hAnsi="Times New Roman"/>
          <w:color w:val="000000" w:themeColor="text1"/>
          <w:sz w:val="16"/>
          <w:szCs w:val="16"/>
        </w:rPr>
        <w:softHyphen/>
        <w:t>тись с дистанции около 100 каб. (18,5 км). Задание не бьшо реа</w:t>
      </w:r>
      <w:r w:rsidRPr="00C33834">
        <w:rPr>
          <w:rFonts w:ascii="Times New Roman" w:hAnsi="Times New Roman"/>
          <w:color w:val="000000" w:themeColor="text1"/>
          <w:sz w:val="16"/>
          <w:szCs w:val="16"/>
        </w:rPr>
        <w:softHyphen/>
        <w:t>лизовано из-за сложности создания самого оружия и ориентации командования ВМФ на уже освоенные промышленностью малые катера, для вывода которых в атаку создавался специальный лидер (3898).</w:t>
      </w:r>
    </w:p>
    <w:p w14:paraId="40399412"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2FC4365B" w14:textId="77777777" w:rsidR="000268E0" w:rsidRPr="00C33834" w:rsidRDefault="000268E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 лета 1933 г. по январь 1934 г. в КБ ДУК под руководством ин</w:t>
      </w:r>
      <w:r w:rsidRPr="00C33834">
        <w:rPr>
          <w:rFonts w:ascii="Times New Roman" w:hAnsi="Times New Roman"/>
          <w:color w:val="0070C0"/>
          <w:sz w:val="16"/>
          <w:szCs w:val="16"/>
        </w:rPr>
        <w:softHyphen/>
        <w:t>женера Ф. Трояни разработали проект полужёст</w:t>
      </w:r>
      <w:r w:rsidRPr="00C33834">
        <w:rPr>
          <w:rFonts w:ascii="Times New Roman" w:hAnsi="Times New Roman"/>
          <w:color w:val="0070C0"/>
          <w:sz w:val="16"/>
          <w:szCs w:val="16"/>
        </w:rPr>
        <w:softHyphen/>
        <w:t>кого дирижабля ВУК-1 («СССР В-7») объёмом 9000 м3, предназначенного для ВМФ. Постройка его велась также параллельно с «СССР В-6».</w:t>
      </w:r>
    </w:p>
    <w:p w14:paraId="15661C53" w14:textId="77777777" w:rsidR="000268E0" w:rsidRPr="00C33834" w:rsidRDefault="000268E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 «СССР В-7» впервые применили располо</w:t>
      </w:r>
      <w:r w:rsidRPr="00C33834">
        <w:rPr>
          <w:rFonts w:ascii="Times New Roman" w:hAnsi="Times New Roman"/>
          <w:color w:val="0070C0"/>
          <w:sz w:val="16"/>
          <w:szCs w:val="16"/>
        </w:rPr>
        <w:softHyphen/>
        <w:t>жение килевой фермы треугольного попереч</w:t>
      </w:r>
      <w:r w:rsidRPr="00C33834">
        <w:rPr>
          <w:rFonts w:ascii="Times New Roman" w:hAnsi="Times New Roman"/>
          <w:color w:val="0070C0"/>
          <w:sz w:val="16"/>
          <w:szCs w:val="16"/>
        </w:rPr>
        <w:softHyphen/>
        <w:t>ного сечения вершиной вверх, а не вниз, как на дирижаблях У. Нобиле, что вызвало критику со стороны последнего. У советских конструкторов, в 1930-е годы, однако, не сложилось определён</w:t>
      </w:r>
      <w:r w:rsidRPr="00C33834">
        <w:rPr>
          <w:rFonts w:ascii="Times New Roman" w:hAnsi="Times New Roman"/>
          <w:color w:val="0070C0"/>
          <w:sz w:val="16"/>
          <w:szCs w:val="16"/>
        </w:rPr>
        <w:softHyphen/>
        <w:t>ного мнения о предпочтительности того или иного расположения киля.</w:t>
      </w:r>
    </w:p>
    <w:p w14:paraId="095958C6" w14:textId="77777777" w:rsidR="000268E0" w:rsidRPr="00C33834" w:rsidRDefault="000268E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Новое расположение килевой фермы и при</w:t>
      </w:r>
      <w:r w:rsidRPr="00C33834">
        <w:rPr>
          <w:rFonts w:ascii="Times New Roman" w:hAnsi="Times New Roman"/>
          <w:color w:val="0070C0"/>
          <w:sz w:val="16"/>
          <w:szCs w:val="16"/>
        </w:rPr>
        <w:softHyphen/>
        <w:t>менение трёхпоясной системы внутренней под</w:t>
      </w:r>
      <w:r w:rsidRPr="00C33834">
        <w:rPr>
          <w:rFonts w:ascii="Times New Roman" w:hAnsi="Times New Roman"/>
          <w:color w:val="0070C0"/>
          <w:sz w:val="16"/>
          <w:szCs w:val="16"/>
        </w:rPr>
        <w:softHyphen/>
        <w:t>вески, значительно приблизившей поперечное сечение оболочки к кругу, в сочетании с удачной компоновкой корабля, позволившей значитель</w:t>
      </w:r>
      <w:r w:rsidRPr="00C33834">
        <w:rPr>
          <w:rFonts w:ascii="Times New Roman" w:hAnsi="Times New Roman"/>
          <w:color w:val="0070C0"/>
          <w:sz w:val="16"/>
          <w:szCs w:val="16"/>
        </w:rPr>
        <w:softHyphen/>
        <w:t>но сократить количество и размеры элементов конструкции, выступавших за обводы оболочки, обусловило относительно небольшую величину коэффициента аэродинамического сопротивле</w:t>
      </w:r>
      <w:r w:rsidRPr="00C33834">
        <w:rPr>
          <w:rFonts w:ascii="Times New Roman" w:hAnsi="Times New Roman"/>
          <w:color w:val="0070C0"/>
          <w:sz w:val="16"/>
          <w:szCs w:val="16"/>
        </w:rPr>
        <w:softHyphen/>
        <w:t>ния дирижабля.</w:t>
      </w:r>
    </w:p>
    <w:p w14:paraId="43AF5562" w14:textId="77777777" w:rsidR="000268E0" w:rsidRPr="00C33834" w:rsidRDefault="000268E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Оболочка «СССР В-7» имела четырёхдольную форму поперечного сечения, что улучшало сов</w:t>
      </w:r>
      <w:r w:rsidRPr="00C33834">
        <w:rPr>
          <w:rFonts w:ascii="Times New Roman" w:hAnsi="Times New Roman"/>
          <w:color w:val="0070C0"/>
          <w:sz w:val="16"/>
          <w:szCs w:val="16"/>
        </w:rPr>
        <w:softHyphen/>
        <w:t>местную работу киля и оболочки. В ней впервые осуществили принцип сцентрированности отсе</w:t>
      </w:r>
      <w:r w:rsidRPr="00C33834">
        <w:rPr>
          <w:rFonts w:ascii="Times New Roman" w:hAnsi="Times New Roman"/>
          <w:color w:val="0070C0"/>
          <w:sz w:val="16"/>
          <w:szCs w:val="16"/>
        </w:rPr>
        <w:softHyphen/>
        <w:t>ков и баллонетов, дававший ряд преимуществ по сравнению с дирижаблями Нобиле «СССР В-5» и «СССР В-6». На «СССР В-7» также впервые применили конструкцию парного дублирования внутренних катенарий, имевшую ряд конструк</w:t>
      </w:r>
      <w:r w:rsidRPr="00C33834">
        <w:rPr>
          <w:rFonts w:ascii="Times New Roman" w:hAnsi="Times New Roman"/>
          <w:color w:val="0070C0"/>
          <w:sz w:val="16"/>
          <w:szCs w:val="16"/>
        </w:rPr>
        <w:softHyphen/>
        <w:t>тивных и весовых преимуществ.</w:t>
      </w:r>
    </w:p>
    <w:p w14:paraId="386B65F2" w14:textId="77777777" w:rsidR="000268E0" w:rsidRPr="00C33834" w:rsidRDefault="000268E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Конуса прохода внутренней подвески через баллонет имели направляющие «пауки», препят</w:t>
      </w:r>
      <w:r w:rsidRPr="00C33834">
        <w:rPr>
          <w:rFonts w:ascii="Times New Roman" w:hAnsi="Times New Roman"/>
          <w:color w:val="0070C0"/>
          <w:sz w:val="16"/>
          <w:szCs w:val="16"/>
        </w:rPr>
        <w:softHyphen/>
        <w:t>ствовавшие заваливанию на один борт потолка баллонета и таким образом устранявшие один из больших недостатков дирижабля с килем вер</w:t>
      </w:r>
      <w:r w:rsidRPr="00C33834">
        <w:rPr>
          <w:rFonts w:ascii="Times New Roman" w:hAnsi="Times New Roman"/>
          <w:color w:val="0070C0"/>
          <w:sz w:val="16"/>
          <w:szCs w:val="16"/>
        </w:rPr>
        <w:softHyphen/>
        <w:t>шиной внутрь. Удачной оказалась ромбовидная конструкция кормового развития, строго фикси</w:t>
      </w:r>
      <w:r w:rsidRPr="00C33834">
        <w:rPr>
          <w:rFonts w:ascii="Times New Roman" w:hAnsi="Times New Roman"/>
          <w:color w:val="0070C0"/>
          <w:sz w:val="16"/>
          <w:szCs w:val="16"/>
        </w:rPr>
        <w:softHyphen/>
        <w:t>ровавшая ось верхнего руля. Она была простая в сборке и весьма лёгкая (20120).</w:t>
      </w:r>
    </w:p>
    <w:p w14:paraId="0B32CA7C" w14:textId="77777777" w:rsidR="000268E0" w:rsidRPr="00C33834" w:rsidRDefault="000268E0" w:rsidP="00C33834">
      <w:pPr>
        <w:spacing w:after="0" w:line="240" w:lineRule="auto"/>
        <w:jc w:val="both"/>
        <w:rPr>
          <w:rFonts w:ascii="Times New Roman" w:hAnsi="Times New Roman"/>
          <w:color w:val="0070C0"/>
          <w:sz w:val="16"/>
          <w:szCs w:val="16"/>
        </w:rPr>
      </w:pPr>
    </w:p>
    <w:p w14:paraId="7BF25386" w14:textId="77777777" w:rsidR="00EA7008"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A7B257B" w14:textId="77777777" w:rsidR="00EA7008" w:rsidRPr="00C33834" w:rsidRDefault="00EA700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159A572"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1933 г. место строительства сталелитейного завода Бельгийской компании было, созданного в 1913 и остановленного строительством с началом 1-й Мировой войны было выбрано Главхимпромом для химкомбината (Комбинат № 101 НКТП, НКОП, НКБ, Каменский химкомбинат «Россия», ФГУП «Каменский химический комбинат» Росбоеприпаса, ФКП «Комбинат «Каменский» /347801  г. Каменск-Шахтинский Ростовской обл. ул. Сапрыкина, 8 тел. 20-148/). Пост. СТО № 120 от 28.11.1933 г. утверждено строительство комбината, которое начато в 1934 г. В этом году построены кирпичный и известковый заводы, столярный цех, слесарные мастерские, участок связи, электростанция. В 03.1935 г. сданы водное хозяйство, транспортный и электроцех. В 07.1936 г. сдан в эксплуатацию ремонтно-механический завод (РМЗ), освоен выпуск первичных редукторов, шахтных аппаратов, разгружателей, промышленных вентиляторов, сферических днищ. Приказом № 0021 от 3.02.1937 г. заводу предписано к 1.01.1938 г. ввести в эксплуатацию 1-ю линию комбината, создать мощности по выпуску пироксилинового пороха - 12,5 тыс. т в год. «В связи с неудовлетворительными темпами работ» 13/20.01.1938 г. вышел приказ № 10с провести обследование строительства комбината. В 1938 г. введены в строй эфирное производство, ТЭЦ, теплосеть, 3-е производство; в 1939 г.- цех денитрации кислот, 5-е производство. Всего за 5 лет введено в строй 11 цехов. Затем пущено пироксилиновое производство. Проектная мощность на 1.07.1941 г.- 15500 т пороха в год, перед эвакуацией: пороха-16 тыс. т, пироксилина- 24 тыс. т.</w:t>
      </w:r>
    </w:p>
    <w:p w14:paraId="672CBE02"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 СШС № 2139-425сс от 21.12.1936 г. и пр. НКОП № 05с от 29.12.1936 г. строительство комбината № 101 передано из Порохового треста Главазота НКТП в ведение ГУ военно-химической промышленности НКОП, в 02.1937 г. - в ведении 6ГУ. В соответствии с пост. СНК № 1960-390сс от 5.11.1936 г. и пр. № 068 от 2.04.1937 г. завод переведен в группу особо режимных предприятий. По пр. № 0089 от 20.04.1937 г. передан из 6ГУ в новое 11ГУ. В 02.1939 г. комбинат № 101 11ГУ НКОП передан в ведение 11ГУ НКБ.</w:t>
      </w:r>
      <w:r w:rsidRPr="00C33834">
        <w:rPr>
          <w:rFonts w:ascii="Times New Roman" w:hAnsi="Times New Roman"/>
          <w:color w:val="000000" w:themeColor="text1"/>
          <w:sz w:val="16"/>
          <w:szCs w:val="16"/>
          <w:vertAlign w:val="superscript"/>
        </w:rPr>
        <w:t>Ш</w:t>
      </w:r>
    </w:p>
    <w:p w14:paraId="3A824A64"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 ГКО № 777 от 13.10.1941 г. основная часть комбината № 101 ЗГУ (11 эшелонов, 610 вагонов, 1717 ед. оборудования) 10-14.10.1941 г. была эвакуирована: производство пироксилинового пороха и эфира (377 ед. оборудования, 101 чел.) - в Кемерово на комбинат № 392; часть производства пироксилина - в Соликамск на завод № 577; вторая часть производства пироксилина и РМЗ (382 ед. оборудования, 47 чел.) - в Молотов на завод № 98; производство олеума (138 ед. оборудования, 41 чел.) - в Реж на завод № 576; 802 ед. различного оборудования (в т.ч. кислородный завод) - в Красноярск на завод № 580. На оставшемся оборудовании в 12.1941 г. организовано производство суррогатных ВВ и противотанковых мин в деревянных корпусах, действовавшее до середины июля 1942 г. В 04-07.1942 г. прошла вторая эвакуация в Казань, Пермь, Стерлитамак, Краснокамск.</w:t>
      </w:r>
    </w:p>
    <w:p w14:paraId="336CA057"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02.1943 г. после освобождения Каменска от противника началось восстановление комбината. В 08.1943- 09.1944 г. комбинат № 101 - в ведении 9ГУ НКБ. Сначала были введены в строй цеха водо-, электро- и теплоснабжения, железнодорожное хозяйство. В 1944 г. химкомбинат выпустил первую продукцию- мины и заряды из импортного пороха ОД, пороха для авиаснарядов. В 03.1946 г. начат выпуск сельскохозяйственного оборудования, ТНП. В этом же году восстановлены цеха серной кислоты, тары, телефонная станция, ЦЗЛ. В 1948-49г, вступило в строй 10 цехов, начато строительство комплекса по производству нитроглицериновых порохов. В 1954 г. вступило встрой спиртоэфирное производство. В 1957 г. освоено производство карбоксиметилцеллюлозы (КМЦ), нитролаков и эмалей, люминесцентных светильников, бризольного полотна, эфира канифоли, спирта высшей очистки, молочных цистерн. Изготовлены первые круговые аппараты для непрерывной нитрации целлюлозы. В 1960 г. освоен выпуск мипоры; начато строительство цеха по переработке золы для извлечения германия, введен в строй цех глинозема. В 1965 г. вступило в строй производство полимеров. В 1974 г. создана служба АСУ, организован ИВЦ, участок производства масляной клеенки. Организован строительный цех. В 1975 г. организован участок по выпуску клея «Бустилат». В 1982 г. освоен выпуск клеенки ПВХ, в 1990-93г,- шпатлевки «Шпакрил», вспененного линолеума, цветных эмалей, зарядов для горнодобывающей промышленности, мастики, электроплит, шлангов высокого давления, тормозной жидкости, фенолспирта, одеколонов, шампуней, моющих средств.</w:t>
      </w:r>
    </w:p>
    <w:p w14:paraId="6950046B"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второй половине 1970-х  г. начато освоение производства крубногабаритных зарядов для МБР «Тополь», для этого созданы специализированные комплексы.</w:t>
      </w:r>
    </w:p>
    <w:p w14:paraId="3DC65C68"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2004 г. химкомбинат входил в состав Росбоеприпаса, по Указу Президента РФ № 1009 от 4.08.2004 г. вошел в число стратегических оборонных предприятий. По Указу Президента РФ в 02.2006 г. на базе ФГУП «Каменский химкомбинат» создано два предприятия: ФКП «Комбинат «Каменский» и ФГУП «Химкомбинат «Каменский».</w:t>
      </w:r>
    </w:p>
    <w:p w14:paraId="7DD3CBF5"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Численность персонала (1939 г.)- 1294 чел. (рабочих), (1940 г.)- 2916 чел. (рабочих), (09.1941 г.)- 3663 чел., (11.1943 г.)-522 чел.</w:t>
      </w:r>
    </w:p>
    <w:p w14:paraId="41446F77"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(7.06.1937 г.-)- И.А. Баварский, (07.1939-ВОВ)- В.Л. Ивченков, (1945-55 г.)- А.А. Кириллович, (1955 г.-)- Б.Д. Сапрыгин.</w:t>
      </w:r>
      <w:r w:rsidRPr="00C33834">
        <w:rPr>
          <w:rFonts w:ascii="Times New Roman" w:hAnsi="Times New Roman"/>
          <w:color w:val="000000" w:themeColor="text1"/>
          <w:sz w:val="16"/>
          <w:szCs w:val="16"/>
          <w:vertAlign w:val="superscript"/>
        </w:rPr>
        <w:t>101</w:t>
      </w:r>
      <w:r w:rsidRPr="00C33834">
        <w:rPr>
          <w:rFonts w:ascii="Times New Roman" w:hAnsi="Times New Roman"/>
          <w:color w:val="000000" w:themeColor="text1"/>
          <w:sz w:val="16"/>
          <w:szCs w:val="16"/>
        </w:rPr>
        <w:t xml:space="preserve"> Гендиректор (-2007 г.)- С.А. Поваров.</w:t>
      </w:r>
    </w:p>
    <w:p w14:paraId="7974ECA3"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строительства (01.1934 г.-)- С.П. Ананьев, начальник строительства (11.03.1937 г.-)- Л.О. Мицмахер. Зам. директора (8.05-11.07.1937 г.)- М.М. Чернулич. Помощник директора по найму и увольнению (14.08.1938 г.-)- А.П. Новожилов.</w:t>
      </w:r>
    </w:p>
    <w:p w14:paraId="15A72333"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Зам. начальника строительства (-10.06.1937 г.)- Ф.А. Сулим-Грандовский (снят).</w:t>
      </w:r>
    </w:p>
    <w:p w14:paraId="47FE2A47"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(9.08.1938 г.-)- Н.С. Навальнев, (2006 г.)-  Г. Мельник.</w:t>
      </w:r>
    </w:p>
    <w:p w14:paraId="7CA8BBF5"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строительства (-10.06.1937 г.)-  Г.Д. Саломонович (снят) (11982).</w:t>
      </w:r>
    </w:p>
    <w:p w14:paraId="703FA1DC"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54315880"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1933 года была закончена 37-мм танковая пушка с длиной ствола 60 калибров представляла собой вариант противотанковой пушки калибра 37-мм образца 1930 года (противотанковая пушка калибра 37-мм образца 1930 года в свою очередь представляла собой копию немецкой противотанковой пушки Rheinmetall Pak 35/36). Первый заказ предусматривал выпуск 350 танковых пушек на артиллерийском заводе № 8. Поскольку к тому времени уже появился танковый вариант противотанковой пушки калибра 45-мм образца 1932 года, то от дальнейшего выпуска 37-мм пушки отказались (3862).</w:t>
      </w:r>
    </w:p>
    <w:p w14:paraId="041D0FC7"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69F300A2" w14:textId="77777777" w:rsidR="00B849DC" w:rsidRPr="00C33834" w:rsidRDefault="00B849DC" w:rsidP="00C33834">
      <w:pPr>
        <w:pStyle w:val="ae"/>
        <w:spacing w:before="0" w:after="0"/>
        <w:jc w:val="both"/>
        <w:textAlignment w:val="baseline"/>
        <w:rPr>
          <w:color w:val="000000" w:themeColor="text1"/>
          <w:sz w:val="16"/>
          <w:szCs w:val="16"/>
        </w:rPr>
      </w:pPr>
      <w:r w:rsidRPr="00C33834">
        <w:rPr>
          <w:color w:val="000000" w:themeColor="text1"/>
          <w:sz w:val="16"/>
          <w:szCs w:val="16"/>
        </w:rPr>
        <w:t>Летом 1933 года был поднят вопрос о потенциальной замене Т-26. На сей раз речь шла не о совсем новом танке, а о </w:t>
      </w:r>
      <w:r w:rsidRPr="00C33834">
        <w:rPr>
          <w:iCs/>
          <w:color w:val="000000" w:themeColor="text1"/>
          <w:sz w:val="16"/>
          <w:szCs w:val="16"/>
          <w:bdr w:val="none" w:sz="0" w:space="0" w:color="auto" w:frame="1"/>
        </w:rPr>
        <w:t>«колёсно-гусеничном танке на основе Т-26»</w:t>
      </w:r>
      <w:r w:rsidRPr="00C33834">
        <w:rPr>
          <w:color w:val="000000" w:themeColor="text1"/>
          <w:sz w:val="16"/>
          <w:szCs w:val="16"/>
        </w:rPr>
        <w:t>. Задание на разработку машины поступило на ОКМО 17 августа 1933 года. К тому времени ОКМО выделили в опытный завод №185 Спецмаштреста, его директором стал Н.В. Барыков. Первоначально танк носил обозначение Т-26А. Боевая масса оценивалась в 10 т, при этом танк получал двигатель мощностью 200-250 л.с. Максимальная скорость на гусеницах оценивалась в 50 км/ч, а на колёсном ходу — 70 км/ч, запас хода составлял 300 км. Вооружалась машина 45-мм пушкой и «</w:t>
      </w:r>
      <w:r w:rsidRPr="00C33834">
        <w:rPr>
          <w:iCs/>
          <w:color w:val="000000" w:themeColor="text1"/>
          <w:sz w:val="16"/>
          <w:szCs w:val="16"/>
          <w:bdr w:val="none" w:sz="0" w:space="0" w:color="auto" w:frame="1"/>
        </w:rPr>
        <w:t>сверхскорострельным»</w:t>
      </w:r>
      <w:r w:rsidRPr="00C33834">
        <w:rPr>
          <w:color w:val="000000" w:themeColor="text1"/>
          <w:sz w:val="16"/>
          <w:szCs w:val="16"/>
        </w:rPr>
        <w:t> пулемётом. Как и Т-26, танк имел экипаж из трёх человек (18689).</w:t>
      </w:r>
    </w:p>
    <w:p w14:paraId="2A6C41A9" w14:textId="77777777" w:rsidR="00B849DC" w:rsidRPr="00C33834" w:rsidRDefault="00B849DC" w:rsidP="00C33834">
      <w:pPr>
        <w:pStyle w:val="ae"/>
        <w:spacing w:before="0" w:after="0"/>
        <w:jc w:val="both"/>
        <w:textAlignment w:val="baseline"/>
        <w:rPr>
          <w:color w:val="000000" w:themeColor="text1"/>
          <w:sz w:val="16"/>
          <w:szCs w:val="16"/>
        </w:rPr>
      </w:pPr>
    </w:p>
    <w:p w14:paraId="161FBF12"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1933 СКБ завода Компрессор приступило к разработке танковых огнеметных приборов (ТОП) для установки на любой из модификаций Т-26 или БТ внутри или снаружи. Управление брандспойтом - из башни командира. Емкость резервуара - 75 с, дальность метания - 40-50 м, масса - не более 200 кг (9527,180)</w:t>
      </w:r>
    </w:p>
    <w:p w14:paraId="5AF1E4BD"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0CE10047"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1933 (хотя срок был - весна) началось производство однобашенных танков Т-26, вооруженных 45-мм пушкой 20К, которое не сулило никаких трудностей, но из-за неподачи вооружения и оптики - затянулось. В докладе М. Тухачевского о ходе выполнения танковой программы 1933 г. сообщалось: «Причины невыполнения про</w:t>
      </w:r>
      <w:r w:rsidRPr="00C33834">
        <w:rPr>
          <w:rFonts w:ascii="Times New Roman" w:hAnsi="Times New Roman"/>
          <w:color w:val="000000" w:themeColor="text1"/>
          <w:sz w:val="16"/>
          <w:szCs w:val="16"/>
        </w:rPr>
        <w:softHyphen/>
        <w:t>граммы по Т-26 — 45-мм пушки стали поступать только в июне, перископические прицелы ожидаются не ранее четверто</w:t>
      </w:r>
      <w:r w:rsidRPr="00C33834">
        <w:rPr>
          <w:rFonts w:ascii="Times New Roman" w:hAnsi="Times New Roman"/>
          <w:color w:val="000000" w:themeColor="text1"/>
          <w:sz w:val="16"/>
          <w:szCs w:val="16"/>
        </w:rPr>
        <w:softHyphen/>
        <w:t>го квартала». По этой причине до конца 1933 г. завод № 174 выпускал однобашенные Т-26 параллельно с двухбашенным вариантом танка. Помимо башни увеличенного размера с 45-мм пушкой новый Т-26 выпуска 1933 г. еще не имел ника</w:t>
      </w:r>
      <w:r w:rsidRPr="00C33834">
        <w:rPr>
          <w:rFonts w:ascii="Times New Roman" w:hAnsi="Times New Roman"/>
          <w:color w:val="000000" w:themeColor="text1"/>
          <w:sz w:val="16"/>
          <w:szCs w:val="16"/>
        </w:rPr>
        <w:softHyphen/>
        <w:t>ких других отличий от двухбашенной машины. Однако ввиду того, что масса нового танка выросла на 850—1200 кг (по сравнению с двухбашенным и без того пере</w:t>
      </w:r>
      <w:r w:rsidRPr="00C33834">
        <w:rPr>
          <w:rFonts w:ascii="Times New Roman" w:hAnsi="Times New Roman"/>
          <w:color w:val="000000" w:themeColor="text1"/>
          <w:sz w:val="16"/>
          <w:szCs w:val="16"/>
        </w:rPr>
        <w:softHyphen/>
        <w:t>груженным танком), возникли здравые опасения, что мощность выпускаемого на «Большевике» мотора 85—88 л.с. бу-, дет уже недостаточна для обеспечения нормальной подвиж</w:t>
      </w:r>
      <w:r w:rsidRPr="00C33834">
        <w:rPr>
          <w:rFonts w:ascii="Times New Roman" w:hAnsi="Times New Roman"/>
          <w:color w:val="000000" w:themeColor="text1"/>
          <w:sz w:val="16"/>
          <w:szCs w:val="16"/>
        </w:rPr>
        <w:softHyphen/>
        <w:t>ности Т-26 на поле боя (10733,216).</w:t>
      </w:r>
    </w:p>
    <w:p w14:paraId="2ED46090"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8933B4" w14:textId="77777777" w:rsidR="00455388" w:rsidRPr="00C33834" w:rsidRDefault="0045538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Летом 1933 г. в Народном комиссариате по военным и морским делам (НКВМ) была разработана и утверждена РВС СССР новая система бронетанкового вооружения РККА, которая в наибольшей степени отвечала современным на тот момент оперативно-тактическим взглядам по основным вопросам применения танков в различных видах боевых действий войск. Согласно новой системы на вооружении РККА должны были состоять следующие типы машин: </w:t>
      </w:r>
    </w:p>
    <w:p w14:paraId="3E914D7E" w14:textId="77777777" w:rsidR="00455388" w:rsidRPr="00C33834" w:rsidRDefault="00455388"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«1. Основные танки – 5 типов:</w:t>
      </w:r>
    </w:p>
    <w:p w14:paraId="6756B117" w14:textId="77777777" w:rsidR="00455388" w:rsidRPr="00C33834" w:rsidRDefault="00455388"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а) Разведывательный – типа Т-37; </w:t>
      </w:r>
    </w:p>
    <w:p w14:paraId="03D4A2CA" w14:textId="77777777" w:rsidR="00455388" w:rsidRPr="00C33834" w:rsidRDefault="00455388"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б) Общевойсковой – типа Т-26; </w:t>
      </w:r>
    </w:p>
    <w:p w14:paraId="0F75D449" w14:textId="77777777" w:rsidR="00455388" w:rsidRPr="00C33834" w:rsidRDefault="00455388"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в) Оперативный – типа Б-Т, в дальнейшем ПТ-1; </w:t>
      </w:r>
    </w:p>
    <w:p w14:paraId="365DB123" w14:textId="77777777" w:rsidR="00455388" w:rsidRPr="00C33834" w:rsidRDefault="00455388"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г) Танк качественного усиления ТРГК – типа Т-28; </w:t>
      </w:r>
    </w:p>
    <w:p w14:paraId="43616388" w14:textId="77777777" w:rsidR="00455388" w:rsidRPr="00C33834" w:rsidRDefault="00455388"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д) Мощный танк особого назначения – типа Т-35. </w:t>
      </w:r>
    </w:p>
    <w:p w14:paraId="0A342DC1" w14:textId="77777777" w:rsidR="00455388" w:rsidRPr="00C33834" w:rsidRDefault="00455388"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2. Специальные танки – 7 типов (на шасси, стандартных с перечисленными выше): </w:t>
      </w:r>
    </w:p>
    <w:p w14:paraId="0ECBF452" w14:textId="77777777" w:rsidR="00455388" w:rsidRPr="00C33834" w:rsidRDefault="00455388"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а) 3 химических (на шасси общевойскового, разведывательного и оперативного танков); </w:t>
      </w:r>
    </w:p>
    <w:p w14:paraId="4168B1E6" w14:textId="77777777" w:rsidR="00455388" w:rsidRPr="00C33834" w:rsidRDefault="00455388"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б) 2 саперных (на шасси общевойскового танка и танка качественного усиления ТРГК); </w:t>
      </w:r>
    </w:p>
    <w:p w14:paraId="687DA2AA" w14:textId="77777777" w:rsidR="00455388" w:rsidRPr="00C33834" w:rsidRDefault="00455388"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в) Самоходная артиллерийская установка (на агрегатах общевойскового танка); </w:t>
      </w:r>
    </w:p>
    <w:p w14:paraId="36D632FE" w14:textId="77777777" w:rsidR="00455388" w:rsidRPr="00C33834" w:rsidRDefault="00455388"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г) Танк управления (на шасси общевойскового танка и танка качественного усиления ТРГК); </w:t>
      </w:r>
    </w:p>
    <w:p w14:paraId="526F0EF1" w14:textId="77777777" w:rsidR="00455388" w:rsidRPr="00C33834" w:rsidRDefault="00455388"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3. Броне-машины – 2 типа (на шасси ФОРД-А и ФОРД-3А): </w:t>
      </w:r>
    </w:p>
    <w:p w14:paraId="099D1722" w14:textId="77777777" w:rsidR="00455388" w:rsidRPr="00C33834" w:rsidRDefault="00455388"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а) Разведывательная (на шасси ФОРД-А); </w:t>
      </w:r>
    </w:p>
    <w:p w14:paraId="6A8D362F" w14:textId="77777777" w:rsidR="00455388" w:rsidRPr="00C33834" w:rsidRDefault="00455388"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б) Боевая (на шасси ФОРД-3А). </w:t>
      </w:r>
    </w:p>
    <w:p w14:paraId="4664AA2D" w14:textId="77777777" w:rsidR="00455388" w:rsidRPr="00C33834" w:rsidRDefault="00455388"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4. Железнодорожные боевые машины – 2 типа:</w:t>
      </w:r>
    </w:p>
    <w:p w14:paraId="1EE158EA" w14:textId="77777777" w:rsidR="00455388" w:rsidRPr="00C33834" w:rsidRDefault="00455388"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а) Мото-броне-вагон; </w:t>
      </w:r>
    </w:p>
    <w:p w14:paraId="461CD74F" w14:textId="77777777" w:rsidR="00455388" w:rsidRPr="00C33834" w:rsidRDefault="00455388"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б) Разведывательная дрезина-броне-автомобиль (стандартный с броне-машиной). </w:t>
      </w:r>
    </w:p>
    <w:p w14:paraId="5B7CC46B" w14:textId="77777777" w:rsidR="00455388" w:rsidRPr="00C33834" w:rsidRDefault="00455388"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5. Тракторы – 3 типа (все типы общегосударственные): </w:t>
      </w:r>
    </w:p>
    <w:p w14:paraId="5C882B17" w14:textId="77777777" w:rsidR="00455388" w:rsidRPr="00C33834" w:rsidRDefault="00455388"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а) Легкий быстроходный трактор СТЗ-3; </w:t>
      </w:r>
    </w:p>
    <w:p w14:paraId="6EE9F29C" w14:textId="77777777" w:rsidR="00455388" w:rsidRPr="00C33834" w:rsidRDefault="00455388"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б) Тяжелый быстроходный трактор «Коммунар»; </w:t>
      </w:r>
    </w:p>
    <w:p w14:paraId="200D4209" w14:textId="77777777" w:rsidR="00455388" w:rsidRPr="00C33834" w:rsidRDefault="00455388"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в) Тяжелый мощный трактор «Сталинец». </w:t>
      </w:r>
    </w:p>
    <w:p w14:paraId="37AB1462" w14:textId="77777777" w:rsidR="00455388" w:rsidRPr="00C33834" w:rsidRDefault="00455388"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6. Транспортеры – 2 типа:</w:t>
      </w:r>
    </w:p>
    <w:p w14:paraId="3939C786" w14:textId="77777777" w:rsidR="00455388" w:rsidRPr="00C33834" w:rsidRDefault="00455388"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а) Транспортер боеприпасов на поле боя (шасси стандартное с разведывательным танком); </w:t>
      </w:r>
    </w:p>
    <w:p w14:paraId="78A823F0" w14:textId="77777777" w:rsidR="00455388" w:rsidRPr="00C33834" w:rsidRDefault="00455388"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б) Транспортер пехоты (на шасси легкого трактора). </w:t>
      </w:r>
    </w:p>
    <w:p w14:paraId="65779A3B" w14:textId="77777777" w:rsidR="00455388" w:rsidRPr="00C33834" w:rsidRDefault="00455388"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7. Транспортные машины (существующие на массовом производстве с установкой 3-х осных ходовых частей и полугусеничных снежных ходов): </w:t>
      </w:r>
    </w:p>
    <w:p w14:paraId="3864C6F0" w14:textId="77777777" w:rsidR="00455388" w:rsidRPr="00C33834" w:rsidRDefault="00455388"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а) ФОРД-А; </w:t>
      </w:r>
    </w:p>
    <w:p w14:paraId="0D30C88C" w14:textId="77777777" w:rsidR="00455388" w:rsidRPr="00C33834" w:rsidRDefault="00455388"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б) ФОРД-АА; </w:t>
      </w:r>
    </w:p>
    <w:p w14:paraId="238A50CB" w14:textId="77777777" w:rsidR="00455388" w:rsidRPr="00C33834" w:rsidRDefault="0045538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в) АМО-5».</w:t>
      </w:r>
    </w:p>
    <w:p w14:paraId="0C4A3C7D" w14:textId="77777777" w:rsidR="00455388" w:rsidRPr="00C33834" w:rsidRDefault="0045538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bCs/>
          <w:color w:val="000000" w:themeColor="text1"/>
          <w:sz w:val="16"/>
          <w:szCs w:val="16"/>
          <w:lang w:eastAsia="ru-RU"/>
        </w:rPr>
        <w:t>[АП. Особая папка. Ф. 3. Оп. 46. Д. 381. Л. 147 – 148] (17501).</w:t>
      </w:r>
    </w:p>
    <w:p w14:paraId="16FF387E" w14:textId="77777777" w:rsidR="00455388" w:rsidRPr="00C33834" w:rsidRDefault="00455388" w:rsidP="00C33834">
      <w:pPr>
        <w:spacing w:after="0" w:line="240" w:lineRule="auto"/>
        <w:jc w:val="both"/>
        <w:rPr>
          <w:rFonts w:ascii="Times New Roman" w:eastAsia="Times New Roman" w:hAnsi="Times New Roman"/>
          <w:color w:val="000000" w:themeColor="text1"/>
          <w:sz w:val="16"/>
          <w:szCs w:val="16"/>
          <w:lang w:eastAsia="ru-RU"/>
        </w:rPr>
      </w:pPr>
    </w:p>
    <w:p w14:paraId="6FC804FF" w14:textId="77777777" w:rsidR="00403CBA" w:rsidRPr="00C33834" w:rsidRDefault="00403CB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Летом 1933 года сформированный из модернизированных тяжелых бронеплощадок и бронепаровоза ПР-35 тяжелый бронепоезд успешно прошел испытания. Выводы комиссии гласили: «…все элементы… модернизации отвечают своему назначению, повышают боеспособность бронепоезда и обеспечивают лучшее управление и обслуживание». Интересна дальнейшая судьба этого бронепоезда. В соответствии с бытующей тогда пропагандистской традицией было объявлено, что бронепоезд построили на средства, собранные «партизанской комиссией при Харьковском Горсовете» к пятнадцатому юбилею Красной Армии, и нарекли в честь «любимого вождя Красной Армии» Климента Ефремовича Ворошилова. 23 февраля 1933 года, в пятнадцатую годовщину Красной Армии, в торжественной обстановке состав передали отдельному полку бронепоездов (22744).</w:t>
      </w:r>
    </w:p>
    <w:p w14:paraId="67748AD8" w14:textId="77777777" w:rsidR="00403CBA" w:rsidRPr="00C33834" w:rsidRDefault="00403CBA" w:rsidP="00C33834">
      <w:pPr>
        <w:spacing w:after="0" w:line="240" w:lineRule="auto"/>
        <w:jc w:val="both"/>
        <w:rPr>
          <w:rFonts w:ascii="Times New Roman" w:hAnsi="Times New Roman"/>
          <w:color w:val="0070C0"/>
          <w:sz w:val="16"/>
          <w:szCs w:val="16"/>
        </w:rPr>
      </w:pPr>
    </w:p>
    <w:p w14:paraId="5826EC46"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Летом 1933 года конструкторы НАТИ выступили с инициативой отказаться от идеи универсальной машины, но спроектировать два трактора — сельскохозяйственный и транспортный, максимально унифицированных по своим основным агрегатам, способных выпускаться параллельно на одном конвейере, представлялось тогда реальным. Ими предлагалась обратная поузловая унификация, когда сельскохозяйственный вариант трактора получал элементы трансмиссии и ходовой части, более характерные для быстроходной гусеничной машины; четырехступенчатую коробку передач с возможностью увеличения числа ступеней, двухкат-ковые блокированные пружино-балансирные каретки подвески, легкие и ажурные литые траки гусениц, торцевой отбор мощности, закрытую кабину (Через несколько десятков лет, когда потребовались более высокие рабочие скорости сельскохозяйственных тракторов, эти удачно выбранные конструктивные элементы оказались для них очень уместными). Эти прогрессивные решения, заложенные в конструкцию транспортного трактора, при его ограниченных сцепных возможностях и мощности двигателя, не обеспечивали выполнения всех требований к полноценному среднему артиллерийскому тягачу для армии, но позволяли в определенной мере содействовать решению транспортных задач. </w:t>
      </w:r>
    </w:p>
    <w:p w14:paraId="6843239A"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Разработка двух видов тракторов под общим руководством В.Я.Слонимского (НАТИ) велась параллельно в течение двух лет на СТЗ объединенным КБ (30 человек), куда входили заводские инженеры и прикомандированные к ним работники института. Большой вклад в создание транспортного трактора СТЗ-НАТИ 2ТВ (чаще использовалось заводское название СТЗ-5) внесли конструкторы И.И.Дронг, В.А.Кэр-гополов, Г.Ф.Матюков и Г.В.Соколов — от СТЗ; А.В.Васильев, В.Э.Малаховский, Д.А.Чудаков и В.Н.Тюляев - от НАТИ (11639).</w:t>
      </w:r>
    </w:p>
    <w:p w14:paraId="72B9B38B"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5929CB37"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Летом 1933 года После освоения тяжелого гусеничного С-60 на новом Челябинском тракторном заводе (ЧТЗ) имени Сталина также была предпринята попытка создания на его базе скоростного транспортного трактора-тягача. </w:t>
      </w:r>
    </w:p>
    <w:p w14:paraId="3365D03A"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Однако, в отличие от сталинградского СТЗ-3, тихоходный и громоздкий С-60 с полужесткой подвеской практически не подходил для этой цели. Ни один его агрегат не мог быть использован в скоростной модификации без радикальных переделок или полной замены. Тем не менее, в начале 1935 года коллектив НАТИ во главе с начальником тракторного отдела В.Я.Слонимским и ведущим конструктором А.А.Крейслером взялся за эту сложную и неблагодарную работу — слишком велико </w:t>
      </w:r>
      <w:r w:rsidRPr="00C33834">
        <w:rPr>
          <w:rFonts w:ascii="Times New Roman" w:hAnsi="Times New Roman"/>
          <w:color w:val="000000" w:themeColor="text1"/>
          <w:sz w:val="16"/>
          <w:szCs w:val="16"/>
        </w:rPr>
        <w:lastRenderedPageBreak/>
        <w:t xml:space="preserve">было желание дать стране еще одну транспортную машину. На прототипе транспортного трактора «Сталинец-!» (С-1 или «Скоростной") в конструкцию машины, по сравнению с базовой, внесли кардинальные изменения: подняли мощность двигателя путем увеличения частоты вращения, степени сжатия и перевода его на бензин (вместо лигроина); добавили четвертую ступень в коробку передач и расширили ее силовой диапазон; создали многокатковый движитель с двойной эластичной подвеской; применили легкую мелкозвенчатую гусеницу; использовали пневмоусилители управления бортовых фрикционов. Компоновку изменили по опыту СТЗ-5 — двигатель сместили вперед и заключили внутрь кабины, сзади, на освободившемся месте установили кузов, под ним — лебедку от тягача «Коминтерн». С-1 построили осенью 1935 года в НАТИ, а 10 декабря после прохождения испытаний он был показан вместе с новыми тракторами в Кремле И.В.Сталину и другим руководителям государства. В следующем году по результатам испытаний усилили подвеску, мощность двигателя довели до 120 л.с. (и даже до 130 л.с.) при 1200 об/мин, то есть она увеличилась почти вдвое по сравнению с С-60, при этом скорость машины повысилась. Зимой 1937-го С-1 проходил испытания (водители - А.В.Сапожников от НАТИ и ВИ.Дурановский - от ЧТЗ) уже как артиллерийский тягач на Лужском полигоне, где показал неплохие результаты: среднюю скорость по шоссе без прицепа — 22 км/ч, с артсистемой массой 7,2 т — до 17 км/ч, с массой 12 т — до 11 км/ч, подъем 24° - без прицепа и 12,5° —с прицепом. Однако в это время ЧТЗ уже интенсивно готовился к переходу на новый базовый трактор С-65 с дизелем НАТИ М-17 (75 л.с.), поэтому бензиновый С-1 оказался бесперспективным. </w:t>
      </w:r>
    </w:p>
    <w:p w14:paraId="63F21357"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Новый транспортный трактор с дизелем, также форсированным до требуемой, более высокой мощности, пришлось создавать почти с нуля, одновременно существенно дорабатывая подвеску и ходовую часть. </w:t>
      </w:r>
    </w:p>
    <w:p w14:paraId="58DCDB61"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Транспортной модификацией двигателя М-17 с конца 1936 года занимался ведущий конструктор-дизелист НАТИ А.В.Лебедев, а также инженеры В.Н.Попов и А.С.Балаев. Рабочий обьем мотора увеличили на 14,3% путем доведения диаметра цилиндров до 155 мм -предела, обусловленного измененной конструкцией блока и поршневой группы; частоту вращения повысили на 35%; расширили фазы газораспределения; применили новую форкамеру. Весной 1937 года дизель МТ-17 был построен в НАТИ, Одновременно с ним компоновался и новый трактор «Сталинец-2». Очередной раз переделывались подвеска и ходовая часть, аносились изменения в трансмиссию. В конце года первый С-2 вышел на испытания, которые показали, что он требует серьезной конструкторской доработки. Однако острая потребность в артиллерийских тягачах для армии в преддверии войны вынудила передать «сырую» недоведенную машину в производство. Осенью 1938 года на ЧТЗ начали изготавливать опытную партию С-2 по чертежам НАТИ, прошедшим предварительную технологическую проработку. Напряженное положение на заводе с выпуском обычных тракторов, освоение газогенераторных машин и многие посторонние заказы затянули выпуск предсерийных С-2 до следующего лета. Для проверки их работоспособности и эксплуатационных качеств был организован пробег двух тягачей из Челябинска п Москву, куда они благополучно прибыли 14 августа, преодолев почти 2000 км за 12 ходовых дней (проходили до 167 км в день). Естественно, пробег выявил так и неуст-раненные изъяны: недостаточные мощность, скорость и грузоподъемность при завышенной собственной массе, а кроме того, быстрый износ ряда деталей. Доработкой трактора перед сдачей его в серийное производство (план на 1939 год— 200 машин) занимались представитель НАТИ А.А.Крейслер и ведущий конструктор ЧТЗ В.И.Дурановский (11639).</w:t>
      </w:r>
    </w:p>
    <w:p w14:paraId="2BD8EBDC"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63D7C35E" w14:textId="77777777" w:rsidR="00403CBA" w:rsidRPr="00C33834" w:rsidRDefault="00403CB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Летом 1933 под руководством П.О. Зарецкого проводят</w:t>
      </w:r>
      <w:r w:rsidRPr="00C33834">
        <w:rPr>
          <w:rFonts w:ascii="Times New Roman" w:hAnsi="Times New Roman"/>
          <w:color w:val="0070C0"/>
          <w:sz w:val="16"/>
          <w:szCs w:val="16"/>
        </w:rPr>
        <w:softHyphen/>
        <w:t>ся испытания легкового автомобиля Плимут в лет</w:t>
      </w:r>
      <w:r w:rsidRPr="00C33834">
        <w:rPr>
          <w:rFonts w:ascii="Times New Roman" w:hAnsi="Times New Roman"/>
          <w:color w:val="0070C0"/>
          <w:sz w:val="16"/>
          <w:szCs w:val="16"/>
        </w:rPr>
        <w:softHyphen/>
        <w:t>них условиях. Испытания проводились с измери</w:t>
      </w:r>
      <w:r w:rsidRPr="00C33834">
        <w:rPr>
          <w:rFonts w:ascii="Times New Roman" w:hAnsi="Times New Roman"/>
          <w:color w:val="0070C0"/>
          <w:sz w:val="16"/>
          <w:szCs w:val="16"/>
        </w:rPr>
        <w:softHyphen/>
        <w:t>тельным прибором Оригиналь-Брун «путь-скорость- время» с «пятым колесом» (22518).</w:t>
      </w:r>
    </w:p>
    <w:p w14:paraId="676ECE7A" w14:textId="77777777" w:rsidR="00403CBA" w:rsidRPr="00C33834" w:rsidRDefault="00403CBA" w:rsidP="00C33834">
      <w:pPr>
        <w:spacing w:after="0" w:line="240" w:lineRule="auto"/>
        <w:jc w:val="both"/>
        <w:rPr>
          <w:rFonts w:ascii="Times New Roman" w:hAnsi="Times New Roman"/>
          <w:color w:val="0070C0"/>
          <w:sz w:val="16"/>
          <w:szCs w:val="16"/>
        </w:rPr>
      </w:pPr>
    </w:p>
    <w:p w14:paraId="3BDD25AC"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1933 г. Правительство СССР сделало первые кардинальные выводы: «Уже летом 1933 года русские сообщили, что намерены прекратить сотрудничество с германским вермахтом. Рухнула одна из возможных опор германо-русских отношений» [</w:t>
      </w:r>
      <w:r w:rsidRPr="00C33834">
        <w:rPr>
          <w:rFonts w:ascii="Times New Roman" w:hAnsi="Times New Roman"/>
          <w:iCs/>
          <w:color w:val="000000" w:themeColor="text1"/>
          <w:sz w:val="16"/>
          <w:szCs w:val="16"/>
        </w:rPr>
        <w:t xml:space="preserve">Meyer von Achenbach R. </w:t>
      </w:r>
      <w:r w:rsidRPr="00C33834">
        <w:rPr>
          <w:rFonts w:ascii="Times New Roman" w:hAnsi="Times New Roman"/>
          <w:color w:val="000000" w:themeColor="text1"/>
          <w:sz w:val="16"/>
          <w:szCs w:val="16"/>
        </w:rPr>
        <w:t>Gedanken uber eine Konstruktive deutsche Ostpolitik. Frankfurt a. M 1986, с. 6]. Тем не менее многие немецкие фирмы продолжали выполнять полученные ранее военные заказы. Например, в Советский Союз был отправлен танк, известный в отечественной литературе как Т-1, поставленный в Германии на серийное производство в 1934 г. Машина была всесторонне изучена нашими специалистами. Отчет Барыкова по исследованию этой боевой машины хранится во ВНИИТрансмаше (11250).</w:t>
      </w:r>
    </w:p>
    <w:p w14:paraId="2DFB0DA7"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1347952A"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1933 г. «Томка» прекратила существование, тем самым завершив целую главу советско-германских «военно-технических контактов». Это сотрудничество в области военной химии следует оценить как последовательное, плодотворное и взаимовыгодное. Его основным итогом для СССР было то, что менее чем за 10 лет Красная Армия сумела создать собственные химвойска, организовать научные исследования и испытания, наладить производство средств химического нападения и защиты и, таким образом, встать в области военной химии вровень с армиями ведущих мировых держав. В СССР появилась целая плеяда талантливых военных химиков-специалистов по химзащите: В. Аборенков, Д. Балабанов, М. Дубинин, А. Королев, А. Мельников, В. Патрикеев, А. Прокофьев, П. Сергеев, П, Скворцов, В. Ткач, П. Шепелев (Э. Гаме. Указ. соч. С. 52.) (11874).</w:t>
      </w:r>
    </w:p>
    <w:p w14:paraId="3C322966"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6B6B1049" w14:textId="77777777" w:rsidR="00B849DC" w:rsidRPr="00C33834" w:rsidRDefault="00B849D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1933 года работа ЦРЛ стала предметом изучения уполномоченным Управления ВЭСО Красником, который доклады</w:t>
      </w:r>
      <w:r w:rsidRPr="00C33834">
        <w:rPr>
          <w:rFonts w:ascii="Times New Roman" w:hAnsi="Times New Roman"/>
          <w:color w:val="000000" w:themeColor="text1"/>
          <w:sz w:val="16"/>
          <w:szCs w:val="16"/>
        </w:rPr>
        <w:softHyphen/>
        <w:t>вал о результатах своей работы на заседании партийного комитета парторга</w:t>
      </w:r>
      <w:r w:rsidRPr="00C33834">
        <w:rPr>
          <w:rFonts w:ascii="Times New Roman" w:hAnsi="Times New Roman"/>
          <w:color w:val="000000" w:themeColor="text1"/>
          <w:sz w:val="16"/>
          <w:szCs w:val="16"/>
        </w:rPr>
        <w:softHyphen/>
        <w:t>низации ВКП (б) Управления объединения в июле 1933 г. В материалах засе</w:t>
      </w:r>
      <w:r w:rsidRPr="00C33834">
        <w:rPr>
          <w:rFonts w:ascii="Times New Roman" w:hAnsi="Times New Roman"/>
          <w:color w:val="000000" w:themeColor="text1"/>
          <w:sz w:val="16"/>
          <w:szCs w:val="16"/>
        </w:rPr>
        <w:softHyphen/>
        <w:t>дания отмечалась неудовлетворительная организация работы лаборатории, от</w:t>
      </w:r>
      <w:r w:rsidRPr="00C33834">
        <w:rPr>
          <w:rFonts w:ascii="Times New Roman" w:hAnsi="Times New Roman"/>
          <w:color w:val="000000" w:themeColor="text1"/>
          <w:sz w:val="16"/>
          <w:szCs w:val="16"/>
        </w:rPr>
        <w:softHyphen/>
        <w:t>сутствие в ней продуманной структуры, четкого распределения обязанностей между структурными подразделениями и сотрудниками. Это приводило к то</w:t>
      </w:r>
      <w:r w:rsidRPr="00C33834">
        <w:rPr>
          <w:rFonts w:ascii="Times New Roman" w:hAnsi="Times New Roman"/>
          <w:color w:val="000000" w:themeColor="text1"/>
          <w:sz w:val="16"/>
          <w:szCs w:val="16"/>
        </w:rPr>
        <w:softHyphen/>
        <w:t>му, что ЦРЛ теряла авторитет как научная организация, не соответствовала своему статусу лаборатории «Центральной». Нелицеприятную оценку полу</w:t>
      </w:r>
      <w:r w:rsidRPr="00C33834">
        <w:rPr>
          <w:rFonts w:ascii="Times New Roman" w:hAnsi="Times New Roman"/>
          <w:color w:val="000000" w:themeColor="text1"/>
          <w:sz w:val="16"/>
          <w:szCs w:val="16"/>
        </w:rPr>
        <w:softHyphen/>
        <w:t>чила деятельность самого директора ЦРЛ Д.Н. Румянцева, который, по мне</w:t>
      </w:r>
      <w:r w:rsidRPr="00C33834">
        <w:rPr>
          <w:rFonts w:ascii="Times New Roman" w:hAnsi="Times New Roman"/>
          <w:color w:val="000000" w:themeColor="text1"/>
          <w:sz w:val="16"/>
          <w:szCs w:val="16"/>
        </w:rPr>
        <w:softHyphen/>
        <w:t>нию уполномоченного Красника, не соответствовал занимаемой должности. Партком в своем постановлении потребовал от Управления ВЭСО принятия срочных мер по коренной перестройке руководства научно-исследовательской работой лаборатории (19098).</w:t>
      </w:r>
    </w:p>
    <w:p w14:paraId="055C9F62" w14:textId="77777777" w:rsidR="00B849DC" w:rsidRPr="00C33834" w:rsidRDefault="00B849DC" w:rsidP="00C33834">
      <w:pPr>
        <w:spacing w:after="0" w:line="240" w:lineRule="auto"/>
        <w:jc w:val="both"/>
        <w:rPr>
          <w:rFonts w:ascii="Times New Roman" w:hAnsi="Times New Roman"/>
          <w:color w:val="000000" w:themeColor="text1"/>
          <w:sz w:val="16"/>
          <w:szCs w:val="16"/>
        </w:rPr>
      </w:pPr>
    </w:p>
    <w:p w14:paraId="4D5B2494"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1933 г. бьш поднят и сдан на слом затонувший в мае 1931 подвод</w:t>
      </w:r>
      <w:r w:rsidRPr="00C33834">
        <w:rPr>
          <w:rFonts w:ascii="Times New Roman" w:hAnsi="Times New Roman"/>
          <w:color w:val="000000" w:themeColor="text1"/>
          <w:sz w:val="16"/>
          <w:szCs w:val="16"/>
        </w:rPr>
        <w:softHyphen/>
        <w:t>ный заградитель "Рабочий. Одновременно подводники и командование Морских сил Балтийского моря выступили с инициативой модернизации остав</w:t>
      </w:r>
      <w:r w:rsidRPr="00C33834">
        <w:rPr>
          <w:rFonts w:ascii="Times New Roman" w:hAnsi="Times New Roman"/>
          <w:color w:val="000000" w:themeColor="text1"/>
          <w:sz w:val="16"/>
          <w:szCs w:val="16"/>
        </w:rPr>
        <w:softHyphen/>
        <w:t>шихся лодок типа "Барс" с целью повышения живучести и увеличе</w:t>
      </w:r>
      <w:r w:rsidRPr="00C33834">
        <w:rPr>
          <w:rFonts w:ascii="Times New Roman" w:hAnsi="Times New Roman"/>
          <w:color w:val="000000" w:themeColor="text1"/>
          <w:sz w:val="16"/>
          <w:szCs w:val="16"/>
        </w:rPr>
        <w:softHyphen/>
        <w:t>ния подводной скорости хода.</w:t>
      </w:r>
    </w:p>
    <w:p w14:paraId="3C972186"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Несмотря на сомнительную целесообразность такой модерни</w:t>
      </w:r>
      <w:r w:rsidRPr="00C33834">
        <w:rPr>
          <w:rFonts w:ascii="Times New Roman" w:hAnsi="Times New Roman"/>
          <w:color w:val="000000" w:themeColor="text1"/>
          <w:sz w:val="16"/>
          <w:szCs w:val="16"/>
        </w:rPr>
        <w:softHyphen/>
        <w:t>зации, стоившей более 2 млн руб., наморси СССР В. М. Орлов в конце 1933 г. разрешил ее проведение на одной лодке. Выбор пал на подводную лодку "Комиссар" (с сентября 1934 г. — Б-2). Модер</w:t>
      </w:r>
      <w:r w:rsidRPr="00C33834">
        <w:rPr>
          <w:rFonts w:ascii="Times New Roman" w:hAnsi="Times New Roman"/>
          <w:color w:val="000000" w:themeColor="text1"/>
          <w:sz w:val="16"/>
          <w:szCs w:val="16"/>
        </w:rPr>
        <w:softHyphen/>
        <w:t>низацию в 1934—1935 гг. выполнил Балтийский завод по проекту инженеров ЦКБС-2 во главе с П. В. Белкиным (3898).</w:t>
      </w:r>
    </w:p>
    <w:p w14:paraId="0CEDF0C4"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1F3A55F0" w14:textId="77777777" w:rsidR="00EA7008"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1BFF9DA6" w14:textId="77777777" w:rsidR="00EA7008" w:rsidRPr="00C33834" w:rsidRDefault="00EA700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84FAB64"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1933 г. продолжилась перегонка ТБ-3 на Дальний Восток, причем в весьма впечатляющих масштабах. Бомбардировщики взлетали в подмосковном Монино и в Воронеже, в составе эскадрилий следовали на восток с промежуточными посадками в Казани, Омске и Красноярске. На маршруте экипажи отрабатывали учебные задачи, на максимальной дальности полета сбрасывали бомбы на отведенных полигонах, затем следовали далее. Из 120 четырехмоторных гигантов, перелетевших через всю страну, был потерян только один самолет. В 1932 г., когда количество построенных ТБ-3 достигло достаточной величины и готовности, было решено начать перегонку этих тяжелых кораблей в район Владивостока. Сложностью перелета являлась значительная удаленность нового места базирования (7000 км), несовершенство силовых установок, недостаточная подготовка личного состава бомбардировочных эскадрилий. Тем не менее, летом 1932 г. к берегам Тихого океана удалось перебазировать 13 ТБ-3, с которыми остались всего 3 подготовленных экипажа (11941).</w:t>
      </w:r>
    </w:p>
    <w:p w14:paraId="636EFD1C"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33F0F696"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1933 Нач. штаба РККА А.И.Егоров представил Пред. РВС доклад по вопросам начала будущей войны со внезапного нападения, скрытой мобилизации, нападения мотомеханизированных и авиадесантных частей (359,113).</w:t>
      </w:r>
    </w:p>
    <w:p w14:paraId="3E30A30C"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6AEBD2EE" w14:textId="77777777" w:rsidR="00455388" w:rsidRPr="00C33834" w:rsidRDefault="00455388" w:rsidP="00C33834">
      <w:pPr>
        <w:pStyle w:val="ae"/>
        <w:shd w:val="clear" w:color="auto" w:fill="FFFFFF"/>
        <w:spacing w:before="0" w:after="0"/>
        <w:jc w:val="both"/>
        <w:rPr>
          <w:color w:val="000000" w:themeColor="text1"/>
          <w:sz w:val="16"/>
          <w:szCs w:val="16"/>
        </w:rPr>
      </w:pPr>
      <w:r w:rsidRPr="00C33834">
        <w:rPr>
          <w:color w:val="000000" w:themeColor="text1"/>
          <w:sz w:val="16"/>
          <w:szCs w:val="16"/>
        </w:rPr>
        <w:t>Летом 1933 года в боевых частях числилось 485 Т-18, то есть половина от выпущенных. 16 мая 1934 года 59 Т-18 было передано военным кафедрам, а 250 танков перешло в распоряжение ОСОАВИАХИМ. Машины отслужили своё и постепенно уступали место в боевых частях более совершенным танкам (17724).</w:t>
      </w:r>
    </w:p>
    <w:p w14:paraId="7407F0EA" w14:textId="77777777" w:rsidR="00455388" w:rsidRPr="00C33834" w:rsidRDefault="00455388" w:rsidP="00C33834">
      <w:pPr>
        <w:spacing w:after="0" w:line="240" w:lineRule="auto"/>
        <w:jc w:val="both"/>
        <w:rPr>
          <w:rFonts w:ascii="Times New Roman" w:eastAsia="Times New Roman" w:hAnsi="Times New Roman"/>
          <w:color w:val="000000" w:themeColor="text1"/>
          <w:sz w:val="16"/>
          <w:szCs w:val="16"/>
          <w:lang w:eastAsia="ru-RU"/>
        </w:rPr>
      </w:pPr>
    </w:p>
    <w:p w14:paraId="6FB235F8" w14:textId="77777777" w:rsidR="00EA7008"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22CD59C4" w14:textId="77777777" w:rsidR="00EA7008" w:rsidRPr="00C33834" w:rsidRDefault="00EA700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AF9729E"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1933 года оценщики-приемщики Торгсина, как и многие другие работники в стране, по призыву Сталина были переведены на сдельщину. Их зарплата стала зависеть от количества обслуженных людей. Нормы были довольно напряженными: для получения максимальной зарплаты в месяц требовалось обслужить 4200 или больше сдатчиков - около 160 человек в день! Переход на сдельщину больно ударил по оценщикам периферийных пунктов, где обороты золотоскупки были значительно ниже оборотов крупных городов. При пустых магазинах деньги теряли свое значение, и неудивительно, что в годы карточной системы первой половины 1930-х годов не столько зарплата, сколько паек играл роль главного стимула улучшения работы. Размер же пайка зависел от полезности человека для индустриализации, которую определяло государство. Торгсин не был исключением. Скупочный пункт имел свою иерархию сотрудников и пайков. "Золотые" пайки получали только оценщики и контролеры - лица, непосредственно принимавшие ценности или проверявшие их приемку. В паек входили торгсиновские товары "экспортного качества", но платить за них нужно было в рублях. Остальные сотрудники снабжались пайками на общих условиях через государственные распределители. В 1933 году в Торгсине была введена дифференциация пайков: их величина стала зависеть от количества обслуженных сдатчиков (11558).</w:t>
      </w:r>
    </w:p>
    <w:p w14:paraId="0EAEFD01"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0F231AD2" w14:textId="77777777" w:rsidR="00403CBA" w:rsidRPr="00C33834" w:rsidRDefault="00403CB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Летом 1933 года в Москве произошло событие, изменившее историю советской анимации — первый фестиваль американской мультипликации. Фильмы Уолта Диснея произвели настолько ошеломляющее впечатление на зрителей, среди которых был и Иосиф Сталин, что было принято решение создать нечто подобное. Появился даже лозунг: "Даешь советского Микки Мауса!" 10 июня 1936 года основан «Союзмультфильм» в результате объединения различных мастерских — «Межрабпромфильма» и «Мосфильма». Студия "Союзмультфильм", организованная как точная копия американской студии "Дисней" с технологией конвейерного производства (21181).</w:t>
      </w:r>
    </w:p>
    <w:p w14:paraId="50C8AF26" w14:textId="77777777" w:rsidR="00403CBA" w:rsidRPr="00C33834" w:rsidRDefault="00403CBA" w:rsidP="00C33834">
      <w:pPr>
        <w:spacing w:after="0" w:line="240" w:lineRule="auto"/>
        <w:jc w:val="both"/>
        <w:rPr>
          <w:rFonts w:ascii="Times New Roman" w:hAnsi="Times New Roman"/>
          <w:color w:val="0070C0"/>
          <w:sz w:val="16"/>
          <w:szCs w:val="16"/>
        </w:rPr>
      </w:pPr>
    </w:p>
    <w:p w14:paraId="6A2CCE87"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1933 года в анонимном письме, посланном из Ленинграда на имя председателя ОПТУ Менжинского (копии ушли прокурору СССР Катаньяну, наркому финансов СССР Гринько и заместителю наркома иностранных дел Сокольникову), сообщалось:</w:t>
      </w:r>
    </w:p>
    <w:p w14:paraId="53FBEF9A"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"ОГПУ в Ленинграде вынуждает граждан трудящихся, имеющих торгсиновские книжки, списывать с текущих счетов в Торгсине большую часть их сбережений под видом добровольного пожертвования. Иногда эти пожертвования достигают почти всей суммы текущего счета в Торгсине. Граждане под влиянием репрессий, а некоторые, боясь репрессий, отдают все, что с них требуют, а иногда и больше, лишь бы их не преследовали".</w:t>
      </w:r>
    </w:p>
    <w:p w14:paraId="0323C9A1"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ОГПУ могло получить валюту и без согласия самого переводополучателя. В одном из документов правления Торгсина описан такой случай: "В Запорожье директора нашего универмага пригласили в ГПУ и предложили сделать перевод в фонд индустриализации 30 долларов по заборной книжке одного арестованного покупателя". В некоторых случаях сотрудники ОГПУ пробовали логически обосновать необходимость перевода денег на счет политической полиции, объясняя человеку, что если у него нашлась валюта для Торгсина, то он, конечно, должен иметь ее и для ОГПУ.</w:t>
      </w:r>
    </w:p>
    <w:p w14:paraId="0EFAE16F"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ОГПУ оправдывало конфискацию золота и наличной валюты у клиентов Торгсина тем, что отбирало припрятанные ценности, которыми государство не могло бы иначе воспользоваться. Конфискация валютных переводов не укладывается в это объяснение. В данном случае ОГПУ отбирало деньги, которые уже находились на счету государственной организации - Торгсина.</w:t>
      </w:r>
    </w:p>
    <w:p w14:paraId="49A71ECA"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Действия ОПТУ приводили к тому, что население начинало настороженно относиться к Торгсину. Распространялись слухи о том, что он "организован в помощь ОПТУ", является "подсобным хозяйством ОГПУ", "ловушкой сдатчиков золота", что покупателей в Торгсине фотографируют и дают о них сведения в политическую полицию(21). Любая связь с ОГПУ отпугивала. Заведующий Валдайским отделением Торгсина одной из причин невыполнения плана подведомственного универмага считал то, что в его кассе работает жена агента ОПТУ, "которую все население знает и задает вопрос, зачем она здесь посажена?". Правление Торгсина информировало правительство, что во все его отделения поступают запросы населения о том, "не является ли опасным получать переводы в связи с производимой ОПТУ выемкой (золота)". Слухи были настолько расхожи, что случаи, когда сдача ценностей происходила без последствий, вызывали удивление: "Гражданка деревни Чекуново зашла в магазин утром в 7 часов 30 мин., купила на 20 рублей и была удивлена, что ничего нет страшного и рассказывает: "У нас все говорят, что как зайдешь в Торгсин, здесь тебя и арестуют. Теперь приду домой и расскажу, что совсем не так и наших много придет покупать".</w:t>
      </w:r>
    </w:p>
    <w:p w14:paraId="2B551675"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каждой кампании ОПТУ по изъятию золота Торгсин подсчитывал нанесенный урон. Так, в Херсоне в результате операций ГПУ против "валютчиков" в ноябре 1931 года ежедневная выручка Торгсина упала с 700 до 100 долларов. В Котласе после арестов, проведенных ОГ-ПУ в декабре 1932 - январе 1933 года (было арестовано 100 человек), торговля практически прекратилась (сократилась на 90%). Многие жалобы Торгсина на действия ОГПУ относятся к последнему кварталу (11558).</w:t>
      </w:r>
    </w:p>
    <w:p w14:paraId="7A4B4FA1"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363ADE7B" w14:textId="77777777" w:rsidR="00EA7008"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B75EC6E" w14:textId="77777777" w:rsidR="00EA7008" w:rsidRPr="00C33834" w:rsidRDefault="00EA700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5FBDFF9"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1933-го, с наступлением благоприятной погоды, продолжилась череда дальних полетов, многие из которых прокладывались через советскую территорию. Два дальних перелета вокруг Земли вдоль 60-й параллели протяженностью более 24000 км предприняли американские пилоты - Вилли Пост и Джеймс Маттерн. В 1932 г. они уже летали по этому маршруту, причем победителем стал экипаж Вилли Поста. Через год американцы продолжили соревнование - на этот раз они летели в одиночку на однотипных самолетах Локхид "Вега". Как и в 1932 г. удача досталась счастливчику Вилли Посту. Вылетев 15 июля из Нью-Йорка, он успешно преодолел весь маршрут, пересек территорию Советского Союза и вернулся к отправной точке своего полета через 7 суток, 18 часов, 50 минут.</w:t>
      </w:r>
    </w:p>
    <w:p w14:paraId="6ACC2D25"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Джеймс Маттерн на самолете Локхид "Вега" "Century of Progress" стартовал из Нью-Йорка раньше Вили Поста - 3 июня. Однако, его возвращение домой состоялось намного позднее. 7-го июня, преодолев большую часть территории СССР, Маттерн вылетел из Хабаровска в направлении Берингова пролива. Практически на самом краю необъятной русской территории, в районе поселка Анадырь, он был вынужден совершить посадку по причине неустойчивой работы двигателя. Приземление оказалось неудачным^ самолета были сломаны стойки шасси. Девять суток пилот бедствовал, питаясь шоколадом из бортового пайка. Затем он перебрался на берег реки Анадырь, где на 12-е сутки после исчезновения его обнаружили местные жители. О нахождении Маттерна сообщили властям, которые приняли решение доставить его домой на советском самолете. Дело считалось срочным, ибо американская пресса уже предполагала, что беднягу Маттерна съели местные туземцы.</w:t>
      </w:r>
    </w:p>
    <w:p w14:paraId="35ECCE8A"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Вывезти неудачливого американца поручили Сигизмунду Леваневскому, который незадолго до описываемых событий перегнал на Дальний Восток из Севастополя летающую лодку Дорнье "Валь" СССР-Н8.</w:t>
      </w:r>
    </w:p>
    <w:p w14:paraId="58BC65C3"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кратчайшие сроки экипаж Леваневского сменил на Дорнье "Валь" изношенные двигатели и в начале августа вылетел из Хабаровска. В тяжелых метеоусловиях экипаж совершил перелет по маршруту: Хабаровск - Николаевск - Охотск - бухта Нагаево - Янек - Пен- жинская губа - Марково - Анадырь. Захватив Маттерна и оборудование его машины, Леваневский 20 июля прибыл в Ном на Аляске. Возвращаясь назад, СССР-Н8 прошел вдоль северного побережья Чукотки и выполнил ряд ледовых разведок для судов Колымской экспедиции 1933 года. На заключительном этапе мар шрут пролегал вверх по Лене, затем по Ангаре в Иркутск, куда экипаж Н8 прибыл 24 сентября, пролетев свыше 37000 км. Таким образом, за весь летне-осенний вояж Леваневский преодолел расстояние, равнозначное по протяженности экваториальному перелету вокруг земного шара (11941).</w:t>
      </w:r>
    </w:p>
    <w:p w14:paraId="4E98DDAE"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597D2F01" w14:textId="77777777" w:rsidR="00EA7008"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2812E8D" w14:textId="77777777" w:rsidR="00EA7008" w:rsidRPr="00C33834" w:rsidRDefault="00EA700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0E3B45C"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 осенью 1933 г. состоялся переезд большого коллектива МАИ на новое место. В ту пору территория института представляла собой довольно труднопроходимый из-за сплошной грязи участок, наполовину — строительную площадку. Институт находился за городской чертой, сообщение с городом — трамвай и небольшой институтский автобус, ходивший между Пушкинской площадью и аудиторным корпусом. Территория института еще не была благоустроена: отсутствовали тротуары, недостаточным было уличное освещение. Некоторые помещения были временными, барачного типа. Вот как вспоминает об этом профессор Н. С. Аржаников: «Ходим гуськом по доскам от ворот до аудиторного корпуса. Картина была неприглядной, однако настроение у всех было бодрое в предчувствии быстрого развития института. ... Типичной для этого периода в истории МАИ была органическая слаженность коллектива. Такие отношения создавали подлинное единство коллектива, товарищеское, порой даже дружеское отношение профессоров со студентами». В 1934 г. в МАИ побывала делегация американских ученых, возглавляемая профессором Серджвиком. Гостей поразил размах строительных работ и грандиозный замысел создания отраслевого авиационного института (в то время в США подготовкой авиационных специалистов занималось 13 разных учебных заведений, выпускавших небольшие группы специалистов). Со дня своего основания вела большую работу по организации учебной базы — самолетной лаборатории (начальником ее стал А. Л. Гиммельфарб) — кафедра конструкции и проектирования самолетов. Первым шагом на пути к созданию хорошо оснащенной лаборатории была организация кабинета образцов конструкций агрегатов самолета. По уровню научно-методической обработки экспонатов этот кабинет считался одним из лучших в МАИ. К началу второго учебного года (1934 — 1935 гг.) на площади около 80 кв. м был создан кабинет образцов конструкций самолетов, которым заведовал В. В. Комаров, а во дворе института на 5-й Тверской-Ямской были собраны самолеты отечественного и иностранного производства (12075).</w:t>
      </w:r>
    </w:p>
    <w:p w14:paraId="5A8AFECB"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215D95A1" w14:textId="77777777" w:rsidR="00EA7008"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E41F9D6" w14:textId="77777777" w:rsidR="00EA7008" w:rsidRPr="00C33834" w:rsidRDefault="00EA700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41A50FF" w14:textId="77777777" w:rsidR="00F27059" w:rsidRPr="00C33834" w:rsidRDefault="00F2705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концу первого полу</w:t>
      </w:r>
      <w:r w:rsidRPr="00C33834">
        <w:rPr>
          <w:rFonts w:ascii="Times New Roman" w:hAnsi="Times New Roman"/>
          <w:color w:val="000000" w:themeColor="text1"/>
          <w:sz w:val="16"/>
          <w:szCs w:val="16"/>
        </w:rPr>
        <w:softHyphen/>
        <w:t>годия 1933 г. проектная документация по само</w:t>
      </w:r>
      <w:r w:rsidRPr="00C33834">
        <w:rPr>
          <w:rFonts w:ascii="Times New Roman" w:hAnsi="Times New Roman"/>
          <w:color w:val="000000" w:themeColor="text1"/>
          <w:sz w:val="16"/>
          <w:szCs w:val="16"/>
        </w:rPr>
        <w:softHyphen/>
        <w:t>лёту ДИП (АНТ-29, за</w:t>
      </w:r>
      <w:r w:rsidRPr="00C33834">
        <w:rPr>
          <w:rFonts w:ascii="Times New Roman" w:hAnsi="Times New Roman"/>
          <w:color w:val="000000" w:themeColor="text1"/>
          <w:sz w:val="16"/>
          <w:szCs w:val="16"/>
        </w:rPr>
        <w:softHyphen/>
        <w:t>каз 7091, ведущий по самолёту от КОСОС — Д.А. Ромейко-Гурко) была отработана на 70%, а общая техни</w:t>
      </w:r>
      <w:r w:rsidRPr="00C33834">
        <w:rPr>
          <w:rFonts w:ascii="Times New Roman" w:hAnsi="Times New Roman"/>
          <w:color w:val="000000" w:themeColor="text1"/>
          <w:sz w:val="16"/>
          <w:szCs w:val="16"/>
        </w:rPr>
        <w:softHyphen/>
        <w:t>ческая готовность машины составила 20%. Оставался неясным вопрос с вооружением и оборудованием (15823).</w:t>
      </w:r>
    </w:p>
    <w:p w14:paraId="60A220B3" w14:textId="77777777" w:rsidR="00F27059" w:rsidRPr="00C33834" w:rsidRDefault="00F27059" w:rsidP="00C33834">
      <w:pPr>
        <w:spacing w:after="0" w:line="240" w:lineRule="auto"/>
        <w:jc w:val="both"/>
        <w:rPr>
          <w:rFonts w:ascii="Times New Roman" w:hAnsi="Times New Roman"/>
          <w:color w:val="000000" w:themeColor="text1"/>
          <w:sz w:val="16"/>
          <w:szCs w:val="16"/>
        </w:rPr>
      </w:pPr>
    </w:p>
    <w:p w14:paraId="46CD599B"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первой половины 1933 года распоряжением директора завода Марголина в план работ бригады № 3 была вставлена "Парабола" 2М-11 (ЦКБ-10) и распоряжением начальника ЦКБ самолет ЦКБ-17 2М-34 отодвинут на 1934 год, а взамен его пущена модель ЦКБ-13 с мотором М-11 (7508, 54-58).</w:t>
      </w:r>
    </w:p>
    <w:p w14:paraId="4EF35C56"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692A1E97" w14:textId="77777777" w:rsidR="00EA7008"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FE46E69" w14:textId="77777777" w:rsidR="00EA7008" w:rsidRPr="00C33834" w:rsidRDefault="00EA700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96C66AB"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середине 1933 г. конструкторская бригада №2 Центрального конструкторского бюро, возглавляемая Н.Н.Поликарповым, в основном закончила рабочее проектирование истребителя-моноплана ЦКБ-12 (И-1б). Используя технологию и опыт создания этого самолета, здесь приступили к реализации следующего проекта - истребителя-моноплана ЦКБ-15 с рядным двигателем жидкостного охлаждения "Испано Сюиза" 12Ybrs максимальной мощностью 850 л.с.</w:t>
      </w:r>
    </w:p>
    <w:p w14:paraId="5EAB949F"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Проектируя ЦКБ-15, Николай Поликарпов обоснованно надеялся достичь максимальной скорости 500 км/ч, для этого до предела обжали внешние обводы машины и облагородили аэродинамику фюзеляжа. Уменьшение миделя фюзеляжа и соответствующая узость, как результат, сужения кабины заставила проектировщиков </w:t>
      </w:r>
      <w:r w:rsidRPr="00C33834">
        <w:rPr>
          <w:rFonts w:ascii="Times New Roman" w:hAnsi="Times New Roman"/>
          <w:color w:val="000000" w:themeColor="text1"/>
          <w:sz w:val="16"/>
          <w:szCs w:val="16"/>
        </w:rPr>
        <w:lastRenderedPageBreak/>
        <w:t>разместить летчика под большим наклоном к вертикали - угол установки пилотского кресла составил 22°. Больший вес винтомоторной группы (ВМГ) вместе с системами охлаждения не должен был ухудшить маневренность, поэтому размах крыла ЦКБ-15 по сравнению с ЦКБ-12 увеличился до 10,0 м, а площадь крыла - до 17,7 м2. Удельная нагрузка на крыло при этом составила 102 кг/м2, почти как у И-16 тип 5 (100 кг/м2) (11951).</w:t>
      </w:r>
    </w:p>
    <w:p w14:paraId="7771842E"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58E8D28B"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середине 1933 года стало ясно, что одновременное создание самой ПТ и ее телемеханической части слишком сложный процесс. Поэтому проектирование системы наведения было передано в специальную лабораторию, занимавшуюся ИК-техникой, а лаборатория N22 продолжала заниматься непосредственно ПТ и оборудованием для нее. Для проверки схемы и проектных данных безмоторных торпед построили модели в 1/10 и 1/4 натуральной величины. В 1933 году были проведены пуски моделей в 1/4 натуральной величины с высоты 1100 м, в ходе которых они пролетали 10-11 км. В 1934 году промышленности заказали экспериментальные образцы ПТ, а также стабилизаторы автопилота. Надежность автопилота подтвердилась во время его лабораторных испытаний. Для разработки специальных образцов ПТ против кораблей и береговых баз в 1935 году был заключен договор с Особым конструкторским бюро военного отдела технических изобретений. Комиссия Управления морских сил (УМС) РККА рекомендовала установить следующие обозначения различных типов летающих торпед:</w:t>
      </w:r>
    </w:p>
    <w:p w14:paraId="76E205D2"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 для безмоторных планирующих торпед с дальностью полета 30-50 км — ДПТ (дальнобойная планирующая торпеда), кодовое обозначение "Волк"; </w:t>
      </w:r>
    </w:p>
    <w:p w14:paraId="580635A2"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 для оборудованных мотором (обычным винтовым или ракетным) с дальностью полета 100-200 км — ЛТДЦ (летающая торпеда дальнего действия); </w:t>
      </w:r>
    </w:p>
    <w:p w14:paraId="01447ADF"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для безмоторных ПТ на жестком буксире — БМП (буксируемый минный планер), кодовое обозначение "Вепрь".</w:t>
      </w:r>
    </w:p>
    <w:p w14:paraId="3B2A6985"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основании результатов проведенных экспериментальных работ в 1935 году промышленности был сделан заказ на изготовление ПТ и вспомогательных средств для их использования по тактико-техническому заданию УМС РККА. Выпуск опытной партии ПТ поручили ОКБ завода N23 в Ленинграде, а создание системы наведения (кодовое обозначение "Квант") — НИИ N10 Наркомата оборонной промышленности (НКОП). УМС своим распоряжением передало Научно-исследовательскому минно-торпедному институту помещения бывших торпедных и авиационных мастерских и ангаров в Гребном порту. В 1935 году завод N23 изготовил первые 4 гидропланера, получившие название ПСН-1 (планер специального назначения), со следующими характеристиками: размах крыльев 8000 мм; высота 2020 мм; масса конструкции 970 кг; полезная нагрузка 1000 кг. По нормам прочности 1934 года планер относился к третьей группе военных самолетов с перегрузочным коэффициентом А-10 (10223).</w:t>
      </w:r>
    </w:p>
    <w:p w14:paraId="651EE91C"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6DE1BBA6"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1933 года закон</w:t>
      </w:r>
      <w:r w:rsidRPr="00C33834">
        <w:rPr>
          <w:rFonts w:ascii="Times New Roman" w:hAnsi="Times New Roman"/>
          <w:color w:val="000000" w:themeColor="text1"/>
          <w:sz w:val="16"/>
          <w:szCs w:val="16"/>
        </w:rPr>
        <w:softHyphen/>
        <w:t>чилась история внедрения поворотных, противоштопорных стоек. По первоначальным решениям было решено построить 10 само</w:t>
      </w:r>
      <w:r w:rsidRPr="00C33834">
        <w:rPr>
          <w:rFonts w:ascii="Times New Roman" w:hAnsi="Times New Roman"/>
          <w:color w:val="000000" w:themeColor="text1"/>
          <w:sz w:val="16"/>
          <w:szCs w:val="16"/>
        </w:rPr>
        <w:softHyphen/>
        <w:t>летов с поворотными стойками, однако ско</w:t>
      </w:r>
      <w:r w:rsidRPr="00C33834">
        <w:rPr>
          <w:rFonts w:ascii="Times New Roman" w:hAnsi="Times New Roman"/>
          <w:color w:val="000000" w:themeColor="text1"/>
          <w:sz w:val="16"/>
          <w:szCs w:val="16"/>
        </w:rPr>
        <w:softHyphen/>
        <w:t>ро от внедрения этого устройства отказались и, судя по всему, таких аппаратов построили всего два экземпляра — ранний №6 (о нем го</w:t>
      </w:r>
      <w:r w:rsidRPr="00C33834">
        <w:rPr>
          <w:rFonts w:ascii="Times New Roman" w:hAnsi="Times New Roman"/>
          <w:color w:val="000000" w:themeColor="text1"/>
          <w:sz w:val="16"/>
          <w:szCs w:val="16"/>
        </w:rPr>
        <w:softHyphen/>
        <w:t>ворилось) и более поздний И-5 № 21117. Лет</w:t>
      </w:r>
      <w:r w:rsidRPr="00C33834">
        <w:rPr>
          <w:rFonts w:ascii="Times New Roman" w:hAnsi="Times New Roman"/>
          <w:color w:val="000000" w:themeColor="text1"/>
          <w:sz w:val="16"/>
          <w:szCs w:val="16"/>
        </w:rPr>
        <w:softHyphen/>
        <w:t>ные испытания № 21117, которые в июне 1933 года провели И.Ф. Петров и А.И. Филин показали, что самолет еше более потяжелел и стал инертнее в пилотировании. Поворот</w:t>
      </w:r>
      <w:r w:rsidRPr="00C33834">
        <w:rPr>
          <w:rFonts w:ascii="Times New Roman" w:hAnsi="Times New Roman"/>
          <w:color w:val="000000" w:themeColor="text1"/>
          <w:sz w:val="16"/>
          <w:szCs w:val="16"/>
        </w:rPr>
        <w:softHyphen/>
        <w:t>ные стойки у летчиков восторга не вызвали, а их необходимость подвергалась сомнению: «Открываешь ручку внешней стойки — вроде тормозит. Однако пользоваться неудобно, ... управлять трудно, мешает перезарядке пуле</w:t>
      </w:r>
      <w:r w:rsidRPr="00C33834">
        <w:rPr>
          <w:rFonts w:ascii="Times New Roman" w:hAnsi="Times New Roman"/>
          <w:color w:val="000000" w:themeColor="text1"/>
          <w:sz w:val="16"/>
          <w:szCs w:val="16"/>
        </w:rPr>
        <w:softHyphen/>
        <w:t>метов».</w:t>
      </w:r>
    </w:p>
    <w:p w14:paraId="07E8BF67"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Если предположение о всего двух постро</w:t>
      </w:r>
      <w:r w:rsidRPr="00C33834">
        <w:rPr>
          <w:rFonts w:ascii="Times New Roman" w:hAnsi="Times New Roman"/>
          <w:color w:val="000000" w:themeColor="text1"/>
          <w:sz w:val="16"/>
          <w:szCs w:val="16"/>
        </w:rPr>
        <w:softHyphen/>
        <w:t>енных И-5 с поворотными стойками верно, то именно один из этих построенных аппа</w:t>
      </w:r>
      <w:r w:rsidRPr="00C33834">
        <w:rPr>
          <w:rFonts w:ascii="Times New Roman" w:hAnsi="Times New Roman"/>
          <w:color w:val="000000" w:themeColor="text1"/>
          <w:sz w:val="16"/>
          <w:szCs w:val="16"/>
        </w:rPr>
        <w:softHyphen/>
        <w:t>ратов использовался Иваном Ульяновичем Павловым как личный самолет и традицион</w:t>
      </w:r>
      <w:r w:rsidRPr="00C33834">
        <w:rPr>
          <w:rFonts w:ascii="Times New Roman" w:hAnsi="Times New Roman"/>
          <w:color w:val="000000" w:themeColor="text1"/>
          <w:sz w:val="16"/>
          <w:szCs w:val="16"/>
        </w:rPr>
        <w:softHyphen/>
        <w:t>но имел на фюзеляже изображение красного флага с надписью «за ВКП (б)» (12295).</w:t>
      </w:r>
    </w:p>
    <w:p w14:paraId="07037BB5" w14:textId="77777777" w:rsidR="0058354C" w:rsidRPr="00C33834" w:rsidRDefault="0058354C" w:rsidP="00C33834">
      <w:pPr>
        <w:spacing w:after="0" w:line="240" w:lineRule="auto"/>
        <w:jc w:val="both"/>
        <w:rPr>
          <w:rFonts w:ascii="Times New Roman" w:hAnsi="Times New Roman"/>
          <w:color w:val="000000" w:themeColor="text1"/>
          <w:sz w:val="16"/>
          <w:szCs w:val="16"/>
        </w:rPr>
      </w:pPr>
    </w:p>
    <w:p w14:paraId="3C8137A8" w14:textId="77777777" w:rsidR="000D47D9" w:rsidRPr="00C33834" w:rsidRDefault="000D47D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До середины 1933 года этот аппарат ЦАГИ 3-ЭА прошел наземные испытания с подъемом в воздух на привязи, затем его переделали в следующий тип - ЦАГИ 5-ЭА. Принципиально новыми в нем стали система управления и несущий ротор. ЦАГИ 5-ЭА ис</w:t>
      </w:r>
      <w:r w:rsidRPr="00C33834">
        <w:rPr>
          <w:rFonts w:ascii="Times New Roman" w:hAnsi="Times New Roman"/>
          <w:color w:val="0070C0"/>
          <w:sz w:val="16"/>
          <w:szCs w:val="16"/>
        </w:rPr>
        <w:softHyphen/>
        <w:t>пытывался особенно тщательно в период 1933-36 гг. Од</w:t>
      </w:r>
      <w:r w:rsidRPr="00C33834">
        <w:rPr>
          <w:rFonts w:ascii="Times New Roman" w:hAnsi="Times New Roman"/>
          <w:color w:val="0070C0"/>
          <w:sz w:val="16"/>
          <w:szCs w:val="16"/>
        </w:rPr>
        <w:softHyphen/>
        <w:t>нако в связи с тем, что ресурс двигателей М-2 практиче</w:t>
      </w:r>
      <w:r w:rsidRPr="00C33834">
        <w:rPr>
          <w:rFonts w:ascii="Times New Roman" w:hAnsi="Times New Roman"/>
          <w:color w:val="0070C0"/>
          <w:sz w:val="16"/>
          <w:szCs w:val="16"/>
        </w:rPr>
        <w:softHyphen/>
        <w:t>ски закончился, а новых таких двигателей не имелось, продолжительность и высота полетов строго ограничи</w:t>
      </w:r>
      <w:r w:rsidRPr="00C33834">
        <w:rPr>
          <w:rFonts w:ascii="Times New Roman" w:hAnsi="Times New Roman"/>
          <w:color w:val="0070C0"/>
          <w:sz w:val="16"/>
          <w:szCs w:val="16"/>
        </w:rPr>
        <w:softHyphen/>
        <w:t>вались. В 1941 г. на ЦАГИ 5-ЭА установили два специаль</w:t>
      </w:r>
      <w:r w:rsidRPr="00C33834">
        <w:rPr>
          <w:rFonts w:ascii="Times New Roman" w:hAnsi="Times New Roman"/>
          <w:color w:val="0070C0"/>
          <w:sz w:val="16"/>
          <w:szCs w:val="16"/>
        </w:rPr>
        <w:softHyphen/>
        <w:t>ных электродвигателя, позволяющие осуществлять испы</w:t>
      </w:r>
      <w:r w:rsidRPr="00C33834">
        <w:rPr>
          <w:rFonts w:ascii="Times New Roman" w:hAnsi="Times New Roman"/>
          <w:color w:val="0070C0"/>
          <w:sz w:val="16"/>
          <w:szCs w:val="16"/>
        </w:rPr>
        <w:softHyphen/>
        <w:t>тательные полеты на привязи. В середине года начались испытания, которые прервались с началом войны (20361).</w:t>
      </w:r>
    </w:p>
    <w:p w14:paraId="444103AB" w14:textId="77777777" w:rsidR="000D47D9" w:rsidRPr="00C33834" w:rsidRDefault="000D47D9" w:rsidP="00C33834">
      <w:pPr>
        <w:shd w:val="clear" w:color="auto" w:fill="FFFFFF"/>
        <w:spacing w:after="0" w:line="240" w:lineRule="auto"/>
        <w:jc w:val="both"/>
        <w:rPr>
          <w:rFonts w:ascii="Times New Roman" w:hAnsi="Times New Roman"/>
          <w:color w:val="0070C0"/>
          <w:sz w:val="16"/>
          <w:szCs w:val="16"/>
        </w:rPr>
      </w:pPr>
    </w:p>
    <w:p w14:paraId="0D369695" w14:textId="77777777" w:rsidR="000D47D9" w:rsidRPr="00C33834" w:rsidRDefault="000D47D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середине 1933 г. началось поступление серийных автожиров А-4, построенных киевским авиа</w:t>
      </w:r>
      <w:r w:rsidRPr="00C33834">
        <w:rPr>
          <w:rFonts w:ascii="Times New Roman" w:hAnsi="Times New Roman"/>
          <w:color w:val="0070C0"/>
          <w:sz w:val="16"/>
          <w:szCs w:val="16"/>
        </w:rPr>
        <w:softHyphen/>
        <w:t>заводом № 43, в летные подразделения для проведения войсковых испытаний и получения опыта эксплуатации. Хотя представители ЦАГИ предлагали сосредоточить все автожиры в одном ме</w:t>
      </w:r>
      <w:r w:rsidRPr="00C33834">
        <w:rPr>
          <w:rFonts w:ascii="Times New Roman" w:hAnsi="Times New Roman"/>
          <w:color w:val="0070C0"/>
          <w:sz w:val="16"/>
          <w:szCs w:val="16"/>
        </w:rPr>
        <w:softHyphen/>
        <w:t>сте, аппараты поштучно направили в Гомель, Смоленск, Петергоф и Харьков. Такая скоропалительная рассылка не совсем обычных летательных аппаратов без проведения специальной подготовки летного состава привела к мно</w:t>
      </w:r>
      <w:r w:rsidRPr="00C33834">
        <w:rPr>
          <w:rFonts w:ascii="Times New Roman" w:hAnsi="Times New Roman"/>
          <w:color w:val="0070C0"/>
          <w:sz w:val="16"/>
          <w:szCs w:val="16"/>
        </w:rPr>
        <w:softHyphen/>
        <w:t>гочисленным авариям. Для их расследования в пункты эксплуатации направили Начальника 6-й бригады ООК Скржинского и инженера НИИ ВВС Ивановского. Позднее, в своем отчете Скржинский отмечал: «Внедрение автожи</w:t>
      </w:r>
      <w:r w:rsidRPr="00C33834">
        <w:rPr>
          <w:rFonts w:ascii="Times New Roman" w:hAnsi="Times New Roman"/>
          <w:color w:val="0070C0"/>
          <w:sz w:val="16"/>
          <w:szCs w:val="16"/>
        </w:rPr>
        <w:softHyphen/>
        <w:t>ров в частях ВВС происходит не совсем нормально и не так безболезненно и легко, как на это рассчитывали в ЦАГИ. ...конструкция А-4 не является причиной аварий... для изучения автожиров нет технических описаний и лет</w:t>
      </w:r>
      <w:r w:rsidRPr="00C33834">
        <w:rPr>
          <w:rFonts w:ascii="Times New Roman" w:hAnsi="Times New Roman"/>
          <w:color w:val="0070C0"/>
          <w:sz w:val="16"/>
          <w:szCs w:val="16"/>
        </w:rPr>
        <w:softHyphen/>
        <w:t>ных инструкций». Далее описывались обстоятельства, при которых эти аварии происходили:</w:t>
      </w:r>
    </w:p>
    <w:p w14:paraId="023B9558" w14:textId="77777777" w:rsidR="000D47D9" w:rsidRPr="00C33834" w:rsidRDefault="000D47D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Автожир А-4 № 4308, повреждение конструкции во втором полете в войсковой части НКВМ (п/я 1263). На</w:t>
      </w:r>
      <w:r w:rsidRPr="00C33834">
        <w:rPr>
          <w:rFonts w:ascii="Times New Roman" w:hAnsi="Times New Roman"/>
          <w:color w:val="0070C0"/>
          <w:sz w:val="16"/>
          <w:szCs w:val="16"/>
        </w:rPr>
        <w:softHyphen/>
        <w:t>рушение летчиком Беспаловым техники взлета. Непони</w:t>
      </w:r>
      <w:r w:rsidRPr="00C33834">
        <w:rPr>
          <w:rFonts w:ascii="Times New Roman" w:hAnsi="Times New Roman"/>
          <w:color w:val="0070C0"/>
          <w:sz w:val="16"/>
          <w:szCs w:val="16"/>
        </w:rPr>
        <w:softHyphen/>
        <w:t>мание принципов работы и полета автожира.</w:t>
      </w:r>
    </w:p>
    <w:p w14:paraId="42DD01D2" w14:textId="77777777" w:rsidR="000D47D9" w:rsidRPr="00C33834" w:rsidRDefault="000D47D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А-4 № 4305, эксплуатировался в Смоленске, совершил 8 нормальных полетов. При запуске двигателя на 9-м по</w:t>
      </w:r>
      <w:r w:rsidRPr="00C33834">
        <w:rPr>
          <w:rFonts w:ascii="Times New Roman" w:hAnsi="Times New Roman"/>
          <w:color w:val="0070C0"/>
          <w:sz w:val="16"/>
          <w:szCs w:val="16"/>
        </w:rPr>
        <w:softHyphen/>
        <w:t>лете от неисправного зажигания произошел пожар, в ре</w:t>
      </w:r>
      <w:r w:rsidRPr="00C33834">
        <w:rPr>
          <w:rFonts w:ascii="Times New Roman" w:hAnsi="Times New Roman"/>
          <w:color w:val="0070C0"/>
          <w:sz w:val="16"/>
          <w:szCs w:val="16"/>
        </w:rPr>
        <w:softHyphen/>
        <w:t>зультате чего обгорел двигатель и лопасти ротора. Ре</w:t>
      </w:r>
      <w:r w:rsidRPr="00C33834">
        <w:rPr>
          <w:rFonts w:ascii="Times New Roman" w:hAnsi="Times New Roman"/>
          <w:color w:val="0070C0"/>
          <w:sz w:val="16"/>
          <w:szCs w:val="16"/>
        </w:rPr>
        <w:softHyphen/>
        <w:t>монт возможен.</w:t>
      </w:r>
    </w:p>
    <w:p w14:paraId="339BBF9E" w14:textId="77777777" w:rsidR="000D47D9" w:rsidRPr="00C33834" w:rsidRDefault="000D47D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А-4 № 4304 эксплуатировался в Петергофе в части НКВМ. Совершил 37 полетов.</w:t>
      </w:r>
    </w:p>
    <w:p w14:paraId="7912D135" w14:textId="77777777" w:rsidR="000D47D9" w:rsidRPr="00C33834" w:rsidRDefault="000D47D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А-4 № 4310 получен с завода 14 октября 1933 г., за</w:t>
      </w:r>
      <w:r w:rsidRPr="00C33834">
        <w:rPr>
          <w:rFonts w:ascii="Times New Roman" w:hAnsi="Times New Roman"/>
          <w:color w:val="0070C0"/>
          <w:sz w:val="16"/>
          <w:szCs w:val="16"/>
        </w:rPr>
        <w:softHyphen/>
        <w:t>тем доставлен в Харьков. Автожир хотели показать на но</w:t>
      </w:r>
      <w:r w:rsidRPr="00C33834">
        <w:rPr>
          <w:rFonts w:ascii="Times New Roman" w:hAnsi="Times New Roman"/>
          <w:color w:val="0070C0"/>
          <w:sz w:val="16"/>
          <w:szCs w:val="16"/>
        </w:rPr>
        <w:softHyphen/>
        <w:t>ябрьских праздниках. Летчик Козюля имел всего четы</w:t>
      </w:r>
      <w:r w:rsidRPr="00C33834">
        <w:rPr>
          <w:rFonts w:ascii="Times New Roman" w:hAnsi="Times New Roman"/>
          <w:color w:val="0070C0"/>
          <w:sz w:val="16"/>
          <w:szCs w:val="16"/>
        </w:rPr>
        <w:softHyphen/>
        <w:t>ре тренировочных и один самостоятельный полет в Ки</w:t>
      </w:r>
      <w:r w:rsidRPr="00C33834">
        <w:rPr>
          <w:rFonts w:ascii="Times New Roman" w:hAnsi="Times New Roman"/>
          <w:color w:val="0070C0"/>
          <w:sz w:val="16"/>
          <w:szCs w:val="16"/>
        </w:rPr>
        <w:softHyphen/>
        <w:t>еве на аппарате № 4307. 1 ноября 1933 г. сразу после взлета двигатель начал давать перебои. При соверше</w:t>
      </w:r>
      <w:r w:rsidRPr="00C33834">
        <w:rPr>
          <w:rFonts w:ascii="Times New Roman" w:hAnsi="Times New Roman"/>
          <w:color w:val="0070C0"/>
          <w:sz w:val="16"/>
          <w:szCs w:val="16"/>
        </w:rPr>
        <w:softHyphen/>
        <w:t>нии аварийной посадки с боковым ветром аппарат снес шасси, сломаны крылья и ротор (20381).</w:t>
      </w:r>
    </w:p>
    <w:p w14:paraId="61F0E306" w14:textId="77777777" w:rsidR="000D47D9" w:rsidRPr="00C33834" w:rsidRDefault="000D47D9" w:rsidP="00C33834">
      <w:pPr>
        <w:shd w:val="clear" w:color="auto" w:fill="FFFFFF"/>
        <w:spacing w:after="0" w:line="240" w:lineRule="auto"/>
        <w:jc w:val="both"/>
        <w:rPr>
          <w:rFonts w:ascii="Times New Roman" w:hAnsi="Times New Roman"/>
          <w:color w:val="0070C0"/>
          <w:sz w:val="16"/>
          <w:szCs w:val="16"/>
        </w:rPr>
      </w:pPr>
    </w:p>
    <w:p w14:paraId="71425849" w14:textId="77777777" w:rsidR="000D47D9" w:rsidRPr="00C33834" w:rsidRDefault="000D47D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 се</w:t>
      </w:r>
      <w:r w:rsidRPr="00C33834">
        <w:rPr>
          <w:rFonts w:ascii="Times New Roman" w:hAnsi="Times New Roman"/>
          <w:color w:val="0070C0"/>
          <w:sz w:val="16"/>
          <w:szCs w:val="16"/>
        </w:rPr>
        <w:softHyphen/>
        <w:t>редине 1933 г. А-6 построили на заводе опытных конструкций ЦАГИ Автожир имел сварной ферменный фюзеляж и цельнодеревянное, низкорасположенное крыло с отогну</w:t>
      </w:r>
      <w:r w:rsidRPr="00C33834">
        <w:rPr>
          <w:rFonts w:ascii="Times New Roman" w:hAnsi="Times New Roman"/>
          <w:color w:val="0070C0"/>
          <w:sz w:val="16"/>
          <w:szCs w:val="16"/>
        </w:rPr>
        <w:softHyphen/>
        <w:t>тыми законцовками. Подобную конструкцию фюзеляжа и крыла ранее отработали на аппаратах ЦАГИ 2-ЭА и А-4.</w:t>
      </w:r>
    </w:p>
    <w:p w14:paraId="1941D312" w14:textId="77777777" w:rsidR="000D47D9" w:rsidRPr="00C33834" w:rsidRDefault="000D47D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шасси А-6 использовались баллонные колеса низко</w:t>
      </w:r>
      <w:r w:rsidRPr="00C33834">
        <w:rPr>
          <w:rFonts w:ascii="Times New Roman" w:hAnsi="Times New Roman"/>
          <w:color w:val="0070C0"/>
          <w:sz w:val="16"/>
          <w:szCs w:val="16"/>
        </w:rPr>
        <w:softHyphen/>
        <w:t>го давления, амортизация отсутствовала. Для сокращения разбега при взлете использовалась система механическо</w:t>
      </w:r>
      <w:r w:rsidRPr="00C33834">
        <w:rPr>
          <w:rFonts w:ascii="Times New Roman" w:hAnsi="Times New Roman"/>
          <w:color w:val="0070C0"/>
          <w:sz w:val="16"/>
          <w:szCs w:val="16"/>
        </w:rPr>
        <w:softHyphen/>
        <w:t>го запуска с приводом от двигателя М-11. Управление ав</w:t>
      </w:r>
      <w:r w:rsidRPr="00C33834">
        <w:rPr>
          <w:rFonts w:ascii="Times New Roman" w:hAnsi="Times New Roman"/>
          <w:color w:val="0070C0"/>
          <w:sz w:val="16"/>
          <w:szCs w:val="16"/>
        </w:rPr>
        <w:softHyphen/>
        <w:t>тожиром осуществлялось при помощи рулей хвостового оперения и элеронов. Для повышения чувствительности на малых скоростях полета специальным штурвалом менялось передаточное число в системе управления.</w:t>
      </w:r>
    </w:p>
    <w:p w14:paraId="0D4B1868" w14:textId="77777777" w:rsidR="000D47D9" w:rsidRPr="00C33834" w:rsidRDefault="000D47D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 создании А-6 учитывались удобства его эксплуата</w:t>
      </w:r>
      <w:r w:rsidRPr="00C33834">
        <w:rPr>
          <w:rFonts w:ascii="Times New Roman" w:hAnsi="Times New Roman"/>
          <w:color w:val="0070C0"/>
          <w:sz w:val="16"/>
          <w:szCs w:val="16"/>
        </w:rPr>
        <w:softHyphen/>
        <w:t>ции и возможность практического использования. На нем впервые применили трехлопастный ротор со свободнонесущими лопастями. Для возможности транспортировки и более компактного хранения в ангаре лопасти ротора и отъемные части крыла складывались. Лопасти в сложен</w:t>
      </w:r>
      <w:r w:rsidRPr="00C33834">
        <w:rPr>
          <w:rFonts w:ascii="Times New Roman" w:hAnsi="Times New Roman"/>
          <w:color w:val="0070C0"/>
          <w:sz w:val="16"/>
          <w:szCs w:val="16"/>
        </w:rPr>
        <w:softHyphen/>
        <w:t>ном виде закреплялись при помощи специальной рамы на фюзеляже, крыло фиксировалось своими законцовками над кабаном ротора (20361).</w:t>
      </w:r>
    </w:p>
    <w:p w14:paraId="14F41078" w14:textId="77777777" w:rsidR="000D47D9" w:rsidRPr="00C33834" w:rsidRDefault="000D47D9" w:rsidP="00C33834">
      <w:pPr>
        <w:spacing w:after="0" w:line="240" w:lineRule="auto"/>
        <w:jc w:val="both"/>
        <w:rPr>
          <w:rFonts w:ascii="Times New Roman" w:hAnsi="Times New Roman"/>
          <w:color w:val="0070C0"/>
          <w:sz w:val="16"/>
          <w:szCs w:val="16"/>
        </w:rPr>
      </w:pPr>
    </w:p>
    <w:p w14:paraId="2BAD8574"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середине 1933 г. стало ясно, что одновременное создание самой планирующей торпеды и ее телемеханической части слишком сложный процесс. Поэтому проектирование системы наведения было передано в специальную лабораторию, занимавшуюся инфракрасными технологиями, а лаборатория N22 продолжала заниматься непосредственно планирующей торпедой и оборудованием для нее. Для проверки схемы и проектных данных безмоторных торпед построили модели в 1/10 и 1/4 натуральной величины (3861).</w:t>
      </w:r>
    </w:p>
    <w:p w14:paraId="3AE57D8C"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110E2580"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середине 1933 г. конструкторская бригада № 2 Центрального конструкторского бюро, возглавляемая Н.Н. Поликарповым, в основном закончила рабочее проектирование истребителя-моноплана ЦКБ-12 (И-16). Используя опыт создания этого самолёта, коллектив приступил к реализации следующего проекта - истребителя-моноплана ЦКБ-15 с рядным двигателем жидкостного охлаждения. Подобно тому, как в ЦКБ-12 ориентировались на ожидаемый американский Райт "Циклон" и, одновременно, на освоенный М-22, в новом проекте для подстраховки прикидки велись под двигатель М-17. В окончательном варианте, в силу значительной весовой и габаритной несовместимости М-17 и "Испано", проект ЦКБ-15 разрабатывался исключительно под HS 12Ybrs.</w:t>
      </w:r>
    </w:p>
    <w:p w14:paraId="66C15778"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Поскольку Поликарпов обоснованно надеялся достичь на новой машине максимальной скорости 500 км/ч, на ней до предела обжали обводы и облагородили аэродинамику фюзеляжа. Уменьшение миделя последнего и, следовательно, узость кабины заставила проектировщиков разместить лётчика под большим наклоном к вертикали - угол установки пилотского кресла составил 22°. Более высокий вес винто-мотор-ной группы (ВМГ) вместе с системами охлаждения не должен был ухудшить маневренность, поэтому размах крыла по сравнению с ЦКБ-12 увеличился до 10 м, площадь крыла - до 17,7 м2. Удельная нагрузка на крыло при этом составила 102 w/»1 и практически равнялась таковой у И-1бтип 5 (100 кг/м г).</w:t>
      </w:r>
    </w:p>
    <w:p w14:paraId="22458ABC"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Параллельно с проектированием ЦКБ-15, получившем в ВВС официальное обозначение И-17, во второй половине 1933 г. велись работы по его двухместному варианту - ДИ-7. Обсуждение характеристик и предполагаемых боевых возможностей этих двух машин наиболее активно началось в декабре 1933 г. Начальник ВВС РККА Яков Алкснис лично принимал участие в выработке тактико-технических требований: "На 20 часов 7 декабря назначаюу себя совещание по этим техтребованиям. Хотелось бы на обоих самолётах иметь более сильное и более дальнобойное вооружение" (9630).</w:t>
      </w:r>
    </w:p>
    <w:p w14:paraId="60E8169A"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42B7F6A6"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1933 г. закончи</w:t>
      </w:r>
      <w:r w:rsidRPr="00C33834">
        <w:rPr>
          <w:rFonts w:ascii="Times New Roman" w:hAnsi="Times New Roman"/>
          <w:color w:val="000000" w:themeColor="text1"/>
          <w:sz w:val="16"/>
          <w:szCs w:val="16"/>
        </w:rPr>
        <w:softHyphen/>
        <w:t>лась история внедрения поворотных, противоштопорных стоек. Первоначально было ре</w:t>
      </w:r>
      <w:r w:rsidRPr="00C33834">
        <w:rPr>
          <w:rFonts w:ascii="Times New Roman" w:hAnsi="Times New Roman"/>
          <w:color w:val="000000" w:themeColor="text1"/>
          <w:sz w:val="16"/>
          <w:szCs w:val="16"/>
        </w:rPr>
        <w:softHyphen/>
        <w:t>шено построить 10 самолетов И-5 с поворотными стойками, однако скоро от внедрения этого устройства отказались и, судя по всему, таких аппаратов построили всего два экземпляра - ранний № 6 и более позд</w:t>
      </w:r>
      <w:r w:rsidRPr="00C33834">
        <w:rPr>
          <w:rFonts w:ascii="Times New Roman" w:hAnsi="Times New Roman"/>
          <w:color w:val="000000" w:themeColor="text1"/>
          <w:sz w:val="16"/>
          <w:szCs w:val="16"/>
        </w:rPr>
        <w:softHyphen/>
        <w:t xml:space="preserve">ний И-5 № 21117. Летные испытания № 21117, которые в июне 1933 г. провели И.Ф. Петров и А.И.Филин, показали, что самолет потяжелел и стал инертнее в </w:t>
      </w:r>
      <w:r w:rsidRPr="00C33834">
        <w:rPr>
          <w:rFonts w:ascii="Times New Roman" w:hAnsi="Times New Roman"/>
          <w:color w:val="000000" w:themeColor="text1"/>
          <w:sz w:val="16"/>
          <w:szCs w:val="16"/>
        </w:rPr>
        <w:lastRenderedPageBreak/>
        <w:t>пилотировании. Поворотные стойки у летчиков восторга не вызвали, а их необходимость подвергалась сомнению: «Открываешь ручку внешней стойки - вроде тормозит. Однако пользоваться неудобно, ...управлять трудно, мешает перезарядке пу</w:t>
      </w:r>
      <w:r w:rsidRPr="00C33834">
        <w:rPr>
          <w:rFonts w:ascii="Times New Roman" w:hAnsi="Times New Roman"/>
          <w:color w:val="000000" w:themeColor="text1"/>
          <w:sz w:val="16"/>
          <w:szCs w:val="16"/>
        </w:rPr>
        <w:softHyphen/>
        <w:t>леметов».</w:t>
      </w:r>
    </w:p>
    <w:p w14:paraId="267E1CF1"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Если предположение о всего двух И-5 с по- шротными стойками верно, то один из них использовался Иваном Ульяновичем Павловым «к личный самолет и традиционно имел на фюзеляже изображение красного флага с над- м»сью«за ВКП (6)» (11974).</w:t>
      </w:r>
    </w:p>
    <w:p w14:paraId="4F290CD6"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74DE4BED"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1933 г. на заводе № 39 имени Менжинского Наркомата тяжелой промышленности СССР создали Центральное конструкторское бюро ЦКБ-39 под руководством Марголина, где в предвоенные годы интенсивно разрабатывали оснастку для подвески на боевых самолетах выливных авиаприборов и дымовых аппаратов, а также новые образцы вооружений, состоящих в ведении Химупра ВВС. Полтора года существования своего ЦКБ инженеры-конструкторы отметили разработкой выливных авиаприборов ВАП-4, ВАП-5 и ВАП-6, дымовых аппаратов ДАП-ДХ-1, ДАП-ДХ-2, ДАП-ДХ-3, ДАП-Д-100 и ДАП-Д-200 для вооружения истребителей И-5, самолетов-разведчиков Р-5 и Р-6, а также гидросамолетов-разведчиков С-62бис, МБР-4 и МДР-4. Наряду с этим полным ходом шли работы по созданию химических авиабомб ХБ-1 и ХБ-2 (вряд ли эти цифры, как принято, свидетельствовали о калибрах боеприпасов) для вооружения тяжелых бомбардировщиков ТБ-1 и ТБ-3, а также круглых ампул АК-1 и АК-2 с приспособлением для регулируемого последовательного выброса 10 штук последних.</w:t>
      </w:r>
    </w:p>
    <w:p w14:paraId="0F13A94E"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научный коллектив еще поддерживал своими исследованиями традиционные для того периода времени бортовые авиационные многоразовые средства химического вооружения. Там работали над проблемами создания давления внутри выливных авиаприборов для их более оперативного опустошения над целью, занимались проблемами коррозии материалов покрытия крыла и фюзеляжа самолета-носителя от воздействия на них выливаемых отравляющих веществ.</w:t>
      </w:r>
    </w:p>
    <w:p w14:paraId="0052BF86"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1934 г. ЦКБ-39 переориентировали на разработку сбрасываемых авиационных боеприпасов химического вооружения. С этой целью по распоряжению из Главного военно-мобилизационного управления НКТП им передали корпуса некондиционных боеприпасов, на основе которых впоследствии и был разработан почти весь ряд химических, а также комбинированных авиабомб.</w:t>
      </w:r>
    </w:p>
    <w:p w14:paraId="018A3546"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начиналось все с трех корпусов «фугасок» АФ-25, поступивших с завода «Красный Аксай», пяти корпусов осколочных АО-10, переданных с завода «Красный блок», десяти корпусов 50-кг «фугасок» и двадцати 100-кг, подаренных «Ростсельмашем», а также четырех ФАБ-1000, по одному корпусу ФАБ-500 и БРАБ-220 с завода № 67 и одного корпуса от БРАБ-500 с завода МЗМ (7453).</w:t>
      </w:r>
    </w:p>
    <w:p w14:paraId="2E2A7DBF"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2F26DCE5"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середине 1933г. Завод № 1 им. Авиахима (самолетостроительное производство) переведен на новую территорию - на Боткинский проезд (полностью вступил в строй в 1936г.), а на старой площадке (ул. Правды) остались заводы № 32 и № 34 (11892).</w:t>
      </w:r>
    </w:p>
    <w:p w14:paraId="00F50773"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532B7A7A"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1933 года будущий завод № 19 завод получил задание подготовиться на 1934 год к производству моторов М-25. Мотор М-25 – однорядная девятицилиндровая звезда воздушного охлаждения, прототипом его является мотор Райт Циклон, полученный Советским Союзом из СА по лицензии.</w:t>
      </w:r>
    </w:p>
    <w:p w14:paraId="460680E6"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решению СТО от 13 марта 1934 года заводу № 19 было задание собрать в 1934 году 50 моторов из импортных деталей и подготовиться к выпуску в 1935 году 600 моторов собственного изготовления. В конце 1934 года было создано ОКБ во главе с гл. конструктором Швецовым А.Д.</w:t>
      </w:r>
    </w:p>
    <w:p w14:paraId="028BD00D"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выполнил задание 1934 года – выпустил 50 моторов. С 1 января 1935 года завод начал серийное производство моторов М-25. В 1935 году завод выпустил вместо 600 моторов, установленных производственной программой 671 мотор М-25.</w:t>
      </w:r>
    </w:p>
    <w:p w14:paraId="48B923B1"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Коллектив ОКБ работал над увеличением мощности мотора и завод получил возможность в 1936 году выпускать более мощные, с увеличенным ресурсом моторы М-25А и М-25В.</w:t>
      </w:r>
    </w:p>
    <w:p w14:paraId="019B1426"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Одновременно в ОКБ проводились работы по созданию мощных моторов воздушного охлаждения – спаренной 14 и 18 цилиндровой звезды. В октябре 1936 года завод зачислен в число действующих предприятий СССР. На 1937 год программа по мотору М-25 против 1936 года была вдвое увеличена. Кроме того, завод должен был провести подготовку к производству мощного мотора М-62.</w:t>
      </w:r>
    </w:p>
    <w:p w14:paraId="3560ADED"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этом же году обнаружились дефекты мотора М-25В – поломка поршневых пальцев и заклинивание втулки гл. шатуна.</w:t>
      </w:r>
    </w:p>
    <w:p w14:paraId="58FD38CF"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Программа 1937 года была выполнена на 91%. В 1938 году завод работал над внедрением в серию моторов М-62, М-63 и над модернизацией мотора М-62. В конце февраля 1938 года директором завода был назначен В.М. Дубов.</w:t>
      </w:r>
    </w:p>
    <w:p w14:paraId="05794F22"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Правительственная программа 1939 года определялась выпуском моторов М-25В, М-62, М-62ИР и М-63.</w:t>
      </w:r>
    </w:p>
    <w:p w14:paraId="19DD72C4"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была поставлена задача по освоению и выпуску нового агрегата-турбокомпрессора.</w:t>
      </w:r>
    </w:p>
    <w:p w14:paraId="5F889182"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порядке опытных работ в этом же году стояла задача доводки моторов М-71 и М-81, подготовки их к серийному выпуску в 1940 году. В конце 1939 года директором завода стал Кожевников Г.В.</w:t>
      </w:r>
    </w:p>
    <w:p w14:paraId="15430CEF"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программу 1939 года выполнил на 81%, а 1940 года – на 64%.</w:t>
      </w:r>
    </w:p>
    <w:p w14:paraId="4853E518"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постановлению Правительства завод № 19 в 1941 году должен был изменить свой профиль – подготовить и внедрить в производство мотор АМ-35А водного охлаждения (все ранее выпускаемые моторы были воздушного охлаждения), приняв его от завода № 45.</w:t>
      </w:r>
    </w:p>
    <w:p w14:paraId="5588B35E"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Освоение мотора АМ-35А уже было в полном развертывании, когда в связи с окончанием создания коллективом ОКБ завода № 19 нового мощного мотора М-82, Правительство 9 мая 1941 года решило прекратить на заводе № 19 все работы по освоению мотора АМ-35А (передав заделы на него и оснастку заводу № 452) и в кратчайший срок освоить на заводе № 19 производство моторов М-82 (двухрядная звезда воздушного охлаждения). В мае 1942 года директором завода был назначен Солдатов А.Г. В 1942 году завод выполнил производственную программу по выпуску мотора АШ-82. В 1943 году завод в большом количестве выпускал моторы АШ-82 и занимался доводкой моторов АШ-82ФН.</w:t>
      </w:r>
    </w:p>
    <w:p w14:paraId="7855FB55"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Программа 1944 года была выполнена на 92,5%, завод выпустил 7639 моторов АШ-82ФН, АШ-82 и АШ-62ИР. В 1945 году завод выпускал эти же моторы. В 1945 году началось освоение производства моторов АШ-73.</w:t>
      </w:r>
    </w:p>
    <w:p w14:paraId="1597D216"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1946 году одновременно с производством моторов АШ-82ФН и АШ-62ИР развернулась работа по освоению и выпуску малой серии моторов АШ-73 и турбокомпрессоров. К концу года было выпущено 79 моторов АШ-73 и 18 турбокомпрессоров.</w:t>
      </w:r>
    </w:p>
    <w:p w14:paraId="7C63402C"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Программа 1947 года характеризуется увеличением в три раза выпуска моторов АШ-82ФН и в два раза моторов АШ-73 и сокращением производства моторов АШ-62ИР. 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06A1E24E"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F26F01" w:rsidRPr="00C33834" w14:paraId="1305F623" w14:textId="77777777">
        <w:tc>
          <w:tcPr>
            <w:tcW w:w="1160" w:type="dxa"/>
          </w:tcPr>
          <w:p w14:paraId="0B7389CE"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Типы изделий</w:t>
            </w:r>
          </w:p>
        </w:tc>
        <w:tc>
          <w:tcPr>
            <w:tcW w:w="791" w:type="dxa"/>
          </w:tcPr>
          <w:p w14:paraId="6A7A518A"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1950 год</w:t>
            </w:r>
          </w:p>
        </w:tc>
        <w:tc>
          <w:tcPr>
            <w:tcW w:w="851" w:type="dxa"/>
          </w:tcPr>
          <w:p w14:paraId="719713B1"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1951 год</w:t>
            </w:r>
          </w:p>
        </w:tc>
        <w:tc>
          <w:tcPr>
            <w:tcW w:w="850" w:type="dxa"/>
          </w:tcPr>
          <w:p w14:paraId="4BDB511B"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1952 год</w:t>
            </w:r>
          </w:p>
        </w:tc>
        <w:tc>
          <w:tcPr>
            <w:tcW w:w="851" w:type="dxa"/>
          </w:tcPr>
          <w:p w14:paraId="37C3508D"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1953 год</w:t>
            </w:r>
          </w:p>
        </w:tc>
        <w:tc>
          <w:tcPr>
            <w:tcW w:w="850" w:type="dxa"/>
          </w:tcPr>
          <w:p w14:paraId="5AF5FF99"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1954 год</w:t>
            </w:r>
          </w:p>
        </w:tc>
        <w:tc>
          <w:tcPr>
            <w:tcW w:w="851" w:type="dxa"/>
          </w:tcPr>
          <w:p w14:paraId="2A5B6A46"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1955 год</w:t>
            </w:r>
          </w:p>
        </w:tc>
        <w:tc>
          <w:tcPr>
            <w:tcW w:w="850" w:type="dxa"/>
          </w:tcPr>
          <w:p w14:paraId="1008C32B"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1956 год</w:t>
            </w:r>
          </w:p>
        </w:tc>
        <w:tc>
          <w:tcPr>
            <w:tcW w:w="851" w:type="dxa"/>
          </w:tcPr>
          <w:p w14:paraId="3B3403E4"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1957 год</w:t>
            </w:r>
          </w:p>
        </w:tc>
        <w:tc>
          <w:tcPr>
            <w:tcW w:w="850" w:type="dxa"/>
          </w:tcPr>
          <w:p w14:paraId="55860F4E"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1958 год</w:t>
            </w:r>
          </w:p>
        </w:tc>
      </w:tr>
      <w:tr w:rsidR="00F26F01" w:rsidRPr="00C33834" w14:paraId="32056A20" w14:textId="77777777">
        <w:tc>
          <w:tcPr>
            <w:tcW w:w="1160" w:type="dxa"/>
          </w:tcPr>
          <w:p w14:paraId="66C0452D"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АШ-82ФН</w:t>
            </w:r>
          </w:p>
        </w:tc>
        <w:tc>
          <w:tcPr>
            <w:tcW w:w="791" w:type="dxa"/>
          </w:tcPr>
          <w:p w14:paraId="792AAC7B"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51" w:type="dxa"/>
          </w:tcPr>
          <w:p w14:paraId="7527E26B"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510</w:t>
            </w:r>
          </w:p>
        </w:tc>
        <w:tc>
          <w:tcPr>
            <w:tcW w:w="850" w:type="dxa"/>
          </w:tcPr>
          <w:p w14:paraId="162606E7"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E39246"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46F76C5"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2C609E"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88393C0"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C7D417"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F2037B2"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E79B2C1" w14:textId="77777777">
        <w:tc>
          <w:tcPr>
            <w:tcW w:w="1160" w:type="dxa"/>
          </w:tcPr>
          <w:p w14:paraId="14C52BE3"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АШ-73</w:t>
            </w:r>
          </w:p>
        </w:tc>
        <w:tc>
          <w:tcPr>
            <w:tcW w:w="791" w:type="dxa"/>
          </w:tcPr>
          <w:p w14:paraId="6B316A45"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1973</w:t>
            </w:r>
          </w:p>
        </w:tc>
        <w:tc>
          <w:tcPr>
            <w:tcW w:w="851" w:type="dxa"/>
          </w:tcPr>
          <w:p w14:paraId="61C6CBDB"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1939</w:t>
            </w:r>
          </w:p>
        </w:tc>
        <w:tc>
          <w:tcPr>
            <w:tcW w:w="850" w:type="dxa"/>
          </w:tcPr>
          <w:p w14:paraId="228774E4"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1207</w:t>
            </w:r>
          </w:p>
        </w:tc>
        <w:tc>
          <w:tcPr>
            <w:tcW w:w="851" w:type="dxa"/>
          </w:tcPr>
          <w:p w14:paraId="419C0A9F"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A504DA8"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BFDBFC"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C66FDA1"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1CF457"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FD661FA"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214DF92" w14:textId="77777777">
        <w:tc>
          <w:tcPr>
            <w:tcW w:w="1160" w:type="dxa"/>
          </w:tcPr>
          <w:p w14:paraId="6DCB3E33"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ТК-19</w:t>
            </w:r>
          </w:p>
        </w:tc>
        <w:tc>
          <w:tcPr>
            <w:tcW w:w="791" w:type="dxa"/>
          </w:tcPr>
          <w:p w14:paraId="291E0B30"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9FF035"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3678</w:t>
            </w:r>
          </w:p>
        </w:tc>
        <w:tc>
          <w:tcPr>
            <w:tcW w:w="850" w:type="dxa"/>
          </w:tcPr>
          <w:p w14:paraId="12CEC479"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2800</w:t>
            </w:r>
          </w:p>
        </w:tc>
        <w:tc>
          <w:tcPr>
            <w:tcW w:w="851" w:type="dxa"/>
          </w:tcPr>
          <w:p w14:paraId="215417AC"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w:t>
            </w:r>
          </w:p>
        </w:tc>
        <w:tc>
          <w:tcPr>
            <w:tcW w:w="850" w:type="dxa"/>
          </w:tcPr>
          <w:p w14:paraId="321CEBED"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93BB67"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0892783"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BD9A8E"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CDF0022"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10544C0" w14:textId="77777777">
        <w:tc>
          <w:tcPr>
            <w:tcW w:w="1160" w:type="dxa"/>
          </w:tcPr>
          <w:p w14:paraId="05D1C3A7"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АШ-82В</w:t>
            </w:r>
          </w:p>
        </w:tc>
        <w:tc>
          <w:tcPr>
            <w:tcW w:w="791" w:type="dxa"/>
          </w:tcPr>
          <w:p w14:paraId="5B4B8873"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BE991D"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A04D89B"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183</w:t>
            </w:r>
          </w:p>
        </w:tc>
        <w:tc>
          <w:tcPr>
            <w:tcW w:w="851" w:type="dxa"/>
          </w:tcPr>
          <w:p w14:paraId="06F6A1E1"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650</w:t>
            </w:r>
          </w:p>
        </w:tc>
        <w:tc>
          <w:tcPr>
            <w:tcW w:w="850" w:type="dxa"/>
          </w:tcPr>
          <w:p w14:paraId="3EACF9F9"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93</w:t>
            </w:r>
          </w:p>
        </w:tc>
        <w:tc>
          <w:tcPr>
            <w:tcW w:w="851" w:type="dxa"/>
          </w:tcPr>
          <w:p w14:paraId="0CFE9901"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850" w:type="dxa"/>
          </w:tcPr>
          <w:p w14:paraId="1E408326"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F3FCBB"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A33670D"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D9CDD0A" w14:textId="77777777">
        <w:tc>
          <w:tcPr>
            <w:tcW w:w="1160" w:type="dxa"/>
          </w:tcPr>
          <w:p w14:paraId="322B4A39"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АШ-82Т</w:t>
            </w:r>
          </w:p>
        </w:tc>
        <w:tc>
          <w:tcPr>
            <w:tcW w:w="791" w:type="dxa"/>
          </w:tcPr>
          <w:p w14:paraId="41CB49B1"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D6F51A"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785AC35"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2C24DA"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850" w:type="dxa"/>
          </w:tcPr>
          <w:p w14:paraId="6E8E907D"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255</w:t>
            </w:r>
          </w:p>
        </w:tc>
        <w:tc>
          <w:tcPr>
            <w:tcW w:w="851" w:type="dxa"/>
          </w:tcPr>
          <w:p w14:paraId="6E4A0EAF"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850" w:type="dxa"/>
          </w:tcPr>
          <w:p w14:paraId="2A223268"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F489BB"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C54D5DA"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5F7A887" w14:textId="77777777">
        <w:tc>
          <w:tcPr>
            <w:tcW w:w="1160" w:type="dxa"/>
          </w:tcPr>
          <w:p w14:paraId="35D8C876"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ВК-1А</w:t>
            </w:r>
          </w:p>
        </w:tc>
        <w:tc>
          <w:tcPr>
            <w:tcW w:w="791" w:type="dxa"/>
          </w:tcPr>
          <w:p w14:paraId="588F2C36"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9FE930"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CC19A8D"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52CAF8"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w:t>
            </w:r>
          </w:p>
        </w:tc>
        <w:tc>
          <w:tcPr>
            <w:tcW w:w="850" w:type="dxa"/>
          </w:tcPr>
          <w:p w14:paraId="65416B53"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954</w:t>
            </w:r>
          </w:p>
        </w:tc>
        <w:tc>
          <w:tcPr>
            <w:tcW w:w="851" w:type="dxa"/>
          </w:tcPr>
          <w:p w14:paraId="19BF4A30"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A8DD0A7"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8A7FDF"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5584264"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48A145D" w14:textId="77777777">
        <w:tc>
          <w:tcPr>
            <w:tcW w:w="1160" w:type="dxa"/>
          </w:tcPr>
          <w:p w14:paraId="390937B5"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АМ-3</w:t>
            </w:r>
          </w:p>
        </w:tc>
        <w:tc>
          <w:tcPr>
            <w:tcW w:w="791" w:type="dxa"/>
          </w:tcPr>
          <w:p w14:paraId="31AAED8D"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68090D"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32FEE80"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DD4F82"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540121C"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038B86"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435</w:t>
            </w:r>
          </w:p>
        </w:tc>
        <w:tc>
          <w:tcPr>
            <w:tcW w:w="850" w:type="dxa"/>
          </w:tcPr>
          <w:p w14:paraId="710C54DD"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556</w:t>
            </w:r>
          </w:p>
        </w:tc>
        <w:tc>
          <w:tcPr>
            <w:tcW w:w="851" w:type="dxa"/>
          </w:tcPr>
          <w:p w14:paraId="0120A38A"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271</w:t>
            </w:r>
          </w:p>
        </w:tc>
        <w:tc>
          <w:tcPr>
            <w:tcW w:w="850" w:type="dxa"/>
          </w:tcPr>
          <w:p w14:paraId="5C2EA558"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F32038D" w14:textId="77777777">
        <w:tc>
          <w:tcPr>
            <w:tcW w:w="1160" w:type="dxa"/>
          </w:tcPr>
          <w:p w14:paraId="403BE83C"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Редуктор Р-5</w:t>
            </w:r>
          </w:p>
        </w:tc>
        <w:tc>
          <w:tcPr>
            <w:tcW w:w="791" w:type="dxa"/>
          </w:tcPr>
          <w:p w14:paraId="55492554"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29F80E"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F1E2A8B"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102</w:t>
            </w:r>
          </w:p>
        </w:tc>
        <w:tc>
          <w:tcPr>
            <w:tcW w:w="851" w:type="dxa"/>
          </w:tcPr>
          <w:p w14:paraId="53530145"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588</w:t>
            </w:r>
          </w:p>
        </w:tc>
        <w:tc>
          <w:tcPr>
            <w:tcW w:w="850" w:type="dxa"/>
          </w:tcPr>
          <w:p w14:paraId="326487B0"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B639B0"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850" w:type="dxa"/>
          </w:tcPr>
          <w:p w14:paraId="4ACFEB1B"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w:t>
            </w:r>
          </w:p>
        </w:tc>
        <w:tc>
          <w:tcPr>
            <w:tcW w:w="851" w:type="dxa"/>
          </w:tcPr>
          <w:p w14:paraId="257B404E"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325</w:t>
            </w:r>
          </w:p>
        </w:tc>
        <w:tc>
          <w:tcPr>
            <w:tcW w:w="850" w:type="dxa"/>
          </w:tcPr>
          <w:p w14:paraId="045EAD7B"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320</w:t>
            </w:r>
          </w:p>
        </w:tc>
      </w:tr>
      <w:tr w:rsidR="00F26F01" w:rsidRPr="00C33834" w14:paraId="5B06CEB3" w14:textId="77777777">
        <w:tc>
          <w:tcPr>
            <w:tcW w:w="1160" w:type="dxa"/>
          </w:tcPr>
          <w:p w14:paraId="7CBF1714"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Редуктор Р-3-4</w:t>
            </w:r>
          </w:p>
        </w:tc>
        <w:tc>
          <w:tcPr>
            <w:tcW w:w="791" w:type="dxa"/>
          </w:tcPr>
          <w:p w14:paraId="49E558D2"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8D422F"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C30F35F"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w:t>
            </w:r>
          </w:p>
        </w:tc>
        <w:tc>
          <w:tcPr>
            <w:tcW w:w="851" w:type="dxa"/>
          </w:tcPr>
          <w:p w14:paraId="4CF54560"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102</w:t>
            </w:r>
          </w:p>
        </w:tc>
        <w:tc>
          <w:tcPr>
            <w:tcW w:w="850" w:type="dxa"/>
          </w:tcPr>
          <w:p w14:paraId="787340C0"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87ED86"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1B01D8D"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6A650B"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8B32107"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E7BEB1B" w14:textId="77777777">
        <w:tc>
          <w:tcPr>
            <w:tcW w:w="1160" w:type="dxa"/>
          </w:tcPr>
          <w:p w14:paraId="2F349BF8"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Редуктор ВР-1</w:t>
            </w:r>
          </w:p>
        </w:tc>
        <w:tc>
          <w:tcPr>
            <w:tcW w:w="791" w:type="dxa"/>
          </w:tcPr>
          <w:p w14:paraId="10504500"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73C48C"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E482DDC"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144CA2"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FCC920F"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0C0D8F"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7710510"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w:t>
            </w:r>
          </w:p>
        </w:tc>
        <w:tc>
          <w:tcPr>
            <w:tcW w:w="851" w:type="dxa"/>
          </w:tcPr>
          <w:p w14:paraId="35DBEFAF"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320</w:t>
            </w:r>
          </w:p>
        </w:tc>
        <w:tc>
          <w:tcPr>
            <w:tcW w:w="850" w:type="dxa"/>
          </w:tcPr>
          <w:p w14:paraId="5186E13E"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411</w:t>
            </w:r>
          </w:p>
        </w:tc>
      </w:tr>
      <w:tr w:rsidR="00F26F01" w:rsidRPr="00C33834" w14:paraId="64344809" w14:textId="77777777">
        <w:tc>
          <w:tcPr>
            <w:tcW w:w="1160" w:type="dxa"/>
          </w:tcPr>
          <w:p w14:paraId="32F72DA5"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РД-3М</w:t>
            </w:r>
          </w:p>
        </w:tc>
        <w:tc>
          <w:tcPr>
            <w:tcW w:w="791" w:type="dxa"/>
          </w:tcPr>
          <w:p w14:paraId="4F9EEDAE"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1104C7"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AF11497"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AFDDF1"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EE22E69"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1B2D09"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B9BA9A2"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C76CE3"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617</w:t>
            </w:r>
          </w:p>
        </w:tc>
        <w:tc>
          <w:tcPr>
            <w:tcW w:w="850" w:type="dxa"/>
          </w:tcPr>
          <w:p w14:paraId="46A933C8"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570</w:t>
            </w:r>
          </w:p>
        </w:tc>
      </w:tr>
      <w:tr w:rsidR="00F26F01" w:rsidRPr="00C33834" w14:paraId="434CB06F" w14:textId="77777777">
        <w:tc>
          <w:tcPr>
            <w:tcW w:w="1160" w:type="dxa"/>
          </w:tcPr>
          <w:p w14:paraId="44BC6CF1"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АИ-20</w:t>
            </w:r>
          </w:p>
        </w:tc>
        <w:tc>
          <w:tcPr>
            <w:tcW w:w="791" w:type="dxa"/>
          </w:tcPr>
          <w:p w14:paraId="0BAC3411"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5633D5"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E0F7368"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CB2E61"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ABF11A9"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1552BD"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0140E66"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795511"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5C14A4F"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bl>
    <w:p w14:paraId="70197633"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(9731).</w:t>
      </w:r>
    </w:p>
    <w:p w14:paraId="1BD8879A"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5CD6E933"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1933 в ЦИАМе был сделан АН-1 (авиа нефтяной) - также прямой предшественник В-2 (80,99).</w:t>
      </w:r>
    </w:p>
    <w:p w14:paraId="3BBD2397"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620B3E6E"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 середине 1933 года стало ясно, что одновременное создание самой ПТ и ее телемеханической части слишком сложный процесс. Поэтому проектирование системы наведения было передано в специальную лабораторию, занимавшуюся ИК-техникой, а лаборатория N22 продолжала заниматься непосредственно ПТ и оборудованием для нее. Для проверки схемы и проектных данных безмоторных торпед построили модели в 1/10 и 1/4 натуральной величины. В 1933 году были проведены пуски моделей в 1/4 натуральной величины с высоты 1100 м, в ходе которых они пролетали 10-11 км. В 1934 году промышленности заказали </w:t>
      </w:r>
      <w:r w:rsidRPr="00C33834">
        <w:rPr>
          <w:rFonts w:ascii="Times New Roman" w:hAnsi="Times New Roman"/>
          <w:color w:val="000000" w:themeColor="text1"/>
          <w:sz w:val="16"/>
          <w:szCs w:val="16"/>
        </w:rPr>
        <w:lastRenderedPageBreak/>
        <w:t>экспериментальные образцы ПТ, а также стабилизаторы автопилота. Надежность автопилота подтвердилась во время его лабораторных испытаний. Для разработки специальных образцов ПТ против кораблей и береговых баз в 1935 году был заключен договор с Особым конструкторским бюро военного отдела технических изобретений. Комиссия Управления морских сил (УМС) РККА рекомендовала установить следующие обозначения различных типов летающих торпед:</w:t>
      </w:r>
    </w:p>
    <w:p w14:paraId="6466F559"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для безмоторных планирующих торпед с дальностью полета 30-50 км — ДПТ (дальнобойная планирующая торпеда), кодовое обозначение "Волк";</w:t>
      </w:r>
    </w:p>
    <w:p w14:paraId="5CDF4D0B"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для оборудованных мотором (обычным винтовым или ракетным) с дальностью полета 100-200 км — ЛТДЦ (летающая торпеда дальнего действия);</w:t>
      </w:r>
    </w:p>
    <w:p w14:paraId="7D9B868B"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для безмоторных ПТ на жестком буксире — БМП (буксируемый минный планер), кодовое обозначение "Вепрь" (12040).</w:t>
      </w:r>
    </w:p>
    <w:p w14:paraId="528583BF"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671C1CF6"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1933 В.А.Артемьев предложил ракеты 82 и 132 мм делать с оперением, выступающим за габариты (177,156).</w:t>
      </w:r>
    </w:p>
    <w:p w14:paraId="3C8FFCC2"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7AE06DD3"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1933 пришли к выводу, что оперение РС должно значительно выступать за габариты РС и конструктивно оформили В.А.Артемьев, Л.Э.Шварц и И.Т.Клейменов. Взяли опыт авиабомб, которые хорошо знал И.Т.Клейменов. Сделали четырехкрылый с двойным размахом. Сначала были четыре деревянных направляющих длинной 1-2 м, образующих четырехугольник, по пазам которого скользили бронзовые штифты. Ставили на лафет горной пушки и на БТ-5 (1233,24).</w:t>
      </w:r>
    </w:p>
    <w:p w14:paraId="0EE21F35"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13D3E8EE"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1933-1934 поняли, что порох ПТП не годится, так как не позволял проходное прессование. Выбрали нитроглицериновый порох ПГВ. В сотрудничестве с Московским химико-технологическом им. Менделеева наладили производство длинных шашек (230 мм и 288 мм) диаметром 24 мм и 40 мм и внутренним - 6 и 8 мм. Пришлось делать зимние и летние заряды (1233,30).</w:t>
      </w:r>
    </w:p>
    <w:p w14:paraId="439BC089"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49362BF3" w14:textId="77777777" w:rsidR="00B849DC" w:rsidRPr="00C33834" w:rsidRDefault="00B849D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1933 г. — вспоминает В.С.Дерновой (эти воспоминания написаны им в октябре 1984 г. и подробно освещают ход работы на первом, самом ответственном этапе создания ракетных зарядов из баллиститных порохов для авиационных снарядов РС-82 и PC-132) — "лабораторию нитроглицеринового пороха в НИИ, возглавляемую А.С.Бакаевым и Б.П.Фоминым, посетили представители РНИИ — группа в составе трех или четырех человек, в том числе В.А.Артемьев и Ф.Н.Пойда — с целью выяснения и поисков возможности замены в реактивных снарядах РС-82 и PC-132 пироксилинотротилового пороха.</w:t>
      </w:r>
    </w:p>
    <w:p w14:paraId="3E40DD7F" w14:textId="77777777" w:rsidR="00B849DC" w:rsidRPr="00C33834" w:rsidRDefault="00B849D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сообщению прибывших, технология изготовления ПТП (глухое прессование) позволяла получать только шашки ограниченной длины и, главное, исключала возможность массового изготовления их в промышленных условиях вследствие малой своей производительности и повышенной опасности. Для дальнейшего продвижения текущих работ и успешного решения общей задачи настоятельно требовалось заменить в PC порох ПТП, и прибывшие обратились к специалистам НИИ с просьбой порекомендовать им для применения в PC какой-нибудь конкретный порох, который наиболее подходил бы для этой цели, был пригоден для массового изготовления в промышленных условиях и уже сейчас или в самое ближайшее время мог изготовляться в достаточно больших количествах.</w:t>
      </w:r>
    </w:p>
    <w:p w14:paraId="597E3145" w14:textId="77777777" w:rsidR="00B849DC" w:rsidRPr="00C33834" w:rsidRDefault="00B849D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ответ на это представителям РНИИ сразу же было рекомендовано применить для PC порох Н, разработанный к тому времени для артиллерийских систем (других баллиститных порохов, в том числе специальных составов, тогда еще не было).</w:t>
      </w:r>
    </w:p>
    <w:p w14:paraId="5934FFA1" w14:textId="77777777" w:rsidR="00B849DC" w:rsidRPr="00C33834" w:rsidRDefault="00B849D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этом было подчеркнуто, что специалисты НИИ не сомневаются в возможности изготовления и применения пороха Н для PC, технология этого пороха позволяет легко изготовлять пороховые трубки практически любой требуемой длины и что удлинение пороховых трубок до размеров ракетной камеры не только упростит конструкцию к изготовление заряда, но должно заметно улучшить его баллистические качества ...".</w:t>
      </w:r>
    </w:p>
    <w:p w14:paraId="613F9BFA" w14:textId="77777777" w:rsidR="00B849DC" w:rsidRPr="00C33834" w:rsidRDefault="00B849D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 как баллиститный нитроглицериновый порох в то время мог изготовляться только в опытных мастерских завода им. Морозова, то, учитывая важность и срочность дела, представители РНИИ и Московского порохового института незамедлительно выехали на этот завод, где вскоре и было начато опытное изготовление для PC трубчатого нитроглицеринового пороха диаметром 24 и 40 мм.</w:t>
      </w:r>
    </w:p>
    <w:p w14:paraId="604FB384" w14:textId="77777777" w:rsidR="00B849DC" w:rsidRPr="00C33834" w:rsidRDefault="00B849D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производства встретились с определенными трудностями. В отдельных случаях при стендовых испытаниях изготовленных зарядов резко увеличивалось давление газов в ракетной камере. Установили, что причиной этих непредусмотренных повышений давления было увеличение площади поверхности горения вследствие наличия в порохе закапсулированного воздуха, так называемых воздушных включений. На борьбу с ними ушло много времени. Но в конце концов технология была доведена до необходимого уровня, и заряды из баллиститного пороха Н в ракетных камерах авиационных снарядов РС-82 и PC-132 стали гореть закономерно. В итоге завод им. Морозова изготовил заряды в количествах, достаточных для "проведения широких стендовых и стрельбовых проверок" (18946).</w:t>
      </w:r>
    </w:p>
    <w:p w14:paraId="6CA6A5CB" w14:textId="77777777" w:rsidR="00B849DC" w:rsidRPr="00C33834" w:rsidRDefault="00B849DC" w:rsidP="00C33834">
      <w:pPr>
        <w:spacing w:after="0" w:line="240" w:lineRule="auto"/>
        <w:jc w:val="both"/>
        <w:rPr>
          <w:rFonts w:ascii="Times New Roman" w:hAnsi="Times New Roman"/>
          <w:color w:val="000000" w:themeColor="text1"/>
          <w:sz w:val="16"/>
          <w:szCs w:val="16"/>
        </w:rPr>
      </w:pPr>
    </w:p>
    <w:p w14:paraId="50334A97" w14:textId="77777777" w:rsidR="00EA7008"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AC167C8" w14:textId="77777777" w:rsidR="00EA7008" w:rsidRPr="00C33834" w:rsidRDefault="00EA700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8B75732"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color w:val="000000" w:themeColor="text1"/>
          <w:sz w:val="16"/>
          <w:szCs w:val="16"/>
        </w:rPr>
        <w:t>В середине 1933 г., на совещании с участи</w:t>
      </w:r>
      <w:r w:rsidRPr="00C33834">
        <w:rPr>
          <w:rFonts w:ascii="Times New Roman" w:hAnsi="Times New Roman"/>
          <w:color w:val="000000" w:themeColor="text1"/>
          <w:sz w:val="16"/>
          <w:szCs w:val="16"/>
        </w:rPr>
        <w:softHyphen/>
        <w:t xml:space="preserve">ем Г.К. Орджоникидзе, М.Н. Тухачевского, И.П. Павлу-новского и И.А. Халепского, победило мнение, что </w:t>
      </w:r>
      <w:r w:rsidRPr="00C33834">
        <w:rPr>
          <w:rFonts w:ascii="Times New Roman" w:hAnsi="Times New Roman"/>
          <w:iCs/>
          <w:color w:val="000000" w:themeColor="text1"/>
          <w:sz w:val="16"/>
          <w:szCs w:val="16"/>
        </w:rPr>
        <w:t>«...раз</w:t>
      </w:r>
      <w:r w:rsidRPr="00C33834">
        <w:rPr>
          <w:rFonts w:ascii="Times New Roman" w:hAnsi="Times New Roman"/>
          <w:iCs/>
          <w:color w:val="000000" w:themeColor="text1"/>
          <w:sz w:val="16"/>
          <w:szCs w:val="16"/>
        </w:rPr>
        <w:softHyphen/>
        <w:t xml:space="preserve">работка во многом дублирующих друг друга боевых машин расточительна», </w:t>
      </w:r>
      <w:r w:rsidRPr="00C33834">
        <w:rPr>
          <w:rFonts w:ascii="Times New Roman" w:hAnsi="Times New Roman"/>
          <w:color w:val="000000" w:themeColor="text1"/>
          <w:sz w:val="16"/>
          <w:szCs w:val="16"/>
        </w:rPr>
        <w:t xml:space="preserve">и потому </w:t>
      </w:r>
      <w:r w:rsidRPr="00C33834">
        <w:rPr>
          <w:rFonts w:ascii="Times New Roman" w:hAnsi="Times New Roman"/>
          <w:iCs/>
          <w:color w:val="000000" w:themeColor="text1"/>
          <w:sz w:val="16"/>
          <w:szCs w:val="16"/>
        </w:rPr>
        <w:t>«лучше ограничиться разработкой унифицированных шасси, одинаково пригодных для установки артиллерии для нужд пехоты, мотомехвойск и кавалерии...» (11417).</w:t>
      </w:r>
    </w:p>
    <w:p w14:paraId="3C98F673"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337916"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1933 г. на заводе Можерез изготовили опытный образец легкой броневой дрезины на базе бронеавтомобиля Д-8 (по документам тех лет - «брдл», «бр.д.л.» или «брдл-1»).</w:t>
      </w:r>
    </w:p>
    <w:p w14:paraId="78B91CA0"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Легкая броневая дрезина, в отличие от Д-8, снабжалась специаль</w:t>
      </w:r>
      <w:r w:rsidRPr="00C33834">
        <w:rPr>
          <w:rFonts w:ascii="Times New Roman" w:hAnsi="Times New Roman"/>
          <w:color w:val="000000" w:themeColor="text1"/>
          <w:sz w:val="16"/>
          <w:szCs w:val="16"/>
        </w:rPr>
        <w:softHyphen/>
        <w:t>ным оборудованием, допускающим движение по железной дороге (по стандартной колее - 1524 мм), сход на грунт для продолжения движе</w:t>
      </w:r>
      <w:r w:rsidRPr="00C33834">
        <w:rPr>
          <w:rFonts w:ascii="Times New Roman" w:hAnsi="Times New Roman"/>
          <w:color w:val="000000" w:themeColor="text1"/>
          <w:sz w:val="16"/>
          <w:szCs w:val="16"/>
        </w:rPr>
        <w:softHyphen/>
        <w:t>ния по грунтовым дорогам, обратный переход на рельсы и изменение направления движения по рельсам на 180°.</w:t>
      </w:r>
    </w:p>
    <w:p w14:paraId="708C2BF2" w14:textId="77777777" w:rsidR="004050DA" w:rsidRPr="00C33834" w:rsidRDefault="004050DA" w:rsidP="00C33834">
      <w:pPr>
        <w:pStyle w:val="45"/>
        <w:shd w:val="clear" w:color="auto" w:fill="auto"/>
        <w:spacing w:before="0" w:line="240" w:lineRule="auto"/>
        <w:jc w:val="both"/>
        <w:rPr>
          <w:rFonts w:ascii="Times New Roman" w:cs="Times New Roman"/>
          <w:color w:val="000000" w:themeColor="text1"/>
          <w:sz w:val="16"/>
          <w:szCs w:val="16"/>
        </w:rPr>
      </w:pPr>
      <w:r w:rsidRPr="00C33834">
        <w:rPr>
          <w:rFonts w:ascii="Times New Roman" w:cs="Times New Roman"/>
          <w:color w:val="000000" w:themeColor="text1"/>
          <w:sz w:val="16"/>
          <w:szCs w:val="16"/>
        </w:rPr>
        <w:t>М. Павлов, И. Павлов</w:t>
      </w:r>
    </w:p>
    <w:p w14:paraId="4C7ECCA3"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состав специального оборудования «брдл» входили: домкрат, че</w:t>
      </w:r>
      <w:r w:rsidRPr="00C33834">
        <w:rPr>
          <w:rFonts w:ascii="Times New Roman" w:hAnsi="Times New Roman"/>
          <w:color w:val="000000" w:themeColor="text1"/>
          <w:sz w:val="16"/>
          <w:szCs w:val="16"/>
        </w:rPr>
        <w:softHyphen/>
        <w:t>тыре съемных диска (по одному на каждое колесо) со стальными ребор</w:t>
      </w:r>
      <w:r w:rsidRPr="00C33834">
        <w:rPr>
          <w:rFonts w:ascii="Times New Roman" w:hAnsi="Times New Roman"/>
          <w:color w:val="000000" w:themeColor="text1"/>
          <w:sz w:val="16"/>
          <w:szCs w:val="16"/>
        </w:rPr>
        <w:softHyphen/>
        <w:t>дами и резиновыми бандажами, четыре съемных кольца (по одному на каждое колесо) со шпильками для креплений съемных дисков к автомо</w:t>
      </w:r>
      <w:r w:rsidRPr="00C33834">
        <w:rPr>
          <w:rFonts w:ascii="Times New Roman" w:hAnsi="Times New Roman"/>
          <w:color w:val="000000" w:themeColor="text1"/>
          <w:sz w:val="16"/>
          <w:szCs w:val="16"/>
        </w:rPr>
        <w:softHyphen/>
        <w:t>бильным колесам, детали закрепления рулевого управления. Имелись также крюк для блокировки задней рессоры и четыре клиновидных де</w:t>
      </w:r>
      <w:r w:rsidRPr="00C33834">
        <w:rPr>
          <w:rFonts w:ascii="Times New Roman" w:hAnsi="Times New Roman"/>
          <w:color w:val="000000" w:themeColor="text1"/>
          <w:sz w:val="16"/>
          <w:szCs w:val="16"/>
        </w:rPr>
        <w:softHyphen/>
        <w:t>ревянных мостка, предназначенные для облегчения съезда дрезины на грунт или въезда на рельсы. Для этих же целей служил самовытаскиватель, включавший два барабана с тросами и крючьями.</w:t>
      </w:r>
    </w:p>
    <w:p w14:paraId="377D6E72"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установки на рельсы бронедрезина сначала должна была въехать на железнодорожное полотж (перпендикулярно пути) по деревянным мосткам. Экипаж (2 чел.) выключал подрессоривание, с помощью домкрата поднимал машину на 10-25 с/ и поворачивал ее на 90°. Затем устанав</w:t>
      </w:r>
      <w:r w:rsidRPr="00C33834">
        <w:rPr>
          <w:rFonts w:ascii="Times New Roman" w:hAnsi="Times New Roman"/>
          <w:color w:val="000000" w:themeColor="text1"/>
          <w:sz w:val="16"/>
          <w:szCs w:val="16"/>
        </w:rPr>
        <w:softHyphen/>
        <w:t>ливал поверх автомобильных колес съемные диски, опускал машину на рельсы и включал подрессори- вание. Рулевое управление при движении по рель</w:t>
      </w:r>
      <w:r w:rsidRPr="00C33834">
        <w:rPr>
          <w:rFonts w:ascii="Times New Roman" w:hAnsi="Times New Roman"/>
          <w:color w:val="000000" w:themeColor="text1"/>
          <w:sz w:val="16"/>
          <w:szCs w:val="16"/>
        </w:rPr>
        <w:softHyphen/>
        <w:t>сам обязательно фиксировалось.</w:t>
      </w:r>
    </w:p>
    <w:p w14:paraId="6202CE19"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обратной процедуре экипаж «брдл» с по</w:t>
      </w:r>
      <w:r w:rsidRPr="00C33834">
        <w:rPr>
          <w:rFonts w:ascii="Times New Roman" w:hAnsi="Times New Roman"/>
          <w:color w:val="000000" w:themeColor="text1"/>
          <w:sz w:val="16"/>
          <w:szCs w:val="16"/>
        </w:rPr>
        <w:softHyphen/>
        <w:t>мощью домкрата вывешивал ее на 3-5 см (высота реборды) над рельсами, демонтировал съемные диски с ребордами, поворачивал машину на 90° и освобождал рулевое управление от глухого кре</w:t>
      </w:r>
      <w:r w:rsidRPr="00C33834">
        <w:rPr>
          <w:rFonts w:ascii="Times New Roman" w:hAnsi="Times New Roman"/>
          <w:color w:val="000000" w:themeColor="text1"/>
          <w:sz w:val="16"/>
          <w:szCs w:val="16"/>
        </w:rPr>
        <w:softHyphen/>
        <w:t>пления. Затем бронедрезина съезжала на грунт (12737).</w:t>
      </w:r>
    </w:p>
    <w:p w14:paraId="20A98840" w14:textId="77777777" w:rsidR="004050DA" w:rsidRPr="00C33834" w:rsidRDefault="004050DA" w:rsidP="00C33834">
      <w:pPr>
        <w:spacing w:after="0" w:line="240" w:lineRule="auto"/>
        <w:jc w:val="both"/>
        <w:rPr>
          <w:rFonts w:ascii="Times New Roman" w:hAnsi="Times New Roman"/>
          <w:color w:val="000000" w:themeColor="text1"/>
          <w:sz w:val="16"/>
          <w:szCs w:val="16"/>
        </w:rPr>
      </w:pPr>
    </w:p>
    <w:p w14:paraId="22DCB9B2" w14:textId="77777777" w:rsidR="00F27059" w:rsidRPr="00C33834" w:rsidRDefault="00F2705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1933 года вслед за двумя автомобилями Я-7 и Я-7Д Ярославский автозавод сделал сложную машину Я-12Д. Из всего семейства Я-НАТИ именно на его создание были брошены главные силы завода. Полуприцеп для Я-12Д взяли американский - Lapeer-Houlmore. Тягач был оснащен демультипликатором (дополнительной коробкой передач), разработанным в самом НАТИ, а также новеньким мотором Hercules YXC-3, который выдавал аж на две лошадиные силы больше, чем YXC-2, стоявший на предыдущих моделях Я-ЯГ. За основу автомобиля было взято шасси и элементы Я-5, но большинство систем (коробка передач, сцепление, системы смазки и охлаждения, карбюратор) были все-таки иностранного производства. Любопытно, что, например, рессоры, сделанные в НАТИ (т.е. по определению более совершенные), не выдержали нагрузки сразу, и пришлось взять их от трехосного ЯГ-10. Автомобиль подвергся серьезным испытаниям, а в качестве автополигона для «наматывания» километров использовались дороги Москвы.</w:t>
      </w:r>
    </w:p>
    <w:p w14:paraId="08CCAF38" w14:textId="77777777" w:rsidR="00F27059" w:rsidRPr="00C33834" w:rsidRDefault="00F2705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Выводы, сделанные комиссией после испытаний тягача, были вполне удовлетворительными. Все поставленные задачи автомобиль выполнил, во многом даже превысив показатели тягачей иностранных марок. Автомобиль был рекомендован к массовому производству после внесения небольших доработок и укомплектования - но никакого производства так и не последовало... Причин было много. Во-первых, завод не мог выпускать такие автомобили - он просто технически не был оснащен для этого, поскольку Я-12Д был на тот момент слишком сложным. Во-вторых, отсутствие мощных двигателей Hercules не давало возможность делать даже мелкосерийную сборку. Все двигатели шли на трехоску ЯГ-10, а больше двигателей завод не закупал из-за их дороговизны. В-третьих, в стране не было необходимой инфраструктуры; даже полуприцепы тогда ни один завод серийно не выпускал, а строить их самостоятельно ЯГАЗ был не в силах: нужна была помощь смежников. Кстати, в литературе тех лет эти факторы нигде и никогда не упоминались. Во всех документах, встречавшихся мне, срыв производства тягачей объяснялся исключительно политическими причинами: отсутствием единого мнения у руководства, вредительством на заводах, происками врагов и т.п.</w:t>
      </w:r>
    </w:p>
    <w:p w14:paraId="2F6AAABF" w14:textId="77777777" w:rsidR="00F27059" w:rsidRPr="00C33834" w:rsidRDefault="00F2705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подробном отчете по испытаниям Я-12Д, к сожалению, не указаны суммы, затраченные на выпуск этого экземпляра. Но я уверен, что тягач и полуприцеп обошелся очень дорого, и даже при массовом выпуске он стоил бы слишком много. Дешевле было выпускать вместо одного Я-12Д два пятитонных грузовика ЯГ-3, дороже которых среди серийных автомобилей в СССР к 1933 году не было. Что до самого тягача Я-12Д, то после испытаний он весь год проработал в тяжелых условиях эксплуатации - в столичном «Метрострое», а дальше его судьба неизвестна (15592).</w:t>
      </w:r>
    </w:p>
    <w:p w14:paraId="2A252C18" w14:textId="77777777" w:rsidR="00F27059" w:rsidRPr="00C33834" w:rsidRDefault="00F27059" w:rsidP="00C33834">
      <w:pPr>
        <w:spacing w:after="0" w:line="240" w:lineRule="auto"/>
        <w:jc w:val="both"/>
        <w:rPr>
          <w:rFonts w:ascii="Times New Roman" w:hAnsi="Times New Roman"/>
          <w:color w:val="000000" w:themeColor="text1"/>
          <w:sz w:val="16"/>
          <w:szCs w:val="16"/>
        </w:rPr>
      </w:pPr>
    </w:p>
    <w:p w14:paraId="3C2B77E4" w14:textId="77777777" w:rsidR="00D622D5" w:rsidRPr="00C33834" w:rsidRDefault="00D622D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середине 1933 года при</w:t>
      </w:r>
      <w:r w:rsidRPr="00C33834">
        <w:rPr>
          <w:rFonts w:ascii="Times New Roman" w:hAnsi="Times New Roman"/>
          <w:color w:val="0070C0"/>
          <w:sz w:val="16"/>
          <w:szCs w:val="16"/>
        </w:rPr>
        <w:softHyphen/>
        <w:t>ступили к изготовлению двухмотор</w:t>
      </w:r>
      <w:r w:rsidRPr="00C33834">
        <w:rPr>
          <w:rFonts w:ascii="Times New Roman" w:hAnsi="Times New Roman"/>
          <w:color w:val="0070C0"/>
          <w:sz w:val="16"/>
          <w:szCs w:val="16"/>
        </w:rPr>
        <w:softHyphen/>
        <w:t>ного грузовика 2М на шасси ЯГ-10, разработанный НАМИ. Главным конструктором проекта был А.А. Липгарт. Над конструкцией работа</w:t>
      </w:r>
      <w:r w:rsidRPr="00C33834">
        <w:rPr>
          <w:rFonts w:ascii="Times New Roman" w:hAnsi="Times New Roman"/>
          <w:color w:val="0070C0"/>
          <w:sz w:val="16"/>
          <w:szCs w:val="16"/>
        </w:rPr>
        <w:softHyphen/>
        <w:t>ли А.Н. Островцов, П.Ф. Бромлей, П.С. Тарасенко, Б.М. Фиттерман, А.В. Раш, А.А. Душкевич, Е.Н. Шу</w:t>
      </w:r>
      <w:r w:rsidRPr="00C33834">
        <w:rPr>
          <w:rFonts w:ascii="Times New Roman" w:hAnsi="Times New Roman"/>
          <w:color w:val="0070C0"/>
          <w:sz w:val="16"/>
          <w:szCs w:val="16"/>
        </w:rPr>
        <w:softHyphen/>
        <w:t>валов, В.Г. Репин, П.В. Лабунский и др.</w:t>
      </w:r>
    </w:p>
    <w:p w14:paraId="6AA34669" w14:textId="77777777" w:rsidR="00D622D5" w:rsidRPr="00C33834" w:rsidRDefault="00D622D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Применение двух двигателей ЗИС-5 суммарной мощностью 146 л.с. было вызвано отсутствием в производстве мощных двигате</w:t>
      </w:r>
      <w:r w:rsidRPr="00C33834">
        <w:rPr>
          <w:rFonts w:ascii="Times New Roman" w:hAnsi="Times New Roman"/>
          <w:color w:val="0070C0"/>
          <w:sz w:val="16"/>
          <w:szCs w:val="16"/>
        </w:rPr>
        <w:softHyphen/>
        <w:t>лей. Каждый мотор приводил в дви</w:t>
      </w:r>
      <w:r w:rsidRPr="00C33834">
        <w:rPr>
          <w:rFonts w:ascii="Times New Roman" w:hAnsi="Times New Roman"/>
          <w:color w:val="0070C0"/>
          <w:sz w:val="16"/>
          <w:szCs w:val="16"/>
        </w:rPr>
        <w:softHyphen/>
        <w:t>жение одну ось через отдельную силовую передачу. В этой разра</w:t>
      </w:r>
      <w:r w:rsidRPr="00C33834">
        <w:rPr>
          <w:rFonts w:ascii="Times New Roman" w:hAnsi="Times New Roman"/>
          <w:color w:val="0070C0"/>
          <w:sz w:val="16"/>
          <w:szCs w:val="16"/>
        </w:rPr>
        <w:softHyphen/>
        <w:t>ботке были оригинально решены вопросы синхронизации работы двигателей, сцеплений и коробок передач. Однако особенности кон</w:t>
      </w:r>
      <w:r w:rsidRPr="00C33834">
        <w:rPr>
          <w:rFonts w:ascii="Times New Roman" w:hAnsi="Times New Roman"/>
          <w:color w:val="0070C0"/>
          <w:sz w:val="16"/>
          <w:szCs w:val="16"/>
        </w:rPr>
        <w:softHyphen/>
        <w:t>струкции не позволяли равномер</w:t>
      </w:r>
      <w:r w:rsidRPr="00C33834">
        <w:rPr>
          <w:rFonts w:ascii="Times New Roman" w:hAnsi="Times New Roman"/>
          <w:color w:val="0070C0"/>
          <w:sz w:val="16"/>
          <w:szCs w:val="16"/>
        </w:rPr>
        <w:softHyphen/>
        <w:t>но загрузить оба двигателя (22518).</w:t>
      </w:r>
    </w:p>
    <w:p w14:paraId="14D10928" w14:textId="77777777" w:rsidR="00D622D5" w:rsidRPr="00C33834" w:rsidRDefault="00D622D5" w:rsidP="00C33834">
      <w:pPr>
        <w:spacing w:after="0" w:line="240" w:lineRule="auto"/>
        <w:jc w:val="both"/>
        <w:rPr>
          <w:rFonts w:ascii="Times New Roman" w:hAnsi="Times New Roman"/>
          <w:color w:val="0070C0"/>
          <w:sz w:val="16"/>
          <w:szCs w:val="16"/>
        </w:rPr>
      </w:pPr>
    </w:p>
    <w:p w14:paraId="6F194BDD" w14:textId="77777777" w:rsidR="00EA7008"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38805180" w14:textId="77777777" w:rsidR="00EA7008" w:rsidRPr="00C33834" w:rsidRDefault="00EA700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DC36ADA"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середины 1933 г. в состав 95-го трао в Средней Азии входил один ТБ-1. Он участвовал в действиях против басмачей в Туркмении, причем служил не только для перевозок. Периодически самолет загружали мелкими бомбами для ударов по бандам, сосредотачивавшимся у населенных пунктов и колодцев. В конце 1930-х гг. ТБ-1 имелись и в других транспортных частях и подразделениях, таких, как 14-й и 15-й трао в ВВС ОКДВА, 8-й под Харьковом (12001).</w:t>
      </w:r>
    </w:p>
    <w:p w14:paraId="3CE6EE62"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0254007E" w14:textId="77777777" w:rsidR="00B849DC" w:rsidRPr="00C33834" w:rsidRDefault="00B849DC"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BA3A1E9" w14:textId="77777777" w:rsidR="00B849DC" w:rsidRPr="00C33834" w:rsidRDefault="00B849D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F875411" w14:textId="77777777" w:rsidR="00B849DC" w:rsidRPr="00C33834" w:rsidRDefault="00B849DC"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К концу первого полугодия 1933 года проектная документация по самолету ДИП (АНТ-29, заказ 7091, ведущий по самолету от КОСОС – Д. А. Ромейко-Гурко) была отработана на 70%, а общая техническая готовность машины составила 20%. Оставался неясным вопрос с вооружением и оборудованием (19175).</w:t>
      </w:r>
    </w:p>
    <w:p w14:paraId="05B0FAA7" w14:textId="77777777" w:rsidR="00B849DC" w:rsidRPr="00C33834" w:rsidRDefault="00B849DC" w:rsidP="00C33834">
      <w:pPr>
        <w:pStyle w:val="ae"/>
        <w:shd w:val="clear" w:color="auto" w:fill="FFFFFF"/>
        <w:spacing w:before="0" w:after="0"/>
        <w:jc w:val="both"/>
        <w:textAlignment w:val="baseline"/>
        <w:rPr>
          <w:color w:val="000000" w:themeColor="text1"/>
          <w:sz w:val="16"/>
          <w:szCs w:val="16"/>
        </w:rPr>
      </w:pPr>
    </w:p>
    <w:p w14:paraId="718C907D" w14:textId="77777777" w:rsidR="00EA7008"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388FF19D" w14:textId="77777777" w:rsidR="00EA7008" w:rsidRPr="00C33834" w:rsidRDefault="00EA700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534E496"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протяжении всей первой половины 1933 г. советская дипломатия добивалась популяризации своих предложений о заключении специальной конвенции, которая бы утверждала универсальные критерии для заключения о том, представляет ли собой тот или иной шаг какого-либо государства акт агрессии, или он не может таковым считаться. Заключение конвенции могло бы упорядочить практику применения статей Устава Лиги Наций, которые предусматривали возможность применения санкций против государства-агрессора, но не поясняли, что именно понимается под словом "агрессия". Точка зрения Советского Союза не была принята ведущими западными державами (3871).</w:t>
      </w:r>
    </w:p>
    <w:p w14:paraId="59320C15"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7006674E" w14:textId="77777777" w:rsidR="00EA7008"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0B607D5" w14:textId="77777777" w:rsidR="00EA7008" w:rsidRPr="00C33834" w:rsidRDefault="00EA700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25750D2"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1933 был готов АНТ-16 (ТБ-4), но в серию не пошел, как неудовлетворяющий техническим требованиям (514).</w:t>
      </w:r>
    </w:p>
    <w:p w14:paraId="0AC444FC"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26972FF8" w14:textId="77777777" w:rsidR="00E160BD" w:rsidRPr="00C33834" w:rsidRDefault="00E160BD" w:rsidP="00C33834">
      <w:pPr>
        <w:pStyle w:val="rtejustify"/>
        <w:spacing w:before="0" w:after="0"/>
        <w:rPr>
          <w:color w:val="000000" w:themeColor="text1"/>
          <w:sz w:val="16"/>
          <w:szCs w:val="16"/>
        </w:rPr>
      </w:pPr>
      <w:r w:rsidRPr="00C33834">
        <w:rPr>
          <w:rStyle w:val="af0"/>
          <w:bCs/>
          <w:i w:val="0"/>
          <w:color w:val="000000" w:themeColor="text1"/>
          <w:sz w:val="16"/>
          <w:szCs w:val="16"/>
        </w:rPr>
        <w:t>1 июля</w:t>
      </w:r>
      <w:r w:rsidRPr="00C33834">
        <w:rPr>
          <w:color w:val="000000" w:themeColor="text1"/>
          <w:sz w:val="16"/>
          <w:szCs w:val="16"/>
        </w:rPr>
        <w:t xml:space="preserve"> 1933. Протокол заседания Политбюро ЦК ВКП (б) № 140. </w:t>
      </w:r>
      <w:hyperlink r:id="rId246" w:anchor="showunit&amp;id=86893" w:history="1">
        <w:r w:rsidRPr="00C33834">
          <w:rPr>
            <w:rStyle w:val="a5"/>
            <w:color w:val="000000" w:themeColor="text1"/>
            <w:sz w:val="16"/>
            <w:szCs w:val="16"/>
          </w:rPr>
          <w:t>68/47. О морском самолете</w:t>
        </w:r>
      </w:hyperlink>
      <w:r w:rsidRPr="00C33834">
        <w:rPr>
          <w:color w:val="000000" w:themeColor="text1"/>
          <w:sz w:val="16"/>
          <w:szCs w:val="16"/>
        </w:rPr>
        <w:t xml:space="preserve"> (ПБ от 27 июня 1933 г.). Утвердить предложение летчика Чухновского о постройке морского самолета, пригодного для работы во внебазовых условиях: а) Возложить на Чухновского выбор типа самолета, предъявление к нему заданий, наблюдение за его постройкой, подбор инженеров и конструкторов. б) Откомандировать на эту работу инженера — морского летчика Коровина В. Л. – временно исполняющего обязанности технического директора Воронежского авиазавода. в) Создать для проектирования самолета конструкторское бюро, возглавляемое инженером-самолетостроителем Бартини, работающим в ГУГВФ. г) Возложить хозяйственно-оперативные обязанности (получение материалов, расход средств и прочее) на Главное управление судостроительной промышленности в Ленинграде. д) Утвердить базу для постройки – завод имени Марти в Ленинграде. е) Отпустить средства на постройку из резерва Совнаркома ориентировочно до полутора миллионов рублей. Наркомфину проверить предъявленную смету. ж) Обязать Кондратьева и Чухновского закончить постройку самолета к 1</w:t>
      </w:r>
      <w:r w:rsidRPr="00C33834">
        <w:rPr>
          <w:color w:val="000000" w:themeColor="text1"/>
          <w:sz w:val="16"/>
          <w:szCs w:val="16"/>
        </w:rPr>
        <w:noBreakHyphen/>
        <w:t>5</w:t>
      </w:r>
      <w:r w:rsidRPr="00C33834">
        <w:rPr>
          <w:color w:val="000000" w:themeColor="text1"/>
          <w:sz w:val="16"/>
          <w:szCs w:val="16"/>
        </w:rPr>
        <w:noBreakHyphen/>
        <w:t xml:space="preserve">1934, испытать самолет на Севере в летную навигацию. </w:t>
      </w:r>
      <w:hyperlink r:id="rId247" w:anchor="showunit&amp;id=86923" w:history="1">
        <w:r w:rsidRPr="00C33834">
          <w:rPr>
            <w:rStyle w:val="a5"/>
            <w:color w:val="000000" w:themeColor="text1"/>
            <w:sz w:val="16"/>
            <w:szCs w:val="16"/>
          </w:rPr>
          <w:t>96/75. Об оборудовании для черной металлургии (записка Антипова)</w:t>
        </w:r>
      </w:hyperlink>
      <w:r w:rsidRPr="00C33834">
        <w:rPr>
          <w:color w:val="000000" w:themeColor="text1"/>
          <w:sz w:val="16"/>
          <w:szCs w:val="16"/>
        </w:rPr>
        <w:t xml:space="preserve"> (ПБ от 29 июня 1933 г.). Решено: Вопрос передать на разрешение СТО (15462).</w:t>
      </w:r>
    </w:p>
    <w:p w14:paraId="11180E52" w14:textId="77777777" w:rsidR="00E160BD" w:rsidRPr="00C33834" w:rsidRDefault="00E160BD" w:rsidP="00C33834">
      <w:pPr>
        <w:pStyle w:val="rtejustify"/>
        <w:spacing w:before="0" w:after="0"/>
        <w:rPr>
          <w:color w:val="000000" w:themeColor="text1"/>
          <w:sz w:val="16"/>
          <w:szCs w:val="16"/>
        </w:rPr>
      </w:pPr>
    </w:p>
    <w:p w14:paraId="62EA0F5E" w14:textId="77777777" w:rsidR="006A2601" w:rsidRPr="00C33834" w:rsidRDefault="006A260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1933</w:t>
      </w:r>
    </w:p>
    <w:p w14:paraId="485C701A" w14:textId="77777777" w:rsidR="006A2601" w:rsidRPr="00C33834" w:rsidRDefault="006A260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w:t>
      </w:r>
    </w:p>
    <w:p w14:paraId="1D455EF4" w14:textId="77777777" w:rsidR="006A2601" w:rsidRPr="00C33834" w:rsidRDefault="006A260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http://sovdoc.rusarchives.ru</w:t>
      </w:r>
    </w:p>
    <w:p w14:paraId="09587163" w14:textId="77777777" w:rsidR="006A2601" w:rsidRPr="00C33834" w:rsidRDefault="006A260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Архив: </w:t>
      </w:r>
    </w:p>
    <w:p w14:paraId="2102A607" w14:textId="77777777" w:rsidR="006A2601" w:rsidRPr="00C33834" w:rsidRDefault="006A260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РГАСПИ. Ф. 17. Оп. 3. Д. 925. Л. 1-69; РГАСПИ. Ф. 17. Оп. 162. Д. 14. Л. 162-167.</w:t>
      </w:r>
    </w:p>
    <w:p w14:paraId="7DA823D2" w14:textId="77777777" w:rsidR="006A2601" w:rsidRPr="00C33834" w:rsidRDefault="006A260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Протокол № 140 заседания Политбюро ЦК ВКП(б) от 1 июля 1933 года</w:t>
      </w:r>
    </w:p>
    <w:p w14:paraId="367321DB" w14:textId="77777777" w:rsidR="006A2601" w:rsidRPr="00C33834" w:rsidRDefault="006A260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Заседание Политбюро ЦК ВКП(б) от 1</w:t>
      </w:r>
      <w:r w:rsidRPr="00C33834">
        <w:rPr>
          <w:rFonts w:ascii="Times New Roman" w:hAnsi="Times New Roman"/>
          <w:color w:val="000000" w:themeColor="text1"/>
          <w:sz w:val="16"/>
          <w:szCs w:val="16"/>
        </w:rPr>
        <w:noBreakHyphen/>
        <w:t>го июля 1933 года.</w:t>
      </w:r>
    </w:p>
    <w:p w14:paraId="79E69E0E" w14:textId="77777777" w:rsidR="006A2601" w:rsidRPr="00C33834" w:rsidRDefault="006A260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68/47: О морском самолете</w:t>
      </w:r>
    </w:p>
    <w:p w14:paraId="1F4A7493" w14:textId="77777777" w:rsidR="006A2601" w:rsidRPr="00C33834" w:rsidRDefault="006A260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Утвердить предложение летчика Чухновского о постройке морского самолета, пригодного для работы во внебазовых условиях, в связи с чем:</w:t>
      </w:r>
    </w:p>
    <w:p w14:paraId="0666FE0D" w14:textId="77777777" w:rsidR="006A2601" w:rsidRPr="00C33834" w:rsidRDefault="006A260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Возложить на тов. Чухновского выбор типа самолета, предъявление к нему заданий, наблюдение за его постройкой и подбор инженеров и конструкторов.</w:t>
      </w:r>
    </w:p>
    <w:p w14:paraId="382CF99D" w14:textId="77777777" w:rsidR="006A2601" w:rsidRPr="00C33834" w:rsidRDefault="006A260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Откомандировать на эту работу инженера — морского летчика Коровина В. Л. — временно исполнявшего обязанности технического директора Воронежского Авиазавода.</w:t>
      </w:r>
    </w:p>
    <w:p w14:paraId="3070BB0D" w14:textId="77777777" w:rsidR="006A2601" w:rsidRPr="00C33834" w:rsidRDefault="006A260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Создать для проектирования самолета конструкторское бюро, возглавляемое инженером-самолетостроителем т. Бартини, работающим в ГУГВФ.</w:t>
      </w:r>
    </w:p>
    <w:p w14:paraId="6FC4B258" w14:textId="77777777" w:rsidR="006A2601" w:rsidRPr="00C33834" w:rsidRDefault="006A260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Возложить хозяйственно-оперативные обязанности (получение материалов, расход средств и проч.) на Главное Управление Судостроительной промышленности в Ленинграде.</w:t>
      </w:r>
    </w:p>
    <w:p w14:paraId="67FAC4E4" w14:textId="77777777" w:rsidR="006A2601" w:rsidRPr="00C33834" w:rsidRDefault="006A260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Утвердить базу для постройки — завод им. Марти в Ленинграде.</w:t>
      </w:r>
    </w:p>
    <w:p w14:paraId="1A604076" w14:textId="77777777" w:rsidR="006A2601" w:rsidRPr="00C33834" w:rsidRDefault="006A260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 Средства на постройку отпустить из резерва Совнаркома, ориентировочно до полутора миллионов рублей.</w:t>
      </w:r>
    </w:p>
    <w:p w14:paraId="7995BC57" w14:textId="77777777" w:rsidR="006A2601" w:rsidRPr="00C33834" w:rsidRDefault="006A260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Наркомфину проверить предъявленную смету.</w:t>
      </w:r>
    </w:p>
    <w:p w14:paraId="00674EC5" w14:textId="77777777" w:rsidR="006A2601" w:rsidRPr="00C33834" w:rsidRDefault="006A260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 Обязать тов. Кондратьева и т. Чухновского закончить постройку самолета к 1 мая 1934 г. с тем, чтобы испытать самолет на Севере в летнюю навигацию (18063).</w:t>
      </w:r>
    </w:p>
    <w:p w14:paraId="1645841B" w14:textId="77777777" w:rsidR="006A2601" w:rsidRPr="00C33834" w:rsidRDefault="006A2601" w:rsidP="00C33834">
      <w:pPr>
        <w:spacing w:after="0" w:line="240" w:lineRule="auto"/>
        <w:jc w:val="both"/>
        <w:rPr>
          <w:rFonts w:ascii="Times New Roman" w:hAnsi="Times New Roman"/>
          <w:color w:val="000000" w:themeColor="text1"/>
          <w:sz w:val="16"/>
          <w:szCs w:val="16"/>
        </w:rPr>
      </w:pPr>
    </w:p>
    <w:p w14:paraId="03E9BD8E" w14:textId="77777777" w:rsidR="00EA7008"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919A5D8" w14:textId="77777777" w:rsidR="00EA7008" w:rsidRPr="00C33834" w:rsidRDefault="00EA700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7FC106A" w14:textId="77777777" w:rsidR="00DC5A55" w:rsidRPr="00C33834" w:rsidRDefault="00DC5A5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июля 1933 г. по словам председателя ЦКК Я.Э. Рудзутака, на металлургических заводах стоимость неиспользованного, главным образом импортного, оборудования составила 220 млн руб. Пуск металлургических заводов нередко по неопытности был неудачным. Так, в 1931 г. вопреки предупреждению инженера американской фирмы "Мак-Ки" Хейвена домна была пущена зимой. "В отношении первой домны он, — признался нарком Орджоникидзе, — оказался пророком, мы ее загубили". Однако вторая заработала благополучно (18280).</w:t>
      </w:r>
    </w:p>
    <w:p w14:paraId="0C0E805D" w14:textId="77777777" w:rsidR="00DC5A55" w:rsidRPr="00C33834" w:rsidRDefault="00DC5A55" w:rsidP="00C33834">
      <w:pPr>
        <w:spacing w:after="0" w:line="240" w:lineRule="auto"/>
        <w:jc w:val="both"/>
        <w:rPr>
          <w:rFonts w:ascii="Times New Roman" w:hAnsi="Times New Roman"/>
          <w:color w:val="000000" w:themeColor="text1"/>
          <w:sz w:val="16"/>
          <w:szCs w:val="16"/>
        </w:rPr>
      </w:pPr>
    </w:p>
    <w:p w14:paraId="235F18B3"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июля 1933 коллектив КБ Т-2О ХПЗ успел завершить лишь подготовку эскизного проекта корпуса танка с установкой дополнительного пулемета у механика-водителя. Изготовление чертежей продольного разреза началось в начале июля 1933 (3881,3).</w:t>
      </w:r>
    </w:p>
    <w:p w14:paraId="12434540"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39C460E6"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1933 был пущен ЧТЗ (1348,200).</w:t>
      </w:r>
    </w:p>
    <w:p w14:paraId="3DC61752"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73796E5E" w14:textId="77777777" w:rsidR="00DF67AB" w:rsidRPr="00C33834" w:rsidRDefault="00DF67AB" w:rsidP="00C33834">
      <w:pPr>
        <w:pStyle w:val="a3"/>
        <w:rPr>
          <w:color w:val="000000" w:themeColor="text1"/>
          <w:lang w:val="ru-RU"/>
        </w:rPr>
      </w:pPr>
      <w:r w:rsidRPr="00C33834">
        <w:rPr>
          <w:color w:val="000000" w:themeColor="text1"/>
          <w:lang w:val="ru-RU"/>
        </w:rPr>
        <w:t>1 июля 1933 г. мотозавод Автодор, строящийся на базе оружейной фабрики Берзина и расчитанный на годовой выпуск 120000 единиц, вошло в систему Наркомата тяжелой промышленности СССР, получив статус завода всесоюзного значения, а через месяц в городском саду им. Горького прошло массо</w:t>
      </w:r>
      <w:r w:rsidRPr="00C33834">
        <w:rPr>
          <w:color w:val="000000" w:themeColor="text1"/>
          <w:lang w:val="ru-RU"/>
        </w:rPr>
        <w:softHyphen/>
        <w:t>вое гуляние, посвященное выпуску пяти опытных мотоциклов. Это были четыре НАТИ-750 и один ИЖ-7 - двойник Л-300, изготовленный по до</w:t>
      </w:r>
      <w:r w:rsidRPr="00C33834">
        <w:rPr>
          <w:color w:val="000000" w:themeColor="text1"/>
          <w:lang w:val="ru-RU"/>
        </w:rPr>
        <w:softHyphen/>
        <w:t>кументации, полученной из Ленинграда (15741).</w:t>
      </w:r>
    </w:p>
    <w:p w14:paraId="148BF43A" w14:textId="77777777" w:rsidR="00DF67AB" w:rsidRPr="00C33834" w:rsidRDefault="00DF67AB" w:rsidP="00C33834">
      <w:pPr>
        <w:pStyle w:val="a3"/>
        <w:rPr>
          <w:color w:val="000000" w:themeColor="text1"/>
          <w:lang w:val="ru-RU"/>
        </w:rPr>
      </w:pPr>
    </w:p>
    <w:p w14:paraId="58251415"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1933г. Ижевский опытный мотоциклетный завод вошел в систему Наркомата тяжелой промышленности СССР, получив статус завода всесоюзного значения (11397).</w:t>
      </w:r>
    </w:p>
    <w:p w14:paraId="2180609E"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550751F5"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1933 г. - произошло еще одно очень важное для Ижевска событие: ИМЗ перевели из системы местной промышленности в трест Главмашпром НКТП, которым руководил Г.К. Орджоникидзе. Вскоре не менее важным для заво-дчан событием стало утверждение устава предприятия и присвое</w:t>
      </w:r>
      <w:r w:rsidRPr="00C33834">
        <w:rPr>
          <w:rFonts w:ascii="Times New Roman" w:hAnsi="Times New Roman"/>
          <w:color w:val="000000" w:themeColor="text1"/>
          <w:sz w:val="16"/>
          <w:szCs w:val="16"/>
        </w:rPr>
        <w:softHyphen/>
        <w:t>ние ИМЗ нового названия: «Ижевский государственный мотоцик</w:t>
      </w:r>
      <w:r w:rsidRPr="00C33834">
        <w:rPr>
          <w:rFonts w:ascii="Times New Roman" w:hAnsi="Times New Roman"/>
          <w:color w:val="000000" w:themeColor="text1"/>
          <w:sz w:val="16"/>
          <w:szCs w:val="16"/>
        </w:rPr>
        <w:softHyphen/>
        <w:t>летный завод имени Всесоюзного общества АВТОДОР». Подпи</w:t>
      </w:r>
      <w:r w:rsidRPr="00C33834">
        <w:rPr>
          <w:rFonts w:ascii="Times New Roman" w:hAnsi="Times New Roman"/>
          <w:color w:val="000000" w:themeColor="text1"/>
          <w:sz w:val="16"/>
          <w:szCs w:val="16"/>
        </w:rPr>
        <w:softHyphen/>
        <w:t>сал этот документ заместитель НКТП Л.М. Каганович 16 августа 1933 года [4.112], а 2 сентября Наркомат финансов СССР зареги</w:t>
      </w:r>
      <w:r w:rsidRPr="00C33834">
        <w:rPr>
          <w:rFonts w:ascii="Times New Roman" w:hAnsi="Times New Roman"/>
          <w:color w:val="000000" w:themeColor="text1"/>
          <w:sz w:val="16"/>
          <w:szCs w:val="16"/>
        </w:rPr>
        <w:softHyphen/>
        <w:t>стрировал первый в стране завод серийного производства мотоцик</w:t>
      </w:r>
      <w:r w:rsidRPr="00C33834">
        <w:rPr>
          <w:rFonts w:ascii="Times New Roman" w:hAnsi="Times New Roman"/>
          <w:color w:val="000000" w:themeColor="text1"/>
          <w:sz w:val="16"/>
          <w:szCs w:val="16"/>
        </w:rPr>
        <w:softHyphen/>
        <w:t>лов. До конца года на его территории сдали в эксплуатацию тер</w:t>
      </w:r>
      <w:r w:rsidRPr="00C33834">
        <w:rPr>
          <w:rFonts w:ascii="Times New Roman" w:hAnsi="Times New Roman"/>
          <w:color w:val="000000" w:themeColor="text1"/>
          <w:sz w:val="16"/>
          <w:szCs w:val="16"/>
        </w:rPr>
        <w:softHyphen/>
        <w:t>мический цех, котельную и электроподстанцию [4.113]. В том же году заводу предоставили финансирование для развития производ</w:t>
      </w:r>
      <w:r w:rsidRPr="00C33834">
        <w:rPr>
          <w:rFonts w:ascii="Times New Roman" w:hAnsi="Times New Roman"/>
          <w:color w:val="000000" w:themeColor="text1"/>
          <w:sz w:val="16"/>
          <w:szCs w:val="16"/>
        </w:rPr>
        <w:softHyphen/>
        <w:t>ственной базы и запланировали на 1934 г. выпуск 400 экземпляров мотоциклов [4.114]. Руководству предприятия в тот период ещё не удалось организовать работу, следствием чего стало невыполне</w:t>
      </w:r>
      <w:r w:rsidRPr="00C33834">
        <w:rPr>
          <w:rFonts w:ascii="Times New Roman" w:hAnsi="Times New Roman"/>
          <w:color w:val="000000" w:themeColor="text1"/>
          <w:sz w:val="16"/>
          <w:szCs w:val="16"/>
        </w:rPr>
        <w:softHyphen/>
        <w:t>ние плана 1934 г. - изготовили всего 111 мотоциклов. Тем не ме</w:t>
      </w:r>
      <w:r w:rsidRPr="00C33834">
        <w:rPr>
          <w:rFonts w:ascii="Times New Roman" w:hAnsi="Times New Roman"/>
          <w:color w:val="000000" w:themeColor="text1"/>
          <w:sz w:val="16"/>
          <w:szCs w:val="16"/>
        </w:rPr>
        <w:softHyphen/>
        <w:t>нее, программу следующего года увеличили до 450 машин и пере</w:t>
      </w:r>
      <w:r w:rsidRPr="00C33834">
        <w:rPr>
          <w:rFonts w:ascii="Times New Roman" w:hAnsi="Times New Roman"/>
          <w:color w:val="000000" w:themeColor="text1"/>
          <w:sz w:val="16"/>
          <w:szCs w:val="16"/>
        </w:rPr>
        <w:softHyphen/>
        <w:t>выполнили её - сделали 451 мотоцикл, что рассматривалось как производственный успех [4.111].</w:t>
      </w:r>
    </w:p>
    <w:p w14:paraId="14E00590"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Особенно важным представлялся 1936 год. Предстояло при</w:t>
      </w:r>
      <w:r w:rsidRPr="00C33834">
        <w:rPr>
          <w:rFonts w:ascii="Times New Roman" w:hAnsi="Times New Roman"/>
          <w:color w:val="000000" w:themeColor="text1"/>
          <w:sz w:val="16"/>
          <w:szCs w:val="16"/>
        </w:rPr>
        <w:softHyphen/>
        <w:t>нять новую конституцию, в связи с чем трудовые коллективы брали повышенные обязательства. Ижевский мотозавод не стал исключением: план на 1936 г. более чем удвоили - 1000 мотоцик</w:t>
      </w:r>
      <w:r w:rsidRPr="00C33834">
        <w:rPr>
          <w:rFonts w:ascii="Times New Roman" w:hAnsi="Times New Roman"/>
          <w:color w:val="000000" w:themeColor="text1"/>
          <w:sz w:val="16"/>
          <w:szCs w:val="16"/>
        </w:rPr>
        <w:softHyphen/>
        <w:t>лов. По оценкам директора предприятия сделать больше не пред</w:t>
      </w:r>
      <w:r w:rsidRPr="00C33834">
        <w:rPr>
          <w:rFonts w:ascii="Times New Roman" w:hAnsi="Times New Roman"/>
          <w:color w:val="000000" w:themeColor="text1"/>
          <w:sz w:val="16"/>
          <w:szCs w:val="16"/>
        </w:rPr>
        <w:softHyphen/>
        <w:t>ставлялось возможным, и план утвердили. Завод с большим на</w:t>
      </w:r>
      <w:r w:rsidRPr="00C33834">
        <w:rPr>
          <w:rFonts w:ascii="Times New Roman" w:hAnsi="Times New Roman"/>
          <w:color w:val="000000" w:themeColor="text1"/>
          <w:sz w:val="16"/>
          <w:szCs w:val="16"/>
        </w:rPr>
        <w:softHyphen/>
        <w:t>пряжением удваивал выпуск мотоциклов. Однако произошло не</w:t>
      </w:r>
      <w:r w:rsidRPr="00C33834">
        <w:rPr>
          <w:rFonts w:ascii="Times New Roman" w:hAnsi="Times New Roman"/>
          <w:color w:val="000000" w:themeColor="text1"/>
          <w:sz w:val="16"/>
          <w:szCs w:val="16"/>
        </w:rPr>
        <w:softHyphen/>
        <w:t>предвиденное: 5 августа 1936 г. во время посещения Г.К. Орджо</w:t>
      </w:r>
      <w:r w:rsidRPr="00C33834">
        <w:rPr>
          <w:rFonts w:ascii="Times New Roman" w:hAnsi="Times New Roman"/>
          <w:color w:val="000000" w:themeColor="text1"/>
          <w:sz w:val="16"/>
          <w:szCs w:val="16"/>
        </w:rPr>
        <w:softHyphen/>
        <w:t>никидзе делегации мотозавода (участницы женского мотопробе</w:t>
      </w:r>
      <w:r w:rsidRPr="00C33834">
        <w:rPr>
          <w:rFonts w:ascii="Times New Roman" w:hAnsi="Times New Roman"/>
          <w:color w:val="000000" w:themeColor="text1"/>
          <w:sz w:val="16"/>
          <w:szCs w:val="16"/>
        </w:rPr>
        <w:softHyphen/>
        <w:t>га и руководители мотозавода) «железный нарком», осмотрев ижевские мотоциклы, неожиданно предложил удвоить годовой выпуск ИЖ-7 и довести его до 2 тыс. машин. Заводской коллек</w:t>
      </w:r>
      <w:r w:rsidRPr="00C33834">
        <w:rPr>
          <w:rFonts w:ascii="Times New Roman" w:hAnsi="Times New Roman"/>
          <w:color w:val="000000" w:themeColor="text1"/>
          <w:sz w:val="16"/>
          <w:szCs w:val="16"/>
        </w:rPr>
        <w:softHyphen/>
        <w:t>тив решил непременно выполнить это устное поручение наркома. В оставшиеся месяцы года пришлось почти в пять раз взвинтить средний темп изготовления мотоциклов, чтобы справиться с зада</w:t>
      </w:r>
      <w:r w:rsidRPr="00C33834">
        <w:rPr>
          <w:rFonts w:ascii="Times New Roman" w:hAnsi="Times New Roman"/>
          <w:color w:val="000000" w:themeColor="text1"/>
          <w:sz w:val="16"/>
          <w:szCs w:val="16"/>
        </w:rPr>
        <w:softHyphen/>
        <w:t>нием. Завод до конца года работал в аварийном режиме, а люди - с большим надрывом. Для выполнения поручения наркома труд</w:t>
      </w:r>
      <w:r w:rsidRPr="00C33834">
        <w:rPr>
          <w:rFonts w:ascii="Times New Roman" w:hAnsi="Times New Roman"/>
          <w:color w:val="000000" w:themeColor="text1"/>
          <w:sz w:val="16"/>
          <w:szCs w:val="16"/>
        </w:rPr>
        <w:softHyphen/>
        <w:t>но пришлось и смежникам, поставлявшим материалы и комплек</w:t>
      </w:r>
      <w:r w:rsidRPr="00C33834">
        <w:rPr>
          <w:rFonts w:ascii="Times New Roman" w:hAnsi="Times New Roman"/>
          <w:color w:val="000000" w:themeColor="text1"/>
          <w:sz w:val="16"/>
          <w:szCs w:val="16"/>
        </w:rPr>
        <w:softHyphen/>
        <w:t>тующие изделия. Чтобы справиться с этой задачей и сохранить трудовую честь коллектива ИжМЗ, группе специалистов завода пришлось выступить в «Ижевской правде» с открытым письмом к сторонним участникам выпуска мотоциклов ИЖ-7 [4.115], что помогло.</w:t>
      </w:r>
    </w:p>
    <w:p w14:paraId="71422BD1"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то трудное время конструкторы ИМЗ завершили разработ</w:t>
      </w:r>
      <w:r w:rsidRPr="00C33834">
        <w:rPr>
          <w:rFonts w:ascii="Times New Roman" w:hAnsi="Times New Roman"/>
          <w:color w:val="000000" w:themeColor="text1"/>
          <w:sz w:val="16"/>
          <w:szCs w:val="16"/>
        </w:rPr>
        <w:softHyphen/>
        <w:t>ку нового мотоцикла с более мощным мотором. На поршне убра</w:t>
      </w:r>
      <w:r w:rsidRPr="00C33834">
        <w:rPr>
          <w:rFonts w:ascii="Times New Roman" w:hAnsi="Times New Roman"/>
          <w:color w:val="000000" w:themeColor="text1"/>
          <w:sz w:val="16"/>
          <w:szCs w:val="16"/>
        </w:rPr>
        <w:softHyphen/>
        <w:t>ли дефлектор, применили возвратную двухканальную продувку цилиндра, вместо манетки газа поместили вращающуюся ручку, усовершенствовали освещение и зажигание и многое другое [4.81]. В этой новаторской работе, проходившей в условиях про</w:t>
      </w:r>
      <w:r w:rsidRPr="00C33834">
        <w:rPr>
          <w:rFonts w:ascii="Times New Roman" w:hAnsi="Times New Roman"/>
          <w:color w:val="000000" w:themeColor="text1"/>
          <w:sz w:val="16"/>
          <w:szCs w:val="16"/>
        </w:rPr>
        <w:softHyphen/>
        <w:t>изводственной штурмовщины, связанной с выпуском 2 тыс. ма</w:t>
      </w:r>
      <w:r w:rsidRPr="00C33834">
        <w:rPr>
          <w:rFonts w:ascii="Times New Roman" w:hAnsi="Times New Roman"/>
          <w:color w:val="000000" w:themeColor="text1"/>
          <w:sz w:val="16"/>
          <w:szCs w:val="16"/>
        </w:rPr>
        <w:softHyphen/>
        <w:t>шин ИЖ-7, принимали участие конструкторы В.Е. Базик, Д.И. Зебзиев, К.М. Огнетов, В.В. Рогожин, СИ. Кульпин и др. Создали обновлённый мотоцикл с более элегантными обводами, обозначенный ИЖ-8. Поручение «товарища Серго» выполнили, хотя и с большими трудностями: к 31 декабря 1936 г. выпустили 2007 мотоциклов, сделав семь ИЖ-7 сверх задания [4.111].</w:t>
      </w:r>
    </w:p>
    <w:p w14:paraId="1297EE35"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Однако не все машины смогли укомплектовать полностью. Не хватило 60 мотоцепей для привода заднего колеса, 140 мане-ток газа, - именно столько мотоциклов не удалось в срок пере</w:t>
      </w:r>
      <w:r w:rsidRPr="00C33834">
        <w:rPr>
          <w:rFonts w:ascii="Times New Roman" w:hAnsi="Times New Roman"/>
          <w:color w:val="000000" w:themeColor="text1"/>
          <w:sz w:val="16"/>
          <w:szCs w:val="16"/>
        </w:rPr>
        <w:softHyphen/>
        <w:t>дать в торговую сеть. Тогда усиленно развивали соцсоревнования на всех уровнях: индивидуальном (между отдельным рабочими), коллективном (между бригадами, цехами и даже предприятиями), отраслевом (между наркоматами). Действуя в этом ключе, колле</w:t>
      </w:r>
      <w:r w:rsidRPr="00C33834">
        <w:rPr>
          <w:rFonts w:ascii="Times New Roman" w:hAnsi="Times New Roman"/>
          <w:color w:val="000000" w:themeColor="text1"/>
          <w:sz w:val="16"/>
          <w:szCs w:val="16"/>
        </w:rPr>
        <w:softHyphen/>
        <w:t>ктив ИжМЗ вызвал на соревнование трудящихся Подольского механического завода (ПМЗ) и обязался в следующем году изго</w:t>
      </w:r>
      <w:r w:rsidRPr="00C33834">
        <w:rPr>
          <w:rFonts w:ascii="Times New Roman" w:hAnsi="Times New Roman"/>
          <w:color w:val="000000" w:themeColor="text1"/>
          <w:sz w:val="16"/>
          <w:szCs w:val="16"/>
        </w:rPr>
        <w:softHyphen/>
        <w:t>товить 3 тыс. мотоциклов, из них 2 тыс. - машин ИЖ-8 [4.116]. Свои обязательства ИжМЗ выполнил: в 1937 г. изготовили ЗОЮ мотоциклов [4.111] (11429).</w:t>
      </w:r>
    </w:p>
    <w:p w14:paraId="699A35B4" w14:textId="77777777" w:rsidR="00EA7008" w:rsidRPr="00C33834" w:rsidRDefault="00EA7008"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0B1B0C"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июля 1933 г. приказом Наркомата тяжелой промышленности СССР был создан Государственный институт по проектированию предприятий золото-платиновой промышленности "Гипрозолото". Приказом Госплана РСФСР от 10 января 1958 г. переименован в Государственный институт по проектированию предприятий цветной металлургии "Цветметпроект"; 11 июля 1969 г. приказом Министерства цветной металлургии СССР преобразован во Всесоюзный научно-исследовательский и проектно-конструкторский институт золото-платиновой, алмазной и вольфрамово-молибденовой промышленности "ВНИИПРОЗолото". Приказом министерства от 15 сентября 1978 г. институт реорганизован во Всесоюзный научно-исследовательский, проектный и конструкторский институт горного дела цветной металлургии "ВНИПИгорцветмет" (12102). </w:t>
      </w:r>
    </w:p>
    <w:p w14:paraId="31198157" w14:textId="77777777" w:rsidR="00E160BD" w:rsidRPr="00C33834" w:rsidRDefault="00E160BD"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A83A240" w14:textId="77777777" w:rsidR="00EA7008"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6F43B34" w14:textId="77777777" w:rsidR="00EA7008" w:rsidRPr="00C33834" w:rsidRDefault="00EA700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2901E72"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1933 стартовала итальянская эскадра в составе 24 машин, которая осуществила трансокеанский перелет из Орбетелло в Нью- Йорк и обратно. Итальянцы посетили Амстердам, Лондон, Рейкьявик, Монреаль, Чикаго. 19 июля 1933, преодолев 11300 км, эскадра прибыла в Нью-Йорк. Обратный путь пролегал через Ньюфаундленд, Азорские острова и Пиренейский полуостров. Суммарная дальность этого массового перелета составила свыше 25000 км. Целью перелета назывались поиски более коротких и надежных маршрутов, соединяющих Европу с Америкой. Впрочем, военная составляющая этой летней демонстрации ни у кого не вызывала сомнения. Еще в 1928 г. французы неприятно удивились появлению над Марселем итальянской воздушной эскадры в составе 61 гидросамолета. А когда в 1929 г. эскадра из 35 гидросамолетов под руководством министра авиации Италии генерала Бальбо совершила перелет Италия - Греция - Турция - Болгария - Румыния - СССР (Одесса) и обратно, стало ясно, что перелет 1928-го в западной части Средиземного моря явился не случайным эпизодом, а звеном целой системы. В конце 1930 г. 12 летающих лодок SM-55 стартовали с гидробазы в Орбетелло под Римом с целью совершить первый групповой трансатлантический бросок в Южную Америку. После посещения портов Наталь, Бахийя и Рио-де-Жанейро эскадра вернулась на родину. В этом перелете, общей протяженностью 10240 км, из которых около 3000 км проходили над океаном, итальянцы потеряли три двух- лодочных "Савойи", которые немедленно заменялись запасными лодками. Впрочем, указанные потери при проведении столь сложного и масштабного воздушного рейда, напоминающего боевую вылазку, считались вполне допустимыми (11941).</w:t>
      </w:r>
    </w:p>
    <w:p w14:paraId="2DECCC1D" w14:textId="77777777" w:rsidR="00EA7008" w:rsidRPr="00C33834" w:rsidRDefault="00EA7008" w:rsidP="00C33834">
      <w:pPr>
        <w:autoSpaceDE w:val="0"/>
        <w:autoSpaceDN w:val="0"/>
        <w:adjustRightInd w:val="0"/>
        <w:spacing w:after="0" w:line="240" w:lineRule="auto"/>
        <w:jc w:val="both"/>
        <w:rPr>
          <w:rFonts w:ascii="Times New Roman" w:hAnsi="Times New Roman"/>
          <w:color w:val="000000" w:themeColor="text1"/>
          <w:sz w:val="16"/>
          <w:szCs w:val="16"/>
        </w:rPr>
      </w:pPr>
    </w:p>
    <w:p w14:paraId="321410A4" w14:textId="77777777" w:rsidR="00ED6175" w:rsidRPr="00C33834" w:rsidRDefault="00ED617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июля 1933 состоялся первый полет Дуглас DC-1 (20802).</w:t>
      </w:r>
    </w:p>
    <w:p w14:paraId="46CF32ED" w14:textId="77777777" w:rsidR="00ED6175" w:rsidRPr="00C33834" w:rsidRDefault="00ED6175" w:rsidP="00C33834">
      <w:pPr>
        <w:spacing w:after="0" w:line="240" w:lineRule="auto"/>
        <w:jc w:val="both"/>
        <w:rPr>
          <w:rFonts w:ascii="Times New Roman" w:hAnsi="Times New Roman"/>
          <w:color w:val="0070C0"/>
          <w:sz w:val="16"/>
          <w:szCs w:val="16"/>
        </w:rPr>
      </w:pPr>
    </w:p>
    <w:p w14:paraId="15E195A7" w14:textId="77777777" w:rsidR="00ED6175" w:rsidRPr="00C33834" w:rsidRDefault="00ED617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июля 1933 года — первый полёт поршневого авиалайнера Douglas DC-1. /США/</w:t>
      </w:r>
    </w:p>
    <w:p w14:paraId="0A36DC32" w14:textId="77777777" w:rsidR="00ED6175" w:rsidRPr="00C33834" w:rsidRDefault="00ED617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1931 году произошла катастрофа Fokker F.10 Trimotor авиакомпании Trans World Airlines. После этого в США были установлены ограничения на перевозку пассажиров на самолётах с деревянным крылом. Производители приступили к созданию цельнометаллических авиалайнеров. Компания Douglas представила проект DC-1 (Douglas Commercial).</w:t>
      </w:r>
    </w:p>
    <w:p w14:paraId="75AA2A4D" w14:textId="77777777" w:rsidR="00ED6175" w:rsidRPr="00C33834" w:rsidRDefault="00ED617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DC-1 представлял собой двухмоторный низкоплан с алюминиевым корпусом. В звукоизолированном и утеплённом салоне размещались 12 пассажиров. Самолёт покрывал расстояние в 1600 км со скоростью до 340 км/ч и мог совершить посадку на одном двигателе</w:t>
      </w:r>
    </w:p>
    <w:p w14:paraId="1C25B865" w14:textId="77777777" w:rsidR="00ED6175" w:rsidRPr="00C33834" w:rsidRDefault="00ED617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Выпустили лишь авиалайнер, который эксплуатировался авиакомпанией Trans World Airlines. Несмотря на свой экспериментальный статус, именно DC-1 заложил основу для DC-2 и DC3 — одних из самых популярных самолётов Золотого века авиации (22300).</w:t>
      </w:r>
    </w:p>
    <w:p w14:paraId="6E1FCE3C" w14:textId="77777777" w:rsidR="00ED6175" w:rsidRPr="00C33834" w:rsidRDefault="00ED6175" w:rsidP="00C33834">
      <w:pPr>
        <w:spacing w:after="0" w:line="240" w:lineRule="auto"/>
        <w:jc w:val="both"/>
        <w:rPr>
          <w:rFonts w:ascii="Times New Roman" w:hAnsi="Times New Roman"/>
          <w:color w:val="0070C0"/>
          <w:sz w:val="16"/>
          <w:szCs w:val="16"/>
        </w:rPr>
      </w:pPr>
    </w:p>
    <w:p w14:paraId="705F400F" w14:textId="77777777" w:rsidR="00DF67AB" w:rsidRPr="00C33834" w:rsidRDefault="00DF67AB"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 июля</w:t>
      </w:r>
      <w:r w:rsidRPr="00C33834">
        <w:rPr>
          <w:rFonts w:ascii="Times New Roman" w:hAnsi="Times New Roman"/>
          <w:color w:val="000000" w:themeColor="text1"/>
          <w:sz w:val="16"/>
          <w:szCs w:val="16"/>
        </w:rPr>
        <w:t xml:space="preserve"> в 1933 году взлетел первый самолёт Дональда Дугласа знаменитой марки «DC» - </w:t>
      </w:r>
      <w:hyperlink r:id="rId248" w:tgtFrame="_blank" w:history="1">
        <w:r w:rsidRPr="00C33834">
          <w:rPr>
            <w:rFonts w:ascii="Times New Roman" w:hAnsi="Times New Roman"/>
            <w:color w:val="000000" w:themeColor="text1"/>
            <w:sz w:val="16"/>
            <w:szCs w:val="16"/>
          </w:rPr>
          <w:t xml:space="preserve">«Douglas» «DC-1» </w:t>
        </w:r>
      </w:hyperlink>
      <w:r w:rsidRPr="00C33834">
        <w:rPr>
          <w:rFonts w:ascii="Times New Roman" w:hAnsi="Times New Roman"/>
          <w:color w:val="000000" w:themeColor="text1"/>
          <w:sz w:val="16"/>
          <w:szCs w:val="16"/>
        </w:rPr>
        <w:t>(«Douglas» «Commercial-1»). И хотя этот скоростной двухмоторный аппарат остался в одном экземпляре, он положил начало славному семейству популярных классических лайнеров. Меньше чем через год, 11 мая 1934 г., поднялся в воздух «DC-22, и уже через 7 дней «TWA» начала его эксплуатацию рейсом Нью-Йорк - Лос-Анджелес (14939).</w:t>
      </w:r>
    </w:p>
    <w:p w14:paraId="11298340" w14:textId="77777777" w:rsidR="00DF67AB" w:rsidRPr="00C33834" w:rsidRDefault="00DF67AB" w:rsidP="00C33834">
      <w:pPr>
        <w:spacing w:after="0" w:line="240" w:lineRule="auto"/>
        <w:jc w:val="both"/>
        <w:rPr>
          <w:rFonts w:ascii="Times New Roman" w:hAnsi="Times New Roman"/>
          <w:color w:val="000000" w:themeColor="text1"/>
          <w:sz w:val="16"/>
          <w:szCs w:val="16"/>
        </w:rPr>
      </w:pPr>
    </w:p>
    <w:p w14:paraId="009CF536" w14:textId="77777777" w:rsidR="00DF67AB" w:rsidRPr="00C33834" w:rsidRDefault="00DF67AB"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 июля</w:t>
      </w:r>
      <w:r w:rsidRPr="00C33834">
        <w:rPr>
          <w:rFonts w:ascii="Times New Roman" w:hAnsi="Times New Roman"/>
          <w:color w:val="000000" w:themeColor="text1"/>
          <w:sz w:val="16"/>
          <w:szCs w:val="16"/>
        </w:rPr>
        <w:t xml:space="preserve"> в 1933 году </w:t>
      </w:r>
      <w:hyperlink r:id="rId249" w:tgtFrame="_blank" w:history="1">
        <w:r w:rsidRPr="00C33834">
          <w:rPr>
            <w:rFonts w:ascii="Times New Roman" w:hAnsi="Times New Roman"/>
            <w:color w:val="000000" w:themeColor="text1"/>
            <w:sz w:val="16"/>
            <w:szCs w:val="16"/>
          </w:rPr>
          <w:t xml:space="preserve">«Armstrong Whitworth» «AW.15» «Atalanta» </w:t>
        </w:r>
      </w:hyperlink>
      <w:r w:rsidRPr="00C33834">
        <w:rPr>
          <w:rFonts w:ascii="Times New Roman" w:hAnsi="Times New Roman"/>
          <w:color w:val="000000" w:themeColor="text1"/>
          <w:sz w:val="16"/>
          <w:szCs w:val="16"/>
        </w:rPr>
        <w:t>(G-ABPI) открыл маршрут Лондон - Карачи, доставив в Индию почтовый груз. Вскоре туда прибыли ещё три самолёта, которые летали между городами Карачи, Калькутта, Рангун и Сингапур. В целом отзывы об «A.W.15» были положительными. Самолёты оказались просты в эксплуатации и выносливы, что было особенно ценно в условиях неблагоприятного климата (14939).</w:t>
      </w:r>
    </w:p>
    <w:p w14:paraId="2077CC9F" w14:textId="77777777" w:rsidR="00DF67AB" w:rsidRPr="00C33834" w:rsidRDefault="00DF67AB" w:rsidP="00C33834">
      <w:pPr>
        <w:spacing w:after="0" w:line="240" w:lineRule="auto"/>
        <w:jc w:val="both"/>
        <w:rPr>
          <w:rFonts w:ascii="Times New Roman" w:hAnsi="Times New Roman"/>
          <w:color w:val="000000" w:themeColor="text1"/>
          <w:sz w:val="16"/>
          <w:szCs w:val="16"/>
        </w:rPr>
      </w:pPr>
    </w:p>
    <w:p w14:paraId="7262432C" w14:textId="77777777" w:rsidR="00ED6175" w:rsidRPr="00C33834" w:rsidRDefault="00ED617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июля 1933 - Armstrong Whitworth AW.15 Atalanta (G-ABPI) открыл маршрут Лондон - Карачи, доставив в Индию почтовый груз. Вскоре туда прибыли ещё три самолёта, которые летали между городами Карачи, Калькутта, Рангун и Сингапур. В целом отзывы об A.W.15 были положительными. Самолёты оказались просты в эксплуатации и выносливы, что было особенно ценно в условиях неблагоприятного климата (22443).</w:t>
      </w:r>
    </w:p>
    <w:p w14:paraId="3EB7EB4A" w14:textId="77777777" w:rsidR="00ED6175" w:rsidRPr="00C33834" w:rsidRDefault="00ED6175" w:rsidP="00C33834">
      <w:pPr>
        <w:spacing w:after="0" w:line="240" w:lineRule="auto"/>
        <w:jc w:val="both"/>
        <w:rPr>
          <w:rFonts w:ascii="Times New Roman" w:hAnsi="Times New Roman"/>
          <w:color w:val="0070C0"/>
          <w:sz w:val="16"/>
          <w:szCs w:val="16"/>
        </w:rPr>
      </w:pPr>
    </w:p>
    <w:p w14:paraId="2EF1A57D" w14:textId="77777777" w:rsidR="008A018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7667475" w14:textId="77777777" w:rsidR="008A0184" w:rsidRPr="00C33834" w:rsidRDefault="008A018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08E65A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июля 1933 состоялось совещание по вопросу установки М-34Р на ТБ-3 (АНТ-6) (1077,129).</w:t>
      </w:r>
    </w:p>
    <w:p w14:paraId="71DDF81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6B8372B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июля 1933 работы по дублеру АНТ-16 прекратили и готовые агрегаты передали для изготовления АНТ-20 (МГ). ЦАГИ получил соответствующее распоряжение и часть агрегатов передали для использования в постройке МГ (7388, 10).</w:t>
      </w:r>
    </w:p>
    <w:p w14:paraId="2CD3E65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5837683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июля 1933, за день до первого полета первого опытного образца, ЦАГИ получил распоряжение остановить сборку узлов. По-видимому, многие уже сделанные части этого самолета использовали потом для самолета АНТ-20 (12036).</w:t>
      </w:r>
    </w:p>
    <w:p w14:paraId="60A53DE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3E44846F" w14:textId="77777777" w:rsidR="00DF67AB" w:rsidRPr="00C33834" w:rsidRDefault="00DF67AB"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 июля</w:t>
      </w:r>
      <w:r w:rsidRPr="00C33834">
        <w:rPr>
          <w:rFonts w:ascii="Times New Roman" w:hAnsi="Times New Roman"/>
          <w:color w:val="000000" w:themeColor="text1"/>
          <w:sz w:val="16"/>
          <w:szCs w:val="16"/>
        </w:rPr>
        <w:t xml:space="preserve"> в 1933 году у известного впоследствии летчика Водопьянова на «ПС-9» («АНТ-9») при посадке в Москве заглох правый мотор, машину развернуло, и она влетела в щель между двумя ангарами. Крылья разрушились, а фюзеляж протащило дальше. Экипаж остался цел, но самолет пришлось списать (14940).</w:t>
      </w:r>
    </w:p>
    <w:p w14:paraId="65997508" w14:textId="77777777" w:rsidR="00DF67AB" w:rsidRPr="00C33834" w:rsidRDefault="00DF67AB" w:rsidP="00C33834">
      <w:pPr>
        <w:spacing w:after="0" w:line="240" w:lineRule="auto"/>
        <w:jc w:val="both"/>
        <w:rPr>
          <w:rFonts w:ascii="Times New Roman" w:hAnsi="Times New Roman"/>
          <w:color w:val="000000" w:themeColor="text1"/>
          <w:sz w:val="16"/>
          <w:szCs w:val="16"/>
        </w:rPr>
      </w:pPr>
    </w:p>
    <w:p w14:paraId="4B2BA48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июля 1933 СНК ввел политотделы в ГВФ - "В целях усиления политработы и укрепления дисциплины среди работников ГВФ" (438,640).</w:t>
      </w:r>
    </w:p>
    <w:p w14:paraId="645382B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72CB9999"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июля 1933</w:t>
      </w:r>
    </w:p>
    <w:p w14:paraId="07D075FA"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w:t>
      </w:r>
    </w:p>
    <w:p w14:paraId="634AA0CE"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http://sovdoc.rusarchives.ru</w:t>
      </w:r>
    </w:p>
    <w:p w14:paraId="4107E663"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Архив: </w:t>
      </w:r>
    </w:p>
    <w:p w14:paraId="671E3EDA"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РГАСПИ. Ф. 17. Оп. 3. Д. 926. Л. 31-32.</w:t>
      </w:r>
    </w:p>
    <w:p w14:paraId="0E5E17B3"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 № 3</w:t>
      </w:r>
    </w:p>
    <w:p w14:paraId="4ABFF416"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к п. 10/1 пр. ПБ № 141.</w:t>
      </w:r>
    </w:p>
    <w:p w14:paraId="4103C376"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 организации политработы в гражданском воздушном флоте.</w:t>
      </w:r>
    </w:p>
    <w:p w14:paraId="486E6D0B"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(Утверждено Политбюро ЦК ВКП(б) 2 июля 1933 г.).</w:t>
      </w:r>
    </w:p>
    <w:p w14:paraId="4F5A1D68"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усиления политической работы и укрепления дисциплины среди работников гражданского флота, — ЦК постановляет:</w:t>
      </w:r>
    </w:p>
    <w:p w14:paraId="4F26F386"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Признать необходимым организовать в гражданском воздушном флоте систему политотделов по принципу политорганов РККА.</w:t>
      </w:r>
    </w:p>
    <w:p w14:paraId="2459463B"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Создать при Главном Управлении Гражданского воздушного флота Политуправление Аэрофлота.</w:t>
      </w:r>
    </w:p>
    <w:p w14:paraId="0FE80427"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Организовать политотделы в следующих органах Главного Управления гражданского воздушного флота:</w:t>
      </w:r>
    </w:p>
    <w:p w14:paraId="52F400EB"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в “Трансавиации” — центральный политотдел, во главе которого стоит зам. начальника треста транспортной авиации и политотделы при управлениях:</w:t>
      </w:r>
    </w:p>
    <w:p w14:paraId="75D40C69"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Московском,</w:t>
      </w:r>
    </w:p>
    <w:p w14:paraId="62ED1E90"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Украинском,</w:t>
      </w:r>
    </w:p>
    <w:p w14:paraId="3DBA756C"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Соедне-Азиатском,</w:t>
      </w:r>
    </w:p>
    <w:p w14:paraId="3537746C"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Закавказском,</w:t>
      </w:r>
    </w:p>
    <w:p w14:paraId="2B7A11F3"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Западно-Сибирском,</w:t>
      </w:r>
    </w:p>
    <w:p w14:paraId="050F7265"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Восточно-Сибирском,</w:t>
      </w:r>
    </w:p>
    <w:p w14:paraId="3CA43B5F"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Дальне-Восточном и</w:t>
      </w:r>
    </w:p>
    <w:p w14:paraId="03868B93"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Казакском.</w:t>
      </w:r>
    </w:p>
    <w:p w14:paraId="5BA534A2"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В “Сельхозавиации” — центральный политотдел, начальник которого является вместе с тем заместителем начальника треста и политотделы при управлениях:</w:t>
      </w:r>
    </w:p>
    <w:p w14:paraId="6BE10776"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Московском,</w:t>
      </w:r>
    </w:p>
    <w:p w14:paraId="32E82730"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Нижне-Волжском,</w:t>
      </w:r>
    </w:p>
    <w:p w14:paraId="0F3436E1"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Ленинградском,</w:t>
      </w:r>
    </w:p>
    <w:p w14:paraId="612A126E"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Средне-Азиатском,</w:t>
      </w:r>
    </w:p>
    <w:p w14:paraId="2611E4BF"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Сибирском,</w:t>
      </w:r>
    </w:p>
    <w:p w14:paraId="1781449D"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Северо-Кавказском,</w:t>
      </w:r>
    </w:p>
    <w:p w14:paraId="5531EA9D"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Украинском,</w:t>
      </w:r>
    </w:p>
    <w:p w14:paraId="77026FFC"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Закавказском,</w:t>
      </w:r>
    </w:p>
    <w:p w14:paraId="338F066A"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также в отдельных отрядах, функционирующих на правах управлений:</w:t>
      </w:r>
    </w:p>
    <w:p w14:paraId="10F5F1B1"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Средне-Волжском,</w:t>
      </w:r>
    </w:p>
    <w:p w14:paraId="4645DD54"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Южно-Казакском.</w:t>
      </w:r>
    </w:p>
    <w:p w14:paraId="0148CB0B"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 летных школах:</w:t>
      </w:r>
    </w:p>
    <w:p w14:paraId="60A20B35"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Батайской,</w:t>
      </w:r>
    </w:p>
    <w:p w14:paraId="4394E285"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Тамбовской,</w:t>
      </w:r>
    </w:p>
    <w:p w14:paraId="41C2EDB2"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Балашовской и</w:t>
      </w:r>
    </w:p>
    <w:p w14:paraId="6E259649"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Ленинградском учебном комбинате.</w:t>
      </w:r>
    </w:p>
    <w:p w14:paraId="33035971"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техникумах:</w:t>
      </w:r>
    </w:p>
    <w:p w14:paraId="228B25AF"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Саратовском,</w:t>
      </w:r>
    </w:p>
    <w:p w14:paraId="4F31780D"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Горьковском,</w:t>
      </w:r>
    </w:p>
    <w:p w14:paraId="37D75D85"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Воронежском,</w:t>
      </w:r>
    </w:p>
    <w:p w14:paraId="5C2B8624"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Московском спецслужб,</w:t>
      </w:r>
    </w:p>
    <w:p w14:paraId="0CC5F038"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Дирижаблестроительном комбинате и</w:t>
      </w:r>
    </w:p>
    <w:p w14:paraId="209D3F5B"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Киевском учебном комбинате.</w:t>
      </w:r>
    </w:p>
    <w:p w14:paraId="4B944393"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В “Дирижаблестрое”.</w:t>
      </w:r>
    </w:p>
    <w:p w14:paraId="11F13D1D"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В “Аэрогеодезии” НКТПрома — пом. начальника треста “Аэрогеодезия” по политической части.</w:t>
      </w:r>
    </w:p>
    <w:p w14:paraId="6EC24BC9"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Поручить Орготделу ЦК ВКП(б) (т. Полонскому) совместно с начальником Аэрофлота разработать положение о политотделах в гражданском воздушном флоте и установить перечень подразделений гражданского воздушного флота, где вводятся политруки, а также в двухмесячный срок укомплектовать создаваемые в системе ГВФ политорганы личным составом.</w:t>
      </w:r>
    </w:p>
    <w:p w14:paraId="2EE25E73"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Начполитотделы утверждаются Оргбюро ЦК.</w:t>
      </w:r>
    </w:p>
    <w:p w14:paraId="3D4E2224" w14:textId="77777777" w:rsidR="0099583E" w:rsidRPr="00C33834" w:rsidRDefault="0099583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Начальником Политуправления Аэрофлота назначить замначальника ГУГВФ т. Березина Н. С. (18064).</w:t>
      </w:r>
    </w:p>
    <w:p w14:paraId="79809A0A" w14:textId="77777777" w:rsidR="0099583E" w:rsidRPr="00C33834" w:rsidRDefault="0099583E" w:rsidP="00C33834">
      <w:pPr>
        <w:spacing w:after="0" w:line="240" w:lineRule="auto"/>
        <w:jc w:val="both"/>
        <w:rPr>
          <w:rFonts w:ascii="Times New Roman" w:hAnsi="Times New Roman"/>
          <w:color w:val="000000" w:themeColor="text1"/>
          <w:sz w:val="16"/>
          <w:szCs w:val="16"/>
        </w:rPr>
      </w:pPr>
    </w:p>
    <w:p w14:paraId="55A25F1A" w14:textId="77777777" w:rsidR="008A018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512750D2" w14:textId="77777777" w:rsidR="008A0184" w:rsidRPr="00C33834" w:rsidRDefault="008A018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C54631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июля 1933 открыли для судоходства БМК длинной 227 км и начали проводку боевых кораблей с БМ на СМ (3398,229).</w:t>
      </w:r>
    </w:p>
    <w:p w14:paraId="7C6ABBF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25BA567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июля 1933 был издан приказ ОГПУ № 00233 «О реорганизации главного штаба строительства ББВП в Управление Беломорско-Балтийского исправительно-трудового лагеря ОГПУ». В нем говорилось:</w:t>
      </w:r>
    </w:p>
    <w:p w14:paraId="7892E0D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связи с окончанием строительства Беломорско-Балтийского водного пути приказываю:</w:t>
      </w:r>
    </w:p>
    <w:p w14:paraId="35C7EC3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Главный штаб строительства ББВП со всеми его подразделениями в центре и боеучастками на местах с 15-го июля 1933 года реорганизовать в Управление БеломорскоБалтийского исправительно-трудового лагеря ОГПУ с центром в с. Надвойцах.</w:t>
      </w:r>
    </w:p>
    <w:p w14:paraId="51BD299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Основной задачей УББЛ, кроме непосредственного управления лагерем, является обеспечение бесперебойной эксплуатации ББВП в течение навигации 1933 года, производство всех доделочных и дополнительных работ по ББВП, ведение всех сплавных работ по Выгозерскому бассейну, устранение препятствий к свободному плаванию судов и выполнение всех прочих ранее принятых Управлением лагеря и строительством обязательств.</w:t>
      </w:r>
    </w:p>
    <w:p w14:paraId="60F116C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Начальником Управления ББЛ назначить тов. Успенского Д. В., помощником н-ка УББЛ назначить тов. Ильиных Д. С.</w:t>
      </w:r>
    </w:p>
    <w:p w14:paraId="1C041F2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Дислокацию ББЛ с 15.07.33 утвердить в составе:</w:t>
      </w:r>
    </w:p>
    <w:p w14:paraId="652CA20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1-го Повенецкого отделения на территории 1 и 2 боевых участков;</w:t>
      </w:r>
    </w:p>
    <w:p w14:paraId="7C5054C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2-го Медвежьегорского отделения на территории Медвежьегорского отдельного боевого пункта и Пушсовхоза;</w:t>
      </w:r>
    </w:p>
    <w:p w14:paraId="30D17AF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3-го Сосновецкого отделения на территории 6 и 7 боевых участков;</w:t>
      </w:r>
    </w:p>
    <w:p w14:paraId="6F67F8F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4-го Сегежского отделения на территории 3 и 4 боевых участков.</w:t>
      </w:r>
    </w:p>
    <w:p w14:paraId="02C76A1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Для руководства эксплуатацией канала ББВП и производства связанных с ней доделочных и дополнительных работ, организовать в составе Управления ББЛ Отдел пути и эксплуатации» (7560).</w:t>
      </w:r>
    </w:p>
    <w:p w14:paraId="373D8AC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4F011A3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июля 1933 было подписано постановление СНК СССР № 1635:</w:t>
      </w:r>
    </w:p>
    <w:p w14:paraId="78582D8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«Совет народных комиссаров СССР, заслушав доклад председателя правительственной комиссии по приемке Беломорско-Балтийского водного пути тов. К. М. Лепина, постановляет:</w:t>
      </w:r>
    </w:p>
    <w:p w14:paraId="69D7D46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Сооружение Беломорско-Балтийского водного пути, предпринятое по инициативе тов. Сталина и открывающее широкие перспективы для дальнейшего экономического и культурного подъема советской Карелии и всего севера СССР, - считать законченным. Создание такого мощного транспортного пути общим протяжением с подходными каналами в 227 километров от Онежского озера до Белого моря, с расположением на нем комплекса сложных гидротехнических сооружений общим числом 128, из коих: шлюзов - 19, плотин - 15, водоспусков - 12, дамб - 49 и искусственных каналов - 33, обеспечивает установление непосредственной водной связи между Балтийским морем и советским севером и дает возможность немедленного приступа к широкой эксплуатации лесных, минерально-рудных, рыбных и прочих природных богатств этого края.</w:t>
      </w:r>
    </w:p>
    <w:p w14:paraId="17FB97E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Отметить, что сооружение Беломорско-Балтийского водного пути с общим объемом строительных работ земляных и скальных - 21 миллион кубометров, бетонных - 390 тысяч кубометров и ряжевых - 921 тысяча кубометров выполнено Беломорстроем под руководством ОГПУ силами осужденных на разные сроки уголовных в исключительно трудных геологических и гидрологических условиях в рекордно короткий в практике гидротехнического строительства срок - 20 месяцев.</w:t>
      </w:r>
    </w:p>
    <w:p w14:paraId="2A00679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Вместе с тем СНК СССР отмечает четкую и образцовую организацию труда и производства, настойчивую инициативу руководителей строительства в области выбора и широкого внедрения новых стандартных и совершенных инженерных конструкций и максимальное использование при постройке канала местных строительных материалов, с одновременным достижением высокого качества строительных работ и безупречного их внешнего оформления.</w:t>
      </w:r>
    </w:p>
    <w:p w14:paraId="6C93F04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Отметить также, что в процессе строительства Беломорско-Балтийского водного пути, на основе правильного проведения исправительно-трудовой политики советской власти, Главное управление исправительно-трудовыми лагерями ОГПУ провело большую политико-воспитательную работу среди заключенных, получивших трудовые навыки и квалификацию и в целом ряде случаев хорошо проявивших себя в работе на строительстве.</w:t>
      </w:r>
    </w:p>
    <w:p w14:paraId="0276233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этим возбудить перед Центральным Исполнительным Комитетом СССР ходатайство о награждении наиболее заслуженных и отличившихся работников, инженеров и руководителей Беломорстроя.</w:t>
      </w:r>
    </w:p>
    <w:p w14:paraId="0931069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Работу Правительственной комиссии по приемке Беломорско-Балтийского водного пути одобрить и считать законченной.</w:t>
      </w:r>
    </w:p>
    <w:p w14:paraId="38D7798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Генеральный акт приемки Беломорско-Балтийского водного пути опубликовать.</w:t>
      </w:r>
    </w:p>
    <w:p w14:paraId="3D5DD4E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Принять Беломорско-Балтийский водный путь в эксплуатацию с присвоением ему наименования «Беломорско-Балтийский канал имени тов. Сталина» и считать его открытым для плавания судов озерно-морского типа.</w:t>
      </w:r>
    </w:p>
    <w:p w14:paraId="53BD543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Зачислить Беломорско-Балтийский канал имени тов. Сталина в число действующих внутренних водных путей СССР» (7560).</w:t>
      </w:r>
    </w:p>
    <w:p w14:paraId="2153D76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287C8BED" w14:textId="77777777" w:rsidR="008A018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D10CB54" w14:textId="77777777" w:rsidR="008A0184" w:rsidRPr="00C33834" w:rsidRDefault="008A018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855334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июля 1933 выходит на испытания ТБ-4 (АНТ-16). С 5М-34 (2305,43). На аэродром стал поступать в феврале-марте из-за задержки поступления моторов до декабря вместо августа, а до июля - дорабатывали на аэродроме (2310,143). Бомбоотсеки перед и за центропланом по 5 метров (81,88). Испытывал М.М.Громов до 29 сентября 1933 (92,433).</w:t>
      </w:r>
    </w:p>
    <w:p w14:paraId="179C010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 до 23 сентября, когда его передали на совместные гос. и войсковые испытания (2072,64).</w:t>
      </w:r>
    </w:p>
    <w:p w14:paraId="56DF6CA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Оценка М.М.Громова - “...Взлет - прост, тенденций к развороту - нет. Разбер - короток, При наборе высоты самолет устойчив и набирает высоту хорошо. При полете - устойчив и прост в управлении. При планировании - устойчив и перестановки стабилизатора почти не требуется. Посадка - очень простаяч, заворотов при пробеге не чувствуется...” (7388, 8).</w:t>
      </w:r>
    </w:p>
    <w:p w14:paraId="54578AE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3D79542E" w14:textId="77777777" w:rsidR="00F702B9" w:rsidRPr="00C33834" w:rsidRDefault="00F702B9"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3 июля</w:t>
      </w:r>
      <w:r w:rsidRPr="00C33834">
        <w:rPr>
          <w:rFonts w:ascii="Times New Roman" w:hAnsi="Times New Roman"/>
          <w:color w:val="000000" w:themeColor="text1"/>
          <w:sz w:val="16"/>
          <w:szCs w:val="16"/>
        </w:rPr>
        <w:t xml:space="preserve"> в 1933 году первый полет тяжелого бомбардировщика </w:t>
      </w:r>
      <w:hyperlink r:id="rId250" w:tgtFrame="_blank" w:history="1">
        <w:r w:rsidRPr="00C33834">
          <w:rPr>
            <w:rFonts w:ascii="Times New Roman" w:hAnsi="Times New Roman"/>
            <w:color w:val="000000" w:themeColor="text1"/>
            <w:sz w:val="16"/>
            <w:szCs w:val="16"/>
          </w:rPr>
          <w:t xml:space="preserve">«АНТ-16» («ТБ-4») </w:t>
        </w:r>
      </w:hyperlink>
      <w:r w:rsidRPr="00C33834">
        <w:rPr>
          <w:rFonts w:ascii="Times New Roman" w:hAnsi="Times New Roman"/>
          <w:color w:val="000000" w:themeColor="text1"/>
          <w:sz w:val="16"/>
          <w:szCs w:val="16"/>
        </w:rPr>
        <w:t>с шестью двигателями «М-34», пилот М.М.Громов. Этот шестимоторный бомбардировщик имел самые крупные в мире бомбовые отсеки. Планировалось иметь: массу - 31000 кг (перегрузочная - 37000 кг), массу пустого - 10700 кг, максимальную скорость у земли - 208 км/ч, крейсерскую скорость - 160 км/ ч, потолок - 3400 м, дальность - 1600 км. Нормальная бомбовая нагрузка - 4000 кг, максимальная -10000 кг. Оборонительное вооружение: две пушки "Эрликон" калибра 20 мм, десять пулеметов «ДА». В серии не строился. Опыт был использован при постройке «АНТ-20» (14941).</w:t>
      </w:r>
    </w:p>
    <w:p w14:paraId="729F3762" w14:textId="77777777" w:rsidR="00F702B9" w:rsidRPr="00C33834" w:rsidRDefault="00F702B9" w:rsidP="00C33834">
      <w:pPr>
        <w:spacing w:after="0" w:line="240" w:lineRule="auto"/>
        <w:jc w:val="both"/>
        <w:rPr>
          <w:rFonts w:ascii="Times New Roman" w:hAnsi="Times New Roman"/>
          <w:color w:val="000000" w:themeColor="text1"/>
          <w:sz w:val="16"/>
          <w:szCs w:val="16"/>
        </w:rPr>
      </w:pPr>
    </w:p>
    <w:p w14:paraId="611CA02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июля 1933 г. М.М. Громов впервые поднял новый бомбардировщик ТБ-4 в небо. Оценка, данная им самолету после нескольких первых полетов, была довольно высокой. Пилот счел, что осуществление взлета и посадки достаточно просто, в полете машина устойчива и послушна. Рапорт ЦАГИ гласил: "Результаты вполне благоприятны". Но усилия на штурвале и педалях были очень велики. С педалями вообще творилось что-то странное. Нагрузки "скакали", то увеличиваясь, то уменьшаясь.</w:t>
      </w:r>
    </w:p>
    <w:p w14:paraId="223944F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почти две недели простоял на земле. Потом решили еще раз слетать для уточнения характеристик устойчивости, но обнаружили разрыв главного тормозного цилиндра. 22 июля Громов опять поднялся в воздух. Появилась гипотеза, что имеет место перекомпенсация руля направления. При одном из последующих полетов, 5 августа, с тандемной установки сорвало задний капот, который ударом расколол винт.</w:t>
      </w:r>
    </w:p>
    <w:p w14:paraId="0A16E20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поставили на ремонт. Воспользовавшись паузой, переделали оперение. Изменили угол установки стабилизатора, подрезали руль направления. Это действительно улучшило путевую устойчивость. В то же время на самолете поставили новые винты: это благотворно сказалось на максимальной скорости (12024).</w:t>
      </w:r>
    </w:p>
    <w:p w14:paraId="2AE96EB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58497CA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июля 1933 г. М.М. Громов впервые поднял бомбардировщик в небо. Оценка, данная им самолету после нескольких первых полетов, была довольно высокой. Пилот счел, что осуществление взлета и посадки достаточно просто, в полете машина устойчива и послушна. Рапорт ЦАГИ гласил: "Результаты вполне благоприятны". Но усилия на штурвале и педалях были очень велики. С педалями вообще творилось что-то странное. Нагрузки "скакали", то увеличиваясь, то уменьшаясь.</w:t>
      </w:r>
    </w:p>
    <w:p w14:paraId="1641185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почти две недели простоял на земле. Потом решили еще раз слетать для уточнения характеристик устойчивости, но обнаружили разрыв главного тормозного цилиндра. 22 июля Громов опять поднялся в воздух. Появилась гипотеза, что имеет место перекомпенсация руля направления. При одном из последующих полетов, 5 августа, с тандемной установки сорвало задний капот, который ударом расколол винт.</w:t>
      </w:r>
    </w:p>
    <w:p w14:paraId="5A50C35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поставили на ремонт. Воспользовавшись паузой, переделали оперение. Изменили угол установки стабилизатора, подрезали руль направления. Это действительно улучшило путевую устойчивость. В то же время на самолете поставили новые винты: это благотворно сказалось на максимальной скорости (12036).</w:t>
      </w:r>
    </w:p>
    <w:p w14:paraId="6762976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4C56359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июля 1933 состоялось заседание макетной комиссии по РД - военный вариант (1102).</w:t>
      </w:r>
    </w:p>
    <w:p w14:paraId="2253858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793750EE" w14:textId="77777777" w:rsidR="008A018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5A28AB14" w14:textId="77777777" w:rsidR="008A0184" w:rsidRPr="00C33834" w:rsidRDefault="008A018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537F86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июля 1933-го начальник ГУЛАГа Берман и начальник Финотдела ОГПУ Л. И. Берензон сообщили в адрес «Трансугля НКПС СССР»:</w:t>
      </w:r>
    </w:p>
    <w:p w14:paraId="2F4174F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основании постановления директивных органов для работ по Райчихинскому угольному месторождению Вам будет направлено 2.000 человек рабочих.</w:t>
      </w:r>
    </w:p>
    <w:p w14:paraId="7D30F0A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Нами одновременно дано задание, чтобы люди были доставлены к 20.07.33 на место работ». Уже 11 февраля 1934 года Ягода доложил председателю СНК СССР В. М. Молотову: «Дальневосточные лагеря ОГПУ по договору с трестом Дальтрансуголь НКПС производят работу на рудниках «Артем» и «Райчиха» Дальневосточного края» (7560).</w:t>
      </w:r>
    </w:p>
    <w:p w14:paraId="598C6CF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7B3C1737" w14:textId="77777777" w:rsidR="008A018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4B5385A0" w14:textId="77777777" w:rsidR="008A0184" w:rsidRPr="00C33834" w:rsidRDefault="008A018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E3A33A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 июля 1933 г. в ходе Лондонской экономической конференции Советский Союз подписал три раздельные конвенции - в основном с граничащими с ним государствами. Первая конвенция была подписана Афганистаном, Ираном, Латвией, Польшей, Румынией, СССР и Эстонией; в 1934 г. к ней присоединилась Финляндия. Вторая - Румынией, СССР, Турцией, Чехословакией и Югославией. Третья - СССР и Литвой. Турция и Румыния подписали две конвенции, которые были по содержанию идентичны. Это было связано с тем, что страны Малой Антанты и Балканской Антанты подписывали обе конвенции, выступая не в своем национальном качестве, а как участники соответствующих блоков.</w:t>
      </w:r>
    </w:p>
    <w:p w14:paraId="79DC500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Агрессией признавались: 1) объявление одним государством войны другому; 2) вторжение вооруженными силами хотя бы и без объявления войны; 3) нападение сухопутными, военно-морскими или военно-воздушными силами на территорию, морские и воздушные суда другого государства; 4) морская блокада берегов или портов; 5) поддержка вооруженным бандам, которые, будучи образованными на территории одного государства, вторгнутся на территорию другого (3871).</w:t>
      </w:r>
    </w:p>
    <w:p w14:paraId="13F8006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2C33543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июля 1933 в Лондоне была подписана конвенция по определению агрессии (2579), инициированная СССР (3186).</w:t>
      </w:r>
    </w:p>
    <w:p w14:paraId="4833A18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7FC93539"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июля 1933 по инициативе СССР 11 государств подписали Конвенцию об определении агрессора (12629).</w:t>
      </w:r>
    </w:p>
    <w:p w14:paraId="650BC2D7" w14:textId="77777777" w:rsidR="004050DA" w:rsidRPr="00C33834" w:rsidRDefault="004050D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3EAB1E"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июля 1933 подписана Лондонская конвенция об определении агрессии (4962).</w:t>
      </w:r>
    </w:p>
    <w:p w14:paraId="72375EC9"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3C2A66"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июля 1933 СССР и его ближайшие соседи подписывают Лондонскую конвенцию, содержащую определение агрессии (4962).</w:t>
      </w:r>
    </w:p>
    <w:p w14:paraId="0C335BC2"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53C6A5" w14:textId="77777777" w:rsidR="00DF67A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DF85F04" w14:textId="77777777" w:rsidR="00DF67AB" w:rsidRPr="00C33834" w:rsidRDefault="00DF67A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C61E357" w14:textId="77777777" w:rsidR="00DF67AB" w:rsidRPr="00C33834" w:rsidRDefault="00DF67AB"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3 июля</w:t>
      </w:r>
      <w:r w:rsidRPr="00C33834">
        <w:rPr>
          <w:rFonts w:ascii="Times New Roman" w:hAnsi="Times New Roman"/>
          <w:color w:val="000000" w:themeColor="text1"/>
          <w:sz w:val="16"/>
          <w:szCs w:val="16"/>
        </w:rPr>
        <w:t xml:space="preserve"> в 1933 году восемь государств подписали в Лондоне Конвенцию об определении агрессии. Восемь: Афганистан, Латвия, Персия (так назывался тогда Иран), Польша, Румыния, Турция, Эстония - и Советский Союз. В свете последующей истории - интересен состав участников конвенции (14941).</w:t>
      </w:r>
    </w:p>
    <w:p w14:paraId="225B2DA4" w14:textId="77777777" w:rsidR="00DF67AB" w:rsidRPr="00C33834" w:rsidRDefault="00DF67AB" w:rsidP="00C33834">
      <w:pPr>
        <w:spacing w:after="0" w:line="240" w:lineRule="auto"/>
        <w:jc w:val="both"/>
        <w:rPr>
          <w:rFonts w:ascii="Times New Roman" w:hAnsi="Times New Roman"/>
          <w:color w:val="000000" w:themeColor="text1"/>
          <w:sz w:val="16"/>
          <w:szCs w:val="16"/>
        </w:rPr>
      </w:pPr>
    </w:p>
    <w:p w14:paraId="1EF2A66D" w14:textId="77777777" w:rsidR="008A018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DE75FC3" w14:textId="77777777" w:rsidR="008A0184" w:rsidRPr="00C33834" w:rsidRDefault="008A018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051B69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июля 1933 началась постройка АНТ-20 и продолжалась по 1 апреля 1934 (438,668).</w:t>
      </w:r>
    </w:p>
    <w:p w14:paraId="29D5ED1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0EF61E7F"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4 июля 1933 г. было начато строительство МГ, 3 апреля 1934 г. его вывезли на аэродром, а 14 апреля специальная комиссия произвела приемку самолета. 17 июня 1934 года летчик-испытатель ЦАГИ М.Громов на этом самолете выполнил первый полет продолжительностью 35 мин., а 19 июня состоялся второй полет над Красной площадью во время встречи челюскинцев...(15480).</w:t>
      </w:r>
    </w:p>
    <w:p w14:paraId="12FCA104" w14:textId="77777777" w:rsidR="0092785F" w:rsidRPr="00C33834" w:rsidRDefault="0092785F" w:rsidP="00C33834">
      <w:pPr>
        <w:spacing w:after="0" w:line="240" w:lineRule="auto"/>
        <w:jc w:val="both"/>
        <w:rPr>
          <w:rFonts w:ascii="Times New Roman" w:hAnsi="Times New Roman"/>
          <w:color w:val="000000" w:themeColor="text1"/>
          <w:sz w:val="16"/>
          <w:szCs w:val="16"/>
        </w:rPr>
      </w:pPr>
    </w:p>
    <w:p w14:paraId="00B9D6B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июля 1933 г. на Заводе опытных конструкций (ЗОК) ЦАГИ началась постройка "Максима Горького". Узлы самолета начали изготовлять, не дожидаясь окончания проектирования. Конструкторы и производственники работали параллельно. Чертежи сразу отправляли в цеха. По-видимому, при этом использовали некоторые уже сделанные части ТБ-4бис - уж очень быстро рос процент готовности гигантской машины. К сентябрю он достиг 25%, а к концу 1933 г. - 60%. Поставка оборудования и комплектующих осуществлялась более чем сотней предприятий со всей страны.</w:t>
      </w:r>
    </w:p>
    <w:p w14:paraId="74700B0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ходе постройки Завод опытных конструкций регулярно отчитывался как перед комиссией, так и перед ГУАП. Ходом создания самолета-гиганта интересовалось и высшее руководство страны, включая И.В. Сталина.</w:t>
      </w:r>
    </w:p>
    <w:p w14:paraId="09638A0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Никакого военного оборудования на МГ ставить не собирались. Но военный вариант продолжал прорабатываться параллельно с агитационным (12024). </w:t>
      </w:r>
    </w:p>
    <w:p w14:paraId="4AB3BB7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6C2B742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июля 1933 г. на Заводе опытных конструкций (ЗОК) ЦАГИ началась постройка "Максима Горького". Узлы самолета начали изготовлять, не дожидаясь окончания проектирования. По-видимому, при этом использовали некоторые уже сделанные части ТБ-4бис - уж очень быстро рос процент готовности гигантской машины. К сентябрю он достиг 25%, а к концу года - 60%.</w:t>
      </w:r>
    </w:p>
    <w:p w14:paraId="5A15128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Никакого военного оборудования на МГ ставить не собирались. Зато для него удалось получить одни из первых двигателей М-34Р с редукторами, которые должны были существенно повысить эффективность мотоустановки тихоходной машины (12036).</w:t>
      </w:r>
    </w:p>
    <w:p w14:paraId="7573BA3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36AD850D" w14:textId="77777777" w:rsidR="00F77E5A" w:rsidRPr="00C33834" w:rsidRDefault="00F77E5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июля 1933 г. началась постройка ма</w:t>
      </w:r>
      <w:r w:rsidRPr="00C33834">
        <w:rPr>
          <w:rFonts w:ascii="Times New Roman" w:hAnsi="Times New Roman"/>
          <w:color w:val="0070C0"/>
          <w:sz w:val="16"/>
          <w:szCs w:val="16"/>
        </w:rPr>
        <w:softHyphen/>
        <w:t>шины. Она проходила в громадном сбо</w:t>
      </w:r>
      <w:r w:rsidRPr="00C33834">
        <w:rPr>
          <w:rFonts w:ascii="Times New Roman" w:hAnsi="Times New Roman"/>
          <w:color w:val="0070C0"/>
          <w:sz w:val="16"/>
          <w:szCs w:val="16"/>
        </w:rPr>
        <w:softHyphen/>
        <w:t>рочном цехе завода опытных конструкций ЦАГИ (ЗОК). Завод, напомним, обязан</w:t>
      </w:r>
      <w:r w:rsidRPr="00C33834">
        <w:rPr>
          <w:rFonts w:ascii="Times New Roman" w:hAnsi="Times New Roman"/>
          <w:color w:val="0070C0"/>
          <w:sz w:val="16"/>
          <w:szCs w:val="16"/>
        </w:rPr>
        <w:softHyphen/>
        <w:t>ный своим рождением воле и дару предви</w:t>
      </w:r>
      <w:r w:rsidRPr="00C33834">
        <w:rPr>
          <w:rFonts w:ascii="Times New Roman" w:hAnsi="Times New Roman"/>
          <w:color w:val="0070C0"/>
          <w:sz w:val="16"/>
          <w:szCs w:val="16"/>
        </w:rPr>
        <w:softHyphen/>
        <w:t>дения А.Н. Туполева, вступил в строй в 1932 г. Первым построенным на нем само</w:t>
      </w:r>
      <w:r w:rsidRPr="00C33834">
        <w:rPr>
          <w:rFonts w:ascii="Times New Roman" w:hAnsi="Times New Roman"/>
          <w:color w:val="0070C0"/>
          <w:sz w:val="16"/>
          <w:szCs w:val="16"/>
        </w:rPr>
        <w:softHyphen/>
        <w:t>летом стал опытный образец бомбарди</w:t>
      </w:r>
      <w:r w:rsidRPr="00C33834">
        <w:rPr>
          <w:rFonts w:ascii="Times New Roman" w:hAnsi="Times New Roman"/>
          <w:color w:val="0070C0"/>
          <w:sz w:val="16"/>
          <w:szCs w:val="16"/>
        </w:rPr>
        <w:softHyphen/>
        <w:t>ровщика ТБ-4 (АНТ-16). По дате создания завод был как-бы молод, но его рабочие и инженеры уже много лет работали под ру</w:t>
      </w:r>
      <w:r w:rsidRPr="00C33834">
        <w:rPr>
          <w:rFonts w:ascii="Times New Roman" w:hAnsi="Times New Roman"/>
          <w:color w:val="0070C0"/>
          <w:sz w:val="16"/>
          <w:szCs w:val="16"/>
        </w:rPr>
        <w:softHyphen/>
        <w:t>ководством Туполева еще в стенах Отдела авиации, гидроавиации и опытного строи</w:t>
      </w:r>
      <w:r w:rsidRPr="00C33834">
        <w:rPr>
          <w:rFonts w:ascii="Times New Roman" w:hAnsi="Times New Roman"/>
          <w:color w:val="0070C0"/>
          <w:sz w:val="16"/>
          <w:szCs w:val="16"/>
        </w:rPr>
        <w:softHyphen/>
        <w:t>тельства (АГОС). Это здание, первый рус</w:t>
      </w:r>
      <w:r w:rsidRPr="00C33834">
        <w:rPr>
          <w:rFonts w:ascii="Times New Roman" w:hAnsi="Times New Roman"/>
          <w:color w:val="0070C0"/>
          <w:sz w:val="16"/>
          <w:szCs w:val="16"/>
        </w:rPr>
        <w:softHyphen/>
        <w:t>ский завод цельнометаллического самоле</w:t>
      </w:r>
      <w:r w:rsidRPr="00C33834">
        <w:rPr>
          <w:rFonts w:ascii="Times New Roman" w:hAnsi="Times New Roman"/>
          <w:color w:val="0070C0"/>
          <w:sz w:val="16"/>
          <w:szCs w:val="16"/>
        </w:rPr>
        <w:softHyphen/>
        <w:t>тостроения, все еще, слава богу, стоит на углу Бауманской улицы и улицы Радио. Все работники ЗОКа были патриотами своего дела, любили его и гордились им. Самое главное — они были высококвали</w:t>
      </w:r>
      <w:r w:rsidRPr="00C33834">
        <w:rPr>
          <w:rFonts w:ascii="Times New Roman" w:hAnsi="Times New Roman"/>
          <w:color w:val="0070C0"/>
          <w:sz w:val="16"/>
          <w:szCs w:val="16"/>
        </w:rPr>
        <w:softHyphen/>
        <w:t>фицированными специалистами.</w:t>
      </w:r>
    </w:p>
    <w:p w14:paraId="39D60CB4" w14:textId="77777777" w:rsidR="00F77E5A" w:rsidRPr="00C33834" w:rsidRDefault="00F77E5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 вот теперь молодом) заводу пред</w:t>
      </w:r>
      <w:r w:rsidRPr="00C33834">
        <w:rPr>
          <w:rFonts w:ascii="Times New Roman" w:hAnsi="Times New Roman"/>
          <w:color w:val="0070C0"/>
          <w:sz w:val="16"/>
          <w:szCs w:val="16"/>
        </w:rPr>
        <w:softHyphen/>
        <w:t>стояло построить самый большой в мире сухопутный самолет, да еще и невиданно</w:t>
      </w:r>
      <w:r w:rsidRPr="00C33834">
        <w:rPr>
          <w:rFonts w:ascii="Times New Roman" w:hAnsi="Times New Roman"/>
          <w:color w:val="0070C0"/>
          <w:sz w:val="16"/>
          <w:szCs w:val="16"/>
        </w:rPr>
        <w:softHyphen/>
        <w:t>го ранее назначения. Для выполнения поставленной задачи требовались новые подходы, о срыве намеченного срока не могло быть и речи.</w:t>
      </w:r>
    </w:p>
    <w:p w14:paraId="63B22C15" w14:textId="77777777" w:rsidR="00F77E5A" w:rsidRPr="00C33834" w:rsidRDefault="00F77E5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Сразу же был установлен жесткий контроль за графиком выполнения рабо</w:t>
      </w:r>
      <w:r w:rsidRPr="00C33834">
        <w:rPr>
          <w:rFonts w:ascii="Times New Roman" w:hAnsi="Times New Roman"/>
          <w:color w:val="0070C0"/>
          <w:sz w:val="16"/>
          <w:szCs w:val="16"/>
        </w:rPr>
        <w:softHyphen/>
        <w:t>ты. Использовали авторитет партийной и комсомольской организаций. В те годы они играли большую — в том числе и ор</w:t>
      </w:r>
      <w:r w:rsidRPr="00C33834">
        <w:rPr>
          <w:rFonts w:ascii="Times New Roman" w:hAnsi="Times New Roman"/>
          <w:color w:val="0070C0"/>
          <w:sz w:val="16"/>
          <w:szCs w:val="16"/>
        </w:rPr>
        <w:softHyphen/>
        <w:t>ганизационную — роль в жизни любого коллектива страны. ЦАГИ не был исклю</w:t>
      </w:r>
      <w:r w:rsidRPr="00C33834">
        <w:rPr>
          <w:rFonts w:ascii="Times New Roman" w:hAnsi="Times New Roman"/>
          <w:color w:val="0070C0"/>
          <w:sz w:val="16"/>
          <w:szCs w:val="16"/>
        </w:rPr>
        <w:softHyphen/>
        <w:t>чением.</w:t>
      </w:r>
    </w:p>
    <w:p w14:paraId="4552018A" w14:textId="77777777" w:rsidR="00F77E5A" w:rsidRPr="00C33834" w:rsidRDefault="00F77E5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 газете «ЦАГИ», выходившей три раза в месяц, регулярно освещался ход этих работ. В красном уголке сбороч</w:t>
      </w:r>
      <w:r w:rsidRPr="00C33834">
        <w:rPr>
          <w:rFonts w:ascii="Times New Roman" w:hAnsi="Times New Roman"/>
          <w:color w:val="0070C0"/>
          <w:sz w:val="16"/>
          <w:szCs w:val="16"/>
          <w:lang w:eastAsia="ru-RU" w:bidi="ru-RU"/>
        </w:rPr>
        <w:softHyphen/>
        <w:t>ного цеха всегда оперативно появлялся стенной комсомольский «Крокодил». Он был нелицеприятен и смело говорил о всех недостатках в работе. Невзирая на лица и должности. Цех был радиофици</w:t>
      </w:r>
      <w:r w:rsidRPr="00C33834">
        <w:rPr>
          <w:rFonts w:ascii="Times New Roman" w:hAnsi="Times New Roman"/>
          <w:color w:val="0070C0"/>
          <w:sz w:val="16"/>
          <w:szCs w:val="16"/>
          <w:lang w:eastAsia="ru-RU" w:bidi="ru-RU"/>
        </w:rPr>
        <w:softHyphen/>
        <w:t>рован, и диктор ежедневно доводил до всеобщего сведения как удачи, так и неудачи трудового дня (21240).</w:t>
      </w:r>
    </w:p>
    <w:p w14:paraId="7611D1CA" w14:textId="77777777" w:rsidR="00F77E5A" w:rsidRPr="00C33834" w:rsidRDefault="00F77E5A" w:rsidP="00C33834">
      <w:pPr>
        <w:spacing w:after="0" w:line="240" w:lineRule="auto"/>
        <w:jc w:val="both"/>
        <w:rPr>
          <w:rFonts w:ascii="Times New Roman" w:hAnsi="Times New Roman"/>
          <w:color w:val="0070C0"/>
          <w:sz w:val="16"/>
          <w:szCs w:val="16"/>
        </w:rPr>
      </w:pPr>
    </w:p>
    <w:p w14:paraId="73BB207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4 июля 1933 л Бухгольц прибыл в Севастополь и сделал на Савойе </w:t>
      </w:r>
      <w:r w:rsidRPr="00C33834">
        <w:rPr>
          <w:rFonts w:ascii="Times New Roman" w:hAnsi="Times New Roman"/>
          <w:color w:val="000000" w:themeColor="text1"/>
          <w:sz w:val="16"/>
          <w:szCs w:val="16"/>
          <w:lang w:val="en-US"/>
        </w:rPr>
        <w:t>S</w:t>
      </w:r>
      <w:r w:rsidRPr="00C33834">
        <w:rPr>
          <w:rFonts w:ascii="Times New Roman" w:hAnsi="Times New Roman"/>
          <w:color w:val="000000" w:themeColor="text1"/>
          <w:sz w:val="16"/>
          <w:szCs w:val="16"/>
        </w:rPr>
        <w:t>.55 зав. № 10526 три полета продолжительностью около часа. На следующий день приехал летнаб Па</w:t>
      </w:r>
      <w:r w:rsidRPr="00C33834">
        <w:rPr>
          <w:rFonts w:ascii="Times New Roman" w:hAnsi="Times New Roman"/>
          <w:color w:val="000000" w:themeColor="text1"/>
          <w:sz w:val="16"/>
          <w:szCs w:val="16"/>
        </w:rPr>
        <w:softHyphen/>
        <w:t>дал ко. Хотя самолет был новым, но к полетам на Севере подготовлен полностью не был. В част</w:t>
      </w:r>
      <w:r w:rsidRPr="00C33834">
        <w:rPr>
          <w:rFonts w:ascii="Times New Roman" w:hAnsi="Times New Roman"/>
          <w:color w:val="000000" w:themeColor="text1"/>
          <w:sz w:val="16"/>
          <w:szCs w:val="16"/>
        </w:rPr>
        <w:softHyphen/>
        <w:t>ности, на нем не были установлены дополни</w:t>
      </w:r>
      <w:r w:rsidRPr="00C33834">
        <w:rPr>
          <w:rFonts w:ascii="Times New Roman" w:hAnsi="Times New Roman"/>
          <w:color w:val="000000" w:themeColor="text1"/>
          <w:sz w:val="16"/>
          <w:szCs w:val="16"/>
        </w:rPr>
        <w:softHyphen/>
        <w:t>тельные баки. Полет задерживало также от</w:t>
      </w:r>
      <w:r w:rsidRPr="00C33834">
        <w:rPr>
          <w:rFonts w:ascii="Times New Roman" w:hAnsi="Times New Roman"/>
          <w:color w:val="000000" w:themeColor="text1"/>
          <w:sz w:val="16"/>
          <w:szCs w:val="16"/>
        </w:rPr>
        <w:softHyphen/>
        <w:t>сутствие запасных частей к мотору. Однако сроки поджимали...По расчетам Бухгольца, полет от Севасто</w:t>
      </w:r>
      <w:r w:rsidRPr="00C33834">
        <w:rPr>
          <w:rFonts w:ascii="Times New Roman" w:hAnsi="Times New Roman"/>
          <w:color w:val="000000" w:themeColor="text1"/>
          <w:sz w:val="16"/>
          <w:szCs w:val="16"/>
        </w:rPr>
        <w:softHyphen/>
        <w:t>поля до Якутска должен был продолжаться 37 летных часов, за которые самолет мог покрыть 5500 км (до Иркутска, соответственно, 27 ча</w:t>
      </w:r>
      <w:r w:rsidRPr="00C33834">
        <w:rPr>
          <w:rFonts w:ascii="Times New Roman" w:hAnsi="Times New Roman"/>
          <w:color w:val="000000" w:themeColor="text1"/>
          <w:sz w:val="16"/>
          <w:szCs w:val="16"/>
        </w:rPr>
        <w:softHyphen/>
        <w:t>сов и 2950 км). Участок от Севастополя до Вольска протяженностью 1450 км предполага</w:t>
      </w:r>
      <w:r w:rsidRPr="00C33834">
        <w:rPr>
          <w:rFonts w:ascii="Times New Roman" w:hAnsi="Times New Roman"/>
          <w:color w:val="000000" w:themeColor="text1"/>
          <w:sz w:val="16"/>
          <w:szCs w:val="16"/>
        </w:rPr>
        <w:softHyphen/>
        <w:t>лось преодолеть за 7 часов (11975).</w:t>
      </w:r>
    </w:p>
    <w:p w14:paraId="6CD9BC2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78147AFC" w14:textId="77777777" w:rsidR="00DC5A55" w:rsidRPr="00C33834" w:rsidRDefault="00DC5A55"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4 июля 1932 года Комиссия Обороны при Совете Народных Комиссаров (СНК) СССР утвердила план работ по опытному самолето- и моторостроению на 1932-1934 годы.</w:t>
      </w:r>
    </w:p>
    <w:p w14:paraId="44BF0CC2" w14:textId="77777777" w:rsidR="00DC5A55" w:rsidRPr="00C33834" w:rsidRDefault="00DC5A55"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По плану бригаде №3 КОСОС ЦАГИ надлежало спроектировать, построить и передать на государственные испытания ряд самолетов, одним из которых был – двухместный истребитель пушечный ДИП 2М-34 – 1 октября 1933 года (19175).</w:t>
      </w:r>
    </w:p>
    <w:p w14:paraId="70594803" w14:textId="77777777" w:rsidR="00DC5A55" w:rsidRPr="00C33834" w:rsidRDefault="00DC5A55" w:rsidP="00C33834">
      <w:pPr>
        <w:pStyle w:val="ae"/>
        <w:shd w:val="clear" w:color="auto" w:fill="FFFFFF"/>
        <w:spacing w:before="0" w:after="0"/>
        <w:jc w:val="both"/>
        <w:textAlignment w:val="baseline"/>
        <w:rPr>
          <w:color w:val="000000" w:themeColor="text1"/>
          <w:sz w:val="16"/>
          <w:szCs w:val="16"/>
        </w:rPr>
      </w:pPr>
    </w:p>
    <w:p w14:paraId="2C2C9D9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C 4 июля по 1 сентября 1933 года проходили повторные полигонные испытания "ВОМИЗА-250" (Воздушная мина заграждения с 250 кг зарядом взрывчатого вещества), т.к. первые испытания в ноябре 1932 были прекращены из-за неудовлетворительного действия механизмов отдачи мины от якоря (3053).</w:t>
      </w:r>
    </w:p>
    <w:p w14:paraId="46A77A0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22026C1D" w14:textId="77777777" w:rsidR="0092785F"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1FA6622" w14:textId="77777777" w:rsidR="0092785F" w:rsidRPr="00C33834" w:rsidRDefault="0092785F"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E2CF8C7" w14:textId="77777777" w:rsidR="0092785F" w:rsidRPr="00C33834" w:rsidRDefault="0092785F" w:rsidP="00C33834">
      <w:pPr>
        <w:pStyle w:val="rtejustify"/>
        <w:spacing w:before="0" w:after="0"/>
        <w:rPr>
          <w:color w:val="000000" w:themeColor="text1"/>
          <w:sz w:val="16"/>
          <w:szCs w:val="16"/>
        </w:rPr>
      </w:pPr>
      <w:r w:rsidRPr="00C33834">
        <w:rPr>
          <w:rStyle w:val="af0"/>
          <w:bCs/>
          <w:i w:val="0"/>
          <w:color w:val="000000" w:themeColor="text1"/>
          <w:sz w:val="16"/>
          <w:szCs w:val="16"/>
        </w:rPr>
        <w:t>4 июля 1933 вышел приказ НКТП № 621.</w:t>
      </w:r>
      <w:r w:rsidRPr="00C33834">
        <w:rPr>
          <w:color w:val="000000" w:themeColor="text1"/>
          <w:sz w:val="16"/>
          <w:szCs w:val="16"/>
        </w:rPr>
        <w:t xml:space="preserve"> О металлургических цехах Ленинградских машиностроительных заводов. (РГАЭ. Ф. 7297. Оп. 38. Д. 38. Л. 53) (15246).</w:t>
      </w:r>
    </w:p>
    <w:p w14:paraId="6E509646" w14:textId="77777777" w:rsidR="0092785F" w:rsidRPr="00C33834" w:rsidRDefault="0092785F" w:rsidP="00C33834">
      <w:pPr>
        <w:pStyle w:val="rtejustify"/>
        <w:spacing w:before="0" w:after="0"/>
        <w:rPr>
          <w:color w:val="000000" w:themeColor="text1"/>
          <w:sz w:val="16"/>
          <w:szCs w:val="16"/>
        </w:rPr>
      </w:pPr>
    </w:p>
    <w:p w14:paraId="24A1ED2C" w14:textId="77777777" w:rsidR="008A018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731480A1" w14:textId="77777777" w:rsidR="008A0184" w:rsidRPr="00C33834" w:rsidRDefault="008A018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497A3E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июля 1933 ЦИК издал постановление «О награждении орденами СССР работников, инженеров и руководителей строительства Беломорско-Балтийского канала имени Сталина», гласившее:</w:t>
      </w:r>
    </w:p>
    <w:p w14:paraId="7878128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ЦИК СССР, рассмотрев представление СНК СССР о награждении орденами СССР наиболее отличившихся работников, инженеров и руководителей Беломорстроя, постановляет:</w:t>
      </w:r>
    </w:p>
    <w:p w14:paraId="316CEDF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наградить орденом «Ленина»:</w:t>
      </w:r>
    </w:p>
    <w:p w14:paraId="3AF1D38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Ягоду Генриха Григорьевича - зам. пред. ОГПУ СССР</w:t>
      </w:r>
    </w:p>
    <w:p w14:paraId="6A4BCD3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Когана Лазаря Иосифовича - нач. Беломорстроя</w:t>
      </w:r>
    </w:p>
    <w:p w14:paraId="790D5AA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Бермана Матвея Давыдовича - нач. ГУИТЛ ОГПУ</w:t>
      </w:r>
    </w:p>
    <w:p w14:paraId="105C7D8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Фирина Семена Григорьевича - нач. ББ ИТЛ и зам. нач. ГУИТЛ ОГПУ</w:t>
      </w:r>
    </w:p>
    <w:p w14:paraId="4749A13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Рапопорта Якова Давыдовича - зам. нач. Беломорстроя и зам. нач. ГУИТЛ ОГПУ</w:t>
      </w:r>
    </w:p>
    <w:p w14:paraId="6EBA21F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Жука Сергея Яковлевича - зам. главного инженера Беломорстроя</w:t>
      </w:r>
    </w:p>
    <w:p w14:paraId="75B5743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Френкеля Нафталия Ароновича - пом. нач. Беломорстроя и нач. работ</w:t>
      </w:r>
    </w:p>
    <w:p w14:paraId="4D38557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Вержбицкого Константина Андреевича - зам. гл. инж. строительства</w:t>
      </w:r>
    </w:p>
    <w:p w14:paraId="0532CCC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наградить орденом «Красной Звезды»:</w:t>
      </w:r>
    </w:p>
    <w:p w14:paraId="08E7E53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Успенского Дмитрия Владимировича - нач. Северного участка строит.</w:t>
      </w:r>
    </w:p>
    <w:p w14:paraId="435205F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Афанасьева Григория Давыдовича - нач. Южного участка строит.</w:t>
      </w:r>
    </w:p>
    <w:p w14:paraId="3CBAAB8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Берензона Лазаря Иосифовича - нач. Финотдела Беломорстроя</w:t>
      </w:r>
    </w:p>
    <w:p w14:paraId="6053C7C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наградить орденом «Трудового Красного Знамени»:</w:t>
      </w:r>
    </w:p>
    <w:p w14:paraId="0924777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Журина Владимира Дмитриевича - нач. проектного отдела строит.</w:t>
      </w:r>
    </w:p>
    <w:p w14:paraId="5708A77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 Вывесить на главной части сооружений Беломорско-Балтийского канала имени т. Сталина доску почета с занесением на нее имен отличившихся строителей канала, с указанием на ней даты начала и окончания строительства.</w:t>
      </w:r>
    </w:p>
    <w:p w14:paraId="020E3F4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III. Поручить ОГПУ СССР издать монографию строительства Беломорско-Балтийского канала имени тов. Сталина».</w:t>
      </w:r>
    </w:p>
    <w:p w14:paraId="779E4A9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Коллективная монография «Беломорско-Балтийский Канал имени Сталина: История строительства 1931-1934 гг.», написанная без малого сорока литераторами под редакцией М. Горького, Л. Авербаха (шурина Ягоды) и С. Фирина, не замедлила появиться в 1934-м под маркой «ОГИЗ - Государственное издательство - «История фабрик и заводов»» (переиздана репринтным способом в 1998 году московской типографией «Политех-4»). Для подготовки монографии ОГПУ организовало поездку на Беломорканал группы писателей и художников, по ее окончании (22-23 августа 1933-го) направивших на имя Ягоды благодарственные письма; Александр Безыменский выразил свою признательность даже в стихах:</w:t>
      </w:r>
    </w:p>
    <w:p w14:paraId="0EA0DE8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Товарищу Ягоде</w:t>
      </w:r>
    </w:p>
    <w:p w14:paraId="4C86814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поэта, с гордостью носящего присвоенное ему враждебной нам прессой всех стран имя литературного чекиста</w:t>
      </w:r>
    </w:p>
    <w:p w14:paraId="5F1AEB5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Донесение</w:t>
      </w:r>
    </w:p>
    <w:p w14:paraId="26C270C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 сообщаю героической Чека,</w:t>
      </w:r>
    </w:p>
    <w:p w14:paraId="0C6E0AF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Что грандиозность Беломорского канала</w:t>
      </w:r>
    </w:p>
    <w:p w14:paraId="74A6884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мысль вождя, что жизнь ему давала,</w:t>
      </w:r>
    </w:p>
    <w:p w14:paraId="33C8007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Войдут невиданной поэмою в века (7560).</w:t>
      </w:r>
    </w:p>
    <w:p w14:paraId="1AC7817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если коллективом вдохновений</w:t>
      </w:r>
    </w:p>
    <w:p w14:paraId="72BEAC1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Поэму Беломорского пути</w:t>
      </w:r>
    </w:p>
    <w:p w14:paraId="17DBC8F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Сумеем мы в литературу донести,</w:t>
      </w:r>
    </w:p>
    <w:p w14:paraId="65BA706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 это будет лучшее из наших донесений (7560).</w:t>
      </w:r>
    </w:p>
    <w:p w14:paraId="3C76AE6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300D8BD9" w14:textId="77777777" w:rsidR="008A018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12BAC2ED" w14:textId="77777777" w:rsidR="008A0184" w:rsidRPr="00C33834" w:rsidRDefault="008A018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1D4AF5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июля 1933 г. немецкая национальная народная партия и Баварская народная партия (соответственно 53 и 19 мандатов на последних выборах) заявили о своем самороспуске; 5 июля самораспустилась католическая партия Центра (73 мандата). 7 июля были объявлены недействительными полномочия депутатов СДПГ всех уровней. 14 июля был издан закон, запрещавший существование в Германии какой-либо партии, кроме НСДАП. И довершил установление национал-социалистического режима закон «об обеспечении единства партии и государства», объявивший НСДАП «носительницей немецкой государственной мысли» (Reichsgesetzblatt, 1933, Bd.I. S. 1016). Наконец, специальным постановлением Гитлера уже в 1937 г., когда последние беспартийные министры Шахт, Нойрат и др. вступили в НСДАП, было решено, что любое назначение на государственную должность, произведенное без согласия НСДАП, считалось недействительным. (Розанов Г. Л. Указ. соч. с. 102) (11784).</w:t>
      </w:r>
    </w:p>
    <w:p w14:paraId="7756E9F3" w14:textId="4AA783E1"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177B3BC3" w14:textId="06BB69D5" w:rsidR="00F77E5A" w:rsidRPr="00C33834" w:rsidRDefault="00F77E5A" w:rsidP="00C33834">
      <w:pPr>
        <w:autoSpaceDE w:val="0"/>
        <w:autoSpaceDN w:val="0"/>
        <w:adjustRightInd w:val="0"/>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За рубежом:</w:t>
      </w:r>
    </w:p>
    <w:p w14:paraId="23529117" w14:textId="77777777" w:rsidR="00F77E5A" w:rsidRPr="00C33834" w:rsidRDefault="00F77E5A" w:rsidP="00C33834">
      <w:pPr>
        <w:autoSpaceDE w:val="0"/>
        <w:autoSpaceDN w:val="0"/>
        <w:adjustRightInd w:val="0"/>
        <w:spacing w:after="0" w:line="240" w:lineRule="auto"/>
        <w:jc w:val="both"/>
        <w:rPr>
          <w:rFonts w:ascii="Times New Roman" w:hAnsi="Times New Roman"/>
          <w:i/>
          <w:iCs/>
          <w:color w:val="000000" w:themeColor="text1"/>
          <w:sz w:val="16"/>
          <w:szCs w:val="16"/>
        </w:rPr>
      </w:pPr>
    </w:p>
    <w:p w14:paraId="3859C84C" w14:textId="77777777" w:rsidR="00F77E5A" w:rsidRPr="00C33834" w:rsidRDefault="00F77E5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июля 1933 года в Гамбурге по инициативе Вальтера Блома, который считал, что коммерческая авиация может составить реальную конкуренцию судоходству, и этот рынок тоже необходимо осваивать, было основано авиационное отделение судостроительной фирмы «Блом унд Фосс». Вскоре оно получило первый заказ в области самолетостроения — изготовление узлов для Ju.532/3m. Получив статус госпредприятия, филиал «Гамбургер Флюгцойгбау» накопил опыт на легких самолетах и по собственной инициативе взялся за тяжелые гидропланы (22817).</w:t>
      </w:r>
    </w:p>
    <w:p w14:paraId="6765E24D" w14:textId="77777777" w:rsidR="00F77E5A" w:rsidRPr="00C33834" w:rsidRDefault="00F77E5A" w:rsidP="00C33834">
      <w:pPr>
        <w:spacing w:after="0" w:line="240" w:lineRule="auto"/>
        <w:jc w:val="both"/>
        <w:rPr>
          <w:rFonts w:ascii="Times New Roman" w:hAnsi="Times New Roman"/>
          <w:color w:val="0070C0"/>
          <w:sz w:val="16"/>
          <w:szCs w:val="16"/>
        </w:rPr>
      </w:pPr>
    </w:p>
    <w:p w14:paraId="5C5A1792" w14:textId="77777777" w:rsidR="008A018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7472578" w14:textId="77777777" w:rsidR="008A0184" w:rsidRPr="00C33834" w:rsidRDefault="008A018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F750F8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июля 1933 ЦАГИ направил в НИИ ВВС замечания по заключению от 23 июня 1933 по И-5 эталону на 1933. Писали, что неправильные замечания (1041).</w:t>
      </w:r>
    </w:p>
    <w:p w14:paraId="58E0E0C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461C9B2C" w14:textId="77777777" w:rsidR="008A0184" w:rsidRPr="00C33834" w:rsidRDefault="008A018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июля 1933 состоялось совещание по заключению НИИ ВВС о предварительном испытании на земле самолета И-5 № 21117 эталона 1933 года, пред"явленного ЦАГИ на государственные испытания</w:t>
      </w:r>
    </w:p>
    <w:p w14:paraId="5279AF24" w14:textId="77777777" w:rsidR="008A0184" w:rsidRPr="00C33834" w:rsidRDefault="008A018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Присутствовали: Барбаумов ЦАГИ, Брагин ГУАП и Никольский — НИИВВС, 29 сект.</w:t>
      </w:r>
    </w:p>
    <w:p w14:paraId="2140CED9" w14:textId="77777777" w:rsidR="008A0184" w:rsidRPr="00C33834" w:rsidRDefault="008A018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Слушали : заключение НИИ ВВС от 23/У1-33 года.</w:t>
      </w:r>
    </w:p>
    <w:p w14:paraId="4E4C1B58" w14:textId="77777777" w:rsidR="008A0184" w:rsidRPr="00C33834" w:rsidRDefault="008A018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Постановили: Заключение НИИ ВВС нуждается в исправлениях, а именно, по, пунктам:</w:t>
      </w:r>
    </w:p>
    <w:p w14:paraId="58C1E7DE" w14:textId="77777777" w:rsidR="008A0184" w:rsidRPr="00C33834" w:rsidRDefault="008A018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 стрелковой установке.</w:t>
      </w:r>
    </w:p>
    <w:p w14:paraId="21E914E1" w14:textId="77777777" w:rsidR="008A0184" w:rsidRPr="00C33834" w:rsidRDefault="008A0184"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2. Непонятно как при указанном дефекте производилась приемка самолета от ОЭЛИДА. В ОЭЛИДе каждым из электромагнитов был проверен работой на земле нажатием кнопок на гашетках /под</w:t>
      </w:r>
      <w:r w:rsidRPr="00C33834">
        <w:rPr>
          <w:rFonts w:ascii="Times New Roman" w:hAnsi="Times New Roman"/>
          <w:color w:val="000000" w:themeColor="text1"/>
          <w:sz w:val="16"/>
          <w:szCs w:val="16"/>
        </w:rPr>
        <w:softHyphen/>
        <w:t>тверждено техником Ивановым участвовавшим в проверке/.</w:t>
      </w:r>
    </w:p>
    <w:p w14:paraId="05D2BE6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6. Этот пункт попал в заключение по явному недоразумению. Электромагниты расчитаны на стрельбу только при работе мотора (10757).</w:t>
      </w:r>
    </w:p>
    <w:p w14:paraId="00E0286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327AB1D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июля 1933 г. были проведены испытания самолета "З-1" (ТБ1; 2И4) измененной конструкции. Испытывался в полете самолет "З-1", составленный из самолетов ТБ1 N 678, И4 N 1533 на левом крыле и И4 N 1583 на правом.</w:t>
      </w:r>
    </w:p>
    <w:p w14:paraId="280638D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11BF4F0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 "З-1" с вышеуказанными переделками вполне годен к эксплуатации в строевых частях ВВС. (3060,1).</w:t>
      </w:r>
    </w:p>
    <w:p w14:paraId="7346D91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0002B231"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июля 1933 г. командир авиабригады НИИ ВВС Залевский подписал следующее заклю</w:t>
      </w:r>
      <w:r w:rsidRPr="00C33834">
        <w:rPr>
          <w:rFonts w:ascii="Times New Roman" w:hAnsi="Times New Roman"/>
          <w:color w:val="000000" w:themeColor="text1"/>
          <w:sz w:val="16"/>
          <w:szCs w:val="16"/>
        </w:rPr>
        <w:softHyphen/>
        <w:t>чение: «Самолет 3-1 с вышеуказанными пе</w:t>
      </w:r>
      <w:r w:rsidRPr="00C33834">
        <w:rPr>
          <w:rFonts w:ascii="Times New Roman" w:hAnsi="Times New Roman"/>
          <w:color w:val="000000" w:themeColor="text1"/>
          <w:sz w:val="16"/>
          <w:szCs w:val="16"/>
        </w:rPr>
        <w:softHyphen/>
        <w:t>ределками вполне годен к эксплуатации в строевых частях ВВС РККА».</w:t>
      </w:r>
    </w:p>
    <w:p w14:paraId="027ABC79"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«самолет-звено» оборудова</w:t>
      </w:r>
      <w:r w:rsidRPr="00C33834">
        <w:rPr>
          <w:rFonts w:ascii="Times New Roman" w:hAnsi="Times New Roman"/>
          <w:color w:val="000000" w:themeColor="text1"/>
          <w:sz w:val="16"/>
          <w:szCs w:val="16"/>
        </w:rPr>
        <w:softHyphen/>
        <w:t>ли ТБ-1 №678, И-4 №1533 и №1583. На этих истребителях нижние малые крылья не сни</w:t>
      </w:r>
      <w:r w:rsidRPr="00C33834">
        <w:rPr>
          <w:rFonts w:ascii="Times New Roman" w:hAnsi="Times New Roman"/>
          <w:color w:val="000000" w:themeColor="text1"/>
          <w:sz w:val="16"/>
          <w:szCs w:val="16"/>
        </w:rPr>
        <w:softHyphen/>
        <w:t>мались, а летчики сами открывали замок рас</w:t>
      </w:r>
      <w:r w:rsidRPr="00C33834">
        <w:rPr>
          <w:rFonts w:ascii="Times New Roman" w:hAnsi="Times New Roman"/>
          <w:color w:val="000000" w:themeColor="text1"/>
          <w:sz w:val="16"/>
          <w:szCs w:val="16"/>
        </w:rPr>
        <w:softHyphen/>
        <w:t>цепления при выполнении воздушного старта. Дополнительная амортизационная стойка на основном шасси ТБ-1 №678 была выполнена по типу костыля ТБ-3. Войсковые испытания модернизированного «звена» велись на Криче- вицком аэродроме в июне—июле 1933 г. Эки</w:t>
      </w:r>
      <w:r w:rsidRPr="00C33834">
        <w:rPr>
          <w:rFonts w:ascii="Times New Roman" w:hAnsi="Times New Roman"/>
          <w:color w:val="000000" w:themeColor="text1"/>
          <w:sz w:val="16"/>
          <w:szCs w:val="16"/>
        </w:rPr>
        <w:softHyphen/>
        <w:t>паж ТБ-1 был следующим: командир корабля Стефановский, второй пилот Вахмистров, ин</w:t>
      </w:r>
      <w:r w:rsidRPr="00C33834">
        <w:rPr>
          <w:rFonts w:ascii="Times New Roman" w:hAnsi="Times New Roman"/>
          <w:color w:val="000000" w:themeColor="text1"/>
          <w:sz w:val="16"/>
          <w:szCs w:val="16"/>
        </w:rPr>
        <w:softHyphen/>
        <w:t>женер монтажист Морозов, борттехник Ни</w:t>
      </w:r>
      <w:r w:rsidRPr="00C33834">
        <w:rPr>
          <w:rFonts w:ascii="Times New Roman" w:hAnsi="Times New Roman"/>
          <w:color w:val="000000" w:themeColor="text1"/>
          <w:sz w:val="16"/>
          <w:szCs w:val="16"/>
        </w:rPr>
        <w:softHyphen/>
        <w:t>китин. Левым истребителем управлял летчик Коккинаки, правым — Степанчонок. Испы</w:t>
      </w:r>
      <w:r w:rsidRPr="00C33834">
        <w:rPr>
          <w:rFonts w:ascii="Times New Roman" w:hAnsi="Times New Roman"/>
          <w:color w:val="000000" w:themeColor="text1"/>
          <w:sz w:val="16"/>
          <w:szCs w:val="16"/>
        </w:rPr>
        <w:softHyphen/>
        <w:t>тания и на этот раз оценивались положитель</w:t>
      </w:r>
      <w:r w:rsidRPr="00C33834">
        <w:rPr>
          <w:rFonts w:ascii="Times New Roman" w:hAnsi="Times New Roman"/>
          <w:color w:val="000000" w:themeColor="text1"/>
          <w:sz w:val="16"/>
          <w:szCs w:val="16"/>
        </w:rPr>
        <w:softHyphen/>
        <w:t>но. Подтверждалось, что после произведенных усовершенствований техника отрыва истреби</w:t>
      </w:r>
      <w:r w:rsidRPr="00C33834">
        <w:rPr>
          <w:rFonts w:ascii="Times New Roman" w:hAnsi="Times New Roman"/>
          <w:color w:val="000000" w:themeColor="text1"/>
          <w:sz w:val="16"/>
          <w:szCs w:val="16"/>
        </w:rPr>
        <w:softHyphen/>
        <w:t>телей упростилась. Взлет с аэродрома проис</w:t>
      </w:r>
      <w:r w:rsidRPr="00C33834">
        <w:rPr>
          <w:rFonts w:ascii="Times New Roman" w:hAnsi="Times New Roman"/>
          <w:color w:val="000000" w:themeColor="text1"/>
          <w:sz w:val="16"/>
          <w:szCs w:val="16"/>
        </w:rPr>
        <w:softHyphen/>
        <w:t>ходил на скорости 130 км/ч при полетном ве</w:t>
      </w:r>
      <w:r w:rsidRPr="00C33834">
        <w:rPr>
          <w:rFonts w:ascii="Times New Roman" w:hAnsi="Times New Roman"/>
          <w:color w:val="000000" w:themeColor="text1"/>
          <w:sz w:val="16"/>
          <w:szCs w:val="16"/>
        </w:rPr>
        <w:softHyphen/>
        <w:t>се 9600 кг, время взлета составляло 12 секунд. В полете составной самолет был устойчив, допу</w:t>
      </w:r>
      <w:r w:rsidRPr="00C33834">
        <w:rPr>
          <w:rFonts w:ascii="Times New Roman" w:hAnsi="Times New Roman"/>
          <w:color w:val="000000" w:themeColor="text1"/>
          <w:sz w:val="16"/>
          <w:szCs w:val="16"/>
        </w:rPr>
        <w:softHyphen/>
        <w:t>скал выполнение виражей до 60°. За 5 полетов, произведенных в Кричевицах, были обучены два новых пилота на И-4 и 3 командира ТБ-1.</w:t>
      </w:r>
    </w:p>
    <w:p w14:paraId="399D2A0D"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завершения войсковых испытаний СЗ-1, начальник ВВС Алкснис направил до</w:t>
      </w:r>
      <w:r w:rsidRPr="00C33834">
        <w:rPr>
          <w:rFonts w:ascii="Times New Roman" w:hAnsi="Times New Roman"/>
          <w:color w:val="000000" w:themeColor="text1"/>
          <w:sz w:val="16"/>
          <w:szCs w:val="16"/>
        </w:rPr>
        <w:softHyphen/>
        <w:t>кладную записку на имя Заместителя Пред</w:t>
      </w:r>
      <w:r w:rsidRPr="00C33834">
        <w:rPr>
          <w:rFonts w:ascii="Times New Roman" w:hAnsi="Times New Roman"/>
          <w:color w:val="000000" w:themeColor="text1"/>
          <w:sz w:val="16"/>
          <w:szCs w:val="16"/>
        </w:rPr>
        <w:softHyphen/>
        <w:t>седателя РВС СССР Тухачевского. В ней го</w:t>
      </w:r>
      <w:r w:rsidRPr="00C33834">
        <w:rPr>
          <w:rFonts w:ascii="Times New Roman" w:hAnsi="Times New Roman"/>
          <w:color w:val="000000" w:themeColor="text1"/>
          <w:sz w:val="16"/>
          <w:szCs w:val="16"/>
        </w:rPr>
        <w:softHyphen/>
        <w:t>ворилось, что теперь полезная нагрузка ТБ- 1 может быть увеличена с 3500 кг до 4650 кг при условии сопровождения истребителями до цели и обратно; и до 5230 кг — при сопро</w:t>
      </w:r>
      <w:r w:rsidRPr="00C33834">
        <w:rPr>
          <w:rFonts w:ascii="Times New Roman" w:hAnsi="Times New Roman"/>
          <w:color w:val="000000" w:themeColor="text1"/>
          <w:sz w:val="16"/>
          <w:szCs w:val="16"/>
        </w:rPr>
        <w:softHyphen/>
        <w:t>вождении истребителями на расстоянии 50 км. В первом варианте дальность ТБ-1 с од</w:t>
      </w:r>
      <w:r w:rsidRPr="00C33834">
        <w:rPr>
          <w:rFonts w:ascii="Times New Roman" w:hAnsi="Times New Roman"/>
          <w:color w:val="000000" w:themeColor="text1"/>
          <w:sz w:val="16"/>
          <w:szCs w:val="16"/>
        </w:rPr>
        <w:softHyphen/>
        <w:t>ной тонной бомб увеличивается с 820 км до 1580 км, а во втором (сопровождение до 50 км) дальность увеличивается до 2000 км.</w:t>
      </w:r>
    </w:p>
    <w:p w14:paraId="5D630FF5"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Предлагалось наградить В.С. Вахмистро- ва Орденом Ленина, А.И. Залевского, А.Ф. Анисимова, В.П. Чкалова — Орденом Кра</w:t>
      </w:r>
      <w:r w:rsidRPr="00C33834">
        <w:rPr>
          <w:rFonts w:ascii="Times New Roman" w:hAnsi="Times New Roman"/>
          <w:color w:val="000000" w:themeColor="text1"/>
          <w:sz w:val="16"/>
          <w:szCs w:val="16"/>
        </w:rPr>
        <w:softHyphen/>
        <w:t>сной Звезды. Помимо этого Вахмистрова и Залевского предлагалось премировать ав</w:t>
      </w:r>
      <w:r w:rsidRPr="00C33834">
        <w:rPr>
          <w:rFonts w:ascii="Times New Roman" w:hAnsi="Times New Roman"/>
          <w:color w:val="000000" w:themeColor="text1"/>
          <w:sz w:val="16"/>
          <w:szCs w:val="16"/>
        </w:rPr>
        <w:softHyphen/>
        <w:t>томобилем «Форд», а Анисимова, Чкалова, механика Панюшкина и инженера Морозо</w:t>
      </w:r>
      <w:r w:rsidRPr="00C33834">
        <w:rPr>
          <w:rFonts w:ascii="Times New Roman" w:hAnsi="Times New Roman"/>
          <w:color w:val="000000" w:themeColor="text1"/>
          <w:sz w:val="16"/>
          <w:szCs w:val="16"/>
        </w:rPr>
        <w:softHyphen/>
        <w:t>ва — мотоциклами. Сам Владимир Сергеевич позднее записал: «За эти полеты три летчика и я получили по «Красной Звезде» (т.е. были награждены орденами Красная Звезда)» (12295).</w:t>
      </w:r>
    </w:p>
    <w:p w14:paraId="3C681C92" w14:textId="77777777" w:rsidR="0058354C" w:rsidRPr="00C33834" w:rsidRDefault="0058354C" w:rsidP="00C33834">
      <w:pPr>
        <w:spacing w:after="0" w:line="240" w:lineRule="auto"/>
        <w:jc w:val="both"/>
        <w:rPr>
          <w:rFonts w:ascii="Times New Roman" w:hAnsi="Times New Roman"/>
          <w:color w:val="000000" w:themeColor="text1"/>
          <w:sz w:val="16"/>
          <w:szCs w:val="16"/>
        </w:rPr>
      </w:pPr>
    </w:p>
    <w:p w14:paraId="011CDC78" w14:textId="77777777" w:rsidR="0092785F" w:rsidRPr="00C33834" w:rsidRDefault="0092785F" w:rsidP="00C33834">
      <w:pPr>
        <w:pStyle w:val="rtejustify"/>
        <w:spacing w:before="0" w:after="0"/>
        <w:rPr>
          <w:color w:val="000000" w:themeColor="text1"/>
          <w:sz w:val="16"/>
          <w:szCs w:val="16"/>
        </w:rPr>
      </w:pPr>
      <w:r w:rsidRPr="00C33834">
        <w:rPr>
          <w:rStyle w:val="af0"/>
          <w:bCs/>
          <w:i w:val="0"/>
          <w:color w:val="000000" w:themeColor="text1"/>
          <w:sz w:val="16"/>
          <w:szCs w:val="16"/>
        </w:rPr>
        <w:t>5 июля</w:t>
      </w:r>
      <w:r w:rsidRPr="00C33834">
        <w:rPr>
          <w:color w:val="000000" w:themeColor="text1"/>
          <w:sz w:val="16"/>
          <w:szCs w:val="16"/>
        </w:rPr>
        <w:t xml:space="preserve"> 1933. Постановление СТО СССР № 53с/о «Капитальные работы Осоавиахима». (ГА РФ. Ф. Р</w:t>
      </w:r>
      <w:r w:rsidRPr="00C33834">
        <w:rPr>
          <w:color w:val="000000" w:themeColor="text1"/>
          <w:sz w:val="16"/>
          <w:szCs w:val="16"/>
        </w:rPr>
        <w:noBreakHyphen/>
        <w:t>8418. Оп. 28. Д. 2. Л. 4</w:t>
      </w:r>
      <w:r w:rsidRPr="00C33834">
        <w:rPr>
          <w:color w:val="000000" w:themeColor="text1"/>
          <w:sz w:val="16"/>
          <w:szCs w:val="16"/>
        </w:rPr>
        <w:noBreakHyphen/>
        <w:t>7) (15460).</w:t>
      </w:r>
    </w:p>
    <w:p w14:paraId="4B428963" w14:textId="77777777" w:rsidR="0092785F" w:rsidRPr="00C33834" w:rsidRDefault="0092785F" w:rsidP="00C33834">
      <w:pPr>
        <w:pStyle w:val="rtejustify"/>
        <w:spacing w:before="0" w:after="0"/>
        <w:rPr>
          <w:color w:val="000000" w:themeColor="text1"/>
          <w:sz w:val="16"/>
          <w:szCs w:val="16"/>
        </w:rPr>
      </w:pPr>
    </w:p>
    <w:p w14:paraId="529D71BB" w14:textId="77777777" w:rsidR="0092785F"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D210545" w14:textId="77777777" w:rsidR="0092785F" w:rsidRPr="00C33834" w:rsidRDefault="0092785F"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6D42F4F" w14:textId="77777777" w:rsidR="0092785F" w:rsidRPr="00C33834" w:rsidRDefault="0092785F" w:rsidP="00C33834">
      <w:pPr>
        <w:pStyle w:val="rtejustify"/>
        <w:spacing w:before="0" w:after="0"/>
        <w:rPr>
          <w:color w:val="000000" w:themeColor="text1"/>
          <w:sz w:val="16"/>
          <w:szCs w:val="16"/>
        </w:rPr>
      </w:pPr>
      <w:r w:rsidRPr="00C33834">
        <w:rPr>
          <w:rStyle w:val="af0"/>
          <w:bCs/>
          <w:i w:val="0"/>
          <w:color w:val="000000" w:themeColor="text1"/>
          <w:sz w:val="16"/>
          <w:szCs w:val="16"/>
        </w:rPr>
        <w:t>5 июля</w:t>
      </w:r>
      <w:r w:rsidRPr="00C33834">
        <w:rPr>
          <w:color w:val="000000" w:themeColor="text1"/>
          <w:sz w:val="16"/>
          <w:szCs w:val="16"/>
        </w:rPr>
        <w:t xml:space="preserve"> 1933. Постановление СТО СССР № 54сс/о «О разработке плана топливоснабжения страны на военное время». (ГА РФ. Ф. Р</w:t>
      </w:r>
      <w:r w:rsidRPr="00C33834">
        <w:rPr>
          <w:color w:val="000000" w:themeColor="text1"/>
          <w:sz w:val="16"/>
          <w:szCs w:val="16"/>
        </w:rPr>
        <w:noBreakHyphen/>
        <w:t>8418. Оп. 28. Д. 2. Л. 8) (15460).</w:t>
      </w:r>
    </w:p>
    <w:p w14:paraId="4527E4A8" w14:textId="77777777" w:rsidR="0092785F" w:rsidRPr="00C33834" w:rsidRDefault="0092785F" w:rsidP="00C33834">
      <w:pPr>
        <w:pStyle w:val="rtejustify"/>
        <w:spacing w:before="0" w:after="0"/>
        <w:rPr>
          <w:color w:val="000000" w:themeColor="text1"/>
          <w:sz w:val="16"/>
          <w:szCs w:val="16"/>
        </w:rPr>
      </w:pPr>
    </w:p>
    <w:p w14:paraId="26389CD5" w14:textId="77777777" w:rsidR="00D64ADE" w:rsidRPr="00C33834" w:rsidRDefault="00D64ADE"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5 июля 1933 на заседании КО в присутствии Молотова, Сталина и Куйбышева подкомиссии Орджоникидзе было поручено в пятидневный срок представить КО проект постановления по строительству боевых судов на 1933-1937 гг., а "тов. Ворошилову на основе обмена мнений установить связь с Францией" для получения технической помощи (Протокол № 2 заседания комиссии тов. Молотова о программе военно-морского судостроения от 0507.1933 // Там же. Л. 77. Ранее советские ВМС получали такую помощь преимущественно со стороны Италии. Весной 1934 г. был заключен новый договор с фирмой "Ансальдо" об оказании ею "техпомощи по судостроению" (см., в частности: Записка Наркома тяжелой промышленности Орджоникидзе в Комиссию Обороны, 14-05.1934 // Москва-Рим: Политика и дипломатия Кремля, 1920-1939: Сборник документов / Отв. ред. Г. Н. Севастьянов. М., 2002. С. 342-343)) (22725).</w:t>
      </w:r>
    </w:p>
    <w:p w14:paraId="64E56527" w14:textId="77777777" w:rsidR="00D64ADE" w:rsidRPr="00C33834" w:rsidRDefault="00D64ADE" w:rsidP="00C33834">
      <w:pPr>
        <w:shd w:val="clear" w:color="auto" w:fill="FFFFFF"/>
        <w:spacing w:after="0" w:line="240" w:lineRule="auto"/>
        <w:jc w:val="both"/>
        <w:rPr>
          <w:rFonts w:ascii="Times New Roman" w:eastAsia="Times New Roman" w:hAnsi="Times New Roman"/>
          <w:color w:val="0070C0"/>
          <w:sz w:val="16"/>
          <w:szCs w:val="16"/>
          <w:lang w:eastAsia="ru-RU"/>
        </w:rPr>
      </w:pPr>
    </w:p>
    <w:p w14:paraId="267BDDB8" w14:textId="77777777" w:rsidR="0092785F"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78F5A9C4" w14:textId="77777777" w:rsidR="0092785F" w:rsidRPr="00C33834" w:rsidRDefault="0092785F"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37EC0D0"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5 июля</w:t>
      </w:r>
      <w:r w:rsidRPr="00C33834">
        <w:rPr>
          <w:rFonts w:ascii="Times New Roman" w:hAnsi="Times New Roman"/>
          <w:color w:val="000000" w:themeColor="text1"/>
          <w:sz w:val="16"/>
          <w:szCs w:val="16"/>
        </w:rPr>
        <w:t xml:space="preserve"> в 1933 году Совнарком принял постановление об обязательной регистрации в органах внутренних дел всех радиоприемников, находящихся в пользовании организаций и частных лиц (14943).</w:t>
      </w:r>
    </w:p>
    <w:p w14:paraId="30B7A1BD" w14:textId="77777777" w:rsidR="0092785F" w:rsidRPr="00C33834" w:rsidRDefault="0092785F" w:rsidP="00C33834">
      <w:pPr>
        <w:spacing w:after="0" w:line="240" w:lineRule="auto"/>
        <w:jc w:val="both"/>
        <w:rPr>
          <w:rFonts w:ascii="Times New Roman" w:hAnsi="Times New Roman"/>
          <w:color w:val="000000" w:themeColor="text1"/>
          <w:sz w:val="16"/>
          <w:szCs w:val="16"/>
        </w:rPr>
      </w:pPr>
    </w:p>
    <w:p w14:paraId="0FC48FA7" w14:textId="77777777" w:rsidR="00DC5A55" w:rsidRPr="00C33834" w:rsidRDefault="00DC5A5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2C7B1CB" w14:textId="77777777" w:rsidR="00DC5A55" w:rsidRPr="00C33834" w:rsidRDefault="00DC5A5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1FC6E18" w14:textId="77777777" w:rsidR="00DC5A55" w:rsidRPr="00C33834" w:rsidRDefault="00DC5A55"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6 - 17 июля 1933 на водной станции напротив Центрального парка культуры и отдыха им. Горького проходили государственные испытания АИР-6А по программе СНИИ ГВФ. Кроме Ю.И. Пионтковского, на машине летал Б.Л. Местон. В ходе испытаний совершили перелет Москва - Коломна - Москва.</w:t>
      </w:r>
    </w:p>
    <w:p w14:paraId="0C187527" w14:textId="77777777" w:rsidR="00DC5A55" w:rsidRPr="00C33834" w:rsidRDefault="00DC5A55"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 xml:space="preserve">Несмотря на увеличение веса и дополнительное аэродинамическое сопротивление поплавков, данные самолета не особенно снизились. Машина хорошо слушалась рулей. Нагрузки на ручке и педалях определялась как «незначительные». Благодаря хорошей устойчивости пилот мог позволить себе бросить ручку управления не только на прямой, но и при выполнении виражей. Более того, самолет сам исправлял небольшие ошибки летчика. АИР-6А маневрировал на малой высоте без риска потери скорости. Тенденция к сваливанию на крыло отсутствовала. В отчете указывалось, что АИР-6А «может найти применение во многих отраслях народного </w:t>
      </w:r>
      <w:r w:rsidRPr="00C33834">
        <w:rPr>
          <w:rFonts w:ascii="Times New Roman" w:hAnsi="Times New Roman" w:cs="Times New Roman"/>
          <w:color w:val="000000" w:themeColor="text1"/>
        </w:rPr>
        <w:lastRenderedPageBreak/>
        <w:t>хозяйства». Машину рекомендовали к серийному производству (19099).</w:t>
      </w:r>
    </w:p>
    <w:p w14:paraId="215308E6" w14:textId="77777777" w:rsidR="00DC5A55" w:rsidRPr="00C33834" w:rsidRDefault="00DC5A55" w:rsidP="00C33834">
      <w:pPr>
        <w:pStyle w:val="a8"/>
        <w:jc w:val="both"/>
        <w:rPr>
          <w:rFonts w:ascii="Times New Roman" w:hAnsi="Times New Roman" w:cs="Times New Roman"/>
          <w:color w:val="000000" w:themeColor="text1"/>
        </w:rPr>
      </w:pPr>
    </w:p>
    <w:p w14:paraId="09892E15" w14:textId="77777777" w:rsidR="008A018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6EB99CE4" w14:textId="77777777" w:rsidR="008A0184" w:rsidRPr="00C33834" w:rsidRDefault="008A018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1C4B8A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июля 1933 начался автопробег Москва - Каракумы (9500 км), в котором участвовало 18 советских автомобилей (1231,26).</w:t>
      </w:r>
    </w:p>
    <w:p w14:paraId="52EDF41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0DBA842E" w14:textId="77777777" w:rsidR="00785FB6" w:rsidRPr="00C33834" w:rsidRDefault="00785FB6"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6 июля 1933 г. стартовал автопробег Москва — Кара-Кум — Москва, протяженностью в 9500 километров в составе 23 машин советского производства и закончился 30 сентября 1933 г. (17381).</w:t>
      </w:r>
    </w:p>
    <w:p w14:paraId="476DA06B" w14:textId="77777777" w:rsidR="00785FB6" w:rsidRPr="00C33834" w:rsidRDefault="00785FB6" w:rsidP="00C33834">
      <w:pPr>
        <w:autoSpaceDE w:val="0"/>
        <w:autoSpaceDN w:val="0"/>
        <w:adjustRightInd w:val="0"/>
        <w:spacing w:after="0" w:line="240" w:lineRule="auto"/>
        <w:jc w:val="both"/>
        <w:rPr>
          <w:rFonts w:ascii="Times New Roman" w:hAnsi="Times New Roman"/>
          <w:color w:val="000000" w:themeColor="text1"/>
          <w:sz w:val="16"/>
          <w:szCs w:val="16"/>
        </w:rPr>
      </w:pPr>
    </w:p>
    <w:p w14:paraId="223ED886" w14:textId="77777777" w:rsidR="0044280B" w:rsidRPr="00C33834" w:rsidRDefault="0044280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июля 1933 в Москве стартовал автопробег Москва - Каракумы. В путь отправилось 23 автомобиля: 6 легковых ГАЗ-А, 5 гру</w:t>
      </w:r>
      <w:r w:rsidRPr="00C33834">
        <w:rPr>
          <w:rFonts w:ascii="Times New Roman" w:hAnsi="Times New Roman"/>
          <w:color w:val="0070C0"/>
          <w:sz w:val="16"/>
          <w:szCs w:val="16"/>
        </w:rPr>
        <w:softHyphen/>
        <w:t>зовых ГАЗ-АА, 5 трехосных Фордов, 6 грузовиков АМО. Из пяти две трехоски имели доработку, прове</w:t>
      </w:r>
      <w:r w:rsidRPr="00C33834">
        <w:rPr>
          <w:rFonts w:ascii="Times New Roman" w:hAnsi="Times New Roman"/>
          <w:color w:val="0070C0"/>
          <w:sz w:val="16"/>
          <w:szCs w:val="16"/>
        </w:rPr>
        <w:softHyphen/>
        <w:t>денную на ГАЗ, а под номером 23 шел эксперимен</w:t>
      </w:r>
      <w:r w:rsidRPr="00C33834">
        <w:rPr>
          <w:rFonts w:ascii="Times New Roman" w:hAnsi="Times New Roman"/>
          <w:color w:val="0070C0"/>
          <w:sz w:val="16"/>
          <w:szCs w:val="16"/>
        </w:rPr>
        <w:softHyphen/>
        <w:t>тальный трехосный автомобиль ГАЗ-НАТИ-ЗО. Два АМО были после капитального ремонта. Колонна направилась по маршруту Москва - Горький - Ка</w:t>
      </w:r>
      <w:r w:rsidRPr="00C33834">
        <w:rPr>
          <w:rFonts w:ascii="Times New Roman" w:hAnsi="Times New Roman"/>
          <w:color w:val="0070C0"/>
          <w:sz w:val="16"/>
          <w:szCs w:val="16"/>
        </w:rPr>
        <w:softHyphen/>
        <w:t>зань - Самара - Оренбург - Бухара - Чарджуй - Ургенч - Красноводск - Баку - Тифлис - Ростов-на- Дону - Харьков - Воронеж - Тула - Москва. Весь путь составил 9375 км.</w:t>
      </w:r>
    </w:p>
    <w:p w14:paraId="600544F3" w14:textId="77777777" w:rsidR="0044280B" w:rsidRPr="00C33834" w:rsidRDefault="0044280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Автопробег продолжался 86 суток - 2062 часа, из которых время в движении составляло 432 часа. Кро</w:t>
      </w:r>
      <w:r w:rsidRPr="00C33834">
        <w:rPr>
          <w:rFonts w:ascii="Times New Roman" w:hAnsi="Times New Roman"/>
          <w:color w:val="0070C0"/>
          <w:sz w:val="16"/>
          <w:szCs w:val="16"/>
        </w:rPr>
        <w:softHyphen/>
        <w:t>ме проверки выносливости отечественных автомо</w:t>
      </w:r>
      <w:r w:rsidRPr="00C33834">
        <w:rPr>
          <w:rFonts w:ascii="Times New Roman" w:hAnsi="Times New Roman"/>
          <w:color w:val="0070C0"/>
          <w:sz w:val="16"/>
          <w:szCs w:val="16"/>
        </w:rPr>
        <w:softHyphen/>
        <w:t>билей, испытывались шины из синтетического каучука, а также из натурального, но добытого из рас</w:t>
      </w:r>
      <w:r w:rsidRPr="00C33834">
        <w:rPr>
          <w:rFonts w:ascii="Times New Roman" w:hAnsi="Times New Roman"/>
          <w:color w:val="0070C0"/>
          <w:sz w:val="16"/>
          <w:szCs w:val="16"/>
        </w:rPr>
        <w:softHyphen/>
        <w:t>тения тау-сагыз, произрастающего на территории страны.</w:t>
      </w:r>
    </w:p>
    <w:p w14:paraId="453307ED" w14:textId="77777777" w:rsidR="0044280B" w:rsidRPr="00C33834" w:rsidRDefault="0044280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пробеге участвовало четыре автомобиля ГАЗ-А с шинами типа «сверхбаллон» размером 800x250 и 800x200, изготовленными из синтетического каучука СК-1 и СК-2. Автомобили, оборудованные такими</w:t>
      </w:r>
    </w:p>
    <w:p w14:paraId="51C3ED48" w14:textId="77777777" w:rsidR="0044280B" w:rsidRPr="00C33834" w:rsidRDefault="0044280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шинами, уверенно двигались по пескам, что нельзя было сказать о грузовиках на стандартных шинах (22518).</w:t>
      </w:r>
    </w:p>
    <w:p w14:paraId="6472C95B" w14:textId="77777777" w:rsidR="0044280B" w:rsidRPr="00C33834" w:rsidRDefault="0044280B" w:rsidP="00C33834">
      <w:pPr>
        <w:spacing w:after="0" w:line="240" w:lineRule="auto"/>
        <w:jc w:val="both"/>
        <w:rPr>
          <w:rFonts w:ascii="Times New Roman" w:hAnsi="Times New Roman"/>
          <w:color w:val="0070C0"/>
          <w:sz w:val="16"/>
          <w:szCs w:val="16"/>
        </w:rPr>
      </w:pPr>
    </w:p>
    <w:p w14:paraId="53AFFC31" w14:textId="77777777" w:rsidR="0092785F" w:rsidRPr="00C33834" w:rsidRDefault="0092785F" w:rsidP="00C33834">
      <w:pPr>
        <w:spacing w:after="0" w:line="240" w:lineRule="auto"/>
        <w:jc w:val="both"/>
        <w:rPr>
          <w:rFonts w:ascii="Times New Roman" w:hAnsi="Times New Roman"/>
          <w:bCs/>
          <w:color w:val="000000" w:themeColor="text1"/>
          <w:sz w:val="16"/>
          <w:szCs w:val="16"/>
        </w:rPr>
      </w:pPr>
      <w:r w:rsidRPr="00C33834">
        <w:rPr>
          <w:rFonts w:ascii="Times New Roman" w:hAnsi="Times New Roman"/>
          <w:bCs/>
          <w:color w:val="000000" w:themeColor="text1"/>
          <w:sz w:val="16"/>
          <w:szCs w:val="16"/>
        </w:rPr>
        <w:t>6 июля</w:t>
      </w:r>
      <w:r w:rsidRPr="00C33834">
        <w:rPr>
          <w:rFonts w:ascii="Times New Roman" w:hAnsi="Times New Roman"/>
          <w:color w:val="000000" w:themeColor="text1"/>
          <w:sz w:val="16"/>
          <w:szCs w:val="16"/>
        </w:rPr>
        <w:t xml:space="preserve"> в 1933 году начался Всесоюзный испытательный автомобильный пробег Москва – Кара-Кумы – Москва. Чтобы проэкзаменовать советские автомобили, был разработан план грандиозного автопробега по маршруту Москва-Кара-кумы—Москва. Подготовка к нему началась задолго до старта, одновременно предстоящее мероприятие стало широко обсуждаться в советской прессе. В итоге из чисто испытательной процедуры автопробег превратился в событие громадной общественно-пол ити ческой знач и мости. Правда, пресса в основном делала акцент на преодолении самого сложного участка пути пустыни Каракумы. Это обстоятельство многих вводило в заблуждение: создавалось впечатление, что основная цель автопробега — пересечь пески. Но для этого не было необходимости затевать длительный маршрут. Можно было просто доставить автомобили в пустыню, как это было сделано годом ранее, при испытаниях импортных и отечественных полугусеничных автомобилей. Главным в автопробеге был именно протяженный маршрут, длиной более 9 тыс. км, проходящий по самым различным дорогам и климатическим зонам: Москва-Горький-Чебоксары-Казань-Самара-Оренбург-Актюбинск-Кзыл-Орда-Чимкент-Ташкент. Затем от Чарджоу через пустыню Каракумы на Красноводск. После переправы через Каспийское море: Баку-Тифлис-Армавир-Ростов-на-Дону-Харьков (в то время столица Украины)-Воронеж-Тула-Москва. В решениях правительства страны задача автопробега звучала кратко, но емко: «Автопробег «Москва-Каракумы-Москва» организуется с целью испытания в различных климатических и дорожных условиях работы советского автомобиля, электрооборудования, авторезины и воздухоочистителей различных систем».</w:t>
      </w:r>
    </w:p>
    <w:p w14:paraId="216ABD0B"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Исходя из этой главной задачи, основную группу участников автопробега составляли инженеры и техники, а все машины оборудовались большим количеством всевозможных измерительных приборов. Предполагалось вести наблюдение за всеми агрегатами и деталями автомобилей, тщательно фиксировать наблюдения, чтобы позже составить исчерпывающую характеристику всех механизмов каждой машины. В пробеге приняли участие 96 человек на 23 автомобилях, в числе которых было шесть легковых «ГАЗ-А», шесть грузовых полуторатонных «ГАЗ-АА», два опытных образца трехосных «ГАЗ-АА А», четыре 2,5-тонных грузовика «АМО-3», три импортные трехосные машины «Ford-Timken», одна экспериментальная трехоска «НАТИ-ГАЗ» и один капитально отремонтированный заводом ВАРЗ грузовик «Ford АА».Что же касается песков, то здесь участники автопробега не предполагали ставить никаких рекордов, а уж тем более соревноваться на обычных, практически серийных автомобилях со специальными пустынными вездеходами, побывавшими в Каракумах чуть ранее. Трасса автопробега 1933 года через пустыню пролегала по направлениям, не вызывающим сомнения в проходимости. Более того, значительная часть этого маршрута уже была освоена для автодвижения. Дополнительной задачей автопробега являлась лишь оптимизация этого пути (14944).</w:t>
      </w:r>
    </w:p>
    <w:p w14:paraId="16E30F4A" w14:textId="77777777" w:rsidR="0092785F" w:rsidRPr="00C33834" w:rsidRDefault="0092785F" w:rsidP="00C33834">
      <w:pPr>
        <w:spacing w:after="0" w:line="240" w:lineRule="auto"/>
        <w:jc w:val="both"/>
        <w:rPr>
          <w:rFonts w:ascii="Times New Roman" w:hAnsi="Times New Roman"/>
          <w:color w:val="000000" w:themeColor="text1"/>
          <w:sz w:val="16"/>
          <w:szCs w:val="16"/>
        </w:rPr>
      </w:pPr>
    </w:p>
    <w:p w14:paraId="1FCE3784" w14:textId="77777777" w:rsidR="008A018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5348E2E" w14:textId="77777777" w:rsidR="008A0184" w:rsidRPr="00C33834" w:rsidRDefault="008A018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C3F62A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июля 1933 Нач. НИИ ВВС РККА Зильбертом была подготовлена справка об опытном самолето и моторостроении по состоянию на 1 июля 1933 (2305,43):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993"/>
        <w:gridCol w:w="975"/>
        <w:gridCol w:w="846"/>
        <w:gridCol w:w="749"/>
        <w:gridCol w:w="799"/>
        <w:gridCol w:w="3719"/>
      </w:tblGrid>
      <w:tr w:rsidR="00F26F01" w:rsidRPr="00C33834" w14:paraId="35D9EE00" w14:textId="77777777">
        <w:tc>
          <w:tcPr>
            <w:tcW w:w="2376" w:type="dxa"/>
          </w:tcPr>
          <w:p w14:paraId="76B7DE9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N и наименование</w:t>
            </w:r>
          </w:p>
        </w:tc>
        <w:tc>
          <w:tcPr>
            <w:tcW w:w="993" w:type="dxa"/>
          </w:tcPr>
          <w:p w14:paraId="06E2CC0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ЛТД</w:t>
            </w:r>
          </w:p>
        </w:tc>
        <w:tc>
          <w:tcPr>
            <w:tcW w:w="975" w:type="dxa"/>
          </w:tcPr>
          <w:p w14:paraId="45B9F08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94E1A0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44A53D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27F474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7DD74E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Степень исполнения на 01 июля</w:t>
            </w:r>
          </w:p>
        </w:tc>
      </w:tr>
      <w:tr w:rsidR="00F26F01" w:rsidRPr="00C33834" w14:paraId="133AD764" w14:textId="77777777">
        <w:tc>
          <w:tcPr>
            <w:tcW w:w="2376" w:type="dxa"/>
          </w:tcPr>
          <w:p w14:paraId="048C561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6CE520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w:t>
            </w:r>
          </w:p>
        </w:tc>
        <w:tc>
          <w:tcPr>
            <w:tcW w:w="975" w:type="dxa"/>
          </w:tcPr>
          <w:p w14:paraId="042E4C9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w:t>
            </w:r>
          </w:p>
        </w:tc>
        <w:tc>
          <w:tcPr>
            <w:tcW w:w="846" w:type="dxa"/>
          </w:tcPr>
          <w:p w14:paraId="7F3DC3A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w:t>
            </w:r>
          </w:p>
        </w:tc>
        <w:tc>
          <w:tcPr>
            <w:tcW w:w="749" w:type="dxa"/>
          </w:tcPr>
          <w:p w14:paraId="7F86D1D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w:t>
            </w:r>
          </w:p>
        </w:tc>
        <w:tc>
          <w:tcPr>
            <w:tcW w:w="799" w:type="dxa"/>
          </w:tcPr>
          <w:p w14:paraId="722D746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w:t>
            </w:r>
          </w:p>
        </w:tc>
        <w:tc>
          <w:tcPr>
            <w:tcW w:w="3719" w:type="dxa"/>
          </w:tcPr>
          <w:p w14:paraId="54D890E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B816E00" w14:textId="77777777">
        <w:tc>
          <w:tcPr>
            <w:tcW w:w="2376" w:type="dxa"/>
          </w:tcPr>
          <w:p w14:paraId="5365CE0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По самолетам (сухопутным)</w:t>
            </w:r>
          </w:p>
        </w:tc>
        <w:tc>
          <w:tcPr>
            <w:tcW w:w="993" w:type="dxa"/>
          </w:tcPr>
          <w:p w14:paraId="039DACF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300A7E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B369A5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8CBEFB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2B93AB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70D7D0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311FB48" w14:textId="77777777">
        <w:tc>
          <w:tcPr>
            <w:tcW w:w="2376" w:type="dxa"/>
          </w:tcPr>
          <w:p w14:paraId="4F65B94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Опытные</w:t>
            </w:r>
          </w:p>
        </w:tc>
        <w:tc>
          <w:tcPr>
            <w:tcW w:w="993" w:type="dxa"/>
          </w:tcPr>
          <w:p w14:paraId="0C8203B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2D4F69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F04F5C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C55443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E27782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B395F8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8B590E4" w14:textId="77777777">
        <w:tc>
          <w:tcPr>
            <w:tcW w:w="2376" w:type="dxa"/>
          </w:tcPr>
          <w:p w14:paraId="73E1D91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ТБ-6 М-44 или нефт.</w:t>
            </w:r>
          </w:p>
        </w:tc>
        <w:tc>
          <w:tcPr>
            <w:tcW w:w="993" w:type="dxa"/>
          </w:tcPr>
          <w:p w14:paraId="3A5127D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260/6000</w:t>
            </w:r>
          </w:p>
        </w:tc>
        <w:tc>
          <w:tcPr>
            <w:tcW w:w="975" w:type="dxa"/>
          </w:tcPr>
          <w:p w14:paraId="5671FB4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7000</w:t>
            </w:r>
          </w:p>
        </w:tc>
        <w:tc>
          <w:tcPr>
            <w:tcW w:w="846" w:type="dxa"/>
          </w:tcPr>
          <w:p w14:paraId="6DC2D2D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16000</w:t>
            </w:r>
          </w:p>
        </w:tc>
        <w:tc>
          <w:tcPr>
            <w:tcW w:w="749" w:type="dxa"/>
          </w:tcPr>
          <w:p w14:paraId="6620B8A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799" w:type="dxa"/>
          </w:tcPr>
          <w:p w14:paraId="10590AC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01.12.34</w:t>
            </w:r>
          </w:p>
        </w:tc>
        <w:tc>
          <w:tcPr>
            <w:tcW w:w="3719" w:type="dxa"/>
          </w:tcPr>
          <w:p w14:paraId="42FF56E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Внесли новый срок пред. на испыт - 01.12.35</w:t>
            </w:r>
          </w:p>
        </w:tc>
      </w:tr>
      <w:tr w:rsidR="00F26F01" w:rsidRPr="00C33834" w14:paraId="65961EE6" w14:textId="77777777">
        <w:tc>
          <w:tcPr>
            <w:tcW w:w="2376" w:type="dxa"/>
          </w:tcPr>
          <w:p w14:paraId="488464C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 он же пассаж.)</w:t>
            </w:r>
          </w:p>
        </w:tc>
        <w:tc>
          <w:tcPr>
            <w:tcW w:w="993" w:type="dxa"/>
          </w:tcPr>
          <w:p w14:paraId="1A1AF9F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7F534A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34F0D68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w:t>
            </w:r>
          </w:p>
        </w:tc>
        <w:tc>
          <w:tcPr>
            <w:tcW w:w="749" w:type="dxa"/>
          </w:tcPr>
          <w:p w14:paraId="16631BA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3281C3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4CE9E2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 закончил общ. компон. схемы. Прорабатывает</w:t>
            </w:r>
          </w:p>
        </w:tc>
      </w:tr>
      <w:tr w:rsidR="00F26F01" w:rsidRPr="00C33834" w14:paraId="4DC902F4" w14:textId="77777777">
        <w:tc>
          <w:tcPr>
            <w:tcW w:w="2376" w:type="dxa"/>
          </w:tcPr>
          <w:p w14:paraId="4B2C4A8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D32EE6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5F0164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6941C4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пушки</w:t>
            </w:r>
          </w:p>
        </w:tc>
        <w:tc>
          <w:tcPr>
            <w:tcW w:w="749" w:type="dxa"/>
          </w:tcPr>
          <w:p w14:paraId="7B0DB23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77C0EA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4D4AE89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 осн. элементов. В постройке опытн.</w:t>
            </w:r>
          </w:p>
        </w:tc>
      </w:tr>
      <w:tr w:rsidR="00F26F01" w:rsidRPr="00C33834" w14:paraId="39BFBB9E" w14:textId="77777777">
        <w:tc>
          <w:tcPr>
            <w:tcW w:w="2376" w:type="dxa"/>
          </w:tcPr>
          <w:p w14:paraId="3383234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8ED566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419623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CD906C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CE51E3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CC4E07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7E365A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лонжерон из хромомолибденовых труб</w:t>
            </w:r>
          </w:p>
        </w:tc>
      </w:tr>
      <w:tr w:rsidR="00F26F01" w:rsidRPr="00C33834" w14:paraId="326D7190" w14:textId="77777777">
        <w:tc>
          <w:tcPr>
            <w:tcW w:w="2376" w:type="dxa"/>
          </w:tcPr>
          <w:p w14:paraId="0B8D713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Д-1 10М-34 (Тяж.</w:t>
            </w:r>
          </w:p>
        </w:tc>
        <w:tc>
          <w:tcPr>
            <w:tcW w:w="993" w:type="dxa"/>
          </w:tcPr>
          <w:p w14:paraId="4C3D3C7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215/3000</w:t>
            </w:r>
          </w:p>
        </w:tc>
        <w:tc>
          <w:tcPr>
            <w:tcW w:w="975" w:type="dxa"/>
          </w:tcPr>
          <w:p w14:paraId="6446B51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846" w:type="dxa"/>
          </w:tcPr>
          <w:p w14:paraId="079E353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10хпул.</w:t>
            </w:r>
          </w:p>
        </w:tc>
        <w:tc>
          <w:tcPr>
            <w:tcW w:w="749" w:type="dxa"/>
          </w:tcPr>
          <w:p w14:paraId="5B6C03C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c>
          <w:tcPr>
            <w:tcW w:w="799" w:type="dxa"/>
          </w:tcPr>
          <w:p w14:paraId="59D9B4B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01.12.33</w:t>
            </w:r>
          </w:p>
        </w:tc>
        <w:tc>
          <w:tcPr>
            <w:tcW w:w="3719" w:type="dxa"/>
          </w:tcPr>
          <w:p w14:paraId="0FF7D9D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Важн. работа - испытание передач на винт от 2-х</w:t>
            </w:r>
          </w:p>
        </w:tc>
      </w:tr>
      <w:tr w:rsidR="00F26F01" w:rsidRPr="00C33834" w14:paraId="322728CE" w14:textId="77777777">
        <w:tc>
          <w:tcPr>
            <w:tcW w:w="2376" w:type="dxa"/>
          </w:tcPr>
          <w:p w14:paraId="2BAA745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десантный)</w:t>
            </w:r>
          </w:p>
        </w:tc>
        <w:tc>
          <w:tcPr>
            <w:tcW w:w="993" w:type="dxa"/>
          </w:tcPr>
          <w:p w14:paraId="453DC49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DAC657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9BC98E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2хпуш.</w:t>
            </w:r>
          </w:p>
        </w:tc>
        <w:tc>
          <w:tcPr>
            <w:tcW w:w="749" w:type="dxa"/>
          </w:tcPr>
          <w:p w14:paraId="2342FC0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BCBB37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0B1DAE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моторов на М-17. С 10 апреля по 1 июля на 2-х</w:t>
            </w:r>
          </w:p>
        </w:tc>
      </w:tr>
      <w:tr w:rsidR="00F26F01" w:rsidRPr="00C33834" w14:paraId="2A255D5F" w14:textId="77777777">
        <w:tc>
          <w:tcPr>
            <w:tcW w:w="2376" w:type="dxa"/>
          </w:tcPr>
          <w:p w14:paraId="235547B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9AD325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471EF6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1FB1A0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922CB9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6EA725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B3277A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наработали 55:10. Макс. время между устр. дефектов</w:t>
            </w:r>
          </w:p>
        </w:tc>
      </w:tr>
      <w:tr w:rsidR="00F26F01" w:rsidRPr="00C33834" w14:paraId="33C1C98D" w14:textId="77777777">
        <w:tc>
          <w:tcPr>
            <w:tcW w:w="2376" w:type="dxa"/>
          </w:tcPr>
          <w:p w14:paraId="767BCA3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609B5D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D91B75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A348F2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D659F1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E961FB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04B4C7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5:16. Испытания показали, что передача с 2-х на</w:t>
            </w:r>
          </w:p>
        </w:tc>
      </w:tr>
      <w:tr w:rsidR="00F26F01" w:rsidRPr="00C33834" w14:paraId="5A4C3942" w14:textId="77777777">
        <w:tc>
          <w:tcPr>
            <w:tcW w:w="2376" w:type="dxa"/>
          </w:tcPr>
          <w:p w14:paraId="2C5DE8E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9BCFF7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2A0993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622ED4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4F4D6B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FDF01E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957D9D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один винт создана, но конструктивно нужна дор.</w:t>
            </w:r>
          </w:p>
        </w:tc>
      </w:tr>
      <w:tr w:rsidR="00F26F01" w:rsidRPr="00C33834" w14:paraId="58AE6FAF" w14:textId="77777777">
        <w:tc>
          <w:tcPr>
            <w:tcW w:w="2376" w:type="dxa"/>
          </w:tcPr>
          <w:p w14:paraId="393D8F5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9B1BC5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292985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CEA1EF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CB1A9E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6D066D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40681C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 раб. черт. - на 28-100% в зав. от констр.</w:t>
            </w:r>
          </w:p>
        </w:tc>
      </w:tr>
      <w:tr w:rsidR="00F26F01" w:rsidRPr="00C33834" w14:paraId="32D1D0D9" w14:textId="77777777">
        <w:tc>
          <w:tcPr>
            <w:tcW w:w="2376" w:type="dxa"/>
          </w:tcPr>
          <w:p w14:paraId="36FF811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ТБ-4 5М-34 (ТБ)</w:t>
            </w:r>
          </w:p>
        </w:tc>
        <w:tc>
          <w:tcPr>
            <w:tcW w:w="993" w:type="dxa"/>
          </w:tcPr>
          <w:p w14:paraId="0308142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200/3000</w:t>
            </w:r>
          </w:p>
        </w:tc>
        <w:tc>
          <w:tcPr>
            <w:tcW w:w="975" w:type="dxa"/>
          </w:tcPr>
          <w:p w14:paraId="67F9792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5-6000</w:t>
            </w:r>
          </w:p>
        </w:tc>
        <w:tc>
          <w:tcPr>
            <w:tcW w:w="846" w:type="dxa"/>
          </w:tcPr>
          <w:p w14:paraId="68AA93D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w:t>
            </w:r>
          </w:p>
        </w:tc>
        <w:tc>
          <w:tcPr>
            <w:tcW w:w="749" w:type="dxa"/>
          </w:tcPr>
          <w:p w14:paraId="72F7279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799" w:type="dxa"/>
          </w:tcPr>
          <w:p w14:paraId="0EB7202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01.11.32</w:t>
            </w:r>
          </w:p>
        </w:tc>
        <w:tc>
          <w:tcPr>
            <w:tcW w:w="3719" w:type="dxa"/>
          </w:tcPr>
          <w:p w14:paraId="22585C1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Новый срок - 15.07.33. Постройкой машина окончена</w:t>
            </w:r>
          </w:p>
        </w:tc>
      </w:tr>
      <w:tr w:rsidR="00F26F01" w:rsidRPr="00C33834" w14:paraId="3E1F1F5B" w14:textId="77777777">
        <w:tc>
          <w:tcPr>
            <w:tcW w:w="2376" w:type="dxa"/>
          </w:tcPr>
          <w:p w14:paraId="3645DD4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1472C2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275F74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29C95E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10хпул.</w:t>
            </w:r>
          </w:p>
        </w:tc>
        <w:tc>
          <w:tcPr>
            <w:tcW w:w="749" w:type="dxa"/>
          </w:tcPr>
          <w:p w14:paraId="5C302F8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F9B97F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4F20F33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мес. доводили ВМГ и мех. подъема стабилиз. 3</w:t>
            </w:r>
          </w:p>
        </w:tc>
      </w:tr>
      <w:tr w:rsidR="00F26F01" w:rsidRPr="00C33834" w14:paraId="2FB2B1A0" w14:textId="77777777">
        <w:tc>
          <w:tcPr>
            <w:tcW w:w="2376" w:type="dxa"/>
          </w:tcPr>
          <w:p w14:paraId="4B02BD8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32CB05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476C9F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C2EA49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3хпуш.</w:t>
            </w:r>
          </w:p>
        </w:tc>
        <w:tc>
          <w:tcPr>
            <w:tcW w:w="749" w:type="dxa"/>
          </w:tcPr>
          <w:p w14:paraId="246D97A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B60280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2EB80A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июля 1933 - первый вылет, удачный.</w:t>
            </w:r>
          </w:p>
        </w:tc>
      </w:tr>
      <w:tr w:rsidR="00F26F01" w:rsidRPr="00C33834" w14:paraId="4281ED5D" w14:textId="77777777">
        <w:tc>
          <w:tcPr>
            <w:tcW w:w="2376" w:type="dxa"/>
          </w:tcPr>
          <w:p w14:paraId="75551AB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ТБ-4 6М-34 (гол.</w:t>
            </w:r>
          </w:p>
        </w:tc>
        <w:tc>
          <w:tcPr>
            <w:tcW w:w="993" w:type="dxa"/>
          </w:tcPr>
          <w:p w14:paraId="5CEFE02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200/3000</w:t>
            </w:r>
          </w:p>
        </w:tc>
        <w:tc>
          <w:tcPr>
            <w:tcW w:w="975" w:type="dxa"/>
          </w:tcPr>
          <w:p w14:paraId="797674F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6-8000</w:t>
            </w:r>
          </w:p>
        </w:tc>
        <w:tc>
          <w:tcPr>
            <w:tcW w:w="846" w:type="dxa"/>
          </w:tcPr>
          <w:p w14:paraId="5071B77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w:t>
            </w:r>
          </w:p>
        </w:tc>
        <w:tc>
          <w:tcPr>
            <w:tcW w:w="749" w:type="dxa"/>
          </w:tcPr>
          <w:p w14:paraId="35982FC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799" w:type="dxa"/>
          </w:tcPr>
          <w:p w14:paraId="2A6D3C6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01.06.33</w:t>
            </w:r>
          </w:p>
        </w:tc>
        <w:tc>
          <w:tcPr>
            <w:tcW w:w="3719" w:type="dxa"/>
          </w:tcPr>
          <w:p w14:paraId="3BB24EB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 модиф. самолет, увелич. площадь крыльев на</w:t>
            </w:r>
          </w:p>
        </w:tc>
      </w:tr>
      <w:tr w:rsidR="00F26F01" w:rsidRPr="00C33834" w14:paraId="05424212" w14:textId="77777777">
        <w:tc>
          <w:tcPr>
            <w:tcW w:w="2376" w:type="dxa"/>
          </w:tcPr>
          <w:p w14:paraId="0D7BD57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серийный)</w:t>
            </w:r>
          </w:p>
        </w:tc>
        <w:tc>
          <w:tcPr>
            <w:tcW w:w="993" w:type="dxa"/>
          </w:tcPr>
          <w:p w14:paraId="62B7FC8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760CFB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80E850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10хпул.</w:t>
            </w:r>
          </w:p>
        </w:tc>
        <w:tc>
          <w:tcPr>
            <w:tcW w:w="749" w:type="dxa"/>
          </w:tcPr>
          <w:p w14:paraId="1012A26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5EC439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43EA0EB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 м кв., повышая размах и ставя 7 и 8 моторы</w:t>
            </w:r>
          </w:p>
        </w:tc>
      </w:tr>
      <w:tr w:rsidR="00F26F01" w:rsidRPr="00C33834" w14:paraId="24C2BB26" w14:textId="77777777">
        <w:tc>
          <w:tcPr>
            <w:tcW w:w="2376" w:type="dxa"/>
          </w:tcPr>
          <w:p w14:paraId="59ED4EA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FEE692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843ED6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0F68CB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2хпуш.</w:t>
            </w:r>
          </w:p>
        </w:tc>
        <w:tc>
          <w:tcPr>
            <w:tcW w:w="749" w:type="dxa"/>
          </w:tcPr>
          <w:p w14:paraId="6D81004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8F5702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4ADD3EE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Модиф. строится как МГ. По расч, ЦАГИ воен. </w:t>
            </w:r>
          </w:p>
        </w:tc>
      </w:tr>
      <w:tr w:rsidR="00F26F01" w:rsidRPr="00C33834" w14:paraId="2EA0092A" w14:textId="77777777">
        <w:tc>
          <w:tcPr>
            <w:tcW w:w="2376" w:type="dxa"/>
          </w:tcPr>
          <w:p w14:paraId="5D92601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37E4B6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F1F3C2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C52A10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8F901C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3C626E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3CE5BA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вариант превзойдет ТБ-4. В постройке и выйдет</w:t>
            </w:r>
          </w:p>
        </w:tc>
      </w:tr>
      <w:tr w:rsidR="00F26F01" w:rsidRPr="00C33834" w14:paraId="18595739" w14:textId="77777777">
        <w:tc>
          <w:tcPr>
            <w:tcW w:w="2376" w:type="dxa"/>
          </w:tcPr>
          <w:p w14:paraId="4C8C59C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F5C6EF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819235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76D89E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04F95A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82D908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770F130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1934</w:t>
            </w:r>
          </w:p>
        </w:tc>
      </w:tr>
      <w:tr w:rsidR="00F26F01" w:rsidRPr="00C33834" w14:paraId="4ABD61BA" w14:textId="77777777">
        <w:tc>
          <w:tcPr>
            <w:tcW w:w="2376" w:type="dxa"/>
          </w:tcPr>
          <w:p w14:paraId="3673E65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Х-1 2М-34 (ТХ</w:t>
            </w:r>
          </w:p>
        </w:tc>
        <w:tc>
          <w:tcPr>
            <w:tcW w:w="993" w:type="dxa"/>
          </w:tcPr>
          <w:p w14:paraId="17599AF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260/3000</w:t>
            </w:r>
          </w:p>
        </w:tc>
        <w:tc>
          <w:tcPr>
            <w:tcW w:w="975" w:type="dxa"/>
          </w:tcPr>
          <w:p w14:paraId="639B928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46" w:type="dxa"/>
          </w:tcPr>
          <w:p w14:paraId="6251553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749" w:type="dxa"/>
          </w:tcPr>
          <w:p w14:paraId="653E980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799" w:type="dxa"/>
          </w:tcPr>
          <w:p w14:paraId="2D5A890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01.08.33</w:t>
            </w:r>
          </w:p>
        </w:tc>
        <w:tc>
          <w:tcPr>
            <w:tcW w:w="3719" w:type="dxa"/>
          </w:tcPr>
          <w:p w14:paraId="0548890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Схема оконч. принята по типу ЛК. Ведутся продувки</w:t>
            </w:r>
          </w:p>
        </w:tc>
      </w:tr>
      <w:tr w:rsidR="00F26F01" w:rsidRPr="00C33834" w14:paraId="5E49D9CA" w14:textId="77777777">
        <w:tc>
          <w:tcPr>
            <w:tcW w:w="2376" w:type="dxa"/>
          </w:tcPr>
          <w:p w14:paraId="5E5AFF6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боевик, он же для</w:t>
            </w:r>
          </w:p>
        </w:tc>
        <w:tc>
          <w:tcPr>
            <w:tcW w:w="993" w:type="dxa"/>
          </w:tcPr>
          <w:p w14:paraId="6404DC4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9842D3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EC6ABF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w:t>
            </w:r>
          </w:p>
        </w:tc>
        <w:tc>
          <w:tcPr>
            <w:tcW w:w="749" w:type="dxa"/>
          </w:tcPr>
          <w:p w14:paraId="36C0ADB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8D48CF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кв. 34</w:t>
            </w:r>
          </w:p>
        </w:tc>
        <w:tc>
          <w:tcPr>
            <w:tcW w:w="3719" w:type="dxa"/>
          </w:tcPr>
          <w:p w14:paraId="2D317B0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модели, потом будет законч. эскизн. проект. Вед.</w:t>
            </w:r>
          </w:p>
        </w:tc>
      </w:tr>
      <w:tr w:rsidR="00F26F01" w:rsidRPr="00C33834" w14:paraId="00BDF47B" w14:textId="77777777">
        <w:tc>
          <w:tcPr>
            <w:tcW w:w="2376" w:type="dxa"/>
          </w:tcPr>
          <w:p w14:paraId="52350C3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перевозки горюч. и</w:t>
            </w:r>
          </w:p>
        </w:tc>
        <w:tc>
          <w:tcPr>
            <w:tcW w:w="993" w:type="dxa"/>
          </w:tcPr>
          <w:p w14:paraId="5821D6F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541BFA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661C99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07FD65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34D8BD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0FA633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компоновка и увязка военного вар. с гражд. Подгот.</w:t>
            </w:r>
          </w:p>
        </w:tc>
      </w:tr>
      <w:tr w:rsidR="00F26F01" w:rsidRPr="00C33834" w14:paraId="21F1F209" w14:textId="77777777">
        <w:tc>
          <w:tcPr>
            <w:tcW w:w="2376" w:type="dxa"/>
          </w:tcPr>
          <w:p w14:paraId="1258B39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пассажиров)</w:t>
            </w:r>
          </w:p>
        </w:tc>
        <w:tc>
          <w:tcPr>
            <w:tcW w:w="993" w:type="dxa"/>
          </w:tcPr>
          <w:p w14:paraId="6FEE04A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934DEA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C4FAC6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794BFA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08A6A2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916276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макет. Летающ. модель не построена (будет), т.к.</w:t>
            </w:r>
          </w:p>
        </w:tc>
      </w:tr>
      <w:tr w:rsidR="00F26F01" w:rsidRPr="00C33834" w14:paraId="5F2BC582" w14:textId="77777777">
        <w:tc>
          <w:tcPr>
            <w:tcW w:w="2376" w:type="dxa"/>
          </w:tcPr>
          <w:p w14:paraId="59DEFA6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A39A8B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10A907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3D559F4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8CBD2C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E62561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7D8E825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 не получены. Финанс. работ от ГУГВФ не</w:t>
            </w:r>
          </w:p>
        </w:tc>
      </w:tr>
      <w:tr w:rsidR="00F26F01" w:rsidRPr="00C33834" w14:paraId="3FB8FF3D" w14:textId="77777777">
        <w:tc>
          <w:tcPr>
            <w:tcW w:w="2376" w:type="dxa"/>
          </w:tcPr>
          <w:p w14:paraId="2D44EE2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8715DE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02B696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C77D7D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C9FD56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ACBA8A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21160B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достаточно и хват. только на проектирование</w:t>
            </w:r>
          </w:p>
        </w:tc>
      </w:tr>
      <w:tr w:rsidR="00F26F01" w:rsidRPr="00C33834" w14:paraId="243CBEB6" w14:textId="77777777">
        <w:tc>
          <w:tcPr>
            <w:tcW w:w="2376" w:type="dxa"/>
          </w:tcPr>
          <w:p w14:paraId="3724931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К-1 2М-34 (Крейс.</w:t>
            </w:r>
          </w:p>
        </w:tc>
        <w:tc>
          <w:tcPr>
            <w:tcW w:w="993" w:type="dxa"/>
          </w:tcPr>
          <w:p w14:paraId="112AA6B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270/6000</w:t>
            </w:r>
          </w:p>
        </w:tc>
        <w:tc>
          <w:tcPr>
            <w:tcW w:w="975" w:type="dxa"/>
          </w:tcPr>
          <w:p w14:paraId="2C4B063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53A1AE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w:t>
            </w:r>
          </w:p>
        </w:tc>
        <w:tc>
          <w:tcPr>
            <w:tcW w:w="749" w:type="dxa"/>
          </w:tcPr>
          <w:p w14:paraId="3126451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799" w:type="dxa"/>
          </w:tcPr>
          <w:p w14:paraId="2434656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01.??.33</w:t>
            </w:r>
          </w:p>
        </w:tc>
        <w:tc>
          <w:tcPr>
            <w:tcW w:w="3719" w:type="dxa"/>
          </w:tcPr>
          <w:p w14:paraId="0923248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Внесен новый срок пред. на гос. испыт. Проектир.</w:t>
            </w:r>
          </w:p>
        </w:tc>
      </w:tr>
      <w:tr w:rsidR="00F26F01" w:rsidRPr="00C33834" w14:paraId="13FF0A68" w14:textId="77777777">
        <w:tc>
          <w:tcPr>
            <w:tcW w:w="2376" w:type="dxa"/>
          </w:tcPr>
          <w:p w14:paraId="496D0F0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сух. Сред.Б, ДР)</w:t>
            </w:r>
          </w:p>
        </w:tc>
        <w:tc>
          <w:tcPr>
            <w:tcW w:w="993" w:type="dxa"/>
          </w:tcPr>
          <w:p w14:paraId="77E6613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C2DA8B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EAD836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1974FA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4D8755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01.12.34</w:t>
            </w:r>
          </w:p>
        </w:tc>
        <w:tc>
          <w:tcPr>
            <w:tcW w:w="3719" w:type="dxa"/>
          </w:tcPr>
          <w:p w14:paraId="5F1A6E1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крыльев, шасси, оперения и фюз. кроме передн.</w:t>
            </w:r>
          </w:p>
        </w:tc>
      </w:tr>
      <w:tr w:rsidR="00F26F01" w:rsidRPr="00C33834" w14:paraId="405CCD52" w14:textId="77777777">
        <w:tc>
          <w:tcPr>
            <w:tcW w:w="2376" w:type="dxa"/>
          </w:tcPr>
          <w:p w14:paraId="3A3EF04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B94ABF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196B45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D92617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3B24B4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9FFBBF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2DBABD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части законч. Не ясно с моторами. ЦАГИ хочет 2</w:t>
            </w:r>
          </w:p>
        </w:tc>
      </w:tr>
      <w:tr w:rsidR="00F26F01" w:rsidRPr="00C33834" w14:paraId="3AAB9042" w14:textId="77777777">
        <w:tc>
          <w:tcPr>
            <w:tcW w:w="2376" w:type="dxa"/>
          </w:tcPr>
          <w:p w14:paraId="433D97A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CF0FDB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4418FC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23661C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B529D0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B5F388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F07D60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М-32</w:t>
            </w:r>
          </w:p>
        </w:tc>
      </w:tr>
      <w:tr w:rsidR="00F26F01" w:rsidRPr="00C33834" w14:paraId="6BC6F1D2" w14:textId="77777777">
        <w:tc>
          <w:tcPr>
            <w:tcW w:w="2376" w:type="dxa"/>
          </w:tcPr>
          <w:p w14:paraId="62C9FE2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МИ-3 2М-34</w:t>
            </w:r>
          </w:p>
        </w:tc>
        <w:tc>
          <w:tcPr>
            <w:tcW w:w="993" w:type="dxa"/>
          </w:tcPr>
          <w:p w14:paraId="7A2817A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300/6000</w:t>
            </w:r>
          </w:p>
        </w:tc>
        <w:tc>
          <w:tcPr>
            <w:tcW w:w="975" w:type="dxa"/>
          </w:tcPr>
          <w:p w14:paraId="6F1F3FD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7-6000</w:t>
            </w:r>
          </w:p>
        </w:tc>
        <w:tc>
          <w:tcPr>
            <w:tcW w:w="846" w:type="dxa"/>
          </w:tcPr>
          <w:p w14:paraId="1CE04E4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2хпул.Т</w:t>
            </w:r>
          </w:p>
        </w:tc>
        <w:tc>
          <w:tcPr>
            <w:tcW w:w="749" w:type="dxa"/>
          </w:tcPr>
          <w:p w14:paraId="6428D94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799" w:type="dxa"/>
          </w:tcPr>
          <w:p w14:paraId="0E247BE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01.01.33</w:t>
            </w:r>
          </w:p>
        </w:tc>
        <w:tc>
          <w:tcPr>
            <w:tcW w:w="3719" w:type="dxa"/>
          </w:tcPr>
          <w:p w14:paraId="28B2BB4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Постройка законч., начаты зав. испыт. Показали</w:t>
            </w:r>
          </w:p>
        </w:tc>
      </w:tr>
      <w:tr w:rsidR="00F26F01" w:rsidRPr="00C33834" w14:paraId="5CC247D2" w14:textId="77777777">
        <w:tc>
          <w:tcPr>
            <w:tcW w:w="2376" w:type="dxa"/>
          </w:tcPr>
          <w:p w14:paraId="4A38087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2AA7F5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1E44E4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E9CB90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6хпулЛ.</w:t>
            </w:r>
          </w:p>
        </w:tc>
        <w:tc>
          <w:tcPr>
            <w:tcW w:w="749" w:type="dxa"/>
          </w:tcPr>
          <w:p w14:paraId="0D74738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780DE4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01.09.33</w:t>
            </w:r>
          </w:p>
        </w:tc>
        <w:tc>
          <w:tcPr>
            <w:tcW w:w="3719" w:type="dxa"/>
          </w:tcPr>
          <w:p w14:paraId="35DC3AA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серьезные дефекты, треб. устр. (вибр. оперения,</w:t>
            </w:r>
          </w:p>
        </w:tc>
      </w:tr>
      <w:tr w:rsidR="00F26F01" w:rsidRPr="00C33834" w14:paraId="03D02F1E" w14:textId="77777777">
        <w:tc>
          <w:tcPr>
            <w:tcW w:w="2376" w:type="dxa"/>
          </w:tcPr>
          <w:p w14:paraId="244A1D8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A5AAC0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385DA3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112264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052927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ACA771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4447713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трудн. посадки из-за недост РВ, резк. перевод на</w:t>
            </w:r>
          </w:p>
        </w:tc>
      </w:tr>
      <w:tr w:rsidR="00F26F01" w:rsidRPr="00C33834" w14:paraId="0F1539DA" w14:textId="77777777">
        <w:tc>
          <w:tcPr>
            <w:tcW w:w="2376" w:type="dxa"/>
          </w:tcPr>
          <w:p w14:paraId="64AC525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1DF8F2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884745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C6FC98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7941CE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825E5B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0E9A96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нос на мал. газу. ЦАГИ устран. путем изуч. обтек.</w:t>
            </w:r>
          </w:p>
        </w:tc>
      </w:tr>
      <w:tr w:rsidR="00F26F01" w:rsidRPr="00C33834" w14:paraId="7A8359B8" w14:textId="77777777">
        <w:tc>
          <w:tcPr>
            <w:tcW w:w="2376" w:type="dxa"/>
          </w:tcPr>
          <w:p w14:paraId="3C591AB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162B30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279DCA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812710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686A6C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6BA237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DEEBAD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крыльев на малых скор. Новый срок гос. исп.</w:t>
            </w:r>
          </w:p>
        </w:tc>
      </w:tr>
      <w:tr w:rsidR="00F26F01" w:rsidRPr="00C33834" w14:paraId="2B747E82" w14:textId="77777777">
        <w:tc>
          <w:tcPr>
            <w:tcW w:w="2376" w:type="dxa"/>
          </w:tcPr>
          <w:p w14:paraId="1C15D2E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C494A9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2BED4F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DFE348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C32A6B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E329BB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768D72A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01.09.33</w:t>
            </w:r>
          </w:p>
        </w:tc>
      </w:tr>
      <w:tr w:rsidR="00F26F01" w:rsidRPr="00C33834" w14:paraId="5D23F4CC" w14:textId="77777777">
        <w:tc>
          <w:tcPr>
            <w:tcW w:w="2376" w:type="dxa"/>
          </w:tcPr>
          <w:p w14:paraId="2F26153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ДИП 2М-34 (пуш.)</w:t>
            </w:r>
          </w:p>
        </w:tc>
        <w:tc>
          <w:tcPr>
            <w:tcW w:w="993" w:type="dxa"/>
          </w:tcPr>
          <w:p w14:paraId="6308F6E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325/6000</w:t>
            </w:r>
          </w:p>
        </w:tc>
        <w:tc>
          <w:tcPr>
            <w:tcW w:w="975" w:type="dxa"/>
          </w:tcPr>
          <w:p w14:paraId="69F616B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8000</w:t>
            </w:r>
          </w:p>
        </w:tc>
        <w:tc>
          <w:tcPr>
            <w:tcW w:w="846" w:type="dxa"/>
          </w:tcPr>
          <w:p w14:paraId="20D39B1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ДРП</w:t>
            </w:r>
          </w:p>
        </w:tc>
        <w:tc>
          <w:tcPr>
            <w:tcW w:w="749" w:type="dxa"/>
          </w:tcPr>
          <w:p w14:paraId="70F29FC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799" w:type="dxa"/>
          </w:tcPr>
          <w:p w14:paraId="26E91D0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01.??.33</w:t>
            </w:r>
          </w:p>
        </w:tc>
        <w:tc>
          <w:tcPr>
            <w:tcW w:w="3719" w:type="dxa"/>
          </w:tcPr>
          <w:p w14:paraId="580BF0D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Новый срок - 01.06.34. Продолж. постройка (медл.)</w:t>
            </w:r>
          </w:p>
        </w:tc>
      </w:tr>
      <w:tr w:rsidR="00F26F01" w:rsidRPr="00C33834" w14:paraId="26301D0A" w14:textId="77777777">
        <w:tc>
          <w:tcPr>
            <w:tcW w:w="2376" w:type="dxa"/>
          </w:tcPr>
          <w:p w14:paraId="47731DE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64E56E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668695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E9DA91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w:t>
            </w:r>
          </w:p>
        </w:tc>
        <w:tc>
          <w:tcPr>
            <w:tcW w:w="749" w:type="dxa"/>
          </w:tcPr>
          <w:p w14:paraId="516B93B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70EC99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01.06.34</w:t>
            </w:r>
          </w:p>
        </w:tc>
        <w:tc>
          <w:tcPr>
            <w:tcW w:w="3719" w:type="dxa"/>
          </w:tcPr>
          <w:p w14:paraId="7D57A3B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крыльев, оперения, шасси. Проектир. фюзел. замедл.</w:t>
            </w:r>
          </w:p>
        </w:tc>
      </w:tr>
      <w:tr w:rsidR="00F26F01" w:rsidRPr="00C33834" w14:paraId="27A06460" w14:textId="77777777">
        <w:tc>
          <w:tcPr>
            <w:tcW w:w="2376" w:type="dxa"/>
          </w:tcPr>
          <w:p w14:paraId="1ED6CAC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12EB67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81BFD6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4D62FE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7F809E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19FE49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E11456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из-за занят. РД и И-14</w:t>
            </w:r>
          </w:p>
        </w:tc>
      </w:tr>
      <w:tr w:rsidR="00F26F01" w:rsidRPr="00C33834" w14:paraId="05686CCD" w14:textId="77777777">
        <w:tc>
          <w:tcPr>
            <w:tcW w:w="2376" w:type="dxa"/>
          </w:tcPr>
          <w:p w14:paraId="4F3781B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КР М-34 (Легк.</w:t>
            </w:r>
          </w:p>
        </w:tc>
        <w:tc>
          <w:tcPr>
            <w:tcW w:w="993" w:type="dxa"/>
          </w:tcPr>
          <w:p w14:paraId="1F78A80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300/6000</w:t>
            </w:r>
          </w:p>
        </w:tc>
        <w:tc>
          <w:tcPr>
            <w:tcW w:w="975" w:type="dxa"/>
          </w:tcPr>
          <w:p w14:paraId="72D28D6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9000</w:t>
            </w:r>
          </w:p>
        </w:tc>
        <w:tc>
          <w:tcPr>
            <w:tcW w:w="846" w:type="dxa"/>
          </w:tcPr>
          <w:p w14:paraId="12885EA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w:t>
            </w:r>
          </w:p>
        </w:tc>
        <w:tc>
          <w:tcPr>
            <w:tcW w:w="749" w:type="dxa"/>
          </w:tcPr>
          <w:p w14:paraId="14A2D34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799" w:type="dxa"/>
          </w:tcPr>
          <w:p w14:paraId="45910D2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01.01.33</w:t>
            </w:r>
          </w:p>
        </w:tc>
        <w:tc>
          <w:tcPr>
            <w:tcW w:w="3719" w:type="dxa"/>
          </w:tcPr>
          <w:p w14:paraId="68B1BB3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 срок - 01.09.33. Самол. в сборке. Заводские</w:t>
            </w:r>
          </w:p>
        </w:tc>
      </w:tr>
      <w:tr w:rsidR="00F26F01" w:rsidRPr="00C33834" w14:paraId="6D1BF169" w14:textId="77777777">
        <w:tc>
          <w:tcPr>
            <w:tcW w:w="2376" w:type="dxa"/>
          </w:tcPr>
          <w:p w14:paraId="1222A7F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разведчик)</w:t>
            </w:r>
          </w:p>
        </w:tc>
        <w:tc>
          <w:tcPr>
            <w:tcW w:w="993" w:type="dxa"/>
          </w:tcPr>
          <w:p w14:paraId="5691E6F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655D1A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5595B5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012311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4F1E4F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01.09.33</w:t>
            </w:r>
          </w:p>
        </w:tc>
        <w:tc>
          <w:tcPr>
            <w:tcW w:w="3719" w:type="dxa"/>
          </w:tcPr>
          <w:p w14:paraId="7EE9DEF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 с 1 декады августа</w:t>
            </w:r>
          </w:p>
        </w:tc>
      </w:tr>
      <w:tr w:rsidR="00F26F01" w:rsidRPr="00C33834" w14:paraId="793E13F0" w14:textId="77777777">
        <w:tc>
          <w:tcPr>
            <w:tcW w:w="2376" w:type="dxa"/>
          </w:tcPr>
          <w:p w14:paraId="64094C3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ДИ-6 М-34 или</w:t>
            </w:r>
          </w:p>
        </w:tc>
        <w:tc>
          <w:tcPr>
            <w:tcW w:w="993" w:type="dxa"/>
          </w:tcPr>
          <w:p w14:paraId="53BCE82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375/6000</w:t>
            </w:r>
          </w:p>
        </w:tc>
        <w:tc>
          <w:tcPr>
            <w:tcW w:w="975" w:type="dxa"/>
          </w:tcPr>
          <w:p w14:paraId="1123707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9000</w:t>
            </w:r>
          </w:p>
        </w:tc>
        <w:tc>
          <w:tcPr>
            <w:tcW w:w="846" w:type="dxa"/>
          </w:tcPr>
          <w:p w14:paraId="179E83F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w:t>
            </w:r>
          </w:p>
        </w:tc>
        <w:tc>
          <w:tcPr>
            <w:tcW w:w="749" w:type="dxa"/>
          </w:tcPr>
          <w:p w14:paraId="3738479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799" w:type="dxa"/>
          </w:tcPr>
          <w:p w14:paraId="051EFE3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01.06.33</w:t>
            </w:r>
          </w:p>
        </w:tc>
        <w:tc>
          <w:tcPr>
            <w:tcW w:w="3719" w:type="dxa"/>
          </w:tcPr>
          <w:p w14:paraId="110B4AB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 срок с Райт - 01.10.34. ЦКБ 39 ведет предвар.</w:t>
            </w:r>
          </w:p>
        </w:tc>
      </w:tr>
      <w:tr w:rsidR="00F26F01" w:rsidRPr="00C33834" w14:paraId="33605608" w14:textId="77777777">
        <w:tc>
          <w:tcPr>
            <w:tcW w:w="2376" w:type="dxa"/>
          </w:tcPr>
          <w:p w14:paraId="5D8FC6A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М-38 (2-х м истр.)</w:t>
            </w:r>
          </w:p>
        </w:tc>
        <w:tc>
          <w:tcPr>
            <w:tcW w:w="993" w:type="dxa"/>
          </w:tcPr>
          <w:p w14:paraId="6FC43D2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66A9DC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334373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536CA8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203F0C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01.10.34</w:t>
            </w:r>
          </w:p>
        </w:tc>
        <w:tc>
          <w:tcPr>
            <w:tcW w:w="3719" w:type="dxa"/>
          </w:tcPr>
          <w:p w14:paraId="1C38354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работу по выработке схемы машины</w:t>
            </w:r>
          </w:p>
        </w:tc>
      </w:tr>
      <w:tr w:rsidR="00F26F01" w:rsidRPr="00C33834" w14:paraId="68783A89" w14:textId="77777777">
        <w:tc>
          <w:tcPr>
            <w:tcW w:w="2376" w:type="dxa"/>
          </w:tcPr>
          <w:p w14:paraId="11D1531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И-13 М-32 (Одн. и)</w:t>
            </w:r>
          </w:p>
        </w:tc>
        <w:tc>
          <w:tcPr>
            <w:tcW w:w="993" w:type="dxa"/>
          </w:tcPr>
          <w:p w14:paraId="266C64B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400/5000</w:t>
            </w:r>
          </w:p>
        </w:tc>
        <w:tc>
          <w:tcPr>
            <w:tcW w:w="975" w:type="dxa"/>
          </w:tcPr>
          <w:p w14:paraId="276029B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8-9000</w:t>
            </w:r>
          </w:p>
        </w:tc>
        <w:tc>
          <w:tcPr>
            <w:tcW w:w="846" w:type="dxa"/>
          </w:tcPr>
          <w:p w14:paraId="2F2CAFD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w:t>
            </w:r>
          </w:p>
        </w:tc>
        <w:tc>
          <w:tcPr>
            <w:tcW w:w="749" w:type="dxa"/>
          </w:tcPr>
          <w:p w14:paraId="60628F9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799" w:type="dxa"/>
          </w:tcPr>
          <w:p w14:paraId="402B6E7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01.06.33</w:t>
            </w:r>
          </w:p>
        </w:tc>
        <w:tc>
          <w:tcPr>
            <w:tcW w:w="3719" w:type="dxa"/>
          </w:tcPr>
          <w:p w14:paraId="5D38D60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не ведутся. РВСР предл. снять с плана из-за</w:t>
            </w:r>
          </w:p>
        </w:tc>
      </w:tr>
      <w:tr w:rsidR="00F26F01" w:rsidRPr="00C33834" w14:paraId="4F44B8E8" w14:textId="77777777">
        <w:tc>
          <w:tcPr>
            <w:tcW w:w="2376" w:type="dxa"/>
          </w:tcPr>
          <w:p w14:paraId="676A921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E73E4B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F19D7D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D7AE02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DF6DC3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26BEB5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01.03.34</w:t>
            </w:r>
          </w:p>
        </w:tc>
        <w:tc>
          <w:tcPr>
            <w:tcW w:w="3719" w:type="dxa"/>
          </w:tcPr>
          <w:p w14:paraId="5130915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необеспеченности мотором</w:t>
            </w:r>
          </w:p>
        </w:tc>
      </w:tr>
      <w:tr w:rsidR="00F26F01" w:rsidRPr="00C33834" w14:paraId="0BA366D2" w14:textId="77777777">
        <w:tc>
          <w:tcPr>
            <w:tcW w:w="2376" w:type="dxa"/>
          </w:tcPr>
          <w:p w14:paraId="1A76714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И-14 М-38 (Одн. и)</w:t>
            </w:r>
          </w:p>
        </w:tc>
        <w:tc>
          <w:tcPr>
            <w:tcW w:w="993" w:type="dxa"/>
          </w:tcPr>
          <w:p w14:paraId="4CE37D5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400/5000</w:t>
            </w:r>
          </w:p>
        </w:tc>
        <w:tc>
          <w:tcPr>
            <w:tcW w:w="975" w:type="dxa"/>
          </w:tcPr>
          <w:p w14:paraId="4E4C4B5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9-10000</w:t>
            </w:r>
          </w:p>
        </w:tc>
        <w:tc>
          <w:tcPr>
            <w:tcW w:w="846" w:type="dxa"/>
          </w:tcPr>
          <w:p w14:paraId="5FF2650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w:t>
            </w:r>
          </w:p>
        </w:tc>
        <w:tc>
          <w:tcPr>
            <w:tcW w:w="749" w:type="dxa"/>
          </w:tcPr>
          <w:p w14:paraId="711A880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799" w:type="dxa"/>
          </w:tcPr>
          <w:p w14:paraId="21E116C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15.03.33</w:t>
            </w:r>
          </w:p>
        </w:tc>
        <w:tc>
          <w:tcPr>
            <w:tcW w:w="3719" w:type="dxa"/>
          </w:tcPr>
          <w:p w14:paraId="5333F74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 с БМ постройкой закончен, за исключ. механизма</w:t>
            </w:r>
          </w:p>
        </w:tc>
      </w:tr>
      <w:tr w:rsidR="00F26F01" w:rsidRPr="00C33834" w14:paraId="3CB108B1" w14:textId="77777777">
        <w:tc>
          <w:tcPr>
            <w:tcW w:w="2376" w:type="dxa"/>
          </w:tcPr>
          <w:p w14:paraId="16AC46F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A2ACF1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758688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5AEA01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ДРП</w:t>
            </w:r>
          </w:p>
        </w:tc>
        <w:tc>
          <w:tcPr>
            <w:tcW w:w="749" w:type="dxa"/>
          </w:tcPr>
          <w:p w14:paraId="774164A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2BF5EF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2AC07B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уборки шасси и успешно проход. заводск. испыт.</w:t>
            </w:r>
          </w:p>
        </w:tc>
      </w:tr>
      <w:tr w:rsidR="00F26F01" w:rsidRPr="00C33834" w14:paraId="3FD23F5A" w14:textId="77777777">
        <w:tc>
          <w:tcPr>
            <w:tcW w:w="2376" w:type="dxa"/>
          </w:tcPr>
          <w:p w14:paraId="6EA748E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2A41D7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D0AE80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674E65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DB519C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7AACB7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E4CB54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дефект - перегрев мотора. Улучш. мех. уборки шасси</w:t>
            </w:r>
          </w:p>
        </w:tc>
      </w:tr>
      <w:tr w:rsidR="00F26F01" w:rsidRPr="00C33834" w14:paraId="0E1EB554" w14:textId="77777777">
        <w:tc>
          <w:tcPr>
            <w:tcW w:w="2376" w:type="dxa"/>
          </w:tcPr>
          <w:p w14:paraId="7FD5372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1B1129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122A21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8B11C8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DA04EA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9F6D7F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7DC8743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наход. в производстве со сроком оконч. в конце июля</w:t>
            </w:r>
          </w:p>
        </w:tc>
      </w:tr>
      <w:tr w:rsidR="00F26F01" w:rsidRPr="00C33834" w14:paraId="176C23C4" w14:textId="77777777">
        <w:tc>
          <w:tcPr>
            <w:tcW w:w="2376" w:type="dxa"/>
          </w:tcPr>
          <w:p w14:paraId="4B1F011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F7A150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9851AB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25F87D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5EC4D3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55B946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558B6D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Новый срок, уст. РВСР - 15.07.33 выд. не будет из-за</w:t>
            </w:r>
          </w:p>
        </w:tc>
      </w:tr>
      <w:tr w:rsidR="00F26F01" w:rsidRPr="00C33834" w14:paraId="3EDB0DC1" w14:textId="77777777">
        <w:tc>
          <w:tcPr>
            <w:tcW w:w="2376" w:type="dxa"/>
          </w:tcPr>
          <w:p w14:paraId="2AA4C3C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DF6D41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133AF2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6D25BF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F1F819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6BBCD7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DC6CE0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 и отсутствия пушек</w:t>
            </w:r>
          </w:p>
        </w:tc>
      </w:tr>
      <w:tr w:rsidR="00F26F01" w:rsidRPr="00C33834" w14:paraId="664AB48E" w14:textId="77777777">
        <w:tc>
          <w:tcPr>
            <w:tcW w:w="2376" w:type="dxa"/>
          </w:tcPr>
          <w:p w14:paraId="74AB80D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И-15 М-38 (Одн. и)</w:t>
            </w:r>
          </w:p>
        </w:tc>
        <w:tc>
          <w:tcPr>
            <w:tcW w:w="993" w:type="dxa"/>
          </w:tcPr>
          <w:p w14:paraId="727A051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400/5000</w:t>
            </w:r>
          </w:p>
        </w:tc>
        <w:tc>
          <w:tcPr>
            <w:tcW w:w="975" w:type="dxa"/>
          </w:tcPr>
          <w:p w14:paraId="4E21B5C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9-10000</w:t>
            </w:r>
          </w:p>
        </w:tc>
        <w:tc>
          <w:tcPr>
            <w:tcW w:w="846" w:type="dxa"/>
          </w:tcPr>
          <w:p w14:paraId="7E480B6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w:t>
            </w:r>
          </w:p>
        </w:tc>
        <w:tc>
          <w:tcPr>
            <w:tcW w:w="749" w:type="dxa"/>
          </w:tcPr>
          <w:p w14:paraId="2CE971E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799" w:type="dxa"/>
          </w:tcPr>
          <w:p w14:paraId="12C2EFC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719" w:type="dxa"/>
          </w:tcPr>
          <w:p w14:paraId="5B76593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Новый срок РВСР с РЦ - 1 дек. 1933. Проектир. выполн</w:t>
            </w:r>
          </w:p>
        </w:tc>
      </w:tr>
      <w:tr w:rsidR="00F26F01" w:rsidRPr="00C33834" w14:paraId="3C49B433" w14:textId="77777777">
        <w:tc>
          <w:tcPr>
            <w:tcW w:w="2376" w:type="dxa"/>
          </w:tcPr>
          <w:p w14:paraId="5AFD904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C95458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598C29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06E6C2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737143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70E6C5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01.12.33</w:t>
            </w:r>
          </w:p>
        </w:tc>
        <w:tc>
          <w:tcPr>
            <w:tcW w:w="3719" w:type="dxa"/>
          </w:tcPr>
          <w:p w14:paraId="6F5F764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98%, начата постройка, фюз. варится в стапелях</w:t>
            </w:r>
          </w:p>
        </w:tc>
      </w:tr>
      <w:tr w:rsidR="00F26F01" w:rsidRPr="00C33834" w14:paraId="6D133127" w14:textId="77777777">
        <w:tc>
          <w:tcPr>
            <w:tcW w:w="2376" w:type="dxa"/>
          </w:tcPr>
          <w:p w14:paraId="7292CEB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ВС-2 2М52 (Войск.</w:t>
            </w:r>
          </w:p>
        </w:tc>
        <w:tc>
          <w:tcPr>
            <w:tcW w:w="993" w:type="dxa"/>
          </w:tcPr>
          <w:p w14:paraId="0511E3B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330/3000</w:t>
            </w:r>
          </w:p>
        </w:tc>
        <w:tc>
          <w:tcPr>
            <w:tcW w:w="975" w:type="dxa"/>
          </w:tcPr>
          <w:p w14:paraId="1A594F5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46" w:type="dxa"/>
          </w:tcPr>
          <w:p w14:paraId="6F45024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w:t>
            </w:r>
          </w:p>
        </w:tc>
        <w:tc>
          <w:tcPr>
            <w:tcW w:w="749" w:type="dxa"/>
          </w:tcPr>
          <w:p w14:paraId="457684C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tc>
        <w:tc>
          <w:tcPr>
            <w:tcW w:w="799" w:type="dxa"/>
          </w:tcPr>
          <w:p w14:paraId="6ED0149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01.08.33</w:t>
            </w:r>
          </w:p>
        </w:tc>
        <w:tc>
          <w:tcPr>
            <w:tcW w:w="3719" w:type="dxa"/>
          </w:tcPr>
          <w:p w14:paraId="3FB3BAD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 срок РВСР с 2хМ-22 - 01.05.34. КБ ведет изыскание</w:t>
            </w:r>
          </w:p>
        </w:tc>
      </w:tr>
      <w:tr w:rsidR="00F26F01" w:rsidRPr="00C33834" w14:paraId="11155DA8" w14:textId="77777777">
        <w:tc>
          <w:tcPr>
            <w:tcW w:w="2376" w:type="dxa"/>
          </w:tcPr>
          <w:p w14:paraId="145192B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 кор., легк.</w:t>
            </w:r>
          </w:p>
        </w:tc>
        <w:tc>
          <w:tcPr>
            <w:tcW w:w="993" w:type="dxa"/>
          </w:tcPr>
          <w:p w14:paraId="18763F8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B70486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D977FB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80CAFC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9C06CF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01.05.34</w:t>
            </w:r>
          </w:p>
        </w:tc>
        <w:tc>
          <w:tcPr>
            <w:tcW w:w="3719" w:type="dxa"/>
          </w:tcPr>
          <w:p w14:paraId="7621FDD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боевой схеме и продувки моделей. Будет в виде ЛК,</w:t>
            </w:r>
          </w:p>
        </w:tc>
      </w:tr>
      <w:tr w:rsidR="00F26F01" w:rsidRPr="00C33834" w14:paraId="646AEA76" w14:textId="77777777">
        <w:tc>
          <w:tcPr>
            <w:tcW w:w="2376" w:type="dxa"/>
          </w:tcPr>
          <w:p w14:paraId="7BB6C36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хим. фотосъемщ., сан.,</w:t>
            </w:r>
          </w:p>
        </w:tc>
        <w:tc>
          <w:tcPr>
            <w:tcW w:w="993" w:type="dxa"/>
          </w:tcPr>
          <w:p w14:paraId="2D74452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08DBC1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3876814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54B158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C84C7F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CF8EB6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что одобрено ВВС</w:t>
            </w:r>
          </w:p>
        </w:tc>
      </w:tr>
      <w:tr w:rsidR="00F26F01" w:rsidRPr="00C33834" w14:paraId="597B8808" w14:textId="77777777">
        <w:tc>
          <w:tcPr>
            <w:tcW w:w="2376" w:type="dxa"/>
          </w:tcPr>
          <w:p w14:paraId="74B1A53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П-3 М-52 (Морск.</w:t>
            </w:r>
          </w:p>
        </w:tc>
        <w:tc>
          <w:tcPr>
            <w:tcW w:w="993" w:type="dxa"/>
          </w:tcPr>
          <w:p w14:paraId="5E1CA5A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975" w:type="dxa"/>
          </w:tcPr>
          <w:p w14:paraId="0C0B834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w:t>
            </w:r>
          </w:p>
        </w:tc>
        <w:tc>
          <w:tcPr>
            <w:tcW w:w="846" w:type="dxa"/>
          </w:tcPr>
          <w:p w14:paraId="30B840E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w:t>
            </w:r>
          </w:p>
        </w:tc>
        <w:tc>
          <w:tcPr>
            <w:tcW w:w="749" w:type="dxa"/>
          </w:tcPr>
          <w:p w14:paraId="279F301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799" w:type="dxa"/>
          </w:tcPr>
          <w:p w14:paraId="2104CF7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01.05.33</w:t>
            </w:r>
          </w:p>
        </w:tc>
        <w:tc>
          <w:tcPr>
            <w:tcW w:w="3719" w:type="dxa"/>
          </w:tcPr>
          <w:p w14:paraId="50975A9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ГУГВФ в кредитах отказал. НИАИ работа не ведется.</w:t>
            </w:r>
          </w:p>
        </w:tc>
      </w:tr>
      <w:tr w:rsidR="00F26F01" w:rsidRPr="00C33834" w14:paraId="1FA4D6F2" w14:textId="77777777">
        <w:tc>
          <w:tcPr>
            <w:tcW w:w="2376" w:type="dxa"/>
          </w:tcPr>
          <w:p w14:paraId="731E7CA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школ, корп. развед.,</w:t>
            </w:r>
          </w:p>
        </w:tc>
        <w:tc>
          <w:tcPr>
            <w:tcW w:w="993" w:type="dxa"/>
          </w:tcPr>
          <w:p w14:paraId="73A2475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398124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C00F0E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B26849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FBA6BF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7DCC3F4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Постр. П-3 как и У-3бис сорвана по вине ГУГВФ, </w:t>
            </w:r>
          </w:p>
        </w:tc>
      </w:tr>
      <w:tr w:rsidR="00F26F01" w:rsidRPr="00C33834" w14:paraId="1E03CE4C" w14:textId="77777777">
        <w:tc>
          <w:tcPr>
            <w:tcW w:w="2376" w:type="dxa"/>
          </w:tcPr>
          <w:p w14:paraId="11D6CC7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местные авиалинии)</w:t>
            </w:r>
          </w:p>
        </w:tc>
        <w:tc>
          <w:tcPr>
            <w:tcW w:w="993" w:type="dxa"/>
          </w:tcPr>
          <w:p w14:paraId="786EE72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1A732B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651651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B9F9ED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59E3BA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2637EC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кот. было возл. фин. Произв. база и констр. силы</w:t>
            </w:r>
          </w:p>
        </w:tc>
      </w:tr>
      <w:tr w:rsidR="00F26F01" w:rsidRPr="00C33834" w14:paraId="10AC5724" w14:textId="77777777">
        <w:tc>
          <w:tcPr>
            <w:tcW w:w="2376" w:type="dxa"/>
          </w:tcPr>
          <w:p w14:paraId="130DF4F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пассаж.)</w:t>
            </w:r>
          </w:p>
        </w:tc>
        <w:tc>
          <w:tcPr>
            <w:tcW w:w="993" w:type="dxa"/>
          </w:tcPr>
          <w:p w14:paraId="197B091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0185FA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21AF25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ECF0D6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8420B8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8C1DF9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были, НИИ ВВС дал тех. треб.</w:t>
            </w:r>
          </w:p>
        </w:tc>
      </w:tr>
      <w:tr w:rsidR="00F26F01" w:rsidRPr="00C33834" w14:paraId="0D364AE0" w14:textId="77777777">
        <w:tc>
          <w:tcPr>
            <w:tcW w:w="2376" w:type="dxa"/>
          </w:tcPr>
          <w:p w14:paraId="3E97B00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У-3 М-48 (Учебн.,</w:t>
            </w:r>
          </w:p>
        </w:tc>
        <w:tc>
          <w:tcPr>
            <w:tcW w:w="993" w:type="dxa"/>
          </w:tcPr>
          <w:p w14:paraId="5C49065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180/1000</w:t>
            </w:r>
          </w:p>
        </w:tc>
        <w:tc>
          <w:tcPr>
            <w:tcW w:w="975" w:type="dxa"/>
          </w:tcPr>
          <w:p w14:paraId="7884EC8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w:t>
            </w:r>
          </w:p>
        </w:tc>
        <w:tc>
          <w:tcPr>
            <w:tcW w:w="846" w:type="dxa"/>
          </w:tcPr>
          <w:p w14:paraId="1E71F3D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w:t>
            </w:r>
          </w:p>
        </w:tc>
        <w:tc>
          <w:tcPr>
            <w:tcW w:w="749" w:type="dxa"/>
          </w:tcPr>
          <w:p w14:paraId="14A47D5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360</w:t>
            </w:r>
          </w:p>
        </w:tc>
        <w:tc>
          <w:tcPr>
            <w:tcW w:w="799" w:type="dxa"/>
          </w:tcPr>
          <w:p w14:paraId="056A0EB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01.??.33</w:t>
            </w:r>
          </w:p>
        </w:tc>
        <w:tc>
          <w:tcPr>
            <w:tcW w:w="3719" w:type="dxa"/>
          </w:tcPr>
          <w:p w14:paraId="50C413B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23 ведет эскизн. прораб. с учетом исп. частей</w:t>
            </w:r>
          </w:p>
        </w:tc>
      </w:tr>
      <w:tr w:rsidR="00F26F01" w:rsidRPr="00C33834" w14:paraId="6E0B6ED0" w14:textId="77777777">
        <w:tc>
          <w:tcPr>
            <w:tcW w:w="2376" w:type="dxa"/>
          </w:tcPr>
          <w:p w14:paraId="76E3279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связи и сопр., туризм,</w:t>
            </w:r>
          </w:p>
        </w:tc>
        <w:tc>
          <w:tcPr>
            <w:tcW w:w="993" w:type="dxa"/>
          </w:tcPr>
          <w:p w14:paraId="0373099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F4322F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DA06FE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EF1268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45F61B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01.06.34</w:t>
            </w:r>
          </w:p>
        </w:tc>
        <w:tc>
          <w:tcPr>
            <w:tcW w:w="3719" w:type="dxa"/>
          </w:tcPr>
          <w:p w14:paraId="6A3428B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 М-48 будет дан в декабре. Нов. срок - 01.06.34</w:t>
            </w:r>
          </w:p>
        </w:tc>
      </w:tr>
      <w:tr w:rsidR="00F26F01" w:rsidRPr="00C33834" w14:paraId="53468EE3" w14:textId="77777777">
        <w:tc>
          <w:tcPr>
            <w:tcW w:w="2376" w:type="dxa"/>
          </w:tcPr>
          <w:p w14:paraId="47A71C7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месн. линии, легк. санит.)</w:t>
            </w:r>
          </w:p>
        </w:tc>
        <w:tc>
          <w:tcPr>
            <w:tcW w:w="993" w:type="dxa"/>
          </w:tcPr>
          <w:p w14:paraId="70FB170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BB0658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933C62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246C05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F4D4CC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38653B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будет выд. Договор на постр. с ГУАП не закл., плана</w:t>
            </w:r>
          </w:p>
        </w:tc>
      </w:tr>
      <w:tr w:rsidR="00F26F01" w:rsidRPr="00C33834" w14:paraId="4BA6E5EC" w14:textId="77777777">
        <w:tc>
          <w:tcPr>
            <w:tcW w:w="2376" w:type="dxa"/>
          </w:tcPr>
          <w:p w14:paraId="54E47A8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C3D3B4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417C90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F8871F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088780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E709A7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0E210B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 и постр. - нет (составляется)</w:t>
            </w:r>
          </w:p>
        </w:tc>
      </w:tr>
      <w:tr w:rsidR="00F26F01" w:rsidRPr="00C33834" w14:paraId="2A58EC3D" w14:textId="77777777">
        <w:tc>
          <w:tcPr>
            <w:tcW w:w="2376" w:type="dxa"/>
          </w:tcPr>
          <w:p w14:paraId="5CCF76D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К-7 7М-34 (ТБ и пас.)</w:t>
            </w:r>
          </w:p>
        </w:tc>
        <w:tc>
          <w:tcPr>
            <w:tcW w:w="993" w:type="dxa"/>
          </w:tcPr>
          <w:p w14:paraId="1E0F386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975" w:type="dxa"/>
          </w:tcPr>
          <w:p w14:paraId="48F38B8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3600</w:t>
            </w:r>
          </w:p>
        </w:tc>
        <w:tc>
          <w:tcPr>
            <w:tcW w:w="846" w:type="dxa"/>
          </w:tcPr>
          <w:p w14:paraId="423C982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w:t>
            </w:r>
          </w:p>
        </w:tc>
        <w:tc>
          <w:tcPr>
            <w:tcW w:w="749" w:type="dxa"/>
          </w:tcPr>
          <w:p w14:paraId="29A5EF6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799" w:type="dxa"/>
          </w:tcPr>
          <w:p w14:paraId="5DDE171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01.05.33</w:t>
            </w:r>
          </w:p>
        </w:tc>
        <w:tc>
          <w:tcPr>
            <w:tcW w:w="3719" w:type="dxa"/>
          </w:tcPr>
          <w:p w14:paraId="2C288A9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Постройка и сборка крыла и фюз. и оперения законч.</w:t>
            </w:r>
          </w:p>
        </w:tc>
      </w:tr>
      <w:tr w:rsidR="00F26F01" w:rsidRPr="00C33834" w14:paraId="15E88A7C" w14:textId="77777777">
        <w:tc>
          <w:tcPr>
            <w:tcW w:w="2376" w:type="dxa"/>
          </w:tcPr>
          <w:p w14:paraId="306BBAE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FEDE21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4088D9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72BA00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w:t>
            </w:r>
          </w:p>
        </w:tc>
        <w:tc>
          <w:tcPr>
            <w:tcW w:w="749" w:type="dxa"/>
          </w:tcPr>
          <w:p w14:paraId="0FA7412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E7A49E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01.09.33</w:t>
            </w:r>
          </w:p>
        </w:tc>
        <w:tc>
          <w:tcPr>
            <w:tcW w:w="3719" w:type="dxa"/>
          </w:tcPr>
          <w:p w14:paraId="5471341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Производится обтяжка и оборудован. Заводск. испыт.</w:t>
            </w:r>
          </w:p>
        </w:tc>
      </w:tr>
      <w:tr w:rsidR="00F26F01" w:rsidRPr="00C33834" w14:paraId="2103C5A0" w14:textId="77777777">
        <w:tc>
          <w:tcPr>
            <w:tcW w:w="2376" w:type="dxa"/>
          </w:tcPr>
          <w:p w14:paraId="1515840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575BC6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0C8C0E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09D853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60D196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F95412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BF0D40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могут нач. в августе</w:t>
            </w:r>
          </w:p>
        </w:tc>
      </w:tr>
      <w:tr w:rsidR="00F26F01" w:rsidRPr="00C33834" w14:paraId="767F6080" w14:textId="77777777">
        <w:tc>
          <w:tcPr>
            <w:tcW w:w="2376" w:type="dxa"/>
          </w:tcPr>
          <w:p w14:paraId="28C148D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Экспериментальные самолеты</w:t>
            </w:r>
          </w:p>
        </w:tc>
        <w:tc>
          <w:tcPr>
            <w:tcW w:w="993" w:type="dxa"/>
          </w:tcPr>
          <w:p w14:paraId="1A1539E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B5B10C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FA0B06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29BA1F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7A1CFC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45AC1A7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66F7B10" w14:textId="77777777">
        <w:tc>
          <w:tcPr>
            <w:tcW w:w="2376" w:type="dxa"/>
          </w:tcPr>
          <w:p w14:paraId="0FA60D9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Высотн. РВ</w:t>
            </w:r>
          </w:p>
        </w:tc>
        <w:tc>
          <w:tcPr>
            <w:tcW w:w="993" w:type="dxa"/>
          </w:tcPr>
          <w:p w14:paraId="7063C30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75" w:type="dxa"/>
          </w:tcPr>
          <w:p w14:paraId="3E3CC7D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15000</w:t>
            </w:r>
          </w:p>
        </w:tc>
        <w:tc>
          <w:tcPr>
            <w:tcW w:w="846" w:type="dxa"/>
          </w:tcPr>
          <w:p w14:paraId="3CCB723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49" w:type="dxa"/>
          </w:tcPr>
          <w:p w14:paraId="63E9DCD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99" w:type="dxa"/>
          </w:tcPr>
          <w:p w14:paraId="1DCAA9D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01.08.32</w:t>
            </w:r>
          </w:p>
        </w:tc>
        <w:tc>
          <w:tcPr>
            <w:tcW w:w="3719" w:type="dxa"/>
          </w:tcPr>
          <w:p w14:paraId="02E215E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 срок РВСР 01.01.34. Будет снабж. М-34 без нагн.</w:t>
            </w:r>
          </w:p>
        </w:tc>
      </w:tr>
      <w:tr w:rsidR="00F26F01" w:rsidRPr="00C33834" w14:paraId="763B2CAC" w14:textId="77777777">
        <w:tc>
          <w:tcPr>
            <w:tcW w:w="2376" w:type="dxa"/>
          </w:tcPr>
          <w:p w14:paraId="6DD0F27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3F2FEC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C23C9B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3FE53A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EDB6C1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2CF241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01.01.34</w:t>
            </w:r>
          </w:p>
        </w:tc>
        <w:tc>
          <w:tcPr>
            <w:tcW w:w="3719" w:type="dxa"/>
          </w:tcPr>
          <w:p w14:paraId="0FA98AB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 закончено. Ведется постройка (загот. и дет.)</w:t>
            </w:r>
          </w:p>
        </w:tc>
      </w:tr>
      <w:tr w:rsidR="00F26F01" w:rsidRPr="00C33834" w14:paraId="513D893B" w14:textId="77777777">
        <w:tc>
          <w:tcPr>
            <w:tcW w:w="2376" w:type="dxa"/>
          </w:tcPr>
          <w:p w14:paraId="572DCA6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2BABE7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128B38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317CA1B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55457C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FB90C0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90FE12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Сборка на стап. не начата. Из-за невыс. мотора потол.</w:t>
            </w:r>
          </w:p>
        </w:tc>
      </w:tr>
      <w:tr w:rsidR="00F26F01" w:rsidRPr="00C33834" w14:paraId="000B71ED" w14:textId="77777777">
        <w:tc>
          <w:tcPr>
            <w:tcW w:w="2376" w:type="dxa"/>
          </w:tcPr>
          <w:p w14:paraId="40C6842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AC7F52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4159D9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C4C307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1ECAB1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F6D358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BAA51A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будет 6-7000 м</w:t>
            </w:r>
          </w:p>
        </w:tc>
      </w:tr>
      <w:tr w:rsidR="00F26F01" w:rsidRPr="00C33834" w14:paraId="397E8A57" w14:textId="77777777">
        <w:tc>
          <w:tcPr>
            <w:tcW w:w="2376" w:type="dxa"/>
          </w:tcPr>
          <w:p w14:paraId="521E471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Рекорд на дальн.</w:t>
            </w:r>
          </w:p>
        </w:tc>
        <w:tc>
          <w:tcPr>
            <w:tcW w:w="993" w:type="dxa"/>
          </w:tcPr>
          <w:p w14:paraId="6E9B48A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75" w:type="dxa"/>
          </w:tcPr>
          <w:p w14:paraId="5640093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46" w:type="dxa"/>
          </w:tcPr>
          <w:p w14:paraId="71AE39E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49" w:type="dxa"/>
          </w:tcPr>
          <w:p w14:paraId="43F0323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99" w:type="dxa"/>
          </w:tcPr>
          <w:p w14:paraId="70C3B6B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01.08.32</w:t>
            </w:r>
          </w:p>
        </w:tc>
        <w:tc>
          <w:tcPr>
            <w:tcW w:w="3719" w:type="dxa"/>
          </w:tcPr>
          <w:p w14:paraId="1F451D3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Постр. законч., ведутся зав. испыт., показ. хорош. </w:t>
            </w:r>
          </w:p>
        </w:tc>
      </w:tr>
      <w:tr w:rsidR="00F26F01" w:rsidRPr="00C33834" w14:paraId="2A16873E" w14:textId="77777777">
        <w:tc>
          <w:tcPr>
            <w:tcW w:w="2376" w:type="dxa"/>
          </w:tcPr>
          <w:p w14:paraId="468E10C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325C48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AF272D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22DB57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E96A78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4A70E5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7DED17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ЛТД и отс. крупн. деф.. Сер. деф. - течь крыльев.</w:t>
            </w:r>
          </w:p>
        </w:tc>
      </w:tr>
      <w:tr w:rsidR="00F26F01" w:rsidRPr="00C33834" w14:paraId="75556FE4" w14:textId="77777777">
        <w:tc>
          <w:tcPr>
            <w:tcW w:w="2376" w:type="dxa"/>
          </w:tcPr>
          <w:p w14:paraId="3D4F142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DC5636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8833F9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E2B16D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61701A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BA83B1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FEEC05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радиат., сдел. из латуни. В ЦАГИ заканч. постр. </w:t>
            </w:r>
          </w:p>
        </w:tc>
      </w:tr>
      <w:tr w:rsidR="00F26F01" w:rsidRPr="00C33834" w14:paraId="25325943" w14:textId="77777777">
        <w:tc>
          <w:tcPr>
            <w:tcW w:w="2376" w:type="dxa"/>
          </w:tcPr>
          <w:p w14:paraId="69B2770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E8E76C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A6EB11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38BA2D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EF28E0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A40B6A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FAB2EE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радиаторов из нерж. стали</w:t>
            </w:r>
          </w:p>
        </w:tc>
      </w:tr>
      <w:tr w:rsidR="00F26F01" w:rsidRPr="00C33834" w14:paraId="5FB35492" w14:textId="77777777">
        <w:tc>
          <w:tcPr>
            <w:tcW w:w="2376" w:type="dxa"/>
          </w:tcPr>
          <w:p w14:paraId="17972BE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ЛК 2М-11 (Пораб.</w:t>
            </w:r>
          </w:p>
        </w:tc>
        <w:tc>
          <w:tcPr>
            <w:tcW w:w="993" w:type="dxa"/>
          </w:tcPr>
          <w:p w14:paraId="1D7CA24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75" w:type="dxa"/>
          </w:tcPr>
          <w:p w14:paraId="516A315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46" w:type="dxa"/>
          </w:tcPr>
          <w:p w14:paraId="71F3D59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49" w:type="dxa"/>
          </w:tcPr>
          <w:p w14:paraId="325696F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99" w:type="dxa"/>
          </w:tcPr>
          <w:p w14:paraId="3EE96A4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01.??.33</w:t>
            </w:r>
          </w:p>
        </w:tc>
        <w:tc>
          <w:tcPr>
            <w:tcW w:w="3719" w:type="dxa"/>
          </w:tcPr>
          <w:p w14:paraId="1B9FE22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 срок РВСР - 10.01.34. Вед. работа по эск. пр.</w:t>
            </w:r>
          </w:p>
        </w:tc>
      </w:tr>
      <w:tr w:rsidR="00F26F01" w:rsidRPr="00C33834" w14:paraId="12E92ADA" w14:textId="77777777">
        <w:tc>
          <w:tcPr>
            <w:tcW w:w="2376" w:type="dxa"/>
          </w:tcPr>
          <w:p w14:paraId="7DC0488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Черановского)</w:t>
            </w:r>
          </w:p>
        </w:tc>
        <w:tc>
          <w:tcPr>
            <w:tcW w:w="993" w:type="dxa"/>
          </w:tcPr>
          <w:p w14:paraId="54ABDEB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08C648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4F8880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D871BE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3456E7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01.01.34</w:t>
            </w:r>
          </w:p>
        </w:tc>
        <w:tc>
          <w:tcPr>
            <w:tcW w:w="3719" w:type="dxa"/>
          </w:tcPr>
          <w:p w14:paraId="29AAA78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ЛК под 2 М-11</w:t>
            </w:r>
          </w:p>
        </w:tc>
      </w:tr>
      <w:tr w:rsidR="00F26F01" w:rsidRPr="00C33834" w14:paraId="5D585628" w14:textId="77777777">
        <w:tc>
          <w:tcPr>
            <w:tcW w:w="2376" w:type="dxa"/>
          </w:tcPr>
          <w:p w14:paraId="161DB40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Сам. с особ. типом</w:t>
            </w:r>
          </w:p>
        </w:tc>
        <w:tc>
          <w:tcPr>
            <w:tcW w:w="993" w:type="dxa"/>
          </w:tcPr>
          <w:p w14:paraId="0C8F56C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75" w:type="dxa"/>
          </w:tcPr>
          <w:p w14:paraId="720167B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46" w:type="dxa"/>
          </w:tcPr>
          <w:p w14:paraId="3AF4934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49" w:type="dxa"/>
          </w:tcPr>
          <w:p w14:paraId="53C2BC7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99" w:type="dxa"/>
          </w:tcPr>
          <w:p w14:paraId="70C531D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01.12.32</w:t>
            </w:r>
          </w:p>
        </w:tc>
        <w:tc>
          <w:tcPr>
            <w:tcW w:w="3719" w:type="dxa"/>
          </w:tcPr>
          <w:p w14:paraId="5815F4A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 СТО дало новый срок - 01.10.33. Проектир. зак.</w:t>
            </w:r>
          </w:p>
        </w:tc>
      </w:tr>
      <w:tr w:rsidR="00F26F01" w:rsidRPr="00C33834" w14:paraId="106F4861" w14:textId="77777777">
        <w:tc>
          <w:tcPr>
            <w:tcW w:w="2376" w:type="dxa"/>
          </w:tcPr>
          <w:p w14:paraId="20EE170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 крыльев</w:t>
            </w:r>
          </w:p>
        </w:tc>
        <w:tc>
          <w:tcPr>
            <w:tcW w:w="993" w:type="dxa"/>
          </w:tcPr>
          <w:p w14:paraId="68F6EB0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3A2F97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E49B54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CBC5D9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15EC91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01.10.33</w:t>
            </w:r>
          </w:p>
        </w:tc>
        <w:tc>
          <w:tcPr>
            <w:tcW w:w="3719" w:type="dxa"/>
          </w:tcPr>
          <w:p w14:paraId="7C5628F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Ведется постройка в части загот. на крылья и фюзеляж</w:t>
            </w:r>
          </w:p>
        </w:tc>
      </w:tr>
      <w:tr w:rsidR="00F26F01" w:rsidRPr="00C33834" w14:paraId="0F7E5D32" w14:textId="77777777">
        <w:tc>
          <w:tcPr>
            <w:tcW w:w="2376" w:type="dxa"/>
          </w:tcPr>
          <w:p w14:paraId="18387C6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?Т-3 (Геликоптер)</w:t>
            </w:r>
          </w:p>
        </w:tc>
        <w:tc>
          <w:tcPr>
            <w:tcW w:w="993" w:type="dxa"/>
          </w:tcPr>
          <w:p w14:paraId="4A08E94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75" w:type="dxa"/>
          </w:tcPr>
          <w:p w14:paraId="52EA710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46" w:type="dxa"/>
          </w:tcPr>
          <w:p w14:paraId="06FE2B4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49" w:type="dxa"/>
          </w:tcPr>
          <w:p w14:paraId="5FCE01B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99" w:type="dxa"/>
          </w:tcPr>
          <w:p w14:paraId="7D242CD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01.12.33</w:t>
            </w:r>
          </w:p>
        </w:tc>
        <w:tc>
          <w:tcPr>
            <w:tcW w:w="3719" w:type="dxa"/>
          </w:tcPr>
          <w:p w14:paraId="6FD9BEE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 экз. проход. исслед. испытания. Второй с 3-х</w:t>
            </w:r>
          </w:p>
        </w:tc>
      </w:tr>
      <w:tr w:rsidR="00F26F01" w:rsidRPr="00C33834" w14:paraId="59B1017B" w14:textId="77777777">
        <w:tc>
          <w:tcPr>
            <w:tcW w:w="2376" w:type="dxa"/>
          </w:tcPr>
          <w:p w14:paraId="7DCA0B9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B2ADA0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5FAE6E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57A0EA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6900BF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F287FB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FB7652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лоп. винтом поступает на заводские иссле. испытания</w:t>
            </w:r>
          </w:p>
        </w:tc>
      </w:tr>
      <w:tr w:rsidR="00F26F01" w:rsidRPr="00C33834" w14:paraId="21541676" w14:textId="77777777">
        <w:tc>
          <w:tcPr>
            <w:tcW w:w="2376" w:type="dxa"/>
          </w:tcPr>
          <w:p w14:paraId="7692A3D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2A59A3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619577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53E42D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096B8D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13E440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CC3DF2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июля 1933</w:t>
            </w:r>
          </w:p>
        </w:tc>
      </w:tr>
      <w:tr w:rsidR="00F26F01" w:rsidRPr="00C33834" w14:paraId="056DB243" w14:textId="77777777">
        <w:tc>
          <w:tcPr>
            <w:tcW w:w="2376" w:type="dxa"/>
          </w:tcPr>
          <w:p w14:paraId="31EE710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Автожир с М-11</w:t>
            </w:r>
          </w:p>
        </w:tc>
        <w:tc>
          <w:tcPr>
            <w:tcW w:w="993" w:type="dxa"/>
          </w:tcPr>
          <w:p w14:paraId="2373E4C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75" w:type="dxa"/>
          </w:tcPr>
          <w:p w14:paraId="301D679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46" w:type="dxa"/>
          </w:tcPr>
          <w:p w14:paraId="731BBA8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49" w:type="dxa"/>
          </w:tcPr>
          <w:p w14:paraId="09CFF9D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99" w:type="dxa"/>
          </w:tcPr>
          <w:p w14:paraId="0AB00EC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01.11.32</w:t>
            </w:r>
          </w:p>
        </w:tc>
        <w:tc>
          <w:tcPr>
            <w:tcW w:w="3719" w:type="dxa"/>
          </w:tcPr>
          <w:p w14:paraId="1F33130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Голов. сер. автожир с М-26 (из серии автож., строящ.</w:t>
            </w:r>
          </w:p>
        </w:tc>
      </w:tr>
      <w:tr w:rsidR="00F26F01" w:rsidRPr="00C33834" w14:paraId="5264FC72" w14:textId="77777777">
        <w:tc>
          <w:tcPr>
            <w:tcW w:w="2376" w:type="dxa"/>
          </w:tcPr>
          <w:p w14:paraId="5C5C691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0386C6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FA3651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A6ADE2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0D874A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B00DEC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авг. 1933</w:t>
            </w:r>
          </w:p>
        </w:tc>
        <w:tc>
          <w:tcPr>
            <w:tcW w:w="3719" w:type="dxa"/>
          </w:tcPr>
          <w:p w14:paraId="5B6F282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Киевском заводе) законч. зав. испытания. Осн.</w:t>
            </w:r>
          </w:p>
        </w:tc>
      </w:tr>
      <w:tr w:rsidR="00F26F01" w:rsidRPr="00C33834" w14:paraId="2E64550D" w14:textId="77777777">
        <w:tc>
          <w:tcPr>
            <w:tcW w:w="2376" w:type="dxa"/>
          </w:tcPr>
          <w:p w14:paraId="073580C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A9AF4B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5AAEBD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9259AE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2B3571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520234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CF56D0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прич. задержк. - деформац. лопастей ротора, потреб.</w:t>
            </w:r>
          </w:p>
        </w:tc>
      </w:tr>
      <w:tr w:rsidR="00F26F01" w:rsidRPr="00C33834" w14:paraId="48C4655C" w14:textId="77777777">
        <w:tc>
          <w:tcPr>
            <w:tcW w:w="2376" w:type="dxa"/>
          </w:tcPr>
          <w:p w14:paraId="5A1F8D5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77E369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00145F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BE5683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ADC309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C41018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4E538E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переделок. Показал потолок 1500 м и скорость 190 км/ч</w:t>
            </w:r>
          </w:p>
        </w:tc>
      </w:tr>
      <w:tr w:rsidR="00F26F01" w:rsidRPr="00C33834" w14:paraId="32D1484D" w14:textId="77777777">
        <w:tc>
          <w:tcPr>
            <w:tcW w:w="2376" w:type="dxa"/>
          </w:tcPr>
          <w:p w14:paraId="31714EC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2E8897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DEDFA7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DAE5A1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4C3A47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089170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644A74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1-й декаде июля авт. будет передан на гос. испыт.</w:t>
            </w:r>
          </w:p>
        </w:tc>
      </w:tr>
      <w:tr w:rsidR="00F26F01" w:rsidRPr="00C33834" w14:paraId="7F62D83F" w14:textId="77777777">
        <w:tc>
          <w:tcPr>
            <w:tcW w:w="2376" w:type="dxa"/>
          </w:tcPr>
          <w:p w14:paraId="21CF6F3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DEADD9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64315E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6ABF14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D55303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8286FC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255C49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 с М-11 постр. закончен и проход. заводские исп.</w:t>
            </w:r>
          </w:p>
        </w:tc>
      </w:tr>
      <w:tr w:rsidR="00F26F01" w:rsidRPr="00C33834" w14:paraId="216DABDF" w14:textId="77777777">
        <w:tc>
          <w:tcPr>
            <w:tcW w:w="2376" w:type="dxa"/>
          </w:tcPr>
          <w:p w14:paraId="0E0EE67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CAC4D8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92810C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117CA1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8B1294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F8A515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485FE1F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показ. отсутств. крупн. деф. констр. На гос. испыт.</w:t>
            </w:r>
          </w:p>
        </w:tc>
      </w:tr>
      <w:tr w:rsidR="00F26F01" w:rsidRPr="00C33834" w14:paraId="05A92C4A" w14:textId="77777777">
        <w:tc>
          <w:tcPr>
            <w:tcW w:w="2376" w:type="dxa"/>
          </w:tcPr>
          <w:p w14:paraId="07675D0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368DFA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95840F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9C1FC6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1FCFB1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139B55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DEE9A7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поступит в августе</w:t>
            </w:r>
          </w:p>
        </w:tc>
      </w:tr>
      <w:tr w:rsidR="00F26F01" w:rsidRPr="00C33834" w14:paraId="447FF4FB" w14:textId="77777777">
        <w:tc>
          <w:tcPr>
            <w:tcW w:w="2376" w:type="dxa"/>
          </w:tcPr>
          <w:p w14:paraId="4614D0E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Автожир с М-22</w:t>
            </w:r>
          </w:p>
        </w:tc>
        <w:tc>
          <w:tcPr>
            <w:tcW w:w="993" w:type="dxa"/>
          </w:tcPr>
          <w:p w14:paraId="279FD6D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75" w:type="dxa"/>
          </w:tcPr>
          <w:p w14:paraId="3A0289B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46" w:type="dxa"/>
          </w:tcPr>
          <w:p w14:paraId="0E6927F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49" w:type="dxa"/>
          </w:tcPr>
          <w:p w14:paraId="732FE2D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99" w:type="dxa"/>
          </w:tcPr>
          <w:p w14:paraId="0F1E01F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01.??.32</w:t>
            </w:r>
          </w:p>
        </w:tc>
        <w:tc>
          <w:tcPr>
            <w:tcW w:w="3719" w:type="dxa"/>
          </w:tcPr>
          <w:p w14:paraId="0D3EFD1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 законч. Автожир в постройке. Фюзеляж</w:t>
            </w:r>
          </w:p>
        </w:tc>
      </w:tr>
      <w:tr w:rsidR="00F26F01" w:rsidRPr="00C33834" w14:paraId="338BC09D" w14:textId="77777777">
        <w:tc>
          <w:tcPr>
            <w:tcW w:w="2376" w:type="dxa"/>
          </w:tcPr>
          <w:p w14:paraId="7BE61FA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659BED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BFAD7C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135DF4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AC3F19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A19557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01.??.33</w:t>
            </w:r>
          </w:p>
        </w:tc>
        <w:tc>
          <w:tcPr>
            <w:tcW w:w="3719" w:type="dxa"/>
          </w:tcPr>
          <w:p w14:paraId="38F1E93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свар. в стапелях. Общ. гот. - 60%. Новый срок РВСР -</w:t>
            </w:r>
          </w:p>
        </w:tc>
      </w:tr>
      <w:tr w:rsidR="00F26F01" w:rsidRPr="00C33834" w14:paraId="566B3901" w14:textId="77777777">
        <w:tc>
          <w:tcPr>
            <w:tcW w:w="2376" w:type="dxa"/>
          </w:tcPr>
          <w:p w14:paraId="1369094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F958BC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720713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2A3301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979445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C3F90D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01.??.33</w:t>
            </w:r>
          </w:p>
        </w:tc>
        <w:tc>
          <w:tcPr>
            <w:tcW w:w="3719" w:type="dxa"/>
          </w:tcPr>
          <w:p w14:paraId="1DA4CD7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F830634" w14:textId="77777777">
        <w:tc>
          <w:tcPr>
            <w:tcW w:w="2376" w:type="dxa"/>
          </w:tcPr>
          <w:p w14:paraId="6A76AEF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Самолет с реакт.</w:t>
            </w:r>
          </w:p>
        </w:tc>
        <w:tc>
          <w:tcPr>
            <w:tcW w:w="993" w:type="dxa"/>
          </w:tcPr>
          <w:p w14:paraId="6623C84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75" w:type="dxa"/>
          </w:tcPr>
          <w:p w14:paraId="05C7E1C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46" w:type="dxa"/>
          </w:tcPr>
          <w:p w14:paraId="602D64C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49" w:type="dxa"/>
          </w:tcPr>
          <w:p w14:paraId="4880568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99" w:type="dxa"/>
          </w:tcPr>
          <w:p w14:paraId="7E8434E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719" w:type="dxa"/>
          </w:tcPr>
          <w:p w14:paraId="30EEAD8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Продолж. исслед. испыт. двигат. в ГИРД и ГДЛ</w:t>
            </w:r>
          </w:p>
        </w:tc>
      </w:tr>
      <w:tr w:rsidR="00F26F01" w:rsidRPr="00C33834" w14:paraId="46F13578" w14:textId="77777777">
        <w:tc>
          <w:tcPr>
            <w:tcW w:w="2376" w:type="dxa"/>
          </w:tcPr>
          <w:p w14:paraId="7091D8A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двигателем</w:t>
            </w:r>
          </w:p>
        </w:tc>
        <w:tc>
          <w:tcPr>
            <w:tcW w:w="993" w:type="dxa"/>
          </w:tcPr>
          <w:p w14:paraId="2631376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926BE2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E59112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9F3766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C12560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67A8FF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5B1FEBD" w14:textId="77777777">
        <w:tc>
          <w:tcPr>
            <w:tcW w:w="2376" w:type="dxa"/>
          </w:tcPr>
          <w:p w14:paraId="2E9D0E6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Самолет с раздв.</w:t>
            </w:r>
          </w:p>
        </w:tc>
        <w:tc>
          <w:tcPr>
            <w:tcW w:w="993" w:type="dxa"/>
          </w:tcPr>
          <w:p w14:paraId="5A3EDFD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75" w:type="dxa"/>
          </w:tcPr>
          <w:p w14:paraId="391DDAB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46" w:type="dxa"/>
          </w:tcPr>
          <w:p w14:paraId="495CDE1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49" w:type="dxa"/>
          </w:tcPr>
          <w:p w14:paraId="0AC043D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99" w:type="dxa"/>
          </w:tcPr>
          <w:p w14:paraId="0CF746C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01.05.33</w:t>
            </w:r>
          </w:p>
        </w:tc>
        <w:tc>
          <w:tcPr>
            <w:tcW w:w="3719" w:type="dxa"/>
          </w:tcPr>
          <w:p w14:paraId="0563189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НИАИ отказал в отпуске средств. Проектир. не ведет.</w:t>
            </w:r>
          </w:p>
        </w:tc>
      </w:tr>
      <w:tr w:rsidR="00F26F01" w:rsidRPr="00C33834" w14:paraId="00F4814C" w14:textId="77777777">
        <w:tc>
          <w:tcPr>
            <w:tcW w:w="2376" w:type="dxa"/>
          </w:tcPr>
          <w:p w14:paraId="58867BD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крыльями</w:t>
            </w:r>
          </w:p>
        </w:tc>
        <w:tc>
          <w:tcPr>
            <w:tcW w:w="993" w:type="dxa"/>
          </w:tcPr>
          <w:p w14:paraId="3A4ABA0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FCEA7B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604A17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AB2725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AD8A0C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39E0A0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НИАИ ищет средств. и из своих рес. прод. работу</w:t>
            </w:r>
          </w:p>
        </w:tc>
      </w:tr>
      <w:tr w:rsidR="00F26F01" w:rsidRPr="00C33834" w14:paraId="34F43321" w14:textId="77777777">
        <w:tc>
          <w:tcPr>
            <w:tcW w:w="2376" w:type="dxa"/>
          </w:tcPr>
          <w:p w14:paraId="3F10FBA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Сампоет с нефт.</w:t>
            </w:r>
          </w:p>
        </w:tc>
        <w:tc>
          <w:tcPr>
            <w:tcW w:w="993" w:type="dxa"/>
          </w:tcPr>
          <w:p w14:paraId="0993149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75" w:type="dxa"/>
          </w:tcPr>
          <w:p w14:paraId="6A8A429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46" w:type="dxa"/>
          </w:tcPr>
          <w:p w14:paraId="5528A0B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49" w:type="dxa"/>
          </w:tcPr>
          <w:p w14:paraId="12AAB03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99" w:type="dxa"/>
          </w:tcPr>
          <w:p w14:paraId="393669F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719" w:type="dxa"/>
          </w:tcPr>
          <w:p w14:paraId="778B457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не ведется</w:t>
            </w:r>
          </w:p>
        </w:tc>
      </w:tr>
      <w:tr w:rsidR="00F26F01" w:rsidRPr="00C33834" w14:paraId="4C747765" w14:textId="77777777">
        <w:tc>
          <w:tcPr>
            <w:tcW w:w="2376" w:type="dxa"/>
          </w:tcPr>
          <w:p w14:paraId="175A57A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 Паккард</w:t>
            </w:r>
          </w:p>
        </w:tc>
        <w:tc>
          <w:tcPr>
            <w:tcW w:w="993" w:type="dxa"/>
          </w:tcPr>
          <w:p w14:paraId="7FE0586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CAC925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37686C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51DF14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8BD772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791B90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ADAFCCB" w14:textId="77777777">
        <w:tc>
          <w:tcPr>
            <w:tcW w:w="2376" w:type="dxa"/>
          </w:tcPr>
          <w:p w14:paraId="2B15317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Особая группа</w:t>
            </w:r>
          </w:p>
        </w:tc>
        <w:tc>
          <w:tcPr>
            <w:tcW w:w="993" w:type="dxa"/>
          </w:tcPr>
          <w:p w14:paraId="6717588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5AD0D8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AEC30D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21A37D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2DD127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61B280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7854D74" w14:textId="77777777">
        <w:tc>
          <w:tcPr>
            <w:tcW w:w="2376" w:type="dxa"/>
          </w:tcPr>
          <w:p w14:paraId="7E20BB5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Самолет таран</w:t>
            </w:r>
          </w:p>
        </w:tc>
        <w:tc>
          <w:tcPr>
            <w:tcW w:w="993" w:type="dxa"/>
          </w:tcPr>
          <w:p w14:paraId="48BF7F9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75" w:type="dxa"/>
          </w:tcPr>
          <w:p w14:paraId="758E003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46" w:type="dxa"/>
          </w:tcPr>
          <w:p w14:paraId="63AA572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49" w:type="dxa"/>
          </w:tcPr>
          <w:p w14:paraId="18DF517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99" w:type="dxa"/>
          </w:tcPr>
          <w:p w14:paraId="4A44D5D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719" w:type="dxa"/>
          </w:tcPr>
          <w:p w14:paraId="4DCD496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 расчет показал, что самол. не сможет удовл.</w:t>
            </w:r>
          </w:p>
        </w:tc>
      </w:tr>
      <w:tr w:rsidR="00F26F01" w:rsidRPr="00C33834" w14:paraId="7DD575A1" w14:textId="77777777">
        <w:tc>
          <w:tcPr>
            <w:tcW w:w="2376" w:type="dxa"/>
          </w:tcPr>
          <w:p w14:paraId="2FF949F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9972EA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7E5465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1C8154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3E51BE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76D832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7F4E671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требуемых ЛД как таран, а исп. и перед. под истребит.</w:t>
            </w:r>
          </w:p>
        </w:tc>
      </w:tr>
      <w:tr w:rsidR="00F26F01" w:rsidRPr="00C33834" w14:paraId="130DC52B" w14:textId="77777777">
        <w:tc>
          <w:tcPr>
            <w:tcW w:w="2376" w:type="dxa"/>
          </w:tcPr>
          <w:p w14:paraId="010E9C0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8835EE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2DB9E0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E4A520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43A238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5728A8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63825C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рациональна и работа над этим вариантом прекр.</w:t>
            </w:r>
          </w:p>
        </w:tc>
      </w:tr>
      <w:tr w:rsidR="00F26F01" w:rsidRPr="00C33834" w14:paraId="574BF028" w14:textId="77777777">
        <w:tc>
          <w:tcPr>
            <w:tcW w:w="2376" w:type="dxa"/>
          </w:tcPr>
          <w:p w14:paraId="1251CAD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6DFEAE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7448F3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C371A4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8F7115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9604B3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E330B7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 группа передана на завод 39</w:t>
            </w:r>
          </w:p>
        </w:tc>
      </w:tr>
      <w:tr w:rsidR="00F26F01" w:rsidRPr="00C33834" w14:paraId="51D4276E" w14:textId="77777777">
        <w:tc>
          <w:tcPr>
            <w:tcW w:w="2376" w:type="dxa"/>
          </w:tcPr>
          <w:p w14:paraId="1749082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Модификации</w:t>
            </w:r>
          </w:p>
        </w:tc>
        <w:tc>
          <w:tcPr>
            <w:tcW w:w="993" w:type="dxa"/>
          </w:tcPr>
          <w:p w14:paraId="67CA569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86804C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98CACD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4CFD72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47DB03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4DEC90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7FFC44C" w14:textId="77777777">
        <w:tc>
          <w:tcPr>
            <w:tcW w:w="2376" w:type="dxa"/>
          </w:tcPr>
          <w:p w14:paraId="52F97EC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Уст. М-34 на ТБ-3 М-17</w:t>
            </w:r>
          </w:p>
        </w:tc>
        <w:tc>
          <w:tcPr>
            <w:tcW w:w="993" w:type="dxa"/>
          </w:tcPr>
          <w:p w14:paraId="48816DA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75" w:type="dxa"/>
          </w:tcPr>
          <w:p w14:paraId="2857DBC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46" w:type="dxa"/>
          </w:tcPr>
          <w:p w14:paraId="4D97722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49" w:type="dxa"/>
          </w:tcPr>
          <w:p w14:paraId="46023A1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99" w:type="dxa"/>
          </w:tcPr>
          <w:p w14:paraId="5E7BB05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01.12.32</w:t>
            </w:r>
          </w:p>
        </w:tc>
        <w:tc>
          <w:tcPr>
            <w:tcW w:w="3719" w:type="dxa"/>
          </w:tcPr>
          <w:p w14:paraId="4A27E81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ист. кварт. велась доводка ВМГ в части маслорад.</w:t>
            </w:r>
          </w:p>
        </w:tc>
      </w:tr>
      <w:tr w:rsidR="00F26F01" w:rsidRPr="00C33834" w14:paraId="372B7214" w14:textId="77777777">
        <w:tc>
          <w:tcPr>
            <w:tcW w:w="2376" w:type="dxa"/>
          </w:tcPr>
          <w:p w14:paraId="2A1A80C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5CC5FF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C8952C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B38846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23CA93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C35044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янв. 1933</w:t>
            </w:r>
          </w:p>
        </w:tc>
        <w:tc>
          <w:tcPr>
            <w:tcW w:w="3719" w:type="dxa"/>
          </w:tcPr>
          <w:p w14:paraId="68F26C2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Работают удовл. ЦАГИ предп. в 1-2 декады июля закон.</w:t>
            </w:r>
          </w:p>
        </w:tc>
      </w:tr>
      <w:tr w:rsidR="00F26F01" w:rsidRPr="00C33834" w14:paraId="45FA6E13" w14:textId="77777777">
        <w:tc>
          <w:tcPr>
            <w:tcW w:w="2376" w:type="dxa"/>
          </w:tcPr>
          <w:p w14:paraId="18C42A4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897BF4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092424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604F00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6787D9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77766F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4AB612C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заводские испыт. и передать на гос. испытания</w:t>
            </w:r>
          </w:p>
        </w:tc>
      </w:tr>
      <w:tr w:rsidR="00F26F01" w:rsidRPr="00C33834" w14:paraId="3DA4A77A" w14:textId="77777777">
        <w:tc>
          <w:tcPr>
            <w:tcW w:w="2376" w:type="dxa"/>
          </w:tcPr>
          <w:p w14:paraId="335DA15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Уст. М-34 на ТШ-2</w:t>
            </w:r>
          </w:p>
        </w:tc>
        <w:tc>
          <w:tcPr>
            <w:tcW w:w="993" w:type="dxa"/>
          </w:tcPr>
          <w:p w14:paraId="2A02BF8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75" w:type="dxa"/>
          </w:tcPr>
          <w:p w14:paraId="46795CE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46" w:type="dxa"/>
          </w:tcPr>
          <w:p w14:paraId="38ECF33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49" w:type="dxa"/>
          </w:tcPr>
          <w:p w14:paraId="753C3A4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99" w:type="dxa"/>
          </w:tcPr>
          <w:p w14:paraId="2294D52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01.04.33</w:t>
            </w:r>
          </w:p>
        </w:tc>
        <w:tc>
          <w:tcPr>
            <w:tcW w:w="3719" w:type="dxa"/>
          </w:tcPr>
          <w:p w14:paraId="42C2939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Согл. пост. СТО заменен ТШ-3 М-34. Новый срок </w:t>
            </w:r>
          </w:p>
        </w:tc>
      </w:tr>
      <w:tr w:rsidR="00F26F01" w:rsidRPr="00C33834" w14:paraId="525DD659" w14:textId="77777777">
        <w:tc>
          <w:tcPr>
            <w:tcW w:w="2376" w:type="dxa"/>
          </w:tcPr>
          <w:p w14:paraId="70B9BFD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100C69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5CF468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BD1814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F5A8C7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FCC7AB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28BA5A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РВСР 01.02.34</w:t>
            </w:r>
          </w:p>
        </w:tc>
      </w:tr>
      <w:tr w:rsidR="00F26F01" w:rsidRPr="00C33834" w14:paraId="1F4A6723" w14:textId="77777777">
        <w:tc>
          <w:tcPr>
            <w:tcW w:w="2376" w:type="dxa"/>
          </w:tcPr>
          <w:p w14:paraId="74F4EB6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Подг. этал. Р-5 М-34</w:t>
            </w:r>
          </w:p>
        </w:tc>
        <w:tc>
          <w:tcPr>
            <w:tcW w:w="993" w:type="dxa"/>
          </w:tcPr>
          <w:p w14:paraId="72F7847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75" w:type="dxa"/>
          </w:tcPr>
          <w:p w14:paraId="1CA0BB8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46" w:type="dxa"/>
          </w:tcPr>
          <w:p w14:paraId="5D478AE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49" w:type="dxa"/>
          </w:tcPr>
          <w:p w14:paraId="1CA89DB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99" w:type="dxa"/>
          </w:tcPr>
          <w:p w14:paraId="0BB7D24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15.??.32</w:t>
            </w:r>
          </w:p>
        </w:tc>
        <w:tc>
          <w:tcPr>
            <w:tcW w:w="3719" w:type="dxa"/>
          </w:tcPr>
          <w:p w14:paraId="260B6C6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ЦАГИ не ведется</w:t>
            </w:r>
          </w:p>
        </w:tc>
      </w:tr>
      <w:tr w:rsidR="00F26F01" w:rsidRPr="00C33834" w14:paraId="19AB16F2" w14:textId="77777777">
        <w:tc>
          <w:tcPr>
            <w:tcW w:w="2376" w:type="dxa"/>
          </w:tcPr>
          <w:p w14:paraId="04637AA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 Пост. торм. колес и</w:t>
            </w:r>
          </w:p>
        </w:tc>
        <w:tc>
          <w:tcPr>
            <w:tcW w:w="993" w:type="dxa"/>
          </w:tcPr>
          <w:p w14:paraId="77649FA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75" w:type="dxa"/>
          </w:tcPr>
          <w:p w14:paraId="6A4D746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46" w:type="dxa"/>
          </w:tcPr>
          <w:p w14:paraId="3876756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49" w:type="dxa"/>
          </w:tcPr>
          <w:p w14:paraId="33827A7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99" w:type="dxa"/>
          </w:tcPr>
          <w:p w14:paraId="2FA0C16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15.08.32</w:t>
            </w:r>
          </w:p>
        </w:tc>
        <w:tc>
          <w:tcPr>
            <w:tcW w:w="3719" w:type="dxa"/>
          </w:tcPr>
          <w:p w14:paraId="45278F2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 пост. СТО Р-5 М-17 д.б. передан на гос. исп.</w:t>
            </w:r>
          </w:p>
        </w:tc>
      </w:tr>
      <w:tr w:rsidR="00F26F01" w:rsidRPr="00C33834" w14:paraId="11E34A01" w14:textId="77777777">
        <w:tc>
          <w:tcPr>
            <w:tcW w:w="2376" w:type="dxa"/>
          </w:tcPr>
          <w:p w14:paraId="539C049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 крыльев на Р-5 М-17</w:t>
            </w:r>
          </w:p>
        </w:tc>
        <w:tc>
          <w:tcPr>
            <w:tcW w:w="993" w:type="dxa"/>
          </w:tcPr>
          <w:p w14:paraId="236954C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AE5043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EDEBFB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26DA93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402A09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01.04.33</w:t>
            </w:r>
          </w:p>
        </w:tc>
        <w:tc>
          <w:tcPr>
            <w:tcW w:w="3719" w:type="dxa"/>
          </w:tcPr>
          <w:p w14:paraId="53D79E5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15.05.33, но сроки не выдержаны. Испыт. 2 вар.</w:t>
            </w:r>
          </w:p>
        </w:tc>
      </w:tr>
      <w:tr w:rsidR="00F26F01" w:rsidRPr="00C33834" w14:paraId="4FC30129" w14:textId="77777777">
        <w:tc>
          <w:tcPr>
            <w:tcW w:w="2376" w:type="dxa"/>
          </w:tcPr>
          <w:p w14:paraId="579AB14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48FAB0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6A0711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41FB23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F048B4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C5FC51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119A45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машины показал преим. по сравн. с 1 вар., но все</w:t>
            </w:r>
          </w:p>
        </w:tc>
      </w:tr>
      <w:tr w:rsidR="00F26F01" w:rsidRPr="00C33834" w14:paraId="7B22CB29" w14:textId="77777777">
        <w:tc>
          <w:tcPr>
            <w:tcW w:w="2376" w:type="dxa"/>
          </w:tcPr>
          <w:p w14:paraId="0710746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D4DCDE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CE041B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246424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C688E9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233A5B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269AD1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же уступает нормальному Р-5 М-17</w:t>
            </w:r>
          </w:p>
        </w:tc>
      </w:tr>
      <w:tr w:rsidR="00F26F01" w:rsidRPr="00C33834" w14:paraId="734F95AD" w14:textId="77777777">
        <w:tc>
          <w:tcPr>
            <w:tcW w:w="2376" w:type="dxa"/>
          </w:tcPr>
          <w:p w14:paraId="00D8D96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A18574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2D7F32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197769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AAD847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DC09AB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0FD5FC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Маш. более уст., имеет меньш. посад. скор. и пробег</w:t>
            </w:r>
          </w:p>
        </w:tc>
      </w:tr>
      <w:tr w:rsidR="00F26F01" w:rsidRPr="00C33834" w14:paraId="2E7C75F9" w14:textId="77777777">
        <w:tc>
          <w:tcPr>
            <w:tcW w:w="2376" w:type="dxa"/>
          </w:tcPr>
          <w:p w14:paraId="4F2E05E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3A488A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A1AD7B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2D3578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0D1EF8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0DDB4F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474C37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 ВВС принял решение заказать для войск. исп. 10</w:t>
            </w:r>
          </w:p>
        </w:tc>
      </w:tr>
      <w:tr w:rsidR="00F26F01" w:rsidRPr="00C33834" w14:paraId="13BA3C2D" w14:textId="77777777">
        <w:tc>
          <w:tcPr>
            <w:tcW w:w="2376" w:type="dxa"/>
          </w:tcPr>
          <w:p w14:paraId="77C69C2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 Модиф. И-12 М-22</w:t>
            </w:r>
          </w:p>
        </w:tc>
        <w:tc>
          <w:tcPr>
            <w:tcW w:w="993" w:type="dxa"/>
          </w:tcPr>
          <w:p w14:paraId="1961AE6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75" w:type="dxa"/>
          </w:tcPr>
          <w:p w14:paraId="536C99A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46" w:type="dxa"/>
          </w:tcPr>
          <w:p w14:paraId="084EAB2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49" w:type="dxa"/>
          </w:tcPr>
          <w:p w14:paraId="4D07CB3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99" w:type="dxa"/>
          </w:tcPr>
          <w:p w14:paraId="3F0B8F4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01.11.32</w:t>
            </w:r>
          </w:p>
        </w:tc>
        <w:tc>
          <w:tcPr>
            <w:tcW w:w="3719" w:type="dxa"/>
          </w:tcPr>
          <w:p w14:paraId="3983E37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в ЦАГИ приостановлена</w:t>
            </w:r>
          </w:p>
        </w:tc>
      </w:tr>
      <w:tr w:rsidR="00F26F01" w:rsidRPr="00C33834" w14:paraId="638AB41A" w14:textId="77777777">
        <w:tc>
          <w:tcPr>
            <w:tcW w:w="2376" w:type="dxa"/>
          </w:tcPr>
          <w:p w14:paraId="6AA34C0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 не вошедшие в план</w:t>
            </w:r>
          </w:p>
        </w:tc>
        <w:tc>
          <w:tcPr>
            <w:tcW w:w="993" w:type="dxa"/>
          </w:tcPr>
          <w:p w14:paraId="15A9C0C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C5475C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3F36CF3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4B9851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C32CD9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4051F3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EE8CE53" w14:textId="77777777">
        <w:tc>
          <w:tcPr>
            <w:tcW w:w="2376" w:type="dxa"/>
          </w:tcPr>
          <w:p w14:paraId="5B2C3BB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 ДИ-? Керт. Конк.</w:t>
            </w:r>
          </w:p>
        </w:tc>
        <w:tc>
          <w:tcPr>
            <w:tcW w:w="993" w:type="dxa"/>
          </w:tcPr>
          <w:p w14:paraId="4AFB8F0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75" w:type="dxa"/>
          </w:tcPr>
          <w:p w14:paraId="2FAAFE8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46" w:type="dxa"/>
          </w:tcPr>
          <w:p w14:paraId="4DF4162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49" w:type="dxa"/>
          </w:tcPr>
          <w:p w14:paraId="2801BE9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99" w:type="dxa"/>
          </w:tcPr>
          <w:p w14:paraId="65F96F1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01.09.31</w:t>
            </w:r>
          </w:p>
        </w:tc>
        <w:tc>
          <w:tcPr>
            <w:tcW w:w="3719" w:type="dxa"/>
          </w:tcPr>
          <w:p w14:paraId="2D277CB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Гос. испыт. показали низк. данные даже по сравн. с </w:t>
            </w:r>
          </w:p>
        </w:tc>
      </w:tr>
      <w:tr w:rsidR="00F26F01" w:rsidRPr="00C33834" w14:paraId="30AF5568" w14:textId="77777777">
        <w:tc>
          <w:tcPr>
            <w:tcW w:w="2376" w:type="dxa"/>
          </w:tcPr>
          <w:p w14:paraId="24402F6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D684A4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4F766C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22ED55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9BAED1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325F1E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янв. 1933</w:t>
            </w:r>
          </w:p>
        </w:tc>
        <w:tc>
          <w:tcPr>
            <w:tcW w:w="3719" w:type="dxa"/>
          </w:tcPr>
          <w:p w14:paraId="61BD27D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разведч. Работы прекращены</w:t>
            </w:r>
          </w:p>
        </w:tc>
      </w:tr>
      <w:tr w:rsidR="00F26F01" w:rsidRPr="00C33834" w14:paraId="4A89DD7D" w14:textId="77777777">
        <w:tc>
          <w:tcPr>
            <w:tcW w:w="2376" w:type="dxa"/>
          </w:tcPr>
          <w:p w14:paraId="516C348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 Истр. Зет с М-22</w:t>
            </w:r>
          </w:p>
        </w:tc>
        <w:tc>
          <w:tcPr>
            <w:tcW w:w="993" w:type="dxa"/>
          </w:tcPr>
          <w:p w14:paraId="3F27C5E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75" w:type="dxa"/>
          </w:tcPr>
          <w:p w14:paraId="73E11FB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46" w:type="dxa"/>
          </w:tcPr>
          <w:p w14:paraId="1E8A8AA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49" w:type="dxa"/>
          </w:tcPr>
          <w:p w14:paraId="43F69E3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99" w:type="dxa"/>
          </w:tcPr>
          <w:p w14:paraId="67203A2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719" w:type="dxa"/>
          </w:tcPr>
          <w:p w14:paraId="5A6407B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Ведется испытание пушечного вооружения</w:t>
            </w:r>
          </w:p>
        </w:tc>
      </w:tr>
      <w:tr w:rsidR="00F26F01" w:rsidRPr="00C33834" w14:paraId="0CF64780" w14:textId="77777777">
        <w:tc>
          <w:tcPr>
            <w:tcW w:w="2376" w:type="dxa"/>
          </w:tcPr>
          <w:p w14:paraId="2602D99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 Самолет звено</w:t>
            </w:r>
          </w:p>
        </w:tc>
        <w:tc>
          <w:tcPr>
            <w:tcW w:w="993" w:type="dxa"/>
          </w:tcPr>
          <w:p w14:paraId="5662D6F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75" w:type="dxa"/>
          </w:tcPr>
          <w:p w14:paraId="28DCA7E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46" w:type="dxa"/>
          </w:tcPr>
          <w:p w14:paraId="3422264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49" w:type="dxa"/>
          </w:tcPr>
          <w:p w14:paraId="1D23581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99" w:type="dxa"/>
          </w:tcPr>
          <w:p w14:paraId="6FF6820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719" w:type="dxa"/>
          </w:tcPr>
          <w:p w14:paraId="5EE832E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Ведется внедрение в строй ТБ-1 М-17 с 2И-4 М-22</w:t>
            </w:r>
          </w:p>
        </w:tc>
      </w:tr>
      <w:tr w:rsidR="00F26F01" w:rsidRPr="00C33834" w14:paraId="1224C83B" w14:textId="77777777">
        <w:tc>
          <w:tcPr>
            <w:tcW w:w="2376" w:type="dxa"/>
          </w:tcPr>
          <w:p w14:paraId="5F21C31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D45BE5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7A3F4E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7F7584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7034AA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453C9D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D737A3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авиабригаде. Предв. тренир. и выпуск строевых летч.</w:t>
            </w:r>
          </w:p>
        </w:tc>
      </w:tr>
      <w:tr w:rsidR="00F26F01" w:rsidRPr="00C33834" w14:paraId="34C99AB4" w14:textId="77777777">
        <w:tc>
          <w:tcPr>
            <w:tcW w:w="2376" w:type="dxa"/>
          </w:tcPr>
          <w:p w14:paraId="28224C0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6CADAF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F401C2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986361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CD5729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39AA03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7E022EC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проведен в НИИ ВВС. Уст. 3-х И-5 М-22 и 2-х Изет на </w:t>
            </w:r>
          </w:p>
        </w:tc>
      </w:tr>
      <w:tr w:rsidR="00F26F01" w:rsidRPr="00C33834" w14:paraId="37693F04" w14:textId="77777777">
        <w:tc>
          <w:tcPr>
            <w:tcW w:w="2376" w:type="dxa"/>
          </w:tcPr>
          <w:p w14:paraId="3540C28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073BEC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36A132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76CE67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7D1C79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5E277F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C22357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ТБ-3 М-17, а также мех. для реализации посадки И-5 на </w:t>
            </w:r>
          </w:p>
        </w:tc>
      </w:tr>
      <w:tr w:rsidR="00F26F01" w:rsidRPr="00C33834" w14:paraId="6D048B37" w14:textId="77777777">
        <w:tc>
          <w:tcPr>
            <w:tcW w:w="2376" w:type="dxa"/>
          </w:tcPr>
          <w:p w14:paraId="5BA345C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1B9E95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43AACD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A04967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D0CD9B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10A6D0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80543B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ТБ-3 в части производства отд. деталей закончено. </w:t>
            </w:r>
          </w:p>
        </w:tc>
      </w:tr>
      <w:tr w:rsidR="00F26F01" w:rsidRPr="00C33834" w14:paraId="4CCAAD41" w14:textId="77777777">
        <w:tc>
          <w:tcPr>
            <w:tcW w:w="2376" w:type="dxa"/>
          </w:tcPr>
          <w:p w14:paraId="625DA9D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E49E73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436F1D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3AE93B1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08CEE1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996070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B984CE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Идет монтаж на самолете ТБ-3 4М-17. Начало испыт. </w:t>
            </w:r>
          </w:p>
        </w:tc>
      </w:tr>
      <w:tr w:rsidR="00F26F01" w:rsidRPr="00C33834" w14:paraId="098952AC" w14:textId="77777777">
        <w:tc>
          <w:tcPr>
            <w:tcW w:w="2376" w:type="dxa"/>
          </w:tcPr>
          <w:p w14:paraId="16657C2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E584FA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CF402E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81FED8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BE706F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90305C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4025BD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намечено на конец августа</w:t>
            </w:r>
          </w:p>
        </w:tc>
      </w:tr>
      <w:tr w:rsidR="00F26F01" w:rsidRPr="00C33834" w14:paraId="31B37D7F" w14:textId="77777777">
        <w:tc>
          <w:tcPr>
            <w:tcW w:w="2376" w:type="dxa"/>
          </w:tcPr>
          <w:p w14:paraId="7435399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 ХАИ-1</w:t>
            </w:r>
          </w:p>
        </w:tc>
        <w:tc>
          <w:tcPr>
            <w:tcW w:w="993" w:type="dxa"/>
          </w:tcPr>
          <w:p w14:paraId="38F057E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75" w:type="dxa"/>
          </w:tcPr>
          <w:p w14:paraId="7768721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46" w:type="dxa"/>
          </w:tcPr>
          <w:p w14:paraId="7CEE836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49" w:type="dxa"/>
          </w:tcPr>
          <w:p w14:paraId="6534ABC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99" w:type="dxa"/>
          </w:tcPr>
          <w:p w14:paraId="30AE367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719" w:type="dxa"/>
          </w:tcPr>
          <w:p w14:paraId="266CA99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Законченные в НИИ ВВС гос. испытания пас. 7 местн.</w:t>
            </w:r>
          </w:p>
        </w:tc>
      </w:tr>
      <w:tr w:rsidR="00F26F01" w:rsidRPr="00C33834" w14:paraId="68A5C455" w14:textId="77777777">
        <w:tc>
          <w:tcPr>
            <w:tcW w:w="2376" w:type="dxa"/>
          </w:tcPr>
          <w:p w14:paraId="4DE230F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97DB75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6F0751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31C94C4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27FED8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0C719B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131A57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 с М-22 показали отл. ЛД (скор. у земли 292 км/ч</w:t>
            </w:r>
          </w:p>
        </w:tc>
      </w:tr>
      <w:tr w:rsidR="00F26F01" w:rsidRPr="00C33834" w14:paraId="708EED86" w14:textId="77777777">
        <w:tc>
          <w:tcPr>
            <w:tcW w:w="2376" w:type="dxa"/>
          </w:tcPr>
          <w:p w14:paraId="3A69E59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B9AC38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B4CDA4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E5FB34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86CCB6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0C44C3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5ACC85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потолок 7200 м. Нач. ВВС входит в РВСР с доклад.</w:t>
            </w:r>
          </w:p>
        </w:tc>
      </w:tr>
      <w:tr w:rsidR="00F26F01" w:rsidRPr="00C33834" w14:paraId="54126CA2" w14:textId="77777777">
        <w:tc>
          <w:tcPr>
            <w:tcW w:w="2376" w:type="dxa"/>
          </w:tcPr>
          <w:p w14:paraId="363B1CC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4CCA65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A15FE1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8C2ACA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F67324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500A7E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537430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военном использовании (2305,37)</w:t>
            </w:r>
          </w:p>
        </w:tc>
      </w:tr>
      <w:tr w:rsidR="00F26F01" w:rsidRPr="00C33834" w14:paraId="1C04364F" w14:textId="77777777">
        <w:tc>
          <w:tcPr>
            <w:tcW w:w="2376" w:type="dxa"/>
          </w:tcPr>
          <w:p w14:paraId="61DE529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По самолетам (морским)</w:t>
            </w:r>
          </w:p>
        </w:tc>
        <w:tc>
          <w:tcPr>
            <w:tcW w:w="993" w:type="dxa"/>
          </w:tcPr>
          <w:p w14:paraId="2912B56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DC7299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C9407A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5F79F6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7AA788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1DD90A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CA256BC" w14:textId="77777777">
        <w:tc>
          <w:tcPr>
            <w:tcW w:w="2376" w:type="dxa"/>
          </w:tcPr>
          <w:p w14:paraId="68A4390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1-й очереди (основные по системе вооружения)</w:t>
            </w:r>
          </w:p>
        </w:tc>
        <w:tc>
          <w:tcPr>
            <w:tcW w:w="993" w:type="dxa"/>
          </w:tcPr>
          <w:p w14:paraId="7F2CDAE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6D7629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3FEEAA4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206404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4DCB44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1FC71B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063028B" w14:textId="77777777">
        <w:tc>
          <w:tcPr>
            <w:tcW w:w="2376" w:type="dxa"/>
          </w:tcPr>
          <w:p w14:paraId="2AE6566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МДР-3бис 2М-34РН</w:t>
            </w:r>
          </w:p>
        </w:tc>
        <w:tc>
          <w:tcPr>
            <w:tcW w:w="993" w:type="dxa"/>
          </w:tcPr>
          <w:p w14:paraId="618E24E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225/3500</w:t>
            </w:r>
          </w:p>
        </w:tc>
        <w:tc>
          <w:tcPr>
            <w:tcW w:w="975" w:type="dxa"/>
          </w:tcPr>
          <w:p w14:paraId="252AB08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w:t>
            </w:r>
          </w:p>
        </w:tc>
        <w:tc>
          <w:tcPr>
            <w:tcW w:w="846" w:type="dxa"/>
          </w:tcPr>
          <w:p w14:paraId="71C3C3A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2хпул.</w:t>
            </w:r>
          </w:p>
        </w:tc>
        <w:tc>
          <w:tcPr>
            <w:tcW w:w="749" w:type="dxa"/>
          </w:tcPr>
          <w:p w14:paraId="7E359A8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750/1250</w:t>
            </w:r>
          </w:p>
        </w:tc>
        <w:tc>
          <w:tcPr>
            <w:tcW w:w="799" w:type="dxa"/>
          </w:tcPr>
          <w:p w14:paraId="697559F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нет в пл.</w:t>
            </w:r>
          </w:p>
        </w:tc>
        <w:tc>
          <w:tcPr>
            <w:tcW w:w="3719" w:type="dxa"/>
          </w:tcPr>
          <w:p w14:paraId="5608885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Строит ЦАГИ. Проект. - 20%, произв. - 0. Согл. с</w:t>
            </w:r>
          </w:p>
        </w:tc>
      </w:tr>
      <w:tr w:rsidR="00F26F01" w:rsidRPr="00C33834" w14:paraId="0A52D534" w14:textId="77777777">
        <w:tc>
          <w:tcPr>
            <w:tcW w:w="2376" w:type="dxa"/>
          </w:tcPr>
          <w:p w14:paraId="116543E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4EB7BC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8F7EF8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AAD32D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1хпуш.</w:t>
            </w:r>
          </w:p>
        </w:tc>
        <w:tc>
          <w:tcPr>
            <w:tcW w:w="749" w:type="dxa"/>
          </w:tcPr>
          <w:p w14:paraId="5183197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D7419F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w:t>
            </w:r>
          </w:p>
        </w:tc>
        <w:tc>
          <w:tcPr>
            <w:tcW w:w="3719" w:type="dxa"/>
          </w:tcPr>
          <w:p w14:paraId="5A159DC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 ЛТД. 01.06.33 был утв. макет. Разверт. работ</w:t>
            </w:r>
          </w:p>
        </w:tc>
      </w:tr>
      <w:tr w:rsidR="00F26F01" w:rsidRPr="00C33834" w14:paraId="07087027" w14:textId="77777777">
        <w:tc>
          <w:tcPr>
            <w:tcW w:w="2376" w:type="dxa"/>
          </w:tcPr>
          <w:p w14:paraId="26C9F3A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C95E7C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DE96C0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EE2EF6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749" w:type="dxa"/>
          </w:tcPr>
          <w:p w14:paraId="7306796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A6D9AA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01.05.34</w:t>
            </w:r>
          </w:p>
        </w:tc>
        <w:tc>
          <w:tcPr>
            <w:tcW w:w="3719" w:type="dxa"/>
          </w:tcPr>
          <w:p w14:paraId="39D3A25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ЦАГИ с 1 июля в связи с освоб. от МК-1, т.е.</w:t>
            </w:r>
          </w:p>
        </w:tc>
      </w:tr>
      <w:tr w:rsidR="00F26F01" w:rsidRPr="00C33834" w14:paraId="7A602B30" w14:textId="77777777">
        <w:tc>
          <w:tcPr>
            <w:tcW w:w="2376" w:type="dxa"/>
          </w:tcPr>
          <w:p w14:paraId="69C33BA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1D3FA9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C42326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2954DD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4D77A6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97FD10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783E7C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спустя 9-10 мес. после испыт. МДР-3 4М-17 на</w:t>
            </w:r>
          </w:p>
        </w:tc>
      </w:tr>
      <w:tr w:rsidR="00F26F01" w:rsidRPr="00C33834" w14:paraId="37B6C1C7" w14:textId="77777777">
        <w:tc>
          <w:tcPr>
            <w:tcW w:w="2376" w:type="dxa"/>
          </w:tcPr>
          <w:p w14:paraId="5665C57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955A8A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6348FA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978946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1E0E70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C0B4A8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836570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основе которого сделан МДР-3бис</w:t>
            </w:r>
          </w:p>
        </w:tc>
      </w:tr>
      <w:tr w:rsidR="00F26F01" w:rsidRPr="00C33834" w14:paraId="342344D9" w14:textId="77777777">
        <w:tc>
          <w:tcPr>
            <w:tcW w:w="2376" w:type="dxa"/>
          </w:tcPr>
          <w:p w14:paraId="7934B54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МК-1 6М-34РН</w:t>
            </w:r>
          </w:p>
        </w:tc>
        <w:tc>
          <w:tcPr>
            <w:tcW w:w="993" w:type="dxa"/>
          </w:tcPr>
          <w:p w14:paraId="761B314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230/4000</w:t>
            </w:r>
          </w:p>
        </w:tc>
        <w:tc>
          <w:tcPr>
            <w:tcW w:w="975" w:type="dxa"/>
          </w:tcPr>
          <w:p w14:paraId="0C3EF59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w:t>
            </w:r>
          </w:p>
        </w:tc>
        <w:tc>
          <w:tcPr>
            <w:tcW w:w="846" w:type="dxa"/>
          </w:tcPr>
          <w:p w14:paraId="6661937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4хпул.</w:t>
            </w:r>
          </w:p>
        </w:tc>
        <w:tc>
          <w:tcPr>
            <w:tcW w:w="749" w:type="dxa"/>
          </w:tcPr>
          <w:p w14:paraId="48638A6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750/1200</w:t>
            </w:r>
          </w:p>
        </w:tc>
        <w:tc>
          <w:tcPr>
            <w:tcW w:w="799" w:type="dxa"/>
          </w:tcPr>
          <w:p w14:paraId="2DC2995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01.09.32</w:t>
            </w:r>
          </w:p>
        </w:tc>
        <w:tc>
          <w:tcPr>
            <w:tcW w:w="3719" w:type="dxa"/>
          </w:tcPr>
          <w:p w14:paraId="1D828B3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Строи ЦАГИ. Исполнено констр. - 97%, произв. 50%</w:t>
            </w:r>
          </w:p>
        </w:tc>
      </w:tr>
      <w:tr w:rsidR="00F26F01" w:rsidRPr="00C33834" w14:paraId="0CF37669" w14:textId="77777777">
        <w:tc>
          <w:tcPr>
            <w:tcW w:w="2376" w:type="dxa"/>
          </w:tcPr>
          <w:p w14:paraId="4815157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BE47D5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7AA7FE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2F8909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2хпуш.</w:t>
            </w:r>
          </w:p>
        </w:tc>
        <w:tc>
          <w:tcPr>
            <w:tcW w:w="749" w:type="dxa"/>
          </w:tcPr>
          <w:p w14:paraId="34D0A18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2D10D8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01.08.33</w:t>
            </w:r>
          </w:p>
        </w:tc>
        <w:tc>
          <w:tcPr>
            <w:tcW w:w="3719" w:type="dxa"/>
          </w:tcPr>
          <w:p w14:paraId="6902012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апреля 1933 был утв. макет.</w:t>
            </w:r>
          </w:p>
        </w:tc>
      </w:tr>
      <w:tr w:rsidR="00F26F01" w:rsidRPr="00C33834" w14:paraId="3A6FE898" w14:textId="77777777">
        <w:tc>
          <w:tcPr>
            <w:tcW w:w="2376" w:type="dxa"/>
          </w:tcPr>
          <w:p w14:paraId="73125EE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2D0A09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8AC6E8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A19366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w:t>
            </w:r>
          </w:p>
        </w:tc>
        <w:tc>
          <w:tcPr>
            <w:tcW w:w="749" w:type="dxa"/>
          </w:tcPr>
          <w:p w14:paraId="444966A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EF344C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5A307D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0C38B10" w14:textId="77777777">
        <w:tc>
          <w:tcPr>
            <w:tcW w:w="2376" w:type="dxa"/>
          </w:tcPr>
          <w:p w14:paraId="723AD8D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МБР-5 М-34 амф.</w:t>
            </w:r>
          </w:p>
        </w:tc>
        <w:tc>
          <w:tcPr>
            <w:tcW w:w="993" w:type="dxa"/>
          </w:tcPr>
          <w:p w14:paraId="569ED20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300/3000</w:t>
            </w:r>
          </w:p>
        </w:tc>
        <w:tc>
          <w:tcPr>
            <w:tcW w:w="975" w:type="dxa"/>
          </w:tcPr>
          <w:p w14:paraId="25ED446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w:t>
            </w:r>
          </w:p>
        </w:tc>
        <w:tc>
          <w:tcPr>
            <w:tcW w:w="846" w:type="dxa"/>
          </w:tcPr>
          <w:p w14:paraId="1A6694D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3хпул.</w:t>
            </w:r>
          </w:p>
        </w:tc>
        <w:tc>
          <w:tcPr>
            <w:tcW w:w="749" w:type="dxa"/>
          </w:tcPr>
          <w:p w14:paraId="6C68B90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600/800</w:t>
            </w:r>
          </w:p>
        </w:tc>
        <w:tc>
          <w:tcPr>
            <w:tcW w:w="799" w:type="dxa"/>
          </w:tcPr>
          <w:p w14:paraId="088EE88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01.08.33</w:t>
            </w:r>
          </w:p>
        </w:tc>
        <w:tc>
          <w:tcPr>
            <w:tcW w:w="3719" w:type="dxa"/>
          </w:tcPr>
          <w:p w14:paraId="6D7A881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Строит ЦАГИ. После выясн. невозм. осущ. в СНИИ</w:t>
            </w:r>
          </w:p>
        </w:tc>
      </w:tr>
      <w:tr w:rsidR="00F26F01" w:rsidRPr="00C33834" w14:paraId="2371D2B6" w14:textId="77777777">
        <w:tc>
          <w:tcPr>
            <w:tcW w:w="2376" w:type="dxa"/>
          </w:tcPr>
          <w:p w14:paraId="38BA9AF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9D89BE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5E1A50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C854C5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650</w:t>
            </w:r>
          </w:p>
        </w:tc>
        <w:tc>
          <w:tcPr>
            <w:tcW w:w="749" w:type="dxa"/>
          </w:tcPr>
          <w:p w14:paraId="10CEB26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49EB22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719" w:type="dxa"/>
          </w:tcPr>
          <w:p w14:paraId="37250D0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ГУГВФ задание передали в ЦАГИ. Работы по вып. 2-х</w:t>
            </w:r>
          </w:p>
        </w:tc>
      </w:tr>
      <w:tr w:rsidR="00F26F01" w:rsidRPr="00C33834" w14:paraId="15406BF1" w14:textId="77777777">
        <w:tc>
          <w:tcPr>
            <w:tcW w:w="2376" w:type="dxa"/>
          </w:tcPr>
          <w:p w14:paraId="60AD4BA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33D61E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4E2836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0D8238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ED8618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E21CC8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1AF82F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вариантов эск. проекта по указ. Нач. ЦАГИ прекр.</w:t>
            </w:r>
          </w:p>
        </w:tc>
      </w:tr>
      <w:tr w:rsidR="00F26F01" w:rsidRPr="00C33834" w14:paraId="67998799" w14:textId="77777777">
        <w:tc>
          <w:tcPr>
            <w:tcW w:w="2376" w:type="dxa"/>
          </w:tcPr>
          <w:p w14:paraId="6379BC1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031996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9D685C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5D6946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40747D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65B236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16AC1C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прич. отсутств. ассигн. и передачи бригады на</w:t>
            </w:r>
          </w:p>
        </w:tc>
      </w:tr>
      <w:tr w:rsidR="00F26F01" w:rsidRPr="00C33834" w14:paraId="7419C4E2" w14:textId="77777777">
        <w:tc>
          <w:tcPr>
            <w:tcW w:w="2376" w:type="dxa"/>
          </w:tcPr>
          <w:p w14:paraId="07F3E64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2D608A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8161CB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357BD7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80B7DA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BE0553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8313DB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39. Необх. ден. средства от ГУГВФ для ЦКБ</w:t>
            </w:r>
          </w:p>
        </w:tc>
      </w:tr>
      <w:tr w:rsidR="00F26F01" w:rsidRPr="00C33834" w14:paraId="37E4F3FD" w14:textId="77777777">
        <w:tc>
          <w:tcPr>
            <w:tcW w:w="2376" w:type="dxa"/>
          </w:tcPr>
          <w:p w14:paraId="1BA31AC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Эскпериментальные</w:t>
            </w:r>
          </w:p>
        </w:tc>
        <w:tc>
          <w:tcPr>
            <w:tcW w:w="993" w:type="dxa"/>
          </w:tcPr>
          <w:p w14:paraId="5B46DD6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8A83FC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9A2EE0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A92B31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8ECB7A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C4E036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3F7EE5F" w14:textId="77777777">
        <w:tc>
          <w:tcPr>
            <w:tcW w:w="2376" w:type="dxa"/>
          </w:tcPr>
          <w:p w14:paraId="6570F08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СПЛ М-11 (М-48)</w:t>
            </w:r>
          </w:p>
        </w:tc>
        <w:tc>
          <w:tcPr>
            <w:tcW w:w="993" w:type="dxa"/>
          </w:tcPr>
          <w:p w14:paraId="38C826B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180/2500</w:t>
            </w:r>
          </w:p>
        </w:tc>
        <w:tc>
          <w:tcPr>
            <w:tcW w:w="975" w:type="dxa"/>
          </w:tcPr>
          <w:p w14:paraId="7180F7E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46" w:type="dxa"/>
          </w:tcPr>
          <w:p w14:paraId="7BB2CA6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1хпул.</w:t>
            </w:r>
          </w:p>
        </w:tc>
        <w:tc>
          <w:tcPr>
            <w:tcW w:w="749" w:type="dxa"/>
          </w:tcPr>
          <w:p w14:paraId="150AE27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850</w:t>
            </w:r>
          </w:p>
        </w:tc>
        <w:tc>
          <w:tcPr>
            <w:tcW w:w="799" w:type="dxa"/>
          </w:tcPr>
          <w:p w14:paraId="5D9E2F5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01.01.33</w:t>
            </w:r>
          </w:p>
        </w:tc>
        <w:tc>
          <w:tcPr>
            <w:tcW w:w="3719" w:type="dxa"/>
          </w:tcPr>
          <w:p w14:paraId="188A129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Строит СНИИ ГУГВФ. выполн. эскизн. проект. После</w:t>
            </w:r>
          </w:p>
        </w:tc>
      </w:tr>
      <w:tr w:rsidR="00F26F01" w:rsidRPr="00C33834" w14:paraId="04BA689F" w14:textId="77777777">
        <w:tc>
          <w:tcPr>
            <w:tcW w:w="2376" w:type="dxa"/>
          </w:tcPr>
          <w:p w14:paraId="598058E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BDE633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D9106A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FB90E1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c>
          <w:tcPr>
            <w:tcW w:w="749" w:type="dxa"/>
          </w:tcPr>
          <w:p w14:paraId="495D23A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52E6F9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01.05.34</w:t>
            </w:r>
          </w:p>
        </w:tc>
        <w:tc>
          <w:tcPr>
            <w:tcW w:w="3719" w:type="dxa"/>
          </w:tcPr>
          <w:p w14:paraId="317C32E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отпуска ден. средств прекр. работа возобновляется</w:t>
            </w:r>
          </w:p>
        </w:tc>
      </w:tr>
      <w:tr w:rsidR="00F26F01" w:rsidRPr="00C33834" w14:paraId="1D33CDC7" w14:textId="77777777">
        <w:tc>
          <w:tcPr>
            <w:tcW w:w="2376" w:type="dxa"/>
          </w:tcPr>
          <w:p w14:paraId="7E4C49E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FBC920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03A6E9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CB2114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64D393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B97DE5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C38E19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1933 закл. договор на проект. и постройку для</w:t>
            </w:r>
          </w:p>
        </w:tc>
      </w:tr>
      <w:tr w:rsidR="00F26F01" w:rsidRPr="00C33834" w14:paraId="042E89E3" w14:textId="77777777">
        <w:tc>
          <w:tcPr>
            <w:tcW w:w="2376" w:type="dxa"/>
          </w:tcPr>
          <w:p w14:paraId="676A164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BE634A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97DE83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E427D3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7C99A5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C32D7D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58F43F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ГУ Севморпути схожей машины (2305,35)</w:t>
            </w:r>
          </w:p>
        </w:tc>
      </w:tr>
      <w:tr w:rsidR="00F26F01" w:rsidRPr="00C33834" w14:paraId="0E360CAA" w14:textId="77777777">
        <w:tc>
          <w:tcPr>
            <w:tcW w:w="2376" w:type="dxa"/>
          </w:tcPr>
          <w:p w14:paraId="086C7D5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Модификации</w:t>
            </w:r>
          </w:p>
        </w:tc>
        <w:tc>
          <w:tcPr>
            <w:tcW w:w="993" w:type="dxa"/>
          </w:tcPr>
          <w:p w14:paraId="45105A9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F6FA48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908855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6EF7B4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C59EAA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08BCCA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207F996" w14:textId="77777777">
        <w:tc>
          <w:tcPr>
            <w:tcW w:w="2376" w:type="dxa"/>
          </w:tcPr>
          <w:p w14:paraId="4A9096D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МБР-4 М-34</w:t>
            </w:r>
          </w:p>
        </w:tc>
        <w:tc>
          <w:tcPr>
            <w:tcW w:w="993" w:type="dxa"/>
          </w:tcPr>
          <w:p w14:paraId="27F8C86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75" w:type="dxa"/>
          </w:tcPr>
          <w:p w14:paraId="0E2E1D3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46" w:type="dxa"/>
          </w:tcPr>
          <w:p w14:paraId="1A22DCF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49" w:type="dxa"/>
          </w:tcPr>
          <w:p w14:paraId="46837C0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99" w:type="dxa"/>
          </w:tcPr>
          <w:p w14:paraId="3D399D9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01.12.32</w:t>
            </w:r>
          </w:p>
        </w:tc>
        <w:tc>
          <w:tcPr>
            <w:tcW w:w="3719" w:type="dxa"/>
          </w:tcPr>
          <w:p w14:paraId="665E7DA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Строит ЦАГИ. 1 июля 1933 поступает на заводские </w:t>
            </w:r>
          </w:p>
        </w:tc>
      </w:tr>
      <w:tr w:rsidR="00F26F01" w:rsidRPr="00C33834" w14:paraId="1D54F44C" w14:textId="77777777">
        <w:tc>
          <w:tcPr>
            <w:tcW w:w="2376" w:type="dxa"/>
          </w:tcPr>
          <w:p w14:paraId="16FEE1F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B30490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66D77A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093A4F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B2CA87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B48C0E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01.08.33</w:t>
            </w:r>
          </w:p>
        </w:tc>
        <w:tc>
          <w:tcPr>
            <w:tcW w:w="3719" w:type="dxa"/>
          </w:tcPr>
          <w:p w14:paraId="711DBFD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Задержался из-за зад. в констр., негот.</w:t>
            </w:r>
          </w:p>
        </w:tc>
      </w:tr>
      <w:tr w:rsidR="00F26F01" w:rsidRPr="00C33834" w14:paraId="20A59799" w14:textId="77777777">
        <w:tc>
          <w:tcPr>
            <w:tcW w:w="2376" w:type="dxa"/>
          </w:tcPr>
          <w:p w14:paraId="5F2CB7C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193925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5627BF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E3A4A1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D39E16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089D07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210269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лодки для опытн. экз. и завода 31 для внедр. нового</w:t>
            </w:r>
          </w:p>
        </w:tc>
      </w:tr>
      <w:tr w:rsidR="00F26F01" w:rsidRPr="00C33834" w14:paraId="7552E57B" w14:textId="77777777">
        <w:tc>
          <w:tcPr>
            <w:tcW w:w="2376" w:type="dxa"/>
          </w:tcPr>
          <w:p w14:paraId="0BB57E2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CB5998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DCE9C9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A5A259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F602E4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7DC244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3685A0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типа, а ткже техн. затр. (перегрев масла). Ставят</w:t>
            </w:r>
          </w:p>
        </w:tc>
      </w:tr>
      <w:tr w:rsidR="00F26F01" w:rsidRPr="00C33834" w14:paraId="281DB82E" w14:textId="77777777">
        <w:tc>
          <w:tcPr>
            <w:tcW w:w="2376" w:type="dxa"/>
          </w:tcPr>
          <w:p w14:paraId="083A943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A542D6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A5E060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41A3D4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DAE3EA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0A6C01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825403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оперение увел. площади, заказ. УВВС для МБР-4 АССО</w:t>
            </w:r>
          </w:p>
        </w:tc>
      </w:tr>
      <w:tr w:rsidR="00F26F01" w:rsidRPr="00C33834" w14:paraId="43448F81" w14:textId="77777777">
        <w:tc>
          <w:tcPr>
            <w:tcW w:w="2376" w:type="dxa"/>
          </w:tcPr>
          <w:p w14:paraId="172F7EA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41A7A2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6CCE77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DD863A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174941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062826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4E30DAB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 для улучшения устойчивости</w:t>
            </w:r>
          </w:p>
        </w:tc>
      </w:tr>
      <w:tr w:rsidR="00F26F01" w:rsidRPr="00C33834" w14:paraId="039942B5" w14:textId="77777777">
        <w:tc>
          <w:tcPr>
            <w:tcW w:w="2376" w:type="dxa"/>
          </w:tcPr>
          <w:p w14:paraId="3842119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Р-6а М-17</w:t>
            </w:r>
          </w:p>
        </w:tc>
        <w:tc>
          <w:tcPr>
            <w:tcW w:w="993" w:type="dxa"/>
          </w:tcPr>
          <w:p w14:paraId="59A9C3D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230/3000</w:t>
            </w:r>
          </w:p>
        </w:tc>
        <w:tc>
          <w:tcPr>
            <w:tcW w:w="975" w:type="dxa"/>
          </w:tcPr>
          <w:p w14:paraId="60CBF8B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w:t>
            </w:r>
          </w:p>
        </w:tc>
        <w:tc>
          <w:tcPr>
            <w:tcW w:w="846" w:type="dxa"/>
          </w:tcPr>
          <w:p w14:paraId="0C11288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3хпул.</w:t>
            </w:r>
          </w:p>
        </w:tc>
        <w:tc>
          <w:tcPr>
            <w:tcW w:w="749" w:type="dxa"/>
          </w:tcPr>
          <w:p w14:paraId="094C5E5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tc>
        <w:tc>
          <w:tcPr>
            <w:tcW w:w="799" w:type="dxa"/>
          </w:tcPr>
          <w:p w14:paraId="51CB27C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01.09.32</w:t>
            </w:r>
          </w:p>
        </w:tc>
        <w:tc>
          <w:tcPr>
            <w:tcW w:w="3719" w:type="dxa"/>
          </w:tcPr>
          <w:p w14:paraId="79C1319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ЦАГИ установил серийный самолет на поплавки </w:t>
            </w:r>
          </w:p>
        </w:tc>
      </w:tr>
      <w:tr w:rsidR="00F26F01" w:rsidRPr="00C33834" w14:paraId="42E6D705" w14:textId="77777777">
        <w:tc>
          <w:tcPr>
            <w:tcW w:w="2376" w:type="dxa"/>
          </w:tcPr>
          <w:p w14:paraId="29A0D82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A91CF3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6C7A33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3CE135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749" w:type="dxa"/>
          </w:tcPr>
          <w:p w14:paraId="63C96CB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15D70F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09.12.32</w:t>
            </w:r>
          </w:p>
        </w:tc>
        <w:tc>
          <w:tcPr>
            <w:tcW w:w="3719" w:type="dxa"/>
          </w:tcPr>
          <w:p w14:paraId="38C3998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Шорт (те же, что для ТБ-1а 2М-17) и показал хор.</w:t>
            </w:r>
          </w:p>
        </w:tc>
      </w:tr>
      <w:tr w:rsidR="00F26F01" w:rsidRPr="00C33834" w14:paraId="366D5141" w14:textId="77777777">
        <w:tc>
          <w:tcPr>
            <w:tcW w:w="2376" w:type="dxa"/>
          </w:tcPr>
          <w:p w14:paraId="2CD3AD0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FA12FE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5B73BE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1830E3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BC4945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F7CABD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CD870D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результаты. Треб. мет. винты, т.к. дер. ломаюся </w:t>
            </w:r>
          </w:p>
        </w:tc>
      </w:tr>
      <w:tr w:rsidR="00F26F01" w:rsidRPr="00C33834" w14:paraId="615E2DE3" w14:textId="77777777">
        <w:tc>
          <w:tcPr>
            <w:tcW w:w="2376" w:type="dxa"/>
          </w:tcPr>
          <w:p w14:paraId="1AD2F51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A11625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7F5E45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F46B84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71926D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AF3907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CF941C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рулежке при небольшой волне.</w:t>
            </w:r>
          </w:p>
        </w:tc>
      </w:tr>
      <w:tr w:rsidR="00F26F01" w:rsidRPr="00C33834" w14:paraId="0D8A54C3" w14:textId="77777777">
        <w:tc>
          <w:tcPr>
            <w:tcW w:w="2376" w:type="dxa"/>
          </w:tcPr>
          <w:p w14:paraId="7513443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F2BE6C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240B47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757E2D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1A53E8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B5B6E6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DA7E85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ЦАГИ к доводке самолета не приступало и мет. винты </w:t>
            </w:r>
          </w:p>
        </w:tc>
      </w:tr>
      <w:tr w:rsidR="00F26F01" w:rsidRPr="00C33834" w14:paraId="130FF8B0" w14:textId="77777777">
        <w:tc>
          <w:tcPr>
            <w:tcW w:w="2376" w:type="dxa"/>
          </w:tcPr>
          <w:p w14:paraId="0EE284E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312218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99D496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215DCF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BC9F24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D614B6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896FA6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свой счет ставить отказ. Произв. поплавков на</w:t>
            </w:r>
          </w:p>
        </w:tc>
      </w:tr>
      <w:tr w:rsidR="00F26F01" w:rsidRPr="00C33834" w14:paraId="437D84F4" w14:textId="77777777">
        <w:tc>
          <w:tcPr>
            <w:tcW w:w="2376" w:type="dxa"/>
          </w:tcPr>
          <w:p w14:paraId="66C43A2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0F899B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C2D619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4049C9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FF921E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3977AB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54B440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заводе освоено.</w:t>
            </w:r>
          </w:p>
        </w:tc>
      </w:tr>
      <w:tr w:rsidR="00F26F01" w:rsidRPr="00C33834" w14:paraId="3D22D0E5" w14:textId="77777777">
        <w:tc>
          <w:tcPr>
            <w:tcW w:w="2376" w:type="dxa"/>
          </w:tcPr>
          <w:p w14:paraId="4162584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Р-5а М-17</w:t>
            </w:r>
          </w:p>
        </w:tc>
        <w:tc>
          <w:tcPr>
            <w:tcW w:w="993" w:type="dxa"/>
          </w:tcPr>
          <w:p w14:paraId="74E0D11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75" w:type="dxa"/>
          </w:tcPr>
          <w:p w14:paraId="6FC2358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46" w:type="dxa"/>
          </w:tcPr>
          <w:p w14:paraId="088C2B5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49" w:type="dxa"/>
          </w:tcPr>
          <w:p w14:paraId="0466DA4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99" w:type="dxa"/>
          </w:tcPr>
          <w:p w14:paraId="78D1C34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w:t>
            </w:r>
          </w:p>
        </w:tc>
        <w:tc>
          <w:tcPr>
            <w:tcW w:w="3719" w:type="dxa"/>
          </w:tcPr>
          <w:p w14:paraId="223DEFB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 построен на 39 заводе. Поступил в серию</w:t>
            </w:r>
          </w:p>
        </w:tc>
      </w:tr>
      <w:tr w:rsidR="00F26F01" w:rsidRPr="00C33834" w14:paraId="596A00FC" w14:textId="77777777">
        <w:tc>
          <w:tcPr>
            <w:tcW w:w="2376" w:type="dxa"/>
          </w:tcPr>
          <w:p w14:paraId="7BB4B39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E5B606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28D5B0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33EAFE8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93458B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83D2B9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DBF27E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заводе 1 и 45 (поплавки). Серия без эталона</w:t>
            </w:r>
          </w:p>
        </w:tc>
      </w:tr>
      <w:tr w:rsidR="00F26F01" w:rsidRPr="00C33834" w14:paraId="460BA24A" w14:textId="77777777">
        <w:tc>
          <w:tcPr>
            <w:tcW w:w="2376" w:type="dxa"/>
          </w:tcPr>
          <w:p w14:paraId="52B4B55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99E874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1B7939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AA6E77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00BB77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C8A699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502588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т.к. опытн. самолет напр. в Сев. экпед. (звено</w:t>
            </w:r>
          </w:p>
        </w:tc>
      </w:tr>
      <w:tr w:rsidR="00F26F01" w:rsidRPr="00C33834" w14:paraId="7746262A" w14:textId="77777777">
        <w:tc>
          <w:tcPr>
            <w:tcW w:w="2376" w:type="dxa"/>
          </w:tcPr>
          <w:p w14:paraId="475DC9E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4174E4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D23C05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F96472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333BD6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2F6721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383830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Кашелева) и там потерпел аварию</w:t>
            </w:r>
          </w:p>
        </w:tc>
      </w:tr>
      <w:tr w:rsidR="00F26F01" w:rsidRPr="00C33834" w14:paraId="1003D291" w14:textId="77777777">
        <w:tc>
          <w:tcPr>
            <w:tcW w:w="2376" w:type="dxa"/>
          </w:tcPr>
          <w:p w14:paraId="593300C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 не входившие в план</w:t>
            </w:r>
          </w:p>
        </w:tc>
        <w:tc>
          <w:tcPr>
            <w:tcW w:w="993" w:type="dxa"/>
          </w:tcPr>
          <w:p w14:paraId="14B2E03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D51523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3CCABF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DEE6A0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E66E1C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BEFF7D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4FD7538" w14:textId="77777777">
        <w:tc>
          <w:tcPr>
            <w:tcW w:w="2376" w:type="dxa"/>
          </w:tcPr>
          <w:p w14:paraId="7DB1C7E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МБР-2 М-17</w:t>
            </w:r>
          </w:p>
        </w:tc>
        <w:tc>
          <w:tcPr>
            <w:tcW w:w="993" w:type="dxa"/>
          </w:tcPr>
          <w:p w14:paraId="284E26A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195/3000</w:t>
            </w:r>
          </w:p>
        </w:tc>
        <w:tc>
          <w:tcPr>
            <w:tcW w:w="975" w:type="dxa"/>
          </w:tcPr>
          <w:p w14:paraId="592ECB8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846" w:type="dxa"/>
          </w:tcPr>
          <w:p w14:paraId="734316F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2хпул.</w:t>
            </w:r>
          </w:p>
        </w:tc>
        <w:tc>
          <w:tcPr>
            <w:tcW w:w="749" w:type="dxa"/>
          </w:tcPr>
          <w:p w14:paraId="6FD4030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799" w:type="dxa"/>
          </w:tcPr>
          <w:p w14:paraId="3384F78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w:t>
            </w:r>
          </w:p>
        </w:tc>
        <w:tc>
          <w:tcPr>
            <w:tcW w:w="3719" w:type="dxa"/>
          </w:tcPr>
          <w:p w14:paraId="0F19347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 был постр. на 39. Под давл. ВВС поставлен</w:t>
            </w:r>
          </w:p>
        </w:tc>
      </w:tr>
      <w:tr w:rsidR="00F26F01" w:rsidRPr="00C33834" w14:paraId="6D19EC07" w14:textId="77777777">
        <w:tc>
          <w:tcPr>
            <w:tcW w:w="2376" w:type="dxa"/>
          </w:tcPr>
          <w:p w14:paraId="1A86B89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D644B2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BA2F56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5AD1DA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D58449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E4C77B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69AD63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производство на 45 (2305,43)</w:t>
            </w:r>
          </w:p>
        </w:tc>
      </w:tr>
    </w:tbl>
    <w:p w14:paraId="1680AAC7" w14:textId="77777777" w:rsidR="008A0184" w:rsidRPr="00C33834" w:rsidRDefault="008A018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B2B3F3D" w14:textId="77777777" w:rsidR="009D5BB7" w:rsidRPr="00C33834" w:rsidRDefault="009D5BB7"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525CC79" w14:textId="77777777" w:rsidR="009D5BB7" w:rsidRPr="00C33834" w:rsidRDefault="009D5BB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A9323EA" w14:textId="77777777" w:rsidR="009D5BB7" w:rsidRPr="00C33834" w:rsidRDefault="009D5BB7" w:rsidP="00C33834">
      <w:pPr>
        <w:pStyle w:val="631"/>
        <w:shd w:val="clear" w:color="auto" w:fill="auto"/>
        <w:spacing w:line="240" w:lineRule="auto"/>
        <w:jc w:val="both"/>
        <w:rPr>
          <w:rFonts w:ascii="Times New Roman" w:hAnsi="Times New Roman" w:cs="Times New Roman"/>
          <w:color w:val="0070C0"/>
          <w:sz w:val="16"/>
          <w:szCs w:val="16"/>
        </w:rPr>
      </w:pPr>
      <w:r w:rsidRPr="00C33834">
        <w:rPr>
          <w:rFonts w:ascii="Times New Roman" w:hAnsi="Times New Roman" w:cs="Times New Roman"/>
          <w:color w:val="0070C0"/>
          <w:sz w:val="16"/>
          <w:szCs w:val="16"/>
        </w:rPr>
        <w:t>В начале июля 1933 общая готовность автожира Камова военными оце</w:t>
      </w:r>
      <w:r w:rsidRPr="00C33834">
        <w:rPr>
          <w:rFonts w:ascii="Times New Roman" w:hAnsi="Times New Roman" w:cs="Times New Roman"/>
          <w:color w:val="0070C0"/>
          <w:sz w:val="16"/>
          <w:szCs w:val="16"/>
        </w:rPr>
        <w:softHyphen/>
        <w:t>нивалась лишь в 60%, а срок окончания работ ГУАП предлагало перенести на 1 октября, но и он затем был сорван. А-7 М-22 был закон</w:t>
      </w:r>
      <w:r w:rsidRPr="00C33834">
        <w:rPr>
          <w:rFonts w:ascii="Times New Roman" w:hAnsi="Times New Roman" w:cs="Times New Roman"/>
          <w:color w:val="0070C0"/>
          <w:sz w:val="16"/>
          <w:szCs w:val="16"/>
        </w:rPr>
        <w:softHyphen/>
        <w:t>чен постройкой и переведен на аэродром для заводских испытаний только 29 декабря 1933 года (19868).</w:t>
      </w:r>
    </w:p>
    <w:p w14:paraId="39D59CAD" w14:textId="77777777" w:rsidR="009D5BB7" w:rsidRPr="00C33834" w:rsidRDefault="009D5BB7" w:rsidP="00C33834">
      <w:pPr>
        <w:pStyle w:val="631"/>
        <w:shd w:val="clear" w:color="auto" w:fill="auto"/>
        <w:spacing w:line="240" w:lineRule="auto"/>
        <w:jc w:val="both"/>
        <w:rPr>
          <w:rFonts w:ascii="Times New Roman" w:hAnsi="Times New Roman" w:cs="Times New Roman"/>
          <w:color w:val="0070C0"/>
          <w:sz w:val="16"/>
          <w:szCs w:val="16"/>
        </w:rPr>
      </w:pPr>
    </w:p>
    <w:p w14:paraId="61244CDD" w14:textId="77777777" w:rsidR="008A018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8A59972" w14:textId="77777777" w:rsidR="008A0184" w:rsidRPr="00C33834" w:rsidRDefault="008A018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3FC781E"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7 по 11 июля 1933 было проведено испытание двух облегченных самолетов ТБ3-4М17 за №№ 22243 и 22250 на определение расхода горючего и предельной дальности (6794).</w:t>
      </w:r>
    </w:p>
    <w:p w14:paraId="5798D83C"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1DAC5EA0"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НИИ ВВС:</w:t>
      </w:r>
    </w:p>
    <w:p w14:paraId="78B6D805"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Лосюков</w:t>
      </w:r>
    </w:p>
    <w:p w14:paraId="198A24FD"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Юмашев</w:t>
      </w:r>
    </w:p>
    <w:p w14:paraId="63B9CA69"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ЦАГИ:</w:t>
      </w:r>
    </w:p>
    <w:p w14:paraId="69970971"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Тайц</w:t>
      </w:r>
    </w:p>
    <w:p w14:paraId="62521216"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Громов</w:t>
      </w:r>
    </w:p>
    <w:p w14:paraId="018CAE43"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0D05F2C5"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задания Правительства об увеличении радиуса действия и бомбовой нагрузки самолета ТБ3:</w:t>
      </w:r>
    </w:p>
    <w:p w14:paraId="383F2C69" w14:textId="77777777" w:rsidR="008A0184" w:rsidRPr="00C33834" w:rsidRDefault="008A0184"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максимальной дальности самолета при разном горючем (бензольная и этиловая смеси).</w:t>
      </w:r>
    </w:p>
    <w:p w14:paraId="6A978A00" w14:textId="77777777" w:rsidR="008A0184" w:rsidRPr="00C33834" w:rsidRDefault="008A0184"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наивыгоднейшего положения высотного корректора на разных высотах.</w:t>
      </w:r>
    </w:p>
    <w:p w14:paraId="52962007" w14:textId="77777777" w:rsidR="008A0184" w:rsidRPr="00C33834" w:rsidRDefault="008A0184"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расходов указанных видов горючего при полетах на предельной дальности.</w:t>
      </w:r>
    </w:p>
    <w:p w14:paraId="64579A50" w14:textId="77777777" w:rsidR="008A0184" w:rsidRPr="00C33834" w:rsidRDefault="008A0184"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макисмального полетного веса самолета и особенностей взлета и пилотажа при этом весе.</w:t>
      </w:r>
    </w:p>
    <w:p w14:paraId="0FC7CCE0"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7F0B70BB" w14:textId="77777777" w:rsidR="008A0184" w:rsidRPr="00C33834" w:rsidRDefault="008A0184"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основании произведенных испытаний НИИ ВВС и ЦАГИ считают возможным допустить для дальних перелетов полетный вес самолета ТБ3-4М17 19,5 тонн и регулировку моторов, имевшую место при испытаниях.</w:t>
      </w:r>
    </w:p>
    <w:p w14:paraId="74F0C172"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p w14:paraId="533A3B02"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 получены ЦАГИ от 22 завода 26 июня 1933 года</w:t>
      </w:r>
    </w:p>
    <w:p w14:paraId="7BF69AA8"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 подготовлены ЗОКом ЦАГИ и переданы в ОЭЛИД ЦАГИ для испытания 7 июля 1933 года</w:t>
      </w:r>
    </w:p>
    <w:p w14:paraId="3E98248E"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начато 7 июля 1933 года</w:t>
      </w:r>
    </w:p>
    <w:p w14:paraId="6DBF296F"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закончено 11 июля 1933 года</w:t>
      </w:r>
    </w:p>
    <w:p w14:paraId="59A57CF6"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Фактически затрачено на испытание 5 дней, из них самолет летал 4 дня (6794).</w:t>
      </w:r>
    </w:p>
    <w:p w14:paraId="3CB7CA1A"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D10E06"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июля 1933 года прошли повторные испытания самолета "З-1" (ТБ1; 2И4) первой опытной серии. Испытывался в полете самолет "З-1", составленный из самолетов ТБ1 N 1650, И4 N 1576 на левом крыле и И4 N 1544 на правом.</w:t>
      </w:r>
    </w:p>
    <w:p w14:paraId="7C14006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2661465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пригоден к эксплуатации в частях ВВС. (3060,2).</w:t>
      </w:r>
    </w:p>
    <w:p w14:paraId="7CD545D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1CE5EE3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июля 1933 П.И.Б. отдал распоряжение "...организовать на заводе 21 КБ по подготовке производства самолета ХАИ-1, изготовления рабочих чертежей, переконструирования и переделки машины...Переработать как вариант самолета ХАИ-1 на военный". Через несколько месяцев передали чертежи и перевели группу во главе с Л.Д.Арсоном (1148,28).</w:t>
      </w:r>
    </w:p>
    <w:p w14:paraId="3BF0F0B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254FD84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июля 1933 в 12-00 из Иркутска стартовала аэроэкспедиция на север. Самолет Л-433 (по другим данным, В-33) ведет знаменитый летчик И.В.Доронин. Цель экспедиции - продолжить существующую авиалинию Иркутск - Якутск до Колымы (9870).</w:t>
      </w:r>
    </w:p>
    <w:p w14:paraId="0327F07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2E3F9C5B" w14:textId="77777777" w:rsidR="008A018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595E1438" w14:textId="77777777" w:rsidR="008A0184" w:rsidRPr="00C33834" w:rsidRDefault="008A018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93A8BE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июля 1933 украинский коммунист Н.Скрыпник покончил жизнь самоубийством и прошла чистка национальных кадров на Украине (3908,340).</w:t>
      </w:r>
    </w:p>
    <w:p w14:paraId="2616C5F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52B43C90"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июля 1933 обвиненный в буржуазном национализме, застрелился министр образования Украины Н. Скрипник (4962).</w:t>
      </w:r>
    </w:p>
    <w:p w14:paraId="678438E0"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86DE0A"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июля 1933 было самоубийство украинского большевика Н. Скрыпника. Чистка среди национальных кадров на Украине (4962).</w:t>
      </w:r>
    </w:p>
    <w:p w14:paraId="0F00F85B"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4482E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Между 7 и 13 июля 1933. Из протокола заседания Политбюро N 142, особая папка, 1933 г.</w:t>
      </w:r>
    </w:p>
    <w:p w14:paraId="665F2C4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публикации ленинских материалов в "Литературном наследстве" </w:t>
      </w:r>
    </w:p>
    <w:p w14:paraId="6C31FDB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 Объявить выговор тт. Короткому и Сорину за разрешение напечатать в "Литературном наследстве" записи речей Ленина в недопустимо искаженном виде. </w:t>
      </w:r>
    </w:p>
    <w:p w14:paraId="54DEA36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 Указать редакции "Литературного наследства", что она должна заниматься литературным наследством, а не наследством Маркса—Энгельса—Ленина, и считать, что т. Авербах поступил неправильно, не просмотрев перед опубликованием подготовленные его предшественниками материалы. </w:t>
      </w:r>
    </w:p>
    <w:p w14:paraId="7C307FE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Изъять из NN7-8 "Литературного наследства" все напечатанные в нем записи речей Ленина (11652).</w:t>
      </w:r>
    </w:p>
    <w:p w14:paraId="6BA7FC6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268A4DC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7 и 13 июля 1933. Из протокола заседания Политбюро N 141, особая папка, 1933 г.</w:t>
      </w:r>
    </w:p>
    <w:p w14:paraId="22D7008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трудовых поселениях ОГПУ </w:t>
      </w:r>
    </w:p>
    <w:p w14:paraId="2D3CBD3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изменение постановления ЦК от 17 апреля с. г. в соответствии с инструкцией ЦК и Совнаркома от 8 мая направить в течение 1933 г. в трудпоселки ГПУ Западной Сибири и Казахстана, кроме уже выселенных, прибывших на места и находящихся в пути — 124 000 человек, дополнительно 426 000 человек (11652).</w:t>
      </w:r>
    </w:p>
    <w:p w14:paraId="0E34F12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20153CA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7 и 13 июля 1933. Из протокола заседания Политбюро N 141, особая папка, 1933 г.</w:t>
      </w:r>
    </w:p>
    <w:p w14:paraId="69C42BA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Телеграмма т. Эйхе </w:t>
      </w:r>
    </w:p>
    <w:p w14:paraId="25CAA75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Предоставить тройке ПП ОГПУ Западно-Сибирского края под личным председательством полномочного представителя право применения высшей меры социальной защиты в отношении бандитских элементов, терроризирующих местное население и уже осевших трудпоселенцев. </w:t>
      </w:r>
    </w:p>
    <w:p w14:paraId="6A82850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Считать возможным направление в трудпоселки Александровахновского района Западной Сибири деклассированных элементов (11652).</w:t>
      </w:r>
    </w:p>
    <w:p w14:paraId="2C354D6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13E67029" w14:textId="77777777" w:rsidR="008A018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0A699A48" w14:textId="77777777" w:rsidR="008A0184" w:rsidRPr="00C33834" w:rsidRDefault="008A018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050774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7 и 13 июля 1933. Из протокола заседания Политбюро N 141, особая папка, 1933 г.</w:t>
      </w:r>
    </w:p>
    <w:p w14:paraId="79FC9E5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Предложение Литвы </w:t>
      </w:r>
    </w:p>
    <w:p w14:paraId="6B52FDE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Разрешить обмен 18 белых литовцев на коммунистов, сидящих в литовских тюрьмах (11652). </w:t>
      </w:r>
    </w:p>
    <w:p w14:paraId="69E3EE8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68424F89" w14:textId="77777777" w:rsidR="008A018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2F23833" w14:textId="77777777" w:rsidR="008A0184" w:rsidRPr="00C33834" w:rsidRDefault="008A018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162D8EA" w14:textId="77777777" w:rsidR="00AE0014" w:rsidRPr="00C33834" w:rsidRDefault="00AE0014"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8 июля 1933 был выполнен последний полет по испытаниям системы дозаправка в воздухе системы Гроховского, которые шли с 29 июня 1933. Было выполнено 8 полетов</w:t>
      </w:r>
    </w:p>
    <w:p w14:paraId="3828616D" w14:textId="77777777" w:rsidR="00AE0014" w:rsidRPr="00C33834" w:rsidRDefault="00AE0014"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Работы начались в 1931 г. в конструкторском отделе П.И. Гроховского при НИИ ВВС под руководством Запанованного. В качестве заправщика был выбран одномоторный разведчик-биплан Р-5. Под самолётом установили съёмный топливный бак из листовой стали ёмкостью 550 литров, соединённый с основным фюзеляжным баком. За кабиной лётчика-наблюдателя разместили лебёдку с барабаном, на которую наматывался резиновый шланг длиной 34,5 м и внутренним диаметром 25 мм. Один конец шланга крепился к управляемому с места пилота вентилю на подфюзеляжном баке, на другом конце находился клапан, открывавшийся при вводе металлического наконечника шланга в заправочную горловину бомбардировщика и зарывавшийся, когда шланг извлекали наружу. К шлангу присоединили груз, чтобы он меньше болтался на ветру. Были предусмотрены также страховочные тросы для предохранения от потери шланга и провод с вилками для уравновешивания электрических потенциалов самолётов. Общий вес топливного оборудования составил 120 кг.</w:t>
      </w:r>
    </w:p>
    <w:p w14:paraId="002E52F7" w14:textId="77777777" w:rsidR="00AE0014" w:rsidRPr="00C33834" w:rsidRDefault="00AE0014"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На ТБ-1 перед кабиной носового стрелка сконструировали приемную горловину, от которой изогнутые трубопроводы вели к бензобакам в левом и правом крыле. Эту достаточно сложную перекомпоновку поручили авиазаводу № 39. Завершающие работы выполнялись в Особом техническом бюро ВВС, созданном на основе конструкторского отдела Гроховского.</w:t>
      </w:r>
    </w:p>
    <w:p w14:paraId="0C318255" w14:textId="77777777" w:rsidR="00AE0014" w:rsidRPr="00C33834" w:rsidRDefault="00AE0014"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Наземные испытания выявили течь баков и топливных магистралей, работы затянулись, и к лётным экспериментам приступили только в 1933 г.</w:t>
      </w:r>
    </w:p>
    <w:p w14:paraId="6261BDFC" w14:textId="77777777" w:rsidR="00AE0014" w:rsidRPr="00C33834" w:rsidRDefault="00AE0014"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Летом 1933 г. в НИИ ВВС прошли государственные испытания. Сначала экипаж бомбардировщика тренировался ловить спускаемую с заправщика верёвку с грузом на конце, затем — шланг, потом учились выполнять дозаправку. ТБ-1 приближался к Р-5 на скорости 130–140 км/ч так, чтобы висящий в воздухе шланг располагался по оси самолёта на полтора-два метра выше пропеллеров. Затем пилот бомбардировщика набирал высоту, чтобы из открытой кабины переднего летнаба можно было схватить шланг. Одному человеку осуществить дозаправку было сложно, поэтому в переднюю кабину перебирался ещё один член экипажа. Он помогал удерживать шланг, пока летнаб заводил его в заправочную горловину, предварительно вставив вилку электропровода для уравнивания потенциалов. Получив сигнал, что заправка закончена и убедившись, что шланг освобождён, второй член экипажа Р-5 начинал наматывать шланг на барабан.</w:t>
      </w:r>
    </w:p>
    <w:p w14:paraId="5AC26339" w14:textId="77777777" w:rsidR="00AE0014" w:rsidRPr="00C33834" w:rsidRDefault="00AE0014"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Клапан на конце шланга, предназначенный для прекращения подачи бензина после извлечения из горловины, работал ненадёжно и пару раз забрызгивал заправщиков и нос бомбардировщика топливом. Но в целом результатами экспериментов военные остались довольны:</w:t>
      </w:r>
    </w:p>
    <w:p w14:paraId="6E6567D5" w14:textId="77777777" w:rsidR="00AE0014" w:rsidRPr="00C33834" w:rsidRDefault="00AE0014"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«Испытания выявили:</w:t>
      </w:r>
    </w:p>
    <w:p w14:paraId="434D4652" w14:textId="77777777" w:rsidR="00AE0014" w:rsidRPr="00C33834" w:rsidRDefault="00AE0014"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а). сравнительную лёгкость переливки горючего в воздухе из самолёта Р5 в самолёт ТБ1 при натренированности лётного состава…</w:t>
      </w:r>
    </w:p>
    <w:p w14:paraId="068FA005" w14:textId="77777777" w:rsidR="00AE0014" w:rsidRPr="00C33834" w:rsidRDefault="00AE0014"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б). для переливки не имеет значения:</w:t>
      </w:r>
    </w:p>
    <w:p w14:paraId="4EFA8654" w14:textId="77777777" w:rsidR="00AE0014" w:rsidRPr="00C33834" w:rsidRDefault="00AE0014"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 Направление ветра…</w:t>
      </w:r>
    </w:p>
    <w:p w14:paraId="7C002C4A" w14:textId="77777777" w:rsidR="00AE0014" w:rsidRPr="00C33834" w:rsidRDefault="00AE0014"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2. Высота полёта, лишь бы слои атмосферы, в которых идут самолёты, не были сильно возмущены (отсутствие болтанки, затрудняющей выдерживание самолёта в равномерном прямолинейном полёте).</w:t>
      </w:r>
    </w:p>
    <w:p w14:paraId="2DB002AD" w14:textId="77777777" w:rsidR="00AE0014" w:rsidRPr="00C33834" w:rsidRDefault="00AE0014"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переливку можно производить даже при небольшом дожде;</w:t>
      </w:r>
    </w:p>
    <w:p w14:paraId="546380FC" w14:textId="77777777" w:rsidR="00AE0014" w:rsidRPr="00C33834" w:rsidRDefault="00AE0014"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г). во время переливки, не отрываясь один от другого, самолёты могут совершать повороты на 5-10 градусов с небольшим креном» </w:t>
      </w:r>
      <w:hyperlink r:id="rId251" w:history="1">
        <w:r w:rsidRPr="00C33834">
          <w:rPr>
            <w:rFonts w:ascii="Times New Roman" w:eastAsia="Times New Roman" w:hAnsi="Times New Roman"/>
            <w:color w:val="000000" w:themeColor="text1"/>
            <w:sz w:val="16"/>
            <w:szCs w:val="16"/>
            <w:lang w:eastAsia="ru-RU"/>
          </w:rPr>
          <w:t>[56]</w:t>
        </w:r>
      </w:hyperlink>
      <w:r w:rsidRPr="00C33834">
        <w:rPr>
          <w:rFonts w:ascii="Times New Roman" w:eastAsia="Times New Roman" w:hAnsi="Times New Roman"/>
          <w:color w:val="000000" w:themeColor="text1"/>
          <w:sz w:val="16"/>
          <w:szCs w:val="16"/>
          <w:lang w:eastAsia="ru-RU"/>
        </w:rPr>
        <w:t xml:space="preserve"> (17489).</w:t>
      </w:r>
    </w:p>
    <w:p w14:paraId="08583119" w14:textId="77777777" w:rsidR="00AE0014" w:rsidRPr="00C33834" w:rsidRDefault="00AE0014" w:rsidP="00C33834">
      <w:pPr>
        <w:spacing w:after="0" w:line="240" w:lineRule="auto"/>
        <w:jc w:val="both"/>
        <w:rPr>
          <w:rFonts w:ascii="Times New Roman" w:eastAsia="Times New Roman" w:hAnsi="Times New Roman"/>
          <w:color w:val="000000" w:themeColor="text1"/>
          <w:sz w:val="16"/>
          <w:szCs w:val="16"/>
          <w:lang w:eastAsia="ru-RU"/>
        </w:rPr>
      </w:pPr>
    </w:p>
    <w:p w14:paraId="3A602EA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8 по 28 июля 1933 проходили испытания турельных авиационных пулеметов калибра 7,62 мм ШКАС-МК-1933 г. за NN 114, 116, 156 и 160. Испытуемые образцы были изготовлены отделом опытных работ Тульского оружейного завода. Проект был составлен конструкторами Шпитальным и Комарицким. В полете образцы были испытаны на самолете Р-5. Летчик - Уроничев К.А. (3053).</w:t>
      </w:r>
    </w:p>
    <w:p w14:paraId="16E97FD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16DA8BD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июля 1933 Маттерн на Веге совершил вынужденную в Прокопьевске и 14 июля опять упал недалеко от Анадыря (542,7).</w:t>
      </w:r>
    </w:p>
    <w:p w14:paraId="5934639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49DC9A0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июля 1933 г. «Савойя» С.55 стартовала в Сесто-Календе и после промежуточной посадки в Бриндизи в тот же день приводнилась в Афинах. На следующий день одолели этап Афины - Стамбул (5486,3).</w:t>
      </w:r>
    </w:p>
    <w:p w14:paraId="2F0EBF8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7C9FB41E" w14:textId="77777777" w:rsidR="000429A1" w:rsidRPr="00C33834" w:rsidRDefault="000429A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8 июля 1933 г. летающая лодка S.55 вылетела из Сесто Календе и, после остановки в Бриндизи, в тот же день прибыла в Афины. На следующий день летчики достигли Стамбула.</w:t>
      </w:r>
    </w:p>
    <w:p w14:paraId="15CDEABF" w14:textId="77777777" w:rsidR="000429A1" w:rsidRPr="00C33834" w:rsidRDefault="000429A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1933 г. участвовавший в приемке в Италии авиамеханик Эренпрайс вместе с известным летчиком А.С. Демченко представили заместителю начальника Главного управления ГВФ Я.Я. Анвельту письмо с предложением перегнать один из самолетов по воздуху, осуществив перелет по маршруту Сесто Календе - Хабаровск. Помимо пропагандистской составляющей, это позволило бы сэкономить время на доставку самолета на Дальний Восток. Представители фирмы «SIAI» обязались предоставить все необходимое на пути из Сесто Календе в Одессу, используя те средства, которые изначально предназначались для погрузки и транспортировки воздушного судна по морю. Предложение было принято. Для А.С. Демченко был выбран последний самолет серии. Экипаж составляли два русских и два итальянца (21410).</w:t>
      </w:r>
    </w:p>
    <w:p w14:paraId="17B36101" w14:textId="77777777" w:rsidR="000429A1" w:rsidRPr="00C33834" w:rsidRDefault="000429A1" w:rsidP="00C33834">
      <w:pPr>
        <w:spacing w:after="0" w:line="240" w:lineRule="auto"/>
        <w:jc w:val="both"/>
        <w:rPr>
          <w:rFonts w:ascii="Times New Roman" w:hAnsi="Times New Roman"/>
          <w:color w:val="0070C0"/>
          <w:sz w:val="16"/>
          <w:szCs w:val="16"/>
        </w:rPr>
      </w:pPr>
    </w:p>
    <w:p w14:paraId="26A48355" w14:textId="77777777" w:rsidR="000429A1" w:rsidRPr="00C33834" w:rsidRDefault="000429A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8 июля 1933 г.</w:t>
      </w:r>
    </w:p>
    <w:p w14:paraId="104F28B3" w14:textId="77777777" w:rsidR="000429A1" w:rsidRPr="00C33834" w:rsidRDefault="000429A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ДОКЛАДНАЯ ЗАПИСКА ЗАМЕСТИТЕЛЯ НАРОДНОГО КОМИССАРА ИНОСТРАННЫХ ДЕЛ СССР Н.Н. КРЕСТИНСКОГО ГЕНЕРАЛЬНОМУ СЕКРЕТАРЮ ЦК ВКП(б) И.В. СТАЛИНУ ОТНОСИТЕЛЬНО ПОМОЩИ АМЕРИКАНСКОМУ ЛЕТЧИКУ МАТТЕРНУ'</w:t>
      </w:r>
    </w:p>
    <w:p w14:paraId="47D9262E" w14:textId="77777777" w:rsidR="000429A1" w:rsidRPr="00C33834" w:rsidRDefault="000429A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8 июля 1933 г.</w:t>
      </w:r>
    </w:p>
    <w:p w14:paraId="709A93AA" w14:textId="77777777" w:rsidR="000429A1" w:rsidRPr="00C33834" w:rsidRDefault="000429A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Секретно</w:t>
      </w:r>
    </w:p>
    <w:p w14:paraId="751FE29B" w14:textId="77777777" w:rsidR="000429A1" w:rsidRPr="00C33834" w:rsidRDefault="000429A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Срочно</w:t>
      </w:r>
    </w:p>
    <w:p w14:paraId="63454C44" w14:textId="77777777" w:rsidR="000429A1" w:rsidRPr="00C33834" w:rsidRDefault="000429A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Уважаемый товарищ,</w:t>
      </w:r>
    </w:p>
    <w:p w14:paraId="748BC58F" w14:textId="77777777" w:rsidR="000429A1" w:rsidRPr="00C33834" w:rsidRDefault="000429A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Со вчерашнего дня, когда выяснилось, что американский летчик Маттерн жив, находится в окрестностях Анадыря, но не может продолжать полета вследствие порчи мотора, в печати всего мира, и в первую голову в американской, обсуждается вопрос, как оказать помощь Маттерну. ТАССом получено сообщение, что организации, финансирующие полет Маттерна, собираются обратиться к советскому правительству с просьбой разрешить полет в Анадырь мощному американскому аэроплану, который привез бы нужный для починки аэроплана Маттерна мотор.</w:t>
      </w:r>
    </w:p>
    <w:p w14:paraId="3126FEA1" w14:textId="77777777" w:rsidR="000429A1" w:rsidRPr="00C33834" w:rsidRDefault="000429A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С другой стороны, Главное управление Великого северного пути сообщило нам, что 4-го июля из Владивостока в направлении Анадыря вышел принадлежащий Главному управлению пароход, имеющий собственные оперативные задания. Этот пароход сможет оказать помощь Маттерну, но он прибудет в Анадырь самое раннее 16 июля.</w:t>
      </w:r>
    </w:p>
    <w:p w14:paraId="40032DBF" w14:textId="77777777" w:rsidR="000429A1" w:rsidRPr="00C33834" w:rsidRDefault="000429A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Далее О.Ю. Шмидт сообщил мне, что завтра из Хабаровска должен вылететь мощный аэроплан, принадлежащий Главному управлению Северного пути, летящий по своим плановым заданиям в направлении Анадыря и дальше.</w:t>
      </w:r>
    </w:p>
    <w:p w14:paraId="54FEC842" w14:textId="77777777" w:rsidR="000429A1" w:rsidRPr="00C33834" w:rsidRDefault="000429A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Этот аэроплан мог бы спуститься в Анадыре. Он был бы там 12 июля, т.е. уже через 4 дня. Этот аэроплан, по словам О.Ю. Шмидта, мог бы продолжить свой полет до Аляски и привезти оттуда необходимый Маттерну мотор, если американцы к этому времени мотор туда воздушным путем доставят.</w:t>
      </w:r>
    </w:p>
    <w:p w14:paraId="4D557DF1" w14:textId="77777777" w:rsidR="000429A1" w:rsidRPr="00C33834" w:rsidRDefault="000429A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НКИД считает, что нам политически выгодно силами наших организаций помочь Маттерну выбраться из Анадыря и продолжить его полет. Это вызовет взрыв общественных симпатий по отношению к нам повсюду, в первую голову в Соединенных Штатах, с чем мы не можем не считаться.</w:t>
      </w:r>
    </w:p>
    <w:p w14:paraId="63CD6AF4" w14:textId="77777777" w:rsidR="000429A1" w:rsidRPr="00C33834" w:rsidRDefault="000429A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Я просил бы поэтому Вас санкционировать принятие Главным управлением Северного пути всех необходимых мер для спасения Маттерна. Это будет обозначать в первую голову спуск в Анадыре вылетающего из Хабаровска аэроплана и затем дальнейший полет этого аэроплана на Аляску за мотором. Если последнее предложение Вами санкционируется, то Главное управление Северного пути немедленно по телеграфу снесется с американскими воздухоплавательными организациями о посылке в Аляску мотора для Маттерна.</w:t>
      </w:r>
    </w:p>
    <w:p w14:paraId="5A8CFBC4" w14:textId="77777777" w:rsidR="000429A1" w:rsidRPr="00C33834" w:rsidRDefault="000429A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Решение надо принять сегодня же опросом.</w:t>
      </w:r>
    </w:p>
    <w:p w14:paraId="6DA361F8" w14:textId="77777777" w:rsidR="000429A1" w:rsidRPr="00C33834" w:rsidRDefault="000429A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 товарищеским приветом,</w:t>
      </w:r>
    </w:p>
    <w:p w14:paraId="2FF26A25" w14:textId="77777777" w:rsidR="000429A1" w:rsidRPr="00C33834" w:rsidRDefault="000429A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 КРЕСТИНСКИЙ</w:t>
      </w:r>
    </w:p>
    <w:p w14:paraId="01DEDB72" w14:textId="77777777" w:rsidR="000429A1" w:rsidRPr="00C33834" w:rsidRDefault="000429A1" w:rsidP="00C33834">
      <w:pPr>
        <w:spacing w:after="0" w:line="240" w:lineRule="auto"/>
        <w:jc w:val="both"/>
        <w:rPr>
          <w:rFonts w:ascii="Times New Roman" w:hAnsi="Times New Roman"/>
          <w:color w:val="0070C0"/>
          <w:sz w:val="16"/>
          <w:szCs w:val="16"/>
          <w:lang w:val="en-US"/>
        </w:rPr>
      </w:pPr>
      <w:r w:rsidRPr="00C33834">
        <w:rPr>
          <w:rFonts w:ascii="Times New Roman" w:hAnsi="Times New Roman"/>
          <w:color w:val="0070C0"/>
          <w:sz w:val="16"/>
          <w:szCs w:val="16"/>
        </w:rPr>
        <w:t xml:space="preserve">АВП РФ. Ф. 05. </w:t>
      </w:r>
      <w:r w:rsidRPr="00C33834">
        <w:rPr>
          <w:rFonts w:ascii="Times New Roman" w:hAnsi="Times New Roman"/>
          <w:color w:val="0070C0"/>
          <w:sz w:val="16"/>
          <w:szCs w:val="16"/>
          <w:lang w:val="en-US"/>
        </w:rPr>
        <w:t xml:space="preserve">On. 13. </w:t>
      </w:r>
      <w:r w:rsidRPr="00C33834">
        <w:rPr>
          <w:rFonts w:ascii="Times New Roman" w:hAnsi="Times New Roman"/>
          <w:color w:val="0070C0"/>
          <w:sz w:val="16"/>
          <w:szCs w:val="16"/>
        </w:rPr>
        <w:t>П</w:t>
      </w:r>
      <w:r w:rsidRPr="00C33834">
        <w:rPr>
          <w:rFonts w:ascii="Times New Roman" w:hAnsi="Times New Roman"/>
          <w:color w:val="0070C0"/>
          <w:sz w:val="16"/>
          <w:szCs w:val="16"/>
          <w:lang w:val="en-US"/>
        </w:rPr>
        <w:t xml:space="preserve">. 95. </w:t>
      </w:r>
      <w:r w:rsidRPr="00C33834">
        <w:rPr>
          <w:rFonts w:ascii="Times New Roman" w:hAnsi="Times New Roman"/>
          <w:color w:val="0070C0"/>
          <w:sz w:val="16"/>
          <w:szCs w:val="16"/>
        </w:rPr>
        <w:t>Д</w:t>
      </w:r>
      <w:r w:rsidRPr="00C33834">
        <w:rPr>
          <w:rFonts w:ascii="Times New Roman" w:hAnsi="Times New Roman"/>
          <w:color w:val="0070C0"/>
          <w:sz w:val="16"/>
          <w:szCs w:val="16"/>
          <w:lang w:val="en-US"/>
        </w:rPr>
        <w:t xml:space="preserve">. 81. </w:t>
      </w:r>
      <w:r w:rsidRPr="00C33834">
        <w:rPr>
          <w:rFonts w:ascii="Times New Roman" w:hAnsi="Times New Roman"/>
          <w:color w:val="0070C0"/>
          <w:sz w:val="16"/>
          <w:szCs w:val="16"/>
        </w:rPr>
        <w:t>Л</w:t>
      </w:r>
      <w:r w:rsidRPr="00C33834">
        <w:rPr>
          <w:rFonts w:ascii="Times New Roman" w:hAnsi="Times New Roman"/>
          <w:color w:val="0070C0"/>
          <w:sz w:val="16"/>
          <w:szCs w:val="16"/>
          <w:lang w:val="en-US"/>
        </w:rPr>
        <w:t xml:space="preserve">. 8-9. </w:t>
      </w:r>
      <w:r w:rsidRPr="00C33834">
        <w:rPr>
          <w:rFonts w:ascii="Times New Roman" w:hAnsi="Times New Roman"/>
          <w:color w:val="0070C0"/>
          <w:sz w:val="16"/>
          <w:szCs w:val="16"/>
        </w:rPr>
        <w:t>Копия</w:t>
      </w:r>
      <w:r w:rsidRPr="00C33834">
        <w:rPr>
          <w:rFonts w:ascii="Times New Roman" w:hAnsi="Times New Roman"/>
          <w:color w:val="0070C0"/>
          <w:sz w:val="16"/>
          <w:szCs w:val="16"/>
          <w:lang w:val="en-US"/>
        </w:rPr>
        <w:t>.</w:t>
      </w:r>
    </w:p>
    <w:p w14:paraId="5D955B43" w14:textId="77777777" w:rsidR="000429A1" w:rsidRPr="00C33834" w:rsidRDefault="000429A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Копии записки разосланы В.М. Молотову и членам коллегии НКИД СССР. На одной из копий записки имеется пометка Н.Н. Крестинского о том, что предложение о помощи американскому летчику принято (сообщил 9 июля 1933 г. В.П. Постышев), о чем извещен заместитель начальника главного управления Северного морского пути Г.А. Ушаков (20413).</w:t>
      </w:r>
    </w:p>
    <w:p w14:paraId="45DAF1AF" w14:textId="77777777" w:rsidR="000429A1" w:rsidRPr="00C33834" w:rsidRDefault="000429A1" w:rsidP="00C33834">
      <w:pPr>
        <w:spacing w:after="0" w:line="240" w:lineRule="auto"/>
        <w:jc w:val="both"/>
        <w:rPr>
          <w:rFonts w:ascii="Times New Roman" w:hAnsi="Times New Roman"/>
          <w:color w:val="0070C0"/>
          <w:sz w:val="16"/>
          <w:szCs w:val="16"/>
        </w:rPr>
      </w:pPr>
    </w:p>
    <w:p w14:paraId="7641C413" w14:textId="77777777" w:rsidR="000429A1" w:rsidRPr="00C33834" w:rsidRDefault="000429A1"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40C06A9" w14:textId="77777777" w:rsidR="000429A1" w:rsidRPr="00C33834" w:rsidRDefault="000429A1" w:rsidP="00C33834">
      <w:pPr>
        <w:spacing w:after="0" w:line="240" w:lineRule="auto"/>
        <w:jc w:val="both"/>
        <w:rPr>
          <w:rFonts w:ascii="Times New Roman" w:hAnsi="Times New Roman"/>
          <w:iCs/>
          <w:color w:val="000000" w:themeColor="text1"/>
          <w:sz w:val="16"/>
          <w:szCs w:val="16"/>
        </w:rPr>
      </w:pPr>
    </w:p>
    <w:p w14:paraId="4B6C4CC4" w14:textId="77777777" w:rsidR="000429A1" w:rsidRPr="00C33834" w:rsidRDefault="000429A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8 июля 1933 года на мартеновской печи №1 Магнитогорского металлургического комбината осуществлена первая плавка стали (21177).</w:t>
      </w:r>
    </w:p>
    <w:p w14:paraId="14C9CBE7" w14:textId="77777777" w:rsidR="000429A1" w:rsidRPr="00C33834" w:rsidRDefault="000429A1" w:rsidP="00C33834">
      <w:pPr>
        <w:spacing w:after="0" w:line="240" w:lineRule="auto"/>
        <w:jc w:val="both"/>
        <w:rPr>
          <w:rFonts w:ascii="Times New Roman" w:hAnsi="Times New Roman"/>
          <w:color w:val="0070C0"/>
          <w:sz w:val="16"/>
          <w:szCs w:val="16"/>
        </w:rPr>
      </w:pPr>
    </w:p>
    <w:p w14:paraId="63D6CA4D" w14:textId="77777777" w:rsidR="008A018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421BDC84" w14:textId="77777777" w:rsidR="008A0184" w:rsidRPr="00C33834" w:rsidRDefault="008A018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1E7870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июля 1933 Л. И. Коган написал изданное в трех тысячах экземпляров открытое «Письмо начальника строительства каналоармейцам», где призвал «вынуть и уложить в насыпи до 100 миллионов кубических метров земли. На Белморстрое таких работ было 20 миллионов кубометров. Значит здесь этой работы больше чем на Белморстрое в 5 раз. Срок данный нам для окончания всего канала хоть и достаточный, но терять из него хотя бы один день нельзя. Нельзя терять потому, что большевистские сроки устанавливаются без всяких запасов, большевистские сроки рассчитаны на ударников, а не ротозеев. Большевики делают все скоро, большевики стремятся скорей построить социализм. Москва-Волгастрой это тоже социализм. Сейчас июль, лучший летний месяц. На Белморстрое каналоармейцы достигли в июле самых высших производственных показателей. Того же самого мы обязаны добиться на Москва-Волгострое... сообщаю Вам сколько Вы должны сделать земляных работ в месяц и делать в один день... Вот читайте внимательно:»</w:t>
      </w:r>
    </w:p>
    <w:p w14:paraId="6A34C20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8-12 июля 1933 состоялась операция ОГПУ по очистке Киева от "деклассированных элементов" - крестьян, бежавших от голода из колхозов (10687).</w:t>
      </w:r>
    </w:p>
    <w:p w14:paraId="0505861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3FF66651" w14:textId="77777777" w:rsidR="008A018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AC00737" w14:textId="77777777" w:rsidR="008A0184" w:rsidRPr="00C33834" w:rsidRDefault="008A018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3E1C85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июля 1933 г. РВС СССР принял постановление о разработке Р-5 торпедоносца. Осенью того же года началось проектирование модификации Р-5Т. Переделкой планера занималась группа конструкторов завода № 1 во главе с инженером Гребеневым. Основную роль в ней играли инженеры Шишкин и Никитин. Подвеску торпеды разрабатывали в 16-м отделе НИИ ВВС под руководством М.И. Проценко.</w:t>
      </w:r>
    </w:p>
    <w:p w14:paraId="67D0432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Такой тяжелый груз, как торпеда, можно было подвесить только под фюзеляжем. Но Р-5 имел старомодное шасси, не позволявшее разместить торпеду между стойками, поэтому его заменили новой конструкцией с двумя отдельными пирамидальными стойками. Силовой набор крыла и фюзеляжа несколько усилили.</w:t>
      </w:r>
    </w:p>
    <w:p w14:paraId="3BADA8F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Р-5Т выбрали торпеду ТАН-12 - переделанную морскую торпеду образца 1912 г. Ее расположили под фюзеляжем наклонно. Подвеска ("торпедодержатель") снабжалась замками от бомбодержателя Дер-13. Сброс осуществлялся механическим сбрасывателем, стоявшим у пилота.</w:t>
      </w:r>
    </w:p>
    <w:p w14:paraId="10386F4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самолета сконструировали простой торпедный прицел ПТН-1 ("гребенку").</w:t>
      </w:r>
    </w:p>
    <w:p w14:paraId="60123602"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Масса торпеды с подвеской (930 кг) превышала максимально допустимые для Р-5 пределы. Для облегчения самолет сделали одноместным, закрыв проем задней кабины съемной крышкой. Курсовой пулемет ПВ-1 сохранили для подавления зенитных средств атакуемого корабля. Р-5Т без торпеды мог использоваться как дальний разведчик. При этом предусматривалось размещение в задней кабине дополнительного бензобака, позволявшего увеличить дальность до 1200 км.</w:t>
      </w:r>
    </w:p>
    <w:p w14:paraId="35AED98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качестве ближнего разведчика Р-5Т опять становился двухместным. В задней кабине предусматривалась установка радиостанции 13-СК и фотоаппаратов Поттэ 1Б или АФА-13. При этом машина могла нести мелкие бомбы на держателях Дер-7 под крылом (11936).</w:t>
      </w:r>
    </w:p>
    <w:p w14:paraId="0FDC9C2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1D5EC11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июля 1933 г. Реввоенсовет СССР принял постановление, в котором говорилось: "Поставить перед промышленностью задачу приспособить Р-5 к высотному и низкому торпедометанию для действия у своих берегов" (12034).</w:t>
      </w:r>
    </w:p>
    <w:p w14:paraId="5723133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77A4AF64"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9 июля в 1933 году Реввоенсовет СССР принял постановление, в котором говорилось: "Поставить перед промышленностью задачу приспособить «Р-5» к высотному и низкому торпедометанию для действия у своих берегов". Осенью 1933 года началось проектирование новой модификации, названной </w:t>
      </w:r>
      <w:hyperlink r:id="rId252" w:tgtFrame="_blank" w:history="1">
        <w:r w:rsidRPr="00C33834">
          <w:rPr>
            <w:rFonts w:ascii="Times New Roman" w:hAnsi="Times New Roman"/>
            <w:color w:val="000000" w:themeColor="text1"/>
            <w:sz w:val="16"/>
            <w:szCs w:val="16"/>
          </w:rPr>
          <w:t>«Р-5Т».</w:t>
        </w:r>
      </w:hyperlink>
    </w:p>
    <w:p w14:paraId="03E9990D" w14:textId="77777777" w:rsidR="0092785F" w:rsidRPr="00C33834" w:rsidRDefault="0092785F" w:rsidP="00C33834">
      <w:pPr>
        <w:spacing w:after="0" w:line="240" w:lineRule="auto"/>
        <w:jc w:val="both"/>
        <w:rPr>
          <w:rFonts w:ascii="Times New Roman" w:hAnsi="Times New Roman"/>
          <w:color w:val="000000" w:themeColor="text1"/>
          <w:sz w:val="16"/>
          <w:szCs w:val="16"/>
        </w:rPr>
      </w:pPr>
    </w:p>
    <w:p w14:paraId="33A135CE" w14:textId="77777777" w:rsidR="0092785F" w:rsidRPr="00C33834" w:rsidRDefault="0092785F" w:rsidP="00C33834">
      <w:pPr>
        <w:pStyle w:val="45"/>
        <w:shd w:val="clear" w:color="auto" w:fill="auto"/>
        <w:spacing w:before="0" w:line="240" w:lineRule="auto"/>
        <w:jc w:val="both"/>
        <w:rPr>
          <w:rFonts w:ascii="Times New Roman" w:cs="Times New Roman"/>
          <w:color w:val="000000" w:themeColor="text1"/>
          <w:sz w:val="16"/>
          <w:szCs w:val="16"/>
        </w:rPr>
      </w:pPr>
      <w:r w:rsidRPr="00C33834">
        <w:rPr>
          <w:rStyle w:val="4b"/>
          <w:rFonts w:ascii="Times New Roman" w:hAnsi="Times New Roman" w:cs="Times New Roman"/>
          <w:i w:val="0"/>
          <w:color w:val="000000" w:themeColor="text1"/>
          <w:sz w:val="16"/>
          <w:szCs w:val="16"/>
        </w:rPr>
        <w:t>9 июля 1933 г. начальник СНИИ ГВФ Ривадин рапортовал начальству:</w:t>
      </w:r>
      <w:r w:rsidRPr="00C33834">
        <w:rPr>
          <w:rFonts w:ascii="Times New Roman" w:cs="Times New Roman"/>
          <w:color w:val="000000" w:themeColor="text1"/>
          <w:sz w:val="16"/>
          <w:szCs w:val="16"/>
        </w:rPr>
        <w:t xml:space="preserve"> «Доношу, что сего числа в 6 часов утра самолёт «С-6» выведен на аэродром. Производятся подготовительные работы к пуску в полёт» (15844).</w:t>
      </w:r>
    </w:p>
    <w:p w14:paraId="4A99EE83" w14:textId="77777777" w:rsidR="0092785F" w:rsidRPr="00C33834" w:rsidRDefault="0092785F" w:rsidP="00C33834">
      <w:pPr>
        <w:pStyle w:val="45"/>
        <w:shd w:val="clear" w:color="auto" w:fill="auto"/>
        <w:spacing w:before="0" w:line="240" w:lineRule="auto"/>
        <w:jc w:val="both"/>
        <w:rPr>
          <w:rFonts w:ascii="Times New Roman" w:cs="Times New Roman"/>
          <w:color w:val="000000" w:themeColor="text1"/>
          <w:sz w:val="16"/>
          <w:szCs w:val="16"/>
        </w:rPr>
      </w:pPr>
    </w:p>
    <w:p w14:paraId="0E5FE6C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июля 1933 года начальник СНИИ ГВФ Ривадин писал начальнику Аэрофлота Гольцману А.З., начальнику НТУ Грозе И.Р.</w:t>
      </w:r>
    </w:p>
    <w:p w14:paraId="1025AD00"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Рапорт</w:t>
      </w:r>
    </w:p>
    <w:p w14:paraId="106A95C5"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Доношу, что сего числа в 6 часов утра самолет "С-6" выведен на аэродром.</w:t>
      </w:r>
    </w:p>
    <w:p w14:paraId="640065F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Производятся подготовительные работы к пуску в полет (7739, 179).</w:t>
      </w:r>
    </w:p>
    <w:p w14:paraId="7E54351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7F86231F" w14:textId="77777777" w:rsidR="0047089C" w:rsidRPr="00C33834" w:rsidRDefault="0047089C"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9 июля 1933 г. начальник СНИИ ГВФ Ривадин рапортовал начальству: «Доношу, что сего числа в 6 часов утра самолёт „С-6“ выведен на аэродром. Производятся подготовительные работы к пуску в полёт» </w:t>
      </w:r>
      <w:hyperlink r:id="rId253" w:history="1">
        <w:r w:rsidRPr="00C33834">
          <w:rPr>
            <w:rFonts w:ascii="Times New Roman" w:eastAsia="Times New Roman" w:hAnsi="Times New Roman"/>
            <w:color w:val="000000" w:themeColor="text1"/>
            <w:sz w:val="16"/>
            <w:szCs w:val="16"/>
            <w:lang w:eastAsia="ru-RU"/>
          </w:rPr>
          <w:t>[114]</w:t>
        </w:r>
      </w:hyperlink>
      <w:r w:rsidRPr="00C33834">
        <w:rPr>
          <w:rFonts w:ascii="Times New Roman" w:eastAsia="Times New Roman" w:hAnsi="Times New Roman"/>
          <w:color w:val="000000" w:themeColor="text1"/>
          <w:sz w:val="16"/>
          <w:szCs w:val="16"/>
          <w:lang w:eastAsia="ru-RU"/>
        </w:rPr>
        <w:t xml:space="preserve"> .</w:t>
      </w:r>
    </w:p>
    <w:p w14:paraId="57FE660E" w14:textId="77777777" w:rsidR="0047089C" w:rsidRPr="00C33834" w:rsidRDefault="0047089C"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«Сталь-6» был свободнонесущим монопланом очень обтекаемой формы. Силовой каркас крыла, фюзеляжа и оперения — из стальных труб. Для снижения веса лонжероны крыла в виде пучка сваренных между собой хромомолибденовых труб сужались к концам за счёт постепенного уменьшения их числа: передний лонжерон у основания имел семь труб, затем пять, затем три, и на конце — одну. Задний лонжерон имел аналогичную конструкцию, но начинался с пяти труб. Внутренние раскосы и ферменные нервюры крыла и оперения крыла были из нержавеющей стали и крепились к лонжеронам точечной электросваркой.</w:t>
      </w:r>
    </w:p>
    <w:p w14:paraId="559E026C" w14:textId="77777777" w:rsidR="0047089C" w:rsidRPr="00C33834" w:rsidRDefault="0047089C"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Технология электросварки обычной и нержавеющей стали различна: для соединения деталей из хромомолибденовой стали нужно использовать сравнительно слабый, но продолжительный нагрев, иначе сварная точка становилась хрупкой, листовую нержавеющую сталь сваривали коротким сильным электрическим импульсом. Бартини и инженер С.М. Попов разработали специальный метод: сначала давали большой, но короткий ток, затем через реостат снижали нагрев до температуры, требуемой для сварки хромомолибденовых труб. Регулирование процесса, смены режимов были доверены автоматике </w:t>
      </w:r>
      <w:hyperlink r:id="rId254" w:history="1">
        <w:r w:rsidRPr="00C33834">
          <w:rPr>
            <w:rFonts w:ascii="Times New Roman" w:eastAsia="Times New Roman" w:hAnsi="Times New Roman"/>
            <w:color w:val="000000" w:themeColor="text1"/>
            <w:sz w:val="16"/>
            <w:szCs w:val="16"/>
            <w:lang w:eastAsia="ru-RU"/>
          </w:rPr>
          <w:t>[115]</w:t>
        </w:r>
      </w:hyperlink>
      <w:r w:rsidRPr="00C33834">
        <w:rPr>
          <w:rFonts w:ascii="Times New Roman" w:eastAsia="Times New Roman" w:hAnsi="Times New Roman"/>
          <w:color w:val="000000" w:themeColor="text1"/>
          <w:sz w:val="16"/>
          <w:szCs w:val="16"/>
          <w:lang w:eastAsia="ru-RU"/>
        </w:rPr>
        <w:t xml:space="preserve"> .</w:t>
      </w:r>
    </w:p>
    <w:p w14:paraId="29CFD32F" w14:textId="77777777" w:rsidR="0047089C" w:rsidRPr="00C33834" w:rsidRDefault="0047089C"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Обшивку крыла выполнили из тонких листов нержавеющей стали, фюзеляжа— из фанеры, обтянутой перкалем, хвостовое оперение имело фанерную обшивку, а рулевые поверхности — полотняную. При изготовлении масляного бака применялся сплав электрон.</w:t>
      </w:r>
    </w:p>
    <w:p w14:paraId="24E585C5" w14:textId="77777777" w:rsidR="0047089C" w:rsidRPr="00C33834" w:rsidRDefault="0047089C"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Горизонтальный стабилизатор — с изменяемым углом установки на земле для регулировки продольной балансировки самолёта. В управление элеронами было введено устройство, позволяющее также отклонять их как закрылки на угол до 30 градусов. Позднее такой тип элеронов назвали «флапероны» (от английских flap — закрылок и aileron — элерон).</w:t>
      </w:r>
    </w:p>
    <w:p w14:paraId="1449AC4A" w14:textId="77777777" w:rsidR="0047089C" w:rsidRPr="00C33834" w:rsidRDefault="0047089C"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В.Б. Шавров пишет, что в системе управления рулями высоты имелась раздвижная качалка, длина которой могла регулироваться лётчиком, чтобы менять угол отклонения рулей в зависимости от скорости полёта </w:t>
      </w:r>
      <w:hyperlink r:id="rId255" w:history="1">
        <w:r w:rsidRPr="00C33834">
          <w:rPr>
            <w:rFonts w:ascii="Times New Roman" w:eastAsia="Times New Roman" w:hAnsi="Times New Roman"/>
            <w:color w:val="000000" w:themeColor="text1"/>
            <w:sz w:val="16"/>
            <w:szCs w:val="16"/>
            <w:lang w:eastAsia="ru-RU"/>
          </w:rPr>
          <w:t>[116]</w:t>
        </w:r>
      </w:hyperlink>
      <w:r w:rsidRPr="00C33834">
        <w:rPr>
          <w:rFonts w:ascii="Times New Roman" w:eastAsia="Times New Roman" w:hAnsi="Times New Roman"/>
          <w:color w:val="000000" w:themeColor="text1"/>
          <w:sz w:val="16"/>
          <w:szCs w:val="16"/>
          <w:lang w:eastAsia="ru-RU"/>
        </w:rPr>
        <w:t xml:space="preserve"> . Бартини действительно изобрёл такое устройство, однако не установил его на самолёт, во всяком случае в весьма подробном отчете по государственным испытаниям «Стали-6» упоминаний о нём нет.</w:t>
      </w:r>
    </w:p>
    <w:p w14:paraId="69633E90" w14:textId="77777777" w:rsidR="0047089C" w:rsidRPr="00C33834" w:rsidRDefault="0047089C"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lastRenderedPageBreak/>
        <w:t>Двигатель водяного охлаждения мощностью 680 л. с. не имел привычного радиатора, его роль выполняла двойная металлическая обшивка крыла, соединенная электросваркой с применением пайки для герметизации. Вода, омывая цилиндры двигателя, испарялась, в виде пара попадала в пространство между слоями обшивки, охлаждаемая потоком воздуха конденсировалось в воду и с помощью помпы возвращалась обратно к двигателю. Обшивка-конденсатор занимала всю верхнюю часть крыла и часть нижней поверхности от носка до переднего лонжерона. Маслобак также находился в крыле, масло охлаждалось остывшей в крыле водой.</w:t>
      </w:r>
    </w:p>
    <w:p w14:paraId="1F64168C" w14:textId="77777777" w:rsidR="0047089C" w:rsidRPr="00C33834" w:rsidRDefault="0047089C"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Систему поверхностного крыльевого охлаждения впервые применили на итальянском гоночном гидросамолёте Макки М.72 в 1931 г. Но «Сталь-6» строили, прежде всего, как прототип истребителя. Учитывая уязвимость поверхностных радиаторов в боевых условиях, Бартини разделил их на 30 секций, закрыв щели между ними стальными лентами, а также установил резервный 19-литровый бачок, соединенный с водяной магистралью.</w:t>
      </w:r>
    </w:p>
    <w:p w14:paraId="5DC1B27A" w14:textId="77777777" w:rsidR="0047089C" w:rsidRPr="00C33834" w:rsidRDefault="0047089C"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Ещё одной новинкой стало применение металлического винта изменяемого шага. Правда, угол установки лопастей можно было регулировать только на земле.</w:t>
      </w:r>
    </w:p>
    <w:p w14:paraId="6AE8E64F" w14:textId="77777777" w:rsidR="0047089C" w:rsidRPr="00C33834" w:rsidRDefault="0047089C"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«Сталь-6» был первым в СССР самолётом с убирающимся одноколёсным шасси (впервые у нас убираемое шасси сделали на пассажирском ХАИ-1 в 1932 г., но на небольшом одноместном самолёте Бартини внутреннего пространства для двух колёс не было). Колесо втягивалось с помощью тросов, наматываемых на специальный штурвал в кабине. Сначала убиралось само колесо диаметром 800 мм, оно заходило в нишу в фюзеляже между ног пилота, которая закрывалась створками. Во время подъёма колеса второй трос подтягивал подкрыльевые костыли в горизонтальное положение.</w:t>
      </w:r>
    </w:p>
    <w:p w14:paraId="03D84570" w14:textId="77777777" w:rsidR="0047089C" w:rsidRPr="00C33834" w:rsidRDefault="0047089C"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Выпуск шасси происходил за счет собственного веса колеса и костылей с последующей доводкой их тросом до фиксации в механических замках. Для уборки шасси надо было сделать 23 полных оборота штурвала, это занимало 2,5–3 минуты. Выпуск происходил быстрее — за 1,5–2 минуты. При уборке шасси штурвал приходилось вращать с усилием до 15 кг. Об уборке и выпуске колеса и костылей сигнализировали лампочки на приборной доске.</w:t>
      </w:r>
    </w:p>
    <w:p w14:paraId="1AEC79FC" w14:textId="77777777" w:rsidR="0047089C" w:rsidRPr="00C33834" w:rsidRDefault="0047089C"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Кабина была закрыта сдвижным фонарём, практически не выступающим за обводы фюзеляжа. Фонарь имел каркас из стальных труб и был обтянут целлоном; небьющегося стекла типа триплекс тогда ещё не было.</w:t>
      </w:r>
    </w:p>
    <w:p w14:paraId="7D107709" w14:textId="77777777" w:rsidR="0047089C" w:rsidRPr="00C33834" w:rsidRDefault="0047089C"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Самолёт имел длину 6,9 м, размах крыла 9 м, площадь крыла 13,8 м2. Вес конструкции 928 кг (17489).</w:t>
      </w:r>
    </w:p>
    <w:p w14:paraId="7BB380D6" w14:textId="77777777" w:rsidR="0047089C" w:rsidRPr="00C33834" w:rsidRDefault="0047089C" w:rsidP="00C33834">
      <w:pPr>
        <w:spacing w:after="0" w:line="240" w:lineRule="auto"/>
        <w:jc w:val="both"/>
        <w:rPr>
          <w:rFonts w:ascii="Times New Roman" w:eastAsia="Times New Roman" w:hAnsi="Times New Roman"/>
          <w:color w:val="000000" w:themeColor="text1"/>
          <w:sz w:val="16"/>
          <w:szCs w:val="16"/>
          <w:lang w:eastAsia="ru-RU"/>
        </w:rPr>
      </w:pPr>
    </w:p>
    <w:p w14:paraId="3062999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июля 1933 было принято постановления РВС СССР "О минно-торпедном вооружении ВВС РККА" (12002).</w:t>
      </w:r>
    </w:p>
    <w:p w14:paraId="51AAF57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1E958EAB" w14:textId="77777777" w:rsidR="008A1994" w:rsidRPr="00C33834" w:rsidRDefault="008A199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9 июля 1933 года Реввоенсовет СССР издал постановление "О минно-торпедном вооружении Военно-Воздушных Сил РККА" и тем самым ускорил внедрение низкого и высотного торпедометания и минометания в практику боевого применения флота и авиации (19929).</w:t>
      </w:r>
    </w:p>
    <w:p w14:paraId="6A8EFBF4" w14:textId="77777777" w:rsidR="008A1994" w:rsidRPr="00C33834" w:rsidRDefault="008A1994" w:rsidP="00C33834">
      <w:pPr>
        <w:spacing w:after="0" w:line="240" w:lineRule="auto"/>
        <w:jc w:val="both"/>
        <w:rPr>
          <w:rFonts w:ascii="Times New Roman" w:hAnsi="Times New Roman"/>
          <w:color w:val="0070C0"/>
          <w:sz w:val="16"/>
          <w:szCs w:val="16"/>
        </w:rPr>
      </w:pPr>
    </w:p>
    <w:p w14:paraId="2697DE9A"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июля 1933 РВС СССР принял постановление "О минно-торпедном вооружении ВВС РККА", в котором требовалось "придать самый быстрый темп практическому внедрению низкого и высотного торпедо- и минометания в Военно-Морском и Воздушном флоте". Этим постановлением вводились новые образцы мин- но-торпедного вооружения, определялись рода морской авиации: разведывательная, бомбардировочная (обе на гидросамолетах, а последняя частично и на колесных самолетах), истребительная. Минно-торпедные части входили в состав бомбардировочной авиации. Этот документ как будто дал "зеленую улицу" скорейшему формированию нового рода морской авиации, но не тут-то было. Когда 4 октября начальник штаба ВВС приказал начать подготовку к формированию десяти эскадрилий (четырех на ТБ-1 и шести на ТБ-3). оказалось, что для ТБ-3 только делают два опытных моста, а самих самолетов не хватает даже тяжелобомбардировочным бригадам. Необходимого количества денег на мосты тоже нет - начальник ВВС Я.И. Алкснис урезал заказ впятеро. Тем не менее 29 декабря в округа поступает новый план - сформировать восемь эскадрилий (семь на ТБ-1 и одну - на ТБ-3). Почти все они должны были дислоцироваться на Дальнем Востоке. Две эскадрильи для Балтийского флота собирались базировать в Едрово, одну для Черноморского - в Севастополе. При этом черноморцам предложили поставить торпедные мосты на старые летающие лодки Дорнье "Валь", на которых ни мины, ни торпеды никогда и не пытались вешать (12002).</w:t>
      </w:r>
    </w:p>
    <w:p w14:paraId="2B4383E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5827F31B" w14:textId="77777777" w:rsidR="0092785F" w:rsidRPr="00C33834" w:rsidRDefault="0092785F" w:rsidP="00C33834">
      <w:pPr>
        <w:pStyle w:val="rtejustify"/>
        <w:spacing w:before="0" w:after="0"/>
        <w:rPr>
          <w:color w:val="000000" w:themeColor="text1"/>
          <w:sz w:val="16"/>
          <w:szCs w:val="16"/>
        </w:rPr>
      </w:pPr>
      <w:r w:rsidRPr="00C33834">
        <w:rPr>
          <w:rStyle w:val="af0"/>
          <w:bCs/>
          <w:i w:val="0"/>
          <w:color w:val="000000" w:themeColor="text1"/>
          <w:sz w:val="16"/>
          <w:szCs w:val="16"/>
        </w:rPr>
        <w:t>9 июля</w:t>
      </w:r>
      <w:r w:rsidRPr="00C33834">
        <w:rPr>
          <w:rStyle w:val="af0"/>
          <w:rFonts w:eastAsiaTheme="majorEastAsia"/>
          <w:bCs/>
          <w:i w:val="0"/>
          <w:color w:val="000000" w:themeColor="text1"/>
          <w:sz w:val="16"/>
          <w:szCs w:val="16"/>
        </w:rPr>
        <w:t xml:space="preserve"> 1933</w:t>
      </w:r>
      <w:r w:rsidRPr="00C33834">
        <w:rPr>
          <w:color w:val="000000" w:themeColor="text1"/>
          <w:sz w:val="16"/>
          <w:szCs w:val="16"/>
        </w:rPr>
        <w:t>. Постановление РВСС «О минно-торпедном вооружении ВВС РККА». (РГВА. Ф. 4. Оп. 18. Д. 23. Л. 259</w:t>
      </w:r>
      <w:r w:rsidRPr="00C33834">
        <w:rPr>
          <w:color w:val="000000" w:themeColor="text1"/>
          <w:sz w:val="16"/>
          <w:szCs w:val="16"/>
        </w:rPr>
        <w:noBreakHyphen/>
        <w:t>262) (15461).</w:t>
      </w:r>
    </w:p>
    <w:p w14:paraId="0FA649DF" w14:textId="77777777" w:rsidR="0092785F" w:rsidRPr="00C33834" w:rsidRDefault="0092785F" w:rsidP="00C33834">
      <w:pPr>
        <w:pStyle w:val="rtejustify"/>
        <w:spacing w:before="0" w:after="0"/>
        <w:rPr>
          <w:rStyle w:val="af0"/>
          <w:bCs/>
          <w:i w:val="0"/>
          <w:color w:val="000000" w:themeColor="text1"/>
          <w:sz w:val="16"/>
          <w:szCs w:val="16"/>
        </w:rPr>
      </w:pPr>
    </w:p>
    <w:p w14:paraId="796CBB89"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июля 1933 г. Постановление Реввоенсовета СССР «О минно-торпедном вооружении ВВС РККА»</w:t>
      </w:r>
    </w:p>
    <w:p w14:paraId="5B637A91"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Совершенно секретно.</w:t>
      </w:r>
    </w:p>
    <w:p w14:paraId="1261FA00" w14:textId="77777777" w:rsidR="0092785F" w:rsidRPr="00C33834" w:rsidRDefault="0092785F" w:rsidP="00C33834">
      <w:pPr>
        <w:pStyle w:val="rtejustify"/>
        <w:spacing w:before="0" w:after="0"/>
        <w:rPr>
          <w:color w:val="000000" w:themeColor="text1"/>
          <w:sz w:val="16"/>
          <w:szCs w:val="16"/>
        </w:rPr>
      </w:pPr>
      <w:r w:rsidRPr="00C33834">
        <w:rPr>
          <w:color w:val="000000" w:themeColor="text1"/>
          <w:sz w:val="16"/>
          <w:szCs w:val="16"/>
        </w:rPr>
        <w:t>Констатировать, что торпедоносная авиация достигла во флотах империалистов значительного развития (САСШ, Англия, Франция) и проверена практически на учениях и маневрах. Вырабатываются тактические приемы торпедометания с самолетов, что держится под секретом. Между тем наш военно-морской и воздушный флот до сих пор не приступил еще по-настоящему к использованию этого нового и одного из решающих видов оружия, хотя, на основании данных разведки, конструктивные достижения в использовании торпедометания мы имеем более значительные, чем за границей (торпедометание и постановка «Вомиз» с больших высот).</w:t>
      </w:r>
    </w:p>
    <w:p w14:paraId="53C08600" w14:textId="77777777" w:rsidR="0092785F" w:rsidRPr="00C33834" w:rsidRDefault="0092785F" w:rsidP="00C33834">
      <w:pPr>
        <w:pStyle w:val="rtejustify"/>
        <w:spacing w:before="0" w:after="0"/>
        <w:rPr>
          <w:color w:val="000000" w:themeColor="text1"/>
          <w:sz w:val="16"/>
          <w:szCs w:val="16"/>
        </w:rPr>
      </w:pPr>
      <w:r w:rsidRPr="00C33834">
        <w:rPr>
          <w:color w:val="000000" w:themeColor="text1"/>
          <w:sz w:val="16"/>
          <w:szCs w:val="16"/>
        </w:rPr>
        <w:t>В соответствии с вышеизложенным РВС СССР постановляет: придать самый быстрый темп практическому внедрению низкого и высотного торпедо-минометания в военно-морском и воздушном флоте, для чего:</w:t>
      </w:r>
    </w:p>
    <w:p w14:paraId="1BE18A17" w14:textId="77777777" w:rsidR="0092785F" w:rsidRPr="00C33834" w:rsidRDefault="0092785F" w:rsidP="00C33834">
      <w:pPr>
        <w:pStyle w:val="rtejustify"/>
        <w:spacing w:before="0" w:after="0"/>
        <w:rPr>
          <w:color w:val="000000" w:themeColor="text1"/>
          <w:sz w:val="16"/>
          <w:szCs w:val="16"/>
        </w:rPr>
      </w:pPr>
      <w:r w:rsidRPr="00C33834">
        <w:rPr>
          <w:color w:val="000000" w:themeColor="text1"/>
          <w:sz w:val="16"/>
          <w:szCs w:val="16"/>
        </w:rPr>
        <w:t>I. Принять на вооружение торпеды «ВВС</w:t>
      </w:r>
      <w:r w:rsidRPr="00C33834">
        <w:rPr>
          <w:color w:val="000000" w:themeColor="text1"/>
          <w:sz w:val="16"/>
          <w:szCs w:val="16"/>
        </w:rPr>
        <w:noBreakHyphen/>
        <w:t>15» с присвоением им наименования «ТАВ</w:t>
      </w:r>
      <w:r w:rsidRPr="00C33834">
        <w:rPr>
          <w:color w:val="000000" w:themeColor="text1"/>
          <w:sz w:val="16"/>
          <w:szCs w:val="16"/>
        </w:rPr>
        <w:noBreakHyphen/>
        <w:t>15» и «Вомиза</w:t>
      </w:r>
      <w:r w:rsidRPr="00C33834">
        <w:rPr>
          <w:color w:val="000000" w:themeColor="text1"/>
          <w:sz w:val="16"/>
          <w:szCs w:val="16"/>
        </w:rPr>
        <w:noBreakHyphen/>
        <w:t>100» с присвоением наименования «МАВ</w:t>
      </w:r>
      <w:r w:rsidRPr="00C33834">
        <w:rPr>
          <w:color w:val="000000" w:themeColor="text1"/>
          <w:sz w:val="16"/>
          <w:szCs w:val="16"/>
        </w:rPr>
        <w:noBreakHyphen/>
        <w:t>1» как временные образцы до введения на вооружение более современных видов торпедного оружия (торпеда 53 см и «Вомиза</w:t>
      </w:r>
      <w:r w:rsidRPr="00C33834">
        <w:rPr>
          <w:color w:val="000000" w:themeColor="text1"/>
          <w:sz w:val="16"/>
          <w:szCs w:val="16"/>
        </w:rPr>
        <w:noBreakHyphen/>
        <w:t>250»),</w:t>
      </w:r>
    </w:p>
    <w:p w14:paraId="367B50E6" w14:textId="77777777" w:rsidR="0092785F" w:rsidRPr="00C33834" w:rsidRDefault="0092785F" w:rsidP="00C33834">
      <w:pPr>
        <w:pStyle w:val="rtejustify"/>
        <w:spacing w:before="0" w:after="0"/>
        <w:rPr>
          <w:color w:val="000000" w:themeColor="text1"/>
          <w:sz w:val="16"/>
          <w:szCs w:val="16"/>
        </w:rPr>
      </w:pPr>
      <w:r w:rsidRPr="00C33834">
        <w:rPr>
          <w:color w:val="000000" w:themeColor="text1"/>
          <w:sz w:val="16"/>
          <w:szCs w:val="16"/>
        </w:rPr>
        <w:t>II. Начальнику ВВС РККА: 1. Немедленно выделить для специальной боевой подготовки по использованию минно-торпедного оружия следующие части: на морских силах Балтморя — 121 тяжелую эскадрилью — 12 самолетов ТБ</w:t>
      </w:r>
      <w:r w:rsidRPr="00C33834">
        <w:rPr>
          <w:color w:val="000000" w:themeColor="text1"/>
          <w:sz w:val="16"/>
          <w:szCs w:val="16"/>
        </w:rPr>
        <w:noBreakHyphen/>
        <w:t>1а, на морских силах Дальнего Востока — 1 тяжелую эскадрилью — 12 самолетов ТБ</w:t>
      </w:r>
      <w:r w:rsidRPr="00C33834">
        <w:rPr>
          <w:color w:val="000000" w:themeColor="text1"/>
          <w:sz w:val="16"/>
          <w:szCs w:val="16"/>
        </w:rPr>
        <w:noBreakHyphen/>
        <w:t>1, на морских силах Черного моря, как первый этап, выделить из состава 124 эскадрильи особый отряд в 4 самолета, перевооружив его самолетами ТБ</w:t>
      </w:r>
      <w:r w:rsidRPr="00C33834">
        <w:rPr>
          <w:color w:val="000000" w:themeColor="text1"/>
          <w:sz w:val="16"/>
          <w:szCs w:val="16"/>
        </w:rPr>
        <w:noBreakHyphen/>
        <w:t>1а. 2. Обеспечить хранение выделенного для практического использования минно-торпедного оружия на аэродромах. 3. Совместно с УВМС РККА разработать и дать на места в кратчайший срок план и методические указания по боевой подготовке минно-торпедных авиачастей и сообщить этим частям через Штаб РККА имеющиеся разведданные по этому вопросу. Боевую подготовку проводить с расчетом закончить: к 1 августа одиночную подготовку бойца по специальности в знании материальной части и аэродромной практики; к 15 августа — одиночную подготовку экипажа самолета; к осенним учебно-боевым операциям флота (сентябрь-октябрь) подготовить самолеты для действия в составе отряда. 121</w:t>
      </w:r>
      <w:r w:rsidRPr="00C33834">
        <w:rPr>
          <w:color w:val="000000" w:themeColor="text1"/>
          <w:sz w:val="16"/>
          <w:szCs w:val="16"/>
        </w:rPr>
        <w:noBreakHyphen/>
        <w:t>й тяжелой эскадрилье МСБМ, помимо задач собственной подготовки, отработать кадры для низкого торпедометания и провести войсковые испытания торпед низкого торпедометания и «Вомиза</w:t>
      </w:r>
      <w:r w:rsidRPr="00C33834">
        <w:rPr>
          <w:color w:val="000000" w:themeColor="text1"/>
          <w:sz w:val="16"/>
          <w:szCs w:val="16"/>
        </w:rPr>
        <w:noBreakHyphen/>
        <w:t>250». 4. Поставить перед промышленностью задачу приспособить Р</w:t>
      </w:r>
      <w:r w:rsidRPr="00C33834">
        <w:rPr>
          <w:color w:val="000000" w:themeColor="text1"/>
          <w:sz w:val="16"/>
          <w:szCs w:val="16"/>
        </w:rPr>
        <w:noBreakHyphen/>
        <w:t>5 к высотному и низкому торпедо-минометанию для действия у своих берегов.</w:t>
      </w:r>
    </w:p>
    <w:p w14:paraId="33DB5867" w14:textId="77777777" w:rsidR="0092785F" w:rsidRPr="00C33834" w:rsidRDefault="0092785F" w:rsidP="00C33834">
      <w:pPr>
        <w:pStyle w:val="rtejustify"/>
        <w:spacing w:before="0" w:after="0"/>
        <w:rPr>
          <w:color w:val="000000" w:themeColor="text1"/>
          <w:sz w:val="16"/>
          <w:szCs w:val="16"/>
        </w:rPr>
      </w:pPr>
      <w:r w:rsidRPr="00C33834">
        <w:rPr>
          <w:color w:val="000000" w:themeColor="text1"/>
          <w:sz w:val="16"/>
          <w:szCs w:val="16"/>
        </w:rPr>
        <w:t>Начальнику ВМС РККА: 1. Для укомплектования минно-торпедных авиачастей младшим начсоставом и рядовыми специалистами выделить из состава морских сил морей минимально необходимое количество специалистов для ВВС не позже 10 июля с. г. 2. Обеспечить в дальнейшем подготовку минно-торпедных специалистов в количестве, потребном для укомплектования вновь развертываемых и существующих минно-торпедных частей ВВС, в школах ВМС. 3. Учесть в плане заказов на 1934 г. потребности ВВС в торпедах и минах и в плане строительства — хранение боевых запасов минно-торпедного оружия ВВС, с последующей организацией хранения минно-торпедного запаса в системе ВВС. Согласовать с промышленностью вопрос о постановке производства 45</w:t>
      </w:r>
      <w:r w:rsidRPr="00C33834">
        <w:rPr>
          <w:color w:val="000000" w:themeColor="text1"/>
          <w:sz w:val="16"/>
          <w:szCs w:val="16"/>
        </w:rPr>
        <w:noBreakHyphen/>
        <w:t>см торпед и результаты внести в РВС СССР к 15 июля с. г. 4. Ввести высотное и низкое торпедо- и минометание, как один из важных элементов комбинированного удара, уже в текущем году как в Черном, так и в Балтийском море.</w:t>
      </w:r>
    </w:p>
    <w:p w14:paraId="00DB40E3" w14:textId="77777777" w:rsidR="0092785F" w:rsidRPr="00C33834" w:rsidRDefault="0092785F" w:rsidP="00C33834">
      <w:pPr>
        <w:pStyle w:val="rtejustify"/>
        <w:spacing w:before="0" w:after="0"/>
        <w:rPr>
          <w:color w:val="000000" w:themeColor="text1"/>
          <w:sz w:val="16"/>
          <w:szCs w:val="16"/>
        </w:rPr>
      </w:pPr>
      <w:r w:rsidRPr="00C33834">
        <w:rPr>
          <w:color w:val="000000" w:themeColor="text1"/>
          <w:sz w:val="16"/>
          <w:szCs w:val="16"/>
        </w:rPr>
        <w:t>Начальнику Штаба РККА: 1. В контрольных цифрах сметы НКВМ и в плане заказов на 1934 г. предусмотреть увеличение ассигнований по УВМС в связи с обеспечением потребностей УВВС¹* по минно-торпедному оружию. 2. Определить дополнительную штатную норму личного состава для минно-торпедных авиационных частей и представить на утверждение народному комиссару. 3. В целях проверки теоретических расчетов в отношении действительности поражения цели и выработки тактических методов низкого и высотного торпедо- и минометания провести в сентябре т. г. 4 опытных учения на разных театрах. Начальнику Штаба РККА совместно с начальниками ВВС и ВМС дать указания об организации учений, руководство которыми возлагается на тт. Тухачевского, Орлова, Егорова и Алксниса (по одному учению).</w:t>
      </w:r>
    </w:p>
    <w:p w14:paraId="7654F34B" w14:textId="77777777" w:rsidR="0092785F" w:rsidRPr="00C33834" w:rsidRDefault="0092785F" w:rsidP="00C33834">
      <w:pPr>
        <w:pStyle w:val="rtejustify"/>
        <w:spacing w:before="0" w:after="0"/>
        <w:rPr>
          <w:color w:val="000000" w:themeColor="text1"/>
          <w:sz w:val="16"/>
          <w:szCs w:val="16"/>
        </w:rPr>
      </w:pPr>
      <w:r w:rsidRPr="00C33834">
        <w:rPr>
          <w:color w:val="000000" w:themeColor="text1"/>
          <w:sz w:val="16"/>
          <w:szCs w:val="16"/>
        </w:rPr>
        <w:t>Начальнику Остехбюро²*: Продолжать конструкторскую и исследовательскую работу над новыми образцами минно-торпедного оружия для ВВС и представить на войсковые испытания: а) торпеду 53</w:t>
      </w:r>
      <w:r w:rsidRPr="00C33834">
        <w:rPr>
          <w:color w:val="000000" w:themeColor="text1"/>
          <w:sz w:val="16"/>
          <w:szCs w:val="16"/>
        </w:rPr>
        <w:noBreakHyphen/>
        <w:t>дюймовую образца 1927 г. как для высотного, так и для низкого торпедометания не позднее 31 декабря 1933 г.; б) торпеду РУТ не позднее 1 декабря 1933 г.; в) торпеду 45</w:t>
      </w:r>
      <w:r w:rsidRPr="00C33834">
        <w:rPr>
          <w:color w:val="000000" w:themeColor="text1"/>
          <w:sz w:val="16"/>
          <w:szCs w:val="16"/>
        </w:rPr>
        <w:noBreakHyphen/>
        <w:t>дюймовую образца 1912 г. не позднее 1 декабря 1933 г.; г) «Вомиза</w:t>
      </w:r>
      <w:r w:rsidRPr="00C33834">
        <w:rPr>
          <w:color w:val="000000" w:themeColor="text1"/>
          <w:sz w:val="16"/>
          <w:szCs w:val="16"/>
        </w:rPr>
        <w:noBreakHyphen/>
        <w:t>250» не позднее 20 июля 1933 г.; д) «Вомиза</w:t>
      </w:r>
      <w:r w:rsidRPr="00C33834">
        <w:rPr>
          <w:color w:val="000000" w:themeColor="text1"/>
          <w:sz w:val="16"/>
          <w:szCs w:val="16"/>
        </w:rPr>
        <w:noBreakHyphen/>
        <w:t>250» с бреющего полета не позднее 1 ноября 1933 г.</w:t>
      </w:r>
    </w:p>
    <w:p w14:paraId="3406723E" w14:textId="77777777" w:rsidR="0092785F" w:rsidRPr="00C33834" w:rsidRDefault="0092785F" w:rsidP="00C33834">
      <w:pPr>
        <w:pStyle w:val="rtejustify"/>
        <w:spacing w:before="0" w:after="0"/>
        <w:rPr>
          <w:color w:val="000000" w:themeColor="text1"/>
          <w:sz w:val="16"/>
          <w:szCs w:val="16"/>
        </w:rPr>
      </w:pPr>
      <w:r w:rsidRPr="00C33834">
        <w:rPr>
          <w:color w:val="000000" w:themeColor="text1"/>
          <w:sz w:val="16"/>
          <w:szCs w:val="16"/>
        </w:rPr>
        <w:t>III. Отметить исключительные заслуги Остехбюро и в особенности т. Бекаури по разработке ВВС</w:t>
      </w:r>
      <w:r w:rsidRPr="00C33834">
        <w:rPr>
          <w:color w:val="000000" w:themeColor="text1"/>
          <w:sz w:val="16"/>
          <w:szCs w:val="16"/>
        </w:rPr>
        <w:noBreakHyphen/>
        <w:t>15 и «Вомиза</w:t>
      </w:r>
      <w:r w:rsidRPr="00C33834">
        <w:rPr>
          <w:color w:val="000000" w:themeColor="text1"/>
          <w:sz w:val="16"/>
          <w:szCs w:val="16"/>
        </w:rPr>
        <w:noBreakHyphen/>
        <w:t>100». Тов. Тухачевскому, Алкснису, Орлову совместное т. Павлуновским, в соответствии с постановлением КО от 27 апреля 1933 г. установить и представить на утверждение председателя РВСС размеры премирования т. Бекаури и его сотрудников, принимавших непосредственное участие в разработке ТАВ</w:t>
      </w:r>
      <w:r w:rsidRPr="00C33834">
        <w:rPr>
          <w:color w:val="000000" w:themeColor="text1"/>
          <w:sz w:val="16"/>
          <w:szCs w:val="16"/>
        </w:rPr>
        <w:noBreakHyphen/>
        <w:t>15 и МАВ</w:t>
      </w:r>
      <w:r w:rsidRPr="00C33834">
        <w:rPr>
          <w:color w:val="000000" w:themeColor="text1"/>
          <w:sz w:val="16"/>
          <w:szCs w:val="16"/>
        </w:rPr>
        <w:noBreakHyphen/>
        <w:t>1. Объявить благодарность и наградить ценными подарками инженеров НИИ ВВС и ВВС БМ — тт. Шошмина, Проценко, Тронзе и Вейса за проявленные темпы, настойчивость и содействие в проведении всех этапов испытаний торпед и мин.</w:t>
      </w:r>
    </w:p>
    <w:p w14:paraId="76598C69" w14:textId="77777777" w:rsidR="0092785F" w:rsidRPr="00C33834" w:rsidRDefault="0092785F" w:rsidP="00C33834">
      <w:pPr>
        <w:pStyle w:val="rtejustify"/>
        <w:spacing w:before="0" w:after="0"/>
        <w:rPr>
          <w:color w:val="000000" w:themeColor="text1"/>
          <w:sz w:val="16"/>
          <w:szCs w:val="16"/>
        </w:rPr>
      </w:pPr>
      <w:r w:rsidRPr="00C33834">
        <w:rPr>
          <w:color w:val="000000" w:themeColor="text1"/>
          <w:sz w:val="16"/>
          <w:szCs w:val="16"/>
        </w:rPr>
        <w:t>IV. Войти в правительство с докладом об ускорении постройки торпедного завода с пристрелочной станцией в Махачкале (к 1 июля 1934 г.) и реконструкции завода «Двигатель» (к 1 мая 1934 г.) с учетом производства 45</w:t>
      </w:r>
      <w:r w:rsidRPr="00C33834">
        <w:rPr>
          <w:color w:val="000000" w:themeColor="text1"/>
          <w:sz w:val="16"/>
          <w:szCs w:val="16"/>
        </w:rPr>
        <w:noBreakHyphen/>
        <w:t>см торпед и об отпуске 2 млн. 500 тыс. руб. для постройки 10 специальных катеров для ВВС.</w:t>
      </w:r>
    </w:p>
    <w:p w14:paraId="646C9AD1" w14:textId="77777777" w:rsidR="0092785F" w:rsidRPr="00C33834" w:rsidRDefault="0092785F" w:rsidP="00C33834">
      <w:pPr>
        <w:pStyle w:val="ae"/>
        <w:spacing w:before="0" w:after="0"/>
        <w:jc w:val="both"/>
        <w:rPr>
          <w:color w:val="000000" w:themeColor="text1"/>
          <w:sz w:val="16"/>
          <w:szCs w:val="16"/>
        </w:rPr>
      </w:pPr>
      <w:r w:rsidRPr="00C33834">
        <w:rPr>
          <w:rStyle w:val="af0"/>
          <w:i w:val="0"/>
          <w:color w:val="000000" w:themeColor="text1"/>
          <w:sz w:val="16"/>
          <w:szCs w:val="16"/>
        </w:rPr>
        <w:t>Председатель РВС СССР Ворошилов</w:t>
      </w:r>
    </w:p>
    <w:p w14:paraId="357C3BBD" w14:textId="77777777" w:rsidR="0092785F" w:rsidRPr="00C33834" w:rsidRDefault="0092785F" w:rsidP="00C33834">
      <w:pPr>
        <w:pStyle w:val="ae"/>
        <w:spacing w:before="0" w:after="0"/>
        <w:jc w:val="both"/>
        <w:rPr>
          <w:color w:val="000000" w:themeColor="text1"/>
          <w:sz w:val="16"/>
          <w:szCs w:val="16"/>
        </w:rPr>
      </w:pPr>
      <w:r w:rsidRPr="00C33834">
        <w:rPr>
          <w:rStyle w:val="af0"/>
          <w:i w:val="0"/>
          <w:color w:val="000000" w:themeColor="text1"/>
          <w:sz w:val="16"/>
          <w:szCs w:val="16"/>
        </w:rPr>
        <w:t>Секретарь РВС СССР</w:t>
      </w:r>
      <w:r w:rsidRPr="00C33834">
        <w:rPr>
          <w:color w:val="000000" w:themeColor="text1"/>
          <w:sz w:val="16"/>
          <w:szCs w:val="16"/>
        </w:rPr>
        <w:t>³*</w:t>
      </w:r>
    </w:p>
    <w:p w14:paraId="7A0C8624" w14:textId="77777777" w:rsidR="0092785F" w:rsidRPr="00C33834" w:rsidRDefault="0092785F"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Примечания</w:t>
      </w:r>
      <w:r w:rsidRPr="00C33834">
        <w:rPr>
          <w:color w:val="000000" w:themeColor="text1"/>
          <w:sz w:val="16"/>
          <w:szCs w:val="16"/>
        </w:rPr>
        <w:t>:</w:t>
      </w:r>
    </w:p>
    <w:p w14:paraId="4D831407" w14:textId="77777777" w:rsidR="0092785F" w:rsidRPr="00C33834" w:rsidRDefault="0092785F" w:rsidP="00C33834">
      <w:pPr>
        <w:pStyle w:val="rtejustify"/>
        <w:spacing w:before="0" w:after="0"/>
        <w:rPr>
          <w:color w:val="000000" w:themeColor="text1"/>
          <w:sz w:val="16"/>
          <w:szCs w:val="16"/>
        </w:rPr>
      </w:pPr>
      <w:r w:rsidRPr="00C33834">
        <w:rPr>
          <w:color w:val="000000" w:themeColor="text1"/>
          <w:sz w:val="16"/>
          <w:szCs w:val="16"/>
        </w:rPr>
        <w:lastRenderedPageBreak/>
        <w:t>¹* </w:t>
      </w:r>
      <w:r w:rsidRPr="00C33834">
        <w:rPr>
          <w:rStyle w:val="af0"/>
          <w:bCs/>
          <w:i w:val="0"/>
          <w:color w:val="000000" w:themeColor="text1"/>
          <w:sz w:val="16"/>
          <w:szCs w:val="16"/>
        </w:rPr>
        <w:t>Управление военно-воздушных сил (УВВС)</w:t>
      </w:r>
      <w:r w:rsidRPr="00C33834">
        <w:rPr>
          <w:color w:val="000000" w:themeColor="text1"/>
          <w:sz w:val="16"/>
          <w:szCs w:val="16"/>
        </w:rPr>
        <w:t xml:space="preserve"> СССР было создано приказом РВС СССР № 446/96 от 28 марта 1924 г. на базе Главвоздухфлота (с января 1925 г. — Управление ВВС РККА) и подчинялось РВС СССР. На него возлагались задачи по учебной, строевой и боевой подготовке ВВС, снабжения их специальным имуществом. По положению, объявленному приказом РВС СССР № 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и морским делам. Ему подчинялись все строевые части, учреждения и заведения ВВС в специальном и техническом отношениях. По положению о Наркомате обороны СССР от 22 ноября 1934 г. управление получило наименование: Управление воздушных сил РККА.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 В соответствии с приказом НКО № 003 от 10 января 1936 г. должность начальника Управления воздушных сил была переименована в должность начальника Военно-воздушных сил (с января 1937 г. на правах заместителя 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летно-технического состава, материально-техническим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38A4419C" w14:textId="77777777" w:rsidR="0092785F" w:rsidRPr="00C33834" w:rsidRDefault="0092785F" w:rsidP="00C33834">
      <w:pPr>
        <w:pStyle w:val="rtejustify"/>
        <w:spacing w:before="0" w:after="0"/>
        <w:rPr>
          <w:color w:val="000000" w:themeColor="text1"/>
          <w:sz w:val="16"/>
          <w:szCs w:val="16"/>
        </w:rPr>
      </w:pPr>
      <w:r w:rsidRPr="00C33834">
        <w:rPr>
          <w:color w:val="000000" w:themeColor="text1"/>
          <w:sz w:val="16"/>
          <w:szCs w:val="16"/>
        </w:rPr>
        <w:t>²* </w:t>
      </w:r>
      <w:r w:rsidRPr="00C33834">
        <w:rPr>
          <w:rStyle w:val="af0"/>
          <w:bCs/>
          <w:i w:val="0"/>
          <w:color w:val="000000" w:themeColor="text1"/>
          <w:sz w:val="16"/>
          <w:szCs w:val="16"/>
        </w:rPr>
        <w:t>Особое техническое бюро по военным изобретениям специального назначения (Остехбюро)</w:t>
      </w:r>
      <w:r w:rsidRPr="00C33834">
        <w:rPr>
          <w:color w:val="000000" w:themeColor="text1"/>
          <w:sz w:val="16"/>
          <w:szCs w:val="16"/>
        </w:rPr>
        <w:t xml:space="preserve"> было создано постановлением СТО СССР от 18 июля 1921 г. в Петрограде. Руководителем и организатором Остехбюро был В. И. Бекаури. Согласно постановлению СНК СССР от 3 июня 1930 г. Остехбюро было передано в ведение Наркомата по военным и морским делам СССР. Приказом Реввоенсовета СССР от 28 августа 1930 г. бюро объявлялось научно-экспериментально-изобретательским учреждением и подчинялось непосредственно наркому по военным и морским делам. Остехбюро занималось созданием новой военной техники и вооружения для РККА и представляло собой крупную научно-исследовательскую и проектно-конструкторскую организацию со специализированными отделами, лабораториями и конструкторскими бюро, с производственной и экспериментальной базами, мастерскими, заводами и др. С 1932 г. в Москве развернулось строительство экспериментального завода, а также оборудовались экспериментальные базы в городах Мытищи и Кубинка. В дальнейшем Остехбюро перешло в ведение Наркомата обороны СССР. 26 марта 1937 г. постановлением СТО СССР № 63сс Остехбюро было передано в систему Наркомата оборонной промышленности. 20 июля 1937 г. приказом НКОП СССР оно было переименовано в Остехуправление, в составе которого были созданы научно-исследовательские институты. На базе московского отделения Остехбюро был создан научно-исследовательский институт № 20 (НИИ</w:t>
      </w:r>
      <w:r w:rsidRPr="00C33834">
        <w:rPr>
          <w:color w:val="000000" w:themeColor="text1"/>
          <w:sz w:val="16"/>
          <w:szCs w:val="16"/>
        </w:rPr>
        <w:noBreakHyphen/>
        <w:t>20) с филиалом в Ленинграде (на базе Ленинградского отделения Остехбюро). Был также создан НИИ</w:t>
      </w:r>
      <w:r w:rsidRPr="00C33834">
        <w:rPr>
          <w:color w:val="000000" w:themeColor="text1"/>
          <w:sz w:val="16"/>
          <w:szCs w:val="16"/>
        </w:rPr>
        <w:noBreakHyphen/>
        <w:t>22 авиационного приборостроения, НИИ</w:t>
      </w:r>
      <w:r w:rsidRPr="00C33834">
        <w:rPr>
          <w:color w:val="000000" w:themeColor="text1"/>
          <w:sz w:val="16"/>
          <w:szCs w:val="16"/>
        </w:rPr>
        <w:noBreakHyphen/>
        <w:t>26. В состав Остехуправления входили: Ленинградский экспериментальный завод № 239 им. К. Е. Ворошилова, Ленинградский завод «Красный изобретатель», Ленинградская экспериментальная база с опытными судами, Онежская экспериментальная база и станция на Копейском озере, экспериментальный завод в Москве, аэродром в Подлипках, экспериментальная морская база под Севастополем. В Московском отделении функционировали лаборатории: телефугасов, сухопутной телемеханики, инженерной телемеханики, селекции, шифровальной аппаратуры, импульсной радиосвязи, самолетной автоматики и вооружения, радиолаборатория. В дальнейшем лаборатории были объединены в три отдела: радиолиний, сухопутной телемеханики и телемеханических устройств. Научно-исследовательские и опытно-конструкторские работы проводились по созданию нового минно-торпедного оружия, трально-параванного вооружения и средств радио-телемеханического управления для Военно-морского флота; вооружения самолетов ВВС; специальной аппаратуры для войск связи и инженерных войск. После разделения Наркомата обороны на ряд промышленных наркоматов Остехуправление было передано Наркомату авиапромышленности СССР. Постановлением правительства от 31 мая 1939 г. Остехуправление было упразднено. (ГАРФ. Ф. Р</w:t>
      </w:r>
      <w:r w:rsidRPr="00C33834">
        <w:rPr>
          <w:color w:val="000000" w:themeColor="text1"/>
          <w:sz w:val="16"/>
          <w:szCs w:val="16"/>
        </w:rPr>
        <w:noBreakHyphen/>
        <w:t>8418. Оп. 28. Д. 6. Л. 150</w:t>
      </w:r>
      <w:r w:rsidRPr="00C33834">
        <w:rPr>
          <w:color w:val="000000" w:themeColor="text1"/>
          <w:sz w:val="16"/>
          <w:szCs w:val="16"/>
        </w:rPr>
        <w:noBreakHyphen/>
        <w:t>152).</w:t>
      </w:r>
    </w:p>
    <w:p w14:paraId="1075DB30" w14:textId="77777777" w:rsidR="0092785F" w:rsidRPr="00C33834" w:rsidRDefault="0092785F" w:rsidP="00C33834">
      <w:pPr>
        <w:pStyle w:val="rtejustify"/>
        <w:spacing w:before="0" w:after="0"/>
        <w:rPr>
          <w:color w:val="000000" w:themeColor="text1"/>
          <w:sz w:val="16"/>
          <w:szCs w:val="16"/>
        </w:rPr>
      </w:pPr>
      <w:r w:rsidRPr="00C33834">
        <w:rPr>
          <w:color w:val="000000" w:themeColor="text1"/>
          <w:sz w:val="16"/>
          <w:szCs w:val="16"/>
        </w:rPr>
        <w:t>³* Подпись неразборчива.</w:t>
      </w:r>
    </w:p>
    <w:p w14:paraId="146667ED" w14:textId="77777777" w:rsidR="0092785F" w:rsidRPr="00C33834" w:rsidRDefault="0092785F" w:rsidP="00C33834">
      <w:pPr>
        <w:pStyle w:val="ae"/>
        <w:spacing w:before="0" w:after="0"/>
        <w:jc w:val="both"/>
        <w:rPr>
          <w:color w:val="000000" w:themeColor="text1"/>
          <w:sz w:val="16"/>
          <w:szCs w:val="16"/>
        </w:rPr>
      </w:pPr>
      <w:r w:rsidRPr="00C33834">
        <w:rPr>
          <w:color w:val="000000" w:themeColor="text1"/>
          <w:sz w:val="16"/>
          <w:szCs w:val="16"/>
        </w:rPr>
        <w:t>РГВА. Ф. 4. Оп. 18. Д. 23. Л. 259-262. Подлинник (15272).</w:t>
      </w:r>
    </w:p>
    <w:p w14:paraId="37ADBE5F" w14:textId="77777777" w:rsidR="0092785F" w:rsidRPr="00C33834" w:rsidRDefault="0092785F" w:rsidP="00C33834">
      <w:pPr>
        <w:autoSpaceDE w:val="0"/>
        <w:autoSpaceDN w:val="0"/>
        <w:adjustRightInd w:val="0"/>
        <w:spacing w:after="0" w:line="240" w:lineRule="auto"/>
        <w:jc w:val="both"/>
        <w:rPr>
          <w:rFonts w:ascii="Times New Roman" w:hAnsi="Times New Roman"/>
          <w:color w:val="000000" w:themeColor="text1"/>
          <w:sz w:val="16"/>
          <w:szCs w:val="16"/>
        </w:rPr>
      </w:pPr>
    </w:p>
    <w:p w14:paraId="1F6D231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июля 1933 была принята на вооружение система высотного торпедометания с торпедой ТАВ-15 для самолетов ТБ-1 (12002).</w:t>
      </w:r>
    </w:p>
    <w:p w14:paraId="38E82EB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3E557BB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июля 1933 на вооружение приняли новый вариант мины. Парашютная коробка стала короче; ее длина уменьшилась в полтора раза (с 1450 до 950 мм). Теперь коробку не надо было отдельно крепить к самолету, она консольно висела на самой мине. Часовой механизм, задававший интервал между раскрытием третьего и четвертого парашютов, заменили на оттарированную пружину, т.н. "рвушку". Ликвидировали как лишний страховочный трос, крепившийся параллельно главному амортизатору парашютной системы. Время горения дистанционных трубок теперь можно было задавать в полете прибором ПУТ-1. У нас гордились новым оружием. "в заграничной печати и в имеемых у нас материалах нет сведений о работе над высоким метанием мин. Это дает нам право предполагать, что мы владеем оружием, неизвестным за границей", - писали специалисты НИИ ВВС в 1933 г. (12002)</w:t>
      </w:r>
    </w:p>
    <w:p w14:paraId="70774B9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2B9C616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июля 1933 С.П.К. подготовил письмо, позволяющее судить о роли ЛенГИРД в организации работ по ракетной технике в системе ОХА (Там же, № 230, л. 33) (10676).</w:t>
      </w:r>
    </w:p>
    <w:p w14:paraId="2950D1F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1C945ACF" w14:textId="77777777" w:rsidR="008A018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026C7BC3" w14:textId="77777777" w:rsidR="008A0184" w:rsidRPr="00C33834" w:rsidRDefault="008A018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6D4A309"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июля 1933 был издан приказ ГУЛАГа за № 76 «О предоставлении заключенным выходных дней»:</w:t>
      </w:r>
    </w:p>
    <w:p w14:paraId="767F56C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«Несмотря на неблагоприятное санитарно-бытовое состояние лагерей, связанное в значительной мере с понизившейся категорийностью заключенных по трудоспособности и неудовлетворительным составом пополнений, а отчасти, с ухудшимся бытовым положением заключенных (условия размещения и питания), рядом лагерей не принято необходимых мер к предоставлению заключенным достаточного отдыха.</w:t>
      </w:r>
    </w:p>
    <w:p w14:paraId="0E30FE37"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этом отношении наиболее нетерпимым является производство работ в выходные дни под видом субботников, ударников, штурмов и т. п. Такие добавочные работы изматывают людей, вместе с тем, в конечном счете, вредны и для производства, понижая производительность труда.</w:t>
      </w:r>
    </w:p>
    <w:p w14:paraId="0895497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Приказываю:</w:t>
      </w:r>
    </w:p>
    <w:p w14:paraId="622F362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повсеместно в лагерях соблюдать семидневную прерывную неделю, допуская на некоторых работах не иначе, как с санкции начальников управлений лагерей, непрерывную неделю, но с обязательным суточным отдыхом для каждого заключенного;</w:t>
      </w:r>
    </w:p>
    <w:p w14:paraId="483CBE7F"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регламентировать по каждому виду работ длину рабочего дня, преследуя за незаконное его увеличение;</w:t>
      </w:r>
    </w:p>
    <w:p w14:paraId="5D64E98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ликвидировать излишнее хождение заключенных во время обеденного перерыва, введя повсеместно подвоз горячей пищи на место работы;</w:t>
      </w:r>
    </w:p>
    <w:p w14:paraId="036090C8"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всемерно сократить время сборов на работу и разводы, предоставив больше времени для сна рабочих за счет лучшей организации раздачи инструмента, поверок и т. д. и возложения большей ответственности за организацию этого дела на строевой адмсостав и технических руководителей;</w:t>
      </w:r>
    </w:p>
    <w:p w14:paraId="2A9EF1D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ликвидировать очереди при раздаче пищи;</w:t>
      </w:r>
    </w:p>
    <w:p w14:paraId="2EB1A7BE"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слабосильным, на которых возложены пониженные нормы выработки, обеспечить более продолжительный отдых» (7560).</w:t>
      </w:r>
    </w:p>
    <w:p w14:paraId="707CF28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0471CC7D" w14:textId="77777777" w:rsidR="008A018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CBE92FB" w14:textId="77777777" w:rsidR="008A0184" w:rsidRPr="00C33834" w:rsidRDefault="008A018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6196A2B" w14:textId="77777777" w:rsidR="00CE35D9" w:rsidRPr="00C33834" w:rsidRDefault="00CE35D9" w:rsidP="00C33834">
      <w:pPr>
        <w:pStyle w:val="ae"/>
        <w:shd w:val="clear" w:color="auto" w:fill="FFFFFF"/>
        <w:spacing w:before="0" w:after="0"/>
        <w:jc w:val="both"/>
        <w:rPr>
          <w:color w:val="000000" w:themeColor="text1"/>
          <w:sz w:val="16"/>
          <w:szCs w:val="16"/>
        </w:rPr>
      </w:pPr>
      <w:r w:rsidRPr="00C33834">
        <w:rPr>
          <w:color w:val="000000" w:themeColor="text1"/>
          <w:sz w:val="16"/>
          <w:szCs w:val="16"/>
        </w:rPr>
        <w:t>10 июля 1933 года докладная записка по проекту самолета ЦКБ-6 была направлена в Главное Управление авиационной промышленности:</w:t>
      </w:r>
    </w:p>
    <w:p w14:paraId="280ADC4C"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Докладная записка по эскизному проекту самолета ЦКБ-6</w:t>
      </w:r>
    </w:p>
    <w:p w14:paraId="43B21FEF"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Самолет ЦКБ-6 проектируется как самолет местных сообщений, предназначенный для пассажирского сообщения от станций больших центральных линий до местных центров.</w:t>
      </w:r>
    </w:p>
    <w:p w14:paraId="237FE2E0"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Вместе с тем, данный самолет может работать и на больших центральных линиях. Как средняя длина полета принималось расстояние около 600-650 клм, но в то же время в самолете предусмотрены бензиновые баки с емкостью, дающей возможность удвоить это расстояние.</w:t>
      </w:r>
    </w:p>
    <w:p w14:paraId="7C2F770D"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основными заданиями ЦКБ-6 проектируется под четыре пассажирских места, под пилота и, кроме того, дается еще одно приставное сиденье для шестого человека, расположенное рядом с пилотом. Для возможного багажа пассажиров в центроплане устроен специальный багажник, открывающийся в кабину пассажиров.</w:t>
      </w:r>
    </w:p>
    <w:p w14:paraId="43F71918"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Выбирая схему самолета ЦКБ-6, мы стремились создать современную машину в смысле аэродинамики и схему, каковая в дальнейшем может совершенствоваться.</w:t>
      </w:r>
    </w:p>
    <w:p w14:paraId="798A92CB"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Естественно, что такой схемой могла быть только схема моноплана с низкорасположенным крылом, дающая минимальную интерференцию и допускающая уборку шасси в крыле. Такая схема в настоящее время становится стандартной для современных скоростных пассажирских самолетов и дает наилучшие аэродинамические данные сравнительно с другими схемами: бипланом, полуторопланом, монопланом с верхним крылом и т. д.</w:t>
      </w:r>
    </w:p>
    <w:p w14:paraId="542E7739"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Фюзеляжу приданы хорошо обтекаемые формы, обеспечивающие минимальное лобовое сопротивление.</w:t>
      </w:r>
    </w:p>
    <w:p w14:paraId="15A09AC1"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Особое внимание обращено на оформление мест стыка частей самолета, как-то: крыла с фюзеляжем, хвостового оперения с фюзеляжем, фонаря с фюзеляжем и т. д. , где приняты меры к уменьшению интерферентности.</w:t>
      </w:r>
    </w:p>
    <w:p w14:paraId="4D5D97CF"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Вопрос о затемнении хвостового оперения и о высоте постановки такового относительно крыла будет окончательно решен после продувки модели в аэродинамической трубе, для чего в программу продувок нами будут включены специальные пункты. На мотор ставится капот типа НАКА, хорошо зарекомендовавший себя на скоростных самолетах.</w:t>
      </w:r>
    </w:p>
    <w:p w14:paraId="1A95B4CC"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Как самолет местных сообщений самолет ЦКБ-6, естественно, должен стать самолетом дешевым и простым в эксплуатации. С этой точки зрения ЦКБ-6 делается целиком из дерева, а именно: фюзеляж деревянный - монокок; крылья деревянные с фанерной и частично с полотняной обшивкой, оперение смешанное с полотняной обшивкой.</w:t>
      </w:r>
    </w:p>
    <w:p w14:paraId="7C45AC5B"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Мы полагаем, что такой выбор материала вместе с дешевизной его обеспечивает простоту и дешевизну производства, т. е. в конечном счете дешевый самолет.</w:t>
      </w:r>
    </w:p>
    <w:p w14:paraId="17F20C62"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Удобство эксплуатации нами обеспечивается учетом всего ранее накопленного опыта, а затем строгим наблюдением за легкой доступностью для осмотра и ремонта всех частей самолета.</w:t>
      </w:r>
    </w:p>
    <w:p w14:paraId="3BD1BFAD"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 точки зрения архитектурной мы старались придать всем линиям самолета наиболее цельное оформление, стремясь чтобы самолет объемно представлял собой одно целое, чтобы у самолета не было диссонирующих частей.</w:t>
      </w:r>
    </w:p>
    <w:p w14:paraId="78B332E6"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Кабина пассажиров выбрана такого размера, каковой допускает комфортабельное размещение пассажиров в течении 4-5 часов непрерывного полета.</w:t>
      </w:r>
    </w:p>
    <w:p w14:paraId="0DB4A6B5"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удобства входа и выхода из кабины, особенно в случае аварии, или при необходимости выбрасывания экипажа и пассажиров на парашютах нами в кабине предусмотрены две двери с разных сторон фюзеляжа, передняя - для пилота и двух передних пассажиров, задняя - для двух задних пассажиров.</w:t>
      </w:r>
    </w:p>
    <w:p w14:paraId="666C18B0"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Подобное расположение гарантирует удобный вход и выход их кабины.</w:t>
      </w:r>
    </w:p>
    <w:p w14:paraId="5BFBF4D9"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Самым темным вопросом в осуществлении самолета ЦКБ-6 является мотор. Предназначенный на самолет ЦКБ-6 мотор МГ1-М49, строящийся в настоящее время на заводе №29, имеет с нашей точки зрения существенные недочеты, о коих мы ведем переговоры с заводом №29, как-то: трудность крепления кольца моторамы из-за крепления генератора; расположения всасывающего патрубка внизу мотора; расположения проводов к свечам от магнето; вопрос о запуске мотора и прочее.</w:t>
      </w:r>
    </w:p>
    <w:p w14:paraId="6BED0BA9"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неясна пока его мощность и данные этого мотора. Мы полагаем, что в ближайшие два месяца все эти вопросы будут выявлены и разрешены с заводом №29 и вопрос о моторе для самолета ЦКБ-6 станет определенным.</w:t>
      </w:r>
    </w:p>
    <w:p w14:paraId="7FE542A2"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ЦКБ Сер. Ильюшин</w:t>
      </w:r>
    </w:p>
    <w:p w14:paraId="193A44F4"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бригады 2 Н. Поликарпов</w:t>
      </w:r>
    </w:p>
    <w:p w14:paraId="6B74011B"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Лавры самолета местных воздушных линий достались АИР-6, которых было выпущено 468 машин - огромное количество по тем временам для самолетов гражданской авиации.</w:t>
      </w:r>
    </w:p>
    <w:p w14:paraId="5C5B590D" w14:textId="77777777" w:rsidR="00CE35D9" w:rsidRPr="00C33834" w:rsidRDefault="00CE35D9" w:rsidP="00C33834">
      <w:pPr>
        <w:pStyle w:val="rteleft"/>
        <w:shd w:val="clear" w:color="auto" w:fill="FFFFFF"/>
        <w:spacing w:before="0" w:after="0"/>
        <w:jc w:val="both"/>
        <w:rPr>
          <w:color w:val="000000" w:themeColor="text1"/>
          <w:sz w:val="16"/>
          <w:szCs w:val="16"/>
        </w:rPr>
      </w:pPr>
      <w:r w:rsidRPr="00C33834">
        <w:rPr>
          <w:color w:val="000000" w:themeColor="text1"/>
          <w:sz w:val="16"/>
          <w:szCs w:val="16"/>
        </w:rPr>
        <w:t>Самолеты с пассажировместимостью 5-6 человек так и остались маловостребованными и строились в весьма незначительных количествах - аналогичные машины А. С. Яковлева АИР-11 и АИР-16 также не были запущены в серийное производство (12707).</w:t>
      </w:r>
    </w:p>
    <w:p w14:paraId="37742575" w14:textId="77777777" w:rsidR="00CE35D9" w:rsidRPr="00C33834" w:rsidRDefault="00CE35D9" w:rsidP="00C33834">
      <w:pPr>
        <w:pStyle w:val="rteleft"/>
        <w:shd w:val="clear" w:color="auto" w:fill="FFFFFF"/>
        <w:spacing w:before="0" w:after="0"/>
        <w:jc w:val="both"/>
        <w:rPr>
          <w:color w:val="000000" w:themeColor="text1"/>
          <w:sz w:val="16"/>
          <w:szCs w:val="16"/>
        </w:rPr>
      </w:pPr>
    </w:p>
    <w:p w14:paraId="7DCDDC42"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июля 1933 года докладная записка по проекту самолета ЦКБ-6 была направлена в Главное Управление авиационной промышленности:</w:t>
      </w:r>
    </w:p>
    <w:p w14:paraId="5D87B940"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Докладная записка по эскизному проекту самолета ЦКБ-6</w:t>
      </w:r>
    </w:p>
    <w:p w14:paraId="3ADAAE08"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Самолет ЦКБ-6 проектируется как самолет местных сообщений, предназначенный для пассажирского сообщения от станций больших центральных линий до местных центров.</w:t>
      </w:r>
    </w:p>
    <w:p w14:paraId="72534451"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Вместе с тем, данный самолет может работать и на больших центральных линиях. Как средняя длина полета принималось расстояние около 600-650 клм, но в то же время в самолете предусмотрены бензиновые баки с емкостью, дающей возможность удвоить это расстояние.</w:t>
      </w:r>
    </w:p>
    <w:p w14:paraId="7F70C857"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основными заданиями ЦКБ-6 проектируется под четыре пассажирских места, под пилота и, кроме того, дается еще одно приставное сиденье для шестого человека, расположенное рядом с пилотом. Для возможного багажа пассажиров в центроплане устроен специальный багажник, открывающийся в кабину пассажиров.</w:t>
      </w:r>
    </w:p>
    <w:p w14:paraId="24C2A79F"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Выбирая схему самолета ЦКБ-6, мы стремились создать современную машину в смысле аэродинамики и схему, каковая в дальнейшем может совершенствоваться.</w:t>
      </w:r>
    </w:p>
    <w:p w14:paraId="5AA53588"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Естественно, что такой схемой могла быть только схема моноплана с низкорасположенным крылом, дающая минимальную интерференцию и допускающая уборку шасси в крыле. Такая схема в настоящее время становится стандартной для современных скоростных пассажирских самолетов и дает наилучшие аэродинамические данные сравнительно с другими схемами: бипланом, полуторопланом, монопланом с верхним крылом и т. д.</w:t>
      </w:r>
    </w:p>
    <w:p w14:paraId="0F039A25"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Фюзеляжу приданы хорошо обтекаемые формы, обеспечивающие минимальное лобовое сопротивление.</w:t>
      </w:r>
    </w:p>
    <w:p w14:paraId="183D3AF6"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Особое внимание обращено на оформление мест стыка частей самолета, как-то: крыла с фюзеляжем, хвостового оперения с фюзеляжем, фонаря с фюзеляжем и т. д., где приняты меры к уменьшению интерферентности.</w:t>
      </w:r>
    </w:p>
    <w:p w14:paraId="000BA7B8"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 о затемнении хвостового оперения и о высоте постановки такового относительно крыла будет окончательно решен после продувки модели в аэродинамической трубе, для чего в программу продувок нами будут включены специальные пункты. На мотор ставится капот типа НАКА, хорошо зарекомендовавший себя на скоростных самолетах.</w:t>
      </w:r>
    </w:p>
    <w:p w14:paraId="5A2DE1BC"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Как самолет местных сообщений самолет ЦКБ-6, естественно, должен стать самолетом дешевым и простым в эксплуатации. С этой точки зрения ЦКБ-6 делается целиком из дерева, а именно: фюзеляж деревянный - монокок; крылья деревянные с фанерной и частично с полотняной обшивкой, оперение смешанное с полотняной обшивкой.</w:t>
      </w:r>
    </w:p>
    <w:p w14:paraId="2D39C35D"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Мы полагаем, что такой выбор материала вместе с дешевизной его обеспечивает простоту и дешевизну производства, т. е. в конечном счете дешевый самолет.</w:t>
      </w:r>
    </w:p>
    <w:p w14:paraId="1C0894A3"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Удобство эксплуатации нами обеспечивается учетом всего ранее накопленного опыта, а затем строгим наблюдением за легкой доступностью для осмотра и ремонта всех частей самолета.</w:t>
      </w:r>
    </w:p>
    <w:p w14:paraId="103B007E"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 точки зрения архитектурной мы старались придать всем линиям самолета наиболее цельное оформление, стремясь чтобы самолет объемно представлял собой одно целое, чтобы у самолета не было диссонирующих частей.</w:t>
      </w:r>
    </w:p>
    <w:p w14:paraId="428E9BFE"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Кабина пассажиров выбрана такого размера, каковой допускает комфортабельное размещение пассажиров в течении 4-5 часов непрерывного полета.</w:t>
      </w:r>
    </w:p>
    <w:p w14:paraId="74033E48"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удобства входа и выхода из кабины, особенно в случае аварии, или при необходимости выбрасывания экипажа и пассажиров на парашютах нами в кабине предусмотрены две двери с разных сторон фюзеляжа, передняя - для пилота и двух передних пассажиров, задняя - для двух задних пассажиров.</w:t>
      </w:r>
    </w:p>
    <w:p w14:paraId="3B793649"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Подобное расположение гарантирует удобный вход и выход их кабины.</w:t>
      </w:r>
    </w:p>
    <w:p w14:paraId="3424582D"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Самым темным вопросом в осуществлении самолета ЦКБ-6 является мотор. Предназначенный на самолет ЦКБ-6 мотор МГ1-М49, строящийся в настоящее время на заводе №29, имеет с нашей точки зрения существенные недочеты, о коих мы ведем переговоры с заводом №29, как-то: трудность крепления кольца моторамы из-за крепления генератора; расположения всасывающего патрубка внизу мотора; расположения проводов к свечам от магнето; вопрос о запуске мотора и прочее.</w:t>
      </w:r>
    </w:p>
    <w:p w14:paraId="71577F07"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неясна пока его мощность и данные этого мотора. Мы полагаем, что в ближайшие два месяца все эти вопросы будут выявлены и разрешены с заводом №29 и вопрос о моторе для самолета ЦКБ-6 станет определенным.</w:t>
      </w:r>
    </w:p>
    <w:p w14:paraId="44B110BA"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ЦКБ Сер. Ильюшин</w:t>
      </w:r>
    </w:p>
    <w:p w14:paraId="57DB79AC"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бригады 2 Н. Поликарпов (15535).</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5661"/>
        <w:gridCol w:w="5661"/>
      </w:tblGrid>
      <w:tr w:rsidR="00F26F01" w:rsidRPr="00C33834" w14:paraId="09C22813" w14:textId="77777777" w:rsidTr="00910933">
        <w:trPr>
          <w:tblCellSpacing w:w="0" w:type="dxa"/>
        </w:trPr>
        <w:tc>
          <w:tcPr>
            <w:tcW w:w="250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19D7ADFA"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Модификация</w:t>
            </w:r>
          </w:p>
        </w:tc>
        <w:tc>
          <w:tcPr>
            <w:tcW w:w="2500" w:type="pct"/>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023A1848"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ЦКБ-6</w:t>
            </w:r>
          </w:p>
        </w:tc>
      </w:tr>
      <w:tr w:rsidR="00F26F01" w:rsidRPr="00C33834" w14:paraId="3BE23F6D"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88810EE"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Размах крыла,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6FE7BDB"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13,20</w:t>
            </w:r>
          </w:p>
        </w:tc>
      </w:tr>
      <w:tr w:rsidR="00F26F01" w:rsidRPr="00C33834" w14:paraId="7EF9E6AB"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1A7FB48"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45FEC52"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8,54</w:t>
            </w:r>
          </w:p>
        </w:tc>
      </w:tr>
      <w:tr w:rsidR="00F26F01" w:rsidRPr="00C33834" w14:paraId="1B7CD4CF"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4132901"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E18E101"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3,40</w:t>
            </w:r>
          </w:p>
        </w:tc>
      </w:tr>
      <w:tr w:rsidR="00F26F01" w:rsidRPr="00C33834" w14:paraId="20BD1145"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EFCBCFA"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Масса пустого самолета, кг</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0EA8A00"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1050</w:t>
            </w:r>
          </w:p>
        </w:tc>
      </w:tr>
      <w:tr w:rsidR="00F26F01" w:rsidRPr="00C33834" w14:paraId="5B375069" w14:textId="77777777" w:rsidTr="00910933">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04C53CB"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Силовая установка</w:t>
            </w:r>
          </w:p>
        </w:tc>
      </w:tr>
      <w:tr w:rsidR="00F26F01" w:rsidRPr="00C33834" w14:paraId="1AA3BE5E"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414B8CA"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 двигателя</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A0205C2"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ПД МГ-49</w:t>
            </w:r>
          </w:p>
        </w:tc>
      </w:tr>
      <w:tr w:rsidR="00F26F01" w:rsidRPr="00C33834" w14:paraId="4B369905"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6CADC4A"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л.с.</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F71C8F0"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w:t>
            </w:r>
          </w:p>
        </w:tc>
      </w:tr>
      <w:tr w:rsidR="00F26F01" w:rsidRPr="00C33834" w14:paraId="4E66AB19"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8993C25"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общая мощность, л.с.</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9A51D6C"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r>
      <w:tr w:rsidR="00F26F01" w:rsidRPr="00C33834" w14:paraId="59434C25" w14:textId="77777777" w:rsidTr="00910933">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3BEC974"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 скорость, км/ч</w:t>
            </w:r>
          </w:p>
        </w:tc>
      </w:tr>
      <w:tr w:rsidR="00F26F01" w:rsidRPr="00C33834" w14:paraId="5D8D46B7"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5CCFB97"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высоте</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3DC82A9"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190</w:t>
            </w:r>
          </w:p>
        </w:tc>
      </w:tr>
      <w:tr w:rsidR="00F26F01" w:rsidRPr="00C33834" w14:paraId="71AB27C5"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FDEB299"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 земли</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D76626F"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w:t>
            </w:r>
          </w:p>
        </w:tc>
      </w:tr>
      <w:tr w:rsidR="00F26F01" w:rsidRPr="00C33834" w14:paraId="5810CDB9"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E219CB0"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Крейсерская скорость, км/ч</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A84E9F8"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185</w:t>
            </w:r>
          </w:p>
        </w:tc>
      </w:tr>
      <w:tr w:rsidR="00F26F01" w:rsidRPr="00C33834" w14:paraId="3362E79C"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7B10B26"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Практическая дальность, км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E057B94"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r>
      <w:tr w:rsidR="00F26F01" w:rsidRPr="00C33834" w14:paraId="16C03321"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45C1579"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Практический потолок,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BB0BFF1"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4300</w:t>
            </w:r>
          </w:p>
        </w:tc>
      </w:tr>
      <w:tr w:rsidR="00F26F01" w:rsidRPr="00C33834" w14:paraId="7EC4F54D"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67643C4"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Экипаж, чел</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2129AAE"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r>
      <w:tr w:rsidR="00F26F01" w:rsidRPr="00C33834" w14:paraId="658AAAF2"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50380FC"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Полезная нагрузка</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27820AF"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пассажиров</w:t>
            </w:r>
          </w:p>
        </w:tc>
      </w:tr>
    </w:tbl>
    <w:p w14:paraId="13CCE9CC" w14:textId="77777777" w:rsidR="0092785F" w:rsidRPr="00C33834" w:rsidRDefault="0092785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(15535).</w:t>
      </w:r>
    </w:p>
    <w:p w14:paraId="3731EF75" w14:textId="77777777" w:rsidR="0092785F" w:rsidRPr="00C33834" w:rsidRDefault="0092785F" w:rsidP="00C33834">
      <w:pPr>
        <w:spacing w:after="0" w:line="240" w:lineRule="auto"/>
        <w:jc w:val="both"/>
        <w:rPr>
          <w:rFonts w:ascii="Times New Roman" w:hAnsi="Times New Roman"/>
          <w:color w:val="000000" w:themeColor="text1"/>
          <w:sz w:val="16"/>
          <w:szCs w:val="16"/>
        </w:rPr>
      </w:pPr>
    </w:p>
    <w:p w14:paraId="11BC25C3"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июля 1933 года Начальник НИИ ВВС Зильберт утвердил протокол Тактико-технического совещания НИИ ВВС (Журнал № 3), состоявшегося в конце июня 1933 (6788).</w:t>
      </w:r>
    </w:p>
    <w:p w14:paraId="7A015D8A"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Перечень разбиравшихся вопросов</w:t>
      </w:r>
    </w:p>
    <w:p w14:paraId="216E5DB6" w14:textId="77777777" w:rsidR="008A0184" w:rsidRPr="00C33834" w:rsidRDefault="008A0184"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Рассмотрение тактико-технических требований на самолет «МАИ». Докладчик Гребенев.</w:t>
      </w:r>
    </w:p>
    <w:p w14:paraId="220DDC38" w14:textId="77777777" w:rsidR="008A0184" w:rsidRPr="00C33834" w:rsidRDefault="008A0184"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Рассмотрение тактико-технических требований на самолет ДАР (Дальний Арктический разведчик). Докладчик Ганулич (6788).</w:t>
      </w:r>
    </w:p>
    <w:p w14:paraId="08C626AA" w14:textId="77777777" w:rsidR="008A0184" w:rsidRPr="00C33834" w:rsidRDefault="008A0184"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C604D3"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июля 1933 в Севастополе сел первый гидроплан S.55X с ASSO 750 закупленный ГВФ. При перелете, выполненном экипажем А.С.Демченко на этапа Стамбул-Одесса были обстреляны нашими пулеметчиками. В Севастополе машина прошла контрольные испытания, проводимые СНИИ ГВФ и Демченко намеренно входил в грозу. Машины предназначались для ДВ. Вообще были планы закупить и военный вариант в 30 экз., а равно 144 торпеда и 1920 бомб по 250 кг (1834,16).</w:t>
      </w:r>
    </w:p>
    <w:p w14:paraId="2BB3EDE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30BB0CF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июля 1933 самолет вылетел в Одессу. Там и случился первый «прокол». Родная земля встретила летчиков пулеметными очередями. Не получивший соответствующего предупреждения погранотряд открыл огонь по незнакомому самолету странных очертаний. Но пулеметчики стреляли плохо и ни одной пробоины потом не нашли. Лодка благополучно села в бухте. Затем экипаж получил порцию бюрократической неразберихи, нарушившей так четко соблюдавшийся график перелета. Далее предстояло лететь в Севастополь. Но без бензина не полетишь. За бензином сначала полетели в лиман (где горючего не оказалось), затем опять вернулись в бухту, где и прождали его четверо суток. И лишь тогда смогли добраться до Севастополя. Экипаж остался в целом доволен поведением самолета на воде и в воздухе, что и было отмечено в отчете командира экипажа Филипповича: «Килеватые лодки нашего гидросамолета показали свое преимущество при посадке на волну. Общее поведение аппарата в воздухе - хорошее: легкая управляемость и устойчивость, хорошая скорость при наличии запаса мощности моторов. Что же касается рулежки на воде, то при наличии двух килеватых лодок, достаточно глубоко сидящих в воде, подтвердилась наблюдаемая и раньше неважная маневренность аппарата на воде.». В Севастополе предстояло задержаться. Во-первых, хотелось получше испытать самолет. Во-вторых, возникли новые проблемы с бомбовым вооружением. Инженер Ефимов из Управления ВВС (УВВС), осматривавший в Севастополе первую прибывшую из Италии лодку после сборки, установил, что наши бомбодержатели на ушках, поставленных фирмой, смонтировать невозможно - они рассчитаны на балки итальянского образца. Поэтому хотели задержать последнюю машину на две-три недели для снятия эскизов - как приспособить к «Савойе» советские бомбодержатели и как вести внутренюю проводку от бомбосбрасывателя. С-55 (так обозначали самолеты в наших документах и такая надпись красовалась на носу каждой лодки) успешно прошел в Севастополе контрольные испытания, проводившиеся под эгидой НИИ ГВФ. Демченко даже намеренно вошел в грозу между Севастополем и Евпаторией, проверяя устойчивость машины в турбулентных потоках (5486,3).</w:t>
      </w:r>
    </w:p>
    <w:p w14:paraId="12EE1DBB"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53F73DEA" w14:textId="77777777" w:rsidR="00D067C1" w:rsidRPr="00C33834" w:rsidRDefault="00D067C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июля в 1933 году заканчивая этап перелета Стамбул-Одесса, "Савойя S.55 " попалась на глаза зенитчикам Украинского военного округа, не получившим соответствующего предупреждения. На счастье, экипажа, ПВО стреляла плохо. Самолет благополучно сел, а затем продолжил свой путь в Севастополь (14948).</w:t>
      </w:r>
    </w:p>
    <w:p w14:paraId="4F0F0F93" w14:textId="77777777" w:rsidR="00D067C1" w:rsidRPr="00C33834" w:rsidRDefault="00D067C1" w:rsidP="00C33834">
      <w:pPr>
        <w:spacing w:after="0" w:line="240" w:lineRule="auto"/>
        <w:jc w:val="both"/>
        <w:rPr>
          <w:rFonts w:ascii="Times New Roman" w:hAnsi="Times New Roman"/>
          <w:color w:val="000000" w:themeColor="text1"/>
          <w:sz w:val="16"/>
          <w:szCs w:val="16"/>
        </w:rPr>
      </w:pPr>
    </w:p>
    <w:p w14:paraId="1B06E761" w14:textId="77777777" w:rsidR="006479D8" w:rsidRPr="00C33834" w:rsidRDefault="006479D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 июля 1933 самолет S.55 вылетел из Стамбула в Одессу. Однако советские пограничники не получили своевременного предупреждения и открыли огонь по неизвестному самолету. Однако, к счастью, самолет не получил повреждений и спокойно приводнился в бухте. После выяснения бюрократических накладок и дозаправки самолет лишь через 4 дня смог отправиться в Севастополь. В целом экипаж отметил хорошую управляемость S.55 на воде и воздухе, что отмечается в докладной записке И.Я. Филипповича (РГВА. Ф. 29. Оп. 76. Д. 1221. Переписка с итальянскими торговыми фирмами о закупках самолетов СИАИ и моторов АССО. Л. 23.). В Севастополе экипаж несколько задержался, поскольку требовалось пройти контрольные испытания НИИ ГВФ и снять эскизы для установки советских бомбодержателей (21410).</w:t>
      </w:r>
    </w:p>
    <w:p w14:paraId="72E729CF" w14:textId="77777777" w:rsidR="006479D8" w:rsidRPr="00C33834" w:rsidRDefault="006479D8" w:rsidP="00C33834">
      <w:pPr>
        <w:spacing w:after="0" w:line="240" w:lineRule="auto"/>
        <w:jc w:val="both"/>
        <w:rPr>
          <w:rFonts w:ascii="Times New Roman" w:hAnsi="Times New Roman"/>
          <w:color w:val="0070C0"/>
          <w:sz w:val="16"/>
          <w:szCs w:val="16"/>
        </w:rPr>
      </w:pPr>
    </w:p>
    <w:p w14:paraId="0FD564E1"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10 июля 1933 г. катер АНТ-3 Первенец нес службу на Черном море, а затем по железной дороге был отправлен на Каспий, где уже во время войны его разоружили и перевели в разряд рейдовых плавсредств. Но свое дело он сделал (3898).</w:t>
      </w:r>
    </w:p>
    <w:p w14:paraId="088BC37D"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74D74B47" w14:textId="77777777" w:rsidR="006909F7"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26FDDD4" w14:textId="77777777" w:rsidR="006909F7" w:rsidRPr="00C33834" w:rsidRDefault="006909F7" w:rsidP="00C33834">
      <w:pPr>
        <w:spacing w:after="0" w:line="240" w:lineRule="auto"/>
        <w:jc w:val="both"/>
        <w:rPr>
          <w:rFonts w:ascii="Times New Roman" w:hAnsi="Times New Roman"/>
          <w:iCs/>
          <w:color w:val="000000" w:themeColor="text1"/>
          <w:sz w:val="16"/>
          <w:szCs w:val="16"/>
        </w:rPr>
      </w:pPr>
    </w:p>
    <w:p w14:paraId="189DCB62" w14:textId="77777777" w:rsidR="006909F7" w:rsidRPr="00C33834" w:rsidRDefault="006909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10 июля </w:t>
      </w:r>
      <w:r w:rsidRPr="00C33834">
        <w:rPr>
          <w:rStyle w:val="highlight"/>
          <w:rFonts w:ascii="Times New Roman" w:hAnsi="Times New Roman"/>
          <w:color w:val="000000" w:themeColor="text1"/>
          <w:sz w:val="16"/>
          <w:szCs w:val="16"/>
        </w:rPr>
        <w:t> 1933 </w:t>
      </w:r>
      <w:r w:rsidRPr="00C33834">
        <w:rPr>
          <w:rFonts w:ascii="Times New Roman" w:hAnsi="Times New Roman"/>
          <w:color w:val="000000" w:themeColor="text1"/>
          <w:sz w:val="16"/>
          <w:szCs w:val="16"/>
        </w:rPr>
        <w:t xml:space="preserve"> года Ефремовский СК-3 выдал первую тонну искусственного каучука. Первый вагон с небывалым грузом ушел со станции Ефремов в Москву 18 августа.</w:t>
      </w:r>
    </w:p>
    <w:p w14:paraId="78903F60" w14:textId="77777777" w:rsidR="006909F7" w:rsidRPr="00C33834" w:rsidRDefault="006909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 7 июля </w:t>
      </w:r>
      <w:r w:rsidRPr="00C33834">
        <w:rPr>
          <w:rStyle w:val="highlight"/>
          <w:rFonts w:ascii="Times New Roman" w:hAnsi="Times New Roman"/>
          <w:color w:val="000000" w:themeColor="text1"/>
          <w:sz w:val="16"/>
          <w:szCs w:val="16"/>
        </w:rPr>
        <w:t>1931 </w:t>
      </w:r>
      <w:r w:rsidRPr="00C33834">
        <w:rPr>
          <w:rFonts w:ascii="Times New Roman" w:hAnsi="Times New Roman"/>
          <w:color w:val="000000" w:themeColor="text1"/>
          <w:sz w:val="16"/>
          <w:szCs w:val="16"/>
        </w:rPr>
        <w:t xml:space="preserve"> года началось строительство СК-3. В начале 1933 нарком тяжелой промышленности Г. К. Орджоникидзе назначил нового начальника </w:t>
      </w:r>
      <w:r w:rsidRPr="00C33834">
        <w:rPr>
          <w:rStyle w:val="highlight"/>
          <w:rFonts w:ascii="Times New Roman" w:hAnsi="Times New Roman"/>
          <w:color w:val="000000" w:themeColor="text1"/>
          <w:sz w:val="16"/>
          <w:szCs w:val="16"/>
        </w:rPr>
        <w:t> завода </w:t>
      </w:r>
      <w:r w:rsidRPr="00C33834">
        <w:rPr>
          <w:rFonts w:ascii="Times New Roman" w:hAnsi="Times New Roman"/>
          <w:color w:val="000000" w:themeColor="text1"/>
          <w:sz w:val="16"/>
          <w:szCs w:val="16"/>
        </w:rPr>
        <w:t xml:space="preserve"> С. А. Матвеева, возглавлявшего до того строительство Воронежского </w:t>
      </w:r>
      <w:r w:rsidRPr="00C33834">
        <w:rPr>
          <w:rStyle w:val="highlight"/>
          <w:rFonts w:ascii="Times New Roman" w:hAnsi="Times New Roman"/>
          <w:color w:val="000000" w:themeColor="text1"/>
          <w:sz w:val="16"/>
          <w:szCs w:val="16"/>
        </w:rPr>
        <w:t> завода </w:t>
      </w:r>
      <w:r w:rsidRPr="00C33834">
        <w:rPr>
          <w:rFonts w:ascii="Times New Roman" w:hAnsi="Times New Roman"/>
          <w:color w:val="000000" w:themeColor="text1"/>
          <w:sz w:val="16"/>
          <w:szCs w:val="16"/>
        </w:rPr>
        <w:t xml:space="preserve"> СК. Под его руководством коллектив строителей мобилизовался на завершение монтажного оборудования.</w:t>
      </w:r>
    </w:p>
    <w:p w14:paraId="50DC2F60" w14:textId="77777777" w:rsidR="006909F7" w:rsidRPr="00C33834" w:rsidRDefault="006909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Днем 6 марта </w:t>
      </w:r>
      <w:r w:rsidRPr="00C33834">
        <w:rPr>
          <w:rStyle w:val="highlight"/>
          <w:rFonts w:ascii="Times New Roman" w:hAnsi="Times New Roman"/>
          <w:color w:val="000000" w:themeColor="text1"/>
          <w:sz w:val="16"/>
          <w:szCs w:val="16"/>
        </w:rPr>
        <w:t> 1933 </w:t>
      </w:r>
      <w:r w:rsidRPr="00C33834">
        <w:rPr>
          <w:rFonts w:ascii="Times New Roman" w:hAnsi="Times New Roman"/>
          <w:color w:val="000000" w:themeColor="text1"/>
          <w:sz w:val="16"/>
          <w:szCs w:val="16"/>
        </w:rPr>
        <w:t xml:space="preserve"> года сделала первый оборот турбина ТЭЦ, а 20 марта </w:t>
      </w:r>
      <w:r w:rsidRPr="00C33834">
        <w:rPr>
          <w:rStyle w:val="highlight"/>
          <w:rFonts w:ascii="Times New Roman" w:hAnsi="Times New Roman"/>
          <w:color w:val="000000" w:themeColor="text1"/>
          <w:sz w:val="16"/>
          <w:szCs w:val="16"/>
        </w:rPr>
        <w:t> завод </w:t>
      </w:r>
      <w:r w:rsidRPr="00C33834">
        <w:rPr>
          <w:rFonts w:ascii="Times New Roman" w:hAnsi="Times New Roman"/>
          <w:color w:val="000000" w:themeColor="text1"/>
          <w:sz w:val="16"/>
          <w:szCs w:val="16"/>
        </w:rPr>
        <w:t xml:space="preserve"> и город получили первый промышленный ток.</w:t>
      </w:r>
    </w:p>
    <w:p w14:paraId="2A124620" w14:textId="77777777" w:rsidR="006909F7" w:rsidRPr="00C33834" w:rsidRDefault="006909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Вслед за пуском ТЭЦ начался 43-дневный пусковой период Ефремовского </w:t>
      </w:r>
      <w:r w:rsidRPr="00C33834">
        <w:rPr>
          <w:rStyle w:val="highlight"/>
          <w:rFonts w:ascii="Times New Roman" w:hAnsi="Times New Roman"/>
          <w:color w:val="000000" w:themeColor="text1"/>
          <w:sz w:val="16"/>
          <w:szCs w:val="16"/>
        </w:rPr>
        <w:t> завода </w:t>
      </w:r>
      <w:r w:rsidRPr="00C33834">
        <w:rPr>
          <w:rFonts w:ascii="Times New Roman" w:hAnsi="Times New Roman"/>
          <w:color w:val="000000" w:themeColor="text1"/>
          <w:sz w:val="16"/>
          <w:szCs w:val="16"/>
        </w:rPr>
        <w:t xml:space="preserve"> СК-3.</w:t>
      </w:r>
      <w:r w:rsidRPr="00C33834">
        <w:rPr>
          <w:rFonts w:ascii="Times New Roman" w:hAnsi="Times New Roman"/>
          <w:bCs/>
          <w:color w:val="000000" w:themeColor="text1"/>
          <w:sz w:val="16"/>
          <w:szCs w:val="16"/>
        </w:rPr>
        <w:t>В</w:t>
      </w:r>
      <w:r w:rsidRPr="00C33834">
        <w:rPr>
          <w:rFonts w:ascii="Times New Roman" w:hAnsi="Times New Roman"/>
          <w:color w:val="000000" w:themeColor="text1"/>
          <w:sz w:val="16"/>
          <w:szCs w:val="16"/>
        </w:rPr>
        <w:t xml:space="preserve">8 часов утра 23 мая </w:t>
      </w:r>
      <w:r w:rsidRPr="00C33834">
        <w:rPr>
          <w:rStyle w:val="highlight"/>
          <w:rFonts w:ascii="Times New Roman" w:hAnsi="Times New Roman"/>
          <w:color w:val="000000" w:themeColor="text1"/>
          <w:sz w:val="16"/>
          <w:szCs w:val="16"/>
        </w:rPr>
        <w:t> 1933 </w:t>
      </w:r>
      <w:r w:rsidRPr="00C33834">
        <w:rPr>
          <w:rFonts w:ascii="Times New Roman" w:hAnsi="Times New Roman"/>
          <w:color w:val="000000" w:themeColor="text1"/>
          <w:sz w:val="16"/>
          <w:szCs w:val="16"/>
        </w:rPr>
        <w:t xml:space="preserve"> года начальник печного цеха Ерасов зажег форсунки первой и второй контактных печей. Вечером 27 мая, в 21 час 27 минут, в реторты пустили спирт. Спустя несколько часов в газовом цехе были получены первые капли дивинила, а через три дня заводская газета "Ударник" сообщила: "Дивинил пошел потоком".</w:t>
      </w:r>
    </w:p>
    <w:p w14:paraId="1A1901B5" w14:textId="77777777" w:rsidR="006909F7" w:rsidRPr="00C33834" w:rsidRDefault="006909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Третий в стране </w:t>
      </w:r>
      <w:r w:rsidRPr="00C33834">
        <w:rPr>
          <w:rStyle w:val="highlight"/>
          <w:rFonts w:ascii="Times New Roman" w:hAnsi="Times New Roman"/>
          <w:color w:val="000000" w:themeColor="text1"/>
          <w:sz w:val="16"/>
          <w:szCs w:val="16"/>
        </w:rPr>
        <w:t> завод </w:t>
      </w:r>
      <w:r w:rsidRPr="00C33834">
        <w:rPr>
          <w:rFonts w:ascii="Times New Roman" w:hAnsi="Times New Roman"/>
          <w:color w:val="000000" w:themeColor="text1"/>
          <w:sz w:val="16"/>
          <w:szCs w:val="16"/>
        </w:rPr>
        <w:t xml:space="preserve"> синтетического каучука вступил в строй действующих. </w:t>
      </w:r>
    </w:p>
    <w:p w14:paraId="4C634C8D" w14:textId="77777777" w:rsidR="006909F7" w:rsidRPr="00C33834" w:rsidRDefault="006909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 </w:t>
      </w:r>
      <w:r w:rsidRPr="00C33834">
        <w:rPr>
          <w:rStyle w:val="highlight"/>
          <w:rFonts w:ascii="Times New Roman" w:hAnsi="Times New Roman"/>
          <w:color w:val="000000" w:themeColor="text1"/>
          <w:sz w:val="16"/>
          <w:szCs w:val="16"/>
        </w:rPr>
        <w:t> январю  1934  завод </w:t>
      </w:r>
      <w:r w:rsidRPr="00C33834">
        <w:rPr>
          <w:rFonts w:ascii="Times New Roman" w:hAnsi="Times New Roman"/>
          <w:color w:val="000000" w:themeColor="text1"/>
          <w:sz w:val="16"/>
          <w:szCs w:val="16"/>
        </w:rPr>
        <w:t xml:space="preserve"> СК3 дал стране уже сотни тонн каучука. Ожидался пуск нового мощного спиртозавода. Новые гиганты индустрии коренным образом меняли "лицо Ефремова, превращая его из бывшего мелкого, торгашеско-мещанского городка в промышленный город, насчитывающий до 8000 рабочих.</w:t>
      </w:r>
    </w:p>
    <w:p w14:paraId="187CA839" w14:textId="77777777" w:rsidR="006909F7" w:rsidRPr="00C33834" w:rsidRDefault="006909F7"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Зимой 1934 года на Ефремовском СК-3 побывал творец промышленного синтетического каучука выдающийся советский ученый Сергей Васильевич Лебедев (17278).</w:t>
      </w:r>
    </w:p>
    <w:p w14:paraId="014E54DF" w14:textId="77777777" w:rsidR="006909F7" w:rsidRPr="00C33834" w:rsidRDefault="006909F7" w:rsidP="00C33834">
      <w:pPr>
        <w:autoSpaceDE w:val="0"/>
        <w:autoSpaceDN w:val="0"/>
        <w:adjustRightInd w:val="0"/>
        <w:spacing w:after="0" w:line="240" w:lineRule="auto"/>
        <w:jc w:val="both"/>
        <w:rPr>
          <w:rFonts w:ascii="Times New Roman" w:hAnsi="Times New Roman"/>
          <w:color w:val="000000" w:themeColor="text1"/>
          <w:sz w:val="16"/>
          <w:szCs w:val="16"/>
        </w:rPr>
      </w:pPr>
    </w:p>
    <w:p w14:paraId="351AB166" w14:textId="77777777" w:rsidR="00193C02" w:rsidRPr="00C33834" w:rsidRDefault="00193C0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июля в 1933 году был введен в строй действующих Ефремовский завод синтетического каучука (ныне АО, Тульская область) (14948).</w:t>
      </w:r>
    </w:p>
    <w:p w14:paraId="5C146D59" w14:textId="77777777" w:rsidR="00193C02" w:rsidRPr="00C33834" w:rsidRDefault="00193C02" w:rsidP="00C33834">
      <w:pPr>
        <w:spacing w:after="0" w:line="240" w:lineRule="auto"/>
        <w:jc w:val="both"/>
        <w:rPr>
          <w:rFonts w:ascii="Times New Roman" w:hAnsi="Times New Roman"/>
          <w:color w:val="000000" w:themeColor="text1"/>
          <w:sz w:val="16"/>
          <w:szCs w:val="16"/>
        </w:rPr>
      </w:pPr>
    </w:p>
    <w:p w14:paraId="57EB7F98" w14:textId="77777777" w:rsidR="006479D8" w:rsidRPr="00C33834" w:rsidRDefault="006479D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 10 июля по 1 августа 1933 на полигоне УММ РККА прошли испытания легкового полугусеничного вездехода НАТИ-5. Был отмечен ряд достоинств и недостатков, в том числе, низкая унификация с выпускающимся ГАЗ-А, поскольку автомобиль, как и НАТИ-2, базировался на импортных агрегатах Форд-А (22518).</w:t>
      </w:r>
    </w:p>
    <w:p w14:paraId="008ABE5E" w14:textId="77777777" w:rsidR="006479D8" w:rsidRPr="00C33834" w:rsidRDefault="006479D8" w:rsidP="00C33834">
      <w:pPr>
        <w:spacing w:after="0" w:line="240" w:lineRule="auto"/>
        <w:jc w:val="both"/>
        <w:rPr>
          <w:rFonts w:ascii="Times New Roman" w:hAnsi="Times New Roman"/>
          <w:color w:val="0070C0"/>
          <w:sz w:val="16"/>
          <w:szCs w:val="16"/>
        </w:rPr>
      </w:pPr>
    </w:p>
    <w:p w14:paraId="0AD1A2D7" w14:textId="77777777" w:rsidR="009A4E8B" w:rsidRPr="00C33834" w:rsidRDefault="009A4E8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10 июля 1933 комиссия Молотова доложила Комиссии Обороны (т. е. фактически сама себе) проект постановления СТО по военно-морскому судостроению на 1933-1938 гг. Принятые поправки подтверждали число эсминцев (40), сокращали число лидеров (с 17 до 10) и устанавливали количество сторожевых судов (24). Предложения комиссии означали двукратное сокращение запрошенной ранее Штабом программы строительства эсминцев, уменьшение на четверть намеченного количества крейсеров и полуторное увеличение планируемого подводного флота. Неизвестно, сопровождалось ли перераспределение средств с надводных кораблей на подводные дебатами о военно-морской доктрине либо оно диктовалось исключительно возможностями производственной и кадровой базы тяжелой промышленности (О предельном использовании производственных ресурсов в интересах военно-морской программы в середине 30-х гг. свидетельствуют комментарии к контрольным цифрам развития морской судостроительной промышленности от 19 марта 1934 г.: "Коммерческие суда, находящиеся в производстве, продвигаются только в пределах, необходимых для того, чтобы освободить занятые ими стапеля и закончить их достройку до конца пятилетки. Новое коммерческое судостроение в программу второй пятилетки почти не включается" (ГРИБОВСКИЙ В. Ю. и др. Указ соч С. 12)).</w:t>
      </w:r>
    </w:p>
    <w:p w14:paraId="2760CA4E" w14:textId="77777777" w:rsidR="009A4E8B" w:rsidRPr="00C33834" w:rsidRDefault="009A4E8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На следующий день, ровно месяц спустя после возбуждения вопроса о программе на 1933-1935 гг., детально разработанная шестилетняя программа военно-морского судостроения была утверждена Советом Труда и Обороны СССР (Постановление № 58 сс/о Совета Труда и Обороны СССР "О программе военно-морского судостроения на 1933-1935 гг.", 11.07.1933 (копия) //РГА ВМФ. Ф. Р-1483. On. 1. Д 498. Л. 80-92. О представленном Управлением ВМС проекте "Основные соображения по развитию ВМС РККА на вторую пятилетку (1933-1937 гг.)" см.: ГРИБОВСКИЙ В. Ю. и др. Указ соч. С. 25-28). Она предусматривала создание нового, великодержавного (если не по классу военных кораблей, то по их количеству) морского флота (см. табл. 10) (Программа военно-морского судостроения на 1933-1938 годы (приложение № 1 к постановлению СТО № 58 сс/о) // Там же. Л. 93-94. См. также: БЕРЕЗОВСКИЙ Н. Ю. и др. Боевая летопись ВМФ, 1917-1941. М.. 1993-С. 591; ГРИБОВСКИЙ В. Ю. И ДР. Указ соч. С. 28-30.</w:t>
      </w:r>
    </w:p>
    <w:p w14:paraId="473DCEA7" w14:textId="77777777" w:rsidR="009A4E8B" w:rsidRPr="00C33834" w:rsidRDefault="009A4E8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 xml:space="preserve">Технологический уровень советского судостроения не позволял приступать к строительству крупных судов, поэтому рассматриваемым постановлением предусматривалось лишь проведение к 1936 г. капитального ремонта линкора "Парижская Коммуна" и модернизация к 1937 г. линкора "Фрунзе". Тем не менее по принятому затем решению к лету 1936 г. было заложено четыре линкора типа "А". Планировалось осуществить спуск па воду в 1939 г. и ввод в строй в 1941 г. восьми </w:t>
      </w:r>
      <w:r w:rsidRPr="00C33834">
        <w:rPr>
          <w:rFonts w:ascii="Times New Roman" w:eastAsia="Times New Roman" w:hAnsi="Times New Roman"/>
          <w:color w:val="0070C0"/>
          <w:sz w:val="16"/>
          <w:szCs w:val="16"/>
          <w:lang w:eastAsia="ru-RU"/>
        </w:rPr>
        <w:lastRenderedPageBreak/>
        <w:t>линейных кораблей (см.: Постановление № ОК-1б7сс Совета Труда и Обороны СССР, 16.07.1936 // Там же. Д. 501. Л. 191 -197; Установление № 64сс Совета Труда и O6opoны СССР "О развертывании строительства линкоров" (заверенная копия), 26.031937 //Там же. Д. 502. Л. 110-116; Постановление № 44сс Комитета Обороны при СНК СССР "О линкорах "А" и ..Б"", 0305.1937 (заверенная копия) //Там же. Л. 174-180). В целом о программе "крупного морского судостроения" 1936 г. см.: ГРИБОВСКИЙ В. Ю. и ДР. Указ соч. С. 229-239).</w:t>
      </w:r>
    </w:p>
    <w:p w14:paraId="292DBEFA" w14:textId="77777777" w:rsidR="009A4E8B" w:rsidRPr="00C33834" w:rsidRDefault="009A4E8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ТАБЛИЦА 10</w:t>
      </w:r>
    </w:p>
    <w:p w14:paraId="5B043C49" w14:textId="77777777" w:rsidR="009A4E8B" w:rsidRPr="00C33834" w:rsidRDefault="009A4E8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Основные показатели программы строительства ВМФ на 1933-1938 гг.</w:t>
      </w:r>
    </w:p>
    <w:p w14:paraId="4C899097" w14:textId="77777777" w:rsidR="009A4E8B" w:rsidRPr="00C33834" w:rsidRDefault="009A4E8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Класс кораблей Вступает в строй за 1933-1935 гг. Всего будет в строю к концу 1935 г. Вступает в строй за 1933-1938 гг. Всего будет в строю к концу 1938 г.</w:t>
      </w:r>
    </w:p>
    <w:p w14:paraId="547CC30D" w14:textId="77777777" w:rsidR="009A4E8B" w:rsidRPr="00C33834" w:rsidRDefault="009A4E8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Подводные лодки большие 12 19 69 76</w:t>
      </w:r>
    </w:p>
    <w:p w14:paraId="5153AD87" w14:textId="77777777" w:rsidR="009A4E8B" w:rsidRPr="00C33834" w:rsidRDefault="009A4E8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Подводные лодки средние 78 78 200 200</w:t>
      </w:r>
    </w:p>
    <w:p w14:paraId="1234EBCA" w14:textId="77777777" w:rsidR="009A4E8B" w:rsidRPr="00C33834" w:rsidRDefault="009A4E8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Подводные лодки малые 60 60 100 100</w:t>
      </w:r>
    </w:p>
    <w:p w14:paraId="13464C66" w14:textId="77777777" w:rsidR="009A4E8B" w:rsidRPr="00C33834" w:rsidRDefault="009A4E8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Всего 150 157 369 376</w:t>
      </w:r>
    </w:p>
    <w:p w14:paraId="0AED9862" w14:textId="77777777" w:rsidR="009A4E8B" w:rsidRPr="00C33834" w:rsidRDefault="009A4E8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Эсминцы лидера 5 5 10 10</w:t>
      </w:r>
    </w:p>
    <w:p w14:paraId="57FBAB56" w14:textId="77777777" w:rsidR="009A4E8B" w:rsidRPr="00C33834" w:rsidRDefault="009A4E8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Эсминцы 2 2 40 40</w:t>
      </w:r>
    </w:p>
    <w:p w14:paraId="6CE8E3DF" w14:textId="77777777" w:rsidR="009A4E8B" w:rsidRPr="00C33834" w:rsidRDefault="009A4E8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Всего 7 50 50</w:t>
      </w:r>
    </w:p>
    <w:p w14:paraId="3D7AD5DA" w14:textId="77777777" w:rsidR="009A4E8B" w:rsidRPr="00C33834" w:rsidRDefault="009A4E8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Крейсеры - 3 8 11</w:t>
      </w:r>
    </w:p>
    <w:p w14:paraId="2C6ADF24" w14:textId="77777777" w:rsidR="009A4E8B" w:rsidRPr="00C33834" w:rsidRDefault="009A4E8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Торпедные катера 115 175 252 312 (22725).</w:t>
      </w:r>
    </w:p>
    <w:p w14:paraId="1AFF44D8" w14:textId="77777777" w:rsidR="009A4E8B" w:rsidRPr="00C33834" w:rsidRDefault="009A4E8B" w:rsidP="00C33834">
      <w:pPr>
        <w:spacing w:after="0" w:line="240" w:lineRule="auto"/>
        <w:jc w:val="both"/>
        <w:rPr>
          <w:rFonts w:ascii="Times New Roman" w:hAnsi="Times New Roman"/>
          <w:color w:val="0070C0"/>
          <w:sz w:val="16"/>
          <w:szCs w:val="16"/>
        </w:rPr>
      </w:pPr>
    </w:p>
    <w:p w14:paraId="16B3C5C4" w14:textId="77777777" w:rsidR="00DC5A55" w:rsidRPr="00C33834" w:rsidRDefault="00DC5A5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09B6A482" w14:textId="77777777" w:rsidR="00DC5A55" w:rsidRPr="00C33834" w:rsidRDefault="00DC5A55" w:rsidP="00C33834">
      <w:pPr>
        <w:spacing w:after="0" w:line="240" w:lineRule="auto"/>
        <w:jc w:val="both"/>
        <w:rPr>
          <w:rFonts w:ascii="Times New Roman" w:hAnsi="Times New Roman"/>
          <w:iCs/>
          <w:color w:val="000000" w:themeColor="text1"/>
          <w:sz w:val="16"/>
          <w:szCs w:val="16"/>
        </w:rPr>
      </w:pPr>
    </w:p>
    <w:p w14:paraId="3ED1BA76" w14:textId="77777777" w:rsidR="00DC5A55" w:rsidRPr="00C33834" w:rsidRDefault="00DC5A5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июля 1933. Газета "Вечерняя Москва" сообщала: "Мы уже сообщали об огромном тираже "Алгебры" Киселева. Однако учебник арифметики Н. С. Попова побивает все известные рекорды тиражей. Тираж этого учебника - 4 миллиона экземпляров. Такого тиража до сих пор не знала ни одна книга" (18722).</w:t>
      </w:r>
    </w:p>
    <w:p w14:paraId="0EEB134B" w14:textId="77777777" w:rsidR="00DC5A55" w:rsidRPr="00C33834" w:rsidRDefault="00DC5A55" w:rsidP="00C33834">
      <w:pPr>
        <w:spacing w:after="0" w:line="240" w:lineRule="auto"/>
        <w:jc w:val="both"/>
        <w:rPr>
          <w:rFonts w:ascii="Times New Roman" w:hAnsi="Times New Roman"/>
          <w:color w:val="000000" w:themeColor="text1"/>
          <w:sz w:val="16"/>
          <w:szCs w:val="16"/>
        </w:rPr>
      </w:pPr>
    </w:p>
    <w:p w14:paraId="6B4FD03A" w14:textId="77777777" w:rsidR="008A018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FF432CF" w14:textId="77777777" w:rsidR="008A0184" w:rsidRPr="00C33834" w:rsidRDefault="008A018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64E2537" w14:textId="77777777" w:rsidR="00193C02" w:rsidRPr="00C33834" w:rsidRDefault="00193C0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10 июля в 1933 году впервые взлетел в конфигурации торпедоносца </w:t>
      </w:r>
      <w:hyperlink r:id="rId256" w:tgtFrame="_blank" w:history="1">
        <w:r w:rsidRPr="00C33834">
          <w:rPr>
            <w:rFonts w:ascii="Times New Roman" w:hAnsi="Times New Roman"/>
            <w:color w:val="000000" w:themeColor="text1"/>
            <w:sz w:val="16"/>
            <w:szCs w:val="16"/>
          </w:rPr>
          <w:t xml:space="preserve">«TSR.1» </w:t>
        </w:r>
      </w:hyperlink>
      <w:r w:rsidRPr="00C33834">
        <w:rPr>
          <w:rFonts w:ascii="Times New Roman" w:hAnsi="Times New Roman"/>
          <w:color w:val="000000" w:themeColor="text1"/>
          <w:sz w:val="16"/>
          <w:szCs w:val="16"/>
        </w:rPr>
        <w:t>(«Torpedo-Spotter-Reconnaissance») самолет «Fairey» «S.9/30» («TSR.1») с новым двигателем - девятицилиндровым воздушного охлаждения «Bristol» «Pegasus IIM» мощностью 635 л.с. (14948).</w:t>
      </w:r>
    </w:p>
    <w:p w14:paraId="7EF665C0" w14:textId="77777777" w:rsidR="00193C02" w:rsidRPr="00C33834" w:rsidRDefault="00193C02" w:rsidP="00C33834">
      <w:pPr>
        <w:spacing w:after="0" w:line="240" w:lineRule="auto"/>
        <w:jc w:val="both"/>
        <w:rPr>
          <w:rFonts w:ascii="Times New Roman" w:hAnsi="Times New Roman"/>
          <w:color w:val="000000" w:themeColor="text1"/>
          <w:sz w:val="16"/>
          <w:szCs w:val="16"/>
        </w:rPr>
      </w:pPr>
    </w:p>
    <w:p w14:paraId="4DAA6E7C"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июля 1933 в Чехословакии был принят закон о печати, запрещающий агитацию экстремистским политическим силам и законы, дополняющие закон о защите республики (3186).</w:t>
      </w:r>
    </w:p>
    <w:p w14:paraId="1E5D6F14" w14:textId="77777777" w:rsidR="008A0184" w:rsidRPr="00C33834" w:rsidRDefault="008A0184" w:rsidP="00C33834">
      <w:pPr>
        <w:autoSpaceDE w:val="0"/>
        <w:autoSpaceDN w:val="0"/>
        <w:adjustRightInd w:val="0"/>
        <w:spacing w:after="0" w:line="240" w:lineRule="auto"/>
        <w:jc w:val="both"/>
        <w:rPr>
          <w:rFonts w:ascii="Times New Roman" w:hAnsi="Times New Roman"/>
          <w:color w:val="000000" w:themeColor="text1"/>
          <w:sz w:val="16"/>
          <w:szCs w:val="16"/>
        </w:rPr>
      </w:pPr>
    </w:p>
    <w:p w14:paraId="017B188D"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июля 1933 затонул китайский пароход «Тунан», в результате чего погибли 168 человека (4962).</w:t>
      </w:r>
    </w:p>
    <w:p w14:paraId="6A699B3B" w14:textId="77777777" w:rsidR="008A0184" w:rsidRPr="00C33834" w:rsidRDefault="008A0184"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75279C" w14:textId="77777777" w:rsidR="00C2291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97D76AB"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3D3E66A6"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июля 1933 закончилось испытание двух облегченных самолетов ТБ3-4М17 за №№ 22243 и 22250 на определение расхода горючего и предельной дальности, которое состоялось с 7 июля 1933 (6794).</w:t>
      </w:r>
    </w:p>
    <w:p w14:paraId="1DF4B0B2"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4F2B4D97"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НИИ ВВС:</w:t>
      </w:r>
    </w:p>
    <w:p w14:paraId="4B4C8B26"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Лосюков</w:t>
      </w:r>
    </w:p>
    <w:p w14:paraId="5282FCDB"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Юмашев</w:t>
      </w:r>
    </w:p>
    <w:p w14:paraId="062B456A"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ЦАГИ:</w:t>
      </w:r>
    </w:p>
    <w:p w14:paraId="45129D8B"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Тайц</w:t>
      </w:r>
    </w:p>
    <w:p w14:paraId="7632B383"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Громов</w:t>
      </w:r>
    </w:p>
    <w:p w14:paraId="121D9683"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1423E50D"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задания Правительства об увеличении радиуса действия и бомбовой нагрузки самолета ТБ3:</w:t>
      </w:r>
    </w:p>
    <w:p w14:paraId="4016E5CF" w14:textId="77777777" w:rsidR="00C22911" w:rsidRPr="00C33834" w:rsidRDefault="00C22911" w:rsidP="00C33834">
      <w:pPr>
        <w:numPr>
          <w:ilvl w:val="0"/>
          <w:numId w:val="227"/>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максимальной дальности самолета при разном горючем (бензольная и этиловая смеси).</w:t>
      </w:r>
    </w:p>
    <w:p w14:paraId="497B17FB" w14:textId="77777777" w:rsidR="00C22911" w:rsidRPr="00C33834" w:rsidRDefault="00C22911" w:rsidP="00C33834">
      <w:pPr>
        <w:numPr>
          <w:ilvl w:val="0"/>
          <w:numId w:val="228"/>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наивыгоднейшего положения высотного корректора на разных высотах.</w:t>
      </w:r>
    </w:p>
    <w:p w14:paraId="1253D399" w14:textId="77777777" w:rsidR="00C22911" w:rsidRPr="00C33834" w:rsidRDefault="00C22911" w:rsidP="00C33834">
      <w:pPr>
        <w:numPr>
          <w:ilvl w:val="0"/>
          <w:numId w:val="229"/>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расходов указанных видов горючего при полетах на предельной дальности.</w:t>
      </w:r>
    </w:p>
    <w:p w14:paraId="34E95F23" w14:textId="77777777" w:rsidR="00C22911" w:rsidRPr="00C33834" w:rsidRDefault="00C22911" w:rsidP="00C33834">
      <w:pPr>
        <w:numPr>
          <w:ilvl w:val="0"/>
          <w:numId w:val="23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макисмального полетного веса самолета и особенностей взлета и пилотажа при этом весе.</w:t>
      </w:r>
    </w:p>
    <w:p w14:paraId="77F39149"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561999F9" w14:textId="77777777" w:rsidR="00C22911" w:rsidRPr="00C33834" w:rsidRDefault="00C22911" w:rsidP="00C33834">
      <w:pPr>
        <w:numPr>
          <w:ilvl w:val="0"/>
          <w:numId w:val="23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основании произведенных испытаний НИИ ВВС и ЦАГИ считают возможным допустить для дальних перелетов полетный вес самолета ТБ3-4М17 19,5 тонн и регулировку моторов, имевшую место при испытаниях.</w:t>
      </w:r>
    </w:p>
    <w:p w14:paraId="2F34DA6C"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p w14:paraId="19AC2978"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 получены ЦАГИ от 22 завода 26 июня 1933 года</w:t>
      </w:r>
    </w:p>
    <w:p w14:paraId="7CBF97F6"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 подготовлены ЗОКом ЦАГИ и переданы в ОЭЛИД ЦАГИ для испытания 7 июля 1933 года</w:t>
      </w:r>
    </w:p>
    <w:p w14:paraId="5D35C17C"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начато 7 июля 1933 года</w:t>
      </w:r>
    </w:p>
    <w:p w14:paraId="724C9B78"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закончено 11 июля 1933 года</w:t>
      </w:r>
    </w:p>
    <w:p w14:paraId="7FF53A3C"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Фактически затрачено на испытание 5 дней, из них самолет летал 4 дня (6794).</w:t>
      </w:r>
    </w:p>
    <w:p w14:paraId="7DC80282"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p>
    <w:p w14:paraId="7D153906" w14:textId="77777777" w:rsidR="002B259F" w:rsidRPr="00C33834" w:rsidRDefault="002B259F"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 11 июля по 7 августа 1933 г. при различном взлётном весе ТБ-1 проводились испытания ракетных ускорителей на ТБ-1. Чтобы уменьшить воздействие реактивной струи на хвостовое оперение, в 1933 г. расположение ускорителей изменили. Теперь их установили в связках по три ракеты на верхней поверхности каждого крыла. Они крепились на дюралевых фермах, проходящих сквозь крыло и соединенных с узлами шасси. Угол установки сопел ускорителей подобрали так, чтобы струя газов проходила над горизонтальным стабилизатором и не задевала боковую обшивку фюзеляжа.</w:t>
      </w:r>
    </w:p>
    <w:p w14:paraId="32398880" w14:textId="77777777" w:rsidR="002B259F" w:rsidRPr="00C33834" w:rsidRDefault="002B259F"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Самолёт пилотировал лётчик-испытатель Н.П. Благин, в качестве наблюдающих летали инженеры ГДЛ Дудаков и Ширяев. Было проведено семь взлётов, из них пять — с ускорителями. Каждый ускоритель был рассчитан на 15 шашек пироксилино-тротилового пороха. На подготовку полёта (заряжание ракет, проверка цепи зажигания и др.) уходило от часа до полутора.</w:t>
      </w:r>
    </w:p>
    <w:p w14:paraId="643670F0" w14:textId="77777777" w:rsidR="002B259F" w:rsidRPr="00C33834" w:rsidRDefault="002B259F"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дневнике испытаний сообщалось:</w:t>
      </w:r>
    </w:p>
    <w:p w14:paraId="17978A3F" w14:textId="77777777" w:rsidR="002B259F" w:rsidRPr="00C33834" w:rsidRDefault="002B259F"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11 июля — два взлёта без запуска ускорителей.</w:t>
      </w:r>
    </w:p>
    <w:p w14:paraId="2B9F4B4F" w14:textId="77777777" w:rsidR="002B259F" w:rsidRPr="00C33834" w:rsidRDefault="002B259F"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16 июля — два взлёта с 3/5 полного заряда ускорителей (9 шашек).</w:t>
      </w:r>
    </w:p>
    <w:p w14:paraId="1918E6ED" w14:textId="77777777" w:rsidR="002B259F" w:rsidRPr="00C33834" w:rsidRDefault="002B259F"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21, 22 июля — взлёты с полным зарядом.</w:t>
      </w:r>
    </w:p>
    <w:p w14:paraId="6B5FC1AD" w14:textId="77777777" w:rsidR="002B259F" w:rsidRPr="00C33834" w:rsidRDefault="002B259F"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7 августа — взлёт с ускорителями с увеличенным до 8 т полётном весе самолёта (сверх программы, по указанию начальника ВВС Алксниса) </w:t>
      </w:r>
      <w:hyperlink r:id="rId257" w:history="1">
        <w:r w:rsidRPr="00C33834">
          <w:rPr>
            <w:rFonts w:ascii="Times New Roman" w:eastAsia="Times New Roman" w:hAnsi="Times New Roman"/>
            <w:color w:val="000000" w:themeColor="text1"/>
            <w:sz w:val="16"/>
            <w:szCs w:val="16"/>
            <w:lang w:eastAsia="ru-RU"/>
          </w:rPr>
          <w:t>[66]</w:t>
        </w:r>
      </w:hyperlink>
      <w:r w:rsidRPr="00C33834">
        <w:rPr>
          <w:rFonts w:ascii="Times New Roman" w:eastAsia="Times New Roman" w:hAnsi="Times New Roman"/>
          <w:color w:val="000000" w:themeColor="text1"/>
          <w:sz w:val="16"/>
          <w:szCs w:val="16"/>
          <w:lang w:eastAsia="ru-RU"/>
        </w:rPr>
        <w:t xml:space="preserve"> .</w:t>
      </w:r>
    </w:p>
    <w:p w14:paraId="5395F0CC" w14:textId="77777777" w:rsidR="002B259F" w:rsidRPr="00C33834" w:rsidRDefault="002B259F"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Наилучший эффект достигался при включении ускорителей после короткого пробега при полной тяге винтов.</w:t>
      </w:r>
    </w:p>
    <w:p w14:paraId="3A43B221" w14:textId="77777777" w:rsidR="002B259F" w:rsidRPr="00C33834" w:rsidRDefault="002B259F"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октябре прошли государственные испытания ТБ-1 с ускорителями. Ведущим лётчиком был испытатель НИИ ВВС К.П. Миндер. На одном из полётов по приглашению Алксниса присутствовал нарком по военным и морским делам К.Е. Ворошилов. Результаты увиденного впечатляли — 6-тонная машина отрывалась от земли через 4 секунды после старта. Время работы ускорителей составляло всего 2 секунды, но создаваемая при этом тяга разгоняла машину с ускорением до 15 м/с. Грохоча на всю округу и изрыгая длинные языки пламени, тяжёлые бомбардировщики взлетали легко, как истребители (17489).</w:t>
      </w:r>
    </w:p>
    <w:p w14:paraId="521564AB" w14:textId="77777777" w:rsidR="002B259F" w:rsidRPr="00C33834" w:rsidRDefault="002B259F" w:rsidP="00C33834">
      <w:pPr>
        <w:spacing w:after="0" w:line="240" w:lineRule="auto"/>
        <w:jc w:val="both"/>
        <w:rPr>
          <w:rFonts w:ascii="Times New Roman" w:eastAsia="Times New Roman" w:hAnsi="Times New Roman"/>
          <w:color w:val="000000" w:themeColor="text1"/>
          <w:sz w:val="16"/>
          <w:szCs w:val="16"/>
          <w:lang w:eastAsia="ru-RU"/>
        </w:rPr>
      </w:pPr>
    </w:p>
    <w:p w14:paraId="19C3D54E" w14:textId="77777777" w:rsidR="00D067C1" w:rsidRPr="00C33834" w:rsidRDefault="00D067C1" w:rsidP="00C33834">
      <w:pPr>
        <w:pStyle w:val="rtejustify"/>
        <w:spacing w:before="0" w:after="0"/>
        <w:rPr>
          <w:color w:val="000000" w:themeColor="text1"/>
          <w:sz w:val="16"/>
          <w:szCs w:val="16"/>
        </w:rPr>
      </w:pPr>
      <w:r w:rsidRPr="00C33834">
        <w:rPr>
          <w:rStyle w:val="af0"/>
          <w:bCs/>
          <w:i w:val="0"/>
          <w:color w:val="000000" w:themeColor="text1"/>
          <w:sz w:val="16"/>
          <w:szCs w:val="16"/>
        </w:rPr>
        <w:t>11 июля</w:t>
      </w:r>
      <w:r w:rsidRPr="00C33834">
        <w:rPr>
          <w:color w:val="000000" w:themeColor="text1"/>
          <w:sz w:val="16"/>
          <w:szCs w:val="16"/>
        </w:rPr>
        <w:t xml:space="preserve"> 1933. Постановление СТО СССР № 57сс/о «О строительстве и оборудовании авиационных заводов». (ГА РФ. Ф. Р</w:t>
      </w:r>
      <w:r w:rsidRPr="00C33834">
        <w:rPr>
          <w:color w:val="000000" w:themeColor="text1"/>
          <w:sz w:val="16"/>
          <w:szCs w:val="16"/>
        </w:rPr>
        <w:noBreakHyphen/>
        <w:t>8418. Оп. 28. Д. 2. Л. 11</w:t>
      </w:r>
      <w:r w:rsidRPr="00C33834">
        <w:rPr>
          <w:color w:val="000000" w:themeColor="text1"/>
          <w:sz w:val="16"/>
          <w:szCs w:val="16"/>
        </w:rPr>
        <w:noBreakHyphen/>
        <w:t>12) (15460).</w:t>
      </w:r>
    </w:p>
    <w:p w14:paraId="08DADB5E" w14:textId="77777777" w:rsidR="00D067C1" w:rsidRPr="00C33834" w:rsidRDefault="00D067C1" w:rsidP="00C33834">
      <w:pPr>
        <w:pStyle w:val="rtejustify"/>
        <w:spacing w:before="0" w:after="0"/>
        <w:rPr>
          <w:color w:val="000000" w:themeColor="text1"/>
          <w:sz w:val="16"/>
          <w:szCs w:val="16"/>
        </w:rPr>
      </w:pPr>
    </w:p>
    <w:p w14:paraId="4F1E6A4F"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июля 1933 года постановление № 57сс/о СТО</w:t>
      </w:r>
    </w:p>
    <w:p w14:paraId="5CE12546"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строительстве и оборудовании заводов №№ 19, 120, 20 и 33 ГУАПа</w:t>
      </w:r>
    </w:p>
    <w:p w14:paraId="445FE0B2"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 постановляет:</w:t>
      </w:r>
    </w:p>
    <w:p w14:paraId="2D3BE694" w14:textId="77777777" w:rsidR="00C22911" w:rsidRPr="00C33834" w:rsidRDefault="00D067C1"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w:t>
      </w:r>
      <w:r w:rsidR="00C22911" w:rsidRPr="00C33834">
        <w:rPr>
          <w:rFonts w:ascii="Times New Roman" w:hAnsi="Times New Roman"/>
          <w:color w:val="000000" w:themeColor="text1"/>
          <w:sz w:val="16"/>
          <w:szCs w:val="16"/>
        </w:rPr>
        <w:t>Строительство и оборудование заводов №№ 19, 120, 20 и 33 форсировать, в связи с чем закончить строительство и оборудование:</w:t>
      </w:r>
    </w:p>
    <w:p w14:paraId="6E099467"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 заводу 19 к 1 июля 1934 года на мощность 3000 моторов и к 1 июля 1935 года на полную мощность, т.е. на 6000 моторов;</w:t>
      </w:r>
    </w:p>
    <w:p w14:paraId="008F2F0E"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 заводу 120 к 1 июля 1934 года на мощность 15000 моторов и к 1 июля 1935 года на полную мощность, т.е. на 30000 моторов;</w:t>
      </w:r>
    </w:p>
    <w:p w14:paraId="100CD47A"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по заводу 20 к 1 июля 1934 года на мощность, обеспечивающую нормалями и помпами 27000 моторов и к 1 июля 1935 года на мощность, обеспечивающую нормалями и помпами 37000 моторов и</w:t>
      </w:r>
    </w:p>
    <w:p w14:paraId="573FFC20"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по заводу 33 к 1 июля 1934 года на мощность, обеспечивающую карбюраторами 27000 моторов и к 1 июля 1935 года на мощность, обеспечивающую карбюраторами 37000 моторов.</w:t>
      </w:r>
    </w:p>
    <w:p w14:paraId="4CB8389F"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дополнительно ассигновать ГУАПу 6.160.000 руб.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F26F01" w:rsidRPr="00C33834" w14:paraId="2BA211D8" w14:textId="77777777">
        <w:tc>
          <w:tcPr>
            <w:tcW w:w="2952" w:type="dxa"/>
            <w:tcBorders>
              <w:top w:val="single" w:sz="12" w:space="0" w:color="auto"/>
            </w:tcBorders>
          </w:tcPr>
          <w:p w14:paraId="5260F797"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заводу</w:t>
            </w:r>
          </w:p>
        </w:tc>
        <w:tc>
          <w:tcPr>
            <w:tcW w:w="2952" w:type="dxa"/>
            <w:tcBorders>
              <w:top w:val="single" w:sz="12" w:space="0" w:color="auto"/>
            </w:tcBorders>
          </w:tcPr>
          <w:p w14:paraId="6D072ECC"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импортное оборудование</w:t>
            </w:r>
          </w:p>
        </w:tc>
        <w:tc>
          <w:tcPr>
            <w:tcW w:w="2952" w:type="dxa"/>
            <w:tcBorders>
              <w:top w:val="single" w:sz="12" w:space="0" w:color="auto"/>
            </w:tcBorders>
          </w:tcPr>
          <w:p w14:paraId="479B4B3C"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1.743.000</w:t>
            </w:r>
          </w:p>
        </w:tc>
      </w:tr>
      <w:tr w:rsidR="00F26F01" w:rsidRPr="00C33834" w14:paraId="3C6E8728" w14:textId="77777777">
        <w:tc>
          <w:tcPr>
            <w:tcW w:w="2952" w:type="dxa"/>
          </w:tcPr>
          <w:p w14:paraId="0393452B" w14:textId="77777777" w:rsidR="00C22911" w:rsidRPr="00C33834" w:rsidRDefault="00C22911" w:rsidP="00C33834">
            <w:pPr>
              <w:spacing w:after="0" w:line="240" w:lineRule="auto"/>
              <w:jc w:val="both"/>
              <w:rPr>
                <w:rFonts w:ascii="Times New Roman" w:hAnsi="Times New Roman"/>
                <w:color w:val="000000" w:themeColor="text1"/>
                <w:sz w:val="16"/>
                <w:szCs w:val="16"/>
              </w:rPr>
            </w:pPr>
          </w:p>
        </w:tc>
        <w:tc>
          <w:tcPr>
            <w:tcW w:w="2952" w:type="dxa"/>
          </w:tcPr>
          <w:p w14:paraId="43D130DA"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советское оборудование и монтаж</w:t>
            </w:r>
          </w:p>
        </w:tc>
        <w:tc>
          <w:tcPr>
            <w:tcW w:w="2952" w:type="dxa"/>
          </w:tcPr>
          <w:p w14:paraId="4B4BF7CE"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200.000</w:t>
            </w:r>
          </w:p>
        </w:tc>
      </w:tr>
      <w:tr w:rsidR="00F26F01" w:rsidRPr="00C33834" w14:paraId="2688F5C0" w14:textId="77777777">
        <w:tc>
          <w:tcPr>
            <w:tcW w:w="2952" w:type="dxa"/>
          </w:tcPr>
          <w:p w14:paraId="7743E3E4" w14:textId="77777777" w:rsidR="00C22911" w:rsidRPr="00C33834" w:rsidRDefault="00C22911" w:rsidP="00C33834">
            <w:pPr>
              <w:spacing w:after="0" w:line="240" w:lineRule="auto"/>
              <w:jc w:val="both"/>
              <w:rPr>
                <w:rFonts w:ascii="Times New Roman" w:hAnsi="Times New Roman"/>
                <w:color w:val="000000" w:themeColor="text1"/>
                <w:sz w:val="16"/>
                <w:szCs w:val="16"/>
              </w:rPr>
            </w:pPr>
          </w:p>
        </w:tc>
        <w:tc>
          <w:tcPr>
            <w:tcW w:w="2952" w:type="dxa"/>
          </w:tcPr>
          <w:p w14:paraId="028AA448"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промышленное строительство</w:t>
            </w:r>
          </w:p>
        </w:tc>
        <w:tc>
          <w:tcPr>
            <w:tcW w:w="2952" w:type="dxa"/>
          </w:tcPr>
          <w:p w14:paraId="1BCD1AC7"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1.000.000</w:t>
            </w:r>
          </w:p>
        </w:tc>
      </w:tr>
      <w:tr w:rsidR="00F26F01" w:rsidRPr="00C33834" w14:paraId="468730B0" w14:textId="77777777">
        <w:tc>
          <w:tcPr>
            <w:tcW w:w="2952" w:type="dxa"/>
            <w:tcBorders>
              <w:bottom w:val="single" w:sz="12" w:space="0" w:color="auto"/>
            </w:tcBorders>
          </w:tcPr>
          <w:p w14:paraId="6F488CBB" w14:textId="77777777" w:rsidR="00C22911" w:rsidRPr="00C33834" w:rsidRDefault="00C22911" w:rsidP="00C33834">
            <w:pPr>
              <w:spacing w:after="0" w:line="240" w:lineRule="auto"/>
              <w:jc w:val="both"/>
              <w:rPr>
                <w:rFonts w:ascii="Times New Roman" w:hAnsi="Times New Roman"/>
                <w:color w:val="000000" w:themeColor="text1"/>
                <w:sz w:val="16"/>
                <w:szCs w:val="16"/>
              </w:rPr>
            </w:pPr>
          </w:p>
        </w:tc>
        <w:tc>
          <w:tcPr>
            <w:tcW w:w="2952" w:type="dxa"/>
            <w:tcBorders>
              <w:bottom w:val="single" w:sz="12" w:space="0" w:color="auto"/>
            </w:tcBorders>
          </w:tcPr>
          <w:p w14:paraId="4D4BD4CC"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2952" w:type="dxa"/>
            <w:tcBorders>
              <w:bottom w:val="single" w:sz="12" w:space="0" w:color="auto"/>
            </w:tcBorders>
          </w:tcPr>
          <w:p w14:paraId="712F817B"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2.945.000</w:t>
            </w:r>
          </w:p>
        </w:tc>
      </w:tr>
    </w:tbl>
    <w:p w14:paraId="4B63A415" w14:textId="77777777" w:rsidR="00C22911" w:rsidRPr="00C33834" w:rsidRDefault="00C22911" w:rsidP="00C33834">
      <w:pPr>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F26F01" w:rsidRPr="00C33834" w14:paraId="12A10B1F" w14:textId="77777777">
        <w:tc>
          <w:tcPr>
            <w:tcW w:w="2952" w:type="dxa"/>
            <w:tcBorders>
              <w:top w:val="single" w:sz="12" w:space="0" w:color="auto"/>
              <w:bottom w:val="single" w:sz="12" w:space="0" w:color="auto"/>
            </w:tcBorders>
          </w:tcPr>
          <w:p w14:paraId="489A92CB"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 заводу</w:t>
            </w:r>
          </w:p>
        </w:tc>
        <w:tc>
          <w:tcPr>
            <w:tcW w:w="2952" w:type="dxa"/>
            <w:tcBorders>
              <w:top w:val="single" w:sz="12" w:space="0" w:color="auto"/>
              <w:bottom w:val="single" w:sz="12" w:space="0" w:color="auto"/>
            </w:tcBorders>
          </w:tcPr>
          <w:p w14:paraId="6CFE556D"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импортное оборудование</w:t>
            </w:r>
          </w:p>
        </w:tc>
        <w:tc>
          <w:tcPr>
            <w:tcW w:w="2952" w:type="dxa"/>
            <w:tcBorders>
              <w:top w:val="single" w:sz="12" w:space="0" w:color="auto"/>
              <w:bottom w:val="single" w:sz="12" w:space="0" w:color="auto"/>
            </w:tcBorders>
          </w:tcPr>
          <w:p w14:paraId="74203513"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1.330.000</w:t>
            </w:r>
          </w:p>
        </w:tc>
      </w:tr>
    </w:tbl>
    <w:p w14:paraId="4734696C" w14:textId="77777777" w:rsidR="00C22911" w:rsidRPr="00C33834" w:rsidRDefault="00C22911" w:rsidP="00C33834">
      <w:pPr>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F26F01" w:rsidRPr="00C33834" w14:paraId="7BC38614" w14:textId="77777777">
        <w:tc>
          <w:tcPr>
            <w:tcW w:w="2952" w:type="dxa"/>
            <w:tcBorders>
              <w:top w:val="single" w:sz="12" w:space="0" w:color="auto"/>
            </w:tcBorders>
          </w:tcPr>
          <w:p w14:paraId="40BD20D0"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заводу</w:t>
            </w:r>
          </w:p>
        </w:tc>
        <w:tc>
          <w:tcPr>
            <w:tcW w:w="2952" w:type="dxa"/>
            <w:tcBorders>
              <w:top w:val="single" w:sz="12" w:space="0" w:color="auto"/>
            </w:tcBorders>
          </w:tcPr>
          <w:p w14:paraId="32A09777"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импортное оборудование</w:t>
            </w:r>
          </w:p>
        </w:tc>
        <w:tc>
          <w:tcPr>
            <w:tcW w:w="2952" w:type="dxa"/>
            <w:tcBorders>
              <w:top w:val="single" w:sz="12" w:space="0" w:color="auto"/>
            </w:tcBorders>
          </w:tcPr>
          <w:p w14:paraId="55DF8A25"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735.000</w:t>
            </w:r>
          </w:p>
        </w:tc>
      </w:tr>
      <w:tr w:rsidR="00F26F01" w:rsidRPr="00C33834" w14:paraId="15E3165C" w14:textId="77777777">
        <w:tc>
          <w:tcPr>
            <w:tcW w:w="2952" w:type="dxa"/>
            <w:tcBorders>
              <w:bottom w:val="single" w:sz="12" w:space="0" w:color="auto"/>
            </w:tcBorders>
          </w:tcPr>
          <w:p w14:paraId="16FBA8E6" w14:textId="77777777" w:rsidR="00C22911" w:rsidRPr="00C33834" w:rsidRDefault="00C22911" w:rsidP="00C33834">
            <w:pPr>
              <w:spacing w:after="0" w:line="240" w:lineRule="auto"/>
              <w:jc w:val="both"/>
              <w:rPr>
                <w:rFonts w:ascii="Times New Roman" w:hAnsi="Times New Roman"/>
                <w:color w:val="000000" w:themeColor="text1"/>
                <w:sz w:val="16"/>
                <w:szCs w:val="16"/>
              </w:rPr>
            </w:pPr>
          </w:p>
        </w:tc>
        <w:tc>
          <w:tcPr>
            <w:tcW w:w="2952" w:type="dxa"/>
            <w:tcBorders>
              <w:bottom w:val="single" w:sz="12" w:space="0" w:color="auto"/>
            </w:tcBorders>
          </w:tcPr>
          <w:p w14:paraId="4F8B4E4E"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советское оборудование и монтаж</w:t>
            </w:r>
          </w:p>
        </w:tc>
        <w:tc>
          <w:tcPr>
            <w:tcW w:w="2952" w:type="dxa"/>
            <w:tcBorders>
              <w:bottom w:val="single" w:sz="12" w:space="0" w:color="auto"/>
            </w:tcBorders>
          </w:tcPr>
          <w:p w14:paraId="2E47DC81"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1.000.000</w:t>
            </w:r>
          </w:p>
        </w:tc>
      </w:tr>
    </w:tbl>
    <w:p w14:paraId="43DD8490" w14:textId="77777777" w:rsidR="00C22911" w:rsidRPr="00C33834" w:rsidRDefault="00C22911" w:rsidP="00C33834">
      <w:pPr>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F26F01" w:rsidRPr="00C33834" w14:paraId="5B64B512" w14:textId="77777777">
        <w:tc>
          <w:tcPr>
            <w:tcW w:w="2952" w:type="dxa"/>
            <w:tcBorders>
              <w:top w:val="single" w:sz="12" w:space="0" w:color="auto"/>
              <w:bottom w:val="single" w:sz="12" w:space="0" w:color="auto"/>
            </w:tcBorders>
          </w:tcPr>
          <w:p w14:paraId="24336A8C"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 заводу</w:t>
            </w:r>
          </w:p>
        </w:tc>
        <w:tc>
          <w:tcPr>
            <w:tcW w:w="2952" w:type="dxa"/>
            <w:tcBorders>
              <w:top w:val="single" w:sz="12" w:space="0" w:color="auto"/>
              <w:bottom w:val="single" w:sz="12" w:space="0" w:color="auto"/>
            </w:tcBorders>
          </w:tcPr>
          <w:p w14:paraId="638B355A"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импортное оборудование</w:t>
            </w:r>
          </w:p>
        </w:tc>
        <w:tc>
          <w:tcPr>
            <w:tcW w:w="2952" w:type="dxa"/>
            <w:tcBorders>
              <w:top w:val="single" w:sz="12" w:space="0" w:color="auto"/>
              <w:bottom w:val="single" w:sz="12" w:space="0" w:color="auto"/>
            </w:tcBorders>
          </w:tcPr>
          <w:p w14:paraId="6E8ABC3F"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150.000</w:t>
            </w:r>
          </w:p>
        </w:tc>
      </w:tr>
    </w:tbl>
    <w:p w14:paraId="41835ADE" w14:textId="77777777" w:rsidR="00C22911" w:rsidRPr="00C33834" w:rsidRDefault="00C22911" w:rsidP="00C33834">
      <w:pPr>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F26F01" w:rsidRPr="00C33834" w14:paraId="0E5FF050" w14:textId="77777777">
        <w:tc>
          <w:tcPr>
            <w:tcW w:w="2952" w:type="dxa"/>
            <w:tcBorders>
              <w:top w:val="single" w:sz="12" w:space="0" w:color="auto"/>
            </w:tcBorders>
          </w:tcPr>
          <w:p w14:paraId="6741BCA1"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2952" w:type="dxa"/>
            <w:tcBorders>
              <w:top w:val="single" w:sz="12" w:space="0" w:color="auto"/>
            </w:tcBorders>
          </w:tcPr>
          <w:p w14:paraId="5FEE5F5A"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импортное оборудование</w:t>
            </w:r>
          </w:p>
        </w:tc>
        <w:tc>
          <w:tcPr>
            <w:tcW w:w="2952" w:type="dxa"/>
            <w:tcBorders>
              <w:top w:val="single" w:sz="12" w:space="0" w:color="auto"/>
            </w:tcBorders>
          </w:tcPr>
          <w:p w14:paraId="56CCEAFE"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3.960.000</w:t>
            </w:r>
          </w:p>
        </w:tc>
      </w:tr>
      <w:tr w:rsidR="00F26F01" w:rsidRPr="00C33834" w14:paraId="31F2DA0A" w14:textId="77777777">
        <w:tc>
          <w:tcPr>
            <w:tcW w:w="2952" w:type="dxa"/>
          </w:tcPr>
          <w:p w14:paraId="1192DEF8" w14:textId="77777777" w:rsidR="00C22911" w:rsidRPr="00C33834" w:rsidRDefault="00C22911" w:rsidP="00C33834">
            <w:pPr>
              <w:spacing w:after="0" w:line="240" w:lineRule="auto"/>
              <w:jc w:val="both"/>
              <w:rPr>
                <w:rFonts w:ascii="Times New Roman" w:hAnsi="Times New Roman"/>
                <w:color w:val="000000" w:themeColor="text1"/>
                <w:sz w:val="16"/>
                <w:szCs w:val="16"/>
              </w:rPr>
            </w:pPr>
          </w:p>
        </w:tc>
        <w:tc>
          <w:tcPr>
            <w:tcW w:w="2952" w:type="dxa"/>
          </w:tcPr>
          <w:p w14:paraId="4A808285"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советское оборудование и монтаж</w:t>
            </w:r>
          </w:p>
        </w:tc>
        <w:tc>
          <w:tcPr>
            <w:tcW w:w="2952" w:type="dxa"/>
          </w:tcPr>
          <w:p w14:paraId="3F1C0B86"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1.200.000</w:t>
            </w:r>
          </w:p>
        </w:tc>
      </w:tr>
      <w:tr w:rsidR="00F26F01" w:rsidRPr="00C33834" w14:paraId="54FDFF57" w14:textId="77777777">
        <w:tc>
          <w:tcPr>
            <w:tcW w:w="2952" w:type="dxa"/>
            <w:tcBorders>
              <w:bottom w:val="single" w:sz="12" w:space="0" w:color="auto"/>
            </w:tcBorders>
          </w:tcPr>
          <w:p w14:paraId="4CA37A9D" w14:textId="77777777" w:rsidR="00C22911" w:rsidRPr="00C33834" w:rsidRDefault="00C22911" w:rsidP="00C33834">
            <w:pPr>
              <w:spacing w:after="0" w:line="240" w:lineRule="auto"/>
              <w:jc w:val="both"/>
              <w:rPr>
                <w:rFonts w:ascii="Times New Roman" w:hAnsi="Times New Roman"/>
                <w:color w:val="000000" w:themeColor="text1"/>
                <w:sz w:val="16"/>
                <w:szCs w:val="16"/>
              </w:rPr>
            </w:pPr>
          </w:p>
        </w:tc>
        <w:tc>
          <w:tcPr>
            <w:tcW w:w="2952" w:type="dxa"/>
            <w:tcBorders>
              <w:bottom w:val="single" w:sz="12" w:space="0" w:color="auto"/>
            </w:tcBorders>
          </w:tcPr>
          <w:p w14:paraId="36A3AFBA"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промышленное строительство</w:t>
            </w:r>
          </w:p>
        </w:tc>
        <w:tc>
          <w:tcPr>
            <w:tcW w:w="2952" w:type="dxa"/>
            <w:tcBorders>
              <w:bottom w:val="single" w:sz="12" w:space="0" w:color="auto"/>
            </w:tcBorders>
          </w:tcPr>
          <w:p w14:paraId="4099527B"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1.000.000</w:t>
            </w:r>
          </w:p>
        </w:tc>
      </w:tr>
    </w:tbl>
    <w:p w14:paraId="2F399176"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(2228, 31; 7503, 53-54).</w:t>
      </w:r>
    </w:p>
    <w:p w14:paraId="4E8E2213"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3DBE144F"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июля 1933 вышло постановление СТО N 57сс/о "О строительстве и оборудовании заводов N 19, 120, 20 и 33 ГУАП" (2282,31).</w:t>
      </w:r>
    </w:p>
    <w:p w14:paraId="401DF9A2"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58FE9B02"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июля 1933 года вышло постановление № 57сс/о СТО</w:t>
      </w:r>
    </w:p>
    <w:p w14:paraId="3A8D8FCB"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строительстве и оборудовании заводов №№ 19, 120, 20 и 33 ГУАПа</w:t>
      </w:r>
    </w:p>
    <w:p w14:paraId="63D22015"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 постановляет:</w:t>
      </w:r>
    </w:p>
    <w:p w14:paraId="0F25AE75" w14:textId="77777777" w:rsidR="00C22911" w:rsidRPr="00C33834" w:rsidRDefault="00C22911" w:rsidP="00C33834">
      <w:pPr>
        <w:numPr>
          <w:ilvl w:val="0"/>
          <w:numId w:val="23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строительство и оборудование заводов №№ 19, 120, 20 и 33 форсировать, в связи с чем закончить строительство и оборудование:</w:t>
      </w:r>
    </w:p>
    <w:p w14:paraId="33A27667" w14:textId="77777777" w:rsidR="00C22911" w:rsidRPr="00C33834" w:rsidRDefault="00C22911" w:rsidP="00C33834">
      <w:pPr>
        <w:pStyle w:val="24"/>
        <w:widowControl/>
        <w:rPr>
          <w:color w:val="000000" w:themeColor="text1"/>
        </w:rPr>
      </w:pPr>
      <w:r w:rsidRPr="00C33834">
        <w:rPr>
          <w:color w:val="000000" w:themeColor="text1"/>
        </w:rPr>
        <w:t>а) по 19 заводу к 1 июля 1934 года на мощность 3000 моторов и к 1 июля 1935 года на полную мощность, т.е. на 6000 моторов;</w:t>
      </w:r>
    </w:p>
    <w:p w14:paraId="7AA51439"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 120 заводу к 1 июля 1934 года на мощность 15000 моторов и к 1 июля 1935 года на полную мощность, т.е. на 30000 моторов;</w:t>
      </w:r>
    </w:p>
    <w:p w14:paraId="2A05C180"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 20 заводу к 1 июля 1934 года на мощность, обеспечивающую нормалями и помпами 27000 моторов и к 1 июля 1935 года на мощность, обеспечивающую нормалями и помпами 37000 моторов и</w:t>
      </w:r>
    </w:p>
    <w:p w14:paraId="39DD0977"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по 33 заводу к 1 июля 1934 года на мощность, обеспечивающую карбюраторами 27000 моторов и к 1 июля 1935 года на мощность, обеспечивающую карбюраторами 37000 моторов …………………………….(7415, 74).</w:t>
      </w:r>
    </w:p>
    <w:p w14:paraId="6FC0FC62"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599F39DB"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июля 1933 го</w:t>
      </w:r>
      <w:r w:rsidRPr="00C33834">
        <w:rPr>
          <w:rFonts w:ascii="Times New Roman" w:hAnsi="Times New Roman"/>
          <w:color w:val="000000" w:themeColor="text1"/>
          <w:sz w:val="16"/>
          <w:szCs w:val="16"/>
        </w:rPr>
        <w:softHyphen/>
        <w:t xml:space="preserve">да в 15 часов Савойя </w:t>
      </w:r>
      <w:r w:rsidRPr="00C33834">
        <w:rPr>
          <w:rFonts w:ascii="Times New Roman" w:hAnsi="Times New Roman"/>
          <w:color w:val="000000" w:themeColor="text1"/>
          <w:sz w:val="16"/>
          <w:szCs w:val="16"/>
          <w:lang w:val="en-US"/>
        </w:rPr>
        <w:t>S</w:t>
      </w:r>
      <w:r w:rsidRPr="00C33834">
        <w:rPr>
          <w:rFonts w:ascii="Times New Roman" w:hAnsi="Times New Roman"/>
          <w:color w:val="000000" w:themeColor="text1"/>
          <w:sz w:val="16"/>
          <w:szCs w:val="16"/>
        </w:rPr>
        <w:t>.55 зав. № 10526 под управлением л Бухгольца вылетела из Севастополя. На борту находились: командир корабля Бенедикт Леонович Бухгольц, второй пилот Виталий Косухин, летчик-наблюдатель Владимир Петрович Падалко, бортмеханик Олег Ростиславович Карбановский и коррес</w:t>
      </w:r>
      <w:r w:rsidRPr="00C33834">
        <w:rPr>
          <w:rFonts w:ascii="Times New Roman" w:hAnsi="Times New Roman"/>
          <w:color w:val="000000" w:themeColor="text1"/>
          <w:sz w:val="16"/>
          <w:szCs w:val="16"/>
        </w:rPr>
        <w:softHyphen/>
        <w:t>пондент «Комсомольской правды» Николай Кабанов, фамилию которого, впрочем, никто из экипажа не знал, и звали только по псевдо</w:t>
      </w:r>
      <w:r w:rsidRPr="00C33834">
        <w:rPr>
          <w:rFonts w:ascii="Times New Roman" w:hAnsi="Times New Roman"/>
          <w:color w:val="000000" w:themeColor="text1"/>
          <w:sz w:val="16"/>
          <w:szCs w:val="16"/>
        </w:rPr>
        <w:softHyphen/>
        <w:t>ниму «Том».</w:t>
      </w:r>
    </w:p>
    <w:p w14:paraId="4C7B62F2"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Через два часа полета, из-за сильного вет</w:t>
      </w:r>
      <w:r w:rsidRPr="00C33834">
        <w:rPr>
          <w:rFonts w:ascii="Times New Roman" w:hAnsi="Times New Roman"/>
          <w:color w:val="000000" w:themeColor="text1"/>
          <w:sz w:val="16"/>
          <w:szCs w:val="16"/>
        </w:rPr>
        <w:softHyphen/>
        <w:t>ра, произвели посадку в Ейске. Пилот на само</w:t>
      </w:r>
      <w:r w:rsidRPr="00C33834">
        <w:rPr>
          <w:rFonts w:ascii="Times New Roman" w:hAnsi="Times New Roman"/>
          <w:color w:val="000000" w:themeColor="text1"/>
          <w:sz w:val="16"/>
          <w:szCs w:val="16"/>
        </w:rPr>
        <w:softHyphen/>
        <w:t>лет не жаловался, но обнаружилось, что внут</w:t>
      </w:r>
      <w:r w:rsidRPr="00C33834">
        <w:rPr>
          <w:rFonts w:ascii="Times New Roman" w:hAnsi="Times New Roman"/>
          <w:color w:val="000000" w:themeColor="text1"/>
          <w:sz w:val="16"/>
          <w:szCs w:val="16"/>
        </w:rPr>
        <w:softHyphen/>
        <w:t>ри лодки разбрызгано масло, подтекающее из трубопроводов, идущих к головкам цилинд</w:t>
      </w:r>
      <w:r w:rsidRPr="00C33834">
        <w:rPr>
          <w:rFonts w:ascii="Times New Roman" w:hAnsi="Times New Roman"/>
          <w:color w:val="000000" w:themeColor="text1"/>
          <w:sz w:val="16"/>
          <w:szCs w:val="16"/>
        </w:rPr>
        <w:softHyphen/>
        <w:t>ров. Дефект устранили, после чего дозаправи</w:t>
      </w:r>
      <w:r w:rsidRPr="00C33834">
        <w:rPr>
          <w:rFonts w:ascii="Times New Roman" w:hAnsi="Times New Roman"/>
          <w:color w:val="000000" w:themeColor="text1"/>
          <w:sz w:val="16"/>
          <w:szCs w:val="16"/>
        </w:rPr>
        <w:softHyphen/>
        <w:t>ли бензобаки 5-ю бочками бензина. На рас</w:t>
      </w:r>
      <w:r w:rsidRPr="00C33834">
        <w:rPr>
          <w:rFonts w:ascii="Times New Roman" w:hAnsi="Times New Roman"/>
          <w:color w:val="000000" w:themeColor="text1"/>
          <w:sz w:val="16"/>
          <w:szCs w:val="16"/>
        </w:rPr>
        <w:softHyphen/>
        <w:t>свете решили вылететь в Вольск.</w:t>
      </w:r>
    </w:p>
    <w:p w14:paraId="348FB655"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Ейска вылетели 12-го июля в 5:40 по мо</w:t>
      </w:r>
      <w:r w:rsidRPr="00C33834">
        <w:rPr>
          <w:rFonts w:ascii="Times New Roman" w:hAnsi="Times New Roman"/>
          <w:color w:val="000000" w:themeColor="text1"/>
          <w:sz w:val="16"/>
          <w:szCs w:val="16"/>
        </w:rPr>
        <w:softHyphen/>
        <w:t>сковскому времени. Посадка и взлет в Ейске прошли хорошо. Моторы работали безукоризненно. Самолет шел плавно, не раз Бухгольц бросал управление, но самолет продолжал ле</w:t>
      </w:r>
      <w:r w:rsidRPr="00C33834">
        <w:rPr>
          <w:rFonts w:ascii="Times New Roman" w:hAnsi="Times New Roman"/>
          <w:color w:val="000000" w:themeColor="text1"/>
          <w:sz w:val="16"/>
          <w:szCs w:val="16"/>
        </w:rPr>
        <w:softHyphen/>
        <w:t>теть горизонтально. До Сталинграда шли на высоте 600 м. На Волгу вышли в районе горо</w:t>
      </w:r>
      <w:r w:rsidRPr="00C33834">
        <w:rPr>
          <w:rFonts w:ascii="Times New Roman" w:hAnsi="Times New Roman"/>
          <w:color w:val="000000" w:themeColor="text1"/>
          <w:sz w:val="16"/>
          <w:szCs w:val="16"/>
        </w:rPr>
        <w:softHyphen/>
        <w:t>да. От Сталинграда снизились и шли бреющим на высоте 10 м. После Камышина поднялись на 350 м и на этой высоте пошли дальше. Срезав большой сухопутный участок и удаляясь от бе</w:t>
      </w:r>
      <w:r w:rsidRPr="00C33834">
        <w:rPr>
          <w:rFonts w:ascii="Times New Roman" w:hAnsi="Times New Roman"/>
          <w:color w:val="000000" w:themeColor="text1"/>
          <w:sz w:val="16"/>
          <w:szCs w:val="16"/>
        </w:rPr>
        <w:softHyphen/>
        <w:t>рега на 15-20 км, вышли на Марксштадт. Здесь Падалко подсчитал крейсерскую скорость, по</w:t>
      </w:r>
      <w:r w:rsidRPr="00C33834">
        <w:rPr>
          <w:rFonts w:ascii="Times New Roman" w:hAnsi="Times New Roman"/>
          <w:color w:val="000000" w:themeColor="text1"/>
          <w:sz w:val="16"/>
          <w:szCs w:val="16"/>
        </w:rPr>
        <w:softHyphen/>
        <w:t>лучилось 179 км/ч, и определил время полета до Вольска - оставалось минут 20. Штурман сообщил об этом запиской Бухгольцу и начал собирать карты и вещи.</w:t>
      </w:r>
    </w:p>
    <w:p w14:paraId="08529B3F"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Примерно через 7 минут (в 11:30 московско</w:t>
      </w:r>
      <w:r w:rsidRPr="00C33834">
        <w:rPr>
          <w:rFonts w:ascii="Times New Roman" w:hAnsi="Times New Roman"/>
          <w:color w:val="000000" w:themeColor="text1"/>
          <w:sz w:val="16"/>
          <w:szCs w:val="16"/>
        </w:rPr>
        <w:softHyphen/>
        <w:t>го времени) произошла катастрофа - у села Воскресенск самолет опять снизился и шел брею</w:t>
      </w:r>
      <w:r w:rsidRPr="00C33834">
        <w:rPr>
          <w:rFonts w:ascii="Times New Roman" w:hAnsi="Times New Roman"/>
          <w:color w:val="000000" w:themeColor="text1"/>
          <w:sz w:val="16"/>
          <w:szCs w:val="16"/>
        </w:rPr>
        <w:softHyphen/>
        <w:t>щим над серединой фарватера Волги на высоте не более 10-15 м со скоростью 170-200 км/ч. Не доходя до Вольска 20 км, самолет провалился с работающими на тех же оборотах моторами и на большой скорости (200 км/ч) с правым креном врезался в воду. Состояние погоды в момент ка</w:t>
      </w:r>
      <w:r w:rsidRPr="00C33834">
        <w:rPr>
          <w:rFonts w:ascii="Times New Roman" w:hAnsi="Times New Roman"/>
          <w:color w:val="000000" w:themeColor="text1"/>
          <w:sz w:val="16"/>
          <w:szCs w:val="16"/>
        </w:rPr>
        <w:softHyphen/>
        <w:t>тастрофы - полный штиль с ясной видимостью и с зеркальной поверхностью воды.</w:t>
      </w:r>
    </w:p>
    <w:p w14:paraId="641A747C"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был разбит вдребезги. Бухгольц, Падалко и Карбановский оказались плаваю</w:t>
      </w:r>
      <w:r w:rsidRPr="00C33834">
        <w:rPr>
          <w:rFonts w:ascii="Times New Roman" w:hAnsi="Times New Roman"/>
          <w:color w:val="000000" w:themeColor="text1"/>
          <w:sz w:val="16"/>
          <w:szCs w:val="16"/>
        </w:rPr>
        <w:softHyphen/>
        <w:t>щими в воде. Косухин и Том утонули сразу. Бухгольц находился в бессознательном состо</w:t>
      </w:r>
      <w:r w:rsidRPr="00C33834">
        <w:rPr>
          <w:rFonts w:ascii="Times New Roman" w:hAnsi="Times New Roman"/>
          <w:color w:val="000000" w:themeColor="text1"/>
          <w:sz w:val="16"/>
          <w:szCs w:val="16"/>
        </w:rPr>
        <w:softHyphen/>
        <w:t>янии.</w:t>
      </w:r>
    </w:p>
    <w:p w14:paraId="65F3A684"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Первыми к месту катастрофы прибыли ры</w:t>
      </w:r>
      <w:r w:rsidRPr="00C33834">
        <w:rPr>
          <w:rFonts w:ascii="Times New Roman" w:hAnsi="Times New Roman"/>
          <w:color w:val="000000" w:themeColor="text1"/>
          <w:sz w:val="16"/>
          <w:szCs w:val="16"/>
        </w:rPr>
        <w:softHyphen/>
        <w:t>баки, которые вытащили из воды трех авиато</w:t>
      </w:r>
      <w:r w:rsidRPr="00C33834">
        <w:rPr>
          <w:rFonts w:ascii="Times New Roman" w:hAnsi="Times New Roman"/>
          <w:color w:val="000000" w:themeColor="text1"/>
          <w:sz w:val="16"/>
          <w:szCs w:val="16"/>
        </w:rPr>
        <w:softHyphen/>
        <w:t>ров. Однако, Бухгольц через три минуты после подъема на борт проходящего поблизости те</w:t>
      </w:r>
      <w:r w:rsidRPr="00C33834">
        <w:rPr>
          <w:rFonts w:ascii="Times New Roman" w:hAnsi="Times New Roman"/>
          <w:color w:val="000000" w:themeColor="text1"/>
          <w:sz w:val="16"/>
          <w:szCs w:val="16"/>
        </w:rPr>
        <w:softHyphen/>
        <w:t>плохода «Наманган» скончался.</w:t>
      </w:r>
    </w:p>
    <w:p w14:paraId="4F47FE41"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13-го июля была назначена аварийная ко</w:t>
      </w:r>
      <w:r w:rsidRPr="00C33834">
        <w:rPr>
          <w:rFonts w:ascii="Times New Roman" w:hAnsi="Times New Roman"/>
          <w:color w:val="000000" w:themeColor="text1"/>
          <w:sz w:val="16"/>
          <w:szCs w:val="16"/>
        </w:rPr>
        <w:softHyphen/>
        <w:t>миссия. Вскоре комиссия прибыла на место и начала работу (11975).</w:t>
      </w:r>
    </w:p>
    <w:p w14:paraId="17F1D776"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53CC44F0" w14:textId="77777777" w:rsidR="00C361D7" w:rsidRPr="00C33834" w:rsidRDefault="00C361D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11 июля 1933 г. Б.Л. Бухгольц вместе с экипажем из пяти человек вылетел на пятом С55, переданном Управлению Воздушной службы ГУСМП, из Севастополя. Однако в полете над Волгой произошла катастрофа: самолет внезапно потерял высоту и врезался в воду, из-за чего разрушился. Б.Л. Бухгольца, летнаба В.П. Падалко и механика О.Р. Карбановского спасли рыбаки и передали на пароход «Наманган», остальные члены экипажа погибли (21410).</w:t>
      </w:r>
    </w:p>
    <w:p w14:paraId="5E7D7DE8" w14:textId="77777777" w:rsidR="00C361D7" w:rsidRPr="00C33834" w:rsidRDefault="00C361D7" w:rsidP="00C33834">
      <w:pPr>
        <w:spacing w:after="0" w:line="240" w:lineRule="auto"/>
        <w:jc w:val="both"/>
        <w:rPr>
          <w:rFonts w:ascii="Times New Roman" w:hAnsi="Times New Roman"/>
          <w:color w:val="0070C0"/>
          <w:sz w:val="16"/>
          <w:szCs w:val="16"/>
        </w:rPr>
      </w:pPr>
    </w:p>
    <w:p w14:paraId="33E38729" w14:textId="77777777" w:rsidR="00C2291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AC4F9B3"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31AC1EA5"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июля 1933 г. в соответствии с пост. СТО Харьковский турбинный, турбогенераторный завод им. Кирова НКТМ /г. Харьков/ переориентирован на выпуск судовых энергетических установок.</w:t>
      </w:r>
      <w:r w:rsidRPr="00C33834">
        <w:rPr>
          <w:rFonts w:ascii="Times New Roman" w:hAnsi="Times New Roman"/>
          <w:color w:val="000000" w:themeColor="text1"/>
          <w:sz w:val="16"/>
          <w:szCs w:val="16"/>
          <w:vertAlign w:val="superscript"/>
        </w:rPr>
        <w:t>92</w:t>
      </w:r>
      <w:r w:rsidRPr="00C33834">
        <w:rPr>
          <w:rFonts w:ascii="Times New Roman" w:hAnsi="Times New Roman"/>
          <w:color w:val="000000" w:themeColor="text1"/>
          <w:sz w:val="16"/>
          <w:szCs w:val="16"/>
        </w:rPr>
        <w:t xml:space="preserve"> В конце 1930-х  г. строились самые мощные в мире главные механизмы для линкоров пр. 23.</w:t>
      </w:r>
    </w:p>
    <w:p w14:paraId="332078E2"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01.1936 г. директор завода снят за невыполнение плана по сдаче турбин для кораблей ВМФ.</w:t>
      </w:r>
    </w:p>
    <w:p w14:paraId="7FCA40E0"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01.1937 г. завод влит в состав ХЭМЗ, объединенный завод получил название ХЭТЗ.</w:t>
      </w:r>
    </w:p>
    <w:p w14:paraId="0D27DC38"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1941 г. после начала войны эвакуирован на площадку Уральского турбинного завода.</w:t>
      </w:r>
    </w:p>
    <w:p w14:paraId="4D381A26"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 ГКО № 4821 от 21.12.1943 г. начато восстановление Харьковского турбогенераторного завода им. Кирова; распоряжением ГКО № 4931 от 11.01.1944 г. на восстановление направлено 1500 военнообязанных, не годных к строевой службе.</w:t>
      </w:r>
    </w:p>
    <w:p w14:paraId="7C4FFA6B"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 ГКО № 5810 от 4.05.1944 г. при заводе организовано КБ по проектированию главных турбозубчатых агрегатов (ГТЗА) для кораблей ВМФ.</w:t>
      </w:r>
    </w:p>
    <w:p w14:paraId="2346DA2D"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(-01.1936 г.)- Шибакин (снят), (01.1936 г.-)- Ицхакин.</w:t>
      </w:r>
    </w:p>
    <w:p w14:paraId="702CBB33"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директора (1936 г.-)- Девьятков (репрессирован), (1936 г.-)- Флаум.</w:t>
      </w:r>
    </w:p>
    <w:p w14:paraId="7F167EF9"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Технический директор (-1937 г.)- Зак.</w:t>
      </w:r>
      <w:r w:rsidRPr="00C33834">
        <w:rPr>
          <w:rFonts w:ascii="Times New Roman" w:hAnsi="Times New Roman"/>
          <w:color w:val="000000" w:themeColor="text1"/>
          <w:sz w:val="16"/>
          <w:szCs w:val="16"/>
          <w:vertAlign w:val="superscript"/>
        </w:rPr>
        <w:t>139</w:t>
      </w:r>
    </w:p>
    <w:p w14:paraId="1D120295"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ГТЗА: для эсминцев пр. 7 (1930-е), для крейсеров пр. 26 «Ворошилов» (1936), пр. 26бис (1937) для линкоров пр. 23 (1938-40-).</w:t>
      </w:r>
    </w:p>
    <w:p w14:paraId="56F9C5CD"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Октябрьский завод низковольтной аппаратуры /Башкирия  г. Октябрьский/</w:t>
      </w:r>
    </w:p>
    <w:p w14:paraId="472621BD"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Был в 1960-е  г., в 1977 г. вошел в состав ПО «Электроаппарат». В 1987 г. завод перешел на выпуск оборонной продукции и вновь стал самостоятельным (11982).</w:t>
      </w:r>
    </w:p>
    <w:p w14:paraId="1CE92874"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37C1A6FC" w14:textId="77777777" w:rsidR="00D067C1" w:rsidRPr="00C33834" w:rsidRDefault="00D067C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11 июля в 1932 году московский инструментальный завод «Калибр» рапортовал стране о пуске первой очереди. В рапорте указывались цеха, готовые к выпуску основной продукции: экспериментальный, универсальный, заготовительный, цеха круглых и плоских калибров. Этот день был праздничным для всей промышленности страны. По количеству видов инструмента программа завода сводилась к 1 миллиону штук гладких калибров, 1 миллиону скоб, 1 миллиону шаблонов, 500 тысяч резьбовых калибров и значительному количеству универсального инструмента: микрометров, штихмассов, штангенциркулей, поверочных плит, контрольно-измерительных приборов. С момента основания специалисты завода столкнулись с трудностями, обусловленными тем, что производство измерительного инструмента в те годы было новой отраслью промышленности страны. И завод выступил пионером в области стандартизации и нормализации измерительного </w:t>
      </w:r>
      <w:r w:rsidRPr="00C33834">
        <w:rPr>
          <w:rFonts w:ascii="Times New Roman" w:hAnsi="Times New Roman"/>
          <w:color w:val="000000" w:themeColor="text1"/>
          <w:sz w:val="16"/>
          <w:szCs w:val="16"/>
        </w:rPr>
        <w:lastRenderedPageBreak/>
        <w:t>инструмента в СССР, - практически все стандарты 32-35 гг. были проработаны и внесены специалистами завода «Калибр». Вместе со страной работники инструментального производства прошли нелегкий путь становления и развития, пережили тяжелейшие военные и послевоенные годы, годы перестройки и перемен. Сегодня «Калибр» - предприятие с высокоразвитыми технологиями, оснащенное уникальным специальным оборудованием, позволяющим выпускать широчайший ассортимент измерительного инструмента. Производственные мощности ОАО «Калибр» занимают территорию приблизительно 15 гектаров, - цеха и служебные помещения расположены в 20 зданиях общей площадью 53687 м2. Завод производит инструмент механического и электронного типа - это штангенциркули, микрометры, уровни, концевые меры длины, а также интерферометры, кругломеры, профилографы-профилометры, профилометры и многое другое. Кроме того, предприятие выпускает специальные автоматические линии и другие средства поверки для автомобильной и сельскохозяйственной отраслей промышленности. Ряд изделий не имеет отечественных аналогов и производится только ОАО «Калибр». Весь инструмент и оборудование обеспечены гарантийным и комплексным обслуживанием. Помимо традиционного ассортимента предприятие выполняет заказы на калибры резьбовые и гладкие, которые вскоре будут пущены в серийное производство. В условиях жесткой конкуренции ОАО «Калибр» найдены собственные новые направления деятельности - по индивидуальным заказам осуществляется литье по выплавляемым моделям, холодная штамповка, термообработка, гальванопокрытие цинком и хромом. Выполняется лазерная маркировка и резка, высокоточная механообработка, сборка узлов и приборов, изготовление штампов и прессформ и многое другое. Продукция завода «Калибр» хорошо известна в странах СНГ и экспортируется в более чем 30 стран ближнего и дальнего зарубежья, включая страны с высоко развитой экономикой и производством. В частности, заключены контракты на поставку инструмента ряду компаний в Италии, Великобритании, Индии и др. Партнерами ОАО «Калибр» являются как крупнейшие российские предприятия и компании, так и небольшие фирмы, нуждающиеся в данном виде инструмента. Ведь точность, зачастую, решает все (14949).</w:t>
      </w:r>
    </w:p>
    <w:p w14:paraId="1B2FD7E8" w14:textId="77777777" w:rsidR="00D067C1" w:rsidRPr="00C33834" w:rsidRDefault="00D067C1" w:rsidP="00C33834">
      <w:pPr>
        <w:spacing w:after="0" w:line="240" w:lineRule="auto"/>
        <w:jc w:val="both"/>
        <w:rPr>
          <w:rFonts w:ascii="Times New Roman" w:hAnsi="Times New Roman"/>
          <w:color w:val="000000" w:themeColor="text1"/>
          <w:sz w:val="16"/>
          <w:szCs w:val="16"/>
        </w:rPr>
      </w:pPr>
    </w:p>
    <w:p w14:paraId="157AA844" w14:textId="77777777" w:rsidR="00D067C1" w:rsidRPr="00C33834" w:rsidRDefault="00D067C1"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bCs/>
          <w:iCs/>
          <w:color w:val="000000" w:themeColor="text1"/>
          <w:sz w:val="16"/>
          <w:szCs w:val="16"/>
        </w:rPr>
        <w:t>11 июля 1933 г.</w:t>
      </w:r>
      <w:r w:rsidRPr="00C33834">
        <w:rPr>
          <w:rFonts w:ascii="Times New Roman" w:hAnsi="Times New Roman"/>
          <w:color w:val="000000" w:themeColor="text1"/>
          <w:sz w:val="16"/>
          <w:szCs w:val="16"/>
        </w:rPr>
        <w:t xml:space="preserve"> Постановление СТО СССР о возложении на НКТП строительства специальных емкостей на 1000 тонн иприта, которые должны были находиться в ОКДВА, но в составе мобилизационного резерва страны по линии Комитета резервов СТО (17133).</w:t>
      </w:r>
    </w:p>
    <w:p w14:paraId="1D95E909" w14:textId="77777777" w:rsidR="00D067C1" w:rsidRPr="00C33834" w:rsidRDefault="00D067C1" w:rsidP="00C33834">
      <w:pPr>
        <w:shd w:val="clear" w:color="auto" w:fill="FFFFFF"/>
        <w:spacing w:after="0" w:line="240" w:lineRule="auto"/>
        <w:jc w:val="both"/>
        <w:rPr>
          <w:rFonts w:ascii="Times New Roman" w:hAnsi="Times New Roman"/>
          <w:color w:val="000000" w:themeColor="text1"/>
          <w:sz w:val="16"/>
          <w:szCs w:val="16"/>
        </w:rPr>
      </w:pPr>
    </w:p>
    <w:p w14:paraId="1B19B7D1" w14:textId="77777777" w:rsidR="00D067C1" w:rsidRPr="00C33834" w:rsidRDefault="00D067C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июля 1933 СТО принял постановление О программе военно-морского строительства на 1933-1938 гг. (3848,107).</w:t>
      </w:r>
    </w:p>
    <w:p w14:paraId="44AD9395" w14:textId="77777777" w:rsidR="00D067C1" w:rsidRPr="00C33834" w:rsidRDefault="00D067C1" w:rsidP="00C33834">
      <w:pPr>
        <w:spacing w:after="0" w:line="240" w:lineRule="auto"/>
        <w:jc w:val="both"/>
        <w:rPr>
          <w:rFonts w:ascii="Times New Roman" w:hAnsi="Times New Roman"/>
          <w:color w:val="000000" w:themeColor="text1"/>
          <w:sz w:val="16"/>
          <w:szCs w:val="16"/>
        </w:rPr>
      </w:pPr>
    </w:p>
    <w:p w14:paraId="52039FFB" w14:textId="77777777" w:rsidR="00D067C1" w:rsidRPr="00C33834" w:rsidRDefault="00D067C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июля 1933 СТО принял постановление "О программе военно-морского судостроения на 1933-1938 гг.". Хотели 8 крейсеров, 50 эсминцев, 327 торпедных катеров, 36 сторожевиков, 76 больших ПЛ, 200 средних ПЛ, 60 охотников, 42 тральщика, 14 речных мониторов и 8 канонерок. Не сделали и к войне (1566,102).</w:t>
      </w:r>
    </w:p>
    <w:p w14:paraId="701D4CC1" w14:textId="77777777" w:rsidR="00D067C1" w:rsidRPr="00C33834" w:rsidRDefault="00D067C1" w:rsidP="00C33834">
      <w:pPr>
        <w:spacing w:after="0" w:line="240" w:lineRule="auto"/>
        <w:jc w:val="both"/>
        <w:rPr>
          <w:rFonts w:ascii="Times New Roman" w:hAnsi="Times New Roman"/>
          <w:color w:val="000000" w:themeColor="text1"/>
          <w:sz w:val="16"/>
          <w:szCs w:val="16"/>
        </w:rPr>
      </w:pPr>
    </w:p>
    <w:p w14:paraId="2F166985" w14:textId="77777777" w:rsidR="00D067C1" w:rsidRPr="00C33834" w:rsidRDefault="00D067C1"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июля 1933 г. Совет Труда и Обороны принял постановле</w:t>
      </w:r>
      <w:r w:rsidRPr="00C33834">
        <w:rPr>
          <w:rFonts w:ascii="Times New Roman" w:hAnsi="Times New Roman"/>
          <w:color w:val="000000" w:themeColor="text1"/>
          <w:sz w:val="16"/>
          <w:szCs w:val="16"/>
        </w:rPr>
        <w:softHyphen/>
        <w:t>ние «О программе военно-морского судостроения на 1933-1938 гг.» За указанный период намечалось заложить и построить 8 крейсеров, 50 эсмийцев, 327 торпедных катеров, 36 стороже</w:t>
      </w:r>
      <w:r w:rsidRPr="00C33834">
        <w:rPr>
          <w:rFonts w:ascii="Times New Roman" w:hAnsi="Times New Roman"/>
          <w:color w:val="000000" w:themeColor="text1"/>
          <w:sz w:val="16"/>
          <w:szCs w:val="16"/>
        </w:rPr>
        <w:softHyphen/>
        <w:t>вых кораблей, 76 болыцих подводных лодок, 200 средних под</w:t>
      </w:r>
      <w:r w:rsidRPr="00C33834">
        <w:rPr>
          <w:rFonts w:ascii="Times New Roman" w:hAnsi="Times New Roman"/>
          <w:color w:val="000000" w:themeColor="text1"/>
          <w:sz w:val="16"/>
          <w:szCs w:val="16"/>
        </w:rPr>
        <w:softHyphen/>
        <w:t>водных лодок, 60 охотников за подводными лодками, 42 траль</w:t>
      </w:r>
      <w:r w:rsidRPr="00C33834">
        <w:rPr>
          <w:rFonts w:ascii="Times New Roman" w:hAnsi="Times New Roman"/>
          <w:color w:val="000000" w:themeColor="text1"/>
          <w:sz w:val="16"/>
          <w:szCs w:val="16"/>
        </w:rPr>
        <w:softHyphen/>
        <w:t>щика, 14 речных мониторов и 8 канонерских лодок. Постановление СТО обязывало Наркомтяжпром использовать все имеющиеся судостроительные заводы, срочно завершить строительство Амурской судоверфи и начать строительство но</w:t>
      </w:r>
      <w:r w:rsidRPr="00C33834">
        <w:rPr>
          <w:rFonts w:ascii="Times New Roman" w:hAnsi="Times New Roman"/>
          <w:color w:val="000000" w:themeColor="text1"/>
          <w:sz w:val="16"/>
          <w:szCs w:val="16"/>
        </w:rPr>
        <w:softHyphen/>
        <w:t>вых судоверфей в Архангельске, Николаеве и Сороке. На выпол</w:t>
      </w:r>
      <w:r w:rsidRPr="00C33834">
        <w:rPr>
          <w:rFonts w:ascii="Times New Roman" w:hAnsi="Times New Roman"/>
          <w:color w:val="000000" w:themeColor="text1"/>
          <w:sz w:val="16"/>
          <w:szCs w:val="16"/>
        </w:rPr>
        <w:softHyphen/>
        <w:t>нение программы судостроения переводились крупные машино</w:t>
      </w:r>
      <w:r w:rsidRPr="00C33834">
        <w:rPr>
          <w:rFonts w:ascii="Times New Roman" w:hAnsi="Times New Roman"/>
          <w:color w:val="000000" w:themeColor="text1"/>
          <w:sz w:val="16"/>
          <w:szCs w:val="16"/>
        </w:rPr>
        <w:softHyphen/>
        <w:t>строительные заводы: Невский им. Ленина, Коломенский, Днеп</w:t>
      </w:r>
      <w:r w:rsidRPr="00C33834">
        <w:rPr>
          <w:rFonts w:ascii="Times New Roman" w:hAnsi="Times New Roman"/>
          <w:color w:val="000000" w:themeColor="text1"/>
          <w:sz w:val="16"/>
          <w:szCs w:val="16"/>
        </w:rPr>
        <w:softHyphen/>
        <w:t>ропетровский и «Красное Сормово». Изготовление паровых энергетических установок (25-50 тыс. л,с.) для боевых кораблей было поручено Харьковскому турбинному заводу; турбинных ме</w:t>
      </w:r>
      <w:r w:rsidRPr="00C33834">
        <w:rPr>
          <w:rFonts w:ascii="Times New Roman" w:hAnsi="Times New Roman"/>
          <w:color w:val="000000" w:themeColor="text1"/>
          <w:sz w:val="16"/>
          <w:szCs w:val="16"/>
        </w:rPr>
        <w:softHyphen/>
        <w:t>ханизмов — Северной Судоверфи и Николаевскому заводу им. Марти. В 1933-1935 гг. на реконструкцию судостроительных за</w:t>
      </w:r>
      <w:r w:rsidRPr="00C33834">
        <w:rPr>
          <w:rFonts w:ascii="Times New Roman" w:hAnsi="Times New Roman"/>
          <w:color w:val="000000" w:themeColor="text1"/>
          <w:sz w:val="16"/>
          <w:szCs w:val="16"/>
        </w:rPr>
        <w:softHyphen/>
        <w:t>водов планировалось ассигновать 200 млн. руб. (РГАЭ 7297, оп. 38, д. 1, л. 42) (1566,102). 5-летнюю программу морского судостроения, принятую в 1933 г., не удалось завершить в полном объеме даже к 1941 го</w:t>
      </w:r>
      <w:r w:rsidRPr="00C33834">
        <w:rPr>
          <w:rFonts w:ascii="Times New Roman" w:hAnsi="Times New Roman"/>
          <w:color w:val="000000" w:themeColor="text1"/>
          <w:sz w:val="16"/>
          <w:szCs w:val="16"/>
        </w:rPr>
        <w:softHyphen/>
        <w:t>ду. По оценке Адмирала флота СССР Н.Г.Кузнецова, «потребо</w:t>
      </w:r>
      <w:r w:rsidRPr="00C33834">
        <w:rPr>
          <w:rFonts w:ascii="Times New Roman" w:hAnsi="Times New Roman"/>
          <w:color w:val="000000" w:themeColor="text1"/>
          <w:sz w:val="16"/>
          <w:szCs w:val="16"/>
        </w:rPr>
        <w:softHyphen/>
        <w:t>вав огромных денежных средств и расхода металла, эта програм</w:t>
      </w:r>
      <w:r w:rsidRPr="00C33834">
        <w:rPr>
          <w:rFonts w:ascii="Times New Roman" w:hAnsi="Times New Roman"/>
          <w:color w:val="000000" w:themeColor="text1"/>
          <w:sz w:val="16"/>
          <w:szCs w:val="16"/>
        </w:rPr>
        <w:softHyphen/>
        <w:t>ма не успела существенно увеличить наши Морские Силы». Всего за 1928-1940 гг. было построено боевых кораблей водо</w:t>
      </w:r>
      <w:r w:rsidRPr="00C33834">
        <w:rPr>
          <w:rFonts w:ascii="Times New Roman" w:hAnsi="Times New Roman"/>
          <w:color w:val="000000" w:themeColor="text1"/>
          <w:sz w:val="16"/>
          <w:szCs w:val="16"/>
        </w:rPr>
        <w:softHyphen/>
        <w:t>измещением 421 тыс. тонн, в том числе: 6 крейсеров, 57 эсмин</w:t>
      </w:r>
      <w:r w:rsidRPr="00C33834">
        <w:rPr>
          <w:rFonts w:ascii="Times New Roman" w:hAnsi="Times New Roman"/>
          <w:color w:val="000000" w:themeColor="text1"/>
          <w:sz w:val="16"/>
          <w:szCs w:val="16"/>
        </w:rPr>
        <w:softHyphen/>
        <w:t>цев, 2 1 сторожевой корабль, 286 подводных лодок, 174 траль</w:t>
      </w:r>
      <w:r w:rsidRPr="00C33834">
        <w:rPr>
          <w:rFonts w:ascii="Times New Roman" w:hAnsi="Times New Roman"/>
          <w:color w:val="000000" w:themeColor="text1"/>
          <w:sz w:val="16"/>
          <w:szCs w:val="16"/>
        </w:rPr>
        <w:softHyphen/>
        <w:t>щика, 1433 торпедных катера. Рекордным для судостроительной промышленности по вводу в строй надводных и подводных ко</w:t>
      </w:r>
      <w:r w:rsidRPr="00C33834">
        <w:rPr>
          <w:rFonts w:ascii="Times New Roman" w:hAnsi="Times New Roman"/>
          <w:color w:val="000000" w:themeColor="text1"/>
          <w:sz w:val="16"/>
          <w:szCs w:val="16"/>
        </w:rPr>
        <w:softHyphen/>
        <w:t>раблей стал 1936-й год. В этом году было спущено на воду 47 подводных лодок, тяжелый крейсер «Киров», лидер эсминцев «Ленинград» (головные корабли соответствующих серий, постро</w:t>
      </w:r>
      <w:r w:rsidRPr="00C33834">
        <w:rPr>
          <w:rFonts w:ascii="Times New Roman" w:hAnsi="Times New Roman"/>
          <w:color w:val="000000" w:themeColor="text1"/>
          <w:sz w:val="16"/>
          <w:szCs w:val="16"/>
        </w:rPr>
        <w:softHyphen/>
        <w:t>енные в исключительно сжатые сроки). 2-му ГУ Наркомата обо</w:t>
      </w:r>
      <w:r w:rsidRPr="00C33834">
        <w:rPr>
          <w:rFonts w:ascii="Times New Roman" w:hAnsi="Times New Roman"/>
          <w:color w:val="000000" w:themeColor="text1"/>
          <w:sz w:val="16"/>
          <w:szCs w:val="16"/>
        </w:rPr>
        <w:softHyphen/>
        <w:t>ронной промышленности, ведавшему морским судостроением, было разрешено без ограничений применять аккордно-премиаль</w:t>
      </w:r>
      <w:r w:rsidRPr="00C33834">
        <w:rPr>
          <w:rFonts w:ascii="Times New Roman" w:hAnsi="Times New Roman"/>
          <w:color w:val="000000" w:themeColor="text1"/>
          <w:sz w:val="16"/>
          <w:szCs w:val="16"/>
        </w:rPr>
        <w:softHyphen/>
        <w:t>ную систему оплаты труда, 10-часовой рабочий день и сверх</w:t>
      </w:r>
      <w:r w:rsidRPr="00C33834">
        <w:rPr>
          <w:rFonts w:ascii="Times New Roman" w:hAnsi="Times New Roman"/>
          <w:color w:val="000000" w:themeColor="text1"/>
          <w:sz w:val="16"/>
          <w:szCs w:val="16"/>
        </w:rPr>
        <w:softHyphen/>
        <w:t>урочные работы (ГАРФ ф. 8418, оп. 12, д. 208, л. 43 (1566,102).</w:t>
      </w:r>
    </w:p>
    <w:p w14:paraId="09DAF241" w14:textId="77777777" w:rsidR="00D067C1" w:rsidRPr="00C33834" w:rsidRDefault="00D067C1" w:rsidP="00C33834">
      <w:pPr>
        <w:shd w:val="clear" w:color="auto" w:fill="FFFFFF"/>
        <w:spacing w:after="0" w:line="240" w:lineRule="auto"/>
        <w:jc w:val="both"/>
        <w:rPr>
          <w:rFonts w:ascii="Times New Roman" w:hAnsi="Times New Roman"/>
          <w:color w:val="000000" w:themeColor="text1"/>
          <w:sz w:val="16"/>
          <w:szCs w:val="16"/>
        </w:rPr>
      </w:pPr>
    </w:p>
    <w:p w14:paraId="2F8C6069" w14:textId="77777777" w:rsidR="00D067C1" w:rsidRPr="00C33834" w:rsidRDefault="00D067C1"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июля 1933 г. Совет Труда и Обороны СССР принял постановление «О программе военно-морского судостро</w:t>
      </w:r>
      <w:r w:rsidRPr="00C33834">
        <w:rPr>
          <w:rFonts w:ascii="Times New Roman" w:hAnsi="Times New Roman"/>
          <w:color w:val="000000" w:themeColor="text1"/>
          <w:sz w:val="16"/>
          <w:szCs w:val="16"/>
        </w:rPr>
        <w:softHyphen/>
        <w:t>ения на 1933-38 гг.» Согласно этой программе намечалось построить боевые и вспомогательные суда общим водоиз</w:t>
      </w:r>
      <w:r w:rsidRPr="00C33834">
        <w:rPr>
          <w:rFonts w:ascii="Times New Roman" w:hAnsi="Times New Roman"/>
          <w:color w:val="000000" w:themeColor="text1"/>
          <w:sz w:val="16"/>
          <w:szCs w:val="16"/>
        </w:rPr>
        <w:softHyphen/>
        <w:t>мещением свыше 500 тыс. т. Особое место уделялось строительству новых легких крейсеров, вооруженных ар</w:t>
      </w:r>
      <w:r w:rsidRPr="00C33834">
        <w:rPr>
          <w:rFonts w:ascii="Times New Roman" w:hAnsi="Times New Roman"/>
          <w:color w:val="000000" w:themeColor="text1"/>
          <w:sz w:val="16"/>
          <w:szCs w:val="16"/>
        </w:rPr>
        <w:softHyphen/>
        <w:t>тиллерийскими системами главного калибра 180-мм. Все</w:t>
      </w:r>
      <w:r w:rsidRPr="00C33834">
        <w:rPr>
          <w:rFonts w:ascii="Times New Roman" w:hAnsi="Times New Roman"/>
          <w:color w:val="000000" w:themeColor="text1"/>
          <w:sz w:val="16"/>
          <w:szCs w:val="16"/>
        </w:rPr>
        <w:softHyphen/>
        <w:t>го их строилось шесть - по два для Черного и Балтийско</w:t>
      </w:r>
      <w:r w:rsidRPr="00C33834">
        <w:rPr>
          <w:rFonts w:ascii="Times New Roman" w:hAnsi="Times New Roman"/>
          <w:color w:val="000000" w:themeColor="text1"/>
          <w:sz w:val="16"/>
          <w:szCs w:val="16"/>
        </w:rPr>
        <w:softHyphen/>
        <w:t>го морей и два для Тихоокеанского флота.</w:t>
      </w:r>
    </w:p>
    <w:p w14:paraId="375B69D9" w14:textId="77777777" w:rsidR="00D067C1" w:rsidRPr="00C33834" w:rsidRDefault="00D067C1"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Закладка первых двух легких крейсеров типа «Киров» состоялась в октябре 1935 г. на верфях Ленинграда и Ни</w:t>
      </w:r>
      <w:r w:rsidRPr="00C33834">
        <w:rPr>
          <w:rFonts w:ascii="Times New Roman" w:hAnsi="Times New Roman"/>
          <w:color w:val="000000" w:themeColor="text1"/>
          <w:sz w:val="16"/>
          <w:szCs w:val="16"/>
        </w:rPr>
        <w:softHyphen/>
        <w:t xml:space="preserve">колаева. Это </w:t>
      </w:r>
      <w:r w:rsidRPr="00C33834">
        <w:rPr>
          <w:rFonts w:ascii="Times New Roman" w:hAnsi="Times New Roman"/>
          <w:iCs/>
          <w:color w:val="000000" w:themeColor="text1"/>
          <w:sz w:val="16"/>
          <w:szCs w:val="16"/>
        </w:rPr>
        <w:t xml:space="preserve">были </w:t>
      </w:r>
      <w:r w:rsidRPr="00C33834">
        <w:rPr>
          <w:rFonts w:ascii="Times New Roman" w:hAnsi="Times New Roman"/>
          <w:color w:val="000000" w:themeColor="text1"/>
          <w:sz w:val="16"/>
          <w:szCs w:val="16"/>
        </w:rPr>
        <w:t>первые советские корабли, строивши</w:t>
      </w:r>
      <w:r w:rsidRPr="00C33834">
        <w:rPr>
          <w:rFonts w:ascii="Times New Roman" w:hAnsi="Times New Roman"/>
          <w:color w:val="000000" w:themeColor="text1"/>
          <w:sz w:val="16"/>
          <w:szCs w:val="16"/>
        </w:rPr>
        <w:softHyphen/>
        <w:t>еся с учетом размещения на них вращающейся катапуль</w:t>
      </w:r>
      <w:r w:rsidRPr="00C33834">
        <w:rPr>
          <w:rFonts w:ascii="Times New Roman" w:hAnsi="Times New Roman"/>
          <w:color w:val="000000" w:themeColor="text1"/>
          <w:sz w:val="16"/>
          <w:szCs w:val="16"/>
        </w:rPr>
        <w:softHyphen/>
        <w:t>ты и двух самолетов. Техническое задание на новый кора</w:t>
      </w:r>
      <w:r w:rsidRPr="00C33834">
        <w:rPr>
          <w:rFonts w:ascii="Times New Roman" w:hAnsi="Times New Roman"/>
          <w:color w:val="000000" w:themeColor="text1"/>
          <w:sz w:val="16"/>
          <w:szCs w:val="16"/>
        </w:rPr>
        <w:softHyphen/>
        <w:t>бельный разведчик КОР-1 появилось в 1934 г. - рассказ об этом самолете ниже.</w:t>
      </w:r>
    </w:p>
    <w:p w14:paraId="48F86B2B" w14:textId="77777777" w:rsidR="00D067C1" w:rsidRPr="00C33834" w:rsidRDefault="00D067C1"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крейсер «Киров» водоизмещением 9436 т спу</w:t>
      </w:r>
      <w:r w:rsidRPr="00C33834">
        <w:rPr>
          <w:rFonts w:ascii="Times New Roman" w:hAnsi="Times New Roman"/>
          <w:color w:val="000000" w:themeColor="text1"/>
          <w:sz w:val="16"/>
          <w:szCs w:val="16"/>
        </w:rPr>
        <w:softHyphen/>
        <w:t>стили на воду в 1936 г., в состав Балтийского флота он во</w:t>
      </w:r>
      <w:r w:rsidRPr="00C33834">
        <w:rPr>
          <w:rFonts w:ascii="Times New Roman" w:hAnsi="Times New Roman"/>
          <w:color w:val="000000" w:themeColor="text1"/>
          <w:sz w:val="16"/>
          <w:szCs w:val="16"/>
        </w:rPr>
        <w:softHyphen/>
        <w:t>шел 29 сентября 1939 г. Второй - «Ворошилов» - водоиз</w:t>
      </w:r>
      <w:r w:rsidRPr="00C33834">
        <w:rPr>
          <w:rFonts w:ascii="Times New Roman" w:hAnsi="Times New Roman"/>
          <w:color w:val="000000" w:themeColor="text1"/>
          <w:sz w:val="16"/>
          <w:szCs w:val="16"/>
        </w:rPr>
        <w:softHyphen/>
        <w:t>мещением 9550 т, спущен на воду в 1937 г., в состав Черно</w:t>
      </w:r>
      <w:r w:rsidRPr="00C33834">
        <w:rPr>
          <w:rFonts w:ascii="Times New Roman" w:hAnsi="Times New Roman"/>
          <w:color w:val="000000" w:themeColor="text1"/>
          <w:sz w:val="16"/>
          <w:szCs w:val="16"/>
        </w:rPr>
        <w:softHyphen/>
        <w:t>морского флота вошел 20 июня 1940 г.</w:t>
      </w:r>
    </w:p>
    <w:p w14:paraId="7D343971" w14:textId="77777777" w:rsidR="00D067C1" w:rsidRPr="00C33834" w:rsidRDefault="00D067C1"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Следующими стали четыре подобные крейсера типа «Максим Горький»:</w:t>
      </w:r>
    </w:p>
    <w:p w14:paraId="578CA8AC" w14:textId="77777777" w:rsidR="00D067C1" w:rsidRPr="00C33834" w:rsidRDefault="00D067C1"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«Максим Горький» водоизмещением 9778 т заложили в декабре 1936 г., в 1938 г. он был спущен на воду, 25 октя</w:t>
      </w:r>
      <w:r w:rsidRPr="00C33834">
        <w:rPr>
          <w:rFonts w:ascii="Times New Roman" w:hAnsi="Times New Roman"/>
          <w:color w:val="000000" w:themeColor="text1"/>
          <w:sz w:val="16"/>
          <w:szCs w:val="16"/>
        </w:rPr>
        <w:softHyphen/>
        <w:t>бря 1940 г. вступил в строй Балтийского флота;</w:t>
      </w:r>
    </w:p>
    <w:p w14:paraId="4A2FBBCE" w14:textId="77777777" w:rsidR="00D067C1" w:rsidRPr="00C33834" w:rsidRDefault="00D067C1"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«Молотов» водоизмещением 9760 т заложили в янва</w:t>
      </w:r>
      <w:r w:rsidRPr="00C33834">
        <w:rPr>
          <w:rFonts w:ascii="Times New Roman" w:hAnsi="Times New Roman"/>
          <w:color w:val="000000" w:themeColor="text1"/>
          <w:sz w:val="16"/>
          <w:szCs w:val="16"/>
        </w:rPr>
        <w:softHyphen/>
        <w:t>ре 1937 г., в 1939 г. он был спущен на воду, в состав Черно</w:t>
      </w:r>
      <w:r w:rsidRPr="00C33834">
        <w:rPr>
          <w:rFonts w:ascii="Times New Roman" w:hAnsi="Times New Roman"/>
          <w:color w:val="000000" w:themeColor="text1"/>
          <w:sz w:val="16"/>
          <w:szCs w:val="16"/>
        </w:rPr>
        <w:softHyphen/>
        <w:t>морского флота вошел 14 июня 1941 г.;</w:t>
      </w:r>
    </w:p>
    <w:p w14:paraId="2444A834" w14:textId="77777777" w:rsidR="00D067C1" w:rsidRPr="00C33834" w:rsidRDefault="00D067C1"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«Калинин» заложен в 1938 г., в состав Тихоокеанско</w:t>
      </w:r>
      <w:r w:rsidRPr="00C33834">
        <w:rPr>
          <w:rFonts w:ascii="Times New Roman" w:hAnsi="Times New Roman"/>
          <w:color w:val="000000" w:themeColor="text1"/>
          <w:sz w:val="16"/>
          <w:szCs w:val="16"/>
        </w:rPr>
        <w:softHyphen/>
        <w:t>го флота вошел 31 декабря 1942 г.;</w:t>
      </w:r>
    </w:p>
    <w:p w14:paraId="78F5889C" w14:textId="77777777" w:rsidR="00D067C1" w:rsidRPr="00C33834" w:rsidRDefault="00D067C1"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«Каганович» заложен в 1938 г., в состав Тихоокеан</w:t>
      </w:r>
      <w:r w:rsidRPr="00C33834">
        <w:rPr>
          <w:rFonts w:ascii="Times New Roman" w:hAnsi="Times New Roman"/>
          <w:color w:val="000000" w:themeColor="text1"/>
          <w:sz w:val="16"/>
          <w:szCs w:val="16"/>
        </w:rPr>
        <w:softHyphen/>
        <w:t>ского флота вошел 6 декабря 1944 г. (11107).</w:t>
      </w:r>
    </w:p>
    <w:p w14:paraId="7E86D1F0" w14:textId="77777777" w:rsidR="00D067C1" w:rsidRPr="00C33834" w:rsidRDefault="00D067C1"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техническими требованиями на но</w:t>
      </w:r>
      <w:r w:rsidRPr="00C33834">
        <w:rPr>
          <w:rFonts w:ascii="Times New Roman" w:hAnsi="Times New Roman"/>
          <w:color w:val="000000" w:themeColor="text1"/>
          <w:sz w:val="16"/>
          <w:szCs w:val="16"/>
        </w:rPr>
        <w:softHyphen/>
        <w:t>вый корабельный разведчик, для крейсеров нужно было построить и новую корабельную катапульту, причем пред</w:t>
      </w:r>
      <w:r w:rsidRPr="00C33834">
        <w:rPr>
          <w:rFonts w:ascii="Times New Roman" w:hAnsi="Times New Roman"/>
          <w:color w:val="000000" w:themeColor="text1"/>
          <w:sz w:val="16"/>
          <w:szCs w:val="16"/>
        </w:rPr>
        <w:softHyphen/>
        <w:t>лагалось установить катапульты не только на крейсеры, но и (в облегченном варианте) на лидеры эсминцев типа «Ленинград». Кроме этого, планировалось оборудовать катапультами шесть ледоколов ГУСМП. Впрочем, на практике катапульту установили только на шести крейсе</w:t>
      </w:r>
      <w:r w:rsidRPr="00C33834">
        <w:rPr>
          <w:rFonts w:ascii="Times New Roman" w:hAnsi="Times New Roman"/>
          <w:color w:val="000000" w:themeColor="text1"/>
          <w:sz w:val="16"/>
          <w:szCs w:val="16"/>
        </w:rPr>
        <w:softHyphen/>
        <w:t>рах, с базированием на них самолетов КОР-1 и КОР-2 (11107).</w:t>
      </w:r>
    </w:p>
    <w:p w14:paraId="1530DB67" w14:textId="77777777" w:rsidR="00D067C1" w:rsidRPr="00C33834" w:rsidRDefault="00D067C1" w:rsidP="00C33834">
      <w:pPr>
        <w:shd w:val="clear" w:color="auto" w:fill="FFFFFF"/>
        <w:spacing w:after="0" w:line="240" w:lineRule="auto"/>
        <w:jc w:val="both"/>
        <w:rPr>
          <w:rFonts w:ascii="Times New Roman" w:hAnsi="Times New Roman"/>
          <w:color w:val="000000" w:themeColor="text1"/>
          <w:sz w:val="16"/>
          <w:szCs w:val="16"/>
        </w:rPr>
      </w:pPr>
    </w:p>
    <w:p w14:paraId="0E5DB199" w14:textId="77777777" w:rsidR="00D067C1" w:rsidRPr="00C33834" w:rsidRDefault="00D067C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июля 1933 г. Совет труда и обороны (СТО) СССР принял постановление «О про</w:t>
      </w:r>
      <w:r w:rsidRPr="00C33834">
        <w:rPr>
          <w:rFonts w:ascii="Times New Roman" w:hAnsi="Times New Roman"/>
          <w:color w:val="000000" w:themeColor="text1"/>
          <w:sz w:val="16"/>
          <w:szCs w:val="16"/>
        </w:rPr>
        <w:softHyphen/>
        <w:t>грамме военно-морского судостроения на 1933-38 гг.». Согласно этой программе наме</w:t>
      </w:r>
      <w:r w:rsidRPr="00C33834">
        <w:rPr>
          <w:rFonts w:ascii="Times New Roman" w:hAnsi="Times New Roman"/>
          <w:color w:val="000000" w:themeColor="text1"/>
          <w:sz w:val="16"/>
          <w:szCs w:val="16"/>
        </w:rPr>
        <w:softHyphen/>
        <w:t>чалось построить боевые и вспомогательные суда общим водоизмещением свыше 500 ты- -яч тонн. Особое место уделялось строитель</w:t>
      </w:r>
      <w:r w:rsidRPr="00C33834">
        <w:rPr>
          <w:rFonts w:ascii="Times New Roman" w:hAnsi="Times New Roman"/>
          <w:color w:val="000000" w:themeColor="text1"/>
          <w:sz w:val="16"/>
          <w:szCs w:val="16"/>
        </w:rPr>
        <w:softHyphen/>
        <w:t>ству новых легких крейсеров общим водоиз</w:t>
      </w:r>
      <w:r w:rsidRPr="00C33834">
        <w:rPr>
          <w:rFonts w:ascii="Times New Roman" w:hAnsi="Times New Roman"/>
          <w:color w:val="000000" w:themeColor="text1"/>
          <w:sz w:val="16"/>
          <w:szCs w:val="16"/>
        </w:rPr>
        <w:softHyphen/>
        <w:t>мещением 8600 т (по первоначальному про</w:t>
      </w:r>
      <w:r w:rsidRPr="00C33834">
        <w:rPr>
          <w:rFonts w:ascii="Times New Roman" w:hAnsi="Times New Roman"/>
          <w:color w:val="000000" w:themeColor="text1"/>
          <w:sz w:val="16"/>
          <w:szCs w:val="16"/>
        </w:rPr>
        <w:softHyphen/>
        <w:t>екту), вооруженных артиллерийскими сис</w:t>
      </w:r>
      <w:r w:rsidRPr="00C33834">
        <w:rPr>
          <w:rFonts w:ascii="Times New Roman" w:hAnsi="Times New Roman"/>
          <w:color w:val="000000" w:themeColor="text1"/>
          <w:sz w:val="16"/>
          <w:szCs w:val="16"/>
        </w:rPr>
        <w:softHyphen/>
        <w:t>темами главною калибра 180-мм. Всего их строилось шесть: по два для Черного и Бал</w:t>
      </w:r>
      <w:r w:rsidRPr="00C33834">
        <w:rPr>
          <w:rFonts w:ascii="Times New Roman" w:hAnsi="Times New Roman"/>
          <w:color w:val="000000" w:themeColor="text1"/>
          <w:sz w:val="16"/>
          <w:szCs w:val="16"/>
        </w:rPr>
        <w:softHyphen/>
        <w:t>тийскою морей и два для Тихоокеанского элота.</w:t>
      </w:r>
      <w:r w:rsidRPr="00C33834">
        <w:rPr>
          <w:rStyle w:val="9pt"/>
          <w:rFonts w:ascii="Times New Roman" w:hAnsi="Times New Roman" w:cs="Times New Roman"/>
          <w:b w:val="0"/>
          <w:i w:val="0"/>
          <w:color w:val="000000" w:themeColor="text1"/>
          <w:sz w:val="16"/>
          <w:szCs w:val="16"/>
        </w:rPr>
        <w:t xml:space="preserve"> Закладка</w:t>
      </w:r>
      <w:r w:rsidRPr="00C33834">
        <w:rPr>
          <w:rFonts w:ascii="Times New Roman" w:hAnsi="Times New Roman"/>
          <w:color w:val="000000" w:themeColor="text1"/>
          <w:sz w:val="16"/>
          <w:szCs w:val="16"/>
        </w:rPr>
        <w:t xml:space="preserve"> двух легких крейсеров типа </w:t>
      </w:r>
      <w:r w:rsidRPr="00C33834">
        <w:rPr>
          <w:rStyle w:val="12pt"/>
          <w:color w:val="000000" w:themeColor="text1"/>
          <w:spacing w:val="0"/>
          <w:sz w:val="16"/>
          <w:szCs w:val="16"/>
        </w:rPr>
        <w:t>«Киров» состоялась в октябре</w:t>
      </w:r>
      <w:r w:rsidRPr="00C33834">
        <w:rPr>
          <w:rFonts w:ascii="Times New Roman" w:hAnsi="Times New Roman"/>
          <w:color w:val="000000" w:themeColor="text1"/>
          <w:sz w:val="16"/>
          <w:szCs w:val="16"/>
        </w:rPr>
        <w:t xml:space="preserve"> 1935 г. на вер</w:t>
      </w:r>
      <w:r w:rsidRPr="00C33834">
        <w:rPr>
          <w:rFonts w:ascii="Times New Roman" w:hAnsi="Times New Roman"/>
          <w:color w:val="000000" w:themeColor="text1"/>
          <w:sz w:val="16"/>
          <w:szCs w:val="16"/>
        </w:rPr>
        <w:softHyphen/>
        <w:t>фях Ленинграда и Николаева. Это были пер</w:t>
      </w:r>
      <w:r w:rsidRPr="00C33834">
        <w:rPr>
          <w:rFonts w:ascii="Times New Roman" w:hAnsi="Times New Roman"/>
          <w:color w:val="000000" w:themeColor="text1"/>
          <w:sz w:val="16"/>
          <w:szCs w:val="16"/>
        </w:rPr>
        <w:softHyphen/>
        <w:t>вые советские корабли, изначально строив</w:t>
      </w:r>
      <w:r w:rsidRPr="00C33834">
        <w:rPr>
          <w:rFonts w:ascii="Times New Roman" w:hAnsi="Times New Roman"/>
          <w:color w:val="000000" w:themeColor="text1"/>
          <w:sz w:val="16"/>
          <w:szCs w:val="16"/>
        </w:rPr>
        <w:softHyphen/>
        <w:t>шиеся с учетом размещения на них вращаю</w:t>
      </w:r>
      <w:r w:rsidRPr="00C33834">
        <w:rPr>
          <w:rFonts w:ascii="Times New Roman" w:hAnsi="Times New Roman"/>
          <w:color w:val="000000" w:themeColor="text1"/>
          <w:sz w:val="16"/>
          <w:szCs w:val="16"/>
        </w:rPr>
        <w:softHyphen/>
        <w:t>щейся катапульты и двух самолетов. Техни</w:t>
      </w:r>
      <w:r w:rsidRPr="00C33834">
        <w:rPr>
          <w:rFonts w:ascii="Times New Roman" w:hAnsi="Times New Roman"/>
          <w:color w:val="000000" w:themeColor="text1"/>
          <w:sz w:val="16"/>
          <w:szCs w:val="16"/>
        </w:rPr>
        <w:softHyphen/>
        <w:t>ческое задание на новый корабельный раз</w:t>
      </w:r>
      <w:r w:rsidRPr="00C33834">
        <w:rPr>
          <w:rFonts w:ascii="Times New Roman" w:hAnsi="Times New Roman"/>
          <w:color w:val="000000" w:themeColor="text1"/>
          <w:sz w:val="16"/>
          <w:szCs w:val="16"/>
        </w:rPr>
        <w:softHyphen/>
        <w:t>ведчик КОР-1 появилось в 1934 г. (12301).</w:t>
      </w:r>
    </w:p>
    <w:p w14:paraId="3B72F062" w14:textId="77777777" w:rsidR="00D067C1" w:rsidRPr="00C33834" w:rsidRDefault="00D067C1" w:rsidP="00C33834">
      <w:pPr>
        <w:spacing w:after="0" w:line="240" w:lineRule="auto"/>
        <w:jc w:val="both"/>
        <w:rPr>
          <w:rFonts w:ascii="Times New Roman" w:hAnsi="Times New Roman"/>
          <w:color w:val="000000" w:themeColor="text1"/>
          <w:sz w:val="16"/>
          <w:szCs w:val="16"/>
        </w:rPr>
      </w:pPr>
    </w:p>
    <w:p w14:paraId="437CA31D" w14:textId="77777777" w:rsidR="00D067C1" w:rsidRPr="00C33834" w:rsidRDefault="00D067C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июля 1933 г. несколько со</w:t>
      </w:r>
      <w:r w:rsidRPr="00C33834">
        <w:rPr>
          <w:rFonts w:ascii="Times New Roman" w:hAnsi="Times New Roman"/>
          <w:color w:val="000000" w:themeColor="text1"/>
          <w:sz w:val="16"/>
          <w:szCs w:val="16"/>
        </w:rPr>
        <w:softHyphen/>
        <w:t>кращенный Реввоенсоветом проект программы УВМС РККА был утвержден постановлением СТО "О программе военно-морского строитель</w:t>
      </w:r>
      <w:r w:rsidRPr="00C33834">
        <w:rPr>
          <w:rFonts w:ascii="Times New Roman" w:hAnsi="Times New Roman"/>
          <w:color w:val="000000" w:themeColor="text1"/>
          <w:sz w:val="16"/>
          <w:szCs w:val="16"/>
        </w:rPr>
        <w:softHyphen/>
        <w:t>ства на 1933—1938 гг." Программа предусматривала постройку 872 боевых единиц, в том числе 369 подводных лодок и 503 надводых кораблей и катеров. В программу были включены также восста</w:t>
      </w:r>
      <w:r w:rsidRPr="00C33834">
        <w:rPr>
          <w:rFonts w:ascii="Times New Roman" w:hAnsi="Times New Roman"/>
          <w:color w:val="000000" w:themeColor="text1"/>
          <w:sz w:val="16"/>
          <w:szCs w:val="16"/>
        </w:rPr>
        <w:softHyphen/>
        <w:t>новление и модернизация линкоров "Фрунзе" и "Парижская комму</w:t>
      </w:r>
      <w:r w:rsidRPr="00C33834">
        <w:rPr>
          <w:rFonts w:ascii="Times New Roman" w:hAnsi="Times New Roman"/>
          <w:color w:val="000000" w:themeColor="text1"/>
          <w:sz w:val="16"/>
          <w:szCs w:val="16"/>
        </w:rPr>
        <w:softHyphen/>
        <w:t>на", крейсера (учебного) "Ворошилов", минзага "Штандарт" и учеб</w:t>
      </w:r>
      <w:r w:rsidRPr="00C33834">
        <w:rPr>
          <w:rFonts w:ascii="Times New Roman" w:hAnsi="Times New Roman"/>
          <w:color w:val="000000" w:themeColor="text1"/>
          <w:sz w:val="16"/>
          <w:szCs w:val="16"/>
        </w:rPr>
        <w:softHyphen/>
        <w:t>ного судна "Полярная звезда". Одновременно планировалось по</w:t>
      </w:r>
      <w:r w:rsidRPr="00C33834">
        <w:rPr>
          <w:rFonts w:ascii="Times New Roman" w:hAnsi="Times New Roman"/>
          <w:color w:val="000000" w:themeColor="text1"/>
          <w:sz w:val="16"/>
          <w:szCs w:val="16"/>
        </w:rPr>
        <w:softHyphen/>
        <w:t>строить 143 различных вспомогательных судна для ВМС РККА и 26 кораблей для "флота ОГПУ" (морской пограничной охраны), включая два крейсера пограничной охраны, два сторожевых кораб</w:t>
      </w:r>
      <w:r w:rsidRPr="00C33834">
        <w:rPr>
          <w:rFonts w:ascii="Times New Roman" w:hAnsi="Times New Roman"/>
          <w:color w:val="000000" w:themeColor="text1"/>
          <w:sz w:val="16"/>
          <w:szCs w:val="16"/>
        </w:rPr>
        <w:softHyphen/>
        <w:t>ля и девять быстроходных тральщиков (3898).</w:t>
      </w:r>
    </w:p>
    <w:p w14:paraId="1F8A5C44" w14:textId="77777777" w:rsidR="00D067C1" w:rsidRPr="00C33834" w:rsidRDefault="00D067C1" w:rsidP="00C33834">
      <w:pPr>
        <w:spacing w:after="0" w:line="240" w:lineRule="auto"/>
        <w:jc w:val="both"/>
        <w:rPr>
          <w:rFonts w:ascii="Times New Roman" w:hAnsi="Times New Roman"/>
          <w:color w:val="000000" w:themeColor="text1"/>
          <w:sz w:val="16"/>
          <w:szCs w:val="16"/>
        </w:rPr>
      </w:pPr>
    </w:p>
    <w:p w14:paraId="1A02502E" w14:textId="77777777" w:rsidR="00A91CEB" w:rsidRPr="00C33834" w:rsidRDefault="00A91CE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июля в 1933 году Совет Труда и Обороны СССР принял постановление "О программе военно-морского строительства на 1933-1938 гг.", согласно которому ВМФ должен был получить около 1500 боевых кораблей, катеров и вспомогательных судов (14949).</w:t>
      </w:r>
    </w:p>
    <w:p w14:paraId="65CAC661" w14:textId="77777777" w:rsidR="00A91CEB" w:rsidRPr="00C33834" w:rsidRDefault="00A91CEB" w:rsidP="00C33834">
      <w:pPr>
        <w:spacing w:after="0" w:line="240" w:lineRule="auto"/>
        <w:jc w:val="both"/>
        <w:rPr>
          <w:rFonts w:ascii="Times New Roman" w:hAnsi="Times New Roman"/>
          <w:color w:val="000000" w:themeColor="text1"/>
          <w:sz w:val="16"/>
          <w:szCs w:val="16"/>
        </w:rPr>
      </w:pPr>
    </w:p>
    <w:p w14:paraId="2F2976FE" w14:textId="77777777" w:rsidR="00D067C1" w:rsidRPr="00C33834" w:rsidRDefault="00D067C1" w:rsidP="00C33834">
      <w:pPr>
        <w:pStyle w:val="rtejustify"/>
        <w:spacing w:before="0" w:after="0"/>
        <w:rPr>
          <w:color w:val="000000" w:themeColor="text1"/>
          <w:sz w:val="16"/>
          <w:szCs w:val="16"/>
        </w:rPr>
      </w:pPr>
      <w:r w:rsidRPr="00C33834">
        <w:rPr>
          <w:rStyle w:val="af0"/>
          <w:bCs/>
          <w:i w:val="0"/>
          <w:color w:val="000000" w:themeColor="text1"/>
          <w:sz w:val="16"/>
          <w:szCs w:val="16"/>
        </w:rPr>
        <w:t>11 июля</w:t>
      </w:r>
      <w:r w:rsidRPr="00C33834">
        <w:rPr>
          <w:color w:val="000000" w:themeColor="text1"/>
          <w:sz w:val="16"/>
          <w:szCs w:val="16"/>
        </w:rPr>
        <w:t xml:space="preserve">. </w:t>
      </w:r>
      <w:hyperlink r:id="rId258" w:history="1">
        <w:r w:rsidRPr="00C33834">
          <w:rPr>
            <w:rStyle w:val="a5"/>
            <w:color w:val="000000" w:themeColor="text1"/>
            <w:sz w:val="16"/>
            <w:szCs w:val="16"/>
          </w:rPr>
          <w:t>Постановление СТО СССР № 58сс/о «О программе военно-морского судостроения на 1933</w:t>
        </w:r>
        <w:r w:rsidRPr="00C33834">
          <w:rPr>
            <w:rStyle w:val="a5"/>
            <w:color w:val="000000" w:themeColor="text1"/>
            <w:sz w:val="16"/>
            <w:szCs w:val="16"/>
          </w:rPr>
          <w:noBreakHyphen/>
          <w:t>1938 г.»</w:t>
        </w:r>
      </w:hyperlink>
      <w:r w:rsidRPr="00C33834">
        <w:rPr>
          <w:color w:val="000000" w:themeColor="text1"/>
          <w:sz w:val="16"/>
          <w:szCs w:val="16"/>
        </w:rPr>
        <w:t>. (ГА РФ. Ф. Р</w:t>
      </w:r>
      <w:r w:rsidRPr="00C33834">
        <w:rPr>
          <w:color w:val="000000" w:themeColor="text1"/>
          <w:sz w:val="16"/>
          <w:szCs w:val="16"/>
        </w:rPr>
        <w:noBreakHyphen/>
        <w:t>8418. Оп. 28. Д. 2. Л. 13</w:t>
      </w:r>
      <w:r w:rsidRPr="00C33834">
        <w:rPr>
          <w:color w:val="000000" w:themeColor="text1"/>
          <w:sz w:val="16"/>
          <w:szCs w:val="16"/>
        </w:rPr>
        <w:noBreakHyphen/>
        <w:t>31) (15460).</w:t>
      </w:r>
    </w:p>
    <w:p w14:paraId="64C6BC7F" w14:textId="77777777" w:rsidR="00D067C1" w:rsidRPr="00C33834" w:rsidRDefault="00D067C1" w:rsidP="00C33834">
      <w:pPr>
        <w:pStyle w:val="rtejustify"/>
        <w:spacing w:before="0" w:after="0"/>
        <w:rPr>
          <w:color w:val="000000" w:themeColor="text1"/>
          <w:sz w:val="16"/>
          <w:szCs w:val="16"/>
        </w:rPr>
      </w:pPr>
    </w:p>
    <w:p w14:paraId="373A4641" w14:textId="77777777" w:rsidR="00D067C1" w:rsidRPr="00C33834" w:rsidRDefault="00D067C1" w:rsidP="00C33834">
      <w:pPr>
        <w:spacing w:after="0" w:line="240" w:lineRule="auto"/>
        <w:jc w:val="both"/>
        <w:rPr>
          <w:rStyle w:val="af0"/>
          <w:rFonts w:ascii="Times New Roman" w:hAnsi="Times New Roman"/>
          <w:i w:val="0"/>
          <w:color w:val="000000" w:themeColor="text1"/>
          <w:sz w:val="16"/>
          <w:szCs w:val="16"/>
        </w:rPr>
      </w:pPr>
      <w:r w:rsidRPr="00C33834">
        <w:rPr>
          <w:rStyle w:val="af0"/>
          <w:rFonts w:ascii="Times New Roman" w:hAnsi="Times New Roman"/>
          <w:i w:val="0"/>
          <w:color w:val="000000" w:themeColor="text1"/>
          <w:sz w:val="16"/>
          <w:szCs w:val="16"/>
        </w:rPr>
        <w:t xml:space="preserve">11 июля 1933 г. </w:t>
      </w:r>
      <w:r w:rsidRPr="00C33834">
        <w:rPr>
          <w:rFonts w:ascii="Times New Roman" w:hAnsi="Times New Roman"/>
          <w:color w:val="000000" w:themeColor="text1"/>
          <w:sz w:val="16"/>
          <w:szCs w:val="16"/>
        </w:rPr>
        <w:t>Постановление СТО СССР № 58сс/о «О программе военно-морского судостроения на 1933</w:t>
      </w:r>
      <w:r w:rsidRPr="00C33834">
        <w:rPr>
          <w:rFonts w:ascii="Times New Roman" w:hAnsi="Times New Roman"/>
          <w:color w:val="000000" w:themeColor="text1"/>
          <w:sz w:val="16"/>
          <w:szCs w:val="16"/>
        </w:rPr>
        <w:noBreakHyphen/>
        <w:t>1938 гг.»</w:t>
      </w:r>
    </w:p>
    <w:p w14:paraId="51A5F797" w14:textId="77777777" w:rsidR="00D067C1" w:rsidRPr="00C33834" w:rsidRDefault="00D067C1"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Совершенно секретно.</w:t>
      </w:r>
    </w:p>
    <w:p w14:paraId="67183CBC"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Совет труда и обороны постановляет:</w:t>
      </w:r>
    </w:p>
    <w:p w14:paraId="27DEF32E"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1. Установить программу военно-морского судостроения на период 1933</w:t>
      </w:r>
      <w:r w:rsidRPr="00C33834">
        <w:rPr>
          <w:color w:val="000000" w:themeColor="text1"/>
          <w:sz w:val="16"/>
          <w:szCs w:val="16"/>
        </w:rPr>
        <w:noBreakHyphen/>
        <w:t>1938 гг. в количестве кораблей и со сроками закладки и сдачи, согласно прилагаемой таблицы № 1 (по боевому флоту), таблицы № 2 (по вспомогательным судам и плавучим средствам) и таблицы № 3 (корабли морской погранохраны ОГПУ)¹*.</w:t>
      </w:r>
    </w:p>
    <w:p w14:paraId="2F24015B"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 xml:space="preserve">2. Обязать НКТП, под личную ответственность т. Орджоникидзе и т. Кондратьева, развернуть осуществление этой программы в масштабе, обеспечивающем выполнение ее в установленные сроки, использовав для этого все наличные судостроительные предприятия как основную базу судостроения и срочно расширив их производственные возможности путем расшивки узких мест. Одновременно должны быть привлечены к исполнению заказов судостроения, связанных с выполнением </w:t>
      </w:r>
      <w:r w:rsidRPr="00C33834">
        <w:rPr>
          <w:color w:val="000000" w:themeColor="text1"/>
          <w:sz w:val="16"/>
          <w:szCs w:val="16"/>
        </w:rPr>
        <w:lastRenderedPageBreak/>
        <w:t>программы, все необходимые заводы других отраслей промышленности, являющиеся основными поставщиками материалов, заготовок, специализированных изделий, механизмов и вооружения судов.</w:t>
      </w:r>
    </w:p>
    <w:p w14:paraId="1354CB24"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3. Для быстрого развертывания средств судостроительных предприятий в соответствии с предстоящей им нагрузкой возложить на НКТП следующие обязательства:</w:t>
      </w:r>
    </w:p>
    <w:p w14:paraId="3701D7B4"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I. Приступить теперь же и закончить в двухлетний срок реконструкцию, модернизацию и расширение всех существующих заводов на верфи ГУСПа²*, ассигновав на это назначение в 1934 и 1935 гг. для пополнения основного капитала до 200 млн. руб.</w:t>
      </w:r>
    </w:p>
    <w:p w14:paraId="5CBCF3FF"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II. Одновременно с доведением до предельной мощности существующей судостроительной базы развернуть строительство новых судостроительных верфей, для чего: а) форсировать окончание Амурской верфи, обеспечив ее строительство необходимыми материалами и финансовыми средствами для возможности начала сборки судов уже освоенных типов из заготовок с заводов СССР, начиная с января 1934 г., с тем, чтобы с 1 сентября 1934 г. Амурверфь могла перейти к постройке новых типов, опираясь на собственные обслуживающие цеха; б) приступить к строительству Мариупольского судостроительного завода, с тем, чтобы в первой половине 1935 г. начать на нем закладку и постройку подводных лодок и эсминцев; в) создать новые подсобные судосборочные верфи с необходимыми монтажными цехами и оборудованием в следующих пунктах: на Белом море — в Архангельске и Сороке, на Черном море — в Николаеве на бывшем заводе «Ремсуд» в качестве баз для подводного судостроения; г) расширить на заводе «Марти» цеха по постройке торпедных катеров и катеров вспомогательного назначения, доведя производительность цеха до выпуска в год 100 катеров первого типа и 50 — второго.</w:t>
      </w:r>
    </w:p>
    <w:p w14:paraId="57E97525"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III. Возложить на НКТП обязанность, одновременно с развитием строительства нового флота, создать на всех морях мощные судоремонтные базы для производства капитального ремонта военных кораблей, оставляя текущий ремонт за НКВМ.</w:t>
      </w:r>
    </w:p>
    <w:p w14:paraId="324001C8"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IV. В целях максимального расширения судостроительной базы без сооружения новых предприятий, НКТП поставить военное судостроение на заводах «Красное Сормово», Невском заводе им. Ленина, Коломенском заводе, Днепропетровском заводе Стальмоста. Специализировать эти заводы на следующих производствах: а) «Красное Сормово» — на постройке подводных лодок, мониторов, канонерских лодок, в части машиностроительной — для изготовления судовых дизелей, а также как дублера по производству торпедного вооружения (аппаратов, толкачей, компрессоров) и как базу по стальному литью, механическим изделиям и изготовлению гребных винтов; б) Коломенский завод — помимо основного назначения как главной базы по дизелестроению нагрузить постройкой средних подводных лодок для ДВ; в) Невский завод им. Ленина — использовать для капитального ремонта торпедных судов, а также для поставки стального литья, поковок и вспомогательных механизмов для судостроения; г) Завод Ворошилова — присоединить к смежному с ним заводу «Марти» с полным подчинением Главсудстрою для расширения производства торпедного вооружения и катеростроения; д) максимально использовать верфи речного судостроения, возложив на них постройку малых и легких кораблей для разгрузки от этих заказов крупных заводов, проведя указанные мероприятия за счет сокращения программы речного судостроения (коммерческого). В частности организовать на заводе «Ленинская кузня» (Киев) постройку мониторов, канлодок, бронекатеров и вспомогательного флота; е) Обязать ОГПУ построить на своей судоверфи в Ленинграде быстроходные сторожевые катера и корабли (охотники за подлодками), поименованные в пп. 4, 5, 6, 8, 9 и 10 таблицы № 3. НКФину СССР³* предусмотреть по смете ОГПУ на 1934</w:t>
      </w:r>
      <w:r w:rsidRPr="00C33834">
        <w:rPr>
          <w:color w:val="000000" w:themeColor="text1"/>
          <w:sz w:val="16"/>
          <w:szCs w:val="16"/>
        </w:rPr>
        <w:noBreakHyphen/>
        <w:t>1938 гг. отпуск соответствующих кредитов по заявке ОГПУ для выполнения этого строительства.</w:t>
      </w:r>
    </w:p>
    <w:p w14:paraId="5C911A5D"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V. Так как наиболее узким местом судостроения может стать обеспечение постройки кораблей главными и вспомогательными механизмами, электрооборудованием и судостроительными материалами, на эту сторону организации судостроения НКТП обратить самое серьезное внимание, распределив необходимые производства между соответствующими отраслями и предприятиями за личной ответственностью их руководителей, в частности:</w:t>
      </w:r>
    </w:p>
    <w:p w14:paraId="45AD5147"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1. По турбостроению: а) обязать Главэнергопром⁴*, под личную ответственность т. Филимонова, немедленно приступить к постановке производства морских турбин на Харьковском турбозаводе, в агрегатах по 25 тыс. — 50 тыс. л. с. на общую годовую производительность 1 млн. л. с., а также поставить производство главных и вспомогательных морских турбин на заводе им. Сталина и «Красный путиловец»; б) предложить ГУСПу (т. Кондратьеву) срочно расширить производство турбинных механизмов на Северной судоверфи (в кооперировании с заводом «Красный путиловец») и на Никгосзаводе им. Марти до общей мощности 300 тыс. л. с. для первого завода и 200 тыс. л. с. — для второго; в) обязать Главмашпром⁵*, под ответственность т. Пудалова, поставить производство на Уральском машиностроительном заводе кованых роторов, заготовок для зубчатых передач, а также коллекторов с термической обработкой поковок, доведя это производство до масштаба, полностью удовлетворяющего потребности судостроительной промышленности; г) под ответственность т. Павлуновского и т. Будняка поставить в необходимом размере производство валов и роторов на заводе «Баррикады»; д) организовать на заводе «Электросталь» производство лопаточного материала из нержавеющей стали в количестве и ассортименте, обеспечивающем турбостроение.</w:t>
      </w:r>
    </w:p>
    <w:p w14:paraId="2513F56C"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2. По дизелестроению: а) НКТП, под ответственность т. Доценко и т. Пудалова, расширить производство судовых дизелей на Коломенском заводе до годового выпуска в 350 тыс. л. с. к 1935 г., в агрегатах по 800 л. с., 1600 л. с. и 3 тыс. — 4 тыс. л. с., и довести производство судовых дизелей на заводе «Русский дизель» до 60 тыс. л. с. в 1935 г., в агрегатах по 800 л. с. и 1600 л. с.; специализировать завод «Красное Сормово» на производство легких дизелей в 3 тыс. </w:t>
      </w:r>
      <w:r w:rsidRPr="00C33834">
        <w:rPr>
          <w:color w:val="000000" w:themeColor="text1"/>
          <w:sz w:val="16"/>
          <w:szCs w:val="16"/>
        </w:rPr>
        <w:noBreakHyphen/>
        <w:t>4 тыс. л. с., обеспечить выпуск судовых дизелей с завода «Двигатель Революции» и Воронежского завода; б) НКТП предусмотреть обеспечение дизелями кроме вновь строящихся судов также капитально ремонтируемые и модернизируемые подлодки, мониторы и плавбазы; в) обязать ГУАП, под личную ответственность т. Баранова, поставить серийное производство судовых моторов авиационного типа с реверсивными муфтами общей мощностью до 200 тыс. л. с. в год.</w:t>
      </w:r>
    </w:p>
    <w:p w14:paraId="09BB07E7"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3. По вспомогательным механизмам: а) обязать ГУСП обеспечить военное судостроение производством судовой арматуры и приводов, а также расширить производство гребных винтов, обтекателей и дейдвудных деталей; б) обязать Главмашпром, под ответственность т. Пудалова и т. Владимирского, организовать по насосно-компрессорному объединению производство холодильных установок, насосов, турбокомпрессоров и гидромуфт; в) завод «Манометр» (Москва) переключить на производство приборов для кораблей (манометров, тахометров и др.) и одновременно дублировать производство этих приборов на заводе «Авиаприбор»; г) специализировать завод «К. Либкнехт» на производство воздухохранителей высокого давления, усилив его добавочным оборудованием и утроив его производительность; завод «Сепаратор» (Пермь) на изготовление масляных сепараторов; завод ХПЗ (Харьков) на производство муфт «Бамаг»; заводы «Борец» и «Красный факел» на производство поршневых и центробежных насосов и компрессоров, расширив эти заводы; д) для срочного пополнения станочного парка механических цехов заводов «Ремсуд», Балтзавод и «Марти» и завод № 6 обязать т. Кагановича обеспечить эти заводы соответствующим количеством и типом станков.</w:t>
      </w:r>
    </w:p>
    <w:p w14:paraId="672AF053"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4. По электрооборудованию: обязать Главэнергопром а) расширить и реконструировать на ХЭМЗе цех машин и аппаратуры постоянного тока, доведя его производительность до полного обеспечения потребностей судостроения в главных электродвигателях; поставить производство постоянных машин средней и малой мощности на заводе «Электросила»; б) расширить производство аппаратуры слабого тока для подлодок и других кораблей на заводе им. Кулакова в Ленинграде; в) организовать производство гирокомпасов на одном из заводов ВЭСО; г) расширить аккумуляторные заводы им. л[ейтенанта] Шмидта в Ленинграде и Саратовский завод свинцовых аккумуляторов до мощности 120 батарей в год; д) построить завод для электрической рафинировки свинца производительностью 8 тыс. </w:t>
      </w:r>
      <w:r w:rsidRPr="00C33834">
        <w:rPr>
          <w:color w:val="000000" w:themeColor="text1"/>
          <w:sz w:val="16"/>
          <w:szCs w:val="16"/>
        </w:rPr>
        <w:noBreakHyphen/>
        <w:t>9 тыс. т свинца в год. Специализировать завод «Свободный труд» в Ярославле на производстве свинцового сурика для подлодочных аккумуляторов, обеспечив его снабжением надлежащего качества свинцом; е) обеспечить необходимый выпуск кабеля для судовой электропроводки, сосредоточив производство кабеля на заводе «Севкабель»; ж) расширить и укрепить электромонтажные мастерские ЭМСа на ДВ и в г. Николаеве и организовать их вновь в Мариуполе, Сормове, Архангельске и на Амурском заводе.</w:t>
      </w:r>
    </w:p>
    <w:p w14:paraId="75527DF6"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5. По металлу: а) обязать ГУМП, под ответственность тт. Гуревича и Точинского, обеспечить развертывание судостроения своевременной поставкой катанного металла, сосредоточив прокат высококачественной судостроительной стали на определенных металлургических заводах, уже освоивших это производство: Мариупольском, Ижорском, «Красном путиловце», им. Дзержинского, им. Петровского, им. Рыкова; б) разрешить НКТП для возможности произвести предусмотренную программой закладку судов в конце 1933 и начале 1934 г. приобрести за счет импортных контингентов НКТП до 25 тыс. т судостроительной стали. Дальнейший импорт стали для военного судостроения категорически запретить, возложив на ГУМП ответственность за бесперебойное снабжение судостроения металлом с заводов Союза; в) НКТП обеспечить производство на Ижорском заводе надлежащего качества толстой судовой брони, а также легкой противопульной брони.</w:t>
      </w:r>
    </w:p>
    <w:p w14:paraId="78B73016"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6. Обязать НКТП, под ответственность т. Павлуновского, обеспечить программу судостроения необходимым вооружением (180</w:t>
      </w:r>
      <w:r w:rsidRPr="00C33834">
        <w:rPr>
          <w:color w:val="000000" w:themeColor="text1"/>
          <w:sz w:val="16"/>
          <w:szCs w:val="16"/>
        </w:rPr>
        <w:noBreakHyphen/>
        <w:t>мм башенными установками, 130</w:t>
      </w:r>
      <w:r w:rsidRPr="00C33834">
        <w:rPr>
          <w:color w:val="000000" w:themeColor="text1"/>
          <w:sz w:val="16"/>
          <w:szCs w:val="16"/>
        </w:rPr>
        <w:noBreakHyphen/>
        <w:t>мм/45 кал. спаренными системами, 100</w:t>
      </w:r>
      <w:r w:rsidRPr="00C33834">
        <w:rPr>
          <w:color w:val="000000" w:themeColor="text1"/>
          <w:sz w:val="16"/>
          <w:szCs w:val="16"/>
        </w:rPr>
        <w:noBreakHyphen/>
        <w:t>мм и 45</w:t>
      </w:r>
      <w:r w:rsidRPr="00C33834">
        <w:rPr>
          <w:color w:val="000000" w:themeColor="text1"/>
          <w:sz w:val="16"/>
          <w:szCs w:val="16"/>
        </w:rPr>
        <w:noBreakHyphen/>
        <w:t>мм орудиями, артбоезапасом, торпедами, минами и проч.), а также средствами связи, оптики и телемеханики. При подаче вооружения на корабли жестко соблюдать комплектность для обеспечения полной боевой готовности кораблей при вступлении их в строй. НКТП (т. Павлуновскому) в декадный срок разработать и доложить СТО конкретный план мероприятий для своевременного изготовления промышленностью указанных средств вооружения и связи.</w:t>
      </w:r>
    </w:p>
    <w:p w14:paraId="26BCC796"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7. Обратить особое внимание НКТП (тт. Орджоникидзе и Кондратьева) на категорическую необходимость жесткого соблюдения установленных программой судостроения сроков закладки и сдачи кораблей, а также решительного повышения качества работ по военному судостроению.</w:t>
      </w:r>
    </w:p>
    <w:p w14:paraId="33418841"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8. Обязать НКТП (тт. Орджоникидзе и Кондратьева) добиться максимального снижения стоимости кораблей путем надлежащей организации производства на заводах.</w:t>
      </w:r>
    </w:p>
    <w:p w14:paraId="7414F961"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9. Для обеспечения систематического усовершенствования вводимых в строй боевых кораблей предусмотреть последовательное улучшение типов новых серий судов, базируясь на опыте освоения головных образцов.</w:t>
      </w:r>
    </w:p>
    <w:p w14:paraId="63B00149"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10. Обязать НКВМ дать эскизные проекты судов, программы закладок 1934 г., в том числе эсминцев и крейсеров, не позже IV квартала 1933 г. Выдать заказ ГУСПу на достройку двух законсервированных подлодок типа «Правда». По уточнении вопроса с приобретением проектов итальянских турбин, установить окончательный вариант переустройства линкора «Фрунзе» в линейный крейсер, а также подтвердить заказ на развертывание работ по капитальному ремонту и модернизации л/к «Парижская Коммуна».</w:t>
      </w:r>
    </w:p>
    <w:p w14:paraId="722E41E1"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lastRenderedPageBreak/>
        <w:t>11. Для возможности наилучшего использования коммерческого флота в качестве резерва для пополнения военно-морских сил вспомогательными судами в военное время (минные заградители, тральщики, авиатранспорты и проч.) обязать НКТП и НКВод при разработке проектов и постройке этих судов максимально подчинить строительство их интересам обороны, хотя бы с некоторым ущербом для эксплуатации судов в мирное время.</w:t>
      </w:r>
    </w:p>
    <w:p w14:paraId="73A2584F"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С этой целью: 1) Обязать ГУСП в течение 1933</w:t>
      </w:r>
      <w:r w:rsidRPr="00C33834">
        <w:rPr>
          <w:color w:val="000000" w:themeColor="text1"/>
          <w:sz w:val="16"/>
          <w:szCs w:val="16"/>
        </w:rPr>
        <w:noBreakHyphen/>
        <w:t>1935 гг. выполнить по заданиям НКВМ специальные оборудования на 25 торговых судах, находящихся в строю, а именно: а) закончить оборудование под минные заградители на заводах Балтийского района лесовозов IV серии («Куйбышев», «Микоян», «Бухарин», «Молотов») — 4 ед.; б) закончить оборудование под минные заградители на заводах Черноморского района черноморско-азовских теплоходов («Дельфин» и «Чайка») — 2 ед.; в) оборудовать под минные заградители на заводах Дальневосточного района лесовозов II серии («Григорий Зиновьев» и «Товарищ Красин») и тов[арно-]пассажирских пароходов («Астрахань», «Тобольск», «Теодор Нетте», «Симферополь») — 6 ед.; г) оборудовать под авиатранспорты на заводе Дальневосточного района дальневосточные пароходы («Сучан», «Север», «Свердловск», «Смоленск», «Сахалин» и «Сталинград») — 6 ед.; д) оборудовать под минные заградители на заводах Северного района лесовозы I, II и III серии («Урицкий», «Володарский», «М. Томский», «Товарищ Сталин», «Крестьянин», «Рабочий» и «Искра») — 7 ед.</w:t>
      </w:r>
    </w:p>
    <w:p w14:paraId="3622CD67"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2) Обязать ГУСП закончить в течение 1933</w:t>
      </w:r>
      <w:r w:rsidRPr="00C33834">
        <w:rPr>
          <w:color w:val="000000" w:themeColor="text1"/>
          <w:sz w:val="16"/>
          <w:szCs w:val="16"/>
        </w:rPr>
        <w:noBreakHyphen/>
        <w:t>1935 гг. постройку 16 торговых судов из числа строящихся и оборудовать их: а) под минные заградители — Балтийские лесовозы V и V</w:t>
      </w:r>
      <w:r w:rsidRPr="00C33834">
        <w:rPr>
          <w:color w:val="000000" w:themeColor="text1"/>
          <w:sz w:val="16"/>
          <w:szCs w:val="16"/>
        </w:rPr>
        <w:noBreakHyphen/>
        <w:t>бис серии — 4 ед.; б) под минные заградители Черноморские грузовые однопалубные пароходы 1500 т грузоподъемности — 4 ед.; в) под авиатранспорты Черноморские грузовые пароходы 3000 т грузоподъемности — 5 ед.; г) под авиатранспорты грузовые теплоходы для Каспийского моря 1650 т грузоподъемности — 3 ед.;</w:t>
      </w:r>
    </w:p>
    <w:p w14:paraId="702EC840"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3) При дальнейшей постройке судов торгфлота по заказам НКВода и НКСнаба предусмотреть следующее использование их по военному времени: а) тов[арно-]пассажирские теплоходы Черного моря под вспомогательные крейсеры; б) быстроходные пассажирские теплоходы на Балтийском, Северном и Тихоокеанском бассейнах в качестве вспомогательных крейсеров; в) рыболовные траулеры с осадкой не более 2,4 м в качестве тральщиков — 30 ед.</w:t>
      </w:r>
    </w:p>
    <w:p w14:paraId="4DC5254D"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4) НКВМ совместно с НКТП и НКВодом проверить возможность использования и оборудования в качестве плавбаз для подлодок 3</w:t>
      </w:r>
      <w:r w:rsidRPr="00C33834">
        <w:rPr>
          <w:color w:val="000000" w:themeColor="text1"/>
          <w:sz w:val="16"/>
          <w:szCs w:val="16"/>
        </w:rPr>
        <w:noBreakHyphen/>
        <w:t>5 судов Совторгфлота из числа уже построенных в СССР и закупленных за границей. Результаты проверки доложить правительству в месячный срок.</w:t>
      </w:r>
    </w:p>
    <w:p w14:paraId="1F34E419"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12. Обязать НКТП, под ответственность т. Фигатнера, провести в III квартале 1933 г. мобилизацию рабочих в количестве до 2 тыс. чел. с соответствующим числом мастеров и техперсонала для комплектования верфей Дальнего Востока.</w:t>
      </w:r>
    </w:p>
    <w:p w14:paraId="4B1F66DA"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13. Предложить НКВМ при увольнении в бессрочный отпуск краснофлотцев, красноармейцев из состава ОКДВА произвести отбор подходящих для судостроения квалифицированных рабочих и провести кампанию по их закреплению на судостроительных заводах ДВК.</w:t>
      </w:r>
    </w:p>
    <w:p w14:paraId="0EB995E3"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14. Разрешить НКТП за счет его контингентов выдать открытую лицензию на сумму до 100 тыс. руб. «Дальзаводу» и «Остону» на приобретение в Японии мелких вспомогательных материалов и инструментов.</w:t>
      </w:r>
    </w:p>
    <w:p w14:paraId="00B7CD08"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15. Ассигновать из резервного фонда СНК СССР на III и IV кварталы сверх плана 1933 г. 25 млн. руб. на строительство и оборудование судоверфей, в том числе 13 млн. руб. Амурверфи. Обязать НКТП, Главстройпром т. Гинзбурга обеспечить строительные работы судоверфей материалами наравне с военными стройками. НКТП в декадный срок представить потребность в добавочных капиталовложениях на отрасли промышленности, связанные с выполнением судостроительной программы.</w:t>
      </w:r>
    </w:p>
    <w:p w14:paraId="26415BCA" w14:textId="77777777" w:rsidR="00D067C1" w:rsidRPr="00C33834" w:rsidRDefault="00D067C1" w:rsidP="00C33834">
      <w:pPr>
        <w:pStyle w:val="ae"/>
        <w:spacing w:before="0" w:after="0"/>
        <w:jc w:val="both"/>
        <w:rPr>
          <w:color w:val="000000" w:themeColor="text1"/>
          <w:sz w:val="16"/>
          <w:szCs w:val="16"/>
        </w:rPr>
      </w:pPr>
      <w:r w:rsidRPr="00C33834">
        <w:rPr>
          <w:rStyle w:val="af0"/>
          <w:i w:val="0"/>
          <w:color w:val="000000" w:themeColor="text1"/>
          <w:sz w:val="16"/>
          <w:szCs w:val="16"/>
        </w:rPr>
        <w:t>Председатель Совета труда и обороны В. Молотов/Скрябин</w:t>
      </w:r>
    </w:p>
    <w:p w14:paraId="346B0A7C" w14:textId="77777777" w:rsidR="00D067C1" w:rsidRPr="00C33834" w:rsidRDefault="00D067C1" w:rsidP="00C33834">
      <w:pPr>
        <w:pStyle w:val="ae"/>
        <w:spacing w:before="0" w:after="0"/>
        <w:jc w:val="both"/>
        <w:rPr>
          <w:color w:val="000000" w:themeColor="text1"/>
          <w:sz w:val="16"/>
          <w:szCs w:val="16"/>
        </w:rPr>
      </w:pPr>
      <w:r w:rsidRPr="00C33834">
        <w:rPr>
          <w:rStyle w:val="af0"/>
          <w:i w:val="0"/>
          <w:color w:val="000000" w:themeColor="text1"/>
          <w:sz w:val="16"/>
          <w:szCs w:val="16"/>
        </w:rPr>
        <w:t>За секретаря Совета Труда и обороны Базилевич</w:t>
      </w:r>
    </w:p>
    <w:p w14:paraId="097DFB93" w14:textId="77777777" w:rsidR="00D067C1" w:rsidRPr="00C33834" w:rsidRDefault="00D067C1"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Примечания</w:t>
      </w:r>
      <w:r w:rsidRPr="00C33834">
        <w:rPr>
          <w:color w:val="000000" w:themeColor="text1"/>
          <w:sz w:val="16"/>
          <w:szCs w:val="16"/>
        </w:rPr>
        <w:t>:</w:t>
      </w:r>
    </w:p>
    <w:p w14:paraId="4128DAEE"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¹* Таблицы не публикуются (см. там же, л. 26</w:t>
      </w:r>
      <w:r w:rsidRPr="00C33834">
        <w:rPr>
          <w:color w:val="000000" w:themeColor="text1"/>
          <w:sz w:val="16"/>
          <w:szCs w:val="16"/>
        </w:rPr>
        <w:noBreakHyphen/>
        <w:t>31).</w:t>
      </w:r>
    </w:p>
    <w:p w14:paraId="5763B836"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²* </w:t>
      </w:r>
      <w:r w:rsidRPr="00C33834">
        <w:rPr>
          <w:rStyle w:val="af0"/>
          <w:bCs/>
          <w:i w:val="0"/>
          <w:color w:val="000000" w:themeColor="text1"/>
          <w:sz w:val="16"/>
          <w:szCs w:val="16"/>
        </w:rPr>
        <w:t>Главное управление судостроительной промышленности (ГУСП)</w:t>
      </w:r>
      <w:r w:rsidRPr="00C33834">
        <w:rPr>
          <w:color w:val="000000" w:themeColor="text1"/>
          <w:sz w:val="16"/>
          <w:szCs w:val="16"/>
        </w:rPr>
        <w:t xml:space="preserve"> было создано в апреле 1933 г. в системе Наркомата тяжелой промышленности СССР. 21 декабря 1933 г. постановлением СНК СССР № 2734 ГУСП было разделено на два главка: Главное управление морской судостроительной промышленности (Главморпром) и Главное управление речного судостроения (Главречпром). Начальником Главморпрома стал Р. А. Муклевич, Главречпрома — Д. Е. Березин.</w:t>
      </w:r>
    </w:p>
    <w:p w14:paraId="279EC663"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³* </w:t>
      </w:r>
      <w:r w:rsidRPr="00C33834">
        <w:rPr>
          <w:rStyle w:val="af0"/>
          <w:bCs/>
          <w:i w:val="0"/>
          <w:color w:val="000000" w:themeColor="text1"/>
          <w:sz w:val="16"/>
          <w:szCs w:val="16"/>
        </w:rPr>
        <w:t>Народный комиссариат финансов (НКФ) СССР</w:t>
      </w:r>
      <w:r w:rsidRPr="00C33834">
        <w:rPr>
          <w:color w:val="000000" w:themeColor="text1"/>
          <w:sz w:val="16"/>
          <w:szCs w:val="16"/>
        </w:rPr>
        <w:t xml:space="preserve"> был создан 6 июля 1923 г. В 1928</w:t>
      </w:r>
      <w:r w:rsidRPr="00C33834">
        <w:rPr>
          <w:color w:val="000000" w:themeColor="text1"/>
          <w:sz w:val="16"/>
          <w:szCs w:val="16"/>
        </w:rPr>
        <w:noBreakHyphen/>
        <w:t>1933 гг. была осуществлена коренная перестройка работы и структуры Наркомата финансов СССР. В основу был положен производственно-отраслевой принцип. Изменения коснулись всей структуры наркомата финансов. 8 марта 1933 г. решением ЦКК — НК РКИ и ЦК ВКП(б) учетно-экономический сектор учета и статистики был преобразован в сектор учета и статистики, сектор финансовой политики был упразднен, вновь создан сектор исполнения госбюджета. В этот же период работа по финансированию обороны страны была передана вновь созданному Управлению финансирования обороны, которое выделилось из состава Бюджетного управления. С принятием новой сталинской конституции 1936 г. ЦИК и СНК СССР было утверждено и новое положение о НКФ СССР 28 мая 1936 г. и дополнено постановлением ЦИК и СНК СССР 1 ноября 1937 г. согласно которым НКФ СССР руководил всей финансовой деятельностью в СССР. Соответственно функциям и задачам была утверждена структура центрального аппарата НКФ: Бюджетное управление, Управление государственных доходов, Управление налогов и сборов, управления по отраслям народного хозяйства. Управление (отдел) финансирования обороны имел те же функции, что и другие отраслевые управления и отделы в соответствующих отраслях народного хозяйства: рассмотрение проектов доходов и расходов наркоматов военной промышленности и оборонных ведомств СССР, проверка их расчетов по фондам заработной платы, анализ их финансовой и хозяйственной деятельности, контроль состояния основных и оборотных средств, за выполнением планов накоплений, планов финансирования капитального строительства и использованием амортизационных отчислений, за финансированием в пределах госбюджета, разработка заключений по отчетам и отчетным балансам наркоматов и ведомств. (РГАЭ. Ф. 7733. Д/ф. Т. 2. И/с; РГАЭ. Ф. 7733. Оп. 9. Д. 24. Л. 210</w:t>
      </w:r>
      <w:r w:rsidRPr="00C33834">
        <w:rPr>
          <w:color w:val="000000" w:themeColor="text1"/>
          <w:sz w:val="16"/>
          <w:szCs w:val="16"/>
        </w:rPr>
        <w:noBreakHyphen/>
        <w:t>211; СЗ. 1936 1937 вышел приказ НКОП № 29. ст. 268; СЗ. 1937 1937 вышел приказ НКОП № 71. ст. 335).</w:t>
      </w:r>
    </w:p>
    <w:p w14:paraId="112D847B"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 xml:space="preserve">⁴* Постановлением коллегии НКТП СССР № 53 от 8 февраля 1932 г. в составе НКТП было создано </w:t>
      </w:r>
      <w:r w:rsidRPr="00C33834">
        <w:rPr>
          <w:rStyle w:val="af0"/>
          <w:bCs/>
          <w:i w:val="0"/>
          <w:color w:val="000000" w:themeColor="text1"/>
          <w:sz w:val="16"/>
          <w:szCs w:val="16"/>
        </w:rPr>
        <w:t>Главное управление электротехнической и котлотурбинной промышленности (Главэнергопром)</w:t>
      </w:r>
      <w:r w:rsidRPr="00C33834">
        <w:rPr>
          <w:color w:val="000000" w:themeColor="text1"/>
          <w:sz w:val="16"/>
          <w:szCs w:val="16"/>
        </w:rPr>
        <w:t>. Этим же постановлением Всесоюзное электротехническое объединение ВСНХ СССР, Всесоюзное объединение электрослаботочной промышленности и ряд других объединений передавались в ведение Главэнергопрома. В целях дальнейшей специализации управления тяжелой промышленностью приказом по НКТП № 767 от 31 августа 1933 г. Главэнергопром был разукрупнен: из его ведения было выделено Главное управление слаботочной промышленности, а также ликвидированы ВЭО (ВЭСО) с подчинением ряда заводов непосредственно Главэнергопрому. Согласно этому же приказу на базе ВЭО был организован Государственный Всесоюзный электротехнический трест (ВЭТ) в составе Главэнергопрома. К 1937 г. в связи с развитием и дальнейшим усилением специализации различных отраслей электротехнической промышленности вновь возникла необходимость разукрупнения Главэнергопрома. Постановлением СНК СССР № 761 от 11 мая 1937 г. Главэнергопром был разукрупнен на два главка: Главное управление по производству электротехнического оборудования и Главное управление по производству теплосилового и электротехнического оборудования для электрических станций и судов, а также для крупных установок металлургической, химической и других отраслей промышленности. Этим же постановлением ВЭТ ликвидировался. В связи с постановлением СНК СССР № 1484 «О выделении из состава НКТП СССР машиностроительной промышленности и организации Наркоммаша СССР» от 29 августа 1937 г. и приказом по Наркомтяжпрому СССР и Наркоммашу СССР № 743/3 от 4 сентября 1937 г. главки вместе с рядом учреждений были переданы в состав Наркоммаша СССР. (РГАЭ. Ф. 7297. Оп. 44. Д. 1. Л. 29 об.; РГАЭ. Ф. 7297. Оп. 1. Д. 19. Л. 90</w:t>
      </w:r>
      <w:r w:rsidRPr="00C33834">
        <w:rPr>
          <w:color w:val="000000" w:themeColor="text1"/>
          <w:sz w:val="16"/>
          <w:szCs w:val="16"/>
        </w:rPr>
        <w:noBreakHyphen/>
        <w:t>91; СЗ, 1937 г 1937 вышел приказ НКОП № 34, ст. 139; СЗ, 1937, № 58, ст. 248.)</w:t>
      </w:r>
    </w:p>
    <w:p w14:paraId="1A402539" w14:textId="77777777" w:rsidR="00D067C1" w:rsidRPr="00C33834" w:rsidRDefault="00D067C1" w:rsidP="00C33834">
      <w:pPr>
        <w:pStyle w:val="rtejustify"/>
        <w:spacing w:before="0" w:after="0"/>
        <w:rPr>
          <w:color w:val="000000" w:themeColor="text1"/>
          <w:sz w:val="16"/>
          <w:szCs w:val="16"/>
        </w:rPr>
      </w:pPr>
      <w:r w:rsidRPr="00C33834">
        <w:rPr>
          <w:color w:val="000000" w:themeColor="text1"/>
          <w:sz w:val="16"/>
          <w:szCs w:val="16"/>
        </w:rPr>
        <w:t xml:space="preserve">⁵* Постановлением Президиума ВСНХ СССР № 649 от 13 сентября 1931 г. в целях усиления хозяйственного и технического руководства машиностроением и металлообработкой в составе ВСНХ было учреждено </w:t>
      </w:r>
      <w:r w:rsidRPr="00C33834">
        <w:rPr>
          <w:rStyle w:val="af0"/>
          <w:bCs/>
          <w:i w:val="0"/>
          <w:color w:val="000000" w:themeColor="text1"/>
          <w:sz w:val="16"/>
          <w:szCs w:val="16"/>
        </w:rPr>
        <w:t>Главное управление машиностроения и металлообработки (Главмашпром)</w:t>
      </w:r>
      <w:r w:rsidRPr="00C33834">
        <w:rPr>
          <w:color w:val="000000" w:themeColor="text1"/>
          <w:sz w:val="16"/>
          <w:szCs w:val="16"/>
        </w:rPr>
        <w:t>. Одновременно было утверждено положение о Главмашпроме и список объединений, трестов и учреждений ему подчиненных. 5 января 1932 г. с созданием Наркомата тяжелой промышленности Главмашпром был передан в его ведение и стал называться Главным управлением машиностроительной промышленности НКТП СССР. В ведении Главмашпрома находились объединения и тресты общесоюзного значения машиностроительной и металлообрабатывающей промышленности, а также проектирующие, монтажные и научно-исследовательские учреждения. В момент создания в 1931 г. таких организаций насчитывалось 32. Затем сеть подведомственных учреждений менялась. Некоторые объединения реорганизовывались в главки. Главмашпром был создан для планирования, регулирования и технического руководства машиностроением. В его функции входили: разработка перспективных планов развития машиностроительной промышленности, подготовка контрольных цифр по специальным отраслям машиностроения, наблюдение за их выполнением, распределением денежных средств и кредитов, наблюдение за количеством и качеством выполнения планов, руководство работой по улучшению качества продукции и организация контроля качества, организация снабжения и сбыта продукции, рассмотрение отчетов и балансов подведомственных учреждений. Структура Главмашпрома не была постоянной и часто подвергалась реорганизациям. В 1933 г. из Главмашпрома выделились Главметиз, Главстанкоинструмент, Главсельмаш и Главтопмаш. Ранее существовавшие секторы преобразовались в отделы. Образовались отраслевые и функциональные отделы. Отраслевые — горного оборудования, непосредственного подчинения заводов, тяжелого и общего машиностроения, оборудования для легкой промышленности, коммунально-бытового оборудования, массового производства. Функциональные — снабжения, технико-организационный, планово-экономический, спецотдел, группы баланса, литья и поковок, оборудования и главного инженера. Приказом НКТП СССР № 42 от 9 января 1935 г. во исполнение постановления СНК СССР № 37 от того же числа Главмашпром был разукрупнен на 4 главка: Главгормаш, Главлегмаш, Главсредмаш и Главармалит. (РГАЭ. Ф. 3429. Оп. 57. Д. 327. Л. 131; Ф. 3429. Оп. 57. Д. 327. Л. 131; Ф. 8081. Оп. 1. Д. 43. Л. 11</w:t>
      </w:r>
      <w:r w:rsidRPr="00C33834">
        <w:rPr>
          <w:color w:val="000000" w:themeColor="text1"/>
          <w:sz w:val="16"/>
          <w:szCs w:val="16"/>
        </w:rPr>
        <w:noBreakHyphen/>
        <w:t>12; Ф. 2765. Оп. 1. Д. 67. Л. 13; Ф. 8081. Оп. 1).</w:t>
      </w:r>
    </w:p>
    <w:p w14:paraId="29E0BA93" w14:textId="77777777" w:rsidR="00D067C1" w:rsidRPr="00C33834" w:rsidRDefault="00D067C1" w:rsidP="00C33834">
      <w:pPr>
        <w:pStyle w:val="ae"/>
        <w:spacing w:before="0" w:after="0"/>
        <w:jc w:val="both"/>
        <w:rPr>
          <w:color w:val="000000" w:themeColor="text1"/>
          <w:sz w:val="16"/>
          <w:szCs w:val="16"/>
        </w:rPr>
      </w:pPr>
      <w:r w:rsidRPr="00C33834">
        <w:rPr>
          <w:color w:val="000000" w:themeColor="text1"/>
          <w:sz w:val="16"/>
          <w:szCs w:val="16"/>
        </w:rPr>
        <w:t>ГА РФ. Ф. Р-8418. Оп. 28. Д. 2. Л. 13-25. Подлинник (15273).</w:t>
      </w:r>
    </w:p>
    <w:p w14:paraId="2D625C17" w14:textId="77777777" w:rsidR="00D067C1" w:rsidRPr="00C33834" w:rsidRDefault="00D067C1" w:rsidP="00C33834">
      <w:pPr>
        <w:spacing w:after="0" w:line="240" w:lineRule="auto"/>
        <w:jc w:val="both"/>
        <w:rPr>
          <w:rFonts w:ascii="Times New Roman" w:hAnsi="Times New Roman"/>
          <w:color w:val="000000" w:themeColor="text1"/>
          <w:sz w:val="16"/>
          <w:szCs w:val="16"/>
        </w:rPr>
      </w:pPr>
    </w:p>
    <w:p w14:paraId="3173AB28" w14:textId="77777777" w:rsidR="00C22911" w:rsidRPr="00C33834" w:rsidRDefault="00C22911"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11 июля 1933 г. постановлением правительства от на «Красное Сормово» было возложено обязательство, помимо уже изготовляемых, построить в течение пяти лет еще 26 средних подлодок типа «Щука». А это уже было серьезно. Этим же постановлением «Красное Сормово» становилось дублером по производству торпедного вооружения (торпедных аппаратов, толкачей, компрессоров) для подлодок, мониторов и канонерских лодок с заданием произвести во второй пятилетке 900 единиц. </w:t>
      </w:r>
      <w:r w:rsidRPr="00C33834">
        <w:rPr>
          <w:rFonts w:ascii="Times New Roman" w:hAnsi="Times New Roman"/>
          <w:color w:val="000000" w:themeColor="text1"/>
          <w:sz w:val="16"/>
          <w:szCs w:val="16"/>
        </w:rPr>
        <w:lastRenderedPageBreak/>
        <w:t>Помимо этого, завод должен был организовать производство немецких дизелей специального типа мощностью 3000–4000 л.с. Директор завода В. Сурков и его окружение хватались за голову от полученных заданий партии, но наркомат тяжелой промышленности дополнительно поставил заводу задачу построить еще и семь речных мониторов и восемь канонерских лодок! При этом надо учесть, что, кроме основного производства, на «Красном Сормове» по-прежнему производились железнодорожные вагоны и трамваи, а также коленчатые валы для Коломенского завода (1700 т в год). [159 — ГУ ЦАНО, Ф. 15, Оп. 3, Д. 141, Л. 7–9.]. Ясно, что даже с учетом расширения производственных площадей и ликвидации вагоностроения столь масштабная и многообразная программа была заведомо невыполнимой. Только для производства механизмов подводных лодок требовались минимум 340 станков, а в наличии имелись лишь 70, не говоря уже о нехватке рабочей силы. Но и дальше «партия и правительство» не переставали «радовать» завод № 112 своими планами и заданиями, которые нередко и самым противоположным образом изменялись. Так, например, согласно постановлению СНК от 25 августа 1933 г., «Красное Сормово» должно было приступить еще и к освоению производства мин. Для этого завод получил приказ прекратить уже налаженный выпуск 107 и 203-мм фугасных снарядов. Однако вскоре это решение признали нецелесообразным и отменили. В сентябре завод получил задание, кроме торпедных аппаратов, организовать производство «толкачей» для сбрасывания торпед с торпедных катеров. Однако из-за большой загруженности цехов оно так и не было выполнено. Заводы, входившие тогда в объединение «Союзверфь», не имели своих конструкторских бюро. Все проектирование и разработка рабочих чертежей выполнялись ЦКБ-18 и подчиненным ему ЦКБС-2, занимающимся подводными лодками. ЦКБС-2 с самого начала несвоевременно и некомплектно присылало необходимые чертежи, работая по принципу: «начинайте строить, а как строить, узнаете потом» (11741).</w:t>
      </w:r>
    </w:p>
    <w:p w14:paraId="3D79FE57" w14:textId="77777777" w:rsidR="00C22911" w:rsidRPr="00C33834" w:rsidRDefault="00C22911" w:rsidP="00C33834">
      <w:pPr>
        <w:shd w:val="clear" w:color="auto" w:fill="FFFFFF"/>
        <w:spacing w:after="0" w:line="240" w:lineRule="auto"/>
        <w:jc w:val="both"/>
        <w:rPr>
          <w:rFonts w:ascii="Times New Roman" w:hAnsi="Times New Roman"/>
          <w:color w:val="000000" w:themeColor="text1"/>
          <w:sz w:val="16"/>
          <w:szCs w:val="16"/>
        </w:rPr>
      </w:pPr>
    </w:p>
    <w:p w14:paraId="0C1F1D29" w14:textId="77777777" w:rsidR="00D067C1" w:rsidRPr="00C33834" w:rsidRDefault="008E43FA"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20AE614C" w14:textId="77777777" w:rsidR="00D067C1" w:rsidRPr="00C33834" w:rsidRDefault="00D067C1" w:rsidP="00C33834">
      <w:pPr>
        <w:spacing w:after="0" w:line="240" w:lineRule="auto"/>
        <w:jc w:val="both"/>
        <w:rPr>
          <w:rFonts w:ascii="Times New Roman" w:hAnsi="Times New Roman"/>
          <w:iCs/>
          <w:color w:val="000000" w:themeColor="text1"/>
          <w:sz w:val="16"/>
          <w:szCs w:val="16"/>
        </w:rPr>
      </w:pPr>
    </w:p>
    <w:p w14:paraId="5CD76B50" w14:textId="77777777" w:rsidR="00D067C1" w:rsidRPr="00C33834" w:rsidRDefault="00D067C1" w:rsidP="00C33834">
      <w:pPr>
        <w:pStyle w:val="rtejustify"/>
        <w:spacing w:before="0" w:after="0"/>
        <w:rPr>
          <w:color w:val="000000" w:themeColor="text1"/>
          <w:sz w:val="16"/>
          <w:szCs w:val="16"/>
        </w:rPr>
      </w:pPr>
      <w:r w:rsidRPr="00C33834">
        <w:rPr>
          <w:rStyle w:val="af0"/>
          <w:bCs/>
          <w:i w:val="0"/>
          <w:color w:val="000000" w:themeColor="text1"/>
          <w:sz w:val="16"/>
          <w:szCs w:val="16"/>
        </w:rPr>
        <w:t>11 июля</w:t>
      </w:r>
      <w:r w:rsidRPr="00C33834">
        <w:rPr>
          <w:color w:val="000000" w:themeColor="text1"/>
          <w:sz w:val="16"/>
          <w:szCs w:val="16"/>
        </w:rPr>
        <w:t xml:space="preserve"> 1933. Постановление СТО СССР № 59сс/о «О развитии военно-морских баз и аэродромного строительства на Черном море». (ГА РФ. Ф. Р</w:t>
      </w:r>
      <w:r w:rsidRPr="00C33834">
        <w:rPr>
          <w:color w:val="000000" w:themeColor="text1"/>
          <w:sz w:val="16"/>
          <w:szCs w:val="16"/>
        </w:rPr>
        <w:noBreakHyphen/>
        <w:t>8418. Оп. 28. Д. 2. Л. 32</w:t>
      </w:r>
      <w:r w:rsidRPr="00C33834">
        <w:rPr>
          <w:color w:val="000000" w:themeColor="text1"/>
          <w:sz w:val="16"/>
          <w:szCs w:val="16"/>
        </w:rPr>
        <w:noBreakHyphen/>
        <w:t>50) (15460).</w:t>
      </w:r>
    </w:p>
    <w:p w14:paraId="4F3CB993" w14:textId="77777777" w:rsidR="00D067C1" w:rsidRPr="00C33834" w:rsidRDefault="00D067C1" w:rsidP="00C33834">
      <w:pPr>
        <w:pStyle w:val="rtejustify"/>
        <w:spacing w:before="0" w:after="0"/>
        <w:rPr>
          <w:color w:val="000000" w:themeColor="text1"/>
          <w:sz w:val="16"/>
          <w:szCs w:val="16"/>
        </w:rPr>
      </w:pPr>
    </w:p>
    <w:p w14:paraId="67A80A40" w14:textId="77777777" w:rsidR="00D067C1" w:rsidRPr="00C33834" w:rsidRDefault="00D067C1" w:rsidP="00C33834">
      <w:pPr>
        <w:pStyle w:val="rtejustify"/>
        <w:spacing w:before="0" w:after="0"/>
        <w:rPr>
          <w:color w:val="000000" w:themeColor="text1"/>
          <w:sz w:val="16"/>
          <w:szCs w:val="16"/>
        </w:rPr>
      </w:pPr>
      <w:r w:rsidRPr="00C33834">
        <w:rPr>
          <w:rStyle w:val="af0"/>
          <w:bCs/>
          <w:i w:val="0"/>
          <w:color w:val="000000" w:themeColor="text1"/>
          <w:sz w:val="16"/>
          <w:szCs w:val="16"/>
        </w:rPr>
        <w:t>11 июля</w:t>
      </w:r>
      <w:r w:rsidRPr="00C33834">
        <w:rPr>
          <w:color w:val="000000" w:themeColor="text1"/>
          <w:sz w:val="16"/>
          <w:szCs w:val="16"/>
        </w:rPr>
        <w:t xml:space="preserve"> 1933. Постановление СТО СССР № 60сс/о «О прорытии Кронштадского фарватера». (ГА РФ. Ф. Р</w:t>
      </w:r>
      <w:r w:rsidRPr="00C33834">
        <w:rPr>
          <w:color w:val="000000" w:themeColor="text1"/>
          <w:sz w:val="16"/>
          <w:szCs w:val="16"/>
        </w:rPr>
        <w:noBreakHyphen/>
        <w:t>8418. Оп. 28. Д. 2. Л. 51</w:t>
      </w:r>
      <w:r w:rsidRPr="00C33834">
        <w:rPr>
          <w:color w:val="000000" w:themeColor="text1"/>
          <w:sz w:val="16"/>
          <w:szCs w:val="16"/>
        </w:rPr>
        <w:noBreakHyphen/>
        <w:t>52) (15460).</w:t>
      </w:r>
    </w:p>
    <w:p w14:paraId="349E2EE3" w14:textId="77777777" w:rsidR="00D067C1" w:rsidRPr="00C33834" w:rsidRDefault="00D067C1" w:rsidP="00C33834">
      <w:pPr>
        <w:pStyle w:val="rtejustify"/>
        <w:spacing w:before="0" w:after="0"/>
        <w:rPr>
          <w:color w:val="000000" w:themeColor="text1"/>
          <w:sz w:val="16"/>
          <w:szCs w:val="16"/>
        </w:rPr>
      </w:pPr>
    </w:p>
    <w:p w14:paraId="33799B0C" w14:textId="77777777" w:rsidR="00C2291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B3DFA5E"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73BACE46" w14:textId="77777777" w:rsidR="00A91CEB" w:rsidRPr="00C33834" w:rsidRDefault="00A91CE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11 июля в 1933 году первый полет восьмиместного пассажирского транспортного самолета </w:t>
      </w:r>
      <w:hyperlink r:id="rId259" w:tgtFrame="_blank" w:history="1">
        <w:r w:rsidRPr="00C33834">
          <w:rPr>
            <w:rFonts w:ascii="Times New Roman" w:hAnsi="Times New Roman"/>
            <w:color w:val="000000" w:themeColor="text1"/>
            <w:sz w:val="16"/>
            <w:szCs w:val="16"/>
          </w:rPr>
          <w:t xml:space="preserve">«Dewoitine» «D.332». </w:t>
        </w:r>
      </w:hyperlink>
      <w:r w:rsidRPr="00C33834">
        <w:rPr>
          <w:rFonts w:ascii="Times New Roman" w:hAnsi="Times New Roman"/>
          <w:color w:val="000000" w:themeColor="text1"/>
          <w:sz w:val="16"/>
          <w:szCs w:val="16"/>
        </w:rPr>
        <w:t>«D.332» «Emeraude» - транспортный самолет, разработанный французской компанией «Dewoitine». Цельнометаллический свободнонесущий низкоплан «Dewoitine» «D.332» был восьмиместным пассажирским транспортным самолетом Основные стойки его шасси снабжались обтекателями типа штанина, а однокилевое вертикальное оперение имело подкосы и типичные для самолетов Dewoitine очертания. Командир корабля и второй пилот располагались бок о бок в кабине оборудованной впереди передней кромки крыла, а радист размещался сразу за ними. Комфортабельная пассажирская кабина была просторной, хорошо обогреваемой и проветриваемой, пассажирские кресла могли раскладываться для удобства во время ночных перелетов. Тяга создавалась тремя звездообразными двигателями Wright Cyclone, построенными по лицензии компанией «Hispano-Suiza». Этот новый самолет, названный «Еmeraude», совершил несколько впечатляющих демонстрационных полетов в различные европейские столицы (14949).</w:t>
      </w:r>
    </w:p>
    <w:p w14:paraId="6088435F" w14:textId="77777777" w:rsidR="00A91CEB" w:rsidRPr="00C33834" w:rsidRDefault="00A91CEB" w:rsidP="00C33834">
      <w:pPr>
        <w:spacing w:after="0" w:line="240" w:lineRule="auto"/>
        <w:jc w:val="both"/>
        <w:rPr>
          <w:rFonts w:ascii="Times New Roman" w:hAnsi="Times New Roman"/>
          <w:color w:val="000000" w:themeColor="text1"/>
          <w:sz w:val="16"/>
          <w:szCs w:val="16"/>
        </w:rPr>
      </w:pPr>
    </w:p>
    <w:p w14:paraId="668D7BBC"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июля 1933 в Женеве принята международная конвенция по контролю за наркотиками (4962).</w:t>
      </w:r>
    </w:p>
    <w:p w14:paraId="5CD0CE89"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p>
    <w:p w14:paraId="5190458B" w14:textId="77777777" w:rsidR="00C2291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6C8D54A"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01AB5207"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12-го июля в 5:40 по мо</w:t>
      </w:r>
      <w:r w:rsidRPr="00C33834">
        <w:rPr>
          <w:rFonts w:ascii="Times New Roman" w:hAnsi="Times New Roman"/>
          <w:color w:val="000000" w:themeColor="text1"/>
          <w:sz w:val="16"/>
          <w:szCs w:val="16"/>
        </w:rPr>
        <w:softHyphen/>
        <w:t xml:space="preserve">сковскому времени Савойя </w:t>
      </w:r>
      <w:r w:rsidRPr="00C33834">
        <w:rPr>
          <w:rFonts w:ascii="Times New Roman" w:hAnsi="Times New Roman"/>
          <w:color w:val="000000" w:themeColor="text1"/>
          <w:sz w:val="16"/>
          <w:szCs w:val="16"/>
          <w:lang w:val="en-US"/>
        </w:rPr>
        <w:t>S</w:t>
      </w:r>
      <w:r w:rsidRPr="00C33834">
        <w:rPr>
          <w:rFonts w:ascii="Times New Roman" w:hAnsi="Times New Roman"/>
          <w:color w:val="000000" w:themeColor="text1"/>
          <w:sz w:val="16"/>
          <w:szCs w:val="16"/>
        </w:rPr>
        <w:t>.55 зав. № 10526 под управлением л Бухгольца вылетела из Ейска в Вольск. На борту находились: командир корабля Бенедикт Леонович Бухгольц, второй пилот Виталий Косухин, летчик-наблюдатель Владимир Петрович Падалко, бортмеханик Олег Ростиславович Карбановский и коррес</w:t>
      </w:r>
      <w:r w:rsidRPr="00C33834">
        <w:rPr>
          <w:rFonts w:ascii="Times New Roman" w:hAnsi="Times New Roman"/>
          <w:color w:val="000000" w:themeColor="text1"/>
          <w:sz w:val="16"/>
          <w:szCs w:val="16"/>
        </w:rPr>
        <w:softHyphen/>
        <w:t>пондент «Комсомольской правды» Николай Кабанов, фамилию которого, впрочем, никто из экипажа не знал, и звали только по псевдо</w:t>
      </w:r>
      <w:r w:rsidRPr="00C33834">
        <w:rPr>
          <w:rFonts w:ascii="Times New Roman" w:hAnsi="Times New Roman"/>
          <w:color w:val="000000" w:themeColor="text1"/>
          <w:sz w:val="16"/>
          <w:szCs w:val="16"/>
        </w:rPr>
        <w:softHyphen/>
        <w:t>ниму «Том». Посадка и взлет в Ейске прошли хорошо. Моторы работали безукоризненно. Самолет шел плавно, не раз Бухгольц бросал управление, но самолет продолжал ле</w:t>
      </w:r>
      <w:r w:rsidRPr="00C33834">
        <w:rPr>
          <w:rFonts w:ascii="Times New Roman" w:hAnsi="Times New Roman"/>
          <w:color w:val="000000" w:themeColor="text1"/>
          <w:sz w:val="16"/>
          <w:szCs w:val="16"/>
        </w:rPr>
        <w:softHyphen/>
        <w:t>теть горизонтально. До Сталинграда шли на высоте 600 м. На Волгу вышли в районе горо</w:t>
      </w:r>
      <w:r w:rsidRPr="00C33834">
        <w:rPr>
          <w:rFonts w:ascii="Times New Roman" w:hAnsi="Times New Roman"/>
          <w:color w:val="000000" w:themeColor="text1"/>
          <w:sz w:val="16"/>
          <w:szCs w:val="16"/>
        </w:rPr>
        <w:softHyphen/>
        <w:t>да. От Сталинграда снизились и шли бреющим на высоте 10 м. После Камышина поднялись на 350 м и на этой высоте пошли дальше. Срезав большой сухопутный участок и удаляясь от бе</w:t>
      </w:r>
      <w:r w:rsidRPr="00C33834">
        <w:rPr>
          <w:rFonts w:ascii="Times New Roman" w:hAnsi="Times New Roman"/>
          <w:color w:val="000000" w:themeColor="text1"/>
          <w:sz w:val="16"/>
          <w:szCs w:val="16"/>
        </w:rPr>
        <w:softHyphen/>
        <w:t>рега на 15-20 км, вышли на Марксштадт. Здесь Падалко подсчитал крейсерскую скорость, по</w:t>
      </w:r>
      <w:r w:rsidRPr="00C33834">
        <w:rPr>
          <w:rFonts w:ascii="Times New Roman" w:hAnsi="Times New Roman"/>
          <w:color w:val="000000" w:themeColor="text1"/>
          <w:sz w:val="16"/>
          <w:szCs w:val="16"/>
        </w:rPr>
        <w:softHyphen/>
        <w:t>лучилось 179 км/ч, и определил время полета до Вольска - оставалось минут 20. Штурман сообщил об этом запиской Бухгольцу и начал собирать карты и вещи. Примерно через 7 минут (в 11:30 московско</w:t>
      </w:r>
      <w:r w:rsidRPr="00C33834">
        <w:rPr>
          <w:rFonts w:ascii="Times New Roman" w:hAnsi="Times New Roman"/>
          <w:color w:val="000000" w:themeColor="text1"/>
          <w:sz w:val="16"/>
          <w:szCs w:val="16"/>
        </w:rPr>
        <w:softHyphen/>
        <w:t>го времени) произошла катастрофа - у села Воскресенск самолет опять снизился и шел брею</w:t>
      </w:r>
      <w:r w:rsidRPr="00C33834">
        <w:rPr>
          <w:rFonts w:ascii="Times New Roman" w:hAnsi="Times New Roman"/>
          <w:color w:val="000000" w:themeColor="text1"/>
          <w:sz w:val="16"/>
          <w:szCs w:val="16"/>
        </w:rPr>
        <w:softHyphen/>
        <w:t>щим над серединой фарватера Волги на высоте не более 10-15 м со скоростью 170-200 км/ч. Не доходя до Вольска 20 км, самолет провалился с работающими на тех же оборотах моторами и на большой скорости (200 км/ч) с правым креном врезался в воду. Состояние погоды в момент ка</w:t>
      </w:r>
      <w:r w:rsidRPr="00C33834">
        <w:rPr>
          <w:rFonts w:ascii="Times New Roman" w:hAnsi="Times New Roman"/>
          <w:color w:val="000000" w:themeColor="text1"/>
          <w:sz w:val="16"/>
          <w:szCs w:val="16"/>
        </w:rPr>
        <w:softHyphen/>
        <w:t>тастрофы - полный штиль с ясной видимостью и с зеркальной поверхностью воды.</w:t>
      </w:r>
    </w:p>
    <w:p w14:paraId="2476775D"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был разбит вдребезги. Бухгольц, Падалко и Карбановский оказались плаваю</w:t>
      </w:r>
      <w:r w:rsidRPr="00C33834">
        <w:rPr>
          <w:rFonts w:ascii="Times New Roman" w:hAnsi="Times New Roman"/>
          <w:color w:val="000000" w:themeColor="text1"/>
          <w:sz w:val="16"/>
          <w:szCs w:val="16"/>
        </w:rPr>
        <w:softHyphen/>
        <w:t>щими в воде. Косухин и Том утонули сразу. Бухгольц находился в бессознательном состо</w:t>
      </w:r>
      <w:r w:rsidRPr="00C33834">
        <w:rPr>
          <w:rFonts w:ascii="Times New Roman" w:hAnsi="Times New Roman"/>
          <w:color w:val="000000" w:themeColor="text1"/>
          <w:sz w:val="16"/>
          <w:szCs w:val="16"/>
        </w:rPr>
        <w:softHyphen/>
        <w:t>янии.</w:t>
      </w:r>
    </w:p>
    <w:p w14:paraId="6FCDF3B1"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Первыми к месту катастрофы прибыли ры</w:t>
      </w:r>
      <w:r w:rsidRPr="00C33834">
        <w:rPr>
          <w:rFonts w:ascii="Times New Roman" w:hAnsi="Times New Roman"/>
          <w:color w:val="000000" w:themeColor="text1"/>
          <w:sz w:val="16"/>
          <w:szCs w:val="16"/>
        </w:rPr>
        <w:softHyphen/>
        <w:t>баки, которые вытащили из воды трех авиато</w:t>
      </w:r>
      <w:r w:rsidRPr="00C33834">
        <w:rPr>
          <w:rFonts w:ascii="Times New Roman" w:hAnsi="Times New Roman"/>
          <w:color w:val="000000" w:themeColor="text1"/>
          <w:sz w:val="16"/>
          <w:szCs w:val="16"/>
        </w:rPr>
        <w:softHyphen/>
        <w:t>ров. Однако, Бухгольц через три минуты после подъема на борт проходящего поблизости те</w:t>
      </w:r>
      <w:r w:rsidRPr="00C33834">
        <w:rPr>
          <w:rFonts w:ascii="Times New Roman" w:hAnsi="Times New Roman"/>
          <w:color w:val="000000" w:themeColor="text1"/>
          <w:sz w:val="16"/>
          <w:szCs w:val="16"/>
        </w:rPr>
        <w:softHyphen/>
        <w:t>плохода «Наманган» скончался.</w:t>
      </w:r>
    </w:p>
    <w:p w14:paraId="4B0AB407"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13-го июля была назначена аварийная ко</w:t>
      </w:r>
      <w:r w:rsidRPr="00C33834">
        <w:rPr>
          <w:rFonts w:ascii="Times New Roman" w:hAnsi="Times New Roman"/>
          <w:color w:val="000000" w:themeColor="text1"/>
          <w:sz w:val="16"/>
          <w:szCs w:val="16"/>
        </w:rPr>
        <w:softHyphen/>
        <w:t>миссия. Вскоре комиссия прибыла на место и начала работу (11975).</w:t>
      </w:r>
    </w:p>
    <w:p w14:paraId="74A94B94"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23D57F95" w14:textId="77777777" w:rsidR="00D22BAD" w:rsidRPr="00C33834" w:rsidRDefault="00D22BA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12 июля 1933 ротор переставили на первый опыт</w:t>
      </w:r>
      <w:r w:rsidRPr="00C33834">
        <w:rPr>
          <w:rFonts w:ascii="Times New Roman" w:hAnsi="Times New Roman"/>
          <w:color w:val="0070C0"/>
          <w:sz w:val="16"/>
          <w:szCs w:val="16"/>
        </w:rPr>
        <w:softHyphen/>
        <w:t>ный А-4 постройки ЗОК, после чего 13 июля летчик Попов выполнил пробный полет на высоте 350 м. 17 августа произошла очередная поломка в момент посадки.</w:t>
      </w:r>
    </w:p>
    <w:p w14:paraId="508C33AC" w14:textId="77777777" w:rsidR="00D22BAD" w:rsidRPr="00C33834" w:rsidRDefault="00D22BA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Как видим, испытательные полеты автожиров А-4 проис</w:t>
      </w:r>
      <w:r w:rsidRPr="00C33834">
        <w:rPr>
          <w:rFonts w:ascii="Times New Roman" w:hAnsi="Times New Roman"/>
          <w:color w:val="0070C0"/>
          <w:sz w:val="16"/>
          <w:szCs w:val="16"/>
        </w:rPr>
        <w:softHyphen/>
        <w:t>ходили с преодолением многочисленных трудностей. Ле</w:t>
      </w:r>
      <w:r w:rsidRPr="00C33834">
        <w:rPr>
          <w:rFonts w:ascii="Times New Roman" w:hAnsi="Times New Roman"/>
          <w:color w:val="0070C0"/>
          <w:sz w:val="16"/>
          <w:szCs w:val="16"/>
        </w:rPr>
        <w:softHyphen/>
        <w:t>том 1933 г. два первых автожира (московской и киевской постройки) летали уже вполне уверенно - по состоянию на 4 августа они совершили 28 полетов с общим полетным временем 7 часов 53 минуты (20381).</w:t>
      </w:r>
    </w:p>
    <w:p w14:paraId="2DA71E55" w14:textId="77777777" w:rsidR="00D22BAD" w:rsidRPr="00C33834" w:rsidRDefault="00D22BAD" w:rsidP="00C33834">
      <w:pPr>
        <w:spacing w:after="0" w:line="240" w:lineRule="auto"/>
        <w:jc w:val="both"/>
        <w:rPr>
          <w:rFonts w:ascii="Times New Roman" w:hAnsi="Times New Roman"/>
          <w:color w:val="0070C0"/>
          <w:sz w:val="16"/>
          <w:szCs w:val="16"/>
        </w:rPr>
      </w:pPr>
    </w:p>
    <w:p w14:paraId="1DC56135" w14:textId="77777777" w:rsidR="00DA2E77" w:rsidRPr="00C33834" w:rsidRDefault="00DA2E77" w:rsidP="00C33834">
      <w:pPr>
        <w:spacing w:after="0" w:line="240" w:lineRule="auto"/>
        <w:jc w:val="both"/>
        <w:rPr>
          <w:rFonts w:ascii="Times New Roman" w:hAnsi="Times New Roman"/>
          <w:bCs/>
          <w:color w:val="000000" w:themeColor="text1"/>
          <w:sz w:val="16"/>
          <w:szCs w:val="16"/>
          <w:vertAlign w:val="subscript"/>
        </w:rPr>
      </w:pPr>
      <w:r w:rsidRPr="00C33834">
        <w:rPr>
          <w:rFonts w:ascii="Times New Roman" w:hAnsi="Times New Roman"/>
          <w:color w:val="000000" w:themeColor="text1"/>
          <w:sz w:val="16"/>
          <w:szCs w:val="16"/>
        </w:rPr>
        <w:t>12 июля в 1933 году катастрофа самолёта «Савойя-55». Погиб летчик-испытатель Б.Л.Бухгольц. Поднял в небо «И-5» (29 апреля 1930), «ТБ-5» («ЦКБ-восемь») (1 мая 1931), «АИР-2с» (18 мая 1931), «МДР-3» («ЦКБ-11») (14 января 1932), «МБР-2» (3 марта 1932),. Принимал участие в испытаниях самолётов «П-2» (1928), «ТШ-1» (1931), «МДР-2» (2АНТ-восемь») (1931), «И-Z» (1931), «ДИ-4» (1932), «МИ-3» (1933). Погиб при перегонке с Чёрного моря гидросамолёта «Савойя-55»;</w:t>
      </w:r>
    </w:p>
    <w:p w14:paraId="382EEC38" w14:textId="77777777" w:rsidR="00DA2E77" w:rsidRPr="00C33834" w:rsidRDefault="00DA2E77" w:rsidP="00C33834">
      <w:pPr>
        <w:spacing w:after="0" w:line="240" w:lineRule="auto"/>
        <w:jc w:val="both"/>
        <w:rPr>
          <w:rFonts w:ascii="Times New Roman" w:hAnsi="Times New Roman"/>
          <w:bCs/>
          <w:color w:val="000000" w:themeColor="text1"/>
          <w:sz w:val="16"/>
          <w:szCs w:val="16"/>
          <w:vertAlign w:val="subscript"/>
        </w:rPr>
      </w:pPr>
    </w:p>
    <w:p w14:paraId="7B29027F"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июля 1933 С.П.К. руководил испытаниями экспериментальной камеры сгорания ЭК-4 с использованием фосфора в качестве горючего. Получены положительные результаты (Там же, № 94, л. 29) (10676).</w:t>
      </w:r>
    </w:p>
    <w:p w14:paraId="6F51C063"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2E4E98B7" w14:textId="77777777" w:rsidR="00C2291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8457CF9"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3CD823CA"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июля 1933 года началась работа на стройплощадке завода № 199. Вместо традиционных стапелей, неприменимых на Амуре с его сезонными перепадами уровня воды в 10 м., требовалось соорудить систему бассейнов и наливных доков. По окончанию сборки корпуса корабля док и бассейн заполнялись водой, корабль всплывал и переводился буксиром к достроечной набережной. Из-за сложности основных сооружений сметная стоимость строительства превысила 600 млн. руб. Отсутствовали пути подвоза, не хватало стройматериалов и оборудования. Тем не менее, уже 19 июля 1934 года на стройплощадку дала ток введенная в строй заводская электростанция, а к 1 июля 1936 года основные цеха завода были приняты в эксплуатацию (3898).</w:t>
      </w:r>
    </w:p>
    <w:p w14:paraId="4AE1D339"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54711F8D"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июля 1933 г. началась работа на стройплощадках. Задача, поставленная перед проектировщиками и строителями проектом, была архисложной. Вместо традиционных стапелей, неприменимых на Амуре с его сезонными перепадами уровня воды в 10 м, требовалось соорудить систему бассейнов и наливных доков. По окончании сборки корпуса корабля док и бассейн заполнялись водой, корабль всплывал и переводился буксиром к достроечной набережной. Из-за сложности основных сооружений сметная стоимость строительства превысила 600 млн. руб. Отсутствовали пути подвоза, не хватало стройматериалов и оборудования. Тем не менее, уже 19 июля 1934 г. на стройплощадку дала ток введенная в строй заводская электростанция, а к 1 июля 1936 г. основные цеха завода были приняты в эксплуатацию. Основа для укрепления тихоокеанского флота СССР была заложена.</w:t>
      </w:r>
    </w:p>
    <w:p w14:paraId="12D44901"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Строительство № 199 стало первым опытом работы ГУЛАГа НКВД по сооружению крупных объектов стало. В только что основанном Комсомольске-на-Амуре требовалось возвести современный судостроительный завод. Главным препятствием для развертывания серьезных морских сил на Дальнем Востоке было полное отсутствие судостроительной базы. Владивостокский Дальзавод устарел еще в русско-японскую войну. На нем еще можно было ремонтировать сторожевые корабли, подлодки и торпедные катера, перевезенные на ТОФ в трюмах транспортных судов. Но эсминец, а тем более крейсер, не перевезешь в трюме лесовоза. Требовалось срочное создание нового судостроительного завода. Во Владивостоке его негде было разместить, Хабаровск, лежавший у самой границы, тоже не годился. В феврале 1932 г. специальная комиссия остановила свой выбор на селе Пермском, стоящем на левом берегу Амура, ближе к устью. Время торопило, и проект был утвержден </w:t>
      </w:r>
      <w:r w:rsidRPr="00C33834">
        <w:rPr>
          <w:rFonts w:ascii="Times New Roman" w:hAnsi="Times New Roman"/>
          <w:color w:val="000000" w:themeColor="text1"/>
          <w:sz w:val="16"/>
          <w:szCs w:val="16"/>
        </w:rPr>
        <w:lastRenderedPageBreak/>
        <w:t>за полгода к августу 1932 г. Вести строительство было поручено тресту Дальстрой, но привлекались также осужденные Дальлага, которые вели работы в зоне нового строительства.</w:t>
      </w:r>
    </w:p>
    <w:p w14:paraId="75016A9A"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Но построить корабли мало, их нужно еще вывести с завода и провести через мелководное устье Амура. Для обеспечения проводки Дальстрой организовал "строительство № 201", - широкомасштабные дноуглубительные работы на Амуре от Комсомольска до Николаевска (565 км), чтобы довести глубину на фарватере до 7 м. Решение о развертывании дноуглубительных работ было принято в соответствии с постановлением ЦК ВКП(б) и СНКСССР № 77сс от 3 августа 1937 г. Объем грунта, подлежащего извлечению, составил 20 млн. кубометров, общая их стоимость превысила 420 млн. руб. Работы на фарватере начались с апреля 1939 и были полностью закончены к началу июля 1941 г. Почти одновременно во исполнение постановления СНК от 1 июня 1939 г. началось сооружение достроечной и судоремонтной базы военно-морского флота в Советской Гавани. Общая стоимость строящегося завода, доков и причалов составляла 130 млн. руб. </w:t>
      </w:r>
    </w:p>
    <w:p w14:paraId="52637B79" w14:textId="77777777" w:rsidR="0058354C" w:rsidRPr="00C33834" w:rsidRDefault="005835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Комплекс в Совгавани удалось завершить только в 1942 г., но он сыграл огромную роль в 1943–1945 гг., когда именно эта база обеспечивала все перевозки по ленд-лизу и боевые действия ТОФ (12129).</w:t>
      </w:r>
    </w:p>
    <w:p w14:paraId="4D84AF97" w14:textId="77777777" w:rsidR="0058354C" w:rsidRPr="00C33834" w:rsidRDefault="0058354C" w:rsidP="00C33834">
      <w:pPr>
        <w:spacing w:after="0" w:line="240" w:lineRule="auto"/>
        <w:jc w:val="both"/>
        <w:rPr>
          <w:rFonts w:ascii="Times New Roman" w:hAnsi="Times New Roman"/>
          <w:color w:val="000000" w:themeColor="text1"/>
          <w:sz w:val="16"/>
          <w:szCs w:val="16"/>
        </w:rPr>
      </w:pPr>
    </w:p>
    <w:p w14:paraId="76511D80" w14:textId="77777777" w:rsidR="00C2291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20E5BC0D"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286BFEA3"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июля 1933 начался рейс по СМП парохода Челюскин (к Воронин и руководитель экспедиции О.Ю.Ш.) (3908,340).</w:t>
      </w:r>
    </w:p>
    <w:p w14:paraId="52148ABB"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791B07C4" w14:textId="77777777" w:rsidR="00DA2E77" w:rsidRPr="00C33834" w:rsidRDefault="00DA2E7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июля в 1933 году из Ленинграда стартовала экспедиция на ледокольном пароходе "Челюскин" во главе с Отто Шмидтом, намеревавшаяся за одну навигацию пройти по Северному морскому пути от Мурманска до Владивостока (14950).</w:t>
      </w:r>
    </w:p>
    <w:p w14:paraId="1D05D042" w14:textId="77777777" w:rsidR="00DA2E77" w:rsidRPr="00C33834" w:rsidRDefault="00DA2E77" w:rsidP="00C33834">
      <w:pPr>
        <w:spacing w:after="0" w:line="240" w:lineRule="auto"/>
        <w:jc w:val="both"/>
        <w:rPr>
          <w:rFonts w:ascii="Times New Roman" w:hAnsi="Times New Roman"/>
          <w:color w:val="000000" w:themeColor="text1"/>
          <w:sz w:val="16"/>
          <w:szCs w:val="16"/>
        </w:rPr>
      </w:pPr>
    </w:p>
    <w:p w14:paraId="031336BE" w14:textId="77777777" w:rsidR="00C2291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1327C46F"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77A78CA6"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июля 1933 нацистское правительство Германии опровергло сообщение о том, что в концлагерях находится 100 тысяч заключенных, заявив, что их там "всего" 18 тысяч (4962).</w:t>
      </w:r>
    </w:p>
    <w:p w14:paraId="71CBA13B"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p>
    <w:p w14:paraId="2BF5480D" w14:textId="77777777" w:rsidR="00815390" w:rsidRPr="00C33834" w:rsidRDefault="0081539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июля в 1933 году Конгресс США ввёл значение МРОТ - минимальный размер оплаты труда — 33 цента в час (14950).</w:t>
      </w:r>
    </w:p>
    <w:p w14:paraId="7BD9D8AF" w14:textId="77777777" w:rsidR="00815390" w:rsidRPr="00C33834" w:rsidRDefault="00815390" w:rsidP="00C33834">
      <w:pPr>
        <w:spacing w:after="0" w:line="240" w:lineRule="auto"/>
        <w:jc w:val="both"/>
        <w:rPr>
          <w:rFonts w:ascii="Times New Roman" w:hAnsi="Times New Roman"/>
          <w:color w:val="000000" w:themeColor="text1"/>
          <w:sz w:val="16"/>
          <w:szCs w:val="16"/>
        </w:rPr>
      </w:pPr>
    </w:p>
    <w:p w14:paraId="6F5ABA17" w14:textId="77777777" w:rsidR="00C2291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6A202C3"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1050B6CE"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13 июля 1933 комиссия по расследованию катастрофы Савойя </w:t>
      </w:r>
      <w:r w:rsidRPr="00C33834">
        <w:rPr>
          <w:rFonts w:ascii="Times New Roman" w:hAnsi="Times New Roman"/>
          <w:color w:val="000000" w:themeColor="text1"/>
          <w:sz w:val="16"/>
          <w:szCs w:val="16"/>
          <w:lang w:val="en-US"/>
        </w:rPr>
        <w:t>S</w:t>
      </w:r>
      <w:r w:rsidRPr="00C33834">
        <w:rPr>
          <w:rFonts w:ascii="Times New Roman" w:hAnsi="Times New Roman"/>
          <w:color w:val="000000" w:themeColor="text1"/>
          <w:sz w:val="16"/>
          <w:szCs w:val="16"/>
        </w:rPr>
        <w:t>.55 зав. № 10526 СССР-Н11 начала работу. Сначала рассмотрела версию со взрывом самолета, но вскоре отвергла ее - данные о взрыве не подтвердились.</w:t>
      </w:r>
    </w:p>
    <w:p w14:paraId="0381A6A6"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Собранные части самолета представляли следующую картину. Обе лодки самолета раз</w:t>
      </w:r>
      <w:r w:rsidRPr="00C33834">
        <w:rPr>
          <w:rFonts w:ascii="Times New Roman" w:hAnsi="Times New Roman"/>
          <w:color w:val="000000" w:themeColor="text1"/>
          <w:sz w:val="16"/>
          <w:szCs w:val="16"/>
        </w:rPr>
        <w:softHyphen/>
        <w:t>биты полностью на мелкие куски размером от 0,02 до 1 кв. м. Из крупных кусков оставались только хвостовые части лодок, отломанные по задней кромке центроплана. Моторы оторва</w:t>
      </w:r>
      <w:r w:rsidRPr="00C33834">
        <w:rPr>
          <w:rFonts w:ascii="Times New Roman" w:hAnsi="Times New Roman"/>
          <w:color w:val="000000" w:themeColor="text1"/>
          <w:sz w:val="16"/>
          <w:szCs w:val="16"/>
        </w:rPr>
        <w:softHyphen/>
        <w:t>лись от центроплана в узлах крепления стоек мотоустановки и сорвали с собой верхнюю часть центроплана с потолком кабины пило</w:t>
      </w:r>
      <w:r w:rsidRPr="00C33834">
        <w:rPr>
          <w:rFonts w:ascii="Times New Roman" w:hAnsi="Times New Roman"/>
          <w:color w:val="000000" w:themeColor="text1"/>
          <w:sz w:val="16"/>
          <w:szCs w:val="16"/>
        </w:rPr>
        <w:softHyphen/>
        <w:t>тов. При отрыве моторы перевернулись отно</w:t>
      </w:r>
      <w:r w:rsidRPr="00C33834">
        <w:rPr>
          <w:rFonts w:ascii="Times New Roman" w:hAnsi="Times New Roman"/>
          <w:color w:val="000000" w:themeColor="text1"/>
          <w:sz w:val="16"/>
          <w:szCs w:val="16"/>
        </w:rPr>
        <w:softHyphen/>
        <w:t>сительно передних моторных узлов. Крылья в основном разбиты на три части. Правая кон</w:t>
      </w:r>
      <w:r w:rsidRPr="00C33834">
        <w:rPr>
          <w:rFonts w:ascii="Times New Roman" w:hAnsi="Times New Roman"/>
          <w:color w:val="000000" w:themeColor="text1"/>
          <w:sz w:val="16"/>
          <w:szCs w:val="16"/>
        </w:rPr>
        <w:softHyphen/>
        <w:t>соль отломана по линии крепления к центро</w:t>
      </w:r>
      <w:r w:rsidRPr="00C33834">
        <w:rPr>
          <w:rFonts w:ascii="Times New Roman" w:hAnsi="Times New Roman"/>
          <w:color w:val="000000" w:themeColor="text1"/>
          <w:sz w:val="16"/>
          <w:szCs w:val="16"/>
        </w:rPr>
        <w:softHyphen/>
        <w:t>плану по внешнему борту лодки. Носок консо</w:t>
      </w:r>
      <w:r w:rsidRPr="00C33834">
        <w:rPr>
          <w:rFonts w:ascii="Times New Roman" w:hAnsi="Times New Roman"/>
          <w:color w:val="000000" w:themeColor="text1"/>
          <w:sz w:val="16"/>
          <w:szCs w:val="16"/>
        </w:rPr>
        <w:softHyphen/>
        <w:t>ли на протяжении примерно 5,5 м разбит. Все болты крепления лодки к крылу чисто срезаны по плоскости соединения. Левая консоль раз</w:t>
      </w:r>
      <w:r w:rsidRPr="00C33834">
        <w:rPr>
          <w:rFonts w:ascii="Times New Roman" w:hAnsi="Times New Roman"/>
          <w:color w:val="000000" w:themeColor="text1"/>
          <w:sz w:val="16"/>
          <w:szCs w:val="16"/>
        </w:rPr>
        <w:softHyphen/>
        <w:t>бита на две основные части, по линии крепле</w:t>
      </w:r>
      <w:r w:rsidRPr="00C33834">
        <w:rPr>
          <w:rFonts w:ascii="Times New Roman" w:hAnsi="Times New Roman"/>
          <w:color w:val="000000" w:themeColor="text1"/>
          <w:sz w:val="16"/>
          <w:szCs w:val="16"/>
        </w:rPr>
        <w:softHyphen/>
        <w:t>ния левых стоек мотоустановки к центроплану и по линии торцевой кромки элерона. Наи</w:t>
      </w:r>
      <w:r w:rsidRPr="00C33834">
        <w:rPr>
          <w:rFonts w:ascii="Times New Roman" w:hAnsi="Times New Roman"/>
          <w:color w:val="000000" w:themeColor="text1"/>
          <w:sz w:val="16"/>
          <w:szCs w:val="16"/>
        </w:rPr>
        <w:softHyphen/>
        <w:t>большая по своей величине корневая часть консоли сильно изломана. Весь носок консоли выбит. Центроплан в пролете между ногами мотоустановки разбит в мелкие щепки. Пилот</w:t>
      </w:r>
      <w:r w:rsidRPr="00C33834">
        <w:rPr>
          <w:rFonts w:ascii="Times New Roman" w:hAnsi="Times New Roman"/>
          <w:color w:val="000000" w:themeColor="text1"/>
          <w:sz w:val="16"/>
          <w:szCs w:val="16"/>
        </w:rPr>
        <w:softHyphen/>
        <w:t>ская кабина и ее оборудование разбито на мелкие куски. Все управление поломано. Бензо- и маслобаки выбиты из мест крепления и отделились от самолета. Хвостовая ферма из</w:t>
      </w:r>
      <w:r w:rsidRPr="00C33834">
        <w:rPr>
          <w:rFonts w:ascii="Times New Roman" w:hAnsi="Times New Roman"/>
          <w:color w:val="000000" w:themeColor="text1"/>
          <w:sz w:val="16"/>
          <w:szCs w:val="16"/>
        </w:rPr>
        <w:softHyphen/>
        <w:t>ломана. Оперение почти не пострадало. Ста</w:t>
      </w:r>
      <w:r w:rsidRPr="00C33834">
        <w:rPr>
          <w:rFonts w:ascii="Times New Roman" w:hAnsi="Times New Roman"/>
          <w:color w:val="000000" w:themeColor="text1"/>
          <w:sz w:val="16"/>
          <w:szCs w:val="16"/>
        </w:rPr>
        <w:softHyphen/>
        <w:t>билизатор и вертикальное оперение совер</w:t>
      </w:r>
      <w:r w:rsidRPr="00C33834">
        <w:rPr>
          <w:rFonts w:ascii="Times New Roman" w:hAnsi="Times New Roman"/>
          <w:color w:val="000000" w:themeColor="text1"/>
          <w:sz w:val="16"/>
          <w:szCs w:val="16"/>
        </w:rPr>
        <w:softHyphen/>
        <w:t>шенно цело.</w:t>
      </w:r>
    </w:p>
    <w:p w14:paraId="1FE2EF6B"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15-го июля, после обследования дна реки водолазами, были подняты оба мотора и труп второго пилота Косухина. Вместе с моторами были подняты потолок кабины пилотов, при</w:t>
      </w:r>
      <w:r w:rsidRPr="00C33834">
        <w:rPr>
          <w:rFonts w:ascii="Times New Roman" w:hAnsi="Times New Roman"/>
          <w:color w:val="000000" w:themeColor="text1"/>
          <w:sz w:val="16"/>
          <w:szCs w:val="16"/>
        </w:rPr>
        <w:softHyphen/>
        <w:t>борная доска, часть центроплана, трубопро</w:t>
      </w:r>
      <w:r w:rsidRPr="00C33834">
        <w:rPr>
          <w:rFonts w:ascii="Times New Roman" w:hAnsi="Times New Roman"/>
          <w:color w:val="000000" w:themeColor="text1"/>
          <w:sz w:val="16"/>
          <w:szCs w:val="16"/>
        </w:rPr>
        <w:softHyphen/>
        <w:t>воды и электропроводка. Труп Косухина нахо</w:t>
      </w:r>
      <w:r w:rsidRPr="00C33834">
        <w:rPr>
          <w:rFonts w:ascii="Times New Roman" w:hAnsi="Times New Roman"/>
          <w:color w:val="000000" w:themeColor="text1"/>
          <w:sz w:val="16"/>
          <w:szCs w:val="16"/>
        </w:rPr>
        <w:softHyphen/>
        <w:t>дился внутри обшивки борта кабины пилотов,</w:t>
      </w:r>
    </w:p>
    <w:p w14:paraId="6007AFCA"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зацепившись ногами за проводку. Так и не</w:t>
      </w:r>
      <w:r w:rsidRPr="00C33834">
        <w:rPr>
          <w:rFonts w:ascii="Times New Roman" w:hAnsi="Times New Roman"/>
          <w:color w:val="000000" w:themeColor="text1"/>
          <w:sz w:val="16"/>
          <w:szCs w:val="16"/>
        </w:rPr>
        <w:softHyphen/>
        <w:t>найденным осталось только тело Тома. Мото</w:t>
      </w:r>
      <w:r w:rsidRPr="00C33834">
        <w:rPr>
          <w:rFonts w:ascii="Times New Roman" w:hAnsi="Times New Roman"/>
          <w:color w:val="000000" w:themeColor="text1"/>
          <w:sz w:val="16"/>
          <w:szCs w:val="16"/>
        </w:rPr>
        <w:softHyphen/>
        <w:t>ры после катастрофы, по наружному осмотру, находились в исправном состоянии, за ис</w:t>
      </w:r>
      <w:r w:rsidRPr="00C33834">
        <w:rPr>
          <w:rFonts w:ascii="Times New Roman" w:hAnsi="Times New Roman"/>
          <w:color w:val="000000" w:themeColor="text1"/>
          <w:sz w:val="16"/>
          <w:szCs w:val="16"/>
        </w:rPr>
        <w:softHyphen/>
        <w:t>ключением мелких повреждений наружных частей.</w:t>
      </w:r>
    </w:p>
    <w:p w14:paraId="21EFC302"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Работу комиссии осложняло то, что остав</w:t>
      </w:r>
      <w:r w:rsidRPr="00C33834">
        <w:rPr>
          <w:rFonts w:ascii="Times New Roman" w:hAnsi="Times New Roman"/>
          <w:color w:val="000000" w:themeColor="text1"/>
          <w:sz w:val="16"/>
          <w:szCs w:val="16"/>
        </w:rPr>
        <w:softHyphen/>
        <w:t>шиеся в живых Падалко и Карбановский ни</w:t>
      </w:r>
      <w:r w:rsidRPr="00C33834">
        <w:rPr>
          <w:rFonts w:ascii="Times New Roman" w:hAnsi="Times New Roman"/>
          <w:color w:val="000000" w:themeColor="text1"/>
          <w:sz w:val="16"/>
          <w:szCs w:val="16"/>
        </w:rPr>
        <w:softHyphen/>
        <w:t>чего не могли рассказать. Штурман был занят своей работой и не заметил никаких резких изменений в режиме полета. Карбановский вообще дремал, ощутил сильный удар и ока</w:t>
      </w:r>
      <w:r w:rsidRPr="00C33834">
        <w:rPr>
          <w:rFonts w:ascii="Times New Roman" w:hAnsi="Times New Roman"/>
          <w:color w:val="000000" w:themeColor="text1"/>
          <w:sz w:val="16"/>
          <w:szCs w:val="16"/>
        </w:rPr>
        <w:softHyphen/>
        <w:t>зался в воде.</w:t>
      </w:r>
    </w:p>
    <w:p w14:paraId="0618E96A"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Картина катастрофы представлялась чле</w:t>
      </w:r>
      <w:r w:rsidRPr="00C33834">
        <w:rPr>
          <w:rFonts w:ascii="Times New Roman" w:hAnsi="Times New Roman"/>
          <w:color w:val="000000" w:themeColor="text1"/>
          <w:sz w:val="16"/>
          <w:szCs w:val="16"/>
        </w:rPr>
        <w:softHyphen/>
        <w:t>нам комиссии следующим образом: первый удар был принят носовой частью правой лод</w:t>
      </w:r>
      <w:r w:rsidRPr="00C33834">
        <w:rPr>
          <w:rFonts w:ascii="Times New Roman" w:hAnsi="Times New Roman"/>
          <w:color w:val="000000" w:themeColor="text1"/>
          <w:sz w:val="16"/>
          <w:szCs w:val="16"/>
        </w:rPr>
        <w:softHyphen/>
        <w:t>ки. Ее срезало с центроплана и разбило в щеп</w:t>
      </w:r>
      <w:r w:rsidRPr="00C33834">
        <w:rPr>
          <w:rFonts w:ascii="Times New Roman" w:hAnsi="Times New Roman"/>
          <w:color w:val="000000" w:themeColor="text1"/>
          <w:sz w:val="16"/>
          <w:szCs w:val="16"/>
        </w:rPr>
        <w:softHyphen/>
        <w:t>ки. Отделившаяся при ударе лодки об воду, правая консоль упала в воду, оставшись срав</w:t>
      </w:r>
      <w:r w:rsidRPr="00C33834">
        <w:rPr>
          <w:rFonts w:ascii="Times New Roman" w:hAnsi="Times New Roman"/>
          <w:color w:val="000000" w:themeColor="text1"/>
          <w:sz w:val="16"/>
          <w:szCs w:val="16"/>
        </w:rPr>
        <w:softHyphen/>
        <w:t>нительно мало поврежденной. Лодку повело вправо, а инерция моторов создала капотиру</w:t>
      </w:r>
      <w:r w:rsidRPr="00C33834">
        <w:rPr>
          <w:rFonts w:ascii="Times New Roman" w:hAnsi="Times New Roman"/>
          <w:color w:val="000000" w:themeColor="text1"/>
          <w:sz w:val="16"/>
          <w:szCs w:val="16"/>
        </w:rPr>
        <w:softHyphen/>
        <w:t>ющий момент. В результате этого левая плос</w:t>
      </w:r>
      <w:r w:rsidRPr="00C33834">
        <w:rPr>
          <w:rFonts w:ascii="Times New Roman" w:hAnsi="Times New Roman"/>
          <w:color w:val="000000" w:themeColor="text1"/>
          <w:sz w:val="16"/>
          <w:szCs w:val="16"/>
        </w:rPr>
        <w:softHyphen/>
        <w:t>кость сильно ударилась об воду.</w:t>
      </w:r>
    </w:p>
    <w:p w14:paraId="04BF3824"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Положение рулевых плоскостей (левый элерон отклонен вверх, правый опущен, руль глубины «взят на себя») в момент удара о во</w:t>
      </w:r>
      <w:r w:rsidRPr="00C33834">
        <w:rPr>
          <w:rFonts w:ascii="Times New Roman" w:hAnsi="Times New Roman"/>
          <w:color w:val="000000" w:themeColor="text1"/>
          <w:sz w:val="16"/>
          <w:szCs w:val="16"/>
        </w:rPr>
        <w:softHyphen/>
        <w:t>ду показывает, что последним движением пи</w:t>
      </w:r>
      <w:r w:rsidRPr="00C33834">
        <w:rPr>
          <w:rFonts w:ascii="Times New Roman" w:hAnsi="Times New Roman"/>
          <w:color w:val="000000" w:themeColor="text1"/>
          <w:sz w:val="16"/>
          <w:szCs w:val="16"/>
        </w:rPr>
        <w:softHyphen/>
        <w:t>лота было взятие штурвала на себя и вывод самолета из правого крена.</w:t>
      </w:r>
    </w:p>
    <w:p w14:paraId="36D96C22"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Бесспорно было установлено: во-первых, от села Воскресенск до места катастрофы са</w:t>
      </w:r>
      <w:r w:rsidRPr="00C33834">
        <w:rPr>
          <w:rFonts w:ascii="Times New Roman" w:hAnsi="Times New Roman"/>
          <w:color w:val="000000" w:themeColor="text1"/>
          <w:sz w:val="16"/>
          <w:szCs w:val="16"/>
        </w:rPr>
        <w:softHyphen/>
        <w:t>молет шел на малой высоте, бреющим полетом на режиме крейсерской скорости при нор</w:t>
      </w:r>
      <w:r w:rsidRPr="00C33834">
        <w:rPr>
          <w:rFonts w:ascii="Times New Roman" w:hAnsi="Times New Roman"/>
          <w:color w:val="000000" w:themeColor="text1"/>
          <w:sz w:val="16"/>
          <w:szCs w:val="16"/>
        </w:rPr>
        <w:softHyphen/>
        <w:t>мально работающих моторах, во-вторых, в мо</w:t>
      </w:r>
      <w:r w:rsidRPr="00C33834">
        <w:rPr>
          <w:rFonts w:ascii="Times New Roman" w:hAnsi="Times New Roman"/>
          <w:color w:val="000000" w:themeColor="text1"/>
          <w:sz w:val="16"/>
          <w:szCs w:val="16"/>
        </w:rPr>
        <w:softHyphen/>
        <w:t>мент катастрофы самолет ни нормальной, ни вынужденной посадки не производил, а уда</w:t>
      </w:r>
      <w:r w:rsidRPr="00C33834">
        <w:rPr>
          <w:rFonts w:ascii="Times New Roman" w:hAnsi="Times New Roman"/>
          <w:color w:val="000000" w:themeColor="text1"/>
          <w:sz w:val="16"/>
          <w:szCs w:val="16"/>
        </w:rPr>
        <w:softHyphen/>
        <w:t>рился о воду на режиме своего предыдущего полета.</w:t>
      </w:r>
    </w:p>
    <w:p w14:paraId="4E1630E3"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Рассматривались следующие версии:</w:t>
      </w:r>
    </w:p>
    <w:p w14:paraId="445E5AD1"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Ошибка пилотирования. Против этого - «исключительный опыт и знание техники по</w:t>
      </w:r>
      <w:r w:rsidRPr="00C33834">
        <w:rPr>
          <w:rFonts w:ascii="Times New Roman" w:hAnsi="Times New Roman"/>
          <w:color w:val="000000" w:themeColor="text1"/>
          <w:sz w:val="16"/>
          <w:szCs w:val="16"/>
        </w:rPr>
        <w:softHyphen/>
        <w:t>лета на малой высоте над водой у пилота Бух- гольца и наличие второго пилота рядом с ним»; во время бреющего полета самолет вел Бухгольц, не доверяя пилотирование Косухи- ну. Бухгольц передавал управление только на большой высоте; по показаниям Падалко за 13 минут до катастрофы (при прохождении над Марксштадтом) самолет вел Бухгольц; ви</w:t>
      </w:r>
      <w:r w:rsidRPr="00C33834">
        <w:rPr>
          <w:rFonts w:ascii="Times New Roman" w:hAnsi="Times New Roman"/>
          <w:color w:val="000000" w:themeColor="text1"/>
          <w:sz w:val="16"/>
          <w:szCs w:val="16"/>
        </w:rPr>
        <w:softHyphen/>
        <w:t>димость воды и горизонта - очень хорошие, а ширина реки до 1,5 км. Утеря представления о расстоянии до воды из-за близости берегов - исключается.</w:t>
      </w:r>
    </w:p>
    <w:p w14:paraId="72CEE268" w14:textId="77777777" w:rsidR="00C22911" w:rsidRPr="00C33834" w:rsidRDefault="00C22911" w:rsidP="00C33834">
      <w:pPr>
        <w:tabs>
          <w:tab w:val="left" w:pos="447"/>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Уклонение самолета к воде из-за про</w:t>
      </w:r>
      <w:r w:rsidRPr="00C33834">
        <w:rPr>
          <w:rFonts w:ascii="Times New Roman" w:hAnsi="Times New Roman"/>
          <w:color w:val="000000" w:themeColor="text1"/>
          <w:sz w:val="16"/>
          <w:szCs w:val="16"/>
        </w:rPr>
        <w:softHyphen/>
        <w:t>дольной неустойчивости. Против - по запи</w:t>
      </w:r>
      <w:r w:rsidRPr="00C33834">
        <w:rPr>
          <w:rFonts w:ascii="Times New Roman" w:hAnsi="Times New Roman"/>
          <w:color w:val="000000" w:themeColor="text1"/>
          <w:sz w:val="16"/>
          <w:szCs w:val="16"/>
        </w:rPr>
        <w:softHyphen/>
        <w:t>сям Бухгольца в дневнике у самолета боль</w:t>
      </w:r>
      <w:r w:rsidRPr="00C33834">
        <w:rPr>
          <w:rFonts w:ascii="Times New Roman" w:hAnsi="Times New Roman"/>
          <w:color w:val="000000" w:themeColor="text1"/>
          <w:sz w:val="16"/>
          <w:szCs w:val="16"/>
        </w:rPr>
        <w:softHyphen/>
        <w:t>ной запас продольной устойчивости. По по</w:t>
      </w:r>
      <w:r w:rsidRPr="00C33834">
        <w:rPr>
          <w:rFonts w:ascii="Times New Roman" w:hAnsi="Times New Roman"/>
          <w:color w:val="000000" w:themeColor="text1"/>
          <w:sz w:val="16"/>
          <w:szCs w:val="16"/>
        </w:rPr>
        <w:softHyphen/>
        <w:t>казаниям Падалко пилот на большой высоте неоднократно бросал управление - самолет вел себя устойчиво.</w:t>
      </w:r>
    </w:p>
    <w:p w14:paraId="05D0B1DC" w14:textId="77777777" w:rsidR="00C22911" w:rsidRPr="00C33834" w:rsidRDefault="00C22911" w:rsidP="00C33834">
      <w:pPr>
        <w:tabs>
          <w:tab w:val="left" w:pos="466"/>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Дефекты матчасти. «Возможен только один дефект материальной части, заставивший войти на вынужденную посадку с работающи- ии моторами - это заклинение стабилизатора иод резко отрицательным углом, заставлявшее «абрировать самолет при полной отдаче штур</w:t>
      </w:r>
      <w:r w:rsidRPr="00C33834">
        <w:rPr>
          <w:rFonts w:ascii="Times New Roman" w:hAnsi="Times New Roman"/>
          <w:color w:val="000000" w:themeColor="text1"/>
          <w:sz w:val="16"/>
          <w:szCs w:val="16"/>
        </w:rPr>
        <w:softHyphen/>
        <w:t>вала от себя. В таком случае подход к земле гидросамолета возможен только на газу». Про</w:t>
      </w:r>
      <w:r w:rsidRPr="00C33834">
        <w:rPr>
          <w:rFonts w:ascii="Times New Roman" w:hAnsi="Times New Roman"/>
          <w:color w:val="000000" w:themeColor="text1"/>
          <w:sz w:val="16"/>
          <w:szCs w:val="16"/>
        </w:rPr>
        <w:softHyphen/>
        <w:t>тив - пилот не предупредил экипаж, состояние оперения не подтверждает заклинивания.</w:t>
      </w:r>
    </w:p>
    <w:p w14:paraId="324404FD" w14:textId="77777777" w:rsidR="00C22911" w:rsidRPr="00C33834" w:rsidRDefault="00C22911" w:rsidP="00C33834">
      <w:pPr>
        <w:tabs>
          <w:tab w:val="left" w:pos="481"/>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Провал самолета из-за местных атмо</w:t>
      </w:r>
      <w:r w:rsidRPr="00C33834">
        <w:rPr>
          <w:rFonts w:ascii="Times New Roman" w:hAnsi="Times New Roman"/>
          <w:color w:val="000000" w:themeColor="text1"/>
          <w:sz w:val="16"/>
          <w:szCs w:val="16"/>
        </w:rPr>
        <w:softHyphen/>
        <w:t>сферных условий. Против - исключительно благоприятная погода и полное отсутствие ре</w:t>
      </w:r>
      <w:r w:rsidRPr="00C33834">
        <w:rPr>
          <w:rFonts w:ascii="Times New Roman" w:hAnsi="Times New Roman"/>
          <w:color w:val="000000" w:themeColor="text1"/>
          <w:sz w:val="16"/>
          <w:szCs w:val="16"/>
        </w:rPr>
        <w:softHyphen/>
        <w:t>ку. Однако, метров за 50 ниже по течению ре</w:t>
      </w:r>
      <w:r w:rsidRPr="00C33834">
        <w:rPr>
          <w:rFonts w:ascii="Times New Roman" w:hAnsi="Times New Roman"/>
          <w:color w:val="000000" w:themeColor="text1"/>
          <w:sz w:val="16"/>
          <w:szCs w:val="16"/>
        </w:rPr>
        <w:softHyphen/>
        <w:t>ки от места катастрофы, на правом берегу ре</w:t>
      </w:r>
      <w:r w:rsidRPr="00C33834">
        <w:rPr>
          <w:rFonts w:ascii="Times New Roman" w:hAnsi="Times New Roman"/>
          <w:color w:val="000000" w:themeColor="text1"/>
          <w:sz w:val="16"/>
          <w:szCs w:val="16"/>
        </w:rPr>
        <w:softHyphen/>
        <w:t>ви находился овраг, выходящий перпендику</w:t>
      </w:r>
      <w:r w:rsidRPr="00C33834">
        <w:rPr>
          <w:rFonts w:ascii="Times New Roman" w:hAnsi="Times New Roman"/>
          <w:color w:val="000000" w:themeColor="text1"/>
          <w:sz w:val="16"/>
          <w:szCs w:val="16"/>
        </w:rPr>
        <w:softHyphen/>
        <w:t>лярно к Волге. Высота берега примерно 80 м, а высота дна оврага - 20. За берегом располо</w:t>
      </w:r>
      <w:r w:rsidRPr="00C33834">
        <w:rPr>
          <w:rFonts w:ascii="Times New Roman" w:hAnsi="Times New Roman"/>
          <w:color w:val="000000" w:themeColor="text1"/>
          <w:sz w:val="16"/>
          <w:szCs w:val="16"/>
        </w:rPr>
        <w:softHyphen/>
        <w:t>жена лощина, из которой прорывается холод</w:t>
      </w:r>
      <w:r w:rsidRPr="00C33834">
        <w:rPr>
          <w:rFonts w:ascii="Times New Roman" w:hAnsi="Times New Roman"/>
          <w:color w:val="000000" w:themeColor="text1"/>
          <w:sz w:val="16"/>
          <w:szCs w:val="16"/>
        </w:rPr>
        <w:softHyphen/>
        <w:t>ный воздух, дующий перпендикулярно тече</w:t>
      </w:r>
      <w:r w:rsidRPr="00C33834">
        <w:rPr>
          <w:rFonts w:ascii="Times New Roman" w:hAnsi="Times New Roman"/>
          <w:color w:val="000000" w:themeColor="text1"/>
          <w:sz w:val="16"/>
          <w:szCs w:val="16"/>
        </w:rPr>
        <w:softHyphen/>
        <w:t>нию реки. При зеркальной поверхности реки, прямо против оврага наблюдается рябь от это</w:t>
      </w:r>
      <w:r w:rsidRPr="00C33834">
        <w:rPr>
          <w:rFonts w:ascii="Times New Roman" w:hAnsi="Times New Roman"/>
          <w:color w:val="000000" w:themeColor="text1"/>
          <w:sz w:val="16"/>
          <w:szCs w:val="16"/>
        </w:rPr>
        <w:softHyphen/>
        <w:t>го ветра протяженностью от берега около 150- 200 м. Это наблюдается даже при полном шти- ве. Можно предположить, что самолет прова- вился с креном вправо против оврага от под</w:t>
      </w:r>
      <w:r w:rsidRPr="00C33834">
        <w:rPr>
          <w:rFonts w:ascii="Times New Roman" w:hAnsi="Times New Roman"/>
          <w:color w:val="000000" w:themeColor="text1"/>
          <w:sz w:val="16"/>
          <w:szCs w:val="16"/>
        </w:rPr>
        <w:softHyphen/>
        <w:t>дува ветра в правое крыло. Пилот пытался вы</w:t>
      </w:r>
      <w:r w:rsidRPr="00C33834">
        <w:rPr>
          <w:rFonts w:ascii="Times New Roman" w:hAnsi="Times New Roman"/>
          <w:color w:val="000000" w:themeColor="text1"/>
          <w:sz w:val="16"/>
          <w:szCs w:val="16"/>
        </w:rPr>
        <w:softHyphen/>
        <w:t>ровнять самолет, но это не удалось и машина, пройдя еще 50 метров, врезалась в воду.</w:t>
      </w:r>
    </w:p>
    <w:p w14:paraId="76801CFF"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 и решили: основная причина происше</w:t>
      </w:r>
      <w:r w:rsidRPr="00C33834">
        <w:rPr>
          <w:rFonts w:ascii="Times New Roman" w:hAnsi="Times New Roman"/>
          <w:color w:val="000000" w:themeColor="text1"/>
          <w:sz w:val="16"/>
          <w:szCs w:val="16"/>
        </w:rPr>
        <w:softHyphen/>
        <w:t>ствия - полет на малой высоте, непосредст</w:t>
      </w:r>
      <w:r w:rsidRPr="00C33834">
        <w:rPr>
          <w:rFonts w:ascii="Times New Roman" w:hAnsi="Times New Roman"/>
          <w:color w:val="000000" w:themeColor="text1"/>
          <w:sz w:val="16"/>
          <w:szCs w:val="16"/>
        </w:rPr>
        <w:softHyphen/>
        <w:t>венная - удар самолета о воду на большой скорости из-за местных атмосферных особен</w:t>
      </w:r>
      <w:r w:rsidRPr="00C33834">
        <w:rPr>
          <w:rFonts w:ascii="Times New Roman" w:hAnsi="Times New Roman"/>
          <w:color w:val="000000" w:themeColor="text1"/>
          <w:sz w:val="16"/>
          <w:szCs w:val="16"/>
        </w:rPr>
        <w:softHyphen/>
        <w:t>ностей.</w:t>
      </w:r>
    </w:p>
    <w:p w14:paraId="2BE56098"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Через неделю комиссия закончила работу и вернулась в Москву.</w:t>
      </w:r>
    </w:p>
    <w:p w14:paraId="19B767BC"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катастрофы самолет налетал 12 часов и произвел 15 посадок, налет Бухгольца на дан</w:t>
      </w:r>
      <w:r w:rsidRPr="00C33834">
        <w:rPr>
          <w:rFonts w:ascii="Times New Roman" w:hAnsi="Times New Roman"/>
          <w:color w:val="000000" w:themeColor="text1"/>
          <w:sz w:val="16"/>
          <w:szCs w:val="16"/>
        </w:rPr>
        <w:softHyphen/>
        <w:t>ном типе составлял 8 часов 50 мин.</w:t>
      </w:r>
    </w:p>
    <w:p w14:paraId="2C1359D6"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Взамен СССР-Н11 на мыс Северный для об</w:t>
      </w:r>
      <w:r w:rsidRPr="00C33834">
        <w:rPr>
          <w:rFonts w:ascii="Times New Roman" w:hAnsi="Times New Roman"/>
          <w:color w:val="000000" w:themeColor="text1"/>
          <w:sz w:val="16"/>
          <w:szCs w:val="16"/>
        </w:rPr>
        <w:softHyphen/>
        <w:t>служивания прохода судов Колымской экспе</w:t>
      </w:r>
      <w:r w:rsidRPr="00C33834">
        <w:rPr>
          <w:rFonts w:ascii="Times New Roman" w:hAnsi="Times New Roman"/>
          <w:color w:val="000000" w:themeColor="text1"/>
          <w:sz w:val="16"/>
          <w:szCs w:val="16"/>
        </w:rPr>
        <w:softHyphen/>
        <w:t>диции вдоль Чукотского берега был послан самолет ЮГ-1 СССР-Н4 (11975).</w:t>
      </w:r>
    </w:p>
    <w:p w14:paraId="7D6A259B"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6C31945B" w14:textId="77777777" w:rsidR="00C2291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5155A60"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5F38DD54"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июля 1933 состоялся пуск Уралмаша - Свердловского машиностроительного завода (3908,340).</w:t>
      </w:r>
    </w:p>
    <w:p w14:paraId="238FD228"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6B1A0B43" w14:textId="77777777" w:rsidR="00CD671A" w:rsidRPr="00C33834" w:rsidRDefault="00CD671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13 июля 1933 опросом членов ПБ</w:t>
      </w:r>
    </w:p>
    <w:p w14:paraId="612EF6E2" w14:textId="77777777" w:rsidR="00CD671A" w:rsidRPr="00C33834" w:rsidRDefault="00CD671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74/65. – Вопросы комиссии обороны.</w:t>
      </w:r>
    </w:p>
    <w:p w14:paraId="61C22B85" w14:textId="77777777" w:rsidR="00CD671A" w:rsidRPr="00C33834" w:rsidRDefault="00CD671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Утвердить следующие постановления К.О.:</w:t>
      </w:r>
    </w:p>
    <w:p w14:paraId="710C6AF9" w14:textId="77777777" w:rsidR="00CD671A" w:rsidRPr="00C33834" w:rsidRDefault="00CD671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О6 ассигновании ОГПУ из рeзервного фонда СНК СССР 5 .млн.публей на постройку шоссейной дороги Хабаровск-Комсомольск.</w:t>
      </w:r>
    </w:p>
    <w:p w14:paraId="0470D49D" w14:textId="77777777" w:rsidR="00CD671A" w:rsidRPr="00C33834" w:rsidRDefault="00CD671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О6 отпуске дополнительных ассигнований в 1933 г. из резервного фонда СНК - 2.500 тыс. руб. заводу № 136-и 3. 500 тыс. руб. заводу № 126.</w:t>
      </w:r>
    </w:p>
    <w:p w14:paraId="77992BC7" w14:textId="77777777" w:rsidR="00CD671A" w:rsidRPr="00C33834" w:rsidRDefault="00CD671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О6 ассигновании из резервного фонда СНК на Ш и 1У кв. сверх план 1933 г. 25 млн. руб. на строительство и оборудование судоверфей, в том числе 13 млн.руб. Амурверфи.</w:t>
      </w:r>
    </w:p>
    <w:p w14:paraId="4A315998" w14:textId="77777777" w:rsidR="00CD671A" w:rsidRPr="00C33834" w:rsidRDefault="00CD671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4) О разрешении НКТП, за счет его импортных контин</w:t>
      </w:r>
      <w:r w:rsidRPr="00C33834">
        <w:rPr>
          <w:rFonts w:ascii="Times New Roman" w:hAnsi="Times New Roman"/>
          <w:color w:val="0070C0"/>
          <w:sz w:val="16"/>
          <w:szCs w:val="16"/>
        </w:rPr>
        <w:softHyphen/>
        <w:t>гентов приобрести до 25 тыс. тонн судостроительной стали.</w:t>
      </w:r>
    </w:p>
    <w:p w14:paraId="6246F010" w14:textId="77777777" w:rsidR="00CD671A" w:rsidRPr="00C33834" w:rsidRDefault="00CD671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О разрешении НКТП за счет его контингентов выдать открытую лицензию на сумму до 100 тыс.руб. Дальзаводу и Остону на приобретение в Японии мелких вспомогательных судов.</w:t>
      </w:r>
    </w:p>
    <w:p w14:paraId="56747977" w14:textId="77777777" w:rsidR="00CD671A" w:rsidRPr="00C33834" w:rsidRDefault="00CD671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Проект постановления СТО - о строительстве и обо</w:t>
      </w:r>
      <w:r w:rsidRPr="00C33834">
        <w:rPr>
          <w:rFonts w:ascii="Times New Roman" w:hAnsi="Times New Roman"/>
          <w:color w:val="0070C0"/>
          <w:sz w:val="16"/>
          <w:szCs w:val="16"/>
        </w:rPr>
        <w:softHyphen/>
        <w:t>рудований заводов №№.9., 120, 20 и 32 ГУАПпа. с выдачей из резервного фонда СНК в 1933 r.- 6.160.000 р. и валют</w:t>
      </w:r>
      <w:r w:rsidRPr="00C33834">
        <w:rPr>
          <w:rFonts w:ascii="Times New Roman" w:hAnsi="Times New Roman"/>
          <w:color w:val="0070C0"/>
          <w:sz w:val="16"/>
          <w:szCs w:val="16"/>
        </w:rPr>
        <w:softHyphen/>
        <w:t>ных контингентов на 3.900.000 руб. в 1933 г. и на 634.000 руб. в 1934 г.</w:t>
      </w:r>
    </w:p>
    <w:p w14:paraId="4D64BA66" w14:textId="77777777" w:rsidR="00CD671A" w:rsidRPr="00C33834" w:rsidRDefault="00CD671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 т. Базилевичу -все; Мирошникову – 1, 2, 3, 6, Орджоникидзе-2, 3, 4, 5; Боеву – 4, 5</w:t>
      </w:r>
    </w:p>
    <w:p w14:paraId="2C4FB1AC" w14:textId="77777777" w:rsidR="00CD671A" w:rsidRPr="00C33834" w:rsidRDefault="00CD671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июля 1933 состоялось заседание ПБ и был оформлен протокол № 141 (22991).</w:t>
      </w:r>
    </w:p>
    <w:p w14:paraId="085FEC6E" w14:textId="77777777" w:rsidR="00CD671A" w:rsidRPr="00C33834" w:rsidRDefault="00CD671A" w:rsidP="00C33834">
      <w:pPr>
        <w:spacing w:after="0" w:line="240" w:lineRule="auto"/>
        <w:jc w:val="both"/>
        <w:rPr>
          <w:rFonts w:ascii="Times New Roman" w:hAnsi="Times New Roman"/>
          <w:color w:val="0070C0"/>
          <w:sz w:val="16"/>
          <w:szCs w:val="16"/>
        </w:rPr>
      </w:pPr>
    </w:p>
    <w:p w14:paraId="5F7E1EEC" w14:textId="77777777" w:rsidR="00C2291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4752E23"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1E77A57F"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июля 1933 А.Н.Т. выступил на первой партийно-технической конференции КОСОС. ТБ-3 (АНТ-6) строится за 18 тыс. часов - много, надо снижать (71,168). Это было первое заседание, а второе и третье прошли 17 июля и 26 июля (1072).</w:t>
      </w:r>
    </w:p>
    <w:p w14:paraId="6F14B620"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13CF2724" w14:textId="77777777" w:rsidR="004A5B76" w:rsidRPr="00C33834" w:rsidRDefault="004A5B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14 июля 1933 г., после того, как весь июнь и июль С.П. Королев считает и пересчитывает свои доходы и расходы, в адрес начальника ФУ PICKA A.B. Хрулева и начальника УВИ Г.П. Новикова (вх..№ 86с) поступает доклад С П . Королева, в котором он скрупулезно описывает, где и на какие деньги покупался каждый станок, каждая деталь, на что шел каждый киловатт электроэнергии. Что же касается повышенных ставок, то он ссылается на начальника сектора авиапромышленности Раскина и заместителя Председателя ЦС ОСОАВИАХИМ Малиновского, которые дали на то свое согласие (ГА РФ. Фонд Р-8355. Оп. 1. Д. № 374. Л. 68-71). Никакого письменного подтверждения Королев не приложил, и в фонде ОСОАВИАХИМ не удалось такого свидетельства найти. Дело здесь опять в «промышленном» подходе, не существовало в 1933 г. тарифных сеток для конструкторов и теоретиков реактивной техники. Вот Королев их и ввел, можно сказать, что в данном случае он попытался внедрить «снизу» новый принцип оценки научного труда, который в послевоенные годы будет широко использоваться в практике академических и отраслевых научно-исследовательских институтов (22685).</w:t>
      </w:r>
    </w:p>
    <w:p w14:paraId="0D1D480E" w14:textId="77777777" w:rsidR="004A5B76" w:rsidRPr="00C33834" w:rsidRDefault="004A5B76" w:rsidP="00C33834">
      <w:pPr>
        <w:spacing w:after="0" w:line="240" w:lineRule="auto"/>
        <w:jc w:val="both"/>
        <w:rPr>
          <w:rFonts w:ascii="Times New Roman" w:hAnsi="Times New Roman"/>
          <w:color w:val="0070C0"/>
          <w:sz w:val="16"/>
          <w:szCs w:val="16"/>
        </w:rPr>
      </w:pPr>
    </w:p>
    <w:p w14:paraId="089BE449" w14:textId="77777777" w:rsidR="00C2291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F918555"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6CB4EC49"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июля 1933 г. в ГАУ был рассмотрен проект ствола 152-мм пушки Б-10 с углубленными нарезами под нарезные и поясковые снаряды, разработанные АНИИ. Заводу "Большевик" был дан заказ перенарезать ствол № 1 к 1 сентября 1933 года. На стволе № 1 были углублены нарезы с 1,5 мм до 2,8 мм, а канал ствола для удобства заряжания был сделан сплошь нарезным. Крутизна нарезов была изменена с 25 клб до 20 клб. Объем зарядной каморы не изменился. Ствол был приспособлен для стрельбы нарезными снарядами. Однако особых успехов при стрельбе нарезными снарядами достичь не удалось. Мало того, уменьшение диаметра каморы против обыкновенного привело к удлинению каморы и сокращению пути снаряда в накале на 2,5 клб, что сделало затруднительным подбор зарядов под давление 2850 кг/см2 и начальную скорость 880 м/с при снаряде весом 49 кг. Начальная скорость получена лишь 862865 м/с при давлении в канале 2965</w:t>
      </w:r>
      <w:r w:rsidR="00815390"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rPr>
        <w:t>3024 кг/см2 (3861).</w:t>
      </w:r>
    </w:p>
    <w:p w14:paraId="73D9A7A0"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00008FC1" w14:textId="77777777" w:rsidR="00C2291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30977E82"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3EDD1F30"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июля 1933 началась экспедиция О.Ю.Шмидта на Челюскине (3481).</w:t>
      </w:r>
    </w:p>
    <w:p w14:paraId="44025386"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284B026A"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июля 1933 в полярную экспедицию отправился пароход «Челюскин» (4962).</w:t>
      </w:r>
    </w:p>
    <w:p w14:paraId="60A861F7"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p>
    <w:p w14:paraId="36C3292E" w14:textId="77777777" w:rsidR="00815390" w:rsidRPr="00C33834" w:rsidRDefault="0081539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июля в 1933 году началась полярная экспедиция на транспорте "Челюскин". Была предпринята попытка за одну навигацию проплыть по Северному морскому пути из Мурманска во Владивосток. Руководил экспедицией О.Ю.Шмидт, капитаном парохода был В.И.Воронин (14952).</w:t>
      </w:r>
    </w:p>
    <w:p w14:paraId="780FAB7D" w14:textId="77777777" w:rsidR="00815390" w:rsidRPr="00C33834" w:rsidRDefault="00815390" w:rsidP="00C33834">
      <w:pPr>
        <w:spacing w:after="0" w:line="240" w:lineRule="auto"/>
        <w:jc w:val="both"/>
        <w:rPr>
          <w:rFonts w:ascii="Times New Roman" w:hAnsi="Times New Roman"/>
          <w:color w:val="000000" w:themeColor="text1"/>
          <w:sz w:val="16"/>
          <w:szCs w:val="16"/>
        </w:rPr>
      </w:pPr>
    </w:p>
    <w:p w14:paraId="0C32DC30"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14 и 20 июля 1933. Из протокола заседания Политбюро N 142, особая папка, 1933 г.</w:t>
      </w:r>
    </w:p>
    <w:p w14:paraId="1635E7FE"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машинах для Интуриста </w:t>
      </w:r>
    </w:p>
    <w:p w14:paraId="2D11CAD9"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Обязать гараж ЦИК Союза и автобазу СНК выделить не менее 60% автомашин с шоферами в распоряжение Интуриста в следующие дни: </w:t>
      </w:r>
    </w:p>
    <w:p w14:paraId="1E9FBCED"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июль — 23, 24, 29, 30; </w:t>
      </w:r>
    </w:p>
    <w:p w14:paraId="711F9E9F"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август — 12, 13 (11652).</w:t>
      </w:r>
    </w:p>
    <w:p w14:paraId="65152163"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76AEB4E5" w14:textId="77777777" w:rsidR="00C2291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275E9E8B"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1073498B" w14:textId="77777777" w:rsidR="004A5B76" w:rsidRPr="00C33834" w:rsidRDefault="004A5B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14–22 июля 1933 Wiley Post на самолете Lockheed Vega совершает первый самостоятельный полет вокруг света. Его полет начинается и заканчивается на Флойд Беннетт Филд в Нью-Йорке, с остановками в Берлине, Москве, Иркутске и на Аляске - общее расстояние 25 099 км (15 596 миль) (20802).</w:t>
      </w:r>
    </w:p>
    <w:p w14:paraId="31D911C5" w14:textId="77777777" w:rsidR="004A5B76" w:rsidRPr="00C33834" w:rsidRDefault="004A5B76" w:rsidP="00C33834">
      <w:pPr>
        <w:spacing w:after="0" w:line="240" w:lineRule="auto"/>
        <w:jc w:val="both"/>
        <w:rPr>
          <w:rFonts w:ascii="Times New Roman" w:hAnsi="Times New Roman"/>
          <w:color w:val="0070C0"/>
          <w:sz w:val="16"/>
          <w:szCs w:val="16"/>
        </w:rPr>
      </w:pPr>
    </w:p>
    <w:p w14:paraId="73F4FCF4"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июля 1933 нацисты запретили все партии в Германии, кроме НСДАП (4962).</w:t>
      </w:r>
    </w:p>
    <w:p w14:paraId="18992144"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p>
    <w:p w14:paraId="459DF4A9" w14:textId="77777777" w:rsidR="00C22911" w:rsidRPr="00C33834" w:rsidRDefault="00C22911" w:rsidP="00C33834">
      <w:pPr>
        <w:spacing w:after="0" w:line="240" w:lineRule="auto"/>
        <w:jc w:val="both"/>
        <w:rPr>
          <w:rFonts w:ascii="Times New Roman" w:hAnsi="Times New Roman"/>
          <w:color w:val="000000" w:themeColor="text1"/>
          <w:sz w:val="16"/>
          <w:szCs w:val="16"/>
          <w:lang w:val="en-US"/>
        </w:rPr>
      </w:pPr>
      <w:r w:rsidRPr="00C33834">
        <w:rPr>
          <w:rFonts w:ascii="Times New Roman" w:hAnsi="Times New Roman"/>
          <w:color w:val="000000" w:themeColor="text1"/>
          <w:sz w:val="16"/>
          <w:szCs w:val="16"/>
          <w:lang w:val="en-US"/>
        </w:rPr>
        <w:t>July 14 1933 Nazi party declared only party in Germany (1050).</w:t>
      </w:r>
    </w:p>
    <w:p w14:paraId="57BFD1C2" w14:textId="77777777" w:rsidR="00C22911" w:rsidRPr="00C33834" w:rsidRDefault="00C22911" w:rsidP="00C33834">
      <w:pPr>
        <w:spacing w:after="0" w:line="240" w:lineRule="auto"/>
        <w:jc w:val="both"/>
        <w:rPr>
          <w:rFonts w:ascii="Times New Roman" w:hAnsi="Times New Roman"/>
          <w:color w:val="000000" w:themeColor="text1"/>
          <w:sz w:val="16"/>
          <w:szCs w:val="16"/>
          <w:lang w:val="en-US"/>
        </w:rPr>
      </w:pPr>
    </w:p>
    <w:p w14:paraId="74DEDB8F"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июля 1933 нацистская партия была объявлена единственной в Германии (1050) "Германская национал-социалистическая рабочая партия является единственной легальной политической партией Германии (2536,382).</w:t>
      </w:r>
    </w:p>
    <w:p w14:paraId="249A0638"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43ED6331" w14:textId="77777777" w:rsidR="00815390" w:rsidRPr="00C33834" w:rsidRDefault="0081539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июля в 1933 году в фашистской Германии публикуется подписанное Адольфом Гитлером правительственное заявление, в котором констатируется, что гитлеровская партия НСДАП (Национал-социалистическая рабочая партия Германии) является единственной в стране политической силой и что любые попытки сохранения прежних политических партий или создание новых будут караться тюремным заключением или помещением в лагеря принудительного труда (14952).</w:t>
      </w:r>
    </w:p>
    <w:p w14:paraId="05032845" w14:textId="77777777" w:rsidR="00815390" w:rsidRPr="00C33834" w:rsidRDefault="00815390" w:rsidP="00C33834">
      <w:pPr>
        <w:spacing w:after="0" w:line="240" w:lineRule="auto"/>
        <w:jc w:val="both"/>
        <w:rPr>
          <w:rFonts w:ascii="Times New Roman" w:hAnsi="Times New Roman"/>
          <w:color w:val="000000" w:themeColor="text1"/>
          <w:sz w:val="16"/>
          <w:szCs w:val="16"/>
        </w:rPr>
      </w:pPr>
    </w:p>
    <w:p w14:paraId="652C8DE5"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июля 1933 в Германии был издан закон, запрещавший существование в Германии какой-либо партии, кроме НСДАП. И довершил установление национал-социалистического режима закон «об обеспечении единства партии и государства», объявивший НСДАП «носительницей немецкой государственной мысли» (Reichsgesetzblatt, 1933, Bd.I. S. 1016). Наконец, специальным постановлением Гитлера уже в 1937 г., когда последние беспартийные министры Шахт, Нойрат и др. вступили в НСДАП, было решено, что любое назначение на государственную должность, произведенное без согласия НСДАП, считалось недействительным. (Розанов Г. Л. Указ. соч. с. 102) (11784).</w:t>
      </w:r>
    </w:p>
    <w:p w14:paraId="794C782F"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05AB95CB" w14:textId="77777777" w:rsidR="00C2291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29E43D2"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2C9C962C" w14:textId="77777777" w:rsidR="00C22911" w:rsidRPr="00C33834" w:rsidRDefault="00C22911"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июля 1933 г. помощник начальника ГУАП Алма</w:t>
      </w:r>
      <w:r w:rsidRPr="00C33834">
        <w:rPr>
          <w:rFonts w:ascii="Times New Roman" w:hAnsi="Times New Roman"/>
          <w:color w:val="000000" w:themeColor="text1"/>
          <w:sz w:val="16"/>
          <w:szCs w:val="16"/>
        </w:rPr>
        <w:softHyphen/>
        <w:t>зов направил письмо директору завода № 39 Марголину по Р-5 с разрезными крыльями о том, что начальник ВВС Алкснис просит ГУАП при</w:t>
      </w:r>
      <w:r w:rsidRPr="00C33834">
        <w:rPr>
          <w:rFonts w:ascii="Times New Roman" w:hAnsi="Times New Roman"/>
          <w:color w:val="000000" w:themeColor="text1"/>
          <w:sz w:val="16"/>
          <w:szCs w:val="16"/>
        </w:rPr>
        <w:softHyphen/>
        <w:t>нять заказ на постройку десяти Р5-М17 с разрезными крыльями для войсковых испытаний (10667).</w:t>
      </w:r>
    </w:p>
    <w:p w14:paraId="0E39E962" w14:textId="77777777" w:rsidR="00C22911" w:rsidRPr="00C33834" w:rsidRDefault="00C22911" w:rsidP="00C33834">
      <w:pPr>
        <w:shd w:val="clear" w:color="auto" w:fill="FFFFFF"/>
        <w:spacing w:after="0" w:line="240" w:lineRule="auto"/>
        <w:jc w:val="both"/>
        <w:rPr>
          <w:rFonts w:ascii="Times New Roman" w:hAnsi="Times New Roman"/>
          <w:color w:val="000000" w:themeColor="text1"/>
          <w:sz w:val="16"/>
          <w:szCs w:val="16"/>
        </w:rPr>
      </w:pPr>
    </w:p>
    <w:p w14:paraId="5EBB0E72"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июля 1933 г. первый экземпляр РД-1 был сфотографирован на Центральном аэродроме г. Москвы.  На за- концовке крыла можно рассмотреть левый (зеленый) аэронавигационный огонь и небольшую стойку дренажа крыльевых топливных баков (11941).</w:t>
      </w:r>
    </w:p>
    <w:p w14:paraId="49260DF2"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53F1D148" w14:textId="77777777" w:rsidR="00964726" w:rsidRPr="00C33834" w:rsidRDefault="009647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июля 1933 г. Протокол ПБ № 141 п.106/97: О полете наших самолетов в Польшу – ОП. Решено: а) для ответного визита в Польшу считать возможным 18 июля послать 2 самолета Р-5 с экипажами: первый – помкомвойск УВО Ингаунис и инженер инспекции ВВС РКК Мезинов; второй – командир 252 авиабригады Туржанский и бригадный инженер Павлов, по маршрутам: для первого – Москва – Гомель – Львов – Варшава – Лида – Витебск – Москва (с посадкой во Львове и Варшаве); для второго самолета – Москва – Витебск – Полоцк – Вильно – Варшава – Брест – Гомель – Москва (с посадкой в Варшаве); б) ассигновать на перелет 372 доллара (15908).</w:t>
      </w:r>
    </w:p>
    <w:p w14:paraId="7EF6A539" w14:textId="77777777" w:rsidR="00964726" w:rsidRPr="00C33834" w:rsidRDefault="00964726" w:rsidP="00C33834">
      <w:pPr>
        <w:spacing w:after="0" w:line="240" w:lineRule="auto"/>
        <w:jc w:val="both"/>
        <w:rPr>
          <w:rFonts w:ascii="Times New Roman" w:hAnsi="Times New Roman"/>
          <w:color w:val="000000" w:themeColor="text1"/>
          <w:sz w:val="16"/>
          <w:szCs w:val="16"/>
        </w:rPr>
      </w:pPr>
    </w:p>
    <w:p w14:paraId="572D7564"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июля 1933 К.Ф.Кайтанов установил новый рекорд затяжного прыжка, оставив самолет на 3270 ми падая до 3170 62 с (438,649).</w:t>
      </w:r>
    </w:p>
    <w:p w14:paraId="05FD5692"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62EEDF53" w14:textId="77777777" w:rsidR="00C2291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0FA6D84"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224805D2"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xml:space="preserve">15 июля 1933 г. </w:t>
      </w:r>
    </w:p>
    <w:p w14:paraId="40140ADA"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Сов. Секретно </w:t>
      </w:r>
    </w:p>
    <w:p w14:paraId="5BF13010"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Экз. № 1 </w:t>
      </w:r>
    </w:p>
    <w:p w14:paraId="4ECDB652"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15 июля 1933 г. </w:t>
      </w:r>
    </w:p>
    <w:p w14:paraId="44D83FD4"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4151 </w:t>
      </w:r>
    </w:p>
    <w:p w14:paraId="37159244"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Председателю Комиссии обороны при СНК СССР</w:t>
      </w:r>
    </w:p>
    <w:p w14:paraId="519903E8"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 Молотову</w:t>
      </w:r>
    </w:p>
    <w:p w14:paraId="7637C6E0"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системе танкового вооружения на вторую пятилетку</w:t>
      </w:r>
    </w:p>
    <w:p w14:paraId="54D57948"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Итоги первой пятилетки.</w:t>
      </w:r>
    </w:p>
    <w:p w14:paraId="1C9AAD61"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Количественные и качественные показатели.</w:t>
      </w:r>
    </w:p>
    <w:p w14:paraId="74FA1D21"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Система авто-броне-танкового вооружения, с которой мы вступили в первую пятилетку, в основном, была построена на принципе внедрения танков в общевойсковые соединения, как средства их усиления при действиях в тактической зоне. </w:t>
      </w:r>
    </w:p>
    <w:p w14:paraId="3A3C725A"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Однако, на основе лучших заграничных типов и ряда собственных совершенных конструкций в течении Первой Пятилетки удалось поставить на массовое производство образцы наиболее совершенного танкового вооружения, и эти технические достижения создали прочные предпосылки к коренному изменению оперативно-тактических взглядов на применение танков и потребовали решительных организационных изменений мотомеханизированных войск в сторону: </w:t>
      </w:r>
    </w:p>
    <w:p w14:paraId="3BFBA7CF"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Создания самостоятельных мехсоединений; </w:t>
      </w:r>
    </w:p>
    <w:p w14:paraId="4061841F"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Создания мощного танкового резерва Главного Командования; </w:t>
      </w:r>
    </w:p>
    <w:p w14:paraId="78165D85"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 Организационного оснащения мехчастями кавалерийских дивизий и бригад; </w:t>
      </w:r>
    </w:p>
    <w:p w14:paraId="0D0EA35E"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4) Органическое оснащение танковыми частями стрелковых дивизий. </w:t>
      </w:r>
    </w:p>
    <w:p w14:paraId="059DFDEE"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Успехи социалистического строительства обеспечили создание своей собственной авиационной, автотракторной и танковой базы, и Первая Пятилетка превратила РККА из армии в отношении механизации отсталой – в армию передовую, и во всяком случае, по числу и качеству боевых машин, не уступающую самой сильной капиталистической армии. </w:t>
      </w:r>
    </w:p>
    <w:p w14:paraId="19235075"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Количество танков в РККА на 1.05.1933 г. </w:t>
      </w:r>
    </w:p>
    <w:p w14:paraId="7AD2466F"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Т-27 – 2.430, Т-37 – 50, Т-18 – 950, Т-26 – 1.550, Б-Т – 710, Т-24 – 25, Т-28 – 12, Т-35 – 2. </w:t>
      </w:r>
    </w:p>
    <w:p w14:paraId="6FE4F76C"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Всего – 5.729 танков. </w:t>
      </w:r>
    </w:p>
    <w:p w14:paraId="3DF4E80A"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Оценка. Это свидетельствует об исключительном успехе нашей советской техники и производства, так как на 1-е января 1929 г. РККА имела всего 90 танков устарелых заграничных систем и несколько десятков танков Т-18. </w:t>
      </w:r>
    </w:p>
    <w:p w14:paraId="7776A092"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Организационная структура мехвойск.</w:t>
      </w:r>
    </w:p>
    <w:p w14:paraId="1CFAF22F"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6229B356"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 1.05. 1933 г. РККА имеет: </w:t>
      </w:r>
    </w:p>
    <w:p w14:paraId="74D1E845" w14:textId="77777777" w:rsidR="002217A6" w:rsidRPr="00C33834" w:rsidRDefault="002217A6" w:rsidP="00C33834">
      <w:pPr>
        <w:spacing w:after="0" w:line="240" w:lineRule="auto"/>
        <w:jc w:val="both"/>
        <w:rPr>
          <w:rFonts w:ascii="Times New Roman" w:hAnsi="Times New Roman"/>
          <w:color w:val="000000" w:themeColor="text1"/>
          <w:sz w:val="16"/>
          <w:szCs w:val="16"/>
          <w:lang w:val="en-US"/>
        </w:rPr>
      </w:pPr>
      <w:r w:rsidRPr="00C33834">
        <w:rPr>
          <w:rFonts w:ascii="Times New Roman" w:hAnsi="Times New Roman"/>
          <w:color w:val="000000" w:themeColor="text1"/>
          <w:sz w:val="16"/>
          <w:szCs w:val="16"/>
        </w:rPr>
        <w:t xml:space="preserve">А) Механизированные соединения: </w:t>
      </w:r>
    </w:p>
    <w:tbl>
      <w:tblPr>
        <w:tblStyle w:val="affe"/>
        <w:tblW w:w="0" w:type="auto"/>
        <w:tblLook w:val="04A0" w:firstRow="1" w:lastRow="0" w:firstColumn="1" w:lastColumn="0" w:noHBand="0" w:noVBand="1"/>
      </w:tblPr>
      <w:tblGrid>
        <w:gridCol w:w="2256"/>
        <w:gridCol w:w="2270"/>
        <w:gridCol w:w="2267"/>
        <w:gridCol w:w="2278"/>
        <w:gridCol w:w="2257"/>
      </w:tblGrid>
      <w:tr w:rsidR="00F26F01" w:rsidRPr="00C33834" w14:paraId="5D50A044" w14:textId="77777777" w:rsidTr="00BB620E">
        <w:tc>
          <w:tcPr>
            <w:tcW w:w="2310" w:type="dxa"/>
          </w:tcPr>
          <w:p w14:paraId="33C88CD6" w14:textId="77777777" w:rsidR="002217A6" w:rsidRPr="00C33834" w:rsidRDefault="002217A6" w:rsidP="00C33834">
            <w:pPr>
              <w:spacing w:after="0" w:line="240" w:lineRule="auto"/>
              <w:rPr>
                <w:rFonts w:ascii="Times New Roman" w:hAnsi="Times New Roman" w:cs="Times New Roman"/>
                <w:color w:val="000000" w:themeColor="text1"/>
                <w:sz w:val="16"/>
                <w:szCs w:val="16"/>
                <w:lang w:val="en-US"/>
              </w:rPr>
            </w:pPr>
          </w:p>
        </w:tc>
        <w:tc>
          <w:tcPr>
            <w:tcW w:w="2311" w:type="dxa"/>
          </w:tcPr>
          <w:p w14:paraId="2FCFCBA1"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lang w:val="en-US"/>
              </w:rPr>
              <w:t xml:space="preserve">2 </w:t>
            </w:r>
            <w:r w:rsidRPr="00C33834">
              <w:rPr>
                <w:rFonts w:ascii="Times New Roman" w:hAnsi="Times New Roman" w:cs="Times New Roman"/>
                <w:color w:val="000000" w:themeColor="text1"/>
                <w:sz w:val="16"/>
                <w:szCs w:val="16"/>
              </w:rPr>
              <w:t>мехкорпуса</w:t>
            </w:r>
          </w:p>
        </w:tc>
        <w:tc>
          <w:tcPr>
            <w:tcW w:w="2311" w:type="dxa"/>
          </w:tcPr>
          <w:p w14:paraId="51C3A9D1"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6 отд. мехбригад</w:t>
            </w:r>
          </w:p>
        </w:tc>
        <w:tc>
          <w:tcPr>
            <w:tcW w:w="2311" w:type="dxa"/>
          </w:tcPr>
          <w:p w14:paraId="5A5697F5"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14 мехполков и 7 мехдивизионов конницы</w:t>
            </w:r>
          </w:p>
        </w:tc>
        <w:tc>
          <w:tcPr>
            <w:tcW w:w="2311" w:type="dxa"/>
          </w:tcPr>
          <w:p w14:paraId="47107476"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Итого</w:t>
            </w:r>
          </w:p>
        </w:tc>
      </w:tr>
      <w:tr w:rsidR="00F26F01" w:rsidRPr="00C33834" w14:paraId="7EE7AC7B" w14:textId="77777777" w:rsidTr="00BB620E">
        <w:tc>
          <w:tcPr>
            <w:tcW w:w="2310" w:type="dxa"/>
          </w:tcPr>
          <w:p w14:paraId="792142E4"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Т-27</w:t>
            </w:r>
          </w:p>
        </w:tc>
        <w:tc>
          <w:tcPr>
            <w:tcW w:w="2311" w:type="dxa"/>
          </w:tcPr>
          <w:p w14:paraId="0C101E24"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40</w:t>
            </w:r>
          </w:p>
        </w:tc>
        <w:tc>
          <w:tcPr>
            <w:tcW w:w="2311" w:type="dxa"/>
          </w:tcPr>
          <w:p w14:paraId="6161018D"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280</w:t>
            </w:r>
          </w:p>
        </w:tc>
        <w:tc>
          <w:tcPr>
            <w:tcW w:w="2311" w:type="dxa"/>
          </w:tcPr>
          <w:p w14:paraId="61855A15"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30</w:t>
            </w:r>
          </w:p>
        </w:tc>
        <w:tc>
          <w:tcPr>
            <w:tcW w:w="2311" w:type="dxa"/>
          </w:tcPr>
          <w:p w14:paraId="53DDCBFE"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350</w:t>
            </w:r>
          </w:p>
        </w:tc>
      </w:tr>
      <w:tr w:rsidR="00F26F01" w:rsidRPr="00C33834" w14:paraId="6B31BA65" w14:textId="77777777" w:rsidTr="00BB620E">
        <w:tc>
          <w:tcPr>
            <w:tcW w:w="2310" w:type="dxa"/>
          </w:tcPr>
          <w:p w14:paraId="18D0E964"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Т-18</w:t>
            </w:r>
          </w:p>
        </w:tc>
        <w:tc>
          <w:tcPr>
            <w:tcW w:w="2311" w:type="dxa"/>
          </w:tcPr>
          <w:p w14:paraId="21965ACD"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30</w:t>
            </w:r>
          </w:p>
        </w:tc>
        <w:tc>
          <w:tcPr>
            <w:tcW w:w="2311" w:type="dxa"/>
          </w:tcPr>
          <w:p w14:paraId="20262A2A"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30</w:t>
            </w:r>
          </w:p>
        </w:tc>
        <w:tc>
          <w:tcPr>
            <w:tcW w:w="2311" w:type="dxa"/>
          </w:tcPr>
          <w:p w14:paraId="732C4FDE"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25</w:t>
            </w:r>
          </w:p>
        </w:tc>
        <w:tc>
          <w:tcPr>
            <w:tcW w:w="2311" w:type="dxa"/>
          </w:tcPr>
          <w:p w14:paraId="0600E3D9"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85</w:t>
            </w:r>
          </w:p>
        </w:tc>
      </w:tr>
      <w:tr w:rsidR="00F26F01" w:rsidRPr="00C33834" w14:paraId="42B56CC3" w14:textId="77777777" w:rsidTr="00BB620E">
        <w:tc>
          <w:tcPr>
            <w:tcW w:w="2310" w:type="dxa"/>
          </w:tcPr>
          <w:p w14:paraId="6DC8A83A"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Т-26</w:t>
            </w:r>
          </w:p>
        </w:tc>
        <w:tc>
          <w:tcPr>
            <w:tcW w:w="2311" w:type="dxa"/>
          </w:tcPr>
          <w:p w14:paraId="45EABCDF"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300</w:t>
            </w:r>
          </w:p>
        </w:tc>
        <w:tc>
          <w:tcPr>
            <w:tcW w:w="2311" w:type="dxa"/>
          </w:tcPr>
          <w:p w14:paraId="595C7DF8"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500</w:t>
            </w:r>
          </w:p>
        </w:tc>
        <w:tc>
          <w:tcPr>
            <w:tcW w:w="2311" w:type="dxa"/>
          </w:tcPr>
          <w:p w14:paraId="4C596D75"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120</w:t>
            </w:r>
          </w:p>
        </w:tc>
        <w:tc>
          <w:tcPr>
            <w:tcW w:w="2311" w:type="dxa"/>
          </w:tcPr>
          <w:p w14:paraId="1DC8FD98"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920</w:t>
            </w:r>
          </w:p>
        </w:tc>
      </w:tr>
      <w:tr w:rsidR="00F26F01" w:rsidRPr="00C33834" w14:paraId="60D33751" w14:textId="77777777" w:rsidTr="00BB620E">
        <w:tc>
          <w:tcPr>
            <w:tcW w:w="2310" w:type="dxa"/>
          </w:tcPr>
          <w:p w14:paraId="451A45B0"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БТ</w:t>
            </w:r>
          </w:p>
        </w:tc>
        <w:tc>
          <w:tcPr>
            <w:tcW w:w="2311" w:type="dxa"/>
          </w:tcPr>
          <w:p w14:paraId="1BF04A68"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250</w:t>
            </w:r>
          </w:p>
        </w:tc>
        <w:tc>
          <w:tcPr>
            <w:tcW w:w="2311" w:type="dxa"/>
          </w:tcPr>
          <w:p w14:paraId="6C63269C"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180</w:t>
            </w:r>
          </w:p>
        </w:tc>
        <w:tc>
          <w:tcPr>
            <w:tcW w:w="2311" w:type="dxa"/>
          </w:tcPr>
          <w:p w14:paraId="32CD1CAB"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112</w:t>
            </w:r>
          </w:p>
        </w:tc>
        <w:tc>
          <w:tcPr>
            <w:tcW w:w="2311" w:type="dxa"/>
          </w:tcPr>
          <w:p w14:paraId="01D1987A"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542</w:t>
            </w:r>
          </w:p>
        </w:tc>
      </w:tr>
      <w:tr w:rsidR="00F26F01" w:rsidRPr="00C33834" w14:paraId="3F3664B5" w14:textId="77777777" w:rsidTr="00BB620E">
        <w:tc>
          <w:tcPr>
            <w:tcW w:w="2310" w:type="dxa"/>
          </w:tcPr>
          <w:p w14:paraId="21FE04B5"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Итого</w:t>
            </w:r>
          </w:p>
        </w:tc>
        <w:tc>
          <w:tcPr>
            <w:tcW w:w="2311" w:type="dxa"/>
          </w:tcPr>
          <w:p w14:paraId="29075BE9"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629</w:t>
            </w:r>
          </w:p>
        </w:tc>
        <w:tc>
          <w:tcPr>
            <w:tcW w:w="2311" w:type="dxa"/>
          </w:tcPr>
          <w:p w14:paraId="1A5DD06A"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990</w:t>
            </w:r>
          </w:p>
        </w:tc>
        <w:tc>
          <w:tcPr>
            <w:tcW w:w="2311" w:type="dxa"/>
          </w:tcPr>
          <w:p w14:paraId="1C113306"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287</w:t>
            </w:r>
          </w:p>
        </w:tc>
        <w:tc>
          <w:tcPr>
            <w:tcW w:w="2311" w:type="dxa"/>
          </w:tcPr>
          <w:p w14:paraId="5ADF2FB7"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1897</w:t>
            </w:r>
          </w:p>
        </w:tc>
      </w:tr>
    </w:tbl>
    <w:p w14:paraId="24C25CCE"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 Танковый Резерв Главного Командования: </w:t>
      </w:r>
    </w:p>
    <w:tbl>
      <w:tblPr>
        <w:tblStyle w:val="affe"/>
        <w:tblW w:w="0" w:type="auto"/>
        <w:tblLook w:val="04A0" w:firstRow="1" w:lastRow="0" w:firstColumn="1" w:lastColumn="0" w:noHBand="0" w:noVBand="1"/>
      </w:tblPr>
      <w:tblGrid>
        <w:gridCol w:w="2310"/>
        <w:gridCol w:w="2311"/>
        <w:gridCol w:w="2311"/>
        <w:gridCol w:w="2311"/>
      </w:tblGrid>
      <w:tr w:rsidR="00F26F01" w:rsidRPr="00C33834" w14:paraId="54A3589A" w14:textId="77777777" w:rsidTr="00BB620E">
        <w:tc>
          <w:tcPr>
            <w:tcW w:w="2310" w:type="dxa"/>
          </w:tcPr>
          <w:p w14:paraId="4F6F17A3" w14:textId="77777777" w:rsidR="002217A6" w:rsidRPr="00C33834" w:rsidRDefault="002217A6" w:rsidP="00C33834">
            <w:pPr>
              <w:spacing w:after="0" w:line="240" w:lineRule="auto"/>
              <w:rPr>
                <w:rFonts w:ascii="Times New Roman" w:hAnsi="Times New Roman" w:cs="Times New Roman"/>
                <w:color w:val="000000" w:themeColor="text1"/>
                <w:sz w:val="16"/>
                <w:szCs w:val="16"/>
              </w:rPr>
            </w:pPr>
          </w:p>
        </w:tc>
        <w:tc>
          <w:tcPr>
            <w:tcW w:w="2311" w:type="dxa"/>
          </w:tcPr>
          <w:p w14:paraId="73EAA905"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4 танковых полка</w:t>
            </w:r>
          </w:p>
        </w:tc>
        <w:tc>
          <w:tcPr>
            <w:tcW w:w="2311" w:type="dxa"/>
          </w:tcPr>
          <w:p w14:paraId="0C6318BC"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8 танковых батальонов и 4 танковых роты</w:t>
            </w:r>
          </w:p>
        </w:tc>
        <w:tc>
          <w:tcPr>
            <w:tcW w:w="2311" w:type="dxa"/>
          </w:tcPr>
          <w:p w14:paraId="50B897C6"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Итого</w:t>
            </w:r>
          </w:p>
        </w:tc>
      </w:tr>
      <w:tr w:rsidR="00F26F01" w:rsidRPr="00C33834" w14:paraId="2B08C60C" w14:textId="77777777" w:rsidTr="00BB620E">
        <w:tc>
          <w:tcPr>
            <w:tcW w:w="2310" w:type="dxa"/>
          </w:tcPr>
          <w:p w14:paraId="198AE556"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Т-27</w:t>
            </w:r>
          </w:p>
        </w:tc>
        <w:tc>
          <w:tcPr>
            <w:tcW w:w="2311" w:type="dxa"/>
          </w:tcPr>
          <w:p w14:paraId="008CE279"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70</w:t>
            </w:r>
          </w:p>
        </w:tc>
        <w:tc>
          <w:tcPr>
            <w:tcW w:w="2311" w:type="dxa"/>
          </w:tcPr>
          <w:p w14:paraId="37D8E159"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110</w:t>
            </w:r>
          </w:p>
        </w:tc>
        <w:tc>
          <w:tcPr>
            <w:tcW w:w="2311" w:type="dxa"/>
          </w:tcPr>
          <w:p w14:paraId="1649DF50"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180</w:t>
            </w:r>
          </w:p>
        </w:tc>
      </w:tr>
      <w:tr w:rsidR="00F26F01" w:rsidRPr="00C33834" w14:paraId="04BA11A8" w14:textId="77777777" w:rsidTr="00BB620E">
        <w:tc>
          <w:tcPr>
            <w:tcW w:w="2310" w:type="dxa"/>
          </w:tcPr>
          <w:p w14:paraId="0AA286DD"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Т-18</w:t>
            </w:r>
          </w:p>
        </w:tc>
        <w:tc>
          <w:tcPr>
            <w:tcW w:w="2311" w:type="dxa"/>
          </w:tcPr>
          <w:p w14:paraId="181C9139"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250</w:t>
            </w:r>
          </w:p>
        </w:tc>
        <w:tc>
          <w:tcPr>
            <w:tcW w:w="2311" w:type="dxa"/>
          </w:tcPr>
          <w:p w14:paraId="1AFBEF62"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150</w:t>
            </w:r>
          </w:p>
        </w:tc>
        <w:tc>
          <w:tcPr>
            <w:tcW w:w="2311" w:type="dxa"/>
          </w:tcPr>
          <w:p w14:paraId="4E1B3481"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400</w:t>
            </w:r>
          </w:p>
        </w:tc>
      </w:tr>
      <w:tr w:rsidR="00F26F01" w:rsidRPr="00C33834" w14:paraId="466236FF" w14:textId="77777777" w:rsidTr="00BB620E">
        <w:tc>
          <w:tcPr>
            <w:tcW w:w="2310" w:type="dxa"/>
          </w:tcPr>
          <w:p w14:paraId="714416DF"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Т-26</w:t>
            </w:r>
          </w:p>
        </w:tc>
        <w:tc>
          <w:tcPr>
            <w:tcW w:w="2311" w:type="dxa"/>
          </w:tcPr>
          <w:p w14:paraId="5C2E55BB"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80</w:t>
            </w:r>
          </w:p>
        </w:tc>
        <w:tc>
          <w:tcPr>
            <w:tcW w:w="2311" w:type="dxa"/>
          </w:tcPr>
          <w:p w14:paraId="789BD659"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120</w:t>
            </w:r>
          </w:p>
        </w:tc>
        <w:tc>
          <w:tcPr>
            <w:tcW w:w="2311" w:type="dxa"/>
          </w:tcPr>
          <w:p w14:paraId="0D7B185C"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200</w:t>
            </w:r>
          </w:p>
        </w:tc>
      </w:tr>
      <w:tr w:rsidR="00F26F01" w:rsidRPr="00C33834" w14:paraId="6AA32750" w14:textId="77777777" w:rsidTr="00BB620E">
        <w:tc>
          <w:tcPr>
            <w:tcW w:w="2310" w:type="dxa"/>
          </w:tcPr>
          <w:p w14:paraId="40E4A99B"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Т-24</w:t>
            </w:r>
          </w:p>
        </w:tc>
        <w:tc>
          <w:tcPr>
            <w:tcW w:w="2311" w:type="dxa"/>
          </w:tcPr>
          <w:p w14:paraId="1F4B7867"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25</w:t>
            </w:r>
          </w:p>
        </w:tc>
        <w:tc>
          <w:tcPr>
            <w:tcW w:w="2311" w:type="dxa"/>
          </w:tcPr>
          <w:p w14:paraId="2D56B9C5"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w:t>
            </w:r>
          </w:p>
        </w:tc>
        <w:tc>
          <w:tcPr>
            <w:tcW w:w="2311" w:type="dxa"/>
          </w:tcPr>
          <w:p w14:paraId="732196CD"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25</w:t>
            </w:r>
          </w:p>
        </w:tc>
      </w:tr>
      <w:tr w:rsidR="00F26F01" w:rsidRPr="00C33834" w14:paraId="1C9399F5" w14:textId="77777777" w:rsidTr="00BB620E">
        <w:tc>
          <w:tcPr>
            <w:tcW w:w="2310" w:type="dxa"/>
          </w:tcPr>
          <w:p w14:paraId="1028172F"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БТ</w:t>
            </w:r>
          </w:p>
        </w:tc>
        <w:tc>
          <w:tcPr>
            <w:tcW w:w="2311" w:type="dxa"/>
          </w:tcPr>
          <w:p w14:paraId="6D0E27DC"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30</w:t>
            </w:r>
          </w:p>
        </w:tc>
        <w:tc>
          <w:tcPr>
            <w:tcW w:w="2311" w:type="dxa"/>
          </w:tcPr>
          <w:p w14:paraId="531C0F31"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w:t>
            </w:r>
          </w:p>
        </w:tc>
        <w:tc>
          <w:tcPr>
            <w:tcW w:w="2311" w:type="dxa"/>
          </w:tcPr>
          <w:p w14:paraId="767FB6C5"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30</w:t>
            </w:r>
          </w:p>
        </w:tc>
      </w:tr>
      <w:tr w:rsidR="00F26F01" w:rsidRPr="00C33834" w14:paraId="06E101A5" w14:textId="77777777" w:rsidTr="00BB620E">
        <w:tc>
          <w:tcPr>
            <w:tcW w:w="2310" w:type="dxa"/>
          </w:tcPr>
          <w:p w14:paraId="6585FF2E"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Итого</w:t>
            </w:r>
          </w:p>
        </w:tc>
        <w:tc>
          <w:tcPr>
            <w:tcW w:w="2311" w:type="dxa"/>
          </w:tcPr>
          <w:p w14:paraId="609B63DF"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455</w:t>
            </w:r>
          </w:p>
        </w:tc>
        <w:tc>
          <w:tcPr>
            <w:tcW w:w="2311" w:type="dxa"/>
          </w:tcPr>
          <w:p w14:paraId="44534BE3"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394</w:t>
            </w:r>
          </w:p>
        </w:tc>
        <w:tc>
          <w:tcPr>
            <w:tcW w:w="2311" w:type="dxa"/>
          </w:tcPr>
          <w:p w14:paraId="4A931031" w14:textId="77777777" w:rsidR="002217A6" w:rsidRPr="00C33834" w:rsidRDefault="002217A6" w:rsidP="00C33834">
            <w:pPr>
              <w:spacing w:after="0"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849</w:t>
            </w:r>
          </w:p>
        </w:tc>
      </w:tr>
    </w:tbl>
    <w:p w14:paraId="0108C241"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Органически внедренные в общевойсковые соединения: </w:t>
      </w:r>
    </w:p>
    <w:p w14:paraId="4810EAA4"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28 отдельных танковых батальонов в стрелковых дивизиях, 23 отдельных танкетных батальона в стрелковых дивизиях, 37 танкетных рот, 6 авто-броне-рот и 1 мото-мехбатальон с общим количеством: </w:t>
      </w:r>
    </w:p>
    <w:p w14:paraId="4C0663CE"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Танкеток Т-27 – 1.950, танков Т-18 – 380, Т-26 – 460 и Б-Т – 138. Итого – 2.898 боевых машин. </w:t>
      </w:r>
    </w:p>
    <w:p w14:paraId="2C2FAD0E"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3C0EB60C"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Выводы.</w:t>
      </w:r>
    </w:p>
    <w:p w14:paraId="1B6ABA89"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6882DAE1"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Конструкция танков, состоящих в данный момент на вооружении РККА, могут быть сравнимы в отношении их боевых качеств только с самыми лучшими аналогичными образцами заграничной техники, так как они не только не уступают им по отдельным своим элементам, но даже по некоторым категориям машин превосходят лучшие заграничные образцы: </w:t>
      </w:r>
    </w:p>
    <w:p w14:paraId="7F13E405"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391F7E71"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Оперативный танк Б-Т ничем не уступает американскому быстроходному танку Кристи, а по мощности вооружения превосходит его. </w:t>
      </w:r>
    </w:p>
    <w:p w14:paraId="08427AD0"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796E3528"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 Мощный танк особого назначения Т-35, не имеющий себе равного за границей, значительно превосходит французский танк 3С по скорости хода и качествам ходовой части. </w:t>
      </w:r>
    </w:p>
    <w:p w14:paraId="13FA3732"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е) Опытный образец оперативного плавающего танка ПТ-1 по новизне и совершенству конструкции не имеет себе равного заграницей. </w:t>
      </w:r>
    </w:p>
    <w:p w14:paraId="01242FCA"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Задачи на Вторую Пятилетку.</w:t>
      </w:r>
    </w:p>
    <w:p w14:paraId="644A1BD1"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0A1A0D0D"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Вторая пятилетка должна сделать механизацию одним из решающих элементов будущих операций Красной Армии. </w:t>
      </w:r>
    </w:p>
    <w:p w14:paraId="24736EC9"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Вытекающие из этого требования: </w:t>
      </w:r>
    </w:p>
    <w:p w14:paraId="7B6DDE4C"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 Лучшие, наиболее мощные и быстроходные танки должны быть сгруппированы в сильные мехсоединения оперативного и стратегического значения (мехбригады и мехкорпуса); </w:t>
      </w:r>
    </w:p>
    <w:p w14:paraId="40F5FC2D"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 В распоряжении Главного Командования должен быть сильный резерв танков (количественного и качественного значения), который бы обеспечил создание абсолютного танкового превосходства над противником на ударных направлениях; </w:t>
      </w:r>
    </w:p>
    <w:p w14:paraId="37D819D9"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Стратегическая конница, сохраняющая и впредь своё значение, прочно оснащается мехсредствами и самоходной артиллерией; </w:t>
      </w:r>
    </w:p>
    <w:p w14:paraId="786468F4"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г) Общевойсковые соединения (большенство дивизий, а в дальнейшем и полков) должны иметь свои органические мехчасти, как для разведки, так и для боя. </w:t>
      </w:r>
    </w:p>
    <w:p w14:paraId="3F1B51A6"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Исходя из этих требований на ближайшие годы на массовом производстве должны находиться следующие основные типы боевых машин: </w:t>
      </w:r>
    </w:p>
    <w:p w14:paraId="161834A2"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 Разведывательный танк (танк Т-37). Основной танк службы боевого обеспечения всех мехсоединений и средство боевой разведки и боя пехоты. Основные требования: быстроходность, вездеходность (в том числе – плавучесть), маневренность, низкий габарит, дешевизна и массовость производства. </w:t>
      </w:r>
    </w:p>
    <w:p w14:paraId="39A7F0D6"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 Общевойсковой танк (танк Т-26). Основной, органический танк общевойсковых соединений, он же танк количественного усиления ТРГК. Основные требования: маневренность на поле боя, броня, защищающая от бронебойных пуль, разнообразное вооружение (пушка, пулеметы, огнемет, химприборы), наконец, дешевизна и массовость производства. </w:t>
      </w:r>
    </w:p>
    <w:p w14:paraId="7ACF0E3E"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Оперативный танк (танк БТ, в дальнейшем типа ПТ-1). Танк самостоятельных мехсоединений. Все в этом танке подчиняется требованиям быстроходности, вездеходности (в том числе плавучести) и мощного вооружения. </w:t>
      </w:r>
    </w:p>
    <w:p w14:paraId="74624BD1"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г) Танк качественного усиления (ТРГК) (танк Т-28). Основные требования: сильное вооружение и броня, быстроходность, позволяющая его применять также в операции совместно с мехсоединениями. </w:t>
      </w:r>
    </w:p>
    <w:p w14:paraId="7A039552"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xml:space="preserve">д) Мощный танк особого назначения (подходящий на сегодня танк Т-35). Танк качественного, добавочного усиления при прорыве сильно и заблаговременно укрепленных полос. Основное требование – мощное вооружение и броня, защищающая от мелкокалиберных снарядов. </w:t>
      </w:r>
    </w:p>
    <w:p w14:paraId="7684697D"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Предусмотреть возможность использования и постановки на производство во время войны имеющегося опытного образца танка Т-34 на базе автомобильной промышленности. </w:t>
      </w:r>
    </w:p>
    <w:p w14:paraId="50CFE69B"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Исходя из вышеизложенного, РВС СССР утвердил следующую систему броне-танкового вооружения: </w:t>
      </w:r>
    </w:p>
    <w:p w14:paraId="52CEAE6F"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Основные танки – 5 типов:</w:t>
      </w:r>
    </w:p>
    <w:p w14:paraId="5E06C844"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 Разведывательный – типа Т-37; </w:t>
      </w:r>
    </w:p>
    <w:p w14:paraId="453DC0C7"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 Общевойсковой – типа Т-26; </w:t>
      </w:r>
    </w:p>
    <w:p w14:paraId="6D197798"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Оперативный – типа Б-Т, в дальнейшем ПТ-1; </w:t>
      </w:r>
    </w:p>
    <w:p w14:paraId="050DF23E"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г) Танк качественного усиления ТРГК – типа Т-28; </w:t>
      </w:r>
    </w:p>
    <w:p w14:paraId="0312D6EB"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 Мощный танк особого назначения – типа Т-35. </w:t>
      </w:r>
    </w:p>
    <w:p w14:paraId="04CBB729"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Специальные танки – 7 типов (на шасси, стандартных с перечисленными выше): </w:t>
      </w:r>
    </w:p>
    <w:p w14:paraId="163E65CF"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 3 химических (на шасси общевойскового, разведывательного и оперативного танков); </w:t>
      </w:r>
    </w:p>
    <w:p w14:paraId="72D46C5C"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 2 саперных (на шассиобщевойскового танка и танка качественного усиления ТРГК); </w:t>
      </w:r>
    </w:p>
    <w:p w14:paraId="5A4E02E3"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Самоходная артиллерийская установка (на агрегатах общевойскового танка); </w:t>
      </w:r>
    </w:p>
    <w:p w14:paraId="7DD1B1A0"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г) Танк управления (на шасси общевойскового танка и танка качественного усиления ТРГК); </w:t>
      </w:r>
    </w:p>
    <w:p w14:paraId="70984E4B"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 Броне-машины – 2 типа (на шасси ФОРД-А и ФОРД-3А): </w:t>
      </w:r>
    </w:p>
    <w:p w14:paraId="1E00872A"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 Разведывательная (на шасси ФОРД-А); </w:t>
      </w:r>
    </w:p>
    <w:p w14:paraId="154E09BD"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 Боевая (на шасси ФОРД-3А). </w:t>
      </w:r>
    </w:p>
    <w:p w14:paraId="6DD842F7"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Железнодорожные боевые машины – 2 типа:</w:t>
      </w:r>
    </w:p>
    <w:p w14:paraId="1C8DFD7C"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 Мотто-броне-вагон; </w:t>
      </w:r>
    </w:p>
    <w:p w14:paraId="0E424C5A"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 Разведывательная дрезина-броне-автомобиль (стандартный с броне-машиной). </w:t>
      </w:r>
    </w:p>
    <w:p w14:paraId="2077C50E"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5. Тракторы – 3 типа (все типы общегосударственные): </w:t>
      </w:r>
    </w:p>
    <w:p w14:paraId="2DCF71F2"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 Легкий быстроходный трактор СТЗ-3; </w:t>
      </w:r>
    </w:p>
    <w:p w14:paraId="0A530BD0"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 Тяжелый быстроходный трактор «Коммунар»; </w:t>
      </w:r>
    </w:p>
    <w:p w14:paraId="2EF8D533"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Тяжелый мощный трактор «Сталинец». </w:t>
      </w:r>
    </w:p>
    <w:p w14:paraId="1B17C691"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Транспортеры – 2 типа:</w:t>
      </w:r>
    </w:p>
    <w:p w14:paraId="7A2975A0"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 Транспортер боеприпасов на поле боя (шасси стандартное с разведывательным танком); </w:t>
      </w:r>
    </w:p>
    <w:p w14:paraId="239269DF"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 Транспортер пехоты (на шасси легкого трактора). </w:t>
      </w:r>
    </w:p>
    <w:p w14:paraId="42F45578"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7. Транспортные машины (существующие на массовом производстве с установкой 3-х осных ходовых частей и полугусеничных снежных ходов): </w:t>
      </w:r>
    </w:p>
    <w:p w14:paraId="327FC50C"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 ФОРД-А; </w:t>
      </w:r>
    </w:p>
    <w:p w14:paraId="6AB718C6"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 ФОРД-АА; </w:t>
      </w:r>
    </w:p>
    <w:p w14:paraId="0D3E65B5"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АМО-5; </w:t>
      </w:r>
    </w:p>
    <w:p w14:paraId="2DD09B4F"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г) Я-5. </w:t>
      </w:r>
    </w:p>
    <w:p w14:paraId="36E2F546"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Основные тактико-технические требования к этим машинам должны быть предъявлены следующие: </w:t>
      </w:r>
    </w:p>
    <w:p w14:paraId="3BE85486"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Основные танки.</w:t>
      </w:r>
    </w:p>
    <w:p w14:paraId="5AFF6734"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Разведывательный танк (танк Т-37): </w:t>
      </w:r>
    </w:p>
    <w:p w14:paraId="13271D85"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боевой вес – 3,3 тн, скорость – 40 км/ч, вооружение – 1 пулемет, броня – защита от бронебойных пуль с дистанции 400 м, конструкция – плавающий. </w:t>
      </w:r>
    </w:p>
    <w:p w14:paraId="5EA432CF"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Общевойсковой танк (танк Т-26): </w:t>
      </w:r>
    </w:p>
    <w:p w14:paraId="5C3E1194"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боевой вес – 9,5 тн, скорость – 50 км/ч, вооружение – 45 мм пушка (часть машин с 76 мм пушкой) и 1 пулемет, или 2 пулемета и 1 огнемет, броня – защита от бронебойных пуль, конструкция – желательно колесно-гусеничный. </w:t>
      </w:r>
    </w:p>
    <w:p w14:paraId="54354790"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 Оперативный танк (тип – танк БТ, в дальнейшем – ПТ-1): </w:t>
      </w:r>
    </w:p>
    <w:p w14:paraId="1B072F43"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боевой вес – 11 – 14,5 тн, скорость – 60 км/ч на гусеницах и 80 км/ч на колесах, вооружение 1 – 45 мм пушка (часть машин с 76 мм пушкой) и 3 пулемета, броня – защита от бронебойных пуль, конструкция – плавающий, колесно-гусеничный. </w:t>
      </w:r>
    </w:p>
    <w:p w14:paraId="7DACEFE8"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4). Танк качественного усиления ТРГК (тип – танка Т-28): </w:t>
      </w:r>
    </w:p>
    <w:p w14:paraId="6E7C9DED"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боевой вес – 20 – 23 тн, скорость – 40 км/ч на гусеницах и 70 км/ч на колесах, вооружение – 76 мм пушка и 3 сверхскорострельных пулемета, броня – защита от бронебойных крупнокалиберных пуль с любой дистанции, конструкция – колесно-гусеничный. </w:t>
      </w:r>
    </w:p>
    <w:p w14:paraId="3DC376AC"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5). Мощный танк особого назначения (тип – танка Т-35): </w:t>
      </w:r>
    </w:p>
    <w:p w14:paraId="0EAC7BC7"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боевой вес – 45 тн и более, скорость – 30 км/ч, вооружение – 76 мм пушка или 152 мм пушка, две 45 мм пушки или одна 45 мм пушка и 4–6 пулеметов, броня – защита от бронебойных крупнокалиберных пуль с любой дистанции и от мелкокалиберных снарядов (37–45 мм) с дистанции 500 – 700 м., конструкция – желательно колесно-гусеничный. </w:t>
      </w:r>
    </w:p>
    <w:p w14:paraId="0A154C3A"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 Специальные танки.</w:t>
      </w:r>
    </w:p>
    <w:p w14:paraId="6E19F2C2"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Передовой химический танк (шасси Т-37): </w:t>
      </w:r>
    </w:p>
    <w:p w14:paraId="7482E453"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Назначение – средство поражения огнеметом огневых точек, живой силы, танков и бронемашин, постановка дымовых завес, заражение местности стойкими ОВ и дегазация, работает преимущественно в зоне действия разведывательных частей. </w:t>
      </w:r>
    </w:p>
    <w:p w14:paraId="5C7E3B10"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Вооружение – пулемет или автоматическая винтовка, огнемет с дальностью огнеметания 50 м, прибор постановки дымовой завесы (длиной 500 м и шириной 2 м). </w:t>
      </w:r>
    </w:p>
    <w:p w14:paraId="71ACB8D7"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Общевойсковой химический танк (шасси Т-26): </w:t>
      </w:r>
    </w:p>
    <w:p w14:paraId="0A3BFCC1"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Назначение – тоже, что и предыдущий. </w:t>
      </w:r>
    </w:p>
    <w:p w14:paraId="3A5C3A47"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Вооружение – 1 пулемет. </w:t>
      </w:r>
    </w:p>
    <w:p w14:paraId="7F34782D"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Специальное оборудование – 1 огнемет с силой струи до 80 мтр., дымприборы, дающие дымзавесу 1.500×3 мтр. или приборы заражения местности ОВ (6.000 кв. мтр.) со средней плотностью ОВ. </w:t>
      </w:r>
    </w:p>
    <w:p w14:paraId="1AF35401"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 Оперативный химический танк (шасси БТ, в дальнейшем ПТ-1): </w:t>
      </w:r>
    </w:p>
    <w:p w14:paraId="03EA755F"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Назначение – тоже, что и у общевойскового. </w:t>
      </w:r>
    </w:p>
    <w:p w14:paraId="54A56A2B"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Вооружение и специальное оборудование – тоже, что и у общевойскового химического танка. </w:t>
      </w:r>
    </w:p>
    <w:p w14:paraId="68E6D759"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4. Саперный танк (шасси Т-26): </w:t>
      </w:r>
    </w:p>
    <w:p w14:paraId="7AE06877"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Назначение – средство для наводки мостов и траления мин. </w:t>
      </w:r>
    </w:p>
    <w:p w14:paraId="0E149618"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Вооружение – 1 пулемет. </w:t>
      </w:r>
    </w:p>
    <w:p w14:paraId="46CEC9BF"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Специальное оборудование – 1 колейный мост длиной 9 мтр, допускающий переход по нему танков весом до 14,5 тн. Съемное приспособление для траления мин на ширину танка и съемное приспособление для очистки снега на ширину танка. </w:t>
      </w:r>
    </w:p>
    <w:p w14:paraId="061E729E"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5. Большой саперный танк (шасси Т-28): </w:t>
      </w:r>
    </w:p>
    <w:p w14:paraId="591FBCC9"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Назначение – Тоже, что и предыдущий. </w:t>
      </w:r>
    </w:p>
    <w:p w14:paraId="319A5D5C"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Вооружение – 2 пулемета. </w:t>
      </w:r>
    </w:p>
    <w:p w14:paraId="09FC734F"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Специальное оборудование – 1 колейный мост длиной 15 мтр, допускающий переход по нему танков весом до 25 тн. Съемное приспособление для траления мин на ширину танка или приспособление для разбрасывания мин и съемное приспособление для очистки снега на ширину танка. </w:t>
      </w:r>
    </w:p>
    <w:p w14:paraId="34E04BDB"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Конструкция – должна допускать работу, не выходя из танка. </w:t>
      </w:r>
    </w:p>
    <w:p w14:paraId="1BCAE634"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6. Танк управления – штабной (шасси Т-26 и Т-28): </w:t>
      </w:r>
    </w:p>
    <w:p w14:paraId="51EE23F8"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Назначение – подвижной бронированный командный пункт для командования и штаба мехсоединений и частей и для управления артиллерийским огнем. </w:t>
      </w:r>
    </w:p>
    <w:p w14:paraId="37E6BB15"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Вооружение: 1 пулемет для общевойскового и оперативного танка и 2 пулемета для танка качественного усиления. </w:t>
      </w:r>
    </w:p>
    <w:p w14:paraId="29A3F43D"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Специальное оборудование, неоюходимое для работы командира и штаба и радиостанции (общевойсковой танк рассчитывается на 3 чел. – остальные на 5 чел.). Танки управления арт. огнем – снабжаются спец. приборами. </w:t>
      </w:r>
    </w:p>
    <w:p w14:paraId="11DD9950"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7. Самоходные артиллерийские установки: </w:t>
      </w:r>
    </w:p>
    <w:p w14:paraId="7D4F3AAC"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Назначение – артиллерия непосредственной поддержки мехсоединений. Артиллерия сопровождения общевойсковых соединений и конницы. </w:t>
      </w:r>
    </w:p>
    <w:p w14:paraId="638AC38E"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Тип шасси – агрегаты общевойскового танка (Т-26), броневая защита – от бронебойных пуль с дистанции от 300 м. Типы орудий: а) малый триплекс: 76 мм дивизионная пушка или 122 мм гаубица или 152 мм мортира; б) 76 мм зенитная пушка (в случае невозможности осуществить конструкцию – решение ищется путем установки пушки на быстроходный трактор); в) 152 мм гаубица «К». </w:t>
      </w:r>
    </w:p>
    <w:p w14:paraId="5D7D0E27"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Новые проблемы механизации РККА.</w:t>
      </w:r>
    </w:p>
    <w:p w14:paraId="2194D9C4"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качестве специальной научно-исследовательской работы по разрешению новых проблем механизации РККА ставятся следующие задачи: </w:t>
      </w:r>
    </w:p>
    <w:p w14:paraId="667307BF"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Разработка вопросов переброски с десантными целями танков по воздуху на самодетах; </w:t>
      </w:r>
    </w:p>
    <w:p w14:paraId="65FD1888"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Изготовление образцов приспособлений к существующим типам машин для движения их в зимних условиях; </w:t>
      </w:r>
    </w:p>
    <w:p w14:paraId="39A2F3B2"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 Окончательное решение проблемы и создание телеуправляемых танков; </w:t>
      </w:r>
    </w:p>
    <w:p w14:paraId="3B6BC8C9"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4) Перевод всех моторов на тяжелое топливо. </w:t>
      </w:r>
    </w:p>
    <w:p w14:paraId="310287AF"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Прошу утвердить представленную систему броне-танкового вооружения. </w:t>
      </w:r>
    </w:p>
    <w:p w14:paraId="491C150C"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Народный Комиссар по военным и морским делам и Председатель РВС Союза ССР</w:t>
      </w:r>
    </w:p>
    <w:p w14:paraId="55604A58"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подпись Ворошилов</w:t>
      </w:r>
    </w:p>
    <w:p w14:paraId="6A10FBC4" w14:textId="77777777" w:rsidR="002217A6" w:rsidRPr="00C33834" w:rsidRDefault="002217A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 Особая папка. Фонд 3 Опись 46 Дело 381 Лист 134 – 155 (17951).</w:t>
      </w:r>
    </w:p>
    <w:p w14:paraId="28977A54" w14:textId="77777777" w:rsidR="002217A6" w:rsidRPr="00C33834" w:rsidRDefault="002217A6" w:rsidP="00C33834">
      <w:pPr>
        <w:spacing w:after="0" w:line="240" w:lineRule="auto"/>
        <w:jc w:val="both"/>
        <w:rPr>
          <w:rFonts w:ascii="Times New Roman" w:hAnsi="Times New Roman"/>
          <w:color w:val="000000" w:themeColor="text1"/>
          <w:sz w:val="16"/>
          <w:szCs w:val="16"/>
        </w:rPr>
      </w:pPr>
    </w:p>
    <w:p w14:paraId="563CA01D"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июля 1933 приказом N 654 НКТП в строй действующих вступил УМТЗ (Уралмаш) (2990).</w:t>
      </w:r>
    </w:p>
    <w:p w14:paraId="6ED749D4"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54384D4A"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июля 1933 г. завод тяжелого машиностроения (УЗТМ) им. С. Орджоникидзе, вошел в строй действующих предприятий. Постановлением Совета Народных Комиссаров СССР от 14 июля 1933 г. заводу присвоено имя Серго Орджоникидзе. Завод был награжден орденами: Ленина (1939, 1946), Трудового Красного Знамени (1942), Красного Знамени (1945), Отечественной войны I степени (1946), Октябрьской Революции (1971), Красное Знамя Труда Народной Республики Болгарии (1973), Высшего Ордена заслуги со Звездой, Ордена Дружбы (1973). В июне 1970 г. завод вошел в состав Производственного объединения "Уралмаш" в качестве головного завода (12102).</w:t>
      </w:r>
    </w:p>
    <w:p w14:paraId="0EF9F2B7"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25E1205D" w14:textId="77777777" w:rsidR="00964726" w:rsidRPr="00C33834" w:rsidRDefault="009647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июля в 1933 году приказом наркома тяжелой промышленности № 654 введен в строй Уральский завод тяжелого машиностроения (Уралмашзавод или УЗТМ), первоначально носящий имя Серго Орджоникидзе. В довоенное время Уралмашзавод обеспечивал своей продукцией (доменным оборудованием, агломерационными машинами, прокатными станами, прессами, кранами и т.д.) создаваемые на Урале и в Сибири горные и металлургические предприятия. Кроме того, уралмашевские прессы использовались в авиационной промышленности. Большая часть продукции выпускалась по индивидуальным проектам. Одновременно на заводе осваивался выпуск оборонной продукции - в конце 1930-х годов организован выпуск гаубиц «М-30» конструкции Ф.Ф.Петрова (калибр 122 мм). В начале Великой Отечественной войны всего за несколько месяцев были реконструированы цеха, предназначенные для выпуска металлургического оборудования по индивидуальным проектам, - в них было организовано крупносерийное производство бронетанковой техники. В 1942 г. начался полный цикл производства танков «Т-34», а затем самоходных артиллерийских установок «СУ-122», «СУ-85» и «СУ-100» на базе танка «Т-34» (по собственным проектам). Уралмашевские боевые машины показали себя весьма эффективными на полях сражений, так как удачно сочетали маневренность танков Т-34 с огромной огневой мощью артиллерийских орудий, специально предназначенных для уничтожения бронетанковой техники фашистской Германии и прорыва укреплений противника. «СУ-100» считается военными специалистами лучшей самоходкой такого класса периода Второй мировой войны. Параллельно с выпуском танковой техники не прекращалось производство бронекорпусов, в том числе для тяжелых танков «ИС-2», ИС-3 и самоходок «ИСУ-152». Всего за годы войны было изготовлено свыше 19000 бронекорпусов средних и тяжелых танков, а также самоходных артиллерийских установок; выпущено около 6000 единиц бронетанковой техники. Кроме того, на оборонные заводы поступали с Уралмашзавода литые заготовки для танковых двигателей, винты для боевых самолетов, корпуса реактивных снарядов для "Катюш" и т.д. Уже в 1941 г. резко увеличился выпуск гаубиц «М-30», а с 1943 г. фронт начал получать гаубицы «Д-2» (калибр - 152 мм). Еще до окончания войны специалисты Уралмашзавода приступили к конверсии производства: восстанавливался выпуск оборудования для металлургических предприятий. В послевоенное время государство вложило значительные средства в реконструкцию и расширение Уралмашзвода. Это позволило не только увеличить объем выпускаемой продукции, но и начать изготовление новых машин и оборудования. Началось серийное изготовление по собственным проектам карьерных экскаваторов, буровых установок, дробильно-размольного оборудования. В соответствии со сложившейся специализацией предприятия в условиях плановой экономики все крупнейшие доменные печи СССР оснащались уралмашевским оборудованием. Постоянно совершенствовалось оборудование для производства сырья для доменных печей - агломерата. Прокатное оборудование (блюминги, листовые и сортовые станы) поставлялось всем крупным металлургическим предприятиям бывшего СССР. В пятидесятые годы в СССР началась реализация государственной программы оснащения современными тяжелыми гидравлическими прессами авиационных и ракетных заводов. В связи с этим на Уралмашзаводе была создана гамма самых разнообразных машин. С 1949 года завод выпускает шагающие экскаваторы. В 60-е годы освоен выпуск драглайнов со стрелами длиной 90-100 метров. Буровые установки Уралмаша сыграли решающую роль в освоении нефтегазоносных районов СССР, в том числе в сложных условиях Западной Сибири. До распада СССР три четверти руды, добываемой открытым способом, добывалось карьерными экскаваторами, изготовленными на Уралмашзаводе. На долю дробилок Уралмашзавода приходилось 85% перерабатываемой железной руды, а его мельницами измельчалась половина материалов в цветной металлургии. С помощью уралмашевского оборудования производилось 80% железорудных окатышей и 78% агломерата. На оборудовании, изготовленном заводом, производилось две трети железнодорожных рельсов и все цельнокатаные колеса подвижного состава, 90% жести, 70% автолиста, 100% электротехнической стали, 85% литых слябов. Все нефтяные и газовые скважины в стране глубиной более 2500 метров бурились уралмашевскими установками. Кроме того, завод являлся поставщиком заготовок роторов, турбин, дисков и немагнитных бандажных колец для энергетики. В 1949 г. Уралмашзавод поставил первую продукцию за рубеж. Металлургическое оборудование поставлялось предприятиям Восточной Европы, а также Китая, Индии, Пакистана, Нигерии, Северной Кореи, Египта, Алжира. Буровые установки успешно эксплуатировались в Алжире, Ираке, Иране, Китае и многих других странах. Всего же машины и оборудование, изготовленные на Уралмашзаводе, работают в 42 странах мира (без учета СНГ). Согласно законодательству Российской Федерации в декабре 1992 года Уралмашзавод был преобразован в открытое акционерное общество "Уральский завод тяжелого машиностроения". В 1996 г. Уралмашзавод вошел в состав крупнейшей российской компании тяжелого машиностроения Объединенные машиностроительные заводы (ОМЗ). В 2002 г. на Уралмашзаводе возобновлен выпуск подъемно-транспортного оборудования и вспомогательного оборудования для атомных станций. УЗТМ награжден 2 орденами Ленина (1939, 1944), орденами Октябрьской Революции (1971), Красного Знамени (1945), Отечественной войны 1-й степени (1945), Трудового Красного Знамени (1942), болгарским орденом «Красное Знамя Труда» (1973) (14953).</w:t>
      </w:r>
    </w:p>
    <w:p w14:paraId="48A34702" w14:textId="77777777" w:rsidR="00964726" w:rsidRPr="00C33834" w:rsidRDefault="00964726" w:rsidP="00C33834">
      <w:pPr>
        <w:spacing w:after="0" w:line="240" w:lineRule="auto"/>
        <w:jc w:val="both"/>
        <w:rPr>
          <w:rFonts w:ascii="Times New Roman" w:hAnsi="Times New Roman"/>
          <w:color w:val="000000" w:themeColor="text1"/>
          <w:sz w:val="16"/>
          <w:szCs w:val="16"/>
        </w:rPr>
      </w:pPr>
    </w:p>
    <w:p w14:paraId="61D604F0" w14:textId="77777777" w:rsidR="00C15F5F" w:rsidRPr="00C33834" w:rsidRDefault="00C15F5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июля 1933 года начал работу Уральский завод тяжёлого машиностроения имени С. Орджоникидзе (УЗТМ, Уралмашзавод). Завод специализировался на выпуске экскаваторов, дробилок, доменного и сталеплавильного оборудования, блюмингов, прокатных станов, гидравлических прессов и др.</w:t>
      </w:r>
    </w:p>
    <w:p w14:paraId="6A885668" w14:textId="77777777" w:rsidR="00C15F5F" w:rsidRPr="00C33834" w:rsidRDefault="00C15F5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период Великой Отечественной войны предприятие было перенацелено и выпускало продукцию оборонного назначения, в частности, во время Великой Отечественной войны на «Уралмаше» было изготовлено свыше 19 000 бронекорпусов, 30 тысяч полевых и танковых орудий, около 6 000 танков и САУ.</w:t>
      </w:r>
    </w:p>
    <w:p w14:paraId="0B67D137" w14:textId="77777777" w:rsidR="00C15F5F" w:rsidRPr="00C33834" w:rsidRDefault="00C15F5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1946 году Уралмаш выпустил последнюю самоходную артиллерийскую установку модификации СУ-100. 8 сентября 1946 года боевую машину установили на постамент в форме скалы - так на территории завода появился памятник в честь подвига уралмашевцев в годы Великой Отечественной войны (21177).</w:t>
      </w:r>
    </w:p>
    <w:p w14:paraId="28D1E101" w14:textId="77777777" w:rsidR="00C15F5F" w:rsidRPr="00C33834" w:rsidRDefault="00C15F5F" w:rsidP="00C33834">
      <w:pPr>
        <w:spacing w:after="0" w:line="240" w:lineRule="auto"/>
        <w:jc w:val="both"/>
        <w:rPr>
          <w:rFonts w:ascii="Times New Roman" w:hAnsi="Times New Roman"/>
          <w:color w:val="0070C0"/>
          <w:sz w:val="16"/>
          <w:szCs w:val="16"/>
        </w:rPr>
      </w:pPr>
    </w:p>
    <w:p w14:paraId="16B1BBC8" w14:textId="77777777" w:rsidR="00C15F5F" w:rsidRPr="00C33834" w:rsidRDefault="00C15F5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июля 1933 состоялось заседание ПБ и был оформлен протокол № 141</w:t>
      </w:r>
    </w:p>
    <w:p w14:paraId="3B7DA805" w14:textId="77777777" w:rsidR="00C15F5F" w:rsidRPr="00C33834" w:rsidRDefault="00C15F5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13 июля 1933 опросом членов ПБ</w:t>
      </w:r>
    </w:p>
    <w:p w14:paraId="5EA3A2C7" w14:textId="77777777" w:rsidR="00C15F5F" w:rsidRPr="00C33834" w:rsidRDefault="00C15F5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74/65. – Вопросы комиссии обороны.</w:t>
      </w:r>
    </w:p>
    <w:p w14:paraId="46A899C3" w14:textId="77777777" w:rsidR="00C15F5F" w:rsidRPr="00C33834" w:rsidRDefault="00C15F5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Утвердить следующие постановления К.О.:</w:t>
      </w:r>
    </w:p>
    <w:p w14:paraId="4D1FB624" w14:textId="77777777" w:rsidR="00C15F5F" w:rsidRPr="00C33834" w:rsidRDefault="00C15F5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О6 ассигновании ОГПУ из рeзервного фонда СНК СССР 5 .млн.публей на постройку шоссейной дороги Хабаровск-Комсомольск.</w:t>
      </w:r>
    </w:p>
    <w:p w14:paraId="549B56EC" w14:textId="77777777" w:rsidR="00C15F5F" w:rsidRPr="00C33834" w:rsidRDefault="00C15F5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О6 отпуске дополнительных ассигнований в 1933 г. . из резервного фонда СНК - 2.500 тыс. руб. заводу № 136-и 3. 500 тыс. руб. заводу № 126.</w:t>
      </w:r>
    </w:p>
    <w:p w14:paraId="66627F63" w14:textId="77777777" w:rsidR="00C15F5F" w:rsidRPr="00C33834" w:rsidRDefault="00C15F5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О6 ассигновании из резервного фонда СНК на Ш и 1У кв. сверх план 1933 г. 25 млн. руб. на строительство и оборудование судоверфей, в том числе 13 млн.руб. Амурверфи.</w:t>
      </w:r>
    </w:p>
    <w:p w14:paraId="6BBDE921" w14:textId="77777777" w:rsidR="00C15F5F" w:rsidRPr="00C33834" w:rsidRDefault="00C15F5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О разрешении НКТП, за счет его импортных контин</w:t>
      </w:r>
      <w:r w:rsidRPr="00C33834">
        <w:rPr>
          <w:rFonts w:ascii="Times New Roman" w:hAnsi="Times New Roman"/>
          <w:color w:val="0070C0"/>
          <w:sz w:val="16"/>
          <w:szCs w:val="16"/>
        </w:rPr>
        <w:softHyphen/>
        <w:t>гентов приобрести до 25 тыс. тонн судостроительной стали.</w:t>
      </w:r>
    </w:p>
    <w:p w14:paraId="6FA593F7" w14:textId="77777777" w:rsidR="00C15F5F" w:rsidRPr="00C33834" w:rsidRDefault="00C15F5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О разрешении НКТП за счет его контингентов выдать открытую лицензию на сумму до 100 тыс.руб. Дальзаводу и Остону на приобретение в Японии мелких вспомогательных судов.</w:t>
      </w:r>
    </w:p>
    <w:p w14:paraId="3E2A6A09" w14:textId="77777777" w:rsidR="00C15F5F" w:rsidRPr="00C33834" w:rsidRDefault="00C15F5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Проект постановления СТО - о строительстве и обо</w:t>
      </w:r>
      <w:r w:rsidRPr="00C33834">
        <w:rPr>
          <w:rFonts w:ascii="Times New Roman" w:hAnsi="Times New Roman"/>
          <w:color w:val="0070C0"/>
          <w:sz w:val="16"/>
          <w:szCs w:val="16"/>
        </w:rPr>
        <w:softHyphen/>
        <w:t>рудований заводов №№.9., 120, 20 и 32 ГУАПпа. с выдачей из резервного фонда СНК в 1933 r.- 6.160.000 р. и валют</w:t>
      </w:r>
      <w:r w:rsidRPr="00C33834">
        <w:rPr>
          <w:rFonts w:ascii="Times New Roman" w:hAnsi="Times New Roman"/>
          <w:color w:val="0070C0"/>
          <w:sz w:val="16"/>
          <w:szCs w:val="16"/>
        </w:rPr>
        <w:softHyphen/>
        <w:t>ных контингентов на 3.900.000 руб. в 1933 г. и на 634.000 руб. в 1934 г.</w:t>
      </w:r>
    </w:p>
    <w:p w14:paraId="7C32A61F" w14:textId="77777777" w:rsidR="00C15F5F" w:rsidRPr="00C33834" w:rsidRDefault="00C15F5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 т. Базилевичу -все; Мирошникову – 1, 2, 3, 6, Орджоникидзе-2, 3, 4, 5; Боеву – 4, 5</w:t>
      </w:r>
    </w:p>
    <w:p w14:paraId="3E1BDEB6" w14:textId="77777777" w:rsidR="00C15F5F" w:rsidRPr="00C33834" w:rsidRDefault="00C15F5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июля 1933 опросом членов ПБ</w:t>
      </w:r>
    </w:p>
    <w:p w14:paraId="4E3BB1E0" w14:textId="77777777" w:rsidR="00C15F5F" w:rsidRPr="00C33834" w:rsidRDefault="00C15F5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106/97.- О порлете нащих самолетов в Польшу</w:t>
      </w:r>
    </w:p>
    <w:p w14:paraId="6323BC55" w14:textId="77777777" w:rsidR="00C15F5F" w:rsidRPr="00C33834" w:rsidRDefault="00C15F5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Для ответного визита в Польшу считать возможным 18 июля послать 2 самолета Р-5 с зкипажани: первый -поикомвойск УВО Ингауиис и инженер инспенции ВВС РККА Мезимов; второгоо:  командир 252 авиабригады Тугржанский и бригадный инж. Павлов, по маршрутам: для первого - Мосжва-Гомель- Львов-Варшава-Лида-Витебск-Москва (с посадкой во Львове и Варшаве); для второго самолета – Москва-Витебск7Полоцк-Вильно-Варшава-Брест-Гомель-Москва (с посадкой в Варшаве).</w:t>
      </w:r>
    </w:p>
    <w:p w14:paraId="6CFD0089" w14:textId="77777777" w:rsidR="00C15F5F" w:rsidRPr="00C33834" w:rsidRDefault="00C15F5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Ассигновать на перелет 372 доллара.</w:t>
      </w:r>
    </w:p>
    <w:p w14:paraId="410A8B0B" w14:textId="77777777" w:rsidR="00C15F5F" w:rsidRPr="00C33834" w:rsidRDefault="00C15F5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Ворошилову – все, Артузову, Крестинскому -3, Гринько -6 (22991)</w:t>
      </w:r>
    </w:p>
    <w:p w14:paraId="4C8507D3" w14:textId="77777777" w:rsidR="00C15F5F" w:rsidRPr="00C33834" w:rsidRDefault="00C15F5F" w:rsidP="00C33834">
      <w:pPr>
        <w:spacing w:after="0" w:line="240" w:lineRule="auto"/>
        <w:jc w:val="both"/>
        <w:rPr>
          <w:rFonts w:ascii="Times New Roman" w:hAnsi="Times New Roman"/>
          <w:color w:val="0070C0"/>
          <w:sz w:val="16"/>
          <w:szCs w:val="16"/>
        </w:rPr>
      </w:pPr>
    </w:p>
    <w:p w14:paraId="3AE7EC8C" w14:textId="77777777" w:rsidR="00C22911" w:rsidRPr="00C33834" w:rsidRDefault="00C22911"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15 июля 1933 года в постановлении Нижне-Волжского крайисполкома ВКП (б) прямо говорились, что спеццеха СТЗ не были готовы и к середине 1933 года. </w:t>
      </w:r>
    </w:p>
    <w:p w14:paraId="6E6A8203" w14:textId="77777777" w:rsidR="00C22911" w:rsidRPr="00C33834" w:rsidRDefault="00C22911"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"Литейный цех готов на 68%, обе электропечи запущены в эксплуатацию, в цехе более 100 вагонов не вывезенной земли. В механосборочном цехе №2 строительство завершено, монтаж выполнен только на 60%". Всего в механосборочном цехе должно было стоять 188 станков (114 импортных и 74 советских). Низкие темпы работ в докладе крайисполкома объяснялись следующими проблемами: нехватка порядка 6000 рабочих (строителей, монтажников), отсутствие проводов и кабелей, необходимость ждать выполнения заказа в Великобритании на поставку оттуда двух мощных компрессоров. Компрессоры были заказаны на август 1933 года, но поступили с опозданием (11580).</w:t>
      </w:r>
    </w:p>
    <w:p w14:paraId="070A8E0D" w14:textId="77777777" w:rsidR="00C22911" w:rsidRPr="00C33834" w:rsidRDefault="00C22911" w:rsidP="00C33834">
      <w:pPr>
        <w:pStyle w:val="af2"/>
        <w:jc w:val="both"/>
        <w:rPr>
          <w:i w:val="0"/>
          <w:iCs w:val="0"/>
          <w:color w:val="000000" w:themeColor="text1"/>
          <w:spacing w:val="0"/>
          <w:kern w:val="0"/>
          <w:position w:val="0"/>
          <w:sz w:val="16"/>
          <w:szCs w:val="16"/>
          <w:lang w:val="ru-RU"/>
        </w:rPr>
      </w:pPr>
    </w:p>
    <w:p w14:paraId="3AF83DFF" w14:textId="77777777" w:rsidR="00964726" w:rsidRPr="00C33834" w:rsidRDefault="009647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июля 1933 г. Протокол ПБ № 141 п.21/12: О нефтяном моторе. Решено: 1. Опытный нефтяной двигатель – мотор Наркомсовхозов, установленный на катерпиллере, признать приемлемым. Считать особо ценным, что данный мотор-двигатель работает на тяжелом топливе (нефть, мазут, отработанное масло, вместо лигроина). 2. Обязать Наркомтяжпром: а) закончить изготовление рабочих чертежей нефтяного мотора на основе опытного мотора-двигателя Центрального отдела механизации Наркомсовхозов к 5 сентября 1933 г., для чего немедленно выделить группу опытных конструкторов, с обязательным привлечением для технической консультации инженеров Грибова и Эртом; б) обеспечить уже в текущем 1933 г. изготовление на Челябинском заводе не менее 300 «сталинцев» с нефтяным мотором. 3. Заслушать доклад Наркомтяжпрома о ходе работ 1 октября 1933 г. (15958).</w:t>
      </w:r>
    </w:p>
    <w:p w14:paraId="606F3F18" w14:textId="77777777" w:rsidR="00964726" w:rsidRPr="00C33834" w:rsidRDefault="00964726" w:rsidP="00C33834">
      <w:pPr>
        <w:spacing w:after="0" w:line="240" w:lineRule="auto"/>
        <w:jc w:val="both"/>
        <w:rPr>
          <w:rFonts w:ascii="Times New Roman" w:hAnsi="Times New Roman"/>
          <w:color w:val="000000" w:themeColor="text1"/>
          <w:sz w:val="16"/>
          <w:szCs w:val="16"/>
        </w:rPr>
      </w:pPr>
    </w:p>
    <w:p w14:paraId="26D4654B"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июля 1933</w:t>
      </w:r>
    </w:p>
    <w:p w14:paraId="3D3EC577"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w:t>
      </w:r>
    </w:p>
    <w:p w14:paraId="2C2A2A31"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http://sovdoc.rusarchives.ru</w:t>
      </w:r>
    </w:p>
    <w:p w14:paraId="68A169F9"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Архив: </w:t>
      </w:r>
    </w:p>
    <w:p w14:paraId="136B5CF0"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РГАСПИ. Ф. 17. Оп. 3. Д. 926. Л. 1-68; РГАСПИ. Ф. 17. Оп. 162. Д. 15. Л. 1-14. </w:t>
      </w:r>
    </w:p>
    <w:p w14:paraId="18D910BF"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Протокол № 141 заседания Политбюро ЦК ВКП(б) от 15 июля 1933 года</w:t>
      </w:r>
    </w:p>
    <w:p w14:paraId="5A6433A5"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Заседание Политбюро ЦК ВКП(б) от 15</w:t>
      </w:r>
      <w:r w:rsidRPr="00C33834">
        <w:rPr>
          <w:rFonts w:ascii="Times New Roman" w:hAnsi="Times New Roman"/>
          <w:color w:val="000000" w:themeColor="text1"/>
          <w:sz w:val="16"/>
          <w:szCs w:val="16"/>
        </w:rPr>
        <w:noBreakHyphen/>
        <w:t>го июля 1933 года.</w:t>
      </w:r>
    </w:p>
    <w:p w14:paraId="511E2CFD"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21/12: О нефтяном моторе</w:t>
      </w:r>
    </w:p>
    <w:p w14:paraId="0DB0BCE8"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Опытный нефтяной двигатель-мотор Наркомсовхозов, установленный на катерпилляре, признать приемлемым.</w:t>
      </w:r>
    </w:p>
    <w:p w14:paraId="504BBF56"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Считать особо ценным, что данный мотор-двигатель работает на тяжелом топливе (нефть, мазут, отработанное масло, вместо лигроина).</w:t>
      </w:r>
    </w:p>
    <w:p w14:paraId="04F822C8"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Обязать Наркомтяжпром:</w:t>
      </w:r>
    </w:p>
    <w:p w14:paraId="3E5B12A5"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закончить изготовление рабочих чертежей нефтяного мотора на основе опытного мотора-двигателя Центрального отдела механизации Наркомсовхозов к 5 сентября с. г., для чего немедленно выделить группу опытных конструкторов с обязательным привлечением для технической консультации инженеров Грибова и Эртом;</w:t>
      </w:r>
    </w:p>
    <w:p w14:paraId="46E7226D"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обеспечить уже в текущем 1933 г. изготовление на Челябинском заводе не менее 300 “сталинцев” с нефтяным мотором.</w:t>
      </w:r>
    </w:p>
    <w:p w14:paraId="2C208B50"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Заслушать доклад Наркомтяжпрома о ходе работ 1 октября с. г.</w:t>
      </w:r>
    </w:p>
    <w:p w14:paraId="778D3C20"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74/65: Вопросы Комиссии Обороны</w:t>
      </w:r>
    </w:p>
    <w:p w14:paraId="00487D15"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 особая папка.</w:t>
      </w:r>
    </w:p>
    <w:p w14:paraId="77F34001"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Утвердить следующее постановления КО:</w:t>
      </w:r>
    </w:p>
    <w:p w14:paraId="49EB5B1A"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Об ассигновании ОГПУ из резервного фонда СНК СССР 5 млн. рублей на. постройку шоссейной дороги Хабаровск — Комсомольск.</w:t>
      </w:r>
    </w:p>
    <w:p w14:paraId="6512DC85"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Об отпуске дополнительных ассигнований в 1933 г. из резервного фонда СНК — 2.500 тыс. руб. заводу № 125 и 3.500 тыс. руб. заводу № 126.</w:t>
      </w:r>
    </w:p>
    <w:p w14:paraId="1FA2BF9F"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Об ассигновании из резервного фонда СНК на III и IV квартал сверх плана 1933 г. 25 млн. руб. на строительство и оборудование судоверфей, в том числе 13 млн. руб. Амурверфи.</w:t>
      </w:r>
    </w:p>
    <w:p w14:paraId="419E006B"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 разрешении НКТП, за счет его импортных контингентов приобрести до 25 тыс. тони судостроительной стали.</w:t>
      </w:r>
    </w:p>
    <w:p w14:paraId="6582D18D"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 разрешении НКТП за счет его контингентов видать открытую лицензию на сумму до 100 тыс. руб. Дальзаводу и Остону, на приобретение в Японии мелких вспомогательных материалов и инструментов.</w:t>
      </w:r>
    </w:p>
    <w:p w14:paraId="66ADEF67"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Проект постановления СТО — о строительстве и оборудовании заводов № 19, № 120, № 20, и № 33 ГУАП'а, с выдачей из резервного фонда СНК в 1933 г. — 6.160.000 руб. и валютных контингентов на 3.960.000 руб. в 1933 г. и на 634.000 руб. в 1934 г.</w:t>
      </w:r>
    </w:p>
    <w:p w14:paraId="39C632D0"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Выписки посланы:</w:t>
      </w:r>
    </w:p>
    <w:p w14:paraId="03981ABA"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Базилевичу — все;</w:t>
      </w:r>
    </w:p>
    <w:p w14:paraId="7D45F7C8"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Мирошникову — 1, 2, 3, 6;</w:t>
      </w:r>
    </w:p>
    <w:p w14:paraId="003FA5ED"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Орджоникидзе — 2, 3, 4, 5, 6;</w:t>
      </w:r>
    </w:p>
    <w:p w14:paraId="24CD28BA"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Боеву — 4.</w:t>
      </w:r>
    </w:p>
    <w:p w14:paraId="6DA020D1"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106/97: О полете наших самолетов в Польшу</w:t>
      </w:r>
    </w:p>
    <w:p w14:paraId="3317D176"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 особая папка.</w:t>
      </w:r>
    </w:p>
    <w:p w14:paraId="33CB661F"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Для ответного визита в Польшу считать возможным 18 июля послать 2 самолета Р</w:t>
      </w:r>
      <w:r w:rsidRPr="00C33834">
        <w:rPr>
          <w:rFonts w:ascii="Times New Roman" w:hAnsi="Times New Roman"/>
          <w:color w:val="000000" w:themeColor="text1"/>
          <w:sz w:val="16"/>
          <w:szCs w:val="16"/>
        </w:rPr>
        <w:noBreakHyphen/>
        <w:t>5 с экипажами: первый — помкомвойск УВО Ингаунис и инженер инспекции ВВС РКК Мезинов; второй — командир 252 авиабригады Туржанский и бригадный инженер Павлов, по маршрутам: для первого — Москва — Гомель — Львов — Варшава — Рига — Витебск — Москва (с посадкой во Львове и Варшаве); для второго самолета — Москва — Витебск — Полоцк — Вильно — Варшава —-Брест — Гомель — Москва (с посадкой в Варшаве).</w:t>
      </w:r>
    </w:p>
    <w:p w14:paraId="1D198D54"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Ассигновать на перелет 372 доллара.</w:t>
      </w:r>
    </w:p>
    <w:p w14:paraId="784F8FBA"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Выписки посланы:</w:t>
      </w:r>
    </w:p>
    <w:p w14:paraId="1F49C5F6"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Ворошилову — все;</w:t>
      </w:r>
    </w:p>
    <w:p w14:paraId="6C3C3DB7"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Артузову, Крестинскому — п. “а”;</w:t>
      </w:r>
    </w:p>
    <w:p w14:paraId="5E187D08" w14:textId="77777777" w:rsidR="00753E29" w:rsidRPr="00C33834" w:rsidRDefault="00753E2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Гринько — п. “б” (18065).</w:t>
      </w:r>
    </w:p>
    <w:p w14:paraId="6C8176F1" w14:textId="77777777" w:rsidR="00753E29" w:rsidRPr="00C33834" w:rsidRDefault="00753E29" w:rsidP="00C33834">
      <w:pPr>
        <w:spacing w:after="0" w:line="240" w:lineRule="auto"/>
        <w:jc w:val="both"/>
        <w:rPr>
          <w:rFonts w:ascii="Times New Roman" w:hAnsi="Times New Roman"/>
          <w:color w:val="000000" w:themeColor="text1"/>
          <w:sz w:val="16"/>
          <w:szCs w:val="16"/>
        </w:rPr>
      </w:pPr>
    </w:p>
    <w:p w14:paraId="3DBCEFFD" w14:textId="77777777" w:rsidR="00964726" w:rsidRPr="00C33834" w:rsidRDefault="00964726" w:rsidP="00C33834">
      <w:pPr>
        <w:pStyle w:val="rtejustify"/>
        <w:spacing w:before="0" w:after="0"/>
        <w:rPr>
          <w:color w:val="000000" w:themeColor="text1"/>
          <w:sz w:val="16"/>
          <w:szCs w:val="16"/>
        </w:rPr>
      </w:pPr>
      <w:r w:rsidRPr="00C33834">
        <w:rPr>
          <w:rStyle w:val="af0"/>
          <w:bCs/>
          <w:i w:val="0"/>
          <w:color w:val="000000" w:themeColor="text1"/>
          <w:sz w:val="16"/>
          <w:szCs w:val="16"/>
        </w:rPr>
        <w:t>15 июля</w:t>
      </w:r>
      <w:r w:rsidRPr="00C33834">
        <w:rPr>
          <w:color w:val="000000" w:themeColor="text1"/>
          <w:sz w:val="16"/>
          <w:szCs w:val="16"/>
        </w:rPr>
        <w:t xml:space="preserve"> 1933. Протокол заседания Политбюро ЦК ВКП (б) № 141. </w:t>
      </w:r>
      <w:hyperlink r:id="rId260" w:anchor="showunit&amp;id=86949" w:history="1">
        <w:r w:rsidRPr="00C33834">
          <w:rPr>
            <w:rStyle w:val="a5"/>
            <w:color w:val="000000" w:themeColor="text1"/>
            <w:sz w:val="16"/>
            <w:szCs w:val="16"/>
            <w:u w:val="none"/>
          </w:rPr>
          <w:t>2. О договоре с фирмой «Фрейн»</w:t>
        </w:r>
      </w:hyperlink>
      <w:r w:rsidRPr="00C33834">
        <w:rPr>
          <w:color w:val="000000" w:themeColor="text1"/>
          <w:sz w:val="16"/>
          <w:szCs w:val="16"/>
        </w:rPr>
        <w:t xml:space="preserve"> (Орджоникидзе, Розенгольц). — ОП. Решено признать нецелесообразным заключение договора с фирмой Фрейн. </w:t>
      </w:r>
      <w:hyperlink r:id="rId261" w:anchor="showunit&amp;id=86960" w:history="1">
        <w:r w:rsidRPr="00C33834">
          <w:rPr>
            <w:rStyle w:val="a5"/>
            <w:color w:val="000000" w:themeColor="text1"/>
            <w:sz w:val="16"/>
            <w:szCs w:val="16"/>
            <w:u w:val="none"/>
          </w:rPr>
          <w:t>3. Об улучшении организационной структуры НКТП</w:t>
        </w:r>
      </w:hyperlink>
      <w:r w:rsidRPr="00C33834">
        <w:rPr>
          <w:color w:val="000000" w:themeColor="text1"/>
          <w:sz w:val="16"/>
          <w:szCs w:val="16"/>
        </w:rPr>
        <w:t xml:space="preserve"> (ПБ от 1 июня 1933 г., пр. № 138, п. 13а), (ПБ от 15 июля 1933 г.). Решено отложить до следующего заседания. Предложить НКТяжпрому представить кандидатуры начальников главных управлений. </w:t>
      </w:r>
      <w:hyperlink r:id="rId262" w:anchor="showunit&amp;id=86984" w:history="1">
        <w:r w:rsidRPr="00C33834">
          <w:rPr>
            <w:rStyle w:val="a5"/>
            <w:color w:val="000000" w:themeColor="text1"/>
            <w:sz w:val="16"/>
            <w:szCs w:val="16"/>
            <w:u w:val="none"/>
          </w:rPr>
          <w:t>51/42. Об Уральском заводе тяжелого машиностроения</w:t>
        </w:r>
      </w:hyperlink>
      <w:r w:rsidRPr="00C33834">
        <w:rPr>
          <w:color w:val="000000" w:themeColor="text1"/>
          <w:sz w:val="16"/>
          <w:szCs w:val="16"/>
        </w:rPr>
        <w:t xml:space="preserve"> (ПБ от 8 июля 1933 г.). Решено принять предложение Президиума ВЦИК о присвоении имени Орджоникидзе Уральскому заводу тяжелого машиностроения, в связи с пуском его 15 июля 1933 г. </w:t>
      </w:r>
      <w:hyperlink r:id="rId263" w:anchor="showunit&amp;id=87010" w:history="1">
        <w:r w:rsidRPr="00C33834">
          <w:rPr>
            <w:rStyle w:val="a5"/>
            <w:color w:val="000000" w:themeColor="text1"/>
            <w:sz w:val="16"/>
            <w:szCs w:val="16"/>
            <w:u w:val="none"/>
          </w:rPr>
          <w:t>74/65. Вопросы КО</w:t>
        </w:r>
      </w:hyperlink>
      <w:r w:rsidRPr="00C33834">
        <w:rPr>
          <w:color w:val="000000" w:themeColor="text1"/>
          <w:sz w:val="16"/>
          <w:szCs w:val="16"/>
        </w:rPr>
        <w:t xml:space="preserve"> (ПБ от 13 июля 1933 г.). — ОП. Решено утвердить следующие постановления КО: 1) Об ассигновании ОГПУ из резервного фонда СНК СССР 5 миллионов рублей на постройку шоссейной дороги Хабаровск – Комсомольск. 2) Об отпуске дополнительных ассигнований в 1933 году из резервного фонда СНК 2500 тысяч рублей заводу № 125 и 3500 тысячи рублей заводу № 126. 3) Об ассигновании из резервного фонда СНК на 3 и 4 квартал сверх плана 1933 года 25 миллионов рублей на строительство и оборудование судоверфей, в том числе 13 миллионов рублей Амурверфи. 4) О разрешении НКПТ, за счет его импортных контингентов приобрести до 25 тысяч тонн судостроительной стали. 5) О разрешении НКТП за счет его контингентов выдать открытую лицензию на сумму до 100 тысяч рублей Дальзаводу и Остону, на приобретение в Японии мелких вспомогательных материалов и инструментов. 6) Проект постановления СТО – о строительстве и оборудовании заводов №№ 19, 120, 20 и 33 ГУАП, с выдачей из резервного фонда СНК в 1933 года – 6160000 рублей и валютных контингентов на 3960000 рублей в 1933 году и на 634000 рублей в 1934 году (15462).</w:t>
      </w:r>
    </w:p>
    <w:p w14:paraId="144FA13E" w14:textId="77777777" w:rsidR="00964726" w:rsidRPr="00C33834" w:rsidRDefault="00964726" w:rsidP="00C33834">
      <w:pPr>
        <w:pStyle w:val="rtejustify"/>
        <w:spacing w:before="0" w:after="0"/>
        <w:rPr>
          <w:color w:val="000000" w:themeColor="text1"/>
          <w:sz w:val="16"/>
          <w:szCs w:val="16"/>
        </w:rPr>
      </w:pPr>
    </w:p>
    <w:p w14:paraId="4DE98351" w14:textId="77777777" w:rsidR="00964726" w:rsidRPr="00C33834" w:rsidRDefault="008E43FA"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125F9252" w14:textId="77777777" w:rsidR="00964726" w:rsidRPr="00C33834" w:rsidRDefault="00964726" w:rsidP="00C33834">
      <w:pPr>
        <w:spacing w:after="0" w:line="240" w:lineRule="auto"/>
        <w:jc w:val="both"/>
        <w:rPr>
          <w:rFonts w:ascii="Times New Roman" w:hAnsi="Times New Roman"/>
          <w:iCs/>
          <w:color w:val="000000" w:themeColor="text1"/>
          <w:sz w:val="16"/>
          <w:szCs w:val="16"/>
        </w:rPr>
      </w:pPr>
    </w:p>
    <w:p w14:paraId="777D09BC" w14:textId="77777777" w:rsidR="008417A6" w:rsidRPr="00C33834" w:rsidRDefault="0084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15 июля 1933 г. народным комиссаром по военным и морским делам и председателем РВС СССР К.Е. Ворошиловым был подготовлен </w:t>
      </w:r>
      <w:hyperlink r:id="rId264" w:tgtFrame="_blank" w:history="1">
        <w:r w:rsidRPr="00C33834">
          <w:rPr>
            <w:rFonts w:ascii="Times New Roman" w:eastAsia="Times New Roman" w:hAnsi="Times New Roman"/>
            <w:color w:val="000000" w:themeColor="text1"/>
            <w:sz w:val="16"/>
            <w:szCs w:val="16"/>
            <w:lang w:eastAsia="ru-RU"/>
          </w:rPr>
          <w:t>доклад «О системе танкового вооружения на вторую пятилетку»</w:t>
        </w:r>
      </w:hyperlink>
      <w:r w:rsidRPr="00C33834">
        <w:rPr>
          <w:rFonts w:ascii="Times New Roman" w:hAnsi="Times New Roman"/>
          <w:color w:val="000000" w:themeColor="text1"/>
          <w:sz w:val="16"/>
          <w:szCs w:val="16"/>
        </w:rPr>
        <w:t>, который</w:t>
      </w:r>
      <w:r w:rsidRPr="00C33834">
        <w:rPr>
          <w:rFonts w:ascii="Times New Roman" w:eastAsia="Times New Roman" w:hAnsi="Times New Roman"/>
          <w:color w:val="000000" w:themeColor="text1"/>
          <w:sz w:val="16"/>
          <w:szCs w:val="16"/>
          <w:lang w:eastAsia="ru-RU"/>
        </w:rPr>
        <w:t xml:space="preserve"> для утверждения новой системы бронетанкового вооружения в вышестоящей инстанции</w:t>
      </w:r>
      <w:r w:rsidRPr="00C33834">
        <w:rPr>
          <w:rFonts w:ascii="Times New Roman" w:hAnsi="Times New Roman"/>
          <w:color w:val="000000" w:themeColor="text1"/>
          <w:sz w:val="16"/>
          <w:szCs w:val="16"/>
        </w:rPr>
        <w:t xml:space="preserve"> </w:t>
      </w:r>
      <w:r w:rsidRPr="00C33834">
        <w:rPr>
          <w:rFonts w:ascii="Times New Roman" w:eastAsia="Times New Roman" w:hAnsi="Times New Roman"/>
          <w:color w:val="000000" w:themeColor="text1"/>
          <w:sz w:val="16"/>
          <w:szCs w:val="16"/>
          <w:lang w:eastAsia="ru-RU"/>
        </w:rPr>
        <w:t xml:space="preserve">был отправлен на имя председателя Комиссии Обороны при Совете Народных Комиссаров СССР В.М. Молотова. В своем докладе К.Е. Ворошилов подчеркнул, что </w:t>
      </w:r>
      <w:r w:rsidRPr="00C33834">
        <w:rPr>
          <w:rFonts w:ascii="Times New Roman" w:eastAsia="Times New Roman" w:hAnsi="Times New Roman"/>
          <w:iCs/>
          <w:color w:val="000000" w:themeColor="text1"/>
          <w:sz w:val="16"/>
          <w:szCs w:val="16"/>
          <w:lang w:eastAsia="ru-RU"/>
        </w:rPr>
        <w:t>«Вторая пятилетка должна сделать механизацию одним из решающих элементов будущих операций Красной Армии»</w:t>
      </w:r>
      <w:r w:rsidRPr="00C33834">
        <w:rPr>
          <w:rFonts w:ascii="Times New Roman" w:eastAsia="Times New Roman" w:hAnsi="Times New Roman"/>
          <w:color w:val="000000" w:themeColor="text1"/>
          <w:sz w:val="16"/>
          <w:szCs w:val="16"/>
          <w:lang w:eastAsia="ru-RU"/>
        </w:rPr>
        <w:t xml:space="preserve">. И развивая данный тезис, изложил вытекающие из него требования: </w:t>
      </w:r>
    </w:p>
    <w:p w14:paraId="12EB691C" w14:textId="77777777" w:rsidR="008417A6" w:rsidRPr="00C33834" w:rsidRDefault="008417A6"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а) Лучшие, наиболее мощные и быстроходные танки должны быть сгруппированы в сильные мехсоединения оперативного и стратегического значения (мехбригады и мехкорпуса); </w:t>
      </w:r>
    </w:p>
    <w:p w14:paraId="6C2C1BBB" w14:textId="77777777" w:rsidR="008417A6" w:rsidRPr="00C33834" w:rsidRDefault="008417A6"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б) В распоряжении Главного Командования должен быть сильный резерв танков (количественного и качественного значения), который бы обеспечил создание абсолютного танкового превосходства над противником на ударных направлениях; </w:t>
      </w:r>
    </w:p>
    <w:p w14:paraId="7330B67D" w14:textId="77777777" w:rsidR="008417A6" w:rsidRPr="00C33834" w:rsidRDefault="008417A6"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в) Стратегическая конница, сохраняющая и впредь своё значение, прочно оснащается мехсредствами и самоходной артиллерией; </w:t>
      </w:r>
    </w:p>
    <w:p w14:paraId="2ED5C66F" w14:textId="77777777" w:rsidR="008417A6" w:rsidRPr="00C33834" w:rsidRDefault="0084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г) Общевойсковые соединения (большинство дивизий, а в дальнейшем и полков) должны иметь свои органические мехчасти, как для разведки, так и для боя».</w:t>
      </w:r>
    </w:p>
    <w:p w14:paraId="5A2A4EE3" w14:textId="77777777" w:rsidR="008417A6" w:rsidRPr="00C33834" w:rsidRDefault="0084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bCs/>
          <w:color w:val="000000" w:themeColor="text1"/>
          <w:sz w:val="16"/>
          <w:szCs w:val="16"/>
          <w:lang w:eastAsia="ru-RU"/>
        </w:rPr>
        <w:lastRenderedPageBreak/>
        <w:t>[АП. Особая папка. Ф. 3 Оп. 46. Д. 381. Л. 144]</w:t>
      </w:r>
    </w:p>
    <w:p w14:paraId="24214E02" w14:textId="77777777" w:rsidR="008417A6" w:rsidRPr="00C33834" w:rsidRDefault="0084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Исходя из указанных требований К.Е. Ворошилов, внес предложения о том, чтобы на ближайшие годы на массовом производстве находились следующие основные типы боевых машин: </w:t>
      </w:r>
    </w:p>
    <w:p w14:paraId="2CBA59A7" w14:textId="77777777" w:rsidR="008417A6" w:rsidRPr="00C33834" w:rsidRDefault="008417A6"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«а) Разведывательный танк (танк Т-37). Основной танк службы боевого обеспечения всех мехсоединений и средство боевой разведки и боя пехоты. Основные требования: быстроходность, вездеходность (в том числе – плавучесть), маневренность, низкий габарит, дешевизна и массовость производства. </w:t>
      </w:r>
    </w:p>
    <w:p w14:paraId="040E149E" w14:textId="77777777" w:rsidR="008417A6" w:rsidRPr="00C33834" w:rsidRDefault="008417A6"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б) Общевойсковой танк (танк Т-26). Основной, органический танк общевойсковых соединений, он же танк количественного усиления ТРГК. Основные требования: маневренность на поле боя, броня, защищающая от бронебойных пуль, разнообразное вооружение (пушка, пулеметы, огнемет, химприборы), наконец, дешевизна и массовость производства. </w:t>
      </w:r>
    </w:p>
    <w:p w14:paraId="2B39A6AD" w14:textId="77777777" w:rsidR="008417A6" w:rsidRPr="00C33834" w:rsidRDefault="008417A6"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в) Оперативный танк (танк БТ, в дальнейшем типа ПТ-1). Танк самостоятельных мехсоединений. Все в этом танке подчиняется требованиям быстроходности, вездеходности (в том числе плавучести) и мощного вооружения. </w:t>
      </w:r>
    </w:p>
    <w:p w14:paraId="5DBBF3F1" w14:textId="77777777" w:rsidR="008417A6" w:rsidRPr="00C33834" w:rsidRDefault="008417A6"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г) Танк качественного усиления (ТРГК) (танк Т-28). Основные требования: сильное вооружение и броня, быстроходность, позволяющая его применять также в операции совместно с мехсоединениями. </w:t>
      </w:r>
    </w:p>
    <w:p w14:paraId="0E8A4E21" w14:textId="77777777" w:rsidR="008417A6" w:rsidRPr="00C33834" w:rsidRDefault="008417A6"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д) Мощный танк особого назначения (подходящий на сегодня танк Т-35). Танк качественного, добавочного усиления при прорыве сильно и заблаговременно укрепленных полос. Основное требование – мощное вооружение и броня, защищающая от мелкокалиберных снарядов. </w:t>
      </w:r>
    </w:p>
    <w:p w14:paraId="6AE3F8D7" w14:textId="77777777" w:rsidR="008417A6" w:rsidRPr="00C33834" w:rsidRDefault="0084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Предусмотреть возможность использования и постановки на производство во время войны имеющегося опытного образца </w:t>
      </w:r>
      <w:r w:rsidRPr="00C33834">
        <w:rPr>
          <w:rFonts w:ascii="Times New Roman" w:eastAsia="Times New Roman" w:hAnsi="Times New Roman"/>
          <w:color w:val="000000" w:themeColor="text1"/>
          <w:sz w:val="16"/>
          <w:szCs w:val="16"/>
          <w:lang w:eastAsia="ru-RU"/>
        </w:rPr>
        <w:t>[малого – Здесь и далее в цитируемом тексте в квадратных скобках даны уточнения авторов]</w:t>
      </w:r>
      <w:r w:rsidRPr="00C33834">
        <w:rPr>
          <w:rFonts w:ascii="Times New Roman" w:eastAsia="Times New Roman" w:hAnsi="Times New Roman"/>
          <w:iCs/>
          <w:color w:val="000000" w:themeColor="text1"/>
          <w:sz w:val="16"/>
          <w:szCs w:val="16"/>
          <w:lang w:eastAsia="ru-RU"/>
        </w:rPr>
        <w:t xml:space="preserve"> танка Т-34 на базе автомобильной промышленности».</w:t>
      </w:r>
    </w:p>
    <w:p w14:paraId="46CE3A6E" w14:textId="77777777" w:rsidR="008417A6" w:rsidRPr="00C33834" w:rsidRDefault="0084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bCs/>
          <w:color w:val="000000" w:themeColor="text1"/>
          <w:sz w:val="16"/>
          <w:szCs w:val="16"/>
          <w:lang w:eastAsia="ru-RU"/>
        </w:rPr>
        <w:t>[АП. Особая папка. Ф. 3. Оп. 46. Д. 381. Л. 145 – 146] (17501).</w:t>
      </w:r>
    </w:p>
    <w:p w14:paraId="70A45E35" w14:textId="77777777" w:rsidR="008417A6" w:rsidRPr="00C33834" w:rsidRDefault="008417A6" w:rsidP="00C33834">
      <w:pPr>
        <w:spacing w:after="0" w:line="240" w:lineRule="auto"/>
        <w:jc w:val="both"/>
        <w:rPr>
          <w:rFonts w:ascii="Times New Roman" w:eastAsia="Times New Roman" w:hAnsi="Times New Roman"/>
          <w:color w:val="000000" w:themeColor="text1"/>
          <w:sz w:val="16"/>
          <w:szCs w:val="16"/>
          <w:lang w:eastAsia="ru-RU"/>
        </w:rPr>
      </w:pPr>
    </w:p>
    <w:p w14:paraId="6CBF05B2" w14:textId="77777777" w:rsidR="00964726" w:rsidRPr="00C33834" w:rsidRDefault="00753E29" w:rsidP="00C33834">
      <w:pPr>
        <w:pStyle w:val="rtejustify"/>
        <w:spacing w:before="0" w:after="0"/>
        <w:rPr>
          <w:color w:val="000000" w:themeColor="text1"/>
          <w:sz w:val="16"/>
          <w:szCs w:val="16"/>
        </w:rPr>
      </w:pPr>
      <w:r w:rsidRPr="00C33834">
        <w:rPr>
          <w:rStyle w:val="af0"/>
          <w:bCs/>
          <w:i w:val="0"/>
          <w:color w:val="000000" w:themeColor="text1"/>
          <w:sz w:val="16"/>
          <w:szCs w:val="16"/>
        </w:rPr>
        <w:t>*</w:t>
      </w:r>
      <w:r w:rsidR="00964726" w:rsidRPr="00C33834">
        <w:rPr>
          <w:rStyle w:val="af0"/>
          <w:bCs/>
          <w:i w:val="0"/>
          <w:color w:val="000000" w:themeColor="text1"/>
          <w:sz w:val="16"/>
          <w:szCs w:val="16"/>
        </w:rPr>
        <w:t>15 июля</w:t>
      </w:r>
      <w:r w:rsidR="00964726" w:rsidRPr="00C33834">
        <w:rPr>
          <w:rStyle w:val="af0"/>
          <w:rFonts w:eastAsiaTheme="majorEastAsia"/>
          <w:bCs/>
          <w:i w:val="0"/>
          <w:color w:val="000000" w:themeColor="text1"/>
          <w:sz w:val="16"/>
          <w:szCs w:val="16"/>
        </w:rPr>
        <w:t xml:space="preserve"> 1933</w:t>
      </w:r>
      <w:r w:rsidR="00964726" w:rsidRPr="00C33834">
        <w:rPr>
          <w:color w:val="000000" w:themeColor="text1"/>
          <w:sz w:val="16"/>
          <w:szCs w:val="16"/>
        </w:rPr>
        <w:t>. Постановление РВСС «Об исполнительной смете НКВМ на 1933 год». (РГВА. Ф. 4. Оп. 18. Д. 23. Л. 289</w:t>
      </w:r>
      <w:r w:rsidR="00964726" w:rsidRPr="00C33834">
        <w:rPr>
          <w:color w:val="000000" w:themeColor="text1"/>
          <w:sz w:val="16"/>
          <w:szCs w:val="16"/>
        </w:rPr>
        <w:noBreakHyphen/>
        <w:t>294) (15461).</w:t>
      </w:r>
    </w:p>
    <w:p w14:paraId="774A73F9" w14:textId="77777777" w:rsidR="00964726" w:rsidRPr="00C33834" w:rsidRDefault="00964726" w:rsidP="00C33834">
      <w:pPr>
        <w:pStyle w:val="rtejustify"/>
        <w:spacing w:before="0" w:after="0"/>
        <w:rPr>
          <w:rStyle w:val="af0"/>
          <w:bCs/>
          <w:i w:val="0"/>
          <w:color w:val="000000" w:themeColor="text1"/>
          <w:sz w:val="16"/>
          <w:szCs w:val="16"/>
        </w:rPr>
      </w:pPr>
    </w:p>
    <w:p w14:paraId="7E501076" w14:textId="77777777" w:rsidR="00C2291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0948C8E"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3DE11002" w14:textId="77777777" w:rsidR="00DC5A55" w:rsidRPr="00C33834" w:rsidRDefault="00DC5A55" w:rsidP="00C33834">
      <w:pPr>
        <w:pStyle w:val="rtejustify"/>
        <w:shd w:val="clear" w:color="auto" w:fill="FFFFFF"/>
        <w:spacing w:before="0" w:after="0"/>
        <w:rPr>
          <w:color w:val="000000" w:themeColor="text1"/>
          <w:sz w:val="16"/>
          <w:szCs w:val="16"/>
        </w:rPr>
      </w:pPr>
      <w:r w:rsidRPr="00C33834">
        <w:rPr>
          <w:color w:val="000000" w:themeColor="text1"/>
          <w:sz w:val="16"/>
          <w:szCs w:val="16"/>
        </w:rPr>
        <w:t>15 июля 1933 по договоренности с Нортропом машину приняли на испытания на авиабазу Райтфилд, где располагался центр Управления материальной части Авиационного корпуса армии США. Военные одобрительно отнеслись к новому штурмовику, по летным данным существенно превосходившему состоявший на вооружении самолет «Шрайк», однако не купили его и высказали ряд замечаний. Китайцы оказались менее привередливы. Они заказали 24 самолета модели 2Е, являвшейся практически копией 2С с небольшими изменениями. Основным внешним отличием была полуубирающаяся «ванна» для стрелка-радиста, выполнявшего также функции бомбардира. Она обеспечивала ему обзор вниз-вперед при прицеливании. В Китай поставлялись варианты 2Е, 2ЕС и 2ED. Один экземпляр последнего был закуплен в США при посредничестве «Амторга» советской делегацией, возглавлявшейся А. Н. Туполевым, в 1935 году. В ноябре того же года его отправили в СССР. В нашу страну «нортроп» доставили в начале 1936 года (19168).</w:t>
      </w:r>
    </w:p>
    <w:p w14:paraId="7E2FF031" w14:textId="77777777" w:rsidR="00DC5A55" w:rsidRPr="00C33834" w:rsidRDefault="00DC5A55" w:rsidP="00C33834">
      <w:pPr>
        <w:pStyle w:val="rtecenter"/>
        <w:shd w:val="clear" w:color="auto" w:fill="FFFFFF"/>
        <w:spacing w:before="0" w:after="0"/>
        <w:jc w:val="both"/>
        <w:textAlignment w:val="baseline"/>
        <w:rPr>
          <w:color w:val="000000" w:themeColor="text1"/>
          <w:sz w:val="16"/>
          <w:szCs w:val="16"/>
        </w:rPr>
      </w:pPr>
    </w:p>
    <w:p w14:paraId="101E9558"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июля 1933 литовцы С.Дарюс и С.Гиренас на Беланке Литуаника вылетели из Нью Йорка в Каунас. 16 были над Германией, где встретили грозу и хотели ее обойти. Ночью в поисках места для посадки пролетели над концлагерем и были обстреляны немцами. При посадке в районе Солдинского леса разбили самолет и погибли. сумели преодолеть 6500 км (438,650).</w:t>
      </w:r>
    </w:p>
    <w:p w14:paraId="00540918"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32ED9312"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июля 1933 литовцы С.Дарюс и С.Гиренас благополучно перелетели океан, затем преодолели большую часть Европы. Летели из Нью- Йорка по направлению в Ковно (Каунас). В случае успеха они должны были преодолеть на аппарате с именем "Lituanika" (высокоплан Белланка J-6) 7188 км без посадки, что соответствовало национальному рекорду дальности полета. Кроме того, что данный перелет являлся серьезной заявкой на мировой рекорд, литовцы везли почту от соотечественников, проживающих в Америке. В ночь на 17 июля, не долетая 500-600 км до Ковно, "Lituanika" разбилась в лесной местности округа Сольдин в восточной части Германии. Причинами катастрофы назывались недостаток топлива, плохие метеоусловия, а также обстрел с земли неустановленными лицами (11941).</w:t>
      </w:r>
    </w:p>
    <w:p w14:paraId="5F2FD99A"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49BBDCC9" w14:textId="77777777" w:rsidR="00964726" w:rsidRPr="00C33834" w:rsidRDefault="009647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июля в 1933 году маленький одномоторный самолет "Литуаника", управляемый литовскими летчиками Стяпанасом Дарюсом и Стасисом Гиренасом, поднялся с территории США и взял направление на литовскую столицу Каунас. Героический полет продолжался 37 часов (14953).</w:t>
      </w:r>
    </w:p>
    <w:p w14:paraId="4711DDD1" w14:textId="77777777" w:rsidR="00964726" w:rsidRPr="00C33834" w:rsidRDefault="00964726" w:rsidP="00C33834">
      <w:pPr>
        <w:spacing w:after="0" w:line="240" w:lineRule="auto"/>
        <w:jc w:val="both"/>
        <w:rPr>
          <w:rFonts w:ascii="Times New Roman" w:hAnsi="Times New Roman"/>
          <w:color w:val="000000" w:themeColor="text1"/>
          <w:sz w:val="16"/>
          <w:szCs w:val="16"/>
        </w:rPr>
      </w:pPr>
    </w:p>
    <w:p w14:paraId="6A9B171D" w14:textId="77777777" w:rsidR="00040C95" w:rsidRPr="00C33834" w:rsidRDefault="00040C9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15–17 июля 1933 литовско-американские пилоты Степонас Дариус и Стасис Гиренас совершают беспосадочный перелет на 6411 километров (4043 мили) на Bellanca CH-300 Pacemaker Lituanica в попытке беспосадочного перелета из Нью-Йорка в Каунас, Литва , но погибают в результате крушения Lituanica в 650 км (404 мили) до Каунаса в Кухдамме , Германия, 17 июля после 37 часов 11 минут полета (20802).</w:t>
      </w:r>
    </w:p>
    <w:p w14:paraId="5AD2A832" w14:textId="77777777" w:rsidR="00040C95" w:rsidRPr="00C33834" w:rsidRDefault="00040C95" w:rsidP="00C33834">
      <w:pPr>
        <w:spacing w:after="0" w:line="240" w:lineRule="auto"/>
        <w:jc w:val="both"/>
        <w:rPr>
          <w:rFonts w:ascii="Times New Roman" w:hAnsi="Times New Roman"/>
          <w:color w:val="0070C0"/>
          <w:sz w:val="16"/>
          <w:szCs w:val="16"/>
        </w:rPr>
      </w:pPr>
    </w:p>
    <w:p w14:paraId="137769C1" w14:textId="77777777" w:rsidR="00964726" w:rsidRPr="00C33834" w:rsidRDefault="009647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июля в 1933 году начинается первый одиночный полет на самолете вокруг Земного шара. В этот день с летного поля «Флойд Беннет Филд», Нью-Йорк, взлетает самолет компании "Локхид Вега". На борту только один человек - 35-летний американский пилот Вайли Хардеманн Пост (Wiley Post). Его задача - приземлиться на том же поле, но только после кругосветного путешествия. И ему это удастся! Через неделю, 22 июля, он благополучно посадит свой самолет на том же поле - и станет героем дня. Вайли сделает 10 посадок, пролетев 25 099 км за 115 часов 36 минут. Средняя скорость - 162 км в час. В наше время этот полет не сочли бы кругосветным - он проходил на слишком высоких широтах. Международная авиационная федерация (ФАИ) регистрирует, как кругосветные, полеты только на расстояние не менее 36 788 км - то есть превышающие длину Северного и Южного тропика (14953).</w:t>
      </w:r>
    </w:p>
    <w:p w14:paraId="6720C7E2" w14:textId="77777777" w:rsidR="00964726" w:rsidRPr="00C33834" w:rsidRDefault="00964726" w:rsidP="00C33834">
      <w:pPr>
        <w:spacing w:after="0" w:line="240" w:lineRule="auto"/>
        <w:jc w:val="both"/>
        <w:rPr>
          <w:rFonts w:ascii="Times New Roman" w:hAnsi="Times New Roman"/>
          <w:color w:val="000000" w:themeColor="text1"/>
          <w:sz w:val="16"/>
          <w:szCs w:val="16"/>
        </w:rPr>
      </w:pPr>
    </w:p>
    <w:p w14:paraId="6FA120D6"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15-22 июля 1933 американец W.Post на Винни Мей Локхид совершил первый одиночный кругосветный перелет с пассажирами (237,167).</w:t>
      </w:r>
    </w:p>
    <w:p w14:paraId="137595A0"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20F9D38C"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Вылетев 15 июля из Нью-Йорка, Вилли Пост успешно преодолел весь маршрут, пересек территорию Советского Союза и вернулся к отправной точке своего полета через 7 суток, 18 часов, 50 минут (11941).</w:t>
      </w:r>
    </w:p>
    <w:p w14:paraId="2B357315"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1A58485B" w14:textId="77777777" w:rsidR="00040C95" w:rsidRPr="00C33834" w:rsidRDefault="00040C9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15–17 июля 1933 - Первый кругосветный перелёт в одиночку, с посадками, совершил 15-22 июля 1933 года Вилли Пост на самолёте Локхид Вега 5, названном «Винни Мэй» в честь дочери спонсора, оплатившего перелет. Полет длился 7 дней и 19 часов (22429).</w:t>
      </w:r>
    </w:p>
    <w:p w14:paraId="47DC886D" w14:textId="77777777" w:rsidR="00040C95" w:rsidRPr="00C33834" w:rsidRDefault="00040C95" w:rsidP="00C33834">
      <w:pPr>
        <w:spacing w:after="0" w:line="240" w:lineRule="auto"/>
        <w:jc w:val="both"/>
        <w:rPr>
          <w:rFonts w:ascii="Times New Roman" w:hAnsi="Times New Roman"/>
          <w:color w:val="0070C0"/>
          <w:sz w:val="16"/>
          <w:szCs w:val="16"/>
        </w:rPr>
      </w:pPr>
    </w:p>
    <w:p w14:paraId="3C8CC292"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июля 1933 в Германии принят закон о принудительном картелировании промышленности (4962).</w:t>
      </w:r>
    </w:p>
    <w:p w14:paraId="7F1141FD"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p>
    <w:p w14:paraId="541D76C7" w14:textId="77777777" w:rsidR="00964726" w:rsidRPr="00C33834" w:rsidRDefault="009647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июля в 1933 году в Гитлеровской Германии издаются законы о картелях, а также о принудительной картелизации, направленные на дальнейшую милитаризацию экономики и концентрацию экономической мощности в руках крупных монополий. Вскоре будет образован Генеральный совет германской экономики, по существу, фактическое "хозяйственное правительство", членами которого станут представители крупнейших промышленных монополий страны (14953).</w:t>
      </w:r>
    </w:p>
    <w:p w14:paraId="0962917B" w14:textId="77777777" w:rsidR="00964726" w:rsidRPr="00C33834" w:rsidRDefault="00964726" w:rsidP="00C33834">
      <w:pPr>
        <w:spacing w:after="0" w:line="240" w:lineRule="auto"/>
        <w:jc w:val="both"/>
        <w:rPr>
          <w:rFonts w:ascii="Times New Roman" w:hAnsi="Times New Roman"/>
          <w:color w:val="000000" w:themeColor="text1"/>
          <w:sz w:val="16"/>
          <w:szCs w:val="16"/>
        </w:rPr>
      </w:pPr>
    </w:p>
    <w:p w14:paraId="2573BF5A"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июля 1933 по предложению Б.Муссолини Италия, Германия, Франция и Великобритания подписали пакт четырех, в котором обязались по всем вопросам действовать сообща (3186).</w:t>
      </w:r>
    </w:p>
    <w:p w14:paraId="6480A4DA"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36413223" w14:textId="77777777" w:rsidR="00964726" w:rsidRPr="00C33834" w:rsidRDefault="0096472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июля в 1933 году по предложению Бенито Муссолини Италия, Германия, Франция и Англия подписывают "Пакт согласия и сотрудничества четырех держав", в котором обязуются действовать сообща во всех вопросах, затрагивающих общие интересы. Однако "пакт четырех" ратифицирован не будет: в парламентах Англии и Франции он натолкнется на ожесточенное сопротивление (14953).</w:t>
      </w:r>
    </w:p>
    <w:p w14:paraId="7E2D349D" w14:textId="77777777" w:rsidR="00964726" w:rsidRPr="00C33834" w:rsidRDefault="00964726" w:rsidP="00C33834">
      <w:pPr>
        <w:spacing w:after="0" w:line="240" w:lineRule="auto"/>
        <w:jc w:val="both"/>
        <w:rPr>
          <w:rFonts w:ascii="Times New Roman" w:hAnsi="Times New Roman"/>
          <w:color w:val="000000" w:themeColor="text1"/>
          <w:sz w:val="16"/>
          <w:szCs w:val="16"/>
        </w:rPr>
      </w:pPr>
    </w:p>
    <w:p w14:paraId="27486B50" w14:textId="77777777" w:rsidR="00DC5A55" w:rsidRPr="00C33834" w:rsidRDefault="00DC5A5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июля 1933 г. Франция, Англия, Италия и Германия в обход Женевской конференции по разоружению подписали в Риме «пакт четырех», предусматривавший сотрудничество между его участниками, пересмотр Версальского договора, постепенное достижение Германией равенства в вооружениях. Однако «пакт четырех» не был ратифицирован подписавшими его державами. На конференции в Женеве в сентябре 1933 г. Германия потребовала незамедлительного признания принципа равноправия в вооружениях и согласия держав на увеличение численности райхсвера в 3 р. (до 300 тыс.) (18265).</w:t>
      </w:r>
    </w:p>
    <w:p w14:paraId="2049B4B4" w14:textId="77777777" w:rsidR="00DC5A55" w:rsidRPr="00C33834" w:rsidRDefault="00DC5A55" w:rsidP="00C33834">
      <w:pPr>
        <w:spacing w:after="0" w:line="240" w:lineRule="auto"/>
        <w:jc w:val="both"/>
        <w:rPr>
          <w:rFonts w:ascii="Times New Roman" w:hAnsi="Times New Roman"/>
          <w:color w:val="000000" w:themeColor="text1"/>
          <w:sz w:val="16"/>
          <w:szCs w:val="16"/>
        </w:rPr>
      </w:pPr>
    </w:p>
    <w:p w14:paraId="46A632A9"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15 июля 1933г. Франция, Англия, Италия и Германия в обход Женевской конференции по разоружению подписали в Риме «пакт четырех», предусматривавший сотрудничество между его участниками, пересмотр Версальского договора, постепенное достижение Германией равенства в вооружениях. Однако «пакт четырех» не был ратифицирован подписавшими его державами. На конференции в Женеве в сентябре 1933 г. Германия потребовала незамедлительного признания принципа равноправия в вооружениях и согласия держав на увеличение численности райхсвера в 3 р. (до 300 тыс. ). Именно в это время, по сообщению источника НКВД из Берлина от 4 сентября 1933 г., решался вопрос о будущем отношений Германии с СССР: «Что касается отношений с СССР, то решающим в этом вопросе будет </w:t>
      </w:r>
      <w:r w:rsidRPr="00C33834">
        <w:rPr>
          <w:rFonts w:ascii="Times New Roman" w:hAnsi="Times New Roman"/>
          <w:color w:val="000000" w:themeColor="text1"/>
          <w:sz w:val="16"/>
          <w:szCs w:val="16"/>
        </w:rPr>
        <w:lastRenderedPageBreak/>
        <w:t>позиция, которую займет Советский Союз на конференции по разоружению. Опубликование многими газетами (начиная со статей в русских газетах) сведений относительно сотрудничества с Россией в прошлые годы подействовало ошеломляюще и прежняя точка зрения министерства рейхсвера и министерства иностранных дел поколеблена. Можно уже теперь сказать, что на конференции по разоружению Германия будет начисто отрицать военное сотрудничество с СССР, если возникнут разговоры об этом сотрудничестве» (РГВА, ф. 33987, оп. 3, д. 504, л. 153.) (11784). На Женевской конференции требование Германии о незамедлительном признании равноправия в вооружениях было отвергнуто. Реакция стран, подписавших с Германией римский «пакт четырех», была следующей: Италия поддержала Германию, Англия и Франция выступили против, блокировав тем самым ревизию военных положений Версальского договора. Это, кстати сказать, стало в тот момент одной из целей советской внешней политики. США заняли нейтральную позицию. В ответ Германия, указав на бесплодность работы конференции, 14 октября 1933 г. отозвала своего делегата с Женевской конференции, а спустя пять дней — 19 октября вышла из Лиги Наций. Москва же, сделавшая к тому времени выбор не в пользу нацистской Германии, инициировала подписание в Лондоне в ходе международной экономической конференции Соглашения об определении агрессора с соседними государствами, которое было направлено против Германии. Сталин и его окружение, поняв, что в лице правительства Гитлера они столкнулись со столь же целеустремленными, циничными и беспардонными политиками, как и они сами, всеми силами стремились загнать Германию в политическую изоляцию. Частично это им удалось. Однако опасения Запада относительно политики правительства «национальной концентрации» Гитлера были куда меньшими, нежели почти неприкрытый страх перед возможностью большевизации всего мира. В Берлине это понимали. Поэтому, выбрав курс на достижение двусторонних соглашений и взяв на себя роль «защитного вала» против большевизма (Meinecke Friedrich. Die deutsche Katastrophe. Betrachtungen und Erinnerungen. Wiesbaden 1949. S. 115.), Гитлер умело решал внешнеполитические головоломки последующего периода. Здесь были и резкое политическое противостояние Москвы и Берлина и попытки советско-германского сближения, вплоть до восстановления прежних военных связей, однако с «рапалльской политикой» было покончено (11784).</w:t>
      </w:r>
    </w:p>
    <w:p w14:paraId="70F24BFE"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1A5A3DDF" w14:textId="77777777" w:rsidR="00C2291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3044B63"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26CCD15C"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июля 1933 года c письмом N 00771сс. был направлен Протокол N 1 испытания самолета "З-1" (ТБ1; 2И4) измененной конструкции 5.07.33 г.</w:t>
      </w:r>
    </w:p>
    <w:p w14:paraId="1A887956"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Испытывался в полете самолет "З-1", составленный из самолетов ТБ1 N 678, И4 N 1533 на левом крыле и И4 N 1583 на правом.</w:t>
      </w:r>
    </w:p>
    <w:p w14:paraId="00A39397"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1E61B5F0"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 "З-1" с вышеуказанными переделками вполне годен к эксплуатации в строевых частях ВВС. (3060,1).</w:t>
      </w:r>
    </w:p>
    <w:p w14:paraId="258D86DE"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417BA6FC"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июля 1933 года c письмом N 00772сс. был направлен Протокол N 2 по испытаниям самолета "З-1" (ТБ1; 2И4) первой опытной серии 7.07.33 г.</w:t>
      </w:r>
    </w:p>
    <w:p w14:paraId="3FC1F9CF"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Испытывался в полете самолет "З-1", составленный из самолетов ТБ1 N 1650, И4 N 1576 на левом крыле и И4 N 1544 на правом.</w:t>
      </w:r>
    </w:p>
    <w:p w14:paraId="0F995DB5"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09ACA4A0"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пригоден к эксплуатации в частях ВВС. (3060,2).</w:t>
      </w:r>
    </w:p>
    <w:p w14:paraId="3F34469F"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538619F4"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июля 1933 года письмо № 1074/ко в СНК Любченко</w:t>
      </w:r>
    </w:p>
    <w:p w14:paraId="5A9E7776"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 4293сс от 8 мая 1933 года</w:t>
      </w:r>
    </w:p>
    <w:p w14:paraId="0C59D132"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указанию Куйбышева В. сообщаю, что ГУАП НКТП взято на себя финансирование дизеля Н-4 и при пересмотре титула работ увеличены ассигнования по ХАИ до 1600 тысяч рублей, что удовлетворяет потребность Института в текущем году. Проверкой изготовления литья на заводе № 26 для авиадизеля, проектируемого Украинским научно-исследовательским дизельным институтом установлено, что изготовление его производится в сроки согласованные с представителями Института (3530,131).</w:t>
      </w:r>
    </w:p>
    <w:p w14:paraId="6CBB3125"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64594B4E" w14:textId="77777777" w:rsidR="00DC5A55" w:rsidRPr="00C33834" w:rsidRDefault="00DC5A55" w:rsidP="00C33834">
      <w:pPr>
        <w:pStyle w:val="book"/>
        <w:shd w:val="clear" w:color="auto" w:fill="FFFFFF"/>
        <w:spacing w:before="0" w:beforeAutospacing="0" w:after="0" w:afterAutospacing="0"/>
        <w:jc w:val="both"/>
        <w:rPr>
          <w:color w:val="000000" w:themeColor="text1"/>
          <w:sz w:val="16"/>
          <w:szCs w:val="16"/>
        </w:rPr>
      </w:pPr>
      <w:r w:rsidRPr="00C33834">
        <w:rPr>
          <w:color w:val="000000" w:themeColor="text1"/>
          <w:sz w:val="16"/>
          <w:szCs w:val="16"/>
        </w:rPr>
        <w:t>16 июля 1933 г. в соответствии с принятыми правилами НИИ ВВС подготовило ТТТ для военной модификации Сталь-МАИ-2. Такой вариант разрабатывался и был утвержден 15 октября 1933 г. Главным конструктором Григоровичем и инженером П.М. Крейсоном (являлся начальником бригады №6 ЦКБ, которая осуществляла весовые расчеты, взвешивание и статические испытания) (19595).</w:t>
      </w:r>
    </w:p>
    <w:p w14:paraId="50AADAB5" w14:textId="77777777" w:rsidR="00DC5A55" w:rsidRPr="00C33834" w:rsidRDefault="00DC5A55" w:rsidP="00C33834">
      <w:pPr>
        <w:spacing w:after="0" w:line="240" w:lineRule="auto"/>
        <w:jc w:val="both"/>
        <w:rPr>
          <w:rFonts w:ascii="Times New Roman" w:hAnsi="Times New Roman"/>
          <w:color w:val="000000" w:themeColor="text1"/>
          <w:sz w:val="16"/>
          <w:szCs w:val="16"/>
        </w:rPr>
      </w:pPr>
    </w:p>
    <w:p w14:paraId="459536C2"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июля 1933 г. НИИ ВВС подготовило ИТ для военной модификации РД-МАИ. Такой вариант разрабатывался и был утвержден 15 октября 1933 г. Главным конструктором Григоровичем и инженером П.М.Крейсоном (являлся начальником бригады №6 ЦКБ, которая осуществляла весовые расчеты, взвешивание, статические испытания).</w:t>
      </w:r>
    </w:p>
    <w:p w14:paraId="086284A0"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расчетные технические и летные характеристики РД-МАИ*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F26F01" w:rsidRPr="00C33834" w14:paraId="4E4467C5" w14:textId="77777777">
        <w:tc>
          <w:tcPr>
            <w:tcW w:w="5156" w:type="dxa"/>
            <w:tcBorders>
              <w:top w:val="single" w:sz="12" w:space="0" w:color="auto"/>
            </w:tcBorders>
          </w:tcPr>
          <w:p w14:paraId="4686A0ED"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Размах крыла (м)</w:t>
            </w:r>
          </w:p>
        </w:tc>
        <w:tc>
          <w:tcPr>
            <w:tcW w:w="5156" w:type="dxa"/>
            <w:tcBorders>
              <w:top w:val="single" w:sz="12" w:space="0" w:color="auto"/>
            </w:tcBorders>
          </w:tcPr>
          <w:p w14:paraId="35D883C8"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w:t>
            </w:r>
          </w:p>
        </w:tc>
      </w:tr>
      <w:tr w:rsidR="00F26F01" w:rsidRPr="00C33834" w14:paraId="6BC04E6A" w14:textId="77777777">
        <w:tc>
          <w:tcPr>
            <w:tcW w:w="5156" w:type="dxa"/>
          </w:tcPr>
          <w:p w14:paraId="314DE1C9"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крыла (м2)</w:t>
            </w:r>
          </w:p>
        </w:tc>
        <w:tc>
          <w:tcPr>
            <w:tcW w:w="5156" w:type="dxa"/>
          </w:tcPr>
          <w:p w14:paraId="13DBA11B"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40,5</w:t>
            </w:r>
          </w:p>
        </w:tc>
      </w:tr>
      <w:tr w:rsidR="00F26F01" w:rsidRPr="00C33834" w14:paraId="5A564218" w14:textId="77777777">
        <w:tc>
          <w:tcPr>
            <w:tcW w:w="5156" w:type="dxa"/>
          </w:tcPr>
          <w:p w14:paraId="4B8D2EE5"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самолета (м)</w:t>
            </w:r>
          </w:p>
        </w:tc>
        <w:tc>
          <w:tcPr>
            <w:tcW w:w="5156" w:type="dxa"/>
          </w:tcPr>
          <w:p w14:paraId="024CE0BC"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11,5</w:t>
            </w:r>
          </w:p>
        </w:tc>
      </w:tr>
      <w:tr w:rsidR="00F26F01" w:rsidRPr="00C33834" w14:paraId="3D91590D" w14:textId="77777777">
        <w:tc>
          <w:tcPr>
            <w:tcW w:w="5156" w:type="dxa"/>
          </w:tcPr>
          <w:p w14:paraId="3A327C98"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в линии полета (м)</w:t>
            </w:r>
          </w:p>
        </w:tc>
        <w:tc>
          <w:tcPr>
            <w:tcW w:w="5156" w:type="dxa"/>
          </w:tcPr>
          <w:p w14:paraId="3DE2B6F3"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4,03</w:t>
            </w:r>
          </w:p>
        </w:tc>
      </w:tr>
      <w:tr w:rsidR="00F26F01" w:rsidRPr="00C33834" w14:paraId="5653ADA6" w14:textId="77777777">
        <w:tc>
          <w:tcPr>
            <w:tcW w:w="5156" w:type="dxa"/>
          </w:tcPr>
          <w:p w14:paraId="0C121A39"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пустого (кг)</w:t>
            </w:r>
          </w:p>
        </w:tc>
        <w:tc>
          <w:tcPr>
            <w:tcW w:w="5156" w:type="dxa"/>
          </w:tcPr>
          <w:p w14:paraId="2D84AFA9"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2410</w:t>
            </w:r>
          </w:p>
        </w:tc>
      </w:tr>
      <w:tr w:rsidR="00F26F01" w:rsidRPr="00C33834" w14:paraId="03852A7D" w14:textId="77777777">
        <w:tc>
          <w:tcPr>
            <w:tcW w:w="5156" w:type="dxa"/>
          </w:tcPr>
          <w:p w14:paraId="6339AF8A"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Полетный вес (кг)</w:t>
            </w:r>
          </w:p>
        </w:tc>
        <w:tc>
          <w:tcPr>
            <w:tcW w:w="5156" w:type="dxa"/>
          </w:tcPr>
          <w:p w14:paraId="3710331A"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3850-4600</w:t>
            </w:r>
          </w:p>
        </w:tc>
      </w:tr>
      <w:tr w:rsidR="00F26F01" w:rsidRPr="00C33834" w14:paraId="194367CD" w14:textId="77777777">
        <w:tc>
          <w:tcPr>
            <w:tcW w:w="5156" w:type="dxa"/>
          </w:tcPr>
          <w:p w14:paraId="26BBC02C"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Горючее (кг)</w:t>
            </w:r>
          </w:p>
        </w:tc>
        <w:tc>
          <w:tcPr>
            <w:tcW w:w="5156" w:type="dxa"/>
          </w:tcPr>
          <w:p w14:paraId="0BC82BC2"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1000-1800</w:t>
            </w:r>
          </w:p>
        </w:tc>
      </w:tr>
      <w:tr w:rsidR="00F26F01" w:rsidRPr="00C33834" w14:paraId="1DCCBC13" w14:textId="77777777">
        <w:tc>
          <w:tcPr>
            <w:tcW w:w="5156" w:type="dxa"/>
          </w:tcPr>
          <w:p w14:paraId="49F1F166"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 скорость (км/ч) ....</w:t>
            </w:r>
          </w:p>
        </w:tc>
        <w:tc>
          <w:tcPr>
            <w:tcW w:w="5156" w:type="dxa"/>
          </w:tcPr>
          <w:p w14:paraId="61C6AC4C"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330-350</w:t>
            </w:r>
          </w:p>
        </w:tc>
      </w:tr>
      <w:tr w:rsidR="00F26F01" w:rsidRPr="00C33834" w14:paraId="0D46A9F2" w14:textId="77777777">
        <w:tc>
          <w:tcPr>
            <w:tcW w:w="5156" w:type="dxa"/>
          </w:tcPr>
          <w:p w14:paraId="5257DDEC"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Крейсерская скорость (км/ч)</w:t>
            </w:r>
          </w:p>
        </w:tc>
        <w:tc>
          <w:tcPr>
            <w:tcW w:w="5156" w:type="dxa"/>
          </w:tcPr>
          <w:p w14:paraId="0FE98958"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290-300</w:t>
            </w:r>
          </w:p>
        </w:tc>
      </w:tr>
      <w:tr w:rsidR="00F26F01" w:rsidRPr="00C33834" w14:paraId="3C13D9F5" w14:textId="77777777">
        <w:tc>
          <w:tcPr>
            <w:tcW w:w="5156" w:type="dxa"/>
          </w:tcPr>
          <w:p w14:paraId="6AF26C7F"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Потолок(м) </w:t>
            </w:r>
          </w:p>
        </w:tc>
        <w:tc>
          <w:tcPr>
            <w:tcW w:w="5156" w:type="dxa"/>
          </w:tcPr>
          <w:p w14:paraId="71393E31"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6000</w:t>
            </w:r>
          </w:p>
        </w:tc>
      </w:tr>
      <w:tr w:rsidR="00F26F01" w:rsidRPr="00C33834" w14:paraId="4B01D890" w14:textId="77777777">
        <w:tc>
          <w:tcPr>
            <w:tcW w:w="5156" w:type="dxa"/>
            <w:tcBorders>
              <w:bottom w:val="single" w:sz="12" w:space="0" w:color="auto"/>
            </w:tcBorders>
          </w:tcPr>
          <w:p w14:paraId="609D6518"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полета (км)</w:t>
            </w:r>
          </w:p>
        </w:tc>
        <w:tc>
          <w:tcPr>
            <w:tcW w:w="5156" w:type="dxa"/>
            <w:tcBorders>
              <w:bottom w:val="single" w:sz="12" w:space="0" w:color="auto"/>
            </w:tcBorders>
          </w:tcPr>
          <w:p w14:paraId="113C2270"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3250-6000</w:t>
            </w:r>
          </w:p>
        </w:tc>
      </w:tr>
    </w:tbl>
    <w:p w14:paraId="20DDD6CB"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Подписано с таким названием: "Главный конструктор Григорович 28 ноября 1933 г".</w:t>
      </w:r>
    </w:p>
    <w:p w14:paraId="7985F259"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Постепенно Д.П.Григорович переключился на другие работы, в частности на создание истребителей с динамо-реактивными пушками, поэтому техническое руководство процессом создания Сталь-МАИ спустя некоторое время перешло к П.Д.Грушину. В 1933 г. в институте окончательно оформилось конструкторское бюро, которое получило официальное наименование 0КБ-1 и в дальнейшем функционировало как полноценное КБ с главным конструктором Грушиным во главе (11941).</w:t>
      </w:r>
    </w:p>
    <w:p w14:paraId="22AF40E9"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3859F8CC" w14:textId="77777777" w:rsidR="006D155E" w:rsidRPr="00C33834" w:rsidRDefault="006D155E" w:rsidP="00C33834">
      <w:pPr>
        <w:pStyle w:val="a3"/>
        <w:rPr>
          <w:color w:val="000000" w:themeColor="text1"/>
          <w:lang w:val="ru-RU"/>
        </w:rPr>
      </w:pPr>
      <w:r w:rsidRPr="00C33834">
        <w:rPr>
          <w:color w:val="000000" w:themeColor="text1"/>
          <w:lang w:val="ru-RU"/>
        </w:rPr>
        <w:t>16 июля 1933 г. в соответствии с принятыми прави</w:t>
      </w:r>
      <w:r w:rsidRPr="00C33834">
        <w:rPr>
          <w:color w:val="000000" w:themeColor="text1"/>
          <w:lang w:val="ru-RU"/>
        </w:rPr>
        <w:softHyphen/>
        <w:t>лами НИИ ВВС подго</w:t>
      </w:r>
      <w:r w:rsidRPr="00C33834">
        <w:rPr>
          <w:color w:val="000000" w:themeColor="text1"/>
          <w:lang w:val="ru-RU"/>
        </w:rPr>
        <w:softHyphen/>
        <w:t>товило ТТТ для военной модификации. Такой вариант разрабатывался и был утвержден 15 октября 1933 г. Главным конструктором Григоровичем и инжене</w:t>
      </w:r>
      <w:r w:rsidRPr="00C33834">
        <w:rPr>
          <w:color w:val="000000" w:themeColor="text1"/>
          <w:lang w:val="ru-RU"/>
        </w:rPr>
        <w:softHyphen/>
        <w:t>ром П.М. Крейсоном (являлся начальни</w:t>
      </w:r>
      <w:r w:rsidRPr="00C33834">
        <w:rPr>
          <w:color w:val="000000" w:themeColor="text1"/>
          <w:lang w:val="ru-RU"/>
        </w:rPr>
        <w:softHyphen/>
        <w:t xml:space="preserve">ком бригады </w:t>
      </w:r>
      <w:r w:rsidRPr="00C33834">
        <w:rPr>
          <w:color w:val="000000" w:themeColor="text1"/>
        </w:rPr>
        <w:t>N</w:t>
      </w:r>
      <w:r w:rsidRPr="00C33834">
        <w:rPr>
          <w:color w:val="000000" w:themeColor="text1"/>
          <w:lang w:val="ru-RU"/>
        </w:rPr>
        <w:t>96 ЦКБ, которая осущест</w:t>
      </w:r>
      <w:r w:rsidRPr="00C33834">
        <w:rPr>
          <w:color w:val="000000" w:themeColor="text1"/>
          <w:lang w:val="ru-RU"/>
        </w:rPr>
        <w:softHyphen/>
        <w:t>вляла весовые расчеты, взвешивание и статические испытания).</w:t>
      </w:r>
    </w:p>
    <w:p w14:paraId="6EAA6EE4" w14:textId="77777777" w:rsidR="006D155E" w:rsidRPr="00C33834" w:rsidRDefault="006D155E" w:rsidP="00C33834">
      <w:pPr>
        <w:pStyle w:val="a3"/>
        <w:rPr>
          <w:color w:val="000000" w:themeColor="text1"/>
          <w:lang w:val="ru-RU"/>
        </w:rPr>
      </w:pPr>
      <w:r w:rsidRPr="00C33834">
        <w:rPr>
          <w:color w:val="000000" w:themeColor="text1"/>
          <w:lang w:val="ru-RU"/>
        </w:rPr>
        <w:t>Постепенно, уже в процессе строи</w:t>
      </w:r>
      <w:r w:rsidRPr="00C33834">
        <w:rPr>
          <w:color w:val="000000" w:themeColor="text1"/>
          <w:lang w:val="ru-RU"/>
        </w:rPr>
        <w:softHyphen/>
        <w:t>тельства дальнего самолета, Григоро</w:t>
      </w:r>
      <w:r w:rsidRPr="00C33834">
        <w:rPr>
          <w:color w:val="000000" w:themeColor="text1"/>
          <w:lang w:val="ru-RU"/>
        </w:rPr>
        <w:softHyphen/>
        <w:t>вич переключился на другие работы, в частности на создание истребителей с динамо-реактивными пушками, поэто</w:t>
      </w:r>
      <w:r w:rsidRPr="00C33834">
        <w:rPr>
          <w:color w:val="000000" w:themeColor="text1"/>
          <w:lang w:val="ru-RU"/>
        </w:rPr>
        <w:softHyphen/>
        <w:t>му техническое руководство при соз</w:t>
      </w:r>
      <w:r w:rsidRPr="00C33834">
        <w:rPr>
          <w:color w:val="000000" w:themeColor="text1"/>
          <w:lang w:val="ru-RU"/>
        </w:rPr>
        <w:softHyphen/>
        <w:t>дании РД-МАИ спустя некоторое время перешло к П.Д. Грушину. В 1933 г. в институте окончательно оформилось конструкторское бюро, которое получи</w:t>
      </w:r>
      <w:r w:rsidRPr="00C33834">
        <w:rPr>
          <w:color w:val="000000" w:themeColor="text1"/>
          <w:lang w:val="ru-RU"/>
        </w:rPr>
        <w:softHyphen/>
        <w:t>ло официальное наименование ОКБ-1 и в дальнейшем функционировало как полноценное проектное подразделение с главным конструктором Грушиным во главе.</w:t>
      </w:r>
    </w:p>
    <w:p w14:paraId="1B6D174B" w14:textId="77777777" w:rsidR="006D155E" w:rsidRPr="00C33834" w:rsidRDefault="006D155E" w:rsidP="00C33834">
      <w:pPr>
        <w:pStyle w:val="a3"/>
        <w:rPr>
          <w:color w:val="000000" w:themeColor="text1"/>
          <w:lang w:val="ru-RU"/>
        </w:rPr>
      </w:pPr>
      <w:r w:rsidRPr="00C33834">
        <w:rPr>
          <w:rStyle w:val="380"/>
          <w:rFonts w:ascii="Times New Roman" w:hAnsi="Times New Roman" w:cs="Times New Roman"/>
          <w:b w:val="0"/>
          <w:color w:val="000000" w:themeColor="text1"/>
          <w:sz w:val="16"/>
          <w:szCs w:val="16"/>
          <w:lang w:val="ru-RU"/>
        </w:rPr>
        <w:t>Самолет</w:t>
      </w:r>
      <w:r w:rsidRPr="00C33834">
        <w:rPr>
          <w:color w:val="000000" w:themeColor="text1"/>
          <w:lang w:val="ru-RU"/>
        </w:rPr>
        <w:t xml:space="preserve"> закончили производством в</w:t>
      </w:r>
      <w:r w:rsidRPr="00C33834">
        <w:rPr>
          <w:rStyle w:val="380"/>
          <w:rFonts w:ascii="Times New Roman" w:hAnsi="Times New Roman" w:cs="Times New Roman"/>
          <w:b w:val="0"/>
          <w:color w:val="000000" w:themeColor="text1"/>
          <w:sz w:val="16"/>
          <w:szCs w:val="16"/>
          <w:lang w:val="ru-RU"/>
        </w:rPr>
        <w:t xml:space="preserve"> мастерских института летом 1934</w:t>
      </w:r>
      <w:r w:rsidRPr="00C33834">
        <w:rPr>
          <w:color w:val="000000" w:themeColor="text1"/>
          <w:lang w:val="ru-RU"/>
        </w:rPr>
        <w:t xml:space="preserve"> г. </w:t>
      </w:r>
      <w:r w:rsidRPr="00C33834">
        <w:rPr>
          <w:rStyle w:val="380"/>
          <w:rFonts w:ascii="Times New Roman" w:hAnsi="Times New Roman" w:cs="Times New Roman"/>
          <w:b w:val="0"/>
          <w:color w:val="000000" w:themeColor="text1"/>
          <w:sz w:val="16"/>
          <w:szCs w:val="16"/>
          <w:lang w:val="ru-RU"/>
        </w:rPr>
        <w:t>Очевидно, вопрос осуществления ре</w:t>
      </w:r>
      <w:r w:rsidRPr="00C33834">
        <w:rPr>
          <w:rStyle w:val="380"/>
          <w:rFonts w:ascii="Times New Roman" w:hAnsi="Times New Roman" w:cs="Times New Roman"/>
          <w:b w:val="0"/>
          <w:color w:val="000000" w:themeColor="text1"/>
          <w:sz w:val="16"/>
          <w:szCs w:val="16"/>
          <w:lang w:val="ru-RU"/>
        </w:rPr>
        <w:softHyphen/>
        <w:t xml:space="preserve">кордных перелетов для студенческой машины на тот момент не ставился, ибо </w:t>
      </w:r>
      <w:r w:rsidRPr="00C33834">
        <w:rPr>
          <w:color w:val="000000" w:themeColor="text1"/>
          <w:lang w:val="ru-RU"/>
        </w:rPr>
        <w:t>приказом</w:t>
      </w:r>
      <w:r w:rsidRPr="00C33834">
        <w:rPr>
          <w:rStyle w:val="380"/>
          <w:rFonts w:ascii="Times New Roman" w:hAnsi="Times New Roman" w:cs="Times New Roman"/>
          <w:b w:val="0"/>
          <w:color w:val="000000" w:themeColor="text1"/>
          <w:sz w:val="16"/>
          <w:szCs w:val="16"/>
          <w:lang w:val="ru-RU"/>
        </w:rPr>
        <w:t xml:space="preserve"> по Московскому авиационному </w:t>
      </w:r>
      <w:r w:rsidRPr="00C33834">
        <w:rPr>
          <w:color w:val="000000" w:themeColor="text1"/>
          <w:lang w:val="ru-RU"/>
        </w:rPr>
        <w:t>институту №224</w:t>
      </w:r>
      <w:r w:rsidRPr="00C33834">
        <w:rPr>
          <w:rStyle w:val="380"/>
          <w:rFonts w:ascii="Times New Roman" w:hAnsi="Times New Roman" w:cs="Times New Roman"/>
          <w:b w:val="0"/>
          <w:color w:val="000000" w:themeColor="text1"/>
          <w:sz w:val="16"/>
          <w:szCs w:val="16"/>
          <w:lang w:val="ru-RU"/>
        </w:rPr>
        <w:t xml:space="preserve"> от 16 сентября 1934</w:t>
      </w:r>
      <w:r w:rsidRPr="00C33834">
        <w:rPr>
          <w:color w:val="000000" w:themeColor="text1"/>
          <w:lang w:val="ru-RU"/>
        </w:rPr>
        <w:t xml:space="preserve"> г. самолету присвоили наименование Сталь-МАИ. Журнал «Самолет» №11 за 1934 г. сообщал:</w:t>
      </w:r>
      <w:r w:rsidRPr="00C33834">
        <w:rPr>
          <w:rStyle w:val="252"/>
          <w:rFonts w:ascii="Times New Roman" w:hAnsi="Times New Roman" w:cs="Times New Roman"/>
          <w:i w:val="0"/>
          <w:color w:val="000000" w:themeColor="text1"/>
          <w:sz w:val="16"/>
          <w:szCs w:val="16"/>
          <w:lang w:val="ru-RU"/>
        </w:rPr>
        <w:t xml:space="preserve"> «19 сентября со</w:t>
      </w:r>
      <w:r w:rsidRPr="00C33834">
        <w:rPr>
          <w:rStyle w:val="252"/>
          <w:rFonts w:ascii="Times New Roman" w:hAnsi="Times New Roman" w:cs="Times New Roman"/>
          <w:i w:val="0"/>
          <w:color w:val="000000" w:themeColor="text1"/>
          <w:sz w:val="16"/>
          <w:szCs w:val="16"/>
          <w:lang w:val="ru-RU"/>
        </w:rPr>
        <w:softHyphen/>
        <w:t>стоялись летные испытания самолета Сталь-МАИ имени Алксниса. Испыты</w:t>
      </w:r>
      <w:r w:rsidRPr="00C33834">
        <w:rPr>
          <w:rStyle w:val="252"/>
          <w:rFonts w:ascii="Times New Roman" w:hAnsi="Times New Roman" w:cs="Times New Roman"/>
          <w:i w:val="0"/>
          <w:color w:val="000000" w:themeColor="text1"/>
          <w:sz w:val="16"/>
          <w:szCs w:val="16"/>
          <w:lang w:val="ru-RU"/>
        </w:rPr>
        <w:softHyphen/>
        <w:t>вающий самолет летчик Пионтковский отмечает прекрасный взлет самолета и хорошую устойчивость в воздухе».</w:t>
      </w:r>
      <w:r w:rsidRPr="00C33834">
        <w:rPr>
          <w:color w:val="000000" w:themeColor="text1"/>
          <w:lang w:val="ru-RU"/>
        </w:rPr>
        <w:t xml:space="preserve"> За</w:t>
      </w:r>
      <w:r w:rsidRPr="00C33834">
        <w:rPr>
          <w:color w:val="000000" w:themeColor="text1"/>
          <w:lang w:val="ru-RU"/>
        </w:rPr>
        <w:softHyphen/>
        <w:t>тем три полета выполнил летчик-испы</w:t>
      </w:r>
      <w:r w:rsidRPr="00C33834">
        <w:rPr>
          <w:color w:val="000000" w:themeColor="text1"/>
          <w:lang w:val="ru-RU"/>
        </w:rPr>
        <w:softHyphen/>
        <w:t>татель НИИ ВВС И.Ф. Козлов. 4 октября 1934 г. при совершении пятого по счету полета произошла авария на Централь</w:t>
      </w:r>
      <w:r w:rsidRPr="00C33834">
        <w:rPr>
          <w:color w:val="000000" w:themeColor="text1"/>
          <w:lang w:val="ru-RU"/>
        </w:rPr>
        <w:softHyphen/>
        <w:t>ном аэродроме. В этот день поднять</w:t>
      </w:r>
      <w:r w:rsidRPr="00C33834">
        <w:rPr>
          <w:color w:val="000000" w:themeColor="text1"/>
          <w:lang w:val="ru-RU"/>
        </w:rPr>
        <w:softHyphen/>
        <w:t>ся в воздух</w:t>
      </w:r>
      <w:r w:rsidRPr="00C33834">
        <w:rPr>
          <w:rStyle w:val="252"/>
          <w:rFonts w:ascii="Times New Roman" w:hAnsi="Times New Roman" w:cs="Times New Roman"/>
          <w:i w:val="0"/>
          <w:color w:val="000000" w:themeColor="text1"/>
          <w:sz w:val="16"/>
          <w:szCs w:val="16"/>
          <w:lang w:val="ru-RU"/>
        </w:rPr>
        <w:t xml:space="preserve"> на</w:t>
      </w:r>
      <w:r w:rsidRPr="00C33834">
        <w:rPr>
          <w:color w:val="000000" w:themeColor="text1"/>
          <w:lang w:val="ru-RU"/>
        </w:rPr>
        <w:t xml:space="preserve"> Сталь-МАИ готовились испытатель Пионтковский и главный конструктор Грушин. Причиной аварии стала банальная ошибка пилота, не переключившего бензокран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 (15746).</w:t>
      </w:r>
    </w:p>
    <w:p w14:paraId="43235277" w14:textId="77777777" w:rsidR="006D155E" w:rsidRPr="00C33834" w:rsidRDefault="006D155E" w:rsidP="00C33834">
      <w:pPr>
        <w:pStyle w:val="a3"/>
        <w:rPr>
          <w:color w:val="000000" w:themeColor="text1"/>
          <w:lang w:val="ru-RU"/>
        </w:rPr>
      </w:pPr>
    </w:p>
    <w:p w14:paraId="079D28CF" w14:textId="77777777" w:rsidR="00040C95" w:rsidRPr="00C33834" w:rsidRDefault="00040C9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16 июля 1933 года</w:t>
      </w:r>
    </w:p>
    <w:p w14:paraId="33333297" w14:textId="77777777" w:rsidR="00040C95" w:rsidRPr="00C33834" w:rsidRDefault="00040C9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ДОКЛАДНАЯ ЗАПИСКА ЗАМЕСТИТЕЛЯ НАРОДНОГО КОМИССАРА ИНОСТРАННЫХ ДЕЛ СССР Н.Н. КРЕСТИНСКОГО ГЕНЕРАЛЬНОМУ СЕКРЕТАРЮ ЦК ВКП(б) И.В. СТАЛИНУ ОТНОСИТЕЛЬНО АМЕРИКАНСКОГО ЛЕТЧИКА МАТТЕРНА'</w:t>
      </w:r>
    </w:p>
    <w:p w14:paraId="4E2896D5" w14:textId="77777777" w:rsidR="00040C95" w:rsidRPr="00C33834" w:rsidRDefault="00040C9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16 июля 1933 года</w:t>
      </w:r>
    </w:p>
    <w:p w14:paraId="062F4A44" w14:textId="77777777" w:rsidR="00040C95" w:rsidRPr="00C33834" w:rsidRDefault="00040C9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Секретно</w:t>
      </w:r>
    </w:p>
    <w:p w14:paraId="5F40C0DB" w14:textId="77777777" w:rsidR="00040C95" w:rsidRPr="00C33834" w:rsidRDefault="00040C9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Уважаемый Товарищ,</w:t>
      </w:r>
    </w:p>
    <w:p w14:paraId="52338D90" w14:textId="77777777" w:rsidR="00040C95" w:rsidRPr="00C33834" w:rsidRDefault="00040C9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Еще раз обращаюсь к Вам по поводу злополучного американского летчика Маттерна.</w:t>
      </w:r>
    </w:p>
    <w:p w14:paraId="1ECABEC2" w14:textId="77777777" w:rsidR="00040C95" w:rsidRPr="00C33834" w:rsidRDefault="00040C9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Дело обстоит следующим образом. Наш летчик Леваневский, летящий из Хабаровска, возможно завтра будет уже в Анадыре. В Анадыре, согласно разрешению Политбюро, от возьмет к себе в аэроплан Маттерна и полетит с ним в город Ном на Аляске. На влёт нашего аэроплана на территорию Соединенных Штатов разрешение правительства САСШ имеется. Таким образом, все обстоит нормально.</w:t>
      </w:r>
    </w:p>
    <w:p w14:paraId="6304CC1A" w14:textId="77777777" w:rsidR="00040C95" w:rsidRPr="00C33834" w:rsidRDefault="00040C9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Но Маттерну хочется закончить свой кругосветный полет. Между тем, у него в полете будет перерыв между Анадырем и Номом, так как он сделает это расстояние не на своем, а на нашем аэроплане, и не за рулем, а в качестве пассажира. Поэтому он и его друзья через т. Сквирского обращаются к нам с запросом, сможет ли Маттерн, получив в Номе новый аэроплан, прилететь на этом аэроплане обратно в Анадырь, чтобы оттуда продолжать прерванный полет.</w:t>
      </w:r>
    </w:p>
    <w:p w14:paraId="4A16E10E" w14:textId="77777777" w:rsidR="00040C95" w:rsidRPr="00C33834" w:rsidRDefault="00040C9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Другими словами, речь идет о разрешении Маттерн прилететь в Анадырь и улететь сейчас же обратно на Аляску.</w:t>
      </w:r>
    </w:p>
    <w:p w14:paraId="6AC4A73B" w14:textId="77777777" w:rsidR="00040C95" w:rsidRPr="00C33834" w:rsidRDefault="00040C9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случае, если бы наш летящий в Анадырь аэроплан потерпел аварию или по каким-либо другим причинам не смог доставить Маттерна на Аляску, перед нами встанет ставившейся уже вопрос о разрешении прилета в Анадырь из Нома на Аляске за Маттерном американского аэроплана с американским летчиком Александером.</w:t>
      </w:r>
    </w:p>
    <w:p w14:paraId="155077C6" w14:textId="77777777" w:rsidR="00040C95" w:rsidRPr="00C33834" w:rsidRDefault="00040C9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Полагаю, что на оба вопроса нужно дать положительный ответ, и прошу на это Ваше согласие.</w:t>
      </w:r>
    </w:p>
    <w:p w14:paraId="4B0FABA3" w14:textId="77777777" w:rsidR="00040C95" w:rsidRPr="00C33834" w:rsidRDefault="00040C9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 тов. приветом,</w:t>
      </w:r>
    </w:p>
    <w:p w14:paraId="33387BB6" w14:textId="77777777" w:rsidR="00040C95" w:rsidRPr="00C33834" w:rsidRDefault="00040C9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КРЕСТИНСКИЙ</w:t>
      </w:r>
    </w:p>
    <w:p w14:paraId="18EEB363" w14:textId="77777777" w:rsidR="00040C95" w:rsidRPr="00C33834" w:rsidRDefault="00040C95" w:rsidP="00C33834">
      <w:pPr>
        <w:spacing w:after="0" w:line="240" w:lineRule="auto"/>
        <w:jc w:val="both"/>
        <w:rPr>
          <w:rFonts w:ascii="Times New Roman" w:hAnsi="Times New Roman"/>
          <w:color w:val="0070C0"/>
          <w:sz w:val="16"/>
          <w:szCs w:val="16"/>
          <w:lang w:val="en-US"/>
        </w:rPr>
      </w:pPr>
      <w:r w:rsidRPr="00C33834">
        <w:rPr>
          <w:rFonts w:ascii="Times New Roman" w:hAnsi="Times New Roman"/>
          <w:color w:val="0070C0"/>
          <w:sz w:val="16"/>
          <w:szCs w:val="16"/>
        </w:rPr>
        <w:t xml:space="preserve">АВП РФ. Ф. 027а. </w:t>
      </w:r>
      <w:r w:rsidRPr="00C33834">
        <w:rPr>
          <w:rFonts w:ascii="Times New Roman" w:hAnsi="Times New Roman"/>
          <w:color w:val="0070C0"/>
          <w:sz w:val="16"/>
          <w:szCs w:val="16"/>
          <w:lang w:val="en-US"/>
        </w:rPr>
        <w:t xml:space="preserve">On. 8. </w:t>
      </w:r>
      <w:r w:rsidRPr="00C33834">
        <w:rPr>
          <w:rFonts w:ascii="Times New Roman" w:hAnsi="Times New Roman"/>
          <w:color w:val="0070C0"/>
          <w:sz w:val="16"/>
          <w:szCs w:val="16"/>
        </w:rPr>
        <w:t>П</w:t>
      </w:r>
      <w:r w:rsidRPr="00C33834">
        <w:rPr>
          <w:rFonts w:ascii="Times New Roman" w:hAnsi="Times New Roman"/>
          <w:color w:val="0070C0"/>
          <w:sz w:val="16"/>
          <w:szCs w:val="16"/>
          <w:lang w:val="en-US"/>
        </w:rPr>
        <w:t xml:space="preserve">. 32. </w:t>
      </w:r>
      <w:r w:rsidRPr="00C33834">
        <w:rPr>
          <w:rFonts w:ascii="Times New Roman" w:hAnsi="Times New Roman"/>
          <w:color w:val="0070C0"/>
          <w:sz w:val="16"/>
          <w:szCs w:val="16"/>
        </w:rPr>
        <w:t>Д</w:t>
      </w:r>
      <w:r w:rsidRPr="00C33834">
        <w:rPr>
          <w:rFonts w:ascii="Times New Roman" w:hAnsi="Times New Roman"/>
          <w:color w:val="0070C0"/>
          <w:sz w:val="16"/>
          <w:szCs w:val="16"/>
          <w:lang w:val="en-US"/>
        </w:rPr>
        <w:t xml:space="preserve">. 83. </w:t>
      </w:r>
      <w:r w:rsidRPr="00C33834">
        <w:rPr>
          <w:rFonts w:ascii="Times New Roman" w:hAnsi="Times New Roman"/>
          <w:color w:val="0070C0"/>
          <w:sz w:val="16"/>
          <w:szCs w:val="16"/>
        </w:rPr>
        <w:t>Л</w:t>
      </w:r>
      <w:r w:rsidRPr="00C33834">
        <w:rPr>
          <w:rFonts w:ascii="Times New Roman" w:hAnsi="Times New Roman"/>
          <w:color w:val="0070C0"/>
          <w:sz w:val="16"/>
          <w:szCs w:val="16"/>
          <w:lang w:val="en-US"/>
        </w:rPr>
        <w:t xml:space="preserve">. 8. </w:t>
      </w:r>
      <w:r w:rsidRPr="00C33834">
        <w:rPr>
          <w:rFonts w:ascii="Times New Roman" w:hAnsi="Times New Roman"/>
          <w:color w:val="0070C0"/>
          <w:sz w:val="16"/>
          <w:szCs w:val="16"/>
        </w:rPr>
        <w:t>Копия</w:t>
      </w:r>
      <w:r w:rsidRPr="00C33834">
        <w:rPr>
          <w:rFonts w:ascii="Times New Roman" w:hAnsi="Times New Roman"/>
          <w:color w:val="0070C0"/>
          <w:sz w:val="16"/>
          <w:szCs w:val="16"/>
          <w:lang w:val="en-US"/>
        </w:rPr>
        <w:t>.</w:t>
      </w:r>
    </w:p>
    <w:p w14:paraId="18648E45" w14:textId="77777777" w:rsidR="00040C95" w:rsidRPr="00C33834" w:rsidRDefault="00040C9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Копии записки разосланы В.М. Молотову и Г.Г. Ягоде (20414).</w:t>
      </w:r>
    </w:p>
    <w:p w14:paraId="64B2B479" w14:textId="77777777" w:rsidR="00040C95" w:rsidRPr="00C33834" w:rsidRDefault="00040C95" w:rsidP="00C33834">
      <w:pPr>
        <w:spacing w:after="0" w:line="240" w:lineRule="auto"/>
        <w:jc w:val="both"/>
        <w:rPr>
          <w:rFonts w:ascii="Times New Roman" w:hAnsi="Times New Roman"/>
          <w:color w:val="0070C0"/>
          <w:sz w:val="16"/>
          <w:szCs w:val="16"/>
        </w:rPr>
      </w:pPr>
    </w:p>
    <w:p w14:paraId="3D1F7E3D" w14:textId="77777777" w:rsidR="004622D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C3AD049" w14:textId="77777777" w:rsidR="004622D9" w:rsidRPr="00C33834" w:rsidRDefault="004622D9" w:rsidP="00C33834">
      <w:pPr>
        <w:spacing w:after="0" w:line="240" w:lineRule="auto"/>
        <w:jc w:val="both"/>
        <w:rPr>
          <w:rFonts w:ascii="Times New Roman" w:hAnsi="Times New Roman"/>
          <w:iCs/>
          <w:color w:val="000000" w:themeColor="text1"/>
          <w:sz w:val="16"/>
          <w:szCs w:val="16"/>
        </w:rPr>
      </w:pPr>
    </w:p>
    <w:p w14:paraId="77557076"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июля 1933 г. Из доклада наркома по военным и морским делам СССР и председателя Реввоенсовета СССР К. Е. Ворошилова председателю Комиссии обороны СССР В. М. Молотову «О системе танкового вооружения на вторую пятилетку»</w:t>
      </w:r>
    </w:p>
    <w:p w14:paraId="23C84718"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Совершенно секретно.</w:t>
      </w:r>
    </w:p>
    <w:p w14:paraId="555C30AB"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Итоги первой пятилетки</w:t>
      </w:r>
    </w:p>
    <w:p w14:paraId="4CC3FEDD"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Количественные и качественные показатели</w:t>
      </w:r>
    </w:p>
    <w:p w14:paraId="16154FF6"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Система автобронетанкового вооружения, с которой мы вступили в первую пятилетку, в основном была построена на принципе внедрения танков в общевойсковые соединения, как средства их усиления при действиях в тактической зоне. Однако на основе лучших заграничных типов и ряда собственных совершенных конструкций в течение первой пятилетки удалось поставить на массовое производство образцы наиболее современного танкового вооружения, и эти технические достижения создали прочные предпосылки к коренному изменению оперативно-тактических взглядов на применение танков и потребовали решительных организационных изменений мотомеханизированных войск в сторону: 1) создания самостоятельных мехсоединений; 2) создания мощного танкового резерва Главного командования; 3) органического оснащения мехчастями кавалерийских дивизий и бригад; 4) органического оснащения танковыми частями стрелковых дивизий.</w:t>
      </w:r>
    </w:p>
    <w:p w14:paraId="4AA94484"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Успехи социалистического строительства обеспечили создание своей собственной авиационной, автотракторной и танковой базы, и первая пятилетка превратила РККА из армии в отношении механизации отсталой — в армию передовую и, во всяком случае, по числу и качеству боевых машин не уступающую самой сильной капиталистической армии.</w:t>
      </w:r>
    </w:p>
    <w:p w14:paraId="5AB665FA"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Танки в 1933 г. В сумме наши достижения по механизации РККА к 1 мая 1933 г. выражаются следующей таблицей:</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13"/>
        <w:gridCol w:w="1399"/>
      </w:tblGrid>
      <w:tr w:rsidR="00F26F01" w:rsidRPr="00C33834" w14:paraId="313320A5" w14:textId="77777777" w:rsidTr="004622D9">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273027C"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Количество танков в РККА на 1 мая 1933 г.</w:t>
            </w:r>
          </w:p>
        </w:tc>
      </w:tr>
      <w:tr w:rsidR="00F26F01" w:rsidRPr="00C33834" w14:paraId="306CE9BB" w14:textId="77777777" w:rsidTr="004622D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782C5E"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w:t>
            </w:r>
            <w:r w:rsidRPr="00C33834">
              <w:rPr>
                <w:rFonts w:ascii="Times New Roman" w:hAnsi="Times New Roman"/>
                <w:color w:val="000000" w:themeColor="text1"/>
                <w:sz w:val="16"/>
                <w:szCs w:val="16"/>
              </w:rPr>
              <w:noBreakHyphen/>
              <w:t>27 — 2430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ABE22"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БТ — 710</w:t>
            </w:r>
          </w:p>
        </w:tc>
      </w:tr>
      <w:tr w:rsidR="00F26F01" w:rsidRPr="00C33834" w14:paraId="4A0EE56C" w14:textId="77777777" w:rsidTr="004622D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4F7A6E"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w:t>
            </w:r>
            <w:r w:rsidRPr="00C33834">
              <w:rPr>
                <w:rFonts w:ascii="Times New Roman" w:hAnsi="Times New Roman"/>
                <w:color w:val="000000" w:themeColor="text1"/>
                <w:sz w:val="16"/>
                <w:szCs w:val="16"/>
              </w:rPr>
              <w:noBreakHyphen/>
              <w:t>37 — 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8C373"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w:t>
            </w:r>
            <w:r w:rsidRPr="00C33834">
              <w:rPr>
                <w:rFonts w:ascii="Times New Roman" w:hAnsi="Times New Roman"/>
                <w:color w:val="000000" w:themeColor="text1"/>
                <w:sz w:val="16"/>
                <w:szCs w:val="16"/>
              </w:rPr>
              <w:noBreakHyphen/>
              <w:t>24 — 25</w:t>
            </w:r>
          </w:p>
        </w:tc>
      </w:tr>
      <w:tr w:rsidR="00F26F01" w:rsidRPr="00C33834" w14:paraId="22EF3739" w14:textId="77777777" w:rsidTr="004622D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84477D"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w:t>
            </w:r>
            <w:r w:rsidRPr="00C33834">
              <w:rPr>
                <w:rFonts w:ascii="Times New Roman" w:hAnsi="Times New Roman"/>
                <w:color w:val="000000" w:themeColor="text1"/>
                <w:sz w:val="16"/>
                <w:szCs w:val="16"/>
              </w:rPr>
              <w:noBreakHyphen/>
              <w:t>18 — 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7456D"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 </w:t>
            </w:r>
            <w:r w:rsidRPr="00C33834">
              <w:rPr>
                <w:rFonts w:ascii="Times New Roman" w:hAnsi="Times New Roman"/>
                <w:color w:val="000000" w:themeColor="text1"/>
                <w:sz w:val="16"/>
                <w:szCs w:val="16"/>
              </w:rPr>
              <w:noBreakHyphen/>
              <w:t>28 — 12</w:t>
            </w:r>
          </w:p>
        </w:tc>
      </w:tr>
      <w:tr w:rsidR="00F26F01" w:rsidRPr="00C33834" w14:paraId="35D674D9" w14:textId="77777777" w:rsidTr="004622D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264A44"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w:t>
            </w:r>
            <w:r w:rsidRPr="00C33834">
              <w:rPr>
                <w:rFonts w:ascii="Times New Roman" w:hAnsi="Times New Roman"/>
                <w:color w:val="000000" w:themeColor="text1"/>
                <w:sz w:val="16"/>
                <w:szCs w:val="16"/>
              </w:rPr>
              <w:noBreakHyphen/>
              <w:t>26 — 1550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BF443"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w:t>
            </w:r>
            <w:r w:rsidRPr="00C33834">
              <w:rPr>
                <w:rFonts w:ascii="Times New Roman" w:hAnsi="Times New Roman"/>
                <w:color w:val="000000" w:themeColor="text1"/>
                <w:sz w:val="16"/>
                <w:szCs w:val="16"/>
              </w:rPr>
              <w:noBreakHyphen/>
              <w:t>35 — 2</w:t>
            </w:r>
          </w:p>
        </w:tc>
      </w:tr>
      <w:tr w:rsidR="00F26F01" w:rsidRPr="00C33834" w14:paraId="5B2AB733" w14:textId="77777777" w:rsidTr="004622D9">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4D7FBF"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5729</w:t>
            </w:r>
          </w:p>
        </w:tc>
      </w:tr>
    </w:tbl>
    <w:p w14:paraId="10C30043"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Оценка. Это свидетельствует об исключительном успехе нашей советской техники и производства, т. к. на 1 января 1929 г. РККА имела всего 90 танков устарелых заграничных систем и несколько десятков танков Т</w:t>
      </w:r>
      <w:r w:rsidRPr="00C33834">
        <w:rPr>
          <w:rFonts w:ascii="Times New Roman" w:hAnsi="Times New Roman"/>
          <w:color w:val="000000" w:themeColor="text1"/>
          <w:sz w:val="16"/>
          <w:szCs w:val="16"/>
        </w:rPr>
        <w:noBreakHyphen/>
        <w:t>18.</w:t>
      </w:r>
    </w:p>
    <w:p w14:paraId="23EDD0ED"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Организационная структура мехвойск</w:t>
      </w:r>
    </w:p>
    <w:p w14:paraId="7574CB9E"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Положение в 1929 г. В начале первой пятилетки организационная структура танковых частей предусматривалась в виде отдельных танковых батальонов или танковых полков, лишь на время боя придаваемых общевойсковым соединениям; в части создания самостоятельных механизированных соединений ставились лишь опытные задачи.</w:t>
      </w:r>
    </w:p>
    <w:p w14:paraId="1CB45D18"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Положение в 1933 г. Приведенные выше технические и количественные достижения обусловили коренную переоценку оперативно-тактических взглядов на применение танков и потребовали решительных организационных изменений. Дальнейшее организационное развитие пошло по линиям: а) создания самостоятельных мехсоединений, способных решать задачи на всей глубине современной операции; б) создания мощного танкового резерва Главного командования (ТРГК), как средства усиления и прорыва; в) широкого органического внедрения танков в общевойсковые соединения.</w:t>
      </w:r>
    </w:p>
    <w:p w14:paraId="4E641C63"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мая 1933 г. РККА имеет:</w:t>
      </w:r>
    </w:p>
    <w:p w14:paraId="71A1E46B"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Мехсоединения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35"/>
        <w:gridCol w:w="2410"/>
        <w:gridCol w:w="2504"/>
        <w:gridCol w:w="4049"/>
        <w:gridCol w:w="1124"/>
      </w:tblGrid>
      <w:tr w:rsidR="00F26F01" w:rsidRPr="00C33834" w14:paraId="08200ED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C4D0A2"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4C91F"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мехкорпуса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45DE3"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отд[ельных]</w:t>
            </w:r>
          </w:p>
          <w:p w14:paraId="1E32AD13"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мехбригад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6830D"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мехполков и 7  мех-</w:t>
            </w:r>
          </w:p>
          <w:p w14:paraId="757E58B2"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дивизионов конницы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D8FBD"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r>
      <w:tr w:rsidR="00F26F01" w:rsidRPr="00C33834" w14:paraId="320F7975"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E71FE2"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w:t>
            </w:r>
            <w:r w:rsidRPr="00C33834">
              <w:rPr>
                <w:rFonts w:ascii="Times New Roman" w:hAnsi="Times New Roman"/>
                <w:color w:val="000000" w:themeColor="text1"/>
                <w:sz w:val="16"/>
                <w:szCs w:val="16"/>
              </w:rPr>
              <w:noBreakHyphen/>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EF4A5"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C4C16"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FC248"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D1947"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tc>
      </w:tr>
      <w:tr w:rsidR="00F26F01" w:rsidRPr="00C33834" w14:paraId="7169C62A"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B34DFB"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w:t>
            </w:r>
            <w:r w:rsidRPr="00C33834">
              <w:rPr>
                <w:rFonts w:ascii="Times New Roman" w:hAnsi="Times New Roman"/>
                <w:color w:val="000000" w:themeColor="text1"/>
                <w:sz w:val="16"/>
                <w:szCs w:val="16"/>
              </w:rPr>
              <w:noBreakHyphen/>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34CCE"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664A3"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F86F9"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9DC6A"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w:t>
            </w:r>
          </w:p>
        </w:tc>
      </w:tr>
      <w:tr w:rsidR="00F26F01" w:rsidRPr="00C33834" w14:paraId="61E49D1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E43C9C"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w:t>
            </w:r>
            <w:r w:rsidRPr="00C33834">
              <w:rPr>
                <w:rFonts w:ascii="Times New Roman" w:hAnsi="Times New Roman"/>
                <w:color w:val="000000" w:themeColor="text1"/>
                <w:sz w:val="16"/>
                <w:szCs w:val="16"/>
              </w:rPr>
              <w:noBreakHyphen/>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5F02F"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C07CE"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943451"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7D009"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920</w:t>
            </w:r>
          </w:p>
        </w:tc>
      </w:tr>
      <w:tr w:rsidR="00F26F01" w:rsidRPr="00C33834" w14:paraId="052447AD"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6C7C6A"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DB34B"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41459"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D547B"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EA45C"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542</w:t>
            </w:r>
          </w:p>
        </w:tc>
      </w:tr>
      <w:tr w:rsidR="00F26F01" w:rsidRPr="00C33834" w14:paraId="6C18A98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DE5AB0"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9FD88"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04451"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99F48"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06E6A"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1897</w:t>
            </w:r>
          </w:p>
        </w:tc>
      </w:tr>
    </w:tbl>
    <w:p w14:paraId="092BA145"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Танковый резерв Главного командования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61"/>
        <w:gridCol w:w="3405"/>
        <w:gridCol w:w="4435"/>
        <w:gridCol w:w="1221"/>
      </w:tblGrid>
      <w:tr w:rsidR="00F26F01" w:rsidRPr="00C33834" w14:paraId="2B4690C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D67AA7"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C4769"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танковых полка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C72D2"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танковых батальонов</w:t>
            </w:r>
          </w:p>
          <w:p w14:paraId="058D9671"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4 танковых роты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130B7"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r>
      <w:tr w:rsidR="00F26F01" w:rsidRPr="00C33834" w14:paraId="695206CA"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2D1A41"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w:t>
            </w:r>
            <w:r w:rsidRPr="00C33834">
              <w:rPr>
                <w:rFonts w:ascii="Times New Roman" w:hAnsi="Times New Roman"/>
                <w:color w:val="000000" w:themeColor="text1"/>
                <w:sz w:val="16"/>
                <w:szCs w:val="16"/>
              </w:rPr>
              <w:noBreakHyphen/>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50209"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BE59E"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4A9C8"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w:t>
            </w:r>
          </w:p>
        </w:tc>
      </w:tr>
      <w:tr w:rsidR="00F26F01" w:rsidRPr="00C33834" w14:paraId="62E6B877"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DB68E0"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w:t>
            </w:r>
            <w:r w:rsidRPr="00C33834">
              <w:rPr>
                <w:rFonts w:ascii="Times New Roman" w:hAnsi="Times New Roman"/>
                <w:color w:val="000000" w:themeColor="text1"/>
                <w:sz w:val="16"/>
                <w:szCs w:val="16"/>
              </w:rPr>
              <w:noBreakHyphen/>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305A9"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CE548"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4E088"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r>
      <w:tr w:rsidR="00F26F01" w:rsidRPr="00C33834" w14:paraId="1D18B736"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3F9F32"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w:t>
            </w:r>
            <w:r w:rsidRPr="00C33834">
              <w:rPr>
                <w:rFonts w:ascii="Times New Roman" w:hAnsi="Times New Roman"/>
                <w:color w:val="000000" w:themeColor="text1"/>
                <w:sz w:val="16"/>
                <w:szCs w:val="16"/>
              </w:rPr>
              <w:noBreakHyphen/>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B2591"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D14CD"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3D03E"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r>
      <w:tr w:rsidR="00F26F01" w:rsidRPr="00C33834" w14:paraId="6513298C"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39608B"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w:t>
            </w:r>
            <w:r w:rsidRPr="00C33834">
              <w:rPr>
                <w:rFonts w:ascii="Times New Roman" w:hAnsi="Times New Roman"/>
                <w:color w:val="000000" w:themeColor="text1"/>
                <w:sz w:val="16"/>
                <w:szCs w:val="16"/>
              </w:rPr>
              <w:noBreakHyphen/>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98ABD"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C511F"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0F1A5"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tc>
      </w:tr>
      <w:tr w:rsidR="00F26F01" w:rsidRPr="00C33834" w14:paraId="22D0C237"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2DBB33"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3571E"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1C73B"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A4F827"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r>
      <w:tr w:rsidR="00F26F01" w:rsidRPr="00C33834" w14:paraId="52D14296"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B78DD9"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w:t>
            </w:r>
            <w:r w:rsidRPr="00C33834">
              <w:rPr>
                <w:rFonts w:ascii="Times New Roman" w:hAnsi="Times New Roman"/>
                <w:color w:val="000000" w:themeColor="text1"/>
                <w:sz w:val="16"/>
                <w:szCs w:val="16"/>
              </w:rPr>
              <w:noBreakHyphen/>
              <w:t>28 и Т</w:t>
            </w:r>
            <w:r w:rsidRPr="00C33834">
              <w:rPr>
                <w:rFonts w:ascii="Times New Roman" w:hAnsi="Times New Roman"/>
                <w:color w:val="000000" w:themeColor="text1"/>
                <w:sz w:val="16"/>
                <w:szCs w:val="16"/>
              </w:rPr>
              <w:noBreakHyphen/>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99DD1"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8288D"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889F4"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w:t>
            </w:r>
          </w:p>
        </w:tc>
      </w:tr>
      <w:tr w:rsidR="00F26F01" w:rsidRPr="00C33834" w14:paraId="465CC2E4"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F45261"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91D90"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024B6"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D1649"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849</w:t>
            </w:r>
          </w:p>
        </w:tc>
      </w:tr>
    </w:tbl>
    <w:p w14:paraId="6FAD6C88"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Органически внедренные в общевойсковые соединения</w:t>
      </w:r>
    </w:p>
    <w:p w14:paraId="6B299716"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отдельных танковых батальонов с. д.; 23 отдельных танкетных батальонов с. д.; 37 танкетных рот; 6 автобронерот и 1 мото-мехбатальон с общим наличием: танкеток Т</w:t>
      </w:r>
      <w:r w:rsidRPr="00C33834">
        <w:rPr>
          <w:rFonts w:ascii="Times New Roman" w:hAnsi="Times New Roman"/>
          <w:color w:val="000000" w:themeColor="text1"/>
          <w:sz w:val="16"/>
          <w:szCs w:val="16"/>
        </w:rPr>
        <w:noBreakHyphen/>
        <w:t>27 — 1950; танков Т</w:t>
      </w:r>
      <w:r w:rsidRPr="00C33834">
        <w:rPr>
          <w:rFonts w:ascii="Times New Roman" w:hAnsi="Times New Roman"/>
          <w:color w:val="000000" w:themeColor="text1"/>
          <w:sz w:val="16"/>
          <w:szCs w:val="16"/>
        </w:rPr>
        <w:noBreakHyphen/>
        <w:t>18 — 380; танков Т</w:t>
      </w:r>
      <w:r w:rsidRPr="00C33834">
        <w:rPr>
          <w:rFonts w:ascii="Times New Roman" w:hAnsi="Times New Roman"/>
          <w:color w:val="000000" w:themeColor="text1"/>
          <w:sz w:val="16"/>
          <w:szCs w:val="16"/>
        </w:rPr>
        <w:noBreakHyphen/>
        <w:t>26 — 430; танков БТ — 138; итого — 2898¹*.</w:t>
      </w:r>
    </w:p>
    <w:p w14:paraId="35962699"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Выводы</w:t>
      </w:r>
    </w:p>
    <w:p w14:paraId="5C537BF2"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1) Достижения РККА за первую пятилетку в сравнении с заграницей</w:t>
      </w:r>
    </w:p>
    <w:p w14:paraId="09C6CDE1"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Первая пятилетка превратила РККА из армии в отношении механизации отсталой в армию передовую, и, во всяком случае, по числу и качеству боевых машин, не уступающую любой, самой сильной капиталистической армии.</w:t>
      </w:r>
    </w:p>
    <w:p w14:paraId="2AD4F7D9"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Конструкции танков, состоящих в данный момент на вооружении РККА, могут быть сравниваемы в отношении их боевых качеств только с самыми лучшими аналогичными образцами заграничной техники, т. к. они не только не уступают им по отдельным своим элементам, но даже по некоторым категориям машин превосходят лучшие заграничные образцы: а) разведывательный танк Т</w:t>
      </w:r>
      <w:r w:rsidRPr="00C33834">
        <w:rPr>
          <w:color w:val="000000" w:themeColor="text1"/>
          <w:sz w:val="16"/>
          <w:szCs w:val="16"/>
        </w:rPr>
        <w:noBreakHyphen/>
        <w:t>37 плавающего типа, уступая английскому танку амфибия «Карден-Ллойд» в скорости хода, превосходит последний по мягкости подвески и по толщине брони; б) общевойсковой танк Т</w:t>
      </w:r>
      <w:r w:rsidRPr="00C33834">
        <w:rPr>
          <w:color w:val="000000" w:themeColor="text1"/>
          <w:sz w:val="16"/>
          <w:szCs w:val="16"/>
        </w:rPr>
        <w:noBreakHyphen/>
        <w:t>26 ничем не уступает английскому легкому танку «Виккерс», а по мощности вооружения превосходит его; в) оперативный танк БТ ничем не уступает американскому быстроходному танку «Кристи», а по мощности вооружения превосходит его; г) танк качеств[енного] усиления Т</w:t>
      </w:r>
      <w:r w:rsidRPr="00C33834">
        <w:rPr>
          <w:color w:val="000000" w:themeColor="text1"/>
          <w:sz w:val="16"/>
          <w:szCs w:val="16"/>
        </w:rPr>
        <w:noBreakHyphen/>
        <w:t>28 значительно превосходит средний танк Виккерса по мощности мотора, скорости, вооружению и лучшим качеством ходовых частей; д) мощный танк особого назначения Т</w:t>
      </w:r>
      <w:r w:rsidRPr="00C33834">
        <w:rPr>
          <w:color w:val="000000" w:themeColor="text1"/>
          <w:sz w:val="16"/>
          <w:szCs w:val="16"/>
        </w:rPr>
        <w:noBreakHyphen/>
        <w:t xml:space="preserve">35, не имеющий себе равного за границей, значительно превосходит французский танк ЗС по </w:t>
      </w:r>
      <w:r w:rsidRPr="00C33834">
        <w:rPr>
          <w:color w:val="000000" w:themeColor="text1"/>
          <w:sz w:val="16"/>
          <w:szCs w:val="16"/>
        </w:rPr>
        <w:lastRenderedPageBreak/>
        <w:t>скорости хода и качествам ходовых частей; е) опытный образец оперативного плавающего танка ПТ</w:t>
      </w:r>
      <w:r w:rsidRPr="00C33834">
        <w:rPr>
          <w:color w:val="000000" w:themeColor="text1"/>
          <w:sz w:val="16"/>
          <w:szCs w:val="16"/>
        </w:rPr>
        <w:noBreakHyphen/>
        <w:t>1 по новизне и совершенству конструкции не имеет себе равного за границей. (Таблицу сравнительных характеристик танков см. на следующей странице)²*.</w:t>
      </w:r>
    </w:p>
    <w:p w14:paraId="473501C5"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По количеству боевых машин, фактически состоящих на вооружении, Красная армия стоит на первом месте: РККА к 1 мая имеет 5600 танков, из них вполне современных около 4800 танков, тогда как 6 главнейших капиталистических государств, вместе взятых, имеют не более 3</w:t>
      </w:r>
      <w:r w:rsidRPr="00C33834">
        <w:rPr>
          <w:color w:val="000000" w:themeColor="text1"/>
          <w:sz w:val="16"/>
          <w:szCs w:val="16"/>
        </w:rPr>
        <w:noBreakHyphen/>
        <w:t>4 тыс. современных танков. Однако мобилизационные возможности Англии, Франции и Америки каждой в отдельности пока что выше наших. Это ставит перед нами важнейшую задачу обеспечения такой мобилизационно-производственной базы, которая в случае надобности могла бы немедленно дать армии необходимую массу танков. Создание такой прочной мобилизационно-производственной базы позволит нам в ближайшие годы перенести центр тяжести с огромных заказов мирного времени на подготовку производства к выпуску в военное время массового количества вполне современных боевых машин.</w:t>
      </w:r>
    </w:p>
    <w:p w14:paraId="5791B669" w14:textId="77777777" w:rsidR="004622D9" w:rsidRPr="00C33834" w:rsidRDefault="004622D9" w:rsidP="00C33834">
      <w:pPr>
        <w:pStyle w:val="rtejustify"/>
        <w:spacing w:before="0" w:after="0"/>
        <w:rPr>
          <w:color w:val="000000" w:themeColor="text1"/>
          <w:sz w:val="16"/>
          <w:szCs w:val="16"/>
        </w:rPr>
      </w:pPr>
      <w:r w:rsidRPr="00C33834">
        <w:rPr>
          <w:rStyle w:val="af0"/>
          <w:bCs/>
          <w:i w:val="0"/>
          <w:color w:val="000000" w:themeColor="text1"/>
          <w:sz w:val="16"/>
          <w:szCs w:val="16"/>
        </w:rPr>
        <w:t>Наши слабые участки</w:t>
      </w:r>
      <w:r w:rsidRPr="00C33834">
        <w:rPr>
          <w:color w:val="000000" w:themeColor="text1"/>
          <w:sz w:val="16"/>
          <w:szCs w:val="16"/>
        </w:rPr>
        <w:t>. Однако наряду с количественными и качественными достижениями имеются серьезные отставания:</w:t>
      </w:r>
    </w:p>
    <w:p w14:paraId="0C0FBDCD"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1. </w:t>
      </w:r>
      <w:r w:rsidRPr="00C33834">
        <w:rPr>
          <w:rStyle w:val="af0"/>
          <w:bCs/>
          <w:i w:val="0"/>
          <w:color w:val="000000" w:themeColor="text1"/>
          <w:sz w:val="16"/>
          <w:szCs w:val="16"/>
        </w:rPr>
        <w:t>Неполная комплектность наших боевых машин</w:t>
      </w:r>
      <w:r w:rsidRPr="00C33834">
        <w:rPr>
          <w:color w:val="000000" w:themeColor="text1"/>
          <w:sz w:val="16"/>
          <w:szCs w:val="16"/>
        </w:rPr>
        <w:t>, а) Запаздывание с поступлением вооружения и особенно огнеприпасов для готовых боевых машин (например, 620 танков БТ не имеют положенных пушек и имеют только пулеметное вооружение); б) отсутствие налаженного массового производства приборов управления огнем из танков (например, перископический прицел имеется только в образцах; телескопических прицелов на сегодняшний день имеется только 175 шт.); в) огнеприпасы для танковых пушек имеются в производстве в незначительном количестве, не обеспечивающем даже текущую боевую подготовку войск; г) радиоустановки имеются только в опытных образцах, т. к. не обеспечена комплектность монтажа, антенного устройства и экранировки.</w:t>
      </w:r>
    </w:p>
    <w:p w14:paraId="52F12B47"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2. </w:t>
      </w:r>
      <w:r w:rsidRPr="00C33834">
        <w:rPr>
          <w:rStyle w:val="af0"/>
          <w:bCs/>
          <w:i w:val="0"/>
          <w:color w:val="000000" w:themeColor="text1"/>
          <w:sz w:val="16"/>
          <w:szCs w:val="16"/>
        </w:rPr>
        <w:t>Мотор</w:t>
      </w:r>
      <w:r w:rsidRPr="00C33834">
        <w:rPr>
          <w:color w:val="000000" w:themeColor="text1"/>
          <w:sz w:val="16"/>
          <w:szCs w:val="16"/>
        </w:rPr>
        <w:t>. Танк БТ не обеспечен мотором своего производства (пока что ставится мотор «Либерти» и только разрабатываются опытные образцы дизель-мотора).</w:t>
      </w:r>
    </w:p>
    <w:p w14:paraId="0916196A"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3. </w:t>
      </w:r>
      <w:r w:rsidRPr="00C33834">
        <w:rPr>
          <w:rStyle w:val="af0"/>
          <w:bCs/>
          <w:i w:val="0"/>
          <w:color w:val="000000" w:themeColor="text1"/>
          <w:sz w:val="16"/>
          <w:szCs w:val="16"/>
        </w:rPr>
        <w:t>Запасные части</w:t>
      </w:r>
      <w:r w:rsidRPr="00C33834">
        <w:rPr>
          <w:color w:val="000000" w:themeColor="text1"/>
          <w:sz w:val="16"/>
          <w:szCs w:val="16"/>
        </w:rPr>
        <w:t>. Запасные части продолжают оставаться очень слабым местом. В настоящее время обеспеченность запчастями составляет 25</w:t>
      </w:r>
      <w:r w:rsidRPr="00C33834">
        <w:rPr>
          <w:color w:val="000000" w:themeColor="text1"/>
          <w:sz w:val="16"/>
          <w:szCs w:val="16"/>
        </w:rPr>
        <w:noBreakHyphen/>
        <w:t>30% от плана.</w:t>
      </w:r>
    </w:p>
    <w:p w14:paraId="2FD9AA16"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4. </w:t>
      </w:r>
      <w:r w:rsidRPr="00C33834">
        <w:rPr>
          <w:rStyle w:val="af0"/>
          <w:bCs/>
          <w:i w:val="0"/>
          <w:color w:val="000000" w:themeColor="text1"/>
          <w:sz w:val="16"/>
          <w:szCs w:val="16"/>
        </w:rPr>
        <w:t>Ремонтная база</w:t>
      </w:r>
      <w:r w:rsidRPr="00C33834">
        <w:rPr>
          <w:color w:val="000000" w:themeColor="text1"/>
          <w:sz w:val="16"/>
          <w:szCs w:val="16"/>
        </w:rPr>
        <w:t>. Приспособленных заводов для ремонта танков не только в военное время, но и в мирное время в стране не имеется (разработанные мобилизационные планы по ремонтным базам на мирное и военное время не обеспечены реальными производственными возможностями).</w:t>
      </w:r>
    </w:p>
    <w:p w14:paraId="4C5ED8C5"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5. </w:t>
      </w:r>
      <w:r w:rsidRPr="00C33834">
        <w:rPr>
          <w:rStyle w:val="af0"/>
          <w:bCs/>
          <w:i w:val="0"/>
          <w:color w:val="000000" w:themeColor="text1"/>
          <w:sz w:val="16"/>
          <w:szCs w:val="16"/>
        </w:rPr>
        <w:t>Механизация и моторизация тыла</w:t>
      </w:r>
      <w:r w:rsidRPr="00C33834">
        <w:rPr>
          <w:color w:val="000000" w:themeColor="text1"/>
          <w:sz w:val="16"/>
          <w:szCs w:val="16"/>
        </w:rPr>
        <w:t>. Механизация и моторизация тыла отстают от реальных потребностей в то время, как механизированные части могут работать только со стопроцентно мотомеханизированным тылом. По цистернам обеспеченность 15%, водомаслозаправок совсем нет, и прочие вспомогательные машины имеются только в опытных образцах. В подвижных походных мастерских обеспеченность составляет 16%, железнодорожных мастерских — 16%.</w:t>
      </w:r>
    </w:p>
    <w:p w14:paraId="6DAEE20B"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6. </w:t>
      </w:r>
      <w:r w:rsidRPr="00C33834">
        <w:rPr>
          <w:rStyle w:val="af0"/>
          <w:bCs/>
          <w:i w:val="0"/>
          <w:color w:val="000000" w:themeColor="text1"/>
          <w:sz w:val="16"/>
          <w:szCs w:val="16"/>
        </w:rPr>
        <w:t>Гаражи и гаражное строительство</w:t>
      </w:r>
      <w:r w:rsidRPr="00C33834">
        <w:rPr>
          <w:color w:val="000000" w:themeColor="text1"/>
          <w:sz w:val="16"/>
          <w:szCs w:val="16"/>
        </w:rPr>
        <w:t>. Готовыми гаражами и гаражным строительством обеспеченность составляет 50% от наличия машин.</w:t>
      </w:r>
    </w:p>
    <w:p w14:paraId="6922B016"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7. </w:t>
      </w:r>
      <w:r w:rsidRPr="00C33834">
        <w:rPr>
          <w:rStyle w:val="af0"/>
          <w:bCs/>
          <w:i w:val="0"/>
          <w:color w:val="000000" w:themeColor="text1"/>
          <w:sz w:val="16"/>
          <w:szCs w:val="16"/>
        </w:rPr>
        <w:t>Стационарные мастерские</w:t>
      </w:r>
      <w:r w:rsidRPr="00C33834">
        <w:rPr>
          <w:color w:val="000000" w:themeColor="text1"/>
          <w:sz w:val="16"/>
          <w:szCs w:val="16"/>
        </w:rPr>
        <w:t>. Стационарные мастерские — узкое место по текущему среднему ремонту. Строительство их в 1933 г. обеспечено на 65%; оборудованием они обеспечены только в размере 40%.</w:t>
      </w:r>
    </w:p>
    <w:p w14:paraId="72CA3200"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8. </w:t>
      </w:r>
      <w:r w:rsidRPr="00C33834">
        <w:rPr>
          <w:rStyle w:val="af0"/>
          <w:bCs/>
          <w:i w:val="0"/>
          <w:color w:val="000000" w:themeColor="text1"/>
          <w:sz w:val="16"/>
          <w:szCs w:val="16"/>
        </w:rPr>
        <w:t>Качество продукции</w:t>
      </w:r>
      <w:r w:rsidRPr="00C33834">
        <w:rPr>
          <w:color w:val="000000" w:themeColor="text1"/>
          <w:sz w:val="16"/>
          <w:szCs w:val="16"/>
        </w:rPr>
        <w:t>. Качество продукции еще также отстает от тактико-технических требований; а) броня имеет большой брак в производстве (45</w:t>
      </w:r>
      <w:r w:rsidRPr="00C33834">
        <w:rPr>
          <w:color w:val="000000" w:themeColor="text1"/>
          <w:sz w:val="16"/>
          <w:szCs w:val="16"/>
        </w:rPr>
        <w:noBreakHyphen/>
        <w:t>50%, а отсюда ее недостатки и низкое качество); б) некондиционность отдельных деталей и отдельных агрегатов механизма боевых машин по причинам плохого производственного выполнения. Небрежная сборка боевых машин, особенно по мотору и коробке скоростей; в) импортная зависимость по шарикоподшипникам и электрооборудованию.</w:t>
      </w:r>
    </w:p>
    <w:p w14:paraId="51ED2D6C"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9. </w:t>
      </w:r>
      <w:r w:rsidRPr="00C33834">
        <w:rPr>
          <w:rStyle w:val="af0"/>
          <w:bCs/>
          <w:i w:val="0"/>
          <w:color w:val="000000" w:themeColor="text1"/>
          <w:sz w:val="16"/>
          <w:szCs w:val="16"/>
        </w:rPr>
        <w:t>Горючее</w:t>
      </w:r>
      <w:r w:rsidRPr="00C33834">
        <w:rPr>
          <w:color w:val="000000" w:themeColor="text1"/>
          <w:sz w:val="16"/>
          <w:szCs w:val="16"/>
        </w:rPr>
        <w:t>. Необеспеченность оборудования хранилищами для мобзапасов и средствами подвоза к фронту.</w:t>
      </w:r>
    </w:p>
    <w:p w14:paraId="12F47928"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Важнейшей задачей второй пятилетки наряду с созданием мощной производственной базы и конструированием новых образцов является самая интенсивная работа по изжитию перечисленных узких мест и прежде всего борьба за полную комплектность боевых машин и мотомеханизированный тыл. Без этих условий мы не сумеем полностью использовать боевые возможности наших машин.</w:t>
      </w:r>
    </w:p>
    <w:p w14:paraId="47D89CBE"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Задачи на вторую пятилетку</w:t>
      </w:r>
    </w:p>
    <w:p w14:paraId="5C01FB1D"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1. Наши основные оперативные взгляды на развитие и применение мехвойск</w:t>
      </w:r>
    </w:p>
    <w:p w14:paraId="530B7C6C"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Бурный рост народного хозяйства СССР позволяет строить наши расчеты на самом широком внедрении механизации в РККА с одновременной ликвидацией всего недоделанного и недоработанного в первую пятилетку. Вторая пятилетка должна сделать механизацию одним из основных и решающих элементов будущих операций Красной армии.</w:t>
      </w:r>
    </w:p>
    <w:p w14:paraId="7AB122DB"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Вытекающие из этого требования: а) лучшие, наиболее мощные и быстроходные танки должны быть сгруппированы в сильные мехсоединения оперативного и стратегического значения (мехбригады и мехкорпуса); б) в распоряжении Главного командования должен быть сильный резерв танков (количественного и качественного значения), который бы обеспечивал создание абсолютного танкового превосходства над противником на ударных направлениях; в) стратегическая конница, сохраняющая и впредь свое значение, прочно оснащается мехсредствами и самоходной артиллерией; г) общевойсковые соединения (большинство дивизий, а в дальнейшем и полков) должны иметь свои органические мехчасти как для разведки, так и для боя.</w:t>
      </w:r>
    </w:p>
    <w:p w14:paraId="789333C6"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Исходя из этих требований, на ближайшие годы на массовом производстве должны находиться следующие основные типы боевых машин:</w:t>
      </w:r>
    </w:p>
    <w:p w14:paraId="42363BD3"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1) </w:t>
      </w:r>
      <w:r w:rsidRPr="00C33834">
        <w:rPr>
          <w:rStyle w:val="af0"/>
          <w:bCs/>
          <w:i w:val="0"/>
          <w:color w:val="000000" w:themeColor="text1"/>
          <w:sz w:val="16"/>
          <w:szCs w:val="16"/>
        </w:rPr>
        <w:t>Разведывательный танк</w:t>
      </w:r>
      <w:r w:rsidRPr="00C33834">
        <w:rPr>
          <w:color w:val="000000" w:themeColor="text1"/>
          <w:sz w:val="16"/>
          <w:szCs w:val="16"/>
        </w:rPr>
        <w:t xml:space="preserve"> (танк Т</w:t>
      </w:r>
      <w:r w:rsidRPr="00C33834">
        <w:rPr>
          <w:color w:val="000000" w:themeColor="text1"/>
          <w:sz w:val="16"/>
          <w:szCs w:val="16"/>
        </w:rPr>
        <w:noBreakHyphen/>
        <w:t>37). Основной танк службы боевого обеспечения всех мехсоединений и средство боевой разведки и боя пехоты. Основные требования: быстроходность, вездеходность (в том числе плавучесть), маневренность, низкий габарит, дешевизна и массовость производства.</w:t>
      </w:r>
    </w:p>
    <w:p w14:paraId="35A1E219"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2) </w:t>
      </w:r>
      <w:r w:rsidRPr="00C33834">
        <w:rPr>
          <w:rStyle w:val="af0"/>
          <w:bCs/>
          <w:i w:val="0"/>
          <w:color w:val="000000" w:themeColor="text1"/>
          <w:sz w:val="16"/>
          <w:szCs w:val="16"/>
        </w:rPr>
        <w:t>Общевойсковой танк</w:t>
      </w:r>
      <w:r w:rsidRPr="00C33834">
        <w:rPr>
          <w:color w:val="000000" w:themeColor="text1"/>
          <w:sz w:val="16"/>
          <w:szCs w:val="16"/>
        </w:rPr>
        <w:t xml:space="preserve"> (танк Т</w:t>
      </w:r>
      <w:r w:rsidRPr="00C33834">
        <w:rPr>
          <w:color w:val="000000" w:themeColor="text1"/>
          <w:sz w:val="16"/>
          <w:szCs w:val="16"/>
        </w:rPr>
        <w:noBreakHyphen/>
        <w:t>26). Основной, органический танк общевойсковых соединений; он же — танк количественного усиления ТРГК. Основные требования — маневренность на поле боя, броня, защищающая от бронебойных пуль, разнообразное вооружение (пушка, пулеметы, огнемет, химприборы), наконец, дешевизна и массовость производства.</w:t>
      </w:r>
    </w:p>
    <w:p w14:paraId="1E6BA7C2"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3) </w:t>
      </w:r>
      <w:r w:rsidRPr="00C33834">
        <w:rPr>
          <w:rStyle w:val="af0"/>
          <w:bCs/>
          <w:i w:val="0"/>
          <w:color w:val="000000" w:themeColor="text1"/>
          <w:sz w:val="16"/>
          <w:szCs w:val="16"/>
        </w:rPr>
        <w:t>Оперативный танк</w:t>
      </w:r>
      <w:r w:rsidRPr="00C33834">
        <w:rPr>
          <w:color w:val="000000" w:themeColor="text1"/>
          <w:sz w:val="16"/>
          <w:szCs w:val="16"/>
        </w:rPr>
        <w:t xml:space="preserve"> (танк БТ, в дальнейшем типа ПТ</w:t>
      </w:r>
      <w:r w:rsidRPr="00C33834">
        <w:rPr>
          <w:color w:val="000000" w:themeColor="text1"/>
          <w:sz w:val="16"/>
          <w:szCs w:val="16"/>
        </w:rPr>
        <w:noBreakHyphen/>
        <w:t>1). Танк самостоятельных мехсоединений. Все в этом танке подчиняется требованиям быстроходности, вездеходности (в том числе плавучести) и мощного вооружения.</w:t>
      </w:r>
    </w:p>
    <w:p w14:paraId="230F8CAE"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4) </w:t>
      </w:r>
      <w:r w:rsidRPr="00C33834">
        <w:rPr>
          <w:rStyle w:val="af0"/>
          <w:bCs/>
          <w:i w:val="0"/>
          <w:color w:val="000000" w:themeColor="text1"/>
          <w:sz w:val="16"/>
          <w:szCs w:val="16"/>
        </w:rPr>
        <w:t>Танк качественного усиления</w:t>
      </w:r>
      <w:r w:rsidRPr="00C33834">
        <w:rPr>
          <w:color w:val="000000" w:themeColor="text1"/>
          <w:sz w:val="16"/>
          <w:szCs w:val="16"/>
        </w:rPr>
        <w:t xml:space="preserve"> (ТРГК) (танк Т</w:t>
      </w:r>
      <w:r w:rsidRPr="00C33834">
        <w:rPr>
          <w:color w:val="000000" w:themeColor="text1"/>
          <w:sz w:val="16"/>
          <w:szCs w:val="16"/>
        </w:rPr>
        <w:noBreakHyphen/>
        <w:t>28). Основные требования: сильное вооружение и броня, быстроходность, позволяющая его применить в операции совместно с мехсоединениями.</w:t>
      </w:r>
    </w:p>
    <w:p w14:paraId="2694A277"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5) </w:t>
      </w:r>
      <w:r w:rsidRPr="00C33834">
        <w:rPr>
          <w:rStyle w:val="af0"/>
          <w:bCs/>
          <w:i w:val="0"/>
          <w:color w:val="000000" w:themeColor="text1"/>
          <w:sz w:val="16"/>
          <w:szCs w:val="16"/>
        </w:rPr>
        <w:t>Мощный танк особого назначения</w:t>
      </w:r>
      <w:r w:rsidRPr="00C33834">
        <w:rPr>
          <w:color w:val="000000" w:themeColor="text1"/>
          <w:sz w:val="16"/>
          <w:szCs w:val="16"/>
        </w:rPr>
        <w:t xml:space="preserve"> (подходящий на сегодня танк — Т</w:t>
      </w:r>
      <w:r w:rsidRPr="00C33834">
        <w:rPr>
          <w:color w:val="000000" w:themeColor="text1"/>
          <w:sz w:val="16"/>
          <w:szCs w:val="16"/>
        </w:rPr>
        <w:noBreakHyphen/>
        <w:t>35). Танк качественного, добавочного усиления при прорыве сильно и заблаговременно укрепленных полос. Основное требование — мощное вооружение и броня, защищающая от мелкокалиберных снарядов. Предусмотреть возможность использования и постановки на производство во время войны имеющегося опытного образца танка Т</w:t>
      </w:r>
      <w:r w:rsidRPr="00C33834">
        <w:rPr>
          <w:color w:val="000000" w:themeColor="text1"/>
          <w:sz w:val="16"/>
          <w:szCs w:val="16"/>
        </w:rPr>
        <w:noBreakHyphen/>
        <w:t>34 на базе автомобильной промышленности.</w:t>
      </w:r>
    </w:p>
    <w:p w14:paraId="2F296C00"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Исходя из вышеизложенного, РВС СССР утвердил следующую систему бронетанкового вооружения:</w:t>
      </w:r>
    </w:p>
    <w:p w14:paraId="6320FB63"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1. Основные танки — 5 типов: а) разведывательный типа Т</w:t>
      </w:r>
      <w:r w:rsidRPr="00C33834">
        <w:rPr>
          <w:color w:val="000000" w:themeColor="text1"/>
          <w:sz w:val="16"/>
          <w:szCs w:val="16"/>
        </w:rPr>
        <w:noBreakHyphen/>
        <w:t>37; б) общевойсковой типа Т</w:t>
      </w:r>
      <w:r w:rsidRPr="00C33834">
        <w:rPr>
          <w:color w:val="000000" w:themeColor="text1"/>
          <w:sz w:val="16"/>
          <w:szCs w:val="16"/>
        </w:rPr>
        <w:noBreakHyphen/>
        <w:t>26; в) оперативный типа БТ, в дальнейшем ПТ</w:t>
      </w:r>
      <w:r w:rsidRPr="00C33834">
        <w:rPr>
          <w:color w:val="000000" w:themeColor="text1"/>
          <w:sz w:val="16"/>
          <w:szCs w:val="16"/>
        </w:rPr>
        <w:noBreakHyphen/>
        <w:t>1; г) танк качественного усиления ТРГК Т</w:t>
      </w:r>
      <w:r w:rsidRPr="00C33834">
        <w:rPr>
          <w:color w:val="000000" w:themeColor="text1"/>
          <w:sz w:val="16"/>
          <w:szCs w:val="16"/>
        </w:rPr>
        <w:noBreakHyphen/>
        <w:t>28; д) мощный танк особого назначения типа Т</w:t>
      </w:r>
      <w:r w:rsidRPr="00C33834">
        <w:rPr>
          <w:color w:val="000000" w:themeColor="text1"/>
          <w:sz w:val="16"/>
          <w:szCs w:val="16"/>
        </w:rPr>
        <w:noBreakHyphen/>
        <w:t>35.</w:t>
      </w:r>
    </w:p>
    <w:p w14:paraId="0358F86F"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2. Специальные танки — 7 типов (на шасси стандартных с перечисленными выше танками): а) 3 химических; б) 2 саперных; в) самоходная артиллерийская установка; г) танк управления.</w:t>
      </w:r>
    </w:p>
    <w:p w14:paraId="073F6A48"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3. Бронемашины — 2 типа (на шасси «Форд</w:t>
      </w:r>
      <w:r w:rsidRPr="00C33834">
        <w:rPr>
          <w:color w:val="000000" w:themeColor="text1"/>
          <w:sz w:val="16"/>
          <w:szCs w:val="16"/>
        </w:rPr>
        <w:noBreakHyphen/>
        <w:t>А» и «Форд</w:t>
      </w:r>
      <w:r w:rsidRPr="00C33834">
        <w:rPr>
          <w:color w:val="000000" w:themeColor="text1"/>
          <w:sz w:val="16"/>
          <w:szCs w:val="16"/>
        </w:rPr>
        <w:noBreakHyphen/>
        <w:t>ЗА»): а) разведывательная; б) боевая.</w:t>
      </w:r>
    </w:p>
    <w:p w14:paraId="26DD093A"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4. Железнодорожные боевые машины — 2 типа: а) мото-броневагон; б) разведывательная дрезина-бронеавтомобиль (стандартный с бронемашиной).</w:t>
      </w:r>
    </w:p>
    <w:p w14:paraId="08B7AAF9"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5. Тракторы — 3 типа (все типы общегосударственные): а) легкий быстроходный трактор СТЗ</w:t>
      </w:r>
      <w:r w:rsidRPr="00C33834">
        <w:rPr>
          <w:color w:val="000000" w:themeColor="text1"/>
          <w:sz w:val="16"/>
          <w:szCs w:val="16"/>
        </w:rPr>
        <w:noBreakHyphen/>
        <w:t>З; б) тяжелый быстроходный трактор «Коммунар»; в) тяжелый мощный трактор «Сталинец».</w:t>
      </w:r>
    </w:p>
    <w:p w14:paraId="0926CF14"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6. Транспортеры — 2 типа: а) транспортер боеприпасов на поле боя (шасси стандартные с разведывательным танком); б) транспортер пехоты (на шасси легкого трактора).</w:t>
      </w:r>
    </w:p>
    <w:p w14:paraId="30E2E3B8"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7. Транспортные машины (существующие на массовом производстве с установкой трехосных ходовых частей и полугусеничных снежных ходов): а) «Форд-А»; б) «Форд</w:t>
      </w:r>
      <w:r w:rsidRPr="00C33834">
        <w:rPr>
          <w:color w:val="000000" w:themeColor="text1"/>
          <w:sz w:val="16"/>
          <w:szCs w:val="16"/>
        </w:rPr>
        <w:noBreakHyphen/>
        <w:t>АА»; в) АМО</w:t>
      </w:r>
      <w:r w:rsidRPr="00C33834">
        <w:rPr>
          <w:color w:val="000000" w:themeColor="text1"/>
          <w:sz w:val="16"/>
          <w:szCs w:val="16"/>
        </w:rPr>
        <w:noBreakHyphen/>
        <w:t>5; г) Я</w:t>
      </w:r>
      <w:r w:rsidRPr="00C33834">
        <w:rPr>
          <w:color w:val="000000" w:themeColor="text1"/>
          <w:sz w:val="16"/>
          <w:szCs w:val="16"/>
        </w:rPr>
        <w:noBreakHyphen/>
        <w:t>5. ...³*</w:t>
      </w:r>
    </w:p>
    <w:p w14:paraId="0B46DF31"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Новые проблемы механизации РККА</w:t>
      </w:r>
    </w:p>
    <w:p w14:paraId="38ED0A02"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В качестве специальной научно-исследовательской работы по разрешению новых проблем механизации РККА ставятся следующие задачи:</w:t>
      </w:r>
    </w:p>
    <w:p w14:paraId="78A5B2D5"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1. Разработка вопросов переброски с десантными целями танков по воздуху на самолетах. 2. Изготовление образцов приспособлений к существующим типам машин для движения их в зимних условиях. 3. Окончательное решение проблемы и создание телеуправляемых танков. 4. Перевод всех моторов на тяжелое топливо.</w:t>
      </w:r>
    </w:p>
    <w:p w14:paraId="07CA99DB"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Прошу утвердить представляемую систему бронетанкового вооружения.</w:t>
      </w:r>
    </w:p>
    <w:p w14:paraId="027D1F6F" w14:textId="77777777" w:rsidR="004622D9" w:rsidRPr="00C33834" w:rsidRDefault="004622D9" w:rsidP="00C33834">
      <w:pPr>
        <w:pStyle w:val="rtejustify"/>
        <w:spacing w:before="0" w:after="0"/>
        <w:rPr>
          <w:color w:val="000000" w:themeColor="text1"/>
          <w:sz w:val="16"/>
          <w:szCs w:val="16"/>
        </w:rPr>
      </w:pPr>
      <w:r w:rsidRPr="00C33834">
        <w:rPr>
          <w:rStyle w:val="af0"/>
          <w:i w:val="0"/>
          <w:color w:val="000000" w:themeColor="text1"/>
          <w:sz w:val="16"/>
          <w:szCs w:val="16"/>
        </w:rPr>
        <w:t>Приложение</w:t>
      </w:r>
      <w:r w:rsidRPr="00C33834">
        <w:rPr>
          <w:color w:val="000000" w:themeColor="text1"/>
          <w:sz w:val="16"/>
          <w:szCs w:val="16"/>
        </w:rPr>
        <w:t>: проект постановления КО⁴*.</w:t>
      </w:r>
    </w:p>
    <w:p w14:paraId="152B93A2" w14:textId="77777777" w:rsidR="004622D9" w:rsidRPr="00C33834" w:rsidRDefault="004622D9" w:rsidP="00C33834">
      <w:pPr>
        <w:pStyle w:val="ae"/>
        <w:spacing w:before="0" w:after="0"/>
        <w:jc w:val="both"/>
        <w:rPr>
          <w:color w:val="000000" w:themeColor="text1"/>
          <w:sz w:val="16"/>
          <w:szCs w:val="16"/>
        </w:rPr>
      </w:pPr>
      <w:r w:rsidRPr="00C33834">
        <w:rPr>
          <w:rStyle w:val="af0"/>
          <w:i w:val="0"/>
          <w:color w:val="000000" w:themeColor="text1"/>
          <w:sz w:val="16"/>
          <w:szCs w:val="16"/>
        </w:rPr>
        <w:t>Народный комиссар по военным и морским делам и председатель РВС Союза ССР Ворошилов</w:t>
      </w:r>
    </w:p>
    <w:p w14:paraId="43CB6B12" w14:textId="77777777" w:rsidR="004622D9" w:rsidRPr="00C33834" w:rsidRDefault="004622D9"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Примечания</w:t>
      </w:r>
      <w:r w:rsidRPr="00C33834">
        <w:rPr>
          <w:color w:val="000000" w:themeColor="text1"/>
          <w:sz w:val="16"/>
          <w:szCs w:val="16"/>
        </w:rPr>
        <w:t>:</w:t>
      </w:r>
    </w:p>
    <w:p w14:paraId="6DD76B60"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¹* Далее опущен раздел 3. «Состояние и итоги работ по механизации за границей».</w:t>
      </w:r>
    </w:p>
    <w:p w14:paraId="7C3F39E8"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²* Таблица не публикуется (см. там же, АП РФ. Л. 166; ГА РФ Л. 27).</w:t>
      </w:r>
    </w:p>
    <w:p w14:paraId="209D7930"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³* Опущены сведения о тактико-технических требованиях к перечисленным машинам, а также разделы: «2. Специальные танки»; «3. Бронеавтомобили»; «4. Железнодорожные боевые машины»; «5. Тракторы»; «6. Транспортеры»; «7. Транспортные машины».</w:t>
      </w:r>
    </w:p>
    <w:p w14:paraId="543EDC4F" w14:textId="77777777" w:rsidR="004622D9" w:rsidRPr="00C33834" w:rsidRDefault="004622D9" w:rsidP="00C33834">
      <w:pPr>
        <w:pStyle w:val="rtejustify"/>
        <w:spacing w:before="0" w:after="0"/>
        <w:rPr>
          <w:color w:val="000000" w:themeColor="text1"/>
          <w:sz w:val="16"/>
          <w:szCs w:val="16"/>
        </w:rPr>
      </w:pPr>
      <w:r w:rsidRPr="00C33834">
        <w:rPr>
          <w:color w:val="000000" w:themeColor="text1"/>
          <w:sz w:val="16"/>
          <w:szCs w:val="16"/>
        </w:rPr>
        <w:t xml:space="preserve">⁴* Приложение не публикуется. Принятое постановление см. </w:t>
      </w:r>
      <w:hyperlink r:id="rId265" w:history="1">
        <w:r w:rsidRPr="00C33834">
          <w:rPr>
            <w:rStyle w:val="a5"/>
            <w:color w:val="000000" w:themeColor="text1"/>
            <w:sz w:val="16"/>
            <w:szCs w:val="16"/>
          </w:rPr>
          <w:t>документ от 13 августа 1933 г. — Постановление СТО СССР № 71сс/о «О системе танкового вооружения РККА»</w:t>
        </w:r>
      </w:hyperlink>
      <w:r w:rsidRPr="00C33834">
        <w:rPr>
          <w:color w:val="000000" w:themeColor="text1"/>
          <w:sz w:val="16"/>
          <w:szCs w:val="16"/>
        </w:rPr>
        <w:t>.</w:t>
      </w:r>
    </w:p>
    <w:p w14:paraId="0A96B38B"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 РФ. Ф. 3. Оп. 46. Д. 381. Л. 134-156. Подлинник.</w:t>
      </w:r>
    </w:p>
    <w:p w14:paraId="5272A41A"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 РФ. Ф. Р-8418. Оп. 8. Д. 44. Л. 20-43. Подлинник (15274).</w:t>
      </w:r>
    </w:p>
    <w:p w14:paraId="130E53A9" w14:textId="77777777" w:rsidR="004622D9" w:rsidRPr="00C33834" w:rsidRDefault="004622D9" w:rsidP="00C33834">
      <w:pPr>
        <w:spacing w:after="0" w:line="240" w:lineRule="auto"/>
        <w:jc w:val="both"/>
        <w:rPr>
          <w:rFonts w:ascii="Times New Roman" w:hAnsi="Times New Roman"/>
          <w:iCs/>
          <w:color w:val="000000" w:themeColor="text1"/>
          <w:sz w:val="16"/>
          <w:szCs w:val="16"/>
        </w:rPr>
      </w:pPr>
    </w:p>
    <w:p w14:paraId="27AC488C" w14:textId="77777777" w:rsidR="00C22911" w:rsidRPr="00C33834" w:rsidRDefault="008E43FA"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1767E7A5"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082E750B"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16 июля 1933 года датируется подписанный Томсоном рапорт о имевших место в Липецкой школе лётных происшествиях. Между тем фон дер Лит-Томсен вернулся в Германию ещё в 1928 году. </w:t>
      </w:r>
    </w:p>
    <w:p w14:paraId="794CE123"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целом объект в Липецке обходился рейхсверу в среднем в 2 млн марок ежегодно. В отдельные же годы расходы были существенно большими (в 1929 г. — 3,9 млн, 1930 г. — 3,1 млн), и это без учёта затрат на создание необходимой инфраструктуры. Между тем согласно подготовленной в январе 1929 года начальником IV Управления Штаба РККА (военная разведка</w:t>
      </w:r>
      <w:r w:rsidRPr="00C33834">
        <w:rPr>
          <w:rFonts w:ascii="Times New Roman" w:hAnsi="Times New Roman"/>
          <w:iCs/>
          <w:color w:val="000000" w:themeColor="text1"/>
          <w:sz w:val="16"/>
          <w:szCs w:val="16"/>
        </w:rPr>
        <w:t xml:space="preserve"> )</w:t>
      </w:r>
      <w:r w:rsidRPr="00C33834">
        <w:rPr>
          <w:rFonts w:ascii="Times New Roman" w:hAnsi="Times New Roman"/>
          <w:color w:val="000000" w:themeColor="text1"/>
          <w:sz w:val="16"/>
          <w:szCs w:val="16"/>
        </w:rPr>
        <w:t xml:space="preserve"> Я.Берзиным секретной справке расходы, связанные с капитальным строительством на липецком объекте, составили в 1925 году 120 тыс. руб., в 1926-230 тыс. руб., в 1927-1928 гг. — 750 тыс. руб. (Дьяков Ю. Л., Бушуева Т. С. Фашистский меч ковался в СССР... С. 169-170) (11208).</w:t>
      </w:r>
    </w:p>
    <w:p w14:paraId="1565FA1F"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04393B3A" w14:textId="77777777" w:rsidR="004622D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22A1C9E2" w14:textId="77777777" w:rsidR="004622D9" w:rsidRPr="00C33834" w:rsidRDefault="004622D9" w:rsidP="00C33834">
      <w:pPr>
        <w:spacing w:after="0" w:line="240" w:lineRule="auto"/>
        <w:jc w:val="both"/>
        <w:rPr>
          <w:rFonts w:ascii="Times New Roman" w:hAnsi="Times New Roman"/>
          <w:iCs/>
          <w:color w:val="000000" w:themeColor="text1"/>
          <w:sz w:val="16"/>
          <w:szCs w:val="16"/>
        </w:rPr>
      </w:pPr>
    </w:p>
    <w:p w14:paraId="33CAA437" w14:textId="77777777" w:rsidR="004622D9" w:rsidRPr="00C33834" w:rsidRDefault="004622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июля в 1933 году имея на борту 800 тонн груза, 3 500 тонн угля и более 100 человек, "Челюскин" выходит из Ленинграда в героический поход сквозь льды по Северному морскому пути. Начальник экспедиции Отто Юльевич Шмидт. 13 августа 1933 "Челюскин" столкнется с полярными льдами, а затем навсегда в них застрянет. После этого никто не сомневается в том, что судно затонет - это и произойдет 13 февраля 1934. Всех участников экспедиции спасут. За их спасением будет следить весь мир (14954).</w:t>
      </w:r>
    </w:p>
    <w:p w14:paraId="000AA5E8" w14:textId="77777777" w:rsidR="004622D9" w:rsidRPr="00C33834" w:rsidRDefault="004622D9" w:rsidP="00C33834">
      <w:pPr>
        <w:spacing w:after="0" w:line="240" w:lineRule="auto"/>
        <w:jc w:val="both"/>
        <w:rPr>
          <w:rFonts w:ascii="Times New Roman" w:hAnsi="Times New Roman"/>
          <w:color w:val="000000" w:themeColor="text1"/>
          <w:sz w:val="16"/>
          <w:szCs w:val="16"/>
        </w:rPr>
      </w:pPr>
    </w:p>
    <w:p w14:paraId="6C44B701" w14:textId="77777777" w:rsidR="00040C95" w:rsidRPr="00C33834" w:rsidRDefault="00040C95"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16 июля 1933 судно Челюскин вышло в дальний поход. 25 июля во второй раз отплыло из Копенгагена и только 2 августа пришвартовалось в Мурманске. Там оказалось, что груз для Врангеля еще не поступил, и ждать его пришлось неделю. Наконец, 10 августа, с запозданием в двадцать дней, «Челюскин» вышел в море, но спустя всего два дня О.Ю. Шмидту пришлось послать в Москву тревожную телеграмму: «Сам корпус судна слабее, чем предполагали. Удары льдин причинили носовой части корпуса повреждения в виде вмятин, срезаны также несколько заклепок». Через неделю вновь пришлось сообщить: «Прочность корпуса как общая, так местная недостаточна и для данного рейса не пригодна. Превышение 115 оборотов машины вызывает общую вибрацию корпуса, особенно заметную в районе 94 шпангоута… Управляемость на малых ходах плохая, затрудняет работу во льдах» (20467).</w:t>
      </w:r>
    </w:p>
    <w:p w14:paraId="232D907C" w14:textId="77777777" w:rsidR="00040C95" w:rsidRPr="00C33834" w:rsidRDefault="00040C95" w:rsidP="00C33834">
      <w:pPr>
        <w:spacing w:after="0" w:line="240" w:lineRule="auto"/>
        <w:jc w:val="both"/>
        <w:rPr>
          <w:rFonts w:ascii="Times New Roman" w:hAnsi="Times New Roman"/>
          <w:color w:val="0070C0"/>
          <w:sz w:val="16"/>
          <w:szCs w:val="16"/>
        </w:rPr>
      </w:pPr>
    </w:p>
    <w:p w14:paraId="338B532E" w14:textId="77777777" w:rsidR="00C2291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302D166"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1E27F453"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ночь с 16 на 17 июля 1933 в 600 км от Каунаса разбилась Белланка Литуаника, летевшая из Нью-Йорка 15 (238,125).</w:t>
      </w:r>
    </w:p>
    <w:p w14:paraId="7DD4C574"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66A7F7E9" w14:textId="77777777" w:rsidR="00C2291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4DEA0C0"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7BC9D04B"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июля 1933 руководители испытаний АПК-3бис на И-4 заявили, что пушка “боевым требованиям не удовлетворяет” и что система будет использоваться как учебная, а заказ на 50 АПК-3бис - размещен не будет (3996, 100).</w:t>
      </w:r>
    </w:p>
    <w:p w14:paraId="0848D8B1"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6DADB31F"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июля 1933 И-14 возвратили в ЗОК ЦАГИ для их устранения. До 30 сен</w:t>
      </w:r>
      <w:r w:rsidRPr="00C33834">
        <w:rPr>
          <w:rFonts w:ascii="Times New Roman" w:hAnsi="Times New Roman"/>
          <w:color w:val="000000" w:themeColor="text1"/>
          <w:sz w:val="16"/>
          <w:szCs w:val="16"/>
        </w:rPr>
        <w:softHyphen/>
        <w:t>тября на самолёте выполнили следующие работы: отрегулировали систему уборки и выпуска шасси; на отъёмных частях крыла перкалевую обшивку заменили гофрирован</w:t>
      </w:r>
      <w:r w:rsidRPr="00C33834">
        <w:rPr>
          <w:rFonts w:ascii="Times New Roman" w:hAnsi="Times New Roman"/>
          <w:color w:val="000000" w:themeColor="text1"/>
          <w:sz w:val="16"/>
          <w:szCs w:val="16"/>
        </w:rPr>
        <w:softHyphen/>
        <w:t>ной; установили масляный радиатор с увеличенной площадью охлаждения; передела</w:t>
      </w:r>
      <w:r w:rsidRPr="00C33834">
        <w:rPr>
          <w:rFonts w:ascii="Times New Roman" w:hAnsi="Times New Roman"/>
          <w:color w:val="000000" w:themeColor="text1"/>
          <w:sz w:val="16"/>
          <w:szCs w:val="16"/>
        </w:rPr>
        <w:softHyphen/>
        <w:t>ли выхлопной коллектор мотора. В связи с затруднениями, возникшими при доводке самолёта и срывом сроков передачи его на госиспытания (15.03.33), постановлением РВС СССР от 17.07.33 г. определили новый срок — 1.02.34 г.</w:t>
      </w:r>
    </w:p>
    <w:p w14:paraId="3BBDAEA3"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Учитывая то, что в Советском Союзе имелся лишь один экземпляр мотора </w:t>
      </w:r>
      <w:r w:rsidRPr="00C33834">
        <w:rPr>
          <w:rFonts w:ascii="Times New Roman" w:hAnsi="Times New Roman"/>
          <w:color w:val="000000" w:themeColor="text1"/>
          <w:sz w:val="16"/>
          <w:szCs w:val="16"/>
          <w:lang w:val="en-US"/>
        </w:rPr>
        <w:t>Bristol</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Mer</w:t>
      </w:r>
      <w:r w:rsidRPr="00C33834">
        <w:rPr>
          <w:rFonts w:ascii="Times New Roman" w:hAnsi="Times New Roman"/>
          <w:color w:val="000000" w:themeColor="text1"/>
          <w:sz w:val="16"/>
          <w:szCs w:val="16"/>
        </w:rPr>
        <w:softHyphen/>
      </w:r>
      <w:r w:rsidRPr="00C33834">
        <w:rPr>
          <w:rFonts w:ascii="Times New Roman" w:hAnsi="Times New Roman"/>
          <w:color w:val="000000" w:themeColor="text1"/>
          <w:sz w:val="16"/>
          <w:szCs w:val="16"/>
          <w:lang w:val="en-US"/>
        </w:rPr>
        <w:t>cury</w:t>
      </w:r>
      <w:r w:rsidRPr="00C33834">
        <w:rPr>
          <w:rFonts w:ascii="Times New Roman" w:hAnsi="Times New Roman"/>
          <w:color w:val="000000" w:themeColor="text1"/>
          <w:sz w:val="16"/>
          <w:szCs w:val="16"/>
        </w:rPr>
        <w:t>, в июле 1933 г. в ЦАГИ приступили к постройке второго экземпляра И-14 или так на</w:t>
      </w:r>
      <w:r w:rsidRPr="00C33834">
        <w:rPr>
          <w:rFonts w:ascii="Times New Roman" w:hAnsi="Times New Roman"/>
          <w:color w:val="000000" w:themeColor="text1"/>
          <w:sz w:val="16"/>
          <w:szCs w:val="16"/>
        </w:rPr>
        <w:softHyphen/>
        <w:t xml:space="preserve">зываемого «дублёра» (И-14бис, АНТ-31бис, заказ 7189, иногда в переписке — И14 РЦ) с мотором </w:t>
      </w:r>
      <w:r w:rsidRPr="00C33834">
        <w:rPr>
          <w:rFonts w:ascii="Times New Roman" w:hAnsi="Times New Roman"/>
          <w:color w:val="000000" w:themeColor="text1"/>
          <w:sz w:val="16"/>
          <w:szCs w:val="16"/>
          <w:lang w:val="en-US"/>
        </w:rPr>
        <w:t>Wright</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CycloneF</w:t>
      </w:r>
      <w:r w:rsidRPr="00C33834">
        <w:rPr>
          <w:rFonts w:ascii="Times New Roman" w:hAnsi="Times New Roman"/>
          <w:color w:val="000000" w:themeColor="text1"/>
          <w:sz w:val="16"/>
          <w:szCs w:val="16"/>
        </w:rPr>
        <w:t>2. При проектировании дублёра учли некоторые недостатки первого экземпляра самолёта (15823).</w:t>
      </w:r>
    </w:p>
    <w:p w14:paraId="76E17F26" w14:textId="77777777" w:rsidR="00B4520E" w:rsidRPr="00C33834" w:rsidRDefault="00B4520E" w:rsidP="00C33834">
      <w:pPr>
        <w:spacing w:after="0" w:line="240" w:lineRule="auto"/>
        <w:jc w:val="both"/>
        <w:rPr>
          <w:rFonts w:ascii="Times New Roman" w:hAnsi="Times New Roman"/>
          <w:color w:val="000000" w:themeColor="text1"/>
          <w:sz w:val="16"/>
          <w:szCs w:val="16"/>
        </w:rPr>
      </w:pPr>
    </w:p>
    <w:p w14:paraId="43D7D023" w14:textId="77777777" w:rsidR="00DC5A55" w:rsidRPr="00C33834" w:rsidRDefault="00DC5A55"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17 июля 1933 И-14 был возвращена в ЗОК ЦАГИ для устранения недостатков. До 30 сентября на самолете выполнили следующие работы: отрегулировали систему уборки и выпуска шасси; на отъемных частях крыла перкалевую обшивку заменили на гофрированную; установили масляный радиатор с увеличенной площадью охлаждения; переделали выхлопной коллектор мотора. В связи с затруднениями, возникшими при доводке самолета и срывом сроков передачи его на госиспытания (15.03.33), постановлением РВС СССР от 17.07.33 был определен новый срок – 1.02.34 г. (19177).</w:t>
      </w:r>
    </w:p>
    <w:p w14:paraId="4958A7F4" w14:textId="77777777" w:rsidR="00DC5A55" w:rsidRPr="00C33834" w:rsidRDefault="00DC5A55" w:rsidP="00C33834">
      <w:pPr>
        <w:pStyle w:val="ae"/>
        <w:shd w:val="clear" w:color="auto" w:fill="FFFFFF"/>
        <w:spacing w:before="0" w:after="0"/>
        <w:jc w:val="both"/>
        <w:textAlignment w:val="baseline"/>
        <w:rPr>
          <w:color w:val="000000" w:themeColor="text1"/>
          <w:sz w:val="16"/>
          <w:szCs w:val="16"/>
        </w:rPr>
      </w:pPr>
    </w:p>
    <w:p w14:paraId="6930224A"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июля 1933 г. руководители испытаний заявили, что пушка «боевым требованиям не удовлетворяет» и система будет использоваться как учебная, а планируемый заказ на 50 пушек АПК-Збис размещению не подлежит (12091).</w:t>
      </w:r>
    </w:p>
    <w:p w14:paraId="76A06B3D"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033EF4C1" w14:textId="77777777" w:rsidR="00DC5A55" w:rsidRPr="00C33834" w:rsidRDefault="00DC5A55"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17 июля 1933 Постановление РВС СССР от 17.07.33 установило новый срок сдачи самолета ДИП на государственные испытания — 1 июня 1934 года (19175).</w:t>
      </w:r>
    </w:p>
    <w:p w14:paraId="214051AE" w14:textId="77777777" w:rsidR="00DC5A55" w:rsidRPr="00C33834" w:rsidRDefault="00DC5A55" w:rsidP="00C33834">
      <w:pPr>
        <w:pStyle w:val="ae"/>
        <w:shd w:val="clear" w:color="auto" w:fill="FFFFFF"/>
        <w:spacing w:before="0" w:after="0"/>
        <w:jc w:val="both"/>
        <w:textAlignment w:val="baseline"/>
        <w:rPr>
          <w:color w:val="000000" w:themeColor="text1"/>
          <w:sz w:val="16"/>
          <w:szCs w:val="16"/>
        </w:rPr>
      </w:pPr>
    </w:p>
    <w:p w14:paraId="3B8A3138"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июля 1933 года РВС Союза подтвердил Наркомтяжпрому, что с 1 января 1934 года не будет принимать ни одного М-34 без редуктора для тяжелых самолетов (4267,15-17).</w:t>
      </w:r>
    </w:p>
    <w:p w14:paraId="3F8EF3E1"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6A2EE3F7" w14:textId="77777777" w:rsidR="00C22911" w:rsidRPr="00C33834" w:rsidRDefault="00C22911"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июля 1933 г. постановлением Реввоенсовета от ЦИАМ требовалось к маю 1934 г. выставить на испытания модифика</w:t>
      </w:r>
      <w:r w:rsidRPr="00C33834">
        <w:rPr>
          <w:rFonts w:ascii="Times New Roman" w:hAnsi="Times New Roman"/>
          <w:color w:val="000000" w:themeColor="text1"/>
          <w:sz w:val="16"/>
          <w:szCs w:val="16"/>
        </w:rPr>
        <w:softHyphen/>
        <w:t>цию двигателя с редуктором и нагне</w:t>
      </w:r>
      <w:r w:rsidRPr="00C33834">
        <w:rPr>
          <w:rFonts w:ascii="Times New Roman" w:hAnsi="Times New Roman"/>
          <w:color w:val="000000" w:themeColor="text1"/>
          <w:sz w:val="16"/>
          <w:szCs w:val="16"/>
        </w:rPr>
        <w:softHyphen/>
        <w:t>тателем, форсированную до 950 л.с. Этот вариант, проектировавшийся с осени 1933 г., именовался М-34ФРН (он же М-34РФН и М-34РНФ). Моторы серии «Б» дали выигрыш в надежности, но не в мощности. Новый мотор представлял собой сильно дорабо</w:t>
      </w:r>
      <w:r w:rsidRPr="00C33834">
        <w:rPr>
          <w:rFonts w:ascii="Times New Roman" w:hAnsi="Times New Roman"/>
          <w:color w:val="000000" w:themeColor="text1"/>
          <w:sz w:val="16"/>
          <w:szCs w:val="16"/>
        </w:rPr>
        <w:softHyphen/>
        <w:t>танный вариант М-34РНБ с некото</w:t>
      </w:r>
      <w:r w:rsidRPr="00C33834">
        <w:rPr>
          <w:rFonts w:ascii="Times New Roman" w:hAnsi="Times New Roman"/>
          <w:color w:val="000000" w:themeColor="text1"/>
          <w:sz w:val="16"/>
          <w:szCs w:val="16"/>
        </w:rPr>
        <w:softHyphen/>
        <w:t>рыми конструктивными элементами от так называемого «М-34Р эталон 1934 г.». На нем усилили коленчатый вал, редуктор и картер. Централь</w:t>
      </w:r>
      <w:r w:rsidRPr="00C33834">
        <w:rPr>
          <w:rFonts w:ascii="Times New Roman" w:hAnsi="Times New Roman"/>
          <w:color w:val="000000" w:themeColor="text1"/>
          <w:sz w:val="16"/>
          <w:szCs w:val="16"/>
        </w:rPr>
        <w:softHyphen/>
        <w:t>ное сочленение шатунов заменили боковым (главный — прицепной). При этом проиграли в плавности хода, но выиграли в надежности. Изменили си</w:t>
      </w:r>
      <w:r w:rsidRPr="00C33834">
        <w:rPr>
          <w:rFonts w:ascii="Times New Roman" w:hAnsi="Times New Roman"/>
          <w:color w:val="000000" w:themeColor="text1"/>
          <w:sz w:val="16"/>
          <w:szCs w:val="16"/>
        </w:rPr>
        <w:softHyphen/>
        <w:t>стему смазки (масло пустили через вал), усовершенствовали нагнета</w:t>
      </w:r>
      <w:r w:rsidRPr="00C33834">
        <w:rPr>
          <w:rFonts w:ascii="Times New Roman" w:hAnsi="Times New Roman"/>
          <w:color w:val="000000" w:themeColor="text1"/>
          <w:sz w:val="16"/>
          <w:szCs w:val="16"/>
        </w:rPr>
        <w:softHyphen/>
        <w:t>тель, подняв наддув, внедрили новый механизм газораспределения, а кар</w:t>
      </w:r>
      <w:r w:rsidRPr="00C33834">
        <w:rPr>
          <w:rFonts w:ascii="Times New Roman" w:hAnsi="Times New Roman"/>
          <w:color w:val="000000" w:themeColor="text1"/>
          <w:sz w:val="16"/>
          <w:szCs w:val="16"/>
        </w:rPr>
        <w:softHyphen/>
        <w:t>бюраторы (их стало несколько) уста</w:t>
      </w:r>
      <w:r w:rsidRPr="00C33834">
        <w:rPr>
          <w:rFonts w:ascii="Times New Roman" w:hAnsi="Times New Roman"/>
          <w:color w:val="000000" w:themeColor="text1"/>
          <w:sz w:val="16"/>
          <w:szCs w:val="16"/>
        </w:rPr>
        <w:softHyphen/>
        <w:t>новили после нагнетателя.</w:t>
      </w:r>
    </w:p>
    <w:p w14:paraId="23EC63C8" w14:textId="77777777" w:rsidR="00C22911" w:rsidRPr="00C33834" w:rsidRDefault="00C22911" w:rsidP="00C33834">
      <w:pPr>
        <w:shd w:val="clear" w:color="auto" w:fill="FFFFFF"/>
        <w:spacing w:after="0" w:line="240" w:lineRule="auto"/>
        <w:jc w:val="both"/>
        <w:rPr>
          <w:rFonts w:ascii="Times New Roman" w:hAnsi="Times New Roman"/>
          <w:color w:val="000000" w:themeColor="text1"/>
          <w:sz w:val="16"/>
          <w:szCs w:val="16"/>
        </w:rPr>
      </w:pPr>
    </w:p>
    <w:p w14:paraId="3EBCBC75"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июля 1933 состоялось второе заседание первой партийно-технической конференции КОСОС ЦАГИ, которая началась 14 июля 1933 (1072).</w:t>
      </w:r>
    </w:p>
    <w:p w14:paraId="6996B54F"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55B68B9D"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июля 1933 решение Реввоенсовета отметило отставание авиамоторостроения и указало на необходимость срочных мер. СТО - решил закупать за рубежом (62,18).</w:t>
      </w:r>
    </w:p>
    <w:p w14:paraId="5716DFCC"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2394862E" w14:textId="77777777" w:rsidR="00B4520E" w:rsidRPr="00C33834" w:rsidRDefault="00B4520E" w:rsidP="00C33834">
      <w:pPr>
        <w:pStyle w:val="rtejustify"/>
        <w:spacing w:before="0" w:after="0"/>
        <w:rPr>
          <w:color w:val="000000" w:themeColor="text1"/>
          <w:sz w:val="16"/>
          <w:szCs w:val="16"/>
        </w:rPr>
      </w:pPr>
      <w:r w:rsidRPr="00C33834">
        <w:rPr>
          <w:rStyle w:val="af0"/>
          <w:bCs/>
          <w:i w:val="0"/>
          <w:color w:val="000000" w:themeColor="text1"/>
          <w:sz w:val="16"/>
          <w:szCs w:val="16"/>
        </w:rPr>
        <w:t>17 июля</w:t>
      </w:r>
      <w:r w:rsidRPr="00C33834">
        <w:rPr>
          <w:rStyle w:val="af0"/>
          <w:rFonts w:eastAsiaTheme="majorEastAsia"/>
          <w:bCs/>
          <w:i w:val="0"/>
          <w:color w:val="000000" w:themeColor="text1"/>
          <w:sz w:val="16"/>
          <w:szCs w:val="16"/>
        </w:rPr>
        <w:t xml:space="preserve"> 1933</w:t>
      </w:r>
      <w:r w:rsidRPr="00C33834">
        <w:rPr>
          <w:color w:val="000000" w:themeColor="text1"/>
          <w:sz w:val="16"/>
          <w:szCs w:val="16"/>
        </w:rPr>
        <w:t>. Постановление РВСС «О ходе выполнения плана опытного самолето- и моторостроения и вооружения авиации». (РГВА. Ф. 4. Оп. 18. Д. 23. Л. 295</w:t>
      </w:r>
      <w:r w:rsidRPr="00C33834">
        <w:rPr>
          <w:color w:val="000000" w:themeColor="text1"/>
          <w:sz w:val="16"/>
          <w:szCs w:val="16"/>
        </w:rPr>
        <w:noBreakHyphen/>
        <w:t>306) (15461).</w:t>
      </w:r>
    </w:p>
    <w:p w14:paraId="13EC49DC" w14:textId="77777777" w:rsidR="00B4520E" w:rsidRPr="00C33834" w:rsidRDefault="00B4520E" w:rsidP="00C33834">
      <w:pPr>
        <w:pStyle w:val="rtejustify"/>
        <w:spacing w:before="0" w:after="0"/>
        <w:rPr>
          <w:rStyle w:val="af0"/>
          <w:bCs/>
          <w:i w:val="0"/>
          <w:color w:val="000000" w:themeColor="text1"/>
          <w:sz w:val="16"/>
          <w:szCs w:val="16"/>
        </w:rPr>
      </w:pPr>
    </w:p>
    <w:p w14:paraId="6ADA4AC5"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июля 1933 ГУАП и РВС пересмотрели план опытного строительства на 1933, утвержденный Правительством 4 июля 1932 (2287,252).</w:t>
      </w:r>
    </w:p>
    <w:p w14:paraId="53735D34"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02EA19E3" w14:textId="77777777" w:rsidR="001C6342" w:rsidRPr="00C33834" w:rsidRDefault="001C6342" w:rsidP="00C33834">
      <w:pPr>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17 июля 1933 года, план опытного самолетостроения был откорректированном по постановлению Реввоенсовета (19843).</w:t>
      </w:r>
    </w:p>
    <w:p w14:paraId="69EFB962" w14:textId="77777777" w:rsidR="001C6342" w:rsidRPr="00C33834" w:rsidRDefault="001C6342" w:rsidP="00C33834">
      <w:pPr>
        <w:spacing w:after="0" w:line="240" w:lineRule="auto"/>
        <w:jc w:val="both"/>
        <w:rPr>
          <w:rFonts w:ascii="Times New Roman" w:eastAsia="Times New Roman" w:hAnsi="Times New Roman"/>
          <w:color w:val="0070C0"/>
          <w:sz w:val="16"/>
          <w:szCs w:val="16"/>
          <w:shd w:val="clear" w:color="auto" w:fill="DCDCDC"/>
          <w:lang w:eastAsia="ru-RU"/>
        </w:rPr>
      </w:pPr>
    </w:p>
    <w:p w14:paraId="2CA7CCFB" w14:textId="77777777" w:rsidR="001C6342" w:rsidRPr="00C33834" w:rsidRDefault="001C6342" w:rsidP="00C33834">
      <w:pPr>
        <w:pStyle w:val="17"/>
        <w:shd w:val="clear" w:color="auto" w:fill="auto"/>
        <w:spacing w:before="0" w:line="240" w:lineRule="auto"/>
        <w:ind w:firstLine="0"/>
        <w:jc w:val="both"/>
        <w:rPr>
          <w:rFonts w:ascii="Times New Roman" w:hAnsi="Times New Roman" w:cs="Times New Roman"/>
          <w:color w:val="0070C0"/>
          <w:spacing w:val="0"/>
          <w:sz w:val="16"/>
          <w:szCs w:val="16"/>
        </w:rPr>
      </w:pPr>
      <w:r w:rsidRPr="00C33834">
        <w:rPr>
          <w:rFonts w:ascii="Times New Roman" w:hAnsi="Times New Roman" w:cs="Times New Roman"/>
          <w:color w:val="0070C0"/>
          <w:spacing w:val="0"/>
          <w:sz w:val="16"/>
          <w:szCs w:val="16"/>
        </w:rPr>
        <w:t>17 июля 1933 года поста</w:t>
      </w:r>
      <w:r w:rsidRPr="00C33834">
        <w:rPr>
          <w:rFonts w:ascii="Times New Roman" w:hAnsi="Times New Roman" w:cs="Times New Roman"/>
          <w:color w:val="0070C0"/>
          <w:spacing w:val="0"/>
          <w:sz w:val="16"/>
          <w:szCs w:val="16"/>
        </w:rPr>
        <w:softHyphen/>
        <w:t>новление Реввоенсовета откорректировало плане опытного самолетостроения (19933).</w:t>
      </w:r>
    </w:p>
    <w:p w14:paraId="3C6F84A3" w14:textId="77777777" w:rsidR="001C6342" w:rsidRPr="00C33834" w:rsidRDefault="001C6342" w:rsidP="00C33834">
      <w:pPr>
        <w:pStyle w:val="17"/>
        <w:shd w:val="clear" w:color="auto" w:fill="auto"/>
        <w:spacing w:before="0" w:line="240" w:lineRule="auto"/>
        <w:ind w:firstLine="0"/>
        <w:jc w:val="both"/>
        <w:rPr>
          <w:rFonts w:ascii="Times New Roman" w:hAnsi="Times New Roman" w:cs="Times New Roman"/>
          <w:color w:val="0070C0"/>
          <w:spacing w:val="0"/>
          <w:sz w:val="16"/>
          <w:szCs w:val="16"/>
        </w:rPr>
      </w:pPr>
    </w:p>
    <w:p w14:paraId="0BCB74A0"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июля 1933 И-14 (АНТ-31) из ОЭЛИД, куда машина поступила в июне (4020,11), отправили назад в ЦАГИ для доделок и работа шла до 30 сентября 1933 (1454,25).</w:t>
      </w:r>
    </w:p>
    <w:p w14:paraId="1745E4B6"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6F63D1A3"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июля 1933 И-14 был передана обратно в ЦАГИ, поскольку в акте было записано, что самолет имеет ряд конструктивных недостатков.</w:t>
      </w:r>
    </w:p>
    <w:p w14:paraId="636E4AE8"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цехе ЗОК на головном самолете произвели регулировку убирающегося шасси, заменили консоли с полотняной обшивкой на новые, умевшие метеллическую гофрированную обшивку. Поскольку радиатор не отвечал требованиям эффективного охлаждения масла, его заменили на более мощный. Заодно переделали коллектор выпускной системы мотора. В таком виде И-14 30 сентября 1933 г. вновь отправили на аэродром, где летчикииспытатели ОЭЛИД ЦАГИ обнаружили, что механизм уборки шасси опять не работает, поэтому снятие летных характеристик происходило с выпущенными стойками. Особого смысла такая работа не имела, а потому 30 октября машину опять вернули в ЗОКдлн нового этапа доработок. Лишь 14 ноября старания производственников увенчались успехом и шасси стало работать без замечаний. В ходе летного эксперимента это подтвердили испытатели, и 16 ноября 1933 г. самолет передали в ОЭЛИД по акту №32. Эту дату следует считать началом полномасштабных испытаний И -14 (12037).</w:t>
      </w:r>
    </w:p>
    <w:p w14:paraId="193C8751"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421FEA85" w14:textId="77777777" w:rsidR="00C22911" w:rsidRPr="00C33834" w:rsidRDefault="00C22911"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июля 1933 г. Г.Э.Лангемак утвердил полевой 74-мм универсальный ракетный снаряд РС-74-О и А модели 1330 осветительного и агитационного дейст</w:t>
      </w:r>
      <w:r w:rsidRPr="00C33834">
        <w:rPr>
          <w:rFonts w:ascii="Times New Roman" w:hAnsi="Times New Roman"/>
          <w:color w:val="000000" w:themeColor="text1"/>
          <w:sz w:val="16"/>
          <w:szCs w:val="16"/>
        </w:rPr>
        <w:softHyphen/>
        <w:t>вия, которые разработал В.А.Артемьев, сконструировал, по-види</w:t>
      </w:r>
      <w:r w:rsidRPr="00C33834">
        <w:rPr>
          <w:rFonts w:ascii="Times New Roman" w:hAnsi="Times New Roman"/>
          <w:color w:val="000000" w:themeColor="text1"/>
          <w:sz w:val="16"/>
          <w:szCs w:val="16"/>
        </w:rPr>
        <w:softHyphen/>
        <w:t>мому, Л.Э.Шварц (подпись на чертеже неразборчива), а чертежи исполнил Б.Андерсон. Если придерживать</w:t>
      </w:r>
      <w:r w:rsidRPr="00C33834">
        <w:rPr>
          <w:rFonts w:ascii="Times New Roman" w:hAnsi="Times New Roman"/>
          <w:color w:val="000000" w:themeColor="text1"/>
          <w:sz w:val="16"/>
          <w:szCs w:val="16"/>
        </w:rPr>
        <w:softHyphen/>
        <w:t xml:space="preserve">ся </w:t>
      </w:r>
      <w:r w:rsidRPr="00C33834">
        <w:rPr>
          <w:rFonts w:ascii="Times New Roman" w:hAnsi="Times New Roman"/>
          <w:color w:val="000000" w:themeColor="text1"/>
          <w:sz w:val="16"/>
          <w:szCs w:val="16"/>
        </w:rPr>
        <w:lastRenderedPageBreak/>
        <w:t>устоявшихся авиационных традиций, когда калибр РС измеряют по диаметру корпуса двигателя, то РС-74А можно отнести к надкалиберному боеприпасу. То есть, в основе его силовой установки был использован уд</w:t>
      </w:r>
      <w:r w:rsidRPr="00C33834">
        <w:rPr>
          <w:rFonts w:ascii="Times New Roman" w:hAnsi="Times New Roman"/>
          <w:color w:val="000000" w:themeColor="text1"/>
          <w:sz w:val="16"/>
          <w:szCs w:val="16"/>
        </w:rPr>
        <w:softHyphen/>
        <w:t>линенный вариант двигателя от ТРС-68С и ТРС-68Т с наибольшим диа</w:t>
      </w:r>
      <w:r w:rsidRPr="00C33834">
        <w:rPr>
          <w:rFonts w:ascii="Times New Roman" w:hAnsi="Times New Roman"/>
          <w:color w:val="000000" w:themeColor="text1"/>
          <w:sz w:val="16"/>
          <w:szCs w:val="16"/>
        </w:rPr>
        <w:softHyphen/>
        <w:t>метром 68 мм. Однако, боковые тангенциальные отверстия у РС-74А от</w:t>
      </w:r>
      <w:r w:rsidRPr="00C33834">
        <w:rPr>
          <w:rFonts w:ascii="Times New Roman" w:hAnsi="Times New Roman"/>
          <w:color w:val="000000" w:themeColor="text1"/>
          <w:sz w:val="16"/>
          <w:szCs w:val="16"/>
        </w:rPr>
        <w:softHyphen/>
        <w:t>сутствовали, а стабилизировался снаряд на траектории оперением минометного типа с восемью крыльями размахом 106 мм. Что любопытно, его крепили заклепками к цилиндрической трубке, установленной в хвостовой части боеприпаса за сопловым срезом. Таким образом, выпускную часть сопла удлинили цилиндрической «уравни</w:t>
      </w:r>
      <w:r w:rsidRPr="00C33834">
        <w:rPr>
          <w:rFonts w:ascii="Times New Roman" w:hAnsi="Times New Roman"/>
          <w:color w:val="000000" w:themeColor="text1"/>
          <w:sz w:val="16"/>
          <w:szCs w:val="16"/>
        </w:rPr>
        <w:softHyphen/>
        <w:t>тельной частью». Теоретически давление продуктов горения РЗ на срезе сопла должно было соответствовать атмосферному, поэтому удлинять его цилиндрической трубкой можно было без проблем. Однако, у РС-74 в стенках выпускного цилиндра были выполнены четыре прямых сквоз</w:t>
      </w:r>
      <w:r w:rsidRPr="00C33834">
        <w:rPr>
          <w:rFonts w:ascii="Times New Roman" w:hAnsi="Times New Roman"/>
          <w:color w:val="000000" w:themeColor="text1"/>
          <w:sz w:val="16"/>
          <w:szCs w:val="16"/>
        </w:rPr>
        <w:softHyphen/>
        <w:t>ных отверстия диаметром 6 мм. Подобным элементом обладала и 1000-кг воздушно-реактивная торпеда конструкции инженера Тверского (о ней речь пойдет ниже) (11402).</w:t>
      </w:r>
    </w:p>
    <w:p w14:paraId="5D74BDB7" w14:textId="77777777" w:rsidR="00C22911" w:rsidRPr="00C33834" w:rsidRDefault="00C22911" w:rsidP="00C33834">
      <w:pPr>
        <w:shd w:val="clear" w:color="auto" w:fill="FFFFFF"/>
        <w:spacing w:after="0" w:line="240" w:lineRule="auto"/>
        <w:jc w:val="both"/>
        <w:rPr>
          <w:rFonts w:ascii="Times New Roman" w:hAnsi="Times New Roman"/>
          <w:color w:val="000000" w:themeColor="text1"/>
          <w:sz w:val="16"/>
          <w:szCs w:val="16"/>
        </w:rPr>
      </w:pPr>
    </w:p>
    <w:p w14:paraId="629F07AB" w14:textId="77777777" w:rsidR="00C2291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9F6246F"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42E06CB9" w14:textId="77777777" w:rsidR="00B4520E" w:rsidRPr="00C33834" w:rsidRDefault="00B4520E" w:rsidP="00C33834">
      <w:pPr>
        <w:pStyle w:val="rtejustify"/>
        <w:spacing w:before="0" w:after="0"/>
        <w:rPr>
          <w:color w:val="000000" w:themeColor="text1"/>
          <w:sz w:val="16"/>
          <w:szCs w:val="16"/>
        </w:rPr>
      </w:pPr>
      <w:r w:rsidRPr="00C33834">
        <w:rPr>
          <w:rStyle w:val="af0"/>
          <w:bCs/>
          <w:i w:val="0"/>
          <w:color w:val="000000" w:themeColor="text1"/>
          <w:sz w:val="16"/>
          <w:szCs w:val="16"/>
        </w:rPr>
        <w:t>17 июля 1933 вышел приказ НКТП № 101сс.</w:t>
      </w:r>
      <w:r w:rsidRPr="00C33834">
        <w:rPr>
          <w:color w:val="000000" w:themeColor="text1"/>
          <w:sz w:val="16"/>
          <w:szCs w:val="16"/>
        </w:rPr>
        <w:t xml:space="preserve"> О строительных работах по Челябинскому заводу № 78. (РГАЭ. Ф. 7297. Оп. 38. Д. 38. Л. 46</w:t>
      </w:r>
      <w:r w:rsidRPr="00C33834">
        <w:rPr>
          <w:color w:val="000000" w:themeColor="text1"/>
          <w:sz w:val="16"/>
          <w:szCs w:val="16"/>
        </w:rPr>
        <w:noBreakHyphen/>
        <w:t>44) (15246).</w:t>
      </w:r>
    </w:p>
    <w:p w14:paraId="36B7CA1A" w14:textId="77777777" w:rsidR="00B4520E" w:rsidRPr="00C33834" w:rsidRDefault="00B4520E" w:rsidP="00C33834">
      <w:pPr>
        <w:pStyle w:val="rtejustify"/>
        <w:spacing w:before="0" w:after="0"/>
        <w:rPr>
          <w:color w:val="000000" w:themeColor="text1"/>
          <w:sz w:val="16"/>
          <w:szCs w:val="16"/>
        </w:rPr>
      </w:pPr>
    </w:p>
    <w:p w14:paraId="43D11991" w14:textId="77777777" w:rsidR="00C22911" w:rsidRPr="00C33834" w:rsidRDefault="00C22911"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июля 1933-го года на общезаводской конференции заводского комитета «Нового Сормова» также отмечались многочисленные негативные моменты в работе предприятия — «вокруг цехов разбросаны импортные детали, плановые задания запутаны, техучеба проходит неудовлетворительно, много прогулов». [15 — Там же, Л. 15.] (11741).</w:t>
      </w:r>
    </w:p>
    <w:p w14:paraId="47CEAC83" w14:textId="77777777" w:rsidR="00C22911" w:rsidRPr="00C33834" w:rsidRDefault="00C22911" w:rsidP="00C33834">
      <w:pPr>
        <w:shd w:val="clear" w:color="auto" w:fill="FFFFFF"/>
        <w:spacing w:after="0" w:line="240" w:lineRule="auto"/>
        <w:jc w:val="both"/>
        <w:rPr>
          <w:rFonts w:ascii="Times New Roman" w:hAnsi="Times New Roman"/>
          <w:color w:val="000000" w:themeColor="text1"/>
          <w:sz w:val="16"/>
          <w:szCs w:val="16"/>
        </w:rPr>
      </w:pPr>
    </w:p>
    <w:p w14:paraId="5EBCF973" w14:textId="77777777" w:rsidR="004907CB" w:rsidRPr="00C33834" w:rsidRDefault="004907C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июля 1933 г. первый алюминий дал Днепровский алюминиевый завод им. Кирова в Запорожье. Завод использовал энергию Днепрогэса и был первым крупным предприятием алюминиевой отрасли в СССР. На год раньше Днепровского завода был пущен Волховский алюминиевый завод, но он имел небольшую мощность. В годы войны оба завода прекратили работу, что привело к огромному дефициту «крылатого металла» в СССР. Проблема была частично решена только в 1943 г. с пуском завода в Новокузнецке (17325).</w:t>
      </w:r>
    </w:p>
    <w:p w14:paraId="12BAA525" w14:textId="77777777" w:rsidR="004907CB" w:rsidRPr="00C33834" w:rsidRDefault="004907CB" w:rsidP="00C33834">
      <w:pPr>
        <w:shd w:val="clear" w:color="auto" w:fill="FFFFFF"/>
        <w:spacing w:after="0" w:line="240" w:lineRule="auto"/>
        <w:jc w:val="both"/>
        <w:rPr>
          <w:rFonts w:ascii="Times New Roman" w:hAnsi="Times New Roman"/>
          <w:color w:val="000000" w:themeColor="text1"/>
          <w:sz w:val="16"/>
          <w:szCs w:val="16"/>
        </w:rPr>
      </w:pPr>
    </w:p>
    <w:p w14:paraId="1D5E334B" w14:textId="77777777" w:rsidR="00C2291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41E27639"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27DE4878"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июля 1933 после завершения строительства Днепрогэса и ликвидации днепровских порогов пущен первый пароход по маршруту Киев-Херсон (4962).</w:t>
      </w:r>
    </w:p>
    <w:p w14:paraId="158EDC51" w14:textId="77777777" w:rsidR="00C22911" w:rsidRPr="00C33834" w:rsidRDefault="00C22911" w:rsidP="00C33834">
      <w:pPr>
        <w:tabs>
          <w:tab w:val="left" w:pos="11199"/>
        </w:tabs>
        <w:spacing w:after="0" w:line="240" w:lineRule="auto"/>
        <w:jc w:val="both"/>
        <w:rPr>
          <w:rFonts w:ascii="Times New Roman" w:hAnsi="Times New Roman"/>
          <w:color w:val="000000" w:themeColor="text1"/>
          <w:sz w:val="16"/>
          <w:szCs w:val="16"/>
        </w:rPr>
      </w:pPr>
    </w:p>
    <w:p w14:paraId="6AE53954" w14:textId="77777777" w:rsidR="008D5554" w:rsidRPr="00C33834" w:rsidRDefault="008D555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17 июля 1933 после завершения строительства Днепрогэса и ликвидации днепровских порогов, на протяжении веков делившие Днепр на две не связанные между собой части, запустили первый пароход "В.Я. Чубарь" по маршруту Киев-Херсон. Первым пароходом прошедшим по судоходному шлюзу 1 мая 1933 года был пароход "Софья Перовская" (21177).</w:t>
      </w:r>
    </w:p>
    <w:p w14:paraId="76D54772" w14:textId="77777777" w:rsidR="008D5554" w:rsidRPr="00C33834" w:rsidRDefault="008D5554" w:rsidP="00C33834">
      <w:pPr>
        <w:spacing w:after="0" w:line="240" w:lineRule="auto"/>
        <w:jc w:val="both"/>
        <w:rPr>
          <w:rFonts w:ascii="Times New Roman" w:hAnsi="Times New Roman"/>
          <w:color w:val="0070C0"/>
          <w:sz w:val="16"/>
          <w:szCs w:val="16"/>
        </w:rPr>
      </w:pPr>
    </w:p>
    <w:p w14:paraId="24A6D629" w14:textId="77777777" w:rsidR="00C2291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2F72A85B"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04240C17" w14:textId="77777777" w:rsidR="001C6342" w:rsidRPr="00C33834" w:rsidRDefault="001C6342"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shd w:val="clear" w:color="auto" w:fill="FFFFFF"/>
        </w:rPr>
        <w:t>17 июля 1933 в 14.20 Вилли Пост, который решил превзойти свой же рекорд двухлетней давности, оснастив «Винни Мэй» новейшим автопилотом «Сперри» и радиокомпасом и вылетел 15 июля в 5 часов утра из Нью-Йорка, приземлился в Москве, а через три часа стартовал дальше на восток. 18 июля в 6.30 утра «Локхид» сел в Новосибирске, а через два с половиной часа американец вновь был в воздухе. В 15.35 он был в Иркутске, а уже через три с небольшим часа направился в Хабаровск. Усталый Пост встретил на этом этапе крайне неблагоприятную погоду: дождь, сильный ветер, низкая облачность. Пришлось приземлиться в городе Рухлово (ныне Сковородино, Амурской области). Выйдя из самолета и едва добравшись до кровати, Пост тут же уснул.</w:t>
      </w:r>
    </w:p>
    <w:p w14:paraId="75F08FB1" w14:textId="77777777" w:rsidR="001C6342" w:rsidRPr="00C33834" w:rsidRDefault="001C634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shd w:val="clear" w:color="auto" w:fill="FFFFFF"/>
        </w:rPr>
        <w:t>В полночь 20 июля американский рекордсмен вылетел из Рухлово. В Хабаровске он был около 4 часов утра, а в 6 часов – вылетел в Ном. В полете, рассчитав запас и расход топлива, Пост принял решение не садиться в Номе, а продолжить полет до Фербанкса, но был вынужден сесть в местечке Флэт (Flat), не долетев до места назначения 600 км. При посадке было повреждено шасси и винт. Пост сообщил о повреждениях в Фернбанкс и к нему с новым винтом вылетел, уже известный нам, пилот Джо Кроссон. Самолет был быстро восстановлен и 21 июля рекордный перелет продолжился. Пост, совершив посадки в Фербанксе и Эдмонтоне, 22 июля в полночь приземлился в Нью-Йорке встречаемый многотысячной толпой. Вилли Пост установил новый рекорд кругосветного перелета – 7 суток 18 часов 50 минут (21438).</w:t>
      </w:r>
    </w:p>
    <w:p w14:paraId="28C56221" w14:textId="77777777" w:rsidR="001C6342" w:rsidRPr="00C33834" w:rsidRDefault="001C6342" w:rsidP="00C33834">
      <w:pPr>
        <w:spacing w:after="0" w:line="240" w:lineRule="auto"/>
        <w:jc w:val="both"/>
        <w:rPr>
          <w:rFonts w:ascii="Times New Roman" w:hAnsi="Times New Roman"/>
          <w:color w:val="0070C0"/>
          <w:sz w:val="16"/>
          <w:szCs w:val="16"/>
        </w:rPr>
      </w:pPr>
    </w:p>
    <w:p w14:paraId="5CB16D25" w14:textId="77777777" w:rsidR="004907CB" w:rsidRPr="00C33834" w:rsidRDefault="004907CB"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17 июля 1933 г. над Германией при попытке совершить трансатлантический перелет из Нью-Йорка в Каунас погибли американские летчики литовского происхождения Стяпонас Дарюс и Стасис Гиренас. Они вылетели из Нью-Йорка утром 15 июля на самолете </w:t>
      </w:r>
      <w:r w:rsidRPr="00C33834">
        <w:rPr>
          <w:rFonts w:ascii="Times New Roman" w:eastAsia="Times New Roman" w:hAnsi="Times New Roman"/>
          <w:bCs/>
          <w:iCs/>
          <w:color w:val="000000" w:themeColor="text1"/>
          <w:sz w:val="16"/>
          <w:szCs w:val="16"/>
          <w:lang w:eastAsia="ru-RU"/>
        </w:rPr>
        <w:t xml:space="preserve">«Bellanca CH-300 Pacemaker», </w:t>
      </w:r>
      <w:r w:rsidRPr="00C33834">
        <w:rPr>
          <w:rFonts w:ascii="Times New Roman" w:eastAsia="Times New Roman" w:hAnsi="Times New Roman"/>
          <w:color w:val="000000" w:themeColor="text1"/>
          <w:sz w:val="16"/>
          <w:szCs w:val="16"/>
          <w:lang w:eastAsia="ru-RU"/>
        </w:rPr>
        <w:t>конструкции Джузеппе Беланча, полет проходил нормально. Уже над Германией почти в час ночи 17 июля самолет Дарюса и Гиренаса потерпел аварию, утреннее приземление в Каунасе не состоялось. Главная причина, которую называли, — перерасход топлива и неожиданное опасное снижение. Стасису Гиренасу было 39 лет, Стяпонасу Дарюсу – 37 лет. Дарюс – футболист, участник олимпиады 1924 г. в Париже – запасной вратарь сборной Литвы. Летчики Дарюс и Гиренас – национальные герои Литвы (17325).</w:t>
      </w:r>
    </w:p>
    <w:p w14:paraId="1DB5063A" w14:textId="77777777" w:rsidR="004907CB" w:rsidRPr="00C33834" w:rsidRDefault="004907CB" w:rsidP="00C33834">
      <w:pPr>
        <w:spacing w:after="0" w:line="240" w:lineRule="auto"/>
        <w:jc w:val="both"/>
        <w:rPr>
          <w:rFonts w:ascii="Times New Roman" w:hAnsi="Times New Roman"/>
          <w:iCs/>
          <w:color w:val="000000" w:themeColor="text1"/>
          <w:sz w:val="16"/>
          <w:szCs w:val="16"/>
        </w:rPr>
      </w:pPr>
    </w:p>
    <w:p w14:paraId="44BC941F"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июля 1933 года, после прихода к власти во Франции блока радикалов и социалистов, Троцкий получил от французского правительства разрешение на проживание в этой стране (9492).</w:t>
      </w:r>
    </w:p>
    <w:p w14:paraId="118B33D2"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244FA880" w14:textId="77777777" w:rsidR="00C2291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F000C98"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5FEFF1BE"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18-19 июля 1933 был перелет из Москвы в Варшаву Ф.А.Ингауниса и Б.А.Туржанского с механиками на двух Р-5, но по разным маршрутам - Москва-Гомель-Львов (Ингаунис) и Москва-Витебск-Вильнюс. На обратном пути - поменялись. Ответный на визит Баяна и Дудзинского в мае 1933 (438,650).</w:t>
      </w:r>
    </w:p>
    <w:p w14:paraId="1319EDA7"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64BEDB29"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июля 1933 в Москву из Милана прилетел летчик ди Бернарди на самолете "Капрони-111". Этот 5-местный подкосный высокоплан с мотором "Ассо-Изотта Фраскини" 750 л.с. покрыл расстояние 2600 км без посадки за 12 летных часов. Перелет не посягал на рекордные достижения, однако являлся частью демонстрации военных приготовлений авиации Италии. Интересно, что буквально на следующий день на другой стороне земного шара итальянцы заявили о себе заметно более масштабной акцией (11941).</w:t>
      </w:r>
    </w:p>
    <w:p w14:paraId="08EA9647"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2A93E83A" w14:textId="77777777" w:rsidR="00C2291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0740C906"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5B6C9763"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18 по 25 июля 1933 Сталин, Ворошилов и Киров совершили на теплоходе «Анохин» поездку по Беломорско-Балтийскому каналу, ознакомившись с его сооружениями и встретившись в районе порта Сорока с эскадрой боевых кораблей Северного флота, совершавшей переход по каналу из Балтийского в Белое море (7560).</w:t>
      </w:r>
    </w:p>
    <w:p w14:paraId="6FF8913F"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2DE90763" w14:textId="77777777" w:rsidR="004907CB" w:rsidRPr="00C33834" w:rsidRDefault="004907C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июля (1933)</w:t>
      </w:r>
      <w:r w:rsidRPr="00C33834">
        <w:rPr>
          <w:rFonts w:ascii="Times New Roman" w:hAnsi="Times New Roman"/>
          <w:bCs/>
          <w:color w:val="000000" w:themeColor="text1"/>
          <w:sz w:val="16"/>
          <w:szCs w:val="16"/>
        </w:rPr>
        <w:t xml:space="preserve"> Сталин и Ворошилов приехали в Ленинград и вместе с Кировым в тот же день на пароходе «Анохин» в сопровождении начальника ОГПУ Ягоды отбыли на Беломорско-Балтийский канал.» (17325).</w:t>
      </w:r>
    </w:p>
    <w:p w14:paraId="5FCD3136" w14:textId="77777777" w:rsidR="004907CB" w:rsidRPr="00C33834" w:rsidRDefault="004907CB" w:rsidP="00C33834">
      <w:pPr>
        <w:spacing w:after="0" w:line="240" w:lineRule="auto"/>
        <w:jc w:val="both"/>
        <w:rPr>
          <w:rFonts w:ascii="Times New Roman" w:hAnsi="Times New Roman"/>
          <w:color w:val="000000" w:themeColor="text1"/>
          <w:sz w:val="16"/>
          <w:szCs w:val="16"/>
        </w:rPr>
      </w:pPr>
    </w:p>
    <w:p w14:paraId="2B0D1940" w14:textId="77777777" w:rsidR="008D5554" w:rsidRPr="00C33834" w:rsidRDefault="008D5554"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08E75FB" w14:textId="77777777" w:rsidR="008D5554" w:rsidRPr="00C33834" w:rsidRDefault="008D5554" w:rsidP="00C33834">
      <w:pPr>
        <w:spacing w:after="0" w:line="240" w:lineRule="auto"/>
        <w:jc w:val="both"/>
        <w:rPr>
          <w:rFonts w:ascii="Times New Roman" w:hAnsi="Times New Roman"/>
          <w:iCs/>
          <w:color w:val="000000" w:themeColor="text1"/>
          <w:sz w:val="16"/>
          <w:szCs w:val="16"/>
        </w:rPr>
      </w:pPr>
    </w:p>
    <w:p w14:paraId="74B94E5C" w14:textId="77777777" w:rsidR="008D5554" w:rsidRPr="00C33834" w:rsidRDefault="008D555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shd w:val="clear" w:color="auto" w:fill="FFFFFF"/>
        </w:rPr>
        <w:t>18 июля 1933 года итальянский самолет «Капрони» Ca.111 (Caproni) под управлением мирового рекордсмена Марио де Бернарди (Mario de Bernardi) с пятью пассажирами на борту без промежуточных посадок прибыл из Милана в Москву (21438).</w:t>
      </w:r>
    </w:p>
    <w:p w14:paraId="04001E0E" w14:textId="77777777" w:rsidR="008D5554" w:rsidRPr="00C33834" w:rsidRDefault="008D5554" w:rsidP="00C33834">
      <w:pPr>
        <w:spacing w:after="0" w:line="240" w:lineRule="auto"/>
        <w:jc w:val="both"/>
        <w:rPr>
          <w:rFonts w:ascii="Times New Roman" w:hAnsi="Times New Roman"/>
          <w:color w:val="0070C0"/>
          <w:sz w:val="16"/>
          <w:szCs w:val="16"/>
        </w:rPr>
      </w:pPr>
    </w:p>
    <w:p w14:paraId="5DE5D30F" w14:textId="77777777" w:rsidR="00C2291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4DEDC9C"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04C237AC"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июля 1933 ГИ-М ВВС РККА Аузен утвердит Техтребования к одноместному истребителю И-16 (ЦКБ-12) под мотор М-22 (2303,21).</w:t>
      </w:r>
    </w:p>
    <w:p w14:paraId="29DE83A6"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Летные данные</w:t>
      </w:r>
    </w:p>
    <w:p w14:paraId="586D39B1"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 полезной нагрузкой 230,6 кг и запасом горбчего и смазочного, обеспечивающим технический радиус действия 250 км на боевой высоте 5000 м, должен обладать следующими ЛД:</w:t>
      </w:r>
    </w:p>
    <w:p w14:paraId="714B1297"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Скорость макс. на высоте 5000 м</w:t>
      </w:r>
      <w:r w:rsidRPr="00C33834">
        <w:rPr>
          <w:rFonts w:ascii="Times New Roman" w:hAnsi="Times New Roman"/>
          <w:color w:val="000000" w:themeColor="text1"/>
          <w:sz w:val="16"/>
          <w:szCs w:val="16"/>
        </w:rPr>
        <w:tab/>
        <w:t>300</w:t>
      </w:r>
    </w:p>
    <w:p w14:paraId="68151C25"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Время набора высоты 5000 м</w:t>
      </w:r>
      <w:r w:rsidRPr="00C33834">
        <w:rPr>
          <w:rFonts w:ascii="Times New Roman" w:hAnsi="Times New Roman"/>
          <w:color w:val="000000" w:themeColor="text1"/>
          <w:sz w:val="16"/>
          <w:szCs w:val="16"/>
        </w:rPr>
        <w:tab/>
        <w:t>7,5-8</w:t>
      </w:r>
    </w:p>
    <w:p w14:paraId="0CE5A9DC"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3. Потолок практический не менее 6500</w:t>
      </w:r>
    </w:p>
    <w:p w14:paraId="61B21E68"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Посадочная скорость не более</w:t>
      </w:r>
      <w:r w:rsidRPr="00C33834">
        <w:rPr>
          <w:rFonts w:ascii="Times New Roman" w:hAnsi="Times New Roman"/>
          <w:color w:val="000000" w:themeColor="text1"/>
          <w:sz w:val="16"/>
          <w:szCs w:val="16"/>
        </w:rPr>
        <w:tab/>
        <w:t>100-105</w:t>
      </w:r>
    </w:p>
    <w:p w14:paraId="0945728C"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p w14:paraId="48481483"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Емкость баков д.б. расчитана на технический радиус в 300 км</w:t>
      </w:r>
    </w:p>
    <w:p w14:paraId="1047D383"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Последовательность требований</w:t>
      </w:r>
    </w:p>
    <w:p w14:paraId="2E8A0DFA"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Тактические свойства с-та требуют, чтобы при выполнении и перевыполнении поставленных выше лд конструктор, учитывал нижеследующую по важности их последовательность:</w:t>
      </w:r>
    </w:p>
    <w:p w14:paraId="0146EAF1"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Скорость</w:t>
      </w:r>
    </w:p>
    <w:p w14:paraId="18AFDF18"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Скороподъемность</w:t>
      </w:r>
    </w:p>
    <w:p w14:paraId="2E0E5065"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Маневренность</w:t>
      </w:r>
    </w:p>
    <w:p w14:paraId="762F0C44"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Полетные качества</w:t>
      </w:r>
    </w:p>
    <w:p w14:paraId="05F67F89"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Длина разбега с-та при безветрии не д. превышать 60 м</w:t>
      </w:r>
    </w:p>
    <w:p w14:paraId="5C875926"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Длина пробега при применении тормозов не д.б. более 120 м</w:t>
      </w:r>
    </w:p>
    <w:p w14:paraId="4F73F15A"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Разбег и пробег с-та д.б. устойчивыми без всяких тенденций к разворачиванию</w:t>
      </w:r>
    </w:p>
    <w:p w14:paraId="2DFEEEC6"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С-т должен на высоте 5000 м выполнять все фигуры высшего пилотажа</w:t>
      </w:r>
    </w:p>
    <w:p w14:paraId="281AFD0B"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Серийные пятикратные мертвые петли на высоте 5000 м д. Выполняться без снижения</w:t>
      </w:r>
    </w:p>
    <w:p w14:paraId="2E6A640B"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Серийные пятикрытные виражи на высоте 1000 м без снижения д. Выполняться за 13 с. Восьмерки на высоте 1000 м должны выполняться не больше, чем за 27 с.</w:t>
      </w:r>
    </w:p>
    <w:p w14:paraId="428CB3B1"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Двойной переворо на высоте 1000 м должен выполняться как левый, так и правый, не долбше, чем за 4-4,5</w:t>
      </w:r>
    </w:p>
    <w:p w14:paraId="2AD661E5"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При потери скорости до посадочной с-т должен иметь хорошую управляемость</w:t>
      </w:r>
    </w:p>
    <w:p w14:paraId="7D766ACD"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С-т не должен иметь тенденции к срывы в штопор на всех режимах. При сознательном введении в штопор с-т должен легко входить в него и выходить из него (обратная нога и ручка нейтральна) с запаздывание не более полувитка писле 6 витков.</w:t>
      </w:r>
    </w:p>
    <w:p w14:paraId="42EC27CB"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С-т должен допускать пикирование под углом 90 гр. с мотором на малом гагу на протяжении по вертикали не менее 1200 м. Во время пикирования на этих условиях является обязательным сохранени полной устойчивости по трем осям (продольно, поперечной, пути).</w:t>
      </w:r>
    </w:p>
    <w:p w14:paraId="78BF712E"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С-т должен быть в продольном отношении и в отношении пути устойчив на всех режимах от отвесного пикирования до посадочного для всех присущих ему вариантов нагрузкок.</w:t>
      </w:r>
    </w:p>
    <w:p w14:paraId="6365FB21"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Балансировка с-та д.б. такова, чтобы при всех длительных режимах полета (подъем, полет на крейсерской скорости) давление на ручку было не более 0,5 кг</w:t>
      </w:r>
    </w:p>
    <w:p w14:paraId="5A5FFFEC"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При производстве любых фигур, присущих с-ту, включая пикирование или крутое пикирование и выход из них при управлении РВ и элеронами на боевой высоте давление не д. Превышать 1 кг</w:t>
      </w:r>
    </w:p>
    <w:p w14:paraId="2FE9DFE5"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При производстве на боевой высоте фигур, присущих данному с-ту, давление на ногу не должно превышать 2 кг</w:t>
      </w:r>
    </w:p>
    <w:p w14:paraId="3A3F21E5"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При пикировании с-та на ручку не должно возникать обратного давления (затягивание в пикирование)</w:t>
      </w:r>
    </w:p>
    <w:p w14:paraId="23040F88"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При производстве фигур ни при каких отклонениях рудей не должно иметь место явление перекомпенсации</w:t>
      </w:r>
    </w:p>
    <w:p w14:paraId="6DD496DD"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Руление на земле д.б. возвожно на скорости, позволяющей сопровождать с-т шагом. При этой скорости д.б. сохранена эффективность рулей.</w:t>
      </w:r>
    </w:p>
    <w:p w14:paraId="0FACA0E9"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Ни при каких режимах полета не д водникать вибрации оперения и крыльев</w:t>
      </w:r>
    </w:p>
    <w:p w14:paraId="6CA5D199"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Конструкция</w:t>
      </w:r>
    </w:p>
    <w:p w14:paraId="3066DB4F"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(см. Общие требования к с-там 5 летнего плана)</w:t>
      </w:r>
    </w:p>
    <w:p w14:paraId="74F841EF"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С-т по нормам прочности дюб. Отнесен к 12 группе 2-0го класса с учетом того, что его конструкци и материал (удельный вес и сортамент) будут таковыми, которые позволяют серийным з-дам выпускать с-т без перетяжеления.</w:t>
      </w:r>
    </w:p>
    <w:p w14:paraId="73065EAA"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С-т д.б. снабжен стабилизаторов, регулируемым только на земле</w:t>
      </w:r>
    </w:p>
    <w:p w14:paraId="566A8EE0"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Крылья д.б. снабжены поручнями для привязывания с-та на стоянке</w:t>
      </w:r>
    </w:p>
    <w:p w14:paraId="50F80F99"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Конструкция д. Иметь люки для просмотра всех трущихся частей управления (ролики, качелки, направляющие).</w:t>
      </w:r>
    </w:p>
    <w:p w14:paraId="577B53D2"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Расположение баков и их крепление д. Обеспечить возможность смены баков для ремонта бз разборки с-та в течение не свыше 1 часа</w:t>
      </w:r>
    </w:p>
    <w:p w14:paraId="314B8711"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Капотирование мотора д. Обеспечивать возможность просмотра без снятия капота фильтров, карбюратора, помп, бензо- и маслопроводки и свечей</w:t>
      </w:r>
    </w:p>
    <w:p w14:paraId="3989609B"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Снятие капотов не должно отнимать времени более 2-х минут, закопачивание - 5 минут (при кольце Тауненда).</w:t>
      </w:r>
    </w:p>
    <w:p w14:paraId="664BF472"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Конструкция рукояток управления мотором у пилота д. Допускать возможность управления одной рукой в мягкой пречатке.</w:t>
      </w:r>
    </w:p>
    <w:p w14:paraId="0AEDA6F6"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Передача управления мотором д.б. жесткой и не иметь люфтов (в пределах заводских допусков)</w:t>
      </w:r>
    </w:p>
    <w:p w14:paraId="5A2AF445"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С-т д.б. снабжен самопуском из кабины л, присущем данному типу мотора</w:t>
      </w:r>
    </w:p>
    <w:p w14:paraId="3CE9F127"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На втулке винта д.б. смонтирован храповик для запуска автомобильным пускачем</w:t>
      </w:r>
    </w:p>
    <w:p w14:paraId="75D54932"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Конструкция ф-жа д предусматривать защиту л при капоте</w:t>
      </w:r>
    </w:p>
    <w:p w14:paraId="1265EFD0"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Д.б. обеспечена возможность легкого выпрыгивания л на парашюте, конструктор д. Доказать возможность и наилучший способ оставления с-та</w:t>
      </w:r>
    </w:p>
    <w:p w14:paraId="6BADC0B9"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Сидение л должно обеспечивать удобство пилотирования и стрельбы в зимнем летном обмундировании с парашютом</w:t>
      </w:r>
    </w:p>
    <w:p w14:paraId="03C761F6"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С-т должен обладать тормозными колесами, затормаживаемыми как совместно, так и по отдельности</w:t>
      </w:r>
    </w:p>
    <w:p w14:paraId="1305CB73"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Аммортизация д.б. масляно-пневматической, не замерзающей до минус 60</w:t>
      </w:r>
    </w:p>
    <w:p w14:paraId="605AAD47"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Должна быть предусмотрена возможность легкой смены колес на лыжи и иметь крепления амортизаторов лыж</w:t>
      </w:r>
    </w:p>
    <w:p w14:paraId="11B666F8"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Д.б. обеспечена возможность разгрузки пневматиков во время стоянки на земле и места для хранения троссов при буксировке с-тов трактором на аэродроме</w:t>
      </w:r>
    </w:p>
    <w:p w14:paraId="1D98FA55"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Коллектор для выхлопных газов должен обеспечивать л от ослепления при ночных полетах (коллектор д.б. съемным и входит в счет перегрузки)</w:t>
      </w:r>
    </w:p>
    <w:p w14:paraId="10C8583D"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С-т должен иметь максимально обтекаемые формы с широким применением обтекателей на всех, могущих создавать лобавочное сопротивление частях</w:t>
      </w:r>
    </w:p>
    <w:p w14:paraId="70EDC8F7"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Ни при каких режимах работы мотора не д. Набльдаться вибрации отдельных элементов конструкции с-та</w:t>
      </w:r>
    </w:p>
    <w:p w14:paraId="6D439D65"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При стрельбе из пулеметов не должны разрушаться никакие элементы конструкции</w:t>
      </w:r>
    </w:p>
    <w:p w14:paraId="55FA1AA9"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Нагрузка (2303,21).</w:t>
      </w:r>
    </w:p>
    <w:p w14:paraId="76DD9FAE"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2F43D1B2"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июля 1933 года с исх. № 615/116с был направлен/получен</w:t>
      </w:r>
    </w:p>
    <w:p w14:paraId="57D05A53"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Список заводов, ремонтных мастерских, научно-исследовательских учреждений, школ и учебных заведений Аэрофлота на 1 июля 1933 года</w:t>
      </w:r>
    </w:p>
    <w:p w14:paraId="6F2618FC"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551"/>
        <w:gridCol w:w="2693"/>
        <w:gridCol w:w="2835"/>
      </w:tblGrid>
      <w:tr w:rsidR="00F26F01" w:rsidRPr="00C33834" w14:paraId="631C3C26" w14:textId="77777777">
        <w:tc>
          <w:tcPr>
            <w:tcW w:w="2235" w:type="dxa"/>
          </w:tcPr>
          <w:p w14:paraId="23997EE6"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w:t>
            </w:r>
          </w:p>
        </w:tc>
        <w:tc>
          <w:tcPr>
            <w:tcW w:w="2551" w:type="dxa"/>
          </w:tcPr>
          <w:p w14:paraId="52A60110"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Местонахождение</w:t>
            </w:r>
          </w:p>
        </w:tc>
        <w:tc>
          <w:tcPr>
            <w:tcW w:w="2693" w:type="dxa"/>
          </w:tcPr>
          <w:p w14:paraId="4583B5E7"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Характер работы</w:t>
            </w:r>
          </w:p>
        </w:tc>
        <w:tc>
          <w:tcPr>
            <w:tcW w:w="2835" w:type="dxa"/>
          </w:tcPr>
          <w:p w14:paraId="68E638C1"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Состояние</w:t>
            </w:r>
          </w:p>
        </w:tc>
      </w:tr>
    </w:tbl>
    <w:p w14:paraId="4D3C5732"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551"/>
        <w:gridCol w:w="2693"/>
        <w:gridCol w:w="2835"/>
      </w:tblGrid>
      <w:tr w:rsidR="00F26F01" w:rsidRPr="00C33834" w14:paraId="7356B351" w14:textId="77777777">
        <w:tc>
          <w:tcPr>
            <w:tcW w:w="2235" w:type="dxa"/>
          </w:tcPr>
          <w:p w14:paraId="1EE9E764"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81</w:t>
            </w:r>
          </w:p>
        </w:tc>
        <w:tc>
          <w:tcPr>
            <w:tcW w:w="2551" w:type="dxa"/>
          </w:tcPr>
          <w:p w14:paraId="0E5EB316"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Тушино</w:t>
            </w:r>
          </w:p>
        </w:tc>
        <w:tc>
          <w:tcPr>
            <w:tcW w:w="2693" w:type="dxa"/>
          </w:tcPr>
          <w:p w14:paraId="6208F89B"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стальных самолетов</w:t>
            </w:r>
          </w:p>
        </w:tc>
        <w:tc>
          <w:tcPr>
            <w:tcW w:w="2835" w:type="dxa"/>
          </w:tcPr>
          <w:p w14:paraId="0D363332"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Действующий</w:t>
            </w:r>
          </w:p>
        </w:tc>
      </w:tr>
      <w:tr w:rsidR="00F26F01" w:rsidRPr="00C33834" w14:paraId="66A516AD" w14:textId="77777777">
        <w:tc>
          <w:tcPr>
            <w:tcW w:w="2235" w:type="dxa"/>
          </w:tcPr>
          <w:p w14:paraId="602A266E"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82</w:t>
            </w:r>
          </w:p>
        </w:tc>
        <w:tc>
          <w:tcPr>
            <w:tcW w:w="2551" w:type="dxa"/>
          </w:tcPr>
          <w:p w14:paraId="4C113B7A"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Тушино</w:t>
            </w:r>
          </w:p>
        </w:tc>
        <w:tc>
          <w:tcPr>
            <w:tcW w:w="2693" w:type="dxa"/>
          </w:tcPr>
          <w:p w14:paraId="4C239847"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запчастей и аэродромного оборудования</w:t>
            </w:r>
          </w:p>
        </w:tc>
        <w:tc>
          <w:tcPr>
            <w:tcW w:w="2835" w:type="dxa"/>
          </w:tcPr>
          <w:p w14:paraId="0C95B749"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Строящийся</w:t>
            </w:r>
          </w:p>
        </w:tc>
      </w:tr>
      <w:tr w:rsidR="00F26F01" w:rsidRPr="00C33834" w14:paraId="12F7E878" w14:textId="77777777">
        <w:tc>
          <w:tcPr>
            <w:tcW w:w="2235" w:type="dxa"/>
          </w:tcPr>
          <w:p w14:paraId="6663DCA9"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83</w:t>
            </w:r>
          </w:p>
        </w:tc>
        <w:tc>
          <w:tcPr>
            <w:tcW w:w="2551" w:type="dxa"/>
          </w:tcPr>
          <w:p w14:paraId="20153C3A"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Хабаровск</w:t>
            </w:r>
          </w:p>
        </w:tc>
        <w:tc>
          <w:tcPr>
            <w:tcW w:w="2693" w:type="dxa"/>
          </w:tcPr>
          <w:p w14:paraId="69B44812"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Ремонт самолетов и моторов</w:t>
            </w:r>
          </w:p>
        </w:tc>
        <w:tc>
          <w:tcPr>
            <w:tcW w:w="2835" w:type="dxa"/>
          </w:tcPr>
          <w:p w14:paraId="443DD3EC"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Строящийся</w:t>
            </w:r>
          </w:p>
        </w:tc>
      </w:tr>
      <w:tr w:rsidR="00F26F01" w:rsidRPr="00C33834" w14:paraId="63ED76BE" w14:textId="77777777">
        <w:tc>
          <w:tcPr>
            <w:tcW w:w="2235" w:type="dxa"/>
          </w:tcPr>
          <w:p w14:paraId="4B9DEE01"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84</w:t>
            </w:r>
          </w:p>
        </w:tc>
        <w:tc>
          <w:tcPr>
            <w:tcW w:w="2551" w:type="dxa"/>
          </w:tcPr>
          <w:p w14:paraId="04C06EDD"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Химки</w:t>
            </w:r>
          </w:p>
        </w:tc>
        <w:tc>
          <w:tcPr>
            <w:tcW w:w="2693" w:type="dxa"/>
          </w:tcPr>
          <w:p w14:paraId="6569C73C"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Ремонт самолетов и моторов</w:t>
            </w:r>
          </w:p>
        </w:tc>
        <w:tc>
          <w:tcPr>
            <w:tcW w:w="2835" w:type="dxa"/>
          </w:tcPr>
          <w:p w14:paraId="260D366B"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Строящийся</w:t>
            </w:r>
          </w:p>
        </w:tc>
      </w:tr>
      <w:tr w:rsidR="00F26F01" w:rsidRPr="00C33834" w14:paraId="5F57E2CF" w14:textId="77777777">
        <w:tc>
          <w:tcPr>
            <w:tcW w:w="2235" w:type="dxa"/>
          </w:tcPr>
          <w:p w14:paraId="27F148FE"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85</w:t>
            </w:r>
          </w:p>
        </w:tc>
        <w:tc>
          <w:tcPr>
            <w:tcW w:w="2551" w:type="dxa"/>
          </w:tcPr>
          <w:p w14:paraId="6E89F650"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Тушино</w:t>
            </w:r>
          </w:p>
        </w:tc>
        <w:tc>
          <w:tcPr>
            <w:tcW w:w="2693" w:type="dxa"/>
          </w:tcPr>
          <w:p w14:paraId="3DBB4430"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радиоаппаратуры</w:t>
            </w:r>
          </w:p>
        </w:tc>
        <w:tc>
          <w:tcPr>
            <w:tcW w:w="2835" w:type="dxa"/>
          </w:tcPr>
          <w:p w14:paraId="5433B948"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Строящийся. Мастерские работают с 1932 года.</w:t>
            </w:r>
          </w:p>
        </w:tc>
      </w:tr>
      <w:tr w:rsidR="00F26F01" w:rsidRPr="00C33834" w14:paraId="6DB159D2" w14:textId="77777777">
        <w:tc>
          <w:tcPr>
            <w:tcW w:w="2235" w:type="dxa"/>
          </w:tcPr>
          <w:p w14:paraId="49A50F5E"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86</w:t>
            </w:r>
          </w:p>
        </w:tc>
        <w:tc>
          <w:tcPr>
            <w:tcW w:w="2551" w:type="dxa"/>
          </w:tcPr>
          <w:p w14:paraId="5C4B5FC4"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Батайск</w:t>
            </w:r>
          </w:p>
        </w:tc>
        <w:tc>
          <w:tcPr>
            <w:tcW w:w="2693" w:type="dxa"/>
          </w:tcPr>
          <w:p w14:paraId="52A5BB24"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Ремонт самолетов и моторов</w:t>
            </w:r>
          </w:p>
        </w:tc>
        <w:tc>
          <w:tcPr>
            <w:tcW w:w="2835" w:type="dxa"/>
          </w:tcPr>
          <w:p w14:paraId="3B094538"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Действующий</w:t>
            </w:r>
          </w:p>
        </w:tc>
      </w:tr>
      <w:tr w:rsidR="00F26F01" w:rsidRPr="00C33834" w14:paraId="0A53E43C" w14:textId="77777777">
        <w:tc>
          <w:tcPr>
            <w:tcW w:w="2235" w:type="dxa"/>
          </w:tcPr>
          <w:p w14:paraId="47CFBD62"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87</w:t>
            </w:r>
          </w:p>
        </w:tc>
        <w:tc>
          <w:tcPr>
            <w:tcW w:w="2551" w:type="dxa"/>
          </w:tcPr>
          <w:p w14:paraId="07A12841" w14:textId="77777777" w:rsidR="00C22911" w:rsidRPr="00C33834" w:rsidRDefault="00C22911" w:rsidP="00C33834">
            <w:pPr>
              <w:spacing w:after="0" w:line="240" w:lineRule="auto"/>
              <w:jc w:val="both"/>
              <w:rPr>
                <w:rFonts w:ascii="Times New Roman" w:hAnsi="Times New Roman"/>
                <w:color w:val="000000" w:themeColor="text1"/>
                <w:sz w:val="16"/>
                <w:szCs w:val="16"/>
              </w:rPr>
            </w:pPr>
          </w:p>
        </w:tc>
        <w:tc>
          <w:tcPr>
            <w:tcW w:w="2693" w:type="dxa"/>
          </w:tcPr>
          <w:p w14:paraId="4C91FC4F" w14:textId="77777777" w:rsidR="00C22911" w:rsidRPr="00C33834" w:rsidRDefault="00C22911" w:rsidP="00C33834">
            <w:pPr>
              <w:spacing w:after="0" w:line="240" w:lineRule="auto"/>
              <w:jc w:val="both"/>
              <w:rPr>
                <w:rFonts w:ascii="Times New Roman" w:hAnsi="Times New Roman"/>
                <w:color w:val="000000" w:themeColor="text1"/>
                <w:sz w:val="16"/>
                <w:szCs w:val="16"/>
              </w:rPr>
            </w:pPr>
          </w:p>
        </w:tc>
        <w:tc>
          <w:tcPr>
            <w:tcW w:w="2835" w:type="dxa"/>
          </w:tcPr>
          <w:p w14:paraId="17895378" w14:textId="77777777" w:rsidR="00C22911" w:rsidRPr="00C33834" w:rsidRDefault="00C22911" w:rsidP="00C33834">
            <w:pPr>
              <w:spacing w:after="0" w:line="240" w:lineRule="auto"/>
              <w:jc w:val="both"/>
              <w:rPr>
                <w:rFonts w:ascii="Times New Roman" w:hAnsi="Times New Roman"/>
                <w:color w:val="000000" w:themeColor="text1"/>
                <w:sz w:val="16"/>
                <w:szCs w:val="16"/>
              </w:rPr>
            </w:pPr>
          </w:p>
        </w:tc>
      </w:tr>
      <w:tr w:rsidR="00F26F01" w:rsidRPr="00C33834" w14:paraId="03E9C0FD" w14:textId="77777777">
        <w:tc>
          <w:tcPr>
            <w:tcW w:w="2235" w:type="dxa"/>
          </w:tcPr>
          <w:p w14:paraId="4F6789C5"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88</w:t>
            </w:r>
          </w:p>
        </w:tc>
        <w:tc>
          <w:tcPr>
            <w:tcW w:w="2551" w:type="dxa"/>
          </w:tcPr>
          <w:p w14:paraId="521D1857"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Балашов</w:t>
            </w:r>
          </w:p>
        </w:tc>
        <w:tc>
          <w:tcPr>
            <w:tcW w:w="2693" w:type="dxa"/>
          </w:tcPr>
          <w:p w14:paraId="413BB046"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Ремонт самолетов и моторов</w:t>
            </w:r>
          </w:p>
        </w:tc>
        <w:tc>
          <w:tcPr>
            <w:tcW w:w="2835" w:type="dxa"/>
          </w:tcPr>
          <w:p w14:paraId="29E65223"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Действующий</w:t>
            </w:r>
          </w:p>
        </w:tc>
      </w:tr>
      <w:tr w:rsidR="00F26F01" w:rsidRPr="00C33834" w14:paraId="16D1E462" w14:textId="77777777">
        <w:tc>
          <w:tcPr>
            <w:tcW w:w="2235" w:type="dxa"/>
          </w:tcPr>
          <w:p w14:paraId="399D6D32"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УНИАДИ</w:t>
            </w:r>
          </w:p>
        </w:tc>
        <w:tc>
          <w:tcPr>
            <w:tcW w:w="2551" w:type="dxa"/>
          </w:tcPr>
          <w:p w14:paraId="6772F559"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Харьков</w:t>
            </w:r>
          </w:p>
        </w:tc>
        <w:tc>
          <w:tcPr>
            <w:tcW w:w="2693" w:type="dxa"/>
          </w:tcPr>
          <w:p w14:paraId="403B3D89"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авиадизелей</w:t>
            </w:r>
          </w:p>
        </w:tc>
        <w:tc>
          <w:tcPr>
            <w:tcW w:w="2835" w:type="dxa"/>
          </w:tcPr>
          <w:p w14:paraId="3BB48151"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Действующий</w:t>
            </w:r>
          </w:p>
        </w:tc>
      </w:tr>
      <w:tr w:rsidR="00F26F01" w:rsidRPr="00C33834" w14:paraId="66125554" w14:textId="77777777">
        <w:tc>
          <w:tcPr>
            <w:tcW w:w="2235" w:type="dxa"/>
          </w:tcPr>
          <w:p w14:paraId="0D3342EB"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Верфь Дирижаблестрой</w:t>
            </w:r>
          </w:p>
        </w:tc>
        <w:tc>
          <w:tcPr>
            <w:tcW w:w="2551" w:type="dxa"/>
          </w:tcPr>
          <w:p w14:paraId="029AF782"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 Долгопрудная</w:t>
            </w:r>
          </w:p>
        </w:tc>
        <w:tc>
          <w:tcPr>
            <w:tcW w:w="2693" w:type="dxa"/>
          </w:tcPr>
          <w:p w14:paraId="0E15EA4E"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дирижаблей</w:t>
            </w:r>
          </w:p>
        </w:tc>
        <w:tc>
          <w:tcPr>
            <w:tcW w:w="2835" w:type="dxa"/>
          </w:tcPr>
          <w:p w14:paraId="79CA6F07"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Действующий</w:t>
            </w:r>
          </w:p>
        </w:tc>
      </w:tr>
    </w:tbl>
    <w:p w14:paraId="68606608"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Научно-исследовательские учреждения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551"/>
        <w:gridCol w:w="2693"/>
        <w:gridCol w:w="2835"/>
      </w:tblGrid>
      <w:tr w:rsidR="00F26F01" w:rsidRPr="00C33834" w14:paraId="2F603C81" w14:textId="77777777">
        <w:tc>
          <w:tcPr>
            <w:tcW w:w="2235" w:type="dxa"/>
          </w:tcPr>
          <w:p w14:paraId="55373E09"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НИИ самолетный</w:t>
            </w:r>
          </w:p>
        </w:tc>
        <w:tc>
          <w:tcPr>
            <w:tcW w:w="2551" w:type="dxa"/>
          </w:tcPr>
          <w:p w14:paraId="4353C625"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Москва, Красноармейская, 17</w:t>
            </w:r>
          </w:p>
        </w:tc>
        <w:tc>
          <w:tcPr>
            <w:tcW w:w="2693" w:type="dxa"/>
          </w:tcPr>
          <w:p w14:paraId="7FE56256"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Конструкции самолетов и техническая эксплуатация</w:t>
            </w:r>
          </w:p>
        </w:tc>
        <w:tc>
          <w:tcPr>
            <w:tcW w:w="2835" w:type="dxa"/>
          </w:tcPr>
          <w:p w14:paraId="1DFA88D6"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Действующий</w:t>
            </w:r>
          </w:p>
        </w:tc>
      </w:tr>
      <w:tr w:rsidR="00F26F01" w:rsidRPr="00C33834" w14:paraId="002842D7" w14:textId="77777777">
        <w:tc>
          <w:tcPr>
            <w:tcW w:w="2235" w:type="dxa"/>
          </w:tcPr>
          <w:p w14:paraId="19FDF4A3"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НИАИ (аэро)</w:t>
            </w:r>
          </w:p>
        </w:tc>
        <w:tc>
          <w:tcPr>
            <w:tcW w:w="2551" w:type="dxa"/>
          </w:tcPr>
          <w:p w14:paraId="3E9EC78A"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Ленинград, ул. Плеханова, 7</w:t>
            </w:r>
          </w:p>
        </w:tc>
        <w:tc>
          <w:tcPr>
            <w:tcW w:w="2693" w:type="dxa"/>
          </w:tcPr>
          <w:p w14:paraId="6C59C70E"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Конструкции самолетов, земное оборудование и техническая эксплуатация</w:t>
            </w:r>
          </w:p>
        </w:tc>
        <w:tc>
          <w:tcPr>
            <w:tcW w:w="2835" w:type="dxa"/>
          </w:tcPr>
          <w:p w14:paraId="4B3660B1"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Действующий</w:t>
            </w:r>
          </w:p>
        </w:tc>
      </w:tr>
      <w:tr w:rsidR="00F26F01" w:rsidRPr="00C33834" w14:paraId="316299F9" w14:textId="77777777">
        <w:tc>
          <w:tcPr>
            <w:tcW w:w="2235" w:type="dxa"/>
          </w:tcPr>
          <w:p w14:paraId="2398F219"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НИИ авиадвигателей</w:t>
            </w:r>
          </w:p>
        </w:tc>
        <w:tc>
          <w:tcPr>
            <w:tcW w:w="2551" w:type="dxa"/>
          </w:tcPr>
          <w:p w14:paraId="3D8C6135"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Тушино, Авиагородок, корп. Б</w:t>
            </w:r>
          </w:p>
        </w:tc>
        <w:tc>
          <w:tcPr>
            <w:tcW w:w="2693" w:type="dxa"/>
          </w:tcPr>
          <w:p w14:paraId="4D79F1FD"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Конструкции авиадвигателей воздушного охлаждения и техническая эксплуатация моторов</w:t>
            </w:r>
          </w:p>
        </w:tc>
        <w:tc>
          <w:tcPr>
            <w:tcW w:w="2835" w:type="dxa"/>
          </w:tcPr>
          <w:p w14:paraId="5A45588A"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Действующий</w:t>
            </w:r>
          </w:p>
        </w:tc>
      </w:tr>
      <w:tr w:rsidR="00F26F01" w:rsidRPr="00C33834" w14:paraId="4261FB0F" w14:textId="77777777">
        <w:tc>
          <w:tcPr>
            <w:tcW w:w="2235" w:type="dxa"/>
          </w:tcPr>
          <w:p w14:paraId="2EB9B841"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Украинский научно-исследовательский авиадизельный институт (Харьковский филиал)</w:t>
            </w:r>
          </w:p>
        </w:tc>
        <w:tc>
          <w:tcPr>
            <w:tcW w:w="2551" w:type="dxa"/>
          </w:tcPr>
          <w:p w14:paraId="25DE6471"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Харьков, Черноглазовская, 21/23</w:t>
            </w:r>
          </w:p>
        </w:tc>
        <w:tc>
          <w:tcPr>
            <w:tcW w:w="2693" w:type="dxa"/>
          </w:tcPr>
          <w:p w14:paraId="5FBFF9D2"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Конструирование авиадизелей</w:t>
            </w:r>
          </w:p>
        </w:tc>
        <w:tc>
          <w:tcPr>
            <w:tcW w:w="2835" w:type="dxa"/>
          </w:tcPr>
          <w:p w14:paraId="62DFE506"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Действующий</w:t>
            </w:r>
          </w:p>
        </w:tc>
      </w:tr>
      <w:tr w:rsidR="00F26F01" w:rsidRPr="00C33834" w14:paraId="3AF4C819" w14:textId="77777777">
        <w:tc>
          <w:tcPr>
            <w:tcW w:w="2235" w:type="dxa"/>
          </w:tcPr>
          <w:p w14:paraId="43E94D29"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Киевский НИИ авиадвигателей</w:t>
            </w:r>
          </w:p>
        </w:tc>
        <w:tc>
          <w:tcPr>
            <w:tcW w:w="2551" w:type="dxa"/>
          </w:tcPr>
          <w:p w14:paraId="6841E825"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Киев, Прорезная, 25</w:t>
            </w:r>
          </w:p>
        </w:tc>
        <w:tc>
          <w:tcPr>
            <w:tcW w:w="2693" w:type="dxa"/>
          </w:tcPr>
          <w:p w14:paraId="4373D3DE"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Конструирование авиадвигателей</w:t>
            </w:r>
          </w:p>
        </w:tc>
        <w:tc>
          <w:tcPr>
            <w:tcW w:w="2835" w:type="dxa"/>
          </w:tcPr>
          <w:p w14:paraId="4D93D23A"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Действующий</w:t>
            </w:r>
          </w:p>
        </w:tc>
      </w:tr>
      <w:tr w:rsidR="00F26F01" w:rsidRPr="00C33834" w14:paraId="416F7BB6" w14:textId="77777777">
        <w:tc>
          <w:tcPr>
            <w:tcW w:w="2235" w:type="dxa"/>
          </w:tcPr>
          <w:p w14:paraId="5BAD366E"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НИИ спецслужб</w:t>
            </w:r>
          </w:p>
        </w:tc>
        <w:tc>
          <w:tcPr>
            <w:tcW w:w="2551" w:type="dxa"/>
          </w:tcPr>
          <w:p w14:paraId="1F0E0184"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Тушино</w:t>
            </w:r>
          </w:p>
        </w:tc>
        <w:tc>
          <w:tcPr>
            <w:tcW w:w="2693" w:type="dxa"/>
          </w:tcPr>
          <w:p w14:paraId="775CD97A"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Аэронавигация, аэрография, радио, светотехника, земное оборудование и авиаприборы</w:t>
            </w:r>
          </w:p>
        </w:tc>
        <w:tc>
          <w:tcPr>
            <w:tcW w:w="2835" w:type="dxa"/>
          </w:tcPr>
          <w:p w14:paraId="401003D3" w14:textId="77777777" w:rsidR="00C22911" w:rsidRPr="00C33834" w:rsidRDefault="00C22911" w:rsidP="00C33834">
            <w:pPr>
              <w:spacing w:after="0" w:line="240" w:lineRule="auto"/>
              <w:jc w:val="both"/>
              <w:rPr>
                <w:rFonts w:ascii="Times New Roman" w:hAnsi="Times New Roman"/>
                <w:color w:val="000000" w:themeColor="text1"/>
                <w:sz w:val="16"/>
                <w:szCs w:val="16"/>
              </w:rPr>
            </w:pPr>
          </w:p>
        </w:tc>
      </w:tr>
      <w:tr w:rsidR="00F26F01" w:rsidRPr="00C33834" w14:paraId="2979BF3F" w14:textId="77777777">
        <w:tc>
          <w:tcPr>
            <w:tcW w:w="2235" w:type="dxa"/>
          </w:tcPr>
          <w:p w14:paraId="6CE9C896"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ВНИИСХА (с/х авиация)</w:t>
            </w:r>
          </w:p>
        </w:tc>
        <w:tc>
          <w:tcPr>
            <w:tcW w:w="2551" w:type="dxa"/>
          </w:tcPr>
          <w:p w14:paraId="5FC109AB"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Москва, Елецкий пер., 7</w:t>
            </w:r>
          </w:p>
        </w:tc>
        <w:tc>
          <w:tcPr>
            <w:tcW w:w="2693" w:type="dxa"/>
          </w:tcPr>
          <w:p w14:paraId="0B9CC39C"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Разработка вопросов методики и техн. применения авиации в с/х</w:t>
            </w:r>
          </w:p>
        </w:tc>
        <w:tc>
          <w:tcPr>
            <w:tcW w:w="2835" w:type="dxa"/>
          </w:tcPr>
          <w:p w14:paraId="1808ED06" w14:textId="77777777" w:rsidR="00C22911" w:rsidRPr="00C33834" w:rsidRDefault="00C22911" w:rsidP="00C33834">
            <w:pPr>
              <w:spacing w:after="0" w:line="240" w:lineRule="auto"/>
              <w:jc w:val="both"/>
              <w:rPr>
                <w:rFonts w:ascii="Times New Roman" w:hAnsi="Times New Roman"/>
                <w:color w:val="000000" w:themeColor="text1"/>
                <w:sz w:val="16"/>
                <w:szCs w:val="16"/>
              </w:rPr>
            </w:pPr>
          </w:p>
        </w:tc>
      </w:tr>
      <w:tr w:rsidR="00F26F01" w:rsidRPr="00C33834" w14:paraId="3B85A2D2" w14:textId="77777777">
        <w:tc>
          <w:tcPr>
            <w:tcW w:w="2235" w:type="dxa"/>
          </w:tcPr>
          <w:p w14:paraId="3EAA92FA"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Психофизиологическая лаборатория</w:t>
            </w:r>
          </w:p>
        </w:tc>
        <w:tc>
          <w:tcPr>
            <w:tcW w:w="2551" w:type="dxa"/>
          </w:tcPr>
          <w:p w14:paraId="30D5586A"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Тушино</w:t>
            </w:r>
          </w:p>
        </w:tc>
        <w:tc>
          <w:tcPr>
            <w:tcW w:w="2693" w:type="dxa"/>
          </w:tcPr>
          <w:p w14:paraId="03AD9AF3" w14:textId="77777777" w:rsidR="00C22911" w:rsidRPr="00C33834" w:rsidRDefault="00C22911" w:rsidP="00C33834">
            <w:pPr>
              <w:spacing w:after="0" w:line="240" w:lineRule="auto"/>
              <w:jc w:val="both"/>
              <w:rPr>
                <w:rFonts w:ascii="Times New Roman" w:hAnsi="Times New Roman"/>
                <w:color w:val="000000" w:themeColor="text1"/>
                <w:sz w:val="16"/>
                <w:szCs w:val="16"/>
              </w:rPr>
            </w:pPr>
          </w:p>
        </w:tc>
        <w:tc>
          <w:tcPr>
            <w:tcW w:w="2835" w:type="dxa"/>
          </w:tcPr>
          <w:p w14:paraId="361E17D9" w14:textId="77777777" w:rsidR="00C22911" w:rsidRPr="00C33834" w:rsidRDefault="00C22911" w:rsidP="00C33834">
            <w:pPr>
              <w:spacing w:after="0" w:line="240" w:lineRule="auto"/>
              <w:jc w:val="both"/>
              <w:rPr>
                <w:rFonts w:ascii="Times New Roman" w:hAnsi="Times New Roman"/>
                <w:color w:val="000000" w:themeColor="text1"/>
                <w:sz w:val="16"/>
                <w:szCs w:val="16"/>
              </w:rPr>
            </w:pPr>
          </w:p>
        </w:tc>
      </w:tr>
    </w:tbl>
    <w:p w14:paraId="10C4149B"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(7741, 55-56)</w:t>
      </w:r>
    </w:p>
    <w:p w14:paraId="4D572845"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015822D5" w14:textId="77777777" w:rsidR="009401EE" w:rsidRPr="00C33834" w:rsidRDefault="009401E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период с 19 июля по 19 декабря 1933 г. исходя из Протоколов Президиума ЦС ОСОАВИАХИМ, С.П.К., который будучи членом Совета Общего собрания ОСОАВИАХИМ был обязан присутствовать на заседаниях Президиума, но всегда пренебрегал этой обязанностью, пока решался вопрос о создании РНИИ, не пропустил ни одного собрания Президиума ЦС ОСОАВИАХИМ, в прениях не участвовал, не выступал, создается впечатление, что он все время ждал, вдруг скажут, что решение в «верхах» наконец вынесено (ГА РФ. ФондР-8355. Оп. 1. Д. 70. Л. 41, 51, 69.) (22685).</w:t>
      </w:r>
    </w:p>
    <w:p w14:paraId="2D3CFAA8" w14:textId="77777777" w:rsidR="009401EE" w:rsidRPr="00C33834" w:rsidRDefault="009401EE" w:rsidP="00C33834">
      <w:pPr>
        <w:spacing w:after="0" w:line="240" w:lineRule="auto"/>
        <w:jc w:val="both"/>
        <w:rPr>
          <w:rFonts w:ascii="Times New Roman" w:hAnsi="Times New Roman"/>
          <w:color w:val="0070C0"/>
          <w:sz w:val="16"/>
          <w:szCs w:val="16"/>
        </w:rPr>
      </w:pPr>
    </w:p>
    <w:p w14:paraId="23B0AE1E" w14:textId="77777777" w:rsidR="00C2291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C148093"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499572C6"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июля 1933 г. Приказ начальника Военно-химического управления и химических войск РККА Я.М.Фишмана об установлении места для размещения нового военно-химического склада центрального подчинения в районе ЦВХП (станция Причернавская). В 1936 г. руководству склада было приказано начать его формирование. Ныне - это склад химического оружия в районе полигона Шиханы (Саратовская область) (4423).</w:t>
      </w:r>
    </w:p>
    <w:p w14:paraId="0560FAF0"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748776F7" w14:textId="77777777" w:rsidR="00B4520E" w:rsidRPr="00C33834" w:rsidRDefault="00B4520E"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bCs/>
          <w:iCs/>
          <w:color w:val="000000" w:themeColor="text1"/>
          <w:sz w:val="16"/>
          <w:szCs w:val="16"/>
        </w:rPr>
        <w:t>19 июля 1933 г.</w:t>
      </w:r>
      <w:r w:rsidRPr="00C33834">
        <w:rPr>
          <w:rFonts w:ascii="Times New Roman" w:hAnsi="Times New Roman"/>
          <w:color w:val="000000" w:themeColor="text1"/>
          <w:sz w:val="16"/>
          <w:szCs w:val="16"/>
        </w:rPr>
        <w:t xml:space="preserve"> Приказ начальника ВОХИМУ и химических войск РККА Я.М.Фишмана о месте размещения военно-химического склада центрального подчинения в районе полигона Шиханы (Саратовская область). В 1936 г. руководству склада № 303 было приказано начать его формирование. Этот склад химического оружия сохранился до наших дней (17133).</w:t>
      </w:r>
    </w:p>
    <w:p w14:paraId="0BEBE143" w14:textId="77777777" w:rsidR="00B4520E" w:rsidRPr="00C33834" w:rsidRDefault="00B4520E" w:rsidP="00C33834">
      <w:pPr>
        <w:shd w:val="clear" w:color="auto" w:fill="FFFFFF"/>
        <w:spacing w:after="0" w:line="240" w:lineRule="auto"/>
        <w:jc w:val="both"/>
        <w:rPr>
          <w:rFonts w:ascii="Times New Roman" w:hAnsi="Times New Roman"/>
          <w:color w:val="000000" w:themeColor="text1"/>
          <w:sz w:val="16"/>
          <w:szCs w:val="16"/>
        </w:rPr>
      </w:pPr>
    </w:p>
    <w:p w14:paraId="732D80CF" w14:textId="77777777" w:rsidR="00C2291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33B36B41" w14:textId="77777777" w:rsidR="00C22911" w:rsidRPr="00C33834" w:rsidRDefault="00C22911" w:rsidP="00C33834">
      <w:pPr>
        <w:spacing w:after="0" w:line="240" w:lineRule="auto"/>
        <w:jc w:val="both"/>
        <w:rPr>
          <w:rFonts w:ascii="Times New Roman" w:hAnsi="Times New Roman"/>
          <w:iCs/>
          <w:color w:val="000000" w:themeColor="text1"/>
          <w:sz w:val="16"/>
          <w:szCs w:val="16"/>
        </w:rPr>
      </w:pPr>
    </w:p>
    <w:p w14:paraId="05265F61" w14:textId="77777777" w:rsidR="00C22911" w:rsidRPr="00C33834" w:rsidRDefault="00C2291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июля 1933 началась ликвидация присутствия немцев в Липецке и была завершена 11 сентября. Они отправили в Германию три самолета (летом), все пулеметы, имущество опытной группы, четыре мотора, все парашюты, оптические прицелы, рации, дыхательные приборы, архивы, всего семь вагонов. Перешедшее во владение УВВС имущество составило «значительную ценность» (ангары, жилые дома, мастерские, электростанция, телефонная станция, фотолаборатория, 15 самолетов, весь автотранспорт, склад с имуществом, лазарет, полигон, аэродром и т. д. ) (РГВА, ф. 33987, on. 3, д. 504, л. 160-165.). Всего, по подсчетам немцев, ими было оставлено в безвозмездное пользование советской стороне имущества на сумму в 2,9 млн. германских марок (ADAP, Ser.C, Bd. 1,2. S. 861.) (11784).</w:t>
      </w:r>
    </w:p>
    <w:p w14:paraId="2C25B9A5" w14:textId="77777777" w:rsidR="00C22911" w:rsidRPr="00C33834" w:rsidRDefault="00C22911" w:rsidP="00C33834">
      <w:pPr>
        <w:spacing w:after="0" w:line="240" w:lineRule="auto"/>
        <w:jc w:val="both"/>
        <w:rPr>
          <w:rFonts w:ascii="Times New Roman" w:hAnsi="Times New Roman"/>
          <w:color w:val="000000" w:themeColor="text1"/>
          <w:sz w:val="16"/>
          <w:szCs w:val="16"/>
        </w:rPr>
      </w:pPr>
    </w:p>
    <w:p w14:paraId="3E4FCBA1" w14:textId="77777777" w:rsidR="002D74CC" w:rsidRPr="00C33834" w:rsidRDefault="002D74C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июля 1933 началась и была завершена 11 сентября 1933 ликвидация присутствия немцев в Липецке. Они отправили в Германию три самолета (летом), все пулеметы, имущество опытной группы, четыре мотора, все парашюты, [306] оптические прицелы, рации, дыхательные приборы, архивы, всего семь вагонов. Перешедшее во владение УВВС имущество составило «значительную ценность» (ангары, жилые дома, мастерские, электростанция, телефонная станция, фотолаборатория, 15 самолетов, весь автотранспорт, склад с имуществом, лазарет, полигон, аэродром и т. д.)</w:t>
      </w:r>
      <w:hyperlink r:id="rId266" w:anchor="n_477" w:history="1">
        <w:r w:rsidRPr="00C33834">
          <w:rPr>
            <w:rStyle w:val="a5"/>
            <w:rFonts w:ascii="Times New Roman" w:hAnsi="Times New Roman"/>
            <w:color w:val="000000" w:themeColor="text1"/>
            <w:sz w:val="16"/>
            <w:szCs w:val="16"/>
          </w:rPr>
          <w:t>[477]</w:t>
        </w:r>
      </w:hyperlink>
      <w:r w:rsidRPr="00C33834">
        <w:rPr>
          <w:rFonts w:ascii="Times New Roman" w:hAnsi="Times New Roman"/>
          <w:color w:val="000000" w:themeColor="text1"/>
          <w:sz w:val="16"/>
          <w:szCs w:val="16"/>
        </w:rPr>
        <w:t>. Всего, по подсчетам немцев, ими было оставлено в безвозмездное пользование советской стороне имущества на сумму в 2,9 млн. германских марок (18265).</w:t>
      </w:r>
    </w:p>
    <w:p w14:paraId="1643AD6B" w14:textId="77777777" w:rsidR="002D74CC" w:rsidRPr="00C33834" w:rsidRDefault="002D74CC" w:rsidP="00C33834">
      <w:pPr>
        <w:spacing w:after="0" w:line="240" w:lineRule="auto"/>
        <w:jc w:val="both"/>
        <w:rPr>
          <w:rFonts w:ascii="Times New Roman" w:hAnsi="Times New Roman"/>
          <w:color w:val="000000" w:themeColor="text1"/>
          <w:sz w:val="16"/>
          <w:szCs w:val="16"/>
        </w:rPr>
      </w:pPr>
    </w:p>
    <w:p w14:paraId="3D6091C0" w14:textId="77777777" w:rsidR="001E6614" w:rsidRPr="00C33834" w:rsidRDefault="001E661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июля 1933 г. у берегов Камчатки японский миноносец захватил советский траулер «Алексей Пешков». Японцы объясняли свои действия тем, что «Алексей Пешков» с советскими пограничниками на борту участвовал в захвате японского судна, которое, по мнению советских властей, занималось ловом рыбы в пределах прибрежной зоны СССР. Переговоры о судьбе «Алексея Пешкова» проходили безуспешно. 14 сентября советский полпред в Японии вручил министру иностранных дел Японии ноту с требованием освободить судно. Однако договоренность по этому вопросу была достигнута только в конце мая 1934 г. (ДВП. Т. XVI. С. 515–517, 850–851) (17281).</w:t>
      </w:r>
    </w:p>
    <w:p w14:paraId="3CC44F36" w14:textId="77777777" w:rsidR="001E6614" w:rsidRPr="00C33834" w:rsidRDefault="001E6614" w:rsidP="00C33834">
      <w:pPr>
        <w:spacing w:after="0" w:line="240" w:lineRule="auto"/>
        <w:jc w:val="both"/>
        <w:rPr>
          <w:rFonts w:ascii="Times New Roman" w:hAnsi="Times New Roman"/>
          <w:color w:val="000000" w:themeColor="text1"/>
          <w:sz w:val="16"/>
          <w:szCs w:val="16"/>
        </w:rPr>
      </w:pPr>
    </w:p>
    <w:p w14:paraId="521FAA00" w14:textId="77777777" w:rsidR="00264DA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23C9A49C" w14:textId="77777777" w:rsidR="00264DA9" w:rsidRPr="00C33834" w:rsidRDefault="00264DA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9BCA9A6"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июля 1933, преодолев 11300 км, итальянская эскадра в составе 24 машин, которая осуществила трансокеанский перелет из Орбетелло в Нью- Йорк и обратно, прибыла в Нью-Йорк. Обратный путь пролегал через Ньюфаундленд, Азорские острова и Пиренейский полуостров. Суммарная дальность этого массового перелета составила свыше 25000 км. Целью перелета назывались поиски более коротких и надежных маршрутов, соединяющих Европу с Америкой. Впрочем, военная составляющая этой летней демонстрации ни у кого не вызывала сомнения. Еще в 1928 г. французы неприятно удивились появлению над Марселем итальянской воздушной эскадры в составе 61 гидросамолета. А когда в 1929 г. эскадра из 35 гидросамолетов под руководством министра авиации Италии генерала Бальбо совершила перелет Италия - Греция - Турция - Болгария - Румыния - СССР (Одесса) и обратно, стало ясно, что перелет 1928-го в западной части Средиземного моря явился не случайным эпизодом, а звеном целой системы. В конце 1930 г. 12 летающих лодок SM-55 стартовали с гидробазы в Орбетелло под Римом с целью совершить первый групповой трансатлантический бросок в Южную Америку. После посещения портов Наталь, Бахийя и Рио-де-Жанейро эскадра вернулась на родину. В этом перелете, общей протяженностью 10240 км, из которых около 3000 км проходили над океаном, итальянцы потеряли три двух- лодочных "Савойи", которые немедленно заменялись запасными лодками. Впрочем, указанные потери при проведении столь сложного и масштабного воздушного рейда, напоминающего боевую вылазку, считались вполне допустимыми (11941).</w:t>
      </w:r>
    </w:p>
    <w:p w14:paraId="25C508E4"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12F2E687"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июля 1933 в Японии продемонстрирован пулемет, способный совершить тысячу выстрелов в минуту (4962).</w:t>
      </w:r>
    </w:p>
    <w:p w14:paraId="0B827867"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51B31A"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июля 1933 создана Новая демократическая партия Канады (4962).</w:t>
      </w:r>
    </w:p>
    <w:p w14:paraId="0450C251"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3B570C" w14:textId="77777777" w:rsidR="00264DA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48734FC" w14:textId="77777777" w:rsidR="00264DA9" w:rsidRPr="00C33834" w:rsidRDefault="00264DA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2088848"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июля 1933, захватив Маттерна и оборудование его машины, Леваневский прибыл на Аляску в Ном. Затем СССР-Н8 прошел по северному побережью Чукотки и выполнил ряд ледовых разведок для судов Колымской экспедиции 1933 г. и зимующего каравана судов Колымской экспедиции 1932 г.</w:t>
      </w:r>
    </w:p>
    <w:p w14:paraId="0C60F8BE"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Дальнейшие полеты самолета:</w:t>
      </w:r>
    </w:p>
    <w:p w14:paraId="7F33488B"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12-го августа - летал на о. Врангеля; привез сведения, что зимовщики здоровы и что зимовка прошла благополучно.</w:t>
      </w:r>
    </w:p>
    <w:p w14:paraId="6D72ED30"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18-го августа - вылетал к м. Биллингс навстречу судам.</w:t>
      </w:r>
    </w:p>
    <w:p w14:paraId="6D022B78"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r w:rsidRPr="00C33834">
        <w:rPr>
          <w:rFonts w:ascii="Times New Roman" w:hAnsi="Times New Roman"/>
          <w:color w:val="000000" w:themeColor="text1"/>
          <w:sz w:val="16"/>
          <w:szCs w:val="16"/>
        </w:rPr>
        <w:tab/>
        <w:t>го</w:t>
      </w:r>
      <w:r w:rsidRPr="00C33834">
        <w:rPr>
          <w:rFonts w:ascii="Times New Roman" w:hAnsi="Times New Roman"/>
          <w:color w:val="000000" w:themeColor="text1"/>
          <w:sz w:val="16"/>
          <w:szCs w:val="16"/>
        </w:rPr>
        <w:tab/>
        <w:t>августа - на м. Северный, встретив в пути шквал с пургой.</w:t>
      </w:r>
    </w:p>
    <w:p w14:paraId="074A7D21"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r w:rsidRPr="00C33834">
        <w:rPr>
          <w:rFonts w:ascii="Times New Roman" w:hAnsi="Times New Roman"/>
          <w:color w:val="000000" w:themeColor="text1"/>
          <w:sz w:val="16"/>
          <w:szCs w:val="16"/>
        </w:rPr>
        <w:tab/>
        <w:t>го</w:t>
      </w:r>
      <w:r w:rsidRPr="00C33834">
        <w:rPr>
          <w:rFonts w:ascii="Times New Roman" w:hAnsi="Times New Roman"/>
          <w:color w:val="000000" w:themeColor="text1"/>
          <w:sz w:val="16"/>
          <w:szCs w:val="16"/>
        </w:rPr>
        <w:tab/>
        <w:t>- вылетел на м. Ванкарем для разведки проходов судам "Сунчан" и "Партизан".</w:t>
      </w:r>
    </w:p>
    <w:p w14:paraId="4FAF0912"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25-го августа самолет находился на мысе Северном, а к 27 августа прошел в устье Лены.</w:t>
      </w:r>
    </w:p>
    <w:p w14:paraId="08FBC638"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навигации, 24 сентября, СССР-Н8 прибыл в Иркутск, где экипаж сдал его в авиаремонтные мастерские Аэрофлота. Налет за год составил 222 часа, пройденное расстояние - свыше 37000 км.</w:t>
      </w:r>
    </w:p>
    <w:p w14:paraId="3DEFFB2E"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Летом 1934 г. СССР-Н8 использовался для проведения ледовой разведки в море Лаптевых. Командир П.Г.Головин, штурман А.П.Ште- пенко (у него это был первый сезон работы в Арктике, поэтому вылетел в легоньком кителе) бортмеханики Н.Л.Кекушев и Краснопевков (11970).</w:t>
      </w:r>
    </w:p>
    <w:p w14:paraId="3A83ED53"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72346C48" w14:textId="77777777" w:rsidR="00264DA9"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602AEBE8" w14:textId="77777777" w:rsidR="00264DA9" w:rsidRPr="00C33834" w:rsidRDefault="00264DA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9A916E5"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20 июля по 4 сентября 1933 прошла ликвидация танковой школы в Казани. В Германию было вывезено шесть больших и четыре малых танка, восьмиколесная машина, снаряжение и вооружение (всего 19 вагонов). Оставшаяся в безвозмездное пользование «собственность» «потянула» на 220 тыс. руб. (РГВА, ф. 33987, оп. 3, д. 504, л. 153.). Советник германского посольства в СССР Твардовский по итогам визита генерал-лейтенанта Лютца, «закрывавшего» «Казань» с помощью Халепского, записал 21 августа 1933 г.: «Главу особо доверительного сотрудничества следует считать законченной» (ADAP, Ser.C, Bd.I,2. S. 758-759.). Типпельскирх, зав. русской референтурой Восточноевропейского отдела МИД Германии, сделал на полях этой записи пометку: «&lt;...&gt; согласно сообщениям военного атташе полковника Хартмана русские даже оставили открытой дверь для будущего военного сотрудничества с нами» (ADAP, Ser.C, Bd.I,2. S. 758-759.) (11784).</w:t>
      </w:r>
    </w:p>
    <w:p w14:paraId="16E03373"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3222779A" w14:textId="77777777" w:rsidR="002D74CC" w:rsidRPr="00C33834" w:rsidRDefault="002D74C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срок с 20 июля по 4 сентября 1933 прошла ликвидация танковой школы в Казани. В Германию было вывезено шесть больших и четыре малых танка, восьмиколесная машина, снаряжение и вооружение (всего 19 вагонов). Оставшаяся в безвозмездное пользование «собственность» «потянула» на 220 тыс. руб.</w:t>
      </w:r>
      <w:hyperlink r:id="rId267" w:anchor="n_474" w:history="1">
        <w:r w:rsidRPr="00C33834">
          <w:rPr>
            <w:rStyle w:val="a5"/>
            <w:rFonts w:ascii="Times New Roman" w:hAnsi="Times New Roman"/>
            <w:color w:val="000000" w:themeColor="text1"/>
            <w:sz w:val="16"/>
            <w:szCs w:val="16"/>
          </w:rPr>
          <w:t>[474]</w:t>
        </w:r>
      </w:hyperlink>
      <w:r w:rsidRPr="00C33834">
        <w:rPr>
          <w:rFonts w:ascii="Times New Roman" w:hAnsi="Times New Roman"/>
          <w:color w:val="000000" w:themeColor="text1"/>
          <w:sz w:val="16"/>
          <w:szCs w:val="16"/>
        </w:rPr>
        <w:t> Советник германского посольства в СССР Твардовский по итогам визита генерал-лейтенанта Лютца, «закрывавшего» «Казань» с помощью Халепского, записал 21 августа 1933 г.: «Главу особо доверительного сотрудничества следует считать законченной» (18265).</w:t>
      </w:r>
    </w:p>
    <w:p w14:paraId="6F532AF4" w14:textId="77777777" w:rsidR="002D74CC" w:rsidRPr="00C33834" w:rsidRDefault="002D74CC" w:rsidP="00C33834">
      <w:pPr>
        <w:spacing w:after="0" w:line="240" w:lineRule="auto"/>
        <w:jc w:val="both"/>
        <w:rPr>
          <w:rFonts w:ascii="Times New Roman" w:hAnsi="Times New Roman"/>
          <w:color w:val="000000" w:themeColor="text1"/>
          <w:sz w:val="16"/>
          <w:szCs w:val="16"/>
        </w:rPr>
      </w:pPr>
    </w:p>
    <w:p w14:paraId="64A3D4F0" w14:textId="77777777" w:rsidR="00264DA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7C2CF697" w14:textId="77777777" w:rsidR="00264DA9" w:rsidRPr="00C33834" w:rsidRDefault="00264DA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3FD0546" w14:textId="77777777" w:rsidR="002D74CC" w:rsidRPr="00C33834" w:rsidRDefault="002D74C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июля 1933. Президиум Моссовета поручил группе специалистов проработать вопрос о прокладке опытной линии троллейбуса (18722).</w:t>
      </w:r>
    </w:p>
    <w:p w14:paraId="7CC04989" w14:textId="77777777" w:rsidR="002D74CC" w:rsidRPr="00C33834" w:rsidRDefault="002D74CC" w:rsidP="00C33834">
      <w:pPr>
        <w:spacing w:after="0" w:line="240" w:lineRule="auto"/>
        <w:jc w:val="both"/>
        <w:rPr>
          <w:rFonts w:ascii="Times New Roman" w:hAnsi="Times New Roman"/>
          <w:color w:val="000000" w:themeColor="text1"/>
          <w:sz w:val="16"/>
          <w:szCs w:val="16"/>
        </w:rPr>
      </w:pPr>
    </w:p>
    <w:p w14:paraId="77D1F751"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июля 1933 в Харькове согласно донесению консула Италии: "Мобилизация городских жителей приняла грандиозные размеры.... На этой неделе, по крайней мере, 20.000 человек посылаются ежедневно в деревню... Позавчера они окружили базар, захватили там всех здоровых людей, мужчин, женщин, подростков обоего пола и отвезли их на вокзал под охраной ГПУ, чтобы затем послать их на поля" (10687).</w:t>
      </w:r>
    </w:p>
    <w:p w14:paraId="4D09C3A7"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0AA3C6CC" w14:textId="77777777" w:rsidR="00264DA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80E2D84" w14:textId="77777777" w:rsidR="00264DA9" w:rsidRPr="00C33834" w:rsidRDefault="00264DA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2F4FDA3"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июля 1933 в Японии продемонстрирован пулемет, способный совершить тысячу выстрелов в минуту (4962).</w:t>
      </w:r>
    </w:p>
    <w:p w14:paraId="6BB34A80"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0410BA" w14:textId="77777777" w:rsidR="009401EE" w:rsidRPr="00C33834" w:rsidRDefault="009401EE"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B029C24" w14:textId="77777777" w:rsidR="009401EE" w:rsidRPr="00C33834" w:rsidRDefault="009401E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C2AF0E5" w14:textId="77777777" w:rsidR="009401EE" w:rsidRPr="00C33834" w:rsidRDefault="009401E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21 июля 1933 г. начались испытания автожира А-6. Летали Корзин</w:t>
      </w:r>
      <w:r w:rsidRPr="00C33834">
        <w:rPr>
          <w:rFonts w:ascii="Times New Roman" w:hAnsi="Times New Roman"/>
          <w:color w:val="0070C0"/>
          <w:sz w:val="16"/>
          <w:szCs w:val="16"/>
        </w:rPr>
        <w:softHyphen/>
        <w:t>щиков и Попов, которые вместе с другими пилотами в те</w:t>
      </w:r>
      <w:r w:rsidRPr="00C33834">
        <w:rPr>
          <w:rFonts w:ascii="Times New Roman" w:hAnsi="Times New Roman"/>
          <w:color w:val="0070C0"/>
          <w:sz w:val="16"/>
          <w:szCs w:val="16"/>
        </w:rPr>
        <w:softHyphen/>
        <w:t>чение полугода произвели порядка 90 полетов. При про</w:t>
      </w:r>
      <w:r w:rsidRPr="00C33834">
        <w:rPr>
          <w:rFonts w:ascii="Times New Roman" w:hAnsi="Times New Roman"/>
          <w:color w:val="0070C0"/>
          <w:sz w:val="16"/>
          <w:szCs w:val="16"/>
        </w:rPr>
        <w:softHyphen/>
        <w:t>ведении контрольных полетов в воздух вместе с летчиком Корзинщиковым поднимались инженеры Черемухин и Миль.</w:t>
      </w:r>
    </w:p>
    <w:p w14:paraId="66684590" w14:textId="77777777" w:rsidR="009401EE" w:rsidRPr="00C33834" w:rsidRDefault="009401EE" w:rsidP="00C33834">
      <w:pPr>
        <w:shd w:val="clear" w:color="auto" w:fill="FFFFFF"/>
        <w:spacing w:after="0" w:line="240" w:lineRule="auto"/>
        <w:jc w:val="both"/>
        <w:rPr>
          <w:rFonts w:ascii="Times New Roman" w:hAnsi="Times New Roman"/>
          <w:color w:val="0070C0"/>
          <w:sz w:val="16"/>
          <w:szCs w:val="16"/>
        </w:rPr>
      </w:pPr>
    </w:p>
    <w:p w14:paraId="583E0D1B" w14:textId="77777777" w:rsidR="00FA6C6A"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5F89A158" w14:textId="77777777" w:rsidR="00FA6C6A" w:rsidRPr="00C33834" w:rsidRDefault="00FA6C6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DFF9352" w14:textId="77777777" w:rsidR="00FA6C6A" w:rsidRPr="00C33834" w:rsidRDefault="00FA6C6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 21 июля 1933 г. эскадра, проведенная по ББК, перевооруженная и в полной боевой готовности, уже смогла принять на борт руководителей советского государства в Сорокской губе. Ядро Северной Военной флотилии было создано. </w:t>
      </w:r>
    </w:p>
    <w:p w14:paraId="10C38F47" w14:textId="77777777" w:rsidR="00FA6C6A" w:rsidRPr="00C33834" w:rsidRDefault="00FA6C6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Каково было значение Беломорско-Балтийского канала? Если до открытия канала суда тратили на переход из Ленинграда в Архангельск 17 дней, то с начала навигации такой путь стал занимать не больше 4 дней. Судовой путь пролегал по советской территории, что создало условия для усиления советской военно-морской мощи на Севере путем межтеатрового маневра кораблей Балтфлота. При отсутствии канала создание сколько-нибудь значительных морских сил было невозможно. Семнадцатидневный переход вокруг Скандинавии при полном отсутствии промежуточных баз, невозможности пополнения запасов был не под силу военным кораблям среднего и малого водоизмещения. Дальность плавания советских эскадренных миноносцев того времени составляла 1700 миль, а между Кронштадтом и Полярным лежали 2300 миль штормового моря. </w:t>
      </w:r>
    </w:p>
    <w:p w14:paraId="395C4C25" w14:textId="77777777" w:rsidR="00FA6C6A" w:rsidRPr="00C33834" w:rsidRDefault="00FA6C6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Открытие навигации по ББК дало стратегический выигрыш почти немедленно. Все 20-е годы в Белом море продолжалась "тюленья война": конфликт между СССР и Норвегией из-за биологических ресурсов. Каждую весну сотни норвежских и английских траулеров входили в горло Белого моря и методично выбивали беломорского тюленя. Попытки слабых судов морской пограничной охраны вмешаться в ситуацию немедленно пресекались норвежскими и британскими военными кораблями. Насколько широко была поставлена "силовая поддержка", видно из того, что на границе территориальных вод СССР в путину постоянно находилась эскадра британского флота, с крейсером в качестве флагмана. Дело дважды, в 1929 и 1930 годах, доходило до обстрела советской территории норвежскими кораблями. </w:t>
      </w:r>
    </w:p>
    <w:p w14:paraId="24E1E782" w14:textId="77777777" w:rsidR="00FA6C6A" w:rsidRPr="00C33834" w:rsidRDefault="00FA6C6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Урегулировать конфликт политическим путем было невозможно: королевство Норвегия не признавало СССР. Зато летом 1933 г., с переброской по каналу подводных лодок, норвежская сторона настолько изменила свою позицию, что стало возможным восстановление между странами дипломатических отношений. До начала Великой Отечественной войны было проведено б операций по переброске каналом эскадренных миноносцев, 2 операции по переброске сторожевых кораблей и 9 (!) перебросок подводных лодок. Три корабля, эсминцы "Сталин" и "Войков" и подводная лодка Щ-404, по Северному морскому пути перешли на Дальний Восток и вошли в состав ТОФ (переброска кораблей этого класса другим путем для СССР в 30-е гг. была невозможна). </w:t>
      </w:r>
    </w:p>
    <w:p w14:paraId="097B2552" w14:textId="77777777" w:rsidR="00FA6C6A" w:rsidRPr="00C33834" w:rsidRDefault="00FA6C6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Всего в 1933–1941 гг. по каналу было переведено на Север 10 эсминцев, 3 сторожевых корабля и 26 подводных лодок. Последние корабли прошли по трассе 29 августа 1941 г. </w:t>
      </w:r>
    </w:p>
    <w:p w14:paraId="54536C04" w14:textId="77777777" w:rsidR="00FA6C6A" w:rsidRPr="00C33834" w:rsidRDefault="00FA6C6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Значение ББК для обороны СССР вполне осознавалось военными деятелями Запада. В 1940 г., когда Англия и Франция готовились в порядке помощи Финляндии высадить десант на севере СССР, командующий французским флотом адмирал Ж. Дарлан настаивал на захвате канала неповрежденным, считая его использование союзниками ключевым фактором для захвата Ленинграда. Все оперативные планы финской армии, составлявшиеся в 1940–1941 гг., непременно предусматривали захват либо вывод из строя сооружений канала, который считался в Хельсинки "главной опорой" Советской власти в Карелии. А военно-морской атташе Германии в мае 1941 г. высказывал тревогу по поводу того, что "Балтийский и Северный флоты русских благодаря Беломорскому каналу служат резервом друг для друга". В том, что в годы Великой Отечественной войны успешные действия Северного флота способствовали удержанию Советского Заполярья, тоже состоит значение Беломорско-Балтийского канала (12129).</w:t>
      </w:r>
    </w:p>
    <w:p w14:paraId="1F63BC42" w14:textId="77777777" w:rsidR="00FA6C6A" w:rsidRPr="00C33834" w:rsidRDefault="00FA6C6A" w:rsidP="00C33834">
      <w:pPr>
        <w:spacing w:after="0" w:line="240" w:lineRule="auto"/>
        <w:jc w:val="both"/>
        <w:rPr>
          <w:rFonts w:ascii="Times New Roman" w:hAnsi="Times New Roman"/>
          <w:color w:val="000000" w:themeColor="text1"/>
          <w:sz w:val="16"/>
          <w:szCs w:val="16"/>
        </w:rPr>
      </w:pPr>
    </w:p>
    <w:p w14:paraId="5039EB8B"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июля в 1933 году (21-22 июля) партийно-правительственная комиссия в составе К.Ворошилова, С.М.Кирова и И.В.Сталина посетила корабли Северной флотилии и наметила места их базирования в бухтах Кольского залива. Местом для главной базы была выбрана Екатерининская гавань, на берегу которой 6 июля 1899 г. был основан город Александровск; ныне город Полярный (14959).</w:t>
      </w:r>
    </w:p>
    <w:p w14:paraId="590E1CD8" w14:textId="77777777" w:rsidR="00B4520E" w:rsidRPr="00C33834" w:rsidRDefault="00B4520E" w:rsidP="00C33834">
      <w:pPr>
        <w:spacing w:after="0" w:line="240" w:lineRule="auto"/>
        <w:jc w:val="both"/>
        <w:rPr>
          <w:rFonts w:ascii="Times New Roman" w:hAnsi="Times New Roman"/>
          <w:color w:val="000000" w:themeColor="text1"/>
          <w:sz w:val="16"/>
          <w:szCs w:val="16"/>
        </w:rPr>
      </w:pPr>
    </w:p>
    <w:p w14:paraId="0D757326" w14:textId="6E2CF27B" w:rsidR="00264DA9" w:rsidRPr="00C33834" w:rsidRDefault="00264DA9" w:rsidP="00C33834">
      <w:pPr>
        <w:autoSpaceDE w:val="0"/>
        <w:autoSpaceDN w:val="0"/>
        <w:adjustRightInd w:val="0"/>
        <w:spacing w:after="0" w:line="240" w:lineRule="auto"/>
        <w:jc w:val="both"/>
        <w:rPr>
          <w:rFonts w:ascii="Times New Roman" w:hAnsi="Times New Roman"/>
          <w:i/>
          <w:color w:val="000000" w:themeColor="text1"/>
          <w:sz w:val="16"/>
          <w:szCs w:val="16"/>
        </w:rPr>
      </w:pPr>
      <w:r w:rsidRPr="00C33834">
        <w:rPr>
          <w:rFonts w:ascii="Times New Roman" w:hAnsi="Times New Roman"/>
          <w:i/>
          <w:color w:val="000000" w:themeColor="text1"/>
          <w:sz w:val="16"/>
          <w:szCs w:val="16"/>
        </w:rPr>
        <w:t>Жизнь и внутрен</w:t>
      </w:r>
      <w:r w:rsidR="009401EE" w:rsidRPr="00C33834">
        <w:rPr>
          <w:rFonts w:ascii="Times New Roman" w:hAnsi="Times New Roman"/>
          <w:i/>
          <w:color w:val="000000" w:themeColor="text1"/>
          <w:sz w:val="16"/>
          <w:szCs w:val="16"/>
        </w:rPr>
        <w:t>н</w:t>
      </w:r>
      <w:r w:rsidRPr="00C33834">
        <w:rPr>
          <w:rFonts w:ascii="Times New Roman" w:hAnsi="Times New Roman"/>
          <w:i/>
          <w:color w:val="000000" w:themeColor="text1"/>
          <w:sz w:val="16"/>
          <w:szCs w:val="16"/>
        </w:rPr>
        <w:t>яя политика:</w:t>
      </w:r>
    </w:p>
    <w:p w14:paraId="6DCF22C3" w14:textId="77777777" w:rsidR="00264DA9" w:rsidRPr="00C33834" w:rsidRDefault="00264DA9" w:rsidP="00C33834">
      <w:pPr>
        <w:autoSpaceDE w:val="0"/>
        <w:autoSpaceDN w:val="0"/>
        <w:adjustRightInd w:val="0"/>
        <w:spacing w:after="0" w:line="240" w:lineRule="auto"/>
        <w:jc w:val="both"/>
        <w:rPr>
          <w:rFonts w:ascii="Times New Roman" w:hAnsi="Times New Roman"/>
          <w:i/>
          <w:color w:val="000000" w:themeColor="text1"/>
          <w:sz w:val="16"/>
          <w:szCs w:val="16"/>
        </w:rPr>
      </w:pPr>
    </w:p>
    <w:p w14:paraId="3E758841"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21 и 27 июля 1933. Из протокола заседания Политбюро N 142, особая папка, 1933 г.</w:t>
      </w:r>
    </w:p>
    <w:p w14:paraId="3DF8F15E"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Вопрос Востсибкрайкома </w:t>
      </w:r>
    </w:p>
    <w:p w14:paraId="12506F21"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Принять следующие предложения т. Леонова: </w:t>
      </w:r>
    </w:p>
    <w:p w14:paraId="32C3FF82"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 Увеличить войска погранохраны в Восточной Сибири на 20% путем укрупнения погранотрядов. </w:t>
      </w:r>
    </w:p>
    <w:p w14:paraId="242DF2BF"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 Приравнять Забайкалье Востсибкрая по условиям режима в нем к ДВК, предоставив полномочному представителю ОГПУ право решительных мероприятий по искоренению враждебных элементов, связанных в прошлом с закордонной белогвардейщиной. </w:t>
      </w:r>
    </w:p>
    <w:p w14:paraId="11C65F08"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Провести в Чите и в пограничных районах по примеру западной границы паспортизацию (11652).</w:t>
      </w:r>
    </w:p>
    <w:p w14:paraId="023880FD"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4CB91D89" w14:textId="77777777" w:rsidR="00B4520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74AEF061" w14:textId="77777777" w:rsidR="00B4520E" w:rsidRPr="00C33834" w:rsidRDefault="00B4520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648A163"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21 июля в 1933 году прототип </w:t>
      </w:r>
      <w:hyperlink r:id="rId268" w:tgtFrame="_blank" w:history="1">
        <w:r w:rsidRPr="00C33834">
          <w:rPr>
            <w:rFonts w:ascii="Times New Roman" w:hAnsi="Times New Roman"/>
            <w:color w:val="000000" w:themeColor="text1"/>
            <w:sz w:val="16"/>
            <w:szCs w:val="16"/>
          </w:rPr>
          <w:t xml:space="preserve">«S.231.1» </w:t>
        </w:r>
      </w:hyperlink>
      <w:r w:rsidRPr="00C33834">
        <w:rPr>
          <w:rFonts w:ascii="Times New Roman" w:hAnsi="Times New Roman"/>
          <w:color w:val="000000" w:themeColor="text1"/>
          <w:sz w:val="16"/>
          <w:szCs w:val="16"/>
        </w:rPr>
        <w:t>(иногда он обозначался как «S.31A») чешского истребителя «Letov» «S.231» был передан в VLTU (Военный Технический Авиационный Институт) в Праге-Летнани, где проводились государственные испытания самолётов, принимаемых на вооружение. Полёты закончились катастрофой, в которой погиб лётчик-испытатель сержант Р.Чернин, а самолёт был полностью разрушен. Это показало, что жесткость корпуса не была достаточна, хотя результаты предыдущих тестов были приемлемы (14959).</w:t>
      </w:r>
    </w:p>
    <w:p w14:paraId="5B643F62" w14:textId="77777777" w:rsidR="00B4520E" w:rsidRPr="00C33834" w:rsidRDefault="00B4520E" w:rsidP="00C33834">
      <w:pPr>
        <w:spacing w:after="0" w:line="240" w:lineRule="auto"/>
        <w:jc w:val="both"/>
        <w:rPr>
          <w:rFonts w:ascii="Times New Roman" w:hAnsi="Times New Roman"/>
          <w:color w:val="000000" w:themeColor="text1"/>
          <w:sz w:val="16"/>
          <w:szCs w:val="16"/>
        </w:rPr>
      </w:pPr>
    </w:p>
    <w:p w14:paraId="2FE08C83"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xml:space="preserve">21 июля в 1933 году состоялся первый полет бельгийского самолета </w:t>
      </w:r>
      <w:hyperlink r:id="rId269" w:tgtFrame="_blank" w:history="1">
        <w:r w:rsidRPr="00C33834">
          <w:rPr>
            <w:rFonts w:ascii="Times New Roman" w:hAnsi="Times New Roman"/>
            <w:color w:val="000000" w:themeColor="text1"/>
            <w:sz w:val="16"/>
            <w:szCs w:val="16"/>
          </w:rPr>
          <w:t xml:space="preserve">«R-34». </w:t>
        </w:r>
      </w:hyperlink>
      <w:r w:rsidRPr="00C33834">
        <w:rPr>
          <w:rFonts w:ascii="Times New Roman" w:hAnsi="Times New Roman"/>
          <w:color w:val="000000" w:themeColor="text1"/>
          <w:sz w:val="16"/>
          <w:szCs w:val="16"/>
        </w:rPr>
        <w:t>«R-34» - учебно-тренировочный самолет, спроектированный бельгийским конструктором Альфредом Ренаром. Самолет строился по заказу ВВС Бельгии, нуждавшихся в самолете первоначальной подготовки летчиков истребительной авиации. В октябре 1934 года самолет принял участие в сравнительных испытаниях ВВС Бельгии. Помимо «R-34» в них участвовали французский УТС «LACA» «BT-7», советский «СВ-5» и английский «Avro 625», который и был принят на вооружение. Однако несколько самолетов «R-34» были все закуплены для Летной школы в Брюсселе. На них были установлены новые двигатели «Armstrong» «Siddeley Lynx» мощностью 260 л.с. Самолеты использовались до 1939 года (14959).</w:t>
      </w:r>
    </w:p>
    <w:p w14:paraId="547B455F" w14:textId="77777777" w:rsidR="00B4520E" w:rsidRPr="00C33834" w:rsidRDefault="00B4520E" w:rsidP="00C33834">
      <w:pPr>
        <w:spacing w:after="0" w:line="240" w:lineRule="auto"/>
        <w:jc w:val="both"/>
        <w:rPr>
          <w:rFonts w:ascii="Times New Roman" w:hAnsi="Times New Roman"/>
          <w:color w:val="000000" w:themeColor="text1"/>
          <w:sz w:val="16"/>
          <w:szCs w:val="16"/>
        </w:rPr>
      </w:pPr>
    </w:p>
    <w:p w14:paraId="182127CE" w14:textId="77777777" w:rsidR="00264DA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B00B897" w14:textId="77777777" w:rsidR="00264DA9" w:rsidRPr="00C33834" w:rsidRDefault="00264DA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5B65FE1"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июля 1933 Громов опять поднялся на ТБ-4 в воздух. Усилия на штурвале и педалях по-прежнему были очень велики. С педалями вообще творилось что-то странное. Нагрузки "скакали", то увеличиваясь, то уменьшаясь.Появилась гипотеза, что имеет место перекомпенсация руля направления. При одном из последующих полетов, 5 августа, с тандемной установки сорвало задний капот, который ударом расколол винт. Самолет поставили на ремонт. Воспользовавшись паузой, переделали оперение. Изменили угол установки стабилизатора, подрезали руль направления. Это действительно улучшило путевую устойчивость. В то же время на самолете поставили новые винты: это благотворно сказалось на максимальной скорости (12024).</w:t>
      </w:r>
    </w:p>
    <w:p w14:paraId="70893192"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5A3FB189"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июля 1933 Громов опять поднялся в воздух. Появилась гипотеза, что имеет место перекомпенсация руля направления. При одном из последующих полетов, 5 августа, с тандемной установки сорвало задний капот, который ударом расколол винт.</w:t>
      </w:r>
    </w:p>
    <w:p w14:paraId="588ACC94"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поставили на ремонт. Воспользовавшись паузой, переделали оперение. Изменили угол установки стабилизатора, подрезали руль направления. Это действительно улучшило путевую устойчивость. В то же время на самолете поставили новые винты: это благотворно сказалось на максимальной скорости (12036).</w:t>
      </w:r>
    </w:p>
    <w:p w14:paraId="5FD7349D"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5E0A459F" w14:textId="77777777" w:rsidR="00264DA9" w:rsidRPr="00C33834" w:rsidRDefault="00264DA9"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июля и 10 сентября 1933 г. на заводских испытаниях нагнетатель А.Н Данилевского и Е.О. Дмит</w:t>
      </w:r>
      <w:r w:rsidRPr="00C33834">
        <w:rPr>
          <w:rFonts w:ascii="Times New Roman" w:hAnsi="Times New Roman"/>
          <w:color w:val="000000" w:themeColor="text1"/>
          <w:sz w:val="16"/>
          <w:szCs w:val="16"/>
        </w:rPr>
        <w:softHyphen/>
        <w:t>риевского дважды выходил из строя После этого спроектировали и изго</w:t>
      </w:r>
      <w:r w:rsidRPr="00C33834">
        <w:rPr>
          <w:rFonts w:ascii="Times New Roman" w:hAnsi="Times New Roman"/>
          <w:color w:val="000000" w:themeColor="text1"/>
          <w:sz w:val="16"/>
          <w:szCs w:val="16"/>
        </w:rPr>
        <w:softHyphen/>
        <w:t>товили новую, усиленную ребрами, заднюю крышку. Государственные испытания прошли удачнее. М-34Н проходил их с 25 декабря 1933 г., акт об успешном завершении утвер</w:t>
      </w:r>
      <w:r w:rsidRPr="00C33834">
        <w:rPr>
          <w:rFonts w:ascii="Times New Roman" w:hAnsi="Times New Roman"/>
          <w:color w:val="000000" w:themeColor="text1"/>
          <w:sz w:val="16"/>
          <w:szCs w:val="16"/>
        </w:rPr>
        <w:softHyphen/>
        <w:t>дили 7 февраля 1934 г., а серия по</w:t>
      </w:r>
      <w:r w:rsidRPr="00C33834">
        <w:rPr>
          <w:rFonts w:ascii="Times New Roman" w:hAnsi="Times New Roman"/>
          <w:color w:val="000000" w:themeColor="text1"/>
          <w:sz w:val="16"/>
          <w:szCs w:val="16"/>
        </w:rPr>
        <w:softHyphen/>
        <w:t>шла с сентября 1934 г. Нагнетатель выполнялся в виде отдельного съемного узла и мог мон</w:t>
      </w:r>
      <w:r w:rsidRPr="00C33834">
        <w:rPr>
          <w:rFonts w:ascii="Times New Roman" w:hAnsi="Times New Roman"/>
          <w:color w:val="000000" w:themeColor="text1"/>
          <w:sz w:val="16"/>
          <w:szCs w:val="16"/>
        </w:rPr>
        <w:softHyphen/>
        <w:t>тироваться на моторы других моди</w:t>
      </w:r>
      <w:r w:rsidRPr="00C33834">
        <w:rPr>
          <w:rFonts w:ascii="Times New Roman" w:hAnsi="Times New Roman"/>
          <w:color w:val="000000" w:themeColor="text1"/>
          <w:sz w:val="16"/>
          <w:szCs w:val="16"/>
        </w:rPr>
        <w:softHyphen/>
        <w:t>фикаций. В дальнейшем его хотели сделать отключаемым на малых вы</w:t>
      </w:r>
      <w:r w:rsidRPr="00C33834">
        <w:rPr>
          <w:rFonts w:ascii="Times New Roman" w:hAnsi="Times New Roman"/>
          <w:color w:val="000000" w:themeColor="text1"/>
          <w:sz w:val="16"/>
          <w:szCs w:val="16"/>
        </w:rPr>
        <w:softHyphen/>
        <w:t>сотах, но это намерение так и не было претворено в жизнь. Надеж</w:t>
      </w:r>
      <w:r w:rsidRPr="00C33834">
        <w:rPr>
          <w:rFonts w:ascii="Times New Roman" w:hAnsi="Times New Roman"/>
          <w:color w:val="000000" w:themeColor="text1"/>
          <w:sz w:val="16"/>
          <w:szCs w:val="16"/>
        </w:rPr>
        <w:softHyphen/>
        <w:t>ность М-34Н была невысока. Во-пер</w:t>
      </w:r>
      <w:r w:rsidRPr="00C33834">
        <w:rPr>
          <w:rFonts w:ascii="Times New Roman" w:hAnsi="Times New Roman"/>
          <w:color w:val="000000" w:themeColor="text1"/>
          <w:sz w:val="16"/>
          <w:szCs w:val="16"/>
        </w:rPr>
        <w:softHyphen/>
        <w:t>вых, разрушались подшипники, на которых стояла крыльчатка. Во-вто</w:t>
      </w:r>
      <w:r w:rsidRPr="00C33834">
        <w:rPr>
          <w:rFonts w:ascii="Times New Roman" w:hAnsi="Times New Roman"/>
          <w:color w:val="000000" w:themeColor="text1"/>
          <w:sz w:val="16"/>
          <w:szCs w:val="16"/>
        </w:rPr>
        <w:softHyphen/>
        <w:t>рых, нагнетатель у М-34Р распола</w:t>
      </w:r>
      <w:r w:rsidRPr="00C33834">
        <w:rPr>
          <w:rFonts w:ascii="Times New Roman" w:hAnsi="Times New Roman"/>
          <w:color w:val="000000" w:themeColor="text1"/>
          <w:sz w:val="16"/>
          <w:szCs w:val="16"/>
        </w:rPr>
        <w:softHyphen/>
        <w:t>гался за карбюратором; в нем сжи</w:t>
      </w:r>
      <w:r w:rsidRPr="00C33834">
        <w:rPr>
          <w:rFonts w:ascii="Times New Roman" w:hAnsi="Times New Roman"/>
          <w:color w:val="000000" w:themeColor="text1"/>
          <w:sz w:val="16"/>
          <w:szCs w:val="16"/>
        </w:rPr>
        <w:softHyphen/>
        <w:t>мался не воздух, а топливно-воздуш-ная смесь. На некоторых режимах бензин начинал конденсироваться на выходе из нагнетателя и двигатель глох. Альтернативно рассматрива</w:t>
      </w:r>
      <w:r w:rsidRPr="00C33834">
        <w:rPr>
          <w:rFonts w:ascii="Times New Roman" w:hAnsi="Times New Roman"/>
          <w:color w:val="000000" w:themeColor="text1"/>
          <w:sz w:val="16"/>
          <w:szCs w:val="16"/>
        </w:rPr>
        <w:softHyphen/>
        <w:t>лась возможность смонтировать на М-34 иностранные агрегаты. В 1934 г. вели переговоры с француз</w:t>
      </w:r>
      <w:r w:rsidRPr="00C33834">
        <w:rPr>
          <w:rFonts w:ascii="Times New Roman" w:hAnsi="Times New Roman"/>
          <w:color w:val="000000" w:themeColor="text1"/>
          <w:sz w:val="16"/>
          <w:szCs w:val="16"/>
        </w:rPr>
        <w:softHyphen/>
        <w:t>скими фирмами «Испано-Сюиза» и «Фарман» о проектировании ими нового нагнетателя специально для М-34Н. Пытались также приобрести двухступенчатые нагнетатели у «Рато» (этот вариант именовался М-34РАТО). По мировым стандартам М-34Н был тяжеловат. Военные неоднократ</w:t>
      </w:r>
      <w:r w:rsidRPr="00C33834">
        <w:rPr>
          <w:rFonts w:ascii="Times New Roman" w:hAnsi="Times New Roman"/>
          <w:color w:val="000000" w:themeColor="text1"/>
          <w:sz w:val="16"/>
          <w:szCs w:val="16"/>
        </w:rPr>
        <w:softHyphen/>
        <w:t>но требовали снизить вес мотора. В ответ спроектировали облегченный вариант М-34Э (560 кг) с картером из магниевого сплава электрона. Но вот только сплавов этих в СССР не имелось, а привезенные из-за гра</w:t>
      </w:r>
      <w:r w:rsidRPr="00C33834">
        <w:rPr>
          <w:rFonts w:ascii="Times New Roman" w:hAnsi="Times New Roman"/>
          <w:color w:val="000000" w:themeColor="text1"/>
          <w:sz w:val="16"/>
          <w:szCs w:val="16"/>
        </w:rPr>
        <w:softHyphen/>
        <w:t>ницы толком не умели обрабатывать. Пробный картер на заводе № 24 отлили, но через поры и трещины уходило масло. Попробовали разные варианты пропитки. В конце концов, образец М-34Э все-таки поставили на станок. Испытания сначала шли неплохо, но на 97-м часу лопнула одна из перегородок картера. В ре</w:t>
      </w:r>
      <w:r w:rsidRPr="00C33834">
        <w:rPr>
          <w:rFonts w:ascii="Times New Roman" w:hAnsi="Times New Roman"/>
          <w:color w:val="000000" w:themeColor="text1"/>
          <w:sz w:val="16"/>
          <w:szCs w:val="16"/>
        </w:rPr>
        <w:softHyphen/>
        <w:t>зультате от идеи облегчить М-34Н таким способом временно пришлось отказаться. Следующим шагом вполне логич</w:t>
      </w:r>
      <w:r w:rsidRPr="00C33834">
        <w:rPr>
          <w:rFonts w:ascii="Times New Roman" w:hAnsi="Times New Roman"/>
          <w:color w:val="000000" w:themeColor="text1"/>
          <w:sz w:val="16"/>
          <w:szCs w:val="16"/>
        </w:rPr>
        <w:softHyphen/>
        <w:t>но стало совместное применение редуктора и нагнетателя. По плану предлагалось представить опытный образец М-34РН на госиспытания к 1 декабря 1932 г. Фактически же он начал заводские испытания лишь 1 мая 1934 г. Поломка следовала за поломкой. Прогорали клапаны, сбо</w:t>
      </w:r>
      <w:r w:rsidRPr="00C33834">
        <w:rPr>
          <w:rFonts w:ascii="Times New Roman" w:hAnsi="Times New Roman"/>
          <w:color w:val="000000" w:themeColor="text1"/>
          <w:sz w:val="16"/>
          <w:szCs w:val="16"/>
        </w:rPr>
        <w:softHyphen/>
        <w:t>ило газораспределение, от вибраций появлялись трещины на лапах креп</w:t>
      </w:r>
      <w:r w:rsidRPr="00C33834">
        <w:rPr>
          <w:rFonts w:ascii="Times New Roman" w:hAnsi="Times New Roman"/>
          <w:color w:val="000000" w:themeColor="text1"/>
          <w:sz w:val="16"/>
          <w:szCs w:val="16"/>
        </w:rPr>
        <w:softHyphen/>
        <w:t>ления к раме. Но нагнетатель и ре</w:t>
      </w:r>
      <w:r w:rsidRPr="00C33834">
        <w:rPr>
          <w:rFonts w:ascii="Times New Roman" w:hAnsi="Times New Roman"/>
          <w:color w:val="000000" w:themeColor="text1"/>
          <w:sz w:val="16"/>
          <w:szCs w:val="16"/>
        </w:rPr>
        <w:softHyphen/>
        <w:t>дуктор работали «безукоризненно». Усовершенствованный вариант предъявили на госиспытания в сен</w:t>
      </w:r>
      <w:r w:rsidRPr="00C33834">
        <w:rPr>
          <w:rFonts w:ascii="Times New Roman" w:hAnsi="Times New Roman"/>
          <w:color w:val="000000" w:themeColor="text1"/>
          <w:sz w:val="16"/>
          <w:szCs w:val="16"/>
        </w:rPr>
        <w:softHyphen/>
        <w:t>тябре, но и они закончились неудач</w:t>
      </w:r>
      <w:r w:rsidRPr="00C33834">
        <w:rPr>
          <w:rFonts w:ascii="Times New Roman" w:hAnsi="Times New Roman"/>
          <w:color w:val="000000" w:themeColor="text1"/>
          <w:sz w:val="16"/>
          <w:szCs w:val="16"/>
        </w:rPr>
        <w:softHyphen/>
        <w:t>но - прогорели поршни. В результа</w:t>
      </w:r>
      <w:r w:rsidRPr="00C33834">
        <w:rPr>
          <w:rFonts w:ascii="Times New Roman" w:hAnsi="Times New Roman"/>
          <w:color w:val="000000" w:themeColor="text1"/>
          <w:sz w:val="16"/>
          <w:szCs w:val="16"/>
        </w:rPr>
        <w:softHyphen/>
        <w:t>те М-34РН в 1934 г. выпустили лишь небольшой серией. Поскольку нагне</w:t>
      </w:r>
      <w:r w:rsidRPr="00C33834">
        <w:rPr>
          <w:rFonts w:ascii="Times New Roman" w:hAnsi="Times New Roman"/>
          <w:color w:val="000000" w:themeColor="text1"/>
          <w:sz w:val="16"/>
          <w:szCs w:val="16"/>
        </w:rPr>
        <w:softHyphen/>
        <w:t>тателей не хватало, их монтировали только на редукторные моторы, а производство М-34Н отсрочили (11848).</w:t>
      </w:r>
    </w:p>
    <w:p w14:paraId="4B1DD5C1"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5A200FB4" w14:textId="77777777" w:rsidR="009401EE" w:rsidRPr="00C33834" w:rsidRDefault="009401EE"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B0754FE" w14:textId="77777777" w:rsidR="009401EE" w:rsidRPr="00C33834" w:rsidRDefault="009401E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E3147BD" w14:textId="77777777" w:rsidR="009401EE" w:rsidRPr="00C33834" w:rsidRDefault="009401EE"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К 22 июля 1933 комиссия Орджоникидзе, созданная для подготовки проекта постановления Совета Труда и Обороны СССР о перспективной программе развития военных производств и подачи НКВМ предметов боевого снабжения, завершила подробное исследование и определила объем выпуска продукции на поенное время и капитальных вложений в соответствующие предприятия по годам. Подача артиллерии и ручного оружия была определена только на 1934 г., танков -на 1934-1935 гг., боеприпасов -на 1934-1936 гг.; по авиапромышленности были согласованы подача и производственная мощность на 1934-1938 гг. Проект комиссии содержал калькуляцию капиталовложений на 1934 г. общим размером в 2350 млн руб. и дополнительных затрат на второе полугодие 1933 г. (150 млн руб.). Взамен обещалось обеспечить при возникновении войны подачу в 1936 г. 100 млн артвыстрелов, 8 млрд винтпатронов, 300 тыс. т авиабомб, около 14 тыс. самолетов; в 1935 г. - 33,4 тыс. танков (включая 16 тыс. танкеток) и 2 тыс. бронемашин, в 1934 г. - около 24 тыс. орудий (Черновая запись "Проект ком[иссии] т. Орджоникидзе от 22.07.1933 г." // РГАЭ. Ф. 4372. Оп. 91- Д 1455. Л. 42-41 об.).</w:t>
      </w:r>
    </w:p>
    <w:p w14:paraId="239A0510" w14:textId="77777777" w:rsidR="009401EE" w:rsidRPr="00C33834" w:rsidRDefault="009401EE"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В своем заключении на программу комиссии Орджоникидзе сектор обороны Госплана согласился с расчетами в части боеприпасов, ручного оружия, авиации, пороха, взрывчатых и отравляющих веществ. ("По перечисленным номенклатурам необходимые мощности могут быть созданы, хотя для этого потребуются большие капиталовложения и громадное напряжение в развитии заводов и их освоении".) Задания на создание мощностей по производству орудийных систем и танков па 1934 г. сектор обороны счел превышающими реальные силы "при максимально возможном развитии заводов" примерно в полтора раза (Заключение Начальника Сектора Обороны Госплана Ботнера и Заместителя Начальника Сектора Обороны Госплана Колесинского по проекту постановления Совета Труда и Обороны о перспективной программе развития военных производств и подачи НКВМору предметов боевого снабжения, 16.08.1933 // Там же. Л. 48-47. Делопроизводственная помета ("1 экз. передан лично т. Межлауку 17/VIII-33 г.") и правка в тексте указывают на то, что этот документ предназначался для направления в правительство от имени Госплана СССР). Разногласия между НКТП и Госпланом СССР (не говоря уже о военном ведомстве, мыслившем иными временными масштабами, чем работники тяжелой промышленности) исключали возможность принятия правительством пятилетнего плана развития военных производств. С мечтой о таком плане сектору обороны Госплана и НКВМ пришлось проститься (22725).</w:t>
      </w:r>
    </w:p>
    <w:p w14:paraId="66C103C3" w14:textId="77777777" w:rsidR="009401EE" w:rsidRPr="00C33834" w:rsidRDefault="009401EE" w:rsidP="00C33834">
      <w:pPr>
        <w:shd w:val="clear" w:color="auto" w:fill="FFFFFF"/>
        <w:spacing w:after="0" w:line="240" w:lineRule="auto"/>
        <w:jc w:val="both"/>
        <w:rPr>
          <w:rFonts w:ascii="Times New Roman" w:hAnsi="Times New Roman"/>
          <w:color w:val="0070C0"/>
          <w:sz w:val="16"/>
          <w:szCs w:val="16"/>
        </w:rPr>
      </w:pPr>
    </w:p>
    <w:p w14:paraId="529E23A8" w14:textId="77777777" w:rsidR="00264DA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17CAB601" w14:textId="77777777" w:rsidR="00264DA9" w:rsidRPr="00C33834" w:rsidRDefault="00264DA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6B51343"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июля 1933 г., после того, как 30 мая и 13 июня 1933 Москва отказалась от совместного производства химических опытов («Томка») и дальнейшей деятельности танковой школы в Казани, германский военный атташе Хартман передал советской стороне меморандум, в котором излагалось решение главнокомандующего райхсвером о прекращении обучения летчиков-истребителей в Липецке в связи с «необходимостью железной экономии» и невозможностью для райхсвера производить новые крупные капитальные затраты для обновления материальной части авиационной школы (РГВА, ф. 33987, оп. 3, д. 504, л. 153.). Таким образом, все три школы райхсвера на территории СССР должны были прекратить свое существование. Однако, дабы сохранить для внешнего мира видимость продолжения сотрудничества между РККА и райхсвером, от имени германского главкома предлагалось осуществлять в дальнейшем обмен офицерами и специалистами, обмен сообщениями и опытом. Все постройки и сооружения в Липецке было обещано передать в распоряжение советской стороны. Меморандум Хартмана Ворошилов направил Сталину (РГВА, ф. 33987, оп. 3, д. 504, л. 153.). Однако Москва пошла дальше. Наряду с ликвидацией школ райхсвера, которая пошла полным ходом по утвержденному Ворошиловым в конце июля 1933г. графику, она отказалась направить командиров РККА на осмотр частей райхсвера. В ответ военный атташе Германии Хартман 8 августа 1933г. направил письмо заместителю начальника внешних сношений Штаба РККА Смагину с извещением о невозможности направить германских офицеров на учения частей РККА в конце летнего периода «по уже раньше обозначенным причинам» (нехватка денежных средств). На документе стоит изумительная по краткости и емкости резолюция Ворошилова: «Очень хорошо! В. 15. 8. 1933 г. » (РГВА, ф. 33987, оп. 3, д. 504, л. 153.), из которой видно, что данный ответный шаг немецкой стороны полностью вписывался в намеченную Москвой кампанию по ускоренному сворачиванию сотрудничества между РККА и райхсвером. Кстати сказать, немцев очень сильно задел и отказ советской стороны направить краскомов на курсы германской военной академии, поскольку «отказ от дальнейшего обмена офицерами и военными сведениями не предполагался» (РГВА, ф. 33987, оп. 3, д. 504, л. 153.). В соответствии с упоминавшимся графиком ликвидации предприятий «друзей» к 15 августа должна была быть закончена ликвидация «Томки», к 1 октября — «Липецка», к 1 — 15 октября — «Казани»{53}. Менее чем за месяц (26 июля — 15 августа)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 — 50 тыс. золотых руб. (РГВА, ф. 33987, оп. 3, д. 504, л. 153.).</w:t>
      </w:r>
    </w:p>
    <w:p w14:paraId="7BB0D571"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49F943AA" w14:textId="77777777" w:rsidR="002D74CC" w:rsidRPr="00C33834" w:rsidRDefault="002D74C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июля 1933 г. германский военный атташе Хартман передал советской стороне меморандум, в котором излагалось решение главнокомандующего райхсвером о прекращении обучения летчиков-истребителей в Липецке в связи с «необходимостью железной экономии» и невозможностью для райхсвера производить новые крупные капитальные затраты для обновления материальной части авиационной школы.</w:t>
      </w:r>
    </w:p>
    <w:p w14:paraId="7AA5B515" w14:textId="77777777" w:rsidR="002D74CC" w:rsidRPr="00C33834" w:rsidRDefault="002D74C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мая и 13 июня 1933 Москвы отказалась от совместного производства химических опытов («Томка») и дальнейшей деятельности танковой школы в Казани (18265).</w:t>
      </w:r>
    </w:p>
    <w:p w14:paraId="4220EF26" w14:textId="77777777" w:rsidR="002D74CC" w:rsidRPr="00C33834" w:rsidRDefault="002D74CC" w:rsidP="00C33834">
      <w:pPr>
        <w:spacing w:after="0" w:line="240" w:lineRule="auto"/>
        <w:jc w:val="both"/>
        <w:rPr>
          <w:rFonts w:ascii="Times New Roman" w:hAnsi="Times New Roman"/>
          <w:color w:val="000000" w:themeColor="text1"/>
          <w:sz w:val="16"/>
          <w:szCs w:val="16"/>
        </w:rPr>
      </w:pPr>
    </w:p>
    <w:p w14:paraId="04835CD9" w14:textId="77777777" w:rsidR="00264DA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E8DB4B8" w14:textId="77777777" w:rsidR="00264DA9" w:rsidRPr="00C33834" w:rsidRDefault="00264DA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D5AC00C"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июля 1933 Willey Post завершил кругосветный перелет на Winnie Mae, выполненный за 7 дней, 18 час. и 45 минут.</w:t>
      </w:r>
    </w:p>
    <w:p w14:paraId="7D8677F4"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B4C58D"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июля в 1933 году американский пилот Вилли Пост (Wiley Post) завершает первый одиночный полет вокруг Земли на аэроплане - путешествие потребовало 7 дней, 18 часов и 49.5 мин (14960).</w:t>
      </w:r>
    </w:p>
    <w:p w14:paraId="740B7A13" w14:textId="77777777" w:rsidR="00B4520E" w:rsidRPr="00C33834" w:rsidRDefault="00B4520E" w:rsidP="00C33834">
      <w:pPr>
        <w:spacing w:after="0" w:line="240" w:lineRule="auto"/>
        <w:jc w:val="both"/>
        <w:rPr>
          <w:rFonts w:ascii="Times New Roman" w:hAnsi="Times New Roman"/>
          <w:color w:val="000000" w:themeColor="text1"/>
          <w:sz w:val="16"/>
          <w:szCs w:val="16"/>
        </w:rPr>
      </w:pPr>
    </w:p>
    <w:p w14:paraId="77573285"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июля 1933 американский пилот Вилли Пост совершил первый в истории одиночный полет вокруг Земли (4962).</w:t>
      </w:r>
    </w:p>
    <w:p w14:paraId="673A0FD3"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7A7F20" w14:textId="77777777" w:rsidR="0089252B" w:rsidRPr="00C33834" w:rsidRDefault="008925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22 июля 1933 - Американский пилот Уайли Пост первым в одиночку совершил кругосветный перелёт Нью-Йорк - Берлин - Москва - Аляска - Нью-Йорк, пользуясь исключительно автопилотом тех лет - гироскопом, радиопеленгатором и компасом, за 7 суток 18 часов 49 минут (22422).</w:t>
      </w:r>
    </w:p>
    <w:p w14:paraId="3B6B9EF4" w14:textId="77777777" w:rsidR="0089252B" w:rsidRPr="00C33834" w:rsidRDefault="0089252B" w:rsidP="00C33834">
      <w:pPr>
        <w:spacing w:after="0" w:line="240" w:lineRule="auto"/>
        <w:jc w:val="both"/>
        <w:rPr>
          <w:rFonts w:ascii="Times New Roman" w:hAnsi="Times New Roman"/>
          <w:color w:val="0070C0"/>
          <w:sz w:val="16"/>
          <w:szCs w:val="16"/>
        </w:rPr>
      </w:pPr>
    </w:p>
    <w:p w14:paraId="70EE3D6A" w14:textId="77777777" w:rsidR="0089252B" w:rsidRPr="00C33834" w:rsidRDefault="008925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22 июля 1933 британские пилоты Эми Джонсон и Джим Моллисон, летающие на de Havilland DH.84 Dragon I G-ACCV Seafarer, начинают первый беспосадочный перелет из Великобритании в США, взлетая из Пендин-Сэндс в Южном Уэльсе и совершая аварийную посадку. в Бриджпорте, Коннектикут (20802).</w:t>
      </w:r>
    </w:p>
    <w:p w14:paraId="7EB707A9" w14:textId="77777777" w:rsidR="0089252B" w:rsidRPr="00C33834" w:rsidRDefault="0089252B" w:rsidP="00C33834">
      <w:pPr>
        <w:spacing w:after="0" w:line="240" w:lineRule="auto"/>
        <w:jc w:val="both"/>
        <w:rPr>
          <w:rFonts w:ascii="Times New Roman" w:hAnsi="Times New Roman"/>
          <w:color w:val="0070C0"/>
          <w:sz w:val="16"/>
          <w:szCs w:val="16"/>
        </w:rPr>
      </w:pPr>
    </w:p>
    <w:p w14:paraId="397E0711"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июля 1933 на спортивном самолете D.H. Moth известные английские авиаторы, супруги Моллисон стартовали из Уэльса по направлению на Нью- Йорк. При полете над океаном самолет несколько отклонился от курса и очутился над Ньюфаундлендом. Направившись к Нью-Йорку, Моллисоны в 90 км от него оказались вынуждены сделать посадку на аэродроме в Бриджпорте, отчасти в связи с нехваткой горючего, отчасти из-за усталости. Утомленный до полного истощения Моллисон не смог различить сигнальных огней и приземлился за пределами аэродрома. Самолет потерпел аварию, однако летчики, хотя и с многочисленными ранениями, остались живы (11941).</w:t>
      </w:r>
    </w:p>
    <w:p w14:paraId="32E1E2DB"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1EC8B092" w14:textId="77777777" w:rsidR="00264DA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42A8FAF" w14:textId="77777777" w:rsidR="00264DA9" w:rsidRPr="00C33834" w:rsidRDefault="00264DA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FD6DA5B"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24-го июля 1933 самолет ДВ СССР-Н2 стартовал из Красноярска в Игарку, а 25-го вылетел в Усть-Порт, приводнившись там в тот же день. На следующий день выяснилось, что самолеты, предназначенные для ледовой разведки с о. Вайгач, к сроку не прибудут, и до 10 августа СССР-Н2 должен один обслуживать все Карское море.</w:t>
      </w:r>
    </w:p>
    <w:p w14:paraId="3083AE39"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28-го июля вылетели на о. Вайгач. Пройдя по маршруту Усть-Порт - Новый Порт - Байда- рацкая губа - Вайгач, затем до о. Сибирякова, встретили туман и сели, не долетев до цели. 29-го июля сделали три новых попытки, но все они не увенчались успехом: во всех направлениях, кроме восточного, был туман. Пришлось ждать улучшения погоды на Диксоне. Здесь имелся комплект винтов для "Валя" и экипаж, воспользовавшись паузой в полетах, заменил на них свои старые, еще в Красноярске признанные негодными. 30-го июля винты опробовали в полете, при этом увидели, что на севере и северо-западе тумана нет, в отличие от восточного и северо-восточного направления.</w:t>
      </w:r>
    </w:p>
    <w:p w14:paraId="46BFA064"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31-го июля СССР-Н2 отправился на ледовую разведку в направлении м. Желания. Недалеко от о. Белого прошли над "Сибиряковым", сообщив ему ледовую обстановку по маршруту. Через 7 минут после встречи машина попала в сплошной дождь и, не имея высоты, приводнилась, пробыв в воздухе 2 ч. 48 мин.</w:t>
      </w:r>
    </w:p>
    <w:p w14:paraId="4078F472"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дождавшись к утру прояснения тумана, экипаж установил антенну и сообщил ледовую обстановку и свои координаты. В ответ командование приказало авиаторам перелететь в бухту Варнека и там ждать дальнейших указаний. Немедленно выполнить это распоряжение помешало отсутствие на самолете... табака. Утром 1-го августа курильщики подрулили на гидроплане к берегу, вступили в торговые отношения с самоедами и выменяли махорку на чай. Вылететь в бухту Варнека удалось на следующий день, а 3-го августа они сели на Маточкином Шаре. Здесь Алексеев получил телеграмму о тяжелом положении каравана, застрявшего во льду, и распоряжение лететь скорее для поисков чистой воды. После заправки, в 19 ч. 42 мин., самолет вылетел на помощь каравану. Через два часа СССР-Н2 прошел над судами и определил, что они идут, удаляясь от чистой воды. Сообщив на ледокол поправки к курсу, гидроплан направился на Диксон, куда и прибыл в 24 ч. 55 мин. (11970).</w:t>
      </w:r>
    </w:p>
    <w:p w14:paraId="7B468444"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5B4D1026"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C 24 июля по 9 октября 1933 были проведены дополнительные испытания МАВ-1 (ВОМИЗЫ-100). Морские испытания с корабля произведены в ладожском озере на глубинах от 5 до 43 морских саженей. Воздушные испытания - в Финском заливе в створе Петергоф-Лисий нос на глубинах 3 м. саж. и к северу от Толбухина маяка на глубинах 11-12 м. саж. самолетами ТБ-1 и ТБ-3 с сухопутного аэродрома (Комендантского), с высот от 600 до 1000 м. Сброшено с самолета 2 раза с бикфордовым шнуром и 7 раз с гидростатической отдачей (3052).</w:t>
      </w:r>
    </w:p>
    <w:p w14:paraId="36716DED"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3892FB0F" w14:textId="77777777" w:rsidR="00264DA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79B63FBE" w14:textId="77777777" w:rsidR="00264DA9" w:rsidRPr="00C33834" w:rsidRDefault="00264DA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FB85F4C"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Утром 24 июля 1933 года все германские газеты напечатали статьи, перепевавшие один и тот же сюжет: "Красная чума над Берлином!. "Иностранные самолеты неизвестного типа улетели неопознанными!, "Германия беззащитна! - кричали заголовки. В тексте же значилось: "Над Берлином появились самолеты неизвестного в Германии типа. С них были сброшены листовки с оскорблениями по адресу германского правительства. Листовки были сброшены над правительственными зданиями и над восточными районами города. Так как воздушная полиция... не имела собственных самолетов, а спортивные самолеты, находившиеся на аэродроме, значительно уступали в скорости иностранным самолетам, последним удалось улететь неопознанными... Этот случай бросает яркий свет на невыносимое положение, в котором оказалась в настоящее время Германия....По требованию враждебных иностранных держав Германия осуждена на бессилие и лишена возможности защищаться от нарушения ее воздушного суверенитета. Каждая птица имеет право защищаться, если ее гнездо подвергается нападению. Лишь Германия принуждена с подрезанными крыльями и связанными когтями беспомощно смотреть, как позорят ее гнездо...Никто не видел ни самолетов-нарушителей, ни листовок. Газеты не напечатали выдержки из прокламаций - слишком оскорбительно, как заявило министерство авиации, было их содержание (3861).</w:t>
      </w:r>
    </w:p>
    <w:p w14:paraId="3F2CC971"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3438BDEE" w14:textId="77777777" w:rsidR="00264DA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FDB310B" w14:textId="77777777" w:rsidR="00264DA9" w:rsidRPr="00C33834" w:rsidRDefault="00264DA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6F56E2E"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июля 1933 в 1.5 км от Монинского аэродрома в 11:43 потерпел аварию ТБ-3 М-17 N 22114 полетным весом 16 т под управлением М.А.Горбунова при выполнении контрольного полета на 6 час. по маршруту Монино-Кинель-Монино (2331,225).</w:t>
      </w:r>
    </w:p>
    <w:p w14:paraId="6090A5DD"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2837F03F"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июля 1933 была назначена макетная комиссия по РД - военный вариант (1102).</w:t>
      </w:r>
    </w:p>
    <w:p w14:paraId="05085604"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2BD8829D" w14:textId="77777777" w:rsidR="00264DA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2C178C7D" w14:textId="77777777" w:rsidR="00264DA9" w:rsidRPr="00C33834" w:rsidRDefault="00264DA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E756DE1"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июля 1933 Челюскин, построенный Копенгагене (7000 т водоизмещения), прибыл в Ленинград и в августе 1933 - отправился (67,63).</w:t>
      </w:r>
    </w:p>
    <w:p w14:paraId="1A051BBF"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51061B0B" w14:textId="77777777" w:rsidR="00264DA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724858B9" w14:textId="77777777" w:rsidR="00264DA9" w:rsidRPr="00C33834" w:rsidRDefault="00264DA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C80A857"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июля 1933 Лев Троцкий, изгнанный из СССР, прибыл в Марсель (4962).</w:t>
      </w:r>
    </w:p>
    <w:p w14:paraId="4EC70A9D"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EF1049"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июля 1933 немецкие нацисты объявили о введении программы стерилизации для инвалидов (4962).</w:t>
      </w:r>
    </w:p>
    <w:p w14:paraId="2250A5E6"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F9392E" w14:textId="77777777" w:rsidR="00264DA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6135E46" w14:textId="77777777" w:rsidR="00264DA9" w:rsidRPr="00C33834" w:rsidRDefault="00264DA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0145EA1"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июля 1933 года закончились войсковые испытания вооруженного самолета У-2 М-11, которые проходили в Борисоглебской школе с 23 июня 1933 (6644).</w:t>
      </w:r>
    </w:p>
    <w:p w14:paraId="287EE6A2"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2762ABC6"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7 сектора Калилец</w:t>
      </w:r>
    </w:p>
    <w:p w14:paraId="0F6480A8"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Летчики:</w:t>
      </w:r>
    </w:p>
    <w:p w14:paraId="1DA86993"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Агеев</w:t>
      </w:r>
    </w:p>
    <w:p w14:paraId="60E6FD40"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Чугунов</w:t>
      </w:r>
    </w:p>
    <w:p w14:paraId="188E59B8"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281496AD"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Выявить летно-тактические и эксплуатационные данные вооруженного самолета У-2, исходя из возможности использования его для боевой и тактической подготовки летного состава (летчиков и летчиков-наблюдателей).</w:t>
      </w:r>
    </w:p>
    <w:p w14:paraId="38E5327B"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4BCE6509"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Считать возможным после устранения дефектов вооруженный самолет У-2 допустить к серийному производству.</w:t>
      </w:r>
    </w:p>
    <w:p w14:paraId="4806E7A1"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испытаний</w:t>
      </w:r>
    </w:p>
    <w:p w14:paraId="4BF0F1C4"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испытаниях принимали участие 3 самолета У-2 М-11 2-ой Борисоглебской Школы летчиков (6644).</w:t>
      </w:r>
    </w:p>
    <w:p w14:paraId="7577C3B7"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9C49AE"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июля 1933 состоялось второе заседание первой партийно-технической конференции КОСОС ЦАГИ, которая началась 14 июля 1933 (1072).</w:t>
      </w:r>
    </w:p>
    <w:p w14:paraId="1CC357FA"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0D12DB67"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июля 1933, выступая на 1-й партийно-технической конференции КОСОС ЦАГИ «По ов</w:t>
      </w:r>
      <w:r w:rsidRPr="00C33834">
        <w:rPr>
          <w:rFonts w:ascii="Times New Roman" w:hAnsi="Times New Roman"/>
          <w:color w:val="000000" w:themeColor="text1"/>
          <w:sz w:val="16"/>
          <w:szCs w:val="16"/>
        </w:rPr>
        <w:softHyphen/>
        <w:t>ладению техникой», П.О. Сухой доложил о работе бригады над новыми проектами:</w:t>
      </w:r>
    </w:p>
    <w:p w14:paraId="2777C022"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..Прежде всего, я остановлюсь на самолёте И-14 ...Мы видим, что в среднем моно</w:t>
      </w:r>
      <w:r w:rsidRPr="00C33834">
        <w:rPr>
          <w:rFonts w:ascii="Times New Roman" w:hAnsi="Times New Roman"/>
          <w:color w:val="000000" w:themeColor="text1"/>
          <w:sz w:val="16"/>
          <w:szCs w:val="16"/>
        </w:rPr>
        <w:softHyphen/>
        <w:t>планы занимают (во всем мире) — около 40% и после 1932 года мы имеем резкое по</w:t>
      </w:r>
      <w:r w:rsidRPr="00C33834">
        <w:rPr>
          <w:rFonts w:ascii="Times New Roman" w:hAnsi="Times New Roman"/>
          <w:color w:val="000000" w:themeColor="text1"/>
          <w:sz w:val="16"/>
          <w:szCs w:val="16"/>
        </w:rPr>
        <w:softHyphen/>
        <w:t xml:space="preserve">вышение монопланов до 78%. Надо думать, что повышение процента находится, </w:t>
      </w:r>
      <w:r w:rsidRPr="00C33834">
        <w:rPr>
          <w:rStyle w:val="aff8"/>
          <w:rFonts w:ascii="Times New Roman" w:hAnsi="Times New Roman" w:cs="Times New Roman"/>
          <w:b w:val="0"/>
          <w:color w:val="000000" w:themeColor="text1"/>
          <w:spacing w:val="0"/>
          <w:sz w:val="16"/>
          <w:szCs w:val="16"/>
        </w:rPr>
        <w:t xml:space="preserve">130 </w:t>
      </w:r>
      <w:r w:rsidRPr="00C33834">
        <w:rPr>
          <w:rFonts w:ascii="Times New Roman" w:hAnsi="Times New Roman"/>
          <w:color w:val="000000" w:themeColor="text1"/>
          <w:sz w:val="16"/>
          <w:szCs w:val="16"/>
        </w:rPr>
        <w:t>главным образом, в зависимости от развития французской авиации. По-видимому, в так</w:t>
      </w:r>
      <w:r w:rsidRPr="00C33834">
        <w:rPr>
          <w:rFonts w:ascii="Times New Roman" w:hAnsi="Times New Roman"/>
          <w:color w:val="000000" w:themeColor="text1"/>
          <w:sz w:val="16"/>
          <w:szCs w:val="16"/>
        </w:rPr>
        <w:softHyphen/>
        <w:t>тике Франции произошел резкий перелом в сторону производства типов моноплана.</w:t>
      </w:r>
    </w:p>
    <w:p w14:paraId="3812974B"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Если посмотреть распределение по странам, то мы видим: на 1931 год, примерно, монопланов было 75% и на первом месте стоит Франция и, наоборот, на первом ме</w:t>
      </w:r>
      <w:r w:rsidRPr="00C33834">
        <w:rPr>
          <w:rFonts w:ascii="Times New Roman" w:hAnsi="Times New Roman"/>
          <w:color w:val="000000" w:themeColor="text1"/>
          <w:sz w:val="16"/>
          <w:szCs w:val="16"/>
        </w:rPr>
        <w:softHyphen/>
        <w:t>сте по производству бипланов находится Италия; дальше идёт Англия; все другие стра</w:t>
      </w:r>
      <w:r w:rsidRPr="00C33834">
        <w:rPr>
          <w:rFonts w:ascii="Times New Roman" w:hAnsi="Times New Roman"/>
          <w:color w:val="000000" w:themeColor="text1"/>
          <w:sz w:val="16"/>
          <w:szCs w:val="16"/>
        </w:rPr>
        <w:softHyphen/>
        <w:t>ны занимают промежуточные места.</w:t>
      </w:r>
    </w:p>
    <w:p w14:paraId="3C42E1E7"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Настоящая схема самолёта И-14 является первой, потому что до сего времени бом</w:t>
      </w:r>
      <w:r w:rsidRPr="00C33834">
        <w:rPr>
          <w:rFonts w:ascii="Times New Roman" w:hAnsi="Times New Roman"/>
          <w:color w:val="000000" w:themeColor="text1"/>
          <w:sz w:val="16"/>
          <w:szCs w:val="16"/>
        </w:rPr>
        <w:softHyphen/>
        <w:t>бардировочных типов самолётов истребителей у нас не было. И когда в 1932 году стал вопрос относительно схемы, то Андрею Николаевичу (Туполеву) пришлось выдержать оп</w:t>
      </w:r>
      <w:r w:rsidRPr="00C33834">
        <w:rPr>
          <w:rFonts w:ascii="Times New Roman" w:hAnsi="Times New Roman"/>
          <w:color w:val="000000" w:themeColor="text1"/>
          <w:sz w:val="16"/>
          <w:szCs w:val="16"/>
        </w:rPr>
        <w:softHyphen/>
        <w:t>ределённый напор со стороны УВВС, которые предлагали изменение и улучшение само</w:t>
      </w:r>
      <w:r w:rsidRPr="00C33834">
        <w:rPr>
          <w:rFonts w:ascii="Times New Roman" w:hAnsi="Times New Roman"/>
          <w:color w:val="000000" w:themeColor="text1"/>
          <w:sz w:val="16"/>
          <w:szCs w:val="16"/>
        </w:rPr>
        <w:softHyphen/>
        <w:t>лёта И-5, и только определенное давление А.Н. заставило точку зрения НИИ ВВС изме</w:t>
      </w:r>
      <w:r w:rsidRPr="00C33834">
        <w:rPr>
          <w:rFonts w:ascii="Times New Roman" w:hAnsi="Times New Roman"/>
          <w:color w:val="000000" w:themeColor="text1"/>
          <w:sz w:val="16"/>
          <w:szCs w:val="16"/>
        </w:rPr>
        <w:softHyphen/>
        <w:t>нить и теперь, когда мы подводим результаты, можно сказать, что по данной схеме мы совершенно определенно выгадали и попали на уровень мировых стран.</w:t>
      </w:r>
    </w:p>
    <w:p w14:paraId="6CE12399"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Теперь для того, чтобы сравнить наши самолёты с целым рядом заграничных самолё</w:t>
      </w:r>
      <w:r w:rsidRPr="00C33834">
        <w:rPr>
          <w:rFonts w:ascii="Times New Roman" w:hAnsi="Times New Roman"/>
          <w:color w:val="000000" w:themeColor="text1"/>
          <w:sz w:val="16"/>
          <w:szCs w:val="16"/>
        </w:rPr>
        <w:softHyphen/>
        <w:t>тов, мы выбрали 27 лучших мировых самолётов: 5 английских, 10 французских, 3 амери</w:t>
      </w:r>
      <w:r w:rsidRPr="00C33834">
        <w:rPr>
          <w:rFonts w:ascii="Times New Roman" w:hAnsi="Times New Roman"/>
          <w:color w:val="000000" w:themeColor="text1"/>
          <w:sz w:val="16"/>
          <w:szCs w:val="16"/>
        </w:rPr>
        <w:softHyphen/>
        <w:t>канских, 2 польских и по 1-2 самолётам других стран.</w:t>
      </w:r>
    </w:p>
    <w:p w14:paraId="141F85C4"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сравнения с И-14 были положены расчётные данные. Те испытания, которые проведены на сегодняшний день, показали нам, что есть полное основание считать, что расчётные лётные данные у нас полностью совпадают с данными, полученными в по</w:t>
      </w:r>
      <w:r w:rsidRPr="00C33834">
        <w:rPr>
          <w:rFonts w:ascii="Times New Roman" w:hAnsi="Times New Roman"/>
          <w:color w:val="000000" w:themeColor="text1"/>
          <w:sz w:val="16"/>
          <w:szCs w:val="16"/>
        </w:rPr>
        <w:softHyphen/>
        <w:t>лёте. Есть указание на некоторое превышение, но, во всяком случае, поскольку сей</w:t>
      </w:r>
      <w:r w:rsidRPr="00C33834">
        <w:rPr>
          <w:rFonts w:ascii="Times New Roman" w:hAnsi="Times New Roman"/>
          <w:color w:val="000000" w:themeColor="text1"/>
          <w:sz w:val="16"/>
          <w:szCs w:val="16"/>
        </w:rPr>
        <w:softHyphen/>
        <w:t>час мы полных полётных данных не имеем, мы базируемся на данных расчётных, учитывая то, что коррективы могут быть только в сторону улучшения...</w:t>
      </w:r>
    </w:p>
    <w:p w14:paraId="185B7A4F"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Переходя к скороподъёмности, мы видим, что по сравнению с перечисленными са</w:t>
      </w:r>
      <w:r w:rsidRPr="00C33834">
        <w:rPr>
          <w:rFonts w:ascii="Times New Roman" w:hAnsi="Times New Roman"/>
          <w:color w:val="000000" w:themeColor="text1"/>
          <w:sz w:val="16"/>
          <w:szCs w:val="16"/>
        </w:rPr>
        <w:softHyphen/>
        <w:t>молётами И-14 стоит выше. Мы имеем 7</w:t>
      </w:r>
      <w:r w:rsidRPr="00C33834">
        <w:rPr>
          <w:rFonts w:ascii="Times New Roman" w:hAnsi="Times New Roman"/>
          <w:color w:val="000000" w:themeColor="text1"/>
          <w:sz w:val="16"/>
          <w:szCs w:val="16"/>
          <w:vertAlign w:val="superscript"/>
        </w:rPr>
        <w:t>1</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vertAlign w:val="subscript"/>
        </w:rPr>
        <w:t>4</w:t>
      </w:r>
      <w:r w:rsidRPr="00C33834">
        <w:rPr>
          <w:rFonts w:ascii="Times New Roman" w:hAnsi="Times New Roman"/>
          <w:color w:val="000000" w:themeColor="text1"/>
          <w:sz w:val="16"/>
          <w:szCs w:val="16"/>
        </w:rPr>
        <w:t xml:space="preserve"> минуты в среднем...</w:t>
      </w:r>
    </w:p>
    <w:p w14:paraId="086FF4D5"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практическому потолку — с 1930 года, с переходом на моторы с воздушным ох</w:t>
      </w:r>
      <w:r w:rsidRPr="00C33834">
        <w:rPr>
          <w:rFonts w:ascii="Times New Roman" w:hAnsi="Times New Roman"/>
          <w:color w:val="000000" w:themeColor="text1"/>
          <w:sz w:val="16"/>
          <w:szCs w:val="16"/>
        </w:rPr>
        <w:softHyphen/>
        <w:t>лаждением — мы имеем резкое повышение потолка...</w:t>
      </w:r>
    </w:p>
    <w:p w14:paraId="4A103179"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только с посадочной скоростью мы имеем худшее положение: посадочная ско</w:t>
      </w:r>
      <w:r w:rsidRPr="00C33834">
        <w:rPr>
          <w:rFonts w:ascii="Times New Roman" w:hAnsi="Times New Roman"/>
          <w:color w:val="000000" w:themeColor="text1"/>
          <w:sz w:val="16"/>
          <w:szCs w:val="16"/>
        </w:rPr>
        <w:softHyphen/>
        <w:t>рость И-14 лежит на 10% выше той посадочной скорости, которая имеется на загра</w:t>
      </w:r>
      <w:r w:rsidRPr="00C33834">
        <w:rPr>
          <w:rFonts w:ascii="Times New Roman" w:hAnsi="Times New Roman"/>
          <w:color w:val="000000" w:themeColor="text1"/>
          <w:sz w:val="16"/>
          <w:szCs w:val="16"/>
        </w:rPr>
        <w:softHyphen/>
        <w:t>ничных самолетах, но нами приняты меры, чтобы её уменьшить и на дублере она уже не должна превзойти намеченной средней...</w:t>
      </w:r>
    </w:p>
    <w:p w14:paraId="6A46BB3B"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если мы будем идти по пути развития монопланов и по пути... уве</w:t>
      </w:r>
      <w:r w:rsidRPr="00C33834">
        <w:rPr>
          <w:rFonts w:ascii="Times New Roman" w:hAnsi="Times New Roman"/>
          <w:color w:val="000000" w:themeColor="text1"/>
          <w:sz w:val="16"/>
          <w:szCs w:val="16"/>
        </w:rPr>
        <w:softHyphen/>
        <w:t>личения нагрузки на квадратный метр, посадочная скорость всё ж таки будет расти, ес</w:t>
      </w:r>
      <w:r w:rsidRPr="00C33834">
        <w:rPr>
          <w:rFonts w:ascii="Times New Roman" w:hAnsi="Times New Roman"/>
          <w:color w:val="000000" w:themeColor="text1"/>
          <w:sz w:val="16"/>
          <w:szCs w:val="16"/>
        </w:rPr>
        <w:softHyphen/>
        <w:t>ли не будет принят ряд мероприятий для её уменьшения.</w:t>
      </w:r>
    </w:p>
    <w:p w14:paraId="3689C331"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в общем нужно сказать, что данные И-14, по сравнению с заграничными самолё</w:t>
      </w:r>
      <w:r w:rsidRPr="00C33834">
        <w:rPr>
          <w:rFonts w:ascii="Times New Roman" w:hAnsi="Times New Roman"/>
          <w:color w:val="000000" w:themeColor="text1"/>
          <w:sz w:val="16"/>
          <w:szCs w:val="16"/>
        </w:rPr>
        <w:softHyphen/>
        <w:t>тами, — выше, за исключением посадочной скорости...</w:t>
      </w:r>
    </w:p>
    <w:p w14:paraId="5E11F2D6"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Теперь, что можно предложить для увеличения качества этой машины (И-14):</w:t>
      </w:r>
    </w:p>
    <w:p w14:paraId="719DD2E2" w14:textId="77777777" w:rsidR="00B4520E" w:rsidRPr="00C33834" w:rsidRDefault="00B4520E" w:rsidP="00C33834">
      <w:pPr>
        <w:numPr>
          <w:ilvl w:val="0"/>
          <w:numId w:val="457"/>
        </w:numPr>
        <w:tabs>
          <w:tab w:val="left" w:pos="236"/>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уменьшение посадочной скорости за счёт установки металлического воздушного винта;</w:t>
      </w:r>
    </w:p>
    <w:p w14:paraId="4EB00B75" w14:textId="77777777" w:rsidR="00B4520E" w:rsidRPr="00C33834" w:rsidRDefault="00B4520E" w:rsidP="00C33834">
      <w:pPr>
        <w:numPr>
          <w:ilvl w:val="0"/>
          <w:numId w:val="457"/>
        </w:numPr>
        <w:tabs>
          <w:tab w:val="left" w:pos="255"/>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отделка поверхности, т.е. окраска;</w:t>
      </w:r>
    </w:p>
    <w:p w14:paraId="52B45BF3" w14:textId="77777777" w:rsidR="00B4520E" w:rsidRPr="00C33834" w:rsidRDefault="00B4520E" w:rsidP="00C33834">
      <w:pPr>
        <w:numPr>
          <w:ilvl w:val="0"/>
          <w:numId w:val="457"/>
        </w:numPr>
        <w:tabs>
          <w:tab w:val="left" w:pos="255"/>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аккуратное и качественное выполнение поверхности самолёта в производстве...» (15823).</w:t>
      </w:r>
    </w:p>
    <w:p w14:paraId="6C3847F3" w14:textId="77777777" w:rsidR="00B4520E" w:rsidRPr="00C33834" w:rsidRDefault="00B4520E" w:rsidP="00C33834">
      <w:pPr>
        <w:spacing w:after="0" w:line="240" w:lineRule="auto"/>
        <w:jc w:val="both"/>
        <w:rPr>
          <w:rFonts w:ascii="Times New Roman" w:hAnsi="Times New Roman"/>
          <w:color w:val="000000" w:themeColor="text1"/>
          <w:sz w:val="16"/>
          <w:szCs w:val="16"/>
        </w:rPr>
      </w:pPr>
    </w:p>
    <w:p w14:paraId="462D2AD7" w14:textId="77777777" w:rsidR="002D74CC" w:rsidRPr="00C33834" w:rsidRDefault="002D74CC"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26 июля 1933 в своем выступлении на 1-ой партийно-технической конференции КОСОС ЦАГИ «По овладению техникой» П. О. Сухой доложил о работе бригады над новыми проектами:</w:t>
      </w:r>
    </w:p>
    <w:p w14:paraId="4DD153CB" w14:textId="77777777" w:rsidR="002D74CC" w:rsidRPr="00C33834" w:rsidRDefault="002D74CC"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 Прежде всего, я остановлюсь на самолете И-14. …Мы видим, что в среднем монопланы занимают (во всем мире) – около 40% и после 1932 года мы имеем резкое повышение монопланов до 78%. Надо думать, что повышение процента находится, главным образом, в зависимости от развития французской авиации. По-видимому, в тактике Франции произошел резкий перелом в сторону производства типов моноплана.</w:t>
      </w:r>
    </w:p>
    <w:p w14:paraId="72887CD7" w14:textId="77777777" w:rsidR="002D74CC" w:rsidRPr="00C33834" w:rsidRDefault="002D74CC"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Если посмотреть распределение по странам, то мы видим: на 1931 год, примерно, монопланов было 75% и на первом месте стоит Франция и, наоборот, на первом месте по производству бипланов находится Италия; дальше идет Англия; все другие страны занимают промежуточные места.</w:t>
      </w:r>
    </w:p>
    <w:p w14:paraId="792A4C19" w14:textId="77777777" w:rsidR="002D74CC" w:rsidRPr="00C33834" w:rsidRDefault="002D74CC"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Настоящая схема самолета И-14 является первой, потому что до сего времени бомбардировочных типов самолетов истребителей у нас не было. И когда в 1932 году стал вопрос относительно схемы, то Андрею Николаевичу (Туполеву) пришлось выдержать определенный напор со стороны УВВС, которые предлагали изменение и улучшение самолета И-5, и только определенное давление А.Н. заставило точку зрения НИИ ВВС изменить и теперь, когда мы подводим результаты, можно сказать, что по данной схеме мы совершенно определенно выгадали и попали на уровень мировых стран.</w:t>
      </w:r>
    </w:p>
    <w:p w14:paraId="66B64EFE" w14:textId="77777777" w:rsidR="002D74CC" w:rsidRPr="00C33834" w:rsidRDefault="002D74CC"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Теперь для того, чтобы сравнить наши самолеты с целым рядом заграничных самолетов, мы выбрали 27 лучших мировых самолетов: 5 английских, 10 французских, 3 американских, 2 польских и по 1-2 самолетам других стран.</w:t>
      </w:r>
    </w:p>
    <w:p w14:paraId="7B016679" w14:textId="77777777" w:rsidR="002D74CC" w:rsidRPr="00C33834" w:rsidRDefault="002D74CC"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Для сравнения с И-14 были положены расчетные данные. Те испытания, которые проведены на сегодняшний день, показали нам, что есть полное основание считать, что расчетные летные данные у нас полностью совпадают с данными, полученными в полете. Есть указание на некоторое превышение, но во всяком случае, поскольку сейчас мы полных полетных данных не имеем, мы базируемся на данных расчетных, учитывая то, что коррективы могут быть только в сторону улучшения. …</w:t>
      </w:r>
    </w:p>
    <w:p w14:paraId="7FC527FD" w14:textId="77777777" w:rsidR="002D74CC" w:rsidRPr="00C33834" w:rsidRDefault="002D74CC"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Переходя к скороподъемности, мы видим, что по сравнению с перечисленными самолетами И-14 стоит выше. Мы имеем 7 минут в среднем. …</w:t>
      </w:r>
    </w:p>
    <w:p w14:paraId="499C14D0" w14:textId="77777777" w:rsidR="002D74CC" w:rsidRPr="00C33834" w:rsidRDefault="002D74CC"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По практическому потолку – с 1930 года, с переходом на моторы с воздушным охлаждением – мы имеем резкое повышение потолка. …</w:t>
      </w:r>
    </w:p>
    <w:p w14:paraId="03D74BCE" w14:textId="77777777" w:rsidR="002D74CC" w:rsidRPr="00C33834" w:rsidRDefault="002D74CC"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И только с посадочной скоростью мы имеем худшее положение: посадочная скорость И-14 лежит на 10% выше той посадочной скорости, которая имеется на заграничных самолетах, но нами приняты меры, чтобы ее уменьшить и на дублере она уже не должна превзойти намеченной средней. …</w:t>
      </w:r>
    </w:p>
    <w:p w14:paraId="7583C1F3" w14:textId="77777777" w:rsidR="002D74CC" w:rsidRPr="00C33834" w:rsidRDefault="002D74CC"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Таким образом, если мы будем идти по пути развития монопланов и по пути … увеличения нагрузки на квадратный метр, посадочная скорость все ж таки будет расти, если не будет принят ряд мероприятий для ее уменьшения.</w:t>
      </w:r>
    </w:p>
    <w:p w14:paraId="5AB4763F" w14:textId="77777777" w:rsidR="002D74CC" w:rsidRPr="00C33834" w:rsidRDefault="002D74CC"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А в общем нужно сказать, что данные И-14, по сравнению с заграничными самолетами, – выше, за исключением посадочной скорости. …</w:t>
      </w:r>
    </w:p>
    <w:p w14:paraId="5829292D" w14:textId="77777777" w:rsidR="002D74CC" w:rsidRPr="00C33834" w:rsidRDefault="002D74CC"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Теперь, что можно предложить для увеличения качества этой машины (И-14):</w:t>
      </w:r>
    </w:p>
    <w:p w14:paraId="3E1D7877" w14:textId="77777777" w:rsidR="002D74CC" w:rsidRPr="00C33834" w:rsidRDefault="002D74CC"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 уменьшение посадочной скорости за счет установки металлического воздушного винта;</w:t>
      </w:r>
    </w:p>
    <w:p w14:paraId="0BA35443" w14:textId="77777777" w:rsidR="002D74CC" w:rsidRPr="00C33834" w:rsidRDefault="002D74CC"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 отделка поверхности, т.е. окраска;</w:t>
      </w:r>
    </w:p>
    <w:p w14:paraId="13E43874" w14:textId="77777777" w:rsidR="002D74CC" w:rsidRPr="00C33834" w:rsidRDefault="002D74CC" w:rsidP="00C33834">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C33834">
        <w:rPr>
          <w:rStyle w:val="af0"/>
          <w:i w:val="0"/>
          <w:color w:val="000000" w:themeColor="text1"/>
          <w:sz w:val="16"/>
          <w:szCs w:val="16"/>
          <w:bdr w:val="none" w:sz="0" w:space="0" w:color="auto" w:frame="1"/>
        </w:rPr>
        <w:t>— аккуратное и качественное выполнение поверхности самолета в производстве. …» (19177).</w:t>
      </w:r>
    </w:p>
    <w:p w14:paraId="355670C4" w14:textId="77777777" w:rsidR="002D74CC" w:rsidRPr="00C33834" w:rsidRDefault="002D74CC" w:rsidP="00C33834">
      <w:pPr>
        <w:pStyle w:val="ae"/>
        <w:shd w:val="clear" w:color="auto" w:fill="FFFFFF"/>
        <w:spacing w:before="0" w:after="0"/>
        <w:jc w:val="both"/>
        <w:textAlignment w:val="baseline"/>
        <w:rPr>
          <w:color w:val="000000" w:themeColor="text1"/>
          <w:sz w:val="16"/>
          <w:szCs w:val="16"/>
        </w:rPr>
      </w:pPr>
    </w:p>
    <w:p w14:paraId="5030D2A3" w14:textId="77777777" w:rsidR="00B4520E" w:rsidRPr="00C33834" w:rsidRDefault="00B4520E" w:rsidP="00C33834">
      <w:pPr>
        <w:pStyle w:val="rtejustify"/>
        <w:spacing w:before="0" w:after="0"/>
        <w:rPr>
          <w:color w:val="000000" w:themeColor="text1"/>
          <w:sz w:val="16"/>
          <w:szCs w:val="16"/>
        </w:rPr>
      </w:pPr>
      <w:r w:rsidRPr="00C33834">
        <w:rPr>
          <w:rStyle w:val="af0"/>
          <w:bCs/>
          <w:i w:val="0"/>
          <w:color w:val="000000" w:themeColor="text1"/>
          <w:sz w:val="16"/>
          <w:szCs w:val="16"/>
        </w:rPr>
        <w:t>26 июля</w:t>
      </w:r>
      <w:r w:rsidRPr="00C33834">
        <w:rPr>
          <w:color w:val="000000" w:themeColor="text1"/>
          <w:sz w:val="16"/>
          <w:szCs w:val="16"/>
        </w:rPr>
        <w:t xml:space="preserve"> 1933. Постановление СТО СССР № 65сс/о «О строительстве авиаремонтных заводов № 125 и 126». (ГА РФ. Ф. Р</w:t>
      </w:r>
      <w:r w:rsidRPr="00C33834">
        <w:rPr>
          <w:color w:val="000000" w:themeColor="text1"/>
          <w:sz w:val="16"/>
          <w:szCs w:val="16"/>
        </w:rPr>
        <w:noBreakHyphen/>
        <w:t>8418. Оп. 28. Д. 2. Л. 61</w:t>
      </w:r>
      <w:r w:rsidRPr="00C33834">
        <w:rPr>
          <w:color w:val="000000" w:themeColor="text1"/>
          <w:sz w:val="16"/>
          <w:szCs w:val="16"/>
        </w:rPr>
        <w:noBreakHyphen/>
        <w:t>62) (15460).</w:t>
      </w:r>
    </w:p>
    <w:p w14:paraId="7C0DA355" w14:textId="77777777" w:rsidR="00B4520E" w:rsidRPr="00C33834" w:rsidRDefault="00B4520E" w:rsidP="00C33834">
      <w:pPr>
        <w:pStyle w:val="rtejustify"/>
        <w:spacing w:before="0" w:after="0"/>
        <w:rPr>
          <w:color w:val="000000" w:themeColor="text1"/>
          <w:sz w:val="16"/>
          <w:szCs w:val="16"/>
        </w:rPr>
      </w:pPr>
    </w:p>
    <w:p w14:paraId="323FF834" w14:textId="77777777" w:rsidR="00264DA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B21B456" w14:textId="77777777" w:rsidR="00264DA9" w:rsidRPr="00C33834" w:rsidRDefault="00264DA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7103217"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26 июля по 15 августа 1933 был ликвидирован объект томка и в безвозмездное владение ЦВХП перешли все строения и оборудование - примерно на 50-60 тыс. золотых руб. Часть имущества попала в НИХО. Немцы смогли вывезти только личное имущество и пушки - два вагона и 4 платформы. 29 августа и 11 сентября покинуло пределы России по жд и через Ленинградский порт (6221).</w:t>
      </w:r>
    </w:p>
    <w:p w14:paraId="035E76F3"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05EC8B" w14:textId="77777777" w:rsidR="002D74CC" w:rsidRPr="00C33834" w:rsidRDefault="002D74C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26 июля по 15 августа 1933 менее чем за месяц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40–50 тыс. золотых руб. (18265). </w:t>
      </w:r>
    </w:p>
    <w:p w14:paraId="3050670A" w14:textId="77777777" w:rsidR="002D74CC" w:rsidRPr="00C33834" w:rsidRDefault="002D74CC" w:rsidP="00C33834">
      <w:pPr>
        <w:spacing w:after="0" w:line="240" w:lineRule="auto"/>
        <w:jc w:val="both"/>
        <w:rPr>
          <w:rFonts w:ascii="Times New Roman" w:hAnsi="Times New Roman"/>
          <w:color w:val="000000" w:themeColor="text1"/>
          <w:sz w:val="16"/>
          <w:szCs w:val="16"/>
        </w:rPr>
      </w:pPr>
    </w:p>
    <w:p w14:paraId="178DBC9B"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июля 1933 на ЗИС сделали первую ЗИС-5 (1069,68).</w:t>
      </w:r>
    </w:p>
    <w:p w14:paraId="33895536"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3696B65C" w14:textId="77777777" w:rsidR="00F75FDE" w:rsidRPr="00C33834" w:rsidRDefault="00F75FD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июля 1933 - прекращение автозаводом выпуска автомобилей АМО-3 и АМО-4 и начало поточного выпуска двух новых моделей – ЗИС-5 (4х2) и трехосных ЗИС-6 (6х4) (17494).</w:t>
      </w:r>
    </w:p>
    <w:p w14:paraId="4EDEB4AC" w14:textId="77777777" w:rsidR="00F75FDE" w:rsidRPr="00C33834" w:rsidRDefault="00F75FDE" w:rsidP="00C33834">
      <w:pPr>
        <w:spacing w:after="0" w:line="240" w:lineRule="auto"/>
        <w:jc w:val="both"/>
        <w:rPr>
          <w:rFonts w:ascii="Times New Roman" w:hAnsi="Times New Roman"/>
          <w:color w:val="000000" w:themeColor="text1"/>
          <w:sz w:val="16"/>
          <w:szCs w:val="16"/>
        </w:rPr>
      </w:pPr>
    </w:p>
    <w:p w14:paraId="50C60EBD" w14:textId="77777777" w:rsidR="00264DA9" w:rsidRPr="00C33834" w:rsidRDefault="00264DA9"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С 26 июля 1933 началась эвакуация германского персонала и части оборудования с объекта Томка, которая закончилась к 15 августа 1933 г. Во владении ЦВХМ безвозмездно перешли все строения, ангар, ме-мастерская со всем оборудованием, станками и к набором инструментов, наливная станция, электростанция и водокачка с новой моторной установкой, полнос</w:t>
      </w:r>
      <w:r w:rsidRPr="00C33834">
        <w:rPr>
          <w:rFonts w:ascii="Times New Roman" w:hAnsi="Times New Roman"/>
          <w:color w:val="000000" w:themeColor="text1"/>
          <w:sz w:val="16"/>
          <w:szCs w:val="16"/>
        </w:rPr>
        <w:softHyphen/>
        <w:t>тью обеспечивавшая работы в данном районе, гараж с 6 лег</w:t>
      </w:r>
      <w:r w:rsidRPr="00C33834">
        <w:rPr>
          <w:rFonts w:ascii="Times New Roman" w:hAnsi="Times New Roman"/>
          <w:color w:val="000000" w:themeColor="text1"/>
          <w:sz w:val="16"/>
          <w:szCs w:val="16"/>
        </w:rPr>
        <w:softHyphen/>
        <w:t>ковыми и 3 грузовыми автомобилями и тягачом, оборудова</w:t>
      </w:r>
      <w:r w:rsidRPr="00C33834">
        <w:rPr>
          <w:rFonts w:ascii="Times New Roman" w:hAnsi="Times New Roman"/>
          <w:color w:val="000000" w:themeColor="text1"/>
          <w:sz w:val="16"/>
          <w:szCs w:val="16"/>
        </w:rPr>
        <w:softHyphen/>
        <w:t>ние походной снаряжательной мастерской, химическая лабо</w:t>
      </w:r>
      <w:r w:rsidRPr="00C33834">
        <w:rPr>
          <w:rFonts w:ascii="Times New Roman" w:hAnsi="Times New Roman"/>
          <w:color w:val="000000" w:themeColor="text1"/>
          <w:sz w:val="16"/>
          <w:szCs w:val="16"/>
        </w:rPr>
        <w:softHyphen/>
        <w:t>ратория, дегазационная мастерская, казино, технические мастерские, реактивы, хозяйственные принадлежности и др; По приблизительным подсчетам стоимость оставленного нем</w:t>
      </w:r>
      <w:r w:rsidRPr="00C33834">
        <w:rPr>
          <w:rFonts w:ascii="Times New Roman" w:hAnsi="Times New Roman"/>
          <w:color w:val="000000" w:themeColor="text1"/>
          <w:sz w:val="16"/>
          <w:szCs w:val="16"/>
        </w:rPr>
        <w:softHyphen/>
        <w:t>цами имущества оценивалась в 40—50 тыс. золотых рублей. СССР была приобретена у “друзей” опытная боевая химичес</w:t>
      </w:r>
      <w:r w:rsidRPr="00C33834">
        <w:rPr>
          <w:rFonts w:ascii="Times New Roman" w:hAnsi="Times New Roman"/>
          <w:color w:val="000000" w:themeColor="text1"/>
          <w:sz w:val="16"/>
          <w:szCs w:val="16"/>
        </w:rPr>
        <w:softHyphen/>
        <w:t>кая машина крупповского образца за 5 тыс. рублей (советс</w:t>
      </w:r>
      <w:r w:rsidRPr="00C33834">
        <w:rPr>
          <w:rFonts w:ascii="Times New Roman" w:hAnsi="Times New Roman"/>
          <w:color w:val="000000" w:themeColor="text1"/>
          <w:sz w:val="16"/>
          <w:szCs w:val="16"/>
        </w:rPr>
        <w:softHyphen/>
        <w:t>кими дензнаками), по утверждению немцев она им обошлась в 15 тыс. марок (10670,176).</w:t>
      </w:r>
    </w:p>
    <w:p w14:paraId="593043D9" w14:textId="77777777" w:rsidR="00264DA9" w:rsidRPr="00C33834" w:rsidRDefault="00264DA9"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A7B7D8" w14:textId="77777777" w:rsidR="00264DA9"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5C44B568" w14:textId="77777777" w:rsidR="00264DA9" w:rsidRPr="00C33834" w:rsidRDefault="00264DA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2F02BC0"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июля — 15 августа 1933 менее чем за месяц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 — 50 тыс. золотых руб. (РГВА, ф. 33987, оп. 3, д. 504, л. 153.) (11784).</w:t>
      </w:r>
    </w:p>
    <w:p w14:paraId="62CB3DD7"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2A1039D2" w14:textId="77777777" w:rsidR="00264DA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B870987" w14:textId="77777777" w:rsidR="00264DA9" w:rsidRPr="00C33834" w:rsidRDefault="00264DA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6854A86"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июля 1933 машина Дорнье Дорнье "Валь" СССР-Н9 - Заводской № 238, двигатели - 2 М-17 (так в документе), дата присвоения опознавательного знака с литерой "Н" - 22.08.33 г. более совершенной конструкции, принятая 23-го июня 1933 г. приемочной комиссией советского торгпредства, вылетела в Ленинград, где должна была проходить испытания. Окончание испытаний планировалось на 1 сентября, после чего самолет должен был отправиться в Карское море для ледовой разведки и вывозки пушнины с дальних пунктов. Первый сезон эксплуатации СССР-Н9 оказался неудачным по причине поломки двигателя в бухте Пойндте. Необходимо было заменить два поршня кормового мотора. На выручку экипажа 10-го сентября с запасными частями прибыл "Валь" СССР-Н2. Предполагалось лететь на базу на одном моторе, но за час до взлета у бортмеханика возникло подозрение еще и на задир поршней носового мотора. Перелет на базу был отставлен, и самолет погрузили на борт подошедшего судна (11970).</w:t>
      </w:r>
    </w:p>
    <w:p w14:paraId="1288BF4A"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231F2DBC"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27 июля в 1933 году первый полёт экспериментального самолёта Р.Л.Бартини </w:t>
      </w:r>
      <w:hyperlink r:id="rId270" w:tgtFrame="_blank" w:history="1">
        <w:r w:rsidRPr="00C33834">
          <w:rPr>
            <w:rFonts w:ascii="Times New Roman" w:hAnsi="Times New Roman"/>
            <w:color w:val="000000" w:themeColor="text1"/>
            <w:sz w:val="16"/>
            <w:szCs w:val="16"/>
          </w:rPr>
          <w:t xml:space="preserve">«Сталь-6» </w:t>
        </w:r>
      </w:hyperlink>
      <w:r w:rsidRPr="00C33834">
        <w:rPr>
          <w:rFonts w:ascii="Times New Roman" w:hAnsi="Times New Roman"/>
          <w:color w:val="000000" w:themeColor="text1"/>
          <w:sz w:val="16"/>
          <w:szCs w:val="16"/>
        </w:rPr>
        <w:t>с испарительным охлаждением и одноколёсным убирающимся шасси, лётчик-испытатель А.Б.Юмашев (14965).</w:t>
      </w:r>
    </w:p>
    <w:p w14:paraId="7E2A5372" w14:textId="77777777" w:rsidR="00B4520E" w:rsidRPr="00C33834" w:rsidRDefault="00B4520E" w:rsidP="00C33834">
      <w:pPr>
        <w:spacing w:after="0" w:line="240" w:lineRule="auto"/>
        <w:jc w:val="both"/>
        <w:rPr>
          <w:rFonts w:ascii="Times New Roman" w:hAnsi="Times New Roman"/>
          <w:color w:val="000000" w:themeColor="text1"/>
          <w:sz w:val="16"/>
          <w:szCs w:val="16"/>
        </w:rPr>
      </w:pPr>
    </w:p>
    <w:p w14:paraId="38D02790" w14:textId="77777777" w:rsidR="00F75FDE" w:rsidRPr="00C33834" w:rsidRDefault="00F75FDE"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27 июля 1933 г. лётчик-испытатель НИИ ВВС А.Б. Юмашев начал рулёжки и подлёты на «Сталь-6». Из-за повреждения подкрыльевых костылей испытания продолжили в середине августа (17489).</w:t>
      </w:r>
    </w:p>
    <w:p w14:paraId="248A8F90" w14:textId="77777777" w:rsidR="00F75FDE" w:rsidRPr="00C33834" w:rsidRDefault="00F75FDE" w:rsidP="00C33834">
      <w:pPr>
        <w:spacing w:after="0" w:line="240" w:lineRule="auto"/>
        <w:jc w:val="both"/>
        <w:rPr>
          <w:rFonts w:ascii="Times New Roman" w:eastAsia="Times New Roman" w:hAnsi="Times New Roman"/>
          <w:color w:val="000000" w:themeColor="text1"/>
          <w:sz w:val="16"/>
          <w:szCs w:val="16"/>
          <w:lang w:eastAsia="ru-RU"/>
        </w:rPr>
      </w:pPr>
    </w:p>
    <w:p w14:paraId="72B24F64"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июля 1933 г. лётчик-испытатель НИИ ВВС А.Б. Юмашев начал рулежки и подлёты на «Сталь-6». Из-за повреждения подкрыльевых костылей испытания продолжили в середине августа (15844).</w:t>
      </w:r>
    </w:p>
    <w:p w14:paraId="3D9CA57E"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«Сталь-6» был свободнонесущим монопланом очень обтекаемой формы. Силовой кар</w:t>
      </w:r>
      <w:r w:rsidRPr="00C33834">
        <w:rPr>
          <w:rFonts w:ascii="Times New Roman" w:hAnsi="Times New Roman"/>
          <w:color w:val="000000" w:themeColor="text1"/>
          <w:sz w:val="16"/>
          <w:szCs w:val="16"/>
        </w:rPr>
        <w:softHyphen/>
        <w:t xml:space="preserve">кас крыла, фюзеляжа и оперения — из стальных труб. Для снижения веса лонжероны крыла в виде пучка сваренных между собой хромомолибденовых труб сужались к концам за счёт постепенного уменьшения их числа: передний лонжерон у основания имел семь труб, затем </w:t>
      </w:r>
      <w:bookmarkStart w:id="43" w:name="bookmark26"/>
      <w:r w:rsidRPr="00C33834">
        <w:rPr>
          <w:rFonts w:ascii="Times New Roman" w:hAnsi="Times New Roman"/>
          <w:color w:val="000000" w:themeColor="text1"/>
          <w:sz w:val="16"/>
          <w:szCs w:val="16"/>
        </w:rPr>
        <w:t>пять, затем три, и на конце - одну. Задний лонжерон имел аналогичную конструкцию,</w:t>
      </w:r>
      <w:bookmarkEnd w:id="43"/>
      <w:r w:rsidRPr="00C33834">
        <w:rPr>
          <w:rStyle w:val="12pt70"/>
          <w:rFonts w:ascii="Times New Roman" w:eastAsia="Arial Unicode MS" w:hAnsi="Times New Roman" w:cs="Times New Roman"/>
          <w:color w:val="000000" w:themeColor="text1"/>
          <w:w w:val="100"/>
          <w:sz w:val="16"/>
          <w:szCs w:val="16"/>
        </w:rPr>
        <w:t>но начинался с пяти труб. Внутренние раскосы и ферменные нервюры крыла и опере</w:t>
      </w:r>
      <w:r w:rsidRPr="00C33834">
        <w:rPr>
          <w:rStyle w:val="12pt70"/>
          <w:rFonts w:ascii="Times New Roman" w:eastAsia="Arial Unicode MS" w:hAnsi="Times New Roman" w:cs="Times New Roman"/>
          <w:color w:val="000000" w:themeColor="text1"/>
          <w:w w:val="100"/>
          <w:sz w:val="16"/>
          <w:szCs w:val="16"/>
        </w:rPr>
        <w:softHyphen/>
      </w:r>
      <w:r w:rsidRPr="00C33834">
        <w:rPr>
          <w:rFonts w:ascii="Times New Roman" w:hAnsi="Times New Roman"/>
          <w:color w:val="000000" w:themeColor="text1"/>
          <w:sz w:val="16"/>
          <w:szCs w:val="16"/>
        </w:rPr>
        <w:t>ния крыла были из нержавеющей стали и крепились к лонжеронам точечной электрос</w:t>
      </w:r>
      <w:r w:rsidRPr="00C33834">
        <w:rPr>
          <w:rFonts w:ascii="Times New Roman" w:hAnsi="Times New Roman"/>
          <w:color w:val="000000" w:themeColor="text1"/>
          <w:sz w:val="16"/>
          <w:szCs w:val="16"/>
        </w:rPr>
        <w:softHyphen/>
        <w:t>варкой.</w:t>
      </w:r>
    </w:p>
    <w:p w14:paraId="3D85977C"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Технология электросварки обычной и нержавеющей стали различна: для соединения де</w:t>
      </w:r>
      <w:r w:rsidRPr="00C33834">
        <w:rPr>
          <w:rFonts w:ascii="Times New Roman" w:hAnsi="Times New Roman"/>
          <w:color w:val="000000" w:themeColor="text1"/>
          <w:sz w:val="16"/>
          <w:szCs w:val="16"/>
        </w:rPr>
        <w:softHyphen/>
        <w:t>талей из хромомолибденовой стали нужно использовать сравнительно слабый, но продол</w:t>
      </w:r>
      <w:r w:rsidRPr="00C33834">
        <w:rPr>
          <w:rFonts w:ascii="Times New Roman" w:hAnsi="Times New Roman"/>
          <w:color w:val="000000" w:themeColor="text1"/>
          <w:sz w:val="16"/>
          <w:szCs w:val="16"/>
        </w:rPr>
        <w:softHyphen/>
        <w:t>жительный нагрев, иначе сварная точка становилась хрупкой, а листовую нержавеющую сталь сваривали коротким сильным электрическим импульсом. Бартини и инженер С.М. Попов разработали специальный метод: сначала давали большой, но короткий ток, затем через реостат снижали нагрев до температуры, требуемой для сварки хромомолибденовых труб. Регулирование процесса, своевременные смены режимов были доверены автоматике (15844).</w:t>
      </w:r>
    </w:p>
    <w:p w14:paraId="4911392D"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Обшивку крыла выполнили из тонких листов нержавеющей стали, фюзеляжа - из фанеры, обтянутой перкалем, хвостовое оперение имело фанерную обшивку, а руле</w:t>
      </w:r>
      <w:r w:rsidRPr="00C33834">
        <w:rPr>
          <w:rFonts w:ascii="Times New Roman" w:hAnsi="Times New Roman"/>
          <w:color w:val="000000" w:themeColor="text1"/>
          <w:sz w:val="16"/>
          <w:szCs w:val="16"/>
        </w:rPr>
        <w:softHyphen/>
        <w:t>вые поверхности - полотняную. При изготовлении масляного бака применялся сплав электрон.</w:t>
      </w:r>
    </w:p>
    <w:p w14:paraId="34CB57FA"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Горизонтальный стабилизатор - переставной, с изменяемым углом установки на земле для регулировки продольной балансировки самолёта. В управление элеронами было вве</w:t>
      </w:r>
      <w:r w:rsidRPr="00C33834">
        <w:rPr>
          <w:rFonts w:ascii="Times New Roman" w:hAnsi="Times New Roman"/>
          <w:color w:val="000000" w:themeColor="text1"/>
          <w:sz w:val="16"/>
          <w:szCs w:val="16"/>
        </w:rPr>
        <w:softHyphen/>
        <w:t xml:space="preserve">дено устройство, позволяющее синхронно отклонять их вниз как закрылки на угол до 30°. Позднее такой тип элеронов назвали «флапероны» (от английских </w:t>
      </w:r>
      <w:r w:rsidRPr="00C33834">
        <w:rPr>
          <w:rFonts w:ascii="Times New Roman" w:hAnsi="Times New Roman"/>
          <w:color w:val="000000" w:themeColor="text1"/>
          <w:sz w:val="16"/>
          <w:szCs w:val="16"/>
          <w:lang w:val="en-US"/>
        </w:rPr>
        <w:t>flap</w:t>
      </w:r>
      <w:r w:rsidRPr="00C33834">
        <w:rPr>
          <w:rFonts w:ascii="Times New Roman" w:hAnsi="Times New Roman"/>
          <w:color w:val="000000" w:themeColor="text1"/>
          <w:sz w:val="16"/>
          <w:szCs w:val="16"/>
        </w:rPr>
        <w:t xml:space="preserve"> - закрылок и (</w:t>
      </w:r>
      <w:r w:rsidRPr="00C33834">
        <w:rPr>
          <w:rFonts w:ascii="Times New Roman" w:hAnsi="Times New Roman"/>
          <w:color w:val="000000" w:themeColor="text1"/>
          <w:sz w:val="16"/>
          <w:szCs w:val="16"/>
          <w:lang w:val="en-US"/>
        </w:rPr>
        <w:t>ail</w:t>
      </w:r>
      <w:r w:rsidRPr="00C33834">
        <w:rPr>
          <w:rFonts w:ascii="Times New Roman" w:hAnsi="Times New Roman"/>
          <w:color w:val="000000" w:themeColor="text1"/>
          <w:sz w:val="16"/>
          <w:szCs w:val="16"/>
        </w:rPr>
        <w:t xml:space="preserve">) </w:t>
      </w:r>
      <w:r w:rsidRPr="00C33834">
        <w:rPr>
          <w:rFonts w:ascii="Times New Roman" w:hAnsi="Times New Roman"/>
          <w:color w:val="000000" w:themeColor="text1"/>
          <w:sz w:val="16"/>
          <w:szCs w:val="16"/>
          <w:lang w:val="en-US"/>
        </w:rPr>
        <w:t>eron</w:t>
      </w:r>
      <w:r w:rsidRPr="00C33834">
        <w:rPr>
          <w:rFonts w:ascii="Times New Roman" w:hAnsi="Times New Roman"/>
          <w:color w:val="000000" w:themeColor="text1"/>
          <w:sz w:val="16"/>
          <w:szCs w:val="16"/>
        </w:rPr>
        <w:t xml:space="preserve"> - элерон).</w:t>
      </w:r>
    </w:p>
    <w:p w14:paraId="77FAE97C"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В.Б. Шавров пишет, что в системе управления рулями высоты имелась раздвижная ка</w:t>
      </w:r>
      <w:r w:rsidRPr="00C33834">
        <w:rPr>
          <w:rFonts w:ascii="Times New Roman" w:hAnsi="Times New Roman"/>
          <w:color w:val="000000" w:themeColor="text1"/>
          <w:sz w:val="16"/>
          <w:szCs w:val="16"/>
        </w:rPr>
        <w:softHyphen/>
        <w:t>чалка, длина которой могла регулироваться лётчиком, чтобы менять угол отклонения рулей в зависимости от скорости полёта. Бартини действительно изобрёл такое устройство («Способ улучшения управления на самолётах с большим диапазоном скорости», 1932 г.), однако, по-видимому, не установил его на самолёт, т. к. в весьма подробном отчёте по государственным испытаниям «Стали-6» упоминаний о нём нет.</w:t>
      </w:r>
    </w:p>
    <w:p w14:paraId="6FDC27D0"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водяного охлаждения мощностью 680 л.с. не имел привычного радиатора, его роль выполняла двойная металлическая обшивка крыла, соединённая электросваркой с применением пайки для герметизации. Вода, омывая цилиндры двигателя, испарялась, в виде пара попадала в пространство между слоями обшивки, охлаждаемая потоком возду</w:t>
      </w:r>
      <w:r w:rsidRPr="00C33834">
        <w:rPr>
          <w:rFonts w:ascii="Times New Roman" w:hAnsi="Times New Roman"/>
          <w:color w:val="000000" w:themeColor="text1"/>
          <w:sz w:val="16"/>
          <w:szCs w:val="16"/>
        </w:rPr>
        <w:softHyphen/>
        <w:t>ха конденсировалась и с помощью помпы возвращалась обратно к двигателю. Обшивка- конденсатор занимала всю верхнюю часть крыла и часть нижней поверхности от носка до переднего лонжерона. Маслобак также находился в крыле, масло охлаждалось той же самой остывшей в крыле водой.</w:t>
      </w:r>
    </w:p>
    <w:p w14:paraId="6BF05ACF"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Систему поверхностного крыльевого охлаждения впервые применили на итальянском гоночном гидросамолёте Мак- ки М.72 в 1931 г. Но «Сталь-6» строили, прежде всего, как прототип истребителя. Учиты</w:t>
      </w:r>
      <w:r w:rsidRPr="00C33834">
        <w:rPr>
          <w:rFonts w:ascii="Times New Roman" w:hAnsi="Times New Roman"/>
          <w:color w:val="000000" w:themeColor="text1"/>
          <w:sz w:val="16"/>
          <w:szCs w:val="16"/>
        </w:rPr>
        <w:softHyphen/>
        <w:t>вая уязвимость поверхностных радиаторов в боевых условиях. Бартини разделил их на 30 сек</w:t>
      </w:r>
      <w:r w:rsidRPr="00C33834">
        <w:rPr>
          <w:rFonts w:ascii="Times New Roman" w:hAnsi="Times New Roman"/>
          <w:color w:val="000000" w:themeColor="text1"/>
          <w:sz w:val="16"/>
          <w:szCs w:val="16"/>
        </w:rPr>
        <w:softHyphen/>
        <w:t>ций, закрыв щели между ними стальными лентами, а также установил резервный 19-литро</w:t>
      </w:r>
      <w:r w:rsidRPr="00C33834">
        <w:rPr>
          <w:rFonts w:ascii="Times New Roman" w:hAnsi="Times New Roman"/>
          <w:color w:val="000000" w:themeColor="text1"/>
          <w:sz w:val="16"/>
          <w:szCs w:val="16"/>
        </w:rPr>
        <w:softHyphen/>
        <w:t>вый бачок, соединённый с водя</w:t>
      </w:r>
      <w:r w:rsidRPr="00C33834">
        <w:rPr>
          <w:rFonts w:ascii="Times New Roman" w:hAnsi="Times New Roman"/>
          <w:color w:val="000000" w:themeColor="text1"/>
          <w:sz w:val="16"/>
          <w:szCs w:val="16"/>
        </w:rPr>
        <w:softHyphen/>
        <w:t>ной магистралью.</w:t>
      </w:r>
    </w:p>
    <w:p w14:paraId="7ED8A7F6"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Ещё одной новинкой стало применение на самолёте ме</w:t>
      </w:r>
      <w:r w:rsidRPr="00C33834">
        <w:rPr>
          <w:rFonts w:ascii="Times New Roman" w:hAnsi="Times New Roman"/>
          <w:color w:val="000000" w:themeColor="text1"/>
          <w:sz w:val="16"/>
          <w:szCs w:val="16"/>
        </w:rPr>
        <w:softHyphen/>
        <w:t>таллического винта изменяемого шага. Правда, угол установки лопастей можно было ре</w:t>
      </w:r>
      <w:r w:rsidRPr="00C33834">
        <w:rPr>
          <w:rFonts w:ascii="Times New Roman" w:hAnsi="Times New Roman"/>
          <w:color w:val="000000" w:themeColor="text1"/>
          <w:sz w:val="16"/>
          <w:szCs w:val="16"/>
        </w:rPr>
        <w:softHyphen/>
        <w:t>гулировать только на земле.</w:t>
      </w:r>
    </w:p>
    <w:p w14:paraId="58B096CE"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«Сталь-6» был первым в мире самолётом с убирающимся одноколесным шасси (впервые в СССР убираемое шасси сделали на пассажирском ХАИ-1 в 1932 г., но на небольшом од</w:t>
      </w:r>
      <w:r w:rsidRPr="00C33834">
        <w:rPr>
          <w:rFonts w:ascii="Times New Roman" w:hAnsi="Times New Roman"/>
          <w:color w:val="000000" w:themeColor="text1"/>
          <w:sz w:val="16"/>
          <w:szCs w:val="16"/>
        </w:rPr>
        <w:softHyphen/>
        <w:t>номестном самолёте Бартини внутреннего пространства для двух колёс не было). Колесо втягивалось с помощью тросов, наматываемых на специальный штурвал в кабине. Сначала убиралось само колесо диаметром 800 мм, оно заходило в нишу в фюзеляже между ног пилота, которая закрывалась створками. Во время подъёма колеса второй трое подтягивал подкрыльевые костыли в горизонтальное положение. Выпуск шасси происходил за счёт собственного веса колеса и костылей с последующей доводкой их тросом до фиксации в механических замках. Для уборки шасси надо было сделать 23 полных оборота штурвала, это занимало 2,5-3 минуты. Выпуск происходил быстрее - за 1,5-2 минуты. При уборке шасси штурвал приходилось вращать с усилием до 15 кг. Об уборке и выпуске колеса и костылей сигнализировали лампочки на приборной доске.</w:t>
      </w:r>
    </w:p>
    <w:p w14:paraId="09964238"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Кабина пилота была закрыта сдвижным фонарём, практически не выступающим за об</w:t>
      </w:r>
      <w:r w:rsidRPr="00C33834">
        <w:rPr>
          <w:rFonts w:ascii="Times New Roman" w:hAnsi="Times New Roman"/>
          <w:color w:val="000000" w:themeColor="text1"/>
          <w:sz w:val="16"/>
          <w:szCs w:val="16"/>
        </w:rPr>
        <w:softHyphen/>
        <w:t>воды фюзеляжа. Он имел каркас стальных труб и был обтянут целлоном; небьющихся типов стекла типа триплекс тогда ещё не было.</w:t>
      </w:r>
    </w:p>
    <w:p w14:paraId="6477089A" w14:textId="77777777" w:rsidR="00B4520E" w:rsidRPr="00C33834" w:rsidRDefault="00B452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Самолёт имел длину 6,9 м, размах крыла 9 м, площадь крыла 13,8 кв.м. Вес конструкции равнялся 928 кг (15844).</w:t>
      </w:r>
    </w:p>
    <w:p w14:paraId="4591E6DE" w14:textId="77777777" w:rsidR="00B4520E" w:rsidRPr="00C33834" w:rsidRDefault="00B4520E" w:rsidP="00C33834">
      <w:pPr>
        <w:spacing w:after="0" w:line="240" w:lineRule="auto"/>
        <w:jc w:val="both"/>
        <w:rPr>
          <w:rFonts w:ascii="Times New Roman" w:hAnsi="Times New Roman"/>
          <w:color w:val="000000" w:themeColor="text1"/>
          <w:sz w:val="16"/>
          <w:szCs w:val="16"/>
        </w:rPr>
      </w:pPr>
    </w:p>
    <w:p w14:paraId="0952B435" w14:textId="77777777" w:rsidR="00264DA9" w:rsidRPr="00C33834" w:rsidRDefault="00264DA9"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июля и 17 августа 1933 г. на НИАП из спе</w:t>
      </w:r>
      <w:r w:rsidRPr="00C33834">
        <w:rPr>
          <w:rFonts w:ascii="Times New Roman" w:hAnsi="Times New Roman"/>
          <w:color w:val="000000" w:themeColor="text1"/>
          <w:sz w:val="16"/>
          <w:szCs w:val="16"/>
        </w:rPr>
        <w:softHyphen/>
        <w:t>циальных направляющих модели 1294, смонтированных на лафете гор</w:t>
      </w:r>
      <w:r w:rsidRPr="00C33834">
        <w:rPr>
          <w:rFonts w:ascii="Times New Roman" w:hAnsi="Times New Roman"/>
          <w:color w:val="000000" w:themeColor="text1"/>
          <w:sz w:val="16"/>
          <w:szCs w:val="16"/>
        </w:rPr>
        <w:softHyphen/>
        <w:t>ной пушки образца 1909 г. вели стрельбу новыми РС-132 мм за основу, которых взяли РС-132 модели 561 (корпус БЧ и камера двигателя), но оснастили их стабилизатором модели 1273 из 4 крыльев размахом 400 мм и из 6 крыльев размахом 300 мм. РЗ умень</w:t>
      </w:r>
      <w:r w:rsidRPr="00C33834">
        <w:rPr>
          <w:rFonts w:ascii="Times New Roman" w:hAnsi="Times New Roman"/>
          <w:color w:val="000000" w:themeColor="text1"/>
          <w:sz w:val="16"/>
          <w:szCs w:val="16"/>
        </w:rPr>
        <w:softHyphen/>
        <w:t>шили с 3,11 кг до 2,78 кг. Благодаря подбору сопла, давление в камере двигателя снизилось с 250 кг/см" до 180, а также РС-82 со стабилизаторами. В обоих случаях было выпущено по 20 снаря</w:t>
      </w:r>
      <w:r w:rsidRPr="00C33834">
        <w:rPr>
          <w:rFonts w:ascii="Times New Roman" w:hAnsi="Times New Roman"/>
          <w:color w:val="000000" w:themeColor="text1"/>
          <w:sz w:val="16"/>
          <w:szCs w:val="16"/>
        </w:rPr>
        <w:softHyphen/>
        <w:t>дов. В июльских опытах первый снаряд, упавший в двух километрах, не заметили. Седьмой также не нашли, так как он уклонился на 200 м в сторону от директрисы. Несмотря на возросшую, в сравнении с преды</w:t>
      </w:r>
      <w:r w:rsidRPr="00C33834">
        <w:rPr>
          <w:rFonts w:ascii="Times New Roman" w:hAnsi="Times New Roman"/>
          <w:color w:val="000000" w:themeColor="text1"/>
          <w:sz w:val="16"/>
          <w:szCs w:val="16"/>
        </w:rPr>
        <w:softHyphen/>
        <w:t>дущими отстрелами, точность стрельбы, она все же оставалась неудовле</w:t>
      </w:r>
      <w:r w:rsidRPr="00C33834">
        <w:rPr>
          <w:rFonts w:ascii="Times New Roman" w:hAnsi="Times New Roman"/>
          <w:color w:val="000000" w:themeColor="text1"/>
          <w:sz w:val="16"/>
          <w:szCs w:val="16"/>
        </w:rPr>
        <w:softHyphen/>
        <w:t>творительной. В 60-е годы прошлого столетия исследователи истории развития оте</w:t>
      </w:r>
      <w:r w:rsidRPr="00C33834">
        <w:rPr>
          <w:rFonts w:ascii="Times New Roman" w:hAnsi="Times New Roman"/>
          <w:color w:val="000000" w:themeColor="text1"/>
          <w:sz w:val="16"/>
          <w:szCs w:val="16"/>
        </w:rPr>
        <w:softHyphen/>
        <w:t>чественного ракетного вооружения, решив «отшлифовать» ход развития событий, по-своему прокомментировали многолетний интервал между началом работ по авиационным РС и первыми положительными резуль</w:t>
      </w:r>
      <w:r w:rsidRPr="00C33834">
        <w:rPr>
          <w:rFonts w:ascii="Times New Roman" w:hAnsi="Times New Roman"/>
          <w:color w:val="000000" w:themeColor="text1"/>
          <w:sz w:val="16"/>
          <w:szCs w:val="16"/>
        </w:rPr>
        <w:softHyphen/>
        <w:t>татами заводских и полигонных испытаний. Согласно их версии (затем она была принята в качестве официальной) в РНИИ НКТП неудачи в опытах с ТРС побудили конструкторов создать оперенные снаряды. Однако анализ годовых отчетов по научно-технической деятельности РНИИ дает основания утверждать, что работы по ТРС и оперенным РС в ГДЛ (позже она приобрела статус ленинградского отделения РНИИ), а затем и в московском РНИИ шли параллельно. Более убедительной причиной отказа авиаторов от ТРС выглядит низкая технологичность массового производства таких снарядов. Именно по этой причине в истории отечественной техники так и не поступали на вооружение куда более солидные проекты и образцы. В ситуации с турбореактивными снарядами, тангенциальные сопла малого диаметра требовали чрезвычайной тщательности и точности сверления. Отклонение всего в десятые доли миллиметра тотчас ска</w:t>
      </w:r>
      <w:r w:rsidRPr="00C33834">
        <w:rPr>
          <w:rFonts w:ascii="Times New Roman" w:hAnsi="Times New Roman"/>
          <w:color w:val="000000" w:themeColor="text1"/>
          <w:sz w:val="16"/>
          <w:szCs w:val="16"/>
        </w:rPr>
        <w:softHyphen/>
        <w:t>зывалось на точности стрельбы, поэтому в большом количестве произ</w:t>
      </w:r>
      <w:r w:rsidRPr="00C33834">
        <w:rPr>
          <w:rFonts w:ascii="Times New Roman" w:hAnsi="Times New Roman"/>
          <w:color w:val="000000" w:themeColor="text1"/>
          <w:sz w:val="16"/>
          <w:szCs w:val="16"/>
        </w:rPr>
        <w:softHyphen/>
        <w:t>водить качественные ТРС в то время было чересчур дорого, да и прак</w:t>
      </w:r>
      <w:r w:rsidRPr="00C33834">
        <w:rPr>
          <w:rFonts w:ascii="Times New Roman" w:hAnsi="Times New Roman"/>
          <w:color w:val="000000" w:themeColor="text1"/>
          <w:sz w:val="16"/>
          <w:szCs w:val="16"/>
        </w:rPr>
        <w:softHyphen/>
        <w:t>тически невозможно (11402).</w:t>
      </w:r>
    </w:p>
    <w:p w14:paraId="44D81BC3" w14:textId="77777777" w:rsidR="00264DA9" w:rsidRPr="00C33834" w:rsidRDefault="00264DA9"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ADDEC2" w14:textId="77777777" w:rsidR="00264DA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lastRenderedPageBreak/>
        <w:t>Авиапромышленность:</w:t>
      </w:r>
    </w:p>
    <w:p w14:paraId="764786EC" w14:textId="77777777" w:rsidR="00264DA9" w:rsidRPr="00C33834" w:rsidRDefault="00264DA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11012C2"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июля 1933 закончились испытания турельных авиационных пулеметов калибра 7,62 мм ШКАС-МК-1933 г. за NN 114, 116, 156 и 160, которые проходили с 8 июля 1933. Испытуемые образцы были изготовлены отделом опытных работ Тульского оружейного завода. Проект был составлен конструкторами Шпитальным и Комарицким. В полете образцы были испытаны на самолете Р-5. Летчик - Уроничев К.А. (3053).</w:t>
      </w:r>
    </w:p>
    <w:p w14:paraId="50AC5C3D"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7F5B8019"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июля 1933 состоялся первый полет вертолета ЦАГИ-5ЭА (274), сделанного из 3-ЭА. Испытания велись до 1936 (391,40).</w:t>
      </w:r>
    </w:p>
    <w:p w14:paraId="744E4D85"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7B00CCB1" w14:textId="77777777" w:rsidR="00623094" w:rsidRPr="00C33834" w:rsidRDefault="006230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28 июля в 1933 году первый полет </w:t>
      </w:r>
      <w:hyperlink r:id="rId271" w:tgtFrame="_blank" w:history="1">
        <w:r w:rsidRPr="00C33834">
          <w:rPr>
            <w:rFonts w:ascii="Times New Roman" w:hAnsi="Times New Roman"/>
            <w:color w:val="000000" w:themeColor="text1"/>
            <w:sz w:val="16"/>
            <w:szCs w:val="16"/>
          </w:rPr>
          <w:t xml:space="preserve">вертолета </w:t>
        </w:r>
      </w:hyperlink>
      <w:hyperlink r:id="rId272" w:tgtFrame="_blank" w:history="1">
        <w:r w:rsidRPr="00C33834">
          <w:rPr>
            <w:rFonts w:ascii="Times New Roman" w:hAnsi="Times New Roman"/>
            <w:color w:val="000000" w:themeColor="text1"/>
            <w:sz w:val="16"/>
            <w:szCs w:val="16"/>
          </w:rPr>
          <w:t xml:space="preserve">«ЦАГИ-5ЭА», </w:t>
        </w:r>
      </w:hyperlink>
      <w:r w:rsidRPr="00C33834">
        <w:rPr>
          <w:rFonts w:ascii="Times New Roman" w:hAnsi="Times New Roman"/>
          <w:color w:val="000000" w:themeColor="text1"/>
          <w:sz w:val="16"/>
          <w:szCs w:val="16"/>
        </w:rPr>
        <w:t>А.М.Черемухин (14966).</w:t>
      </w:r>
    </w:p>
    <w:p w14:paraId="68B9995C" w14:textId="77777777" w:rsidR="00623094" w:rsidRPr="00C33834" w:rsidRDefault="00623094" w:rsidP="00C33834">
      <w:pPr>
        <w:spacing w:after="0" w:line="240" w:lineRule="auto"/>
        <w:jc w:val="both"/>
        <w:rPr>
          <w:rFonts w:ascii="Times New Roman" w:hAnsi="Times New Roman"/>
          <w:color w:val="000000" w:themeColor="text1"/>
          <w:sz w:val="16"/>
          <w:szCs w:val="16"/>
        </w:rPr>
      </w:pPr>
    </w:p>
    <w:p w14:paraId="333D5064"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июля 1933 Пом. Нач. Алмазов писал письмо N 257/446с Нач. ЦАГИ Харламову, Нач. ЦИАМ Побережному и Дир. завода 39 Марголину в сопровождение исправленной копии постановления РВС "О ходе выполнения плана опытного самолето и моторостроения и вооружения авиации" от 17 июля 1933 для руководства." (2286,67).</w:t>
      </w:r>
    </w:p>
    <w:p w14:paraId="5241CA5E"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 и нет ясности, 17 июля или 17 июня - похоже, все таки июля.</w:t>
      </w:r>
    </w:p>
    <w:p w14:paraId="40FD6146"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53898E33"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июля 1933 Нач. ЦКБ завода 39 С.В.И. подготовил справку по характеристикам самолетов ЦКБ:</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739"/>
        <w:gridCol w:w="1115"/>
        <w:gridCol w:w="2854"/>
      </w:tblGrid>
      <w:tr w:rsidR="00F26F01" w:rsidRPr="00C33834" w14:paraId="1884EB4C" w14:textId="77777777">
        <w:tc>
          <w:tcPr>
            <w:tcW w:w="1252" w:type="dxa"/>
          </w:tcPr>
          <w:p w14:paraId="5F211736"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N Название</w:t>
            </w:r>
          </w:p>
        </w:tc>
        <w:tc>
          <w:tcPr>
            <w:tcW w:w="1252" w:type="dxa"/>
          </w:tcPr>
          <w:p w14:paraId="138466E9"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Вес/груз</w:t>
            </w:r>
          </w:p>
        </w:tc>
        <w:tc>
          <w:tcPr>
            <w:tcW w:w="1252" w:type="dxa"/>
          </w:tcPr>
          <w:p w14:paraId="596CA886"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Мест</w:t>
            </w:r>
          </w:p>
        </w:tc>
        <w:tc>
          <w:tcPr>
            <w:tcW w:w="1739" w:type="dxa"/>
          </w:tcPr>
          <w:p w14:paraId="3889F924"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Матер.</w:t>
            </w:r>
          </w:p>
        </w:tc>
        <w:tc>
          <w:tcPr>
            <w:tcW w:w="1115" w:type="dxa"/>
          </w:tcPr>
          <w:p w14:paraId="2027B977"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w:t>
            </w:r>
          </w:p>
        </w:tc>
        <w:tc>
          <w:tcPr>
            <w:tcW w:w="2854" w:type="dxa"/>
          </w:tcPr>
          <w:p w14:paraId="2F02C679"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Применение</w:t>
            </w:r>
          </w:p>
        </w:tc>
      </w:tr>
      <w:tr w:rsidR="00F26F01" w:rsidRPr="00C33834" w14:paraId="5036D19A" w14:textId="77777777">
        <w:tc>
          <w:tcPr>
            <w:tcW w:w="1252" w:type="dxa"/>
          </w:tcPr>
          <w:p w14:paraId="3E438632"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52" w:type="dxa"/>
          </w:tcPr>
          <w:p w14:paraId="3F7FFFDC"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252" w:type="dxa"/>
          </w:tcPr>
          <w:p w14:paraId="2C8770A4"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739" w:type="dxa"/>
          </w:tcPr>
          <w:p w14:paraId="62F9159F"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15" w:type="dxa"/>
          </w:tcPr>
          <w:p w14:paraId="08BF70FF"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макс./пос./крейс.</w:t>
            </w:r>
          </w:p>
        </w:tc>
        <w:tc>
          <w:tcPr>
            <w:tcW w:w="2854" w:type="dxa"/>
          </w:tcPr>
          <w:p w14:paraId="335EA042"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368C415" w14:textId="77777777">
        <w:tc>
          <w:tcPr>
            <w:tcW w:w="1252" w:type="dxa"/>
          </w:tcPr>
          <w:p w14:paraId="6213E1AD"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ЦКБ-9 М-11</w:t>
            </w:r>
          </w:p>
        </w:tc>
        <w:tc>
          <w:tcPr>
            <w:tcW w:w="1252" w:type="dxa"/>
          </w:tcPr>
          <w:p w14:paraId="2FC596CB"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938/338</w:t>
            </w:r>
          </w:p>
        </w:tc>
        <w:tc>
          <w:tcPr>
            <w:tcW w:w="1252" w:type="dxa"/>
          </w:tcPr>
          <w:p w14:paraId="4A36C7A2"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1739" w:type="dxa"/>
          </w:tcPr>
          <w:p w14:paraId="32955C2E"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дер., пол., дюр.</w:t>
            </w:r>
          </w:p>
        </w:tc>
        <w:tc>
          <w:tcPr>
            <w:tcW w:w="1115" w:type="dxa"/>
          </w:tcPr>
          <w:p w14:paraId="26FE31BF"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232/85/190</w:t>
            </w:r>
          </w:p>
        </w:tc>
        <w:tc>
          <w:tcPr>
            <w:tcW w:w="2854" w:type="dxa"/>
          </w:tcPr>
          <w:p w14:paraId="00C7287C"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2860A98" w14:textId="77777777">
        <w:tc>
          <w:tcPr>
            <w:tcW w:w="1252" w:type="dxa"/>
          </w:tcPr>
          <w:p w14:paraId="15374BD3"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ЦКБ-6 М-49</w:t>
            </w:r>
          </w:p>
        </w:tc>
        <w:tc>
          <w:tcPr>
            <w:tcW w:w="1252" w:type="dxa"/>
          </w:tcPr>
          <w:p w14:paraId="056495C7"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1750/700</w:t>
            </w:r>
          </w:p>
        </w:tc>
        <w:tc>
          <w:tcPr>
            <w:tcW w:w="1252" w:type="dxa"/>
          </w:tcPr>
          <w:p w14:paraId="7ED2A8A3"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1739" w:type="dxa"/>
          </w:tcPr>
          <w:p w14:paraId="729C8201"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дер., пол., дюр.</w:t>
            </w:r>
          </w:p>
        </w:tc>
        <w:tc>
          <w:tcPr>
            <w:tcW w:w="1115" w:type="dxa"/>
          </w:tcPr>
          <w:p w14:paraId="793445E3"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245/90-95/200</w:t>
            </w:r>
          </w:p>
        </w:tc>
        <w:tc>
          <w:tcPr>
            <w:tcW w:w="2854" w:type="dxa"/>
          </w:tcPr>
          <w:p w14:paraId="656A1A76"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Норм. сообщ. на местн. линиях</w:t>
            </w:r>
          </w:p>
        </w:tc>
      </w:tr>
      <w:tr w:rsidR="00F26F01" w:rsidRPr="00C33834" w14:paraId="57CC8CB1" w14:textId="77777777">
        <w:tc>
          <w:tcPr>
            <w:tcW w:w="1252" w:type="dxa"/>
          </w:tcPr>
          <w:p w14:paraId="5B512802"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 М-34 (м ТШ)</w:t>
            </w:r>
          </w:p>
        </w:tc>
        <w:tc>
          <w:tcPr>
            <w:tcW w:w="1252" w:type="dxa"/>
          </w:tcPr>
          <w:p w14:paraId="5378B6CF"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3650/1400</w:t>
            </w:r>
          </w:p>
        </w:tc>
        <w:tc>
          <w:tcPr>
            <w:tcW w:w="1252" w:type="dxa"/>
          </w:tcPr>
          <w:p w14:paraId="5909F41F"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1739" w:type="dxa"/>
          </w:tcPr>
          <w:p w14:paraId="6DE729B1"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дер., дюраль</w:t>
            </w:r>
          </w:p>
        </w:tc>
        <w:tc>
          <w:tcPr>
            <w:tcW w:w="1115" w:type="dxa"/>
          </w:tcPr>
          <w:p w14:paraId="583762BC"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260/95/225</w:t>
            </w:r>
          </w:p>
        </w:tc>
        <w:tc>
          <w:tcPr>
            <w:tcW w:w="2854" w:type="dxa"/>
          </w:tcPr>
          <w:p w14:paraId="5FD3B4D1"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 маш., Ш, Б</w:t>
            </w:r>
          </w:p>
        </w:tc>
      </w:tr>
      <w:tr w:rsidR="00F26F01" w:rsidRPr="00C33834" w14:paraId="6E92C2A2" w14:textId="77777777">
        <w:tc>
          <w:tcPr>
            <w:tcW w:w="1252" w:type="dxa"/>
          </w:tcPr>
          <w:p w14:paraId="5D3E492D"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ЛК М-11</w:t>
            </w:r>
          </w:p>
        </w:tc>
        <w:tc>
          <w:tcPr>
            <w:tcW w:w="1252" w:type="dxa"/>
          </w:tcPr>
          <w:p w14:paraId="398A2C3F"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560/210</w:t>
            </w:r>
          </w:p>
        </w:tc>
        <w:tc>
          <w:tcPr>
            <w:tcW w:w="1252" w:type="dxa"/>
          </w:tcPr>
          <w:p w14:paraId="04D0521E"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739" w:type="dxa"/>
          </w:tcPr>
          <w:p w14:paraId="46EB0B96"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дер., пол.</w:t>
            </w:r>
          </w:p>
        </w:tc>
        <w:tc>
          <w:tcPr>
            <w:tcW w:w="1115" w:type="dxa"/>
          </w:tcPr>
          <w:p w14:paraId="4228464B"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195/65/160</w:t>
            </w:r>
          </w:p>
        </w:tc>
        <w:tc>
          <w:tcPr>
            <w:tcW w:w="2854" w:type="dxa"/>
          </w:tcPr>
          <w:p w14:paraId="1E1D8C0E"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w:t>
            </w:r>
          </w:p>
        </w:tc>
      </w:tr>
      <w:tr w:rsidR="00F26F01" w:rsidRPr="00C33834" w14:paraId="20180847" w14:textId="77777777">
        <w:tc>
          <w:tcPr>
            <w:tcW w:w="1252" w:type="dxa"/>
          </w:tcPr>
          <w:p w14:paraId="0F41C0FB"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ЛК 2М-11</w:t>
            </w:r>
          </w:p>
        </w:tc>
        <w:tc>
          <w:tcPr>
            <w:tcW w:w="1252" w:type="dxa"/>
          </w:tcPr>
          <w:p w14:paraId="68952809"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1840/830</w:t>
            </w:r>
          </w:p>
        </w:tc>
        <w:tc>
          <w:tcPr>
            <w:tcW w:w="1252" w:type="dxa"/>
          </w:tcPr>
          <w:p w14:paraId="3D2DCCB8"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1739" w:type="dxa"/>
          </w:tcPr>
          <w:p w14:paraId="21137474"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дер., пол., дюр.</w:t>
            </w:r>
          </w:p>
        </w:tc>
        <w:tc>
          <w:tcPr>
            <w:tcW w:w="1115" w:type="dxa"/>
          </w:tcPr>
          <w:p w14:paraId="0267562B"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210/70/180</w:t>
            </w:r>
          </w:p>
        </w:tc>
        <w:tc>
          <w:tcPr>
            <w:tcW w:w="2854" w:type="dxa"/>
          </w:tcPr>
          <w:p w14:paraId="516162CC"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Почтово-пассажирский</w:t>
            </w:r>
          </w:p>
        </w:tc>
      </w:tr>
      <w:tr w:rsidR="00F26F01" w:rsidRPr="00C33834" w14:paraId="7B07075F" w14:textId="77777777">
        <w:tc>
          <w:tcPr>
            <w:tcW w:w="1252" w:type="dxa"/>
          </w:tcPr>
          <w:p w14:paraId="55023FF1"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 Крыло М-11</w:t>
            </w:r>
          </w:p>
        </w:tc>
        <w:tc>
          <w:tcPr>
            <w:tcW w:w="1252" w:type="dxa"/>
          </w:tcPr>
          <w:p w14:paraId="525BEA93"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800/250</w:t>
            </w:r>
          </w:p>
        </w:tc>
        <w:tc>
          <w:tcPr>
            <w:tcW w:w="1252" w:type="dxa"/>
          </w:tcPr>
          <w:p w14:paraId="2B42E411"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1739" w:type="dxa"/>
          </w:tcPr>
          <w:p w14:paraId="403431C6"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дер., пол., дюр.</w:t>
            </w:r>
          </w:p>
        </w:tc>
        <w:tc>
          <w:tcPr>
            <w:tcW w:w="1115" w:type="dxa"/>
          </w:tcPr>
          <w:p w14:paraId="2D664B5A"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195/65/165</w:t>
            </w:r>
          </w:p>
        </w:tc>
        <w:tc>
          <w:tcPr>
            <w:tcW w:w="2854" w:type="dxa"/>
          </w:tcPr>
          <w:p w14:paraId="48658E0B"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 (2304,40)</w:t>
            </w:r>
          </w:p>
        </w:tc>
      </w:tr>
    </w:tbl>
    <w:p w14:paraId="57B2BD5F"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7F17DB12"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июля 1933 из Севастополя на ДВ вылетел первый гидроплан S.55 закупленный ГВФ. Перелет был выполнен экипажем А.С.Демченко с участием вп Конкина, ш Петровым, мех. Эренпрейса. Маршрут - Севастополь - Вольск - Казань - Свердловск - Тобольск - Новосибирск - Красноярск - Стрелка - Братск - Иркутск - Чита - Благовещенск - Хабаровск - Владивосток. Всего 10500 км, а от Италии - 15000 км. Прилетели во Владивосток в начале августа и 18 августа Демченко наградили ОКЗн (1834,16).</w:t>
      </w:r>
    </w:p>
    <w:p w14:paraId="513C4184"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0FAA4816"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июля 1933 перелет Савойи С.55 из Италии на ДВ возобновился. Самолет вылетел с новым экипа-жем-.Демченко - командир, Конкин - второй пилот, Петров - штурман и Эренпрейс - бортмеханик. Дорога была длинной: Севастополь - Вольск - Казань - Свердловск - Тобольск - Новосибирск - Красноярск - Стрелка - Братск - Иркутск - Чита - Благовещенск - Хабаровск - Владивосток. Всего 10.500 км, а если считать от Сесто-Кален-де в Италии - 15.000 км. В пути не обошлось без накладок. В Казани двое встречающих, обязанных выложить при появлении самолета посадочный знак, от долгого ожидания заснули. Демченко не смог их разбудить, даже пройдя над спящими на малой высоте. В Красноярске местный уполномоченный не придумал ничего лучшего, как переправиться на лодке на лежащий посреди Енисея маленький, поросший густым лесом островок (теперь это остров Отдыха - Прим. ред.), откуда и начал махать-руками, давая пилотам «ценные указания» (5486,4).</w:t>
      </w:r>
    </w:p>
    <w:p w14:paraId="129C3362"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0D6C03B5" w14:textId="77777777" w:rsidR="00623094" w:rsidRPr="00C33834" w:rsidRDefault="006230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28 июля в 1933 году из Севастополя вылетел </w:t>
      </w:r>
      <w:hyperlink r:id="rId273" w:tgtFrame="_blank" w:history="1">
        <w:r w:rsidRPr="00C33834">
          <w:rPr>
            <w:rFonts w:ascii="Times New Roman" w:hAnsi="Times New Roman"/>
            <w:color w:val="000000" w:themeColor="text1"/>
            <w:sz w:val="16"/>
            <w:szCs w:val="16"/>
          </w:rPr>
          <w:t xml:space="preserve">«S.55» </w:t>
        </w:r>
      </w:hyperlink>
      <w:r w:rsidRPr="00C33834">
        <w:rPr>
          <w:rFonts w:ascii="Times New Roman" w:hAnsi="Times New Roman"/>
          <w:color w:val="000000" w:themeColor="text1"/>
          <w:sz w:val="16"/>
          <w:szCs w:val="16"/>
        </w:rPr>
        <w:t>с экипажем Демченко - командир самолета, Конкин - второй пилот, Петров - штурман и Эренпрейс - бортмеханик. Дорога была длинной: Севастополь - Вольск - Казань - Свердловск - Тобольск - Новосибирск - Красноярск - Стрелка - Братск - Иркутск - Чита - Благовещенск - Хабаровск - Владивосток. Всего 10500 км, а если считать от Сесто-Календе в Италии - 15000 км. В начале августа "Савойя" благополучно прибыла во Владивосток, а 18 августа Демченко был награжден орденом Красной звезды. В конце сентября 1933 года он совершил рейс Владивосток - Петропавловск и обратно. Перелет занял четверо суток. Вслед за первым «S.55» на Дальний Восток перегнали еще четыре машины. При этом самолет, командиром которого был Б.Л.Бухгольц, разбился на одном из промежуточных этапов. Шедшая на небольшой высоте летающая лодка вдруг клюнула носом и врезалась в землю. Причины катастрофы установить не удалось (14966).</w:t>
      </w:r>
    </w:p>
    <w:p w14:paraId="03D6E6B6" w14:textId="77777777" w:rsidR="00623094" w:rsidRPr="00C33834" w:rsidRDefault="00623094" w:rsidP="00C33834">
      <w:pPr>
        <w:spacing w:after="0" w:line="240" w:lineRule="auto"/>
        <w:jc w:val="both"/>
        <w:rPr>
          <w:rFonts w:ascii="Times New Roman" w:hAnsi="Times New Roman"/>
          <w:color w:val="000000" w:themeColor="text1"/>
          <w:sz w:val="16"/>
          <w:szCs w:val="16"/>
        </w:rPr>
      </w:pPr>
    </w:p>
    <w:p w14:paraId="5ED48D97" w14:textId="77777777" w:rsidR="0089252B" w:rsidRPr="00C33834" w:rsidRDefault="008925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28 июля 1933 самолет С55 отправился с новым экипажем: А.С. Демченко в качестве командира, вторым пилотом Конкиным, штурманом Петровым и механиком Эренпрайсом. Маршрут шел через Севастополь - Вольск - Казань - Свердловск - Тобольск - Новосибирск - Красноярск - Стрелка - Братск - Иркутск - Чита - Благовещенск - Хабаровск - Владивосток, что составило в итоге 10.500 километров, а если считать от Сесто Календе – 15.000 км. В начале августа самолет без значительных происшествий долетел до Владивостока (21410).</w:t>
      </w:r>
    </w:p>
    <w:p w14:paraId="1B48C66E" w14:textId="77777777" w:rsidR="0089252B" w:rsidRPr="00C33834" w:rsidRDefault="0089252B" w:rsidP="00C33834">
      <w:pPr>
        <w:spacing w:after="0" w:line="240" w:lineRule="auto"/>
        <w:jc w:val="both"/>
        <w:rPr>
          <w:rFonts w:ascii="Times New Roman" w:hAnsi="Times New Roman"/>
          <w:color w:val="0070C0"/>
          <w:sz w:val="16"/>
          <w:szCs w:val="16"/>
        </w:rPr>
      </w:pPr>
    </w:p>
    <w:p w14:paraId="665D912F"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июля 1933 С.А.Леваневский, вернувшись с Аляски, совершил разведочный полет по северному побережью Ледовитого океана для судов Колымской экспедиции, затем вернулся в Иркутск, покрыв 37000 км за 220 час (438,647).</w:t>
      </w:r>
    </w:p>
    <w:p w14:paraId="2E979357"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07FC2D3A"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июля 1933 г. дата присвоения опознавательного знака с литерой "Н" - СССР-Н21 - Ш-2, зав. № HJ31175, мотор - М-11. Первоначальный владелец воздушного судна - УВС ГУСМП. Участвовал в походе парохода "Челюскин", экипаж состоял из пилота М.С. Бабушкина и бортмеханика Г.С. Валавина. После "челюскинской" эпопеи эксплуатироваться больше не мог, его списали по износу и исключили из списков самолетного парка ГУСМП 05.01.35 г. (11949).</w:t>
      </w:r>
    </w:p>
    <w:p w14:paraId="705FBB85"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23A9D906" w14:textId="77777777" w:rsidR="00264DA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5F790D3" w14:textId="77777777" w:rsidR="00264DA9" w:rsidRPr="00C33834" w:rsidRDefault="00264DA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57BB9BB"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28 июля по 29 августа 1933 танкетку Т-27 с 76-мм пушкой Курчевского, которую доставили в Ленинград на НИАП, испытывали стрельбой и возкой.</w:t>
      </w:r>
    </w:p>
    <w:p w14:paraId="369114EC"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Скорострельность составила 6–7 выстр/мин. Экипаж танкетки Т-27 — 2 человека. Вооружение: только 76-мм пушка К. Боекомплект 30 снарядов.</w:t>
      </w:r>
    </w:p>
    <w:p w14:paraId="76DC8157"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Сравнительные данные стрельбы снарядами чертежа 3999 с 76-мм полковой пушкой обр. 1927 г. показали, что отклонения по высоте те же, что и у полковой пушки, а боковое рассеивание лучше табличного у полковой пушки.</w:t>
      </w:r>
    </w:p>
    <w:p w14:paraId="045ADE1F"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возкой проводились на дистанции 50 км по шоссе со скоростью 20–30 км/час. Комиссия сделала следующие выводы:</w:t>
      </w:r>
    </w:p>
    <w:p w14:paraId="2D07F3F3"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Достигнута скорострельность 18 выстрелов в 3 минуты.</w:t>
      </w:r>
    </w:p>
    <w:p w14:paraId="25267CF5"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Боеприпасы должны быть одинаковой длины для всех снарядов, так как при стрельбе бронебойными снарядами чертежа 4716 пользоваться механизмом заряжания нельзя, поскольку снаряды слишком длинные.</w:t>
      </w:r>
    </w:p>
    <w:p w14:paraId="50948803"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Деревянные поддоны у патронов должны быть строго калиброваны по диаметру сопла.</w:t>
      </w:r>
    </w:p>
    <w:p w14:paraId="6D32C017"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Необходимо, кроме пушки, поставить на танкетку 7,62-мм пулемет ДТ (12091).</w:t>
      </w:r>
    </w:p>
    <w:p w14:paraId="4F002CDD"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54C5F386" w14:textId="77777777" w:rsidR="00264DA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491C4255" w14:textId="77777777" w:rsidR="00264DA9" w:rsidRPr="00C33834" w:rsidRDefault="00264DA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C298ADF"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28 июля и 3 августа 1933. Из протокола заседания Политбюро N 142, особая папка, 1933 г.</w:t>
      </w:r>
    </w:p>
    <w:p w14:paraId="40C17E9A"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Вопрос Далькрайкома ВКП(б) </w:t>
      </w:r>
    </w:p>
    <w:p w14:paraId="5A22C1DF"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Разрешить Дальне-Восточному крайкому выселение 5 тыс. кулацких семейств из сельских районов края для использования на хозработах на предприятиях золотой и лесной промышленности (11652). </w:t>
      </w:r>
    </w:p>
    <w:p w14:paraId="02745F62"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457BDE23" w14:textId="77777777" w:rsidR="00264DA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3C05ACA6" w14:textId="77777777" w:rsidR="00264DA9" w:rsidRPr="00C33834" w:rsidRDefault="00264DA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0BD352C"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28 июля 1933 были установлены дипотношения с Испанией (3960, 292).</w:t>
      </w:r>
    </w:p>
    <w:p w14:paraId="35AD9CCC"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60650058"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28 июля и 3 августа 1933. Из протокола заседания Политбюро N 142, особая папка, 1933 г.</w:t>
      </w:r>
    </w:p>
    <w:p w14:paraId="1DCB1FB0"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протоколах V (Лондонского) съезда партии </w:t>
      </w:r>
    </w:p>
    <w:p w14:paraId="148B761C"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Разрешить ИМЭЛ приобрести подлинники протоколов V (Лондонского) съезда партии с расходованием на это 3750 рублей золотом (11652).</w:t>
      </w:r>
    </w:p>
    <w:p w14:paraId="453EDB7A"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17769FDB"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28 июля и 3 августа 1933. Из протокола заседания Политбюро N 142, особая папка, 1933 г.</w:t>
      </w:r>
    </w:p>
    <w:p w14:paraId="3CDF4171"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поездке группы профессоров медицины в Латвию </w:t>
      </w:r>
    </w:p>
    <w:p w14:paraId="5BDE5E52"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Разрешить поездку группе профессоров медицины в Латвию для прочтения лекций на курсах усовершенствования врачей без выдачи валюты (11652).</w:t>
      </w:r>
    </w:p>
    <w:p w14:paraId="7CD55A8F"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200019EF" w14:textId="77777777" w:rsidR="00264DA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EEFB493" w14:textId="77777777" w:rsidR="00264DA9" w:rsidRPr="00C33834" w:rsidRDefault="00264DA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CEF4193"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июля 1933 была представлена боевая схема самолета МИ3-2М34 опытный (7415, 16).</w:t>
      </w:r>
    </w:p>
    <w:p w14:paraId="51B35388"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67986BE9"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июля 1933 года закончились совместные испытания головного серийного самолета «Z» № 39004 с мотором Гном Рон ЮVI 9 АО, которые проходили с 28 июня 1933 (6787).</w:t>
      </w:r>
    </w:p>
    <w:p w14:paraId="5D70ABE0"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467E8F3C"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Холодов</w:t>
      </w:r>
    </w:p>
    <w:p w14:paraId="0049C8FE"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Попов</w:t>
      </w:r>
    </w:p>
    <w:p w14:paraId="29B063BC"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6EEEE442"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летных данных самолета и выявление дефектов для исправления их на последующих образцах.</w:t>
      </w:r>
    </w:p>
    <w:p w14:paraId="5DB7B2B5"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6B4FB7F9" w14:textId="77777777" w:rsidR="00264DA9" w:rsidRPr="00C33834" w:rsidRDefault="00264DA9"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Считать совершенно необходимым форсировать доводку пушечного вооружения с тем, чтобы последнее было испытано на самолете не позднее 1 сентября 1932 года.</w:t>
      </w:r>
    </w:p>
    <w:p w14:paraId="6C51ACB6"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p w14:paraId="145BB9A1"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поступил на испытания – 28 июня 1932 года</w:t>
      </w:r>
    </w:p>
    <w:p w14:paraId="1DED248A"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начато – 28 июня 1932 года</w:t>
      </w:r>
    </w:p>
    <w:p w14:paraId="2D9F8DD0"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окончено – 29 июля 1932 года</w:t>
      </w:r>
    </w:p>
    <w:p w14:paraId="5D102992"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Фактически затрачено на испытания 32 календарных дня.</w:t>
      </w:r>
    </w:p>
    <w:p w14:paraId="5017AB0B"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произведено в 9 летных дней (6787).</w:t>
      </w:r>
    </w:p>
    <w:p w14:paraId="37099924"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44D33F"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июля 1933 самолет К-7 был закончен постройкой и выведен на аэродром (1076,595).</w:t>
      </w:r>
    </w:p>
    <w:p w14:paraId="1968D136"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в тот же день, но в июне</w:t>
      </w:r>
    </w:p>
    <w:p w14:paraId="652EB65E"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4C17255D"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июля 1933 ЦАГИ и завод 39 подписали договор N 106 на изготовлении в ЦАГИ РД военный вариант (1102).</w:t>
      </w:r>
    </w:p>
    <w:p w14:paraId="2F014C3C"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5FD65F67"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июля 1933 года начальник Газодинамической лаборатории Клейменов писал письмо № 537с начальнику управления военных изобретений.</w:t>
      </w:r>
    </w:p>
    <w:p w14:paraId="3E16E8CE"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Настоящим доношу, что лабораторные испытания по разгону самолета ТБ-1 удовлетворительно закончены.</w:t>
      </w:r>
    </w:p>
    <w:p w14:paraId="0FEE0061"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Присутствовавший на последнем испытании начальник ВВС Реввоенсовета Алкснис просил сверх программы произвести дополнительные испытания с весом самолета 8000 кг. Эти испытания подготавливаются (6795, 49).</w:t>
      </w:r>
    </w:p>
    <w:p w14:paraId="38913F0A"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2C2625"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июля 1933 дата присвоения опознавательного знака с литерой "Н" - СССР-Н20 - Ш-2, зав. № Ш31174, мотор - М-11.Первоначальный владелец воздушного судна - УВС ГУСМП. Самолет выпуска 1932 г. За 1933- 35 гг. СССР-Н20 налетал на Земле Франца-Иосифа 101 ч. 23 мин. В 1937-38 гг. в Беломорском отряде УПА, в 1939 г. принят на баланс Игарского авиаотряда. В 1939 г. самолет проходил капитальный ремонт на КАРЗе. В конце марта 1941 г. самолету требовался уже восстановительный ремонт. Шпангоуты, лонжероны и стрингера были поражены грибком, подкосы центроплана и стабилизатора проржавели. Комиссия КАРЗа предложила списать машину, что и было сделано приказом по ГУСМП № Р-147 от 22.5.41 г. (11955).</w:t>
      </w:r>
    </w:p>
    <w:p w14:paraId="33C0262B"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6D851975" w14:textId="77777777" w:rsidR="00264DA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62E958A" w14:textId="77777777" w:rsidR="00264DA9" w:rsidRPr="00C33834" w:rsidRDefault="00264DA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42BA8AC" w14:textId="77777777" w:rsidR="00264DA9" w:rsidRPr="00C33834" w:rsidRDefault="00264DA9"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29 июля 1933 г. из имущества ТЕКО («Камы») было пре</w:t>
      </w:r>
      <w:r w:rsidRPr="00C33834">
        <w:rPr>
          <w:rFonts w:ascii="Times New Roman" w:hAnsi="Times New Roman"/>
          <w:color w:val="000000" w:themeColor="text1"/>
          <w:sz w:val="16"/>
          <w:szCs w:val="16"/>
        </w:rPr>
        <w:softHyphen/>
        <w:t>дусмотрено к отправке в Германию:</w:t>
      </w:r>
    </w:p>
    <w:p w14:paraId="79F2AAA5" w14:textId="77777777" w:rsidR="00264DA9" w:rsidRPr="00C33834" w:rsidRDefault="00264DA9"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Машины (колесные машины, тягачи, 2 больших трактора «Даймлер-Бенц», 2 больших и 2 легких трактора «Крупп», 2 больших и 2 лег</w:t>
      </w:r>
      <w:r w:rsidRPr="00C33834">
        <w:rPr>
          <w:rFonts w:ascii="Times New Roman" w:hAnsi="Times New Roman"/>
          <w:color w:val="000000" w:themeColor="text1"/>
          <w:sz w:val="16"/>
          <w:szCs w:val="16"/>
        </w:rPr>
        <w:softHyphen/>
        <w:t>ких трактора Рейнметалл.</w:t>
      </w:r>
    </w:p>
    <w:p w14:paraId="6D8965D0" w14:textId="77777777" w:rsidR="00264DA9" w:rsidRPr="00C33834" w:rsidRDefault="00264DA9"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Оружие и оптические приборы: 2 7,5-см пушки Рейнметалл с тормозом, воздушным накатником, 1 7,5-см пушка «Крупп» с тормозом и воздушным накатником, 4 3,7-см пуш</w:t>
      </w:r>
      <w:r w:rsidRPr="00C33834">
        <w:rPr>
          <w:rFonts w:ascii="Times New Roman" w:hAnsi="Times New Roman"/>
          <w:color w:val="000000" w:themeColor="text1"/>
          <w:sz w:val="16"/>
          <w:szCs w:val="16"/>
        </w:rPr>
        <w:softHyphen/>
        <w:t>ки 45—2 с тормозом и воздушным накатником, 3 3,7-см ав</w:t>
      </w:r>
      <w:r w:rsidRPr="00C33834">
        <w:rPr>
          <w:rFonts w:ascii="Times New Roman" w:hAnsi="Times New Roman"/>
          <w:color w:val="000000" w:themeColor="text1"/>
          <w:sz w:val="16"/>
          <w:szCs w:val="16"/>
        </w:rPr>
        <w:softHyphen/>
        <w:t>томатические пушки с принадлежностями, к ним же 4 опти</w:t>
      </w:r>
      <w:r w:rsidRPr="00C33834">
        <w:rPr>
          <w:rFonts w:ascii="Times New Roman" w:hAnsi="Times New Roman"/>
          <w:color w:val="000000" w:themeColor="text1"/>
          <w:sz w:val="16"/>
          <w:szCs w:val="16"/>
        </w:rPr>
        <w:softHyphen/>
        <w:t>ческих прицела; 1 пулемет 08/15 с принадлежностью; 3 пуле</w:t>
      </w:r>
      <w:r w:rsidRPr="00C33834">
        <w:rPr>
          <w:rFonts w:ascii="Times New Roman" w:hAnsi="Times New Roman"/>
          <w:color w:val="000000" w:themeColor="text1"/>
          <w:sz w:val="16"/>
          <w:szCs w:val="16"/>
        </w:rPr>
        <w:softHyphen/>
        <w:t>мета 13с принадлежностью; 4 пулемета «Седа» с принадлеж</w:t>
      </w:r>
      <w:r w:rsidRPr="00C33834">
        <w:rPr>
          <w:rFonts w:ascii="Times New Roman" w:hAnsi="Times New Roman"/>
          <w:color w:val="000000" w:themeColor="text1"/>
          <w:sz w:val="16"/>
          <w:szCs w:val="16"/>
        </w:rPr>
        <w:softHyphen/>
        <w:t>ностью, 10 пулеметов... 15 с принадлежностью; 3 винтовки 98; 5 автоматических пистолетов; 12 пистолетов 08; оптика, стереотрубы и др...</w:t>
      </w:r>
    </w:p>
    <w:p w14:paraId="4B13CFBA" w14:textId="77777777" w:rsidR="00264DA9" w:rsidRPr="00C33834" w:rsidRDefault="00264DA9"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Боеприпасы: 800 7,5-см учебных гранат; 2000 3,7 см учеб</w:t>
      </w:r>
      <w:r w:rsidRPr="00C33834">
        <w:rPr>
          <w:rFonts w:ascii="Times New Roman" w:hAnsi="Times New Roman"/>
          <w:color w:val="000000" w:themeColor="text1"/>
          <w:sz w:val="16"/>
          <w:szCs w:val="16"/>
        </w:rPr>
        <w:softHyphen/>
        <w:t>ных гранат, патроны, гранаты».</w:t>
      </w:r>
    </w:p>
    <w:p w14:paraId="5214F374" w14:textId="77777777" w:rsidR="00264DA9" w:rsidRPr="00C33834" w:rsidRDefault="00264DA9"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Безвозмездно было передано РККА:\</w:t>
      </w:r>
    </w:p>
    <w:p w14:paraId="08CC7DAA" w14:textId="77777777" w:rsidR="00264DA9" w:rsidRPr="00C33834" w:rsidRDefault="00264DA9"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Все проведенные за текущие годы стройки, включая стандартно поставленное машинное оборудование в мастерских, которые согласно ин</w:t>
      </w:r>
      <w:r w:rsidRPr="00C33834">
        <w:rPr>
          <w:rFonts w:ascii="Times New Roman" w:hAnsi="Times New Roman"/>
          <w:color w:val="000000" w:themeColor="text1"/>
          <w:sz w:val="16"/>
          <w:szCs w:val="16"/>
        </w:rPr>
        <w:softHyphen/>
        <w:t>вентаризации, имеют ценность свыше 650 000 рублей...</w:t>
      </w:r>
    </w:p>
    <w:p w14:paraId="27FD920A" w14:textId="77777777" w:rsidR="00264DA9" w:rsidRPr="00C33834" w:rsidRDefault="00264DA9"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Обо</w:t>
      </w:r>
      <w:r w:rsidRPr="00C33834">
        <w:rPr>
          <w:rFonts w:ascii="Times New Roman" w:hAnsi="Times New Roman"/>
          <w:color w:val="000000" w:themeColor="text1"/>
          <w:sz w:val="16"/>
          <w:szCs w:val="16"/>
        </w:rPr>
        <w:softHyphen/>
        <w:t>рудование мастерских (пресс, станки, пилы, краны, ма</w:t>
      </w:r>
      <w:r w:rsidRPr="00C33834">
        <w:rPr>
          <w:rFonts w:ascii="Times New Roman" w:hAnsi="Times New Roman"/>
          <w:color w:val="000000" w:themeColor="text1"/>
          <w:sz w:val="16"/>
          <w:szCs w:val="16"/>
        </w:rPr>
        <w:softHyphen/>
        <w:t>шина для выдавливания рулонов жести)... 3. Оборудование мебелью жилых и служебных помещений, казино, прачечной со стоимостью в 180 000 руб. 4. Радиоприборы. 5. Оборудова</w:t>
      </w:r>
      <w:r w:rsidRPr="00C33834">
        <w:rPr>
          <w:rFonts w:ascii="Times New Roman" w:hAnsi="Times New Roman"/>
          <w:color w:val="000000" w:themeColor="text1"/>
          <w:sz w:val="16"/>
          <w:szCs w:val="16"/>
        </w:rPr>
        <w:softHyphen/>
        <w:t>ние для стрелкового обучения (тиры)... » (10560,230).</w:t>
      </w:r>
    </w:p>
    <w:p w14:paraId="45D854B6" w14:textId="77777777" w:rsidR="00264DA9" w:rsidRPr="00C33834" w:rsidRDefault="00264DA9"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36A41C" w14:textId="77777777" w:rsidR="00264DA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6427F6B" w14:textId="77777777" w:rsidR="00264DA9" w:rsidRPr="00C33834" w:rsidRDefault="00264DA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01EFD04"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июля 1933 вышло постановление РВС по докладу нач. ВМС “Об итогах первой пятилетки в области вооружения ВМС РККА” - отметили неудовлетворительное состояние в изготовлении крупнокалиберных снарядов (5484,196).</w:t>
      </w:r>
    </w:p>
    <w:p w14:paraId="1FDD77CB"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0E496B75" w14:textId="77777777" w:rsidR="00264DA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1AC30A3" w14:textId="77777777" w:rsidR="00264DA9" w:rsidRPr="00C33834" w:rsidRDefault="00264DA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5D29B7B"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31 июля по 11 сентября 1934 года проходили гос. испытания опытного самолета ЛР-М34Н (легкий разведчик) (6664).</w:t>
      </w:r>
    </w:p>
    <w:p w14:paraId="6BA39559"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7DA56519"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Калилец</w:t>
      </w:r>
    </w:p>
    <w:p w14:paraId="4D247454"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летчик –Долгов</w:t>
      </w:r>
    </w:p>
    <w:p w14:paraId="0A8FAB49"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44AAD128" w14:textId="77777777" w:rsidR="00264DA9" w:rsidRPr="00C33834" w:rsidRDefault="00264DA9"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 самолета в части снятия летной характеристики и выявления основных летных качеств.</w:t>
      </w:r>
    </w:p>
    <w:p w14:paraId="6826C9DD" w14:textId="77777777" w:rsidR="00264DA9" w:rsidRPr="00C33834" w:rsidRDefault="00264DA9"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Выявление эксплуатационных свойств самолета.</w:t>
      </w:r>
    </w:p>
    <w:p w14:paraId="331B176D" w14:textId="77777777" w:rsidR="00264DA9" w:rsidRPr="00C33834" w:rsidRDefault="00264DA9"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Оценка тактических свойств самолета.</w:t>
      </w:r>
    </w:p>
    <w:p w14:paraId="315E78E8"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10511AA0" w14:textId="77777777" w:rsidR="00264DA9" w:rsidRPr="00C33834" w:rsidRDefault="00264DA9"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ЛР обладает хорошими летными данными, является современным разведчиком и может быть пущен в серийную постройку.</w:t>
      </w:r>
    </w:p>
    <w:p w14:paraId="12772466"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w:t>
      </w:r>
    </w:p>
    <w:p w14:paraId="7FBC2056"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прохождения испытаний самолета ЛР-М34Н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79C4C8FC" w14:textId="77777777">
        <w:tc>
          <w:tcPr>
            <w:tcW w:w="5636" w:type="dxa"/>
          </w:tcPr>
          <w:p w14:paraId="6F3187CA"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июля 1934 года</w:t>
            </w:r>
          </w:p>
        </w:tc>
        <w:tc>
          <w:tcPr>
            <w:tcW w:w="5636" w:type="dxa"/>
          </w:tcPr>
          <w:p w14:paraId="5A3336A9"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поступил на гос. испытания.</w:t>
            </w:r>
          </w:p>
        </w:tc>
      </w:tr>
      <w:tr w:rsidR="00F26F01" w:rsidRPr="00C33834" w14:paraId="654EADB0" w14:textId="77777777">
        <w:tc>
          <w:tcPr>
            <w:tcW w:w="5636" w:type="dxa"/>
          </w:tcPr>
          <w:p w14:paraId="0D5F525A"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1934 года</w:t>
            </w:r>
          </w:p>
        </w:tc>
        <w:tc>
          <w:tcPr>
            <w:tcW w:w="5636" w:type="dxa"/>
          </w:tcPr>
          <w:p w14:paraId="1CE70244"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километраж.</w:t>
            </w:r>
          </w:p>
        </w:tc>
      </w:tr>
      <w:tr w:rsidR="00F26F01" w:rsidRPr="00C33834" w14:paraId="6EE91C78" w14:textId="77777777">
        <w:tc>
          <w:tcPr>
            <w:tcW w:w="5636" w:type="dxa"/>
          </w:tcPr>
          <w:p w14:paraId="166A219D"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августа 1934 года</w:t>
            </w:r>
          </w:p>
        </w:tc>
        <w:tc>
          <w:tcPr>
            <w:tcW w:w="5636" w:type="dxa"/>
          </w:tcPr>
          <w:p w14:paraId="0098545D"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зубцы.</w:t>
            </w:r>
          </w:p>
        </w:tc>
      </w:tr>
      <w:tr w:rsidR="00F26F01" w:rsidRPr="00C33834" w14:paraId="4E6DE6DE" w14:textId="77777777">
        <w:tc>
          <w:tcPr>
            <w:tcW w:w="5636" w:type="dxa"/>
          </w:tcPr>
          <w:p w14:paraId="7FF619A2"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августа 1934 года</w:t>
            </w:r>
          </w:p>
        </w:tc>
        <w:tc>
          <w:tcPr>
            <w:tcW w:w="5636" w:type="dxa"/>
          </w:tcPr>
          <w:p w14:paraId="1F4252C4"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для проверки автоматического регулятора.</w:t>
            </w:r>
          </w:p>
        </w:tc>
      </w:tr>
      <w:tr w:rsidR="00F26F01" w:rsidRPr="00C33834" w14:paraId="7EAF1692" w14:textId="77777777">
        <w:tc>
          <w:tcPr>
            <w:tcW w:w="5636" w:type="dxa"/>
          </w:tcPr>
          <w:p w14:paraId="693EBF4B"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4 августа 1934 года</w:t>
            </w:r>
          </w:p>
        </w:tc>
        <w:tc>
          <w:tcPr>
            <w:tcW w:w="5636" w:type="dxa"/>
          </w:tcPr>
          <w:p w14:paraId="273D889F"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Полеты на испытание бомбардировочного вооружения.</w:t>
            </w:r>
          </w:p>
        </w:tc>
      </w:tr>
      <w:tr w:rsidR="00F26F01" w:rsidRPr="00C33834" w14:paraId="4949EA1D" w14:textId="77777777">
        <w:tc>
          <w:tcPr>
            <w:tcW w:w="5636" w:type="dxa"/>
          </w:tcPr>
          <w:p w14:paraId="1E01E4F0"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августа 1934 года</w:t>
            </w:r>
          </w:p>
        </w:tc>
        <w:tc>
          <w:tcPr>
            <w:tcW w:w="5636" w:type="dxa"/>
          </w:tcPr>
          <w:p w14:paraId="49B89571"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маневренность и устойчивость.</w:t>
            </w:r>
          </w:p>
        </w:tc>
      </w:tr>
      <w:tr w:rsidR="00F26F01" w:rsidRPr="00C33834" w14:paraId="0429DDAA" w14:textId="77777777">
        <w:tc>
          <w:tcPr>
            <w:tcW w:w="5636" w:type="dxa"/>
          </w:tcPr>
          <w:p w14:paraId="33A7411D"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августа 1934 года</w:t>
            </w:r>
          </w:p>
        </w:tc>
        <w:tc>
          <w:tcPr>
            <w:tcW w:w="5636" w:type="dxa"/>
          </w:tcPr>
          <w:p w14:paraId="3279C290"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зубцы.</w:t>
            </w:r>
          </w:p>
        </w:tc>
      </w:tr>
      <w:tr w:rsidR="00F26F01" w:rsidRPr="00C33834" w14:paraId="06C65FFA" w14:textId="77777777">
        <w:tc>
          <w:tcPr>
            <w:tcW w:w="5636" w:type="dxa"/>
          </w:tcPr>
          <w:p w14:paraId="552983F2"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августа 1934 года</w:t>
            </w:r>
          </w:p>
        </w:tc>
        <w:tc>
          <w:tcPr>
            <w:tcW w:w="5636" w:type="dxa"/>
          </w:tcPr>
          <w:p w14:paraId="34B7B5CE"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километраж с бомбами.</w:t>
            </w:r>
          </w:p>
        </w:tc>
      </w:tr>
      <w:tr w:rsidR="00F26F01" w:rsidRPr="00C33834" w14:paraId="01744E6F" w14:textId="77777777">
        <w:tc>
          <w:tcPr>
            <w:tcW w:w="5636" w:type="dxa"/>
          </w:tcPr>
          <w:p w14:paraId="035CBFE2"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августа 1934 года</w:t>
            </w:r>
          </w:p>
        </w:tc>
        <w:tc>
          <w:tcPr>
            <w:tcW w:w="5636" w:type="dxa"/>
          </w:tcPr>
          <w:p w14:paraId="1839EE36"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скороподъемность с бомбами.</w:t>
            </w:r>
          </w:p>
        </w:tc>
      </w:tr>
      <w:tr w:rsidR="00F26F01" w:rsidRPr="00C33834" w14:paraId="422510A0" w14:textId="77777777">
        <w:tc>
          <w:tcPr>
            <w:tcW w:w="5636" w:type="dxa"/>
          </w:tcPr>
          <w:p w14:paraId="65F1B05E"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августа 1934 года</w:t>
            </w:r>
          </w:p>
        </w:tc>
        <w:tc>
          <w:tcPr>
            <w:tcW w:w="5636" w:type="dxa"/>
          </w:tcPr>
          <w:p w14:paraId="04080143"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w:t>
            </w:r>
          </w:p>
        </w:tc>
      </w:tr>
      <w:tr w:rsidR="00F26F01" w:rsidRPr="00C33834" w14:paraId="43926E1B" w14:textId="77777777">
        <w:tc>
          <w:tcPr>
            <w:tcW w:w="5636" w:type="dxa"/>
          </w:tcPr>
          <w:p w14:paraId="22FBA730"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августа 1934 года</w:t>
            </w:r>
          </w:p>
        </w:tc>
        <w:tc>
          <w:tcPr>
            <w:tcW w:w="5636" w:type="dxa"/>
          </w:tcPr>
          <w:p w14:paraId="2B49A6D8"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Пробный полет с новым мотором.</w:t>
            </w:r>
          </w:p>
        </w:tc>
      </w:tr>
      <w:tr w:rsidR="00F26F01" w:rsidRPr="00C33834" w14:paraId="5ECB61A6" w14:textId="77777777">
        <w:tc>
          <w:tcPr>
            <w:tcW w:w="5636" w:type="dxa"/>
          </w:tcPr>
          <w:p w14:paraId="6396E024"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августа 1934 года</w:t>
            </w:r>
          </w:p>
        </w:tc>
        <w:tc>
          <w:tcPr>
            <w:tcW w:w="5636" w:type="dxa"/>
          </w:tcPr>
          <w:p w14:paraId="2E21B938"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Полеты на испытание химвооружения.</w:t>
            </w:r>
          </w:p>
        </w:tc>
      </w:tr>
      <w:tr w:rsidR="00F26F01" w:rsidRPr="00C33834" w14:paraId="421EE412" w14:textId="77777777">
        <w:tc>
          <w:tcPr>
            <w:tcW w:w="5636" w:type="dxa"/>
          </w:tcPr>
          <w:p w14:paraId="3B6E0202"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августа 1934 года</w:t>
            </w:r>
          </w:p>
        </w:tc>
        <w:tc>
          <w:tcPr>
            <w:tcW w:w="5636" w:type="dxa"/>
          </w:tcPr>
          <w:p w14:paraId="064FE55D"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Полеты на испытание химвооружения.</w:t>
            </w:r>
          </w:p>
        </w:tc>
      </w:tr>
      <w:tr w:rsidR="00F26F01" w:rsidRPr="00C33834" w14:paraId="05BAD3B2" w14:textId="77777777">
        <w:tc>
          <w:tcPr>
            <w:tcW w:w="5636" w:type="dxa"/>
          </w:tcPr>
          <w:p w14:paraId="362064BA"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августа 1934 года</w:t>
            </w:r>
          </w:p>
        </w:tc>
        <w:tc>
          <w:tcPr>
            <w:tcW w:w="5636" w:type="dxa"/>
          </w:tcPr>
          <w:p w14:paraId="13C4F36A"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расчетную высоту для подбора оборотов винта.</w:t>
            </w:r>
          </w:p>
        </w:tc>
      </w:tr>
      <w:tr w:rsidR="00F26F01" w:rsidRPr="00C33834" w14:paraId="4A359374" w14:textId="77777777">
        <w:tc>
          <w:tcPr>
            <w:tcW w:w="5636" w:type="dxa"/>
          </w:tcPr>
          <w:p w14:paraId="6B581141"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августа 1934 года</w:t>
            </w:r>
          </w:p>
        </w:tc>
        <w:tc>
          <w:tcPr>
            <w:tcW w:w="5636" w:type="dxa"/>
          </w:tcPr>
          <w:p w14:paraId="2C9AD04B"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расчетную высоту для подбора оборотов винта.</w:t>
            </w:r>
          </w:p>
        </w:tc>
      </w:tr>
      <w:tr w:rsidR="00F26F01" w:rsidRPr="00C33834" w14:paraId="12CA99E8" w14:textId="77777777">
        <w:tc>
          <w:tcPr>
            <w:tcW w:w="5636" w:type="dxa"/>
          </w:tcPr>
          <w:p w14:paraId="0466AA8D"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августа 1934 года</w:t>
            </w:r>
          </w:p>
        </w:tc>
        <w:tc>
          <w:tcPr>
            <w:tcW w:w="5636" w:type="dxa"/>
          </w:tcPr>
          <w:p w14:paraId="71A99BCA"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выявление скороподъемности и скоростей по высотам.</w:t>
            </w:r>
          </w:p>
        </w:tc>
      </w:tr>
      <w:tr w:rsidR="00F26F01" w:rsidRPr="00C33834" w14:paraId="3E9064B6" w14:textId="77777777">
        <w:tc>
          <w:tcPr>
            <w:tcW w:w="5636" w:type="dxa"/>
          </w:tcPr>
          <w:p w14:paraId="017F2723"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августа 1934 года</w:t>
            </w:r>
          </w:p>
        </w:tc>
        <w:tc>
          <w:tcPr>
            <w:tcW w:w="5636" w:type="dxa"/>
          </w:tcPr>
          <w:p w14:paraId="060D12A1"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Полеты на испытание стрелкового и бомбардировочного вооружения.</w:t>
            </w:r>
          </w:p>
        </w:tc>
      </w:tr>
      <w:tr w:rsidR="00F26F01" w:rsidRPr="00C33834" w14:paraId="2026393C" w14:textId="77777777">
        <w:tc>
          <w:tcPr>
            <w:tcW w:w="5636" w:type="dxa"/>
          </w:tcPr>
          <w:p w14:paraId="44745E43"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августа 1934 года</w:t>
            </w:r>
          </w:p>
        </w:tc>
        <w:tc>
          <w:tcPr>
            <w:tcW w:w="5636" w:type="dxa"/>
          </w:tcPr>
          <w:p w14:paraId="3F50F726"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Километраж с новым винтом.</w:t>
            </w:r>
          </w:p>
        </w:tc>
      </w:tr>
      <w:tr w:rsidR="00F26F01" w:rsidRPr="00C33834" w14:paraId="05C070AE" w14:textId="77777777">
        <w:tc>
          <w:tcPr>
            <w:tcW w:w="5636" w:type="dxa"/>
          </w:tcPr>
          <w:p w14:paraId="756E70C2"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сентября 1934 года</w:t>
            </w:r>
          </w:p>
        </w:tc>
        <w:tc>
          <w:tcPr>
            <w:tcW w:w="5636" w:type="dxa"/>
          </w:tcPr>
          <w:p w14:paraId="28E8CAFF"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по треугольнику.</w:t>
            </w:r>
          </w:p>
        </w:tc>
      </w:tr>
      <w:tr w:rsidR="00F26F01" w:rsidRPr="00C33834" w14:paraId="0FC5431F" w14:textId="77777777">
        <w:tc>
          <w:tcPr>
            <w:tcW w:w="5636" w:type="dxa"/>
          </w:tcPr>
          <w:p w14:paraId="42AF8719"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сентября 1934 года</w:t>
            </w:r>
          </w:p>
        </w:tc>
        <w:tc>
          <w:tcPr>
            <w:tcW w:w="5636" w:type="dxa"/>
          </w:tcPr>
          <w:p w14:paraId="62DE9349"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Облет самолета.</w:t>
            </w:r>
          </w:p>
        </w:tc>
      </w:tr>
      <w:tr w:rsidR="00F26F01" w:rsidRPr="00C33834" w14:paraId="40115274" w14:textId="77777777">
        <w:tc>
          <w:tcPr>
            <w:tcW w:w="5636" w:type="dxa"/>
          </w:tcPr>
          <w:p w14:paraId="1DACA972"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сентября 1934 года</w:t>
            </w:r>
          </w:p>
        </w:tc>
        <w:tc>
          <w:tcPr>
            <w:tcW w:w="5636" w:type="dxa"/>
          </w:tcPr>
          <w:p w14:paraId="03ED4233"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Облет самолета.</w:t>
            </w:r>
          </w:p>
        </w:tc>
      </w:tr>
      <w:tr w:rsidR="00F26F01" w:rsidRPr="00C33834" w14:paraId="55317EE9" w14:textId="77777777">
        <w:tc>
          <w:tcPr>
            <w:tcW w:w="5636" w:type="dxa"/>
          </w:tcPr>
          <w:p w14:paraId="73950142"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сентября 1934 года</w:t>
            </w:r>
          </w:p>
        </w:tc>
        <w:tc>
          <w:tcPr>
            <w:tcW w:w="5636" w:type="dxa"/>
          </w:tcPr>
          <w:p w14:paraId="365E2801"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w:t>
            </w:r>
          </w:p>
        </w:tc>
      </w:tr>
      <w:tr w:rsidR="00F26F01" w:rsidRPr="00C33834" w14:paraId="4C72AB79" w14:textId="77777777">
        <w:tc>
          <w:tcPr>
            <w:tcW w:w="5636" w:type="dxa"/>
          </w:tcPr>
          <w:p w14:paraId="66DE9499"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сентября 1934 года</w:t>
            </w:r>
          </w:p>
        </w:tc>
        <w:tc>
          <w:tcPr>
            <w:tcW w:w="5636" w:type="dxa"/>
          </w:tcPr>
          <w:p w14:paraId="03F79744"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скороподъемность с расчетным весом.</w:t>
            </w:r>
          </w:p>
        </w:tc>
      </w:tr>
      <w:tr w:rsidR="00F26F01" w:rsidRPr="00C33834" w14:paraId="514A822C" w14:textId="77777777">
        <w:tc>
          <w:tcPr>
            <w:tcW w:w="5636" w:type="dxa"/>
          </w:tcPr>
          <w:p w14:paraId="66291B65"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сентября 1934 года</w:t>
            </w:r>
          </w:p>
        </w:tc>
        <w:tc>
          <w:tcPr>
            <w:tcW w:w="5636" w:type="dxa"/>
          </w:tcPr>
          <w:p w14:paraId="520CD4BF"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Полеты на воздушный бой с другими самолетами.</w:t>
            </w:r>
          </w:p>
        </w:tc>
      </w:tr>
    </w:tbl>
    <w:p w14:paraId="3270A335"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выполнены с 31 июля по 11 сентября 1934 года, т.е. за 43 календарных дня, из них полетных дней – 14. Сделано 48 полетов общей продолжительностью 31 час. 10 мин.</w:t>
      </w:r>
    </w:p>
    <w:p w14:paraId="2631FE33"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ЛР-М34Н двухместный полутороплан смешанной конструкции.</w:t>
      </w:r>
    </w:p>
    <w:p w14:paraId="66F1AB1D"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Основное назначение – легкий армейский разведчик и легкий бомбардировщик для полетов днем и ночью. Вооружен одним пулеметом ПВ-1 для стрельбы вперед (через винт) и одним пулеметом Шкасс назад с экранированной турели. Может нести 200 кг бомб или химвооружения (6664).</w:t>
      </w:r>
    </w:p>
    <w:p w14:paraId="603E6767"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11BB86"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июля 1933 года главный инженер-механик ВВС Аузан писал письмо N 2/0965 начальнику штаба ВВС.</w:t>
      </w:r>
    </w:p>
    <w:p w14:paraId="2453ED1B"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Технические требования к одноместному истребителю И-16 (ЦКБ N 12) под мотор М-22 (3899,423-427).</w:t>
      </w:r>
    </w:p>
    <w:p w14:paraId="42BBEE17"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Летные данные</w:t>
      </w:r>
    </w:p>
    <w:p w14:paraId="3EA9B48F"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 полезной нагрузкой 220,6 кг и запасом горючего и смазочного обеспечивающим технический радиус действия250 км на высоте 5000 м должен обладать нижеследующими летными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3E2A11AC" w14:textId="77777777">
        <w:tc>
          <w:tcPr>
            <w:tcW w:w="5636" w:type="dxa"/>
          </w:tcPr>
          <w:p w14:paraId="0F80A160"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максимальная на высоте 5000 м</w:t>
            </w:r>
          </w:p>
        </w:tc>
        <w:tc>
          <w:tcPr>
            <w:tcW w:w="5636" w:type="dxa"/>
          </w:tcPr>
          <w:p w14:paraId="54BBA808"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 км/час</w:t>
            </w:r>
          </w:p>
        </w:tc>
      </w:tr>
      <w:tr w:rsidR="00F26F01" w:rsidRPr="00C33834" w14:paraId="73690304" w14:textId="77777777">
        <w:tc>
          <w:tcPr>
            <w:tcW w:w="5636" w:type="dxa"/>
          </w:tcPr>
          <w:p w14:paraId="6EF4DA5C"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набора высоты 5000 м</w:t>
            </w:r>
          </w:p>
        </w:tc>
        <w:tc>
          <w:tcPr>
            <w:tcW w:w="5636" w:type="dxa"/>
          </w:tcPr>
          <w:p w14:paraId="4269E452"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7,5-8 мин.</w:t>
            </w:r>
          </w:p>
        </w:tc>
      </w:tr>
      <w:tr w:rsidR="00F26F01" w:rsidRPr="00C33834" w14:paraId="33B8384F" w14:textId="77777777">
        <w:tc>
          <w:tcPr>
            <w:tcW w:w="5636" w:type="dxa"/>
          </w:tcPr>
          <w:p w14:paraId="1EA59981"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 практический не менее</w:t>
            </w:r>
          </w:p>
        </w:tc>
        <w:tc>
          <w:tcPr>
            <w:tcW w:w="5636" w:type="dxa"/>
          </w:tcPr>
          <w:p w14:paraId="51FEB6D0"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6500 м</w:t>
            </w:r>
          </w:p>
        </w:tc>
      </w:tr>
      <w:tr w:rsidR="00F26F01" w:rsidRPr="00C33834" w14:paraId="4E7ECD2F" w14:textId="77777777">
        <w:tc>
          <w:tcPr>
            <w:tcW w:w="5636" w:type="dxa"/>
          </w:tcPr>
          <w:p w14:paraId="3D54F402"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Посадочная скорость не более</w:t>
            </w:r>
          </w:p>
        </w:tc>
        <w:tc>
          <w:tcPr>
            <w:tcW w:w="5636" w:type="dxa"/>
          </w:tcPr>
          <w:p w14:paraId="7F21CB3D"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100-105 км/час</w:t>
            </w:r>
          </w:p>
        </w:tc>
      </w:tr>
    </w:tbl>
    <w:p w14:paraId="71925ECF"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 емкость баков должна быть рассчитана на технический радиус - 300 км.</w:t>
      </w:r>
    </w:p>
    <w:p w14:paraId="174C2A21"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Последовательность требований</w:t>
      </w:r>
    </w:p>
    <w:p w14:paraId="5FF90270"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Тактические свойства самолета требуют, чтобы при выполнении и перевыполнении поставленных выше летных данных конструктор учитывал нижеследующую по важности их последовательность:</w:t>
      </w:r>
    </w:p>
    <w:p w14:paraId="6EDF6358"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w:t>
      </w:r>
    </w:p>
    <w:p w14:paraId="0AF30CF3"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w:t>
      </w:r>
    </w:p>
    <w:p w14:paraId="294481FF"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Маневренность (3899,423-427).</w:t>
      </w:r>
    </w:p>
    <w:p w14:paraId="443BE48F"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48BC2262" w14:textId="77777777" w:rsidR="00264DA9"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747FDAAC" w14:textId="77777777" w:rsidR="00264DA9" w:rsidRPr="00C33834" w:rsidRDefault="00264DA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7F4E6DA"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июля 1933 года командующий ЛВО выпустил специальный приказ, где "начальникам лагерных сборов округа и командирам частей" напоминалось о необходимости работы "с боевыми ОВ, тщательно соблюдая меры безопасности". Отделение в приказе командиров частей от начальников лагерных сборов было далеко не лишним - в то лето многие воинские части работали с ипритом вне перечисленных лагерей, то есть непосредственно в районе своих расположений. В частности, летчики 3-й авиабригады особого назначения оперировали с ипритом на летней площадке аэродрома Детское Село (это было еще до переименования его в г. Пушкин) столь активно, что забывали дегазировать зараженные ими поля. Бочки они "хранили" непосредственно на своем поле. Соответственно, среди работавших на соседних полях работниц совхоза "Красный авиатор", который был создан специально для их кормления, появилось поражения ипритом (4 случая были зафиксированы официально). А летчики 253 авиапарка завезенные к ним бочки с ипритом и не израсходованные в 1933 году оставили на хранение на своем складе. Не будучи профессионалами-химиками и занятые другими делами, летчики просто забыли выполнять обязательные технологические операции по выпуску давления из этих бочек (9065).</w:t>
      </w:r>
    </w:p>
    <w:p w14:paraId="39492877"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46A22CF4" w14:textId="77777777" w:rsidR="00B04519" w:rsidRPr="00C33834" w:rsidRDefault="00B0451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bCs/>
          <w:iCs/>
          <w:color w:val="000000" w:themeColor="text1"/>
          <w:sz w:val="16"/>
          <w:szCs w:val="16"/>
        </w:rPr>
        <w:t>31 июля 1933 г.</w:t>
      </w:r>
      <w:r w:rsidRPr="00C33834">
        <w:rPr>
          <w:rFonts w:ascii="Times New Roman" w:hAnsi="Times New Roman"/>
          <w:color w:val="000000" w:themeColor="text1"/>
          <w:sz w:val="16"/>
          <w:szCs w:val="16"/>
        </w:rPr>
        <w:t xml:space="preserve"> Приказ командующего Ленинградского военного округа И.П.Белова, в котором «</w:t>
      </w:r>
      <w:r w:rsidRPr="00C33834">
        <w:rPr>
          <w:rFonts w:ascii="Times New Roman" w:hAnsi="Times New Roman"/>
          <w:iCs/>
          <w:color w:val="000000" w:themeColor="text1"/>
          <w:sz w:val="16"/>
          <w:szCs w:val="16"/>
        </w:rPr>
        <w:t>начальникам лагерных сборов округа и командирам частей</w:t>
      </w:r>
      <w:r w:rsidRPr="00C33834">
        <w:rPr>
          <w:rFonts w:ascii="Times New Roman" w:hAnsi="Times New Roman"/>
          <w:color w:val="000000" w:themeColor="text1"/>
          <w:sz w:val="16"/>
          <w:szCs w:val="16"/>
        </w:rPr>
        <w:t>» напоминалось о необходимости работы «</w:t>
      </w:r>
      <w:r w:rsidRPr="00C33834">
        <w:rPr>
          <w:rFonts w:ascii="Times New Roman" w:hAnsi="Times New Roman"/>
          <w:iCs/>
          <w:color w:val="000000" w:themeColor="text1"/>
          <w:sz w:val="16"/>
          <w:szCs w:val="16"/>
        </w:rPr>
        <w:t>с боевыми ОВ, тщательно соблюдая меры безопасности</w:t>
      </w:r>
      <w:r w:rsidRPr="00C33834">
        <w:rPr>
          <w:rFonts w:ascii="Times New Roman" w:hAnsi="Times New Roman"/>
          <w:color w:val="000000" w:themeColor="text1"/>
          <w:sz w:val="16"/>
          <w:szCs w:val="16"/>
        </w:rPr>
        <w:t>». Отделение в приказе командиров частей от начальников лагерных сборов было не лишним — в то лето многие воинские части работали с ипритом вне 12 лагерей, то есть непосредственно в районе своих расположений. В частности, летчики 3-й авиабригады особого назначения оперировали с ипритом на летней площадке аэродрома Детское Село столь активно, что забывали дегазировать зараженные ими поля. Бочки они «хранили» непосредственно на своем поле. Соответственно, среди работавших на соседних полях работниц совхоза «Красный авиатор», который был создан специально для кормления военных летчиков, появилось поражения ипритом (4 случая были официально зафиксированы). А летчики 253 авиапарка завезенные к ним бочки с ипритом и не израсходованные в 1933 году оставили на хранение на своем складе. Не будучи профессионалами-химиками и занятые другими делами, летчики просто забыли выполнять обязательные технологические операции по выпуску давления из этих бочек. Кстати, в то лето 1933 года в ЛВО произошли неординарные события. В иногороднем отделе склада № 54 (основной склад располагался в Ленинграде, а его отдел был вынесен непосредственно в Левашовский лагерь, ближе к войскам) произошел взрыв бочки с ипритом. При разборе выяснилось, что партия из 34 бочек с ипритом, полученных еще в 1932 году, хранилась небрежно. Кончилось тем, что одна из бочек с «некондиционным ипритом» взорвалась. Судьбу и бочки, и остатков иприта предугадать нетрудно — по действовавшим правилам они были просто закопаны на территории лагеря (17133).</w:t>
      </w:r>
    </w:p>
    <w:p w14:paraId="56A370AB" w14:textId="77777777" w:rsidR="00B04519" w:rsidRPr="00C33834" w:rsidRDefault="00B04519" w:rsidP="00C33834">
      <w:pPr>
        <w:shd w:val="clear" w:color="auto" w:fill="FFFFFF"/>
        <w:spacing w:after="0" w:line="240" w:lineRule="auto"/>
        <w:jc w:val="both"/>
        <w:rPr>
          <w:rFonts w:ascii="Times New Roman" w:hAnsi="Times New Roman"/>
          <w:color w:val="000000" w:themeColor="text1"/>
          <w:sz w:val="16"/>
          <w:szCs w:val="16"/>
        </w:rPr>
      </w:pPr>
    </w:p>
    <w:p w14:paraId="57263CC4" w14:textId="77777777" w:rsidR="00264DA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0F61393" w14:textId="77777777" w:rsidR="00264DA9" w:rsidRPr="00C33834" w:rsidRDefault="00264DA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B59EF95"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июля 1933 вышел Отчет об испытании двух облегченных самолетов ТБ3-4М17 за №№ 22243 и 22250 на определение расхода горючего и предельной дальности (6794).</w:t>
      </w:r>
    </w:p>
    <w:p w14:paraId="3448E04D"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6AD1B426"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НИИ ВВС:</w:t>
      </w:r>
    </w:p>
    <w:p w14:paraId="09F90F44"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Лосюков</w:t>
      </w:r>
    </w:p>
    <w:p w14:paraId="32CB681D"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Юмашев</w:t>
      </w:r>
    </w:p>
    <w:p w14:paraId="4065F428"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ЦАГИ:</w:t>
      </w:r>
    </w:p>
    <w:p w14:paraId="22547148"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Тайц</w:t>
      </w:r>
    </w:p>
    <w:p w14:paraId="1C8AAD54"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Громов</w:t>
      </w:r>
    </w:p>
    <w:p w14:paraId="0F281EA6"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112C8373"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задания Правительства об увеличении радиуса действия и бомбовой нагрузки самолета ТБ3:</w:t>
      </w:r>
    </w:p>
    <w:p w14:paraId="73BB8EA4" w14:textId="77777777" w:rsidR="00264DA9" w:rsidRPr="00C33834" w:rsidRDefault="00264DA9"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максимальной дальности самолета при разном горючем (бензольная и этиловая смеси).</w:t>
      </w:r>
    </w:p>
    <w:p w14:paraId="7D5C2ECC" w14:textId="77777777" w:rsidR="00264DA9" w:rsidRPr="00C33834" w:rsidRDefault="00264DA9"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наивыгоднейшего положения высотного корректора на разных высотах.</w:t>
      </w:r>
    </w:p>
    <w:p w14:paraId="547C46D0" w14:textId="77777777" w:rsidR="00264DA9" w:rsidRPr="00C33834" w:rsidRDefault="00264DA9"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Определение расходов указанных видов горючего при полетах на предельной дальности.</w:t>
      </w:r>
    </w:p>
    <w:p w14:paraId="3EB57965" w14:textId="77777777" w:rsidR="00264DA9" w:rsidRPr="00C33834" w:rsidRDefault="00264DA9"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максимального полетного веса самолета и особенностей взлета и пилотажа при этом весе.</w:t>
      </w:r>
    </w:p>
    <w:p w14:paraId="52FEFDBE"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1B594B00" w14:textId="77777777" w:rsidR="00264DA9" w:rsidRPr="00C33834" w:rsidRDefault="00264DA9"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основании произведенных испытаний НИИ ВВС и ЦАГИ считают возможным допустить для дальних перелетов полетный вес самолета ТБ3-4М17 19,5 тонн и регулировку моторов, имевшую место при испытаниях.</w:t>
      </w:r>
    </w:p>
    <w:p w14:paraId="4B9F04D5"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p w14:paraId="2E89444F"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 получены ЦАГИ от 22 завода 26 июня 1933 года</w:t>
      </w:r>
    </w:p>
    <w:p w14:paraId="630E57E0"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 подготовлены ЗОКом ЦАГИ и переданы в ОЭЛИД ЦАГИ для испытания 7 июля 1933 года</w:t>
      </w:r>
    </w:p>
    <w:p w14:paraId="384E09A9"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начато 7 июля 1933 года</w:t>
      </w:r>
    </w:p>
    <w:p w14:paraId="24D577B5"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закончено 11 июля 1933 года</w:t>
      </w:r>
    </w:p>
    <w:p w14:paraId="2C5E1008"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Фактически затрачено на испытание 5 дней, из них самолет летал 4 дня (6794).</w:t>
      </w:r>
    </w:p>
    <w:p w14:paraId="2F99BC01" w14:textId="77777777" w:rsidR="00264DA9" w:rsidRPr="00C33834" w:rsidRDefault="00264DA9"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CE3593" w14:textId="77777777" w:rsidR="00F75FDE" w:rsidRPr="00C33834" w:rsidRDefault="00F75FDE"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 конца июля 1933 по начало сентября 1933 г. в Особом техническом бюро ВВС, созданном на основе конструкторского отдела Гроховского, велись работы по модификации топливной системы ТБ-3.</w:t>
      </w:r>
    </w:p>
    <w:p w14:paraId="7CEA1F9E" w14:textId="77777777" w:rsidR="00F75FDE" w:rsidRPr="00C33834" w:rsidRDefault="00F75FDE" w:rsidP="00C33834">
      <w:pPr>
        <w:spacing w:after="0" w:line="240" w:lineRule="auto"/>
        <w:jc w:val="both"/>
        <w:rPr>
          <w:rFonts w:ascii="Times New Roman" w:eastAsia="Times New Roman" w:hAnsi="Times New Roman"/>
          <w:color w:val="000000" w:themeColor="text1"/>
          <w:sz w:val="16"/>
          <w:szCs w:val="16"/>
          <w:lang w:eastAsia="ru-RU"/>
        </w:rPr>
      </w:pPr>
    </w:p>
    <w:p w14:paraId="3CCBDAB9"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июля 1933 для приемки пятой Савойи С.55, предназначенной для ГУСМП, прибыл экипаж известного летчика Б.Л.Бухгольца. Он провел испытания «Савойи» перед перегонкой на север. Далее самолет должен был следовать по маршруту Севастополь - Свердловск - Иркутск - Якутск - Нижнеколымск - остров Врангеля и далее на ледовую разведку. Но по пути произошла катастрофа. В районе Сталинграда машина, пролетавшая над Волгой на небольшой высоте, вдруг клюнула носом и врезалась в воду. Из экипажа никто не спасся, а причину катастрофы установить не удалось (5486,4).</w:t>
      </w:r>
    </w:p>
    <w:p w14:paraId="7392BB74"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5F2E3F95"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июля 1933 на ДВ СССР-Н2 сменили двигатели и оборудовали всем необходимым снаряжением для выполнения морских разведок. Снаряжение состояло из радиостанции,перспективного фотоаппарата форматом 13x18 см, фотоаппаратов "Лейка" и "Цейс", винтовки "Маузер" с 60 патронами, клиппер-бота, плавучего якоря и 50-метрового каната. Экипаж состоял из 5-ти человек: командир А.Д.Алексеев, пилот В.С.Молоков, 1-й бортмеханик Г.Т.Побежимов, 2-й бортмеханик Петров. Винты, запрошенные из Москвы, в срок не пришли, поэтому решили лететь на старых, захватив запасными два винта Дорнье (так указано в документе) (11970).</w:t>
      </w:r>
    </w:p>
    <w:p w14:paraId="0C4A2D72" w14:textId="77777777" w:rsidR="00264DA9" w:rsidRPr="00C33834" w:rsidRDefault="00264DA9" w:rsidP="00C33834">
      <w:pPr>
        <w:autoSpaceDE w:val="0"/>
        <w:autoSpaceDN w:val="0"/>
        <w:adjustRightInd w:val="0"/>
        <w:spacing w:after="0" w:line="240" w:lineRule="auto"/>
        <w:jc w:val="both"/>
        <w:rPr>
          <w:rFonts w:ascii="Times New Roman" w:hAnsi="Times New Roman"/>
          <w:color w:val="000000" w:themeColor="text1"/>
          <w:sz w:val="16"/>
          <w:szCs w:val="16"/>
        </w:rPr>
      </w:pPr>
    </w:p>
    <w:p w14:paraId="14BE1AA0" w14:textId="77777777" w:rsidR="007A7AC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C10260B" w14:textId="77777777" w:rsidR="007A7AC1" w:rsidRPr="00C33834" w:rsidRDefault="007A7AC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2905D7E" w14:textId="77777777" w:rsidR="007A7AC1" w:rsidRPr="00C33834" w:rsidRDefault="007A7AC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июля 1933 года закончились испытания бронеавтомобиля ФАИ на НИБТ полигоне, которые проходили с 5 марта 1933. Показав неплохие результаты — максимальная скорость ФАИ составила 85 км/ч, запас хода по шоссе 210 км, по проселку до 120 км, броневик уверенно двигался по фунтовым и за</w:t>
      </w:r>
      <w:r w:rsidRPr="00C33834">
        <w:rPr>
          <w:rFonts w:ascii="Times New Roman" w:hAnsi="Times New Roman"/>
          <w:color w:val="000000" w:themeColor="text1"/>
          <w:sz w:val="16"/>
          <w:szCs w:val="16"/>
        </w:rPr>
        <w:softHyphen/>
        <w:t>снеженным дорогам. По результатам испытаний был со</w:t>
      </w:r>
      <w:r w:rsidRPr="00C33834">
        <w:rPr>
          <w:rFonts w:ascii="Times New Roman" w:hAnsi="Times New Roman"/>
          <w:color w:val="000000" w:themeColor="text1"/>
          <w:sz w:val="16"/>
          <w:szCs w:val="16"/>
        </w:rPr>
        <w:softHyphen/>
        <w:t>ставлен перечень изменений, которые предполагалось вне</w:t>
      </w:r>
      <w:r w:rsidRPr="00C33834">
        <w:rPr>
          <w:rFonts w:ascii="Times New Roman" w:hAnsi="Times New Roman"/>
          <w:color w:val="000000" w:themeColor="text1"/>
          <w:sz w:val="16"/>
          <w:szCs w:val="16"/>
        </w:rPr>
        <w:softHyphen/>
        <w:t>сти в конструкцию в ходе серийного производства (11284).</w:t>
      </w:r>
    </w:p>
    <w:p w14:paraId="275FA163" w14:textId="77777777" w:rsidR="007A7AC1" w:rsidRPr="00C33834" w:rsidRDefault="007A7AC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BF1B20" w14:textId="77777777" w:rsidR="00EB0B16" w:rsidRPr="00C33834" w:rsidRDefault="00EB0B1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конце июля </w:t>
      </w:r>
      <w:bookmarkStart w:id="44" w:name="YANDEX_19"/>
      <w:bookmarkEnd w:id="44"/>
      <w:r w:rsidRPr="00C33834">
        <w:rPr>
          <w:rStyle w:val="highlight"/>
          <w:rFonts w:ascii="Times New Roman" w:hAnsi="Times New Roman"/>
          <w:color w:val="000000" w:themeColor="text1"/>
          <w:sz w:val="16"/>
          <w:szCs w:val="16"/>
        </w:rPr>
        <w:t> 1933 </w:t>
      </w:r>
      <w:r w:rsidRPr="00C33834">
        <w:rPr>
          <w:rFonts w:ascii="Times New Roman" w:hAnsi="Times New Roman"/>
          <w:color w:val="000000" w:themeColor="text1"/>
          <w:sz w:val="16"/>
          <w:szCs w:val="16"/>
        </w:rPr>
        <w:t xml:space="preserve"> г. в СНК СССР на имя Молотова поступило несколько телеграмм с мест о том, что запорожский завод «Коммунар» отгружает новые комбайны без ряда важнейших узлов</w:t>
      </w:r>
      <w:r w:rsidRPr="00C33834">
        <w:rPr>
          <w:rFonts w:ascii="Times New Roman" w:hAnsi="Times New Roman"/>
          <w:color w:val="000000" w:themeColor="text1"/>
          <w:sz w:val="16"/>
          <w:szCs w:val="16"/>
          <w:vertAlign w:val="superscript"/>
        </w:rPr>
        <w:t>9</w:t>
      </w:r>
      <w:r w:rsidRPr="00C33834">
        <w:rPr>
          <w:rFonts w:ascii="Times New Roman" w:hAnsi="Times New Roman"/>
          <w:color w:val="000000" w:themeColor="text1"/>
          <w:sz w:val="16"/>
          <w:szCs w:val="16"/>
        </w:rPr>
        <w:t>. На основании этих сигналов СНК 28 июля принял опросом постановление «О преступной засылке некомплектных комбайнов в МТС и совхозы». СНК потребовал от НКТП немедленно прекратить посылку некомплектных комбайнов и снабдить уже посланные некомплектные комбайны недостающими частями, а также поручил прокурору СССР И.А.Акулову немедленно арестовать и привлечь к суду хозяйственных руководителей, виновных в отправке некомплектных комбайнов. Это решение вызвало протесты. Секретарь Днепропетровского обкома партии М.М.Хатаевич отправил специальное письмо в несколько адресов: в СНК СССР, в ЦК компартии Украины, в НКТП (Орджоникидзе), в ЦКК ВКП(б), прокурорам СССР и Украины. Он доказывал, что завод «Коммунар» работает хорошо, что некомплектная отгрузка комбайнов была вызвана желанием предотвратить хищения деталей: некоторые части комбайнов в специальных ящиках перевозились отдельно. «В целом, завод имеет больше заслуг, нежели недочетов. В связи с этим обком считал бы целесообразным судебного следствия против руководства завода[...] не возбуждать!...]» — писал Хатаевич. Получив это письмо, Молотов ответил Хатаевичу: «О достижениях «Коммунара» нам хорошо известно, также известно прокуратуре. Судом это будет учтено. Данный судебный процесс имеет далеко не только заводское значение и отмена его безусловно нецелесообразна» (17281).</w:t>
      </w:r>
    </w:p>
    <w:p w14:paraId="30804B08" w14:textId="77777777" w:rsidR="00EB0B16" w:rsidRPr="00C33834" w:rsidRDefault="00EB0B1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CB326B" w14:textId="77777777" w:rsidR="006A14F5" w:rsidRPr="00C33834" w:rsidRDefault="006A14F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425A1BC5" w14:textId="77777777" w:rsidR="006A14F5" w:rsidRPr="00C33834" w:rsidRDefault="006A14F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5E839CC" w14:textId="77777777" w:rsidR="006A14F5" w:rsidRPr="00C33834" w:rsidRDefault="006A14F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июля 1933 г. Ворошилов утвердил график ликвидации предприятий «друзей».</w:t>
      </w:r>
    </w:p>
    <w:p w14:paraId="08FE09CD" w14:textId="77777777" w:rsidR="006A14F5" w:rsidRPr="00C33834" w:rsidRDefault="006A14F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соответствии с упоминавшимся графиком ликвидации предприятий «друзей» к 15 августа должна была быть закончена ликвидация «Томки», к 1 октября — «Липецка», к 1 — 15 октября — «Казани». Менее чем за месяц (26 июля — 15 августа)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40–50 тыс. золотых руб. </w:t>
      </w:r>
    </w:p>
    <w:p w14:paraId="14CAA3EA" w14:textId="77777777" w:rsidR="006A14F5" w:rsidRPr="00C33834" w:rsidRDefault="006A14F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срок с 20 июля по 4 сентября прошла ликвидация танковой школы в Казани. В Германию было вывезено шесть больших и четыре малых танка, восьмиколесная машина, снаряжение и вооружение (всего 19 вагонов). Оставшаяся в безвозмездное пользование «собственность» «потянула» на 220 тыс. руб. Советник германского посольства в СССР Твардовский по итогам визита генерал-лейтенанта Лютца, «закрывавшего» «Казань» с помощью Халепского, записал 21 августа 1933 г.:</w:t>
      </w:r>
    </w:p>
    <w:p w14:paraId="3CFF0274" w14:textId="77777777" w:rsidR="006A14F5" w:rsidRPr="00C33834" w:rsidRDefault="006A14F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«Главу особо доверительного сотрудничества следует считать законченной» (18265).</w:t>
      </w:r>
    </w:p>
    <w:p w14:paraId="1E0DE9B2" w14:textId="77777777" w:rsidR="006A14F5" w:rsidRPr="00C33834" w:rsidRDefault="006A14F5" w:rsidP="00C33834">
      <w:pPr>
        <w:spacing w:after="0" w:line="240" w:lineRule="auto"/>
        <w:jc w:val="both"/>
        <w:rPr>
          <w:rFonts w:ascii="Times New Roman" w:hAnsi="Times New Roman"/>
          <w:color w:val="000000" w:themeColor="text1"/>
          <w:sz w:val="16"/>
          <w:szCs w:val="16"/>
        </w:rPr>
      </w:pPr>
    </w:p>
    <w:p w14:paraId="16CB0511" w14:textId="77777777" w:rsidR="007A7AC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58E27E2" w14:textId="77777777" w:rsidR="007A7AC1" w:rsidRPr="00C33834" w:rsidRDefault="007A7AC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99CC04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заводские испытания прошла пассажирская версия Р-6 (АНТ-7) с БМВ-6 на 7 пассажиров. Потом были и государственные. Именно эта машина разбилась 5 сентября 1933 (2766,34).</w:t>
      </w:r>
    </w:p>
    <w:p w14:paraId="4D88251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p w14:paraId="7B0425B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первый опытный Р-6 был переоборудован в пассажирскую машину на 7 человек. В том же июле были проведены заводские испытания. Допустили к эксплуатации и летали в Воронеж, Казань, Киев, Таганро. Именно на этой машине разбился П.И.Баранов, Баранова, А.Э.Гольцман, С.П.Горбунов, Зархар, Петров, Плотников, Дорфман. Вопрос о серии - отпал (346,38).</w:t>
      </w:r>
    </w:p>
    <w:p w14:paraId="6927E46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p w14:paraId="3A7308A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опытный АНТ-7 Р-6 был переделан ЦАГИ в пассажирский самолет, который получил обозначение USSR-S5. На нем погиб П.И.Б. (1017,198) 21 июля он проходил заводские испытания (1017,200).</w:t>
      </w:r>
    </w:p>
    <w:p w14:paraId="6A20E84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p w14:paraId="0B7CE429" w14:textId="77777777" w:rsidR="00FA6C6A" w:rsidRPr="00C33834" w:rsidRDefault="00FA6C6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г. пассажирская версия Р-6 прошла заводские испытания, а следом за ними - государственные.</w:t>
      </w:r>
    </w:p>
    <w:p w14:paraId="5149BAFB" w14:textId="77777777" w:rsidR="00FA6C6A" w:rsidRPr="00C33834" w:rsidRDefault="00FA6C6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АНТ-7 передали в лётный отряд ГУАП Наркомтяжпрома. Там он эксплуатиро-вался как служебный, перевозя предста-вителей руководства на заводы.</w:t>
      </w:r>
    </w:p>
    <w:p w14:paraId="149710F8" w14:textId="77777777" w:rsidR="00FA6C6A" w:rsidRPr="00C33834" w:rsidRDefault="00FA6C6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Пассажирский вариант Р-6 имел на правом борту входную дверь в салон, а эки-паж попадал внутрь через сдвижную секцию фонаря кабины.</w:t>
      </w:r>
    </w:p>
    <w:p w14:paraId="0272AF26" w14:textId="77777777" w:rsidR="00FA6C6A" w:rsidRPr="00C33834" w:rsidRDefault="00FA6C6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 машина разбилась 5 сентября 1933 г. Группа работников ГУАП воз-вращалась с курортов Кавказа, АНТ-7 пилотировал командир лётного отряда управления И.М. Дорфман. В районе Ло- пасни (ныне г. Чехов) в тумане самолёт, прижимавшийся к земле, зацепился за верхушки деревьев. Все находившие-ся на борту, включая начальника ГУАП П.И. Баранова и директора завода № 22 С.П. Горбунова, погибли. Комиссия, расследовавшая катастрофу, признала, что самолёт был исправен. Этот слу-чай лёг тёмным пятном на репутацию пассажирского АНТ-7, и в серию его не запустили (12264).</w:t>
      </w:r>
    </w:p>
    <w:p w14:paraId="04B5E900" w14:textId="77777777" w:rsidR="00FA6C6A" w:rsidRPr="00C33834" w:rsidRDefault="00FA6C6A" w:rsidP="00C33834">
      <w:pPr>
        <w:spacing w:after="0" w:line="240" w:lineRule="auto"/>
        <w:jc w:val="both"/>
        <w:rPr>
          <w:rFonts w:ascii="Times New Roman" w:hAnsi="Times New Roman"/>
          <w:color w:val="000000" w:themeColor="text1"/>
          <w:sz w:val="16"/>
          <w:szCs w:val="16"/>
        </w:rPr>
      </w:pPr>
    </w:p>
    <w:p w14:paraId="51B84E36" w14:textId="77777777" w:rsidR="007C6BD8" w:rsidRPr="00C33834" w:rsidRDefault="007C6BD8" w:rsidP="00C33834">
      <w:pPr>
        <w:pStyle w:val="ae"/>
        <w:shd w:val="clear" w:color="auto" w:fill="FFFFFF"/>
        <w:spacing w:before="0" w:after="0"/>
        <w:jc w:val="both"/>
        <w:rPr>
          <w:color w:val="000000" w:themeColor="text1"/>
          <w:sz w:val="16"/>
          <w:szCs w:val="16"/>
        </w:rPr>
      </w:pPr>
      <w:r w:rsidRPr="00C33834">
        <w:rPr>
          <w:color w:val="000000" w:themeColor="text1"/>
          <w:sz w:val="16"/>
          <w:szCs w:val="16"/>
        </w:rPr>
        <w:t>В июле 1933 в ЦАГИ формально началась работа по приспособлению ТБ-4 для перевозки по воздуху танков по две штуки Т-18, Т-34, Т-26, Т-37 или сразу четырёх танкеток Т-27.</w:t>
      </w:r>
    </w:p>
    <w:p w14:paraId="269D5AB5" w14:textId="77777777" w:rsidR="007C6BD8" w:rsidRPr="00C33834" w:rsidRDefault="007C6BD8" w:rsidP="00C33834">
      <w:pPr>
        <w:pStyle w:val="ae"/>
        <w:shd w:val="clear" w:color="auto" w:fill="FFFFFF"/>
        <w:spacing w:before="0" w:after="0"/>
        <w:jc w:val="both"/>
        <w:rPr>
          <w:color w:val="000000" w:themeColor="text1"/>
          <w:sz w:val="16"/>
          <w:szCs w:val="16"/>
        </w:rPr>
      </w:pPr>
      <w:r w:rsidRPr="00C33834">
        <w:rPr>
          <w:color w:val="000000" w:themeColor="text1"/>
          <w:sz w:val="16"/>
          <w:szCs w:val="16"/>
        </w:rPr>
        <w:t>Через некоторое время системы внешней подвески танков к самолету были доведены до работоспособного состояния и приняты на снабжение армии (19530).</w:t>
      </w:r>
    </w:p>
    <w:p w14:paraId="7DAD87EC" w14:textId="77777777" w:rsidR="007C6BD8" w:rsidRPr="00C33834" w:rsidRDefault="007C6BD8" w:rsidP="00C33834">
      <w:pPr>
        <w:pStyle w:val="ae"/>
        <w:shd w:val="clear" w:color="auto" w:fill="FFFFFF"/>
        <w:spacing w:before="0" w:after="0"/>
        <w:jc w:val="both"/>
        <w:rPr>
          <w:color w:val="000000" w:themeColor="text1"/>
          <w:sz w:val="16"/>
          <w:szCs w:val="16"/>
        </w:rPr>
      </w:pPr>
    </w:p>
    <w:p w14:paraId="05447574" w14:textId="77777777" w:rsidR="007C6BD8" w:rsidRPr="00C33834" w:rsidRDefault="007C6BD8"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В июле 1933 вели испытания головного комплект переделки ТБ под звено в Кречевицах, где базировалась 1-я авиабригада. Дело в том, что 3-я бригада к этому времени получила приставку «особого назначения» и стала специализироваться на воздушно-десантных операциях. Поэтому место войсковых испытаний перенесли.</w:t>
      </w:r>
    </w:p>
    <w:p w14:paraId="2E5A9B6A" w14:textId="77777777" w:rsidR="007C6BD8" w:rsidRPr="00C33834" w:rsidRDefault="007C6BD8"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Носитель получил усиленное шасси с добавочными стойками. На И-4 сохранили нижние плоскости, поскольку сочли, что снятие их ничего не дало. Задний замок перенесли со стойки треноги на фюзеляж истребителя.</w:t>
      </w:r>
    </w:p>
    <w:p w14:paraId="6508F4CB" w14:textId="77777777" w:rsidR="007C6BD8" w:rsidRPr="00C33834" w:rsidRDefault="007C6BD8"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 xml:space="preserve">Руководил испытаниями в качестве председателя комиссии А.И. Залевский. На борту ТБ-1 находились Стефановский, Вахмистров, Морозов и Никитин. В кабине </w:t>
      </w:r>
      <w:r w:rsidRPr="00C33834">
        <w:rPr>
          <w:rFonts w:ascii="Times New Roman" w:hAnsi="Times New Roman" w:cs="Times New Roman"/>
          <w:color w:val="000000" w:themeColor="text1"/>
        </w:rPr>
        <w:lastRenderedPageBreak/>
        <w:t>левого И-4 сидел В.К. Коккинаки, правого - В.А. Степан- ченок. В первом полете взлетный вес всей связки составлял 9500 кг. Замеренное время разбега составило 12 с. В отчете записано: «Взлет нормальный. Самолет в полете устойчив, допускает виражи до 60 градусов». Оба истребителя сбросили одновременно на высоте 600 м. Никаких происшествий не отмечалось.</w:t>
      </w:r>
    </w:p>
    <w:p w14:paraId="23A3EDEF" w14:textId="77777777" w:rsidR="007C6BD8" w:rsidRPr="00C33834" w:rsidRDefault="007C6BD8"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Всего выполнили пять полетов. В ходе испытаний также проводили подготовку строевых летчиков, которым предстояло эксплуатировать «звенья». С новой техникой в воздухе познакомили двух летчиков-истребителей и трех командиров ТБ-1.</w:t>
      </w:r>
    </w:p>
    <w:p w14:paraId="62EBA9A9" w14:textId="77777777" w:rsidR="007C6BD8" w:rsidRPr="00C33834" w:rsidRDefault="007C6BD8"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Общий вывод отчета гласил: «...вполне годен к эксплуатации в строевых частях ВВС РККА».</w:t>
      </w:r>
    </w:p>
    <w:p w14:paraId="05D8AF4F" w14:textId="77777777" w:rsidR="007C6BD8" w:rsidRPr="00C33834" w:rsidRDefault="007C6BD8"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Но «Звено-1» на вооружение не поступило. Упомянутый выше комплект так и остался единственным. Распоряжение о передаче для доработки последующих десяти И-4 отменили. Причиной стало желание начальника ВВС Я.И. Алксниса заменить эти машины на более современные И-5 (19100).</w:t>
      </w:r>
    </w:p>
    <w:p w14:paraId="64CA274A" w14:textId="77777777" w:rsidR="007C6BD8" w:rsidRPr="00C33834" w:rsidRDefault="007C6BD8" w:rsidP="00C33834">
      <w:pPr>
        <w:pStyle w:val="a8"/>
        <w:jc w:val="both"/>
        <w:rPr>
          <w:rFonts w:ascii="Times New Roman" w:hAnsi="Times New Roman" w:cs="Times New Roman"/>
          <w:color w:val="000000" w:themeColor="text1"/>
        </w:rPr>
      </w:pPr>
    </w:p>
    <w:p w14:paraId="3A52279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началось проектирование МГ (81,91).</w:t>
      </w:r>
    </w:p>
    <w:p w14:paraId="7CC4857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p w14:paraId="1A4040D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начали строить И-14бис. Ви назначили Н.Н.Фадеева (4020,12).</w:t>
      </w:r>
    </w:p>
    <w:p w14:paraId="2E04CE5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p w14:paraId="096C2BE9" w14:textId="77777777" w:rsidR="007C6BD8" w:rsidRPr="00C33834" w:rsidRDefault="007C6BD8"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В июле 1933 года, учитывая то, что в Советском Союзе имелся лишь один экземпляр мотора Bristol Mercury, в ЦАГИ приступили к постройке второго экземпляра самолета И-14 или так называемого «дублера» (И-14бис, АНТ-31бис, заказ 7189, иногда в переписке – И-14 РЦ) с мотором Wright-Cyclone F2. При проектировании дублера были учтены некоторые недостатки первого экземпляра самолета (19177).</w:t>
      </w:r>
    </w:p>
    <w:p w14:paraId="15DD3063" w14:textId="77777777" w:rsidR="007C6BD8" w:rsidRPr="00C33834" w:rsidRDefault="007C6BD8" w:rsidP="00C33834">
      <w:pPr>
        <w:pStyle w:val="ae"/>
        <w:shd w:val="clear" w:color="auto" w:fill="FFFFFF"/>
        <w:spacing w:before="0" w:after="0"/>
        <w:jc w:val="both"/>
        <w:textAlignment w:val="baseline"/>
        <w:rPr>
          <w:color w:val="000000" w:themeColor="text1"/>
          <w:sz w:val="16"/>
          <w:szCs w:val="16"/>
        </w:rPr>
      </w:pPr>
    </w:p>
    <w:p w14:paraId="6195F5E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началась работа по сборке дублера И-14, но к полномасштабной постройке приступили лишь 10 августа 1933 г. Чертежи на консоли были получены ЗОКом 7 октября 1933 г., сборку лонжеронов завершили 25 ноября, нервюры собрали лишь 1 1 декабря 1933 г., поскольку их дважды переделывали - первый раз при отказе от гофрированной обшивки, второй раз - когда решили установить посадочный щиток. Чертежи на щиток с его приводом поступили к 14 декабря, сборку завершили 13 января следующего - 1934 г.</w:t>
      </w:r>
    </w:p>
    <w:p w14:paraId="51081BC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Чертежи на каркас были изъяты из производства по причине перехода на гладкую обшивку, а новые чертежи завод получил лишь 25 ноября 1933 г. Каркас был собран быстро - к 17 декабря, после чего приступили к его обшивке, которую завершили 7 января 1934 г.</w:t>
      </w:r>
    </w:p>
    <w:p w14:paraId="3F1F62B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Консоли крыла были собраны 13 января 1934 г. </w:t>
      </w:r>
    </w:p>
    <w:p w14:paraId="321BA94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Центроплан был готов полностью 8 января 1934 г. Оперение собрали раньше - к середине декабря 1933 г., 22 декабря собрали элероны, которые из-за изменения обшивки застряли в производстве на целый месяц.</w:t>
      </w:r>
    </w:p>
    <w:p w14:paraId="6A39E09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496A960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1909ED0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2CD6C34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460ECBF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40B4AE8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p w14:paraId="6E9785E5" w14:textId="77777777" w:rsidR="007906C7" w:rsidRPr="00C33834" w:rsidRDefault="007906C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июле 1933 г., учитывая то, что в Советском Союзе имелся лишь один экземпляр мотора </w:t>
      </w:r>
      <w:r w:rsidRPr="00C33834">
        <w:rPr>
          <w:rFonts w:ascii="Times New Roman" w:hAnsi="Times New Roman"/>
          <w:color w:val="000000" w:themeColor="text1"/>
          <w:sz w:val="16"/>
          <w:szCs w:val="16"/>
          <w:lang w:val="en-US"/>
        </w:rPr>
        <w:t>Bristol</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Mer</w:t>
      </w:r>
      <w:r w:rsidRPr="00C33834">
        <w:rPr>
          <w:rFonts w:ascii="Times New Roman" w:hAnsi="Times New Roman"/>
          <w:color w:val="000000" w:themeColor="text1"/>
          <w:sz w:val="16"/>
          <w:szCs w:val="16"/>
        </w:rPr>
        <w:softHyphen/>
      </w:r>
      <w:r w:rsidRPr="00C33834">
        <w:rPr>
          <w:rFonts w:ascii="Times New Roman" w:hAnsi="Times New Roman"/>
          <w:color w:val="000000" w:themeColor="text1"/>
          <w:sz w:val="16"/>
          <w:szCs w:val="16"/>
          <w:lang w:val="en-US"/>
        </w:rPr>
        <w:t>cury</w:t>
      </w:r>
      <w:r w:rsidRPr="00C33834">
        <w:rPr>
          <w:rFonts w:ascii="Times New Roman" w:hAnsi="Times New Roman"/>
          <w:color w:val="000000" w:themeColor="text1"/>
          <w:sz w:val="16"/>
          <w:szCs w:val="16"/>
        </w:rPr>
        <w:t>,  в ЦАГИ приступили к постройке второго экземпляра И-14 или так на</w:t>
      </w:r>
      <w:r w:rsidRPr="00C33834">
        <w:rPr>
          <w:rFonts w:ascii="Times New Roman" w:hAnsi="Times New Roman"/>
          <w:color w:val="000000" w:themeColor="text1"/>
          <w:sz w:val="16"/>
          <w:szCs w:val="16"/>
        </w:rPr>
        <w:softHyphen/>
        <w:t xml:space="preserve">зываемого «дублёра» (И-14бис, АНТ-31бис, заказ 7189, иногда в переписке — И14 РЦ) с мотором </w:t>
      </w:r>
      <w:r w:rsidRPr="00C33834">
        <w:rPr>
          <w:rFonts w:ascii="Times New Roman" w:hAnsi="Times New Roman"/>
          <w:color w:val="000000" w:themeColor="text1"/>
          <w:sz w:val="16"/>
          <w:szCs w:val="16"/>
          <w:lang w:val="en-US"/>
        </w:rPr>
        <w:t>Wright</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CycloneF</w:t>
      </w:r>
      <w:r w:rsidRPr="00C33834">
        <w:rPr>
          <w:rFonts w:ascii="Times New Roman" w:hAnsi="Times New Roman"/>
          <w:color w:val="000000" w:themeColor="text1"/>
          <w:sz w:val="16"/>
          <w:szCs w:val="16"/>
        </w:rPr>
        <w:t>2. При проектировании дублёра учли некоторые недостатки первого экземпляра самолёта (15823).</w:t>
      </w:r>
    </w:p>
    <w:p w14:paraId="45F885C5" w14:textId="77777777" w:rsidR="007906C7" w:rsidRPr="00C33834" w:rsidRDefault="007906C7" w:rsidP="00C33834">
      <w:pPr>
        <w:spacing w:after="0" w:line="240" w:lineRule="auto"/>
        <w:jc w:val="both"/>
        <w:rPr>
          <w:rFonts w:ascii="Times New Roman" w:hAnsi="Times New Roman"/>
          <w:color w:val="000000" w:themeColor="text1"/>
          <w:sz w:val="16"/>
          <w:szCs w:val="16"/>
        </w:rPr>
      </w:pPr>
    </w:p>
    <w:p w14:paraId="6A30BFD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июля 1933 по октябрь проходили испытания серийных Z завода 39 (80,129).</w:t>
      </w:r>
    </w:p>
    <w:p w14:paraId="6B3C7CC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p w14:paraId="0A8D0C0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на испытания предъявили усовершенствованный И-5 с обтекателями на колесах. После доработок стал эталоном 1933 (222,10).</w:t>
      </w:r>
    </w:p>
    <w:p w14:paraId="6012777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p w14:paraId="3F7E597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появился второй эскизный проект И-16, который получил обозначение ЦКБ-12. Постройка началась в августе (129,2).</w:t>
      </w:r>
    </w:p>
    <w:p w14:paraId="6D3BE5E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p w14:paraId="2DEFB26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был выпущен ЛР c М-34 (24,64) и его испытания закончил к лету 1934 (92,422).</w:t>
      </w:r>
    </w:p>
    <w:p w14:paraId="5F9CBB7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испытания ЛР прошел летом 1933. Были сравнительные испытания ЛР и ХАИ-1 и ХАИ - выиграл (1148,27).</w:t>
      </w:r>
    </w:p>
    <w:p w14:paraId="1AD0A31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p w14:paraId="510D818C" w14:textId="77777777" w:rsidR="007906C7" w:rsidRPr="00C33834" w:rsidRDefault="007906C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году конструкторский коллектив С.А. Кочеригина создает легкий двухместный самолет-разведчик ЛР с мотором М-34 со взлетной мощностью 750 л.с. Самолет мог применяться и в качестве двухместного истребителя. Проектирование ЛРМ-34 (ЦКБ-1) началось в начале 1932 года в ЦКБ ЦАГИ.</w:t>
      </w:r>
    </w:p>
    <w:p w14:paraId="0E2FA9AF" w14:textId="77777777" w:rsidR="007906C7" w:rsidRPr="00C33834" w:rsidRDefault="007906C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представлял собой одномоторный двухместный полутораплан смешанной конструкции. По схеме он повторял поликарповский разведчик Р-5 и имел то же вооружение. Однако благодаря более мощному двигателю, несколько лучшей аэродинамике, меньшим геометрическим размерам, ЛРМ-34 имел лучшие летные данные в сравнении с Р-5. При полетном весе 2426 кг, максимальная скорость полета ЛР у земли составляла 271 км/ч, а на высоте 5000 метров – 247 км/ч. Высоту 3000 метров самолет набирал за 7,3 минуты, дальность полета составляла 700 км. Вираж выполнялся за 17 секунд. Стрелковое вооружение разведчика состояло из одного синхронного пулемета ПВ-1 и одного оборонительного ШКАС на турели у летнаба. Нормальная бомбовая нагрузка составляла 200 кг.</w:t>
      </w:r>
    </w:p>
    <w:p w14:paraId="558D5F89" w14:textId="77777777" w:rsidR="007906C7" w:rsidRPr="00C33834" w:rsidRDefault="007906C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установки на втором опытном экземпляре ЛР более мощного и высотного двигателя М-34Н (с нагнетателем, мощностью 835 л.с.), летные данные разведчика заметно улучшились. При полетном весе 2590 кг., ЛР-34Н имел максимальную скорость у земли 282 км/ч, а на высоте 4000 метров – 319 км/ч. Время подъема на высоту 3000 метров составляло 6 минут. Радиус действия разведчика на высоте 3000 метров – 340 км.</w:t>
      </w:r>
    </w:p>
    <w:p w14:paraId="2B96F71E" w14:textId="77777777" w:rsidR="007906C7" w:rsidRPr="00C33834" w:rsidRDefault="007906C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Государственные испытания ЛРМ-34Н летом 1934 года прошли с высокой оценкой. Самолет мог вполне рассматриваться в качестве легкого небронированного штурмовика-разведчика: в этом случае наступательное вооружение требовалось усилить. Однако в отчете по Госиспытаниям, утвержденным 3-го октября 1934 года начальником ВВС Я.И. Алкснисом указывалось, что обзор из кабины летнаба ограничен, имеется тенденция к «рысканию» при пробеге и взлете. При этом отмечалось, что представленный на испытания самолет выполнен заводом № 39 небрежно, с плохой отделкой внешней поверхности.</w:t>
      </w:r>
    </w:p>
    <w:p w14:paraId="59930666" w14:textId="77777777" w:rsidR="007906C7" w:rsidRPr="00C33834" w:rsidRDefault="007906C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Несмотря на выявленные недостатки, военные рекомендовали запустить ЛРМ-34Н в серийное производство в варианте легкого штурмовика-разведчика при условии доведения самолета до состояния эталона. Кроме того, предлагалось разработать новую экранированную турель, увеличить радиус действия самолета на высоте 3000 метров до 400 км и максимальную скорость полета на высоте 4000 метров – до 360 км/ч. Но в серию ЛРМ-34Н запущен не был. Предпочтение было отдано легкому штурмовику «Р-Z», являвшемуся глубокой модификацией массового разведчика Р-5 с более освоенной в производственном отношении конструкцией (15223).</w:t>
      </w:r>
    </w:p>
    <w:p w14:paraId="78696259" w14:textId="77777777" w:rsidR="007906C7" w:rsidRPr="00C33834" w:rsidRDefault="007906C7" w:rsidP="00C33834">
      <w:pPr>
        <w:shd w:val="clear" w:color="auto" w:fill="FFFFFF"/>
        <w:spacing w:after="0" w:line="240" w:lineRule="auto"/>
        <w:jc w:val="both"/>
        <w:rPr>
          <w:rFonts w:ascii="Times New Roman" w:hAnsi="Times New Roman"/>
          <w:color w:val="000000" w:themeColor="text1"/>
          <w:sz w:val="16"/>
          <w:szCs w:val="16"/>
        </w:rPr>
      </w:pPr>
    </w:p>
    <w:p w14:paraId="7DEEF4B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г. первый опытный образец ЛР, построенный на заводе № 39, вышел на испытания и был оснащён мотором М-34 без нагнетателя. Машина показала лётные данные, значительно превосходящие Р-5 и приближающиеся к характеристикам одноместных истребителей того времени. В следующем году построили второй экземпляр с двигателем М-34Н. Хотя полётный вес возрос, его данные были ещё выше, за исключением дальности полёта, немного понизившейся, несмотря на увеличение запаса топлива. ЛР успешно прошёл государственные испытания, получив удовлетворительную оценку.</w:t>
      </w:r>
    </w:p>
    <w:p w14:paraId="532F824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Военные настаивали на скорейшем запуске Л Р в серийное производство на заводе № 1 вместо Р-5. Но директор предприятия Беленкович, поддерживаемый руководством ГУАП, категорически отказывался от этой машины, обещая вместо неё свой Р-Зет. Директора понять можно: Р-Зет, несмотря на все отличия, технологически был очень близок к хорошо освоенному Р-5. Машину намеренно проектировали под возможности предприятия. Это позволяло быстро освоить массовый выпуск, не перестраивая производство, используя часть старой оснастки. Принятие Р-Зет сулило снижение себестоимости и гарантированное выполнение плана. Последнее радовало и руководство ГУАП, постоянно испытывавшее давление сверху.</w:t>
      </w:r>
    </w:p>
    <w:p w14:paraId="60A5974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Использовались все рычаги, чтобы навязать УВВС разведчик завода № 1. Итак, имелся уже летающий ЛР с хорошими лётными данными, но промышленность не рвалась осваивать выпуск машины, по конструкции существенно отличавшейся от привычного Р-5. Кроме того, для его массового производства требовалось большое количество дефицитных труб из хромомолибденовой стали.</w:t>
      </w:r>
    </w:p>
    <w:p w14:paraId="4BA8CB6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Существовавший тогда только на бумаге Р-Зет был выгоден в первую очередь промышленности. Взамен ГУАП обещало военным быстрое наращивание его выпуска (и, соответственно, скорейшее перевооружение авиачастей), относительную дешевизну машины и простоту её освоения за счёт преемственности с Р-5. Кроме того, существенным аргументом явилась бомбовая нагрузка Р-Зет, позволявшая использовать этот самолёт как лёгкий бомбардировщик. ЛР, у которого упор делался на скорость и маневренность, мог нести значительно меньший вес бомб, причём только мелких калибров.</w:t>
      </w:r>
    </w:p>
    <w:p w14:paraId="258FA44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Управлению ВВС, скрепя сердце, пришлось согласиться. Срок выпуска "зета" на госиспытания назначили на 15 апреля 1935 г. (11995).</w:t>
      </w:r>
    </w:p>
    <w:p w14:paraId="129F0A2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p w14:paraId="7A55F88C" w14:textId="77777777" w:rsidR="00F75FDE" w:rsidRPr="00C33834" w:rsidRDefault="00F75FDE"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июле 1933 с находящегося под Новгородом Кречевицкого аэродрома сотрудники НИИ ВВС провели контрольные испытания модифицированного «Звена-1». ТБ-1 пилотировал П.М. Стефановский, истребители — В.К. Коккинаки и В.А. Степанчёнок. Все три самолёта были другие, не те, которые летали на испытаниях 1931–1932 гг. Менялись и лётчики: под руководством Стефановского за пять полётов были оттренированы два лётчика-истребителя и три командира ТБ-1. С истребителями на крыле бомбардировщик выполнял виражи с креном до 60 градусов.</w:t>
      </w:r>
    </w:p>
    <w:p w14:paraId="4F2D0666" w14:textId="77777777" w:rsidR="00F75FDE" w:rsidRPr="00C33834" w:rsidRDefault="00F75FDE"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Конструктивные доработки сочли полезными. «Самолёт 3–1 с вышеуказанными переделками вполне пригоден к эксплуатации в строевых частях ВВС РККА», — отмечалось в заключении по испытаниям </w:t>
      </w:r>
      <w:hyperlink r:id="rId274" w:history="1">
        <w:r w:rsidRPr="00C33834">
          <w:rPr>
            <w:rFonts w:ascii="Times New Roman" w:eastAsia="Times New Roman" w:hAnsi="Times New Roman"/>
            <w:color w:val="000000" w:themeColor="text1"/>
            <w:sz w:val="16"/>
            <w:szCs w:val="16"/>
            <w:lang w:eastAsia="ru-RU"/>
          </w:rPr>
          <w:t>[81]</w:t>
        </w:r>
      </w:hyperlink>
      <w:r w:rsidRPr="00C33834">
        <w:rPr>
          <w:rFonts w:ascii="Times New Roman" w:eastAsia="Times New Roman" w:hAnsi="Times New Roman"/>
          <w:color w:val="000000" w:themeColor="text1"/>
          <w:sz w:val="16"/>
          <w:szCs w:val="16"/>
          <w:lang w:eastAsia="ru-RU"/>
        </w:rPr>
        <w:t xml:space="preserve"> . Была изготовлена малая серия для войсковых испытаний — шесть «звеньев». Они базировались на аэродроме 2-й тяжёлобомбардировочной авиабригады в Кречевицах до 1937 г. (17489).</w:t>
      </w:r>
    </w:p>
    <w:p w14:paraId="0D5B547E" w14:textId="77777777" w:rsidR="00F75FDE" w:rsidRPr="00C33834" w:rsidRDefault="00F75FDE" w:rsidP="00C33834">
      <w:pPr>
        <w:spacing w:after="0" w:line="240" w:lineRule="auto"/>
        <w:jc w:val="both"/>
        <w:rPr>
          <w:rFonts w:ascii="Times New Roman" w:eastAsia="Times New Roman" w:hAnsi="Times New Roman"/>
          <w:color w:val="000000" w:themeColor="text1"/>
          <w:sz w:val="16"/>
          <w:szCs w:val="16"/>
          <w:lang w:eastAsia="ru-RU"/>
        </w:rPr>
      </w:pPr>
    </w:p>
    <w:p w14:paraId="03C52CA9" w14:textId="77777777" w:rsidR="00F75FDE" w:rsidRPr="00C33834" w:rsidRDefault="00F75FDE" w:rsidP="00C33834">
      <w:pPr>
        <w:pStyle w:val="a3"/>
        <w:rPr>
          <w:color w:val="000000" w:themeColor="text1"/>
          <w:lang w:val="ru-RU"/>
        </w:rPr>
      </w:pPr>
      <w:r w:rsidRPr="00C33834">
        <w:rPr>
          <w:color w:val="000000" w:themeColor="text1"/>
          <w:lang w:val="ru-RU"/>
        </w:rPr>
        <w:t>В июле 1933 в Кречевицах, где базировалась 1-я авиабри</w:t>
      </w:r>
      <w:r w:rsidRPr="00C33834">
        <w:rPr>
          <w:color w:val="000000" w:themeColor="text1"/>
          <w:lang w:val="ru-RU"/>
        </w:rPr>
        <w:softHyphen/>
        <w:t>гада, вели испытания подготовленного в июне 1933 г. головного комплекта, включавшего ТБ-1 №677 и два И-4 (№1533 - левый и №1583 - правый). 3-я бригада к этому времени получила приставку «особого назначения» и стала специализировать</w:t>
      </w:r>
      <w:r w:rsidRPr="00C33834">
        <w:rPr>
          <w:color w:val="000000" w:themeColor="text1"/>
          <w:lang w:val="ru-RU"/>
        </w:rPr>
        <w:softHyphen/>
        <w:t>ся на воздушно-десантных операциях. Поэтому место войсковых испытаний перенесли.</w:t>
      </w:r>
    </w:p>
    <w:p w14:paraId="3E4EFC6D" w14:textId="77777777" w:rsidR="00F75FDE" w:rsidRPr="00C33834" w:rsidRDefault="00F75FDE" w:rsidP="00C33834">
      <w:pPr>
        <w:pStyle w:val="a3"/>
        <w:rPr>
          <w:color w:val="000000" w:themeColor="text1"/>
          <w:lang w:val="ru-RU"/>
        </w:rPr>
      </w:pPr>
      <w:r w:rsidRPr="00C33834">
        <w:rPr>
          <w:color w:val="000000" w:themeColor="text1"/>
          <w:lang w:val="ru-RU"/>
        </w:rPr>
        <w:t>Носитель получил усиленное шасси с добавочными стойками. На И-4 сохрани</w:t>
      </w:r>
      <w:r w:rsidRPr="00C33834">
        <w:rPr>
          <w:color w:val="000000" w:themeColor="text1"/>
          <w:lang w:val="ru-RU"/>
        </w:rPr>
        <w:softHyphen/>
        <w:t>ли нижние плоскости, поскольку сочли, что снятие их ничего не дало. Задний за</w:t>
      </w:r>
      <w:r w:rsidRPr="00C33834">
        <w:rPr>
          <w:color w:val="000000" w:themeColor="text1"/>
          <w:lang w:val="ru-RU"/>
        </w:rPr>
        <w:softHyphen/>
        <w:t>мок перенесли со стойки треноги на фю</w:t>
      </w:r>
      <w:r w:rsidRPr="00C33834">
        <w:rPr>
          <w:color w:val="000000" w:themeColor="text1"/>
          <w:lang w:val="ru-RU"/>
        </w:rPr>
        <w:softHyphen/>
        <w:t>зеляж истребителя.</w:t>
      </w:r>
    </w:p>
    <w:p w14:paraId="7736C1CD" w14:textId="77777777" w:rsidR="00F75FDE" w:rsidRPr="00C33834" w:rsidRDefault="00F75FDE" w:rsidP="00C33834">
      <w:pPr>
        <w:pStyle w:val="a3"/>
        <w:rPr>
          <w:color w:val="000000" w:themeColor="text1"/>
          <w:lang w:val="ru-RU"/>
        </w:rPr>
      </w:pPr>
      <w:r w:rsidRPr="00C33834">
        <w:rPr>
          <w:color w:val="000000" w:themeColor="text1"/>
          <w:lang w:val="ru-RU"/>
        </w:rPr>
        <w:t>Председателя комиссии А.И. Залевский. На борту ТБ-1 находились Стефановский, Вахмистров, Морозов и Никитин. В кабине левого И-4 сидел В.К. Коккинаки, правого - В.А. Степанченок. В первом полете взлет</w:t>
      </w:r>
      <w:r w:rsidRPr="00C33834">
        <w:rPr>
          <w:color w:val="000000" w:themeColor="text1"/>
          <w:lang w:val="ru-RU"/>
        </w:rPr>
        <w:softHyphen/>
        <w:t>ный вес всей связки составлял 9500 кг. Замеренное время разбега составило 12 с. В отчете записано:</w:t>
      </w:r>
      <w:r w:rsidRPr="00C33834">
        <w:rPr>
          <w:rStyle w:val="13ArialNarrow1"/>
          <w:rFonts w:ascii="Times New Roman" w:hAnsi="Times New Roman" w:cs="Times New Roman"/>
          <w:i w:val="0"/>
          <w:color w:val="000000" w:themeColor="text1"/>
          <w:sz w:val="16"/>
          <w:szCs w:val="16"/>
          <w:lang w:val="ru-RU"/>
        </w:rPr>
        <w:t xml:space="preserve"> «Взлет нормальный. Самолет в полете устойчив, допускает виражи до 60 градусов».</w:t>
      </w:r>
      <w:r w:rsidRPr="00C33834">
        <w:rPr>
          <w:color w:val="000000" w:themeColor="text1"/>
          <w:lang w:val="ru-RU"/>
        </w:rPr>
        <w:t xml:space="preserve"> Оба истребителя сбросили одновременно на высоте 600 м. Никаких происшествий не отмечалось.</w:t>
      </w:r>
    </w:p>
    <w:p w14:paraId="0AB5DE5F" w14:textId="77777777" w:rsidR="00F75FDE" w:rsidRPr="00C33834" w:rsidRDefault="00F75FDE" w:rsidP="00C33834">
      <w:pPr>
        <w:pStyle w:val="a3"/>
        <w:rPr>
          <w:color w:val="000000" w:themeColor="text1"/>
          <w:lang w:val="ru-RU"/>
        </w:rPr>
      </w:pPr>
      <w:r w:rsidRPr="00C33834">
        <w:rPr>
          <w:color w:val="000000" w:themeColor="text1"/>
          <w:lang w:val="ru-RU"/>
        </w:rPr>
        <w:t>Всего выполнили пять полетов. В ходе испытаний также проводили под</w:t>
      </w:r>
      <w:r w:rsidRPr="00C33834">
        <w:rPr>
          <w:color w:val="000000" w:themeColor="text1"/>
          <w:lang w:val="ru-RU"/>
        </w:rPr>
        <w:softHyphen/>
        <w:t>готовку строевых летчиков, которым предстояло эксплуатировать «звенья». С новой техникой в воздухе познакоми</w:t>
      </w:r>
      <w:r w:rsidRPr="00C33834">
        <w:rPr>
          <w:color w:val="000000" w:themeColor="text1"/>
          <w:lang w:val="ru-RU"/>
        </w:rPr>
        <w:softHyphen/>
        <w:t>ли двух летчиков-истребителей и трех командиров ТБ-1.</w:t>
      </w:r>
    </w:p>
    <w:p w14:paraId="7E209097" w14:textId="77777777" w:rsidR="00F75FDE" w:rsidRPr="00C33834" w:rsidRDefault="00F75FDE" w:rsidP="00C33834">
      <w:pPr>
        <w:pStyle w:val="a3"/>
        <w:rPr>
          <w:color w:val="000000" w:themeColor="text1"/>
          <w:lang w:val="ru-RU"/>
        </w:rPr>
      </w:pPr>
      <w:r w:rsidRPr="00C33834">
        <w:rPr>
          <w:color w:val="000000" w:themeColor="text1"/>
          <w:lang w:val="ru-RU"/>
        </w:rPr>
        <w:t>Общий вывод отчета гласил: «...впол</w:t>
      </w:r>
      <w:r w:rsidRPr="00C33834">
        <w:rPr>
          <w:color w:val="000000" w:themeColor="text1"/>
          <w:lang w:val="ru-RU"/>
        </w:rPr>
        <w:softHyphen/>
        <w:t>не годен к эксплуатации в строевых ча</w:t>
      </w:r>
      <w:r w:rsidRPr="00C33834">
        <w:rPr>
          <w:color w:val="000000" w:themeColor="text1"/>
          <w:lang w:val="ru-RU"/>
        </w:rPr>
        <w:softHyphen/>
        <w:t>стях ВВС РККА».</w:t>
      </w:r>
    </w:p>
    <w:p w14:paraId="4257E5E5" w14:textId="77777777" w:rsidR="00F75FDE" w:rsidRPr="00C33834" w:rsidRDefault="00F75FDE" w:rsidP="00C33834">
      <w:pPr>
        <w:pStyle w:val="a3"/>
        <w:rPr>
          <w:color w:val="000000" w:themeColor="text1"/>
          <w:lang w:val="ru-RU"/>
        </w:rPr>
      </w:pPr>
      <w:r w:rsidRPr="00C33834">
        <w:rPr>
          <w:color w:val="000000" w:themeColor="text1"/>
          <w:lang w:val="ru-RU"/>
        </w:rPr>
        <w:t>Но «Звено-1» на вооружение не по</w:t>
      </w:r>
      <w:r w:rsidRPr="00C33834">
        <w:rPr>
          <w:color w:val="000000" w:themeColor="text1"/>
          <w:lang w:val="ru-RU"/>
        </w:rPr>
        <w:softHyphen/>
        <w:t>ступило. Упомянутый выше комплект так и остался единственным. Распоряжение о передаче для доработки последующих десяти И-4 отменили. Причиной стало желание начальника ВВС Я.И. Алксниса заменить эти машины на более современ</w:t>
      </w:r>
      <w:r w:rsidRPr="00C33834">
        <w:rPr>
          <w:color w:val="000000" w:themeColor="text1"/>
          <w:lang w:val="ru-RU"/>
        </w:rPr>
        <w:softHyphen/>
        <w:t>ные И-5. Те тоже были бипланами, но вес имели поменьше и летные данные повы</w:t>
      </w:r>
      <w:r w:rsidRPr="00C33834">
        <w:rPr>
          <w:color w:val="000000" w:themeColor="text1"/>
          <w:lang w:val="ru-RU"/>
        </w:rPr>
        <w:softHyphen/>
        <w:t>ше (17741).</w:t>
      </w:r>
    </w:p>
    <w:p w14:paraId="411B518A" w14:textId="77777777" w:rsidR="00F75FDE" w:rsidRPr="00C33834" w:rsidRDefault="00F75FDE" w:rsidP="00C33834">
      <w:pPr>
        <w:spacing w:after="0" w:line="240" w:lineRule="auto"/>
        <w:jc w:val="both"/>
        <w:rPr>
          <w:rFonts w:ascii="Times New Roman" w:eastAsia="Times New Roman" w:hAnsi="Times New Roman"/>
          <w:color w:val="000000" w:themeColor="text1"/>
          <w:sz w:val="16"/>
          <w:szCs w:val="16"/>
          <w:lang w:eastAsia="ru-RU"/>
        </w:rPr>
      </w:pPr>
    </w:p>
    <w:p w14:paraId="501402A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июля 1933 проходили испытания вертолета ЦАГИ 5-ЭА с шестилопастным винтом И.П.Братухина (80,401).</w:t>
      </w:r>
    </w:p>
    <w:p w14:paraId="2AB7CE7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p w14:paraId="68786B5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июля 1933 закончилась постройка автожира ЭА-6, которая началась в марте 1932 (1017,279).</w:t>
      </w:r>
    </w:p>
    <w:p w14:paraId="6EBBE19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p w14:paraId="38C97183" w14:textId="77777777" w:rsidR="007A7AC1" w:rsidRPr="00C33834" w:rsidRDefault="007A7AC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г. бригада № 2 (Поликарпова) ЦКБ заво</w:t>
      </w:r>
      <w:r w:rsidRPr="00C33834">
        <w:rPr>
          <w:rFonts w:ascii="Times New Roman" w:hAnsi="Times New Roman"/>
          <w:color w:val="000000" w:themeColor="text1"/>
          <w:sz w:val="16"/>
          <w:szCs w:val="16"/>
        </w:rPr>
        <w:softHyphen/>
        <w:t>да № 39 разработала проект четырехместного пассажир</w:t>
      </w:r>
      <w:r w:rsidRPr="00C33834">
        <w:rPr>
          <w:rFonts w:ascii="Times New Roman" w:hAnsi="Times New Roman"/>
          <w:color w:val="000000" w:themeColor="text1"/>
          <w:sz w:val="16"/>
          <w:szCs w:val="16"/>
        </w:rPr>
        <w:softHyphen/>
        <w:t>ского самолета-низкоплана ЦКБ-6 для воздушных линий небольшой протяженности (600-650 км), представляв</w:t>
      </w:r>
      <w:r w:rsidRPr="00C33834">
        <w:rPr>
          <w:rFonts w:ascii="Times New Roman" w:hAnsi="Times New Roman"/>
          <w:color w:val="000000" w:themeColor="text1"/>
          <w:sz w:val="16"/>
          <w:szCs w:val="16"/>
        </w:rPr>
        <w:softHyphen/>
        <w:t>шего собой развитие предыдущего проекта. Ведущим конструктором по машине был В.К.Таиров. Самолет имел хорошо обтекаемые формы, убираемое шасси (су</w:t>
      </w:r>
      <w:r w:rsidRPr="00C33834">
        <w:rPr>
          <w:rFonts w:ascii="Times New Roman" w:hAnsi="Times New Roman"/>
          <w:color w:val="000000" w:themeColor="text1"/>
          <w:sz w:val="16"/>
          <w:szCs w:val="16"/>
        </w:rPr>
        <w:softHyphen/>
        <w:t>ществовал также вариант с шасси в «штанах»). На ЦКБ-6 предполагалось установить новый мотор М-49 мощнос</w:t>
      </w:r>
      <w:r w:rsidRPr="00C33834">
        <w:rPr>
          <w:rFonts w:ascii="Times New Roman" w:hAnsi="Times New Roman"/>
          <w:color w:val="000000" w:themeColor="text1"/>
          <w:sz w:val="16"/>
          <w:szCs w:val="16"/>
        </w:rPr>
        <w:softHyphen/>
        <w:t>тью в 300 л.с., который еще только разрабатывался в КБ запорожского завода № 29. И хотя возможности для реа</w:t>
      </w:r>
      <w:r w:rsidRPr="00C33834">
        <w:rPr>
          <w:rFonts w:ascii="Times New Roman" w:hAnsi="Times New Roman"/>
          <w:color w:val="000000" w:themeColor="text1"/>
          <w:sz w:val="16"/>
          <w:szCs w:val="16"/>
        </w:rPr>
        <w:softHyphen/>
        <w:t>лизации проекта не было (к тому же, двигатель не вышел из стадии доработок), Поликарпов некоторое время про</w:t>
      </w:r>
      <w:r w:rsidRPr="00C33834">
        <w:rPr>
          <w:rFonts w:ascii="Times New Roman" w:hAnsi="Times New Roman"/>
          <w:color w:val="000000" w:themeColor="text1"/>
          <w:sz w:val="16"/>
          <w:szCs w:val="16"/>
        </w:rPr>
        <w:softHyphen/>
        <w:t>должал его совершенствовать. Эти работы позже легли в основу ОКО-1 - первой самостоятельной машины В.К.Таирова, назначенного в 1935 г. главным конструкто</w:t>
      </w:r>
      <w:r w:rsidRPr="00C33834">
        <w:rPr>
          <w:rFonts w:ascii="Times New Roman" w:hAnsi="Times New Roman"/>
          <w:color w:val="000000" w:themeColor="text1"/>
          <w:sz w:val="16"/>
          <w:szCs w:val="16"/>
        </w:rPr>
        <w:softHyphen/>
        <w:t>ром опытно-конструкторского отдела авиационного за</w:t>
      </w:r>
      <w:r w:rsidRPr="00C33834">
        <w:rPr>
          <w:rFonts w:ascii="Times New Roman" w:hAnsi="Times New Roman"/>
          <w:color w:val="000000" w:themeColor="text1"/>
          <w:sz w:val="16"/>
          <w:szCs w:val="16"/>
        </w:rPr>
        <w:softHyphen/>
        <w:t>вода № 43 в Киеве (10667).</w:t>
      </w:r>
    </w:p>
    <w:p w14:paraId="23146F8E" w14:textId="77777777" w:rsidR="007A7AC1" w:rsidRPr="00C33834" w:rsidRDefault="007A7AC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08609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июля 1933 стали серийно делать Сталь-2 на заводе N 81 (80,370).</w:t>
      </w:r>
    </w:p>
    <w:p w14:paraId="766D8D8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p w14:paraId="63DBD26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были готовы проект и чертежи бесхвостого планера П.Г.Бенинга Осовиахимовец ХАИ (553,153).</w:t>
      </w:r>
    </w:p>
    <w:p w14:paraId="0324A40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p w14:paraId="2FB445E7" w14:textId="77777777" w:rsidR="007A7AC1" w:rsidRPr="00C33834" w:rsidRDefault="007A7AC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серию «Д» М-34 завода № 24 приемщики пропустили, а «Е» в сентябре опять была забракована. Инспектор Уп</w:t>
      </w:r>
      <w:r w:rsidRPr="00C33834">
        <w:rPr>
          <w:rFonts w:ascii="Times New Roman" w:hAnsi="Times New Roman"/>
          <w:color w:val="000000" w:themeColor="text1"/>
          <w:sz w:val="16"/>
          <w:szCs w:val="16"/>
        </w:rPr>
        <w:softHyphen/>
        <w:t>равления материально-технического снабжения в июле 1933 г. доклады</w:t>
      </w:r>
      <w:r w:rsidRPr="00C33834">
        <w:rPr>
          <w:rFonts w:ascii="Times New Roman" w:hAnsi="Times New Roman"/>
          <w:color w:val="000000" w:themeColor="text1"/>
          <w:sz w:val="16"/>
          <w:szCs w:val="16"/>
        </w:rPr>
        <w:softHyphen/>
        <w:t>вал в УВВС: «Качество моторов М-34, выпускаемых заводом, с начала производства оставляет желать мно</w:t>
      </w:r>
      <w:r w:rsidRPr="00C33834">
        <w:rPr>
          <w:rFonts w:ascii="Times New Roman" w:hAnsi="Times New Roman"/>
          <w:color w:val="000000" w:themeColor="text1"/>
          <w:sz w:val="16"/>
          <w:szCs w:val="16"/>
        </w:rPr>
        <w:softHyphen/>
        <w:t>го лучшего» (11848).</w:t>
      </w:r>
    </w:p>
    <w:p w14:paraId="31EA87B6" w14:textId="77777777" w:rsidR="007A7AC1" w:rsidRPr="00C33834" w:rsidRDefault="007A7AC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6524F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года зам. наркома тяжелой промышленности и начальник Глававиапрома Баранов писал письмо № оп318/397с в СНК Базилевичу</w:t>
      </w:r>
    </w:p>
    <w:p w14:paraId="7C47D50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 729/ко от 22 мая 1933 года</w:t>
      </w:r>
    </w:p>
    <w:p w14:paraId="6AC410F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всестороннего освещения вопроса по письму зам. наркома УССР Любченко о паровой турбине и дизеля Н-4 ХАИ, сообщаю, что работы по проектированию и постройке этих объектов выполняются на основании задания УВВС непосредственно Институту, оформленного специальным договором, в котором предусматривалось полное финансирование этих работ во всех стадиях производства.</w:t>
      </w:r>
    </w:p>
    <w:p w14:paraId="7ECC6A3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связи с постановлением СНК в апреле 1933 года мною было принято на себя дальнейшее общее руководство и финансирование одного из этих заданий, а именно паротурбины. В настоящее время отпуск денег на это задание ГУАПом уже производится.</w:t>
      </w:r>
    </w:p>
    <w:p w14:paraId="0314861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Что же касается вопроса о дизеле Н-4, проектирование и производство которого ведется так же по заданию и договору УВВС с ХАИ, сообщаю, что УВВС прекратило финансирование этой работы.</w:t>
      </w:r>
    </w:p>
    <w:p w14:paraId="4568273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июня, по договоренности с УВВС и ХАИ мною принято на себя это задание и начиная со второй половины текущего года будет производиться плановый отпуск кредитов.</w:t>
      </w:r>
    </w:p>
    <w:p w14:paraId="47B48E0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Следует особо подчеркнуть, что случай отказа от финансирования работ по заключенным договорам со стороны УВВС не единичный. В таком же положении находится газовая турбина, выполняемая Всесоюзным теплотехническим институтом по заданию и договору с УВВС, от финансирования которой УВВС так же отказывается.</w:t>
      </w:r>
    </w:p>
    <w:p w14:paraId="74B9330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Включением в финансовый план двух трудоемких заданий, а именно: паровой турбины и нефтяного двигателя исчерпываются все финансовые возможности ГУАП и включение еще нового задания не может быть принято ни под каким предлогом.</w:t>
      </w:r>
    </w:p>
    <w:p w14:paraId="7FE76BE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вопросу об изготовлении литья на заводе № 26 для авиадизеля, проектируемого Украинским научно-исследовательским авиадизельным институтом, сообщаю, изготовление его проводится и сроки согласованы с их представителями.</w:t>
      </w:r>
    </w:p>
    <w:p w14:paraId="6C229CE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наконец, по вопросу о дополнительном ассигновании на строительство ХАИ сообщаю, что в соответствии с пересмотром титула работ по капитальному строительству, я счел возможным увеличить ассигнования до 400 тысяч рублей, что в общей сумме составит 1600 тысяч рублей и удовлетовряет потребности Института в текущем году (3530,135).</w:t>
      </w:r>
    </w:p>
    <w:p w14:paraId="06EB62F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p w14:paraId="0F3FF44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был создан ЦИАТИМ (80,82).</w:t>
      </w:r>
    </w:p>
    <w:p w14:paraId="238BD04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p w14:paraId="45C2881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были за подписью Пом. Нач. ГУАП Алмазова и Нач. моторного сектора Дементьева были подготовлены:</w:t>
      </w:r>
    </w:p>
    <w:p w14:paraId="52EABE3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Краткий технический отчет по опытному строительству самолетов за 1-ю половину 1933 (2310,143).</w:t>
      </w:r>
    </w:p>
    <w:p w14:paraId="128FBC6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Основными задачами работ по опытному строительству в 1933 году оставались:</w:t>
      </w:r>
    </w:p>
    <w:p w14:paraId="2F3BFB1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выполнение работ, незаконченных в 1932 г. по плану, утвержденному Правительством от 4/VII-32 г.</w:t>
      </w:r>
    </w:p>
    <w:p w14:paraId="2B1C46E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Создание новых самолетов, оборудованных артиллерийским вооружением.</w:t>
      </w:r>
    </w:p>
    <w:p w14:paraId="76D8991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Создание новых маломощных, гражданских самолетов.</w:t>
      </w:r>
    </w:p>
    <w:p w14:paraId="6E76797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Применение конструктивных усовершенствований в частях самолетов, повышающие летно-тактические и эксплуатационные данные (масляная амортизация, тормозные колеса, убирающиеся шасси, крыльевые радиаторы, капоты и др.).</w:t>
      </w:r>
    </w:p>
    <w:p w14:paraId="521E061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Применение на самолетах электрифицированного оборудования (бомбового, пулеметного, управления и пр.).</w:t>
      </w:r>
    </w:p>
    <w:p w14:paraId="64DDA8E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связи с невыполнением плана 1932 г. в сроки утвержденные Правительством от 4/VII-32 г. по причинам, изложенным в докладе по опытному строительству за 1932 год - явилась необходимость ранее поставленные задания пересмотреть в комиссии РВС СССР.</w:t>
      </w:r>
    </w:p>
    <w:p w14:paraId="26A5975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Следствием пересмотра в соответствии с актуальностью работ и реальными возможностями выполнения их в зависимости от действительной готовности и наличия нужных моторов - все работы были разбиты на опытные (первоочередные) не требующие дополнительного экспериментирования и работы экспериментальные </w:t>
      </w:r>
      <w:r w:rsidRPr="00C33834">
        <w:rPr>
          <w:rFonts w:ascii="Times New Roman" w:hAnsi="Times New Roman"/>
          <w:color w:val="000000" w:themeColor="text1"/>
          <w:sz w:val="16"/>
          <w:szCs w:val="16"/>
        </w:rPr>
        <w:lastRenderedPageBreak/>
        <w:t>(второочередные), требующие как специального исследования, так и предварительного эксперимента. Часть же самолетов, как-то Р-5-М34, И12-2М22, И13-М32, согласно решения комиссии, с плана сняты.</w:t>
      </w:r>
    </w:p>
    <w:p w14:paraId="39AC7E6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Переработанный таким образом план и является основой для работ 1933 г.</w:t>
      </w:r>
    </w:p>
    <w:p w14:paraId="297A61C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исполнение его опытными организациями (ЦАГИ, зав. 39, ХАЗОС, ХАИ, МАИ) произведено следующее (2310,143):</w:t>
      </w:r>
    </w:p>
    <w:p w14:paraId="5704FA4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Опытные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7512"/>
      </w:tblGrid>
      <w:tr w:rsidR="00F26F01" w:rsidRPr="00C33834" w14:paraId="541C92EB" w14:textId="77777777">
        <w:tc>
          <w:tcPr>
            <w:tcW w:w="3369" w:type="dxa"/>
          </w:tcPr>
          <w:p w14:paraId="7501AB5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ТБ4-6М34</w:t>
            </w:r>
          </w:p>
        </w:tc>
        <w:tc>
          <w:tcPr>
            <w:tcW w:w="7512" w:type="dxa"/>
          </w:tcPr>
          <w:p w14:paraId="5C16072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Несвоевременная подача моторов (вместо 1/VIII - 10.XII-32 г.) послужила причиной сдвига</w:t>
            </w:r>
          </w:p>
        </w:tc>
      </w:tr>
      <w:tr w:rsidR="00F26F01" w:rsidRPr="00C33834" w14:paraId="745FD05B" w14:textId="77777777">
        <w:tc>
          <w:tcPr>
            <w:tcW w:w="3369" w:type="dxa"/>
          </w:tcPr>
          <w:p w14:paraId="673D2CF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w:t>
            </w:r>
          </w:p>
        </w:tc>
        <w:tc>
          <w:tcPr>
            <w:tcW w:w="7512" w:type="dxa"/>
          </w:tcPr>
          <w:p w14:paraId="30F2F9A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срока по выпуску самолета на заводские испытания. Только в марте месяце самолет смог быть</w:t>
            </w:r>
          </w:p>
        </w:tc>
      </w:tr>
      <w:tr w:rsidR="00F26F01" w:rsidRPr="00C33834" w14:paraId="0C4C9EB3" w14:textId="77777777">
        <w:tc>
          <w:tcPr>
            <w:tcW w:w="3369" w:type="dxa"/>
          </w:tcPr>
          <w:p w14:paraId="1AC933B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бомбовоз дюралевой</w:t>
            </w:r>
          </w:p>
        </w:tc>
        <w:tc>
          <w:tcPr>
            <w:tcW w:w="7512" w:type="dxa"/>
          </w:tcPr>
          <w:p w14:paraId="33D1A25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отправлен на аэродром. В течение апреля, мая и июня проводились работы по доводке самолета и</w:t>
            </w:r>
          </w:p>
        </w:tc>
      </w:tr>
      <w:tr w:rsidR="00F26F01" w:rsidRPr="00C33834" w14:paraId="7ED606FC" w14:textId="77777777">
        <w:tc>
          <w:tcPr>
            <w:tcW w:w="3369" w:type="dxa"/>
          </w:tcPr>
          <w:p w14:paraId="7270DF0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конструкции. С норм.</w:t>
            </w:r>
          </w:p>
        </w:tc>
        <w:tc>
          <w:tcPr>
            <w:tcW w:w="7512" w:type="dxa"/>
          </w:tcPr>
          <w:p w14:paraId="6F2879D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моторов. Основные из них заключались в переделках стабилизатора, наладке моторного</w:t>
            </w:r>
          </w:p>
        </w:tc>
      </w:tr>
      <w:tr w:rsidR="00F26F01" w:rsidRPr="00C33834" w14:paraId="4B3E8383" w14:textId="77777777">
        <w:tc>
          <w:tcPr>
            <w:tcW w:w="3369" w:type="dxa"/>
          </w:tcPr>
          <w:p w14:paraId="73D6FD6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нагрузкой в полете</w:t>
            </w:r>
          </w:p>
        </w:tc>
        <w:tc>
          <w:tcPr>
            <w:tcW w:w="7512" w:type="dxa"/>
          </w:tcPr>
          <w:p w14:paraId="19C5905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хозяйства, установке и отладке ЦЕС'а и оборудования, в переделках капотов и коллекторов,</w:t>
            </w:r>
          </w:p>
        </w:tc>
      </w:tr>
      <w:tr w:rsidR="00F26F01" w:rsidRPr="00C33834" w14:paraId="2DA0B0BC" w14:textId="77777777">
        <w:tc>
          <w:tcPr>
            <w:tcW w:w="3369" w:type="dxa"/>
          </w:tcPr>
          <w:p w14:paraId="38481DB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 тн. Вооружен 10</w:t>
            </w:r>
          </w:p>
        </w:tc>
        <w:tc>
          <w:tcPr>
            <w:tcW w:w="7512" w:type="dxa"/>
          </w:tcPr>
          <w:p w14:paraId="41A9E41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переделках винтов, изготовлении радиаторов (водо-масл. и возд. масл.). Значительной задержкой</w:t>
            </w:r>
          </w:p>
        </w:tc>
      </w:tr>
      <w:tr w:rsidR="00F26F01" w:rsidRPr="00C33834" w14:paraId="0EB343B7" w14:textId="77777777">
        <w:tc>
          <w:tcPr>
            <w:tcW w:w="3369" w:type="dxa"/>
          </w:tcPr>
          <w:p w14:paraId="08A8D65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 и 2 пушк.</w:t>
            </w:r>
          </w:p>
        </w:tc>
        <w:tc>
          <w:tcPr>
            <w:tcW w:w="7512" w:type="dxa"/>
          </w:tcPr>
          <w:p w14:paraId="5034A53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служил нерешенный вопрос с охлаждением масла, проводимый на сам. ТБ3.</w:t>
            </w:r>
          </w:p>
        </w:tc>
      </w:tr>
      <w:tr w:rsidR="00F26F01" w:rsidRPr="00C33834" w14:paraId="3BF4B714" w14:textId="77777777">
        <w:tc>
          <w:tcPr>
            <w:tcW w:w="3369" w:type="dxa"/>
          </w:tcPr>
          <w:p w14:paraId="0E398C5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полета....</w:t>
            </w:r>
          </w:p>
        </w:tc>
        <w:tc>
          <w:tcPr>
            <w:tcW w:w="7512" w:type="dxa"/>
          </w:tcPr>
          <w:p w14:paraId="50C8A1D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3/VII самолет был выпущен в воздух. Крупных дефектов не обнаружено. Со второй половины</w:t>
            </w:r>
          </w:p>
        </w:tc>
      </w:tr>
      <w:tr w:rsidR="00F26F01" w:rsidRPr="00C33834" w14:paraId="65497E28" w14:textId="77777777">
        <w:tc>
          <w:tcPr>
            <w:tcW w:w="3369" w:type="dxa"/>
          </w:tcPr>
          <w:p w14:paraId="3620402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перегрузкой 2000 км</w:t>
            </w:r>
          </w:p>
        </w:tc>
        <w:tc>
          <w:tcPr>
            <w:tcW w:w="7512" w:type="dxa"/>
          </w:tcPr>
          <w:p w14:paraId="0E4AC3E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июня самолет должен проходить программные испытания с весом в 25 тонн.</w:t>
            </w:r>
          </w:p>
        </w:tc>
      </w:tr>
      <w:tr w:rsidR="00F26F01" w:rsidRPr="00C33834" w14:paraId="022620E4" w14:textId="77777777">
        <w:tc>
          <w:tcPr>
            <w:tcW w:w="3369" w:type="dxa"/>
          </w:tcPr>
          <w:p w14:paraId="4F79A23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на 3000 м -....</w:t>
            </w:r>
          </w:p>
        </w:tc>
        <w:tc>
          <w:tcPr>
            <w:tcW w:w="7512" w:type="dxa"/>
          </w:tcPr>
          <w:p w14:paraId="08500D9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с целью улучшения всех данных самолета, на основе предварительных</w:t>
            </w:r>
          </w:p>
        </w:tc>
      </w:tr>
      <w:tr w:rsidR="00F26F01" w:rsidRPr="00C33834" w14:paraId="7132C22C" w14:textId="77777777">
        <w:tc>
          <w:tcPr>
            <w:tcW w:w="3369" w:type="dxa"/>
          </w:tcPr>
          <w:p w14:paraId="0BC885C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w:t>
            </w:r>
          </w:p>
        </w:tc>
        <w:tc>
          <w:tcPr>
            <w:tcW w:w="7512" w:type="dxa"/>
          </w:tcPr>
          <w:p w14:paraId="26C1BB1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испытаний сам. Р.Д. ЦАГИ производит значительные изменения самолета, заключающиеся в</w:t>
            </w:r>
          </w:p>
        </w:tc>
      </w:tr>
      <w:tr w:rsidR="00F26F01" w:rsidRPr="00C33834" w14:paraId="23952F42" w14:textId="77777777">
        <w:tc>
          <w:tcPr>
            <w:tcW w:w="3369" w:type="dxa"/>
          </w:tcPr>
          <w:p w14:paraId="435013B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VIII-33 г.</w:t>
            </w:r>
          </w:p>
        </w:tc>
        <w:tc>
          <w:tcPr>
            <w:tcW w:w="7512" w:type="dxa"/>
          </w:tcPr>
          <w:p w14:paraId="72117A7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увеличении площади крыльев, за счет размаха и установкой дополнительно двух моторов - М54 в</w:t>
            </w:r>
          </w:p>
        </w:tc>
      </w:tr>
      <w:tr w:rsidR="00F26F01" w:rsidRPr="00C33834" w14:paraId="57F8D2B5" w14:textId="77777777">
        <w:tc>
          <w:tcPr>
            <w:tcW w:w="3369" w:type="dxa"/>
          </w:tcPr>
          <w:p w14:paraId="2D42B7A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2" w:type="dxa"/>
          </w:tcPr>
          <w:p w14:paraId="738BDF0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крыльях.</w:t>
            </w:r>
          </w:p>
        </w:tc>
      </w:tr>
      <w:tr w:rsidR="00F26F01" w:rsidRPr="00C33834" w14:paraId="3CAD5BD2" w14:textId="77777777">
        <w:tc>
          <w:tcPr>
            <w:tcW w:w="3369" w:type="dxa"/>
          </w:tcPr>
          <w:p w14:paraId="7FB853A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ТБ3-4М34РН</w:t>
            </w:r>
          </w:p>
        </w:tc>
        <w:tc>
          <w:tcPr>
            <w:tcW w:w="7512" w:type="dxa"/>
          </w:tcPr>
          <w:p w14:paraId="5D6D143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Самолет был с моторами без редуктора и нагнетателя переброшен на аэродром в декабре 32 г.</w:t>
            </w:r>
          </w:p>
        </w:tc>
      </w:tr>
      <w:tr w:rsidR="00F26F01" w:rsidRPr="00C33834" w14:paraId="7B6216B3" w14:textId="77777777">
        <w:tc>
          <w:tcPr>
            <w:tcW w:w="3369" w:type="dxa"/>
          </w:tcPr>
          <w:p w14:paraId="61A858F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Модификация ТБ3-4М17,</w:t>
            </w:r>
          </w:p>
        </w:tc>
        <w:tc>
          <w:tcPr>
            <w:tcW w:w="7512" w:type="dxa"/>
          </w:tcPr>
          <w:p w14:paraId="1269AEC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первых же пробах мотора были обнаружены крупные недостатки в моторном хозяйстве:</w:t>
            </w:r>
          </w:p>
        </w:tc>
      </w:tr>
      <w:tr w:rsidR="00F26F01" w:rsidRPr="00C33834" w14:paraId="7F787FB2" w14:textId="77777777">
        <w:tc>
          <w:tcPr>
            <w:tcW w:w="3369" w:type="dxa"/>
          </w:tcPr>
          <w:p w14:paraId="7D0DC32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Полетный вес 19,5 тн.</w:t>
            </w:r>
          </w:p>
        </w:tc>
        <w:tc>
          <w:tcPr>
            <w:tcW w:w="7512" w:type="dxa"/>
          </w:tcPr>
          <w:p w14:paraId="14042E7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(перегрев масла, течи в трубопроводах, тресканье глушителей, плохая работа самих моторов,</w:t>
            </w:r>
          </w:p>
        </w:tc>
      </w:tr>
      <w:tr w:rsidR="00F26F01" w:rsidRPr="00C33834" w14:paraId="58C1C187" w14:textId="77777777">
        <w:tc>
          <w:tcPr>
            <w:tcW w:w="3369" w:type="dxa"/>
          </w:tcPr>
          <w:p w14:paraId="4CC7CD6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- 2400 км.</w:t>
            </w:r>
          </w:p>
        </w:tc>
        <w:tc>
          <w:tcPr>
            <w:tcW w:w="7512" w:type="dxa"/>
          </w:tcPr>
          <w:p w14:paraId="281F6DB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непригодность винтов и др.). Январские моторы крайне затрудняли работу. Совместными силами</w:t>
            </w:r>
          </w:p>
        </w:tc>
      </w:tr>
      <w:tr w:rsidR="00F26F01" w:rsidRPr="00C33834" w14:paraId="0DF57C5B" w14:textId="77777777">
        <w:tc>
          <w:tcPr>
            <w:tcW w:w="3369" w:type="dxa"/>
          </w:tcPr>
          <w:p w14:paraId="1C2A380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перегрузкой 3000 км.</w:t>
            </w:r>
          </w:p>
        </w:tc>
        <w:tc>
          <w:tcPr>
            <w:tcW w:w="7512" w:type="dxa"/>
          </w:tcPr>
          <w:p w14:paraId="1AB4322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 ЦИАМ, НИИ ВВС к 8/III самолет удалось подготовить к полету. После пробного полета</w:t>
            </w:r>
          </w:p>
        </w:tc>
      </w:tr>
      <w:tr w:rsidR="00F26F01" w:rsidRPr="00C33834" w14:paraId="676B898F" w14:textId="77777777">
        <w:tc>
          <w:tcPr>
            <w:tcW w:w="3369" w:type="dxa"/>
          </w:tcPr>
          <w:p w14:paraId="1DB075A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на 5000 м -</w:t>
            </w:r>
          </w:p>
        </w:tc>
        <w:tc>
          <w:tcPr>
            <w:tcW w:w="7512" w:type="dxa"/>
          </w:tcPr>
          <w:p w14:paraId="159DF27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были обнаружены новые дефекты (масл. радиат., коллектора, подогрев), по частичному</w:t>
            </w:r>
          </w:p>
        </w:tc>
      </w:tr>
      <w:tr w:rsidR="00F26F01" w:rsidRPr="00C33834" w14:paraId="41FE6EFB" w14:textId="77777777">
        <w:tc>
          <w:tcPr>
            <w:tcW w:w="3369" w:type="dxa"/>
          </w:tcPr>
          <w:p w14:paraId="238913F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 км/час. Сбрасываем.</w:t>
            </w:r>
          </w:p>
        </w:tc>
        <w:tc>
          <w:tcPr>
            <w:tcW w:w="7512" w:type="dxa"/>
          </w:tcPr>
          <w:p w14:paraId="5CD066A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устранению которых проводились полеты по проверке надежности работы всего моторного</w:t>
            </w:r>
          </w:p>
        </w:tc>
      </w:tr>
      <w:tr w:rsidR="00F26F01" w:rsidRPr="00C33834" w14:paraId="0A463B09" w14:textId="77777777">
        <w:tc>
          <w:tcPr>
            <w:tcW w:w="3369" w:type="dxa"/>
          </w:tcPr>
          <w:p w14:paraId="58F45F0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груз -...... 1500 кг.</w:t>
            </w:r>
          </w:p>
        </w:tc>
        <w:tc>
          <w:tcPr>
            <w:tcW w:w="7512" w:type="dxa"/>
          </w:tcPr>
          <w:p w14:paraId="31EDC90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хозяйства. При полете с полным весом самолет потерпел аварию.</w:t>
            </w:r>
          </w:p>
        </w:tc>
      </w:tr>
      <w:tr w:rsidR="00F26F01" w:rsidRPr="00C33834" w14:paraId="75166C0D" w14:textId="77777777">
        <w:tc>
          <w:tcPr>
            <w:tcW w:w="3369" w:type="dxa"/>
          </w:tcPr>
          <w:p w14:paraId="435376C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w:t>
            </w:r>
          </w:p>
        </w:tc>
        <w:tc>
          <w:tcPr>
            <w:tcW w:w="7512" w:type="dxa"/>
          </w:tcPr>
          <w:p w14:paraId="7401689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20/IV новый самолет зав. 22 был получен ЦАГИ, на котором продолжаются заводские испытания</w:t>
            </w:r>
          </w:p>
        </w:tc>
      </w:tr>
      <w:tr w:rsidR="00F26F01" w:rsidRPr="00C33834" w14:paraId="5F43D2D7" w14:textId="77777777">
        <w:tc>
          <w:tcPr>
            <w:tcW w:w="3369" w:type="dxa"/>
          </w:tcPr>
          <w:p w14:paraId="783C310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1/X-34 г.</w:t>
            </w:r>
          </w:p>
        </w:tc>
        <w:tc>
          <w:tcPr>
            <w:tcW w:w="7512" w:type="dxa"/>
          </w:tcPr>
          <w:p w14:paraId="3831883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доводка.</w:t>
            </w:r>
          </w:p>
        </w:tc>
      </w:tr>
      <w:tr w:rsidR="00F26F01" w:rsidRPr="00C33834" w14:paraId="66BBEB5D" w14:textId="77777777">
        <w:tc>
          <w:tcPr>
            <w:tcW w:w="3369" w:type="dxa"/>
          </w:tcPr>
          <w:p w14:paraId="47FC5DA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МИ3-2М34</w:t>
            </w:r>
          </w:p>
        </w:tc>
        <w:tc>
          <w:tcPr>
            <w:tcW w:w="7512" w:type="dxa"/>
          </w:tcPr>
          <w:p w14:paraId="37A2419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Запоздание в выпуске машин проистекало по тем же причинам (несвоевременная подача</w:t>
            </w:r>
          </w:p>
        </w:tc>
      </w:tr>
      <w:tr w:rsidR="00F26F01" w:rsidRPr="00C33834" w14:paraId="472ECEE4" w14:textId="77777777">
        <w:tc>
          <w:tcPr>
            <w:tcW w:w="3369" w:type="dxa"/>
          </w:tcPr>
          <w:p w14:paraId="52414BF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.....местный истребитель</w:t>
            </w:r>
          </w:p>
        </w:tc>
        <w:tc>
          <w:tcPr>
            <w:tcW w:w="7512" w:type="dxa"/>
          </w:tcPr>
          <w:p w14:paraId="2E0D16C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моторов, неясность типа радиаторов, коллекторов и пр.). Моторы вместо 1/IX были получены</w:t>
            </w:r>
          </w:p>
        </w:tc>
      </w:tr>
      <w:tr w:rsidR="00F26F01" w:rsidRPr="00C33834" w14:paraId="16CF6CF9" w14:textId="77777777">
        <w:tc>
          <w:tcPr>
            <w:tcW w:w="3369" w:type="dxa"/>
          </w:tcPr>
          <w:p w14:paraId="69C3E66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дюралевый. Вооружен 6</w:t>
            </w:r>
          </w:p>
        </w:tc>
        <w:tc>
          <w:tcPr>
            <w:tcW w:w="7512" w:type="dxa"/>
          </w:tcPr>
          <w:p w14:paraId="1B6BEF7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22/XII. Самолет в марте был перевезен на аэродром, где доводка моторного хозяйства и</w:t>
            </w:r>
          </w:p>
        </w:tc>
      </w:tr>
      <w:tr w:rsidR="00F26F01" w:rsidRPr="00C33834" w14:paraId="0E3401A1" w14:textId="77777777">
        <w:tc>
          <w:tcPr>
            <w:tcW w:w="3369" w:type="dxa"/>
          </w:tcPr>
          <w:p w14:paraId="2E9448C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пулемет. и..... пушкой.</w:t>
            </w:r>
          </w:p>
        </w:tc>
        <w:tc>
          <w:tcPr>
            <w:tcW w:w="7512" w:type="dxa"/>
          </w:tcPr>
          <w:p w14:paraId="09B8B63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подъемного механизма шасси заняла почти месяц. 6/V самолет совершил пробную рулежку и</w:t>
            </w:r>
          </w:p>
        </w:tc>
      </w:tr>
      <w:tr w:rsidR="00F26F01" w:rsidRPr="00C33834" w14:paraId="5E23804D" w14:textId="77777777">
        <w:tc>
          <w:tcPr>
            <w:tcW w:w="3369" w:type="dxa"/>
          </w:tcPr>
          <w:p w14:paraId="7C2F2B3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на 5000 м -</w:t>
            </w:r>
          </w:p>
        </w:tc>
        <w:tc>
          <w:tcPr>
            <w:tcW w:w="7512" w:type="dxa"/>
          </w:tcPr>
          <w:p w14:paraId="3898EF5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взлет по прямой. Дальнейшие испытания (при постоянных неполадках моторного хозяйства)</w:t>
            </w:r>
          </w:p>
        </w:tc>
      </w:tr>
      <w:tr w:rsidR="00F26F01" w:rsidRPr="00C33834" w14:paraId="386DDE15" w14:textId="77777777">
        <w:tc>
          <w:tcPr>
            <w:tcW w:w="3369" w:type="dxa"/>
          </w:tcPr>
          <w:p w14:paraId="12FDE8A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300 км/час. Время</w:t>
            </w:r>
          </w:p>
        </w:tc>
        <w:tc>
          <w:tcPr>
            <w:tcW w:w="7512" w:type="dxa"/>
          </w:tcPr>
          <w:p w14:paraId="31D44BD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обнаружили крупные дефекты в машине (вибрации оперения, недостаточность элеронов, большая</w:t>
            </w:r>
          </w:p>
        </w:tc>
      </w:tr>
      <w:tr w:rsidR="00F26F01" w:rsidRPr="00C33834" w14:paraId="6F0B997C" w14:textId="77777777">
        <w:tc>
          <w:tcPr>
            <w:tcW w:w="3369" w:type="dxa"/>
          </w:tcPr>
          <w:p w14:paraId="69ED8BD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подъема 15 м на высоту</w:t>
            </w:r>
          </w:p>
        </w:tc>
        <w:tc>
          <w:tcPr>
            <w:tcW w:w="7512" w:type="dxa"/>
          </w:tcPr>
          <w:p w14:paraId="591AAA7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минимальная скорость, тенденция валиться на нос при сбавленных оборотах, трудность посадки</w:t>
            </w:r>
          </w:p>
        </w:tc>
      </w:tr>
      <w:tr w:rsidR="00F26F01" w:rsidRPr="00C33834" w14:paraId="2ADAA2D7" w14:textId="77777777">
        <w:tc>
          <w:tcPr>
            <w:tcW w:w="3369" w:type="dxa"/>
          </w:tcPr>
          <w:p w14:paraId="2B0C119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 м. Скорость - 1000 км</w:t>
            </w:r>
          </w:p>
        </w:tc>
        <w:tc>
          <w:tcPr>
            <w:tcW w:w="7512" w:type="dxa"/>
          </w:tcPr>
          <w:p w14:paraId="090BF5A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без моторов). Объединенными силами теоретических и опытных работников проведены большие</w:t>
            </w:r>
          </w:p>
        </w:tc>
      </w:tr>
      <w:tr w:rsidR="00F26F01" w:rsidRPr="00C33834" w14:paraId="1FFBC4C7" w14:textId="77777777">
        <w:tc>
          <w:tcPr>
            <w:tcW w:w="3369" w:type="dxa"/>
          </w:tcPr>
          <w:p w14:paraId="20A5CFE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 на</w:t>
            </w:r>
          </w:p>
        </w:tc>
        <w:tc>
          <w:tcPr>
            <w:tcW w:w="7512" w:type="dxa"/>
          </w:tcPr>
          <w:p w14:paraId="142664F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по исследованию причин дефектов).Поставленные и испытанные закрылки показали</w:t>
            </w:r>
          </w:p>
        </w:tc>
      </w:tr>
      <w:tr w:rsidR="00F26F01" w:rsidRPr="00C33834" w14:paraId="7B535D08" w14:textId="77777777">
        <w:tc>
          <w:tcPr>
            <w:tcW w:w="3369" w:type="dxa"/>
          </w:tcPr>
          <w:p w14:paraId="18B8BB7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1/IX-33 г.</w:t>
            </w:r>
          </w:p>
        </w:tc>
        <w:tc>
          <w:tcPr>
            <w:tcW w:w="7512" w:type="dxa"/>
          </w:tcPr>
          <w:p w14:paraId="01FDA94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недостаточность этого мероприятия и в настоящее время ведутся изменения в соединении крыла</w:t>
            </w:r>
          </w:p>
        </w:tc>
      </w:tr>
      <w:tr w:rsidR="00F26F01" w:rsidRPr="00C33834" w14:paraId="36551788" w14:textId="77777777">
        <w:tc>
          <w:tcPr>
            <w:tcW w:w="3369" w:type="dxa"/>
          </w:tcPr>
          <w:p w14:paraId="4824F91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2" w:type="dxa"/>
          </w:tcPr>
          <w:p w14:paraId="4D75AC0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 фюзеляжем в отношении плавного обтекания, долженствующего уничтожить срывы потока и </w:t>
            </w:r>
          </w:p>
        </w:tc>
      </w:tr>
      <w:tr w:rsidR="00F26F01" w:rsidRPr="00C33834" w14:paraId="6AADBD19" w14:textId="77777777">
        <w:tc>
          <w:tcPr>
            <w:tcW w:w="3369" w:type="dxa"/>
          </w:tcPr>
          <w:p w14:paraId="79747C7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2" w:type="dxa"/>
          </w:tcPr>
          <w:p w14:paraId="04D7ED0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следовательно уничтожить вибрации и улучшить качество на малых скоростях. Во второй</w:t>
            </w:r>
          </w:p>
        </w:tc>
      </w:tr>
      <w:tr w:rsidR="00F26F01" w:rsidRPr="00C33834" w14:paraId="47A209EB" w14:textId="77777777">
        <w:tc>
          <w:tcPr>
            <w:tcW w:w="3369" w:type="dxa"/>
          </w:tcPr>
          <w:p w14:paraId="263C5CD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2" w:type="dxa"/>
          </w:tcPr>
          <w:p w14:paraId="74C1BDF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половине июля самолет должен испытываться с новыми изменениями.</w:t>
            </w:r>
          </w:p>
        </w:tc>
      </w:tr>
      <w:tr w:rsidR="00F26F01" w:rsidRPr="00C33834" w14:paraId="455E1FE7" w14:textId="77777777">
        <w:tc>
          <w:tcPr>
            <w:tcW w:w="3369" w:type="dxa"/>
          </w:tcPr>
          <w:p w14:paraId="2E635E0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ЛИ1 - 6М34РН</w:t>
            </w:r>
          </w:p>
        </w:tc>
        <w:tc>
          <w:tcPr>
            <w:tcW w:w="7512" w:type="dxa"/>
          </w:tcPr>
          <w:p w14:paraId="351A19D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4) Макет самолета утвержден 2/IV-33 г. Проектированием закончен на 95% и находится в </w:t>
            </w:r>
          </w:p>
        </w:tc>
      </w:tr>
      <w:tr w:rsidR="00F26F01" w:rsidRPr="00C33834" w14:paraId="7AE19B43" w14:textId="77777777">
        <w:tc>
          <w:tcPr>
            <w:tcW w:w="3369" w:type="dxa"/>
          </w:tcPr>
          <w:p w14:paraId="46FAAFB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Морской крейсер,</w:t>
            </w:r>
          </w:p>
        </w:tc>
        <w:tc>
          <w:tcPr>
            <w:tcW w:w="7512" w:type="dxa"/>
          </w:tcPr>
          <w:p w14:paraId="1A34E92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постройке. Техническая готовность в производстве около 35%. Объем крыльев, центроплан, лодки,</w:t>
            </w:r>
          </w:p>
        </w:tc>
      </w:tr>
      <w:tr w:rsidR="00F26F01" w:rsidRPr="00C33834" w14:paraId="53C7C73B" w14:textId="77777777">
        <w:tc>
          <w:tcPr>
            <w:tcW w:w="3369" w:type="dxa"/>
          </w:tcPr>
          <w:p w14:paraId="3C0E639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Дюралевый, двухлодочный,</w:t>
            </w:r>
          </w:p>
        </w:tc>
        <w:tc>
          <w:tcPr>
            <w:tcW w:w="7512" w:type="dxa"/>
          </w:tcPr>
          <w:p w14:paraId="0F0F29E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лимузин, управление, оперение, моторное оборудование, спец. оборудование находятся в процессе</w:t>
            </w:r>
          </w:p>
        </w:tc>
      </w:tr>
      <w:tr w:rsidR="00F26F01" w:rsidRPr="00C33834" w14:paraId="1408CB86" w14:textId="77777777">
        <w:tc>
          <w:tcPr>
            <w:tcW w:w="3369" w:type="dxa"/>
          </w:tcPr>
          <w:p w14:paraId="3232F86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тандемными </w:t>
            </w:r>
          </w:p>
        </w:tc>
        <w:tc>
          <w:tcPr>
            <w:tcW w:w="7512" w:type="dxa"/>
          </w:tcPr>
          <w:p w14:paraId="686F61D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изготовления.</w:t>
            </w:r>
          </w:p>
        </w:tc>
      </w:tr>
      <w:tr w:rsidR="00F26F01" w:rsidRPr="00C33834" w14:paraId="50A152AC" w14:textId="77777777">
        <w:tc>
          <w:tcPr>
            <w:tcW w:w="3369" w:type="dxa"/>
          </w:tcPr>
          <w:p w14:paraId="30748E6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Установками моторов,</w:t>
            </w:r>
          </w:p>
        </w:tc>
        <w:tc>
          <w:tcPr>
            <w:tcW w:w="7512" w:type="dxa"/>
          </w:tcPr>
          <w:p w14:paraId="0288AEA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3E04742" w14:textId="77777777">
        <w:tc>
          <w:tcPr>
            <w:tcW w:w="3369" w:type="dxa"/>
          </w:tcPr>
          <w:p w14:paraId="57ED830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крыле моноплан несущий</w:t>
            </w:r>
          </w:p>
        </w:tc>
        <w:tc>
          <w:tcPr>
            <w:tcW w:w="7512" w:type="dxa"/>
          </w:tcPr>
          <w:p w14:paraId="4DC9702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C5ADD41" w14:textId="77777777">
        <w:tc>
          <w:tcPr>
            <w:tcW w:w="3369" w:type="dxa"/>
          </w:tcPr>
          <w:p w14:paraId="0E1A869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кг бомб и торпеду</w:t>
            </w:r>
          </w:p>
        </w:tc>
        <w:tc>
          <w:tcPr>
            <w:tcW w:w="7512" w:type="dxa"/>
          </w:tcPr>
          <w:p w14:paraId="2AA94F7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B78434C" w14:textId="77777777">
        <w:tc>
          <w:tcPr>
            <w:tcW w:w="3369" w:type="dxa"/>
          </w:tcPr>
          <w:p w14:paraId="04E6C99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кг бомб и торпеду</w:t>
            </w:r>
          </w:p>
        </w:tc>
        <w:tc>
          <w:tcPr>
            <w:tcW w:w="7512" w:type="dxa"/>
          </w:tcPr>
          <w:p w14:paraId="24D0DB4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4F419CD" w14:textId="77777777">
        <w:tc>
          <w:tcPr>
            <w:tcW w:w="3369" w:type="dxa"/>
          </w:tcPr>
          <w:p w14:paraId="4FBAB00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кг. Полетный вес</w:t>
            </w:r>
          </w:p>
        </w:tc>
        <w:tc>
          <w:tcPr>
            <w:tcW w:w="7512" w:type="dxa"/>
          </w:tcPr>
          <w:p w14:paraId="47FFA1E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4E6DC68" w14:textId="77777777">
        <w:tc>
          <w:tcPr>
            <w:tcW w:w="3369" w:type="dxa"/>
          </w:tcPr>
          <w:p w14:paraId="138EAE5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25 тонн. Вооружен 4 </w:t>
            </w:r>
          </w:p>
        </w:tc>
        <w:tc>
          <w:tcPr>
            <w:tcW w:w="7512" w:type="dxa"/>
          </w:tcPr>
          <w:p w14:paraId="63C3AD9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9382B45" w14:textId="77777777">
        <w:tc>
          <w:tcPr>
            <w:tcW w:w="3369" w:type="dxa"/>
          </w:tcPr>
          <w:p w14:paraId="07A2733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 и 2 пушками.</w:t>
            </w:r>
          </w:p>
        </w:tc>
        <w:tc>
          <w:tcPr>
            <w:tcW w:w="7512" w:type="dxa"/>
          </w:tcPr>
          <w:p w14:paraId="7E2B2BB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4D9DEBB" w14:textId="77777777">
        <w:tc>
          <w:tcPr>
            <w:tcW w:w="3369" w:type="dxa"/>
          </w:tcPr>
          <w:p w14:paraId="5AE0ED9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на 4000 м -</w:t>
            </w:r>
          </w:p>
        </w:tc>
        <w:tc>
          <w:tcPr>
            <w:tcW w:w="7512" w:type="dxa"/>
          </w:tcPr>
          <w:p w14:paraId="020715B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17CC608" w14:textId="77777777">
        <w:tc>
          <w:tcPr>
            <w:tcW w:w="3369" w:type="dxa"/>
          </w:tcPr>
          <w:p w14:paraId="15429B6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км/час.</w:t>
            </w:r>
          </w:p>
        </w:tc>
        <w:tc>
          <w:tcPr>
            <w:tcW w:w="7512" w:type="dxa"/>
          </w:tcPr>
          <w:p w14:paraId="3751A03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717038D" w14:textId="77777777">
        <w:tc>
          <w:tcPr>
            <w:tcW w:w="3369" w:type="dxa"/>
          </w:tcPr>
          <w:p w14:paraId="3AC60F8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- 1500 км.</w:t>
            </w:r>
          </w:p>
        </w:tc>
        <w:tc>
          <w:tcPr>
            <w:tcW w:w="7512" w:type="dxa"/>
          </w:tcPr>
          <w:p w14:paraId="5B4D7F3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E41C0E9" w14:textId="77777777">
        <w:tc>
          <w:tcPr>
            <w:tcW w:w="3369" w:type="dxa"/>
          </w:tcPr>
          <w:p w14:paraId="58F0217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перегрузкой 2400 км.</w:t>
            </w:r>
          </w:p>
        </w:tc>
        <w:tc>
          <w:tcPr>
            <w:tcW w:w="7512" w:type="dxa"/>
          </w:tcPr>
          <w:p w14:paraId="0F41E6D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A10045D" w14:textId="77777777">
        <w:tc>
          <w:tcPr>
            <w:tcW w:w="3369" w:type="dxa"/>
          </w:tcPr>
          <w:p w14:paraId="6B929FA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w:t>
            </w:r>
          </w:p>
        </w:tc>
        <w:tc>
          <w:tcPr>
            <w:tcW w:w="7512" w:type="dxa"/>
          </w:tcPr>
          <w:p w14:paraId="7304CBE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D68F3D2" w14:textId="77777777">
        <w:tc>
          <w:tcPr>
            <w:tcW w:w="3369" w:type="dxa"/>
          </w:tcPr>
          <w:p w14:paraId="73841F5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1/VIII-34 г.</w:t>
            </w:r>
          </w:p>
        </w:tc>
        <w:tc>
          <w:tcPr>
            <w:tcW w:w="7512" w:type="dxa"/>
          </w:tcPr>
          <w:p w14:paraId="2EB3A90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4018C69" w14:textId="77777777">
        <w:tc>
          <w:tcPr>
            <w:tcW w:w="3369" w:type="dxa"/>
          </w:tcPr>
          <w:p w14:paraId="7E5E9D8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МДР-4-3М34Р</w:t>
            </w:r>
          </w:p>
        </w:tc>
        <w:tc>
          <w:tcPr>
            <w:tcW w:w="7512" w:type="dxa"/>
          </w:tcPr>
          <w:p w14:paraId="0ECEF10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5) Макет самолета утвержден - 1/VI-33 г. Проектные и конструктивные работы выражаются в 20% </w:t>
            </w:r>
          </w:p>
        </w:tc>
      </w:tr>
      <w:tr w:rsidR="00F26F01" w:rsidRPr="00C33834" w14:paraId="7BAFB03C" w14:textId="77777777">
        <w:tc>
          <w:tcPr>
            <w:tcW w:w="3369" w:type="dxa"/>
          </w:tcPr>
          <w:p w14:paraId="3A745D1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Морской дальний </w:t>
            </w:r>
          </w:p>
        </w:tc>
        <w:tc>
          <w:tcPr>
            <w:tcW w:w="7512" w:type="dxa"/>
          </w:tcPr>
          <w:p w14:paraId="1D23A64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технической готовности. Полное развертывание работ по производству предположено после</w:t>
            </w:r>
          </w:p>
        </w:tc>
      </w:tr>
      <w:tr w:rsidR="00F26F01" w:rsidRPr="00C33834" w14:paraId="0CB68047" w14:textId="77777777">
        <w:tc>
          <w:tcPr>
            <w:tcW w:w="3369" w:type="dxa"/>
          </w:tcPr>
          <w:p w14:paraId="1E08ECF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разведчик одноместный.</w:t>
            </w:r>
          </w:p>
        </w:tc>
        <w:tc>
          <w:tcPr>
            <w:tcW w:w="7512" w:type="dxa"/>
          </w:tcPr>
          <w:p w14:paraId="5777098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сдачи в производство всех чертежей, т.е. к октябрю с/г.</w:t>
            </w:r>
          </w:p>
        </w:tc>
      </w:tr>
      <w:tr w:rsidR="00F26F01" w:rsidRPr="00C33834" w14:paraId="0F7179B0" w14:textId="77777777">
        <w:tc>
          <w:tcPr>
            <w:tcW w:w="3369" w:type="dxa"/>
          </w:tcPr>
          <w:p w14:paraId="5063E8A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 4-мя......</w:t>
            </w:r>
          </w:p>
        </w:tc>
        <w:tc>
          <w:tcPr>
            <w:tcW w:w="7512" w:type="dxa"/>
          </w:tcPr>
          <w:p w14:paraId="23E125B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E738E2E" w14:textId="77777777">
        <w:tc>
          <w:tcPr>
            <w:tcW w:w="3369" w:type="dxa"/>
          </w:tcPr>
          <w:p w14:paraId="0F5606F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 сбрасываем. грузом -</w:t>
            </w:r>
          </w:p>
        </w:tc>
        <w:tc>
          <w:tcPr>
            <w:tcW w:w="7512" w:type="dxa"/>
          </w:tcPr>
          <w:p w14:paraId="7256FEA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D3173B3" w14:textId="77777777">
        <w:tc>
          <w:tcPr>
            <w:tcW w:w="3369" w:type="dxa"/>
          </w:tcPr>
          <w:p w14:paraId="022241F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2500 кг.</w:t>
            </w:r>
          </w:p>
        </w:tc>
        <w:tc>
          <w:tcPr>
            <w:tcW w:w="7512" w:type="dxa"/>
          </w:tcPr>
          <w:p w14:paraId="774996F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D71F32C" w14:textId="77777777">
        <w:tc>
          <w:tcPr>
            <w:tcW w:w="3369" w:type="dxa"/>
          </w:tcPr>
          <w:p w14:paraId="4D306F1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полета 1500 км.</w:t>
            </w:r>
          </w:p>
        </w:tc>
        <w:tc>
          <w:tcPr>
            <w:tcW w:w="7512" w:type="dxa"/>
          </w:tcPr>
          <w:p w14:paraId="5621E59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DA18783" w14:textId="77777777">
        <w:tc>
          <w:tcPr>
            <w:tcW w:w="3369" w:type="dxa"/>
          </w:tcPr>
          <w:p w14:paraId="478AE1F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перегрузкой - 2500 км.</w:t>
            </w:r>
          </w:p>
        </w:tc>
        <w:tc>
          <w:tcPr>
            <w:tcW w:w="7512" w:type="dxa"/>
          </w:tcPr>
          <w:p w14:paraId="360B615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E3E5FD9" w14:textId="77777777">
        <w:tc>
          <w:tcPr>
            <w:tcW w:w="3369" w:type="dxa"/>
          </w:tcPr>
          <w:p w14:paraId="68D8AF0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на 300 - 215 км/час.</w:t>
            </w:r>
          </w:p>
        </w:tc>
        <w:tc>
          <w:tcPr>
            <w:tcW w:w="7512" w:type="dxa"/>
          </w:tcPr>
          <w:p w14:paraId="5BBFF59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C728F60" w14:textId="77777777">
        <w:tc>
          <w:tcPr>
            <w:tcW w:w="3369" w:type="dxa"/>
          </w:tcPr>
          <w:p w14:paraId="69F0038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 1/V-34 г.</w:t>
            </w:r>
          </w:p>
        </w:tc>
        <w:tc>
          <w:tcPr>
            <w:tcW w:w="7512" w:type="dxa"/>
          </w:tcPr>
          <w:p w14:paraId="37C49AC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4412A53" w14:textId="77777777">
        <w:tc>
          <w:tcPr>
            <w:tcW w:w="3369" w:type="dxa"/>
          </w:tcPr>
          <w:p w14:paraId="21F3098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Л.Р. - М34Н</w:t>
            </w:r>
          </w:p>
        </w:tc>
        <w:tc>
          <w:tcPr>
            <w:tcW w:w="7512" w:type="dxa"/>
          </w:tcPr>
          <w:p w14:paraId="03C0531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Самолет развернут постройкой в полном объеме. Техническая готовность по 2-м машинам</w:t>
            </w:r>
          </w:p>
        </w:tc>
      </w:tr>
      <w:tr w:rsidR="00F26F01" w:rsidRPr="00C33834" w14:paraId="0C323B24" w14:textId="77777777">
        <w:tc>
          <w:tcPr>
            <w:tcW w:w="3369" w:type="dxa"/>
          </w:tcPr>
          <w:p w14:paraId="53015AC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разведчик.</w:t>
            </w:r>
          </w:p>
        </w:tc>
        <w:tc>
          <w:tcPr>
            <w:tcW w:w="7512" w:type="dxa"/>
          </w:tcPr>
          <w:p w14:paraId="7603D5E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выражается около 50%. В настоящее время производится сборка крыльев и монтаж управления.</w:t>
            </w:r>
          </w:p>
        </w:tc>
      </w:tr>
      <w:tr w:rsidR="00F26F01" w:rsidRPr="00C33834" w14:paraId="2ECB61C6" w14:textId="77777777">
        <w:tc>
          <w:tcPr>
            <w:tcW w:w="3369" w:type="dxa"/>
          </w:tcPr>
          <w:p w14:paraId="7E13925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хромомолибденовых </w:t>
            </w:r>
          </w:p>
        </w:tc>
        <w:tc>
          <w:tcPr>
            <w:tcW w:w="7512" w:type="dxa"/>
          </w:tcPr>
          <w:p w14:paraId="4FE211A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Фюзеляж выполнен на 33%, крылья на 93%, оперение на 97%, мотоустановки на 50%, управление</w:t>
            </w:r>
          </w:p>
        </w:tc>
      </w:tr>
      <w:tr w:rsidR="00F26F01" w:rsidRPr="00C33834" w14:paraId="5D9EFE66" w14:textId="77777777">
        <w:tc>
          <w:tcPr>
            <w:tcW w:w="3369" w:type="dxa"/>
          </w:tcPr>
          <w:p w14:paraId="4B72AE5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труб..... полутороплан.</w:t>
            </w:r>
          </w:p>
        </w:tc>
        <w:tc>
          <w:tcPr>
            <w:tcW w:w="7512" w:type="dxa"/>
          </w:tcPr>
          <w:p w14:paraId="0996148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68%, шасси около 50%, спецоборудование на 100%, стрелковое вооружение около 50%,</w:t>
            </w:r>
          </w:p>
        </w:tc>
      </w:tr>
      <w:tr w:rsidR="00F26F01" w:rsidRPr="00C33834" w14:paraId="2F7B97ED" w14:textId="77777777">
        <w:tc>
          <w:tcPr>
            <w:tcW w:w="3369" w:type="dxa"/>
          </w:tcPr>
          <w:p w14:paraId="37926A1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 легкими и тяжел.</w:t>
            </w:r>
          </w:p>
        </w:tc>
        <w:tc>
          <w:tcPr>
            <w:tcW w:w="7512" w:type="dxa"/>
          </w:tcPr>
          <w:p w14:paraId="06FCE8C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бомбардировочное около 32%.</w:t>
            </w:r>
          </w:p>
        </w:tc>
      </w:tr>
      <w:tr w:rsidR="00F26F01" w:rsidRPr="00C33834" w14:paraId="4BF96B83" w14:textId="77777777">
        <w:tc>
          <w:tcPr>
            <w:tcW w:w="3369" w:type="dxa"/>
          </w:tcPr>
          <w:p w14:paraId="3380335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полета 800 км.</w:t>
            </w:r>
          </w:p>
        </w:tc>
        <w:tc>
          <w:tcPr>
            <w:tcW w:w="7512" w:type="dxa"/>
          </w:tcPr>
          <w:p w14:paraId="583D8A8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Выпуск на аэродром предполагается к 15/VIII. Если не окажется крупных неполадок в начале</w:t>
            </w:r>
          </w:p>
        </w:tc>
      </w:tr>
      <w:tr w:rsidR="00F26F01" w:rsidRPr="00C33834" w14:paraId="220B5136" w14:textId="77777777">
        <w:tc>
          <w:tcPr>
            <w:tcW w:w="3369" w:type="dxa"/>
          </w:tcPr>
          <w:p w14:paraId="3A9E591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перегрузкой - 1400 км.</w:t>
            </w:r>
          </w:p>
        </w:tc>
        <w:tc>
          <w:tcPr>
            <w:tcW w:w="7512" w:type="dxa"/>
          </w:tcPr>
          <w:p w14:paraId="67CC41F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сентября машина может быть сдана на гос. испытания.</w:t>
            </w:r>
          </w:p>
        </w:tc>
      </w:tr>
      <w:tr w:rsidR="00F26F01" w:rsidRPr="00C33834" w14:paraId="39F1C086" w14:textId="77777777">
        <w:tc>
          <w:tcPr>
            <w:tcW w:w="3369" w:type="dxa"/>
          </w:tcPr>
          <w:p w14:paraId="27374C1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Сбрасыв. груз - 500 кг.</w:t>
            </w:r>
          </w:p>
        </w:tc>
        <w:tc>
          <w:tcPr>
            <w:tcW w:w="7512" w:type="dxa"/>
          </w:tcPr>
          <w:p w14:paraId="0F6F3FD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3A44B3D" w14:textId="77777777">
        <w:tc>
          <w:tcPr>
            <w:tcW w:w="3369" w:type="dxa"/>
          </w:tcPr>
          <w:p w14:paraId="0A73BA3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на 5000 - 310 км/час.</w:t>
            </w:r>
          </w:p>
        </w:tc>
        <w:tc>
          <w:tcPr>
            <w:tcW w:w="7512" w:type="dxa"/>
          </w:tcPr>
          <w:p w14:paraId="14BB61D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054F78B" w14:textId="77777777">
        <w:tc>
          <w:tcPr>
            <w:tcW w:w="3369" w:type="dxa"/>
          </w:tcPr>
          <w:p w14:paraId="00E76BD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на 5000 м.</w:t>
            </w:r>
          </w:p>
        </w:tc>
        <w:tc>
          <w:tcPr>
            <w:tcW w:w="7512" w:type="dxa"/>
          </w:tcPr>
          <w:p w14:paraId="492089D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3FA1E31" w14:textId="77777777">
        <w:tc>
          <w:tcPr>
            <w:tcW w:w="3369" w:type="dxa"/>
          </w:tcPr>
          <w:p w14:paraId="56A946C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- 13 мин.</w:t>
            </w:r>
          </w:p>
        </w:tc>
        <w:tc>
          <w:tcPr>
            <w:tcW w:w="7512" w:type="dxa"/>
          </w:tcPr>
          <w:p w14:paraId="370DB58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9174CB0" w14:textId="77777777">
        <w:tc>
          <w:tcPr>
            <w:tcW w:w="3369" w:type="dxa"/>
          </w:tcPr>
          <w:p w14:paraId="4D64F3F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Срок предъявления - без</w:t>
            </w:r>
          </w:p>
        </w:tc>
        <w:tc>
          <w:tcPr>
            <w:tcW w:w="7512" w:type="dxa"/>
          </w:tcPr>
          <w:p w14:paraId="34F07DC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8A2E05E" w14:textId="77777777">
        <w:tc>
          <w:tcPr>
            <w:tcW w:w="3369" w:type="dxa"/>
          </w:tcPr>
          <w:p w14:paraId="5DE5B14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редуктора - 1/IX-33 г.</w:t>
            </w:r>
          </w:p>
        </w:tc>
        <w:tc>
          <w:tcPr>
            <w:tcW w:w="7512" w:type="dxa"/>
          </w:tcPr>
          <w:p w14:paraId="4FCF23F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DD9BACD" w14:textId="77777777">
        <w:tc>
          <w:tcPr>
            <w:tcW w:w="3369" w:type="dxa"/>
          </w:tcPr>
          <w:p w14:paraId="7B864DB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ТШ3-М34</w:t>
            </w:r>
          </w:p>
        </w:tc>
        <w:tc>
          <w:tcPr>
            <w:tcW w:w="7512" w:type="dxa"/>
          </w:tcPr>
          <w:p w14:paraId="6A61327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Макет самолета утвержден. Ведется проектирование и разработка конструкции. Техническая</w:t>
            </w:r>
          </w:p>
        </w:tc>
      </w:tr>
      <w:tr w:rsidR="00F26F01" w:rsidRPr="00C33834" w14:paraId="7A6BF708" w14:textId="77777777">
        <w:tc>
          <w:tcPr>
            <w:tcW w:w="3369" w:type="dxa"/>
          </w:tcPr>
          <w:p w14:paraId="14E00D7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штурмовик.</w:t>
            </w:r>
          </w:p>
        </w:tc>
        <w:tc>
          <w:tcPr>
            <w:tcW w:w="7512" w:type="dxa"/>
          </w:tcPr>
          <w:p w14:paraId="72712A2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готовность проектирования выполнена на 70%. По состоянию работ и при создании нужных</w:t>
            </w:r>
          </w:p>
        </w:tc>
      </w:tr>
      <w:tr w:rsidR="00F26F01" w:rsidRPr="00C33834" w14:paraId="08157C7A" w14:textId="77777777">
        <w:tc>
          <w:tcPr>
            <w:tcW w:w="3369" w:type="dxa"/>
          </w:tcPr>
          <w:p w14:paraId="1AF0E35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Бронированный моноплан</w:t>
            </w:r>
          </w:p>
        </w:tc>
        <w:tc>
          <w:tcPr>
            <w:tcW w:w="7512" w:type="dxa"/>
          </w:tcPr>
          <w:p w14:paraId="264D8C8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темпов плановый срок может быть выдержан.</w:t>
            </w:r>
          </w:p>
        </w:tc>
      </w:tr>
      <w:tr w:rsidR="00F26F01" w:rsidRPr="00C33834" w14:paraId="7D6829C4" w14:textId="77777777">
        <w:tc>
          <w:tcPr>
            <w:tcW w:w="3369" w:type="dxa"/>
          </w:tcPr>
          <w:p w14:paraId="3B550ED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низко.... крылом,</w:t>
            </w:r>
          </w:p>
        </w:tc>
        <w:tc>
          <w:tcPr>
            <w:tcW w:w="7512" w:type="dxa"/>
          </w:tcPr>
          <w:p w14:paraId="492722A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B084DCF" w14:textId="77777777">
        <w:tc>
          <w:tcPr>
            <w:tcW w:w="3369" w:type="dxa"/>
          </w:tcPr>
          <w:p w14:paraId="201735A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вооруженный батареей</w:t>
            </w:r>
          </w:p>
        </w:tc>
        <w:tc>
          <w:tcPr>
            <w:tcW w:w="7512" w:type="dxa"/>
          </w:tcPr>
          <w:p w14:paraId="3571D51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665BB53" w14:textId="77777777">
        <w:tc>
          <w:tcPr>
            <w:tcW w:w="3369" w:type="dxa"/>
          </w:tcPr>
          <w:p w14:paraId="389DED7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пулеметов.... шт. со</w:t>
            </w:r>
          </w:p>
        </w:tc>
        <w:tc>
          <w:tcPr>
            <w:tcW w:w="7512" w:type="dxa"/>
          </w:tcPr>
          <w:p w14:paraId="1DABE46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BCFE4DF" w14:textId="77777777">
        <w:tc>
          <w:tcPr>
            <w:tcW w:w="3369" w:type="dxa"/>
          </w:tcPr>
          <w:p w14:paraId="67D047A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скоростью у земли в</w:t>
            </w:r>
          </w:p>
        </w:tc>
        <w:tc>
          <w:tcPr>
            <w:tcW w:w="7512" w:type="dxa"/>
          </w:tcPr>
          <w:p w14:paraId="3C5AA09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BEA79E5" w14:textId="77777777">
        <w:tc>
          <w:tcPr>
            <w:tcW w:w="3369" w:type="dxa"/>
          </w:tcPr>
          <w:p w14:paraId="718C304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 км/час, скорость</w:t>
            </w:r>
          </w:p>
        </w:tc>
        <w:tc>
          <w:tcPr>
            <w:tcW w:w="7512" w:type="dxa"/>
          </w:tcPr>
          <w:p w14:paraId="2A25EC6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4CF2CBF" w14:textId="77777777">
        <w:tc>
          <w:tcPr>
            <w:tcW w:w="3369" w:type="dxa"/>
          </w:tcPr>
          <w:p w14:paraId="3D52F73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подъема на 3000 - 11 мин.</w:t>
            </w:r>
          </w:p>
        </w:tc>
        <w:tc>
          <w:tcPr>
            <w:tcW w:w="7512" w:type="dxa"/>
          </w:tcPr>
          <w:p w14:paraId="32E20B1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A920C66" w14:textId="77777777">
        <w:tc>
          <w:tcPr>
            <w:tcW w:w="3369" w:type="dxa"/>
          </w:tcPr>
          <w:p w14:paraId="3AF45D4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Дальностью - 800 км. Срок</w:t>
            </w:r>
          </w:p>
        </w:tc>
        <w:tc>
          <w:tcPr>
            <w:tcW w:w="7512" w:type="dxa"/>
          </w:tcPr>
          <w:p w14:paraId="4BAA2D2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F5B71A3" w14:textId="77777777">
        <w:tc>
          <w:tcPr>
            <w:tcW w:w="3369" w:type="dxa"/>
          </w:tcPr>
          <w:p w14:paraId="2FF294D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предъявления -.... 34 г.</w:t>
            </w:r>
          </w:p>
        </w:tc>
        <w:tc>
          <w:tcPr>
            <w:tcW w:w="7512" w:type="dxa"/>
          </w:tcPr>
          <w:p w14:paraId="084522F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7BC2E99" w14:textId="77777777">
        <w:tc>
          <w:tcPr>
            <w:tcW w:w="3369" w:type="dxa"/>
          </w:tcPr>
          <w:p w14:paraId="5223697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 Бростоль-Мерк.</w:t>
            </w:r>
          </w:p>
        </w:tc>
        <w:tc>
          <w:tcPr>
            <w:tcW w:w="7512" w:type="dxa"/>
          </w:tcPr>
          <w:p w14:paraId="339289C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Самолет перевезен на аэродром 26/V-с.г. При пробе мотора обнаружился перегрев мотора и</w:t>
            </w:r>
          </w:p>
        </w:tc>
      </w:tr>
      <w:tr w:rsidR="00F26F01" w:rsidRPr="00C33834" w14:paraId="6B8DCD35" w14:textId="77777777">
        <w:tc>
          <w:tcPr>
            <w:tcW w:w="3369" w:type="dxa"/>
          </w:tcPr>
          <w:p w14:paraId="295469D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Одноместный истребитель,</w:t>
            </w:r>
          </w:p>
        </w:tc>
        <w:tc>
          <w:tcPr>
            <w:tcW w:w="7512" w:type="dxa"/>
          </w:tcPr>
          <w:p w14:paraId="266E2BA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детонации. 27/V после изменения состава горючего самолет опробовали в воздухе, при чем </w:t>
            </w:r>
          </w:p>
        </w:tc>
      </w:tr>
      <w:tr w:rsidR="00F26F01" w:rsidRPr="00C33834" w14:paraId="07D80B48" w14:textId="77777777">
        <w:tc>
          <w:tcPr>
            <w:tcW w:w="3369" w:type="dxa"/>
          </w:tcPr>
          <w:p w14:paraId="3A0649C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дюралевой конструкции с</w:t>
            </w:r>
          </w:p>
        </w:tc>
        <w:tc>
          <w:tcPr>
            <w:tcW w:w="7512" w:type="dxa"/>
          </w:tcPr>
          <w:p w14:paraId="1E4994A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обнаружились мелкие дефекты в амортизации. Летные качества машины хорошие. В настоящее</w:t>
            </w:r>
          </w:p>
        </w:tc>
      </w:tr>
      <w:tr w:rsidR="00F26F01" w:rsidRPr="00C33834" w14:paraId="1477537C" w14:textId="77777777">
        <w:tc>
          <w:tcPr>
            <w:tcW w:w="3369" w:type="dxa"/>
          </w:tcPr>
          <w:p w14:paraId="0635896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убирающимся в полете </w:t>
            </w:r>
          </w:p>
        </w:tc>
        <w:tc>
          <w:tcPr>
            <w:tcW w:w="7512" w:type="dxa"/>
          </w:tcPr>
          <w:p w14:paraId="4EE3CE8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машина проходит программные испытания и производится улучшенная конструкция</w:t>
            </w:r>
          </w:p>
        </w:tc>
      </w:tr>
      <w:tr w:rsidR="00F26F01" w:rsidRPr="00C33834" w14:paraId="506BBD13" w14:textId="77777777">
        <w:tc>
          <w:tcPr>
            <w:tcW w:w="3369" w:type="dxa"/>
          </w:tcPr>
          <w:p w14:paraId="40CA7D3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 вооруженный 2-мя</w:t>
            </w:r>
          </w:p>
        </w:tc>
        <w:tc>
          <w:tcPr>
            <w:tcW w:w="7512" w:type="dxa"/>
          </w:tcPr>
          <w:p w14:paraId="333341B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механизма подъема шасси и ужесченная обшивка крыльев. передача на гос. испытания может </w:t>
            </w:r>
          </w:p>
        </w:tc>
      </w:tr>
      <w:tr w:rsidR="00F26F01" w:rsidRPr="00C33834" w14:paraId="16D96FF1" w14:textId="77777777">
        <w:tc>
          <w:tcPr>
            <w:tcW w:w="3369" w:type="dxa"/>
          </w:tcPr>
          <w:p w14:paraId="50416E5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пушками, со скоростью </w:t>
            </w:r>
          </w:p>
        </w:tc>
        <w:tc>
          <w:tcPr>
            <w:tcW w:w="7512" w:type="dxa"/>
          </w:tcPr>
          <w:p w14:paraId="7932399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задержаться из-за отсутствия пушек.</w:t>
            </w:r>
          </w:p>
        </w:tc>
      </w:tr>
      <w:tr w:rsidR="00F26F01" w:rsidRPr="00C33834" w14:paraId="53B8A697" w14:textId="77777777">
        <w:tc>
          <w:tcPr>
            <w:tcW w:w="3369" w:type="dxa"/>
          </w:tcPr>
          <w:p w14:paraId="2EA828A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5000 м - 400 км/час,</w:t>
            </w:r>
          </w:p>
        </w:tc>
        <w:tc>
          <w:tcPr>
            <w:tcW w:w="7512" w:type="dxa"/>
          </w:tcPr>
          <w:p w14:paraId="042D2A3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600A7C2" w14:textId="77777777">
        <w:tc>
          <w:tcPr>
            <w:tcW w:w="3369" w:type="dxa"/>
          </w:tcPr>
          <w:p w14:paraId="6DDBD44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Скороподъемность на </w:t>
            </w:r>
          </w:p>
        </w:tc>
        <w:tc>
          <w:tcPr>
            <w:tcW w:w="7512" w:type="dxa"/>
          </w:tcPr>
          <w:p w14:paraId="256CB24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D6A4C91" w14:textId="77777777">
        <w:tc>
          <w:tcPr>
            <w:tcW w:w="3369" w:type="dxa"/>
          </w:tcPr>
          <w:p w14:paraId="7230A66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 м..... мин.,</w:t>
            </w:r>
          </w:p>
        </w:tc>
        <w:tc>
          <w:tcPr>
            <w:tcW w:w="7512" w:type="dxa"/>
          </w:tcPr>
          <w:p w14:paraId="4F6B961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9221F23" w14:textId="77777777">
        <w:tc>
          <w:tcPr>
            <w:tcW w:w="3369" w:type="dxa"/>
          </w:tcPr>
          <w:p w14:paraId="220850D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дальностью 5000 км.</w:t>
            </w:r>
          </w:p>
        </w:tc>
        <w:tc>
          <w:tcPr>
            <w:tcW w:w="7512" w:type="dxa"/>
          </w:tcPr>
          <w:p w14:paraId="3410F20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1B6229F" w14:textId="77777777">
        <w:tc>
          <w:tcPr>
            <w:tcW w:w="3369" w:type="dxa"/>
          </w:tcPr>
          <w:p w14:paraId="7D11295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w:t>
            </w:r>
          </w:p>
        </w:tc>
        <w:tc>
          <w:tcPr>
            <w:tcW w:w="7512" w:type="dxa"/>
          </w:tcPr>
          <w:p w14:paraId="166C3EE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28AE427" w14:textId="77777777">
        <w:tc>
          <w:tcPr>
            <w:tcW w:w="3369" w:type="dxa"/>
          </w:tcPr>
          <w:p w14:paraId="535B0D8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15/VII-33.</w:t>
            </w:r>
          </w:p>
        </w:tc>
        <w:tc>
          <w:tcPr>
            <w:tcW w:w="7512" w:type="dxa"/>
          </w:tcPr>
          <w:p w14:paraId="6722866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E71BC2E" w14:textId="77777777">
        <w:tc>
          <w:tcPr>
            <w:tcW w:w="3369" w:type="dxa"/>
          </w:tcPr>
          <w:p w14:paraId="155F71A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 Райт-Циклон</w:t>
            </w:r>
          </w:p>
        </w:tc>
        <w:tc>
          <w:tcPr>
            <w:tcW w:w="7512" w:type="dxa"/>
          </w:tcPr>
          <w:p w14:paraId="0996EF9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Самолет находится в процессе разработки и улучшения конструкции. Проектирование</w:t>
            </w:r>
          </w:p>
        </w:tc>
      </w:tr>
      <w:tr w:rsidR="00F26F01" w:rsidRPr="00C33834" w14:paraId="77E96660" w14:textId="77777777">
        <w:tc>
          <w:tcPr>
            <w:tcW w:w="3369" w:type="dxa"/>
          </w:tcPr>
          <w:p w14:paraId="6C4D327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Этот же самолет, но с</w:t>
            </w:r>
          </w:p>
        </w:tc>
        <w:tc>
          <w:tcPr>
            <w:tcW w:w="7512" w:type="dxa"/>
          </w:tcPr>
          <w:p w14:paraId="6896AFF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выполнено около 35%. При наличии мотора срок должен быть выдержан.</w:t>
            </w:r>
          </w:p>
        </w:tc>
      </w:tr>
      <w:tr w:rsidR="00F26F01" w:rsidRPr="00C33834" w14:paraId="6D7FA29D" w14:textId="77777777">
        <w:tc>
          <w:tcPr>
            <w:tcW w:w="3369" w:type="dxa"/>
          </w:tcPr>
          <w:p w14:paraId="5009744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другим мотором, имеющим</w:t>
            </w:r>
          </w:p>
        </w:tc>
        <w:tc>
          <w:tcPr>
            <w:tcW w:w="7512" w:type="dxa"/>
          </w:tcPr>
          <w:p w14:paraId="15BF788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B2E201C" w14:textId="77777777">
        <w:tc>
          <w:tcPr>
            <w:tcW w:w="3369" w:type="dxa"/>
          </w:tcPr>
          <w:p w14:paraId="548E5D7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 нас перспективу.</w:t>
            </w:r>
          </w:p>
        </w:tc>
        <w:tc>
          <w:tcPr>
            <w:tcW w:w="7512" w:type="dxa"/>
          </w:tcPr>
          <w:p w14:paraId="74A5795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BB28C87" w14:textId="77777777">
        <w:tc>
          <w:tcPr>
            <w:tcW w:w="3369" w:type="dxa"/>
          </w:tcPr>
          <w:p w14:paraId="0392898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w:t>
            </w:r>
          </w:p>
        </w:tc>
        <w:tc>
          <w:tcPr>
            <w:tcW w:w="7512" w:type="dxa"/>
          </w:tcPr>
          <w:p w14:paraId="27B37C4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7C12EE4" w14:textId="77777777">
        <w:tc>
          <w:tcPr>
            <w:tcW w:w="3369" w:type="dxa"/>
          </w:tcPr>
          <w:p w14:paraId="7BC5D26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1/II-34 г.</w:t>
            </w:r>
          </w:p>
        </w:tc>
        <w:tc>
          <w:tcPr>
            <w:tcW w:w="7512" w:type="dxa"/>
          </w:tcPr>
          <w:p w14:paraId="6F24F46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31F2946" w14:textId="77777777">
        <w:tc>
          <w:tcPr>
            <w:tcW w:w="3369" w:type="dxa"/>
          </w:tcPr>
          <w:p w14:paraId="4930DD6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И-15 - Райт-Циклон</w:t>
            </w:r>
          </w:p>
        </w:tc>
        <w:tc>
          <w:tcPr>
            <w:tcW w:w="7512" w:type="dxa"/>
          </w:tcPr>
          <w:p w14:paraId="72ABC7D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Макет самолета утвержден. Проектирование закончено на 98%. Чертежи переданы на</w:t>
            </w:r>
          </w:p>
        </w:tc>
      </w:tr>
      <w:tr w:rsidR="00F26F01" w:rsidRPr="00C33834" w14:paraId="504F490D" w14:textId="77777777">
        <w:tc>
          <w:tcPr>
            <w:tcW w:w="3369" w:type="dxa"/>
          </w:tcPr>
          <w:p w14:paraId="1D7F411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Одноместный истребитель</w:t>
            </w:r>
          </w:p>
        </w:tc>
        <w:tc>
          <w:tcPr>
            <w:tcW w:w="7512" w:type="dxa"/>
          </w:tcPr>
          <w:p w14:paraId="35EFEC7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Ведутся статиспытания. Техническая готовность в производстве - 3%. По</w:t>
            </w:r>
          </w:p>
        </w:tc>
      </w:tr>
      <w:tr w:rsidR="00F26F01" w:rsidRPr="00C33834" w14:paraId="31E026E6" w14:textId="77777777">
        <w:tc>
          <w:tcPr>
            <w:tcW w:w="3369" w:type="dxa"/>
          </w:tcPr>
          <w:p w14:paraId="0CB25DE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теми же данными, что</w:t>
            </w:r>
          </w:p>
        </w:tc>
        <w:tc>
          <w:tcPr>
            <w:tcW w:w="7512" w:type="dxa"/>
          </w:tcPr>
          <w:p w14:paraId="31CA1DA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фюзеляжу - 14%, по крыльям около 10%, шасси около 5%. Мотор есть. Срок должен быть</w:t>
            </w:r>
          </w:p>
        </w:tc>
      </w:tr>
      <w:tr w:rsidR="00F26F01" w:rsidRPr="00C33834" w14:paraId="3C2056E1" w14:textId="77777777">
        <w:tc>
          <w:tcPr>
            <w:tcW w:w="3369" w:type="dxa"/>
          </w:tcPr>
          <w:p w14:paraId="7F4104D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И-14, но вооруженный</w:t>
            </w:r>
          </w:p>
        </w:tc>
        <w:tc>
          <w:tcPr>
            <w:tcW w:w="7512" w:type="dxa"/>
          </w:tcPr>
          <w:p w14:paraId="7C64A52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выдержан.</w:t>
            </w:r>
          </w:p>
        </w:tc>
      </w:tr>
      <w:tr w:rsidR="00F26F01" w:rsidRPr="00C33834" w14:paraId="4C381685" w14:textId="77777777">
        <w:tc>
          <w:tcPr>
            <w:tcW w:w="3369" w:type="dxa"/>
          </w:tcPr>
          <w:p w14:paraId="3FB1D8D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4-мя пулеметами</w:t>
            </w:r>
          </w:p>
        </w:tc>
        <w:tc>
          <w:tcPr>
            <w:tcW w:w="7512" w:type="dxa"/>
          </w:tcPr>
          <w:p w14:paraId="24D9A26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58A396C" w14:textId="77777777">
        <w:tc>
          <w:tcPr>
            <w:tcW w:w="3369" w:type="dxa"/>
          </w:tcPr>
          <w:p w14:paraId="1EC4C2A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смешанной конструкции</w:t>
            </w:r>
          </w:p>
        </w:tc>
        <w:tc>
          <w:tcPr>
            <w:tcW w:w="7512" w:type="dxa"/>
          </w:tcPr>
          <w:p w14:paraId="7D6BA44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4035337" w14:textId="77777777">
        <w:tc>
          <w:tcPr>
            <w:tcW w:w="3369" w:type="dxa"/>
          </w:tcPr>
          <w:p w14:paraId="42C9A10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хромомолибденовых</w:t>
            </w:r>
          </w:p>
        </w:tc>
        <w:tc>
          <w:tcPr>
            <w:tcW w:w="7512" w:type="dxa"/>
          </w:tcPr>
          <w:p w14:paraId="4C3262C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2A378E6" w14:textId="77777777">
        <w:tc>
          <w:tcPr>
            <w:tcW w:w="3369" w:type="dxa"/>
          </w:tcPr>
          <w:p w14:paraId="4E9C3B4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труб и дерева. Срок</w:t>
            </w:r>
          </w:p>
        </w:tc>
        <w:tc>
          <w:tcPr>
            <w:tcW w:w="7512" w:type="dxa"/>
          </w:tcPr>
          <w:p w14:paraId="5A9BB60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C1A0CD2" w14:textId="77777777">
        <w:tc>
          <w:tcPr>
            <w:tcW w:w="3369" w:type="dxa"/>
          </w:tcPr>
          <w:p w14:paraId="7461CC2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предъявления 1/XII-33г.</w:t>
            </w:r>
          </w:p>
        </w:tc>
        <w:tc>
          <w:tcPr>
            <w:tcW w:w="7512" w:type="dxa"/>
          </w:tcPr>
          <w:p w14:paraId="66E28BC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F4345FE" w14:textId="77777777">
        <w:tc>
          <w:tcPr>
            <w:tcW w:w="3369" w:type="dxa"/>
          </w:tcPr>
          <w:p w14:paraId="2E6A837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И-15 М58</w:t>
            </w:r>
          </w:p>
        </w:tc>
        <w:tc>
          <w:tcPr>
            <w:tcW w:w="7512" w:type="dxa"/>
          </w:tcPr>
          <w:p w14:paraId="4743633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Произведены предварительные расчеты и увязка по установке мотора М-58.</w:t>
            </w:r>
          </w:p>
        </w:tc>
      </w:tr>
      <w:tr w:rsidR="00F26F01" w:rsidRPr="00C33834" w14:paraId="7E258FA8" w14:textId="77777777">
        <w:tc>
          <w:tcPr>
            <w:tcW w:w="3369" w:type="dxa"/>
          </w:tcPr>
          <w:p w14:paraId="52E126D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Этот же истребитель, но</w:t>
            </w:r>
          </w:p>
        </w:tc>
        <w:tc>
          <w:tcPr>
            <w:tcW w:w="7512" w:type="dxa"/>
          </w:tcPr>
          <w:p w14:paraId="229D0DC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AB01376" w14:textId="77777777">
        <w:tc>
          <w:tcPr>
            <w:tcW w:w="3369" w:type="dxa"/>
          </w:tcPr>
          <w:p w14:paraId="02052B7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советским мотором.</w:t>
            </w:r>
          </w:p>
        </w:tc>
        <w:tc>
          <w:tcPr>
            <w:tcW w:w="7512" w:type="dxa"/>
          </w:tcPr>
          <w:p w14:paraId="1B619C2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58BE452" w14:textId="77777777">
        <w:tc>
          <w:tcPr>
            <w:tcW w:w="3369" w:type="dxa"/>
          </w:tcPr>
          <w:p w14:paraId="1FE73C1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Данные те же. Срок</w:t>
            </w:r>
          </w:p>
        </w:tc>
        <w:tc>
          <w:tcPr>
            <w:tcW w:w="7512" w:type="dxa"/>
          </w:tcPr>
          <w:p w14:paraId="04F8BD8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373392E" w14:textId="77777777">
        <w:tc>
          <w:tcPr>
            <w:tcW w:w="3369" w:type="dxa"/>
          </w:tcPr>
          <w:p w14:paraId="72C2F66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предъявления через 6</w:t>
            </w:r>
          </w:p>
        </w:tc>
        <w:tc>
          <w:tcPr>
            <w:tcW w:w="7512" w:type="dxa"/>
          </w:tcPr>
          <w:p w14:paraId="3C74AF3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A57E2F4" w14:textId="77777777">
        <w:tc>
          <w:tcPr>
            <w:tcW w:w="3369" w:type="dxa"/>
          </w:tcPr>
          <w:p w14:paraId="5665963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месяцев после получения</w:t>
            </w:r>
          </w:p>
        </w:tc>
        <w:tc>
          <w:tcPr>
            <w:tcW w:w="7512" w:type="dxa"/>
          </w:tcPr>
          <w:p w14:paraId="12419E0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1EF5C18" w14:textId="77777777">
        <w:tc>
          <w:tcPr>
            <w:tcW w:w="3369" w:type="dxa"/>
          </w:tcPr>
          <w:p w14:paraId="18AAB33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мотора.</w:t>
            </w:r>
          </w:p>
        </w:tc>
        <w:tc>
          <w:tcPr>
            <w:tcW w:w="7512" w:type="dxa"/>
          </w:tcPr>
          <w:p w14:paraId="67AAE3B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300DBDD" w14:textId="77777777">
        <w:tc>
          <w:tcPr>
            <w:tcW w:w="3369" w:type="dxa"/>
          </w:tcPr>
          <w:p w14:paraId="76ACD26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МБР4 - М34</w:t>
            </w:r>
          </w:p>
        </w:tc>
        <w:tc>
          <w:tcPr>
            <w:tcW w:w="7512" w:type="dxa"/>
          </w:tcPr>
          <w:p w14:paraId="5F113A9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Задержкой послужила поздняя подача мотора. Пробные полеты показали непригодность</w:t>
            </w:r>
          </w:p>
        </w:tc>
      </w:tr>
      <w:tr w:rsidR="00F26F01" w:rsidRPr="00C33834" w14:paraId="7252AC8C" w14:textId="77777777">
        <w:tc>
          <w:tcPr>
            <w:tcW w:w="3369" w:type="dxa"/>
          </w:tcPr>
          <w:p w14:paraId="42FF8B8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Морск. ближн. разведчик.</w:t>
            </w:r>
          </w:p>
        </w:tc>
        <w:tc>
          <w:tcPr>
            <w:tcW w:w="7512" w:type="dxa"/>
          </w:tcPr>
          <w:p w14:paraId="609940A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масляного моторного оборудования. Повторные полеты с новыми измененными радиаторами</w:t>
            </w:r>
          </w:p>
        </w:tc>
      </w:tr>
      <w:tr w:rsidR="00F26F01" w:rsidRPr="00C33834" w14:paraId="327BD8FB" w14:textId="77777777">
        <w:tc>
          <w:tcPr>
            <w:tcW w:w="3369" w:type="dxa"/>
          </w:tcPr>
          <w:p w14:paraId="68B25B3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Модификация С62бис под </w:t>
            </w:r>
          </w:p>
        </w:tc>
        <w:tc>
          <w:tcPr>
            <w:tcW w:w="7512" w:type="dxa"/>
          </w:tcPr>
          <w:p w14:paraId="1D6122A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дают повышенную температуру масла. Ведется доводка.</w:t>
            </w:r>
          </w:p>
        </w:tc>
      </w:tr>
      <w:tr w:rsidR="00F26F01" w:rsidRPr="00C33834" w14:paraId="28EB8CFE" w14:textId="77777777">
        <w:tc>
          <w:tcPr>
            <w:tcW w:w="3369" w:type="dxa"/>
          </w:tcPr>
          <w:p w14:paraId="543FED6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Срок предъявления</w:t>
            </w:r>
          </w:p>
        </w:tc>
        <w:tc>
          <w:tcPr>
            <w:tcW w:w="7512" w:type="dxa"/>
          </w:tcPr>
          <w:p w14:paraId="33824DB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35EE5B2" w14:textId="77777777">
        <w:tc>
          <w:tcPr>
            <w:tcW w:w="3369" w:type="dxa"/>
          </w:tcPr>
          <w:p w14:paraId="6F8CB24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1/VIII-33 г.</w:t>
            </w:r>
          </w:p>
        </w:tc>
        <w:tc>
          <w:tcPr>
            <w:tcW w:w="7512" w:type="dxa"/>
          </w:tcPr>
          <w:p w14:paraId="039F5A7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A53B7DA" w14:textId="77777777">
        <w:tc>
          <w:tcPr>
            <w:tcW w:w="3369" w:type="dxa"/>
          </w:tcPr>
          <w:p w14:paraId="3A9E9C4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Экспериментальные самолеты.</w:t>
            </w:r>
          </w:p>
        </w:tc>
        <w:tc>
          <w:tcPr>
            <w:tcW w:w="7512" w:type="dxa"/>
          </w:tcPr>
          <w:p w14:paraId="71DF307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F48882C" w14:textId="77777777">
        <w:tc>
          <w:tcPr>
            <w:tcW w:w="3369" w:type="dxa"/>
          </w:tcPr>
          <w:p w14:paraId="18C0DFA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СК1 - 2М32 (или М34 или</w:t>
            </w:r>
          </w:p>
        </w:tc>
        <w:tc>
          <w:tcPr>
            <w:tcW w:w="7512" w:type="dxa"/>
          </w:tcPr>
          <w:p w14:paraId="3A5162D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Отсутствие моторов М32 и неясность с установкой других моторов создали замедленные</w:t>
            </w:r>
          </w:p>
        </w:tc>
      </w:tr>
      <w:tr w:rsidR="00F26F01" w:rsidRPr="00C33834" w14:paraId="269CB1D5" w14:textId="77777777">
        <w:tc>
          <w:tcPr>
            <w:tcW w:w="3369" w:type="dxa"/>
          </w:tcPr>
          <w:p w14:paraId="7C9CEC2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Керт.Конвер.)</w:t>
            </w:r>
          </w:p>
        </w:tc>
        <w:tc>
          <w:tcPr>
            <w:tcW w:w="7512" w:type="dxa"/>
          </w:tcPr>
          <w:p w14:paraId="2B1D85A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темпы в работе. В настоящее время проектирование закончено около 70%. Самолет запущен в</w:t>
            </w:r>
          </w:p>
        </w:tc>
      </w:tr>
      <w:tr w:rsidR="00F26F01" w:rsidRPr="00C33834" w14:paraId="581CE9A0" w14:textId="77777777">
        <w:tc>
          <w:tcPr>
            <w:tcW w:w="3369" w:type="dxa"/>
          </w:tcPr>
          <w:p w14:paraId="645EF64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Сухопутный крейсер.</w:t>
            </w:r>
          </w:p>
        </w:tc>
        <w:tc>
          <w:tcPr>
            <w:tcW w:w="7512" w:type="dxa"/>
          </w:tcPr>
          <w:p w14:paraId="2A1A904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Идет заготовка деталей и частей. Общий процент технической готовности -</w:t>
            </w:r>
          </w:p>
        </w:tc>
      </w:tr>
      <w:tr w:rsidR="00F26F01" w:rsidRPr="00C33834" w14:paraId="37D176BF" w14:textId="77777777">
        <w:tc>
          <w:tcPr>
            <w:tcW w:w="3369" w:type="dxa"/>
          </w:tcPr>
          <w:p w14:paraId="683B7B0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Дюралевый моноплан с</w:t>
            </w:r>
          </w:p>
        </w:tc>
        <w:tc>
          <w:tcPr>
            <w:tcW w:w="7512" w:type="dxa"/>
          </w:tcPr>
          <w:p w14:paraId="4CECE9C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r>
      <w:tr w:rsidR="00F26F01" w:rsidRPr="00C33834" w14:paraId="6351A720" w14:textId="77777777">
        <w:tc>
          <w:tcPr>
            <w:tcW w:w="3369" w:type="dxa"/>
          </w:tcPr>
          <w:p w14:paraId="79C5561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убирающимся в полете шасси,</w:t>
            </w:r>
          </w:p>
        </w:tc>
        <w:tc>
          <w:tcPr>
            <w:tcW w:w="7512" w:type="dxa"/>
          </w:tcPr>
          <w:p w14:paraId="2284FFA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DD6B24E" w14:textId="77777777">
        <w:tc>
          <w:tcPr>
            <w:tcW w:w="3369" w:type="dxa"/>
          </w:tcPr>
          <w:p w14:paraId="4E856C9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вооруженный легкими и </w:t>
            </w:r>
          </w:p>
        </w:tc>
        <w:tc>
          <w:tcPr>
            <w:tcW w:w="7512" w:type="dxa"/>
          </w:tcPr>
          <w:p w14:paraId="6FA2A66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B8CD916" w14:textId="77777777">
        <w:tc>
          <w:tcPr>
            <w:tcW w:w="3369" w:type="dxa"/>
          </w:tcPr>
          <w:p w14:paraId="408341F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тяжелыми пулеметами. Со</w:t>
            </w:r>
          </w:p>
        </w:tc>
        <w:tc>
          <w:tcPr>
            <w:tcW w:w="7512" w:type="dxa"/>
          </w:tcPr>
          <w:p w14:paraId="06865C3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E3A6573" w14:textId="77777777">
        <w:tc>
          <w:tcPr>
            <w:tcW w:w="3369" w:type="dxa"/>
          </w:tcPr>
          <w:p w14:paraId="15710DC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скоростью на 5000 - 300 км/час.</w:t>
            </w:r>
          </w:p>
        </w:tc>
        <w:tc>
          <w:tcPr>
            <w:tcW w:w="7512" w:type="dxa"/>
          </w:tcPr>
          <w:p w14:paraId="2D2ACE5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DFEB787" w14:textId="77777777">
        <w:tc>
          <w:tcPr>
            <w:tcW w:w="3369" w:type="dxa"/>
          </w:tcPr>
          <w:p w14:paraId="0152CD1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Дальностью - 1200 км. С</w:t>
            </w:r>
          </w:p>
        </w:tc>
        <w:tc>
          <w:tcPr>
            <w:tcW w:w="7512" w:type="dxa"/>
          </w:tcPr>
          <w:p w14:paraId="6091A1F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8ADA081" w14:textId="77777777">
        <w:tc>
          <w:tcPr>
            <w:tcW w:w="3369" w:type="dxa"/>
          </w:tcPr>
          <w:p w14:paraId="3FD3899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перегрузкой - 2000 км.</w:t>
            </w:r>
          </w:p>
        </w:tc>
        <w:tc>
          <w:tcPr>
            <w:tcW w:w="7512" w:type="dxa"/>
          </w:tcPr>
          <w:p w14:paraId="31522DA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DF02D2A" w14:textId="77777777">
        <w:tc>
          <w:tcPr>
            <w:tcW w:w="3369" w:type="dxa"/>
          </w:tcPr>
          <w:p w14:paraId="77F349F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Сбрасыв. груз - 500 кг.</w:t>
            </w:r>
          </w:p>
        </w:tc>
        <w:tc>
          <w:tcPr>
            <w:tcW w:w="7512" w:type="dxa"/>
          </w:tcPr>
          <w:p w14:paraId="4B6A093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BE1DABD" w14:textId="77777777">
        <w:tc>
          <w:tcPr>
            <w:tcW w:w="3369" w:type="dxa"/>
          </w:tcPr>
          <w:p w14:paraId="4201883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на аэродром -</w:t>
            </w:r>
          </w:p>
        </w:tc>
        <w:tc>
          <w:tcPr>
            <w:tcW w:w="7512" w:type="dxa"/>
          </w:tcPr>
          <w:p w14:paraId="4FD3654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D463664" w14:textId="77777777">
        <w:tc>
          <w:tcPr>
            <w:tcW w:w="3369" w:type="dxa"/>
          </w:tcPr>
          <w:p w14:paraId="2291857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1/XII-34 г.</w:t>
            </w:r>
          </w:p>
        </w:tc>
        <w:tc>
          <w:tcPr>
            <w:tcW w:w="7512" w:type="dxa"/>
          </w:tcPr>
          <w:p w14:paraId="43B9E2F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0AF3038" w14:textId="77777777">
        <w:tc>
          <w:tcPr>
            <w:tcW w:w="3369" w:type="dxa"/>
          </w:tcPr>
          <w:p w14:paraId="19A1676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ВС-2М22</w:t>
            </w:r>
          </w:p>
        </w:tc>
        <w:tc>
          <w:tcPr>
            <w:tcW w:w="7512" w:type="dxa"/>
          </w:tcPr>
          <w:p w14:paraId="6009BD4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Эскизный проект самолета представлен ХАЗОС"ом был в конце мая. При рассмотрении </w:t>
            </w:r>
          </w:p>
        </w:tc>
      </w:tr>
      <w:tr w:rsidR="00F26F01" w:rsidRPr="00C33834" w14:paraId="757B6675" w14:textId="77777777">
        <w:tc>
          <w:tcPr>
            <w:tcW w:w="3369" w:type="dxa"/>
          </w:tcPr>
          <w:p w14:paraId="0BD9D5F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Войсковой самолет.</w:t>
            </w:r>
          </w:p>
        </w:tc>
        <w:tc>
          <w:tcPr>
            <w:tcW w:w="7512" w:type="dxa"/>
          </w:tcPr>
          <w:p w14:paraId="3EF26E3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установлена необходимость серьезных исправлений. В настоящее время ведутся изыскания по</w:t>
            </w:r>
          </w:p>
        </w:tc>
      </w:tr>
      <w:tr w:rsidR="00F26F01" w:rsidRPr="00C33834" w14:paraId="3E201072" w14:textId="77777777">
        <w:tc>
          <w:tcPr>
            <w:tcW w:w="3369" w:type="dxa"/>
          </w:tcPr>
          <w:p w14:paraId="1A1689F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Деревянной конструкции</w:t>
            </w:r>
          </w:p>
        </w:tc>
        <w:tc>
          <w:tcPr>
            <w:tcW w:w="7512" w:type="dxa"/>
          </w:tcPr>
          <w:p w14:paraId="6DB7C57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боевой схеме и продувка моделей. Новый эскизный проект должен быть представлен в августе.</w:t>
            </w:r>
          </w:p>
        </w:tc>
      </w:tr>
      <w:tr w:rsidR="00F26F01" w:rsidRPr="00C33834" w14:paraId="71B0CFFE" w14:textId="77777777">
        <w:tc>
          <w:tcPr>
            <w:tcW w:w="3369" w:type="dxa"/>
          </w:tcPr>
          <w:p w14:paraId="6F23BC8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типа летающего крыла,</w:t>
            </w:r>
          </w:p>
        </w:tc>
        <w:tc>
          <w:tcPr>
            <w:tcW w:w="7512" w:type="dxa"/>
          </w:tcPr>
          <w:p w14:paraId="490576F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952B7B2" w14:textId="77777777">
        <w:tc>
          <w:tcPr>
            <w:tcW w:w="3369" w:type="dxa"/>
          </w:tcPr>
          <w:p w14:paraId="2728385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убирающимся в полете</w:t>
            </w:r>
          </w:p>
        </w:tc>
        <w:tc>
          <w:tcPr>
            <w:tcW w:w="7512" w:type="dxa"/>
          </w:tcPr>
          <w:p w14:paraId="4D05246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FD8C2A0" w14:textId="77777777">
        <w:tc>
          <w:tcPr>
            <w:tcW w:w="3369" w:type="dxa"/>
          </w:tcPr>
          <w:p w14:paraId="555E028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 Вооружен легкими</w:t>
            </w:r>
          </w:p>
        </w:tc>
        <w:tc>
          <w:tcPr>
            <w:tcW w:w="7512" w:type="dxa"/>
          </w:tcPr>
          <w:p w14:paraId="1294C1B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AC97DDD" w14:textId="77777777">
        <w:tc>
          <w:tcPr>
            <w:tcW w:w="3369" w:type="dxa"/>
          </w:tcPr>
          <w:p w14:paraId="69AF6DF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 Со скоростью на</w:t>
            </w:r>
          </w:p>
        </w:tc>
        <w:tc>
          <w:tcPr>
            <w:tcW w:w="7512" w:type="dxa"/>
          </w:tcPr>
          <w:p w14:paraId="0A1A375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69DCE75" w14:textId="77777777">
        <w:tc>
          <w:tcPr>
            <w:tcW w:w="3369" w:type="dxa"/>
          </w:tcPr>
          <w:p w14:paraId="0EEE53C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 м - 250 км/час,</w:t>
            </w:r>
          </w:p>
        </w:tc>
        <w:tc>
          <w:tcPr>
            <w:tcW w:w="7512" w:type="dxa"/>
          </w:tcPr>
          <w:p w14:paraId="6811315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C0A9A07" w14:textId="77777777">
        <w:tc>
          <w:tcPr>
            <w:tcW w:w="3369" w:type="dxa"/>
          </w:tcPr>
          <w:p w14:paraId="1F065D2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w:t>
            </w:r>
          </w:p>
        </w:tc>
        <w:tc>
          <w:tcPr>
            <w:tcW w:w="7512" w:type="dxa"/>
          </w:tcPr>
          <w:p w14:paraId="522FBA4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4B2C046" w14:textId="77777777">
        <w:tc>
          <w:tcPr>
            <w:tcW w:w="3369" w:type="dxa"/>
          </w:tcPr>
          <w:p w14:paraId="0DC3BCA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 м - 12 мин.,</w:t>
            </w:r>
          </w:p>
        </w:tc>
        <w:tc>
          <w:tcPr>
            <w:tcW w:w="7512" w:type="dxa"/>
          </w:tcPr>
          <w:p w14:paraId="2929692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F628C59" w14:textId="77777777">
        <w:tc>
          <w:tcPr>
            <w:tcW w:w="3369" w:type="dxa"/>
          </w:tcPr>
          <w:p w14:paraId="48871A7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дальностью полета - 700 км,</w:t>
            </w:r>
          </w:p>
        </w:tc>
        <w:tc>
          <w:tcPr>
            <w:tcW w:w="7512" w:type="dxa"/>
          </w:tcPr>
          <w:p w14:paraId="02101E2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A08E128" w14:textId="77777777">
        <w:tc>
          <w:tcPr>
            <w:tcW w:w="3369" w:type="dxa"/>
          </w:tcPr>
          <w:p w14:paraId="42AF10A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перегрузкой 1200 км.</w:t>
            </w:r>
          </w:p>
        </w:tc>
        <w:tc>
          <w:tcPr>
            <w:tcW w:w="7512" w:type="dxa"/>
          </w:tcPr>
          <w:p w14:paraId="511F54E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31C7E6A" w14:textId="77777777">
        <w:tc>
          <w:tcPr>
            <w:tcW w:w="3369" w:type="dxa"/>
          </w:tcPr>
          <w:p w14:paraId="01B2A11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Срок выхода на аэродром -</w:t>
            </w:r>
          </w:p>
        </w:tc>
        <w:tc>
          <w:tcPr>
            <w:tcW w:w="7512" w:type="dxa"/>
          </w:tcPr>
          <w:p w14:paraId="3CD99B0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7B5DADF" w14:textId="77777777">
        <w:tc>
          <w:tcPr>
            <w:tcW w:w="3369" w:type="dxa"/>
          </w:tcPr>
          <w:p w14:paraId="772A551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1/V-34 г.</w:t>
            </w:r>
          </w:p>
        </w:tc>
        <w:tc>
          <w:tcPr>
            <w:tcW w:w="7512" w:type="dxa"/>
          </w:tcPr>
          <w:p w14:paraId="2E0F301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F78A05D" w14:textId="77777777">
        <w:tc>
          <w:tcPr>
            <w:tcW w:w="3369" w:type="dxa"/>
          </w:tcPr>
          <w:p w14:paraId="369A6D0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ДИП-2М34</w:t>
            </w:r>
          </w:p>
        </w:tc>
        <w:tc>
          <w:tcPr>
            <w:tcW w:w="7512" w:type="dxa"/>
          </w:tcPr>
          <w:p w14:paraId="5D55CBC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Проектирование самолета закончено на 70%. По сданным на производство чертежам</w:t>
            </w:r>
          </w:p>
        </w:tc>
      </w:tr>
      <w:tr w:rsidR="00F26F01" w:rsidRPr="00C33834" w14:paraId="6F7BD814" w14:textId="77777777">
        <w:tc>
          <w:tcPr>
            <w:tcW w:w="3369" w:type="dxa"/>
          </w:tcPr>
          <w:p w14:paraId="11ACD34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Двухместный пушечный</w:t>
            </w:r>
          </w:p>
        </w:tc>
        <w:tc>
          <w:tcPr>
            <w:tcW w:w="7512" w:type="dxa"/>
          </w:tcPr>
          <w:p w14:paraId="2E32D75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изготовляются центроплан, фюзеляж. Отъемы и оперение закончены. Общая техническая</w:t>
            </w:r>
          </w:p>
        </w:tc>
      </w:tr>
      <w:tr w:rsidR="00F26F01" w:rsidRPr="00C33834" w14:paraId="59BD9BD3" w14:textId="77777777">
        <w:tc>
          <w:tcPr>
            <w:tcW w:w="3369" w:type="dxa"/>
          </w:tcPr>
          <w:p w14:paraId="7D1D6F4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истребитель. Дюралевый.</w:t>
            </w:r>
          </w:p>
        </w:tc>
        <w:tc>
          <w:tcPr>
            <w:tcW w:w="7512" w:type="dxa"/>
          </w:tcPr>
          <w:p w14:paraId="6D43B68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готовность выражается в 20%.</w:t>
            </w:r>
          </w:p>
        </w:tc>
      </w:tr>
      <w:tr w:rsidR="00F26F01" w:rsidRPr="00C33834" w14:paraId="2C399B21" w14:textId="77777777">
        <w:tc>
          <w:tcPr>
            <w:tcW w:w="3369" w:type="dxa"/>
          </w:tcPr>
          <w:p w14:paraId="5A0FDE9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Вооруженный пушками со</w:t>
            </w:r>
          </w:p>
        </w:tc>
        <w:tc>
          <w:tcPr>
            <w:tcW w:w="7512" w:type="dxa"/>
          </w:tcPr>
          <w:p w14:paraId="2DDA569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 стороны ВВС имеется неясность по вопросу вооружения и оборудования.</w:t>
            </w:r>
          </w:p>
        </w:tc>
      </w:tr>
      <w:tr w:rsidR="00F26F01" w:rsidRPr="00C33834" w14:paraId="0524ABD7" w14:textId="77777777">
        <w:tc>
          <w:tcPr>
            <w:tcW w:w="3369" w:type="dxa"/>
          </w:tcPr>
          <w:p w14:paraId="39010F8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 на 5000 м -</w:t>
            </w:r>
          </w:p>
        </w:tc>
        <w:tc>
          <w:tcPr>
            <w:tcW w:w="7512" w:type="dxa"/>
          </w:tcPr>
          <w:p w14:paraId="78BCFC3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B68D855" w14:textId="77777777">
        <w:tc>
          <w:tcPr>
            <w:tcW w:w="3369" w:type="dxa"/>
          </w:tcPr>
          <w:p w14:paraId="6AE1134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325 км/час, скороподъемн. -</w:t>
            </w:r>
          </w:p>
        </w:tc>
        <w:tc>
          <w:tcPr>
            <w:tcW w:w="7512" w:type="dxa"/>
          </w:tcPr>
          <w:p w14:paraId="57AD38C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EAD1E92" w14:textId="77777777">
        <w:tc>
          <w:tcPr>
            <w:tcW w:w="3369" w:type="dxa"/>
          </w:tcPr>
          <w:p w14:paraId="703FEFC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5000 м - 15 мин.,</w:t>
            </w:r>
          </w:p>
        </w:tc>
        <w:tc>
          <w:tcPr>
            <w:tcW w:w="7512" w:type="dxa"/>
          </w:tcPr>
          <w:p w14:paraId="5FDE4FE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2DB1532" w14:textId="77777777">
        <w:tc>
          <w:tcPr>
            <w:tcW w:w="3369" w:type="dxa"/>
          </w:tcPr>
          <w:p w14:paraId="027AC15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дальностью 600 км, с</w:t>
            </w:r>
          </w:p>
        </w:tc>
        <w:tc>
          <w:tcPr>
            <w:tcW w:w="7512" w:type="dxa"/>
          </w:tcPr>
          <w:p w14:paraId="3A57516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45E483A" w14:textId="77777777">
        <w:tc>
          <w:tcPr>
            <w:tcW w:w="3369" w:type="dxa"/>
          </w:tcPr>
          <w:p w14:paraId="69C8E6C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перегрузкой 1000 км.</w:t>
            </w:r>
          </w:p>
        </w:tc>
        <w:tc>
          <w:tcPr>
            <w:tcW w:w="7512" w:type="dxa"/>
          </w:tcPr>
          <w:p w14:paraId="5B4AEC7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9E3B4AB" w14:textId="77777777">
        <w:tc>
          <w:tcPr>
            <w:tcW w:w="3369" w:type="dxa"/>
          </w:tcPr>
          <w:p w14:paraId="1005BF5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на аэродр.</w:t>
            </w:r>
          </w:p>
        </w:tc>
        <w:tc>
          <w:tcPr>
            <w:tcW w:w="7512" w:type="dxa"/>
          </w:tcPr>
          <w:p w14:paraId="478A90D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7B3152F" w14:textId="77777777">
        <w:tc>
          <w:tcPr>
            <w:tcW w:w="3369" w:type="dxa"/>
          </w:tcPr>
          <w:p w14:paraId="1F96C3D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1/VI-34.</w:t>
            </w:r>
          </w:p>
        </w:tc>
        <w:tc>
          <w:tcPr>
            <w:tcW w:w="7512" w:type="dxa"/>
          </w:tcPr>
          <w:p w14:paraId="75E2C52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6D2E367" w14:textId="77777777">
        <w:tc>
          <w:tcPr>
            <w:tcW w:w="3369" w:type="dxa"/>
          </w:tcPr>
          <w:p w14:paraId="4C406AA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ДИ6 - Райт-Циклон</w:t>
            </w:r>
          </w:p>
        </w:tc>
        <w:tc>
          <w:tcPr>
            <w:tcW w:w="7512" w:type="dxa"/>
          </w:tcPr>
          <w:p w14:paraId="5E47E2C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Ведутся работы по изысканию и выработке схемы самолета. Замедленные темпы</w:t>
            </w:r>
          </w:p>
        </w:tc>
      </w:tr>
      <w:tr w:rsidR="00F26F01" w:rsidRPr="00C33834" w14:paraId="5514A4B1" w14:textId="77777777">
        <w:tc>
          <w:tcPr>
            <w:tcW w:w="3369" w:type="dxa"/>
          </w:tcPr>
          <w:p w14:paraId="636A9F5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Двухместный истребитель,</w:t>
            </w:r>
          </w:p>
        </w:tc>
        <w:tc>
          <w:tcPr>
            <w:tcW w:w="7512" w:type="dxa"/>
          </w:tcPr>
          <w:p w14:paraId="0C708E6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вызываются отсутствием мотора.</w:t>
            </w:r>
          </w:p>
        </w:tc>
      </w:tr>
      <w:tr w:rsidR="00F26F01" w:rsidRPr="00C33834" w14:paraId="13DFAE2F" w14:textId="77777777">
        <w:tc>
          <w:tcPr>
            <w:tcW w:w="3369" w:type="dxa"/>
          </w:tcPr>
          <w:p w14:paraId="13FF03E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вооруженный пулеметами</w:t>
            </w:r>
          </w:p>
        </w:tc>
        <w:tc>
          <w:tcPr>
            <w:tcW w:w="7512" w:type="dxa"/>
          </w:tcPr>
          <w:p w14:paraId="39447F9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4094CB0" w14:textId="77777777">
        <w:tc>
          <w:tcPr>
            <w:tcW w:w="3369" w:type="dxa"/>
          </w:tcPr>
          <w:p w14:paraId="0729EAE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 и тяж.), смешанной</w:t>
            </w:r>
          </w:p>
        </w:tc>
        <w:tc>
          <w:tcPr>
            <w:tcW w:w="7512" w:type="dxa"/>
          </w:tcPr>
          <w:p w14:paraId="6E24C79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819309C" w14:textId="77777777">
        <w:tc>
          <w:tcPr>
            <w:tcW w:w="3369" w:type="dxa"/>
          </w:tcPr>
          <w:p w14:paraId="43CFC03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конструкции, со скор. на</w:t>
            </w:r>
          </w:p>
        </w:tc>
        <w:tc>
          <w:tcPr>
            <w:tcW w:w="7512" w:type="dxa"/>
          </w:tcPr>
          <w:p w14:paraId="140D2A3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6F9BD2F" w14:textId="77777777">
        <w:tc>
          <w:tcPr>
            <w:tcW w:w="3369" w:type="dxa"/>
          </w:tcPr>
          <w:p w14:paraId="596AA61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 м -..... км/час,</w:t>
            </w:r>
          </w:p>
        </w:tc>
        <w:tc>
          <w:tcPr>
            <w:tcW w:w="7512" w:type="dxa"/>
          </w:tcPr>
          <w:p w14:paraId="6B729CE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F596C95" w14:textId="77777777">
        <w:tc>
          <w:tcPr>
            <w:tcW w:w="3369" w:type="dxa"/>
          </w:tcPr>
          <w:p w14:paraId="55DB6C5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 на 5000 м -</w:t>
            </w:r>
          </w:p>
        </w:tc>
        <w:tc>
          <w:tcPr>
            <w:tcW w:w="7512" w:type="dxa"/>
          </w:tcPr>
          <w:p w14:paraId="5DD8559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1ED188D" w14:textId="77777777">
        <w:tc>
          <w:tcPr>
            <w:tcW w:w="3369" w:type="dxa"/>
          </w:tcPr>
          <w:p w14:paraId="34A7765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мин., дальностью 800 км,</w:t>
            </w:r>
          </w:p>
        </w:tc>
        <w:tc>
          <w:tcPr>
            <w:tcW w:w="7512" w:type="dxa"/>
          </w:tcPr>
          <w:p w14:paraId="17736B6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6A44F29" w14:textId="77777777">
        <w:tc>
          <w:tcPr>
            <w:tcW w:w="3369" w:type="dxa"/>
          </w:tcPr>
          <w:p w14:paraId="3FD3BEE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перегрузкой - 1400 км.</w:t>
            </w:r>
          </w:p>
        </w:tc>
        <w:tc>
          <w:tcPr>
            <w:tcW w:w="7512" w:type="dxa"/>
          </w:tcPr>
          <w:p w14:paraId="394F6A0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FD5C608" w14:textId="77777777">
        <w:tc>
          <w:tcPr>
            <w:tcW w:w="3369" w:type="dxa"/>
          </w:tcPr>
          <w:p w14:paraId="587DBAF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на аэродром -</w:t>
            </w:r>
          </w:p>
        </w:tc>
        <w:tc>
          <w:tcPr>
            <w:tcW w:w="7512" w:type="dxa"/>
          </w:tcPr>
          <w:p w14:paraId="6A79DB0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B29B58B" w14:textId="77777777">
        <w:tc>
          <w:tcPr>
            <w:tcW w:w="3369" w:type="dxa"/>
          </w:tcPr>
          <w:p w14:paraId="271B1D3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1/V-34 г.</w:t>
            </w:r>
          </w:p>
        </w:tc>
        <w:tc>
          <w:tcPr>
            <w:tcW w:w="7512" w:type="dxa"/>
          </w:tcPr>
          <w:p w14:paraId="563C879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60C94CA" w14:textId="77777777">
        <w:tc>
          <w:tcPr>
            <w:tcW w:w="3369" w:type="dxa"/>
          </w:tcPr>
          <w:p w14:paraId="3A26769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К-7-7М34</w:t>
            </w:r>
          </w:p>
        </w:tc>
        <w:tc>
          <w:tcPr>
            <w:tcW w:w="7512" w:type="dxa"/>
          </w:tcPr>
          <w:p w14:paraId="70A0DB5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Все части самолета закончены и заканчивается сборка и обшивка машины. Моторные</w:t>
            </w:r>
          </w:p>
        </w:tc>
      </w:tr>
      <w:tr w:rsidR="00F26F01" w:rsidRPr="00C33834" w14:paraId="3A745D54" w14:textId="77777777">
        <w:tc>
          <w:tcPr>
            <w:tcW w:w="3369" w:type="dxa"/>
          </w:tcPr>
          <w:p w14:paraId="0BB4FC1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бомбовоз из</w:t>
            </w:r>
          </w:p>
        </w:tc>
        <w:tc>
          <w:tcPr>
            <w:tcW w:w="7512" w:type="dxa"/>
          </w:tcPr>
          <w:p w14:paraId="3938287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установки с моторами, оборудованием и проводкой, опробованы на особой установке и</w:t>
            </w:r>
          </w:p>
        </w:tc>
      </w:tr>
      <w:tr w:rsidR="00F26F01" w:rsidRPr="00C33834" w14:paraId="590CF1B6" w14:textId="77777777">
        <w:tc>
          <w:tcPr>
            <w:tcW w:w="3369" w:type="dxa"/>
          </w:tcPr>
          <w:p w14:paraId="1D2D370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стальных </w:t>
            </w:r>
          </w:p>
        </w:tc>
        <w:tc>
          <w:tcPr>
            <w:tcW w:w="7512" w:type="dxa"/>
          </w:tcPr>
          <w:p w14:paraId="6AA50DB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дали благоприятные результаты. Одновременно идет оборудование самолета. поставленный</w:t>
            </w:r>
          </w:p>
        </w:tc>
      </w:tr>
      <w:tr w:rsidR="00F26F01" w:rsidRPr="00C33834" w14:paraId="68D0C826" w14:textId="77777777">
        <w:tc>
          <w:tcPr>
            <w:tcW w:w="3369" w:type="dxa"/>
          </w:tcPr>
          <w:p w14:paraId="60A1BC1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хромомолибденовых</w:t>
            </w:r>
          </w:p>
        </w:tc>
        <w:tc>
          <w:tcPr>
            <w:tcW w:w="7512" w:type="dxa"/>
          </w:tcPr>
          <w:p w14:paraId="37B9AA8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предполагается выполнить.</w:t>
            </w:r>
          </w:p>
        </w:tc>
      </w:tr>
      <w:tr w:rsidR="00F26F01" w:rsidRPr="00C33834" w14:paraId="7243CAEB" w14:textId="77777777">
        <w:tc>
          <w:tcPr>
            <w:tcW w:w="3369" w:type="dxa"/>
          </w:tcPr>
          <w:p w14:paraId="2C9B4D5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труб двухфюзеляжный,</w:t>
            </w:r>
          </w:p>
        </w:tc>
        <w:tc>
          <w:tcPr>
            <w:tcW w:w="7512" w:type="dxa"/>
          </w:tcPr>
          <w:p w14:paraId="5CF3064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324758A" w14:textId="77777777">
        <w:tc>
          <w:tcPr>
            <w:tcW w:w="3369" w:type="dxa"/>
          </w:tcPr>
          <w:p w14:paraId="2DCC9B6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вооруженный легкими</w:t>
            </w:r>
          </w:p>
        </w:tc>
        <w:tc>
          <w:tcPr>
            <w:tcW w:w="7512" w:type="dxa"/>
          </w:tcPr>
          <w:p w14:paraId="1D716B0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9AF3339" w14:textId="77777777">
        <w:tc>
          <w:tcPr>
            <w:tcW w:w="3369" w:type="dxa"/>
          </w:tcPr>
          <w:p w14:paraId="48BE023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тяжелыми пулеметами -</w:t>
            </w:r>
          </w:p>
        </w:tc>
        <w:tc>
          <w:tcPr>
            <w:tcW w:w="7512" w:type="dxa"/>
          </w:tcPr>
          <w:p w14:paraId="3C6855C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22B99F2" w14:textId="77777777">
        <w:tc>
          <w:tcPr>
            <w:tcW w:w="3369" w:type="dxa"/>
          </w:tcPr>
          <w:p w14:paraId="214CBE3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шт., 3-мя автоматич.</w:t>
            </w:r>
          </w:p>
        </w:tc>
        <w:tc>
          <w:tcPr>
            <w:tcW w:w="7512" w:type="dxa"/>
          </w:tcPr>
          <w:p w14:paraId="182A19C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A08B75E" w14:textId="77777777">
        <w:tc>
          <w:tcPr>
            <w:tcW w:w="3369" w:type="dxa"/>
          </w:tcPr>
          <w:p w14:paraId="7DBDAAA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пушками и 1000 кг бомб.</w:t>
            </w:r>
          </w:p>
        </w:tc>
        <w:tc>
          <w:tcPr>
            <w:tcW w:w="7512" w:type="dxa"/>
          </w:tcPr>
          <w:p w14:paraId="7048F5C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F28FE3A" w14:textId="77777777">
        <w:tc>
          <w:tcPr>
            <w:tcW w:w="3369" w:type="dxa"/>
          </w:tcPr>
          <w:p w14:paraId="7B6F6B4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на аэродром -</w:t>
            </w:r>
          </w:p>
        </w:tc>
        <w:tc>
          <w:tcPr>
            <w:tcW w:w="7512" w:type="dxa"/>
          </w:tcPr>
          <w:p w14:paraId="7C73BD1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184C306" w14:textId="77777777">
        <w:tc>
          <w:tcPr>
            <w:tcW w:w="3369" w:type="dxa"/>
          </w:tcPr>
          <w:p w14:paraId="62ADFB2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1/VIII-33 г.</w:t>
            </w:r>
          </w:p>
        </w:tc>
        <w:tc>
          <w:tcPr>
            <w:tcW w:w="7512" w:type="dxa"/>
          </w:tcPr>
          <w:p w14:paraId="4789837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CFBC2C8" w14:textId="77777777">
        <w:tc>
          <w:tcPr>
            <w:tcW w:w="3369" w:type="dxa"/>
          </w:tcPr>
          <w:p w14:paraId="5D3A746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ТБ6</w:t>
            </w:r>
          </w:p>
        </w:tc>
        <w:tc>
          <w:tcPr>
            <w:tcW w:w="7512" w:type="dxa"/>
          </w:tcPr>
          <w:p w14:paraId="2690683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6. Закончена общая компоновка. Впервые осуществляемая ЦАГИ такого тоннажа машина </w:t>
            </w:r>
          </w:p>
        </w:tc>
      </w:tr>
      <w:tr w:rsidR="00F26F01" w:rsidRPr="00C33834" w14:paraId="6DF6A0E1" w14:textId="77777777">
        <w:tc>
          <w:tcPr>
            <w:tcW w:w="3369" w:type="dxa"/>
          </w:tcPr>
          <w:p w14:paraId="316C253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бомбовоз с</w:t>
            </w:r>
          </w:p>
        </w:tc>
        <w:tc>
          <w:tcPr>
            <w:tcW w:w="7512" w:type="dxa"/>
          </w:tcPr>
          <w:p w14:paraId="1CDD399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встречает ряд совершенно новых вопросов, требующих предварительных исследований,</w:t>
            </w:r>
          </w:p>
        </w:tc>
      </w:tr>
      <w:tr w:rsidR="00F26F01" w:rsidRPr="00C33834" w14:paraId="32CD179B" w14:textId="77777777">
        <w:tc>
          <w:tcPr>
            <w:tcW w:w="3369" w:type="dxa"/>
          </w:tcPr>
          <w:p w14:paraId="2986C7D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полетн. весом 70-80 тонн</w:t>
            </w:r>
          </w:p>
        </w:tc>
        <w:tc>
          <w:tcPr>
            <w:tcW w:w="7512" w:type="dxa"/>
          </w:tcPr>
          <w:p w14:paraId="32AD060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изысканий и эксперимента. Кроме применения хромомолибденовой стали, ЦАГИ поставлена</w:t>
            </w:r>
          </w:p>
        </w:tc>
      </w:tr>
      <w:tr w:rsidR="00F26F01" w:rsidRPr="00C33834" w14:paraId="7EB2AA3B" w14:textId="77777777">
        <w:tc>
          <w:tcPr>
            <w:tcW w:w="3369" w:type="dxa"/>
          </w:tcPr>
          <w:p w14:paraId="010F5FB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стали. Вооруженный</w:t>
            </w:r>
          </w:p>
        </w:tc>
        <w:tc>
          <w:tcPr>
            <w:tcW w:w="7512" w:type="dxa"/>
          </w:tcPr>
          <w:p w14:paraId="45D7B11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задача добиться применения исключительно советских материалов. Предварительные</w:t>
            </w:r>
          </w:p>
        </w:tc>
      </w:tr>
      <w:tr w:rsidR="00F26F01" w:rsidRPr="00C33834" w14:paraId="05E8159B" w14:textId="77777777">
        <w:tc>
          <w:tcPr>
            <w:tcW w:w="3369" w:type="dxa"/>
          </w:tcPr>
          <w:p w14:paraId="2739990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тяжелыми пулеметами и</w:t>
            </w:r>
          </w:p>
        </w:tc>
        <w:tc>
          <w:tcPr>
            <w:tcW w:w="7512" w:type="dxa"/>
          </w:tcPr>
          <w:p w14:paraId="67B0D4F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разработки говорят о возможности осуществления поставленной задачи. В настоящее</w:t>
            </w:r>
          </w:p>
        </w:tc>
      </w:tr>
      <w:tr w:rsidR="00F26F01" w:rsidRPr="00C33834" w14:paraId="0DBBA507" w14:textId="77777777">
        <w:tc>
          <w:tcPr>
            <w:tcW w:w="3369" w:type="dxa"/>
          </w:tcPr>
          <w:p w14:paraId="33917C0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пушками, со </w:t>
            </w:r>
          </w:p>
        </w:tc>
        <w:tc>
          <w:tcPr>
            <w:tcW w:w="7512" w:type="dxa"/>
          </w:tcPr>
          <w:p w14:paraId="6F50E70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ведутся расчеты, продувки, изготовляется специальный планер, проектируется фюзеляж</w:t>
            </w:r>
          </w:p>
        </w:tc>
      </w:tr>
      <w:tr w:rsidR="00F26F01" w:rsidRPr="00C33834" w14:paraId="4FFFD484" w14:textId="77777777">
        <w:tc>
          <w:tcPr>
            <w:tcW w:w="3369" w:type="dxa"/>
          </w:tcPr>
          <w:p w14:paraId="72B6BAE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сбрасываемым грузом -</w:t>
            </w:r>
          </w:p>
        </w:tc>
        <w:tc>
          <w:tcPr>
            <w:tcW w:w="7512" w:type="dxa"/>
          </w:tcPr>
          <w:p w14:paraId="672D4D6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крылья, управление, вооружение, посадочные приспособления. В постройке находится</w:t>
            </w:r>
          </w:p>
        </w:tc>
      </w:tr>
      <w:tr w:rsidR="00F26F01" w:rsidRPr="00C33834" w14:paraId="2C36A2B1" w14:textId="77777777">
        <w:tc>
          <w:tcPr>
            <w:tcW w:w="3369" w:type="dxa"/>
          </w:tcPr>
          <w:p w14:paraId="2488B33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тн., скор. на 5000 м -</w:t>
            </w:r>
          </w:p>
        </w:tc>
        <w:tc>
          <w:tcPr>
            <w:tcW w:w="7512" w:type="dxa"/>
          </w:tcPr>
          <w:p w14:paraId="2B4FB74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 лонжерон из хромомолибд. труб.</w:t>
            </w:r>
          </w:p>
        </w:tc>
      </w:tr>
      <w:tr w:rsidR="00F26F01" w:rsidRPr="00C33834" w14:paraId="64194E30" w14:textId="77777777">
        <w:tc>
          <w:tcPr>
            <w:tcW w:w="3369" w:type="dxa"/>
          </w:tcPr>
          <w:p w14:paraId="470C24D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 км/час, дальность -</w:t>
            </w:r>
          </w:p>
        </w:tc>
        <w:tc>
          <w:tcPr>
            <w:tcW w:w="7512" w:type="dxa"/>
          </w:tcPr>
          <w:p w14:paraId="37EEED7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565FEE7" w14:textId="77777777">
        <w:tc>
          <w:tcPr>
            <w:tcW w:w="3369" w:type="dxa"/>
          </w:tcPr>
          <w:p w14:paraId="39D984B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 км, с перегрузкой -</w:t>
            </w:r>
          </w:p>
        </w:tc>
        <w:tc>
          <w:tcPr>
            <w:tcW w:w="7512" w:type="dxa"/>
          </w:tcPr>
          <w:p w14:paraId="68C5554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941A659" w14:textId="77777777">
        <w:tc>
          <w:tcPr>
            <w:tcW w:w="3369" w:type="dxa"/>
          </w:tcPr>
          <w:p w14:paraId="64F0C9E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 км. Срок выхода на</w:t>
            </w:r>
          </w:p>
        </w:tc>
        <w:tc>
          <w:tcPr>
            <w:tcW w:w="7512" w:type="dxa"/>
          </w:tcPr>
          <w:p w14:paraId="047E384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ECC27B1" w14:textId="77777777">
        <w:tc>
          <w:tcPr>
            <w:tcW w:w="3369" w:type="dxa"/>
          </w:tcPr>
          <w:p w14:paraId="6697AB2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аэродром - 1/XII-35 г.</w:t>
            </w:r>
          </w:p>
        </w:tc>
        <w:tc>
          <w:tcPr>
            <w:tcW w:w="7512" w:type="dxa"/>
          </w:tcPr>
          <w:p w14:paraId="638CE22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C79BAF9" w14:textId="77777777">
        <w:tc>
          <w:tcPr>
            <w:tcW w:w="3369" w:type="dxa"/>
          </w:tcPr>
          <w:p w14:paraId="691B760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СР-1 - М85</w:t>
            </w:r>
          </w:p>
        </w:tc>
        <w:tc>
          <w:tcPr>
            <w:tcW w:w="7512" w:type="dxa"/>
          </w:tcPr>
          <w:p w14:paraId="5D8B1A3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Самолет в июне с. г. поставлен в план. Проектирование и постройку предполагается в</w:t>
            </w:r>
          </w:p>
        </w:tc>
      </w:tr>
      <w:tr w:rsidR="00F26F01" w:rsidRPr="00C33834" w14:paraId="5BDC81B7" w14:textId="77777777">
        <w:tc>
          <w:tcPr>
            <w:tcW w:w="3369" w:type="dxa"/>
          </w:tcPr>
          <w:p w14:paraId="2506BA2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Скоростной разведчик,</w:t>
            </w:r>
          </w:p>
        </w:tc>
        <w:tc>
          <w:tcPr>
            <w:tcW w:w="7512" w:type="dxa"/>
          </w:tcPr>
          <w:p w14:paraId="0E1F250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ХАИ по типу самолета ХАИ-1.</w:t>
            </w:r>
          </w:p>
        </w:tc>
      </w:tr>
      <w:tr w:rsidR="00F26F01" w:rsidRPr="00C33834" w14:paraId="2AF28314" w14:textId="77777777">
        <w:tc>
          <w:tcPr>
            <w:tcW w:w="3369" w:type="dxa"/>
          </w:tcPr>
          <w:p w14:paraId="3569333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 425 км/час на</w:t>
            </w:r>
          </w:p>
        </w:tc>
        <w:tc>
          <w:tcPr>
            <w:tcW w:w="7512" w:type="dxa"/>
          </w:tcPr>
          <w:p w14:paraId="1FDE370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E0D4815" w14:textId="77777777">
        <w:tc>
          <w:tcPr>
            <w:tcW w:w="3369" w:type="dxa"/>
          </w:tcPr>
          <w:p w14:paraId="349B673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 м, скороподъемн. -</w:t>
            </w:r>
          </w:p>
        </w:tc>
        <w:tc>
          <w:tcPr>
            <w:tcW w:w="7512" w:type="dxa"/>
          </w:tcPr>
          <w:p w14:paraId="48D27CD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D677823" w14:textId="77777777">
        <w:tc>
          <w:tcPr>
            <w:tcW w:w="3369" w:type="dxa"/>
          </w:tcPr>
          <w:p w14:paraId="6E933BF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мин. на 4000 м,</w:t>
            </w:r>
          </w:p>
        </w:tc>
        <w:tc>
          <w:tcPr>
            <w:tcW w:w="7512" w:type="dxa"/>
          </w:tcPr>
          <w:p w14:paraId="217194D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5973B77" w14:textId="77777777">
        <w:tc>
          <w:tcPr>
            <w:tcW w:w="3369" w:type="dxa"/>
          </w:tcPr>
          <w:p w14:paraId="2578988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- 1000 км.</w:t>
            </w:r>
          </w:p>
        </w:tc>
        <w:tc>
          <w:tcPr>
            <w:tcW w:w="7512" w:type="dxa"/>
          </w:tcPr>
          <w:p w14:paraId="1E7F52C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609CB7F" w14:textId="77777777">
        <w:tc>
          <w:tcPr>
            <w:tcW w:w="3369" w:type="dxa"/>
          </w:tcPr>
          <w:p w14:paraId="65D10D4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через 6</w:t>
            </w:r>
          </w:p>
        </w:tc>
        <w:tc>
          <w:tcPr>
            <w:tcW w:w="7512" w:type="dxa"/>
          </w:tcPr>
          <w:p w14:paraId="1FF7872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ACB78B3" w14:textId="77777777">
        <w:tc>
          <w:tcPr>
            <w:tcW w:w="3369" w:type="dxa"/>
          </w:tcPr>
          <w:p w14:paraId="70D0B48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месяцев после получения</w:t>
            </w:r>
          </w:p>
        </w:tc>
        <w:tc>
          <w:tcPr>
            <w:tcW w:w="7512" w:type="dxa"/>
          </w:tcPr>
          <w:p w14:paraId="11AAA6B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C331B3C" w14:textId="77777777">
        <w:tc>
          <w:tcPr>
            <w:tcW w:w="3369" w:type="dxa"/>
          </w:tcPr>
          <w:p w14:paraId="4AE2554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мотора.</w:t>
            </w:r>
          </w:p>
        </w:tc>
        <w:tc>
          <w:tcPr>
            <w:tcW w:w="7512" w:type="dxa"/>
          </w:tcPr>
          <w:p w14:paraId="67EE4DF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7C7FB09" w14:textId="77777777">
        <w:tc>
          <w:tcPr>
            <w:tcW w:w="3369" w:type="dxa"/>
          </w:tcPr>
          <w:p w14:paraId="0FA8A05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С.С. - М34</w:t>
            </w:r>
          </w:p>
        </w:tc>
        <w:tc>
          <w:tcPr>
            <w:tcW w:w="7512" w:type="dxa"/>
          </w:tcPr>
          <w:p w14:paraId="531C17C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Проектирование самолета закончено. Чертежи переданы на производство. Находится от 1</w:t>
            </w:r>
          </w:p>
        </w:tc>
      </w:tr>
      <w:tr w:rsidR="00F26F01" w:rsidRPr="00C33834" w14:paraId="1B19F9C5" w14:textId="77777777">
        <w:tc>
          <w:tcPr>
            <w:tcW w:w="3369" w:type="dxa"/>
          </w:tcPr>
          <w:p w14:paraId="4DF683C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Стратосферный самолет,</w:t>
            </w:r>
          </w:p>
        </w:tc>
        <w:tc>
          <w:tcPr>
            <w:tcW w:w="7512" w:type="dxa"/>
          </w:tcPr>
          <w:p w14:paraId="052943C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9% готовности кабина пилота, крылья, фюзеляж, оперение, мотоустановка, управление. Общ.</w:t>
            </w:r>
          </w:p>
        </w:tc>
      </w:tr>
      <w:tr w:rsidR="00F26F01" w:rsidRPr="00C33834" w14:paraId="40E4B1EB" w14:textId="77777777">
        <w:tc>
          <w:tcPr>
            <w:tcW w:w="3369" w:type="dxa"/>
          </w:tcPr>
          <w:p w14:paraId="4E8FB13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дюралевой конструкции</w:t>
            </w:r>
          </w:p>
        </w:tc>
        <w:tc>
          <w:tcPr>
            <w:tcW w:w="7512" w:type="dxa"/>
          </w:tcPr>
          <w:p w14:paraId="798D683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 готовность около 8%. За отсутствием мотора с нагнетателем для освоения самолета</w:t>
            </w:r>
          </w:p>
        </w:tc>
      </w:tr>
      <w:tr w:rsidR="00F26F01" w:rsidRPr="00C33834" w14:paraId="01B78D27" w14:textId="77777777">
        <w:tc>
          <w:tcPr>
            <w:tcW w:w="3369" w:type="dxa"/>
          </w:tcPr>
          <w:p w14:paraId="208A626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герметической кабиной.</w:t>
            </w:r>
          </w:p>
        </w:tc>
        <w:tc>
          <w:tcPr>
            <w:tcW w:w="7512" w:type="dxa"/>
          </w:tcPr>
          <w:p w14:paraId="77EE080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поверке ряда экспериментальных вопросов (кабина, проводка управления, поведение на</w:t>
            </w:r>
          </w:p>
        </w:tc>
      </w:tr>
      <w:tr w:rsidR="00F26F01" w:rsidRPr="00C33834" w14:paraId="1DFDF8BA" w14:textId="77777777">
        <w:tc>
          <w:tcPr>
            <w:tcW w:w="3369" w:type="dxa"/>
          </w:tcPr>
          <w:p w14:paraId="79AECE1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- 1/I-34 г.</w:t>
            </w:r>
          </w:p>
        </w:tc>
        <w:tc>
          <w:tcPr>
            <w:tcW w:w="7512" w:type="dxa"/>
          </w:tcPr>
          <w:p w14:paraId="4224EF5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большой высоте при низких температурах и пр.) самолет будет выпущен с мотором без</w:t>
            </w:r>
          </w:p>
        </w:tc>
      </w:tr>
      <w:tr w:rsidR="00F26F01" w:rsidRPr="00C33834" w14:paraId="03DC9A6D" w14:textId="77777777">
        <w:tc>
          <w:tcPr>
            <w:tcW w:w="3369" w:type="dxa"/>
          </w:tcPr>
          <w:p w14:paraId="333BCC8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2" w:type="dxa"/>
          </w:tcPr>
          <w:p w14:paraId="1822A33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нагнетателя.</w:t>
            </w:r>
          </w:p>
        </w:tc>
      </w:tr>
      <w:tr w:rsidR="00F26F01" w:rsidRPr="00C33834" w14:paraId="55ECF24B" w14:textId="77777777">
        <w:tc>
          <w:tcPr>
            <w:tcW w:w="3369" w:type="dxa"/>
          </w:tcPr>
          <w:p w14:paraId="411CFD7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Л.К. - 2М11</w:t>
            </w:r>
          </w:p>
        </w:tc>
        <w:tc>
          <w:tcPr>
            <w:tcW w:w="7512" w:type="dxa"/>
          </w:tcPr>
          <w:p w14:paraId="1034D57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Заканчивается работа по эскизному проекту и приступают к постройке макета.</w:t>
            </w:r>
          </w:p>
        </w:tc>
      </w:tr>
      <w:tr w:rsidR="00F26F01" w:rsidRPr="00C33834" w14:paraId="7444B6AC" w14:textId="77777777">
        <w:tc>
          <w:tcPr>
            <w:tcW w:w="3369" w:type="dxa"/>
          </w:tcPr>
          <w:p w14:paraId="7E18017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Продолжение эксперимента</w:t>
            </w:r>
          </w:p>
        </w:tc>
        <w:tc>
          <w:tcPr>
            <w:tcW w:w="7512" w:type="dxa"/>
          </w:tcPr>
          <w:p w14:paraId="79FCDA0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8EA06DE" w14:textId="77777777">
        <w:tc>
          <w:tcPr>
            <w:tcW w:w="3369" w:type="dxa"/>
          </w:tcPr>
          <w:p w14:paraId="0B20E1F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- 1/I-34 г.</w:t>
            </w:r>
          </w:p>
        </w:tc>
        <w:tc>
          <w:tcPr>
            <w:tcW w:w="7512" w:type="dxa"/>
          </w:tcPr>
          <w:p w14:paraId="078A8A5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AA05AAE" w14:textId="77777777">
        <w:tc>
          <w:tcPr>
            <w:tcW w:w="3369" w:type="dxa"/>
          </w:tcPr>
          <w:p w14:paraId="751655A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Р.К. - М11</w:t>
            </w:r>
          </w:p>
        </w:tc>
        <w:tc>
          <w:tcPr>
            <w:tcW w:w="7512" w:type="dxa"/>
          </w:tcPr>
          <w:p w14:paraId="74DFD94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Проектирование самолета закончено. Чертежи переданы в производство. Идет заготовка</w:t>
            </w:r>
          </w:p>
        </w:tc>
      </w:tr>
      <w:tr w:rsidR="00F26F01" w:rsidRPr="00C33834" w14:paraId="4C24DD34" w14:textId="77777777">
        <w:tc>
          <w:tcPr>
            <w:tcW w:w="3369" w:type="dxa"/>
          </w:tcPr>
          <w:p w14:paraId="04C39AD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Разрезное крыло</w:t>
            </w:r>
          </w:p>
        </w:tc>
        <w:tc>
          <w:tcPr>
            <w:tcW w:w="7512" w:type="dxa"/>
          </w:tcPr>
          <w:p w14:paraId="5F188EA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деталей.</w:t>
            </w:r>
          </w:p>
        </w:tc>
      </w:tr>
      <w:tr w:rsidR="00F26F01" w:rsidRPr="00C33834" w14:paraId="00BB1D49" w14:textId="77777777">
        <w:tc>
          <w:tcPr>
            <w:tcW w:w="3369" w:type="dxa"/>
          </w:tcPr>
          <w:p w14:paraId="3D46F38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(Кричевского). Срок</w:t>
            </w:r>
          </w:p>
        </w:tc>
        <w:tc>
          <w:tcPr>
            <w:tcW w:w="7512" w:type="dxa"/>
          </w:tcPr>
          <w:p w14:paraId="65F846A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5778A6D" w14:textId="77777777">
        <w:tc>
          <w:tcPr>
            <w:tcW w:w="3369" w:type="dxa"/>
          </w:tcPr>
          <w:p w14:paraId="255F17D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выхода 1/X-33 г.</w:t>
            </w:r>
          </w:p>
        </w:tc>
        <w:tc>
          <w:tcPr>
            <w:tcW w:w="7512" w:type="dxa"/>
          </w:tcPr>
          <w:p w14:paraId="4C2368C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0957988" w14:textId="77777777">
        <w:tc>
          <w:tcPr>
            <w:tcW w:w="3369" w:type="dxa"/>
          </w:tcPr>
          <w:p w14:paraId="5606379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Геликоптер ВГ2</w:t>
            </w:r>
          </w:p>
        </w:tc>
        <w:tc>
          <w:tcPr>
            <w:tcW w:w="7512" w:type="dxa"/>
          </w:tcPr>
          <w:p w14:paraId="478F53F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Геликоптер заканчивается производством и является вторым экземпляром со специальным</w:t>
            </w:r>
          </w:p>
        </w:tc>
      </w:tr>
      <w:tr w:rsidR="00F26F01" w:rsidRPr="00C33834" w14:paraId="5D536EF8" w14:textId="77777777">
        <w:tc>
          <w:tcPr>
            <w:tcW w:w="3369" w:type="dxa"/>
          </w:tcPr>
          <w:p w14:paraId="61643CD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15/VII-33 г.</w:t>
            </w:r>
          </w:p>
        </w:tc>
        <w:tc>
          <w:tcPr>
            <w:tcW w:w="7512" w:type="dxa"/>
          </w:tcPr>
          <w:p w14:paraId="5D7E9CD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6-ти лопастным винтом. Срок начала исследований в натуру д. б. выдержан.</w:t>
            </w:r>
          </w:p>
        </w:tc>
      </w:tr>
      <w:tr w:rsidR="00F26F01" w:rsidRPr="00C33834" w14:paraId="6778CB9C" w14:textId="77777777">
        <w:tc>
          <w:tcPr>
            <w:tcW w:w="3369" w:type="dxa"/>
          </w:tcPr>
          <w:p w14:paraId="64D506E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 - М22</w:t>
            </w:r>
          </w:p>
        </w:tc>
        <w:tc>
          <w:tcPr>
            <w:tcW w:w="7512" w:type="dxa"/>
          </w:tcPr>
          <w:p w14:paraId="5B76611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Разработка проекта заканчивается и идет частичная заготовка деталей. Срок 1/X должен</w:t>
            </w:r>
          </w:p>
        </w:tc>
      </w:tr>
      <w:tr w:rsidR="00F26F01" w:rsidRPr="00C33834" w14:paraId="1AA01215" w14:textId="77777777">
        <w:tc>
          <w:tcPr>
            <w:tcW w:w="3369" w:type="dxa"/>
          </w:tcPr>
          <w:p w14:paraId="2028085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1/X-33 г.</w:t>
            </w:r>
          </w:p>
        </w:tc>
        <w:tc>
          <w:tcPr>
            <w:tcW w:w="7512" w:type="dxa"/>
          </w:tcPr>
          <w:p w14:paraId="3AD50EA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быть выдержан.</w:t>
            </w:r>
          </w:p>
        </w:tc>
      </w:tr>
      <w:tr w:rsidR="00F26F01" w:rsidRPr="00C33834" w14:paraId="56BBE6C2" w14:textId="77777777">
        <w:tc>
          <w:tcPr>
            <w:tcW w:w="3369" w:type="dxa"/>
          </w:tcPr>
          <w:p w14:paraId="09E27B4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РД - М34</w:t>
            </w:r>
          </w:p>
        </w:tc>
        <w:tc>
          <w:tcPr>
            <w:tcW w:w="7512" w:type="dxa"/>
          </w:tcPr>
          <w:p w14:paraId="50A14AB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10/VI самолет отправлен на аэродром. 22/VI выпущен в пробный полет. В настоящее время</w:t>
            </w:r>
          </w:p>
        </w:tc>
      </w:tr>
      <w:tr w:rsidR="00F26F01" w:rsidRPr="00C33834" w14:paraId="5519F3C8" w14:textId="77777777">
        <w:tc>
          <w:tcPr>
            <w:tcW w:w="3369" w:type="dxa"/>
          </w:tcPr>
          <w:p w14:paraId="019074A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для рекорда</w:t>
            </w:r>
          </w:p>
        </w:tc>
        <w:tc>
          <w:tcPr>
            <w:tcW w:w="7512" w:type="dxa"/>
          </w:tcPr>
          <w:p w14:paraId="1DD6D0E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проведена первая половина программных испытаний. Самолет показал хорошие летные </w:t>
            </w:r>
          </w:p>
        </w:tc>
      </w:tr>
      <w:tr w:rsidR="00F26F01" w:rsidRPr="00C33834" w14:paraId="3ED9DF63" w14:textId="77777777">
        <w:tc>
          <w:tcPr>
            <w:tcW w:w="3369" w:type="dxa"/>
          </w:tcPr>
          <w:p w14:paraId="5FAA234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дальность, со</w:t>
            </w:r>
          </w:p>
        </w:tc>
        <w:tc>
          <w:tcPr>
            <w:tcW w:w="7512" w:type="dxa"/>
          </w:tcPr>
          <w:p w14:paraId="1D180DE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качества. Имеются неполадки с крыльевыми радиаторами (текут). Изготовлены новые из</w:t>
            </w:r>
          </w:p>
        </w:tc>
      </w:tr>
      <w:tr w:rsidR="00F26F01" w:rsidRPr="00C33834" w14:paraId="50B1832F" w14:textId="77777777">
        <w:tc>
          <w:tcPr>
            <w:tcW w:w="3369" w:type="dxa"/>
          </w:tcPr>
          <w:p w14:paraId="475BA09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специально</w:t>
            </w:r>
          </w:p>
        </w:tc>
        <w:tc>
          <w:tcPr>
            <w:tcW w:w="7512" w:type="dxa"/>
          </w:tcPr>
          <w:p w14:paraId="212CD9F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нержавеющ. стали и из утолщенной латуни. В двадцатых числах июля самолет с новыми</w:t>
            </w:r>
          </w:p>
        </w:tc>
      </w:tr>
      <w:tr w:rsidR="00F26F01" w:rsidRPr="00C33834" w14:paraId="61824373" w14:textId="77777777">
        <w:tc>
          <w:tcPr>
            <w:tcW w:w="3369" w:type="dxa"/>
          </w:tcPr>
          <w:p w14:paraId="4502885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установленными и</w:t>
            </w:r>
          </w:p>
        </w:tc>
        <w:tc>
          <w:tcPr>
            <w:tcW w:w="7512" w:type="dxa"/>
          </w:tcPr>
          <w:p w14:paraId="0D35BC3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радиаторами должен продолжать испытания.</w:t>
            </w:r>
          </w:p>
        </w:tc>
      </w:tr>
      <w:tr w:rsidR="00F26F01" w:rsidRPr="00C33834" w14:paraId="2903E71C" w14:textId="77777777">
        <w:tc>
          <w:tcPr>
            <w:tcW w:w="3369" w:type="dxa"/>
          </w:tcPr>
          <w:p w14:paraId="5D6278D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входящими в систему</w:t>
            </w:r>
          </w:p>
        </w:tc>
        <w:tc>
          <w:tcPr>
            <w:tcW w:w="7512" w:type="dxa"/>
          </w:tcPr>
          <w:p w14:paraId="25C245F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3BF2508" w14:textId="77777777">
        <w:tc>
          <w:tcPr>
            <w:tcW w:w="3369" w:type="dxa"/>
          </w:tcPr>
          <w:p w14:paraId="15C5DBB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конструкции баками.</w:t>
            </w:r>
          </w:p>
        </w:tc>
        <w:tc>
          <w:tcPr>
            <w:tcW w:w="7512" w:type="dxa"/>
          </w:tcPr>
          <w:p w14:paraId="628BAED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CAAB4EA" w14:textId="77777777">
        <w:tc>
          <w:tcPr>
            <w:tcW w:w="3369" w:type="dxa"/>
          </w:tcPr>
          <w:p w14:paraId="76FC5CD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Дюралевый, с убирающимся</w:t>
            </w:r>
          </w:p>
        </w:tc>
        <w:tc>
          <w:tcPr>
            <w:tcW w:w="7512" w:type="dxa"/>
          </w:tcPr>
          <w:p w14:paraId="4A82F2D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436371B" w14:textId="77777777">
        <w:tc>
          <w:tcPr>
            <w:tcW w:w="3369" w:type="dxa"/>
          </w:tcPr>
          <w:p w14:paraId="5BEB3F2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полете шасси, с</w:t>
            </w:r>
          </w:p>
        </w:tc>
        <w:tc>
          <w:tcPr>
            <w:tcW w:w="7512" w:type="dxa"/>
          </w:tcPr>
          <w:p w14:paraId="6AE3E78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91CB09A" w14:textId="77777777">
        <w:tc>
          <w:tcPr>
            <w:tcW w:w="3369" w:type="dxa"/>
          </w:tcPr>
          <w:p w14:paraId="6EECD37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большим удлинением</w:t>
            </w:r>
          </w:p>
        </w:tc>
        <w:tc>
          <w:tcPr>
            <w:tcW w:w="7512" w:type="dxa"/>
          </w:tcPr>
          <w:p w14:paraId="0E7928B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AC0778F" w14:textId="77777777">
        <w:tc>
          <w:tcPr>
            <w:tcW w:w="3369" w:type="dxa"/>
          </w:tcPr>
          <w:p w14:paraId="3CAFEAE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крыльев аэродинамически</w:t>
            </w:r>
          </w:p>
        </w:tc>
        <w:tc>
          <w:tcPr>
            <w:tcW w:w="7512" w:type="dxa"/>
          </w:tcPr>
          <w:p w14:paraId="43D3430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891A0B6" w14:textId="77777777">
        <w:tc>
          <w:tcPr>
            <w:tcW w:w="3369" w:type="dxa"/>
          </w:tcPr>
          <w:p w14:paraId="64B76C0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выгодную схему.</w:t>
            </w:r>
          </w:p>
        </w:tc>
        <w:tc>
          <w:tcPr>
            <w:tcW w:w="7512" w:type="dxa"/>
          </w:tcPr>
          <w:p w14:paraId="6BB7785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3723838" w14:textId="77777777">
        <w:tc>
          <w:tcPr>
            <w:tcW w:w="3369" w:type="dxa"/>
          </w:tcPr>
          <w:p w14:paraId="05CF5BF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перелета на</w:t>
            </w:r>
          </w:p>
        </w:tc>
        <w:tc>
          <w:tcPr>
            <w:tcW w:w="7512" w:type="dxa"/>
          </w:tcPr>
          <w:p w14:paraId="7F087B6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ABEAD32" w14:textId="77777777">
        <w:tc>
          <w:tcPr>
            <w:tcW w:w="3369" w:type="dxa"/>
          </w:tcPr>
          <w:p w14:paraId="4FE3791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1/X-33 г.</w:t>
            </w:r>
          </w:p>
        </w:tc>
        <w:tc>
          <w:tcPr>
            <w:tcW w:w="7512" w:type="dxa"/>
          </w:tcPr>
          <w:p w14:paraId="64AA0CE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D4D1AD1" w14:textId="77777777">
        <w:tc>
          <w:tcPr>
            <w:tcW w:w="3369" w:type="dxa"/>
          </w:tcPr>
          <w:p w14:paraId="300753D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Р5 - М17</w:t>
            </w:r>
          </w:p>
        </w:tc>
        <w:tc>
          <w:tcPr>
            <w:tcW w:w="7512" w:type="dxa"/>
          </w:tcPr>
          <w:p w14:paraId="242868E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Самолет был изготовлен в двух вариантах разрезных крыльев. И тот и другой прошли</w:t>
            </w:r>
          </w:p>
        </w:tc>
      </w:tr>
      <w:tr w:rsidR="00F26F01" w:rsidRPr="00C33834" w14:paraId="2D6E966D" w14:textId="77777777">
        <w:tc>
          <w:tcPr>
            <w:tcW w:w="3369" w:type="dxa"/>
          </w:tcPr>
          <w:p w14:paraId="520AA6E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разрезными крыльями,</w:t>
            </w:r>
          </w:p>
        </w:tc>
        <w:tc>
          <w:tcPr>
            <w:tcW w:w="7512" w:type="dxa"/>
          </w:tcPr>
          <w:p w14:paraId="7DB1EA1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заводские и государственные испытания, при чем второй вариант оказался более приемлемым</w:t>
            </w:r>
          </w:p>
        </w:tc>
      </w:tr>
      <w:tr w:rsidR="00F26F01" w:rsidRPr="00C33834" w14:paraId="0B463FF0" w14:textId="77777777">
        <w:tc>
          <w:tcPr>
            <w:tcW w:w="3369" w:type="dxa"/>
          </w:tcPr>
          <w:p w14:paraId="068DA93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являющ. обычным Р5, но</w:t>
            </w:r>
          </w:p>
        </w:tc>
        <w:tc>
          <w:tcPr>
            <w:tcW w:w="7512" w:type="dxa"/>
          </w:tcPr>
          <w:p w14:paraId="03A27A9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дал по сравнению с обычным самолетом улучшение управляемости на малых скоростях,</w:t>
            </w:r>
          </w:p>
        </w:tc>
      </w:tr>
      <w:tr w:rsidR="00F26F01" w:rsidRPr="00C33834" w14:paraId="75A522EE" w14:textId="77777777">
        <w:tc>
          <w:tcPr>
            <w:tcW w:w="3369" w:type="dxa"/>
          </w:tcPr>
          <w:p w14:paraId="210F936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переделанной коробкой</w:t>
            </w:r>
          </w:p>
        </w:tc>
        <w:tc>
          <w:tcPr>
            <w:tcW w:w="7512" w:type="dxa"/>
          </w:tcPr>
          <w:p w14:paraId="6D97DA7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меньшую посадочную скорость, уменьшение пробега, но одновременно потерял 12 км/час на</w:t>
            </w:r>
          </w:p>
        </w:tc>
      </w:tr>
      <w:tr w:rsidR="00F26F01" w:rsidRPr="00C33834" w14:paraId="7BA8C6D5" w14:textId="77777777">
        <w:tc>
          <w:tcPr>
            <w:tcW w:w="3369" w:type="dxa"/>
          </w:tcPr>
          <w:p w14:paraId="5B39EFA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крыльев и</w:t>
            </w:r>
          </w:p>
        </w:tc>
        <w:tc>
          <w:tcPr>
            <w:tcW w:w="7512" w:type="dxa"/>
          </w:tcPr>
          <w:p w14:paraId="58ACE3B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максимальной скорости. ВВС"ом дается заказ на изготовление 10 шт. самолетов для войсковой</w:t>
            </w:r>
          </w:p>
        </w:tc>
      </w:tr>
      <w:tr w:rsidR="00F26F01" w:rsidRPr="00C33834" w14:paraId="19D5A7D4" w14:textId="77777777">
        <w:tc>
          <w:tcPr>
            <w:tcW w:w="3369" w:type="dxa"/>
          </w:tcPr>
          <w:p w14:paraId="14E0D40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видоизмененным шасси.</w:t>
            </w:r>
          </w:p>
        </w:tc>
        <w:tc>
          <w:tcPr>
            <w:tcW w:w="7512" w:type="dxa"/>
          </w:tcPr>
          <w:p w14:paraId="1033447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серии.</w:t>
            </w:r>
          </w:p>
        </w:tc>
      </w:tr>
      <w:tr w:rsidR="00F26F01" w:rsidRPr="00C33834" w14:paraId="22A6503E" w14:textId="77777777">
        <w:tc>
          <w:tcPr>
            <w:tcW w:w="3369" w:type="dxa"/>
          </w:tcPr>
          <w:p w14:paraId="34941E6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не значащиеся в плане утвержденном комиссией РВС СССР.</w:t>
            </w:r>
          </w:p>
        </w:tc>
        <w:tc>
          <w:tcPr>
            <w:tcW w:w="7512" w:type="dxa"/>
          </w:tcPr>
          <w:p w14:paraId="315EF33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70B9304" w14:textId="77777777">
        <w:tc>
          <w:tcPr>
            <w:tcW w:w="3369" w:type="dxa"/>
          </w:tcPr>
          <w:p w14:paraId="61610F4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ТБ4 - 6М34</w:t>
            </w:r>
          </w:p>
        </w:tc>
        <w:tc>
          <w:tcPr>
            <w:tcW w:w="7512" w:type="dxa"/>
          </w:tcPr>
          <w:p w14:paraId="6393C57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Является усовершенствованным экземпляром опытного самолета. Готовность к настоящему</w:t>
            </w:r>
          </w:p>
        </w:tc>
      </w:tr>
      <w:tr w:rsidR="00F26F01" w:rsidRPr="00C33834" w14:paraId="1D485C6B" w14:textId="77777777">
        <w:tc>
          <w:tcPr>
            <w:tcW w:w="3369" w:type="dxa"/>
          </w:tcPr>
          <w:p w14:paraId="5213D50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Головной экземпл.</w:t>
            </w:r>
          </w:p>
        </w:tc>
        <w:tc>
          <w:tcPr>
            <w:tcW w:w="7512" w:type="dxa"/>
          </w:tcPr>
          <w:p w14:paraId="5DE109F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времени выражается в 55%, но в связи с увеличением площади, размаха и установкой 8-ми </w:t>
            </w:r>
          </w:p>
        </w:tc>
      </w:tr>
      <w:tr w:rsidR="00F26F01" w:rsidRPr="00C33834" w14:paraId="0C0FD511" w14:textId="77777777">
        <w:tc>
          <w:tcPr>
            <w:tcW w:w="3369" w:type="dxa"/>
          </w:tcPr>
          <w:p w14:paraId="7C0E28D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2" w:type="dxa"/>
          </w:tcPr>
          <w:p w14:paraId="4642CF1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моторов и предстоящих переделок процент необходимо снизить.</w:t>
            </w:r>
          </w:p>
        </w:tc>
      </w:tr>
      <w:tr w:rsidR="00F26F01" w:rsidRPr="00C33834" w14:paraId="1FAECFF3" w14:textId="77777777">
        <w:tc>
          <w:tcPr>
            <w:tcW w:w="3369" w:type="dxa"/>
          </w:tcPr>
          <w:p w14:paraId="566D9EA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ТБ3 - 4М34Р</w:t>
            </w:r>
          </w:p>
        </w:tc>
        <w:tc>
          <w:tcPr>
            <w:tcW w:w="7512" w:type="dxa"/>
          </w:tcPr>
          <w:p w14:paraId="466B5BD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 связи с установкой мотора с редуктором и необходимыми усовершенствованиями возникают</w:t>
            </w:r>
          </w:p>
        </w:tc>
      </w:tr>
      <w:tr w:rsidR="00F26F01" w:rsidRPr="00C33834" w14:paraId="588D4523" w14:textId="77777777">
        <w:tc>
          <w:tcPr>
            <w:tcW w:w="3369" w:type="dxa"/>
          </w:tcPr>
          <w:p w14:paraId="106C616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мотора с</w:t>
            </w:r>
          </w:p>
        </w:tc>
        <w:tc>
          <w:tcPr>
            <w:tcW w:w="7512" w:type="dxa"/>
          </w:tcPr>
          <w:p w14:paraId="28E0F11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крупные переделки. Отсутствие мотора и готового самолета для переделок сильно тормозят </w:t>
            </w:r>
          </w:p>
        </w:tc>
      </w:tr>
      <w:tr w:rsidR="00F26F01" w:rsidRPr="00C33834" w14:paraId="49CC78E9" w14:textId="77777777">
        <w:tc>
          <w:tcPr>
            <w:tcW w:w="3369" w:type="dxa"/>
          </w:tcPr>
          <w:p w14:paraId="3EA2246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редуктором.</w:t>
            </w:r>
          </w:p>
        </w:tc>
        <w:tc>
          <w:tcPr>
            <w:tcW w:w="7512" w:type="dxa"/>
          </w:tcPr>
          <w:p w14:paraId="6D5AA72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дело.</w:t>
            </w:r>
          </w:p>
        </w:tc>
      </w:tr>
      <w:tr w:rsidR="00F26F01" w:rsidRPr="00C33834" w14:paraId="38F4ACEC" w14:textId="77777777">
        <w:tc>
          <w:tcPr>
            <w:tcW w:w="3369" w:type="dxa"/>
          </w:tcPr>
          <w:p w14:paraId="44475D6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МИ3 - 2М34</w:t>
            </w:r>
          </w:p>
        </w:tc>
        <w:tc>
          <w:tcPr>
            <w:tcW w:w="7512" w:type="dxa"/>
          </w:tcPr>
          <w:p w14:paraId="00D6512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Головной МИ3 являлся улучшенным экземпляром и готов в производстве на 60%.</w:t>
            </w:r>
          </w:p>
        </w:tc>
      </w:tr>
      <w:tr w:rsidR="00F26F01" w:rsidRPr="00C33834" w14:paraId="3A2292E5" w14:textId="77777777">
        <w:tc>
          <w:tcPr>
            <w:tcW w:w="3369" w:type="dxa"/>
          </w:tcPr>
          <w:p w14:paraId="1D9AAC7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Головной.</w:t>
            </w:r>
          </w:p>
        </w:tc>
        <w:tc>
          <w:tcPr>
            <w:tcW w:w="7512" w:type="dxa"/>
          </w:tcPr>
          <w:p w14:paraId="51D6D7D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Проектированием закончен на 99%. Но в связи с обнаруженными дефектами на опытном</w:t>
            </w:r>
          </w:p>
        </w:tc>
      </w:tr>
      <w:tr w:rsidR="00F26F01" w:rsidRPr="00C33834" w14:paraId="5A8C0B70" w14:textId="77777777">
        <w:tc>
          <w:tcPr>
            <w:tcW w:w="3369" w:type="dxa"/>
          </w:tcPr>
          <w:p w14:paraId="5B6A1B7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2" w:type="dxa"/>
          </w:tcPr>
          <w:p w14:paraId="10AD11A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экземпляре работы приостановлены, впредь до выяснения результатов переделок в полете на</w:t>
            </w:r>
          </w:p>
        </w:tc>
      </w:tr>
      <w:tr w:rsidR="00F26F01" w:rsidRPr="00C33834" w14:paraId="20D9CE51" w14:textId="77777777">
        <w:tc>
          <w:tcPr>
            <w:tcW w:w="3369" w:type="dxa"/>
          </w:tcPr>
          <w:p w14:paraId="499FAF9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512" w:type="dxa"/>
          </w:tcPr>
          <w:p w14:paraId="0E20F16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опытном экземпляре.</w:t>
            </w:r>
          </w:p>
        </w:tc>
      </w:tr>
      <w:tr w:rsidR="00F26F01" w:rsidRPr="00C33834" w14:paraId="7C9EC565" w14:textId="77777777">
        <w:tc>
          <w:tcPr>
            <w:tcW w:w="3369" w:type="dxa"/>
          </w:tcPr>
          <w:p w14:paraId="5ECCC15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Л.Р. - М34 головной.</w:t>
            </w:r>
          </w:p>
        </w:tc>
        <w:tc>
          <w:tcPr>
            <w:tcW w:w="7512" w:type="dxa"/>
          </w:tcPr>
          <w:p w14:paraId="7022A84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D70B80C" w14:textId="77777777">
        <w:tc>
          <w:tcPr>
            <w:tcW w:w="3369" w:type="dxa"/>
          </w:tcPr>
          <w:p w14:paraId="72079B9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ТШ3 - М34 головной.</w:t>
            </w:r>
          </w:p>
        </w:tc>
        <w:tc>
          <w:tcPr>
            <w:tcW w:w="7512" w:type="dxa"/>
          </w:tcPr>
          <w:p w14:paraId="28E9D3D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9C025E4" w14:textId="77777777">
        <w:tc>
          <w:tcPr>
            <w:tcW w:w="3369" w:type="dxa"/>
          </w:tcPr>
          <w:p w14:paraId="58516F2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ЦКБ - И49</w:t>
            </w:r>
          </w:p>
        </w:tc>
        <w:tc>
          <w:tcPr>
            <w:tcW w:w="7512" w:type="dxa"/>
          </w:tcPr>
          <w:p w14:paraId="4721763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Эскизный проект разработан и идет постройка макета.</w:t>
            </w:r>
          </w:p>
        </w:tc>
      </w:tr>
      <w:tr w:rsidR="00F26F01" w:rsidRPr="00C33834" w14:paraId="5ADAB606" w14:textId="77777777">
        <w:tc>
          <w:tcPr>
            <w:tcW w:w="3369" w:type="dxa"/>
          </w:tcPr>
          <w:p w14:paraId="0B7A91D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Пассажирская 6-ти</w:t>
            </w:r>
          </w:p>
        </w:tc>
        <w:tc>
          <w:tcPr>
            <w:tcW w:w="7512" w:type="dxa"/>
          </w:tcPr>
          <w:p w14:paraId="7839C22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5D72707" w14:textId="77777777">
        <w:tc>
          <w:tcPr>
            <w:tcW w:w="3369" w:type="dxa"/>
          </w:tcPr>
          <w:p w14:paraId="1385EC4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местная машина.</w:t>
            </w:r>
          </w:p>
        </w:tc>
        <w:tc>
          <w:tcPr>
            <w:tcW w:w="7512" w:type="dxa"/>
          </w:tcPr>
          <w:p w14:paraId="13C55EE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7A1D3EF" w14:textId="77777777">
        <w:tc>
          <w:tcPr>
            <w:tcW w:w="3369" w:type="dxa"/>
          </w:tcPr>
          <w:p w14:paraId="7A01003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ЦКБ - М11</w:t>
            </w:r>
          </w:p>
        </w:tc>
        <w:tc>
          <w:tcPr>
            <w:tcW w:w="7512" w:type="dxa"/>
          </w:tcPr>
          <w:p w14:paraId="13726BE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Идет разработка эскизного проекта и постройка макета.</w:t>
            </w:r>
          </w:p>
        </w:tc>
      </w:tr>
      <w:tr w:rsidR="00F26F01" w:rsidRPr="00C33834" w14:paraId="0B8B7B5D" w14:textId="77777777">
        <w:tc>
          <w:tcPr>
            <w:tcW w:w="3369" w:type="dxa"/>
          </w:tcPr>
          <w:p w14:paraId="064C43F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Маломощный самолет</w:t>
            </w:r>
          </w:p>
        </w:tc>
        <w:tc>
          <w:tcPr>
            <w:tcW w:w="7512" w:type="dxa"/>
          </w:tcPr>
          <w:p w14:paraId="36D7B01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86E9383" w14:textId="77777777">
        <w:tc>
          <w:tcPr>
            <w:tcW w:w="3369" w:type="dxa"/>
          </w:tcPr>
          <w:p w14:paraId="01084ED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связи, спорта туризма.</w:t>
            </w:r>
          </w:p>
        </w:tc>
        <w:tc>
          <w:tcPr>
            <w:tcW w:w="7512" w:type="dxa"/>
          </w:tcPr>
          <w:p w14:paraId="36C46BF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0B8949C" w14:textId="77777777">
        <w:tc>
          <w:tcPr>
            <w:tcW w:w="3369" w:type="dxa"/>
          </w:tcPr>
          <w:p w14:paraId="351DD10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ХАИ-1 - М22.</w:t>
            </w:r>
          </w:p>
        </w:tc>
        <w:tc>
          <w:tcPr>
            <w:tcW w:w="7512" w:type="dxa"/>
          </w:tcPr>
          <w:p w14:paraId="53E985A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Самолет в текущем полугодии прошел государств. испытания, показал очень хорошие летные</w:t>
            </w:r>
          </w:p>
        </w:tc>
      </w:tr>
      <w:tr w:rsidR="00F26F01" w:rsidRPr="00C33834" w14:paraId="3466BA8C" w14:textId="77777777">
        <w:tc>
          <w:tcPr>
            <w:tcW w:w="3369" w:type="dxa"/>
          </w:tcPr>
          <w:p w14:paraId="0429E8B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Пассажирский скоростной</w:t>
            </w:r>
          </w:p>
        </w:tc>
        <w:tc>
          <w:tcPr>
            <w:tcW w:w="7512" w:type="dxa"/>
          </w:tcPr>
          <w:p w14:paraId="56D13EE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качества и принят ко внедрению на зав. 21. ВВС"ом дано задание на постройку военного варианта</w:t>
            </w:r>
          </w:p>
        </w:tc>
      </w:tr>
      <w:tr w:rsidR="00F26F01" w:rsidRPr="00C33834" w14:paraId="02F0BA83" w14:textId="77777777">
        <w:tc>
          <w:tcPr>
            <w:tcW w:w="3369" w:type="dxa"/>
          </w:tcPr>
          <w:p w14:paraId="640F612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8-ми мест.</w:t>
            </w:r>
          </w:p>
        </w:tc>
        <w:tc>
          <w:tcPr>
            <w:tcW w:w="7512" w:type="dxa"/>
          </w:tcPr>
          <w:p w14:paraId="3D0EFC4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бомбардировщика. В настоящее время группа конструкторов Харьк. авиаинститута совместно с</w:t>
            </w:r>
          </w:p>
        </w:tc>
      </w:tr>
      <w:tr w:rsidR="00F26F01" w:rsidRPr="00C33834" w14:paraId="22243CA6" w14:textId="77777777">
        <w:tc>
          <w:tcPr>
            <w:tcW w:w="3369" w:type="dxa"/>
          </w:tcPr>
          <w:p w14:paraId="682FE61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деревян. конструкции,</w:t>
            </w:r>
          </w:p>
        </w:tc>
        <w:tc>
          <w:tcPr>
            <w:tcW w:w="7512" w:type="dxa"/>
          </w:tcPr>
          <w:p w14:paraId="109AEA8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N 21 разрабатывают рабочие чертежи, приспособления и пр. для внедрения самолета.</w:t>
            </w:r>
          </w:p>
        </w:tc>
      </w:tr>
      <w:tr w:rsidR="00F26F01" w:rsidRPr="00C33834" w14:paraId="25462436" w14:textId="77777777">
        <w:tc>
          <w:tcPr>
            <w:tcW w:w="3369" w:type="dxa"/>
          </w:tcPr>
          <w:p w14:paraId="63376C9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типа монокок, с</w:t>
            </w:r>
          </w:p>
        </w:tc>
        <w:tc>
          <w:tcPr>
            <w:tcW w:w="7512" w:type="dxa"/>
          </w:tcPr>
          <w:p w14:paraId="604DD73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035322A" w14:textId="77777777">
        <w:tc>
          <w:tcPr>
            <w:tcW w:w="3369" w:type="dxa"/>
          </w:tcPr>
          <w:p w14:paraId="0EE7ED2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убирающимся в полете</w:t>
            </w:r>
          </w:p>
        </w:tc>
        <w:tc>
          <w:tcPr>
            <w:tcW w:w="7512" w:type="dxa"/>
          </w:tcPr>
          <w:p w14:paraId="7282D51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58AAA86" w14:textId="77777777">
        <w:tc>
          <w:tcPr>
            <w:tcW w:w="3369" w:type="dxa"/>
          </w:tcPr>
          <w:p w14:paraId="33D23D4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 Скорость у</w:t>
            </w:r>
          </w:p>
        </w:tc>
        <w:tc>
          <w:tcPr>
            <w:tcW w:w="7512" w:type="dxa"/>
          </w:tcPr>
          <w:p w14:paraId="2385228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611577E" w14:textId="77777777">
        <w:tc>
          <w:tcPr>
            <w:tcW w:w="3369" w:type="dxa"/>
          </w:tcPr>
          <w:p w14:paraId="73BCBED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земли 292 км/час.</w:t>
            </w:r>
          </w:p>
        </w:tc>
        <w:tc>
          <w:tcPr>
            <w:tcW w:w="7512" w:type="dxa"/>
          </w:tcPr>
          <w:p w14:paraId="2AF1B74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BAB4777" w14:textId="77777777">
        <w:tc>
          <w:tcPr>
            <w:tcW w:w="3369" w:type="dxa"/>
          </w:tcPr>
          <w:p w14:paraId="32564CC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 7200 м.</w:t>
            </w:r>
          </w:p>
        </w:tc>
        <w:tc>
          <w:tcPr>
            <w:tcW w:w="7512" w:type="dxa"/>
          </w:tcPr>
          <w:p w14:paraId="33CD07A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E47339D" w14:textId="77777777">
        <w:tc>
          <w:tcPr>
            <w:tcW w:w="3369" w:type="dxa"/>
          </w:tcPr>
          <w:p w14:paraId="54E18A1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Р6-2М17</w:t>
            </w:r>
          </w:p>
        </w:tc>
        <w:tc>
          <w:tcPr>
            <w:tcW w:w="7512" w:type="dxa"/>
          </w:tcPr>
          <w:p w14:paraId="6B7BFA8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Самолет спроектирован, построен и в настоящее время проходит заводские испытания.</w:t>
            </w:r>
          </w:p>
        </w:tc>
      </w:tr>
      <w:tr w:rsidR="00F26F01" w:rsidRPr="00C33834" w14:paraId="05BD878B" w14:textId="77777777">
        <w:tc>
          <w:tcPr>
            <w:tcW w:w="3369" w:type="dxa"/>
          </w:tcPr>
          <w:p w14:paraId="5C93B96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Модификация под 6-ти</w:t>
            </w:r>
          </w:p>
        </w:tc>
        <w:tc>
          <w:tcPr>
            <w:tcW w:w="7512" w:type="dxa"/>
          </w:tcPr>
          <w:p w14:paraId="2A3D1E3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Первые полеты дают очень хорошие показатели.</w:t>
            </w:r>
          </w:p>
        </w:tc>
      </w:tr>
      <w:tr w:rsidR="00F26F01" w:rsidRPr="00C33834" w14:paraId="53281563" w14:textId="77777777">
        <w:tc>
          <w:tcPr>
            <w:tcW w:w="3369" w:type="dxa"/>
          </w:tcPr>
          <w:p w14:paraId="5305854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местный пассажирский.</w:t>
            </w:r>
          </w:p>
        </w:tc>
        <w:tc>
          <w:tcPr>
            <w:tcW w:w="7512" w:type="dxa"/>
          </w:tcPr>
          <w:p w14:paraId="15D623C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E980DA6" w14:textId="77777777">
        <w:tc>
          <w:tcPr>
            <w:tcW w:w="3369" w:type="dxa"/>
          </w:tcPr>
          <w:p w14:paraId="43C94D5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МГ-8М34</w:t>
            </w:r>
          </w:p>
        </w:tc>
        <w:tc>
          <w:tcPr>
            <w:tcW w:w="7512" w:type="dxa"/>
          </w:tcPr>
          <w:p w14:paraId="1CA9867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Самолет находится в постройке. Общая техническая готовность в производство около 10%.</w:t>
            </w:r>
          </w:p>
        </w:tc>
      </w:tr>
      <w:tr w:rsidR="00F26F01" w:rsidRPr="00C33834" w14:paraId="2DB70605" w14:textId="77777777">
        <w:tc>
          <w:tcPr>
            <w:tcW w:w="3369" w:type="dxa"/>
          </w:tcPr>
          <w:p w14:paraId="1A50564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самолет "Максим</w:t>
            </w:r>
          </w:p>
        </w:tc>
        <w:tc>
          <w:tcPr>
            <w:tcW w:w="7512" w:type="dxa"/>
          </w:tcPr>
          <w:p w14:paraId="170B75E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Проектирование закончено на 50%. Большое количество деталей заготовлено, некоторые уже </w:t>
            </w:r>
          </w:p>
        </w:tc>
      </w:tr>
      <w:tr w:rsidR="00F26F01" w:rsidRPr="00C33834" w14:paraId="14C11B48" w14:textId="77777777">
        <w:tc>
          <w:tcPr>
            <w:tcW w:w="3369" w:type="dxa"/>
          </w:tcPr>
          <w:p w14:paraId="616EC54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Горький".</w:t>
            </w:r>
          </w:p>
        </w:tc>
        <w:tc>
          <w:tcPr>
            <w:tcW w:w="7512" w:type="dxa"/>
          </w:tcPr>
          <w:p w14:paraId="71924DD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закончены и некоторые части в сборке. Нужны моторы с редукторами и к ним специальные </w:t>
            </w:r>
          </w:p>
        </w:tc>
      </w:tr>
      <w:tr w:rsidR="00F26F01" w:rsidRPr="00C33834" w14:paraId="2938386C" w14:textId="77777777">
        <w:tc>
          <w:tcPr>
            <w:tcW w:w="3369" w:type="dxa"/>
          </w:tcPr>
          <w:p w14:paraId="4F405B7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модифицированный,</w:t>
            </w:r>
          </w:p>
        </w:tc>
        <w:tc>
          <w:tcPr>
            <w:tcW w:w="7512" w:type="dxa"/>
          </w:tcPr>
          <w:p w14:paraId="7301DAE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металлические винты.</w:t>
            </w:r>
          </w:p>
        </w:tc>
      </w:tr>
      <w:tr w:rsidR="00F26F01" w:rsidRPr="00C33834" w14:paraId="19A40880" w14:textId="77777777">
        <w:tc>
          <w:tcPr>
            <w:tcW w:w="3369" w:type="dxa"/>
          </w:tcPr>
          <w:p w14:paraId="6CD952F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улучшенный и специально</w:t>
            </w:r>
          </w:p>
        </w:tc>
        <w:tc>
          <w:tcPr>
            <w:tcW w:w="7512" w:type="dxa"/>
          </w:tcPr>
          <w:p w14:paraId="68517FE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F4E4596" w14:textId="77777777">
        <w:tc>
          <w:tcPr>
            <w:tcW w:w="3369" w:type="dxa"/>
          </w:tcPr>
          <w:p w14:paraId="44E6D29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предназначенный для</w:t>
            </w:r>
          </w:p>
        </w:tc>
        <w:tc>
          <w:tcPr>
            <w:tcW w:w="7512" w:type="dxa"/>
          </w:tcPr>
          <w:p w14:paraId="6629DE9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B37778F" w14:textId="77777777">
        <w:tc>
          <w:tcPr>
            <w:tcW w:w="3369" w:type="dxa"/>
          </w:tcPr>
          <w:p w14:paraId="28D084C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пропаганды с добавлением</w:t>
            </w:r>
          </w:p>
        </w:tc>
        <w:tc>
          <w:tcPr>
            <w:tcW w:w="7512" w:type="dxa"/>
          </w:tcPr>
          <w:p w14:paraId="6283894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3E3ACA3" w14:textId="77777777">
        <w:tc>
          <w:tcPr>
            <w:tcW w:w="3369" w:type="dxa"/>
          </w:tcPr>
          <w:p w14:paraId="49F29D5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2-х моторов к самолету</w:t>
            </w:r>
          </w:p>
        </w:tc>
        <w:tc>
          <w:tcPr>
            <w:tcW w:w="7512" w:type="dxa"/>
          </w:tcPr>
          <w:p w14:paraId="7B89E35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E439E22" w14:textId="77777777">
        <w:tc>
          <w:tcPr>
            <w:tcW w:w="3369" w:type="dxa"/>
          </w:tcPr>
          <w:p w14:paraId="0062EB3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ТБ4-6М34. Пуск машины</w:t>
            </w:r>
          </w:p>
        </w:tc>
        <w:tc>
          <w:tcPr>
            <w:tcW w:w="7512" w:type="dxa"/>
          </w:tcPr>
          <w:p w14:paraId="6DE67C8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3192932" w14:textId="77777777">
        <w:tc>
          <w:tcPr>
            <w:tcW w:w="3369" w:type="dxa"/>
          </w:tcPr>
          <w:p w14:paraId="43165FD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V/-34 г. (2310,143)</w:t>
            </w:r>
          </w:p>
        </w:tc>
        <w:tc>
          <w:tcPr>
            <w:tcW w:w="7512" w:type="dxa"/>
          </w:tcPr>
          <w:p w14:paraId="4C67544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674E313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Помимо указанных работ по самолетам проведены большие работы по тормозным колесам, металлическим винтам, вооружению и оборудованию самолетов.</w:t>
      </w:r>
    </w:p>
    <w:p w14:paraId="3DC3D55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тормозным колесам.</w:t>
      </w:r>
    </w:p>
    <w:p w14:paraId="1CDC3ED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Сконструированы все размеры тормозных колес, из которых 900х200 и....х300 прошли гос. испытания на самолетах Р5 и ТБ3. Колеса, тормоза и управление ими признаны удовлетворительными и пригодными для принятия в серийное производство.</w:t>
      </w:r>
    </w:p>
    <w:p w14:paraId="486304C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Размер 700х100 изготовлен, прошел с хорошими результатами стат. испыт., поставлен на самолет И-14 и проходит заводские испытания.</w:t>
      </w:r>
    </w:p>
    <w:p w14:paraId="19BB6E9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Размер 600х75 подготовлен к стат. испытаниям.</w:t>
      </w:r>
    </w:p>
    <w:p w14:paraId="468E229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Размер 800х150 - находится в сборке.</w:t>
      </w:r>
    </w:p>
    <w:p w14:paraId="55D2F51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Размер 1100х250 - находится в сборке.</w:t>
      </w:r>
    </w:p>
    <w:p w14:paraId="1911709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Размер 750х125 - находится в сборке.</w:t>
      </w:r>
    </w:p>
    <w:p w14:paraId="4D180BC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Помимо этого сконструированы и построены колеса с внутренней.... размером 700х100, хорошо прошедшие статистические испытания. Сейчас производятся колеса для установки на самолет. Такие же колеса..... для ТШ размером 900х200</w:t>
      </w:r>
    </w:p>
    <w:p w14:paraId="2E894F8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этого проведены большие изыскательные и экспериментальные работы по различным типам управления (гидравлическим, пневматическим, смешанным масляно-пневматич. механическим), а также по тормозам (различное..... колодок, наивыгоднейшая установка, подбор тормозящего слоя - фибра,.... и пр.).</w:t>
      </w:r>
    </w:p>
    <w:p w14:paraId="64BCAD4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Проведены большие работы по лыжам в смысле получения лыж с меньшими.... Достигнуты удовлетворительные результаты - лыжи для истребителей и разведчиков удалось облегчить на 8-14 кг при повышенной по сравнению со старыми, прочностью.</w:t>
      </w:r>
    </w:p>
    <w:p w14:paraId="355088A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металлическим винтам.</w:t>
      </w:r>
    </w:p>
    <w:p w14:paraId="6D98802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1932 г. установлено на сам. И5 с металлическими винтом, что несмотря на увеличение веса самого винта, летные данные самолета с металлическим винтом значительно улучшаются. Это же подтверждено и в 1933 г. на самолете ХАИ-1.</w:t>
      </w:r>
    </w:p>
    <w:p w14:paraId="0E787B0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Реально необходимыми винтами являются винты к моторам с редуктором, - поэтому все усилия были направлены к тому, чтобы спроектировать и освоить изготовление винтов с большим диаметром (4,5 - 5 м), что является большой трудностью, как в смысле получения однородных больших поковок, штампов, так и в смысле обработки их, ибо требуются специальные станки с большим расстоянием между центрами.</w:t>
      </w:r>
    </w:p>
    <w:p w14:paraId="3F14C44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К настоящему времени с проектированием больших винтов решение найдено и чертежи для изготовления поступят в августе месяце. Способы изготовления проработаны зав. N 28, кот. обеспечивается сейчас минимально необходимыми станками с тем, чтобы к концу 33 г. обеспечить выпуск металлических винтов на выходящие опытные машины.</w:t>
      </w:r>
    </w:p>
    <w:p w14:paraId="1ABB115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вооружению.</w:t>
      </w:r>
    </w:p>
    <w:p w14:paraId="1594206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вооружению пушками проведены крупные работы по экспериментальным установкам на самолетах И4, и ТБ3. На И4 после больших усилий и исправлений самолета удалось достигнуть вполне удовлетворительных результатов.</w:t>
      </w:r>
    </w:p>
    <w:p w14:paraId="6EAAD57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 же результаты достигнуты на самолете. Орудия отложены, произв. стрельбы и самолеты доведены до нужного состояния. Эти опыты с совершенной очевидностью показали, что под вооружение пушками приходится вести специальную конструкцию установок и специфическое приспособление самолетов. Задержками в этих работах служили постоянные неполадки с материальной частью артиллерийского имущества (пушки, снаряды, магазины и пр.).</w:t>
      </w:r>
    </w:p>
    <w:p w14:paraId="2ACB56B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самолете ТБ3, подготовленном как летающая лаборатория вооружения проведены крупные работы по установке пушек на турелях, но летные испытания еще не закончены (2310,143).</w:t>
      </w:r>
    </w:p>
    <w:p w14:paraId="55C9D43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Опытные работы по электрооборудованию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8627"/>
      </w:tblGrid>
      <w:tr w:rsidR="00F26F01" w:rsidRPr="00C33834" w14:paraId="5B8FA4B3" w14:textId="77777777">
        <w:tc>
          <w:tcPr>
            <w:tcW w:w="2254" w:type="dxa"/>
          </w:tcPr>
          <w:p w14:paraId="3ADFFF6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Центральные</w:t>
            </w:r>
          </w:p>
        </w:tc>
        <w:tc>
          <w:tcPr>
            <w:tcW w:w="8627" w:type="dxa"/>
          </w:tcPr>
          <w:p w14:paraId="3E54F03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Ц.Э.С. состоит из 3-х основных элементов:</w:t>
            </w:r>
          </w:p>
        </w:tc>
      </w:tr>
      <w:tr w:rsidR="00F26F01" w:rsidRPr="00C33834" w14:paraId="563AA947" w14:textId="77777777">
        <w:tc>
          <w:tcPr>
            <w:tcW w:w="2254" w:type="dxa"/>
          </w:tcPr>
          <w:p w14:paraId="30AE4E8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электростанции</w:t>
            </w:r>
          </w:p>
        </w:tc>
        <w:tc>
          <w:tcPr>
            <w:tcW w:w="8627" w:type="dxa"/>
          </w:tcPr>
          <w:p w14:paraId="2A067EC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динамо ДС - 2600</w:t>
            </w:r>
          </w:p>
        </w:tc>
      </w:tr>
      <w:tr w:rsidR="00F26F01" w:rsidRPr="00C33834" w14:paraId="53E89B80" w14:textId="77777777">
        <w:tc>
          <w:tcPr>
            <w:tcW w:w="2254" w:type="dxa"/>
          </w:tcPr>
          <w:p w14:paraId="237CF4D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самолетах</w:t>
            </w:r>
          </w:p>
        </w:tc>
        <w:tc>
          <w:tcPr>
            <w:tcW w:w="8627" w:type="dxa"/>
          </w:tcPr>
          <w:p w14:paraId="0BC9B31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двигателя внутреннего сгорания</w:t>
            </w:r>
          </w:p>
        </w:tc>
      </w:tr>
      <w:tr w:rsidR="00F26F01" w:rsidRPr="00C33834" w14:paraId="53963F3F" w14:textId="77777777">
        <w:tc>
          <w:tcPr>
            <w:tcW w:w="2254" w:type="dxa"/>
          </w:tcPr>
          <w:p w14:paraId="1DA25A0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П.Э.С.</w:t>
            </w:r>
          </w:p>
        </w:tc>
        <w:tc>
          <w:tcPr>
            <w:tcW w:w="8627" w:type="dxa"/>
          </w:tcPr>
          <w:p w14:paraId="7864F19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аккумуляторной батареи.</w:t>
            </w:r>
          </w:p>
        </w:tc>
      </w:tr>
      <w:tr w:rsidR="00F26F01" w:rsidRPr="00C33834" w14:paraId="15948713" w14:textId="77777777">
        <w:tc>
          <w:tcPr>
            <w:tcW w:w="2254" w:type="dxa"/>
          </w:tcPr>
          <w:p w14:paraId="46052FA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5002C6E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ЦАГИ - ведутся подготовительные работы под руководством инж. Наумова, в настоящее время - последний </w:t>
            </w:r>
          </w:p>
        </w:tc>
      </w:tr>
      <w:tr w:rsidR="00F26F01" w:rsidRPr="00C33834" w14:paraId="268AADD8" w14:textId="77777777">
        <w:tc>
          <w:tcPr>
            <w:tcW w:w="2254" w:type="dxa"/>
          </w:tcPr>
          <w:p w14:paraId="7E0E958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108A592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находится в Ленинграде, где выясняет вопрос с изготовлением двигателя внутреннего сгорания.</w:t>
            </w:r>
          </w:p>
        </w:tc>
      </w:tr>
      <w:tr w:rsidR="00F26F01" w:rsidRPr="00C33834" w14:paraId="3E471D59" w14:textId="77777777">
        <w:tc>
          <w:tcPr>
            <w:tcW w:w="2254" w:type="dxa"/>
          </w:tcPr>
          <w:p w14:paraId="313C034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66574D8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Динами ДС - 2600 - изготовляется электрозаводом им. Лепсе - первый экземпляр готов и проходит испытания.</w:t>
            </w:r>
          </w:p>
        </w:tc>
      </w:tr>
      <w:tr w:rsidR="00F26F01" w:rsidRPr="00C33834" w14:paraId="7EAD1FA2" w14:textId="77777777">
        <w:tc>
          <w:tcPr>
            <w:tcW w:w="2254" w:type="dxa"/>
          </w:tcPr>
          <w:p w14:paraId="493DB43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5F37E73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Аккумуляторы типа 24 IV - 24 ампера изготовляются Саратовским аккумуляторным заводом.</w:t>
            </w:r>
          </w:p>
        </w:tc>
      </w:tr>
      <w:tr w:rsidR="00F26F01" w:rsidRPr="00C33834" w14:paraId="5D0D32A7" w14:textId="77777777">
        <w:tc>
          <w:tcPr>
            <w:tcW w:w="2254" w:type="dxa"/>
          </w:tcPr>
          <w:p w14:paraId="52A38C1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6741A96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Вторую работу по Ц.Э.С. - ведет Х.А.З. для самолета К-7 (изготовляются 2 комплекта). Вся станция</w:t>
            </w:r>
          </w:p>
        </w:tc>
      </w:tr>
      <w:tr w:rsidR="00F26F01" w:rsidRPr="00C33834" w14:paraId="0BB3C92E" w14:textId="77777777">
        <w:tc>
          <w:tcPr>
            <w:tcW w:w="2254" w:type="dxa"/>
          </w:tcPr>
          <w:p w14:paraId="5E5D272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36B2FD7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монтируется из тех же элементов - причем двигатель изготовляет сам Х.А.З.О.С. Монтаж Ц.Э.С. и установку</w:t>
            </w:r>
          </w:p>
        </w:tc>
      </w:tr>
      <w:tr w:rsidR="00F26F01" w:rsidRPr="00C33834" w14:paraId="3C29FD9E" w14:textId="77777777">
        <w:tc>
          <w:tcPr>
            <w:tcW w:w="2254" w:type="dxa"/>
          </w:tcPr>
          <w:p w14:paraId="0B39AD9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3EC58FC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ее на самолет К-7 - будет делать также ХАЗ.</w:t>
            </w:r>
          </w:p>
        </w:tc>
      </w:tr>
      <w:tr w:rsidR="00F26F01" w:rsidRPr="00C33834" w14:paraId="073CF6F5" w14:textId="77777777">
        <w:tc>
          <w:tcPr>
            <w:tcW w:w="2254" w:type="dxa"/>
          </w:tcPr>
          <w:p w14:paraId="31F369F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623430B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 с заказом ЦЭС заграницей - пока решен отрицательно; предполагалось заказать 5 станций у фирмы</w:t>
            </w:r>
          </w:p>
        </w:tc>
      </w:tr>
      <w:tr w:rsidR="00F26F01" w:rsidRPr="00C33834" w14:paraId="670FB556" w14:textId="77777777">
        <w:tc>
          <w:tcPr>
            <w:tcW w:w="2254" w:type="dxa"/>
          </w:tcPr>
          <w:p w14:paraId="48DAC3C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0B94D08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Сименс - последняя запросила за одну станцию 7000 рублей, что потребовало бы затраты 35000 зол. рублей</w:t>
            </w:r>
          </w:p>
        </w:tc>
      </w:tr>
      <w:tr w:rsidR="00F26F01" w:rsidRPr="00C33834" w14:paraId="28916BC6" w14:textId="77777777">
        <w:tc>
          <w:tcPr>
            <w:tcW w:w="2254" w:type="dxa"/>
          </w:tcPr>
          <w:p w14:paraId="60AC813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54E677D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плюс 4000 накладных расходов.</w:t>
            </w:r>
          </w:p>
        </w:tc>
      </w:tr>
      <w:tr w:rsidR="00F26F01" w:rsidRPr="00C33834" w14:paraId="71B11497" w14:textId="77777777">
        <w:tc>
          <w:tcPr>
            <w:tcW w:w="2254" w:type="dxa"/>
          </w:tcPr>
          <w:p w14:paraId="6DE0428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Модифицированное</w:t>
            </w:r>
          </w:p>
        </w:tc>
        <w:tc>
          <w:tcPr>
            <w:tcW w:w="8627" w:type="dxa"/>
          </w:tcPr>
          <w:p w14:paraId="4F65065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Первая установка сделана на самолете ТБ-4, путем установки динамо стартерного типа</w:t>
            </w:r>
          </w:p>
        </w:tc>
      </w:tr>
      <w:tr w:rsidR="00F26F01" w:rsidRPr="00C33834" w14:paraId="27BECB58" w14:textId="77777777">
        <w:tc>
          <w:tcPr>
            <w:tcW w:w="2254" w:type="dxa"/>
          </w:tcPr>
          <w:p w14:paraId="316FCEA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изменение угла</w:t>
            </w:r>
          </w:p>
        </w:tc>
        <w:tc>
          <w:tcPr>
            <w:tcW w:w="8627" w:type="dxa"/>
          </w:tcPr>
          <w:p w14:paraId="2957C8C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киловатт). Мощность 3 НР.</w:t>
            </w:r>
          </w:p>
        </w:tc>
      </w:tr>
      <w:tr w:rsidR="00F26F01" w:rsidRPr="00C33834" w14:paraId="3DEBE2DE" w14:textId="77777777">
        <w:tc>
          <w:tcPr>
            <w:tcW w:w="2254" w:type="dxa"/>
          </w:tcPr>
          <w:p w14:paraId="5D8BC04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атаки у</w:t>
            </w:r>
          </w:p>
        </w:tc>
        <w:tc>
          <w:tcPr>
            <w:tcW w:w="8627" w:type="dxa"/>
          </w:tcPr>
          <w:p w14:paraId="555BCD9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Изменение угла атаки происходит вполне удовлетворительно, но Конструкторским отделом</w:t>
            </w:r>
          </w:p>
        </w:tc>
      </w:tr>
      <w:tr w:rsidR="00F26F01" w:rsidRPr="00C33834" w14:paraId="6D65154E" w14:textId="77777777">
        <w:tc>
          <w:tcPr>
            <w:tcW w:w="2254" w:type="dxa"/>
          </w:tcPr>
          <w:p w14:paraId="1D6B288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стабилизатора</w:t>
            </w:r>
          </w:p>
        </w:tc>
        <w:tc>
          <w:tcPr>
            <w:tcW w:w="8627" w:type="dxa"/>
          </w:tcPr>
          <w:p w14:paraId="32FEA0A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 ведется перерасчет и будут введены дополнительные улучшения в кинематику.</w:t>
            </w:r>
          </w:p>
        </w:tc>
      </w:tr>
      <w:tr w:rsidR="00F26F01" w:rsidRPr="00C33834" w14:paraId="3BFE4187" w14:textId="77777777">
        <w:tc>
          <w:tcPr>
            <w:tcW w:w="2254" w:type="dxa"/>
          </w:tcPr>
          <w:p w14:paraId="59EF42D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 ТБ4</w:t>
            </w:r>
          </w:p>
        </w:tc>
        <w:tc>
          <w:tcPr>
            <w:tcW w:w="8627" w:type="dxa"/>
          </w:tcPr>
          <w:p w14:paraId="4AE4863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Предположено выиграть в мощности, а также и в весе динамо.</w:t>
            </w:r>
          </w:p>
        </w:tc>
      </w:tr>
      <w:tr w:rsidR="00F26F01" w:rsidRPr="00C33834" w14:paraId="6DED6777" w14:textId="77777777">
        <w:tc>
          <w:tcPr>
            <w:tcW w:w="2254" w:type="dxa"/>
          </w:tcPr>
          <w:p w14:paraId="2424A57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Электротахометры</w:t>
            </w:r>
          </w:p>
        </w:tc>
        <w:tc>
          <w:tcPr>
            <w:tcW w:w="8627" w:type="dxa"/>
          </w:tcPr>
          <w:p w14:paraId="2CEBD23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Тахометр состоит из 3-х основных элементов динамо, гибкого вала и показателя.</w:t>
            </w:r>
          </w:p>
        </w:tc>
      </w:tr>
      <w:tr w:rsidR="00F26F01" w:rsidRPr="00C33834" w14:paraId="1D48F881" w14:textId="77777777">
        <w:tc>
          <w:tcPr>
            <w:tcW w:w="2254" w:type="dxa"/>
          </w:tcPr>
          <w:p w14:paraId="47A7435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76CFCF1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НИИ УВВС в июле с. г. проведены испытания динамо изготовленных Ярославским</w:t>
            </w:r>
          </w:p>
        </w:tc>
      </w:tr>
      <w:tr w:rsidR="00F26F01" w:rsidRPr="00C33834" w14:paraId="7258D3A2" w14:textId="77777777">
        <w:tc>
          <w:tcPr>
            <w:tcW w:w="2254" w:type="dxa"/>
          </w:tcPr>
          <w:p w14:paraId="1372419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214BC1D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электрозаводом.</w:t>
            </w:r>
          </w:p>
        </w:tc>
      </w:tr>
      <w:tr w:rsidR="00F26F01" w:rsidRPr="00C33834" w14:paraId="5141D402" w14:textId="77777777">
        <w:tc>
          <w:tcPr>
            <w:tcW w:w="2254" w:type="dxa"/>
          </w:tcPr>
          <w:p w14:paraId="54BBEF5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48D93E8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Показатели изготовлены заводом "Электроприбор" - Ленинград.</w:t>
            </w:r>
          </w:p>
        </w:tc>
      </w:tr>
      <w:tr w:rsidR="00F26F01" w:rsidRPr="00C33834" w14:paraId="7C78115F" w14:textId="77777777">
        <w:tc>
          <w:tcPr>
            <w:tcW w:w="2254" w:type="dxa"/>
          </w:tcPr>
          <w:p w14:paraId="656F255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73F7976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Оба агрегата при испытании в НИИ показали хорошую работу.</w:t>
            </w:r>
          </w:p>
        </w:tc>
      </w:tr>
      <w:tr w:rsidR="00F26F01" w:rsidRPr="00C33834" w14:paraId="4A69D78E" w14:textId="77777777">
        <w:tc>
          <w:tcPr>
            <w:tcW w:w="2254" w:type="dxa"/>
          </w:tcPr>
          <w:p w14:paraId="253F6A5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0CDE623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Гибкий вал, изготовленный на заводе Батищева в Туле, внешне вполне удовлетворяет </w:t>
            </w:r>
          </w:p>
        </w:tc>
      </w:tr>
      <w:tr w:rsidR="00F26F01" w:rsidRPr="00C33834" w14:paraId="05E8260C" w14:textId="77777777">
        <w:tc>
          <w:tcPr>
            <w:tcW w:w="2254" w:type="dxa"/>
          </w:tcPr>
          <w:p w14:paraId="597F2FB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7F55494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техническим требованиям. В настоящее время НИИ приступило к испытаниям всего собранного</w:t>
            </w:r>
          </w:p>
        </w:tc>
      </w:tr>
      <w:tr w:rsidR="00F26F01" w:rsidRPr="00C33834" w14:paraId="41FAEDB6" w14:textId="77777777">
        <w:tc>
          <w:tcPr>
            <w:tcW w:w="2254" w:type="dxa"/>
          </w:tcPr>
          <w:p w14:paraId="36084F5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77D859D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комплекта с установкой на самолете.</w:t>
            </w:r>
          </w:p>
        </w:tc>
      </w:tr>
      <w:tr w:rsidR="00F26F01" w:rsidRPr="00C33834" w14:paraId="4FECD024" w14:textId="77777777">
        <w:tc>
          <w:tcPr>
            <w:tcW w:w="2254" w:type="dxa"/>
          </w:tcPr>
          <w:p w14:paraId="527E34E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4EC0A7A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Динамо и показатели, с согласия НИИ, пущены в первые опытные серии.</w:t>
            </w:r>
          </w:p>
        </w:tc>
      </w:tr>
      <w:tr w:rsidR="00F26F01" w:rsidRPr="00C33834" w14:paraId="13FE7EE0" w14:textId="77777777">
        <w:tc>
          <w:tcPr>
            <w:tcW w:w="2254" w:type="dxa"/>
          </w:tcPr>
          <w:p w14:paraId="4AF9D57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Электрифицированное вооружение</w:t>
            </w:r>
          </w:p>
        </w:tc>
        <w:tc>
          <w:tcPr>
            <w:tcW w:w="8627" w:type="dxa"/>
          </w:tcPr>
          <w:p w14:paraId="6D7DF3C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40FD56D" w14:textId="77777777">
        <w:tc>
          <w:tcPr>
            <w:tcW w:w="2254" w:type="dxa"/>
          </w:tcPr>
          <w:p w14:paraId="25561FD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(стрелковое)</w:t>
            </w:r>
          </w:p>
        </w:tc>
        <w:tc>
          <w:tcPr>
            <w:tcW w:w="8627" w:type="dxa"/>
          </w:tcPr>
          <w:p w14:paraId="740FFAA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647B084" w14:textId="77777777">
        <w:tc>
          <w:tcPr>
            <w:tcW w:w="2254" w:type="dxa"/>
          </w:tcPr>
          <w:p w14:paraId="0E7B7AB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Электрифицированная</w:t>
            </w:r>
          </w:p>
        </w:tc>
        <w:tc>
          <w:tcPr>
            <w:tcW w:w="8627" w:type="dxa"/>
          </w:tcPr>
          <w:p w14:paraId="321F4FD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Электрифицированная пулеметная турель. Изменение положения турели, как в вертикальном,</w:t>
            </w:r>
          </w:p>
        </w:tc>
      </w:tr>
      <w:tr w:rsidR="00F26F01" w:rsidRPr="00C33834" w14:paraId="1C20E191" w14:textId="77777777">
        <w:tc>
          <w:tcPr>
            <w:tcW w:w="2254" w:type="dxa"/>
          </w:tcPr>
          <w:p w14:paraId="374BB2F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ТУР</w:t>
            </w:r>
          </w:p>
        </w:tc>
        <w:tc>
          <w:tcPr>
            <w:tcW w:w="8627" w:type="dxa"/>
          </w:tcPr>
          <w:p w14:paraId="6E1E514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 и горизонтальном направлениях - производится работой электромотора.</w:t>
            </w:r>
          </w:p>
        </w:tc>
      </w:tr>
      <w:tr w:rsidR="00F26F01" w:rsidRPr="00C33834" w14:paraId="63214C02" w14:textId="77777777">
        <w:tc>
          <w:tcPr>
            <w:tcW w:w="2254" w:type="dxa"/>
          </w:tcPr>
          <w:p w14:paraId="347A4A5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5282130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установлен мотор "Делько" около 400 ватт при 12 вольтах -</w:t>
            </w:r>
          </w:p>
        </w:tc>
      </w:tr>
      <w:tr w:rsidR="00F26F01" w:rsidRPr="00C33834" w14:paraId="0BD54531" w14:textId="77777777">
        <w:tc>
          <w:tcPr>
            <w:tcW w:w="2254" w:type="dxa"/>
          </w:tcPr>
          <w:p w14:paraId="0F6DDFB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052C340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предположено заменить мотор на более легкий порядка 3,5 кг. Вес "Делько" - 5 кг.</w:t>
            </w:r>
          </w:p>
        </w:tc>
      </w:tr>
      <w:tr w:rsidR="00F26F01" w:rsidRPr="00C33834" w14:paraId="53CD3BD9" w14:textId="77777777">
        <w:tc>
          <w:tcPr>
            <w:tcW w:w="2254" w:type="dxa"/>
          </w:tcPr>
          <w:p w14:paraId="0FCC2F5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273FC09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ведет ЦАГИ.</w:t>
            </w:r>
          </w:p>
        </w:tc>
      </w:tr>
      <w:tr w:rsidR="00F26F01" w:rsidRPr="00C33834" w14:paraId="76CEA8F8" w14:textId="77777777">
        <w:tc>
          <w:tcPr>
            <w:tcW w:w="2254" w:type="dxa"/>
          </w:tcPr>
          <w:p w14:paraId="037DD47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Электрифицированная</w:t>
            </w:r>
          </w:p>
        </w:tc>
        <w:tc>
          <w:tcPr>
            <w:tcW w:w="8627" w:type="dxa"/>
          </w:tcPr>
          <w:p w14:paraId="0D4DA56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Конструкция башен закончена.</w:t>
            </w:r>
          </w:p>
        </w:tc>
      </w:tr>
      <w:tr w:rsidR="00F26F01" w:rsidRPr="00C33834" w14:paraId="2F2255AC" w14:textId="77777777">
        <w:tc>
          <w:tcPr>
            <w:tcW w:w="2254" w:type="dxa"/>
          </w:tcPr>
          <w:p w14:paraId="7135226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вращающаяся башня</w:t>
            </w:r>
          </w:p>
        </w:tc>
        <w:tc>
          <w:tcPr>
            <w:tcW w:w="8627" w:type="dxa"/>
          </w:tcPr>
          <w:p w14:paraId="1E75FAC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Идут земные испытания. Предстоит установка на самолет и летные испытания на летающей</w:t>
            </w:r>
          </w:p>
        </w:tc>
      </w:tr>
      <w:tr w:rsidR="00F26F01" w:rsidRPr="00C33834" w14:paraId="4D7114C5" w14:textId="77777777">
        <w:tc>
          <w:tcPr>
            <w:tcW w:w="2254" w:type="dxa"/>
          </w:tcPr>
          <w:p w14:paraId="533D75D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СП-4 цилиндрическая</w:t>
            </w:r>
          </w:p>
        </w:tc>
        <w:tc>
          <w:tcPr>
            <w:tcW w:w="8627" w:type="dxa"/>
          </w:tcPr>
          <w:p w14:paraId="77DF529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лаборатории.</w:t>
            </w:r>
          </w:p>
        </w:tc>
      </w:tr>
      <w:tr w:rsidR="00F26F01" w:rsidRPr="00C33834" w14:paraId="4C91A629" w14:textId="77777777">
        <w:tc>
          <w:tcPr>
            <w:tcW w:w="2254" w:type="dxa"/>
          </w:tcPr>
          <w:p w14:paraId="0636AB3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7A52910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ЦАГИ.</w:t>
            </w:r>
          </w:p>
        </w:tc>
      </w:tr>
      <w:tr w:rsidR="00F26F01" w:rsidRPr="00C33834" w14:paraId="0E733473" w14:textId="77777777">
        <w:tc>
          <w:tcPr>
            <w:tcW w:w="2254" w:type="dxa"/>
          </w:tcPr>
          <w:p w14:paraId="0AA041C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Электрифицированная</w:t>
            </w:r>
          </w:p>
        </w:tc>
        <w:tc>
          <w:tcPr>
            <w:tcW w:w="8627" w:type="dxa"/>
          </w:tcPr>
          <w:p w14:paraId="4108ECD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Конструкция башен закончена. Чертежи переданы серийному заводу. Башня подлежит</w:t>
            </w:r>
          </w:p>
        </w:tc>
      </w:tr>
      <w:tr w:rsidR="00F26F01" w:rsidRPr="00C33834" w14:paraId="0592E6CA" w14:textId="77777777">
        <w:tc>
          <w:tcPr>
            <w:tcW w:w="2254" w:type="dxa"/>
          </w:tcPr>
          <w:p w14:paraId="74AFDDA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башня д/пушки</w:t>
            </w:r>
          </w:p>
        </w:tc>
        <w:tc>
          <w:tcPr>
            <w:tcW w:w="8627" w:type="dxa"/>
          </w:tcPr>
          <w:p w14:paraId="19D7C45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установке на самолеты ТБ-4. Работа ЦАГИ.</w:t>
            </w:r>
          </w:p>
        </w:tc>
      </w:tr>
      <w:tr w:rsidR="00F26F01" w:rsidRPr="00C33834" w14:paraId="6D46E873" w14:textId="77777777">
        <w:tc>
          <w:tcPr>
            <w:tcW w:w="2254" w:type="dxa"/>
          </w:tcPr>
          <w:p w14:paraId="6FAC8FE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Электрифицированное</w:t>
            </w:r>
          </w:p>
        </w:tc>
        <w:tc>
          <w:tcPr>
            <w:tcW w:w="8627" w:type="dxa"/>
          </w:tcPr>
          <w:p w14:paraId="4A1A47F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Произведены государственные испытания в НИИ УВВС, как земные, так и в воздухе.</w:t>
            </w:r>
          </w:p>
        </w:tc>
      </w:tr>
      <w:tr w:rsidR="00F26F01" w:rsidRPr="00C33834" w14:paraId="344E0E4D" w14:textId="77777777">
        <w:tc>
          <w:tcPr>
            <w:tcW w:w="2254" w:type="dxa"/>
          </w:tcPr>
          <w:p w14:paraId="5450864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открытие огня</w:t>
            </w:r>
          </w:p>
        </w:tc>
        <w:tc>
          <w:tcPr>
            <w:tcW w:w="8627" w:type="dxa"/>
          </w:tcPr>
          <w:p w14:paraId="303D21F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Прибор дал безотказную работу. Распоряжением Н-ка УВВС вооружаются первые 50</w:t>
            </w:r>
          </w:p>
        </w:tc>
      </w:tr>
      <w:tr w:rsidR="00F26F01" w:rsidRPr="00C33834" w14:paraId="4E104136" w14:textId="77777777">
        <w:tc>
          <w:tcPr>
            <w:tcW w:w="2254" w:type="dxa"/>
          </w:tcPr>
          <w:p w14:paraId="3187719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пулеметов на</w:t>
            </w:r>
          </w:p>
        </w:tc>
        <w:tc>
          <w:tcPr>
            <w:tcW w:w="8627" w:type="dxa"/>
          </w:tcPr>
          <w:p w14:paraId="341CC07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самолетов И-5 - выпускаемых заводом N 21. Заказано 200 приборов. Открытие огня</w:t>
            </w:r>
          </w:p>
        </w:tc>
      </w:tr>
      <w:tr w:rsidR="00F26F01" w:rsidRPr="00C33834" w14:paraId="34ABBADC" w14:textId="77777777">
        <w:tc>
          <w:tcPr>
            <w:tcW w:w="2254" w:type="dxa"/>
          </w:tcPr>
          <w:p w14:paraId="60A2A65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истребительных</w:t>
            </w:r>
          </w:p>
        </w:tc>
        <w:tc>
          <w:tcPr>
            <w:tcW w:w="8627" w:type="dxa"/>
          </w:tcPr>
          <w:p w14:paraId="5AD4E6E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происходит путем простого нажатия кнопок, установленных на гашетках, - на ручке</w:t>
            </w:r>
          </w:p>
        </w:tc>
      </w:tr>
      <w:tr w:rsidR="00F26F01" w:rsidRPr="00C33834" w14:paraId="746B2279" w14:textId="77777777">
        <w:tc>
          <w:tcPr>
            <w:tcW w:w="2254" w:type="dxa"/>
          </w:tcPr>
          <w:p w14:paraId="3B2C5C9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самолетах И-5</w:t>
            </w:r>
          </w:p>
        </w:tc>
        <w:tc>
          <w:tcPr>
            <w:tcW w:w="8627" w:type="dxa"/>
          </w:tcPr>
          <w:p w14:paraId="2FE80DE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управления у пилота.</w:t>
            </w:r>
          </w:p>
        </w:tc>
      </w:tr>
      <w:tr w:rsidR="00F26F01" w:rsidRPr="00C33834" w14:paraId="69E86D83" w14:textId="77777777">
        <w:tc>
          <w:tcPr>
            <w:tcW w:w="2254" w:type="dxa"/>
          </w:tcPr>
          <w:p w14:paraId="4D1672F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системы Брагина.</w:t>
            </w:r>
          </w:p>
        </w:tc>
        <w:tc>
          <w:tcPr>
            <w:tcW w:w="8627" w:type="dxa"/>
          </w:tcPr>
          <w:p w14:paraId="7144727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EA3B141" w14:textId="77777777">
        <w:tc>
          <w:tcPr>
            <w:tcW w:w="2254" w:type="dxa"/>
          </w:tcPr>
          <w:p w14:paraId="14BE279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Бомбардировочное вооружение.</w:t>
            </w:r>
          </w:p>
        </w:tc>
        <w:tc>
          <w:tcPr>
            <w:tcW w:w="8627" w:type="dxa"/>
          </w:tcPr>
          <w:p w14:paraId="5E02708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F5C8EE3" w14:textId="77777777">
        <w:tc>
          <w:tcPr>
            <w:tcW w:w="2254" w:type="dxa"/>
          </w:tcPr>
          <w:p w14:paraId="08D3C5A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Электрофицирование</w:t>
            </w:r>
          </w:p>
        </w:tc>
        <w:tc>
          <w:tcPr>
            <w:tcW w:w="8627" w:type="dxa"/>
          </w:tcPr>
          <w:p w14:paraId="3F529CF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Электрофицирование произведено путем установки электромагнитов системы Китенко.</w:t>
            </w:r>
          </w:p>
        </w:tc>
      </w:tr>
      <w:tr w:rsidR="00F26F01" w:rsidRPr="00C33834" w14:paraId="23F639DA" w14:textId="77777777">
        <w:tc>
          <w:tcPr>
            <w:tcW w:w="2254" w:type="dxa"/>
          </w:tcPr>
          <w:p w14:paraId="7CE28E8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балок бомбодержателей:</w:t>
            </w:r>
          </w:p>
        </w:tc>
        <w:tc>
          <w:tcPr>
            <w:tcW w:w="8627" w:type="dxa"/>
          </w:tcPr>
          <w:p w14:paraId="1A82B8B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дали хорошие результаты. Балки изготовляются вместе с деталями</w:t>
            </w:r>
          </w:p>
        </w:tc>
      </w:tr>
      <w:tr w:rsidR="00F26F01" w:rsidRPr="00C33834" w14:paraId="1F3E6279" w14:textId="77777777">
        <w:tc>
          <w:tcPr>
            <w:tcW w:w="2254" w:type="dxa"/>
          </w:tcPr>
          <w:p w14:paraId="3816181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Дер. 6</w:t>
            </w:r>
          </w:p>
        </w:tc>
        <w:tc>
          <w:tcPr>
            <w:tcW w:w="8627" w:type="dxa"/>
          </w:tcPr>
          <w:p w14:paraId="42A7178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д/электрифицирования заводом N 32.</w:t>
            </w:r>
          </w:p>
        </w:tc>
      </w:tr>
      <w:tr w:rsidR="00F26F01" w:rsidRPr="00C33834" w14:paraId="3AB7E6B8" w14:textId="77777777">
        <w:tc>
          <w:tcPr>
            <w:tcW w:w="2254" w:type="dxa"/>
          </w:tcPr>
          <w:p w14:paraId="375479E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Дер. 7</w:t>
            </w:r>
          </w:p>
        </w:tc>
        <w:tc>
          <w:tcPr>
            <w:tcW w:w="8627" w:type="dxa"/>
          </w:tcPr>
          <w:p w14:paraId="3ED634E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Окончательно решение вопроса с электрифицированием задерживается отсутствием</w:t>
            </w:r>
          </w:p>
        </w:tc>
      </w:tr>
      <w:tr w:rsidR="00F26F01" w:rsidRPr="00C33834" w14:paraId="1CBB39AC" w14:textId="77777777">
        <w:tc>
          <w:tcPr>
            <w:tcW w:w="2254" w:type="dxa"/>
          </w:tcPr>
          <w:p w14:paraId="3C1AFD2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Д.О.С.</w:t>
            </w:r>
          </w:p>
        </w:tc>
        <w:tc>
          <w:tcPr>
            <w:tcW w:w="8627" w:type="dxa"/>
          </w:tcPr>
          <w:p w14:paraId="726EB8F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утвержденного образца электросбрасывателя типа С.Р.</w:t>
            </w:r>
          </w:p>
        </w:tc>
      </w:tr>
      <w:tr w:rsidR="00F26F01" w:rsidRPr="00C33834" w14:paraId="561C00B6" w14:textId="77777777">
        <w:tc>
          <w:tcPr>
            <w:tcW w:w="2254" w:type="dxa"/>
          </w:tcPr>
          <w:p w14:paraId="55A02FD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7D58E37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Электросбрасыватель "Остехбюро" работает хорошо, - вопрос за окончательным утверждением</w:t>
            </w:r>
          </w:p>
        </w:tc>
      </w:tr>
      <w:tr w:rsidR="00F26F01" w:rsidRPr="00C33834" w14:paraId="7969A383" w14:textId="77777777">
        <w:tc>
          <w:tcPr>
            <w:tcW w:w="2254" w:type="dxa"/>
          </w:tcPr>
          <w:p w14:paraId="0B5418E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344C97D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НИИ, но он предназначен для самолетов тяжелого типа.</w:t>
            </w:r>
          </w:p>
        </w:tc>
      </w:tr>
      <w:tr w:rsidR="00F26F01" w:rsidRPr="00C33834" w14:paraId="79B4A55B" w14:textId="77777777">
        <w:tc>
          <w:tcPr>
            <w:tcW w:w="2254" w:type="dxa"/>
          </w:tcPr>
          <w:p w14:paraId="64B2D05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3AEEE42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Электросбрасыватель "С.Р." предназначенный для самолетов разведывательного типа - до сих</w:t>
            </w:r>
          </w:p>
        </w:tc>
      </w:tr>
      <w:tr w:rsidR="00F26F01" w:rsidRPr="00C33834" w14:paraId="6B3EC31E" w14:textId="77777777">
        <w:tc>
          <w:tcPr>
            <w:tcW w:w="2254" w:type="dxa"/>
          </w:tcPr>
          <w:p w14:paraId="22387C7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6C0A893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пор в доводке и заключения НИИ о нем нет.</w:t>
            </w:r>
          </w:p>
        </w:tc>
      </w:tr>
      <w:tr w:rsidR="00F26F01" w:rsidRPr="00C33834" w14:paraId="78C50605" w14:textId="77777777">
        <w:tc>
          <w:tcPr>
            <w:tcW w:w="2254" w:type="dxa"/>
          </w:tcPr>
          <w:p w14:paraId="61D0425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0D8D175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 с электрофицированием Д.О.С. находится на заключении в НИИ УВВС.</w:t>
            </w:r>
          </w:p>
        </w:tc>
      </w:tr>
      <w:tr w:rsidR="00F26F01" w:rsidRPr="00C33834" w14:paraId="67517B03" w14:textId="77777777">
        <w:tc>
          <w:tcPr>
            <w:tcW w:w="2254" w:type="dxa"/>
          </w:tcPr>
          <w:p w14:paraId="3984EE7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Электрифицированные</w:t>
            </w:r>
          </w:p>
        </w:tc>
        <w:tc>
          <w:tcPr>
            <w:tcW w:w="8627" w:type="dxa"/>
          </w:tcPr>
          <w:p w14:paraId="3BBD46C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Балки типа Д-1 устанавливаются на нижних крыльях истребительных самолетов, кроме того</w:t>
            </w:r>
          </w:p>
        </w:tc>
      </w:tr>
      <w:tr w:rsidR="00F26F01" w:rsidRPr="00C33834" w14:paraId="01A46472" w14:textId="77777777">
        <w:tc>
          <w:tcPr>
            <w:tcW w:w="2254" w:type="dxa"/>
          </w:tcPr>
          <w:p w14:paraId="3BE914C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балки бомбодержателей</w:t>
            </w:r>
          </w:p>
        </w:tc>
        <w:tc>
          <w:tcPr>
            <w:tcW w:w="8627" w:type="dxa"/>
          </w:tcPr>
          <w:p w14:paraId="77D0003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предназначены к установке на самолеты и тяжелых типов и в ЦАГИ ведется конструктивная</w:t>
            </w:r>
          </w:p>
        </w:tc>
      </w:tr>
      <w:tr w:rsidR="00F26F01" w:rsidRPr="00C33834" w14:paraId="69B932AB" w14:textId="77777777">
        <w:tc>
          <w:tcPr>
            <w:tcW w:w="2254" w:type="dxa"/>
          </w:tcPr>
          <w:p w14:paraId="1AAE1AA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типа Д-1.</w:t>
            </w:r>
          </w:p>
        </w:tc>
        <w:tc>
          <w:tcPr>
            <w:tcW w:w="8627" w:type="dxa"/>
          </w:tcPr>
          <w:p w14:paraId="2440EC6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разработка.</w:t>
            </w:r>
          </w:p>
        </w:tc>
      </w:tr>
      <w:tr w:rsidR="00F26F01" w:rsidRPr="00C33834" w14:paraId="3300F415" w14:textId="77777777">
        <w:tc>
          <w:tcPr>
            <w:tcW w:w="2254" w:type="dxa"/>
          </w:tcPr>
          <w:p w14:paraId="00D9C21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3CF8E1F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Балки позволяют производить - сбрасывание, как при помощи электричества, так и механически.</w:t>
            </w:r>
          </w:p>
        </w:tc>
      </w:tr>
      <w:tr w:rsidR="00F26F01" w:rsidRPr="00C33834" w14:paraId="1C02772E" w14:textId="77777777">
        <w:tc>
          <w:tcPr>
            <w:tcW w:w="2254" w:type="dxa"/>
          </w:tcPr>
          <w:p w14:paraId="46A08F8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18AF66A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истребительный самолет устанавливается 4 шт., причем ЦКБ зав. N 39 разрабатывается их</w:t>
            </w:r>
          </w:p>
        </w:tc>
      </w:tr>
      <w:tr w:rsidR="00F26F01" w:rsidRPr="00C33834" w14:paraId="116DE5FD" w14:textId="77777777">
        <w:tc>
          <w:tcPr>
            <w:tcW w:w="2254" w:type="dxa"/>
          </w:tcPr>
          <w:p w14:paraId="25A2D70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731F438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во внутрь крыла.</w:t>
            </w:r>
          </w:p>
        </w:tc>
      </w:tr>
      <w:tr w:rsidR="00F26F01" w:rsidRPr="00C33834" w14:paraId="6F300CAB" w14:textId="77777777">
        <w:tc>
          <w:tcPr>
            <w:tcW w:w="2254" w:type="dxa"/>
          </w:tcPr>
          <w:p w14:paraId="401CD5E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2D45F0B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первую очередь балки установлены на сам. И-5 (эталон зав. N 21) и подлежат испытаниям в</w:t>
            </w:r>
          </w:p>
        </w:tc>
      </w:tr>
      <w:tr w:rsidR="00F26F01" w:rsidRPr="00C33834" w14:paraId="11D3DD4E" w14:textId="77777777">
        <w:tc>
          <w:tcPr>
            <w:tcW w:w="2254" w:type="dxa"/>
          </w:tcPr>
          <w:p w14:paraId="2162EFD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6B96C36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НИИ.</w:t>
            </w:r>
          </w:p>
        </w:tc>
      </w:tr>
      <w:tr w:rsidR="00F26F01" w:rsidRPr="00C33834" w14:paraId="2C8DB040" w14:textId="77777777">
        <w:tc>
          <w:tcPr>
            <w:tcW w:w="2254" w:type="dxa"/>
          </w:tcPr>
          <w:p w14:paraId="07DDAF8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5EA2F49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Сбрасывание производится при помощи электросбрасывателя "С.И.", который также</w:t>
            </w:r>
          </w:p>
        </w:tc>
      </w:tr>
      <w:tr w:rsidR="00F26F01" w:rsidRPr="00C33834" w14:paraId="643F1A32" w14:textId="77777777">
        <w:tc>
          <w:tcPr>
            <w:tcW w:w="2254" w:type="dxa"/>
          </w:tcPr>
          <w:p w14:paraId="52AF62F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2D745DC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предъявляется на гос. испытания.</w:t>
            </w:r>
          </w:p>
        </w:tc>
      </w:tr>
      <w:tr w:rsidR="00F26F01" w:rsidRPr="00C33834" w14:paraId="1BA443F6" w14:textId="77777777">
        <w:tc>
          <w:tcPr>
            <w:tcW w:w="2254" w:type="dxa"/>
          </w:tcPr>
          <w:p w14:paraId="63DCEE1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2DA7DBB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все бомбодержатели дер. 6, 7, 13, 15, 16 и Д.О.С. - имеют разработанную</w:t>
            </w:r>
          </w:p>
        </w:tc>
      </w:tr>
      <w:tr w:rsidR="00F26F01" w:rsidRPr="00C33834" w14:paraId="5353ACD6" w14:textId="77777777">
        <w:tc>
          <w:tcPr>
            <w:tcW w:w="2254" w:type="dxa"/>
          </w:tcPr>
          <w:p w14:paraId="07CFF75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5051205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пиротехническую установку, для сбрасывания. В этом случае оно происходит вследствие</w:t>
            </w:r>
          </w:p>
        </w:tc>
      </w:tr>
      <w:tr w:rsidR="00F26F01" w:rsidRPr="00C33834" w14:paraId="3E98519B" w14:textId="77777777">
        <w:tc>
          <w:tcPr>
            <w:tcW w:w="2254" w:type="dxa"/>
          </w:tcPr>
          <w:p w14:paraId="4C1A5CC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2A66A36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воспламенения заряда от электронакала - проводника, выстрел освобождает щеколду замка и</w:t>
            </w:r>
          </w:p>
        </w:tc>
      </w:tr>
      <w:tr w:rsidR="00F26F01" w:rsidRPr="00C33834" w14:paraId="389FA37F" w14:textId="77777777">
        <w:tc>
          <w:tcPr>
            <w:tcW w:w="2254" w:type="dxa"/>
          </w:tcPr>
          <w:p w14:paraId="747F8C4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5C36AD3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бомба освобождается из держателя (2310,143).</w:t>
            </w:r>
          </w:p>
        </w:tc>
      </w:tr>
      <w:tr w:rsidR="00F26F01" w:rsidRPr="00C33834" w14:paraId="6EE3AE72" w14:textId="77777777">
        <w:tc>
          <w:tcPr>
            <w:tcW w:w="2254" w:type="dxa"/>
          </w:tcPr>
          <w:p w14:paraId="5F4FFF6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Химвооружение.</w:t>
            </w:r>
          </w:p>
        </w:tc>
        <w:tc>
          <w:tcPr>
            <w:tcW w:w="8627" w:type="dxa"/>
          </w:tcPr>
          <w:p w14:paraId="1B06CC9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0926D39" w14:textId="77777777">
        <w:tc>
          <w:tcPr>
            <w:tcW w:w="2254" w:type="dxa"/>
          </w:tcPr>
          <w:p w14:paraId="2FA8335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Химвооружение</w:t>
            </w:r>
          </w:p>
        </w:tc>
        <w:tc>
          <w:tcPr>
            <w:tcW w:w="8627" w:type="dxa"/>
          </w:tcPr>
          <w:p w14:paraId="62C6680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C4D07D4" w14:textId="77777777">
        <w:tc>
          <w:tcPr>
            <w:tcW w:w="2254" w:type="dxa"/>
          </w:tcPr>
          <w:p w14:paraId="3C750DE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выливного характера.</w:t>
            </w:r>
          </w:p>
        </w:tc>
        <w:tc>
          <w:tcPr>
            <w:tcW w:w="8627" w:type="dxa"/>
          </w:tcPr>
          <w:p w14:paraId="71A2596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EBE3075" w14:textId="77777777">
        <w:tc>
          <w:tcPr>
            <w:tcW w:w="2254" w:type="dxa"/>
          </w:tcPr>
          <w:p w14:paraId="3232456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ВАП-4</w:t>
            </w:r>
          </w:p>
        </w:tc>
        <w:tc>
          <w:tcPr>
            <w:tcW w:w="8627" w:type="dxa"/>
          </w:tcPr>
          <w:p w14:paraId="4D9E58B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Идет доводка на самолете Р-5. Установки на самолетах МБР-4 и МВР-3 - сданы.</w:t>
            </w:r>
          </w:p>
        </w:tc>
      </w:tr>
      <w:tr w:rsidR="00F26F01" w:rsidRPr="00C33834" w14:paraId="54048DB0" w14:textId="77777777">
        <w:tc>
          <w:tcPr>
            <w:tcW w:w="2254" w:type="dxa"/>
          </w:tcPr>
          <w:p w14:paraId="7155D96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ВАП-5</w:t>
            </w:r>
          </w:p>
        </w:tc>
        <w:tc>
          <w:tcPr>
            <w:tcW w:w="8627" w:type="dxa"/>
          </w:tcPr>
          <w:p w14:paraId="05817F7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Образец прошел государственные испытания.</w:t>
            </w:r>
          </w:p>
        </w:tc>
      </w:tr>
      <w:tr w:rsidR="00F26F01" w:rsidRPr="00C33834" w14:paraId="35A4E1AE" w14:textId="77777777">
        <w:tc>
          <w:tcPr>
            <w:tcW w:w="2254" w:type="dxa"/>
          </w:tcPr>
          <w:p w14:paraId="4DBC8A6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ВАП-6</w:t>
            </w:r>
          </w:p>
        </w:tc>
        <w:tc>
          <w:tcPr>
            <w:tcW w:w="8627" w:type="dxa"/>
          </w:tcPr>
          <w:p w14:paraId="5515853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В августе предстоят госуд. испытания на сам. И-5.</w:t>
            </w:r>
          </w:p>
        </w:tc>
      </w:tr>
      <w:tr w:rsidR="00F26F01" w:rsidRPr="00C33834" w14:paraId="5932AEC3" w14:textId="77777777">
        <w:tc>
          <w:tcPr>
            <w:tcW w:w="2254" w:type="dxa"/>
          </w:tcPr>
          <w:p w14:paraId="1172A15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Химвооружение</w:t>
            </w:r>
          </w:p>
        </w:tc>
        <w:tc>
          <w:tcPr>
            <w:tcW w:w="8627" w:type="dxa"/>
          </w:tcPr>
          <w:p w14:paraId="75A5156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B2B07C9" w14:textId="77777777">
        <w:tc>
          <w:tcPr>
            <w:tcW w:w="2254" w:type="dxa"/>
          </w:tcPr>
          <w:p w14:paraId="08675E6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дымового характера.</w:t>
            </w:r>
          </w:p>
        </w:tc>
        <w:tc>
          <w:tcPr>
            <w:tcW w:w="8627" w:type="dxa"/>
          </w:tcPr>
          <w:p w14:paraId="009DA76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82D9D53" w14:textId="77777777">
        <w:tc>
          <w:tcPr>
            <w:tcW w:w="2254" w:type="dxa"/>
          </w:tcPr>
          <w:p w14:paraId="7CD671C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ДХ-1</w:t>
            </w:r>
          </w:p>
        </w:tc>
        <w:tc>
          <w:tcPr>
            <w:tcW w:w="8627" w:type="dxa"/>
          </w:tcPr>
          <w:p w14:paraId="49D8AB3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Прибор проходит испытания на полигоне на сам. И-5.</w:t>
            </w:r>
          </w:p>
        </w:tc>
      </w:tr>
      <w:tr w:rsidR="00F26F01" w:rsidRPr="00C33834" w14:paraId="48C5F316" w14:textId="77777777">
        <w:tc>
          <w:tcPr>
            <w:tcW w:w="2254" w:type="dxa"/>
          </w:tcPr>
          <w:p w14:paraId="28F9370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Д-3</w:t>
            </w:r>
          </w:p>
        </w:tc>
        <w:tc>
          <w:tcPr>
            <w:tcW w:w="8627" w:type="dxa"/>
          </w:tcPr>
          <w:p w14:paraId="7BC17C2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Прибор пущен в серийное производство.</w:t>
            </w:r>
          </w:p>
        </w:tc>
      </w:tr>
      <w:tr w:rsidR="00F26F01" w:rsidRPr="00C33834" w14:paraId="4EC4D633" w14:textId="77777777">
        <w:tc>
          <w:tcPr>
            <w:tcW w:w="2254" w:type="dxa"/>
          </w:tcPr>
          <w:p w14:paraId="6D0B6EE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8627" w:type="dxa"/>
          </w:tcPr>
          <w:p w14:paraId="6AAB756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Приобретен из заграницы. Установлен на Р-6. Установка принята.</w:t>
            </w:r>
          </w:p>
        </w:tc>
      </w:tr>
      <w:tr w:rsidR="00F26F01" w:rsidRPr="00C33834" w14:paraId="346A140F" w14:textId="77777777">
        <w:tc>
          <w:tcPr>
            <w:tcW w:w="2254" w:type="dxa"/>
          </w:tcPr>
          <w:p w14:paraId="705A492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Ампульные кассеты.</w:t>
            </w:r>
          </w:p>
        </w:tc>
        <w:tc>
          <w:tcPr>
            <w:tcW w:w="8627" w:type="dxa"/>
          </w:tcPr>
          <w:p w14:paraId="52B63DB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Предназначены д/установки на самолеты ТБ-3. Предстоят испытания самих ампул - одних</w:t>
            </w:r>
          </w:p>
        </w:tc>
      </w:tr>
      <w:tr w:rsidR="00F26F01" w:rsidRPr="00C33834" w14:paraId="6AB9E13B" w14:textId="77777777">
        <w:tc>
          <w:tcPr>
            <w:tcW w:w="2254" w:type="dxa"/>
          </w:tcPr>
          <w:p w14:paraId="64904BF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0EBFAF6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изготовленных из латуни, вторых из жести, чтобы выяснить их степень раскрытия при падении.</w:t>
            </w:r>
          </w:p>
        </w:tc>
      </w:tr>
      <w:tr w:rsidR="00F26F01" w:rsidRPr="00C33834" w14:paraId="598A4B20" w14:textId="77777777">
        <w:tc>
          <w:tcPr>
            <w:tcW w:w="2254" w:type="dxa"/>
          </w:tcPr>
          <w:p w14:paraId="78027F3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12D6E7E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самолетов МК-1 и МИ3 ампульные кассеты находятся в производстве.</w:t>
            </w:r>
          </w:p>
        </w:tc>
      </w:tr>
      <w:tr w:rsidR="00F26F01" w:rsidRPr="00C33834" w14:paraId="647284AA" w14:textId="77777777">
        <w:tc>
          <w:tcPr>
            <w:tcW w:w="2254" w:type="dxa"/>
          </w:tcPr>
          <w:p w14:paraId="2970E0C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Фотооборудование.</w:t>
            </w:r>
          </w:p>
        </w:tc>
        <w:tc>
          <w:tcPr>
            <w:tcW w:w="8627" w:type="dxa"/>
          </w:tcPr>
          <w:p w14:paraId="6A6CA13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6F60CC2" w14:textId="77777777">
        <w:tc>
          <w:tcPr>
            <w:tcW w:w="2254" w:type="dxa"/>
          </w:tcPr>
          <w:p w14:paraId="18584FF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установка</w:t>
            </w:r>
          </w:p>
        </w:tc>
        <w:tc>
          <w:tcPr>
            <w:tcW w:w="8627" w:type="dxa"/>
          </w:tcPr>
          <w:p w14:paraId="0F017BC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Закончена конструктивная разработка и рабочие чертежи сданы зав. N 22. Установка была</w:t>
            </w:r>
          </w:p>
        </w:tc>
      </w:tr>
      <w:tr w:rsidR="00F26F01" w:rsidRPr="00C33834" w14:paraId="6B65DF2B" w14:textId="77777777">
        <w:tc>
          <w:tcPr>
            <w:tcW w:w="2254" w:type="dxa"/>
          </w:tcPr>
          <w:p w14:paraId="6854404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фотоаппарата А.Ф.А.</w:t>
            </w:r>
          </w:p>
        </w:tc>
        <w:tc>
          <w:tcPr>
            <w:tcW w:w="8627" w:type="dxa"/>
          </w:tcPr>
          <w:p w14:paraId="03338AF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испытана путем проверки ее работы на земле. Применение жесткой проводки не отразилось на</w:t>
            </w:r>
          </w:p>
        </w:tc>
      </w:tr>
      <w:tr w:rsidR="00F26F01" w:rsidRPr="00C33834" w14:paraId="5140E54D" w14:textId="77777777">
        <w:tc>
          <w:tcPr>
            <w:tcW w:w="2254" w:type="dxa"/>
          </w:tcPr>
          <w:p w14:paraId="3E2F677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самолет МИ-3.</w:t>
            </w:r>
          </w:p>
        </w:tc>
        <w:tc>
          <w:tcPr>
            <w:tcW w:w="8627" w:type="dxa"/>
          </w:tcPr>
          <w:p w14:paraId="3BA2025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четкости работы аппарата.</w:t>
            </w:r>
          </w:p>
        </w:tc>
      </w:tr>
      <w:tr w:rsidR="00F26F01" w:rsidRPr="00C33834" w14:paraId="5F47D147" w14:textId="77777777">
        <w:tc>
          <w:tcPr>
            <w:tcW w:w="2254" w:type="dxa"/>
          </w:tcPr>
          <w:p w14:paraId="41A9941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21A2028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состоит:</w:t>
            </w:r>
          </w:p>
        </w:tc>
      </w:tr>
      <w:tr w:rsidR="00F26F01" w:rsidRPr="00C33834" w14:paraId="5204DC80" w14:textId="77777777">
        <w:tc>
          <w:tcPr>
            <w:tcW w:w="2254" w:type="dxa"/>
          </w:tcPr>
          <w:p w14:paraId="613481A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365E12D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командного прибора;</w:t>
            </w:r>
          </w:p>
        </w:tc>
      </w:tr>
      <w:tr w:rsidR="00F26F01" w:rsidRPr="00C33834" w14:paraId="47EFE142" w14:textId="77777777">
        <w:tc>
          <w:tcPr>
            <w:tcW w:w="2254" w:type="dxa"/>
          </w:tcPr>
          <w:p w14:paraId="1F8C0F0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5B28D13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ветрянки;</w:t>
            </w:r>
          </w:p>
        </w:tc>
      </w:tr>
      <w:tr w:rsidR="00F26F01" w:rsidRPr="00C33834" w14:paraId="31B4183E" w14:textId="77777777">
        <w:tc>
          <w:tcPr>
            <w:tcW w:w="2254" w:type="dxa"/>
          </w:tcPr>
          <w:p w14:paraId="58A1817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46F14A1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аварийного включения;</w:t>
            </w:r>
          </w:p>
        </w:tc>
      </w:tr>
      <w:tr w:rsidR="00F26F01" w:rsidRPr="00C33834" w14:paraId="37A7672B" w14:textId="77777777">
        <w:tc>
          <w:tcPr>
            <w:tcW w:w="2254" w:type="dxa"/>
          </w:tcPr>
          <w:p w14:paraId="6512CBB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1D1E8A2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гибкой и жесткой проводки</w:t>
            </w:r>
          </w:p>
        </w:tc>
      </w:tr>
      <w:tr w:rsidR="00F26F01" w:rsidRPr="00C33834" w14:paraId="652E3DDF" w14:textId="77777777">
        <w:tc>
          <w:tcPr>
            <w:tcW w:w="2254" w:type="dxa"/>
          </w:tcPr>
          <w:p w14:paraId="2C2DA46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6E08DDB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самого аппарата А.Ф.А.-13, помещенного между 2 и 3 лонжероном центроплана.</w:t>
            </w:r>
          </w:p>
        </w:tc>
      </w:tr>
    </w:tbl>
    <w:p w14:paraId="3A087B0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Краткие выводы.</w:t>
      </w:r>
    </w:p>
    <w:p w14:paraId="7264FF1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Планом 1933-1934 г. поставлено - 12 опытных типов самолетов; 14 - экспериментальных; 10 - не значащихся в плане. Итого - 36 машин.</w:t>
      </w:r>
    </w:p>
    <w:p w14:paraId="279B8BC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Из них самолеты: 1) ТБ4-6М34; 2) ТБ3-4М34; 3) И-14 - М.Б.; 4) МИ3-2М34; 5) РД-М34; 6) Р6-2М17 - в пассажирском варианте; 7) Автожир М26; 8) Автожир М-11; 9) МБР4-М34 - находятся на заводских испытаниях, которые почти на 50% закончены. Сроки сдачи на гос. испытания, судя по ходу работ, должны быть выдержаны.</w:t>
      </w:r>
    </w:p>
    <w:p w14:paraId="154ED49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Из построенных машин передаются на внедрение серийной постройки: 1) ТБ4, 2) МИ3, 3) И-14 -М22, 4) ХАИ-1, 5) Р5 с разр. кр., 6) Р.Д. в военном варианте, 7) МБР4-М34.</w:t>
      </w:r>
    </w:p>
    <w:p w14:paraId="0C3FA47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Внедрены в производство и находятся в постройке: 1) МБР2-М17; 2) Р5 на поплавках; 3) Р6 на поплавках; 4) И5 - с поворотными стойками; Р5 - с тормозными шасси и колесами; 6) ТБ3-4М17 с тормозными колесами; 7) Автожир М26.</w:t>
      </w:r>
    </w:p>
    <w:p w14:paraId="0096294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переданы и прошли государственные испытания: 1) Р5 с разр. кр., 2) Р5 с торм. колесами, 3) ТБ3 с торм. кол., 4) ХАИ-1, 5) И5 с повор. стойк., 6) ДИ4-К.К.</w:t>
      </w:r>
    </w:p>
    <w:p w14:paraId="1BB94DE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Основными причинами задерживающими опытное самолетостроение является отсутствие вполне надежно испытанных и доведенных на самолетах отечественных моторов.</w:t>
      </w:r>
    </w:p>
    <w:p w14:paraId="2EEF302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Примерами этого положения может служить все самолеты выпущенные на заводские испытания.</w:t>
      </w:r>
    </w:p>
    <w:p w14:paraId="2916155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доводки моторного хозяйства на самолетах ТБ3 и ТБ4 и МИ3 и до выпуска самолетов потребовалось несколько месяцев, тогда как для сам. И-14 с мотором заграничным и не отступающим по своим свойствам от обычных, - потребовалось до выпуска в воздухе несколько дней.</w:t>
      </w:r>
    </w:p>
    <w:p w14:paraId="4F3DF81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Краткий технический отчет по опытному строительству моторов за 1-ое полугодие 1933 г.</w:t>
      </w:r>
    </w:p>
    <w:p w14:paraId="1763A37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Основными задачами по опытному моторостроению на 1933 г. являлись:</w:t>
      </w:r>
    </w:p>
    <w:p w14:paraId="6483269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Выполнение работ, незаконченных в 1932 г. по плану утвержденному Правительством от 4/VII-32 г.</w:t>
      </w:r>
    </w:p>
    <w:p w14:paraId="166C02D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Создание для моторов М-34 мощного нагнетателя до высоты 3500 м, а далее до 5000 м и редуктора к этому мотору.</w:t>
      </w:r>
    </w:p>
    <w:p w14:paraId="48B69ED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Создание винта переменного шага позволяющего максимально использовать мощности высотного мотора.</w:t>
      </w:r>
    </w:p>
    <w:p w14:paraId="20F9888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Создание мощного двигателя воздушного охлаждения для истребительной авиации (М-58, М-38).</w:t>
      </w:r>
    </w:p>
    <w:p w14:paraId="1FF7BA1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Создание опытного образца нефтяного мотора АП1.</w:t>
      </w:r>
    </w:p>
    <w:p w14:paraId="7DAB321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Создание сверхмощного бензин. мотора сочетающего в одном агрегате 2000 л. сил.</w:t>
      </w:r>
    </w:p>
    <w:p w14:paraId="2BAE64F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Изготовление и испытание реверса мотора М-34 для нужд УВМС.</w:t>
      </w:r>
    </w:p>
    <w:p w14:paraId="5C6531D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Доводка мотора М-34 в условиях его на самолеты и изучения винтомоторной группы.</w:t>
      </w:r>
    </w:p>
    <w:p w14:paraId="3135456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Выпуск малой опытной серии моторов М-34Р (с редуктором).</w:t>
      </w:r>
    </w:p>
    <w:p w14:paraId="63B4E49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Создание собственного карбюратора для мотора М-34 и усовершенствование других агрегатов.</w:t>
      </w:r>
    </w:p>
    <w:p w14:paraId="2DB1B8E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Создание модификаций М-11 (М-51) в виде 7 и 9 конечной звезды для удовлетворения нужд учебной авиации и гражд. флота.</w:t>
      </w:r>
    </w:p>
    <w:p w14:paraId="160FB6D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Работы над семьей мотора М-34 (М52, М-34Р, М-34Н, ГМ-34).</w:t>
      </w:r>
    </w:p>
    <w:p w14:paraId="73E6E53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Работы Х.А.И. по паровым турбинам и нефтяным двигателям.</w:t>
      </w:r>
    </w:p>
    <w:p w14:paraId="7BF38FB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Широкий фронт работ по опытному моторостроению, выражающийся в изготовлении до "20" опытных объектов, потребовал сосредоточить внимание на наиболее актуальных задачах. Комиссией РВС СССР был произведен пересмотр объектов в соответствии с технико-тактическими требованиями, ввиду чего работы разбиты на первоочередные, не требующие дополнительного экспериментирования, работы экспериментальные второй очереди и экспериментальные работы 3-й очереди, требующие глубокого и широкого экспериментирования и исследования.</w:t>
      </w:r>
    </w:p>
    <w:p w14:paraId="49DE717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Указанный план положен в основу работ 1933 г.</w:t>
      </w:r>
    </w:p>
    <w:p w14:paraId="75B3F5C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исполнение плана ВВС СССР в области опытного моторостроения, за 1-ое полугодие произведено следующее: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8079"/>
      </w:tblGrid>
      <w:tr w:rsidR="00F26F01" w:rsidRPr="00C33834" w14:paraId="53FD3415" w14:textId="77777777">
        <w:tc>
          <w:tcPr>
            <w:tcW w:w="2802" w:type="dxa"/>
          </w:tcPr>
          <w:p w14:paraId="13E82CA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М-34</w:t>
            </w:r>
          </w:p>
        </w:tc>
        <w:tc>
          <w:tcPr>
            <w:tcW w:w="8079" w:type="dxa"/>
          </w:tcPr>
          <w:p w14:paraId="4D0500D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Мотор прошел государственные 100 час испытания в ноябре 1931 г. и внедрен в серийное пр-во на </w:t>
            </w:r>
          </w:p>
        </w:tc>
      </w:tr>
      <w:tr w:rsidR="00F26F01" w:rsidRPr="00C33834" w14:paraId="74F2FCEF" w14:textId="77777777">
        <w:tc>
          <w:tcPr>
            <w:tcW w:w="2802" w:type="dxa"/>
          </w:tcPr>
          <w:p w14:paraId="33C3E18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750 л. с.</w:t>
            </w:r>
          </w:p>
        </w:tc>
        <w:tc>
          <w:tcPr>
            <w:tcW w:w="8079" w:type="dxa"/>
          </w:tcPr>
          <w:p w14:paraId="7CAF87A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заводе N 24 с мая 1932 г.</w:t>
            </w:r>
          </w:p>
        </w:tc>
      </w:tr>
      <w:tr w:rsidR="00F26F01" w:rsidRPr="00C33834" w14:paraId="4C38294B" w14:textId="77777777">
        <w:tc>
          <w:tcPr>
            <w:tcW w:w="2802" w:type="dxa"/>
          </w:tcPr>
          <w:p w14:paraId="28DE47C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600</w:t>
            </w:r>
          </w:p>
        </w:tc>
        <w:tc>
          <w:tcPr>
            <w:tcW w:w="8079" w:type="dxa"/>
          </w:tcPr>
          <w:p w14:paraId="72734C0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Первое полугодие 1933 года явилось этапом изучения винтомоторной группы и работы мотора</w:t>
            </w:r>
          </w:p>
        </w:tc>
      </w:tr>
      <w:tr w:rsidR="00F26F01" w:rsidRPr="00C33834" w14:paraId="1306AA36" w14:textId="77777777">
        <w:tc>
          <w:tcPr>
            <w:tcW w:w="2802" w:type="dxa"/>
          </w:tcPr>
          <w:p w14:paraId="2194F53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 ЦИАМ"а</w:t>
            </w:r>
          </w:p>
        </w:tc>
        <w:tc>
          <w:tcPr>
            <w:tcW w:w="8079" w:type="dxa"/>
          </w:tcPr>
          <w:p w14:paraId="6A8F358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на самолетах (Р-5, ТБ-3, ТБ-4, МИ3).</w:t>
            </w:r>
          </w:p>
        </w:tc>
      </w:tr>
      <w:tr w:rsidR="00F26F01" w:rsidRPr="00C33834" w14:paraId="459D71FB" w14:textId="77777777">
        <w:tc>
          <w:tcPr>
            <w:tcW w:w="2802" w:type="dxa"/>
          </w:tcPr>
          <w:p w14:paraId="01BC856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385590B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Особенно сложной оказалась задача охлаждения мотора, в особенности масла. Были испытаны</w:t>
            </w:r>
          </w:p>
        </w:tc>
      </w:tr>
      <w:tr w:rsidR="00F26F01" w:rsidRPr="00C33834" w14:paraId="0C24454C" w14:textId="77777777">
        <w:tc>
          <w:tcPr>
            <w:tcW w:w="2802" w:type="dxa"/>
          </w:tcPr>
          <w:p w14:paraId="442A8F3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2FC3F89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воздушные и водомасляные радиаторы, которые после непродолжительной работы мотора</w:t>
            </w:r>
          </w:p>
        </w:tc>
      </w:tr>
      <w:tr w:rsidR="00F26F01" w:rsidRPr="00C33834" w14:paraId="1745879F" w14:textId="77777777">
        <w:tc>
          <w:tcPr>
            <w:tcW w:w="2802" w:type="dxa"/>
          </w:tcPr>
          <w:p w14:paraId="66832DE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5185DB9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давали течь и разрывались. Введением в схему "шунта" с редукционным клапаном и</w:t>
            </w:r>
          </w:p>
        </w:tc>
      </w:tr>
      <w:tr w:rsidR="00F26F01" w:rsidRPr="00C33834" w14:paraId="7A549C12" w14:textId="77777777">
        <w:tc>
          <w:tcPr>
            <w:tcW w:w="2802" w:type="dxa"/>
          </w:tcPr>
          <w:p w14:paraId="6170A3D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394A817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дополнительным воздушным радиатором дефекты изжиты и схема работает на самолетах вполне</w:t>
            </w:r>
          </w:p>
        </w:tc>
      </w:tr>
      <w:tr w:rsidR="00F26F01" w:rsidRPr="00C33834" w14:paraId="16506E5D" w14:textId="77777777">
        <w:tc>
          <w:tcPr>
            <w:tcW w:w="2802" w:type="dxa"/>
          </w:tcPr>
          <w:p w14:paraId="1AF45E7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2BD7F14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удовлетворительно.</w:t>
            </w:r>
          </w:p>
        </w:tc>
      </w:tr>
      <w:tr w:rsidR="00F26F01" w:rsidRPr="00C33834" w14:paraId="4F56FEA5" w14:textId="77777777">
        <w:tc>
          <w:tcPr>
            <w:tcW w:w="2802" w:type="dxa"/>
          </w:tcPr>
          <w:p w14:paraId="26A6AE6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637D0C8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Предварительные испытания опытных самолетов с моторами М-34 показали вполне</w:t>
            </w:r>
          </w:p>
        </w:tc>
      </w:tr>
      <w:tr w:rsidR="00F26F01" w:rsidRPr="00C33834" w14:paraId="6D54BFA5" w14:textId="77777777">
        <w:tc>
          <w:tcPr>
            <w:tcW w:w="2802" w:type="dxa"/>
          </w:tcPr>
          <w:p w14:paraId="5773EB1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150EA17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удовлетворительную работу моторов.</w:t>
            </w:r>
          </w:p>
        </w:tc>
      </w:tr>
      <w:tr w:rsidR="00F26F01" w:rsidRPr="00C33834" w14:paraId="09C4B26C" w14:textId="77777777">
        <w:tc>
          <w:tcPr>
            <w:tcW w:w="2802" w:type="dxa"/>
          </w:tcPr>
          <w:p w14:paraId="67491B5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AAAE94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Дальнейшим этапом в работе намечается проведение испытаний М-34 с карбюратором</w:t>
            </w:r>
          </w:p>
        </w:tc>
      </w:tr>
      <w:tr w:rsidR="00F26F01" w:rsidRPr="00C33834" w14:paraId="7B3081A7" w14:textId="77777777">
        <w:tc>
          <w:tcPr>
            <w:tcW w:w="2802" w:type="dxa"/>
          </w:tcPr>
          <w:p w14:paraId="59FD9A7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11CDBF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отечественной конструкции 92КД3, наземные госуд. испытания которого НИИ ВВС признаны</w:t>
            </w:r>
          </w:p>
        </w:tc>
      </w:tr>
      <w:tr w:rsidR="00F26F01" w:rsidRPr="00C33834" w14:paraId="31EA420B" w14:textId="77777777">
        <w:tc>
          <w:tcPr>
            <w:tcW w:w="2802" w:type="dxa"/>
          </w:tcPr>
          <w:p w14:paraId="0EEAD08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614F151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удовлетворительными и наконец - проверка мотора М-34 в эксплуатации в строевых частях ВВС.</w:t>
            </w:r>
          </w:p>
        </w:tc>
      </w:tr>
      <w:tr w:rsidR="00F26F01" w:rsidRPr="00C33834" w14:paraId="3C4C17F7" w14:textId="77777777">
        <w:tc>
          <w:tcPr>
            <w:tcW w:w="2802" w:type="dxa"/>
          </w:tcPr>
          <w:p w14:paraId="02F47C8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М-34Р с редуктором</w:t>
            </w:r>
          </w:p>
        </w:tc>
        <w:tc>
          <w:tcPr>
            <w:tcW w:w="8079" w:type="dxa"/>
          </w:tcPr>
          <w:p w14:paraId="785A53C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поступил на заводские испытания в ноябре 1932 г.</w:t>
            </w:r>
          </w:p>
        </w:tc>
      </w:tr>
      <w:tr w:rsidR="00F26F01" w:rsidRPr="00C33834" w14:paraId="35704D30" w14:textId="77777777">
        <w:tc>
          <w:tcPr>
            <w:tcW w:w="2802" w:type="dxa"/>
          </w:tcPr>
          <w:p w14:paraId="4E402B1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Мощность 750 л.с.</w:t>
            </w:r>
          </w:p>
        </w:tc>
        <w:tc>
          <w:tcPr>
            <w:tcW w:w="8079" w:type="dxa"/>
          </w:tcPr>
          <w:p w14:paraId="0EC1A1F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Заводские испытания выявили незначительные дефекты, которые были устранены и мотор 25/III-</w:t>
            </w:r>
          </w:p>
        </w:tc>
      </w:tr>
      <w:tr w:rsidR="00F26F01" w:rsidRPr="00C33834" w14:paraId="15B08103" w14:textId="77777777">
        <w:tc>
          <w:tcPr>
            <w:tcW w:w="2802" w:type="dxa"/>
          </w:tcPr>
          <w:p w14:paraId="304E01F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675 кг</w:t>
            </w:r>
          </w:p>
        </w:tc>
        <w:tc>
          <w:tcPr>
            <w:tcW w:w="8079" w:type="dxa"/>
          </w:tcPr>
          <w:p w14:paraId="3BADCD7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с.г. предъявлен на государст. испытание, которое признано удовлетворительным.</w:t>
            </w:r>
          </w:p>
        </w:tc>
      </w:tr>
      <w:tr w:rsidR="00F26F01" w:rsidRPr="00C33834" w14:paraId="0B99F4A4" w14:textId="77777777">
        <w:tc>
          <w:tcPr>
            <w:tcW w:w="2802" w:type="dxa"/>
          </w:tcPr>
          <w:p w14:paraId="2F5212B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 25/III-33г.</w:t>
            </w:r>
          </w:p>
        </w:tc>
        <w:tc>
          <w:tcPr>
            <w:tcW w:w="8079" w:type="dxa"/>
          </w:tcPr>
          <w:p w14:paraId="7AA4493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передан в серийное производство на завод N 24; ориентировочный выпуск первых</w:t>
            </w:r>
          </w:p>
        </w:tc>
      </w:tr>
      <w:tr w:rsidR="00F26F01" w:rsidRPr="00C33834" w14:paraId="336CF33C" w14:textId="77777777">
        <w:tc>
          <w:tcPr>
            <w:tcW w:w="2802" w:type="dxa"/>
          </w:tcPr>
          <w:p w14:paraId="2C4ADE7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Конструкция ЦИАМ</w:t>
            </w:r>
          </w:p>
        </w:tc>
        <w:tc>
          <w:tcPr>
            <w:tcW w:w="8079" w:type="dxa"/>
          </w:tcPr>
          <w:p w14:paraId="4F455F7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серийных моторов в ноябре-декабре с.г.</w:t>
            </w:r>
          </w:p>
        </w:tc>
      </w:tr>
      <w:tr w:rsidR="00F26F01" w:rsidRPr="00C33834" w14:paraId="31BDF0C2" w14:textId="77777777">
        <w:tc>
          <w:tcPr>
            <w:tcW w:w="2802" w:type="dxa"/>
          </w:tcPr>
          <w:p w14:paraId="75BC20C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4D43812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Произведена подготовка к изготовлению опытной серии М-34Р, со сроком выпуска моторов в</w:t>
            </w:r>
          </w:p>
        </w:tc>
      </w:tr>
      <w:tr w:rsidR="00F26F01" w:rsidRPr="00C33834" w14:paraId="6FAFEA65" w14:textId="77777777">
        <w:tc>
          <w:tcPr>
            <w:tcW w:w="2802" w:type="dxa"/>
          </w:tcPr>
          <w:p w14:paraId="5ECA228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0B9BB65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числе 7 экз. к 20/VIII, для установки на опытные самолеты ЦАГИ.</w:t>
            </w:r>
          </w:p>
        </w:tc>
      </w:tr>
      <w:tr w:rsidR="00F26F01" w:rsidRPr="00C33834" w14:paraId="547C3919" w14:textId="77777777">
        <w:tc>
          <w:tcPr>
            <w:tcW w:w="2802" w:type="dxa"/>
          </w:tcPr>
          <w:p w14:paraId="4AC0120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457FD78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Дальнейшим этапом в работах по мотору М-34Р является повышение мощности до 900 л.с., что по</w:t>
            </w:r>
          </w:p>
        </w:tc>
      </w:tr>
      <w:tr w:rsidR="00F26F01" w:rsidRPr="00C33834" w14:paraId="26F343F5" w14:textId="77777777">
        <w:tc>
          <w:tcPr>
            <w:tcW w:w="2802" w:type="dxa"/>
          </w:tcPr>
          <w:p w14:paraId="3CA752D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A22DFD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расчетной прочности редуктора вполне допустимо.</w:t>
            </w:r>
          </w:p>
        </w:tc>
      </w:tr>
      <w:tr w:rsidR="00F26F01" w:rsidRPr="00C33834" w14:paraId="5C841234" w14:textId="77777777">
        <w:tc>
          <w:tcPr>
            <w:tcW w:w="2802" w:type="dxa"/>
          </w:tcPr>
          <w:p w14:paraId="5D82CEA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E3F469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 готовности малой опытной серии - 75%.</w:t>
            </w:r>
          </w:p>
        </w:tc>
      </w:tr>
      <w:tr w:rsidR="00F26F01" w:rsidRPr="00C33834" w14:paraId="66ADD14C" w14:textId="77777777">
        <w:tc>
          <w:tcPr>
            <w:tcW w:w="2802" w:type="dxa"/>
          </w:tcPr>
          <w:p w14:paraId="51BB3EC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М-34РН.. цилиндр.</w:t>
            </w:r>
          </w:p>
        </w:tc>
        <w:tc>
          <w:tcPr>
            <w:tcW w:w="8079" w:type="dxa"/>
          </w:tcPr>
          <w:p w14:paraId="1763B1E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плану ЦИАМ должен дать к 1/I-34 г. 7 нагнетателей для моторов М-34Р малой серии.</w:t>
            </w:r>
          </w:p>
        </w:tc>
      </w:tr>
      <w:tr w:rsidR="00F26F01" w:rsidRPr="00C33834" w14:paraId="418D7A1B" w14:textId="77777777">
        <w:tc>
          <w:tcPr>
            <w:tcW w:w="2802" w:type="dxa"/>
          </w:tcPr>
          <w:p w14:paraId="354348A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Водяное охлажд.</w:t>
            </w:r>
          </w:p>
        </w:tc>
        <w:tc>
          <w:tcPr>
            <w:tcW w:w="8079" w:type="dxa"/>
          </w:tcPr>
          <w:p w14:paraId="7146BB5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Ведутся работы с двумя типами нагнетателей: выключающийся и невыключающийся.</w:t>
            </w:r>
          </w:p>
        </w:tc>
      </w:tr>
      <w:tr w:rsidR="00F26F01" w:rsidRPr="00C33834" w14:paraId="05DC08EB" w14:textId="77777777">
        <w:tc>
          <w:tcPr>
            <w:tcW w:w="2802" w:type="dxa"/>
          </w:tcPr>
          <w:p w14:paraId="6B92298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1750 л.с.</w:t>
            </w:r>
          </w:p>
        </w:tc>
        <w:tc>
          <w:tcPr>
            <w:tcW w:w="8079" w:type="dxa"/>
          </w:tcPr>
          <w:p w14:paraId="6151454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Нагнетатель невыключающийся N 1 изготовлен, прошел лабораторн. испытания и был поставлен </w:t>
            </w:r>
          </w:p>
        </w:tc>
      </w:tr>
      <w:tr w:rsidR="00F26F01" w:rsidRPr="00C33834" w14:paraId="28EADFAE" w14:textId="77777777">
        <w:tc>
          <w:tcPr>
            <w:tcW w:w="2802" w:type="dxa"/>
          </w:tcPr>
          <w:p w14:paraId="654EDB7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1900 об/мин</w:t>
            </w:r>
          </w:p>
        </w:tc>
        <w:tc>
          <w:tcPr>
            <w:tcW w:w="8079" w:type="dxa"/>
          </w:tcPr>
          <w:p w14:paraId="1D4631A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мотор. На моторе нагнетат. проработал около 110 часов и дал хорошие показатели. В</w:t>
            </w:r>
          </w:p>
        </w:tc>
      </w:tr>
      <w:tr w:rsidR="00F26F01" w:rsidRPr="00C33834" w14:paraId="789A9223" w14:textId="77777777">
        <w:tc>
          <w:tcPr>
            <w:tcW w:w="2802" w:type="dxa"/>
          </w:tcPr>
          <w:p w14:paraId="5593E92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3500 м</w:t>
            </w:r>
          </w:p>
        </w:tc>
        <w:tc>
          <w:tcPr>
            <w:tcW w:w="8079" w:type="dxa"/>
          </w:tcPr>
          <w:p w14:paraId="2664804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результате испытаний выявлены слабые места нагнетателя, которые будут учтены при</w:t>
            </w:r>
          </w:p>
        </w:tc>
      </w:tr>
      <w:tr w:rsidR="00F26F01" w:rsidRPr="00C33834" w14:paraId="2CB0B1A6" w14:textId="77777777">
        <w:tc>
          <w:tcPr>
            <w:tcW w:w="2802" w:type="dxa"/>
          </w:tcPr>
          <w:p w14:paraId="5CE5413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втулки 720 к.</w:t>
            </w:r>
          </w:p>
        </w:tc>
        <w:tc>
          <w:tcPr>
            <w:tcW w:w="8079" w:type="dxa"/>
          </w:tcPr>
          <w:p w14:paraId="62031E5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изготовлении следующих нагнетателей.</w:t>
            </w:r>
          </w:p>
        </w:tc>
      </w:tr>
      <w:tr w:rsidR="00F26F01" w:rsidRPr="00C33834" w14:paraId="58C21F33" w14:textId="77777777">
        <w:tc>
          <w:tcPr>
            <w:tcW w:w="2802" w:type="dxa"/>
          </w:tcPr>
          <w:p w14:paraId="119BFB4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исп. 1/IX-33г.</w:t>
            </w:r>
          </w:p>
        </w:tc>
        <w:tc>
          <w:tcPr>
            <w:tcW w:w="8079" w:type="dxa"/>
          </w:tcPr>
          <w:p w14:paraId="2804BC8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Нагнет. N 2 законч. производством. N 3, 4 и 5 окончены будут к 15/VIII-33 г. Нагнетатель</w:t>
            </w:r>
          </w:p>
        </w:tc>
      </w:tr>
      <w:tr w:rsidR="00F26F01" w:rsidRPr="00C33834" w14:paraId="5116730A" w14:textId="77777777">
        <w:tc>
          <w:tcPr>
            <w:tcW w:w="2802" w:type="dxa"/>
          </w:tcPr>
          <w:p w14:paraId="2A33C74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М-34Н</w:t>
            </w:r>
          </w:p>
        </w:tc>
        <w:tc>
          <w:tcPr>
            <w:tcW w:w="8079" w:type="dxa"/>
          </w:tcPr>
          <w:p w14:paraId="1F711A9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выключающийся. Всего изготовл. 4 нагнетателя, N 2, 3 и 4 для дальнейших испыт. негодны, N 1</w:t>
            </w:r>
          </w:p>
        </w:tc>
      </w:tr>
      <w:tr w:rsidR="00F26F01" w:rsidRPr="00C33834" w14:paraId="14B9A6A4" w14:textId="77777777">
        <w:tc>
          <w:tcPr>
            <w:tcW w:w="2802" w:type="dxa"/>
          </w:tcPr>
          <w:p w14:paraId="6548327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12-ти цилиндр.</w:t>
            </w:r>
          </w:p>
        </w:tc>
        <w:tc>
          <w:tcPr>
            <w:tcW w:w="8079" w:type="dxa"/>
          </w:tcPr>
          <w:p w14:paraId="1DC4749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восстанав. в пр-ве N 5 и 6 с окончанием произв. 30/IX-33 г. В процессе испытаний проведен</w:t>
            </w:r>
          </w:p>
        </w:tc>
      </w:tr>
      <w:tr w:rsidR="00F26F01" w:rsidRPr="00C33834" w14:paraId="44179A92" w14:textId="77777777">
        <w:tc>
          <w:tcPr>
            <w:tcW w:w="2802" w:type="dxa"/>
          </w:tcPr>
          <w:p w14:paraId="313A96A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 охлажд.</w:t>
            </w:r>
          </w:p>
        </w:tc>
        <w:tc>
          <w:tcPr>
            <w:tcW w:w="8079" w:type="dxa"/>
          </w:tcPr>
          <w:p w14:paraId="2FB1690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ряд конструктивн. изменений. N 3 и 4 будут собраны с усиленными корпусами.</w:t>
            </w:r>
          </w:p>
        </w:tc>
      </w:tr>
      <w:tr w:rsidR="00F26F01" w:rsidRPr="00C33834" w14:paraId="43F5B800" w14:textId="77777777">
        <w:tc>
          <w:tcPr>
            <w:tcW w:w="2802" w:type="dxa"/>
          </w:tcPr>
          <w:p w14:paraId="5891A92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750 л.с.</w:t>
            </w:r>
          </w:p>
        </w:tc>
        <w:tc>
          <w:tcPr>
            <w:tcW w:w="8079" w:type="dxa"/>
          </w:tcPr>
          <w:p w14:paraId="67124BE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 готовн. нагнетат. к гос. испыт. = 80%.</w:t>
            </w:r>
          </w:p>
        </w:tc>
      </w:tr>
      <w:tr w:rsidR="00F26F01" w:rsidRPr="00C33834" w14:paraId="55232BFB" w14:textId="77777777">
        <w:tc>
          <w:tcPr>
            <w:tcW w:w="2802" w:type="dxa"/>
          </w:tcPr>
          <w:p w14:paraId="44A0B9D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1900 об/мин.</w:t>
            </w:r>
          </w:p>
        </w:tc>
        <w:tc>
          <w:tcPr>
            <w:tcW w:w="8079" w:type="dxa"/>
          </w:tcPr>
          <w:p w14:paraId="6506E8F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29A740A" w14:textId="77777777">
        <w:tc>
          <w:tcPr>
            <w:tcW w:w="2802" w:type="dxa"/>
          </w:tcPr>
          <w:p w14:paraId="415B327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 3500 м</w:t>
            </w:r>
          </w:p>
        </w:tc>
        <w:tc>
          <w:tcPr>
            <w:tcW w:w="8079" w:type="dxa"/>
          </w:tcPr>
          <w:p w14:paraId="62AD04B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8BB1102" w14:textId="77777777">
        <w:tc>
          <w:tcPr>
            <w:tcW w:w="2802" w:type="dxa"/>
          </w:tcPr>
          <w:p w14:paraId="1A6266C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без втулки 650 кг</w:t>
            </w:r>
          </w:p>
        </w:tc>
        <w:tc>
          <w:tcPr>
            <w:tcW w:w="8079" w:type="dxa"/>
          </w:tcPr>
          <w:p w14:paraId="4C0D63D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EE3C95F" w14:textId="77777777">
        <w:tc>
          <w:tcPr>
            <w:tcW w:w="2802" w:type="dxa"/>
          </w:tcPr>
          <w:p w14:paraId="7B88498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исп. 1/IX-33г.</w:t>
            </w:r>
          </w:p>
        </w:tc>
        <w:tc>
          <w:tcPr>
            <w:tcW w:w="8079" w:type="dxa"/>
          </w:tcPr>
          <w:p w14:paraId="367984A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FFC8886" w14:textId="77777777">
        <w:tc>
          <w:tcPr>
            <w:tcW w:w="2802" w:type="dxa"/>
          </w:tcPr>
          <w:p w14:paraId="33B12A4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М-349с электр. картером</w:t>
            </w:r>
          </w:p>
        </w:tc>
        <w:tc>
          <w:tcPr>
            <w:tcW w:w="8079" w:type="dxa"/>
          </w:tcPr>
          <w:p w14:paraId="2EAF23C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ЦИАМ'ом отлиты 3 электронных картера, которые переданы для обработки на зав. 24. Один</w:t>
            </w:r>
          </w:p>
        </w:tc>
      </w:tr>
      <w:tr w:rsidR="00F26F01" w:rsidRPr="00C33834" w14:paraId="0E541073" w14:textId="77777777">
        <w:tc>
          <w:tcPr>
            <w:tcW w:w="2802" w:type="dxa"/>
          </w:tcPr>
          <w:p w14:paraId="660E407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 цилиндр.</w:t>
            </w:r>
          </w:p>
        </w:tc>
        <w:tc>
          <w:tcPr>
            <w:tcW w:w="8079" w:type="dxa"/>
          </w:tcPr>
          <w:p w14:paraId="4BCCE40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картер вышел в брак, а остальные два после обработки поступили в монтажный цех ЦИАМ'а с</w:t>
            </w:r>
          </w:p>
        </w:tc>
      </w:tr>
      <w:tr w:rsidR="00F26F01" w:rsidRPr="00C33834" w14:paraId="4E20E3A4" w14:textId="77777777">
        <w:tc>
          <w:tcPr>
            <w:tcW w:w="2802" w:type="dxa"/>
          </w:tcPr>
          <w:p w14:paraId="4A07B89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Водян. охлажд.</w:t>
            </w:r>
          </w:p>
        </w:tc>
        <w:tc>
          <w:tcPr>
            <w:tcW w:w="8079" w:type="dxa"/>
          </w:tcPr>
          <w:p w14:paraId="25411DC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ориентировочн. сроком окончания монтажа и начала заводских испытаний август 1933 г.</w:t>
            </w:r>
          </w:p>
        </w:tc>
      </w:tr>
      <w:tr w:rsidR="00F26F01" w:rsidRPr="00C33834" w14:paraId="6A9C7D81" w14:textId="77777777">
        <w:tc>
          <w:tcPr>
            <w:tcW w:w="2802" w:type="dxa"/>
          </w:tcPr>
          <w:p w14:paraId="5EC9DDD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750 л.с.</w:t>
            </w:r>
          </w:p>
        </w:tc>
        <w:tc>
          <w:tcPr>
            <w:tcW w:w="8079" w:type="dxa"/>
          </w:tcPr>
          <w:p w14:paraId="014FB9E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 готовн. к гос. испытан. = 45%.</w:t>
            </w:r>
          </w:p>
        </w:tc>
      </w:tr>
      <w:tr w:rsidR="00F26F01" w:rsidRPr="00C33834" w14:paraId="6C4DCC82" w14:textId="77777777">
        <w:tc>
          <w:tcPr>
            <w:tcW w:w="2802" w:type="dxa"/>
          </w:tcPr>
          <w:p w14:paraId="1087B7D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1900 об/мин.</w:t>
            </w:r>
          </w:p>
        </w:tc>
        <w:tc>
          <w:tcPr>
            <w:tcW w:w="8079" w:type="dxa"/>
          </w:tcPr>
          <w:p w14:paraId="41A4DA0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8282CC8" w14:textId="77777777">
        <w:tc>
          <w:tcPr>
            <w:tcW w:w="2802" w:type="dxa"/>
          </w:tcPr>
          <w:p w14:paraId="7FAB825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без втулки 560 кг</w:t>
            </w:r>
          </w:p>
        </w:tc>
        <w:tc>
          <w:tcPr>
            <w:tcW w:w="8079" w:type="dxa"/>
          </w:tcPr>
          <w:p w14:paraId="71B56D1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3C4E5F6" w14:textId="77777777">
        <w:tc>
          <w:tcPr>
            <w:tcW w:w="2802" w:type="dxa"/>
          </w:tcPr>
          <w:p w14:paraId="184ACB8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к гос. испыт. 1/XII-33г.</w:t>
            </w:r>
          </w:p>
        </w:tc>
        <w:tc>
          <w:tcPr>
            <w:tcW w:w="8079" w:type="dxa"/>
          </w:tcPr>
          <w:p w14:paraId="086DB4F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399F053" w14:textId="77777777">
        <w:tc>
          <w:tcPr>
            <w:tcW w:w="2802" w:type="dxa"/>
          </w:tcPr>
          <w:p w14:paraId="63B6F3F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М-34ФРН (форсированный</w:t>
            </w:r>
          </w:p>
        </w:tc>
        <w:tc>
          <w:tcPr>
            <w:tcW w:w="8079" w:type="dxa"/>
          </w:tcPr>
          <w:p w14:paraId="7CBA569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Проведены просчеты, эксперименты и приступлено к эскизной компоновки.</w:t>
            </w:r>
          </w:p>
        </w:tc>
      </w:tr>
      <w:tr w:rsidR="00F26F01" w:rsidRPr="00C33834" w14:paraId="0C81B62B" w14:textId="77777777">
        <w:tc>
          <w:tcPr>
            <w:tcW w:w="2802" w:type="dxa"/>
          </w:tcPr>
          <w:p w14:paraId="13A55C9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нагнетателем)</w:t>
            </w:r>
          </w:p>
        </w:tc>
        <w:tc>
          <w:tcPr>
            <w:tcW w:w="8079" w:type="dxa"/>
          </w:tcPr>
          <w:p w14:paraId="49DF09A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плану предусматривается изготовление 4-х моторов со сроком 1/II-34г.</w:t>
            </w:r>
          </w:p>
        </w:tc>
      </w:tr>
      <w:tr w:rsidR="00F26F01" w:rsidRPr="00C33834" w14:paraId="1F31F9D5" w14:textId="77777777">
        <w:tc>
          <w:tcPr>
            <w:tcW w:w="2802" w:type="dxa"/>
          </w:tcPr>
          <w:p w14:paraId="67363E1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900 л.с.</w:t>
            </w:r>
          </w:p>
        </w:tc>
        <w:tc>
          <w:tcPr>
            <w:tcW w:w="8079" w:type="dxa"/>
          </w:tcPr>
          <w:p w14:paraId="26F8506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окончания эскизной компоновки 1/VIII-с.г.</w:t>
            </w:r>
          </w:p>
        </w:tc>
      </w:tr>
      <w:tr w:rsidR="00F26F01" w:rsidRPr="00C33834" w14:paraId="4518EC6B" w14:textId="77777777">
        <w:tc>
          <w:tcPr>
            <w:tcW w:w="2802" w:type="dxa"/>
          </w:tcPr>
          <w:p w14:paraId="5B4A158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 = 3500 м</w:t>
            </w:r>
          </w:p>
        </w:tc>
        <w:tc>
          <w:tcPr>
            <w:tcW w:w="8079" w:type="dxa"/>
          </w:tcPr>
          <w:p w14:paraId="4427C76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Рабочие чертежи должны быть переданы в пр-во 1/IX-с.г.</w:t>
            </w:r>
          </w:p>
        </w:tc>
      </w:tr>
      <w:tr w:rsidR="00F26F01" w:rsidRPr="00C33834" w14:paraId="1A28EAB2" w14:textId="77777777">
        <w:tc>
          <w:tcPr>
            <w:tcW w:w="2802" w:type="dxa"/>
          </w:tcPr>
          <w:p w14:paraId="68329B5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к гос. испыт. 1/V-34г.</w:t>
            </w:r>
          </w:p>
        </w:tc>
        <w:tc>
          <w:tcPr>
            <w:tcW w:w="8079" w:type="dxa"/>
          </w:tcPr>
          <w:p w14:paraId="787E239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 готовности к гос. исп. = 5%.</w:t>
            </w:r>
          </w:p>
        </w:tc>
      </w:tr>
      <w:tr w:rsidR="00F26F01" w:rsidRPr="00C33834" w14:paraId="5C80C8B5" w14:textId="77777777">
        <w:tc>
          <w:tcPr>
            <w:tcW w:w="2802" w:type="dxa"/>
          </w:tcPr>
          <w:p w14:paraId="2EC06C0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М34ФРН (форсиров.</w:t>
            </w:r>
          </w:p>
        </w:tc>
        <w:tc>
          <w:tcPr>
            <w:tcW w:w="8079" w:type="dxa"/>
          </w:tcPr>
          <w:p w14:paraId="26FD3FA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ведутся просчеты.</w:t>
            </w:r>
          </w:p>
        </w:tc>
      </w:tr>
      <w:tr w:rsidR="00F26F01" w:rsidRPr="00C33834" w14:paraId="1ABBBFFC" w14:textId="77777777">
        <w:tc>
          <w:tcPr>
            <w:tcW w:w="2802" w:type="dxa"/>
          </w:tcPr>
          <w:p w14:paraId="53A0A11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редукторн. с нагнетат.)</w:t>
            </w:r>
          </w:p>
        </w:tc>
        <w:tc>
          <w:tcPr>
            <w:tcW w:w="8079" w:type="dxa"/>
          </w:tcPr>
          <w:p w14:paraId="544FF6C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2415A61" w14:textId="77777777">
        <w:tc>
          <w:tcPr>
            <w:tcW w:w="2802" w:type="dxa"/>
          </w:tcPr>
          <w:p w14:paraId="2FC0F22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900 л.с.</w:t>
            </w:r>
          </w:p>
        </w:tc>
        <w:tc>
          <w:tcPr>
            <w:tcW w:w="8079" w:type="dxa"/>
          </w:tcPr>
          <w:p w14:paraId="1816803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9B65C6E" w14:textId="77777777">
        <w:tc>
          <w:tcPr>
            <w:tcW w:w="2802" w:type="dxa"/>
          </w:tcPr>
          <w:p w14:paraId="10350F0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 = 5000 м</w:t>
            </w:r>
          </w:p>
        </w:tc>
        <w:tc>
          <w:tcPr>
            <w:tcW w:w="8079" w:type="dxa"/>
          </w:tcPr>
          <w:p w14:paraId="5E8D9C6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93ADCF8" w14:textId="77777777">
        <w:tc>
          <w:tcPr>
            <w:tcW w:w="2802" w:type="dxa"/>
          </w:tcPr>
          <w:p w14:paraId="6404E49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к гос. исп. 1/IX-34 г.</w:t>
            </w:r>
          </w:p>
        </w:tc>
        <w:tc>
          <w:tcPr>
            <w:tcW w:w="8079" w:type="dxa"/>
          </w:tcPr>
          <w:p w14:paraId="2AC16B3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A6607BE" w14:textId="77777777">
        <w:tc>
          <w:tcPr>
            <w:tcW w:w="2802" w:type="dxa"/>
          </w:tcPr>
          <w:p w14:paraId="423BF49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М-34ФРНУ (с удлин.</w:t>
            </w:r>
          </w:p>
        </w:tc>
        <w:tc>
          <w:tcPr>
            <w:tcW w:w="8079" w:type="dxa"/>
          </w:tcPr>
          <w:p w14:paraId="1122AD7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Разрабатываются чертежи деталей удлиненного вала. Срок окончан. работ 15/VII-с.г.</w:t>
            </w:r>
          </w:p>
        </w:tc>
      </w:tr>
      <w:tr w:rsidR="00F26F01" w:rsidRPr="00C33834" w14:paraId="7F488D34" w14:textId="77777777">
        <w:tc>
          <w:tcPr>
            <w:tcW w:w="2802" w:type="dxa"/>
          </w:tcPr>
          <w:p w14:paraId="37440FD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валом)</w:t>
            </w:r>
          </w:p>
        </w:tc>
        <w:tc>
          <w:tcPr>
            <w:tcW w:w="8079" w:type="dxa"/>
          </w:tcPr>
          <w:p w14:paraId="492082D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изготовления экспериментальн. деталей и сборки мотора 15/X-33 г.</w:t>
            </w:r>
          </w:p>
        </w:tc>
      </w:tr>
      <w:tr w:rsidR="00F26F01" w:rsidRPr="00C33834" w14:paraId="770987CE" w14:textId="77777777">
        <w:tc>
          <w:tcPr>
            <w:tcW w:w="2802" w:type="dxa"/>
          </w:tcPr>
          <w:p w14:paraId="1D5E03F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900 л.с.</w:t>
            </w:r>
          </w:p>
        </w:tc>
        <w:tc>
          <w:tcPr>
            <w:tcW w:w="8079" w:type="dxa"/>
          </w:tcPr>
          <w:p w14:paraId="3ACA1EB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 готовн. к гос. исп. 5%.</w:t>
            </w:r>
          </w:p>
        </w:tc>
      </w:tr>
      <w:tr w:rsidR="00F26F01" w:rsidRPr="00C33834" w14:paraId="6E8E90A6" w14:textId="77777777">
        <w:tc>
          <w:tcPr>
            <w:tcW w:w="2802" w:type="dxa"/>
          </w:tcPr>
          <w:p w14:paraId="43ABD98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 5000 м</w:t>
            </w:r>
          </w:p>
        </w:tc>
        <w:tc>
          <w:tcPr>
            <w:tcW w:w="8079" w:type="dxa"/>
          </w:tcPr>
          <w:p w14:paraId="32C5EFD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EF13029" w14:textId="77777777">
        <w:tc>
          <w:tcPr>
            <w:tcW w:w="2802" w:type="dxa"/>
          </w:tcPr>
          <w:p w14:paraId="6E501B1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к гос. исп. 1/IX-34г.</w:t>
            </w:r>
          </w:p>
        </w:tc>
        <w:tc>
          <w:tcPr>
            <w:tcW w:w="8079" w:type="dxa"/>
          </w:tcPr>
          <w:p w14:paraId="122BA1F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342BDC4" w14:textId="77777777">
        <w:tc>
          <w:tcPr>
            <w:tcW w:w="2802" w:type="dxa"/>
          </w:tcPr>
          <w:p w14:paraId="75D16DE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ВПШ (Микулина)</w:t>
            </w:r>
          </w:p>
        </w:tc>
        <w:tc>
          <w:tcPr>
            <w:tcW w:w="8079" w:type="dxa"/>
          </w:tcPr>
          <w:p w14:paraId="7E72556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Рабочие, детальные, а также узловые и сборочные чертежи закончены и передаются в</w:t>
            </w:r>
          </w:p>
        </w:tc>
      </w:tr>
      <w:tr w:rsidR="00F26F01" w:rsidRPr="00C33834" w14:paraId="12877A2E" w14:textId="77777777">
        <w:tc>
          <w:tcPr>
            <w:tcW w:w="2802" w:type="dxa"/>
          </w:tcPr>
          <w:p w14:paraId="3276B2F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0EBD62E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Лопасти для винтов заказаны.</w:t>
            </w:r>
          </w:p>
        </w:tc>
      </w:tr>
      <w:tr w:rsidR="00F26F01" w:rsidRPr="00C33834" w14:paraId="2B8D5A58" w14:textId="77777777">
        <w:tc>
          <w:tcPr>
            <w:tcW w:w="2802" w:type="dxa"/>
          </w:tcPr>
          <w:p w14:paraId="7266F6C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315EF6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изгот. ВПШ N 1 и 2 - 15/Х-с.г.</w:t>
            </w:r>
          </w:p>
        </w:tc>
      </w:tr>
      <w:tr w:rsidR="00F26F01" w:rsidRPr="00C33834" w14:paraId="2F38F606" w14:textId="77777777">
        <w:tc>
          <w:tcPr>
            <w:tcW w:w="2802" w:type="dxa"/>
          </w:tcPr>
          <w:p w14:paraId="68CFB06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02AFD98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изгот. ВПШ N 3, 4 и 5 - 1/XII-с.г.</w:t>
            </w:r>
          </w:p>
        </w:tc>
      </w:tr>
      <w:tr w:rsidR="00F26F01" w:rsidRPr="00C33834" w14:paraId="30059629" w14:textId="77777777">
        <w:tc>
          <w:tcPr>
            <w:tcW w:w="2802" w:type="dxa"/>
          </w:tcPr>
          <w:p w14:paraId="3742FFD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205D229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 готовности к гос. исп. 40%.</w:t>
            </w:r>
          </w:p>
        </w:tc>
      </w:tr>
      <w:tr w:rsidR="00F26F01" w:rsidRPr="00C33834" w14:paraId="76D75E9E" w14:textId="77777777">
        <w:tc>
          <w:tcPr>
            <w:tcW w:w="2802" w:type="dxa"/>
          </w:tcPr>
          <w:p w14:paraId="615E746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ВМ-34</w:t>
            </w:r>
          </w:p>
        </w:tc>
        <w:tc>
          <w:tcPr>
            <w:tcW w:w="8079" w:type="dxa"/>
          </w:tcPr>
          <w:p w14:paraId="7FA4F85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N 1 20/V-с.г. был предъявлен на 50-ти часовое государств. испытание. На 48-ом</w:t>
            </w:r>
          </w:p>
        </w:tc>
      </w:tr>
      <w:tr w:rsidR="00F26F01" w:rsidRPr="00C33834" w14:paraId="61703016" w14:textId="77777777">
        <w:tc>
          <w:tcPr>
            <w:tcW w:w="2802" w:type="dxa"/>
          </w:tcPr>
          <w:p w14:paraId="3F55C4E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 цилиндр.</w:t>
            </w:r>
          </w:p>
        </w:tc>
        <w:tc>
          <w:tcPr>
            <w:tcW w:w="8079" w:type="dxa"/>
          </w:tcPr>
          <w:p w14:paraId="5870260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часу произошла авария - лопнула обойма упорного подшипника водяной помпы. При разборке</w:t>
            </w:r>
          </w:p>
        </w:tc>
      </w:tr>
      <w:tr w:rsidR="00F26F01" w:rsidRPr="00C33834" w14:paraId="0C379049" w14:textId="77777777">
        <w:tc>
          <w:tcPr>
            <w:tcW w:w="2802" w:type="dxa"/>
          </w:tcPr>
          <w:p w14:paraId="27F1AFC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Водяное охлажд.</w:t>
            </w:r>
          </w:p>
        </w:tc>
        <w:tc>
          <w:tcPr>
            <w:tcW w:w="8079" w:type="dxa"/>
          </w:tcPr>
          <w:p w14:paraId="7DF0714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обнаружена трещина на валу реверса. Заключением Комиссии УВМС результат испытаний</w:t>
            </w:r>
          </w:p>
        </w:tc>
      </w:tr>
      <w:tr w:rsidR="00F26F01" w:rsidRPr="00C33834" w14:paraId="764EEEB6" w14:textId="77777777">
        <w:tc>
          <w:tcPr>
            <w:tcW w:w="2802" w:type="dxa"/>
          </w:tcPr>
          <w:p w14:paraId="4AA6F6F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750 л.с.</w:t>
            </w:r>
          </w:p>
        </w:tc>
        <w:tc>
          <w:tcPr>
            <w:tcW w:w="8079" w:type="dxa"/>
          </w:tcPr>
          <w:p w14:paraId="025E4A2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признан неудовлетвор.</w:t>
            </w:r>
          </w:p>
        </w:tc>
      </w:tr>
      <w:tr w:rsidR="00F26F01" w:rsidRPr="00C33834" w14:paraId="7EDCE880" w14:textId="77777777">
        <w:tc>
          <w:tcPr>
            <w:tcW w:w="2802" w:type="dxa"/>
          </w:tcPr>
          <w:p w14:paraId="4D28BFB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1900 об/мин.</w:t>
            </w:r>
          </w:p>
        </w:tc>
        <w:tc>
          <w:tcPr>
            <w:tcW w:w="8079" w:type="dxa"/>
          </w:tcPr>
          <w:p w14:paraId="2F4ED8B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Дальнейшие испытания решено проводить на глиссере на море. К этому испытанию ЦИАМ</w:t>
            </w:r>
          </w:p>
        </w:tc>
      </w:tr>
      <w:tr w:rsidR="00F26F01" w:rsidRPr="00C33834" w14:paraId="3B9A454E" w14:textId="77777777">
        <w:tc>
          <w:tcPr>
            <w:tcW w:w="2802" w:type="dxa"/>
          </w:tcPr>
          <w:p w14:paraId="7BD078A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...без втулки 950 кг</w:t>
            </w:r>
          </w:p>
        </w:tc>
        <w:tc>
          <w:tcPr>
            <w:tcW w:w="8079" w:type="dxa"/>
          </w:tcPr>
          <w:p w14:paraId="07B165C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готовит 2 экз. моторов с тем, чтобы передать их для установки на глиссере в августе и</w:t>
            </w:r>
          </w:p>
        </w:tc>
      </w:tr>
      <w:tr w:rsidR="00F26F01" w:rsidRPr="00C33834" w14:paraId="5B2DFCC8" w14:textId="77777777">
        <w:tc>
          <w:tcPr>
            <w:tcW w:w="2802" w:type="dxa"/>
          </w:tcPr>
          <w:p w14:paraId="28619C2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к гос. исп. 1/VII-33г.</w:t>
            </w:r>
          </w:p>
        </w:tc>
        <w:tc>
          <w:tcPr>
            <w:tcW w:w="8079" w:type="dxa"/>
          </w:tcPr>
          <w:p w14:paraId="43B03D5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проведении гос. испытаний в условиях моря.</w:t>
            </w:r>
          </w:p>
        </w:tc>
      </w:tr>
      <w:tr w:rsidR="00F26F01" w:rsidRPr="00C33834" w14:paraId="00750F74" w14:textId="77777777">
        <w:tc>
          <w:tcPr>
            <w:tcW w:w="2802" w:type="dxa"/>
          </w:tcPr>
          <w:p w14:paraId="0E477E1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67BE093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 готовн. к гос. испытаниям - 90%.</w:t>
            </w:r>
          </w:p>
        </w:tc>
      </w:tr>
      <w:tr w:rsidR="00F26F01" w:rsidRPr="00C33834" w14:paraId="50B80A99" w14:textId="77777777">
        <w:tc>
          <w:tcPr>
            <w:tcW w:w="2802" w:type="dxa"/>
          </w:tcPr>
          <w:p w14:paraId="25DE81A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М-34ФР (форсированный</w:t>
            </w:r>
          </w:p>
        </w:tc>
        <w:tc>
          <w:tcPr>
            <w:tcW w:w="8079" w:type="dxa"/>
          </w:tcPr>
          <w:p w14:paraId="6420931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работы по форсированию готовятся 2 мотора. При их производстве будут учтены данные</w:t>
            </w:r>
          </w:p>
        </w:tc>
      </w:tr>
      <w:tr w:rsidR="00F26F01" w:rsidRPr="00C33834" w14:paraId="08110B2A" w14:textId="77777777">
        <w:tc>
          <w:tcPr>
            <w:tcW w:w="2802" w:type="dxa"/>
          </w:tcPr>
          <w:p w14:paraId="3F7B6FF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редукторный)</w:t>
            </w:r>
          </w:p>
        </w:tc>
        <w:tc>
          <w:tcPr>
            <w:tcW w:w="8079" w:type="dxa"/>
          </w:tcPr>
          <w:p w14:paraId="7D823AA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полученные при форсировании серийного мотора М-34. Внесены изменения в картер мотора</w:t>
            </w:r>
          </w:p>
        </w:tc>
      </w:tr>
      <w:tr w:rsidR="00F26F01" w:rsidRPr="00C33834" w14:paraId="72309AD9" w14:textId="77777777">
        <w:tc>
          <w:tcPr>
            <w:tcW w:w="2802" w:type="dxa"/>
          </w:tcPr>
          <w:p w14:paraId="10E5EC5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 цилиндр.</w:t>
            </w:r>
          </w:p>
        </w:tc>
        <w:tc>
          <w:tcPr>
            <w:tcW w:w="8079" w:type="dxa"/>
          </w:tcPr>
          <w:p w14:paraId="5FA904F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(усилена 4-я перегородка).</w:t>
            </w:r>
          </w:p>
        </w:tc>
      </w:tr>
      <w:tr w:rsidR="00F26F01" w:rsidRPr="00C33834" w14:paraId="7DB949C1" w14:textId="77777777">
        <w:tc>
          <w:tcPr>
            <w:tcW w:w="2802" w:type="dxa"/>
          </w:tcPr>
          <w:p w14:paraId="4DB1613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Водяное охлажд.</w:t>
            </w:r>
          </w:p>
        </w:tc>
        <w:tc>
          <w:tcPr>
            <w:tcW w:w="8079" w:type="dxa"/>
          </w:tcPr>
          <w:p w14:paraId="28EBEB9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 готовн. к гос. испытан. - 30%.</w:t>
            </w:r>
          </w:p>
        </w:tc>
      </w:tr>
      <w:tr w:rsidR="00F26F01" w:rsidRPr="00C33834" w14:paraId="02F49670" w14:textId="77777777">
        <w:tc>
          <w:tcPr>
            <w:tcW w:w="2802" w:type="dxa"/>
          </w:tcPr>
          <w:p w14:paraId="484F6BC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900 л.с.</w:t>
            </w:r>
          </w:p>
        </w:tc>
        <w:tc>
          <w:tcPr>
            <w:tcW w:w="8079" w:type="dxa"/>
          </w:tcPr>
          <w:p w14:paraId="29E64BB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53EF05D" w14:textId="77777777">
        <w:tc>
          <w:tcPr>
            <w:tcW w:w="2802" w:type="dxa"/>
          </w:tcPr>
          <w:p w14:paraId="7C3BF51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без втулки 675 кг</w:t>
            </w:r>
          </w:p>
        </w:tc>
        <w:tc>
          <w:tcPr>
            <w:tcW w:w="8079" w:type="dxa"/>
          </w:tcPr>
          <w:p w14:paraId="233577B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BCC1EB3" w14:textId="77777777">
        <w:tc>
          <w:tcPr>
            <w:tcW w:w="2802" w:type="dxa"/>
          </w:tcPr>
          <w:p w14:paraId="6A97F8C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к гос. исп. 1/III-34г.</w:t>
            </w:r>
          </w:p>
        </w:tc>
        <w:tc>
          <w:tcPr>
            <w:tcW w:w="8079" w:type="dxa"/>
          </w:tcPr>
          <w:p w14:paraId="6330A23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5BAAE28" w14:textId="77777777">
        <w:tc>
          <w:tcPr>
            <w:tcW w:w="2802" w:type="dxa"/>
          </w:tcPr>
          <w:p w14:paraId="40C2A97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М-52.........</w:t>
            </w:r>
          </w:p>
        </w:tc>
        <w:tc>
          <w:tcPr>
            <w:tcW w:w="8079" w:type="dxa"/>
          </w:tcPr>
          <w:p w14:paraId="06ED394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предназначается для переходн. типов самолетов (от учебного к боевому) и для гражд.</w:t>
            </w:r>
          </w:p>
        </w:tc>
      </w:tr>
      <w:tr w:rsidR="00F26F01" w:rsidRPr="00C33834" w14:paraId="4EDFE259" w14:textId="77777777">
        <w:tc>
          <w:tcPr>
            <w:tcW w:w="2802" w:type="dxa"/>
          </w:tcPr>
          <w:p w14:paraId="75B8272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6-ти цилиндр.</w:t>
            </w:r>
          </w:p>
        </w:tc>
        <w:tc>
          <w:tcPr>
            <w:tcW w:w="8079" w:type="dxa"/>
          </w:tcPr>
          <w:p w14:paraId="34C3996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авиации.</w:t>
            </w:r>
          </w:p>
        </w:tc>
      </w:tr>
      <w:tr w:rsidR="00F26F01" w:rsidRPr="00C33834" w14:paraId="0665D944" w14:textId="77777777">
        <w:tc>
          <w:tcPr>
            <w:tcW w:w="2802" w:type="dxa"/>
          </w:tcPr>
          <w:p w14:paraId="7DFB4E7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350 л.с.</w:t>
            </w:r>
          </w:p>
        </w:tc>
        <w:tc>
          <w:tcPr>
            <w:tcW w:w="8079" w:type="dxa"/>
          </w:tcPr>
          <w:p w14:paraId="2CFD244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является одноблочной модификацией мотора М-34. Проект мотора закончен в ноябре</w:t>
            </w:r>
          </w:p>
        </w:tc>
      </w:tr>
      <w:tr w:rsidR="00F26F01" w:rsidRPr="00C33834" w14:paraId="4171259C" w14:textId="77777777">
        <w:tc>
          <w:tcPr>
            <w:tcW w:w="2802" w:type="dxa"/>
          </w:tcPr>
          <w:p w14:paraId="0C4CC9E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1740 об/мин</w:t>
            </w:r>
          </w:p>
        </w:tc>
        <w:tc>
          <w:tcPr>
            <w:tcW w:w="8079" w:type="dxa"/>
          </w:tcPr>
          <w:p w14:paraId="78E9EE8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 года. Первый экземпляр вышел из пр-ва 3/XII-32 г.</w:t>
            </w:r>
          </w:p>
        </w:tc>
      </w:tr>
      <w:tr w:rsidR="00F26F01" w:rsidRPr="00C33834" w14:paraId="34B974BA" w14:textId="77777777">
        <w:tc>
          <w:tcPr>
            <w:tcW w:w="2802" w:type="dxa"/>
          </w:tcPr>
          <w:p w14:paraId="2CBCA6B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исп. 1/XII-33г.</w:t>
            </w:r>
          </w:p>
        </w:tc>
        <w:tc>
          <w:tcPr>
            <w:tcW w:w="8079" w:type="dxa"/>
          </w:tcPr>
          <w:p w14:paraId="5C549A8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11 часовой режимной работы лопнула нижняя часть картера. Мотор будет восстановлен с</w:t>
            </w:r>
          </w:p>
        </w:tc>
      </w:tr>
      <w:tr w:rsidR="00F26F01" w:rsidRPr="00C33834" w14:paraId="12743746" w14:textId="77777777">
        <w:tc>
          <w:tcPr>
            <w:tcW w:w="2802" w:type="dxa"/>
          </w:tcPr>
          <w:p w14:paraId="49BFE02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6108320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усиленным картером к 1/VIII-с.г. и пойдет на 50 часовое заводское испытание. Мотор во </w:t>
            </w:r>
          </w:p>
        </w:tc>
      </w:tr>
      <w:tr w:rsidR="00F26F01" w:rsidRPr="00C33834" w14:paraId="27BAB6C0" w14:textId="77777777">
        <w:tc>
          <w:tcPr>
            <w:tcW w:w="2802" w:type="dxa"/>
          </w:tcPr>
          <w:p w14:paraId="0F792E2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36EC711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работы дал - 465 л.с. при = 1900 об/мин.</w:t>
            </w:r>
          </w:p>
        </w:tc>
      </w:tr>
      <w:tr w:rsidR="00F26F01" w:rsidRPr="00C33834" w14:paraId="6873D1FA" w14:textId="77777777">
        <w:tc>
          <w:tcPr>
            <w:tcW w:w="2802" w:type="dxa"/>
          </w:tcPr>
          <w:p w14:paraId="4101BD3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AC4BC2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производстве находятся 2 мотора новой компоновки.</w:t>
            </w:r>
          </w:p>
        </w:tc>
      </w:tr>
      <w:tr w:rsidR="00F26F01" w:rsidRPr="00C33834" w14:paraId="1CD60F45" w14:textId="77777777">
        <w:tc>
          <w:tcPr>
            <w:tcW w:w="2802" w:type="dxa"/>
          </w:tcPr>
          <w:p w14:paraId="3E4B568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6B43A32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 готовн. к гос. испыт. = 60%.</w:t>
            </w:r>
          </w:p>
        </w:tc>
      </w:tr>
      <w:tr w:rsidR="00F26F01" w:rsidRPr="00C33834" w14:paraId="6F0F554A" w14:textId="77777777">
        <w:tc>
          <w:tcPr>
            <w:tcW w:w="2802" w:type="dxa"/>
          </w:tcPr>
          <w:p w14:paraId="5B147B4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М-38... 9 цил.</w:t>
            </w:r>
          </w:p>
        </w:tc>
        <w:tc>
          <w:tcPr>
            <w:tcW w:w="8079" w:type="dxa"/>
          </w:tcPr>
          <w:p w14:paraId="3BCAD30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предназначен для истребителей.</w:t>
            </w:r>
          </w:p>
        </w:tc>
      </w:tr>
      <w:tr w:rsidR="00F26F01" w:rsidRPr="00C33834" w14:paraId="5F0A2B3C" w14:textId="77777777">
        <w:tc>
          <w:tcPr>
            <w:tcW w:w="2802" w:type="dxa"/>
          </w:tcPr>
          <w:p w14:paraId="3A47E13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550 л.с.</w:t>
            </w:r>
          </w:p>
        </w:tc>
        <w:tc>
          <w:tcPr>
            <w:tcW w:w="8079" w:type="dxa"/>
          </w:tcPr>
          <w:p w14:paraId="72987D4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 и рабочие чертежи мотора закончены к 15/VIII-31 г. 1/V-32 г. мотор поступил на</w:t>
            </w:r>
          </w:p>
        </w:tc>
      </w:tr>
      <w:tr w:rsidR="00F26F01" w:rsidRPr="00C33834" w14:paraId="0919956E" w14:textId="77777777">
        <w:tc>
          <w:tcPr>
            <w:tcW w:w="2802" w:type="dxa"/>
          </w:tcPr>
          <w:p w14:paraId="24298A1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....1900 об/мин.</w:t>
            </w:r>
          </w:p>
        </w:tc>
        <w:tc>
          <w:tcPr>
            <w:tcW w:w="8079" w:type="dxa"/>
          </w:tcPr>
          <w:p w14:paraId="68A47B4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В процессе проведенных испытаний выявлен ряд дефектов, как-то: трещины между</w:t>
            </w:r>
          </w:p>
        </w:tc>
      </w:tr>
      <w:tr w:rsidR="00F26F01" w:rsidRPr="00C33834" w14:paraId="58847195" w14:textId="77777777">
        <w:tc>
          <w:tcPr>
            <w:tcW w:w="2802" w:type="dxa"/>
          </w:tcPr>
          <w:p w14:paraId="3586598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Вес 450 кг</w:t>
            </w:r>
          </w:p>
        </w:tc>
        <w:tc>
          <w:tcPr>
            <w:tcW w:w="8079" w:type="dxa"/>
          </w:tcPr>
          <w:p w14:paraId="7E247AB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клапанными гнездами в головке цилиндра, выкрашивание азотированного слоя кулачковой</w:t>
            </w:r>
          </w:p>
        </w:tc>
      </w:tr>
      <w:tr w:rsidR="00F26F01" w:rsidRPr="00C33834" w14:paraId="3EC9204E" w14:textId="77777777">
        <w:tc>
          <w:tcPr>
            <w:tcW w:w="2802" w:type="dxa"/>
          </w:tcPr>
          <w:p w14:paraId="6C06367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0,82 кг/л.с.</w:t>
            </w:r>
          </w:p>
        </w:tc>
        <w:tc>
          <w:tcPr>
            <w:tcW w:w="8079" w:type="dxa"/>
          </w:tcPr>
          <w:p w14:paraId="4564958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шайбы, поломки коробок выхлопа у головок новой конструкции, выгорание поршней, поломка </w:t>
            </w:r>
          </w:p>
        </w:tc>
      </w:tr>
      <w:tr w:rsidR="00F26F01" w:rsidRPr="00C33834" w14:paraId="0D9F9E9F" w14:textId="77777777">
        <w:tc>
          <w:tcPr>
            <w:tcW w:w="2802" w:type="dxa"/>
          </w:tcPr>
          <w:p w14:paraId="44E9160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....установки на</w:t>
            </w:r>
          </w:p>
        </w:tc>
        <w:tc>
          <w:tcPr>
            <w:tcW w:w="8079" w:type="dxa"/>
          </w:tcPr>
          <w:p w14:paraId="3CFE94C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роликов толкателей и др. Дефект головки цил. затрудняет выявление и изжитие других дефектов</w:t>
            </w:r>
          </w:p>
        </w:tc>
      </w:tr>
      <w:tr w:rsidR="00F26F01" w:rsidRPr="00C33834" w14:paraId="6852BED5" w14:textId="77777777">
        <w:tc>
          <w:tcPr>
            <w:tcW w:w="2802" w:type="dxa"/>
          </w:tcPr>
          <w:p w14:paraId="3F94EFE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испыт. 1/I-34г.</w:t>
            </w:r>
          </w:p>
        </w:tc>
        <w:tc>
          <w:tcPr>
            <w:tcW w:w="8079" w:type="dxa"/>
          </w:tcPr>
          <w:p w14:paraId="4FC58A2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мотора. Решено в ближайшее время проводить испытание мотора с 2-х клапанной головкой</w:t>
            </w:r>
          </w:p>
        </w:tc>
      </w:tr>
      <w:tr w:rsidR="00F26F01" w:rsidRPr="00C33834" w14:paraId="034BCB1D" w14:textId="77777777">
        <w:tc>
          <w:tcPr>
            <w:tcW w:w="2802" w:type="dxa"/>
          </w:tcPr>
          <w:p w14:paraId="496FCD1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611BD1C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(временно) типа М-58 (давшей в результате испыт. неплохие результаты), в целях изжития других</w:t>
            </w:r>
          </w:p>
        </w:tc>
      </w:tr>
      <w:tr w:rsidR="00F26F01" w:rsidRPr="00C33834" w14:paraId="5D24D783" w14:textId="77777777">
        <w:tc>
          <w:tcPr>
            <w:tcW w:w="2802" w:type="dxa"/>
          </w:tcPr>
          <w:p w14:paraId="0DBBC8C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811C7A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дефектов мотора. Одновременно проводится работа по конструированию головки к мот. М-38 4-х</w:t>
            </w:r>
          </w:p>
        </w:tc>
      </w:tr>
      <w:tr w:rsidR="00F26F01" w:rsidRPr="00C33834" w14:paraId="116C459F" w14:textId="77777777">
        <w:tc>
          <w:tcPr>
            <w:tcW w:w="2802" w:type="dxa"/>
          </w:tcPr>
          <w:p w14:paraId="696C9D0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06D0C04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клапанная, с которой мотор будет предъявлен на гос. испыт. Всего мотор прошел около 220 часов,</w:t>
            </w:r>
          </w:p>
        </w:tc>
      </w:tr>
      <w:tr w:rsidR="00F26F01" w:rsidRPr="00C33834" w14:paraId="4547009C" w14:textId="77777777">
        <w:tc>
          <w:tcPr>
            <w:tcW w:w="2802" w:type="dxa"/>
          </w:tcPr>
          <w:p w14:paraId="01B7AD9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E8B68F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которых около 85 часов режимных. Проведенные испытания выявили надежность основных</w:t>
            </w:r>
          </w:p>
        </w:tc>
      </w:tr>
      <w:tr w:rsidR="00F26F01" w:rsidRPr="00C33834" w14:paraId="05269424" w14:textId="77777777">
        <w:tc>
          <w:tcPr>
            <w:tcW w:w="2802" w:type="dxa"/>
          </w:tcPr>
          <w:p w14:paraId="4FEF3DA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281D3FD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узлов мотора: кол. вал, нагнетатель, шатунно-поршневой механизм и др. В доводке мотора</w:t>
            </w:r>
          </w:p>
        </w:tc>
      </w:tr>
      <w:tr w:rsidR="00F26F01" w:rsidRPr="00C33834" w14:paraId="759E4E59" w14:textId="77777777">
        <w:tc>
          <w:tcPr>
            <w:tcW w:w="2802" w:type="dxa"/>
          </w:tcPr>
          <w:p w14:paraId="340DE0A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13711E2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осталось в основном изжитие дефекта головки цилиндра, на которой и будет во 2-ю половину</w:t>
            </w:r>
          </w:p>
        </w:tc>
      </w:tr>
      <w:tr w:rsidR="00F26F01" w:rsidRPr="00C33834" w14:paraId="40A8AC31" w14:textId="77777777">
        <w:tc>
          <w:tcPr>
            <w:tcW w:w="2802" w:type="dxa"/>
          </w:tcPr>
          <w:p w14:paraId="5530B58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48B0C5F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 г. сосредоточено внимание.</w:t>
            </w:r>
          </w:p>
        </w:tc>
      </w:tr>
      <w:tr w:rsidR="00F26F01" w:rsidRPr="00C33834" w14:paraId="7ECE7FFA" w14:textId="77777777">
        <w:tc>
          <w:tcPr>
            <w:tcW w:w="2802" w:type="dxa"/>
          </w:tcPr>
          <w:p w14:paraId="21E2A48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0ECD8E0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 готовности к гос. исп. - 60%.</w:t>
            </w:r>
          </w:p>
        </w:tc>
      </w:tr>
      <w:tr w:rsidR="00F26F01" w:rsidRPr="00C33834" w14:paraId="5C7D02FD" w14:textId="77777777">
        <w:tc>
          <w:tcPr>
            <w:tcW w:w="2802" w:type="dxa"/>
          </w:tcPr>
          <w:p w14:paraId="5310871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М-32</w:t>
            </w:r>
          </w:p>
        </w:tc>
        <w:tc>
          <w:tcPr>
            <w:tcW w:w="8079" w:type="dxa"/>
          </w:tcPr>
          <w:p w14:paraId="3C1A6AB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предназначен для быстроходных самолетов и для некоторых категорий разведывателей.</w:t>
            </w:r>
          </w:p>
        </w:tc>
      </w:tr>
      <w:tr w:rsidR="00F26F01" w:rsidRPr="00C33834" w14:paraId="2B1C83F8" w14:textId="77777777">
        <w:tc>
          <w:tcPr>
            <w:tcW w:w="2802" w:type="dxa"/>
          </w:tcPr>
          <w:p w14:paraId="42E87E3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13-ти цилиндровый</w:t>
            </w:r>
          </w:p>
        </w:tc>
        <w:tc>
          <w:tcPr>
            <w:tcW w:w="8079" w:type="dxa"/>
          </w:tcPr>
          <w:p w14:paraId="6C3E3FA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мотора закончено к ноябрю 1932 г. Тогда же мотор поставлен на зав. испытания.</w:t>
            </w:r>
          </w:p>
        </w:tc>
      </w:tr>
      <w:tr w:rsidR="00F26F01" w:rsidRPr="00C33834" w14:paraId="641D5B3B" w14:textId="77777777">
        <w:tc>
          <w:tcPr>
            <w:tcW w:w="2802" w:type="dxa"/>
          </w:tcPr>
          <w:p w14:paraId="7FFF91A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цил. 60 градусов</w:t>
            </w:r>
          </w:p>
        </w:tc>
        <w:tc>
          <w:tcPr>
            <w:tcW w:w="8079" w:type="dxa"/>
          </w:tcPr>
          <w:p w14:paraId="0A83248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Выявлен ряд дефектов: течь из блока, недостат. смазка, разрушение шатун. вкладышей.</w:t>
            </w:r>
          </w:p>
        </w:tc>
      </w:tr>
      <w:tr w:rsidR="00F26F01" w:rsidRPr="00C33834" w14:paraId="05482047" w14:textId="77777777">
        <w:tc>
          <w:tcPr>
            <w:tcW w:w="2802" w:type="dxa"/>
          </w:tcPr>
          <w:p w14:paraId="5541E0D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2600 об/мин.</w:t>
            </w:r>
          </w:p>
        </w:tc>
        <w:tc>
          <w:tcPr>
            <w:tcW w:w="8079" w:type="dxa"/>
          </w:tcPr>
          <w:p w14:paraId="5B5C76D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мотор наработал около 60 часов.</w:t>
            </w:r>
          </w:p>
        </w:tc>
      </w:tr>
      <w:tr w:rsidR="00F26F01" w:rsidRPr="00C33834" w14:paraId="0FC60E1D" w14:textId="77777777">
        <w:tc>
          <w:tcPr>
            <w:tcW w:w="2802" w:type="dxa"/>
          </w:tcPr>
          <w:p w14:paraId="3B0AF52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380 кг.</w:t>
            </w:r>
          </w:p>
        </w:tc>
        <w:tc>
          <w:tcPr>
            <w:tcW w:w="8079" w:type="dxa"/>
          </w:tcPr>
          <w:p w14:paraId="2E6C675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дал 600 л.с. при 3180 об./мин.</w:t>
            </w:r>
          </w:p>
        </w:tc>
      </w:tr>
      <w:tr w:rsidR="00F26F01" w:rsidRPr="00C33834" w14:paraId="3ED03A81" w14:textId="77777777">
        <w:tc>
          <w:tcPr>
            <w:tcW w:w="2802" w:type="dxa"/>
          </w:tcPr>
          <w:p w14:paraId="3C18324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0,638.</w:t>
            </w:r>
          </w:p>
        </w:tc>
        <w:tc>
          <w:tcPr>
            <w:tcW w:w="8079" w:type="dxa"/>
          </w:tcPr>
          <w:p w14:paraId="074D62B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Так как причиной подтекания блоков является недостаточная жесткость блока и головки, то </w:t>
            </w:r>
          </w:p>
        </w:tc>
      </w:tr>
      <w:tr w:rsidR="00F26F01" w:rsidRPr="00C33834" w14:paraId="78665C7A" w14:textId="77777777">
        <w:tc>
          <w:tcPr>
            <w:tcW w:w="2802" w:type="dxa"/>
          </w:tcPr>
          <w:p w14:paraId="556139A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испыт.</w:t>
            </w:r>
          </w:p>
        </w:tc>
        <w:tc>
          <w:tcPr>
            <w:tcW w:w="8079" w:type="dxa"/>
          </w:tcPr>
          <w:p w14:paraId="0DEDD73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данные детали конструкт. переделаны в сторону большей жесткости. Моторы N 1 и N 2 в новом</w:t>
            </w:r>
          </w:p>
        </w:tc>
      </w:tr>
      <w:tr w:rsidR="00F26F01" w:rsidRPr="00C33834" w14:paraId="6CBA3A2E" w14:textId="77777777">
        <w:tc>
          <w:tcPr>
            <w:tcW w:w="2802" w:type="dxa"/>
          </w:tcPr>
          <w:p w14:paraId="09F6AC0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5733791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варианте находятся в пр-ве. К 1/VIII-33 г. по плану ЦИАМ моторы поступят на исп. станцию.</w:t>
            </w:r>
          </w:p>
        </w:tc>
      </w:tr>
      <w:tr w:rsidR="00F26F01" w:rsidRPr="00C33834" w14:paraId="1488833E" w14:textId="77777777">
        <w:tc>
          <w:tcPr>
            <w:tcW w:w="2802" w:type="dxa"/>
          </w:tcPr>
          <w:p w14:paraId="3F56DF1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02B929E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 готовности нового варианта к гос. испытанию = 45%.</w:t>
            </w:r>
          </w:p>
        </w:tc>
      </w:tr>
      <w:tr w:rsidR="00F26F01" w:rsidRPr="00C33834" w14:paraId="364A970E" w14:textId="77777777">
        <w:tc>
          <w:tcPr>
            <w:tcW w:w="2802" w:type="dxa"/>
          </w:tcPr>
          <w:p w14:paraId="541FA79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М-47</w:t>
            </w:r>
          </w:p>
        </w:tc>
        <w:tc>
          <w:tcPr>
            <w:tcW w:w="8079" w:type="dxa"/>
          </w:tcPr>
          <w:p w14:paraId="5D6CE99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предназначается для многоместн. тяжелых самолетов.</w:t>
            </w:r>
          </w:p>
        </w:tc>
      </w:tr>
      <w:tr w:rsidR="00F26F01" w:rsidRPr="00C33834" w14:paraId="4BF7FD15" w14:textId="77777777">
        <w:tc>
          <w:tcPr>
            <w:tcW w:w="2802" w:type="dxa"/>
          </w:tcPr>
          <w:p w14:paraId="6691D35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цилиндров.</w:t>
            </w:r>
          </w:p>
        </w:tc>
        <w:tc>
          <w:tcPr>
            <w:tcW w:w="8079" w:type="dxa"/>
          </w:tcPr>
          <w:p w14:paraId="0364C57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производство запущено 2 мотора. Мотор N 1 должен быть закончен сборкой 15/VIII-c.г.</w:t>
            </w:r>
          </w:p>
        </w:tc>
      </w:tr>
      <w:tr w:rsidR="00F26F01" w:rsidRPr="00C33834" w14:paraId="666A76AD" w14:textId="77777777">
        <w:tc>
          <w:tcPr>
            <w:tcW w:w="2802" w:type="dxa"/>
          </w:tcPr>
          <w:p w14:paraId="03B4F7D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охлажд.</w:t>
            </w:r>
          </w:p>
        </w:tc>
        <w:tc>
          <w:tcPr>
            <w:tcW w:w="8079" w:type="dxa"/>
          </w:tcPr>
          <w:p w14:paraId="50945AC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Большинство деталей мотора изготовлено. Картер находится в монтаже. Кол. вал 25/VII</w:t>
            </w:r>
          </w:p>
        </w:tc>
      </w:tr>
      <w:tr w:rsidR="00F26F01" w:rsidRPr="00C33834" w14:paraId="1A02DFEC" w14:textId="77777777">
        <w:tc>
          <w:tcPr>
            <w:tcW w:w="2802" w:type="dxa"/>
          </w:tcPr>
          <w:p w14:paraId="1D57BF8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2000 л.с.</w:t>
            </w:r>
          </w:p>
        </w:tc>
        <w:tc>
          <w:tcPr>
            <w:tcW w:w="8079" w:type="dxa"/>
          </w:tcPr>
          <w:p w14:paraId="4A5AD74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передается в монтаж. В конце сентября станет на испытание.</w:t>
            </w:r>
          </w:p>
        </w:tc>
      </w:tr>
      <w:tr w:rsidR="00F26F01" w:rsidRPr="00C33834" w14:paraId="43123C86" w14:textId="77777777">
        <w:tc>
          <w:tcPr>
            <w:tcW w:w="2802" w:type="dxa"/>
          </w:tcPr>
          <w:p w14:paraId="7B551BA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1350 об/мин.</w:t>
            </w:r>
          </w:p>
        </w:tc>
        <w:tc>
          <w:tcPr>
            <w:tcW w:w="8079" w:type="dxa"/>
          </w:tcPr>
          <w:p w14:paraId="0B11C07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N 2 в производстве.</w:t>
            </w:r>
          </w:p>
        </w:tc>
      </w:tr>
      <w:tr w:rsidR="00F26F01" w:rsidRPr="00C33834" w14:paraId="7B8382EF" w14:textId="77777777">
        <w:tc>
          <w:tcPr>
            <w:tcW w:w="2802" w:type="dxa"/>
          </w:tcPr>
          <w:p w14:paraId="2DA8B49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 = 3500 м</w:t>
            </w:r>
          </w:p>
        </w:tc>
        <w:tc>
          <w:tcPr>
            <w:tcW w:w="8079" w:type="dxa"/>
          </w:tcPr>
          <w:p w14:paraId="3C253C3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 готовности к гос. испытаниям = 40%.</w:t>
            </w:r>
          </w:p>
        </w:tc>
      </w:tr>
      <w:tr w:rsidR="00F26F01" w:rsidRPr="00C33834" w14:paraId="3F648878" w14:textId="77777777">
        <w:tc>
          <w:tcPr>
            <w:tcW w:w="2802" w:type="dxa"/>
          </w:tcPr>
          <w:p w14:paraId="7F43082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1600 кг</w:t>
            </w:r>
          </w:p>
        </w:tc>
        <w:tc>
          <w:tcPr>
            <w:tcW w:w="8079" w:type="dxa"/>
          </w:tcPr>
          <w:p w14:paraId="499DA23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B07879C" w14:textId="77777777">
        <w:tc>
          <w:tcPr>
            <w:tcW w:w="2802" w:type="dxa"/>
          </w:tcPr>
          <w:p w14:paraId="0ED44CC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- 0,8 кг/л.с.</w:t>
            </w:r>
          </w:p>
        </w:tc>
        <w:tc>
          <w:tcPr>
            <w:tcW w:w="8079" w:type="dxa"/>
          </w:tcPr>
          <w:p w14:paraId="0192E27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109789D" w14:textId="77777777">
        <w:tc>
          <w:tcPr>
            <w:tcW w:w="2802" w:type="dxa"/>
          </w:tcPr>
          <w:p w14:paraId="6AEA605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постановки на</w:t>
            </w:r>
          </w:p>
        </w:tc>
        <w:tc>
          <w:tcPr>
            <w:tcW w:w="8079" w:type="dxa"/>
          </w:tcPr>
          <w:p w14:paraId="3C7EA19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B04CA30" w14:textId="77777777">
        <w:tc>
          <w:tcPr>
            <w:tcW w:w="2802" w:type="dxa"/>
          </w:tcPr>
          <w:p w14:paraId="436514A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испытан. 1/X-33г.</w:t>
            </w:r>
          </w:p>
        </w:tc>
        <w:tc>
          <w:tcPr>
            <w:tcW w:w="8079" w:type="dxa"/>
          </w:tcPr>
          <w:p w14:paraId="17D6EB1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D0DD2D1" w14:textId="77777777">
        <w:tc>
          <w:tcPr>
            <w:tcW w:w="2802" w:type="dxa"/>
          </w:tcPr>
          <w:p w14:paraId="71CD533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М-56Н</w:t>
            </w:r>
          </w:p>
        </w:tc>
        <w:tc>
          <w:tcPr>
            <w:tcW w:w="8079" w:type="dxa"/>
          </w:tcPr>
          <w:p w14:paraId="6CFDBB7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проводятся предварительные исследования и начало эскизной компоновки.</w:t>
            </w:r>
          </w:p>
        </w:tc>
      </w:tr>
      <w:tr w:rsidR="00F26F01" w:rsidRPr="00C33834" w14:paraId="6BE85ABD" w14:textId="77777777">
        <w:tc>
          <w:tcPr>
            <w:tcW w:w="2802" w:type="dxa"/>
          </w:tcPr>
          <w:p w14:paraId="765D8F3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....рядная звезда</w:t>
            </w:r>
          </w:p>
        </w:tc>
        <w:tc>
          <w:tcPr>
            <w:tcW w:w="8079" w:type="dxa"/>
          </w:tcPr>
          <w:p w14:paraId="7E4D05E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048B1D2" w14:textId="77777777">
        <w:tc>
          <w:tcPr>
            <w:tcW w:w="2802" w:type="dxa"/>
          </w:tcPr>
          <w:p w14:paraId="4BEDED2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18</w:t>
            </w:r>
          </w:p>
        </w:tc>
        <w:tc>
          <w:tcPr>
            <w:tcW w:w="8079" w:type="dxa"/>
          </w:tcPr>
          <w:p w14:paraId="01B10CE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B57445D" w14:textId="77777777">
        <w:tc>
          <w:tcPr>
            <w:tcW w:w="2802" w:type="dxa"/>
          </w:tcPr>
          <w:p w14:paraId="7FDA65B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Мощность..700 л.с.</w:t>
            </w:r>
          </w:p>
        </w:tc>
        <w:tc>
          <w:tcPr>
            <w:tcW w:w="8079" w:type="dxa"/>
          </w:tcPr>
          <w:p w14:paraId="787DC0B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2803CFC" w14:textId="77777777">
        <w:tc>
          <w:tcPr>
            <w:tcW w:w="2802" w:type="dxa"/>
          </w:tcPr>
          <w:p w14:paraId="2DE65E7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 5000 м</w:t>
            </w:r>
          </w:p>
        </w:tc>
        <w:tc>
          <w:tcPr>
            <w:tcW w:w="8079" w:type="dxa"/>
          </w:tcPr>
          <w:p w14:paraId="79C26A9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AD972F0" w14:textId="77777777">
        <w:tc>
          <w:tcPr>
            <w:tcW w:w="2802" w:type="dxa"/>
          </w:tcPr>
          <w:p w14:paraId="7CB05B7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без втулки 450 кг</w:t>
            </w:r>
          </w:p>
        </w:tc>
        <w:tc>
          <w:tcPr>
            <w:tcW w:w="8079" w:type="dxa"/>
          </w:tcPr>
          <w:p w14:paraId="14B124B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4155CCE" w14:textId="77777777">
        <w:tc>
          <w:tcPr>
            <w:tcW w:w="2802" w:type="dxa"/>
          </w:tcPr>
          <w:p w14:paraId="331B5CD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 1/X-34г.</w:t>
            </w:r>
          </w:p>
        </w:tc>
        <w:tc>
          <w:tcPr>
            <w:tcW w:w="8079" w:type="dxa"/>
          </w:tcPr>
          <w:p w14:paraId="3BC4B30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C164C08" w14:textId="77777777">
        <w:tc>
          <w:tcPr>
            <w:tcW w:w="2802" w:type="dxa"/>
          </w:tcPr>
          <w:p w14:paraId="4295F9F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Отчет о выполнении опытного моторостроения за 1-е полугодие 1933 года.</w:t>
            </w:r>
          </w:p>
        </w:tc>
        <w:tc>
          <w:tcPr>
            <w:tcW w:w="8079" w:type="dxa"/>
          </w:tcPr>
          <w:p w14:paraId="0EA35C3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C2FFC91" w14:textId="77777777">
        <w:tc>
          <w:tcPr>
            <w:tcW w:w="2802" w:type="dxa"/>
          </w:tcPr>
          <w:p w14:paraId="6E6F876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М-58</w:t>
            </w:r>
          </w:p>
        </w:tc>
        <w:tc>
          <w:tcPr>
            <w:tcW w:w="8079" w:type="dxa"/>
          </w:tcPr>
          <w:p w14:paraId="47AA529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предназначается для истребителей. Проект мотора с рабочими чертежами сделан к</w:t>
            </w:r>
          </w:p>
        </w:tc>
      </w:tr>
      <w:tr w:rsidR="00F26F01" w:rsidRPr="00C33834" w14:paraId="750374AA" w14:textId="77777777">
        <w:tc>
          <w:tcPr>
            <w:tcW w:w="2802" w:type="dxa"/>
          </w:tcPr>
          <w:p w14:paraId="07F934F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9 цил.</w:t>
            </w:r>
          </w:p>
        </w:tc>
        <w:tc>
          <w:tcPr>
            <w:tcW w:w="8079" w:type="dxa"/>
          </w:tcPr>
          <w:p w14:paraId="7E71F65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1/IX-32 г.</w:t>
            </w:r>
          </w:p>
        </w:tc>
      </w:tr>
      <w:tr w:rsidR="00F26F01" w:rsidRPr="00C33834" w14:paraId="62350C51" w14:textId="77777777">
        <w:tc>
          <w:tcPr>
            <w:tcW w:w="2802" w:type="dxa"/>
          </w:tcPr>
          <w:p w14:paraId="209F85B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22D8620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опытный экземпляр изгот. к 1/IX-32 г.</w:t>
            </w:r>
          </w:p>
        </w:tc>
      </w:tr>
      <w:tr w:rsidR="00F26F01" w:rsidRPr="00C33834" w14:paraId="018A036F" w14:textId="77777777">
        <w:tc>
          <w:tcPr>
            <w:tcW w:w="2802" w:type="dxa"/>
          </w:tcPr>
          <w:p w14:paraId="2826699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64ADFB2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Второй экземпляр - к 1/I-33 г.</w:t>
            </w:r>
          </w:p>
        </w:tc>
      </w:tr>
      <w:tr w:rsidR="00F26F01" w:rsidRPr="00C33834" w14:paraId="49B78E10" w14:textId="77777777">
        <w:tc>
          <w:tcPr>
            <w:tcW w:w="2802" w:type="dxa"/>
          </w:tcPr>
          <w:p w14:paraId="26B2662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2504F1A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Третий экземпляр - к 1/VII-33 г.</w:t>
            </w:r>
          </w:p>
        </w:tc>
      </w:tr>
      <w:tr w:rsidR="00F26F01" w:rsidRPr="00C33834" w14:paraId="477D7F2D" w14:textId="77777777">
        <w:tc>
          <w:tcPr>
            <w:tcW w:w="2802" w:type="dxa"/>
          </w:tcPr>
          <w:p w14:paraId="21D1DDB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0B333B7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поставлен на заводские испытания 18/X-1932 г.</w:t>
            </w:r>
          </w:p>
        </w:tc>
      </w:tr>
      <w:tr w:rsidR="00F26F01" w:rsidRPr="00C33834" w14:paraId="7AE38638" w14:textId="77777777">
        <w:tc>
          <w:tcPr>
            <w:tcW w:w="2802" w:type="dxa"/>
          </w:tcPr>
          <w:p w14:paraId="3484C29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642A854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N 1 прошел всего 92 ч. 25 мин., из них на режиме 12 ч. 43 мин......... характеристика 9/!-33 г. - 675 л.с. - 1800 об/миН Расход горючего 265-290 гр/л.с.ч. Расход масла 62 гр/л.с.ч. и выше. Перепад температ. масла 55-75 градусов. Наддув от 0 до + 30 мм.</w:t>
            </w:r>
          </w:p>
          <w:p w14:paraId="4E48E8B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N 2 прошел всего 45 ч. 30 м., из них на режиме 16 ч. 50 м. Мотор собран с выключенным нагнетателем (валик импеллера путем добавочн. скобы жестко соединен с колен. валом, т.о. турбина, делающая такие же...... как и кол. вал, служит только мешалкой. Сделано это в целях выявления и изжития дефектов мотора без импеллера. Снята характеристика...... 610 л.с. = 1800 об/мин. Расход горючего = 260 гр/л.с.ч. Расход масла 32 гр/л.с.ч. и выше. Температуры такие же как и у N 1.</w:t>
            </w:r>
          </w:p>
          <w:p w14:paraId="5E15679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N 3 в сборке. Укомплектован деталями полностью к 5/VII-33 г.</w:t>
            </w:r>
          </w:p>
          <w:p w14:paraId="7634BA6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испытаний выявлены следующие основные дефекты:</w:t>
            </w:r>
          </w:p>
          <w:p w14:paraId="5FE0602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Поломка щеки к/вала в месте крепления противовесов. Проведено конструктивное изменение к/вала в сторону получения большего запаса прочности в этом месте. Валы данной конструкции находятся в производстве.</w:t>
            </w:r>
          </w:p>
          <w:p w14:paraId="3DD69F4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Трещины вокруг бабышек задней и пром. крышки картера, заедание.... в/импеллера, перегрев в/импеллера, наволаки. бронзы на в/ импеллера..... изменение зазоров, материала небольшие констр. изменения....... окончательно дефект не изжит.</w:t>
            </w:r>
          </w:p>
          <w:p w14:paraId="6DAA179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Большой расход масла. Поставлены кольца типа "Циклон" с 2 градусн. уклоном рабочей поверхн. Результатов пока не получено.</w:t>
            </w:r>
          </w:p>
          <w:p w14:paraId="3158457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Большой перепад температур 65 градусов и большая температ. выходящего масла 120 градусов. Дефект не изжит.</w:t>
            </w:r>
          </w:p>
          <w:p w14:paraId="226E9E7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Односторонний износ шейки к/вала до 0,25 мм за 50 часов работы. Проводится изменение подвода смазки.</w:t>
            </w:r>
          </w:p>
          <w:p w14:paraId="08C1C46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Износ пальцев бок. шатунов до 0,2 мм за 25 час. работы. Проведено изменение подвода смазки.</w:t>
            </w:r>
          </w:p>
          <w:p w14:paraId="0C97508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Поломки клапанных пружин, пружин фрикцион. муфты. Проведено небольшое изменение фрикциона и пружин как фрикционных, так и клапанных.</w:t>
            </w:r>
          </w:p>
          <w:p w14:paraId="23F7E5C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8.Торщевой износ уплотнения в/импеллера вследствие большого осевого давления. Просверлены в турбине отверстия уравнивающие давления с двух сторон турбины.</w:t>
            </w:r>
          </w:p>
          <w:p w14:paraId="78364A9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Обрыв выхлопн. клапанов по месту сверления нижних охлажд. отверстий. Введены клапана без охлажд.</w:t>
            </w:r>
          </w:p>
          <w:p w14:paraId="55D7AFF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10.Износ шайбы распределения, роликов толкателей, заедание осей роликов толкателей и самих толкателей в направляющих. Дефект изжит.</w:t>
            </w:r>
          </w:p>
          <w:p w14:paraId="4E87349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1/VIII ставится на станок с новым усиленным кол. валом.</w:t>
            </w:r>
          </w:p>
          <w:p w14:paraId="33F9106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Доводка мотора разбита на 3 этапа:</w:t>
            </w:r>
          </w:p>
          <w:p w14:paraId="74F6CB7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1-ый этап М-58 без наддува;</w:t>
            </w:r>
          </w:p>
          <w:p w14:paraId="3AE910E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2-ой этап М-58 с наддувом;</w:t>
            </w:r>
          </w:p>
          <w:p w14:paraId="1A39C13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3-ий этап М-58 с наддувом и редуктором.</w:t>
            </w:r>
          </w:p>
          <w:p w14:paraId="34B5176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1-ом этапе т.е. без наддува мотор 1/IX-32 г. ставится на гос. испытание.</w:t>
            </w:r>
          </w:p>
          <w:p w14:paraId="22503A9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 готовности к гос. испытан. = 65 %.</w:t>
            </w:r>
          </w:p>
        </w:tc>
      </w:tr>
      <w:tr w:rsidR="00F26F01" w:rsidRPr="00C33834" w14:paraId="780A74A7" w14:textId="77777777">
        <w:tc>
          <w:tcPr>
            <w:tcW w:w="2802" w:type="dxa"/>
          </w:tcPr>
          <w:p w14:paraId="05A0FF5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М-49</w:t>
            </w:r>
          </w:p>
        </w:tc>
        <w:tc>
          <w:tcPr>
            <w:tcW w:w="8079" w:type="dxa"/>
          </w:tcPr>
          <w:p w14:paraId="0C7177B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предназначен на пассажирск. самолеты.</w:t>
            </w:r>
          </w:p>
        </w:tc>
      </w:tr>
      <w:tr w:rsidR="00F26F01" w:rsidRPr="00C33834" w14:paraId="24A1BFCF" w14:textId="77777777">
        <w:tc>
          <w:tcPr>
            <w:tcW w:w="2802" w:type="dxa"/>
          </w:tcPr>
          <w:p w14:paraId="442A2E5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Звезда 9 цил.</w:t>
            </w:r>
          </w:p>
        </w:tc>
        <w:tc>
          <w:tcPr>
            <w:tcW w:w="8079" w:type="dxa"/>
          </w:tcPr>
          <w:p w14:paraId="213FB8D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изготовлен в 3-х экземплярах, из коих один передан НИИ ГУГВФ, а 2 находятся в испытании на</w:t>
            </w:r>
          </w:p>
        </w:tc>
      </w:tr>
      <w:tr w:rsidR="00F26F01" w:rsidRPr="00C33834" w14:paraId="3B7446AB" w14:textId="77777777">
        <w:tc>
          <w:tcPr>
            <w:tcW w:w="2802" w:type="dxa"/>
          </w:tcPr>
          <w:p w14:paraId="6C481D2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 300 л.с.</w:t>
            </w:r>
          </w:p>
        </w:tc>
        <w:tc>
          <w:tcPr>
            <w:tcW w:w="8079" w:type="dxa"/>
          </w:tcPr>
          <w:p w14:paraId="25940AE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N 29.</w:t>
            </w:r>
          </w:p>
        </w:tc>
      </w:tr>
      <w:tr w:rsidR="00F26F01" w:rsidRPr="00C33834" w14:paraId="7B9C7AC5" w14:textId="77777777">
        <w:tc>
          <w:tcPr>
            <w:tcW w:w="2802" w:type="dxa"/>
          </w:tcPr>
          <w:p w14:paraId="76C7F1C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 1800 об/мин.</w:t>
            </w:r>
          </w:p>
        </w:tc>
        <w:tc>
          <w:tcPr>
            <w:tcW w:w="8079" w:type="dxa"/>
          </w:tcPr>
          <w:p w14:paraId="6F93291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М-49 N 2 всего прошел 55 ч. 33 мин., из них 16 ч. 50 м. прерывных режимных и 10 ч. режимных (1-ый этап</w:t>
            </w:r>
          </w:p>
        </w:tc>
      </w:tr>
      <w:tr w:rsidR="00F26F01" w:rsidRPr="00C33834" w14:paraId="3FE43274" w14:textId="77777777">
        <w:tc>
          <w:tcPr>
            <w:tcW w:w="2802" w:type="dxa"/>
          </w:tcPr>
          <w:p w14:paraId="3D1EDDE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мот. 243 кг</w:t>
            </w:r>
          </w:p>
        </w:tc>
        <w:tc>
          <w:tcPr>
            <w:tcW w:w="8079" w:type="dxa"/>
          </w:tcPr>
          <w:p w14:paraId="643427B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заводск. 50-ти часового испытания).</w:t>
            </w:r>
          </w:p>
        </w:tc>
      </w:tr>
      <w:tr w:rsidR="00F26F01" w:rsidRPr="00C33834" w14:paraId="1FE9870D" w14:textId="77777777">
        <w:tc>
          <w:tcPr>
            <w:tcW w:w="2802" w:type="dxa"/>
          </w:tcPr>
          <w:p w14:paraId="307074F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654405F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Снята характеристика.</w:t>
            </w:r>
          </w:p>
          <w:p w14:paraId="7DA6A81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270 л.с. = 1800 об/мин., расх. горючего - 262 гр/л.с.ч., расход масла 25 гр/л.с.ч., наддув + 60 мм рт. столба.</w:t>
            </w:r>
          </w:p>
          <w:p w14:paraId="7D8AFA0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время испытаний выявлены и в основном изжиты дефекты: накат на роликах толкателей, накат на кулачках распред. шайбы, течь масла из носка картера, поломка двойной шестерни распределения, наклепы в соед. картера, износ пальцев бок. шатунов, заедание втулки в/импеллера, поломка клапанных пружин.</w:t>
            </w:r>
          </w:p>
          <w:p w14:paraId="57A7CF6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стоит на 2-ом этапе длительн. заводск. испытан. Дальнейшая работа по мотору сводится к изжитию дефектов, обнаруженных в процессе испытания и к получению проектной мощности - 300 л.с. при.... = 1800 об/мин., так как мотор на сегодня этой мощности не дает.</w:t>
            </w:r>
          </w:p>
          <w:p w14:paraId="5BCCF7B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испытание будет предъявлен 1/IX-33 г.</w:t>
            </w:r>
          </w:p>
          <w:p w14:paraId="6148EC8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 готовности к гос. испытан. = 90%.</w:t>
            </w:r>
          </w:p>
          <w:p w14:paraId="45A6828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39FC93C" w14:textId="77777777">
        <w:tc>
          <w:tcPr>
            <w:tcW w:w="2802" w:type="dxa"/>
          </w:tcPr>
          <w:p w14:paraId="5CEEBEA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М-48</w:t>
            </w:r>
          </w:p>
        </w:tc>
        <w:tc>
          <w:tcPr>
            <w:tcW w:w="8079" w:type="dxa"/>
          </w:tcPr>
          <w:p w14:paraId="4E162BE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предназначается для учебных самолетов и автожир Ц.А.Г.И.</w:t>
            </w:r>
          </w:p>
        </w:tc>
      </w:tr>
      <w:tr w:rsidR="00F26F01" w:rsidRPr="00C33834" w14:paraId="7C088060" w14:textId="77777777">
        <w:tc>
          <w:tcPr>
            <w:tcW w:w="2802" w:type="dxa"/>
          </w:tcPr>
          <w:p w14:paraId="63F7EE1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Звезда 7 цил.</w:t>
            </w:r>
          </w:p>
        </w:tc>
        <w:tc>
          <w:tcPr>
            <w:tcW w:w="8079" w:type="dxa"/>
          </w:tcPr>
          <w:p w14:paraId="3975ECC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 мотора с рабочими чертежами сделан в период с 15/III-31 г. по 1/IX-31 г. Изготовлено 3 экз. мотора,</w:t>
            </w:r>
          </w:p>
        </w:tc>
      </w:tr>
      <w:tr w:rsidR="00F26F01" w:rsidRPr="00C33834" w14:paraId="2EBAB10E" w14:textId="77777777">
        <w:tc>
          <w:tcPr>
            <w:tcW w:w="2802" w:type="dxa"/>
          </w:tcPr>
          <w:p w14:paraId="6D31E20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 195 л.с.</w:t>
            </w:r>
          </w:p>
        </w:tc>
        <w:tc>
          <w:tcPr>
            <w:tcW w:w="8079" w:type="dxa"/>
          </w:tcPr>
          <w:p w14:paraId="2DB909D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коих один находится в НИИ ГУГВФ и 2 на зав. 29.</w:t>
            </w:r>
          </w:p>
        </w:tc>
      </w:tr>
      <w:tr w:rsidR="00F26F01" w:rsidRPr="00C33834" w14:paraId="173B5D68" w14:textId="77777777">
        <w:tc>
          <w:tcPr>
            <w:tcW w:w="2802" w:type="dxa"/>
          </w:tcPr>
          <w:p w14:paraId="4B2731E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 1700 об/мин.</w:t>
            </w:r>
          </w:p>
        </w:tc>
        <w:tc>
          <w:tcPr>
            <w:tcW w:w="8079" w:type="dxa"/>
          </w:tcPr>
          <w:p w14:paraId="39B2B0F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начаты 2/VII-32 г. Мотор прошел всего212 ч., из коих на режиме 124 ч.</w:t>
            </w:r>
          </w:p>
        </w:tc>
      </w:tr>
      <w:tr w:rsidR="00F26F01" w:rsidRPr="00C33834" w14:paraId="01074FEA" w14:textId="77777777">
        <w:tc>
          <w:tcPr>
            <w:tcW w:w="2802" w:type="dxa"/>
          </w:tcPr>
          <w:p w14:paraId="5B7B0D4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мотора</w:t>
            </w:r>
          </w:p>
        </w:tc>
        <w:tc>
          <w:tcPr>
            <w:tcW w:w="8079" w:type="dxa"/>
          </w:tcPr>
          <w:p w14:paraId="1ABA883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194 кг</w:t>
            </w:r>
          </w:p>
        </w:tc>
      </w:tr>
      <w:tr w:rsidR="00F26F01" w:rsidRPr="00C33834" w14:paraId="6E136637" w14:textId="77777777">
        <w:tc>
          <w:tcPr>
            <w:tcW w:w="2802" w:type="dxa"/>
          </w:tcPr>
          <w:p w14:paraId="1091798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37EF3E3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7/VII-33 г. мотор закончил 50-ти часовое заводское испытание. Сейчас проводится подготовка мотора к гос. испытанию и длит. испытание мотора на повышенном режиме.</w:t>
            </w:r>
          </w:p>
          <w:p w14:paraId="70331FC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время испытаний были выявлены и в основном изжиты следующие дефекты: поломка двойной шестерни распределения, поломка венца фрикциона, течь масла из носка картера, поломка клапанных пружин, износ пальцев..... шатуна, большое осевое давление турбины, подсосы во всасыв. системе и др.</w:t>
            </w:r>
          </w:p>
          <w:p w14:paraId="7457229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к 1/IX-33 г. будет предъявлен на гос. испытание.</w:t>
            </w:r>
          </w:p>
          <w:p w14:paraId="4DD7845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 готовности к госуд. испыт. 95%.</w:t>
            </w:r>
          </w:p>
          <w:p w14:paraId="5FFC534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365E9CE" w14:textId="77777777">
        <w:tc>
          <w:tcPr>
            <w:tcW w:w="2802" w:type="dxa"/>
          </w:tcPr>
          <w:p w14:paraId="7945384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Н-1 конструкция</w:t>
            </w:r>
          </w:p>
        </w:tc>
        <w:tc>
          <w:tcPr>
            <w:tcW w:w="8079" w:type="dxa"/>
          </w:tcPr>
          <w:p w14:paraId="6F8BDB3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Задание ЦИАМ'ом получено в ноябре 1930 г. Предварительно проводились испытания</w:t>
            </w:r>
          </w:p>
        </w:tc>
      </w:tr>
      <w:tr w:rsidR="00F26F01" w:rsidRPr="00C33834" w14:paraId="7B5A0CDD" w14:textId="77777777">
        <w:tc>
          <w:tcPr>
            <w:tcW w:w="2802" w:type="dxa"/>
          </w:tcPr>
          <w:p w14:paraId="57C7646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ЦИАМ.</w:t>
            </w:r>
          </w:p>
        </w:tc>
        <w:tc>
          <w:tcPr>
            <w:tcW w:w="8079" w:type="dxa"/>
          </w:tcPr>
          <w:p w14:paraId="17643BE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одноцилиндровых установок. Проектирование начато в мае 1932 г. 20/XI-32 г. рабочие чертежи</w:t>
            </w:r>
          </w:p>
        </w:tc>
      </w:tr>
      <w:tr w:rsidR="00F26F01" w:rsidRPr="00C33834" w14:paraId="1647FF7D" w14:textId="77777777">
        <w:tc>
          <w:tcPr>
            <w:tcW w:w="2802" w:type="dxa"/>
          </w:tcPr>
          <w:p w14:paraId="48AC6A3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цил. Охлажд.</w:t>
            </w:r>
          </w:p>
        </w:tc>
        <w:tc>
          <w:tcPr>
            <w:tcW w:w="8079" w:type="dxa"/>
          </w:tcPr>
          <w:p w14:paraId="19741B4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сданы в производство. На 1/VII мотор в 3-х экземплярах находится в производстве. К 15/VIII-33г.</w:t>
            </w:r>
          </w:p>
        </w:tc>
      </w:tr>
      <w:tr w:rsidR="00F26F01" w:rsidRPr="00C33834" w14:paraId="7B861EC4" w14:textId="77777777">
        <w:tc>
          <w:tcPr>
            <w:tcW w:w="2802" w:type="dxa"/>
          </w:tcPr>
          <w:p w14:paraId="63211FD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водяное</w:t>
            </w:r>
          </w:p>
        </w:tc>
        <w:tc>
          <w:tcPr>
            <w:tcW w:w="8079" w:type="dxa"/>
          </w:tcPr>
          <w:p w14:paraId="08CEAB1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детали первого экземпляра будут сданы в монтажн. цех. К 1/VII-33 г. из 515 наименов.</w:t>
            </w:r>
          </w:p>
        </w:tc>
      </w:tr>
      <w:tr w:rsidR="00F26F01" w:rsidRPr="00C33834" w14:paraId="51B8947F" w14:textId="77777777">
        <w:tc>
          <w:tcPr>
            <w:tcW w:w="2802" w:type="dxa"/>
          </w:tcPr>
          <w:p w14:paraId="635732B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Располож. цил.</w:t>
            </w:r>
          </w:p>
        </w:tc>
        <w:tc>
          <w:tcPr>
            <w:tcW w:w="8079" w:type="dxa"/>
          </w:tcPr>
          <w:p w14:paraId="2342B8C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окончены производством 413 наименований.</w:t>
            </w:r>
          </w:p>
        </w:tc>
      </w:tr>
      <w:tr w:rsidR="00F26F01" w:rsidRPr="00C33834" w14:paraId="229A3152" w14:textId="77777777">
        <w:tc>
          <w:tcPr>
            <w:tcW w:w="2802" w:type="dxa"/>
          </w:tcPr>
          <w:p w14:paraId="3125A7E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 градусов</w:t>
            </w:r>
          </w:p>
        </w:tc>
        <w:tc>
          <w:tcPr>
            <w:tcW w:w="8079" w:type="dxa"/>
          </w:tcPr>
          <w:p w14:paraId="0CA7F62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процессе испытания одноцилиндровой установки выявлено, что вместо проектируемой ранее</w:t>
            </w:r>
          </w:p>
        </w:tc>
      </w:tr>
      <w:tr w:rsidR="00F26F01" w:rsidRPr="00C33834" w14:paraId="27690105" w14:textId="77777777">
        <w:tc>
          <w:tcPr>
            <w:tcW w:w="2802" w:type="dxa"/>
          </w:tcPr>
          <w:p w14:paraId="1062EEC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 800 л.с.</w:t>
            </w:r>
          </w:p>
        </w:tc>
        <w:tc>
          <w:tcPr>
            <w:tcW w:w="8079" w:type="dxa"/>
          </w:tcPr>
          <w:p w14:paraId="3E6E456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мощности = 600 л.с. при = 1800 об/мин. мотор может дать 800 л.с.</w:t>
            </w:r>
          </w:p>
        </w:tc>
      </w:tr>
      <w:tr w:rsidR="00F26F01" w:rsidRPr="00C33834" w14:paraId="0E1C6D66" w14:textId="77777777">
        <w:tc>
          <w:tcPr>
            <w:tcW w:w="2802" w:type="dxa"/>
          </w:tcPr>
          <w:p w14:paraId="0258E1A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 1800 об/мин.</w:t>
            </w:r>
          </w:p>
        </w:tc>
        <w:tc>
          <w:tcPr>
            <w:tcW w:w="8079" w:type="dxa"/>
          </w:tcPr>
          <w:p w14:paraId="26D680E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 готовности к гос. исп. 40%.</w:t>
            </w:r>
          </w:p>
        </w:tc>
      </w:tr>
      <w:tr w:rsidR="00F26F01" w:rsidRPr="00C33834" w14:paraId="3BA37D51" w14:textId="77777777">
        <w:tc>
          <w:tcPr>
            <w:tcW w:w="2802" w:type="dxa"/>
          </w:tcPr>
          <w:p w14:paraId="739DAB1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w:t>
            </w:r>
          </w:p>
        </w:tc>
        <w:tc>
          <w:tcPr>
            <w:tcW w:w="8079" w:type="dxa"/>
          </w:tcPr>
          <w:p w14:paraId="02BA2ED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850 кг</w:t>
            </w:r>
          </w:p>
        </w:tc>
      </w:tr>
      <w:tr w:rsidR="00F26F01" w:rsidRPr="00C33834" w14:paraId="79F88758" w14:textId="77777777">
        <w:tc>
          <w:tcPr>
            <w:tcW w:w="2802" w:type="dxa"/>
          </w:tcPr>
          <w:p w14:paraId="0A0B616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1A44FC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постановки на зав.</w:t>
            </w:r>
          </w:p>
          <w:p w14:paraId="4795A1A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 1/XI-33 г.</w:t>
            </w:r>
          </w:p>
          <w:p w14:paraId="5267FA4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8F9CBA4" w14:textId="77777777">
        <w:tc>
          <w:tcPr>
            <w:tcW w:w="2802" w:type="dxa"/>
          </w:tcPr>
          <w:p w14:paraId="4E6D453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Н-2. Конструкция ВНИДИ.</w:t>
            </w:r>
          </w:p>
        </w:tc>
        <w:tc>
          <w:tcPr>
            <w:tcW w:w="8079" w:type="dxa"/>
          </w:tcPr>
          <w:p w14:paraId="5105076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выполняется ВНИДИ в кооперированном порядке. На ЦИАМ'е лежала обязанность</w:t>
            </w:r>
          </w:p>
        </w:tc>
      </w:tr>
      <w:tr w:rsidR="00F26F01" w:rsidRPr="00C33834" w14:paraId="7FFFE991" w14:textId="77777777">
        <w:tc>
          <w:tcPr>
            <w:tcW w:w="2802" w:type="dxa"/>
          </w:tcPr>
          <w:p w14:paraId="3206288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 тактный авиацион.</w:t>
            </w:r>
          </w:p>
        </w:tc>
        <w:tc>
          <w:tcPr>
            <w:tcW w:w="8079" w:type="dxa"/>
          </w:tcPr>
          <w:p w14:paraId="314D5D4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изготовления 164 наименов. деталей. Данный заказ ЦИАМ'ом выполнен.</w:t>
            </w:r>
          </w:p>
        </w:tc>
      </w:tr>
      <w:tr w:rsidR="00F26F01" w:rsidRPr="00C33834" w14:paraId="5CA610ED" w14:textId="77777777">
        <w:tc>
          <w:tcPr>
            <w:tcW w:w="2802" w:type="dxa"/>
          </w:tcPr>
          <w:p w14:paraId="17B0672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дизель.</w:t>
            </w:r>
          </w:p>
        </w:tc>
        <w:tc>
          <w:tcPr>
            <w:tcW w:w="8079" w:type="dxa"/>
          </w:tcPr>
          <w:p w14:paraId="6571DFD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 готовности к госуд. испыт. около 45%.</w:t>
            </w:r>
          </w:p>
        </w:tc>
      </w:tr>
      <w:tr w:rsidR="00F26F01" w:rsidRPr="00C33834" w14:paraId="0C955B3A" w14:textId="77777777">
        <w:tc>
          <w:tcPr>
            <w:tcW w:w="2802" w:type="dxa"/>
          </w:tcPr>
          <w:p w14:paraId="69E446A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577B72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Водяное охлаждение.</w:t>
            </w:r>
          </w:p>
          <w:p w14:paraId="0CBB4E3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Число цилиндров - 12.</w:t>
            </w:r>
          </w:p>
          <w:p w14:paraId="08B5044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Располож. цил. 60 груд.</w:t>
            </w:r>
          </w:p>
          <w:p w14:paraId="2371DF4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1000 л.с.</w:t>
            </w:r>
          </w:p>
          <w:p w14:paraId="628F653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Обороты =</w:t>
            </w:r>
          </w:p>
          <w:p w14:paraId="322A87D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 1300 кг</w:t>
            </w:r>
          </w:p>
          <w:p w14:paraId="24AAC21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 = 5000 м</w:t>
            </w:r>
          </w:p>
          <w:p w14:paraId="45E4A48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гос. испыт.</w:t>
            </w:r>
          </w:p>
          <w:p w14:paraId="6F8997E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054D04E" w14:textId="77777777">
        <w:tc>
          <w:tcPr>
            <w:tcW w:w="2802" w:type="dxa"/>
          </w:tcPr>
          <w:p w14:paraId="58D97F8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Н-4. Конструкция ХАИ.</w:t>
            </w:r>
          </w:p>
        </w:tc>
        <w:tc>
          <w:tcPr>
            <w:tcW w:w="8079" w:type="dxa"/>
          </w:tcPr>
          <w:p w14:paraId="2AFE7ED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проводилась по договору с НИИ ВВС. С апреля с.г. финансирование работы и руководство</w:t>
            </w:r>
          </w:p>
        </w:tc>
      </w:tr>
      <w:tr w:rsidR="00F26F01" w:rsidRPr="00C33834" w14:paraId="24989D08" w14:textId="77777777">
        <w:tc>
          <w:tcPr>
            <w:tcW w:w="2802" w:type="dxa"/>
          </w:tcPr>
          <w:p w14:paraId="50C7FDC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 тактный авиацион.</w:t>
            </w:r>
          </w:p>
        </w:tc>
        <w:tc>
          <w:tcPr>
            <w:tcW w:w="8079" w:type="dxa"/>
          </w:tcPr>
          <w:p w14:paraId="235F930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перешло в НТОС ГУАП.</w:t>
            </w:r>
          </w:p>
        </w:tc>
      </w:tr>
      <w:tr w:rsidR="00F26F01" w:rsidRPr="00C33834" w14:paraId="1B42560F" w14:textId="77777777">
        <w:tc>
          <w:tcPr>
            <w:tcW w:w="2802" w:type="dxa"/>
          </w:tcPr>
          <w:p w14:paraId="0DCD10C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дизель.</w:t>
            </w:r>
          </w:p>
        </w:tc>
        <w:tc>
          <w:tcPr>
            <w:tcW w:w="8079" w:type="dxa"/>
          </w:tcPr>
          <w:p w14:paraId="0F0A5A9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 рабочие чертежии, технологические разработки и пр. закончены.</w:t>
            </w:r>
          </w:p>
        </w:tc>
      </w:tr>
      <w:tr w:rsidR="00F26F01" w:rsidRPr="00C33834" w14:paraId="5CA61B01" w14:textId="77777777">
        <w:tc>
          <w:tcPr>
            <w:tcW w:w="2802" w:type="dxa"/>
          </w:tcPr>
          <w:p w14:paraId="5AEC32F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Водяное охлаждение.</w:t>
            </w:r>
          </w:p>
        </w:tc>
        <w:tc>
          <w:tcPr>
            <w:tcW w:w="8079" w:type="dxa"/>
          </w:tcPr>
          <w:p w14:paraId="326B624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Заказа на изготовление деталей размещены полностью. Окончены модельные и кузнечные</w:t>
            </w:r>
          </w:p>
        </w:tc>
      </w:tr>
      <w:tr w:rsidR="00F26F01" w:rsidRPr="00C33834" w14:paraId="0ED25B0B" w14:textId="77777777">
        <w:tc>
          <w:tcPr>
            <w:tcW w:w="2802" w:type="dxa"/>
          </w:tcPr>
          <w:p w14:paraId="6B66CDB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Число цил. - 12.</w:t>
            </w:r>
          </w:p>
        </w:tc>
        <w:tc>
          <w:tcPr>
            <w:tcW w:w="8079" w:type="dxa"/>
          </w:tcPr>
          <w:p w14:paraId="61EE522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проводится механич. обработка деталей. Сделана одноцилиндр. установка, на которой</w:t>
            </w:r>
          </w:p>
        </w:tc>
      </w:tr>
      <w:tr w:rsidR="00F26F01" w:rsidRPr="00C33834" w14:paraId="33A75E6C" w14:textId="77777777">
        <w:tc>
          <w:tcPr>
            <w:tcW w:w="2802" w:type="dxa"/>
          </w:tcPr>
          <w:p w14:paraId="36FB634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600 л.с.</w:t>
            </w:r>
          </w:p>
        </w:tc>
        <w:tc>
          <w:tcPr>
            <w:tcW w:w="8079" w:type="dxa"/>
          </w:tcPr>
          <w:p w14:paraId="651D648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проводятся испытания теплового процесса и топливоподачи. В IV кв. с.г. мотор будет поставлен</w:t>
            </w:r>
          </w:p>
        </w:tc>
      </w:tr>
      <w:tr w:rsidR="00F26F01" w:rsidRPr="00C33834" w14:paraId="1C82807B" w14:textId="77777777">
        <w:tc>
          <w:tcPr>
            <w:tcW w:w="2802" w:type="dxa"/>
          </w:tcPr>
          <w:p w14:paraId="36DE2FF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 = 3000 м</w:t>
            </w:r>
          </w:p>
        </w:tc>
        <w:tc>
          <w:tcPr>
            <w:tcW w:w="8079" w:type="dxa"/>
          </w:tcPr>
          <w:p w14:paraId="04E33C0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испытание.</w:t>
            </w:r>
          </w:p>
        </w:tc>
      </w:tr>
      <w:tr w:rsidR="00F26F01" w:rsidRPr="00C33834" w14:paraId="0A54A07A" w14:textId="77777777">
        <w:tc>
          <w:tcPr>
            <w:tcW w:w="2802" w:type="dxa"/>
          </w:tcPr>
          <w:p w14:paraId="5587C16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- 600 кг</w:t>
            </w:r>
          </w:p>
        </w:tc>
        <w:tc>
          <w:tcPr>
            <w:tcW w:w="8079" w:type="dxa"/>
          </w:tcPr>
          <w:p w14:paraId="54137AA3"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 гот. к гос. исп. около 25 %.</w:t>
            </w:r>
          </w:p>
        </w:tc>
      </w:tr>
      <w:tr w:rsidR="00F26F01" w:rsidRPr="00C33834" w14:paraId="36742CF3" w14:textId="77777777">
        <w:tc>
          <w:tcPr>
            <w:tcW w:w="2802" w:type="dxa"/>
          </w:tcPr>
          <w:p w14:paraId="6B9D12F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Н-5. Конструкция</w:t>
            </w:r>
          </w:p>
        </w:tc>
        <w:tc>
          <w:tcPr>
            <w:tcW w:w="8079" w:type="dxa"/>
          </w:tcPr>
          <w:p w14:paraId="03ED020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выполняется по заданию ОКБ ОГПУ. На ЦИАМ'е лежит обязанность изготовления</w:t>
            </w:r>
          </w:p>
        </w:tc>
      </w:tr>
      <w:tr w:rsidR="00F26F01" w:rsidRPr="00C33834" w14:paraId="2FBDA9E8" w14:textId="77777777">
        <w:tc>
          <w:tcPr>
            <w:tcW w:w="2802" w:type="dxa"/>
          </w:tcPr>
          <w:p w14:paraId="21ED2EA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...тактный авиацион.</w:t>
            </w:r>
          </w:p>
        </w:tc>
        <w:tc>
          <w:tcPr>
            <w:tcW w:w="8079" w:type="dxa"/>
          </w:tcPr>
          <w:p w14:paraId="2323CEB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ряда узлов, сборка и испытание мотора. С 1/I-33 г. мотор находится в пр-ве. На 15/VII-33 г. из 262</w:t>
            </w:r>
          </w:p>
        </w:tc>
      </w:tr>
      <w:tr w:rsidR="00F26F01" w:rsidRPr="00C33834" w14:paraId="4E677394" w14:textId="77777777">
        <w:tc>
          <w:tcPr>
            <w:tcW w:w="2802" w:type="dxa"/>
          </w:tcPr>
          <w:p w14:paraId="1A2BECF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дизель.</w:t>
            </w:r>
          </w:p>
        </w:tc>
        <w:tc>
          <w:tcPr>
            <w:tcW w:w="8079" w:type="dxa"/>
          </w:tcPr>
          <w:p w14:paraId="222DB43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наименований окончено производством 230 наименов. В сборке находятся картер, кол. вал и</w:t>
            </w:r>
          </w:p>
        </w:tc>
      </w:tr>
      <w:tr w:rsidR="00F26F01" w:rsidRPr="00C33834" w14:paraId="323A4079" w14:textId="77777777">
        <w:tc>
          <w:tcPr>
            <w:tcW w:w="2802" w:type="dxa"/>
          </w:tcPr>
          <w:p w14:paraId="71C9C72F"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охлаждение.</w:t>
            </w:r>
          </w:p>
        </w:tc>
        <w:tc>
          <w:tcPr>
            <w:tcW w:w="8079" w:type="dxa"/>
          </w:tcPr>
          <w:p w14:paraId="64EB4EC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продувочный насос. 1/IX-33 г. ставится на зав. испытание.</w:t>
            </w:r>
          </w:p>
        </w:tc>
      </w:tr>
      <w:tr w:rsidR="00F26F01" w:rsidRPr="00C33834" w14:paraId="35047F0B" w14:textId="77777777">
        <w:tc>
          <w:tcPr>
            <w:tcW w:w="2802" w:type="dxa"/>
          </w:tcPr>
          <w:p w14:paraId="7FC8386C"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цилиндров - 24.</w:t>
            </w:r>
          </w:p>
        </w:tc>
        <w:tc>
          <w:tcPr>
            <w:tcW w:w="8079" w:type="dxa"/>
          </w:tcPr>
          <w:p w14:paraId="3F29789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 готовности к гос. исп. около - 40%.</w:t>
            </w:r>
          </w:p>
        </w:tc>
      </w:tr>
      <w:tr w:rsidR="00F26F01" w:rsidRPr="00C33834" w14:paraId="6F9FAE46" w14:textId="77777777">
        <w:tc>
          <w:tcPr>
            <w:tcW w:w="2802" w:type="dxa"/>
          </w:tcPr>
          <w:p w14:paraId="088A8D5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Расположение цил. 60 град.</w:t>
            </w:r>
          </w:p>
        </w:tc>
        <w:tc>
          <w:tcPr>
            <w:tcW w:w="8079" w:type="dxa"/>
          </w:tcPr>
          <w:p w14:paraId="465CC288"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E1BBAD7" w14:textId="77777777">
        <w:tc>
          <w:tcPr>
            <w:tcW w:w="2802" w:type="dxa"/>
          </w:tcPr>
          <w:p w14:paraId="5BEDAF9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2000 л.с.</w:t>
            </w:r>
          </w:p>
        </w:tc>
        <w:tc>
          <w:tcPr>
            <w:tcW w:w="8079" w:type="dxa"/>
          </w:tcPr>
          <w:p w14:paraId="4875E69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383D447" w14:textId="77777777">
        <w:tc>
          <w:tcPr>
            <w:tcW w:w="2802" w:type="dxa"/>
          </w:tcPr>
          <w:p w14:paraId="38DBCCB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 1400 об/мин.</w:t>
            </w:r>
          </w:p>
        </w:tc>
        <w:tc>
          <w:tcPr>
            <w:tcW w:w="8079" w:type="dxa"/>
          </w:tcPr>
          <w:p w14:paraId="6349064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D837885" w14:textId="77777777">
        <w:tc>
          <w:tcPr>
            <w:tcW w:w="2802" w:type="dxa"/>
          </w:tcPr>
          <w:p w14:paraId="7373578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 3000 м</w:t>
            </w:r>
          </w:p>
        </w:tc>
        <w:tc>
          <w:tcPr>
            <w:tcW w:w="8079" w:type="dxa"/>
          </w:tcPr>
          <w:p w14:paraId="2AF17E3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01B0E8F" w14:textId="77777777">
        <w:tc>
          <w:tcPr>
            <w:tcW w:w="2802" w:type="dxa"/>
          </w:tcPr>
          <w:p w14:paraId="07B341D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на зав. исп. 1/IX-33 г. (2310,143)</w:t>
            </w:r>
          </w:p>
        </w:tc>
        <w:tc>
          <w:tcPr>
            <w:tcW w:w="8079" w:type="dxa"/>
          </w:tcPr>
          <w:p w14:paraId="02F0849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090A7A44"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p w14:paraId="720145E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года завод № 45, будущий завод № 95 был включен в число дествующих. В 1938 году завод перешел из НКТП в систему НКОП, а в 1939 году в НКАП. С переходом в 1934 году в систему Глававиапрома ГКТП были развернуты работы по реконструкции завода. К моменту эвакуации предприятия в Верхнюю Салду завод выпускал полуфабрикаты из легких сплавов для моторных и самолетных заводов. Согласно приказу НКАП от 9 октября 1941 года за № 053сс завод начал полную эвакуацию из Кунцево в В. Салда на производственные площади завода «Стальмост» НКТП. На освобожденных площадях завода № 95 в Кунцевском районе Московской области в январе 1942 года был создан филиал завода № 95 на базе которого в дальнейшем был организован завод № 65. На основании Постановления СМ от 27 марта 1953 года завод был передан МОП и в том же году по Постановлению СМ за № 2259-920сс по образованию МАП и приказа МАП от 27 августа 1953 года за № 1сс завод перешел в ведение МАП.</w:t>
      </w:r>
    </w:p>
    <w:p w14:paraId="35E3F93A"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Адрес: В. Салда Свердловской области</w:t>
      </w:r>
    </w:p>
    <w:p w14:paraId="05DCEA0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С момента организации по 1934 год – директор Заборов Н.П. В первой половине 1935 года – директор Конторщиков Со второй половины 1935 года по 1936 год – директор Музалевский Ю.Г. С 1937 по первое полугодие 1938 года – директор Лещенко С.М. Со второго полугодия 1938 года по 1942 год – директор Выштынецкий И.С. С 1943 года по 1946 год – директор Лещенко С.М. С 1946 года до сентября 1950 года – директор Журавлев Ф.В. С сентября 1950 года по апрель 1952 года – директор Черняев А.А. С апреля 1952 года до марта 1958 года – директор Агарков Г.Д. С апреля 1958 года – директор Прощицкий Х.С. (9659).</w:t>
      </w:r>
    </w:p>
    <w:p w14:paraId="070B0515"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p w14:paraId="4CCEB7B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года был сдан в эксплуатацию завод № 95. Завод был эвакуирован на Урал в Верхнюю Салду в октябре 1941 года. 26 января 1942 года приказом НКАП за № 81 было предложено организовать на площадке завода № 95 в Сетуне его филиал с задачей производства проволочной заготовки и штампованных изделий. Одновременно было дано задание организовать разделку и переплавку самолетного лома.</w:t>
      </w:r>
    </w:p>
    <w:p w14:paraId="316BC7F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основании распоряжения СНК за № 2177-рс от 1 февраля 1943 года и приказа НКАП за № 67 от 5 февраля 1943 года на месте филиала завода № 95 организован самостоятельный металлургический завод и присвоен ему № 65. В 1943 году завод 3 65 освоил серийный выпуск проволоки из алюминиевых сплавов и свыше 15 наименований кузнечных штампованных стальных изделий.</w:t>
      </w:r>
    </w:p>
    <w:p w14:paraId="0EE2532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решению ГКО от 21 февраля 1944 года за № 522с и приказу НКАП за № 178 от 9 марта 1944 года на завод № 65 возложена задача по организации производства гильз для авиационных заводов. С апреля 1944 года завод приступил к выпуску этой продукции.</w:t>
      </w:r>
    </w:p>
    <w:p w14:paraId="1B9DAB0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удовлетворения самолетных и моторных заводов трубами, профилями и прутками из алюминиевых сплавов приказом НКАП за № 595 от 5 сентября 1945 года заводу № 65 было поручено организовать производство этих полуфабрикатов.</w:t>
      </w:r>
    </w:p>
    <w:p w14:paraId="0AB728E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основании приказа МАП № 289 от 13 мая 1946 года завод приступил к восстановлению прокатного производства.</w:t>
      </w:r>
    </w:p>
    <w:p w14:paraId="2FA8D4F9"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приказу МАП за 3 96 от 21 февраля 1955 года при заводе № 65 организовано ОКБ-65 на которое возложена разработка новых технологических процессов производства деталей и полуфабрикатов и создание новой техники для заводов авиапромышленности. 11 августа 1961 года ЦК КПСС и СМ вынесли постановление за № 728-304 об организации ВНИИ технологии легких и специальных сплавов (ВНИИТЛиСС) с опытным заводом на базе ОКБ-65 и завода № 65.</w:t>
      </w:r>
    </w:p>
    <w:p w14:paraId="7AFF30FD"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Начальником филиала завода № 95 с января по 23 декабря 1942 года был И.В. Селихов 23 декабря 1942 года приказом НКАП за № 134-ок директором филиала завода № 95 был назначен Румянцев Б.Ф.</w:t>
      </w:r>
    </w:p>
    <w:p w14:paraId="2B0766A1"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реорганизации филиала в самостоятельный завод № 65 директором завода № 95 был назначен Румянцев Б.Ф.</w:t>
      </w:r>
    </w:p>
    <w:p w14:paraId="55F8E6C2"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Приказом НКАП № 254/к от 22 марта 1944 года на должность директора завода назначен Коваль Б.А.</w:t>
      </w:r>
    </w:p>
    <w:p w14:paraId="48B98A2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10F4CBD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1A3BAA6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7E0501F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Адрес: Москва, Кунцево, ул. Горбунова, д. 20 (9894).</w:t>
      </w:r>
    </w:p>
    <w:p w14:paraId="212944B0"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p w14:paraId="473CD367"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г. начался выпуск пулеметов ШКАС по новым чертежам. До конца года производство пулеметов было налажено и перешло от стадии полукустарного изготовления к серийному выпуску. Те</w:t>
      </w:r>
      <w:r w:rsidRPr="00C33834">
        <w:rPr>
          <w:rFonts w:ascii="Times New Roman" w:hAnsi="Times New Roman"/>
          <w:color w:val="000000" w:themeColor="text1"/>
          <w:sz w:val="16"/>
          <w:szCs w:val="16"/>
        </w:rPr>
        <w:softHyphen/>
        <w:t>перь перед конструкторами была поставлена задача приспособить пулемет системы ШКАС для применения в различных точках са</w:t>
      </w:r>
      <w:r w:rsidRPr="00C33834">
        <w:rPr>
          <w:rFonts w:ascii="Times New Roman" w:hAnsi="Times New Roman"/>
          <w:color w:val="000000" w:themeColor="text1"/>
          <w:sz w:val="16"/>
          <w:szCs w:val="16"/>
        </w:rPr>
        <w:softHyphen/>
        <w:t>молета в качестве турельного, синхронного и крыльевого (10695).</w:t>
      </w:r>
    </w:p>
    <w:p w14:paraId="0386EA7E"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p w14:paraId="69DE8F9B" w14:textId="77777777" w:rsidR="007A7AC1" w:rsidRPr="00C33834" w:rsidRDefault="007A7AC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июля 1933 г. у РС-82 и РС-132 конструкторы ГДЛ УВИ НВ РККА приступили к опытам со снарядами с размахом крыльев оперения «по</w:t>
      </w:r>
      <w:r w:rsidRPr="00C33834">
        <w:rPr>
          <w:rFonts w:ascii="Times New Roman" w:hAnsi="Times New Roman"/>
          <w:color w:val="000000" w:themeColor="text1"/>
          <w:sz w:val="16"/>
          <w:szCs w:val="16"/>
        </w:rPr>
        <w:softHyphen/>
        <w:t>добно стабилизаторам аэробомб», превышающим калибр боеприпасов. То есть, со снарядами, выполненными по схеме аэродинамической ста</w:t>
      </w:r>
      <w:r w:rsidRPr="00C33834">
        <w:rPr>
          <w:rFonts w:ascii="Times New Roman" w:hAnsi="Times New Roman"/>
          <w:color w:val="000000" w:themeColor="text1"/>
          <w:sz w:val="16"/>
          <w:szCs w:val="16"/>
        </w:rPr>
        <w:softHyphen/>
        <w:t>билизации. В калибре 132 мм за основу взяли РС-132 модели 561 (корпус БЧ и камера двигателя), но оснастили их стабилизатором модели 1273 из 4 крыльев размахом 400 мм и из 6 крыльев размахом 300 мм. РЗ умень</w:t>
      </w:r>
      <w:r w:rsidRPr="00C33834">
        <w:rPr>
          <w:rFonts w:ascii="Times New Roman" w:hAnsi="Times New Roman"/>
          <w:color w:val="000000" w:themeColor="text1"/>
          <w:sz w:val="16"/>
          <w:szCs w:val="16"/>
        </w:rPr>
        <w:softHyphen/>
        <w:t>шили с 3,11 кг до 2,78 кг. Благодаря подбору сопла, давление в камере двигателя снизилось с 250 кг/см" до 180. Стрельбу ими провели 27 июля и 17 августа 1933 г. на НИАП из спе</w:t>
      </w:r>
      <w:r w:rsidRPr="00C33834">
        <w:rPr>
          <w:rFonts w:ascii="Times New Roman" w:hAnsi="Times New Roman"/>
          <w:color w:val="000000" w:themeColor="text1"/>
          <w:sz w:val="16"/>
          <w:szCs w:val="16"/>
        </w:rPr>
        <w:softHyphen/>
        <w:t>циальных направляющих модели 1294, смонтированных на лафете гор</w:t>
      </w:r>
      <w:r w:rsidRPr="00C33834">
        <w:rPr>
          <w:rFonts w:ascii="Times New Roman" w:hAnsi="Times New Roman"/>
          <w:color w:val="000000" w:themeColor="text1"/>
          <w:sz w:val="16"/>
          <w:szCs w:val="16"/>
        </w:rPr>
        <w:softHyphen/>
        <w:t>ной пушки образца 1909 г. В обоих случаях было выпущено по 20 снаря</w:t>
      </w:r>
      <w:r w:rsidRPr="00C33834">
        <w:rPr>
          <w:rFonts w:ascii="Times New Roman" w:hAnsi="Times New Roman"/>
          <w:color w:val="000000" w:themeColor="text1"/>
          <w:sz w:val="16"/>
          <w:szCs w:val="16"/>
        </w:rPr>
        <w:softHyphen/>
        <w:t>дов. В июльских опытах первый снаряд, упавший в двух километрах, не заметили. Седьмой также не нашли, так как он уклонился на 200 м в сторону от директрисы. Несмотря на возросшую, в сравнении с преды</w:t>
      </w:r>
      <w:r w:rsidRPr="00C33834">
        <w:rPr>
          <w:rFonts w:ascii="Times New Roman" w:hAnsi="Times New Roman"/>
          <w:color w:val="000000" w:themeColor="text1"/>
          <w:sz w:val="16"/>
          <w:szCs w:val="16"/>
        </w:rPr>
        <w:softHyphen/>
        <w:t>дущими отстрелами, точность стрельбы, она все же оставалась неудовле</w:t>
      </w:r>
      <w:r w:rsidRPr="00C33834">
        <w:rPr>
          <w:rFonts w:ascii="Times New Roman" w:hAnsi="Times New Roman"/>
          <w:color w:val="000000" w:themeColor="text1"/>
          <w:sz w:val="16"/>
          <w:szCs w:val="16"/>
        </w:rPr>
        <w:softHyphen/>
        <w:t>творительной. В 60-е годы прошлого столетия исследователи истории развития оте</w:t>
      </w:r>
      <w:r w:rsidRPr="00C33834">
        <w:rPr>
          <w:rFonts w:ascii="Times New Roman" w:hAnsi="Times New Roman"/>
          <w:color w:val="000000" w:themeColor="text1"/>
          <w:sz w:val="16"/>
          <w:szCs w:val="16"/>
        </w:rPr>
        <w:softHyphen/>
        <w:t>чественного ракетного вооружения, решив «отшлифовать» ход развития событий, по-своему прокомментировали многолетний интервал между началом работ по авиационным РС и первыми положительными резуль</w:t>
      </w:r>
      <w:r w:rsidRPr="00C33834">
        <w:rPr>
          <w:rFonts w:ascii="Times New Roman" w:hAnsi="Times New Roman"/>
          <w:color w:val="000000" w:themeColor="text1"/>
          <w:sz w:val="16"/>
          <w:szCs w:val="16"/>
        </w:rPr>
        <w:softHyphen/>
        <w:t>татами заводских и полигонных испытаний. Согласно их версии (затем она была принята в качестве официальной) в РНИИ НКТП неудачи в опытах с ТРС побудили конструкторов создать оперенные снаряды. Однако анализ годовых отчетов по научно-технической деятельности РНИИ дает основания утверждать, что работы по ТРС и оперенным РС в ГДЛ (позже она приобрела статус ленинградского отделения РНИИ), а затем и в московском РНИИ шли параллельно. Более убедительной причиной отказа авиаторов от ТРС выглядит низкая технологичность массового производства таких снарядов. Именно по этой причине в истории отечественной техники так и не поступали на вооружение куда более солидные проекты и образцы. В ситуации с турбореактивными снарядами, тангенциальные сопла малого диаметра требовали чрезвычайной тщательности и точности сверления. Отклонение всего в десятые доли миллиметра тотчас ска</w:t>
      </w:r>
      <w:r w:rsidRPr="00C33834">
        <w:rPr>
          <w:rFonts w:ascii="Times New Roman" w:hAnsi="Times New Roman"/>
          <w:color w:val="000000" w:themeColor="text1"/>
          <w:sz w:val="16"/>
          <w:szCs w:val="16"/>
        </w:rPr>
        <w:softHyphen/>
        <w:t>зывалось на точности стрельбы, поэтому в большом количестве произ</w:t>
      </w:r>
      <w:r w:rsidRPr="00C33834">
        <w:rPr>
          <w:rFonts w:ascii="Times New Roman" w:hAnsi="Times New Roman"/>
          <w:color w:val="000000" w:themeColor="text1"/>
          <w:sz w:val="16"/>
          <w:szCs w:val="16"/>
        </w:rPr>
        <w:softHyphen/>
        <w:t>водить качественные ТРС в то время было чересчур дорого, да и прак</w:t>
      </w:r>
      <w:r w:rsidRPr="00C33834">
        <w:rPr>
          <w:rFonts w:ascii="Times New Roman" w:hAnsi="Times New Roman"/>
          <w:color w:val="000000" w:themeColor="text1"/>
          <w:sz w:val="16"/>
          <w:szCs w:val="16"/>
        </w:rPr>
        <w:softHyphen/>
        <w:t>тически невозможно (11402).</w:t>
      </w:r>
    </w:p>
    <w:p w14:paraId="1A38111E" w14:textId="77777777" w:rsidR="007A7AC1" w:rsidRPr="00C33834" w:rsidRDefault="007A7AC1"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F55D46"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г. в ответ на перелет польских летчиков в Москву два Р-5 слетали в Варшаву. Самолеты были сделаны по спецзаказу, без вооружения и несли гражданские обозначения. Пилотами стали помощник командующего Украинским военным округом Ф.А. Ингаунис и уже упоминаемый командир 252-й бригады А.А. Туржанский. Машины следовали в столицу Польши по разным маршрутам. Полякам это объяснили тем, что хотят познакомить как можно больше людей с достижениями советской авиации. На самом деле маршруты прокладывало Разведывательное управление, выдавшее экипажам подробное наставление - что и где смотреть. В Варшаве экипажи первым делом отвезли в посольство - якобы для отдыха. Но вместо этого они тут же начали записывать ответы на ранее заданные вопросы. А потом уже начались официальные приветствия и банкет...(11936).</w:t>
      </w:r>
    </w:p>
    <w:p w14:paraId="27083B2B" w14:textId="77777777" w:rsidR="007A7AC1" w:rsidRPr="00C33834" w:rsidRDefault="007A7AC1" w:rsidP="00C33834">
      <w:pPr>
        <w:autoSpaceDE w:val="0"/>
        <w:autoSpaceDN w:val="0"/>
        <w:adjustRightInd w:val="0"/>
        <w:spacing w:after="0" w:line="240" w:lineRule="auto"/>
        <w:jc w:val="both"/>
        <w:rPr>
          <w:rFonts w:ascii="Times New Roman" w:hAnsi="Times New Roman"/>
          <w:color w:val="000000" w:themeColor="text1"/>
          <w:sz w:val="16"/>
          <w:szCs w:val="16"/>
        </w:rPr>
      </w:pPr>
    </w:p>
    <w:p w14:paraId="06E67991" w14:textId="77777777" w:rsidR="00506FF6" w:rsidRPr="00C33834" w:rsidRDefault="00506FF6"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В июле 1933 года руководством СССР было принято решение отправить советских авиаторов в Польшу в ответ на визит польских летчиков Е. Баяна и П. Дудзиньски, которые 16 – 17 мая 1933 года на двух спортивных самолетах пролетели по маршруту Варшава – Харьков – Ленинград.</w:t>
      </w:r>
    </w:p>
    <w:p w14:paraId="52D25CDB" w14:textId="77777777" w:rsidR="00506FF6" w:rsidRPr="00C33834" w:rsidRDefault="00506FF6"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 Перелет состоялся 18 августа на двух самолетах Р-5. Первый из них с экипажем в составе: командира 252-й авиабригады А.А. Туржанского и бригадного инженера И.Е. Павлова, добрался до Варшавы без посадки через Витебск, Полоцк и Вильно, а второй – под управлением помощника командующего УВО Ф.А. Ингауниса и инженера инспекции ВВС РККА А.И. Мезинова, следовал по маршруту Москва – Гомель – Львов – Варшава (с посадкой во Львове), и произвел посадку в Варшаве на час позже самолета Туржанского. В тот же день начальник польской военной авиации Райский устроил в честь советских летчиков обед.</w:t>
      </w:r>
    </w:p>
    <w:p w14:paraId="6B412BB3" w14:textId="77777777" w:rsidR="00506FF6" w:rsidRPr="00C33834" w:rsidRDefault="00506FF6"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На следующий день советские летчики «знакомились с производством польских истребителей, с состоянием 1-го авиационного полка, осмотрели аэродромом, машиностроительные заводы, авиашколу, аэродинамический институт, мастерские туристских самолетов». Вечером Польский аэроклуб устроил для советских летчиков обед, на котором присутствовали начальник генштаба, генерал Консиоровский, высшие офицеры польской авиации, директора польских авиационных заводов, члены советского посольства.</w:t>
      </w:r>
    </w:p>
    <w:p w14:paraId="3E3672AE" w14:textId="77777777" w:rsidR="00506FF6" w:rsidRPr="00C33834" w:rsidRDefault="00506FF6"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20 июля Ингаунис и Туржанский вылетели в Денблин для осмотра авиационной школы.</w:t>
      </w:r>
    </w:p>
    <w:p w14:paraId="49DA5267" w14:textId="77777777" w:rsidR="00506FF6" w:rsidRPr="00C33834" w:rsidRDefault="00506FF6"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Программой визита предусматривались демонстрационные полеты польских самолетов в Кракове и «полет над горами Татры у польско-чехословацкой границы».</w:t>
      </w:r>
    </w:p>
    <w:p w14:paraId="57982769" w14:textId="77777777" w:rsidR="00506FF6" w:rsidRPr="00C33834" w:rsidRDefault="00506FF6"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21 июля советские летчики присутствовали на приеме, устроенном в советском полпредстве для представителей польской гражданской и военной авиации. Вечером руководителем польской гражданской авиации Филипповичем в честь советских летчиков был дан обед.</w:t>
      </w:r>
    </w:p>
    <w:p w14:paraId="032CD9DD" w14:textId="77777777" w:rsidR="00506FF6" w:rsidRPr="00C33834" w:rsidRDefault="00506FF6"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22 июля в 8 часов 30 минут советские экипажи вылетели из Варшавы. Экипаж Ингауниса следовал по маршруту Варшава – Лида – Витебск – Москва. Туржанский избрал маршрут – Варшава – Брест – Гомель – Москва. Самолет Ингауниса совершил посадку в Москве в 17 часов 40 минут, самолет Туржанского – двумя часами позже (21249).</w:t>
      </w:r>
    </w:p>
    <w:p w14:paraId="6AAEAA48" w14:textId="77777777" w:rsidR="00506FF6" w:rsidRPr="00C33834" w:rsidRDefault="00506FF6" w:rsidP="00C33834">
      <w:pPr>
        <w:spacing w:after="0" w:line="240" w:lineRule="auto"/>
        <w:jc w:val="both"/>
        <w:rPr>
          <w:rFonts w:ascii="Times New Roman" w:hAnsi="Times New Roman"/>
          <w:color w:val="0070C0"/>
          <w:sz w:val="16"/>
          <w:szCs w:val="16"/>
        </w:rPr>
      </w:pPr>
    </w:p>
    <w:p w14:paraId="130D073D" w14:textId="77777777" w:rsidR="00506FF6" w:rsidRPr="00C33834" w:rsidRDefault="00506FF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июле 1933 В.М. Молотов последний раз встречается по вопросу создания РНИИ с Акуловым и Орджоникидзе, предварительно приняв В.П. Глушко, и в августе Ворошилов принимает решение слить ГИРД и ГДЛ и подчинить новую организацию Наркомату тяжелой промышленности СССР (НКШ СССР) Серго Орджоникидзе (РГАСПИ, ф. 82, оп. 2, д. 447, Списки за июнь, июль, август 1933 г.) (22685).</w:t>
      </w:r>
    </w:p>
    <w:p w14:paraId="75DB6FAC" w14:textId="77777777" w:rsidR="00506FF6" w:rsidRPr="00C33834" w:rsidRDefault="00506FF6" w:rsidP="00C33834">
      <w:pPr>
        <w:spacing w:after="0" w:line="240" w:lineRule="auto"/>
        <w:jc w:val="both"/>
        <w:rPr>
          <w:rFonts w:ascii="Times New Roman" w:hAnsi="Times New Roman"/>
          <w:color w:val="0070C0"/>
          <w:sz w:val="16"/>
          <w:szCs w:val="16"/>
        </w:rPr>
      </w:pPr>
    </w:p>
    <w:p w14:paraId="29E4F664" w14:textId="77777777" w:rsidR="00BC0C54" w:rsidRPr="00C33834" w:rsidRDefault="00BC0C5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июле 1933 г. — мае 1934 г. на основе проекта дирижабля N-5, разрабатывавшегося У. Нобиле в 1927 г. велось проектирование по</w:t>
      </w:r>
      <w:r w:rsidRPr="00C33834">
        <w:rPr>
          <w:rFonts w:ascii="Times New Roman" w:hAnsi="Times New Roman"/>
          <w:color w:val="0070C0"/>
          <w:sz w:val="16"/>
          <w:szCs w:val="16"/>
        </w:rPr>
        <w:softHyphen/>
        <w:t>лужёсткого дирижабля ДП-5 объёмом 50 000 м3 (49 000 м3).</w:t>
      </w:r>
    </w:p>
    <w:p w14:paraId="4FCD18BE" w14:textId="77777777" w:rsidR="00BC0C54" w:rsidRPr="00C33834" w:rsidRDefault="00BC0C5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ДП-5 должен был иметь следующие харак</w:t>
      </w:r>
      <w:r w:rsidRPr="00C33834">
        <w:rPr>
          <w:rFonts w:ascii="Times New Roman" w:hAnsi="Times New Roman"/>
          <w:color w:val="0070C0"/>
          <w:sz w:val="16"/>
          <w:szCs w:val="16"/>
        </w:rPr>
        <w:softHyphen/>
        <w:t>теристики: длина — 152 м, диаметр миделя — 29 м, высота — 31 м, радиус действия — до 7000 км, крейсерская скорость — 100 км/ч (20120).</w:t>
      </w:r>
    </w:p>
    <w:p w14:paraId="0A3B16A1" w14:textId="77777777" w:rsidR="00BC0C54" w:rsidRPr="00C33834" w:rsidRDefault="00BC0C54" w:rsidP="00C33834">
      <w:pPr>
        <w:spacing w:after="0" w:line="240" w:lineRule="auto"/>
        <w:jc w:val="both"/>
        <w:rPr>
          <w:rFonts w:ascii="Times New Roman" w:hAnsi="Times New Roman"/>
          <w:color w:val="0070C0"/>
          <w:sz w:val="16"/>
          <w:szCs w:val="16"/>
        </w:rPr>
      </w:pPr>
    </w:p>
    <w:p w14:paraId="01D2BA77" w14:textId="77777777" w:rsidR="00487C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C48128B" w14:textId="77777777" w:rsidR="00487C9C" w:rsidRPr="00C33834" w:rsidRDefault="00487C9C" w:rsidP="00C33834">
      <w:pPr>
        <w:spacing w:after="0" w:line="240" w:lineRule="auto"/>
        <w:jc w:val="both"/>
        <w:rPr>
          <w:rFonts w:ascii="Times New Roman" w:hAnsi="Times New Roman"/>
          <w:iCs/>
          <w:color w:val="000000" w:themeColor="text1"/>
          <w:sz w:val="16"/>
          <w:szCs w:val="16"/>
        </w:rPr>
      </w:pPr>
    </w:p>
    <w:p w14:paraId="43FC1186"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ОКБ Опытного завода Спецмаштреста им. Кирова установило на танк Т-26 разработанное в январе 1933 СКБ завода Компрессор оборудование ТДП-3. Опытный образец в августе 1933 прошел войсковые испытания (9527,190).</w:t>
      </w:r>
    </w:p>
    <w:p w14:paraId="383926E6"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03961F53" w14:textId="77777777" w:rsidR="00487C9C" w:rsidRPr="00C33834" w:rsidRDefault="00487C9C" w:rsidP="00C33834">
      <w:pPr>
        <w:pStyle w:val="24"/>
        <w:widowControl/>
        <w:rPr>
          <w:color w:val="000000" w:themeColor="text1"/>
        </w:rPr>
      </w:pPr>
      <w:r w:rsidRPr="00C33834">
        <w:rPr>
          <w:color w:val="000000" w:themeColor="text1"/>
        </w:rPr>
        <w:t>В июле 1933 прошел испытания опытный образец танка подводного хождения Т-26ПХ (АТ-1), разработанный в Спецотделе НАТИ на базе двухбашенного Т-26 (9527,230).</w:t>
      </w:r>
    </w:p>
    <w:p w14:paraId="313C577E" w14:textId="77777777" w:rsidR="00487C9C" w:rsidRPr="00C33834" w:rsidRDefault="00487C9C" w:rsidP="00C33834">
      <w:pPr>
        <w:pStyle w:val="24"/>
        <w:widowControl/>
        <w:rPr>
          <w:color w:val="000000" w:themeColor="text1"/>
        </w:rPr>
      </w:pPr>
    </w:p>
    <w:p w14:paraId="58A3A8E9" w14:textId="77777777" w:rsidR="00BC0C54" w:rsidRPr="00C33834" w:rsidRDefault="00BC0C54"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shd w:val="clear" w:color="auto" w:fill="FFFFFF"/>
        </w:rPr>
        <w:t xml:space="preserve">В июле 1933 года ОКМО был закончен проект Т-34-1. Иногда его именуют самоходной артиллерийской установкой, но это не так. Его именовали как "легчайший танк". Вместо вращающейся башни машина получала рубку, в которой разместили 45-мм танковую пушку, но в работу его не утвердили. Да и второй вариант Т-34 делался отчасти уже по инерции (22724). </w:t>
      </w:r>
    </w:p>
    <w:p w14:paraId="1993DCAC" w14:textId="77777777" w:rsidR="00BC0C54" w:rsidRPr="00C33834" w:rsidRDefault="00BC0C54" w:rsidP="00C33834">
      <w:pPr>
        <w:spacing w:after="0" w:line="240" w:lineRule="auto"/>
        <w:jc w:val="both"/>
        <w:rPr>
          <w:rFonts w:ascii="Times New Roman" w:hAnsi="Times New Roman"/>
          <w:color w:val="0070C0"/>
          <w:sz w:val="16"/>
          <w:szCs w:val="16"/>
          <w:shd w:val="clear" w:color="auto" w:fill="FFFFFF"/>
        </w:rPr>
      </w:pPr>
    </w:p>
    <w:p w14:paraId="7A687B8E" w14:textId="77777777" w:rsidR="00BC0C54" w:rsidRPr="00C33834" w:rsidRDefault="00BC0C54"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rPr>
        <w:t>В июле 1933 года на брянском машиностроительном заводе «Красный Профинтерн», строившем железнодорожные вагоны, цистерны, паровозы CO, была собрана Первая серийная модернизированная тяжелая бронеплощадка, а последняя, десятая, — в 1934 году. В общей же сложности от склада № 60 и завода «Красный Профинтерн» Красная Армия получила 26 тяжелых бронеплощадок.</w:t>
      </w:r>
    </w:p>
    <w:p w14:paraId="1558F12C" w14:textId="77777777" w:rsidR="00BC0C54" w:rsidRPr="00C33834" w:rsidRDefault="00BC0C5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 1935 года и до начала войны «Красный Профинтерн» был единственным предприятием, занимавшимся серийным изготовлением бронепоездов.</w:t>
      </w:r>
    </w:p>
    <w:p w14:paraId="1028DEC2" w14:textId="77777777" w:rsidR="00BC0C54" w:rsidRPr="00C33834" w:rsidRDefault="00BC0C54"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rPr>
        <w:t>С 1935 года все построенные тяжелые бронеплощадки переименовали в ПТ-35 (бронеплощадка тяжелая образца 1935 года). Легкие бронеплощадки к тому времени именовались ПЛ-35 (бронеплощадка легкая образца 1935 года), а бронепаровозы — ПР-35 (бронепаровоз образца 1935 года) (22744).</w:t>
      </w:r>
    </w:p>
    <w:p w14:paraId="0AF66DAE" w14:textId="77777777" w:rsidR="00BC0C54" w:rsidRPr="00C33834" w:rsidRDefault="00BC0C54" w:rsidP="00C33834">
      <w:pPr>
        <w:spacing w:after="0" w:line="240" w:lineRule="auto"/>
        <w:jc w:val="both"/>
        <w:rPr>
          <w:rFonts w:ascii="Times New Roman" w:hAnsi="Times New Roman"/>
          <w:color w:val="0070C0"/>
          <w:sz w:val="16"/>
          <w:szCs w:val="16"/>
          <w:shd w:val="clear" w:color="auto" w:fill="FFFFFF"/>
        </w:rPr>
      </w:pPr>
    </w:p>
    <w:p w14:paraId="72F55A48"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июле 1933 года на СТЗ выезжает комиссия. Рассмотрев состояние дела, она пришла к выводу, что разработать универсальную машину, наилучшим образом сочетающую в себе и скоростные, и тяговые характеристики, невозможно. Мировая практика не знает ничего подобного. Однако производство машин с различными характеристиками можно наладить на одном заводе из унифицированных узлов и деталей. </w:t>
      </w:r>
    </w:p>
    <w:p w14:paraId="4995705F"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Как раз такой вариант и предложили конструкторы НАТИ. Они представили комиссии чертежи общих видов двух машин — трактора для сельского хозяйства и для транспорта, — отличающихся друг от друга только местом расположения водителя и органов управления. На сельскохозяйственном тракторе нет грузовой платформы, она устанавливается только на транспортном. Такая компоновка хоть и не дает возможности одновременно использовать трактор и в сельском хозяйстве, и на транспорте, зато позволяет собрать их на одном конвейере из унифицированных деталей. В своем решении конструкторы НАТИ исходили из того, что завод будет выпускать определенное количество тракторов обоих типов. Чтобы ускорить работу, комиссия рекомендовала направить в Сталинград группу конструкторов НАТИ во главе с В. Слонимским (11418).</w:t>
      </w:r>
    </w:p>
    <w:p w14:paraId="0504BBDD"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21A7CE7A" w14:textId="77777777" w:rsidR="00487C9C" w:rsidRPr="00C33834" w:rsidRDefault="00487C9C" w:rsidP="00C33834">
      <w:pPr>
        <w:pStyle w:val="24"/>
        <w:widowControl/>
        <w:rPr>
          <w:color w:val="000000" w:themeColor="text1"/>
        </w:rPr>
      </w:pPr>
      <w:r w:rsidRPr="00C33834">
        <w:rPr>
          <w:color w:val="000000" w:themeColor="text1"/>
        </w:rPr>
        <w:t>В июле 1933 года мастерские, которые были заняты изготовлением образцов малолитражных автомобилей и мотоциклов по конструкциям, разработанным НАТИ и за первый (1932-й) год существования изготовили и выпустили 2 автомобиля марки НАТИ-2, были переведены в систему НКТП, после чего были переименованы в Мотоциклетный завод.</w:t>
      </w:r>
    </w:p>
    <w:p w14:paraId="3DA8D2D8" w14:textId="77777777" w:rsidR="00487C9C" w:rsidRPr="00C33834" w:rsidRDefault="00487C9C" w:rsidP="00C33834">
      <w:pPr>
        <w:pStyle w:val="24"/>
        <w:widowControl/>
        <w:rPr>
          <w:color w:val="000000" w:themeColor="text1"/>
        </w:rPr>
      </w:pPr>
      <w:r w:rsidRPr="00C33834">
        <w:rPr>
          <w:color w:val="000000" w:themeColor="text1"/>
        </w:rPr>
        <w:t>За период нахождения завода в системе НКТП, завод передавался из одного гл. управления в другое – Главмашпрому, Главметизу, Главширпотребу, Главмотовелопрому..</w:t>
      </w:r>
    </w:p>
    <w:p w14:paraId="10AD8EF9" w14:textId="77777777" w:rsidR="00487C9C" w:rsidRPr="00C33834" w:rsidRDefault="00487C9C" w:rsidP="00C33834">
      <w:pPr>
        <w:pStyle w:val="24"/>
        <w:widowControl/>
        <w:rPr>
          <w:color w:val="000000" w:themeColor="text1"/>
        </w:rPr>
      </w:pPr>
      <w:r w:rsidRPr="00C33834">
        <w:rPr>
          <w:color w:val="000000" w:themeColor="text1"/>
        </w:rPr>
        <w:t>В системе Главмотовелопрома завод находился до момента его передачи в систему НКВ, т.е. до конца 1941 года.</w:t>
      </w:r>
    </w:p>
    <w:p w14:paraId="6D52AC83" w14:textId="77777777" w:rsidR="00487C9C" w:rsidRPr="00C33834" w:rsidRDefault="00487C9C" w:rsidP="00C33834">
      <w:pPr>
        <w:pStyle w:val="24"/>
        <w:widowControl/>
        <w:rPr>
          <w:color w:val="000000" w:themeColor="text1"/>
        </w:rPr>
      </w:pPr>
      <w:r w:rsidRPr="00C33834">
        <w:rPr>
          <w:color w:val="000000" w:themeColor="text1"/>
        </w:rPr>
        <w:t>Завод № 524 МВ был организован на основании постановления ГКО от 23 ноября 1941 года на производственной базе мотоциклетного завода, Главмотовелопрома НК среднего машиностроения, переданного в систему оборонной промышленности 5 декабря 1941 года.</w:t>
      </w:r>
    </w:p>
    <w:p w14:paraId="17B1176D" w14:textId="77777777" w:rsidR="00487C9C" w:rsidRPr="00C33834" w:rsidRDefault="00487C9C" w:rsidP="00C33834">
      <w:pPr>
        <w:pStyle w:val="24"/>
        <w:widowControl/>
        <w:rPr>
          <w:color w:val="000000" w:themeColor="text1"/>
        </w:rPr>
      </w:pPr>
      <w:r w:rsidRPr="00C33834">
        <w:rPr>
          <w:color w:val="000000" w:themeColor="text1"/>
        </w:rPr>
        <w:t>Основной задачей организации завода № 524 и передачи его в Министерство вооружения было в основном изготовление пулемета системы «Максим», станка системы Соколова и изготовление запасных деталей и узлов пулемета «Максим». Указанная продукция изготовлялась на заводе с 1942 года до 1945 года включительно. С 1945 года завод изготавливал охотничьи ружья, электромоторные пилы, а также тракторные детали для с/х. В 1948 году заводом был освоен из оборонной продукции автомат системы Калашникова (АК-47). В сентябре 1949 года завод был передан в 4 гл. управление МОП с прекращением выпуска всех изделий ранее изготовлявшихся на заводе и переводом завода на освоение новых производств.</w:t>
      </w:r>
    </w:p>
    <w:p w14:paraId="7FDC718F" w14:textId="77777777" w:rsidR="00487C9C" w:rsidRPr="00C33834" w:rsidRDefault="00487C9C" w:rsidP="00C33834">
      <w:pPr>
        <w:pStyle w:val="24"/>
        <w:widowControl/>
        <w:rPr>
          <w:color w:val="000000" w:themeColor="text1"/>
        </w:rPr>
      </w:pPr>
      <w:r w:rsidRPr="00C33834">
        <w:rPr>
          <w:color w:val="000000" w:themeColor="text1"/>
        </w:rPr>
        <w:t>Первоначальной базой на которой был организован Мотоциклетный завод, служили помещения бывшей частной фабрики охотружей.</w:t>
      </w:r>
    </w:p>
    <w:p w14:paraId="46FD674C" w14:textId="77777777" w:rsidR="00487C9C" w:rsidRPr="00C33834" w:rsidRDefault="00487C9C" w:rsidP="00C33834">
      <w:pPr>
        <w:pStyle w:val="24"/>
        <w:widowControl/>
        <w:rPr>
          <w:color w:val="000000" w:themeColor="text1"/>
        </w:rPr>
      </w:pPr>
      <w:r w:rsidRPr="00C33834">
        <w:rPr>
          <w:color w:val="000000" w:themeColor="text1"/>
        </w:rPr>
        <w:t>Адрес: Ижевск, п/я 33</w:t>
      </w:r>
    </w:p>
    <w:p w14:paraId="02709B44" w14:textId="77777777" w:rsidR="00487C9C" w:rsidRPr="00C33834" w:rsidRDefault="00487C9C" w:rsidP="00C33834">
      <w:pPr>
        <w:pStyle w:val="24"/>
        <w:widowControl/>
        <w:rPr>
          <w:color w:val="000000" w:themeColor="text1"/>
        </w:rPr>
      </w:pPr>
      <w:r w:rsidRPr="00C33834">
        <w:rPr>
          <w:color w:val="000000" w:themeColor="text1"/>
        </w:rPr>
        <w:t>Директор – Фомин</w:t>
      </w:r>
    </w:p>
    <w:p w14:paraId="35012C36" w14:textId="77777777" w:rsidR="00487C9C" w:rsidRPr="00C33834" w:rsidRDefault="00487C9C" w:rsidP="00C33834">
      <w:pPr>
        <w:pStyle w:val="24"/>
        <w:widowControl/>
        <w:rPr>
          <w:color w:val="000000" w:themeColor="text1"/>
        </w:rPr>
      </w:pPr>
      <w:r w:rsidRPr="00C33834">
        <w:rPr>
          <w:color w:val="000000" w:themeColor="text1"/>
        </w:rPr>
        <w:t>Территория завода расположена в центральной части Ижевска, между улицами М. Горького, Красной и переулками Бородина и Красногеройским (9560).</w:t>
      </w:r>
    </w:p>
    <w:p w14:paraId="0909E96B" w14:textId="77777777" w:rsidR="00487C9C" w:rsidRPr="00C33834" w:rsidRDefault="00487C9C" w:rsidP="00C33834">
      <w:pPr>
        <w:pStyle w:val="24"/>
        <w:widowControl/>
        <w:rPr>
          <w:color w:val="000000" w:themeColor="text1"/>
        </w:rPr>
      </w:pPr>
    </w:p>
    <w:p w14:paraId="5C4C5129" w14:textId="77777777" w:rsidR="00487C9C" w:rsidRPr="00C33834" w:rsidRDefault="00487C9C"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г. руководство НАТИ потребовало своим ходом перегнать новые мотоциклы из Ижевска в Москву [4.68]. В мотоколонну включили четыре НАТИ-А-750 и один ИЖ-7. Предстоящий мото</w:t>
      </w:r>
      <w:r w:rsidRPr="00C33834">
        <w:rPr>
          <w:rFonts w:ascii="Times New Roman" w:hAnsi="Times New Roman"/>
          <w:color w:val="000000" w:themeColor="text1"/>
          <w:sz w:val="16"/>
          <w:szCs w:val="16"/>
        </w:rPr>
        <w:softHyphen/>
        <w:t>пробег в технической прессе назвали «Предварительным испыта</w:t>
      </w:r>
      <w:r w:rsidRPr="00C33834">
        <w:rPr>
          <w:rFonts w:ascii="Times New Roman" w:hAnsi="Times New Roman"/>
          <w:color w:val="000000" w:themeColor="text1"/>
          <w:sz w:val="16"/>
          <w:szCs w:val="16"/>
        </w:rPr>
        <w:softHyphen/>
        <w:t>тельным пробегом опытных советских мотоциклов НАТИ-А-750» [4.69]. Для сравнения опытных образцов тяжёлых отечественных мотоциклов с иномарками в пробег отправили две импортные ма</w:t>
      </w:r>
      <w:r w:rsidRPr="00C33834">
        <w:rPr>
          <w:rFonts w:ascii="Times New Roman" w:hAnsi="Times New Roman"/>
          <w:color w:val="000000" w:themeColor="text1"/>
          <w:sz w:val="16"/>
          <w:szCs w:val="16"/>
        </w:rPr>
        <w:softHyphen/>
        <w:t xml:space="preserve">шины: одиночку </w:t>
      </w:r>
      <w:r w:rsidRPr="00C33834">
        <w:rPr>
          <w:rFonts w:ascii="Times New Roman" w:hAnsi="Times New Roman"/>
          <w:color w:val="000000" w:themeColor="text1"/>
          <w:sz w:val="16"/>
          <w:szCs w:val="16"/>
          <w:lang w:val="en-US"/>
        </w:rPr>
        <w:t>Harley</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Davidson</w:t>
      </w:r>
      <w:r w:rsidRPr="00C33834">
        <w:rPr>
          <w:rFonts w:ascii="Times New Roman" w:hAnsi="Times New Roman"/>
          <w:color w:val="000000" w:themeColor="text1"/>
          <w:sz w:val="16"/>
          <w:szCs w:val="16"/>
        </w:rPr>
        <w:t>, изготовленную в начале 1933 г., а также ВМ</w:t>
      </w:r>
      <w:r w:rsidRPr="00C33834">
        <w:rPr>
          <w:rFonts w:ascii="Times New Roman" w:hAnsi="Times New Roman"/>
          <w:color w:val="000000" w:themeColor="text1"/>
          <w:sz w:val="16"/>
          <w:szCs w:val="16"/>
          <w:lang w:val="en-US"/>
        </w:rPr>
        <w:t>WR</w:t>
      </w:r>
      <w:r w:rsidRPr="00C33834">
        <w:rPr>
          <w:rFonts w:ascii="Times New Roman" w:hAnsi="Times New Roman"/>
          <w:color w:val="000000" w:themeColor="text1"/>
          <w:sz w:val="16"/>
          <w:szCs w:val="16"/>
        </w:rPr>
        <w:t>-16 с коляской, выпущенный в 1931 г. и переданный фирмой В</w:t>
      </w:r>
      <w:r w:rsidRPr="00C33834">
        <w:rPr>
          <w:rFonts w:ascii="Times New Roman" w:hAnsi="Times New Roman"/>
          <w:color w:val="000000" w:themeColor="text1"/>
          <w:sz w:val="16"/>
          <w:szCs w:val="16"/>
          <w:lang w:val="en-US"/>
        </w:rPr>
        <w:t>MW</w:t>
      </w:r>
      <w:r w:rsidRPr="00C33834">
        <w:rPr>
          <w:rFonts w:ascii="Times New Roman" w:hAnsi="Times New Roman"/>
          <w:color w:val="000000" w:themeColor="text1"/>
          <w:sz w:val="16"/>
          <w:szCs w:val="16"/>
        </w:rPr>
        <w:t xml:space="preserve"> П.В. Можарову для испытаний [4.70]. Путь в столицу лежал через город Горький. До него из Ижев</w:t>
      </w:r>
      <w:r w:rsidRPr="00C33834">
        <w:rPr>
          <w:rFonts w:ascii="Times New Roman" w:hAnsi="Times New Roman"/>
          <w:color w:val="000000" w:themeColor="text1"/>
          <w:sz w:val="16"/>
          <w:szCs w:val="16"/>
        </w:rPr>
        <w:softHyphen/>
        <w:t>ска требовалось ехать по гужевой дороге, о которой П.В. Можаров говаривал тогда: «Колеи телег, усыпанные гвоздями от лоша</w:t>
      </w:r>
      <w:r w:rsidRPr="00C33834">
        <w:rPr>
          <w:rFonts w:ascii="Times New Roman" w:hAnsi="Times New Roman"/>
          <w:color w:val="000000" w:themeColor="text1"/>
          <w:sz w:val="16"/>
          <w:szCs w:val="16"/>
        </w:rPr>
        <w:softHyphen/>
        <w:t>диных подков». Дожди превратили её в сплошную грязь, поэтому решили до Горького добраться пароходом по Каме, а до ближай</w:t>
      </w:r>
      <w:r w:rsidRPr="00C33834">
        <w:rPr>
          <w:rFonts w:ascii="Times New Roman" w:hAnsi="Times New Roman"/>
          <w:color w:val="000000" w:themeColor="text1"/>
          <w:sz w:val="16"/>
          <w:szCs w:val="16"/>
        </w:rPr>
        <w:softHyphen/>
        <w:t>шего речного порта в Сарапуле 60 км проехать по хорошо ука</w:t>
      </w:r>
      <w:r w:rsidRPr="00C33834">
        <w:rPr>
          <w:rFonts w:ascii="Times New Roman" w:hAnsi="Times New Roman"/>
          <w:color w:val="000000" w:themeColor="text1"/>
          <w:sz w:val="16"/>
          <w:szCs w:val="16"/>
        </w:rPr>
        <w:softHyphen/>
        <w:t>танной дороге. В Москву прибыли вполне благополучно: фини</w:t>
      </w:r>
      <w:r w:rsidRPr="00C33834">
        <w:rPr>
          <w:rFonts w:ascii="Times New Roman" w:hAnsi="Times New Roman"/>
          <w:color w:val="000000" w:themeColor="text1"/>
          <w:sz w:val="16"/>
          <w:szCs w:val="16"/>
        </w:rPr>
        <w:softHyphen/>
        <w:t>шировали при въезде в столицу у Рогожской заставы (ныне пло</w:t>
      </w:r>
      <w:r w:rsidRPr="00C33834">
        <w:rPr>
          <w:rFonts w:ascii="Times New Roman" w:hAnsi="Times New Roman"/>
          <w:color w:val="000000" w:themeColor="text1"/>
          <w:sz w:val="16"/>
          <w:szCs w:val="16"/>
        </w:rPr>
        <w:softHyphen/>
        <w:t>щади Ильича). Ижевскую колонну встречали председатель мото</w:t>
      </w:r>
      <w:r w:rsidRPr="00C33834">
        <w:rPr>
          <w:rFonts w:ascii="Times New Roman" w:hAnsi="Times New Roman"/>
          <w:color w:val="000000" w:themeColor="text1"/>
          <w:sz w:val="16"/>
          <w:szCs w:val="16"/>
        </w:rPr>
        <w:softHyphen/>
        <w:t>секции ЦС АВТОДОР СССР С.С. Каменев, представители обще</w:t>
      </w:r>
      <w:r w:rsidRPr="00C33834">
        <w:rPr>
          <w:rFonts w:ascii="Times New Roman" w:hAnsi="Times New Roman"/>
          <w:color w:val="000000" w:themeColor="text1"/>
          <w:sz w:val="16"/>
          <w:szCs w:val="16"/>
        </w:rPr>
        <w:softHyphen/>
        <w:t>ственности Москвы, мотоциклисты спортивных обществ «Дина</w:t>
      </w:r>
      <w:r w:rsidRPr="00C33834">
        <w:rPr>
          <w:rFonts w:ascii="Times New Roman" w:hAnsi="Times New Roman"/>
          <w:color w:val="000000" w:themeColor="text1"/>
          <w:sz w:val="16"/>
          <w:szCs w:val="16"/>
        </w:rPr>
        <w:softHyphen/>
        <w:t>мо» и Московского автоклуба [4.69].</w:t>
      </w:r>
    </w:p>
    <w:p w14:paraId="76D280EF" w14:textId="77777777" w:rsidR="00487C9C" w:rsidRPr="00C33834" w:rsidRDefault="00487C9C"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Новые ижевские мотоциклы перегнали в НАТИ, где их испы</w:t>
      </w:r>
      <w:r w:rsidRPr="00C33834">
        <w:rPr>
          <w:rFonts w:ascii="Times New Roman" w:hAnsi="Times New Roman"/>
          <w:color w:val="000000" w:themeColor="text1"/>
          <w:sz w:val="16"/>
          <w:szCs w:val="16"/>
        </w:rPr>
        <w:softHyphen/>
        <w:t>тывали на пробеговых стендах и в длительном мотопробеге, протяжённостью около 5 тыс. км по территории Московской об</w:t>
      </w:r>
      <w:r w:rsidRPr="00C33834">
        <w:rPr>
          <w:rFonts w:ascii="Times New Roman" w:hAnsi="Times New Roman"/>
          <w:color w:val="000000" w:themeColor="text1"/>
          <w:sz w:val="16"/>
          <w:szCs w:val="16"/>
        </w:rPr>
        <w:softHyphen/>
        <w:t>ласти [4.71]. Осенью 1933 г. мотоцикл-одиночку НАТИ-А-750 с заводским номером 2 передали в Политехнический музей столи</w:t>
      </w:r>
      <w:r w:rsidRPr="00C33834">
        <w:rPr>
          <w:rFonts w:ascii="Times New Roman" w:hAnsi="Times New Roman"/>
          <w:color w:val="000000" w:themeColor="text1"/>
          <w:sz w:val="16"/>
          <w:szCs w:val="16"/>
        </w:rPr>
        <w:softHyphen/>
        <w:t>цы [4.72] (11429).</w:t>
      </w:r>
    </w:p>
    <w:p w14:paraId="04A95860" w14:textId="77777777" w:rsidR="00487C9C" w:rsidRPr="00C33834" w:rsidRDefault="00487C9C" w:rsidP="00C33834">
      <w:pPr>
        <w:shd w:val="clear" w:color="auto" w:fill="FFFFFF"/>
        <w:spacing w:after="0" w:line="240" w:lineRule="auto"/>
        <w:jc w:val="both"/>
        <w:rPr>
          <w:rFonts w:ascii="Times New Roman" w:hAnsi="Times New Roman"/>
          <w:color w:val="000000" w:themeColor="text1"/>
          <w:sz w:val="16"/>
          <w:szCs w:val="16"/>
        </w:rPr>
      </w:pPr>
    </w:p>
    <w:p w14:paraId="6FAFFE9D"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в Ижевске создан мотозавод. Мотозавод из системы СНХ передан в подчинение 5ГУ МОМ и по приказу от 6.03.1966 г. переименован в Ижевский мотозавод.</w:t>
      </w:r>
    </w:p>
    <w:p w14:paraId="4DC7BF86"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1980-е г. построен корпус микроэлектроники.</w:t>
      </w:r>
    </w:p>
    <w:p w14:paraId="030B6681"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Директор (1960-е)- И.С. Стыценко. </w:t>
      </w:r>
    </w:p>
    <w:p w14:paraId="676808C6"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Производство: наземные и корабельные командно-измерительные станции управления КА (1960-е); аппаратура обработки телеметрической информации СТИ-90 (1968-).77 </w:t>
      </w:r>
    </w:p>
    <w:p w14:paraId="1D2590B1"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Ижевский мотозавод МОМ</w:t>
      </w:r>
    </w:p>
    <w:p w14:paraId="452C8AFA"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Удмуртия г. Ижевск (10776).</w:t>
      </w:r>
    </w:p>
    <w:p w14:paraId="58DC66E5"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1A644360"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г. заводу (Государственный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  г. Петроград,  г. Ленинград «Сдвиг»/ /194044  г. Санкт-Петербург Пироговская наб., 13 тел. 542-01-21, 292-27-14/) из УМС РККА передана Феодосийская пристрелочная станция, в 1937 г. она являлась филиалом завода (ФОЗД), по пр. № 0173 от 8.08.1937 г. станция выделена в самостоятельное предприятие (далее завод №238 НКОП).</w:t>
      </w:r>
    </w:p>
    <w:p w14:paraId="137967BC"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1936 г. был единственным заводом, выпускавшим торпеды. Затем на базе его производства организованы заводы № 182 и № 175.</w:t>
      </w:r>
    </w:p>
    <w:p w14:paraId="338D5111"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Приказом № 68сс от 26.02.1938 г. заводу поручено изготовление опытной партии из 20 шт. торпеды Т-53-38 по образцу фиумской торпеды. Этим же приказом на завод направлено 7 молодых специалистов; приказом НКОП/НКВМФ № 230с от 1.07.1938 г.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4F6BD4BD"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 № 415сс от 28/29.10.1938 г. заводу поручено изготовить для завода № 231 5 комплектов приборов «ВР», «УЗО» и «КО».</w:t>
      </w:r>
    </w:p>
    <w:p w14:paraId="76CD2F26"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По приказу № 285сс/904сс от 25.08.1941 г. завод № 181 эвакуирован на заводы № 337 НКАП в Куйбышев и завод № 231 НКСП в Уральск. Оставшаяся часть завода всю войну продолжала выпускать продукцию, ремонтировать торпеды. 17.06.1944 г. вышло постановление ГКО № 6060 об организации на заводе производства электроторпед ЭТ-80.</w:t>
      </w:r>
    </w:p>
    <w:p w14:paraId="3896B280"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1946 г. завод № 181 - в ведении МСП, в 03.1953-05.1954 г. - МТиТМ, затем - снова в МСП, в 1957-65 г. - в ведении Управления судостроительной промышленности ЛенСНХ. В 1966 г. завод присоединен к НИИ-400 в качестве опытного производства.</w:t>
      </w:r>
    </w:p>
    <w:p w14:paraId="084AAF58"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34358A74"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(2003-07 г.): самонаводящиеся, телеуправляемые электрические торпеды; донные и самотранспортирующиеся мины; приборы гидроакустического противодействия; подводные самотранспортирующиеся средства доставки водолазов; подготовка производства торпед: универсальной глубоководной самонаводящейся УГСТ и электрической ТЭ-2.</w:t>
      </w:r>
    </w:p>
    <w:p w14:paraId="050D428F"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68BF2730"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Располагался на одной территории с ЦНИИ «Гидроприбор».</w:t>
      </w:r>
    </w:p>
    <w:p w14:paraId="084F41F8"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Директор (-1911-07.1917 г.-)- М.С. Плотников, (1926-3 </w:t>
      </w:r>
      <w:r w:rsidRPr="00C33834">
        <w:rPr>
          <w:rFonts w:ascii="Times New Roman" w:hAnsi="Times New Roman"/>
          <w:color w:val="000000" w:themeColor="text1"/>
          <w:sz w:val="16"/>
          <w:szCs w:val="16"/>
          <w:lang w:val="en-US"/>
        </w:rPr>
        <w:t>lr</w:t>
      </w:r>
      <w:r w:rsidRPr="00C33834">
        <w:rPr>
          <w:rFonts w:ascii="Times New Roman" w:hAnsi="Times New Roman"/>
          <w:color w:val="000000" w:themeColor="text1"/>
          <w:sz w:val="16"/>
          <w:szCs w:val="16"/>
        </w:rPr>
        <w:t>!)- Н.К. Чеснов, (1931-34; 7.09.1937-07.1938 г.-)- Д.Н. Никаноров, (-10.1936 г.)- Абрамов (репрессирован); и.о. (1936 г.)- Ф.М. Ломанов; (1.02-16.05.1937 г.)- Ф.М. Ломанов; и.о. (29.05-7.09.1937 г.)- Б.А. Хазанов; (10.1938 г.)- Никаноров, (1939-41 г.)- М.Б. Розенштейн, (1941- 50 г.)- Б.П. Румянцев, (1950-62 г.)- Е.Т. Николаев, (1962-70 г.)-  Г.Д. Кортажев, (1970-83 г.)- ГЛ. Корсаков, "(1983- 90 г.)-  Г.Н. Худин, (1991-2005 г.-)- В.А. Иванов.</w:t>
      </w:r>
      <w:r w:rsidRPr="00C33834">
        <w:rPr>
          <w:rFonts w:ascii="Times New Roman" w:hAnsi="Times New Roman"/>
          <w:color w:val="000000" w:themeColor="text1"/>
          <w:sz w:val="16"/>
          <w:szCs w:val="16"/>
          <w:vertAlign w:val="superscript"/>
        </w:rPr>
        <w:t>101</w:t>
      </w:r>
      <w:r w:rsidRPr="00C33834">
        <w:rPr>
          <w:rFonts w:ascii="Times New Roman" w:hAnsi="Times New Roman"/>
          <w:color w:val="000000" w:themeColor="text1"/>
          <w:sz w:val="16"/>
          <w:szCs w:val="16"/>
        </w:rPr>
        <w:t xml:space="preserve"> Гендиректор (2007 г.)- П.В. Черепанов.</w:t>
      </w:r>
    </w:p>
    <w:p w14:paraId="63A27F4A"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строительства- Лидванов, (1937 г.)- Иванов. Зам. директора: по ПВО и охране (19.07.1938 г.-)- П.П. Владиславов; (-06-7.09.1937; 25.09.1937 г.-)- П.М. Кнышев; и.о. 2-го зам. директора (20.08.1937 г.-)- А.П. Сальковский. Помощник директора: и.о. (-20.08.1937 г.)-  Г.В. Галкин; по найму и увольнению (06.1937 г.)- А.Ф. Тимофеев; по коммерческой части (1937 г.)- Андреев.</w:t>
      </w:r>
    </w:p>
    <w:p w14:paraId="6BFA1C90"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технический (-1936 г.)- Виленский, (7.09.1937 г.-)- И.К. Германович, (23.11.1938 г.-)- Ф.И. Горбатов; коммерческий (-10.1936 г.)- Лисичкин (репрессирован).</w:t>
      </w:r>
    </w:p>
    <w:p w14:paraId="7526A29E"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директора: коммерческого (-10.1936 г.)- Белов (репрессирован).</w:t>
      </w:r>
    </w:p>
    <w:p w14:paraId="66396D39"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(08.1936 г.)- Виленский (репрессирован); и.о. (1936 г.)- Ф.М. Ломанов; (-06-7.09.1937; 25.09.1937 г.- )- П.М. Кнышев, (-02-09.1938 г.-)- Ф.И. Горбатов, (-21.11.1938 г.)- И.К. Германович (снят); и.о (-23.11.1938 г.)- Ф.И. Горбатов; (23.11.1938 г.-)- Б.П. Румянцев.</w:t>
      </w:r>
    </w:p>
    <w:p w14:paraId="44201E37"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конструктор (02.1937 г.)- Волков.</w:t>
      </w:r>
    </w:p>
    <w:p w14:paraId="1F33FD26"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технолог (-23.11.1938 г.)- Б.П. Румянцев.</w:t>
      </w:r>
    </w:p>
    <w:p w14:paraId="28835420"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производства (23.11.1938 г.-)- Б.П. Румянцев.</w:t>
      </w:r>
    </w:p>
    <w:p w14:paraId="513F27BD"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цехов: сборочного (02.1937 г.)- Осокин; литейного (01.1937 г.)- Лебедев.</w:t>
      </w:r>
    </w:p>
    <w:p w14:paraId="7EE46EE0"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начальника цеха: № 3 (08.1937 г.)- Сердцев; сборочного (02.1937 г.)- Сердцев.</w:t>
      </w:r>
    </w:p>
    <w:p w14:paraId="1C7E72D3"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отделов: КО (09.1938 г.)- Тимофеев; технического (02.1938 г.)- Зиновьев; ОТК (02.1937 г.)- Кнышев; ППО (-10.1936 г.)- Морозов (репрессирован); планового (1937 г.)- Шемаханов; снабжения (1930-е)- Жестянников (репрессирован); ОКС (1936 г.)- Соловьев; внешних связей и маркетинга (2006 г.)- Ю.А. Мельников.</w:t>
      </w:r>
    </w:p>
    <w:p w14:paraId="3A07CE69"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начальника отдела: ППО (10.1936 г.)- Клюйко (репрессирован).</w:t>
      </w:r>
    </w:p>
    <w:p w14:paraId="5886701A"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Производство: ПЛ С.К. Джевецкого (1882-83)- 50 (вместе с Невским заводом), полуподводная лодка «Кета» пр. С.А. Яновича (1904-05), сборка ПЛ Лэка «Осетр» (1905); холодильные машины Вестингауз-Леблан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w:t>
      </w:r>
      <w:r w:rsidRPr="00C33834">
        <w:rPr>
          <w:rFonts w:ascii="Times New Roman" w:hAnsi="Times New Roman"/>
          <w:color w:val="000000" w:themeColor="text1"/>
          <w:sz w:val="16"/>
          <w:szCs w:val="16"/>
          <w:lang w:val="en-US"/>
        </w:rPr>
        <w:t>PC</w:t>
      </w:r>
      <w:r w:rsidRPr="00C33834">
        <w:rPr>
          <w:rFonts w:ascii="Times New Roman" w:hAnsi="Times New Roman"/>
          <w:color w:val="000000" w:themeColor="text1"/>
          <w:sz w:val="16"/>
          <w:szCs w:val="16"/>
        </w:rPr>
        <w:t xml:space="preserve">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C33834">
        <w:rPr>
          <w:rFonts w:ascii="Times New Roman" w:hAnsi="Times New Roman"/>
          <w:color w:val="000000" w:themeColor="text1"/>
          <w:sz w:val="16"/>
          <w:szCs w:val="16"/>
          <w:vertAlign w:val="superscript"/>
        </w:rPr>
        <w:t xml:space="preserve">23 </w:t>
      </w:r>
      <w:r w:rsidRPr="00C33834">
        <w:rPr>
          <w:rFonts w:ascii="Times New Roman" w:hAnsi="Times New Roman"/>
          <w:color w:val="000000" w:themeColor="text1"/>
          <w:sz w:val="16"/>
          <w:szCs w:val="16"/>
        </w:rPr>
        <w:t>транспортировочно-спасательная система «Акья» (2000-е); электрофон УРГ, электропроигрыватель «Аврора»; бытовой газовый комплекс НГБ.</w:t>
      </w:r>
    </w:p>
    <w:p w14:paraId="38878D1B"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Опытно-конструкторский отдел (ОКО) завода «Двигатель», ЦКБ-39 НКОП, НКСП</w:t>
      </w:r>
    </w:p>
    <w:p w14:paraId="433D21B8"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Велась разработка новых образцов торпед: Д-5 (1935-36 г.), Д-6 (проект), ПБ-7 (авторы Перля, Брун, в 1936 г.- опытный образец), Д-10 (проектировалась в 1936 г.), ДД-9 (с кислородным двигателем), ПБ-9.</w:t>
      </w:r>
    </w:p>
    <w:p w14:paraId="1B4372AD"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 имел свою производственную базу (30 станков) (1936 г.). По пр. № 0214 от 26.09.1937 г. на базе КО завода и соответствующего отдела Остехупра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059320BB"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 № 415сс от 28/29.10.1938 г. ЦКБ совместно с заводом № 231 требовалось к 1.12.1938 г. изготовить две опытные торпеды «53-39». Для форсирования работ по торпеде </w:t>
      </w:r>
      <w:r w:rsidRPr="00C33834">
        <w:rPr>
          <w:rFonts w:ascii="Times New Roman" w:hAnsi="Times New Roman"/>
          <w:color w:val="000000" w:themeColor="text1"/>
          <w:sz w:val="16"/>
          <w:szCs w:val="16"/>
          <w:lang w:val="en-US"/>
        </w:rPr>
        <w:t>ACT</w:t>
      </w:r>
      <w:r w:rsidRPr="00C33834">
        <w:rPr>
          <w:rFonts w:ascii="Times New Roman" w:hAnsi="Times New Roman"/>
          <w:color w:val="000000" w:themeColor="text1"/>
          <w:sz w:val="16"/>
          <w:szCs w:val="16"/>
        </w:rPr>
        <w:t xml:space="preserve"> требовалось к 25.12.1938 г. закончить проект переоборудования бывшего газового завода в Ленинграде под спецлабораторию ЦКБ-39.</w:t>
      </w:r>
    </w:p>
    <w:p w14:paraId="785B5D27"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1941 г. ЦКБ-39 ликвидировано, образовав вместе с ЦКБ-36 ОКБ завода № 231 НКСП.</w:t>
      </w:r>
      <w:r w:rsidRPr="00C33834">
        <w:rPr>
          <w:rFonts w:ascii="Times New Roman" w:hAnsi="Times New Roman"/>
          <w:color w:val="000000" w:themeColor="text1"/>
          <w:sz w:val="16"/>
          <w:szCs w:val="16"/>
          <w:vertAlign w:val="superscript"/>
        </w:rPr>
        <w:t>61</w:t>
      </w:r>
    </w:p>
    <w:p w14:paraId="64119C59"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(2.02-5.11.1938 г.)- П.Я. Кононов, (5.11.1938 г.-)- М.П. Максимов.</w:t>
      </w:r>
    </w:p>
    <w:p w14:paraId="12A7F3DA"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конструктор группы № 4 (12.1938 г.)-  Г. Диллон.</w:t>
      </w:r>
      <w:r w:rsidRPr="00C33834">
        <w:rPr>
          <w:rFonts w:ascii="Times New Roman" w:hAnsi="Times New Roman"/>
          <w:color w:val="000000" w:themeColor="text1"/>
          <w:sz w:val="16"/>
          <w:szCs w:val="16"/>
          <w:vertAlign w:val="superscript"/>
        </w:rPr>
        <w:t>139</w:t>
      </w:r>
    </w:p>
    <w:p w14:paraId="5042ACCA"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СКВ завода № 181</w:t>
      </w:r>
    </w:p>
    <w:p w14:paraId="28EB9CDF"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 ГКО № 2318 от 17.09.1942 г. торпеда ЭТ-80 и глубоководный минный защитник ГМЗ пнв. В соответствии с ПСМ № 1120-583 от 15.08.1956 г. торпеда ЭТ-56 пнв.</w:t>
      </w:r>
    </w:p>
    <w:p w14:paraId="71EDE888"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4EFE9B39"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1895B040"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Ведущие конструкторы: (1950-е)-  Г.Д. Карташев, (1950-е)- В.А. Косарев, (1950-е)- Д.А. Петров, (-1943-50-е)- Н.Н. Шамарин, (1950-е)- И.П. Яковлев.</w:t>
      </w:r>
    </w:p>
    <w:p w14:paraId="41975939"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Создано: электроторпеды: ЭТ-80 (пнв 17.09.1942 г.), ЭТ-46 (1945, на базе трофейной </w:t>
      </w:r>
      <w:r w:rsidRPr="00C33834">
        <w:rPr>
          <w:rFonts w:ascii="Times New Roman" w:hAnsi="Times New Roman"/>
          <w:color w:val="000000" w:themeColor="text1"/>
          <w:sz w:val="16"/>
          <w:szCs w:val="16"/>
          <w:lang w:val="en-US"/>
        </w:rPr>
        <w:t>G</w:t>
      </w:r>
      <w:r w:rsidRPr="00C33834">
        <w:rPr>
          <w:rFonts w:ascii="Times New Roman" w:hAnsi="Times New Roman"/>
          <w:color w:val="000000" w:themeColor="text1"/>
          <w:sz w:val="16"/>
          <w:szCs w:val="16"/>
        </w:rPr>
        <w:t>-7</w:t>
      </w:r>
      <w:r w:rsidRPr="00C33834">
        <w:rPr>
          <w:rFonts w:ascii="Times New Roman" w:hAnsi="Times New Roman"/>
          <w:color w:val="000000" w:themeColor="text1"/>
          <w:sz w:val="16"/>
          <w:szCs w:val="16"/>
          <w:lang w:val="en-US"/>
        </w:rPr>
        <w:t>E</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vertAlign w:val="superscript"/>
        </w:rPr>
        <w:t>61</w:t>
      </w:r>
      <w:r w:rsidRPr="00C33834">
        <w:rPr>
          <w:rFonts w:ascii="Times New Roman" w:hAnsi="Times New Roman"/>
          <w:color w:val="000000" w:themeColor="text1"/>
          <w:sz w:val="16"/>
          <w:szCs w:val="16"/>
        </w:rPr>
        <w:t xml:space="preserve"> ЭТ-56 (пнв 15.08.1956 г.); самонаводящаяся САЭТ-60 (1950-е), СЭТ-65КЭ; телеуправляемая по проводам ТЭСТ-68 (пнв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6646AE9B"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40A5546A"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г. станция (Торпедно-испытательный завод № 238 НКОП, НКСП, Феодосийская пристрелочная станция, Феодосийское отделение завода «Двигатель» (ФОЗД), Феодосийская испытательная станция НКОП /г. Феодосия п/я 24 «Молот» (1937 г.)/) была передана из ведения УМС РККА заводу «Двигатель», в 1936-37 г. являлась его филиалом. В 1936 г. станция являлась единственным предприятием в стране по испытанию и сдаче торпед. По пр. № 0173 от 8.08.1937 г. выделена в самостоятельную Феодосийскую испытательную станцию в ведении ЗГУ, по пр. № 0214 от 26.09.1937 г. станция передана в ведение вновь созданного 17ГУ. По пр. № 70с от 5.03.1938 г. станция реорганизована в Торпедно-испытательный завод № 238 17ГУ НКОП. В 02.1939 г. из 17ГУ передан в ведение НКСП.</w:t>
      </w:r>
    </w:p>
    <w:p w14:paraId="21A433C3"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составе станции (1936 г.): пристрелочный павильон; цеха: морской, сборочный (корпуса № 2, 3), ремонтно- механический, машинный. Приказом № 0154 от 10.07.1937 г. утверждено плановое задание на строительство нового павильона для отстрела торпед, сооружаемого в Двуякорной бухте  г. Феодосия рядом с существуюим павильоном со сроком ввода - к 1.12.1937 г. По пр. № 68сс от 26.02.1938 г. на завод направлено 10 молодых специалистов и 10 чел. с заводов НКМ. Пост, правительства № 242сс от 5.10.1938 г. и пр. № 410с от 25.10.1938 г. была отменена реконструкция Феодосийской пристрелочной станции. Строительство новой Феодосийской торпедно-пристрелочной станции было предписано вести в районе дер. Дальние Камыши. Для этого было организовано управление строительства «Южная точка» в ведении 17ГУ.</w:t>
      </w:r>
    </w:p>
    <w:p w14:paraId="33627DBB"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04.1937 г. - испытания радиоуправляемой торпеды «Акула-1». Приказом № 102сс от 22.03.1938 г. требовалось к 29.03.1938 г. представить план организации работ по испытанию на заводе опытной бесследной водородно-кислородной торпеды.</w:t>
      </w:r>
    </w:p>
    <w:p w14:paraId="647E4A1F"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1938 г. Ф.И. Наумов изобрел прибор для ПЛ. Для его реализации и внедрения на ВМФ пр. № 409сс от 23/25.10.1938 г. заводу № 103 предписано к 25.11.1938 г. изготовить и испытать 24 прибора.</w:t>
      </w:r>
    </w:p>
    <w:p w14:paraId="5BEE6346"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начала войны завод эвакуирован на заводы № 239 в Петропавловск и № 182 в Махачкалу.</w:t>
      </w:r>
      <w:r w:rsidRPr="00C33834">
        <w:rPr>
          <w:rFonts w:ascii="Times New Roman" w:hAnsi="Times New Roman"/>
          <w:color w:val="000000" w:themeColor="text1"/>
          <w:sz w:val="16"/>
          <w:szCs w:val="16"/>
          <w:vertAlign w:val="superscript"/>
        </w:rPr>
        <w:t>61</w:t>
      </w:r>
    </w:p>
    <w:p w14:paraId="6363505D"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Пристрелочная станция в 1941 г. после начала войны эвакуирована в Тюмень на площадку завода № 639. После освобождения Крыма на старом месте у дер. Дальние Камыши создан завод № 831.</w:t>
      </w:r>
    </w:p>
    <w:p w14:paraId="740EFB1D"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(1930-е)- Григорьев, (-15.07.1937 г.)- А.И. Железный (снят как не справившийся), (15.07- 23.11.1937 г.)- А.А. Белянский. Директор (23.11.1937-19.07.1938 г.)- П.Н. Рупасов, (19.07.1938 г.-&gt; Н.П. Дрямов.</w:t>
      </w:r>
    </w:p>
    <w:p w14:paraId="7DC486FC"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Начальник строительства (01.1938 г.)- Беликов, «Южной точки» (26.10.1938 г.-)- М.Н. Клюнин. Зам. директора (23.12.1937 г.-)- Ф.И. Наумов. Помощник директора по найму и увольнению (06.1937 г.)- И. Г. Подгола.</w:t>
      </w:r>
    </w:p>
    <w:p w14:paraId="777B70B2"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(02.1937 г.)- Смирнов, (23.12.1937-10.1938 г.-)- Ф.И. Наумов.</w:t>
      </w:r>
    </w:p>
    <w:p w14:paraId="559F664E"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отделов: ОТК (08.1937 г.)- Якобсон.</w:t>
      </w:r>
    </w:p>
    <w:p w14:paraId="5F24B219"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Руководители групп: (03.1938 г.)- Голиков (11982).</w:t>
      </w:r>
    </w:p>
    <w:p w14:paraId="1DD15B46" w14:textId="77777777" w:rsidR="00E72149" w:rsidRPr="00C33834" w:rsidRDefault="00E72149" w:rsidP="00C33834">
      <w:pPr>
        <w:spacing w:after="0" w:line="240" w:lineRule="auto"/>
        <w:jc w:val="both"/>
        <w:rPr>
          <w:rFonts w:ascii="Times New Roman" w:hAnsi="Times New Roman"/>
          <w:color w:val="000000" w:themeColor="text1"/>
          <w:sz w:val="16"/>
          <w:szCs w:val="16"/>
        </w:rPr>
      </w:pPr>
    </w:p>
    <w:p w14:paraId="03A75F61" w14:textId="77777777" w:rsidR="00FA6C6A" w:rsidRPr="00C33834" w:rsidRDefault="00FA6C6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июле 1933 года «пущен в строй» Днепровский алюминиевый завод. </w:t>
      </w:r>
    </w:p>
    <w:p w14:paraId="4702C2A3" w14:textId="77777777" w:rsidR="00FA6C6A" w:rsidRPr="00C33834" w:rsidRDefault="00FA6C6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Развитие алюминиевого производства органично вписывалось в план ГОЭЛРО, по которому создавалась энергетическая база для превращения России в крупную индустриальную державу. Без алюминия, как основного металла для электротехники, невозможна была реализация плана ГОЭЛРО, а без его реализации создание энергоемкого алюминиевого производства. </w:t>
      </w:r>
    </w:p>
    <w:p w14:paraId="4FF1BC1C" w14:textId="77777777" w:rsidR="00FA6C6A" w:rsidRPr="00C33834" w:rsidRDefault="00FA6C6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Уже в эти годы закладывались основные принципы создания российской алюминиевой промышленности – строительство алюминиевых предприятий в непосредственной близости от энергомощностей, работающих на наименее затратной, экологически чисто и возобновляемой гидроэнергии. </w:t>
      </w:r>
    </w:p>
    <w:p w14:paraId="07CA504C" w14:textId="77777777" w:rsidR="00FA6C6A" w:rsidRPr="00C33834" w:rsidRDefault="00FA6C6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Наиболее полную практическую реализацию эти принципы получили в годы, когда Правительство СССР возглавлял А.Н.Косыгин. Именно тогда алюминиевая промышленность стала развиваться в Сибири на базе крупнейших в мире гидростанций. </w:t>
      </w:r>
    </w:p>
    <w:p w14:paraId="77772A14" w14:textId="77777777" w:rsidR="00FA6C6A" w:rsidRPr="00C33834" w:rsidRDefault="00FA6C6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годы Великой Отечественной войны проблема обеспечения алюминием советской авиации стала особенно острой, так как в самом начале войны страна лишилась производителей алюминия – Волховского и Днепровского алюминиевых заводов. </w:t>
      </w:r>
    </w:p>
    <w:p w14:paraId="3196437E" w14:textId="77777777" w:rsidR="00FA6C6A" w:rsidRPr="00C33834" w:rsidRDefault="00FA6C6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Государство приняло экстренные меры по перемещению алюминиевого производства на Урал и в Сибирь. При строительстве Богословского и Новокузнецкого алюминиевых заводов, которое велось ускоренными темпами и было завершено в годы войны, использовалось оборудование, вывезенное с Бокситогорского, Волховского и Днепровского заводов. </w:t>
      </w:r>
    </w:p>
    <w:p w14:paraId="6CA806EC" w14:textId="77777777" w:rsidR="00FA6C6A" w:rsidRPr="00C33834" w:rsidRDefault="00FA6C6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военные годы было произведено 350 тыс.т алюминия и 755 тыс.т глинозема. С первых же дней войны на Уральском алюминиевом заводе (УАЗ) было организовано производство кремния и силумина. Таким образом, страна получила значительное количество алюминия для авиастроения. И это обстоятельство стало одним из решающих факторов в достижении Великой Победы (12272).</w:t>
      </w:r>
    </w:p>
    <w:p w14:paraId="051E76E3" w14:textId="77777777" w:rsidR="00FA6C6A" w:rsidRPr="00C33834" w:rsidRDefault="00FA6C6A" w:rsidP="00C33834">
      <w:pPr>
        <w:spacing w:after="0" w:line="240" w:lineRule="auto"/>
        <w:jc w:val="both"/>
        <w:rPr>
          <w:rFonts w:ascii="Times New Roman" w:hAnsi="Times New Roman"/>
          <w:color w:val="000000" w:themeColor="text1"/>
          <w:sz w:val="16"/>
          <w:szCs w:val="16"/>
        </w:rPr>
      </w:pPr>
    </w:p>
    <w:p w14:paraId="7CC38C59" w14:textId="77777777" w:rsidR="00487C9C" w:rsidRPr="00C33834" w:rsidRDefault="008E43FA"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74EC20C6" w14:textId="77777777" w:rsidR="00487C9C" w:rsidRPr="00C33834" w:rsidRDefault="00487C9C" w:rsidP="00C33834">
      <w:pPr>
        <w:spacing w:after="0" w:line="240" w:lineRule="auto"/>
        <w:jc w:val="both"/>
        <w:rPr>
          <w:rFonts w:ascii="Times New Roman" w:hAnsi="Times New Roman"/>
          <w:iCs/>
          <w:color w:val="000000" w:themeColor="text1"/>
          <w:sz w:val="16"/>
          <w:szCs w:val="16"/>
        </w:rPr>
      </w:pPr>
    </w:p>
    <w:p w14:paraId="21B2423E"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г. СТО поставил задачи Морским силам РККА (3898).</w:t>
      </w:r>
    </w:p>
    <w:p w14:paraId="4EA4172B"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0819B3E0" w14:textId="77777777" w:rsidR="00487C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5D165763" w14:textId="77777777" w:rsidR="00487C9C" w:rsidRPr="00C33834" w:rsidRDefault="00487C9C" w:rsidP="00C33834">
      <w:pPr>
        <w:spacing w:after="0" w:line="240" w:lineRule="auto"/>
        <w:jc w:val="both"/>
        <w:rPr>
          <w:rFonts w:ascii="Times New Roman" w:hAnsi="Times New Roman"/>
          <w:iCs/>
          <w:color w:val="000000" w:themeColor="text1"/>
          <w:sz w:val="16"/>
          <w:szCs w:val="16"/>
        </w:rPr>
      </w:pPr>
    </w:p>
    <w:p w14:paraId="3D2367F4"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г. новым самолетом похвастались в Европе. В ответ на перелет польских летчиков в Москву два Р-5 слетали в Варшаву. Самолеты делались на заказ, без вооружения и несли гражданские бортовые обозначения. Пилотами были Ф.А. Ингаунис (тогда помощник командующего Украинским военным округом) и уже упоминавшийся А.А. Туржанский (командир 252-й бригады).</w:t>
      </w:r>
    </w:p>
    <w:p w14:paraId="1257C034"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Машины следовали в столицу Польши по разным маршрутам. Полякам это объяснили тем, что хотят познакомить как можно больше людей с достижениями советской авиации. На самом деле маршруты прокладывало Разведывательное управление, выдавшее членам экипажей подробное наставление - что и где смотреть.</w:t>
      </w:r>
    </w:p>
    <w:p w14:paraId="4B754615"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Варшаве экипажи первым делом отвезли в посольство - якобы отдохнуть. Но вместо этого они туг же начали записывать ответы на ранее заданные вопросы. А потом уже начались официальные приветствия и банкеты...(12034).</w:t>
      </w:r>
    </w:p>
    <w:p w14:paraId="6D0E807F"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6064856A" w14:textId="77777777" w:rsidR="00487C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B5F2853" w14:textId="77777777" w:rsidR="00487C9C" w:rsidRPr="00C33834" w:rsidRDefault="00487C9C" w:rsidP="00C33834">
      <w:pPr>
        <w:spacing w:after="0" w:line="240" w:lineRule="auto"/>
        <w:jc w:val="both"/>
        <w:rPr>
          <w:rFonts w:ascii="Times New Roman" w:hAnsi="Times New Roman"/>
          <w:iCs/>
          <w:color w:val="000000" w:themeColor="text1"/>
          <w:sz w:val="16"/>
          <w:szCs w:val="16"/>
        </w:rPr>
      </w:pPr>
    </w:p>
    <w:p w14:paraId="5C9AB272"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года поднялся в воздух родоначальник семейства - опытный DC-1. На его базе создали DС-2, выпуск которых завод фирмы "Дуглас" начал с мая 1934 года (3457,50).</w:t>
      </w:r>
    </w:p>
    <w:p w14:paraId="35BCA564"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2121CF56"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Валти вновь передал в Америкен эирлайнз доработанный V-1 для регулярной работе на воздушных трассах (3877,17).</w:t>
      </w:r>
    </w:p>
    <w:p w14:paraId="291BE033"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7FC549BF" w14:textId="77777777" w:rsidR="00BC0C54" w:rsidRPr="00C33834" w:rsidRDefault="00BC0C5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июле 1933 Misr Airlines, которая позже станет Egyptair, начинает полеты на авиалайнерах de Havilland DH.84 Dragon для обслуживания Каира, Александрии и Мерса-Матрух (20802).</w:t>
      </w:r>
    </w:p>
    <w:p w14:paraId="4EAB2D0F" w14:textId="77777777" w:rsidR="00BC0C54" w:rsidRPr="00C33834" w:rsidRDefault="00BC0C54" w:rsidP="00C33834">
      <w:pPr>
        <w:spacing w:after="0" w:line="240" w:lineRule="auto"/>
        <w:jc w:val="both"/>
        <w:rPr>
          <w:rFonts w:ascii="Times New Roman" w:hAnsi="Times New Roman"/>
          <w:color w:val="0070C0"/>
          <w:sz w:val="16"/>
          <w:szCs w:val="16"/>
        </w:rPr>
      </w:pPr>
    </w:p>
    <w:p w14:paraId="2D74C2B8" w14:textId="77777777" w:rsidR="00487C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35EDD8A" w14:textId="77777777" w:rsidR="00487C9C" w:rsidRPr="00C33834" w:rsidRDefault="00487C9C" w:rsidP="00C33834">
      <w:pPr>
        <w:spacing w:after="0" w:line="240" w:lineRule="auto"/>
        <w:jc w:val="both"/>
        <w:rPr>
          <w:rFonts w:ascii="Times New Roman" w:hAnsi="Times New Roman"/>
          <w:iCs/>
          <w:color w:val="000000" w:themeColor="text1"/>
          <w:sz w:val="16"/>
          <w:szCs w:val="16"/>
        </w:rPr>
      </w:pPr>
    </w:p>
    <w:p w14:paraId="1965E907"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 августе 1933 г. самолет № 759 с "газовым агрегатом" проходил испытания. Старт пытались облегчить применением ракетных ускорителей, в документах именовавшихся "газовым агрегатом". Разрабатывала их Газодинамическая лаборатория (ГДЛ) в Ленинграде. Шесть пороховых ускорителей монтировались группами по три на верхней поверхности крыла. В крыло заделали дюралюминиевые фермы, передававшие нагрузку на узлы крепления шасси. Сопла были развернуты так, что струи шли выше горизонтального оперения и под небольшим углом к фюзеляжу - конструкторы боялись повреждения обшивки. Воспламенялись ракеты электрозапалом, а камеры одного блока соединялись огневыми трубками. Летал на нем пилот ГДЛ Благин, второй штурвал иногда держал летчик Миндер из НИИ ВВС. Разбег действительно значительно уменьшился: при взлетном весе 8000 кг составлял 140 - 160 м, а без ракет бомбардировщик до отрыва от земли пробегал 520 м. Но установка не вполне соответствовала требованиям задания. Вес ее составлял 469 кг, из них более 400 кг оставались после взлета бесполезным грузом: несущую конструкцию и камеры ни сбросить, ни даже быстро снять не удавалось. В НИИ ВВС устройство сочли недоработанным. Начальник УВВС Я.И. Апкснис поддерживал продолжение работы и даже предлагал провести войсковые испытания на трех машинах, но постепенно интерес к совершенствованию ТБ-1 упал, и конструкторы переключились на создание подобной установки для ТБ-3 (12001).</w:t>
      </w:r>
    </w:p>
    <w:p w14:paraId="75A9689D"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7F1F3C47"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июле-ноябре 1933 года были проведены летные испытания Э-31 (АИР-4 с "открылками", или "щитками-закрылками" (подкрыльные щитки)) с участием Ю. И. Пионтковского. Несмотря на крайне неудовлетворительную работу изношенного мотора "Вальтер", результаты превзошли ожидания. Минимальная скорость планирования оказалась 35 км/ч, наименьшая посадочная скорость 30 км/ч, вместо предполагавшейся 54 км/ч. Самолет делал совершенно автожирную посадку, идя под очень крутым углом, а затем, коснувшись земли, уменьшал пробег в три раза - со 160 до 52 м. Разбег сокращался на 20-25 м. Была отмечена необыкновенная устойчивость самолета на самых малых скоростях при прекрасной его управляемости и антиштопорных свойствах. Концевые элероны улучшали и работу руля направления. Недостатком установки было значительное увеличение веса конструкции самолета - до 60 кг (11981).</w:t>
      </w:r>
    </w:p>
    <w:p w14:paraId="6C5869B3"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16DBE640"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июле-сентябре 1933 г. вновь проходили полигонные испытания мины МАВ-2 (ВОМИЗА-250). Тяжелую и громоздкую МАВ-2 поплавковый ТБ-1 а поднять не мог, колесный ТБ-1 взлетал с ней, но за счет значительного сокращения запаса горючего, а следовательно, уменьшения радиуса действия. Единственным полноценным носителем ВОМИЗы-250 являлся четырехмоторный ТБ-3. В ходе доработки вес мины уменьшили до 1330 кг. В 1934 г. промышленности запланировали выпуск 100 усовершенствованных МАВ-2. Позднее последовали новые заказы. Всего в 30-х годах изготовили около 200 таких мин. В 1936 г. производство, а точнее переделка, мин МАВ-1 и МАВ-2 было прекращено. Мины, сбрасывавшиеся с парашютами, обладали двумя существенными недостатками: значительным временем спуска и большим отклонением от точки прицеливания, обусловленным сносом от ветра. Попытались обойтись без парашютов (12002).</w:t>
      </w:r>
    </w:p>
    <w:p w14:paraId="0D1CE039"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27D29C50" w14:textId="77777777" w:rsidR="004B157C" w:rsidRPr="00C33834" w:rsidRDefault="004B157C"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5C365FA" w14:textId="77777777" w:rsidR="004B157C" w:rsidRPr="00C33834" w:rsidRDefault="004B157C" w:rsidP="00C33834">
      <w:pPr>
        <w:spacing w:after="0" w:line="240" w:lineRule="auto"/>
        <w:jc w:val="both"/>
        <w:rPr>
          <w:rFonts w:ascii="Times New Roman" w:hAnsi="Times New Roman"/>
          <w:iCs/>
          <w:color w:val="000000" w:themeColor="text1"/>
          <w:sz w:val="16"/>
          <w:szCs w:val="16"/>
        </w:rPr>
      </w:pPr>
    </w:p>
    <w:p w14:paraId="442C1B82" w14:textId="77777777" w:rsidR="004B157C" w:rsidRPr="00C33834" w:rsidRDefault="004B157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 сентябре 1933 четырех грузовых автомобилей АМО-3 в числе 23 машин советского производства участвовали во Всесоюзном автопробеге по маршруту Москва – Каракумы – Москва  (17494).</w:t>
      </w:r>
    </w:p>
    <w:p w14:paraId="6B283572" w14:textId="77777777" w:rsidR="004B157C" w:rsidRPr="00C33834" w:rsidRDefault="004B157C" w:rsidP="00C33834">
      <w:pPr>
        <w:spacing w:after="0" w:line="240" w:lineRule="auto"/>
        <w:jc w:val="both"/>
        <w:rPr>
          <w:rFonts w:ascii="Times New Roman" w:eastAsia="Times New Roman" w:hAnsi="Times New Roman"/>
          <w:color w:val="000000" w:themeColor="text1"/>
          <w:sz w:val="16"/>
          <w:szCs w:val="16"/>
          <w:lang w:eastAsia="ru-RU"/>
        </w:rPr>
      </w:pPr>
    </w:p>
    <w:p w14:paraId="009753D9" w14:textId="77777777" w:rsidR="00F473A0"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8786201" w14:textId="77777777" w:rsidR="00F473A0" w:rsidRPr="00C33834" w:rsidRDefault="00F473A0" w:rsidP="00C33834">
      <w:pPr>
        <w:spacing w:after="0" w:line="240" w:lineRule="auto"/>
        <w:jc w:val="both"/>
        <w:rPr>
          <w:rFonts w:ascii="Times New Roman" w:hAnsi="Times New Roman"/>
          <w:iCs/>
          <w:color w:val="000000" w:themeColor="text1"/>
          <w:sz w:val="16"/>
          <w:szCs w:val="16"/>
        </w:rPr>
      </w:pPr>
    </w:p>
    <w:p w14:paraId="4D54A6B7" w14:textId="77777777" w:rsidR="00F473A0" w:rsidRPr="00C33834" w:rsidRDefault="00F473A0" w:rsidP="00C33834">
      <w:pPr>
        <w:pStyle w:val="ae"/>
        <w:shd w:val="clear" w:color="auto" w:fill="FFFFFF"/>
        <w:spacing w:before="0" w:after="0"/>
        <w:jc w:val="both"/>
        <w:rPr>
          <w:color w:val="000000" w:themeColor="text1"/>
          <w:sz w:val="16"/>
          <w:szCs w:val="16"/>
        </w:rPr>
      </w:pPr>
      <w:r w:rsidRPr="00C33834">
        <w:rPr>
          <w:color w:val="000000" w:themeColor="text1"/>
          <w:sz w:val="16"/>
          <w:szCs w:val="16"/>
        </w:rPr>
        <w:t>В июле-августе 1933 года была выпущена установочная партия шасси по цене 37800 рейхсмарок за штуку. При этом машины имели целый ряд отличий от опытного образца «малого трактора». По итогам испытаний был увеличен диаметр ленивца, на надмоторной плите появились характерные «уши» воздухозаборников. На машине использовался более мощный мотор Krupp M 302, который имел мощность 56 лошадиных сил, а при 2600 об/мин – 60 лошадиных сил.</w:t>
      </w:r>
    </w:p>
    <w:p w14:paraId="438CA46E" w14:textId="77777777" w:rsidR="00F473A0" w:rsidRPr="00C33834" w:rsidRDefault="00F473A0" w:rsidP="00C33834">
      <w:pPr>
        <w:pStyle w:val="ae"/>
        <w:shd w:val="clear" w:color="auto" w:fill="FFFFFF"/>
        <w:spacing w:before="0" w:after="0"/>
        <w:jc w:val="both"/>
        <w:rPr>
          <w:color w:val="000000" w:themeColor="text1"/>
          <w:sz w:val="16"/>
          <w:szCs w:val="16"/>
        </w:rPr>
      </w:pPr>
      <w:r w:rsidRPr="00C33834">
        <w:rPr>
          <w:color w:val="000000" w:themeColor="text1"/>
          <w:sz w:val="16"/>
          <w:szCs w:val="16"/>
        </w:rPr>
        <w:t xml:space="preserve">Опытный образец изготовлялся из неброневой стали, но уже в июне 1933 года прошёл испытания обстрелом первый корпус, выполненный из полноценной брони. </w:t>
      </w:r>
      <w:r w:rsidRPr="00C33834">
        <w:rPr>
          <w:color w:val="000000" w:themeColor="text1"/>
          <w:sz w:val="16"/>
          <w:szCs w:val="16"/>
        </w:rPr>
        <w:lastRenderedPageBreak/>
        <w:t>Поскольку в ходе испытаний имели место два пробития 7,9-мм тяжёлыми пулями, толщина брони машины была увеличена с 8 до 13 мм.</w:t>
      </w:r>
    </w:p>
    <w:p w14:paraId="058CE3A9" w14:textId="77777777" w:rsidR="00F473A0" w:rsidRPr="00C33834" w:rsidRDefault="00F473A0" w:rsidP="00C33834">
      <w:pPr>
        <w:pStyle w:val="ae"/>
        <w:shd w:val="clear" w:color="auto" w:fill="FFFFFF"/>
        <w:spacing w:before="0" w:after="0"/>
        <w:jc w:val="both"/>
        <w:rPr>
          <w:color w:val="000000" w:themeColor="text1"/>
          <w:sz w:val="16"/>
          <w:szCs w:val="16"/>
        </w:rPr>
      </w:pPr>
      <w:r w:rsidRPr="00C33834">
        <w:rPr>
          <w:color w:val="000000" w:themeColor="text1"/>
          <w:sz w:val="16"/>
          <w:szCs w:val="16"/>
        </w:rPr>
        <w:t xml:space="preserve">Выпущенные шасси использовались в качестве испытательных стендов. На них отрабатывались различные технические решения. Кстати говоря, именно на Kleintraktor должны были испытать торсионную подвеску разработки Porsche K.G. По ряду причин это мероприятие не случилось, и в итоге первым танком с торсионной подвеской стал шведский </w:t>
      </w:r>
      <w:hyperlink r:id="rId275" w:history="1">
        <w:r w:rsidRPr="00C33834">
          <w:rPr>
            <w:rStyle w:val="a5"/>
            <w:rFonts w:eastAsiaTheme="majorEastAsia"/>
            <w:color w:val="000000" w:themeColor="text1"/>
            <w:sz w:val="16"/>
            <w:szCs w:val="16"/>
            <w:u w:val="none"/>
          </w:rPr>
          <w:t>Landsverk L-60</w:t>
        </w:r>
      </w:hyperlink>
      <w:r w:rsidRPr="00C33834">
        <w:rPr>
          <w:rStyle w:val="a5"/>
          <w:rFonts w:eastAsiaTheme="majorEastAsia"/>
          <w:color w:val="000000" w:themeColor="text1"/>
          <w:sz w:val="16"/>
          <w:szCs w:val="16"/>
          <w:u w:val="none"/>
        </w:rPr>
        <w:t xml:space="preserve"> (17463)</w:t>
      </w:r>
      <w:r w:rsidRPr="00C33834">
        <w:rPr>
          <w:color w:val="000000" w:themeColor="text1"/>
          <w:sz w:val="16"/>
          <w:szCs w:val="16"/>
        </w:rPr>
        <w:t>.</w:t>
      </w:r>
    </w:p>
    <w:p w14:paraId="090679C1" w14:textId="77777777" w:rsidR="00F473A0" w:rsidRPr="00C33834" w:rsidRDefault="00F473A0" w:rsidP="00C33834">
      <w:pPr>
        <w:spacing w:after="0" w:line="240" w:lineRule="auto"/>
        <w:jc w:val="both"/>
        <w:rPr>
          <w:rFonts w:ascii="Times New Roman" w:hAnsi="Times New Roman"/>
          <w:color w:val="000000" w:themeColor="text1"/>
          <w:sz w:val="16"/>
          <w:szCs w:val="16"/>
        </w:rPr>
      </w:pPr>
    </w:p>
    <w:p w14:paraId="58798CCC" w14:textId="77777777" w:rsidR="00487C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A1B43FA" w14:textId="77777777" w:rsidR="00487C9C" w:rsidRPr="00C33834" w:rsidRDefault="00487C9C" w:rsidP="00C33834">
      <w:pPr>
        <w:spacing w:after="0" w:line="240" w:lineRule="auto"/>
        <w:jc w:val="both"/>
        <w:rPr>
          <w:rFonts w:ascii="Times New Roman" w:hAnsi="Times New Roman"/>
          <w:iCs/>
          <w:color w:val="000000" w:themeColor="text1"/>
          <w:sz w:val="16"/>
          <w:szCs w:val="16"/>
        </w:rPr>
      </w:pPr>
    </w:p>
    <w:p w14:paraId="130BADCE"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августу 1933 в КБ А.Н.Т. был подготовлен проект и построен макет ДБ-1 АНТ-36 и после того как они были приняты заказчиком их решили запустить на 18 заводе и изготовить 24 машины. Из узлов АНТ-26 и 10хФАБ-100 вертикально (2233,44).</w:t>
      </w:r>
    </w:p>
    <w:p w14:paraId="42178576"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1B67E09A" w14:textId="77777777" w:rsidR="007C6BD8" w:rsidRPr="00C33834" w:rsidRDefault="007C6BD8"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К августу 1933 г. КБ АНТ подготовило проект и построило макет дальнего бомбардировщика, получившего внутреннее обозначение АНТ-36 и официальное – ДБ-1. Проект и макет были приняты заказчиком, и сразу же было решено запустить самолет ДБ-1 в серию на заводе № 18, построив первую партию машин в количестве 24 самолетов. Общий выпуск намечался в 50 машин.</w:t>
      </w:r>
    </w:p>
    <w:p w14:paraId="7B203A86" w14:textId="77777777" w:rsidR="007C6BD8" w:rsidRPr="00C33834" w:rsidRDefault="007C6BD8" w:rsidP="00C33834">
      <w:pPr>
        <w:pStyle w:val="rtecenter"/>
        <w:shd w:val="clear" w:color="auto" w:fill="FFFFFF"/>
        <w:tabs>
          <w:tab w:val="left" w:pos="3544"/>
        </w:tabs>
        <w:spacing w:before="0" w:after="0"/>
        <w:jc w:val="both"/>
        <w:textAlignment w:val="baseline"/>
        <w:rPr>
          <w:color w:val="000000" w:themeColor="text1"/>
          <w:sz w:val="16"/>
          <w:szCs w:val="16"/>
        </w:rPr>
      </w:pPr>
      <w:r w:rsidRPr="00C33834">
        <w:rPr>
          <w:color w:val="000000" w:themeColor="text1"/>
          <w:sz w:val="16"/>
          <w:szCs w:val="16"/>
        </w:rPr>
        <w:t>Еще в начале проектирования АНТ-25 (РД) предусматривалось создание его военного варианта для ВВС в качестве дальнего бомбардировщика и дальнего разведчика. Согласно ТТТ ВВС дальний бомбардировщик должен был иметь с бомбовой нагрузкой 1000 кг радиус 2000 км при крейсерской скорости 200 км/ч. Приоритет отдавался дальности полета, затем шла бомбовая нагрузка и наконец скорость (19185).</w:t>
      </w:r>
    </w:p>
    <w:p w14:paraId="1E722AEE" w14:textId="77777777" w:rsidR="007C6BD8" w:rsidRPr="00C33834" w:rsidRDefault="007C6BD8" w:rsidP="00C33834">
      <w:pPr>
        <w:pStyle w:val="rtecenter"/>
        <w:shd w:val="clear" w:color="auto" w:fill="FFFFFF"/>
        <w:tabs>
          <w:tab w:val="left" w:pos="3544"/>
        </w:tabs>
        <w:spacing w:before="0" w:after="0"/>
        <w:jc w:val="both"/>
        <w:textAlignment w:val="baseline"/>
        <w:rPr>
          <w:color w:val="000000" w:themeColor="text1"/>
          <w:sz w:val="16"/>
          <w:szCs w:val="16"/>
        </w:rPr>
      </w:pPr>
    </w:p>
    <w:p w14:paraId="1CE5B6DE" w14:textId="77777777" w:rsidR="007C6BD8" w:rsidRPr="00C33834" w:rsidRDefault="007C6BD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августу 1932 в ХАЗОС закончилась постройка К-7, которая началась в июле 1932 (2287,131).</w:t>
      </w:r>
    </w:p>
    <w:p w14:paraId="33A52449" w14:textId="77777777" w:rsidR="007C6BD8" w:rsidRPr="00C33834" w:rsidRDefault="007C6BD8" w:rsidP="00C33834">
      <w:pPr>
        <w:spacing w:after="0" w:line="240" w:lineRule="auto"/>
        <w:jc w:val="both"/>
        <w:rPr>
          <w:rFonts w:ascii="Times New Roman" w:hAnsi="Times New Roman"/>
          <w:color w:val="000000" w:themeColor="text1"/>
          <w:sz w:val="16"/>
          <w:szCs w:val="16"/>
        </w:rPr>
      </w:pPr>
    </w:p>
    <w:p w14:paraId="616DE2DA" w14:textId="77777777" w:rsidR="00E7214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FA4B955" w14:textId="77777777" w:rsidR="00E72149" w:rsidRPr="00C33834" w:rsidRDefault="00E72149" w:rsidP="00C33834">
      <w:pPr>
        <w:spacing w:after="0" w:line="240" w:lineRule="auto"/>
        <w:jc w:val="both"/>
        <w:rPr>
          <w:rFonts w:ascii="Times New Roman" w:hAnsi="Times New Roman"/>
          <w:iCs/>
          <w:color w:val="000000" w:themeColor="text1"/>
          <w:sz w:val="16"/>
          <w:szCs w:val="16"/>
        </w:rPr>
      </w:pPr>
    </w:p>
    <w:p w14:paraId="7D66E08B" w14:textId="77777777" w:rsidR="00E72149" w:rsidRPr="00C33834" w:rsidRDefault="00E7214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августу 1933 результаты продувок обработали и вместе с эскизным проектом самолета "Фьюри моноплейн" ("Фьюри"- моноплан) – будущего Харрикейна представили министерству авиации. Большого интереса они не вызвали, ибо чиновники все-таки более склонялись к проверенным бипланам. Кэмм продолжил работу на свой риск и за счет фирмы (он был не только главным конструктором, но и членом совета директоров). А деньги у "Хаукер" были - на базе "Харта" расплодилось большое семейство легких бомбардировщиков, разведчиков и тяжелых истребителей, ставшее одной из основных составных частей парка королевских   ВВС  в межвоенные годы. Более того, перестраховываясь, Кэмм делал сразу две машины: параллельно с "Фьюри"- монопланом готовился и биплан РУ.З, представлявший собой "Фьюри" с усиленным вооружением и тем же мотором "Госхок". Политика британского министерства авиации в отношении материальной части истребительной авиации в те годы определялась техническим заданием Р.7/30. Это задание было довольно "размытым", противоречивым, ибо исходило лишь из минимального прироста летных данных с сохранением маломощного вооружения и привычной тактики ближнего маневренного боя - т.н. "собачьей свалки". Максимальная скорость планировалась всего в 250 миль/час (403 км/ч). Продолжая принятую после Первой мировой войны традицию жесткой экономии, самолет хотели сделать универсальным. Он должен был быть и перехватчиком, и вести воздушный бой с истребителями противника у линии фронта, и сопровождать бомбардировщики. В итоге, обилие противоречивых требований сделало задание вообще трудновыполнимым. Задание Р.7/30 просуществовало долго, хотя время от времени в него вносили некоторые изменения. Так, в 1939 г. максимальную скорость подняли до 443 км/ч. Первоначально Кэмм исходил лишь из глубокой модернизации "Фьюри". Он решил превратить его в моноплан. В 1925 г. Кэмм уже создал небольшой истребитель-моноплан, но тот не имел успеха и не был запущен в серию. Теперь же он счел, что время монопланов пришло. В этом он не был одинок. По всему миру создавалось новое поколение скоростных истребителей, прозванное впоследствии на западе "новой волной". За основу приняли один из опытных вариантов - "Хай Спид Фьюри" ("скоростной"). Фюзеляж от него взяли почти целиком, хотя размеры шпангоутов в средней части увеличили, чтобы сделать кабину закрытой. Фюзеляж имел традиционную для "Хаукер” конструкцию, запатентованную еще Т.Сопвичем в 1926 г. – несущую ферму из труб, усиленную косыми расчалками, поверх которой одевались шпангоуты и стрингеры, лишь поддерживавшие полотняную обшивку. Перешло к моноплану и оперение. Шасси тоже сохранили старое: неубирающиеся свободнонесущие стойки и колеса в каплевидных обтекателях. Заново спроектировали лишь крыло довольно толстого профиля. На истребителе собирались установить новый двигатель фирмы Роллс-Ройс "Госхок" с испарительным охлаждением (15129).</w:t>
      </w:r>
    </w:p>
    <w:p w14:paraId="6EC13F8F" w14:textId="77777777" w:rsidR="00E72149" w:rsidRPr="00C33834" w:rsidRDefault="00E72149" w:rsidP="00C33834">
      <w:pPr>
        <w:spacing w:after="0" w:line="240" w:lineRule="auto"/>
        <w:jc w:val="both"/>
        <w:rPr>
          <w:rFonts w:ascii="Times New Roman" w:hAnsi="Times New Roman"/>
          <w:color w:val="000000" w:themeColor="text1"/>
          <w:sz w:val="16"/>
          <w:szCs w:val="16"/>
        </w:rPr>
      </w:pPr>
    </w:p>
    <w:p w14:paraId="06B055F3" w14:textId="77777777" w:rsidR="00487C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5DE0EA4" w14:textId="77777777" w:rsidR="00487C9C" w:rsidRPr="00C33834" w:rsidRDefault="00487C9C" w:rsidP="00C33834">
      <w:pPr>
        <w:spacing w:after="0" w:line="240" w:lineRule="auto"/>
        <w:jc w:val="both"/>
        <w:rPr>
          <w:rFonts w:ascii="Times New Roman" w:hAnsi="Times New Roman"/>
          <w:iCs/>
          <w:color w:val="000000" w:themeColor="text1"/>
          <w:sz w:val="16"/>
          <w:szCs w:val="16"/>
        </w:rPr>
      </w:pPr>
    </w:p>
    <w:p w14:paraId="22E4685F"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1933 прошли испытания самолета ТБ3 № 22311 с 4-мя моторами М17 Е=7,3 измененной конструкции (6637).</w:t>
      </w:r>
    </w:p>
    <w:p w14:paraId="2F84C03B"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p>
    <w:p w14:paraId="12CF685C"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39E34B7E"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ведущий испытания – Фролов</w:t>
      </w:r>
    </w:p>
    <w:p w14:paraId="5FD3F1D8"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 Байдуков</w:t>
      </w:r>
    </w:p>
    <w:p w14:paraId="60F1D9D6"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393ED5F0"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Определить в какой мере самолет с измененной конструкцией и проведенными облегчениями удовлетворяет техусловиям на поставку ТБ3. Определить вес облегченной конструкции, удобство работы штурмана в измененной носовой части – Ф-1, а также работу с укороченными ДЕР 25 и 26.</w:t>
      </w:r>
    </w:p>
    <w:p w14:paraId="3AA220F2"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78D6A5B3" w14:textId="77777777" w:rsidR="00487C9C" w:rsidRPr="00C33834" w:rsidRDefault="00487C9C" w:rsidP="00C33834">
      <w:pPr>
        <w:numPr>
          <w:ilvl w:val="0"/>
          <w:numId w:val="23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ТБ3 № 22311 измененной конструкции по своему конструктивному и производственному выполнению, а также по своим летным эксплуатационным данным техусловиям на поставку самолета ТБ3 вполне удовлетворяет.</w:t>
      </w:r>
    </w:p>
    <w:p w14:paraId="5D9FB04C" w14:textId="77777777" w:rsidR="00487C9C" w:rsidRPr="00C33834" w:rsidRDefault="00487C9C" w:rsidP="00C33834">
      <w:pPr>
        <w:numPr>
          <w:ilvl w:val="0"/>
          <w:numId w:val="23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Считать вес пустого самолета 10817 кг в дальнейшей работе по облегчению исходить из этого веса.</w:t>
      </w:r>
    </w:p>
    <w:p w14:paraId="523B3F95"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проведены кроме облетов в один летный день – 1 августа 1933 года (6637).</w:t>
      </w:r>
    </w:p>
    <w:p w14:paraId="46030727"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p>
    <w:p w14:paraId="7D363CB4"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 по 5 августа 1933 проходили испытания самолета И7 №4449 (эталон на 1933 год) с мотором М-17 № 262646 (6786).</w:t>
      </w:r>
    </w:p>
    <w:p w14:paraId="24C3C7EB"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p>
    <w:p w14:paraId="05D94609"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7B607B91"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Проверка летных данных самолета И7-М17 № 4449 эталона на 1933 год после улучшения обтекателей узлов стоек, новых моторных капотов и установки обтекателя на колесах.</w:t>
      </w:r>
    </w:p>
    <w:p w14:paraId="3F7161A3"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7BBB7CB5" w14:textId="77777777" w:rsidR="00487C9C" w:rsidRPr="00C33834" w:rsidRDefault="00487C9C" w:rsidP="00C33834">
      <w:pPr>
        <w:numPr>
          <w:ilvl w:val="0"/>
          <w:numId w:val="23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И7-М17 № 4449 может быть утвержден как эталон на 1933 год (с доработками).</w:t>
      </w:r>
    </w:p>
    <w:p w14:paraId="62AC2B6E"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020B0896"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Часовиков</w:t>
      </w:r>
    </w:p>
    <w:p w14:paraId="7C550C00"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Кокинаки</w:t>
      </w:r>
    </w:p>
    <w:p w14:paraId="65BA4DF7"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p w14:paraId="374DF823"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получен с завода № 1 - 1 августа 1933 года</w:t>
      </w:r>
    </w:p>
    <w:p w14:paraId="453536C6"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километраж по программе - 2 августа 1933 года</w:t>
      </w:r>
    </w:p>
    <w:p w14:paraId="25831E87"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и скорости по высотам – 3 августа 1933 года</w:t>
      </w:r>
    </w:p>
    <w:p w14:paraId="3236D74B"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и скорости по высотам – 3 августа 1933 года</w:t>
      </w:r>
    </w:p>
    <w:p w14:paraId="7CEE1F33"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Второй километраж по программе - 3 августа 1933 года</w:t>
      </w:r>
    </w:p>
    <w:p w14:paraId="562FE841"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Километраж без обтекателей на колесах - 4 августа 1933 года</w:t>
      </w:r>
    </w:p>
    <w:p w14:paraId="06EDE1DB"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бомбометание учебными бомбами - 4 августа 1933 года</w:t>
      </w:r>
    </w:p>
    <w:p w14:paraId="6EFE32AC"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сдан на завод № 1 – 5 августа 1933 года (6786).</w:t>
      </w:r>
    </w:p>
    <w:p w14:paraId="28EADF74"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p>
    <w:p w14:paraId="558B3F6E"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августа 1933 И-5 был самым дорогим советским истребителем и стоил 56.4 тыс. по сравнению с 38.5 - И-4 и 50 - И-7 (191,27).</w:t>
      </w:r>
    </w:p>
    <w:p w14:paraId="5A0D3414"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4793CA4B"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1933 В записе ОГПУ Г.Ягода докладывал "...На ряде заводов существует система премирования работников ОТК и военприемки за количество сданной заводом продукции, благодаря чему, естественно, ослабляется внимание к ее качеству" (1566,94).</w:t>
      </w:r>
    </w:p>
    <w:p w14:paraId="0BC46FB9"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09FEC2D5" w14:textId="77777777" w:rsidR="006474C8" w:rsidRPr="00C33834" w:rsidRDefault="006474C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августа в 1933 году начинаются регулярные рейсы по маршруту Тбилиси-Ереван на самолете </w:t>
      </w:r>
      <w:hyperlink r:id="rId276" w:tgtFrame="_blank" w:history="1">
        <w:r w:rsidRPr="00C33834">
          <w:rPr>
            <w:rFonts w:ascii="Times New Roman" w:hAnsi="Times New Roman"/>
            <w:color w:val="000000" w:themeColor="text1"/>
            <w:sz w:val="16"/>
            <w:szCs w:val="16"/>
          </w:rPr>
          <w:t xml:space="preserve">«К-5». </w:t>
        </w:r>
      </w:hyperlink>
    </w:p>
    <w:p w14:paraId="0D8528D1" w14:textId="77777777" w:rsidR="006474C8" w:rsidRPr="00C33834" w:rsidRDefault="006474C8" w:rsidP="00C33834">
      <w:pPr>
        <w:spacing w:after="0" w:line="240" w:lineRule="auto"/>
        <w:jc w:val="both"/>
        <w:rPr>
          <w:rFonts w:ascii="Times New Roman" w:hAnsi="Times New Roman"/>
          <w:color w:val="000000" w:themeColor="text1"/>
          <w:sz w:val="16"/>
          <w:szCs w:val="16"/>
        </w:rPr>
      </w:pPr>
    </w:p>
    <w:p w14:paraId="487B9FAF" w14:textId="77777777" w:rsidR="00487C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lastRenderedPageBreak/>
        <w:t>Другие оборонные отрасли:</w:t>
      </w:r>
    </w:p>
    <w:p w14:paraId="49A9DA89" w14:textId="77777777" w:rsidR="00487C9C" w:rsidRPr="00C33834" w:rsidRDefault="00487C9C" w:rsidP="00C33834">
      <w:pPr>
        <w:spacing w:after="0" w:line="240" w:lineRule="auto"/>
        <w:jc w:val="both"/>
        <w:rPr>
          <w:rFonts w:ascii="Times New Roman" w:hAnsi="Times New Roman"/>
          <w:iCs/>
          <w:color w:val="000000" w:themeColor="text1"/>
          <w:sz w:val="16"/>
          <w:szCs w:val="16"/>
        </w:rPr>
      </w:pPr>
    </w:p>
    <w:p w14:paraId="14318B12"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C 1 по 15 августа 1933 на НИАП проводилась показательная стрельба из СУ-14 с 203-мм гаубицей Б-4 в присутствии маршала Ворошилова. После этого СУ-14 долго ремонтировалась и модернизировалась ( в основном ходовая часть) (3861).</w:t>
      </w:r>
    </w:p>
    <w:p w14:paraId="4BB0E816"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5CC476D2"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 августа 1933 года Московский автосборочный завод имени КИМ получил статус филиала Горьковского автозавода (ГАЗ) и полностью перешел на сборку грузовых автомобилей ГАЗ-АА («полуторка») и комбайновых двигателей только из отечественных комплектующих, поставляемых Нижегородским автозаводом и его поставщиками. В 1935-1937-х годах без остановки производства была проведена реконструкция завода, ставившая целью довести его производительность до 60 тыс. автомобилей в год (200 автомобилей в сутки), а также освоение выпуска модернизированной «полуторки» ГАЗ-АА и легкового автомобиля М-1 (однако, в последствии ГАЗ отказался от планов сборки модели М-1 на своем московском филиале и ни один товарный автомобиль этой модели произведен на нем не был) (10766).</w:t>
      </w:r>
    </w:p>
    <w:p w14:paraId="780F4687"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7D11ACFD" w14:textId="77777777" w:rsidR="00487C9C" w:rsidRPr="00C33834" w:rsidRDefault="00487C9C"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С 1 августа 1933 года Московский автосборочный завод имени КИМ получил статус филиала Горьковского автозавода (ГАЗ) и полностью перешел на сборку грузовых автомобилей ГАЗ-АА («полуторка») и комбайновых двигателей только из отечественных комплектующих, поставляемых Нижегородским автозаводом и его поставщиками (11580).</w:t>
      </w:r>
    </w:p>
    <w:p w14:paraId="2A26612B" w14:textId="77777777" w:rsidR="00487C9C" w:rsidRPr="00C33834" w:rsidRDefault="00487C9C" w:rsidP="00C33834">
      <w:pPr>
        <w:pStyle w:val="af2"/>
        <w:jc w:val="both"/>
        <w:rPr>
          <w:i w:val="0"/>
          <w:iCs w:val="0"/>
          <w:color w:val="000000" w:themeColor="text1"/>
          <w:spacing w:val="0"/>
          <w:kern w:val="0"/>
          <w:position w:val="0"/>
          <w:sz w:val="16"/>
          <w:szCs w:val="16"/>
          <w:lang w:val="ru-RU"/>
        </w:rPr>
      </w:pPr>
    </w:p>
    <w:p w14:paraId="1D6A80D2" w14:textId="77777777" w:rsidR="006474C8" w:rsidRPr="00C33834" w:rsidRDefault="006474C8" w:rsidP="00C33834">
      <w:pPr>
        <w:pStyle w:val="rtejustify"/>
        <w:spacing w:before="0" w:after="0"/>
        <w:rPr>
          <w:color w:val="000000" w:themeColor="text1"/>
          <w:sz w:val="16"/>
          <w:szCs w:val="16"/>
        </w:rPr>
      </w:pPr>
      <w:r w:rsidRPr="00C33834">
        <w:rPr>
          <w:rStyle w:val="af0"/>
          <w:bCs/>
          <w:i w:val="0"/>
          <w:color w:val="000000" w:themeColor="text1"/>
          <w:sz w:val="16"/>
          <w:szCs w:val="16"/>
        </w:rPr>
        <w:t>1 августа</w:t>
      </w:r>
      <w:r w:rsidRPr="00C33834">
        <w:rPr>
          <w:color w:val="000000" w:themeColor="text1"/>
          <w:sz w:val="16"/>
          <w:szCs w:val="16"/>
        </w:rPr>
        <w:t xml:space="preserve"> 1933. Протокол заседания Политбюро ЦК ВКП (б) № 142. </w:t>
      </w:r>
      <w:hyperlink r:id="rId277" w:anchor="showunit&amp;id=87074" w:history="1">
        <w:r w:rsidRPr="00C33834">
          <w:rPr>
            <w:rStyle w:val="a5"/>
            <w:color w:val="000000" w:themeColor="text1"/>
            <w:sz w:val="16"/>
            <w:szCs w:val="16"/>
          </w:rPr>
          <w:t>2. Предложение Ворошилова о подводной лодке</w:t>
        </w:r>
      </w:hyperlink>
      <w:r w:rsidRPr="00C33834">
        <w:rPr>
          <w:color w:val="000000" w:themeColor="text1"/>
          <w:sz w:val="16"/>
          <w:szCs w:val="16"/>
        </w:rPr>
        <w:t xml:space="preserve"> (Ворошилов). — ОП. Решено: проект договора с немецкой фирмой о подводной лодке утвердить и передать на окончательное редактирование тт. Ворошилова и Пятакова. </w:t>
      </w:r>
      <w:hyperlink r:id="rId278" w:anchor="showunit&amp;id=87092" w:history="1">
        <w:r w:rsidRPr="00C33834">
          <w:rPr>
            <w:rStyle w:val="a5"/>
            <w:color w:val="000000" w:themeColor="text1"/>
            <w:sz w:val="16"/>
            <w:szCs w:val="16"/>
          </w:rPr>
          <w:t>36/22. Об экспортно-импортном и валютном планах на III квартал 1933 г.</w:t>
        </w:r>
      </w:hyperlink>
      <w:r w:rsidRPr="00C33834">
        <w:rPr>
          <w:color w:val="000000" w:themeColor="text1"/>
          <w:sz w:val="16"/>
          <w:szCs w:val="16"/>
        </w:rPr>
        <w:t xml:space="preserve"> (ПБ от 21 июля 1933 г.). — ОП. Решено утвердить решения Валютной комиссии по экспортно-импортному и валютному планам на 3 квартал 1933 г. по Западу и Востоку и по плану Торгсина на 3 квартал 1933 г. со следующими дополнениями и поправками: а) концентрация в 3 квартале 50 млн. пудов; б) план экспорта топлива на август и сентябрь обсудить особо; в) обсудить особо экспорт глицерина; г) план сдачи сала Торгсину вместо 800 тонн утвердить 500 тонн; план сдачи сахара Торгсину вместо 10 тыс. тонн утвердить 8 тыс. тонн; исключить из плана сахар в 3 квартале на Монголию и Туву с тем, чтобы вопросы об увеличении плана сдачи сала и сахара Торгсину и о сахаре в 3 квартале на Монголию и Туву обсудить дополнительно вместе с остальными отложенными вопросами. В постановлении Валютной комиссии определены конкретные задания по объемам импорта, экспорта и по неторговой части в отдельных регионах: Запад, Восток, Монголия, Тува, Западный Китай, Афганистан, Персия. В целях обеспечения выполнения валютного и экспортного планов в 3 квартале 1933 г., Валютная комиссия обязала соответствующие ведомства и наркоматы (Главзолото, Главцветмет, Главнефть, Главрыба, Главвоздухфлот, Наркомвод, Наркомлегпром, Наркомтяжпром) обеспечить своевременное производство продукции на экспорт, завершить строительство и переоборудование сопутствующих предприятий, а также доставку экспортных грузов в морские порты. </w:t>
      </w:r>
      <w:hyperlink r:id="rId279" w:anchor="showunit&amp;id=87110" w:history="1">
        <w:r w:rsidRPr="00C33834">
          <w:rPr>
            <w:rStyle w:val="a5"/>
            <w:color w:val="000000" w:themeColor="text1"/>
            <w:sz w:val="16"/>
            <w:szCs w:val="16"/>
          </w:rPr>
          <w:t>52/38. Об алюминиевой промышленности</w:t>
        </w:r>
      </w:hyperlink>
      <w:r w:rsidRPr="00C33834">
        <w:rPr>
          <w:color w:val="000000" w:themeColor="text1"/>
          <w:sz w:val="16"/>
          <w:szCs w:val="16"/>
        </w:rPr>
        <w:t xml:space="preserve"> (ПБ от 26 июля 1933 г.). Решено утвердить следующее постановление СТО: 1. Констатируя значительные успехи в деле создания советской алюминиевой промышленности, отметить, однако, отставание пуска алюминиевых предприятий против установленных ранее Правительством сроков. 2. Обязать НКТП добиться в 3 квартале с. г. полного освоения проектной мощности по Волховскому глиноземному заводу. 3. Обязать НКТП и исполняющего обязанности начальника Днепровского объединенного строительства Михайлова всемерно форсировать строительно-монтажные работы по Днепровскому алюминиевому комбинату с тем, чтобы обеспечить пуск глиноземного завода в 4 квартале с. г. Одновременно форсировать доработку технологического метода на Ленинградском опытном заводе Союзалюминия. 4. Отметить значительную задержку в выполнении задания в отношении подготовительных и строительных работ по Тихвину, Уралу и Кандалакше, обязав НКТПром усилить эти работы с тем, чтобы обеспечить приступ к широкому развороту строительных работ, начиная с 1934 года. 5. Подтвердить решение НКТП об увеличении программы выплавки алюминия в 3 квартале с 1100 до 1800 тонн, забронировав добавочные 700 тонн металла исключительно на производство кабелей для высоковольтных линий передач (15462).</w:t>
      </w:r>
    </w:p>
    <w:p w14:paraId="19DCB5BC" w14:textId="77777777" w:rsidR="006474C8" w:rsidRPr="00C33834" w:rsidRDefault="006474C8" w:rsidP="00C33834">
      <w:pPr>
        <w:pStyle w:val="rtejustify"/>
        <w:spacing w:before="0" w:after="0"/>
        <w:rPr>
          <w:color w:val="000000" w:themeColor="text1"/>
          <w:sz w:val="16"/>
          <w:szCs w:val="16"/>
        </w:rPr>
      </w:pPr>
    </w:p>
    <w:p w14:paraId="43349EAD" w14:textId="77777777" w:rsidR="006474C8" w:rsidRPr="00C33834" w:rsidRDefault="006474C8"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color w:val="000000" w:themeColor="text1"/>
          <w:sz w:val="16"/>
          <w:szCs w:val="16"/>
        </w:rPr>
        <w:t>1 августа 1933 г. Протокол ПБ № 142 п.52/38: Об алюминиевой промышленности. Решено утвердить следующее постановление СТО: 1. Констатируя значительные успехи в деле создания советской алюминиевой промышленности, отметить, однако, отставание пуска алюминиевых предприятий против установленных ранее Правительством сроков. 2. Обязать НКТП добиться в 3 квартале с.г. полного освоения проектной мощности по Волховскому глиноземному заводу. 3. Обязать НКТП и исполняющего обязанности начальника Днепровского объединенного строительства Михайлова всемерно форсировать строительно-монтажные работы по Днепровскому алюминиевому комбинату с тем, чтобы обеспечить пуск глиноземного завода в 4 квартале с.г. Одновременно форсировать доработку технологического метода на Ленинградском опытном заводе Союзалюминия. 4. Отметить значительную задержку в выполнении задания в отношении подготовительных и строительных работ по Тихвину, Уралу и Кандалакше, обязав НКТПром усилить эти работы с тем, чтобы обеспечить приступ к широкому развороту строительных работ, начиная с 1934 года. 5. Подтвердить решение НКТП об увеличении программы выплавки алюминия в 3 квартале с 1100 до 1800 тонн, забронировав добавочные 700 тонн металла исключительно на производство кабелей для высоковольтных линий передач (15882).</w:t>
      </w:r>
    </w:p>
    <w:p w14:paraId="54B82139" w14:textId="77777777" w:rsidR="006474C8" w:rsidRPr="00C33834" w:rsidRDefault="006474C8" w:rsidP="00C33834">
      <w:pPr>
        <w:spacing w:after="0" w:line="240" w:lineRule="auto"/>
        <w:jc w:val="both"/>
        <w:rPr>
          <w:rFonts w:ascii="Times New Roman" w:hAnsi="Times New Roman"/>
          <w:iCs/>
          <w:color w:val="000000" w:themeColor="text1"/>
          <w:sz w:val="16"/>
          <w:szCs w:val="16"/>
        </w:rPr>
      </w:pPr>
    </w:p>
    <w:p w14:paraId="36DF6166" w14:textId="77777777" w:rsidR="003E6E3B" w:rsidRPr="00C33834" w:rsidRDefault="003E6E3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1933</w:t>
      </w:r>
    </w:p>
    <w:p w14:paraId="32A849CA" w14:textId="77777777" w:rsidR="003E6E3B" w:rsidRPr="00C33834" w:rsidRDefault="003E6E3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Протокол № 142 заседания Политбюро ЦК ВКП(б) от 1 августа 1933 года</w:t>
      </w:r>
    </w:p>
    <w:p w14:paraId="7D23AC03" w14:textId="77777777" w:rsidR="003E6E3B" w:rsidRPr="00C33834" w:rsidRDefault="003E6E3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Заседание Политбюро ЦК ВКП(б) от 1</w:t>
      </w:r>
      <w:r w:rsidRPr="00C33834">
        <w:rPr>
          <w:rFonts w:ascii="Times New Roman" w:hAnsi="Times New Roman"/>
          <w:color w:val="000000" w:themeColor="text1"/>
          <w:sz w:val="16"/>
          <w:szCs w:val="16"/>
        </w:rPr>
        <w:noBreakHyphen/>
        <w:t>го августа 1933 года.</w:t>
      </w:r>
    </w:p>
    <w:p w14:paraId="5C8AE2ED" w14:textId="77777777" w:rsidR="003E6E3B" w:rsidRPr="00C33834" w:rsidRDefault="003E6E3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Решения Политбюро от 1.VIII.1933 г.</w:t>
      </w:r>
    </w:p>
    <w:p w14:paraId="57309768" w14:textId="77777777" w:rsidR="003E6E3B" w:rsidRPr="00C33834" w:rsidRDefault="003E6E3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2: Предложение т. Ворошилова о подводной лодке</w:t>
      </w:r>
    </w:p>
    <w:p w14:paraId="7E2D4D8A" w14:textId="77777777" w:rsidR="003E6E3B" w:rsidRPr="00C33834" w:rsidRDefault="003E6E3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(Ворошилов).</w:t>
      </w:r>
    </w:p>
    <w:p w14:paraId="2B04A264" w14:textId="77777777" w:rsidR="003E6E3B" w:rsidRPr="00C33834" w:rsidRDefault="003E6E3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 особая папка.</w:t>
      </w:r>
    </w:p>
    <w:p w14:paraId="6BD6A886" w14:textId="77777777" w:rsidR="003E6E3B" w:rsidRPr="00C33834" w:rsidRDefault="003E6E3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 договора с немецкой фирмой о подводной лодке утвердить и передать на окончательное редактирование т.т. Ворошилова и Пятакова.</w:t>
      </w:r>
    </w:p>
    <w:p w14:paraId="250C007C" w14:textId="77777777" w:rsidR="003E6E3B" w:rsidRPr="00C33834" w:rsidRDefault="003E6E3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Выписки посланы:</w:t>
      </w:r>
    </w:p>
    <w:p w14:paraId="587B6CC9" w14:textId="77777777" w:rsidR="003E6E3B" w:rsidRPr="00C33834" w:rsidRDefault="003E6E3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Ворошилову, Пятакову.</w:t>
      </w:r>
    </w:p>
    <w:p w14:paraId="12094FC3" w14:textId="77777777" w:rsidR="003E6E3B" w:rsidRPr="00C33834" w:rsidRDefault="003E6E3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13: О подготовке и проведении всесоюзного праздника воздушного флота</w:t>
      </w:r>
    </w:p>
    <w:p w14:paraId="0A459F2B" w14:textId="77777777" w:rsidR="003E6E3B" w:rsidRPr="00C33834" w:rsidRDefault="003E6E3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(Ворошилов, Гольцман).</w:t>
      </w:r>
    </w:p>
    <w:p w14:paraId="2BF7F85C" w14:textId="77777777" w:rsidR="003E6E3B" w:rsidRPr="00C33834" w:rsidRDefault="003E6E3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Создать для подготовки и проведения всесоюзного праздника воздушного флота комиссию в составе т.т. Антипова, Эйдемана, Алксниса, Гольцмана, Баранова, Косарева, Усова, Николаевой и представителей от ВЦСПС и “Динамо”.</w:t>
      </w:r>
    </w:p>
    <w:p w14:paraId="62FF9CB0" w14:textId="77777777" w:rsidR="003E6E3B" w:rsidRPr="00C33834" w:rsidRDefault="003E6E3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Созыв комиссии за т. Антиповым.</w:t>
      </w:r>
    </w:p>
    <w:p w14:paraId="032AFFC8" w14:textId="77777777" w:rsidR="003E6E3B" w:rsidRPr="00C33834" w:rsidRDefault="003E6E3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20/6: О разрешении т. Осинскому полета на аэроплане</w:t>
      </w:r>
    </w:p>
    <w:p w14:paraId="23A34817" w14:textId="77777777" w:rsidR="003E6E3B" w:rsidRPr="00C33834" w:rsidRDefault="003E6E3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Разрешить т. Осинскому поездку на аэроплане на Украину и Северный Кавказ.</w:t>
      </w:r>
    </w:p>
    <w:p w14:paraId="4A11692F" w14:textId="77777777" w:rsidR="003E6E3B" w:rsidRPr="00C33834" w:rsidRDefault="003E6E3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21/7: О машинах для Интуриста</w:t>
      </w:r>
    </w:p>
    <w:p w14:paraId="18FCFDDA" w14:textId="77777777" w:rsidR="003E6E3B" w:rsidRPr="00C33834" w:rsidRDefault="003E6E3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гараж ЦИК Союза и автобазу СНК выделить не менее 60% автомашин с шоферами в распоряжение Интуриста на следующие дни:</w:t>
      </w:r>
    </w:p>
    <w:p w14:paraId="3CA35C80" w14:textId="77777777" w:rsidR="003E6E3B" w:rsidRPr="00C33834" w:rsidRDefault="003E6E3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июль — 23, 24, 29, 30;</w:t>
      </w:r>
    </w:p>
    <w:p w14:paraId="62207F34" w14:textId="77777777" w:rsidR="003E6E3B" w:rsidRPr="00C33834" w:rsidRDefault="003E6E3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август — 12, 13.</w:t>
      </w:r>
    </w:p>
    <w:p w14:paraId="13BCCC87" w14:textId="77777777" w:rsidR="003E6E3B" w:rsidRPr="00C33834" w:rsidRDefault="003E6E3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52/38: Об алюминиевой промышленности</w:t>
      </w:r>
    </w:p>
    <w:p w14:paraId="4CFF1A54" w14:textId="77777777" w:rsidR="003E6E3B" w:rsidRPr="00C33834" w:rsidRDefault="003E6E3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Утвердить следующее постановление СТО:</w:t>
      </w:r>
    </w:p>
    <w:p w14:paraId="71A1E6B3" w14:textId="77777777" w:rsidR="003E6E3B" w:rsidRPr="00C33834" w:rsidRDefault="003E6E3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Констатируя значительные успехи в деле создания советской алюминиевой промышленности, отметить, однако, отставание пуска алюминиевых предприятий против установленных ранее Правительством сроков.</w:t>
      </w:r>
    </w:p>
    <w:p w14:paraId="6B1C473A" w14:textId="77777777" w:rsidR="003E6E3B" w:rsidRPr="00C33834" w:rsidRDefault="003E6E3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Обязать НКТП добиться в III квартале с. г. полного освоения проектной мощности по Волховскому глиноземному заводу.</w:t>
      </w:r>
    </w:p>
    <w:p w14:paraId="36E572FB" w14:textId="77777777" w:rsidR="003E6E3B" w:rsidRPr="00C33834" w:rsidRDefault="003E6E3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Обязать НКТП и исполняющего обязанности начальника Днепровского объединенного строительства т. Михайлова всемерно форсировать строительно-монтажные работы по днепровскому алюминиевому комбинату с тем, чтобы обеспечить пуск глиноземного завода в IV квартале с. г. Одновременно форсировать доработку технологического метода на Ленинградском опытном заводе Союзалюминия.</w:t>
      </w:r>
    </w:p>
    <w:p w14:paraId="1B78EB37" w14:textId="77777777" w:rsidR="003E6E3B" w:rsidRPr="00C33834" w:rsidRDefault="003E6E3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Отметить значительную задержку в выполнении задания в отношении подготовительных и строительных работ по Тихвину, Уралу и Кандалакше, обязав НКТПром усилить эти работы с тем, чтобы обеспечить приступ к широкому развороту строительных работ, начиная с 1934 года.</w:t>
      </w:r>
    </w:p>
    <w:p w14:paraId="08E46344" w14:textId="77777777" w:rsidR="003E6E3B" w:rsidRPr="00C33834" w:rsidRDefault="003E6E3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Подтвердить решение НКТП об увеличении программы выплавки алюминия в III квартале с 1.100 до 1.800 тонн, забронировав добавочные 700 тонн металла исключительно на производство кабелей для высоковольтных линии передач (18066).</w:t>
      </w:r>
    </w:p>
    <w:p w14:paraId="3CC0E9B7" w14:textId="77777777" w:rsidR="003E6E3B" w:rsidRPr="00C33834" w:rsidRDefault="003E6E3B" w:rsidP="00C33834">
      <w:pPr>
        <w:spacing w:after="0" w:line="240" w:lineRule="auto"/>
        <w:jc w:val="both"/>
        <w:rPr>
          <w:rFonts w:ascii="Times New Roman" w:hAnsi="Times New Roman"/>
          <w:color w:val="000000" w:themeColor="text1"/>
          <w:sz w:val="16"/>
          <w:szCs w:val="16"/>
        </w:rPr>
      </w:pPr>
    </w:p>
    <w:p w14:paraId="4FD2EC4B" w14:textId="77777777" w:rsidR="00487C9C" w:rsidRPr="00C33834" w:rsidRDefault="00487C9C"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1933 г. была подготовлена записка зампредседателя ОПТУ Г.Ягоды в СНК СССР «...На ряде заводов, — пишет Яго</w:t>
      </w:r>
      <w:r w:rsidRPr="00C33834">
        <w:rPr>
          <w:rFonts w:ascii="Times New Roman" w:hAnsi="Times New Roman"/>
          <w:color w:val="000000" w:themeColor="text1"/>
          <w:sz w:val="16"/>
          <w:szCs w:val="16"/>
        </w:rPr>
        <w:softHyphen/>
        <w:t>да, — существует система премирования работников ОТК и военприемки за количество сданной заводом продукции, благодаря чему, естественно, ослабляется внимание к ее качеству» (ГАРФ ф. 8418, оп. 8, д. 175, л. 5) (1566,84).</w:t>
      </w:r>
    </w:p>
    <w:p w14:paraId="69BFD8C7" w14:textId="77777777" w:rsidR="00487C9C" w:rsidRPr="00C33834" w:rsidRDefault="00487C9C" w:rsidP="00C33834">
      <w:pPr>
        <w:shd w:val="clear" w:color="auto" w:fill="FFFFFF"/>
        <w:spacing w:after="0" w:line="240" w:lineRule="auto"/>
        <w:jc w:val="both"/>
        <w:rPr>
          <w:rFonts w:ascii="Times New Roman" w:hAnsi="Times New Roman"/>
          <w:color w:val="000000" w:themeColor="text1"/>
          <w:sz w:val="16"/>
          <w:szCs w:val="16"/>
        </w:rPr>
      </w:pPr>
    </w:p>
    <w:p w14:paraId="7FEC3AD5" w14:textId="77777777" w:rsidR="00D7310A" w:rsidRPr="00C33834" w:rsidRDefault="00D7310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 августа – 27 октября 1933 г. войсковые испытания радио катеров системы Остехбюро в районе Пейпия Балтийского моря. Председатель комиссии – заместитель начальника штаба Морских дел В.М. Орлов. Комиссия вынесла заключение, что аппаратура торпедных катеров типа Ш-4 134 системы Остехбюро пригодна для вооружения ВМС РККА (18667).</w:t>
      </w:r>
    </w:p>
    <w:p w14:paraId="2499F6D7" w14:textId="77777777" w:rsidR="00D7310A" w:rsidRPr="00C33834" w:rsidRDefault="00D7310A" w:rsidP="00C33834">
      <w:pPr>
        <w:spacing w:after="0" w:line="240" w:lineRule="auto"/>
        <w:jc w:val="both"/>
        <w:rPr>
          <w:rFonts w:ascii="Times New Roman" w:hAnsi="Times New Roman"/>
          <w:color w:val="000000" w:themeColor="text1"/>
          <w:sz w:val="16"/>
          <w:szCs w:val="16"/>
        </w:rPr>
      </w:pPr>
    </w:p>
    <w:p w14:paraId="2495F2F1" w14:textId="77777777" w:rsidR="00D759F6" w:rsidRPr="00C33834" w:rsidRDefault="00D759F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августа 1933 состоялось заседание ПБ и был оформлен протокол № 142</w:t>
      </w:r>
    </w:p>
    <w:p w14:paraId="2795D6AD" w14:textId="77777777" w:rsidR="00D759F6" w:rsidRPr="00C33834" w:rsidRDefault="00D759F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Предложение т.Ворошилова о подводной лодке, (т.Ворошилов).</w:t>
      </w:r>
    </w:p>
    <w:p w14:paraId="3A597D7F" w14:textId="77777777" w:rsidR="00D759F6" w:rsidRPr="00C33834" w:rsidRDefault="00D759F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Проект договора с немецкой Фирмой о подводной лодке утвердить и передать на окончательное редактирование</w:t>
      </w:r>
    </w:p>
    <w:p w14:paraId="16303207" w14:textId="77777777" w:rsidR="00D759F6" w:rsidRPr="00C33834" w:rsidRDefault="00D759F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Выписка послана: т.т. Ворошилову Пятакову (22992).</w:t>
      </w:r>
    </w:p>
    <w:p w14:paraId="51FBF58F" w14:textId="77777777" w:rsidR="00D759F6" w:rsidRPr="00C33834" w:rsidRDefault="00D759F6" w:rsidP="00C33834">
      <w:pPr>
        <w:spacing w:after="0" w:line="240" w:lineRule="auto"/>
        <w:jc w:val="both"/>
        <w:rPr>
          <w:rFonts w:ascii="Times New Roman" w:hAnsi="Times New Roman"/>
          <w:color w:val="0070C0"/>
          <w:sz w:val="16"/>
          <w:szCs w:val="16"/>
        </w:rPr>
      </w:pPr>
    </w:p>
    <w:p w14:paraId="419F5A84" w14:textId="77777777" w:rsidR="00487C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19604D93" w14:textId="77777777" w:rsidR="00487C9C" w:rsidRPr="00C33834" w:rsidRDefault="00487C9C" w:rsidP="00C33834">
      <w:pPr>
        <w:spacing w:after="0" w:line="240" w:lineRule="auto"/>
        <w:jc w:val="both"/>
        <w:rPr>
          <w:rFonts w:ascii="Times New Roman" w:hAnsi="Times New Roman"/>
          <w:iCs/>
          <w:color w:val="000000" w:themeColor="text1"/>
          <w:sz w:val="16"/>
          <w:szCs w:val="16"/>
        </w:rPr>
      </w:pPr>
    </w:p>
    <w:p w14:paraId="1E8CCF28"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1933 Москва.ВЦИК и СНК приняли новый Исправительно-трудовой Кодекс (ИТК СССР) (10687).</w:t>
      </w:r>
    </w:p>
    <w:p w14:paraId="1AF3E157"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191875BD" w14:textId="77777777" w:rsidR="00487C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A6990CD" w14:textId="77777777" w:rsidR="00487C9C" w:rsidRPr="00C33834" w:rsidRDefault="00487C9C" w:rsidP="00C33834">
      <w:pPr>
        <w:spacing w:after="0" w:line="240" w:lineRule="auto"/>
        <w:jc w:val="both"/>
        <w:rPr>
          <w:rFonts w:ascii="Times New Roman" w:hAnsi="Times New Roman"/>
          <w:iCs/>
          <w:color w:val="000000" w:themeColor="text1"/>
          <w:sz w:val="16"/>
          <w:szCs w:val="16"/>
        </w:rPr>
      </w:pPr>
    </w:p>
    <w:p w14:paraId="1EE4EAB5"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августа 1933 года был утвержден пом. нач. ГУАП как временный со дня опубликования.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F26F01" w:rsidRPr="00C33834" w14:paraId="489D7B56" w14:textId="77777777">
        <w:tc>
          <w:tcPr>
            <w:tcW w:w="2818" w:type="dxa"/>
          </w:tcPr>
          <w:p w14:paraId="4F0CDA40"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НКТП</w:t>
            </w:r>
          </w:p>
        </w:tc>
        <w:tc>
          <w:tcPr>
            <w:tcW w:w="2818" w:type="dxa"/>
          </w:tcPr>
          <w:p w14:paraId="3B1DA171"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Глававиапром</w:t>
            </w:r>
          </w:p>
        </w:tc>
        <w:tc>
          <w:tcPr>
            <w:tcW w:w="2818" w:type="dxa"/>
          </w:tcPr>
          <w:p w14:paraId="7AC73DDF"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Объединенное бюро стандартизации (ОБСА)</w:t>
            </w:r>
          </w:p>
        </w:tc>
      </w:tr>
      <w:tr w:rsidR="00F26F01" w:rsidRPr="00C33834" w14:paraId="04B1724D" w14:textId="77777777">
        <w:tc>
          <w:tcPr>
            <w:tcW w:w="2818" w:type="dxa"/>
          </w:tcPr>
          <w:p w14:paraId="5C917EA9"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Ведомственный стандарт</w:t>
            </w:r>
          </w:p>
        </w:tc>
        <w:tc>
          <w:tcPr>
            <w:tcW w:w="2818" w:type="dxa"/>
          </w:tcPr>
          <w:p w14:paraId="54B5133A" w14:textId="77777777" w:rsidR="00487C9C" w:rsidRPr="00C33834" w:rsidRDefault="00487C9C" w:rsidP="00C33834">
            <w:pPr>
              <w:spacing w:after="0" w:line="240" w:lineRule="auto"/>
              <w:jc w:val="both"/>
              <w:rPr>
                <w:rFonts w:ascii="Times New Roman" w:hAnsi="Times New Roman"/>
                <w:color w:val="000000" w:themeColor="text1"/>
                <w:sz w:val="16"/>
                <w:szCs w:val="16"/>
              </w:rPr>
            </w:pPr>
          </w:p>
        </w:tc>
        <w:tc>
          <w:tcPr>
            <w:tcW w:w="2818" w:type="dxa"/>
          </w:tcPr>
          <w:p w14:paraId="41AF7F3F"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 СТУ</w:t>
            </w:r>
          </w:p>
        </w:tc>
      </w:tr>
      <w:tr w:rsidR="00F26F01" w:rsidRPr="00C33834" w14:paraId="70E80B0E" w14:textId="77777777">
        <w:tc>
          <w:tcPr>
            <w:tcW w:w="2818" w:type="dxa"/>
          </w:tcPr>
          <w:p w14:paraId="267AA25B"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Р-5а</w:t>
            </w:r>
          </w:p>
        </w:tc>
        <w:tc>
          <w:tcPr>
            <w:tcW w:w="2818" w:type="dxa"/>
          </w:tcPr>
          <w:p w14:paraId="49B3413E" w14:textId="77777777" w:rsidR="00487C9C" w:rsidRPr="00C33834" w:rsidRDefault="00487C9C" w:rsidP="00C33834">
            <w:pPr>
              <w:spacing w:after="0" w:line="240" w:lineRule="auto"/>
              <w:jc w:val="both"/>
              <w:rPr>
                <w:rFonts w:ascii="Times New Roman" w:hAnsi="Times New Roman"/>
                <w:color w:val="000000" w:themeColor="text1"/>
                <w:sz w:val="16"/>
                <w:szCs w:val="16"/>
              </w:rPr>
            </w:pPr>
          </w:p>
        </w:tc>
        <w:tc>
          <w:tcPr>
            <w:tcW w:w="2818" w:type="dxa"/>
          </w:tcPr>
          <w:p w14:paraId="7CDACC99"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16А</w:t>
            </w:r>
          </w:p>
        </w:tc>
      </w:tr>
      <w:tr w:rsidR="00F26F01" w:rsidRPr="00C33834" w14:paraId="7E48E1F5" w14:textId="77777777">
        <w:tc>
          <w:tcPr>
            <w:tcW w:w="2818" w:type="dxa"/>
          </w:tcPr>
          <w:p w14:paraId="10FD137F"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w:t>
            </w:r>
          </w:p>
        </w:tc>
        <w:tc>
          <w:tcPr>
            <w:tcW w:w="2818" w:type="dxa"/>
          </w:tcPr>
          <w:p w14:paraId="57E1A8E8" w14:textId="77777777" w:rsidR="00487C9C" w:rsidRPr="00C33834" w:rsidRDefault="00487C9C" w:rsidP="00C33834">
            <w:pPr>
              <w:spacing w:after="0" w:line="240" w:lineRule="auto"/>
              <w:jc w:val="both"/>
              <w:rPr>
                <w:rFonts w:ascii="Times New Roman" w:hAnsi="Times New Roman"/>
                <w:color w:val="000000" w:themeColor="text1"/>
                <w:sz w:val="16"/>
                <w:szCs w:val="16"/>
              </w:rPr>
            </w:pPr>
          </w:p>
        </w:tc>
        <w:tc>
          <w:tcPr>
            <w:tcW w:w="2818" w:type="dxa"/>
          </w:tcPr>
          <w:p w14:paraId="0719A7D9"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1-е издание (3100)</w:t>
            </w:r>
          </w:p>
        </w:tc>
      </w:tr>
    </w:tbl>
    <w:p w14:paraId="4D1161B3"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2EDDE6DF"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августа 1933 дата присвоения опознавательного знака с литерой "Н" - СССР-Н17 - ПС-5 (ЮГ-1), зав. № 942, моторы - 3 Junkers L-5. Первоначальный владелец воздушного судна - УВС ГУСМП. Во второй половине 1933 г. самолет был принят Управлением Воздушной службы ГУСМП от ОСТЕХБЮРО в Ленинграде. 04.10.1934 г. самолет перерегистрировали с опознавательным знаком СССР-Л1455, владелец - Среднеазиатское Управление ГВФ. Исключен из списков самолетного парка ГВФ 04.05.36 г.</w:t>
      </w:r>
    </w:p>
    <w:p w14:paraId="11EEC07F"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0F5B868E"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августа 1933 Н.А.Евдокимов установил новый рекорд затяжного прыжка, оставив машину на 6700 м и падая до 6220 за 108 сек. (438,650).</w:t>
      </w:r>
    </w:p>
    <w:p w14:paraId="4545B4D3"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1E36E82F" w14:textId="77777777" w:rsidR="00EB25C4" w:rsidRPr="00C33834" w:rsidRDefault="00EB25C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августа в 1933 году на учениях Белорусского военного округа был выброшен десант в 900 человек, а в 1935 почти одновременно десантировались в Киевском военном округе 1200 человек, в Белорусском - 1800 (14971).</w:t>
      </w:r>
    </w:p>
    <w:p w14:paraId="3B760B45" w14:textId="77777777" w:rsidR="00EB25C4" w:rsidRPr="00C33834" w:rsidRDefault="00EB25C4" w:rsidP="00C33834">
      <w:pPr>
        <w:spacing w:after="0" w:line="240" w:lineRule="auto"/>
        <w:jc w:val="both"/>
        <w:rPr>
          <w:rFonts w:ascii="Times New Roman" w:hAnsi="Times New Roman"/>
          <w:color w:val="000000" w:themeColor="text1"/>
          <w:sz w:val="16"/>
          <w:szCs w:val="16"/>
        </w:rPr>
      </w:pPr>
    </w:p>
    <w:p w14:paraId="3A9B38BF" w14:textId="77777777" w:rsidR="00487C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6FDCD9B1" w14:textId="77777777" w:rsidR="00487C9C" w:rsidRPr="00C33834" w:rsidRDefault="00487C9C" w:rsidP="00C33834">
      <w:pPr>
        <w:spacing w:after="0" w:line="240" w:lineRule="auto"/>
        <w:jc w:val="both"/>
        <w:rPr>
          <w:rFonts w:ascii="Times New Roman" w:hAnsi="Times New Roman"/>
          <w:iCs/>
          <w:color w:val="000000" w:themeColor="text1"/>
          <w:sz w:val="16"/>
          <w:szCs w:val="16"/>
        </w:rPr>
      </w:pPr>
    </w:p>
    <w:p w14:paraId="06984122"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августа 1933 был открыт Беломоро-Балтийский канал (3263,420).</w:t>
      </w:r>
    </w:p>
    <w:p w14:paraId="1A076323"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2872E885"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августа 1933 года СНК СССР принял постановление, согласно которого Беломорско-Балтийский водный путь принимался в эксплуатацию и зачислялся в число действующих внутренних водных путей СССР. В постановлении особо подчеркивался масштаб проделанной работы. На трассе канала возведено 128 гидротехнических сооружений: 19 шлюзов, 15 плотин, 12 водоспусков. 49 дамб и 33 искусственных канала. Вынуто 21 млн. кубометров грунта, уложено 390 тыс. кубометров бетона и 921 тыс. кубометров ряжевых конструкций. Строительство обошлось почти в 4 раза дешевле первоначальной сметной стоимости и было закончено точно в срок (навигация на канале началась 28 мая 1933 года) (9046).</w:t>
      </w:r>
    </w:p>
    <w:p w14:paraId="5B4EEFA3"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7E4C1854" w14:textId="77777777" w:rsidR="00FA6C6A" w:rsidRPr="00C33834" w:rsidRDefault="00FA6C6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августа 1933 г. Постановлением ЦК ВКП(б) ББ канал был официально зачислен в число действующих водных путей Союза ССР. В постановлении особо подчеркивался масштаб проделанной работы. На трассе канала возведено 128 гидротехнических сооружений: 19 шлюзов, 15 плотин, 12 водоспусков, 49 дамб и 33 искусственных канала. Вынуто 21 млн. кубометров грунта, уложено 390 тыс. кубометров бетона и 921 тыс. кубометров ряжевых конструкций. Строительство обошлось почти в 4 раза дешевле первоначальной сметной стоимости и было закончено точно в срок. </w:t>
      </w:r>
    </w:p>
    <w:p w14:paraId="484E3FBB" w14:textId="77777777" w:rsidR="00FA6C6A" w:rsidRPr="00C33834" w:rsidRDefault="00FA6C6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Тем временем к переходу по трассе канала готовилась первая группа военных кораблей Балтийского флота. Хотя официально канал был принят в эксплуатацию только 2 августа 1933 г., интересы обороны страны требовали скорейшего создания на Севере военно-морской группировки (12129).</w:t>
      </w:r>
    </w:p>
    <w:p w14:paraId="7CEFD474" w14:textId="77777777" w:rsidR="00FA6C6A" w:rsidRPr="00C33834" w:rsidRDefault="00FA6C6A" w:rsidP="00C33834">
      <w:pPr>
        <w:spacing w:after="0" w:line="240" w:lineRule="auto"/>
        <w:jc w:val="both"/>
        <w:rPr>
          <w:rFonts w:ascii="Times New Roman" w:hAnsi="Times New Roman"/>
          <w:color w:val="000000" w:themeColor="text1"/>
          <w:sz w:val="16"/>
          <w:szCs w:val="16"/>
        </w:rPr>
      </w:pPr>
    </w:p>
    <w:p w14:paraId="04366ECC" w14:textId="77777777" w:rsidR="00D759F6" w:rsidRPr="00C33834" w:rsidRDefault="00D759F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августа 1933 года строительство Б-Б канала было завершено. Официальное открытие канала состоялось 5 августа 1933 года.</w:t>
      </w:r>
    </w:p>
    <w:p w14:paraId="37454720" w14:textId="77777777" w:rsidR="00D759F6" w:rsidRPr="00C33834" w:rsidRDefault="00D759F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17 августа 1933 года был организован Беломорско-Балтийский комбинат, в задачи которого входила эксплуатация канала, а также освоение районов, которые окружали канал.</w:t>
      </w:r>
    </w:p>
    <w:p w14:paraId="77C6673F" w14:textId="77777777" w:rsidR="00D759F6" w:rsidRPr="00C33834" w:rsidRDefault="00D759F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17 августа 1933 года ББК посетила группа из 120 писателей и художников во главе с Максимом Горьким (также среди них были такие известные писатели, как Алексей Толстой, Михаил Зощенко, Вс. Иванов, Виктор Шкловский, Ильф и Петров, Бруно Ясeнский, Валентин Катаев, Вера Инбер, С. Буданцев, Д. Мирский и другие) для освещения строительства канала. Часть из них (36 человек) приняли затем участие в написании 600-страничной книги, посвящённой созданию Беломорканала. Памятная книга "Беломорско-Балтийский канал имени Сталина" была издана в конце 1934 года Гос. издательством "История фабрик и заводов", специально к XVII съезду коммунистической партии. Редакторами книги являлись: Максим Горький, Л. Л. Авербах, С. Г. Фирин.</w:t>
      </w:r>
    </w:p>
    <w:p w14:paraId="1173C6D0" w14:textId="77777777" w:rsidR="00D759F6" w:rsidRPr="00C33834" w:rsidRDefault="00D759F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Официальное открытие первой судоходной навигации состоялось 30 августа 1933 года.</w:t>
      </w:r>
    </w:p>
    <w:p w14:paraId="219ED4D5" w14:textId="77777777" w:rsidR="00D759F6" w:rsidRPr="00C33834" w:rsidRDefault="00D759F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Со стратегической точки зрения канал предоставил возможность связать Белое и Балтийское моря. Уже в 1933 году Беломорский канал позволил создать защиту северных рубежей государства. До этого времени северо-арктическое побережье практически никем не охранялось и не было защищено от возможного вторжения. Первыми судами, прошедшими по новой водной трассе, стали военные корабли - одни из первых советских субмарин класса "Декабрист".</w:t>
      </w:r>
    </w:p>
    <w:p w14:paraId="6557BCDA" w14:textId="77777777" w:rsidR="00D759F6" w:rsidRPr="00C33834" w:rsidRDefault="00D759F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первую навигацию 1933 года было перевезено 1143 тыс. тонн грузов и 27 тыс. пассажиров. В 1940 году объём перевозок составил около миллиона тонн. Пик грузоперевозок по каналу пришёлся на 1985 год. Тогда по Беломорско-Балтийскому водному пути было перевезено 7 млн. 300 тыс. тонн грузов. Такие объёмы перевозок сохранялись на протяжении последующих пяти лет, после чего интенсивность судоходства по каналу значительно снизилась (21177).</w:t>
      </w:r>
    </w:p>
    <w:p w14:paraId="71F4F05A" w14:textId="77777777" w:rsidR="00D759F6" w:rsidRPr="00C33834" w:rsidRDefault="00D759F6" w:rsidP="00C33834">
      <w:pPr>
        <w:spacing w:after="0" w:line="240" w:lineRule="auto"/>
        <w:jc w:val="both"/>
        <w:rPr>
          <w:rFonts w:ascii="Times New Roman" w:hAnsi="Times New Roman"/>
          <w:color w:val="0070C0"/>
          <w:sz w:val="16"/>
          <w:szCs w:val="16"/>
        </w:rPr>
      </w:pPr>
    </w:p>
    <w:p w14:paraId="17B65915" w14:textId="77777777" w:rsidR="00EB25C4" w:rsidRPr="00C33834" w:rsidRDefault="00EB25C4" w:rsidP="00C33834">
      <w:pPr>
        <w:pStyle w:val="rtejustify"/>
        <w:spacing w:before="0" w:after="0"/>
        <w:rPr>
          <w:color w:val="000000" w:themeColor="text1"/>
          <w:sz w:val="16"/>
          <w:szCs w:val="16"/>
        </w:rPr>
      </w:pPr>
      <w:r w:rsidRPr="00C33834">
        <w:rPr>
          <w:color w:val="000000" w:themeColor="text1"/>
          <w:sz w:val="16"/>
          <w:szCs w:val="16"/>
        </w:rPr>
        <w:t>2 августа 1933 Об открытии Беломорско-Балтийского канала имени тов. Сталина</w:t>
      </w:r>
    </w:p>
    <w:p w14:paraId="498446AE" w14:textId="77777777" w:rsidR="00FA6C6A" w:rsidRPr="00C33834" w:rsidRDefault="00FA6C6A" w:rsidP="00C33834">
      <w:pPr>
        <w:pStyle w:val="rtejustify"/>
        <w:spacing w:before="0" w:after="0"/>
        <w:rPr>
          <w:color w:val="000000" w:themeColor="text1"/>
          <w:sz w:val="16"/>
          <w:szCs w:val="16"/>
        </w:rPr>
      </w:pPr>
      <w:r w:rsidRPr="00C33834">
        <w:rPr>
          <w:color w:val="000000" w:themeColor="text1"/>
          <w:sz w:val="16"/>
          <w:szCs w:val="16"/>
        </w:rPr>
        <w:t>Совет народных комиссаров Союза ССР, заслушав доклад председателя правительственной комиссии по приёмке Беломорско-Балтийского водного пути т. К. М. Ленина — постановляет:</w:t>
      </w:r>
    </w:p>
    <w:p w14:paraId="7298690F" w14:textId="77777777" w:rsidR="00FA6C6A" w:rsidRPr="00C33834" w:rsidRDefault="00FA6C6A" w:rsidP="00C33834">
      <w:pPr>
        <w:pStyle w:val="rtejustify"/>
        <w:spacing w:before="0" w:after="0"/>
        <w:rPr>
          <w:color w:val="000000" w:themeColor="text1"/>
          <w:sz w:val="16"/>
          <w:szCs w:val="16"/>
        </w:rPr>
      </w:pPr>
      <w:r w:rsidRPr="00C33834">
        <w:rPr>
          <w:color w:val="000000" w:themeColor="text1"/>
          <w:sz w:val="16"/>
          <w:szCs w:val="16"/>
        </w:rPr>
        <w:t>1. Сооружение Беломорско-Балтийского водного пути, предпринятое по инициативе т. Сталина и открывающее широкие перспективы для дальнейшего экономического и культурного подъёма советской Карелии и всего севера Союза ССР — считать законченным. Создание такого мощного транспортного пути, общим протяжением с подходными каналами в 227 километров от Онежского озера до Белого моря, с расположением на нём комплекса сложных гидротехнических сооружений общим числом 128, из коих: шлюзов — 19, плотин — 15, водоспусков — 12, дамб — 49 и искусственных каналов — 33, обеспечивает установление непосредственной водной связи между Балтийским морем и советским Севером и даёт возможность немедленного приступа к широкой эксплуатации лесных, минерально-рудных, рыбных и прочих природных богатств этого края.</w:t>
      </w:r>
    </w:p>
    <w:p w14:paraId="5C035B36" w14:textId="77777777" w:rsidR="00FA6C6A" w:rsidRPr="00C33834" w:rsidRDefault="00FA6C6A" w:rsidP="00C33834">
      <w:pPr>
        <w:pStyle w:val="rtejustify"/>
        <w:spacing w:before="0" w:after="0"/>
        <w:rPr>
          <w:color w:val="000000" w:themeColor="text1"/>
          <w:sz w:val="16"/>
          <w:szCs w:val="16"/>
        </w:rPr>
      </w:pPr>
      <w:r w:rsidRPr="00C33834">
        <w:rPr>
          <w:color w:val="000000" w:themeColor="text1"/>
          <w:sz w:val="16"/>
          <w:szCs w:val="16"/>
        </w:rPr>
        <w:t>2. Отметить, что сооружение Беломорско-Балтийского водного пути с общим объёмом строительных работ земляных и скальных — 21 миллион кубометров, бетонных — 390 тысяч кубометров и ряжевых — 921 тыс. кубометров — выполнены Беломорстроем под руководством ОГПУ силами осуждённых на разные сроки уголовных в исключительно трудных геологических и гидрологических условиях в рекордно-короткий в практике гидротехнического строительства срок — 20 месяцев.</w:t>
      </w:r>
    </w:p>
    <w:p w14:paraId="07CEFCB7" w14:textId="77777777" w:rsidR="00FA6C6A" w:rsidRPr="00C33834" w:rsidRDefault="00FA6C6A" w:rsidP="00C33834">
      <w:pPr>
        <w:pStyle w:val="rtejustify"/>
        <w:spacing w:before="0" w:after="0"/>
        <w:rPr>
          <w:color w:val="000000" w:themeColor="text1"/>
          <w:sz w:val="16"/>
          <w:szCs w:val="16"/>
        </w:rPr>
      </w:pPr>
      <w:r w:rsidRPr="00C33834">
        <w:rPr>
          <w:color w:val="000000" w:themeColor="text1"/>
          <w:sz w:val="16"/>
          <w:szCs w:val="16"/>
        </w:rPr>
        <w:t>Вместе с тем, Совет народных комиссаров Союза ССР отмечает чёткую и образцовую организацию труда и производства, настойчивую инициативу руководителей строительства в области выбора и широкого внедрения новых стандартных и совершенных инженерных конструкций и максимальное использование при постройке канала местных строительных материалов, с одновременным достижением высокого качества строительных работ и безупречного их внешнего оформления.</w:t>
      </w:r>
    </w:p>
    <w:p w14:paraId="2AC1A0A5" w14:textId="77777777" w:rsidR="00FA6C6A" w:rsidRPr="00C33834" w:rsidRDefault="00FA6C6A" w:rsidP="00C33834">
      <w:pPr>
        <w:pStyle w:val="rtejustify"/>
        <w:spacing w:before="0" w:after="0"/>
        <w:rPr>
          <w:color w:val="000000" w:themeColor="text1"/>
          <w:sz w:val="16"/>
          <w:szCs w:val="16"/>
        </w:rPr>
      </w:pPr>
      <w:r w:rsidRPr="00C33834">
        <w:rPr>
          <w:color w:val="000000" w:themeColor="text1"/>
          <w:sz w:val="16"/>
          <w:szCs w:val="16"/>
        </w:rPr>
        <w:t>Отметить также, что в процессе строительства Беломорско-Балтийского водного пути, на основе правильного проведения исправительно-трудовой политики советской власти, Главное управление исправительно-трудовыми лагерями. ОГПУ провело большую политико-воспитательную работу среди заключённых, получивших трудовые навыки и квалификацию и в целом ряде случаев хороню проявивших себя в работе на строительстве.</w:t>
      </w:r>
    </w:p>
    <w:p w14:paraId="613C9B34" w14:textId="77777777" w:rsidR="00FA6C6A" w:rsidRPr="00C33834" w:rsidRDefault="00FA6C6A" w:rsidP="00C33834">
      <w:pPr>
        <w:pStyle w:val="rtejustify"/>
        <w:spacing w:before="0" w:after="0"/>
        <w:rPr>
          <w:color w:val="000000" w:themeColor="text1"/>
          <w:sz w:val="16"/>
          <w:szCs w:val="16"/>
        </w:rPr>
      </w:pPr>
      <w:r w:rsidRPr="00C33834">
        <w:rPr>
          <w:color w:val="000000" w:themeColor="text1"/>
          <w:sz w:val="16"/>
          <w:szCs w:val="16"/>
        </w:rPr>
        <w:lastRenderedPageBreak/>
        <w:t>В соответствии с этим, возбудить перед Центральным исполнительным комитетом Союза советских социалистических республик ходатайство о награждении наиболее, заслужённых и отличившихся работников, инженеров и руководителей Беломорстроя.</w:t>
      </w:r>
    </w:p>
    <w:p w14:paraId="6D1AFBBF" w14:textId="77777777" w:rsidR="00FA6C6A" w:rsidRPr="00C33834" w:rsidRDefault="00FA6C6A" w:rsidP="00C33834">
      <w:pPr>
        <w:pStyle w:val="rtejustify"/>
        <w:spacing w:before="0" w:after="0"/>
        <w:rPr>
          <w:color w:val="000000" w:themeColor="text1"/>
          <w:sz w:val="16"/>
          <w:szCs w:val="16"/>
        </w:rPr>
      </w:pPr>
      <w:r w:rsidRPr="00C33834">
        <w:rPr>
          <w:color w:val="000000" w:themeColor="text1"/>
          <w:sz w:val="16"/>
          <w:szCs w:val="16"/>
        </w:rPr>
        <w:t>3. Работу правительственной комиссии по приёмке Беломорско-Балтийского водного пути одобрить и считать законченной.</w:t>
      </w:r>
    </w:p>
    <w:p w14:paraId="3F38B0C5" w14:textId="77777777" w:rsidR="00FA6C6A" w:rsidRPr="00C33834" w:rsidRDefault="00FA6C6A" w:rsidP="00C33834">
      <w:pPr>
        <w:pStyle w:val="rtejustify"/>
        <w:spacing w:before="0" w:after="0"/>
        <w:rPr>
          <w:color w:val="000000" w:themeColor="text1"/>
          <w:sz w:val="16"/>
          <w:szCs w:val="16"/>
        </w:rPr>
      </w:pPr>
      <w:r w:rsidRPr="00C33834">
        <w:rPr>
          <w:color w:val="000000" w:themeColor="text1"/>
          <w:sz w:val="16"/>
          <w:szCs w:val="16"/>
        </w:rPr>
        <w:t>Генеральный акт приёмки Беломорско-Балтийского водного пути опубликовать.</w:t>
      </w:r>
    </w:p>
    <w:p w14:paraId="7CE23C12" w14:textId="77777777" w:rsidR="00FA6C6A" w:rsidRPr="00C33834" w:rsidRDefault="00FA6C6A" w:rsidP="00C33834">
      <w:pPr>
        <w:pStyle w:val="rtejustify"/>
        <w:spacing w:before="0" w:after="0"/>
        <w:rPr>
          <w:color w:val="000000" w:themeColor="text1"/>
          <w:sz w:val="16"/>
          <w:szCs w:val="16"/>
        </w:rPr>
      </w:pPr>
      <w:r w:rsidRPr="00C33834">
        <w:rPr>
          <w:color w:val="000000" w:themeColor="text1"/>
          <w:sz w:val="16"/>
          <w:szCs w:val="16"/>
        </w:rPr>
        <w:t>4. Принять Беломорско-Балтийский водный путь в эксплоатацию с присвоением ему наименования «Беломорско-Балтийский канал имени тов. Сталина» и считать его открытым для плавания судов озёрно-мор- ского типа.</w:t>
      </w:r>
    </w:p>
    <w:p w14:paraId="0E277BD3" w14:textId="77777777" w:rsidR="00FA6C6A" w:rsidRPr="00C33834" w:rsidRDefault="00FA6C6A" w:rsidP="00C33834">
      <w:pPr>
        <w:pStyle w:val="rtejustify"/>
        <w:spacing w:before="0" w:after="0"/>
        <w:rPr>
          <w:color w:val="000000" w:themeColor="text1"/>
          <w:sz w:val="16"/>
          <w:szCs w:val="16"/>
        </w:rPr>
      </w:pPr>
      <w:r w:rsidRPr="00C33834">
        <w:rPr>
          <w:color w:val="000000" w:themeColor="text1"/>
          <w:sz w:val="16"/>
          <w:szCs w:val="16"/>
        </w:rPr>
        <w:t>Зачислить Беломорско-Балтийский канал имени тов. Сталина в число действующих внутренних водных путей Союза ССР.</w:t>
      </w:r>
    </w:p>
    <w:p w14:paraId="1BC5F5BE" w14:textId="77777777" w:rsidR="00FA6C6A" w:rsidRPr="00C33834" w:rsidRDefault="00FA6C6A" w:rsidP="00C33834">
      <w:pPr>
        <w:pStyle w:val="rteright"/>
        <w:spacing w:before="0" w:after="0"/>
        <w:jc w:val="both"/>
        <w:rPr>
          <w:color w:val="000000" w:themeColor="text1"/>
          <w:sz w:val="16"/>
          <w:szCs w:val="16"/>
        </w:rPr>
      </w:pPr>
      <w:r w:rsidRPr="00C33834">
        <w:rPr>
          <w:color w:val="000000" w:themeColor="text1"/>
          <w:sz w:val="16"/>
          <w:szCs w:val="16"/>
        </w:rPr>
        <w:t>Председатель СНК Союза ССР В. Молотов (Скрябин).</w:t>
      </w:r>
    </w:p>
    <w:p w14:paraId="14713452" w14:textId="77777777" w:rsidR="00FA6C6A" w:rsidRPr="00C33834" w:rsidRDefault="00FA6C6A" w:rsidP="00C33834">
      <w:pPr>
        <w:pStyle w:val="rteright"/>
        <w:spacing w:before="0" w:after="0"/>
        <w:jc w:val="both"/>
        <w:rPr>
          <w:color w:val="000000" w:themeColor="text1"/>
          <w:sz w:val="16"/>
          <w:szCs w:val="16"/>
        </w:rPr>
      </w:pPr>
      <w:r w:rsidRPr="00C33834">
        <w:rPr>
          <w:color w:val="000000" w:themeColor="text1"/>
          <w:sz w:val="16"/>
          <w:szCs w:val="16"/>
        </w:rPr>
        <w:t>Управляющий делами СНК Союза ССР И. Мирошников.</w:t>
      </w:r>
    </w:p>
    <w:p w14:paraId="55F0ED67" w14:textId="77777777" w:rsidR="00FA6C6A" w:rsidRPr="00C33834" w:rsidRDefault="00FA6C6A" w:rsidP="00C33834">
      <w:pPr>
        <w:pStyle w:val="ae"/>
        <w:spacing w:before="0" w:after="0"/>
        <w:jc w:val="both"/>
        <w:rPr>
          <w:color w:val="000000" w:themeColor="text1"/>
          <w:sz w:val="16"/>
          <w:szCs w:val="16"/>
        </w:rPr>
      </w:pPr>
      <w:r w:rsidRPr="00C33834">
        <w:rPr>
          <w:color w:val="000000" w:themeColor="text1"/>
          <w:sz w:val="16"/>
          <w:szCs w:val="16"/>
        </w:rPr>
        <w:t>Москва, Кремль. 2 августа 1933 г.</w:t>
      </w:r>
    </w:p>
    <w:p w14:paraId="16D06A6D" w14:textId="77777777" w:rsidR="00FA6C6A" w:rsidRPr="00C33834" w:rsidRDefault="00FA6C6A" w:rsidP="00C33834">
      <w:pPr>
        <w:pStyle w:val="rtecenter"/>
        <w:spacing w:before="0" w:after="0"/>
        <w:jc w:val="both"/>
        <w:rPr>
          <w:color w:val="000000" w:themeColor="text1"/>
          <w:sz w:val="16"/>
          <w:szCs w:val="16"/>
        </w:rPr>
      </w:pPr>
      <w:r w:rsidRPr="00C33834">
        <w:rPr>
          <w:color w:val="000000" w:themeColor="text1"/>
          <w:sz w:val="16"/>
          <w:szCs w:val="16"/>
        </w:rPr>
        <w:t>Опубликовано в № 193 Известий ЦИК Союза ССР и ВЦИК от 5 августа 1933 г. (12586)</w:t>
      </w:r>
    </w:p>
    <w:p w14:paraId="548FA18D" w14:textId="77777777" w:rsidR="00EB25C4" w:rsidRPr="00C33834" w:rsidRDefault="00EB25C4" w:rsidP="00C33834">
      <w:pPr>
        <w:spacing w:after="0" w:line="240" w:lineRule="auto"/>
        <w:jc w:val="both"/>
        <w:rPr>
          <w:rFonts w:ascii="Times New Roman" w:hAnsi="Times New Roman"/>
          <w:iCs/>
          <w:color w:val="000000" w:themeColor="text1"/>
          <w:sz w:val="16"/>
          <w:szCs w:val="16"/>
        </w:rPr>
      </w:pPr>
    </w:p>
    <w:p w14:paraId="253582C7" w14:textId="77777777" w:rsidR="00487C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0E6DCFE" w14:textId="77777777" w:rsidR="00487C9C" w:rsidRPr="00C33834" w:rsidRDefault="00487C9C" w:rsidP="00C33834">
      <w:pPr>
        <w:spacing w:after="0" w:line="240" w:lineRule="auto"/>
        <w:jc w:val="both"/>
        <w:rPr>
          <w:rFonts w:ascii="Times New Roman" w:hAnsi="Times New Roman"/>
          <w:iCs/>
          <w:color w:val="000000" w:themeColor="text1"/>
          <w:sz w:val="16"/>
          <w:szCs w:val="16"/>
        </w:rPr>
      </w:pPr>
    </w:p>
    <w:p w14:paraId="03B8C7CE"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августа 1933г. в саду им. Горького г. Ижевска прошло массовое гуляние, посвященное выпуску Ижевским мотоциклетным заводом 5-ти опытных мотоциклов. Освоение производства мотоциклов шло не просто. По сути, без какой-либо иностранной помощи, создавалась новая отрасль отечественного машиностроения. В Удмуртии развитие машиностроения и, в частности, мотоциклостроения рассматривалось как магистральный путь для преодоления экономической отсталости. В кратчайшие сроки задача по налаживанию массового выпуска мотоциклов была решена успешно. Об этом говорят следующие цифры. Если в 1933 г. всего было выпущено 4 мотоцикла модели НАТИ-750 и 1 мотоцикл Иж-7, в 1934 – 111 мотоциклов Иж-7, то в 1937 г. уже 3010 машин. За предвоенные годы было произведено 17 тысяч мотоциклов (Иж-7, Иж-8, Иж-9). В декабре 1941 г. выпуск мотоциклов был приостановлен в связи с освоением нового изделия – станкового пулемета "Максим" (11937).</w:t>
      </w:r>
    </w:p>
    <w:p w14:paraId="62D5E0E8" w14:textId="59B9340E" w:rsidR="00487C9C" w:rsidRPr="00C33834" w:rsidRDefault="00487C9C" w:rsidP="00C33834">
      <w:pPr>
        <w:spacing w:after="0" w:line="240" w:lineRule="auto"/>
        <w:jc w:val="both"/>
        <w:rPr>
          <w:rFonts w:ascii="Times New Roman" w:hAnsi="Times New Roman"/>
          <w:color w:val="000000" w:themeColor="text1"/>
          <w:sz w:val="16"/>
          <w:szCs w:val="16"/>
        </w:rPr>
      </w:pPr>
    </w:p>
    <w:p w14:paraId="310ED354" w14:textId="7CDB679C" w:rsidR="00270580" w:rsidRPr="00C33834" w:rsidRDefault="00270580" w:rsidP="00C33834">
      <w:pPr>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Внешняя политика:</w:t>
      </w:r>
    </w:p>
    <w:p w14:paraId="1DC76B35" w14:textId="77777777" w:rsidR="00270580" w:rsidRPr="00C33834" w:rsidRDefault="00270580" w:rsidP="00C33834">
      <w:pPr>
        <w:spacing w:after="0" w:line="240" w:lineRule="auto"/>
        <w:jc w:val="both"/>
        <w:rPr>
          <w:rFonts w:ascii="Times New Roman" w:hAnsi="Times New Roman"/>
          <w:i/>
          <w:iCs/>
          <w:color w:val="000000" w:themeColor="text1"/>
          <w:sz w:val="16"/>
          <w:szCs w:val="16"/>
        </w:rPr>
      </w:pPr>
    </w:p>
    <w:p w14:paraId="2B6F4346" w14:textId="77777777" w:rsidR="00270580" w:rsidRPr="00C33834" w:rsidRDefault="002705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августа 1933 опросом членов ПБ</w:t>
      </w:r>
    </w:p>
    <w:p w14:paraId="66748D26" w14:textId="77777777" w:rsidR="00270580" w:rsidRPr="00C33834" w:rsidRDefault="002705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22/8. - Вопрос_т. Ворошилова</w:t>
      </w:r>
    </w:p>
    <w:p w14:paraId="2057D7E7" w14:textId="77777777" w:rsidR="00270580" w:rsidRPr="00C33834" w:rsidRDefault="002705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Послать на итальянские маневры и у нас принять 2-3 человек.</w:t>
      </w:r>
    </w:p>
    <w:p w14:paraId="65027E60" w14:textId="77777777" w:rsidR="00270580" w:rsidRPr="00C33834" w:rsidRDefault="002705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Принять у нас (осенью) и послать в Италию 2-3 командиров для присутствия на упражнениях флотов.</w:t>
      </w:r>
    </w:p>
    <w:p w14:paraId="2BB71154" w14:textId="77777777" w:rsidR="00270580" w:rsidRPr="00C33834" w:rsidRDefault="002705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После окончания летней учебы произвести учебный поход отряда кораблей в Средиземное море, с заходом в Стамбул, Грецию и один из итальянских портов.</w:t>
      </w:r>
    </w:p>
    <w:p w14:paraId="29207EEF" w14:textId="77777777" w:rsidR="00270580" w:rsidRPr="00C33834" w:rsidRDefault="002705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Выписка послана: т.Ворошилову.</w:t>
      </w:r>
    </w:p>
    <w:p w14:paraId="5EB2723C" w14:textId="77777777" w:rsidR="00270580" w:rsidRPr="00C33834" w:rsidRDefault="002705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августа 1933 состоялось заседание ПБ и был оформлен протокол № 143 (22993)</w:t>
      </w:r>
    </w:p>
    <w:p w14:paraId="7ED558B6" w14:textId="77777777" w:rsidR="00270580" w:rsidRPr="00C33834" w:rsidRDefault="00270580" w:rsidP="00C33834">
      <w:pPr>
        <w:spacing w:after="0" w:line="240" w:lineRule="auto"/>
        <w:jc w:val="both"/>
        <w:rPr>
          <w:rFonts w:ascii="Times New Roman" w:hAnsi="Times New Roman"/>
          <w:color w:val="0070C0"/>
          <w:sz w:val="16"/>
          <w:szCs w:val="16"/>
        </w:rPr>
      </w:pPr>
    </w:p>
    <w:p w14:paraId="42221187" w14:textId="77777777" w:rsidR="00487C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0073B71" w14:textId="77777777" w:rsidR="00487C9C" w:rsidRPr="00C33834" w:rsidRDefault="00487C9C" w:rsidP="00C33834">
      <w:pPr>
        <w:spacing w:after="0" w:line="240" w:lineRule="auto"/>
        <w:jc w:val="both"/>
        <w:rPr>
          <w:rFonts w:ascii="Times New Roman" w:hAnsi="Times New Roman"/>
          <w:iCs/>
          <w:color w:val="000000" w:themeColor="text1"/>
          <w:sz w:val="16"/>
          <w:szCs w:val="16"/>
        </w:rPr>
      </w:pPr>
    </w:p>
    <w:p w14:paraId="25148EC7" w14:textId="77777777" w:rsidR="00270580" w:rsidRPr="00C33834" w:rsidRDefault="00270580" w:rsidP="00C33834">
      <w:pPr>
        <w:pStyle w:val="17"/>
        <w:shd w:val="clear" w:color="auto" w:fill="auto"/>
        <w:spacing w:before="0" w:line="240" w:lineRule="auto"/>
        <w:ind w:firstLine="0"/>
        <w:jc w:val="both"/>
        <w:rPr>
          <w:rFonts w:ascii="Times New Roman" w:hAnsi="Times New Roman" w:cs="Times New Roman"/>
          <w:color w:val="0070C0"/>
          <w:spacing w:val="0"/>
          <w:sz w:val="16"/>
          <w:szCs w:val="16"/>
        </w:rPr>
      </w:pPr>
      <w:r w:rsidRPr="00C33834">
        <w:rPr>
          <w:rFonts w:ascii="Times New Roman" w:hAnsi="Times New Roman" w:cs="Times New Roman"/>
          <w:color w:val="0070C0"/>
          <w:spacing w:val="0"/>
          <w:sz w:val="16"/>
          <w:szCs w:val="16"/>
        </w:rPr>
        <w:t>4 августа 1933 военпреды завода №1 передали ДГ- 52 представителям НИИ ВВС. К этому моменту опытный ИП-1 совершил 64 полета на завод</w:t>
      </w:r>
      <w:r w:rsidRPr="00C33834">
        <w:rPr>
          <w:rFonts w:ascii="Times New Roman" w:hAnsi="Times New Roman" w:cs="Times New Roman"/>
          <w:color w:val="0070C0"/>
          <w:spacing w:val="0"/>
          <w:sz w:val="16"/>
          <w:szCs w:val="16"/>
        </w:rPr>
        <w:softHyphen/>
        <w:t>ских и государственных испытаниях.</w:t>
      </w:r>
    </w:p>
    <w:p w14:paraId="20B638D8" w14:textId="77777777" w:rsidR="00270580" w:rsidRPr="00C33834" w:rsidRDefault="00270580" w:rsidP="00C33834">
      <w:pPr>
        <w:shd w:val="clear" w:color="auto" w:fill="FFFFFF"/>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Главная цель испытаний летней серии - определение живучести элементов конструк</w:t>
      </w:r>
      <w:r w:rsidRPr="00C33834">
        <w:rPr>
          <w:rFonts w:ascii="Times New Roman" w:hAnsi="Times New Roman"/>
          <w:color w:val="0070C0"/>
          <w:sz w:val="16"/>
          <w:szCs w:val="16"/>
        </w:rPr>
        <w:softHyphen/>
        <w:t>ции при стрельбе из АПК, а также выносливо</w:t>
      </w:r>
      <w:r w:rsidRPr="00C33834">
        <w:rPr>
          <w:rFonts w:ascii="Times New Roman" w:hAnsi="Times New Roman"/>
          <w:color w:val="0070C0"/>
          <w:sz w:val="16"/>
          <w:szCs w:val="16"/>
        </w:rPr>
        <w:softHyphen/>
        <w:t>сти шасси и механизмов уборки выпуска во время интенсивных полетов. Кроме того, предстояло оценить работу дифференциаль</w:t>
      </w:r>
      <w:r w:rsidRPr="00C33834">
        <w:rPr>
          <w:rFonts w:ascii="Times New Roman" w:hAnsi="Times New Roman"/>
          <w:color w:val="0070C0"/>
          <w:sz w:val="16"/>
          <w:szCs w:val="16"/>
        </w:rPr>
        <w:softHyphen/>
        <w:t>ного механизма управления элеронов и их эффективность на посадке. Военные посчи</w:t>
      </w:r>
      <w:r w:rsidRPr="00C33834">
        <w:rPr>
          <w:rFonts w:ascii="Times New Roman" w:hAnsi="Times New Roman"/>
          <w:color w:val="0070C0"/>
          <w:sz w:val="16"/>
          <w:szCs w:val="16"/>
        </w:rPr>
        <w:softHyphen/>
        <w:t>тали доработки капотов достаточно серьез</w:t>
      </w:r>
      <w:r w:rsidRPr="00C33834">
        <w:rPr>
          <w:rFonts w:ascii="Times New Roman" w:hAnsi="Times New Roman"/>
          <w:color w:val="0070C0"/>
          <w:sz w:val="16"/>
          <w:szCs w:val="16"/>
        </w:rPr>
        <w:softHyphen/>
        <w:t>ными. Было принято решение провести испытания мотоустановки по отдельной про</w:t>
      </w:r>
      <w:r w:rsidRPr="00C33834">
        <w:rPr>
          <w:rFonts w:ascii="Times New Roman" w:hAnsi="Times New Roman"/>
          <w:color w:val="0070C0"/>
          <w:sz w:val="16"/>
          <w:szCs w:val="16"/>
        </w:rPr>
        <w:softHyphen/>
        <w:t>грамме. По сравнению с заводскими и зимни</w:t>
      </w:r>
      <w:r w:rsidRPr="00C33834">
        <w:rPr>
          <w:rFonts w:ascii="Times New Roman" w:hAnsi="Times New Roman"/>
          <w:color w:val="0070C0"/>
          <w:sz w:val="16"/>
          <w:szCs w:val="16"/>
        </w:rPr>
        <w:softHyphen/>
        <w:t>ми испытаниями, размах летних впечатлял. Было выполнено 344 зачетных полета, из них с уборкой шасси - 263. 55 циклов уборки- выпуска провели на земле. Как правило, за летный день выполняли более 20 вылетов, а 29 августа ДГ-52 сделал 67 посадок. В 47 полетах в этот день выполнили уборку шасси. Несмотря на достаточно высокую оценку зимой взлетно-посадочных устройств, не все пошло гладко. Уже после шести полетов во время приемки правую амортстойку сняли для ремонта - травил воздух в местах пайки оловом. В ходе испытаний стойки демонти</w:t>
      </w:r>
      <w:r w:rsidRPr="00C33834">
        <w:rPr>
          <w:rFonts w:ascii="Times New Roman" w:hAnsi="Times New Roman"/>
          <w:color w:val="0070C0"/>
          <w:sz w:val="16"/>
          <w:szCs w:val="16"/>
        </w:rPr>
        <w:softHyphen/>
        <w:t>ровали еще не раз. В итоге конструкцию некоторых узлов пришлось изменить. В местах утечки пайку заменили резьбовыми соединениями. Неудачным оказалось креп</w:t>
      </w:r>
      <w:r w:rsidRPr="00C33834">
        <w:rPr>
          <w:rFonts w:ascii="Times New Roman" w:hAnsi="Times New Roman"/>
          <w:color w:val="0070C0"/>
          <w:sz w:val="16"/>
          <w:szCs w:val="16"/>
        </w:rPr>
        <w:softHyphen/>
        <w:t>ление колес и оси вращения лыж: их невоз</w:t>
      </w:r>
      <w:r w:rsidRPr="00C33834">
        <w:rPr>
          <w:rFonts w:ascii="Times New Roman" w:hAnsi="Times New Roman"/>
          <w:color w:val="0070C0"/>
          <w:sz w:val="16"/>
          <w:szCs w:val="16"/>
        </w:rPr>
        <w:softHyphen/>
        <w:t>можно было разобрать без демонтажа баш</w:t>
      </w:r>
      <w:r w:rsidRPr="00C33834">
        <w:rPr>
          <w:rFonts w:ascii="Times New Roman" w:hAnsi="Times New Roman"/>
          <w:color w:val="0070C0"/>
          <w:sz w:val="16"/>
          <w:szCs w:val="16"/>
        </w:rPr>
        <w:softHyphen/>
        <w:t>маков передней вилки. На вполне заурядную операцию - замену колеса - требовалось слишком много времени и трудозатрат.</w:t>
      </w:r>
    </w:p>
    <w:p w14:paraId="09AF7410" w14:textId="77777777" w:rsidR="00270580" w:rsidRPr="00C33834" w:rsidRDefault="00270580" w:rsidP="00C33834">
      <w:pPr>
        <w:pStyle w:val="17"/>
        <w:shd w:val="clear" w:color="auto" w:fill="auto"/>
        <w:spacing w:before="0" w:line="240" w:lineRule="auto"/>
        <w:ind w:firstLine="0"/>
        <w:jc w:val="both"/>
        <w:rPr>
          <w:rFonts w:ascii="Times New Roman" w:hAnsi="Times New Roman" w:cs="Times New Roman"/>
          <w:color w:val="0070C0"/>
          <w:spacing w:val="0"/>
          <w:sz w:val="16"/>
          <w:szCs w:val="16"/>
        </w:rPr>
      </w:pPr>
      <w:r w:rsidRPr="00C33834">
        <w:rPr>
          <w:rFonts w:ascii="Times New Roman" w:hAnsi="Times New Roman" w:cs="Times New Roman"/>
          <w:color w:val="0070C0"/>
          <w:spacing w:val="0"/>
          <w:sz w:val="16"/>
          <w:szCs w:val="16"/>
        </w:rPr>
        <w:t>На испытания винтомоторной группы отвели всего пять полетов. Ответственным исполнителем был назначен инженер 4-го отделения НИИ ВВС Коротнев. Измеритель</w:t>
      </w:r>
      <w:r w:rsidRPr="00C33834">
        <w:rPr>
          <w:rFonts w:ascii="Times New Roman" w:hAnsi="Times New Roman" w:cs="Times New Roman"/>
          <w:color w:val="0070C0"/>
          <w:spacing w:val="0"/>
          <w:sz w:val="16"/>
          <w:szCs w:val="16"/>
        </w:rPr>
        <w:softHyphen/>
        <w:t>ную аппаратуру смонтировали, пока самолет в первый раз ждал правую стойку из ремонта. Несмотря на скромное число вылетов, объем работ был достаточно велик. Удалось опре</w:t>
      </w:r>
      <w:r w:rsidRPr="00C33834">
        <w:rPr>
          <w:rFonts w:ascii="Times New Roman" w:hAnsi="Times New Roman" w:cs="Times New Roman"/>
          <w:color w:val="0070C0"/>
          <w:spacing w:val="0"/>
          <w:sz w:val="16"/>
          <w:szCs w:val="16"/>
        </w:rPr>
        <w:softHyphen/>
        <w:t>делить равномерность обдува головок цилиндров на различных высотах полета и режимах работы мотора, а также эффектив</w:t>
      </w:r>
      <w:r w:rsidRPr="00C33834">
        <w:rPr>
          <w:rFonts w:ascii="Times New Roman" w:hAnsi="Times New Roman" w:cs="Times New Roman"/>
          <w:color w:val="0070C0"/>
          <w:spacing w:val="0"/>
          <w:sz w:val="16"/>
          <w:szCs w:val="16"/>
        </w:rPr>
        <w:softHyphen/>
        <w:t>ность работы маслосистемы. Работу системы бензопитания с малым остатком горючего всесторонне оценили при интенсивном маневрировании на виражах, выводе из пикирования и горках. Помимо этого были замерены температуры в зоне установки маг</w:t>
      </w:r>
      <w:r w:rsidRPr="00C33834">
        <w:rPr>
          <w:rFonts w:ascii="Times New Roman" w:hAnsi="Times New Roman" w:cs="Times New Roman"/>
          <w:color w:val="0070C0"/>
          <w:spacing w:val="0"/>
          <w:sz w:val="16"/>
          <w:szCs w:val="16"/>
        </w:rPr>
        <w:softHyphen/>
        <w:t>нето и динамо-машины, интенсивность подо</w:t>
      </w:r>
      <w:r w:rsidRPr="00C33834">
        <w:rPr>
          <w:rFonts w:ascii="Times New Roman" w:hAnsi="Times New Roman" w:cs="Times New Roman"/>
          <w:color w:val="0070C0"/>
          <w:spacing w:val="0"/>
          <w:sz w:val="16"/>
          <w:szCs w:val="16"/>
        </w:rPr>
        <w:softHyphen/>
        <w:t>грева всасываемого в карбюратор воздуха, а также установлены режимы, на которых воз</w:t>
      </w:r>
      <w:r w:rsidRPr="00C33834">
        <w:rPr>
          <w:rFonts w:ascii="Times New Roman" w:hAnsi="Times New Roman" w:cs="Times New Roman"/>
          <w:color w:val="0070C0"/>
          <w:spacing w:val="0"/>
          <w:sz w:val="16"/>
          <w:szCs w:val="16"/>
        </w:rPr>
        <w:softHyphen/>
        <w:t>никала тряска мотора.</w:t>
      </w:r>
    </w:p>
    <w:p w14:paraId="2B044921" w14:textId="77777777" w:rsidR="00270580" w:rsidRPr="00C33834" w:rsidRDefault="00270580" w:rsidP="00C33834">
      <w:pPr>
        <w:pStyle w:val="17"/>
        <w:shd w:val="clear" w:color="auto" w:fill="auto"/>
        <w:spacing w:before="0" w:line="240" w:lineRule="auto"/>
        <w:ind w:firstLine="0"/>
        <w:jc w:val="both"/>
        <w:rPr>
          <w:rFonts w:ascii="Times New Roman" w:hAnsi="Times New Roman" w:cs="Times New Roman"/>
          <w:color w:val="0070C0"/>
          <w:spacing w:val="0"/>
          <w:sz w:val="16"/>
          <w:szCs w:val="16"/>
        </w:rPr>
      </w:pPr>
      <w:r w:rsidRPr="00C33834">
        <w:rPr>
          <w:rFonts w:ascii="Times New Roman" w:hAnsi="Times New Roman" w:cs="Times New Roman"/>
          <w:color w:val="0070C0"/>
          <w:spacing w:val="0"/>
          <w:sz w:val="16"/>
          <w:szCs w:val="16"/>
        </w:rPr>
        <w:t>Претензий не было только к условиям работы магнето и динамо-машины. Масло перегревалось - сказывалось отсутствие маслорадиатора, на что, кстати, указывал представитель фирмы Райт. Температура головок цилиндров падала до 100 градусов на высоте выше 4000 метров, при максималь</w:t>
      </w:r>
      <w:r w:rsidRPr="00C33834">
        <w:rPr>
          <w:rFonts w:ascii="Times New Roman" w:hAnsi="Times New Roman" w:cs="Times New Roman"/>
          <w:color w:val="0070C0"/>
          <w:spacing w:val="0"/>
          <w:sz w:val="16"/>
          <w:szCs w:val="16"/>
        </w:rPr>
        <w:softHyphen/>
        <w:t>но допустимом значении 260 градусов, при этом приемистость мотора становилась нена</w:t>
      </w:r>
      <w:r w:rsidRPr="00C33834">
        <w:rPr>
          <w:rFonts w:ascii="Times New Roman" w:hAnsi="Times New Roman" w:cs="Times New Roman"/>
          <w:color w:val="0070C0"/>
          <w:spacing w:val="0"/>
          <w:sz w:val="16"/>
          <w:szCs w:val="16"/>
        </w:rPr>
        <w:softHyphen/>
        <w:t>дежной. При остатке бензина менее 40 кг мотор начинал давать перебои. Для нормаль</w:t>
      </w:r>
      <w:r w:rsidRPr="00C33834">
        <w:rPr>
          <w:rFonts w:ascii="Times New Roman" w:hAnsi="Times New Roman" w:cs="Times New Roman"/>
          <w:color w:val="0070C0"/>
          <w:spacing w:val="0"/>
          <w:sz w:val="16"/>
          <w:szCs w:val="16"/>
        </w:rPr>
        <w:softHyphen/>
        <w:t>ного выполнения фигур высшего пилотажа требовалось, по крайней мере, 50 кг топлива. Подогрев воздуха, поступающего в карбюра</w:t>
      </w:r>
      <w:r w:rsidRPr="00C33834">
        <w:rPr>
          <w:rFonts w:ascii="Times New Roman" w:hAnsi="Times New Roman" w:cs="Times New Roman"/>
          <w:color w:val="0070C0"/>
          <w:spacing w:val="0"/>
          <w:sz w:val="16"/>
          <w:szCs w:val="16"/>
        </w:rPr>
        <w:softHyphen/>
        <w:t>тор, признали недостаточным.</w:t>
      </w:r>
    </w:p>
    <w:p w14:paraId="5E763D1F" w14:textId="77777777" w:rsidR="00270580" w:rsidRPr="00C33834" w:rsidRDefault="00270580" w:rsidP="00C33834">
      <w:pPr>
        <w:pStyle w:val="17"/>
        <w:shd w:val="clear" w:color="auto" w:fill="auto"/>
        <w:spacing w:before="0" w:line="240" w:lineRule="auto"/>
        <w:ind w:firstLine="0"/>
        <w:jc w:val="both"/>
        <w:rPr>
          <w:rFonts w:ascii="Times New Roman" w:hAnsi="Times New Roman" w:cs="Times New Roman"/>
          <w:color w:val="0070C0"/>
          <w:spacing w:val="0"/>
          <w:sz w:val="16"/>
          <w:szCs w:val="16"/>
        </w:rPr>
      </w:pPr>
      <w:r w:rsidRPr="00C33834">
        <w:rPr>
          <w:rFonts w:ascii="Times New Roman" w:hAnsi="Times New Roman" w:cs="Times New Roman"/>
          <w:color w:val="0070C0"/>
          <w:spacing w:val="0"/>
          <w:sz w:val="16"/>
          <w:szCs w:val="16"/>
        </w:rPr>
        <w:t>Военные не делали категоричных выво</w:t>
      </w:r>
      <w:r w:rsidRPr="00C33834">
        <w:rPr>
          <w:rFonts w:ascii="Times New Roman" w:hAnsi="Times New Roman" w:cs="Times New Roman"/>
          <w:color w:val="0070C0"/>
          <w:spacing w:val="0"/>
          <w:sz w:val="16"/>
          <w:szCs w:val="16"/>
        </w:rPr>
        <w:softHyphen/>
        <w:t>дов, однако, по сути, мотоустановку они забраковали. В заключении к отчету было сказано: «...вследствие перегрева масла, переохлаждения цилиндров и дефекта пита</w:t>
      </w:r>
      <w:r w:rsidRPr="00C33834">
        <w:rPr>
          <w:rFonts w:ascii="Times New Roman" w:hAnsi="Times New Roman" w:cs="Times New Roman"/>
          <w:color w:val="0070C0"/>
          <w:spacing w:val="0"/>
          <w:sz w:val="16"/>
          <w:szCs w:val="16"/>
        </w:rPr>
        <w:softHyphen/>
        <w:t>ния горючим, винтомоторная группа самоле</w:t>
      </w:r>
      <w:r w:rsidRPr="00C33834">
        <w:rPr>
          <w:rFonts w:ascii="Times New Roman" w:hAnsi="Times New Roman" w:cs="Times New Roman"/>
          <w:color w:val="0070C0"/>
          <w:spacing w:val="0"/>
          <w:sz w:val="16"/>
          <w:szCs w:val="16"/>
        </w:rPr>
        <w:softHyphen/>
        <w:t>та ИП-1 с мотором «Райт-Циклон» не обес</w:t>
      </w:r>
      <w:r w:rsidRPr="00C33834">
        <w:rPr>
          <w:rFonts w:ascii="Times New Roman" w:hAnsi="Times New Roman" w:cs="Times New Roman"/>
          <w:color w:val="0070C0"/>
          <w:spacing w:val="0"/>
          <w:sz w:val="16"/>
          <w:szCs w:val="16"/>
        </w:rPr>
        <w:softHyphen/>
        <w:t>печивает надежной эксплуатации и снижает боевые качества самолета». В серию пошел иной, пятый вариант капотов с выхлопными коллекторами вместо индивидуальных патрубков. Топливную систему тоже переде</w:t>
      </w:r>
      <w:r w:rsidRPr="00C33834">
        <w:rPr>
          <w:rFonts w:ascii="Times New Roman" w:hAnsi="Times New Roman" w:cs="Times New Roman"/>
          <w:color w:val="0070C0"/>
          <w:spacing w:val="0"/>
          <w:sz w:val="16"/>
          <w:szCs w:val="16"/>
        </w:rPr>
        <w:softHyphen/>
        <w:t>лали.</w:t>
      </w:r>
    </w:p>
    <w:p w14:paraId="7913A8B2" w14:textId="77777777" w:rsidR="00270580" w:rsidRPr="00C33834" w:rsidRDefault="00270580" w:rsidP="00C33834">
      <w:pPr>
        <w:pStyle w:val="17"/>
        <w:shd w:val="clear" w:color="auto" w:fill="auto"/>
        <w:spacing w:before="0" w:line="240" w:lineRule="auto"/>
        <w:ind w:firstLine="0"/>
        <w:jc w:val="both"/>
        <w:rPr>
          <w:rFonts w:ascii="Times New Roman" w:hAnsi="Times New Roman" w:cs="Times New Roman"/>
          <w:color w:val="0070C0"/>
          <w:spacing w:val="0"/>
          <w:sz w:val="16"/>
          <w:szCs w:val="16"/>
        </w:rPr>
      </w:pPr>
      <w:r w:rsidRPr="00C33834">
        <w:rPr>
          <w:rFonts w:ascii="Times New Roman" w:hAnsi="Times New Roman" w:cs="Times New Roman"/>
          <w:color w:val="0070C0"/>
          <w:spacing w:val="0"/>
          <w:sz w:val="16"/>
          <w:szCs w:val="16"/>
        </w:rPr>
        <w:t>Зависающие элероны оказались мало</w:t>
      </w:r>
      <w:r w:rsidRPr="00C33834">
        <w:rPr>
          <w:rFonts w:ascii="Times New Roman" w:hAnsi="Times New Roman" w:cs="Times New Roman"/>
          <w:color w:val="0070C0"/>
          <w:spacing w:val="0"/>
          <w:sz w:val="16"/>
          <w:szCs w:val="16"/>
        </w:rPr>
        <w:softHyphen/>
        <w:t>эффективны. При отклонении элеронов на 15-17 градусов посадочная скорость умень</w:t>
      </w:r>
      <w:r w:rsidRPr="00C33834">
        <w:rPr>
          <w:rFonts w:ascii="Times New Roman" w:hAnsi="Times New Roman" w:cs="Times New Roman"/>
          <w:color w:val="0070C0"/>
          <w:spacing w:val="0"/>
          <w:sz w:val="16"/>
          <w:szCs w:val="16"/>
        </w:rPr>
        <w:softHyphen/>
        <w:t xml:space="preserve">шалась всего на 5 км/ч - со </w:t>
      </w:r>
      <w:r w:rsidRPr="00C33834">
        <w:rPr>
          <w:rStyle w:val="142"/>
          <w:rFonts w:ascii="Times New Roman" w:hAnsi="Times New Roman" w:cs="Times New Roman"/>
          <w:color w:val="0070C0"/>
          <w:sz w:val="16"/>
          <w:szCs w:val="16"/>
        </w:rPr>
        <w:t>115 до 110</w:t>
      </w:r>
      <w:r w:rsidRPr="00C33834">
        <w:rPr>
          <w:rFonts w:ascii="Times New Roman" w:hAnsi="Times New Roman" w:cs="Times New Roman"/>
          <w:color w:val="0070C0"/>
          <w:spacing w:val="0"/>
          <w:sz w:val="16"/>
          <w:szCs w:val="16"/>
        </w:rPr>
        <w:t xml:space="preserve"> км/ч, при этом траектория снижения становилась несколько круче, а от пилота требовалось повышенное внимание из-за значительно худшей управляемости. Для освобождения конструкции от лишних механизмов, умень</w:t>
      </w:r>
      <w:r w:rsidRPr="00C33834">
        <w:rPr>
          <w:rFonts w:ascii="Times New Roman" w:hAnsi="Times New Roman" w:cs="Times New Roman"/>
          <w:color w:val="0070C0"/>
          <w:spacing w:val="0"/>
          <w:sz w:val="16"/>
          <w:szCs w:val="16"/>
        </w:rPr>
        <w:softHyphen/>
        <w:t>шения веса самолета и повышения безопас</w:t>
      </w:r>
      <w:r w:rsidRPr="00C33834">
        <w:rPr>
          <w:rFonts w:ascii="Times New Roman" w:hAnsi="Times New Roman" w:cs="Times New Roman"/>
          <w:color w:val="0070C0"/>
          <w:spacing w:val="0"/>
          <w:sz w:val="16"/>
          <w:szCs w:val="16"/>
        </w:rPr>
        <w:softHyphen/>
        <w:t>ности полета Федрови вообще предложил…</w:t>
      </w:r>
    </w:p>
    <w:p w14:paraId="023BBE16" w14:textId="77777777" w:rsidR="00270580" w:rsidRPr="00C33834" w:rsidRDefault="00270580" w:rsidP="00C33834">
      <w:pPr>
        <w:pStyle w:val="17"/>
        <w:shd w:val="clear" w:color="auto" w:fill="auto"/>
        <w:spacing w:before="0" w:line="240" w:lineRule="auto"/>
        <w:ind w:firstLine="0"/>
        <w:jc w:val="both"/>
        <w:rPr>
          <w:rFonts w:ascii="Times New Roman" w:hAnsi="Times New Roman" w:cs="Times New Roman"/>
          <w:color w:val="0070C0"/>
          <w:spacing w:val="0"/>
          <w:sz w:val="16"/>
          <w:szCs w:val="16"/>
        </w:rPr>
      </w:pPr>
      <w:r w:rsidRPr="00C33834">
        <w:rPr>
          <w:rFonts w:ascii="Times New Roman" w:hAnsi="Times New Roman" w:cs="Times New Roman"/>
          <w:color w:val="0070C0"/>
          <w:spacing w:val="0"/>
          <w:sz w:val="16"/>
          <w:szCs w:val="16"/>
        </w:rPr>
        <w:t>Кульминацией испытаний должны были стать стрельбы из АПК. Особых замечаний к техническому состоянию планера самолета перед этим этапом испытаний не было, тем не менее, удалось произвести только 29 выстре</w:t>
      </w:r>
      <w:r w:rsidRPr="00C33834">
        <w:rPr>
          <w:rFonts w:ascii="Times New Roman" w:hAnsi="Times New Roman" w:cs="Times New Roman"/>
          <w:color w:val="0070C0"/>
          <w:spacing w:val="0"/>
          <w:sz w:val="16"/>
          <w:szCs w:val="16"/>
        </w:rPr>
        <w:softHyphen/>
        <w:t>лов. 17 августа было выполнено 29 полетов по программе, в том числе пять - на испыта</w:t>
      </w:r>
      <w:r w:rsidRPr="00C33834">
        <w:rPr>
          <w:rFonts w:ascii="Times New Roman" w:hAnsi="Times New Roman" w:cs="Times New Roman"/>
          <w:color w:val="0070C0"/>
          <w:spacing w:val="0"/>
          <w:sz w:val="16"/>
          <w:szCs w:val="16"/>
        </w:rPr>
        <w:softHyphen/>
        <w:t>ния прицела. 18 числа по понятным причи</w:t>
      </w:r>
      <w:r w:rsidRPr="00C33834">
        <w:rPr>
          <w:rFonts w:ascii="Times New Roman" w:hAnsi="Times New Roman" w:cs="Times New Roman"/>
          <w:color w:val="0070C0"/>
          <w:spacing w:val="0"/>
          <w:sz w:val="16"/>
          <w:szCs w:val="16"/>
        </w:rPr>
        <w:softHyphen/>
        <w:t>нам полетов не было, а на следующий день в двух из двенадцати вылетов опробовали ДРП. При первой стрельбе выполнили 5 выстрелов из левого орудия и 7 из правого. После посадки обнаружили значительные деформации обшивки стабилизатора, рулей направления и высоты. Кроме того появи</w:t>
      </w:r>
      <w:r w:rsidRPr="00C33834">
        <w:rPr>
          <w:rFonts w:ascii="Times New Roman" w:hAnsi="Times New Roman" w:cs="Times New Roman"/>
          <w:color w:val="0070C0"/>
          <w:spacing w:val="0"/>
          <w:sz w:val="16"/>
          <w:szCs w:val="16"/>
        </w:rPr>
        <w:softHyphen/>
        <w:t>лись трещины по заклепочному шву в ниж</w:t>
      </w:r>
      <w:r w:rsidRPr="00C33834">
        <w:rPr>
          <w:rFonts w:ascii="Times New Roman" w:hAnsi="Times New Roman" w:cs="Times New Roman"/>
          <w:color w:val="0070C0"/>
          <w:spacing w:val="0"/>
          <w:sz w:val="16"/>
          <w:szCs w:val="16"/>
        </w:rPr>
        <w:softHyphen/>
        <w:t>ней обшивке центроплана и был разбит тер</w:t>
      </w:r>
      <w:r w:rsidRPr="00C33834">
        <w:rPr>
          <w:rFonts w:ascii="Times New Roman" w:hAnsi="Times New Roman" w:cs="Times New Roman"/>
          <w:color w:val="0070C0"/>
          <w:spacing w:val="0"/>
          <w:sz w:val="16"/>
          <w:szCs w:val="16"/>
        </w:rPr>
        <w:softHyphen/>
        <w:t>мометр, установленный на верхней обшив</w:t>
      </w:r>
      <w:r w:rsidRPr="00C33834">
        <w:rPr>
          <w:rFonts w:ascii="Times New Roman" w:hAnsi="Times New Roman" w:cs="Times New Roman"/>
          <w:color w:val="0070C0"/>
          <w:spacing w:val="0"/>
          <w:sz w:val="16"/>
          <w:szCs w:val="16"/>
        </w:rPr>
        <w:softHyphen/>
        <w:t>ке. Во втором вылете удалось выстрелить только 3 раза. Во время третьего выстрела на скорости 400 км/ч разрушился крон</w:t>
      </w:r>
      <w:r w:rsidRPr="00C33834">
        <w:rPr>
          <w:rFonts w:ascii="Times New Roman" w:hAnsi="Times New Roman" w:cs="Times New Roman"/>
          <w:color w:val="0070C0"/>
          <w:spacing w:val="0"/>
          <w:sz w:val="16"/>
          <w:szCs w:val="16"/>
        </w:rPr>
        <w:softHyphen/>
        <w:t>штейн флетнера руля высоты. Флетнер заклинило, и полет был прерван. Заводская бригада оперативно устранила дефект. 20 августа выполнили 31 полет на испытания шасси, 21-го - еще 24, плюс один вылет со стрельбой. Было произведено 14 выстрелов на скорости 250-300 км/ч. Дальнейшие испытания самолета на живучесть от арт- стрельбы посчитали невозможными: только хлопунов на поверхности крыла и центро</w:t>
      </w:r>
      <w:r w:rsidRPr="00C33834">
        <w:rPr>
          <w:rFonts w:ascii="Times New Roman" w:hAnsi="Times New Roman" w:cs="Times New Roman"/>
          <w:color w:val="0070C0"/>
          <w:spacing w:val="0"/>
          <w:sz w:val="16"/>
          <w:szCs w:val="16"/>
        </w:rPr>
        <w:softHyphen/>
        <w:t>плана насчитали 39, еще 26 обнаружили на рулях высоты. Кроме того, имелись много</w:t>
      </w:r>
      <w:r w:rsidRPr="00C33834">
        <w:rPr>
          <w:rFonts w:ascii="Times New Roman" w:hAnsi="Times New Roman" w:cs="Times New Roman"/>
          <w:color w:val="0070C0"/>
          <w:spacing w:val="0"/>
          <w:sz w:val="16"/>
          <w:szCs w:val="16"/>
        </w:rPr>
        <w:softHyphen/>
        <w:t>численные обрывы заклепок и вспучивание обшивки вокруг заклепок. Во множестве мест полки нервюр отходили вместе с обшивкой. Имелись места разрушения соединения стрингеров с нервюрами и пол</w:t>
      </w:r>
      <w:r w:rsidRPr="00C33834">
        <w:rPr>
          <w:rFonts w:ascii="Times New Roman" w:hAnsi="Times New Roman" w:cs="Times New Roman"/>
          <w:color w:val="0070C0"/>
          <w:spacing w:val="0"/>
          <w:sz w:val="16"/>
          <w:szCs w:val="16"/>
        </w:rPr>
        <w:softHyphen/>
        <w:t>ного разрыва обшивки.</w:t>
      </w:r>
    </w:p>
    <w:p w14:paraId="48F80A90" w14:textId="77777777" w:rsidR="00270580" w:rsidRPr="00C33834" w:rsidRDefault="00270580" w:rsidP="00C33834">
      <w:pPr>
        <w:pStyle w:val="17"/>
        <w:shd w:val="clear" w:color="auto" w:fill="auto"/>
        <w:spacing w:before="0" w:line="240" w:lineRule="auto"/>
        <w:ind w:firstLine="0"/>
        <w:jc w:val="both"/>
        <w:rPr>
          <w:rFonts w:ascii="Times New Roman" w:hAnsi="Times New Roman" w:cs="Times New Roman"/>
          <w:color w:val="0070C0"/>
          <w:spacing w:val="0"/>
          <w:sz w:val="16"/>
          <w:szCs w:val="16"/>
        </w:rPr>
      </w:pPr>
      <w:r w:rsidRPr="00C33834">
        <w:rPr>
          <w:rFonts w:ascii="Times New Roman" w:hAnsi="Times New Roman" w:cs="Times New Roman"/>
          <w:color w:val="0070C0"/>
          <w:spacing w:val="0"/>
          <w:sz w:val="16"/>
          <w:szCs w:val="16"/>
        </w:rPr>
        <w:t>Несмотря на многочисленные поврежде</w:t>
      </w:r>
      <w:r w:rsidRPr="00C33834">
        <w:rPr>
          <w:rFonts w:ascii="Times New Roman" w:hAnsi="Times New Roman" w:cs="Times New Roman"/>
          <w:color w:val="0070C0"/>
          <w:spacing w:val="0"/>
          <w:sz w:val="16"/>
          <w:szCs w:val="16"/>
        </w:rPr>
        <w:softHyphen/>
        <w:t>ния, испытания не прервали. Было выполне</w:t>
      </w:r>
      <w:r w:rsidRPr="00C33834">
        <w:rPr>
          <w:rFonts w:ascii="Times New Roman" w:hAnsi="Times New Roman" w:cs="Times New Roman"/>
          <w:color w:val="0070C0"/>
          <w:spacing w:val="0"/>
          <w:sz w:val="16"/>
          <w:szCs w:val="16"/>
        </w:rPr>
        <w:softHyphen/>
        <w:t>но еще 102 вылета на испытания шасси. Лета</w:t>
      </w:r>
      <w:r w:rsidRPr="00C33834">
        <w:rPr>
          <w:rFonts w:ascii="Times New Roman" w:hAnsi="Times New Roman" w:cs="Times New Roman"/>
          <w:color w:val="0070C0"/>
          <w:spacing w:val="0"/>
          <w:sz w:val="16"/>
          <w:szCs w:val="16"/>
        </w:rPr>
        <w:softHyphen/>
        <w:t>ли «блинчиком», дабы не создавать излиш</w:t>
      </w:r>
      <w:r w:rsidRPr="00C33834">
        <w:rPr>
          <w:rFonts w:ascii="Times New Roman" w:hAnsi="Times New Roman" w:cs="Times New Roman"/>
          <w:color w:val="0070C0"/>
          <w:spacing w:val="0"/>
          <w:sz w:val="16"/>
          <w:szCs w:val="16"/>
        </w:rPr>
        <w:softHyphen/>
        <w:t>них перегрузок, и 29 августа, как уже говори</w:t>
      </w:r>
      <w:r w:rsidRPr="00C33834">
        <w:rPr>
          <w:rFonts w:ascii="Times New Roman" w:hAnsi="Times New Roman" w:cs="Times New Roman"/>
          <w:color w:val="0070C0"/>
          <w:spacing w:val="0"/>
          <w:sz w:val="16"/>
          <w:szCs w:val="16"/>
        </w:rPr>
        <w:softHyphen/>
        <w:t>лось выше, даже установили своеобразный рекорд этих испытаний, выполнив в один день 67 полетов, правда, последний вылет закончился вынужденной посадкой на аэро</w:t>
      </w:r>
      <w:r w:rsidRPr="00C33834">
        <w:rPr>
          <w:rFonts w:ascii="Times New Roman" w:hAnsi="Times New Roman" w:cs="Times New Roman"/>
          <w:color w:val="0070C0"/>
          <w:spacing w:val="0"/>
          <w:sz w:val="16"/>
          <w:szCs w:val="16"/>
        </w:rPr>
        <w:softHyphen/>
        <w:t>дром - засорился жиклер карбюратора. Начальство решило судьбу больше не иску</w:t>
      </w:r>
      <w:r w:rsidRPr="00C33834">
        <w:rPr>
          <w:rFonts w:ascii="Times New Roman" w:hAnsi="Times New Roman" w:cs="Times New Roman"/>
          <w:color w:val="0070C0"/>
          <w:spacing w:val="0"/>
          <w:sz w:val="16"/>
          <w:szCs w:val="16"/>
        </w:rPr>
        <w:softHyphen/>
        <w:t>шать, и испытания прервали, отметив в заключении, что ввиду значительных разру</w:t>
      </w:r>
      <w:r w:rsidRPr="00C33834">
        <w:rPr>
          <w:rFonts w:ascii="Times New Roman" w:hAnsi="Times New Roman" w:cs="Times New Roman"/>
          <w:color w:val="0070C0"/>
          <w:spacing w:val="0"/>
          <w:sz w:val="16"/>
          <w:szCs w:val="16"/>
        </w:rPr>
        <w:softHyphen/>
        <w:t>шений и деформаций без капитального ремонта и устранения выявленных недостат</w:t>
      </w:r>
      <w:r w:rsidRPr="00C33834">
        <w:rPr>
          <w:rFonts w:ascii="Times New Roman" w:hAnsi="Times New Roman" w:cs="Times New Roman"/>
          <w:color w:val="0070C0"/>
          <w:spacing w:val="0"/>
          <w:sz w:val="16"/>
          <w:szCs w:val="16"/>
        </w:rPr>
        <w:softHyphen/>
        <w:t>ков ИП-1РЦФ-3 до дальнейших испытаний допущен быть не может (19933).</w:t>
      </w:r>
    </w:p>
    <w:p w14:paraId="6EBA1579" w14:textId="77777777" w:rsidR="00270580" w:rsidRPr="00C33834" w:rsidRDefault="00270580" w:rsidP="00C33834">
      <w:pPr>
        <w:shd w:val="clear" w:color="auto" w:fill="FFFFFF"/>
        <w:spacing w:after="0" w:line="240" w:lineRule="auto"/>
        <w:jc w:val="both"/>
        <w:rPr>
          <w:rFonts w:ascii="Times New Roman" w:hAnsi="Times New Roman"/>
          <w:color w:val="0070C0"/>
          <w:sz w:val="16"/>
          <w:szCs w:val="16"/>
        </w:rPr>
      </w:pPr>
    </w:p>
    <w:p w14:paraId="208017E6"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августа 1933 года было направлено письмо Гл. управления ГВФ № 15сс в Совнарком Базилевичу,</w:t>
      </w:r>
    </w:p>
    <w:p w14:paraId="6D218EB8"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копия управделами НКВМ ВВС, на № 3022/сс</w:t>
      </w:r>
    </w:p>
    <w:p w14:paraId="3B6D2394"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вопросу опытного самолето- и моторостроения</w:t>
      </w:r>
    </w:p>
    <w:p w14:paraId="64FAAC9F"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Реввоенсовет постановлением своим от 17 июля 1933 года (выписка от 21 июля 1933 года за № 3022/сс получена в ГУГВФ 22 июля 1933 года) по вопросу о ходе выполнения плана опытного самолето- и моторостроения и вооружения авиации просит СТО обязать меня как «самовольно прекратившего работы по плану опытного строительства ВВС, утвержденные СТО 4 июля 1932 года в части касающейся ГУГВФ в декадный срок представить новые сроки предъявления этих опытных самолетов на гос. испытания, согласованные с начальником ВВС».</w:t>
      </w:r>
    </w:p>
    <w:p w14:paraId="7FBD3104"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Сообщаю по существу вопроса:</w:t>
      </w:r>
    </w:p>
    <w:p w14:paraId="180E5DD1" w14:textId="77777777" w:rsidR="00487C9C" w:rsidRPr="00C33834" w:rsidRDefault="00487C9C" w:rsidP="00C33834">
      <w:pPr>
        <w:numPr>
          <w:ilvl w:val="0"/>
          <w:numId w:val="23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постановлением СТО от 4 июля 1932 года задание на опытное строительство было возложено на НИИ самолетный и НИАИ Ленинградского учебного комбината, коими и производилась разработка по означенному заданию.</w:t>
      </w:r>
    </w:p>
    <w:p w14:paraId="7A31DC09" w14:textId="77777777" w:rsidR="00487C9C" w:rsidRPr="00C33834" w:rsidRDefault="00487C9C" w:rsidP="00C33834">
      <w:pPr>
        <w:numPr>
          <w:ilvl w:val="0"/>
          <w:numId w:val="23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опытной постройки специальных машин встретилась необходимость в получении техусловий и денежных средств. Отношением от 5-7 января за № 77/сс на имя начальника ВВС Алксниса и в копии начальника НИИ ВВС были запрошены техусловия и денежные средства, но до сего времени не получено указаний в отношении сроков и денежных средств.</w:t>
      </w:r>
    </w:p>
    <w:p w14:paraId="65D33F8D" w14:textId="77777777" w:rsidR="00487C9C" w:rsidRPr="00C33834" w:rsidRDefault="00487C9C" w:rsidP="00C33834">
      <w:pPr>
        <w:numPr>
          <w:ilvl w:val="0"/>
          <w:numId w:val="23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апреля 1933 года за № 6/сс на Ваше имя мною было послано письмо с изложением положения дела проектирования постройки означенных машин с уведомлением: о неполучении ответа от Алксниса на запрос от 5-7 января за № 77 и о приостановлении работы Ленинградским учебным комбинатом вследствие отсутствия финансирования со стороны ВВС. Ответа от Вас до настоящего времени не получено.</w:t>
      </w:r>
    </w:p>
    <w:p w14:paraId="7439EED8" w14:textId="77777777" w:rsidR="00487C9C" w:rsidRPr="00C33834" w:rsidRDefault="00487C9C" w:rsidP="00C33834">
      <w:pPr>
        <w:numPr>
          <w:ilvl w:val="0"/>
          <w:numId w:val="23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апреля 1933 года за №9/с на Ваше имя мною послано второе письмо с уведомлением о чрезвычайной затяжке разрешения этого вопроса в целом в Штабе РККА, неполучения необходимых средств и об удовлетворении мною ходатайства Ленинградского учебного комбината – дальнейшие работы по постройке двух опытных самолетов прекратить. На мою просьбу о снятии указанного задания КО с ГУГВФ ответа от Вас не получено.</w:t>
      </w:r>
    </w:p>
    <w:p w14:paraId="6D8CC083" w14:textId="77777777" w:rsidR="00487C9C" w:rsidRPr="00C33834" w:rsidRDefault="00487C9C" w:rsidP="00C33834">
      <w:pPr>
        <w:pStyle w:val="a3"/>
        <w:widowControl/>
        <w:rPr>
          <w:color w:val="000000" w:themeColor="text1"/>
          <w:lang w:val="ru-RU"/>
        </w:rPr>
      </w:pPr>
      <w:r w:rsidRPr="00C33834">
        <w:rPr>
          <w:color w:val="000000" w:themeColor="text1"/>
          <w:lang w:val="ru-RU"/>
        </w:rPr>
        <w:t>Ввиду изложенного Постановление РВС от 17 июля 1933 года не отвечает действительному положению дела.</w:t>
      </w:r>
    </w:p>
    <w:p w14:paraId="4BC25F18"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Прошу вашего распоряжения:</w:t>
      </w:r>
    </w:p>
    <w:p w14:paraId="7AC6FF25" w14:textId="77777777" w:rsidR="00487C9C" w:rsidRPr="00C33834" w:rsidRDefault="00487C9C" w:rsidP="00C33834">
      <w:pPr>
        <w:numPr>
          <w:ilvl w:val="0"/>
          <w:numId w:val="24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Снять с Аэрофлота постройку опытных машин У3-бис-48, У3-М52 и МБР-5.</w:t>
      </w:r>
    </w:p>
    <w:p w14:paraId="3F373011" w14:textId="77777777" w:rsidR="00487C9C" w:rsidRPr="00C33834" w:rsidRDefault="00487C9C" w:rsidP="00C33834">
      <w:pPr>
        <w:numPr>
          <w:ilvl w:val="0"/>
          <w:numId w:val="24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Оставить за Аэрофлотом проектирование и постройку тяжелых химических боевых Х1-2М-34 (он же Сталь-5).</w:t>
      </w:r>
    </w:p>
    <w:p w14:paraId="433BDF4E"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ведется по сметам НИИ самолетного ГУГВФ.. (4223,15).</w:t>
      </w:r>
    </w:p>
    <w:p w14:paraId="6AF29916"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1ADB84D8" w14:textId="77777777" w:rsidR="00270580" w:rsidRPr="00C33834" w:rsidRDefault="002705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 состоянию на 4 августа 1933 два первых автожира А-4 (московской и киевской постройки) совершили 28 полетов с общим полетным временем 7 часов 53 минуты (20381).</w:t>
      </w:r>
    </w:p>
    <w:p w14:paraId="72840D6F" w14:textId="77777777" w:rsidR="00270580" w:rsidRPr="00C33834" w:rsidRDefault="00270580" w:rsidP="00C33834">
      <w:pPr>
        <w:spacing w:after="0" w:line="240" w:lineRule="auto"/>
        <w:jc w:val="both"/>
        <w:rPr>
          <w:rFonts w:ascii="Times New Roman" w:hAnsi="Times New Roman"/>
          <w:color w:val="0070C0"/>
          <w:sz w:val="16"/>
          <w:szCs w:val="16"/>
        </w:rPr>
      </w:pPr>
    </w:p>
    <w:p w14:paraId="77E7D474"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августа 1933 г. при рассмотрении программы испытаний готового стратостата Осоавиахим-1 на заседании научно-экспертного консультационного совета были поставлены вопросы и высказаны мнения:</w:t>
      </w:r>
    </w:p>
    <w:p w14:paraId="13CE62E6"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люк гондолы с отдельными болтами, хотя бы их было 12 штук, не дает никакой гарантии, что им сумеют воспользоваться во время аварии. Следует отказаться от заболчивания люка и перейти к креплению типа заклинения, которое даст возможность моментально открывать люк. Т. Федосеенко возражал против этой новой конструкции, т. к. это значило делать новую гондолу. Вместе с тем, т. Федосеенко считал, что при аварии на 16.000 м люк все равно может быть открыт только на 6.000 м (люк закрывается при подъеме в этой зоне и давление внутреннее и наружное уравновешивается только на этой высоте). При падении камнем с этой высоты сам стратостат будет служить парашютом. Тов. Ильин требовал обязательной переделки люка, но в конечном счете передали вопрос на разрешение комиссии из инженеров Чертовского, Спасского, Кирпичникова и Синицына. Решения этой комиссии нигде не зафиксировано, но люк фактически остался прежней конструкции.</w:t>
      </w:r>
    </w:p>
    <w:p w14:paraId="6FB4D5A9"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Сбрасыватели балласта также вызывали вопросы и сомнения, т. к. пропуск через них дроби с перекрытием трубки кранами требовал и внимательности и работы в спокойных условиях. На том же заседании ставился вопрос о жидкостном балласте и как сбрасывать балласт за счет инструмента и приборов, если люк не может быть быстро открыт. Тов. Федосеенко считал, что объем жидкости будет слишком велик и в гондоле неудобен, поэтому следует остаться при старой конструкции сбрасывателей и роде балласта. Он приводил расчет на основе испытаний, что балласт в 800 кг может быть сброшен в 800 сек. без учета промежутков на открывание и закрывание кранов. Балластосбрасыватели остались старой конструкции, т. е. с одновременной загрузкой воронки на 20 кг. </w:t>
      </w:r>
    </w:p>
    <w:p w14:paraId="0775B8DF"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 Вопрос использования оболочки как парашюта в критических положениях при спуске не получил ясного разрешения. При обсуждении вопроса о закреплении уздечки от разрывного, инженер Васенко [говорил:] «если падение будет очень быстрым, уздечка не выдержит и оборвется сама, воображаемый парашют у нас получится, но как он будет работать, этот вопрос не исследован». </w:t>
      </w:r>
    </w:p>
    <w:p w14:paraId="4A41FBE2"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Председатель совещания т. Барандохин считал, что этот вопрос имеет две точки зрения и трудно докопаться, кто прав, что ни к каким выводам сейчас прийти нельзя, но в практической работе нужно еще раз это продумать. Вопрос о парашютировании остался неразрешенным (11611).</w:t>
      </w:r>
    </w:p>
    <w:p w14:paraId="6068E1C5" w14:textId="77777777" w:rsidR="00487C9C" w:rsidRPr="00C33834" w:rsidRDefault="00487C9C" w:rsidP="00C33834">
      <w:pPr>
        <w:spacing w:after="0" w:line="240" w:lineRule="auto"/>
        <w:jc w:val="both"/>
        <w:rPr>
          <w:rFonts w:ascii="Times New Roman" w:hAnsi="Times New Roman"/>
          <w:iCs/>
          <w:color w:val="000000" w:themeColor="text1"/>
          <w:sz w:val="16"/>
          <w:szCs w:val="16"/>
        </w:rPr>
      </w:pPr>
    </w:p>
    <w:p w14:paraId="17227C1A" w14:textId="77777777" w:rsidR="00270580" w:rsidRPr="00C33834" w:rsidRDefault="002705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августа 1933 г. «СССР В-2» прибыл в Кронштадт и оттуда с флотом проследовал в открытое море. Исполняя роль сторожевого охранения, аэронав</w:t>
      </w:r>
      <w:r w:rsidRPr="00C33834">
        <w:rPr>
          <w:rFonts w:ascii="Times New Roman" w:hAnsi="Times New Roman"/>
          <w:color w:val="0070C0"/>
          <w:sz w:val="16"/>
          <w:szCs w:val="16"/>
        </w:rPr>
        <w:softHyphen/>
        <w:t>ты продемонстрировали морякам все возмож</w:t>
      </w:r>
      <w:r w:rsidRPr="00C33834">
        <w:rPr>
          <w:rFonts w:ascii="Times New Roman" w:hAnsi="Times New Roman"/>
          <w:color w:val="0070C0"/>
          <w:sz w:val="16"/>
          <w:szCs w:val="16"/>
        </w:rPr>
        <w:softHyphen/>
        <w:t>ности дирижабля: изменение скоростей и высот, зависание над определённой точкой, маневриро</w:t>
      </w:r>
      <w:r w:rsidRPr="00C33834">
        <w:rPr>
          <w:rFonts w:ascii="Times New Roman" w:hAnsi="Times New Roman"/>
          <w:color w:val="0070C0"/>
          <w:sz w:val="16"/>
          <w:szCs w:val="16"/>
        </w:rPr>
        <w:softHyphen/>
        <w:t>вание, осуществление связи с кораблями. Экипаж «СССР В-2» установил почти все действия кораб</w:t>
      </w:r>
      <w:r w:rsidRPr="00C33834">
        <w:rPr>
          <w:rFonts w:ascii="Times New Roman" w:hAnsi="Times New Roman"/>
          <w:color w:val="0070C0"/>
          <w:sz w:val="16"/>
          <w:szCs w:val="16"/>
        </w:rPr>
        <w:softHyphen/>
        <w:t>лей флота. Это произвело большое впечатление на моряков: «Подобного рода полнота наблюде</w:t>
      </w:r>
      <w:r w:rsidRPr="00C33834">
        <w:rPr>
          <w:rFonts w:ascii="Times New Roman" w:hAnsi="Times New Roman"/>
          <w:color w:val="0070C0"/>
          <w:sz w:val="16"/>
          <w:szCs w:val="16"/>
        </w:rPr>
        <w:softHyphen/>
        <w:t>ний одним дирижаблем, помимо использования возможностей в качестве сторожевого охране</w:t>
      </w:r>
      <w:r w:rsidRPr="00C33834">
        <w:rPr>
          <w:rFonts w:ascii="Times New Roman" w:hAnsi="Times New Roman"/>
          <w:color w:val="0070C0"/>
          <w:sz w:val="16"/>
          <w:szCs w:val="16"/>
        </w:rPr>
        <w:softHyphen/>
        <w:t>ния, выдвигает его как средство, могущее быть широко использовано командованием Морских Сил или соединения для личного контроля над ходом упражнения как всем флотом, так и его со</w:t>
      </w:r>
      <w:r w:rsidRPr="00C33834">
        <w:rPr>
          <w:rFonts w:ascii="Times New Roman" w:hAnsi="Times New Roman"/>
          <w:color w:val="0070C0"/>
          <w:sz w:val="16"/>
          <w:szCs w:val="16"/>
        </w:rPr>
        <w:softHyphen/>
        <w:t>единениями».</w:t>
      </w:r>
    </w:p>
    <w:p w14:paraId="20FFB0D6" w14:textId="77777777" w:rsidR="00270580" w:rsidRPr="00C33834" w:rsidRDefault="002705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Общий итог учений оказался благоприятным для дирижаблей. Комиссия Морских сил РККА предложила руководству начать финансирова</w:t>
      </w:r>
      <w:r w:rsidRPr="00C33834">
        <w:rPr>
          <w:rFonts w:ascii="Times New Roman" w:hAnsi="Times New Roman"/>
          <w:color w:val="0070C0"/>
          <w:sz w:val="16"/>
          <w:szCs w:val="16"/>
        </w:rPr>
        <w:softHyphen/>
        <w:t>ние проекта специального морского дирижабля и приступить к подготовке воздухоплавательных кадров для Морских сил (20120).</w:t>
      </w:r>
    </w:p>
    <w:p w14:paraId="0C2FCED9" w14:textId="77777777" w:rsidR="00270580" w:rsidRPr="00C33834" w:rsidRDefault="00270580" w:rsidP="00C33834">
      <w:pPr>
        <w:spacing w:after="0" w:line="240" w:lineRule="auto"/>
        <w:jc w:val="both"/>
        <w:rPr>
          <w:rFonts w:ascii="Times New Roman" w:hAnsi="Times New Roman"/>
          <w:color w:val="0070C0"/>
          <w:sz w:val="16"/>
          <w:szCs w:val="16"/>
        </w:rPr>
      </w:pPr>
    </w:p>
    <w:p w14:paraId="67C246BB" w14:textId="77777777" w:rsidR="00270580" w:rsidRPr="00C33834" w:rsidRDefault="00270580"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32067C6" w14:textId="77777777" w:rsidR="00270580" w:rsidRPr="00C33834" w:rsidRDefault="00270580" w:rsidP="00C33834">
      <w:pPr>
        <w:spacing w:after="0" w:line="240" w:lineRule="auto"/>
        <w:jc w:val="both"/>
        <w:rPr>
          <w:rFonts w:ascii="Times New Roman" w:hAnsi="Times New Roman"/>
          <w:iCs/>
          <w:color w:val="000000" w:themeColor="text1"/>
          <w:sz w:val="16"/>
          <w:szCs w:val="16"/>
        </w:rPr>
      </w:pPr>
    </w:p>
    <w:p w14:paraId="2DC08461" w14:textId="77777777" w:rsidR="00270580" w:rsidRPr="00C33834" w:rsidRDefault="002705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августа 1933 опросом членов ПБ</w:t>
      </w:r>
    </w:p>
    <w:p w14:paraId="4DA34CBD" w14:textId="77777777" w:rsidR="00270580" w:rsidRPr="00C33834" w:rsidRDefault="002705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31/17.- Вопрос т. Ворошилова..</w:t>
      </w:r>
    </w:p>
    <w:p w14:paraId="0CC3BDCA" w14:textId="77777777" w:rsidR="00270580" w:rsidRPr="00C33834" w:rsidRDefault="002705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Командировать в Италию для приемки у фирмы Пелегатти забортных моторов сроком на один месяц т. Грубила Е.Ю.</w:t>
      </w:r>
    </w:p>
    <w:p w14:paraId="4C549AAA" w14:textId="77777777" w:rsidR="00270580" w:rsidRPr="00C33834" w:rsidRDefault="002705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Выписа послана: т. т. Ворошилову, Артузову.</w:t>
      </w:r>
    </w:p>
    <w:p w14:paraId="64BE5302" w14:textId="77777777" w:rsidR="00270580" w:rsidRPr="00C33834" w:rsidRDefault="0027058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августа 1933 состоялось заседание ПБ и был оформлен протокол № 143 (22993)</w:t>
      </w:r>
    </w:p>
    <w:p w14:paraId="7483591A" w14:textId="77777777" w:rsidR="00270580" w:rsidRPr="00C33834" w:rsidRDefault="00270580" w:rsidP="00C33834">
      <w:pPr>
        <w:spacing w:after="0" w:line="240" w:lineRule="auto"/>
        <w:jc w:val="both"/>
        <w:rPr>
          <w:rFonts w:ascii="Times New Roman" w:hAnsi="Times New Roman"/>
          <w:color w:val="0070C0"/>
          <w:sz w:val="16"/>
          <w:szCs w:val="16"/>
        </w:rPr>
      </w:pPr>
    </w:p>
    <w:p w14:paraId="32AA2626" w14:textId="77777777" w:rsidR="00487C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448642A4"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6DB76850"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августа 1933 появилось еще и постановление ЦИК «О предоставлении льгот участникам строительства Беломорско-Балтийского канала имени Сталина»:</w:t>
      </w:r>
    </w:p>
    <w:p w14:paraId="3029C3FE"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связи с успешным окончанием строительства Беломорско-Балтийского канала имени т. Сталина, имеющего огромное народнохозяйственное значение, и передачей канала в эксплуатацию - ЦИК СССР постановляет:</w:t>
      </w:r>
    </w:p>
    <w:p w14:paraId="4D50B5B9"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Принять к сведению, что к моменту окончания строительства Беломорско-Балтийского канала имени т. Сталина органами ОГПУ СССР уже полностью освобождены от дальнейшего отбывания мер социальной защиты - 12.484 человека, как наиболее исправившиеся и ставшие полезными для социалистического строительства, и сокращены сроки отбывания мер социальной защиты в отношении 59.516 человек, осужденных на разные сроки и проявивших себя энергичными работниками на строительстве.</w:t>
      </w:r>
    </w:p>
    <w:p w14:paraId="2C585ADE"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За самоотверженную работу на строительстве Беломорско-Балтийского канала имени тов. Сталина снять судимость и восстановить в гражданских правах 500 человек по представленному ОГПУ СССР списку.</w:t>
      </w:r>
    </w:p>
    <w:p w14:paraId="54A2B643"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Поручить ОГПУ СССР обеспечить дальнейшее поднятие квалификации в строительном деле наиболее талантливых работников из числа бывших уголовников-рецидивистов и при поступлении их в учебные заведения обеспечить стипендией» (7560).</w:t>
      </w:r>
    </w:p>
    <w:p w14:paraId="01370A5A"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3794C249" w14:textId="77777777" w:rsidR="00EB25C4" w:rsidRPr="00C33834" w:rsidRDefault="00EB25C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августа в 1933 году Генрих Ягода и большая группа его подчиненных награждаются орденами, а Беломорканал окажется несудоходным (14973).</w:t>
      </w:r>
    </w:p>
    <w:p w14:paraId="60EE4F13" w14:textId="77777777" w:rsidR="00EB25C4" w:rsidRPr="00C33834" w:rsidRDefault="00EB25C4" w:rsidP="00C33834">
      <w:pPr>
        <w:spacing w:after="0" w:line="240" w:lineRule="auto"/>
        <w:jc w:val="both"/>
        <w:rPr>
          <w:rFonts w:ascii="Times New Roman" w:hAnsi="Times New Roman"/>
          <w:color w:val="000000" w:themeColor="text1"/>
          <w:sz w:val="16"/>
          <w:szCs w:val="16"/>
        </w:rPr>
      </w:pPr>
    </w:p>
    <w:p w14:paraId="315C6811" w14:textId="77777777" w:rsidR="00487C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11117B0" w14:textId="77777777" w:rsidR="00487C9C" w:rsidRPr="00C33834" w:rsidRDefault="00487C9C" w:rsidP="00C33834">
      <w:pPr>
        <w:spacing w:after="0" w:line="240" w:lineRule="auto"/>
        <w:jc w:val="both"/>
        <w:rPr>
          <w:rFonts w:ascii="Times New Roman" w:hAnsi="Times New Roman"/>
          <w:iCs/>
          <w:color w:val="000000" w:themeColor="text1"/>
          <w:sz w:val="16"/>
          <w:szCs w:val="16"/>
        </w:rPr>
      </w:pPr>
    </w:p>
    <w:p w14:paraId="3002C822"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августа 1933 командующий ВМС США Томас Г. В. Сеттл пытается установить новый рекорд высоты на «Веке прогресса» - воздушном шаре диаметром 105 футов (32 метра) и объемом 600000 кубических футов (16 990 кубических метров) с герметичной гондолой. Запущенный с поля Солдат в Чикаго, штат Иллинойс, его полет достигает высоты всего 5 000 футов (1524 метра) и длится всего 15 минут, прежде чем воздушный шар опускается обратно на землю из-за приоткрытого клапана (20802).</w:t>
      </w:r>
    </w:p>
    <w:p w14:paraId="75C492EB" w14:textId="77777777" w:rsidR="00B80264" w:rsidRPr="00C33834" w:rsidRDefault="00B80264" w:rsidP="00C33834">
      <w:pPr>
        <w:spacing w:after="0" w:line="240" w:lineRule="auto"/>
        <w:jc w:val="both"/>
        <w:rPr>
          <w:rFonts w:ascii="Times New Roman" w:hAnsi="Times New Roman"/>
          <w:color w:val="0070C0"/>
          <w:sz w:val="16"/>
          <w:szCs w:val="16"/>
        </w:rPr>
      </w:pPr>
    </w:p>
    <w:p w14:paraId="47C687AA"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августа 1933 нацистское приветствие рукой стало обязательным для всех жителей Германии (4962).</w:t>
      </w:r>
    </w:p>
    <w:p w14:paraId="264F5E99"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p>
    <w:p w14:paraId="4DECE541"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августа 1933 была всеобщая забастовка на Кубе (3960, 303).</w:t>
      </w:r>
    </w:p>
    <w:p w14:paraId="1423C801"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p>
    <w:p w14:paraId="3BBC9C97" w14:textId="77777777" w:rsidR="00487C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DD0189C" w14:textId="77777777" w:rsidR="00487C9C" w:rsidRPr="00C33834" w:rsidRDefault="00487C9C" w:rsidP="00C33834">
      <w:pPr>
        <w:spacing w:after="0" w:line="240" w:lineRule="auto"/>
        <w:jc w:val="both"/>
        <w:rPr>
          <w:rFonts w:ascii="Times New Roman" w:hAnsi="Times New Roman"/>
          <w:iCs/>
          <w:color w:val="000000" w:themeColor="text1"/>
          <w:sz w:val="16"/>
          <w:szCs w:val="16"/>
        </w:rPr>
      </w:pPr>
    </w:p>
    <w:p w14:paraId="434CE4A6"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5 августа 1933 в полете на ТБ-4 с тандемной установки сорвало задний капот, который ударом расколол винт. Самолет поставили на ремонт. Воспользовавшись паузой, переделали оперение. Изменили угол установки стабилизатора, подрезали руль направления. Это действительно улучшило путевую устойчивость. В то же время на самолете поставили новые винты: это благотворно сказалось на максимальной скорости (12024).</w:t>
      </w:r>
    </w:p>
    <w:p w14:paraId="77EC952F"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4A2426F5"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августа 1933 закончились испытания самолета И7 №4449 (эталон на 1933 год) с мотором М-17 № 262646, которые проходили с 1 августа 1933 (6786).</w:t>
      </w:r>
    </w:p>
    <w:p w14:paraId="67F75AA5"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175D5D63"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Проверка летных данных самолета И7-М17 № 4449 эталона на 1933 год после улучшения обтекателей узлов стоек, новых моторных капотов и установки обтекателя на колесах.</w:t>
      </w:r>
    </w:p>
    <w:p w14:paraId="73D45296"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33714A77" w14:textId="77777777" w:rsidR="00487C9C" w:rsidRPr="00C33834" w:rsidRDefault="00487C9C" w:rsidP="00C33834">
      <w:pPr>
        <w:numPr>
          <w:ilvl w:val="0"/>
          <w:numId w:val="24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И7-М17 № 4449 может быть утвержден как эталон на 1933 год (с доработками).</w:t>
      </w:r>
    </w:p>
    <w:p w14:paraId="1C428861"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3F76C037"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Часовиков</w:t>
      </w:r>
    </w:p>
    <w:p w14:paraId="49B8C2B0"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Кокинаки</w:t>
      </w:r>
    </w:p>
    <w:p w14:paraId="5011C96E"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p w14:paraId="55696597"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получен с завода № 1 - 1 августа 1933 года</w:t>
      </w:r>
    </w:p>
    <w:p w14:paraId="476B2985"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километраж по программе - 2 августа 1933 года</w:t>
      </w:r>
    </w:p>
    <w:p w14:paraId="7524C115"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и скорости по высотам – 3 августа 1933 года</w:t>
      </w:r>
    </w:p>
    <w:p w14:paraId="1E1046CE"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и скорости по высотам – 3 августа 1933 года</w:t>
      </w:r>
    </w:p>
    <w:p w14:paraId="71791032"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Второй километраж по программе - 3 августа 1933 года</w:t>
      </w:r>
    </w:p>
    <w:p w14:paraId="4C6F3351"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Километраж без обтекателей на колесах - 4 августа 1933 года</w:t>
      </w:r>
    </w:p>
    <w:p w14:paraId="61108CA8"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бомбометание учебными бомбами - 4 августа 1933 года</w:t>
      </w:r>
    </w:p>
    <w:p w14:paraId="52F0E7E4"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сдан на завод № 1 – 5 августа 1933 года (6786).</w:t>
      </w:r>
    </w:p>
    <w:p w14:paraId="7EFCEE04"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p>
    <w:p w14:paraId="484407A3"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августа 1933 года Начальник НИИ ВВС Зильберт утвердил протокол Тактико-технического совещания НИИ ВВС (Журнал № 4) от 25 июля 1933 года (6788).</w:t>
      </w:r>
    </w:p>
    <w:p w14:paraId="74E5DF8A"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Перечень разбиравшихся вопросов</w:t>
      </w:r>
    </w:p>
    <w:p w14:paraId="31BD9D7B" w14:textId="77777777" w:rsidR="00487C9C" w:rsidRPr="00C33834" w:rsidRDefault="00487C9C" w:rsidP="00C33834">
      <w:pPr>
        <w:numPr>
          <w:ilvl w:val="0"/>
          <w:numId w:val="24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Тактические требования к транспортному самолету. Докладчик Гребенев.</w:t>
      </w:r>
    </w:p>
    <w:p w14:paraId="524F4456" w14:textId="77777777" w:rsidR="00487C9C" w:rsidRPr="00C33834" w:rsidRDefault="00487C9C" w:rsidP="00C33834">
      <w:pPr>
        <w:numPr>
          <w:ilvl w:val="0"/>
          <w:numId w:val="24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Возможность военного использования самолета АИР-4. Докладчик Ковалев.</w:t>
      </w:r>
    </w:p>
    <w:p w14:paraId="45FD6A1D" w14:textId="77777777" w:rsidR="00487C9C" w:rsidRPr="00C33834" w:rsidRDefault="00487C9C" w:rsidP="00C33834">
      <w:pPr>
        <w:numPr>
          <w:ilvl w:val="0"/>
          <w:numId w:val="24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Эскизно-схематический проект понтона-гидроаэродрома. Докладчик Орехов (6788).</w:t>
      </w:r>
    </w:p>
    <w:p w14:paraId="25DCB054" w14:textId="77777777" w:rsidR="00487C9C" w:rsidRPr="00C33834" w:rsidRDefault="00487C9C" w:rsidP="00C33834">
      <w:pPr>
        <w:tabs>
          <w:tab w:val="left" w:pos="360"/>
          <w:tab w:val="left" w:pos="11199"/>
        </w:tabs>
        <w:spacing w:after="0" w:line="240" w:lineRule="auto"/>
        <w:jc w:val="both"/>
        <w:rPr>
          <w:rFonts w:ascii="Times New Roman" w:hAnsi="Times New Roman"/>
          <w:color w:val="000000" w:themeColor="text1"/>
          <w:sz w:val="16"/>
          <w:szCs w:val="16"/>
        </w:rPr>
      </w:pPr>
    </w:p>
    <w:p w14:paraId="1E655F88"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августа 1933 ЦК и авиаконструкторы обсуждали положение в гидросамолетостроении. Это была первая встреча Г.М.Бериева с И.В.Сталиным (66,155).</w:t>
      </w:r>
    </w:p>
    <w:p w14:paraId="320EB627"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796ED686"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рассказам А.С.Я. С.В.И. был вызван 5 августа 1933 к К.Е.В., где был П.И.Баранов. Поехали на дачу И.В.С., где состоялось совещание по авиационным вопросам. В основном темой была морская авиация. После трех часов совещания играли в городки. С.В.И. играл на равных с И.В.С. Далее опять было совещание до ночи (74,86).</w:t>
      </w:r>
    </w:p>
    <w:p w14:paraId="2C28C326"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Посещение С.В.Ильюшиным в августе 1933 совместно с П.И.Барановым (а также Я.И.Алкснисом, А.Н.Туполевым, Погосским, К.Е.Ворошиловым) дачи И.В.Сталина (24,69) сыграло важную роль в его судьбе.</w:t>
      </w:r>
    </w:p>
    <w:p w14:paraId="32D35502"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Через несколько дней после совещания у И.В.Сталина С.В.И. и Г.М.Бериева вызвали в Реввоенсовет и сообщили, что МБР-2 принят на вооружение ВМС и С.В.И. поздравил Г.М.Бериева как авиаконструктора. Решили запускать в Таганроге (директор - Ф.П.Мурашев - выпускник Промакадемии) вместо Ш-2 и Савойя-62бис. Вышло соответствующее постановление правительства. запустили в 1933 и сделали 1400 (79,208).</w:t>
      </w:r>
    </w:p>
    <w:p w14:paraId="7070FD26"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С.В.И. пытался дать самостоятельность Г.М.Бериеву и заставить Д.П.Г., получившему задание на четырехмоторный морской бомбардировщик, консультировать его. Д.П.Г. отказался и отказался от гидро вообще передав группу Р.Л.Бартини и похвалив его проект 40 тонного самолета, а сам - стал заниматься ПИ (79,131).</w:t>
      </w:r>
    </w:p>
    <w:p w14:paraId="39AC8953"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2B1D0BFF"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августа 1933 г. С.В.Ильюшин был вызван к наркому обороны К.Е.Ворошилову. В приемной он встретил начальника ВАО П.И.Баранова, начальника ВВС Я.И.Алксниса, А.Н.Туполева и его заместителя И.И.По-госского, начальника бригады морских самолетов КОСОС. Выйдя к собравшимся и не говоря ни слова о цели встречи, К.Е.Ворошилов предложил всем пройти к ожидавшим их машинам. Выехав со двора наркомата, машины помчались за город, на дачу Сталина, где состоялось совещание по авиационным вопросам. Сначала обсудили вопрос о выпуске летающих лодок на одном из заводов, а затем перешли к главному - как решить проблему создания легких и мощных двигателей воздушного и жидкостного охлаждения. П.И.Баранов предложил закупить лицензии на производство в СССР лучших зарубежных двигателей. Суждения всех сводились к одному: целесообразно сделать это как можно скорее. Тут же была предложена комиссия для поездки за границу, в которую вошли, в частности, С.В.Ильюшин и В.Я.Климов. Сталин подвел итог: «Комиссии без лицензии не приезжать!» (9528).</w:t>
      </w:r>
    </w:p>
    <w:p w14:paraId="1461FD1F"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0E384CAE"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августа 1933 года новостройку ЗГО - Сибмашстроя - будущего завода № 153 - посетил нарком тяжелой промышленности Серго Орджоникидзе. Он мог уже воочию познакомиться с ремонтно-механическим, инструментальным и модельными цехами, со строительством кочегарки, побывал и в общежитии котельно-вагонеточного цеха. Этой поездкой наркома были определены новые направления и перспективы строительства - в процессе стройки, в 1933 году, завод изменил свой профиль и стал называться «Сибмашстрой», начав выполнять государственные заказы по изготовлению запчастей для тракторов, комбайнов и мелкого инструмента. А позднее начался выпуск простейших сельскохозяйственных машин (льнотрепалки) и освоение массового производства насосов типа «Комсомолец» (10764).</w:t>
      </w:r>
    </w:p>
    <w:p w14:paraId="20E26E74"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29B4174F" w14:textId="77777777" w:rsidR="00487C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CEEE9E4" w14:textId="77777777" w:rsidR="00487C9C" w:rsidRPr="00C33834" w:rsidRDefault="00487C9C" w:rsidP="00C33834">
      <w:pPr>
        <w:spacing w:after="0" w:line="240" w:lineRule="auto"/>
        <w:jc w:val="both"/>
        <w:rPr>
          <w:rFonts w:ascii="Times New Roman" w:hAnsi="Times New Roman"/>
          <w:iCs/>
          <w:color w:val="000000" w:themeColor="text1"/>
          <w:sz w:val="16"/>
          <w:szCs w:val="16"/>
        </w:rPr>
      </w:pPr>
    </w:p>
    <w:p w14:paraId="748FD8DE"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августа 1933 Реввоенсовет одобрил уточненную "Систему артиллерийского вооружения на вторую пятилетку" (1073,34).</w:t>
      </w:r>
    </w:p>
    <w:p w14:paraId="4D7FC564"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39C47A33" w14:textId="77777777" w:rsidR="00487C9C" w:rsidRPr="00C33834" w:rsidRDefault="00487C9C" w:rsidP="00C33834">
      <w:pPr>
        <w:pStyle w:val="a8"/>
        <w:widowControl/>
        <w:jc w:val="both"/>
        <w:rPr>
          <w:rFonts w:ascii="Times New Roman" w:hAnsi="Times New Roman" w:cs="Times New Roman"/>
          <w:color w:val="000000" w:themeColor="text1"/>
        </w:rPr>
      </w:pPr>
      <w:r w:rsidRPr="00C33834">
        <w:rPr>
          <w:rFonts w:ascii="Times New Roman" w:hAnsi="Times New Roman" w:cs="Times New Roman"/>
          <w:color w:val="000000" w:themeColor="text1"/>
        </w:rPr>
        <w:t>5 августа 1933 года РВС СССР утвердил "Систему артвооружения РККА на вторую пятилетку" (9641).</w:t>
      </w:r>
    </w:p>
    <w:p w14:paraId="4190CD72" w14:textId="77777777" w:rsidR="00487C9C" w:rsidRPr="00C33834" w:rsidRDefault="00487C9C" w:rsidP="00C33834">
      <w:pPr>
        <w:pStyle w:val="a8"/>
        <w:widowControl/>
        <w:jc w:val="both"/>
        <w:rPr>
          <w:rFonts w:ascii="Times New Roman" w:hAnsi="Times New Roman" w:cs="Times New Roman"/>
          <w:color w:val="000000" w:themeColor="text1"/>
        </w:rPr>
      </w:pPr>
    </w:p>
    <w:p w14:paraId="6B265CDD" w14:textId="77777777" w:rsidR="00716C34" w:rsidRPr="00C33834" w:rsidRDefault="00716C34" w:rsidP="00C33834">
      <w:pPr>
        <w:pStyle w:val="rtejustify"/>
        <w:spacing w:before="0" w:after="0"/>
        <w:rPr>
          <w:color w:val="000000" w:themeColor="text1"/>
          <w:sz w:val="16"/>
          <w:szCs w:val="16"/>
        </w:rPr>
      </w:pPr>
      <w:r w:rsidRPr="00C33834">
        <w:rPr>
          <w:rStyle w:val="af0"/>
          <w:bCs/>
          <w:i w:val="0"/>
          <w:color w:val="000000" w:themeColor="text1"/>
          <w:sz w:val="16"/>
          <w:szCs w:val="16"/>
        </w:rPr>
        <w:t>5 августа</w:t>
      </w:r>
      <w:r w:rsidRPr="00C33834">
        <w:rPr>
          <w:rStyle w:val="af0"/>
          <w:rFonts w:eastAsiaTheme="majorEastAsia"/>
          <w:bCs/>
          <w:i w:val="0"/>
          <w:color w:val="000000" w:themeColor="text1"/>
          <w:sz w:val="16"/>
          <w:szCs w:val="16"/>
        </w:rPr>
        <w:t xml:space="preserve"> 1933</w:t>
      </w:r>
      <w:r w:rsidRPr="00C33834">
        <w:rPr>
          <w:color w:val="000000" w:themeColor="text1"/>
          <w:sz w:val="16"/>
          <w:szCs w:val="16"/>
        </w:rPr>
        <w:t>. Проект постановления «О системе артиллерийского вооружения РККА на вторую пятилетку». (РГВА. Ф. 4. Оп. 18. Д. 23. Л. 307</w:t>
      </w:r>
      <w:r w:rsidRPr="00C33834">
        <w:rPr>
          <w:color w:val="000000" w:themeColor="text1"/>
          <w:sz w:val="16"/>
          <w:szCs w:val="16"/>
        </w:rPr>
        <w:noBreakHyphen/>
        <w:t>313) (15461).</w:t>
      </w:r>
    </w:p>
    <w:p w14:paraId="39C56AF2" w14:textId="77777777" w:rsidR="00716C34" w:rsidRPr="00C33834" w:rsidRDefault="00716C34" w:rsidP="00C33834">
      <w:pPr>
        <w:pStyle w:val="rtejustify"/>
        <w:spacing w:before="0" w:after="0"/>
        <w:rPr>
          <w:rStyle w:val="af0"/>
          <w:bCs/>
          <w:i w:val="0"/>
          <w:color w:val="000000" w:themeColor="text1"/>
          <w:sz w:val="16"/>
          <w:szCs w:val="16"/>
        </w:rPr>
      </w:pPr>
    </w:p>
    <w:p w14:paraId="5DF602C2"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августа 1933 г. было принято Постановление РВС СССР «О системе артиллерийского вооружения на вторую пятилетку (1933-1937 гг.)», 11 января 1934 г. система была утверждена Наркомом обороны СССР. 22 марта 1934 г. данное Постановление РВС СССР было принято СТО СССР. В основе данной системы лежала идея создания универсальных орудий, которые сочетали бы в себе характеристики и возможности систем различных видов. Что касается орудий артиллерии ближнего боя, основным видом признавались мортиры – минометы в данной системе отсутствовали.220 (20074).</w:t>
      </w:r>
    </w:p>
    <w:p w14:paraId="41D4B6CD" w14:textId="77777777" w:rsidR="00B80264" w:rsidRPr="00C33834" w:rsidRDefault="00B80264" w:rsidP="00C33834">
      <w:pPr>
        <w:spacing w:after="0" w:line="240" w:lineRule="auto"/>
        <w:jc w:val="both"/>
        <w:rPr>
          <w:rFonts w:ascii="Times New Roman" w:hAnsi="Times New Roman"/>
          <w:color w:val="0070C0"/>
          <w:sz w:val="16"/>
          <w:szCs w:val="16"/>
        </w:rPr>
      </w:pPr>
    </w:p>
    <w:p w14:paraId="65A485AD" w14:textId="77777777" w:rsidR="00487C9C" w:rsidRPr="00C33834" w:rsidRDefault="008E43FA"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73A92DCA" w14:textId="77777777" w:rsidR="00487C9C" w:rsidRPr="00C33834" w:rsidRDefault="00487C9C" w:rsidP="00C33834">
      <w:pPr>
        <w:spacing w:after="0" w:line="240" w:lineRule="auto"/>
        <w:jc w:val="both"/>
        <w:rPr>
          <w:rFonts w:ascii="Times New Roman" w:hAnsi="Times New Roman"/>
          <w:iCs/>
          <w:color w:val="000000" w:themeColor="text1"/>
          <w:sz w:val="16"/>
          <w:szCs w:val="16"/>
        </w:rPr>
      </w:pPr>
    </w:p>
    <w:p w14:paraId="3C4E8675"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августа 1933 в соответствии с июньским 1933 решением перевести часть кораблей Балтфлота на Север военные корабли проследовав по Беломоро-Балтийскому каналу вошли в Мурманск заложив СФ. 17 сентября по жд из Ленинграда привезли разведывательное подразделение на МБР-2 (1085,94). Это был первый отряд Экспедиции особого назначения (ЭОН-1) в составе 2 эсминцев, 2 СКР и 2 п/л (3398,272).</w:t>
      </w:r>
    </w:p>
    <w:p w14:paraId="2B891BE2"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45FF7DB9"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августа 1933 года у Советской страны появилась новая Северная Военная флотилия, в 1937 году преобразованная в Северный флот. При отсутствии канала создание сколько-нибудь значительных морских сил было невозможно (9047).</w:t>
      </w:r>
    </w:p>
    <w:p w14:paraId="75870D20"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590F8C8B" w14:textId="77777777" w:rsidR="00487C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448F9D84"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549AB5CE"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августа 1933 приказом по лагерю № 270 объявлялась директива ГУЛАГа о борьбе с уголовным жаргоном от 2 июля, осуждающая тенденцию внедрения уголовного жаргона «в разговорный обиход вольнонаемных и даже чекистского персонала, вплоть до использования в лагерной печати, многотиражных и особенно стенных газетах» в репертуаре агитбригад. На основании этой директивы в Дмитлаге в очередной раз воспрещалось использование «преступного жаргона, являющегося пережитком социально-бытовой искалеченности, мешающей и задерживающей коренную перековку человека» (7560).</w:t>
      </w:r>
    </w:p>
    <w:p w14:paraId="4E3D8C68"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2A405331" w14:textId="77777777" w:rsidR="00487C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0C43760" w14:textId="77777777" w:rsidR="00487C9C" w:rsidRPr="00C33834" w:rsidRDefault="00487C9C" w:rsidP="00C33834">
      <w:pPr>
        <w:spacing w:after="0" w:line="240" w:lineRule="auto"/>
        <w:jc w:val="both"/>
        <w:rPr>
          <w:rFonts w:ascii="Times New Roman" w:hAnsi="Times New Roman"/>
          <w:iCs/>
          <w:color w:val="000000" w:themeColor="text1"/>
          <w:sz w:val="16"/>
          <w:szCs w:val="16"/>
        </w:rPr>
      </w:pPr>
    </w:p>
    <w:p w14:paraId="028D16AD"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 августа 1933 г. французские пилоты Росси (Maurice Rossi) и Кодос (Paul Codos) на самолете Блерио-110 "Josef Le Brix" осуществили рекордный перелет из Нью-Йорка в сирийский город Райак (французская территория в Сирии) протяженностью 9104 км.</w:t>
      </w:r>
    </w:p>
    <w:p w14:paraId="79AB922F"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ТАКТИКО-ТЕХНИЧЕСКИЕ ХАРАКТЕРИСТИКИ ЕВРОПЕЙСКИХ САМОЛЕТОВ ДЛЯ ДАЛЬНИХ ПЕРЕЛЕТОВ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5"/>
        <w:gridCol w:w="1145"/>
        <w:gridCol w:w="1145"/>
        <w:gridCol w:w="1145"/>
        <w:gridCol w:w="1145"/>
        <w:gridCol w:w="1145"/>
        <w:gridCol w:w="1145"/>
        <w:gridCol w:w="1145"/>
        <w:gridCol w:w="1145"/>
      </w:tblGrid>
      <w:tr w:rsidR="00F26F01" w:rsidRPr="00C33834" w14:paraId="6241CCBC" w14:textId="77777777">
        <w:tc>
          <w:tcPr>
            <w:tcW w:w="1145" w:type="dxa"/>
            <w:tcBorders>
              <w:top w:val="single" w:sz="12" w:space="0" w:color="auto"/>
            </w:tcBorders>
          </w:tcPr>
          <w:p w14:paraId="46140846"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w:t>
            </w:r>
          </w:p>
        </w:tc>
        <w:tc>
          <w:tcPr>
            <w:tcW w:w="1145" w:type="dxa"/>
            <w:tcBorders>
              <w:top w:val="single" w:sz="12" w:space="0" w:color="auto"/>
            </w:tcBorders>
          </w:tcPr>
          <w:p w14:paraId="098E4604"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Двигатель(л.с.)</w:t>
            </w:r>
          </w:p>
        </w:tc>
        <w:tc>
          <w:tcPr>
            <w:tcW w:w="1145" w:type="dxa"/>
            <w:tcBorders>
              <w:top w:val="single" w:sz="12" w:space="0" w:color="auto"/>
            </w:tcBorders>
          </w:tcPr>
          <w:p w14:paraId="3220C01A"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Размах (м)</w:t>
            </w:r>
          </w:p>
        </w:tc>
        <w:tc>
          <w:tcPr>
            <w:tcW w:w="1145" w:type="dxa"/>
            <w:tcBorders>
              <w:top w:val="single" w:sz="12" w:space="0" w:color="auto"/>
            </w:tcBorders>
          </w:tcPr>
          <w:p w14:paraId="2D766536"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крыла (мг)</w:t>
            </w:r>
          </w:p>
        </w:tc>
        <w:tc>
          <w:tcPr>
            <w:tcW w:w="1145" w:type="dxa"/>
            <w:tcBorders>
              <w:top w:val="single" w:sz="12" w:space="0" w:color="auto"/>
            </w:tcBorders>
          </w:tcPr>
          <w:p w14:paraId="32159233"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Удлинение</w:t>
            </w:r>
          </w:p>
        </w:tc>
        <w:tc>
          <w:tcPr>
            <w:tcW w:w="1145" w:type="dxa"/>
            <w:tcBorders>
              <w:top w:val="single" w:sz="12" w:space="0" w:color="auto"/>
            </w:tcBorders>
          </w:tcPr>
          <w:p w14:paraId="0096703E"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пустого (кг)</w:t>
            </w:r>
          </w:p>
        </w:tc>
        <w:tc>
          <w:tcPr>
            <w:tcW w:w="1145" w:type="dxa"/>
            <w:tcBorders>
              <w:top w:val="single" w:sz="12" w:space="0" w:color="auto"/>
            </w:tcBorders>
          </w:tcPr>
          <w:p w14:paraId="265CB977"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Полетный вес (кг)</w:t>
            </w:r>
          </w:p>
        </w:tc>
        <w:tc>
          <w:tcPr>
            <w:tcW w:w="1145" w:type="dxa"/>
            <w:tcBorders>
              <w:top w:val="single" w:sz="12" w:space="0" w:color="auto"/>
            </w:tcBorders>
          </w:tcPr>
          <w:p w14:paraId="4E43D3E3"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Запас горючего (кг)</w:t>
            </w:r>
          </w:p>
        </w:tc>
        <w:tc>
          <w:tcPr>
            <w:tcW w:w="1145" w:type="dxa"/>
            <w:tcBorders>
              <w:top w:val="single" w:sz="12" w:space="0" w:color="auto"/>
            </w:tcBorders>
          </w:tcPr>
          <w:p w14:paraId="1B247FA6"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Нагрузка на крыло (кг/м2)</w:t>
            </w:r>
          </w:p>
        </w:tc>
      </w:tr>
      <w:tr w:rsidR="00F26F01" w:rsidRPr="00C33834" w14:paraId="64FD0A06" w14:textId="77777777">
        <w:tc>
          <w:tcPr>
            <w:tcW w:w="1145" w:type="dxa"/>
          </w:tcPr>
          <w:p w14:paraId="11582270" w14:textId="77777777" w:rsidR="00487C9C" w:rsidRPr="00C33834" w:rsidRDefault="00487C9C" w:rsidP="00C33834">
            <w:pPr>
              <w:spacing w:after="0" w:line="240" w:lineRule="auto"/>
              <w:jc w:val="both"/>
              <w:rPr>
                <w:rFonts w:ascii="Times New Roman" w:hAnsi="Times New Roman"/>
                <w:color w:val="000000" w:themeColor="text1"/>
                <w:sz w:val="16"/>
                <w:szCs w:val="16"/>
              </w:rPr>
            </w:pPr>
          </w:p>
        </w:tc>
        <w:tc>
          <w:tcPr>
            <w:tcW w:w="1145" w:type="dxa"/>
          </w:tcPr>
          <w:p w14:paraId="7D2DE9DE" w14:textId="77777777" w:rsidR="00487C9C" w:rsidRPr="00C33834" w:rsidRDefault="00487C9C" w:rsidP="00C33834">
            <w:pPr>
              <w:spacing w:after="0" w:line="240" w:lineRule="auto"/>
              <w:jc w:val="both"/>
              <w:rPr>
                <w:rFonts w:ascii="Times New Roman" w:hAnsi="Times New Roman"/>
                <w:color w:val="000000" w:themeColor="text1"/>
                <w:sz w:val="16"/>
                <w:szCs w:val="16"/>
              </w:rPr>
            </w:pPr>
          </w:p>
        </w:tc>
        <w:tc>
          <w:tcPr>
            <w:tcW w:w="1145" w:type="dxa"/>
          </w:tcPr>
          <w:p w14:paraId="6571D8EA" w14:textId="77777777" w:rsidR="00487C9C" w:rsidRPr="00C33834" w:rsidRDefault="00487C9C" w:rsidP="00C33834">
            <w:pPr>
              <w:spacing w:after="0" w:line="240" w:lineRule="auto"/>
              <w:jc w:val="both"/>
              <w:rPr>
                <w:rFonts w:ascii="Times New Roman" w:hAnsi="Times New Roman"/>
                <w:color w:val="000000" w:themeColor="text1"/>
                <w:sz w:val="16"/>
                <w:szCs w:val="16"/>
              </w:rPr>
            </w:pPr>
          </w:p>
        </w:tc>
        <w:tc>
          <w:tcPr>
            <w:tcW w:w="1145" w:type="dxa"/>
          </w:tcPr>
          <w:p w14:paraId="5B9B7F2B" w14:textId="77777777" w:rsidR="00487C9C" w:rsidRPr="00C33834" w:rsidRDefault="00487C9C" w:rsidP="00C33834">
            <w:pPr>
              <w:spacing w:after="0" w:line="240" w:lineRule="auto"/>
              <w:jc w:val="both"/>
              <w:rPr>
                <w:rFonts w:ascii="Times New Roman" w:hAnsi="Times New Roman"/>
                <w:color w:val="000000" w:themeColor="text1"/>
                <w:sz w:val="16"/>
                <w:szCs w:val="16"/>
              </w:rPr>
            </w:pPr>
          </w:p>
        </w:tc>
        <w:tc>
          <w:tcPr>
            <w:tcW w:w="1145" w:type="dxa"/>
          </w:tcPr>
          <w:p w14:paraId="776A7F9E" w14:textId="77777777" w:rsidR="00487C9C" w:rsidRPr="00C33834" w:rsidRDefault="00487C9C" w:rsidP="00C33834">
            <w:pPr>
              <w:spacing w:after="0" w:line="240" w:lineRule="auto"/>
              <w:jc w:val="both"/>
              <w:rPr>
                <w:rFonts w:ascii="Times New Roman" w:hAnsi="Times New Roman"/>
                <w:color w:val="000000" w:themeColor="text1"/>
                <w:sz w:val="16"/>
                <w:szCs w:val="16"/>
              </w:rPr>
            </w:pPr>
          </w:p>
        </w:tc>
        <w:tc>
          <w:tcPr>
            <w:tcW w:w="1145" w:type="dxa"/>
          </w:tcPr>
          <w:p w14:paraId="4BAEB8EC" w14:textId="77777777" w:rsidR="00487C9C" w:rsidRPr="00C33834" w:rsidRDefault="00487C9C" w:rsidP="00C33834">
            <w:pPr>
              <w:spacing w:after="0" w:line="240" w:lineRule="auto"/>
              <w:jc w:val="both"/>
              <w:rPr>
                <w:rFonts w:ascii="Times New Roman" w:hAnsi="Times New Roman"/>
                <w:color w:val="000000" w:themeColor="text1"/>
                <w:sz w:val="16"/>
                <w:szCs w:val="16"/>
              </w:rPr>
            </w:pPr>
          </w:p>
        </w:tc>
        <w:tc>
          <w:tcPr>
            <w:tcW w:w="1145" w:type="dxa"/>
          </w:tcPr>
          <w:p w14:paraId="08F91E90" w14:textId="77777777" w:rsidR="00487C9C" w:rsidRPr="00C33834" w:rsidRDefault="00487C9C" w:rsidP="00C33834">
            <w:pPr>
              <w:spacing w:after="0" w:line="240" w:lineRule="auto"/>
              <w:jc w:val="both"/>
              <w:rPr>
                <w:rFonts w:ascii="Times New Roman" w:hAnsi="Times New Roman"/>
                <w:color w:val="000000" w:themeColor="text1"/>
                <w:sz w:val="16"/>
                <w:szCs w:val="16"/>
              </w:rPr>
            </w:pPr>
          </w:p>
        </w:tc>
        <w:tc>
          <w:tcPr>
            <w:tcW w:w="1145" w:type="dxa"/>
          </w:tcPr>
          <w:p w14:paraId="58163235" w14:textId="77777777" w:rsidR="00487C9C" w:rsidRPr="00C33834" w:rsidRDefault="00487C9C" w:rsidP="00C33834">
            <w:pPr>
              <w:spacing w:after="0" w:line="240" w:lineRule="auto"/>
              <w:jc w:val="both"/>
              <w:rPr>
                <w:rFonts w:ascii="Times New Roman" w:hAnsi="Times New Roman"/>
                <w:color w:val="000000" w:themeColor="text1"/>
                <w:sz w:val="16"/>
                <w:szCs w:val="16"/>
              </w:rPr>
            </w:pPr>
          </w:p>
        </w:tc>
        <w:tc>
          <w:tcPr>
            <w:tcW w:w="1145" w:type="dxa"/>
          </w:tcPr>
          <w:p w14:paraId="6691086C" w14:textId="77777777" w:rsidR="00487C9C" w:rsidRPr="00C33834" w:rsidRDefault="00487C9C" w:rsidP="00C33834">
            <w:pPr>
              <w:spacing w:after="0" w:line="240" w:lineRule="auto"/>
              <w:jc w:val="both"/>
              <w:rPr>
                <w:rFonts w:ascii="Times New Roman" w:hAnsi="Times New Roman"/>
                <w:color w:val="000000" w:themeColor="text1"/>
                <w:sz w:val="16"/>
                <w:szCs w:val="16"/>
              </w:rPr>
            </w:pPr>
          </w:p>
        </w:tc>
      </w:tr>
      <w:tr w:rsidR="00F26F01" w:rsidRPr="00C33834" w14:paraId="21372340" w14:textId="77777777">
        <w:tc>
          <w:tcPr>
            <w:tcW w:w="1145" w:type="dxa"/>
          </w:tcPr>
          <w:p w14:paraId="5A766C82"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Фэйри LR</w:t>
            </w:r>
          </w:p>
        </w:tc>
        <w:tc>
          <w:tcPr>
            <w:tcW w:w="1145" w:type="dxa"/>
          </w:tcPr>
          <w:p w14:paraId="0C2D9963"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Нэпир XI (530)</w:t>
            </w:r>
          </w:p>
        </w:tc>
        <w:tc>
          <w:tcPr>
            <w:tcW w:w="1145" w:type="dxa"/>
          </w:tcPr>
          <w:p w14:paraId="4C621C7E"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145" w:type="dxa"/>
          </w:tcPr>
          <w:p w14:paraId="6AEBEA15"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82,0</w:t>
            </w:r>
          </w:p>
        </w:tc>
        <w:tc>
          <w:tcPr>
            <w:tcW w:w="1145" w:type="dxa"/>
          </w:tcPr>
          <w:p w14:paraId="77801F70"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p>
        </w:tc>
        <w:tc>
          <w:tcPr>
            <w:tcW w:w="1145" w:type="dxa"/>
          </w:tcPr>
          <w:p w14:paraId="0942F69D"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1145" w:type="dxa"/>
          </w:tcPr>
          <w:p w14:paraId="68FBA04D"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7800</w:t>
            </w:r>
          </w:p>
        </w:tc>
        <w:tc>
          <w:tcPr>
            <w:tcW w:w="1145" w:type="dxa"/>
          </w:tcPr>
          <w:p w14:paraId="18419DD1"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4500</w:t>
            </w:r>
          </w:p>
        </w:tc>
        <w:tc>
          <w:tcPr>
            <w:tcW w:w="1145" w:type="dxa"/>
          </w:tcPr>
          <w:p w14:paraId="2850075C"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95,0</w:t>
            </w:r>
          </w:p>
        </w:tc>
      </w:tr>
      <w:tr w:rsidR="00F26F01" w:rsidRPr="00C33834" w14:paraId="25C12B4F" w14:textId="77777777">
        <w:tc>
          <w:tcPr>
            <w:tcW w:w="1145" w:type="dxa"/>
          </w:tcPr>
          <w:p w14:paraId="5B500505"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Савойя S-64</w:t>
            </w:r>
          </w:p>
        </w:tc>
        <w:tc>
          <w:tcPr>
            <w:tcW w:w="1145" w:type="dxa"/>
          </w:tcPr>
          <w:p w14:paraId="27DD888E"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Фиат А-22Т (620)</w:t>
            </w:r>
          </w:p>
        </w:tc>
        <w:tc>
          <w:tcPr>
            <w:tcW w:w="1145" w:type="dxa"/>
          </w:tcPr>
          <w:p w14:paraId="78CC6D19"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1145" w:type="dxa"/>
          </w:tcPr>
          <w:p w14:paraId="55825D27"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1145" w:type="dxa"/>
          </w:tcPr>
          <w:p w14:paraId="053C91CA"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7,75</w:t>
            </w:r>
          </w:p>
        </w:tc>
        <w:tc>
          <w:tcPr>
            <w:tcW w:w="1145" w:type="dxa"/>
          </w:tcPr>
          <w:p w14:paraId="7FB1A614"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2670</w:t>
            </w:r>
          </w:p>
        </w:tc>
        <w:tc>
          <w:tcPr>
            <w:tcW w:w="1145" w:type="dxa"/>
          </w:tcPr>
          <w:p w14:paraId="5D3D5A34"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7200</w:t>
            </w:r>
          </w:p>
        </w:tc>
        <w:tc>
          <w:tcPr>
            <w:tcW w:w="1145" w:type="dxa"/>
          </w:tcPr>
          <w:p w14:paraId="15BA705C"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4550</w:t>
            </w:r>
          </w:p>
        </w:tc>
        <w:tc>
          <w:tcPr>
            <w:tcW w:w="1145" w:type="dxa"/>
          </w:tcPr>
          <w:p w14:paraId="2C752961"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w:t>
            </w:r>
          </w:p>
        </w:tc>
      </w:tr>
      <w:tr w:rsidR="00F26F01" w:rsidRPr="00C33834" w14:paraId="29BA04AB" w14:textId="77777777">
        <w:tc>
          <w:tcPr>
            <w:tcW w:w="1145" w:type="dxa"/>
          </w:tcPr>
          <w:p w14:paraId="7EA72A98"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Блерио-110</w:t>
            </w:r>
          </w:p>
        </w:tc>
        <w:tc>
          <w:tcPr>
            <w:tcW w:w="1145" w:type="dxa"/>
          </w:tcPr>
          <w:p w14:paraId="6E1A128F"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Испано 12МЬг (500)</w:t>
            </w:r>
          </w:p>
        </w:tc>
        <w:tc>
          <w:tcPr>
            <w:tcW w:w="1145" w:type="dxa"/>
          </w:tcPr>
          <w:p w14:paraId="7946F633"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26,5</w:t>
            </w:r>
          </w:p>
        </w:tc>
        <w:tc>
          <w:tcPr>
            <w:tcW w:w="1145" w:type="dxa"/>
          </w:tcPr>
          <w:p w14:paraId="32600547"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81,0</w:t>
            </w:r>
          </w:p>
        </w:tc>
        <w:tc>
          <w:tcPr>
            <w:tcW w:w="1145" w:type="dxa"/>
          </w:tcPr>
          <w:p w14:paraId="28B74D49"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8,65</w:t>
            </w:r>
          </w:p>
        </w:tc>
        <w:tc>
          <w:tcPr>
            <w:tcW w:w="1145" w:type="dxa"/>
          </w:tcPr>
          <w:p w14:paraId="1B1CB0DB"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2700</w:t>
            </w:r>
          </w:p>
        </w:tc>
        <w:tc>
          <w:tcPr>
            <w:tcW w:w="1145" w:type="dxa"/>
          </w:tcPr>
          <w:p w14:paraId="36B9720A"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8500</w:t>
            </w:r>
          </w:p>
        </w:tc>
        <w:tc>
          <w:tcPr>
            <w:tcW w:w="1145" w:type="dxa"/>
          </w:tcPr>
          <w:p w14:paraId="0358B11E"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5500</w:t>
            </w:r>
          </w:p>
        </w:tc>
        <w:tc>
          <w:tcPr>
            <w:tcW w:w="1145" w:type="dxa"/>
          </w:tcPr>
          <w:p w14:paraId="7C8F8A4F"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104,5</w:t>
            </w:r>
          </w:p>
        </w:tc>
      </w:tr>
      <w:tr w:rsidR="00F26F01" w:rsidRPr="00C33834" w14:paraId="75D33C8B" w14:textId="77777777">
        <w:tc>
          <w:tcPr>
            <w:tcW w:w="1145" w:type="dxa"/>
          </w:tcPr>
          <w:p w14:paraId="6051D349"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Девуатин D.33</w:t>
            </w:r>
          </w:p>
        </w:tc>
        <w:tc>
          <w:tcPr>
            <w:tcW w:w="1145" w:type="dxa"/>
          </w:tcPr>
          <w:p w14:paraId="3E237614"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Испано 12Nb (650)</w:t>
            </w:r>
          </w:p>
        </w:tc>
        <w:tc>
          <w:tcPr>
            <w:tcW w:w="1145" w:type="dxa"/>
          </w:tcPr>
          <w:p w14:paraId="7175BFF2"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w:t>
            </w:r>
          </w:p>
        </w:tc>
        <w:tc>
          <w:tcPr>
            <w:tcW w:w="1145" w:type="dxa"/>
          </w:tcPr>
          <w:p w14:paraId="4D518938"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78,0</w:t>
            </w:r>
          </w:p>
        </w:tc>
        <w:tc>
          <w:tcPr>
            <w:tcW w:w="1145" w:type="dxa"/>
          </w:tcPr>
          <w:p w14:paraId="4C0A0F2C"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1145" w:type="dxa"/>
          </w:tcPr>
          <w:p w14:paraId="38F4DF0E"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3100</w:t>
            </w:r>
          </w:p>
        </w:tc>
        <w:tc>
          <w:tcPr>
            <w:tcW w:w="1145" w:type="dxa"/>
          </w:tcPr>
          <w:p w14:paraId="251DEE49"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9200</w:t>
            </w:r>
          </w:p>
        </w:tc>
        <w:tc>
          <w:tcPr>
            <w:tcW w:w="1145" w:type="dxa"/>
          </w:tcPr>
          <w:p w14:paraId="084B23F7"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5600</w:t>
            </w:r>
          </w:p>
        </w:tc>
        <w:tc>
          <w:tcPr>
            <w:tcW w:w="1145" w:type="dxa"/>
          </w:tcPr>
          <w:p w14:paraId="45AF6C1C"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117,5</w:t>
            </w:r>
          </w:p>
        </w:tc>
      </w:tr>
      <w:tr w:rsidR="00F26F01" w:rsidRPr="00C33834" w14:paraId="4F1B60ED" w14:textId="77777777">
        <w:tc>
          <w:tcPr>
            <w:tcW w:w="1145" w:type="dxa"/>
            <w:tcBorders>
              <w:bottom w:val="single" w:sz="12" w:space="0" w:color="auto"/>
            </w:tcBorders>
          </w:tcPr>
          <w:p w14:paraId="43C6A08C"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Бернар-80</w:t>
            </w:r>
          </w:p>
        </w:tc>
        <w:tc>
          <w:tcPr>
            <w:tcW w:w="1145" w:type="dxa"/>
            <w:tcBorders>
              <w:bottom w:val="single" w:sz="12" w:space="0" w:color="auto"/>
            </w:tcBorders>
          </w:tcPr>
          <w:p w14:paraId="360A0509"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Испано 12Nb (650)</w:t>
            </w:r>
          </w:p>
        </w:tc>
        <w:tc>
          <w:tcPr>
            <w:tcW w:w="1145" w:type="dxa"/>
            <w:tcBorders>
              <w:bottom w:val="single" w:sz="12" w:space="0" w:color="auto"/>
            </w:tcBorders>
          </w:tcPr>
          <w:p w14:paraId="396FEC82"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24,5</w:t>
            </w:r>
          </w:p>
        </w:tc>
        <w:tc>
          <w:tcPr>
            <w:tcW w:w="1145" w:type="dxa"/>
            <w:tcBorders>
              <w:bottom w:val="single" w:sz="12" w:space="0" w:color="auto"/>
            </w:tcBorders>
          </w:tcPr>
          <w:p w14:paraId="15D10096"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w:t>
            </w:r>
          </w:p>
        </w:tc>
        <w:tc>
          <w:tcPr>
            <w:tcW w:w="1145" w:type="dxa"/>
            <w:tcBorders>
              <w:bottom w:val="single" w:sz="12" w:space="0" w:color="auto"/>
            </w:tcBorders>
          </w:tcPr>
          <w:p w14:paraId="0E10274D"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w:t>
            </w:r>
          </w:p>
        </w:tc>
        <w:tc>
          <w:tcPr>
            <w:tcW w:w="1145" w:type="dxa"/>
            <w:tcBorders>
              <w:bottom w:val="single" w:sz="12" w:space="0" w:color="auto"/>
            </w:tcBorders>
          </w:tcPr>
          <w:p w14:paraId="1CC08047"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3100</w:t>
            </w:r>
          </w:p>
        </w:tc>
        <w:tc>
          <w:tcPr>
            <w:tcW w:w="1145" w:type="dxa"/>
            <w:tcBorders>
              <w:bottom w:val="single" w:sz="12" w:space="0" w:color="auto"/>
            </w:tcBorders>
          </w:tcPr>
          <w:p w14:paraId="2005EC53"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8625</w:t>
            </w:r>
          </w:p>
        </w:tc>
        <w:tc>
          <w:tcPr>
            <w:tcW w:w="1145" w:type="dxa"/>
            <w:tcBorders>
              <w:bottom w:val="single" w:sz="12" w:space="0" w:color="auto"/>
            </w:tcBorders>
          </w:tcPr>
          <w:p w14:paraId="1E47FF66"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1145" w:type="dxa"/>
            <w:tcBorders>
              <w:bottom w:val="single" w:sz="12" w:space="0" w:color="auto"/>
            </w:tcBorders>
          </w:tcPr>
          <w:p w14:paraId="4B1DBE53"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123,0</w:t>
            </w:r>
          </w:p>
        </w:tc>
      </w:tr>
    </w:tbl>
    <w:p w14:paraId="686237B7"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Приведенные в таблице данные полетного веса и запаса горючего на самом деле имели разные значения. Так, при установлении мирового рекорда в 1933 г. полетный вес Блерио-110 указывался 9 тонн, а запас горючего составлял 6500 литров (11941).</w:t>
      </w:r>
    </w:p>
    <w:p w14:paraId="1B005C99"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77ED0962"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 августа 1933 года французы Колос и Росси устано</w:t>
      </w:r>
      <w:r w:rsidRPr="00C33834">
        <w:rPr>
          <w:rFonts w:ascii="Times New Roman" w:hAnsi="Times New Roman"/>
          <w:color w:val="000000" w:themeColor="text1"/>
          <w:sz w:val="16"/>
          <w:szCs w:val="16"/>
        </w:rPr>
        <w:softHyphen/>
        <w:t>вили очередной мировой рекорд, пролетев по прямой на самолете «Блерио-110», на</w:t>
      </w:r>
      <w:r w:rsidRPr="00C33834">
        <w:rPr>
          <w:rFonts w:ascii="Times New Roman" w:hAnsi="Times New Roman"/>
          <w:color w:val="000000" w:themeColor="text1"/>
          <w:sz w:val="16"/>
          <w:szCs w:val="16"/>
        </w:rPr>
        <w:softHyphen/>
        <w:t>званном «Жозеф Ле Бри», 9104 км (12725).</w:t>
      </w:r>
    </w:p>
    <w:p w14:paraId="5B8DF075" w14:textId="77777777" w:rsidR="004050DA" w:rsidRPr="00C33834" w:rsidRDefault="004050DA" w:rsidP="00C33834">
      <w:pPr>
        <w:spacing w:after="0" w:line="240" w:lineRule="auto"/>
        <w:jc w:val="both"/>
        <w:rPr>
          <w:rFonts w:ascii="Times New Roman" w:hAnsi="Times New Roman"/>
          <w:color w:val="000000" w:themeColor="text1"/>
          <w:sz w:val="16"/>
          <w:szCs w:val="16"/>
        </w:rPr>
      </w:pPr>
    </w:p>
    <w:p w14:paraId="6F4E9C15" w14:textId="77777777" w:rsidR="00716C34" w:rsidRPr="00C33834" w:rsidRDefault="00716C3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5 августа в 1933 году экипаж в составе Paul Codos и Maurice Rossi взлетев в Нью-Йорке приземлился 7 августа на аэродроме Райак в Сирии, преодолев за 55 часов 9100 километров и установив новый мировой рекорд на дальность полета. </w:t>
      </w:r>
      <w:hyperlink r:id="rId280" w:tgtFrame="_blank" w:history="1">
        <w:r w:rsidRPr="00C33834">
          <w:rPr>
            <w:rFonts w:ascii="Times New Roman" w:hAnsi="Times New Roman"/>
            <w:color w:val="000000" w:themeColor="text1"/>
            <w:sz w:val="16"/>
            <w:szCs w:val="16"/>
          </w:rPr>
          <w:t xml:space="preserve">«Bl-110» «Joseph Le Brix» </w:t>
        </w:r>
      </w:hyperlink>
      <w:r w:rsidRPr="00C33834">
        <w:rPr>
          <w:rFonts w:ascii="Times New Roman" w:hAnsi="Times New Roman"/>
          <w:color w:val="000000" w:themeColor="text1"/>
          <w:sz w:val="16"/>
          <w:szCs w:val="16"/>
        </w:rPr>
        <w:t>- рекордный самолет, разработанный французской фирмой «Bleriot». Первый полет самолета состоялся 16 мая 1930 года. 26 февраля 1931 года, после проведения испытаний, французские летчики Lucien Bossoutrot и Maurice Rossi совершили на нем перелет преодолев 8822 километров за 75 часов и 23 минуты. Полет закончившийся 1 марта стал мировым рекордом для полетов по замкнутой петле. Уже 23 марта пилоты устанавливают новый мировой рекорд преодолев 10601 километров за 76 часов и 34 минуты (14974).</w:t>
      </w:r>
    </w:p>
    <w:p w14:paraId="35C6BAD4" w14:textId="77777777" w:rsidR="00716C34" w:rsidRPr="00C33834" w:rsidRDefault="00716C34" w:rsidP="00C33834">
      <w:pPr>
        <w:spacing w:after="0" w:line="240" w:lineRule="auto"/>
        <w:jc w:val="both"/>
        <w:rPr>
          <w:rFonts w:ascii="Times New Roman" w:hAnsi="Times New Roman"/>
          <w:color w:val="000000" w:themeColor="text1"/>
          <w:sz w:val="16"/>
          <w:szCs w:val="16"/>
        </w:rPr>
      </w:pPr>
    </w:p>
    <w:p w14:paraId="4D4CE97C"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5–7 августа 1933 французские авиаторы Морис Росси и Поль Кодос совершают перелет на Blériot 110 Joseph le Brix из Флойд Беннетт Филд в Нью-Йорке в Раяк на территории под французским мандатом в Сирии и Ливане, установив новый рекорд дальности без дозаправки в 9 104 км (5654 км). миль) (20802).</w:t>
      </w:r>
    </w:p>
    <w:p w14:paraId="1AA61802" w14:textId="77777777" w:rsidR="00B80264" w:rsidRPr="00C33834" w:rsidRDefault="00B80264" w:rsidP="00C33834">
      <w:pPr>
        <w:spacing w:after="0" w:line="240" w:lineRule="auto"/>
        <w:jc w:val="both"/>
        <w:rPr>
          <w:rFonts w:ascii="Times New Roman" w:hAnsi="Times New Roman"/>
          <w:color w:val="0070C0"/>
          <w:sz w:val="16"/>
          <w:szCs w:val="16"/>
        </w:rPr>
      </w:pPr>
    </w:p>
    <w:p w14:paraId="70F3D605"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августа 1933 - Экипаж в составе Paul Codos и Maurice Rossi взлетев в Нью-Йорке приземлился 7 августа на аэродроме Райак в Сирии, преодолев за 55 часов 9100 километров и установив новый мировой рекорд на дальность полета. Bl-110 Joseph Le Brix - рекордный самолет, разработанный французской фирмой Bleriot. Первый полет самолета состоялся 16 мая 1930 года. 26 февраля 1931 года, после проведения испытаний, французские летчики Lucien Bossoutrot и Maurice Rossi совершили на нем перелет преодолев 8822 километров за 75 часов и 23 минуты. Полет закончившийся 1 марта стал мировым рекордом для полетов по замкнутой петле. Уже 23 марта пилоты устанавливают новый мировой рекорд преодолев 10601 километров за 76 часов и 34 минуты (22408).</w:t>
      </w:r>
    </w:p>
    <w:p w14:paraId="55668117" w14:textId="77777777" w:rsidR="00B80264" w:rsidRPr="00C33834" w:rsidRDefault="00B80264" w:rsidP="00C33834">
      <w:pPr>
        <w:spacing w:after="0" w:line="240" w:lineRule="auto"/>
        <w:jc w:val="both"/>
        <w:rPr>
          <w:rFonts w:ascii="Times New Roman" w:hAnsi="Times New Roman"/>
          <w:color w:val="0070C0"/>
          <w:sz w:val="16"/>
          <w:szCs w:val="16"/>
        </w:rPr>
      </w:pPr>
    </w:p>
    <w:p w14:paraId="23FA31C1"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августа 1933 Польша заключает соглашение с вольным городом Данцигом (современный польский г. Гданьск) (7451).</w:t>
      </w:r>
    </w:p>
    <w:p w14:paraId="505391AE"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31088E83" w14:textId="77777777" w:rsidR="00487C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0500A50" w14:textId="77777777" w:rsidR="00487C9C" w:rsidRPr="00C33834" w:rsidRDefault="00487C9C" w:rsidP="00C33834">
      <w:pPr>
        <w:spacing w:after="0" w:line="240" w:lineRule="auto"/>
        <w:jc w:val="both"/>
        <w:rPr>
          <w:rFonts w:ascii="Times New Roman" w:hAnsi="Times New Roman"/>
          <w:iCs/>
          <w:color w:val="000000" w:themeColor="text1"/>
          <w:sz w:val="16"/>
          <w:szCs w:val="16"/>
        </w:rPr>
      </w:pPr>
    </w:p>
    <w:p w14:paraId="09A866EC"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августа 1933 на К-7 К.А.К. была проба моторов и в течение 1:40 все 7 моторов работали одновременно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F26F01" w:rsidRPr="00C33834" w14:paraId="35DF43E3" w14:textId="77777777">
        <w:tc>
          <w:tcPr>
            <w:tcW w:w="1384" w:type="dxa"/>
            <w:tcBorders>
              <w:top w:val="single" w:sz="12" w:space="0" w:color="auto"/>
            </w:tcBorders>
          </w:tcPr>
          <w:p w14:paraId="1C8126A1"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Дата испытания</w:t>
            </w:r>
          </w:p>
        </w:tc>
        <w:tc>
          <w:tcPr>
            <w:tcW w:w="2410" w:type="dxa"/>
            <w:tcBorders>
              <w:top w:val="single" w:sz="12" w:space="0" w:color="auto"/>
            </w:tcBorders>
          </w:tcPr>
          <w:p w14:paraId="21B3BF7D"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w:t>
            </w:r>
          </w:p>
        </w:tc>
        <w:tc>
          <w:tcPr>
            <w:tcW w:w="1089" w:type="dxa"/>
            <w:tcBorders>
              <w:top w:val="single" w:sz="12" w:space="0" w:color="auto"/>
            </w:tcBorders>
          </w:tcPr>
          <w:p w14:paraId="07C5DF74"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4D1A0BBA"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7B40CD50"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001161BD"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tc>
      </w:tr>
      <w:tr w:rsidR="00F26F01" w:rsidRPr="00C33834" w14:paraId="2D0F385F" w14:textId="77777777">
        <w:tc>
          <w:tcPr>
            <w:tcW w:w="1384" w:type="dxa"/>
            <w:tcBorders>
              <w:bottom w:val="single" w:sz="12" w:space="0" w:color="auto"/>
            </w:tcBorders>
          </w:tcPr>
          <w:p w14:paraId="513C2618"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августа 1933</w:t>
            </w:r>
          </w:p>
        </w:tc>
        <w:tc>
          <w:tcPr>
            <w:tcW w:w="2410" w:type="dxa"/>
            <w:tcBorders>
              <w:bottom w:val="single" w:sz="12" w:space="0" w:color="auto"/>
            </w:tcBorders>
          </w:tcPr>
          <w:p w14:paraId="0B8E4AE7"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Проба мотора</w:t>
            </w:r>
          </w:p>
        </w:tc>
        <w:tc>
          <w:tcPr>
            <w:tcW w:w="1089" w:type="dxa"/>
            <w:tcBorders>
              <w:bottom w:val="single" w:sz="12" w:space="0" w:color="auto"/>
            </w:tcBorders>
          </w:tcPr>
          <w:p w14:paraId="6CDC2DC6"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w:t>
            </w:r>
          </w:p>
        </w:tc>
        <w:tc>
          <w:tcPr>
            <w:tcW w:w="3447" w:type="dxa"/>
            <w:tcBorders>
              <w:bottom w:val="single" w:sz="12" w:space="0" w:color="auto"/>
            </w:tcBorders>
          </w:tcPr>
          <w:p w14:paraId="55D4E510"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7 моторов с-та работали нормально</w:t>
            </w:r>
          </w:p>
        </w:tc>
        <w:tc>
          <w:tcPr>
            <w:tcW w:w="1776" w:type="dxa"/>
            <w:tcBorders>
              <w:bottom w:val="single" w:sz="12" w:space="0" w:color="auto"/>
            </w:tcBorders>
          </w:tcPr>
          <w:p w14:paraId="63647273"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Поправки к электрическим счетчикам оборотов - 180-200</w:t>
            </w:r>
          </w:p>
        </w:tc>
        <w:tc>
          <w:tcPr>
            <w:tcW w:w="1105" w:type="dxa"/>
            <w:tcBorders>
              <w:bottom w:val="single" w:sz="12" w:space="0" w:color="auto"/>
            </w:tcBorders>
          </w:tcPr>
          <w:p w14:paraId="1F87853D" w14:textId="77777777" w:rsidR="00487C9C" w:rsidRPr="00C33834" w:rsidRDefault="00487C9C" w:rsidP="00C33834">
            <w:pPr>
              <w:spacing w:after="0" w:line="240" w:lineRule="auto"/>
              <w:jc w:val="both"/>
              <w:rPr>
                <w:rFonts w:ascii="Times New Roman" w:hAnsi="Times New Roman"/>
                <w:color w:val="000000" w:themeColor="text1"/>
                <w:sz w:val="16"/>
                <w:szCs w:val="16"/>
              </w:rPr>
            </w:pPr>
          </w:p>
        </w:tc>
      </w:tr>
    </w:tbl>
    <w:p w14:paraId="3BF26BBB"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(2306,98).</w:t>
      </w:r>
    </w:p>
    <w:p w14:paraId="5E1BA8E4"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662B295D" w14:textId="77777777" w:rsidR="00487C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0DEBC43" w14:textId="77777777" w:rsidR="00487C9C" w:rsidRPr="00C33834" w:rsidRDefault="00487C9C" w:rsidP="00C33834">
      <w:pPr>
        <w:spacing w:after="0" w:line="240" w:lineRule="auto"/>
        <w:jc w:val="both"/>
        <w:rPr>
          <w:rFonts w:ascii="Times New Roman" w:hAnsi="Times New Roman"/>
          <w:iCs/>
          <w:color w:val="000000" w:themeColor="text1"/>
          <w:sz w:val="16"/>
          <w:szCs w:val="16"/>
        </w:rPr>
      </w:pPr>
    </w:p>
    <w:p w14:paraId="1BE92A43"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августа 1933 года был подготовлен Отчет о совместном испытании с 39 заводом головного серийного самолета «Z» № 39004 с мотором Гном Рон ЮVI 9 АО (6787).</w:t>
      </w:r>
    </w:p>
    <w:p w14:paraId="5B071099"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3914A9A1"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Холодов</w:t>
      </w:r>
    </w:p>
    <w:p w14:paraId="68BC5C7A"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Попов</w:t>
      </w:r>
    </w:p>
    <w:p w14:paraId="1D34B01B"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0954B1FC"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летных данных самолета и выявление дефектов для исправления их на последующих образцах.</w:t>
      </w:r>
    </w:p>
    <w:p w14:paraId="113CD08A"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6518F641" w14:textId="77777777" w:rsidR="00487C9C" w:rsidRPr="00C33834" w:rsidRDefault="00487C9C" w:rsidP="00C33834">
      <w:pPr>
        <w:numPr>
          <w:ilvl w:val="0"/>
          <w:numId w:val="246"/>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Считать совершенно необходимым форсировать доводку пушечного вооружения с тем, чтобы последнее было испытано на самолете не позднее 1 сентября 1932 года.</w:t>
      </w:r>
    </w:p>
    <w:p w14:paraId="09ABF754"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p w14:paraId="253C1195"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поступил на испытания – 28 июня 1932 года</w:t>
      </w:r>
    </w:p>
    <w:p w14:paraId="0C7B4039"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начато – 28 июня 1932 года</w:t>
      </w:r>
    </w:p>
    <w:p w14:paraId="6F5B7BEF"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окончено – 29 июля 1932 года</w:t>
      </w:r>
    </w:p>
    <w:p w14:paraId="23AE66A1"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Фактически затрачено на испытания 32 календарных дня.</w:t>
      </w:r>
    </w:p>
    <w:p w14:paraId="74A3EA0E"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произведено в 9 летных дней (6787).</w:t>
      </w:r>
    </w:p>
    <w:p w14:paraId="4F57046F"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p>
    <w:p w14:paraId="5851FF26"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августа 1933 г. состоялось ещё одно совещание по вопросам гидроавиации, на этот раз в Кремле под председательством И.В. Сталина.. Через несколько дней после него Ильюшина и Бериева вызвали в Реввоенсовет СССР и сообщили, что решением правительства МБР-2 принят на вооружение. Ильюшин тут же поздравил Бериева с этим знаменательным событием, означавшим, что он официально признан как авиаконструктор.</w:t>
      </w:r>
    </w:p>
    <w:p w14:paraId="5CB63310"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серийного производства нового морского разведчика ГУАП выбрало таганрогский завод № 31 - в то время одно из крупнейших отечественных авиационных предприятий, имевший большой опыт строительства морских самолётов. Производственная программа завода на тот момент была весьма напряжённой и включала крупносерийный выпуск амфибии LLI-2, поплавкового варианта "крейсера" Р-6 - МР-6, а также летающих лодок МБР-4 (копия итальянской S.62bis). Сменить последние в строевых частях и должен был МБР-2 (12003).</w:t>
      </w:r>
    </w:p>
    <w:p w14:paraId="54D1D9FB"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11A464FA"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августа 1933 А.С.Демченко прибыл на гражданской лл S.55 во Владивосток. Одну из 6 Савой, купленных ГВФ для ДВ, упала с малой высоты в Волгу в районе Сталинграда (2446,41).</w:t>
      </w:r>
    </w:p>
    <w:p w14:paraId="6AC288C9"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4406692D"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начале августа 1933 «Савойя» С.55 благополучно прибыла во Владивосток, а 18 августа Демченко был награжден орденом Красной Звезды (5486,4).</w:t>
      </w:r>
    </w:p>
    <w:p w14:paraId="44FDBB3D"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6097B1E8"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начале августа 1933 самолет С55 без значительных происшествий долетел до Владивостока. Маршрут шел через Севастополь - Вольск - Казань - Свердловск - Тобольск - Новосибирск - Красноярск - Стрелка - Братск - Иркутск - Чита - Благовещенск - Хабаровск - Владивосток, что составило в итоге 10.500 километров, а если считать от Сесто Календе – 15.000 км.</w:t>
      </w:r>
    </w:p>
    <w:p w14:paraId="369102CC"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начале зимы самолет был демонтирован и отправлен на хранение на портовом складе во Владивостоке, где находились также другие три летающие лодки S.55, прибывшие морским путем. Пятый же самолет из заказанной серии был собран Севастополе и передан Управлению Воздушной службы ГУСМП (21410).</w:t>
      </w:r>
    </w:p>
    <w:p w14:paraId="74252D10" w14:textId="77777777" w:rsidR="00B80264" w:rsidRPr="00C33834" w:rsidRDefault="00B80264" w:rsidP="00C33834">
      <w:pPr>
        <w:spacing w:after="0" w:line="240" w:lineRule="auto"/>
        <w:jc w:val="both"/>
        <w:rPr>
          <w:rFonts w:ascii="Times New Roman" w:hAnsi="Times New Roman"/>
          <w:color w:val="0070C0"/>
          <w:sz w:val="16"/>
          <w:szCs w:val="16"/>
        </w:rPr>
      </w:pPr>
    </w:p>
    <w:p w14:paraId="5504EF79" w14:textId="77777777" w:rsidR="00487C9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963C668" w14:textId="77777777" w:rsidR="00487C9C" w:rsidRPr="00C33834" w:rsidRDefault="00487C9C" w:rsidP="00C33834">
      <w:pPr>
        <w:spacing w:after="0" w:line="240" w:lineRule="auto"/>
        <w:jc w:val="both"/>
        <w:rPr>
          <w:rFonts w:ascii="Times New Roman" w:hAnsi="Times New Roman"/>
          <w:iCs/>
          <w:color w:val="000000" w:themeColor="text1"/>
          <w:sz w:val="16"/>
          <w:szCs w:val="16"/>
        </w:rPr>
      </w:pPr>
    </w:p>
    <w:p w14:paraId="43BF4844"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августа 1933 вышло постановление Правительства N К-30с, согласно которому ГУАП д.б. на заводе 45 произвести окончательную сборку и заводские испытания ДАР-2 (группы Чухновского). Потом оно не понадобилось, т.к. доводку и проведение заводских испытаний предпочли делать на заводе им. Марти (2266,235).</w:t>
      </w:r>
    </w:p>
    <w:p w14:paraId="1C44334B"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7F708EDF"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августа 1933 проводилось взвешивание пустого К-7 К.А.К. и вес конструкции оказался 22.9 тон была проба моторов и в течение 1:40 все 7 моторов работали одновременно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F26F01" w:rsidRPr="00C33834" w14:paraId="6986B321" w14:textId="77777777">
        <w:tc>
          <w:tcPr>
            <w:tcW w:w="1384" w:type="dxa"/>
            <w:tcBorders>
              <w:top w:val="single" w:sz="12" w:space="0" w:color="auto"/>
            </w:tcBorders>
          </w:tcPr>
          <w:p w14:paraId="1C25FDEB"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Дата испытания</w:t>
            </w:r>
          </w:p>
        </w:tc>
        <w:tc>
          <w:tcPr>
            <w:tcW w:w="2410" w:type="dxa"/>
            <w:tcBorders>
              <w:top w:val="single" w:sz="12" w:space="0" w:color="auto"/>
            </w:tcBorders>
          </w:tcPr>
          <w:p w14:paraId="788AF26A"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w:t>
            </w:r>
          </w:p>
        </w:tc>
        <w:tc>
          <w:tcPr>
            <w:tcW w:w="1089" w:type="dxa"/>
            <w:tcBorders>
              <w:top w:val="single" w:sz="12" w:space="0" w:color="auto"/>
            </w:tcBorders>
          </w:tcPr>
          <w:p w14:paraId="0582C8BE"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055BDACC"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2FE5794F"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116BA431"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tc>
      </w:tr>
      <w:tr w:rsidR="00F26F01" w:rsidRPr="00C33834" w14:paraId="536A3DC9" w14:textId="77777777">
        <w:tc>
          <w:tcPr>
            <w:tcW w:w="1384" w:type="dxa"/>
            <w:tcBorders>
              <w:bottom w:val="single" w:sz="12" w:space="0" w:color="auto"/>
            </w:tcBorders>
          </w:tcPr>
          <w:p w14:paraId="6F92F631"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августа 1933</w:t>
            </w:r>
          </w:p>
        </w:tc>
        <w:tc>
          <w:tcPr>
            <w:tcW w:w="2410" w:type="dxa"/>
            <w:tcBorders>
              <w:bottom w:val="single" w:sz="12" w:space="0" w:color="auto"/>
            </w:tcBorders>
          </w:tcPr>
          <w:p w14:paraId="73FBA3A5"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Взвешивание пустого с-та и определение ЦТ</w:t>
            </w:r>
          </w:p>
        </w:tc>
        <w:tc>
          <w:tcPr>
            <w:tcW w:w="1089" w:type="dxa"/>
            <w:tcBorders>
              <w:bottom w:val="single" w:sz="12" w:space="0" w:color="auto"/>
            </w:tcBorders>
          </w:tcPr>
          <w:p w14:paraId="17C1D5DF"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447" w:type="dxa"/>
            <w:tcBorders>
              <w:bottom w:val="single" w:sz="12" w:space="0" w:color="auto"/>
            </w:tcBorders>
          </w:tcPr>
          <w:p w14:paraId="02369944"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конструкции пустого с-та - 22.900 кг. ЦТ расположен на 32,5% макс. аэродинамической хорды</w:t>
            </w:r>
          </w:p>
        </w:tc>
        <w:tc>
          <w:tcPr>
            <w:tcW w:w="1776" w:type="dxa"/>
            <w:tcBorders>
              <w:bottom w:val="single" w:sz="12" w:space="0" w:color="auto"/>
            </w:tcBorders>
          </w:tcPr>
          <w:p w14:paraId="03A28399"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05" w:type="dxa"/>
            <w:tcBorders>
              <w:bottom w:val="single" w:sz="12" w:space="0" w:color="auto"/>
            </w:tcBorders>
          </w:tcPr>
          <w:p w14:paraId="0C9F396A" w14:textId="77777777" w:rsidR="00487C9C" w:rsidRPr="00C33834" w:rsidRDefault="00487C9C" w:rsidP="00C33834">
            <w:pPr>
              <w:spacing w:after="0" w:line="240" w:lineRule="auto"/>
              <w:jc w:val="both"/>
              <w:rPr>
                <w:rFonts w:ascii="Times New Roman" w:hAnsi="Times New Roman"/>
                <w:color w:val="000000" w:themeColor="text1"/>
                <w:sz w:val="16"/>
                <w:szCs w:val="16"/>
              </w:rPr>
            </w:pPr>
          </w:p>
        </w:tc>
      </w:tr>
    </w:tbl>
    <w:p w14:paraId="2DD131FF"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(2306,98).</w:t>
      </w:r>
    </w:p>
    <w:p w14:paraId="4D77DEC0"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0AA940CC" w14:textId="77777777" w:rsidR="00D33382" w:rsidRPr="00C33834" w:rsidRDefault="00D33382" w:rsidP="00C33834">
      <w:pPr>
        <w:pStyle w:val="a3"/>
        <w:rPr>
          <w:color w:val="000000" w:themeColor="text1"/>
          <w:lang w:val="ru-RU"/>
        </w:rPr>
      </w:pPr>
      <w:r w:rsidRPr="00C33834">
        <w:rPr>
          <w:color w:val="000000" w:themeColor="text1"/>
          <w:lang w:val="ru-RU"/>
        </w:rPr>
        <w:t>7 августа 1933 г. Алкснис поинтересо</w:t>
      </w:r>
      <w:r w:rsidRPr="00C33834">
        <w:rPr>
          <w:color w:val="000000" w:themeColor="text1"/>
          <w:lang w:val="ru-RU"/>
        </w:rPr>
        <w:softHyphen/>
        <w:t>вался у тогдашнего начальника НИИ ВВС Г.А. Зильберта, можно ли осуществить замену И-4 на И-5.</w:t>
      </w:r>
    </w:p>
    <w:p w14:paraId="1A278BCF" w14:textId="77777777" w:rsidR="00D33382" w:rsidRPr="00C33834" w:rsidRDefault="00D3338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Вахмистров быстро подготовил встречное предложение, представив проект «Звено-</w:t>
      </w:r>
      <w:r w:rsidRPr="00C33834">
        <w:rPr>
          <w:rFonts w:ascii="Times New Roman" w:hAnsi="Times New Roman"/>
          <w:color w:val="000000" w:themeColor="text1"/>
          <w:sz w:val="16"/>
          <w:szCs w:val="16"/>
          <w:lang w:val="en-US"/>
        </w:rPr>
        <w:t>la</w:t>
      </w:r>
      <w:r w:rsidRPr="00C33834">
        <w:rPr>
          <w:rFonts w:ascii="Times New Roman" w:hAnsi="Times New Roman"/>
          <w:color w:val="000000" w:themeColor="text1"/>
          <w:sz w:val="16"/>
          <w:szCs w:val="16"/>
        </w:rPr>
        <w:t>». Схема крепления ис</w:t>
      </w:r>
      <w:r w:rsidRPr="00C33834">
        <w:rPr>
          <w:rFonts w:ascii="Times New Roman" w:hAnsi="Times New Roman"/>
          <w:color w:val="000000" w:themeColor="text1"/>
          <w:sz w:val="16"/>
          <w:szCs w:val="16"/>
        </w:rPr>
        <w:softHyphen/>
        <w:t>требителей оставалась той же, что и на «Звене-1» в последнем варианте. Имев</w:t>
      </w:r>
      <w:r w:rsidRPr="00C33834">
        <w:rPr>
          <w:rFonts w:ascii="Times New Roman" w:hAnsi="Times New Roman"/>
          <w:color w:val="000000" w:themeColor="text1"/>
          <w:sz w:val="16"/>
          <w:szCs w:val="16"/>
        </w:rPr>
        <w:softHyphen/>
        <w:t>шийся в НИИ ВВС носитель переделали под пару И-5. Уже в сентябре состоялся первый полет (17741).</w:t>
      </w:r>
    </w:p>
    <w:p w14:paraId="7A2B326D" w14:textId="77777777" w:rsidR="00D33382" w:rsidRPr="00C33834" w:rsidRDefault="00D33382" w:rsidP="00C33834">
      <w:pPr>
        <w:spacing w:after="0" w:line="240" w:lineRule="auto"/>
        <w:jc w:val="both"/>
        <w:rPr>
          <w:rFonts w:ascii="Times New Roman" w:eastAsia="Times New Roman" w:hAnsi="Times New Roman"/>
          <w:color w:val="000000" w:themeColor="text1"/>
          <w:sz w:val="16"/>
          <w:szCs w:val="16"/>
          <w:lang w:eastAsia="ru-RU"/>
        </w:rPr>
      </w:pPr>
    </w:p>
    <w:p w14:paraId="663A8292"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августа 1933 года начальник Газодинамической лаборатории Клейменов писал письмо № 539с начальнику ВВС Алкснису.</w:t>
      </w:r>
    </w:p>
    <w:p w14:paraId="6DB0085B"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Доношу, что согласно Ваших указаний лабораторией дополнительно сверх программных испытаний 4 и 7 августа проведен разгон самолета ТБ1 с весом 8000 кг (6795, 65).</w:t>
      </w:r>
    </w:p>
    <w:p w14:paraId="153D8BCA" w14:textId="77777777" w:rsidR="00487C9C" w:rsidRPr="00C33834" w:rsidRDefault="00487C9C" w:rsidP="00C33834">
      <w:pPr>
        <w:tabs>
          <w:tab w:val="left" w:pos="11199"/>
        </w:tabs>
        <w:spacing w:after="0" w:line="240" w:lineRule="auto"/>
        <w:jc w:val="both"/>
        <w:rPr>
          <w:rFonts w:ascii="Times New Roman" w:hAnsi="Times New Roman"/>
          <w:color w:val="000000" w:themeColor="text1"/>
          <w:sz w:val="16"/>
          <w:szCs w:val="16"/>
        </w:rPr>
      </w:pPr>
    </w:p>
    <w:p w14:paraId="75287A41" w14:textId="77777777" w:rsidR="00D33382" w:rsidRPr="00C33834" w:rsidRDefault="00D3338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7 августа 1933 г. закончились испытания ракетных ускорителей на ТБ-1 при различном взлётном весе, которые шли с 11 июля. Чтобы уменьшить воздействие реактивной струи на хвостовое оперение, в 1933 г. расположение ускорителей изменили. Теперь их установили в связках по три ракеты на верхней поверхности каждого крыла. Они крепились на дюралевых фермах, проходящих сквозь крыло и соединенных с узлами шасси. Угол установки сопел ускорителей подобрали так, чтобы струя газов проходила над горизонтальным стабилизатором и не задевала боковую обшивку фюзеляжа.</w:t>
      </w:r>
    </w:p>
    <w:p w14:paraId="2CE70075" w14:textId="77777777" w:rsidR="00D33382" w:rsidRPr="00C33834" w:rsidRDefault="00D3338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Самолёт пилотировал лётчик-испытатель Н.П. Благин, в качестве наблюдающих летали инженеры ГДЛ Дудаков и Ширяев. Было проведено семь взлётов, из них пять — с ускорителями. Каждый ускоритель был рассчитан на 15 шашек пироксилино-тротилового пороха. На подготовку полёта (заряжание ракет, проверка цепи зажигания и др.) уходило от часа до полутора.</w:t>
      </w:r>
    </w:p>
    <w:p w14:paraId="35095143" w14:textId="77777777" w:rsidR="00D33382" w:rsidRPr="00C33834" w:rsidRDefault="00D3338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дневнике испытаний сообщалось:</w:t>
      </w:r>
    </w:p>
    <w:p w14:paraId="417F3921" w14:textId="77777777" w:rsidR="00D33382" w:rsidRPr="00C33834" w:rsidRDefault="00D3338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11 июля — два взлёта без запуска ускорителей.</w:t>
      </w:r>
    </w:p>
    <w:p w14:paraId="48BF6CE5" w14:textId="77777777" w:rsidR="00D33382" w:rsidRPr="00C33834" w:rsidRDefault="00D3338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16 июля — два взлёта с 3/5 полного заряда ускорителей (9 шашек).</w:t>
      </w:r>
    </w:p>
    <w:p w14:paraId="72C17916" w14:textId="77777777" w:rsidR="00D33382" w:rsidRPr="00C33834" w:rsidRDefault="00D3338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21, 22 июля — взлёты с полным зарядом.</w:t>
      </w:r>
    </w:p>
    <w:p w14:paraId="034F306A" w14:textId="77777777" w:rsidR="00D33382" w:rsidRPr="00C33834" w:rsidRDefault="00D3338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7 августа — взлёт с ускорителями с увеличенным до 8 т полётном весе самолёта (сверх программы, по указанию начальника ВВС Алксниса) </w:t>
      </w:r>
      <w:hyperlink r:id="rId281" w:history="1">
        <w:r w:rsidRPr="00C33834">
          <w:rPr>
            <w:rFonts w:ascii="Times New Roman" w:eastAsia="Times New Roman" w:hAnsi="Times New Roman"/>
            <w:color w:val="000000" w:themeColor="text1"/>
            <w:sz w:val="16"/>
            <w:szCs w:val="16"/>
            <w:lang w:eastAsia="ru-RU"/>
          </w:rPr>
          <w:t>[66]</w:t>
        </w:r>
      </w:hyperlink>
      <w:r w:rsidRPr="00C33834">
        <w:rPr>
          <w:rFonts w:ascii="Times New Roman" w:eastAsia="Times New Roman" w:hAnsi="Times New Roman"/>
          <w:color w:val="000000" w:themeColor="text1"/>
          <w:sz w:val="16"/>
          <w:szCs w:val="16"/>
          <w:lang w:eastAsia="ru-RU"/>
        </w:rPr>
        <w:t xml:space="preserve"> .</w:t>
      </w:r>
    </w:p>
    <w:p w14:paraId="100109E2" w14:textId="77777777" w:rsidR="00D33382" w:rsidRPr="00C33834" w:rsidRDefault="00D3338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Наилучший эффект достигался при включении ускорителей после короткого пробега при полной тяге винтов.</w:t>
      </w:r>
    </w:p>
    <w:p w14:paraId="12E4DF80" w14:textId="77777777" w:rsidR="00D33382" w:rsidRPr="00C33834" w:rsidRDefault="00D3338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октябре прошли государственные испытания ТБ-1 с ускорителями. Ведущим лётчиком был испытатель НИИ ВВС К.П. Миндер. На одном из полётов по приглашению Алксниса присутствовал нарком по военным и морским делам К.Е. Ворошилов. Результаты увиденного впечатляли — 6-тонная машина отрывалась от земли через 4 секунды после старта. Время работы ускорителей составляло всего 2 секунды, но создаваемая при этом тяга разгоняла машину с ускорением до 15 м/с. Грохоча на всю округу и изрыгая длинные языки пламени, тяжёлые бомбардировщики взлетали легко, как истребители (17489).</w:t>
      </w:r>
    </w:p>
    <w:p w14:paraId="715EE50C" w14:textId="77777777" w:rsidR="00D33382" w:rsidRPr="00C33834" w:rsidRDefault="00D33382" w:rsidP="00C33834">
      <w:pPr>
        <w:spacing w:after="0" w:line="240" w:lineRule="auto"/>
        <w:jc w:val="both"/>
        <w:rPr>
          <w:rFonts w:ascii="Times New Roman" w:eastAsia="Times New Roman" w:hAnsi="Times New Roman"/>
          <w:color w:val="000000" w:themeColor="text1"/>
          <w:sz w:val="16"/>
          <w:szCs w:val="16"/>
          <w:lang w:eastAsia="ru-RU"/>
        </w:rPr>
      </w:pPr>
    </w:p>
    <w:p w14:paraId="6085FC5C"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августа 1933 состоялось заседание у нач. ГУАП П.И.Б. (протокол 105):</w:t>
      </w:r>
    </w:p>
    <w:p w14:paraId="0F2F5122" w14:textId="77777777" w:rsidR="00487C9C" w:rsidRPr="00C33834" w:rsidRDefault="00487C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морским гидросамолетостроении" (2291,249).</w:t>
      </w:r>
    </w:p>
    <w:p w14:paraId="2548348F" w14:textId="77777777" w:rsidR="00487C9C" w:rsidRPr="00C33834" w:rsidRDefault="00487C9C" w:rsidP="00C33834">
      <w:pPr>
        <w:spacing w:after="0" w:line="240" w:lineRule="auto"/>
        <w:jc w:val="both"/>
        <w:rPr>
          <w:rFonts w:ascii="Times New Roman" w:hAnsi="Times New Roman"/>
          <w:color w:val="000000" w:themeColor="text1"/>
          <w:sz w:val="16"/>
          <w:szCs w:val="16"/>
        </w:rPr>
      </w:pPr>
    </w:p>
    <w:p w14:paraId="5E15160F" w14:textId="77777777" w:rsidR="008D15E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69FC1B8F" w14:textId="77777777" w:rsidR="008D15E1" w:rsidRPr="00C33834" w:rsidRDefault="008D15E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7BA1C30" w14:textId="77777777" w:rsidR="008D15E1" w:rsidRPr="00C33834" w:rsidRDefault="008D15E1" w:rsidP="00C33834">
      <w:pPr>
        <w:spacing w:after="0" w:line="240" w:lineRule="auto"/>
        <w:jc w:val="both"/>
        <w:rPr>
          <w:rStyle w:val="af0"/>
          <w:rFonts w:ascii="Times New Roman" w:hAnsi="Times New Roman"/>
          <w:i w:val="0"/>
          <w:color w:val="000000" w:themeColor="text1"/>
          <w:sz w:val="16"/>
          <w:szCs w:val="16"/>
        </w:rPr>
      </w:pPr>
      <w:r w:rsidRPr="00C33834">
        <w:rPr>
          <w:rStyle w:val="af0"/>
          <w:rFonts w:ascii="Times New Roman" w:hAnsi="Times New Roman"/>
          <w:i w:val="0"/>
          <w:color w:val="000000" w:themeColor="text1"/>
          <w:sz w:val="16"/>
          <w:szCs w:val="16"/>
        </w:rPr>
        <w:t xml:space="preserve">7 августа 1933 г. </w:t>
      </w:r>
      <w:r w:rsidRPr="00C33834">
        <w:rPr>
          <w:rFonts w:ascii="Times New Roman" w:hAnsi="Times New Roman"/>
          <w:color w:val="000000" w:themeColor="text1"/>
          <w:sz w:val="16"/>
          <w:szCs w:val="16"/>
        </w:rPr>
        <w:t>Докладная записка начальника Сектора обороны Госплана СССР¹* С. О. Ботнера руководству Госплана СССР об обеспеченности военной промышленности кадрами</w:t>
      </w:r>
    </w:p>
    <w:p w14:paraId="09D80BBF"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Совершенно секретно.</w:t>
      </w:r>
    </w:p>
    <w:p w14:paraId="40475B9A" w14:textId="77777777" w:rsidR="008D15E1" w:rsidRPr="00C33834" w:rsidRDefault="008D15E1" w:rsidP="00C33834">
      <w:pPr>
        <w:pStyle w:val="rtejustify"/>
        <w:spacing w:before="0" w:after="0"/>
        <w:rPr>
          <w:color w:val="000000" w:themeColor="text1"/>
          <w:sz w:val="16"/>
          <w:szCs w:val="16"/>
        </w:rPr>
      </w:pPr>
      <w:r w:rsidRPr="00C33834">
        <w:rPr>
          <w:color w:val="000000" w:themeColor="text1"/>
          <w:sz w:val="16"/>
          <w:szCs w:val="16"/>
        </w:rPr>
        <w:t>Мобилизационная готовность военной промышленности в значительной мере зависит от наличия в ней к моменту развертывания квалифицированных кадров рабочих и специалистов, полностью освоивших производство. Положение, которое мы имеем в настоящее время с сохранением кадров в военной промышленности, внушает большие опасения за готовность этого решающего участка. В 1933 г. военная промышленность в связи с незначительным ростом загрузки вынуждена была сокращать количество рабочих и ИТР.</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85"/>
        <w:gridCol w:w="1732"/>
        <w:gridCol w:w="1732"/>
        <w:gridCol w:w="1405"/>
        <w:gridCol w:w="1468"/>
      </w:tblGrid>
      <w:tr w:rsidR="00F26F01" w:rsidRPr="00C33834" w14:paraId="0C4B6D19" w14:textId="77777777" w:rsidTr="0091093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C920C26"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9E8C22E"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Численность рабочих</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16E3747"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Численность ИТР</w:t>
            </w:r>
          </w:p>
        </w:tc>
      </w:tr>
      <w:tr w:rsidR="00F26F01" w:rsidRPr="00C33834" w14:paraId="6AE3D847" w14:textId="77777777" w:rsidTr="0091093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4A50471" w14:textId="77777777" w:rsidR="008D15E1" w:rsidRPr="00C33834" w:rsidRDefault="008D15E1"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A82AE9"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2E78B"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FF96A22"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695B64"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 г.</w:t>
            </w:r>
          </w:p>
        </w:tc>
      </w:tr>
      <w:tr w:rsidR="00F26F01" w:rsidRPr="00C33834" w14:paraId="74EEED9D"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ED0A8A"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A1598"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31 365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B2A4F"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25 085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2D41E"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3 199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05E50"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3 100²*</w:t>
            </w:r>
          </w:p>
        </w:tc>
      </w:tr>
      <w:tr w:rsidR="00F26F01" w:rsidRPr="00C33834" w14:paraId="3563D9E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1E95FA"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Вохимтрест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C47B3"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77A7C"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2ECCC"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30A6E"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5637051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AB58BF"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876EC"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56 880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705EA"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42 717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AB51B"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5 316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29124"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4 800</w:t>
            </w:r>
          </w:p>
        </w:tc>
      </w:tr>
      <w:tr w:rsidR="00F26F01" w:rsidRPr="00C33834" w14:paraId="1732361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CB3C98"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Орудийно</w:t>
            </w:r>
            <w:r w:rsidRPr="00C33834">
              <w:rPr>
                <w:rFonts w:ascii="Times New Roman" w:hAnsi="Times New Roman"/>
                <w:color w:val="000000" w:themeColor="text1"/>
                <w:sz w:val="16"/>
                <w:szCs w:val="16"/>
              </w:rPr>
              <w:noBreakHyphen/>
              <w:t>арсенальный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042A5"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54 027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9B352"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48 632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A112289"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6C221"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7 000</w:t>
            </w:r>
          </w:p>
        </w:tc>
      </w:tr>
      <w:tr w:rsidR="00F26F01" w:rsidRPr="00C33834" w14:paraId="7A29339A"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5202D8"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Пороховые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40749"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13 787</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86E3C"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9 783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9D13B"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CB1AF"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44CCB63B"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ADA185"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Ружейно-пулеметный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A277C"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53 415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9946A"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40 250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F9494"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5 953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3C516"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5 300</w:t>
            </w:r>
          </w:p>
        </w:tc>
      </w:tr>
      <w:tr w:rsidR="00F26F01" w:rsidRPr="00C33834" w14:paraId="1BAD4204"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77DC15"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30BFD"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231 002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FB437"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187 241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16A83"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22 012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FF6D5"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20 200</w:t>
            </w:r>
          </w:p>
        </w:tc>
      </w:tr>
    </w:tbl>
    <w:p w14:paraId="60CA57DC" w14:textId="77777777" w:rsidR="008D15E1" w:rsidRPr="00C33834" w:rsidRDefault="008D15E1" w:rsidP="00C33834">
      <w:pPr>
        <w:pStyle w:val="rtejustify"/>
        <w:spacing w:before="0" w:after="0"/>
        <w:rPr>
          <w:color w:val="000000" w:themeColor="text1"/>
          <w:sz w:val="16"/>
          <w:szCs w:val="16"/>
        </w:rPr>
      </w:pPr>
      <w:r w:rsidRPr="00C33834">
        <w:rPr>
          <w:color w:val="000000" w:themeColor="text1"/>
          <w:sz w:val="16"/>
          <w:szCs w:val="16"/>
        </w:rPr>
        <w:t>По указанным выше производствам среднегодовая численность рабочих сократилась на 43,7 тыс. чел. и ИТР — 1,8 тыс. чел., и только по авиационной промышленности, вискозным фабрикам и производству танков не было сокращения рабочих, против IV квартала 1932 г. ИТР и здесь приходилось сокращать. Тем более положение становится напряженным к концу второго пятилетия при росте основного капитала в два с лишним раза и в лучшем случае сохранении рабочих на уровне 1932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247"/>
        <w:gridCol w:w="859"/>
        <w:gridCol w:w="859"/>
        <w:gridCol w:w="2357"/>
      </w:tblGrid>
      <w:tr w:rsidR="00F26F01" w:rsidRPr="00C33834" w14:paraId="232CF866"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998CE8"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F6F09"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35C13"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01A66"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1937 г. в процентах</w:t>
            </w:r>
          </w:p>
          <w:p w14:paraId="12C17833"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1932 г.</w:t>
            </w:r>
          </w:p>
        </w:tc>
      </w:tr>
      <w:tr w:rsidR="00F26F01" w:rsidRPr="00C33834" w14:paraId="7CA22786"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42198E"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Основной производственный фонд в млн. руб. на конец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B0E69"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4CA54"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2DFD7"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234,5</w:t>
            </w:r>
          </w:p>
        </w:tc>
      </w:tr>
      <w:tr w:rsidR="00F26F01" w:rsidRPr="00C33834" w14:paraId="108B734F"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D33996"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Валовая продукция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51DB7"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2037,4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1B074"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B03BE"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137,4</w:t>
            </w:r>
          </w:p>
        </w:tc>
      </w:tr>
      <w:tr w:rsidR="00F26F01" w:rsidRPr="00C33834" w14:paraId="43B630D0"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D344A9"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Численность рабочих в тыс.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DF29E"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16E77"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317,1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7A79E"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99,5</w:t>
            </w:r>
          </w:p>
        </w:tc>
      </w:tr>
      <w:tr w:rsidR="00F26F01" w:rsidRPr="00C33834" w14:paraId="1CCC5AA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7B824A"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Выработка на рабочего в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22BDA"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8EAF1"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9E17D"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138,0</w:t>
            </w:r>
          </w:p>
        </w:tc>
      </w:tr>
    </w:tbl>
    <w:p w14:paraId="66BD9A7E" w14:textId="77777777" w:rsidR="008D15E1" w:rsidRPr="00C33834" w:rsidRDefault="008D15E1" w:rsidP="00C33834">
      <w:pPr>
        <w:pStyle w:val="rtejustify"/>
        <w:spacing w:before="0" w:after="0"/>
        <w:rPr>
          <w:color w:val="000000" w:themeColor="text1"/>
          <w:sz w:val="16"/>
          <w:szCs w:val="16"/>
        </w:rPr>
      </w:pPr>
      <w:r w:rsidRPr="00C33834">
        <w:rPr>
          <w:color w:val="000000" w:themeColor="text1"/>
          <w:sz w:val="16"/>
          <w:szCs w:val="16"/>
        </w:rPr>
        <w:lastRenderedPageBreak/>
        <w:t>Во втором пятилетии вступают в эксплуатацию 15 новых предприятий; необходимо предусмотреть обеспечение этих предприятий рабочей силой и специалистами. Мы запроектировали 38% роста производительности труда исключительно с целью сохранения наличного состава рабочих, зная, однако, что производительность труда будет значительно выше и, следовательно, рабочих нужно будет сокращать. Производительность труда в военной промышленности не будет ниже, чем в гражданской промышленности, а НКТП проектирует в машиностроении рост производительности труда на 65% и увеличение численности рабочих на 24%. Но даже и при этом условном расчете (38%) не выдерживается необходимое соотношение между темпами роста производительности труда и заработной платы. Рост заработной платы в 1937 г. должен составить 31,8% по отношению к 1932 г. (в том числе в 1933 г. против 1932 г. — 9,7%), т. к. уровень зарплаты в военно-химической промышленности еще очень значительно отстает от уровня зарплаты в гражданской химии, и во втором пятилетии этот разрыв должен быть ликвидирован.</w:t>
      </w:r>
    </w:p>
    <w:p w14:paraId="12DCC2F8" w14:textId="77777777" w:rsidR="008D15E1" w:rsidRPr="00C33834" w:rsidRDefault="008D15E1" w:rsidP="00C33834">
      <w:pPr>
        <w:pStyle w:val="rtejustify"/>
        <w:spacing w:before="0" w:after="0"/>
        <w:rPr>
          <w:color w:val="000000" w:themeColor="text1"/>
          <w:sz w:val="16"/>
          <w:szCs w:val="16"/>
        </w:rPr>
      </w:pPr>
      <w:r w:rsidRPr="00C33834">
        <w:rPr>
          <w:color w:val="000000" w:themeColor="text1"/>
          <w:sz w:val="16"/>
          <w:szCs w:val="16"/>
        </w:rPr>
        <w:t>Обращая Ваше внимание на то, что мы лишены возможности вследствие недостаточной загрузки военной промышленности во втором пятилетии предусмотреть обеспечение ее мобилизационной готовности по линии труда, а также и на то, что себестоимость продукции не может быть снижена в полном соответствии с директивами партии и правительства, прошу Ваших указаний.</w:t>
      </w:r>
    </w:p>
    <w:p w14:paraId="3A306CDA" w14:textId="77777777" w:rsidR="008D15E1" w:rsidRPr="00C33834" w:rsidRDefault="008D15E1" w:rsidP="00C33834">
      <w:pPr>
        <w:pStyle w:val="ae"/>
        <w:spacing w:before="0" w:after="0"/>
        <w:jc w:val="both"/>
        <w:rPr>
          <w:color w:val="000000" w:themeColor="text1"/>
          <w:sz w:val="16"/>
          <w:szCs w:val="16"/>
        </w:rPr>
      </w:pPr>
      <w:r w:rsidRPr="00C33834">
        <w:rPr>
          <w:rStyle w:val="af0"/>
          <w:i w:val="0"/>
          <w:color w:val="000000" w:themeColor="text1"/>
          <w:sz w:val="16"/>
          <w:szCs w:val="16"/>
        </w:rPr>
        <w:t>Начальник Сектора обороны Госплана СССР Ботнер</w:t>
      </w:r>
    </w:p>
    <w:p w14:paraId="6ECCA8FB" w14:textId="77777777" w:rsidR="008D15E1" w:rsidRPr="00C33834" w:rsidRDefault="008D15E1"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Примечания</w:t>
      </w:r>
      <w:r w:rsidRPr="00C33834">
        <w:rPr>
          <w:color w:val="000000" w:themeColor="text1"/>
          <w:sz w:val="16"/>
          <w:szCs w:val="16"/>
        </w:rPr>
        <w:t>:</w:t>
      </w:r>
    </w:p>
    <w:p w14:paraId="3C7B9175" w14:textId="77777777" w:rsidR="008D15E1" w:rsidRPr="00C33834" w:rsidRDefault="008D15E1" w:rsidP="00C33834">
      <w:pPr>
        <w:pStyle w:val="rtejustify"/>
        <w:spacing w:before="0" w:after="0"/>
        <w:rPr>
          <w:color w:val="000000" w:themeColor="text1"/>
          <w:sz w:val="16"/>
          <w:szCs w:val="16"/>
        </w:rPr>
      </w:pPr>
      <w:r w:rsidRPr="00C33834">
        <w:rPr>
          <w:color w:val="000000" w:themeColor="text1"/>
          <w:sz w:val="16"/>
          <w:szCs w:val="16"/>
        </w:rPr>
        <w:t>¹* </w:t>
      </w:r>
      <w:r w:rsidRPr="00C33834">
        <w:rPr>
          <w:rStyle w:val="af0"/>
          <w:bCs/>
          <w:i w:val="0"/>
          <w:color w:val="000000" w:themeColor="text1"/>
          <w:sz w:val="16"/>
          <w:szCs w:val="16"/>
        </w:rPr>
        <w:t>Сектор обороны Госплана СССР</w:t>
      </w:r>
      <w:r w:rsidRPr="00C33834">
        <w:rPr>
          <w:color w:val="000000" w:themeColor="text1"/>
          <w:sz w:val="16"/>
          <w:szCs w:val="16"/>
        </w:rPr>
        <w:t xml:space="preserve"> был создан летом 1927 г. на базе Военного бюро Госплана. Первоначально в составе Сектора обороны были организованы 4 самостоятельные комиссии, члены которых являлись высококвалифицированными специалистами и подбор их производился с особой тщательностью. Они не прикреплялись к определенной комиссии, а нагружались по заданию той комиссии, работа которой на данный момент была важнейшей. Одновременно привлекались специалисты из общего аппарата Госплана. Во главе сектора стояли председатель и его заместитель. Президиум Сектора обороны, в состав которого входили руководители комиссий, обсуждал текущие вопросы. Проводились также специальные совещания с главами наркоматов и отдельных их органов по важнейшим вопросам обороны. В наркоматах также создавались специальные комиссии с участием сотрудником Сектора обороны по конкретным вопросам. Задачами Сектора обороны являлись: подсчеты по заявке на военное время (мобзаявке) Наркомата обороны СССР и войск НКВД по всем видам материального обеспечения, разработка цифр объема мобзаданий для отдельных наркоматов, проработка вопросов развития материальной базы народного хозяйства по обеспечению потребностей вооруженных сил на военное время в пятилетием плане, а также в годовых и квартальных планах. Сектор обороны непосредственно ведал специально-оборонной частью народно-хозяйственного плана, а именно: сметой, планом капитального строительства и планом заказов НКО и войск НКВД, планом капитального строительства и производства военной промышленности, планами специально-оборонного строительства по всем отраслям невоенной промышленности, по НКПС, НКВоду, Цудотрансу, НКСвязи и прочим наркоматам, планами специально-оборонного строительства в республиках, краях и областях. Сектор обороны разрабатывал совместно с отделом районного планирования народно-хозяйственные планы с учетом задач и потребностей обороны пограничных областей СССР. По мобилизационным планам наркоматов Сектор обороны разрабатывал вопросы, вытекающие из необходимости координировать мобпланы ведомств по обеспечению их взаимных заявок материальными ресурсами, а также вопросы финансирования мобилизации и обеспечения рабочей силой. Сектор обороны вел наблюдение за ходом выполнения плана в его оборонной части, прорабатывал вопросы оборонного порядка, возникающие в течение хозяйственного года, подготавливал заключения Госплана по оборонным вопросам. В основной структуре Сектора обороны выделялись: сектор военной промышленности, мобилизационный сектор, военная группа, группа транспорта и связи, группа районов, секретная группа и секретариат. 17 сентября 1937 г. в соответствии с постановлением ЦИК и СНК СССР № 108/1637 «Об изменении структуры Госплана СССР» Сектор обороны был реорганизован в Отдел обороны, в составе секторов: плана оборонной промышленности, плана мобилизационной подготовки народного хозяйства, планов НКО и НКВД. (СЗ. 1937 1937 вышел приказ НКОП № 62. Ст. 270; РГАЭ. Ф. 4372. Оп. 91. Д. 2285. Л. 1</w:t>
      </w:r>
      <w:r w:rsidRPr="00C33834">
        <w:rPr>
          <w:color w:val="000000" w:themeColor="text1"/>
          <w:sz w:val="16"/>
          <w:szCs w:val="16"/>
        </w:rPr>
        <w:noBreakHyphen/>
        <w:t>1 об., 3</w:t>
      </w:r>
      <w:r w:rsidRPr="00C33834">
        <w:rPr>
          <w:color w:val="000000" w:themeColor="text1"/>
          <w:sz w:val="16"/>
          <w:szCs w:val="16"/>
        </w:rPr>
        <w:noBreakHyphen/>
        <w:t>4).</w:t>
      </w:r>
    </w:p>
    <w:p w14:paraId="6B87FB1C" w14:textId="77777777" w:rsidR="008D15E1" w:rsidRPr="00C33834" w:rsidRDefault="008D15E1" w:rsidP="00C33834">
      <w:pPr>
        <w:pStyle w:val="rtejustify"/>
        <w:spacing w:before="0" w:after="0"/>
        <w:rPr>
          <w:color w:val="000000" w:themeColor="text1"/>
          <w:sz w:val="16"/>
          <w:szCs w:val="16"/>
        </w:rPr>
      </w:pPr>
      <w:r w:rsidRPr="00C33834">
        <w:rPr>
          <w:color w:val="000000" w:themeColor="text1"/>
          <w:sz w:val="16"/>
          <w:szCs w:val="16"/>
        </w:rPr>
        <w:t>²* Вторая цифра после исправления неразборчива.</w:t>
      </w:r>
    </w:p>
    <w:p w14:paraId="5AB9578F" w14:textId="77777777" w:rsidR="008D15E1" w:rsidRPr="00C33834" w:rsidRDefault="008D15E1" w:rsidP="00C33834">
      <w:pPr>
        <w:pStyle w:val="rtejustify"/>
        <w:spacing w:before="0" w:after="0"/>
        <w:rPr>
          <w:color w:val="000000" w:themeColor="text1"/>
          <w:sz w:val="16"/>
          <w:szCs w:val="16"/>
        </w:rPr>
      </w:pPr>
      <w:r w:rsidRPr="00C33834">
        <w:rPr>
          <w:color w:val="000000" w:themeColor="text1"/>
          <w:sz w:val="16"/>
          <w:szCs w:val="16"/>
        </w:rPr>
        <w:t>РГАЭ. Ф. 4372. Оп. 91. Д. 1395. Л. 97-94 об. Подлинник (14275).</w:t>
      </w:r>
    </w:p>
    <w:p w14:paraId="1360E27E" w14:textId="77777777" w:rsidR="008D15E1" w:rsidRPr="00C33834" w:rsidRDefault="008D15E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5C83FD0"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 августа 1933 г.</w:t>
      </w:r>
    </w:p>
    <w:p w14:paraId="2E44E315"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СПЕЦСООБЩЕНИЕ Г.Г. ЯГОДЫ И Л.Г. МИРОНОВА И.В. СТАЛИНУ О НАЛИЧИИ «ШПИОНСКОЙ» ОРГАНИЗАЦИИ В ОРУДИЙНО-АРСЕНАЛЬНОЙ ПРОМЫШЛЕННОСТИ</w:t>
      </w:r>
    </w:p>
    <w:p w14:paraId="23C87246"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 августа 1933 г.</w:t>
      </w:r>
    </w:p>
    <w:p w14:paraId="5BD4B282"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294301</w:t>
      </w:r>
    </w:p>
    <w:p w14:paraId="09D0FF38"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СОВ. СЕКРЕТНО</w:t>
      </w:r>
      <w:r w:rsidRPr="00C33834">
        <w:rPr>
          <w:rFonts w:ascii="Times New Roman" w:hAnsi="Times New Roman"/>
          <w:color w:val="0070C0"/>
          <w:sz w:val="16"/>
          <w:szCs w:val="16"/>
        </w:rPr>
        <w:tab/>
        <w:t>.</w:t>
      </w:r>
    </w:p>
    <w:p w14:paraId="31DBC097"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Следствием установлено, что в орудийно-арсенальной промышленности существует к.-р. вредительская и шпионская организация, охватившая своей деятельностью как центральный аппарат — орудийно-арсенальное объединение, так и его заводы, руководимая немецкими национал-социалистами.</w:t>
      </w:r>
    </w:p>
    <w:p w14:paraId="56783200"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Состав организации — бывш. офицеры, дворяне, выходцы из буржуазной среды, часть из них нерепрессированные участники ликвидированной в военной промышленности вредительской организации, возглавлявшейся генералом МИХАЙЛОВЫМ.</w:t>
      </w:r>
    </w:p>
    <w:p w14:paraId="5C231F56"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состав организации входит и ряд молодых специалистов.</w:t>
      </w:r>
    </w:p>
    <w:p w14:paraId="4A761150"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 данному делу арестованы:</w:t>
      </w:r>
    </w:p>
    <w:p w14:paraId="2E83198F"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МИХАЙЛОВ Александр Иванович — быв. тех. директор завода № 8, выходец из буржуазной семьи, в прошлом воспитанник баронессы Шпиглец-Половецкой.</w:t>
      </w:r>
    </w:p>
    <w:p w14:paraId="76784136"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ХАНДОМИРОВ Давид Сергеевич — нач. отдела оборудования и мощностей завода № 8, служащий, выходец из буржуазной семьи.</w:t>
      </w:r>
    </w:p>
    <w:p w14:paraId="7E6AB2A5"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ТЫЧКОВ Игорь Неофитович — пом. нач. инструментального отдела завода № 8, из крестьянской зажиточной семьи.</w:t>
      </w:r>
    </w:p>
    <w:p w14:paraId="5E5451DC"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ШЕФЕР Александр Яковлевич — инженер бюро рационализации завода № 8, в прошлом владелец крупного завода.</w:t>
      </w:r>
    </w:p>
    <w:p w14:paraId="63D550BE"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СЛУЦКИЙ Илья Петрович — техник-нормировщик цеха № 2 завода № 8; до JL918 г. проживал в Польше.</w:t>
      </w:r>
    </w:p>
    <w:p w14:paraId="0987717A"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ТЕЙХМАН Александр Константинович — из буржуазной семьи, офицер, родственники живут в Америке, нач. отдела снабжения Стройконторы завода «Баррикады».</w:t>
      </w:r>
    </w:p>
    <w:p w14:paraId="2C1910BD"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 КАМЕНОВ Семен Евграфович — инженер-металлург, нач. термической мастерской завода «Баррикады», родственники и братья офицеры, служили в белой армии, эмигрировали, сам КАМЕНОВ ранее состоял в кулацко-повстанческой организации.</w:t>
      </w:r>
    </w:p>
    <w:p w14:paraId="58A3FE12"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8. УЛЬЯНОВ Федор Филимонович — главбух завода «Баррикады», до революции работал на Златоустовском заводе, был провокатором, выдавая в руки полиции революционных рабочих.</w:t>
      </w:r>
    </w:p>
    <w:p w14:paraId="2656E975"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9. КАРПОВИЧ Павел Анзельмович — бывш. пом. нач. управления реконструкции ВОАО и техн. директор завода «Большевик», из дворян, полковник.</w:t>
      </w:r>
    </w:p>
    <w:p w14:paraId="6F46FD13"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 ЮРИССОН Георгий Юрьевич — инженер, нач. Орудийского отдела ВОАО, из дворян, бывш. офицер, капитан морского флота.</w:t>
      </w:r>
    </w:p>
    <w:p w14:paraId="1167BE5D"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11. НОТАРИУС Семен Захарович — гл. механик ВОАО, выходец из буржуазной среды.</w:t>
      </w:r>
    </w:p>
    <w:p w14:paraId="53FE9E05"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12. СПИРИДОНОВ Павел Георгиевич — инженер отдела капитального строительства ВОАО, сын кулака, бывш. офицер.</w:t>
      </w:r>
    </w:p>
    <w:p w14:paraId="6A011469"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Показаниями указанных лиц, а равно и показаниями и других участников к.-р. организации, нами допрошены, но неарестованны (ПАРИЙСКИЙ В.В. — гл. металлург завода «Баррикады», ДАНИЛЕВСКИЙ В.П. — пом. техн. дир. завода «Баррикады», ЗАКРЖЕВСКИЙ ВЛ. — бывш. техн. дир. завода «Большевик» и МИРОЛЮБОВ — нач. молотового цеха завода «Большевик») — УСТАНОВЛЕНО:</w:t>
      </w:r>
    </w:p>
    <w:p w14:paraId="4678DDE1"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Основание организации положили оставшиеся на свободе участники ликвидированной «МИХАЙЛОВСКОЙ» организации в военной промышленности, которые активизировали свою подрывную деятельность с момента приезда на заводы ВОАО немецких инженеров Фирм «Крѵпп» и «Рейн-Металл», являющихся членами национал-социалистской партии. КИРМЗЕ. Пантенланден. РОЛЬФ; РеСТЁН.'ЗИТЦ и др.</w:t>
      </w:r>
    </w:p>
    <w:p w14:paraId="25E4E37F"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 заданию последних на заводах ВОАО созданы фашистские ячейки для подрывной и шпионской работы.</w:t>
      </w:r>
    </w:p>
    <w:p w14:paraId="58F8420C"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Наиболее крупные фашистские ячейки были созданы на ведущих орудийных заводах: Московском № 8, «Баррикады» и «Большевик».</w:t>
      </w:r>
    </w:p>
    <w:p w14:paraId="470AA811"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После отъезда указанных выше фашистов в Германию связь осуществлялась через представителя немецких фирм —«Гутегофнунгсштте» и «Шломан» ШВЕРЦА, являющегося поданным ОГПУ, крупным немецким разведчиком. (См. прил. № 1, 2, 3, 4, 5, 6, 7, 8).</w:t>
      </w:r>
    </w:p>
    <w:p w14:paraId="7EDE689E"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Срыв реконструкции орудийных заводов</w:t>
      </w:r>
    </w:p>
    <w:p w14:paraId="35606A70"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результате деятельности указанной к-p вредительской и шпионской организации:</w:t>
      </w:r>
    </w:p>
    <w:p w14:paraId="4EE01A09"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Сорван план реконструкции основных заводов ВОАО («Баррикады», «Новое Сормово», «Большевик» и Пермский).</w:t>
      </w:r>
    </w:p>
    <w:p w14:paraId="0653B2D3"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Из отпущенных в течение 1931—32 г.г. на промстроительство 186.818.000 рублей израсходовано 145.000.000 рублей или 78%, освоено 85.719.000 рублей или 59%.</w:t>
      </w:r>
    </w:p>
    <w:p w14:paraId="53FFFD2D"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основном удар был направлен на срыв реконструкции горячих цехов и освоения капиталовложений (отпущено 56.723.000 рублей, израсходовано 36.665.000 рублей или 65%, а освоено только 13.893 руб. или 38%) с целью увеличения диспропорции между холодными (обрабатывающими) и горячими (заготовительными) цехами (см. приложение № 9).</w:t>
      </w:r>
    </w:p>
    <w:p w14:paraId="1EA08DDA"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 программе 1933 г. горячие цеха загружены на 100% плюс дефицит в прокате в 14 тысяч тонн, вызванный срывом установки крупносортовых станков, механические цеха 65%. (См. приложение № 10).</w:t>
      </w:r>
    </w:p>
    <w:p w14:paraId="106EAA42"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Ввоз ненужного оборудования</w:t>
      </w:r>
    </w:p>
    <w:p w14:paraId="00865316"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-Оборудование, в том числе и импортное, заказывалось некомплектно, с разрывами в сроках поступления и вовсе ненужное ВОАО.</w:t>
      </w:r>
    </w:p>
    <w:p w14:paraId="3C2E33CE"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На складах заводов ВОАО лежит в условиях плохого хранения на 11.000.000 руб. неустановленного оборудования, в том числе импортного на 9.000.000 руб. золотом, что приводит к поломке, порче оборудования и потере деталей. (См. приложение № 11, 12, 13, 14, 15 и 16.)</w:t>
      </w:r>
    </w:p>
    <w:p w14:paraId="5386443F"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Срыв текущей военной и мирной программ</w:t>
      </w:r>
    </w:p>
    <w:p w14:paraId="60F50518"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xml:space="preserve">в) Сорвано выполнение военной программы по орудийным системам. </w:t>
      </w:r>
    </w:p>
    <w:p w14:paraId="32D14C40"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1932 г. программа 6078 систем, предъявлено 1882 систем, сдано 771.</w:t>
      </w:r>
    </w:p>
    <w:p w14:paraId="2267079F"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За 1-й квартал 1933 года программа 410, предъявлено 225, сдано 25 систем.</w:t>
      </w:r>
    </w:p>
    <w:p w14:paraId="659C2677"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Срыв программы шел прежде всего за счет наиболее дефицитных и новейших видов вооружений (танковая, противотанковая и зенитная артиллерия, бронебойные снаряды крупного калибра), выпуск которых определяется единицами (см. прилож. № 17 и 18.)</w:t>
      </w:r>
    </w:p>
    <w:p w14:paraId="327C9CEA"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Помимо этого на вооружение путем обмана военной приемки сдавались заведомо недоброкачественные системы (см. прилож. 18-а и 39).</w:t>
      </w:r>
    </w:p>
    <w:p w14:paraId="719C963F"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 Срывалось производство мирной продукции тяжелого машиностроения (турбинные диски, ротора, котлы высокого давления, химаппаратура), что создавало необходимость в импорте (см. прилож. № 29, 34.)</w:t>
      </w:r>
    </w:p>
    <w:p w14:paraId="1F3CD58A"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 Вредительским планированием и введением технологического процесса создавались заделы и увеличивался брак.</w:t>
      </w:r>
    </w:p>
    <w:p w14:paraId="7BD8E346"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 заводах ВОАО имеется незавершенного производства на 107.000.000 руб.</w:t>
      </w:r>
    </w:p>
    <w:p w14:paraId="4A93F3F5"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Брак по основным деталям колеблется от 27 до 75% (см. прилож. № 19 и 19-а).</w:t>
      </w:r>
    </w:p>
    <w:p w14:paraId="2902DDD7"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е) Членами к-p организации передавались сведения шпионского характера немецким фашистам. (Передан ряд сведений о производственных программах, мобилиз. сведения, чертежи экстродальной 152 м/м пушки). (См. прилож. № 20.)</w:t>
      </w:r>
    </w:p>
    <w:p w14:paraId="6E0540CB"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СЛЕДСТВИЕМ ДОКУМЕНТАЛЬНО ДОКАЗАНЫ СЛЕДУЮЩИЕ АКТЫ ВРЕДИТЕЛЬСТВА</w:t>
      </w:r>
    </w:p>
    <w:p w14:paraId="5A9394B8"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Вредительство на заводе «Баррикады»</w:t>
      </w:r>
    </w:p>
    <w:p w14:paraId="6ABD431D"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 реконструкцию и новое строительство горячих механических цехов отпущено 64.000.000 руб., израсходовано 48.000.000 руб. или 79%, освоено 30.000.000 руб. или 58%.</w:t>
      </w:r>
    </w:p>
    <w:p w14:paraId="79C49B6E"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Из указанной суммы на горячие цеха отпущено 21.000.000 руб., израсходовано 14.000.000 руб. или 67%, а освоено всего лишь 4.900.000 руб. или 34%.</w:t>
      </w:r>
    </w:p>
    <w:p w14:paraId="068BBA62"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Строительство основных горячих цехов (мартеновских, обдирочного, торпедно-прессового, нового термического) сорвано.</w:t>
      </w:r>
    </w:p>
    <w:p w14:paraId="3979F8F9"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Руководители к-p ячейки на заводе — гл. металлург КРАВС-ТАРНАВСКИЙ, его помощник ПАРИЙСКИЙ и зав. термическими цехами НАГОРОВ — договорились саботировать все запросы УКСа, ссылаясь на свою некомпетентность, или вовсе не давать никаких технических указаний, или давать неверные, что и осуществляли.</w:t>
      </w:r>
    </w:p>
    <w:p w14:paraId="17514B37"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 участием иноспециалиста ШИЛЛИНГА были даны заведомо неверные технические указания по вновь строящимся мартеновским и вертикально-закалочным печам, понизившие эффективность таковых. (См. прилож. № 21, 22, 23, 24).</w:t>
      </w:r>
    </w:p>
    <w:p w14:paraId="24BF3FE5"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Применялись несовершенные методы плавки и термической обработки, чем повышался брак, понижался процент выполнения производственных заданий по орудийным системам, и выпускались на вооружение недоброкачественные системы.</w:t>
      </w:r>
    </w:p>
    <w:p w14:paraId="5802EF89"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Под видом облегчения процесса ковки орудийных поковок применялась заведомо неправильно изложница, приводившая к загрязнению орудийных труб в ответственных местах (в камере и в начале нарезов).</w:t>
      </w:r>
    </w:p>
    <w:p w14:paraId="03AC2F38"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результате в 1932 г. окончательно было забраковано 100 труб, а 110, явно недоброкачественных, было направлено на завод N9 13 (Брянский Арсенал).</w:t>
      </w:r>
    </w:p>
    <w:p w14:paraId="7F9C1FA7"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 этом ТАРНАВСКИЙ давал ПАРИЙСКОМУ указания направлять на завод № 13 более загрязненные трубы, заявляя, что там нет оптической трубы. осмотр производится зеркалом и дефекты не будут видны.</w:t>
      </w:r>
    </w:p>
    <w:p w14:paraId="23773F3C"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Это вредительство было проведено при прямом участии иноспециалистов ФЕЙСТА и БЕРНГОРН, которые доказывали, что шлаковые включения никакого влияния на службу пушек не имеют.</w:t>
      </w:r>
    </w:p>
    <w:p w14:paraId="30C19420"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Под предлогом отсутствия пирмотермических приборов, тогда как на складах завода таковые имеются, проводилась кустарно-термическая обработка орудийных деталей, в силу чего от неправильных температур повышался брак, достигавший 30%.</w:t>
      </w:r>
    </w:p>
    <w:p w14:paraId="0D5C535D"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Участником к-p ячейки ШУКАЛОВЫМ (бывший начальник Конструкторского бюро завода), путем неправильных подсчетов напряжений в частях системы, сдавались Военведу пушки явно недоброкачественные.</w:t>
      </w:r>
    </w:p>
    <w:p w14:paraId="29F6D20E"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Сданы Военведу утонченные на 10 м/м ладыги (деталь, которой закрепляет тело с салазкой), что вносит ослабление сечения на 100 м/м и неизбежно приведет к аварии пушки во время стрельбы. Об этом, смеясь, говорил ШУКАЛОВ ПАРИЙСКОМУ после того, как «доказал» военной приемке пригодность этих ладыг.</w:t>
      </w:r>
    </w:p>
    <w:p w14:paraId="7CE5308F"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 Сданы кронштейны для 152 м/м пушек, явно негодные по причине большого наличия раковины.</w:t>
      </w:r>
    </w:p>
    <w:p w14:paraId="7F84D71B"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 Сдано военному приемщику 212 недоброкачественных труб. Наличие шлаковых включений в камере и в начале нарезов трубы понижает ее службу, а именно: вместо полагающихся 3000 выстрелов возможно только 1500-2000, после чего необходимо перестволение. (См. прилож. № 25, 26, 27, 28.)</w:t>
      </w:r>
    </w:p>
    <w:p w14:paraId="263D1C13"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 заданию иноспециалиста КИРМЗЕ задерживали развитие на заводе тяжелого машиностроения (котлы высокого давления, ротора, турбинные валы, химаппаратура), способствуя передаче этих заказов за границу фирме «Крупп». (Сорваны заказы Союзверфи и ВЭО.) (См. прилож. № 29.)</w:t>
      </w:r>
    </w:p>
    <w:p w14:paraId="116AC2B9"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результате проведения указанных методов вредительства программа завода сорвана:</w:t>
      </w:r>
    </w:p>
    <w:p w14:paraId="47BCE110"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1932 г. подлежало изготовлению</w:t>
      </w:r>
      <w:r w:rsidRPr="00C33834">
        <w:rPr>
          <w:rFonts w:ascii="Times New Roman" w:hAnsi="Times New Roman"/>
          <w:color w:val="0070C0"/>
          <w:sz w:val="16"/>
          <w:szCs w:val="16"/>
        </w:rPr>
        <w:tab/>
        <w:t>— 208 систем.</w:t>
      </w:r>
    </w:p>
    <w:p w14:paraId="341302F2"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Изготовлено и предъявлено к сдаче</w:t>
      </w:r>
      <w:r w:rsidRPr="00C33834">
        <w:rPr>
          <w:rFonts w:ascii="Times New Roman" w:hAnsi="Times New Roman"/>
          <w:color w:val="0070C0"/>
          <w:sz w:val="16"/>
          <w:szCs w:val="16"/>
        </w:rPr>
        <w:tab/>
        <w:t>— 50</w:t>
      </w:r>
    </w:p>
    <w:p w14:paraId="5864D97A"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Принято Военведом</w:t>
      </w:r>
      <w:r w:rsidRPr="00C33834">
        <w:rPr>
          <w:rFonts w:ascii="Times New Roman" w:hAnsi="Times New Roman"/>
          <w:color w:val="0070C0"/>
          <w:sz w:val="16"/>
          <w:szCs w:val="16"/>
        </w:rPr>
        <w:tab/>
        <w:t>— 0</w:t>
      </w:r>
    </w:p>
    <w:p w14:paraId="2FF7F5D0"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За 1 кв[артал] 1933 г. подлежало изготовлению— 60</w:t>
      </w:r>
    </w:p>
    <w:p w14:paraId="569DF3E5"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Изготовлено и предъявлено к сдаче</w:t>
      </w:r>
      <w:r w:rsidRPr="00C33834">
        <w:rPr>
          <w:rFonts w:ascii="Times New Roman" w:hAnsi="Times New Roman"/>
          <w:color w:val="0070C0"/>
          <w:sz w:val="16"/>
          <w:szCs w:val="16"/>
        </w:rPr>
        <w:tab/>
        <w:t>— 31</w:t>
      </w:r>
    </w:p>
    <w:p w14:paraId="04A26F0A"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Принято Военведом</w:t>
      </w:r>
      <w:r w:rsidRPr="00C33834">
        <w:rPr>
          <w:rFonts w:ascii="Times New Roman" w:hAnsi="Times New Roman"/>
          <w:color w:val="0070C0"/>
          <w:sz w:val="16"/>
          <w:szCs w:val="16"/>
        </w:rPr>
        <w:tab/>
        <w:t>— 7</w:t>
      </w:r>
    </w:p>
    <w:p w14:paraId="668A73C0"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Одновременно на складах завода лежит в незавершенном производстве некомплектных деталей на сумму 13 млн. рублей, что в программе 1932 г. в денежном выражении составляет 105%. (См. прилож. Мг 17 и 19.)</w:t>
      </w:r>
    </w:p>
    <w:p w14:paraId="68877187"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Вредительство на заводе «Большевик»</w:t>
      </w:r>
    </w:p>
    <w:p w14:paraId="2F1B2DA6"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 реконструкцию и строительство новых цехов в 1931—32 г. было отпущено 30 млн руб., израсходовано 22 млн руб., или 74%, освоено 6 млн — или 35%*.</w:t>
      </w:r>
    </w:p>
    <w:p w14:paraId="40B2F878"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Из указанной суммы на горячие цеха отпущено 10 млн. руб., израсходовано 5.800.000 руб., или 57%, а освоено всего лишь 3.000.000 руб., или 55%.</w:t>
      </w:r>
    </w:p>
    <w:p w14:paraId="2CF2F228"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Сорвано строительство нового мартеновского, прокатного, фасонно-литейного и ремонтно-механического цехов. (См. прилож. № 9 и 30.)</w:t>
      </w:r>
    </w:p>
    <w:p w14:paraId="7F40A4D8"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КРАВС-ТАРНАВСКИЙ, ПАРИЙСКИЙ, работавшие ранее на заводе «Большевик», и ЗАКРЖЕВСКИЙ — бывш. технический] директор завода, ныне инженер Оптического Объединения, возглавлявшие к-p ячейку на заводе «Большевик», поставили себе задачей по специальному указанию инженера КИРМЗЕ, представителя фирмы «Крупп», не допустить освоения заводом производства крупнокалиберных бронебойных снарядов для Морского Ведомства, что ими и выполнено.</w:t>
      </w:r>
    </w:p>
    <w:p w14:paraId="6E00FB23"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Необходимые для организации производства крупных снарядов пресса не устанавливались. Между тем пресса (вертикальный 2000 тонн и горизонтальный 500 тонн) в течение 15 лет лежат без действия на Ижорском заводе под открытым небом, ржавеют, и некоторые части уже растеряны.</w:t>
      </w:r>
    </w:p>
    <w:p w14:paraId="36AF538B"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Завод «Большевик» имел разрешение на их получение еще в 1931 г.</w:t>
      </w:r>
    </w:p>
    <w:p w14:paraId="7F24CFA3"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Из-за отсутствия прессов работа протекала кустарным способом.</w:t>
      </w:r>
    </w:p>
    <w:p w14:paraId="423E9FBE"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Для снарядной плавки применялась заведомо недоброкачественная шихта с примесью большого количества фосфора (надо не более 0,02, а было 0,035, т.е. почти в два раза больше против допускаемого).</w:t>
      </w:r>
    </w:p>
    <w:p w14:paraId="77831BDB"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результате этих действий снарядное производство в течение 5 лет производством не освоено, а изготовленные за этот промежуток времени пошли в сплошной брак. (См. прилож. № 18, 31, 32, 33.)</w:t>
      </w:r>
    </w:p>
    <w:p w14:paraId="7BD0869C"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 заданию того же КИРМЗЕ саботировалось и не развивалось тяжелое машиностроение, чем КИРМЗЕ имел в виду добиться увеличения наших заказов фирме «Крупп» (сорваны заказы по турбинным дискам и котлам высокого давления). (См. прилож. № 34, 35.)</w:t>
      </w:r>
    </w:p>
    <w:p w14:paraId="09C8F7CD"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Реконструкция старого мартеновского цеха, при участии немецкого специалиста РЕСГЕНА, произведена с расчетом понижения пропускной способности и увеличения брака. (См. прилож. № 30).</w:t>
      </w:r>
    </w:p>
    <w:p w14:paraId="7DD720F3"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Вредительство на заводе № 8</w:t>
      </w:r>
    </w:p>
    <w:p w14:paraId="4118144C"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Контрреволюционная ячейка, возглавляемая МИХАЙЛОВЫМ, бывш. техн. директор завода и БЕРИНГОМ — нач. конструкторского бюро завода, получив прямые указания от немецких специалистов ПАНТЕН, ВАРНЕКЕ, ЛАНДЕН и других, проводила вредительство в области срыва мелкокалиберной и зенитной артиллерии.</w:t>
      </w:r>
    </w:p>
    <w:p w14:paraId="53CF7190"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Срыв производства и выпуск негодных систем осуществлялся следующим образом:</w:t>
      </w:r>
    </w:p>
    <w:p w14:paraId="584485DD"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Изготовлялись и спускались в работу чертежи с заведомо неправильно нанесенными базами обмеров и с неправильно проставленными размерами (кожух, инерционный предохранитель, подъемный механизм, компрессор и др.), что приводило к полной дезорганизации производства, увеличивался брак, нарушалась взаимозаменяемость, и собранные системы браковались как негодные. (См. прилож. № 37, 38, 39.)</w:t>
      </w:r>
    </w:p>
    <w:p w14:paraId="57D06658"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Участниками к-p организации ШИРИНКИНЫМ, ЗАБЕЛИНЫМ, ВЛАСОВЫМ, ГНЕДИНЫМ и МИХАЙЛОВЫМ по прямым указаниям иноспециалистов ПАНТЕНА, ЛАНДЕНА и др., систематически тормозилось внедрение в производство технологического процесса, не контролировалось соблюдение цехами запроектированного режима работ, получаемые от конструкторского бюро неверные чертежи пропускались в производство. Допущено пользование в цехах неисправленными лекалами и приспособлениями. Разработкой технологического процесса не обеспечена возможность сохранения клейма на заготовках.</w:t>
      </w:r>
    </w:p>
    <w:p w14:paraId="70F32FDB"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По прямым директивам ПАНТЕНА, ЛАНДЕНА и ШУБЕРТА изготовлялись и пускались на сборку заведомо негодные и недоброкачественные детали. (См. прилож. № 40, 41, 42 и 43.)</w:t>
      </w:r>
    </w:p>
    <w:p w14:paraId="3C7FE85C"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Подобными методами вредительства достигнут полный срыв не только подготовленности завода к выполнению правительственного задания, но и текущих программ.</w:t>
      </w:r>
    </w:p>
    <w:p w14:paraId="1201D862"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1932 г. программное задание</w:t>
      </w:r>
      <w:r w:rsidRPr="00C33834">
        <w:rPr>
          <w:rFonts w:ascii="Times New Roman" w:hAnsi="Times New Roman"/>
          <w:color w:val="0070C0"/>
          <w:sz w:val="16"/>
          <w:szCs w:val="16"/>
        </w:rPr>
        <w:tab/>
        <w:t>— 4915 систем.</w:t>
      </w:r>
    </w:p>
    <w:p w14:paraId="6BD6DB99"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Изготовлено и предъявлено к сдаче</w:t>
      </w:r>
      <w:r w:rsidRPr="00C33834">
        <w:rPr>
          <w:rFonts w:ascii="Times New Roman" w:hAnsi="Times New Roman"/>
          <w:color w:val="0070C0"/>
          <w:sz w:val="16"/>
          <w:szCs w:val="16"/>
        </w:rPr>
        <w:tab/>
        <w:t>—</w:t>
      </w:r>
      <w:r w:rsidRPr="00C33834">
        <w:rPr>
          <w:rFonts w:ascii="Times New Roman" w:hAnsi="Times New Roman"/>
          <w:color w:val="0070C0"/>
          <w:sz w:val="16"/>
          <w:szCs w:val="16"/>
        </w:rPr>
        <w:tab/>
        <w:t>1220</w:t>
      </w:r>
      <w:r w:rsidRPr="00C33834">
        <w:rPr>
          <w:rFonts w:ascii="Times New Roman" w:hAnsi="Times New Roman"/>
          <w:color w:val="0070C0"/>
          <w:sz w:val="16"/>
          <w:szCs w:val="16"/>
        </w:rPr>
        <w:tab/>
        <w:t>’</w:t>
      </w:r>
    </w:p>
    <w:p w14:paraId="2CB37F09"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Принято Военведом</w:t>
      </w:r>
      <w:r w:rsidRPr="00C33834">
        <w:rPr>
          <w:rFonts w:ascii="Times New Roman" w:hAnsi="Times New Roman"/>
          <w:color w:val="0070C0"/>
          <w:sz w:val="16"/>
          <w:szCs w:val="16"/>
        </w:rPr>
        <w:tab/>
        <w:t>—</w:t>
      </w:r>
      <w:r w:rsidRPr="00C33834">
        <w:rPr>
          <w:rFonts w:ascii="Times New Roman" w:hAnsi="Times New Roman"/>
          <w:color w:val="0070C0"/>
          <w:sz w:val="16"/>
          <w:szCs w:val="16"/>
        </w:rPr>
        <w:tab/>
        <w:t>339</w:t>
      </w:r>
      <w:r w:rsidRPr="00C33834">
        <w:rPr>
          <w:rFonts w:ascii="Times New Roman" w:hAnsi="Times New Roman"/>
          <w:color w:val="0070C0"/>
          <w:sz w:val="16"/>
          <w:szCs w:val="16"/>
        </w:rPr>
        <w:tab/>
        <w:t>'</w:t>
      </w:r>
    </w:p>
    <w:p w14:paraId="7D1D38E2"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 1 кв[артал] 1933 г. программное задание— 310</w:t>
      </w:r>
      <w:r w:rsidRPr="00C33834">
        <w:rPr>
          <w:rFonts w:ascii="Times New Roman" w:hAnsi="Times New Roman"/>
          <w:color w:val="0070C0"/>
          <w:sz w:val="16"/>
          <w:szCs w:val="16"/>
        </w:rPr>
        <w:tab/>
        <w:t>'</w:t>
      </w:r>
    </w:p>
    <w:p w14:paraId="651C3447"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Изготовлено и предъявлено к сдаче</w:t>
      </w:r>
      <w:r w:rsidRPr="00C33834">
        <w:rPr>
          <w:rFonts w:ascii="Times New Roman" w:hAnsi="Times New Roman"/>
          <w:color w:val="0070C0"/>
          <w:sz w:val="16"/>
          <w:szCs w:val="16"/>
        </w:rPr>
        <w:tab/>
        <w:t>—</w:t>
      </w:r>
      <w:r w:rsidRPr="00C33834">
        <w:rPr>
          <w:rFonts w:ascii="Times New Roman" w:hAnsi="Times New Roman"/>
          <w:color w:val="0070C0"/>
          <w:sz w:val="16"/>
          <w:szCs w:val="16"/>
        </w:rPr>
        <w:tab/>
        <w:t>185</w:t>
      </w:r>
      <w:r w:rsidRPr="00C33834">
        <w:rPr>
          <w:rFonts w:ascii="Times New Roman" w:hAnsi="Times New Roman"/>
          <w:color w:val="0070C0"/>
          <w:sz w:val="16"/>
          <w:szCs w:val="16"/>
        </w:rPr>
        <w:tab/>
        <w:t>'</w:t>
      </w:r>
    </w:p>
    <w:p w14:paraId="060E8381"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Принято Военведом</w:t>
      </w:r>
      <w:r w:rsidRPr="00C33834">
        <w:rPr>
          <w:rFonts w:ascii="Times New Roman" w:hAnsi="Times New Roman"/>
          <w:color w:val="0070C0"/>
          <w:sz w:val="16"/>
          <w:szCs w:val="16"/>
        </w:rPr>
        <w:tab/>
        <w:t>—</w:t>
      </w:r>
      <w:r w:rsidRPr="00C33834">
        <w:rPr>
          <w:rFonts w:ascii="Times New Roman" w:hAnsi="Times New Roman"/>
          <w:color w:val="0070C0"/>
          <w:sz w:val="16"/>
          <w:szCs w:val="16"/>
        </w:rPr>
        <w:tab/>
        <w:t>0</w:t>
      </w:r>
      <w:r w:rsidRPr="00C33834">
        <w:rPr>
          <w:rFonts w:ascii="Times New Roman" w:hAnsi="Times New Roman"/>
          <w:color w:val="0070C0"/>
          <w:sz w:val="16"/>
          <w:szCs w:val="16"/>
        </w:rPr>
        <w:tab/>
        <w:t>'(См. прилож. № 17.)</w:t>
      </w:r>
    </w:p>
    <w:p w14:paraId="75D79B11"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Следствие по данному делу заканчивается.</w:t>
      </w:r>
    </w:p>
    <w:p w14:paraId="6B64C5A6"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Одновременно на заводе № 8 вскрыта шпионская группа, работающая по заданию и под руководством разведывательных органов Польши, о чем направляется Вам отдельная справка.</w:t>
      </w:r>
    </w:p>
    <w:p w14:paraId="13FF4F7E"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ЗАМ. ПРЕД ОГПУ ЯГОДА</w:t>
      </w:r>
    </w:p>
    <w:p w14:paraId="449954B0"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НАЧ. ЭКУ ОГПУ МИРОНОВ</w:t>
      </w:r>
    </w:p>
    <w:p w14:paraId="4952BB74"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АПРФ. Ф. 3. Оп. 58. Д. 341. Л. 1—11. Подлинник. Машинопись (20916).</w:t>
      </w:r>
    </w:p>
    <w:p w14:paraId="05EE30FA" w14:textId="77777777" w:rsidR="00B80264" w:rsidRPr="00C33834" w:rsidRDefault="00B80264" w:rsidP="00C33834">
      <w:pPr>
        <w:spacing w:after="0" w:line="240" w:lineRule="auto"/>
        <w:jc w:val="both"/>
        <w:rPr>
          <w:rFonts w:ascii="Times New Roman" w:hAnsi="Times New Roman"/>
          <w:color w:val="0070C0"/>
          <w:sz w:val="16"/>
          <w:szCs w:val="16"/>
        </w:rPr>
      </w:pPr>
    </w:p>
    <w:p w14:paraId="06DDB193" w14:textId="77777777" w:rsidR="008D15E1" w:rsidRPr="00C33834" w:rsidRDefault="008D15E1" w:rsidP="00C33834">
      <w:pPr>
        <w:pStyle w:val="rtejustify"/>
        <w:spacing w:before="0" w:after="0"/>
        <w:rPr>
          <w:color w:val="000000" w:themeColor="text1"/>
          <w:sz w:val="16"/>
          <w:szCs w:val="16"/>
        </w:rPr>
      </w:pPr>
      <w:r w:rsidRPr="00C33834">
        <w:rPr>
          <w:rStyle w:val="af0"/>
          <w:bCs/>
          <w:i w:val="0"/>
          <w:color w:val="000000" w:themeColor="text1"/>
          <w:sz w:val="16"/>
          <w:szCs w:val="16"/>
        </w:rPr>
        <w:t>7 августа 1933 вышел приказ НКТП № 115с.</w:t>
      </w:r>
      <w:r w:rsidRPr="00C33834">
        <w:rPr>
          <w:color w:val="000000" w:themeColor="text1"/>
          <w:sz w:val="16"/>
          <w:szCs w:val="16"/>
        </w:rPr>
        <w:t xml:space="preserve"> О передаче Ленинградского государственного института «Гипроспецмет» из ведения ВОАО в ГВМУ. (РГАЭ. Ф. 7297. Оп. 38. Д. 35. Л. 58) (15246).</w:t>
      </w:r>
    </w:p>
    <w:p w14:paraId="01F217EB" w14:textId="77777777" w:rsidR="008D15E1" w:rsidRPr="00C33834" w:rsidRDefault="008D15E1" w:rsidP="00C33834">
      <w:pPr>
        <w:pStyle w:val="rtejustify"/>
        <w:spacing w:before="0" w:after="0"/>
        <w:rPr>
          <w:color w:val="000000" w:themeColor="text1"/>
          <w:sz w:val="16"/>
          <w:szCs w:val="16"/>
        </w:rPr>
      </w:pPr>
    </w:p>
    <w:p w14:paraId="3F8C38BC" w14:textId="77777777" w:rsidR="008D15E1"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01695E24" w14:textId="77777777" w:rsidR="008D15E1" w:rsidRPr="00C33834" w:rsidRDefault="008D15E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24D4D64"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7 августа в 1933 году на линкоре </w:t>
      </w:r>
      <w:hyperlink r:id="rId282" w:anchor="101258" w:tgtFrame="_blank" w:history="1">
        <w:r w:rsidRPr="00C33834">
          <w:rPr>
            <w:rFonts w:ascii="Times New Roman" w:hAnsi="Times New Roman"/>
            <w:color w:val="000000" w:themeColor="text1"/>
            <w:sz w:val="16"/>
            <w:szCs w:val="16"/>
          </w:rPr>
          <w:t xml:space="preserve">«Марат» (бывший «Петропавловск») </w:t>
        </w:r>
      </w:hyperlink>
      <w:r w:rsidRPr="00C33834">
        <w:rPr>
          <w:rFonts w:ascii="Times New Roman" w:hAnsi="Times New Roman"/>
          <w:color w:val="000000" w:themeColor="text1"/>
          <w:sz w:val="16"/>
          <w:szCs w:val="16"/>
        </w:rPr>
        <w:t>в результате взрыва башни погило 68 человек (14976).</w:t>
      </w:r>
    </w:p>
    <w:p w14:paraId="2A9EC5A7" w14:textId="77777777" w:rsidR="008D15E1" w:rsidRPr="00C33834" w:rsidRDefault="008D15E1" w:rsidP="00C33834">
      <w:pPr>
        <w:spacing w:after="0" w:line="240" w:lineRule="auto"/>
        <w:jc w:val="both"/>
        <w:rPr>
          <w:rFonts w:ascii="Times New Roman" w:hAnsi="Times New Roman"/>
          <w:color w:val="000000" w:themeColor="text1"/>
          <w:sz w:val="16"/>
          <w:szCs w:val="16"/>
        </w:rPr>
      </w:pPr>
    </w:p>
    <w:p w14:paraId="2811722F"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августа в 1933 году приказом Реввоенсовета песню "Все выше" объявили маршем ВС СССР - "Авиамаршем". Написана осенью 1920 года по заданию Политуправления Киевского военного округа как песня о красной авиации. Премьера состоялось в Киеве на вокзале перед уезжавшими на фронт красноармейцами, после этого авторы исполняли там "Авиамарш" ежедневно. Текст был размножен Политуправлением, а в 1922 году издан в Киеве. Всеобщую популярность песня приобрела к середине 1920-х. (Славим победу Октября. Том 1, Москва, Музыка, 1967). Песня известна и под другими заглавиями: "Всё выше" и "Марш сталинской авиации" (с измененной 3-й строкой: "Нам Сталин дал стальные руки-крылья"). В песенниках часто датируется 1931 годом (например, Русские советские песни 1917-1977. Составители Н.Крюков и Я.Шведов. Москва, "Художественная литература", 1977) (14976).</w:t>
      </w:r>
    </w:p>
    <w:p w14:paraId="405638BC" w14:textId="77777777" w:rsidR="008D15E1" w:rsidRPr="00C33834" w:rsidRDefault="008D15E1" w:rsidP="00C33834">
      <w:pPr>
        <w:spacing w:after="0" w:line="240" w:lineRule="auto"/>
        <w:jc w:val="both"/>
        <w:rPr>
          <w:rFonts w:ascii="Times New Roman" w:hAnsi="Times New Roman"/>
          <w:color w:val="000000" w:themeColor="text1"/>
          <w:sz w:val="16"/>
          <w:szCs w:val="16"/>
        </w:rPr>
      </w:pPr>
    </w:p>
    <w:p w14:paraId="46CB5EF6" w14:textId="77777777" w:rsidR="008D15E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306D4F8" w14:textId="77777777" w:rsidR="008D15E1" w:rsidRPr="00C33834" w:rsidRDefault="008D15E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824DA27"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7 августа в 1933 году абсолютный мировой рекорд дальности полета по прямой- 9104 км (5 657 миль), пилоты Морис Росси и Павел Коде (Франция) на рекордном самолете </w:t>
      </w:r>
      <w:hyperlink r:id="rId283" w:tgtFrame="_blank" w:history="1">
        <w:r w:rsidRPr="00C33834">
          <w:rPr>
            <w:rFonts w:ascii="Times New Roman" w:hAnsi="Times New Roman"/>
            <w:color w:val="000000" w:themeColor="text1"/>
            <w:sz w:val="16"/>
            <w:szCs w:val="16"/>
          </w:rPr>
          <w:t xml:space="preserve">«Блерио – 110» </w:t>
        </w:r>
      </w:hyperlink>
      <w:r w:rsidRPr="00C33834">
        <w:rPr>
          <w:rFonts w:ascii="Times New Roman" w:hAnsi="Times New Roman"/>
          <w:color w:val="000000" w:themeColor="text1"/>
          <w:sz w:val="16"/>
          <w:szCs w:val="16"/>
        </w:rPr>
        <w:t>"Joseph Le Brix". Самолет «Блерио – 110» был разработан по инициативе Французского правительства для установления рекордов дальности полета. Перелет из Нью-Йорка до авиабазы Раяка (Сирия, ныне Ливан) за 55 часов. Был установлен новый мировой рекорд полета по прямой - 9104,7 км, побитый советским «АНТ-25» в июле 1937 года. Первый полет самолета состоялся 16 мая 1930 года. В период между 15 ноября 1931 года по 26 марта 1932 года он трижды улучшал рекорды дальности полета. Максимальным был рекорд дальности полета по замкнутому маршруту 23-26 марта 1932 года, когда самолет преодолел расстояние в 10601 километр за 76 часов и 34 минуты. В январе 1933 года самолету присвоили наименование "Joseph Le Brix", по имени погибшего на «Dewoitine» «D.332 соперника. Построен всего 1 экземпляр «Блерио – 110». Документы рассказывают, что были дополнительные попытки в течение следующих двух лет, но, когда все оказались безуспешными, проект «Блерио -110» был свернут (14976).</w:t>
      </w:r>
    </w:p>
    <w:p w14:paraId="78D1DC83" w14:textId="77777777" w:rsidR="008D15E1" w:rsidRPr="00C33834" w:rsidRDefault="008D15E1" w:rsidP="00C33834">
      <w:pPr>
        <w:spacing w:after="0" w:line="240" w:lineRule="auto"/>
        <w:jc w:val="both"/>
        <w:rPr>
          <w:rFonts w:ascii="Times New Roman" w:hAnsi="Times New Roman"/>
          <w:color w:val="000000" w:themeColor="text1"/>
          <w:sz w:val="16"/>
          <w:szCs w:val="16"/>
        </w:rPr>
      </w:pPr>
    </w:p>
    <w:p w14:paraId="26059656"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августа в 1933 году абсолютный мировой рекорд дальности полета - 9104 км, Россия, П.Коде (Франция) на самолете «Блерио Запата» (14976).</w:t>
      </w:r>
    </w:p>
    <w:p w14:paraId="3F6527C0" w14:textId="77777777" w:rsidR="008D15E1" w:rsidRPr="00C33834" w:rsidRDefault="008D15E1" w:rsidP="00C33834">
      <w:pPr>
        <w:spacing w:after="0" w:line="240" w:lineRule="auto"/>
        <w:jc w:val="both"/>
        <w:rPr>
          <w:rFonts w:ascii="Times New Roman" w:hAnsi="Times New Roman"/>
          <w:color w:val="000000" w:themeColor="text1"/>
          <w:sz w:val="16"/>
          <w:szCs w:val="16"/>
        </w:rPr>
      </w:pPr>
    </w:p>
    <w:p w14:paraId="0B07AF4A"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 августа 1933 одна из первых корейских женщин-авиаторов Пак Кён Вон погибает в авиакатастрофе недалеко от Хаконэ, Япония (20802).</w:t>
      </w:r>
    </w:p>
    <w:p w14:paraId="40DC5305" w14:textId="77777777" w:rsidR="00B80264" w:rsidRPr="00C33834" w:rsidRDefault="00B80264" w:rsidP="00C33834">
      <w:pPr>
        <w:spacing w:after="0" w:line="240" w:lineRule="auto"/>
        <w:jc w:val="both"/>
        <w:rPr>
          <w:rFonts w:ascii="Times New Roman" w:hAnsi="Times New Roman"/>
          <w:color w:val="0070C0"/>
          <w:sz w:val="16"/>
          <w:szCs w:val="16"/>
        </w:rPr>
      </w:pPr>
    </w:p>
    <w:p w14:paraId="5F69B5F0" w14:textId="77777777" w:rsidR="00B80264" w:rsidRPr="00C33834" w:rsidRDefault="00B8026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 августа 1933 - Абсолютный мировой рекорд дальности полёта по прямой - 9104 км (5 657 миль); пилоты Морис Росси и Павел Коде (Франция) на рекордном самолёте Blériot 110. Перелёт из Нью-Йорка до авиабазы Раяка (Сирия, ныне Ливан) за 55 часов (22406).</w:t>
      </w:r>
    </w:p>
    <w:p w14:paraId="7575B132" w14:textId="77777777" w:rsidR="00B80264" w:rsidRPr="00C33834" w:rsidRDefault="00B80264" w:rsidP="00C33834">
      <w:pPr>
        <w:spacing w:after="0" w:line="240" w:lineRule="auto"/>
        <w:jc w:val="both"/>
        <w:rPr>
          <w:rFonts w:ascii="Times New Roman" w:hAnsi="Times New Roman"/>
          <w:color w:val="0070C0"/>
          <w:sz w:val="16"/>
          <w:szCs w:val="16"/>
        </w:rPr>
      </w:pPr>
    </w:p>
    <w:p w14:paraId="26B2C7AB"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августа 1933 году японские войска отходят на север от Великой китайской стены (14976).</w:t>
      </w:r>
    </w:p>
    <w:p w14:paraId="33A2B992" w14:textId="77777777" w:rsidR="008D15E1" w:rsidRPr="00C33834" w:rsidRDefault="008D15E1" w:rsidP="00C33834">
      <w:pPr>
        <w:spacing w:after="0" w:line="240" w:lineRule="auto"/>
        <w:jc w:val="both"/>
        <w:rPr>
          <w:rFonts w:ascii="Times New Roman" w:hAnsi="Times New Roman"/>
          <w:color w:val="000000" w:themeColor="text1"/>
          <w:sz w:val="16"/>
          <w:szCs w:val="16"/>
        </w:rPr>
      </w:pPr>
    </w:p>
    <w:p w14:paraId="04B5F6B3" w14:textId="77777777" w:rsidR="00EA298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3C5F0A4" w14:textId="77777777" w:rsidR="00EA298A" w:rsidRPr="00C33834" w:rsidRDefault="00EA298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BADA595"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августа 1933 года проходил испытательный полет по маршруту Щелково-Евпатория-Щелково облегченного самолета ТБ3-4М17 на определение радиуса действия и бомбовой нагрузки самолета.</w:t>
      </w:r>
    </w:p>
    <w:p w14:paraId="7FB63571"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0C2D3B0C"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ведущий испытания самолета Лосюков</w:t>
      </w:r>
    </w:p>
    <w:p w14:paraId="3E3EECBD"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Юмашев</w:t>
      </w:r>
    </w:p>
    <w:p w14:paraId="0F0CDD0A"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7B887BF5"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Определить радиус действия и бомбовую нагрузку облегченного самолета ТБ3-4М17.</w:t>
      </w:r>
    </w:p>
    <w:p w14:paraId="3E08501A"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исполнение приказа РВС о дальнейшем увеличении радиуса действия и бомбовой нагрузки самолета ТБ3-4М17.</w:t>
      </w:r>
    </w:p>
    <w:p w14:paraId="5FF5D713"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7548E7BD"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Резкое увеличение радиуса действия и бомбовой нагрузки самолета ТБ3-4М17, имеющее место благодаря:</w:t>
      </w:r>
    </w:p>
    <w:p w14:paraId="08EF36D3"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уменьшения расхода горючего на км пути на 24%, что при запасе топлива 5 тонн составляет 1000 кг;</w:t>
      </w:r>
    </w:p>
    <w:p w14:paraId="5C16E530"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облегчения несъемного оборудования и конструкции самолета на 518 кг;</w:t>
      </w:r>
    </w:p>
    <w:p w14:paraId="7563468A"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увеличения полетного веса самолета на 500 кг;</w:t>
      </w:r>
    </w:p>
    <w:p w14:paraId="7C960FBE"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уменьшения запаса масла с 460 до 300 кг</w:t>
      </w:r>
    </w:p>
    <w:p w14:paraId="23E6F6B8"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повышает во много раз боевую отдачу тяжелой бомбардировочной авиации ВВС и подлежит скорейшему освоению строевыми частями.</w:t>
      </w:r>
    </w:p>
    <w:p w14:paraId="6E93ACB5"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Увеличение радиуса действия и бомбовой нагрузки за счет дальнейшего объединения смеси и увеличения полетного веса самолета НИИ ВВС считает недопустимым... (3903).</w:t>
      </w:r>
    </w:p>
    <w:p w14:paraId="3255A0FA"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1A0D6F2A"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августа 1933 года для окончательного утверждения предварительных расчетов и выводов НИИ был произведен полет облегченного самолета ТБ-3 4М17 с полетным весом 20 тонн, при фактической бомбовой нагрузке 1,5 т по маршруту Щелково – Евпатория – Щелково, общим протяжением 2600 км. Самолет вылетел в 4 час. 43 мин. и вернулся в 20 час. 04 мин., пробыв в воздухе 15 час. 21 мин. при средней путевой скорости 170 км/час. После посадки на аэродроме Щелково в самолете еще оказался запас горючего 800 кг, обеспечивающий продолжение полета еще на 450 км или на 2 час. 45 мин.</w:t>
      </w:r>
    </w:p>
    <w:p w14:paraId="106E57A8"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Вывод:</w:t>
      </w:r>
    </w:p>
    <w:p w14:paraId="742580C0"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при полетном весе 20 т может быть надежно использован на дальность 2600 км или радиус действия 1300 км с бомбовой нагрузкой 2,5 т (4014,8-10).</w:t>
      </w:r>
    </w:p>
    <w:p w14:paraId="5DC932D8"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0AB0744B"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августа 1933 г. экипаж Юмашева совершил беспосадочный перелет Щелково-Евпатория-Щелково, сбросив 2500 кг бомб на полигоне в Крыму и покрыв расстояние в 2500 км (7668).</w:t>
      </w:r>
    </w:p>
    <w:p w14:paraId="2E6A2356"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38DA55A9"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августа 1933-го доработанный самолет ТБ-3 с доработанным опережением зажигания и новой инструкцию по пользованию высотным корректором двигателей М-17, уменьшенным с 460 до 300 кг запасом масла и на 518 кг сниженным весом пустого, а полетным весом, увеличеннм с 19500 до 20000 кг. и бомбовой нагрузкой, доведенной до 3600 кг вместо 1000 кг за счет установки дополнительных держателей Дер-9, совершил беспосадочный перелет по маршруту Щелково - Евпатория - Щелково за 15,5 часов. На полигоне в Евпатории сбросили 2500 кг бомб. По остатку горючего сделали следующий вывод: "...самолет допускает при безветрии бомбовую нагрузку 3200 кг при полете на радиус 1200 км и 2000 кг при полете на радиус 1500 км" (5740,7).</w:t>
      </w:r>
    </w:p>
    <w:p w14:paraId="2B150FCF"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620C42C0"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августа (9 по - 92,437 - нет, это была вторая рулежка - 2306) 1933 были выполнены первые пробежки, а 19 (11 - 1076,595) - первый полет К-7. Присутствовал П.И.Баранов с М.М.Громовым. Был и И.Э.Якир. 21 летал и К.А.К., но создалась аварийная ситуация (70,227). На рулежке при скорости 25 км/час в течение 0:49 оказалось достаточно двух моторов (2306).</w:t>
      </w:r>
    </w:p>
    <w:p w14:paraId="0B69B5B1"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первый вылет был 11 августа 1933 (392,108) - это не правда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F26F01" w:rsidRPr="00C33834" w14:paraId="4E75ADF5" w14:textId="77777777">
        <w:tc>
          <w:tcPr>
            <w:tcW w:w="1384" w:type="dxa"/>
            <w:tcBorders>
              <w:top w:val="single" w:sz="12" w:space="0" w:color="auto"/>
            </w:tcBorders>
          </w:tcPr>
          <w:p w14:paraId="716BF707"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Дата испытания</w:t>
            </w:r>
          </w:p>
        </w:tc>
        <w:tc>
          <w:tcPr>
            <w:tcW w:w="2410" w:type="dxa"/>
            <w:tcBorders>
              <w:top w:val="single" w:sz="12" w:space="0" w:color="auto"/>
            </w:tcBorders>
          </w:tcPr>
          <w:p w14:paraId="55F0BC6E"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w:t>
            </w:r>
          </w:p>
        </w:tc>
        <w:tc>
          <w:tcPr>
            <w:tcW w:w="1089" w:type="dxa"/>
            <w:tcBorders>
              <w:top w:val="single" w:sz="12" w:space="0" w:color="auto"/>
            </w:tcBorders>
          </w:tcPr>
          <w:p w14:paraId="0F79AF97"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4A51EF59"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44580BB7"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00C631EB"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tc>
      </w:tr>
      <w:tr w:rsidR="00F26F01" w:rsidRPr="00C33834" w14:paraId="69522018" w14:textId="77777777">
        <w:tc>
          <w:tcPr>
            <w:tcW w:w="1384" w:type="dxa"/>
            <w:tcBorders>
              <w:bottom w:val="single" w:sz="12" w:space="0" w:color="auto"/>
            </w:tcBorders>
          </w:tcPr>
          <w:p w14:paraId="139F6294"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августа 1933</w:t>
            </w:r>
          </w:p>
        </w:tc>
        <w:tc>
          <w:tcPr>
            <w:tcW w:w="2410" w:type="dxa"/>
            <w:tcBorders>
              <w:bottom w:val="single" w:sz="12" w:space="0" w:color="auto"/>
            </w:tcBorders>
          </w:tcPr>
          <w:p w14:paraId="64958D26"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Первая рулежка с-та по аэродрому</w:t>
            </w:r>
          </w:p>
        </w:tc>
        <w:tc>
          <w:tcPr>
            <w:tcW w:w="1089" w:type="dxa"/>
            <w:tcBorders>
              <w:bottom w:val="single" w:sz="12" w:space="0" w:color="auto"/>
            </w:tcBorders>
          </w:tcPr>
          <w:p w14:paraId="5854CC49"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Запуск моторов: 0:25</w:t>
            </w:r>
          </w:p>
          <w:p w14:paraId="482DF26C"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моторов: 1:24</w:t>
            </w:r>
          </w:p>
          <w:p w14:paraId="25B9F446"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Рулежка: 0:49</w:t>
            </w:r>
          </w:p>
        </w:tc>
        <w:tc>
          <w:tcPr>
            <w:tcW w:w="3447" w:type="dxa"/>
            <w:tcBorders>
              <w:bottom w:val="single" w:sz="12" w:space="0" w:color="auto"/>
            </w:tcBorders>
          </w:tcPr>
          <w:p w14:paraId="69DCEF81"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рулежке достаточно работы 2-х моторов на 1000-1200 оборотов, машина разворачивается при даче усиленного газа одному из крайних моторов. Действие тормозов - удовлетворительное. Скррость рулежки - 25 км/час</w:t>
            </w:r>
          </w:p>
        </w:tc>
        <w:tc>
          <w:tcPr>
            <w:tcW w:w="1776" w:type="dxa"/>
            <w:tcBorders>
              <w:bottom w:val="single" w:sz="12" w:space="0" w:color="auto"/>
            </w:tcBorders>
          </w:tcPr>
          <w:p w14:paraId="5BDD0C0B"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Регулировка рукояток управления газом - невполне удовлетворительная. Неудобство их расположения (устранено)</w:t>
            </w:r>
          </w:p>
          <w:p w14:paraId="4A23D637"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Слабые ограничители отклонений рулей поворота и глубины (устранены)</w:t>
            </w:r>
          </w:p>
        </w:tc>
        <w:tc>
          <w:tcPr>
            <w:tcW w:w="1105" w:type="dxa"/>
            <w:tcBorders>
              <w:bottom w:val="single" w:sz="12" w:space="0" w:color="auto"/>
            </w:tcBorders>
          </w:tcPr>
          <w:p w14:paraId="5BDDDC1D"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0EA63793"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(2306,98).</w:t>
      </w:r>
    </w:p>
    <w:p w14:paraId="19AEC9BD"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617E0823"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августа 1933 г. летчик М.А. Снегирев совершил на К-7 первые пробежки по аэродрому. Выявилась недостаточная жесткость хвостовых балок и оперения, затем деформации капотов моторов. Рули оказались недостаточно эффективны, а тормоза колес перегревались. В рапорте было записано: "При торможении самолет резко поднимал хвост и становился на передние колеса". На следующий день рулежку повторили, но она закончилась тем, что лопнула покрышка левого заднего колеса. Машину стали дорабатывать, периодически совершая пробежки по аэродрому (12036).</w:t>
      </w:r>
    </w:p>
    <w:p w14:paraId="3B0B148F"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332096BB"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августа 1933 г. в экспериментальный аэродинамический отдел (ЗАО) ЦАГИ было направлено письмо о продувках двух вариантов моделей крыльев ЦКБ-12. Однако основные исследования фюзеляжей с различными типами капотов моторов Поликарпов, не доверяя ЦАГИ, предпочитал проводить в аэродинамической лаборатории Военно-воздушной академии им. проф. Н.Е.Жуковского. Там, благодаря поддержке со стороны известного ученого-аэродинамика Б.Н.Юрьева, с 9 августа 1933 г. довольно ин</w:t>
      </w:r>
      <w:r w:rsidRPr="00C33834">
        <w:rPr>
          <w:rFonts w:ascii="Times New Roman" w:hAnsi="Times New Roman"/>
          <w:color w:val="000000" w:themeColor="text1"/>
          <w:sz w:val="16"/>
          <w:szCs w:val="16"/>
        </w:rPr>
        <w:softHyphen/>
        <w:t>тенсивно шли сравнительные исследования моделей фюзеляжа ЦКБ-12 с кольцами Тауненда различной ши</w:t>
      </w:r>
      <w:r w:rsidRPr="00C33834">
        <w:rPr>
          <w:rFonts w:ascii="Times New Roman" w:hAnsi="Times New Roman"/>
          <w:color w:val="000000" w:themeColor="text1"/>
          <w:sz w:val="16"/>
          <w:szCs w:val="16"/>
        </w:rPr>
        <w:softHyphen/>
        <w:t>рины (5 шт.) и с капотами НАКА различной длины (6 шт.), что позволило оптимизировать их форму (10667).</w:t>
      </w:r>
    </w:p>
    <w:p w14:paraId="0443432D"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2374D484"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августа в 1933 году в Москве впервые состоялся воздушный парад. В нем приняли участие дирижабли, легкие самолеты, автожиры и самолеты-гиганты: пятимоторные «АНТ-14» и трехмоторные «АНТ-9» (14977).</w:t>
      </w:r>
    </w:p>
    <w:p w14:paraId="54098426" w14:textId="77777777" w:rsidR="008D15E1" w:rsidRPr="00C33834" w:rsidRDefault="008D15E1" w:rsidP="00C33834">
      <w:pPr>
        <w:spacing w:after="0" w:line="240" w:lineRule="auto"/>
        <w:jc w:val="both"/>
        <w:rPr>
          <w:rFonts w:ascii="Times New Roman" w:hAnsi="Times New Roman"/>
          <w:color w:val="000000" w:themeColor="text1"/>
          <w:sz w:val="16"/>
          <w:szCs w:val="16"/>
        </w:rPr>
      </w:pPr>
    </w:p>
    <w:p w14:paraId="0C1F887D"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8 августа в 1933 году в Москве впервые состоялся воздушный парад. В нем приняли участие дирижабли, легкие самолеты, автожиры и самолеты-гиганты: пятимоторные «АНТ-14» и трехмоторные </w:t>
      </w:r>
      <w:hyperlink r:id="rId284" w:tgtFrame="_blank" w:history="1">
        <w:r w:rsidRPr="00C33834">
          <w:rPr>
            <w:rFonts w:ascii="Times New Roman" w:hAnsi="Times New Roman"/>
            <w:color w:val="000000" w:themeColor="text1"/>
            <w:sz w:val="16"/>
            <w:szCs w:val="16"/>
          </w:rPr>
          <w:t xml:space="preserve">«АНТ-9». </w:t>
        </w:r>
      </w:hyperlink>
      <w:hyperlink r:id="rId285" w:tgtFrame="_blank" w:history="1">
        <w:r w:rsidRPr="00C33834">
          <w:rPr>
            <w:rFonts w:ascii="Times New Roman" w:hAnsi="Times New Roman"/>
            <w:color w:val="000000" w:themeColor="text1"/>
            <w:sz w:val="16"/>
            <w:szCs w:val="16"/>
          </w:rPr>
          <w:t xml:space="preserve">«АНТ-14» "Правда" </w:t>
        </w:r>
      </w:hyperlink>
      <w:r w:rsidRPr="00C33834">
        <w:rPr>
          <w:rFonts w:ascii="Times New Roman" w:hAnsi="Times New Roman"/>
          <w:color w:val="000000" w:themeColor="text1"/>
          <w:sz w:val="16"/>
          <w:szCs w:val="16"/>
        </w:rPr>
        <w:t>- пассажирский самолёт на 36 мест. Из пяти ПД "Гном-Рон-Юпитер VI" четыре располагались в носке крыла по его размаху, один - в носовой части фюзеляжа. По схеме - подкосный цельнометаллический высокоплан с гофрированной обшивкой. Крыло четырёхлонжеронное, фюзеляж практически прямоугольного сечения, шпангоуты в пределах салона рамные, в хвостовой части - ферменные. Самолёт предназначался для проектировавшейся авиалинии Москва - Владивосток и был наиболее крупным пассажирским самолётом тех лет с высокими лётно-техническими характеристиками. Построен в одном экземпляре, так как пассажиро- и грузопоток оказались недостаточными для рентабельной эксплуатации столь больших машин. Под названием "Правда" «АНТ-14» стал флагманом (до постройки «АНТ-20») агитэскадрильи имени М.Горького. Использовался для платных полётов над Москвой, за 10 лет поднял в воздух около 40 тысяч пассажиров. Совершил несколько рейсов по стране и принял участие в авиационном празднике 1935 в Бухаресте (14977).</w:t>
      </w:r>
    </w:p>
    <w:p w14:paraId="30C3DF5B" w14:textId="77777777" w:rsidR="008D15E1" w:rsidRPr="00C33834" w:rsidRDefault="008D15E1" w:rsidP="00C33834">
      <w:pPr>
        <w:spacing w:after="0" w:line="240" w:lineRule="auto"/>
        <w:jc w:val="both"/>
        <w:rPr>
          <w:rFonts w:ascii="Times New Roman" w:hAnsi="Times New Roman"/>
          <w:color w:val="000000" w:themeColor="text1"/>
          <w:sz w:val="16"/>
          <w:szCs w:val="16"/>
        </w:rPr>
      </w:pPr>
    </w:p>
    <w:p w14:paraId="655C6585" w14:textId="77777777" w:rsidR="00CC15F1" w:rsidRPr="00C33834" w:rsidRDefault="00CC15F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8 августа в 1933 году экипаж Юмашева совершил на модифицированном облегченном </w:t>
      </w:r>
      <w:hyperlink r:id="rId286" w:tgtFrame="_blank" w:history="1">
        <w:r w:rsidRPr="00C33834">
          <w:rPr>
            <w:rFonts w:ascii="Times New Roman" w:hAnsi="Times New Roman"/>
            <w:color w:val="000000" w:themeColor="text1"/>
            <w:sz w:val="16"/>
            <w:szCs w:val="16"/>
          </w:rPr>
          <w:t xml:space="preserve">«ТБ-3» </w:t>
        </w:r>
      </w:hyperlink>
      <w:r w:rsidRPr="00C33834">
        <w:rPr>
          <w:rFonts w:ascii="Times New Roman" w:hAnsi="Times New Roman"/>
          <w:color w:val="000000" w:themeColor="text1"/>
          <w:sz w:val="16"/>
          <w:szCs w:val="16"/>
        </w:rPr>
        <w:t>беспосадочный перелет Щелково-Евпатория-Щелково, сбросив 2500 кг бомб на полигоне в Крыму и покрыв расстояние в 2500 км. Юмашев поднял в воздух модифицированный облегченный «ТБ-3». На нем полностью убрали наружную подвеску бомб. Вместо этого в просторном фюзеляже установили дополнительные кассеты «Дер-9». Всего самолет теперь мог нести внутри 36 бомб по 100 кг. За счет демонтажа бомбодержателей под фюзеляжем и крылом, кое-какого оборудования и облегчения самой конструкции выиграли 518 кг. Еще более 100 кг получили за счет уменьшения запаса масла в полтора раза (это внедрили и в серии). Но суммарный вес с бомбами дошел до 20 т. Добавочный бензин и улучшение аэродинамики и позволили еще увеличить дальность (14977).</w:t>
      </w:r>
    </w:p>
    <w:p w14:paraId="24AF99C0" w14:textId="77777777" w:rsidR="00CC15F1" w:rsidRPr="00C33834" w:rsidRDefault="00CC15F1" w:rsidP="00C33834">
      <w:pPr>
        <w:spacing w:after="0" w:line="240" w:lineRule="auto"/>
        <w:jc w:val="both"/>
        <w:rPr>
          <w:rFonts w:ascii="Times New Roman" w:hAnsi="Times New Roman"/>
          <w:color w:val="000000" w:themeColor="text1"/>
          <w:sz w:val="16"/>
          <w:szCs w:val="16"/>
        </w:rPr>
      </w:pPr>
    </w:p>
    <w:p w14:paraId="7FAA2CF1" w14:textId="77777777" w:rsidR="00FA6C6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E8B23B8" w14:textId="77777777" w:rsidR="00FA6C6A" w:rsidRPr="00C33834" w:rsidRDefault="00FA6C6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AE62195" w14:textId="77777777" w:rsidR="00FA6C6A" w:rsidRPr="00C33834" w:rsidRDefault="00FA6C6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августа 1933 г. на заседании комиссии политбюро под председатель</w:t>
      </w:r>
      <w:r w:rsidRPr="00C33834">
        <w:rPr>
          <w:rFonts w:ascii="Times New Roman" w:hAnsi="Times New Roman"/>
          <w:color w:val="000000" w:themeColor="text1"/>
          <w:sz w:val="16"/>
          <w:szCs w:val="16"/>
        </w:rPr>
        <w:softHyphen/>
        <w:t>ством С.М. Куйбышева было принято решение ограничить выпуск партии приспособлений к трактору СХТЗ: четырехколесных — 100 шт., трехколесных — 500 шт. Для покрытия потреб</w:t>
      </w:r>
      <w:r w:rsidRPr="00C33834">
        <w:rPr>
          <w:rFonts w:ascii="Times New Roman" w:hAnsi="Times New Roman"/>
          <w:color w:val="000000" w:themeColor="text1"/>
          <w:sz w:val="16"/>
          <w:szCs w:val="16"/>
        </w:rPr>
        <w:softHyphen/>
        <w:t>ности народного хозяйства в пропашных трак</w:t>
      </w:r>
      <w:r w:rsidRPr="00C33834">
        <w:rPr>
          <w:rFonts w:ascii="Times New Roman" w:hAnsi="Times New Roman"/>
          <w:color w:val="000000" w:themeColor="text1"/>
          <w:sz w:val="16"/>
          <w:szCs w:val="16"/>
        </w:rPr>
        <w:softHyphen/>
        <w:t>торах следовало организовать производство советской версии трактора «Фармол» на заво</w:t>
      </w:r>
      <w:r w:rsidRPr="00C33834">
        <w:rPr>
          <w:rFonts w:ascii="Times New Roman" w:hAnsi="Times New Roman"/>
          <w:color w:val="000000" w:themeColor="text1"/>
          <w:sz w:val="16"/>
          <w:szCs w:val="16"/>
        </w:rPr>
        <w:softHyphen/>
        <w:t>де «Красный Путиловец».</w:t>
      </w:r>
    </w:p>
    <w:p w14:paraId="69A345DD" w14:textId="77777777" w:rsidR="00FA6C6A" w:rsidRPr="00C33834" w:rsidRDefault="00FA6C6A" w:rsidP="00C33834">
      <w:pPr>
        <w:pStyle w:val="aff0"/>
        <w:shd w:val="clear" w:color="auto" w:fill="auto"/>
        <w:spacing w:line="240" w:lineRule="auto"/>
        <w:rPr>
          <w:rFonts w:ascii="Times New Roman" w:hAnsi="Times New Roman" w:cs="Times New Roman"/>
          <w:i w:val="0"/>
          <w:color w:val="000000" w:themeColor="text1"/>
          <w:sz w:val="16"/>
          <w:szCs w:val="16"/>
          <w:lang w:val="ru-RU"/>
        </w:rPr>
      </w:pPr>
      <w:r w:rsidRPr="00C33834">
        <w:rPr>
          <w:rFonts w:ascii="Times New Roman" w:hAnsi="Times New Roman" w:cs="Times New Roman"/>
          <w:i w:val="0"/>
          <w:color w:val="000000" w:themeColor="text1"/>
          <w:sz w:val="16"/>
          <w:szCs w:val="16"/>
          <w:lang w:val="ru-RU"/>
        </w:rPr>
        <w:t>Некоторые показатели пропашных тракторов по данным государственных испытаний</w:t>
      </w:r>
    </w:p>
    <w:tbl>
      <w:tblPr>
        <w:tblW w:w="0" w:type="auto"/>
        <w:tblInd w:w="5" w:type="dxa"/>
        <w:tblLayout w:type="fixed"/>
        <w:tblCellMar>
          <w:left w:w="0" w:type="dxa"/>
          <w:right w:w="0" w:type="dxa"/>
        </w:tblCellMar>
        <w:tblLook w:val="0000" w:firstRow="0" w:lastRow="0" w:firstColumn="0" w:lastColumn="0" w:noHBand="0" w:noVBand="0"/>
      </w:tblPr>
      <w:tblGrid>
        <w:gridCol w:w="1848"/>
        <w:gridCol w:w="1085"/>
        <w:gridCol w:w="1128"/>
        <w:gridCol w:w="1138"/>
        <w:gridCol w:w="1531"/>
      </w:tblGrid>
      <w:tr w:rsidR="00F26F01" w:rsidRPr="00C33834" w14:paraId="2D69B7CE" w14:textId="77777777" w:rsidTr="00CE35D9">
        <w:trPr>
          <w:trHeight w:val="44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37BC2F7D"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Модель трактора</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4976A015"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«Фармол»</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66E81F04"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СХТЗ ВИМЭ, 3-колесный</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71FAD10A"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СХТЗ ВИСХОМ, 4-колесный</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3E325EC0"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СХТЗ,4-колесный омский</w:t>
            </w:r>
          </w:p>
        </w:tc>
      </w:tr>
      <w:tr w:rsidR="00F26F01" w:rsidRPr="00C33834" w14:paraId="103DC772" w14:textId="77777777" w:rsidTr="00CE35D9">
        <w:trPr>
          <w:trHeight w:val="235"/>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4BBD1B53"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Вес пропашника,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30CE0F8D"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1913</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6C376A3D"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3409</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24F39415"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 3489</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2F84AF17"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3650</w:t>
            </w:r>
          </w:p>
        </w:tc>
      </w:tr>
      <w:tr w:rsidR="00F26F01" w:rsidRPr="00C33834" w14:paraId="6B7E832A" w14:textId="77777777" w:rsidTr="00CE35D9">
        <w:trPr>
          <w:trHeight w:val="427"/>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2D191BD5"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Общий вес приспособлений,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374D95CB" w14:textId="77777777" w:rsidR="00FA6C6A" w:rsidRPr="00C33834" w:rsidRDefault="00FA6C6A" w:rsidP="00C33834">
            <w:pPr>
              <w:pStyle w:val="182"/>
              <w:shd w:val="clear" w:color="auto" w:fill="auto"/>
              <w:spacing w:line="240" w:lineRule="auto"/>
              <w:jc w:val="both"/>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3678574D"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920</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41B9F48C"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811</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15E774F4"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954</w:t>
            </w:r>
          </w:p>
        </w:tc>
      </w:tr>
      <w:tr w:rsidR="00F26F01" w:rsidRPr="00C33834" w14:paraId="7989B281" w14:textId="77777777" w:rsidTr="00CE35D9">
        <w:trPr>
          <w:trHeight w:val="43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6F7AC9E2"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Вес передней часта приспособления,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549FC508" w14:textId="77777777" w:rsidR="00FA6C6A" w:rsidRPr="00C33834" w:rsidRDefault="00FA6C6A" w:rsidP="00C33834">
            <w:pPr>
              <w:pStyle w:val="191"/>
              <w:shd w:val="clear" w:color="auto" w:fill="auto"/>
              <w:spacing w:line="240" w:lineRule="auto"/>
              <w:jc w:val="both"/>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1056AD55"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357</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68445F28"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248</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22037419"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391</w:t>
            </w:r>
          </w:p>
        </w:tc>
      </w:tr>
      <w:tr w:rsidR="00F26F01" w:rsidRPr="00C33834" w14:paraId="5CBEBD31" w14:textId="77777777" w:rsidTr="00CE35D9">
        <w:trPr>
          <w:trHeight w:val="427"/>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3291ED62"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Вес задней части приспособления,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234C9F72" w14:textId="77777777" w:rsidR="00FA6C6A" w:rsidRPr="00C33834" w:rsidRDefault="00FA6C6A" w:rsidP="00C33834">
            <w:pPr>
              <w:pStyle w:val="182"/>
              <w:shd w:val="clear" w:color="auto" w:fill="auto"/>
              <w:spacing w:line="240" w:lineRule="auto"/>
              <w:jc w:val="both"/>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4D8D9FE5"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563</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4D3BF8F8"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563</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10CB27B3"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563</w:t>
            </w:r>
          </w:p>
        </w:tc>
      </w:tr>
      <w:tr w:rsidR="00F26F01" w:rsidRPr="00C33834" w14:paraId="2F5825CF" w14:textId="77777777" w:rsidTr="00CE35D9">
        <w:trPr>
          <w:trHeight w:val="43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1C6CDF5D"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Нагрузка на переднюю ось,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17C1AF1B"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565</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7C675ABF"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1084</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24115D94"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1418</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493FCAE9"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1392</w:t>
            </w:r>
          </w:p>
        </w:tc>
      </w:tr>
      <w:tr w:rsidR="00F26F01" w:rsidRPr="00C33834" w14:paraId="6564C8F6" w14:textId="77777777" w:rsidTr="00CE35D9">
        <w:trPr>
          <w:trHeight w:val="235"/>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63AF55E1"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Нагрузка на заднюю ось,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587E9737"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1348</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B7C0A33"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2323</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30A00B9D"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2071</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06EA4BA6"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2258</w:t>
            </w:r>
          </w:p>
        </w:tc>
      </w:tr>
      <w:tr w:rsidR="00F26F01" w:rsidRPr="00C33834" w14:paraId="6437D50B" w14:textId="77777777" w:rsidTr="00CE35D9">
        <w:trPr>
          <w:trHeight w:val="43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667E8545"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Удельное давление на передние колеса, кг/см</w:t>
            </w:r>
            <w:r w:rsidRPr="00C33834">
              <w:rPr>
                <w:rFonts w:ascii="Times New Roman" w:hAnsi="Times New Roman" w:cs="Times New Roman"/>
                <w:color w:val="000000" w:themeColor="text1"/>
                <w:sz w:val="16"/>
                <w:szCs w:val="16"/>
                <w:vertAlign w:val="superscript"/>
              </w:rPr>
              <w:t>2</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1ECB843B"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1,15</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09C8EF3"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2,08</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1124A6A5"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1,56</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4619BB6B"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1,5</w:t>
            </w:r>
          </w:p>
        </w:tc>
      </w:tr>
      <w:tr w:rsidR="00F26F01" w:rsidRPr="00C33834" w14:paraId="68AD7C5E" w14:textId="77777777" w:rsidTr="00CE35D9">
        <w:trPr>
          <w:trHeight w:val="43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4CF4EEFF"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Удельное давление на задние колеса, кг/см</w:t>
            </w:r>
            <w:r w:rsidRPr="00C33834">
              <w:rPr>
                <w:rFonts w:ascii="Times New Roman" w:hAnsi="Times New Roman" w:cs="Times New Roman"/>
                <w:color w:val="000000" w:themeColor="text1"/>
                <w:sz w:val="16"/>
                <w:szCs w:val="16"/>
                <w:vertAlign w:val="superscript"/>
              </w:rPr>
              <w:t>2</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6B818AF8"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1,05</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63BD403B"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1,90</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6E560640"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1,69</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753AB7E3"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1,84</w:t>
            </w:r>
          </w:p>
        </w:tc>
      </w:tr>
      <w:tr w:rsidR="00F26F01" w:rsidRPr="00C33834" w14:paraId="152BAC0F" w14:textId="77777777" w:rsidTr="00CE35D9">
        <w:trPr>
          <w:trHeight w:val="235"/>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62891A8E"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Продольная база, мм</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40CCB5D1"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2159</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867F2EA"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2720</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16DEA246"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2100</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760411CC"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2500</w:t>
            </w:r>
          </w:p>
        </w:tc>
      </w:tr>
      <w:tr w:rsidR="00F26F01" w:rsidRPr="00C33834" w14:paraId="6E11553F" w14:textId="77777777" w:rsidTr="00CE35D9">
        <w:trPr>
          <w:trHeight w:val="250"/>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4774731F"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Дорожный просвет, мм</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59714487"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736</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695EC7D5"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700</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74251995"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610</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4E5355D9" w14:textId="77777777" w:rsidR="00FA6C6A" w:rsidRPr="00C33834" w:rsidRDefault="00FA6C6A" w:rsidP="00C33834">
            <w:pPr>
              <w:pStyle w:val="152"/>
              <w:shd w:val="clear" w:color="auto" w:fill="auto"/>
              <w:spacing w:line="240" w:lineRule="auto"/>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700</w:t>
            </w:r>
          </w:p>
        </w:tc>
      </w:tr>
    </w:tbl>
    <w:p w14:paraId="2A0055E9" w14:textId="77777777" w:rsidR="00FA6C6A" w:rsidRPr="00C33834" w:rsidRDefault="00FA6C6A" w:rsidP="00C33834">
      <w:pPr>
        <w:pStyle w:val="a3"/>
        <w:rPr>
          <w:color w:val="000000" w:themeColor="text1"/>
        </w:rPr>
      </w:pPr>
      <w:r w:rsidRPr="00C33834">
        <w:rPr>
          <w:color w:val="000000" w:themeColor="text1"/>
        </w:rPr>
        <w:t>(12620).</w:t>
      </w:r>
    </w:p>
    <w:p w14:paraId="69ECA794" w14:textId="77777777" w:rsidR="00FA6C6A" w:rsidRPr="00C33834" w:rsidRDefault="00FA6C6A" w:rsidP="00C33834">
      <w:pPr>
        <w:spacing w:after="0" w:line="240" w:lineRule="auto"/>
        <w:jc w:val="both"/>
        <w:rPr>
          <w:rFonts w:ascii="Times New Roman" w:hAnsi="Times New Roman"/>
          <w:color w:val="000000" w:themeColor="text1"/>
          <w:sz w:val="16"/>
          <w:szCs w:val="16"/>
        </w:rPr>
      </w:pPr>
    </w:p>
    <w:p w14:paraId="36E5D419" w14:textId="77777777" w:rsidR="008D15E1" w:rsidRPr="00C33834" w:rsidRDefault="008D15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8 августа в 1933 году В.И.Сталин принял группу работников московского автозавода имени Сталина и дал им указания относительно освоения производства легковых автомобилей (14977).</w:t>
      </w:r>
    </w:p>
    <w:p w14:paraId="2A069C2C" w14:textId="77777777" w:rsidR="008D15E1" w:rsidRPr="00C33834" w:rsidRDefault="008D15E1" w:rsidP="00C33834">
      <w:pPr>
        <w:spacing w:after="0" w:line="240" w:lineRule="auto"/>
        <w:jc w:val="both"/>
        <w:rPr>
          <w:rFonts w:ascii="Times New Roman" w:hAnsi="Times New Roman"/>
          <w:color w:val="000000" w:themeColor="text1"/>
          <w:sz w:val="16"/>
          <w:szCs w:val="16"/>
        </w:rPr>
      </w:pPr>
    </w:p>
    <w:p w14:paraId="5AA21CB3" w14:textId="77777777" w:rsidR="00EA298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1833DB44" w14:textId="77777777" w:rsidR="00EA298A" w:rsidRPr="00C33834" w:rsidRDefault="00EA298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86F8A2F"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августа 1933г. военный атташе Германии Хартман направил письмо заместителю начальника внешних сношений Штаба РККА Смагину с извещением о невозможности направить германских офицеров на учения частей РККА в конце летнего периода «по уже раньше обозначенным причинам» (нехватка денежных средств). На документе стоит изумительная по краткости и емкости резолюция Ворошилова: «Очень хорошо! В. 15. 8. 1933 г. » (РГВА, ф. 33987, оп. 3, д. 504, л. 153.), из которой видно, что данный ответный шаг немецкой стороны полностью вписывался в намеченную Москвой кампанию по ускоренному сворачиванию сотрудничества между РККА и райхсвером. Кстати сказать, немцев очень сильно задел и отказ советской стороны направить краскомов на курсы германской военной академии, поскольку «отказ от дальнейшего обмена офицерами и военными сведениями не предполагался» (РГВА, ф. 33987, оп. 3, д. 504, л. 153.). В соответствии с упоминавшимся графиком ликвидации предприятий «друзей» к 15 августа должна была быть закончена ликвидация «Томки», к 1 октября — «Липецка», к 1 — 15 октября — «Казани» (РГВА, ф. 33987, оп. 3, д. 504, л. 153.). Менее чем за месяц (26 июля — 15 августа)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 — 50 тыс. золотых руб. (РГВА, ф. 33987, оп. 3, д. 504, л. 153.) (11784).</w:t>
      </w:r>
    </w:p>
    <w:p w14:paraId="0A14F5AF"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6121EE6C" w14:textId="77777777" w:rsidR="00D7310A" w:rsidRPr="00C33834" w:rsidRDefault="00D7310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августа 1933 г. военный атташе Германии Хартман направил письмо заместителю начальника внешних сношений Штаба РККА Смагину с извещением о невозможности направить германских офицеров на учения частей РККА в конце летнего периода «по уже раньше обозначенным причинам» (нехватка денежных средств). На документе стоит изумительная по краткости и емкости резолюция Ворошилова:</w:t>
      </w:r>
    </w:p>
    <w:p w14:paraId="6DC499BF" w14:textId="77777777" w:rsidR="00D7310A" w:rsidRPr="00C33834" w:rsidRDefault="00D7310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«Очень хорошо! В. 15. 8. 1933 г.», из которой видно, что данный ответный шаг немецкой стороны полностью вписывался в намеченную Москвой кампанию по ускоренному сворачиванию сотрудничества между РККА и райхсвером. Кстати сказать, немцев очень сильно задел и отказ советской стороны направить краскомов на курсы германской военной академии, поскольку «отказ от дальнейшего обмена офицерами и военными сведениями не предполагался» (18265).</w:t>
      </w:r>
    </w:p>
    <w:p w14:paraId="2A4B1F89" w14:textId="77777777" w:rsidR="00D7310A" w:rsidRPr="00C33834" w:rsidRDefault="00D7310A" w:rsidP="00C33834">
      <w:pPr>
        <w:spacing w:after="0" w:line="240" w:lineRule="auto"/>
        <w:jc w:val="both"/>
        <w:rPr>
          <w:rFonts w:ascii="Times New Roman" w:hAnsi="Times New Roman"/>
          <w:color w:val="000000" w:themeColor="text1"/>
          <w:sz w:val="16"/>
          <w:szCs w:val="16"/>
        </w:rPr>
      </w:pPr>
    </w:p>
    <w:p w14:paraId="1F059B05" w14:textId="77777777" w:rsidR="00CC15F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518D6E6" w14:textId="77777777" w:rsidR="00CC15F1" w:rsidRPr="00C33834" w:rsidRDefault="00CC15F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4F9055B" w14:textId="77777777" w:rsidR="00CC15F1" w:rsidRPr="00C33834" w:rsidRDefault="00CC15F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8 августа в 1933 году состоялся первый полет австрийского легкого многоцелевого самолета </w:t>
      </w:r>
      <w:hyperlink r:id="rId287" w:tgtFrame="_blank" w:history="1">
        <w:r w:rsidRPr="00C33834">
          <w:rPr>
            <w:rFonts w:ascii="Times New Roman" w:hAnsi="Times New Roman"/>
            <w:color w:val="000000" w:themeColor="text1"/>
            <w:sz w:val="16"/>
            <w:szCs w:val="16"/>
          </w:rPr>
          <w:t xml:space="preserve">«Meindl» «A.VII». </w:t>
        </w:r>
      </w:hyperlink>
      <w:r w:rsidRPr="00C33834">
        <w:rPr>
          <w:rFonts w:ascii="Times New Roman" w:hAnsi="Times New Roman"/>
          <w:color w:val="000000" w:themeColor="text1"/>
          <w:sz w:val="16"/>
          <w:szCs w:val="16"/>
        </w:rPr>
        <w:t>Самолёт «Meindl» «A.VII» был разработан конструкторами компании «Meindl Flugzeugbau» Вильгельмом ван Несом и Эрихом Майндлем. Проект самолет был разработан еще в начале 1931 года, однако строительство затянулось почти на два года из-за финансовых трудностей. Самолет серийно выпускали в Австрии с 1934 года. Это были обычные для того времени монопланы с низкорасположенным крылом, неубираемым шасси и открытыми кабинами летчиков. Основная модификация оснащалась радиальным двигателем (в 1932 году был разработан поплавковый вариант самолёта с рядным мотором) (14977).</w:t>
      </w:r>
    </w:p>
    <w:p w14:paraId="304F38B2" w14:textId="77777777" w:rsidR="00CC15F1" w:rsidRPr="00C33834" w:rsidRDefault="00CC15F1" w:rsidP="00C33834">
      <w:pPr>
        <w:spacing w:after="0" w:line="240" w:lineRule="auto"/>
        <w:jc w:val="both"/>
        <w:rPr>
          <w:rFonts w:ascii="Times New Roman" w:hAnsi="Times New Roman"/>
          <w:color w:val="000000" w:themeColor="text1"/>
          <w:sz w:val="16"/>
          <w:szCs w:val="16"/>
        </w:rPr>
      </w:pPr>
    </w:p>
    <w:p w14:paraId="6A3EC6D3" w14:textId="77777777" w:rsidR="00EA298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55E7568" w14:textId="77777777" w:rsidR="00EA298A" w:rsidRPr="00C33834" w:rsidRDefault="00EA298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3CAC7B6"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августа 1933 состоялась вторая рулежка К-7 К.А.К. в течение 45 мин. Разворот на 180 гр. возможен за 1 мин. 20 сек., а полный круг - за 59 сек. Был и непродолжительный отрыв на 1-2 сек. Произошел разрыв покрышки и камеры Пальмер левого заднего колеса и было замечено колебание хвостовых ферм и оперения, впоследствии устраненное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F26F01" w:rsidRPr="00C33834" w14:paraId="48E82B6F" w14:textId="77777777">
        <w:tc>
          <w:tcPr>
            <w:tcW w:w="1384" w:type="dxa"/>
            <w:tcBorders>
              <w:top w:val="single" w:sz="12" w:space="0" w:color="auto"/>
            </w:tcBorders>
          </w:tcPr>
          <w:p w14:paraId="655C5C0B"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Дата испытания</w:t>
            </w:r>
          </w:p>
        </w:tc>
        <w:tc>
          <w:tcPr>
            <w:tcW w:w="2410" w:type="dxa"/>
            <w:tcBorders>
              <w:top w:val="single" w:sz="12" w:space="0" w:color="auto"/>
            </w:tcBorders>
          </w:tcPr>
          <w:p w14:paraId="2344046A"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w:t>
            </w:r>
          </w:p>
        </w:tc>
        <w:tc>
          <w:tcPr>
            <w:tcW w:w="1089" w:type="dxa"/>
            <w:tcBorders>
              <w:top w:val="single" w:sz="12" w:space="0" w:color="auto"/>
            </w:tcBorders>
          </w:tcPr>
          <w:p w14:paraId="036A1800"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1827620A"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39E8C94A"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327EE371"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tc>
      </w:tr>
      <w:tr w:rsidR="00F26F01" w:rsidRPr="00C33834" w14:paraId="35F6CB46" w14:textId="77777777">
        <w:tc>
          <w:tcPr>
            <w:tcW w:w="1384" w:type="dxa"/>
            <w:tcBorders>
              <w:bottom w:val="single" w:sz="12" w:space="0" w:color="auto"/>
            </w:tcBorders>
          </w:tcPr>
          <w:p w14:paraId="0DD722CF"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августа 1933</w:t>
            </w:r>
          </w:p>
        </w:tc>
        <w:tc>
          <w:tcPr>
            <w:tcW w:w="2410" w:type="dxa"/>
            <w:tcBorders>
              <w:bottom w:val="single" w:sz="12" w:space="0" w:color="auto"/>
            </w:tcBorders>
          </w:tcPr>
          <w:p w14:paraId="115F1EBE"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Вторая рулежка с-та К-7</w:t>
            </w:r>
          </w:p>
        </w:tc>
        <w:tc>
          <w:tcPr>
            <w:tcW w:w="1089" w:type="dxa"/>
            <w:tcBorders>
              <w:bottom w:val="single" w:sz="12" w:space="0" w:color="auto"/>
            </w:tcBorders>
          </w:tcPr>
          <w:p w14:paraId="092B13B4"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Запуск моторов: 0:42</w:t>
            </w:r>
          </w:p>
          <w:p w14:paraId="549F881A"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моторов: 1:58</w:t>
            </w:r>
          </w:p>
          <w:p w14:paraId="073531A1"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Рулежка: 0:45</w:t>
            </w:r>
          </w:p>
        </w:tc>
        <w:tc>
          <w:tcPr>
            <w:tcW w:w="3447" w:type="dxa"/>
            <w:tcBorders>
              <w:bottom w:val="single" w:sz="12" w:space="0" w:color="auto"/>
            </w:tcBorders>
          </w:tcPr>
          <w:p w14:paraId="1EBD9B59"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разворот с места на 180 гр. - 1:20</w:t>
            </w:r>
          </w:p>
          <w:p w14:paraId="6AFD5F19"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полный круг на 360 гр - 1:18, д - 69 м (против часовой)</w:t>
            </w:r>
          </w:p>
          <w:p w14:paraId="15364403"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то же по часовой - 0:59, д. 49 м</w:t>
            </w:r>
          </w:p>
          <w:p w14:paraId="5DDBD95E"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разворот на 180 гр. - 0:29</w:t>
            </w:r>
          </w:p>
          <w:p w14:paraId="562EC06A"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скорость пробежки - 60 км/час</w:t>
            </w:r>
          </w:p>
          <w:p w14:paraId="5A989778"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непродолжительный отрыз от земли (1-2 сек)</w:t>
            </w:r>
          </w:p>
          <w:p w14:paraId="2AF7C531"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bottom w:val="single" w:sz="12" w:space="0" w:color="auto"/>
            </w:tcBorders>
          </w:tcPr>
          <w:p w14:paraId="7E54A02B"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Разрыв покрышки и камеры Пальмер левого заднего колеса правого шасси (устранено)</w:t>
            </w:r>
          </w:p>
          <w:p w14:paraId="0F919ABE"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Колебания хвостовых ферм и оперения 9устранено)</w:t>
            </w:r>
          </w:p>
        </w:tc>
        <w:tc>
          <w:tcPr>
            <w:tcW w:w="1105" w:type="dxa"/>
            <w:tcBorders>
              <w:bottom w:val="single" w:sz="12" w:space="0" w:color="auto"/>
            </w:tcBorders>
          </w:tcPr>
          <w:p w14:paraId="5FEA2E15"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57E108A1"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(2306,98).</w:t>
      </w:r>
    </w:p>
    <w:p w14:paraId="6F14FE46"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сентября 1933 была телеграмма Калинина ГУАП Алмазову по К-7:</w:t>
      </w:r>
    </w:p>
    <w:p w14:paraId="136BB1F4"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...всех моторов первая рулежка все нормально (2306,9)</w:t>
      </w:r>
    </w:p>
    <w:p w14:paraId="25968E1F"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1BD702BF"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августа 1933 года N 2826с Алкснис писал председателю РВС.</w:t>
      </w:r>
    </w:p>
    <w:p w14:paraId="229117CE"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 увеличении бомбовой нагрузки самолета ТБ3 4м17 до 2,5 т на радиус действия 1300 км (при дальности 2600 км).</w:t>
      </w:r>
    </w:p>
    <w:p w14:paraId="334AF914"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исполнение Ваших указаний о дополнительных изысканиях путей и способов увеличения радиуса действия и бомбовой нагрузки ТБ3, НИИ ВВС была проделана большая изыскательная работа:</w:t>
      </w:r>
    </w:p>
    <w:p w14:paraId="5E42336E"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уменьшению расхода горючего и масла;</w:t>
      </w:r>
    </w:p>
    <w:p w14:paraId="2CBBE186"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увеличению общего полетного веса и</w:t>
      </w:r>
    </w:p>
    <w:p w14:paraId="3EC78DFF"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дальнейшему облегчению конструкции самолета.</w:t>
      </w:r>
    </w:p>
    <w:p w14:paraId="089F51F2"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окончательного утверждения предварительных расчетов и выводов НИИ, согласно Ваших указаний 8 августа 1933 года был произведен полет облегченного самолета ТБ-3 4М17 с полетным весом 20 тонн, при фактической бомбовой нагрузке 1,5 т по маршруту Щелково – Евпатория – Щелково, общим протяжением 2600 км.</w:t>
      </w:r>
    </w:p>
    <w:p w14:paraId="63177060"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вылетел в 4 час. 43 мин. и вернулся в 20 час. 04 мин., пробыв в воздухе 15 час. 21 мин. при средней путевой скорости 170 км/час.</w:t>
      </w:r>
    </w:p>
    <w:p w14:paraId="153F0D50"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посадки на аэродроме Щелково в самолете еще оказался запас горючего 800 кг, обеспечивающий продолжение полета еще на 450 км или на 2 час. 45 мин.</w:t>
      </w:r>
    </w:p>
    <w:p w14:paraId="2EEE61E6"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Вывод:</w:t>
      </w:r>
    </w:p>
    <w:p w14:paraId="0A2E7200"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при полетном весе 20 т может быть надежно использован на дальность 2600 км или радиус действия 1300 км с бомбовой нагрузкой 2,5 т (4014,8-10).</w:t>
      </w:r>
    </w:p>
    <w:p w14:paraId="32D81B61"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279F269D"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9 августа 1933 г. в аэродинамической лаборатории Военно-воздушной академии им. проф. Н.Е.Жуковского благодаря поддержке со стороны известного ученого-аэродинамика Б.Н.Юрьева довольно ин</w:t>
      </w:r>
      <w:r w:rsidRPr="00C33834">
        <w:rPr>
          <w:rFonts w:ascii="Times New Roman" w:hAnsi="Times New Roman"/>
          <w:color w:val="000000" w:themeColor="text1"/>
          <w:sz w:val="16"/>
          <w:szCs w:val="16"/>
        </w:rPr>
        <w:softHyphen/>
        <w:t>тенсивно шли сравнительные исследования моделей фюзеляжа ЦКБ-12 с кольцами Тауненда различной ши</w:t>
      </w:r>
      <w:r w:rsidRPr="00C33834">
        <w:rPr>
          <w:rFonts w:ascii="Times New Roman" w:hAnsi="Times New Roman"/>
          <w:color w:val="000000" w:themeColor="text1"/>
          <w:sz w:val="16"/>
          <w:szCs w:val="16"/>
        </w:rPr>
        <w:softHyphen/>
        <w:t>рины (5 шт.) и с капотами НАКА различной длины (6 шт.), что позволило оптимизировать их форму (10667).</w:t>
      </w:r>
    </w:p>
    <w:p w14:paraId="1F992EBA"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704B76E2" w14:textId="77777777" w:rsidR="00416641" w:rsidRPr="00C33834" w:rsidRDefault="004166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9 августа 1933</w:t>
      </w:r>
    </w:p>
    <w:p w14:paraId="1A1CBE8E" w14:textId="77777777" w:rsidR="00416641" w:rsidRPr="00C33834" w:rsidRDefault="004166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Опросом членов Политбюро от 9.VIII.1933 г.</w:t>
      </w:r>
    </w:p>
    <w:p w14:paraId="5BC70A34" w14:textId="77777777" w:rsidR="00416641" w:rsidRPr="00C33834" w:rsidRDefault="004166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 81/67: О конструкторско-производственной деятельности</w:t>
      </w:r>
    </w:p>
    <w:p w14:paraId="7DDF44B4" w14:textId="77777777" w:rsidR="00416641" w:rsidRPr="00C33834" w:rsidRDefault="004166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Передать Конструкторское Бюро и все предприятия ВИРДЖИЛИ из ведения НКВМ в систему Главного Управления Авиационной Промышленности Наркомтяжпрома СССР.</w:t>
      </w:r>
    </w:p>
    <w:p w14:paraId="795BA918" w14:textId="77777777" w:rsidR="00416641" w:rsidRPr="00C33834" w:rsidRDefault="004166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Сохранить в системе ГУАП'а НКТП Бюро ВИРДЖИЛИ, как конструкторско-производственную организацию, оставив в его составе все работающие и находящиеся в строительстве предприятия авиационного значения.</w:t>
      </w:r>
    </w:p>
    <w:p w14:paraId="4C72F9BA" w14:textId="77777777" w:rsidR="00416641" w:rsidRPr="00C33834" w:rsidRDefault="004166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З. Эксплуатировавшийся Бюро ВИРДЖИЛИ, по договору с НКЛесом, Юрюзанский Леспромхоз в месячный срок передать в ведение “Востокостали”, освободив ВИРДЖИЛИ от обязательств по поставкам топлива и стройматериалов заводам “Востокостали” и другим организациям.</w:t>
      </w:r>
    </w:p>
    <w:p w14:paraId="71E31FB8" w14:textId="77777777" w:rsidR="00416641" w:rsidRPr="00C33834" w:rsidRDefault="004166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Обязать Востокосталь в декадный срок ликвидировать всю задолженность по зарплате и задолженность хозяйственным организациям по Юрюзанскому Леспромхозу.</w:t>
      </w:r>
    </w:p>
    <w:p w14:paraId="3144DD2A" w14:textId="77777777" w:rsidR="00416641" w:rsidRPr="00C33834" w:rsidRDefault="004166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Обязать Начальника Глававиапрома:</w:t>
      </w:r>
    </w:p>
    <w:p w14:paraId="39E56FE5" w14:textId="77777777" w:rsidR="00416641" w:rsidRPr="00C33834" w:rsidRDefault="004166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установить план работ на предприятиях ВИРДЖИЛИ на 1933 год;</w:t>
      </w:r>
    </w:p>
    <w:p w14:paraId="320283A7" w14:textId="77777777" w:rsidR="00416641" w:rsidRPr="00C33834" w:rsidRDefault="004166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б) в декадный срок ликвидировать всю задолженность по зарплате на Уральском строительстве и задолженность хозяйственным организациям;</w:t>
      </w:r>
    </w:p>
    <w:p w14:paraId="258160E1" w14:textId="77777777" w:rsidR="00416641" w:rsidRPr="00C33834" w:rsidRDefault="004166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закрепить за ВИРДЖИЛИ получаемый до настоящего времени персональный оклад в 1.500 рублей в советских знаках и 300 рублей в иностранной валюте;</w:t>
      </w:r>
    </w:p>
    <w:p w14:paraId="6F6E6EF4" w14:textId="77777777" w:rsidR="00416641" w:rsidRPr="00C33834" w:rsidRDefault="004166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 разрешить ВИРДЖИЛИ отправить свою семью в Италию:</w:t>
      </w:r>
    </w:p>
    <w:p w14:paraId="7AA370F6" w14:textId="77777777" w:rsidR="00416641" w:rsidRPr="00C33834" w:rsidRDefault="004166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 разрешить ВИРДЖИЛИ ежегодный отпуск в течение 2</w:t>
      </w:r>
      <w:r w:rsidRPr="00C33834">
        <w:rPr>
          <w:rFonts w:ascii="Times New Roman" w:hAnsi="Times New Roman"/>
          <w:color w:val="0070C0"/>
          <w:sz w:val="16"/>
          <w:szCs w:val="16"/>
        </w:rPr>
        <w:noBreakHyphen/>
        <w:t>х месяцев проводить в Италии.</w:t>
      </w:r>
    </w:p>
    <w:p w14:paraId="6B3183FA" w14:textId="77777777" w:rsidR="00416641" w:rsidRPr="00C33834" w:rsidRDefault="004166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Ассигновать НКТПрому из резервного фонда СНК СССР 2,8 млн. рублей, из них 2,5 млн. рублей на покрытие задолженности по зарплате на Уральском строительстве и лесных разработках и задолженности хозяйственным организациям и 300.000 рублей для обеспечения конструкторской работы Бюро ВИРДЖИЛИ в 1933 году (18068).</w:t>
      </w:r>
    </w:p>
    <w:p w14:paraId="65A0FC56" w14:textId="77777777" w:rsidR="00416641" w:rsidRPr="00C33834" w:rsidRDefault="00416641" w:rsidP="00C33834">
      <w:pPr>
        <w:shd w:val="clear" w:color="auto" w:fill="FFFFFF"/>
        <w:spacing w:after="0" w:line="240" w:lineRule="auto"/>
        <w:jc w:val="both"/>
        <w:rPr>
          <w:rFonts w:ascii="Times New Roman" w:eastAsia="Times New Roman" w:hAnsi="Times New Roman"/>
          <w:color w:val="0070C0"/>
          <w:sz w:val="16"/>
          <w:szCs w:val="16"/>
          <w:lang w:eastAsia="ru-RU"/>
        </w:rPr>
      </w:pPr>
    </w:p>
    <w:p w14:paraId="52A2594E" w14:textId="77777777" w:rsidR="00EA298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948E6F8" w14:textId="77777777" w:rsidR="00EA298A" w:rsidRPr="00C33834" w:rsidRDefault="00EA298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CD18592" w14:textId="77777777" w:rsidR="00EA298A" w:rsidRPr="00C33834" w:rsidRDefault="00EA298A"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августа 1933 внновь рассматривались варианты танка Т-39. Два варианта были признаны «весьма удачными» и послужили образцом для изготовления деревянных моделей в масштабе 1:10, которые после заседания макетной комиссии вместе с пояснительной запиской спецкурьером прибыли к наркому обороны К. Ворошило</w:t>
      </w:r>
      <w:r w:rsidRPr="00C33834">
        <w:rPr>
          <w:rFonts w:ascii="Times New Roman" w:hAnsi="Times New Roman"/>
          <w:color w:val="000000" w:themeColor="text1"/>
          <w:sz w:val="16"/>
          <w:szCs w:val="16"/>
        </w:rPr>
        <w:softHyphen/>
        <w:t>ву (10733,277).</w:t>
      </w:r>
    </w:p>
    <w:p w14:paraId="4CFE04D6" w14:textId="77777777" w:rsidR="00EA298A" w:rsidRPr="00C33834" w:rsidRDefault="00EA298A"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0C5491" w14:textId="77777777" w:rsidR="00EA298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C151BD0" w14:textId="77777777" w:rsidR="00EA298A" w:rsidRPr="00C33834" w:rsidRDefault="00EA298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0D8CBEF"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августа 1933 г. на ЗОК ЦАГИ приступили к полномасштабной постройке Чертежи на консоли были получены ЗОКом 7 октября 1933 г., сборку лонжеронов завершили 25 ноября, нервюры собрали лишь 1 1 декабря 1933 г., поскольку их дважды переделывали - первый раз при отказе от гофрированной обшивки, второй раз - когда решили установить посадочный щиток. Чертежи на щиток с его приводом поступили к 14 декабря, сборку завершили 13 января следующего - 1934 г.</w:t>
      </w:r>
    </w:p>
    <w:p w14:paraId="481473B4"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Чертежи на каркас были изъяты из производства по причине перехода на гладкую обшивку, а новые чертежи завод получил лишь 25 ноября 1933 г. Каркас был собран быстро - к 17 декабря, после чего приступили к его обшивке, которую завершили 7 января 1934 г.</w:t>
      </w:r>
    </w:p>
    <w:p w14:paraId="53A79F2D"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Консоли крыла были собраны 13 января 1934 г. </w:t>
      </w:r>
    </w:p>
    <w:p w14:paraId="60925291"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Центроплан был готов полностью 8 января 1934 г. Оперение собрали раньше - к середине декабря 1933 г., 22 декабря собрали элероны, которые из-за изменения обшивки застряли в производстве на целый месяц.</w:t>
      </w:r>
    </w:p>
    <w:p w14:paraId="687680FB"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253F0423"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7D8E7C37"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5E405173"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64819233"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59D29E2B"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000ACA31"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августа 1933 в справке ЭКУ ОГПУ "О качественных и тактических показателях самолетов, сконструированных и построенных в ЦАГИ, по сравнению с аналогичными машинами Европы и США" отмечалось, что за небольшими исключениями (ТБ-3 М-17) все остальные машины следует считать экспериментальными (МИ-3), находящимися в процессе окончательного уточнения их конструкции, и лишь после устранения целого ряда конструктивных недостатков - встанет вопрос об их серийном производстве для нужд обороны" (1566,87).</w:t>
      </w:r>
    </w:p>
    <w:p w14:paraId="38FB62DD"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1F0C8072" w14:textId="77777777" w:rsidR="00FB1B8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DA85375" w14:textId="77777777" w:rsidR="00FB1B8C" w:rsidRPr="00C33834" w:rsidRDefault="00FB1B8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D967243" w14:textId="77777777" w:rsidR="00FB1B8C" w:rsidRPr="00C33834" w:rsidRDefault="00FB1B8C" w:rsidP="00C33834">
      <w:pPr>
        <w:pStyle w:val="ae"/>
        <w:spacing w:before="0" w:after="0"/>
        <w:jc w:val="both"/>
        <w:rPr>
          <w:color w:val="000000" w:themeColor="text1"/>
          <w:sz w:val="16"/>
          <w:szCs w:val="16"/>
        </w:rPr>
      </w:pPr>
      <w:r w:rsidRPr="00C33834">
        <w:rPr>
          <w:rStyle w:val="af0"/>
          <w:i w:val="0"/>
          <w:color w:val="000000" w:themeColor="text1"/>
          <w:sz w:val="16"/>
          <w:szCs w:val="16"/>
        </w:rPr>
        <w:t xml:space="preserve">10 августа 1933 г. </w:t>
      </w:r>
      <w:r w:rsidRPr="00C33834">
        <w:rPr>
          <w:color w:val="000000" w:themeColor="text1"/>
          <w:sz w:val="16"/>
          <w:szCs w:val="16"/>
        </w:rPr>
        <w:t>Доклад наркома по военным и морским делам СССР и председателя Реввоенсовета СССР К. Е. Ворошилова председателю Комиссии обороны СССР В. М. Молотову об итогах развития артиллерийского вооружения с 1 октября 1928 г. по 1 мая 1933 г. и о системе артиллерийского вооружения на вторую пятилетку</w:t>
      </w:r>
    </w:p>
    <w:p w14:paraId="0FAA6E7A" w14:textId="77777777" w:rsidR="00FB1B8C" w:rsidRPr="00C33834" w:rsidRDefault="00FB1B8C" w:rsidP="00C33834">
      <w:pPr>
        <w:pStyle w:val="ae"/>
        <w:spacing w:before="0" w:after="0"/>
        <w:jc w:val="both"/>
        <w:rPr>
          <w:color w:val="000000" w:themeColor="text1"/>
          <w:sz w:val="16"/>
          <w:szCs w:val="16"/>
        </w:rPr>
      </w:pPr>
      <w:r w:rsidRPr="00C33834">
        <w:rPr>
          <w:color w:val="000000" w:themeColor="text1"/>
          <w:sz w:val="16"/>
          <w:szCs w:val="16"/>
        </w:rPr>
        <w:t>I. Итоги развития артиллерийского вооружения за время с 1 октября 1928 г. по 1 мая 1933 г.</w:t>
      </w:r>
    </w:p>
    <w:p w14:paraId="185CF4CC"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В количественном отношении оснащение РККА артиллерийским вооружением возросло: по орудиям с 8600 систем до 15 тыс., по пулеметам с 37 тыс. шт. до 132 тыс. Мобзапас выстрелов увеличен, главным образом, за счет имеющихся разрозненных элементов, пополненных заказом новых элементов и, частично, новых выстрелов — с 10 млн. выстрелов до 22,5 млн. выстрелов. Однако запас винтпатронов остался на том же совершенно незначительном уровне.</w:t>
      </w:r>
    </w:p>
    <w:p w14:paraId="4127EB9C"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Качественное развитие артиллерийского вооружения характеризуется, прежде всего, модернизацией артиллерии (в 33 дивизиях модернизированы 76</w:t>
      </w:r>
      <w:r w:rsidRPr="00C33834">
        <w:rPr>
          <w:color w:val="000000" w:themeColor="text1"/>
          <w:sz w:val="16"/>
          <w:szCs w:val="16"/>
        </w:rPr>
        <w:noBreakHyphen/>
        <w:t>мм пушки, в 60 дивизиях модернизированы 122</w:t>
      </w:r>
      <w:r w:rsidRPr="00C33834">
        <w:rPr>
          <w:color w:val="000000" w:themeColor="text1"/>
          <w:sz w:val="16"/>
          <w:szCs w:val="16"/>
        </w:rPr>
        <w:noBreakHyphen/>
        <w:t>мм гаубицы, в 10 корпусных артполках — 107</w:t>
      </w:r>
      <w:r w:rsidRPr="00C33834">
        <w:rPr>
          <w:color w:val="000000" w:themeColor="text1"/>
          <w:sz w:val="16"/>
          <w:szCs w:val="16"/>
        </w:rPr>
        <w:noBreakHyphen/>
        <w:t>мм пушки и в 39 корпусных полках и полках АРГК — 152</w:t>
      </w:r>
      <w:r w:rsidRPr="00C33834">
        <w:rPr>
          <w:color w:val="000000" w:themeColor="text1"/>
          <w:sz w:val="16"/>
          <w:szCs w:val="16"/>
        </w:rPr>
        <w:noBreakHyphen/>
        <w:t>мм гаубицы).</w:t>
      </w:r>
    </w:p>
    <w:p w14:paraId="33868DAC"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Создание и внедрение новых артиллерийских систем уже осуществлено по ряду образцов. На валовое производство поставлены: 45</w:t>
      </w:r>
      <w:r w:rsidRPr="00C33834">
        <w:rPr>
          <w:color w:val="000000" w:themeColor="text1"/>
          <w:sz w:val="16"/>
          <w:szCs w:val="16"/>
        </w:rPr>
        <w:noBreakHyphen/>
        <w:t>мм танковые и противотанковые пушки, 76</w:t>
      </w:r>
      <w:r w:rsidRPr="00C33834">
        <w:rPr>
          <w:color w:val="000000" w:themeColor="text1"/>
          <w:sz w:val="16"/>
          <w:szCs w:val="16"/>
        </w:rPr>
        <w:noBreakHyphen/>
        <w:t>мм зенитные пушки 1931 г., 203</w:t>
      </w:r>
      <w:r w:rsidRPr="00C33834">
        <w:rPr>
          <w:color w:val="000000" w:themeColor="text1"/>
          <w:sz w:val="16"/>
          <w:szCs w:val="16"/>
        </w:rPr>
        <w:noBreakHyphen/>
        <w:t>мм гаубицы Б</w:t>
      </w:r>
      <w:r w:rsidRPr="00C33834">
        <w:rPr>
          <w:color w:val="000000" w:themeColor="text1"/>
          <w:sz w:val="16"/>
          <w:szCs w:val="16"/>
        </w:rPr>
        <w:noBreakHyphen/>
        <w:t>4, 152</w:t>
      </w:r>
      <w:r w:rsidRPr="00C33834">
        <w:rPr>
          <w:color w:val="000000" w:themeColor="text1"/>
          <w:sz w:val="16"/>
          <w:szCs w:val="16"/>
        </w:rPr>
        <w:noBreakHyphen/>
        <w:t>мм мортиры, комплексные пулеметные установки. Заданы для производства первых серий для войсковых испытаний: автоматическая винтовка, 122</w:t>
      </w:r>
      <w:r w:rsidRPr="00C33834">
        <w:rPr>
          <w:color w:val="000000" w:themeColor="text1"/>
          <w:sz w:val="16"/>
          <w:szCs w:val="16"/>
        </w:rPr>
        <w:noBreakHyphen/>
        <w:t>мм пушка, 152</w:t>
      </w:r>
      <w:r w:rsidRPr="00C33834">
        <w:rPr>
          <w:color w:val="000000" w:themeColor="text1"/>
          <w:sz w:val="16"/>
          <w:szCs w:val="16"/>
        </w:rPr>
        <w:noBreakHyphen/>
        <w:t>мм пушка Б</w:t>
      </w:r>
      <w:r w:rsidRPr="00C33834">
        <w:rPr>
          <w:color w:val="000000" w:themeColor="text1"/>
          <w:sz w:val="16"/>
          <w:szCs w:val="16"/>
        </w:rPr>
        <w:noBreakHyphen/>
        <w:t>10, 76</w:t>
      </w:r>
      <w:r w:rsidRPr="00C33834">
        <w:rPr>
          <w:color w:val="000000" w:themeColor="text1"/>
          <w:sz w:val="16"/>
          <w:szCs w:val="16"/>
        </w:rPr>
        <w:noBreakHyphen/>
        <w:t>мм танковая пушка, 7,62</w:t>
      </w:r>
      <w:r w:rsidRPr="00C33834">
        <w:rPr>
          <w:color w:val="000000" w:themeColor="text1"/>
          <w:sz w:val="16"/>
          <w:szCs w:val="16"/>
        </w:rPr>
        <w:noBreakHyphen/>
        <w:t>мм пулемет ШКАС¹* и 12,7</w:t>
      </w:r>
      <w:r w:rsidRPr="00C33834">
        <w:rPr>
          <w:color w:val="000000" w:themeColor="text1"/>
          <w:sz w:val="16"/>
          <w:szCs w:val="16"/>
        </w:rPr>
        <w:noBreakHyphen/>
        <w:t>мм пулемет ШВАК²*. Разработан и ставится на валовое производство ряд оригинальных конструкций орудий (типа Курчевского³*): 76</w:t>
      </w:r>
      <w:r w:rsidRPr="00C33834">
        <w:rPr>
          <w:color w:val="000000" w:themeColor="text1"/>
          <w:sz w:val="16"/>
          <w:szCs w:val="16"/>
        </w:rPr>
        <w:noBreakHyphen/>
        <w:t>мм ДРП, 76</w:t>
      </w:r>
      <w:r w:rsidRPr="00C33834">
        <w:rPr>
          <w:color w:val="000000" w:themeColor="text1"/>
          <w:sz w:val="16"/>
          <w:szCs w:val="16"/>
        </w:rPr>
        <w:noBreakHyphen/>
        <w:t>мм БПК, 76</w:t>
      </w:r>
      <w:r w:rsidRPr="00C33834">
        <w:rPr>
          <w:color w:val="000000" w:themeColor="text1"/>
          <w:sz w:val="16"/>
          <w:szCs w:val="16"/>
        </w:rPr>
        <w:noBreakHyphen/>
        <w:t>мм АПК, 76</w:t>
      </w:r>
      <w:r w:rsidRPr="00C33834">
        <w:rPr>
          <w:color w:val="000000" w:themeColor="text1"/>
          <w:sz w:val="16"/>
          <w:szCs w:val="16"/>
        </w:rPr>
        <w:noBreakHyphen/>
        <w:t>мм СПК, 37</w:t>
      </w:r>
      <w:r w:rsidRPr="00C33834">
        <w:rPr>
          <w:color w:val="000000" w:themeColor="text1"/>
          <w:sz w:val="16"/>
          <w:szCs w:val="16"/>
        </w:rPr>
        <w:noBreakHyphen/>
        <w:t>мм ружье «К». В результате работ по реализации действующей системы вооружения из числа предусмотренных этой системой 44 орудий выполнено 36 орудий и находятся: в периоде изготовления — 2 орудия, на испытании — 1 орудие и в проектировании — 5 орудий. Создана своя конструкторская база, обеспечивающая дальнейшее техническое развитие артиллерийского вооружения.</w:t>
      </w:r>
    </w:p>
    <w:p w14:paraId="4BF5DCB2"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Наряду с этими достижениями в области оснащения артиллерийским вооружением имеет место ряд крупнейших недочетов: 1) вследствие трудностей освоения новых образцов артвооружения, поступление их на вооружение РККА все еще не носит массового характера; 2) модернизация артиллерии в количественном отношении проведена недостаточно, особенно по пушкам; 3) оснащение вооружением новых родов войск отстало от оснащения их новыми боевыми машинами; 4) развитие огнеприпасов в количественном и качественном отношении отстало от развития артиллерийского вооружения (недостает снарядов увеличенной дальности, мало или почти нет специальных типов снарядов, авиабомб и винтпатронов, отстает развертывание массового производства новых современных типов взрывателей и трубок).</w:t>
      </w:r>
    </w:p>
    <w:p w14:paraId="32207101"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II. Развитие артиллерийского вооружения за границей</w:t>
      </w:r>
    </w:p>
    <w:p w14:paraId="219C1320"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Развитие артиллерийского вооружения за границей в настоящее время исходит как из опыта мировой войны, так и из мощного послевоенного развития танков и авиации. Усовершенствование материальной части в основном проводится по линии увеличения дальнобойности, скорострельности (особенно зенитной и противотанковой артиллерии), подвижности (перевод на мехтягу и введение самоходной артиллерии), гаубизации (путем введения уменьшенных зарядов) и повышения мощности отдельного выстрела (как по линии снарядов, трубок и взрывателей, так и по линии порохов и взрыввеществ).</w:t>
      </w:r>
    </w:p>
    <w:p w14:paraId="7B966B58"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В области стрелкового вооружения основное внимание обращено на усовершенствование автоматики (сверхскорострельные пулеметы) и на внедрение ее во все виды стрелкового вооружения (автоматическая винтовка).</w:t>
      </w:r>
    </w:p>
    <w:p w14:paraId="54A0FC10"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Перевооружение буржуазных армий новыми орудиями происходит различно в разных государствах. Крупные государства, по-видимому, не приступают к массовому перевооружению своих армий, исходя из возможностей дальнейшего развития новых образцов и рассчитывая на быстрое перевооружение армии в предмобилизационный период и в начале самой войны. Мелкие государства, как не имеющие развитого производства артвооружения, уже теперь выдают заказы на значительные партии новых орудий различным оружейным заводам.</w:t>
      </w:r>
    </w:p>
    <w:p w14:paraId="3EF2DDA2"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В технике артиллерийского производства осваиваются новейшие конструктивные усовершенствования, а именно: вводятся унифицированные лафеты (общий лафет для пушек и гаубиц одного вида артиллерии), автоматические затворы, лейнеры, автофреттаж, центробежное литье, тележки (вместо существующих боевых осей с колесами), лафеты с горизонтальным углом обстрела в 360° и т. п.</w:t>
      </w:r>
    </w:p>
    <w:p w14:paraId="062D784E"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По линии огнеприпасов разрабатываются реактивные снаряды (находятся в периоде опытных испытаний), вводятся нарезные снаряды, вводятся наконечники для повышения бронебойности, разрабатываются трассирующие снаряды не только для мелкокалиберной, но и для полевой артиллерии, вводятся механические трубки и взрыватели переменного действия до экстрачувствительных включительно и т. п.</w:t>
      </w:r>
    </w:p>
    <w:p w14:paraId="196D03C2"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III. Выводы о развитии артиллерийского вооружения по сравнению с заграницей</w:t>
      </w:r>
    </w:p>
    <w:p w14:paraId="0635DE88"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В количественном отношении оснащение артиллерийским вооружением хотя и резко возросло за истекшие годы, но насыщенность РККА орудиями все же значительно отстает от передовых заграничных армий.</w:t>
      </w:r>
    </w:p>
    <w:p w14:paraId="5BA6AB98"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lastRenderedPageBreak/>
        <w:t>В стрелковой дивизии имеется: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57"/>
        <w:gridCol w:w="3210"/>
        <w:gridCol w:w="3106"/>
        <w:gridCol w:w="1049"/>
      </w:tblGrid>
      <w:tr w:rsidR="00F26F01" w:rsidRPr="00C33834" w14:paraId="61E588A6" w14:textId="77777777" w:rsidTr="0091093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411DC28" w14:textId="77777777" w:rsidR="00FB1B8C" w:rsidRPr="00C33834" w:rsidRDefault="00FB1B8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C37C09F" w14:textId="77777777" w:rsidR="00FB1B8C" w:rsidRPr="00C33834" w:rsidRDefault="00FB1B8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Орудий</w:t>
            </w:r>
          </w:p>
        </w:tc>
      </w:tr>
      <w:tr w:rsidR="00F26F01" w:rsidRPr="00C33834" w14:paraId="2C1FDDCD" w14:textId="77777777" w:rsidTr="0091093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DB82FEE" w14:textId="77777777" w:rsidR="00FB1B8C" w:rsidRPr="00C33834" w:rsidRDefault="00FB1B8C"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139F51" w14:textId="77777777" w:rsidR="00FB1B8C" w:rsidRPr="00C33834" w:rsidRDefault="00FB1B8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Мелко</w:t>
            </w:r>
            <w:r w:rsidRPr="00C33834">
              <w:rPr>
                <w:rFonts w:ascii="Times New Roman" w:hAnsi="Times New Roman"/>
                <w:color w:val="000000" w:themeColor="text1"/>
                <w:sz w:val="16"/>
                <w:szCs w:val="16"/>
              </w:rPr>
              <w:softHyphen/>
              <w:t>калиберных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3C8CF" w14:textId="77777777" w:rsidR="00FB1B8C" w:rsidRPr="00C33834" w:rsidRDefault="00FB1B8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Среднего калибра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B73A2" w14:textId="77777777" w:rsidR="00FB1B8C" w:rsidRPr="00C33834" w:rsidRDefault="00FB1B8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r>
      <w:tr w:rsidR="00F26F01" w:rsidRPr="00C33834" w14:paraId="3B9EF03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8CD40B" w14:textId="77777777" w:rsidR="00FB1B8C" w:rsidRPr="00C33834" w:rsidRDefault="00FB1B8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РККА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F8A47" w14:textId="77777777" w:rsidR="00FB1B8C" w:rsidRPr="00C33834" w:rsidRDefault="00FB1B8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8AF4B" w14:textId="77777777" w:rsidR="00FB1B8C" w:rsidRPr="00C33834" w:rsidRDefault="00FB1B8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9A07E" w14:textId="77777777" w:rsidR="00FB1B8C" w:rsidRPr="00C33834" w:rsidRDefault="00FB1B8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56⁵*</w:t>
            </w:r>
          </w:p>
        </w:tc>
      </w:tr>
      <w:tr w:rsidR="00F26F01" w:rsidRPr="00C33834" w14:paraId="2D861F5D"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72644A" w14:textId="77777777" w:rsidR="00FB1B8C" w:rsidRPr="00C33834" w:rsidRDefault="00FB1B8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американской армии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E63D1" w14:textId="77777777" w:rsidR="00FB1B8C" w:rsidRPr="00C33834" w:rsidRDefault="00FB1B8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82935" w14:textId="77777777" w:rsidR="00FB1B8C" w:rsidRPr="00C33834" w:rsidRDefault="00FB1B8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1BFC0" w14:textId="77777777" w:rsidR="00FB1B8C" w:rsidRPr="00C33834" w:rsidRDefault="00FB1B8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146</w:t>
            </w:r>
          </w:p>
        </w:tc>
      </w:tr>
      <w:tr w:rsidR="00F26F01" w:rsidRPr="00C33834" w14:paraId="1F599AE0"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6DFADF" w14:textId="77777777" w:rsidR="00FB1B8C" w:rsidRPr="00C33834" w:rsidRDefault="00FB1B8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французской армии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DE672" w14:textId="77777777" w:rsidR="00FB1B8C" w:rsidRPr="00C33834" w:rsidRDefault="00FB1B8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E8E6A" w14:textId="77777777" w:rsidR="00FB1B8C" w:rsidRPr="00C33834" w:rsidRDefault="00FB1B8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A3AAB" w14:textId="77777777" w:rsidR="00FB1B8C" w:rsidRPr="00C33834" w:rsidRDefault="00FB1B8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87</w:t>
            </w:r>
          </w:p>
        </w:tc>
      </w:tr>
      <w:tr w:rsidR="00F26F01" w:rsidRPr="00C33834" w14:paraId="11FEF7DF"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973474" w14:textId="77777777" w:rsidR="00FB1B8C" w:rsidRPr="00C33834" w:rsidRDefault="00FB1B8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японской армии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2C41F02" w14:textId="77777777" w:rsidR="00FB1B8C" w:rsidRPr="00C33834" w:rsidRDefault="00FB1B8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6538A" w14:textId="77777777" w:rsidR="00FB1B8C" w:rsidRPr="00C33834" w:rsidRDefault="00FB1B8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F975E" w14:textId="77777777" w:rsidR="00FB1B8C" w:rsidRPr="00C33834" w:rsidRDefault="00FB1B8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w:t>
            </w:r>
          </w:p>
        </w:tc>
      </w:tr>
      <w:tr w:rsidR="00F26F01" w:rsidRPr="00C33834" w14:paraId="295D9CA7"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77F043" w14:textId="77777777" w:rsidR="00FB1B8C" w:rsidRPr="00C33834" w:rsidRDefault="00FB1B8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польской армии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93AC3" w14:textId="77777777" w:rsidR="00FB1B8C" w:rsidRPr="00C33834" w:rsidRDefault="00FB1B8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057ED" w14:textId="77777777" w:rsidR="00FB1B8C" w:rsidRPr="00C33834" w:rsidRDefault="00FB1B8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A207F" w14:textId="77777777" w:rsidR="00FB1B8C" w:rsidRPr="00C33834" w:rsidRDefault="00FB1B8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w:t>
            </w:r>
          </w:p>
        </w:tc>
      </w:tr>
    </w:tbl>
    <w:p w14:paraId="074F7788"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В отношении качественного развития артиллерийского вооружения наши работы по новым системам стоят на уровне современных образцов иностранных армий. Недостаточное развитие техники артиллерийского производства затрудняет разработку наиболее совершенных артиллерийских систем. Разработка новых образцов вооружения особенно отстает по авиационным автоматическим пушкам, по дивизионной артиллерии, по мортирам, по самоходной артиллерии, а также и по боеприпасам.</w:t>
      </w:r>
    </w:p>
    <w:p w14:paraId="0EA94D1D"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IV. Задачи на вторую пятилетку</w:t>
      </w:r>
    </w:p>
    <w:p w14:paraId="10000790"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Развитие артиллерийского вооружения во второй пятилетке должно отвечать тем новым задачам, которые поставлены перед артиллерией всем ходом развития военной техники и, главным образом, развитием авиации, танков и средств инженерной обороны. Система артиллерийского вооружения во второй пятилетке должна разрешить следующие основные задачи:</w:t>
      </w:r>
    </w:p>
    <w:p w14:paraId="6C2ED15D"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1. Оснастить авиацию и танки современным вооружением (пушками, пулеметами, огнеприпасами), полностью использующим все тактические возможности машин.</w:t>
      </w:r>
    </w:p>
    <w:p w14:paraId="5B22C383"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2. Обеспечить мото-мехвойска и танковые части специальной самоходной артиллерией.</w:t>
      </w:r>
    </w:p>
    <w:p w14:paraId="5FB353A0"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3. Решить задачи ПВО и ПТО как для войск, так и для ближайшего и дальнего тыла.</w:t>
      </w:r>
    </w:p>
    <w:p w14:paraId="7D9C158F"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4. Приступить к практическому перевооружению войсковой артиллерии новыми образцами.</w:t>
      </w:r>
    </w:p>
    <w:p w14:paraId="67F4197D"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5. Форсировать качественное и количественное развитие АРГК.</w:t>
      </w:r>
    </w:p>
    <w:p w14:paraId="1A82CB12"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6. Разрешить практически проблему нарезных снарядов.</w:t>
      </w:r>
    </w:p>
    <w:p w14:paraId="26B53247"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7. Увеличить живучесть орудий, в частности, широко внедрить лейнирование и применение свободных труб.</w:t>
      </w:r>
    </w:p>
    <w:p w14:paraId="1056A53D"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8. Внедрить стандартизацию и унификацию во вновь вводимые образцы вооружения (в частности — общие лафеты для пушек, гаубиц и мортир, соответственно: 76 мм, 122 мм и 152 мм; 122 мм, 152 мм и 203 мм; 152 мм, 203 мм и 305 мм).</w:t>
      </w:r>
    </w:p>
    <w:p w14:paraId="670DC7A9"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9. Внедрить в армию автоматическую винтовку.</w:t>
      </w:r>
    </w:p>
    <w:p w14:paraId="16B18892"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10. Снабдить новые артиллерийские средства современными огнеприпасами, обеспечивающими решение всех специальных задач (бронебойность, бетонобойность, стрельба в зенит, действия: зажигательное, осветительное, дымовое, химическое и осколочно-химическое).</w:t>
      </w:r>
    </w:p>
    <w:p w14:paraId="33D10B47"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В соответствии с этими задачами Реввоенсоветом СССР разработана система артиллерийского вооружения РККА на вторую пятилетку, включенная в прилагаемый проект постановления КО. Эта система учитывает все те новые образцы вооружения, которые были разработаны в процессе реализации первой системы вооружения и удовлетворяют современным требованиям. С другой стороны, новая система вооружения предусматривает дальнейшее усовершенствование артиллерийского вооружения на базе предстоящего развития нашей промышленности.</w:t>
      </w:r>
    </w:p>
    <w:p w14:paraId="75AA6C25"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Новая система вооружения предусматривает 26 орудий, включая дивизионную и корпусную артиллерию, каждая на своем общем лафете с тремя стволами. Сокращено против действующей системы 18 типов орудий. Однако вооружение авиации и мото-мехвойск дает новых 8 систем, ранее в системе вооружения отсутствовавших.</w:t>
      </w:r>
    </w:p>
    <w:p w14:paraId="2603C0FA"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Представляемая система артиллерийского вооружения не обнимает всех задач, выдвигаемых по линии развития артиллерийской техники, почему в области научно-исследовательских и изобретательских работ должен быть решен ряд проблем в отношении: 1) экстрадальней стрельбы; 2) полигональных орудий с точки зрения универсальности орудий и повышения мощности выстрела; 3) новых типов снарядов и авиабомб; 4) новых видов более мощных взрыввеществ и более совершенных порохов.</w:t>
      </w:r>
    </w:p>
    <w:p w14:paraId="790F0245"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V. Предложения</w:t>
      </w:r>
    </w:p>
    <w:p w14:paraId="4FD70DE5"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Представляя на рассмотрение КО проект постановления КО, включающий: 1) систему артиллерийского вооружения на вторую пятилетку; 2) сроки ввода на вооружение и внедрения в массовое производство новых образцов вооружения; 3) перечень основных задач для дальнейших научно-исследовательских и изобретательских работ; прошу утвердить прилагаемый проект постановления.</w:t>
      </w:r>
    </w:p>
    <w:p w14:paraId="083CFBB6" w14:textId="77777777" w:rsidR="00FB1B8C" w:rsidRPr="00C33834" w:rsidRDefault="00FB1B8C" w:rsidP="00C33834">
      <w:pPr>
        <w:pStyle w:val="rtejustify"/>
        <w:spacing w:before="0" w:after="0"/>
        <w:rPr>
          <w:color w:val="000000" w:themeColor="text1"/>
          <w:sz w:val="16"/>
          <w:szCs w:val="16"/>
        </w:rPr>
      </w:pPr>
      <w:r w:rsidRPr="00C33834">
        <w:rPr>
          <w:rStyle w:val="af0"/>
          <w:i w:val="0"/>
          <w:color w:val="000000" w:themeColor="text1"/>
          <w:sz w:val="16"/>
          <w:szCs w:val="16"/>
        </w:rPr>
        <w:t>Приложение</w:t>
      </w:r>
      <w:r w:rsidRPr="00C33834">
        <w:rPr>
          <w:color w:val="000000" w:themeColor="text1"/>
          <w:sz w:val="16"/>
          <w:szCs w:val="16"/>
        </w:rPr>
        <w:t>: проект постановления КО⁶*.</w:t>
      </w:r>
    </w:p>
    <w:p w14:paraId="26912FB7" w14:textId="77777777" w:rsidR="00FB1B8C" w:rsidRPr="00C33834" w:rsidRDefault="00FB1B8C" w:rsidP="00C33834">
      <w:pPr>
        <w:pStyle w:val="ae"/>
        <w:spacing w:before="0" w:after="0"/>
        <w:jc w:val="both"/>
        <w:rPr>
          <w:color w:val="000000" w:themeColor="text1"/>
          <w:sz w:val="16"/>
          <w:szCs w:val="16"/>
        </w:rPr>
      </w:pPr>
      <w:r w:rsidRPr="00C33834">
        <w:rPr>
          <w:rStyle w:val="af0"/>
          <w:i w:val="0"/>
          <w:color w:val="000000" w:themeColor="text1"/>
          <w:sz w:val="16"/>
          <w:szCs w:val="16"/>
        </w:rPr>
        <w:t>Народный комиссар по военным и морским делам и председатель РВС СССР Ворошилов</w:t>
      </w:r>
    </w:p>
    <w:p w14:paraId="2AE0349B" w14:textId="77777777" w:rsidR="00FB1B8C" w:rsidRPr="00C33834" w:rsidRDefault="00FB1B8C"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Примечания</w:t>
      </w:r>
      <w:r w:rsidRPr="00C33834">
        <w:rPr>
          <w:color w:val="000000" w:themeColor="text1"/>
          <w:sz w:val="16"/>
          <w:szCs w:val="16"/>
        </w:rPr>
        <w:t>:</w:t>
      </w:r>
    </w:p>
    <w:p w14:paraId="764EEFD4"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¹* </w:t>
      </w:r>
      <w:r w:rsidRPr="00C33834">
        <w:rPr>
          <w:rStyle w:val="af0"/>
          <w:bCs/>
          <w:i w:val="0"/>
          <w:color w:val="000000" w:themeColor="text1"/>
          <w:sz w:val="16"/>
          <w:szCs w:val="16"/>
        </w:rPr>
        <w:t>Пулемет ШКАС (Шпитальный-Комарицкий авиационный скорострельный)</w:t>
      </w:r>
      <w:r w:rsidRPr="00C33834">
        <w:rPr>
          <w:color w:val="000000" w:themeColor="text1"/>
          <w:sz w:val="16"/>
          <w:szCs w:val="16"/>
        </w:rPr>
        <w:t xml:space="preserve"> был создан в 1930 г. Пулемет по скорострельности значительно превосходил все известные образцы авиационного стрелкового оружия. 11 октября 1932 г. Реввоенсовет СССР принял постановление о постановке пулемета на вооружение под наименованием «7,62</w:t>
      </w:r>
      <w:r w:rsidRPr="00C33834">
        <w:rPr>
          <w:color w:val="000000" w:themeColor="text1"/>
          <w:sz w:val="16"/>
          <w:szCs w:val="16"/>
        </w:rPr>
        <w:noBreakHyphen/>
        <w:t>мм авиационный скорострельный пулемет системы Шпитального-Комарицкого образца 1932 г.». Однако работы по массовому выпуску ШКАС на Тульском оружейном заводе шли с большим трудом. Согласно справке Особого отдела ОГПУ от 15 февраля 1934 г. в первом полугодии 1933 г. было изготовлено всего 75 пулеметов, причем, только 13 из них измененной конструкции и удовлетворительного качества. Причиной плохого качества пулеметов была названа недоброкачественная сталь. За 1933 г. из опытной партии в 500 пулеметов ШКАС ТОЗом было сдано военной приемке 374 шт., а из валового заказа в 1 тыс. пулеметов военной приемкой принято 165 шт. По сведениям, изложенным в докладной записке членов Комиссии партийного контроля в Комиссию обороны от 10 ноября 1935 г., бывшими работниками конструкторского бюро Шпитального квалифицированным рабочим Савиным и чертежником-конструктором Норовым была разработана новая модификация пулемета. Новая конструкция пулемета давала темп свыше 3 тыс. выстрелов в минуту. Была также значительно упрощена общая конструкция. ШКАС имел 138 деталей, новый пулемет Савина и Норова — 76. Это позволило освоить его с исключительной быстротой: на производство первых трех образцов нового пулемета на Тульском заводе потребовалось всего полтора месяца (28 сентября-15 ноября 1935 г.). Комиссией партийного контроля пулемет Савина, Норова был рекомендован к освоению в серийном производстве, и к окончательному испытанию в 1</w:t>
      </w:r>
      <w:r w:rsidRPr="00C33834">
        <w:rPr>
          <w:color w:val="000000" w:themeColor="text1"/>
          <w:sz w:val="16"/>
          <w:szCs w:val="16"/>
        </w:rPr>
        <w:noBreakHyphen/>
        <w:t>м полугодии 1936 г.». Впоследствии работы по усовершенствованию пулемета ШКАС продолжались, и на протяжении 1933</w:t>
      </w:r>
      <w:r w:rsidRPr="00C33834">
        <w:rPr>
          <w:color w:val="000000" w:themeColor="text1"/>
          <w:sz w:val="16"/>
          <w:szCs w:val="16"/>
        </w:rPr>
        <w:noBreakHyphen/>
        <w:t>1937 гг. были разработаны механическая спарка пулеметов ШКАС, модификация ультра ШКАС, турельный и крыльевой варианты пулемета. К 1936 г. пулеметы системы ШКАС заняли главенствующее положение в системе вооружения советской авиации. (ГАРФ. Ф. Р</w:t>
      </w:r>
      <w:r w:rsidRPr="00C33834">
        <w:rPr>
          <w:color w:val="000000" w:themeColor="text1"/>
          <w:sz w:val="16"/>
          <w:szCs w:val="16"/>
        </w:rPr>
        <w:noBreakHyphen/>
        <w:t>8418. Оп. 9. Д. 29. Л. 61</w:t>
      </w:r>
      <w:r w:rsidRPr="00C33834">
        <w:rPr>
          <w:color w:val="000000" w:themeColor="text1"/>
          <w:sz w:val="16"/>
          <w:szCs w:val="16"/>
        </w:rPr>
        <w:noBreakHyphen/>
        <w:t>64; АП РФ. Ф. 3. Оп. 46. Д. 336. Л. 126</w:t>
      </w:r>
      <w:r w:rsidRPr="00C33834">
        <w:rPr>
          <w:color w:val="000000" w:themeColor="text1"/>
          <w:sz w:val="16"/>
          <w:szCs w:val="16"/>
        </w:rPr>
        <w:noBreakHyphen/>
        <w:t>129).</w:t>
      </w:r>
    </w:p>
    <w:p w14:paraId="4D5389D5"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²* </w:t>
      </w:r>
      <w:r w:rsidRPr="00C33834">
        <w:rPr>
          <w:rStyle w:val="af0"/>
          <w:bCs/>
          <w:i w:val="0"/>
          <w:color w:val="000000" w:themeColor="text1"/>
          <w:sz w:val="16"/>
          <w:szCs w:val="16"/>
        </w:rPr>
        <w:t>ШВАК (Шпиталъный-Владимиров авиационный крупнокалиберный) </w:t>
      </w:r>
      <w:r w:rsidRPr="00C33834">
        <w:rPr>
          <w:color w:val="000000" w:themeColor="text1"/>
          <w:sz w:val="16"/>
          <w:szCs w:val="16"/>
        </w:rPr>
        <w:t>— первый советский крупнокалиберный авиационный пулемет. Был принят на вооружение под названием 12,7</w:t>
      </w:r>
      <w:r w:rsidRPr="00C33834">
        <w:rPr>
          <w:color w:val="000000" w:themeColor="text1"/>
          <w:sz w:val="16"/>
          <w:szCs w:val="16"/>
        </w:rPr>
        <w:noBreakHyphen/>
        <w:t>мм авиационный пулемет системы Шпитального и Владимирова. 9 февраля 1931 г. СТО принял постановление о разработке крупнокалиберного авиационного пулемета калибра 12,7 мм под патрон 12,7</w:t>
      </w:r>
      <w:r w:rsidRPr="00C33834">
        <w:rPr>
          <w:color w:val="000000" w:themeColor="text1"/>
          <w:sz w:val="16"/>
          <w:szCs w:val="16"/>
        </w:rPr>
        <w:noBreakHyphen/>
        <w:t>мм армейского пулемета ДК (Дегтярев крупнокалиберный). Такой пулемет был спроектирован С. В. Владимировым, конструктором пулеметного КБ в Туле. Патроны 12,7</w:t>
      </w:r>
      <w:r w:rsidRPr="00C33834">
        <w:rPr>
          <w:color w:val="000000" w:themeColor="text1"/>
          <w:sz w:val="16"/>
          <w:szCs w:val="16"/>
        </w:rPr>
        <w:noBreakHyphen/>
        <w:t>мм ШВАК производились с теми же типами пуль, что и 12,7</w:t>
      </w:r>
      <w:r w:rsidRPr="00C33834">
        <w:rPr>
          <w:color w:val="000000" w:themeColor="text1"/>
          <w:sz w:val="16"/>
          <w:szCs w:val="16"/>
        </w:rPr>
        <w:noBreakHyphen/>
        <w:t>мм патроны ДК. Пулемет ШВАК изготавливался в крыльевом, турельном, синхронном и моторном вариантах. Он оказался довольно эффективным оружием, однако, имел ряд недостатков. Главными из них были: большая сложность устройства отдельных узлов, что создавало проблемы при разборке и сборке. Своеобразие конструкции пулемета весьма усложнило его производство. В 1935</w:t>
      </w:r>
      <w:r w:rsidRPr="00C33834">
        <w:rPr>
          <w:color w:val="000000" w:themeColor="text1"/>
          <w:sz w:val="16"/>
          <w:szCs w:val="16"/>
        </w:rPr>
        <w:noBreakHyphen/>
        <w:t>1936 гг. на базе 12,7</w:t>
      </w:r>
      <w:r w:rsidRPr="00C33834">
        <w:rPr>
          <w:color w:val="000000" w:themeColor="text1"/>
          <w:sz w:val="16"/>
          <w:szCs w:val="16"/>
        </w:rPr>
        <w:noBreakHyphen/>
        <w:t>мм пулемета ШВАК была создана 20</w:t>
      </w:r>
      <w:r w:rsidRPr="00C33834">
        <w:rPr>
          <w:color w:val="000000" w:themeColor="text1"/>
          <w:sz w:val="16"/>
          <w:szCs w:val="16"/>
        </w:rPr>
        <w:noBreakHyphen/>
        <w:t>мм пушка ШВАК, запущенная в серийное производство в 1936 г. Через несколько месяцев после этого 12,7</w:t>
      </w:r>
      <w:r w:rsidRPr="00C33834">
        <w:rPr>
          <w:color w:val="000000" w:themeColor="text1"/>
          <w:sz w:val="16"/>
          <w:szCs w:val="16"/>
        </w:rPr>
        <w:noBreakHyphen/>
        <w:t>мм пулемет ШВАК был снят с производства.</w:t>
      </w:r>
    </w:p>
    <w:p w14:paraId="18DB86EC"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³* Советским конструктором Л. В. Курчевским в 30</w:t>
      </w:r>
      <w:r w:rsidRPr="00C33834">
        <w:rPr>
          <w:color w:val="000000" w:themeColor="text1"/>
          <w:sz w:val="16"/>
          <w:szCs w:val="16"/>
        </w:rPr>
        <w:noBreakHyphen/>
        <w:t>е годы было создано несколько десятков образцов безоткатных или динамо-реактивных пушек (ДРП) Курчевского и ружей Курчевского (37</w:t>
      </w:r>
      <w:r w:rsidRPr="00C33834">
        <w:rPr>
          <w:color w:val="000000" w:themeColor="text1"/>
          <w:sz w:val="16"/>
          <w:szCs w:val="16"/>
        </w:rPr>
        <w:noBreakHyphen/>
        <w:t>мм ”К”). Пушки Курчевского были буквально всех калибров — 37</w:t>
      </w:r>
      <w:r w:rsidRPr="00C33834">
        <w:rPr>
          <w:color w:val="000000" w:themeColor="text1"/>
          <w:sz w:val="16"/>
          <w:szCs w:val="16"/>
        </w:rPr>
        <w:noBreakHyphen/>
        <w:t>мм, 65</w:t>
      </w:r>
      <w:r w:rsidRPr="00C33834">
        <w:rPr>
          <w:color w:val="000000" w:themeColor="text1"/>
          <w:sz w:val="16"/>
          <w:szCs w:val="16"/>
        </w:rPr>
        <w:noBreakHyphen/>
        <w:t>мм, 76</w:t>
      </w:r>
      <w:r w:rsidRPr="00C33834">
        <w:rPr>
          <w:color w:val="000000" w:themeColor="text1"/>
          <w:sz w:val="16"/>
          <w:szCs w:val="16"/>
        </w:rPr>
        <w:noBreakHyphen/>
        <w:t>мм, 100</w:t>
      </w:r>
      <w:r w:rsidRPr="00C33834">
        <w:rPr>
          <w:color w:val="000000" w:themeColor="text1"/>
          <w:sz w:val="16"/>
          <w:szCs w:val="16"/>
        </w:rPr>
        <w:noBreakHyphen/>
        <w:t>мм, 152</w:t>
      </w:r>
      <w:r w:rsidRPr="00C33834">
        <w:rPr>
          <w:color w:val="000000" w:themeColor="text1"/>
          <w:sz w:val="16"/>
          <w:szCs w:val="16"/>
        </w:rPr>
        <w:noBreakHyphen/>
        <w:t>мм, 305</w:t>
      </w:r>
      <w:r w:rsidRPr="00C33834">
        <w:rPr>
          <w:color w:val="000000" w:themeColor="text1"/>
          <w:sz w:val="16"/>
          <w:szCs w:val="16"/>
        </w:rPr>
        <w:noBreakHyphen/>
        <w:t>мм и 500</w:t>
      </w:r>
      <w:r w:rsidRPr="00C33834">
        <w:rPr>
          <w:color w:val="000000" w:themeColor="text1"/>
          <w:sz w:val="16"/>
          <w:szCs w:val="16"/>
        </w:rPr>
        <w:noBreakHyphen/>
        <w:t>мм и их предполагалось использовать в качестве полевых, горных, самоходных, танковых, авиационных и корабельных орудий. Л. В. Курчевский не был изобретателем безоткатных пушек, он принял для своих разработок уже известный принцип безоткатных орудий и взял схему с нагруженным нарезным стволом, которая имела принципиальные недостатки. В 1932</w:t>
      </w:r>
      <w:r w:rsidRPr="00C33834">
        <w:rPr>
          <w:color w:val="000000" w:themeColor="text1"/>
          <w:sz w:val="16"/>
          <w:szCs w:val="16"/>
        </w:rPr>
        <w:noBreakHyphen/>
        <w:t>1933 гг. было изготовлено около тридцати ружей “К” ММ, которые использовались в войсках для учебных целей. В конце 1932 г. было спроектировано ружье “К” БМ, а в октябре 1933 г. оно прошло войсковые испытания в Московской Пролетарской стрелковой дивизии. Валовое производство ружей “К” было начато в 1932 г. на заводе № 8. В 1935 г. в КБ завода № 8 была произведена первая модернизация 37</w:t>
      </w:r>
      <w:r w:rsidRPr="00C33834">
        <w:rPr>
          <w:color w:val="000000" w:themeColor="text1"/>
          <w:sz w:val="16"/>
          <w:szCs w:val="16"/>
        </w:rPr>
        <w:noBreakHyphen/>
        <w:t>мм ружья “К” БМ. В 1937</w:t>
      </w:r>
      <w:r w:rsidRPr="00C33834">
        <w:rPr>
          <w:color w:val="000000" w:themeColor="text1"/>
          <w:sz w:val="16"/>
          <w:szCs w:val="16"/>
        </w:rPr>
        <w:noBreakHyphen/>
        <w:t>1938 гг. конструкторы завода № 8 провели коренную модернизацию 37</w:t>
      </w:r>
      <w:r w:rsidRPr="00C33834">
        <w:rPr>
          <w:color w:val="000000" w:themeColor="text1"/>
          <w:sz w:val="16"/>
          <w:szCs w:val="16"/>
        </w:rPr>
        <w:noBreakHyphen/>
        <w:t>мм РК БМ, получившего новое название «37</w:t>
      </w:r>
      <w:r w:rsidRPr="00C33834">
        <w:rPr>
          <w:color w:val="000000" w:themeColor="text1"/>
          <w:sz w:val="16"/>
          <w:szCs w:val="16"/>
        </w:rPr>
        <w:noBreakHyphen/>
        <w:t>мм пушка ДР завода № 8». Букву “К” (Курчевский) не упоминали, так как в 1937 г. Курчевский был арестован. Неудобство при стрельбе и транспортировке, малая скорострельность, частые отказы и, наконец, неудовлетворительная бронепробиваемость привели к тому, что уже в 1935</w:t>
      </w:r>
      <w:r w:rsidRPr="00C33834">
        <w:rPr>
          <w:color w:val="000000" w:themeColor="text1"/>
          <w:sz w:val="16"/>
          <w:szCs w:val="16"/>
        </w:rPr>
        <w:noBreakHyphen/>
        <w:t>1936 гг. ружья “К” БМ были сняты с вооружения Красной армии. 76</w:t>
      </w:r>
      <w:r w:rsidRPr="00C33834">
        <w:rPr>
          <w:color w:val="000000" w:themeColor="text1"/>
          <w:sz w:val="16"/>
          <w:szCs w:val="16"/>
        </w:rPr>
        <w:noBreakHyphen/>
        <w:t>мм батальонные пушки Курчевского (БПК) также имели ряд недостатков. Их бронепробиваемость была в 2 с лишним раза хуже, поэтому для борьбы с танками они были фактически бесполезны. 76</w:t>
      </w:r>
      <w:r w:rsidRPr="00C33834">
        <w:rPr>
          <w:color w:val="000000" w:themeColor="text1"/>
          <w:sz w:val="16"/>
          <w:szCs w:val="16"/>
        </w:rPr>
        <w:noBreakHyphen/>
        <w:t>мм авиационная пушка Курчевского (АПК</w:t>
      </w:r>
      <w:r w:rsidRPr="00C33834">
        <w:rPr>
          <w:color w:val="000000" w:themeColor="text1"/>
          <w:sz w:val="16"/>
          <w:szCs w:val="16"/>
        </w:rPr>
        <w:noBreakHyphen/>
        <w:t>4), принятая на вооружение НКО как основной и решающий образец для вооружения пушечных самолетов, была в числе других систем Курчевского поставлена на массовое производство в 1934 г. на заводе № 7, однако, уже в начале 1936 г. стало ясно, что эта пушка небоеспособна. Вместо пушки Курчевского предлагалось взять на вооружение 20</w:t>
      </w:r>
      <w:r w:rsidRPr="00C33834">
        <w:rPr>
          <w:color w:val="000000" w:themeColor="text1"/>
          <w:sz w:val="16"/>
          <w:szCs w:val="16"/>
        </w:rPr>
        <w:noBreakHyphen/>
        <w:t>мм автоматическую пушку Шпитального. (АП РФ. Ф. 3. Оп. 46. Д. 337. Л. 53</w:t>
      </w:r>
      <w:r w:rsidRPr="00C33834">
        <w:rPr>
          <w:color w:val="000000" w:themeColor="text1"/>
          <w:sz w:val="16"/>
          <w:szCs w:val="16"/>
        </w:rPr>
        <w:noBreakHyphen/>
        <w:t>56; РГАЭ. Ф. 7297. Оп. 38. Д. 246. Л. 192</w:t>
      </w:r>
      <w:r w:rsidRPr="00C33834">
        <w:rPr>
          <w:color w:val="000000" w:themeColor="text1"/>
          <w:sz w:val="16"/>
          <w:szCs w:val="16"/>
        </w:rPr>
        <w:noBreakHyphen/>
        <w:t>195)</w:t>
      </w:r>
    </w:p>
    <w:p w14:paraId="38D3DDB5"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⁴* Штатная норма 34 орудия не обеспечена (</w:t>
      </w:r>
      <w:r w:rsidRPr="00C33834">
        <w:rPr>
          <w:rStyle w:val="af0"/>
          <w:i w:val="0"/>
          <w:color w:val="000000" w:themeColor="text1"/>
          <w:sz w:val="16"/>
          <w:szCs w:val="16"/>
        </w:rPr>
        <w:t>Прим. док</w:t>
      </w:r>
      <w:r w:rsidRPr="00C33834">
        <w:rPr>
          <w:color w:val="000000" w:themeColor="text1"/>
          <w:sz w:val="16"/>
          <w:szCs w:val="16"/>
        </w:rPr>
        <w:t>.).</w:t>
      </w:r>
    </w:p>
    <w:p w14:paraId="32ED37A8"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lastRenderedPageBreak/>
        <w:t>⁵* Рядом вписаны от руки цифры: 66 и 82.</w:t>
      </w:r>
    </w:p>
    <w:p w14:paraId="517CE5C5" w14:textId="77777777" w:rsidR="00FB1B8C" w:rsidRPr="00C33834" w:rsidRDefault="00FB1B8C" w:rsidP="00C33834">
      <w:pPr>
        <w:pStyle w:val="rtejustify"/>
        <w:spacing w:before="0" w:after="0"/>
        <w:rPr>
          <w:color w:val="000000" w:themeColor="text1"/>
          <w:sz w:val="16"/>
          <w:szCs w:val="16"/>
        </w:rPr>
      </w:pPr>
      <w:r w:rsidRPr="00C33834">
        <w:rPr>
          <w:color w:val="000000" w:themeColor="text1"/>
          <w:sz w:val="16"/>
          <w:szCs w:val="16"/>
        </w:rPr>
        <w:t>⁶* Приложение не публикуется. Принятое постановление см. документ № 45.</w:t>
      </w:r>
    </w:p>
    <w:p w14:paraId="3F87AA2E" w14:textId="77777777" w:rsidR="00FB1B8C" w:rsidRPr="00C33834" w:rsidRDefault="00FB1B8C" w:rsidP="00C33834">
      <w:pPr>
        <w:pStyle w:val="ae"/>
        <w:spacing w:before="0" w:after="0"/>
        <w:jc w:val="both"/>
        <w:rPr>
          <w:color w:val="000000" w:themeColor="text1"/>
          <w:sz w:val="16"/>
          <w:szCs w:val="16"/>
        </w:rPr>
      </w:pPr>
      <w:r w:rsidRPr="00C33834">
        <w:rPr>
          <w:color w:val="000000" w:themeColor="text1"/>
          <w:sz w:val="16"/>
          <w:szCs w:val="16"/>
        </w:rPr>
        <w:t>ГА РФ. Ф. Р-8418. Оп. 9. Д. 15. Л. 65-71. Подлинник (15276).</w:t>
      </w:r>
    </w:p>
    <w:p w14:paraId="52988AF7" w14:textId="77777777" w:rsidR="00FB1B8C" w:rsidRPr="00C33834" w:rsidRDefault="00FB1B8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11800EB" w14:textId="77777777" w:rsidR="00F722E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50E81362" w14:textId="77777777" w:rsidR="00F722EC" w:rsidRPr="00C33834" w:rsidRDefault="00F722E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23C7289" w14:textId="77777777" w:rsidR="00F722EC" w:rsidRPr="00C33834" w:rsidRDefault="00F722EC" w:rsidP="00C33834">
      <w:pPr>
        <w:spacing w:after="0" w:line="240" w:lineRule="auto"/>
        <w:jc w:val="both"/>
        <w:rPr>
          <w:rStyle w:val="ucoz-forum-post"/>
          <w:rFonts w:ascii="Times New Roman" w:hAnsi="Times New Roman"/>
          <w:color w:val="000000" w:themeColor="text1"/>
          <w:sz w:val="16"/>
          <w:szCs w:val="16"/>
        </w:rPr>
      </w:pPr>
      <w:r w:rsidRPr="00C33834">
        <w:rPr>
          <w:rStyle w:val="ucoz-forum-post"/>
          <w:rFonts w:ascii="Times New Roman" w:hAnsi="Times New Roman"/>
          <w:color w:val="000000" w:themeColor="text1"/>
          <w:sz w:val="16"/>
          <w:szCs w:val="16"/>
        </w:rPr>
        <w:t>10 августа 1933 года пароход, провожаемый тысячной толпой, отошел от набережной Мурманска. «Челюскин» должен был повторить подвиг «Сибирякова», впервые в истории мореплавания прошедшего за одну летнюю навигацию из Белого моря в Тихий океан. Он должен был стать проверкой проходимости Северного морского пути не только ледоколами, но и транспортными кораблями. Возглавил экспедицию знаменитый полярный исследователь Отто Юльевич Шмидт.</w:t>
      </w:r>
    </w:p>
    <w:p w14:paraId="1402ED1B" w14:textId="77777777" w:rsidR="00F722EC" w:rsidRPr="00C33834" w:rsidRDefault="00F722EC" w:rsidP="00C33834">
      <w:pPr>
        <w:spacing w:after="0" w:line="240" w:lineRule="auto"/>
        <w:jc w:val="both"/>
        <w:rPr>
          <w:rStyle w:val="ucoz-forum-post"/>
          <w:rFonts w:ascii="Times New Roman" w:hAnsi="Times New Roman"/>
          <w:color w:val="000000" w:themeColor="text1"/>
          <w:sz w:val="16"/>
          <w:szCs w:val="16"/>
        </w:rPr>
      </w:pPr>
      <w:r w:rsidRPr="00C33834">
        <w:rPr>
          <w:rStyle w:val="ucoz-forum-post"/>
          <w:rFonts w:ascii="Times New Roman" w:hAnsi="Times New Roman"/>
          <w:color w:val="000000" w:themeColor="text1"/>
          <w:sz w:val="16"/>
          <w:szCs w:val="16"/>
        </w:rPr>
        <w:t>Поначалу плавание шло успешно. Пароход прошел весь маршрут, вошел в Берингов пролив и 7 ноября дал в Москву приветственную радиограмму. Но в проливе началось движение льдов в обратную сторону, и «Челюскин» снова оказался в Чукотском море. Получив повреждения, пароход вмерз в большую льдину и несколько месяцев дрейфовал с ней.</w:t>
      </w:r>
    </w:p>
    <w:p w14:paraId="4F4ED7AF" w14:textId="77777777" w:rsidR="00F722EC" w:rsidRPr="00C33834" w:rsidRDefault="00F722EC" w:rsidP="00C33834">
      <w:pPr>
        <w:spacing w:after="0" w:line="240" w:lineRule="auto"/>
        <w:jc w:val="both"/>
        <w:rPr>
          <w:rStyle w:val="ucoz-forum-post"/>
          <w:rFonts w:ascii="Times New Roman" w:hAnsi="Times New Roman"/>
          <w:color w:val="000000" w:themeColor="text1"/>
          <w:sz w:val="16"/>
          <w:szCs w:val="16"/>
        </w:rPr>
      </w:pPr>
      <w:r w:rsidRPr="00C33834">
        <w:rPr>
          <w:rStyle w:val="ucoz-forum-post"/>
          <w:rFonts w:ascii="Times New Roman" w:hAnsi="Times New Roman"/>
          <w:color w:val="000000" w:themeColor="text1"/>
          <w:sz w:val="16"/>
          <w:szCs w:val="16"/>
        </w:rPr>
        <w:t>13 февраля 1934 года началось сильное сжатие льдов и «Челюскин» затонул.</w:t>
      </w:r>
    </w:p>
    <w:p w14:paraId="1EB53B3A" w14:textId="77777777" w:rsidR="00F722EC" w:rsidRPr="00C33834" w:rsidRDefault="00F722EC" w:rsidP="00C33834">
      <w:pPr>
        <w:spacing w:after="0" w:line="240" w:lineRule="auto"/>
        <w:jc w:val="both"/>
        <w:rPr>
          <w:rStyle w:val="ucoz-forum-post"/>
          <w:rFonts w:ascii="Times New Roman" w:hAnsi="Times New Roman"/>
          <w:color w:val="000000" w:themeColor="text1"/>
          <w:sz w:val="16"/>
          <w:szCs w:val="16"/>
        </w:rPr>
      </w:pPr>
      <w:r w:rsidRPr="00C33834">
        <w:rPr>
          <w:rStyle w:val="ucoz-forum-post"/>
          <w:rFonts w:ascii="Times New Roman" w:hAnsi="Times New Roman"/>
          <w:color w:val="000000" w:themeColor="text1"/>
          <w:sz w:val="16"/>
          <w:szCs w:val="16"/>
        </w:rPr>
        <w:t>На дрейфующий лед сошло 104 человека – среди них 10 женщин и двое маленьких детей. При высадке один человек погиб. В эфир ушла радиограмма: «13 февраля в 15 часов 30 минут в 155 милях от мыса Северного и в 144 милях от мыса Уэлен «Челюскин» затонул, раздавленный сжатием льдов...».</w:t>
      </w:r>
    </w:p>
    <w:p w14:paraId="29ADF411" w14:textId="77777777" w:rsidR="00F722EC" w:rsidRPr="00C33834" w:rsidRDefault="00F722EC" w:rsidP="00C33834">
      <w:pPr>
        <w:spacing w:after="0" w:line="240" w:lineRule="auto"/>
        <w:jc w:val="both"/>
        <w:rPr>
          <w:rStyle w:val="ucoz-forum-post"/>
          <w:rFonts w:ascii="Times New Roman" w:hAnsi="Times New Roman"/>
          <w:color w:val="000000" w:themeColor="text1"/>
          <w:sz w:val="16"/>
          <w:szCs w:val="16"/>
        </w:rPr>
      </w:pPr>
      <w:r w:rsidRPr="00C33834">
        <w:rPr>
          <w:rStyle w:val="ucoz-forum-post"/>
          <w:rFonts w:ascii="Times New Roman" w:hAnsi="Times New Roman"/>
          <w:color w:val="000000" w:themeColor="text1"/>
          <w:sz w:val="16"/>
          <w:szCs w:val="16"/>
        </w:rPr>
        <w:t>На следующий день Москва создала правительственную комиссию по спасению. Сначала решили пробиться к льдине на собачьих упряжках, но это не удалось. Осталась надежда на авиацию. Мир не верил в спасение челюскинцев. Западные газеты писали, что люди на льду обречены, и возбуждать в них надежды на спасение негуманно, это только усугубит их мучения. Датская «Политикен» заочно оплакивала Шмидта: «На льдине Отто Шмидт встретил врага, которого еще никто не мог победить. Он умер как герой, человек, чье имя будет жить среди завоевателей Северного Ледовитого океана».</w:t>
      </w:r>
    </w:p>
    <w:p w14:paraId="1178FB68" w14:textId="77777777" w:rsidR="00F722EC" w:rsidRPr="00C33834" w:rsidRDefault="00F722EC" w:rsidP="00C33834">
      <w:pPr>
        <w:spacing w:after="0" w:line="240" w:lineRule="auto"/>
        <w:jc w:val="both"/>
        <w:rPr>
          <w:rStyle w:val="ucoz-forum-post"/>
          <w:rFonts w:ascii="Times New Roman" w:hAnsi="Times New Roman"/>
          <w:color w:val="000000" w:themeColor="text1"/>
          <w:sz w:val="16"/>
          <w:szCs w:val="16"/>
        </w:rPr>
      </w:pPr>
      <w:r w:rsidRPr="00C33834">
        <w:rPr>
          <w:rStyle w:val="ucoz-forum-post"/>
          <w:rFonts w:ascii="Times New Roman" w:hAnsi="Times New Roman"/>
          <w:color w:val="000000" w:themeColor="text1"/>
          <w:sz w:val="16"/>
          <w:szCs w:val="16"/>
        </w:rPr>
        <w:t>Но летчики совершили невозможное: на легких самолетах они добрались до станции. Было ясно, но холодно – ниже 40 градусов. Люди ждали самолеты возле палатки, которую окрестили аэровокзалом. Летчики совершили более десятка рейсов и эвакуировали попавших в беду. Последними улетали с льдины Отто Шмидт и капитан ледокола Владимир Воронин.</w:t>
      </w:r>
    </w:p>
    <w:p w14:paraId="69518657" w14:textId="77777777" w:rsidR="00F722EC" w:rsidRPr="00C33834" w:rsidRDefault="00F722EC" w:rsidP="00C33834">
      <w:pPr>
        <w:spacing w:after="0" w:line="240" w:lineRule="auto"/>
        <w:jc w:val="both"/>
        <w:rPr>
          <w:rStyle w:val="ucoz-forum-post"/>
          <w:rFonts w:ascii="Times New Roman" w:hAnsi="Times New Roman"/>
          <w:color w:val="000000" w:themeColor="text1"/>
          <w:sz w:val="16"/>
          <w:szCs w:val="16"/>
        </w:rPr>
      </w:pPr>
      <w:r w:rsidRPr="00C33834">
        <w:rPr>
          <w:rStyle w:val="ucoz-forum-post"/>
          <w:rFonts w:ascii="Times New Roman" w:hAnsi="Times New Roman"/>
          <w:color w:val="000000" w:themeColor="text1"/>
          <w:sz w:val="16"/>
          <w:szCs w:val="16"/>
        </w:rPr>
        <w:t>13 апреля 1934 года ледовый лагерь перестал существовать. 20 апреля был издан указ о присвоении летчикам званий Героя Советского Союза. Анатолий Ляпидевский, Сигизмунд Леваневский, Маврикий Слепнев, Николай Каманин, Василий Молоков, Иван Доронин и Михаил Водопьянов были первыми, у кого на груди засверкала Золотая Звезда (15039).</w:t>
      </w:r>
    </w:p>
    <w:p w14:paraId="779BB555" w14:textId="77777777" w:rsidR="00F722EC" w:rsidRPr="00C33834" w:rsidRDefault="00F722EC" w:rsidP="00C33834">
      <w:pPr>
        <w:spacing w:after="0" w:line="240" w:lineRule="auto"/>
        <w:jc w:val="both"/>
        <w:rPr>
          <w:rStyle w:val="ucoz-forum-post"/>
          <w:rFonts w:ascii="Times New Roman" w:hAnsi="Times New Roman"/>
          <w:color w:val="000000" w:themeColor="text1"/>
          <w:sz w:val="16"/>
          <w:szCs w:val="16"/>
        </w:rPr>
      </w:pPr>
    </w:p>
    <w:p w14:paraId="6025ABE7" w14:textId="77777777" w:rsidR="00416641" w:rsidRPr="00C33834" w:rsidRDefault="00416641"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10 августа 1933, с запозданием в двадцать дней, «Челюскин» вышел в море, но спустя всего два дня О.Ю. Шмидту пришлось послать в Москву тревожную телеграмму: «Сам корпус судна слабее, чем предполагали. Удары льдин причинили носовой части корпуса повреждения в виде вмятин, срезаны также несколько заклепок». Через неделю вновь пришлось сообщить: «Прочность корпуса как общая, так местная недостаточна и для данного рейса не пригодна. Превышение 115 оборотов машины вызывает общую вибрацию корпуса, особенно заметную в районе 94 шпангоута… Управляемость на малых ходах плохая, затрудняет работу во льдах» (20467).</w:t>
      </w:r>
    </w:p>
    <w:p w14:paraId="2040B089" w14:textId="77777777" w:rsidR="00416641" w:rsidRPr="00C33834" w:rsidRDefault="00416641" w:rsidP="00C33834">
      <w:pPr>
        <w:spacing w:after="0" w:line="240" w:lineRule="auto"/>
        <w:jc w:val="both"/>
        <w:rPr>
          <w:rFonts w:ascii="Times New Roman" w:hAnsi="Times New Roman"/>
          <w:color w:val="0070C0"/>
          <w:sz w:val="16"/>
          <w:szCs w:val="16"/>
        </w:rPr>
      </w:pPr>
    </w:p>
    <w:p w14:paraId="2B887624" w14:textId="77777777" w:rsidR="00EA298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D290B16" w14:textId="77777777" w:rsidR="00EA298A" w:rsidRPr="00C33834" w:rsidRDefault="00EA298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A9B13D3"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августа 1933 НИИ ВВС выдал ТТ на военный вариант ХАИ-1 - ЛБМ-22ХАИ. Хотели 200-400 кг бомб и скорость 280 км/ч (1148,27).</w:t>
      </w:r>
    </w:p>
    <w:p w14:paraId="4A544E68"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1F50D3EF"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августа 1933 состоялось совещание ТТЭС по рассмотрению плана внедрения в производство на заводе 21 самолета ХАИ (2291,272).</w:t>
      </w:r>
    </w:p>
    <w:p w14:paraId="7ADF3DBB"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61501AD4"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августа 1933 С.П.К. вместе с Я.М. Терентьевым сообщил в ЦС ОХА и УВИ результаты работы комиссии по разработке трудов Ф.А. Цандера, выполняемой согласно постановлению ЦС ОХА от 13 мая 1933 г. (ЦГАОР, ф. 8355, № 7-3, л. 243) (10676).</w:t>
      </w:r>
    </w:p>
    <w:p w14:paraId="5922266F"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0E294DFD"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августа 1933 первая попытка запуска ГИРД-Р-1 (09), вторая — 13 августа, обе неудачные. Успешный запуск ракеты состоялся 17 августа, однако из-за негерметичности одного из фланцев двигателя нормальный полет продолжался до высоты около 400 м. Были еще две неудачные попытки запуска ракеты — 5 и 6 ноября. Дальнейшие работы по ракете не планировались (10676).</w:t>
      </w:r>
    </w:p>
    <w:p w14:paraId="61A19855"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0F5DE247" w14:textId="77777777" w:rsidR="00EA298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FBE78C4" w14:textId="77777777" w:rsidR="00EA298A" w:rsidRPr="00C33834" w:rsidRDefault="00EA298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92BA8CE" w14:textId="77777777" w:rsidR="006A4DAE" w:rsidRPr="00C33834" w:rsidRDefault="006A4DA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августа 1933 г. была принята система бронетанкового вооружения на вторую пятилетку, согласно которой первостепенной задачей определялось увеличение подвижности, при этом приоритетным направлением достижения поставленной задачи считались разработка колесно-гусеничных боевых машин и их дальнейшее совершенствование (12137).</w:t>
      </w:r>
    </w:p>
    <w:p w14:paraId="4AF7CA1E" w14:textId="77777777" w:rsidR="006A4DAE" w:rsidRPr="00C33834" w:rsidRDefault="006A4DAE" w:rsidP="00C33834">
      <w:pPr>
        <w:spacing w:after="0" w:line="240" w:lineRule="auto"/>
        <w:jc w:val="both"/>
        <w:rPr>
          <w:rFonts w:ascii="Times New Roman" w:hAnsi="Times New Roman"/>
          <w:color w:val="000000" w:themeColor="text1"/>
          <w:sz w:val="16"/>
          <w:szCs w:val="16"/>
        </w:rPr>
      </w:pPr>
    </w:p>
    <w:p w14:paraId="1F11AE3A"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августа 1933 был принят на вооружение танк Т-37, разработанный в ОКМО, однако, серийно он не производился (3547).</w:t>
      </w:r>
    </w:p>
    <w:p w14:paraId="0455ABEF"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65B1A087"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августа 1933 был принят на вооружение танк Т-28 (3547).</w:t>
      </w:r>
    </w:p>
    <w:p w14:paraId="6A68376D"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3B234F60"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августа 1933 года танк Т-28 был принят на вооружение мотомеханизированных войск РККА. Заказ РККА на 1933 год составлял 90 танков, однако в войска была сдана только 41 машина. Т-28 производился в течение восьми лет, и всего за это время было выпущено 503 танка. Серийный Т-28 существенно отличался от прототипа. При сохранении общей компоновки и схемы расположения башен существенным изменениям подвергся корпус, конструкция которого стала сварной. В главной башне измененной формы с развитой кормовой нишей, вместо 45-мм установили 76,2-мм пушку. Подверглись усовершенствованию ходовая часть и моторно-трансмиссионное отделение. Танк Т-28 производился несколькими сериями. Начиная со второй серии, в конструкцию танка вносились многочисленные (более 600) изменения. Вместе с тем, крупных модернизаций, сильно затронувших боевые характеристики танка, было только три (3862).</w:t>
      </w:r>
    </w:p>
    <w:p w14:paraId="54A8FC9A"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Следует отметить, что в процессе серийного производства удалось достигнуть высокой степени унификации с тяжелым танком Т-35. Например, главная башня (как цилиндрической, так и конической формы) и пулеметные башни на обоих типах машин были одинаковые. Первоначально, танк вооружался 76,2-мм танковой пушкой КТ ("Кировская танковая" - КТ-28) обр.1927/32 года, в установке которой использовалась качающаяся часть 76,2-мм полковой пушки образца 1927 года (3862).</w:t>
      </w:r>
    </w:p>
    <w:p w14:paraId="71EF7AE8"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Малые башни вооружались одним пулеметом ДТ в шаровой установке. Каждая башня могла вращаться от упора в стенку кабины механика-водителя до упора в стенку корпуса танка, горизонтальный угол обстрела при этом составлял 165° (3862).</w:t>
      </w:r>
    </w:p>
    <w:p w14:paraId="0B4B03C1"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танках последних серий на люке наводчика появилась зенитная турельная установка П-40 с пулеметом ДТ, снабженным коллиматорным прицелом для стрельбы по воздушным целям (3862).</w:t>
      </w:r>
    </w:p>
    <w:p w14:paraId="57DBC520"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целом конструкцию танка Т-28 можно признать достаточно совершенной для своего времени. Состав и расположение вооружения, применительно к идее многобашенной компоновки, были оптимальными. Три башни, размещенные в два яруса, при независимом их управлении обеспечивали эффективное сопровождение пехоты массированным огнем, который мог управляться и корректироваться одним командиром (чего не скажешь о Т-35, пятью башнями которого управлять в бою одному командиру было физически невозможно) (3862).</w:t>
      </w:r>
    </w:p>
    <w:p w14:paraId="25263771"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Вместе с тем, танк имел и существенные недостатки, особенно в системах двигателя и трансмиссии. Быстро изнашивалась и ходовая часть: лопались рессоры, выходили из строя детали подвески, ломались шестерни бортовых передач. Танки с трудом проходили приемосдаточный пробег, а затем на завод начинали поступать рекламации из войск. Несмотря на ряд переделок и улучшений - усиление амортизаторов ходовых тележек, применение опорных катков с внутренней амортизацией, постоянное совершенствование агрегатов двигателя и трансмиссии - недостатки полностью устранить не удалось. Во многом это было связано как со скудной агрегатной базой, так и с достаточно низкой технологией изготовления. Не сразу были готовы к приему столь сложных боевых машин и войска (3862).</w:t>
      </w:r>
    </w:p>
    <w:p w14:paraId="4629A339"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46678BE3" w14:textId="77777777" w:rsidR="00EA298A" w:rsidRPr="00C33834" w:rsidRDefault="00EA298A"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и 19 августа и 4 сентября 1933 имущество объекта Кама ушло из Казани. 6 сентября никого из «друзей» на месте не осталось (10733,127).</w:t>
      </w:r>
    </w:p>
    <w:p w14:paraId="0D6E5690" w14:textId="77777777" w:rsidR="00EA298A" w:rsidRPr="00C33834" w:rsidRDefault="00EA298A"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FB96A5" w14:textId="77777777" w:rsidR="00EA298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3ACF2AF5" w14:textId="77777777" w:rsidR="00EA298A" w:rsidRPr="00C33834" w:rsidRDefault="00EA298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8AFCBE0"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августа 1933 была введена в строй первая домна Азовстали в Мариуполе (3481).</w:t>
      </w:r>
    </w:p>
    <w:p w14:paraId="4B2D262B"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1E1E18A3" w14:textId="77777777" w:rsidR="00EA298A" w:rsidRPr="00C33834" w:rsidRDefault="00EA29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августа 1933 на Мариупольском комбинате «Азовсталь» задута первая доменная печь (4962).</w:t>
      </w:r>
    </w:p>
    <w:p w14:paraId="03A3F6F7" w14:textId="77777777" w:rsidR="00EA298A" w:rsidRPr="00C33834" w:rsidRDefault="00EA29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461BBA"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Между 11 и 17 августа 1933. Из протокола заседания Политбюро N 143, особая папка, 1933 г.</w:t>
      </w:r>
    </w:p>
    <w:p w14:paraId="50A278AC"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Вопрос т. Ягоды </w:t>
      </w:r>
    </w:p>
    <w:p w14:paraId="03FC50FB"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Временно разрешить по делам о вооруженном бандитизме предоставить право судебным тройкам ПП ОГПУ Украины, СКК, НВК, Белоруссии, Казахстана, Урала и Западно-Сибирского края применять к организаторам и бандитскому активу высшую меру наказания (11652).</w:t>
      </w:r>
    </w:p>
    <w:p w14:paraId="01BB4F48"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09DD2313"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11 и 17 августа 1933. Из протокола заседания Политбюро N 143, особая папка, 1933 г.</w:t>
      </w:r>
    </w:p>
    <w:p w14:paraId="03973FF0"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Вопрос ОГПУ </w:t>
      </w:r>
    </w:p>
    <w:p w14:paraId="5C7C8EDA"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Перевести немедленно в исправительно-трудовые лагеря ОГПУ всех без исключения осужденных судами на 2 года и выше (11652).</w:t>
      </w:r>
    </w:p>
    <w:p w14:paraId="31812661"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42AA1A60" w14:textId="77777777" w:rsidR="00EA298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12C2A520" w14:textId="77777777" w:rsidR="00EA298A" w:rsidRPr="00C33834" w:rsidRDefault="00EA298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04584B5"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11 и 17 августа 1933. Из протокола заседания Политбюро N 143, особая папка, 1933 г.</w:t>
      </w:r>
    </w:p>
    <w:p w14:paraId="1600E38E"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Об отпуске средств ВОКСу в 1933 г. </w:t>
      </w:r>
    </w:p>
    <w:p w14:paraId="3B268339"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Утвердить решение Валютной Комиссии — об отпуске в распоряжение Всесоюзного общества культурной связи с заграницей за счет резервного фонда СНК СССР 8000 рублей в инвалюте в виде дотации на заграничные расходы ВОКСа в 1933 г. (11652).</w:t>
      </w:r>
    </w:p>
    <w:p w14:paraId="4F84E3DE"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3826A466"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11 и 17 августа 1933. Из протокола заседания Политбюро N 143, особая папка, 1933 г.</w:t>
      </w:r>
    </w:p>
    <w:p w14:paraId="3D7DB459"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Шейнмане </w:t>
      </w:r>
    </w:p>
    <w:p w14:paraId="1A7C8543"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возражать против предложения т. Озерского (торгпред СССР в Англии) о догрузке Шейнмана (отправленный на работу в Лондон бывший председатель правления Госбанка СССР) работой, а также увеличения ему жалованья на 10-15 фунтов стерлингов ежемесячно — с условием, что т. Розенгольц должен предложить Шейнману не вести антисоветских бесед (11652).</w:t>
      </w:r>
    </w:p>
    <w:p w14:paraId="36112765"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7E565767" w14:textId="77777777" w:rsidR="00416641" w:rsidRPr="00C33834" w:rsidRDefault="00416641"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163F7AA" w14:textId="77777777" w:rsidR="00416641" w:rsidRPr="00C33834" w:rsidRDefault="0041664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7D906BE" w14:textId="77777777" w:rsidR="00416641" w:rsidRPr="00C33834" w:rsidRDefault="004166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11 августа 1933 Boston-Maine Airways, будущая компания Northeast Airlines, становится контрактным перевозчиком National Airways (20802).</w:t>
      </w:r>
    </w:p>
    <w:p w14:paraId="1BE466B7" w14:textId="77777777" w:rsidR="00416641" w:rsidRPr="00C33834" w:rsidRDefault="00416641" w:rsidP="00C33834">
      <w:pPr>
        <w:spacing w:after="0" w:line="240" w:lineRule="auto"/>
        <w:jc w:val="both"/>
        <w:rPr>
          <w:rFonts w:ascii="Times New Roman" w:hAnsi="Times New Roman"/>
          <w:color w:val="0070C0"/>
          <w:sz w:val="16"/>
          <w:szCs w:val="16"/>
        </w:rPr>
      </w:pPr>
    </w:p>
    <w:p w14:paraId="24453D18" w14:textId="77777777" w:rsidR="00416641" w:rsidRPr="00C33834" w:rsidRDefault="004166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11 августа 1933 состоялся первый полет Блерио 5190 (20802).</w:t>
      </w:r>
    </w:p>
    <w:p w14:paraId="0F45878E" w14:textId="77777777" w:rsidR="00416641" w:rsidRPr="00C33834" w:rsidRDefault="00416641" w:rsidP="00C33834">
      <w:pPr>
        <w:spacing w:after="0" w:line="240" w:lineRule="auto"/>
        <w:jc w:val="both"/>
        <w:rPr>
          <w:rFonts w:ascii="Times New Roman" w:hAnsi="Times New Roman"/>
          <w:color w:val="0070C0"/>
          <w:sz w:val="16"/>
          <w:szCs w:val="16"/>
        </w:rPr>
      </w:pPr>
    </w:p>
    <w:p w14:paraId="4B210F2E" w14:textId="77777777" w:rsidR="00EA298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E50281C" w14:textId="77777777" w:rsidR="00EA298A" w:rsidRPr="00C33834" w:rsidRDefault="00EA298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41F9030" w14:textId="77777777" w:rsidR="00EA298A" w:rsidRPr="00C33834" w:rsidRDefault="00EA298A"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августа 1933 г. начальник ВВС РККА Я.И. Алкснис написал комиссару НИИ ВВС Зильберту записку. В ней он предложил советской делегации, на</w:t>
      </w:r>
      <w:r w:rsidRPr="00C33834">
        <w:rPr>
          <w:rFonts w:ascii="Times New Roman" w:hAnsi="Times New Roman"/>
          <w:color w:val="000000" w:themeColor="text1"/>
          <w:sz w:val="16"/>
          <w:szCs w:val="16"/>
        </w:rPr>
        <w:softHyphen/>
        <w:t>правлявшейся</w:t>
      </w:r>
      <w:r w:rsidRPr="00C33834">
        <w:rPr>
          <w:rFonts w:ascii="Times New Roman" w:hAnsi="Times New Roman"/>
          <w:color w:val="000000" w:themeColor="text1"/>
          <w:sz w:val="16"/>
          <w:szCs w:val="16"/>
          <w:vertAlign w:val="superscript"/>
        </w:rPr>
        <w:t>4</w:t>
      </w:r>
      <w:r w:rsidRPr="00C33834">
        <w:rPr>
          <w:rFonts w:ascii="Times New Roman" w:hAnsi="Times New Roman"/>
          <w:color w:val="000000" w:themeColor="text1"/>
          <w:sz w:val="16"/>
          <w:szCs w:val="16"/>
        </w:rPr>
        <w:t xml:space="preserve"> во Францию для перего</w:t>
      </w:r>
      <w:r w:rsidRPr="00C33834">
        <w:rPr>
          <w:rFonts w:ascii="Times New Roman" w:hAnsi="Times New Roman"/>
          <w:color w:val="000000" w:themeColor="text1"/>
          <w:sz w:val="16"/>
          <w:szCs w:val="16"/>
        </w:rPr>
        <w:softHyphen/>
        <w:t>воров с фирмой «Испано-Сюиза», «по</w:t>
      </w:r>
      <w:r w:rsidRPr="00C33834">
        <w:rPr>
          <w:rFonts w:ascii="Times New Roman" w:hAnsi="Times New Roman"/>
          <w:color w:val="000000" w:themeColor="text1"/>
          <w:sz w:val="16"/>
          <w:szCs w:val="16"/>
        </w:rPr>
        <w:softHyphen/>
        <w:t>путно» ознакомиться с «двухрядной звездой Гнома и Рона». Алкснис предпо</w:t>
      </w:r>
      <w:r w:rsidRPr="00C33834">
        <w:rPr>
          <w:rFonts w:ascii="Times New Roman" w:hAnsi="Times New Roman"/>
          <w:color w:val="000000" w:themeColor="text1"/>
          <w:sz w:val="16"/>
          <w:szCs w:val="16"/>
        </w:rPr>
        <w:softHyphen/>
        <w:t>лагал, что конструктивное сходство (на самом деле практически отсутствовав</w:t>
      </w:r>
      <w:r w:rsidRPr="00C33834">
        <w:rPr>
          <w:rFonts w:ascii="Times New Roman" w:hAnsi="Times New Roman"/>
          <w:color w:val="000000" w:themeColor="text1"/>
          <w:sz w:val="16"/>
          <w:szCs w:val="16"/>
        </w:rPr>
        <w:softHyphen/>
        <w:t>шее) позволит сравнительно легко ос</w:t>
      </w:r>
      <w:r w:rsidRPr="00C33834">
        <w:rPr>
          <w:rFonts w:ascii="Times New Roman" w:hAnsi="Times New Roman"/>
          <w:color w:val="000000" w:themeColor="text1"/>
          <w:sz w:val="16"/>
          <w:szCs w:val="16"/>
        </w:rPr>
        <w:softHyphen/>
        <w:t>воить новый двигатель на заводе №29, строившем до того по лицензии той же фирмы М-22 (Гном-Рон 9А «Юпитер»). Начальник ВВС предложил купить два-три образца для испытаний и 20-30 мо</w:t>
      </w:r>
      <w:r w:rsidRPr="00C33834">
        <w:rPr>
          <w:rFonts w:ascii="Times New Roman" w:hAnsi="Times New Roman"/>
          <w:color w:val="000000" w:themeColor="text1"/>
          <w:sz w:val="16"/>
          <w:szCs w:val="16"/>
        </w:rPr>
        <w:softHyphen/>
        <w:t>торов для опытных самолетов (10734,2).</w:t>
      </w:r>
    </w:p>
    <w:p w14:paraId="79EB6F5B" w14:textId="77777777" w:rsidR="00EA298A" w:rsidRPr="00C33834" w:rsidRDefault="00EA298A"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1BE1E1" w14:textId="77777777" w:rsidR="00EA298A" w:rsidRPr="00C33834" w:rsidRDefault="00EA298A"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августа 1933 была записка началь</w:t>
      </w:r>
      <w:r w:rsidRPr="00C33834">
        <w:rPr>
          <w:rFonts w:ascii="Times New Roman" w:hAnsi="Times New Roman"/>
          <w:color w:val="000000" w:themeColor="text1"/>
          <w:sz w:val="16"/>
          <w:szCs w:val="16"/>
        </w:rPr>
        <w:softHyphen/>
        <w:t>ника ВВС РККА Я.И. Алксниса комиссару НИИ ВВС Зильберту. В ней он предложил советской делегации, направлявшейся во Францию для переговоров с фирмой «Испано-Сюиза», «попутно» ознакомиться с «двухрядной звездой Гнома и Рона». Алкснис предполагал, что конструктивное сходство с М-22 (на самом деле практи</w:t>
      </w:r>
      <w:r w:rsidRPr="00C33834">
        <w:rPr>
          <w:rFonts w:ascii="Times New Roman" w:hAnsi="Times New Roman"/>
          <w:color w:val="000000" w:themeColor="text1"/>
          <w:sz w:val="16"/>
          <w:szCs w:val="16"/>
        </w:rPr>
        <w:softHyphen/>
        <w:t>чески отсутствовавшее) позволит сравнительно легко освоить новый дви</w:t>
      </w:r>
      <w:r w:rsidRPr="00C33834">
        <w:rPr>
          <w:rFonts w:ascii="Times New Roman" w:hAnsi="Times New Roman"/>
          <w:color w:val="000000" w:themeColor="text1"/>
          <w:sz w:val="16"/>
          <w:szCs w:val="16"/>
        </w:rPr>
        <w:softHyphen/>
        <w:t>гатель на заводе № 29. Начальник ВВС предложил купить два-три образца для испытаний и 20-30 моторов для опытных самолетов. В сентябре 1933 г. делегация советских моторостроителей, отбиравших об</w:t>
      </w:r>
      <w:r w:rsidRPr="00C33834">
        <w:rPr>
          <w:rFonts w:ascii="Times New Roman" w:hAnsi="Times New Roman"/>
          <w:color w:val="000000" w:themeColor="text1"/>
          <w:sz w:val="16"/>
          <w:szCs w:val="16"/>
        </w:rPr>
        <w:softHyphen/>
        <w:t>разцы двигателей для производства в СССР, отправилась во Францию. Руко</w:t>
      </w:r>
      <w:r w:rsidRPr="00C33834">
        <w:rPr>
          <w:rFonts w:ascii="Times New Roman" w:hAnsi="Times New Roman"/>
          <w:color w:val="000000" w:themeColor="text1"/>
          <w:sz w:val="16"/>
          <w:szCs w:val="16"/>
        </w:rPr>
        <w:softHyphen/>
        <w:t>водителем делегации являлся В.Я. Климов, ВВС представлял М.А. Левин. Двигатели фирмы «Гном-Рон» вызвали большой интерес у советских спе</w:t>
      </w:r>
      <w:r w:rsidRPr="00C33834">
        <w:rPr>
          <w:rFonts w:ascii="Times New Roman" w:hAnsi="Times New Roman"/>
          <w:color w:val="000000" w:themeColor="text1"/>
          <w:sz w:val="16"/>
          <w:szCs w:val="16"/>
        </w:rPr>
        <w:softHyphen/>
        <w:t>циалистов, причем не только двухрядный мотор типа 14К, о котором шла речь первоначально, но и менее мощный унифицированный с ним 9К. Их в первую очередь собирались ставить на бомбардировщики. 7 июня 1934 г. вышло специальное постановление Комитета обороны, предписывавшее Кли</w:t>
      </w:r>
      <w:r w:rsidRPr="00C33834">
        <w:rPr>
          <w:rFonts w:ascii="Times New Roman" w:hAnsi="Times New Roman"/>
          <w:color w:val="000000" w:themeColor="text1"/>
          <w:sz w:val="16"/>
          <w:szCs w:val="16"/>
        </w:rPr>
        <w:softHyphen/>
        <w:t>мову, Левину и директору завода № 29 Александрову в кратчайшие сроки завершить переговоры с «Гном-Рон» и добиться предоставления лицензии на оба этих типа, приобрести необходимую документацию и образцы моторов. В итоге с фирмой «Гном-Рон» заключили соглашение о технической помощи в освоении двух двигателей семейства К: 9-цилиндровый 9К «Мистраль» и 14-цилиндровый 14К «Мистраль мажор». Первый получил советское обозначение М-75, второй — М-85 (ненадолго его переимено</w:t>
      </w:r>
      <w:r w:rsidRPr="00C33834">
        <w:rPr>
          <w:rFonts w:ascii="Times New Roman" w:hAnsi="Times New Roman"/>
          <w:color w:val="000000" w:themeColor="text1"/>
          <w:sz w:val="16"/>
          <w:szCs w:val="16"/>
        </w:rPr>
        <w:softHyphen/>
        <w:t>вали в М-70, а затем обратно в М-85). Договор предусматривал поставки комплектующих для первых серий двигателей, а также стажировку 15 со</w:t>
      </w:r>
      <w:r w:rsidRPr="00C33834">
        <w:rPr>
          <w:rFonts w:ascii="Times New Roman" w:hAnsi="Times New Roman"/>
          <w:color w:val="000000" w:themeColor="text1"/>
          <w:sz w:val="16"/>
          <w:szCs w:val="16"/>
        </w:rPr>
        <w:softHyphen/>
        <w:t>ветских инженеров на заводе «Гном-Рон» (11852).</w:t>
      </w:r>
    </w:p>
    <w:p w14:paraId="40B55D43"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08C7BC18"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августа 1933 г. с записки начальника ВВС РККА Я.И. Алксниса комиссару НИИ ВВС Зильберту начиналась история появления в Советском Союзе французских моторов Гном-Рон 14К. В ней он предложил советской делегации, направлявшейся во Францию для переговоров с фирмой "Испано-Сюиза", "попутно" ознакомиться с "двухрядной звездой Гнома и Ро- GR 14Kdrs на". Алкснис предполагал, что конструктивное сходство (на самом деле практически отсутствовавшее) позволит сравнительно легко освоить новый двигатель на заводе №29, строившем до того по лицензии той же фирмы М-22 (Гном-Рон 9А "Юпитер"). Начальник ВВС предложил купить два-три образца для испытаний и 20-30 моторов для опытных самолетов (12021).</w:t>
      </w:r>
    </w:p>
    <w:p w14:paraId="718795A5"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7984CC3B"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августа 1933 начались первые облеты САМ-5 цельнометаллического А.С.Москалева на Воронежском аэродроме. Гос. испытания закончили в Москве в ноябре 1933 (2889,154).</w:t>
      </w:r>
    </w:p>
    <w:p w14:paraId="769BE5D9"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55CD9DC2"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августа 1933 был установлен мировой рекорд прыжка с наименьшей высоты - 80 м П.Балашев, выпрыгнув из У-2 приземлился на поле стадиона Динамо во время матча (271,134).</w:t>
      </w:r>
    </w:p>
    <w:p w14:paraId="4C29F2EB"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0058FA3E"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августа в 1933 году над стадионом "Динамо" в Москве парашютистом П.Балашевым установлен мировой рекорд в парашютном спорте - прыжок с парашютом с высоты всего лишь 80 м (14981).</w:t>
      </w:r>
    </w:p>
    <w:p w14:paraId="7084B9F8" w14:textId="77777777" w:rsidR="00871A0E" w:rsidRPr="00C33834" w:rsidRDefault="00871A0E" w:rsidP="00C33834">
      <w:pPr>
        <w:spacing w:after="0" w:line="240" w:lineRule="auto"/>
        <w:jc w:val="both"/>
        <w:rPr>
          <w:rFonts w:ascii="Times New Roman" w:hAnsi="Times New Roman"/>
          <w:color w:val="000000" w:themeColor="text1"/>
          <w:sz w:val="16"/>
          <w:szCs w:val="16"/>
        </w:rPr>
      </w:pPr>
    </w:p>
    <w:p w14:paraId="2EDF47B2" w14:textId="77777777" w:rsidR="00EA298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6CE4F68" w14:textId="77777777" w:rsidR="00EA298A" w:rsidRPr="00C33834" w:rsidRDefault="00EA298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34BAE08" w14:textId="77777777" w:rsidR="00416641" w:rsidRPr="00C33834" w:rsidRDefault="004166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12 августа 1933 дала первый чугун доменная печь № 1 завода "Азовсталь". Строительство завода началось летом 1930 года. В том же году пущен первый сталеплавильный агрегат — мартеновская печь № 1 (21177).</w:t>
      </w:r>
    </w:p>
    <w:p w14:paraId="296021C7" w14:textId="77777777" w:rsidR="00416641" w:rsidRPr="00C33834" w:rsidRDefault="00416641" w:rsidP="00C33834">
      <w:pPr>
        <w:spacing w:after="0" w:line="240" w:lineRule="auto"/>
        <w:jc w:val="both"/>
        <w:rPr>
          <w:rFonts w:ascii="Times New Roman" w:hAnsi="Times New Roman"/>
          <w:color w:val="0070C0"/>
          <w:sz w:val="16"/>
          <w:szCs w:val="16"/>
        </w:rPr>
      </w:pPr>
    </w:p>
    <w:p w14:paraId="73C91727"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августа 1933, когда было готово заключение специалистов, осматривающих п/л Е1, строящуюся в Испании в 1932, выступило в силу заключенное в апреле 1933 соглашение с фактическим хозяином фирмы N.V.Ingenieurkantoor voor Scheepsbouw (IvS) - немецкой фирмой Дешимаг на проектирование средней п/л на лицензионных началах. Заказчиком выступала фирма Судоверфь. В условиях договора специально обговаривалось, что фирма-разработчик способствует размещению в Германии советских заказов на механизмы и некоторое оборудование для подводного судостроения. Проект получил советское обозначение - средняя п/л IX серии (4145,29).</w:t>
      </w:r>
    </w:p>
    <w:p w14:paraId="048A3339"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5A8EDB54" w14:textId="77777777" w:rsidR="00416641" w:rsidRPr="00C33834" w:rsidRDefault="004166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12 августа 1933, после завершения серии испытаний, показавших реальность гарантий, предоставляемых немецкой стороной, договор вступил в силу подписанный в  апреле</w:t>
      </w:r>
      <w:hyperlink r:id="rId288" w:history="1">
        <w:r w:rsidRPr="00C33834">
          <w:rPr>
            <w:rStyle w:val="a5"/>
            <w:rFonts w:ascii="Times New Roman" w:hAnsi="Times New Roman"/>
            <w:color w:val="0070C0"/>
            <w:sz w:val="16"/>
            <w:szCs w:val="16"/>
          </w:rPr>
          <w:t> 1933 года </w:t>
        </w:r>
      </w:hyperlink>
      <w:hyperlink r:id="rId289" w:history="1">
        <w:r w:rsidRPr="00C33834">
          <w:rPr>
            <w:rStyle w:val="a5"/>
            <w:rFonts w:ascii="Times New Roman" w:hAnsi="Times New Roman"/>
            <w:color w:val="0070C0"/>
            <w:sz w:val="16"/>
            <w:szCs w:val="16"/>
          </w:rPr>
          <w:t>«Союзверфь»</w:t>
        </w:r>
      </w:hyperlink>
      <w:r w:rsidRPr="00C33834">
        <w:rPr>
          <w:rFonts w:ascii="Times New Roman" w:hAnsi="Times New Roman"/>
          <w:color w:val="0070C0"/>
          <w:sz w:val="16"/>
          <w:szCs w:val="16"/>
        </w:rPr>
        <w:t> и </w:t>
      </w:r>
      <w:hyperlink r:id="rId290" w:history="1">
        <w:r w:rsidRPr="00C33834">
          <w:rPr>
            <w:rStyle w:val="a5"/>
            <w:rFonts w:ascii="Times New Roman" w:hAnsi="Times New Roman"/>
            <w:color w:val="0070C0"/>
            <w:sz w:val="16"/>
            <w:szCs w:val="16"/>
          </w:rPr>
          <w:t>«Дешимаг»</w:t>
        </w:r>
      </w:hyperlink>
      <w:r w:rsidRPr="00C33834">
        <w:rPr>
          <w:rFonts w:ascii="Times New Roman" w:hAnsi="Times New Roman"/>
          <w:color w:val="0070C0"/>
          <w:sz w:val="16"/>
          <w:szCs w:val="16"/>
        </w:rPr>
        <w:t> («I v S» примерно тогда же была расформирована и вошла в состав «Дешимаг») договор на разработку проекта п/л.</w:t>
      </w:r>
    </w:p>
    <w:p w14:paraId="3580FD55" w14:textId="77777777" w:rsidR="00416641" w:rsidRPr="00C33834" w:rsidRDefault="004166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Договорные обязательства Советский Союз выполнял неукоснительно. Так, 28 ноября 1933 года вышло Постановление Комитета обороны (КО) Совета народных комиссаров (СНК) СССР «Об иностранной технической помощи по постройке подводной лодки типа ―Е-1». Данным постановлением указывалось НКТП С. Г. Орджоникидзе продолжить выполнение договора на техническую помощь по постройке подводной лодки типа «Е-1» с фирмой «Дешимаг», уплатив очередной денежный взнос по договору в размере 20 тысяч долларов США [Там же, д. 498, л. 202] (21528).</w:t>
      </w:r>
    </w:p>
    <w:p w14:paraId="30837B39" w14:textId="77777777" w:rsidR="00416641" w:rsidRPr="00C33834" w:rsidRDefault="00416641" w:rsidP="00C33834">
      <w:pPr>
        <w:spacing w:after="0" w:line="240" w:lineRule="auto"/>
        <w:jc w:val="both"/>
        <w:rPr>
          <w:rFonts w:ascii="Times New Roman" w:hAnsi="Times New Roman"/>
          <w:color w:val="0070C0"/>
          <w:sz w:val="16"/>
          <w:szCs w:val="16"/>
        </w:rPr>
      </w:pPr>
    </w:p>
    <w:p w14:paraId="44DBD584" w14:textId="77777777" w:rsidR="00EA298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409B118E" w14:textId="77777777" w:rsidR="00EA298A" w:rsidRPr="00C33834" w:rsidRDefault="00EA298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7FD3DF2" w14:textId="77777777" w:rsidR="00EA298A" w:rsidRPr="00C33834" w:rsidRDefault="00EA29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августа 1933 состоялся первый матч футбольной сборной Украины (с Турцией) (4962).</w:t>
      </w:r>
    </w:p>
    <w:p w14:paraId="693E19B8" w14:textId="77777777" w:rsidR="00EA298A" w:rsidRPr="00C33834" w:rsidRDefault="00EA29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6D9983" w14:textId="77777777" w:rsidR="00EA298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lastRenderedPageBreak/>
        <w:t>За рубежом:</w:t>
      </w:r>
    </w:p>
    <w:p w14:paraId="1DA6FF1F" w14:textId="77777777" w:rsidR="00EA298A" w:rsidRPr="00C33834" w:rsidRDefault="00EA298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A961B82"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августа 1933 был свергнут кубинский диктатор Мачадо (2443,407) и диктатором стал Батиста-и-Сальдивар (3186).</w:t>
      </w:r>
    </w:p>
    <w:p w14:paraId="5BAA1C7F"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28141EE9" w14:textId="77777777" w:rsidR="00EA298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6F2A444" w14:textId="77777777" w:rsidR="00EA298A" w:rsidRPr="00C33834" w:rsidRDefault="00EA298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5949374" w14:textId="77777777" w:rsidR="00871A0E" w:rsidRPr="00C33834" w:rsidRDefault="00871A0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августа 1933 г. СТО СССР принял постановление № 72сс «О форсировании морского гидросамолетостроения» (15256).</w:t>
      </w:r>
    </w:p>
    <w:p w14:paraId="6FE99F4E" w14:textId="77777777" w:rsidR="00871A0E" w:rsidRPr="00C33834" w:rsidRDefault="00871A0E" w:rsidP="00C33834">
      <w:pPr>
        <w:autoSpaceDE w:val="0"/>
        <w:autoSpaceDN w:val="0"/>
        <w:adjustRightInd w:val="0"/>
        <w:spacing w:after="0" w:line="240" w:lineRule="auto"/>
        <w:jc w:val="both"/>
        <w:rPr>
          <w:rFonts w:ascii="Times New Roman" w:hAnsi="Times New Roman"/>
          <w:color w:val="000000" w:themeColor="text1"/>
          <w:sz w:val="16"/>
          <w:szCs w:val="16"/>
        </w:rPr>
      </w:pPr>
    </w:p>
    <w:p w14:paraId="70916F31"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августа 1933 года постановление № 72сс/о СТО</w:t>
      </w:r>
    </w:p>
    <w:p w14:paraId="16638E62"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форсировании морского гидросамолетостроения</w:t>
      </w:r>
    </w:p>
    <w:p w14:paraId="045A0884"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форсирования морского гидросамолетостроения СТО постановляет:</w:t>
      </w:r>
    </w:p>
    <w:p w14:paraId="0D056B4D"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 31</w:t>
      </w:r>
    </w:p>
    <w:p w14:paraId="23F2170E" w14:textId="77777777" w:rsidR="00EA298A" w:rsidRPr="00C33834" w:rsidRDefault="00EA298A"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Организовать на заводе № 31 производство гидросамолетов МБР-2 с мотором М-17 и МДР-4 с мотором М-34, для чего обязать Глававиапром:</w:t>
      </w:r>
    </w:p>
    <w:p w14:paraId="196B42C3"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закончить в 1933 году подготовку производства и в начале 1934 года приступить к серийному выпуску самолетов МБР-2;</w:t>
      </w:r>
    </w:p>
    <w:p w14:paraId="42ED020A"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немедленно начать подготовку производства самолетов МДР-4, не ожидая испытаний и поставить с таким расчетом, чтобы в конце 1934 года начать серийный выпуск самолетов;</w:t>
      </w:r>
    </w:p>
    <w:p w14:paraId="19741340"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восстановить на заводе № 31 производство поплавков к самолетам ТБ-1 и Р-6;</w:t>
      </w:r>
    </w:p>
    <w:p w14:paraId="15133B05"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снять с производства на заводе № 31 самолеты С-62 с мотором М-34;</w:t>
      </w:r>
    </w:p>
    <w:p w14:paraId="1DCBEE35"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производство самолетов Р-6 и АНТ-9 на заводе № 31 закончить в объеме программы 1933 года;</w:t>
      </w:r>
    </w:p>
    <w:p w14:paraId="337E345B"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 сроки выпуска самолетов и количество могущих быть изготовленными в 1934 году Глававиапрому определить в месячный срок.</w:t>
      </w:r>
    </w:p>
    <w:p w14:paraId="0BAB5D61"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этот же срок определить и все необходимые мероприятия обеспечивающие подготовку и организацию производства гидросамолетов на заводе № 31.</w:t>
      </w:r>
    </w:p>
    <w:p w14:paraId="482A0F4E"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 22</w:t>
      </w:r>
    </w:p>
    <w:p w14:paraId="1099FE9A" w14:textId="77777777" w:rsidR="00EA298A" w:rsidRPr="00C33834" w:rsidRDefault="00EA298A"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Поставить производство гидросамолетов МК на заводе № 22 с организацией окончательной сборки и испытания их в Севастополе в Килленбухте ……………………</w:t>
      </w:r>
    </w:p>
    <w:p w14:paraId="7EC9168F"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 125</w:t>
      </w:r>
    </w:p>
    <w:p w14:paraId="03736A22" w14:textId="77777777" w:rsidR="00EA298A" w:rsidRPr="00C33834" w:rsidRDefault="00EA298A"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Поставить производство гидросамолетов МДР-4 на заводе № 125 в Иркутске с таким расчетом, чтобы с начала 1935 года начать серийный выпуск самолетов, определив мощность завода 7 самолетов в месяц при 3-х сменной работе ……………………………</w:t>
      </w:r>
    </w:p>
    <w:p w14:paraId="7DBB4954" w14:textId="77777777" w:rsidR="00EA298A" w:rsidRPr="00C33834" w:rsidRDefault="00EA298A"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Промышленное строительство 126 завода в основном закончить в 1934 году. В первом полугодии 1935 года приступить к подготовке производства на этом заводе самолетов МК.</w:t>
      </w:r>
    </w:p>
    <w:p w14:paraId="14F91773"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………………………………………………(7503, 61-64).</w:t>
      </w:r>
    </w:p>
    <w:p w14:paraId="33055B0A"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6F825450"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августа 1933 вышло постановление СТО N 72сс/о "О форсировании морского гидросамолетостроения" (2282,38).</w:t>
      </w:r>
    </w:p>
    <w:p w14:paraId="75E97E6A"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31 (МБР-2 М-17 и МДР-1 с М-34, поплавков Р-6 и ТБ-1 и снять Р-6 и АНТ-9) заводу 22 (МК), 125 (МДР-4), достроить 126, купить 50 РЦ...</w:t>
      </w:r>
    </w:p>
    <w:p w14:paraId="19A3A45E"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Организовать на заводе 31 производство гидросамолетов МБР-2 М-17 и МДР-1 М-34 для чего:</w:t>
      </w:r>
    </w:p>
    <w:p w14:paraId="35E5675E"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закончить в 1934 подготовку производства и в начале 1934 приступить к серийному выпуску МБР-2</w:t>
      </w:r>
    </w:p>
    <w:p w14:paraId="3CBB43FC"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немедленно начать подготовку производства МБР-4, не ожидая испытаний, и поставить с таким расчетом, чтобы в конце 1934 начать серийный выпуск самолетов</w:t>
      </w:r>
    </w:p>
    <w:p w14:paraId="772BF548"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восстановить производство поплавков Р-6 и ТБ-1</w:t>
      </w:r>
    </w:p>
    <w:p w14:paraId="6C6DCA15"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снять с производства С-62 с М-34</w:t>
      </w:r>
    </w:p>
    <w:p w14:paraId="4AEE7C71"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производство Р-6 и АНТ-9 на заводе закончить в объеме программы 1933...</w:t>
      </w:r>
    </w:p>
    <w:p w14:paraId="3A28DBC9"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Предложить ГУАП войти в СТО к 1 ноября с предложением об организации строительства завода гидросамолетов на одном из внутренних водных бассейнов СССР.</w:t>
      </w:r>
    </w:p>
    <w:p w14:paraId="4C84749A"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Для обеспечения истребительной авиации современным мотором водяного охлаждения считать необходимым закупить от 20 до 30 моторов ИС типа 12У с запчастями и инструментом.</w:t>
      </w:r>
    </w:p>
    <w:p w14:paraId="107A15D5"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основе покупки провести переговоры с ИС о бесплатной техпомощи на ИС для производства в СССР.</w:t>
      </w:r>
    </w:p>
    <w:p w14:paraId="36A456B5"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Окончательную стоимость мотора установить после выяснения комиссией на месте и отпустить средства по представлению т. П.И.Б. из резервного фонда СНК СССР.</w:t>
      </w:r>
    </w:p>
    <w:p w14:paraId="599F3EC9"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Командировать во Францию для переговоров о покупке моторов ИС и техпомощи на этот мотор комиссии в составе т.т. И.О.Марьямова с 24 завода (пред.), В.И.Климова из ЦИАМ, П.А.Левина из НИИ ВВС РККА и С.В.И. с 39 завода.</w:t>
      </w:r>
    </w:p>
    <w:p w14:paraId="4D38877A"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Мотор ИС внедрять в производство на заводе 24 - осн." (2282,38).</w:t>
      </w:r>
    </w:p>
    <w:p w14:paraId="0CB220BA"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289E2509"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августа 1933 г. Совет Труда и Обороны принял постановление о начале строительства МДР-4 на заводе №125 с января 1935 г. с темпом выпуска семь самолетов в месяц при трехсменной работе. Для этого утверждался объем капиталовложений в размере 9 млн руб., а на председателя Госплана Гинзбурга возлагалась личная ответственность за своевременную поставку в 1-м квартале 1934 г. 150 станков, стройматериалов, а также 10 грузовиков АМО и четырех автобусов "Форд".</w:t>
      </w:r>
    </w:p>
    <w:p w14:paraId="55FF9D37"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Ирьянов, видя, что к "его объекту" наконец-то обратились лицом, требует электрооборудование для заводской ЛЭП - трансформаторы, семь тонн сталеалюминиевого провода, два трансформатора и даже котел- экономайзер для Иркутской ТЭЦ. Своего энергоузла завод тогда не имел и электроснабжение было ключевым вопросом строительства - оно осуществлялось по воздушной линии с городской электростанции, которая ограничивала мощность потребителей 600 квт.</w:t>
      </w:r>
    </w:p>
    <w:p w14:paraId="4A3F23BE"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Затребованного оборудования в наличии не было, а потому начальник ГУАП П.И.Баранов поручает своему заместителю Елецкому выяснить, "за чей счет" его можно передать Иркутску. Присутствовавшие на заседании директора заводов №22 С.П.Горбунов, №24 - Марьямов и №39 - Марголин решили было, что все отберут у них, но в этот раз повезло - отобрали у ЦИАМ. Правда, только на словах, поскольку ничего в назначенные сроки завод №125 не получил...(12037).</w:t>
      </w:r>
    </w:p>
    <w:p w14:paraId="734B04EA"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20087D7F" w14:textId="77777777" w:rsidR="00EA298A" w:rsidRPr="00C33834" w:rsidRDefault="00EA298A"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августа 1933 г. Комитет обороны СССР принял постановление о приобретении во Франции 20-30 двигателей «Испано-Сюизы» с запасны</w:t>
      </w:r>
      <w:r w:rsidRPr="00C33834">
        <w:rPr>
          <w:rFonts w:ascii="Times New Roman" w:hAnsi="Times New Roman"/>
          <w:color w:val="000000" w:themeColor="text1"/>
          <w:sz w:val="16"/>
          <w:szCs w:val="16"/>
        </w:rPr>
        <w:softHyphen/>
        <w:t>ми частями и инструментом к ним и проведении переговоров о получе</w:t>
      </w:r>
      <w:r w:rsidRPr="00C33834">
        <w:rPr>
          <w:rFonts w:ascii="Times New Roman" w:hAnsi="Times New Roman"/>
          <w:color w:val="000000" w:themeColor="text1"/>
          <w:sz w:val="16"/>
          <w:szCs w:val="16"/>
        </w:rPr>
        <w:softHyphen/>
        <w:t>нии лицензии и технической помощи фирмы в организации серийного производства их в Советском Союзе. 28 ноября Совет труда и обороны предписал купить 30 готовых двигателей, 50 в виде комплектов деталей и агрегатов и еще на 50 моторов приобрести наиболее сложные в произ</w:t>
      </w:r>
      <w:r w:rsidRPr="00C33834">
        <w:rPr>
          <w:rFonts w:ascii="Times New Roman" w:hAnsi="Times New Roman"/>
          <w:color w:val="000000" w:themeColor="text1"/>
          <w:sz w:val="16"/>
          <w:szCs w:val="16"/>
        </w:rPr>
        <w:softHyphen/>
        <w:t>водстве части. На все это выделили 1 млн 650 тыс. рублей. 15 декабря Комитет обороны потребовал ускорить переговоры, ссылаясь на срочную нужду в современных двигателях, особенно для истребителей. Во Францию командировали комиссию, председателем которой назначили В.Я. Климова. Члены комиссии изучили двигатель и потребовали от фирмы подтвердить заявленные характеристики длительными 100-часовыми испыта</w:t>
      </w:r>
      <w:r w:rsidRPr="00C33834">
        <w:rPr>
          <w:rFonts w:ascii="Times New Roman" w:hAnsi="Times New Roman"/>
          <w:color w:val="000000" w:themeColor="text1"/>
          <w:sz w:val="16"/>
          <w:szCs w:val="16"/>
        </w:rPr>
        <w:softHyphen/>
        <w:t>ниями. Представители «Испано-Сюизы» согласились на это неохотно. Они вы</w:t>
      </w:r>
      <w:r w:rsidRPr="00C33834">
        <w:rPr>
          <w:rFonts w:ascii="Times New Roman" w:hAnsi="Times New Roman"/>
          <w:color w:val="000000" w:themeColor="text1"/>
          <w:sz w:val="16"/>
          <w:szCs w:val="16"/>
        </w:rPr>
        <w:softHyphen/>
        <w:t>брали один двигатель типа 12УЬгз из партии в 20 моторов, изготовленных в соответствии с требованиями французских ВВС. Испытания начались в январе 1934 г. На 11-м часу у мотора разрушился по кривошипной шейке коленчатый вал. Затем встретились с возникновением трещин в рубашке блока. Фирма начала поспешно доводить двигатель. Ввели противовесы на щеках коленвала, усилили крышки шатунов, блоки и картер, увеличили диаметр вала редуктора. Часть этих усовершенствований была прорабо</w:t>
      </w:r>
      <w:r w:rsidRPr="00C33834">
        <w:rPr>
          <w:rFonts w:ascii="Times New Roman" w:hAnsi="Times New Roman"/>
          <w:color w:val="000000" w:themeColor="text1"/>
          <w:sz w:val="16"/>
          <w:szCs w:val="16"/>
        </w:rPr>
        <w:softHyphen/>
        <w:t>тана ранее применительно к образцам для лицензионного производства в Чехословакии. Вес при этом возрос до 475 кг. В таком виде двигатель вновь поставили на испытательный стенд. На этот раз они шли более удачно, хотя длительная работа на максимальной мощности неизбежно приводила к неполадкам. Испытания завершились в марте 1934 г. Из Москвы торопили с приобретением лицензии. Начальник УВВС коман</w:t>
      </w:r>
      <w:r w:rsidRPr="00C33834">
        <w:rPr>
          <w:rFonts w:ascii="Times New Roman" w:hAnsi="Times New Roman"/>
          <w:color w:val="000000" w:themeColor="text1"/>
          <w:sz w:val="16"/>
          <w:szCs w:val="16"/>
        </w:rPr>
        <w:softHyphen/>
        <w:t>дарм Я.И. Алкснис требовал заключить договор еще до окончания испытаний. 24 января 1934 г. оформили первый заказ на восемь стандартных моторов без внесения последних изменений. Два из них отгрузили из Франции 28 января, а еще шесть — 27 февраля. Из числа купленных шесть моторов были типа 12УЪг§ и два — 12Усгз (под 20-мм пушку Испано 89). В итоге входивший в комиссию военинженер М.А. Левин предложил взять мотор в первоначальном виде, но ограничить его мощность номи</w:t>
      </w:r>
      <w:r w:rsidRPr="00C33834">
        <w:rPr>
          <w:rFonts w:ascii="Times New Roman" w:hAnsi="Times New Roman"/>
          <w:color w:val="000000" w:themeColor="text1"/>
          <w:sz w:val="16"/>
          <w:szCs w:val="16"/>
        </w:rPr>
        <w:softHyphen/>
        <w:t>налом — 750 л.с. Даже при этом он превосходил по удельной мощности и высотным характеристикам все двигатели советского производства. По</w:t>
      </w:r>
      <w:r w:rsidRPr="00C33834">
        <w:rPr>
          <w:rFonts w:ascii="Times New Roman" w:hAnsi="Times New Roman"/>
          <w:color w:val="000000" w:themeColor="text1"/>
          <w:sz w:val="16"/>
          <w:szCs w:val="16"/>
        </w:rPr>
        <w:softHyphen/>
        <w:t>вторные испытания показали, что в этом случае ресурс «Испано-Сюизы» достаточно велик. 14 июня 1934 г. наконец-то подписали соглашение с фир</w:t>
      </w:r>
      <w:r w:rsidRPr="00C33834">
        <w:rPr>
          <w:rFonts w:ascii="Times New Roman" w:hAnsi="Times New Roman"/>
          <w:color w:val="000000" w:themeColor="text1"/>
          <w:sz w:val="16"/>
          <w:szCs w:val="16"/>
        </w:rPr>
        <w:softHyphen/>
        <w:t>мой о помощи в организации производства в СССР. Им предусматривалось, что она предоставит документацию, образцы двигателей, ознакомит совет</w:t>
      </w:r>
      <w:r w:rsidRPr="00C33834">
        <w:rPr>
          <w:rFonts w:ascii="Times New Roman" w:hAnsi="Times New Roman"/>
          <w:color w:val="000000" w:themeColor="text1"/>
          <w:sz w:val="16"/>
          <w:szCs w:val="16"/>
        </w:rPr>
        <w:softHyphen/>
        <w:t>ских специалистов с применяемой технологией. Срок договора заканчивался 26 марта 1938 г. До этого времени фирма должна была сообщать советской стороне обо всех изменениях, вносимых в серийные двигатели. Освоение производства французского мотора, получившего советское обозначение М-100, планировали сначала на заводе № 24 в Москве, а затем перенесли на завод № 26 в Рыбинске, где до этого изготовляли дви</w:t>
      </w:r>
      <w:r w:rsidRPr="00C33834">
        <w:rPr>
          <w:rFonts w:ascii="Times New Roman" w:hAnsi="Times New Roman"/>
          <w:color w:val="000000" w:themeColor="text1"/>
          <w:sz w:val="16"/>
          <w:szCs w:val="16"/>
        </w:rPr>
        <w:softHyphen/>
        <w:t>гатели М-17. По первоначальным планам завод № 26 должен был перей</w:t>
      </w:r>
      <w:r w:rsidRPr="00C33834">
        <w:rPr>
          <w:rFonts w:ascii="Times New Roman" w:hAnsi="Times New Roman"/>
          <w:color w:val="000000" w:themeColor="text1"/>
          <w:sz w:val="16"/>
          <w:szCs w:val="16"/>
        </w:rPr>
        <w:softHyphen/>
        <w:t>ти на выпуск двигателей У-1800 «Конкверор» по лицензии «Кэртис-Райт корпорейшн». Для этого в США специально подготовили документацию и опытные образцы моторов в метрической системе. Технология специально разрабатывалась под оборудование завода в Рыбинске. Но о «Конквероре» приказано было забыть. Постановлением Совета труда и обороны предписывалось уже до конца 1934 г. собрать 15 моторов из французских деталей, в следующем году выпустить не менее 600 двигателей. Оно же требовало создания кон</w:t>
      </w:r>
      <w:r w:rsidRPr="00C33834">
        <w:rPr>
          <w:rFonts w:ascii="Times New Roman" w:hAnsi="Times New Roman"/>
          <w:color w:val="000000" w:themeColor="text1"/>
          <w:sz w:val="16"/>
          <w:szCs w:val="16"/>
        </w:rPr>
        <w:softHyphen/>
        <w:t>структорского отдела, который занялся бы совершенствованием «Испано-Сюизы» в плане повышения мощности, высотности, надежности и умень</w:t>
      </w:r>
      <w:r w:rsidRPr="00C33834">
        <w:rPr>
          <w:rFonts w:ascii="Times New Roman" w:hAnsi="Times New Roman"/>
          <w:color w:val="000000" w:themeColor="text1"/>
          <w:sz w:val="16"/>
          <w:szCs w:val="16"/>
        </w:rPr>
        <w:softHyphen/>
        <w:t>шения расхода горючего и масла. В июле 1934 г. конструкторский отдел завода № 26 был создан. Главным конструктором назначили Климова. До</w:t>
      </w:r>
      <w:r w:rsidRPr="00C33834">
        <w:rPr>
          <w:rFonts w:ascii="Times New Roman" w:hAnsi="Times New Roman"/>
          <w:color w:val="000000" w:themeColor="text1"/>
          <w:sz w:val="16"/>
          <w:szCs w:val="16"/>
        </w:rPr>
        <w:softHyphen/>
        <w:t xml:space="preserve">кументация от фирмы поступила с опозданием против сроков договора, что вызвало задержку с началом производства. Советское торгпредство взыскало </w:t>
      </w:r>
      <w:r w:rsidRPr="00C33834">
        <w:rPr>
          <w:rFonts w:ascii="Times New Roman" w:hAnsi="Times New Roman"/>
          <w:color w:val="000000" w:themeColor="text1"/>
          <w:sz w:val="16"/>
          <w:szCs w:val="16"/>
        </w:rPr>
        <w:lastRenderedPageBreak/>
        <w:t>с фирмы «Испано-Сюиза» неустойку — 2 600 000 франков. Под руководством Климова документацию переделали под советские стандарты, подобрали отечественные аналоги применявшихся французской фирмой материалов. В 1935 г. из цехов завода в Рыбинске вышли первые М-100, аналогичные французской модификации 12УЬг§. М-100 устанавливались на знаменитый бомбардировщик СБ, созданный под руководством А.Н. Туполева. Их выпускали в больших количествах, поставляли на экспорт в Китай и Испанию. В боевых операциях М-100 доказал свою надежность. Однако ранние моторы советского производ</w:t>
      </w:r>
      <w:r w:rsidRPr="00C33834">
        <w:rPr>
          <w:rFonts w:ascii="Times New Roman" w:hAnsi="Times New Roman"/>
          <w:color w:val="000000" w:themeColor="text1"/>
          <w:sz w:val="16"/>
          <w:szCs w:val="16"/>
        </w:rPr>
        <w:softHyphen/>
        <w:t>ства оказались тяжелее французских и развивали меньшую мощность. Но М-100 оказался неплохо приспособлен к дальнейшему совершенство</w:t>
      </w:r>
      <w:r w:rsidRPr="00C33834">
        <w:rPr>
          <w:rFonts w:ascii="Times New Roman" w:hAnsi="Times New Roman"/>
          <w:color w:val="000000" w:themeColor="text1"/>
          <w:sz w:val="16"/>
          <w:szCs w:val="16"/>
        </w:rPr>
        <w:softHyphen/>
        <w:t>ванию. В итоге этот двигатель стал родоначальником большого семейства советских поршневых авиамоторов, спроектированных под руководством Климова. Все они сохраняли характерные размеры и те или иные конструктивные черты «Испано-Сюизы». Сначала Кли</w:t>
      </w:r>
      <w:r w:rsidRPr="00C33834">
        <w:rPr>
          <w:rFonts w:ascii="Times New Roman" w:hAnsi="Times New Roman"/>
          <w:color w:val="000000" w:themeColor="text1"/>
          <w:sz w:val="16"/>
          <w:szCs w:val="16"/>
        </w:rPr>
        <w:softHyphen/>
        <w:t>мов лишь незначительно усовершенство</w:t>
      </w:r>
      <w:r w:rsidRPr="00C33834">
        <w:rPr>
          <w:rFonts w:ascii="Times New Roman" w:hAnsi="Times New Roman"/>
          <w:color w:val="000000" w:themeColor="text1"/>
          <w:sz w:val="16"/>
          <w:szCs w:val="16"/>
        </w:rPr>
        <w:softHyphen/>
        <w:t>вал французский оригинал. Появились модификации М-100А и М-100АУ. Затем конструкция двигателя начала меняться более существенно. Эволюция потомков «Испано-Сюизы» не была прямолиней</w:t>
      </w:r>
      <w:r w:rsidRPr="00C33834">
        <w:rPr>
          <w:rFonts w:ascii="Times New Roman" w:hAnsi="Times New Roman"/>
          <w:color w:val="000000" w:themeColor="text1"/>
          <w:sz w:val="16"/>
          <w:szCs w:val="16"/>
        </w:rPr>
        <w:softHyphen/>
        <w:t>ной. В ней появлялись и тупиковые вет</w:t>
      </w:r>
      <w:r w:rsidRPr="00C33834">
        <w:rPr>
          <w:rFonts w:ascii="Times New Roman" w:hAnsi="Times New Roman"/>
          <w:color w:val="000000" w:themeColor="text1"/>
          <w:sz w:val="16"/>
          <w:szCs w:val="16"/>
        </w:rPr>
        <w:softHyphen/>
        <w:t>ви, не приведшие к внедрению отдель</w:t>
      </w:r>
      <w:r w:rsidRPr="00C33834">
        <w:rPr>
          <w:rFonts w:ascii="Times New Roman" w:hAnsi="Times New Roman"/>
          <w:color w:val="000000" w:themeColor="text1"/>
          <w:sz w:val="16"/>
          <w:szCs w:val="16"/>
        </w:rPr>
        <w:softHyphen/>
        <w:t>ных типов в серию. Первым удачным мотором, созданным Климовым на базе «Испано-Сюизы», стал М-103, давший прирост мощности более 100 л.с. Даль</w:t>
      </w:r>
      <w:r w:rsidRPr="00C33834">
        <w:rPr>
          <w:rFonts w:ascii="Times New Roman" w:hAnsi="Times New Roman"/>
          <w:color w:val="000000" w:themeColor="text1"/>
          <w:sz w:val="16"/>
          <w:szCs w:val="16"/>
        </w:rPr>
        <w:softHyphen/>
        <w:t>нейшим развитием М-103 был М-104. Цифровые обозначения всех моторов этого семейства начинались с «100». В начале Второй мировой войны кон</w:t>
      </w:r>
      <w:r w:rsidRPr="00C33834">
        <w:rPr>
          <w:rFonts w:ascii="Times New Roman" w:hAnsi="Times New Roman"/>
          <w:color w:val="000000" w:themeColor="text1"/>
          <w:sz w:val="16"/>
          <w:szCs w:val="16"/>
        </w:rPr>
        <w:softHyphen/>
        <w:t>структорское бюро вело разработку двух перспективных двигателей — М-105 и М-106, Второй из них доводился очень Долго и был выпущен лишь небольшой начала проектирования. М-105 же стал самым массовым двигателем совет</w:t>
      </w:r>
      <w:r w:rsidRPr="00C33834">
        <w:rPr>
          <w:rFonts w:ascii="Times New Roman" w:hAnsi="Times New Roman"/>
          <w:color w:val="000000" w:themeColor="text1"/>
          <w:sz w:val="16"/>
          <w:szCs w:val="16"/>
        </w:rPr>
        <w:softHyphen/>
        <w:t>ских ВВС периода войны. Он выпускался четырьмя заводами до 1947 г. и неоднократно модернизировался. В последней модификации, М-105ПФ-2 взлетную мощность довели до 1290 л.с. Моторы Климова стояли на самых массовых в годы войны истребителях А.С. Яковлева (Як-1, Як-3, Як-7 и Як-9),^ истребителях ЛаГГ-3, пикирующих бомбардировщиках Пе-2. В кон</w:t>
      </w:r>
      <w:r w:rsidRPr="00C33834">
        <w:rPr>
          <w:rFonts w:ascii="Times New Roman" w:hAnsi="Times New Roman"/>
          <w:color w:val="000000" w:themeColor="text1"/>
          <w:sz w:val="16"/>
          <w:szCs w:val="16"/>
        </w:rPr>
        <w:softHyphen/>
        <w:t>це войны и в послевоенные годы эти двигатели поставлялись в Польшу, Чехословакию, Болгарию, Югославию, Китай и Северную Корею. В ознаменование заслуг Климова в марте 1944 г. его включили в круг конструкторов-моторостроителей, получивших право обозначать свои тво</w:t>
      </w:r>
      <w:r w:rsidRPr="00C33834">
        <w:rPr>
          <w:rFonts w:ascii="Times New Roman" w:hAnsi="Times New Roman"/>
          <w:color w:val="000000" w:themeColor="text1"/>
          <w:sz w:val="16"/>
          <w:szCs w:val="16"/>
        </w:rPr>
        <w:softHyphen/>
        <w:t>рения личными инициалами. Теперь наименования моторов этого кон</w:t>
      </w:r>
      <w:r w:rsidRPr="00C33834">
        <w:rPr>
          <w:rFonts w:ascii="Times New Roman" w:hAnsi="Times New Roman"/>
          <w:color w:val="000000" w:themeColor="text1"/>
          <w:sz w:val="16"/>
          <w:szCs w:val="16"/>
        </w:rPr>
        <w:softHyphen/>
        <w:t>структора начинались с букв «ВК» — «Владимир Климов». После этого М-105 превратился в ВК-105. Все последующие двигатели Климова так</w:t>
      </w:r>
      <w:r w:rsidRPr="00C33834">
        <w:rPr>
          <w:rFonts w:ascii="Times New Roman" w:hAnsi="Times New Roman"/>
          <w:color w:val="000000" w:themeColor="text1"/>
          <w:sz w:val="16"/>
          <w:szCs w:val="16"/>
        </w:rPr>
        <w:softHyphen/>
        <w:t>же получили подобные обозначения. Более ранние конструкции (М-103. М-104), к тому времени еще эксплуатировавшиеся в военной и граждан</w:t>
      </w:r>
      <w:r w:rsidRPr="00C33834">
        <w:rPr>
          <w:rFonts w:ascii="Times New Roman" w:hAnsi="Times New Roman"/>
          <w:color w:val="000000" w:themeColor="text1"/>
          <w:sz w:val="16"/>
          <w:szCs w:val="16"/>
        </w:rPr>
        <w:softHyphen/>
        <w:t>ской авиации, сохранили старые наименования. Более поздние поршневые двигатели Климова, ВК-107, ВК-108 и ВК-109, уже не стали столь массовыми, хотя М-107 выпускался в до</w:t>
      </w:r>
      <w:r w:rsidRPr="00C33834">
        <w:rPr>
          <w:rFonts w:ascii="Times New Roman" w:hAnsi="Times New Roman"/>
          <w:color w:val="000000" w:themeColor="text1"/>
          <w:sz w:val="16"/>
          <w:szCs w:val="16"/>
        </w:rPr>
        <w:softHyphen/>
        <w:t>вольно больших количествах и устанавливался на серийных истребителях Як-3 и Як-9. Оснащенные им самолеты участвовали в боевых операциях в конце Великой Отечественной войны и сохранялись на вооружении до начала 50-х годов. Они также поставлялись на экспорт и применялись в войне в Корее (11852).</w:t>
      </w:r>
    </w:p>
    <w:p w14:paraId="00C3279D" w14:textId="77777777" w:rsidR="00EA298A" w:rsidRPr="00C33834" w:rsidRDefault="00EA298A"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D36788"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августа 1933 СТО утвердил площадку для ЦАГИ вблизи Раменское - Стаханово - Жуковский (80,40).</w:t>
      </w:r>
    </w:p>
    <w:p w14:paraId="1E37C0C6"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пока не в Раменском. В первом пятилетнем плане появилась задача строительства нового ЦАГИ и сначала хотели сделать его в Переяславле-Залесском на Плещеевом озере (вообще искали обязательно озеро), но почва на выделенном участке оказалась болотистой (307).</w:t>
      </w:r>
    </w:p>
    <w:p w14:paraId="5BEB2E3D"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6859D0D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13 августа в 1933 году Совет Труда и Обороны утвердил строительную площадку нового ЦАГИ, началось ее освоение </w:t>
      </w:r>
    </w:p>
    <w:p w14:paraId="58ADE3E1" w14:textId="77777777" w:rsidR="00871A0E" w:rsidRPr="00C33834" w:rsidRDefault="00871A0E" w:rsidP="00C33834">
      <w:pPr>
        <w:spacing w:after="0" w:line="240" w:lineRule="auto"/>
        <w:jc w:val="both"/>
        <w:rPr>
          <w:rFonts w:ascii="Times New Roman" w:hAnsi="Times New Roman"/>
          <w:color w:val="000000" w:themeColor="text1"/>
          <w:sz w:val="16"/>
          <w:szCs w:val="16"/>
        </w:rPr>
      </w:pPr>
    </w:p>
    <w:p w14:paraId="220C20C8"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августа 1933 вторая неудачная попытка запуска ГИРД-Р-1 (09). Успешный запуск ракеты состоялся 17 августа, однако из-за негерметичности одного из фланцев двигателя нормальный полет продолжался до высоты около 400 м. Были еще две неудачные попытки запуска ракеты — 5 и 6 ноября. Дальнейшие работы по ракете не планировались (10676).</w:t>
      </w:r>
    </w:p>
    <w:p w14:paraId="46525DAA"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60E027C2" w14:textId="77777777" w:rsidR="00EA298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26237FD" w14:textId="77777777" w:rsidR="00EA298A" w:rsidRPr="00C33834" w:rsidRDefault="00EA298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D0A97B6"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августа 1933 вышло постановление СТО N 71сс О системе танкового (автобронетанкового) вооружения РККА и именно после этого началась разработка танковых дизелей (3879,39). В нем указывалось: “С 1934 г. Начать постепенное внедрение в производство в качестве оперативного танка плавающей машины ПТ-1 с таким расчетом, чтобы в 1936 полностью перейти на развернутое производство этого танка на базе и за счет производства Б-Т.” (3881,3).</w:t>
      </w:r>
    </w:p>
    <w:p w14:paraId="7A6B00CC"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760A9096" w14:textId="77777777" w:rsidR="00EA298A" w:rsidRPr="00C33834" w:rsidRDefault="00EA298A"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августа 1933 г. была утверждена новая «система бронетанкового вооружения», в которой было принято решение о том, что танк Т-35 должен быть заменен новым танком прорыва, однако вплоть до его сконструирования «трид</w:t>
      </w:r>
      <w:r w:rsidRPr="00C33834">
        <w:rPr>
          <w:rFonts w:ascii="Times New Roman" w:hAnsi="Times New Roman"/>
          <w:color w:val="000000" w:themeColor="text1"/>
          <w:sz w:val="16"/>
          <w:szCs w:val="16"/>
        </w:rPr>
        <w:softHyphen/>
        <w:t>цать пятый» должен был оставаться в серии (10733,274).</w:t>
      </w:r>
    </w:p>
    <w:p w14:paraId="0E59BBB6" w14:textId="77777777" w:rsidR="00EA298A" w:rsidRPr="00C33834" w:rsidRDefault="00EA298A"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82FA47" w14:textId="77777777" w:rsidR="00A804B1" w:rsidRPr="00C33834" w:rsidRDefault="00A804B1" w:rsidP="00C33834">
      <w:pPr>
        <w:pStyle w:val="rtejustify"/>
        <w:spacing w:before="0" w:after="0"/>
        <w:rPr>
          <w:color w:val="000000" w:themeColor="text1"/>
          <w:sz w:val="16"/>
          <w:szCs w:val="16"/>
        </w:rPr>
      </w:pPr>
      <w:r w:rsidRPr="00C33834">
        <w:rPr>
          <w:rStyle w:val="af0"/>
          <w:bCs/>
          <w:i w:val="0"/>
          <w:color w:val="000000" w:themeColor="text1"/>
          <w:sz w:val="16"/>
          <w:szCs w:val="16"/>
        </w:rPr>
        <w:t>13 августа</w:t>
      </w:r>
      <w:r w:rsidRPr="00C33834">
        <w:rPr>
          <w:color w:val="000000" w:themeColor="text1"/>
          <w:sz w:val="16"/>
          <w:szCs w:val="16"/>
        </w:rPr>
        <w:t xml:space="preserve">. </w:t>
      </w:r>
      <w:hyperlink r:id="rId291" w:history="1">
        <w:r w:rsidRPr="00C33834">
          <w:rPr>
            <w:rStyle w:val="a5"/>
            <w:color w:val="000000" w:themeColor="text1"/>
            <w:sz w:val="16"/>
            <w:szCs w:val="16"/>
          </w:rPr>
          <w:t>Постановление СТО СССР № 71сс/о «О системе танкового вооружения РККА»</w:t>
        </w:r>
      </w:hyperlink>
      <w:r w:rsidRPr="00C33834">
        <w:rPr>
          <w:color w:val="000000" w:themeColor="text1"/>
          <w:sz w:val="16"/>
          <w:szCs w:val="16"/>
        </w:rPr>
        <w:t>. (ГА РФ. Ф. Р</w:t>
      </w:r>
      <w:r w:rsidRPr="00C33834">
        <w:rPr>
          <w:color w:val="000000" w:themeColor="text1"/>
          <w:sz w:val="16"/>
          <w:szCs w:val="16"/>
        </w:rPr>
        <w:noBreakHyphen/>
        <w:t>8418. Оп. 28. Д. 2. Л. 72</w:t>
      </w:r>
      <w:r w:rsidRPr="00C33834">
        <w:rPr>
          <w:color w:val="000000" w:themeColor="text1"/>
          <w:sz w:val="16"/>
          <w:szCs w:val="16"/>
        </w:rPr>
        <w:noBreakHyphen/>
        <w:t>88) (15460).</w:t>
      </w:r>
    </w:p>
    <w:p w14:paraId="72C8425E" w14:textId="77777777" w:rsidR="00A804B1" w:rsidRPr="00C33834" w:rsidRDefault="00A804B1" w:rsidP="00C33834">
      <w:pPr>
        <w:pStyle w:val="rtejustify"/>
        <w:spacing w:before="0" w:after="0"/>
        <w:rPr>
          <w:color w:val="000000" w:themeColor="text1"/>
          <w:sz w:val="16"/>
          <w:szCs w:val="16"/>
        </w:rPr>
      </w:pPr>
    </w:p>
    <w:p w14:paraId="1F58501B" w14:textId="77777777" w:rsidR="003C1030" w:rsidRPr="00C33834" w:rsidRDefault="003C103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13 августа 1933 г. Комиссия обороны рассмотрела вопрос о системе танкового перевооружения РККА. В основу ее решений были положены директивы И.В. Сталина:</w:t>
      </w:r>
    </w:p>
    <w:p w14:paraId="1A05CBB1" w14:textId="77777777" w:rsidR="003C1030" w:rsidRPr="00C33834" w:rsidRDefault="003C103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Свести все образцы танкового вооружения к 5 типам; 2. Перевести основные типы танков с гусеничного хода на колесно-гусеничный; 3. Разработать переход всех типов танков на дизель-мотор; 4. Улучшить качество боевых машин, находящихся на вооружении (РГВА. Ф. 4. Оп. 14. Д. 1272. Л. 21) (21522).</w:t>
      </w:r>
    </w:p>
    <w:p w14:paraId="6B63FB66" w14:textId="77777777" w:rsidR="003C1030" w:rsidRPr="00C33834" w:rsidRDefault="003C1030" w:rsidP="00C33834">
      <w:pPr>
        <w:spacing w:after="0" w:line="240" w:lineRule="auto"/>
        <w:jc w:val="both"/>
        <w:rPr>
          <w:rFonts w:ascii="Times New Roman" w:hAnsi="Times New Roman"/>
          <w:color w:val="0070C0"/>
          <w:sz w:val="16"/>
          <w:szCs w:val="16"/>
        </w:rPr>
      </w:pPr>
    </w:p>
    <w:p w14:paraId="07A7026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августа 1933 г. Постановление СТО СССР № 71сс/о «О системе танкового вооружения РККА»</w:t>
      </w:r>
    </w:p>
    <w:p w14:paraId="2D14768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Совершенно секретно.</w:t>
      </w:r>
    </w:p>
    <w:p w14:paraId="0512C5C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Успехи социалистического строительства в первой пятилетке обеспечили превращение Рабоче-крестьянской Красной армии из армии в отношении механизации отсталой в армию передовую как по количеству, так и по качеству боевых машин, состоящих на вооружении и поставленных на массовое производство. Заново создана специальная производственная база по танкостроению, обеспечивающая уже в настоящее время производство 11 тыс. танков в год.</w:t>
      </w:r>
    </w:p>
    <w:p w14:paraId="3C39018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За этот же период времени выращены новые молодые конструкторские силы, в результате работы которых Красная армия получила на вооружение танки, не уступающие танкам капиталистических армий, а по некоторым типам, превосходящее их.</w:t>
      </w:r>
    </w:p>
    <w:p w14:paraId="71FCB3BE"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Наряду с этими огромными достижениями остаются еще неразрешенными следующие серьезнейшие задачи: а) мобилизационные производственные мощности промышленности не доведены до установленных правительством размеров; б) некомплектная подача вооружения, оптики, радиоустановок, в связи с чем налицо разрыв между количеством изготовленных танков и количеством укомплектованных до полной боевой готовности их; в) отсутствие самостоятельной производственной базы для мотора танка БТ; г) слаба обеспеченность боевых и транспортных машин запасными частями, инструментом и необходимыми приспособлениями; д) слабо еще механизирован и моторизован тыл мехсоединений и танковых частей; е) отсутствует промышленная ремонтная база для боевых и транспортных машин как для мирного, так и особенно на военное время; ж) еще не окончательно ликвидирована зависимость танкостроения от импорта, в частности по шарикоподшипникам и электрооборудованию; з) не вполне удовлетворительное качество производства танков, как то: броня, производство и сборка моторов и коробок скоростей; и) недостаточно подготовлено производство 45</w:t>
      </w:r>
      <w:r w:rsidRPr="00C33834">
        <w:rPr>
          <w:rFonts w:ascii="Times New Roman" w:hAnsi="Times New Roman"/>
          <w:color w:val="000000" w:themeColor="text1"/>
          <w:sz w:val="16"/>
          <w:szCs w:val="16"/>
        </w:rPr>
        <w:noBreakHyphen/>
        <w:t>мм танковых пушек и выстрелов для них; к) не разрешен полностью вопрос о создании мобилизационных запасов, средств подвоза горючего и смазочного и пунктов питания; л) недостаточная обеспеченность войсковых механизированных частей и соединений мастерскими и гаражами.</w:t>
      </w:r>
    </w:p>
    <w:p w14:paraId="06886B1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Основными задачами на вторую пятилетку в области механизации РККА поставить: 1. В течение второй пятилетки должен быть достигнут такой размах механизации армии, который бы позволил механизированным войскам стать одним из основных, решающих элементов в боевых операциях.</w:t>
      </w:r>
    </w:p>
    <w:p w14:paraId="3A81674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Признать необходимым закончить в течение 1933</w:t>
      </w:r>
      <w:r w:rsidRPr="00C33834">
        <w:rPr>
          <w:rFonts w:ascii="Times New Roman" w:hAnsi="Times New Roman"/>
          <w:color w:val="000000" w:themeColor="text1"/>
          <w:sz w:val="16"/>
          <w:szCs w:val="16"/>
        </w:rPr>
        <w:noBreakHyphen/>
        <w:t>1934 гг. подготовку мобилизационно-производственной базы, обеспечивающей в военное время выпуск массового количества современных танков, согласно ранее принятым решениям.</w:t>
      </w:r>
    </w:p>
    <w:p w14:paraId="1164471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В текущем 1933 г. решительно ликвидировать некомплектность по вооружению, приборам управления огнем и связи выпускаемых из производства машин и окончательно ликвидировать импортную зависимость по шарикоподшипникам и электрооборудованию.</w:t>
      </w:r>
    </w:p>
    <w:p w14:paraId="4F091D7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 течение года обеспечить моторизацию, механизацию тыла механизированных соединений и танковых частей вспомогательными машинами: автопоходные мастерские, цистерны, машины технической помощи, водо-масло-заправщики, моечные машины, бензоколонки и т. д.</w:t>
      </w:r>
    </w:p>
    <w:p w14:paraId="2BBB663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В течение 1933-1934 гг. создать ремонтную базу, обеспечивающую потребность механизированных соединений и танковых частей в ремонте как в мирное, так и в военное время. Еще в 1933 г. создать производственные мощности в размерах, обеспечивающих полную и комплектную подачу запасных частей для ремонта боевых машин.</w:t>
      </w:r>
    </w:p>
    <w:p w14:paraId="4F4C667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w:t>
      </w:r>
    </w:p>
    <w:p w14:paraId="4103454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Утвердить на вторую пятилетку следующую систему бронетанкового вооружения РККА:</w:t>
      </w:r>
    </w:p>
    <w:p w14:paraId="3584DC0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Основные танки — 5 типов: а) Разведывательный танк. Основной танк службы обеспечения всех мехсоединений. Средство боевой разведки и боя пехоты. Основные требования: быстроходность, вездеходность (в том числе плавучесть), маневренность, низкий габарит, дешевизна и массовость производства, б) Общевойсковой танк. Основной танк количественного усиления ТРГК, он же танк общевойсковых соединений. в) Оперативный танк. Танк самостоятельных механизированных соединений. Танк должен быть быстроходным, вездеходным (в том числе плавучим) и мощно вооружен. г) Танк качественного усиления ТРГК. Танк качественного усиления ТРГК для преодолевания сильно укрепленных оборонительных полос. Основные требования: сильное вооружение и броня, быстроходность, позволяющая его применить также в операции совместно с мехсоединениями. д) Мощный танк особого назначения. Танк качественного, добавочного усиления ТРГК при прорыве особо сильно и заблаговременно укрепленных полос. Основное требование — мощное вооружение и броня, защищающая от мелкокалиберных снарядов. Способность бороться с бетонными сооружениями.</w:t>
      </w:r>
    </w:p>
    <w:p w14:paraId="44F8E2D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2. Специальные танки — 7 типов (на шасси, стандартных с перечисленными выше): а) 3 химических (на шасси общевойскового, разведывательного и оперативного танков); б) 2 саперных (на шасси общевойскового танка и танка качественного усиления ТРГК); в) самоходная артиллерийская установка (на агрегатах общевойскового танка; г) танк управления (на шасси общевойскового танка и танка качественного усиления ТРГК).</w:t>
      </w:r>
    </w:p>
    <w:p w14:paraId="1B2308B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Бронемашины — 2 типа: а) разведывательная (на шасси «Форд</w:t>
      </w:r>
      <w:r w:rsidRPr="00C33834">
        <w:rPr>
          <w:rFonts w:ascii="Times New Roman" w:hAnsi="Times New Roman"/>
          <w:color w:val="000000" w:themeColor="text1"/>
          <w:sz w:val="16"/>
          <w:szCs w:val="16"/>
        </w:rPr>
        <w:noBreakHyphen/>
        <w:t>А»); б) боевая (на шасси «Форд</w:t>
      </w:r>
      <w:r w:rsidRPr="00C33834">
        <w:rPr>
          <w:rFonts w:ascii="Times New Roman" w:hAnsi="Times New Roman"/>
          <w:color w:val="000000" w:themeColor="text1"/>
          <w:sz w:val="16"/>
          <w:szCs w:val="16"/>
        </w:rPr>
        <w:noBreakHyphen/>
        <w:t>ЗА»).</w:t>
      </w:r>
    </w:p>
    <w:p w14:paraId="2A12B15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Железнодорожные боевые машины — 2 типа: а) мото-броневагон; б) разведывательная дрезина — бронеавтомобиль (стандартный с бронемашиной).</w:t>
      </w:r>
    </w:p>
    <w:p w14:paraId="2A2B4F4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Тракторы — 3 типа (все типы общегосударственные): а) легкий быстроходный трактор СТЗ</w:t>
      </w:r>
      <w:r w:rsidRPr="00C33834">
        <w:rPr>
          <w:rFonts w:ascii="Times New Roman" w:hAnsi="Times New Roman"/>
          <w:color w:val="000000" w:themeColor="text1"/>
          <w:sz w:val="16"/>
          <w:szCs w:val="16"/>
        </w:rPr>
        <w:noBreakHyphen/>
        <w:t>З; б) тяжелый быстроходный трактор «Коммунар»; в) тяжелый мощный трактор «Сталинец».</w:t>
      </w:r>
    </w:p>
    <w:p w14:paraId="5A8CE80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Транспортеры — 2 типа: а) транспортер боеприпасов на поле боя (шасси стандартное с разведывательным танком); б) транспортер пехоты (на шасси легкого трактора).</w:t>
      </w:r>
    </w:p>
    <w:p w14:paraId="6AAE25D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Транспортные машины (существующие на массовом производстве с установкой трехосных ходовых частей и полугусеничных снежных ходов): а) «Форд</w:t>
      </w:r>
      <w:r w:rsidRPr="00C33834">
        <w:rPr>
          <w:rFonts w:ascii="Times New Roman" w:hAnsi="Times New Roman"/>
          <w:color w:val="000000" w:themeColor="text1"/>
          <w:sz w:val="16"/>
          <w:szCs w:val="16"/>
        </w:rPr>
        <w:noBreakHyphen/>
        <w:t>А»; б) «Форд</w:t>
      </w:r>
      <w:r w:rsidRPr="00C33834">
        <w:rPr>
          <w:rFonts w:ascii="Times New Roman" w:hAnsi="Times New Roman"/>
          <w:color w:val="000000" w:themeColor="text1"/>
          <w:sz w:val="16"/>
          <w:szCs w:val="16"/>
        </w:rPr>
        <w:noBreakHyphen/>
        <w:t>АА»; в) АМО</w:t>
      </w:r>
      <w:r w:rsidRPr="00C33834">
        <w:rPr>
          <w:rFonts w:ascii="Times New Roman" w:hAnsi="Times New Roman"/>
          <w:color w:val="000000" w:themeColor="text1"/>
          <w:sz w:val="16"/>
          <w:szCs w:val="16"/>
        </w:rPr>
        <w:noBreakHyphen/>
        <w:t>5; г) Я</w:t>
      </w:r>
      <w:r w:rsidRPr="00C33834">
        <w:rPr>
          <w:rFonts w:ascii="Times New Roman" w:hAnsi="Times New Roman"/>
          <w:color w:val="000000" w:themeColor="text1"/>
          <w:sz w:val="16"/>
          <w:szCs w:val="16"/>
        </w:rPr>
        <w:noBreakHyphen/>
        <w:t>5.</w:t>
      </w:r>
    </w:p>
    <w:p w14:paraId="35EE860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w:t>
      </w:r>
    </w:p>
    <w:p w14:paraId="1A982A4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Утвердить, в соответствии с этим на первую половину пятилетки сохранение в производстве следующих типов боевых машин: а) Т</w:t>
      </w:r>
      <w:r w:rsidRPr="00C33834">
        <w:rPr>
          <w:rFonts w:ascii="Times New Roman" w:hAnsi="Times New Roman"/>
          <w:color w:val="000000" w:themeColor="text1"/>
          <w:sz w:val="16"/>
          <w:szCs w:val="16"/>
        </w:rPr>
        <w:noBreakHyphen/>
        <w:t>37 — в качестве разведывательного танка; б) Т</w:t>
      </w:r>
      <w:r w:rsidRPr="00C33834">
        <w:rPr>
          <w:rFonts w:ascii="Times New Roman" w:hAnsi="Times New Roman"/>
          <w:color w:val="000000" w:themeColor="text1"/>
          <w:sz w:val="16"/>
          <w:szCs w:val="16"/>
        </w:rPr>
        <w:noBreakHyphen/>
        <w:t>26 — в качестве общевойскового танка; в) БТ — в качестве оперативного танка; г) Т</w:t>
      </w:r>
      <w:r w:rsidRPr="00C33834">
        <w:rPr>
          <w:rFonts w:ascii="Times New Roman" w:hAnsi="Times New Roman"/>
          <w:color w:val="000000" w:themeColor="text1"/>
          <w:sz w:val="16"/>
          <w:szCs w:val="16"/>
        </w:rPr>
        <w:noBreakHyphen/>
        <w:t>28 — в качестве танка качественного усиления ТРГК; д) Т-35 — в качестве мощного танка особого назначения¹*.</w:t>
      </w:r>
    </w:p>
    <w:p w14:paraId="5A9AFC6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III</w:t>
      </w:r>
    </w:p>
    <w:p w14:paraId="06D1B2A5"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целью последующей замены существующих на производстве типов танков на более совершенные конструкции (в соответствии с требованиями системы вооружения): а) начиная с 1934 г. начать постепенное внедрение в производство в качестве оперативного танка плавающей машины ПТ</w:t>
      </w:r>
      <w:r w:rsidRPr="00C33834">
        <w:rPr>
          <w:rFonts w:ascii="Times New Roman" w:hAnsi="Times New Roman"/>
          <w:color w:val="000000" w:themeColor="text1"/>
          <w:sz w:val="16"/>
          <w:szCs w:val="16"/>
        </w:rPr>
        <w:noBreakHyphen/>
        <w:t>1 с таким расчетом, чтобы с 1936 г. полностью перейти на развернутое производство этого танка на базе и за счет производства танка БТ. б) Усовершенствовать конструкцию общевойскового танка Т</w:t>
      </w:r>
      <w:r w:rsidRPr="00C33834">
        <w:rPr>
          <w:rFonts w:ascii="Times New Roman" w:hAnsi="Times New Roman"/>
          <w:color w:val="000000" w:themeColor="text1"/>
          <w:sz w:val="16"/>
          <w:szCs w:val="16"/>
        </w:rPr>
        <w:noBreakHyphen/>
        <w:t>26 и разведывательного танка Т</w:t>
      </w:r>
      <w:r w:rsidRPr="00C33834">
        <w:rPr>
          <w:rFonts w:ascii="Times New Roman" w:hAnsi="Times New Roman"/>
          <w:color w:val="000000" w:themeColor="text1"/>
          <w:sz w:val="16"/>
          <w:szCs w:val="16"/>
        </w:rPr>
        <w:noBreakHyphen/>
        <w:t>37 с целью постановки их на колесно-гусеничный ход с таким расчетом, чтобы с 1936 г. начать развернутое производство колесно-гусеничных танков Т</w:t>
      </w:r>
      <w:r w:rsidRPr="00C33834">
        <w:rPr>
          <w:rFonts w:ascii="Times New Roman" w:hAnsi="Times New Roman"/>
          <w:color w:val="000000" w:themeColor="text1"/>
          <w:sz w:val="16"/>
          <w:szCs w:val="16"/>
        </w:rPr>
        <w:noBreakHyphen/>
        <w:t>26 и Т</w:t>
      </w:r>
      <w:r w:rsidRPr="00C33834">
        <w:rPr>
          <w:rFonts w:ascii="Times New Roman" w:hAnsi="Times New Roman"/>
          <w:color w:val="000000" w:themeColor="text1"/>
          <w:sz w:val="16"/>
          <w:szCs w:val="16"/>
        </w:rPr>
        <w:noBreakHyphen/>
        <w:t>37, взамен производства существующих, в) Усовершенствовать танк Т</w:t>
      </w:r>
      <w:r w:rsidRPr="00C33834">
        <w:rPr>
          <w:rFonts w:ascii="Times New Roman" w:hAnsi="Times New Roman"/>
          <w:color w:val="000000" w:themeColor="text1"/>
          <w:sz w:val="16"/>
          <w:szCs w:val="16"/>
        </w:rPr>
        <w:noBreakHyphen/>
        <w:t>28 путем постановки его на колесно-гусеничный ход, и на производство этой модели танка перейти также с 1936 г. г) Разработать образец и начать в конце пятилетки производство нового, более мощного, чем Т</w:t>
      </w:r>
      <w:r w:rsidRPr="00C33834">
        <w:rPr>
          <w:rFonts w:ascii="Times New Roman" w:hAnsi="Times New Roman"/>
          <w:color w:val="000000" w:themeColor="text1"/>
          <w:sz w:val="16"/>
          <w:szCs w:val="16"/>
        </w:rPr>
        <w:noBreakHyphen/>
        <w:t>35, танка особого назначения, д) Разработать переход всех типов танков на тяжелое топливо (дизель-мотор).</w:t>
      </w:r>
    </w:p>
    <w:p w14:paraId="35BF126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IV</w:t>
      </w:r>
    </w:p>
    <w:p w14:paraId="7E319E3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концу пятилетки (1937 г.) иметь в производстве только следующие типы танков (и соответствующих им специальных машин): а) разведывательный танк Т</w:t>
      </w:r>
      <w:r w:rsidRPr="00C33834">
        <w:rPr>
          <w:rFonts w:ascii="Times New Roman" w:hAnsi="Times New Roman"/>
          <w:color w:val="000000" w:themeColor="text1"/>
          <w:sz w:val="16"/>
          <w:szCs w:val="16"/>
        </w:rPr>
        <w:noBreakHyphen/>
        <w:t>37 колесно-гусеничный; б) общевойсковой танк Т</w:t>
      </w:r>
      <w:r w:rsidRPr="00C33834">
        <w:rPr>
          <w:rFonts w:ascii="Times New Roman" w:hAnsi="Times New Roman"/>
          <w:color w:val="000000" w:themeColor="text1"/>
          <w:sz w:val="16"/>
          <w:szCs w:val="16"/>
        </w:rPr>
        <w:noBreakHyphen/>
        <w:t>26 колесно-гусеничный; в) оперативный танк ПТ</w:t>
      </w:r>
      <w:r w:rsidRPr="00C33834">
        <w:rPr>
          <w:rFonts w:ascii="Times New Roman" w:hAnsi="Times New Roman"/>
          <w:color w:val="000000" w:themeColor="text1"/>
          <w:sz w:val="16"/>
          <w:szCs w:val="16"/>
        </w:rPr>
        <w:noBreakHyphen/>
        <w:t>1; г) танк качественного усиления ТРГК Т</w:t>
      </w:r>
      <w:r w:rsidRPr="00C33834">
        <w:rPr>
          <w:rFonts w:ascii="Times New Roman" w:hAnsi="Times New Roman"/>
          <w:color w:val="000000" w:themeColor="text1"/>
          <w:sz w:val="16"/>
          <w:szCs w:val="16"/>
        </w:rPr>
        <w:noBreakHyphen/>
        <w:t>28 колесно-гусеничный; д) мощный танк особого назначения — новый образец (в случае запоздания сохраняется Т</w:t>
      </w:r>
      <w:r w:rsidRPr="00C33834">
        <w:rPr>
          <w:rFonts w:ascii="Times New Roman" w:hAnsi="Times New Roman"/>
          <w:color w:val="000000" w:themeColor="text1"/>
          <w:sz w:val="16"/>
          <w:szCs w:val="16"/>
        </w:rPr>
        <w:noBreakHyphen/>
        <w:t>35). Все машины на тяжелом топливе.</w:t>
      </w:r>
    </w:p>
    <w:p w14:paraId="508F383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V</w:t>
      </w:r>
    </w:p>
    <w:p w14:paraId="216C4B4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Предусмотреть возможность постановки на производство во время войны имеющегося опытного образца Т</w:t>
      </w:r>
      <w:r w:rsidRPr="00C33834">
        <w:rPr>
          <w:rFonts w:ascii="Times New Roman" w:hAnsi="Times New Roman"/>
          <w:color w:val="000000" w:themeColor="text1"/>
          <w:sz w:val="16"/>
          <w:szCs w:val="16"/>
        </w:rPr>
        <w:noBreakHyphen/>
        <w:t>34 на базе автомобильной промышленности.</w:t>
      </w:r>
    </w:p>
    <w:p w14:paraId="528FDC1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VI</w:t>
      </w:r>
    </w:p>
    <w:p w14:paraId="73FA881C"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Усовершенствовать существующие танковые артиллерийские системы 45</w:t>
      </w:r>
      <w:r w:rsidRPr="00C33834">
        <w:rPr>
          <w:rFonts w:ascii="Times New Roman" w:hAnsi="Times New Roman"/>
          <w:color w:val="000000" w:themeColor="text1"/>
          <w:sz w:val="16"/>
          <w:szCs w:val="16"/>
        </w:rPr>
        <w:noBreakHyphen/>
        <w:t>мм и 76</w:t>
      </w:r>
      <w:r w:rsidRPr="00C33834">
        <w:rPr>
          <w:rFonts w:ascii="Times New Roman" w:hAnsi="Times New Roman"/>
          <w:color w:val="000000" w:themeColor="text1"/>
          <w:sz w:val="16"/>
          <w:szCs w:val="16"/>
        </w:rPr>
        <w:noBreakHyphen/>
        <w:t>мм калибра, поставив на валовое производство, начиная с 1934 г., 76</w:t>
      </w:r>
      <w:r w:rsidRPr="00C33834">
        <w:rPr>
          <w:rFonts w:ascii="Times New Roman" w:hAnsi="Times New Roman"/>
          <w:color w:val="000000" w:themeColor="text1"/>
          <w:sz w:val="16"/>
          <w:szCs w:val="16"/>
        </w:rPr>
        <w:noBreakHyphen/>
        <w:t>мм пушки (типа Сячинтова) с полуавтоматическим затвором, и приступить к разработке специальной танковой пушки 45</w:t>
      </w:r>
      <w:r w:rsidRPr="00C33834">
        <w:rPr>
          <w:rFonts w:ascii="Times New Roman" w:hAnsi="Times New Roman"/>
          <w:color w:val="000000" w:themeColor="text1"/>
          <w:sz w:val="16"/>
          <w:szCs w:val="16"/>
        </w:rPr>
        <w:noBreakHyphen/>
        <w:t>мм калибра автоматического типа.</w:t>
      </w:r>
    </w:p>
    <w:p w14:paraId="6D4497C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VII</w:t>
      </w:r>
    </w:p>
    <w:p w14:paraId="7B7E8B1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Усилить производство танковых перископических и оптических прицелов для 45</w:t>
      </w:r>
      <w:r w:rsidRPr="00C33834">
        <w:rPr>
          <w:rFonts w:ascii="Times New Roman" w:hAnsi="Times New Roman"/>
          <w:color w:val="000000" w:themeColor="text1"/>
          <w:sz w:val="16"/>
          <w:szCs w:val="16"/>
        </w:rPr>
        <w:noBreakHyphen/>
        <w:t>мм, 76</w:t>
      </w:r>
      <w:r w:rsidRPr="00C33834">
        <w:rPr>
          <w:rFonts w:ascii="Times New Roman" w:hAnsi="Times New Roman"/>
          <w:color w:val="000000" w:themeColor="text1"/>
          <w:sz w:val="16"/>
          <w:szCs w:val="16"/>
        </w:rPr>
        <w:noBreakHyphen/>
        <w:t>мм пушек и пулеметов с таким расчетом, чтобы, начиная с 1934 г., полностью все танки были снабжены положенными оптическими приборами.</w:t>
      </w:r>
    </w:p>
    <w:p w14:paraId="40AA282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VIII</w:t>
      </w:r>
    </w:p>
    <w:p w14:paraId="5AD3285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основе утвержденной системы бронетанкового вооружения поручить НКТяжпрому совместно с НКВМ к 1 октября 1933 г. разработать и представить на утверждение правительства план необходимых мероприятий для проведения в жизнь утвержденной системы вооружения.</w:t>
      </w:r>
    </w:p>
    <w:p w14:paraId="71BECEE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должен содержать в себе следующие основные элементы: а) развитие производственной базы; б) развитие ремонтной базы; в) мероприятия по переходу на новые типы; г) мероприятия по изготовлению опытных образцов, обеспечению вооружения и огнеприпасов и т. д.</w:t>
      </w:r>
    </w:p>
    <w:p w14:paraId="4014F43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Председатель Совета труда и обороны В. Молотов/Скрябин</w:t>
      </w:r>
    </w:p>
    <w:p w14:paraId="7EEAFDDC"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секретаря Совета труда и обороны Базилевич</w:t>
      </w:r>
    </w:p>
    <w:p w14:paraId="1819CD1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p w14:paraId="30DEDCD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¹* Танк Т</w:t>
      </w:r>
      <w:r w:rsidRPr="00C33834">
        <w:rPr>
          <w:rFonts w:ascii="Times New Roman" w:hAnsi="Times New Roman"/>
          <w:color w:val="000000" w:themeColor="text1"/>
          <w:sz w:val="16"/>
          <w:szCs w:val="16"/>
        </w:rPr>
        <w:noBreakHyphen/>
        <w:t>37 был разработан конструкторским бюро завода № 37 им. Орджоникидзе в Москве под руководством Н. Н. Козырева. Машина находилась в производстве на заводе № 37 до конца 1933 г. В процессе серийного производства Т</w:t>
      </w:r>
      <w:r w:rsidRPr="00C33834">
        <w:rPr>
          <w:rFonts w:ascii="Times New Roman" w:hAnsi="Times New Roman"/>
          <w:color w:val="000000" w:themeColor="text1"/>
          <w:sz w:val="16"/>
          <w:szCs w:val="16"/>
        </w:rPr>
        <w:noBreakHyphen/>
        <w:t>37 был модернизирован и в последующем с 1933 г. по 1936 г. на заводе выпускался танк Т</w:t>
      </w:r>
      <w:r w:rsidRPr="00C33834">
        <w:rPr>
          <w:rFonts w:ascii="Times New Roman" w:hAnsi="Times New Roman"/>
          <w:color w:val="000000" w:themeColor="text1"/>
          <w:sz w:val="16"/>
          <w:szCs w:val="16"/>
        </w:rPr>
        <w:noBreakHyphen/>
        <w:t>37 А. Однобашенный танк Т</w:t>
      </w:r>
      <w:r w:rsidRPr="00C33834">
        <w:rPr>
          <w:rFonts w:ascii="Times New Roman" w:hAnsi="Times New Roman"/>
          <w:color w:val="000000" w:themeColor="text1"/>
          <w:sz w:val="16"/>
          <w:szCs w:val="16"/>
        </w:rPr>
        <w:noBreakHyphen/>
        <w:t>26 образца 1933 г. был разработан КБ завода «Большевик» под руководством С. А. Гинзбурга. С 1933 по 1938 г. серийно выпускался на заводе № 174 в Ленинграде. Танк БТ-5 был разработан в 1932 г. в КБ ХПЗ под руководством А. О. Фирсова, поставлен на серийное производство в марте 1933 г. и выпускался в Харькове больше года. Был снят с производства в связи с переходом на выпуск танка БТ</w:t>
      </w:r>
      <w:r w:rsidRPr="00C33834">
        <w:rPr>
          <w:rFonts w:ascii="Times New Roman" w:hAnsi="Times New Roman"/>
          <w:color w:val="000000" w:themeColor="text1"/>
          <w:sz w:val="16"/>
          <w:szCs w:val="16"/>
        </w:rPr>
        <w:noBreakHyphen/>
        <w:t>7, разработанный в том же КБ. Танк Т</w:t>
      </w:r>
      <w:r w:rsidRPr="00C33834">
        <w:rPr>
          <w:rFonts w:ascii="Times New Roman" w:hAnsi="Times New Roman"/>
          <w:color w:val="000000" w:themeColor="text1"/>
          <w:sz w:val="16"/>
          <w:szCs w:val="16"/>
        </w:rPr>
        <w:noBreakHyphen/>
        <w:t>28 был разработан в 1932 г. на заводе им. Ворошилова в Ленинграде. Ведущим инженером машины был О. М. Иванов. Серийное производство организовано на заводе «Красный путиловец». Танк Т</w:t>
      </w:r>
      <w:r w:rsidRPr="00C33834">
        <w:rPr>
          <w:rFonts w:ascii="Times New Roman" w:hAnsi="Times New Roman"/>
          <w:color w:val="000000" w:themeColor="text1"/>
          <w:sz w:val="16"/>
          <w:szCs w:val="16"/>
        </w:rPr>
        <w:noBreakHyphen/>
        <w:t>35 разработан в 1933 г. также на машиностроительном заводе им. Ворошилова. Серийное производство организовано на ХПЗ им. Коминтерна.</w:t>
      </w:r>
    </w:p>
    <w:p w14:paraId="70CA7E3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 РФ. Ф. Р-8418. Оп. 28. Д. 2. Л. 72-79. Подлинник (15277).</w:t>
      </w:r>
    </w:p>
    <w:p w14:paraId="2357FB17" w14:textId="77777777" w:rsidR="00871A0E" w:rsidRPr="00C33834" w:rsidRDefault="00871A0E" w:rsidP="00C33834">
      <w:pPr>
        <w:spacing w:after="0" w:line="240" w:lineRule="auto"/>
        <w:jc w:val="both"/>
        <w:rPr>
          <w:rFonts w:ascii="Times New Roman" w:hAnsi="Times New Roman"/>
          <w:color w:val="000000" w:themeColor="text1"/>
          <w:sz w:val="16"/>
          <w:szCs w:val="16"/>
        </w:rPr>
      </w:pPr>
    </w:p>
    <w:p w14:paraId="01485A6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ранее 13 августа 1933 г.¹* Рапорт Главного военно-мобилизационного управления НКТП СССР наркому тяжелой промышленности СССР С. Орджоникидзе о ходе реализации системы танкового перевооружения РККА</w:t>
      </w:r>
    </w:p>
    <w:p w14:paraId="4FBFF77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Совершенно секретно.</w:t>
      </w:r>
    </w:p>
    <w:p w14:paraId="1286050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августа 1933 г. Комиссия обороны утвердила систему танкового перевооружения РККА и постановила с 1936 г. перейти на более совершенные конструкции.</w:t>
      </w:r>
    </w:p>
    <w:p w14:paraId="3A7B863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этом заседании т. Сталин дал директиву: 1. Свести все образцы танкового вооружения к 5 типам. 2. Перевести основные типы танков с гусеничного хода на колесно-гусеничный. 3. Разработать переход всех типов танков на тяжелое топливо (дизель-мотор). 4. Улучшение боевых качеств машин, находящихся на вооружении.</w:t>
      </w:r>
    </w:p>
    <w:p w14:paraId="2FD9511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исполнение директив т. Сталина и постановления КО на Опытном заводе им. Кирова, ХПЗ и заводе № 37 изготовлены опытные образцы танков, обеспечивающие перевооружение РККА в установленные сроки.</w:t>
      </w:r>
    </w:p>
    <w:p w14:paraId="3F098A8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тип. Разведывательные танки (плавающие танкетки)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82"/>
        <w:gridCol w:w="1768"/>
        <w:gridCol w:w="1624"/>
        <w:gridCol w:w="1624"/>
        <w:gridCol w:w="1624"/>
      </w:tblGrid>
      <w:tr w:rsidR="00F26F01" w:rsidRPr="00C33834" w14:paraId="4CCBA2A6" w14:textId="77777777" w:rsidTr="0091093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C14DB7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данные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591A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Находящиеся на</w:t>
            </w:r>
          </w:p>
          <w:p w14:paraId="5D21402E"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вооружении</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FA80B7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Новые образцы танкеток для перевооружения</w:t>
            </w:r>
          </w:p>
        </w:tc>
      </w:tr>
      <w:tr w:rsidR="00F26F01" w:rsidRPr="00C33834" w14:paraId="2DFA0897" w14:textId="77777777" w:rsidTr="0091093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B2BA7C7" w14:textId="77777777" w:rsidR="00871A0E" w:rsidRPr="00C33834" w:rsidRDefault="00871A0E"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D03F3C"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Т-37-А</w:t>
            </w:r>
          </w:p>
          <w:p w14:paraId="14168E4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(гусенично-</w:t>
            </w:r>
          </w:p>
          <w:p w14:paraId="405D1D7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плавающие)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F8E95"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Т-43</w:t>
            </w:r>
          </w:p>
          <w:p w14:paraId="544DC0B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Опытного</w:t>
            </w:r>
          </w:p>
          <w:p w14:paraId="45E8385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завода</w:t>
            </w:r>
          </w:p>
          <w:p w14:paraId="78C5B94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(колесно-</w:t>
            </w:r>
          </w:p>
          <w:p w14:paraId="546256B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гусенично-</w:t>
            </w:r>
          </w:p>
          <w:p w14:paraId="5BA5E76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плавающие)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A247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Т-43</w:t>
            </w:r>
          </w:p>
          <w:p w14:paraId="4846CEB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завода № 37</w:t>
            </w:r>
          </w:p>
          <w:p w14:paraId="5F750D4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(колесно-</w:t>
            </w:r>
          </w:p>
          <w:p w14:paraId="288A8175"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гусенично</w:t>
            </w:r>
          </w:p>
          <w:p w14:paraId="64952F3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плавающие)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1E07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Т-38</w:t>
            </w:r>
          </w:p>
          <w:p w14:paraId="5C4C527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завода № 37</w:t>
            </w:r>
          </w:p>
          <w:p w14:paraId="7704DCB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(гусенично-</w:t>
            </w:r>
          </w:p>
          <w:p w14:paraId="10948D3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плавающие)</w:t>
            </w:r>
          </w:p>
        </w:tc>
      </w:tr>
      <w:tr w:rsidR="00F26F01" w:rsidRPr="00C33834" w14:paraId="6932480F"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2856A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04D2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CDC4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CA84E"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1778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w:t>
            </w:r>
          </w:p>
        </w:tc>
      </w:tr>
      <w:tr w:rsidR="00F26F01" w:rsidRPr="00C33834" w14:paraId="62C0957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034A2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FB64C"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1411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6A49F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4A7A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tc>
      </w:tr>
      <w:tr w:rsidR="00F26F01" w:rsidRPr="00C33834" w14:paraId="3495663F"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331AB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Ширина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4136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9301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765FC"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036DC"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2,12</w:t>
            </w:r>
          </w:p>
        </w:tc>
      </w:tr>
      <w:tr w:rsidR="00F26F01" w:rsidRPr="00C33834" w14:paraId="0C83789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804DE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F3ABBD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5F8A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12A1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94F4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1,45</w:t>
            </w:r>
          </w:p>
        </w:tc>
      </w:tr>
      <w:tr w:rsidR="00F26F01" w:rsidRPr="00C33834" w14:paraId="6620FC5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B50C5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Марка и мощность двигателя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86D1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ГАЗ 40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E816C"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ГАЗ 48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067D33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ГАЗ 48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DD92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ГАЗ 40 л. с.</w:t>
            </w:r>
          </w:p>
        </w:tc>
      </w:tr>
      <w:tr w:rsidR="00F26F01" w:rsidRPr="00C33834" w14:paraId="00118C3B"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7D9EF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на 1 т веса в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7A81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11,4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8761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13,3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6196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888B5"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14,7 л. с.</w:t>
            </w:r>
          </w:p>
        </w:tc>
      </w:tr>
      <w:tr w:rsidR="00F26F01" w:rsidRPr="00C33834" w14:paraId="0A292CE2"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3D6C4E"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0C10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пулемет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9349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пулемет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2FD3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пулемет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8EC9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пулемет</w:t>
            </w:r>
          </w:p>
        </w:tc>
      </w:tr>
      <w:tr w:rsidR="00F26F01" w:rsidRPr="00C33834" w14:paraId="6D25AB7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AB8D4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Боекомплект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7B8F5"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2140 пат.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F528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2500 пат.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D5EA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2500 пат.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6130C"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1512 пат.</w:t>
            </w:r>
          </w:p>
        </w:tc>
      </w:tr>
      <w:tr w:rsidR="00F26F01" w:rsidRPr="00C33834" w14:paraId="20B72F5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2FFAF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Команда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B2CE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6274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CCF3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557D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чел.</w:t>
            </w:r>
          </w:p>
        </w:tc>
      </w:tr>
      <w:tr w:rsidR="00F26F01" w:rsidRPr="00C33834" w14:paraId="00278903"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A0EA5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 на гусенице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AC02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9987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BDFD5"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6C1D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 км</w:t>
            </w:r>
          </w:p>
        </w:tc>
      </w:tr>
      <w:tr w:rsidR="00F26F01" w:rsidRPr="00C33834" w14:paraId="286E8C9B"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BFF02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 на колесах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C4375"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4D86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CCFC4F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3D27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61E2EB2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14DA9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 на плаву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1D8B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4083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B61F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95D7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км</w:t>
            </w:r>
          </w:p>
        </w:tc>
      </w:tr>
      <w:tr w:rsidR="00F26F01" w:rsidRPr="00C33834" w14:paraId="6A7A7F7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632F7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Высота преод[олеваемых] препятствий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110A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9568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A1E5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9BAA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0,5</w:t>
            </w:r>
          </w:p>
        </w:tc>
      </w:tr>
      <w:tr w:rsidR="00F26F01" w:rsidRPr="00C33834" w14:paraId="57FA521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79008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Ширина преод[олеваемого] рва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5FE0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F3B5E"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5636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379F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r>
      <w:tr w:rsidR="00F26F01" w:rsidRPr="00C33834" w14:paraId="403EEF9C"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2B3A8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Запас горючего —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04905"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E1CB5"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0281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DE5A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w:t>
            </w:r>
          </w:p>
        </w:tc>
      </w:tr>
      <w:tr w:rsidR="00F26F01" w:rsidRPr="00C33834" w14:paraId="083C485A"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7B0E4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Запас хода — на гусеницах —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EEAF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902A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6F93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2755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r>
      <w:tr w:rsidR="00F26F01" w:rsidRPr="00C33834" w14:paraId="4729FD75"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B04B9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Запас хода — на колесах —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0776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0C5C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0B265"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8A8A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1C516FD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ED4A9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Броня —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38D6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9-6-4</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4564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9-8-6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E9B9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9-8-6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2BEE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9-6-4</w:t>
            </w:r>
          </w:p>
        </w:tc>
      </w:tr>
      <w:tr w:rsidR="00F26F01" w:rsidRPr="00C33834" w14:paraId="0B73FE15"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3D5EF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Ведущие колеса колесного хода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19A0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EC61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298E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0BE5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bl>
    <w:p w14:paraId="7BE72E9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Выводы</w:t>
      </w:r>
    </w:p>
    <w:p w14:paraId="6EF425B5"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Новые образцы Т</w:t>
      </w:r>
      <w:r w:rsidRPr="00C33834">
        <w:rPr>
          <w:rFonts w:ascii="Times New Roman" w:hAnsi="Times New Roman"/>
          <w:color w:val="000000" w:themeColor="text1"/>
          <w:sz w:val="16"/>
          <w:szCs w:val="16"/>
        </w:rPr>
        <w:noBreakHyphen/>
        <w:t>43, по сравнению со старым типом Т</w:t>
      </w:r>
      <w:r w:rsidRPr="00C33834">
        <w:rPr>
          <w:rFonts w:ascii="Times New Roman" w:hAnsi="Times New Roman"/>
          <w:color w:val="000000" w:themeColor="text1"/>
          <w:sz w:val="16"/>
          <w:szCs w:val="16"/>
        </w:rPr>
        <w:noBreakHyphen/>
        <w:t>37А, имеют большую маневренность (колесный ход) с 4 ведущими колесами, большую проходимость, больший запас горючего, большую мощность, больший запас хода и лучшую пулестойкость в силу многогранности корпуса. Плавающая танкетка Т</w:t>
      </w:r>
      <w:r w:rsidRPr="00C33834">
        <w:rPr>
          <w:rFonts w:ascii="Times New Roman" w:hAnsi="Times New Roman"/>
          <w:color w:val="000000" w:themeColor="text1"/>
          <w:sz w:val="16"/>
          <w:szCs w:val="16"/>
        </w:rPr>
        <w:noBreakHyphen/>
        <w:t>38, хотя и оставлена только на гусеничном ходу, все же имеет ряд преимуществ перед старым типом Т</w:t>
      </w:r>
      <w:r w:rsidRPr="00C33834">
        <w:rPr>
          <w:rFonts w:ascii="Times New Roman" w:hAnsi="Times New Roman"/>
          <w:color w:val="000000" w:themeColor="text1"/>
          <w:sz w:val="16"/>
          <w:szCs w:val="16"/>
        </w:rPr>
        <w:noBreakHyphen/>
        <w:t>37 А, как то: значительно меньшая высота, легче весом на 0,8 т, быстрее на ходу, проще в производстве.</w:t>
      </w:r>
    </w:p>
    <w:p w14:paraId="2757878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разведывательных танков в Англии куплен дизель-мотор «Перкинс», который испытан на танкетке Т</w:t>
      </w:r>
      <w:r w:rsidRPr="00C33834">
        <w:rPr>
          <w:rFonts w:ascii="Times New Roman" w:hAnsi="Times New Roman"/>
          <w:color w:val="000000" w:themeColor="text1"/>
          <w:sz w:val="16"/>
          <w:szCs w:val="16"/>
        </w:rPr>
        <w:noBreakHyphen/>
        <w:t>37 А и будет использован на новых образцах Т</w:t>
      </w:r>
      <w:r w:rsidRPr="00C33834">
        <w:rPr>
          <w:rFonts w:ascii="Times New Roman" w:hAnsi="Times New Roman"/>
          <w:color w:val="000000" w:themeColor="text1"/>
          <w:sz w:val="16"/>
          <w:szCs w:val="16"/>
        </w:rPr>
        <w:noBreakHyphen/>
        <w:t>43 и Т</w:t>
      </w:r>
      <w:r w:rsidRPr="00C33834">
        <w:rPr>
          <w:rFonts w:ascii="Times New Roman" w:hAnsi="Times New Roman"/>
          <w:color w:val="000000" w:themeColor="text1"/>
          <w:sz w:val="16"/>
          <w:szCs w:val="16"/>
        </w:rPr>
        <w:noBreakHyphen/>
        <w:t>38 после соответствующей доработки.</w:t>
      </w:r>
    </w:p>
    <w:p w14:paraId="63F6A90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Второй тип. Общевойсковой танк (типа «Виккерс»)</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76"/>
        <w:gridCol w:w="2337"/>
        <w:gridCol w:w="3409"/>
      </w:tblGrid>
      <w:tr w:rsidR="00F26F01" w:rsidRPr="00C33834" w14:paraId="5AB85058" w14:textId="77777777" w:rsidTr="0091093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8BFFFE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данные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868B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Находящиеся</w:t>
            </w:r>
          </w:p>
          <w:p w14:paraId="4B66896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2FCF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Новые образцы</w:t>
            </w:r>
          </w:p>
          <w:p w14:paraId="689FEF9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перевооружения</w:t>
            </w:r>
          </w:p>
        </w:tc>
      </w:tr>
      <w:tr w:rsidR="00F26F01" w:rsidRPr="00C33834" w14:paraId="105858AA" w14:textId="77777777" w:rsidTr="0091093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BEF38E7" w14:textId="77777777" w:rsidR="00871A0E" w:rsidRPr="00C33834" w:rsidRDefault="00871A0E"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66D63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w:t>
            </w:r>
            <w:r w:rsidRPr="00C33834">
              <w:rPr>
                <w:rFonts w:ascii="Times New Roman" w:hAnsi="Times New Roman"/>
                <w:color w:val="000000" w:themeColor="text1"/>
                <w:sz w:val="16"/>
                <w:szCs w:val="16"/>
              </w:rPr>
              <w:noBreakHyphen/>
              <w:t>26 (гусеничный)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44C1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w:t>
            </w:r>
            <w:r w:rsidRPr="00C33834">
              <w:rPr>
                <w:rFonts w:ascii="Times New Roman" w:hAnsi="Times New Roman"/>
                <w:color w:val="000000" w:themeColor="text1"/>
                <w:sz w:val="16"/>
                <w:szCs w:val="16"/>
              </w:rPr>
              <w:noBreakHyphen/>
              <w:t>46 (колесно-гусеничный)</w:t>
            </w:r>
          </w:p>
        </w:tc>
      </w:tr>
      <w:tr w:rsidR="00F26F01" w:rsidRPr="00C33834" w14:paraId="02D3C262"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4E35B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FA40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414E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r>
      <w:tr w:rsidR="00F26F01" w:rsidRPr="00C33834" w14:paraId="04C1D2B6"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D4EDD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5FCF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6A41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5,24</w:t>
            </w:r>
          </w:p>
        </w:tc>
      </w:tr>
      <w:tr w:rsidR="00F26F01" w:rsidRPr="00C33834" w14:paraId="29F9071A"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BD471E"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Ширина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E09C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B481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2,52</w:t>
            </w:r>
          </w:p>
        </w:tc>
      </w:tr>
      <w:tr w:rsidR="00F26F01" w:rsidRPr="00C33834" w14:paraId="5F336042"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92302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04D715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1695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2,43</w:t>
            </w:r>
          </w:p>
        </w:tc>
      </w:tr>
      <w:tr w:rsidR="00F26F01" w:rsidRPr="00C33834" w14:paraId="30FE0E3B"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00B78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D203E"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AA37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r>
      <w:tr w:rsidR="00F26F01" w:rsidRPr="00C33834" w14:paraId="47AA69D2"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74CCF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8104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пушка 45 мм</w:t>
            </w:r>
          </w:p>
          <w:p w14:paraId="75C5208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пулемета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D9F6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пушка 45 мм</w:t>
            </w:r>
          </w:p>
          <w:p w14:paraId="3C5818E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пулемета</w:t>
            </w:r>
          </w:p>
          <w:p w14:paraId="1ABFB5B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огнемет</w:t>
            </w:r>
          </w:p>
        </w:tc>
      </w:tr>
      <w:tr w:rsidR="00F26F01" w:rsidRPr="00C33834" w14:paraId="1C4454A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AA764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Боекомплект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9601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 снаряда</w:t>
            </w:r>
          </w:p>
          <w:p w14:paraId="2637E61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2800 патронов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1C4F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106 снарядов</w:t>
            </w:r>
          </w:p>
          <w:p w14:paraId="126DE05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3200 патронов</w:t>
            </w:r>
          </w:p>
        </w:tc>
      </w:tr>
      <w:tr w:rsidR="00F26F01" w:rsidRPr="00C33834" w14:paraId="76F3BBA2"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71605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Команда —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9CE3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9AB7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r>
      <w:tr w:rsidR="00F26F01" w:rsidRPr="00C33834" w14:paraId="71FCB47D"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723A0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 на гусеницах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8E1E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F402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 км</w:t>
            </w:r>
          </w:p>
        </w:tc>
      </w:tr>
      <w:tr w:rsidR="00F26F01" w:rsidRPr="00C33834" w14:paraId="12E86847"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A5129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 на колесах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6724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B2F0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 км</w:t>
            </w:r>
          </w:p>
        </w:tc>
      </w:tr>
      <w:tr w:rsidR="00F26F01" w:rsidRPr="00C33834" w14:paraId="442D4FC4"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F536DE"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преодол[еваемых] препятствий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246E2F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0,7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F56A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0,85 м</w:t>
            </w:r>
          </w:p>
        </w:tc>
      </w:tr>
      <w:tr w:rsidR="00F26F01" w:rsidRPr="00C33834" w14:paraId="4582EA1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59E40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Брод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DA18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9BE35"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r>
      <w:tr w:rsidR="00F26F01" w:rsidRPr="00C33834" w14:paraId="171AA88A"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5C6C3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Ширина преодол[еваемых] препятствий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F983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EB4C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r>
      <w:tr w:rsidR="00F26F01" w:rsidRPr="00C33834" w14:paraId="684B34DD"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C072F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Запас горючего —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7A72E"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558C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w:t>
            </w:r>
          </w:p>
        </w:tc>
      </w:tr>
      <w:tr w:rsidR="00F26F01" w:rsidRPr="00C33834" w14:paraId="075DAD8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37DE1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Запас хода — в км на гусеницах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F45F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AC32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w:t>
            </w:r>
          </w:p>
        </w:tc>
      </w:tr>
      <w:tr w:rsidR="00F26F01" w:rsidRPr="00C33834" w14:paraId="278EDA4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D5DB6C"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Запас хода — в км на колесах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F827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E07D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w:t>
            </w:r>
          </w:p>
        </w:tc>
      </w:tr>
      <w:tr w:rsidR="00F26F01" w:rsidRPr="00C33834" w14:paraId="37AF259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58D19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Броня —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CD0F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986D8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r>
      <w:tr w:rsidR="00F26F01" w:rsidRPr="00C33834" w14:paraId="1B2691DD"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42FA1C"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Клиренс —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1EA9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11D50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370</w:t>
            </w:r>
          </w:p>
        </w:tc>
      </w:tr>
      <w:tr w:rsidR="00F26F01" w:rsidRPr="00C33834" w14:paraId="3B11407D"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B68BB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 на 1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B1A2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69A1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л. с.</w:t>
            </w:r>
          </w:p>
        </w:tc>
      </w:tr>
      <w:tr w:rsidR="00F26F01" w:rsidRPr="00C33834" w14:paraId="538F988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E3CBB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Ведущих колес колесного хода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BD15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B2C4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r>
    </w:tbl>
    <w:p w14:paraId="46DB89CC"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Выводы</w:t>
      </w:r>
    </w:p>
    <w:p w14:paraId="6F4242A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Новый образец колесно-гусеничного танка, благодаря наличию колесного хода с 4 ведущими колесами, значительно большим запасом мощности, большей проходимостью, большим запасом хода и большими скоростями как на гусеницах, так и на колесах, имеет гораздо большую маневренность; кроме того, имеет более мощное вооружение. 300</w:t>
      </w:r>
      <w:r w:rsidRPr="00C33834">
        <w:rPr>
          <w:rFonts w:ascii="Times New Roman" w:hAnsi="Times New Roman"/>
          <w:color w:val="000000" w:themeColor="text1"/>
          <w:sz w:val="16"/>
          <w:szCs w:val="16"/>
        </w:rPr>
        <w:noBreakHyphen/>
        <w:t>сильный мотор этого танка с воздушным охлаждением изготовлен Опытным заводом им. Кирова по собственной конструкции. Для этого типа танков, имеющихся на вооружении, заводом им. Кирова и заводом им. Ворошилова разработаны проекты дизель-моторов с воздушным охлаждением в 90 и 115 л. с.</w:t>
      </w:r>
    </w:p>
    <w:p w14:paraId="5C030D6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нового образца танка Т</w:t>
      </w:r>
      <w:r w:rsidRPr="00C33834">
        <w:rPr>
          <w:rFonts w:ascii="Times New Roman" w:hAnsi="Times New Roman"/>
          <w:color w:val="000000" w:themeColor="text1"/>
          <w:sz w:val="16"/>
          <w:szCs w:val="16"/>
        </w:rPr>
        <w:noBreakHyphen/>
        <w:t>46 Опытным заводом им. Кирова разработаны дизель-мотор ДМТ</w:t>
      </w:r>
      <w:r w:rsidRPr="00C33834">
        <w:rPr>
          <w:rFonts w:ascii="Times New Roman" w:hAnsi="Times New Roman"/>
          <w:color w:val="000000" w:themeColor="text1"/>
          <w:sz w:val="16"/>
          <w:szCs w:val="16"/>
        </w:rPr>
        <w:noBreakHyphen/>
        <w:t>7 — 250 л. с. Все эти дизеля будут готовы к концу 1935 г.</w:t>
      </w:r>
    </w:p>
    <w:p w14:paraId="7C27010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Третий тип. Оперативный танк (типа «Кристи»)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99"/>
        <w:gridCol w:w="1810"/>
        <w:gridCol w:w="2062"/>
        <w:gridCol w:w="2051"/>
      </w:tblGrid>
      <w:tr w:rsidR="00F26F01" w:rsidRPr="00C33834" w14:paraId="1C1556AE" w14:textId="77777777" w:rsidTr="0091093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F5EB7F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данные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FC3691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Находящиеся 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3C81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Новые образцы</w:t>
            </w:r>
          </w:p>
          <w:p w14:paraId="4440C6E5"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w:t>
            </w:r>
          </w:p>
          <w:p w14:paraId="041B082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перевооружения</w:t>
            </w:r>
          </w:p>
        </w:tc>
      </w:tr>
      <w:tr w:rsidR="00F26F01" w:rsidRPr="00C33834" w14:paraId="0FCE51D6" w14:textId="77777777" w:rsidTr="0091093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9AB0AC1" w14:textId="77777777" w:rsidR="00871A0E" w:rsidRPr="00C33834" w:rsidRDefault="00871A0E"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C87B2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БТ</w:t>
            </w:r>
            <w:r w:rsidRPr="00C33834">
              <w:rPr>
                <w:rFonts w:ascii="Times New Roman" w:hAnsi="Times New Roman"/>
                <w:color w:val="000000" w:themeColor="text1"/>
                <w:sz w:val="16"/>
                <w:szCs w:val="16"/>
              </w:rPr>
              <w:noBreakHyphen/>
              <w:t>5 (колесно-</w:t>
            </w:r>
          </w:p>
          <w:p w14:paraId="7328AC4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гусеничный)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6135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БТ</w:t>
            </w:r>
            <w:r w:rsidRPr="00C33834">
              <w:rPr>
                <w:rFonts w:ascii="Times New Roman" w:hAnsi="Times New Roman"/>
                <w:color w:val="000000" w:themeColor="text1"/>
                <w:sz w:val="16"/>
                <w:szCs w:val="16"/>
              </w:rPr>
              <w:noBreakHyphen/>
              <w:t>7 (колесно-</w:t>
            </w:r>
          </w:p>
          <w:p w14:paraId="3900815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гусеничный с</w:t>
            </w:r>
          </w:p>
          <w:p w14:paraId="636DC76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новым мотором,</w:t>
            </w:r>
          </w:p>
          <w:p w14:paraId="0586D4F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производя</w:t>
            </w:r>
            <w:r w:rsidRPr="00C33834">
              <w:rPr>
                <w:rFonts w:ascii="Times New Roman" w:hAnsi="Times New Roman"/>
                <w:color w:val="000000" w:themeColor="text1"/>
                <w:sz w:val="16"/>
                <w:szCs w:val="16"/>
              </w:rPr>
              <w:softHyphen/>
              <w:t>щимся</w:t>
            </w:r>
          </w:p>
          <w:p w14:paraId="20A4E3D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4ABD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ПТ-1А (колесно-</w:t>
            </w:r>
          </w:p>
          <w:p w14:paraId="4400DB3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гусенично-</w:t>
            </w:r>
          </w:p>
          <w:p w14:paraId="6FE7199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плавающий)</w:t>
            </w:r>
          </w:p>
        </w:tc>
      </w:tr>
      <w:tr w:rsidR="00F26F01" w:rsidRPr="00C33834" w14:paraId="7DFA61E6"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26426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E4415"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6AB6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9623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15,3</w:t>
            </w:r>
          </w:p>
        </w:tc>
      </w:tr>
      <w:tr w:rsidR="00F26F01" w:rsidRPr="00C33834" w14:paraId="2591FA8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8AA70C"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73FD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80135"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2FE4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6,89</w:t>
            </w:r>
          </w:p>
        </w:tc>
      </w:tr>
      <w:tr w:rsidR="00F26F01" w:rsidRPr="00C33834" w14:paraId="746F702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45F0B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Ширина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0F2E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4428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99D2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2,91</w:t>
            </w:r>
          </w:p>
        </w:tc>
      </w:tr>
      <w:tr w:rsidR="00F26F01" w:rsidRPr="00C33834" w14:paraId="5ABAEBAB"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2F94B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8071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3FD0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DE36E"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2,64</w:t>
            </w:r>
          </w:p>
        </w:tc>
      </w:tr>
      <w:tr w:rsidR="00F26F01" w:rsidRPr="00C33834" w14:paraId="4F9BC83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EFF0D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Марка и мощность мотора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81DC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М-5-400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B7725"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М-17-500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6991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М-17-500 л. с.</w:t>
            </w:r>
          </w:p>
        </w:tc>
      </w:tr>
      <w:tr w:rsidR="00F26F01" w:rsidRPr="00C33834" w14:paraId="33418190"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5DD7E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0898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пушка 45 мм</w:t>
            </w:r>
          </w:p>
          <w:p w14:paraId="56195E0E"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пулемет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A20B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пушка 76 мм</w:t>
            </w:r>
          </w:p>
          <w:p w14:paraId="1F06005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пулемета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71C9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пушка 45 мм</w:t>
            </w:r>
          </w:p>
          <w:p w14:paraId="7720755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пулемета</w:t>
            </w:r>
          </w:p>
        </w:tc>
      </w:tr>
      <w:tr w:rsidR="00F26F01" w:rsidRPr="00C33834" w14:paraId="20DD1667"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1442C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Боекомплект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1F75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 снарядов</w:t>
            </w:r>
          </w:p>
          <w:p w14:paraId="428A05E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2700 патронов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0D47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 снарядов</w:t>
            </w:r>
          </w:p>
          <w:p w14:paraId="54B3D4DC"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2700 патронов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9F0E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 снарядов</w:t>
            </w:r>
          </w:p>
          <w:p w14:paraId="3C9AFCB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 патронов</w:t>
            </w:r>
          </w:p>
        </w:tc>
      </w:tr>
      <w:tr w:rsidR="00F26F01" w:rsidRPr="00C33834" w14:paraId="2D10699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B129C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Команда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DD37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6AAA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E103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чел.</w:t>
            </w:r>
          </w:p>
        </w:tc>
      </w:tr>
      <w:tr w:rsidR="00F26F01" w:rsidRPr="00C33834" w14:paraId="59E948EF"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AEAED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 на гусеницах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7A0F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7ED0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D7E7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62 км</w:t>
            </w:r>
          </w:p>
        </w:tc>
      </w:tr>
      <w:tr w:rsidR="00F26F01" w:rsidRPr="00C33834" w14:paraId="1D6A9EC7"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9FF16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 на колесах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3FC206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40D8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79C0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83 км</w:t>
            </w:r>
          </w:p>
        </w:tc>
      </w:tr>
      <w:tr w:rsidR="00F26F01" w:rsidRPr="00C33834" w14:paraId="07165C59"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59FC0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 на плаву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67A2C"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9DDD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FBA9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 км</w:t>
            </w:r>
          </w:p>
        </w:tc>
      </w:tr>
      <w:tr w:rsidR="00F26F01" w:rsidRPr="00C33834" w14:paraId="11B43F5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E170DC"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преодол[еваемых] препятствий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6B3A06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D929E"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E934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0,8</w:t>
            </w:r>
          </w:p>
        </w:tc>
      </w:tr>
      <w:tr w:rsidR="00F26F01" w:rsidRPr="00C33834" w14:paraId="4742E2B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EEC9E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Брод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40F2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58D5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C952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Плавающий</w:t>
            </w:r>
          </w:p>
        </w:tc>
      </w:tr>
      <w:tr w:rsidR="00F26F01" w:rsidRPr="00C33834" w14:paraId="28B4121A"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016A3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Ширина преодол[еваемых] препятствий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5907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4B54C"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BECB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r>
      <w:tr w:rsidR="00F26F01" w:rsidRPr="00C33834" w14:paraId="2FB56CF2"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273415"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Запас горючего —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5CBC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7ED2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0108A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r>
      <w:tr w:rsidR="00F26F01" w:rsidRPr="00C33834" w14:paraId="3A1EADB0"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2152E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Запас хода — на гусенице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77E8E"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EDE5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541EC"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 км</w:t>
            </w:r>
          </w:p>
        </w:tc>
      </w:tr>
      <w:tr w:rsidR="00F26F01" w:rsidRPr="00C33834" w14:paraId="579B10A7"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FA003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Запас хода — на колесах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64E0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CA13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25F3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 км</w:t>
            </w:r>
          </w:p>
        </w:tc>
      </w:tr>
      <w:tr w:rsidR="00F26F01" w:rsidRPr="00C33834" w14:paraId="3884FBD5"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DAAA6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Броня —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9676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F9BE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BBD95"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15,13</w:t>
            </w:r>
          </w:p>
        </w:tc>
      </w:tr>
      <w:tr w:rsidR="00F26F01" w:rsidRPr="00C33834" w14:paraId="7DF165C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BDFA3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Клиренс —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4CFA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FBC1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FD0FE"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w:t>
            </w:r>
          </w:p>
        </w:tc>
      </w:tr>
      <w:tr w:rsidR="00F26F01" w:rsidRPr="00C33834" w14:paraId="075E8A3B"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DB7F4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на 1 т веса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DBE5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35,7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C3F1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40,1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D186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33,4 л. с.</w:t>
            </w:r>
          </w:p>
        </w:tc>
      </w:tr>
      <w:tr w:rsidR="00F26F01" w:rsidRPr="00C33834" w14:paraId="4F615814"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E9A63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Ведущих колес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B63D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1848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6C21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r>
    </w:tbl>
    <w:p w14:paraId="647CE20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Выводы</w:t>
      </w:r>
    </w:p>
    <w:p w14:paraId="25F86D4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Новый образец танка ПТ</w:t>
      </w:r>
      <w:r w:rsidRPr="00C33834">
        <w:rPr>
          <w:rFonts w:ascii="Times New Roman" w:hAnsi="Times New Roman"/>
          <w:color w:val="000000" w:themeColor="text1"/>
          <w:sz w:val="16"/>
          <w:szCs w:val="16"/>
        </w:rPr>
        <w:noBreakHyphen/>
        <w:t>1А, идущий на замену БТ</w:t>
      </w:r>
      <w:r w:rsidRPr="00C33834">
        <w:rPr>
          <w:rFonts w:ascii="Times New Roman" w:hAnsi="Times New Roman"/>
          <w:color w:val="000000" w:themeColor="text1"/>
          <w:sz w:val="16"/>
          <w:szCs w:val="16"/>
        </w:rPr>
        <w:noBreakHyphen/>
        <w:t>5, имеет ряд крупных преимуществ, как то: плавучесть, больший запас хода, большую скорость при 8 ведущих колесах, обеспечивающую большую маневренность.</w:t>
      </w:r>
    </w:p>
    <w:p w14:paraId="4684255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все эти три типа оперативных танков могут быть установлены дизель-моторы 400 л. с., изготовленные ХПЗ. Установка этого дизель-мотора значительно повышает маневренность танков, доводя запас хода танка БТ</w:t>
      </w:r>
      <w:r w:rsidRPr="00C33834">
        <w:rPr>
          <w:rFonts w:ascii="Times New Roman" w:hAnsi="Times New Roman"/>
          <w:color w:val="000000" w:themeColor="text1"/>
          <w:sz w:val="16"/>
          <w:szCs w:val="16"/>
        </w:rPr>
        <w:noBreakHyphen/>
        <w:t>7 до 720 км, вместо 450 км на бензиновом моторе, и ПТ</w:t>
      </w:r>
      <w:r w:rsidRPr="00C33834">
        <w:rPr>
          <w:rFonts w:ascii="Times New Roman" w:hAnsi="Times New Roman"/>
          <w:color w:val="000000" w:themeColor="text1"/>
          <w:sz w:val="16"/>
          <w:szCs w:val="16"/>
        </w:rPr>
        <w:noBreakHyphen/>
        <w:t>1А — до 400 км, вместо 250 км.</w:t>
      </w:r>
    </w:p>
    <w:p w14:paraId="569A36F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Четвертый тип. Танк качественного усиления резерва Главного командования (23,5</w:t>
      </w:r>
      <w:r w:rsidRPr="00C33834">
        <w:rPr>
          <w:rFonts w:ascii="Times New Roman" w:hAnsi="Times New Roman"/>
          <w:color w:val="000000" w:themeColor="text1"/>
          <w:sz w:val="16"/>
          <w:szCs w:val="16"/>
        </w:rPr>
        <w:noBreakHyphen/>
        <w:t>25</w:t>
      </w:r>
      <w:r w:rsidRPr="00C33834">
        <w:rPr>
          <w:rFonts w:ascii="Times New Roman" w:hAnsi="Times New Roman"/>
          <w:color w:val="000000" w:themeColor="text1"/>
          <w:sz w:val="16"/>
          <w:szCs w:val="16"/>
        </w:rPr>
        <w:noBreakHyphen/>
        <w:t>тонный танк)</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22"/>
        <w:gridCol w:w="3156"/>
        <w:gridCol w:w="3944"/>
      </w:tblGrid>
      <w:tr w:rsidR="00F26F01" w:rsidRPr="00C33834" w14:paraId="410B5251" w14:textId="77777777" w:rsidTr="0091093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53B042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данные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A6FD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Находящиеся 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206C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Новые образцы для перевооружения</w:t>
            </w:r>
          </w:p>
        </w:tc>
      </w:tr>
      <w:tr w:rsidR="00F26F01" w:rsidRPr="00C33834" w14:paraId="1270146A" w14:textId="77777777" w:rsidTr="0091093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A61CC95" w14:textId="77777777" w:rsidR="00871A0E" w:rsidRPr="00C33834" w:rsidRDefault="00871A0E"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F2643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w:t>
            </w:r>
            <w:r w:rsidRPr="00C33834">
              <w:rPr>
                <w:rFonts w:ascii="Times New Roman" w:hAnsi="Times New Roman"/>
                <w:color w:val="000000" w:themeColor="text1"/>
                <w:sz w:val="16"/>
                <w:szCs w:val="16"/>
              </w:rPr>
              <w:noBreakHyphen/>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A938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w:t>
            </w:r>
            <w:r w:rsidRPr="00C33834">
              <w:rPr>
                <w:rFonts w:ascii="Times New Roman" w:hAnsi="Times New Roman"/>
                <w:color w:val="000000" w:themeColor="text1"/>
                <w:sz w:val="16"/>
                <w:szCs w:val="16"/>
              </w:rPr>
              <w:noBreakHyphen/>
              <w:t>29/4</w:t>
            </w:r>
          </w:p>
          <w:p w14:paraId="24F97E5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w:t>
            </w:r>
            <w:r w:rsidRPr="00C33834">
              <w:rPr>
                <w:rFonts w:ascii="Times New Roman" w:hAnsi="Times New Roman"/>
                <w:color w:val="000000" w:themeColor="text1"/>
                <w:sz w:val="16"/>
                <w:szCs w:val="16"/>
              </w:rPr>
              <w:noBreakHyphen/>
              <w:t>29/5</w:t>
            </w:r>
          </w:p>
        </w:tc>
      </w:tr>
      <w:tr w:rsidR="00F26F01" w:rsidRPr="00C33834" w14:paraId="1A1231D7"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CBED5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C08D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C778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23,5</w:t>
            </w:r>
          </w:p>
        </w:tc>
      </w:tr>
      <w:tr w:rsidR="00F26F01" w:rsidRPr="00C33834" w14:paraId="02BA193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0EB6A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1412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DB9B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w:t>
            </w:r>
          </w:p>
        </w:tc>
      </w:tr>
      <w:tr w:rsidR="00F26F01" w:rsidRPr="00C33834" w14:paraId="4B0ED554"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6713E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Ширина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3371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6859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r>
      <w:tr w:rsidR="00F26F01" w:rsidRPr="00C33834" w14:paraId="20A013C3"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1AE69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BDD2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F2B6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w:t>
            </w:r>
          </w:p>
        </w:tc>
      </w:tr>
      <w:tr w:rsidR="00F26F01" w:rsidRPr="00C33834" w14:paraId="6C92981B"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22EC6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Марка и мощность двигателя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490C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М-17-500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2D5D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М-17-500 л. с.</w:t>
            </w:r>
          </w:p>
        </w:tc>
      </w:tr>
      <w:tr w:rsidR="00F26F01" w:rsidRPr="00C33834" w14:paraId="6B919F12"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E23F7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на 1 т веса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8A0C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DAEA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21,2 л. с.</w:t>
            </w:r>
          </w:p>
        </w:tc>
      </w:tr>
      <w:tr w:rsidR="00F26F01" w:rsidRPr="00C33834" w14:paraId="49B664BC"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90590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4DD3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пушка 76 мм</w:t>
            </w:r>
          </w:p>
          <w:p w14:paraId="2D97D8EE"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пулемета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9FAA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пушка 76 мм</w:t>
            </w:r>
          </w:p>
          <w:p w14:paraId="3DC1AA7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пулемета</w:t>
            </w:r>
          </w:p>
        </w:tc>
      </w:tr>
      <w:tr w:rsidR="00F26F01" w:rsidRPr="00C33834" w14:paraId="67A8F980"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436CA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Боекомплект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BC27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 снарядов</w:t>
            </w:r>
          </w:p>
          <w:p w14:paraId="764F546C"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7938 патронов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6983C"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 снарядов</w:t>
            </w:r>
          </w:p>
          <w:p w14:paraId="66EB304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7000 патронов</w:t>
            </w:r>
          </w:p>
        </w:tc>
      </w:tr>
      <w:tr w:rsidR="00F26F01" w:rsidRPr="00C33834" w14:paraId="1669161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78832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Команда —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D7A3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5574A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r>
      <w:tr w:rsidR="00F26F01" w:rsidRPr="00C33834" w14:paraId="43C6FE8B"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82428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 км — на гусенице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E454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F381C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w:t>
            </w:r>
          </w:p>
        </w:tc>
      </w:tr>
      <w:tr w:rsidR="00F26F01" w:rsidRPr="00C33834" w14:paraId="4E5D3CAC"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20045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 км  — на колесах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47D3E"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5670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w:t>
            </w:r>
          </w:p>
        </w:tc>
      </w:tr>
      <w:tr w:rsidR="00F26F01" w:rsidRPr="00C33834" w14:paraId="7D105000"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ED6BD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преодол[еваемых] препятствий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03E9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E65B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0,8</w:t>
            </w:r>
          </w:p>
        </w:tc>
      </w:tr>
      <w:tr w:rsidR="00F26F01" w:rsidRPr="00C33834" w14:paraId="6F42E96F"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DA173E"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Ширина преодол[еваемого] рва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AA07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B6B5E"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w:t>
            </w:r>
          </w:p>
        </w:tc>
      </w:tr>
      <w:tr w:rsidR="00F26F01" w:rsidRPr="00C33834" w14:paraId="7F595956"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0243E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Запас горючего —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4DDF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5661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320</w:t>
            </w:r>
          </w:p>
        </w:tc>
      </w:tr>
      <w:tr w:rsidR="00F26F01" w:rsidRPr="00C33834" w14:paraId="1D6AF662"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C53D2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Запас хода — на гусенице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8571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1D73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tc>
      </w:tr>
      <w:tr w:rsidR="00F26F01" w:rsidRPr="00C33834" w14:paraId="68DA5B6C"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7AE27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Запас хода — на колесах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FF44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A64D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w:t>
            </w:r>
          </w:p>
        </w:tc>
      </w:tr>
      <w:tr w:rsidR="00F26F01" w:rsidRPr="00C33834" w14:paraId="4FE673C0"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F2329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Броня —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BF4C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30-20-10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AE81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30-20-15-10</w:t>
            </w:r>
          </w:p>
        </w:tc>
      </w:tr>
      <w:tr w:rsidR="00F26F01" w:rsidRPr="00C33834" w14:paraId="3A6722B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F36BD5"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Ведущие колеса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CB77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788C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r>
    </w:tbl>
    <w:p w14:paraId="21ACB4F5"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Танки Т</w:t>
      </w:r>
      <w:r w:rsidRPr="00C33834">
        <w:rPr>
          <w:rFonts w:ascii="Times New Roman" w:hAnsi="Times New Roman"/>
          <w:color w:val="000000" w:themeColor="text1"/>
          <w:sz w:val="16"/>
          <w:szCs w:val="16"/>
        </w:rPr>
        <w:noBreakHyphen/>
        <w:t>29 имеют большую маневренность за счет 8 ведущих колес, большей скорости и большего запаса хода. Типы Т</w:t>
      </w:r>
      <w:r w:rsidRPr="00C33834">
        <w:rPr>
          <w:rFonts w:ascii="Times New Roman" w:hAnsi="Times New Roman"/>
          <w:color w:val="000000" w:themeColor="text1"/>
          <w:sz w:val="16"/>
          <w:szCs w:val="16"/>
        </w:rPr>
        <w:noBreakHyphen/>
        <w:t>29/4 и Т</w:t>
      </w:r>
      <w:r w:rsidRPr="00C33834">
        <w:rPr>
          <w:rFonts w:ascii="Times New Roman" w:hAnsi="Times New Roman"/>
          <w:color w:val="000000" w:themeColor="text1"/>
          <w:sz w:val="16"/>
          <w:szCs w:val="16"/>
        </w:rPr>
        <w:noBreakHyphen/>
        <w:t>29/5 разнятся лишь по толщине брони и весу. Для этих танков изготовлен дизель-мотор Д</w:t>
      </w:r>
      <w:r w:rsidRPr="00C33834">
        <w:rPr>
          <w:rFonts w:ascii="Times New Roman" w:hAnsi="Times New Roman"/>
          <w:color w:val="000000" w:themeColor="text1"/>
          <w:sz w:val="16"/>
          <w:szCs w:val="16"/>
        </w:rPr>
        <w:noBreakHyphen/>
        <w:t>300 — конструкции инженера Дьячкова, мощность до 150 л. с. Первый вариант этого дизель-мотора изготовлен Опытным заводом им. Кирова и испытан.</w:t>
      </w:r>
    </w:p>
    <w:p w14:paraId="79A6DDF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Пятый тип. Танк особого назначения (50-тонный)</w:t>
      </w:r>
    </w:p>
    <w:p w14:paraId="119F1B97" w14:textId="77777777" w:rsidR="00871A0E" w:rsidRPr="00C33834" w:rsidRDefault="00871A0E" w:rsidP="00C33834">
      <w:pPr>
        <w:pStyle w:val="rtejustify"/>
        <w:spacing w:before="0" w:after="0"/>
        <w:rPr>
          <w:color w:val="000000" w:themeColor="text1"/>
          <w:sz w:val="16"/>
          <w:szCs w:val="16"/>
        </w:rPr>
      </w:pPr>
      <w:r w:rsidRPr="00C33834">
        <w:rPr>
          <w:color w:val="000000" w:themeColor="text1"/>
          <w:sz w:val="16"/>
          <w:szCs w:val="16"/>
        </w:rPr>
        <w:t>50-тонный гусеничный танк Т</w:t>
      </w:r>
      <w:r w:rsidRPr="00C33834">
        <w:rPr>
          <w:color w:val="000000" w:themeColor="text1"/>
          <w:sz w:val="16"/>
          <w:szCs w:val="16"/>
        </w:rPr>
        <w:noBreakHyphen/>
        <w:t>35А, освоенный производством Харьковского паровозостроительного завода с 1934 г., является переделкой опытного 38</w:t>
      </w:r>
      <w:r w:rsidRPr="00C33834">
        <w:rPr>
          <w:color w:val="000000" w:themeColor="text1"/>
          <w:sz w:val="16"/>
          <w:szCs w:val="16"/>
        </w:rPr>
        <w:noBreakHyphen/>
        <w:t>тонного танка Т</w:t>
      </w:r>
      <w:r w:rsidRPr="00C33834">
        <w:rPr>
          <w:color w:val="000000" w:themeColor="text1"/>
          <w:sz w:val="16"/>
          <w:szCs w:val="16"/>
        </w:rPr>
        <w:noBreakHyphen/>
        <w:t>35 изготовления Опытного завода им. т. Кирова. Боевой вес его — 50 т; скорость — 28</w:t>
      </w:r>
      <w:r w:rsidRPr="00C33834">
        <w:rPr>
          <w:color w:val="000000" w:themeColor="text1"/>
          <w:sz w:val="16"/>
          <w:szCs w:val="16"/>
        </w:rPr>
        <w:noBreakHyphen/>
        <w:t>30 км; вооружение: одна 76</w:t>
      </w:r>
      <w:r w:rsidRPr="00C33834">
        <w:rPr>
          <w:color w:val="000000" w:themeColor="text1"/>
          <w:sz w:val="16"/>
          <w:szCs w:val="16"/>
        </w:rPr>
        <w:noBreakHyphen/>
        <w:t>мм пушка, две 45</w:t>
      </w:r>
      <w:r w:rsidRPr="00C33834">
        <w:rPr>
          <w:color w:val="000000" w:themeColor="text1"/>
          <w:sz w:val="16"/>
          <w:szCs w:val="16"/>
        </w:rPr>
        <w:noBreakHyphen/>
        <w:t>мм пушки, 6 пулеметов; броня — 50</w:t>
      </w:r>
      <w:r w:rsidRPr="00C33834">
        <w:rPr>
          <w:color w:val="000000" w:themeColor="text1"/>
          <w:sz w:val="16"/>
          <w:szCs w:val="16"/>
        </w:rPr>
        <w:noBreakHyphen/>
        <w:t>20</w:t>
      </w:r>
      <w:r w:rsidRPr="00C33834">
        <w:rPr>
          <w:color w:val="000000" w:themeColor="text1"/>
          <w:sz w:val="16"/>
          <w:szCs w:val="16"/>
        </w:rPr>
        <w:noBreakHyphen/>
        <w:t>10 мм; мощность в л. с. на 1 тонну веса — 10 л. с.</w:t>
      </w:r>
    </w:p>
    <w:p w14:paraId="1FF219E4" w14:textId="77777777" w:rsidR="00871A0E" w:rsidRPr="00C33834" w:rsidRDefault="00871A0E" w:rsidP="00C33834">
      <w:pPr>
        <w:pStyle w:val="rtejustify"/>
        <w:spacing w:before="0" w:after="0"/>
        <w:rPr>
          <w:color w:val="000000" w:themeColor="text1"/>
          <w:sz w:val="16"/>
          <w:szCs w:val="16"/>
        </w:rPr>
      </w:pPr>
      <w:r w:rsidRPr="00C33834">
        <w:rPr>
          <w:color w:val="000000" w:themeColor="text1"/>
          <w:sz w:val="16"/>
          <w:szCs w:val="16"/>
        </w:rPr>
        <w:t>Для этого танка ХПЗ проектирует дизель-мотор 800 л. с., который будет готов к 15 августа 1935 г. С установкой этого дизель-мотора на танк Т</w:t>
      </w:r>
      <w:r w:rsidRPr="00C33834">
        <w:rPr>
          <w:color w:val="000000" w:themeColor="text1"/>
          <w:sz w:val="16"/>
          <w:szCs w:val="16"/>
        </w:rPr>
        <w:noBreakHyphen/>
        <w:t>35А запас мощности на одну тонну веса будет равен 16 л. с.</w:t>
      </w:r>
    </w:p>
    <w:p w14:paraId="25D815D9" w14:textId="77777777" w:rsidR="00871A0E" w:rsidRPr="00C33834" w:rsidRDefault="00871A0E" w:rsidP="00C33834">
      <w:pPr>
        <w:pStyle w:val="rtejustify"/>
        <w:spacing w:before="0" w:after="0"/>
        <w:rPr>
          <w:color w:val="000000" w:themeColor="text1"/>
          <w:sz w:val="16"/>
          <w:szCs w:val="16"/>
        </w:rPr>
      </w:pPr>
      <w:r w:rsidRPr="00C33834">
        <w:rPr>
          <w:color w:val="000000" w:themeColor="text1"/>
          <w:sz w:val="16"/>
          <w:szCs w:val="16"/>
        </w:rPr>
        <w:t>Во исполнение того же постановления КО от 13 августа 1933 г., Опытный завод им. Кирова изготовил 4 образца самоходных артиллерийских установок на агрегатах серийных танков.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27"/>
        <w:gridCol w:w="1595"/>
        <w:gridCol w:w="886"/>
        <w:gridCol w:w="1081"/>
        <w:gridCol w:w="1133"/>
      </w:tblGrid>
      <w:tr w:rsidR="00F26F01" w:rsidRPr="00C33834" w14:paraId="6B3059BF" w14:textId="77777777" w:rsidTr="0091093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DCAED6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данные</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D01DAB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Самоходные установки</w:t>
            </w:r>
          </w:p>
        </w:tc>
      </w:tr>
      <w:tr w:rsidR="00F26F01" w:rsidRPr="00C33834" w14:paraId="1E9ABBC4" w14:textId="77777777" w:rsidTr="0091093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8EFE83A" w14:textId="77777777" w:rsidR="00871A0E" w:rsidRPr="00C33834" w:rsidRDefault="00871A0E"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ACCC0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203</w:t>
            </w:r>
            <w:r w:rsidRPr="00C33834">
              <w:rPr>
                <w:rFonts w:ascii="Times New Roman" w:hAnsi="Times New Roman"/>
                <w:color w:val="000000" w:themeColor="text1"/>
                <w:sz w:val="16"/>
                <w:szCs w:val="16"/>
              </w:rPr>
              <w:noBreakHyphen/>
              <w:t>мм</w:t>
            </w:r>
          </w:p>
          <w:p w14:paraId="0E1B923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51CE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r w:rsidRPr="00C33834">
              <w:rPr>
                <w:rFonts w:ascii="Times New Roman" w:hAnsi="Times New Roman"/>
                <w:color w:val="000000" w:themeColor="text1"/>
                <w:sz w:val="16"/>
                <w:szCs w:val="16"/>
              </w:rPr>
              <w:noBreakHyphen/>
              <w:t>мм</w:t>
            </w:r>
          </w:p>
          <w:p w14:paraId="6EF18F7E"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AD7F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122</w:t>
            </w:r>
            <w:r w:rsidRPr="00C33834">
              <w:rPr>
                <w:rFonts w:ascii="Times New Roman" w:hAnsi="Times New Roman"/>
                <w:color w:val="000000" w:themeColor="text1"/>
                <w:sz w:val="16"/>
                <w:szCs w:val="16"/>
              </w:rPr>
              <w:noBreakHyphen/>
              <w:t>мм</w:t>
            </w:r>
          </w:p>
          <w:p w14:paraId="54DC4765"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BC2A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152</w:t>
            </w:r>
            <w:r w:rsidRPr="00C33834">
              <w:rPr>
                <w:rFonts w:ascii="Times New Roman" w:hAnsi="Times New Roman"/>
                <w:color w:val="000000" w:themeColor="text1"/>
                <w:sz w:val="16"/>
                <w:szCs w:val="16"/>
              </w:rPr>
              <w:noBreakHyphen/>
              <w:t>мм</w:t>
            </w:r>
          </w:p>
          <w:p w14:paraId="5557A67C"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мортира</w:t>
            </w:r>
          </w:p>
        </w:tc>
      </w:tr>
      <w:tr w:rsidR="00F26F01" w:rsidRPr="00C33834" w14:paraId="511B3A7D" w14:textId="77777777" w:rsidTr="0091093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1220414" w14:textId="77777777" w:rsidR="00871A0E" w:rsidRPr="00C33834" w:rsidRDefault="00871A0E"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033DC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 Т</w:t>
            </w:r>
            <w:r w:rsidRPr="00C33834">
              <w:rPr>
                <w:rFonts w:ascii="Times New Roman" w:hAnsi="Times New Roman"/>
                <w:color w:val="000000" w:themeColor="text1"/>
                <w:sz w:val="16"/>
                <w:szCs w:val="16"/>
              </w:rPr>
              <w:noBreakHyphen/>
              <w:t>35</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46490F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 Т</w:t>
            </w:r>
            <w:r w:rsidRPr="00C33834">
              <w:rPr>
                <w:rFonts w:ascii="Times New Roman" w:hAnsi="Times New Roman"/>
                <w:color w:val="000000" w:themeColor="text1"/>
                <w:sz w:val="16"/>
                <w:szCs w:val="16"/>
              </w:rPr>
              <w:noBreakHyphen/>
              <w:t>26</w:t>
            </w:r>
          </w:p>
        </w:tc>
      </w:tr>
      <w:tr w:rsidR="00F26F01" w:rsidRPr="00C33834" w14:paraId="78B04583"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9FA71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A542E"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C4A5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CDF7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4EB3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r>
      <w:tr w:rsidR="00F26F01" w:rsidRPr="00C33834" w14:paraId="0D5D5D20"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67BD0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CB5B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9193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3784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A3D5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034F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4841</w:t>
            </w:r>
          </w:p>
        </w:tc>
      </w:tr>
      <w:tr w:rsidR="00F26F01" w:rsidRPr="00C33834" w14:paraId="5C48D02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CA433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Ширина —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2078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77865"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296EE"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4F2F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2440</w:t>
            </w:r>
          </w:p>
        </w:tc>
      </w:tr>
      <w:tr w:rsidR="00F26F01" w:rsidRPr="00C33834" w14:paraId="1DADF7B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6668BE"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линии огня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D358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BB3F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4EE5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85BFE"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1850</w:t>
            </w:r>
          </w:p>
        </w:tc>
      </w:tr>
      <w:tr w:rsidR="00F26F01" w:rsidRPr="00C33834" w14:paraId="51BEA924"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0401A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максимальная в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0B1B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ECD5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75E5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BE9A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r>
      <w:tr w:rsidR="00F26F01" w:rsidRPr="00C33834" w14:paraId="3B272BAF"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6BBA4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Перекрываемый ров в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4D98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902C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D639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3628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r>
      <w:tr w:rsidR="00F26F01" w:rsidRPr="00C33834" w14:paraId="49466DDC"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C3A83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Подъем в градусах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96FC5"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1A2F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5EC1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F330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tc>
      </w:tr>
      <w:tr w:rsidR="00F26F01" w:rsidRPr="00C33834" w14:paraId="62D9A785"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F17F9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зацепа в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8A89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75495"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4C1C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ACD7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764</w:t>
            </w:r>
          </w:p>
        </w:tc>
      </w:tr>
      <w:tr w:rsidR="00F26F01" w:rsidRPr="00C33834" w14:paraId="3DD158CF"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FC903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мотора —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5E50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FFCDC"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44A0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9D58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w:t>
            </w:r>
          </w:p>
        </w:tc>
      </w:tr>
      <w:tr w:rsidR="00F26F01" w:rsidRPr="00C33834" w14:paraId="3008CF42"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48E2F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на 1 т веса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777BE"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11,2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98A5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D0F0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6A79C"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л. с.</w:t>
            </w:r>
          </w:p>
        </w:tc>
      </w:tr>
      <w:tr w:rsidR="00F26F01" w:rsidRPr="00C33834" w14:paraId="5B6E5E34"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03EAAC"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Толщина брони в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E9E3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802F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5872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DE3F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r>
      <w:tr w:rsidR="00F26F01" w:rsidRPr="00C33834" w14:paraId="03BEEECD"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20DFE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Запас хода в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BB50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BD7C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0F2A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923C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r>
      <w:tr w:rsidR="00F26F01" w:rsidRPr="00C33834" w14:paraId="4A1DB96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DBF00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Команда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460A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C1F1C"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2637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EB47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r>
      <w:tr w:rsidR="00F26F01" w:rsidRPr="00C33834" w14:paraId="45788CA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5DA60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 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6B0E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203</w:t>
            </w:r>
            <w:r w:rsidRPr="00C33834">
              <w:rPr>
                <w:rFonts w:ascii="Times New Roman" w:hAnsi="Times New Roman"/>
                <w:color w:val="000000" w:themeColor="text1"/>
                <w:sz w:val="16"/>
                <w:szCs w:val="16"/>
              </w:rPr>
              <w:noBreakHyphen/>
              <w:t>мм</w:t>
            </w:r>
          </w:p>
          <w:p w14:paraId="6BACA83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F19B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r w:rsidRPr="00C33834">
              <w:rPr>
                <w:rFonts w:ascii="Times New Roman" w:hAnsi="Times New Roman"/>
                <w:color w:val="000000" w:themeColor="text1"/>
                <w:sz w:val="16"/>
                <w:szCs w:val="16"/>
              </w:rPr>
              <w:noBreakHyphen/>
              <w:t>мм</w:t>
            </w:r>
          </w:p>
          <w:p w14:paraId="1349FDD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ACBDD"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122</w:t>
            </w:r>
            <w:r w:rsidRPr="00C33834">
              <w:rPr>
                <w:rFonts w:ascii="Times New Roman" w:hAnsi="Times New Roman"/>
                <w:color w:val="000000" w:themeColor="text1"/>
                <w:sz w:val="16"/>
                <w:szCs w:val="16"/>
              </w:rPr>
              <w:noBreakHyphen/>
              <w:t>мм</w:t>
            </w:r>
          </w:p>
          <w:p w14:paraId="058B92B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8172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152</w:t>
            </w:r>
            <w:r w:rsidRPr="00C33834">
              <w:rPr>
                <w:rFonts w:ascii="Times New Roman" w:hAnsi="Times New Roman"/>
                <w:color w:val="000000" w:themeColor="text1"/>
                <w:sz w:val="16"/>
                <w:szCs w:val="16"/>
              </w:rPr>
              <w:noBreakHyphen/>
              <w:t>мм</w:t>
            </w:r>
          </w:p>
          <w:p w14:paraId="3DECEE2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мортира</w:t>
            </w:r>
          </w:p>
        </w:tc>
      </w:tr>
      <w:tr w:rsidR="00F26F01" w:rsidRPr="00C33834" w14:paraId="1B2B904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B9D27E"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Дальнобойность установленных артсистем —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CF91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D1F4E"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6CA6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FADC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tc>
      </w:tr>
      <w:tr w:rsidR="00F26F01" w:rsidRPr="00C33834" w14:paraId="28602F9D"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49CDF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Количество снарядов, возимых на самом самоходе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FCAC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3484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89BAB"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8BAB9"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r>
    </w:tbl>
    <w:p w14:paraId="0D0F5CCD" w14:textId="77777777" w:rsidR="00871A0E" w:rsidRPr="00C33834" w:rsidRDefault="00871A0E" w:rsidP="00C33834">
      <w:pPr>
        <w:pStyle w:val="rtejustify"/>
        <w:spacing w:before="0" w:after="0"/>
        <w:rPr>
          <w:color w:val="000000" w:themeColor="text1"/>
          <w:sz w:val="16"/>
          <w:szCs w:val="16"/>
        </w:rPr>
      </w:pPr>
      <w:r w:rsidRPr="00C33834">
        <w:rPr>
          <w:color w:val="000000" w:themeColor="text1"/>
          <w:sz w:val="16"/>
          <w:szCs w:val="16"/>
        </w:rPr>
        <w:t>Особенностью малых самоходных установок является одинаковость шасси (Т</w:t>
      </w:r>
      <w:r w:rsidRPr="00C33834">
        <w:rPr>
          <w:color w:val="000000" w:themeColor="text1"/>
          <w:sz w:val="16"/>
          <w:szCs w:val="16"/>
        </w:rPr>
        <w:noBreakHyphen/>
        <w:t>26), допускающая установку любой из трех артсистем, 76</w:t>
      </w:r>
      <w:r w:rsidRPr="00C33834">
        <w:rPr>
          <w:color w:val="000000" w:themeColor="text1"/>
          <w:sz w:val="16"/>
          <w:szCs w:val="16"/>
        </w:rPr>
        <w:noBreakHyphen/>
        <w:t>мм пушки, 122</w:t>
      </w:r>
      <w:r w:rsidRPr="00C33834">
        <w:rPr>
          <w:color w:val="000000" w:themeColor="text1"/>
          <w:sz w:val="16"/>
          <w:szCs w:val="16"/>
        </w:rPr>
        <w:noBreakHyphen/>
        <w:t>мм гаубицы и 152</w:t>
      </w:r>
      <w:r w:rsidRPr="00C33834">
        <w:rPr>
          <w:color w:val="000000" w:themeColor="text1"/>
          <w:sz w:val="16"/>
          <w:szCs w:val="16"/>
        </w:rPr>
        <w:noBreakHyphen/>
        <w:t>мм мортиры.</w:t>
      </w:r>
    </w:p>
    <w:p w14:paraId="2167D1E2" w14:textId="77777777" w:rsidR="00871A0E" w:rsidRPr="00C33834" w:rsidRDefault="00871A0E" w:rsidP="00C33834">
      <w:pPr>
        <w:pStyle w:val="rtejustify"/>
        <w:spacing w:before="0" w:after="0"/>
        <w:rPr>
          <w:color w:val="000000" w:themeColor="text1"/>
          <w:sz w:val="16"/>
          <w:szCs w:val="16"/>
        </w:rPr>
      </w:pPr>
      <w:r w:rsidRPr="00C33834">
        <w:rPr>
          <w:color w:val="000000" w:themeColor="text1"/>
          <w:sz w:val="16"/>
          <w:szCs w:val="16"/>
        </w:rPr>
        <w:t>Большая самоходная установка на шасси Т</w:t>
      </w:r>
      <w:r w:rsidRPr="00C33834">
        <w:rPr>
          <w:color w:val="000000" w:themeColor="text1"/>
          <w:sz w:val="16"/>
          <w:szCs w:val="16"/>
        </w:rPr>
        <w:noBreakHyphen/>
        <w:t>35 имеет установленную 203</w:t>
      </w:r>
      <w:r w:rsidRPr="00C33834">
        <w:rPr>
          <w:color w:val="000000" w:themeColor="text1"/>
          <w:sz w:val="16"/>
          <w:szCs w:val="16"/>
        </w:rPr>
        <w:noBreakHyphen/>
        <w:t>мм гаубицу дальнобойностью 18 км, и обеспечена возможность установки 152 мм пушки с дальнобойностью 29</w:t>
      </w:r>
      <w:r w:rsidRPr="00C33834">
        <w:rPr>
          <w:color w:val="000000" w:themeColor="text1"/>
          <w:sz w:val="16"/>
          <w:szCs w:val="16"/>
        </w:rPr>
        <w:noBreakHyphen/>
        <w:t>30 км. При оценке самоходной установки 203</w:t>
      </w:r>
      <w:r w:rsidRPr="00C33834">
        <w:rPr>
          <w:color w:val="000000" w:themeColor="text1"/>
          <w:sz w:val="16"/>
          <w:szCs w:val="16"/>
        </w:rPr>
        <w:noBreakHyphen/>
        <w:t>мм гаубицы Вами обращено внимание конструкторов на необходимость обеспечить самоходную установку не менее 100 выстрелами возимого боезапаса. Поставленная Вами задача конструкторами и производственниками будет разрешена во втором полугодии 1935 г.</w:t>
      </w:r>
    </w:p>
    <w:p w14:paraId="26EB816D" w14:textId="77777777" w:rsidR="00871A0E" w:rsidRPr="00C33834" w:rsidRDefault="00871A0E" w:rsidP="00C33834">
      <w:pPr>
        <w:pStyle w:val="rtejustify"/>
        <w:spacing w:before="0" w:after="0"/>
        <w:rPr>
          <w:color w:val="000000" w:themeColor="text1"/>
          <w:sz w:val="16"/>
          <w:szCs w:val="16"/>
        </w:rPr>
      </w:pPr>
      <w:r w:rsidRPr="00C33834">
        <w:rPr>
          <w:color w:val="000000" w:themeColor="text1"/>
          <w:sz w:val="16"/>
          <w:szCs w:val="16"/>
        </w:rPr>
        <w:t>Для обеспечения повышенной маневренности в боевой обстановке механизированных соединений Опытным заводом им. Кирова изготовлены:</w:t>
      </w:r>
    </w:p>
    <w:p w14:paraId="33D10086" w14:textId="77777777" w:rsidR="00871A0E" w:rsidRPr="00C33834" w:rsidRDefault="00871A0E" w:rsidP="00C33834">
      <w:pPr>
        <w:pStyle w:val="rtejustify"/>
        <w:spacing w:before="0" w:after="0"/>
        <w:rPr>
          <w:color w:val="000000" w:themeColor="text1"/>
          <w:sz w:val="16"/>
          <w:szCs w:val="16"/>
        </w:rPr>
      </w:pPr>
      <w:r w:rsidRPr="00C33834">
        <w:rPr>
          <w:color w:val="000000" w:themeColor="text1"/>
          <w:sz w:val="16"/>
          <w:szCs w:val="16"/>
        </w:rPr>
        <w:t>1. Транспортер для перевозки боеприпасов на шасси Т</w:t>
      </w:r>
      <w:r w:rsidRPr="00C33834">
        <w:rPr>
          <w:color w:val="000000" w:themeColor="text1"/>
          <w:sz w:val="16"/>
          <w:szCs w:val="16"/>
        </w:rPr>
        <w:noBreakHyphen/>
        <w:t>26, вооруженный 1 пулеметом, допускающий перевозку 144 снарядов 76</w:t>
      </w:r>
      <w:r w:rsidRPr="00C33834">
        <w:rPr>
          <w:color w:val="000000" w:themeColor="text1"/>
          <w:sz w:val="16"/>
          <w:szCs w:val="16"/>
        </w:rPr>
        <w:noBreakHyphen/>
        <w:t>мм пушки и 4 тыс. шт. винтпатронов или 360 шт. снарядов 45</w:t>
      </w:r>
      <w:r w:rsidRPr="00C33834">
        <w:rPr>
          <w:color w:val="000000" w:themeColor="text1"/>
          <w:sz w:val="16"/>
          <w:szCs w:val="16"/>
        </w:rPr>
        <w:noBreakHyphen/>
        <w:t>мм пушки с тем же количеством винтпатронов.</w:t>
      </w:r>
    </w:p>
    <w:p w14:paraId="740DEAEB" w14:textId="77777777" w:rsidR="00871A0E" w:rsidRPr="00C33834" w:rsidRDefault="00871A0E" w:rsidP="00C33834">
      <w:pPr>
        <w:pStyle w:val="rtejustify"/>
        <w:spacing w:before="0" w:after="0"/>
        <w:rPr>
          <w:color w:val="000000" w:themeColor="text1"/>
          <w:sz w:val="16"/>
          <w:szCs w:val="16"/>
        </w:rPr>
      </w:pPr>
      <w:r w:rsidRPr="00C33834">
        <w:rPr>
          <w:color w:val="000000" w:themeColor="text1"/>
          <w:sz w:val="16"/>
          <w:szCs w:val="16"/>
        </w:rPr>
        <w:t>2. Специальный бронированный бензозаправщик Т</w:t>
      </w:r>
      <w:r w:rsidRPr="00C33834">
        <w:rPr>
          <w:color w:val="000000" w:themeColor="text1"/>
          <w:sz w:val="16"/>
          <w:szCs w:val="16"/>
        </w:rPr>
        <w:noBreakHyphen/>
        <w:t>26Ц на шасси танка Т</w:t>
      </w:r>
      <w:r w:rsidRPr="00C33834">
        <w:rPr>
          <w:color w:val="000000" w:themeColor="text1"/>
          <w:sz w:val="16"/>
          <w:szCs w:val="16"/>
        </w:rPr>
        <w:noBreakHyphen/>
        <w:t>26, емкостью 1600 л бензина и 150 л масла, допускает одновременную заправку 4 машин из своих и посторонних резервуаров, перекачивая до 400 л в минуту.</w:t>
      </w:r>
    </w:p>
    <w:p w14:paraId="54FA3C32" w14:textId="77777777" w:rsidR="00871A0E" w:rsidRPr="00C33834" w:rsidRDefault="00871A0E" w:rsidP="00C33834">
      <w:pPr>
        <w:pStyle w:val="rtejustify"/>
        <w:spacing w:before="0" w:after="0"/>
        <w:rPr>
          <w:color w:val="000000" w:themeColor="text1"/>
          <w:sz w:val="16"/>
          <w:szCs w:val="16"/>
        </w:rPr>
      </w:pPr>
      <w:r w:rsidRPr="00C33834">
        <w:rPr>
          <w:color w:val="000000" w:themeColor="text1"/>
          <w:sz w:val="16"/>
          <w:szCs w:val="16"/>
        </w:rPr>
        <w:t>Опытные образцы танков и самоходных установок, сконструированные по системе перевооружения РККА, в данное время находятся в Москве.</w:t>
      </w:r>
    </w:p>
    <w:p w14:paraId="1EE429B3"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lastRenderedPageBreak/>
        <w:t>Начальник Главного военно-мобилизационного управления Павлуновский</w:t>
      </w:r>
    </w:p>
    <w:p w14:paraId="32208235"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Управляющий Трестом специального машиностроения Нейман</w:t>
      </w:r>
    </w:p>
    <w:p w14:paraId="242FFE5A"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Директор Опытного завода им. Кирова Барыков</w:t>
      </w:r>
    </w:p>
    <w:p w14:paraId="603D8707"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Директор ХПЗ им. Коминтерна Бондаренко</w:t>
      </w:r>
    </w:p>
    <w:p w14:paraId="33720A8F"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Главный конструктор Опытного завода им. Кирова Гинзбург</w:t>
      </w:r>
    </w:p>
    <w:p w14:paraId="390BE2D2"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Зам. технического директора завода № 37 Козырев</w:t>
      </w:r>
    </w:p>
    <w:p w14:paraId="1809681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Главный конструктор завода №37 Астров</w:t>
      </w:r>
    </w:p>
    <w:p w14:paraId="3BEAC6A5"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Зам. начальника экспериментального отдела ХПЗ Голыбин</w:t>
      </w:r>
    </w:p>
    <w:p w14:paraId="38D379B0"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Конструкторы Опытного завода им. Кирова Сячентов</w:t>
      </w:r>
    </w:p>
    <w:p w14:paraId="23F0354C"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Зигель</w:t>
      </w:r>
    </w:p>
    <w:p w14:paraId="51396EB6"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Троянов</w:t>
      </w:r>
    </w:p>
    <w:p w14:paraId="23592E9C"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Конструкторы ХПЗ им. Коминтерна²* Челпан</w:t>
      </w:r>
    </w:p>
    <w:p w14:paraId="2F5DDF21"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Бер</w:t>
      </w:r>
    </w:p>
    <w:p w14:paraId="3F45C144"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Вихман</w:t>
      </w:r>
    </w:p>
    <w:p w14:paraId="72142418" w14:textId="77777777" w:rsidR="00871A0E" w:rsidRPr="00C33834" w:rsidRDefault="00871A0E"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Фирсов</w:t>
      </w:r>
    </w:p>
    <w:p w14:paraId="09B9971F" w14:textId="77777777" w:rsidR="00871A0E" w:rsidRPr="00C33834" w:rsidRDefault="00871A0E"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Примечания</w:t>
      </w:r>
      <w:r w:rsidRPr="00C33834">
        <w:rPr>
          <w:color w:val="000000" w:themeColor="text1"/>
          <w:sz w:val="16"/>
          <w:szCs w:val="16"/>
        </w:rPr>
        <w:t>:</w:t>
      </w:r>
    </w:p>
    <w:p w14:paraId="2FE7310B" w14:textId="77777777" w:rsidR="00871A0E" w:rsidRPr="00C33834" w:rsidRDefault="00871A0E" w:rsidP="00C33834">
      <w:pPr>
        <w:pStyle w:val="ae"/>
        <w:spacing w:before="0" w:after="0"/>
        <w:jc w:val="both"/>
        <w:rPr>
          <w:color w:val="000000" w:themeColor="text1"/>
          <w:sz w:val="16"/>
          <w:szCs w:val="16"/>
        </w:rPr>
      </w:pPr>
      <w:r w:rsidRPr="00C33834">
        <w:rPr>
          <w:color w:val="000000" w:themeColor="text1"/>
          <w:sz w:val="16"/>
          <w:szCs w:val="16"/>
        </w:rPr>
        <w:t>¹* Датируется по содержанию документа.</w:t>
      </w:r>
    </w:p>
    <w:p w14:paraId="53512FFD" w14:textId="77777777" w:rsidR="00871A0E" w:rsidRPr="00C33834" w:rsidRDefault="00871A0E" w:rsidP="00C33834">
      <w:pPr>
        <w:pStyle w:val="ae"/>
        <w:spacing w:before="0" w:after="0"/>
        <w:jc w:val="both"/>
        <w:rPr>
          <w:color w:val="000000" w:themeColor="text1"/>
          <w:sz w:val="16"/>
          <w:szCs w:val="16"/>
        </w:rPr>
      </w:pPr>
      <w:r w:rsidRPr="00C33834">
        <w:rPr>
          <w:color w:val="000000" w:themeColor="text1"/>
          <w:sz w:val="16"/>
          <w:szCs w:val="16"/>
        </w:rPr>
        <w:t>²* Подписи конструкторов ХПЗ им. Коминтерна отсутствуют.</w:t>
      </w:r>
    </w:p>
    <w:p w14:paraId="6CAAD134" w14:textId="77777777" w:rsidR="00871A0E" w:rsidRPr="00C33834" w:rsidRDefault="00871A0E" w:rsidP="00C33834">
      <w:pPr>
        <w:pStyle w:val="ae"/>
        <w:spacing w:before="0" w:after="0"/>
        <w:jc w:val="both"/>
        <w:rPr>
          <w:color w:val="000000" w:themeColor="text1"/>
          <w:sz w:val="16"/>
          <w:szCs w:val="16"/>
        </w:rPr>
      </w:pPr>
      <w:r w:rsidRPr="00C33834">
        <w:rPr>
          <w:color w:val="000000" w:themeColor="text1"/>
          <w:sz w:val="16"/>
          <w:szCs w:val="16"/>
        </w:rPr>
        <w:t>РГАЭ. Ф. 7297. Оп. 38. Д. 32. Л. 10-3. Подлинник (15278).</w:t>
      </w:r>
    </w:p>
    <w:p w14:paraId="70289EFD" w14:textId="77777777" w:rsidR="00871A0E" w:rsidRPr="00C33834" w:rsidRDefault="00871A0E"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684DB7" w14:textId="77777777" w:rsidR="00EA298A" w:rsidRPr="00C33834" w:rsidRDefault="00EA298A"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августа 1933 года было издано Постановление Совета труда и Обо</w:t>
      </w:r>
      <w:r w:rsidRPr="00C33834">
        <w:rPr>
          <w:rFonts w:ascii="Times New Roman" w:hAnsi="Times New Roman"/>
          <w:color w:val="000000" w:themeColor="text1"/>
          <w:sz w:val="16"/>
          <w:szCs w:val="16"/>
        </w:rPr>
        <w:softHyphen/>
        <w:t>роны № 71сс, согласно которому должны были быть спроектированы, изготовлены опытные образцы и предъявлены в 1935 году на испытания:</w:t>
      </w:r>
    </w:p>
    <w:p w14:paraId="797A3E6B" w14:textId="77777777" w:rsidR="00EA298A" w:rsidRPr="00C33834" w:rsidRDefault="00EA298A"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два образца легких колесно-гусеничных танков (плавающих) под маркой Т-43.</w:t>
      </w:r>
    </w:p>
    <w:p w14:paraId="61B98003" w14:textId="77777777" w:rsidR="00EA298A" w:rsidRPr="00C33834" w:rsidRDefault="00EA298A"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Один образец легкого танка (плавающего) только гусеничного, под </w:t>
      </w:r>
      <w:r w:rsidRPr="00C33834">
        <w:rPr>
          <w:rFonts w:ascii="Times New Roman" w:hAnsi="Times New Roman"/>
          <w:color w:val="000000" w:themeColor="text1"/>
          <w:sz w:val="16"/>
          <w:szCs w:val="16"/>
          <w:vertAlign w:val="subscript"/>
        </w:rPr>
        <w:t>:</w:t>
      </w:r>
      <w:r w:rsidRPr="00C33834">
        <w:rPr>
          <w:rFonts w:ascii="Times New Roman" w:hAnsi="Times New Roman"/>
          <w:color w:val="000000" w:themeColor="text1"/>
          <w:sz w:val="16"/>
          <w:szCs w:val="16"/>
        </w:rPr>
        <w:t xml:space="preserve"> маркой Т-38;</w:t>
      </w:r>
    </w:p>
    <w:p w14:paraId="2470D7B8" w14:textId="77777777" w:rsidR="00EA298A" w:rsidRPr="00C33834" w:rsidRDefault="00EA298A"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один образец колесно-гусеничного войскового танка под маркой Т-46;</w:t>
      </w:r>
    </w:p>
    <w:p w14:paraId="18108583" w14:textId="77777777" w:rsidR="00EA298A" w:rsidRPr="00C33834" w:rsidRDefault="00EA298A"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два образца средних (?!) быстроходных танков: один под маркой БТ-5 с дизелем и один плавающий под маркой ПТ-1;</w:t>
      </w:r>
    </w:p>
    <w:p w14:paraId="4CDEB9FF" w14:textId="77777777" w:rsidR="00EA298A" w:rsidRPr="00C33834" w:rsidRDefault="00EA298A"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один образец колесно-гусеничного танка БТ-7 с мотором М-17;</w:t>
      </w:r>
    </w:p>
    <w:p w14:paraId="17924973" w14:textId="77777777" w:rsidR="00EA298A" w:rsidRPr="00C33834" w:rsidRDefault="00EA298A"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два образца тяжелых (?!) танков под марками Т-29 — 4 и Т-29—5 (11504).</w:t>
      </w:r>
    </w:p>
    <w:p w14:paraId="62188423" w14:textId="77777777" w:rsidR="00EA298A" w:rsidRPr="00C33834" w:rsidRDefault="00EA298A"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9217DE"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13 августа 1933 г. представленная К.Е. Ворошиловым новая система автобронетанкового вооружения была рассмотрена на заседании Совета Труда и Обороны (СТО), и практически без поправок утверждена </w:t>
      </w:r>
      <w:hyperlink r:id="rId292" w:tgtFrame="_blank" w:history="1">
        <w:r w:rsidRPr="00C33834">
          <w:rPr>
            <w:rFonts w:ascii="Times New Roman" w:eastAsia="Times New Roman" w:hAnsi="Times New Roman"/>
            <w:color w:val="000000" w:themeColor="text1"/>
            <w:sz w:val="16"/>
            <w:szCs w:val="16"/>
            <w:lang w:eastAsia="ru-RU"/>
          </w:rPr>
          <w:t>Постановлением СТО № 71сс «О системе танкового вооружения РККА»</w:t>
        </w:r>
      </w:hyperlink>
      <w:r w:rsidRPr="00C33834">
        <w:rPr>
          <w:rFonts w:ascii="Times New Roman" w:eastAsia="Times New Roman" w:hAnsi="Times New Roman"/>
          <w:color w:val="000000" w:themeColor="text1"/>
          <w:sz w:val="16"/>
          <w:szCs w:val="16"/>
          <w:lang w:eastAsia="ru-RU"/>
        </w:rPr>
        <w:t xml:space="preserve">. В первом разделе этого важного для отечественного танкостроения постановления было указано: </w:t>
      </w:r>
    </w:p>
    <w:p w14:paraId="3CAA81BB"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«Утвердить на вторую пятилетку следующую систему бронетанкового вооружения РККА: </w:t>
      </w:r>
    </w:p>
    <w:p w14:paraId="743FB3DA"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1. Основные танки – 5 типов:</w:t>
      </w:r>
    </w:p>
    <w:p w14:paraId="4AE3B8FE"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а) Разведывательный танк. Основной танк службы обеспечения всех механизированных соединений. Средство боевой разведки и боя пехоты. Основные требования: быстроходность, вездеходность (в том числе плавучесть), маневренность, низкий габарит, дешевизна и массовость производства. </w:t>
      </w:r>
    </w:p>
    <w:p w14:paraId="1D3CB96C"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б) Общевойсковой танк. Основной танк количественного усиления ТРГК, он же танк общевойсковых соединений. </w:t>
      </w:r>
    </w:p>
    <w:p w14:paraId="3DA23336"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в) Оперативный танк. Танк самостоятельных механизированных соединений. Танк должен быть быстроходным вездеходным (в том числе плавучим) и мощно вооружен. </w:t>
      </w:r>
    </w:p>
    <w:p w14:paraId="12936354"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г) Танк качественного усиления ТРГК. Танк качественного усиления ТРГК для преодоления сильно укрепленных оборонительных полос. Основные требования: сильное вооружение и броня, быстроходность, позволяющая его применять также в операции совместно с мехсоединениями. </w:t>
      </w:r>
    </w:p>
    <w:p w14:paraId="3B5656A5"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д) Мощный танк особого назначения. Танк качественного, добавочного усиления ТРГК при прорыве особо сильно и заблаговременно укрепленных полос. Основное требование – мощное вооружение и броня, защищающая от мелкокалиберных снарядов. Способность бороться с бетонными сооружениями. </w:t>
      </w:r>
    </w:p>
    <w:p w14:paraId="7A46DC91"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2. Специальные танки – 7 типов (на шасси, стандартных с перечисленными выше): </w:t>
      </w:r>
    </w:p>
    <w:p w14:paraId="0B88A4B5"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а) 3 химических (на шасси общевойскового, разведывательного и оперативного танков); </w:t>
      </w:r>
    </w:p>
    <w:p w14:paraId="14237B50"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б) 2 саперных (на шасси общевойскового танка и танка качественного усиления ТРГК); </w:t>
      </w:r>
    </w:p>
    <w:p w14:paraId="303E7173"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в) самоходная артиллерийская установка (на агрегатах общевойскового танка); </w:t>
      </w:r>
    </w:p>
    <w:p w14:paraId="669303E5"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г) танк управления (на шасси общевойскового танка и танка качественного усиления ТРГК); </w:t>
      </w:r>
    </w:p>
    <w:p w14:paraId="31094E18"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3. Броне-машины – 2 типа:</w:t>
      </w:r>
    </w:p>
    <w:p w14:paraId="4D05C9C2"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а) разведывательная (на шасси ФОРД-А); </w:t>
      </w:r>
    </w:p>
    <w:p w14:paraId="7219E58D"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б)боевая (на шасси ФОРД-3А). </w:t>
      </w:r>
    </w:p>
    <w:p w14:paraId="66883666"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4. Железнодорожные боевые машины – 2 типа:</w:t>
      </w:r>
    </w:p>
    <w:p w14:paraId="129BE1B7"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а) мото-броне-вагон; </w:t>
      </w:r>
    </w:p>
    <w:p w14:paraId="012EEA39"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б) разведывательная дрезина-бронеавтомобиль (стандартный с бронемашиной). </w:t>
      </w:r>
    </w:p>
    <w:p w14:paraId="7FDC3DC8"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5. Тракторы – 3 типа (все типы общегосударственные): </w:t>
      </w:r>
    </w:p>
    <w:p w14:paraId="3F3B20E3"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а) легкий быстроходный трактор СТЗ-3; </w:t>
      </w:r>
    </w:p>
    <w:p w14:paraId="5A6973D0"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б) тяжелый быстроходный трактор "Коммунар"; </w:t>
      </w:r>
    </w:p>
    <w:p w14:paraId="1A8CDA1E"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в) тяжелый мощный трактор "Сталинец". </w:t>
      </w:r>
    </w:p>
    <w:p w14:paraId="2898656D"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6. Транспортеры – 2 типа:</w:t>
      </w:r>
    </w:p>
    <w:p w14:paraId="7977C6BC"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а) транспортер боеприпасов на поле боя (шасси стандартное с разведывательным танком); </w:t>
      </w:r>
    </w:p>
    <w:p w14:paraId="031006B9"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б) транспортер пехоты (на шасси легкого трактора). </w:t>
      </w:r>
    </w:p>
    <w:p w14:paraId="18DE9464"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7. Транспортные машины (существующие на массовом производстве с установкой 3-х осных ходовых частей и полугусеничных снежных ходов): </w:t>
      </w:r>
    </w:p>
    <w:p w14:paraId="2DEF881D"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а) ФОРД-А; </w:t>
      </w:r>
    </w:p>
    <w:p w14:paraId="59458B76"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б) ФОРД-АА; </w:t>
      </w:r>
    </w:p>
    <w:p w14:paraId="5C042048"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в) АМО-5; </w:t>
      </w:r>
    </w:p>
    <w:p w14:paraId="25575202"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г) Я-5».</w:t>
      </w:r>
    </w:p>
    <w:p w14:paraId="21F1E720"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bCs/>
          <w:color w:val="000000" w:themeColor="text1"/>
          <w:sz w:val="16"/>
          <w:szCs w:val="16"/>
          <w:lang w:eastAsia="ru-RU"/>
        </w:rPr>
        <w:t>[ГА РФ. Ф. Р-8418. Оп. 28. Д. 2. Л. 74 – 76]</w:t>
      </w:r>
    </w:p>
    <w:p w14:paraId="583C8CA4"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Для реализации утвержденной системы было решено сохранить в серийном производстве на первую половину пятилетки следующие танки: </w:t>
      </w:r>
    </w:p>
    <w:p w14:paraId="25EC5D80"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«а) Т-37 – в качестве разведывательного танка; </w:t>
      </w:r>
    </w:p>
    <w:p w14:paraId="77CBBCE1"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б) Т-26 – в качестве общевойскового танка; </w:t>
      </w:r>
    </w:p>
    <w:p w14:paraId="5E1A0B95"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в) Б-Т – в качестве оперативного танка; </w:t>
      </w:r>
    </w:p>
    <w:p w14:paraId="283B391C"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г) Т-28 – в качестве танка качественного усиления ТРГК; </w:t>
      </w:r>
    </w:p>
    <w:p w14:paraId="030AA2D2"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д) Т-35 – в качестве мощного танка особого назначения».</w:t>
      </w:r>
    </w:p>
    <w:p w14:paraId="4A14F5E1"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bCs/>
          <w:color w:val="000000" w:themeColor="text1"/>
          <w:sz w:val="16"/>
          <w:szCs w:val="16"/>
          <w:lang w:eastAsia="ru-RU"/>
        </w:rPr>
        <w:t>[ГА РФ. Ф. Р-8418. Оп. 28. Д. 2. Л. 76]</w:t>
      </w:r>
    </w:p>
    <w:p w14:paraId="21299D4C"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В дальнейшем эти танки планировалось заменить на более совершенные образцы. При этом были заданы следующие основные направления дальнейшего усовершенствования танков: оснащение всех типов танков дизелями и оснащение гусеничных танков всех типов (кроме танков типа Т-35) колесно-гусеничными движителями. Начиная с 1934 г. в качестве оперативного танка планировалось постепенное внедрение в производство плавающего колесно-гусеничного танка ПТ-1, с таким расчетом, чтобы с 1936 г. полностью перейти на его массовый выпуск вместо танка БТ-5. Танки Т-37, Т-26 и Т-28 также подлежали усовершенствованию, начиная с 1936 г., для увеличения оперативной подвижности, эти боевые машины должны были быть оснащены колесно-гусеничным движителем. Для замены танка Т-35 промышленность была обязана к 1937 г. разработать и внедрить в производство новый, более мощный образец танка «особого назначения». В случае полного выполнения промышленностью принятой системы бронетанкового вооружения, в 1937 г. в серийном производстве должны были находиться следующие основные типы танков: </w:t>
      </w:r>
    </w:p>
    <w:p w14:paraId="54842DF2"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 разведывательный плавающий танк типа Т-37 с колесно-гусеничным движителем; </w:t>
      </w:r>
    </w:p>
    <w:p w14:paraId="6DE385BC"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 легкий общевойсковой танк типа Т-26 с колесно-гусеничным движителем; </w:t>
      </w:r>
    </w:p>
    <w:p w14:paraId="4C8E81EB"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 легкий оперативный колесно-гусеничный плавающий танк ПТ-1; </w:t>
      </w:r>
    </w:p>
    <w:p w14:paraId="121B01B2"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lastRenderedPageBreak/>
        <w:t xml:space="preserve">– средний танк качественного усиления ТРГК типа Т-28 с колесно-гусеничным движителем; </w:t>
      </w:r>
    </w:p>
    <w:p w14:paraId="311CBDAA"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 новый тяжелый танк «особого назначения» – танк прорыва типа Т-35. </w:t>
      </w:r>
    </w:p>
    <w:p w14:paraId="36A4FED8"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При этом все перечисленные танки должны были быть оснащены дизелями, работающими на тяжелом топливе. В Приложении к Постановлению СТО № 71сс были приведены следующие основные тактико-технические требования, предъявляемые к вышеуказанным типам танков: </w:t>
      </w:r>
    </w:p>
    <w:p w14:paraId="72D1875F"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«1. Разведывательный танк (танк Т-37): </w:t>
      </w:r>
    </w:p>
    <w:p w14:paraId="6B433EB8"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боевой вес – 3,3 тн, скорость – 40 км/ч, вооружение – 1 пулемет, броня – защита от бронебойных пуль с дистанции 400 м, конструкция – плавающий. </w:t>
      </w:r>
    </w:p>
    <w:p w14:paraId="0DCA18C0"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2. Общевойсковой танк (танк Т-26): </w:t>
      </w:r>
    </w:p>
    <w:p w14:paraId="1D2433A0"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боевой вес – 9,5 тн, скорость – 50 км/ч, вооружение – 45 мм пушка (часть машин с 76 мм пушкой) и 1 пулемет, или 2 пулемета и 1 огнемет, броня – защита от бронебойных пуль, конструкция – желательно колесно-гусеничный. </w:t>
      </w:r>
    </w:p>
    <w:p w14:paraId="10DD4B9B"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3. Оперативный танк (тип – танк БТ, в дальнейшем – ПТ-1): </w:t>
      </w:r>
    </w:p>
    <w:p w14:paraId="14AA41EB"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боевой вес – 11 – 14,5 тн, скорость – 60 км/ч на гусеницах и 80 км/ч на колесах, вооружение – 45 мм пушка (часть машин с 76 мм пушкой) и 3 пулемета, броня – защита от бронебойных пуль, конструкция – плавающий, колесно-гусеничный. </w:t>
      </w:r>
    </w:p>
    <w:p w14:paraId="62AF8838"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4. Танк качественного усиления ТРГК (тип – танка Т-28): </w:t>
      </w:r>
    </w:p>
    <w:p w14:paraId="0309C0DC"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боевой вес – 20 – 23 тн, скорость – 40 км/ч на гусеницах и 70 км/ч на колесах, вооружение – 76 мм пушка и 3 сверхскорострельных пулемета, броня – защита от бронебойных крупнокалиберных пуль с любой дистанции, конструкция – колесно-гусеничный. </w:t>
      </w:r>
    </w:p>
    <w:p w14:paraId="28387CB5" w14:textId="77777777" w:rsidR="007F5702" w:rsidRPr="00C33834" w:rsidRDefault="007F5702" w:rsidP="00C33834">
      <w:pPr>
        <w:spacing w:after="0" w:line="240" w:lineRule="auto"/>
        <w:jc w:val="both"/>
        <w:rPr>
          <w:rFonts w:ascii="Times New Roman" w:eastAsia="Times New Roman" w:hAnsi="Times New Roman"/>
          <w:iCs/>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5. Мощный танк особого назначения (тип – танка Т-35): </w:t>
      </w:r>
    </w:p>
    <w:p w14:paraId="1A14FBDB"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боевой вес – 45 тн и более, скорость – 30 км/ч, вооружение – 76 мм пушка или 152 мм пушка, две 45 мм пушки или одна 45 мм пушка и 4 – 6 пулеметов, броня – защита от бронебойных крупнокалиберных пуль с любой дистанции и от мелкокалиберных снарядов (37 – 45 мм) с дистанции 500 – 700 м., конструкция – желательно колесно-гусеничный».</w:t>
      </w:r>
    </w:p>
    <w:p w14:paraId="320ED1B5"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bCs/>
          <w:color w:val="000000" w:themeColor="text1"/>
          <w:sz w:val="16"/>
          <w:szCs w:val="16"/>
          <w:lang w:eastAsia="ru-RU"/>
        </w:rPr>
        <w:t>[ГА РФ. Ф. Р-8418. Оп. 28. Д. 2. Л. 81]</w:t>
      </w:r>
    </w:p>
    <w:p w14:paraId="7D8FDBBA"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В отношении малого танка Т-34 в Постановлении СТО № 71сс было указано: в мирное время от производства отказаться, но на случай войны предусмотреть возможность его массового выпуска на предприятиях автомобильной промышленности. </w:t>
      </w:r>
    </w:p>
    <w:p w14:paraId="12ED59A5"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Необходимо отметить, что в данном Постановлении отдельно были определены мероприятия по усилению огневой мощи танков. Промышленность была обязана, начиная с 1934 г., наладить производство полуавтоматической 76,2-мм танковой пушки ПС-3 и параллельно с этим приступить к разработке новой 45-мм автоматической танковой пушки. </w:t>
      </w:r>
    </w:p>
    <w:p w14:paraId="3694D826"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(17501).</w:t>
      </w:r>
    </w:p>
    <w:p w14:paraId="0734EF0B"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p>
    <w:p w14:paraId="14C3262E"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13 августа 1933 г. вышло Постановление СТО СССР № 71сс/о</w:t>
      </w:r>
    </w:p>
    <w:p w14:paraId="1D9C7A7F"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Совершенно секретно. </w:t>
      </w:r>
    </w:p>
    <w:p w14:paraId="17140E11"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"О системе танкового вооружения РККА"</w:t>
      </w:r>
    </w:p>
    <w:p w14:paraId="776C50EE"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 Успехи социалистического строительства в первой пятилетке обеспечили превращение Рабоче-крестьянской Красной армии из армии в отношении механизации отсталой в армию передовую как по количеству, так и по качеству боевых машин, состоящих на вооружении и поставленных на массовое производство. Заново создана специальная производственная база по танкостроению, обеспечивающая уже в настоящее время производство 11 тыс. танков в год. </w:t>
      </w:r>
    </w:p>
    <w:p w14:paraId="1169A17E"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2. За этот же период времени выращены новые молодые конструкторские силы, в результате работы которых Красная армия получила на вооружение танки, не уступающие танкам капиталистических армий, а по некоторым типам, превосходящие их. </w:t>
      </w:r>
    </w:p>
    <w:p w14:paraId="1C6508F6"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3. Наряду с этими огромными достижениями остаются еще неразрешенными следующие серьезнейшие задачи: </w:t>
      </w:r>
    </w:p>
    <w:p w14:paraId="6B1582F5"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а) мобилизационные производственные мощности промышленности не доведены до установленных правительством размеров; </w:t>
      </w:r>
    </w:p>
    <w:p w14:paraId="334DD6AF"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б) некомплектная подача вооружения, оптики, радиоустановок, в связи с чем налицо разрыв между количеством изготовленных танков и количеством укомплектованных до полной боевой готовности их; </w:t>
      </w:r>
    </w:p>
    <w:p w14:paraId="4C31BDC8"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в) отсутствие самостоятельной производственной базы для мотора танка БТ; </w:t>
      </w:r>
    </w:p>
    <w:p w14:paraId="2B4A8311"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г) слаба обеспеченность боевых и транспортных машин запасными частями, инструментом и необходимыми приспособлениями; </w:t>
      </w:r>
    </w:p>
    <w:p w14:paraId="6492DBBF"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д) слабо еще механизирован и моторизован тыл мехсоединений и танковых частей; </w:t>
      </w:r>
    </w:p>
    <w:p w14:paraId="71050D8B"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е) отсутствует промышленная ремонтная база для боевых и транспортных машин как для мирного, так и особенно на военное время; </w:t>
      </w:r>
    </w:p>
    <w:p w14:paraId="69E5818F"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ж) еще не окончательно ликвидирована зависимость танкостроения от импорта, в частности по шарикоподшипникам и электрооборудованию; </w:t>
      </w:r>
    </w:p>
    <w:p w14:paraId="24A832BA"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з) не вполне удовлетворительное качество производства танков, как то: броня, производство и сборка моторов и коробок скоростей; </w:t>
      </w:r>
    </w:p>
    <w:p w14:paraId="63AED300"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и) недостаточно подготовлено производство 45 мм танковых пушек и выстрелов для них; </w:t>
      </w:r>
    </w:p>
    <w:p w14:paraId="44E18124"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к) не разрешен полностью вопрос о создании мобилизационных запасов, средств подвоза горючего и смазочного и пунктов питания; </w:t>
      </w:r>
    </w:p>
    <w:p w14:paraId="1A240943"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л) недостаточная обеспеченность войсковых механизированных частей и соединений мастерскими и гаражами. </w:t>
      </w:r>
    </w:p>
    <w:p w14:paraId="7384183E"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Основными задачами на вторую пятилетку в области механизации РККА поставить: </w:t>
      </w:r>
    </w:p>
    <w:p w14:paraId="2DA2F89D"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 В течение второй пятилетки должен быть достигнут такой размах механизации армии, который бы позволил механизированным войскам стать одним из основных, решающих элементов в боевых операциях. </w:t>
      </w:r>
    </w:p>
    <w:p w14:paraId="60285CB3"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2. Признать необходимым закончить в течение 1933 – 1934 гг. подготовку мобилизационно-производственной базы, обеспечивающей в военное время выпуск массового количества современных танков, согласно ранее принятым решениям. </w:t>
      </w:r>
    </w:p>
    <w:p w14:paraId="07792BAD"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3. В текущем 1933 г. решительно ликвидировать некомплектность по вооружению, приборам управления огнем и связи выпускаемых из производства машин и окончательно ликвидировать импортную зависимость по шарикоподшипникам и электрооборудованию. </w:t>
      </w:r>
    </w:p>
    <w:p w14:paraId="4E8D4DDC"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4. В течение года обеспечить моторизацию, механизацию тыла механизированных соединений и танковых частей вспомогательными машинами: автопоходные мастерские, цистерны, машины технической помощи, водо-масло-заправщики, моечные машины, бензоколонки и т. д. </w:t>
      </w:r>
    </w:p>
    <w:p w14:paraId="1DF0CBBD"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5. В течение 1933 – 1934 гг. создать ремонтную базу, обеспечивающую потребность механизированных соединений и танковых частей в ремонте как в мирное, так и в военное время. Еще в 1933 г. создать производственные мощности в размерах, обеспечивающих полную и комплектную подачу запасных частей для ремонта боевых машин. </w:t>
      </w:r>
    </w:p>
    <w:p w14:paraId="39C4CAD5"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I.</w:t>
      </w:r>
    </w:p>
    <w:p w14:paraId="4DA6178F"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Утвердить на вторую пятилетку следующую систему бронетанкового вооружения РККА: </w:t>
      </w:r>
    </w:p>
    <w:p w14:paraId="77E29C0B"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 Основные танки – 5 типов: </w:t>
      </w:r>
    </w:p>
    <w:p w14:paraId="4B893CB2"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а) Разведывательный танк. Основной танк службы обеспечения всех мехсоединений. Средство боевой разведки и боя пехоты. Основные требования: быстроходность, вездеходность (в том числе плавучесть), маневренность, низкий габарит, дешевизна и массовость производства. </w:t>
      </w:r>
    </w:p>
    <w:p w14:paraId="6AEA4550"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б) Общевойсковой танк. Основной танк количественного усиления ТРГК, он же танк общевойсковых соединений. </w:t>
      </w:r>
    </w:p>
    <w:p w14:paraId="3872074C"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в) Оперативный танк. Танк самостоятельных механизированных соединений. Танк должен быть быстроходным, вездеходным (в том числе плавучим) и мощно вооружен. </w:t>
      </w:r>
    </w:p>
    <w:p w14:paraId="098EC48E"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г) Танк качественного усиления ТРГК. Танк качественного усиления ТРГК для преодолевания сильно укрепленных оборонительных полос. Основные требования: сильное вооружение и броня, быстроходность, позволяющая его применить также в операции совместно с мехсоединениями. </w:t>
      </w:r>
    </w:p>
    <w:p w14:paraId="45173C2D"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д) Мощный танк особого назначения. Танк качественного, добавочного усиления ТРГК при прорыве особо сильно и заблаговременно укрепленных полос. Основное требование – мощное вооружение и броня, защищающая от мелкокалиберных снарядов. Способность бороться с бетонными сооружениями. </w:t>
      </w:r>
    </w:p>
    <w:p w14:paraId="276C53DB"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2. Специальные танки – 7 типов (на шасси, стандартных с перечисленными выше): </w:t>
      </w:r>
    </w:p>
    <w:p w14:paraId="01D9B34E"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а) 3 химических (на шасси общевойскового, разведывательного и оперативного танков); </w:t>
      </w:r>
    </w:p>
    <w:p w14:paraId="17C07A66"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б) 2 саперных (на шасси общевойскового танка и танка качественного усиления ТРГК); </w:t>
      </w:r>
    </w:p>
    <w:p w14:paraId="4E246456"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в) самоходная артиллерийская установка (на агрегатах общевойскового танка); </w:t>
      </w:r>
    </w:p>
    <w:p w14:paraId="652A1A72"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г) танк управления (на шасси общевойскового танка и танка качественного усиления ТРГК). </w:t>
      </w:r>
    </w:p>
    <w:p w14:paraId="1B457423"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3. Бронемашины – 2 типа: </w:t>
      </w:r>
    </w:p>
    <w:p w14:paraId="52852BB2"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а) разведывательная (на шасси "Форд А"); </w:t>
      </w:r>
    </w:p>
    <w:p w14:paraId="59EA225B"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б) боевая (на шасси "Форд ЗА"). </w:t>
      </w:r>
    </w:p>
    <w:p w14:paraId="0634DCF8"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4. Железнодорожные боевые машины – 2 типа: </w:t>
      </w:r>
    </w:p>
    <w:p w14:paraId="350DDCC1"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а) мото-броневагон; </w:t>
      </w:r>
    </w:p>
    <w:p w14:paraId="6FDA969A"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б) разведывательная дрезина – бронеавтомобиль (стандартный с бронемашиной). </w:t>
      </w:r>
    </w:p>
    <w:p w14:paraId="2FD07E85"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5. Тракторы – 3 типа (все типы общегосударственные): </w:t>
      </w:r>
    </w:p>
    <w:p w14:paraId="6C926F6F"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а) легкий быстроходный трактор СТЗ З; </w:t>
      </w:r>
    </w:p>
    <w:p w14:paraId="48C9DB3A"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lastRenderedPageBreak/>
        <w:t xml:space="preserve">б) тяжелый быстроходный трактор "Коммунар"; </w:t>
      </w:r>
    </w:p>
    <w:p w14:paraId="02EC1B1D"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в) тяжелый мощный трактор "Сталинец". </w:t>
      </w:r>
    </w:p>
    <w:p w14:paraId="36D8CF3F"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6. Транспортеры – 2 типа: </w:t>
      </w:r>
    </w:p>
    <w:p w14:paraId="36938812"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а) транспортер боеприпасов на поле боя (шасси стандартное с разведывательным танком); </w:t>
      </w:r>
    </w:p>
    <w:p w14:paraId="54D7DF66"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б) транспортер пехоты (на шасси легкого трактора). </w:t>
      </w:r>
    </w:p>
    <w:p w14:paraId="78A2231E"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7. Транспортные машины (существующие на массовом производстве с установкой трехосных ходовых частей и полугусеничных снежных ходов): </w:t>
      </w:r>
    </w:p>
    <w:p w14:paraId="7F2A38A5"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а) "Форд-А"; </w:t>
      </w:r>
    </w:p>
    <w:p w14:paraId="11CC10CC"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б) "Форд-АА"; </w:t>
      </w:r>
    </w:p>
    <w:p w14:paraId="5CAD2984"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в) АМО-5; </w:t>
      </w:r>
    </w:p>
    <w:p w14:paraId="7A1E8AC3"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г) Я-5. </w:t>
      </w:r>
    </w:p>
    <w:p w14:paraId="00BE4491"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II.</w:t>
      </w:r>
    </w:p>
    <w:p w14:paraId="1E592D8B"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Утвердить, в соответствии с этим на первую половину пятилетки сохранение в производстве следующих типов боевых машин: </w:t>
      </w:r>
    </w:p>
    <w:p w14:paraId="5E34F02F"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а) Т-37 – в качестве разведывательного танка; </w:t>
      </w:r>
    </w:p>
    <w:p w14:paraId="2FEF1361"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б) Т-26 – в качестве общевойскового танка; </w:t>
      </w:r>
    </w:p>
    <w:p w14:paraId="01C7395F"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в) БТ – в качестве оперативного танка; </w:t>
      </w:r>
    </w:p>
    <w:p w14:paraId="52F0AFC7"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г) Т-28 – в качестве танка качественного усиления ТРГК; </w:t>
      </w:r>
    </w:p>
    <w:p w14:paraId="76943CF5"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д) Т-35 – в качестве мощного танка особого назначения. </w:t>
      </w:r>
    </w:p>
    <w:p w14:paraId="2FF387C7"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III.</w:t>
      </w:r>
    </w:p>
    <w:p w14:paraId="2CACB20A"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С целью последующей замены существующих на производстве типов танков на более совершенные конструкции (в соответствии с требованиями системы вооружения): </w:t>
      </w:r>
    </w:p>
    <w:p w14:paraId="7836EDD1"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а) начиная с 1934 г. начать постепенное внедрение в производство в качестве оперативного танка плавающей машины ПТ-1 с таким расчетом, чтобы с 1936 г. полностью перейти на развернутое производство этого танка на базе и за счет производства танка БТ. </w:t>
      </w:r>
    </w:p>
    <w:p w14:paraId="6E4E5000"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б) Усовершенствовать конструкцию общевойскового танка Т-26 и разведывательного танка Т-37 с целью постановки их на колесно-гусеничный ход с таким расчетом, чтобы с 1936 г. начать развернутое производство колесно-гусеничных танков Т-26 и Т-37, взамен производства существующих. </w:t>
      </w:r>
    </w:p>
    <w:p w14:paraId="4D60118D"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в) Усовершенствовать танк Т-28 путем постановки его на колесно-гусеничный ход, и на производство этой модели танка перейти также с 1936 г. </w:t>
      </w:r>
    </w:p>
    <w:p w14:paraId="798E2A4E"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г) Разработать образец и начать в конце пятилетки производство нового, более мощного, чем Т-35, танка особого назначения. </w:t>
      </w:r>
    </w:p>
    <w:p w14:paraId="5DF9FB9A"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д) Разработать переход всех типов танков на тяжелое топливо (дизель-мотор). </w:t>
      </w:r>
    </w:p>
    <w:p w14:paraId="5A363A28"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IV.</w:t>
      </w:r>
    </w:p>
    <w:p w14:paraId="6D61E9FE"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К концу пятилетки (1937 г.) иметь в производстве только следующие типы танков (и соответствующих им специальных машин): </w:t>
      </w:r>
    </w:p>
    <w:p w14:paraId="605AB0D4"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а) разведывательный танк Т-37 колесно-гусеничный; </w:t>
      </w:r>
    </w:p>
    <w:p w14:paraId="123EA317"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б) общевойсковой танк Т-26 колесно-гусеничный; </w:t>
      </w:r>
    </w:p>
    <w:p w14:paraId="08035651"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в) оперативный танк ПТ-1; </w:t>
      </w:r>
    </w:p>
    <w:p w14:paraId="0313144E"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г) танк качественного усиления ТРГК Т-28 колесно-гусеничный; </w:t>
      </w:r>
    </w:p>
    <w:p w14:paraId="0DFEB4A1"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д) мощный танк особого назначения – новый образец (в случае запоздания сохраняется Т-35). </w:t>
      </w:r>
    </w:p>
    <w:p w14:paraId="7F64321E"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Все машины на тяжелом топливе. </w:t>
      </w:r>
    </w:p>
    <w:p w14:paraId="41E3B17E"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V.</w:t>
      </w:r>
    </w:p>
    <w:p w14:paraId="571D0DB5"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Предусмотреть возможность постановки на производство во время войны имеющегося опытного образца Т-34 на базе автомобильной промышленности. </w:t>
      </w:r>
    </w:p>
    <w:p w14:paraId="10A3B7EB"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VI.</w:t>
      </w:r>
    </w:p>
    <w:p w14:paraId="73D359B5"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Усовершенствовать существующие танковые артиллерийские системы 45 мм и 76 мм калибра, поставив на валовое производство, начиная с 1934 г., 76 мм пушки (типа Сячинтова) с полуавтоматическим затвором, и приступить к разработке специальной танковой пушки 45 мм калибра автоматического типа. </w:t>
      </w:r>
    </w:p>
    <w:p w14:paraId="0E255C75"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VII.</w:t>
      </w:r>
    </w:p>
    <w:p w14:paraId="4A58B6F7"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Усилить производство танковых перископических и оптических прицелов для 45 мм, 76 мм пушек и пулеметов с таким расчетом, чтобы, начиная с 1934 г., полностью все танки были снабжены положенными оптическими приборами. </w:t>
      </w:r>
    </w:p>
    <w:p w14:paraId="486FFFFD"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VIII.</w:t>
      </w:r>
    </w:p>
    <w:p w14:paraId="0BBC7A16"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На основе утвержденной системы бронетанкового вооружения поручить НКТяжпрому совместно с НКВМ к 1 октября 1933 г. разработать и представить на утверждение правительства план необходимых мероприятий для проведения в жизнь утвержденной системы вооружения. </w:t>
      </w:r>
    </w:p>
    <w:p w14:paraId="58A4440E"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План должен содержать в себе следующие основные элементы: </w:t>
      </w:r>
    </w:p>
    <w:p w14:paraId="30D3B16B"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а) развитие производственной базы; </w:t>
      </w:r>
    </w:p>
    <w:p w14:paraId="444A11AA"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б) развитие ремонтной базы; </w:t>
      </w:r>
    </w:p>
    <w:p w14:paraId="68947EA6"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в) мероприятия по переходу на новые типы; </w:t>
      </w:r>
    </w:p>
    <w:p w14:paraId="23CB829E"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г) мероприятия по изготовлению опытных образцов, обеспечению вооружения и огнеприпасов и т. д. </w:t>
      </w:r>
    </w:p>
    <w:p w14:paraId="515EB8D8"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Председатель Совета труда и обороны подпись В. Молотов</w:t>
      </w:r>
    </w:p>
    <w:p w14:paraId="39E62151"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За секретаря Совета труда и обороны подпись Базилевич</w:t>
      </w:r>
    </w:p>
    <w:p w14:paraId="4C98FB03"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bCs/>
          <w:iCs/>
          <w:color w:val="000000" w:themeColor="text1"/>
          <w:sz w:val="16"/>
          <w:szCs w:val="16"/>
          <w:lang w:eastAsia="ru-RU"/>
        </w:rPr>
        <w:t>ГАРФ Фонд Р-8418 Опись 28 Дело 2 Лист 72 – 79</w:t>
      </w:r>
      <w:r w:rsidRPr="00C33834">
        <w:rPr>
          <w:rFonts w:ascii="Times New Roman" w:eastAsia="Times New Roman" w:hAnsi="Times New Roman"/>
          <w:color w:val="000000" w:themeColor="text1"/>
          <w:sz w:val="16"/>
          <w:szCs w:val="16"/>
          <w:lang w:eastAsia="ru-RU"/>
        </w:rPr>
        <w:t xml:space="preserve">  (17506).</w:t>
      </w:r>
    </w:p>
    <w:p w14:paraId="23E29315" w14:textId="77777777" w:rsidR="007F5702" w:rsidRPr="00C33834" w:rsidRDefault="007F5702" w:rsidP="00C33834">
      <w:pPr>
        <w:spacing w:after="0" w:line="240" w:lineRule="auto"/>
        <w:jc w:val="both"/>
        <w:rPr>
          <w:rFonts w:ascii="Times New Roman" w:eastAsia="Times New Roman" w:hAnsi="Times New Roman"/>
          <w:color w:val="000000" w:themeColor="text1"/>
          <w:sz w:val="16"/>
          <w:szCs w:val="16"/>
          <w:lang w:eastAsia="ru-RU"/>
        </w:rPr>
      </w:pPr>
    </w:p>
    <w:p w14:paraId="4631632C"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августа 1933 плавающий танк Т-37 был принят на вооружение в качестве разведовательного танка и до конца 1933 находился в производстве на заводе № 37 с использованием брони, поставляемой Подольским крекинг-заводом (9527,44).</w:t>
      </w:r>
    </w:p>
    <w:p w14:paraId="6FB660F4" w14:textId="77777777" w:rsidR="00EA298A" w:rsidRPr="00C33834" w:rsidRDefault="00EA298A" w:rsidP="00C33834">
      <w:pPr>
        <w:autoSpaceDE w:val="0"/>
        <w:autoSpaceDN w:val="0"/>
        <w:adjustRightInd w:val="0"/>
        <w:spacing w:after="0" w:line="240" w:lineRule="auto"/>
        <w:jc w:val="both"/>
        <w:rPr>
          <w:rFonts w:ascii="Times New Roman" w:hAnsi="Times New Roman"/>
          <w:color w:val="000000" w:themeColor="text1"/>
          <w:sz w:val="16"/>
          <w:szCs w:val="16"/>
        </w:rPr>
      </w:pPr>
    </w:p>
    <w:p w14:paraId="42B265E7" w14:textId="77777777" w:rsidR="00A804B1" w:rsidRPr="00C33834" w:rsidRDefault="00A804B1" w:rsidP="00C33834">
      <w:pPr>
        <w:pStyle w:val="rtejustify"/>
        <w:spacing w:before="0" w:after="0"/>
        <w:rPr>
          <w:color w:val="000000" w:themeColor="text1"/>
          <w:sz w:val="16"/>
          <w:szCs w:val="16"/>
        </w:rPr>
      </w:pPr>
      <w:r w:rsidRPr="00C33834">
        <w:rPr>
          <w:rStyle w:val="af0"/>
          <w:bCs/>
          <w:i w:val="0"/>
          <w:color w:val="000000" w:themeColor="text1"/>
          <w:sz w:val="16"/>
          <w:szCs w:val="16"/>
        </w:rPr>
        <w:t>13 августа</w:t>
      </w:r>
      <w:r w:rsidRPr="00C33834">
        <w:rPr>
          <w:color w:val="000000" w:themeColor="text1"/>
          <w:sz w:val="16"/>
          <w:szCs w:val="16"/>
        </w:rPr>
        <w:t xml:space="preserve"> 1933. Постановление СТО СССР № 70сс/о «О типах сторожевых судов и о программе постройки их в 1933</w:t>
      </w:r>
      <w:r w:rsidRPr="00C33834">
        <w:rPr>
          <w:color w:val="000000" w:themeColor="text1"/>
          <w:sz w:val="16"/>
          <w:szCs w:val="16"/>
        </w:rPr>
        <w:noBreakHyphen/>
        <w:t>1938 гг.». (ГА РФ. Ф. Р</w:t>
      </w:r>
      <w:r w:rsidRPr="00C33834">
        <w:rPr>
          <w:color w:val="000000" w:themeColor="text1"/>
          <w:sz w:val="16"/>
          <w:szCs w:val="16"/>
        </w:rPr>
        <w:noBreakHyphen/>
        <w:t>8418. Оп. 28. Д. 2. Л. 68</w:t>
      </w:r>
      <w:r w:rsidRPr="00C33834">
        <w:rPr>
          <w:color w:val="000000" w:themeColor="text1"/>
          <w:sz w:val="16"/>
          <w:szCs w:val="16"/>
        </w:rPr>
        <w:noBreakHyphen/>
        <w:t>71) (15460).</w:t>
      </w:r>
    </w:p>
    <w:p w14:paraId="50FC3319" w14:textId="77777777" w:rsidR="00A804B1" w:rsidRPr="00C33834" w:rsidRDefault="00A804B1" w:rsidP="00C33834">
      <w:pPr>
        <w:pStyle w:val="rtejustify"/>
        <w:spacing w:before="0" w:after="0"/>
        <w:rPr>
          <w:color w:val="000000" w:themeColor="text1"/>
          <w:sz w:val="16"/>
          <w:szCs w:val="16"/>
        </w:rPr>
      </w:pPr>
    </w:p>
    <w:p w14:paraId="76411A4C" w14:textId="77777777" w:rsidR="00A804B1" w:rsidRPr="00C33834" w:rsidRDefault="00A804B1" w:rsidP="00C33834">
      <w:pPr>
        <w:pStyle w:val="rtejustify"/>
        <w:spacing w:before="0" w:after="0"/>
        <w:rPr>
          <w:color w:val="000000" w:themeColor="text1"/>
          <w:sz w:val="16"/>
          <w:szCs w:val="16"/>
        </w:rPr>
      </w:pPr>
      <w:r w:rsidRPr="00C33834">
        <w:rPr>
          <w:rStyle w:val="af0"/>
          <w:bCs/>
          <w:i w:val="0"/>
          <w:color w:val="000000" w:themeColor="text1"/>
          <w:sz w:val="16"/>
          <w:szCs w:val="16"/>
        </w:rPr>
        <w:t>13 августа</w:t>
      </w:r>
      <w:r w:rsidRPr="00C33834">
        <w:rPr>
          <w:color w:val="000000" w:themeColor="text1"/>
          <w:sz w:val="16"/>
          <w:szCs w:val="16"/>
        </w:rPr>
        <w:t xml:space="preserve"> 1933. Постановление СТО СССР № 73сс/о «О типах спецсудов, закладываемых в 1933</w:t>
      </w:r>
      <w:r w:rsidRPr="00C33834">
        <w:rPr>
          <w:color w:val="000000" w:themeColor="text1"/>
          <w:sz w:val="16"/>
          <w:szCs w:val="16"/>
        </w:rPr>
        <w:noBreakHyphen/>
        <w:t>1934 гг.». (ГА РФ. Ф. Р</w:t>
      </w:r>
      <w:r w:rsidRPr="00C33834">
        <w:rPr>
          <w:color w:val="000000" w:themeColor="text1"/>
          <w:sz w:val="16"/>
          <w:szCs w:val="16"/>
        </w:rPr>
        <w:noBreakHyphen/>
        <w:t>8418. Оп. 28. Д. 2. Л. 102</w:t>
      </w:r>
      <w:r w:rsidRPr="00C33834">
        <w:rPr>
          <w:color w:val="000000" w:themeColor="text1"/>
          <w:sz w:val="16"/>
          <w:szCs w:val="16"/>
        </w:rPr>
        <w:noBreakHyphen/>
        <w:t>109) (15460).</w:t>
      </w:r>
    </w:p>
    <w:p w14:paraId="3A9ADC1B" w14:textId="77777777" w:rsidR="00A804B1" w:rsidRPr="00C33834" w:rsidRDefault="00A804B1" w:rsidP="00C33834">
      <w:pPr>
        <w:pStyle w:val="rtejustify"/>
        <w:spacing w:before="0" w:after="0"/>
        <w:rPr>
          <w:color w:val="000000" w:themeColor="text1"/>
          <w:sz w:val="16"/>
          <w:szCs w:val="16"/>
        </w:rPr>
      </w:pPr>
    </w:p>
    <w:p w14:paraId="61FAD372" w14:textId="77777777" w:rsidR="00A804B1" w:rsidRPr="00C33834" w:rsidRDefault="00A804B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августа 1933 г. заместитель начальника Морских сил Лудри утвердил комплект стереотипных Тактико-технических заданий на мобилизационное переоборудование в авиатранспорты (далее АВТР) ряда теплоходов и пароходов, строящихся на заводах Главморпрома НКОП СССР. Предполагалось воспользоваться грузопассажирскими пароходами типа «Сучан» на Дальнем Востоке, грузовыми теплоходами грузоподъемностью 3.000 т, грузовыми теплоходами КАСПАР (Каспийского пароходства) в 1.650 т, и ледокольными пароходами типа «Севморпуть-1».</w:t>
      </w:r>
    </w:p>
    <w:p w14:paraId="6E8E9BDF" w14:textId="77777777" w:rsidR="00A804B1" w:rsidRPr="00C33834" w:rsidRDefault="00A804B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Предусматривалось разместить на каждом по 10 самолетов КР-2 (на т/х КАСПАР - 8): 1 на катапульте, 2 на палубе, 2 в носовом трюме, 4 на корме, 1 на юте. Установить катапульту и фартук для приема самолетов на ходу. Запас горючего из расчета: 1,5 т бензина, 120 л масла, 500 л воды на самолет. Бомб по 2 т на каждый.</w:t>
      </w:r>
    </w:p>
    <w:p w14:paraId="6FFEA395" w14:textId="77777777" w:rsidR="00A804B1" w:rsidRPr="00C33834" w:rsidRDefault="00A804B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Артиллерийское вооружение: 2×76,2-мм образца 1931 г (система Лендера), 2×45-мм четвертьавтомата, 2-4 спаренных пулемета на мостике.</w:t>
      </w:r>
    </w:p>
    <w:p w14:paraId="16D688C9" w14:textId="77777777" w:rsidR="00A804B1" w:rsidRPr="00C33834" w:rsidRDefault="00A804B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хода 10 узлов и радиус плавания сохранялись, устраивались погреба боезапаса, хранилища авиатоплива и масла, мастерские.</w:t>
      </w:r>
    </w:p>
    <w:p w14:paraId="3F4A5206" w14:textId="77777777" w:rsidR="00A804B1" w:rsidRPr="00C33834" w:rsidRDefault="00A804B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операций с самолетами устанавливались новые грузовые стрелы. На трубе - длиной 20 м и грузоподъемностью 4 т, в носовой части - 7 м и 3,5 т, в кормовой части аналогичная. На черноморских т/х стрела на трубе 18 м, на т/х КАСПАР -15 м. Штаты на экипаж составляли: 45 чел. - начальствующий состав, 50 - младший начсостав, 80 краснофлотцев. Подписаны ТТЗ начальником Технического управления УМС Горским (15528).</w:t>
      </w:r>
    </w:p>
    <w:p w14:paraId="21398334" w14:textId="77777777" w:rsidR="00A804B1" w:rsidRPr="00C33834" w:rsidRDefault="00A804B1" w:rsidP="00C33834">
      <w:pPr>
        <w:spacing w:after="0" w:line="240" w:lineRule="auto"/>
        <w:jc w:val="both"/>
        <w:rPr>
          <w:rFonts w:ascii="Times New Roman" w:hAnsi="Times New Roman"/>
          <w:color w:val="000000" w:themeColor="text1"/>
          <w:sz w:val="16"/>
          <w:szCs w:val="16"/>
        </w:rPr>
      </w:pPr>
    </w:p>
    <w:p w14:paraId="366B1F42" w14:textId="77777777" w:rsidR="000244D4" w:rsidRPr="00C33834" w:rsidRDefault="000244D4"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469AF7C0" w14:textId="77777777" w:rsidR="000244D4" w:rsidRPr="00C33834" w:rsidRDefault="000244D4" w:rsidP="00C33834">
      <w:pPr>
        <w:spacing w:after="0" w:line="240" w:lineRule="auto"/>
        <w:jc w:val="both"/>
        <w:rPr>
          <w:rFonts w:ascii="Times New Roman" w:hAnsi="Times New Roman"/>
          <w:iCs/>
          <w:color w:val="000000" w:themeColor="text1"/>
          <w:sz w:val="16"/>
          <w:szCs w:val="16"/>
        </w:rPr>
      </w:pPr>
    </w:p>
    <w:p w14:paraId="421F533F" w14:textId="77777777" w:rsidR="000244D4" w:rsidRPr="00C33834" w:rsidRDefault="000244D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августа 1933 г. Метрострой представил Московскому комитету партии и Моссовету технический проект первой очереди строительства. Проект был рассмотрен экспертными комиссиями{500},но не прошел процедуру официального утверждения{501}.В схему линий (см. рис. 20) Метрострой внес ряд мелких изменений и наметил две новые линии, а именно кольцевую линию вдоль Садового кольца и диаметральную от Ленинских гор через Парк культуры и центр к Савеловскому вокзалу и далее на северо-запад города. Протяженность намеченных линий теперь составляла 110,8 км{502} (18299).</w:t>
      </w:r>
    </w:p>
    <w:p w14:paraId="46C97133" w14:textId="77777777" w:rsidR="000244D4" w:rsidRPr="00C33834" w:rsidRDefault="000244D4" w:rsidP="00C33834">
      <w:pPr>
        <w:spacing w:after="0" w:line="240" w:lineRule="auto"/>
        <w:jc w:val="both"/>
        <w:rPr>
          <w:rFonts w:ascii="Times New Roman" w:hAnsi="Times New Roman"/>
          <w:color w:val="000000" w:themeColor="text1"/>
          <w:sz w:val="16"/>
          <w:szCs w:val="16"/>
        </w:rPr>
      </w:pPr>
    </w:p>
    <w:p w14:paraId="39089F26" w14:textId="77777777" w:rsidR="00EA298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ACE44AE" w14:textId="77777777" w:rsidR="00EA298A" w:rsidRPr="00C33834" w:rsidRDefault="00EA298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62D92D0" w14:textId="77777777" w:rsidR="00EA298A" w:rsidRPr="00C33834" w:rsidRDefault="00EA29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августа 1933 года Начальник НИИ ВВС Зильберт утвердил протокол Тактико-технического совещания НИИ ВВС (Журнал № 5) от 14 августа 1933 года (6788).</w:t>
      </w:r>
    </w:p>
    <w:p w14:paraId="4D6619F7" w14:textId="77777777" w:rsidR="00EA298A" w:rsidRPr="00C33834" w:rsidRDefault="00EA29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Перечень разбиравшихся вопросов</w:t>
      </w:r>
    </w:p>
    <w:p w14:paraId="60FF01DA" w14:textId="77777777" w:rsidR="00EA298A" w:rsidRPr="00C33834" w:rsidRDefault="00EA298A"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Требования к спецоборудованию и вооружению самолетов И5-М22, И7-М17, Р5-М17, МБР2-М17.</w:t>
      </w:r>
    </w:p>
    <w:p w14:paraId="31F70254" w14:textId="77777777" w:rsidR="00EA298A" w:rsidRPr="00C33834" w:rsidRDefault="00EA29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МБР4-М34, А1-М11, Р6/а-2М17, Р5/а-М17 эталонов 1934 года. Докладчики Панов и Шевченко (6788).</w:t>
      </w:r>
    </w:p>
    <w:p w14:paraId="6C212D33" w14:textId="77777777" w:rsidR="00EA298A" w:rsidRPr="00C33834" w:rsidRDefault="00EA298A"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CFF1D1" w14:textId="77777777" w:rsidR="0092497E"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77CB52A" w14:textId="77777777" w:rsidR="0092497E" w:rsidRPr="00C33834" w:rsidRDefault="0092497E" w:rsidP="00C33834">
      <w:pPr>
        <w:spacing w:after="0" w:line="240" w:lineRule="auto"/>
        <w:jc w:val="both"/>
        <w:rPr>
          <w:rFonts w:ascii="Times New Roman" w:hAnsi="Times New Roman"/>
          <w:iCs/>
          <w:color w:val="000000" w:themeColor="text1"/>
          <w:sz w:val="16"/>
          <w:szCs w:val="16"/>
        </w:rPr>
      </w:pPr>
    </w:p>
    <w:p w14:paraId="063F0F1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августа 1933 года был подписан Отчет по испытанию самолета ТБ-3 N 22311 с 4-мя моторами М17 Е=7,3 измененной конструкции</w:t>
      </w:r>
    </w:p>
    <w:p w14:paraId="3C32782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7738AD6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ведущий испытания Фролов</w:t>
      </w:r>
    </w:p>
    <w:p w14:paraId="546274C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Байдуков</w:t>
      </w:r>
    </w:p>
    <w:p w14:paraId="6027076D"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5454DA94"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Определить в какой мере самолет с измененной конструкцией и проведенными облегчениями удовлетворяет техническим условиям на поставку ТБ-3. Определить также вес облегченной конструкции, удобство работы штурмана в измененной носовой части Ф-1, а также работу с укороченными ДЕР 25 и 26.</w:t>
      </w:r>
    </w:p>
    <w:p w14:paraId="565254E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2F8F11E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Самолет ТБ3 N 22311 измененной конструкции по своему конструктивному и производственному выполнению, а также по своим летным эксплуатационным данным техническим условиям на поставку самолета ТБ3 вполне удовлетворяет (3313,19-22).</w:t>
      </w:r>
    </w:p>
    <w:p w14:paraId="1EAEC6C7" w14:textId="77777777" w:rsidR="0092497E" w:rsidRPr="00C33834" w:rsidRDefault="0092497E" w:rsidP="00C33834">
      <w:pPr>
        <w:spacing w:after="0" w:line="240" w:lineRule="auto"/>
        <w:jc w:val="both"/>
        <w:rPr>
          <w:rFonts w:ascii="Times New Roman" w:hAnsi="Times New Roman"/>
          <w:color w:val="000000" w:themeColor="text1"/>
          <w:sz w:val="16"/>
          <w:szCs w:val="16"/>
        </w:rPr>
      </w:pPr>
    </w:p>
    <w:p w14:paraId="320C7D7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августа 1933 года было подготовлено постановление комиссии обороны (проект):</w:t>
      </w:r>
    </w:p>
    <w:p w14:paraId="2434ED8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ходе выполнения опытного самолето- и моторостроения</w:t>
      </w:r>
    </w:p>
    <w:p w14:paraId="1D8A3F73"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Комиссия обороны констатирует, что план опытного строительства авиаицонных моторов и самолетов, утвержденный СТО 4 июля 1932 года, ГУАПом и ГУГВФом в установленные Правительством сроки не выполнен. Это невыполнение плана опытного самолето- и моторостроения создает серьезную угрозу технического отставания материальной части ВВС от материальной части ВВС вероятных противников. В то время, как почти все иностранные воздушные флоты в основном уже перешли на высотные моторы, резко повышающие скорость самолета на боевых высотах, его скороподъемность и практический потолок, наша промышленность не дала еще ни одного мотора с нагнетателем даже в опытном образце, что отчасти объясняется трудностью непосредственного осуществления выключающегося нагнетателя без предварительного осуществления нагнетателя не выключающегося.</w:t>
      </w:r>
    </w:p>
    <w:p w14:paraId="5BB0D09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Одной из причин невыполнения в срок плана опытного самолетостроения является опоздание подачи моторов, а также частично загрузка ЦАГИ работами по модернизации самолетов, находящихся в серийном производстве.</w:t>
      </w:r>
    </w:p>
    <w:p w14:paraId="293F9C22"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Отметить, что ГУАП ввиду возрастающего объема опытного строительства, совершенно правильно принял меры к расширению базы опытного самолето- и моторостроения, создав на заводе № 39 КБ по проектированию и постройке опытных образцов легких сухопутных и морских самолетов, на заводе № 29 – базу по опытному моторостроению, развернув в ХАИ и МАИ базу по опытному самолето- и моторостроению.</w:t>
      </w:r>
    </w:p>
    <w:p w14:paraId="0855855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Тяжелые пулеметы и мелкокалиберные пушки для вооружения авиации также еще не вышли из стадии опытного строительства и испытания в образцах. Пулеметы ШКАС, поступившие с производства не удовлетворяют требованиям живучести.</w:t>
      </w:r>
    </w:p>
    <w:p w14:paraId="53E83A6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по изысканию новых видов жидкого авиационного топлива и масел и особенно антидетонаторов для авиамоторов с нагнетателями велись явно недостаточными темпами.</w:t>
      </w:r>
    </w:p>
    <w:p w14:paraId="0F159AA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скорейшей ликвидации прорыва в опытном строительстве ВВС Комиссия обороны постановляет:</w:t>
      </w:r>
    </w:p>
    <w:p w14:paraId="4ADA973D"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1.Во изменение плана опытного строительства, утвержденного КО 4 июля 1932 года, утвердить нижеследующий план опытного строительства по моторам и самолетам:</w:t>
      </w:r>
    </w:p>
    <w:p w14:paraId="3EE8DD32"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 опытному моторостроению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F26F01" w:rsidRPr="00C33834" w14:paraId="3AE861F9" w14:textId="77777777">
        <w:tc>
          <w:tcPr>
            <w:tcW w:w="1656" w:type="dxa"/>
          </w:tcPr>
          <w:p w14:paraId="067A9F6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Марка мотора</w:t>
            </w:r>
          </w:p>
        </w:tc>
        <w:tc>
          <w:tcPr>
            <w:tcW w:w="1656" w:type="dxa"/>
          </w:tcPr>
          <w:p w14:paraId="294317C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1656" w:type="dxa"/>
          </w:tcPr>
          <w:p w14:paraId="0DF303F5"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л.с.</w:t>
            </w:r>
          </w:p>
        </w:tc>
        <w:tc>
          <w:tcPr>
            <w:tcW w:w="1656" w:type="dxa"/>
          </w:tcPr>
          <w:p w14:paraId="3EEB945D"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1656" w:type="dxa"/>
          </w:tcPr>
          <w:p w14:paraId="6EA77CC3"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в кг</w:t>
            </w:r>
          </w:p>
        </w:tc>
        <w:tc>
          <w:tcPr>
            <w:tcW w:w="1656" w:type="dxa"/>
          </w:tcPr>
          <w:p w14:paraId="2A6A41E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Расход горючего гр/л.с.</w:t>
            </w:r>
          </w:p>
        </w:tc>
        <w:tc>
          <w:tcPr>
            <w:tcW w:w="1656" w:type="dxa"/>
          </w:tcPr>
          <w:p w14:paraId="496ECE2D"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прдъявления на испытание</w:t>
            </w:r>
          </w:p>
        </w:tc>
      </w:tr>
    </w:tbl>
    <w:p w14:paraId="00036E32"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F26F01" w:rsidRPr="00C33834" w14:paraId="1A3280C3" w14:textId="77777777">
        <w:tc>
          <w:tcPr>
            <w:tcW w:w="1656" w:type="dxa"/>
          </w:tcPr>
          <w:p w14:paraId="1EA71463"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М34Н (с нагнетат.)</w:t>
            </w:r>
          </w:p>
        </w:tc>
        <w:tc>
          <w:tcPr>
            <w:tcW w:w="1656" w:type="dxa"/>
          </w:tcPr>
          <w:p w14:paraId="0AC5D17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6202809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1656" w:type="dxa"/>
          </w:tcPr>
          <w:p w14:paraId="150AF5D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3500</w:t>
            </w:r>
          </w:p>
        </w:tc>
        <w:tc>
          <w:tcPr>
            <w:tcW w:w="1656" w:type="dxa"/>
          </w:tcPr>
          <w:p w14:paraId="6085C28B"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650</w:t>
            </w:r>
          </w:p>
        </w:tc>
        <w:tc>
          <w:tcPr>
            <w:tcW w:w="1656" w:type="dxa"/>
          </w:tcPr>
          <w:p w14:paraId="06854A5B"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225</w:t>
            </w:r>
          </w:p>
        </w:tc>
        <w:tc>
          <w:tcPr>
            <w:tcW w:w="1656" w:type="dxa"/>
          </w:tcPr>
          <w:p w14:paraId="42824233"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w:t>
            </w:r>
          </w:p>
        </w:tc>
      </w:tr>
      <w:tr w:rsidR="00F26F01" w:rsidRPr="00C33834" w14:paraId="60AA50E6" w14:textId="77777777">
        <w:tc>
          <w:tcPr>
            <w:tcW w:w="1656" w:type="dxa"/>
          </w:tcPr>
          <w:p w14:paraId="1E827157"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М34РН</w:t>
            </w:r>
          </w:p>
        </w:tc>
        <w:tc>
          <w:tcPr>
            <w:tcW w:w="1656" w:type="dxa"/>
          </w:tcPr>
          <w:p w14:paraId="0D42C87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56101C25"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1656" w:type="dxa"/>
          </w:tcPr>
          <w:p w14:paraId="43149EC5"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3500</w:t>
            </w:r>
          </w:p>
        </w:tc>
        <w:tc>
          <w:tcPr>
            <w:tcW w:w="1656" w:type="dxa"/>
          </w:tcPr>
          <w:p w14:paraId="091BB18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720</w:t>
            </w:r>
          </w:p>
        </w:tc>
        <w:tc>
          <w:tcPr>
            <w:tcW w:w="1656" w:type="dxa"/>
          </w:tcPr>
          <w:p w14:paraId="06773AB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1656" w:type="dxa"/>
          </w:tcPr>
          <w:p w14:paraId="2714B682"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w:t>
            </w:r>
          </w:p>
        </w:tc>
      </w:tr>
      <w:tr w:rsidR="00F26F01" w:rsidRPr="00C33834" w14:paraId="2AE3DDC4" w14:textId="77777777">
        <w:tc>
          <w:tcPr>
            <w:tcW w:w="1656" w:type="dxa"/>
          </w:tcPr>
          <w:p w14:paraId="00EE5FD3"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М34фр (форсиров.)</w:t>
            </w:r>
          </w:p>
        </w:tc>
        <w:tc>
          <w:tcPr>
            <w:tcW w:w="1656" w:type="dxa"/>
          </w:tcPr>
          <w:p w14:paraId="53DED414"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267AE679"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c>
          <w:tcPr>
            <w:tcW w:w="1656" w:type="dxa"/>
          </w:tcPr>
          <w:p w14:paraId="53E881C7"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19C7969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675</w:t>
            </w:r>
          </w:p>
        </w:tc>
        <w:tc>
          <w:tcPr>
            <w:tcW w:w="1656" w:type="dxa"/>
          </w:tcPr>
          <w:p w14:paraId="18EA17B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210</w:t>
            </w:r>
          </w:p>
        </w:tc>
        <w:tc>
          <w:tcPr>
            <w:tcW w:w="1656" w:type="dxa"/>
          </w:tcPr>
          <w:p w14:paraId="679DC6E3"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марта</w:t>
            </w:r>
          </w:p>
        </w:tc>
      </w:tr>
      <w:tr w:rsidR="00F26F01" w:rsidRPr="00C33834" w14:paraId="4B38021A" w14:textId="77777777">
        <w:tc>
          <w:tcPr>
            <w:tcW w:w="1656" w:type="dxa"/>
          </w:tcPr>
          <w:p w14:paraId="02BF5FE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М34фрн</w:t>
            </w:r>
          </w:p>
        </w:tc>
        <w:tc>
          <w:tcPr>
            <w:tcW w:w="1656" w:type="dxa"/>
          </w:tcPr>
          <w:p w14:paraId="02CDECA5"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30FC285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c>
          <w:tcPr>
            <w:tcW w:w="1656" w:type="dxa"/>
          </w:tcPr>
          <w:p w14:paraId="54A5985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3500</w:t>
            </w:r>
          </w:p>
        </w:tc>
        <w:tc>
          <w:tcPr>
            <w:tcW w:w="1656" w:type="dxa"/>
          </w:tcPr>
          <w:p w14:paraId="6FD290B4"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720</w:t>
            </w:r>
          </w:p>
        </w:tc>
        <w:tc>
          <w:tcPr>
            <w:tcW w:w="1656" w:type="dxa"/>
          </w:tcPr>
          <w:p w14:paraId="7C064BB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1656" w:type="dxa"/>
          </w:tcPr>
          <w:p w14:paraId="18929A59"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w:t>
            </w:r>
          </w:p>
        </w:tc>
      </w:tr>
      <w:tr w:rsidR="00F26F01" w:rsidRPr="00C33834" w14:paraId="132930A1" w14:textId="77777777">
        <w:tc>
          <w:tcPr>
            <w:tcW w:w="1656" w:type="dxa"/>
          </w:tcPr>
          <w:p w14:paraId="3EB57B02"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М34фрн с выключ. нагнетателем и винтом переменного шага</w:t>
            </w:r>
          </w:p>
        </w:tc>
        <w:tc>
          <w:tcPr>
            <w:tcW w:w="1656" w:type="dxa"/>
          </w:tcPr>
          <w:p w14:paraId="533CD437"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5FA62FAD"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c>
          <w:tcPr>
            <w:tcW w:w="1656" w:type="dxa"/>
          </w:tcPr>
          <w:p w14:paraId="057FD6B2"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1656" w:type="dxa"/>
          </w:tcPr>
          <w:p w14:paraId="145C0BC9"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720</w:t>
            </w:r>
          </w:p>
        </w:tc>
        <w:tc>
          <w:tcPr>
            <w:tcW w:w="1656" w:type="dxa"/>
          </w:tcPr>
          <w:p w14:paraId="2A3CDC7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1656" w:type="dxa"/>
          </w:tcPr>
          <w:p w14:paraId="7BE173EC"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1934</w:t>
            </w:r>
          </w:p>
        </w:tc>
      </w:tr>
      <w:tr w:rsidR="00F26F01" w:rsidRPr="00C33834" w14:paraId="2B77AA24" w14:textId="77777777">
        <w:tc>
          <w:tcPr>
            <w:tcW w:w="1656" w:type="dxa"/>
          </w:tcPr>
          <w:p w14:paraId="2E3B48C3"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М34фрн с выключ. нагнетат., удлинен валом и винтом переменного шага</w:t>
            </w:r>
          </w:p>
        </w:tc>
        <w:tc>
          <w:tcPr>
            <w:tcW w:w="1656" w:type="dxa"/>
          </w:tcPr>
          <w:p w14:paraId="3363242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7D6DBDC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c>
          <w:tcPr>
            <w:tcW w:w="1656" w:type="dxa"/>
          </w:tcPr>
          <w:p w14:paraId="7617946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1656" w:type="dxa"/>
          </w:tcPr>
          <w:p w14:paraId="01A503F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w:t>
            </w:r>
          </w:p>
        </w:tc>
        <w:tc>
          <w:tcPr>
            <w:tcW w:w="1656" w:type="dxa"/>
          </w:tcPr>
          <w:p w14:paraId="3295FEC3"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1656" w:type="dxa"/>
          </w:tcPr>
          <w:p w14:paraId="3F5B452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1934</w:t>
            </w:r>
          </w:p>
        </w:tc>
      </w:tr>
      <w:tr w:rsidR="00F26F01" w:rsidRPr="00C33834" w14:paraId="464C9C81" w14:textId="77777777">
        <w:tc>
          <w:tcPr>
            <w:tcW w:w="1656" w:type="dxa"/>
          </w:tcPr>
          <w:p w14:paraId="28C6EA37"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М34 с элек. карт. </w:t>
            </w:r>
          </w:p>
        </w:tc>
        <w:tc>
          <w:tcPr>
            <w:tcW w:w="1656" w:type="dxa"/>
          </w:tcPr>
          <w:p w14:paraId="7214103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06BF6F85"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1656" w:type="dxa"/>
          </w:tcPr>
          <w:p w14:paraId="7925EAE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800-1000</w:t>
            </w:r>
          </w:p>
        </w:tc>
        <w:tc>
          <w:tcPr>
            <w:tcW w:w="1656" w:type="dxa"/>
          </w:tcPr>
          <w:p w14:paraId="3EB1727D"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560</w:t>
            </w:r>
          </w:p>
        </w:tc>
        <w:tc>
          <w:tcPr>
            <w:tcW w:w="1656" w:type="dxa"/>
          </w:tcPr>
          <w:p w14:paraId="388205D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205</w:t>
            </w:r>
          </w:p>
        </w:tc>
        <w:tc>
          <w:tcPr>
            <w:tcW w:w="1656" w:type="dxa"/>
          </w:tcPr>
          <w:p w14:paraId="6F27008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1933</w:t>
            </w:r>
          </w:p>
        </w:tc>
      </w:tr>
      <w:tr w:rsidR="00F26F01" w:rsidRPr="00C33834" w14:paraId="01F5018E" w14:textId="77777777">
        <w:tc>
          <w:tcPr>
            <w:tcW w:w="1656" w:type="dxa"/>
          </w:tcPr>
          <w:p w14:paraId="041CC9C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с однорядн.</w:t>
            </w:r>
          </w:p>
        </w:tc>
        <w:tc>
          <w:tcPr>
            <w:tcW w:w="1656" w:type="dxa"/>
          </w:tcPr>
          <w:p w14:paraId="5F755A4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3415ACE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1656" w:type="dxa"/>
          </w:tcPr>
          <w:p w14:paraId="3E97534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4E632642"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390</w:t>
            </w:r>
          </w:p>
        </w:tc>
        <w:tc>
          <w:tcPr>
            <w:tcW w:w="1656" w:type="dxa"/>
          </w:tcPr>
          <w:p w14:paraId="4CBF8CC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1656" w:type="dxa"/>
          </w:tcPr>
          <w:p w14:paraId="6B8900E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1933</w:t>
            </w:r>
          </w:p>
        </w:tc>
      </w:tr>
      <w:tr w:rsidR="00F26F01" w:rsidRPr="00C33834" w14:paraId="7A6021C2" w14:textId="77777777">
        <w:tc>
          <w:tcPr>
            <w:tcW w:w="1656" w:type="dxa"/>
          </w:tcPr>
          <w:p w14:paraId="2F49517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ГМ34 глиссерн.</w:t>
            </w:r>
          </w:p>
        </w:tc>
        <w:tc>
          <w:tcPr>
            <w:tcW w:w="1656" w:type="dxa"/>
          </w:tcPr>
          <w:p w14:paraId="2AC73AD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382A321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1656" w:type="dxa"/>
          </w:tcPr>
          <w:p w14:paraId="45CF5A5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3ECA97B9"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950</w:t>
            </w:r>
          </w:p>
        </w:tc>
        <w:tc>
          <w:tcPr>
            <w:tcW w:w="1656" w:type="dxa"/>
          </w:tcPr>
          <w:p w14:paraId="7D2B6A4C"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1656" w:type="dxa"/>
          </w:tcPr>
          <w:p w14:paraId="0599DA8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1933</w:t>
            </w:r>
          </w:p>
        </w:tc>
      </w:tr>
      <w:tr w:rsidR="00F26F01" w:rsidRPr="00C33834" w14:paraId="262AEFC3" w14:textId="77777777">
        <w:tc>
          <w:tcPr>
            <w:tcW w:w="1656" w:type="dxa"/>
          </w:tcPr>
          <w:p w14:paraId="54FC17B2"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ГМ34ф</w:t>
            </w:r>
          </w:p>
        </w:tc>
        <w:tc>
          <w:tcPr>
            <w:tcW w:w="1656" w:type="dxa"/>
          </w:tcPr>
          <w:p w14:paraId="6625EA3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5796548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c>
          <w:tcPr>
            <w:tcW w:w="1656" w:type="dxa"/>
          </w:tcPr>
          <w:p w14:paraId="3D35D37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54FEC2A4"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950</w:t>
            </w:r>
          </w:p>
        </w:tc>
        <w:tc>
          <w:tcPr>
            <w:tcW w:w="1656" w:type="dxa"/>
          </w:tcPr>
          <w:p w14:paraId="4C7DE6D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1656" w:type="dxa"/>
          </w:tcPr>
          <w:p w14:paraId="150CC695"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1934</w:t>
            </w:r>
          </w:p>
        </w:tc>
      </w:tr>
      <w:tr w:rsidR="00F26F01" w:rsidRPr="00C33834" w14:paraId="69E1DE9E" w14:textId="77777777">
        <w:tc>
          <w:tcPr>
            <w:tcW w:w="1656" w:type="dxa"/>
          </w:tcPr>
          <w:p w14:paraId="583CD71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М58 с нагнетат.</w:t>
            </w:r>
          </w:p>
        </w:tc>
        <w:tc>
          <w:tcPr>
            <w:tcW w:w="1656" w:type="dxa"/>
          </w:tcPr>
          <w:p w14:paraId="31138F1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Воздушнное </w:t>
            </w:r>
          </w:p>
        </w:tc>
        <w:tc>
          <w:tcPr>
            <w:tcW w:w="1656" w:type="dxa"/>
          </w:tcPr>
          <w:p w14:paraId="5665AFD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630</w:t>
            </w:r>
          </w:p>
        </w:tc>
        <w:tc>
          <w:tcPr>
            <w:tcW w:w="1656" w:type="dxa"/>
          </w:tcPr>
          <w:p w14:paraId="1616907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c>
          <w:tcPr>
            <w:tcW w:w="1656" w:type="dxa"/>
          </w:tcPr>
          <w:p w14:paraId="7AB0C6CC"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w:t>
            </w:r>
          </w:p>
        </w:tc>
        <w:tc>
          <w:tcPr>
            <w:tcW w:w="1656" w:type="dxa"/>
          </w:tcPr>
          <w:p w14:paraId="6AC76855"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w:t>
            </w:r>
          </w:p>
        </w:tc>
        <w:tc>
          <w:tcPr>
            <w:tcW w:w="1656" w:type="dxa"/>
          </w:tcPr>
          <w:p w14:paraId="7EFA783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w:t>
            </w:r>
          </w:p>
        </w:tc>
      </w:tr>
    </w:tbl>
    <w:p w14:paraId="1926461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Экспериментальные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F26F01" w:rsidRPr="00C33834" w14:paraId="734DF792" w14:textId="77777777">
        <w:tc>
          <w:tcPr>
            <w:tcW w:w="1656" w:type="dxa"/>
          </w:tcPr>
          <w:p w14:paraId="6C5CA3E5"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М32 с нагнетателем и редуктором</w:t>
            </w:r>
          </w:p>
        </w:tc>
        <w:tc>
          <w:tcPr>
            <w:tcW w:w="1656" w:type="dxa"/>
          </w:tcPr>
          <w:p w14:paraId="39086E7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1382C93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1656" w:type="dxa"/>
          </w:tcPr>
          <w:p w14:paraId="1B6CF6E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c>
          <w:tcPr>
            <w:tcW w:w="1656" w:type="dxa"/>
          </w:tcPr>
          <w:p w14:paraId="3E47D14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1656" w:type="dxa"/>
          </w:tcPr>
          <w:p w14:paraId="643586A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1656" w:type="dxa"/>
          </w:tcPr>
          <w:p w14:paraId="747CD03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1934</w:t>
            </w:r>
          </w:p>
        </w:tc>
      </w:tr>
      <w:tr w:rsidR="00F26F01" w:rsidRPr="00C33834" w14:paraId="4686C9F8" w14:textId="77777777">
        <w:tc>
          <w:tcPr>
            <w:tcW w:w="1656" w:type="dxa"/>
          </w:tcPr>
          <w:p w14:paraId="111F9174"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Н1 (дизель)</w:t>
            </w:r>
          </w:p>
        </w:tc>
        <w:tc>
          <w:tcPr>
            <w:tcW w:w="1656" w:type="dxa"/>
          </w:tcPr>
          <w:p w14:paraId="031BDAE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5EA94F2B"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600-750</w:t>
            </w:r>
          </w:p>
        </w:tc>
        <w:tc>
          <w:tcPr>
            <w:tcW w:w="1656" w:type="dxa"/>
          </w:tcPr>
          <w:p w14:paraId="204F0582"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12931163"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840</w:t>
            </w:r>
          </w:p>
        </w:tc>
        <w:tc>
          <w:tcPr>
            <w:tcW w:w="1656" w:type="dxa"/>
          </w:tcPr>
          <w:p w14:paraId="2F0ECF8B"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w:t>
            </w:r>
          </w:p>
        </w:tc>
        <w:tc>
          <w:tcPr>
            <w:tcW w:w="1656" w:type="dxa"/>
          </w:tcPr>
          <w:p w14:paraId="663CD365"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1933</w:t>
            </w:r>
          </w:p>
        </w:tc>
      </w:tr>
      <w:tr w:rsidR="00F26F01" w:rsidRPr="00C33834" w14:paraId="0722DB52" w14:textId="77777777">
        <w:tc>
          <w:tcPr>
            <w:tcW w:w="1656" w:type="dxa"/>
          </w:tcPr>
          <w:p w14:paraId="3BFF07BC"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Н5 (дизель)</w:t>
            </w:r>
          </w:p>
        </w:tc>
        <w:tc>
          <w:tcPr>
            <w:tcW w:w="1656" w:type="dxa"/>
          </w:tcPr>
          <w:p w14:paraId="41D88C9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2B956547"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656" w:type="dxa"/>
          </w:tcPr>
          <w:p w14:paraId="1D5B1D07"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1656" w:type="dxa"/>
          </w:tcPr>
          <w:p w14:paraId="4B754CE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656" w:type="dxa"/>
          </w:tcPr>
          <w:p w14:paraId="6E148FC3"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180-190</w:t>
            </w:r>
          </w:p>
        </w:tc>
        <w:tc>
          <w:tcPr>
            <w:tcW w:w="1656" w:type="dxa"/>
          </w:tcPr>
          <w:p w14:paraId="25DC151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w:t>
            </w:r>
          </w:p>
        </w:tc>
      </w:tr>
      <w:tr w:rsidR="00F26F01" w:rsidRPr="00C33834" w14:paraId="0021DA86" w14:textId="77777777">
        <w:tc>
          <w:tcPr>
            <w:tcW w:w="1656" w:type="dxa"/>
          </w:tcPr>
          <w:p w14:paraId="5F448DD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М44 (бензиновый с нагнетателем)</w:t>
            </w:r>
          </w:p>
        </w:tc>
        <w:tc>
          <w:tcPr>
            <w:tcW w:w="1656" w:type="dxa"/>
          </w:tcPr>
          <w:p w14:paraId="64023BA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44B791F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656" w:type="dxa"/>
          </w:tcPr>
          <w:p w14:paraId="5167AD3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3500</w:t>
            </w:r>
          </w:p>
        </w:tc>
        <w:tc>
          <w:tcPr>
            <w:tcW w:w="1656" w:type="dxa"/>
          </w:tcPr>
          <w:p w14:paraId="116BD8F7"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c>
          <w:tcPr>
            <w:tcW w:w="1656" w:type="dxa"/>
          </w:tcPr>
          <w:p w14:paraId="716F3CF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1656" w:type="dxa"/>
          </w:tcPr>
          <w:p w14:paraId="5383BE2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w:t>
            </w:r>
          </w:p>
        </w:tc>
      </w:tr>
      <w:tr w:rsidR="00F26F01" w:rsidRPr="00C33834" w14:paraId="01D8E957" w14:textId="77777777">
        <w:tc>
          <w:tcPr>
            <w:tcW w:w="1656" w:type="dxa"/>
          </w:tcPr>
          <w:p w14:paraId="2DC8F4B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М44</w:t>
            </w:r>
          </w:p>
        </w:tc>
        <w:tc>
          <w:tcPr>
            <w:tcW w:w="1656" w:type="dxa"/>
          </w:tcPr>
          <w:p w14:paraId="115FCBA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23145AA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656" w:type="dxa"/>
          </w:tcPr>
          <w:p w14:paraId="5EE666B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4800A26D"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1700</w:t>
            </w:r>
          </w:p>
        </w:tc>
        <w:tc>
          <w:tcPr>
            <w:tcW w:w="1656" w:type="dxa"/>
          </w:tcPr>
          <w:p w14:paraId="5B63FECC"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2632B1B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0C47572F" w14:textId="77777777">
        <w:tc>
          <w:tcPr>
            <w:tcW w:w="1656" w:type="dxa"/>
          </w:tcPr>
          <w:p w14:paraId="797C6DF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М-48 (бензиновый)</w:t>
            </w:r>
          </w:p>
        </w:tc>
        <w:tc>
          <w:tcPr>
            <w:tcW w:w="1656" w:type="dxa"/>
          </w:tcPr>
          <w:p w14:paraId="35949CB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воздушнное </w:t>
            </w:r>
          </w:p>
        </w:tc>
        <w:tc>
          <w:tcPr>
            <w:tcW w:w="1656" w:type="dxa"/>
          </w:tcPr>
          <w:p w14:paraId="214DEBFC"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165-200</w:t>
            </w:r>
          </w:p>
        </w:tc>
        <w:tc>
          <w:tcPr>
            <w:tcW w:w="1656" w:type="dxa"/>
          </w:tcPr>
          <w:p w14:paraId="4562D68C"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656" w:type="dxa"/>
          </w:tcPr>
          <w:p w14:paraId="7BCD94F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190</w:t>
            </w:r>
          </w:p>
        </w:tc>
        <w:tc>
          <w:tcPr>
            <w:tcW w:w="1656" w:type="dxa"/>
          </w:tcPr>
          <w:p w14:paraId="18D7EAD2"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235</w:t>
            </w:r>
          </w:p>
        </w:tc>
        <w:tc>
          <w:tcPr>
            <w:tcW w:w="1656" w:type="dxa"/>
          </w:tcPr>
          <w:p w14:paraId="2E584B23"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w:t>
            </w:r>
          </w:p>
        </w:tc>
      </w:tr>
      <w:tr w:rsidR="00F26F01" w:rsidRPr="00C33834" w14:paraId="015627BE" w14:textId="77777777">
        <w:tc>
          <w:tcPr>
            <w:tcW w:w="1656" w:type="dxa"/>
          </w:tcPr>
          <w:p w14:paraId="27E854E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М38 с нагнетателем</w:t>
            </w:r>
          </w:p>
        </w:tc>
        <w:tc>
          <w:tcPr>
            <w:tcW w:w="1656" w:type="dxa"/>
          </w:tcPr>
          <w:p w14:paraId="170E0FE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воздушнное </w:t>
            </w:r>
          </w:p>
        </w:tc>
        <w:tc>
          <w:tcPr>
            <w:tcW w:w="1656" w:type="dxa"/>
          </w:tcPr>
          <w:p w14:paraId="1185505D"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1656" w:type="dxa"/>
          </w:tcPr>
          <w:p w14:paraId="4268B6C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c>
          <w:tcPr>
            <w:tcW w:w="1656" w:type="dxa"/>
          </w:tcPr>
          <w:p w14:paraId="4638FCE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1656" w:type="dxa"/>
          </w:tcPr>
          <w:p w14:paraId="134C345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235</w:t>
            </w:r>
          </w:p>
        </w:tc>
        <w:tc>
          <w:tcPr>
            <w:tcW w:w="1656" w:type="dxa"/>
          </w:tcPr>
          <w:p w14:paraId="6D80CD7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1934</w:t>
            </w:r>
          </w:p>
        </w:tc>
      </w:tr>
      <w:tr w:rsidR="00F26F01" w:rsidRPr="00C33834" w14:paraId="35BEA3E8" w14:textId="77777777">
        <w:tc>
          <w:tcPr>
            <w:tcW w:w="1656" w:type="dxa"/>
          </w:tcPr>
          <w:p w14:paraId="613F66C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М56 с нагнетателем</w:t>
            </w:r>
          </w:p>
        </w:tc>
        <w:tc>
          <w:tcPr>
            <w:tcW w:w="1656" w:type="dxa"/>
          </w:tcPr>
          <w:p w14:paraId="585700C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воздушнное </w:t>
            </w:r>
          </w:p>
        </w:tc>
        <w:tc>
          <w:tcPr>
            <w:tcW w:w="1656" w:type="dxa"/>
          </w:tcPr>
          <w:p w14:paraId="1CC62D89"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w:t>
            </w:r>
          </w:p>
        </w:tc>
        <w:tc>
          <w:tcPr>
            <w:tcW w:w="1656" w:type="dxa"/>
          </w:tcPr>
          <w:p w14:paraId="79CDA6AD"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1656" w:type="dxa"/>
          </w:tcPr>
          <w:p w14:paraId="618026B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w:t>
            </w:r>
          </w:p>
        </w:tc>
        <w:tc>
          <w:tcPr>
            <w:tcW w:w="1656" w:type="dxa"/>
          </w:tcPr>
          <w:p w14:paraId="0C5B3672"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22446AB7"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1934</w:t>
            </w:r>
          </w:p>
        </w:tc>
      </w:tr>
    </w:tbl>
    <w:p w14:paraId="6DA2C25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 опытному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F26F01" w:rsidRPr="00C33834" w14:paraId="360B65F8" w14:textId="77777777">
        <w:tc>
          <w:tcPr>
            <w:tcW w:w="1656" w:type="dxa"/>
          </w:tcPr>
          <w:p w14:paraId="1805586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 и тип самолета</w:t>
            </w:r>
          </w:p>
        </w:tc>
        <w:tc>
          <w:tcPr>
            <w:tcW w:w="1656" w:type="dxa"/>
          </w:tcPr>
          <w:p w14:paraId="201CF2BC"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Горизонтальная скорость км/час/ысота м</w:t>
            </w:r>
          </w:p>
        </w:tc>
        <w:tc>
          <w:tcPr>
            <w:tcW w:w="1656" w:type="dxa"/>
          </w:tcPr>
          <w:p w14:paraId="1198DA2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высота м</w:t>
            </w:r>
          </w:p>
        </w:tc>
        <w:tc>
          <w:tcPr>
            <w:tcW w:w="1656" w:type="dxa"/>
          </w:tcPr>
          <w:p w14:paraId="2FF7064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 нормальн./ с перегрузкой</w:t>
            </w:r>
          </w:p>
        </w:tc>
        <w:tc>
          <w:tcPr>
            <w:tcW w:w="1656" w:type="dxa"/>
          </w:tcPr>
          <w:p w14:paraId="32B8BD64"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Сбрасыв. грузов нормальн./с перегрузкой</w:t>
            </w:r>
          </w:p>
        </w:tc>
        <w:tc>
          <w:tcPr>
            <w:tcW w:w="1656" w:type="dxa"/>
          </w:tcPr>
          <w:p w14:paraId="744678D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1656" w:type="dxa"/>
          </w:tcPr>
          <w:p w14:paraId="4E97F12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прдъявления на испытание</w:t>
            </w:r>
          </w:p>
        </w:tc>
      </w:tr>
    </w:tbl>
    <w:p w14:paraId="6E53BE25"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F26F01" w:rsidRPr="00C33834" w14:paraId="6B7A8B11" w14:textId="77777777">
        <w:tc>
          <w:tcPr>
            <w:tcW w:w="1656" w:type="dxa"/>
          </w:tcPr>
          <w:p w14:paraId="1DB29697"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бомбард. ТБ4 6М34</w:t>
            </w:r>
          </w:p>
        </w:tc>
        <w:tc>
          <w:tcPr>
            <w:tcW w:w="1656" w:type="dxa"/>
          </w:tcPr>
          <w:p w14:paraId="6747F027"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1656" w:type="dxa"/>
          </w:tcPr>
          <w:p w14:paraId="4DD4E514"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B65131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1656" w:type="dxa"/>
          </w:tcPr>
          <w:p w14:paraId="6F9A6FF5"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12C60E1B"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пулеметов</w:t>
            </w:r>
          </w:p>
          <w:p w14:paraId="5317DE4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пушки</w:t>
            </w:r>
          </w:p>
        </w:tc>
        <w:tc>
          <w:tcPr>
            <w:tcW w:w="1656" w:type="dxa"/>
          </w:tcPr>
          <w:p w14:paraId="55B713AC"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августа 1933</w:t>
            </w:r>
          </w:p>
        </w:tc>
      </w:tr>
      <w:tr w:rsidR="00F26F01" w:rsidRPr="00C33834" w14:paraId="4347C984" w14:textId="77777777">
        <w:tc>
          <w:tcPr>
            <w:tcW w:w="1656" w:type="dxa"/>
          </w:tcPr>
          <w:p w14:paraId="5736065B"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бомбард. ТБ3-4М34НР</w:t>
            </w:r>
          </w:p>
        </w:tc>
        <w:tc>
          <w:tcPr>
            <w:tcW w:w="1656" w:type="dxa"/>
          </w:tcPr>
          <w:p w14:paraId="4E9EC293"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260/5000</w:t>
            </w:r>
          </w:p>
        </w:tc>
        <w:tc>
          <w:tcPr>
            <w:tcW w:w="1656" w:type="dxa"/>
          </w:tcPr>
          <w:p w14:paraId="3B9B625C" w14:textId="77777777" w:rsidR="0092497E" w:rsidRPr="00C33834" w:rsidRDefault="0092497E" w:rsidP="00C33834">
            <w:pPr>
              <w:spacing w:after="0" w:line="240" w:lineRule="auto"/>
              <w:jc w:val="both"/>
              <w:rPr>
                <w:rFonts w:ascii="Times New Roman" w:hAnsi="Times New Roman"/>
                <w:color w:val="000000" w:themeColor="text1"/>
                <w:sz w:val="16"/>
                <w:szCs w:val="16"/>
              </w:rPr>
            </w:pPr>
          </w:p>
        </w:tc>
        <w:tc>
          <w:tcPr>
            <w:tcW w:w="1656" w:type="dxa"/>
          </w:tcPr>
          <w:p w14:paraId="53193EE9"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1200/1500</w:t>
            </w:r>
          </w:p>
        </w:tc>
        <w:tc>
          <w:tcPr>
            <w:tcW w:w="1656" w:type="dxa"/>
          </w:tcPr>
          <w:p w14:paraId="0A8F422C"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1500/1000</w:t>
            </w:r>
          </w:p>
        </w:tc>
        <w:tc>
          <w:tcPr>
            <w:tcW w:w="1656" w:type="dxa"/>
          </w:tcPr>
          <w:p w14:paraId="34EA3713"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 пулеметов</w:t>
            </w:r>
          </w:p>
        </w:tc>
        <w:tc>
          <w:tcPr>
            <w:tcW w:w="1656" w:type="dxa"/>
          </w:tcPr>
          <w:p w14:paraId="184FAA5F" w14:textId="77777777" w:rsidR="0092497E" w:rsidRPr="00C33834" w:rsidRDefault="0092497E" w:rsidP="00C33834">
            <w:pPr>
              <w:spacing w:after="0" w:line="240" w:lineRule="auto"/>
              <w:jc w:val="both"/>
              <w:rPr>
                <w:rFonts w:ascii="Times New Roman" w:hAnsi="Times New Roman"/>
                <w:color w:val="000000" w:themeColor="text1"/>
                <w:sz w:val="16"/>
                <w:szCs w:val="16"/>
              </w:rPr>
            </w:pPr>
          </w:p>
        </w:tc>
      </w:tr>
      <w:tr w:rsidR="00F26F01" w:rsidRPr="00C33834" w14:paraId="0E06427E" w14:textId="77777777">
        <w:tc>
          <w:tcPr>
            <w:tcW w:w="1656" w:type="dxa"/>
          </w:tcPr>
          <w:p w14:paraId="340A9FF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Многомест. истреб. МИ3-2М34</w:t>
            </w:r>
          </w:p>
        </w:tc>
        <w:tc>
          <w:tcPr>
            <w:tcW w:w="1656" w:type="dxa"/>
          </w:tcPr>
          <w:p w14:paraId="16A7F73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300/5000</w:t>
            </w:r>
          </w:p>
        </w:tc>
        <w:tc>
          <w:tcPr>
            <w:tcW w:w="1656" w:type="dxa"/>
          </w:tcPr>
          <w:p w14:paraId="44C2BD3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15/5000</w:t>
            </w:r>
          </w:p>
        </w:tc>
        <w:tc>
          <w:tcPr>
            <w:tcW w:w="1656" w:type="dxa"/>
          </w:tcPr>
          <w:p w14:paraId="7DE1931C"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656" w:type="dxa"/>
          </w:tcPr>
          <w:p w14:paraId="51D598D9"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0A55AA75"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пулеметов</w:t>
            </w:r>
          </w:p>
          <w:p w14:paraId="1378F404"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пушка</w:t>
            </w:r>
          </w:p>
        </w:tc>
        <w:tc>
          <w:tcPr>
            <w:tcW w:w="1656" w:type="dxa"/>
          </w:tcPr>
          <w:p w14:paraId="2236090F" w14:textId="77777777" w:rsidR="0092497E" w:rsidRPr="00C33834" w:rsidRDefault="0092497E" w:rsidP="00C33834">
            <w:pPr>
              <w:spacing w:after="0" w:line="240" w:lineRule="auto"/>
              <w:jc w:val="both"/>
              <w:rPr>
                <w:rFonts w:ascii="Times New Roman" w:hAnsi="Times New Roman"/>
                <w:color w:val="000000" w:themeColor="text1"/>
                <w:sz w:val="16"/>
                <w:szCs w:val="16"/>
              </w:rPr>
            </w:pPr>
          </w:p>
        </w:tc>
      </w:tr>
      <w:tr w:rsidR="00F26F01" w:rsidRPr="00C33834" w14:paraId="0EB939B7" w14:textId="77777777">
        <w:tc>
          <w:tcPr>
            <w:tcW w:w="1656" w:type="dxa"/>
          </w:tcPr>
          <w:p w14:paraId="21319E89"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Морской крейсер МК1-6М34НР</w:t>
            </w:r>
          </w:p>
        </w:tc>
        <w:tc>
          <w:tcPr>
            <w:tcW w:w="1656" w:type="dxa"/>
          </w:tcPr>
          <w:p w14:paraId="079BC18B"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230/4000</w:t>
            </w:r>
          </w:p>
        </w:tc>
        <w:tc>
          <w:tcPr>
            <w:tcW w:w="1656" w:type="dxa"/>
          </w:tcPr>
          <w:p w14:paraId="7D5CA7D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669EF13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750/1200</w:t>
            </w:r>
          </w:p>
        </w:tc>
        <w:tc>
          <w:tcPr>
            <w:tcW w:w="1656" w:type="dxa"/>
          </w:tcPr>
          <w:p w14:paraId="7A98A13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3500/1800</w:t>
            </w:r>
          </w:p>
        </w:tc>
        <w:tc>
          <w:tcPr>
            <w:tcW w:w="1656" w:type="dxa"/>
          </w:tcPr>
          <w:p w14:paraId="4C6DE42B"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2ED72528" w14:textId="77777777" w:rsidR="0092497E" w:rsidRPr="00C33834" w:rsidRDefault="0092497E" w:rsidP="00C33834">
            <w:pPr>
              <w:spacing w:after="0" w:line="240" w:lineRule="auto"/>
              <w:jc w:val="both"/>
              <w:rPr>
                <w:rFonts w:ascii="Times New Roman" w:hAnsi="Times New Roman"/>
                <w:color w:val="000000" w:themeColor="text1"/>
                <w:sz w:val="16"/>
                <w:szCs w:val="16"/>
              </w:rPr>
            </w:pPr>
          </w:p>
        </w:tc>
      </w:tr>
      <w:tr w:rsidR="00F26F01" w:rsidRPr="00C33834" w14:paraId="25A97580" w14:textId="77777777">
        <w:tc>
          <w:tcPr>
            <w:tcW w:w="1656" w:type="dxa"/>
          </w:tcPr>
          <w:p w14:paraId="72E7CE3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Морской дальний разведчик МДР4-3М34НР</w:t>
            </w:r>
          </w:p>
        </w:tc>
        <w:tc>
          <w:tcPr>
            <w:tcW w:w="1656" w:type="dxa"/>
          </w:tcPr>
          <w:p w14:paraId="41DED85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215-225/3600</w:t>
            </w:r>
          </w:p>
        </w:tc>
        <w:tc>
          <w:tcPr>
            <w:tcW w:w="1656" w:type="dxa"/>
          </w:tcPr>
          <w:p w14:paraId="1D1D6814"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20/3000</w:t>
            </w:r>
          </w:p>
        </w:tc>
        <w:tc>
          <w:tcPr>
            <w:tcW w:w="1656" w:type="dxa"/>
          </w:tcPr>
          <w:p w14:paraId="0C2E9A24"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750/1250</w:t>
            </w:r>
          </w:p>
        </w:tc>
        <w:tc>
          <w:tcPr>
            <w:tcW w:w="1656" w:type="dxa"/>
          </w:tcPr>
          <w:p w14:paraId="72DC068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656" w:type="dxa"/>
          </w:tcPr>
          <w:p w14:paraId="7DF2823D"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5B7B5645" w14:textId="77777777" w:rsidR="0092497E" w:rsidRPr="00C33834" w:rsidRDefault="0092497E" w:rsidP="00C33834">
            <w:pPr>
              <w:spacing w:after="0" w:line="240" w:lineRule="auto"/>
              <w:jc w:val="both"/>
              <w:rPr>
                <w:rFonts w:ascii="Times New Roman" w:hAnsi="Times New Roman"/>
                <w:color w:val="000000" w:themeColor="text1"/>
                <w:sz w:val="16"/>
                <w:szCs w:val="16"/>
              </w:rPr>
            </w:pPr>
          </w:p>
        </w:tc>
      </w:tr>
      <w:tr w:rsidR="00F26F01" w:rsidRPr="00C33834" w14:paraId="622A8572" w14:textId="77777777">
        <w:tc>
          <w:tcPr>
            <w:tcW w:w="1656" w:type="dxa"/>
          </w:tcPr>
          <w:p w14:paraId="710D8092"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Легкий разведчик ЛР-М34</w:t>
            </w:r>
          </w:p>
        </w:tc>
        <w:tc>
          <w:tcPr>
            <w:tcW w:w="1656" w:type="dxa"/>
          </w:tcPr>
          <w:p w14:paraId="2E0A4F69"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310/5000</w:t>
            </w:r>
          </w:p>
        </w:tc>
        <w:tc>
          <w:tcPr>
            <w:tcW w:w="1656" w:type="dxa"/>
          </w:tcPr>
          <w:p w14:paraId="5C95380C"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13/5000</w:t>
            </w:r>
          </w:p>
        </w:tc>
        <w:tc>
          <w:tcPr>
            <w:tcW w:w="1656" w:type="dxa"/>
          </w:tcPr>
          <w:p w14:paraId="63941A72"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400/700</w:t>
            </w:r>
          </w:p>
        </w:tc>
        <w:tc>
          <w:tcPr>
            <w:tcW w:w="1656" w:type="dxa"/>
          </w:tcPr>
          <w:p w14:paraId="43C76B72"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656" w:type="dxa"/>
          </w:tcPr>
          <w:p w14:paraId="5471BAB2"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Легк. и тяж. пул. </w:t>
            </w:r>
          </w:p>
        </w:tc>
        <w:tc>
          <w:tcPr>
            <w:tcW w:w="1656" w:type="dxa"/>
          </w:tcPr>
          <w:p w14:paraId="2A14270A" w14:textId="77777777" w:rsidR="0092497E" w:rsidRPr="00C33834" w:rsidRDefault="0092497E" w:rsidP="00C33834">
            <w:pPr>
              <w:spacing w:after="0" w:line="240" w:lineRule="auto"/>
              <w:jc w:val="both"/>
              <w:rPr>
                <w:rFonts w:ascii="Times New Roman" w:hAnsi="Times New Roman"/>
                <w:color w:val="000000" w:themeColor="text1"/>
                <w:sz w:val="16"/>
                <w:szCs w:val="16"/>
              </w:rPr>
            </w:pPr>
          </w:p>
        </w:tc>
      </w:tr>
      <w:tr w:rsidR="00F26F01" w:rsidRPr="00C33834" w14:paraId="7C56D7E4" w14:textId="77777777">
        <w:tc>
          <w:tcPr>
            <w:tcW w:w="1656" w:type="dxa"/>
          </w:tcPr>
          <w:p w14:paraId="144E45F3"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штурмовик ТШ3-М34</w:t>
            </w:r>
          </w:p>
        </w:tc>
        <w:tc>
          <w:tcPr>
            <w:tcW w:w="1656" w:type="dxa"/>
          </w:tcPr>
          <w:p w14:paraId="19DE457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250/0</w:t>
            </w:r>
          </w:p>
        </w:tc>
        <w:tc>
          <w:tcPr>
            <w:tcW w:w="1656" w:type="dxa"/>
          </w:tcPr>
          <w:p w14:paraId="7F1B6C99"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11/3000</w:t>
            </w:r>
          </w:p>
        </w:tc>
        <w:tc>
          <w:tcPr>
            <w:tcW w:w="1656" w:type="dxa"/>
          </w:tcPr>
          <w:p w14:paraId="5A221447"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1656" w:type="dxa"/>
          </w:tcPr>
          <w:p w14:paraId="6870DAC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4C870A12"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пулеметов</w:t>
            </w:r>
          </w:p>
        </w:tc>
        <w:tc>
          <w:tcPr>
            <w:tcW w:w="1656" w:type="dxa"/>
          </w:tcPr>
          <w:p w14:paraId="739A2A54" w14:textId="77777777" w:rsidR="0092497E" w:rsidRPr="00C33834" w:rsidRDefault="0092497E" w:rsidP="00C33834">
            <w:pPr>
              <w:spacing w:after="0" w:line="240" w:lineRule="auto"/>
              <w:jc w:val="both"/>
              <w:rPr>
                <w:rFonts w:ascii="Times New Roman" w:hAnsi="Times New Roman"/>
                <w:color w:val="000000" w:themeColor="text1"/>
                <w:sz w:val="16"/>
                <w:szCs w:val="16"/>
              </w:rPr>
            </w:pPr>
          </w:p>
        </w:tc>
      </w:tr>
      <w:tr w:rsidR="00F26F01" w:rsidRPr="00C33834" w14:paraId="76933085" w14:textId="77777777">
        <w:tc>
          <w:tcPr>
            <w:tcW w:w="1656" w:type="dxa"/>
          </w:tcPr>
          <w:p w14:paraId="2AA53DF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 истреб. И14 Бристоль Меркур</w:t>
            </w:r>
          </w:p>
        </w:tc>
        <w:tc>
          <w:tcPr>
            <w:tcW w:w="1656" w:type="dxa"/>
          </w:tcPr>
          <w:p w14:paraId="2046009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400/5000</w:t>
            </w:r>
          </w:p>
        </w:tc>
        <w:tc>
          <w:tcPr>
            <w:tcW w:w="1656" w:type="dxa"/>
          </w:tcPr>
          <w:p w14:paraId="3892A4D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7/5000</w:t>
            </w:r>
          </w:p>
        </w:tc>
        <w:tc>
          <w:tcPr>
            <w:tcW w:w="1656" w:type="dxa"/>
          </w:tcPr>
          <w:p w14:paraId="6CCA6DB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656" w:type="dxa"/>
          </w:tcPr>
          <w:p w14:paraId="2CE12795"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54B847E2"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Пушки</w:t>
            </w:r>
          </w:p>
        </w:tc>
        <w:tc>
          <w:tcPr>
            <w:tcW w:w="1656" w:type="dxa"/>
          </w:tcPr>
          <w:p w14:paraId="3CAA9141" w14:textId="77777777" w:rsidR="0092497E" w:rsidRPr="00C33834" w:rsidRDefault="0092497E" w:rsidP="00C33834">
            <w:pPr>
              <w:spacing w:after="0" w:line="240" w:lineRule="auto"/>
              <w:jc w:val="both"/>
              <w:rPr>
                <w:rFonts w:ascii="Times New Roman" w:hAnsi="Times New Roman"/>
                <w:color w:val="000000" w:themeColor="text1"/>
                <w:sz w:val="16"/>
                <w:szCs w:val="16"/>
              </w:rPr>
            </w:pPr>
          </w:p>
        </w:tc>
      </w:tr>
      <w:tr w:rsidR="00F26F01" w:rsidRPr="00C33834" w14:paraId="4A37EB28" w14:textId="77777777">
        <w:tc>
          <w:tcPr>
            <w:tcW w:w="1656" w:type="dxa"/>
          </w:tcPr>
          <w:p w14:paraId="07B94A3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 истреб. И14 Райт-Циклон</w:t>
            </w:r>
          </w:p>
        </w:tc>
        <w:tc>
          <w:tcPr>
            <w:tcW w:w="1656" w:type="dxa"/>
          </w:tcPr>
          <w:p w14:paraId="6A60E909"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400/5000</w:t>
            </w:r>
          </w:p>
        </w:tc>
        <w:tc>
          <w:tcPr>
            <w:tcW w:w="1656" w:type="dxa"/>
          </w:tcPr>
          <w:p w14:paraId="22D8DBE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7/5000</w:t>
            </w:r>
          </w:p>
        </w:tc>
        <w:tc>
          <w:tcPr>
            <w:tcW w:w="1656" w:type="dxa"/>
          </w:tcPr>
          <w:p w14:paraId="747A153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656" w:type="dxa"/>
          </w:tcPr>
          <w:p w14:paraId="0A8DFF49"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04874E7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Пушки</w:t>
            </w:r>
          </w:p>
        </w:tc>
        <w:tc>
          <w:tcPr>
            <w:tcW w:w="1656" w:type="dxa"/>
          </w:tcPr>
          <w:p w14:paraId="55DAE960" w14:textId="77777777" w:rsidR="0092497E" w:rsidRPr="00C33834" w:rsidRDefault="0092497E" w:rsidP="00C33834">
            <w:pPr>
              <w:spacing w:after="0" w:line="240" w:lineRule="auto"/>
              <w:jc w:val="both"/>
              <w:rPr>
                <w:rFonts w:ascii="Times New Roman" w:hAnsi="Times New Roman"/>
                <w:color w:val="000000" w:themeColor="text1"/>
                <w:sz w:val="16"/>
                <w:szCs w:val="16"/>
              </w:rPr>
            </w:pPr>
          </w:p>
        </w:tc>
      </w:tr>
      <w:tr w:rsidR="00F26F01" w:rsidRPr="00C33834" w14:paraId="60FA3B30" w14:textId="77777777">
        <w:tc>
          <w:tcPr>
            <w:tcW w:w="1656" w:type="dxa"/>
          </w:tcPr>
          <w:p w14:paraId="5E452ADB"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 истреб. И15 Райт-Циклон</w:t>
            </w:r>
          </w:p>
        </w:tc>
        <w:tc>
          <w:tcPr>
            <w:tcW w:w="1656" w:type="dxa"/>
          </w:tcPr>
          <w:p w14:paraId="1E89FEC9"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400/5000</w:t>
            </w:r>
          </w:p>
        </w:tc>
        <w:tc>
          <w:tcPr>
            <w:tcW w:w="1656" w:type="dxa"/>
          </w:tcPr>
          <w:p w14:paraId="2F0015B9"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7/5000</w:t>
            </w:r>
          </w:p>
        </w:tc>
        <w:tc>
          <w:tcPr>
            <w:tcW w:w="1656" w:type="dxa"/>
          </w:tcPr>
          <w:p w14:paraId="314E369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656" w:type="dxa"/>
          </w:tcPr>
          <w:p w14:paraId="20913DA3"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EF65693"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пулемета</w:t>
            </w:r>
          </w:p>
        </w:tc>
        <w:tc>
          <w:tcPr>
            <w:tcW w:w="1656" w:type="dxa"/>
          </w:tcPr>
          <w:p w14:paraId="4B6446BA" w14:textId="77777777" w:rsidR="0092497E" w:rsidRPr="00C33834" w:rsidRDefault="0092497E" w:rsidP="00C33834">
            <w:pPr>
              <w:spacing w:after="0" w:line="240" w:lineRule="auto"/>
              <w:jc w:val="both"/>
              <w:rPr>
                <w:rFonts w:ascii="Times New Roman" w:hAnsi="Times New Roman"/>
                <w:color w:val="000000" w:themeColor="text1"/>
                <w:sz w:val="16"/>
                <w:szCs w:val="16"/>
              </w:rPr>
            </w:pPr>
          </w:p>
        </w:tc>
      </w:tr>
      <w:tr w:rsidR="00F26F01" w:rsidRPr="00C33834" w14:paraId="4F526311" w14:textId="77777777">
        <w:tc>
          <w:tcPr>
            <w:tcW w:w="1656" w:type="dxa"/>
          </w:tcPr>
          <w:p w14:paraId="7ABD96AC"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 истреб. И15 М58</w:t>
            </w:r>
          </w:p>
        </w:tc>
        <w:tc>
          <w:tcPr>
            <w:tcW w:w="1656" w:type="dxa"/>
          </w:tcPr>
          <w:p w14:paraId="564A3673"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400/5000</w:t>
            </w:r>
          </w:p>
        </w:tc>
        <w:tc>
          <w:tcPr>
            <w:tcW w:w="1656" w:type="dxa"/>
          </w:tcPr>
          <w:p w14:paraId="7817BE4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7/5000</w:t>
            </w:r>
          </w:p>
        </w:tc>
        <w:tc>
          <w:tcPr>
            <w:tcW w:w="1656" w:type="dxa"/>
          </w:tcPr>
          <w:p w14:paraId="41EAB3B5"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656" w:type="dxa"/>
          </w:tcPr>
          <w:p w14:paraId="63FCF667"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A85AA7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пулемета</w:t>
            </w:r>
          </w:p>
        </w:tc>
        <w:tc>
          <w:tcPr>
            <w:tcW w:w="1656" w:type="dxa"/>
          </w:tcPr>
          <w:p w14:paraId="74E9FB16" w14:textId="77777777" w:rsidR="0092497E" w:rsidRPr="00C33834" w:rsidRDefault="0092497E" w:rsidP="00C33834">
            <w:pPr>
              <w:spacing w:after="0" w:line="240" w:lineRule="auto"/>
              <w:jc w:val="both"/>
              <w:rPr>
                <w:rFonts w:ascii="Times New Roman" w:hAnsi="Times New Roman"/>
                <w:color w:val="000000" w:themeColor="text1"/>
                <w:sz w:val="16"/>
                <w:szCs w:val="16"/>
              </w:rPr>
            </w:pPr>
          </w:p>
        </w:tc>
      </w:tr>
      <w:tr w:rsidR="00F26F01" w:rsidRPr="00C33834" w14:paraId="66541B30" w14:textId="77777777">
        <w:tc>
          <w:tcPr>
            <w:tcW w:w="1656" w:type="dxa"/>
          </w:tcPr>
          <w:p w14:paraId="26AF688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Морской ближний разведчик МБР4-М34 (С62)</w:t>
            </w:r>
          </w:p>
        </w:tc>
        <w:tc>
          <w:tcPr>
            <w:tcW w:w="1656" w:type="dxa"/>
          </w:tcPr>
          <w:p w14:paraId="324AE03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D883C2C"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6E796BE7"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432D69F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4046011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58A5A913" w14:textId="77777777" w:rsidR="0092497E" w:rsidRPr="00C33834" w:rsidRDefault="0092497E" w:rsidP="00C33834">
            <w:pPr>
              <w:spacing w:after="0" w:line="240" w:lineRule="auto"/>
              <w:jc w:val="both"/>
              <w:rPr>
                <w:rFonts w:ascii="Times New Roman" w:hAnsi="Times New Roman"/>
                <w:color w:val="000000" w:themeColor="text1"/>
                <w:sz w:val="16"/>
                <w:szCs w:val="16"/>
              </w:rPr>
            </w:pPr>
          </w:p>
        </w:tc>
      </w:tr>
    </w:tbl>
    <w:p w14:paraId="43A3DFB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Экспериментальные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F26F01" w:rsidRPr="00C33834" w14:paraId="5E3A755B" w14:textId="77777777">
        <w:tc>
          <w:tcPr>
            <w:tcW w:w="1656" w:type="dxa"/>
          </w:tcPr>
          <w:p w14:paraId="00CB7E07"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Сухопутный крейсер СК1-2М34 (или М34)</w:t>
            </w:r>
          </w:p>
        </w:tc>
        <w:tc>
          <w:tcPr>
            <w:tcW w:w="1656" w:type="dxa"/>
          </w:tcPr>
          <w:p w14:paraId="19AE8BA4"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300/5000</w:t>
            </w:r>
          </w:p>
        </w:tc>
        <w:tc>
          <w:tcPr>
            <w:tcW w:w="1656" w:type="dxa"/>
          </w:tcPr>
          <w:p w14:paraId="582FD5C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3E29891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600/1000</w:t>
            </w:r>
          </w:p>
        </w:tc>
        <w:tc>
          <w:tcPr>
            <w:tcW w:w="1656" w:type="dxa"/>
          </w:tcPr>
          <w:p w14:paraId="5A7D7D04"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656" w:type="dxa"/>
          </w:tcPr>
          <w:p w14:paraId="1B31E2BD"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Легк. и тяж. пул. </w:t>
            </w:r>
          </w:p>
        </w:tc>
        <w:tc>
          <w:tcPr>
            <w:tcW w:w="1656" w:type="dxa"/>
          </w:tcPr>
          <w:p w14:paraId="63D42FCB" w14:textId="77777777" w:rsidR="0092497E" w:rsidRPr="00C33834" w:rsidRDefault="0092497E" w:rsidP="00C33834">
            <w:pPr>
              <w:spacing w:after="0" w:line="240" w:lineRule="auto"/>
              <w:jc w:val="both"/>
              <w:rPr>
                <w:rFonts w:ascii="Times New Roman" w:hAnsi="Times New Roman"/>
                <w:color w:val="000000" w:themeColor="text1"/>
                <w:sz w:val="16"/>
                <w:szCs w:val="16"/>
              </w:rPr>
            </w:pPr>
          </w:p>
        </w:tc>
      </w:tr>
      <w:tr w:rsidR="00F26F01" w:rsidRPr="00C33834" w14:paraId="6CF9BD20" w14:textId="77777777">
        <w:tc>
          <w:tcPr>
            <w:tcW w:w="1656" w:type="dxa"/>
          </w:tcPr>
          <w:p w14:paraId="03B51282"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Войсковой самолет ВС2-М22</w:t>
            </w:r>
          </w:p>
        </w:tc>
        <w:tc>
          <w:tcPr>
            <w:tcW w:w="1656" w:type="dxa"/>
          </w:tcPr>
          <w:p w14:paraId="5493AEA9"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250/3000</w:t>
            </w:r>
          </w:p>
        </w:tc>
        <w:tc>
          <w:tcPr>
            <w:tcW w:w="1656" w:type="dxa"/>
          </w:tcPr>
          <w:p w14:paraId="40A07464"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12/3000</w:t>
            </w:r>
          </w:p>
        </w:tc>
        <w:tc>
          <w:tcPr>
            <w:tcW w:w="1656" w:type="dxa"/>
          </w:tcPr>
          <w:p w14:paraId="669E08D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350/6000</w:t>
            </w:r>
          </w:p>
        </w:tc>
        <w:tc>
          <w:tcPr>
            <w:tcW w:w="1656" w:type="dxa"/>
          </w:tcPr>
          <w:p w14:paraId="57C67BF2"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300/500</w:t>
            </w:r>
          </w:p>
        </w:tc>
        <w:tc>
          <w:tcPr>
            <w:tcW w:w="1656" w:type="dxa"/>
          </w:tcPr>
          <w:p w14:paraId="748DCA34"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 пул.</w:t>
            </w:r>
          </w:p>
        </w:tc>
        <w:tc>
          <w:tcPr>
            <w:tcW w:w="1656" w:type="dxa"/>
          </w:tcPr>
          <w:p w14:paraId="7E931E2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1934</w:t>
            </w:r>
          </w:p>
        </w:tc>
      </w:tr>
      <w:tr w:rsidR="00F26F01" w:rsidRPr="00C33834" w14:paraId="5F1213DD" w14:textId="77777777">
        <w:tc>
          <w:tcPr>
            <w:tcW w:w="1656" w:type="dxa"/>
          </w:tcPr>
          <w:p w14:paraId="43D95C8D"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Двухместн. пушечн. истреб. ДИП-2М34 РН</w:t>
            </w:r>
          </w:p>
        </w:tc>
        <w:tc>
          <w:tcPr>
            <w:tcW w:w="1656" w:type="dxa"/>
          </w:tcPr>
          <w:p w14:paraId="04C064AB"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325/5000</w:t>
            </w:r>
          </w:p>
        </w:tc>
        <w:tc>
          <w:tcPr>
            <w:tcW w:w="1656" w:type="dxa"/>
          </w:tcPr>
          <w:p w14:paraId="63E2A69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15/5000</w:t>
            </w:r>
          </w:p>
        </w:tc>
        <w:tc>
          <w:tcPr>
            <w:tcW w:w="1656" w:type="dxa"/>
          </w:tcPr>
          <w:p w14:paraId="091F0BF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300/500</w:t>
            </w:r>
          </w:p>
        </w:tc>
        <w:tc>
          <w:tcPr>
            <w:tcW w:w="1656" w:type="dxa"/>
          </w:tcPr>
          <w:p w14:paraId="0719B86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00C4F6F5"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Пушки</w:t>
            </w:r>
          </w:p>
        </w:tc>
        <w:tc>
          <w:tcPr>
            <w:tcW w:w="1656" w:type="dxa"/>
          </w:tcPr>
          <w:p w14:paraId="1F42C1D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июня 1934 </w:t>
            </w:r>
          </w:p>
        </w:tc>
      </w:tr>
      <w:tr w:rsidR="00F26F01" w:rsidRPr="00C33834" w14:paraId="08DED16A" w14:textId="77777777">
        <w:tc>
          <w:tcPr>
            <w:tcW w:w="1656" w:type="dxa"/>
          </w:tcPr>
          <w:p w14:paraId="5390FFA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Двухместн. истреб. ДИ6 Райт-Циклон</w:t>
            </w:r>
          </w:p>
        </w:tc>
        <w:tc>
          <w:tcPr>
            <w:tcW w:w="1656" w:type="dxa"/>
          </w:tcPr>
          <w:p w14:paraId="7CAD981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375/5000</w:t>
            </w:r>
          </w:p>
        </w:tc>
        <w:tc>
          <w:tcPr>
            <w:tcW w:w="1656" w:type="dxa"/>
          </w:tcPr>
          <w:p w14:paraId="2AAFA68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9/5000</w:t>
            </w:r>
          </w:p>
        </w:tc>
        <w:tc>
          <w:tcPr>
            <w:tcW w:w="1656" w:type="dxa"/>
          </w:tcPr>
          <w:p w14:paraId="2F958275"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400/700</w:t>
            </w:r>
          </w:p>
        </w:tc>
        <w:tc>
          <w:tcPr>
            <w:tcW w:w="1656" w:type="dxa"/>
          </w:tcPr>
          <w:p w14:paraId="15BA996C"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656" w:type="dxa"/>
          </w:tcPr>
          <w:p w14:paraId="329C92A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Легк. и тяж. пул. </w:t>
            </w:r>
          </w:p>
        </w:tc>
        <w:tc>
          <w:tcPr>
            <w:tcW w:w="1656" w:type="dxa"/>
          </w:tcPr>
          <w:p w14:paraId="3BB4243B"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1934</w:t>
            </w:r>
          </w:p>
        </w:tc>
      </w:tr>
      <w:tr w:rsidR="00F26F01" w:rsidRPr="00C33834" w14:paraId="72B750B1" w14:textId="77777777">
        <w:tc>
          <w:tcPr>
            <w:tcW w:w="1656" w:type="dxa"/>
          </w:tcPr>
          <w:p w14:paraId="67148B2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бомбовоз К7-7М34</w:t>
            </w:r>
          </w:p>
        </w:tc>
        <w:tc>
          <w:tcPr>
            <w:tcW w:w="1656" w:type="dxa"/>
          </w:tcPr>
          <w:p w14:paraId="1A2B212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1656" w:type="dxa"/>
          </w:tcPr>
          <w:p w14:paraId="03A286D2"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0D1AD0A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656" w:type="dxa"/>
          </w:tcPr>
          <w:p w14:paraId="58C255A7"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325CC51B"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2C0263B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августа 1933 </w:t>
            </w:r>
          </w:p>
        </w:tc>
      </w:tr>
      <w:tr w:rsidR="00F26F01" w:rsidRPr="00C33834" w14:paraId="0C34D9BB" w14:textId="77777777">
        <w:tc>
          <w:tcPr>
            <w:tcW w:w="1656" w:type="dxa"/>
          </w:tcPr>
          <w:p w14:paraId="7D9F9CD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бомбовоз ТБ6</w:t>
            </w:r>
          </w:p>
        </w:tc>
        <w:tc>
          <w:tcPr>
            <w:tcW w:w="1656" w:type="dxa"/>
          </w:tcPr>
          <w:p w14:paraId="6F51F98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250/5000</w:t>
            </w:r>
          </w:p>
        </w:tc>
        <w:tc>
          <w:tcPr>
            <w:tcW w:w="1656" w:type="dxa"/>
          </w:tcPr>
          <w:p w14:paraId="36DF1DF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288C754D"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1500/2000</w:t>
            </w:r>
          </w:p>
        </w:tc>
        <w:tc>
          <w:tcPr>
            <w:tcW w:w="1656" w:type="dxa"/>
          </w:tcPr>
          <w:p w14:paraId="2F7CE124"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тн</w:t>
            </w:r>
          </w:p>
        </w:tc>
        <w:tc>
          <w:tcPr>
            <w:tcW w:w="1656" w:type="dxa"/>
          </w:tcPr>
          <w:p w14:paraId="64D5F792"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 пул. и пушки</w:t>
            </w:r>
          </w:p>
        </w:tc>
        <w:tc>
          <w:tcPr>
            <w:tcW w:w="1656" w:type="dxa"/>
          </w:tcPr>
          <w:p w14:paraId="7F877F8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1935</w:t>
            </w:r>
          </w:p>
        </w:tc>
      </w:tr>
      <w:tr w:rsidR="00F26F01" w:rsidRPr="00C33834" w14:paraId="507D31CA" w14:textId="77777777">
        <w:tc>
          <w:tcPr>
            <w:tcW w:w="1656" w:type="dxa"/>
          </w:tcPr>
          <w:p w14:paraId="6291938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Скоростн. разведчик СР1-М58</w:t>
            </w:r>
          </w:p>
        </w:tc>
        <w:tc>
          <w:tcPr>
            <w:tcW w:w="1656" w:type="dxa"/>
          </w:tcPr>
          <w:p w14:paraId="05D49B07"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425/4000</w:t>
            </w:r>
          </w:p>
        </w:tc>
        <w:tc>
          <w:tcPr>
            <w:tcW w:w="1656" w:type="dxa"/>
          </w:tcPr>
          <w:p w14:paraId="484C02E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12/4000</w:t>
            </w:r>
          </w:p>
        </w:tc>
        <w:tc>
          <w:tcPr>
            <w:tcW w:w="1656" w:type="dxa"/>
          </w:tcPr>
          <w:p w14:paraId="2717597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656" w:type="dxa"/>
          </w:tcPr>
          <w:p w14:paraId="45CF0683"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3239ADD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69CF4B0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Через 6 месяцев после получения мотора</w:t>
            </w:r>
          </w:p>
        </w:tc>
      </w:tr>
      <w:tr w:rsidR="00F26F01" w:rsidRPr="00C33834" w14:paraId="7BEE466C" w14:textId="77777777">
        <w:tc>
          <w:tcPr>
            <w:tcW w:w="1656" w:type="dxa"/>
          </w:tcPr>
          <w:p w14:paraId="6DEBF6B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Стратосферный с-т</w:t>
            </w:r>
          </w:p>
        </w:tc>
        <w:tc>
          <w:tcPr>
            <w:tcW w:w="1656" w:type="dxa"/>
          </w:tcPr>
          <w:p w14:paraId="10648647"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B80037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911FCD7"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421DB3D3"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088878E7"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692E1D3"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1934</w:t>
            </w:r>
          </w:p>
        </w:tc>
      </w:tr>
      <w:tr w:rsidR="00F26F01" w:rsidRPr="00C33834" w14:paraId="47584709" w14:textId="77777777">
        <w:tc>
          <w:tcPr>
            <w:tcW w:w="1656" w:type="dxa"/>
          </w:tcPr>
          <w:p w14:paraId="7F10974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Летающее крыло</w:t>
            </w:r>
          </w:p>
        </w:tc>
        <w:tc>
          <w:tcPr>
            <w:tcW w:w="1656" w:type="dxa"/>
          </w:tcPr>
          <w:p w14:paraId="3A88EE0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3220CEB9"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2FA767EC"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444AA4F9"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EA7AEE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01EEF5CC"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1934</w:t>
            </w:r>
          </w:p>
        </w:tc>
      </w:tr>
      <w:tr w:rsidR="00F26F01" w:rsidRPr="00C33834" w14:paraId="169CD4BB" w14:textId="77777777">
        <w:tc>
          <w:tcPr>
            <w:tcW w:w="1656" w:type="dxa"/>
          </w:tcPr>
          <w:p w14:paraId="20A9F965"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Разрезное крыло сист. Кричевского</w:t>
            </w:r>
          </w:p>
        </w:tc>
        <w:tc>
          <w:tcPr>
            <w:tcW w:w="1656" w:type="dxa"/>
          </w:tcPr>
          <w:p w14:paraId="33D148F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EEA260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7C251C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4C9358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6618942D"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57F96B79"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w:t>
            </w:r>
          </w:p>
        </w:tc>
      </w:tr>
      <w:tr w:rsidR="00F26F01" w:rsidRPr="00C33834" w14:paraId="7D1A32FC" w14:textId="77777777">
        <w:tc>
          <w:tcPr>
            <w:tcW w:w="1656" w:type="dxa"/>
          </w:tcPr>
          <w:p w14:paraId="1999C042"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Геликоптер ВГ2</w:t>
            </w:r>
          </w:p>
        </w:tc>
        <w:tc>
          <w:tcPr>
            <w:tcW w:w="1656" w:type="dxa"/>
          </w:tcPr>
          <w:p w14:paraId="3A7171E7"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2D2B8129"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906DE5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178D2872"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1D5559BC"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6E603D3D"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30 июля 1933 </w:t>
            </w:r>
          </w:p>
        </w:tc>
      </w:tr>
      <w:tr w:rsidR="00F26F01" w:rsidRPr="00C33834" w14:paraId="03FF9B11" w14:textId="77777777">
        <w:tc>
          <w:tcPr>
            <w:tcW w:w="1656" w:type="dxa"/>
          </w:tcPr>
          <w:p w14:paraId="7122E80D"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 М-22</w:t>
            </w:r>
          </w:p>
        </w:tc>
        <w:tc>
          <w:tcPr>
            <w:tcW w:w="1656" w:type="dxa"/>
          </w:tcPr>
          <w:p w14:paraId="632D3A53"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592368E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3E7B5AB4"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1D53728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255C5A7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63064E8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w:t>
            </w:r>
          </w:p>
        </w:tc>
      </w:tr>
      <w:tr w:rsidR="00F26F01" w:rsidRPr="00C33834" w14:paraId="325B7CF8" w14:textId="77777777">
        <w:tc>
          <w:tcPr>
            <w:tcW w:w="1656" w:type="dxa"/>
          </w:tcPr>
          <w:p w14:paraId="7FEC7E9D"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Учебный самолет У3-М48</w:t>
            </w:r>
          </w:p>
        </w:tc>
        <w:tc>
          <w:tcPr>
            <w:tcW w:w="1656" w:type="dxa"/>
          </w:tcPr>
          <w:p w14:paraId="2EC24A04"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180/1000</w:t>
            </w:r>
          </w:p>
        </w:tc>
        <w:tc>
          <w:tcPr>
            <w:tcW w:w="1656" w:type="dxa"/>
          </w:tcPr>
          <w:p w14:paraId="6E9E5464"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4B18717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360</w:t>
            </w:r>
          </w:p>
        </w:tc>
        <w:tc>
          <w:tcPr>
            <w:tcW w:w="1656" w:type="dxa"/>
          </w:tcPr>
          <w:p w14:paraId="03C5ED3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5B2A7B5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07CBD949"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1934</w:t>
            </w:r>
          </w:p>
        </w:tc>
      </w:tr>
    </w:tbl>
    <w:p w14:paraId="7AD5F973"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p w14:paraId="7DCFBC4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моторов и самолетов по группе опытных отнести к первоочередным и решающим объектам плана, обязав ГУАП выполнить все работы, предъявив моторы и самолеты в указанные сроки на гос. испытания.</w:t>
      </w:r>
    </w:p>
    <w:p w14:paraId="25776B7B"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отношении экспериментальных моторов и самолетов, указанные в плане сроки считать сроками предъявления на заводские испытания.</w:t>
      </w:r>
    </w:p>
    <w:p w14:paraId="7163064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 связи с необходимостью значительного увеличения радиусов действия нашей авиации, зависящих в основном от безотказности и надежности работы моторов, считать главнейшим требованием ко всем перечисленным выше моторам их надежную и безотказную работу (без замены каких-бы то ни было деталей) не менее 200 часов между переборками, а для М-34 однорядного и М48 не менее 300 часов.</w:t>
      </w:r>
    </w:p>
    <w:p w14:paraId="7EF3CAC5"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При конструировании всех вышеперечисленных типов самолетов обратить особое внимание на скорейшее достижение:</w:t>
      </w:r>
    </w:p>
    <w:p w14:paraId="69B6DBC7"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уменьшения мертвого веса конструкции, причем для бомбардировочных самолетов мертвый вес конструкции должен составлять не более 50% нормального полетного веса;</w:t>
      </w:r>
    </w:p>
    <w:p w14:paraId="271A5702"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увеличения обтекаемости в целях увеличения горизонтальной скорости и</w:t>
      </w:r>
    </w:p>
    <w:p w14:paraId="3888A8E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уменьшения посадочной скорости до 50-60 км и достижения коэффициента посадочной скорости (соотношение между максимальной, горизонтальной и посадочной скоростью) не менее четырех.</w:t>
      </w:r>
    </w:p>
    <w:p w14:paraId="6DC4F3E5"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Сверх указанного плана обязать ГУАП построить эталон ТБ4 для серийного производства. Алкснису и Баранову установить технические требования для этого самолета и срок предъявления его на гос. испытания.</w:t>
      </w:r>
    </w:p>
    <w:p w14:paraId="37CD7EB2"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Возложить персональную ответственность за выполнение утвержденного плана опытного строительства в обусловленные сроки на начальника ГУАП Баранова, а по мотору Н5 – на начальника техотдела ЭКУ ОГПУ Горянова.</w:t>
      </w:r>
    </w:p>
    <w:p w14:paraId="618238B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Обязать ГУАП под личную ответственность Баранова форсировать изготовление и испытание невыключающегося нагнетателя для мотора М-34 в ЦИАМе и немедленно приступить к подготовке серийного производства нагнетателей и редукторов к этому мотору с таким расчетом, чтобы с 1 октября 1933 года выпускать мотор М34 с редуктором, а с 1 января 1934 года с нагнетателем в качестве, потребном НКВМ.</w:t>
      </w:r>
    </w:p>
    <w:p w14:paraId="5BC6E4AD"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В целях своевременной постройки опытных образцов самолетов под мотор «Райт-Циклон» и мотор «Кертисс» типа - 1800 и внедрения этих типов в серийное производство ко времени выпуска на советских заводах моторов «Райт-Циклон» и «Кертисс» по лицензии, закупить немедленно 30 моторов «Райт-Циклон» и 20 моторов «Кертисс». –1800 с необходимым количеством запчастей и инструментов.</w:t>
      </w:r>
    </w:p>
    <w:p w14:paraId="783FA805"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Реализацию покупки моторов возложить на НКТП с отпуском для этой цели необходимых средств в инвалюте из резервного фонда Совнаркома.</w:t>
      </w:r>
    </w:p>
    <w:p w14:paraId="3D1DCC97"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Начальнику ГУАП Баранову принять все меры к использованию техпомощи фирмы «Райт-Кертисс» и по подготовке производства моторов «Райт-Циклон» и «Кертисс» -1800 в обусловленные договором сроки.</w:t>
      </w:r>
    </w:p>
    <w:p w14:paraId="3B3E919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ходе реализации договора на техпомощь на моторы «Райт-Циклон» и «Кертисс» , хода подготовки производства указанных моторов на советских заводах и заключении договора на поставку 50 моторов (30 моторов «Райт-Циклон» и 20 «Кертисс») и о реализации этого договора Баранову и Алкснису ежеквартально докладывать НКТП Орджоникидзе и НКВМ Ворошилову.</w:t>
      </w:r>
    </w:p>
    <w:p w14:paraId="6A64852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Предложить Баранову ознакомиться с работами группы Проскура-Майзель в Харьковском институте Промэнергетики на предмет ее выделения в самостоятельное научно-исследовательское и опытное бюро по конструированию и постройке нагнетателей для авиамоторов.</w:t>
      </w:r>
    </w:p>
    <w:p w14:paraId="2D54281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Свои конкретные предложения, согласованные с начальником ВВС, доложить КО в месячный срок.</w:t>
      </w:r>
    </w:p>
    <w:p w14:paraId="1091EF4B"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В целях ………………………….. обязать НКАП под персональную ответственность Баранова организовать на одном из незамерзающих морей мощное КБ по созданию новых типов самолетов.</w:t>
      </w:r>
    </w:p>
    <w:p w14:paraId="4995BEED"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Баранову, Алкснису и Орлову в двухмесячный срок ………….. по этому вопросу в КО конкретные, согласованные предложения.</w:t>
      </w:r>
    </w:p>
    <w:p w14:paraId="10CA6A29"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Впредь до перевода КБ по опытному гидросамолетостроению на одно из незамерзающих морей обязать Баранова, выделить внутри ЦАГИ и 39 завода всех конструкторов по гидросамолетостроению в самостоятельные конструкторские бюро, с непосредственным подчинением главных конструкторов начальнику ЦАГИ и директору завода № 39 по принадлежности.</w:t>
      </w:r>
    </w:p>
    <w:p w14:paraId="4057552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11. Начальнику ГУАП принять все меры к окончанию организации и усилению конструкторских бюро на серийных заводах для усовершенствования и модернизации самолетов и моторов.</w:t>
      </w:r>
    </w:p>
    <w:p w14:paraId="7169893C"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11-а. Обязать начальника ГУАП Баранова образовать специальное КБ с придачей ему 25-го авиазавода во главе с директором Фрадкиным, главным артиллерийским инженером Курчевским и главным авиаинженером Григоровичем. Откомандировать в состав этого КБ Петрова (ОГПУ), Агокаса (ГУАП) и Козлова (ВВА по совместительству). Задачей КБ поставить постройку мощного артиллерийского самолета.</w:t>
      </w:r>
    </w:p>
    <w:p w14:paraId="78C2B01D"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Возложить на начальника ГУАП Баранова подготовку производства в 1934 году стандартного типа ТБ3 и АНТ-14 ………….. бомбардировщика и тяжелого штурмовика, приспособленных для почтовой и пассажирской эксплоатации ГВФ.</w:t>
      </w:r>
    </w:p>
    <w:p w14:paraId="5FEB495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Обязать начальника ГУАП Баранова внедрить в серийное производство скоростной пассажирский самолет ХАИ с 1 января 1934 года ……………………….</w:t>
      </w:r>
    </w:p>
    <w:p w14:paraId="60694B5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Обязать ГУАП обеспечить предъявление на гос. испытание окончательного образца турели под пулемет «ШКАС» к 25 августа 1933 года; самолетной установки для крупнокалиберного пулемета «ШВАК» к 15 октября 1933 года; установки для 20 мм автоматической пушки – 1 октября 1933 года; установки для 37 мм автоматической пушки к 1 января 1934 года и в течение 1933 года закончить разработку бомбовых блоков со свободной подвеской бомб, оборудуя впредь все новые самолеты этими типами балок.</w:t>
      </w:r>
    </w:p>
    <w:p w14:paraId="427D6144"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Обязать начальника ГУГВФ Гольцмана, самовольно прекратившего работу по плану опытного строительства ВВС, утвержденного КО от 4 июля 1932 года, в части, касающейся ГУГВФ в декадный срок представить новые сроки предъявления этих опытных самолетов на гос. испытание, согласованные с начальником ВВС.</w:t>
      </w:r>
    </w:p>
    <w:p w14:paraId="5F093AC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(председатель КО Молотов-Скрябин) (4223, 9-12).</w:t>
      </w:r>
    </w:p>
    <w:p w14:paraId="0021C728" w14:textId="77777777" w:rsidR="0092497E" w:rsidRPr="00C33834" w:rsidRDefault="0092497E" w:rsidP="00C33834">
      <w:pPr>
        <w:spacing w:after="0" w:line="240" w:lineRule="auto"/>
        <w:jc w:val="both"/>
        <w:rPr>
          <w:rFonts w:ascii="Times New Roman" w:hAnsi="Times New Roman"/>
          <w:color w:val="000000" w:themeColor="text1"/>
          <w:sz w:val="16"/>
          <w:szCs w:val="16"/>
        </w:rPr>
      </w:pPr>
    </w:p>
    <w:p w14:paraId="2AE20699" w14:textId="77777777" w:rsidR="0092497E" w:rsidRPr="00C33834" w:rsidRDefault="0092497E"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августа 1933 года была достигнута наибольшая зарегистрированная про</w:t>
      </w:r>
      <w:r w:rsidRPr="00C33834">
        <w:rPr>
          <w:rFonts w:ascii="Times New Roman" w:hAnsi="Times New Roman"/>
          <w:color w:val="000000" w:themeColor="text1"/>
          <w:sz w:val="16"/>
          <w:szCs w:val="16"/>
        </w:rPr>
        <w:softHyphen/>
        <w:t>должительность полета — 14 минут. А.М. Черемухин вспоминал позже: «Если мы мало думали об установле</w:t>
      </w:r>
      <w:r w:rsidRPr="00C33834">
        <w:rPr>
          <w:rFonts w:ascii="Times New Roman" w:hAnsi="Times New Roman"/>
          <w:color w:val="000000" w:themeColor="text1"/>
          <w:sz w:val="16"/>
          <w:szCs w:val="16"/>
        </w:rPr>
        <w:softHyphen/>
        <w:t>нии рекордов, то расширение преде</w:t>
      </w:r>
      <w:r w:rsidRPr="00C33834">
        <w:rPr>
          <w:rFonts w:ascii="Times New Roman" w:hAnsi="Times New Roman"/>
          <w:color w:val="000000" w:themeColor="text1"/>
          <w:sz w:val="16"/>
          <w:szCs w:val="16"/>
        </w:rPr>
        <w:softHyphen/>
        <w:t>лов полученных летных данных, таких, как высота, скорость, особенности подъема, спуска, посадки, все время имело место при наших летных испы</w:t>
      </w:r>
      <w:r w:rsidRPr="00C33834">
        <w:rPr>
          <w:rFonts w:ascii="Times New Roman" w:hAnsi="Times New Roman"/>
          <w:color w:val="000000" w:themeColor="text1"/>
          <w:sz w:val="16"/>
          <w:szCs w:val="16"/>
        </w:rPr>
        <w:softHyphen/>
        <w:t>таниях». В 1933 году за создание пер</w:t>
      </w:r>
      <w:r w:rsidRPr="00C33834">
        <w:rPr>
          <w:rFonts w:ascii="Times New Roman" w:hAnsi="Times New Roman"/>
          <w:color w:val="000000" w:themeColor="text1"/>
          <w:sz w:val="16"/>
          <w:szCs w:val="16"/>
        </w:rPr>
        <w:softHyphen/>
        <w:t>вого советского геликоптера и в связи с 15-летием ЦАГИ А.М. Черемухин и А.М. Изаксон были награждены орде</w:t>
      </w:r>
      <w:r w:rsidRPr="00C33834">
        <w:rPr>
          <w:rFonts w:ascii="Times New Roman" w:hAnsi="Times New Roman"/>
          <w:color w:val="000000" w:themeColor="text1"/>
          <w:sz w:val="16"/>
          <w:szCs w:val="16"/>
        </w:rPr>
        <w:softHyphen/>
        <w:t>нами Красной Звезды. При летных испытаниях вертолета ЦАГИ 1-ЭА были получены результа</w:t>
      </w:r>
      <w:r w:rsidRPr="00C33834">
        <w:rPr>
          <w:rFonts w:ascii="Times New Roman" w:hAnsi="Times New Roman"/>
          <w:color w:val="000000" w:themeColor="text1"/>
          <w:sz w:val="16"/>
          <w:szCs w:val="16"/>
        </w:rPr>
        <w:softHyphen/>
        <w:t>ты, которых до тех пор не добивались авиаконструкторы не только в нашей стране, но и в мире. Перед летчика</w:t>
      </w:r>
      <w:r w:rsidRPr="00C33834">
        <w:rPr>
          <w:rFonts w:ascii="Times New Roman" w:hAnsi="Times New Roman"/>
          <w:color w:val="000000" w:themeColor="text1"/>
          <w:sz w:val="16"/>
          <w:szCs w:val="16"/>
        </w:rPr>
        <w:softHyphen/>
        <w:t>ми-испытателями вертолета ставилась цель выполнить как можно больше по</w:t>
      </w:r>
      <w:r w:rsidRPr="00C33834">
        <w:rPr>
          <w:rFonts w:ascii="Times New Roman" w:hAnsi="Times New Roman"/>
          <w:color w:val="000000" w:themeColor="text1"/>
          <w:sz w:val="16"/>
          <w:szCs w:val="16"/>
        </w:rPr>
        <w:softHyphen/>
        <w:t>летов, и из-за экономии ресурса дви</w:t>
      </w:r>
      <w:r w:rsidRPr="00C33834">
        <w:rPr>
          <w:rFonts w:ascii="Times New Roman" w:hAnsi="Times New Roman"/>
          <w:color w:val="000000" w:themeColor="text1"/>
          <w:sz w:val="16"/>
          <w:szCs w:val="16"/>
        </w:rPr>
        <w:softHyphen/>
        <w:t>гателей их продолжительность по вре</w:t>
      </w:r>
      <w:r w:rsidRPr="00C33834">
        <w:rPr>
          <w:rFonts w:ascii="Times New Roman" w:hAnsi="Times New Roman"/>
          <w:color w:val="000000" w:themeColor="text1"/>
          <w:sz w:val="16"/>
          <w:szCs w:val="16"/>
        </w:rPr>
        <w:softHyphen/>
        <w:t>мени была ограничена. Только поэтому достигнутая продолжительность по</w:t>
      </w:r>
      <w:r w:rsidRPr="00C33834">
        <w:rPr>
          <w:rFonts w:ascii="Times New Roman" w:hAnsi="Times New Roman"/>
          <w:color w:val="000000" w:themeColor="text1"/>
          <w:sz w:val="16"/>
          <w:szCs w:val="16"/>
        </w:rPr>
        <w:softHyphen/>
        <w:t>лета 12,5 и 14 мин лишь ненамного превосходила официальный мировой рекорд 8 мин 45 с. Однако зарегистри</w:t>
      </w:r>
      <w:r w:rsidRPr="00C33834">
        <w:rPr>
          <w:rFonts w:ascii="Times New Roman" w:hAnsi="Times New Roman"/>
          <w:color w:val="000000" w:themeColor="text1"/>
          <w:sz w:val="16"/>
          <w:szCs w:val="16"/>
        </w:rPr>
        <w:softHyphen/>
        <w:t>рованная высота полета в 34 (!) раза превосходила мировой рекорд высо</w:t>
      </w:r>
      <w:r w:rsidRPr="00C33834">
        <w:rPr>
          <w:rFonts w:ascii="Times New Roman" w:hAnsi="Times New Roman"/>
          <w:color w:val="000000" w:themeColor="text1"/>
          <w:sz w:val="16"/>
          <w:szCs w:val="16"/>
        </w:rPr>
        <w:softHyphen/>
        <w:t>ты, установленный на вертолете д'Асканио: 605 м против 18 м. Факт, ярко свидетельствующий о достижениях оте</w:t>
      </w:r>
      <w:r w:rsidRPr="00C33834">
        <w:rPr>
          <w:rFonts w:ascii="Times New Roman" w:hAnsi="Times New Roman"/>
          <w:color w:val="000000" w:themeColor="text1"/>
          <w:sz w:val="16"/>
          <w:szCs w:val="16"/>
        </w:rPr>
        <w:softHyphen/>
        <w:t xml:space="preserve">чественных ученых </w:t>
      </w:r>
      <w:r w:rsidRPr="00C33834">
        <w:rPr>
          <w:rFonts w:ascii="Times New Roman" w:hAnsi="Times New Roman"/>
          <w:iCs/>
          <w:color w:val="000000" w:themeColor="text1"/>
          <w:sz w:val="16"/>
          <w:szCs w:val="16"/>
        </w:rPr>
        <w:t xml:space="preserve">в </w:t>
      </w:r>
      <w:r w:rsidRPr="00C33834">
        <w:rPr>
          <w:rFonts w:ascii="Times New Roman" w:hAnsi="Times New Roman"/>
          <w:color w:val="000000" w:themeColor="text1"/>
          <w:sz w:val="16"/>
          <w:szCs w:val="16"/>
        </w:rPr>
        <w:t>развитии теории несущих винтов и в их практической разработке (11401).</w:t>
      </w:r>
    </w:p>
    <w:p w14:paraId="3C23F6D9" w14:textId="77777777" w:rsidR="0092497E" w:rsidRPr="00C33834" w:rsidRDefault="0092497E" w:rsidP="00C33834">
      <w:pPr>
        <w:shd w:val="clear" w:color="auto" w:fill="FFFFFF"/>
        <w:spacing w:after="0" w:line="240" w:lineRule="auto"/>
        <w:jc w:val="both"/>
        <w:rPr>
          <w:rFonts w:ascii="Times New Roman" w:hAnsi="Times New Roman"/>
          <w:color w:val="000000" w:themeColor="text1"/>
          <w:sz w:val="16"/>
          <w:szCs w:val="16"/>
        </w:rPr>
      </w:pPr>
    </w:p>
    <w:p w14:paraId="4AC1ADD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августа 1933 года в своем расширенном заседании ЦС ВОИЗ взял на себя обязательство: проектирование, постройку и отпуск кредитов на специальный транспортный самолет ТС-1 Можаева (4213).</w:t>
      </w:r>
    </w:p>
    <w:p w14:paraId="0336BDC4" w14:textId="77777777" w:rsidR="0092497E" w:rsidRPr="00C33834" w:rsidRDefault="0092497E" w:rsidP="00C33834">
      <w:pPr>
        <w:spacing w:after="0" w:line="240" w:lineRule="auto"/>
        <w:jc w:val="both"/>
        <w:rPr>
          <w:rFonts w:ascii="Times New Roman" w:hAnsi="Times New Roman"/>
          <w:color w:val="000000" w:themeColor="text1"/>
          <w:sz w:val="16"/>
          <w:szCs w:val="16"/>
        </w:rPr>
      </w:pPr>
    </w:p>
    <w:p w14:paraId="661AC591" w14:textId="77777777" w:rsidR="00A92F35" w:rsidRPr="00C33834" w:rsidRDefault="00A92F3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августа 1933 г. Протокол ПБ № 143 п.81/67: О конструкторско-производственной деятельности ВИРДЖИЛИ. Решено: 1. Передать конструкторское бюро и все предприятия ВИРДЖИЛИ из ведения НКВМ в систему Главного управления авиационной промышленности НКТП СССР. 2. Сохранить в системе ГУАП НКТП Бюро ВИРДЖИЛИ, как конструкторско-производственную организацию, оставив в его составе все работающие и находящиеся в строительстве предприятия авиационного назначения. 3. Эксплуатировавшийся Бюро ВИРДЖИЛИ, по договоренности с НКЛесом, Юрюзанский леспромхоз в месячный срок передать в ведение «Востокстали», освободив ВИРДЖИЛИ от обязательств по поставкам топлива и стройматериалов заводам «Востокстали» и другим организациям. Обязать Востоксталь в декадный срок ликвидировать всю задолженность по зарплате и задолженность хозяйственным организациям по Юрюзанскому леспромхозу. 4. Обязать начальника Глававиапрома: а) установить план работ на предприятиях ВИРДЖИЛИ на 1933 год; б) в декадный срок ликвидировать всю задолженность по зарплате на Уральском строительстве и задолженность хозяйственным организациям; в) закрепить за ВИРДЖИЛИ получаемый до настоящего времени персональный оклад в 1500 рублей в советских знаках и 300 рублей в иностранной валюте; г) разрешить ВИРДЖИЛИ отправить свою семью в Италию; д) разрешить ВИРДЖИЛИ ежегодный отпуск в течение двух месяцев проводить в Италии. 5. Ассигновать НКТП из резервного фонда СНК СССР 2,8 млн рублей, из них 2,5 млн рублей на покрытие задолженности по зарплате на Уральском строительстве и на лесных разработках и задолженности хозяйственным организациям и 300 тысяч рублей для обеспечения конструкторской работы Бюро ВИРДЖИЛИ в 1933 г. (15880).</w:t>
      </w:r>
    </w:p>
    <w:p w14:paraId="2C1A42D1" w14:textId="77777777" w:rsidR="00A92F35" w:rsidRPr="00C33834" w:rsidRDefault="00A92F35" w:rsidP="00C33834">
      <w:pPr>
        <w:spacing w:after="0" w:line="240" w:lineRule="auto"/>
        <w:jc w:val="both"/>
        <w:rPr>
          <w:rFonts w:ascii="Times New Roman" w:hAnsi="Times New Roman"/>
          <w:iCs/>
          <w:color w:val="000000" w:themeColor="text1"/>
          <w:sz w:val="16"/>
          <w:szCs w:val="16"/>
        </w:rPr>
      </w:pPr>
    </w:p>
    <w:p w14:paraId="06820F11" w14:textId="77777777" w:rsidR="00A92F35" w:rsidRPr="00C33834" w:rsidRDefault="00A92F3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15 августа в 1933 году на самолете </w:t>
      </w:r>
      <w:hyperlink r:id="rId293" w:tgtFrame="_blank" w:history="1">
        <w:r w:rsidRPr="00C33834">
          <w:rPr>
            <w:rFonts w:ascii="Times New Roman" w:hAnsi="Times New Roman"/>
            <w:color w:val="000000" w:themeColor="text1"/>
            <w:sz w:val="16"/>
            <w:szCs w:val="16"/>
          </w:rPr>
          <w:t xml:space="preserve">«СССР-В2» </w:t>
        </w:r>
      </w:hyperlink>
      <w:r w:rsidRPr="00C33834">
        <w:rPr>
          <w:rFonts w:ascii="Times New Roman" w:hAnsi="Times New Roman"/>
          <w:color w:val="000000" w:themeColor="text1"/>
          <w:sz w:val="16"/>
          <w:szCs w:val="16"/>
        </w:rPr>
        <w:t>совершен перелет по маршруту Москва - Ленинград продолжительностью 7 ч 30 м. 15-18 августа 1933 г. на СССР-В3 выполнили агитационный перелет Москва - Курск - Харьков - Славянск - Москва;</w:t>
      </w:r>
    </w:p>
    <w:p w14:paraId="4688A910" w14:textId="77777777" w:rsidR="00A92F35" w:rsidRPr="00C33834" w:rsidRDefault="00A92F35" w:rsidP="00C33834">
      <w:pPr>
        <w:spacing w:after="0" w:line="240" w:lineRule="auto"/>
        <w:jc w:val="both"/>
        <w:rPr>
          <w:rFonts w:ascii="Times New Roman" w:hAnsi="Times New Roman"/>
          <w:color w:val="000000" w:themeColor="text1"/>
          <w:sz w:val="16"/>
          <w:szCs w:val="16"/>
        </w:rPr>
      </w:pPr>
    </w:p>
    <w:p w14:paraId="03CA92E6" w14:textId="77777777" w:rsidR="00A92F35" w:rsidRPr="00C33834" w:rsidRDefault="00A92F3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августа 1933 г. Протокол ПБ № 143 п.148/134: О проведении дня советского воздушного флота 18-8-1933. Принято считать необходимым день воздушного флота, совпадающий с 15-летием существования Красного воздушного флота и 10-летием Осоавиахима, отметить следующими мероприятиями: 1. Провести на фабриках и заводах общие собрания рабочих и работниц. 2. Организовать экскурсии в летные школы и на аэродромы; провести совместно вечера рабочих с летным и техническим составом, проверить качество работы по шефству над воздушным флотом. 3. В период подготовки и в день авиации 18-8-1933 организовать самопроверку социалистического соревнования и ударничества рабочих заводов самолетов и моторостроения, а также смежных производств за полное выполнение промфинплана, за тщательную обработку деталей, за высокое качество продукции. 4. Сосредоточить внимание и усилия летного и технического состава военной и гражданской авиации на установлении железной дисциплины, на повышении качества учебы, на борьбе за безаварийность полетов, на овладении техникой и на выполнении планов летной работы и боевой подготовки. 5. Широко развернуть работу по организации кружков планеризма, моделизма, парашютизма, по созданию аэродромов, аэроклубов и посадочных площадок, особенно в совхозах и МТС. 6. Проведение дня воздушного флота на селе должно еще больше сплотить колхозников, рабочих МТС и совхозов на высокое качество уборки урожая и своевременное выполнение поставки хлеба государству, и ни в коем случае не отрывать колхозы, совхозы и МТС от их прямой боевой задачи (15909).</w:t>
      </w:r>
    </w:p>
    <w:p w14:paraId="0D722AFE" w14:textId="77777777" w:rsidR="00A92F35" w:rsidRPr="00C33834" w:rsidRDefault="00A92F35" w:rsidP="00C33834">
      <w:pPr>
        <w:spacing w:after="0" w:line="240" w:lineRule="auto"/>
        <w:jc w:val="both"/>
        <w:rPr>
          <w:rFonts w:ascii="Times New Roman" w:hAnsi="Times New Roman"/>
          <w:color w:val="000000" w:themeColor="text1"/>
          <w:sz w:val="16"/>
          <w:szCs w:val="16"/>
        </w:rPr>
      </w:pPr>
    </w:p>
    <w:p w14:paraId="6FE816E8" w14:textId="77777777" w:rsidR="00A92F35" w:rsidRPr="00C33834" w:rsidRDefault="00A92F3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августа 1933 г. Протокол ПБ № 143 п.169/155: Вопросы К[омиссии] О[бороны] – ОП. Решено утвердить следующие постановления КО: 1. Об ассигновании из резервного фонда СНК СССР на капитальное строительство по заводу № 22 в 1933 году 4 млн рублей и на строительство мастерских и гидробазы в Севастополе – 1 млн рублей. 2. О дополнительном ассигновании из резервного фонда СНК 2,5 млн рублей на капитальное строительство по авиазаводу № 125. 3. О разрешении НКТП СССР посылки в 1933 – 1934 годах в заграничную командировку на заводы гидросамолетостроения Англии и США 15 инженеров и техников самолетостроительных заводов и опытных организаций. 4. О дополнительном отпуске НКТП 750 тысяч рублей валюты на закупку 50 моторов «Циклон» с инструментом и запчастями. 5. О закупке 20 – 30 моторов «Испано-Сьюиза» типа «12-V» NBRS и о посылке во Францию комиссии под председательством Марьямова для переговоров с фирмой «Испано-Сьюиза» о бесплатной техпомощи по организации производства моторов этого типа в СССР. 6. Об отпуске ОГПУ из резервного фонда СНК СССР 5810 тысяч рублей на мероприятия по переброске авиаэскадрилий на Камчатку (15910).</w:t>
      </w:r>
    </w:p>
    <w:p w14:paraId="35C3AACF" w14:textId="77777777" w:rsidR="00A92F35" w:rsidRPr="00C33834" w:rsidRDefault="00A92F35" w:rsidP="00C33834">
      <w:pPr>
        <w:spacing w:after="0" w:line="240" w:lineRule="auto"/>
        <w:jc w:val="both"/>
        <w:rPr>
          <w:rFonts w:ascii="Times New Roman" w:hAnsi="Times New Roman"/>
          <w:color w:val="000000" w:themeColor="text1"/>
          <w:sz w:val="16"/>
          <w:szCs w:val="16"/>
        </w:rPr>
      </w:pPr>
    </w:p>
    <w:p w14:paraId="2E7C89A9" w14:textId="77777777" w:rsidR="00217870" w:rsidRPr="00C33834" w:rsidRDefault="0021787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августа 1933 л Н.Н.Стародумов с механиком Михайленко на У-2 и буксируемый Н.С.Юдин на Г-9 прилетели из Оренбурга в Коктебель на планерные состязания, покрыв 3550 км за 38:56 (438,651).</w:t>
      </w:r>
    </w:p>
    <w:p w14:paraId="7AB9F6A7" w14:textId="77777777" w:rsidR="00217870" w:rsidRPr="00C33834" w:rsidRDefault="00217870" w:rsidP="00C33834">
      <w:pPr>
        <w:spacing w:after="0" w:line="240" w:lineRule="auto"/>
        <w:jc w:val="both"/>
        <w:rPr>
          <w:rFonts w:ascii="Times New Roman" w:hAnsi="Times New Roman"/>
          <w:color w:val="000000" w:themeColor="text1"/>
          <w:sz w:val="16"/>
          <w:szCs w:val="16"/>
        </w:rPr>
      </w:pPr>
    </w:p>
    <w:p w14:paraId="4B3851D7" w14:textId="77777777" w:rsidR="00217870" w:rsidRPr="00C33834" w:rsidRDefault="0021787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августа 1933 на СССР-В2 совершили перелет Москва-Ленинград за 7 ч 30 м (271,134).</w:t>
      </w:r>
    </w:p>
    <w:p w14:paraId="4AA8719B" w14:textId="77777777" w:rsidR="00217870" w:rsidRPr="00C33834" w:rsidRDefault="00217870" w:rsidP="00C33834">
      <w:pPr>
        <w:spacing w:after="0" w:line="240" w:lineRule="auto"/>
        <w:jc w:val="both"/>
        <w:rPr>
          <w:rFonts w:ascii="Times New Roman" w:hAnsi="Times New Roman"/>
          <w:color w:val="000000" w:themeColor="text1"/>
          <w:sz w:val="16"/>
          <w:szCs w:val="16"/>
        </w:rPr>
      </w:pPr>
    </w:p>
    <w:p w14:paraId="3B1B329B" w14:textId="77777777" w:rsidR="00217870" w:rsidRPr="00C33834" w:rsidRDefault="0021787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15-18 августа 1933 на СССР-В3 "КЗ" эскадрильи им. М.Г. выполнили агитационный под управлением И.И.Мейснера выполнил перелет Москва-Курск-Харьков-Славянск-Москва с агитационными установками (271,134).</w:t>
      </w:r>
    </w:p>
    <w:p w14:paraId="1D714259" w14:textId="77777777" w:rsidR="00217870" w:rsidRPr="00C33834" w:rsidRDefault="00217870" w:rsidP="00C33834">
      <w:pPr>
        <w:spacing w:after="0" w:line="240" w:lineRule="auto"/>
        <w:jc w:val="both"/>
        <w:rPr>
          <w:rFonts w:ascii="Times New Roman" w:hAnsi="Times New Roman"/>
          <w:color w:val="000000" w:themeColor="text1"/>
          <w:sz w:val="16"/>
          <w:szCs w:val="16"/>
        </w:rPr>
      </w:pPr>
    </w:p>
    <w:p w14:paraId="1D0B023D" w14:textId="77777777" w:rsidR="000244D4" w:rsidRPr="00C33834" w:rsidRDefault="000244D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августа 1933</w:t>
      </w:r>
    </w:p>
    <w:p w14:paraId="4A619096" w14:textId="77777777" w:rsidR="000244D4" w:rsidRPr="00C33834" w:rsidRDefault="000244D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Протокол № 143 заседания Политбюро ЦК ВКП(б) от 15 августа 1933 года</w:t>
      </w:r>
    </w:p>
    <w:p w14:paraId="1BF4ADB3" w14:textId="77777777" w:rsidR="000244D4" w:rsidRPr="00C33834" w:rsidRDefault="000244D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Заседание Политбюро ЦК ВКП(б) от 15</w:t>
      </w:r>
      <w:r w:rsidRPr="00C33834">
        <w:rPr>
          <w:rFonts w:ascii="Times New Roman" w:hAnsi="Times New Roman"/>
          <w:color w:val="000000" w:themeColor="text1"/>
          <w:sz w:val="16"/>
          <w:szCs w:val="16"/>
        </w:rPr>
        <w:noBreakHyphen/>
        <w:t>го августа 1933 года.</w:t>
      </w:r>
    </w:p>
    <w:p w14:paraId="14B87263" w14:textId="77777777" w:rsidR="000244D4" w:rsidRPr="00C33834" w:rsidRDefault="000244D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169/155: Вопросы Комиссии Обороны</w:t>
      </w:r>
    </w:p>
    <w:p w14:paraId="030908F3" w14:textId="77777777" w:rsidR="000244D4" w:rsidRPr="00C33834" w:rsidRDefault="000244D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 особая папка.</w:t>
      </w:r>
    </w:p>
    <w:p w14:paraId="0CA9029C" w14:textId="77777777" w:rsidR="000244D4" w:rsidRPr="00C33834" w:rsidRDefault="000244D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Утвердить следующие постановления Комиссии Обороны:</w:t>
      </w:r>
    </w:p>
    <w:p w14:paraId="4AD5D438" w14:textId="77777777" w:rsidR="000244D4" w:rsidRPr="00C33834" w:rsidRDefault="000244D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Об ассигновании из резервного фонда СНК СССР на капитальное строительство по заводу № 22 в 1933 г. 1 млн. руб. и на строительство мастерских и гидробазы в Севастополе — 1 млн. руб.</w:t>
      </w:r>
    </w:p>
    <w:p w14:paraId="083B4600" w14:textId="77777777" w:rsidR="000244D4" w:rsidRPr="00C33834" w:rsidRDefault="000244D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 дополнительном ассигновании из резервного фонда СНК 2,0 млн. руб. на капитальное строительство по авиазаводу № 125.</w:t>
      </w:r>
    </w:p>
    <w:p w14:paraId="64F91423" w14:textId="77777777" w:rsidR="000244D4" w:rsidRPr="00C33834" w:rsidRDefault="000244D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 разрешении НКТяжпрому посылки в 193З</w:t>
      </w:r>
      <w:r w:rsidRPr="00C33834">
        <w:rPr>
          <w:rFonts w:ascii="Times New Roman" w:hAnsi="Times New Roman"/>
          <w:color w:val="000000" w:themeColor="text1"/>
          <w:sz w:val="16"/>
          <w:szCs w:val="16"/>
        </w:rPr>
        <w:noBreakHyphen/>
        <w:t>34 г.г. в заграничную командировку на заводы гидросамолетостроения Англии и С.Ш.А. 15 инженеров и техников самолетостроительных заводов и опытных организаций.</w:t>
      </w:r>
    </w:p>
    <w:p w14:paraId="42866E03" w14:textId="77777777" w:rsidR="000244D4" w:rsidRPr="00C33834" w:rsidRDefault="000244D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4. О дополнительном отпуске НКТяжпрому — 750.000 руб. валюты на закупку 50 моторов “Циклон” с инструментом и запчастями.</w:t>
      </w:r>
    </w:p>
    <w:p w14:paraId="3A374720" w14:textId="77777777" w:rsidR="000244D4" w:rsidRPr="00C33834" w:rsidRDefault="000244D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 закупке 20</w:t>
      </w:r>
      <w:r w:rsidRPr="00C33834">
        <w:rPr>
          <w:rFonts w:ascii="Times New Roman" w:hAnsi="Times New Roman"/>
          <w:color w:val="000000" w:themeColor="text1"/>
          <w:sz w:val="16"/>
          <w:szCs w:val="16"/>
        </w:rPr>
        <w:noBreakHyphen/>
        <w:t>30 моторов “Испано-Сьюиза” типа “12</w:t>
      </w:r>
      <w:r w:rsidRPr="00C33834">
        <w:rPr>
          <w:rFonts w:ascii="Times New Roman" w:hAnsi="Times New Roman"/>
          <w:color w:val="000000" w:themeColor="text1"/>
          <w:sz w:val="16"/>
          <w:szCs w:val="16"/>
        </w:rPr>
        <w:noBreakHyphen/>
        <w:t>У” NBRS и о посылке во Францию комиссии под председательством т. Марьямова для переговоров с фирмой “Испано-Сьюиза” о бесплатной техпомощи по организации производства моторов этого типа в СССР.</w:t>
      </w:r>
    </w:p>
    <w:p w14:paraId="75B06EE3" w14:textId="77777777" w:rsidR="000244D4" w:rsidRPr="00C33834" w:rsidRDefault="000244D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О6 отпуске ОГПУ из резервного фонда СНК СССР 5.810 тыс. руб. на мероприятия по переброске авиаэскадрилий на Камчатку.</w:t>
      </w:r>
    </w:p>
    <w:p w14:paraId="0C9AF99F" w14:textId="77777777" w:rsidR="000244D4" w:rsidRPr="00C33834" w:rsidRDefault="000244D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Выписки посланы:</w:t>
      </w:r>
    </w:p>
    <w:p w14:paraId="306705AE" w14:textId="77777777" w:rsidR="000244D4" w:rsidRPr="00C33834" w:rsidRDefault="000244D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Базилевичу — все;</w:t>
      </w:r>
    </w:p>
    <w:p w14:paraId="7B51B189" w14:textId="77777777" w:rsidR="000244D4" w:rsidRPr="00C33834" w:rsidRDefault="000244D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Орджоникидзе — п.п. 1-5;</w:t>
      </w:r>
    </w:p>
    <w:p w14:paraId="0814BFFF" w14:textId="77777777" w:rsidR="000244D4" w:rsidRPr="00C33834" w:rsidRDefault="000244D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Мирошникову — п.п. 1, 2, 6;</w:t>
      </w:r>
    </w:p>
    <w:p w14:paraId="1F164A6B" w14:textId="77777777" w:rsidR="000244D4" w:rsidRPr="00C33834" w:rsidRDefault="000244D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Артузову — п.п. 2, 5;</w:t>
      </w:r>
    </w:p>
    <w:p w14:paraId="3531A7DD" w14:textId="77777777" w:rsidR="000244D4" w:rsidRPr="00C33834" w:rsidRDefault="000244D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Розенгольцу — п.п. 3, 4, 5;</w:t>
      </w:r>
    </w:p>
    <w:p w14:paraId="4D019D94" w14:textId="77777777" w:rsidR="000244D4" w:rsidRPr="00C33834" w:rsidRDefault="000244D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Ягоде — п. 6.</w:t>
      </w:r>
    </w:p>
    <w:p w14:paraId="52071DDE" w14:textId="77777777" w:rsidR="000244D4" w:rsidRPr="00C33834" w:rsidRDefault="000244D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(18143).</w:t>
      </w:r>
    </w:p>
    <w:p w14:paraId="7611A516" w14:textId="77777777" w:rsidR="000244D4" w:rsidRPr="00C33834" w:rsidRDefault="000244D4" w:rsidP="00C33834">
      <w:pPr>
        <w:spacing w:after="0" w:line="240" w:lineRule="auto"/>
        <w:jc w:val="both"/>
        <w:rPr>
          <w:rFonts w:ascii="Times New Roman" w:hAnsi="Times New Roman"/>
          <w:color w:val="000000" w:themeColor="text1"/>
          <w:sz w:val="16"/>
          <w:szCs w:val="16"/>
        </w:rPr>
      </w:pPr>
    </w:p>
    <w:p w14:paraId="296B490E" w14:textId="77777777" w:rsidR="003C1030" w:rsidRPr="00C33834" w:rsidRDefault="003C103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августа 1933 г. после участия в манёврах Морских сил Балти</w:t>
      </w:r>
      <w:r w:rsidRPr="00C33834">
        <w:rPr>
          <w:rFonts w:ascii="Times New Roman" w:hAnsi="Times New Roman"/>
          <w:color w:val="0070C0"/>
          <w:sz w:val="16"/>
          <w:szCs w:val="16"/>
        </w:rPr>
        <w:softHyphen/>
        <w:t>кою моря в 20.49 «СССР В-2» вылетел из Ленинграда в Москву на празднова</w:t>
      </w:r>
      <w:r w:rsidRPr="00C33834">
        <w:rPr>
          <w:rFonts w:ascii="Times New Roman" w:hAnsi="Times New Roman"/>
          <w:color w:val="0070C0"/>
          <w:sz w:val="16"/>
          <w:szCs w:val="16"/>
        </w:rPr>
        <w:softHyphen/>
        <w:t>ние Дня воздушного флота. Ночной полёт по трассе, разработанной Аэрофлотом и оборудо</w:t>
      </w:r>
      <w:r w:rsidRPr="00C33834">
        <w:rPr>
          <w:rFonts w:ascii="Times New Roman" w:hAnsi="Times New Roman"/>
          <w:color w:val="0070C0"/>
          <w:sz w:val="16"/>
          <w:szCs w:val="16"/>
        </w:rPr>
        <w:softHyphen/>
        <w:t>ванной маяками, прошёл успешно (20120).</w:t>
      </w:r>
    </w:p>
    <w:p w14:paraId="13DE70A9" w14:textId="77777777" w:rsidR="003C1030" w:rsidRPr="00C33834" w:rsidRDefault="003C1030" w:rsidP="00C33834">
      <w:pPr>
        <w:spacing w:after="0" w:line="240" w:lineRule="auto"/>
        <w:jc w:val="both"/>
        <w:rPr>
          <w:rFonts w:ascii="Times New Roman" w:hAnsi="Times New Roman"/>
          <w:color w:val="0070C0"/>
          <w:sz w:val="16"/>
          <w:szCs w:val="16"/>
        </w:rPr>
      </w:pPr>
    </w:p>
    <w:p w14:paraId="5794C8D1" w14:textId="77777777" w:rsidR="003C1030" w:rsidRPr="00C33834" w:rsidRDefault="003C103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августа 1933 - Дирижабль «СССР В-2» "Смольный" совершил перелёт Москва – Ленинград за 7 час. 50 мин. (22398).</w:t>
      </w:r>
    </w:p>
    <w:p w14:paraId="01E8CBB7" w14:textId="77777777" w:rsidR="003C1030" w:rsidRPr="00C33834" w:rsidRDefault="003C1030" w:rsidP="00C33834">
      <w:pPr>
        <w:spacing w:after="0" w:line="240" w:lineRule="auto"/>
        <w:jc w:val="both"/>
        <w:rPr>
          <w:rFonts w:ascii="Times New Roman" w:hAnsi="Times New Roman"/>
          <w:color w:val="0070C0"/>
          <w:sz w:val="16"/>
          <w:szCs w:val="16"/>
        </w:rPr>
      </w:pPr>
    </w:p>
    <w:p w14:paraId="5704D6F1"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15-18 августа 1933 в 21.30 «СССР В-3» (командир — И.И. Мейснер) вылетел из Москвы в Харьков, в агитационный рейс с промежуточной останов</w:t>
      </w:r>
      <w:r w:rsidRPr="00C33834">
        <w:rPr>
          <w:rFonts w:ascii="Times New Roman" w:hAnsi="Times New Roman"/>
          <w:color w:val="0070C0"/>
          <w:sz w:val="16"/>
          <w:szCs w:val="16"/>
        </w:rPr>
        <w:softHyphen/>
        <w:t>кой в Курске. Полёт от Москвы до Курска прохо</w:t>
      </w:r>
      <w:r w:rsidRPr="00C33834">
        <w:rPr>
          <w:rFonts w:ascii="Times New Roman" w:hAnsi="Times New Roman"/>
          <w:color w:val="0070C0"/>
          <w:sz w:val="16"/>
          <w:szCs w:val="16"/>
        </w:rPr>
        <w:softHyphen/>
        <w:t>дил в хороших погодных условиях со скоростью 96-100 км/ч. Над Курском, куда дирижабль при</w:t>
      </w:r>
      <w:r w:rsidRPr="00C33834">
        <w:rPr>
          <w:rFonts w:ascii="Times New Roman" w:hAnsi="Times New Roman"/>
          <w:color w:val="0070C0"/>
          <w:sz w:val="16"/>
          <w:szCs w:val="16"/>
        </w:rPr>
        <w:softHyphen/>
        <w:t>был в 3.00, он пробыл в воздухе около 2,5 часов. Утром дирижабль радушно встретили делегация рабочих и представители партийных, професси</w:t>
      </w:r>
      <w:r w:rsidRPr="00C33834">
        <w:rPr>
          <w:rFonts w:ascii="Times New Roman" w:hAnsi="Times New Roman"/>
          <w:color w:val="0070C0"/>
          <w:sz w:val="16"/>
          <w:szCs w:val="16"/>
        </w:rPr>
        <w:softHyphen/>
        <w:t>ональных и общественных организаций. После пятичасового пребывания в городе «СССР В-3» в 12.45 вылетел в Харьков. Остальной участок пути, особенно на отрезке Белгород — Харьков, оказался более труден из-за неспокойного состо</w:t>
      </w:r>
      <w:r w:rsidRPr="00C33834">
        <w:rPr>
          <w:rFonts w:ascii="Times New Roman" w:hAnsi="Times New Roman"/>
          <w:color w:val="0070C0"/>
          <w:sz w:val="16"/>
          <w:szCs w:val="16"/>
        </w:rPr>
        <w:softHyphen/>
        <w:t>яния атмосферы и неблагоприятного ветра, так что скорость дирижабля снизилась до 73-75 км/ч (20120).</w:t>
      </w:r>
    </w:p>
    <w:p w14:paraId="6FB6C7D2" w14:textId="77777777" w:rsidR="0007105E" w:rsidRPr="00C33834" w:rsidRDefault="0007105E" w:rsidP="00C33834">
      <w:pPr>
        <w:spacing w:after="0" w:line="240" w:lineRule="auto"/>
        <w:jc w:val="both"/>
        <w:rPr>
          <w:rFonts w:ascii="Times New Roman" w:hAnsi="Times New Roman"/>
          <w:color w:val="0070C0"/>
          <w:sz w:val="16"/>
          <w:szCs w:val="16"/>
        </w:rPr>
      </w:pPr>
    </w:p>
    <w:p w14:paraId="1DF73C39" w14:textId="77777777" w:rsidR="0092497E"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0CE1AAB" w14:textId="77777777" w:rsidR="0092497E" w:rsidRPr="00C33834" w:rsidRDefault="0092497E" w:rsidP="00C33834">
      <w:pPr>
        <w:spacing w:after="0" w:line="240" w:lineRule="auto"/>
        <w:jc w:val="both"/>
        <w:rPr>
          <w:rFonts w:ascii="Times New Roman" w:hAnsi="Times New Roman"/>
          <w:iCs/>
          <w:color w:val="000000" w:themeColor="text1"/>
          <w:sz w:val="16"/>
          <w:szCs w:val="16"/>
        </w:rPr>
      </w:pPr>
    </w:p>
    <w:p w14:paraId="6DE1E24B"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августа 1933</w:t>
      </w:r>
    </w:p>
    <w:p w14:paraId="0DB33EBA"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Протокол № 143 заседания Политбюро ЦК ВКП(б) от 15 августа 1933 года</w:t>
      </w:r>
    </w:p>
    <w:p w14:paraId="307A1334"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Заседание Политбюро ЦК ВКП(б) от 15</w:t>
      </w:r>
      <w:r w:rsidRPr="00C33834">
        <w:rPr>
          <w:rFonts w:ascii="Times New Roman" w:hAnsi="Times New Roman"/>
          <w:color w:val="000000" w:themeColor="text1"/>
          <w:sz w:val="16"/>
          <w:szCs w:val="16"/>
        </w:rPr>
        <w:noBreakHyphen/>
        <w:t>го августа 1933 года.</w:t>
      </w:r>
    </w:p>
    <w:p w14:paraId="563F7D1E"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Опросом членов Политбюро от 9.VIII.1933 г.</w:t>
      </w:r>
    </w:p>
    <w:p w14:paraId="5CAFCFD3"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81/67: О конструкторско-производственной деятельности</w:t>
      </w:r>
    </w:p>
    <w:p w14:paraId="5FC4A904"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Передать Конструкторское Бюро и все предприятия ВИРДЖИЛИ из ведения НКВМ в систему Главного Управления Авиационной Промышленности Наркомтяжпрома СССР.</w:t>
      </w:r>
    </w:p>
    <w:p w14:paraId="1694F6B7"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Сохранить в системе ГУАП'а НКТП Бюро ВИРДЖИЛИ, как конструкторско-производственную организацию, оставив в его составе все работающие и находящиеся в строительстве предприятия авиационного значения.</w:t>
      </w:r>
    </w:p>
    <w:p w14:paraId="6BC99269"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 Эксплуатировавшийся Бюро ВИРДЖИЛИ, по договору с НКЛесом, Юрюзанский Леспромхоз в месячный срок передать в ведение “Востокостали”, освободив ВИРДЖИЛИ от обязательств по поставкам топлива и стройматериалов заводам “Востокостали” и другим организациям.</w:t>
      </w:r>
    </w:p>
    <w:p w14:paraId="2F02AE5F"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Востокосталь в декадный срок ликвидировать всю задолженность по зарплате и задолженность хозяйственным организациям по Юрюзанскому Леспромхозу.</w:t>
      </w:r>
    </w:p>
    <w:p w14:paraId="14E83F77"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Обязать Начальника Глававиапрома:</w:t>
      </w:r>
    </w:p>
    <w:p w14:paraId="2CD7809D"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установить план работ на предприятиях ВИРДЖИЛИ на 1933 год;</w:t>
      </w:r>
    </w:p>
    <w:p w14:paraId="626DCC58"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в декадный срок ликвидировать всю задолженность по зарплате на Уральском строительстве и задолженность хозяйственным организациям;</w:t>
      </w:r>
    </w:p>
    <w:p w14:paraId="2945267C"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закрепить за ВИРДЖИЛИ получаемый до настоящего времени персональный оклад в 1.500 рублей в советских знаках и 300 рублей в иностранной валюте;</w:t>
      </w:r>
    </w:p>
    <w:p w14:paraId="5CE226B5"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разрешить ВИРДЖИЛИ отправить свою семью в Италию:</w:t>
      </w:r>
    </w:p>
    <w:p w14:paraId="6AF3C86A"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разрешить ВИРДЖИЛИ ежегодный отпуск в течение 2</w:t>
      </w:r>
      <w:r w:rsidRPr="00C33834">
        <w:rPr>
          <w:rFonts w:ascii="Times New Roman" w:hAnsi="Times New Roman"/>
          <w:color w:val="000000" w:themeColor="text1"/>
          <w:sz w:val="16"/>
          <w:szCs w:val="16"/>
        </w:rPr>
        <w:noBreakHyphen/>
        <w:t>х месяцев проводить в Италии.</w:t>
      </w:r>
    </w:p>
    <w:p w14:paraId="255C8278"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Ассигновать НКТПрому из резервного фонда СНК СССР 2,8 млн. рублей, из них 2,5 млн. рублей на покрытие задолженности по зарплате на Уральском строительстве и лесных разработках и задолженности хозяйственным организациям и 300.000 рублей для обеспечения конструкторской работы Бюро ВИРДЖИЛИ в 1933 году.</w:t>
      </w:r>
    </w:p>
    <w:p w14:paraId="69060816"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Опросом членов Политбюро от 14.VIII.1933 г.</w:t>
      </w:r>
    </w:p>
    <w:p w14:paraId="277133AC"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148/134: О проведении дня советского воздушного флота 18 августа</w:t>
      </w:r>
    </w:p>
    <w:p w14:paraId="3CD814BE"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Считать необходимым день воздушного флота, совпадающий с 15</w:t>
      </w:r>
      <w:r w:rsidRPr="00C33834">
        <w:rPr>
          <w:rFonts w:ascii="Times New Roman" w:hAnsi="Times New Roman"/>
          <w:color w:val="000000" w:themeColor="text1"/>
          <w:sz w:val="16"/>
          <w:szCs w:val="16"/>
        </w:rPr>
        <w:noBreakHyphen/>
        <w:t>тилетием существования Красного воздушного флота и 10</w:t>
      </w:r>
      <w:r w:rsidRPr="00C33834">
        <w:rPr>
          <w:rFonts w:ascii="Times New Roman" w:hAnsi="Times New Roman"/>
          <w:color w:val="000000" w:themeColor="text1"/>
          <w:sz w:val="16"/>
          <w:szCs w:val="16"/>
        </w:rPr>
        <w:noBreakHyphen/>
        <w:t>тилетием Осоавиахима, отметить следующими мероприятиями:</w:t>
      </w:r>
    </w:p>
    <w:p w14:paraId="48A08CE6"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Провести на фабриках и заводах общие собрания рабочих и работниц.</w:t>
      </w:r>
    </w:p>
    <w:p w14:paraId="524A1F28"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Организовать экскурсии в летные школы и на аэродромы; провести совместно вечера рабочих с летным и техническим составом, проверить качество работы по шефству над воздушным флотом.</w:t>
      </w:r>
    </w:p>
    <w:p w14:paraId="009A25F0"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В период подготовки и в день авиации 18 августа организовать самопроверку социалистического соревнования и ударничества рабочих заводов самолетов и моторостроения, а также смежных производств за полное выполнение промфинплана, за тщательную обработку деталей, за высокое качество продукции.</w:t>
      </w:r>
    </w:p>
    <w:p w14:paraId="34AE2AF3"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Сосредоточить внимание и усилия летного и технического состава военной и гражданской авиации на установлении железной дисциплины, на повышении качества учебы, на большевистской борьбе за безаварийность полетов, на овладении техникой и на выполнении планов летной работы и боевой подготовки.</w:t>
      </w:r>
    </w:p>
    <w:p w14:paraId="18B2800D"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Широко развернуть работу по организации кружков планеризма, моделизма, парашютизма, по созданию аэродромов, аэроклубов и посадочных площадок, особенно в совхозах и МТС.</w:t>
      </w:r>
    </w:p>
    <w:p w14:paraId="12E7348D"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Проведение дня воздушного флота на селе должно еще больше сплотить колхозников, рабочих МТС и совхозов на высокое качество уборки урожая и своевременное выполнение поставки хлеба государству и ни в косм случае не отрывать колхозы, совхозы и МТС от их прямой боевой задачи.</w:t>
      </w:r>
    </w:p>
    <w:p w14:paraId="4AD7BB6F"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Опросом членов Политбюро от 15.VIII.1933 г.</w:t>
      </w:r>
    </w:p>
    <w:p w14:paraId="513E67FA"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169/155: Вопросы Комиссии Обороны</w:t>
      </w:r>
    </w:p>
    <w:p w14:paraId="6227D176"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 особая папка.</w:t>
      </w:r>
    </w:p>
    <w:p w14:paraId="2C9B8E6F"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Утвердить следующие постановления Комиссии Обороны:</w:t>
      </w:r>
    </w:p>
    <w:p w14:paraId="66B407BF"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Об ассигновании из резервного фонда СНК СССР на капитальное строительство по заводу № 22 в 1933 г. 1 млн. руб. и на строительство мастерских и гидробазы в Севастополе — 1 млн. руб.</w:t>
      </w:r>
    </w:p>
    <w:p w14:paraId="239A18E8"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 дополнительном ассигновании из резервного фонда СНК 2,0 млн. руб. на капитальное строительство по авиазаводу № 125.</w:t>
      </w:r>
    </w:p>
    <w:p w14:paraId="69BA530C"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 разрешении НКТяжпрому посылки в 193З</w:t>
      </w:r>
      <w:r w:rsidRPr="00C33834">
        <w:rPr>
          <w:rFonts w:ascii="Times New Roman" w:hAnsi="Times New Roman"/>
          <w:color w:val="000000" w:themeColor="text1"/>
          <w:sz w:val="16"/>
          <w:szCs w:val="16"/>
        </w:rPr>
        <w:noBreakHyphen/>
        <w:t>34 г.г. в заграничную командировку на заводы гидросамолетостроения Англии и С.Ш.А. 15 инженеров и техников самолетостроительных заводов и опытных организаций.</w:t>
      </w:r>
    </w:p>
    <w:p w14:paraId="2C10DA3D"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 дополнительном отпуске НКТяжпрому — 750.000 руб. валюты на закупку 50 моторов “Циклон” с инструментом и запчастями.</w:t>
      </w:r>
    </w:p>
    <w:p w14:paraId="1D9118B3"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 закупке 20</w:t>
      </w:r>
      <w:r w:rsidRPr="00C33834">
        <w:rPr>
          <w:rFonts w:ascii="Times New Roman" w:hAnsi="Times New Roman"/>
          <w:color w:val="000000" w:themeColor="text1"/>
          <w:sz w:val="16"/>
          <w:szCs w:val="16"/>
        </w:rPr>
        <w:noBreakHyphen/>
        <w:t>30 моторов “Испано-Сьюиза” типа “12</w:t>
      </w:r>
      <w:r w:rsidRPr="00C33834">
        <w:rPr>
          <w:rFonts w:ascii="Times New Roman" w:hAnsi="Times New Roman"/>
          <w:color w:val="000000" w:themeColor="text1"/>
          <w:sz w:val="16"/>
          <w:szCs w:val="16"/>
        </w:rPr>
        <w:noBreakHyphen/>
        <w:t>У” NBRS и о посылке во Францию комиссии под председательством т. Марьямова для переговоров с фирмой “Испано-Сьюиза” о бесплатной техпомощи по организации производства моторов этого типа в СССР.</w:t>
      </w:r>
    </w:p>
    <w:p w14:paraId="626D49E4"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О6 отпуске ОГПУ из резервного фонда СНК СССР 5.810 тыс. руб. на мероприятия по переброске авиаэскадрилий на Камчатку.</w:t>
      </w:r>
    </w:p>
    <w:p w14:paraId="15B898E1"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Выписки посланы:</w:t>
      </w:r>
    </w:p>
    <w:p w14:paraId="65CDBC8A"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Базилевичу — все;</w:t>
      </w:r>
    </w:p>
    <w:p w14:paraId="20C6DAF1"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Орджоникидзе — п.п. 1-5;</w:t>
      </w:r>
    </w:p>
    <w:p w14:paraId="07CA1D1B"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Мирошникову — п.п. 1, 2, 6;</w:t>
      </w:r>
    </w:p>
    <w:p w14:paraId="6FCB4835"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Артузову — п.п. 2, 5;</w:t>
      </w:r>
    </w:p>
    <w:p w14:paraId="649E0A52"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Розенгольцу — п.п. 3, 4, 5;</w:t>
      </w:r>
    </w:p>
    <w:p w14:paraId="1DFEC960" w14:textId="77777777" w:rsidR="00223C0C" w:rsidRPr="00C33834" w:rsidRDefault="00223C0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Ягоде — п. 6 (18068).</w:t>
      </w:r>
    </w:p>
    <w:p w14:paraId="52803CB1" w14:textId="77777777" w:rsidR="00223C0C" w:rsidRPr="00C33834" w:rsidRDefault="00223C0C" w:rsidP="00C33834">
      <w:pPr>
        <w:spacing w:after="0" w:line="240" w:lineRule="auto"/>
        <w:jc w:val="both"/>
        <w:rPr>
          <w:rFonts w:ascii="Times New Roman" w:hAnsi="Times New Roman"/>
          <w:color w:val="000000" w:themeColor="text1"/>
          <w:sz w:val="16"/>
          <w:szCs w:val="16"/>
        </w:rPr>
      </w:pPr>
    </w:p>
    <w:p w14:paraId="1CA543D2"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15 августа 1933 была закончена ликвидация объекта Томка, которая проходила с 26 июля. В безвозмездное владение ЦВХП перешли все строения и оборудование - примерно на 50-60 тыс. золотых руб. Часть имущества попала в НИХО. Немцы смогли вывезти только личное имущество и пушки - два вагона и 4 платформы. 29 августа и 11 сентября покинуло пределы России по жд и через Ленинградский порт (6221).</w:t>
      </w:r>
    </w:p>
    <w:p w14:paraId="0B2789E3"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p>
    <w:p w14:paraId="06E17E9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августа 1933 г. был последний день работы объекта "Томка". Работал с 1928 г. на территории ЦВХП Шиханы для проведения совместных германо-советских испытаний химического оружия (9067).</w:t>
      </w:r>
    </w:p>
    <w:p w14:paraId="13C23861" w14:textId="77777777" w:rsidR="0092497E" w:rsidRPr="00C33834" w:rsidRDefault="0092497E" w:rsidP="00C33834">
      <w:pPr>
        <w:spacing w:after="0" w:line="240" w:lineRule="auto"/>
        <w:jc w:val="both"/>
        <w:rPr>
          <w:rFonts w:ascii="Times New Roman" w:hAnsi="Times New Roman"/>
          <w:color w:val="000000" w:themeColor="text1"/>
          <w:sz w:val="16"/>
          <w:szCs w:val="16"/>
        </w:rPr>
      </w:pPr>
    </w:p>
    <w:p w14:paraId="1CF9ACB2" w14:textId="77777777" w:rsidR="00217870" w:rsidRPr="00C33834" w:rsidRDefault="0021787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августа 1933 г. Последний день существования советско-германского военно-химического объекта "Томка". Работал с 1928 г. на территории ЦВХП Шиханы (Саратовская область) для проведения совместных германо-советских испытаний химического оружия (4423).</w:t>
      </w:r>
    </w:p>
    <w:p w14:paraId="3162D8C5" w14:textId="77777777" w:rsidR="00217870" w:rsidRPr="00C33834" w:rsidRDefault="00217870" w:rsidP="00C33834">
      <w:pPr>
        <w:spacing w:after="0" w:line="240" w:lineRule="auto"/>
        <w:jc w:val="both"/>
        <w:rPr>
          <w:rFonts w:ascii="Times New Roman" w:hAnsi="Times New Roman"/>
          <w:color w:val="000000" w:themeColor="text1"/>
          <w:sz w:val="16"/>
          <w:szCs w:val="16"/>
        </w:rPr>
      </w:pPr>
    </w:p>
    <w:p w14:paraId="3822C892" w14:textId="77777777" w:rsidR="00A92F35" w:rsidRPr="00C33834" w:rsidRDefault="00A92F35"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bCs/>
          <w:iCs/>
          <w:color w:val="000000" w:themeColor="text1"/>
          <w:sz w:val="16"/>
          <w:szCs w:val="16"/>
        </w:rPr>
        <w:t>15 августа 1933 г.</w:t>
      </w:r>
      <w:r w:rsidRPr="00C33834">
        <w:rPr>
          <w:rFonts w:ascii="Times New Roman" w:hAnsi="Times New Roman"/>
          <w:color w:val="000000" w:themeColor="text1"/>
          <w:sz w:val="16"/>
          <w:szCs w:val="16"/>
        </w:rPr>
        <w:t xml:space="preserve"> Последний день существования советско-германского военно-химического объекта «Томка». Работал с 1928 г. на полигоне Шиханы (Саратовская область) для проведения совместных германо-советских испытаний химического оружия. Расстались с заклятыми друзьями без скандалов. Немцы увезли с собой немного: так и не понадобившееся артиллерийское орудие с запчастями (планировался отстрел новых химических снарядов) и легковой автомобиль. А оставили они много: автопарк (три грузовых и шесть легковых автомобилей, а также один тягач), а также стационарную станцию полигонного типа для налива ОВ и походную снаряжательную мастерскую. К 1933 году каждая сторона получила все, что хотела. Красная Армия получила от Германии необходимые предметы военно-химического снаряжения (вязкий иприт, ВАП, химический фугас, автомобильную разливочную станцию, ряд типов химических боеприпасов, дистанционный взрыватель для авиабомб, ранцевый прибор заражения и т.д.) и сэкономила на этом много времени и сил. А рейхсверу советские земли для опытов уже стали не нужны. После прихода Гитлера к власти обстановка позволяла работать уже с любым типом оружия без контроля (17133).</w:t>
      </w:r>
    </w:p>
    <w:p w14:paraId="29755C10" w14:textId="77777777" w:rsidR="00A92F35" w:rsidRPr="00C33834" w:rsidRDefault="00A92F35" w:rsidP="00C33834">
      <w:pPr>
        <w:shd w:val="clear" w:color="auto" w:fill="FFFFFF"/>
        <w:spacing w:after="0" w:line="240" w:lineRule="auto"/>
        <w:jc w:val="both"/>
        <w:rPr>
          <w:rFonts w:ascii="Times New Roman" w:hAnsi="Times New Roman"/>
          <w:color w:val="000000" w:themeColor="text1"/>
          <w:sz w:val="16"/>
          <w:szCs w:val="16"/>
        </w:rPr>
      </w:pPr>
    </w:p>
    <w:p w14:paraId="16598F2F" w14:textId="77777777" w:rsidR="00A92F35" w:rsidRPr="00C33834" w:rsidRDefault="00A92F35" w:rsidP="00C33834">
      <w:pPr>
        <w:pStyle w:val="rtejustify"/>
        <w:spacing w:before="0" w:after="0"/>
        <w:rPr>
          <w:color w:val="000000" w:themeColor="text1"/>
          <w:sz w:val="16"/>
          <w:szCs w:val="16"/>
        </w:rPr>
      </w:pPr>
      <w:r w:rsidRPr="00C33834">
        <w:rPr>
          <w:rStyle w:val="af0"/>
          <w:bCs/>
          <w:i w:val="0"/>
          <w:color w:val="000000" w:themeColor="text1"/>
          <w:sz w:val="16"/>
          <w:szCs w:val="16"/>
        </w:rPr>
        <w:t>15 августа</w:t>
      </w:r>
      <w:r w:rsidRPr="00C33834">
        <w:rPr>
          <w:color w:val="000000" w:themeColor="text1"/>
          <w:sz w:val="16"/>
          <w:szCs w:val="16"/>
        </w:rPr>
        <w:t xml:space="preserve"> 1933. Протокол заседания Политбюро ЦК ВКП (б) № 143. </w:t>
      </w:r>
      <w:hyperlink r:id="rId294" w:anchor="showunit&amp;id=87258" w:history="1">
        <w:r w:rsidRPr="00C33834">
          <w:rPr>
            <w:rStyle w:val="a5"/>
            <w:color w:val="000000" w:themeColor="text1"/>
            <w:sz w:val="16"/>
            <w:szCs w:val="16"/>
            <w:u w:val="none"/>
          </w:rPr>
          <w:t>2. О представительстве «Метро-Виккерс» в СССР</w:t>
        </w:r>
      </w:hyperlink>
      <w:r w:rsidRPr="00C33834">
        <w:rPr>
          <w:color w:val="000000" w:themeColor="text1"/>
          <w:sz w:val="16"/>
          <w:szCs w:val="16"/>
        </w:rPr>
        <w:t xml:space="preserve"> (Розенгольц, Орджоникидзе) — ОП. Решено: а) принять предложение Розенгольца об оставлении в Москве до 1</w:t>
      </w:r>
      <w:r w:rsidRPr="00C33834">
        <w:rPr>
          <w:color w:val="000000" w:themeColor="text1"/>
          <w:sz w:val="16"/>
          <w:szCs w:val="16"/>
        </w:rPr>
        <w:noBreakHyphen/>
        <w:t>4</w:t>
      </w:r>
      <w:r w:rsidRPr="00C33834">
        <w:rPr>
          <w:color w:val="000000" w:themeColor="text1"/>
          <w:sz w:val="16"/>
          <w:szCs w:val="16"/>
        </w:rPr>
        <w:noBreakHyphen/>
        <w:t xml:space="preserve">1934 одного-двух инженеров фирмы «Метро-Виккерс»; б) обязать ОГПУ установить наблюдение за ними. </w:t>
      </w:r>
      <w:hyperlink r:id="rId295" w:anchor="showunit&amp;id=87302" w:history="1">
        <w:r w:rsidRPr="00C33834">
          <w:rPr>
            <w:rStyle w:val="a5"/>
            <w:color w:val="000000" w:themeColor="text1"/>
            <w:sz w:val="16"/>
            <w:szCs w:val="16"/>
            <w:u w:val="none"/>
          </w:rPr>
          <w:t>6. О заключении договора техпомощи с фирмой «Монтекатини»</w:t>
        </w:r>
      </w:hyperlink>
      <w:r w:rsidRPr="00C33834">
        <w:rPr>
          <w:color w:val="000000" w:themeColor="text1"/>
          <w:sz w:val="16"/>
          <w:szCs w:val="16"/>
        </w:rPr>
        <w:t xml:space="preserve"> (Орджоникидзе). Решено строить Чирчикский электрохимический комбинат без заграничной техпомощи, обязав НКТП не допускать затяжки строительства. </w:t>
      </w:r>
      <w:hyperlink r:id="rId296" w:anchor="showunit&amp;id=87271" w:history="1">
        <w:r w:rsidRPr="00C33834">
          <w:rPr>
            <w:rStyle w:val="a5"/>
            <w:color w:val="000000" w:themeColor="text1"/>
            <w:sz w:val="16"/>
            <w:szCs w:val="16"/>
            <w:u w:val="none"/>
          </w:rPr>
          <w:t>31/17. Вопрос Ворошилова (о командировке в Италию Е. Ю. Губина)</w:t>
        </w:r>
      </w:hyperlink>
      <w:r w:rsidRPr="00C33834">
        <w:rPr>
          <w:color w:val="000000" w:themeColor="text1"/>
          <w:sz w:val="16"/>
          <w:szCs w:val="16"/>
        </w:rPr>
        <w:t xml:space="preserve"> (ПБ от 4 августа 1933 г.). — ОП. Решено командировать в Италию для приемки у фирмы Пелегатти забортных моторов сроком на один месяц Грубина Е. Ю. </w:t>
      </w:r>
      <w:hyperlink r:id="rId297" w:anchor="showunit&amp;id=87283" w:history="1">
        <w:r w:rsidRPr="00C33834">
          <w:rPr>
            <w:rStyle w:val="a5"/>
            <w:color w:val="000000" w:themeColor="text1"/>
            <w:sz w:val="16"/>
            <w:szCs w:val="16"/>
            <w:u w:val="none"/>
          </w:rPr>
          <w:t>42/28. О мобилизации на укомплектование ВВС РККА</w:t>
        </w:r>
      </w:hyperlink>
      <w:r w:rsidRPr="00C33834">
        <w:rPr>
          <w:color w:val="000000" w:themeColor="text1"/>
          <w:sz w:val="16"/>
          <w:szCs w:val="16"/>
        </w:rPr>
        <w:t>. (ПБ от 4 августа 1933 г.). Решено: Для укрепления санитарной службы и улучшения медицинского обслуживания воздушного флота мобилизовать 75 врачей – половина коммунистов, половина проверенных беспартийных с 3</w:t>
      </w:r>
      <w:r w:rsidRPr="00C33834">
        <w:rPr>
          <w:color w:val="000000" w:themeColor="text1"/>
          <w:sz w:val="16"/>
          <w:szCs w:val="16"/>
        </w:rPr>
        <w:noBreakHyphen/>
        <w:t>4</w:t>
      </w:r>
      <w:r w:rsidRPr="00C33834">
        <w:rPr>
          <w:color w:val="000000" w:themeColor="text1"/>
          <w:sz w:val="16"/>
          <w:szCs w:val="16"/>
        </w:rPr>
        <w:noBreakHyphen/>
        <w:t xml:space="preserve">летним врачебным стажем и направить их на укомплектование ВВС РККА. </w:t>
      </w:r>
      <w:hyperlink r:id="rId298" w:anchor="showunit&amp;id=87326" w:history="1">
        <w:r w:rsidRPr="00C33834">
          <w:rPr>
            <w:rStyle w:val="a5"/>
            <w:color w:val="000000" w:themeColor="text1"/>
            <w:sz w:val="16"/>
            <w:szCs w:val="16"/>
            <w:u w:val="none"/>
          </w:rPr>
          <w:t>81/67. О конструкторско-производственной деятельности «Вирджили»</w:t>
        </w:r>
      </w:hyperlink>
      <w:r w:rsidRPr="00C33834">
        <w:rPr>
          <w:color w:val="000000" w:themeColor="text1"/>
          <w:sz w:val="16"/>
          <w:szCs w:val="16"/>
        </w:rPr>
        <w:t xml:space="preserve"> (ПБ от 9 августа 1933 г.). Решено: 1. Передать конструкторское бюро и все предприятия ВИРДЖИЛИ из ведения НКВМ в систему Главного управления авиационной промышленности НКТП СССР. 2. Сохранить в системе ГУАП НКТП Бюро ВИРДЖИЛИ, как конструкторско-производственную организацию, оставив в его составе все работающие и находящиеся в строительстве предприятия авиационного назначения. 3. Эксплуатировавшийся Бюро ВИРДЖИЛИ, по договоренности с НКЛесом, Юрюзанский леспромхоз в месячный срок передать в ведение «Востокстали», освободив ВИРДЖИЛИ от обязательств по поставкам топлива и стройматериалов заводам «Востокстали» и другим организациям. Обязать Востоксталь в декадный срок ликвидировать всю задолженность по зарплате и задолженность хозяйственным организациям по Юрюзанскому леспромхозу. 4. Обязать начальника Глававиапрома: а) установить план работ на предприятиях ВИРДЖИЛИ на 1933 год; б) в декадный срок ликвидировать всю задолженность по зарплате на Уральском строительстве и задолженность хозяйственным организациям; в) закрепить за ВИРДЖИЛИ получаемый до настоящего времени персональный оклад в 1500 рублей в советских знаках и 300 рублей в иностранной валюте; г) разрешить ВИРДЖИЛИ отправить свою семью в Италию; д) разрешить ВИРДЖИЛИ ежегодный отпуск в течение двух месяцев проводить в Италии. 5. Ассигновать НКТП из резервного фонда СНК СССР 2,8 млн. рублей, из них 2,5 млн. рублей на покрытие задолженности по зарплате на Уральском строительстве и на лесных разработках и задолженности хозяйственным организациям и 300 тысяч рублей для обеспечения конструкторской работы Бюро ВИРДЖИЛИ в 1933 г. </w:t>
      </w:r>
      <w:hyperlink r:id="rId299" w:anchor="showunit&amp;id=87240" w:history="1">
        <w:r w:rsidRPr="00C33834">
          <w:rPr>
            <w:rStyle w:val="a5"/>
            <w:color w:val="000000" w:themeColor="text1"/>
            <w:sz w:val="16"/>
            <w:szCs w:val="16"/>
            <w:u w:val="none"/>
          </w:rPr>
          <w:t>169/155. Вопросы КО.</w:t>
        </w:r>
      </w:hyperlink>
      <w:r w:rsidRPr="00C33834">
        <w:rPr>
          <w:color w:val="000000" w:themeColor="text1"/>
          <w:sz w:val="16"/>
          <w:szCs w:val="16"/>
        </w:rPr>
        <w:t> — ОП. Решено утвердить следующие постановления КО: 1. Об ассигновании из резервного фонда СНК СССР на капитальное строительство по заводу № 22 в 1933 году 4 млн. рублей и на строительство мастерских и гидробазы в Севастополе – 1 млн. рублей. 2. О дополнительном ассигновании из резервного фонда СНК 2,5 млн. рублей на капитальное строительство по авиазаводу № 125. 3. О разрешении НКТП СССР посылки в 1933</w:t>
      </w:r>
      <w:r w:rsidRPr="00C33834">
        <w:rPr>
          <w:color w:val="000000" w:themeColor="text1"/>
          <w:sz w:val="16"/>
          <w:szCs w:val="16"/>
        </w:rPr>
        <w:noBreakHyphen/>
        <w:t>1934 годах в заграничную командировку на заводы гидросамолетостроения Англии и США 15 инженеров и техников самолетостроительных заводов и опытных организаций. 4. О дополнительном отпуске НКТП 750 тысяч рублей валюты на закупку 50 моторов «Циклон» с инструментом и запчастями. 5. О закупке 20</w:t>
      </w:r>
      <w:r w:rsidRPr="00C33834">
        <w:rPr>
          <w:color w:val="000000" w:themeColor="text1"/>
          <w:sz w:val="16"/>
          <w:szCs w:val="16"/>
        </w:rPr>
        <w:noBreakHyphen/>
        <w:t>30 моторов «Испано-Сьюиза» типа «12</w:t>
      </w:r>
      <w:r w:rsidRPr="00C33834">
        <w:rPr>
          <w:color w:val="000000" w:themeColor="text1"/>
          <w:sz w:val="16"/>
          <w:szCs w:val="16"/>
        </w:rPr>
        <w:noBreakHyphen/>
        <w:t xml:space="preserve">V» NBRS и о посылке во Францию комиссии под председательством Марьямова для переговоров с фирмой «Испано-Сьюиза» о бесплатной техпомощи по организации производства моторов этого типа в СССР. 6. Об отпуске ОГПУ из резервного фонда СНК СССР 5810 тысяч рублей на мероприятия по переброске авиаэскадрилий на Камчатку. </w:t>
      </w:r>
      <w:hyperlink r:id="rId300" w:anchor="showunit&amp;id=87242" w:history="1">
        <w:r w:rsidRPr="00C33834">
          <w:rPr>
            <w:rStyle w:val="a5"/>
            <w:color w:val="000000" w:themeColor="text1"/>
            <w:sz w:val="16"/>
            <w:szCs w:val="16"/>
            <w:u w:val="none"/>
          </w:rPr>
          <w:t>170/156. О капитальном строительстве химической промышленности в III квартале 1933 г.</w:t>
        </w:r>
      </w:hyperlink>
      <w:r w:rsidRPr="00C33834">
        <w:rPr>
          <w:color w:val="000000" w:themeColor="text1"/>
          <w:sz w:val="16"/>
          <w:szCs w:val="16"/>
        </w:rPr>
        <w:t xml:space="preserve"> — ОП. Решено утвердить постановление СТО. </w:t>
      </w:r>
      <w:hyperlink r:id="rId301" w:anchor="showunit&amp;id=87245" w:history="1">
        <w:r w:rsidRPr="00C33834">
          <w:rPr>
            <w:rStyle w:val="a5"/>
            <w:color w:val="000000" w:themeColor="text1"/>
            <w:sz w:val="16"/>
            <w:szCs w:val="16"/>
            <w:u w:val="none"/>
          </w:rPr>
          <w:t>173/159. О Магнитогорском заводе.</w:t>
        </w:r>
      </w:hyperlink>
      <w:r w:rsidRPr="00C33834">
        <w:rPr>
          <w:color w:val="000000" w:themeColor="text1"/>
          <w:sz w:val="16"/>
          <w:szCs w:val="16"/>
        </w:rPr>
        <w:t xml:space="preserve"> Решено: а) освободить Мышкова от обязанностей директора Магнитогорского завода; б) утвердить директором Магнитогорского завода Завенягина, освободив его от обязанностей директора завода им. Дзержинского; в) утвердить директором завода им. Дзержинского Манаенко; г) освободить Спирова от обязанностей секретаря Магнитогорского горкома ВКП(б); д) рекомендовать Ломинадзе секретарем Магнитогорского горкома (15462).</w:t>
      </w:r>
    </w:p>
    <w:p w14:paraId="04D6A87D" w14:textId="77777777" w:rsidR="00A92F35" w:rsidRPr="00C33834" w:rsidRDefault="00A92F35" w:rsidP="00C33834">
      <w:pPr>
        <w:pStyle w:val="rtejustify"/>
        <w:spacing w:before="0" w:after="0"/>
        <w:rPr>
          <w:color w:val="000000" w:themeColor="text1"/>
          <w:sz w:val="16"/>
          <w:szCs w:val="16"/>
        </w:rPr>
      </w:pPr>
    </w:p>
    <w:p w14:paraId="3A0A6F8B" w14:textId="77777777" w:rsidR="00582173" w:rsidRPr="00C33834" w:rsidRDefault="0058217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августа 1933 г. ПБ приняло решение выделить производство граммофонов и граммофонных пластинок из НКЛП и передать его в ведение НКТП. Комиссии под руководством Кагановича было поручено в соответствии с этим переработать проект постановления (19281).</w:t>
      </w:r>
    </w:p>
    <w:p w14:paraId="3D6600D0" w14:textId="77777777" w:rsidR="00582173" w:rsidRPr="00C33834" w:rsidRDefault="00582173" w:rsidP="00C33834">
      <w:pPr>
        <w:spacing w:after="0" w:line="240" w:lineRule="auto"/>
        <w:jc w:val="both"/>
        <w:rPr>
          <w:rFonts w:ascii="Times New Roman" w:hAnsi="Times New Roman"/>
          <w:color w:val="000000" w:themeColor="text1"/>
          <w:sz w:val="16"/>
          <w:szCs w:val="16"/>
        </w:rPr>
      </w:pPr>
    </w:p>
    <w:p w14:paraId="20CADC88"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августа 1933 состоялось заседание ПБ и был оформлен протокол № 143</w:t>
      </w:r>
    </w:p>
    <w:p w14:paraId="217AFE90"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9.- О граммофонных и музыкальных инструментах – см. приложение</w:t>
      </w:r>
    </w:p>
    <w:p w14:paraId="068493C9"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 СОСТОЯНИИ И МЕРАХ ПО УЛУЧШЕНИЮ ПРОИЗВОДСТВА ГРАММОФОНОВ. ГРАММОФОННЫХ ПЛАСТИНОК И МУЗЫКАЛЬНЫХ ИНСТРУМЕНТОВ.</w:t>
      </w:r>
    </w:p>
    <w:p w14:paraId="272645B6"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ПОСТАНОВЛЕНИЕ ПОЛИТБЮРО ЦК ВКП(б) от 15 АВГУСТА 1933 ГОЛА.</w:t>
      </w:r>
    </w:p>
    <w:p w14:paraId="024D19BC"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Обязать Наркомвнешторг обеспечить ввоз необходимого импорт</w:t>
      </w:r>
      <w:r w:rsidRPr="00C33834">
        <w:rPr>
          <w:rFonts w:ascii="Times New Roman" w:hAnsi="Times New Roman"/>
          <w:color w:val="0070C0"/>
          <w:sz w:val="16"/>
          <w:szCs w:val="16"/>
        </w:rPr>
        <w:softHyphen/>
        <w:t>ного оборудования и аппаратуры, всего на сумму 360 тыс. руб. с тем, чтобы в дальнейшем звукозаписывающие аппараты и прочая аппа</w:t>
      </w:r>
      <w:r w:rsidRPr="00C33834">
        <w:rPr>
          <w:rFonts w:ascii="Times New Roman" w:hAnsi="Times New Roman"/>
          <w:color w:val="0070C0"/>
          <w:sz w:val="16"/>
          <w:szCs w:val="16"/>
        </w:rPr>
        <w:softHyphen/>
        <w:t>ратура и оборудование производились на советских заводах. Для обеспечения программы производства пластинок в Ш-1У кв.1933 г. ввезти 60 тонн шеллака и в 1934 г. - 400 тонн щеллака (сверх 260 т.руб.).</w:t>
      </w:r>
    </w:p>
    <w:p w14:paraId="62E0E0C4"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Обязать Наркомвнешторг предусмотреть отпуск Наркомлегпрому СССР 18.700 рубл. в 1933 г. и 52.900 рубл. в 1934 г. на импорт голосовой стали для гармоний, рояльной проволоки и необходи</w:t>
      </w:r>
      <w:r w:rsidRPr="00C33834">
        <w:rPr>
          <w:rFonts w:ascii="Times New Roman" w:hAnsi="Times New Roman"/>
          <w:color w:val="0070C0"/>
          <w:sz w:val="16"/>
          <w:szCs w:val="16"/>
        </w:rPr>
        <w:softHyphen/>
        <w:t>мых образцов новейших конструкций музыкальных инструментов луч</w:t>
      </w:r>
      <w:r w:rsidRPr="00C33834">
        <w:rPr>
          <w:rFonts w:ascii="Times New Roman" w:hAnsi="Times New Roman"/>
          <w:color w:val="0070C0"/>
          <w:sz w:val="16"/>
          <w:szCs w:val="16"/>
        </w:rPr>
        <w:softHyphen/>
        <w:t>ших заграничных фирм, сверх установленных контингентов импорта Наркомлвторому СССР.</w:t>
      </w:r>
    </w:p>
    <w:p w14:paraId="681BA422"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Командировать за границу 3-4 инженеров, одного работника Научно-Исследовательского института, 3 хозяйственников по линии Наркомтяжпрома, Наркомлегпрома и промкооперации, согласовав с Наркомвнешторгом план технической помощи и консультации иностран</w:t>
      </w:r>
      <w:r w:rsidRPr="00C33834">
        <w:rPr>
          <w:rFonts w:ascii="Times New Roman" w:hAnsi="Times New Roman"/>
          <w:color w:val="0070C0"/>
          <w:sz w:val="16"/>
          <w:szCs w:val="16"/>
        </w:rPr>
        <w:softHyphen/>
        <w:t>ной промышленности и иностранных специалистов.</w:t>
      </w:r>
    </w:p>
    <w:p w14:paraId="07749089"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августа 1933 опросом членов ПБ</w:t>
      </w:r>
    </w:p>
    <w:p w14:paraId="1DD985A1"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22/8. – Вопрос т. Ворошилова</w:t>
      </w:r>
    </w:p>
    <w:p w14:paraId="3CE82B42"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Послать на итальянские маневры и у нас принять 2-3 человек.</w:t>
      </w:r>
    </w:p>
    <w:p w14:paraId="31D05E8A"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Принять у нас (осенью) и послать в Италию 2-3 командиров для присутствия на упражнениях флотов.</w:t>
      </w:r>
    </w:p>
    <w:p w14:paraId="21C7ACA0"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После окончания летней учебы произвести учебный поход отряда кораблей в Средиземное море, с заходом в Стамбул, Грецию и один из итальянских портов.</w:t>
      </w:r>
    </w:p>
    <w:p w14:paraId="04363D76"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Выписка послана: т.Ворошилову.</w:t>
      </w:r>
    </w:p>
    <w:p w14:paraId="2FE08859"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августа 1933 опросом членов ПБ</w:t>
      </w:r>
    </w:p>
    <w:p w14:paraId="53DB85D0"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31/17.- Вопрос т. Ворошилова..</w:t>
      </w:r>
    </w:p>
    <w:p w14:paraId="27A96158"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Командировать в Италию для приемки у фирмы Пелегатти забортных моторов сроком на один месяц т. Грубила Е.Ю.</w:t>
      </w:r>
    </w:p>
    <w:p w14:paraId="28082C36"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Выписа послана: т. т. Ворошилову, Артузову.</w:t>
      </w:r>
    </w:p>
    <w:p w14:paraId="5C94D2C8"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августа 1933 опросом членов ПБ</w:t>
      </w:r>
    </w:p>
    <w:p w14:paraId="54672137"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169/155.-</w:t>
      </w:r>
    </w:p>
    <w:p w14:paraId="13721DAA"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Утвердить следуйте постановления КО:</w:t>
      </w:r>
    </w:p>
    <w:p w14:paraId="1BE8BEB4"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О6 ассигнованни из резервного фонда СНК ОССР на капитальное строительство по заводу № 22 в 1933 г. 4 млн. руб. и на строительство мастер</w:t>
      </w:r>
      <w:r w:rsidRPr="00C33834">
        <w:rPr>
          <w:rFonts w:ascii="Times New Roman" w:hAnsi="Times New Roman"/>
          <w:color w:val="0070C0"/>
          <w:sz w:val="16"/>
          <w:szCs w:val="16"/>
        </w:rPr>
        <w:softHyphen/>
        <w:t>ских и гидгобазы в Севастополе - 1 мл.руб.</w:t>
      </w:r>
    </w:p>
    <w:p w14:paraId="4AE8BEDB"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О дополнительном ассигновании из Резерв</w:t>
      </w:r>
      <w:r w:rsidRPr="00C33834">
        <w:rPr>
          <w:rFonts w:ascii="Times New Roman" w:hAnsi="Times New Roman"/>
          <w:color w:val="0070C0"/>
          <w:sz w:val="16"/>
          <w:szCs w:val="16"/>
        </w:rPr>
        <w:softHyphen/>
        <w:t>ного фонда СНК 2,5 мл .руб. на капитальное строи</w:t>
      </w:r>
      <w:r w:rsidRPr="00C33834">
        <w:rPr>
          <w:rFonts w:ascii="Times New Roman" w:hAnsi="Times New Roman"/>
          <w:color w:val="0070C0"/>
          <w:sz w:val="16"/>
          <w:szCs w:val="16"/>
        </w:rPr>
        <w:softHyphen/>
        <w:t>тельство по авиазаводу № 125.</w:t>
      </w:r>
    </w:p>
    <w:p w14:paraId="5DEEABA0"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O разрешении НКТяжмашу посылки в 193З-34 гг. в заграничную командировку на заводы гидросамолето</w:t>
      </w:r>
      <w:r w:rsidRPr="00C33834">
        <w:rPr>
          <w:rFonts w:ascii="Times New Roman" w:hAnsi="Times New Roman"/>
          <w:color w:val="0070C0"/>
          <w:sz w:val="16"/>
          <w:szCs w:val="16"/>
        </w:rPr>
        <w:softHyphen/>
        <w:t>строения Англии и С.Ш.А. 15 инженеров и техников самолетостроительных заводов и опытных организаций.</w:t>
      </w:r>
    </w:p>
    <w:p w14:paraId="283B11B0"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О дополнительном отпуске НКТяжпрому - 750.000 руб. валюты на закупку 50 моторов "Цик</w:t>
      </w:r>
      <w:r w:rsidRPr="00C33834">
        <w:rPr>
          <w:rFonts w:ascii="Times New Roman" w:hAnsi="Times New Roman"/>
          <w:color w:val="0070C0"/>
          <w:sz w:val="16"/>
          <w:szCs w:val="16"/>
        </w:rPr>
        <w:softHyphen/>
        <w:t>лон” с инструментом и запчастями.</w:t>
      </w:r>
    </w:p>
    <w:p w14:paraId="7D224A60"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5. О закупке 20-30 моторов "Испано-Сьюиза" типа "12-Ув nbrs и о юсылке во Францию комис</w:t>
      </w:r>
      <w:r w:rsidRPr="00C33834">
        <w:rPr>
          <w:rFonts w:ascii="Times New Roman" w:hAnsi="Times New Roman"/>
          <w:color w:val="0070C0"/>
          <w:sz w:val="16"/>
          <w:szCs w:val="16"/>
        </w:rPr>
        <w:softHyphen/>
        <w:t>сии под председательством т. Марьяьова для пере</w:t>
      </w:r>
      <w:r w:rsidRPr="00C33834">
        <w:rPr>
          <w:rFonts w:ascii="Times New Roman" w:hAnsi="Times New Roman"/>
          <w:color w:val="0070C0"/>
          <w:sz w:val="16"/>
          <w:szCs w:val="16"/>
        </w:rPr>
        <w:softHyphen/>
        <w:t>говоров с фирмой "Испано-Сьюиза" о бесплатной технпомощи по организации производства моторов этого типа в СССР.</w:t>
      </w:r>
    </w:p>
    <w:p w14:paraId="278C42FB"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О6 отпуске ОГПУ из резервного фонда СНК СССP 5.810 тыс.р. на мероприятия по переброске авиаэскадрилий на Камчатку</w:t>
      </w:r>
    </w:p>
    <w:p w14:paraId="4AF265A2"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Базилевичу-все; Орджоникидзе- . 1-5;</w:t>
      </w:r>
    </w:p>
    <w:p w14:paraId="5031D882"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Мирошникову – п. 1,2,6; Артузову – п. 3,5; Розенгольцу-п. 3,4,5; Ягоде -п. 6</w:t>
      </w:r>
    </w:p>
    <w:p w14:paraId="234BD935"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170/156,- О капитальном строительстве химической промышленности в Ш кв. 1933</w:t>
      </w:r>
    </w:p>
    <w:p w14:paraId="2FD881E6"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Утвердить постановление СТО (см. приложение).</w:t>
      </w:r>
    </w:p>
    <w:p w14:paraId="1FFC1E83"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ПРИЛОЖЕНИЕ 'll</w:t>
      </w:r>
    </w:p>
    <w:p w14:paraId="262B45C8"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 п./156-опр.(о.п. )пр.ПЬ - 143</w:t>
      </w:r>
    </w:p>
    <w:p w14:paraId="6520DA5A"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 ДОПОЛНИТЕЛЬНОМ АССИГНОВАНИИ НА КАПИТАЛЬНОЕ СТРОИТЕЛЬСТВО ХИМИЧЕСКОЙ ПРОМЫШЛКННОСТИ В Ш-М КВАРТАЛЕ- ПОСТАНОВЛЕНИЕ СОВЕТА ТРУДА И ОБОРОНЫ</w:t>
      </w:r>
    </w:p>
    <w:p w14:paraId="3865A096"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(Утверждено Политбюро ЦК ВКП(б) 15 августа 1933 года).</w:t>
      </w:r>
    </w:p>
    <w:p w14:paraId="2DCE77EE"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Совет Труда и Оборони постановляет:</w:t>
      </w:r>
    </w:p>
    <w:p w14:paraId="64DBAC57"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 военно-химической промшленности</w:t>
      </w:r>
    </w:p>
    <w:p w14:paraId="5A6F7F5D"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Ассигновать дополнительно в Ш-м квартале Тресту ВИВ для финансирования работ по заводам №№ 40, 25, 14 и 92.500.000 р., установив общий об "ом затрат „для ВИВ"а на Ш-й квартал - 21.000.000 рублей.</w:t>
      </w:r>
    </w:p>
    <w:p w14:paraId="0275F2FF"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Отпустить дополнительно в Ш квартале Вохимтресту 6.800.000 рублей для форсирования работ по заводам №№ 5, 6, 11, 15, 55, 59, 64 и комбинату "К".</w:t>
      </w:r>
    </w:p>
    <w:p w14:paraId="01F7DCCF"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Для форсирования строительства порохового завода в Ке</w:t>
      </w:r>
      <w:r w:rsidRPr="00C33834">
        <w:rPr>
          <w:rFonts w:ascii="Times New Roman" w:hAnsi="Times New Roman"/>
          <w:color w:val="0070C0"/>
          <w:sz w:val="16"/>
          <w:szCs w:val="16"/>
        </w:rPr>
        <w:softHyphen/>
        <w:t>мерове, а также проектирования и изыскательных работ по новым пороховым заводам отпустить дополнительно в П-к квартале - 1.300.000 рублей.</w:t>
      </w:r>
    </w:p>
    <w:p w14:paraId="1CDE9F36"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 военным производствам гражданской химии</w:t>
      </w:r>
    </w:p>
    <w:p w14:paraId="238E92F6"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Ассигновать дополнительно в Ш-м квартале нижеуказанные суммы по следующим об"ектам:</w:t>
      </w:r>
    </w:p>
    <w:p w14:paraId="2FA8A9FB"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на и проектирование и подготовительные работы по Тротило</w:t>
      </w:r>
      <w:r w:rsidRPr="00C33834">
        <w:rPr>
          <w:rFonts w:ascii="Times New Roman" w:hAnsi="Times New Roman"/>
          <w:color w:val="0070C0"/>
          <w:sz w:val="16"/>
          <w:szCs w:val="16"/>
        </w:rPr>
        <w:softHyphen/>
        <w:t>вым заводам в Кемерове и Воскресенске - 500.000 рублей;</w:t>
      </w:r>
    </w:p>
    <w:p w14:paraId="748DC804"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Мелинитоиоиу заводу в Бобриках - 2.200.000 рублей;</w:t>
      </w:r>
    </w:p>
    <w:p w14:paraId="7E3F2661"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для начала строительства Мелинитового завода на Берез- никах - 1.000.000 рублей;</w:t>
      </w:r>
    </w:p>
    <w:p w14:paraId="57B04ADA"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 на строительство завода вещества 8 в Бобриках - 1.150.000 рублей;</w:t>
      </w:r>
    </w:p>
    <w:p w14:paraId="21347187"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 на форсирование строительства завода вещества № 6 в Горьком - 500.000 и рублей в Ш-м квартале и 1.500.000 р. в 1У-м квартале;</w:t>
      </w:r>
    </w:p>
    <w:p w14:paraId="73F403D5"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е) для начала строительства спецехов по производству де</w:t>
      </w:r>
      <w:r w:rsidRPr="00C33834">
        <w:rPr>
          <w:rFonts w:ascii="Times New Roman" w:hAnsi="Times New Roman"/>
          <w:color w:val="0070C0"/>
          <w:sz w:val="16"/>
          <w:szCs w:val="16"/>
        </w:rPr>
        <w:softHyphen/>
        <w:t>нитро-нафталина, вещ. № 15, фонола и азотной кислоты на Рубежан ском, Кинешемском и Дорогомиловском заводах - 1.100.000 рублей;</w:t>
      </w:r>
    </w:p>
    <w:p w14:paraId="734400A1"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ж) для проектирования и изыскательных работ по новым заво</w:t>
      </w:r>
      <w:r w:rsidRPr="00C33834">
        <w:rPr>
          <w:rFonts w:ascii="Times New Roman" w:hAnsi="Times New Roman"/>
          <w:color w:val="0070C0"/>
          <w:sz w:val="16"/>
          <w:szCs w:val="16"/>
        </w:rPr>
        <w:softHyphen/>
        <w:t>дам ОВ, ДВ, дегазаторов респираторов, прожекторного стекла и синтетической камфоры ассигновать в Ш-м квартале - 1.000.000 р. и в 1У-м квартале - 1.000.000 рублей.</w:t>
      </w:r>
    </w:p>
    <w:p w14:paraId="12D9233E"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 общехимической базе.</w:t>
      </w:r>
    </w:p>
    <w:p w14:paraId="2F29B3A7"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Утвердить дополнительно следующие ассигнования:</w:t>
      </w:r>
    </w:p>
    <w:p w14:paraId="6DDDD4FF"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для начала строительства новых заводов олеума в Краено- Уральске и Воскресенске, а также на заводах 14,15,80 и Боб</w:t>
      </w:r>
      <w:r w:rsidRPr="00C33834">
        <w:rPr>
          <w:rFonts w:ascii="Times New Roman" w:hAnsi="Times New Roman"/>
          <w:color w:val="0070C0"/>
          <w:sz w:val="16"/>
          <w:szCs w:val="16"/>
        </w:rPr>
        <w:softHyphen/>
        <w:t>риках - 1.950.000 руб.;</w:t>
      </w:r>
    </w:p>
    <w:p w14:paraId="724137D7"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на строительство новых бромных заводов в Карабугазе, Перекопе и Верикее - 1.800.000 рублей;</w:t>
      </w:r>
    </w:p>
    <w:p w14:paraId="4B082106"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на расширение существующих и начала строительства новых серных заводов в Гаурдаке, Шор-Су, Алексеевке - 1.500.000 руб.;</w:t>
      </w:r>
    </w:p>
    <w:p w14:paraId="11E7CF01"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 Беразняковскому азотно-туковому комбинату - 3.200.000 р.;</w:t>
      </w:r>
    </w:p>
    <w:p w14:paraId="04FD1B74"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 Бобриковскому комбинату для начала строительства второй и третьей очереди и расширения азотной кислоты 2.000.000 в Ш кв. и 2.000.000 в 1У кв.</w:t>
      </w:r>
    </w:p>
    <w:p w14:paraId="7D12EC8E"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е) на вторую очередь Горловского комбината - 2.000.000 руб.;</w:t>
      </w:r>
    </w:p>
    <w:p w14:paraId="5A0A055C"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ж) на проектирование и освоение площадок по Каменскому и Лисичанскощу комбинату 100.000 рублей в Ш-м квартале и 1.000.000 в 1У-м квартале;</w:t>
      </w:r>
    </w:p>
    <w:p w14:paraId="4D7C8B57"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з) Кемеровскому азотному комбинату - 1.500.000 рублей;</w:t>
      </w:r>
    </w:p>
    <w:p w14:paraId="3DFA582E"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 для форсирования хлорного строительства в Сталинграде - 870.000 рублен;</w:t>
      </w:r>
    </w:p>
    <w:p w14:paraId="4815B2CE"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 для форсирования хлорного строительства в Славянске - 800.000 рублей в Ш-м квартале и 1.000.000 рублей в 1У-м квартале.</w:t>
      </w:r>
    </w:p>
    <w:p w14:paraId="0379575D"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Обязать НКТяжпром произвести вызываемое настоящим поста</w:t>
      </w:r>
      <w:r w:rsidRPr="00C33834">
        <w:rPr>
          <w:rFonts w:ascii="Times New Roman" w:hAnsi="Times New Roman"/>
          <w:color w:val="0070C0"/>
          <w:sz w:val="16"/>
          <w:szCs w:val="16"/>
        </w:rPr>
        <w:softHyphen/>
        <w:t>новлением перераспределение стройматериалов, с целью полного обеспечения военно-химического строительства за счет отпущенных НКТП фондов на Ш-й квартал.</w:t>
      </w:r>
    </w:p>
    <w:p w14:paraId="61194C0C"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Обязать НКТП из выделенных ому фондов обеспечить форсиро</w:t>
      </w:r>
      <w:r w:rsidRPr="00C33834">
        <w:rPr>
          <w:rFonts w:ascii="Times New Roman" w:hAnsi="Times New Roman"/>
          <w:color w:val="0070C0"/>
          <w:sz w:val="16"/>
          <w:szCs w:val="16"/>
        </w:rPr>
        <w:softHyphen/>
        <w:t>вание строительных работ необходимым автотранспортом.</w:t>
      </w:r>
    </w:p>
    <w:p w14:paraId="22874A38"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 В соответствии с этим общий размер дополнительных ассигно</w:t>
      </w:r>
      <w:r w:rsidRPr="00C33834">
        <w:rPr>
          <w:rFonts w:ascii="Times New Roman" w:hAnsi="Times New Roman"/>
          <w:color w:val="0070C0"/>
          <w:sz w:val="16"/>
          <w:szCs w:val="16"/>
        </w:rPr>
        <w:softHyphen/>
        <w:t>ваний на химическую промышленность в Ш-м ктартале 1983 года утвердить в сумме 83.570.000 рублей, из коих 17.000.000 рублей за счет перераспределения ассигнований по НКТП и 16.570.000 рублей из резервного фонда СНК СССР.</w:t>
      </w:r>
    </w:p>
    <w:p w14:paraId="3B37025D"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Выписка послана: т. Мирошникову (22993)</w:t>
      </w:r>
    </w:p>
    <w:p w14:paraId="48627038" w14:textId="77777777" w:rsidR="0007105E" w:rsidRPr="00C33834" w:rsidRDefault="0007105E" w:rsidP="00C33834">
      <w:pPr>
        <w:spacing w:after="0" w:line="240" w:lineRule="auto"/>
        <w:jc w:val="both"/>
        <w:rPr>
          <w:rFonts w:ascii="Times New Roman" w:hAnsi="Times New Roman"/>
          <w:color w:val="0070C0"/>
          <w:sz w:val="16"/>
          <w:szCs w:val="16"/>
        </w:rPr>
      </w:pPr>
    </w:p>
    <w:p w14:paraId="0D39F2D3" w14:textId="77777777" w:rsidR="00217870" w:rsidRPr="00C33834" w:rsidRDefault="008E43FA"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0325322B" w14:textId="77777777" w:rsidR="00217870" w:rsidRPr="00C33834" w:rsidRDefault="00217870" w:rsidP="00C33834">
      <w:pPr>
        <w:spacing w:after="0" w:line="240" w:lineRule="auto"/>
        <w:jc w:val="both"/>
        <w:rPr>
          <w:rFonts w:ascii="Times New Roman" w:hAnsi="Times New Roman"/>
          <w:iCs/>
          <w:color w:val="000000" w:themeColor="text1"/>
          <w:sz w:val="16"/>
          <w:szCs w:val="16"/>
        </w:rPr>
      </w:pPr>
    </w:p>
    <w:p w14:paraId="450240DC" w14:textId="77777777" w:rsidR="00217870" w:rsidRPr="00C33834" w:rsidRDefault="00217870" w:rsidP="00C33834">
      <w:pPr>
        <w:pStyle w:val="rtejustify"/>
        <w:spacing w:before="0" w:after="0"/>
        <w:rPr>
          <w:color w:val="000000" w:themeColor="text1"/>
          <w:sz w:val="16"/>
          <w:szCs w:val="16"/>
        </w:rPr>
      </w:pPr>
      <w:r w:rsidRPr="00C33834">
        <w:rPr>
          <w:rStyle w:val="af0"/>
          <w:bCs/>
          <w:i w:val="0"/>
          <w:color w:val="000000" w:themeColor="text1"/>
          <w:sz w:val="16"/>
          <w:szCs w:val="16"/>
        </w:rPr>
        <w:t>15 августа</w:t>
      </w:r>
      <w:r w:rsidRPr="00C33834">
        <w:rPr>
          <w:color w:val="000000" w:themeColor="text1"/>
          <w:sz w:val="16"/>
          <w:szCs w:val="16"/>
        </w:rPr>
        <w:t xml:space="preserve"> 1933. Постановление СТО СССР № 75сс/о «Об источниках финансирования затрат, связанных с развитием военно-морских баз и аэродромного строительства на Черном море». (ГА РФ. Ф. Р</w:t>
      </w:r>
      <w:r w:rsidRPr="00C33834">
        <w:rPr>
          <w:color w:val="000000" w:themeColor="text1"/>
          <w:sz w:val="16"/>
          <w:szCs w:val="16"/>
        </w:rPr>
        <w:noBreakHyphen/>
        <w:t>8418. Оп. 28. Д. 2. Л. 111) (15460).</w:t>
      </w:r>
    </w:p>
    <w:p w14:paraId="027F1C55" w14:textId="77777777" w:rsidR="00217870" w:rsidRPr="00C33834" w:rsidRDefault="00217870" w:rsidP="00C33834">
      <w:pPr>
        <w:pStyle w:val="rtejustify"/>
        <w:spacing w:before="0" w:after="0"/>
        <w:rPr>
          <w:color w:val="000000" w:themeColor="text1"/>
          <w:sz w:val="16"/>
          <w:szCs w:val="16"/>
        </w:rPr>
      </w:pPr>
    </w:p>
    <w:p w14:paraId="616E9C47" w14:textId="77777777" w:rsidR="0092497E"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6B6E40DC" w14:textId="77777777" w:rsidR="0092497E" w:rsidRPr="00C33834" w:rsidRDefault="0092497E" w:rsidP="00C33834">
      <w:pPr>
        <w:spacing w:after="0" w:line="240" w:lineRule="auto"/>
        <w:jc w:val="both"/>
        <w:rPr>
          <w:rFonts w:ascii="Times New Roman" w:hAnsi="Times New Roman"/>
          <w:iCs/>
          <w:color w:val="000000" w:themeColor="text1"/>
          <w:sz w:val="16"/>
          <w:szCs w:val="16"/>
        </w:rPr>
      </w:pPr>
    </w:p>
    <w:p w14:paraId="7FBB2C6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августа 1933 вышел доклад ГПУ, согласно которому только в первой половине августа было 22 антисоветские демонстрации на Украине (10687).</w:t>
      </w:r>
    </w:p>
    <w:p w14:paraId="4AA4898C" w14:textId="77777777" w:rsidR="0092497E" w:rsidRPr="00C33834" w:rsidRDefault="0092497E" w:rsidP="00C33834">
      <w:pPr>
        <w:spacing w:after="0" w:line="240" w:lineRule="auto"/>
        <w:jc w:val="both"/>
        <w:rPr>
          <w:rFonts w:ascii="Times New Roman" w:hAnsi="Times New Roman"/>
          <w:color w:val="000000" w:themeColor="text1"/>
          <w:sz w:val="16"/>
          <w:szCs w:val="16"/>
        </w:rPr>
      </w:pPr>
    </w:p>
    <w:p w14:paraId="253D9701" w14:textId="77777777" w:rsidR="005966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6D6BE5B" w14:textId="77777777" w:rsidR="0059665B" w:rsidRPr="00C33834" w:rsidRDefault="0059665B" w:rsidP="00C33834">
      <w:pPr>
        <w:spacing w:after="0" w:line="240" w:lineRule="auto"/>
        <w:jc w:val="both"/>
        <w:rPr>
          <w:rFonts w:ascii="Times New Roman" w:hAnsi="Times New Roman"/>
          <w:iCs/>
          <w:color w:val="000000" w:themeColor="text1"/>
          <w:sz w:val="16"/>
          <w:szCs w:val="16"/>
        </w:rPr>
      </w:pPr>
    </w:p>
    <w:p w14:paraId="37517D5B" w14:textId="77777777" w:rsidR="0059665B" w:rsidRPr="00C33834" w:rsidRDefault="005966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середины августа 1933 после ремонта продолжились испытания Сталь-6 (15844).</w:t>
      </w:r>
    </w:p>
    <w:p w14:paraId="4C42CCCC" w14:textId="77777777" w:rsidR="0059665B" w:rsidRPr="00C33834" w:rsidRDefault="0059665B" w:rsidP="00C33834">
      <w:pPr>
        <w:spacing w:after="0" w:line="240" w:lineRule="auto"/>
        <w:jc w:val="both"/>
        <w:rPr>
          <w:rFonts w:ascii="Times New Roman" w:hAnsi="Times New Roman"/>
          <w:color w:val="000000" w:themeColor="text1"/>
          <w:sz w:val="16"/>
          <w:szCs w:val="16"/>
        </w:rPr>
      </w:pPr>
    </w:p>
    <w:p w14:paraId="39B7858D" w14:textId="77777777" w:rsidR="00223C0C" w:rsidRPr="00C33834" w:rsidRDefault="00223C0C"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середине августа 1933 после ремонта поврежденных подкрыльевых костылей продолжили заводские испытания Сталь-6.</w:t>
      </w:r>
    </w:p>
    <w:p w14:paraId="508B4B16" w14:textId="77777777" w:rsidR="00223C0C" w:rsidRPr="00C33834" w:rsidRDefault="00223C0C"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…В процессе заводских испытаний, проводившихся краснознамённым лётчиком т. Юмашевым, „Сталь-6“ совершил 16 полётов, целиком оправдавших применение технических нововведений и показавших высокие лётные качества самолёта. Достигнутая скорость 400 клм. в час, не являясь максимальной для этого самолёта, ставит всесоюзный рекорд» </w:t>
      </w:r>
      <w:hyperlink r:id="rId302" w:history="1">
        <w:r w:rsidRPr="00C33834">
          <w:rPr>
            <w:rFonts w:ascii="Times New Roman" w:eastAsia="Times New Roman" w:hAnsi="Times New Roman"/>
            <w:color w:val="000000" w:themeColor="text1"/>
            <w:sz w:val="16"/>
            <w:szCs w:val="16"/>
            <w:lang w:eastAsia="ru-RU"/>
          </w:rPr>
          <w:t>[117]</w:t>
        </w:r>
      </w:hyperlink>
      <w:r w:rsidRPr="00C33834">
        <w:rPr>
          <w:rFonts w:ascii="Times New Roman" w:eastAsia="Times New Roman" w:hAnsi="Times New Roman"/>
          <w:color w:val="000000" w:themeColor="text1"/>
          <w:sz w:val="16"/>
          <w:szCs w:val="16"/>
          <w:lang w:eastAsia="ru-RU"/>
        </w:rPr>
        <w:t xml:space="preserve"> (17489).</w:t>
      </w:r>
    </w:p>
    <w:p w14:paraId="0ACC752B" w14:textId="77777777" w:rsidR="00223C0C" w:rsidRPr="00C33834" w:rsidRDefault="00223C0C" w:rsidP="00C33834">
      <w:pPr>
        <w:spacing w:after="0" w:line="240" w:lineRule="auto"/>
        <w:jc w:val="both"/>
        <w:rPr>
          <w:rFonts w:ascii="Times New Roman" w:eastAsia="Times New Roman" w:hAnsi="Times New Roman"/>
          <w:color w:val="000000" w:themeColor="text1"/>
          <w:sz w:val="16"/>
          <w:szCs w:val="16"/>
          <w:lang w:eastAsia="ru-RU"/>
        </w:rPr>
      </w:pPr>
    </w:p>
    <w:p w14:paraId="60B7B4DB" w14:textId="77777777" w:rsidR="0092497E"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2A22548" w14:textId="77777777" w:rsidR="0092497E" w:rsidRPr="00C33834" w:rsidRDefault="0092497E" w:rsidP="00C33834">
      <w:pPr>
        <w:spacing w:after="0" w:line="240" w:lineRule="auto"/>
        <w:jc w:val="both"/>
        <w:rPr>
          <w:rFonts w:ascii="Times New Roman" w:hAnsi="Times New Roman"/>
          <w:iCs/>
          <w:color w:val="000000" w:themeColor="text1"/>
          <w:sz w:val="16"/>
          <w:szCs w:val="16"/>
        </w:rPr>
      </w:pPr>
    </w:p>
    <w:p w14:paraId="217CE7F7"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августа 1933 года начальник НИИ ВВС Зильберт писал письмо N сс 00916 начальнику материально-технического снабжения ВВС Жарову.</w:t>
      </w:r>
    </w:p>
    <w:p w14:paraId="4FDBBA09"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Отчет по испытанию облегченного самолета ТБ3-4М17 на определение радиуса действия и бомбовой нагрузки самолета</w:t>
      </w:r>
    </w:p>
    <w:p w14:paraId="3B7CCAC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3D7D0B04"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ведущий испытания самолета Лосюков</w:t>
      </w:r>
    </w:p>
    <w:p w14:paraId="011C6B8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Юмашев</w:t>
      </w:r>
    </w:p>
    <w:p w14:paraId="3A56C48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2DBF6E9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Определить радиус действия и бомбовую нагрузку облегченного самолета ТБ3-4М17.</w:t>
      </w:r>
    </w:p>
    <w:p w14:paraId="2402E84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1E95DFE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Резкое увеличение радиуса действия и бомбовой нагрузки самолета ТБ3-4М17 повышает во много раз боевую отдачу тяжелой бомбардировочной авиации ВВС и подлежит скорейшему освоению строевыми частями. (3061,18-27).</w:t>
      </w:r>
    </w:p>
    <w:p w14:paraId="76BC9C21" w14:textId="77777777" w:rsidR="0092497E" w:rsidRPr="00C33834" w:rsidRDefault="0092497E" w:rsidP="00C33834">
      <w:pPr>
        <w:spacing w:after="0" w:line="240" w:lineRule="auto"/>
        <w:jc w:val="both"/>
        <w:rPr>
          <w:rFonts w:ascii="Times New Roman" w:hAnsi="Times New Roman"/>
          <w:color w:val="000000" w:themeColor="text1"/>
          <w:sz w:val="16"/>
          <w:szCs w:val="16"/>
        </w:rPr>
      </w:pPr>
    </w:p>
    <w:p w14:paraId="3CBE82B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августа 1933 вышел приказ ГУАП N 13/327:</w:t>
      </w:r>
    </w:p>
    <w:p w14:paraId="73A89EE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связи с передачей производства самолета Р-6 с завода 31 на завод 22...." П.И.Б. (2290,42).</w:t>
      </w:r>
    </w:p>
    <w:p w14:paraId="26E6207A" w14:textId="77777777" w:rsidR="0092497E" w:rsidRPr="00C33834" w:rsidRDefault="0092497E" w:rsidP="00C33834">
      <w:pPr>
        <w:spacing w:after="0" w:line="240" w:lineRule="auto"/>
        <w:jc w:val="both"/>
        <w:rPr>
          <w:rFonts w:ascii="Times New Roman" w:hAnsi="Times New Roman"/>
          <w:color w:val="000000" w:themeColor="text1"/>
          <w:sz w:val="16"/>
          <w:szCs w:val="16"/>
        </w:rPr>
      </w:pPr>
    </w:p>
    <w:p w14:paraId="6578A04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августа 1933 вышел приказ ГУАП N 13/328:</w:t>
      </w:r>
    </w:p>
    <w:p w14:paraId="5FAA2B05"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связи с передачей внедрения и производства самолета ТБ-4 на завод 18:</w:t>
      </w:r>
    </w:p>
    <w:p w14:paraId="1E414D7D"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 Директору завода 22 подготовить к сдаче заводу 18...." П.И.Б. (2290,43).</w:t>
      </w:r>
    </w:p>
    <w:p w14:paraId="4A4672C0" w14:textId="77777777" w:rsidR="0092497E" w:rsidRPr="00C33834" w:rsidRDefault="0092497E" w:rsidP="00C33834">
      <w:pPr>
        <w:spacing w:after="0" w:line="240" w:lineRule="auto"/>
        <w:jc w:val="both"/>
        <w:rPr>
          <w:rFonts w:ascii="Times New Roman" w:hAnsi="Times New Roman"/>
          <w:color w:val="000000" w:themeColor="text1"/>
          <w:sz w:val="16"/>
          <w:szCs w:val="16"/>
        </w:rPr>
      </w:pPr>
    </w:p>
    <w:p w14:paraId="0BAD0E63"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16 августа по 4 сентября 1933 проходили испытания автожира «4А» с мотором М-26 300 НР (6646).</w:t>
      </w:r>
    </w:p>
    <w:p w14:paraId="090DAF41"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6D09086F"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Бронин</w:t>
      </w:r>
    </w:p>
    <w:p w14:paraId="0E957088"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Тихонов</w:t>
      </w:r>
    </w:p>
    <w:p w14:paraId="160ABB98"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Летнаб Агишев</w:t>
      </w:r>
    </w:p>
    <w:p w14:paraId="34CB73D0"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7C26B1E0" w14:textId="77777777" w:rsidR="0092497E" w:rsidRPr="00C33834" w:rsidRDefault="0092497E" w:rsidP="00C33834">
      <w:pPr>
        <w:numPr>
          <w:ilvl w:val="0"/>
          <w:numId w:val="247"/>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Снятие летной характеристики.</w:t>
      </w:r>
    </w:p>
    <w:p w14:paraId="7382CADE" w14:textId="77777777" w:rsidR="0092497E" w:rsidRPr="00C33834" w:rsidRDefault="0092497E" w:rsidP="00C33834">
      <w:pPr>
        <w:numPr>
          <w:ilvl w:val="0"/>
          <w:numId w:val="248"/>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летных свойств и особенностей пилотирования автожира, как особого типа летательного аппарата.</w:t>
      </w:r>
    </w:p>
    <w:p w14:paraId="7BADA772"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4FFDC9E8" w14:textId="77777777" w:rsidR="0092497E" w:rsidRPr="00C33834" w:rsidRDefault="0092497E" w:rsidP="00C33834">
      <w:pPr>
        <w:pStyle w:val="31"/>
        <w:widowControl/>
        <w:numPr>
          <w:ilvl w:val="0"/>
          <w:numId w:val="249"/>
        </w:numPr>
        <w:tabs>
          <w:tab w:val="left" w:pos="360"/>
          <w:tab w:val="left" w:pos="11199"/>
        </w:tabs>
        <w:ind w:left="0" w:firstLine="0"/>
        <w:jc w:val="both"/>
        <w:rPr>
          <w:color w:val="000000" w:themeColor="text1"/>
        </w:rPr>
      </w:pPr>
      <w:r w:rsidRPr="00C33834">
        <w:rPr>
          <w:color w:val="000000" w:themeColor="text1"/>
        </w:rPr>
        <w:t>Серия автожиров завода № 43 на основании испытания головной машины А-4 М-26 № 4301 может быть допущена для передачи в строевые части с целью ознакомления с особенностями пилотирования и эксплуатации автожиров.</w:t>
      </w:r>
    </w:p>
    <w:p w14:paraId="5637AF1C" w14:textId="77777777" w:rsidR="0092497E" w:rsidRPr="00C33834" w:rsidRDefault="0092497E" w:rsidP="00C33834">
      <w:pPr>
        <w:numPr>
          <w:ilvl w:val="0"/>
          <w:numId w:val="25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Поскольку на автожире установлен мотор М-26 обладающий скверными эксплуатационными данными, поскольку автожир А-4 имеет нескладывающийся ротор, выявил недостаточную устойчивость и взлетные свойства, считать нецелесообразным данный тип автожира строить сверх указанной уже серии.</w:t>
      </w:r>
    </w:p>
    <w:p w14:paraId="3145993E" w14:textId="77777777" w:rsidR="0092497E" w:rsidRPr="00C33834" w:rsidRDefault="0092497E" w:rsidP="00C33834">
      <w:pPr>
        <w:numPr>
          <w:ilvl w:val="0"/>
          <w:numId w:val="25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Форсировать передачу на гос. испытания А-6 М-11, как обладающего рядом эксплуатационных преимуществ перед А-4, а именно складывающийся ротор и крылья, свободно махающие лопасти и надежный мотор М-11.</w:t>
      </w:r>
    </w:p>
    <w:p w14:paraId="5614B1B8"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 автожира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08A48DD0" w14:textId="77777777">
        <w:tc>
          <w:tcPr>
            <w:tcW w:w="5636" w:type="dxa"/>
          </w:tcPr>
          <w:p w14:paraId="72F2C3A5"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августа 1933 года</w:t>
            </w:r>
          </w:p>
        </w:tc>
        <w:tc>
          <w:tcPr>
            <w:tcW w:w="5636" w:type="dxa"/>
          </w:tcPr>
          <w:p w14:paraId="66488F0B"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 принят на испытания. Проведено 2 приемных полета и перелет из Москвы в Щелково.</w:t>
            </w:r>
          </w:p>
        </w:tc>
      </w:tr>
      <w:tr w:rsidR="00F26F01" w:rsidRPr="00C33834" w14:paraId="4CCD72C6" w14:textId="77777777">
        <w:tc>
          <w:tcPr>
            <w:tcW w:w="5636" w:type="dxa"/>
          </w:tcPr>
          <w:p w14:paraId="2BE11EDC"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августа 1933 года</w:t>
            </w:r>
          </w:p>
        </w:tc>
        <w:tc>
          <w:tcPr>
            <w:tcW w:w="5636" w:type="dxa"/>
          </w:tcPr>
          <w:p w14:paraId="76699D88"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тренировочных полетов.</w:t>
            </w:r>
          </w:p>
        </w:tc>
      </w:tr>
      <w:tr w:rsidR="00F26F01" w:rsidRPr="00C33834" w14:paraId="678C56BF" w14:textId="77777777">
        <w:tc>
          <w:tcPr>
            <w:tcW w:w="5636" w:type="dxa"/>
          </w:tcPr>
          <w:p w14:paraId="00B90640"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 1933 года</w:t>
            </w:r>
          </w:p>
        </w:tc>
        <w:tc>
          <w:tcPr>
            <w:tcW w:w="5636" w:type="dxa"/>
          </w:tcPr>
          <w:p w14:paraId="55318371"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Демонстрационный полет.</w:t>
            </w:r>
          </w:p>
        </w:tc>
      </w:tr>
      <w:tr w:rsidR="00F26F01" w:rsidRPr="00C33834" w14:paraId="15784B97" w14:textId="77777777">
        <w:tc>
          <w:tcPr>
            <w:tcW w:w="5636" w:type="dxa"/>
          </w:tcPr>
          <w:p w14:paraId="0DE8DABF"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августа 1933 года</w:t>
            </w:r>
          </w:p>
        </w:tc>
        <w:tc>
          <w:tcPr>
            <w:tcW w:w="5636" w:type="dxa"/>
          </w:tcPr>
          <w:p w14:paraId="391C8071"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полета на километраж.</w:t>
            </w:r>
          </w:p>
        </w:tc>
      </w:tr>
      <w:tr w:rsidR="00F26F01" w:rsidRPr="00C33834" w14:paraId="75200F5A" w14:textId="77777777">
        <w:tc>
          <w:tcPr>
            <w:tcW w:w="5636" w:type="dxa"/>
          </w:tcPr>
          <w:p w14:paraId="42F89FD8"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августа 1933 года</w:t>
            </w:r>
          </w:p>
        </w:tc>
        <w:tc>
          <w:tcPr>
            <w:tcW w:w="5636" w:type="dxa"/>
          </w:tcPr>
          <w:p w14:paraId="5718FFF4"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полетов на выяснение взлетно-посадочных свойств самолета.</w:t>
            </w:r>
          </w:p>
        </w:tc>
      </w:tr>
      <w:tr w:rsidR="00F26F01" w:rsidRPr="00C33834" w14:paraId="5D2D4BF1" w14:textId="77777777">
        <w:tc>
          <w:tcPr>
            <w:tcW w:w="5636" w:type="dxa"/>
          </w:tcPr>
          <w:p w14:paraId="69F9D61F"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августа 1933 года</w:t>
            </w:r>
          </w:p>
        </w:tc>
        <w:tc>
          <w:tcPr>
            <w:tcW w:w="5636" w:type="dxa"/>
          </w:tcPr>
          <w:p w14:paraId="309848CA"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полета на устойчивость на 1500 м.</w:t>
            </w:r>
          </w:p>
        </w:tc>
      </w:tr>
      <w:tr w:rsidR="00F26F01" w:rsidRPr="00C33834" w14:paraId="3776E47D" w14:textId="77777777">
        <w:tc>
          <w:tcPr>
            <w:tcW w:w="5636" w:type="dxa"/>
          </w:tcPr>
          <w:p w14:paraId="2DC73F3C"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p>
        </w:tc>
        <w:tc>
          <w:tcPr>
            <w:tcW w:w="5636" w:type="dxa"/>
          </w:tcPr>
          <w:p w14:paraId="4FD19CBD"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зубцы с летнабом.</w:t>
            </w:r>
          </w:p>
        </w:tc>
      </w:tr>
    </w:tbl>
    <w:p w14:paraId="6728637A"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дальнейшие полеты произведены с летнабом.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2DFD2A3D" w14:textId="77777777">
        <w:tc>
          <w:tcPr>
            <w:tcW w:w="5636" w:type="dxa"/>
          </w:tcPr>
          <w:p w14:paraId="137D37E2"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августа 1933 года</w:t>
            </w:r>
          </w:p>
        </w:tc>
        <w:tc>
          <w:tcPr>
            <w:tcW w:w="5636" w:type="dxa"/>
          </w:tcPr>
          <w:p w14:paraId="45D5968B"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зубцы.</w:t>
            </w:r>
          </w:p>
        </w:tc>
      </w:tr>
      <w:tr w:rsidR="00F26F01" w:rsidRPr="00C33834" w14:paraId="3D4B839A" w14:textId="77777777">
        <w:tc>
          <w:tcPr>
            <w:tcW w:w="5636" w:type="dxa"/>
          </w:tcPr>
          <w:p w14:paraId="644A3489"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августа 1933 года</w:t>
            </w:r>
          </w:p>
        </w:tc>
        <w:tc>
          <w:tcPr>
            <w:tcW w:w="5636" w:type="dxa"/>
          </w:tcPr>
          <w:p w14:paraId="0DCE4576"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зубцы на 3500 м.</w:t>
            </w:r>
          </w:p>
        </w:tc>
      </w:tr>
      <w:tr w:rsidR="00F26F01" w:rsidRPr="00C33834" w14:paraId="77FB3851" w14:textId="77777777">
        <w:tc>
          <w:tcPr>
            <w:tcW w:w="5636" w:type="dxa"/>
          </w:tcPr>
          <w:p w14:paraId="15048C94"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августа 1933 года</w:t>
            </w:r>
          </w:p>
        </w:tc>
        <w:tc>
          <w:tcPr>
            <w:tcW w:w="5636" w:type="dxa"/>
          </w:tcPr>
          <w:p w14:paraId="6A91D73D"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маневренность и управляемость на 1000 м и 2000 м.</w:t>
            </w:r>
          </w:p>
        </w:tc>
      </w:tr>
      <w:tr w:rsidR="00F26F01" w:rsidRPr="00C33834" w14:paraId="5737AD6E" w14:textId="77777777">
        <w:tc>
          <w:tcPr>
            <w:tcW w:w="5636" w:type="dxa"/>
          </w:tcPr>
          <w:p w14:paraId="7BAC709C"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августа 1933 года</w:t>
            </w:r>
          </w:p>
        </w:tc>
        <w:tc>
          <w:tcPr>
            <w:tcW w:w="5636" w:type="dxa"/>
          </w:tcPr>
          <w:p w14:paraId="2169142C"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километраж (с летнабом).</w:t>
            </w:r>
          </w:p>
        </w:tc>
      </w:tr>
      <w:tr w:rsidR="00F26F01" w:rsidRPr="00C33834" w14:paraId="5FD68A03" w14:textId="77777777">
        <w:tc>
          <w:tcPr>
            <w:tcW w:w="5636" w:type="dxa"/>
          </w:tcPr>
          <w:p w14:paraId="0E053FD0"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августа 1933 года</w:t>
            </w:r>
          </w:p>
        </w:tc>
        <w:tc>
          <w:tcPr>
            <w:tcW w:w="5636" w:type="dxa"/>
          </w:tcPr>
          <w:p w14:paraId="7A6DC2C9"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километраж (1 пилот).</w:t>
            </w:r>
          </w:p>
        </w:tc>
      </w:tr>
      <w:tr w:rsidR="00F26F01" w:rsidRPr="00C33834" w14:paraId="358A288E" w14:textId="77777777">
        <w:tc>
          <w:tcPr>
            <w:tcW w:w="5636" w:type="dxa"/>
          </w:tcPr>
          <w:p w14:paraId="44796BA2"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августа 1933 года</w:t>
            </w:r>
          </w:p>
        </w:tc>
        <w:tc>
          <w:tcPr>
            <w:tcW w:w="5636" w:type="dxa"/>
          </w:tcPr>
          <w:p w14:paraId="0122F7D4"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скороподъемность и потолок.</w:t>
            </w:r>
          </w:p>
        </w:tc>
      </w:tr>
      <w:tr w:rsidR="00F26F01" w:rsidRPr="00C33834" w14:paraId="5326BBAB" w14:textId="77777777">
        <w:tc>
          <w:tcPr>
            <w:tcW w:w="5636" w:type="dxa"/>
          </w:tcPr>
          <w:p w14:paraId="10428D55"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года</w:t>
            </w:r>
          </w:p>
        </w:tc>
        <w:tc>
          <w:tcPr>
            <w:tcW w:w="5636" w:type="dxa"/>
          </w:tcPr>
          <w:p w14:paraId="6434A83B"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маневренность и устойчивость.</w:t>
            </w:r>
          </w:p>
        </w:tc>
      </w:tr>
      <w:tr w:rsidR="00F26F01" w:rsidRPr="00C33834" w14:paraId="1CE99075" w14:textId="77777777">
        <w:tc>
          <w:tcPr>
            <w:tcW w:w="5636" w:type="dxa"/>
          </w:tcPr>
          <w:p w14:paraId="0FFA7FF7"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года</w:t>
            </w:r>
          </w:p>
        </w:tc>
        <w:tc>
          <w:tcPr>
            <w:tcW w:w="5636" w:type="dxa"/>
          </w:tcPr>
          <w:p w14:paraId="180BEF57"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полетов на определение взлетно-посадочных свойств, определение траектории взлета и посадки.</w:t>
            </w:r>
          </w:p>
        </w:tc>
      </w:tr>
      <w:tr w:rsidR="00F26F01" w:rsidRPr="00C33834" w14:paraId="2D1A0507" w14:textId="77777777">
        <w:tc>
          <w:tcPr>
            <w:tcW w:w="5636" w:type="dxa"/>
          </w:tcPr>
          <w:p w14:paraId="4757A6A7"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сентября 1933 года</w:t>
            </w:r>
          </w:p>
        </w:tc>
        <w:tc>
          <w:tcPr>
            <w:tcW w:w="5636" w:type="dxa"/>
          </w:tcPr>
          <w:p w14:paraId="08A13FD2"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полета с перегрузкой в 53 кг на скороподъемность на 2000 м и горизонталь скорости по высотам и маневренность.</w:t>
            </w:r>
          </w:p>
        </w:tc>
      </w:tr>
      <w:tr w:rsidR="00F26F01" w:rsidRPr="00C33834" w14:paraId="4203EB12" w14:textId="77777777">
        <w:tc>
          <w:tcPr>
            <w:tcW w:w="5636" w:type="dxa"/>
          </w:tcPr>
          <w:p w14:paraId="5A3F97B0"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p>
        </w:tc>
        <w:tc>
          <w:tcPr>
            <w:tcW w:w="5636" w:type="dxa"/>
          </w:tcPr>
          <w:p w14:paraId="54AB12FA"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облетных полетов (2 выпущено).</w:t>
            </w:r>
          </w:p>
        </w:tc>
      </w:tr>
      <w:tr w:rsidR="00F26F01" w:rsidRPr="00C33834" w14:paraId="1AA8254F" w14:textId="77777777">
        <w:tc>
          <w:tcPr>
            <w:tcW w:w="5636" w:type="dxa"/>
          </w:tcPr>
          <w:p w14:paraId="2B5DDABF"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сентября 1933 года</w:t>
            </w:r>
          </w:p>
        </w:tc>
        <w:tc>
          <w:tcPr>
            <w:tcW w:w="5636" w:type="dxa"/>
          </w:tcPr>
          <w:p w14:paraId="4A9D969F"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облетных полетов (4 выпущено).</w:t>
            </w:r>
          </w:p>
        </w:tc>
      </w:tr>
    </w:tbl>
    <w:p w14:paraId="3FAC0F7B"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проведено в 14 дней (13 летных), проведено 69 полетов. Полетных часов – 20 час. 20 мин.</w:t>
      </w:r>
    </w:p>
    <w:p w14:paraId="46DABBF9"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технические и регулировочные данные автожира «4А»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062F7670" w14:textId="77777777">
        <w:tc>
          <w:tcPr>
            <w:tcW w:w="5636" w:type="dxa"/>
          </w:tcPr>
          <w:p w14:paraId="506A1493"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Год выпуска</w:t>
            </w:r>
          </w:p>
        </w:tc>
        <w:tc>
          <w:tcPr>
            <w:tcW w:w="5636" w:type="dxa"/>
          </w:tcPr>
          <w:p w14:paraId="10A4326F"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r>
      <w:tr w:rsidR="00F26F01" w:rsidRPr="00C33834" w14:paraId="66A6B942" w14:textId="77777777">
        <w:tc>
          <w:tcPr>
            <w:tcW w:w="5636" w:type="dxa"/>
          </w:tcPr>
          <w:p w14:paraId="65DF5D4F"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Полный полетный вес</w:t>
            </w:r>
          </w:p>
        </w:tc>
        <w:tc>
          <w:tcPr>
            <w:tcW w:w="5636" w:type="dxa"/>
          </w:tcPr>
          <w:p w14:paraId="450B897F"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1391,4</w:t>
            </w:r>
          </w:p>
        </w:tc>
      </w:tr>
      <w:tr w:rsidR="00F26F01" w:rsidRPr="00C33834" w14:paraId="06AC3FF6" w14:textId="77777777">
        <w:tc>
          <w:tcPr>
            <w:tcW w:w="5636" w:type="dxa"/>
          </w:tcPr>
          <w:p w14:paraId="251DF6F0"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Размах крыльев</w:t>
            </w:r>
          </w:p>
        </w:tc>
        <w:tc>
          <w:tcPr>
            <w:tcW w:w="5636" w:type="dxa"/>
          </w:tcPr>
          <w:p w14:paraId="0997267D"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6,72</w:t>
            </w:r>
          </w:p>
        </w:tc>
      </w:tr>
    </w:tbl>
    <w:p w14:paraId="191E7CD6"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Винты деревянные окованные (6646).</w:t>
      </w:r>
    </w:p>
    <w:p w14:paraId="41A7E79F"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p>
    <w:p w14:paraId="74A9F23D" w14:textId="77777777" w:rsidR="00986AFC" w:rsidRPr="00C33834" w:rsidRDefault="00986AF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период с 16 августа по 4 сентября 1933 г. первый се</w:t>
      </w:r>
      <w:r w:rsidRPr="00C33834">
        <w:rPr>
          <w:rFonts w:ascii="Times New Roman" w:hAnsi="Times New Roman"/>
          <w:color w:val="0070C0"/>
          <w:sz w:val="16"/>
          <w:szCs w:val="16"/>
        </w:rPr>
        <w:softHyphen/>
        <w:t>рийный А-4 киевского завода с заводским №4301 прохо</w:t>
      </w:r>
      <w:r w:rsidRPr="00C33834">
        <w:rPr>
          <w:rFonts w:ascii="Times New Roman" w:hAnsi="Times New Roman"/>
          <w:color w:val="0070C0"/>
          <w:sz w:val="16"/>
          <w:szCs w:val="16"/>
        </w:rPr>
        <w:softHyphen/>
        <w:t>дил госиспытания в НИИ ВВС. Вели испытания инженер Бронин, летчик Тихонов, летнаб Агишев. Всего за период испытаний совершили 69 успешных полетов без происше</w:t>
      </w:r>
      <w:r w:rsidRPr="00C33834">
        <w:rPr>
          <w:rFonts w:ascii="Times New Roman" w:hAnsi="Times New Roman"/>
          <w:color w:val="0070C0"/>
          <w:sz w:val="16"/>
          <w:szCs w:val="16"/>
        </w:rPr>
        <w:softHyphen/>
        <w:t>ствий.</w:t>
      </w:r>
    </w:p>
    <w:p w14:paraId="36BEF736" w14:textId="77777777" w:rsidR="00986AFC" w:rsidRPr="00C33834" w:rsidRDefault="00986AF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Военные испытатели отметили вполне удовлетворитель</w:t>
      </w:r>
      <w:r w:rsidRPr="00C33834">
        <w:rPr>
          <w:rFonts w:ascii="Times New Roman" w:hAnsi="Times New Roman"/>
          <w:color w:val="0070C0"/>
          <w:sz w:val="16"/>
          <w:szCs w:val="16"/>
        </w:rPr>
        <w:softHyphen/>
        <w:t>ные летные данные советского А-4 при сравнении его с ав</w:t>
      </w:r>
      <w:r w:rsidRPr="00C33834">
        <w:rPr>
          <w:rFonts w:ascii="Times New Roman" w:hAnsi="Times New Roman"/>
          <w:color w:val="0070C0"/>
          <w:sz w:val="16"/>
          <w:szCs w:val="16"/>
        </w:rPr>
        <w:softHyphen/>
        <w:t>тожирами де ла Сиервы. Общее заключение было таково: крупных дефектов нет, поэтому нет препятствий для продол</w:t>
      </w:r>
      <w:r w:rsidRPr="00C33834">
        <w:rPr>
          <w:rFonts w:ascii="Times New Roman" w:hAnsi="Times New Roman"/>
          <w:color w:val="0070C0"/>
          <w:sz w:val="16"/>
          <w:szCs w:val="16"/>
        </w:rPr>
        <w:softHyphen/>
        <w:t>жения серийного производства. Пилотирование не представ ляет сложности, самостоятельно выпущено 7 человек. Да</w:t>
      </w:r>
      <w:r w:rsidRPr="00C33834">
        <w:rPr>
          <w:rFonts w:ascii="Times New Roman" w:hAnsi="Times New Roman"/>
          <w:color w:val="0070C0"/>
          <w:sz w:val="16"/>
          <w:szCs w:val="16"/>
        </w:rPr>
        <w:softHyphen/>
        <w:t>лее говорилось, что величина разбега не отличается от средних величин разбега самолетов и «тем самым сводит на нет основные преимущества автожира - способность взлетать и садиться с малых поверхностей». Принудитель</w:t>
      </w:r>
      <w:r w:rsidRPr="00C33834">
        <w:rPr>
          <w:rFonts w:ascii="Times New Roman" w:hAnsi="Times New Roman"/>
          <w:color w:val="0070C0"/>
          <w:sz w:val="16"/>
          <w:szCs w:val="16"/>
        </w:rPr>
        <w:softHyphen/>
        <w:t>ная раскрутка ротора перед взлетом существенного влия</w:t>
      </w:r>
      <w:r w:rsidRPr="00C33834">
        <w:rPr>
          <w:rFonts w:ascii="Times New Roman" w:hAnsi="Times New Roman"/>
          <w:color w:val="0070C0"/>
          <w:sz w:val="16"/>
          <w:szCs w:val="16"/>
        </w:rPr>
        <w:softHyphen/>
        <w:t>ния на изменение длины разбега не оказывала.</w:t>
      </w:r>
    </w:p>
    <w:p w14:paraId="571E9F91" w14:textId="77777777" w:rsidR="00986AFC" w:rsidRPr="00C33834" w:rsidRDefault="00986AF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Несмотря на то, что А-4 имел недостаточную устойчи</w:t>
      </w:r>
      <w:r w:rsidRPr="00C33834">
        <w:rPr>
          <w:rFonts w:ascii="Times New Roman" w:hAnsi="Times New Roman"/>
          <w:color w:val="0070C0"/>
          <w:sz w:val="16"/>
          <w:szCs w:val="16"/>
        </w:rPr>
        <w:softHyphen/>
        <w:t>вость в полете и невысокие взлетные качества, построен</w:t>
      </w:r>
      <w:r w:rsidRPr="00C33834">
        <w:rPr>
          <w:rFonts w:ascii="Times New Roman" w:hAnsi="Times New Roman"/>
          <w:color w:val="0070C0"/>
          <w:sz w:val="16"/>
          <w:szCs w:val="16"/>
        </w:rPr>
        <w:softHyphen/>
        <w:t>ные экземпляры допустили для эксплуатации в строевых частях ВВС РККА. Однако серийное производство А-4 прекратили по причине малой надежности двигателя М-26. Кроме того, отмечалось, что ротор А-4 не складывается и транспортировка автожира наземным транспортом за</w:t>
      </w:r>
      <w:r w:rsidRPr="00C33834">
        <w:rPr>
          <w:rFonts w:ascii="Times New Roman" w:hAnsi="Times New Roman"/>
          <w:color w:val="0070C0"/>
          <w:sz w:val="16"/>
          <w:szCs w:val="16"/>
        </w:rPr>
        <w:softHyphen/>
        <w:t>труднена. В дальнейшем предлагалось форсировать пост</w:t>
      </w:r>
      <w:r w:rsidRPr="00C33834">
        <w:rPr>
          <w:rFonts w:ascii="Times New Roman" w:hAnsi="Times New Roman"/>
          <w:color w:val="0070C0"/>
          <w:sz w:val="16"/>
          <w:szCs w:val="16"/>
        </w:rPr>
        <w:softHyphen/>
        <w:t>ройку нового автожира А-6 с двигателем М-11 и склады</w:t>
      </w:r>
      <w:r w:rsidRPr="00C33834">
        <w:rPr>
          <w:rFonts w:ascii="Times New Roman" w:hAnsi="Times New Roman"/>
          <w:color w:val="0070C0"/>
          <w:sz w:val="16"/>
          <w:szCs w:val="16"/>
        </w:rPr>
        <w:softHyphen/>
        <w:t>вающимися лопастями ротора.</w:t>
      </w:r>
    </w:p>
    <w:p w14:paraId="4CDC6C6B" w14:textId="77777777" w:rsidR="00986AFC" w:rsidRPr="00C33834" w:rsidRDefault="00986AF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 утверждении акта по испытаниям А-4 Начальник ВВС РККА Алкснис 20 октября 1933 г. приказал начальни</w:t>
      </w:r>
      <w:r w:rsidRPr="00C33834">
        <w:rPr>
          <w:rFonts w:ascii="Times New Roman" w:hAnsi="Times New Roman"/>
          <w:color w:val="0070C0"/>
          <w:sz w:val="16"/>
          <w:szCs w:val="16"/>
        </w:rPr>
        <w:softHyphen/>
        <w:t>ку Управления материально-технического снабжения ВВС принять построенную серию автожиров и распределить ее для эксплуатации в строевые части (20381).</w:t>
      </w:r>
    </w:p>
    <w:p w14:paraId="3F38308B" w14:textId="77777777" w:rsidR="00986AFC" w:rsidRPr="00C33834" w:rsidRDefault="00986AFC" w:rsidP="00C33834">
      <w:pPr>
        <w:shd w:val="clear" w:color="auto" w:fill="FFFFFF"/>
        <w:spacing w:after="0" w:line="240" w:lineRule="auto"/>
        <w:jc w:val="both"/>
        <w:rPr>
          <w:rFonts w:ascii="Times New Roman" w:hAnsi="Times New Roman"/>
          <w:color w:val="0070C0"/>
          <w:sz w:val="16"/>
          <w:szCs w:val="16"/>
        </w:rPr>
      </w:pPr>
    </w:p>
    <w:p w14:paraId="616D9C5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16 августа по 9 октября 1933 в Финском заливе в районе Толбухина маяка состоялись испытания улучшенных ТАВ-15. С одного ТБ-1 сбросили 4 болванки и две торпеды с ходом и 6 октября удачно сбросили торпеду с 1000 м при температуре -7. Приняли к производству как эталон на 1934 и Нач. ВВС приказал доработать имеющиеся торпеды (1966,12).</w:t>
      </w:r>
    </w:p>
    <w:p w14:paraId="4513D727" w14:textId="77777777" w:rsidR="0092497E" w:rsidRPr="00C33834" w:rsidRDefault="0092497E" w:rsidP="00C33834">
      <w:pPr>
        <w:spacing w:after="0" w:line="240" w:lineRule="auto"/>
        <w:jc w:val="both"/>
        <w:rPr>
          <w:rFonts w:ascii="Times New Roman" w:hAnsi="Times New Roman"/>
          <w:color w:val="000000" w:themeColor="text1"/>
          <w:sz w:val="16"/>
          <w:szCs w:val="16"/>
        </w:rPr>
      </w:pPr>
    </w:p>
    <w:p w14:paraId="1F35F870" w14:textId="77777777" w:rsidR="0007105E" w:rsidRPr="00C33834" w:rsidRDefault="000710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16 августа 1933 в 15.00 «СССР В-3» прибыл в Харь</w:t>
      </w:r>
      <w:r w:rsidRPr="00C33834">
        <w:rPr>
          <w:rFonts w:ascii="Times New Roman" w:hAnsi="Times New Roman"/>
          <w:color w:val="0070C0"/>
          <w:sz w:val="16"/>
          <w:szCs w:val="16"/>
        </w:rPr>
        <w:softHyphen/>
        <w:t>ков и, сбросив листовки, сел. Комитет, организо</w:t>
      </w:r>
      <w:r w:rsidRPr="00C33834">
        <w:rPr>
          <w:rFonts w:ascii="Times New Roman" w:hAnsi="Times New Roman"/>
          <w:color w:val="0070C0"/>
          <w:sz w:val="16"/>
          <w:szCs w:val="16"/>
        </w:rPr>
        <w:softHyphen/>
        <w:t>ванный для встречи дирижабля, провёл митинг, сопровождавшийся сбором средств на постройку эскадрильи им. Постышева. Дирижабль выпол</w:t>
      </w:r>
      <w:r w:rsidRPr="00C33834">
        <w:rPr>
          <w:rFonts w:ascii="Times New Roman" w:hAnsi="Times New Roman"/>
          <w:color w:val="0070C0"/>
          <w:sz w:val="16"/>
          <w:szCs w:val="16"/>
        </w:rPr>
        <w:softHyphen/>
        <w:t>нил также несколько агитационных полётов над Харьковом (20120).</w:t>
      </w:r>
    </w:p>
    <w:p w14:paraId="7488961C" w14:textId="77777777" w:rsidR="0007105E" w:rsidRPr="00C33834" w:rsidRDefault="0007105E" w:rsidP="00C33834">
      <w:pPr>
        <w:spacing w:after="0" w:line="240" w:lineRule="auto"/>
        <w:jc w:val="both"/>
        <w:rPr>
          <w:rFonts w:ascii="Times New Roman" w:hAnsi="Times New Roman"/>
          <w:color w:val="0070C0"/>
          <w:sz w:val="16"/>
          <w:szCs w:val="16"/>
        </w:rPr>
      </w:pPr>
    </w:p>
    <w:p w14:paraId="2531BE53" w14:textId="77777777" w:rsidR="0092497E"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05F30C0" w14:textId="77777777" w:rsidR="0092497E" w:rsidRPr="00C33834" w:rsidRDefault="0092497E" w:rsidP="00C33834">
      <w:pPr>
        <w:spacing w:after="0" w:line="240" w:lineRule="auto"/>
        <w:jc w:val="both"/>
        <w:rPr>
          <w:rFonts w:ascii="Times New Roman" w:hAnsi="Times New Roman"/>
          <w:iCs/>
          <w:color w:val="000000" w:themeColor="text1"/>
          <w:sz w:val="16"/>
          <w:szCs w:val="16"/>
        </w:rPr>
      </w:pPr>
    </w:p>
    <w:p w14:paraId="5EDDEADF" w14:textId="77777777" w:rsidR="0092497E" w:rsidRPr="00C33834" w:rsidRDefault="0092497E"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августа 1933 года [4.112] заместитель НКТП Л.М. Каганович подписал устав предприятия и присвое</w:t>
      </w:r>
      <w:r w:rsidRPr="00C33834">
        <w:rPr>
          <w:rFonts w:ascii="Times New Roman" w:hAnsi="Times New Roman"/>
          <w:color w:val="000000" w:themeColor="text1"/>
          <w:sz w:val="16"/>
          <w:szCs w:val="16"/>
        </w:rPr>
        <w:softHyphen/>
        <w:t>ние ИМЗ нового названия: «Ижевский государственный мотоцик</w:t>
      </w:r>
      <w:r w:rsidRPr="00C33834">
        <w:rPr>
          <w:rFonts w:ascii="Times New Roman" w:hAnsi="Times New Roman"/>
          <w:color w:val="000000" w:themeColor="text1"/>
          <w:sz w:val="16"/>
          <w:szCs w:val="16"/>
        </w:rPr>
        <w:softHyphen/>
        <w:t>летный завод имени Всесоюзного общества АВТОДОР», а 2 сентября Наркомат финансов СССР зареги</w:t>
      </w:r>
      <w:r w:rsidRPr="00C33834">
        <w:rPr>
          <w:rFonts w:ascii="Times New Roman" w:hAnsi="Times New Roman"/>
          <w:color w:val="000000" w:themeColor="text1"/>
          <w:sz w:val="16"/>
          <w:szCs w:val="16"/>
        </w:rPr>
        <w:softHyphen/>
        <w:t>стрировал первый в стране завод серийного производства мотоцик</w:t>
      </w:r>
      <w:r w:rsidRPr="00C33834">
        <w:rPr>
          <w:rFonts w:ascii="Times New Roman" w:hAnsi="Times New Roman"/>
          <w:color w:val="000000" w:themeColor="text1"/>
          <w:sz w:val="16"/>
          <w:szCs w:val="16"/>
        </w:rPr>
        <w:softHyphen/>
        <w:t>лов. До конца года на его территории сдали в эксплуатацию тер</w:t>
      </w:r>
      <w:r w:rsidRPr="00C33834">
        <w:rPr>
          <w:rFonts w:ascii="Times New Roman" w:hAnsi="Times New Roman"/>
          <w:color w:val="000000" w:themeColor="text1"/>
          <w:sz w:val="16"/>
          <w:szCs w:val="16"/>
        </w:rPr>
        <w:softHyphen/>
        <w:t>мический цех, котельную и электроподстанцию [4.113]. В том же году заводу предоставили финансирование для развития производ</w:t>
      </w:r>
      <w:r w:rsidRPr="00C33834">
        <w:rPr>
          <w:rFonts w:ascii="Times New Roman" w:hAnsi="Times New Roman"/>
          <w:color w:val="000000" w:themeColor="text1"/>
          <w:sz w:val="16"/>
          <w:szCs w:val="16"/>
        </w:rPr>
        <w:softHyphen/>
        <w:t>ственной базы и запланировали на 1934 г. выпуск 400 экземпляров мотоциклов [4.114]. Руководству предприятия в тот период ещё не удалось организовать работу, следствием чего стало невыполне</w:t>
      </w:r>
      <w:r w:rsidRPr="00C33834">
        <w:rPr>
          <w:rFonts w:ascii="Times New Roman" w:hAnsi="Times New Roman"/>
          <w:color w:val="000000" w:themeColor="text1"/>
          <w:sz w:val="16"/>
          <w:szCs w:val="16"/>
        </w:rPr>
        <w:softHyphen/>
        <w:t>ние плана 1934 г. - изготовили всего 111 мотоциклов. Тем не ме</w:t>
      </w:r>
      <w:r w:rsidRPr="00C33834">
        <w:rPr>
          <w:rFonts w:ascii="Times New Roman" w:hAnsi="Times New Roman"/>
          <w:color w:val="000000" w:themeColor="text1"/>
          <w:sz w:val="16"/>
          <w:szCs w:val="16"/>
        </w:rPr>
        <w:softHyphen/>
        <w:t>нее, программу следующего года увеличили до 450 машин и пере</w:t>
      </w:r>
      <w:r w:rsidRPr="00C33834">
        <w:rPr>
          <w:rFonts w:ascii="Times New Roman" w:hAnsi="Times New Roman"/>
          <w:color w:val="000000" w:themeColor="text1"/>
          <w:sz w:val="16"/>
          <w:szCs w:val="16"/>
        </w:rPr>
        <w:softHyphen/>
        <w:t>выполнили её - сделали 451 мотоцикл, что рассматривалось как производственный успех [4.111].</w:t>
      </w:r>
    </w:p>
    <w:p w14:paraId="028864E7" w14:textId="77777777" w:rsidR="0092497E" w:rsidRPr="00C33834" w:rsidRDefault="0092497E"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Особенно важным представлялся 1936 год. Предстояло при</w:t>
      </w:r>
      <w:r w:rsidRPr="00C33834">
        <w:rPr>
          <w:rFonts w:ascii="Times New Roman" w:hAnsi="Times New Roman"/>
          <w:color w:val="000000" w:themeColor="text1"/>
          <w:sz w:val="16"/>
          <w:szCs w:val="16"/>
        </w:rPr>
        <w:softHyphen/>
        <w:t>нять новую конституцию, в связи с чем трудовые коллективы брали повышенные обязательства. Ижевский мотозавод не стал исключением: план на 1936 г. более чем удвоили - 1000 мотоцик</w:t>
      </w:r>
      <w:r w:rsidRPr="00C33834">
        <w:rPr>
          <w:rFonts w:ascii="Times New Roman" w:hAnsi="Times New Roman"/>
          <w:color w:val="000000" w:themeColor="text1"/>
          <w:sz w:val="16"/>
          <w:szCs w:val="16"/>
        </w:rPr>
        <w:softHyphen/>
        <w:t>лов. По оценкам директора предприятия сделать больше не пред</w:t>
      </w:r>
      <w:r w:rsidRPr="00C33834">
        <w:rPr>
          <w:rFonts w:ascii="Times New Roman" w:hAnsi="Times New Roman"/>
          <w:color w:val="000000" w:themeColor="text1"/>
          <w:sz w:val="16"/>
          <w:szCs w:val="16"/>
        </w:rPr>
        <w:softHyphen/>
        <w:t>ставлялось возможным, и план утвердили. Завод с большим на</w:t>
      </w:r>
      <w:r w:rsidRPr="00C33834">
        <w:rPr>
          <w:rFonts w:ascii="Times New Roman" w:hAnsi="Times New Roman"/>
          <w:color w:val="000000" w:themeColor="text1"/>
          <w:sz w:val="16"/>
          <w:szCs w:val="16"/>
        </w:rPr>
        <w:softHyphen/>
        <w:t>пряжением удваивал выпуск мотоциклов. Однако произошло не</w:t>
      </w:r>
      <w:r w:rsidRPr="00C33834">
        <w:rPr>
          <w:rFonts w:ascii="Times New Roman" w:hAnsi="Times New Roman"/>
          <w:color w:val="000000" w:themeColor="text1"/>
          <w:sz w:val="16"/>
          <w:szCs w:val="16"/>
        </w:rPr>
        <w:softHyphen/>
        <w:t>предвиденное: 5 августа 1936 г. во время посещения Г.К. Орджо</w:t>
      </w:r>
      <w:r w:rsidRPr="00C33834">
        <w:rPr>
          <w:rFonts w:ascii="Times New Roman" w:hAnsi="Times New Roman"/>
          <w:color w:val="000000" w:themeColor="text1"/>
          <w:sz w:val="16"/>
          <w:szCs w:val="16"/>
        </w:rPr>
        <w:softHyphen/>
        <w:t>никидзе делегации мотозавода (участницы женского мотопробе</w:t>
      </w:r>
      <w:r w:rsidRPr="00C33834">
        <w:rPr>
          <w:rFonts w:ascii="Times New Roman" w:hAnsi="Times New Roman"/>
          <w:color w:val="000000" w:themeColor="text1"/>
          <w:sz w:val="16"/>
          <w:szCs w:val="16"/>
        </w:rPr>
        <w:softHyphen/>
        <w:t>га и руководители мотозавода) «железный нарком», осмотрев ижевские мотоциклы, неожиданно предложил удвоить годовой выпуск ИЖ-7 и довести его до 2 тыс. машин. Заводской коллек</w:t>
      </w:r>
      <w:r w:rsidRPr="00C33834">
        <w:rPr>
          <w:rFonts w:ascii="Times New Roman" w:hAnsi="Times New Roman"/>
          <w:color w:val="000000" w:themeColor="text1"/>
          <w:sz w:val="16"/>
          <w:szCs w:val="16"/>
        </w:rPr>
        <w:softHyphen/>
        <w:t>тив решил непременно выполнить это устное поручение наркома. В оставшиеся месяцы года пришлось почти в пять раз взвинтить средний темп изготовления мотоциклов, чтобы справиться с зада</w:t>
      </w:r>
      <w:r w:rsidRPr="00C33834">
        <w:rPr>
          <w:rFonts w:ascii="Times New Roman" w:hAnsi="Times New Roman"/>
          <w:color w:val="000000" w:themeColor="text1"/>
          <w:sz w:val="16"/>
          <w:szCs w:val="16"/>
        </w:rPr>
        <w:softHyphen/>
        <w:t>нием. Завод до конца года работал в аварийном режиме, а люди - с большим надрывом. Для выполнения поручения наркома труд</w:t>
      </w:r>
      <w:r w:rsidRPr="00C33834">
        <w:rPr>
          <w:rFonts w:ascii="Times New Roman" w:hAnsi="Times New Roman"/>
          <w:color w:val="000000" w:themeColor="text1"/>
          <w:sz w:val="16"/>
          <w:szCs w:val="16"/>
        </w:rPr>
        <w:softHyphen/>
        <w:t>но пришлось и смежникам, поставлявшим материалы и комплек</w:t>
      </w:r>
      <w:r w:rsidRPr="00C33834">
        <w:rPr>
          <w:rFonts w:ascii="Times New Roman" w:hAnsi="Times New Roman"/>
          <w:color w:val="000000" w:themeColor="text1"/>
          <w:sz w:val="16"/>
          <w:szCs w:val="16"/>
        </w:rPr>
        <w:softHyphen/>
      </w:r>
      <w:r w:rsidRPr="00C33834">
        <w:rPr>
          <w:rFonts w:ascii="Times New Roman" w:hAnsi="Times New Roman"/>
          <w:color w:val="000000" w:themeColor="text1"/>
          <w:sz w:val="16"/>
          <w:szCs w:val="16"/>
        </w:rPr>
        <w:lastRenderedPageBreak/>
        <w:t>тующие изделия. Чтобы справиться с этой задачей и сохранить трудовую честь коллектива ИжМЗ, группе специалистов завода пришлось выступить в «Ижевской правде» с открытым письмом к сторонним участникам выпуска мотоциклов ИЖ-7 [4.115], что помогло.</w:t>
      </w:r>
    </w:p>
    <w:p w14:paraId="4593A565" w14:textId="77777777" w:rsidR="0092497E" w:rsidRPr="00C33834" w:rsidRDefault="0092497E"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то трудное время конструкторы ИМЗ завершили разработ</w:t>
      </w:r>
      <w:r w:rsidRPr="00C33834">
        <w:rPr>
          <w:rFonts w:ascii="Times New Roman" w:hAnsi="Times New Roman"/>
          <w:color w:val="000000" w:themeColor="text1"/>
          <w:sz w:val="16"/>
          <w:szCs w:val="16"/>
        </w:rPr>
        <w:softHyphen/>
        <w:t>ку нового мотоцикла с более мощным мотором. На поршне убра</w:t>
      </w:r>
      <w:r w:rsidRPr="00C33834">
        <w:rPr>
          <w:rFonts w:ascii="Times New Roman" w:hAnsi="Times New Roman"/>
          <w:color w:val="000000" w:themeColor="text1"/>
          <w:sz w:val="16"/>
          <w:szCs w:val="16"/>
        </w:rPr>
        <w:softHyphen/>
        <w:t>ли дефлектор, применили возвратную двухканальную продувку цилиндра, вместо манетки газа поместили вращающуюся ручку, усовершенствовали освещение и зажигание и многое другое [4.81]. В этой новаторской работе, проходившей в условиях про</w:t>
      </w:r>
      <w:r w:rsidRPr="00C33834">
        <w:rPr>
          <w:rFonts w:ascii="Times New Roman" w:hAnsi="Times New Roman"/>
          <w:color w:val="000000" w:themeColor="text1"/>
          <w:sz w:val="16"/>
          <w:szCs w:val="16"/>
        </w:rPr>
        <w:softHyphen/>
        <w:t>изводственной штурмовщины, связанной с выпуском 2 тыс. ма</w:t>
      </w:r>
      <w:r w:rsidRPr="00C33834">
        <w:rPr>
          <w:rFonts w:ascii="Times New Roman" w:hAnsi="Times New Roman"/>
          <w:color w:val="000000" w:themeColor="text1"/>
          <w:sz w:val="16"/>
          <w:szCs w:val="16"/>
        </w:rPr>
        <w:softHyphen/>
        <w:t>шин ИЖ-7, принимали участие конструкторы В.Е. Базик, Д.И. Зебзиев, К.М. Огнетов, В.В. Рогожин, СИ. Кульпин и др. Создали обновлённый мотоцикл с более элегантными обводами, обозначенный ИЖ-8. Поручение «товарища Серго» выполнили, хотя и с большими трудностями: к 31 декабря 1936 г. выпустили 2007 мотоциклов, сделав семь ИЖ-7 сверх задания [4.111].</w:t>
      </w:r>
    </w:p>
    <w:p w14:paraId="4C3CE55D" w14:textId="77777777" w:rsidR="0092497E" w:rsidRPr="00C33834" w:rsidRDefault="0092497E"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Однако не все машины смогли укомплектовать полностью. Не хватило 60 мотоцепей для привода заднего колеса, 140 манеток газа, - именно столько мотоциклов не удалось в срок пере</w:t>
      </w:r>
      <w:r w:rsidRPr="00C33834">
        <w:rPr>
          <w:rFonts w:ascii="Times New Roman" w:hAnsi="Times New Roman"/>
          <w:color w:val="000000" w:themeColor="text1"/>
          <w:sz w:val="16"/>
          <w:szCs w:val="16"/>
        </w:rPr>
        <w:softHyphen/>
        <w:t>дать в торговую сеть. Тогда усиленно развивали соцсоревнования на всех уровнях: индивидуальном (между отдельным рабочими), коллективном (между бригадами, цехами и даже предприятиями), отраслевом (между наркоматами). Действуя в этом ключе, колле</w:t>
      </w:r>
      <w:r w:rsidRPr="00C33834">
        <w:rPr>
          <w:rFonts w:ascii="Times New Roman" w:hAnsi="Times New Roman"/>
          <w:color w:val="000000" w:themeColor="text1"/>
          <w:sz w:val="16"/>
          <w:szCs w:val="16"/>
        </w:rPr>
        <w:softHyphen/>
        <w:t>ктив ИжМЗ вызвал на соревнование трудящихся Подольского механического завода (ПМЗ) и обязался в следующем году изго</w:t>
      </w:r>
      <w:r w:rsidRPr="00C33834">
        <w:rPr>
          <w:rFonts w:ascii="Times New Roman" w:hAnsi="Times New Roman"/>
          <w:color w:val="000000" w:themeColor="text1"/>
          <w:sz w:val="16"/>
          <w:szCs w:val="16"/>
        </w:rPr>
        <w:softHyphen/>
        <w:t>товить 3 тыс. мотоциклов, из них 2 тыс. - машин ИЖ-8 [4.116]. Свои обязательства ИжМЗ выполнил: в 1937 г. изготовили ЗОЮ мотоциклов [4.111] (11429).</w:t>
      </w:r>
    </w:p>
    <w:p w14:paraId="5738112D" w14:textId="77777777" w:rsidR="0092497E" w:rsidRPr="00C33834" w:rsidRDefault="0092497E" w:rsidP="00C33834">
      <w:pPr>
        <w:shd w:val="clear" w:color="auto" w:fill="FFFFFF"/>
        <w:spacing w:after="0" w:line="240" w:lineRule="auto"/>
        <w:jc w:val="both"/>
        <w:rPr>
          <w:rFonts w:ascii="Times New Roman" w:hAnsi="Times New Roman"/>
          <w:color w:val="000000" w:themeColor="text1"/>
          <w:sz w:val="16"/>
          <w:szCs w:val="16"/>
        </w:rPr>
      </w:pPr>
    </w:p>
    <w:p w14:paraId="1CF7D6DF" w14:textId="77777777" w:rsidR="00FD55C8"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6AFAF596" w14:textId="77777777" w:rsidR="00FD55C8" w:rsidRPr="00C33834" w:rsidRDefault="00FD55C8" w:rsidP="00C33834">
      <w:pPr>
        <w:spacing w:after="0" w:line="240" w:lineRule="auto"/>
        <w:jc w:val="both"/>
        <w:rPr>
          <w:rFonts w:ascii="Times New Roman" w:hAnsi="Times New Roman"/>
          <w:color w:val="000000" w:themeColor="text1"/>
          <w:sz w:val="16"/>
          <w:szCs w:val="16"/>
        </w:rPr>
      </w:pPr>
    </w:p>
    <w:p w14:paraId="38AC6DC2" w14:textId="77777777" w:rsidR="00003D98" w:rsidRPr="00C33834" w:rsidRDefault="00003D9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16 августа в 1940 году </w:t>
      </w:r>
      <w:hyperlink r:id="rId303" w:tgtFrame="_blank" w:history="1">
        <w:r w:rsidRPr="00C33834">
          <w:rPr>
            <w:rFonts w:ascii="Times New Roman" w:hAnsi="Times New Roman"/>
            <w:color w:val="000000" w:themeColor="text1"/>
            <w:sz w:val="16"/>
            <w:szCs w:val="16"/>
          </w:rPr>
          <w:t xml:space="preserve">Указ Президиума ВС СССР от 16.08.1940 "О переходе на восьмичасовой рабочий день и семидневную рабочую неделю на концессионных и других частных предприятиях, находящихся на территории СССР" </w:t>
        </w:r>
      </w:hyperlink>
    </w:p>
    <w:p w14:paraId="49FB8577" w14:textId="77777777" w:rsidR="00003D98" w:rsidRPr="00C33834" w:rsidRDefault="00003D98" w:rsidP="00C33834">
      <w:pPr>
        <w:spacing w:after="0" w:line="240" w:lineRule="auto"/>
        <w:jc w:val="both"/>
        <w:rPr>
          <w:rFonts w:ascii="Times New Roman" w:hAnsi="Times New Roman"/>
          <w:color w:val="000000" w:themeColor="text1"/>
          <w:sz w:val="16"/>
          <w:szCs w:val="16"/>
        </w:rPr>
      </w:pPr>
    </w:p>
    <w:p w14:paraId="513C05D7" w14:textId="77777777" w:rsidR="00FD55C8" w:rsidRPr="00C33834" w:rsidRDefault="00FD55C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16 августа </w:t>
      </w:r>
      <w:bookmarkStart w:id="45" w:name="YANDEX_20"/>
      <w:bookmarkEnd w:id="45"/>
      <w:r w:rsidRPr="00C33834">
        <w:rPr>
          <w:rFonts w:ascii="Times New Roman" w:eastAsia="Times New Roman" w:hAnsi="Times New Roman"/>
          <w:color w:val="000000" w:themeColor="text1"/>
          <w:sz w:val="16"/>
          <w:szCs w:val="16"/>
          <w:lang w:eastAsia="ru-RU"/>
        </w:rPr>
        <w:t xml:space="preserve"> 1933  г. в уголовно-судебной коллегии Верховного суда СССР началось слушание дела о некомплектной отгрузке комбайнов, к уголовной ответственности по которому были привлечены работники ряда хозяйственных органов и руководители завода «Коммунар». Обвинителем на суде выступал заместитель прокурора СССР А.Я. Вышинский. В своей заключительной речи он, в частности, заявил: «Процесс дает нам основание для постановки общих вопросов работы советских хозяйственных организаций!...] Я говорю о Наркомземе Союза[...] я говорю о Наркомтяжпроме[...] я говорю о республиканских органах». Такая постановка вопроса возмутила руководителей НКТП и Наркомзема, Г.К.Орджоникидзе и Я.А.Яковлева. 24 августа </w:t>
      </w:r>
      <w:bookmarkStart w:id="46" w:name="YANDEX_21"/>
      <w:bookmarkEnd w:id="46"/>
      <w:r w:rsidRPr="00C33834">
        <w:rPr>
          <w:rFonts w:ascii="Times New Roman" w:eastAsia="Times New Roman" w:hAnsi="Times New Roman"/>
          <w:color w:val="000000" w:themeColor="text1"/>
          <w:sz w:val="16"/>
          <w:szCs w:val="16"/>
          <w:lang w:eastAsia="ru-RU"/>
        </w:rPr>
        <w:t> 1933  г. в отсутствие Сталина Орджоникидзе добился обсуждения этого вопроса на заседании Политбюро. О некоторых подробностях этого обсуждения свидетельствуют письма его участников. Как писал Сталину Каганович, на заседании выяснилось, что публикацию в «Правде» и проведение суда направлял Молотов. Сам Молотов 8 сентября писал Сталину: «На совещании в ЦК были, кроме меня, Каганович, Калинин, Орджоникидзе, Яковлев и Вышинский (Акулов оказался за городом). Ты знаешь отношение Калинина к таким делам — он всегда «за хозяйственников», «обиженных» судом и РКИ, в данном случае тем более. Вышинский под напором Орджоникидзе сразу же заявил, что он допустил грубую ошибку и вообще держался униженно. На меня посыпались личные нападки гнуснейшего типа со стороны Орджоникидзе, что все это — дело моих рук, за спиной ЦК, работать с М. (Молотовым</w:t>
      </w:r>
      <w:r w:rsidRPr="00C33834">
        <w:rPr>
          <w:rFonts w:ascii="Times New Roman" w:eastAsia="Times New Roman" w:hAnsi="Times New Roman"/>
          <w:iCs/>
          <w:color w:val="000000" w:themeColor="text1"/>
          <w:sz w:val="16"/>
          <w:szCs w:val="16"/>
          <w:lang w:eastAsia="ru-RU"/>
        </w:rPr>
        <w:t xml:space="preserve">) </w:t>
      </w:r>
      <w:r w:rsidRPr="00C33834">
        <w:rPr>
          <w:rFonts w:ascii="Times New Roman" w:eastAsia="Times New Roman" w:hAnsi="Times New Roman"/>
          <w:color w:val="000000" w:themeColor="text1"/>
          <w:sz w:val="16"/>
          <w:szCs w:val="16"/>
          <w:lang w:eastAsia="ru-RU"/>
        </w:rPr>
        <w:t>невозможно и пр[...] Несмотря на это, и несмотря на то, что Каганович молчаливо соглашался с Орджоникидзе, я не должен был сдаваться».</w:t>
      </w:r>
    </w:p>
    <w:p w14:paraId="06B8DA42" w14:textId="77777777" w:rsidR="005C0DE4" w:rsidRPr="00C33834" w:rsidRDefault="00FD55C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результате Политбюро приняло решение, осуждавшее формулировку речи Вышинского, «которая дает повод к неправильному обвинению в отношении НКтяжпрома и НКЗема». Проект постановления был написан Кагановичем и отредактирован Молотовым. За его принятие проголосовали все присутствующие члены Политбюро: Каганович, Молотов, Калинин и Орджоникидзе</w:t>
      </w:r>
      <w:r w:rsidR="005C0DE4" w:rsidRPr="00C33834">
        <w:rPr>
          <w:rFonts w:ascii="Times New Roman" w:eastAsia="Times New Roman" w:hAnsi="Times New Roman"/>
          <w:color w:val="000000" w:themeColor="text1"/>
          <w:sz w:val="16"/>
          <w:szCs w:val="16"/>
          <w:lang w:eastAsia="ru-RU"/>
        </w:rPr>
        <w:t>.</w:t>
      </w:r>
    </w:p>
    <w:p w14:paraId="7C99BE96" w14:textId="77777777" w:rsidR="00FD55C8" w:rsidRPr="00C33834" w:rsidRDefault="005C0DE4"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августа прислал в Москву на имя Кагановича, Молотова и Орджоникидзе, а также для всех других членов Политбюро резкую телеграмму, осуждающую постановление о Вышинском (см. документ № 301). Несмотря на то, что телеграмма Сталина попала в ЦК около шести часов вечера 29 августа, решение об отмене постановления было проведено голосованием вкруговую только через два дня, 1 сентября. Свои подписи под решением поставили Каганович, Андреев, Куйбышев и Микоян</w:t>
      </w:r>
      <w:r w:rsidRPr="00C33834">
        <w:rPr>
          <w:rFonts w:ascii="Times New Roman" w:hAnsi="Times New Roman"/>
          <w:color w:val="000000" w:themeColor="text1"/>
          <w:sz w:val="16"/>
          <w:szCs w:val="16"/>
          <w:vertAlign w:val="superscript"/>
        </w:rPr>
        <w:t>17</w:t>
      </w:r>
      <w:r w:rsidRPr="00C33834">
        <w:rPr>
          <w:rFonts w:ascii="Times New Roman" w:hAnsi="Times New Roman"/>
          <w:color w:val="000000" w:themeColor="text1"/>
          <w:sz w:val="16"/>
          <w:szCs w:val="16"/>
        </w:rPr>
        <w:t>, т.е. те члены Политбюро, которые (за исключением Кагановича) не имели отношения к принятию предыдущего постановления. Орджоникидзе, против которого фактически был направлен пересмотр дела, с 1 сентября по решению Политбюро ушел в отпуск. Похоже, что Каганович специально придержал рассмотрение вопроса для того, чтобы не ставить в неудобное положение Орджоникидзе</w:t>
      </w:r>
      <w:r w:rsidR="00FD55C8" w:rsidRPr="00C33834">
        <w:rPr>
          <w:rFonts w:ascii="Times New Roman" w:eastAsia="Times New Roman" w:hAnsi="Times New Roman"/>
          <w:color w:val="000000" w:themeColor="text1"/>
          <w:sz w:val="16"/>
          <w:szCs w:val="16"/>
          <w:lang w:eastAsia="ru-RU"/>
        </w:rPr>
        <w:t xml:space="preserve"> (17281).</w:t>
      </w:r>
    </w:p>
    <w:p w14:paraId="31316B91" w14:textId="77777777" w:rsidR="00FD55C8" w:rsidRPr="00C33834" w:rsidRDefault="00FD55C8" w:rsidP="00C33834">
      <w:pPr>
        <w:shd w:val="clear" w:color="auto" w:fill="FFFFFF"/>
        <w:spacing w:after="0" w:line="240" w:lineRule="auto"/>
        <w:jc w:val="both"/>
        <w:rPr>
          <w:rFonts w:ascii="Times New Roman" w:hAnsi="Times New Roman"/>
          <w:color w:val="000000" w:themeColor="text1"/>
          <w:sz w:val="16"/>
          <w:szCs w:val="16"/>
        </w:rPr>
      </w:pPr>
    </w:p>
    <w:p w14:paraId="4FF862E1" w14:textId="77777777" w:rsidR="0092497E"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6F63D57" w14:textId="77777777" w:rsidR="0092497E" w:rsidRPr="00C33834" w:rsidRDefault="0092497E" w:rsidP="00C33834">
      <w:pPr>
        <w:spacing w:after="0" w:line="240" w:lineRule="auto"/>
        <w:jc w:val="both"/>
        <w:rPr>
          <w:rFonts w:ascii="Times New Roman" w:hAnsi="Times New Roman"/>
          <w:iCs/>
          <w:color w:val="000000" w:themeColor="text1"/>
          <w:sz w:val="16"/>
          <w:szCs w:val="16"/>
        </w:rPr>
      </w:pPr>
    </w:p>
    <w:p w14:paraId="2F9BDFCA"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августа 1933 лидер немецких нацистов Герман Геринг запретил в Пруссии вивисекцию (операции на живых животных) (4962).</w:t>
      </w:r>
    </w:p>
    <w:p w14:paraId="09E5102B"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p>
    <w:p w14:paraId="33A9F58C" w14:textId="77777777" w:rsidR="0092497E"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A3DD0FB" w14:textId="77777777" w:rsidR="0092497E" w:rsidRPr="00C33834" w:rsidRDefault="0092497E" w:rsidP="00C33834">
      <w:pPr>
        <w:spacing w:after="0" w:line="240" w:lineRule="auto"/>
        <w:jc w:val="both"/>
        <w:rPr>
          <w:rFonts w:ascii="Times New Roman" w:hAnsi="Times New Roman"/>
          <w:iCs/>
          <w:color w:val="000000" w:themeColor="text1"/>
          <w:sz w:val="16"/>
          <w:szCs w:val="16"/>
        </w:rPr>
      </w:pPr>
    </w:p>
    <w:p w14:paraId="5086EDD9"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августа 1933 года Начальник НИИ ВВС Зильберт утвердил протокол Тактико-технического совещания НИИ ВВС (Журнал № 6) от 11 августа 1933 года (6788).</w:t>
      </w:r>
    </w:p>
    <w:p w14:paraId="635F6E4E"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Перечень разбиравшихся вопросов</w:t>
      </w:r>
    </w:p>
    <w:p w14:paraId="5F178352" w14:textId="77777777" w:rsidR="0092497E" w:rsidRPr="00C33834" w:rsidRDefault="0092497E" w:rsidP="00C33834">
      <w:pPr>
        <w:pStyle w:val="31"/>
        <w:widowControl/>
        <w:numPr>
          <w:ilvl w:val="0"/>
          <w:numId w:val="252"/>
        </w:numPr>
        <w:tabs>
          <w:tab w:val="left" w:pos="360"/>
          <w:tab w:val="left" w:pos="11199"/>
        </w:tabs>
        <w:ind w:left="0" w:firstLine="0"/>
        <w:jc w:val="both"/>
        <w:rPr>
          <w:color w:val="000000" w:themeColor="text1"/>
        </w:rPr>
      </w:pPr>
      <w:r w:rsidRPr="00C33834">
        <w:rPr>
          <w:color w:val="000000" w:themeColor="text1"/>
        </w:rPr>
        <w:t>Тактико-технические требования к транспортному самолету. Докладчики Гребенев и Лебедев (6788).</w:t>
      </w:r>
    </w:p>
    <w:p w14:paraId="2415CA97" w14:textId="77777777" w:rsidR="0092497E" w:rsidRPr="00C33834" w:rsidRDefault="0092497E" w:rsidP="00C33834">
      <w:pPr>
        <w:pStyle w:val="31"/>
        <w:widowControl/>
        <w:tabs>
          <w:tab w:val="left" w:pos="360"/>
          <w:tab w:val="left" w:pos="11199"/>
        </w:tabs>
        <w:jc w:val="both"/>
        <w:rPr>
          <w:color w:val="000000" w:themeColor="text1"/>
        </w:rPr>
      </w:pPr>
    </w:p>
    <w:p w14:paraId="7309C89C"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августа 1933 была третья рулежка К-7 К.А.К. в течение 10 мин. и колеса работали нормально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F26F01" w:rsidRPr="00C33834" w14:paraId="2C3DB46E" w14:textId="77777777">
        <w:tc>
          <w:tcPr>
            <w:tcW w:w="1384" w:type="dxa"/>
            <w:tcBorders>
              <w:top w:val="single" w:sz="12" w:space="0" w:color="auto"/>
            </w:tcBorders>
          </w:tcPr>
          <w:p w14:paraId="59620CF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Дата испытания</w:t>
            </w:r>
          </w:p>
        </w:tc>
        <w:tc>
          <w:tcPr>
            <w:tcW w:w="2410" w:type="dxa"/>
            <w:tcBorders>
              <w:top w:val="single" w:sz="12" w:space="0" w:color="auto"/>
            </w:tcBorders>
          </w:tcPr>
          <w:p w14:paraId="2199641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w:t>
            </w:r>
          </w:p>
        </w:tc>
        <w:tc>
          <w:tcPr>
            <w:tcW w:w="1089" w:type="dxa"/>
            <w:tcBorders>
              <w:top w:val="single" w:sz="12" w:space="0" w:color="auto"/>
            </w:tcBorders>
          </w:tcPr>
          <w:p w14:paraId="14A1647B"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0E9876E9"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0A169347"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1F1CBAF9"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tc>
      </w:tr>
      <w:tr w:rsidR="00F26F01" w:rsidRPr="00C33834" w14:paraId="04100F74" w14:textId="77777777">
        <w:tc>
          <w:tcPr>
            <w:tcW w:w="1384" w:type="dxa"/>
            <w:tcBorders>
              <w:bottom w:val="single" w:sz="12" w:space="0" w:color="auto"/>
            </w:tcBorders>
          </w:tcPr>
          <w:p w14:paraId="563FAEDC"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августа 1933</w:t>
            </w:r>
          </w:p>
        </w:tc>
        <w:tc>
          <w:tcPr>
            <w:tcW w:w="2410" w:type="dxa"/>
            <w:tcBorders>
              <w:bottom w:val="single" w:sz="12" w:space="0" w:color="auto"/>
            </w:tcBorders>
          </w:tcPr>
          <w:p w14:paraId="6424120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Третья рулежка с-та</w:t>
            </w:r>
          </w:p>
        </w:tc>
        <w:tc>
          <w:tcPr>
            <w:tcW w:w="1089" w:type="dxa"/>
            <w:tcBorders>
              <w:bottom w:val="single" w:sz="12" w:space="0" w:color="auto"/>
            </w:tcBorders>
          </w:tcPr>
          <w:p w14:paraId="56D463CB"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Запуск моторов: 1:50</w:t>
            </w:r>
          </w:p>
          <w:p w14:paraId="2D05470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Рулежка: 0:10</w:t>
            </w:r>
          </w:p>
        </w:tc>
        <w:tc>
          <w:tcPr>
            <w:tcW w:w="3447" w:type="dxa"/>
            <w:tcBorders>
              <w:bottom w:val="single" w:sz="12" w:space="0" w:color="auto"/>
            </w:tcBorders>
          </w:tcPr>
          <w:p w14:paraId="3E81A63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Исправное состояние вновь установленных колес</w:t>
            </w:r>
          </w:p>
        </w:tc>
        <w:tc>
          <w:tcPr>
            <w:tcW w:w="1776" w:type="dxa"/>
            <w:tcBorders>
              <w:bottom w:val="single" w:sz="12" w:space="0" w:color="auto"/>
            </w:tcBorders>
          </w:tcPr>
          <w:p w14:paraId="0ED15B74"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Слабость запоров люков передней кромки крыла (устранено)</w:t>
            </w:r>
          </w:p>
        </w:tc>
        <w:tc>
          <w:tcPr>
            <w:tcW w:w="1105" w:type="dxa"/>
            <w:tcBorders>
              <w:bottom w:val="single" w:sz="12" w:space="0" w:color="auto"/>
            </w:tcBorders>
          </w:tcPr>
          <w:p w14:paraId="10AE26B8" w14:textId="77777777" w:rsidR="0092497E" w:rsidRPr="00C33834" w:rsidRDefault="0092497E" w:rsidP="00C33834">
            <w:pPr>
              <w:spacing w:after="0" w:line="240" w:lineRule="auto"/>
              <w:jc w:val="both"/>
              <w:rPr>
                <w:rFonts w:ascii="Times New Roman" w:hAnsi="Times New Roman"/>
                <w:color w:val="000000" w:themeColor="text1"/>
                <w:sz w:val="16"/>
                <w:szCs w:val="16"/>
              </w:rPr>
            </w:pPr>
          </w:p>
        </w:tc>
      </w:tr>
    </w:tbl>
    <w:p w14:paraId="772D87DD"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(2306,98).</w:t>
      </w:r>
    </w:p>
    <w:p w14:paraId="28C2285E" w14:textId="77777777" w:rsidR="0092497E" w:rsidRPr="00C33834" w:rsidRDefault="0092497E" w:rsidP="00C33834">
      <w:pPr>
        <w:spacing w:after="0" w:line="240" w:lineRule="auto"/>
        <w:jc w:val="both"/>
        <w:rPr>
          <w:rFonts w:ascii="Times New Roman" w:hAnsi="Times New Roman"/>
          <w:color w:val="000000" w:themeColor="text1"/>
          <w:sz w:val="16"/>
          <w:szCs w:val="16"/>
        </w:rPr>
      </w:pPr>
    </w:p>
    <w:p w14:paraId="1D62C446" w14:textId="77777777" w:rsidR="00373CC8" w:rsidRPr="00C33834" w:rsidRDefault="00373CC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17 августа 1933 произошла очередная поломка автожира А-4 в момент посадки.</w:t>
      </w:r>
    </w:p>
    <w:p w14:paraId="7110783C" w14:textId="77777777" w:rsidR="00373CC8" w:rsidRPr="00C33834" w:rsidRDefault="00373CC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Как видим, испытательные полеты автожиров А-4 проис</w:t>
      </w:r>
      <w:r w:rsidRPr="00C33834">
        <w:rPr>
          <w:rFonts w:ascii="Times New Roman" w:hAnsi="Times New Roman"/>
          <w:color w:val="0070C0"/>
          <w:sz w:val="16"/>
          <w:szCs w:val="16"/>
        </w:rPr>
        <w:softHyphen/>
        <w:t>ходили с преодолением многочисленных трудностей. Ле</w:t>
      </w:r>
      <w:r w:rsidRPr="00C33834">
        <w:rPr>
          <w:rFonts w:ascii="Times New Roman" w:hAnsi="Times New Roman"/>
          <w:color w:val="0070C0"/>
          <w:sz w:val="16"/>
          <w:szCs w:val="16"/>
        </w:rPr>
        <w:softHyphen/>
        <w:t>том 1933 г. два первых автожира (московской и киевской постройки) летали уже вполне уверенно - по состоянию на 4 августа они совершили 28 полетов с общим полетным временем 7 часов 53 минуты (20381).</w:t>
      </w:r>
    </w:p>
    <w:p w14:paraId="1FE18897" w14:textId="77777777" w:rsidR="00373CC8" w:rsidRPr="00C33834" w:rsidRDefault="00373CC8" w:rsidP="00C33834">
      <w:pPr>
        <w:spacing w:after="0" w:line="240" w:lineRule="auto"/>
        <w:jc w:val="both"/>
        <w:rPr>
          <w:rFonts w:ascii="Times New Roman" w:hAnsi="Times New Roman"/>
          <w:color w:val="0070C0"/>
          <w:sz w:val="16"/>
          <w:szCs w:val="16"/>
        </w:rPr>
      </w:pPr>
    </w:p>
    <w:p w14:paraId="3B93540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17-18 августа 1933 Н.А.Соколов-Соколенок и С.С.Зызымов совершили высотный перелет Москва-Севастополь-Москва на Р-5 на высоте 5000-5800 м с частичным применением кислорода. На пути туда сели в Полтаве из-за усталости, но обратно долетели без посадок (438,652).</w:t>
      </w:r>
    </w:p>
    <w:p w14:paraId="1E0B34A9" w14:textId="77777777" w:rsidR="0092497E" w:rsidRPr="00C33834" w:rsidRDefault="0092497E" w:rsidP="00C33834">
      <w:pPr>
        <w:spacing w:after="0" w:line="240" w:lineRule="auto"/>
        <w:jc w:val="both"/>
        <w:rPr>
          <w:rFonts w:ascii="Times New Roman" w:hAnsi="Times New Roman"/>
          <w:color w:val="000000" w:themeColor="text1"/>
          <w:sz w:val="16"/>
          <w:szCs w:val="16"/>
        </w:rPr>
      </w:pPr>
    </w:p>
    <w:p w14:paraId="6E856CAF" w14:textId="77777777" w:rsidR="00373CC8" w:rsidRPr="00C33834" w:rsidRDefault="00373CC8"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17 – 18 августа 1933 года летчики Н.А. Соколов-Соколенок и С.С. Зазымов на самолете Р-5 выполнили перелет по маршруту Москва – Севастополь – Москва на высоте более 5000 метров. Этот экспериментальный полет должен был выявить все проблемы, которые могут возникнуть у экипажа в процессе их многочасового пребывания на предельной высоте без применения кислородного питания (на борту самолета кислородный прибор был только у второго пилота, но он служил лишь «страховочным средством»).</w:t>
      </w:r>
    </w:p>
    <w:p w14:paraId="0FA77974" w14:textId="77777777" w:rsidR="00373CC8" w:rsidRPr="00C33834" w:rsidRDefault="00373CC8"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Перелету предшествовала большая подготовительная работа в лаборатории, в тренировочных полетах и в барокамере, где летчики просиживали часами. Медики мучили летчиков всевозможными исследованиями крови, проверками сердечнососудистой системы, разнообразными тестами на память, внимание, быстроту реакции.</w:t>
      </w:r>
    </w:p>
    <w:p w14:paraId="26EAFEA1" w14:textId="77777777" w:rsidR="00373CC8" w:rsidRPr="00C33834" w:rsidRDefault="00373CC8"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Кроме того, в этом перелете подвергался испытанию и самолет, который летел в предельно перегрузочном варианте (с дополнительными топливными баками), и на котором к тому же предстояло оценить эксплуатационные характеристики ряда новых приборов, оборудования и снаряжения.</w:t>
      </w:r>
    </w:p>
    <w:p w14:paraId="203735C4" w14:textId="77777777" w:rsidR="00373CC8" w:rsidRPr="00C33834" w:rsidRDefault="00373CC8"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17 августа экипаж осуществил перелет из Москвы в Севастополь, пройдя маршрут 1300 км на высоте от 5000 до 5700 метров. На следующий день летчики прошли обратным маршрутом на высоте более чем 5000 метров, в 17 часов 15 минут произведя посадку на Московском центральном аэродроме. Перелет на всем маршруте выполнялся в облачности. Летели исключительно по приборам – за облаками.</w:t>
      </w:r>
    </w:p>
    <w:p w14:paraId="01165A6D" w14:textId="77777777" w:rsidR="00373CC8" w:rsidRPr="00C33834" w:rsidRDefault="00373CC8"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Н.А. Соколов-Соколенок в течение 11 часов 30 минут управлял самолетом, находясь на предельной высоте без кислородного прибора. На обратном пути из Севастополя С.С. Зазымов потерял сознание, поэтому пришлось снизиться до высоты, на которой второй пилот пришел в себя.</w:t>
      </w:r>
    </w:p>
    <w:p w14:paraId="5197C03E" w14:textId="77777777" w:rsidR="00373CC8" w:rsidRPr="00C33834" w:rsidRDefault="00373CC8"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Своим опытом высотных полетов Н.А. Соколов-Соколенок поделился с читателями журнала «Вестник Воздушного Флота». Он рассказал о симптомах высотной болезни, физиологических ощущениях летчика при длительном кислородном голодании, о характеристиках устойчивости и управляемости самолета на его рабочем потолке, об одежде и питании в высотных полетах (21249).</w:t>
      </w:r>
    </w:p>
    <w:p w14:paraId="45B6F0A7" w14:textId="77777777" w:rsidR="00373CC8" w:rsidRPr="00C33834" w:rsidRDefault="00373CC8" w:rsidP="00C33834">
      <w:pPr>
        <w:spacing w:after="0" w:line="240" w:lineRule="auto"/>
        <w:jc w:val="both"/>
        <w:rPr>
          <w:rFonts w:ascii="Times New Roman" w:hAnsi="Times New Roman"/>
          <w:color w:val="0070C0"/>
          <w:sz w:val="16"/>
          <w:szCs w:val="16"/>
        </w:rPr>
      </w:pPr>
    </w:p>
    <w:p w14:paraId="2EF0000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17-го августа 1933 с проведения комплексной авиаразведки начался Ленский поход ДВ СССР-Н2. Кроме четырех человек экипажа, на борту Н2 находился начальник Пясинской экспедиции Игол- кин. Уже в первый час полета определилась возможность успешной проводки судов экспедиции. По всему маршруту - чистая вода, с отдельными мелкими льдинами, однако бухты материка были забиты льдом. Иголкин посчитал задачу авиаторов выполненной, но Алексеев повел самолет вдоль чистой воды дальше к мысу Михайлова. В 13 ч. 20 м. экипаж повернул обратно и в 15 ч. 55 мин. сел у о. Диксон. Таким образом, общая продолжительность полета равнялась 6 час. 53 мин. Эта разведка стала сигналом для выхода всех судов в море.</w:t>
      </w:r>
    </w:p>
    <w:p w14:paraId="483CDA37"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23 августа в порт Диксон подтянулись все речные и морские суда Ленского похода. На следующий день в 10 ч. 35 мин., имея запас горючего на 12 часов, самолет стартовал в разведку южного маршрута. Погода благоприятствовала полету, протекавшему при прекрасной видимости на высоте 1000 метров и через 8 ч. 50 мин. после взлета СССР-Н2 приводнился в бухте Диксон.</w:t>
      </w:r>
    </w:p>
    <w:p w14:paraId="618C3E2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Получив результаты разведки, караван направили южным маршрутом. В ночь на 25 августа "Правда", "Володарский", "Русанов", "Сталин" и "Сибиряков" во главе с "Красиным" вышли в море. Немного отклонившись к северу, караван на следующий же день оказался в тяжелом льду, но, используя данные Алексеева, исправил ошибку и вернулся на чистую воду.</w:t>
      </w:r>
    </w:p>
    <w:p w14:paraId="5C386322"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Затем произвели еще 3 разведки, к 1 сентября самолет остался на м. Челюскина, ожидая подхода судов. Караван пришел 1-го сентября и разделился: одна часть его пошла в Тикси, а другая - в Нордвик. Трудностей на обозримых участках пути не предвиделось.</w:t>
      </w:r>
    </w:p>
    <w:p w14:paraId="7A4005C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возвращению на Диксон экипаж СССР-Н2 получил сообщение с "Красина" об аварии Дорнье "Валь" СССР-Н9, потерявшего 2 поршня кормового мотора, и решил идти на выручку, взяв с собой запасные части. Однако повреждения оказались серьезными, Н9 стартовать не смог и лодку погрузили на борт судна.</w:t>
      </w:r>
    </w:p>
    <w:p w14:paraId="052BDD13"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11-го сентября наступило резкое похолодание, стал выпадать снег, резко упала температура воды. Можно уже было подумать о завершении морских полетов, однако 19-го пришлось выполнить еще одно задание, и лишь 21 сентября СССР-Н2 перелетел в Игарку. 1-го октября гидроплан вылетел в Красноярск, сделав по дороге посадку на ночевку в Подкаменной Тунгуске. На борту, кроме экипажа, находилась часть авиазвена с мыса Челюскин. 2-го октября машина прибыла в Красноярск и была поставлена на зимовку (11970).</w:t>
      </w:r>
    </w:p>
    <w:p w14:paraId="7ECCD394" w14:textId="77777777" w:rsidR="0092497E" w:rsidRPr="00C33834" w:rsidRDefault="0092497E" w:rsidP="00C33834">
      <w:pPr>
        <w:spacing w:after="0" w:line="240" w:lineRule="auto"/>
        <w:jc w:val="both"/>
        <w:rPr>
          <w:rFonts w:ascii="Times New Roman" w:hAnsi="Times New Roman"/>
          <w:color w:val="000000" w:themeColor="text1"/>
          <w:sz w:val="16"/>
          <w:szCs w:val="16"/>
        </w:rPr>
      </w:pPr>
    </w:p>
    <w:p w14:paraId="12DDBF04"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Style w:val="a7"/>
          <w:rFonts w:ascii="Times New Roman" w:hAnsi="Times New Roman"/>
          <w:b w:val="0"/>
          <w:bCs w:val="0"/>
          <w:color w:val="000000" w:themeColor="text1"/>
          <w:sz w:val="16"/>
          <w:szCs w:val="16"/>
        </w:rPr>
        <w:t>К 17 августа 1933 г.</w:t>
      </w:r>
      <w:r w:rsidRPr="00C33834">
        <w:rPr>
          <w:rFonts w:ascii="Times New Roman" w:hAnsi="Times New Roman"/>
          <w:color w:val="000000" w:themeColor="text1"/>
          <w:sz w:val="16"/>
          <w:szCs w:val="16"/>
        </w:rPr>
        <w:t xml:space="preserve"> стратостат Осоавиахим-1 был построен, собран, осмотрен комиссией Гражданского Воздушного флота под руководством т. СПАССКОГО и получил свидетельство на полет, хотя в акте люк кабины был признан неудовлетворительным по закрытию. </w:t>
      </w:r>
    </w:p>
    <w:p w14:paraId="5FF5C5C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Конструкция в основном рассчитывалась на малый полетный вес и малое количество маневренного и посадочного балласта: в оболочке применялась материя весом 62 грамма на 1 кв. мт. (в однослойных полотнищах), способ крепления такелажа был применен без верхней сетки по всей оболочке, а к оригинального устройства лапам, пришитым и приклеенным ниже экватора оболочки к поясу двухслойной материи. Такелаж предусматривался с уменьшенными стропами (8), соединенными в одном кольце. Общее количество в числе 8. Гондола шарообразной формы строилась из стали в 0,8 мм путем сварки и имела люк, открывающийся во внутрь кабины и задраиваемый 12 болтами на барашках, балласт располагался внутри кабины и мог выбрасываться через два трубчатых сбрасывателя путем перекрывания двух кранов в течение 800 кгр — 800 сек., управление клапаном выводилось из кабины через коленчатую трубку, наполненную ртутью, уздечка к разрывному приспособлению прикреплялась к кольцу над гондолой. </w:t>
      </w:r>
    </w:p>
    <w:p w14:paraId="72B2695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Каждая деталь, материал и агрегаты испытывались в лаборатории и показали запасы прочности, предусмотренные расчетами. </w:t>
      </w:r>
    </w:p>
    <w:p w14:paraId="41812CD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Общего расчета на конструкцию комиссия не могла получить от инженера Чертовского, ведавшего постройкой, а также не найден он и в делах т. Федосеенко, с мая м-ца фактически руководившего всеми работами по постройке и подготовке к полету. Самая постройка производилась по отдельным чертежам, выдаваемым на заводы инженером Чертовским. В основном все расчеты предусматривали и фактические испытания проводили на статические нагрузки, динамические нагрузки принимались больше первых в 4 раза, но испытаний на динамические нагрузки не проводилось за неимением машин и малой отработанностью самих методов испытаний. Раскрой и пошивка оболочки производилась кустарным способом в мастерских Института Аэросъемки. Фактической поверки расчетов и общей компоновки проекта не производилось и все лежало на усмотрении и знаниях т. Федосеенко, Васенко и Чертовского. Консультационный совет рассматривал на заседаниях предложения этих товарищей, вносил отдельные замечания, но не следил и не добивался исправлений по этим замечаниям. Комиссия считает, что техническая проработка конструкции была достаточна в объеме задач, поставленных себе т. Федосеенко и Власенко, но ее целесообразность и соответствие поставленным задачам по существу не были проверены консультационным советом при ЛОСО. Наблюдение в процессе постройки осуществлялось инженером Чертовским в пределах его знаний и практического опыта, но помощи в техническом руководстве он не имел (11611).</w:t>
      </w:r>
    </w:p>
    <w:p w14:paraId="13A11689" w14:textId="77777777" w:rsidR="0092497E" w:rsidRPr="00C33834" w:rsidRDefault="0092497E" w:rsidP="00C33834">
      <w:pPr>
        <w:spacing w:after="0" w:line="240" w:lineRule="auto"/>
        <w:jc w:val="both"/>
        <w:rPr>
          <w:rFonts w:ascii="Times New Roman" w:hAnsi="Times New Roman"/>
          <w:color w:val="000000" w:themeColor="text1"/>
          <w:sz w:val="16"/>
          <w:szCs w:val="16"/>
        </w:rPr>
      </w:pPr>
    </w:p>
    <w:p w14:paraId="25EA399F"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августа 1933 испытана первая советская ракета на жидком топливе (4962).</w:t>
      </w:r>
    </w:p>
    <w:p w14:paraId="25B156EA" w14:textId="77777777" w:rsidR="0092497E" w:rsidRPr="00C33834" w:rsidRDefault="0092497E" w:rsidP="00C33834">
      <w:pPr>
        <w:tabs>
          <w:tab w:val="left" w:pos="11199"/>
        </w:tabs>
        <w:spacing w:after="0" w:line="240" w:lineRule="auto"/>
        <w:jc w:val="both"/>
        <w:rPr>
          <w:rFonts w:ascii="Times New Roman" w:hAnsi="Times New Roman"/>
          <w:color w:val="000000" w:themeColor="text1"/>
          <w:sz w:val="16"/>
          <w:szCs w:val="16"/>
        </w:rPr>
      </w:pPr>
    </w:p>
    <w:p w14:paraId="1F6013CB"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августа 1933 были проведены удачные опыты с жидкостной ГИРД-09 ракетой М.К.Тихонравова в Нахабино (271,135). Достигли высоты 400 м (2990).</w:t>
      </w:r>
    </w:p>
    <w:p w14:paraId="43E422D8" w14:textId="77777777" w:rsidR="0092497E" w:rsidRPr="00C33834" w:rsidRDefault="0092497E" w:rsidP="00C33834">
      <w:pPr>
        <w:spacing w:after="0" w:line="240" w:lineRule="auto"/>
        <w:jc w:val="both"/>
        <w:rPr>
          <w:rFonts w:ascii="Times New Roman" w:hAnsi="Times New Roman"/>
          <w:color w:val="000000" w:themeColor="text1"/>
          <w:sz w:val="16"/>
          <w:szCs w:val="16"/>
        </w:rPr>
      </w:pPr>
    </w:p>
    <w:p w14:paraId="221998FB"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августа 1933 состоялся успешный запуск ракеты ГИРД-Р-1 (09), однако из-за негерметичности одного из фланцев двигателя нормальный полет продолжался до высоты около 400 м. Были еще две неудачные попытки запуска ракеты — 5 и 6 ноября. Дальнейшие работы по ракете не планировались (10676).</w:t>
      </w:r>
    </w:p>
    <w:p w14:paraId="4B0E86DC" w14:textId="77777777" w:rsidR="0092497E" w:rsidRPr="00C33834" w:rsidRDefault="0092497E" w:rsidP="00C33834">
      <w:pPr>
        <w:spacing w:after="0" w:line="240" w:lineRule="auto"/>
        <w:jc w:val="both"/>
        <w:rPr>
          <w:rFonts w:ascii="Times New Roman" w:hAnsi="Times New Roman"/>
          <w:color w:val="000000" w:themeColor="text1"/>
          <w:sz w:val="16"/>
          <w:szCs w:val="16"/>
        </w:rPr>
      </w:pPr>
    </w:p>
    <w:p w14:paraId="0758902D"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августа 1933 С.П.К. руководил испытаниями ракеты ГИРД-09 (см.: 5 марта 1933 г.) (ААН, р. 4, оп. 14, № 50) (10676).</w:t>
      </w:r>
    </w:p>
    <w:p w14:paraId="6B9FB130" w14:textId="77777777" w:rsidR="0092497E" w:rsidRPr="00C33834" w:rsidRDefault="0092497E" w:rsidP="00C33834">
      <w:pPr>
        <w:spacing w:after="0" w:line="240" w:lineRule="auto"/>
        <w:jc w:val="both"/>
        <w:rPr>
          <w:rFonts w:ascii="Times New Roman" w:hAnsi="Times New Roman"/>
          <w:color w:val="000000" w:themeColor="text1"/>
          <w:sz w:val="16"/>
          <w:szCs w:val="16"/>
        </w:rPr>
      </w:pPr>
    </w:p>
    <w:p w14:paraId="685D6A0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августа 1933 г. была запущена первая советская ракета с двигателем Цандера (10776).</w:t>
      </w:r>
    </w:p>
    <w:p w14:paraId="62B9AED0" w14:textId="77777777" w:rsidR="0092497E" w:rsidRPr="00C33834" w:rsidRDefault="0092497E" w:rsidP="00C33834">
      <w:pPr>
        <w:spacing w:after="0" w:line="240" w:lineRule="auto"/>
        <w:jc w:val="both"/>
        <w:rPr>
          <w:rFonts w:ascii="Times New Roman" w:hAnsi="Times New Roman"/>
          <w:color w:val="000000" w:themeColor="text1"/>
          <w:sz w:val="16"/>
          <w:szCs w:val="16"/>
        </w:rPr>
      </w:pPr>
    </w:p>
    <w:p w14:paraId="08744FB6" w14:textId="77777777" w:rsidR="00003D98" w:rsidRPr="00C33834" w:rsidRDefault="00003D9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августа в 1933 году под руководством С.П.Королева в Нахабино под Москвой произведен запуск ракеты «ГИРД-09» — первой советской экспериментальной ракеты с двигателем на гибридном топливе (желеобразный бензин и жидкий кислород), созданной в Группе изучения реактивного движения по проекту Михаила К.Тихонравова. Стартовая масса ракеты 19 кг, масса топлива 5 кг, длина ракеты 2,4 м. Полет продолжался 13 с. Ракета достигла высоты 400 м (14986).</w:t>
      </w:r>
    </w:p>
    <w:p w14:paraId="7122AD0A" w14:textId="77777777" w:rsidR="00003D98" w:rsidRPr="00C33834" w:rsidRDefault="00003D98" w:rsidP="00C33834">
      <w:pPr>
        <w:spacing w:after="0" w:line="240" w:lineRule="auto"/>
        <w:jc w:val="both"/>
        <w:rPr>
          <w:rFonts w:ascii="Times New Roman" w:hAnsi="Times New Roman"/>
          <w:color w:val="000000" w:themeColor="text1"/>
          <w:sz w:val="16"/>
          <w:szCs w:val="16"/>
        </w:rPr>
      </w:pPr>
    </w:p>
    <w:p w14:paraId="5A55541D" w14:textId="77777777" w:rsidR="006A4DAE" w:rsidRPr="00C33834" w:rsidRDefault="006A4DA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августа 1933 года прошло успешное испытание ракеты на твердом бензине, но от этого вида топлива решили отказаться. В начале 1930-х годов советские энтузиасты ракетной техники пытались использовать твердый бензин в качестве топлива для ракет. При этом они, правда, использовали собственную рецептуру сгущения топлива — растворяли в бензине канифоль. Первые испытания прошли успешно, но вскоре начались проблемы. То прогорала камера сгорания, то твердый бензин вместо сгорания вылетал из нее (12153).</w:t>
      </w:r>
    </w:p>
    <w:p w14:paraId="1688C390" w14:textId="77777777" w:rsidR="006A4DAE" w:rsidRPr="00C33834" w:rsidRDefault="006A4DAE" w:rsidP="00C33834">
      <w:pPr>
        <w:spacing w:after="0" w:line="240" w:lineRule="auto"/>
        <w:jc w:val="both"/>
        <w:rPr>
          <w:rFonts w:ascii="Times New Roman" w:hAnsi="Times New Roman"/>
          <w:color w:val="000000" w:themeColor="text1"/>
          <w:sz w:val="16"/>
          <w:szCs w:val="16"/>
        </w:rPr>
      </w:pPr>
    </w:p>
    <w:p w14:paraId="17C33BCA" w14:textId="77777777" w:rsidR="0092497E" w:rsidRPr="00C33834" w:rsidRDefault="0092497E"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августа и 27 июля 1933 г. на НИАП из спе</w:t>
      </w:r>
      <w:r w:rsidRPr="00C33834">
        <w:rPr>
          <w:rFonts w:ascii="Times New Roman" w:hAnsi="Times New Roman"/>
          <w:color w:val="000000" w:themeColor="text1"/>
          <w:sz w:val="16"/>
          <w:szCs w:val="16"/>
        </w:rPr>
        <w:softHyphen/>
        <w:t>циальных направляющих модели 1294, смонтированных на лафете гор</w:t>
      </w:r>
      <w:r w:rsidRPr="00C33834">
        <w:rPr>
          <w:rFonts w:ascii="Times New Roman" w:hAnsi="Times New Roman"/>
          <w:color w:val="000000" w:themeColor="text1"/>
          <w:sz w:val="16"/>
          <w:szCs w:val="16"/>
        </w:rPr>
        <w:softHyphen/>
        <w:t>ной пушки образца 1909 г. вели стрельбу новыми РС-132 мм за основу, которых взяли РС-132 модели 561 (корпус БЧ и камера двигателя), но оснастили их стабилизатором модели 1273 из 4 крыльев размахом 400 мм и из 6 крыльев размахом 300 мм. РЗ умень</w:t>
      </w:r>
      <w:r w:rsidRPr="00C33834">
        <w:rPr>
          <w:rFonts w:ascii="Times New Roman" w:hAnsi="Times New Roman"/>
          <w:color w:val="000000" w:themeColor="text1"/>
          <w:sz w:val="16"/>
          <w:szCs w:val="16"/>
        </w:rPr>
        <w:softHyphen/>
        <w:t>шили с 3,11 кг до 2,78 кг. Благодаря подбору сопла, давление в камере двигателя снизилось с 250 кг/см" до 180, а также РС-82 со стабилизаторами. В обоих случаях было выпущено по 20 снаря</w:t>
      </w:r>
      <w:r w:rsidRPr="00C33834">
        <w:rPr>
          <w:rFonts w:ascii="Times New Roman" w:hAnsi="Times New Roman"/>
          <w:color w:val="000000" w:themeColor="text1"/>
          <w:sz w:val="16"/>
          <w:szCs w:val="16"/>
        </w:rPr>
        <w:softHyphen/>
        <w:t>дов. В июльских опытах первый снаряд, упавший в двух километрах, не заметили. Седьмой также не нашли, так как он уклонился на 200 м в сторону от директрисы. Несмотря на возросшую, в сравнении с преды</w:t>
      </w:r>
      <w:r w:rsidRPr="00C33834">
        <w:rPr>
          <w:rFonts w:ascii="Times New Roman" w:hAnsi="Times New Roman"/>
          <w:color w:val="000000" w:themeColor="text1"/>
          <w:sz w:val="16"/>
          <w:szCs w:val="16"/>
        </w:rPr>
        <w:softHyphen/>
        <w:t>дущими отстрелами, точность стрельбы, она все же оставалась неудовле</w:t>
      </w:r>
      <w:r w:rsidRPr="00C33834">
        <w:rPr>
          <w:rFonts w:ascii="Times New Roman" w:hAnsi="Times New Roman"/>
          <w:color w:val="000000" w:themeColor="text1"/>
          <w:sz w:val="16"/>
          <w:szCs w:val="16"/>
        </w:rPr>
        <w:softHyphen/>
        <w:t>творительной. В 60-е годы прошлого столетия исследователи истории развития оте</w:t>
      </w:r>
      <w:r w:rsidRPr="00C33834">
        <w:rPr>
          <w:rFonts w:ascii="Times New Roman" w:hAnsi="Times New Roman"/>
          <w:color w:val="000000" w:themeColor="text1"/>
          <w:sz w:val="16"/>
          <w:szCs w:val="16"/>
        </w:rPr>
        <w:softHyphen/>
        <w:t>чественного ракетного вооружения, решив «отшлифовать» ход развития событий, по-своему прокомментировали многолетний интервал между началом работ по авиационным РС и первыми положительными резуль</w:t>
      </w:r>
      <w:r w:rsidRPr="00C33834">
        <w:rPr>
          <w:rFonts w:ascii="Times New Roman" w:hAnsi="Times New Roman"/>
          <w:color w:val="000000" w:themeColor="text1"/>
          <w:sz w:val="16"/>
          <w:szCs w:val="16"/>
        </w:rPr>
        <w:softHyphen/>
        <w:t>татами заводских и полигонных испытаний. Согласно их версии (затем она была принята в качестве официальной) в РНИИ НКТП неудачи в опытах с ТРС побудили конструкторов создать оперенные снаряды. Однако анализ годовых отчетов по научно-технической деятельности РНИИ дает основания утверждать, что работы по ТРС и оперенным РС в ГДЛ (позже она приобрела статус ленинградского отделения РНИИ), а затем и в московском РНИИ шли параллельно. Более убедительной причиной отказа авиаторов от ТРС выглядит низкая технологичность массового производства таких снарядов. Именно по этой причине в истории отечественной техники так и не поступали на вооружение куда более солидные проекты и образцы. В ситуации с турбореактивными снарядами, тангенциальные сопла малого диаметра требовали чрезвычайной тщательности и точности сверления. Отклонение всего в десятые доли миллиметра тотчас ска</w:t>
      </w:r>
      <w:r w:rsidRPr="00C33834">
        <w:rPr>
          <w:rFonts w:ascii="Times New Roman" w:hAnsi="Times New Roman"/>
          <w:color w:val="000000" w:themeColor="text1"/>
          <w:sz w:val="16"/>
          <w:szCs w:val="16"/>
        </w:rPr>
        <w:softHyphen/>
        <w:t>зывалось на точности стрельбы, поэтому в большом количестве произ</w:t>
      </w:r>
      <w:r w:rsidRPr="00C33834">
        <w:rPr>
          <w:rFonts w:ascii="Times New Roman" w:hAnsi="Times New Roman"/>
          <w:color w:val="000000" w:themeColor="text1"/>
          <w:sz w:val="16"/>
          <w:szCs w:val="16"/>
        </w:rPr>
        <w:softHyphen/>
        <w:t>водить качественные ТРС в то время было чересчур дорого, да и прак</w:t>
      </w:r>
      <w:r w:rsidRPr="00C33834">
        <w:rPr>
          <w:rFonts w:ascii="Times New Roman" w:hAnsi="Times New Roman"/>
          <w:color w:val="000000" w:themeColor="text1"/>
          <w:sz w:val="16"/>
          <w:szCs w:val="16"/>
        </w:rPr>
        <w:softHyphen/>
        <w:t>тически невозможно (11402).</w:t>
      </w:r>
    </w:p>
    <w:p w14:paraId="37D96B02" w14:textId="77777777" w:rsidR="0092497E" w:rsidRPr="00C33834" w:rsidRDefault="0092497E" w:rsidP="00C33834">
      <w:pPr>
        <w:shd w:val="clear" w:color="auto" w:fill="FFFFFF"/>
        <w:spacing w:after="0" w:line="240" w:lineRule="auto"/>
        <w:jc w:val="both"/>
        <w:rPr>
          <w:rFonts w:ascii="Times New Roman" w:hAnsi="Times New Roman"/>
          <w:color w:val="000000" w:themeColor="text1"/>
          <w:sz w:val="16"/>
          <w:szCs w:val="16"/>
        </w:rPr>
      </w:pPr>
    </w:p>
    <w:p w14:paraId="2AEAEF2A" w14:textId="77777777" w:rsidR="00AB1245" w:rsidRPr="00C33834" w:rsidRDefault="00AB124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1E5E405" w14:textId="77777777" w:rsidR="00AB1245" w:rsidRPr="00C33834" w:rsidRDefault="00AB1245" w:rsidP="00C33834">
      <w:pPr>
        <w:spacing w:after="0" w:line="240" w:lineRule="auto"/>
        <w:jc w:val="both"/>
        <w:rPr>
          <w:rFonts w:ascii="Times New Roman" w:hAnsi="Times New Roman"/>
          <w:iCs/>
          <w:color w:val="000000" w:themeColor="text1"/>
          <w:sz w:val="16"/>
          <w:szCs w:val="16"/>
        </w:rPr>
      </w:pPr>
    </w:p>
    <w:p w14:paraId="3B694B6A" w14:textId="77777777" w:rsidR="00AB1245" w:rsidRPr="00C33834" w:rsidRDefault="00AB1245" w:rsidP="00C33834">
      <w:pPr>
        <w:pStyle w:val="ae"/>
        <w:spacing w:before="0" w:after="0"/>
        <w:jc w:val="both"/>
        <w:textAlignment w:val="baseline"/>
        <w:rPr>
          <w:color w:val="000000" w:themeColor="text1"/>
          <w:sz w:val="16"/>
          <w:szCs w:val="16"/>
        </w:rPr>
      </w:pPr>
      <w:r w:rsidRPr="00C33834">
        <w:rPr>
          <w:color w:val="000000" w:themeColor="text1"/>
          <w:sz w:val="16"/>
          <w:szCs w:val="16"/>
        </w:rPr>
        <w:t xml:space="preserve">17 августа 1933 года на ОКМО поступило Задание на разработку </w:t>
      </w:r>
      <w:r w:rsidRPr="00C33834">
        <w:rPr>
          <w:iCs/>
          <w:color w:val="000000" w:themeColor="text1"/>
          <w:sz w:val="16"/>
          <w:szCs w:val="16"/>
          <w:bdr w:val="none" w:sz="0" w:space="0" w:color="auto" w:frame="1"/>
        </w:rPr>
        <w:t>«колёсно-гусеничном танке на основе Т-26»</w:t>
      </w:r>
      <w:r w:rsidRPr="00C33834">
        <w:rPr>
          <w:color w:val="000000" w:themeColor="text1"/>
          <w:sz w:val="16"/>
          <w:szCs w:val="16"/>
        </w:rPr>
        <w:t>. К тому времени ОКМО выделили в опытный завод №185 Спецмаштреста, его директором стал Н.В. Барыков. Первоначально танк носил обозначение Т-26А. Боевая масса оценивалась в 10 т, при этом танк получал двигатель мощностью 200-250 л.с. Максимальная скорость на гусеницах оценивалась в 50 км/ч, а на колёсном ходу — 70 км/ч, запас хода составлял 300 км. Вооружалась машина 45-мм пушкой и «</w:t>
      </w:r>
      <w:r w:rsidRPr="00C33834">
        <w:rPr>
          <w:iCs/>
          <w:color w:val="000000" w:themeColor="text1"/>
          <w:sz w:val="16"/>
          <w:szCs w:val="16"/>
          <w:bdr w:val="none" w:sz="0" w:space="0" w:color="auto" w:frame="1"/>
        </w:rPr>
        <w:t>сверхскорострельным»</w:t>
      </w:r>
      <w:r w:rsidRPr="00C33834">
        <w:rPr>
          <w:color w:val="000000" w:themeColor="text1"/>
          <w:sz w:val="16"/>
          <w:szCs w:val="16"/>
        </w:rPr>
        <w:t> пулемётом. Как и Т-26, танк имел экипаж из трёх человек.</w:t>
      </w:r>
    </w:p>
    <w:p w14:paraId="517EF2CE" w14:textId="77777777" w:rsidR="00AB1245" w:rsidRPr="00C33834" w:rsidRDefault="00AB1245" w:rsidP="00C33834">
      <w:pPr>
        <w:pStyle w:val="ae"/>
        <w:spacing w:before="0" w:after="0"/>
        <w:jc w:val="both"/>
        <w:textAlignment w:val="baseline"/>
        <w:rPr>
          <w:color w:val="000000" w:themeColor="text1"/>
          <w:sz w:val="16"/>
          <w:szCs w:val="16"/>
        </w:rPr>
      </w:pPr>
      <w:r w:rsidRPr="00C33834">
        <w:rPr>
          <w:color w:val="000000" w:themeColor="text1"/>
          <w:sz w:val="16"/>
          <w:szCs w:val="16"/>
        </w:rPr>
        <w:t xml:space="preserve">На разработку Т-26А выделялось 100 000 рублей, при этом первый опытный образец ожидался до конца 1933 года. Впрочем, уже в октябре стало ясно, что такие сроки чересчур оптимистичны. Тогда же машина впервые сменила название, получив индекс Т-46. Помимо чрезвычайной сложности задания, против Т-46 играла </w:t>
      </w:r>
      <w:r w:rsidRPr="00C33834">
        <w:rPr>
          <w:color w:val="000000" w:themeColor="text1"/>
          <w:sz w:val="16"/>
          <w:szCs w:val="16"/>
        </w:rPr>
        <w:lastRenderedPageBreak/>
        <w:t>перегруженность завода №185 разработками. После того как в 1931-1932 годах звезда московского ГКБ, создавшего Т-18, закатилась, именно Ленинград стал центром разработки танков. Сюда из ГКБ перебрался С.А. Гинзбург, один из идеологов освоения Т-26, — это вызвало конфликт с начальником московского ГКБ С.П. Шукаловым, считавшим, что надо развивать свой танк, а не копировать иностранные образцы. Завод №185 стал настоящим мозговым центром: именно здесь разработали Т-28 и Т-35, существенно доработали Т-26, а также занимались рядом других машин. Обратной стороной медали стало слишком большое количество проектов, что влияло на сроки разработки (18689).</w:t>
      </w:r>
    </w:p>
    <w:p w14:paraId="0E35A5C0" w14:textId="77777777" w:rsidR="00AB1245" w:rsidRPr="00C33834" w:rsidRDefault="00AB1245" w:rsidP="00C33834">
      <w:pPr>
        <w:pStyle w:val="ae"/>
        <w:spacing w:before="0" w:after="0"/>
        <w:jc w:val="both"/>
        <w:textAlignment w:val="baseline"/>
        <w:rPr>
          <w:color w:val="000000" w:themeColor="text1"/>
          <w:sz w:val="16"/>
          <w:szCs w:val="16"/>
        </w:rPr>
      </w:pPr>
    </w:p>
    <w:p w14:paraId="3B247338" w14:textId="77777777" w:rsidR="0092497E"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0064F53A" w14:textId="77777777" w:rsidR="0092497E" w:rsidRPr="00C33834" w:rsidRDefault="0092497E" w:rsidP="00C33834">
      <w:pPr>
        <w:spacing w:after="0" w:line="240" w:lineRule="auto"/>
        <w:jc w:val="both"/>
        <w:rPr>
          <w:rFonts w:ascii="Times New Roman" w:hAnsi="Times New Roman"/>
          <w:color w:val="000000" w:themeColor="text1"/>
          <w:sz w:val="16"/>
          <w:szCs w:val="16"/>
        </w:rPr>
      </w:pPr>
    </w:p>
    <w:p w14:paraId="3C20694B"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августа 1933 появились постановления СНК:</w:t>
      </w:r>
    </w:p>
    <w:p w14:paraId="4274371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1774-384с «О Беломорско-Балтийском комбинате», предписавшее «в целях освоения Беломорско-Балтийского канала имени тов. Сталина и прилегающих к нему районов, образовать Беломорско-Балтийский комбинат («Белбалт-комбинат»). Непосредственное руководство комбинатом возложить на ОГПУ»</w:t>
      </w:r>
    </w:p>
    <w:p w14:paraId="7F7160B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1773-383с «О мероприятиях в связи с организацией Беломорско-Балтийского комбината», а именно о назначении «начальником Белбалткомбината т. Рапопорт Я. Д., заместителем начальника, являющегося одновременно уполномоченным НКВода и главным инженером - т. Вержбицкого, заместителем начальника - тов. Успенского, он же - начальник Белбалтлага» (7560).</w:t>
      </w:r>
    </w:p>
    <w:p w14:paraId="3B9828A5" w14:textId="77777777" w:rsidR="0092497E" w:rsidRPr="00C33834" w:rsidRDefault="0092497E" w:rsidP="00C33834">
      <w:pPr>
        <w:spacing w:after="0" w:line="240" w:lineRule="auto"/>
        <w:jc w:val="both"/>
        <w:rPr>
          <w:rFonts w:ascii="Times New Roman" w:hAnsi="Times New Roman"/>
          <w:color w:val="000000" w:themeColor="text1"/>
          <w:sz w:val="16"/>
          <w:szCs w:val="16"/>
        </w:rPr>
      </w:pPr>
    </w:p>
    <w:p w14:paraId="575C059A" w14:textId="77777777" w:rsidR="0092497E" w:rsidRPr="00C33834" w:rsidRDefault="0092497E"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августа 1933 года состоялась прогулка группы писателей на пароходе по только что законченному каналу. После этой прогулки по каналу 84 из 125 экскурсантов-писателей сумели отказаться от написания своих впечатлений, а 36 напряженным трудом в те</w:t>
      </w:r>
      <w:r w:rsidRPr="00C33834">
        <w:rPr>
          <w:rFonts w:ascii="Times New Roman" w:hAnsi="Times New Roman"/>
          <w:color w:val="000000" w:themeColor="text1"/>
          <w:sz w:val="16"/>
          <w:szCs w:val="16"/>
        </w:rPr>
        <w:softHyphen/>
        <w:t>рние осени и зимы 1933 года создали произведение «Беломорско-Балтийс-кий канал имени Сталина», вышедшее в 1934. Ее редакторами были А.М.Горький, Л.Л. Авербах и С.Г.Фирин. Книга сохранила для последующих поколений имена этих писателей, память о том времени эти писатели преподнесли читателям челове</w:t>
      </w:r>
      <w:r w:rsidRPr="00C33834">
        <w:rPr>
          <w:rFonts w:ascii="Times New Roman" w:hAnsi="Times New Roman"/>
          <w:color w:val="000000" w:themeColor="text1"/>
          <w:sz w:val="16"/>
          <w:szCs w:val="16"/>
        </w:rPr>
        <w:softHyphen/>
        <w:t>коненавистнические легенды 30-х годов. Слово «вредитель» трактовалось как основа инженерного существа. И агрономы, выступавшие против раннего сева, и ирригаторы Средней Азии — тоже были «вредителями». Во всех главах книги эти писатели говорили о сословии инженеров только .снисходительно, как о породе порочной и низкой. Вторя вождю револю</w:t>
      </w:r>
      <w:r w:rsidRPr="00C33834">
        <w:rPr>
          <w:rFonts w:ascii="Times New Roman" w:hAnsi="Times New Roman"/>
          <w:color w:val="000000" w:themeColor="text1"/>
          <w:sz w:val="16"/>
          <w:szCs w:val="16"/>
        </w:rPr>
        <w:softHyphen/>
        <w:t>ции, эти писатели обвиняли значительную часть дореволюционного рус</w:t>
      </w:r>
      <w:r w:rsidRPr="00C33834">
        <w:rPr>
          <w:rFonts w:ascii="Times New Roman" w:hAnsi="Times New Roman"/>
          <w:color w:val="000000" w:themeColor="text1"/>
          <w:sz w:val="16"/>
          <w:szCs w:val="16"/>
        </w:rPr>
        <w:softHyphen/>
        <w:t>ского инженерного сословия в плутоватости. Надо понимать, что они вре</w:t>
      </w:r>
      <w:r w:rsidRPr="00C33834">
        <w:rPr>
          <w:rFonts w:ascii="Times New Roman" w:hAnsi="Times New Roman"/>
          <w:color w:val="000000" w:themeColor="text1"/>
          <w:sz w:val="16"/>
          <w:szCs w:val="16"/>
        </w:rPr>
        <w:softHyphen/>
        <w:t>дили в свое время и царизму (11504).</w:t>
      </w:r>
    </w:p>
    <w:p w14:paraId="004FBF9D" w14:textId="77777777" w:rsidR="0092497E" w:rsidRPr="00C33834" w:rsidRDefault="0092497E" w:rsidP="00C33834">
      <w:pPr>
        <w:shd w:val="clear" w:color="auto" w:fill="FFFFFF"/>
        <w:spacing w:after="0" w:line="240" w:lineRule="auto"/>
        <w:jc w:val="both"/>
        <w:rPr>
          <w:rFonts w:ascii="Times New Roman" w:hAnsi="Times New Roman"/>
          <w:color w:val="000000" w:themeColor="text1"/>
          <w:sz w:val="16"/>
          <w:szCs w:val="16"/>
        </w:rPr>
      </w:pPr>
    </w:p>
    <w:p w14:paraId="0E769546" w14:textId="77777777" w:rsidR="0092497E"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76494A7C" w14:textId="77777777" w:rsidR="0092497E" w:rsidRPr="00C33834" w:rsidRDefault="0092497E" w:rsidP="00C33834">
      <w:pPr>
        <w:spacing w:after="0" w:line="240" w:lineRule="auto"/>
        <w:jc w:val="both"/>
        <w:rPr>
          <w:rFonts w:ascii="Times New Roman" w:hAnsi="Times New Roman"/>
          <w:iCs/>
          <w:color w:val="000000" w:themeColor="text1"/>
          <w:sz w:val="16"/>
          <w:szCs w:val="16"/>
        </w:rPr>
      </w:pPr>
    </w:p>
    <w:p w14:paraId="74BB7E1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августа 1933 г. Дирксен пришел к Крестинскому и проинформировал его о заявлении Папена министру иностранных дел Нойрату и статс-секретарю МИД Б. фон Бюлову, в котором Папен категорически опроверг обвинение в том, что он сообщил французам о советско-германских военных отношениях по той простой причине, что «он был совершенно не в курсе взаимоотношений между рейхсвером и Красной Армией», и что ни с французским послом в Риме X. де Жувенелем, ни с французским послом в Берлине А. Франсуа-Понсэ он об этом не говорил. Впоследствии Г. Хильгер в своих воспоминаниях писал, что утверждения НКИДа об этом были «просто ложными» (ADAP, Ser.C, Bd. 1,2. S. 733—735; Hilger Gustav. Op. cit. S. 247). Несуразность повода, — ведь о военных взаимоотношениях Германии и СССР было известно и в Англии, и во Франции, и в Польше — равно как и поспешность, с которой Москва предприняла столь решительные действия, свидетельствуют о том, что лидеры СССР загодя, по собственной инициативе, готовились к разрыву военных связей с Германией. Военные отношения с Германией для советского правительства, с самого начала подходившего к ним с политической точки зрения, по сути никогда не были для него самодовлеющей величиной, но всегда являлись лишь функцией политических отношений между обеими странами. Особенно это усилилось после 1923 г., когда был взят курс на построение социализма в одной отдельно взятой стране. Поэтому, когда политическое взаимопонимание стало все больше уходить в прошлое, причем больше по вине Берлина, осознававшего эту «математическую» зависимость, Москва, сумевшая в предыдущие годы и особенно за годы первой пятилетки создать значительную военную промышленность, провести военную реформу и вырастить с германской помощью квалифицированные кадры комсостава, сделала вывод о том, что с национал-социалистической Германией ей «не по пути». В условиях кризиса политических и экономических взаимоотношений она сама сделала «сильный ход». Расчет был на то, что его по достоинству оценят в Париже, Варшаве, Лондоне. К тому времени советские руководители сумели уже «в основном» подготовить отход от Берлина форсированным и несколько демонстративным сближением с Парижем. Когда же стало ясно, что Париж (а вместе с ним и Варшава) в принципе готов заменить Берлин в качестве стратегического союзника Москвы, то ей оставалось лишь представить благовидный предлог для разрыва военных связей с Германией, что и было сделано Крестинским в беседе с Дирксеном 3 июня 1933г. А его своеобразным политическим обеспечением стали антисоветские речи А. Розенберга, отвечавшего в НСДАП за внешнеполитическую стратегию партии, а также меморандум, который министр экономики Германии А. Хугенберг (Гугенберг) вручил 16 июня 1933 г. председателю Международной экономической конференции в Лондоне X. Коллину. В нем Хугенберг под предлогом преодоления экономического кризиса наряду с требованием вернуть Германии потерянные колонии потребовал предоставления Германии «новых территорий для колонизации» за счет СССР. Он призвал западные державы положить конец «революции и внутренней разрухе, которые нашли свою исходную точку в России» («Меморандум Хугенберга» см.: ADAP, Ser.C, Bd.I,2. S. 557—562 (Dok. №312).). Крестинский, явно встревоженный «меморандумом Хугенберга», 23 июня 1933 г. в очередном ориентировочном письме Хинчуку писал, что данный меморандум отнюдь не является единичным выступлением Хугенберга, а «представляет из себя строго продуманный акт германского правительства в целом. &lt;...&gt; Гермпра готово принять участие в военной коалиции против нас, готово выставить основные военные силы для войны с нами и требует за это лишь двух вещей — свободы вооружений и компенсаций за счет СССР. &lt;...&gt; Нам прежде всего нужно будет помнить, что дружественным уверениям гермпра верить нельзя, что в более отдаленные политические планы Германии входит война с нами, что нынешнее положение является лишь временной передышкой» (АВП РФ, ф. 082, оп. 16, п. 71, д. 1, л. 266-267.) (11784). «Меморандум Хугенберга» напрочь отрезал пути возврата к «рапалльской политике», — в нем почти неприкрыто прозвучал призыв к войне против СССР. После этого переориентация СССР с Германии на Францию и Польшу стала уже лишь «делом техники». В начале июля 1933 г. Москва предложила Парижу заключить негласное и устное двустороннее джентльменское соглашение о взаимном обмене информацией по важнейшим проблемам обстановки в Европе, а также по соглашениям, которые каждая из сторон намеревалась заключать с третьими странами (Максимычев И. Ф. Указ, соч, с. 48—49.). В августе 1933 г. СССР снял часть войск со своей западной границы с Польшей и направил их на Дальний Восток, предоставил Польше крупные заказы на поставку железа (РГВА, ф. 33987, оп. 3, д. 504, л. 153.). Тем временем обе стороны шаг за шагом, постепенно, поэтапно повели дело к сворачиванию своих связей. После отказа Москвы от совместного производства химических опытов («Томка») и дальнейшей деятельности танковой школы в Казани (30 мая и 13 июня) германский военный атташе Хартман 22 июля 1933 г. передал советской стороне меморандум, в котором излагалось решение главнокомандующего райхсвером о прекращении обучения летчиков-истребителей в Липецке в связи с «необходимостью железной экономии» и невозможностью для райхсвера производить новые крупные капитальные затраты для обновления материальной части авиационной школы (РГВА, ф. 33987, оп. 3, д. 504, л. 153.). Таким образом, все три школы райхсвера на территории СССР должны были прекратить свое существование. Однако, дабы сохранить для внешнего мира видимость продолжения сотрудничества между РККА и райхсвером, от имени германского главкома предлагалось осуществлять в дальнейшем обмен офицерами и специалистами, обмен сообщениями и опытом. Все постройки и сооружения в Липецке было обещано передать в распоряжение советской стороны. Меморандум Хартмана Ворошилов направил Сталину (РГВА, ф. 33987, оп. 3, д. 504, л. 153.). Однако Москва пошла дальше. Наряду с ликвидацией школ райхсвера, которая пошла полным ходом по утвержденному Ворошиловым в конце июля 1933г. графику, она отказалась направить командиров РККА на осмотр частей райхсвера. В ответ военный атташе Германии Хартман 8 августа 1933г. направил письмо заместителю начальника внешних сношений Штаба РККА Смагину с извещением о невозможности направить германских офицеров на учения частей РККА в конце летнего периода «по уже раньше обозначенным причинам» (нехватка денежных средств). На документе стоит изумительная по краткости и емкости резолюция Ворошилова: «Очень хорошо! В. 15. 8. 1933 г. » (РГВА, ф. 33987, оп. 3, д. 504, л. 153.), из которой видно, что данный ответный шаг немецкой стороны полностью вписывался в намеченную Москвой кампанию по ускоренному сворачиванию сотрудничества между РККА и райхсвером. Кстати сказать, немцев очень сильно задел и отказ советской стороны направить краскомов на курсы германской военной академии, поскольку «отказ от дальнейшего обмена офицерами и военными сведениями не предполагался» (РГВА, ф. 33987, оп. 3, д. 504, л. 153.). В соответствии с упоминавшимся графиком ликвидации предприятий «друзей» к 15 августа должна была быть закончена ликвидация «Томки», к 1 октября — «Липецка», к 1 — 15 октября — «Казани»{53}. Менее чем за месяц (26 июля — 15 августа)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 — 50 тыс. золотых руб. (РГВА, ф. 33987, оп. 3, д. 504, л. 153.).</w:t>
      </w:r>
    </w:p>
    <w:p w14:paraId="57E26013" w14:textId="77777777" w:rsidR="0092497E" w:rsidRPr="00C33834" w:rsidRDefault="0092497E" w:rsidP="00C33834">
      <w:pPr>
        <w:spacing w:after="0" w:line="240" w:lineRule="auto"/>
        <w:jc w:val="both"/>
        <w:rPr>
          <w:rFonts w:ascii="Times New Roman" w:hAnsi="Times New Roman"/>
          <w:color w:val="000000" w:themeColor="text1"/>
          <w:sz w:val="16"/>
          <w:szCs w:val="16"/>
        </w:rPr>
      </w:pPr>
    </w:p>
    <w:p w14:paraId="228C99A3" w14:textId="77777777" w:rsidR="008C3A2F" w:rsidRPr="00C33834" w:rsidRDefault="008C3A2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августа 1933 г. Дирксен пришел к Крестинскому и проинформировал его о заявлении Папена министру иностранных дел Нойрату и статс-секретарю МИД Б. фон Бюлову, в котором Папен категорически опроверг обвинение в том, что он сообщил французам о советско-германских военных отношениях по той простой причине, что «он был совершенно не в курсе взаимоотношений между рейхсвером и Красной Армией», и что ни с французским послом в Риме X. де Жувенелем, ни с французским послом в Берлине А. Франсуа-Понсэ он об этом не говорил. Впоследствии Г. Хильгер в своих воспоминаниях писал, что утверждения НКИДа об этом были «просто ложными». Несуразность повода, — ведь о военных взаимоотношениях Германии и СССР было известно и в Англии, и во Франции, и в Польше — равно как и поспешность, с которой Москва предприняла столь решительные действия, свидетельствуют о том, что лидеры СССР загодя, по собственной инициативе, готовились к разрыву военных связей с Германией (19269).</w:t>
      </w:r>
    </w:p>
    <w:p w14:paraId="06EEC8CD" w14:textId="77777777" w:rsidR="008C3A2F" w:rsidRPr="00C33834" w:rsidRDefault="008C3A2F" w:rsidP="00C33834">
      <w:pPr>
        <w:spacing w:after="0" w:line="240" w:lineRule="auto"/>
        <w:jc w:val="both"/>
        <w:rPr>
          <w:rFonts w:ascii="Times New Roman" w:hAnsi="Times New Roman"/>
          <w:color w:val="000000" w:themeColor="text1"/>
          <w:sz w:val="16"/>
          <w:szCs w:val="16"/>
        </w:rPr>
      </w:pPr>
    </w:p>
    <w:p w14:paraId="119A17FF" w14:textId="77777777" w:rsidR="0092497E"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lastRenderedPageBreak/>
        <w:t>Авиапромышленность:</w:t>
      </w:r>
    </w:p>
    <w:p w14:paraId="5F975BF7" w14:textId="77777777" w:rsidR="0092497E" w:rsidRPr="00C33834" w:rsidRDefault="0092497E" w:rsidP="00C33834">
      <w:pPr>
        <w:spacing w:after="0" w:line="240" w:lineRule="auto"/>
        <w:jc w:val="both"/>
        <w:rPr>
          <w:rFonts w:ascii="Times New Roman" w:hAnsi="Times New Roman"/>
          <w:iCs/>
          <w:color w:val="000000" w:themeColor="text1"/>
          <w:sz w:val="16"/>
          <w:szCs w:val="16"/>
        </w:rPr>
      </w:pPr>
    </w:p>
    <w:p w14:paraId="3C96425C" w14:textId="77777777" w:rsidR="003A3EA7" w:rsidRPr="00C33834" w:rsidRDefault="003A3EA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18 августа 1933 г. автожир А-6 вместе с одним из А-4 участвовал в ежегодном воздушном празднике, посвященном дню авиации. Газета «Правда» на следующий день так описа</w:t>
      </w:r>
      <w:r w:rsidRPr="00C33834">
        <w:rPr>
          <w:rFonts w:ascii="Times New Roman" w:hAnsi="Times New Roman"/>
          <w:color w:val="0070C0"/>
          <w:sz w:val="16"/>
          <w:szCs w:val="16"/>
        </w:rPr>
        <w:softHyphen/>
        <w:t>ла появление автожиров, причем корреспондентам это новое название не было известно, и они определили их как вертолеты: «.Два аэроплана странной конструкции, с крыльями, высоко поднятыми над туловищем, поднялись вверх, соперничая с истребителями в стремлении на</w:t>
      </w:r>
      <w:r w:rsidRPr="00C33834">
        <w:rPr>
          <w:rFonts w:ascii="Times New Roman" w:hAnsi="Times New Roman"/>
          <w:color w:val="0070C0"/>
          <w:sz w:val="16"/>
          <w:szCs w:val="16"/>
        </w:rPr>
        <w:softHyphen/>
        <w:t>брать высоту. Их полет нарочито медленен. Крылья само</w:t>
      </w:r>
      <w:r w:rsidRPr="00C33834">
        <w:rPr>
          <w:rFonts w:ascii="Times New Roman" w:hAnsi="Times New Roman"/>
          <w:color w:val="0070C0"/>
          <w:sz w:val="16"/>
          <w:szCs w:val="16"/>
        </w:rPr>
        <w:softHyphen/>
        <w:t>летов вращаются подобно крыльям ветряных мельниц. Вращение их образовывало над самолетом, плавающим в лучах солнца, сияющий круг.</w:t>
      </w:r>
    </w:p>
    <w:p w14:paraId="6B7CA606" w14:textId="77777777" w:rsidR="003A3EA7" w:rsidRPr="00C33834" w:rsidRDefault="003A3EA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Это были вертолеты - стальные орлята, взращенные со</w:t>
      </w:r>
      <w:r w:rsidRPr="00C33834">
        <w:rPr>
          <w:rFonts w:ascii="Times New Roman" w:hAnsi="Times New Roman"/>
          <w:color w:val="0070C0"/>
          <w:sz w:val="16"/>
          <w:szCs w:val="16"/>
        </w:rPr>
        <w:softHyphen/>
        <w:t>ветскими конструкторами. Летчики Корзинщиков и По</w:t>
      </w:r>
      <w:r w:rsidRPr="00C33834">
        <w:rPr>
          <w:rFonts w:ascii="Times New Roman" w:hAnsi="Times New Roman"/>
          <w:color w:val="0070C0"/>
          <w:sz w:val="16"/>
          <w:szCs w:val="16"/>
        </w:rPr>
        <w:softHyphen/>
        <w:t>пов управляли невиданными воздушными машинами...» (29361).</w:t>
      </w:r>
    </w:p>
    <w:p w14:paraId="27FA35E2" w14:textId="77777777" w:rsidR="003A3EA7" w:rsidRPr="00C33834" w:rsidRDefault="003A3EA7" w:rsidP="00C33834">
      <w:pPr>
        <w:shd w:val="clear" w:color="auto" w:fill="FFFFFF"/>
        <w:spacing w:after="0" w:line="240" w:lineRule="auto"/>
        <w:jc w:val="both"/>
        <w:rPr>
          <w:rFonts w:ascii="Times New Roman" w:hAnsi="Times New Roman"/>
          <w:color w:val="0070C0"/>
          <w:sz w:val="16"/>
          <w:szCs w:val="16"/>
        </w:rPr>
      </w:pPr>
    </w:p>
    <w:p w14:paraId="4CAFF3C3"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 1933 состоялся первый воздушный парад в Тушино, посвященный дню ВФ СССР (решение об этом было принято в апреле - 24,74). 18 августа 1933 на воздушном празднике за ТБ-1 одновременно буксировали 11 планеров (94,8). За 2 минуты из АНТ-14 и двух АНТ-9 выбросили 62 парашютиста (24,75).</w:t>
      </w:r>
    </w:p>
    <w:p w14:paraId="1527624C"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ЦА были и АИР-5, и АИР-6, и АИР-7 (1771,7).</w:t>
      </w:r>
    </w:p>
    <w:p w14:paraId="22F2CB03"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 организовал выставку в ЦПКО и саду им. Баумана (298,220).</w:t>
      </w:r>
    </w:p>
    <w:p w14:paraId="5762FDEB" w14:textId="77777777" w:rsidR="0092497E" w:rsidRPr="00C33834" w:rsidRDefault="0092497E" w:rsidP="00C33834">
      <w:pPr>
        <w:spacing w:after="0" w:line="240" w:lineRule="auto"/>
        <w:jc w:val="both"/>
        <w:rPr>
          <w:rFonts w:ascii="Times New Roman" w:hAnsi="Times New Roman"/>
          <w:color w:val="000000" w:themeColor="text1"/>
          <w:sz w:val="16"/>
          <w:szCs w:val="16"/>
        </w:rPr>
      </w:pPr>
    </w:p>
    <w:p w14:paraId="0BB3F352" w14:textId="77777777" w:rsidR="006A4DAE" w:rsidRPr="00C33834" w:rsidRDefault="006A4DAE" w:rsidP="00C33834">
      <w:pPr>
        <w:pStyle w:val="84"/>
        <w:shd w:val="clear" w:color="auto" w:fill="auto"/>
        <w:spacing w:after="0" w:line="240" w:lineRule="auto"/>
        <w:ind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 1933 г. тысячи москви</w:t>
      </w:r>
      <w:r w:rsidRPr="00C33834">
        <w:rPr>
          <w:rFonts w:ascii="Times New Roman" w:hAnsi="Times New Roman"/>
          <w:color w:val="000000" w:themeColor="text1"/>
          <w:sz w:val="16"/>
          <w:szCs w:val="16"/>
        </w:rPr>
        <w:softHyphen/>
        <w:t>чей и «гостей столицы», не избало</w:t>
      </w:r>
      <w:r w:rsidRPr="00C33834">
        <w:rPr>
          <w:rFonts w:ascii="Times New Roman" w:hAnsi="Times New Roman"/>
          <w:color w:val="000000" w:themeColor="text1"/>
          <w:sz w:val="16"/>
          <w:szCs w:val="16"/>
        </w:rPr>
        <w:softHyphen/>
        <w:t>ванных в ту пору ни хлебом, ни зрели</w:t>
      </w:r>
      <w:r w:rsidRPr="00C33834">
        <w:rPr>
          <w:rFonts w:ascii="Times New Roman" w:hAnsi="Times New Roman"/>
          <w:color w:val="000000" w:themeColor="text1"/>
          <w:sz w:val="16"/>
          <w:szCs w:val="16"/>
        </w:rPr>
        <w:softHyphen/>
        <w:t>щами, собрались на Центральном аэро</w:t>
      </w:r>
      <w:r w:rsidRPr="00C33834">
        <w:rPr>
          <w:rFonts w:ascii="Times New Roman" w:hAnsi="Times New Roman"/>
          <w:color w:val="000000" w:themeColor="text1"/>
          <w:sz w:val="16"/>
          <w:szCs w:val="16"/>
        </w:rPr>
        <w:softHyphen/>
        <w:t>дроме имени М.В. Фрунзе. Впервые в стране состоялся масштабный смотр авиационных достижений. Посмотреть было на что. Итак, история легендар</w:t>
      </w:r>
      <w:r w:rsidRPr="00C33834">
        <w:rPr>
          <w:rFonts w:ascii="Times New Roman" w:hAnsi="Times New Roman"/>
          <w:color w:val="000000" w:themeColor="text1"/>
          <w:sz w:val="16"/>
          <w:szCs w:val="16"/>
        </w:rPr>
        <w:softHyphen/>
        <w:t>ного Праздника началась...</w:t>
      </w:r>
    </w:p>
    <w:p w14:paraId="118A4731" w14:textId="77777777" w:rsidR="006A4DAE" w:rsidRPr="00C33834" w:rsidRDefault="006A4DAE" w:rsidP="00C33834">
      <w:pPr>
        <w:pStyle w:val="84"/>
        <w:shd w:val="clear" w:color="auto" w:fill="auto"/>
        <w:spacing w:after="0" w:line="240" w:lineRule="auto"/>
        <w:ind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1933 по 1991 г. советские авиаторы отметили профессиональ</w:t>
      </w:r>
      <w:r w:rsidRPr="00C33834">
        <w:rPr>
          <w:rFonts w:ascii="Times New Roman" w:hAnsi="Times New Roman"/>
          <w:color w:val="000000" w:themeColor="text1"/>
          <w:sz w:val="16"/>
          <w:szCs w:val="16"/>
        </w:rPr>
        <w:softHyphen/>
        <w:t>ный праздник 59 раз. Из них 24 раза День Воздушного Флота СССР со</w:t>
      </w:r>
      <w:r w:rsidRPr="00C33834">
        <w:rPr>
          <w:rFonts w:ascii="Times New Roman" w:hAnsi="Times New Roman"/>
          <w:color w:val="000000" w:themeColor="text1"/>
          <w:sz w:val="16"/>
          <w:szCs w:val="16"/>
        </w:rPr>
        <w:softHyphen/>
        <w:t>стоялся 18 августа. Как уже было сказано ранее, с 1933 по 1940 г. (восемь раз) праздничный день — 18 августа был и выходным по так называемой шестидневке. Шесть раз 18 августа, по воле календаря, при</w:t>
      </w:r>
      <w:r w:rsidRPr="00C33834">
        <w:rPr>
          <w:rFonts w:ascii="Times New Roman" w:hAnsi="Times New Roman"/>
          <w:color w:val="000000" w:themeColor="text1"/>
          <w:sz w:val="16"/>
          <w:szCs w:val="16"/>
        </w:rPr>
        <w:softHyphen/>
        <w:t>шлось на воскресенье. В итоге, из 59 лет существования Дня Авиации СССР, 18 августа являлся только праздничным днем лишь десять раз. Здесь я вынужден констатировать — именно эти годы (исключая годы войны) стали годами забвения Празд</w:t>
      </w:r>
      <w:r w:rsidRPr="00C33834">
        <w:rPr>
          <w:rFonts w:ascii="Times New Roman" w:hAnsi="Times New Roman"/>
          <w:color w:val="000000" w:themeColor="text1"/>
          <w:sz w:val="16"/>
          <w:szCs w:val="16"/>
        </w:rPr>
        <w:softHyphen/>
        <w:t>ника. С 1960 по 1971 г., за редким исключением (парады 1961 и 1967 г.), не возникало необходимости пере</w:t>
      </w:r>
      <w:r w:rsidRPr="00C33834">
        <w:rPr>
          <w:rFonts w:ascii="Times New Roman" w:hAnsi="Times New Roman"/>
          <w:color w:val="000000" w:themeColor="text1"/>
          <w:sz w:val="16"/>
          <w:szCs w:val="16"/>
        </w:rPr>
        <w:softHyphen/>
        <w:t>носить с 18 августа Праздник, стре</w:t>
      </w:r>
      <w:r w:rsidRPr="00C33834">
        <w:rPr>
          <w:rFonts w:ascii="Times New Roman" w:hAnsi="Times New Roman"/>
          <w:color w:val="000000" w:themeColor="text1"/>
          <w:sz w:val="16"/>
          <w:szCs w:val="16"/>
        </w:rPr>
        <w:softHyphen/>
        <w:t>мительно теряющий статус всенарод</w:t>
      </w:r>
      <w:r w:rsidRPr="00C33834">
        <w:rPr>
          <w:rFonts w:ascii="Times New Roman" w:hAnsi="Times New Roman"/>
          <w:color w:val="000000" w:themeColor="text1"/>
          <w:sz w:val="16"/>
          <w:szCs w:val="16"/>
        </w:rPr>
        <w:softHyphen/>
        <w:t>ного, и превращающийся в один из многих профессиональных. Праздно</w:t>
      </w:r>
      <w:r w:rsidRPr="00C33834">
        <w:rPr>
          <w:rFonts w:ascii="Times New Roman" w:hAnsi="Times New Roman"/>
          <w:color w:val="000000" w:themeColor="text1"/>
          <w:sz w:val="16"/>
          <w:szCs w:val="16"/>
        </w:rPr>
        <w:softHyphen/>
        <w:t>вание Дня Воздушного Флота СССР свелось к протокольным мероприяти</w:t>
      </w:r>
      <w:r w:rsidRPr="00C33834">
        <w:rPr>
          <w:rFonts w:ascii="Times New Roman" w:hAnsi="Times New Roman"/>
          <w:color w:val="000000" w:themeColor="text1"/>
          <w:sz w:val="16"/>
          <w:szCs w:val="16"/>
        </w:rPr>
        <w:softHyphen/>
        <w:t>ям. Основной задачей авиаторов в столице и на местах являлось прове</w:t>
      </w:r>
      <w:r w:rsidRPr="00C33834">
        <w:rPr>
          <w:rFonts w:ascii="Times New Roman" w:hAnsi="Times New Roman"/>
          <w:color w:val="000000" w:themeColor="text1"/>
          <w:sz w:val="16"/>
          <w:szCs w:val="16"/>
        </w:rPr>
        <w:softHyphen/>
        <w:t>дение торжественных собраний с речами, из года в год писанными под копирку, праздничного концерта и, ес</w:t>
      </w:r>
      <w:r w:rsidRPr="00C33834">
        <w:rPr>
          <w:rFonts w:ascii="Times New Roman" w:hAnsi="Times New Roman"/>
          <w:color w:val="000000" w:themeColor="text1"/>
          <w:sz w:val="16"/>
          <w:szCs w:val="16"/>
        </w:rPr>
        <w:softHyphen/>
        <w:t>тественно, застолья с традиционны</w:t>
      </w:r>
      <w:r w:rsidRPr="00C33834">
        <w:rPr>
          <w:rFonts w:ascii="Times New Roman" w:hAnsi="Times New Roman"/>
          <w:color w:val="000000" w:themeColor="text1"/>
          <w:sz w:val="16"/>
          <w:szCs w:val="16"/>
        </w:rPr>
        <w:softHyphen/>
        <w:t>ми здравицами</w:t>
      </w:r>
    </w:p>
    <w:tbl>
      <w:tblPr>
        <w:tblW w:w="0" w:type="auto"/>
        <w:tblLayout w:type="fixed"/>
        <w:tblCellMar>
          <w:left w:w="10" w:type="dxa"/>
          <w:right w:w="10" w:type="dxa"/>
        </w:tblCellMar>
        <w:tblLook w:val="0000" w:firstRow="0" w:lastRow="0" w:firstColumn="0" w:lastColumn="0" w:noHBand="0" w:noVBand="0"/>
      </w:tblPr>
      <w:tblGrid>
        <w:gridCol w:w="833"/>
        <w:gridCol w:w="2048"/>
        <w:gridCol w:w="1980"/>
        <w:gridCol w:w="5498"/>
      </w:tblGrid>
      <w:tr w:rsidR="00F26F01" w:rsidRPr="00C33834" w14:paraId="20AE4112" w14:textId="77777777" w:rsidTr="00CE35D9">
        <w:trPr>
          <w:trHeight w:val="300"/>
        </w:trPr>
        <w:tc>
          <w:tcPr>
            <w:tcW w:w="833" w:type="dxa"/>
            <w:tcBorders>
              <w:top w:val="single" w:sz="6" w:space="0" w:color="auto"/>
              <w:left w:val="single" w:sz="6" w:space="0" w:color="auto"/>
              <w:right w:val="single" w:sz="6" w:space="0" w:color="auto"/>
            </w:tcBorders>
            <w:shd w:val="clear" w:color="auto" w:fill="FFFFFF"/>
          </w:tcPr>
          <w:p w14:paraId="00D9D156" w14:textId="77777777" w:rsidR="006A4DAE" w:rsidRPr="00C33834" w:rsidRDefault="006A4DAE" w:rsidP="00C33834">
            <w:pPr>
              <w:pStyle w:val="241"/>
              <w:shd w:val="clear" w:color="auto" w:fill="auto"/>
              <w:spacing w:before="0"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Год</w:t>
            </w:r>
          </w:p>
        </w:tc>
        <w:tc>
          <w:tcPr>
            <w:tcW w:w="4028" w:type="dxa"/>
            <w:gridSpan w:val="2"/>
            <w:tcBorders>
              <w:top w:val="single" w:sz="6" w:space="0" w:color="auto"/>
              <w:left w:val="single" w:sz="6" w:space="0" w:color="auto"/>
              <w:bottom w:val="single" w:sz="6" w:space="0" w:color="auto"/>
              <w:right w:val="single" w:sz="6" w:space="0" w:color="auto"/>
            </w:tcBorders>
            <w:shd w:val="clear" w:color="auto" w:fill="FFFFFF"/>
          </w:tcPr>
          <w:p w14:paraId="3F407C00" w14:textId="77777777" w:rsidR="006A4DAE" w:rsidRPr="00C33834" w:rsidRDefault="006A4DAE" w:rsidP="00C33834">
            <w:pPr>
              <w:pStyle w:val="241"/>
              <w:shd w:val="clear" w:color="auto" w:fill="auto"/>
              <w:spacing w:before="0"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Дата проведения</w:t>
            </w:r>
          </w:p>
        </w:tc>
        <w:tc>
          <w:tcPr>
            <w:tcW w:w="5498" w:type="dxa"/>
            <w:tcBorders>
              <w:top w:val="single" w:sz="6" w:space="0" w:color="auto"/>
              <w:left w:val="single" w:sz="6" w:space="0" w:color="auto"/>
              <w:right w:val="single" w:sz="6" w:space="0" w:color="auto"/>
            </w:tcBorders>
            <w:shd w:val="clear" w:color="auto" w:fill="FFFFFF"/>
          </w:tcPr>
          <w:p w14:paraId="27E1E8D7" w14:textId="77777777" w:rsidR="006A4DAE" w:rsidRPr="00C33834" w:rsidRDefault="006A4DAE" w:rsidP="00C33834">
            <w:pPr>
              <w:pStyle w:val="241"/>
              <w:shd w:val="clear" w:color="auto" w:fill="auto"/>
              <w:spacing w:before="0"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Место проведения авиационного праздника (примечания)</w:t>
            </w:r>
          </w:p>
        </w:tc>
      </w:tr>
      <w:tr w:rsidR="00F26F01" w:rsidRPr="00C33834" w14:paraId="58B02D1B" w14:textId="77777777" w:rsidTr="00CE35D9">
        <w:trPr>
          <w:trHeight w:val="593"/>
        </w:trPr>
        <w:tc>
          <w:tcPr>
            <w:tcW w:w="833" w:type="dxa"/>
            <w:tcBorders>
              <w:left w:val="single" w:sz="6" w:space="0" w:color="auto"/>
              <w:bottom w:val="single" w:sz="6" w:space="0" w:color="auto"/>
              <w:right w:val="single" w:sz="6" w:space="0" w:color="auto"/>
            </w:tcBorders>
            <w:shd w:val="clear" w:color="auto" w:fill="FFFFFF"/>
          </w:tcPr>
          <w:p w14:paraId="58031585" w14:textId="77777777" w:rsidR="006A4DAE" w:rsidRPr="00C33834" w:rsidRDefault="006A4DAE" w:rsidP="00C33834">
            <w:pPr>
              <w:spacing w:after="0" w:line="240" w:lineRule="auto"/>
              <w:jc w:val="both"/>
              <w:rPr>
                <w:rFonts w:ascii="Times New Roman" w:hAnsi="Times New Roman"/>
                <w:color w:val="000000" w:themeColor="text1"/>
                <w:sz w:val="16"/>
                <w:szCs w:val="16"/>
              </w:rPr>
            </w:pP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095D822F" w14:textId="77777777" w:rsidR="006A4DAE" w:rsidRPr="00C33834" w:rsidRDefault="006A4DAE" w:rsidP="00C33834">
            <w:pPr>
              <w:pStyle w:val="241"/>
              <w:shd w:val="clear" w:color="auto" w:fill="auto"/>
              <w:spacing w:before="0"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Дня Воздушного Флота СССР</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63580A02" w14:textId="77777777" w:rsidR="006A4DAE" w:rsidRPr="00C33834" w:rsidRDefault="006A4DAE" w:rsidP="00C33834">
            <w:pPr>
              <w:pStyle w:val="241"/>
              <w:shd w:val="clear" w:color="auto" w:fill="auto"/>
              <w:spacing w:before="0"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Авиационного праздника</w:t>
            </w:r>
          </w:p>
        </w:tc>
        <w:tc>
          <w:tcPr>
            <w:tcW w:w="5498" w:type="dxa"/>
            <w:tcBorders>
              <w:left w:val="single" w:sz="6" w:space="0" w:color="auto"/>
              <w:bottom w:val="single" w:sz="6" w:space="0" w:color="auto"/>
              <w:right w:val="single" w:sz="6" w:space="0" w:color="auto"/>
            </w:tcBorders>
            <w:shd w:val="clear" w:color="auto" w:fill="FFFFFF"/>
          </w:tcPr>
          <w:p w14:paraId="4384CCC3" w14:textId="77777777" w:rsidR="006A4DAE" w:rsidRPr="00C33834" w:rsidRDefault="006A4DAE" w:rsidP="00C33834">
            <w:pPr>
              <w:spacing w:after="0" w:line="240" w:lineRule="auto"/>
              <w:jc w:val="both"/>
              <w:rPr>
                <w:rFonts w:ascii="Times New Roman" w:hAnsi="Times New Roman"/>
                <w:color w:val="000000" w:themeColor="text1"/>
                <w:sz w:val="16"/>
                <w:szCs w:val="16"/>
              </w:rPr>
            </w:pPr>
          </w:p>
        </w:tc>
      </w:tr>
      <w:tr w:rsidR="00F26F01" w:rsidRPr="00C33834" w14:paraId="529F770E" w14:textId="77777777" w:rsidTr="00CE35D9">
        <w:trPr>
          <w:trHeight w:val="270"/>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79BF3D98"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38AAF9CA"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123D80BE"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5C80C201"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Центральный аэродром имени М.В.Фрунзе</w:t>
            </w:r>
          </w:p>
        </w:tc>
      </w:tr>
      <w:tr w:rsidR="00F26F01" w:rsidRPr="00C33834" w14:paraId="5B4F4D13"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4AA733FE"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1934</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0B82844C"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291A161A"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68CEA9A7"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Тушинский аэродром</w:t>
            </w:r>
          </w:p>
        </w:tc>
      </w:tr>
      <w:tr w:rsidR="00F26F01" w:rsidRPr="00C33834" w14:paraId="6D820BC6"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0C4CB0D7"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1935</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528E0E6"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3C48CB9F"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4FB8542C"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нс-</w:t>
            </w:r>
          </w:p>
        </w:tc>
      </w:tr>
      <w:tr w:rsidR="00F26F01" w:rsidRPr="00C33834" w14:paraId="37F46C99"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310AAB6F"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1936</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015F8896"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49078C01"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4192CDF8"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Перенос по метеоусловиям</w:t>
            </w:r>
          </w:p>
        </w:tc>
      </w:tr>
      <w:tr w:rsidR="00F26F01" w:rsidRPr="00C33834" w14:paraId="28D028AA"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36F70AB1"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1937</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3E61EB5D"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4D8F1811"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059B1062"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Тушинский аэродром</w:t>
            </w:r>
          </w:p>
        </w:tc>
      </w:tr>
      <w:tr w:rsidR="00F26F01" w:rsidRPr="00C33834" w14:paraId="07AF9A87"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54B4C9EA"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1938</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36B2ECC7"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09324ECF"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6A061DBC" w14:textId="77777777" w:rsidR="006A4DAE" w:rsidRPr="00C33834" w:rsidRDefault="006A4DAE" w:rsidP="00C33834">
            <w:pPr>
              <w:pStyle w:val="281"/>
              <w:shd w:val="clear" w:color="auto" w:fill="auto"/>
              <w:spacing w:after="0" w:line="240" w:lineRule="auto"/>
              <w:jc w:val="both"/>
              <w:rPr>
                <w:rFonts w:ascii="Times New Roman" w:hAnsi="Times New Roman" w:cs="Times New Roman"/>
                <w:color w:val="000000" w:themeColor="text1"/>
                <w:spacing w:val="0"/>
                <w:sz w:val="16"/>
                <w:szCs w:val="16"/>
              </w:rPr>
            </w:pPr>
            <w:r w:rsidRPr="00C33834">
              <w:rPr>
                <w:rFonts w:ascii="Times New Roman" w:hAnsi="Times New Roman" w:cs="Times New Roman"/>
                <w:color w:val="000000" w:themeColor="text1"/>
                <w:spacing w:val="0"/>
                <w:sz w:val="16"/>
                <w:szCs w:val="16"/>
              </w:rPr>
              <w:t>-«-</w:t>
            </w:r>
          </w:p>
        </w:tc>
      </w:tr>
      <w:tr w:rsidR="00F26F01" w:rsidRPr="00C33834" w14:paraId="7FCC2FF2" w14:textId="77777777" w:rsidTr="00CE35D9">
        <w:trPr>
          <w:trHeight w:val="285"/>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76C7EFBA"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1939</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6F44A5BC"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3796FE2E"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36A1FF4E"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w:t>
            </w:r>
          </w:p>
        </w:tc>
      </w:tr>
      <w:tr w:rsidR="00F26F01" w:rsidRPr="00C33834" w14:paraId="3A3E8F26" w14:textId="77777777" w:rsidTr="00CE35D9">
        <w:trPr>
          <w:trHeight w:val="270"/>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5758443C"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1940</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03E8C3C"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2A96BCDB"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73D7D620" w14:textId="77777777" w:rsidR="006A4DAE" w:rsidRPr="00C33834" w:rsidRDefault="006A4DA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5A2F7B5D"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0D0672A9"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1941</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4B69664E"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25869EEC" w14:textId="77777777" w:rsidR="006A4DAE" w:rsidRPr="00C33834" w:rsidRDefault="006A4DA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388B7C62"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планировался</w:t>
            </w:r>
          </w:p>
        </w:tc>
      </w:tr>
      <w:tr w:rsidR="00F26F01" w:rsidRPr="00C33834" w14:paraId="25F3572E"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6A9C8EBA"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1942</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131C5DA6"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4241683F" w14:textId="77777777" w:rsidR="006A4DAE" w:rsidRPr="00C33834" w:rsidRDefault="006A4DA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6249028A"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планировался</w:t>
            </w:r>
          </w:p>
        </w:tc>
      </w:tr>
      <w:tr w:rsidR="00F26F01" w:rsidRPr="00C33834" w14:paraId="3D4CDB0C" w14:textId="77777777" w:rsidTr="00CE35D9">
        <w:trPr>
          <w:trHeight w:val="293"/>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03643A89"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1943</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37263D70"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августо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510FB6D8" w14:textId="77777777" w:rsidR="006A4DAE" w:rsidRPr="00C33834" w:rsidRDefault="006A4DA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62E66F68"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планировался</w:t>
            </w:r>
          </w:p>
        </w:tc>
      </w:tr>
      <w:tr w:rsidR="00F26F01" w:rsidRPr="00C33834" w14:paraId="55A419B4" w14:textId="77777777" w:rsidTr="00CE35D9">
        <w:trPr>
          <w:trHeight w:val="270"/>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487C3546"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1944</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60149711"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10F462D0" w14:textId="77777777" w:rsidR="006A4DAE" w:rsidRPr="00C33834" w:rsidRDefault="006A4DA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0A7F6DCD"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планировался</w:t>
            </w:r>
          </w:p>
        </w:tc>
      </w:tr>
      <w:tr w:rsidR="00F26F01" w:rsidRPr="00C33834" w14:paraId="00AA42EE"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137AEC21"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1945</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6DC16A61"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301AF484" w14:textId="77777777" w:rsidR="006A4DAE" w:rsidRPr="00C33834" w:rsidRDefault="006A4DA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15232760"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Отмена по метеоусловиям</w:t>
            </w:r>
          </w:p>
        </w:tc>
      </w:tr>
      <w:tr w:rsidR="00F26F01" w:rsidRPr="00C33834" w14:paraId="57C0888A"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1ED648A7"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1946</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1DADFE3F"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36FF721E"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00C9C613"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Тушинский аэродром</w:t>
            </w:r>
          </w:p>
        </w:tc>
      </w:tr>
      <w:tr w:rsidR="00F26F01" w:rsidRPr="00C33834" w14:paraId="2F7B90E3"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1042F479"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1947</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3A978D5"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478D6A08"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1729890E"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нс-</w:t>
            </w:r>
          </w:p>
        </w:tc>
      </w:tr>
      <w:tr w:rsidR="00F26F01" w:rsidRPr="00C33834" w14:paraId="05EF1D2A"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32723426"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1948</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62476DEB"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июля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6950C196"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июля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5A1F82F0"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Перенос по метеоусловиям</w:t>
            </w:r>
          </w:p>
        </w:tc>
      </w:tr>
      <w:tr w:rsidR="00F26F01" w:rsidRPr="00C33834" w14:paraId="1E2F8DD9"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413E7DEB"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1949</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157179EA"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июля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3D5EBBCF"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июля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7657B7B5"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Тушинский аэродром</w:t>
            </w:r>
          </w:p>
        </w:tc>
      </w:tr>
      <w:tr w:rsidR="00F26F01" w:rsidRPr="00C33834" w14:paraId="4ED89931" w14:textId="77777777" w:rsidTr="00CE35D9">
        <w:trPr>
          <w:trHeight w:val="270"/>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2161714F"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1950</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3244B55F"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июля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10EED6E8"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к</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35B72A25"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Отмена по метеоусловиям</w:t>
            </w:r>
          </w:p>
        </w:tc>
      </w:tr>
      <w:tr w:rsidR="00F26F01" w:rsidRPr="00C33834" w14:paraId="469E9053"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6679DF24"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1951</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6C7248F5"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июля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7765D9E2"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июля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1964AF1C"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Тушинский аэродром</w:t>
            </w:r>
          </w:p>
        </w:tc>
      </w:tr>
      <w:tr w:rsidR="00F26F01" w:rsidRPr="00C33834" w14:paraId="23BA251F"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4C13A11C"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1952</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28188AA9"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июля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508C46EA"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июля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308970D3" w14:textId="77777777" w:rsidR="006A4DAE" w:rsidRPr="00C33834" w:rsidRDefault="006A4DAE" w:rsidP="00C33834">
            <w:pPr>
              <w:pStyle w:val="26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701A36DC"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372EE144"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1953</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1C84C0BA"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августо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2BE25CF0"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261433F6"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Перенос по метеоусловиям</w:t>
            </w:r>
          </w:p>
        </w:tc>
      </w:tr>
      <w:tr w:rsidR="00F26F01" w:rsidRPr="00C33834" w14:paraId="713C9AFB" w14:textId="77777777" w:rsidTr="00CE35D9">
        <w:trPr>
          <w:trHeight w:val="293"/>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38B7959A"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1954</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5F2FC33"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июня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05C226C5"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июня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0455F8F6"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Тушинский аэродром</w:t>
            </w:r>
          </w:p>
        </w:tc>
      </w:tr>
      <w:tr w:rsidR="00F26F01" w:rsidRPr="00C33834" w14:paraId="0AB8DB7D"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3D127011"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1955</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076210C6"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июля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582A322D"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июля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65D3D5AB" w14:textId="77777777" w:rsidR="006A4DAE" w:rsidRPr="00C33834" w:rsidRDefault="006A4DAE" w:rsidP="00C33834">
            <w:pPr>
              <w:spacing w:after="0" w:line="240" w:lineRule="auto"/>
              <w:jc w:val="both"/>
              <w:rPr>
                <w:rFonts w:ascii="Times New Roman" w:hAnsi="Times New Roman"/>
                <w:color w:val="000000" w:themeColor="text1"/>
                <w:sz w:val="16"/>
                <w:szCs w:val="16"/>
              </w:rPr>
            </w:pPr>
          </w:p>
        </w:tc>
      </w:tr>
      <w:tr w:rsidR="00F26F01" w:rsidRPr="00C33834" w14:paraId="4F4B2717"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70C90022"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1956</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6A16FB41"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июня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0EB1E3D4"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июня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597DEF1E" w14:textId="77777777" w:rsidR="006A4DAE" w:rsidRPr="00C33834" w:rsidRDefault="006A4DAE" w:rsidP="00C33834">
            <w:pPr>
              <w:spacing w:after="0" w:line="240" w:lineRule="auto"/>
              <w:jc w:val="both"/>
              <w:rPr>
                <w:rFonts w:ascii="Times New Roman" w:hAnsi="Times New Roman"/>
                <w:color w:val="000000" w:themeColor="text1"/>
                <w:sz w:val="16"/>
                <w:szCs w:val="16"/>
              </w:rPr>
            </w:pPr>
          </w:p>
        </w:tc>
      </w:tr>
      <w:tr w:rsidR="00F26F01" w:rsidRPr="00C33834" w14:paraId="28C40AC8"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11278B5A"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1957</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3519C80C"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июня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391C51B9" w14:textId="77777777" w:rsidR="006A4DAE" w:rsidRPr="00C33834" w:rsidRDefault="006A4DA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0E77E620"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Отмена по метеоусловиям</w:t>
            </w:r>
          </w:p>
        </w:tc>
      </w:tr>
      <w:tr w:rsidR="00F26F01" w:rsidRPr="00C33834" w14:paraId="51C52AFA" w14:textId="77777777" w:rsidTr="00CE35D9">
        <w:trPr>
          <w:trHeight w:val="270"/>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03DE5421"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1958</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034E35AE"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июля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6A6E16D2"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июля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1C6E627E"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ДОСААФ, ГВФ</w:t>
            </w:r>
          </w:p>
        </w:tc>
      </w:tr>
      <w:tr w:rsidR="00F26F01" w:rsidRPr="00C33834" w14:paraId="1E56CD97"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140EA34C"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1959</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109B525C"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августо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31B34C4B" w14:textId="77777777" w:rsidR="006A4DAE" w:rsidRPr="00C33834" w:rsidRDefault="006A4DAE" w:rsidP="00C33834">
            <w:pPr>
              <w:spacing w:after="0" w:line="240" w:lineRule="auto"/>
              <w:jc w:val="both"/>
              <w:rPr>
                <w:rFonts w:ascii="Times New Roman" w:hAnsi="Times New Roman"/>
                <w:color w:val="000000" w:themeColor="text1"/>
                <w:sz w:val="16"/>
                <w:szCs w:val="16"/>
              </w:rPr>
            </w:pPr>
            <w:r w:rsidRPr="00C33834">
              <w:rPr>
                <w:rStyle w:val="251"/>
                <w:rFonts w:ascii="Times New Roman" w:hAnsi="Times New Roman"/>
                <w:color w:val="000000" w:themeColor="text1"/>
                <w:sz w:val="16"/>
                <w:szCs w:val="16"/>
              </w:rPr>
              <w:t>-</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4682ADEA"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планировался</w:t>
            </w:r>
          </w:p>
        </w:tc>
      </w:tr>
      <w:tr w:rsidR="00F26F01" w:rsidRPr="00C33834" w14:paraId="29611309" w14:textId="77777777" w:rsidTr="00CE35D9">
        <w:trPr>
          <w:trHeight w:val="54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0319DCB2"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1960</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12344D0B"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7B7C5132"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21-28 овгусто</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6B43F6D4"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Чемпионат СССР по самолетному спорту но Тушинском аэродроме</w:t>
            </w:r>
          </w:p>
        </w:tc>
      </w:tr>
      <w:tr w:rsidR="00F26F01" w:rsidRPr="00C33834" w14:paraId="1A8F136E" w14:textId="77777777" w:rsidTr="00CE35D9">
        <w:trPr>
          <w:trHeight w:val="270"/>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0C240907"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1961</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5D7B1354"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июля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55A169C9"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июля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2C642FEB"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Тушинский аэродром</w:t>
            </w:r>
          </w:p>
        </w:tc>
      </w:tr>
      <w:tr w:rsidR="00F26F01" w:rsidRPr="00C33834" w14:paraId="79FAE1B6" w14:textId="77777777" w:rsidTr="00CE35D9">
        <w:trPr>
          <w:trHeight w:val="54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7DE91A41"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1962</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2A131C3"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2CFEF350"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17—19 августо</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4BC90613"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2-е всесоюзные соревнований по высшему пилотажу на Тушинском аэродроме</w:t>
            </w:r>
          </w:p>
        </w:tc>
      </w:tr>
      <w:tr w:rsidR="00F26F01" w:rsidRPr="00C33834" w14:paraId="374B42E4" w14:textId="77777777" w:rsidTr="00CE35D9">
        <w:trPr>
          <w:trHeight w:val="563"/>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28B20904"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1963</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5110A8B5"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072501D2"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июня — 7 июля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31C39581"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Международные товарищеские соревнования по высшему пилотажу на Тушинском оэродроме</w:t>
            </w:r>
          </w:p>
        </w:tc>
      </w:tr>
      <w:tr w:rsidR="00F26F01" w:rsidRPr="00C33834" w14:paraId="60A63DA4"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5D51F42D"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1964</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2C1149E6"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2E4CD772" w14:textId="77777777" w:rsidR="006A4DAE" w:rsidRPr="00C33834" w:rsidRDefault="006A4DA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54F1F08D"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планировался</w:t>
            </w:r>
          </w:p>
        </w:tc>
      </w:tr>
      <w:tr w:rsidR="00F26F01" w:rsidRPr="00C33834" w14:paraId="56C263B0" w14:textId="77777777" w:rsidTr="00CE35D9">
        <w:trPr>
          <w:trHeight w:val="270"/>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6497B669"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1965</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2B3DC153"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7B2E4532"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39218A46"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Тушинский аэродром</w:t>
            </w:r>
          </w:p>
        </w:tc>
      </w:tr>
      <w:tr w:rsidR="00F26F01" w:rsidRPr="00C33834" w14:paraId="6D960AB8" w14:textId="77777777" w:rsidTr="00CE35D9">
        <w:trPr>
          <w:trHeight w:val="54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7A7742FB"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1966</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4C51948A"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70BC47A0"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7—14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0214A8A2"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IV чемпионат мира по высшему пилотажу но Тушинском аэродроме</w:t>
            </w:r>
          </w:p>
        </w:tc>
      </w:tr>
      <w:tr w:rsidR="00F26F01" w:rsidRPr="00C33834" w14:paraId="089790D3"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302613B5"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1967</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3FCECFA9"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июля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7C01561D"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июля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5A51A0ED"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Аэропорт Домодедово</w:t>
            </w:r>
          </w:p>
        </w:tc>
      </w:tr>
      <w:tr w:rsidR="00F26F01" w:rsidRPr="00C33834" w14:paraId="2020DAC3" w14:textId="77777777" w:rsidTr="00CE35D9">
        <w:trPr>
          <w:trHeight w:val="270"/>
        </w:trPr>
        <w:tc>
          <w:tcPr>
            <w:tcW w:w="10359" w:type="dxa"/>
            <w:gridSpan w:val="4"/>
            <w:tcBorders>
              <w:top w:val="single" w:sz="6" w:space="0" w:color="auto"/>
              <w:left w:val="single" w:sz="6" w:space="0" w:color="auto"/>
              <w:bottom w:val="single" w:sz="6" w:space="0" w:color="auto"/>
              <w:right w:val="single" w:sz="6" w:space="0" w:color="auto"/>
            </w:tcBorders>
            <w:shd w:val="clear" w:color="auto" w:fill="FFFFFF"/>
          </w:tcPr>
          <w:p w14:paraId="399B9145"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1968 по 1971 гг. - 18 августа</w:t>
            </w:r>
          </w:p>
        </w:tc>
      </w:tr>
      <w:tr w:rsidR="00F26F01" w:rsidRPr="00C33834" w14:paraId="5FE1A89D" w14:textId="77777777" w:rsidTr="00CE35D9">
        <w:trPr>
          <w:trHeight w:val="548"/>
        </w:trPr>
        <w:tc>
          <w:tcPr>
            <w:tcW w:w="4861" w:type="dxa"/>
            <w:gridSpan w:val="3"/>
            <w:tcBorders>
              <w:top w:val="single" w:sz="6" w:space="0" w:color="auto"/>
              <w:left w:val="single" w:sz="6" w:space="0" w:color="auto"/>
              <w:bottom w:val="single" w:sz="6" w:space="0" w:color="auto"/>
              <w:right w:val="single" w:sz="6" w:space="0" w:color="auto"/>
            </w:tcBorders>
            <w:shd w:val="clear" w:color="auto" w:fill="FFFFFF"/>
          </w:tcPr>
          <w:p w14:paraId="27752463"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1972 по 1991 гг.- Воскресенье пришлось на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5401B09F"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третье воскресенье августо. 8 августа в 1974, 1985 и 1991 гг.</w:t>
            </w:r>
          </w:p>
        </w:tc>
      </w:tr>
      <w:tr w:rsidR="00F26F01" w:rsidRPr="00C33834" w14:paraId="1C5C5FF9" w14:textId="77777777" w:rsidTr="00CE35D9">
        <w:trPr>
          <w:trHeight w:val="54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6F0E7B9B"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1976</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19A8CAB8"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7B75AD69"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июля — 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6C8A9AAA"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VIII чемпионат мирю по высшему пилотажу в Киеве</w:t>
            </w:r>
          </w:p>
        </w:tc>
      </w:tr>
      <w:tr w:rsidR="00F26F01" w:rsidRPr="00C33834" w14:paraId="1C1F9616" w14:textId="77777777" w:rsidTr="00CE35D9">
        <w:trPr>
          <w:trHeight w:val="293"/>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1EDAA2CF"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19 77</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44A4A063"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7AA9D0D9"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5FBE21B2"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Тушинский азродром</w:t>
            </w:r>
          </w:p>
        </w:tc>
      </w:tr>
      <w:tr w:rsidR="00F26F01" w:rsidRPr="00C33834" w14:paraId="544CB886"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02CD9D77"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1982</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251E9F0C"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22C84769"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августо</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78684C86"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Тушинский аэродром</w:t>
            </w:r>
          </w:p>
        </w:tc>
      </w:tr>
      <w:tr w:rsidR="00F26F01" w:rsidRPr="00C33834" w14:paraId="35400DEE" w14:textId="77777777" w:rsidTr="00CE35D9">
        <w:trPr>
          <w:trHeight w:val="270"/>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1E4FD2A9"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1985</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7515909"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w:t>
            </w:r>
          </w:p>
        </w:tc>
        <w:tc>
          <w:tcPr>
            <w:tcW w:w="1980" w:type="dxa"/>
            <w:tcBorders>
              <w:top w:val="single" w:sz="6" w:space="0" w:color="auto"/>
              <w:left w:val="single" w:sz="6" w:space="0" w:color="auto"/>
              <w:right w:val="single" w:sz="6" w:space="0" w:color="auto"/>
            </w:tcBorders>
            <w:shd w:val="clear" w:color="auto" w:fill="FFFFFF"/>
          </w:tcPr>
          <w:p w14:paraId="06D19E97"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32BDC51F"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Тушинский аэродром</w:t>
            </w:r>
          </w:p>
        </w:tc>
      </w:tr>
      <w:tr w:rsidR="00F26F01" w:rsidRPr="00C33834" w14:paraId="0D9740AA"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75632ADD"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1987</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8706475"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августа</w:t>
            </w:r>
          </w:p>
        </w:tc>
        <w:tc>
          <w:tcPr>
            <w:tcW w:w="1980" w:type="dxa"/>
            <w:tcBorders>
              <w:left w:val="single" w:sz="6" w:space="0" w:color="auto"/>
              <w:bottom w:val="single" w:sz="6" w:space="0" w:color="auto"/>
              <w:right w:val="single" w:sz="6" w:space="0" w:color="auto"/>
            </w:tcBorders>
            <w:shd w:val="clear" w:color="auto" w:fill="FFFFFF"/>
          </w:tcPr>
          <w:p w14:paraId="0ACAC63B"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2023844D"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Тушинский аэродром</w:t>
            </w:r>
          </w:p>
        </w:tc>
      </w:tr>
      <w:tr w:rsidR="00F26F01" w:rsidRPr="00C33834" w14:paraId="32E63EA1"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7E986031"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1989</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36AF3EF9"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7C0FA401"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7F13BA7D"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Тушинский аэродром</w:t>
            </w:r>
          </w:p>
        </w:tc>
      </w:tr>
      <w:tr w:rsidR="00F26F01" w:rsidRPr="00C33834" w14:paraId="3203AD6F" w14:textId="77777777" w:rsidTr="00CE35D9">
        <w:trPr>
          <w:trHeight w:val="293"/>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45FD6BA6"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1991</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26178BE2"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705E2900"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6757E546" w14:textId="77777777" w:rsidR="006A4DAE" w:rsidRPr="00C33834" w:rsidRDefault="006A4DAE" w:rsidP="00C33834">
            <w:pPr>
              <w:pStyle w:val="230"/>
              <w:shd w:val="clear" w:color="auto" w:fill="auto"/>
              <w:spacing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Тушинский аэродром</w:t>
            </w:r>
          </w:p>
        </w:tc>
      </w:tr>
    </w:tbl>
    <w:p w14:paraId="52215098" w14:textId="77777777" w:rsidR="006A4DAE" w:rsidRPr="00C33834" w:rsidRDefault="006A4DAE" w:rsidP="00C33834">
      <w:pPr>
        <w:pStyle w:val="84"/>
        <w:shd w:val="clear" w:color="auto" w:fill="auto"/>
        <w:spacing w:after="0" w:line="240" w:lineRule="auto"/>
        <w:ind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(12118).</w:t>
      </w:r>
    </w:p>
    <w:p w14:paraId="631DA5D1" w14:textId="77777777" w:rsidR="006A4DAE" w:rsidRPr="00C33834" w:rsidRDefault="006A4DAE" w:rsidP="00C33834">
      <w:pPr>
        <w:spacing w:after="0" w:line="240" w:lineRule="auto"/>
        <w:jc w:val="both"/>
        <w:rPr>
          <w:rFonts w:ascii="Times New Roman" w:hAnsi="Times New Roman"/>
          <w:color w:val="000000" w:themeColor="text1"/>
          <w:sz w:val="16"/>
          <w:szCs w:val="16"/>
        </w:rPr>
      </w:pPr>
    </w:p>
    <w:p w14:paraId="036F3186" w14:textId="77777777" w:rsidR="009870BF" w:rsidRPr="00C33834" w:rsidRDefault="009870B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 1933 года</w:t>
      </w:r>
      <w:r w:rsidRPr="00C33834">
        <w:rPr>
          <w:rFonts w:ascii="Times New Roman" w:hAnsi="Times New Roman"/>
          <w:bCs/>
          <w:color w:val="000000" w:themeColor="text1"/>
          <w:sz w:val="16"/>
          <w:szCs w:val="16"/>
        </w:rPr>
        <w:t xml:space="preserve"> утром никогда ещё Ленинградское шоссе не было таким оживлённым. Его заполнили все виды городского транспорта, спешившего доставить десятки тысяч москвичей к Центральному аэродрому.» «Высоко-высоко над аэродромом возникла надпись «СССР», выведенная в небесной синеве чётким строем самолётов. Над нами пронеслись истребители и штурмовики; сотрясая воздух гулом моторов, торжественно проплыли тяжёлые многомоторные самолёты. Когда наступила тишина, репродукторы объявили о начале второго отделения праздника. «Сейчас вы увидите, — сказал диктор, — затяжные прыжки с парашютом. Их выполнят лётчики-парашютисты Николай Остряков и Пётр Балашов». «Прошло 20 секунд, прежде чем Остряков и Балашов открыли парашюты. В напряжённой тишине до нас почти одновременно донеслись сверху два гулких хлопка. И тотчас же разразилась буря рукоплесканий. А над аэродромом уже плыл АНТ</w:t>
      </w:r>
      <w:r w:rsidRPr="00C33834">
        <w:rPr>
          <w:rFonts w:ascii="Times New Roman" w:hAnsi="Times New Roman"/>
          <w:bCs/>
          <w:color w:val="000000" w:themeColor="text1"/>
          <w:sz w:val="16"/>
          <w:szCs w:val="16"/>
        </w:rPr>
        <w:noBreakHyphen/>
        <w:t>14 — пятимоторный агитационный самолёт «Правда» конструкции Андрея Николаевича Туполева. Вслед за ним летели несколько других, меньших самолётов. И вдруг мы увидели над собой много куполов. На землю опускались сразу шестьдесят два парашютиста! Такой необыкновенной картины не наблюдали ещё жители ни одного города в мире (17325).</w:t>
      </w:r>
    </w:p>
    <w:p w14:paraId="5BCB990D" w14:textId="77777777" w:rsidR="009870BF" w:rsidRPr="00C33834" w:rsidRDefault="009870BF" w:rsidP="00C33834">
      <w:pPr>
        <w:spacing w:after="0" w:line="240" w:lineRule="auto"/>
        <w:jc w:val="both"/>
        <w:rPr>
          <w:rFonts w:ascii="Times New Roman" w:hAnsi="Times New Roman"/>
          <w:color w:val="000000" w:themeColor="text1"/>
          <w:sz w:val="16"/>
          <w:szCs w:val="16"/>
        </w:rPr>
      </w:pPr>
    </w:p>
    <w:p w14:paraId="2CBB6A7B"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 1933 в Тушино состоялись Седьмые всесоюзные авиамодельные состязания (271,134).</w:t>
      </w:r>
    </w:p>
    <w:p w14:paraId="2CF0B399" w14:textId="77777777" w:rsidR="0092497E" w:rsidRPr="00C33834" w:rsidRDefault="0092497E" w:rsidP="00C33834">
      <w:pPr>
        <w:spacing w:after="0" w:line="240" w:lineRule="auto"/>
        <w:jc w:val="both"/>
        <w:rPr>
          <w:rFonts w:ascii="Times New Roman" w:hAnsi="Times New Roman"/>
          <w:color w:val="000000" w:themeColor="text1"/>
          <w:sz w:val="16"/>
          <w:szCs w:val="16"/>
        </w:rPr>
      </w:pPr>
    </w:p>
    <w:p w14:paraId="2926AFED" w14:textId="77777777" w:rsidR="00A8497D" w:rsidRPr="00C33834" w:rsidRDefault="00A8497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 в 1933 году начало 9-х планерных состязаний в Крыму (окончание 20 сентября) (14987).</w:t>
      </w:r>
    </w:p>
    <w:p w14:paraId="4C37EB8B" w14:textId="77777777" w:rsidR="00A8497D" w:rsidRPr="00C33834" w:rsidRDefault="00A8497D" w:rsidP="00C33834">
      <w:pPr>
        <w:spacing w:after="0" w:line="240" w:lineRule="auto"/>
        <w:jc w:val="both"/>
        <w:rPr>
          <w:rFonts w:ascii="Times New Roman" w:hAnsi="Times New Roman"/>
          <w:color w:val="000000" w:themeColor="text1"/>
          <w:sz w:val="16"/>
          <w:szCs w:val="16"/>
        </w:rPr>
      </w:pPr>
    </w:p>
    <w:p w14:paraId="1854022C" w14:textId="77777777" w:rsidR="00A8497D" w:rsidRPr="00C33834" w:rsidRDefault="00A8497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 в 1933 году Н.А.Соколов-Соколенок и С.С.Зызымов совершили высотный перелет Москва - Севастополь - Москва на «Р-5» (14987).</w:t>
      </w:r>
    </w:p>
    <w:p w14:paraId="69E4212E" w14:textId="77777777" w:rsidR="00A8497D" w:rsidRPr="00C33834" w:rsidRDefault="00A8497D" w:rsidP="00C33834">
      <w:pPr>
        <w:spacing w:after="0" w:line="240" w:lineRule="auto"/>
        <w:jc w:val="both"/>
        <w:rPr>
          <w:rFonts w:ascii="Times New Roman" w:hAnsi="Times New Roman"/>
          <w:color w:val="000000" w:themeColor="text1"/>
          <w:sz w:val="16"/>
          <w:szCs w:val="16"/>
        </w:rPr>
      </w:pPr>
    </w:p>
    <w:p w14:paraId="6FD9E1B0"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 1933 начались 9 планерные в Крыму и шли до 20 сентября 1933 (438,655). На них была и трапеции БИЧ-11 и БИЧ-12 которые выполнили 8 и 10 планирующих полетов, а БИЧ-12 и 2 парящих. Там же летал и БИЧ-13 с параболическим крылом бег ВО. На нем выполнили 19 полетов, в т.ч. 4 парящих и один - 26 минут (2544,59). Там же летала и бесхвостка ЦАГИ БП-1 А.А.Сенькова. Летал А.Н.Скородумов, но отметил, что рулей для пилотажа не хватает (2544,61).</w:t>
      </w:r>
    </w:p>
    <w:p w14:paraId="14B40012" w14:textId="77777777" w:rsidR="0092497E" w:rsidRPr="00C33834" w:rsidRDefault="0092497E" w:rsidP="00C33834">
      <w:pPr>
        <w:spacing w:after="0" w:line="240" w:lineRule="auto"/>
        <w:jc w:val="both"/>
        <w:rPr>
          <w:rFonts w:ascii="Times New Roman" w:hAnsi="Times New Roman"/>
          <w:color w:val="000000" w:themeColor="text1"/>
          <w:sz w:val="16"/>
          <w:szCs w:val="16"/>
        </w:rPr>
      </w:pPr>
    </w:p>
    <w:p w14:paraId="58737201"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 1933 аэродром в Липецке полностью перешел в ведение ВВС РККА и несколько дней спустя в Москву вылетели базировавшиеся там Юнкерс W-33, K 47 и A 48 с немецкими л и наиболее ценным оборудованием (1795,40).</w:t>
      </w:r>
    </w:p>
    <w:p w14:paraId="5FE9646E" w14:textId="77777777" w:rsidR="0092497E" w:rsidRPr="00C33834" w:rsidRDefault="0092497E" w:rsidP="00C33834">
      <w:pPr>
        <w:spacing w:after="0" w:line="240" w:lineRule="auto"/>
        <w:jc w:val="both"/>
        <w:rPr>
          <w:rFonts w:ascii="Times New Roman" w:hAnsi="Times New Roman"/>
          <w:color w:val="000000" w:themeColor="text1"/>
          <w:sz w:val="16"/>
          <w:szCs w:val="16"/>
        </w:rPr>
      </w:pPr>
    </w:p>
    <w:p w14:paraId="78070529" w14:textId="77777777" w:rsidR="000A15EA" w:rsidRPr="00C33834" w:rsidRDefault="000A15EA"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18 августа 1933 в ответ на визит польских летчиков Е. Баяна и П. Дудзиньски, которые 16 – 17 мая 1933 года на двух спортивных самолетах пролетели по маршруту Варшава – Харьков – Ленинград, начался передлет на двух самолетах Р-5. Первый из них с экипажем в составе: командира 252-й авиабригады А.А. Туржанского и бригадного инженера И.Е. Павлова, добрался до Варшавы без посадки через Витебск, Полоцк и Вильно, а второй – под управлением помощника командующего УВО Ф.А. Ингауниса и инженера инспекции ВВС РККА А.И. Мезинова, следовал по маршруту Москва – Гомель – Львов – Варшава (с посадкой во Львове), и произвел посадку в Варшаве на час позже самолета Туржанского. В тот же день начальник польской военной авиации Райский устроил в честь советских летчиков обед.</w:t>
      </w:r>
    </w:p>
    <w:p w14:paraId="405DE131" w14:textId="77777777" w:rsidR="000A15EA" w:rsidRPr="00C33834" w:rsidRDefault="000A15EA"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На следующий день советские летчики «знакомились с производством польских истребителей, с состоянием 1-го авиационного полка, осмотрели аэродромом, машиностроительные заводы, авиашколу, аэродинамический институт, мастерские туристских самолетов». Вечером Польский аэроклуб устроил для советских летчиков обед, на котором присутствовали начальник генштаба, генерал Консиоровский, высшие офицеры польской авиации, директора польских авиационных заводов, члены советского посольства.</w:t>
      </w:r>
    </w:p>
    <w:p w14:paraId="6C94F2D5" w14:textId="77777777" w:rsidR="000A15EA" w:rsidRPr="00C33834" w:rsidRDefault="000A15EA"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20 июля Ингаунис и Туржанский вылетели в Денблин для осмотра авиационной школы.</w:t>
      </w:r>
    </w:p>
    <w:p w14:paraId="2934D402" w14:textId="77777777" w:rsidR="000A15EA" w:rsidRPr="00C33834" w:rsidRDefault="000A15EA"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Программой визита предусматривались демонстрационные полеты польских самолетов в Кракове и «полет над горами Татры у польско-чехословацкой границы».</w:t>
      </w:r>
    </w:p>
    <w:p w14:paraId="6AB629AA" w14:textId="77777777" w:rsidR="000A15EA" w:rsidRPr="00C33834" w:rsidRDefault="000A15EA"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21 июля советские летчики присутствовали на приеме, устроенном в советском полпредстве для представителей польской гражданской и военной авиации. Вечером руководителем польской гражданской авиации Филипповичем в честь советских летчиков был дан обед.</w:t>
      </w:r>
    </w:p>
    <w:p w14:paraId="69694FE6" w14:textId="77777777" w:rsidR="000A15EA" w:rsidRPr="00C33834" w:rsidRDefault="000A15EA"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22 июля в 8 часов 30 минут советские экипажи вылетели из Варшавы. Экипаж Ингауниса следовал по маршруту Варшава – Лида – Витебск – Москва. Туржанский избрал маршрут – Варшава – Брест – Гомель – Москва. Самолет Ингауниса совершил посадку в Москве в 17 часов 40 минут, самолет Туржанского – двумя часами позже (21249).</w:t>
      </w:r>
    </w:p>
    <w:p w14:paraId="082B0F0A" w14:textId="77777777" w:rsidR="000A15EA" w:rsidRPr="00C33834" w:rsidRDefault="000A15EA" w:rsidP="00C33834">
      <w:pPr>
        <w:spacing w:after="0" w:line="240" w:lineRule="auto"/>
        <w:jc w:val="both"/>
        <w:rPr>
          <w:rFonts w:ascii="Times New Roman" w:hAnsi="Times New Roman"/>
          <w:color w:val="0070C0"/>
          <w:sz w:val="16"/>
          <w:szCs w:val="16"/>
        </w:rPr>
      </w:pPr>
    </w:p>
    <w:p w14:paraId="17BEC886" w14:textId="77777777" w:rsidR="0092497E"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D1F7A20" w14:textId="77777777" w:rsidR="0092497E" w:rsidRPr="00C33834" w:rsidRDefault="0092497E" w:rsidP="00C33834">
      <w:pPr>
        <w:spacing w:after="0" w:line="240" w:lineRule="auto"/>
        <w:jc w:val="both"/>
        <w:rPr>
          <w:rFonts w:ascii="Times New Roman" w:hAnsi="Times New Roman"/>
          <w:iCs/>
          <w:color w:val="000000" w:themeColor="text1"/>
          <w:sz w:val="16"/>
          <w:szCs w:val="16"/>
        </w:rPr>
      </w:pPr>
    </w:p>
    <w:p w14:paraId="0B9CCF02"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18 и 24 августа 1933. Из протокола заседания Политбюро N 143, особая папка, 1933 г.</w:t>
      </w:r>
    </w:p>
    <w:p w14:paraId="19BE27B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реорганизации наркоматов </w:t>
      </w:r>
    </w:p>
    <w:p w14:paraId="2F07575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 В интересах доведения до конца осуществления принципа единоначалия в управлении наркоматами считать целесообразным ликвидировать коллегии наркоматов, оставив во главе наркоматов наркома и не более двух замов. </w:t>
      </w:r>
    </w:p>
    <w:p w14:paraId="47AEDB6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 Создать при наркоматах Совет Наркомата от 40-70 человек с тем, чтобы не менее половины членов совета было из представителей местных организаций и предприятий. Созыв Совета в два месяца раз. </w:t>
      </w:r>
    </w:p>
    <w:p w14:paraId="1A24EC98"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Предложить т. Молотову на этой основе представить проект реорганизации наркоматов, учтя обмен мнений (11652).</w:t>
      </w:r>
    </w:p>
    <w:p w14:paraId="159550B3" w14:textId="77777777" w:rsidR="0092497E" w:rsidRPr="00C33834" w:rsidRDefault="0092497E" w:rsidP="00C33834">
      <w:pPr>
        <w:spacing w:after="0" w:line="240" w:lineRule="auto"/>
        <w:jc w:val="both"/>
        <w:rPr>
          <w:rFonts w:ascii="Times New Roman" w:hAnsi="Times New Roman"/>
          <w:color w:val="000000" w:themeColor="text1"/>
          <w:sz w:val="16"/>
          <w:szCs w:val="16"/>
        </w:rPr>
      </w:pPr>
    </w:p>
    <w:p w14:paraId="72195888" w14:textId="77777777" w:rsidR="00067E90" w:rsidRPr="00C33834" w:rsidRDefault="00067E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18 августа 1933 опросом членов ПБ</w:t>
      </w:r>
    </w:p>
    <w:p w14:paraId="516650EB" w14:textId="77777777" w:rsidR="00067E90" w:rsidRPr="00C33834" w:rsidRDefault="00067E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47/26.-Об автозаводах</w:t>
      </w:r>
    </w:p>
    <w:p w14:paraId="5D3B166B" w14:textId="77777777" w:rsidR="00067E90" w:rsidRPr="00C33834" w:rsidRDefault="00067E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НКТП проработать вопрос об импорте для расширения завода им. т.Сталина, исходя из максимальной суммы в 3.000.000 рублей; остальную потребность в импортном оборудования удовлетворить за счет тщательной проверки использования имеющихся излишков на других заводах НКТПю</w:t>
      </w:r>
    </w:p>
    <w:p w14:paraId="3ED7F8EA" w14:textId="77777777" w:rsidR="00067E90" w:rsidRPr="00C33834" w:rsidRDefault="00067E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тютю Орджоникидзе, Куйбышеву, Межлауку</w:t>
      </w:r>
    </w:p>
    <w:p w14:paraId="7E74EE03" w14:textId="77777777" w:rsidR="00067E90" w:rsidRPr="00C33834" w:rsidRDefault="00067E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28 августа 1933 состоялось заседание ПБ и был оформлен протокол № 144 (22994).</w:t>
      </w:r>
    </w:p>
    <w:p w14:paraId="66DBF474" w14:textId="77777777" w:rsidR="00067E90" w:rsidRPr="00C33834" w:rsidRDefault="00067E90" w:rsidP="00C33834">
      <w:pPr>
        <w:spacing w:after="0" w:line="240" w:lineRule="auto"/>
        <w:jc w:val="both"/>
        <w:rPr>
          <w:rFonts w:ascii="Times New Roman" w:hAnsi="Times New Roman"/>
          <w:color w:val="0070C0"/>
          <w:sz w:val="16"/>
          <w:szCs w:val="16"/>
        </w:rPr>
      </w:pPr>
    </w:p>
    <w:p w14:paraId="1C458F76" w14:textId="77777777" w:rsidR="00755821" w:rsidRPr="00C33834" w:rsidRDefault="00755821"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color w:val="000000" w:themeColor="text1"/>
          <w:sz w:val="16"/>
          <w:szCs w:val="16"/>
        </w:rPr>
        <w:t xml:space="preserve">18 августа </w:t>
      </w:r>
      <w:bookmarkStart w:id="47" w:name="YANDEX_35"/>
      <w:bookmarkEnd w:id="47"/>
      <w:r w:rsidRPr="00C33834">
        <w:rPr>
          <w:rStyle w:val="highlight"/>
          <w:rFonts w:ascii="Times New Roman" w:hAnsi="Times New Roman"/>
          <w:color w:val="000000" w:themeColor="text1"/>
          <w:sz w:val="16"/>
          <w:szCs w:val="16"/>
        </w:rPr>
        <w:t> 1933 </w:t>
      </w:r>
      <w:r w:rsidRPr="00C33834">
        <w:rPr>
          <w:rFonts w:ascii="Times New Roman" w:hAnsi="Times New Roman"/>
          <w:color w:val="000000" w:themeColor="text1"/>
          <w:sz w:val="16"/>
          <w:szCs w:val="16"/>
        </w:rPr>
        <w:t xml:space="preserve"> г. для руководства железнодорожным транспортом была создана специальная комиссия по железнодорожному транспорту в составе: Молотов (председатель), Сталин, Каганович, Ворошилов, Андреев, Орджоникидзе, Благонравов. 20 августа Каганович был утвержден заместителем председателя комиссии. В круг его обязанностей таким образом /вошли многочисленные проблемы одного из самых сложных участков советского народного хозяйства. 26 августа Каганович подробно сообщил Сталину о первом заседании новой комиссии (документ № 297). Затем сведения о работе железных дорог регулярно появлялись в письмах </w:t>
      </w:r>
      <w:r w:rsidRPr="00C33834">
        <w:rPr>
          <w:rFonts w:ascii="Times New Roman" w:hAnsi="Times New Roman"/>
          <w:color w:val="000000" w:themeColor="text1"/>
          <w:sz w:val="16"/>
          <w:szCs w:val="16"/>
        </w:rPr>
        <w:lastRenderedPageBreak/>
        <w:t xml:space="preserve">Кагановича. Предоставляя Сталину отпуск, Политбюро 20 августа </w:t>
      </w:r>
      <w:bookmarkStart w:id="48" w:name="YANDEX_36"/>
      <w:bookmarkEnd w:id="48"/>
      <w:r w:rsidRPr="00C33834">
        <w:rPr>
          <w:rStyle w:val="highlight"/>
          <w:rFonts w:ascii="Times New Roman" w:hAnsi="Times New Roman"/>
          <w:color w:val="000000" w:themeColor="text1"/>
          <w:sz w:val="16"/>
          <w:szCs w:val="16"/>
        </w:rPr>
        <w:t> 1933 </w:t>
      </w:r>
      <w:r w:rsidRPr="00C33834">
        <w:rPr>
          <w:rFonts w:ascii="Times New Roman" w:hAnsi="Times New Roman"/>
          <w:color w:val="000000" w:themeColor="text1"/>
          <w:sz w:val="16"/>
          <w:szCs w:val="16"/>
        </w:rPr>
        <w:t xml:space="preserve"> г. постановило: «На время отпуска т. Сталина утвердить замещающим его в Комиссии Обороны т. Кагановича Л.» В письмах Каганович докладывал Сталину как проходила работа этой комиссии, как выполнялись задания Сталина по производству военной продукции (17281).</w:t>
      </w:r>
    </w:p>
    <w:p w14:paraId="339D70B1" w14:textId="77777777" w:rsidR="00755821" w:rsidRPr="00C33834" w:rsidRDefault="00755821" w:rsidP="00C33834">
      <w:pPr>
        <w:spacing w:after="0" w:line="240" w:lineRule="auto"/>
        <w:jc w:val="both"/>
        <w:rPr>
          <w:rFonts w:ascii="Times New Roman" w:hAnsi="Times New Roman"/>
          <w:iCs/>
          <w:color w:val="000000" w:themeColor="text1"/>
          <w:sz w:val="16"/>
          <w:szCs w:val="16"/>
        </w:rPr>
      </w:pPr>
    </w:p>
    <w:p w14:paraId="39F91370" w14:textId="77777777" w:rsidR="0092497E"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236B8110" w14:textId="77777777" w:rsidR="0092497E" w:rsidRPr="00C33834" w:rsidRDefault="0092497E" w:rsidP="00C33834">
      <w:pPr>
        <w:spacing w:after="0" w:line="240" w:lineRule="auto"/>
        <w:jc w:val="both"/>
        <w:rPr>
          <w:rFonts w:ascii="Times New Roman" w:hAnsi="Times New Roman"/>
          <w:iCs/>
          <w:color w:val="000000" w:themeColor="text1"/>
          <w:sz w:val="16"/>
          <w:szCs w:val="16"/>
        </w:rPr>
      </w:pPr>
    </w:p>
    <w:p w14:paraId="6E430053"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18 и 24 августа 1933. Из протокола заседания Политбюро N 143, особая папка, 1933 г.</w:t>
      </w:r>
    </w:p>
    <w:p w14:paraId="1B70753A"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состоянии и мерах по улучшению производства музыкальных инструментов </w:t>
      </w:r>
    </w:p>
    <w:p w14:paraId="444DFC53"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Улучшение материального положения и огромный культурный рост широких масс трудящихся СССР предъявляет все растущий спрос на музыкальные инструменты и, в частности, на граммофоны (и граммофонные пластинки) как инструмент, наиболее доступный массам трудящихся. Однако промышленность, производящая граммофоны и граммофонные пластинки, работает совершенно неудовлетворительно. Пластинки, производящиеся полуручным способом, не дают должного звучания, репертуар и исполнители неудовлетворительные... Музыкальная промышленность к последнему времени значительно улучшила свое производство и, в частности, по струнным инструментам дает свыше 160% от довоенного. Однако в целом развитие ее еще резко отстает от потребности. </w:t>
      </w:r>
    </w:p>
    <w:p w14:paraId="7ED5D636"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целях улучшения этого ЦК ВКП(б) постановляет: </w:t>
      </w:r>
    </w:p>
    <w:p w14:paraId="6C87E28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Наркомтяжпрому СССР создать союзный трест граммофонов, пластинок и иголок. </w:t>
      </w:r>
    </w:p>
    <w:p w14:paraId="340B550D"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Довести выпуск граммофонов с 155 тыс. в 1933 г. до полутора миллионов штук в 1937 г. </w:t>
      </w:r>
    </w:p>
    <w:p w14:paraId="31CAAA1E"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 В целях поднятия политического и художественного уровня граммофонных записей, всестороннего использования лучших произведений выдающихся деятелей искусства и широкого отображения музыкального творчества народов СССР создать художественный совет по граммофонной записи в составе тт. Бубнов (председатель), Енукидзе, Игумнов, Шацкий, Николаев (проф.), Гольденвейзер, Цейтлин, Пшибышевский, Красин Б., Ипполитов-Иванов, Брауде, Качалов, Голованов, Файер, Глиер, Шостакович, Шебалин, Собинов, Нежданова, Аркадьев, Литовский, Рабичев, Боярский, Салтанов, Динамов. </w:t>
      </w:r>
    </w:p>
    <w:p w14:paraId="46ED04EF" w14:textId="77777777" w:rsidR="0092497E" w:rsidRPr="00C33834" w:rsidRDefault="0092497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Репертуар пластинок должен быть разнообразным, включая наряду с симфонической, классической современной музыкой вокальную музыку, особенно народные песни народов СССР, художественное чтение, юмористические рассказы, романсы, арии, танцевальную музыку, в том числе обязательно народные танцы; при этом особое внимание обратить на юношеские и детские танцы. Повысить оплату исполнителей, записываемых на пластинки, в зависимости от качества исполнения, а также установить им процентную оплату от тиража пластинок (11652).</w:t>
      </w:r>
    </w:p>
    <w:p w14:paraId="0DE31BF8" w14:textId="77777777" w:rsidR="0092497E" w:rsidRPr="00C33834" w:rsidRDefault="0092497E" w:rsidP="00C33834">
      <w:pPr>
        <w:spacing w:after="0" w:line="240" w:lineRule="auto"/>
        <w:jc w:val="both"/>
        <w:rPr>
          <w:rFonts w:ascii="Times New Roman" w:hAnsi="Times New Roman"/>
          <w:color w:val="000000" w:themeColor="text1"/>
          <w:sz w:val="16"/>
          <w:szCs w:val="16"/>
        </w:rPr>
      </w:pPr>
    </w:p>
    <w:p w14:paraId="5CB4B615" w14:textId="77777777" w:rsidR="00A8497D"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1BBA3E4A" w14:textId="77777777" w:rsidR="00A8497D" w:rsidRPr="00C33834" w:rsidRDefault="00A8497D"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2F45D9F" w14:textId="77777777" w:rsidR="00A8497D" w:rsidRPr="00C33834" w:rsidRDefault="00A8497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18 августа в 1933 году первый полёт английского легкого транспортного самолета </w:t>
      </w:r>
      <w:hyperlink r:id="rId304" w:tgtFrame="_blank" w:history="1">
        <w:r w:rsidRPr="00C33834">
          <w:rPr>
            <w:rFonts w:ascii="Times New Roman" w:hAnsi="Times New Roman"/>
            <w:color w:val="000000" w:themeColor="text1"/>
            <w:sz w:val="16"/>
            <w:szCs w:val="16"/>
          </w:rPr>
          <w:t xml:space="preserve">«S.16» "Scion". </w:t>
        </w:r>
      </w:hyperlink>
      <w:r w:rsidRPr="00C33834">
        <w:rPr>
          <w:rFonts w:ascii="Times New Roman" w:hAnsi="Times New Roman"/>
          <w:color w:val="000000" w:themeColor="text1"/>
          <w:sz w:val="16"/>
          <w:szCs w:val="16"/>
        </w:rPr>
        <w:t>Конструкция "Scion" была вполне традиционна. Фюзеляж собирался из спаянных стальных труб, высокорасположенное крыло также выполнялось из дюраля и имело закрылки типа Frise. Все поверхности покрывались полотном. В носовой части фюзеляжа разместили баллон со сжатым воздухом для работы системы торможения. Стойки шасси крепились к нижней поверхности крыла. Первый опытный образец оснащался двумя двигателями «Pobjoy» "R" мощностью 80 л.с. с двухлопастными винтами. «S.16» "Scion" был задуман инженерами фирма «Short Brothers» как высокоэкономичный самолёт, способный доставлять большие грузы на короткое расстояние.Несмотря на несколько неказистый вид машина получилась отличная, что подтвердили испытания, проведенные в Мартлшем Хит в январе 1934 года. Производство "Scion" началось в следующем месяце (14987).</w:t>
      </w:r>
    </w:p>
    <w:p w14:paraId="03B87435" w14:textId="77777777" w:rsidR="00A8497D" w:rsidRPr="00C33834" w:rsidRDefault="00A8497D" w:rsidP="00C33834">
      <w:pPr>
        <w:spacing w:after="0" w:line="240" w:lineRule="auto"/>
        <w:jc w:val="both"/>
        <w:rPr>
          <w:rFonts w:ascii="Times New Roman" w:hAnsi="Times New Roman"/>
          <w:color w:val="000000" w:themeColor="text1"/>
          <w:sz w:val="16"/>
          <w:szCs w:val="16"/>
        </w:rPr>
      </w:pPr>
    </w:p>
    <w:p w14:paraId="564EC7C1"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752214A"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4D3D61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августа 1933 состоялся первый полет К-7 К.А.К. по прямой, но оторвались лишь на 5 м, т.е. был подлет. Ли М.А.Снегирев (дублер А.Н.Грацианский), бм П.Н.Власов (70,227). Посадка была на задние колеса с переходом на передние. Обнаружили колебания хвостовой части и необходимость установки боковых подкосов от килей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F26F01" w:rsidRPr="00C33834" w14:paraId="1A314E02" w14:textId="77777777">
        <w:tc>
          <w:tcPr>
            <w:tcW w:w="1384" w:type="dxa"/>
            <w:tcBorders>
              <w:top w:val="single" w:sz="12" w:space="0" w:color="auto"/>
            </w:tcBorders>
          </w:tcPr>
          <w:p w14:paraId="1DCA2C9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Дата испытания</w:t>
            </w:r>
          </w:p>
        </w:tc>
        <w:tc>
          <w:tcPr>
            <w:tcW w:w="2410" w:type="dxa"/>
            <w:tcBorders>
              <w:top w:val="single" w:sz="12" w:space="0" w:color="auto"/>
            </w:tcBorders>
          </w:tcPr>
          <w:p w14:paraId="701E7C9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5C9DB85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29B5D09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3F0F719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4E86888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tc>
      </w:tr>
      <w:tr w:rsidR="00F26F01" w:rsidRPr="00C33834" w14:paraId="272FE3A3" w14:textId="77777777">
        <w:tc>
          <w:tcPr>
            <w:tcW w:w="1384" w:type="dxa"/>
            <w:tcBorders>
              <w:bottom w:val="single" w:sz="12" w:space="0" w:color="auto"/>
            </w:tcBorders>
          </w:tcPr>
          <w:p w14:paraId="708A72D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августа 1933</w:t>
            </w:r>
          </w:p>
        </w:tc>
        <w:tc>
          <w:tcPr>
            <w:tcW w:w="2410" w:type="dxa"/>
            <w:tcBorders>
              <w:bottom w:val="single" w:sz="12" w:space="0" w:color="auto"/>
            </w:tcBorders>
          </w:tcPr>
          <w:p w14:paraId="0A63E92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полет по прямой</w:t>
            </w:r>
          </w:p>
        </w:tc>
        <w:tc>
          <w:tcPr>
            <w:tcW w:w="1089" w:type="dxa"/>
            <w:tcBorders>
              <w:bottom w:val="single" w:sz="12" w:space="0" w:color="auto"/>
            </w:tcBorders>
          </w:tcPr>
          <w:p w14:paraId="35F4A1F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Запуск моторов 0:15</w:t>
            </w:r>
          </w:p>
          <w:p w14:paraId="04F5381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занял несколько секунд</w:t>
            </w:r>
          </w:p>
        </w:tc>
        <w:tc>
          <w:tcPr>
            <w:tcW w:w="3447" w:type="dxa"/>
            <w:tcBorders>
              <w:bottom w:val="single" w:sz="12" w:space="0" w:color="auto"/>
            </w:tcBorders>
          </w:tcPr>
          <w:p w14:paraId="4E74FA1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полета 5 м</w:t>
            </w:r>
          </w:p>
          <w:p w14:paraId="78ABC96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Посадка на задние колеса с переходом на передние</w:t>
            </w:r>
          </w:p>
          <w:p w14:paraId="715A6E5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Нормальное действие элеронов и рулей глубины</w:t>
            </w:r>
          </w:p>
          <w:p w14:paraId="3547545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Управление рулями легкое, нормальная работа тормозов</w:t>
            </w:r>
          </w:p>
          <w:p w14:paraId="0C7CA1D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Показания электроческих счетчиков при разбеге - 1380 об/мин</w:t>
            </w:r>
          </w:p>
        </w:tc>
        <w:tc>
          <w:tcPr>
            <w:tcW w:w="1776" w:type="dxa"/>
            <w:tcBorders>
              <w:bottom w:val="single" w:sz="12" w:space="0" w:color="auto"/>
            </w:tcBorders>
          </w:tcPr>
          <w:p w14:paraId="2459B37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Колебания хвостовой части и необходимость установки боковых подкосов от килей к стабилизатору (устранено)</w:t>
            </w:r>
          </w:p>
        </w:tc>
        <w:tc>
          <w:tcPr>
            <w:tcW w:w="1105" w:type="dxa"/>
            <w:tcBorders>
              <w:bottom w:val="single" w:sz="12" w:space="0" w:color="auto"/>
            </w:tcBorders>
          </w:tcPr>
          <w:p w14:paraId="20458C9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733CA91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(2306,98).</w:t>
      </w:r>
    </w:p>
    <w:p w14:paraId="792F14F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1E444AA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августа 1933 Первый полет самолета-гиганта К-7. Пилот М.А.Снигерев (10674).</w:t>
      </w:r>
    </w:p>
    <w:p w14:paraId="3CEFE8E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5AC73E7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августа 1933 К-7 полнялся в воздух; он не взлетел, а скорее подпрыгнул метров на пять вверх и опять опустился на летное поле. Этого вполне хватило, чтобы убедиться в недостаточной жесткости оперения. Оно ходило вверх-вниз почти на метр (19036).</w:t>
      </w:r>
    </w:p>
    <w:p w14:paraId="28B40C7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1E4ECB4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августа 1933 Ф.В.Куканов на ЮГ-1 СССР Н-4 на обратном пути пересек самый высокий хребет между мысом Северным и верховьем реки Осиновка на Чукотке. Делали аэрофотосъемку Чукотки (99,196).</w:t>
      </w:r>
    </w:p>
    <w:p w14:paraId="4FDA514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056C870E" w14:textId="77777777" w:rsidR="00192E97" w:rsidRPr="00C33834" w:rsidRDefault="00192E9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19 августа в 1933 году первый полет самолета </w:t>
      </w:r>
      <w:hyperlink r:id="rId305" w:tgtFrame="_blank" w:history="1">
        <w:r w:rsidRPr="00C33834">
          <w:rPr>
            <w:rFonts w:ascii="Times New Roman" w:hAnsi="Times New Roman"/>
            <w:color w:val="000000" w:themeColor="text1"/>
            <w:sz w:val="16"/>
            <w:szCs w:val="16"/>
          </w:rPr>
          <w:t xml:space="preserve">«К-7» </w:t>
        </w:r>
      </w:hyperlink>
      <w:r w:rsidRPr="00C33834">
        <w:rPr>
          <w:rFonts w:ascii="Times New Roman" w:hAnsi="Times New Roman"/>
          <w:color w:val="000000" w:themeColor="text1"/>
          <w:sz w:val="16"/>
          <w:szCs w:val="16"/>
        </w:rPr>
        <w:t>К.А.Калинина, командир экипажа М.А.Снегирев. М.А.Снегирев совершил на «К-7» подлет по прямой на высоте 5 метров в течение нескольких секунд. Подлет выявил новые неприятности - рули самолета начинали вибрировать с большой амплитудой (до одного метра). За несколько дней хвостовое оперение машины было изменено - оно стало бипланным, кили соединили дополнительной горизонтальной поверхностью - "стабилитроном". Серворули с вертикального оперения сняли, а на горизонтальном установили их вплотную к рулям (14988).</w:t>
      </w:r>
    </w:p>
    <w:p w14:paraId="2F85E666" w14:textId="77777777" w:rsidR="00192E97" w:rsidRPr="00C33834" w:rsidRDefault="00192E97" w:rsidP="00C33834">
      <w:pPr>
        <w:spacing w:after="0" w:line="240" w:lineRule="auto"/>
        <w:jc w:val="both"/>
        <w:rPr>
          <w:rFonts w:ascii="Times New Roman" w:hAnsi="Times New Roman"/>
          <w:color w:val="000000" w:themeColor="text1"/>
          <w:sz w:val="16"/>
          <w:szCs w:val="16"/>
        </w:rPr>
      </w:pPr>
    </w:p>
    <w:p w14:paraId="3EE4A76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августа 1933 В.Пост садился в Рыхлово и получил на белом самолете выполненную красной краской охраняющим красноармейцем надпись "Привет американскому народу от комсомольцев Хабаровска" (542,8).</w:t>
      </w:r>
    </w:p>
    <w:p w14:paraId="64F6034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4CE8F98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августа 1933 года задание на проектирование завода № 27 было уточнено и завод подлежало запроектировать на выпуск 25000 моторов в год типа Кертис-Конкверор. Дальнейшее проектирование завода не велось и строительство его не начиналось (9406).</w:t>
      </w:r>
    </w:p>
    <w:p w14:paraId="20BACE5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398A04CB" w14:textId="77777777" w:rsidR="00192E9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EE6B3E3" w14:textId="77777777" w:rsidR="00192E97" w:rsidRPr="00C33834" w:rsidRDefault="00192E9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3900AFD" w14:textId="77777777" w:rsidR="00192E97" w:rsidRPr="00C33834" w:rsidRDefault="00192E97" w:rsidP="00C33834">
      <w:pPr>
        <w:pStyle w:val="rtejustify"/>
        <w:spacing w:before="0" w:after="0"/>
        <w:rPr>
          <w:color w:val="000000" w:themeColor="text1"/>
          <w:sz w:val="16"/>
          <w:szCs w:val="16"/>
        </w:rPr>
      </w:pPr>
      <w:r w:rsidRPr="00C33834">
        <w:rPr>
          <w:rStyle w:val="af0"/>
          <w:bCs/>
          <w:i w:val="0"/>
          <w:color w:val="000000" w:themeColor="text1"/>
          <w:sz w:val="16"/>
          <w:szCs w:val="16"/>
        </w:rPr>
        <w:t>19 августа</w:t>
      </w:r>
      <w:r w:rsidRPr="00C33834">
        <w:rPr>
          <w:color w:val="000000" w:themeColor="text1"/>
          <w:sz w:val="16"/>
          <w:szCs w:val="16"/>
        </w:rPr>
        <w:t xml:space="preserve"> 1933. Постановление СНК СССР № 19сс/о «О ремонте боевых и транспортных машин РККА в военное время». (ГА РФ. Ф. Р</w:t>
      </w:r>
      <w:r w:rsidRPr="00C33834">
        <w:rPr>
          <w:color w:val="000000" w:themeColor="text1"/>
          <w:sz w:val="16"/>
          <w:szCs w:val="16"/>
        </w:rPr>
        <w:noBreakHyphen/>
        <w:t>8418. Оп. 28. Д. 15. Л. 36</w:t>
      </w:r>
      <w:r w:rsidRPr="00C33834">
        <w:rPr>
          <w:color w:val="000000" w:themeColor="text1"/>
          <w:sz w:val="16"/>
          <w:szCs w:val="16"/>
        </w:rPr>
        <w:noBreakHyphen/>
        <w:t>42) (15460).</w:t>
      </w:r>
    </w:p>
    <w:p w14:paraId="7802921B" w14:textId="77777777" w:rsidR="00192E97" w:rsidRPr="00C33834" w:rsidRDefault="00192E97" w:rsidP="00C33834">
      <w:pPr>
        <w:pStyle w:val="rtejustify"/>
        <w:spacing w:before="0" w:after="0"/>
        <w:rPr>
          <w:color w:val="000000" w:themeColor="text1"/>
          <w:sz w:val="16"/>
          <w:szCs w:val="16"/>
        </w:rPr>
      </w:pPr>
    </w:p>
    <w:p w14:paraId="15ABFBF0" w14:textId="77777777" w:rsidR="00192E97" w:rsidRPr="00C33834" w:rsidRDefault="00192E97" w:rsidP="00C33834">
      <w:pPr>
        <w:pStyle w:val="rtejustify"/>
        <w:spacing w:before="0" w:after="0"/>
        <w:rPr>
          <w:color w:val="000000" w:themeColor="text1"/>
          <w:sz w:val="16"/>
          <w:szCs w:val="16"/>
        </w:rPr>
      </w:pPr>
      <w:r w:rsidRPr="00C33834">
        <w:rPr>
          <w:rStyle w:val="af0"/>
          <w:bCs/>
          <w:i w:val="0"/>
          <w:color w:val="000000" w:themeColor="text1"/>
          <w:sz w:val="16"/>
          <w:szCs w:val="16"/>
        </w:rPr>
        <w:t>19 августа</w:t>
      </w:r>
      <w:r w:rsidRPr="00C33834">
        <w:rPr>
          <w:color w:val="000000" w:themeColor="text1"/>
          <w:sz w:val="16"/>
          <w:szCs w:val="16"/>
        </w:rPr>
        <w:t xml:space="preserve"> 1933. Постановление СТО СССР № 78сс/о «О внедрении в народное хозяйство военных типов радиостанций». (ГА РФ. Ф. Р</w:t>
      </w:r>
      <w:r w:rsidRPr="00C33834">
        <w:rPr>
          <w:color w:val="000000" w:themeColor="text1"/>
          <w:sz w:val="16"/>
          <w:szCs w:val="16"/>
        </w:rPr>
        <w:noBreakHyphen/>
        <w:t>8418. Оп. 28. Д. 2. Л. 117) (15460).</w:t>
      </w:r>
    </w:p>
    <w:p w14:paraId="01ECEFD9" w14:textId="77777777" w:rsidR="00192E97" w:rsidRPr="00C33834" w:rsidRDefault="00192E97" w:rsidP="00C33834">
      <w:pPr>
        <w:pStyle w:val="rtejustify"/>
        <w:spacing w:before="0" w:after="0"/>
        <w:rPr>
          <w:color w:val="000000" w:themeColor="text1"/>
          <w:sz w:val="16"/>
          <w:szCs w:val="16"/>
        </w:rPr>
      </w:pPr>
    </w:p>
    <w:p w14:paraId="79B9FA25" w14:textId="77777777" w:rsidR="00192E97" w:rsidRPr="00C33834" w:rsidRDefault="00192E97" w:rsidP="00C33834">
      <w:pPr>
        <w:pStyle w:val="rtejustify"/>
        <w:spacing w:before="0" w:after="0"/>
        <w:rPr>
          <w:color w:val="000000" w:themeColor="text1"/>
          <w:sz w:val="16"/>
          <w:szCs w:val="16"/>
        </w:rPr>
      </w:pPr>
      <w:r w:rsidRPr="00C33834">
        <w:rPr>
          <w:rStyle w:val="af0"/>
          <w:bCs/>
          <w:i w:val="0"/>
          <w:color w:val="000000" w:themeColor="text1"/>
          <w:sz w:val="16"/>
          <w:szCs w:val="16"/>
        </w:rPr>
        <w:t>19 августа</w:t>
      </w:r>
      <w:r w:rsidRPr="00C33834">
        <w:rPr>
          <w:color w:val="000000" w:themeColor="text1"/>
          <w:sz w:val="16"/>
          <w:szCs w:val="16"/>
        </w:rPr>
        <w:t xml:space="preserve"> 1933. Постановление СТО СССР № 79сс/о «О стандартизации военной радиоаппаратуры». (ГА РФ. Ф. Р</w:t>
      </w:r>
      <w:r w:rsidRPr="00C33834">
        <w:rPr>
          <w:color w:val="000000" w:themeColor="text1"/>
          <w:sz w:val="16"/>
          <w:szCs w:val="16"/>
        </w:rPr>
        <w:noBreakHyphen/>
        <w:t>8418. Оп. 28. Д. 2. Л. 118</w:t>
      </w:r>
      <w:r w:rsidRPr="00C33834">
        <w:rPr>
          <w:color w:val="000000" w:themeColor="text1"/>
          <w:sz w:val="16"/>
          <w:szCs w:val="16"/>
        </w:rPr>
        <w:noBreakHyphen/>
        <w:t>119) (15460).</w:t>
      </w:r>
    </w:p>
    <w:p w14:paraId="6EBE64FD" w14:textId="77777777" w:rsidR="00192E97" w:rsidRPr="00C33834" w:rsidRDefault="00192E97" w:rsidP="00C33834">
      <w:pPr>
        <w:pStyle w:val="rtejustify"/>
        <w:spacing w:before="0" w:after="0"/>
        <w:rPr>
          <w:color w:val="000000" w:themeColor="text1"/>
          <w:sz w:val="16"/>
          <w:szCs w:val="16"/>
        </w:rPr>
      </w:pPr>
    </w:p>
    <w:p w14:paraId="19351EF2" w14:textId="77777777" w:rsidR="00192E97" w:rsidRPr="00C33834" w:rsidRDefault="00192E97" w:rsidP="00C33834">
      <w:pPr>
        <w:pStyle w:val="rtejustify"/>
        <w:spacing w:before="0" w:after="0"/>
        <w:rPr>
          <w:color w:val="000000" w:themeColor="text1"/>
          <w:sz w:val="16"/>
          <w:szCs w:val="16"/>
        </w:rPr>
      </w:pPr>
      <w:r w:rsidRPr="00C33834">
        <w:rPr>
          <w:rStyle w:val="af0"/>
          <w:bCs/>
          <w:i w:val="0"/>
          <w:color w:val="000000" w:themeColor="text1"/>
          <w:sz w:val="16"/>
          <w:szCs w:val="16"/>
        </w:rPr>
        <w:lastRenderedPageBreak/>
        <w:t>19 августа</w:t>
      </w:r>
      <w:r w:rsidRPr="00C33834">
        <w:rPr>
          <w:color w:val="000000" w:themeColor="text1"/>
          <w:sz w:val="16"/>
          <w:szCs w:val="16"/>
        </w:rPr>
        <w:t xml:space="preserve"> 1933. Постановление СТО СССР № 77сс/о «О постройке шести сторожевых кораблей второй серии на Дальнем Востоке». (ГА РФ. Ф. Р</w:t>
      </w:r>
      <w:r w:rsidRPr="00C33834">
        <w:rPr>
          <w:color w:val="000000" w:themeColor="text1"/>
          <w:sz w:val="16"/>
          <w:szCs w:val="16"/>
        </w:rPr>
        <w:noBreakHyphen/>
        <w:t>8418. Оп. 28. Д. 2. Л. 115</w:t>
      </w:r>
      <w:r w:rsidRPr="00C33834">
        <w:rPr>
          <w:color w:val="000000" w:themeColor="text1"/>
          <w:sz w:val="16"/>
          <w:szCs w:val="16"/>
        </w:rPr>
        <w:noBreakHyphen/>
        <w:t>116) (15460).</w:t>
      </w:r>
    </w:p>
    <w:p w14:paraId="25F0E615" w14:textId="77777777" w:rsidR="00192E97" w:rsidRPr="00C33834" w:rsidRDefault="00192E97" w:rsidP="00C33834">
      <w:pPr>
        <w:pStyle w:val="rtejustify"/>
        <w:spacing w:before="0" w:after="0"/>
        <w:rPr>
          <w:color w:val="000000" w:themeColor="text1"/>
          <w:sz w:val="16"/>
          <w:szCs w:val="16"/>
        </w:rPr>
      </w:pPr>
    </w:p>
    <w:p w14:paraId="25B78800"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CE92FB6"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8D8061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августа 1933 на ЦА снимали АНТ-16 ТБ-4 (1017,237).</w:t>
      </w:r>
    </w:p>
    <w:p w14:paraId="426DE02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0C3CABB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августа 1933 л С.А.Корзинщиков предотвратил аварию автожира А-6 в связи с отказом мотора (298,204).</w:t>
      </w:r>
    </w:p>
    <w:p w14:paraId="0E94F8E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041E8DB1" w14:textId="77777777" w:rsidR="00192E97"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32E80DD" w14:textId="77777777" w:rsidR="00192E97" w:rsidRPr="00C33834" w:rsidRDefault="00192E97"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A1275A7" w14:textId="77777777" w:rsidR="00192E97" w:rsidRPr="00C33834" w:rsidRDefault="00192E97" w:rsidP="00C33834">
      <w:pPr>
        <w:pStyle w:val="rtejustify"/>
        <w:spacing w:before="0" w:after="0"/>
        <w:rPr>
          <w:color w:val="000000" w:themeColor="text1"/>
          <w:sz w:val="16"/>
          <w:szCs w:val="16"/>
        </w:rPr>
      </w:pPr>
      <w:r w:rsidRPr="00C33834">
        <w:rPr>
          <w:rStyle w:val="af0"/>
          <w:bCs/>
          <w:i w:val="0"/>
          <w:color w:val="000000" w:themeColor="text1"/>
          <w:sz w:val="16"/>
          <w:szCs w:val="16"/>
        </w:rPr>
        <w:t>20 августа 1933 вышел приказ НКТП № 122с.</w:t>
      </w:r>
      <w:r w:rsidRPr="00C33834">
        <w:rPr>
          <w:color w:val="000000" w:themeColor="text1"/>
          <w:sz w:val="16"/>
          <w:szCs w:val="16"/>
        </w:rPr>
        <w:t xml:space="preserve"> О подчинении орудийных заводов Орудийно-арсенального объединения непосредственно НКТП. (РГАЭ. Ф. 7297. Оп. 38. Д. 38. Л. 76) (15246).</w:t>
      </w:r>
    </w:p>
    <w:p w14:paraId="41385991" w14:textId="77777777" w:rsidR="00192E97" w:rsidRPr="00C33834" w:rsidRDefault="00192E97" w:rsidP="00C33834">
      <w:pPr>
        <w:pStyle w:val="rtejustify"/>
        <w:spacing w:before="0" w:after="0"/>
        <w:rPr>
          <w:color w:val="000000" w:themeColor="text1"/>
          <w:sz w:val="16"/>
          <w:szCs w:val="16"/>
        </w:rPr>
      </w:pPr>
    </w:p>
    <w:p w14:paraId="29D0D79C" w14:textId="77777777" w:rsidR="00192E97" w:rsidRPr="00C33834" w:rsidRDefault="00192E97" w:rsidP="00C33834">
      <w:pPr>
        <w:pStyle w:val="rtejustify"/>
        <w:spacing w:before="0" w:after="0"/>
        <w:rPr>
          <w:color w:val="000000" w:themeColor="text1"/>
          <w:sz w:val="16"/>
          <w:szCs w:val="16"/>
        </w:rPr>
      </w:pPr>
      <w:r w:rsidRPr="00C33834">
        <w:rPr>
          <w:rStyle w:val="af0"/>
          <w:bCs/>
          <w:i w:val="0"/>
          <w:color w:val="000000" w:themeColor="text1"/>
          <w:sz w:val="16"/>
          <w:szCs w:val="16"/>
        </w:rPr>
        <w:t>20/31 августа 1933 вышел приказ НКТП № 136сс.</w:t>
      </w:r>
      <w:r w:rsidRPr="00C33834">
        <w:rPr>
          <w:color w:val="000000" w:themeColor="text1"/>
          <w:sz w:val="16"/>
          <w:szCs w:val="16"/>
        </w:rPr>
        <w:t xml:space="preserve"> О недопустимости изменения технических условий и чертежей на образцы вооружения армии, принятые РВС СССР. (РГАЭ. Ф. 7297. Оп. 38. Д. 38. Л. 87) (15246).</w:t>
      </w:r>
    </w:p>
    <w:p w14:paraId="4BEC3D89" w14:textId="77777777" w:rsidR="00192E97" w:rsidRPr="00C33834" w:rsidRDefault="00192E97" w:rsidP="00C33834">
      <w:pPr>
        <w:pStyle w:val="rtejustify"/>
        <w:spacing w:before="0" w:after="0"/>
        <w:rPr>
          <w:color w:val="000000" w:themeColor="text1"/>
          <w:sz w:val="16"/>
          <w:szCs w:val="16"/>
        </w:rPr>
      </w:pPr>
    </w:p>
    <w:p w14:paraId="41017DA5"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713E0AB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742DFE4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августа 1933 за подписью зам. начальника Управления Дмитлага В. Т. Радецкого появился приказ по лагерю № 291:</w:t>
      </w:r>
    </w:p>
    <w:p w14:paraId="23809D9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«Н-к 3 части 3 Отделения КРАШЕНИННИКОВ в присутствии и активном участии Уполномоченного той же части ГОЛИКОВА, Пом. Нач. 2 л/п. 3 Отделения МИДЬ, напившись пьяными избили з/к. з/к., инсценировали расстрел последних, произвели кулачную расправу со всеми, кто «не так» им отвечал. КРАШЕНИННИКОВ за время работы систематически пил, делом не руководил.</w:t>
      </w:r>
    </w:p>
    <w:p w14:paraId="1829B14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Коллегией ОГПУ КРАШЕНИННИКОВ осужден на 5 лет Испр.-Труд. Лагерей, ГОЛИКОВ и МИДЬ - по три года каждый.</w:t>
      </w:r>
    </w:p>
    <w:p w14:paraId="1283807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Уполномоченные 3 части 8 Отделения Лагеря ДАЕН и МАРТЫНОВ в течение длительного времени использовали свое служебное положение в личных целях, понуждали з/к. з/к. женщин к половой связи, всем имевшим с ними связь предоставляли незаконные льготы, систематически пили вместе с заключенными.</w:t>
      </w:r>
    </w:p>
    <w:p w14:paraId="59E4E0A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Коллегией ОГПУ ДАЕН и МАРТЫНОВ осуждены на 5 лет Испр.-Труд. Лагерей каждый.</w:t>
      </w:r>
    </w:p>
    <w:p w14:paraId="3C8B24B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 объявить под расписку всем работникам Третьих Частей, всем лицам в/н лаг. администрации» (7560).</w:t>
      </w:r>
    </w:p>
    <w:p w14:paraId="410C1CE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08BCB783"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AD8D2EA"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B2028E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августа 1933 в Харькове состоялся первый полет тяжелого бомбардировщика К-7 К.А.Калинина (274) - круговой. Пилотировал М.А.Снегирев, а К.А.К. сидел вторым пилотом. На старте были П.И.Б. и И.Э.Якир. Посадили с трудом из-за обрыва тяги рулей высоты. К.А.К. объявили выговор за несанкционированный полет (1076,595). Летали 14 мин. Разбег - всего 200 м, посадка нормальная без торможения. работа элеронов - удовлетворительная. Нормальная устойчивость. Не было эффективности РН. Отметили значительные колебания рулей и серво-рулей, течь водорадиаторов средних моторов, сильное дымление моторов на взлете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F26F01" w:rsidRPr="00C33834" w14:paraId="41A5F6BF" w14:textId="77777777">
        <w:tc>
          <w:tcPr>
            <w:tcW w:w="1384" w:type="dxa"/>
            <w:tcBorders>
              <w:top w:val="single" w:sz="12" w:space="0" w:color="auto"/>
            </w:tcBorders>
          </w:tcPr>
          <w:p w14:paraId="1BCF2F1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Дата испытания</w:t>
            </w:r>
          </w:p>
        </w:tc>
        <w:tc>
          <w:tcPr>
            <w:tcW w:w="2410" w:type="dxa"/>
            <w:tcBorders>
              <w:top w:val="single" w:sz="12" w:space="0" w:color="auto"/>
            </w:tcBorders>
          </w:tcPr>
          <w:p w14:paraId="764D7BB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158FDB7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4AE3693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1148BFB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2EEFD40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tc>
      </w:tr>
      <w:tr w:rsidR="00F26F01" w:rsidRPr="00C33834" w14:paraId="0DCF392B" w14:textId="77777777">
        <w:tc>
          <w:tcPr>
            <w:tcW w:w="1384" w:type="dxa"/>
            <w:tcBorders>
              <w:bottom w:val="single" w:sz="12" w:space="0" w:color="auto"/>
            </w:tcBorders>
          </w:tcPr>
          <w:p w14:paraId="16F7CDF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августа 1933</w:t>
            </w:r>
          </w:p>
        </w:tc>
        <w:tc>
          <w:tcPr>
            <w:tcW w:w="2410" w:type="dxa"/>
            <w:tcBorders>
              <w:bottom w:val="single" w:sz="12" w:space="0" w:color="auto"/>
            </w:tcBorders>
          </w:tcPr>
          <w:p w14:paraId="3BA42DC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круговой полет с-та К-7. Проба машины, мотора и управления в воздухе</w:t>
            </w:r>
          </w:p>
        </w:tc>
        <w:tc>
          <w:tcPr>
            <w:tcW w:w="1089" w:type="dxa"/>
            <w:tcBorders>
              <w:bottom w:val="single" w:sz="12" w:space="0" w:color="auto"/>
            </w:tcBorders>
          </w:tcPr>
          <w:p w14:paraId="247D10F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Запуск моторов 0:05</w:t>
            </w:r>
          </w:p>
          <w:p w14:paraId="6D00E69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моторов 1:21</w:t>
            </w:r>
          </w:p>
          <w:p w14:paraId="569B094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0:14</w:t>
            </w:r>
          </w:p>
        </w:tc>
        <w:tc>
          <w:tcPr>
            <w:tcW w:w="3447" w:type="dxa"/>
            <w:tcBorders>
              <w:bottom w:val="single" w:sz="12" w:space="0" w:color="auto"/>
            </w:tcBorders>
          </w:tcPr>
          <w:p w14:paraId="14C0656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Разбег 12 гр. 200 м</w:t>
            </w:r>
          </w:p>
          <w:p w14:paraId="33FDF9A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Посадка - нормальная, без торможения</w:t>
            </w:r>
          </w:p>
          <w:p w14:paraId="315E629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элеровнов - вполне удовлетворительная</w:t>
            </w:r>
          </w:p>
          <w:p w14:paraId="0CF9112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стабилизатора - нормальная</w:t>
            </w:r>
          </w:p>
          <w:p w14:paraId="4A14A86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Тенженция машины - легко набирать высоту</w:t>
            </w:r>
          </w:p>
          <w:p w14:paraId="158DC5C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Устойчивость машины во всех плоскостях - нормальная</w:t>
            </w:r>
          </w:p>
        </w:tc>
        <w:tc>
          <w:tcPr>
            <w:tcW w:w="1776" w:type="dxa"/>
            <w:tcBorders>
              <w:bottom w:val="single" w:sz="12" w:space="0" w:color="auto"/>
            </w:tcBorders>
          </w:tcPr>
          <w:p w14:paraId="7AE8F98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Эффективности рулей поворота не наблюдалось</w:t>
            </w:r>
          </w:p>
          <w:p w14:paraId="56BA47A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Значительные колебания рулей и серворулей, а также стабилизатора и хвостовых ферм (устранено)</w:t>
            </w:r>
          </w:p>
          <w:p w14:paraId="435C8D3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Течь водорадиаторов обоих средних моторов (устранено)</w:t>
            </w:r>
          </w:p>
          <w:p w14:paraId="50A1665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Температура воды левого 3-го мотора - 105</w:t>
            </w:r>
          </w:p>
          <w:p w14:paraId="5AE10E9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Разрыв тросса управления правого серворуля (устранено)</w:t>
            </w:r>
          </w:p>
          <w:p w14:paraId="06FAC7E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Необходимость удаления компенсации серворулей</w:t>
            </w:r>
          </w:p>
          <w:p w14:paraId="5DD2953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 сильно дымят, особенно при взлете</w:t>
            </w:r>
          </w:p>
        </w:tc>
        <w:tc>
          <w:tcPr>
            <w:tcW w:w="1105" w:type="dxa"/>
            <w:tcBorders>
              <w:bottom w:val="single" w:sz="12" w:space="0" w:color="auto"/>
            </w:tcBorders>
          </w:tcPr>
          <w:p w14:paraId="72B4668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61D0E98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(2306,98).</w:t>
      </w:r>
    </w:p>
    <w:p w14:paraId="269BE81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462474F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21 августа 1933 К-7 совершил первый полет по кругу. На месте командира самолета сидел М.А. Снегирев, место второго пилота занимал конструктор К.А. Калинин. На аэродроме присутствовали начальник ГУАП П.И. Баранов, командующий Украинским военным округом И.Э. Якир и известный летчик М.М. Громов. После взлета отказал серворуль, а затем нижний руль высоты; потом выяснилось, что лопнул трос. Руль свободно болтался, вызывая тряску самолета. Чтобы помочь летчику, Калинину тоже пришлось взяться за штурвал. Вдвоем они смогли развернуть машину. Конструктор предложил садиться в поле, но взлететь оттуда К-7 бы не смог; его пришлось бы разобрать и вывозить по частям. Снегирев все-таки сумел выполнить круг и приземлиться. Весь полет продолжался 12 минут. Летчик получил от Баранова благодарность, а конструктор - выговор. </w:t>
      </w:r>
    </w:p>
    <w:p w14:paraId="7FA88FD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Несмотря на краткость первого полета, выявили неэффективность рулей направления, перекомпенсацию серво- рулей, течи радиаторов, тряску хвостовых балок и неправильную регулировку моторов, приводившую к сильному дымлению. Почти месяц ушел на устранение дефектов. Поскольку было предположение, что трос перерезали вредители, после окончания рабочей смены машину пломбировали, а вокруг нее выставлялся караул красноармейцев (12036).</w:t>
      </w:r>
    </w:p>
    <w:p w14:paraId="00A3BA2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242810F4" w14:textId="77777777" w:rsidR="0099326C" w:rsidRPr="00C33834" w:rsidRDefault="0099326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августа в 1933 году первый полет бомбардировщика-гиганта «К-7» конструктора К.А.Калинина, экипаж М.А.Снегирева. Уникальная машина имела 7 двигателей по 750 л.с. «К-7» представлял собой гигантское эллиптическое крыло толстого профиля размахом 53 м (у «В-52» - 56 м) и площадью 452 кв. м, от него шли две хвостовые балки, которые несли хвостовое оперение с механизмом для поворота. Крыло было выполнено в виде спрямленного центроплана шириной 6 м, длиной 10,6 м и высотой 2,33 м. Там располагались помещения для пассажиров и грузов, предусматривалось 120 кресел для пассажиров. Бомбовая нагрузка могла достигать 16 т! К центроплану были пристыкованы эллиптические консоли, в которых были размещены 14 цистерн с топливом. Рубка была построена выступающей вперед по оси самолета. В ней размещались два пилота, штурман, радист и старший механик, остальные 7 членов экипажа находились в других отсеках и переговаривались между собой по внутреннему телефону. Состоялось 7 удачных полетов, самолет прошел почти все заводские испытания. Восьмой полет окочился катастрофой из-за разрушения хвостовой балки. Погибло 15 человек, 5 остались живы. В 1935 г. работы над «К-7» прекратили. Уже тогда было ясно, что скорость в 200 км/ч - недостаточно (14995).</w:t>
      </w:r>
    </w:p>
    <w:p w14:paraId="301F2461" w14:textId="77777777" w:rsidR="0099326C" w:rsidRPr="00C33834" w:rsidRDefault="0099326C" w:rsidP="00C33834">
      <w:pPr>
        <w:spacing w:after="0" w:line="240" w:lineRule="auto"/>
        <w:jc w:val="both"/>
        <w:rPr>
          <w:rFonts w:ascii="Times New Roman" w:hAnsi="Times New Roman"/>
          <w:color w:val="000000" w:themeColor="text1"/>
          <w:sz w:val="16"/>
          <w:szCs w:val="16"/>
        </w:rPr>
      </w:pPr>
    </w:p>
    <w:p w14:paraId="35C3640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августа 1933 Зам. Секретаря РВС Смородинов писал письмо ВВС П.И.Баранову:</w:t>
      </w:r>
    </w:p>
    <w:p w14:paraId="23E07CD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"Раздел III постановления РВС от 17 июля 1933 "О ходе выполнения плана опытного самолето и моторостроения и вооружения авиации" дополнить п. 11 в следующей редакции:</w:t>
      </w:r>
    </w:p>
    <w:p w14:paraId="76228A5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Обязать Нач. ГУАП П.И.Б. образовать специальное КБ, с придачей ему 25 авиазавода, во главе с дир. Фрадкиным, Гл. арт. и Курчевским и Гл. авиа и Д.П.Г.. Откомандировать в состав этого КБ проф. Петрова (ОГПУ), Агокаса (ГУАП), Козлова (ВВА по совместительству). задачей КБ поставить постройку мощного артсамолета." (2286,91).</w:t>
      </w:r>
    </w:p>
    <w:p w14:paraId="2623037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284841B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августа 1933 года Гроховский писал письмо наркому по военным и морским делам и председателю РВС Ворошилову</w:t>
      </w:r>
    </w:p>
    <w:p w14:paraId="770F169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Вашим приказом Осконпробюро реорганизовано в десантный отдел НИИ ВВС. Эта реорганизация истолкована моим военкомом и некоторыми работниками как полнейшая ликвидация бюро и работ по плану 1933 года, а также расформирование руководящего состава бюро.</w:t>
      </w:r>
    </w:p>
    <w:p w14:paraId="18E2E01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……………………………………(7505, 195).</w:t>
      </w:r>
    </w:p>
    <w:p w14:paraId="52BBE3F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0D246B9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августа 1933 Н.А.Евдокимов оставив самолет на 6920 м пролетел в свободном полете 6440 м за 105 сек. Превысил мировой рекорд (3044,59).</w:t>
      </w:r>
    </w:p>
    <w:p w14:paraId="494168C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6D5DBF6F" w14:textId="77777777" w:rsidR="0099326C" w:rsidRPr="00C33834" w:rsidRDefault="0099326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августа в 1933 году Мировой рекорд затяжного парашютного прыжка с высоты 6920 м, время падения - 115 с, Н.А.Евдокимов (14995).</w:t>
      </w:r>
    </w:p>
    <w:p w14:paraId="4085EC0D" w14:textId="77777777" w:rsidR="0099326C" w:rsidRPr="00C33834" w:rsidRDefault="0099326C" w:rsidP="00C33834">
      <w:pPr>
        <w:spacing w:after="0" w:line="240" w:lineRule="auto"/>
        <w:jc w:val="both"/>
        <w:rPr>
          <w:rFonts w:ascii="Times New Roman" w:hAnsi="Times New Roman"/>
          <w:color w:val="000000" w:themeColor="text1"/>
          <w:sz w:val="16"/>
          <w:szCs w:val="16"/>
        </w:rPr>
      </w:pPr>
    </w:p>
    <w:p w14:paraId="6CBD89C2"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E5ACBEA"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C4DB456" w14:textId="77777777" w:rsidR="0099326C" w:rsidRPr="00C33834" w:rsidRDefault="0099326C" w:rsidP="00C33834">
      <w:pPr>
        <w:pStyle w:val="rtejustify"/>
        <w:spacing w:before="0" w:after="0"/>
        <w:rPr>
          <w:color w:val="000000" w:themeColor="text1"/>
          <w:sz w:val="16"/>
          <w:szCs w:val="16"/>
        </w:rPr>
      </w:pPr>
      <w:r w:rsidRPr="00C33834">
        <w:rPr>
          <w:rStyle w:val="af0"/>
          <w:bCs/>
          <w:i w:val="0"/>
          <w:color w:val="000000" w:themeColor="text1"/>
          <w:sz w:val="16"/>
          <w:szCs w:val="16"/>
        </w:rPr>
        <w:t>21 августа 1933 вышел приказ НКТП № 126с.</w:t>
      </w:r>
      <w:r w:rsidRPr="00C33834">
        <w:rPr>
          <w:color w:val="000000" w:themeColor="text1"/>
          <w:sz w:val="16"/>
          <w:szCs w:val="16"/>
        </w:rPr>
        <w:t xml:space="preserve"> О выделении завода «Прогресс» из состава объединения «Паттрубвзрыв» и подчинении его непосредственно НКТП. (РГАЭ. Ф. 7297. Оп. 38. Д. 38. Л. 78) (15246).</w:t>
      </w:r>
    </w:p>
    <w:p w14:paraId="0C0C2967" w14:textId="77777777" w:rsidR="0099326C" w:rsidRPr="00C33834" w:rsidRDefault="0099326C" w:rsidP="00C33834">
      <w:pPr>
        <w:pStyle w:val="rtejustify"/>
        <w:spacing w:before="0" w:after="0"/>
        <w:rPr>
          <w:color w:val="000000" w:themeColor="text1"/>
          <w:sz w:val="16"/>
          <w:szCs w:val="16"/>
        </w:rPr>
      </w:pPr>
    </w:p>
    <w:p w14:paraId="499D05F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августа 1933 г. Совнарком СССР принял решение о второй реконструкции завода, которая была направлена на расширение перечня моделей автомобилей.</w:t>
      </w:r>
    </w:p>
    <w:p w14:paraId="27F9F13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3AA80F85" w14:textId="77777777" w:rsidR="0012348E" w:rsidRPr="00C33834" w:rsidRDefault="0012348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августа 1933 вышло решение Совнаркома СССР о второй реконструкции завода ЗИЛ с доведением его производительности до 70 000 грузовых и 10 000 легковых автомобилей (17494).</w:t>
      </w:r>
    </w:p>
    <w:p w14:paraId="5C6825CD" w14:textId="77777777" w:rsidR="0012348E" w:rsidRPr="00C33834" w:rsidRDefault="0012348E" w:rsidP="00C33834">
      <w:pPr>
        <w:spacing w:after="0" w:line="240" w:lineRule="auto"/>
        <w:jc w:val="both"/>
        <w:rPr>
          <w:rFonts w:ascii="Times New Roman" w:hAnsi="Times New Roman"/>
          <w:color w:val="000000" w:themeColor="text1"/>
          <w:sz w:val="16"/>
          <w:szCs w:val="16"/>
        </w:rPr>
      </w:pPr>
    </w:p>
    <w:p w14:paraId="227F041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августа 1933 г. ПОСТАНОВЛЕНИЕ N 1810 СОВЕТА НАРОДНЫХ КОМИССАРОВ СССР</w:t>
      </w:r>
    </w:p>
    <w:p w14:paraId="7DCBA47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ВВЕДЕНИИ СОКРАЩЕННОЙ ОТЧЕТНОСТИ О РАБОТЕ ПРЕДПРИЯТИЙ</w:t>
      </w:r>
    </w:p>
    <w:p w14:paraId="0870599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сокращения и упрощения отчетности промышленных предприятий, особенно в предприятиях, успешно осваивающих производственные мощности, Совет народных комиссаров Союза ССР постановляет:</w:t>
      </w:r>
    </w:p>
    <w:p w14:paraId="5929EE4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Установить начиная с 1 сентября 1933 г. сокращенную отчетность о работе следующих предприятий: Сталинградского тракторного завода им. Дзержинского, Харьковского тракторного завода им. Орджоникидзе, Московского автомобильного завода им. Сталина, Горьковского автомобильного завода им. Молотова, Ярославского автомобильного завода, Московского велосипедного завода, завода "Красный октябрь" в Сталинграде, металлургического завода им. Дзержинского, станкостроительного завода "Кр. Пролетарий" в Москве, Подольского механического завода, цементного завода "Победа октября" в Новороссийске, Трехгорной мануфактуры в Москве, обувной фабрики "Скороход" в Ленинграде.</w:t>
      </w:r>
    </w:p>
    <w:p w14:paraId="38A67C9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Установить для предприятий, перечисленных в ст. 1 настоящего Постановления, следующую отчетность:</w:t>
      </w:r>
    </w:p>
    <w:p w14:paraId="6605CD0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суточные или декадные (по решению соответствующего народного комиссара) донесения о выпуске продукции в натуре;</w:t>
      </w:r>
    </w:p>
    <w:p w14:paraId="07972CC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месячную отчетность со следующими показателями по плану и фактическому выполнению: валовая продукция, выпуск продукции в натуре по видам или сортам, численность всего персонала (в том числе отдельно о рабочих, служащих, ИТР), месячный фонд заработной платы всего персонала, себестоимость продукции;</w:t>
      </w:r>
    </w:p>
    <w:p w14:paraId="4D9EBB9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квартальный бухгалтерский баланс;</w:t>
      </w:r>
    </w:p>
    <w:p w14:paraId="5D8E969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годовой отчет и баланс.</w:t>
      </w:r>
    </w:p>
    <w:p w14:paraId="42352FA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Директора перечисленных выше предприятий обязаны обеспечить учет, необходимый для конкретного оперативного руководства предприятием и дающий все необходимые данные для составления годового отчета. Обязать народные комиссариаты тяжелой и легкой промышленности Союза ССР пересмотреть в двухмесячный срок формы первичного учета по заводам, указанным в ст. 1 настоящего Постановления.</w:t>
      </w:r>
    </w:p>
    <w:p w14:paraId="0D71BDA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Обязать директоров заводов, перечисленных в ст. 1, начиная с 1 сентября 1933 г. прекратить посылку всех непредусмотренных настоящим Постановлением видов отчетности о работе предприятия.</w:t>
      </w:r>
    </w:p>
    <w:p w14:paraId="5F84D0E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Настоящее Постановление не распространяется на отчетность по капитальному строительству (12054).</w:t>
      </w:r>
    </w:p>
    <w:p w14:paraId="054E509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28754B5A" w14:textId="77777777" w:rsidR="00FD662C"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36D88786"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BD3F2A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августа 1933 г. Советник германского посольства в СССР Твардовский по итогам визита генерал-лейтенанта Лютца, «закрывавшего» «Казань» с помощью Халепского, записал: «Главу особо доверительного сотрудничества следует считать законченной» (ADAP, Ser.C, Bd.I,2. S. 758-759.). Типпельскирх, зав. русской референтурой Восточноевропейского отдела МИД Германии, сделал на полях этой записи пометку: «&lt;...&gt; согласно сообщениям военного атташе полковника Хартмана русские даже оставили открытой дверь для будущего военного сотрудничества с нами» (ADAP, Ser.C, Bd.I,2. S. 758-759.) (11784).</w:t>
      </w:r>
    </w:p>
    <w:p w14:paraId="7D0FC0E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6067995B"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173309F"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B1D013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августа 1933 прошли гос. испытания ракетного разгона ТБ-3 (АНТ-6) и М.Н.Тухачевский в приказе от 5 октября оценил эти работы (376,26).</w:t>
      </w:r>
    </w:p>
    <w:p w14:paraId="62C3FFA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1432C3B2"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августа 1933 года вышел приказ РВС № 0025 о гос. испытаниях по ускорению взлета самолета ТБ1-2М17 со стартовыми ракетами, разработанных Реактивным НИИ (бывш. ГДЛ). С 4 по 11 октября 1933 проходили гос. испытания по сокращению разбега самолета ТБ1-2М17 (6643).</w:t>
      </w:r>
    </w:p>
    <w:p w14:paraId="7A8A2EF8"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38DFD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августа 1933 дата присвоения опознавательного знака с литерой "Н" - СССР-Н9 - Дорнье "Валь", зав. № 238, моторы - 2 М-17. Первоначальный владелец воздушного судна - УВС ГУСМП. 27-го сентября 1934 г. потерпел аварию. Самолет Дорнье "Валь" СССР-Н9 приказом № 5 н/о от 28.10.35 г. предписывалось, "как выбывший из строя, списать в расход, использовав уцелевшие детали и агрегаты на запасные части. Моторы подвергнуть просмотру" (11955).</w:t>
      </w:r>
    </w:p>
    <w:p w14:paraId="7AF0562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7125291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22 августа 1933 дата присвоения опознавательного знака, с литерой "Н" - СССР-Н10 - Дорнье "Валь", зав. № 239, моторы - 2 М-17. Первоначальный владелец воздушного судна - УВС ГУСМП. В мае 1941 г. Дорнье "Валь" СССР-НЮ на период летней навигации назначили на линейную работу с базы в Игарке (11955). </w:t>
      </w:r>
    </w:p>
    <w:p w14:paraId="39A585C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1E0944D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августа 1933 С.П.К. направил в ЦС ОХА докладную записку "О положении экспериментальных работ по ракетам" (Там же, № 238, л. 28) (10676).</w:t>
      </w:r>
    </w:p>
    <w:p w14:paraId="64A1912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254ADB8A" w14:textId="77777777" w:rsidR="00C14A23" w:rsidRPr="00C33834" w:rsidRDefault="00C14A2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августа 1933</w:t>
      </w:r>
    </w:p>
    <w:p w14:paraId="43D50A75" w14:textId="77777777" w:rsidR="00C14A23" w:rsidRPr="00C33834" w:rsidRDefault="00C14A2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ДОКЛАДНАЯ ЗАПИСКА НАЧАЛЬНИКА ГИРД О ПОЛОЖЕНИИ ЭКСПЕРИМЕНТАЛЬНОЙ РАБОТЫ ПО РАКЕТАМ</w:t>
      </w:r>
    </w:p>
    <w:p w14:paraId="5EFF15BA" w14:textId="77777777" w:rsidR="00C14A23" w:rsidRPr="00C33834" w:rsidRDefault="00C14A2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Группа Реактивных Двигателей ГИРД работает над созданием совершенно новых по своей идее типов двигателей и снарядов, основанных на принципе реакции струи вытекающих газов. Построен и испытан ряд реактивных двигателей на жидком топливе. Проведены многочисленные лабораторные полигонные испытания. В результате работы ГИРД за 1933 год была разработана и построена принципиально новая ракета-снаряд (конструкция инж. Тихонравова), которая была подробно изучена в работе на привязи на балансирном станке.</w:t>
      </w:r>
    </w:p>
    <w:p w14:paraId="7AF157A2" w14:textId="77777777" w:rsidR="00C14A23" w:rsidRPr="00C33834" w:rsidRDefault="00C14A2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17-го Августа с/г. в 19 часов первая советская ракета на жидком горючем успешно совершила свой первый полет. Этим самым практически проверен принцип устройства, схема и формы этой ракеты-снаряда. Главной задачей дальнейшего является наиболее быстрое получение расчетных дальностей и высот полета ракеты и сдача ее на вооружение и для мирных целей. Для этой ракеты, как для первого шага в этой области были выбраны скромные данные. Высота вертикального подъема до 6 тыс. метров. Вес ракеты 18 кгр. Из них 6 кгр. полезной нагрузки. Скорость полета до 250 мтр. в секунду. От первого шага, доказавшего правильность выбранной схемы, можно будет перейти к дальнейшим усовершенствованиям и получению летающих ракет больших калибров со скоростями полета до 800 - 1000 метр. в секунду и дальности полета в несколько сотен и тысяч километров.</w:t>
      </w:r>
    </w:p>
    <w:p w14:paraId="17BBE49B" w14:textId="77777777" w:rsidR="00C14A23" w:rsidRPr="00C33834" w:rsidRDefault="00C14A2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Для этого нужно без промедления, как можно шире поставить дальнейшие опыты с летающими ракетами. Надо выстроить серию хотя бы в 6 ракет и сделать за Сентярбрь-Октябрь м-цы этого года не одну сотню полетов. Если это будет так, то несмотря на то, что, летавшая 17-го Августа ракета является очень несовершенной, только первым опытом в этой области, можно будет к концу 1933 г. иметь уже доработанный в известной мере образец, который может быть пущен для эксплоатации. Кроме того, широкая постановка опытов даст возможность пойти по пути повышения данных (в частности увеличения дальности).</w:t>
      </w:r>
    </w:p>
    <w:p w14:paraId="1E3DC070" w14:textId="77777777" w:rsidR="00C14A23" w:rsidRPr="00C33834" w:rsidRDefault="00C14A2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Успех первого полета достигнут в результате настойчивой, упорной работы всего коллектива ГИРД, несмотря на чрезвычайные трудности. А именно: с момента организации ГИРД (Июнь 1932 г.) из группы в несколько человек активистов Осоавиахима развернут небольшой, но обладающий всеми видами производств заводик. Однако, завод расположен в сыром подвале, без дневного света. Никакого снабжения ни материалами, ни оборудованием, ни продовольствием и т.п. нет и не получалось ГИРД"ом ранее. Средств на производство опытов слишком недостаточно. До сего дня длится двойственное подчинение ГИРД Осоавиахиму (формально) и УВИ Н.В. РККА (фактически). А в результате, уже более года как ГИРД не имеет хозяина и буквально задыхается в мелочах, не дающих ему развернуть, как это следовало бы в наших масштабах, свою работу. Как пример, можно указать, что ГИРД до сего дня не имеет никакого транспорта и отрезан от полигона, находящегося в 40 км от Москвы. Уже более года обсуждается вопрос о создании Реактивного Института, но в настоящее время этот вопрос застрял еще в одной инстанции (Военно-Морская Инспекция ЦКК).</w:t>
      </w:r>
    </w:p>
    <w:p w14:paraId="420C5005" w14:textId="77777777" w:rsidR="00C14A23" w:rsidRPr="00C33834" w:rsidRDefault="00C14A2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Несмотря на необычайно тяжелые условия работы, ГИРД"ом все-таки доведена и выпущена в воздух первая советская ракета. Однако, НКВМ* по заданию которого она делалась отпускает недостаточно средств на постановку опытов, а кроме того его не может интересовать применение ракеты в различных областях народного хозяйства (для метеорологических целей, быстрой связи, почты и т.д.).</w:t>
      </w:r>
    </w:p>
    <w:p w14:paraId="6D66A6A8" w14:textId="77777777" w:rsidR="00C14A23" w:rsidRPr="00C33834" w:rsidRDefault="00C14A2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Поэтому необходимо:</w:t>
      </w:r>
    </w:p>
    <w:p w14:paraId="161468E1" w14:textId="77777777" w:rsidR="00C14A23" w:rsidRPr="00C33834" w:rsidRDefault="00C14A2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Ускорить разрешение вопроса с организацией Реактивного Ин-та.</w:t>
      </w:r>
    </w:p>
    <w:p w14:paraId="28083E4E" w14:textId="77777777" w:rsidR="00C14A23" w:rsidRPr="00C33834" w:rsidRDefault="00C14A2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Немедленно отпустить ГИРД"у необходимые средства на постановку научно-исследовательской работы и, в частности, на постройку первой опытной серии ракет и испытание их (на это нужно до 30000 рублей). Работы вести учитывая и мирное применение ракет.</w:t>
      </w:r>
    </w:p>
    <w:p w14:paraId="5F4B0383" w14:textId="77777777" w:rsidR="00C14A23" w:rsidRPr="00C33834" w:rsidRDefault="00C14A2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22/VIII</w:t>
      </w:r>
    </w:p>
    <w:p w14:paraId="5BD295E0" w14:textId="77777777" w:rsidR="00C14A23" w:rsidRPr="00C33834" w:rsidRDefault="00C14A2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ГИРД инж (Королев)</w:t>
      </w:r>
    </w:p>
    <w:p w14:paraId="38CC91AF" w14:textId="77777777" w:rsidR="00C14A23" w:rsidRPr="00C33834" w:rsidRDefault="00C14A2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ГАРФ. Ф. Р-8355. Оп. 1. Д. 374. Л. 143-144. Подлинник (15814).</w:t>
      </w:r>
    </w:p>
    <w:p w14:paraId="1AFDC237" w14:textId="77777777" w:rsidR="00C14A23" w:rsidRPr="00C33834" w:rsidRDefault="00C14A23" w:rsidP="00C33834">
      <w:pPr>
        <w:spacing w:after="0" w:line="240" w:lineRule="auto"/>
        <w:jc w:val="both"/>
        <w:rPr>
          <w:rFonts w:ascii="Times New Roman" w:hAnsi="Times New Roman"/>
          <w:color w:val="000000" w:themeColor="text1"/>
          <w:sz w:val="16"/>
          <w:szCs w:val="16"/>
        </w:rPr>
      </w:pPr>
    </w:p>
    <w:p w14:paraId="14107114"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5CECF7A"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9FA528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августа 1933 года было принято решение стволы 152-мм гаубиц НГ по программе 1933 года изготавливать скрепленными, а лафеты клепаными, а не сварными (3861).</w:t>
      </w:r>
    </w:p>
    <w:p w14:paraId="133D3C1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2F3734F8" w14:textId="77777777" w:rsidR="00910933" w:rsidRPr="00C33834" w:rsidRDefault="00910933" w:rsidP="00C33834">
      <w:pPr>
        <w:pStyle w:val="rtejustify"/>
        <w:spacing w:before="0" w:after="0"/>
        <w:rPr>
          <w:color w:val="000000" w:themeColor="text1"/>
          <w:sz w:val="16"/>
          <w:szCs w:val="16"/>
        </w:rPr>
      </w:pPr>
      <w:r w:rsidRPr="00C33834">
        <w:rPr>
          <w:rStyle w:val="af0"/>
          <w:bCs/>
          <w:i w:val="0"/>
          <w:color w:val="000000" w:themeColor="text1"/>
          <w:sz w:val="16"/>
          <w:szCs w:val="16"/>
        </w:rPr>
        <w:t>22 августа</w:t>
      </w:r>
      <w:r w:rsidRPr="00C33834">
        <w:rPr>
          <w:color w:val="000000" w:themeColor="text1"/>
          <w:sz w:val="16"/>
          <w:szCs w:val="16"/>
        </w:rPr>
        <w:t xml:space="preserve"> 1933. Постановление СТО СССР № 81с/о «Об обеспечении РККА высококачественными маслами». (ГА РФ. Ф. Р</w:t>
      </w:r>
      <w:r w:rsidRPr="00C33834">
        <w:rPr>
          <w:color w:val="000000" w:themeColor="text1"/>
          <w:sz w:val="16"/>
          <w:szCs w:val="16"/>
        </w:rPr>
        <w:noBreakHyphen/>
        <w:t>8418. Оп. 28. Д. 2. Л. 121</w:t>
      </w:r>
      <w:r w:rsidRPr="00C33834">
        <w:rPr>
          <w:color w:val="000000" w:themeColor="text1"/>
          <w:sz w:val="16"/>
          <w:szCs w:val="16"/>
        </w:rPr>
        <w:noBreakHyphen/>
        <w:t>127) (15460).</w:t>
      </w:r>
    </w:p>
    <w:p w14:paraId="73F7D62C" w14:textId="77777777" w:rsidR="00910933" w:rsidRPr="00C33834" w:rsidRDefault="00910933" w:rsidP="00C33834">
      <w:pPr>
        <w:pStyle w:val="rtejustify"/>
        <w:spacing w:before="0" w:after="0"/>
        <w:rPr>
          <w:color w:val="000000" w:themeColor="text1"/>
          <w:sz w:val="16"/>
          <w:szCs w:val="16"/>
        </w:rPr>
      </w:pPr>
    </w:p>
    <w:p w14:paraId="05E04C26"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08D61285"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7911B1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августа 1933 г. была беседа генерал-лейтенанта Лютца и Халепского и 23 сентября 1933 г. Хартмана со Смагиным, а 10 января 1934 г. Левичева с полковником генштаба райхсвера X. фон Штюльпнагелем и нового германского посла в СССР Р. Надольного с Ворошиловым (ADAP, Ser.C, Bd. 1,2. S. 861.). Примерно в это же время на процессе в Ляйпциге о поджоге райхстага арестом корреспондентов ТАСС и «Известий» по подозрению в намерении присутствовать на процессе, в чем им было отказано днем раньше, был вызван «журналистский конфликт». Москва в ответ отозвала всех своих журналистов из Германии и решила одновременно выслать из СССР всех германских корреспондентов. Одновременно в Германии развернулась кампания по поводу голода в CCCP (Максимычев И. Ф. Указ, соч, с. 50—53.). Однако сталинская пропаганда начисто его отрицала, умело увязав «журналистский конфликт» с «голодной кампанией». В германской прессе усилились нападки против личности Литвинова (РГВА, ф. 33987, оп. 3, д. 505, л. 148-156.). Пытаясь разрядить ситуацию, МИД Германии ухватился за идею своего посольства в Москве об использовании поездки Крестинского на лечение в Германию для его Встречи с ведущими деятелями германского правительства. Но когда Гитлер 26 сентября 1933 г. согласился встретиться с Крестинским и об этом через Хинчука было сообщено в Москву, Крестинский, по инициативе Литвинова, вернулся в Москву через Вену (АВП РФ, ф. 082, оп. 16, п. 71, д. 1, л. 324; ADAP, Ser. С, Bd. 11,1. Ь. 75.) (11784).</w:t>
      </w:r>
    </w:p>
    <w:p w14:paraId="34C8D94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184390A5" w14:textId="77777777" w:rsidR="00AB1245" w:rsidRPr="00C33834" w:rsidRDefault="00AB124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августа 1933 г. в ходе бесед генерал-лейтенанта Лютца и Халепского, Хартмана со Смагиным 23 сентября 1933 г., Левичева с полковником генштаба райхсвера X. фон Штюльпнагелем, нового германского посла в СССР Р. Надольного с Ворошиловым 10 января 1934 г. речь шла О желании обеих сторон продолжать эти отношения «в иных формах» (18265).</w:t>
      </w:r>
    </w:p>
    <w:p w14:paraId="7310D158" w14:textId="77777777" w:rsidR="00AB1245" w:rsidRPr="00C33834" w:rsidRDefault="00AB1245" w:rsidP="00C33834">
      <w:pPr>
        <w:spacing w:after="0" w:line="240" w:lineRule="auto"/>
        <w:jc w:val="both"/>
        <w:rPr>
          <w:rFonts w:ascii="Times New Roman" w:hAnsi="Times New Roman"/>
          <w:color w:val="000000" w:themeColor="text1"/>
          <w:sz w:val="16"/>
          <w:szCs w:val="16"/>
        </w:rPr>
      </w:pPr>
    </w:p>
    <w:p w14:paraId="673C2124"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8D04BCE"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9F8DCA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августа 1933 в Праге открылся Международный конгресс сионистов (3481).</w:t>
      </w:r>
    </w:p>
    <w:p w14:paraId="1B34C83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52F16A2D"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28320C9"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B8D69B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августа 1933 К.А.К. и П.И.Б. отбыли в Москву с докладом по К-7. В прессу сообщили, что в ноябре машина прилетит в Москву (70,231).</w:t>
      </w:r>
    </w:p>
    <w:p w14:paraId="0B1DF2F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16FDD06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августа 1933 с письмом N 878 Нач. секр. части ХАЗ в Москву в ГУАП, НТОС Алмазову направили 6 фото К-7 К.А.К. (2306,28).</w:t>
      </w:r>
    </w:p>
    <w:p w14:paraId="2230085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27BD733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августа 1933 л М.С.Бабушкин и к Челюскина Воронин на Ш-2 совершили 55-минутный полет для поиска чистой водыю Позднее летали еще (7621, 35).</w:t>
      </w:r>
    </w:p>
    <w:p w14:paraId="29F9A48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69299493" w14:textId="77777777" w:rsidR="00FD662C" w:rsidRPr="00C33834" w:rsidRDefault="00FD662C"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августа 1933 г. л Бабушкин, сов</w:t>
      </w:r>
      <w:r w:rsidRPr="00C33834">
        <w:rPr>
          <w:rFonts w:ascii="Times New Roman" w:hAnsi="Times New Roman"/>
          <w:color w:val="000000" w:themeColor="text1"/>
          <w:sz w:val="16"/>
          <w:szCs w:val="16"/>
        </w:rPr>
        <w:softHyphen/>
        <w:t>местно с капитаном Ворониным совершили на Ш-2 с Челюскина 55-минутный полет на поиски чистой воды. Позднее было выполнено еще несколько полетов (11107).</w:t>
      </w:r>
    </w:p>
    <w:p w14:paraId="7B35BAD1" w14:textId="77777777" w:rsidR="00FD662C" w:rsidRPr="00C33834" w:rsidRDefault="00FD662C"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4CE7F3" w14:textId="77777777" w:rsidR="006A4DAE" w:rsidRPr="00C33834" w:rsidRDefault="006A4DA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августа 1933 г. Бабушкин совмест</w:t>
      </w:r>
      <w:r w:rsidRPr="00C33834">
        <w:rPr>
          <w:rFonts w:ascii="Times New Roman" w:hAnsi="Times New Roman"/>
          <w:color w:val="000000" w:themeColor="text1"/>
          <w:sz w:val="16"/>
          <w:szCs w:val="16"/>
        </w:rPr>
        <w:softHyphen/>
        <w:t>но с капитаном Ворониным совершил 55-ми- нугный полет на поиски чистой воды. Позднее было выполнено еше несколько полетов.</w:t>
      </w:r>
    </w:p>
    <w:p w14:paraId="3C6B3137" w14:textId="77777777" w:rsidR="006A4DAE" w:rsidRPr="00C33834" w:rsidRDefault="006A4DA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Первая и наиболее известная акция приме</w:t>
      </w:r>
      <w:r w:rsidRPr="00C33834">
        <w:rPr>
          <w:rFonts w:ascii="Times New Roman" w:hAnsi="Times New Roman"/>
          <w:color w:val="000000" w:themeColor="text1"/>
          <w:sz w:val="16"/>
          <w:szCs w:val="16"/>
        </w:rPr>
        <w:softHyphen/>
        <w:t>нения Ш-2 как корабельного самолета состоялась в 1933 году. Эта история связана с па</w:t>
      </w:r>
      <w:r w:rsidRPr="00C33834">
        <w:rPr>
          <w:rFonts w:ascii="Times New Roman" w:hAnsi="Times New Roman"/>
          <w:color w:val="000000" w:themeColor="text1"/>
          <w:sz w:val="16"/>
          <w:szCs w:val="16"/>
        </w:rPr>
        <w:softHyphen/>
        <w:t>роходом «Челюскин», на котором была осу</w:t>
      </w:r>
      <w:r w:rsidRPr="00C33834">
        <w:rPr>
          <w:rFonts w:ascii="Times New Roman" w:hAnsi="Times New Roman"/>
          <w:color w:val="000000" w:themeColor="text1"/>
          <w:sz w:val="16"/>
          <w:szCs w:val="16"/>
        </w:rPr>
        <w:softHyphen/>
        <w:t>ществлена попытка пройти Северным мор</w:t>
      </w:r>
      <w:r w:rsidRPr="00C33834">
        <w:rPr>
          <w:rFonts w:ascii="Times New Roman" w:hAnsi="Times New Roman"/>
          <w:color w:val="000000" w:themeColor="text1"/>
          <w:sz w:val="16"/>
          <w:szCs w:val="16"/>
        </w:rPr>
        <w:softHyphen/>
        <w:t>ским путем (т.е. вдоль северного побережья СССР) за одну летнюю навигацию из Барен</w:t>
      </w:r>
      <w:r w:rsidRPr="00C33834">
        <w:rPr>
          <w:rFonts w:ascii="Times New Roman" w:hAnsi="Times New Roman"/>
          <w:color w:val="000000" w:themeColor="text1"/>
          <w:sz w:val="16"/>
          <w:szCs w:val="16"/>
        </w:rPr>
        <w:softHyphen/>
        <w:t>цева моря в Берингово. Руководил экспеди</w:t>
      </w:r>
      <w:r w:rsidRPr="00C33834">
        <w:rPr>
          <w:rFonts w:ascii="Times New Roman" w:hAnsi="Times New Roman"/>
          <w:color w:val="000000" w:themeColor="text1"/>
          <w:sz w:val="16"/>
          <w:szCs w:val="16"/>
        </w:rPr>
        <w:softHyphen/>
        <w:t>цией О.Ю.Шмидт. «Челюскин» шел из Анг</w:t>
      </w:r>
      <w:r w:rsidRPr="00C33834">
        <w:rPr>
          <w:rFonts w:ascii="Times New Roman" w:hAnsi="Times New Roman"/>
          <w:color w:val="000000" w:themeColor="text1"/>
          <w:sz w:val="16"/>
          <w:szCs w:val="16"/>
        </w:rPr>
        <w:softHyphen/>
        <w:t>лии, при заходе в Мурманск на него погрузи</w:t>
      </w:r>
      <w:r w:rsidRPr="00C33834">
        <w:rPr>
          <w:rFonts w:ascii="Times New Roman" w:hAnsi="Times New Roman"/>
          <w:color w:val="000000" w:themeColor="text1"/>
          <w:sz w:val="16"/>
          <w:szCs w:val="16"/>
        </w:rPr>
        <w:softHyphen/>
        <w:t>ли самолет Ш-2 СССР-Н21 (№Ш31175), пи</w:t>
      </w:r>
      <w:r w:rsidRPr="00C33834">
        <w:rPr>
          <w:rFonts w:ascii="Times New Roman" w:hAnsi="Times New Roman"/>
          <w:color w:val="000000" w:themeColor="text1"/>
          <w:sz w:val="16"/>
          <w:szCs w:val="16"/>
        </w:rPr>
        <w:softHyphen/>
        <w:t>лотом которого назначили М.С.Бабушкина, бортмехаником - Г.С. Валавина. В походном положении самолет располагался на баке со сложенными крыльями и занимал места не</w:t>
      </w:r>
      <w:r w:rsidRPr="00C33834">
        <w:rPr>
          <w:rFonts w:ascii="Times New Roman" w:hAnsi="Times New Roman"/>
          <w:color w:val="000000" w:themeColor="text1"/>
          <w:sz w:val="16"/>
          <w:szCs w:val="16"/>
        </w:rPr>
        <w:softHyphen/>
        <w:t>намного больше, чем судовая шлюпка. Пе</w:t>
      </w:r>
      <w:r w:rsidRPr="00C33834">
        <w:rPr>
          <w:rFonts w:ascii="Times New Roman" w:hAnsi="Times New Roman"/>
          <w:color w:val="000000" w:themeColor="text1"/>
          <w:sz w:val="16"/>
          <w:szCs w:val="16"/>
        </w:rPr>
        <w:softHyphen/>
        <w:t>ред полетами его с помощью грузовой стре</w:t>
      </w:r>
      <w:r w:rsidRPr="00C33834">
        <w:rPr>
          <w:rFonts w:ascii="Times New Roman" w:hAnsi="Times New Roman"/>
          <w:color w:val="000000" w:themeColor="text1"/>
          <w:sz w:val="16"/>
          <w:szCs w:val="16"/>
        </w:rPr>
        <w:softHyphen/>
        <w:t>лы опускали на воду или лед и раскладыва</w:t>
      </w:r>
      <w:r w:rsidRPr="00C33834">
        <w:rPr>
          <w:rFonts w:ascii="Times New Roman" w:hAnsi="Times New Roman"/>
          <w:color w:val="000000" w:themeColor="text1"/>
          <w:sz w:val="16"/>
          <w:szCs w:val="16"/>
        </w:rPr>
        <w:softHyphen/>
        <w:t>ли крылья.</w:t>
      </w:r>
    </w:p>
    <w:p w14:paraId="774BDFF2" w14:textId="77777777" w:rsidR="006A4DAE" w:rsidRPr="00C33834" w:rsidRDefault="006A4DA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Ш-2 неоднократно использовался для про</w:t>
      </w:r>
      <w:r w:rsidRPr="00C33834">
        <w:rPr>
          <w:rFonts w:ascii="Times New Roman" w:hAnsi="Times New Roman"/>
          <w:color w:val="000000" w:themeColor="text1"/>
          <w:sz w:val="16"/>
          <w:szCs w:val="16"/>
        </w:rPr>
        <w:softHyphen/>
        <w:t>яснения ледовой обстановки на пути парохода.</w:t>
      </w:r>
    </w:p>
    <w:p w14:paraId="34DB465E" w14:textId="77777777" w:rsidR="006A4DAE" w:rsidRPr="00C33834" w:rsidRDefault="006A4DA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Дальнейшая судьба парохода общеизвест</w:t>
      </w:r>
      <w:r w:rsidRPr="00C33834">
        <w:rPr>
          <w:rFonts w:ascii="Times New Roman" w:hAnsi="Times New Roman"/>
          <w:color w:val="000000" w:themeColor="text1"/>
          <w:sz w:val="16"/>
          <w:szCs w:val="16"/>
        </w:rPr>
        <w:softHyphen/>
        <w:t>на - «Челюскин» затерло тяжелыми льдами, а впоследствии раздавило. Команду и пасса</w:t>
      </w:r>
      <w:r w:rsidRPr="00C33834">
        <w:rPr>
          <w:rFonts w:ascii="Times New Roman" w:hAnsi="Times New Roman"/>
          <w:color w:val="000000" w:themeColor="text1"/>
          <w:sz w:val="16"/>
          <w:szCs w:val="16"/>
        </w:rPr>
        <w:softHyphen/>
        <w:t>жиров вывезли на самолетах. Ш-2 Бабушки</w:t>
      </w:r>
      <w:r w:rsidRPr="00C33834">
        <w:rPr>
          <w:rFonts w:ascii="Times New Roman" w:hAnsi="Times New Roman"/>
          <w:color w:val="000000" w:themeColor="text1"/>
          <w:sz w:val="16"/>
          <w:szCs w:val="16"/>
        </w:rPr>
        <w:softHyphen/>
        <w:t>на сняли с гибнущего судна 24 февраля. К со</w:t>
      </w:r>
      <w:r w:rsidRPr="00C33834">
        <w:rPr>
          <w:rFonts w:ascii="Times New Roman" w:hAnsi="Times New Roman"/>
          <w:color w:val="000000" w:themeColor="text1"/>
          <w:sz w:val="16"/>
          <w:szCs w:val="16"/>
        </w:rPr>
        <w:softHyphen/>
        <w:t>жалению, предыдущие полеты и аварийная высадка на лед привели амфибию в состо</w:t>
      </w:r>
      <w:r w:rsidRPr="00C33834">
        <w:rPr>
          <w:rFonts w:ascii="Times New Roman" w:hAnsi="Times New Roman"/>
          <w:color w:val="000000" w:themeColor="text1"/>
          <w:sz w:val="16"/>
          <w:szCs w:val="16"/>
        </w:rPr>
        <w:softHyphen/>
        <w:t>яние, не позволяющее использовать ее для спасения. Была разбита носовая часть лодки, сломаны подкосы и элементы шасси. Тем не менее с использованием подручных средств аппарат отремонтировали. 31 марта Бабуш</w:t>
      </w:r>
      <w:r w:rsidRPr="00C33834">
        <w:rPr>
          <w:rFonts w:ascii="Times New Roman" w:hAnsi="Times New Roman"/>
          <w:color w:val="000000" w:themeColor="text1"/>
          <w:sz w:val="16"/>
          <w:szCs w:val="16"/>
        </w:rPr>
        <w:softHyphen/>
        <w:t>кин произвел с ледового аэродрома пробный полет, а 2 марта 1934 г. он с механиком Ва- лавиным перелетел в Ванкарем. Полет про</w:t>
      </w:r>
      <w:r w:rsidRPr="00C33834">
        <w:rPr>
          <w:rFonts w:ascii="Times New Roman" w:hAnsi="Times New Roman"/>
          <w:color w:val="000000" w:themeColor="text1"/>
          <w:sz w:val="16"/>
          <w:szCs w:val="16"/>
        </w:rPr>
        <w:softHyphen/>
        <w:t>ходил на высоте 200 метров и продолжался 1 час 15 минут. Более Ш-2 СССР-Н21 не летал. После всех поломок и импровизированных ре</w:t>
      </w:r>
      <w:r w:rsidRPr="00C33834">
        <w:rPr>
          <w:rFonts w:ascii="Times New Roman" w:hAnsi="Times New Roman"/>
          <w:color w:val="000000" w:themeColor="text1"/>
          <w:sz w:val="16"/>
          <w:szCs w:val="16"/>
        </w:rPr>
        <w:softHyphen/>
        <w:t>монтов его эксплуатацию признали нецелесо</w:t>
      </w:r>
      <w:r w:rsidRPr="00C33834">
        <w:rPr>
          <w:rFonts w:ascii="Times New Roman" w:hAnsi="Times New Roman"/>
          <w:color w:val="000000" w:themeColor="text1"/>
          <w:sz w:val="16"/>
          <w:szCs w:val="16"/>
        </w:rPr>
        <w:softHyphen/>
        <w:t>образной, и машину списали по износу (12301).</w:t>
      </w:r>
    </w:p>
    <w:p w14:paraId="5B275CF0" w14:textId="77777777" w:rsidR="006A4DAE" w:rsidRPr="00C33834" w:rsidRDefault="006A4DAE" w:rsidP="00C33834">
      <w:pPr>
        <w:spacing w:after="0" w:line="240" w:lineRule="auto"/>
        <w:jc w:val="both"/>
        <w:rPr>
          <w:rFonts w:ascii="Times New Roman" w:hAnsi="Times New Roman"/>
          <w:color w:val="000000" w:themeColor="text1"/>
          <w:sz w:val="16"/>
          <w:szCs w:val="16"/>
        </w:rPr>
      </w:pPr>
    </w:p>
    <w:p w14:paraId="1025466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августа 1933 из-за границы прибыл самолет Дорнье "Валь" СССР-Н10 - Заводской № 239, двигатели - 2 М-17, дата присвоения опознавательного знака с литерой "Н" - 22.08.33 г., как и родственную СССР- Н9, принятый комиссией Торгпредства от фирмы Дорнье 23 июня 1933. После чего встал на длительные испытания в Ленинграде совместно с комиссией НИИ ВВС. Из Ленинграда СССР-НЮ вылетел в устье Енисея для выполнения транспортных полетов только в октябре 1933 г. Экипаж летающей лодки состоял из командира летчика Рябенко, второго пилота Жихарева, бортмехаников Орлова и Ивашины. Кроме экипажа, на борту находились два пассажира. В районе Матюйсале (у входа в Гыданскую губу) летчики заблудились в тумане, выработали почти все горючее и приводнились вблизи от зимовки Грудицкого. На зимовке бензина не было, имелся только керосин, которым полярники поделились с авиаторами. По воде уже плавали льдины, и тянуть с отлетом было нельзя.</w:t>
      </w:r>
    </w:p>
    <w:p w14:paraId="010A570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Взлетев на остатках бензина, пилоты переключили питание моторов на керосин. Моторы сильно задымили, но продолжали тянуть самолет. Курс взяли на Гыдо-Ямо, где рассчитывали заправить машину.</w:t>
      </w:r>
    </w:p>
    <w:p w14:paraId="04BA56B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Налетевшая пурга снова сбила пилотов с курса. Когда, минут через 50 видимость улучшилась, под гидропланом расстилался сплошной лед. Почти одновременно моторы начали "чихать" - керосин был на исходе. Заметив небольшую полынью, Рябенко немедленно пошел на посадку. Сели в Гыдоямском заливе, однако точное место посадки было не известно.</w:t>
      </w:r>
    </w:p>
    <w:p w14:paraId="7B9D0E1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Две недели экипаж и пассажиры провели на самолете. Погода не улучшалась, стоял густой туман. На 14-й день Жихареву, Ивашине и одному из пассажиров удалось на клиппер- боте добраться до края полыньи. Лед оказался слабым и с трудом выдерживал стоящего человека. Несколько километров (!) Ивашина с товарищами ползком тащил лодку с припасами до твердого льда. Здесь авиаторы разделились: Ивашина отправился обратно на гидроплан; двое других пошли за помощью.</w:t>
      </w:r>
    </w:p>
    <w:p w14:paraId="5332270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Тем временем площадь открытой воды все время уменьшалась, самолет обледеневал, осадка его увеличивалась, кончалось продовольствие. Законсервировав подручными средствами оборудование, экипаж высадился на берег.</w:t>
      </w:r>
    </w:p>
    <w:p w14:paraId="461051F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Вскоре вернулся 2-й пилот Жихарев с известием, что им удалось найти рыбаков, с помощью которых добрались до Гыдо-Ямо. Здесь был бензин, и на нартах его привезли к месту посадки. Погрузив два бидона на клиппер-бот, Рябенко и Ивашина отправились на самолет. При причаливании острой сосулькой, свисавшей с борта, пробило резиновую лодку. Залив в бак первый бидон, Ивашина неожиданно обнаружил течь из поврежденного бензопровода - первый бидон потратили впустую. Заделав трещину и, взявшись за второй бидон, бортмеханик с удивлением обнаружил в нем вместо бензина масло.</w:t>
      </w:r>
    </w:p>
    <w:p w14:paraId="7B257EC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Переночевав, Рябенко и Ивашина заклеили пробоину на клиппер-боте и вернулись на берег. Обратный путь занял почти весь день.</w:t>
      </w:r>
    </w:p>
    <w:p w14:paraId="687E1A9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следующий день с четырьмя бидонами авиаторы вернулись к машине. Залили горючее и попробовали запустить моторы, но не удачно. Бензин оказался по качеству хуже керосина, не помог даже прогрев моторов кипятком.</w:t>
      </w:r>
    </w:p>
    <w:p w14:paraId="48CE316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Убедившись, что силами экипажа самолет освободить из ледового плена невозможно, отправились за помощью. В начале ноября удалось собрать бригаду из 16 человек, достали инструмент и материалы. С немалыми трудностями удалось вырубить СССР-НЮ изо льда и за 10 суток вытащить его на берег. После этого летчики отправились на рыбацкую зимовку. Регулярно, три раза в месяц Ивашина ходил за 80 км. для осмотра гидроплана.</w:t>
      </w:r>
    </w:p>
    <w:p w14:paraId="2948FDA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мая 1934 г. снег, лежавший на крыльях "Валя" начал подтаивать и пропитываться водой. Вес его увеличился, и появилась опасность деформации плоскостей. Новый спасательный отряд освободил самолет от снега, а Ивашина начал ремонт повреждений, полученных машиной за зиму. Когда залив освободился ото льда, оказалось, что самолет лежит в 1,5 км от берега - зимой спасатели явно перестарались.</w:t>
      </w:r>
    </w:p>
    <w:p w14:paraId="7037B7F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Решили подвести к лодке воду протекавшей неподалеку речки. Две недели ушло на рытье канала. Еще трое суток Жихарев и Ивашина "по бурлацки" вели самолет по заливу, обходя подводные льдины, и два дня двигались по протоке к реке Юрибей. Здесь низкопробный бензин неожиданно дал вспышку, и летчики смогли дойти до Гыдо-Ямо на моторах. 23 августа экипаж Махоткина доставил сюда дополнительный бензин, после чего самолет перелетел для проведения ремонта в Красноярск (11970).</w:t>
      </w:r>
    </w:p>
    <w:p w14:paraId="2499B02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3707F38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августа 1933 года пом. секретаря РВСС Снегов писал письмо № 5353с начальнику ВВС Алкснису</w:t>
      </w:r>
    </w:p>
    <w:p w14:paraId="47166BB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сведения направляю копию письма о вызове Гроховского. Прошу дать распоряжение о вызове Гроховского на 28 августа согласно резолюции зам. председателя РВСС Тухачевского.</w:t>
      </w:r>
    </w:p>
    <w:p w14:paraId="422E437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работ Осконбюро на 1933 год переслан начальнику Штаба для исполнения по резолюции зам. председателя РВСС Тухачевского (7505, 194).</w:t>
      </w:r>
    </w:p>
    <w:p w14:paraId="03DFD24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3C91B1CC" w14:textId="77777777" w:rsidR="00910933"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3C5EC310" w14:textId="77777777" w:rsidR="00910933" w:rsidRPr="00C33834" w:rsidRDefault="0091093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A6E227E" w14:textId="77777777" w:rsidR="00910933" w:rsidRPr="00C33834" w:rsidRDefault="00910933" w:rsidP="00C33834">
      <w:pPr>
        <w:pStyle w:val="rtejustify"/>
        <w:spacing w:before="0" w:after="0"/>
        <w:rPr>
          <w:color w:val="000000" w:themeColor="text1"/>
          <w:sz w:val="16"/>
          <w:szCs w:val="16"/>
        </w:rPr>
      </w:pPr>
      <w:r w:rsidRPr="00C33834">
        <w:rPr>
          <w:rStyle w:val="af0"/>
          <w:bCs/>
          <w:i w:val="0"/>
          <w:color w:val="000000" w:themeColor="text1"/>
          <w:sz w:val="16"/>
          <w:szCs w:val="16"/>
        </w:rPr>
        <w:t>23 августа</w:t>
      </w:r>
      <w:r w:rsidRPr="00C33834">
        <w:rPr>
          <w:color w:val="000000" w:themeColor="text1"/>
          <w:sz w:val="16"/>
          <w:szCs w:val="16"/>
        </w:rPr>
        <w:t xml:space="preserve"> 1933. Постановление СТО СССР № 82с/о «Об обеспечении строительства временной военно-морской базы в г. Мурманске». (ГА РФ. Ф. Р</w:t>
      </w:r>
      <w:r w:rsidRPr="00C33834">
        <w:rPr>
          <w:color w:val="000000" w:themeColor="text1"/>
          <w:sz w:val="16"/>
          <w:szCs w:val="16"/>
        </w:rPr>
        <w:noBreakHyphen/>
        <w:t>8418. Оп. 28. Д. 2. Л. 128</w:t>
      </w:r>
      <w:r w:rsidRPr="00C33834">
        <w:rPr>
          <w:color w:val="000000" w:themeColor="text1"/>
          <w:sz w:val="16"/>
          <w:szCs w:val="16"/>
        </w:rPr>
        <w:noBreakHyphen/>
        <w:t>134) (15460).</w:t>
      </w:r>
    </w:p>
    <w:p w14:paraId="0E2E01E9" w14:textId="77777777" w:rsidR="00910933" w:rsidRPr="00C33834" w:rsidRDefault="00910933" w:rsidP="00C33834">
      <w:pPr>
        <w:pStyle w:val="rtejustify"/>
        <w:spacing w:before="0" w:after="0"/>
        <w:rPr>
          <w:color w:val="000000" w:themeColor="text1"/>
          <w:sz w:val="16"/>
          <w:szCs w:val="16"/>
        </w:rPr>
      </w:pPr>
    </w:p>
    <w:p w14:paraId="160BFBB9"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64C4A4E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66F6EA5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августа 1933 датирован приказ ОГПУ № 140 «О Беломорско-Балтийском комбинате ОГПУ»:</w:t>
      </w:r>
    </w:p>
    <w:p w14:paraId="2988DCD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постановлением СНК СССР об организации Беломорско-Балтийского комбината ОГПУ по освоению Беломорско-Балтийского канала имени тов. Сталина и прилегающих к нему районов, приказываю:</w:t>
      </w:r>
    </w:p>
    <w:p w14:paraId="028C86F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w:t>
      </w:r>
    </w:p>
    <w:p w14:paraId="64224BF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Назначить заместителя начальника Главного управления лагерей ОГПУ тов. Рапопорт Я. Д. - начальником Беломорско-Балтийского комбината ОГПУ по совместительству, освободив его от должностей зам. нач. строительства «Москва-Волга» и нач. Дмитровского лагеря ОГПУ.</w:t>
      </w:r>
    </w:p>
    <w:p w14:paraId="12C8BF8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2.</w:t>
      </w:r>
    </w:p>
    <w:p w14:paraId="3A67D65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Врид начальника Дмитлага ОГПУ назначить зам. начальника Дмитлага тов. Радецкого В. Т.</w:t>
      </w:r>
    </w:p>
    <w:p w14:paraId="3C96819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3.</w:t>
      </w:r>
    </w:p>
    <w:p w14:paraId="74F6BB0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Заместителями начальника Белбалткомбината ОГПУ назначить тов. Вержбицкого К. А., он же главный инженер Белбалткомбината и тов. Успенского Д. В., он же начальник Белбалтлага ОГПУ.</w:t>
      </w:r>
    </w:p>
    <w:p w14:paraId="3872ADD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4.</w:t>
      </w:r>
    </w:p>
    <w:p w14:paraId="22844CA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Начальником Финансового отдела Белбалткомбината назначить начальника Финансового отдела ОГПУ тов. Берензон Л. И. по совместительству.</w:t>
      </w:r>
    </w:p>
    <w:p w14:paraId="487D6EF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5.</w:t>
      </w:r>
    </w:p>
    <w:p w14:paraId="0F16104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Начальником технического снабжения Белбалткомбината назначить начальника 8-го отделения Главного управления лагерей ОГПУ тов. Курина М. С. по совместительству.</w:t>
      </w:r>
    </w:p>
    <w:p w14:paraId="5C7C6AB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Всем ПП ОГПУ и ДТО [Дорожно-транспортным отделам] ОГПУ оказывать Белбалткомбинату всемерное содействие при выполнении им возложенных на него огромных задач» (7560).</w:t>
      </w:r>
    </w:p>
    <w:p w14:paraId="2C17857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1D66FD0B"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306634B"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71BF4F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августа 1933 стратостат Осоавиахим-1 приняла комиссия ЦС ОАХ под председательством т. Ильина. Тов. Федосеенко считал, что до февраля хранить оболочку нельзя, а нужно будет сделать новую. Основным мотивом к этому он считал, что пропускная способность газа будет не 17-20 м на 1 кв. м, а 60-70 и что опыта в хранении оболочки из такого материала нет. Когда полет было отложен, т. Федосеенко проявил особую заботу о сохранении оболочки и 5.XI донес т. Эйдеману, в каком виде и где хранится оболочка, и еще раз подчеркивал, что газонепроницаемость ее может быть нарушена. Приводя данные о погоде в декабре, он просил назначить полет на потолок 20.000 м, просил также собрать совещание специалистов для установления наиболее благоприятного времени и мест полета (11611).</w:t>
      </w:r>
    </w:p>
    <w:p w14:paraId="06923EF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07ADBA90" w14:textId="77777777" w:rsidR="00067E90" w:rsidRPr="00C33834" w:rsidRDefault="00067E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24 августа 1933 комиссия Осоавиахима под пред</w:t>
      </w:r>
      <w:r w:rsidRPr="00C33834">
        <w:rPr>
          <w:rFonts w:ascii="Times New Roman" w:hAnsi="Times New Roman"/>
          <w:color w:val="0070C0"/>
          <w:sz w:val="16"/>
          <w:szCs w:val="16"/>
        </w:rPr>
        <w:softHyphen/>
        <w:t>седательством Ф.Н. Ильина приняла стратостат «Осоавиахим-1» («ОАХ-1») (20120).</w:t>
      </w:r>
    </w:p>
    <w:p w14:paraId="2EDAC988" w14:textId="77777777" w:rsidR="00067E90" w:rsidRPr="00C33834" w:rsidRDefault="00067E90" w:rsidP="00C33834">
      <w:pPr>
        <w:spacing w:after="0" w:line="240" w:lineRule="auto"/>
        <w:jc w:val="both"/>
        <w:rPr>
          <w:rFonts w:ascii="Times New Roman" w:hAnsi="Times New Roman"/>
          <w:color w:val="0070C0"/>
          <w:sz w:val="16"/>
          <w:szCs w:val="16"/>
        </w:rPr>
      </w:pPr>
    </w:p>
    <w:p w14:paraId="338748DA" w14:textId="77777777" w:rsidR="0091093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8029DF9" w14:textId="77777777" w:rsidR="00910933" w:rsidRPr="00C33834" w:rsidRDefault="0091093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7733DF0" w14:textId="77777777" w:rsidR="00910933" w:rsidRPr="00C33834" w:rsidRDefault="0091093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24 августа в 1933 году совершил свой первый полет прототип «B-6» самолета </w:t>
      </w:r>
      <w:hyperlink r:id="rId306" w:tgtFrame="_blank" w:history="1">
        <w:r w:rsidRPr="00C33834">
          <w:rPr>
            <w:rFonts w:ascii="Times New Roman" w:hAnsi="Times New Roman"/>
            <w:color w:val="000000" w:themeColor="text1"/>
            <w:sz w:val="16"/>
            <w:szCs w:val="16"/>
          </w:rPr>
          <w:t xml:space="preserve">«Blackburn» «B.6» «Shark» </w:t>
        </w:r>
      </w:hyperlink>
      <w:r w:rsidRPr="00C33834">
        <w:rPr>
          <w:rFonts w:ascii="Times New Roman" w:hAnsi="Times New Roman"/>
          <w:color w:val="000000" w:themeColor="text1"/>
          <w:sz w:val="16"/>
          <w:szCs w:val="16"/>
        </w:rPr>
        <w:t>с двигателем «Tiger IV» максимальной мощностью 700 л.с., в кабине находился летчик-испытатель А.Блэйк. После удачного полета самолет, тем не менее, вернули на завод для установки кольцевого капота на звезду цилиндров двигателя. В 1933 году министерство авиации Великобритании выпустило документ S.15/33, в котором оговаривались требования к новому разведчику-корректировщику-торпедоносцу с рабочим обозначением «T.S.R», («Torpedo-Spotter-Reconnaissance»). Согласно этим требованиям, самолет должен был действовать с палуб авианосцев, катапульт кораблей и наземных аэродромов. Такая универсальность достигалась за счет сменного колесного или поплавкового шасси. В конкурентную борьбу за заказ включились английские фирмы «Fairey», «Gloster» и «Blackburn». «Fairey» спроектировала самолет «TSR I»I, который в процессе своего развития стал знаменитым торпедоносцем «Swordfish». Фирма «Gloster» представила свою разработку – «TSR.38», а «Blackburn» выставила биплан «В-6». После сравнительной оценки проектов флот выбрал два наиболее перспективных из них, от фирм «Fairey» и «Blackburn» (14992).</w:t>
      </w:r>
    </w:p>
    <w:p w14:paraId="2B1BE9EB" w14:textId="77777777" w:rsidR="00910933" w:rsidRPr="00C33834" w:rsidRDefault="00910933" w:rsidP="00C33834">
      <w:pPr>
        <w:spacing w:after="0" w:line="240" w:lineRule="auto"/>
        <w:jc w:val="both"/>
        <w:rPr>
          <w:rFonts w:ascii="Times New Roman" w:hAnsi="Times New Roman"/>
          <w:color w:val="000000" w:themeColor="text1"/>
          <w:sz w:val="16"/>
          <w:szCs w:val="16"/>
        </w:rPr>
      </w:pPr>
    </w:p>
    <w:p w14:paraId="13EB6256" w14:textId="77777777" w:rsidR="00067E90" w:rsidRPr="00C33834" w:rsidRDefault="00067E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24 августа 1933 состоялся первый полет Блэкбернская акула (20802).</w:t>
      </w:r>
    </w:p>
    <w:p w14:paraId="48284925" w14:textId="77777777" w:rsidR="00067E90" w:rsidRPr="00C33834" w:rsidRDefault="00067E90" w:rsidP="00C33834">
      <w:pPr>
        <w:spacing w:after="0" w:line="240" w:lineRule="auto"/>
        <w:jc w:val="both"/>
        <w:rPr>
          <w:rFonts w:ascii="Times New Roman" w:hAnsi="Times New Roman"/>
          <w:color w:val="0070C0"/>
          <w:sz w:val="16"/>
          <w:szCs w:val="16"/>
        </w:rPr>
      </w:pPr>
    </w:p>
    <w:p w14:paraId="4C8AEA5B" w14:textId="77777777" w:rsidR="00067E90" w:rsidRPr="00C33834" w:rsidRDefault="00067E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24 августа 1933 года — первый полёт палубного торпедоносца-разведчика Blackburn T-9 Shark. /Великобритания/</w:t>
      </w:r>
    </w:p>
    <w:p w14:paraId="084D7DB4" w14:textId="77777777" w:rsidR="00067E90" w:rsidRPr="00C33834" w:rsidRDefault="00067E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Авиационное министерство Великобритании в 1933 году опубликовало спецификацию S.15/33, описывавшую требования к торпедоносцу-разведчику для воздушных сил флота. Для участия в конкурсе компания Blackburn Aircraft представила свой проект T-9 Shark.</w:t>
      </w:r>
    </w:p>
    <w:p w14:paraId="1FDC114C" w14:textId="77777777" w:rsidR="00067E90" w:rsidRPr="00C33834" w:rsidRDefault="00067E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Это был цельнометаллический трёхместный биплан с колёсным/поплавковым шасси. Модификация Shark Mk.II оснащалась двигателем Armstrong Siddeley Tiger VI (760 л.с.) Максимальная скорость — 240 км/ч, дальность полёта — 1006 км. Вооружение состояло из 2 × 7,7-мм пулемётов Vickers + 460-мм торпеда или до 730 кг бомб.</w:t>
      </w:r>
    </w:p>
    <w:p w14:paraId="58905F35" w14:textId="77777777" w:rsidR="00067E90" w:rsidRPr="00C33834" w:rsidRDefault="00067E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Уже в 1935 году первые T-9 Shark поступили на вооружение ВМФ Великобритании. Самолёты эксплуатировались как с авианосцев, так и просто с кораблей, оборудованных катапультами. Всего выпустили 269 единиц T-9 Shark всех модификаций. Они также поставлялись на экспорт в Канаду и Португалию (22300).</w:t>
      </w:r>
    </w:p>
    <w:p w14:paraId="35A162D9" w14:textId="77777777" w:rsidR="00067E90" w:rsidRPr="00C33834" w:rsidRDefault="00067E90" w:rsidP="00C33834">
      <w:pPr>
        <w:spacing w:after="0" w:line="240" w:lineRule="auto"/>
        <w:jc w:val="both"/>
        <w:rPr>
          <w:rFonts w:ascii="Times New Roman" w:hAnsi="Times New Roman"/>
          <w:color w:val="0070C0"/>
          <w:sz w:val="16"/>
          <w:szCs w:val="16"/>
        </w:rPr>
      </w:pPr>
    </w:p>
    <w:p w14:paraId="68E9AC05"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677918E0"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BBC3A2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августа 1933 г. записка № 50586</w:t>
      </w:r>
    </w:p>
    <w:p w14:paraId="6F0F5F1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СЕКРЕТАРЮ ЦК ВКП (Б)</w:t>
      </w:r>
    </w:p>
    <w:p w14:paraId="3BBF609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 Кагановичу</w:t>
      </w:r>
    </w:p>
    <w:p w14:paraId="37E9C1C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iCs/>
          <w:color w:val="000000" w:themeColor="text1"/>
          <w:sz w:val="16"/>
          <w:szCs w:val="16"/>
        </w:rPr>
        <w:t>Резолюция Кагановича: В круговую членам ПБ</w:t>
      </w:r>
    </w:p>
    <w:p w14:paraId="1DBC7E6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результате углубленной агентурной работы по вскрытию к.-р. вредительской и шпионской организации в военной промышленности – Орудийно-Арсенальное Объединение и его заводы (о чем сообщено ЦК ВКП (б) № 294301) было установлено, что на территории Союза действует разветвление шпионская сеть, созданная разведывательными органами Польши и ведущая крупную шпионскую и диверсионную работу на заводах Военной промышленности.</w:t>
      </w:r>
    </w:p>
    <w:p w14:paraId="6349562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моменту ликвидации этой шпионской сети агентурно было точно установлено, что во главе ее в качестве организатора и руководителя стоит специально переброшенный на нашу территорию крупный резидент прибывший в СССР под видом политэмигранта и под фамилией Минин Михаил Робертович.</w:t>
      </w:r>
    </w:p>
    <w:p w14:paraId="0F7C281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Одновременно с операцией всей контрреволюционной организации в Военной промышленности, ОГПУ, ПП ОГПУ МО и ГПУ УССР была ликвидирована и указанная выше польская резидентура, при чем, тут же были установлены и сняты конспиративные явки польской разведки в Москве (квартира гр-на Клячко Льва Аркадьевича на Троицкой улице в д. № 1/4, кв. 2) и в Киеве (кв. гр-ки Арабок Марии Пахомовны – “Люси”, ул. Короленко, д. № 71 на 1-м этаже) и арестован в числе других также резидент Польской разведки Минин Михаил Робертович, настоящая фамилия, как установлено – Бриль Виктор Иосифович.</w:t>
      </w:r>
    </w:p>
    <w:p w14:paraId="291A93C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Приведенными следственными действиями и обнаруженными полностью подтверждены агентурные данные и установлено:</w:t>
      </w:r>
    </w:p>
    <w:p w14:paraId="7BA3430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Мини – Бриль, до своей переброски в СССР будучи членом ППС (левицы), был в 1928 г. завербован Начальником Лодзинской дефензивы Вайнером и выдал несколько конспиративных квартир ППС (левицы), ряд работников этой партии: Сольского (члена ЦК), Пацановскую, Даниель, Равич и др., а также членов комсомола Польши – Вицек и Ацзен.</w:t>
      </w:r>
    </w:p>
    <w:p w14:paraId="4150582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 июне 1929 года Минин – Бриль получил от Вайера предложение выехать в СССР для шпионской работы по линии Военной промышленности, для чего должен связаться и возглавить имевшуюся уже группу в Киеве, с последующим расширением деятельности на Москву, Харьков и др. центры.</w:t>
      </w:r>
    </w:p>
    <w:p w14:paraId="4253024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лучшей конспирации Минину – Брилю было предложено использовать его связи по линии Торгпредства и проникнуть в СССР под видом политэмигранта, что он и осуществил.</w:t>
      </w:r>
    </w:p>
    <w:p w14:paraId="058B080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Получив в Торгпредстве в Данциге при посредстве Зам. Торгпреда т. Копылова разрешение и паспорт, Минин-Бриль в конце августа 1929 г. приехал в Москву. Явившись в Коминтер, Минин-Бриль, получив документы политэмигранта, добился направления в Киев, где и устроился через Нацменсекцию Киевского К-та КП (б) У секретарем Польского театра, а затем (согласно полученным от Польской разведки указаниям) – заведующим Интернатом Польского Механического Техникума.</w:t>
      </w:r>
    </w:p>
    <w:p w14:paraId="41C0C5A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Одновременно со своим устройством в Киеве, согласно полученным от Польской разведки указаниям, Минин-Бриль связался со специальным курьером Польской разведки в Киеве – Кавецким и приступил к организации шпионской и диверсионной работы на Киевском Арсенале (ККЗ) и Авиазаводе № 43, завязав знакомства с рядом к.-р. настроенных лиц (по ККЗ – зав. литейным цехом Блажинским, конструктором Прокопенко и слесарем Броварником (арестованы); по зав. № 43 указанные Мининым лица устанавливаются.</w:t>
      </w:r>
    </w:p>
    <w:p w14:paraId="1B6B2C8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Параллельно развертыванию шпионской работы на ККЗ и з-де № 43 установил связи и возглавил к.-р. группу студентов Польского техникума (Гельнер, Сахацкий и др.), впоследствии разъехавшихся на военно-производственную практику и явившихся основными кадрами ликвидированной польской агентуры.</w:t>
      </w:r>
    </w:p>
    <w:p w14:paraId="7996F10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В 1930 голу окончивший техникум и получивший назначение на военно-производственную практику в Москву участник к.-р. группы техникума – Гельнер получил указания от Минина – Бриля по выявлению и группированию к.-р. настроенных лиц, что им и было выполнено путем организации группы инженеров-военнопроизводственников, преимущественно окончивших Киевский Политехнический Институт на Московском Орудийном заводе № 8 (Коноплич, Хандромиров, Васильченко, Улановский и др.-все арестованы).</w:t>
      </w:r>
    </w:p>
    <w:p w14:paraId="2EA8B0A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связи Гельнеру была дана явка на квартиру вышеупомянутого Клячко, связанного в свою очередь с сотрудником Польского консульства “Свой”.</w:t>
      </w:r>
    </w:p>
    <w:p w14:paraId="188D786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В 1932 году Минин-Бриль по поручению Польской разведки был переброшен в Москву для развертывания шпионско-диверсионной работы на московских заводах Военной и Авиационной промышленности, что им и было проделано путем активизации шпионской и подрывной работы группы Гельнера на заводе № 8 и при посредничестве ее участников – организованы группы на заводе Мастяжарт (Лещев), ТОЗъе (Сандомирский) и получены связи по Авиазаводу № 22 (Лещев и Сандомирский арестованы).</w:t>
      </w:r>
    </w:p>
    <w:p w14:paraId="065074F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период своей шпионской деятельности в Москве Минин-Бриль был непосредственно связан с сотрудниками Польского консульства “Своей” Вацлавом Яковлевичем и Оконьским, причем с первым явки имел на конспиративной квартире Клячко.</w:t>
      </w:r>
    </w:p>
    <w:p w14:paraId="57A4CD8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В результате шпионской деятельности по Военной промышленности, были собраны и переданы сведения о мощностях и программах заводов № 8, Киевского Арсенала, ТОЗъа, Авиазавода № 43 о конструкциях тяжелого бомбовоза, новой противогазовой маски, тяжелых авиабомбах (Мастяжарт), а Военно-Воздушной Академии и Одесской Авиашколе.</w:t>
      </w:r>
    </w:p>
    <w:p w14:paraId="686D6FA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в связи с заданиями агента Польской разведки “Совы” о получении сведений по оборонным работам на границах, был завербован для шпионской работы по Дальнему Востоку инженер Рыбальченко, работающий участковым прорабом на строительстве по укреплению Манчжуро-Китайских границ (на арест Рыбальченко дано задание ПП ОГПУ в ДВК).</w:t>
      </w:r>
    </w:p>
    <w:p w14:paraId="49627CE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Через Рыбалченко были получены и переданы Польской разведке документы об укреплениях на ДВ, с указанием конструкций и их качества, дислокация и планы построенных на ДВ в 1932 г. воинских казарм.</w:t>
      </w:r>
    </w:p>
    <w:p w14:paraId="625E1B6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аресте участника к.-р. организации Улановского, непосредственно вербовавшего Рыбалченко, на квартире изъяты полученные от последнего для передачи полякам материалы с подробным описанием обороноспособности Дальнего Востока.</w:t>
      </w:r>
    </w:p>
    <w:p w14:paraId="4F4D4F4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передаче Мининым-Брилем сведений по Дальнему Востоку агенту Польской разведки “Сове”, последним были даны указания по дальнейшему собиранию сведений по оборонным мероприятиям по Д. В. и в частности было сказано, что по договоренности Польши и Румынии с Японией первый удар должен быть произведен на Д. Востоке.</w:t>
      </w:r>
    </w:p>
    <w:p w14:paraId="63E8088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Одновременно с широким развертыванием шпионской и подрывной работы на заводах Военной промышленности, Мининым-Брилем, согласно специальным указаниям, развертывалась сеть ПОВ (“Польская Военная Организация”).</w:t>
      </w:r>
    </w:p>
    <w:p w14:paraId="579AF3E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показаниям Минина-Бриля, указанная организация, согласно полученных им установок от Зам. Начальника Лодзинской дефензгвы Недельского, является закордонным филиалом “ПОВ”.</w:t>
      </w:r>
    </w:p>
    <w:p w14:paraId="6E8D051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Задачей деятельности “ПОВ” в СССР по директиве Польской разведки является организация к.-р. повстанческих, шпионских и террористических групп.</w:t>
      </w:r>
    </w:p>
    <w:p w14:paraId="330856E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одной из таких групп и был, по заданию упомянутого Недельского, связан Бриль (эта группа, входившая по “ПОВ”, под наименованием “ГОЛ” – “Группа освобождения личности” – была ликвидирована в 1932 году Киевским Облотделом ГПУ).</w:t>
      </w:r>
    </w:p>
    <w:p w14:paraId="61FBEF1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Материалами следствия устанавливается, что Мининым-Брилем, при посредстве участников к.-р. группы в Киевском Польском Техникуме были организованы группы “ПОВ” в Бердичеве (Сахацким), в Виннице (Гельнером и Набловским), Умани (Яворовским и Голяновским), в Гневов (Чавловским) и в Казатине (Пиотковским (указанные лица арестованы, частично были осуждены по делу “ПОВ”).</w:t>
      </w:r>
    </w:p>
    <w:p w14:paraId="1910C84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развертывания работы “ПОВ”, по показаниям Минина в 1931 году разведывательными органами Польши был прислан специальный резидент Дудкевич (обнаружен на территории Союза и арестован)</w:t>
      </w:r>
    </w:p>
    <w:p w14:paraId="33E14EF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Проводившаяся шпионская и диверсионная работа широко финансировалась разведорганами Польши.</w:t>
      </w:r>
    </w:p>
    <w:p w14:paraId="659E885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23-е августа по делу к.-р. организации в Военной промышленности арестовано 70 человек.</w:t>
      </w:r>
    </w:p>
    <w:p w14:paraId="0DE2013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Следствие продолжается.</w:t>
      </w:r>
    </w:p>
    <w:p w14:paraId="3255AC5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Председателя ОГПУ Ягода</w:t>
      </w:r>
    </w:p>
    <w:p w14:paraId="1BC16E2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Нач. ЭКУ ОГПУ Миронов </w:t>
      </w:r>
    </w:p>
    <w:p w14:paraId="66AAD0B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 РФ, ф.3, оп.58, д.242, л.2-7 (11462).</w:t>
      </w:r>
    </w:p>
    <w:p w14:paraId="4216B9F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7CE89091"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0FEFD18"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140434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августа 1933 вышел приказ ГУАП N 355, который констатировал, что ЦАГИ выполнены работы по улучшению летных свойств И-5 за счет установки кольца Тауненда, обтекателей на колесах, нового винта, поворотных стоек для вывода из штопора, заказанные ГУАП в 1932 (298,194).</w:t>
      </w:r>
    </w:p>
    <w:p w14:paraId="2961F88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2E880A0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августа 1933 состоялось заседание у начальника Глававиапрома П.И.Б. об установке М-34 на ТБ-3 (АНТ-6) и от ЦАГИ были А.Н.Т. и В.М.П. (1077,129).</w:t>
      </w:r>
    </w:p>
    <w:p w14:paraId="33F607E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009A4D2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августа 1933 года Ц.С. ВОИЗ заключил договор с ВВА на проектирование самолета Можаева на сумму 138000 рублей. Одновременно была найдена производственная база для постройки самолета – завод № 1, с которым надлежало заключить договор ЦС ВОИЗу (4213).</w:t>
      </w:r>
    </w:p>
    <w:p w14:paraId="3A8EFDB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1AA8AEA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25 августа 1933 г. Научный работник Орловский послал письмо строителю гондолы стратостата и в копии Правлению Осоавиахима в Москве, в котором он говорит, что считает необходимым сообщить свои мысли об опасности в структуре оболочки шара и в способе прикрепления гондолы к шару. </w:t>
      </w:r>
    </w:p>
    <w:p w14:paraId="543FFE3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«Стремление обойтись без сетки на шаре я объясняю желанием избавиться во-первых от «лишнего» веса, и во-вторых, вероятно, опасались маневрирования при наполнении». Т. Орловский предлагает дать сетку, далее он говорит: «я все же воздержался бы от полета на аэростате с таким поясом. Мой совет переделать».</w:t>
      </w:r>
    </w:p>
    <w:p w14:paraId="3607CEB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Задержка с полетом в августе 1933 г. вызывала у экипажа тревогу за сохранность оболочки и т. Федосеенко добивался дальнейшего определения дня и места вылета. Консультационный совет при обсуждении этого вопроса 11 сентября в лице профессора Мультановского считал, что устойчивая погода для полета будет в 20-ых числах декабря, а профессор Троицкий считал, что это будет в феврале месяце. 24 августа стратостат приняла комиссия ЦС ОАХ под председательством т. Ильина. Тов. Федосеенко считал, что до февраля хранить оболочку нельзя, а нужно будет сделать новую. Основным мотивом к этому он считал, что пропускная способность газа будет не 17-20 м на 1 кв. м, а 60-70 и что опыта в хранении оболочки из такого материала нет. </w:t>
      </w:r>
    </w:p>
    <w:p w14:paraId="6491C9F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Когда полет было отложен, т. Федосеенко проявил особую заботу о сохранении оболочки и 5.XI донес т. Эйдеману, в каком виде и где хранится оболочка, и еще раз подчеркивал, что газонепроницаемость ее может быть нарушена. Приводя данные о погоде в декабре, он просил назначить полет на потолок 20.000 м, просил также собрать совещание специалистов для установления наиболее благоприятного времени и мест полета (11611).</w:t>
      </w:r>
    </w:p>
    <w:p w14:paraId="47FE359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7E5ABD6A"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A218A5C"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A121468" w14:textId="77777777" w:rsidR="00A10B21" w:rsidRPr="00C33834" w:rsidRDefault="00A10B2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25 августа 1933 опросом членов ПБ</w:t>
      </w:r>
    </w:p>
    <w:p w14:paraId="42A59C8B" w14:textId="77777777" w:rsidR="00A10B21" w:rsidRPr="00C33834" w:rsidRDefault="00A10B2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98/74.- Водросы Комиссии обороны</w:t>
      </w:r>
    </w:p>
    <w:p w14:paraId="66735444" w14:textId="77777777" w:rsidR="00A10B21" w:rsidRPr="00C33834" w:rsidRDefault="00A10B2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Утвердить постановления СТО:</w:t>
      </w:r>
    </w:p>
    <w:p w14:paraId="71749163" w14:textId="77777777" w:rsidR="00A10B21" w:rsidRPr="00C33834" w:rsidRDefault="00A10B2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О выделении из резервного фонда СНК СССР 200 тыс. рублей валюты на приобретение импортных деталей трубчатки и брайсточной установки для развития производ</w:t>
      </w:r>
      <w:r w:rsidRPr="00C33834">
        <w:rPr>
          <w:rFonts w:ascii="Times New Roman" w:hAnsi="Times New Roman"/>
          <w:color w:val="0070C0"/>
          <w:sz w:val="16"/>
          <w:szCs w:val="16"/>
        </w:rPr>
        <w:softHyphen/>
        <w:t>ства авиамасел;</w:t>
      </w:r>
    </w:p>
    <w:p w14:paraId="1FFA7741" w14:textId="77777777" w:rsidR="00A10B21" w:rsidRPr="00C33834" w:rsidRDefault="00A10B2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О закупкес НКВнешторгом в Америке и Европе сов</w:t>
      </w:r>
      <w:r w:rsidRPr="00C33834">
        <w:rPr>
          <w:rFonts w:ascii="Times New Roman" w:hAnsi="Times New Roman"/>
          <w:color w:val="0070C0"/>
          <w:sz w:val="16"/>
          <w:szCs w:val="16"/>
        </w:rPr>
        <w:softHyphen/>
        <w:t>ременных образцов авиатоплив и масел;</w:t>
      </w:r>
    </w:p>
    <w:p w14:paraId="66BDCEDB" w14:textId="77777777" w:rsidR="00A10B21" w:rsidRPr="00C33834" w:rsidRDefault="00A10B2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О командировании в Америку и Европу комиссии для изучения производства авиатоплив, авиамасел и обо</w:t>
      </w:r>
      <w:r w:rsidRPr="00C33834">
        <w:rPr>
          <w:rFonts w:ascii="Times New Roman" w:hAnsi="Times New Roman"/>
          <w:color w:val="0070C0"/>
          <w:sz w:val="16"/>
          <w:szCs w:val="16"/>
        </w:rPr>
        <w:softHyphen/>
        <w:t>рудования для них.</w:t>
      </w:r>
    </w:p>
    <w:p w14:paraId="1AB58406" w14:textId="77777777" w:rsidR="00A10B21" w:rsidRPr="00C33834" w:rsidRDefault="00A10B2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Базилевичу, Мирошникову.</w:t>
      </w:r>
    </w:p>
    <w:p w14:paraId="40969333" w14:textId="77777777" w:rsidR="00A10B21" w:rsidRPr="00C33834" w:rsidRDefault="00A10B2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28 августа 1933 состоялось заседание ПБ и был оформлен протокол № 144 (22994).</w:t>
      </w:r>
    </w:p>
    <w:p w14:paraId="6B99EE21" w14:textId="77777777" w:rsidR="00A10B21" w:rsidRPr="00C33834" w:rsidRDefault="00A10B21" w:rsidP="00C33834">
      <w:pPr>
        <w:spacing w:after="0" w:line="240" w:lineRule="auto"/>
        <w:jc w:val="both"/>
        <w:rPr>
          <w:rFonts w:ascii="Times New Roman" w:hAnsi="Times New Roman"/>
          <w:color w:val="0070C0"/>
          <w:sz w:val="16"/>
          <w:szCs w:val="16"/>
        </w:rPr>
      </w:pPr>
    </w:p>
    <w:p w14:paraId="73C5D93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августа 1933 года начальник Экономического управления ОГПУ Лев Миронов сообщал секретарю ЦК ВКП(б) Лазарю Кагановичу зам. председателя ОГПУ Генрих Ягода:</w:t>
      </w:r>
    </w:p>
    <w:p w14:paraId="082A0AB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результате углублённой агентурной работы по вскрытию к.-р. вредительской и шпионской организации в военной промышленности — Орудийно-Арсенальное Объединение и его заводы (о чем сообщено ЦК ВКП(б) №294301) было установлено, что на территории Союза действует разветвлённая шпионская сеть, созданная разведывательными органами Польши и ведущая крупную шпионскую и диверсионную работу на заводах Военной промышленности»</w:t>
      </w:r>
    </w:p>
    <w:p w14:paraId="4FE8CC5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моменту ликвидации этой шпионской сети агентурно было точно установлено, что во главе её в качестве организатора и руководителя стоит специально переброшенный на нашу территорию крупный резидент польской разведки, прибывший в СССР под видом политэмигранта и под фамилией Минин Михаил Робертович.</w:t>
      </w:r>
    </w:p>
    <w:p w14:paraId="30F40D9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Одновременно с операцией всей контрреволюционной организации в Военной промышленности, ОГПУ, ПП ОГПУ МО и ГПУ УССР была ликвидирована и указанная выше польская резидентура, причем тут же были установлены и сняты конспиративные явки польской разведки в Москве (квартира гр-на Клячко Льва Аркадьевича на Троицкой улице в д. №1/4, кв. 2) и в Киеве (кв. гр-ки Арабок Марии Пахомовны — “Люси”, ул. Короленко, д. №71 на 1-м этаже) и арестован в числе других также резидент Польской разведки Минин Михаил Робертович, настоящая фамилия которого, как установлено, — Бриль Виктор Иосифович.</w:t>
      </w:r>
    </w:p>
    <w:p w14:paraId="1DBAD1A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Произведёнными следственными действиями и обнаруженными документами полностью подтверждены агентурные данные и установлено:</w:t>
      </w:r>
    </w:p>
    <w:p w14:paraId="230974B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Минин-Бриль до своей переброски в СССР, будучи членом ППС (левицы), был в 1928 г. завербован Начальником Лодзинской дефензивы Вайнером и выдал несколько конспиративных квартир ППС (левицы), ряд работников этой партии: Сельского (члена ЦК), Пацановскую, Даниель, Равич и др., а также членов комсомола Польши — Вицек и Ацзен.</w:t>
      </w:r>
    </w:p>
    <w:p w14:paraId="3CCF7F2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 июне 1929 года Минин-Бриль получил от Вайера предложение выехать в СССР для шпионской работы по линии Военной промышленности, для чего должен был связаться и возглавить имевшуюся уже группу в Киеве, с последующим расширением деятельности на Москву, Харьков и др. центры.</w:t>
      </w:r>
    </w:p>
    <w:p w14:paraId="7F4DB98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лучшей конспирации Минину-Брилю было предложено использовать его связи по линии Торгпредства и проникнуть в СССР под видом политэмигранта, что он и осуществил.</w:t>
      </w:r>
    </w:p>
    <w:p w14:paraId="63D28ED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Получив в Торгпредстве в Данциге при посредстве Зам. Торгпреда т. Копылова разрешение и паспорт, Минин-Бриль в конце августа 1929 г. приехал в Москву. Явившись в Коминтерн, Минин-Бриль, получив документы политэмигранта, добился направления в Киев, где и устроился через Нацменсекцию Киевского К-та КП(б)У секретарем Польского театра, а затем (согласно полученным от Польской разведки указаниям) — заведующим Интернатом Польского Механического Техникума.</w:t>
      </w:r>
    </w:p>
    <w:p w14:paraId="1FBF77A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Одновременно со своим устройством в Киеве, согласно полученным от Польской разведки указаниям, Минин-Бриль связался со специальным курьером Польской разведки в Киеве Кавецким и приступил к организации шпионской и диверсионной работы на Киевском Арсенале (ККЗ) и Авиазаводе №43, завязав знакомства с рядом к.-р. настроенных лиц (по ККЗ — зав. литейным цехом Блажинским, конструктором Прокопенко и слесарем Броварником (арестованы); по зав. №43 указанные Мининым лица устанавливаются.</w:t>
      </w:r>
    </w:p>
    <w:p w14:paraId="0F5DDA1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Параллельно развёртыванию шпионской работы на ККЗ и з-де №43 Минин установил связи и возглавил к.-р. группу студентов Польского техникума (Гельнер, Сахацкий и др.), впоследствии разъехавшихся на военно-производственную практику и явившихся основными кадрами ликвидированной польской агентуры.</w:t>
      </w:r>
    </w:p>
    <w:p w14:paraId="1E84ACC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В 1930 году окончивший техникум и получивший назначение на военно-производственную практику в Москву участник к.-р. группы техникума Гельнер получил указания от Минина-Бриля по выявлению и группированию к.-р. настроенных лиц, что им и было выполнено путем организации группы инженеров-военнопроизводственников, преимущественно окончивших Киевский Политехнический Институт на Московском Орудийном заводе №8 (Коноплич, Хандромиров, Васильченко, Улановский и др. — все арестованы).</w:t>
      </w:r>
    </w:p>
    <w:p w14:paraId="62E6056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связи Гельнеру была дана явка на квартиру вышеупомянутого Клячко, связанного в свою очередь с сотрудником Польского консульства “Совой”.</w:t>
      </w:r>
    </w:p>
    <w:p w14:paraId="2D69D42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В 1932 году Минин-Бриль по поручению польской разведки был переброшен в Москву для развёртывания шпионско-диверсионной работы на московских заводах Военной и Авиационной промышленности, что им и было проделано путём активизации шпионской и подрывной работы группы Гельнера на заводе №8 и при посредничестве её участников — организованы группы на заводе Мастяжарт (Лещев), ТОЗе (Сандомирский) и получены связи по Авиазаводу №22 (Лещев и Сандомирский арестованы).</w:t>
      </w:r>
    </w:p>
    <w:p w14:paraId="4FFBA0B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период своей шпионской деятельности в Москве Минин-Бриль был непосредственно связан с сотрудниками польского консульства “Совой” Вацлавом Яковлевичем и Оконьским, причем с первым явки имел на конспиративной квартире Клячко.</w:t>
      </w:r>
    </w:p>
    <w:p w14:paraId="0350BB0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В результате шпионской деятельности по Военной промышленности были собраны и переданы сведения о мощностях и программах заводов №8, Киевского Арсенала, ТОЗа, Авиазавода №43, о конструкциях тяжелого бомбовоза, новой противогазовой маски, тяжёлых авиабомбах (Мастяжарт), о Военно-Воздушной Академии и Одесской Авиашколе.</w:t>
      </w:r>
    </w:p>
    <w:p w14:paraId="4B24111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в связи с заданиями агента польской разведки “Совы” о получении сведений по оборонным работам на границах был завербован для шпионской работы по Дальнему Востоку инженер Рыбальченко, работающий участковым прорабом на строительстве по укреплению Маньчжуро-Китайских границ (на арест Рыбальченко дано задание ПП ОГПУ в ДВК).</w:t>
      </w:r>
    </w:p>
    <w:p w14:paraId="41B0DB3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Через Рыбальченко были получены и переданы польской разведке секретные документы об укреплениях на ДВ с указанием конструкций укреплений и их качества, дислокация и планы построенных на ДВ в 1932 г. воинских казарм.</w:t>
      </w:r>
    </w:p>
    <w:p w14:paraId="38D632A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аресте участника к.-р. организации Улановского, непосредственно вербовавшего Рыбальченко, на квартире изъяты полученные от последнего для передачи полякам материалы с подробным описанием обороноспособности Дальнего Востока.</w:t>
      </w:r>
    </w:p>
    <w:p w14:paraId="0C63206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передаче Мининым-Брилем сведений по Дальнему Востоку агенту польской разведки “Сове” последним были даны указания по дальнейшему собиранию сведений по оборонным мероприятиям по Д.В. и, в частности, было сказано, что по договоренности Польши и Румынии с Японией первый удар должен быть произведён на Д. Востоке.</w:t>
      </w:r>
    </w:p>
    <w:p w14:paraId="51DF6F3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9. Одновременно с широким развёртыванием шпионской и подрывной работы на заводах Военной промышленности Мининым-Брилем, согласно специальным указаниям, развёртывалась сеть ПОВ (“Польская Военная Организация”).</w:t>
      </w:r>
    </w:p>
    <w:p w14:paraId="03BAF36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показаниям Минина-Бриля, указанная организация, согласно полученных им установок от Зам. Начальника Лодзинской дефенсивы Недельского, является закордонным филиалом “ПОВ”.</w:t>
      </w:r>
    </w:p>
    <w:p w14:paraId="3619003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Задачей деятельности “ПОВ” в СССР по директиве польской разведки является организация к.-р. повстанческих, шпионских и террористических групп.</w:t>
      </w:r>
    </w:p>
    <w:p w14:paraId="7829846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одной из таких групп и был, по заданию упомянутого Недельского, связан Бриль по его приезде в Киев (эта группа, входившая по “ПОВ” под наименованием “ГОЛ”, — “Группа освобождения личности” — была ликвидирована в 1932 году Киевским Облотделом ГПУ).</w:t>
      </w:r>
    </w:p>
    <w:p w14:paraId="6BCA835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Материалами следствия устанавливается, что Мининым-Брилем при посредстве участников к.-р. группы в Киевском Польском Техникуме были организованы группы “ПОВ” в Бердичеве (Сахацким), в Виннице (Гельнером и Набловским), Умани (Яворовским и Голяновским), в Гневов (Чавловским) и в Казатине (Пиотковским) (указанные лица арестованы, частично были осуждены по делу “ПОВ”).</w:t>
      </w:r>
    </w:p>
    <w:p w14:paraId="531DABE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развертывания работы “ПОВ” по показаниям Минина в 1931 году разведывательными органами Польши был прислан специальный резидент Дудкевич (обнаружен на территории Союза и арестован)</w:t>
      </w:r>
    </w:p>
    <w:p w14:paraId="345863C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Проводившаяся шпионская и диверсионная работа широко финансировалась разведорганами Польши.</w:t>
      </w:r>
    </w:p>
    <w:p w14:paraId="3DF9BA1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23-е августа по делу к.-р. организации в Военной промышленности арестовано 70 человек.</w:t>
      </w:r>
    </w:p>
    <w:p w14:paraId="3064DF8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Следствие продолжается».</w:t>
      </w:r>
    </w:p>
    <w:p w14:paraId="28E0B38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 РФ. Ф.3. Оп.58. Д.242. Л.2–7. Цит. по: Мозохин О.Б. Карающий меч диктатуры пролетариата. М., 2004. С.416–420) (11703).</w:t>
      </w:r>
    </w:p>
    <w:p w14:paraId="4F535E2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4C50463A" w14:textId="77777777" w:rsidR="00FD662C" w:rsidRPr="00C33834" w:rsidRDefault="00FD662C"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августа 1933 г. согласно постановлению СНК «Красное Сормово» должно было приступить к освоению производства мин. Для этого завод получил приказ прекратить уже налаженный выпуск 107 и 203-мм фугасных снарядов. Однако вскоре это решение признали нецелесообразным и отменили. В сентябре завод получил задание, кроме торпедных аппаратов, организовать производство «толкачей» для сбрасывания торпед с торпедных катеров. Однако из-за большой загруженности цехов оно так и не было выполнено. Заводы, входившие тогда в объединение «Союзверфь», не имели своих конструкторских бюро. Все проектирование и разработка рабочих чертежей выполнялись ЦКБ-18 и подчиненным ему ЦКБС-2, занимающимся подводными лодками. ЦКБС-2 с самого начала несвоевременно и некомплектно присылало необходимые чертежи, работая по принципу: «начинайте строить, а как строить, узнаете потом» (11741).</w:t>
      </w:r>
    </w:p>
    <w:p w14:paraId="3EA2F829" w14:textId="77777777" w:rsidR="00FD662C" w:rsidRPr="00C33834" w:rsidRDefault="00FD662C"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17159D"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49A4DDE9"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4E1FE1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25 августа и 1 сентября 1933. Из протокола заседания Политбюро N 144, особая папка, 1933 г.</w:t>
      </w:r>
    </w:p>
    <w:p w14:paraId="7CDEDA3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тифозной малярии на Северном Кавказе </w:t>
      </w:r>
    </w:p>
    <w:p w14:paraId="0C66E3A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Обязать Наркомздрав РСФСР под личную ответственность тов. Богат немедленно в дополнение к уже принятым мерам (посылка специальной бригады, мобилизация врачей в Ростове, отгрузка хинина) отгрузить дополнительно для Сев. Кавказа 500 кило хинина и направить туда необходимое по согласованию с Севкавкрайисполкомом количество врачей. </w:t>
      </w:r>
    </w:p>
    <w:p w14:paraId="6238257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Поручить НКВТ срочно закупить 5 тонн хинина в счет валютного контингента Наркомздрава на IV квартал 1933 г. </w:t>
      </w:r>
    </w:p>
    <w:p w14:paraId="1F01BE4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 Предложить Наркомтяжпрому сдать Наркомздраву в течение 2 дней 7 тонн парижской зелени для немедленной отправки на Северный Кавказ в целях борьбы с комаром путем авиаопыления. </w:t>
      </w:r>
    </w:p>
    <w:p w14:paraId="20EDECF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Обязать т. Донского (вновь назначенного зав. Севкрайздрава) немедленно выехать на Северный Кавказ для руководства организацией медицинской помощи в районах, охваченных тифозной малярией (11652).</w:t>
      </w:r>
    </w:p>
    <w:p w14:paraId="62A939B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1117135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25 августа и 1 сентября 1933. Из протокола заседания Политбюро N 144, особая папка, 1933 г.</w:t>
      </w:r>
    </w:p>
    <w:p w14:paraId="3D4DDAD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чистке партии </w:t>
      </w:r>
    </w:p>
    <w:p w14:paraId="6ED1CCC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 Закончить чистку партийных организаций 10 областей и краев первой очереди к концу декабря месяца с. г. </w:t>
      </w:r>
    </w:p>
    <w:p w14:paraId="01A9407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Чистку партии в остальных областях и краях провести после 17-го съезда партии (11652).</w:t>
      </w:r>
    </w:p>
    <w:p w14:paraId="5519DC3B" w14:textId="09655072"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0ECBD299" w14:textId="7516921D" w:rsidR="00F2233A" w:rsidRPr="00C33834" w:rsidRDefault="00F2233A" w:rsidP="00C33834">
      <w:pPr>
        <w:autoSpaceDE w:val="0"/>
        <w:autoSpaceDN w:val="0"/>
        <w:adjustRightInd w:val="0"/>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За рубежом:</w:t>
      </w:r>
    </w:p>
    <w:p w14:paraId="0A036D14" w14:textId="77777777" w:rsidR="00F2233A" w:rsidRPr="00C33834" w:rsidRDefault="00F2233A" w:rsidP="00C33834">
      <w:pPr>
        <w:autoSpaceDE w:val="0"/>
        <w:autoSpaceDN w:val="0"/>
        <w:adjustRightInd w:val="0"/>
        <w:spacing w:after="0" w:line="240" w:lineRule="auto"/>
        <w:jc w:val="both"/>
        <w:rPr>
          <w:rFonts w:ascii="Times New Roman" w:hAnsi="Times New Roman"/>
          <w:i/>
          <w:iCs/>
          <w:color w:val="000000" w:themeColor="text1"/>
          <w:sz w:val="16"/>
          <w:szCs w:val="16"/>
        </w:rPr>
      </w:pPr>
    </w:p>
    <w:p w14:paraId="2D438742" w14:textId="77777777" w:rsidR="00F2233A" w:rsidRPr="00C33834" w:rsidRDefault="00F2233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25 августа 1933 - Совершил свой первый полёт прототип B-6 самолёта Blackburn B.6 Shark с двигателем Tiger IV максимальной мощностью 700 л.с., в кабине находился лётчик-испытатель А.Блэйк. После удачного полёта самолёт, тем не менее, вернули на завод для установки кольцевого капота на звезду цилиндров двигателя. В 1933 году министерство авиации Великобритании выпустило документ S.15/33, в котором оговаривались требования к новому разведчику-корректировщику-торпедоносцу с рабочим обозначением T.S.R, (Torpedo-Spotter-Reconnaissance). Согласно этим требованиям, самолёт должен был действовать с палуб авианосцев, катапульт кораблей и наземных аэродромов. Такая универсальность достигалась за счёт сменного колесного или поплавкового шасси.</w:t>
      </w:r>
    </w:p>
    <w:p w14:paraId="12A8C9DE" w14:textId="77777777" w:rsidR="00F2233A" w:rsidRPr="00C33834" w:rsidRDefault="00F2233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конкурентную борьбу за заказ включились английские фирмы Fairey, Gloster и Blackburn. Fairey спроектировала самолёт TSR II, который в процессе своего развития стал знаменитым торпедоносцем Swordfish. Фирма Gloster представила свою разработку - TSR.38, а Blackburn выставила биплан В-6. После сравнительной оценки проектов флот выбрал два наиболее перспективных из них, от фирм Fairey и Blackburn (22388).</w:t>
      </w:r>
    </w:p>
    <w:p w14:paraId="705509C9" w14:textId="77777777" w:rsidR="00F2233A" w:rsidRPr="00C33834" w:rsidRDefault="00F2233A" w:rsidP="00C33834">
      <w:pPr>
        <w:spacing w:after="0" w:line="240" w:lineRule="auto"/>
        <w:jc w:val="both"/>
        <w:rPr>
          <w:rFonts w:ascii="Times New Roman" w:hAnsi="Times New Roman"/>
          <w:color w:val="0070C0"/>
          <w:sz w:val="16"/>
          <w:szCs w:val="16"/>
        </w:rPr>
      </w:pPr>
    </w:p>
    <w:p w14:paraId="5C22B194"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A036085"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E9A9B6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августа 1933 года нарком по военным и морским делам и председатель РВС Ворошилов писал письмо № 3183сс председателю комиссии обороны Молотову В.М.</w:t>
      </w:r>
    </w:p>
    <w:p w14:paraId="7C492E2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состоянии опытного моторо- и самолетостроения</w:t>
      </w:r>
    </w:p>
    <w:p w14:paraId="1E7DCAD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опытного моторо- и самолетостроения на 1932-34 г.г., утвержденный Правительством 4 июля 1932 года, промышленностью не выполняется в обусловленные сроки.</w:t>
      </w:r>
    </w:p>
    <w:p w14:paraId="5ADC81F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Срыв плана, в первую очередь, идет по моторам, а это в свою очередь влечет за собой срыв плана по самолетам, поскольку все самолеты по плану опытного строительства идут под опытные моторы.</w:t>
      </w:r>
    </w:p>
    <w:p w14:paraId="58738A7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Высокие летные данные иностранных самолетов объясняются не столько аэродинамикой самолетов, сколько качеством мотора. Качество мотора прежде всего зависит от наличия на нем нагнетателя и редуктора.</w:t>
      </w:r>
    </w:p>
    <w:p w14:paraId="6394FDD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Роль редуктора и особенно нагнетателя в повышении летных данных самолета отчетливо видна из следующей сравнительной таблицы:</w:t>
      </w:r>
    </w:p>
    <w:p w14:paraId="65DAAA1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10BC532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Строящийся нами серийный мотор М34 без нагнетателя и редуктора по своей мощности и малому удельному весу на земле может быть отнесен к разряду лучших заграничных моторов. Но если сравнить его с лучшими заграничными моторами на боевой высоте, т. е. на 5000 м, то он оказывается по своим качествам ниже средних современных заграничных моторов.</w:t>
      </w:r>
    </w:p>
    <w:p w14:paraId="23CDEED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наши тяжелые бомбардировщики и разведчики должны были базироваться на моторе М34 с нагнетателем и редуктором. С помощью этого мотора с нагнетателем и редуктором мы могли бы выйти в первые ряды современной авиационной техники. Но так как вместо этого мотора мы получаем из серии М34 без нагнетателя и редуктора, то наши самолеты на боевой высоте оказываются значительно хуже заграничных.</w:t>
      </w:r>
    </w:p>
    <w:p w14:paraId="2E51278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Опытные образцы истребителей по плану должны обеспечить моторы М38, М58 и М32 – все с нагнетателем. Но сверхтяжелый бомбовоз ТБ6, который выйдет в конце 1934 года, по плану предусмотрено установить моторы М44 по 2000 л. с. с нагнетателем.</w:t>
      </w:r>
    </w:p>
    <w:p w14:paraId="7A66CD1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 одного из перечисленных моторов на сегодняшний день мы не имеем, хотя по плану срок выхода первых трех моторов был в 1932 году. Все эти моторы являлись главнейшими и от их выпуска зависит выполнение плана опытного самолетостроения.</w:t>
      </w:r>
    </w:p>
    <w:p w14:paraId="54D7FEF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Если промышленность не справится в кратчайший срок с выпуском мотора М34 с нагнетателем и М34 с редуктором и М58 с нагнетателем, то фактически план опытного самолетостроения будет сорван и в таком случае наша отсталость угрожающе увеличится, ибо все без исключения воздушные флоты переходят на моторы с нагнетателем и редуктором.</w:t>
      </w:r>
    </w:p>
    <w:p w14:paraId="7D5E434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Если строительство сухопутных самолетов зависит в основном от состояния моторостроения, то по морским самолетам невыполнение плана опытного строительства объясняется не только отставанием моторостроения, но и разбросанностью конструкторских сил.</w:t>
      </w:r>
    </w:p>
    <w:p w14:paraId="2448791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части невыполнения плана надо особо отметить объекты плана опытного самолетостроения, проектирование и постройка которых возложена на Главное управление ГВФ.</w:t>
      </w:r>
    </w:p>
    <w:p w14:paraId="0B5AA0C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сего времени ГУГВФ не дал задания своим конструкторским бюро на включение этих самолетов в план их работы, мотивируя это отсутствием денег и невозможностью выполнения в сроки, указанные в плане.</w:t>
      </w:r>
    </w:p>
    <w:p w14:paraId="2ED7C7D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целях скорейшей ликвидации прорыва в опытном строительстве авиации и предотвращения значительного технического отставания материальной части ВВС от таковой вероятных противников, прошу об утверждении прилагаемого при сем проекта постановления (4223, 6-8).</w:t>
      </w:r>
    </w:p>
    <w:p w14:paraId="2719739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августа 1933 года было подготовлено постановление комиссии обороны (проект):</w:t>
      </w:r>
    </w:p>
    <w:p w14:paraId="1675544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ходе выполнения опытного самолето- и моторостроения</w:t>
      </w:r>
    </w:p>
    <w:p w14:paraId="2E30215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Комиссия обороны констатирует, что план опытного строительства авиаицонных моторов и самолетов, утвержденный СТО 4 июля 1932 года, ГУАПом и ГУГВФом в установленные Правительством сроки не выполнен. Это невыполнение плана опытного самолето- и моторостроения создает серьезную угрозу технического отставания материальной части ВВС от материальной части ВВС вероятных противников. В то время, как почти все иностранные воздушные флоты в основном уже перешли на высотные моторы, резко повышающие скорость самолета на боевых высотах, его скороподъемность и практический потолок, наша промышленность не дала еще ни одного мотора с нагнетателем даже в опытном образце, что отчасти объясняется трудностью непосредственного осуществления выключающегося нагнетателя без предварительного осуществления нагнетателя не выключающегося.</w:t>
      </w:r>
    </w:p>
    <w:p w14:paraId="077C84E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Одной из причин невыполнения в срок плана опытного самолетостроения является опоздание подачи моторов, а также частично загрузка ЦАГИ работами по модернизации самолетов, находящихся в серийном производстве.</w:t>
      </w:r>
    </w:p>
    <w:p w14:paraId="4F03CB3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Отметить, что ГУАП ввиду возрастающего объема опытного строительства, совершенно правильно принял меры к расширению базы опытного самолето- и моторостроения, создав на заводе № 39 КБ по проектированию и постройке опытных образцов легких сухопутных и морских самолетов, на заводе № 29 – базу по опытному моторостроению, развернув в ХАИ и МАИ базу по опытному самолето- и моторостроению.</w:t>
      </w:r>
    </w:p>
    <w:p w14:paraId="5F97DE6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Тяжелые пулеметы и мелкокалиберные пушки для вооружения авиации также еще не вышли из стадии опытного строительства и испытания в образцах. Пулеметы ШКАС, поступившие с производства не удовлетворяют требованиям живучести.</w:t>
      </w:r>
    </w:p>
    <w:p w14:paraId="603B5AE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по изысканию новых видов жидкого авиационного топлива и масел и особенно антидетонаторов для авиамоторов с нагнетателями велись явно недостаточными темпами.</w:t>
      </w:r>
    </w:p>
    <w:p w14:paraId="601B08B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скорейшей ликвидации прорыва в опытном строительстве ВВС Комиссия обороны постановляет:</w:t>
      </w:r>
    </w:p>
    <w:p w14:paraId="082A222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1.Во изменение плана опытного строительства, утвержденного КО 4 июля 1932 года, утвердить нижеследующий план опытного строительства по моторам и самолетам:</w:t>
      </w:r>
    </w:p>
    <w:p w14:paraId="536E266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 опытному моторостроению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F26F01" w:rsidRPr="00C33834" w14:paraId="02263DB4" w14:textId="77777777">
        <w:tc>
          <w:tcPr>
            <w:tcW w:w="1656" w:type="dxa"/>
          </w:tcPr>
          <w:p w14:paraId="43C472F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Марка мотора</w:t>
            </w:r>
          </w:p>
        </w:tc>
        <w:tc>
          <w:tcPr>
            <w:tcW w:w="1656" w:type="dxa"/>
          </w:tcPr>
          <w:p w14:paraId="627B725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1656" w:type="dxa"/>
          </w:tcPr>
          <w:p w14:paraId="34DED3D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л.с.</w:t>
            </w:r>
          </w:p>
        </w:tc>
        <w:tc>
          <w:tcPr>
            <w:tcW w:w="1656" w:type="dxa"/>
          </w:tcPr>
          <w:p w14:paraId="6372B81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1656" w:type="dxa"/>
          </w:tcPr>
          <w:p w14:paraId="430C953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в кг</w:t>
            </w:r>
          </w:p>
        </w:tc>
        <w:tc>
          <w:tcPr>
            <w:tcW w:w="1656" w:type="dxa"/>
          </w:tcPr>
          <w:p w14:paraId="54C5DA9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Расход горючего гр/л.с.</w:t>
            </w:r>
          </w:p>
        </w:tc>
        <w:tc>
          <w:tcPr>
            <w:tcW w:w="1656" w:type="dxa"/>
          </w:tcPr>
          <w:p w14:paraId="455FAAB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прдъявления на испытание</w:t>
            </w:r>
          </w:p>
        </w:tc>
      </w:tr>
    </w:tbl>
    <w:p w14:paraId="1019CD7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F26F01" w:rsidRPr="00C33834" w14:paraId="766FE4FE" w14:textId="77777777">
        <w:tc>
          <w:tcPr>
            <w:tcW w:w="1656" w:type="dxa"/>
          </w:tcPr>
          <w:p w14:paraId="48EC85C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М34Н (с нагнетат.)</w:t>
            </w:r>
          </w:p>
        </w:tc>
        <w:tc>
          <w:tcPr>
            <w:tcW w:w="1656" w:type="dxa"/>
          </w:tcPr>
          <w:p w14:paraId="34D6216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15CD3A8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1656" w:type="dxa"/>
          </w:tcPr>
          <w:p w14:paraId="7D4AFE0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3500</w:t>
            </w:r>
          </w:p>
        </w:tc>
        <w:tc>
          <w:tcPr>
            <w:tcW w:w="1656" w:type="dxa"/>
          </w:tcPr>
          <w:p w14:paraId="4100E44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650</w:t>
            </w:r>
          </w:p>
        </w:tc>
        <w:tc>
          <w:tcPr>
            <w:tcW w:w="1656" w:type="dxa"/>
          </w:tcPr>
          <w:p w14:paraId="5A417FF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225</w:t>
            </w:r>
          </w:p>
        </w:tc>
        <w:tc>
          <w:tcPr>
            <w:tcW w:w="1656" w:type="dxa"/>
          </w:tcPr>
          <w:p w14:paraId="1DD7AF6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w:t>
            </w:r>
          </w:p>
        </w:tc>
      </w:tr>
      <w:tr w:rsidR="00F26F01" w:rsidRPr="00C33834" w14:paraId="1008F781" w14:textId="77777777">
        <w:tc>
          <w:tcPr>
            <w:tcW w:w="1656" w:type="dxa"/>
          </w:tcPr>
          <w:p w14:paraId="3DB0CC6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М34РН</w:t>
            </w:r>
          </w:p>
        </w:tc>
        <w:tc>
          <w:tcPr>
            <w:tcW w:w="1656" w:type="dxa"/>
          </w:tcPr>
          <w:p w14:paraId="429F37A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7126FB8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1656" w:type="dxa"/>
          </w:tcPr>
          <w:p w14:paraId="7F8B44A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3500</w:t>
            </w:r>
          </w:p>
        </w:tc>
        <w:tc>
          <w:tcPr>
            <w:tcW w:w="1656" w:type="dxa"/>
          </w:tcPr>
          <w:p w14:paraId="1CD67F5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720</w:t>
            </w:r>
          </w:p>
        </w:tc>
        <w:tc>
          <w:tcPr>
            <w:tcW w:w="1656" w:type="dxa"/>
          </w:tcPr>
          <w:p w14:paraId="6BDFBBA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1656" w:type="dxa"/>
          </w:tcPr>
          <w:p w14:paraId="012F562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w:t>
            </w:r>
          </w:p>
        </w:tc>
      </w:tr>
      <w:tr w:rsidR="00F26F01" w:rsidRPr="00C33834" w14:paraId="324B82A1" w14:textId="77777777">
        <w:tc>
          <w:tcPr>
            <w:tcW w:w="1656" w:type="dxa"/>
          </w:tcPr>
          <w:p w14:paraId="430BC17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М34фр (форсиров.)</w:t>
            </w:r>
          </w:p>
        </w:tc>
        <w:tc>
          <w:tcPr>
            <w:tcW w:w="1656" w:type="dxa"/>
          </w:tcPr>
          <w:p w14:paraId="3509E10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570A0C1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c>
          <w:tcPr>
            <w:tcW w:w="1656" w:type="dxa"/>
          </w:tcPr>
          <w:p w14:paraId="377F1D6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22970D9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675</w:t>
            </w:r>
          </w:p>
        </w:tc>
        <w:tc>
          <w:tcPr>
            <w:tcW w:w="1656" w:type="dxa"/>
          </w:tcPr>
          <w:p w14:paraId="17F0732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210</w:t>
            </w:r>
          </w:p>
        </w:tc>
        <w:tc>
          <w:tcPr>
            <w:tcW w:w="1656" w:type="dxa"/>
          </w:tcPr>
          <w:p w14:paraId="7E7D91B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марта</w:t>
            </w:r>
          </w:p>
        </w:tc>
      </w:tr>
      <w:tr w:rsidR="00F26F01" w:rsidRPr="00C33834" w14:paraId="53E797FC" w14:textId="77777777">
        <w:tc>
          <w:tcPr>
            <w:tcW w:w="1656" w:type="dxa"/>
          </w:tcPr>
          <w:p w14:paraId="15DF250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М34фрн</w:t>
            </w:r>
          </w:p>
        </w:tc>
        <w:tc>
          <w:tcPr>
            <w:tcW w:w="1656" w:type="dxa"/>
          </w:tcPr>
          <w:p w14:paraId="2C9CE69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1A46452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c>
          <w:tcPr>
            <w:tcW w:w="1656" w:type="dxa"/>
          </w:tcPr>
          <w:p w14:paraId="14D6F7E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3500</w:t>
            </w:r>
          </w:p>
        </w:tc>
        <w:tc>
          <w:tcPr>
            <w:tcW w:w="1656" w:type="dxa"/>
          </w:tcPr>
          <w:p w14:paraId="15F0340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720</w:t>
            </w:r>
          </w:p>
        </w:tc>
        <w:tc>
          <w:tcPr>
            <w:tcW w:w="1656" w:type="dxa"/>
          </w:tcPr>
          <w:p w14:paraId="3B07C5D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1656" w:type="dxa"/>
          </w:tcPr>
          <w:p w14:paraId="343E44F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w:t>
            </w:r>
          </w:p>
        </w:tc>
      </w:tr>
      <w:tr w:rsidR="00F26F01" w:rsidRPr="00C33834" w14:paraId="3C7224BD" w14:textId="77777777">
        <w:tc>
          <w:tcPr>
            <w:tcW w:w="1656" w:type="dxa"/>
          </w:tcPr>
          <w:p w14:paraId="76BE6E7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М34фрн с выключ. нагнетателем и винтом переменного шага</w:t>
            </w:r>
          </w:p>
        </w:tc>
        <w:tc>
          <w:tcPr>
            <w:tcW w:w="1656" w:type="dxa"/>
          </w:tcPr>
          <w:p w14:paraId="02A1D0B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14D0903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c>
          <w:tcPr>
            <w:tcW w:w="1656" w:type="dxa"/>
          </w:tcPr>
          <w:p w14:paraId="2038528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1656" w:type="dxa"/>
          </w:tcPr>
          <w:p w14:paraId="2BC24A9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720</w:t>
            </w:r>
          </w:p>
        </w:tc>
        <w:tc>
          <w:tcPr>
            <w:tcW w:w="1656" w:type="dxa"/>
          </w:tcPr>
          <w:p w14:paraId="57B4B5B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1656" w:type="dxa"/>
          </w:tcPr>
          <w:p w14:paraId="4AABD0B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1934</w:t>
            </w:r>
          </w:p>
        </w:tc>
      </w:tr>
      <w:tr w:rsidR="00F26F01" w:rsidRPr="00C33834" w14:paraId="1CBC0151" w14:textId="77777777">
        <w:tc>
          <w:tcPr>
            <w:tcW w:w="1656" w:type="dxa"/>
          </w:tcPr>
          <w:p w14:paraId="01F84BF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М34фрн с выключ. нагнетат., удлинен валом и винтом переменного шага</w:t>
            </w:r>
          </w:p>
        </w:tc>
        <w:tc>
          <w:tcPr>
            <w:tcW w:w="1656" w:type="dxa"/>
          </w:tcPr>
          <w:p w14:paraId="2D870C6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30F2FAA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c>
          <w:tcPr>
            <w:tcW w:w="1656" w:type="dxa"/>
          </w:tcPr>
          <w:p w14:paraId="7486842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1656" w:type="dxa"/>
          </w:tcPr>
          <w:p w14:paraId="6787A6F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w:t>
            </w:r>
          </w:p>
        </w:tc>
        <w:tc>
          <w:tcPr>
            <w:tcW w:w="1656" w:type="dxa"/>
          </w:tcPr>
          <w:p w14:paraId="5A1CA4B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1656" w:type="dxa"/>
          </w:tcPr>
          <w:p w14:paraId="17E73A8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1934</w:t>
            </w:r>
          </w:p>
        </w:tc>
      </w:tr>
      <w:tr w:rsidR="00F26F01" w:rsidRPr="00C33834" w14:paraId="67022F92" w14:textId="77777777">
        <w:tc>
          <w:tcPr>
            <w:tcW w:w="1656" w:type="dxa"/>
          </w:tcPr>
          <w:p w14:paraId="738B387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М34 с элек. карт. </w:t>
            </w:r>
          </w:p>
        </w:tc>
        <w:tc>
          <w:tcPr>
            <w:tcW w:w="1656" w:type="dxa"/>
          </w:tcPr>
          <w:p w14:paraId="3F024EB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569213A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1656" w:type="dxa"/>
          </w:tcPr>
          <w:p w14:paraId="3D08B35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800-1000</w:t>
            </w:r>
          </w:p>
        </w:tc>
        <w:tc>
          <w:tcPr>
            <w:tcW w:w="1656" w:type="dxa"/>
          </w:tcPr>
          <w:p w14:paraId="11D55AB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560</w:t>
            </w:r>
          </w:p>
        </w:tc>
        <w:tc>
          <w:tcPr>
            <w:tcW w:w="1656" w:type="dxa"/>
          </w:tcPr>
          <w:p w14:paraId="4104E75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205</w:t>
            </w:r>
          </w:p>
        </w:tc>
        <w:tc>
          <w:tcPr>
            <w:tcW w:w="1656" w:type="dxa"/>
          </w:tcPr>
          <w:p w14:paraId="742C6A9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1933</w:t>
            </w:r>
          </w:p>
        </w:tc>
      </w:tr>
      <w:tr w:rsidR="00F26F01" w:rsidRPr="00C33834" w14:paraId="7FE7BB03" w14:textId="77777777">
        <w:tc>
          <w:tcPr>
            <w:tcW w:w="1656" w:type="dxa"/>
          </w:tcPr>
          <w:p w14:paraId="59E7D2A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с однорядн.</w:t>
            </w:r>
          </w:p>
        </w:tc>
        <w:tc>
          <w:tcPr>
            <w:tcW w:w="1656" w:type="dxa"/>
          </w:tcPr>
          <w:p w14:paraId="2D89FA2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214DC88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1656" w:type="dxa"/>
          </w:tcPr>
          <w:p w14:paraId="401315F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373EC20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390</w:t>
            </w:r>
          </w:p>
        </w:tc>
        <w:tc>
          <w:tcPr>
            <w:tcW w:w="1656" w:type="dxa"/>
          </w:tcPr>
          <w:p w14:paraId="7DA5845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1656" w:type="dxa"/>
          </w:tcPr>
          <w:p w14:paraId="51D1FD1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1933</w:t>
            </w:r>
          </w:p>
        </w:tc>
      </w:tr>
      <w:tr w:rsidR="00F26F01" w:rsidRPr="00C33834" w14:paraId="46DC95F0" w14:textId="77777777">
        <w:tc>
          <w:tcPr>
            <w:tcW w:w="1656" w:type="dxa"/>
          </w:tcPr>
          <w:p w14:paraId="77FE69D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ГМ34 глиссерн.</w:t>
            </w:r>
          </w:p>
        </w:tc>
        <w:tc>
          <w:tcPr>
            <w:tcW w:w="1656" w:type="dxa"/>
          </w:tcPr>
          <w:p w14:paraId="762FFBD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29DDDFC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1656" w:type="dxa"/>
          </w:tcPr>
          <w:p w14:paraId="3FDF437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32CFCF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950</w:t>
            </w:r>
          </w:p>
        </w:tc>
        <w:tc>
          <w:tcPr>
            <w:tcW w:w="1656" w:type="dxa"/>
          </w:tcPr>
          <w:p w14:paraId="1FF1281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1656" w:type="dxa"/>
          </w:tcPr>
          <w:p w14:paraId="019B88D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1933</w:t>
            </w:r>
          </w:p>
        </w:tc>
      </w:tr>
      <w:tr w:rsidR="00F26F01" w:rsidRPr="00C33834" w14:paraId="0881F276" w14:textId="77777777">
        <w:tc>
          <w:tcPr>
            <w:tcW w:w="1656" w:type="dxa"/>
          </w:tcPr>
          <w:p w14:paraId="1770F42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ГМ34ф</w:t>
            </w:r>
          </w:p>
        </w:tc>
        <w:tc>
          <w:tcPr>
            <w:tcW w:w="1656" w:type="dxa"/>
          </w:tcPr>
          <w:p w14:paraId="6352500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67D6208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c>
          <w:tcPr>
            <w:tcW w:w="1656" w:type="dxa"/>
          </w:tcPr>
          <w:p w14:paraId="1CAA7CB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537E34C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950</w:t>
            </w:r>
          </w:p>
        </w:tc>
        <w:tc>
          <w:tcPr>
            <w:tcW w:w="1656" w:type="dxa"/>
          </w:tcPr>
          <w:p w14:paraId="2BBB325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1656" w:type="dxa"/>
          </w:tcPr>
          <w:p w14:paraId="47865BF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1934</w:t>
            </w:r>
          </w:p>
        </w:tc>
      </w:tr>
      <w:tr w:rsidR="00F26F01" w:rsidRPr="00C33834" w14:paraId="49D8A600" w14:textId="77777777">
        <w:tc>
          <w:tcPr>
            <w:tcW w:w="1656" w:type="dxa"/>
          </w:tcPr>
          <w:p w14:paraId="7C3F5E6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М58 с нагнетат.</w:t>
            </w:r>
          </w:p>
        </w:tc>
        <w:tc>
          <w:tcPr>
            <w:tcW w:w="1656" w:type="dxa"/>
          </w:tcPr>
          <w:p w14:paraId="26155E7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Воздушнное </w:t>
            </w:r>
          </w:p>
        </w:tc>
        <w:tc>
          <w:tcPr>
            <w:tcW w:w="1656" w:type="dxa"/>
          </w:tcPr>
          <w:p w14:paraId="1CD625B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630</w:t>
            </w:r>
          </w:p>
        </w:tc>
        <w:tc>
          <w:tcPr>
            <w:tcW w:w="1656" w:type="dxa"/>
          </w:tcPr>
          <w:p w14:paraId="5E70DA0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c>
          <w:tcPr>
            <w:tcW w:w="1656" w:type="dxa"/>
          </w:tcPr>
          <w:p w14:paraId="2A6A345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w:t>
            </w:r>
          </w:p>
        </w:tc>
        <w:tc>
          <w:tcPr>
            <w:tcW w:w="1656" w:type="dxa"/>
          </w:tcPr>
          <w:p w14:paraId="47678F2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w:t>
            </w:r>
          </w:p>
        </w:tc>
        <w:tc>
          <w:tcPr>
            <w:tcW w:w="1656" w:type="dxa"/>
          </w:tcPr>
          <w:p w14:paraId="6AEAB96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w:t>
            </w:r>
          </w:p>
        </w:tc>
      </w:tr>
    </w:tbl>
    <w:p w14:paraId="17651D5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Экспериментальные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F26F01" w:rsidRPr="00C33834" w14:paraId="0D6C1E60" w14:textId="77777777">
        <w:tc>
          <w:tcPr>
            <w:tcW w:w="1656" w:type="dxa"/>
          </w:tcPr>
          <w:p w14:paraId="1D23C6E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М32 с нагнетателем и редуктором</w:t>
            </w:r>
          </w:p>
        </w:tc>
        <w:tc>
          <w:tcPr>
            <w:tcW w:w="1656" w:type="dxa"/>
          </w:tcPr>
          <w:p w14:paraId="0091A6F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6EC01E6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1656" w:type="dxa"/>
          </w:tcPr>
          <w:p w14:paraId="5B5B8E9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c>
          <w:tcPr>
            <w:tcW w:w="1656" w:type="dxa"/>
          </w:tcPr>
          <w:p w14:paraId="62792FC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1656" w:type="dxa"/>
          </w:tcPr>
          <w:p w14:paraId="5E2A129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1656" w:type="dxa"/>
          </w:tcPr>
          <w:p w14:paraId="0F1756D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1934</w:t>
            </w:r>
          </w:p>
        </w:tc>
      </w:tr>
      <w:tr w:rsidR="00F26F01" w:rsidRPr="00C33834" w14:paraId="32DB40A4" w14:textId="77777777">
        <w:tc>
          <w:tcPr>
            <w:tcW w:w="1656" w:type="dxa"/>
          </w:tcPr>
          <w:p w14:paraId="07D6044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Н1 (дизель)</w:t>
            </w:r>
          </w:p>
        </w:tc>
        <w:tc>
          <w:tcPr>
            <w:tcW w:w="1656" w:type="dxa"/>
          </w:tcPr>
          <w:p w14:paraId="386F8CA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2A73F9F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600-750</w:t>
            </w:r>
          </w:p>
        </w:tc>
        <w:tc>
          <w:tcPr>
            <w:tcW w:w="1656" w:type="dxa"/>
          </w:tcPr>
          <w:p w14:paraId="3E48AED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0568B74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840</w:t>
            </w:r>
          </w:p>
        </w:tc>
        <w:tc>
          <w:tcPr>
            <w:tcW w:w="1656" w:type="dxa"/>
          </w:tcPr>
          <w:p w14:paraId="1D4C606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w:t>
            </w:r>
          </w:p>
        </w:tc>
        <w:tc>
          <w:tcPr>
            <w:tcW w:w="1656" w:type="dxa"/>
          </w:tcPr>
          <w:p w14:paraId="161B5D6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1933</w:t>
            </w:r>
          </w:p>
        </w:tc>
      </w:tr>
      <w:tr w:rsidR="00F26F01" w:rsidRPr="00C33834" w14:paraId="00CA94CB" w14:textId="77777777">
        <w:tc>
          <w:tcPr>
            <w:tcW w:w="1656" w:type="dxa"/>
          </w:tcPr>
          <w:p w14:paraId="204B8F9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Н5 (дизель)</w:t>
            </w:r>
          </w:p>
        </w:tc>
        <w:tc>
          <w:tcPr>
            <w:tcW w:w="1656" w:type="dxa"/>
          </w:tcPr>
          <w:p w14:paraId="0DD0A70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18A4146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656" w:type="dxa"/>
          </w:tcPr>
          <w:p w14:paraId="69AF85F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1656" w:type="dxa"/>
          </w:tcPr>
          <w:p w14:paraId="0DB41B3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656" w:type="dxa"/>
          </w:tcPr>
          <w:p w14:paraId="5184104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180-190</w:t>
            </w:r>
          </w:p>
        </w:tc>
        <w:tc>
          <w:tcPr>
            <w:tcW w:w="1656" w:type="dxa"/>
          </w:tcPr>
          <w:p w14:paraId="52722A3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w:t>
            </w:r>
          </w:p>
        </w:tc>
      </w:tr>
      <w:tr w:rsidR="00F26F01" w:rsidRPr="00C33834" w14:paraId="4E204BA0" w14:textId="77777777">
        <w:tc>
          <w:tcPr>
            <w:tcW w:w="1656" w:type="dxa"/>
          </w:tcPr>
          <w:p w14:paraId="76BAD92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М44 (бензиновый с нагнетателем)</w:t>
            </w:r>
          </w:p>
        </w:tc>
        <w:tc>
          <w:tcPr>
            <w:tcW w:w="1656" w:type="dxa"/>
          </w:tcPr>
          <w:p w14:paraId="792AA4B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73FDA7D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656" w:type="dxa"/>
          </w:tcPr>
          <w:p w14:paraId="651BE4B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3500</w:t>
            </w:r>
          </w:p>
        </w:tc>
        <w:tc>
          <w:tcPr>
            <w:tcW w:w="1656" w:type="dxa"/>
          </w:tcPr>
          <w:p w14:paraId="7A2196E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c>
          <w:tcPr>
            <w:tcW w:w="1656" w:type="dxa"/>
          </w:tcPr>
          <w:p w14:paraId="75A6B04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1656" w:type="dxa"/>
          </w:tcPr>
          <w:p w14:paraId="16C63D0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w:t>
            </w:r>
          </w:p>
        </w:tc>
      </w:tr>
      <w:tr w:rsidR="00F26F01" w:rsidRPr="00C33834" w14:paraId="34928A3D" w14:textId="77777777">
        <w:tc>
          <w:tcPr>
            <w:tcW w:w="1656" w:type="dxa"/>
          </w:tcPr>
          <w:p w14:paraId="48020C4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М44</w:t>
            </w:r>
          </w:p>
        </w:tc>
        <w:tc>
          <w:tcPr>
            <w:tcW w:w="1656" w:type="dxa"/>
          </w:tcPr>
          <w:p w14:paraId="119E8AE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0A43FB8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656" w:type="dxa"/>
          </w:tcPr>
          <w:p w14:paraId="6D15B06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41C4B8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1700</w:t>
            </w:r>
          </w:p>
        </w:tc>
        <w:tc>
          <w:tcPr>
            <w:tcW w:w="1656" w:type="dxa"/>
          </w:tcPr>
          <w:p w14:paraId="7C89A52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4791847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080F6365" w14:textId="77777777">
        <w:tc>
          <w:tcPr>
            <w:tcW w:w="1656" w:type="dxa"/>
          </w:tcPr>
          <w:p w14:paraId="74CE1FE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М-48 (бензиновый)</w:t>
            </w:r>
          </w:p>
        </w:tc>
        <w:tc>
          <w:tcPr>
            <w:tcW w:w="1656" w:type="dxa"/>
          </w:tcPr>
          <w:p w14:paraId="22AB91C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воздушнное </w:t>
            </w:r>
          </w:p>
        </w:tc>
        <w:tc>
          <w:tcPr>
            <w:tcW w:w="1656" w:type="dxa"/>
          </w:tcPr>
          <w:p w14:paraId="2B05430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165-200</w:t>
            </w:r>
          </w:p>
        </w:tc>
        <w:tc>
          <w:tcPr>
            <w:tcW w:w="1656" w:type="dxa"/>
          </w:tcPr>
          <w:p w14:paraId="03EA6B4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656" w:type="dxa"/>
          </w:tcPr>
          <w:p w14:paraId="5322013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190</w:t>
            </w:r>
          </w:p>
        </w:tc>
        <w:tc>
          <w:tcPr>
            <w:tcW w:w="1656" w:type="dxa"/>
          </w:tcPr>
          <w:p w14:paraId="5A95A24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235</w:t>
            </w:r>
          </w:p>
        </w:tc>
        <w:tc>
          <w:tcPr>
            <w:tcW w:w="1656" w:type="dxa"/>
          </w:tcPr>
          <w:p w14:paraId="39803F7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w:t>
            </w:r>
          </w:p>
        </w:tc>
      </w:tr>
      <w:tr w:rsidR="00F26F01" w:rsidRPr="00C33834" w14:paraId="4F495570" w14:textId="77777777">
        <w:tc>
          <w:tcPr>
            <w:tcW w:w="1656" w:type="dxa"/>
          </w:tcPr>
          <w:p w14:paraId="5164BEC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М38 с нагнетателем</w:t>
            </w:r>
          </w:p>
        </w:tc>
        <w:tc>
          <w:tcPr>
            <w:tcW w:w="1656" w:type="dxa"/>
          </w:tcPr>
          <w:p w14:paraId="20F7D52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воздушнное </w:t>
            </w:r>
          </w:p>
        </w:tc>
        <w:tc>
          <w:tcPr>
            <w:tcW w:w="1656" w:type="dxa"/>
          </w:tcPr>
          <w:p w14:paraId="5EB7F7A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1656" w:type="dxa"/>
          </w:tcPr>
          <w:p w14:paraId="52A3AE8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c>
          <w:tcPr>
            <w:tcW w:w="1656" w:type="dxa"/>
          </w:tcPr>
          <w:p w14:paraId="6C6A94F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1656" w:type="dxa"/>
          </w:tcPr>
          <w:p w14:paraId="4FE14BC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235</w:t>
            </w:r>
          </w:p>
        </w:tc>
        <w:tc>
          <w:tcPr>
            <w:tcW w:w="1656" w:type="dxa"/>
          </w:tcPr>
          <w:p w14:paraId="1124E3F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1934</w:t>
            </w:r>
          </w:p>
        </w:tc>
      </w:tr>
      <w:tr w:rsidR="00F26F01" w:rsidRPr="00C33834" w14:paraId="0C4AA6A4" w14:textId="77777777">
        <w:tc>
          <w:tcPr>
            <w:tcW w:w="1656" w:type="dxa"/>
          </w:tcPr>
          <w:p w14:paraId="4B5F8F1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М56 с нагнетателем</w:t>
            </w:r>
          </w:p>
        </w:tc>
        <w:tc>
          <w:tcPr>
            <w:tcW w:w="1656" w:type="dxa"/>
          </w:tcPr>
          <w:p w14:paraId="2C004FC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воздушнное </w:t>
            </w:r>
          </w:p>
        </w:tc>
        <w:tc>
          <w:tcPr>
            <w:tcW w:w="1656" w:type="dxa"/>
          </w:tcPr>
          <w:p w14:paraId="2302300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w:t>
            </w:r>
          </w:p>
        </w:tc>
        <w:tc>
          <w:tcPr>
            <w:tcW w:w="1656" w:type="dxa"/>
          </w:tcPr>
          <w:p w14:paraId="25F9847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1656" w:type="dxa"/>
          </w:tcPr>
          <w:p w14:paraId="705B8FB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w:t>
            </w:r>
          </w:p>
        </w:tc>
        <w:tc>
          <w:tcPr>
            <w:tcW w:w="1656" w:type="dxa"/>
          </w:tcPr>
          <w:p w14:paraId="03A61C9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16A3283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1934</w:t>
            </w:r>
          </w:p>
        </w:tc>
      </w:tr>
    </w:tbl>
    <w:p w14:paraId="26E7A13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 опытному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F26F01" w:rsidRPr="00C33834" w14:paraId="3A1ABD7A" w14:textId="77777777">
        <w:tc>
          <w:tcPr>
            <w:tcW w:w="1656" w:type="dxa"/>
          </w:tcPr>
          <w:p w14:paraId="1F1FB6C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 и тип самолета</w:t>
            </w:r>
          </w:p>
        </w:tc>
        <w:tc>
          <w:tcPr>
            <w:tcW w:w="1656" w:type="dxa"/>
          </w:tcPr>
          <w:p w14:paraId="1EB4ED2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Горизонтальная скорость км/час/ысота м</w:t>
            </w:r>
          </w:p>
        </w:tc>
        <w:tc>
          <w:tcPr>
            <w:tcW w:w="1656" w:type="dxa"/>
          </w:tcPr>
          <w:p w14:paraId="1DFAD5B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высота м</w:t>
            </w:r>
          </w:p>
        </w:tc>
        <w:tc>
          <w:tcPr>
            <w:tcW w:w="1656" w:type="dxa"/>
          </w:tcPr>
          <w:p w14:paraId="3AE5EAE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 нормальн./ с перегрузкой</w:t>
            </w:r>
          </w:p>
        </w:tc>
        <w:tc>
          <w:tcPr>
            <w:tcW w:w="1656" w:type="dxa"/>
          </w:tcPr>
          <w:p w14:paraId="217191D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Сбрасыв. грузов нормальн./с перегрузкой</w:t>
            </w:r>
          </w:p>
        </w:tc>
        <w:tc>
          <w:tcPr>
            <w:tcW w:w="1656" w:type="dxa"/>
          </w:tcPr>
          <w:p w14:paraId="1CF38FA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1656" w:type="dxa"/>
          </w:tcPr>
          <w:p w14:paraId="46DA271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прдъявления на испытание</w:t>
            </w:r>
          </w:p>
        </w:tc>
      </w:tr>
    </w:tbl>
    <w:p w14:paraId="2EE3D18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F26F01" w:rsidRPr="00C33834" w14:paraId="6CA32448" w14:textId="77777777">
        <w:tc>
          <w:tcPr>
            <w:tcW w:w="1656" w:type="dxa"/>
          </w:tcPr>
          <w:p w14:paraId="74EA0A9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бомбард. ТБ4 6М34</w:t>
            </w:r>
          </w:p>
        </w:tc>
        <w:tc>
          <w:tcPr>
            <w:tcW w:w="1656" w:type="dxa"/>
          </w:tcPr>
          <w:p w14:paraId="51A47DC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1656" w:type="dxa"/>
          </w:tcPr>
          <w:p w14:paraId="2E79DCC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1417EC4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1656" w:type="dxa"/>
          </w:tcPr>
          <w:p w14:paraId="74D030C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1EC9CC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пулеметов</w:t>
            </w:r>
          </w:p>
          <w:p w14:paraId="1D4797F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пушки</w:t>
            </w:r>
          </w:p>
        </w:tc>
        <w:tc>
          <w:tcPr>
            <w:tcW w:w="1656" w:type="dxa"/>
          </w:tcPr>
          <w:p w14:paraId="5E9DF3E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августа 1933</w:t>
            </w:r>
          </w:p>
        </w:tc>
      </w:tr>
      <w:tr w:rsidR="00F26F01" w:rsidRPr="00C33834" w14:paraId="4F937CA5" w14:textId="77777777">
        <w:tc>
          <w:tcPr>
            <w:tcW w:w="1656" w:type="dxa"/>
          </w:tcPr>
          <w:p w14:paraId="49B3DAE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бомбард. ТБ3-4М34НР</w:t>
            </w:r>
          </w:p>
        </w:tc>
        <w:tc>
          <w:tcPr>
            <w:tcW w:w="1656" w:type="dxa"/>
          </w:tcPr>
          <w:p w14:paraId="13E2071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260/5000</w:t>
            </w:r>
          </w:p>
        </w:tc>
        <w:tc>
          <w:tcPr>
            <w:tcW w:w="1656" w:type="dxa"/>
          </w:tcPr>
          <w:p w14:paraId="6137E80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38CC73F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1200/1500</w:t>
            </w:r>
          </w:p>
        </w:tc>
        <w:tc>
          <w:tcPr>
            <w:tcW w:w="1656" w:type="dxa"/>
          </w:tcPr>
          <w:p w14:paraId="1689790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1500/1000</w:t>
            </w:r>
          </w:p>
        </w:tc>
        <w:tc>
          <w:tcPr>
            <w:tcW w:w="1656" w:type="dxa"/>
          </w:tcPr>
          <w:p w14:paraId="32F531D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 пулеметов</w:t>
            </w:r>
          </w:p>
        </w:tc>
        <w:tc>
          <w:tcPr>
            <w:tcW w:w="1656" w:type="dxa"/>
          </w:tcPr>
          <w:p w14:paraId="03863B0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6F65F0C" w14:textId="77777777">
        <w:tc>
          <w:tcPr>
            <w:tcW w:w="1656" w:type="dxa"/>
          </w:tcPr>
          <w:p w14:paraId="68219E8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Многомест. истреб. МИ3-2М34</w:t>
            </w:r>
          </w:p>
        </w:tc>
        <w:tc>
          <w:tcPr>
            <w:tcW w:w="1656" w:type="dxa"/>
          </w:tcPr>
          <w:p w14:paraId="6CCAAF8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300/5000</w:t>
            </w:r>
          </w:p>
        </w:tc>
        <w:tc>
          <w:tcPr>
            <w:tcW w:w="1656" w:type="dxa"/>
          </w:tcPr>
          <w:p w14:paraId="36BCA0C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15/5000</w:t>
            </w:r>
          </w:p>
        </w:tc>
        <w:tc>
          <w:tcPr>
            <w:tcW w:w="1656" w:type="dxa"/>
          </w:tcPr>
          <w:p w14:paraId="7D70470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656" w:type="dxa"/>
          </w:tcPr>
          <w:p w14:paraId="5762EBB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08F94FE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пулеметов</w:t>
            </w:r>
          </w:p>
          <w:p w14:paraId="5F7B1FE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пушка</w:t>
            </w:r>
          </w:p>
        </w:tc>
        <w:tc>
          <w:tcPr>
            <w:tcW w:w="1656" w:type="dxa"/>
          </w:tcPr>
          <w:p w14:paraId="118358E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7ED50D2" w14:textId="77777777">
        <w:tc>
          <w:tcPr>
            <w:tcW w:w="1656" w:type="dxa"/>
          </w:tcPr>
          <w:p w14:paraId="64A933F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Морской крейсер МК1-6М34НР</w:t>
            </w:r>
          </w:p>
        </w:tc>
        <w:tc>
          <w:tcPr>
            <w:tcW w:w="1656" w:type="dxa"/>
          </w:tcPr>
          <w:p w14:paraId="4A3C48A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230/4000</w:t>
            </w:r>
          </w:p>
        </w:tc>
        <w:tc>
          <w:tcPr>
            <w:tcW w:w="1656" w:type="dxa"/>
          </w:tcPr>
          <w:p w14:paraId="05BBFD0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17E768B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750/1200</w:t>
            </w:r>
          </w:p>
        </w:tc>
        <w:tc>
          <w:tcPr>
            <w:tcW w:w="1656" w:type="dxa"/>
          </w:tcPr>
          <w:p w14:paraId="23A7EBA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3500/1800</w:t>
            </w:r>
          </w:p>
        </w:tc>
        <w:tc>
          <w:tcPr>
            <w:tcW w:w="1656" w:type="dxa"/>
          </w:tcPr>
          <w:p w14:paraId="7C09071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0162D76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961F5ED" w14:textId="77777777">
        <w:tc>
          <w:tcPr>
            <w:tcW w:w="1656" w:type="dxa"/>
          </w:tcPr>
          <w:p w14:paraId="7642650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Морской дальний разведчик МДР4-3М34НР</w:t>
            </w:r>
          </w:p>
        </w:tc>
        <w:tc>
          <w:tcPr>
            <w:tcW w:w="1656" w:type="dxa"/>
          </w:tcPr>
          <w:p w14:paraId="6C2B841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215-225/3600</w:t>
            </w:r>
          </w:p>
        </w:tc>
        <w:tc>
          <w:tcPr>
            <w:tcW w:w="1656" w:type="dxa"/>
          </w:tcPr>
          <w:p w14:paraId="5C76E3E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20/3000</w:t>
            </w:r>
          </w:p>
        </w:tc>
        <w:tc>
          <w:tcPr>
            <w:tcW w:w="1656" w:type="dxa"/>
          </w:tcPr>
          <w:p w14:paraId="58112F3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750/1250</w:t>
            </w:r>
          </w:p>
        </w:tc>
        <w:tc>
          <w:tcPr>
            <w:tcW w:w="1656" w:type="dxa"/>
          </w:tcPr>
          <w:p w14:paraId="264E24B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656" w:type="dxa"/>
          </w:tcPr>
          <w:p w14:paraId="1EE2FCA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0503AF1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2C0131A" w14:textId="77777777">
        <w:tc>
          <w:tcPr>
            <w:tcW w:w="1656" w:type="dxa"/>
          </w:tcPr>
          <w:p w14:paraId="3E2471B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Легкий разведчик ЛР-М34</w:t>
            </w:r>
          </w:p>
        </w:tc>
        <w:tc>
          <w:tcPr>
            <w:tcW w:w="1656" w:type="dxa"/>
          </w:tcPr>
          <w:p w14:paraId="172C6E8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310/5000</w:t>
            </w:r>
          </w:p>
        </w:tc>
        <w:tc>
          <w:tcPr>
            <w:tcW w:w="1656" w:type="dxa"/>
          </w:tcPr>
          <w:p w14:paraId="1E99D99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13/5000</w:t>
            </w:r>
          </w:p>
        </w:tc>
        <w:tc>
          <w:tcPr>
            <w:tcW w:w="1656" w:type="dxa"/>
          </w:tcPr>
          <w:p w14:paraId="0F3E0CF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400/700</w:t>
            </w:r>
          </w:p>
        </w:tc>
        <w:tc>
          <w:tcPr>
            <w:tcW w:w="1656" w:type="dxa"/>
          </w:tcPr>
          <w:p w14:paraId="5A842AA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656" w:type="dxa"/>
          </w:tcPr>
          <w:p w14:paraId="1B65617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Легк. и тяж. пул. </w:t>
            </w:r>
          </w:p>
        </w:tc>
        <w:tc>
          <w:tcPr>
            <w:tcW w:w="1656" w:type="dxa"/>
          </w:tcPr>
          <w:p w14:paraId="1B583A4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48BE551" w14:textId="77777777">
        <w:tc>
          <w:tcPr>
            <w:tcW w:w="1656" w:type="dxa"/>
          </w:tcPr>
          <w:p w14:paraId="3DA9A27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штурмовик ТШ3-М34</w:t>
            </w:r>
          </w:p>
        </w:tc>
        <w:tc>
          <w:tcPr>
            <w:tcW w:w="1656" w:type="dxa"/>
          </w:tcPr>
          <w:p w14:paraId="2FCA76C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250/0</w:t>
            </w:r>
          </w:p>
        </w:tc>
        <w:tc>
          <w:tcPr>
            <w:tcW w:w="1656" w:type="dxa"/>
          </w:tcPr>
          <w:p w14:paraId="053BE8C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11/3000</w:t>
            </w:r>
          </w:p>
        </w:tc>
        <w:tc>
          <w:tcPr>
            <w:tcW w:w="1656" w:type="dxa"/>
          </w:tcPr>
          <w:p w14:paraId="665D88A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1656" w:type="dxa"/>
          </w:tcPr>
          <w:p w14:paraId="2D51877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2BC72E5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пулеметов</w:t>
            </w:r>
          </w:p>
        </w:tc>
        <w:tc>
          <w:tcPr>
            <w:tcW w:w="1656" w:type="dxa"/>
          </w:tcPr>
          <w:p w14:paraId="134A4D8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101FA7E" w14:textId="77777777">
        <w:tc>
          <w:tcPr>
            <w:tcW w:w="1656" w:type="dxa"/>
          </w:tcPr>
          <w:p w14:paraId="25E928A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 истреб. И14 Бристоль Меркур</w:t>
            </w:r>
          </w:p>
        </w:tc>
        <w:tc>
          <w:tcPr>
            <w:tcW w:w="1656" w:type="dxa"/>
          </w:tcPr>
          <w:p w14:paraId="7CC9221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400/5000</w:t>
            </w:r>
          </w:p>
        </w:tc>
        <w:tc>
          <w:tcPr>
            <w:tcW w:w="1656" w:type="dxa"/>
          </w:tcPr>
          <w:p w14:paraId="4B2D0E7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7/5000</w:t>
            </w:r>
          </w:p>
        </w:tc>
        <w:tc>
          <w:tcPr>
            <w:tcW w:w="1656" w:type="dxa"/>
          </w:tcPr>
          <w:p w14:paraId="1A90C3E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656" w:type="dxa"/>
          </w:tcPr>
          <w:p w14:paraId="3EB7174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1104F3C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Пушки</w:t>
            </w:r>
          </w:p>
        </w:tc>
        <w:tc>
          <w:tcPr>
            <w:tcW w:w="1656" w:type="dxa"/>
          </w:tcPr>
          <w:p w14:paraId="060821B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B5F55A8" w14:textId="77777777">
        <w:tc>
          <w:tcPr>
            <w:tcW w:w="1656" w:type="dxa"/>
          </w:tcPr>
          <w:p w14:paraId="43F3702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 истреб. И14 Райт-Циклон</w:t>
            </w:r>
          </w:p>
        </w:tc>
        <w:tc>
          <w:tcPr>
            <w:tcW w:w="1656" w:type="dxa"/>
          </w:tcPr>
          <w:p w14:paraId="6D22E48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400/5000</w:t>
            </w:r>
          </w:p>
        </w:tc>
        <w:tc>
          <w:tcPr>
            <w:tcW w:w="1656" w:type="dxa"/>
          </w:tcPr>
          <w:p w14:paraId="6EA6229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7/5000</w:t>
            </w:r>
          </w:p>
        </w:tc>
        <w:tc>
          <w:tcPr>
            <w:tcW w:w="1656" w:type="dxa"/>
          </w:tcPr>
          <w:p w14:paraId="7689544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656" w:type="dxa"/>
          </w:tcPr>
          <w:p w14:paraId="0D72A01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0173DDF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Пушки</w:t>
            </w:r>
          </w:p>
        </w:tc>
        <w:tc>
          <w:tcPr>
            <w:tcW w:w="1656" w:type="dxa"/>
          </w:tcPr>
          <w:p w14:paraId="5517C14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D7954AA" w14:textId="77777777">
        <w:tc>
          <w:tcPr>
            <w:tcW w:w="1656" w:type="dxa"/>
          </w:tcPr>
          <w:p w14:paraId="6365D33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 истреб. И15 Райт-Циклон</w:t>
            </w:r>
          </w:p>
        </w:tc>
        <w:tc>
          <w:tcPr>
            <w:tcW w:w="1656" w:type="dxa"/>
          </w:tcPr>
          <w:p w14:paraId="5463CB6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400/5000</w:t>
            </w:r>
          </w:p>
        </w:tc>
        <w:tc>
          <w:tcPr>
            <w:tcW w:w="1656" w:type="dxa"/>
          </w:tcPr>
          <w:p w14:paraId="137E142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7/5000</w:t>
            </w:r>
          </w:p>
        </w:tc>
        <w:tc>
          <w:tcPr>
            <w:tcW w:w="1656" w:type="dxa"/>
          </w:tcPr>
          <w:p w14:paraId="66D782F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656" w:type="dxa"/>
          </w:tcPr>
          <w:p w14:paraId="74C922E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634D404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пулемета</w:t>
            </w:r>
          </w:p>
        </w:tc>
        <w:tc>
          <w:tcPr>
            <w:tcW w:w="1656" w:type="dxa"/>
          </w:tcPr>
          <w:p w14:paraId="25A7B28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001E66A" w14:textId="77777777">
        <w:tc>
          <w:tcPr>
            <w:tcW w:w="1656" w:type="dxa"/>
          </w:tcPr>
          <w:p w14:paraId="22B1D34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Одноместн. истреб. И15 М58</w:t>
            </w:r>
          </w:p>
        </w:tc>
        <w:tc>
          <w:tcPr>
            <w:tcW w:w="1656" w:type="dxa"/>
          </w:tcPr>
          <w:p w14:paraId="1B0221C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400/5000</w:t>
            </w:r>
          </w:p>
        </w:tc>
        <w:tc>
          <w:tcPr>
            <w:tcW w:w="1656" w:type="dxa"/>
          </w:tcPr>
          <w:p w14:paraId="3BD5CB5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7/5000</w:t>
            </w:r>
          </w:p>
        </w:tc>
        <w:tc>
          <w:tcPr>
            <w:tcW w:w="1656" w:type="dxa"/>
          </w:tcPr>
          <w:p w14:paraId="13E6CDD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656" w:type="dxa"/>
          </w:tcPr>
          <w:p w14:paraId="1873163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1227C11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пулемета</w:t>
            </w:r>
          </w:p>
        </w:tc>
        <w:tc>
          <w:tcPr>
            <w:tcW w:w="1656" w:type="dxa"/>
          </w:tcPr>
          <w:p w14:paraId="1A26DD3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CE6C3EA" w14:textId="77777777">
        <w:tc>
          <w:tcPr>
            <w:tcW w:w="1656" w:type="dxa"/>
          </w:tcPr>
          <w:p w14:paraId="43F1635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Морской ближний разведчик МБР4-М34 (С62)</w:t>
            </w:r>
          </w:p>
        </w:tc>
        <w:tc>
          <w:tcPr>
            <w:tcW w:w="1656" w:type="dxa"/>
          </w:tcPr>
          <w:p w14:paraId="1E7E1ED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6770C93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6CE4DB0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22B4CD9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0D40703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C1E2E6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2BF6BF2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Экспериментальные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F26F01" w:rsidRPr="00C33834" w14:paraId="097C851F" w14:textId="77777777">
        <w:tc>
          <w:tcPr>
            <w:tcW w:w="1656" w:type="dxa"/>
          </w:tcPr>
          <w:p w14:paraId="340FF82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Сухопутный крейсер СК1-2М34 (или М34)</w:t>
            </w:r>
          </w:p>
        </w:tc>
        <w:tc>
          <w:tcPr>
            <w:tcW w:w="1656" w:type="dxa"/>
          </w:tcPr>
          <w:p w14:paraId="63B0113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300/5000</w:t>
            </w:r>
          </w:p>
        </w:tc>
        <w:tc>
          <w:tcPr>
            <w:tcW w:w="1656" w:type="dxa"/>
          </w:tcPr>
          <w:p w14:paraId="7490458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5DC8969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600/1000</w:t>
            </w:r>
          </w:p>
        </w:tc>
        <w:tc>
          <w:tcPr>
            <w:tcW w:w="1656" w:type="dxa"/>
          </w:tcPr>
          <w:p w14:paraId="73455E5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656" w:type="dxa"/>
          </w:tcPr>
          <w:p w14:paraId="474120B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Легк. и тяж. пул. </w:t>
            </w:r>
          </w:p>
        </w:tc>
        <w:tc>
          <w:tcPr>
            <w:tcW w:w="1656" w:type="dxa"/>
          </w:tcPr>
          <w:p w14:paraId="2892240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9A8BADC" w14:textId="77777777">
        <w:tc>
          <w:tcPr>
            <w:tcW w:w="1656" w:type="dxa"/>
          </w:tcPr>
          <w:p w14:paraId="090BBDA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Войсковой самолет ВС2-М22</w:t>
            </w:r>
          </w:p>
        </w:tc>
        <w:tc>
          <w:tcPr>
            <w:tcW w:w="1656" w:type="dxa"/>
          </w:tcPr>
          <w:p w14:paraId="227826E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250/3000</w:t>
            </w:r>
          </w:p>
        </w:tc>
        <w:tc>
          <w:tcPr>
            <w:tcW w:w="1656" w:type="dxa"/>
          </w:tcPr>
          <w:p w14:paraId="767A622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12/3000</w:t>
            </w:r>
          </w:p>
        </w:tc>
        <w:tc>
          <w:tcPr>
            <w:tcW w:w="1656" w:type="dxa"/>
          </w:tcPr>
          <w:p w14:paraId="50158A3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350/6000</w:t>
            </w:r>
          </w:p>
        </w:tc>
        <w:tc>
          <w:tcPr>
            <w:tcW w:w="1656" w:type="dxa"/>
          </w:tcPr>
          <w:p w14:paraId="6564B54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300/500</w:t>
            </w:r>
          </w:p>
        </w:tc>
        <w:tc>
          <w:tcPr>
            <w:tcW w:w="1656" w:type="dxa"/>
          </w:tcPr>
          <w:p w14:paraId="638C29D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 пул.</w:t>
            </w:r>
          </w:p>
        </w:tc>
        <w:tc>
          <w:tcPr>
            <w:tcW w:w="1656" w:type="dxa"/>
          </w:tcPr>
          <w:p w14:paraId="132DA89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1934</w:t>
            </w:r>
          </w:p>
        </w:tc>
      </w:tr>
      <w:tr w:rsidR="00F26F01" w:rsidRPr="00C33834" w14:paraId="06001F90" w14:textId="77777777">
        <w:tc>
          <w:tcPr>
            <w:tcW w:w="1656" w:type="dxa"/>
          </w:tcPr>
          <w:p w14:paraId="3915714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Двухместн. пушечн. истреб. ДИП-2М34 РН</w:t>
            </w:r>
          </w:p>
        </w:tc>
        <w:tc>
          <w:tcPr>
            <w:tcW w:w="1656" w:type="dxa"/>
          </w:tcPr>
          <w:p w14:paraId="06A66A3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325/5000</w:t>
            </w:r>
          </w:p>
        </w:tc>
        <w:tc>
          <w:tcPr>
            <w:tcW w:w="1656" w:type="dxa"/>
          </w:tcPr>
          <w:p w14:paraId="39464C4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15/5000</w:t>
            </w:r>
          </w:p>
        </w:tc>
        <w:tc>
          <w:tcPr>
            <w:tcW w:w="1656" w:type="dxa"/>
          </w:tcPr>
          <w:p w14:paraId="58E9EAE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300/500</w:t>
            </w:r>
          </w:p>
        </w:tc>
        <w:tc>
          <w:tcPr>
            <w:tcW w:w="1656" w:type="dxa"/>
          </w:tcPr>
          <w:p w14:paraId="20E5A45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24DD8FB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Пушки</w:t>
            </w:r>
          </w:p>
        </w:tc>
        <w:tc>
          <w:tcPr>
            <w:tcW w:w="1656" w:type="dxa"/>
          </w:tcPr>
          <w:p w14:paraId="62DE521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июня 1934 </w:t>
            </w:r>
          </w:p>
        </w:tc>
      </w:tr>
      <w:tr w:rsidR="00F26F01" w:rsidRPr="00C33834" w14:paraId="7831F5F7" w14:textId="77777777">
        <w:tc>
          <w:tcPr>
            <w:tcW w:w="1656" w:type="dxa"/>
          </w:tcPr>
          <w:p w14:paraId="4DC79DA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Двухместн. истреб. ДИ6 Райт-Циклон</w:t>
            </w:r>
          </w:p>
        </w:tc>
        <w:tc>
          <w:tcPr>
            <w:tcW w:w="1656" w:type="dxa"/>
          </w:tcPr>
          <w:p w14:paraId="7DF8987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375/5000</w:t>
            </w:r>
          </w:p>
        </w:tc>
        <w:tc>
          <w:tcPr>
            <w:tcW w:w="1656" w:type="dxa"/>
          </w:tcPr>
          <w:p w14:paraId="44FDE3E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9/5000</w:t>
            </w:r>
          </w:p>
        </w:tc>
        <w:tc>
          <w:tcPr>
            <w:tcW w:w="1656" w:type="dxa"/>
          </w:tcPr>
          <w:p w14:paraId="5B1DB4B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400/700</w:t>
            </w:r>
          </w:p>
        </w:tc>
        <w:tc>
          <w:tcPr>
            <w:tcW w:w="1656" w:type="dxa"/>
          </w:tcPr>
          <w:p w14:paraId="1DAAC47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656" w:type="dxa"/>
          </w:tcPr>
          <w:p w14:paraId="3B40105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Легк. и тяж. пул. </w:t>
            </w:r>
          </w:p>
        </w:tc>
        <w:tc>
          <w:tcPr>
            <w:tcW w:w="1656" w:type="dxa"/>
          </w:tcPr>
          <w:p w14:paraId="23BF2D1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1934</w:t>
            </w:r>
          </w:p>
        </w:tc>
      </w:tr>
      <w:tr w:rsidR="00F26F01" w:rsidRPr="00C33834" w14:paraId="097C118B" w14:textId="77777777">
        <w:tc>
          <w:tcPr>
            <w:tcW w:w="1656" w:type="dxa"/>
          </w:tcPr>
          <w:p w14:paraId="2FB5F56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бомбовоз К7-7М34</w:t>
            </w:r>
          </w:p>
        </w:tc>
        <w:tc>
          <w:tcPr>
            <w:tcW w:w="1656" w:type="dxa"/>
          </w:tcPr>
          <w:p w14:paraId="7295114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1656" w:type="dxa"/>
          </w:tcPr>
          <w:p w14:paraId="5BC4402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12DE327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656" w:type="dxa"/>
          </w:tcPr>
          <w:p w14:paraId="7142192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0FCCC46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3D97F41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августа 1933 </w:t>
            </w:r>
          </w:p>
        </w:tc>
      </w:tr>
      <w:tr w:rsidR="00F26F01" w:rsidRPr="00C33834" w14:paraId="7150FDB7" w14:textId="77777777">
        <w:tc>
          <w:tcPr>
            <w:tcW w:w="1656" w:type="dxa"/>
          </w:tcPr>
          <w:p w14:paraId="77B9A64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бомбовоз ТБ6</w:t>
            </w:r>
          </w:p>
        </w:tc>
        <w:tc>
          <w:tcPr>
            <w:tcW w:w="1656" w:type="dxa"/>
          </w:tcPr>
          <w:p w14:paraId="282D1F7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250/5000</w:t>
            </w:r>
          </w:p>
        </w:tc>
        <w:tc>
          <w:tcPr>
            <w:tcW w:w="1656" w:type="dxa"/>
          </w:tcPr>
          <w:p w14:paraId="661D66F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1103A47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1500/2000</w:t>
            </w:r>
          </w:p>
        </w:tc>
        <w:tc>
          <w:tcPr>
            <w:tcW w:w="1656" w:type="dxa"/>
          </w:tcPr>
          <w:p w14:paraId="53C92C7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тн</w:t>
            </w:r>
          </w:p>
        </w:tc>
        <w:tc>
          <w:tcPr>
            <w:tcW w:w="1656" w:type="dxa"/>
          </w:tcPr>
          <w:p w14:paraId="67BAC24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 пул. и пушки</w:t>
            </w:r>
          </w:p>
        </w:tc>
        <w:tc>
          <w:tcPr>
            <w:tcW w:w="1656" w:type="dxa"/>
          </w:tcPr>
          <w:p w14:paraId="02BB950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1935</w:t>
            </w:r>
          </w:p>
        </w:tc>
      </w:tr>
      <w:tr w:rsidR="00F26F01" w:rsidRPr="00C33834" w14:paraId="3C2E3F13" w14:textId="77777777">
        <w:tc>
          <w:tcPr>
            <w:tcW w:w="1656" w:type="dxa"/>
          </w:tcPr>
          <w:p w14:paraId="4B223CF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Скоростн. разведчик СР1-М58</w:t>
            </w:r>
          </w:p>
        </w:tc>
        <w:tc>
          <w:tcPr>
            <w:tcW w:w="1656" w:type="dxa"/>
          </w:tcPr>
          <w:p w14:paraId="7B896DE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425/4000</w:t>
            </w:r>
          </w:p>
        </w:tc>
        <w:tc>
          <w:tcPr>
            <w:tcW w:w="1656" w:type="dxa"/>
          </w:tcPr>
          <w:p w14:paraId="624AFEA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12/4000</w:t>
            </w:r>
          </w:p>
        </w:tc>
        <w:tc>
          <w:tcPr>
            <w:tcW w:w="1656" w:type="dxa"/>
          </w:tcPr>
          <w:p w14:paraId="721839B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656" w:type="dxa"/>
          </w:tcPr>
          <w:p w14:paraId="2669F9C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4AA0A71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10377FC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Через 6 месяцев после получения мотора</w:t>
            </w:r>
          </w:p>
        </w:tc>
      </w:tr>
      <w:tr w:rsidR="00F26F01" w:rsidRPr="00C33834" w14:paraId="3C95CEC4" w14:textId="77777777">
        <w:tc>
          <w:tcPr>
            <w:tcW w:w="1656" w:type="dxa"/>
          </w:tcPr>
          <w:p w14:paraId="55369BC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Стратосферный с-т</w:t>
            </w:r>
          </w:p>
        </w:tc>
        <w:tc>
          <w:tcPr>
            <w:tcW w:w="1656" w:type="dxa"/>
          </w:tcPr>
          <w:p w14:paraId="2B04413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5D46E63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03F9F8B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27C825B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445B495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D18D44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1934</w:t>
            </w:r>
          </w:p>
        </w:tc>
      </w:tr>
      <w:tr w:rsidR="00F26F01" w:rsidRPr="00C33834" w14:paraId="6C919960" w14:textId="77777777">
        <w:tc>
          <w:tcPr>
            <w:tcW w:w="1656" w:type="dxa"/>
          </w:tcPr>
          <w:p w14:paraId="5A29F69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Летающее крыло</w:t>
            </w:r>
          </w:p>
        </w:tc>
        <w:tc>
          <w:tcPr>
            <w:tcW w:w="1656" w:type="dxa"/>
          </w:tcPr>
          <w:p w14:paraId="16E6D4D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307FA32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2BA2FCB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26C5C16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0B98C2B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E71BDF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1934</w:t>
            </w:r>
          </w:p>
        </w:tc>
      </w:tr>
      <w:tr w:rsidR="00F26F01" w:rsidRPr="00C33834" w14:paraId="0960EDA8" w14:textId="77777777">
        <w:tc>
          <w:tcPr>
            <w:tcW w:w="1656" w:type="dxa"/>
          </w:tcPr>
          <w:p w14:paraId="28B5E06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Разрезное крыло сист. Кричевского</w:t>
            </w:r>
          </w:p>
        </w:tc>
        <w:tc>
          <w:tcPr>
            <w:tcW w:w="1656" w:type="dxa"/>
          </w:tcPr>
          <w:p w14:paraId="646E91E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00DF430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101A1DC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54F65AA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09FF9BF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2E0ED07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w:t>
            </w:r>
          </w:p>
        </w:tc>
      </w:tr>
      <w:tr w:rsidR="00F26F01" w:rsidRPr="00C33834" w14:paraId="618F23AF" w14:textId="77777777">
        <w:tc>
          <w:tcPr>
            <w:tcW w:w="1656" w:type="dxa"/>
          </w:tcPr>
          <w:p w14:paraId="6689F9E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Геликоптер ВГ2</w:t>
            </w:r>
          </w:p>
        </w:tc>
        <w:tc>
          <w:tcPr>
            <w:tcW w:w="1656" w:type="dxa"/>
          </w:tcPr>
          <w:p w14:paraId="5644214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0EBC7F6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0703C2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1CC084A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20AEB8E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69F7C6B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30 июля 1933 </w:t>
            </w:r>
          </w:p>
        </w:tc>
      </w:tr>
      <w:tr w:rsidR="00F26F01" w:rsidRPr="00C33834" w14:paraId="1B3574C0" w14:textId="77777777">
        <w:tc>
          <w:tcPr>
            <w:tcW w:w="1656" w:type="dxa"/>
          </w:tcPr>
          <w:p w14:paraId="4B58DC2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 М-22</w:t>
            </w:r>
          </w:p>
        </w:tc>
        <w:tc>
          <w:tcPr>
            <w:tcW w:w="1656" w:type="dxa"/>
          </w:tcPr>
          <w:p w14:paraId="2B03578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3A41C43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08103FB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26997B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57ED21F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3F3CD14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w:t>
            </w:r>
          </w:p>
        </w:tc>
      </w:tr>
      <w:tr w:rsidR="00F26F01" w:rsidRPr="00C33834" w14:paraId="1A6EE144" w14:textId="77777777">
        <w:tc>
          <w:tcPr>
            <w:tcW w:w="1656" w:type="dxa"/>
          </w:tcPr>
          <w:p w14:paraId="6CCCA91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Учебный самолет У3-М48</w:t>
            </w:r>
          </w:p>
        </w:tc>
        <w:tc>
          <w:tcPr>
            <w:tcW w:w="1656" w:type="dxa"/>
          </w:tcPr>
          <w:p w14:paraId="027EB75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180/1000</w:t>
            </w:r>
          </w:p>
        </w:tc>
        <w:tc>
          <w:tcPr>
            <w:tcW w:w="1656" w:type="dxa"/>
          </w:tcPr>
          <w:p w14:paraId="524B2C2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28E91DC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360</w:t>
            </w:r>
          </w:p>
        </w:tc>
        <w:tc>
          <w:tcPr>
            <w:tcW w:w="1656" w:type="dxa"/>
          </w:tcPr>
          <w:p w14:paraId="1228045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243BDF3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27EF17C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1934</w:t>
            </w:r>
          </w:p>
        </w:tc>
      </w:tr>
    </w:tbl>
    <w:p w14:paraId="2AC4B03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p w14:paraId="56A9F96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моторов и самолетов по группе опытных отнести к первоочередным и решающим объектам плана, обязав ГУАП выполнить все работы, предъявив моторы и самолеты в указанные сроки на гос. испытания.</w:t>
      </w:r>
    </w:p>
    <w:p w14:paraId="51D1340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отношении экспериментальных моторов и самолетов, указанные в плане сроки считать сроками предъявления на заводские испытания.</w:t>
      </w:r>
    </w:p>
    <w:p w14:paraId="61C54A4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 связи с необходимостью значительного увеличения радиусов действия нашей авиации, зависящих в основном от безотказности и надежности работы моторов, считать главнейшим требованием ко всем перечисленным выше моторам их надежную и безотказную работу (без замены каких-бы то ни было деталей) не менее 200 часов между переборками, а для М-34 однорядного и М48 не менее 300 часов.</w:t>
      </w:r>
    </w:p>
    <w:p w14:paraId="68BE806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При конструировании всех вышеперечисленных типов самолетов обратить особое внимание на скорейшее достижение:</w:t>
      </w:r>
    </w:p>
    <w:p w14:paraId="6F517CC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уменьшения мертвого веса конструкции, причем для бомбардировочных самолетов мертвый вес конструкции должен составлять не более 50% нормального полетного веса;</w:t>
      </w:r>
    </w:p>
    <w:p w14:paraId="242D04C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увеличения обтекаемости в целях увеличения горизонтальной скорости и</w:t>
      </w:r>
    </w:p>
    <w:p w14:paraId="6E1D5DD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уменьшения посадочной скорости до 50-60 км и достижения коэффициента посадочной скорости (соотношение между максимальной, горизонтальной и посадочной скоростью) не менее четырех.</w:t>
      </w:r>
    </w:p>
    <w:p w14:paraId="77A71F7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Сверх указанного плана обязать ГУАП построить эталон ТБ4 для серийного производства. Алкснису и Баранову установить технические требования для этого самолета и срок предъявления его на гос. испытания.</w:t>
      </w:r>
    </w:p>
    <w:p w14:paraId="616EB7A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Возложить персональную ответственность за выполнение утвержденного плана опытного строительства в обусловленные сроки на начальника ГУАП Баранова, а по мотору Н5 – на начальника техотдела ЭКУ ОГПУ Горянова.</w:t>
      </w:r>
    </w:p>
    <w:p w14:paraId="6F87532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Обязать ГУАП под личную ответственность Баранова форсировать изготовление и испытание невыключающегося нагнетателя для мотора М-34 в ЦИАМе и немедленно приступить к подготовке серийного производства нагнетателей и редукторов к этому мотору с таким расчетом, чтобы с 1 октября 1933 года выпускать мотор М34 с редуктором, а с 1 января 1934 года с нагнетателем в качестве, потребном НКВМ.</w:t>
      </w:r>
    </w:p>
    <w:p w14:paraId="358E242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В целях своевременной постройки опытных образцов самолетов под мотор «Райт-Циклон» и мотор «Кертисс» типа - 1800 и внедрения этих типов в серийное производство ко времени выпуска на советских заводах моторов «Райт-Циклон» и «Кертисс» по лицензии, закупить немедленно 30 моторов «Райт-Циклон» и 20 моторов «Кертисс». –1800 с необходимым количеством запчастей и инструментов.</w:t>
      </w:r>
    </w:p>
    <w:p w14:paraId="290E11D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Реализацию покупки моторов возложить на НКТП с отпуском для этой цели необходимых средств в инвалюте из резервного фонда Совнаркома.</w:t>
      </w:r>
    </w:p>
    <w:p w14:paraId="1BCF098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Начальнику ГУАП Баранову принять все меры к использованию техпомощи фирмы «Райт-Кертисс» и по подготовке производства моторов «Райт-Циклон» и «Кертисс» -1800 в обусловленные договором сроки.</w:t>
      </w:r>
    </w:p>
    <w:p w14:paraId="70AD17C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ходе реализации договора на техпомощь на моторы «Райт-Циклон» и «Кертисс» , хода подготовки производства указанных моторов на советских заводах и заключении договора на поставку 50 моторов (30 моторов «Райт-Циклон» и 20 «Кертисс») и о реализации этого договора Баранову и Алкснису ежеквартально докладывать НКТП Орджоникидзе и НКВМ Ворошилову.</w:t>
      </w:r>
    </w:p>
    <w:p w14:paraId="3B76B6D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Предложить Баранову ознакомиться с работами группы Проскура-Майзель в Харьковском институте Промэнергетики на предмет ее выделения в самостоятельное научно-исследовательское и опытное бюро по конструированию и постройке нагнетателей для авиамоторов.</w:t>
      </w:r>
    </w:p>
    <w:p w14:paraId="545125C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Свои конкретные предложения, согласованные с начальником ВВС, доложить КО в месячный срок.</w:t>
      </w:r>
    </w:p>
    <w:p w14:paraId="48223A2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В целях ………………………….. обязать НКАП под персональную ответственность Баранова организовать на одном из незамерзающих морей мощное КБ по созданию новых типов самолетов.</w:t>
      </w:r>
    </w:p>
    <w:p w14:paraId="641E9AC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Баранову, Алкснису и Орлову в двухмесячный срок ………….. по этому вопросу в КО конкретные, согласованные предложения.</w:t>
      </w:r>
    </w:p>
    <w:p w14:paraId="05239FC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Впредь до перевода КБ по опытному гидросамолетостроению на одно из незамерзающих морей обязать Баранова, выделить внутри ЦАГИ и 39 завода всех конструкторов по гидросамолетостроению в самостоятельные конструкторские бюро, с непосредственным подчинением главных конструкторов начальнику ЦАГИ и директору завода № 39 по принадлежности.</w:t>
      </w:r>
    </w:p>
    <w:p w14:paraId="42B4671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Начальнику ГУАП принять все меры к окончанию организации и усилению конструкторских бюро на серийных заводах для усовершенствования и модернизации самолетов и моторов.</w:t>
      </w:r>
    </w:p>
    <w:p w14:paraId="1DE384C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11-а. Обязать начальника ГУАП Баранова образовать специальное КБ с придачей ему 25-го авиазавода во главе с директором Фрадкиным, главным артиллерийским инженером Курчевским и главным авиаинженером Григоровичем. Откомандировать в состав этого КБ Петрова (ОГПУ), Агокаса (ГУАП) и Козлова (ВВА по совместительству). Задачей КБ поставить постройку мощного артиллерийского самолета.</w:t>
      </w:r>
    </w:p>
    <w:p w14:paraId="3C6941D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Возложить на начальника ГУАП Баранова подготовку производства в 1934 году стандартного типа ТБ3 и АНТ-14 ………….. бомбардировщика и тяжелого штурмовика, приспособленных для почтовой и пассажирской эксплоатации ГВФ.</w:t>
      </w:r>
    </w:p>
    <w:p w14:paraId="2D10ECB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Обязать начальника ГУАП Баранова внедрить в серийное производство скоростной пассажирский самолет ХАИ с 1 января 1934 года ……………………….</w:t>
      </w:r>
    </w:p>
    <w:p w14:paraId="7D56071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Обязать ГУАП обеспечить предъявление на гос. испытание окончательного образца турели под пулемет «ШКАС» к 25 августа 1933 года; самолетной установки для крупнокалиберного пулемета «ШВАК» к 15 октября 1933 года; установки для 20 мм автоматической пушки – 1 октября 1933 года; установки для 37 мм автоматической пушки к 1 января 1934 года и в течение 1933 года закончить разработку бомбовых блоков со свободной подвеской бомб, оборудуя впредь все новые самолеты этими типами балок.</w:t>
      </w:r>
    </w:p>
    <w:p w14:paraId="685BCD2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Обязать начальника ГУГВФ Гольцмана, самовольно прекратившего работу по плану опытного строительства ВВС, утвержденного КО от 4 июля 1932 года, в части, касающейся ГУГВФ в декадный срок представить новые сроки предъявления этих опытных самолетов на гос. испытание, согласованные с начальником ВВС.</w:t>
      </w:r>
    </w:p>
    <w:p w14:paraId="24DB626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(председатель КО Молотов-Скрябин) (4223, 9-12).</w:t>
      </w:r>
    </w:p>
    <w:p w14:paraId="0F5B23E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367DDD0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августа 1933 г. Начальник НИИ ВВС Зильберт утвердил Отчет об испытаниях турельных авиационных пулеметов калибра 7,62 мм ШКАС-МК-1933 г. за NN 114, 116, 156 и 160</w:t>
      </w:r>
    </w:p>
    <w:p w14:paraId="1595AD5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Испытуемые образцы изготовлены отделом опытных работ Тульского оружейного завода.</w:t>
      </w:r>
    </w:p>
    <w:p w14:paraId="2A279AE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 составлен конструкторами Шпитальным и Комарицким.</w:t>
      </w:r>
    </w:p>
    <w:p w14:paraId="4C6D6D0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началось 8 июля 1933 года</w:t>
      </w:r>
    </w:p>
    <w:p w14:paraId="1CFC5D5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закончено 28 июля 1933 года.</w:t>
      </w:r>
    </w:p>
    <w:p w14:paraId="18969EF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полете образцы испытаны на самолете Р-5.</w:t>
      </w:r>
    </w:p>
    <w:p w14:paraId="655E207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 Уроничев К.А.</w:t>
      </w:r>
    </w:p>
    <w:p w14:paraId="67100C7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Выводы</w:t>
      </w:r>
    </w:p>
    <w:p w14:paraId="6DBACA2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Пулеметы отправить в Отдел опытных работ ТОЗ"а для доработки (3053).</w:t>
      </w:r>
    </w:p>
    <w:p w14:paraId="31EB333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7EE84B06" w14:textId="77777777" w:rsidR="00BD04CA" w:rsidRPr="00C33834" w:rsidRDefault="00BD04C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26 августа 1933 в 4.28 дирижабль «СССР В-1» вылетел на Мо</w:t>
      </w:r>
      <w:r w:rsidRPr="00C33834">
        <w:rPr>
          <w:rFonts w:ascii="Times New Roman" w:hAnsi="Times New Roman"/>
          <w:color w:val="0070C0"/>
          <w:sz w:val="16"/>
          <w:szCs w:val="16"/>
        </w:rPr>
        <w:softHyphen/>
        <w:t>скву. В ходе перелёта «СССР В-1» пробыл в воз</w:t>
      </w:r>
      <w:r w:rsidRPr="00C33834">
        <w:rPr>
          <w:rFonts w:ascii="Times New Roman" w:hAnsi="Times New Roman"/>
          <w:color w:val="0070C0"/>
          <w:sz w:val="16"/>
          <w:szCs w:val="16"/>
        </w:rPr>
        <w:softHyphen/>
        <w:t>духе в общей сложности 68 ч 17 мин, его экипаж получил практику полётов над морем, пере</w:t>
      </w:r>
      <w:r w:rsidRPr="00C33834">
        <w:rPr>
          <w:rFonts w:ascii="Times New Roman" w:hAnsi="Times New Roman"/>
          <w:color w:val="0070C0"/>
          <w:sz w:val="16"/>
          <w:szCs w:val="16"/>
        </w:rPr>
        <w:softHyphen/>
        <w:t>сечённой местностью, в тумане, по компасному курсу без ориентиров. В районе Курской маг</w:t>
      </w:r>
      <w:r w:rsidRPr="00C33834">
        <w:rPr>
          <w:rFonts w:ascii="Times New Roman" w:hAnsi="Times New Roman"/>
          <w:color w:val="0070C0"/>
          <w:sz w:val="16"/>
          <w:szCs w:val="16"/>
        </w:rPr>
        <w:softHyphen/>
        <w:t>нитной аномалии наблюдались колебания стрел</w:t>
      </w:r>
      <w:r w:rsidRPr="00C33834">
        <w:rPr>
          <w:rFonts w:ascii="Times New Roman" w:hAnsi="Times New Roman"/>
          <w:color w:val="0070C0"/>
          <w:sz w:val="16"/>
          <w:szCs w:val="16"/>
        </w:rPr>
        <w:softHyphen/>
        <w:t>ки компаса, доходившие до 20-30° (20120).</w:t>
      </w:r>
    </w:p>
    <w:p w14:paraId="30931B0B" w14:textId="77777777" w:rsidR="00BD04CA" w:rsidRPr="00C33834" w:rsidRDefault="00BD04CA" w:rsidP="00C33834">
      <w:pPr>
        <w:spacing w:after="0" w:line="240" w:lineRule="auto"/>
        <w:jc w:val="both"/>
        <w:rPr>
          <w:rFonts w:ascii="Times New Roman" w:hAnsi="Times New Roman"/>
          <w:color w:val="0070C0"/>
          <w:sz w:val="16"/>
          <w:szCs w:val="16"/>
        </w:rPr>
      </w:pPr>
    </w:p>
    <w:p w14:paraId="271852B2"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6B29335B"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6A408D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августа 1933 года на НИАП прибыл опытный образец 100-мм зенитной пушки для ГАУ (Б-14С), который был изготовлен первым. Для испытаний Б-14 на НИАП было доставлено 549 лафето-пробных снарядов чертежа 4472 и 200 стержневых шрапнелей чертежа 4765 (3861).</w:t>
      </w:r>
    </w:p>
    <w:p w14:paraId="7DF417C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1840971E" w14:textId="77777777" w:rsidR="00D142A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0F2165F" w14:textId="77777777" w:rsidR="00D142A2" w:rsidRPr="00C33834" w:rsidRDefault="00D142A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250DE07" w14:textId="77777777" w:rsidR="00D142A2" w:rsidRPr="00C33834" w:rsidRDefault="00D142A2"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 xml:space="preserve">27 августа </w:t>
      </w:r>
      <w:r w:rsidRPr="00C33834">
        <w:rPr>
          <w:rStyle w:val="ucoz-forum-post"/>
          <w:rFonts w:ascii="Times New Roman" w:eastAsiaTheme="majorEastAsia" w:hAnsi="Times New Roman"/>
          <w:color w:val="000000" w:themeColor="text1"/>
          <w:sz w:val="16"/>
          <w:szCs w:val="16"/>
        </w:rPr>
        <w:t>1933. Состоялся первый полет истребителя И-12 (АНТ-23), И.Ф.Козлов  (14751).</w:t>
      </w:r>
    </w:p>
    <w:p w14:paraId="53629021" w14:textId="77777777" w:rsidR="00D142A2" w:rsidRPr="00C33834" w:rsidRDefault="00D142A2" w:rsidP="00C33834">
      <w:pPr>
        <w:spacing w:after="0" w:line="240" w:lineRule="auto"/>
        <w:jc w:val="both"/>
        <w:rPr>
          <w:rFonts w:ascii="Times New Roman" w:hAnsi="Times New Roman"/>
          <w:color w:val="000000" w:themeColor="text1"/>
          <w:sz w:val="16"/>
          <w:szCs w:val="16"/>
        </w:rPr>
      </w:pPr>
    </w:p>
    <w:p w14:paraId="07402246"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426F9A91"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E897CE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27 августа 1934 г. Мытищинским заводом было подготовлено два опытных вагона, которые были направлены на завод «Динамо», где было смонтировано электротехническое оборудование и аппаратура. Там же вагоны были опробованы, прошли обкатку и 14 октября 1934 г. были отправлены на метрополитен. 15 октября первая секция прибыла в депо «Северное». Первый вагон был опробован со скоростью около 25 км/ч с пассажирами, которыми были работники заводов-изготовителей Мытищинского машиностроительного, Московского тормозного и завода «Динамо». Среди первых пассажиров были также специалисты метростроя. Первые вагоны получили названия «ММ-1 моторный» и «МП-1001 прицепной» типа «А». </w:t>
      </w:r>
    </w:p>
    <w:p w14:paraId="0B8A582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 дню открытия VII съезда Советов 25 января 1935 г. Мытищинский завод выпустил первые 40 вагонов, обеспечив тем самым своевременное открытие движения на метрополитене. В процессе эксплуатации и доводки первые вагоны типа «А» и «Б» были значительно модернизированы, особенно усовершенствована их электрическая схема. Эксплуатация показала высокую надежность и долговечность вагонов. Срок их эксплуатации был определен в 50 лет. Вагоны обеспечивали устойчивый пробег без капитального ремонта 2,5 млн. км. </w:t>
      </w:r>
    </w:p>
    <w:p w14:paraId="5565AC8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Серьезным недостатком конструкции первых вагонов было несовершенство конструкции автотормозов. Торможение было пневматическим, производилось за счет трения колодок о бандажи колес (электротормоз был внедрен позднее). Недостаточна была и электрическая защита от токов перегрузки и коротких замыканий (11613).</w:t>
      </w:r>
    </w:p>
    <w:p w14:paraId="3897E23A" w14:textId="77777777" w:rsidR="00FD662C" w:rsidRPr="00C33834" w:rsidRDefault="00FD662C"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CE8D3C"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00CF92F"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D2AB46C" w14:textId="77777777" w:rsidR="00BD04CA" w:rsidRPr="00C33834" w:rsidRDefault="00BD04CA" w:rsidP="00C33834">
      <w:pPr>
        <w:spacing w:after="0" w:line="240" w:lineRule="auto"/>
        <w:jc w:val="both"/>
        <w:rPr>
          <w:rFonts w:ascii="Times New Roman" w:hAnsi="Times New Roman"/>
          <w:color w:val="0070C0"/>
          <w:sz w:val="16"/>
          <w:szCs w:val="16"/>
          <w:lang w:bidi="en-US"/>
        </w:rPr>
      </w:pPr>
      <w:r w:rsidRPr="00C33834">
        <w:rPr>
          <w:rFonts w:ascii="Times New Roman" w:hAnsi="Times New Roman"/>
          <w:color w:val="0070C0"/>
          <w:sz w:val="16"/>
          <w:szCs w:val="16"/>
          <w:lang w:eastAsia="ru-RU" w:bidi="ru-RU"/>
        </w:rPr>
        <w:t xml:space="preserve">28 августа 1933 г. самолет Сталь-2 Известия с Фарихом и Шекуровым потерпел аварию около станции Межевая под Днепропетровском. На маршруте Сталино-Днепропетровск самолет попал в туман, 20 минут шел выше, затем Фарих решил вернуться, а далее совершить посадку. При выполнении посадки бежал около 180 метров, в какой-то момент разъединилась правая амортстойка и самолет потерпел аварию. Указывалось, что </w:t>
      </w:r>
      <w:r w:rsidRPr="00C33834">
        <w:rPr>
          <w:rFonts w:ascii="Times New Roman" w:hAnsi="Times New Roman"/>
          <w:color w:val="0070C0"/>
          <w:sz w:val="16"/>
          <w:szCs w:val="16"/>
          <w:lang w:val="en-US" w:bidi="en-US"/>
        </w:rPr>
        <w:t>N</w:t>
      </w:r>
      <w:r w:rsidRPr="00C33834">
        <w:rPr>
          <w:rFonts w:ascii="Times New Roman" w:hAnsi="Times New Roman"/>
          <w:color w:val="0070C0"/>
          <w:sz w:val="16"/>
          <w:szCs w:val="16"/>
          <w:lang w:bidi="en-US"/>
        </w:rPr>
        <w:t xml:space="preserve">800 </w:t>
      </w:r>
      <w:r w:rsidRPr="00C33834">
        <w:rPr>
          <w:rFonts w:ascii="Times New Roman" w:hAnsi="Times New Roman"/>
          <w:color w:val="0070C0"/>
          <w:sz w:val="16"/>
          <w:szCs w:val="16"/>
          <w:lang w:eastAsia="ru-RU" w:bidi="ru-RU"/>
        </w:rPr>
        <w:t>требуется капи</w:t>
      </w:r>
      <w:r w:rsidRPr="00C33834">
        <w:rPr>
          <w:rFonts w:ascii="Times New Roman" w:hAnsi="Times New Roman"/>
          <w:color w:val="0070C0"/>
          <w:sz w:val="16"/>
          <w:szCs w:val="16"/>
          <w:lang w:eastAsia="ru-RU" w:bidi="ru-RU"/>
        </w:rPr>
        <w:softHyphen/>
        <w:t xml:space="preserve">тальный ремонт. Дальнейшая судьба самолета </w:t>
      </w:r>
      <w:r w:rsidRPr="00C33834">
        <w:rPr>
          <w:rFonts w:ascii="Times New Roman" w:hAnsi="Times New Roman"/>
          <w:color w:val="0070C0"/>
          <w:sz w:val="16"/>
          <w:szCs w:val="16"/>
          <w:lang w:val="en-US" w:bidi="en-US"/>
        </w:rPr>
        <w:t>URSS</w:t>
      </w:r>
      <w:r w:rsidRPr="00C33834">
        <w:rPr>
          <w:rFonts w:ascii="Times New Roman" w:hAnsi="Times New Roman"/>
          <w:color w:val="0070C0"/>
          <w:sz w:val="16"/>
          <w:szCs w:val="16"/>
          <w:lang w:bidi="en-US"/>
        </w:rPr>
        <w:t>-</w:t>
      </w:r>
      <w:r w:rsidRPr="00C33834">
        <w:rPr>
          <w:rFonts w:ascii="Times New Roman" w:hAnsi="Times New Roman"/>
          <w:color w:val="0070C0"/>
          <w:sz w:val="16"/>
          <w:szCs w:val="16"/>
          <w:lang w:val="en-US" w:bidi="en-US"/>
        </w:rPr>
        <w:t>N</w:t>
      </w:r>
      <w:r w:rsidRPr="00C33834">
        <w:rPr>
          <w:rFonts w:ascii="Times New Roman" w:hAnsi="Times New Roman"/>
          <w:color w:val="0070C0"/>
          <w:sz w:val="16"/>
          <w:szCs w:val="16"/>
          <w:lang w:bidi="en-US"/>
        </w:rPr>
        <w:t xml:space="preserve">800 </w:t>
      </w:r>
      <w:r w:rsidRPr="00C33834">
        <w:rPr>
          <w:rFonts w:ascii="Times New Roman" w:hAnsi="Times New Roman"/>
          <w:color w:val="0070C0"/>
          <w:sz w:val="16"/>
          <w:szCs w:val="16"/>
          <w:lang w:eastAsia="ru-RU" w:bidi="ru-RU"/>
        </w:rPr>
        <w:t>не определена. Дополнительно, тем же летом 1933 года со</w:t>
      </w:r>
      <w:r w:rsidRPr="00C33834">
        <w:rPr>
          <w:rFonts w:ascii="Times New Roman" w:hAnsi="Times New Roman"/>
          <w:color w:val="0070C0"/>
          <w:sz w:val="16"/>
          <w:szCs w:val="16"/>
          <w:lang w:eastAsia="ru-RU" w:bidi="ru-RU"/>
        </w:rPr>
        <w:softHyphen/>
        <w:t xml:space="preserve">общалось, что </w:t>
      </w:r>
      <w:r w:rsidRPr="00C33834">
        <w:rPr>
          <w:rFonts w:ascii="Times New Roman" w:hAnsi="Times New Roman"/>
          <w:color w:val="0070C0"/>
          <w:sz w:val="16"/>
          <w:szCs w:val="16"/>
          <w:lang w:val="en-US" w:bidi="en-US"/>
        </w:rPr>
        <w:t>URSS</w:t>
      </w:r>
      <w:r w:rsidRPr="00C33834">
        <w:rPr>
          <w:rFonts w:ascii="Times New Roman" w:hAnsi="Times New Roman"/>
          <w:color w:val="0070C0"/>
          <w:sz w:val="16"/>
          <w:szCs w:val="16"/>
          <w:lang w:bidi="en-US"/>
        </w:rPr>
        <w:t>-</w:t>
      </w:r>
      <w:r w:rsidRPr="00C33834">
        <w:rPr>
          <w:rFonts w:ascii="Times New Roman" w:hAnsi="Times New Roman"/>
          <w:color w:val="0070C0"/>
          <w:sz w:val="16"/>
          <w:szCs w:val="16"/>
          <w:lang w:val="en-US" w:bidi="en-US"/>
        </w:rPr>
        <w:t>N</w:t>
      </w:r>
      <w:r w:rsidRPr="00C33834">
        <w:rPr>
          <w:rFonts w:ascii="Times New Roman" w:hAnsi="Times New Roman"/>
          <w:color w:val="0070C0"/>
          <w:sz w:val="16"/>
          <w:szCs w:val="16"/>
          <w:lang w:bidi="en-US"/>
        </w:rPr>
        <w:t xml:space="preserve">800 </w:t>
      </w:r>
      <w:r w:rsidRPr="00C33834">
        <w:rPr>
          <w:rFonts w:ascii="Times New Roman" w:hAnsi="Times New Roman"/>
          <w:color w:val="0070C0"/>
          <w:sz w:val="16"/>
          <w:szCs w:val="16"/>
          <w:lang w:eastAsia="ru-RU" w:bidi="ru-RU"/>
        </w:rPr>
        <w:t xml:space="preserve">заменили на другой самолет - «лучший». Возможно, это был тот самый </w:t>
      </w:r>
      <w:r w:rsidRPr="00C33834">
        <w:rPr>
          <w:rFonts w:ascii="Times New Roman" w:hAnsi="Times New Roman"/>
          <w:color w:val="0070C0"/>
          <w:sz w:val="16"/>
          <w:szCs w:val="16"/>
          <w:lang w:val="en-US" w:bidi="en-US"/>
        </w:rPr>
        <w:t>CCCP</w:t>
      </w:r>
      <w:r w:rsidRPr="00C33834">
        <w:rPr>
          <w:rFonts w:ascii="Times New Roman" w:hAnsi="Times New Roman"/>
          <w:color w:val="0070C0"/>
          <w:sz w:val="16"/>
          <w:szCs w:val="16"/>
          <w:lang w:bidi="en-US"/>
        </w:rPr>
        <w:t>-</w:t>
      </w:r>
      <w:r w:rsidRPr="00C33834">
        <w:rPr>
          <w:rFonts w:ascii="Times New Roman" w:hAnsi="Times New Roman"/>
          <w:color w:val="0070C0"/>
          <w:sz w:val="16"/>
          <w:szCs w:val="16"/>
          <w:lang w:val="en-US" w:bidi="en-US"/>
        </w:rPr>
        <w:t>N</w:t>
      </w:r>
      <w:r w:rsidRPr="00C33834">
        <w:rPr>
          <w:rFonts w:ascii="Times New Roman" w:hAnsi="Times New Roman"/>
          <w:color w:val="0070C0"/>
          <w:sz w:val="16"/>
          <w:szCs w:val="16"/>
          <w:lang w:bidi="en-US"/>
        </w:rPr>
        <w:t xml:space="preserve">1003. </w:t>
      </w:r>
      <w:r w:rsidRPr="00C33834">
        <w:rPr>
          <w:rFonts w:ascii="Times New Roman" w:hAnsi="Times New Roman"/>
          <w:color w:val="0070C0"/>
          <w:sz w:val="16"/>
          <w:szCs w:val="16"/>
          <w:lang w:eastAsia="ru-RU" w:bidi="ru-RU"/>
        </w:rPr>
        <w:t xml:space="preserve">В 1934 году в состав эскадрильи им. Горького вошел Сталь-2 </w:t>
      </w:r>
      <w:r w:rsidRPr="00C33834">
        <w:rPr>
          <w:rFonts w:ascii="Times New Roman" w:hAnsi="Times New Roman"/>
          <w:color w:val="0070C0"/>
          <w:sz w:val="16"/>
          <w:szCs w:val="16"/>
          <w:lang w:val="en-US" w:bidi="en-US"/>
        </w:rPr>
        <w:t>CCCP</w:t>
      </w:r>
      <w:r w:rsidRPr="00C33834">
        <w:rPr>
          <w:rFonts w:ascii="Times New Roman" w:hAnsi="Times New Roman"/>
          <w:color w:val="0070C0"/>
          <w:sz w:val="16"/>
          <w:szCs w:val="16"/>
          <w:lang w:bidi="en-US"/>
        </w:rPr>
        <w:t>-</w:t>
      </w:r>
      <w:r w:rsidRPr="00C33834">
        <w:rPr>
          <w:rFonts w:ascii="Times New Roman" w:hAnsi="Times New Roman"/>
          <w:color w:val="0070C0"/>
          <w:sz w:val="16"/>
          <w:szCs w:val="16"/>
          <w:lang w:val="en-US" w:bidi="en-US"/>
        </w:rPr>
        <w:t>N</w:t>
      </w:r>
      <w:r w:rsidRPr="00C33834">
        <w:rPr>
          <w:rFonts w:ascii="Times New Roman" w:hAnsi="Times New Roman"/>
          <w:color w:val="0070C0"/>
          <w:sz w:val="16"/>
          <w:szCs w:val="16"/>
          <w:lang w:bidi="en-US"/>
        </w:rPr>
        <w:t>1146 (20365).</w:t>
      </w:r>
    </w:p>
    <w:p w14:paraId="7A58790F" w14:textId="77777777" w:rsidR="00BD04CA" w:rsidRPr="00C33834" w:rsidRDefault="00BD04CA" w:rsidP="00C33834">
      <w:pPr>
        <w:spacing w:after="0" w:line="240" w:lineRule="auto"/>
        <w:jc w:val="both"/>
        <w:rPr>
          <w:rFonts w:ascii="Times New Roman" w:hAnsi="Times New Roman"/>
          <w:color w:val="0070C0"/>
          <w:sz w:val="16"/>
          <w:szCs w:val="16"/>
        </w:rPr>
      </w:pPr>
    </w:p>
    <w:p w14:paraId="1CC0575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авгу</w:t>
      </w:r>
      <w:r w:rsidRPr="00C33834">
        <w:rPr>
          <w:rFonts w:ascii="Times New Roman" w:hAnsi="Times New Roman"/>
          <w:color w:val="000000" w:themeColor="text1"/>
          <w:sz w:val="16"/>
          <w:szCs w:val="16"/>
        </w:rPr>
        <w:softHyphen/>
        <w:t>ста 1933 г. датировалось начало проектирования нового самолета, получившего название «Дальний арктический разведчик» (ДАР), со</w:t>
      </w:r>
      <w:r w:rsidRPr="00C33834">
        <w:rPr>
          <w:rFonts w:ascii="Times New Roman" w:hAnsi="Times New Roman"/>
          <w:color w:val="000000" w:themeColor="text1"/>
          <w:sz w:val="16"/>
          <w:szCs w:val="16"/>
        </w:rPr>
        <w:softHyphen/>
        <w:t>гласно планам НИИ ГВФ, а окончание работ - 20 мая 1934 г.</w:t>
      </w:r>
    </w:p>
    <w:p w14:paraId="19E47C1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Постройка ДАР должна была производиться на Заводе опытных конструкций (ЗОК) НИИ ГВФ и на судостроительном заводе в Ленин</w:t>
      </w:r>
      <w:r w:rsidRPr="00C33834">
        <w:rPr>
          <w:rFonts w:ascii="Times New Roman" w:hAnsi="Times New Roman"/>
          <w:color w:val="000000" w:themeColor="text1"/>
          <w:sz w:val="16"/>
          <w:szCs w:val="16"/>
        </w:rPr>
        <w:softHyphen/>
        <w:t>граде.</w:t>
      </w:r>
    </w:p>
    <w:p w14:paraId="6D78D75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Взяв за исходный образец летающую лодку Дорнье «Валь», Бартини оставил все ее неоспоримые достоинства - верхнее распо</w:t>
      </w:r>
      <w:r w:rsidRPr="00C33834">
        <w:rPr>
          <w:rFonts w:ascii="Times New Roman" w:hAnsi="Times New Roman"/>
          <w:color w:val="000000" w:themeColor="text1"/>
          <w:sz w:val="16"/>
          <w:szCs w:val="16"/>
        </w:rPr>
        <w:softHyphen/>
        <w:t>ложение крыла, установленные вдоль про</w:t>
      </w:r>
      <w:r w:rsidRPr="00C33834">
        <w:rPr>
          <w:rFonts w:ascii="Times New Roman" w:hAnsi="Times New Roman"/>
          <w:color w:val="000000" w:themeColor="text1"/>
          <w:sz w:val="16"/>
          <w:szCs w:val="16"/>
        </w:rPr>
        <w:softHyphen/>
        <w:t>дольной оси два двигателя, плоское днище фюзеляжа и боковые жабры остойчивости (жабры практически сразу оснастили допол</w:t>
      </w:r>
      <w:r w:rsidRPr="00C33834">
        <w:rPr>
          <w:rFonts w:ascii="Times New Roman" w:hAnsi="Times New Roman"/>
          <w:color w:val="000000" w:themeColor="text1"/>
          <w:sz w:val="16"/>
          <w:szCs w:val="16"/>
        </w:rPr>
        <w:softHyphen/>
        <w:t>нительными поплавками). Одновременно конструктор предложил ряд оригинальных и смелых идей, способных в значительной сте</w:t>
      </w:r>
      <w:r w:rsidRPr="00C33834">
        <w:rPr>
          <w:rFonts w:ascii="Times New Roman" w:hAnsi="Times New Roman"/>
          <w:color w:val="000000" w:themeColor="text1"/>
          <w:sz w:val="16"/>
          <w:szCs w:val="16"/>
        </w:rPr>
        <w:softHyphen/>
        <w:t>пени усилить эффективность гидросамолета. Первым делом он проработал особую схему крыла, в которой, среди прочего, использова</w:t>
      </w:r>
      <w:r w:rsidRPr="00C33834">
        <w:rPr>
          <w:rFonts w:ascii="Times New Roman" w:hAnsi="Times New Roman"/>
          <w:color w:val="000000" w:themeColor="text1"/>
          <w:sz w:val="16"/>
          <w:szCs w:val="16"/>
        </w:rPr>
        <w:softHyphen/>
        <w:t>лись так называемые двойные плавающие элероны. Эти элероны размещались на кон</w:t>
      </w:r>
      <w:r w:rsidRPr="00C33834">
        <w:rPr>
          <w:rFonts w:ascii="Times New Roman" w:hAnsi="Times New Roman"/>
          <w:color w:val="000000" w:themeColor="text1"/>
          <w:sz w:val="16"/>
          <w:szCs w:val="16"/>
        </w:rPr>
        <w:softHyphen/>
        <w:t>цевых участках крыла, что позволяло освобо</w:t>
      </w:r>
      <w:r w:rsidRPr="00C33834">
        <w:rPr>
          <w:rFonts w:ascii="Times New Roman" w:hAnsi="Times New Roman"/>
          <w:color w:val="000000" w:themeColor="text1"/>
          <w:sz w:val="16"/>
          <w:szCs w:val="16"/>
        </w:rPr>
        <w:softHyphen/>
        <w:t>дить его заднюю кромку для установки мощ</w:t>
      </w:r>
      <w:r w:rsidRPr="00C33834">
        <w:rPr>
          <w:rFonts w:ascii="Times New Roman" w:hAnsi="Times New Roman"/>
          <w:color w:val="000000" w:themeColor="text1"/>
          <w:sz w:val="16"/>
          <w:szCs w:val="16"/>
        </w:rPr>
        <w:softHyphen/>
        <w:t>ных посадочных щитков, занимавших 20% хорды несущих плоскостей. Указанные пла</w:t>
      </w:r>
      <w:r w:rsidRPr="00C33834">
        <w:rPr>
          <w:rFonts w:ascii="Times New Roman" w:hAnsi="Times New Roman"/>
          <w:color w:val="000000" w:themeColor="text1"/>
          <w:sz w:val="16"/>
          <w:szCs w:val="16"/>
        </w:rPr>
        <w:softHyphen/>
        <w:t>вающие элероны были с успехом испытаны в ЦАГИ,впоследствии они применялись и на других самолетах, в частности на яковлев- ских АИР-4 и УТ-1. Конструкцию крыла ДАР выполнили по типу уже построенного экспе</w:t>
      </w:r>
      <w:r w:rsidRPr="00C33834">
        <w:rPr>
          <w:rFonts w:ascii="Times New Roman" w:hAnsi="Times New Roman"/>
          <w:color w:val="000000" w:themeColor="text1"/>
          <w:sz w:val="16"/>
          <w:szCs w:val="16"/>
        </w:rPr>
        <w:softHyphen/>
        <w:t>риментального «Сталь-6» - с полками лонже</w:t>
      </w:r>
      <w:r w:rsidRPr="00C33834">
        <w:rPr>
          <w:rFonts w:ascii="Times New Roman" w:hAnsi="Times New Roman"/>
          <w:color w:val="000000" w:themeColor="text1"/>
          <w:sz w:val="16"/>
          <w:szCs w:val="16"/>
        </w:rPr>
        <w:softHyphen/>
        <w:t>ронов из пучка стальных труб, с ферменными нервюрами из профилей нержавеющей стали Энерж-6.</w:t>
      </w:r>
    </w:p>
    <w:p w14:paraId="4FE9264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Однако главной изюминкой в первоначаль</w:t>
      </w:r>
      <w:r w:rsidRPr="00C33834">
        <w:rPr>
          <w:rFonts w:ascii="Times New Roman" w:hAnsi="Times New Roman"/>
          <w:color w:val="000000" w:themeColor="text1"/>
          <w:sz w:val="16"/>
          <w:szCs w:val="16"/>
        </w:rPr>
        <w:softHyphen/>
        <w:t xml:space="preserve">ном проекте самолета стал кольцевой участок крыла, в центре которого размещались два двигателя «Испано-Сюиза» 12 </w:t>
      </w:r>
      <w:r w:rsidRPr="00C33834">
        <w:rPr>
          <w:rFonts w:ascii="Times New Roman" w:hAnsi="Times New Roman"/>
          <w:color w:val="000000" w:themeColor="text1"/>
          <w:sz w:val="16"/>
          <w:szCs w:val="16"/>
          <w:lang w:val="en-US"/>
        </w:rPr>
        <w:t>ybrs</w:t>
      </w:r>
      <w:r w:rsidRPr="00C33834">
        <w:rPr>
          <w:rFonts w:ascii="Times New Roman" w:hAnsi="Times New Roman"/>
          <w:color w:val="000000" w:themeColor="text1"/>
          <w:sz w:val="16"/>
          <w:szCs w:val="16"/>
        </w:rPr>
        <w:t xml:space="preserve"> мощностью по 700 л.с. каждый. Двигатели предполага</w:t>
      </w:r>
      <w:r w:rsidRPr="00C33834">
        <w:rPr>
          <w:rFonts w:ascii="Times New Roman" w:hAnsi="Times New Roman"/>
          <w:color w:val="000000" w:themeColor="text1"/>
          <w:sz w:val="16"/>
          <w:szCs w:val="16"/>
        </w:rPr>
        <w:softHyphen/>
        <w:t>лось разместить носком к носку так, чтобы их воздушные винты работали как соосные, а центр между плоскостями вращения винтов совпадал с максимальным диаметром кольце</w:t>
      </w:r>
      <w:r w:rsidRPr="00C33834">
        <w:rPr>
          <w:rFonts w:ascii="Times New Roman" w:hAnsi="Times New Roman"/>
          <w:color w:val="000000" w:themeColor="text1"/>
          <w:sz w:val="16"/>
          <w:szCs w:val="16"/>
        </w:rPr>
        <w:softHyphen/>
        <w:t>вого участка крыла.</w:t>
      </w:r>
    </w:p>
    <w:p w14:paraId="3E6E425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проверки задуманного в НИИ ГВФ по</w:t>
      </w:r>
      <w:r w:rsidRPr="00C33834">
        <w:rPr>
          <w:rFonts w:ascii="Times New Roman" w:hAnsi="Times New Roman"/>
          <w:color w:val="000000" w:themeColor="text1"/>
          <w:sz w:val="16"/>
          <w:szCs w:val="16"/>
        </w:rPr>
        <w:softHyphen/>
        <w:t>строили полноразмерный макет самолета с кольцевым крылом, провели ряд эксперимен</w:t>
      </w:r>
      <w:r w:rsidRPr="00C33834">
        <w:rPr>
          <w:rFonts w:ascii="Times New Roman" w:hAnsi="Times New Roman"/>
          <w:color w:val="000000" w:themeColor="text1"/>
          <w:sz w:val="16"/>
          <w:szCs w:val="16"/>
        </w:rPr>
        <w:softHyphen/>
        <w:t>тов для определения лучших параметров си</w:t>
      </w:r>
      <w:r w:rsidRPr="00C33834">
        <w:rPr>
          <w:rFonts w:ascii="Times New Roman" w:hAnsi="Times New Roman"/>
          <w:color w:val="000000" w:themeColor="text1"/>
          <w:sz w:val="16"/>
          <w:szCs w:val="16"/>
        </w:rPr>
        <w:softHyphen/>
        <w:t>ловой установки. В обширной научно-по- пулярной литературе советского периода, описывающей деятельность Р.Л. Бартини, часто указывалось, что тяга силовой установ</w:t>
      </w:r>
      <w:r w:rsidRPr="00C33834">
        <w:rPr>
          <w:rFonts w:ascii="Times New Roman" w:hAnsi="Times New Roman"/>
          <w:color w:val="000000" w:themeColor="text1"/>
          <w:sz w:val="16"/>
          <w:szCs w:val="16"/>
        </w:rPr>
        <w:softHyphen/>
        <w:t>ки в случае использования кольцевого крыла на самолете ДАР увеличилась до 30%. Такие утверждения, конечно же, далеко не точны и слишком упрощаютявление, разобраться с ко</w:t>
      </w:r>
      <w:r w:rsidRPr="00C33834">
        <w:rPr>
          <w:rFonts w:ascii="Times New Roman" w:hAnsi="Times New Roman"/>
          <w:color w:val="000000" w:themeColor="text1"/>
          <w:sz w:val="16"/>
          <w:szCs w:val="16"/>
        </w:rPr>
        <w:softHyphen/>
        <w:t>торым имеет смысл более детально.</w:t>
      </w:r>
    </w:p>
    <w:p w14:paraId="26F3E79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Во-первых, начиная с 1930 г. изучением поведения воздушного винта, помещенного в кольцо, занимались в ЦАГИ. С появлением проекта Бартини исследовали и предло</w:t>
      </w:r>
      <w:r w:rsidRPr="00C33834">
        <w:rPr>
          <w:rFonts w:ascii="Times New Roman" w:hAnsi="Times New Roman"/>
          <w:color w:val="000000" w:themeColor="text1"/>
          <w:sz w:val="16"/>
          <w:szCs w:val="16"/>
        </w:rPr>
        <w:softHyphen/>
        <w:t>женное им кольцевое крыло. Затем вся ука</w:t>
      </w:r>
      <w:r w:rsidRPr="00C33834">
        <w:rPr>
          <w:rFonts w:ascii="Times New Roman" w:hAnsi="Times New Roman"/>
          <w:color w:val="000000" w:themeColor="text1"/>
          <w:sz w:val="16"/>
          <w:szCs w:val="16"/>
        </w:rPr>
        <w:softHyphen/>
        <w:t>занная деятельность с соответствующими выводами была опубликована в специ</w:t>
      </w:r>
      <w:r w:rsidRPr="00C33834">
        <w:rPr>
          <w:rFonts w:ascii="Times New Roman" w:hAnsi="Times New Roman"/>
          <w:color w:val="000000" w:themeColor="text1"/>
          <w:sz w:val="16"/>
          <w:szCs w:val="16"/>
        </w:rPr>
        <w:softHyphen/>
        <w:t>альном печатном выпуске аэрогидродина</w:t>
      </w:r>
      <w:r w:rsidRPr="00C33834">
        <w:rPr>
          <w:rFonts w:ascii="Times New Roman" w:hAnsi="Times New Roman"/>
          <w:color w:val="000000" w:themeColor="text1"/>
          <w:sz w:val="16"/>
          <w:szCs w:val="16"/>
        </w:rPr>
        <w:softHyphen/>
        <w:t>мического института: «О работе винта поме</w:t>
      </w:r>
      <w:r w:rsidRPr="00C33834">
        <w:rPr>
          <w:rFonts w:ascii="Times New Roman" w:hAnsi="Times New Roman"/>
          <w:color w:val="000000" w:themeColor="text1"/>
          <w:sz w:val="16"/>
          <w:szCs w:val="16"/>
        </w:rPr>
        <w:softHyphen/>
        <w:t>щенного в кольцо» (Труды ЦАГИ, выпуск 248, 1935 г., И.В. Остославский, В.Н. Матв</w:t>
      </w:r>
      <w:r w:rsidRPr="00C33834">
        <w:rPr>
          <w:rFonts w:ascii="Times New Roman" w:hAnsi="Times New Roman"/>
          <w:color w:val="000000" w:themeColor="text1"/>
          <w:sz w:val="16"/>
          <w:szCs w:val="16"/>
        </w:rPr>
        <w:softHyphen/>
        <w:t>еев). Там, в частности, говорилось: «Приме</w:t>
      </w:r>
      <w:r w:rsidRPr="00C33834">
        <w:rPr>
          <w:rFonts w:ascii="Times New Roman" w:hAnsi="Times New Roman"/>
          <w:color w:val="000000" w:themeColor="text1"/>
          <w:sz w:val="16"/>
          <w:szCs w:val="16"/>
        </w:rPr>
        <w:softHyphen/>
        <w:t>нение симметричного кольца рационально на самолетах с сильно загруженными вин</w:t>
      </w:r>
      <w:r w:rsidRPr="00C33834">
        <w:rPr>
          <w:rFonts w:ascii="Times New Roman" w:hAnsi="Times New Roman"/>
          <w:color w:val="000000" w:themeColor="text1"/>
          <w:sz w:val="16"/>
          <w:szCs w:val="16"/>
        </w:rPr>
        <w:softHyphen/>
        <w:t>тами; в таких случаях при небольшом ухуд</w:t>
      </w:r>
      <w:r w:rsidRPr="00C33834">
        <w:rPr>
          <w:rFonts w:ascii="Times New Roman" w:hAnsi="Times New Roman"/>
          <w:color w:val="000000" w:themeColor="text1"/>
          <w:sz w:val="16"/>
          <w:szCs w:val="16"/>
        </w:rPr>
        <w:softHyphen/>
        <w:t>шении скоростных свойств самолета до</w:t>
      </w:r>
      <w:r w:rsidRPr="00C33834">
        <w:rPr>
          <w:rFonts w:ascii="Times New Roman" w:hAnsi="Times New Roman"/>
          <w:color w:val="000000" w:themeColor="text1"/>
          <w:sz w:val="16"/>
          <w:szCs w:val="16"/>
        </w:rPr>
        <w:softHyphen/>
        <w:t>стигается уменьшение длины и времени разбега. Схема кольцевого крыла оказыва</w:t>
      </w:r>
      <w:r w:rsidRPr="00C33834">
        <w:rPr>
          <w:rFonts w:ascii="Times New Roman" w:hAnsi="Times New Roman"/>
          <w:color w:val="000000" w:themeColor="text1"/>
          <w:sz w:val="16"/>
          <w:szCs w:val="16"/>
        </w:rPr>
        <w:softHyphen/>
        <w:t>ется предпочтительнее схемы кольца не связанного с крылом».</w:t>
      </w:r>
    </w:p>
    <w:p w14:paraId="76073EA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отношении проекта ДАР, сравниваемого с обычной схемой размещения двигателей на крыле, говорилось следующее:</w:t>
      </w:r>
    </w:p>
    <w:p w14:paraId="0EFA6CA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Максимальные скорости примерно равны. При диаметре четырехлопастного воздушного винта в кольце 2,9 м максималь</w:t>
      </w:r>
      <w:r w:rsidRPr="00C33834">
        <w:rPr>
          <w:rFonts w:ascii="Times New Roman" w:hAnsi="Times New Roman"/>
          <w:color w:val="000000" w:themeColor="text1"/>
          <w:sz w:val="16"/>
          <w:szCs w:val="16"/>
        </w:rPr>
        <w:softHyphen/>
        <w:t>ная скорость даже несколько выше, чем при установке воздушного винта диаметром 3,2 м без кольца.</w:t>
      </w:r>
    </w:p>
    <w:p w14:paraId="3825EA3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Взлетные качества улучшаются, рас</w:t>
      </w:r>
      <w:r w:rsidRPr="00C33834">
        <w:rPr>
          <w:rFonts w:ascii="Times New Roman" w:hAnsi="Times New Roman"/>
          <w:color w:val="000000" w:themeColor="text1"/>
          <w:sz w:val="16"/>
          <w:szCs w:val="16"/>
        </w:rPr>
        <w:softHyphen/>
        <w:t>четный потолок увеличивается с 3420 м до 4050 м, т.е. на 18%, время подъема на высоту 1000 муменьшается примерно на полминуты.</w:t>
      </w:r>
    </w:p>
    <w:p w14:paraId="2196899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...Поляра кольцевого крыла практически равна поляре обычного крыла».</w:t>
      </w:r>
    </w:p>
    <w:p w14:paraId="2728F7E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Подтверждая выгодность использования кольцевого крыла,ученые ЦАГИ рекомендова</w:t>
      </w:r>
      <w:r w:rsidRPr="00C33834">
        <w:rPr>
          <w:rFonts w:ascii="Times New Roman" w:hAnsi="Times New Roman"/>
          <w:color w:val="000000" w:themeColor="text1"/>
          <w:sz w:val="16"/>
          <w:szCs w:val="16"/>
        </w:rPr>
        <w:softHyphen/>
        <w:t>ли использовать глубину изолированного кольца, равную 15-25% диаметра воздушного винта. Для кольцевого крыла - 50-70% диа</w:t>
      </w:r>
      <w:r w:rsidRPr="00C33834">
        <w:rPr>
          <w:rFonts w:ascii="Times New Roman" w:hAnsi="Times New Roman"/>
          <w:color w:val="000000" w:themeColor="text1"/>
          <w:sz w:val="16"/>
          <w:szCs w:val="16"/>
        </w:rPr>
        <w:softHyphen/>
        <w:t>метра винта. Наиболее рациональное разме</w:t>
      </w:r>
      <w:r w:rsidRPr="00C33834">
        <w:rPr>
          <w:rFonts w:ascii="Times New Roman" w:hAnsi="Times New Roman"/>
          <w:color w:val="000000" w:themeColor="text1"/>
          <w:sz w:val="16"/>
          <w:szCs w:val="16"/>
        </w:rPr>
        <w:softHyphen/>
        <w:t>щение воздушного винта (винтов) в кольце - на расстоянии 30-40% САХ.</w:t>
      </w:r>
    </w:p>
    <w:p w14:paraId="69BB9D3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дальнейшем приоритет Бартини на коль</w:t>
      </w:r>
      <w:r w:rsidRPr="00C33834">
        <w:rPr>
          <w:rFonts w:ascii="Times New Roman" w:hAnsi="Times New Roman"/>
          <w:color w:val="000000" w:themeColor="text1"/>
          <w:sz w:val="16"/>
          <w:szCs w:val="16"/>
        </w:rPr>
        <w:softHyphen/>
        <w:t>цевое крыло проявился в том, что получаемое при его использовании уменьшение лобового сопротивления оценили как «эффект Бартини». Впрочем, в конечном результате ва</w:t>
      </w:r>
      <w:r w:rsidRPr="00C33834">
        <w:rPr>
          <w:rFonts w:ascii="Times New Roman" w:hAnsi="Times New Roman"/>
          <w:color w:val="000000" w:themeColor="text1"/>
          <w:sz w:val="16"/>
          <w:szCs w:val="16"/>
        </w:rPr>
        <w:softHyphen/>
        <w:t>риант кольцевого крыла не приняли по причи</w:t>
      </w:r>
      <w:r w:rsidRPr="00C33834">
        <w:rPr>
          <w:rFonts w:ascii="Times New Roman" w:hAnsi="Times New Roman"/>
          <w:color w:val="000000" w:themeColor="text1"/>
          <w:sz w:val="16"/>
          <w:szCs w:val="16"/>
        </w:rPr>
        <w:softHyphen/>
        <w:t>не его конструктивной сложности, возможных проблем с техническим обслуживанием в ходе эксплуатации в Арктике. На практике два дви</w:t>
      </w:r>
      <w:r w:rsidRPr="00C33834">
        <w:rPr>
          <w:rFonts w:ascii="Times New Roman" w:hAnsi="Times New Roman"/>
          <w:color w:val="000000" w:themeColor="text1"/>
          <w:sz w:val="16"/>
          <w:szCs w:val="16"/>
        </w:rPr>
        <w:softHyphen/>
        <w:t>гателя «Испано-Сюиза» в самолете ДАР на верхнем крыле разместили друг за другом (тандем), так же, как это было сделано на Дорнье«Валь».</w:t>
      </w:r>
    </w:p>
    <w:p w14:paraId="5D8BB66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Корпус лодки ДАР длиной 18,4 м и шириной 2,8 м выполнили из нержавеющей стали Энерж-6. Как и в случае с истребителем «Сталь-б», изготовление его потребовало вве</w:t>
      </w:r>
      <w:r w:rsidRPr="00C33834">
        <w:rPr>
          <w:rFonts w:ascii="Times New Roman" w:hAnsi="Times New Roman"/>
          <w:color w:val="000000" w:themeColor="text1"/>
          <w:sz w:val="16"/>
          <w:szCs w:val="16"/>
        </w:rPr>
        <w:softHyphen/>
        <w:t>дения новых технологических приемов. Для сварки всех элементов конструктор изобрел специальный «негативный» стапель. В нем каркас лодки - шпангоуты и стрингеры вместе с наложенными сверху листами обшивки сна</w:t>
      </w:r>
      <w:r w:rsidRPr="00C33834">
        <w:rPr>
          <w:rFonts w:ascii="Times New Roman" w:hAnsi="Times New Roman"/>
          <w:color w:val="000000" w:themeColor="text1"/>
          <w:sz w:val="16"/>
          <w:szCs w:val="16"/>
        </w:rPr>
        <w:softHyphen/>
        <w:t>ружи вплотную обкладывали толстыми листа</w:t>
      </w:r>
      <w:r w:rsidRPr="00C33834">
        <w:rPr>
          <w:rFonts w:ascii="Times New Roman" w:hAnsi="Times New Roman"/>
          <w:color w:val="000000" w:themeColor="text1"/>
          <w:sz w:val="16"/>
          <w:szCs w:val="16"/>
        </w:rPr>
        <w:softHyphen/>
        <w:t>ми красной меди, по которым уходил ток. А электрод, по которому ток поступал, подво</w:t>
      </w:r>
      <w:r w:rsidRPr="00C33834">
        <w:rPr>
          <w:rFonts w:ascii="Times New Roman" w:hAnsi="Times New Roman"/>
          <w:color w:val="000000" w:themeColor="text1"/>
          <w:sz w:val="16"/>
          <w:szCs w:val="16"/>
        </w:rPr>
        <w:softHyphen/>
        <w:t>дился на проводе изнутри ко всем сварочным точкам и полосам.</w:t>
      </w:r>
    </w:p>
    <w:p w14:paraId="53E067D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Наружная обшивка самолета ДАР была вы</w:t>
      </w:r>
      <w:r w:rsidRPr="00C33834">
        <w:rPr>
          <w:rFonts w:ascii="Times New Roman" w:hAnsi="Times New Roman"/>
          <w:color w:val="000000" w:themeColor="text1"/>
          <w:sz w:val="16"/>
          <w:szCs w:val="16"/>
        </w:rPr>
        <w:softHyphen/>
        <w:t>полнена из стальных листов толщиной 0,5 мм (на днище 0,8-1,5 мм). Для повышения жестко</w:t>
      </w:r>
      <w:r w:rsidRPr="00C33834">
        <w:rPr>
          <w:rFonts w:ascii="Times New Roman" w:hAnsi="Times New Roman"/>
          <w:color w:val="000000" w:themeColor="text1"/>
          <w:sz w:val="16"/>
          <w:szCs w:val="16"/>
        </w:rPr>
        <w:softHyphen/>
        <w:t>сти этой обшивки листы были предварительно отформованы с образованием выступающих ребер (зигов) - после установки на лодочный фюзеляж получалась поверхность с большим шагом внешних волн гофра (11979).</w:t>
      </w:r>
    </w:p>
    <w:p w14:paraId="62FBF98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77A0446C" w14:textId="77777777" w:rsidR="00D142A2" w:rsidRPr="00C33834" w:rsidRDefault="00D142A2" w:rsidP="00C33834">
      <w:pPr>
        <w:pStyle w:val="rtejustify"/>
        <w:spacing w:before="0" w:after="0"/>
        <w:rPr>
          <w:color w:val="000000" w:themeColor="text1"/>
          <w:sz w:val="16"/>
          <w:szCs w:val="16"/>
        </w:rPr>
      </w:pPr>
      <w:r w:rsidRPr="00C33834">
        <w:rPr>
          <w:rStyle w:val="af0"/>
          <w:bCs/>
          <w:i w:val="0"/>
          <w:color w:val="000000" w:themeColor="text1"/>
          <w:sz w:val="16"/>
          <w:szCs w:val="16"/>
        </w:rPr>
        <w:t>28 августа 1933 вышел приказ НКТП № 131с.</w:t>
      </w:r>
      <w:r w:rsidRPr="00C33834">
        <w:rPr>
          <w:color w:val="000000" w:themeColor="text1"/>
          <w:sz w:val="16"/>
          <w:szCs w:val="16"/>
        </w:rPr>
        <w:t xml:space="preserve"> О работах по 1000</w:t>
      </w:r>
      <w:r w:rsidRPr="00C33834">
        <w:rPr>
          <w:color w:val="000000" w:themeColor="text1"/>
          <w:sz w:val="16"/>
          <w:szCs w:val="16"/>
        </w:rPr>
        <w:noBreakHyphen/>
        <w:t>сильному авиационному дизелю на предприятиях НКТП. (РГАЭ. Ф. 7297. Оп. 38. Д. 38. Л. 83) (15246).</w:t>
      </w:r>
    </w:p>
    <w:p w14:paraId="5A6DCCA8" w14:textId="77777777" w:rsidR="00D142A2" w:rsidRPr="00C33834" w:rsidRDefault="00D142A2" w:rsidP="00C33834">
      <w:pPr>
        <w:pStyle w:val="rtejustify"/>
        <w:spacing w:before="0" w:after="0"/>
        <w:rPr>
          <w:color w:val="000000" w:themeColor="text1"/>
          <w:sz w:val="16"/>
          <w:szCs w:val="16"/>
        </w:rPr>
      </w:pPr>
    </w:p>
    <w:p w14:paraId="64838555" w14:textId="77777777" w:rsidR="00BD04CA" w:rsidRPr="00C33834" w:rsidRDefault="00BD04C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28 августа 1933 г. СП. Королев под грифом «Секретно» пишет докладную записку «О положении экспериментальной работы по ракетам». Предположительно он собирался ее отправить В.М. Молотову и копию руководителю Военно-морской инспекции Н.В. Куйбышеву (брату В.В. Куйбышева), которому было поручено обследовать все (две или три, если брать в расчет ЛенГИРД) организации, работающие в области ракетной техники и потом доложить Наркомвоенмору Ворошилову. Вот ее содержание:</w:t>
      </w:r>
    </w:p>
    <w:p w14:paraId="249F04DE" w14:textId="77777777" w:rsidR="00BD04CA" w:rsidRPr="00C33834" w:rsidRDefault="00BD04C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«Группа Реактивных двигателей ГИРД работает над созданием совершенно новых по своей идее типов двигателей и снарядов, основанных на принципе реакции струи вытекающих газов {что из этой фразы мог понять чиновник, не разбирающийся в сути вопроса?). Построен и испытан ряд реактивных двигателей на жидком топливе. Проведены многочисленные лабораторные полигонные испытания. В результате работы ГИРД за 1933 г. была разработана и построена принципиально новая ракета-снаряд (конструкции инж. Тихонравова), которая была подробно изучена в работе на привязи на балансирном станке.</w:t>
      </w:r>
    </w:p>
    <w:p w14:paraId="038A7D36" w14:textId="77777777" w:rsidR="00BD04CA" w:rsidRPr="00C33834" w:rsidRDefault="00BD04C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17-го августа сего года в 19 часов первая советская ракета на жидком горючем успешно совершила свой первый полет. Этим самым практически проверен принцип устройства, схема и формы этой ракетыснаряда. Главной задачей дальнейшего является наиболее быстрое получение расчетных дальностей и высот полета ракеты и сдача ее на вооружение и для мирных целей. Для этой ракеты как для первого шага в этой области были выбраны скромные данные. Высота вертикального подъема - до 6000 м. Вес ракеты 18 кг, из них 6 кг полезной нагрузки. Скорость полета до 250 м. в сек. От первого шага, доказавшего правильность выбранной схемы, можно будет перейти к дальнейшим усовершенствованиям и получению летаюш;их ракет больших калибров со скоростями полета до 800-1000 м в сек. и дальности полета в несколько сотен и тысяч километров. Для этого нужно без промедления как можно шире поставить дальнейшие опыты с летающими ракетами. Надо выстроить серию хотя бы в шесть ракет и сделать за сентябрь-октябрь месяцы этого года не одну сотню полетов. Коли это будет так, то не смотря на то, что, летавшая 17 августа ракета является очень несовершенной, только первым опытом в этой области, можно будет к концу 1933 г. иметь уже доработанный в известной мере образец, который может быть пущен для эксплуатации. Кроме того, широкая постановка опытов даст возможность пойти по пути повышения данных (в частности увеличения дельности). Успех первого полета достигнут в результате настойчивой упорной работы всего коллектива ГИРД, не смотря на чрезвычайные трудности. А 116 именно: с момента организации ГИРД (июнь 1932 г.) из группы в несколько человек активистов ОСОАВИАХИМа развернут небольшой, но обладающий всеми видами производств заводик. Однако, завод расположен в сыром подвале, без дневного света. Никакого снабжения ни материалами, ни оборудованием, ни продовольствием и т.п. нет и не получалось ГИРДом ранее. Средств на производство опытов слишком недостаточно. До сего дня длится двойственное подчинение ГИРД ОСОАВИАХРШу (формально) и УВИ НВ РККА (фактически). А в результате уже более года как ГИРД не имеет хозяина и буквально задыхается в мелочах, не дающих ему развернуть, как это следовало бы в наших масштабах, свою работу. Как пример можно указать, что ГИРД до сего дня не имеет никакого транспорта и отрезан от полигона, находящегося в 40 км от Москвы. Уже более года обсуждается вопрос о создании Реактивного Института, но в настоящее время этот вопрос застрял еще в одной инстанции. Не смотря на необычайно тяжелые условия работы, ГИРДом все таки доведена и выпущена в воздух первая советская ракета. Однако, НКВМ, по заданию которого она делалась, отпускает недостаточно средств на постановку опытов, а кроме того, его не может интересовать применение ракет в различных областях народного хозяйства (для метеорологических целей, быстрой связи, почты и т.д.). Поэтому необходимо:</w:t>
      </w:r>
    </w:p>
    <w:p w14:paraId="72F23BCF" w14:textId="77777777" w:rsidR="00BD04CA" w:rsidRPr="00C33834" w:rsidRDefault="00BD04C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Ускорить разрешение вопроса с организацией Реактивного Института.</w:t>
      </w:r>
    </w:p>
    <w:p w14:paraId="51ED6112" w14:textId="77777777" w:rsidR="00BD04CA" w:rsidRPr="00C33834" w:rsidRDefault="00BD04C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Немедленно отпустить ГИРДу необходимые средства на постановку научно-исследовательской работы и, в частности, на постройку первой опытной серии ракет и испытание их (на это нужно до 30000 рублей).</w:t>
      </w:r>
    </w:p>
    <w:p w14:paraId="1AB1C689" w14:textId="77777777" w:rsidR="00BD04CA" w:rsidRPr="00C33834" w:rsidRDefault="00BD04C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Работы вести учитывая и мирное применение ракет. Подпись: Начальник ГИРД - С.П.Королев» (ГА РФ. Фонд Р-8355. Он. 1. Д. № 374. Л. 143-144). (22685).</w:t>
      </w:r>
    </w:p>
    <w:p w14:paraId="311A24D3" w14:textId="77777777" w:rsidR="00BD04CA" w:rsidRPr="00C33834" w:rsidRDefault="00BD04CA" w:rsidP="00C33834">
      <w:pPr>
        <w:spacing w:after="0" w:line="240" w:lineRule="auto"/>
        <w:jc w:val="both"/>
        <w:rPr>
          <w:rFonts w:ascii="Times New Roman" w:hAnsi="Times New Roman"/>
          <w:color w:val="0070C0"/>
          <w:sz w:val="16"/>
          <w:szCs w:val="16"/>
        </w:rPr>
      </w:pPr>
    </w:p>
    <w:p w14:paraId="415138C0"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63FAF0EB"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A13B48B" w14:textId="77777777" w:rsidR="0090518E" w:rsidRPr="00C33834" w:rsidRDefault="0090518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xml:space="preserve">28 августа 1933 состоялось заседание ПБ и был оформлен протокол № 144 </w:t>
      </w:r>
    </w:p>
    <w:p w14:paraId="3102017A" w14:textId="77777777" w:rsidR="0090518E" w:rsidRPr="00C33834" w:rsidRDefault="0090518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18 августа 1933 опросом членов ПБ</w:t>
      </w:r>
    </w:p>
    <w:p w14:paraId="34FF7C03" w14:textId="77777777" w:rsidR="0090518E" w:rsidRPr="00C33834" w:rsidRDefault="0090518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47/26.-Об автозаводах</w:t>
      </w:r>
    </w:p>
    <w:p w14:paraId="48455EFF" w14:textId="77777777" w:rsidR="0090518E" w:rsidRPr="00C33834" w:rsidRDefault="0090518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НКТП проработать вопрос об импорте для расширения завода им. т.Сталина, исходя из максимальной суммы в 3.000.000 рублей; остальную потребность в импортном оборудования удовлетворить за счет тщательной проверки использования имеющихся излишков на других заводах НКТПю</w:t>
      </w:r>
    </w:p>
    <w:p w14:paraId="285A49A9" w14:textId="77777777" w:rsidR="0090518E" w:rsidRPr="00C33834" w:rsidRDefault="0090518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тютю Орджоникидзе, Куйбышеву, Межлауку</w:t>
      </w:r>
    </w:p>
    <w:p w14:paraId="2AC896E3" w14:textId="77777777" w:rsidR="0090518E" w:rsidRPr="00C33834" w:rsidRDefault="0090518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25 августа 1933 опросом членов ПБ</w:t>
      </w:r>
    </w:p>
    <w:p w14:paraId="6C5148AC" w14:textId="77777777" w:rsidR="0090518E" w:rsidRPr="00C33834" w:rsidRDefault="0090518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98/74.- Водросы Комиссии обороны</w:t>
      </w:r>
    </w:p>
    <w:p w14:paraId="055DCFE5" w14:textId="77777777" w:rsidR="0090518E" w:rsidRPr="00C33834" w:rsidRDefault="0090518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Утвердить постановления СТО:</w:t>
      </w:r>
    </w:p>
    <w:p w14:paraId="7AFD3CC2" w14:textId="77777777" w:rsidR="0090518E" w:rsidRPr="00C33834" w:rsidRDefault="0090518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О выделении из резервного фонда СНК СССР 200 тыс. рублей валюты на приобретение импортных деталей трубчатки и брайсточной установки для развития производ</w:t>
      </w:r>
      <w:r w:rsidRPr="00C33834">
        <w:rPr>
          <w:rFonts w:ascii="Times New Roman" w:hAnsi="Times New Roman"/>
          <w:color w:val="0070C0"/>
          <w:sz w:val="16"/>
          <w:szCs w:val="16"/>
        </w:rPr>
        <w:softHyphen/>
        <w:t>ства авиамасел;</w:t>
      </w:r>
    </w:p>
    <w:p w14:paraId="6010E3FF" w14:textId="77777777" w:rsidR="0090518E" w:rsidRPr="00C33834" w:rsidRDefault="0090518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О закупкес НКВнешторгом в Америке и Европе сов</w:t>
      </w:r>
      <w:r w:rsidRPr="00C33834">
        <w:rPr>
          <w:rFonts w:ascii="Times New Roman" w:hAnsi="Times New Roman"/>
          <w:color w:val="0070C0"/>
          <w:sz w:val="16"/>
          <w:szCs w:val="16"/>
        </w:rPr>
        <w:softHyphen/>
        <w:t>ременных образцов авиатоплив и масел;</w:t>
      </w:r>
    </w:p>
    <w:p w14:paraId="0307A1DB" w14:textId="77777777" w:rsidR="0090518E" w:rsidRPr="00C33834" w:rsidRDefault="0090518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О командировании в Америку и Европу комиссии для изучения производства авиатоплив, авиамасел и обо</w:t>
      </w:r>
      <w:r w:rsidRPr="00C33834">
        <w:rPr>
          <w:rFonts w:ascii="Times New Roman" w:hAnsi="Times New Roman"/>
          <w:color w:val="0070C0"/>
          <w:sz w:val="16"/>
          <w:szCs w:val="16"/>
        </w:rPr>
        <w:softHyphen/>
        <w:t>рудования для них.</w:t>
      </w:r>
    </w:p>
    <w:p w14:paraId="56D8F778" w14:textId="77777777" w:rsidR="0090518E" w:rsidRPr="00C33834" w:rsidRDefault="0090518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Базилевичу, Мирошникову (22994).</w:t>
      </w:r>
    </w:p>
    <w:p w14:paraId="5C9A972D" w14:textId="77777777" w:rsidR="0090518E" w:rsidRPr="00C33834" w:rsidRDefault="0090518E" w:rsidP="00C33834">
      <w:pPr>
        <w:spacing w:after="0" w:line="240" w:lineRule="auto"/>
        <w:jc w:val="both"/>
        <w:rPr>
          <w:rFonts w:ascii="Times New Roman" w:hAnsi="Times New Roman"/>
          <w:color w:val="0070C0"/>
          <w:sz w:val="16"/>
          <w:szCs w:val="16"/>
        </w:rPr>
      </w:pPr>
    </w:p>
    <w:p w14:paraId="2CF9590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августа 1933 Нач. вооружений РККА выпустил приказ по системе химического вооружения (3879,25).</w:t>
      </w:r>
    </w:p>
    <w:p w14:paraId="74D99D2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5B6F2780"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524B5235"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E9DACF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августа 1933 была пущена на полную мощность Шатурская ГЭС (3481).</w:t>
      </w:r>
    </w:p>
    <w:p w14:paraId="7202822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654747D6" w14:textId="77777777" w:rsidR="00D142A2" w:rsidRPr="00C33834" w:rsidRDefault="00D142A2"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 xml:space="preserve">28 августа </w:t>
      </w:r>
      <w:r w:rsidRPr="00C33834">
        <w:rPr>
          <w:rFonts w:ascii="Times New Roman" w:hAnsi="Times New Roman"/>
          <w:color w:val="000000" w:themeColor="text1"/>
          <w:sz w:val="16"/>
          <w:szCs w:val="16"/>
        </w:rPr>
        <w:t>в 1933 году постановление СНК СССР, согласно которому сельские жители лишались паспортов. Отменено 28 августа 1974 г. (14752).</w:t>
      </w:r>
    </w:p>
    <w:p w14:paraId="7A9BD5C0" w14:textId="77777777" w:rsidR="00D142A2" w:rsidRPr="00C33834" w:rsidRDefault="00D142A2" w:rsidP="00C33834">
      <w:pPr>
        <w:spacing w:after="0" w:line="240" w:lineRule="auto"/>
        <w:jc w:val="both"/>
        <w:rPr>
          <w:rFonts w:ascii="Times New Roman" w:hAnsi="Times New Roman"/>
          <w:color w:val="000000" w:themeColor="text1"/>
          <w:sz w:val="16"/>
          <w:szCs w:val="16"/>
        </w:rPr>
      </w:pPr>
    </w:p>
    <w:p w14:paraId="47640E00"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479FB87"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6B3489A" w14:textId="77777777" w:rsidR="00D142A2" w:rsidRPr="00C33834" w:rsidRDefault="00D142A2"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28 августа 1933 года (по 25 мая 1934 года)</w:t>
      </w:r>
      <w:r w:rsidRPr="00C33834">
        <w:rPr>
          <w:rFonts w:ascii="Times New Roman" w:hAnsi="Times New Roman"/>
          <w:color w:val="000000" w:themeColor="text1"/>
          <w:sz w:val="16"/>
          <w:szCs w:val="16"/>
        </w:rPr>
        <w:t xml:space="preserve"> Начался уникальный для латвийской авиации перелет с промежуточными посадками на самолете для дальнего перелета, сконструированном и построенном культовой фигурой латвийской авиации, летчиком-энтузиастом Хербертсом Цукурсом - С-3 Kurzemes hercogiene. Из Риги до Данцига, до Берлина и Ле Бурже, затем через Пуатье, Бордо и Перпиньян в Испанию. Там - Барселона - Валенсия - Малага, и первый латвийский перелет в Африку - Танжер - Касабланка - Дакар - Батерст. Последний пункт был символичным - так как Гамбия являлась в 16 веке колонией Курляндского Герцогства, и в 20-30-е годы в Латвии был распространен "колониальный дух". Первый этап перелета занял 68 дней (до 3 ноября), было покрыто 7600 км. На обратном пути Цуцурс установил на самолете новый мотор. После триумфальной встречи в Латвии Цукурс был повышен до капитана и служил в ВВС Латвии, попутно продолжая перелеты. К сожалению, во Второй мировой войне он стал руководителем зондеркоманды, осуществлявшей массовые экзекуции евреев. Бежал за океан, но в 1961 был убит в Монтевидео агентами "Моссада" (14752).</w:t>
      </w:r>
    </w:p>
    <w:p w14:paraId="16F51EA1" w14:textId="77777777" w:rsidR="00D142A2" w:rsidRPr="00C33834" w:rsidRDefault="00D142A2" w:rsidP="00C33834">
      <w:pPr>
        <w:spacing w:after="0" w:line="240" w:lineRule="auto"/>
        <w:jc w:val="both"/>
        <w:rPr>
          <w:rFonts w:ascii="Times New Roman" w:hAnsi="Times New Roman"/>
          <w:color w:val="000000" w:themeColor="text1"/>
          <w:sz w:val="16"/>
          <w:szCs w:val="16"/>
        </w:rPr>
      </w:pPr>
    </w:p>
    <w:p w14:paraId="54A4C26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августа 1933 в Англии полиция впервые обратилась к населению по телевизору с просьбой помочь в розыске человека (3481).</w:t>
      </w:r>
    </w:p>
    <w:p w14:paraId="4FC3DBC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27D3A874"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DF23C55"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101930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августа 1933 состоялось совещание у начальника Глававиапрома П.И.Б. (протокол 115 - 2292,228) где признали целесообразным постройку первой головной машины ТБ-4 по типу МГ (1077,178).</w:t>
      </w:r>
    </w:p>
    <w:p w14:paraId="44730B1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0C7DB2D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29 августа 1933 года Главный инженер механик НИИ ВВС Аузан утвердил Тактико-технические требования к транспортному самолету (типа ТII) с мотором М34 - 750/800 л.с. с редуктором (Мажаева).</w:t>
      </w:r>
    </w:p>
    <w:p w14:paraId="4D41FBF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летно-тактические данные</w:t>
      </w:r>
    </w:p>
    <w:p w14:paraId="776C8FE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 полезной нагрузкой 2769 кг и запасом горючего и смазочного для себя, обеспечивающими техническую дальность полета самолета 1000 км на высоте 1000 м должен обладать нижеследующими летными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5F059DC5" w14:textId="77777777">
        <w:tc>
          <w:tcPr>
            <w:tcW w:w="5636" w:type="dxa"/>
          </w:tcPr>
          <w:p w14:paraId="1ADA0C0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 горизонтальная скорость на высоте 1000 м</w:t>
            </w:r>
          </w:p>
        </w:tc>
        <w:tc>
          <w:tcPr>
            <w:tcW w:w="5636" w:type="dxa"/>
          </w:tcPr>
          <w:p w14:paraId="3A0B4FE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 км/час</w:t>
            </w:r>
          </w:p>
        </w:tc>
      </w:tr>
      <w:tr w:rsidR="00F26F01" w:rsidRPr="00C33834" w14:paraId="572988A2" w14:textId="77777777">
        <w:tc>
          <w:tcPr>
            <w:tcW w:w="5636" w:type="dxa"/>
          </w:tcPr>
          <w:p w14:paraId="75827FA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Посадочная скорость</w:t>
            </w:r>
          </w:p>
        </w:tc>
        <w:tc>
          <w:tcPr>
            <w:tcW w:w="5636" w:type="dxa"/>
          </w:tcPr>
          <w:p w14:paraId="2A67475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 км/час</w:t>
            </w:r>
          </w:p>
        </w:tc>
      </w:tr>
      <w:tr w:rsidR="00F26F01" w:rsidRPr="00C33834" w14:paraId="7648025B" w14:textId="77777777">
        <w:tc>
          <w:tcPr>
            <w:tcW w:w="5636" w:type="dxa"/>
          </w:tcPr>
          <w:p w14:paraId="6F6BA47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Практический потолок</w:t>
            </w:r>
          </w:p>
        </w:tc>
        <w:tc>
          <w:tcPr>
            <w:tcW w:w="5636" w:type="dxa"/>
          </w:tcPr>
          <w:p w14:paraId="0F922FF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3000-3500 м</w:t>
            </w:r>
          </w:p>
        </w:tc>
      </w:tr>
    </w:tbl>
    <w:p w14:paraId="438F4A2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 емкость расходных баков (для себя) должна обеспечить дальность полета в 1300 км.</w:t>
      </w:r>
    </w:p>
    <w:p w14:paraId="6B1CA5F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 самолета.</w:t>
      </w:r>
    </w:p>
    <w:p w14:paraId="4518C35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Транспортный самолет, рассчитанный для снабжения следующих объектов:</w:t>
      </w:r>
    </w:p>
    <w:p w14:paraId="620B825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Авиачастей, легкого и тяжелого типа, находящихся в отрыве от баз снабжения.</w:t>
      </w:r>
    </w:p>
    <w:p w14:paraId="6E94A00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Наземных частей, находящихся в рейде, в состав которых войдут: 1. Мотомех-войска; 2. Конница; 3. Артиллерия.</w:t>
      </w:r>
    </w:p>
    <w:p w14:paraId="56CCAEA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Партизанских отрядов и восстаний в тылу противника.</w:t>
      </w:r>
    </w:p>
    <w:p w14:paraId="0555CCE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Мото-мех частей, находящихся в отрыве от базы или действующих в тылу противника.</w:t>
      </w:r>
    </w:p>
    <w:p w14:paraId="47A1D01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Частей пехоты и артиллерии, находящихся в окружении.</w:t>
      </w:r>
    </w:p>
    <w:p w14:paraId="25B9FCD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Десантных подразделений специального назначения.</w:t>
      </w:r>
    </w:p>
    <w:p w14:paraId="6B24C9A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Переброска срочных грузов в своем тылу.</w:t>
      </w:r>
    </w:p>
    <w:p w14:paraId="7D59ACF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Метод применения.</w:t>
      </w:r>
    </w:p>
    <w:p w14:paraId="744D65B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над своей территорией одиночными самолетами, а над территорией противника как правило группами.</w:t>
      </w:r>
    </w:p>
    <w:p w14:paraId="5843B2D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Защита групповых транспортных самолетов должна основываться на сопровождении двухместными самолетами истребителями. Самозащита заключается в одной турельной установке с одним пулеметом для обстрела верхней полусферы. В особых случаях устанавливаются 3 дополнительных пулемета ДА, за счет перевозимого груза.</w:t>
      </w:r>
    </w:p>
    <w:p w14:paraId="38308CB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применения в пределах от 1000 м до 2500 м.</w:t>
      </w:r>
    </w:p>
    <w:p w14:paraId="3994161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Последовательность выполнения требований.</w:t>
      </w:r>
    </w:p>
    <w:p w14:paraId="011F30C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Быстрота, удобство и возможность загрузи самолета любым грузом или любой комбинацией грузов в пределах полезной нагрузки.</w:t>
      </w:r>
    </w:p>
    <w:p w14:paraId="249E979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Диапазон скоростей.</w:t>
      </w:r>
    </w:p>
    <w:p w14:paraId="732A1AC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Взлетные качества и потолок.</w:t>
      </w:r>
    </w:p>
    <w:p w14:paraId="3153107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должен иметь приспособления и обладать соответствующей грузоемкостью для перевозки следующих грузов:</w:t>
      </w:r>
    </w:p>
    <w:p w14:paraId="5AAC5DC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Горючее и смазочное.</w:t>
      </w:r>
    </w:p>
    <w:p w14:paraId="2195A6D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ОВ в баллонах или в специально установленных баках, по типу баков, предназначенных для горючего.</w:t>
      </w:r>
    </w:p>
    <w:p w14:paraId="052EEF1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Авиабомбы, калибром до 250 кг.</w:t>
      </w:r>
    </w:p>
    <w:p w14:paraId="7495E19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Патроны в обычной укупорке в ящиках или цинках. Ружейные или ручные гранаты.</w:t>
      </w:r>
    </w:p>
    <w:p w14:paraId="34FB970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Артиллерийские снаряды для орудий, состоящих на вооружении авиации и легкой артиллерии. Перевозка может совершаться в постоянной, обычной для данного типа груза укупорке или. В крайнем случае на специальных стеллажах без укупорки.</w:t>
      </w:r>
    </w:p>
    <w:p w14:paraId="32DE8EB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Пулеметы авиационные и наземные всех типов в специальной укупорке.</w:t>
      </w:r>
    </w:p>
    <w:p w14:paraId="1F14BBE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Винтовки в постоянной укупорке.</w:t>
      </w:r>
    </w:p>
    <w:p w14:paraId="797A193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Запасные части к моторам и сами моторы в количестве 1-2 одновременно.</w:t>
      </w:r>
    </w:p>
    <w:p w14:paraId="5C26FE1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крупные запчасти к самолетам.</w:t>
      </w:r>
    </w:p>
    <w:p w14:paraId="5EEEBCC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Радиостанции самолетные в специальной укупорке.</w:t>
      </w:r>
    </w:p>
    <w:p w14:paraId="07CC106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Авиафотоаппараты в специальной укупорке.</w:t>
      </w:r>
    </w:p>
    <w:p w14:paraId="3A9D320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Личный состав авиачастей и других родов в количестве 15-20 человек.</w:t>
      </w:r>
    </w:p>
    <w:p w14:paraId="3B9519C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Баллоны со сжатым воздухом, кислородом.</w:t>
      </w:r>
    </w:p>
    <w:p w14:paraId="6209A11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Инструмент для ангарного ремонта самолетов.</w:t>
      </w:r>
    </w:p>
    <w:p w14:paraId="2676782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Мелкое аэродромное оборудование: воронки, ведра, огнетушители, переносные аэродромные знаки.</w:t>
      </w:r>
    </w:p>
    <w:p w14:paraId="29EC46D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Литература в пачках.</w:t>
      </w:r>
    </w:p>
    <w:p w14:paraId="686745D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Медикаменты.</w:t>
      </w:r>
    </w:p>
    <w:p w14:paraId="5CEEC30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Фотохимикалии.</w:t>
      </w:r>
    </w:p>
    <w:p w14:paraId="4EBD151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Консервы и галеты в ящиках, пища в термосах (32 литра).</w:t>
      </w:r>
    </w:p>
    <w:p w14:paraId="46E032D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 Желательно предусмотреть перевозку пушек.</w:t>
      </w:r>
    </w:p>
    <w:p w14:paraId="220AF6C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должен иметь соответствующие приспособления для сбрасывания и допускать сбрасывание на парашютах следующих грузов: пулеметы, патроны, горючее и смазочное, люди, медикаменты и литература.</w:t>
      </w:r>
    </w:p>
    <w:p w14:paraId="19AA5BF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на загрузку одной машины с момента доставки грузов к машине или подруливания самолета к месту расположения грузов не должно превышать 1 часа для любого типа грузов.</w:t>
      </w:r>
    </w:p>
    <w:p w14:paraId="37967EC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на выгрузку перевезенных грузов не должно занимать более 10-15 минут. Выгрузка всех перевезенных людей на парашютах должна производиться не более чем в 20 секунд.</w:t>
      </w:r>
    </w:p>
    <w:p w14:paraId="238B4C2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должен быть построен с применением отечественных материалов и полуфабрикатов отечественного производства. Применение заграничных материалов и полуфабрикатов исключая алюминий допускается лишь при наличии возможности получения аналогичных советских материалов для серийной продукции не позднее выхода самолета на испытания.</w:t>
      </w:r>
    </w:p>
    <w:p w14:paraId="31F61BB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Конструкция самолета должна быть проникнута идеей дешевизны и легкости производства ее в серии с сохранением минимального веса конструкции. Вес полной нормальной нагрузки самолета должен составлять не менее 50% полетного веса.</w:t>
      </w:r>
    </w:p>
    <w:p w14:paraId="4990F16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 как основной целью создания транспортника является его экономичность и грузоподъемность, то на получение наименьшего веса конструкции самолета должно быть обращено сугубое внимание.</w:t>
      </w:r>
    </w:p>
    <w:p w14:paraId="5889B45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 должно найти отражение в самой конструкции машины, где прежде всего широко должны быть использованы пластмассы......(3903,3-11).</w:t>
      </w:r>
    </w:p>
    <w:p w14:paraId="35D74E3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1FE1203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августа 1933 прошло совещание у Н.М.Харламова совместно с директором завода Левцовым и техническим директором Дайбог о производстве ТБ-4 (1077,179).</w:t>
      </w:r>
    </w:p>
    <w:p w14:paraId="1A9E0F0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3D0B3999" w14:textId="77777777" w:rsidR="00155128" w:rsidRPr="00C33834" w:rsidRDefault="001551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29 августа 1934 года начальник УВС РККА Я. И. Алкснис утвердил тактико-технические требования на ближний бом</w:t>
      </w:r>
      <w:r w:rsidRPr="00C33834">
        <w:rPr>
          <w:rFonts w:ascii="Times New Roman" w:hAnsi="Times New Roman"/>
          <w:color w:val="0070C0"/>
          <w:sz w:val="16"/>
          <w:szCs w:val="16"/>
        </w:rPr>
        <w:softHyphen/>
        <w:t>бардировщик, а непосредственное руководство про</w:t>
      </w:r>
      <w:r w:rsidRPr="00C33834">
        <w:rPr>
          <w:rFonts w:ascii="Times New Roman" w:hAnsi="Times New Roman"/>
          <w:color w:val="0070C0"/>
          <w:sz w:val="16"/>
          <w:szCs w:val="16"/>
        </w:rPr>
        <w:softHyphen/>
        <w:t>ектированием машины взял на себя С. В. Ильюшин, одновременно возглавлявший третью бригаду ЦКБ.</w:t>
      </w:r>
    </w:p>
    <w:p w14:paraId="72AD65DD" w14:textId="77777777" w:rsidR="00155128" w:rsidRPr="00C33834" w:rsidRDefault="001551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Есть основание полагать, что в основу ЦКБ-26 был положен один из проектов Н. Н. Поликарпова. Дело в том, что Николай Николаевич часто конфлик</w:t>
      </w:r>
      <w:r w:rsidRPr="00C33834">
        <w:rPr>
          <w:rFonts w:ascii="Times New Roman" w:hAnsi="Times New Roman"/>
          <w:color w:val="0070C0"/>
          <w:sz w:val="16"/>
          <w:szCs w:val="16"/>
        </w:rPr>
        <w:softHyphen/>
        <w:t>товал с А. Н.Туполевым, не разделяя его взглядов на развитие истребительной авиации. В 1931 году отдел авиации и гидроавиации непродолжительное время входил в состав ЦКБ; и Туполев успел и там «оставить свой след», сняв Поликарпова с долж</w:t>
      </w:r>
      <w:r w:rsidRPr="00C33834">
        <w:rPr>
          <w:rFonts w:ascii="Times New Roman" w:hAnsi="Times New Roman"/>
          <w:color w:val="0070C0"/>
          <w:sz w:val="16"/>
          <w:szCs w:val="16"/>
        </w:rPr>
        <w:softHyphen/>
        <w:t>ности начальника истребительной бригады. Илью</w:t>
      </w:r>
      <w:r w:rsidRPr="00C33834">
        <w:rPr>
          <w:rFonts w:ascii="Times New Roman" w:hAnsi="Times New Roman"/>
          <w:color w:val="0070C0"/>
          <w:sz w:val="16"/>
          <w:szCs w:val="16"/>
        </w:rPr>
        <w:softHyphen/>
        <w:t>шин же не разделял взглядов «патриарха советского самолетостроения» и поручил Поликарпову разра</w:t>
      </w:r>
      <w:r w:rsidRPr="00C33834">
        <w:rPr>
          <w:rFonts w:ascii="Times New Roman" w:hAnsi="Times New Roman"/>
          <w:color w:val="0070C0"/>
          <w:sz w:val="16"/>
          <w:szCs w:val="16"/>
        </w:rPr>
        <w:softHyphen/>
        <w:t>ботку истребителей И-15 и И-16, ставших, как из</w:t>
      </w:r>
      <w:r w:rsidRPr="00C33834">
        <w:rPr>
          <w:rFonts w:ascii="Times New Roman" w:hAnsi="Times New Roman"/>
          <w:color w:val="0070C0"/>
          <w:sz w:val="16"/>
          <w:szCs w:val="16"/>
        </w:rPr>
        <w:softHyphen/>
        <w:t>вестно, в 1941 году главной сдерживающей силой против немцев в начальный период Великой Отече</w:t>
      </w:r>
      <w:r w:rsidRPr="00C33834">
        <w:rPr>
          <w:rFonts w:ascii="Times New Roman" w:hAnsi="Times New Roman"/>
          <w:color w:val="0070C0"/>
          <w:sz w:val="16"/>
          <w:szCs w:val="16"/>
        </w:rPr>
        <w:softHyphen/>
        <w:t>ственной войны.</w:t>
      </w:r>
    </w:p>
    <w:p w14:paraId="0129D3D6" w14:textId="77777777" w:rsidR="00155128" w:rsidRPr="00C33834" w:rsidRDefault="0015512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благодарность за это Поликарпов, возглавив свое КБ, и оставил Сергею Владимировичу недо- введенный до конца проект будущего ББ-2.  (23188).</w:t>
      </w:r>
    </w:p>
    <w:p w14:paraId="3CB078A8" w14:textId="77777777" w:rsidR="00155128" w:rsidRPr="00C33834" w:rsidRDefault="00155128" w:rsidP="00C33834">
      <w:pPr>
        <w:spacing w:after="0" w:line="240" w:lineRule="auto"/>
        <w:jc w:val="both"/>
        <w:rPr>
          <w:rFonts w:ascii="Times New Roman" w:hAnsi="Times New Roman"/>
          <w:color w:val="0070C0"/>
          <w:sz w:val="16"/>
          <w:szCs w:val="16"/>
        </w:rPr>
      </w:pPr>
    </w:p>
    <w:p w14:paraId="0B388EDA" w14:textId="77777777" w:rsidR="00863F47" w:rsidRPr="00C33834" w:rsidRDefault="00863F4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29 августа 1933 в 4.30 «СССР В-3» вылетел из Москвы в Иваново-Вознесенск в свой сотый рейс. В 8.30 дирижабль прибыл в Иваново. За час до прилёта дирижабль установил связь с мест</w:t>
      </w:r>
      <w:r w:rsidRPr="00C33834">
        <w:rPr>
          <w:rFonts w:ascii="Times New Roman" w:hAnsi="Times New Roman"/>
          <w:color w:val="0070C0"/>
          <w:sz w:val="16"/>
          <w:szCs w:val="16"/>
        </w:rPr>
        <w:softHyphen/>
        <w:t>ными радистами-коротковолновиками. Для приёма дирижабля организовали команду из курсантов лётной школы Осоавиахима. В тор</w:t>
      </w:r>
      <w:r w:rsidRPr="00C33834">
        <w:rPr>
          <w:rFonts w:ascii="Times New Roman" w:hAnsi="Times New Roman"/>
          <w:color w:val="0070C0"/>
          <w:sz w:val="16"/>
          <w:szCs w:val="16"/>
        </w:rPr>
        <w:softHyphen/>
        <w:t>жественной встрече приняли участие ударники ивановских заводов. На следующий день, между 12.00 и 18.00, «СССР В-3» выполнил пять полё</w:t>
      </w:r>
      <w:r w:rsidRPr="00C33834">
        <w:rPr>
          <w:rFonts w:ascii="Times New Roman" w:hAnsi="Times New Roman"/>
          <w:color w:val="0070C0"/>
          <w:sz w:val="16"/>
          <w:szCs w:val="16"/>
        </w:rPr>
        <w:softHyphen/>
        <w:t>тов над городом с ударниками местных фабрик и заводов. Во время четвёртого рейса с дирижа</w:t>
      </w:r>
      <w:r w:rsidRPr="00C33834">
        <w:rPr>
          <w:rFonts w:ascii="Times New Roman" w:hAnsi="Times New Roman"/>
          <w:color w:val="0070C0"/>
          <w:sz w:val="16"/>
          <w:szCs w:val="16"/>
        </w:rPr>
        <w:softHyphen/>
        <w:t>бля, шедшего на высоте 350 м, продемонстри</w:t>
      </w:r>
      <w:r w:rsidRPr="00C33834">
        <w:rPr>
          <w:rFonts w:ascii="Times New Roman" w:hAnsi="Times New Roman"/>
          <w:color w:val="0070C0"/>
          <w:sz w:val="16"/>
          <w:szCs w:val="16"/>
        </w:rPr>
        <w:softHyphen/>
        <w:t>ровали прыжки с парашютом. При полётах над городом разбрасывались листовки. Из Иваново «СССР В-3» вылетел 30 августа в 18.30 и пришёл на базу после 7 часов ночного полёта (20120).</w:t>
      </w:r>
    </w:p>
    <w:p w14:paraId="13CCFFC3" w14:textId="77777777" w:rsidR="00863F47" w:rsidRPr="00C33834" w:rsidRDefault="00863F47" w:rsidP="00C33834">
      <w:pPr>
        <w:spacing w:after="0" w:line="240" w:lineRule="auto"/>
        <w:jc w:val="both"/>
        <w:rPr>
          <w:rFonts w:ascii="Times New Roman" w:hAnsi="Times New Roman"/>
          <w:color w:val="0070C0"/>
          <w:sz w:val="16"/>
          <w:szCs w:val="16"/>
        </w:rPr>
      </w:pPr>
    </w:p>
    <w:p w14:paraId="3A7CA904" w14:textId="77777777" w:rsidR="00863F47" w:rsidRPr="00C33834" w:rsidRDefault="00863F4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29 августа 1933 г. «СССР В-2» вышел на трассу Москва — Казань, но из-за сильного встречного ветра и необеспеченности промежуточной базы в Арзамасе горючим вернулся. На следующий день в 5.40 он вторично вылетел из Москвы в аги</w:t>
      </w:r>
      <w:r w:rsidRPr="00C33834">
        <w:rPr>
          <w:rFonts w:ascii="Times New Roman" w:hAnsi="Times New Roman"/>
          <w:color w:val="0070C0"/>
          <w:sz w:val="16"/>
          <w:szCs w:val="16"/>
        </w:rPr>
        <w:softHyphen/>
        <w:t>тационный полёт на Казань. От посадки в Арза</w:t>
      </w:r>
      <w:r w:rsidRPr="00C33834">
        <w:rPr>
          <w:rFonts w:ascii="Times New Roman" w:hAnsi="Times New Roman"/>
          <w:color w:val="0070C0"/>
          <w:sz w:val="16"/>
          <w:szCs w:val="16"/>
        </w:rPr>
        <w:softHyphen/>
        <w:t>масе пришлось отказаться из-за неготовности к приёмке дирижабля на местном аэродроме. В 15.30 дирижабль прибыл в столицу Советской Татарии, пройдя 840 км за 9 ч 50 мин. (20120).</w:t>
      </w:r>
    </w:p>
    <w:p w14:paraId="5B6CDBBD" w14:textId="77777777" w:rsidR="00863F47" w:rsidRPr="00C33834" w:rsidRDefault="00863F47" w:rsidP="00C33834">
      <w:pPr>
        <w:spacing w:after="0" w:line="240" w:lineRule="auto"/>
        <w:jc w:val="both"/>
        <w:rPr>
          <w:rFonts w:ascii="Times New Roman" w:hAnsi="Times New Roman"/>
          <w:color w:val="0070C0"/>
          <w:sz w:val="16"/>
          <w:szCs w:val="16"/>
        </w:rPr>
      </w:pPr>
    </w:p>
    <w:p w14:paraId="7A36C0F7" w14:textId="77777777" w:rsidR="00863F47" w:rsidRPr="00C33834" w:rsidRDefault="00863F4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 29 августа 1933 г. по 5 марта 1934 г. выпустили 12 пар шаров-зондов: 10 пар с метеорографами различ</w:t>
      </w:r>
      <w:r w:rsidRPr="00C33834">
        <w:rPr>
          <w:rFonts w:ascii="Times New Roman" w:hAnsi="Times New Roman"/>
          <w:color w:val="0070C0"/>
          <w:sz w:val="16"/>
          <w:szCs w:val="16"/>
        </w:rPr>
        <w:softHyphen/>
        <w:t>ных систем (кие испытания метеорографов систем «Бош-Хергезелль» (Германия) и П.А. Молчано</w:t>
      </w:r>
      <w:r w:rsidRPr="00C33834">
        <w:rPr>
          <w:rFonts w:ascii="Times New Roman" w:hAnsi="Times New Roman"/>
          <w:color w:val="0070C0"/>
          <w:sz w:val="16"/>
          <w:szCs w:val="16"/>
        </w:rPr>
        <w:softHyphen/>
        <w:t>ва (СССР) провёл А.Б. Калиновский в Москов</w:t>
      </w:r>
      <w:r w:rsidRPr="00C33834">
        <w:rPr>
          <w:rFonts w:ascii="Times New Roman" w:hAnsi="Times New Roman"/>
          <w:color w:val="0070C0"/>
          <w:sz w:val="16"/>
          <w:szCs w:val="16"/>
        </w:rPr>
        <w:softHyphen/>
        <w:t>ской аэрологической обсерватории) и две пары с одинаковыми метеоро</w:t>
      </w:r>
      <w:r w:rsidRPr="00C33834">
        <w:rPr>
          <w:rFonts w:ascii="Times New Roman" w:hAnsi="Times New Roman"/>
          <w:color w:val="0070C0"/>
          <w:sz w:val="16"/>
          <w:szCs w:val="16"/>
        </w:rPr>
        <w:softHyphen/>
        <w:t>графами. Анализ полученных данных показал, что общий ход температуры и влажности мете</w:t>
      </w:r>
      <w:r w:rsidRPr="00C33834">
        <w:rPr>
          <w:rFonts w:ascii="Times New Roman" w:hAnsi="Times New Roman"/>
          <w:color w:val="0070C0"/>
          <w:sz w:val="16"/>
          <w:szCs w:val="16"/>
        </w:rPr>
        <w:softHyphen/>
        <w:t>орографов передавался достаточно идентично, и все особые точки отмечались приборами обоих типов. Максимальное расхождение данных тем</w:t>
      </w:r>
      <w:r w:rsidRPr="00C33834">
        <w:rPr>
          <w:rFonts w:ascii="Times New Roman" w:hAnsi="Times New Roman"/>
          <w:color w:val="0070C0"/>
          <w:sz w:val="16"/>
          <w:szCs w:val="16"/>
        </w:rPr>
        <w:softHyphen/>
        <w:t>пературы до 7-8 км не превышало 3°C, а в стра</w:t>
      </w:r>
      <w:r w:rsidRPr="00C33834">
        <w:rPr>
          <w:rFonts w:ascii="Times New Roman" w:hAnsi="Times New Roman"/>
          <w:color w:val="0070C0"/>
          <w:sz w:val="16"/>
          <w:szCs w:val="16"/>
        </w:rPr>
        <w:softHyphen/>
        <w:t>тосфере советский и германский метеорографы давали вполне согласное изменение температу</w:t>
      </w:r>
      <w:r w:rsidRPr="00C33834">
        <w:rPr>
          <w:rFonts w:ascii="Times New Roman" w:hAnsi="Times New Roman"/>
          <w:color w:val="0070C0"/>
          <w:sz w:val="16"/>
          <w:szCs w:val="16"/>
        </w:rPr>
        <w:softHyphen/>
        <w:t>ры. Отмечалась необходимость улучшить каче</w:t>
      </w:r>
      <w:r w:rsidRPr="00C33834">
        <w:rPr>
          <w:rFonts w:ascii="Times New Roman" w:hAnsi="Times New Roman"/>
          <w:color w:val="0070C0"/>
          <w:sz w:val="16"/>
          <w:szCs w:val="16"/>
        </w:rPr>
        <w:softHyphen/>
        <w:t>ство изготовления метеорографов П.А. Молча</w:t>
      </w:r>
      <w:r w:rsidRPr="00C33834">
        <w:rPr>
          <w:rFonts w:ascii="Times New Roman" w:hAnsi="Times New Roman"/>
          <w:color w:val="0070C0"/>
          <w:sz w:val="16"/>
          <w:szCs w:val="16"/>
        </w:rPr>
        <w:softHyphen/>
        <w:t>нова, которые требовалось рассчитывать на вы</w:t>
      </w:r>
      <w:r w:rsidRPr="00C33834">
        <w:rPr>
          <w:rFonts w:ascii="Times New Roman" w:hAnsi="Times New Roman"/>
          <w:color w:val="0070C0"/>
          <w:sz w:val="16"/>
          <w:szCs w:val="16"/>
        </w:rPr>
        <w:softHyphen/>
        <w:t>соты не менее 15 км, и изменить конструкцию их коробки давления для повышения точности измерений. П.А. Молчанов согласился с выводами А.Б. Калиновского, и в 1935 г. «Гидрогеоприбор» выпу</w:t>
      </w:r>
      <w:r w:rsidRPr="00C33834">
        <w:rPr>
          <w:rFonts w:ascii="Times New Roman" w:hAnsi="Times New Roman"/>
          <w:color w:val="0070C0"/>
          <w:sz w:val="16"/>
          <w:szCs w:val="16"/>
        </w:rPr>
        <w:softHyphen/>
        <w:t>стил шесть зондовых метеорографов, предназна</w:t>
      </w:r>
      <w:r w:rsidRPr="00C33834">
        <w:rPr>
          <w:rFonts w:ascii="Times New Roman" w:hAnsi="Times New Roman"/>
          <w:color w:val="0070C0"/>
          <w:sz w:val="16"/>
          <w:szCs w:val="16"/>
        </w:rPr>
        <w:softHyphen/>
        <w:t>чавшихся для определения температуры воздуха, давления и влажности на высотах свыше 20 км (20120).</w:t>
      </w:r>
    </w:p>
    <w:p w14:paraId="2195C5BC" w14:textId="77777777" w:rsidR="00863F47" w:rsidRPr="00C33834" w:rsidRDefault="00863F47" w:rsidP="00C33834">
      <w:pPr>
        <w:spacing w:after="0" w:line="240" w:lineRule="auto"/>
        <w:jc w:val="both"/>
        <w:rPr>
          <w:rFonts w:ascii="Times New Roman" w:hAnsi="Times New Roman"/>
          <w:color w:val="0070C0"/>
          <w:sz w:val="16"/>
          <w:szCs w:val="16"/>
        </w:rPr>
      </w:pPr>
    </w:p>
    <w:p w14:paraId="3CB3AE6D"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437637D"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BF08EB8" w14:textId="77777777" w:rsidR="00AB1245" w:rsidRPr="00C33834" w:rsidRDefault="00AB124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августа 1933</w:t>
      </w:r>
    </w:p>
    <w:p w14:paraId="06A020A8" w14:textId="77777777" w:rsidR="00AB1245" w:rsidRPr="00C33834" w:rsidRDefault="00AB124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Протокол № 144 заседания Политбюро ЦК ВКП(б) от 29 августа 1933 года</w:t>
      </w:r>
    </w:p>
    <w:p w14:paraId="48119197" w14:textId="77777777" w:rsidR="00AB1245" w:rsidRPr="00C33834" w:rsidRDefault="00AB124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Заседание Политбюро ЦК ВКП(б) от 29</w:t>
      </w:r>
      <w:r w:rsidRPr="00C33834">
        <w:rPr>
          <w:rFonts w:ascii="Times New Roman" w:hAnsi="Times New Roman"/>
          <w:color w:val="000000" w:themeColor="text1"/>
          <w:sz w:val="16"/>
          <w:szCs w:val="16"/>
        </w:rPr>
        <w:noBreakHyphen/>
        <w:t>го августа 1933 года.</w:t>
      </w:r>
    </w:p>
    <w:p w14:paraId="650B2F69" w14:textId="77777777" w:rsidR="00AB1245" w:rsidRPr="00C33834" w:rsidRDefault="00AB124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39/18: Об орудийных заводах</w:t>
      </w:r>
    </w:p>
    <w:p w14:paraId="7926BC03" w14:textId="77777777" w:rsidR="00AB1245" w:rsidRPr="00C33834" w:rsidRDefault="00AB124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Выделить из Орудийно-Арсенального объединения орудийные заводы и подчинить их непосредственно НКТПрому.</w:t>
      </w:r>
    </w:p>
    <w:p w14:paraId="5E07BC5E" w14:textId="77777777" w:rsidR="00AB1245" w:rsidRPr="00C33834" w:rsidRDefault="00AB124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Организовать арсенальный трест, подчинив ему арсеналы.</w:t>
      </w:r>
    </w:p>
    <w:p w14:paraId="69D256F6" w14:textId="77777777" w:rsidR="00AB1245" w:rsidRPr="00C33834" w:rsidRDefault="00AB124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Назначить т. Будняка директором завода “Баррикады”, поставив перед ним, как боевую задачу, в минимальный срок закончить реконструкцию завода и наладить образцовую постановку дела.</w:t>
      </w:r>
    </w:p>
    <w:p w14:paraId="455EFC06" w14:textId="77777777" w:rsidR="00AB1245" w:rsidRPr="00C33834" w:rsidRDefault="00AB124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Освободить т. Сальникова от должности директора завода “Баррикады”. Назначить его управляющим Арсенальным трестом.</w:t>
      </w:r>
    </w:p>
    <w:p w14:paraId="67F75828" w14:textId="77777777" w:rsidR="00AB1245" w:rsidRPr="00C33834" w:rsidRDefault="00AB124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(18144).</w:t>
      </w:r>
    </w:p>
    <w:p w14:paraId="16FDD88A" w14:textId="77777777" w:rsidR="00AB1245" w:rsidRPr="00C33834" w:rsidRDefault="00AB124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Протокол № 144 заседания Политбюро ЦК ВКП(б) от 29 августа 1933 года</w:t>
      </w:r>
    </w:p>
    <w:p w14:paraId="2368F017" w14:textId="77777777" w:rsidR="00AB1245" w:rsidRPr="00C33834" w:rsidRDefault="00AB124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Заседание Политбюро ЦК ВКП(б) от 29</w:t>
      </w:r>
      <w:r w:rsidRPr="00C33834">
        <w:rPr>
          <w:rFonts w:ascii="Times New Roman" w:hAnsi="Times New Roman"/>
          <w:color w:val="000000" w:themeColor="text1"/>
          <w:sz w:val="16"/>
          <w:szCs w:val="16"/>
        </w:rPr>
        <w:noBreakHyphen/>
        <w:t>го августа 1933 года.</w:t>
      </w:r>
    </w:p>
    <w:p w14:paraId="0BCF608D" w14:textId="77777777" w:rsidR="00AB1245" w:rsidRPr="00C33834" w:rsidRDefault="00AB124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98/77: Вопросы Комиссии Обороны</w:t>
      </w:r>
    </w:p>
    <w:p w14:paraId="2DB7AB8F" w14:textId="77777777" w:rsidR="00AB1245" w:rsidRPr="00C33834" w:rsidRDefault="00AB124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 особая папка.</w:t>
      </w:r>
    </w:p>
    <w:p w14:paraId="7A3D5879" w14:textId="77777777" w:rsidR="00AB1245" w:rsidRPr="00C33834" w:rsidRDefault="00AB124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Утвердить постановление СТО:</w:t>
      </w:r>
    </w:p>
    <w:p w14:paraId="1E781DC2" w14:textId="77777777" w:rsidR="00AB1245" w:rsidRPr="00C33834" w:rsidRDefault="00AB124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 выделении из резервного фонда СНК СССР 200 тысяч рублей валюты на приобретение импортных деталей трубчатки и брайсточной установки для развития производства авиамасел;</w:t>
      </w:r>
    </w:p>
    <w:p w14:paraId="011A6270" w14:textId="77777777" w:rsidR="00AB1245" w:rsidRPr="00C33834" w:rsidRDefault="00AB124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 закупке Наркоматом внешней торговли в Америке и в Европе современных образцов авиатоплива и масел;</w:t>
      </w:r>
    </w:p>
    <w:p w14:paraId="6C3F16AF" w14:textId="77777777" w:rsidR="00AB1245" w:rsidRPr="00C33834" w:rsidRDefault="00AB124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 командировании в Америку и Европу комиссии для изучения производства авиатоплива, авиамасел и оборудования для них.</w:t>
      </w:r>
    </w:p>
    <w:p w14:paraId="4B563A06" w14:textId="77777777" w:rsidR="00AB1245" w:rsidRPr="00C33834" w:rsidRDefault="00AB124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Выписки посланы:</w:t>
      </w:r>
    </w:p>
    <w:p w14:paraId="45FCE6B3" w14:textId="77777777" w:rsidR="00AB1245" w:rsidRPr="00C33834" w:rsidRDefault="00AB124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Базилевичу, Мирошникову (18144).</w:t>
      </w:r>
    </w:p>
    <w:p w14:paraId="122B37CC" w14:textId="77777777" w:rsidR="00AB1245" w:rsidRPr="00C33834" w:rsidRDefault="00AB1245" w:rsidP="00C33834">
      <w:pPr>
        <w:spacing w:after="0" w:line="240" w:lineRule="auto"/>
        <w:jc w:val="both"/>
        <w:rPr>
          <w:rFonts w:ascii="Times New Roman" w:hAnsi="Times New Roman"/>
          <w:color w:val="000000" w:themeColor="text1"/>
          <w:sz w:val="16"/>
          <w:szCs w:val="16"/>
        </w:rPr>
      </w:pPr>
    </w:p>
    <w:p w14:paraId="1F084DA0" w14:textId="77777777" w:rsidR="00FD662C" w:rsidRPr="00C33834" w:rsidRDefault="00FD662C"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августа 1933 г. химическое имущество на 2 вагонах и 4 платформах в районе г. Себежа (ныне Псковская обл.) переправили через границу и 11 сентября через Ленинградский порт (10670,175).</w:t>
      </w:r>
    </w:p>
    <w:p w14:paraId="1C96B5AA" w14:textId="77777777" w:rsidR="00FD662C" w:rsidRPr="00C33834" w:rsidRDefault="00FD662C"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C3F99F" w14:textId="77777777" w:rsidR="0012348E" w:rsidRPr="00C33834" w:rsidRDefault="0012348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августа 1933</w:t>
      </w:r>
    </w:p>
    <w:p w14:paraId="654C31CF" w14:textId="77777777" w:rsidR="0012348E" w:rsidRPr="00C33834" w:rsidRDefault="0012348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Протокол № 144 заседания Политбюро ЦК ВКП(б) от 29 августа 1933 года</w:t>
      </w:r>
    </w:p>
    <w:p w14:paraId="371FC55D" w14:textId="77777777" w:rsidR="0012348E" w:rsidRPr="00C33834" w:rsidRDefault="0012348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Заседание Политбюро ЦК ВКП(б) от 29</w:t>
      </w:r>
      <w:r w:rsidRPr="00C33834">
        <w:rPr>
          <w:rFonts w:ascii="Times New Roman" w:hAnsi="Times New Roman"/>
          <w:color w:val="000000" w:themeColor="text1"/>
          <w:sz w:val="16"/>
          <w:szCs w:val="16"/>
        </w:rPr>
        <w:noBreakHyphen/>
        <w:t>го августа 1933 года.</w:t>
      </w:r>
    </w:p>
    <w:p w14:paraId="58E36197" w14:textId="77777777" w:rsidR="0012348E" w:rsidRPr="00C33834" w:rsidRDefault="0012348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Опросом членов Политбюро от 19.VIII.1933 г.</w:t>
      </w:r>
    </w:p>
    <w:p w14:paraId="2623D1C5" w14:textId="77777777" w:rsidR="0012348E" w:rsidRPr="00C33834" w:rsidRDefault="0012348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47/26: Об автозаводах</w:t>
      </w:r>
    </w:p>
    <w:p w14:paraId="47334C55" w14:textId="77777777" w:rsidR="0012348E" w:rsidRPr="00C33834" w:rsidRDefault="0012348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Признать необходимым развитие мощностей автозаводов:</w:t>
      </w:r>
    </w:p>
    <w:p w14:paraId="16042396" w14:textId="77777777" w:rsidR="0012348E" w:rsidRPr="00C33834" w:rsidRDefault="0012348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Ярославского — на 50.000 штук 5</w:t>
      </w:r>
      <w:r w:rsidRPr="00C33834">
        <w:rPr>
          <w:rFonts w:ascii="Times New Roman" w:hAnsi="Times New Roman"/>
          <w:color w:val="000000" w:themeColor="text1"/>
          <w:sz w:val="16"/>
          <w:szCs w:val="16"/>
        </w:rPr>
        <w:noBreakHyphen/>
        <w:t>ти тонных с небольшим количеством 8</w:t>
      </w:r>
      <w:r w:rsidRPr="00C33834">
        <w:rPr>
          <w:rFonts w:ascii="Times New Roman" w:hAnsi="Times New Roman"/>
          <w:color w:val="000000" w:themeColor="text1"/>
          <w:sz w:val="16"/>
          <w:szCs w:val="16"/>
        </w:rPr>
        <w:noBreakHyphen/>
        <w:t>ми тонных машин в год;</w:t>
      </w:r>
    </w:p>
    <w:p w14:paraId="37D5E8A4" w14:textId="77777777" w:rsidR="0012348E" w:rsidRPr="00C33834" w:rsidRDefault="0012348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 т. Сталина — на 80.000 машин в год, из них 10.000 легковых, взяв за основу тип “Бьюик” 1933 г.</w:t>
      </w:r>
    </w:p>
    <w:p w14:paraId="244AA96E" w14:textId="77777777" w:rsidR="0012348E" w:rsidRPr="00C33834" w:rsidRDefault="0012348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Построить завод “Новый АМО” в районе Урала мощностью в 200.000 машин в год.</w:t>
      </w:r>
    </w:p>
    <w:p w14:paraId="5F52B03C" w14:textId="77777777" w:rsidR="0012348E" w:rsidRPr="00C33834" w:rsidRDefault="0012348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Расширить ГАЗ им. Молотова до мощности в 300.000 машин, из них ⅓ легковых — лимузин.</w:t>
      </w:r>
    </w:p>
    <w:p w14:paraId="023FCE62" w14:textId="77777777" w:rsidR="0012348E" w:rsidRPr="00C33834" w:rsidRDefault="0012348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Сверх указанных мощностей на этих заводах должно быть предусмотрено производство соответствующего количества запасных частей.</w:t>
      </w:r>
    </w:p>
    <w:p w14:paraId="64DD3E3F" w14:textId="77777777" w:rsidR="0012348E" w:rsidRPr="00C33834" w:rsidRDefault="0012348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Решение — особая папка.</w:t>
      </w:r>
    </w:p>
    <w:p w14:paraId="16A9DD05" w14:textId="77777777" w:rsidR="0012348E" w:rsidRPr="00C33834" w:rsidRDefault="0012348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НКТП проработать вопрос об импорте для расширения завода им. Сталина, исходя из максимальной суммы в 3.000.000 рублей; остальную потребность в импортном оборудовании удовлетворить за счет тщательной проверки и использования имеющихся излишков на других заводах НКТП.</w:t>
      </w:r>
    </w:p>
    <w:p w14:paraId="0D90C30A" w14:textId="77777777" w:rsidR="0012348E" w:rsidRPr="00C33834" w:rsidRDefault="0012348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Выписки посланы:</w:t>
      </w:r>
    </w:p>
    <w:p w14:paraId="05970F48" w14:textId="77777777" w:rsidR="0012348E" w:rsidRPr="00C33834" w:rsidRDefault="0012348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Орджоникидзе, Куйбышеву, Межлауку В.</w:t>
      </w:r>
    </w:p>
    <w:p w14:paraId="0F31FCEC" w14:textId="77777777" w:rsidR="0012348E" w:rsidRPr="00C33834" w:rsidRDefault="0012348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При постановке производства легковых машин на заводе им. т. Сталина полностью использовать опыт завода “Красный Путиловец”.</w:t>
      </w:r>
    </w:p>
    <w:p w14:paraId="0BC0B351" w14:textId="77777777" w:rsidR="0012348E" w:rsidRPr="00C33834" w:rsidRDefault="0012348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НКТП совместно с Госпланом, на основе настоящего решения, проработать и внести предложения на утверждение ЦК ВКП(б).</w:t>
      </w:r>
    </w:p>
    <w:p w14:paraId="7AABEC22" w14:textId="77777777" w:rsidR="0012348E" w:rsidRPr="00C33834" w:rsidRDefault="0012348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работы — двухдекадный (18069).</w:t>
      </w:r>
    </w:p>
    <w:p w14:paraId="308EE005" w14:textId="77777777" w:rsidR="0012348E" w:rsidRPr="00C33834" w:rsidRDefault="0012348E" w:rsidP="00C33834">
      <w:pPr>
        <w:spacing w:after="0" w:line="240" w:lineRule="auto"/>
        <w:jc w:val="both"/>
        <w:rPr>
          <w:rFonts w:ascii="Times New Roman" w:hAnsi="Times New Roman"/>
          <w:color w:val="000000" w:themeColor="text1"/>
          <w:sz w:val="16"/>
          <w:szCs w:val="16"/>
        </w:rPr>
      </w:pPr>
    </w:p>
    <w:p w14:paraId="7434E978" w14:textId="77777777" w:rsidR="00D142A2" w:rsidRPr="00C33834" w:rsidRDefault="00D142A2" w:rsidP="00C33834">
      <w:pPr>
        <w:pStyle w:val="rtejustify"/>
        <w:spacing w:before="0" w:after="0"/>
        <w:rPr>
          <w:color w:val="000000" w:themeColor="text1"/>
          <w:sz w:val="16"/>
          <w:szCs w:val="16"/>
        </w:rPr>
      </w:pPr>
      <w:r w:rsidRPr="00C33834">
        <w:rPr>
          <w:rStyle w:val="af0"/>
          <w:bCs/>
          <w:i w:val="0"/>
          <w:color w:val="000000" w:themeColor="text1"/>
          <w:sz w:val="16"/>
          <w:szCs w:val="16"/>
        </w:rPr>
        <w:t>29 августа</w:t>
      </w:r>
      <w:r w:rsidRPr="00C33834">
        <w:rPr>
          <w:color w:val="000000" w:themeColor="text1"/>
          <w:sz w:val="16"/>
          <w:szCs w:val="16"/>
        </w:rPr>
        <w:t xml:space="preserve"> 1933. Протокол заседания Политбюро ЦК ВКП (б) № 144. </w:t>
      </w:r>
      <w:hyperlink r:id="rId307" w:anchor="showunit&amp;id=87356" w:history="1">
        <w:r w:rsidRPr="00C33834">
          <w:rPr>
            <w:rStyle w:val="a5"/>
            <w:color w:val="000000" w:themeColor="text1"/>
            <w:sz w:val="16"/>
            <w:szCs w:val="16"/>
          </w:rPr>
          <w:t>10. Об улучшении организационной структуры НКТП</w:t>
        </w:r>
      </w:hyperlink>
      <w:r w:rsidRPr="00C33834">
        <w:rPr>
          <w:color w:val="000000" w:themeColor="text1"/>
          <w:sz w:val="16"/>
          <w:szCs w:val="16"/>
        </w:rPr>
        <w:t xml:space="preserve"> (ПБ от 15 июля 1933 г., пр. № 141, п. 3) (Орджоникидзе, Молотов, Л. Каганович, М. Каганович, Ежов, Полонский). Решено: а) Утвердить с поправками выработанный комиссией проект постановления о специализации и разукрупнении главных управлений Наркомата тяжелой промышленности СССР и ликвидации соответствующих объединений и трестов. б) Утвердить начальников вновь организуемых главных управлений НКТП (далее дан список начальников и перечень управлений). </w:t>
      </w:r>
      <w:hyperlink r:id="rId308" w:anchor="showunit&amp;id=87367" w:history="1">
        <w:r w:rsidRPr="00C33834">
          <w:rPr>
            <w:rStyle w:val="a5"/>
            <w:color w:val="000000" w:themeColor="text1"/>
            <w:sz w:val="16"/>
            <w:szCs w:val="16"/>
          </w:rPr>
          <w:t>11. О производстве радиоприемников и о радиофикации</w:t>
        </w:r>
      </w:hyperlink>
      <w:r w:rsidRPr="00C33834">
        <w:rPr>
          <w:color w:val="000000" w:themeColor="text1"/>
          <w:sz w:val="16"/>
          <w:szCs w:val="16"/>
        </w:rPr>
        <w:t xml:space="preserve"> (Стецкий, Орджоникидзе, Межлаук, Рыков). Решено поручить Куйбышеву рассмотреть предложения Стецкого и Керженцева (с привлечением обоих) и учесть их при составлении пятилетнего плана по радиофикации. </w:t>
      </w:r>
      <w:hyperlink r:id="rId309" w:anchor="showunit&amp;id=87463" w:history="1">
        <w:r w:rsidRPr="00C33834">
          <w:rPr>
            <w:rStyle w:val="a5"/>
            <w:color w:val="000000" w:themeColor="text1"/>
            <w:sz w:val="16"/>
            <w:szCs w:val="16"/>
          </w:rPr>
          <w:t>39/18. Об орудийных заводах</w:t>
        </w:r>
      </w:hyperlink>
      <w:r w:rsidRPr="00C33834">
        <w:rPr>
          <w:color w:val="000000" w:themeColor="text1"/>
          <w:sz w:val="16"/>
          <w:szCs w:val="16"/>
        </w:rPr>
        <w:t xml:space="preserve"> (ПБ от 17 августа 1933 г.). Решено: а) Выделить из Орудийно-арсенального объединения орудийные заводы и подчинить их непосредственно Наркомату тяжелой промышленности. б) Организовать арсенальный трест, подчинив ему арсеналы. в) Назначить Будняка директором завода “Баррикады”, поставив ему боевую задачу в минимальный срок закончить реконструкцию завода и наладить образцовую постановку дела. г) Освободить Сальникова от должности директора завода “Баррикады”, назначив его управляющим арсенальным трестом. </w:t>
      </w:r>
      <w:hyperlink r:id="rId310" w:anchor="showunit&amp;id=87472" w:history="1">
        <w:r w:rsidRPr="00C33834">
          <w:rPr>
            <w:rStyle w:val="a5"/>
            <w:color w:val="000000" w:themeColor="text1"/>
            <w:sz w:val="16"/>
            <w:szCs w:val="16"/>
          </w:rPr>
          <w:t>47/26. Об автозаводах</w:t>
        </w:r>
      </w:hyperlink>
      <w:r w:rsidRPr="00C33834">
        <w:rPr>
          <w:color w:val="000000" w:themeColor="text1"/>
          <w:sz w:val="16"/>
          <w:szCs w:val="16"/>
        </w:rPr>
        <w:t xml:space="preserve"> (ПБ от 19 августа 1933 г.). — ОП. Решено: 1. Признать необходимым развитие мощностей автозаводов: Ярославского — на 50 000 штук пятитонных с небольшим количеством восьмитонных машин в год; им. Сталина — на 80 000 машин в год, из них 10 000 легковых, взяв за основу “Бьюик” 1933 г. Построить завод “Новый АМО” в районе Урала мощностью в 200 000 машин в год. Расширить ГАЗ им. Молотова до мощности в 300 000 машин, из них ⅓ легковых-лимузин. Сверх указанных мощностей на этих заводах должно быть предусмотрено производство соответствующего количества запасных частей. 2. НКТП проработать вопрос об импорте для расширения завода им. Сталина, исходя из максимальной суммы в 3 000 000 рублей; остальную потребность в импортном оборудовании удовлетворить за счет тщательной проверки и использования имеющихся излишков на других заводах НКТП</w:t>
      </w:r>
      <w:r w:rsidRPr="00C33834">
        <w:rPr>
          <w:color w:val="000000" w:themeColor="text1"/>
          <w:sz w:val="16"/>
          <w:szCs w:val="16"/>
        </w:rPr>
        <w:noBreakHyphen/>
        <w:t xml:space="preserve">ОП. 3. При постановке производства легковых машин на заводе им. Сталина полностью использовать опыт завода “Красный путиловец”. 4. НКТП совместно с Госпланом, на основе настоящего решения, проработать и внести предложения на утверждение ЦК ВКП(б). Срок работы — две декады. </w:t>
      </w:r>
      <w:hyperlink r:id="rId311" w:anchor="showunit&amp;id=87527" w:history="1">
        <w:r w:rsidRPr="00C33834">
          <w:rPr>
            <w:rStyle w:val="a5"/>
            <w:color w:val="000000" w:themeColor="text1"/>
            <w:sz w:val="16"/>
            <w:szCs w:val="16"/>
          </w:rPr>
          <w:t>97/76. Об отпуске средств Цудортрансу и НКТП</w:t>
        </w:r>
      </w:hyperlink>
      <w:r w:rsidRPr="00C33834">
        <w:rPr>
          <w:color w:val="000000" w:themeColor="text1"/>
          <w:sz w:val="16"/>
          <w:szCs w:val="16"/>
        </w:rPr>
        <w:t xml:space="preserve"> (ПБ от 25 августа 1933 г.). Решено утвердить постановление СНК СССР от 19 августа 1933 г. об отпуске из резервного фонда СНК СССР: 1) Цудотрансу — 12 миллионов рублей на окончание строительства заводов в Могилеве, Харькове, Тифлисе и Киеве; 2) Наркомату тяжелой промышленности — 6 миллионов рублей для развертывания работ по усилению существующих предприятий по ремонту боевых и транспортных машин. </w:t>
      </w:r>
      <w:hyperlink r:id="rId312" w:anchor="showunit&amp;id=87528" w:history="1">
        <w:r w:rsidRPr="00C33834">
          <w:rPr>
            <w:rStyle w:val="a5"/>
            <w:color w:val="000000" w:themeColor="text1"/>
            <w:sz w:val="16"/>
            <w:szCs w:val="16"/>
          </w:rPr>
          <w:t>98/77. Вопросы КО</w:t>
        </w:r>
      </w:hyperlink>
      <w:r w:rsidRPr="00C33834">
        <w:rPr>
          <w:color w:val="000000" w:themeColor="text1"/>
          <w:sz w:val="16"/>
          <w:szCs w:val="16"/>
        </w:rPr>
        <w:t xml:space="preserve"> (ПБ от 25 августа 1933 г.). — ОП. Решено утвердить постановление СТО: 1) о выделении из резервного фонда СНК СССР 200 тысяч рублей валюты на приобретение импортных деталей трубчатки и брайсточной установки для развития производства авиамасел; 2) о закупке Наркоматом внешней торговли в Америке и в Европе современных образцов авиатоплива и масел; 3) о командировании в Америку и Европу комиссии для изучения производства авиатоплива, авиамасел и оборудования для них. </w:t>
      </w:r>
      <w:hyperlink r:id="rId313" w:anchor="showunit&amp;id=87529" w:history="1">
        <w:r w:rsidRPr="00C33834">
          <w:rPr>
            <w:rStyle w:val="a5"/>
            <w:color w:val="000000" w:themeColor="text1"/>
            <w:sz w:val="16"/>
            <w:szCs w:val="16"/>
          </w:rPr>
          <w:t>99/78. О заводах им. Сталина и Сталинградском тракторном</w:t>
        </w:r>
      </w:hyperlink>
      <w:r w:rsidRPr="00C33834">
        <w:rPr>
          <w:color w:val="000000" w:themeColor="text1"/>
          <w:sz w:val="16"/>
          <w:szCs w:val="16"/>
        </w:rPr>
        <w:t xml:space="preserve"> (ПБ от 25 августа 1933 г.). — ОП. Решено освободить от призыва в 1933 г. по автозаводу им. Сталина 500 человек и по Сталинградскому тракторному заводу 300 человек ИТР и высококвалифицированных рабочих. </w:t>
      </w:r>
      <w:hyperlink r:id="rId314" w:anchor="showunit&amp;id=87421" w:history="1">
        <w:r w:rsidRPr="00C33834">
          <w:rPr>
            <w:rStyle w:val="a5"/>
            <w:color w:val="000000" w:themeColor="text1"/>
            <w:sz w:val="16"/>
            <w:szCs w:val="16"/>
          </w:rPr>
          <w:t>159/138. О строительных частях на Дальнем Востоке</w:t>
        </w:r>
      </w:hyperlink>
      <w:r w:rsidRPr="00C33834">
        <w:rPr>
          <w:color w:val="000000" w:themeColor="text1"/>
          <w:sz w:val="16"/>
          <w:szCs w:val="16"/>
        </w:rPr>
        <w:t xml:space="preserve"> (ПБ от 28 августа 1933 г.). — ОП. Решено принять предложение Гамарника и Тухачевского об организации на Дальнем Востоке строительных частей из военнообязанных по типу железнодорожного корпуса. Общую численность стройчастей на Дальнем Востоке определить в 30 тысяч человек, из которых 10</w:t>
      </w:r>
      <w:r w:rsidRPr="00C33834">
        <w:rPr>
          <w:color w:val="000000" w:themeColor="text1"/>
          <w:sz w:val="16"/>
          <w:szCs w:val="16"/>
        </w:rPr>
        <w:noBreakHyphen/>
        <w:t>15 тысяч должны быть использованы на стройках Наркомата по военным и морским делам и 15</w:t>
      </w:r>
      <w:r w:rsidRPr="00C33834">
        <w:rPr>
          <w:color w:val="000000" w:themeColor="text1"/>
          <w:sz w:val="16"/>
          <w:szCs w:val="16"/>
        </w:rPr>
        <w:noBreakHyphen/>
        <w:t>20 тысяч — на стройках Наркомата тяжелой промышленности (15462).</w:t>
      </w:r>
    </w:p>
    <w:p w14:paraId="2CED8FA4" w14:textId="77777777" w:rsidR="00D142A2" w:rsidRPr="00C33834" w:rsidRDefault="00D142A2" w:rsidP="00C33834">
      <w:pPr>
        <w:pStyle w:val="rtejustify"/>
        <w:spacing w:before="0" w:after="0"/>
        <w:rPr>
          <w:color w:val="000000" w:themeColor="text1"/>
          <w:sz w:val="16"/>
          <w:szCs w:val="16"/>
        </w:rPr>
      </w:pPr>
    </w:p>
    <w:p w14:paraId="30AC418C"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B5B6FD3"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7AC8A7A" w14:textId="77777777" w:rsidR="00863F47" w:rsidRPr="00C33834" w:rsidRDefault="00863F4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29 августа 1933 Трансконтинентальный и западный Air Ford 5-AT-B Trimotor NC9607 врезается в склон горы Меса недалеко от побережья, штат Нью-Мексико, во время шторма, убивая всех пяти человек на борту (20802).</w:t>
      </w:r>
    </w:p>
    <w:p w14:paraId="01492F2F" w14:textId="77777777" w:rsidR="00863F47" w:rsidRPr="00C33834" w:rsidRDefault="00863F47" w:rsidP="00C33834">
      <w:pPr>
        <w:spacing w:after="0" w:line="240" w:lineRule="auto"/>
        <w:jc w:val="both"/>
        <w:rPr>
          <w:rFonts w:ascii="Times New Roman" w:hAnsi="Times New Roman"/>
          <w:color w:val="0070C0"/>
          <w:sz w:val="16"/>
          <w:szCs w:val="16"/>
        </w:rPr>
      </w:pPr>
    </w:p>
    <w:p w14:paraId="5DDDD4EE"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августа 1933 в Германии объявлено, что евреи будут отправляться в концлагеря (4962).</w:t>
      </w:r>
    </w:p>
    <w:p w14:paraId="223EA227"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DF7707"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2E61E9C"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131230F"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августа 1933 во Франции основана авиакомпания «Эйр Фрэнс» (4962).</w:t>
      </w:r>
    </w:p>
    <w:p w14:paraId="151ACEDE"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7EDB03" w14:textId="77777777" w:rsidR="00D142A2" w:rsidRPr="00C33834" w:rsidRDefault="00D142A2"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 xml:space="preserve">30 августа </w:t>
      </w:r>
      <w:r w:rsidRPr="00C33834">
        <w:rPr>
          <w:rFonts w:ascii="Times New Roman" w:hAnsi="Times New Roman"/>
          <w:color w:val="000000" w:themeColor="text1"/>
          <w:sz w:val="16"/>
          <w:szCs w:val="16"/>
        </w:rPr>
        <w:t>в 1933 году в мае четыре французские авиакомпании приняли решение о слиянии и обратились к правительству с просьбой о создании национальной системы авиаперевозок. Правительство поддержало эту идею, к четырем инициаторам присоединился пятый участник, и 30 августа образуется авиакомпания Air France ("Эйр Фрэнс") (14754).</w:t>
      </w:r>
    </w:p>
    <w:p w14:paraId="5DA4DD0D" w14:textId="77777777" w:rsidR="00D142A2" w:rsidRPr="00C33834" w:rsidRDefault="00D142A2" w:rsidP="00C33834">
      <w:pPr>
        <w:spacing w:after="0" w:line="240" w:lineRule="auto"/>
        <w:jc w:val="both"/>
        <w:rPr>
          <w:rFonts w:ascii="Times New Roman" w:hAnsi="Times New Roman"/>
          <w:color w:val="000000" w:themeColor="text1"/>
          <w:sz w:val="16"/>
          <w:szCs w:val="16"/>
        </w:rPr>
      </w:pPr>
    </w:p>
    <w:p w14:paraId="18C12932" w14:textId="77777777" w:rsidR="006A4DA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556251A" w14:textId="77777777" w:rsidR="006A4DAE" w:rsidRPr="00C33834" w:rsidRDefault="006A4DA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4DA2A4B" w14:textId="77777777" w:rsidR="006A4DAE" w:rsidRPr="00C33834" w:rsidRDefault="006A4DA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августа 1935 г. Ш-2 Н64 отбуксирова</w:t>
      </w:r>
      <w:r w:rsidRPr="00C33834">
        <w:rPr>
          <w:rFonts w:ascii="Times New Roman" w:hAnsi="Times New Roman"/>
          <w:color w:val="000000" w:themeColor="text1"/>
          <w:sz w:val="16"/>
          <w:szCs w:val="16"/>
        </w:rPr>
        <w:softHyphen/>
        <w:t>ли катером к стоящему на рейде «Ермаку», на котором самолет разместили со сложенны</w:t>
      </w:r>
      <w:r w:rsidRPr="00C33834">
        <w:rPr>
          <w:rFonts w:ascii="Times New Roman" w:hAnsi="Times New Roman"/>
          <w:color w:val="000000" w:themeColor="text1"/>
          <w:sz w:val="16"/>
          <w:szCs w:val="16"/>
        </w:rPr>
        <w:softHyphen/>
        <w:t>ми крыльями на специальном деревянном на</w:t>
      </w:r>
      <w:r w:rsidRPr="00C33834">
        <w:rPr>
          <w:rFonts w:ascii="Times New Roman" w:hAnsi="Times New Roman"/>
          <w:color w:val="000000" w:themeColor="text1"/>
          <w:sz w:val="16"/>
          <w:szCs w:val="16"/>
        </w:rPr>
        <w:softHyphen/>
        <w:t>стиле. Экипаж корабельного звена — летчик М.И.Козлов и механик Г.В.Косухин - догнал «Ермак» в Мурманске. Здесь выяснилось, что ча ледоколе для полетов самолетов запаслись бакинским бензином, тогда как для двигателя М-11 требовался бензин грозненский. Но что юделаешь, летать пришлось на том, что есть (12301).</w:t>
      </w:r>
    </w:p>
    <w:p w14:paraId="10953C8A" w14:textId="126EEA6E" w:rsidR="006A4DAE" w:rsidRPr="00C33834" w:rsidRDefault="006A4DAE" w:rsidP="00C33834">
      <w:pPr>
        <w:spacing w:after="0" w:line="240" w:lineRule="auto"/>
        <w:jc w:val="both"/>
        <w:rPr>
          <w:rFonts w:ascii="Times New Roman" w:hAnsi="Times New Roman"/>
          <w:color w:val="000000" w:themeColor="text1"/>
          <w:sz w:val="16"/>
          <w:szCs w:val="16"/>
        </w:rPr>
      </w:pPr>
    </w:p>
    <w:p w14:paraId="44244452" w14:textId="0DE690EB" w:rsidR="002E5B02" w:rsidRPr="00C33834" w:rsidRDefault="002E5B02" w:rsidP="00C33834">
      <w:pPr>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Армия:</w:t>
      </w:r>
    </w:p>
    <w:p w14:paraId="2E9F4A43" w14:textId="77777777" w:rsidR="002E5B02" w:rsidRPr="00C33834" w:rsidRDefault="002E5B02" w:rsidP="00C33834">
      <w:pPr>
        <w:spacing w:after="0" w:line="240" w:lineRule="auto"/>
        <w:jc w:val="both"/>
        <w:rPr>
          <w:rFonts w:ascii="Times New Roman" w:hAnsi="Times New Roman"/>
          <w:i/>
          <w:iCs/>
          <w:color w:val="000000" w:themeColor="text1"/>
          <w:sz w:val="16"/>
          <w:szCs w:val="16"/>
        </w:rPr>
      </w:pPr>
    </w:p>
    <w:p w14:paraId="2404FFB3" w14:textId="77777777" w:rsidR="002E5B02" w:rsidRPr="00C33834" w:rsidRDefault="002E5B0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30 августа 1933 г. в г. Иваново демонстри</w:t>
      </w:r>
      <w:r w:rsidRPr="00C33834">
        <w:rPr>
          <w:rFonts w:ascii="Times New Roman" w:hAnsi="Times New Roman"/>
          <w:color w:val="0070C0"/>
          <w:sz w:val="16"/>
          <w:szCs w:val="16"/>
        </w:rPr>
        <w:softHyphen/>
        <w:t>ровались парашютные прыжки с «СССР В-3» с высоты 350 м. В апреле 1935 г. К.Ф. Кайтанов и Г. Голицын осуществили в районе Гатчины па</w:t>
      </w:r>
      <w:r w:rsidRPr="00C33834">
        <w:rPr>
          <w:rFonts w:ascii="Times New Roman" w:hAnsi="Times New Roman"/>
          <w:color w:val="0070C0"/>
          <w:sz w:val="16"/>
          <w:szCs w:val="16"/>
        </w:rPr>
        <w:softHyphen/>
        <w:t>рашютные спуски с «СССР В-2» с высоты около 600 м. К.Ф. Кайтанов отмечал, что вследствие меньшей скорости дирижабля раскрытие пара</w:t>
      </w:r>
      <w:r w:rsidRPr="00C33834">
        <w:rPr>
          <w:rFonts w:ascii="Times New Roman" w:hAnsi="Times New Roman"/>
          <w:color w:val="0070C0"/>
          <w:sz w:val="16"/>
          <w:szCs w:val="16"/>
        </w:rPr>
        <w:softHyphen/>
        <w:t>шюта происходило медленнее, чем при прыжке с самолёта. Выяснилось, что в момент отделения парашютиста режим полёта не меняется, и ди</w:t>
      </w:r>
      <w:r w:rsidRPr="00C33834">
        <w:rPr>
          <w:rFonts w:ascii="Times New Roman" w:hAnsi="Times New Roman"/>
          <w:color w:val="0070C0"/>
          <w:sz w:val="16"/>
          <w:szCs w:val="16"/>
        </w:rPr>
        <w:softHyphen/>
        <w:t>рижабль пригоден для выпуска парашютистов. Затем с дирижабля организовали спуск четве</w:t>
      </w:r>
      <w:r w:rsidRPr="00C33834">
        <w:rPr>
          <w:rFonts w:ascii="Times New Roman" w:hAnsi="Times New Roman"/>
          <w:color w:val="0070C0"/>
          <w:sz w:val="16"/>
          <w:szCs w:val="16"/>
        </w:rPr>
        <w:softHyphen/>
        <w:t>рых парашютистов во главе с Н. Евдокимовым. Несмотря на то, что Евдокимов приземлился на деревья, и «СССР В-2» вернулся на аэродром, чтобы вымпелом вызвать ему помощь, прыжки показали возможность выброски десанта с ди</w:t>
      </w:r>
      <w:r w:rsidRPr="00C33834">
        <w:rPr>
          <w:rFonts w:ascii="Times New Roman" w:hAnsi="Times New Roman"/>
          <w:color w:val="0070C0"/>
          <w:sz w:val="16"/>
          <w:szCs w:val="16"/>
        </w:rPr>
        <w:softHyphen/>
        <w:t>рижабля для выполнения тактических заданий. С «СССР В-2» выполнили прыжки и 11 комсо</w:t>
      </w:r>
      <w:r w:rsidRPr="00C33834">
        <w:rPr>
          <w:rFonts w:ascii="Times New Roman" w:hAnsi="Times New Roman"/>
          <w:color w:val="0070C0"/>
          <w:sz w:val="16"/>
          <w:szCs w:val="16"/>
        </w:rPr>
        <w:softHyphen/>
        <w:t>мольцев г. Гатчины, прошедших курс теоретиче</w:t>
      </w:r>
      <w:r w:rsidRPr="00C33834">
        <w:rPr>
          <w:rFonts w:ascii="Times New Roman" w:hAnsi="Times New Roman"/>
          <w:color w:val="0070C0"/>
          <w:sz w:val="16"/>
          <w:szCs w:val="16"/>
        </w:rPr>
        <w:softHyphen/>
        <w:t>ской подготовки в кружке Осоавиахима (20120).</w:t>
      </w:r>
    </w:p>
    <w:p w14:paraId="6ED23CAF" w14:textId="2D2FD3A0" w:rsidR="002E5B02" w:rsidRPr="00C33834" w:rsidRDefault="002E5B02" w:rsidP="00C33834">
      <w:pPr>
        <w:spacing w:after="0" w:line="240" w:lineRule="auto"/>
        <w:jc w:val="both"/>
        <w:rPr>
          <w:rFonts w:ascii="Times New Roman" w:hAnsi="Times New Roman"/>
          <w:color w:val="0070C0"/>
          <w:sz w:val="16"/>
          <w:szCs w:val="16"/>
        </w:rPr>
      </w:pPr>
    </w:p>
    <w:p w14:paraId="1ED672CD" w14:textId="0E4EAD02" w:rsidR="005F068E" w:rsidRPr="00C33834" w:rsidRDefault="005F068E" w:rsidP="00C33834">
      <w:pPr>
        <w:spacing w:after="0" w:line="240" w:lineRule="auto"/>
        <w:jc w:val="both"/>
        <w:rPr>
          <w:rFonts w:ascii="Times New Roman" w:hAnsi="Times New Roman"/>
          <w:i/>
          <w:iCs/>
          <w:color w:val="0070C0"/>
          <w:sz w:val="16"/>
          <w:szCs w:val="16"/>
        </w:rPr>
      </w:pPr>
      <w:r w:rsidRPr="00C33834">
        <w:rPr>
          <w:rFonts w:ascii="Times New Roman" w:hAnsi="Times New Roman"/>
          <w:i/>
          <w:iCs/>
          <w:color w:val="0070C0"/>
          <w:sz w:val="16"/>
          <w:szCs w:val="16"/>
        </w:rPr>
        <w:t>За рубежом:</w:t>
      </w:r>
    </w:p>
    <w:p w14:paraId="02515DBB" w14:textId="77777777" w:rsidR="005F068E" w:rsidRPr="00C33834" w:rsidRDefault="005F068E" w:rsidP="00C33834">
      <w:pPr>
        <w:spacing w:after="0" w:line="240" w:lineRule="auto"/>
        <w:jc w:val="both"/>
        <w:rPr>
          <w:rFonts w:ascii="Times New Roman" w:hAnsi="Times New Roman"/>
          <w:i/>
          <w:iCs/>
          <w:color w:val="0070C0"/>
          <w:sz w:val="16"/>
          <w:szCs w:val="16"/>
        </w:rPr>
      </w:pPr>
    </w:p>
    <w:p w14:paraId="40C0DBFF" w14:textId="77777777" w:rsidR="005F068E" w:rsidRPr="00C33834" w:rsidRDefault="005F068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30 августа 1933 - В мае того года четыре французские авиакомпании приняли решение о слиянии и обратились к правительству с просьбой о создании национальной системы авиаперевозок. Правительство поддержало эту идею, к четырем инициаторам присоединился пятый участник. 30 августа и была образована авиакомпания Air France - национальный авиаперевозчик. Слияние с KLM в маe 2004-го привело к созданию альянса Air France-KLM, хотя обе компании продолжают летать под своими именами (22381).</w:t>
      </w:r>
    </w:p>
    <w:p w14:paraId="41C4925D" w14:textId="77777777" w:rsidR="005F068E" w:rsidRPr="00C33834" w:rsidRDefault="005F068E" w:rsidP="00C33834">
      <w:pPr>
        <w:spacing w:after="0" w:line="240" w:lineRule="auto"/>
        <w:jc w:val="both"/>
        <w:rPr>
          <w:rFonts w:ascii="Times New Roman" w:hAnsi="Times New Roman"/>
          <w:color w:val="0070C0"/>
          <w:sz w:val="16"/>
          <w:szCs w:val="16"/>
        </w:rPr>
      </w:pPr>
    </w:p>
    <w:p w14:paraId="484043F0"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47B24CD"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33FCBC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августа 1933 на заседании у нач. ВВС П.И.Б. слушали "О состоянии работы по РД" и прежде всего о постройке полосы. ЦАГИ поручили первую редукторную машину сдать 01.11.1933. Испытать моторы. Днем перелета стали считать 22.09 и к этому дню должны были быть готовы и машины и моторы (1028,158).</w:t>
      </w:r>
    </w:p>
    <w:p w14:paraId="21795C1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47CE030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августа 1933 года было подготовлено постановление комиссии обороны (проект):</w:t>
      </w:r>
    </w:p>
    <w:p w14:paraId="4556A08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ходе выполнения опытного самолето- и моторостроения</w:t>
      </w:r>
    </w:p>
    <w:p w14:paraId="2759EA8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Комиссия обороны констатирует, что план опытного строительства авиаицонных моторов и самолетов, утвержденный СТО 4 июля 1932 года, ГУАПом и ГУГВФом в установленные Правительством сроки не выполнен. Это невыполнение плана опытного самолето- и моторостроения создает серьезную угрозу технического отставания материальной части ВВС от материальной части ВВС вероятных противников. В то время, как почти все иностранные воздушные флоты в основном уже перешли на высотные моторы, резко повышающие скорость самолета на боевых высотах, его скороподъемность и практический потолок, наша промышленность не дала еще ни одного мотора с нагнетателем даже в опытном образце, что отчасти объясняется трудностью непосредственного осуществления выключающегося нагнетателя без предварительного осуществления нагнетателя не выключающегося.</w:t>
      </w:r>
    </w:p>
    <w:p w14:paraId="3F865A4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Одной из причин невыполнения в срок плана опытного самолетостроения является опоздание подачи моторов, а также частично загрузка ЦАГИ работами по модернизации самолетов, находящихся в серийном производстве.</w:t>
      </w:r>
    </w:p>
    <w:p w14:paraId="2042934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Отметить, что ГУАП ввиду возрастающего объема опытного строительства, совершенно правильно принял меры к расширению базы опытного самолето- и моторостроения, создав на заводе № 39 КБ по проектированию и постройке опытных образцов легких сухопутных и морских самолетов, на заводе № 29 – базу по опытному моторостроению, развернув в ХАИ и МАИ базу по опытному самолето- и моторостроению.</w:t>
      </w:r>
    </w:p>
    <w:p w14:paraId="35193F8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Тяжелые пулеметы и мелкокалиберные пушки для вооружения авиации также еще не вышли из стадии опытного строительства и испытания в образцах. Пулеметы ШКАС, поступившие с производства не удовлетворяют требованиям живучести.</w:t>
      </w:r>
    </w:p>
    <w:p w14:paraId="24A6AFA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по изысканию новых видов жидкого авиационного топлива и масел и особенно антидетонаторов для авиамоторов с нагнетателями велись явно недостаточными темпами.</w:t>
      </w:r>
    </w:p>
    <w:p w14:paraId="29AD677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скорейшей ликвидации прорыва в опытном строительстве ВВС Комиссия обороны постановляет:</w:t>
      </w:r>
    </w:p>
    <w:p w14:paraId="7C6648B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1.Во изменение плана опытного строительства, утвержденного КО 4 июля 1932 года, утвердить нижеследующий план опытного строительства по моторам и самолетам:</w:t>
      </w:r>
    </w:p>
    <w:p w14:paraId="7B009F8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 опытному моторостроению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F26F01" w:rsidRPr="00C33834" w14:paraId="7065D752" w14:textId="77777777">
        <w:tc>
          <w:tcPr>
            <w:tcW w:w="1656" w:type="dxa"/>
          </w:tcPr>
          <w:p w14:paraId="61F59C7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Марка мотора</w:t>
            </w:r>
          </w:p>
        </w:tc>
        <w:tc>
          <w:tcPr>
            <w:tcW w:w="1656" w:type="dxa"/>
          </w:tcPr>
          <w:p w14:paraId="2681778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w:t>
            </w:r>
          </w:p>
        </w:tc>
        <w:tc>
          <w:tcPr>
            <w:tcW w:w="1656" w:type="dxa"/>
          </w:tcPr>
          <w:p w14:paraId="4FD2284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л.с.</w:t>
            </w:r>
          </w:p>
        </w:tc>
        <w:tc>
          <w:tcPr>
            <w:tcW w:w="1656" w:type="dxa"/>
          </w:tcPr>
          <w:p w14:paraId="4C6080F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Высотность</w:t>
            </w:r>
          </w:p>
        </w:tc>
        <w:tc>
          <w:tcPr>
            <w:tcW w:w="1656" w:type="dxa"/>
          </w:tcPr>
          <w:p w14:paraId="2D4054A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в кг</w:t>
            </w:r>
          </w:p>
        </w:tc>
        <w:tc>
          <w:tcPr>
            <w:tcW w:w="1656" w:type="dxa"/>
          </w:tcPr>
          <w:p w14:paraId="17FC6B1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Расход горючего гр/л.с.</w:t>
            </w:r>
          </w:p>
        </w:tc>
        <w:tc>
          <w:tcPr>
            <w:tcW w:w="1656" w:type="dxa"/>
          </w:tcPr>
          <w:p w14:paraId="49A5958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прдъявления на испытание</w:t>
            </w:r>
          </w:p>
        </w:tc>
      </w:tr>
    </w:tbl>
    <w:p w14:paraId="0E0253F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F26F01" w:rsidRPr="00C33834" w14:paraId="06B0D410" w14:textId="77777777">
        <w:tc>
          <w:tcPr>
            <w:tcW w:w="1656" w:type="dxa"/>
          </w:tcPr>
          <w:p w14:paraId="0A5CB34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М34Н (с нагнетат.)</w:t>
            </w:r>
          </w:p>
        </w:tc>
        <w:tc>
          <w:tcPr>
            <w:tcW w:w="1656" w:type="dxa"/>
          </w:tcPr>
          <w:p w14:paraId="2157792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33CE868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1656" w:type="dxa"/>
          </w:tcPr>
          <w:p w14:paraId="150BFB4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3500</w:t>
            </w:r>
          </w:p>
        </w:tc>
        <w:tc>
          <w:tcPr>
            <w:tcW w:w="1656" w:type="dxa"/>
          </w:tcPr>
          <w:p w14:paraId="07B4A86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650</w:t>
            </w:r>
          </w:p>
        </w:tc>
        <w:tc>
          <w:tcPr>
            <w:tcW w:w="1656" w:type="dxa"/>
          </w:tcPr>
          <w:p w14:paraId="38ACE1F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225</w:t>
            </w:r>
          </w:p>
        </w:tc>
        <w:tc>
          <w:tcPr>
            <w:tcW w:w="1656" w:type="dxa"/>
          </w:tcPr>
          <w:p w14:paraId="5B6682B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w:t>
            </w:r>
          </w:p>
        </w:tc>
      </w:tr>
      <w:tr w:rsidR="00F26F01" w:rsidRPr="00C33834" w14:paraId="282FF6CA" w14:textId="77777777">
        <w:tc>
          <w:tcPr>
            <w:tcW w:w="1656" w:type="dxa"/>
          </w:tcPr>
          <w:p w14:paraId="48C424C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М34РН</w:t>
            </w:r>
          </w:p>
        </w:tc>
        <w:tc>
          <w:tcPr>
            <w:tcW w:w="1656" w:type="dxa"/>
          </w:tcPr>
          <w:p w14:paraId="27C3E4A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21268B0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1656" w:type="dxa"/>
          </w:tcPr>
          <w:p w14:paraId="5EB0F25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3500</w:t>
            </w:r>
          </w:p>
        </w:tc>
        <w:tc>
          <w:tcPr>
            <w:tcW w:w="1656" w:type="dxa"/>
          </w:tcPr>
          <w:p w14:paraId="454D1F0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720</w:t>
            </w:r>
          </w:p>
        </w:tc>
        <w:tc>
          <w:tcPr>
            <w:tcW w:w="1656" w:type="dxa"/>
          </w:tcPr>
          <w:p w14:paraId="3AAB8D2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1656" w:type="dxa"/>
          </w:tcPr>
          <w:p w14:paraId="625313E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w:t>
            </w:r>
          </w:p>
        </w:tc>
      </w:tr>
      <w:tr w:rsidR="00F26F01" w:rsidRPr="00C33834" w14:paraId="21CACA45" w14:textId="77777777">
        <w:tc>
          <w:tcPr>
            <w:tcW w:w="1656" w:type="dxa"/>
          </w:tcPr>
          <w:p w14:paraId="531B63B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М34фр (форсиров.)</w:t>
            </w:r>
          </w:p>
        </w:tc>
        <w:tc>
          <w:tcPr>
            <w:tcW w:w="1656" w:type="dxa"/>
          </w:tcPr>
          <w:p w14:paraId="5CCE715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76DF50C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c>
          <w:tcPr>
            <w:tcW w:w="1656" w:type="dxa"/>
          </w:tcPr>
          <w:p w14:paraId="702BB0C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57296FC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675</w:t>
            </w:r>
          </w:p>
        </w:tc>
        <w:tc>
          <w:tcPr>
            <w:tcW w:w="1656" w:type="dxa"/>
          </w:tcPr>
          <w:p w14:paraId="6BB1E2A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210</w:t>
            </w:r>
          </w:p>
        </w:tc>
        <w:tc>
          <w:tcPr>
            <w:tcW w:w="1656" w:type="dxa"/>
          </w:tcPr>
          <w:p w14:paraId="22513E2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марта</w:t>
            </w:r>
          </w:p>
        </w:tc>
      </w:tr>
      <w:tr w:rsidR="00F26F01" w:rsidRPr="00C33834" w14:paraId="10EA2607" w14:textId="77777777">
        <w:tc>
          <w:tcPr>
            <w:tcW w:w="1656" w:type="dxa"/>
          </w:tcPr>
          <w:p w14:paraId="7BBE79F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М34фрн</w:t>
            </w:r>
          </w:p>
        </w:tc>
        <w:tc>
          <w:tcPr>
            <w:tcW w:w="1656" w:type="dxa"/>
          </w:tcPr>
          <w:p w14:paraId="55596B0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626B6F8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c>
          <w:tcPr>
            <w:tcW w:w="1656" w:type="dxa"/>
          </w:tcPr>
          <w:p w14:paraId="4EA1E67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3500</w:t>
            </w:r>
          </w:p>
        </w:tc>
        <w:tc>
          <w:tcPr>
            <w:tcW w:w="1656" w:type="dxa"/>
          </w:tcPr>
          <w:p w14:paraId="3413DA1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720</w:t>
            </w:r>
          </w:p>
        </w:tc>
        <w:tc>
          <w:tcPr>
            <w:tcW w:w="1656" w:type="dxa"/>
          </w:tcPr>
          <w:p w14:paraId="78A39E2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1656" w:type="dxa"/>
          </w:tcPr>
          <w:p w14:paraId="37F6C4D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w:t>
            </w:r>
          </w:p>
        </w:tc>
      </w:tr>
      <w:tr w:rsidR="00F26F01" w:rsidRPr="00C33834" w14:paraId="4A73A965" w14:textId="77777777">
        <w:tc>
          <w:tcPr>
            <w:tcW w:w="1656" w:type="dxa"/>
          </w:tcPr>
          <w:p w14:paraId="01C19DA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М34фрн с выключ. нагнетателем и винтом переменного шага</w:t>
            </w:r>
          </w:p>
        </w:tc>
        <w:tc>
          <w:tcPr>
            <w:tcW w:w="1656" w:type="dxa"/>
          </w:tcPr>
          <w:p w14:paraId="7BCAEC7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32DE32F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c>
          <w:tcPr>
            <w:tcW w:w="1656" w:type="dxa"/>
          </w:tcPr>
          <w:p w14:paraId="11557B2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1656" w:type="dxa"/>
          </w:tcPr>
          <w:p w14:paraId="1762701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720</w:t>
            </w:r>
          </w:p>
        </w:tc>
        <w:tc>
          <w:tcPr>
            <w:tcW w:w="1656" w:type="dxa"/>
          </w:tcPr>
          <w:p w14:paraId="3672216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1656" w:type="dxa"/>
          </w:tcPr>
          <w:p w14:paraId="5378557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1934</w:t>
            </w:r>
          </w:p>
        </w:tc>
      </w:tr>
      <w:tr w:rsidR="00F26F01" w:rsidRPr="00C33834" w14:paraId="3130F769" w14:textId="77777777">
        <w:tc>
          <w:tcPr>
            <w:tcW w:w="1656" w:type="dxa"/>
          </w:tcPr>
          <w:p w14:paraId="5236687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М34фрн с выключ. нагнетат., удлинен валом и винтом переменного шага</w:t>
            </w:r>
          </w:p>
        </w:tc>
        <w:tc>
          <w:tcPr>
            <w:tcW w:w="1656" w:type="dxa"/>
          </w:tcPr>
          <w:p w14:paraId="0C53C40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0495007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c>
          <w:tcPr>
            <w:tcW w:w="1656" w:type="dxa"/>
          </w:tcPr>
          <w:p w14:paraId="6340861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1656" w:type="dxa"/>
          </w:tcPr>
          <w:p w14:paraId="3D65E40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w:t>
            </w:r>
          </w:p>
        </w:tc>
        <w:tc>
          <w:tcPr>
            <w:tcW w:w="1656" w:type="dxa"/>
          </w:tcPr>
          <w:p w14:paraId="08EA6E3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1656" w:type="dxa"/>
          </w:tcPr>
          <w:p w14:paraId="2492DCE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1934</w:t>
            </w:r>
          </w:p>
        </w:tc>
      </w:tr>
      <w:tr w:rsidR="00F26F01" w:rsidRPr="00C33834" w14:paraId="19FE31C6" w14:textId="77777777">
        <w:tc>
          <w:tcPr>
            <w:tcW w:w="1656" w:type="dxa"/>
          </w:tcPr>
          <w:p w14:paraId="3E90562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М34 с элек. карт. </w:t>
            </w:r>
          </w:p>
        </w:tc>
        <w:tc>
          <w:tcPr>
            <w:tcW w:w="1656" w:type="dxa"/>
          </w:tcPr>
          <w:p w14:paraId="4245FC4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11ECB93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1656" w:type="dxa"/>
          </w:tcPr>
          <w:p w14:paraId="41894E8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800-1000</w:t>
            </w:r>
          </w:p>
        </w:tc>
        <w:tc>
          <w:tcPr>
            <w:tcW w:w="1656" w:type="dxa"/>
          </w:tcPr>
          <w:p w14:paraId="4B95DCE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560</w:t>
            </w:r>
          </w:p>
        </w:tc>
        <w:tc>
          <w:tcPr>
            <w:tcW w:w="1656" w:type="dxa"/>
          </w:tcPr>
          <w:p w14:paraId="4F4806D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205</w:t>
            </w:r>
          </w:p>
        </w:tc>
        <w:tc>
          <w:tcPr>
            <w:tcW w:w="1656" w:type="dxa"/>
          </w:tcPr>
          <w:p w14:paraId="193B7B8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1933</w:t>
            </w:r>
          </w:p>
        </w:tc>
      </w:tr>
      <w:tr w:rsidR="00F26F01" w:rsidRPr="00C33834" w14:paraId="207E3BCB" w14:textId="77777777">
        <w:tc>
          <w:tcPr>
            <w:tcW w:w="1656" w:type="dxa"/>
          </w:tcPr>
          <w:p w14:paraId="47C842F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с однорядн.</w:t>
            </w:r>
          </w:p>
        </w:tc>
        <w:tc>
          <w:tcPr>
            <w:tcW w:w="1656" w:type="dxa"/>
          </w:tcPr>
          <w:p w14:paraId="68BD9C8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4D2AB39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1656" w:type="dxa"/>
          </w:tcPr>
          <w:p w14:paraId="7A39A6A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10BBA1A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390</w:t>
            </w:r>
          </w:p>
        </w:tc>
        <w:tc>
          <w:tcPr>
            <w:tcW w:w="1656" w:type="dxa"/>
          </w:tcPr>
          <w:p w14:paraId="09361C2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1656" w:type="dxa"/>
          </w:tcPr>
          <w:p w14:paraId="7BE1CCE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1933</w:t>
            </w:r>
          </w:p>
        </w:tc>
      </w:tr>
      <w:tr w:rsidR="00F26F01" w:rsidRPr="00C33834" w14:paraId="17CD37B5" w14:textId="77777777">
        <w:tc>
          <w:tcPr>
            <w:tcW w:w="1656" w:type="dxa"/>
          </w:tcPr>
          <w:p w14:paraId="25C8A30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ГМ34 глиссерн.</w:t>
            </w:r>
          </w:p>
        </w:tc>
        <w:tc>
          <w:tcPr>
            <w:tcW w:w="1656" w:type="dxa"/>
          </w:tcPr>
          <w:p w14:paraId="1D240E6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0B4A4A3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1656" w:type="dxa"/>
          </w:tcPr>
          <w:p w14:paraId="3C0EA31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18933AD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950</w:t>
            </w:r>
          </w:p>
        </w:tc>
        <w:tc>
          <w:tcPr>
            <w:tcW w:w="1656" w:type="dxa"/>
          </w:tcPr>
          <w:p w14:paraId="634423C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1656" w:type="dxa"/>
          </w:tcPr>
          <w:p w14:paraId="481CE6C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1933</w:t>
            </w:r>
          </w:p>
        </w:tc>
      </w:tr>
      <w:tr w:rsidR="00F26F01" w:rsidRPr="00C33834" w14:paraId="06A0A781" w14:textId="77777777">
        <w:tc>
          <w:tcPr>
            <w:tcW w:w="1656" w:type="dxa"/>
          </w:tcPr>
          <w:p w14:paraId="36DEDA1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ГМ34ф</w:t>
            </w:r>
          </w:p>
        </w:tc>
        <w:tc>
          <w:tcPr>
            <w:tcW w:w="1656" w:type="dxa"/>
          </w:tcPr>
          <w:p w14:paraId="1E60AAA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7D8062E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c>
          <w:tcPr>
            <w:tcW w:w="1656" w:type="dxa"/>
          </w:tcPr>
          <w:p w14:paraId="415FDAC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1559565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950</w:t>
            </w:r>
          </w:p>
        </w:tc>
        <w:tc>
          <w:tcPr>
            <w:tcW w:w="1656" w:type="dxa"/>
          </w:tcPr>
          <w:p w14:paraId="1F51409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1656" w:type="dxa"/>
          </w:tcPr>
          <w:p w14:paraId="0B27883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1934</w:t>
            </w:r>
          </w:p>
        </w:tc>
      </w:tr>
      <w:tr w:rsidR="00F26F01" w:rsidRPr="00C33834" w14:paraId="7BD3D529" w14:textId="77777777">
        <w:tc>
          <w:tcPr>
            <w:tcW w:w="1656" w:type="dxa"/>
          </w:tcPr>
          <w:p w14:paraId="5C46C25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М58 с нагнетат.</w:t>
            </w:r>
          </w:p>
        </w:tc>
        <w:tc>
          <w:tcPr>
            <w:tcW w:w="1656" w:type="dxa"/>
          </w:tcPr>
          <w:p w14:paraId="2199C86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Воздушнное </w:t>
            </w:r>
          </w:p>
        </w:tc>
        <w:tc>
          <w:tcPr>
            <w:tcW w:w="1656" w:type="dxa"/>
          </w:tcPr>
          <w:p w14:paraId="23AA515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630</w:t>
            </w:r>
          </w:p>
        </w:tc>
        <w:tc>
          <w:tcPr>
            <w:tcW w:w="1656" w:type="dxa"/>
          </w:tcPr>
          <w:p w14:paraId="57FE5CD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c>
          <w:tcPr>
            <w:tcW w:w="1656" w:type="dxa"/>
          </w:tcPr>
          <w:p w14:paraId="543CFB8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w:t>
            </w:r>
          </w:p>
        </w:tc>
        <w:tc>
          <w:tcPr>
            <w:tcW w:w="1656" w:type="dxa"/>
          </w:tcPr>
          <w:p w14:paraId="428A25D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w:t>
            </w:r>
          </w:p>
        </w:tc>
        <w:tc>
          <w:tcPr>
            <w:tcW w:w="1656" w:type="dxa"/>
          </w:tcPr>
          <w:p w14:paraId="48DA5AA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w:t>
            </w:r>
          </w:p>
        </w:tc>
      </w:tr>
    </w:tbl>
    <w:p w14:paraId="08A57DB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Экспериментальные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F26F01" w:rsidRPr="00C33834" w14:paraId="000C70F7" w14:textId="77777777">
        <w:tc>
          <w:tcPr>
            <w:tcW w:w="1656" w:type="dxa"/>
          </w:tcPr>
          <w:p w14:paraId="4FD44D5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М32 с нагнетателем и редуктором</w:t>
            </w:r>
          </w:p>
        </w:tc>
        <w:tc>
          <w:tcPr>
            <w:tcW w:w="1656" w:type="dxa"/>
          </w:tcPr>
          <w:p w14:paraId="1EA6D79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01AAB54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1656" w:type="dxa"/>
          </w:tcPr>
          <w:p w14:paraId="0CF8EEF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c>
          <w:tcPr>
            <w:tcW w:w="1656" w:type="dxa"/>
          </w:tcPr>
          <w:p w14:paraId="44F5080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1656" w:type="dxa"/>
          </w:tcPr>
          <w:p w14:paraId="0740B94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1656" w:type="dxa"/>
          </w:tcPr>
          <w:p w14:paraId="5911198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1934</w:t>
            </w:r>
          </w:p>
        </w:tc>
      </w:tr>
      <w:tr w:rsidR="00F26F01" w:rsidRPr="00C33834" w14:paraId="559C44B1" w14:textId="77777777">
        <w:tc>
          <w:tcPr>
            <w:tcW w:w="1656" w:type="dxa"/>
          </w:tcPr>
          <w:p w14:paraId="785653F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Н1 (дизель)</w:t>
            </w:r>
          </w:p>
        </w:tc>
        <w:tc>
          <w:tcPr>
            <w:tcW w:w="1656" w:type="dxa"/>
          </w:tcPr>
          <w:p w14:paraId="22DF6F2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70B8764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600-750</w:t>
            </w:r>
          </w:p>
        </w:tc>
        <w:tc>
          <w:tcPr>
            <w:tcW w:w="1656" w:type="dxa"/>
          </w:tcPr>
          <w:p w14:paraId="6F9F2BD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4862604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840</w:t>
            </w:r>
          </w:p>
        </w:tc>
        <w:tc>
          <w:tcPr>
            <w:tcW w:w="1656" w:type="dxa"/>
          </w:tcPr>
          <w:p w14:paraId="0114570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w:t>
            </w:r>
          </w:p>
        </w:tc>
        <w:tc>
          <w:tcPr>
            <w:tcW w:w="1656" w:type="dxa"/>
          </w:tcPr>
          <w:p w14:paraId="045BECE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1933</w:t>
            </w:r>
          </w:p>
        </w:tc>
      </w:tr>
      <w:tr w:rsidR="00F26F01" w:rsidRPr="00C33834" w14:paraId="5B139C2E" w14:textId="77777777">
        <w:tc>
          <w:tcPr>
            <w:tcW w:w="1656" w:type="dxa"/>
          </w:tcPr>
          <w:p w14:paraId="6704196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Н5 (дизель)</w:t>
            </w:r>
          </w:p>
        </w:tc>
        <w:tc>
          <w:tcPr>
            <w:tcW w:w="1656" w:type="dxa"/>
          </w:tcPr>
          <w:p w14:paraId="234FF3A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4D4399C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656" w:type="dxa"/>
          </w:tcPr>
          <w:p w14:paraId="356F12A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1656" w:type="dxa"/>
          </w:tcPr>
          <w:p w14:paraId="012C573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656" w:type="dxa"/>
          </w:tcPr>
          <w:p w14:paraId="1D1A565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180-190</w:t>
            </w:r>
          </w:p>
        </w:tc>
        <w:tc>
          <w:tcPr>
            <w:tcW w:w="1656" w:type="dxa"/>
          </w:tcPr>
          <w:p w14:paraId="166FD38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w:t>
            </w:r>
          </w:p>
        </w:tc>
      </w:tr>
      <w:tr w:rsidR="00F26F01" w:rsidRPr="00C33834" w14:paraId="45F0C32C" w14:textId="77777777">
        <w:tc>
          <w:tcPr>
            <w:tcW w:w="1656" w:type="dxa"/>
          </w:tcPr>
          <w:p w14:paraId="1A5B6BA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М44 (бензиновый с нагнетателем)</w:t>
            </w:r>
          </w:p>
        </w:tc>
        <w:tc>
          <w:tcPr>
            <w:tcW w:w="1656" w:type="dxa"/>
          </w:tcPr>
          <w:p w14:paraId="403D22F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0473DE1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656" w:type="dxa"/>
          </w:tcPr>
          <w:p w14:paraId="6C1ACE5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3500</w:t>
            </w:r>
          </w:p>
        </w:tc>
        <w:tc>
          <w:tcPr>
            <w:tcW w:w="1656" w:type="dxa"/>
          </w:tcPr>
          <w:p w14:paraId="5B6B118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c>
          <w:tcPr>
            <w:tcW w:w="1656" w:type="dxa"/>
          </w:tcPr>
          <w:p w14:paraId="358D841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1656" w:type="dxa"/>
          </w:tcPr>
          <w:p w14:paraId="1110A0A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w:t>
            </w:r>
          </w:p>
        </w:tc>
      </w:tr>
      <w:tr w:rsidR="00F26F01" w:rsidRPr="00C33834" w14:paraId="21A36B8D" w14:textId="77777777">
        <w:tc>
          <w:tcPr>
            <w:tcW w:w="1656" w:type="dxa"/>
          </w:tcPr>
          <w:p w14:paraId="407C3CE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М44</w:t>
            </w:r>
          </w:p>
        </w:tc>
        <w:tc>
          <w:tcPr>
            <w:tcW w:w="1656" w:type="dxa"/>
          </w:tcPr>
          <w:p w14:paraId="79398CE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водяное </w:t>
            </w:r>
          </w:p>
        </w:tc>
        <w:tc>
          <w:tcPr>
            <w:tcW w:w="1656" w:type="dxa"/>
          </w:tcPr>
          <w:p w14:paraId="2FDEBCE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656" w:type="dxa"/>
          </w:tcPr>
          <w:p w14:paraId="0F02AFA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518A40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1700</w:t>
            </w:r>
          </w:p>
        </w:tc>
        <w:tc>
          <w:tcPr>
            <w:tcW w:w="1656" w:type="dxa"/>
          </w:tcPr>
          <w:p w14:paraId="4D599A0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0175DCC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5073AB7E" w14:textId="77777777">
        <w:tc>
          <w:tcPr>
            <w:tcW w:w="1656" w:type="dxa"/>
          </w:tcPr>
          <w:p w14:paraId="1561CEF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М-48 (бензиновый)</w:t>
            </w:r>
          </w:p>
        </w:tc>
        <w:tc>
          <w:tcPr>
            <w:tcW w:w="1656" w:type="dxa"/>
          </w:tcPr>
          <w:p w14:paraId="644E082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воздушнное </w:t>
            </w:r>
          </w:p>
        </w:tc>
        <w:tc>
          <w:tcPr>
            <w:tcW w:w="1656" w:type="dxa"/>
          </w:tcPr>
          <w:p w14:paraId="209A97C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165-200</w:t>
            </w:r>
          </w:p>
        </w:tc>
        <w:tc>
          <w:tcPr>
            <w:tcW w:w="1656" w:type="dxa"/>
          </w:tcPr>
          <w:p w14:paraId="65BD1E2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656" w:type="dxa"/>
          </w:tcPr>
          <w:p w14:paraId="233ACA3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190</w:t>
            </w:r>
          </w:p>
        </w:tc>
        <w:tc>
          <w:tcPr>
            <w:tcW w:w="1656" w:type="dxa"/>
          </w:tcPr>
          <w:p w14:paraId="216C3FC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235</w:t>
            </w:r>
          </w:p>
        </w:tc>
        <w:tc>
          <w:tcPr>
            <w:tcW w:w="1656" w:type="dxa"/>
          </w:tcPr>
          <w:p w14:paraId="50D6833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w:t>
            </w:r>
          </w:p>
        </w:tc>
      </w:tr>
      <w:tr w:rsidR="00F26F01" w:rsidRPr="00C33834" w14:paraId="4621DBAA" w14:textId="77777777">
        <w:tc>
          <w:tcPr>
            <w:tcW w:w="1656" w:type="dxa"/>
          </w:tcPr>
          <w:p w14:paraId="0086DF9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М38 с нагнетателем</w:t>
            </w:r>
          </w:p>
        </w:tc>
        <w:tc>
          <w:tcPr>
            <w:tcW w:w="1656" w:type="dxa"/>
          </w:tcPr>
          <w:p w14:paraId="513B422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воздушнное </w:t>
            </w:r>
          </w:p>
        </w:tc>
        <w:tc>
          <w:tcPr>
            <w:tcW w:w="1656" w:type="dxa"/>
          </w:tcPr>
          <w:p w14:paraId="696667E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1656" w:type="dxa"/>
          </w:tcPr>
          <w:p w14:paraId="18ADE18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c>
          <w:tcPr>
            <w:tcW w:w="1656" w:type="dxa"/>
          </w:tcPr>
          <w:p w14:paraId="61B1467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1656" w:type="dxa"/>
          </w:tcPr>
          <w:p w14:paraId="68E82D7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235</w:t>
            </w:r>
          </w:p>
        </w:tc>
        <w:tc>
          <w:tcPr>
            <w:tcW w:w="1656" w:type="dxa"/>
          </w:tcPr>
          <w:p w14:paraId="2E246AC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1934</w:t>
            </w:r>
          </w:p>
        </w:tc>
      </w:tr>
      <w:tr w:rsidR="00F26F01" w:rsidRPr="00C33834" w14:paraId="18166B95" w14:textId="77777777">
        <w:tc>
          <w:tcPr>
            <w:tcW w:w="1656" w:type="dxa"/>
          </w:tcPr>
          <w:p w14:paraId="1BF4F48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М56 с нагнетателем</w:t>
            </w:r>
          </w:p>
        </w:tc>
        <w:tc>
          <w:tcPr>
            <w:tcW w:w="1656" w:type="dxa"/>
          </w:tcPr>
          <w:p w14:paraId="1F54DA5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воздушнное </w:t>
            </w:r>
          </w:p>
        </w:tc>
        <w:tc>
          <w:tcPr>
            <w:tcW w:w="1656" w:type="dxa"/>
          </w:tcPr>
          <w:p w14:paraId="154947E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w:t>
            </w:r>
          </w:p>
        </w:tc>
        <w:tc>
          <w:tcPr>
            <w:tcW w:w="1656" w:type="dxa"/>
          </w:tcPr>
          <w:p w14:paraId="3757110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1656" w:type="dxa"/>
          </w:tcPr>
          <w:p w14:paraId="2235EDC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w:t>
            </w:r>
          </w:p>
        </w:tc>
        <w:tc>
          <w:tcPr>
            <w:tcW w:w="1656" w:type="dxa"/>
          </w:tcPr>
          <w:p w14:paraId="09F08F4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6CB5DE1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1934</w:t>
            </w:r>
          </w:p>
        </w:tc>
      </w:tr>
    </w:tbl>
    <w:p w14:paraId="2F29E86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 опытному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F26F01" w:rsidRPr="00C33834" w14:paraId="73F661F5" w14:textId="77777777">
        <w:tc>
          <w:tcPr>
            <w:tcW w:w="1656" w:type="dxa"/>
          </w:tcPr>
          <w:p w14:paraId="75C596E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 и тип самолета</w:t>
            </w:r>
          </w:p>
        </w:tc>
        <w:tc>
          <w:tcPr>
            <w:tcW w:w="1656" w:type="dxa"/>
          </w:tcPr>
          <w:p w14:paraId="3839F8F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Горизонтальная скорость км/час/ысота м</w:t>
            </w:r>
          </w:p>
        </w:tc>
        <w:tc>
          <w:tcPr>
            <w:tcW w:w="1656" w:type="dxa"/>
          </w:tcPr>
          <w:p w14:paraId="2310599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высота м</w:t>
            </w:r>
          </w:p>
        </w:tc>
        <w:tc>
          <w:tcPr>
            <w:tcW w:w="1656" w:type="dxa"/>
          </w:tcPr>
          <w:p w14:paraId="454900F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Радиус действия нормальн./ с перегрузкой</w:t>
            </w:r>
          </w:p>
        </w:tc>
        <w:tc>
          <w:tcPr>
            <w:tcW w:w="1656" w:type="dxa"/>
          </w:tcPr>
          <w:p w14:paraId="1CB6F62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Сбрасыв. грузов нормальн./с перегрузкой</w:t>
            </w:r>
          </w:p>
        </w:tc>
        <w:tc>
          <w:tcPr>
            <w:tcW w:w="1656" w:type="dxa"/>
          </w:tcPr>
          <w:p w14:paraId="320DD14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1656" w:type="dxa"/>
          </w:tcPr>
          <w:p w14:paraId="5722FAA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прдъявления на испытание</w:t>
            </w:r>
          </w:p>
        </w:tc>
      </w:tr>
    </w:tbl>
    <w:p w14:paraId="4E18E1E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F26F01" w:rsidRPr="00C33834" w14:paraId="5BBEE048" w14:textId="77777777">
        <w:tc>
          <w:tcPr>
            <w:tcW w:w="1656" w:type="dxa"/>
          </w:tcPr>
          <w:p w14:paraId="2BA0068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бомбард. ТБ4 6М34</w:t>
            </w:r>
          </w:p>
        </w:tc>
        <w:tc>
          <w:tcPr>
            <w:tcW w:w="1656" w:type="dxa"/>
          </w:tcPr>
          <w:p w14:paraId="35285E0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1656" w:type="dxa"/>
          </w:tcPr>
          <w:p w14:paraId="68AC610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38140B2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1656" w:type="dxa"/>
          </w:tcPr>
          <w:p w14:paraId="73FC084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26D60EA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пулеметов</w:t>
            </w:r>
          </w:p>
          <w:p w14:paraId="7CFC7FD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пушки</w:t>
            </w:r>
          </w:p>
        </w:tc>
        <w:tc>
          <w:tcPr>
            <w:tcW w:w="1656" w:type="dxa"/>
          </w:tcPr>
          <w:p w14:paraId="7DC077B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августа 1933</w:t>
            </w:r>
          </w:p>
        </w:tc>
      </w:tr>
      <w:tr w:rsidR="00F26F01" w:rsidRPr="00C33834" w14:paraId="77A48AF2" w14:textId="77777777">
        <w:tc>
          <w:tcPr>
            <w:tcW w:w="1656" w:type="dxa"/>
          </w:tcPr>
          <w:p w14:paraId="44AF1AC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бомбард. ТБ3-4М34НР</w:t>
            </w:r>
          </w:p>
        </w:tc>
        <w:tc>
          <w:tcPr>
            <w:tcW w:w="1656" w:type="dxa"/>
          </w:tcPr>
          <w:p w14:paraId="0CA2F7F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260/5000</w:t>
            </w:r>
          </w:p>
        </w:tc>
        <w:tc>
          <w:tcPr>
            <w:tcW w:w="1656" w:type="dxa"/>
          </w:tcPr>
          <w:p w14:paraId="6310B1D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1283C53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1200/1500</w:t>
            </w:r>
          </w:p>
        </w:tc>
        <w:tc>
          <w:tcPr>
            <w:tcW w:w="1656" w:type="dxa"/>
          </w:tcPr>
          <w:p w14:paraId="6431EB0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1500/1000</w:t>
            </w:r>
          </w:p>
        </w:tc>
        <w:tc>
          <w:tcPr>
            <w:tcW w:w="1656" w:type="dxa"/>
          </w:tcPr>
          <w:p w14:paraId="6A135FA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 пулеметов</w:t>
            </w:r>
          </w:p>
        </w:tc>
        <w:tc>
          <w:tcPr>
            <w:tcW w:w="1656" w:type="dxa"/>
          </w:tcPr>
          <w:p w14:paraId="0448CB1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B8CBFBF" w14:textId="77777777">
        <w:tc>
          <w:tcPr>
            <w:tcW w:w="1656" w:type="dxa"/>
          </w:tcPr>
          <w:p w14:paraId="7E73525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Многомест. истреб. МИ3-2М34</w:t>
            </w:r>
          </w:p>
        </w:tc>
        <w:tc>
          <w:tcPr>
            <w:tcW w:w="1656" w:type="dxa"/>
          </w:tcPr>
          <w:p w14:paraId="292A80C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300/5000</w:t>
            </w:r>
          </w:p>
        </w:tc>
        <w:tc>
          <w:tcPr>
            <w:tcW w:w="1656" w:type="dxa"/>
          </w:tcPr>
          <w:p w14:paraId="5E9B8D3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15/5000</w:t>
            </w:r>
          </w:p>
        </w:tc>
        <w:tc>
          <w:tcPr>
            <w:tcW w:w="1656" w:type="dxa"/>
          </w:tcPr>
          <w:p w14:paraId="10863E6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656" w:type="dxa"/>
          </w:tcPr>
          <w:p w14:paraId="09155FD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140BAF0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пулеметов</w:t>
            </w:r>
          </w:p>
          <w:p w14:paraId="1F4752A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пушка</w:t>
            </w:r>
          </w:p>
        </w:tc>
        <w:tc>
          <w:tcPr>
            <w:tcW w:w="1656" w:type="dxa"/>
          </w:tcPr>
          <w:p w14:paraId="0E3B7F3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833B7ED" w14:textId="77777777">
        <w:tc>
          <w:tcPr>
            <w:tcW w:w="1656" w:type="dxa"/>
          </w:tcPr>
          <w:p w14:paraId="01A4B68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Морской крейсер МК1-6М34НР</w:t>
            </w:r>
          </w:p>
        </w:tc>
        <w:tc>
          <w:tcPr>
            <w:tcW w:w="1656" w:type="dxa"/>
          </w:tcPr>
          <w:p w14:paraId="26FB8FC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230/4000</w:t>
            </w:r>
          </w:p>
        </w:tc>
        <w:tc>
          <w:tcPr>
            <w:tcW w:w="1656" w:type="dxa"/>
          </w:tcPr>
          <w:p w14:paraId="1BC8396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6B4F4E3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750/1200</w:t>
            </w:r>
          </w:p>
        </w:tc>
        <w:tc>
          <w:tcPr>
            <w:tcW w:w="1656" w:type="dxa"/>
          </w:tcPr>
          <w:p w14:paraId="5C79819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3500/1800</w:t>
            </w:r>
          </w:p>
        </w:tc>
        <w:tc>
          <w:tcPr>
            <w:tcW w:w="1656" w:type="dxa"/>
          </w:tcPr>
          <w:p w14:paraId="3C6D770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4E7BA34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FD150A0" w14:textId="77777777">
        <w:tc>
          <w:tcPr>
            <w:tcW w:w="1656" w:type="dxa"/>
          </w:tcPr>
          <w:p w14:paraId="7323F6D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Морской дальний разведчик МДР4-3М34НР</w:t>
            </w:r>
          </w:p>
        </w:tc>
        <w:tc>
          <w:tcPr>
            <w:tcW w:w="1656" w:type="dxa"/>
          </w:tcPr>
          <w:p w14:paraId="45C12D6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215-225/3600</w:t>
            </w:r>
          </w:p>
        </w:tc>
        <w:tc>
          <w:tcPr>
            <w:tcW w:w="1656" w:type="dxa"/>
          </w:tcPr>
          <w:p w14:paraId="1EF7DB8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20/3000</w:t>
            </w:r>
          </w:p>
        </w:tc>
        <w:tc>
          <w:tcPr>
            <w:tcW w:w="1656" w:type="dxa"/>
          </w:tcPr>
          <w:p w14:paraId="25ACACD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750/1250</w:t>
            </w:r>
          </w:p>
        </w:tc>
        <w:tc>
          <w:tcPr>
            <w:tcW w:w="1656" w:type="dxa"/>
          </w:tcPr>
          <w:p w14:paraId="6C6FB12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656" w:type="dxa"/>
          </w:tcPr>
          <w:p w14:paraId="13EC51C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6C0B127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8851272" w14:textId="77777777">
        <w:tc>
          <w:tcPr>
            <w:tcW w:w="1656" w:type="dxa"/>
          </w:tcPr>
          <w:p w14:paraId="1C0EF6D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Легкий разведчик ЛР-М34</w:t>
            </w:r>
          </w:p>
        </w:tc>
        <w:tc>
          <w:tcPr>
            <w:tcW w:w="1656" w:type="dxa"/>
          </w:tcPr>
          <w:p w14:paraId="0520ABE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310/5000</w:t>
            </w:r>
          </w:p>
        </w:tc>
        <w:tc>
          <w:tcPr>
            <w:tcW w:w="1656" w:type="dxa"/>
          </w:tcPr>
          <w:p w14:paraId="516F012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13/5000</w:t>
            </w:r>
          </w:p>
        </w:tc>
        <w:tc>
          <w:tcPr>
            <w:tcW w:w="1656" w:type="dxa"/>
          </w:tcPr>
          <w:p w14:paraId="2A8B046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400/700</w:t>
            </w:r>
          </w:p>
        </w:tc>
        <w:tc>
          <w:tcPr>
            <w:tcW w:w="1656" w:type="dxa"/>
          </w:tcPr>
          <w:p w14:paraId="32351D8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656" w:type="dxa"/>
          </w:tcPr>
          <w:p w14:paraId="3ABB187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Легк. и тяж. пул. </w:t>
            </w:r>
          </w:p>
        </w:tc>
        <w:tc>
          <w:tcPr>
            <w:tcW w:w="1656" w:type="dxa"/>
          </w:tcPr>
          <w:p w14:paraId="36A6653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7606094" w14:textId="77777777">
        <w:tc>
          <w:tcPr>
            <w:tcW w:w="1656" w:type="dxa"/>
          </w:tcPr>
          <w:p w14:paraId="14216CB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штурмовик ТШ3-М34</w:t>
            </w:r>
          </w:p>
        </w:tc>
        <w:tc>
          <w:tcPr>
            <w:tcW w:w="1656" w:type="dxa"/>
          </w:tcPr>
          <w:p w14:paraId="615579E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250/0</w:t>
            </w:r>
          </w:p>
        </w:tc>
        <w:tc>
          <w:tcPr>
            <w:tcW w:w="1656" w:type="dxa"/>
          </w:tcPr>
          <w:p w14:paraId="2731AA2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11/3000</w:t>
            </w:r>
          </w:p>
        </w:tc>
        <w:tc>
          <w:tcPr>
            <w:tcW w:w="1656" w:type="dxa"/>
          </w:tcPr>
          <w:p w14:paraId="375A100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1656" w:type="dxa"/>
          </w:tcPr>
          <w:p w14:paraId="1524F52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45DD4CC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пулеметов</w:t>
            </w:r>
          </w:p>
        </w:tc>
        <w:tc>
          <w:tcPr>
            <w:tcW w:w="1656" w:type="dxa"/>
          </w:tcPr>
          <w:p w14:paraId="55D855C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5C30D15" w14:textId="77777777">
        <w:tc>
          <w:tcPr>
            <w:tcW w:w="1656" w:type="dxa"/>
          </w:tcPr>
          <w:p w14:paraId="7765F61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 истреб. И14 Бристоль Меркур</w:t>
            </w:r>
          </w:p>
        </w:tc>
        <w:tc>
          <w:tcPr>
            <w:tcW w:w="1656" w:type="dxa"/>
          </w:tcPr>
          <w:p w14:paraId="1D9DBE0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400/5000</w:t>
            </w:r>
          </w:p>
        </w:tc>
        <w:tc>
          <w:tcPr>
            <w:tcW w:w="1656" w:type="dxa"/>
          </w:tcPr>
          <w:p w14:paraId="478FA98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7/5000</w:t>
            </w:r>
          </w:p>
        </w:tc>
        <w:tc>
          <w:tcPr>
            <w:tcW w:w="1656" w:type="dxa"/>
          </w:tcPr>
          <w:p w14:paraId="6D6830A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656" w:type="dxa"/>
          </w:tcPr>
          <w:p w14:paraId="511E895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1B87F4B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Пушки</w:t>
            </w:r>
          </w:p>
        </w:tc>
        <w:tc>
          <w:tcPr>
            <w:tcW w:w="1656" w:type="dxa"/>
          </w:tcPr>
          <w:p w14:paraId="49C42B6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48FB62C" w14:textId="77777777">
        <w:tc>
          <w:tcPr>
            <w:tcW w:w="1656" w:type="dxa"/>
          </w:tcPr>
          <w:p w14:paraId="26D9843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 истреб. И14 Райт-Циклон</w:t>
            </w:r>
          </w:p>
        </w:tc>
        <w:tc>
          <w:tcPr>
            <w:tcW w:w="1656" w:type="dxa"/>
          </w:tcPr>
          <w:p w14:paraId="01B31F6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400/5000</w:t>
            </w:r>
          </w:p>
        </w:tc>
        <w:tc>
          <w:tcPr>
            <w:tcW w:w="1656" w:type="dxa"/>
          </w:tcPr>
          <w:p w14:paraId="4FC8AD4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7/5000</w:t>
            </w:r>
          </w:p>
        </w:tc>
        <w:tc>
          <w:tcPr>
            <w:tcW w:w="1656" w:type="dxa"/>
          </w:tcPr>
          <w:p w14:paraId="60AD389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656" w:type="dxa"/>
          </w:tcPr>
          <w:p w14:paraId="7061E77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6FA2A9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Пушки</w:t>
            </w:r>
          </w:p>
        </w:tc>
        <w:tc>
          <w:tcPr>
            <w:tcW w:w="1656" w:type="dxa"/>
          </w:tcPr>
          <w:p w14:paraId="76415CB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2921BA0" w14:textId="77777777">
        <w:tc>
          <w:tcPr>
            <w:tcW w:w="1656" w:type="dxa"/>
          </w:tcPr>
          <w:p w14:paraId="584C850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 истреб. И15 Райт-Циклон</w:t>
            </w:r>
          </w:p>
        </w:tc>
        <w:tc>
          <w:tcPr>
            <w:tcW w:w="1656" w:type="dxa"/>
          </w:tcPr>
          <w:p w14:paraId="0A9875F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400/5000</w:t>
            </w:r>
          </w:p>
        </w:tc>
        <w:tc>
          <w:tcPr>
            <w:tcW w:w="1656" w:type="dxa"/>
          </w:tcPr>
          <w:p w14:paraId="15F1B04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7/5000</w:t>
            </w:r>
          </w:p>
        </w:tc>
        <w:tc>
          <w:tcPr>
            <w:tcW w:w="1656" w:type="dxa"/>
          </w:tcPr>
          <w:p w14:paraId="7404C58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656" w:type="dxa"/>
          </w:tcPr>
          <w:p w14:paraId="761A79D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0C06CE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пулемета</w:t>
            </w:r>
          </w:p>
        </w:tc>
        <w:tc>
          <w:tcPr>
            <w:tcW w:w="1656" w:type="dxa"/>
          </w:tcPr>
          <w:p w14:paraId="211E4D8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AECB7BD" w14:textId="77777777">
        <w:tc>
          <w:tcPr>
            <w:tcW w:w="1656" w:type="dxa"/>
          </w:tcPr>
          <w:p w14:paraId="5A3A973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 истреб. И15 М58</w:t>
            </w:r>
          </w:p>
        </w:tc>
        <w:tc>
          <w:tcPr>
            <w:tcW w:w="1656" w:type="dxa"/>
          </w:tcPr>
          <w:p w14:paraId="14C763B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400/5000</w:t>
            </w:r>
          </w:p>
        </w:tc>
        <w:tc>
          <w:tcPr>
            <w:tcW w:w="1656" w:type="dxa"/>
          </w:tcPr>
          <w:p w14:paraId="4048EAF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7/5000</w:t>
            </w:r>
          </w:p>
        </w:tc>
        <w:tc>
          <w:tcPr>
            <w:tcW w:w="1656" w:type="dxa"/>
          </w:tcPr>
          <w:p w14:paraId="486B329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656" w:type="dxa"/>
          </w:tcPr>
          <w:p w14:paraId="5380A66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097D2F5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пулемета</w:t>
            </w:r>
          </w:p>
        </w:tc>
        <w:tc>
          <w:tcPr>
            <w:tcW w:w="1656" w:type="dxa"/>
          </w:tcPr>
          <w:p w14:paraId="228ECA1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73C7907" w14:textId="77777777">
        <w:tc>
          <w:tcPr>
            <w:tcW w:w="1656" w:type="dxa"/>
          </w:tcPr>
          <w:p w14:paraId="4651BB8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Морской ближний разведчик МБР4-М34 (С62)</w:t>
            </w:r>
          </w:p>
        </w:tc>
        <w:tc>
          <w:tcPr>
            <w:tcW w:w="1656" w:type="dxa"/>
          </w:tcPr>
          <w:p w14:paraId="489328A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508B012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FB9273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D232DB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499DCEA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460E8CC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25FBD23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Экспериментальные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F26F01" w:rsidRPr="00C33834" w14:paraId="5959C9AB" w14:textId="77777777">
        <w:tc>
          <w:tcPr>
            <w:tcW w:w="1656" w:type="dxa"/>
          </w:tcPr>
          <w:p w14:paraId="48BD600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Сухопутный крейсер СК1-2М34 (или М34)</w:t>
            </w:r>
          </w:p>
        </w:tc>
        <w:tc>
          <w:tcPr>
            <w:tcW w:w="1656" w:type="dxa"/>
          </w:tcPr>
          <w:p w14:paraId="241AB02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300/5000</w:t>
            </w:r>
          </w:p>
        </w:tc>
        <w:tc>
          <w:tcPr>
            <w:tcW w:w="1656" w:type="dxa"/>
          </w:tcPr>
          <w:p w14:paraId="2EE4DBC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1CD034B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600/1000</w:t>
            </w:r>
          </w:p>
        </w:tc>
        <w:tc>
          <w:tcPr>
            <w:tcW w:w="1656" w:type="dxa"/>
          </w:tcPr>
          <w:p w14:paraId="7A82242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656" w:type="dxa"/>
          </w:tcPr>
          <w:p w14:paraId="6DB181F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Легк. и тяж. пул. </w:t>
            </w:r>
          </w:p>
        </w:tc>
        <w:tc>
          <w:tcPr>
            <w:tcW w:w="1656" w:type="dxa"/>
          </w:tcPr>
          <w:p w14:paraId="4DD401E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ACA685A" w14:textId="77777777">
        <w:tc>
          <w:tcPr>
            <w:tcW w:w="1656" w:type="dxa"/>
          </w:tcPr>
          <w:p w14:paraId="649A7B4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Войсковой самолет ВС2-М22</w:t>
            </w:r>
          </w:p>
        </w:tc>
        <w:tc>
          <w:tcPr>
            <w:tcW w:w="1656" w:type="dxa"/>
          </w:tcPr>
          <w:p w14:paraId="15789B6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250/3000</w:t>
            </w:r>
          </w:p>
        </w:tc>
        <w:tc>
          <w:tcPr>
            <w:tcW w:w="1656" w:type="dxa"/>
          </w:tcPr>
          <w:p w14:paraId="4EED956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12/3000</w:t>
            </w:r>
          </w:p>
        </w:tc>
        <w:tc>
          <w:tcPr>
            <w:tcW w:w="1656" w:type="dxa"/>
          </w:tcPr>
          <w:p w14:paraId="0B888C7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350/6000</w:t>
            </w:r>
          </w:p>
        </w:tc>
        <w:tc>
          <w:tcPr>
            <w:tcW w:w="1656" w:type="dxa"/>
          </w:tcPr>
          <w:p w14:paraId="1081B67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300/500</w:t>
            </w:r>
          </w:p>
        </w:tc>
        <w:tc>
          <w:tcPr>
            <w:tcW w:w="1656" w:type="dxa"/>
          </w:tcPr>
          <w:p w14:paraId="5B41585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 пул.</w:t>
            </w:r>
          </w:p>
        </w:tc>
        <w:tc>
          <w:tcPr>
            <w:tcW w:w="1656" w:type="dxa"/>
          </w:tcPr>
          <w:p w14:paraId="74E686B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1934</w:t>
            </w:r>
          </w:p>
        </w:tc>
      </w:tr>
      <w:tr w:rsidR="00F26F01" w:rsidRPr="00C33834" w14:paraId="19887A94" w14:textId="77777777">
        <w:tc>
          <w:tcPr>
            <w:tcW w:w="1656" w:type="dxa"/>
          </w:tcPr>
          <w:p w14:paraId="5212311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Двухместн. пушечн. истреб. ДИП-2М34 РН</w:t>
            </w:r>
          </w:p>
        </w:tc>
        <w:tc>
          <w:tcPr>
            <w:tcW w:w="1656" w:type="dxa"/>
          </w:tcPr>
          <w:p w14:paraId="1EF31F5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325/5000</w:t>
            </w:r>
          </w:p>
        </w:tc>
        <w:tc>
          <w:tcPr>
            <w:tcW w:w="1656" w:type="dxa"/>
          </w:tcPr>
          <w:p w14:paraId="7007405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15/5000</w:t>
            </w:r>
          </w:p>
        </w:tc>
        <w:tc>
          <w:tcPr>
            <w:tcW w:w="1656" w:type="dxa"/>
          </w:tcPr>
          <w:p w14:paraId="613B8E8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300/500</w:t>
            </w:r>
          </w:p>
        </w:tc>
        <w:tc>
          <w:tcPr>
            <w:tcW w:w="1656" w:type="dxa"/>
          </w:tcPr>
          <w:p w14:paraId="44D8FF0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53BDA6A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Пушки</w:t>
            </w:r>
          </w:p>
        </w:tc>
        <w:tc>
          <w:tcPr>
            <w:tcW w:w="1656" w:type="dxa"/>
          </w:tcPr>
          <w:p w14:paraId="2DAE79E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июня 1934 </w:t>
            </w:r>
          </w:p>
        </w:tc>
      </w:tr>
      <w:tr w:rsidR="00F26F01" w:rsidRPr="00C33834" w14:paraId="46C91FC8" w14:textId="77777777">
        <w:tc>
          <w:tcPr>
            <w:tcW w:w="1656" w:type="dxa"/>
          </w:tcPr>
          <w:p w14:paraId="23D32E7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Двухместн. истреб. ДИ6 Райт-Циклон</w:t>
            </w:r>
          </w:p>
        </w:tc>
        <w:tc>
          <w:tcPr>
            <w:tcW w:w="1656" w:type="dxa"/>
          </w:tcPr>
          <w:p w14:paraId="77A9AB7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375/5000</w:t>
            </w:r>
          </w:p>
        </w:tc>
        <w:tc>
          <w:tcPr>
            <w:tcW w:w="1656" w:type="dxa"/>
          </w:tcPr>
          <w:p w14:paraId="4324158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9/5000</w:t>
            </w:r>
          </w:p>
        </w:tc>
        <w:tc>
          <w:tcPr>
            <w:tcW w:w="1656" w:type="dxa"/>
          </w:tcPr>
          <w:p w14:paraId="5A5B9EE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400/700</w:t>
            </w:r>
          </w:p>
        </w:tc>
        <w:tc>
          <w:tcPr>
            <w:tcW w:w="1656" w:type="dxa"/>
          </w:tcPr>
          <w:p w14:paraId="07EC1E9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656" w:type="dxa"/>
          </w:tcPr>
          <w:p w14:paraId="085D9D4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Легк. и тяж. пул. </w:t>
            </w:r>
          </w:p>
        </w:tc>
        <w:tc>
          <w:tcPr>
            <w:tcW w:w="1656" w:type="dxa"/>
          </w:tcPr>
          <w:p w14:paraId="0A67AF9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1934</w:t>
            </w:r>
          </w:p>
        </w:tc>
      </w:tr>
      <w:tr w:rsidR="00F26F01" w:rsidRPr="00C33834" w14:paraId="2DB729D4" w14:textId="77777777">
        <w:tc>
          <w:tcPr>
            <w:tcW w:w="1656" w:type="dxa"/>
          </w:tcPr>
          <w:p w14:paraId="2CD51E4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бомбовоз К7-7М34</w:t>
            </w:r>
          </w:p>
        </w:tc>
        <w:tc>
          <w:tcPr>
            <w:tcW w:w="1656" w:type="dxa"/>
          </w:tcPr>
          <w:p w14:paraId="06F6CBA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1656" w:type="dxa"/>
          </w:tcPr>
          <w:p w14:paraId="44F095C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5CAF86C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656" w:type="dxa"/>
          </w:tcPr>
          <w:p w14:paraId="54D3628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4C78B3A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4D9023B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августа 1933 </w:t>
            </w:r>
          </w:p>
        </w:tc>
      </w:tr>
      <w:tr w:rsidR="00F26F01" w:rsidRPr="00C33834" w14:paraId="0C7F3300" w14:textId="77777777">
        <w:tc>
          <w:tcPr>
            <w:tcW w:w="1656" w:type="dxa"/>
          </w:tcPr>
          <w:p w14:paraId="66CC77A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бомбовоз ТБ6</w:t>
            </w:r>
          </w:p>
        </w:tc>
        <w:tc>
          <w:tcPr>
            <w:tcW w:w="1656" w:type="dxa"/>
          </w:tcPr>
          <w:p w14:paraId="4D16AF4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250/5000</w:t>
            </w:r>
          </w:p>
        </w:tc>
        <w:tc>
          <w:tcPr>
            <w:tcW w:w="1656" w:type="dxa"/>
          </w:tcPr>
          <w:p w14:paraId="7A5056A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718D5D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1500/2000</w:t>
            </w:r>
          </w:p>
        </w:tc>
        <w:tc>
          <w:tcPr>
            <w:tcW w:w="1656" w:type="dxa"/>
          </w:tcPr>
          <w:p w14:paraId="0ECFF06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тн</w:t>
            </w:r>
          </w:p>
        </w:tc>
        <w:tc>
          <w:tcPr>
            <w:tcW w:w="1656" w:type="dxa"/>
          </w:tcPr>
          <w:p w14:paraId="5A4720F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 пул. и пушки</w:t>
            </w:r>
          </w:p>
        </w:tc>
        <w:tc>
          <w:tcPr>
            <w:tcW w:w="1656" w:type="dxa"/>
          </w:tcPr>
          <w:p w14:paraId="75C7C93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1935</w:t>
            </w:r>
          </w:p>
        </w:tc>
      </w:tr>
      <w:tr w:rsidR="00F26F01" w:rsidRPr="00C33834" w14:paraId="73CE3550" w14:textId="77777777">
        <w:tc>
          <w:tcPr>
            <w:tcW w:w="1656" w:type="dxa"/>
          </w:tcPr>
          <w:p w14:paraId="06D44FC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Скоростн. разведчик СР1-М58</w:t>
            </w:r>
          </w:p>
        </w:tc>
        <w:tc>
          <w:tcPr>
            <w:tcW w:w="1656" w:type="dxa"/>
          </w:tcPr>
          <w:p w14:paraId="1A04874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425/4000</w:t>
            </w:r>
          </w:p>
        </w:tc>
        <w:tc>
          <w:tcPr>
            <w:tcW w:w="1656" w:type="dxa"/>
          </w:tcPr>
          <w:p w14:paraId="3AC6019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12/4000</w:t>
            </w:r>
          </w:p>
        </w:tc>
        <w:tc>
          <w:tcPr>
            <w:tcW w:w="1656" w:type="dxa"/>
          </w:tcPr>
          <w:p w14:paraId="5938A99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656" w:type="dxa"/>
          </w:tcPr>
          <w:p w14:paraId="6DCE0F1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1525E96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6A770A2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Через 6 месяцев после получения мотора</w:t>
            </w:r>
          </w:p>
        </w:tc>
      </w:tr>
      <w:tr w:rsidR="00F26F01" w:rsidRPr="00C33834" w14:paraId="1A0443E9" w14:textId="77777777">
        <w:tc>
          <w:tcPr>
            <w:tcW w:w="1656" w:type="dxa"/>
          </w:tcPr>
          <w:p w14:paraId="48E03D8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Стратосферный с-т</w:t>
            </w:r>
          </w:p>
        </w:tc>
        <w:tc>
          <w:tcPr>
            <w:tcW w:w="1656" w:type="dxa"/>
          </w:tcPr>
          <w:p w14:paraId="5DA4C9B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15DC613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428ADAC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63F866B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4B89C44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F3B1E3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1934</w:t>
            </w:r>
          </w:p>
        </w:tc>
      </w:tr>
      <w:tr w:rsidR="00F26F01" w:rsidRPr="00C33834" w14:paraId="7269D291" w14:textId="77777777">
        <w:tc>
          <w:tcPr>
            <w:tcW w:w="1656" w:type="dxa"/>
          </w:tcPr>
          <w:p w14:paraId="30AE003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Летающее крыло</w:t>
            </w:r>
          </w:p>
        </w:tc>
        <w:tc>
          <w:tcPr>
            <w:tcW w:w="1656" w:type="dxa"/>
          </w:tcPr>
          <w:p w14:paraId="1E4AE4C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3A381D0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15BE9B3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4C55689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039B54D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9133F2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1934</w:t>
            </w:r>
          </w:p>
        </w:tc>
      </w:tr>
      <w:tr w:rsidR="00F26F01" w:rsidRPr="00C33834" w14:paraId="61E86557" w14:textId="77777777">
        <w:tc>
          <w:tcPr>
            <w:tcW w:w="1656" w:type="dxa"/>
          </w:tcPr>
          <w:p w14:paraId="60BFEEF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Разрезное крыло сист. Кричевского</w:t>
            </w:r>
          </w:p>
        </w:tc>
        <w:tc>
          <w:tcPr>
            <w:tcW w:w="1656" w:type="dxa"/>
          </w:tcPr>
          <w:p w14:paraId="3E40A34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50C3965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A6B0AA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78579D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56A03BF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5C2A681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w:t>
            </w:r>
          </w:p>
        </w:tc>
      </w:tr>
      <w:tr w:rsidR="00F26F01" w:rsidRPr="00C33834" w14:paraId="5E811830" w14:textId="77777777">
        <w:tc>
          <w:tcPr>
            <w:tcW w:w="1656" w:type="dxa"/>
          </w:tcPr>
          <w:p w14:paraId="2B84A7C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Геликоптер ВГ2</w:t>
            </w:r>
          </w:p>
        </w:tc>
        <w:tc>
          <w:tcPr>
            <w:tcW w:w="1656" w:type="dxa"/>
          </w:tcPr>
          <w:p w14:paraId="1B2549B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0089FC2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489C062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24A46AF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52A893D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283D9B7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30 июля 1933 </w:t>
            </w:r>
          </w:p>
        </w:tc>
      </w:tr>
      <w:tr w:rsidR="00F26F01" w:rsidRPr="00C33834" w14:paraId="186CD1F4" w14:textId="77777777">
        <w:tc>
          <w:tcPr>
            <w:tcW w:w="1656" w:type="dxa"/>
          </w:tcPr>
          <w:p w14:paraId="1989D6F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 М-22</w:t>
            </w:r>
          </w:p>
        </w:tc>
        <w:tc>
          <w:tcPr>
            <w:tcW w:w="1656" w:type="dxa"/>
          </w:tcPr>
          <w:p w14:paraId="58094A7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77A13D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2158E95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6AFB8EC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4FA17E0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016B9CD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w:t>
            </w:r>
          </w:p>
        </w:tc>
      </w:tr>
      <w:tr w:rsidR="00F26F01" w:rsidRPr="00C33834" w14:paraId="1AF9B91C" w14:textId="77777777">
        <w:tc>
          <w:tcPr>
            <w:tcW w:w="1656" w:type="dxa"/>
          </w:tcPr>
          <w:p w14:paraId="21BF3C0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Учебный самолет У3-М48</w:t>
            </w:r>
          </w:p>
        </w:tc>
        <w:tc>
          <w:tcPr>
            <w:tcW w:w="1656" w:type="dxa"/>
          </w:tcPr>
          <w:p w14:paraId="406FD63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180/1000</w:t>
            </w:r>
          </w:p>
        </w:tc>
        <w:tc>
          <w:tcPr>
            <w:tcW w:w="1656" w:type="dxa"/>
          </w:tcPr>
          <w:p w14:paraId="1D78E39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41C0DD0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360</w:t>
            </w:r>
          </w:p>
        </w:tc>
        <w:tc>
          <w:tcPr>
            <w:tcW w:w="1656" w:type="dxa"/>
          </w:tcPr>
          <w:p w14:paraId="1EECD52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7EB8F63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6" w:type="dxa"/>
          </w:tcPr>
          <w:p w14:paraId="18CA10F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1934</w:t>
            </w:r>
          </w:p>
        </w:tc>
      </w:tr>
    </w:tbl>
    <w:p w14:paraId="793F37C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p w14:paraId="094C51A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моторов и самолетов по группе опытных отнести к первоочередным и решающим объектам плана, обязав ГУАП выполнить все работы, предъявив моторы и самолеты в указанные сроки на гос. испытания.</w:t>
      </w:r>
    </w:p>
    <w:p w14:paraId="4FE5EEC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отношении экспериментальных моторов и самолетов, указанные в плане сроки считать сроками предъявления на заводские испытания.</w:t>
      </w:r>
    </w:p>
    <w:p w14:paraId="43052F9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 связи с необходимостью значительного увеличения радиусов действия нашей авиации, зависящих в основном от безотказности и надежности работы моторов, считать главнейшим требованием ко всем перечисленным выше моторам их надежную и безотказную работу (без замены каких-бы то ни было деталей) не менее 200 часов между переборками, а для М-34 однорядного и М48 не менее 300 часов.</w:t>
      </w:r>
    </w:p>
    <w:p w14:paraId="38FF86A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При конструировании всех вышеперечисленных типов самолетов обратить особое внимание на скорейшее достижение:</w:t>
      </w:r>
    </w:p>
    <w:p w14:paraId="3DDD837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уменьшения мертвого веса конструкции, причем для бомбардировочных самолетов мертвый вес конструкции должен составлять не более 50% нормального полетного веса;</w:t>
      </w:r>
    </w:p>
    <w:p w14:paraId="760A55E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увеличения обтекаемости в целях увеличения горизонтальной скорости и</w:t>
      </w:r>
    </w:p>
    <w:p w14:paraId="058E9D0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уменьшения посадочной скорости до 50-60 км и достижения коэффициента посадочной скорости (соотношение между максимальной, горизонтальной и посадочной скоростью) не менее четырех.</w:t>
      </w:r>
    </w:p>
    <w:p w14:paraId="4B2A867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Сверх указанного плана обязать ГУАП построить эталон ТБ4 для серийного производства. Алкснису и Баранову установить технические требования для этого самолета и срок предъявления его на гос. испытания.</w:t>
      </w:r>
    </w:p>
    <w:p w14:paraId="3976095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Возложить персональную ответственность за выполнение утвержденного плана опытного строительства в обусловленные сроки на начальника ГУАП Баранова, а по мотору Н5 – на начальника техотдела ЭКУ ОГПУ Горянова.</w:t>
      </w:r>
    </w:p>
    <w:p w14:paraId="0050C3E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Обязать ГУАП под личную ответственность Баранова форсировать изготовление и испытание невыключающегося нагнетателя для мотора М-34 в ЦИАМе и немедленно приступить к подготовке серийного производства нагнетателей и редукторов к этому мотору с таким расчетом, чтобы с 1 октября 1933 года выпускать мотор М34 с редуктором, а с 1 января 1934 года с нагнетателем в качестве, потребном НКВМ.</w:t>
      </w:r>
    </w:p>
    <w:p w14:paraId="3577DCA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В целях своевременной постройки опытных образцов самолетов под мотор «Райт-Циклон» и мотор «Кертисс» типа - 1800 и внедрения этих типов в серийное производство ко времени выпуска на советских заводах моторов «Райт-Циклон» и «Кертисс» по лицензии, закупить немедленно 30 моторов «Райт-Циклон» и 20 моторов «Кертисс». –1800 с необходимым количеством запчастей и инструментов.</w:t>
      </w:r>
    </w:p>
    <w:p w14:paraId="52585F1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Реализацию покупки моторов возложить на НКТП с отпуском для этой цели необходимых средств в инвалюте из резервного фонда Совнаркома.</w:t>
      </w:r>
    </w:p>
    <w:p w14:paraId="2345B41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Начальнику ГУАП Баранову принять все меры к использованию техпомощи фирмы «Райт-Кертисс» и по подготовке производства моторов «Райт-Циклон» и «Кертисс» -1800 в обусловленные договором сроки.</w:t>
      </w:r>
    </w:p>
    <w:p w14:paraId="441B17B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ходе реализации договора на техпомощь на моторы «Райт-Циклон» и «Кертисс» , хода подготовки производства указанных моторов на советских заводах и заключении договора на поставку 50 моторов (30 моторов «Райт-Циклон» и 20 «Кертисс») и о реализации этого договора Баранову и Алкснису ежеквартально докладывать НКТП Орджоникидзе и НКВМ Ворошилову.</w:t>
      </w:r>
    </w:p>
    <w:p w14:paraId="5E6ACD1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Предложить Баранову ознакомиться с работами группы Проскура-Майзель в Харьковском институте Промэнергетики на предмет ее выделения в самостоятельное научно-исследовательское и опытное бюро по конструированию и постройке нагнетателей для авиамоторов.</w:t>
      </w:r>
    </w:p>
    <w:p w14:paraId="424B730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Свои конкретные предложения, согласованные с начальником ВВС, доложить КО в месячный срок.</w:t>
      </w:r>
    </w:p>
    <w:p w14:paraId="6388B4C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В целях ………………………….. обязать НКАП под персональную ответственность Баранова организовать на одном из незамерзающих морей мощное КБ по созданию новых типов самолетов.</w:t>
      </w:r>
    </w:p>
    <w:p w14:paraId="0E8CED7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Баранову, Алкснису и Орлову в двухмесячный срок ………….. по этому вопросу в КО конкретные, согласованные предложения.</w:t>
      </w:r>
    </w:p>
    <w:p w14:paraId="4F7EFBF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Впредь до перевода КБ по опытному гидросамолетостроению на одно из незамерзающих морей обязать Баранова, выделить внутри ЦАГИ и 39 завода всех конструкторов по гидросамолетостроению в самостоятельные конструкторские бюро, с непосредственным подчинением главных конструкторов начальнику ЦАГИ и директору завода № 39 по принадлежности.</w:t>
      </w:r>
    </w:p>
    <w:p w14:paraId="5596329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Начальнику ГУАП принять все меры к окончанию организации и усилению конструкторских бюро на серийных заводах для усовершенствования и модернизации самолетов и моторов.</w:t>
      </w:r>
    </w:p>
    <w:p w14:paraId="7E1F933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11-а. Обязать начальника ГУАП Баранова образовать специальное КБ с придачей ему 25-го авиазавода во главе с директором Фрадкиным, главным артиллерийским инженером Курчевским и главным авиаинженером Григоровичем. Откомандировать в состав этого КБ Петрова (ОГПУ), Агокаса (ГУАП) и Козлова (ВВА по совместительству). Задачей КБ поставить постройку мощного артиллерийского самолета.</w:t>
      </w:r>
    </w:p>
    <w:p w14:paraId="1C60507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Возложить на начальника ГУАП Баранова подготовку производства в 1934 году стандартного типа ТБ3 и АНТ-14 ………….. бомбардировщика и тяжелого штурмовика, приспособленных для почтовой и пассажирской эксплоатации ГВФ.</w:t>
      </w:r>
    </w:p>
    <w:p w14:paraId="35FBE62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Обязать начальника ГУАП Баранова внедрить в серийное производство скоростной пассажирский самолет ХАИ с 1 января 1934 года ……………………….</w:t>
      </w:r>
    </w:p>
    <w:p w14:paraId="1BBA63B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Обязать ГУАП обеспечить предъявление на гос. испытание окончательного образца турели под пулемет «ШКАС» к 25 августа 1933 года; самолетной установки для крупнокалиберного пулемета «ШВАК» к 15 октября 1933 года; установки для 20 мм автоматической пушки – 1 октября 1933 года; установки для 37 мм автоматической пушки к 1 января 1934 года и в течение 1933 года закончить разработку бомбовых блоков со свободной подвеской бомб, оборудуя впредь все новые самолеты этими типами балок.</w:t>
      </w:r>
    </w:p>
    <w:p w14:paraId="588FC6E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Обязать начальника ГУГВФ Гольцмана, самовольно прекратившего работу по плану опытного строительства ВВС, утвержденного КО от 4 июля 1932 года, в части, касающейся ГУГВФ в декадный срок представить новые сроки предъявления этих опытных самолетов на гос. испытание, согласованные с начальником ВВС.</w:t>
      </w:r>
    </w:p>
    <w:p w14:paraId="1ECF90C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(председатель КО Молотов-Скрябин) (4223, 9-12).</w:t>
      </w:r>
    </w:p>
    <w:p w14:paraId="1BF2B10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487D7DD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августа 1933 Я.Берзин докладывал наркому К.Е.В., что в период 20-30 сентября 1933 будет окончательно ликвидирована станция "друзей" в Липецке. Стоимость оставленного оборудования составила 2.9 млн. марок + 50 самолетов Фоккер (1131,32).</w:t>
      </w:r>
    </w:p>
    <w:p w14:paraId="115121A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708401B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августа 1933 года главный инженер механик НИИ ВВС Аузан писал письмо N 2/01160 начальнику штаба ВВС Хрипину.</w:t>
      </w:r>
    </w:p>
    <w:p w14:paraId="1343B13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сем препровождаю тактико-технические требования к транспортному самолету Можаева (3903).</w:t>
      </w:r>
    </w:p>
    <w:p w14:paraId="26F240B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36A91C4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августа 1933 дата присвоения опознавательного знака с литерой "Н" - СССР-Н18 - У-2, зав. № 4940, мотор - М-11.Первоначальный владелец воздушного судна - УВС ГУСМП. Самолет выпуска 1933 г. По данным Реестра Воздушных судов У-2 СССР-Н18 был полностью разбит в аварии, а исключен из списков самолетного парка ГУСМП 05.01.35 г. Использован для ремонта СССР-Н36 в 1937 г. Согласно приказу по ГУСМП № 406 от 25 сентября 1938 г. самолет СССР-Н18 был передан в ГВФ взамен потерянного при снятии со льдины папанинцев Ш-2 СССР-М32 и исключен из списков самоле- то-моторного парка УПА (11955).</w:t>
      </w:r>
    </w:p>
    <w:p w14:paraId="10AF607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627DABD0" w14:textId="77777777" w:rsidR="005F068E" w:rsidRPr="00C33834" w:rsidRDefault="005F068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31 августа 1933 в 16.00 дирижабль вылетел в Тетюши. На борту находился секретарь обкома ВКП (б) Разумов, заведующий агитационно-про</w:t>
      </w:r>
      <w:r w:rsidRPr="00C33834">
        <w:rPr>
          <w:rFonts w:ascii="Times New Roman" w:hAnsi="Times New Roman"/>
          <w:color w:val="0070C0"/>
          <w:sz w:val="16"/>
          <w:szCs w:val="16"/>
        </w:rPr>
        <w:softHyphen/>
        <w:t>пагандистским отделом обкома Жилинский, корреспондент «Красной Татарии», киноопера</w:t>
      </w:r>
      <w:r w:rsidRPr="00C33834">
        <w:rPr>
          <w:rFonts w:ascii="Times New Roman" w:hAnsi="Times New Roman"/>
          <w:color w:val="0070C0"/>
          <w:sz w:val="16"/>
          <w:szCs w:val="16"/>
        </w:rPr>
        <w:softHyphen/>
        <w:t>тор и трубач. Маршрут полёта, увязанный с пя</w:t>
      </w:r>
      <w:r w:rsidRPr="00C33834">
        <w:rPr>
          <w:rFonts w:ascii="Times New Roman" w:hAnsi="Times New Roman"/>
          <w:color w:val="0070C0"/>
          <w:sz w:val="16"/>
          <w:szCs w:val="16"/>
        </w:rPr>
        <w:softHyphen/>
        <w:t>тидневкой завершения хлебосдачи в республике, проходил через отстающие Верхне-Услонский, Апастовский и Буинский районы. С дирижабля разбрасывались листовки-обращения обкома ВКП (б) об усилении темпов сдачи хлеба, пред</w:t>
      </w:r>
      <w:r w:rsidRPr="00C33834">
        <w:rPr>
          <w:rFonts w:ascii="Times New Roman" w:hAnsi="Times New Roman"/>
          <w:color w:val="0070C0"/>
          <w:sz w:val="16"/>
          <w:szCs w:val="16"/>
        </w:rPr>
        <w:softHyphen/>
        <w:t>варяемые при полёте над крупными колхоза</w:t>
      </w:r>
      <w:r w:rsidRPr="00C33834">
        <w:rPr>
          <w:rFonts w:ascii="Times New Roman" w:hAnsi="Times New Roman"/>
          <w:color w:val="0070C0"/>
          <w:sz w:val="16"/>
          <w:szCs w:val="16"/>
        </w:rPr>
        <w:softHyphen/>
        <w:t>ми сигналами горна. По прибытии «СССР В-2» в Тетюши там состоялся митинг, после оконча</w:t>
      </w:r>
      <w:r w:rsidRPr="00C33834">
        <w:rPr>
          <w:rFonts w:ascii="Times New Roman" w:hAnsi="Times New Roman"/>
          <w:color w:val="0070C0"/>
          <w:sz w:val="16"/>
          <w:szCs w:val="16"/>
        </w:rPr>
        <w:softHyphen/>
        <w:t>ния которого, уже в сумерках, дирижабль отбыл в Казань.</w:t>
      </w:r>
    </w:p>
    <w:p w14:paraId="0A353830" w14:textId="77777777" w:rsidR="005F068E" w:rsidRPr="00C33834" w:rsidRDefault="005F068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 следующий день дирижабль вылетел в районы Закамья с секретарём обкома ВКП (б) на борту. В полёте участвовали также корреспон</w:t>
      </w:r>
      <w:r w:rsidRPr="00C33834">
        <w:rPr>
          <w:rFonts w:ascii="Times New Roman" w:hAnsi="Times New Roman"/>
          <w:color w:val="0070C0"/>
          <w:sz w:val="16"/>
          <w:szCs w:val="16"/>
        </w:rPr>
        <w:softHyphen/>
        <w:t>дент «Красной Татарии» и трубач. Полёт прохо</w:t>
      </w:r>
      <w:r w:rsidRPr="00C33834">
        <w:rPr>
          <w:rFonts w:ascii="Times New Roman" w:hAnsi="Times New Roman"/>
          <w:color w:val="0070C0"/>
          <w:sz w:val="16"/>
          <w:szCs w:val="16"/>
        </w:rPr>
        <w:softHyphen/>
        <w:t>дил по маршруту Казань — Мамадыш — Ела- буга — Березинные челны — Сорманово — Чи</w:t>
      </w:r>
      <w:r w:rsidRPr="00C33834">
        <w:rPr>
          <w:rFonts w:ascii="Times New Roman" w:hAnsi="Times New Roman"/>
          <w:color w:val="0070C0"/>
          <w:sz w:val="16"/>
          <w:szCs w:val="16"/>
        </w:rPr>
        <w:softHyphen/>
        <w:t>стополь — Рыбная слобода — Казань, куда дири</w:t>
      </w:r>
      <w:r w:rsidRPr="00C33834">
        <w:rPr>
          <w:rFonts w:ascii="Times New Roman" w:hAnsi="Times New Roman"/>
          <w:color w:val="0070C0"/>
          <w:sz w:val="16"/>
          <w:szCs w:val="16"/>
        </w:rPr>
        <w:softHyphen/>
        <w:t>жабль возвратился в 20.25, пройдя за 8 ч 39 мин 645 км. «СССР В-2» садился в Березинных челнах и Чистополе, где состоялись митинги. На отрез</w:t>
      </w:r>
      <w:r w:rsidRPr="00C33834">
        <w:rPr>
          <w:rFonts w:ascii="Times New Roman" w:hAnsi="Times New Roman"/>
          <w:color w:val="0070C0"/>
          <w:sz w:val="16"/>
          <w:szCs w:val="16"/>
        </w:rPr>
        <w:softHyphen/>
        <w:t>ке от Березинных челнов до Чистополя дири</w:t>
      </w:r>
      <w:r w:rsidRPr="00C33834">
        <w:rPr>
          <w:rFonts w:ascii="Times New Roman" w:hAnsi="Times New Roman"/>
          <w:color w:val="0070C0"/>
          <w:sz w:val="16"/>
          <w:szCs w:val="16"/>
        </w:rPr>
        <w:softHyphen/>
        <w:t>жабль взял на борт трёх ударников-колхозников. Стартёр Мартынов летел впереди на самолете У-2 для подготовки встречи дирижабля в местах про</w:t>
      </w:r>
      <w:r w:rsidRPr="00C33834">
        <w:rPr>
          <w:rFonts w:ascii="Times New Roman" w:hAnsi="Times New Roman"/>
          <w:color w:val="0070C0"/>
          <w:sz w:val="16"/>
          <w:szCs w:val="16"/>
        </w:rPr>
        <w:softHyphen/>
        <w:t>межуточных посадок.</w:t>
      </w:r>
    </w:p>
    <w:p w14:paraId="36B932F3" w14:textId="77777777" w:rsidR="005F068E" w:rsidRPr="00C33834" w:rsidRDefault="005F068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Обратный путь из Казани в Москву дирижабль выполнил без посадок. Стартовав 4 сентября в 13.33, он, после 10 ч 14 мин полёта, приземлил</w:t>
      </w:r>
      <w:r w:rsidRPr="00C33834">
        <w:rPr>
          <w:rFonts w:ascii="Times New Roman" w:hAnsi="Times New Roman"/>
          <w:color w:val="0070C0"/>
          <w:sz w:val="16"/>
          <w:szCs w:val="16"/>
        </w:rPr>
        <w:softHyphen/>
        <w:t>ся в столице. Последнюю часть пути «СССР В-2» шёл в темноте, по неосвещённой трассе. Только пролетая над Комсомольской площадью, пило</w:t>
      </w:r>
      <w:r w:rsidRPr="00C33834">
        <w:rPr>
          <w:rFonts w:ascii="Times New Roman" w:hAnsi="Times New Roman"/>
          <w:color w:val="0070C0"/>
          <w:sz w:val="16"/>
          <w:szCs w:val="16"/>
        </w:rPr>
        <w:softHyphen/>
        <w:t>ты заметили вращающийся маяк Центрального порта дирижаблей. В ходе полёта дирижабль по</w:t>
      </w:r>
      <w:r w:rsidRPr="00C33834">
        <w:rPr>
          <w:rFonts w:ascii="Times New Roman" w:hAnsi="Times New Roman"/>
          <w:color w:val="0070C0"/>
          <w:sz w:val="16"/>
          <w:szCs w:val="16"/>
        </w:rPr>
        <w:softHyphen/>
        <w:t>лучал регулярные метеосводки по радио. За три часа до прилёта в Москву Е.М. Оппман по радио узнал о грозе в столице и задержался в пути до радиограммы о её завершении. За час до прилёта в Москву на «СССР В-2» получили данные шаро- пилотных наблюдений Центрального поста, по</w:t>
      </w:r>
      <w:r w:rsidRPr="00C33834">
        <w:rPr>
          <w:rFonts w:ascii="Times New Roman" w:hAnsi="Times New Roman"/>
          <w:color w:val="0070C0"/>
          <w:sz w:val="16"/>
          <w:szCs w:val="16"/>
        </w:rPr>
        <w:softHyphen/>
        <w:t>зволившие понять условия предстоящей посад</w:t>
      </w:r>
      <w:r w:rsidRPr="00C33834">
        <w:rPr>
          <w:rFonts w:ascii="Times New Roman" w:hAnsi="Times New Roman"/>
          <w:color w:val="0070C0"/>
          <w:sz w:val="16"/>
          <w:szCs w:val="16"/>
        </w:rPr>
        <w:softHyphen/>
        <w:t>ки. Дирижабль поддерживал также радиосвязь с Москвой, Казанью и Арзамасом.</w:t>
      </w:r>
    </w:p>
    <w:p w14:paraId="79E45FE0" w14:textId="77777777" w:rsidR="005F068E" w:rsidRPr="00C33834" w:rsidRDefault="005F068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1934 г. «СССР В-2» налетал только 30 часов, так как весной его разоружили: опыт эксплуа</w:t>
      </w:r>
      <w:r w:rsidRPr="00C33834">
        <w:rPr>
          <w:rFonts w:ascii="Times New Roman" w:hAnsi="Times New Roman"/>
          <w:color w:val="0070C0"/>
          <w:sz w:val="16"/>
          <w:szCs w:val="16"/>
        </w:rPr>
        <w:softHyphen/>
        <w:t>тации показал, что «СССР В-3» лучше подходит для обучения лётных кадров. Большая весовая отдача «В-3» обеспечивала ему хорошую автоно</w:t>
      </w:r>
      <w:r w:rsidRPr="00C33834">
        <w:rPr>
          <w:rFonts w:ascii="Times New Roman" w:hAnsi="Times New Roman"/>
          <w:color w:val="0070C0"/>
          <w:sz w:val="16"/>
          <w:szCs w:val="16"/>
        </w:rPr>
        <w:softHyphen/>
        <w:t>мию и большую дальность полётов при скоро</w:t>
      </w:r>
      <w:r w:rsidRPr="00C33834">
        <w:rPr>
          <w:rFonts w:ascii="Times New Roman" w:hAnsi="Times New Roman"/>
          <w:color w:val="0070C0"/>
          <w:sz w:val="16"/>
          <w:szCs w:val="16"/>
        </w:rPr>
        <w:softHyphen/>
        <w:t>стях не меньших, чем на «СССР В-2». Свою роль сыграла и ненадёжная работа моторов «Титан», замену которым так и не нашли (20120).</w:t>
      </w:r>
    </w:p>
    <w:p w14:paraId="493F1F24" w14:textId="77777777" w:rsidR="005F068E" w:rsidRPr="00C33834" w:rsidRDefault="005F068E" w:rsidP="00C33834">
      <w:pPr>
        <w:spacing w:after="0" w:line="240" w:lineRule="auto"/>
        <w:jc w:val="both"/>
        <w:rPr>
          <w:rFonts w:ascii="Times New Roman" w:hAnsi="Times New Roman"/>
          <w:color w:val="0070C0"/>
          <w:sz w:val="16"/>
          <w:szCs w:val="16"/>
        </w:rPr>
      </w:pPr>
    </w:p>
    <w:p w14:paraId="331441F8"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B339C4A"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5FF8A83"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августа 1934 г. на базе Ленинградских краснознамен</w:t>
      </w:r>
      <w:r w:rsidRPr="00C33834">
        <w:rPr>
          <w:rFonts w:ascii="Times New Roman" w:hAnsi="Times New Roman"/>
          <w:color w:val="000000" w:themeColor="text1"/>
          <w:sz w:val="16"/>
          <w:szCs w:val="16"/>
        </w:rPr>
        <w:softHyphen/>
        <w:t>ных бронетанковых курсов усовершенствования комсостава РККА им. тов. Бубнов прошли войсковые испытания легкой броневой дрези</w:t>
      </w:r>
      <w:r w:rsidRPr="00C33834">
        <w:rPr>
          <w:rFonts w:ascii="Times New Roman" w:hAnsi="Times New Roman"/>
          <w:color w:val="000000" w:themeColor="text1"/>
          <w:sz w:val="16"/>
          <w:szCs w:val="16"/>
        </w:rPr>
        <w:softHyphen/>
        <w:t>ны, которые начались 22 июня 1933 г.</w:t>
      </w:r>
    </w:p>
    <w:p w14:paraId="6771B64E"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положи</w:t>
      </w:r>
      <w:r w:rsidRPr="00C33834">
        <w:rPr>
          <w:rFonts w:ascii="Times New Roman" w:hAnsi="Times New Roman"/>
          <w:color w:val="000000" w:themeColor="text1"/>
          <w:sz w:val="16"/>
          <w:szCs w:val="16"/>
        </w:rPr>
        <w:softHyphen/>
        <w:t>тельным качествам «брдл» на основе Д-8, позволяющим эффективно ис</w:t>
      </w:r>
      <w:r w:rsidRPr="00C33834">
        <w:rPr>
          <w:rFonts w:ascii="Times New Roman" w:hAnsi="Times New Roman"/>
          <w:color w:val="000000" w:themeColor="text1"/>
          <w:sz w:val="16"/>
          <w:szCs w:val="16"/>
        </w:rPr>
        <w:softHyphen/>
        <w:t xml:space="preserve">пользовать ее как средство механизированной разведки в бронепоезд- ных частях, отнесли высокую скорость движения (до 100 км/ч по рельсам и 80 км/ч по шоссе, повышенную проходимость (переход на грунт силами экипажа занимал не более 10 мин), небольшие габариты (длина - 3540 мм, ширина - 1705 мм, высота - 1700 мм), наличие броневой защиты </w:t>
      </w:r>
      <w:r w:rsidRPr="00C33834">
        <w:rPr>
          <w:rStyle w:val="aff5"/>
          <w:rFonts w:ascii="Times New Roman" w:hAnsi="Times New Roman" w:cs="Times New Roman"/>
          <w:i w:val="0"/>
          <w:color w:val="000000" w:themeColor="text1"/>
        </w:rPr>
        <w:t>(«броня простой пулей не пробивается»).</w:t>
      </w:r>
      <w:r w:rsidRPr="00C33834">
        <w:rPr>
          <w:rFonts w:ascii="Times New Roman" w:hAnsi="Times New Roman"/>
          <w:color w:val="000000" w:themeColor="text1"/>
          <w:sz w:val="16"/>
          <w:szCs w:val="16"/>
        </w:rPr>
        <w:t xml:space="preserve"> Специальное оборудование в целом получило высокую оценку.</w:t>
      </w:r>
    </w:p>
    <w:p w14:paraId="106BABC6"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Однако и недостатков хватало. Так, в выводах по результатам испы</w:t>
      </w:r>
      <w:r w:rsidRPr="00C33834">
        <w:rPr>
          <w:rFonts w:ascii="Times New Roman" w:hAnsi="Times New Roman"/>
          <w:color w:val="000000" w:themeColor="text1"/>
          <w:sz w:val="16"/>
          <w:szCs w:val="16"/>
        </w:rPr>
        <w:softHyphen/>
        <w:t>таний начальник курса Лебедевский, наряду с достоинствами машины, отмечал:</w:t>
      </w:r>
    </w:p>
    <w:p w14:paraId="0DA991D1" w14:textId="77777777" w:rsidR="004050DA" w:rsidRPr="00C33834" w:rsidRDefault="004050DA" w:rsidP="00C33834">
      <w:pPr>
        <w:pStyle w:val="34"/>
        <w:shd w:val="clear" w:color="auto" w:fill="auto"/>
        <w:spacing w:line="240" w:lineRule="auto"/>
        <w:jc w:val="both"/>
        <w:rPr>
          <w:rFonts w:ascii="Times New Roman" w:cs="Times New Roman"/>
          <w:color w:val="000000" w:themeColor="text1"/>
          <w:spacing w:val="0"/>
          <w:sz w:val="16"/>
          <w:szCs w:val="16"/>
        </w:rPr>
      </w:pPr>
      <w:r w:rsidRPr="00C33834">
        <w:rPr>
          <w:rFonts w:ascii="Times New Roman" w:cs="Times New Roman"/>
          <w:color w:val="000000" w:themeColor="text1"/>
          <w:spacing w:val="0"/>
          <w:sz w:val="16"/>
          <w:szCs w:val="16"/>
        </w:rPr>
        <w:t>«1. Бр.д.л., имея положительные и отрицательные свойства броне</w:t>
      </w:r>
      <w:r w:rsidRPr="00C33834">
        <w:rPr>
          <w:rFonts w:ascii="Times New Roman" w:cs="Times New Roman"/>
          <w:color w:val="000000" w:themeColor="text1"/>
          <w:spacing w:val="0"/>
          <w:sz w:val="16"/>
          <w:szCs w:val="16"/>
        </w:rPr>
        <w:softHyphen/>
        <w:t>автомобиля «Д-8», при движении по жел. дор. пути не может компен</w:t>
      </w:r>
      <w:r w:rsidRPr="00C33834">
        <w:rPr>
          <w:rFonts w:ascii="Times New Roman" w:cs="Times New Roman"/>
          <w:color w:val="000000" w:themeColor="text1"/>
          <w:spacing w:val="0"/>
          <w:sz w:val="16"/>
          <w:szCs w:val="16"/>
        </w:rPr>
        <w:softHyphen/>
        <w:t>сировать поворотливостью ограниченный угол обстрела своих пулеме</w:t>
      </w:r>
      <w:r w:rsidRPr="00C33834">
        <w:rPr>
          <w:rFonts w:ascii="Times New Roman" w:cs="Times New Roman"/>
          <w:color w:val="000000" w:themeColor="text1"/>
          <w:spacing w:val="0"/>
          <w:sz w:val="16"/>
          <w:szCs w:val="16"/>
        </w:rPr>
        <w:softHyphen/>
        <w:t>тов и при движении задним ходом имеет недостаточную скорость (до 10 клм./ч); поворот брдл на 180 град, и переход на грунт (и обратно) под действительным огнем пр-ка невозможен.</w:t>
      </w:r>
    </w:p>
    <w:p w14:paraId="3D4BABF5" w14:textId="77777777" w:rsidR="004050DA" w:rsidRPr="00C33834" w:rsidRDefault="004050DA" w:rsidP="00C33834">
      <w:pPr>
        <w:pStyle w:val="19"/>
        <w:shd w:val="clear" w:color="auto" w:fill="auto"/>
        <w:spacing w:line="240" w:lineRule="auto"/>
        <w:jc w:val="both"/>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lastRenderedPageBreak/>
        <w:t>(...)</w:t>
      </w:r>
    </w:p>
    <w:p w14:paraId="1B10B637" w14:textId="77777777" w:rsidR="004050DA" w:rsidRPr="00C33834" w:rsidRDefault="004050DA" w:rsidP="00C33834">
      <w:pPr>
        <w:pStyle w:val="34"/>
        <w:shd w:val="clear" w:color="auto" w:fill="auto"/>
        <w:spacing w:line="240" w:lineRule="auto"/>
        <w:jc w:val="both"/>
        <w:rPr>
          <w:rFonts w:ascii="Times New Roman" w:cs="Times New Roman"/>
          <w:color w:val="000000" w:themeColor="text1"/>
          <w:spacing w:val="0"/>
          <w:sz w:val="16"/>
          <w:szCs w:val="16"/>
        </w:rPr>
      </w:pPr>
      <w:r w:rsidRPr="00C33834">
        <w:rPr>
          <w:rFonts w:ascii="Times New Roman" w:cs="Times New Roman"/>
          <w:color w:val="000000" w:themeColor="text1"/>
          <w:spacing w:val="0"/>
          <w:sz w:val="16"/>
          <w:szCs w:val="16"/>
        </w:rPr>
        <w:t>4. Специальное оборудование:</w:t>
      </w:r>
    </w:p>
    <w:p w14:paraId="6B2B1825" w14:textId="77777777" w:rsidR="004050DA" w:rsidRPr="00C33834" w:rsidRDefault="004050DA" w:rsidP="00C33834">
      <w:pPr>
        <w:pStyle w:val="34"/>
        <w:shd w:val="clear" w:color="auto" w:fill="auto"/>
        <w:spacing w:line="240" w:lineRule="auto"/>
        <w:jc w:val="both"/>
        <w:rPr>
          <w:rFonts w:ascii="Times New Roman" w:cs="Times New Roman"/>
          <w:color w:val="000000" w:themeColor="text1"/>
          <w:spacing w:val="0"/>
          <w:sz w:val="16"/>
          <w:szCs w:val="16"/>
        </w:rPr>
      </w:pPr>
      <w:r w:rsidRPr="00C33834">
        <w:rPr>
          <w:rFonts w:ascii="Times New Roman" w:cs="Times New Roman"/>
          <w:color w:val="000000" w:themeColor="text1"/>
          <w:spacing w:val="0"/>
          <w:sz w:val="16"/>
          <w:szCs w:val="16"/>
        </w:rPr>
        <w:t>а) Съемные диски с ребордами и резиновыми шинами крепятся к колесам надежно и просто; взаимозаменяемость или обеспечение уста</w:t>
      </w:r>
      <w:r w:rsidRPr="00C33834">
        <w:rPr>
          <w:rFonts w:ascii="Times New Roman" w:cs="Times New Roman"/>
          <w:color w:val="000000" w:themeColor="text1"/>
          <w:spacing w:val="0"/>
          <w:sz w:val="16"/>
          <w:szCs w:val="16"/>
        </w:rPr>
        <w:softHyphen/>
        <w:t>новки дисков задних колес на передние (и наоборот) - необходимы. Из 4 дисков 2 пришли в негодность из-за износа резиновых шин: диск левого переднего колеса после экстренного торможения на скорости 75 клм./ч. - на 730 клм.; диск левого заднего колеса -на 212 клм. скоростного про</w:t>
      </w:r>
      <w:r w:rsidRPr="00C33834">
        <w:rPr>
          <w:rFonts w:ascii="Times New Roman" w:cs="Times New Roman"/>
          <w:color w:val="000000" w:themeColor="text1"/>
          <w:spacing w:val="0"/>
          <w:sz w:val="16"/>
          <w:szCs w:val="16"/>
        </w:rPr>
        <w:softHyphen/>
        <w:t>бега на 1012 клм. Шина 2-го диска имела роговую прослойку.</w:t>
      </w:r>
    </w:p>
    <w:p w14:paraId="6F4A3E2C" w14:textId="77777777" w:rsidR="004050DA" w:rsidRPr="00C33834" w:rsidRDefault="004050DA" w:rsidP="00C33834">
      <w:pPr>
        <w:pStyle w:val="3b"/>
        <w:shd w:val="clear" w:color="auto" w:fill="auto"/>
        <w:spacing w:before="0" w:after="0" w:line="240" w:lineRule="auto"/>
        <w:jc w:val="both"/>
        <w:rPr>
          <w:color w:val="000000" w:themeColor="text1"/>
          <w:spacing w:val="0"/>
          <w:sz w:val="16"/>
          <w:szCs w:val="16"/>
        </w:rPr>
      </w:pPr>
      <w:r w:rsidRPr="00C33834">
        <w:rPr>
          <w:color w:val="000000" w:themeColor="text1"/>
          <w:spacing w:val="0"/>
          <w:sz w:val="16"/>
          <w:szCs w:val="16"/>
        </w:rPr>
        <w:t>(...)</w:t>
      </w:r>
    </w:p>
    <w:p w14:paraId="0E400C35" w14:textId="77777777" w:rsidR="004050DA" w:rsidRPr="00C33834" w:rsidRDefault="004050DA" w:rsidP="00C33834">
      <w:pPr>
        <w:pStyle w:val="34"/>
        <w:shd w:val="clear" w:color="auto" w:fill="auto"/>
        <w:spacing w:line="240" w:lineRule="auto"/>
        <w:jc w:val="both"/>
        <w:rPr>
          <w:rFonts w:ascii="Times New Roman" w:cs="Times New Roman"/>
          <w:color w:val="000000" w:themeColor="text1"/>
          <w:spacing w:val="0"/>
          <w:sz w:val="16"/>
          <w:szCs w:val="16"/>
        </w:rPr>
      </w:pPr>
      <w:r w:rsidRPr="00C33834">
        <w:rPr>
          <w:rFonts w:ascii="Times New Roman" w:cs="Times New Roman"/>
          <w:color w:val="000000" w:themeColor="text1"/>
          <w:spacing w:val="0"/>
          <w:sz w:val="16"/>
          <w:szCs w:val="16"/>
        </w:rPr>
        <w:t>г) Подъемное приспособление: домкрат имел две поломки. Всю тя</w:t>
      </w:r>
      <w:r w:rsidRPr="00C33834">
        <w:rPr>
          <w:rFonts w:ascii="Times New Roman" w:cs="Times New Roman"/>
          <w:color w:val="000000" w:themeColor="text1"/>
          <w:spacing w:val="0"/>
          <w:sz w:val="16"/>
          <w:szCs w:val="16"/>
        </w:rPr>
        <w:softHyphen/>
        <w:t>жесть брдл при подъемке принимает на себя дно, приклепанное к кор-</w:t>
      </w:r>
    </w:p>
    <w:p w14:paraId="4A210839" w14:textId="77777777" w:rsidR="004050DA" w:rsidRPr="00C33834" w:rsidRDefault="004050DA" w:rsidP="00C33834">
      <w:pPr>
        <w:pStyle w:val="5a"/>
        <w:shd w:val="clear" w:color="auto" w:fill="auto"/>
        <w:spacing w:line="240" w:lineRule="auto"/>
        <w:ind w:firstLine="0"/>
        <w:jc w:val="both"/>
        <w:rPr>
          <w:rFonts w:ascii="Times New Roman" w:hAnsi="Times New Roman"/>
          <w:color w:val="000000" w:themeColor="text1"/>
          <w:spacing w:val="0"/>
          <w:sz w:val="16"/>
          <w:szCs w:val="16"/>
        </w:rPr>
      </w:pPr>
      <w:r w:rsidRPr="00C33834">
        <w:rPr>
          <w:rFonts w:ascii="Times New Roman" w:hAnsi="Times New Roman"/>
          <w:color w:val="000000" w:themeColor="text1"/>
          <w:spacing w:val="0"/>
          <w:sz w:val="16"/>
          <w:szCs w:val="16"/>
        </w:rPr>
        <w:t>Легкая броневая дрезина на железнодорожном ходу. Съемные диски устанавливались поверх автомобильных колес.</w:t>
      </w:r>
    </w:p>
    <w:p w14:paraId="70454AAC" w14:textId="77777777" w:rsidR="004050DA" w:rsidRPr="00C33834" w:rsidRDefault="004050DA" w:rsidP="00C33834">
      <w:pPr>
        <w:pStyle w:val="34"/>
        <w:shd w:val="clear" w:color="auto" w:fill="auto"/>
        <w:spacing w:line="240" w:lineRule="auto"/>
        <w:jc w:val="both"/>
        <w:rPr>
          <w:rFonts w:ascii="Times New Roman" w:cs="Times New Roman"/>
          <w:color w:val="000000" w:themeColor="text1"/>
          <w:spacing w:val="0"/>
          <w:sz w:val="16"/>
          <w:szCs w:val="16"/>
        </w:rPr>
      </w:pPr>
      <w:r w:rsidRPr="00C33834">
        <w:rPr>
          <w:rFonts w:ascii="Times New Roman" w:cs="Times New Roman"/>
          <w:color w:val="000000" w:themeColor="text1"/>
          <w:spacing w:val="0"/>
          <w:sz w:val="16"/>
          <w:szCs w:val="16"/>
        </w:rPr>
        <w:t>пусу домкрата; последний изготовлен из мягкого железа. При поломках срезались заклепки, корпус домкрата и дно его перекашивались, шари</w:t>
      </w:r>
      <w:r w:rsidRPr="00C33834">
        <w:rPr>
          <w:rFonts w:ascii="Times New Roman" w:cs="Times New Roman"/>
          <w:color w:val="000000" w:themeColor="text1"/>
          <w:spacing w:val="0"/>
          <w:sz w:val="16"/>
          <w:szCs w:val="16"/>
        </w:rPr>
        <w:softHyphen/>
        <w:t>ки из упорного подшипника выпадали. Корпус домкрата и дно его долж</w:t>
      </w:r>
      <w:r w:rsidRPr="00C33834">
        <w:rPr>
          <w:rFonts w:ascii="Times New Roman" w:cs="Times New Roman"/>
          <w:color w:val="000000" w:themeColor="text1"/>
          <w:spacing w:val="0"/>
          <w:sz w:val="16"/>
          <w:szCs w:val="16"/>
        </w:rPr>
        <w:softHyphen/>
        <w:t>ны быть прочнее и абсолютно жесткими.</w:t>
      </w:r>
    </w:p>
    <w:p w14:paraId="2D4E8BC4" w14:textId="77777777" w:rsidR="004050DA" w:rsidRPr="00C33834" w:rsidRDefault="004050DA" w:rsidP="00C33834">
      <w:pPr>
        <w:pStyle w:val="321"/>
        <w:shd w:val="clear" w:color="auto" w:fill="auto"/>
        <w:spacing w:line="240" w:lineRule="auto"/>
        <w:ind w:firstLine="0"/>
        <w:jc w:val="both"/>
        <w:outlineLvl w:val="9"/>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w:t>
      </w:r>
    </w:p>
    <w:p w14:paraId="3954AB9B" w14:textId="77777777" w:rsidR="004050DA" w:rsidRPr="00C33834" w:rsidRDefault="004050DA" w:rsidP="00C33834">
      <w:pPr>
        <w:pStyle w:val="34"/>
        <w:shd w:val="clear" w:color="auto" w:fill="auto"/>
        <w:spacing w:line="240" w:lineRule="auto"/>
        <w:jc w:val="both"/>
        <w:rPr>
          <w:rFonts w:ascii="Times New Roman" w:cs="Times New Roman"/>
          <w:color w:val="000000" w:themeColor="text1"/>
          <w:spacing w:val="0"/>
          <w:sz w:val="16"/>
          <w:szCs w:val="16"/>
        </w:rPr>
      </w:pPr>
      <w:r w:rsidRPr="00C33834">
        <w:rPr>
          <w:rFonts w:ascii="Times New Roman" w:cs="Times New Roman"/>
          <w:color w:val="000000" w:themeColor="text1"/>
          <w:spacing w:val="0"/>
          <w:sz w:val="16"/>
          <w:szCs w:val="16"/>
        </w:rPr>
        <w:t>ж) Деревянные мостки - пришли в полную негодность. При исполь</w:t>
      </w:r>
      <w:r w:rsidRPr="00C33834">
        <w:rPr>
          <w:rFonts w:ascii="Times New Roman" w:cs="Times New Roman"/>
          <w:color w:val="000000" w:themeColor="text1"/>
          <w:spacing w:val="0"/>
          <w:sz w:val="16"/>
          <w:szCs w:val="16"/>
        </w:rPr>
        <w:softHyphen/>
        <w:t>зовании требуется особая бдительность экипажа брдл: переход перед</w:t>
      </w:r>
      <w:r w:rsidRPr="00C33834">
        <w:rPr>
          <w:rFonts w:ascii="Times New Roman" w:cs="Times New Roman"/>
          <w:color w:val="000000" w:themeColor="text1"/>
          <w:spacing w:val="0"/>
          <w:sz w:val="16"/>
          <w:szCs w:val="16"/>
        </w:rPr>
        <w:softHyphen/>
        <w:t>них колес через наружную нитку рельс наблюдается часто. Предупреж</w:t>
      </w:r>
      <w:r w:rsidRPr="00C33834">
        <w:rPr>
          <w:rFonts w:ascii="Times New Roman" w:cs="Times New Roman"/>
          <w:color w:val="000000" w:themeColor="text1"/>
          <w:spacing w:val="0"/>
          <w:sz w:val="16"/>
          <w:szCs w:val="16"/>
        </w:rPr>
        <w:softHyphen/>
        <w:t>дение износа - крепление мостков от погружения в балласт».</w:t>
      </w:r>
    </w:p>
    <w:p w14:paraId="00482524"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Выяснилось, что при неполной боевой на</w:t>
      </w:r>
      <w:r w:rsidRPr="00C33834">
        <w:rPr>
          <w:rFonts w:ascii="Times New Roman" w:hAnsi="Times New Roman"/>
          <w:color w:val="000000" w:themeColor="text1"/>
          <w:sz w:val="16"/>
          <w:szCs w:val="16"/>
        </w:rPr>
        <w:softHyphen/>
        <w:t>грузке (если, например, отсутствовали воору</w:t>
      </w:r>
      <w:r w:rsidRPr="00C33834">
        <w:rPr>
          <w:rFonts w:ascii="Times New Roman" w:hAnsi="Times New Roman"/>
          <w:color w:val="000000" w:themeColor="text1"/>
          <w:sz w:val="16"/>
          <w:szCs w:val="16"/>
        </w:rPr>
        <w:softHyphen/>
        <w:t>жение или боеприпасы и передняя часть «брдл» становилась тяжелее задней), установить маши</w:t>
      </w:r>
      <w:r w:rsidRPr="00C33834">
        <w:rPr>
          <w:rFonts w:ascii="Times New Roman" w:hAnsi="Times New Roman"/>
          <w:color w:val="000000" w:themeColor="text1"/>
          <w:sz w:val="16"/>
          <w:szCs w:val="16"/>
        </w:rPr>
        <w:softHyphen/>
        <w:t>ну на рельсы правильно (или снять для движения по грунту) с помощью домкрата экипаж из двух человек не мог. Требовалось привлекать до</w:t>
      </w:r>
      <w:r w:rsidRPr="00C33834">
        <w:rPr>
          <w:rFonts w:ascii="Times New Roman" w:hAnsi="Times New Roman"/>
          <w:color w:val="000000" w:themeColor="text1"/>
          <w:sz w:val="16"/>
          <w:szCs w:val="16"/>
        </w:rPr>
        <w:softHyphen/>
        <w:t>полнительные силы и средства, что в боевых ус</w:t>
      </w:r>
      <w:r w:rsidRPr="00C33834">
        <w:rPr>
          <w:rFonts w:ascii="Times New Roman" w:hAnsi="Times New Roman"/>
          <w:color w:val="000000" w:themeColor="text1"/>
          <w:sz w:val="16"/>
          <w:szCs w:val="16"/>
        </w:rPr>
        <w:softHyphen/>
        <w:t>ловиях далеко не всегда было возможно. Кроме того, при движении машины в боевом порядке (с закрытыми люками) обзор из нее признали явно недостаточным.</w:t>
      </w:r>
    </w:p>
    <w:p w14:paraId="6AC582A8" w14:textId="77777777" w:rsidR="004050DA" w:rsidRPr="00C33834" w:rsidRDefault="004050DA" w:rsidP="00C33834">
      <w:pPr>
        <w:spacing w:after="0" w:line="240" w:lineRule="auto"/>
        <w:jc w:val="both"/>
        <w:rPr>
          <w:rStyle w:val="aff5"/>
          <w:rFonts w:ascii="Times New Roman" w:hAnsi="Times New Roman" w:cs="Times New Roman"/>
          <w:i w:val="0"/>
          <w:color w:val="000000" w:themeColor="text1"/>
        </w:rPr>
      </w:pPr>
      <w:r w:rsidRPr="00C33834">
        <w:rPr>
          <w:rFonts w:ascii="Times New Roman" w:hAnsi="Times New Roman"/>
          <w:color w:val="000000" w:themeColor="text1"/>
          <w:sz w:val="16"/>
          <w:szCs w:val="16"/>
        </w:rPr>
        <w:t>Дальнейшие работы по легким бронедрези</w:t>
      </w:r>
      <w:r w:rsidRPr="00C33834">
        <w:rPr>
          <w:rFonts w:ascii="Times New Roman" w:hAnsi="Times New Roman"/>
          <w:color w:val="000000" w:themeColor="text1"/>
          <w:sz w:val="16"/>
          <w:szCs w:val="16"/>
        </w:rPr>
        <w:softHyphen/>
        <w:t>нам на основе бронеавтомобиля Д-8 прекратили. Тем не менее, на основе опытной эксплуатации «брдл» в Ленинграде составили временную ин</w:t>
      </w:r>
      <w:r w:rsidRPr="00C33834">
        <w:rPr>
          <w:rFonts w:ascii="Times New Roman" w:hAnsi="Times New Roman"/>
          <w:color w:val="000000" w:themeColor="text1"/>
          <w:sz w:val="16"/>
          <w:szCs w:val="16"/>
        </w:rPr>
        <w:softHyphen/>
        <w:t>струкцию</w:t>
      </w:r>
      <w:r w:rsidRPr="00C33834">
        <w:rPr>
          <w:rStyle w:val="aff5"/>
          <w:rFonts w:ascii="Times New Roman" w:hAnsi="Times New Roman" w:cs="Times New Roman"/>
          <w:i w:val="0"/>
          <w:color w:val="000000" w:themeColor="text1"/>
        </w:rPr>
        <w:t xml:space="preserve"> «по службе на бронедрезинах» (12737).</w:t>
      </w:r>
    </w:p>
    <w:p w14:paraId="36326A28" w14:textId="77777777" w:rsidR="004050DA" w:rsidRPr="00C33834" w:rsidRDefault="004050DA" w:rsidP="00C33834">
      <w:pPr>
        <w:spacing w:after="0" w:line="240" w:lineRule="auto"/>
        <w:jc w:val="both"/>
        <w:rPr>
          <w:rFonts w:ascii="Times New Roman" w:hAnsi="Times New Roman"/>
          <w:color w:val="000000" w:themeColor="text1"/>
          <w:sz w:val="16"/>
          <w:szCs w:val="16"/>
        </w:rPr>
      </w:pPr>
    </w:p>
    <w:p w14:paraId="471F63D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31 августа 1934 г. приказом Наркомата тяжелой промышленности СССР было создано Бюро прямоточного котлостроения (БПК). С осени 1941 г. по июнь 1943 г. деятельность бюро была прекращена. В 1952 году переименовано в Государственное союзное бюро прямоточного котлостроения. Приказом Министерства тяжелой промышленности СССР от 30 октября 1954 г. бюро объединено с Московским отделением ЦКТИ. </w:t>
      </w:r>
    </w:p>
    <w:p w14:paraId="1A44EFE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Московское отделение по прямоточному котлостроению, автоматике и энергооборудованию Центрального научно-исследовательского и проектно-конструкторского котлотурбинного института (ЦКТИ) им. И. И. Ползунова Министерства энергетического машиностроения СССР, г. Москва, 1944 - 1977. Московское отделение по прямоточному котлостроению, автоматике и энергооборудованию Центрального научно-исследовательского и проектно-конструкторского котлотурбинного института (ЦКТИ) им. И. И. Ползунова Министерства энергетического машиностроения СССР, г. Москва, 1944 - 1977 было создано распоряжением Совета Народных Комиссаров СССР от 5 августа 1944 г. В связи с переименованием института в 1950 г. переименовано в Московское отделение Центрального научно-исследовательского и проектно-конструкторского котлотурбинного института (ЦКТИ) им. И. И. Ползунова. После объединения по приказу Министерства тяжелой промышленности СССР от 30 октября 1954 г. с Государственным союзным бюро прямоточного котлостроения стало называться Московское отделение по прямоточному котлостроению, автоматике и энергооборудованию Центрального научно-исследовательского и проектно-констукторского котлотурбинного института (ЦКТИ) им. И. И. Ползунова. Приказом Министерства энергетического машиностроения СССР от 5 декабря 1977 г. на базе отделения был создан ВНИИАМ (12102).</w:t>
      </w:r>
    </w:p>
    <w:p w14:paraId="61B3C2AF" w14:textId="77777777" w:rsidR="00A63AAE" w:rsidRPr="00C33834" w:rsidRDefault="00A63AAE" w:rsidP="00C33834">
      <w:pPr>
        <w:pStyle w:val="rtejustify"/>
        <w:spacing w:before="0" w:after="0"/>
        <w:rPr>
          <w:rStyle w:val="af0"/>
          <w:bCs/>
          <w:i w:val="0"/>
          <w:color w:val="000000" w:themeColor="text1"/>
          <w:sz w:val="16"/>
          <w:szCs w:val="16"/>
        </w:rPr>
      </w:pPr>
    </w:p>
    <w:p w14:paraId="4840B101" w14:textId="77777777" w:rsidR="00A63AAE" w:rsidRPr="00C33834" w:rsidRDefault="00A63AAE" w:rsidP="00C33834">
      <w:pPr>
        <w:pStyle w:val="rtejustify"/>
        <w:spacing w:before="0" w:after="0"/>
        <w:rPr>
          <w:color w:val="000000" w:themeColor="text1"/>
          <w:sz w:val="16"/>
          <w:szCs w:val="16"/>
        </w:rPr>
      </w:pPr>
      <w:r w:rsidRPr="00C33834">
        <w:rPr>
          <w:rStyle w:val="af0"/>
          <w:bCs/>
          <w:i w:val="0"/>
          <w:color w:val="000000" w:themeColor="text1"/>
          <w:sz w:val="16"/>
          <w:szCs w:val="16"/>
        </w:rPr>
        <w:t>31 августа</w:t>
      </w:r>
      <w:r w:rsidRPr="00C33834">
        <w:rPr>
          <w:color w:val="000000" w:themeColor="text1"/>
          <w:sz w:val="16"/>
          <w:szCs w:val="16"/>
        </w:rPr>
        <w:t xml:space="preserve"> 1933. Постановление СНК СССР № 1863 «О специализации и разукрупнении главных управлений НКТП и ликвидации ряда объединений и трестов». (</w:t>
      </w:r>
      <w:hyperlink r:id="rId315" w:history="1">
        <w:r w:rsidRPr="00C33834">
          <w:rPr>
            <w:rStyle w:val="a5"/>
            <w:color w:val="000000" w:themeColor="text1"/>
            <w:sz w:val="16"/>
            <w:szCs w:val="16"/>
          </w:rPr>
          <w:t>СЗ. 1933 № 58. Ст. 346</w:t>
        </w:r>
      </w:hyperlink>
      <w:r w:rsidRPr="00C33834">
        <w:rPr>
          <w:color w:val="000000" w:themeColor="text1"/>
          <w:sz w:val="16"/>
          <w:szCs w:val="16"/>
        </w:rPr>
        <w:t>) (15460).</w:t>
      </w:r>
    </w:p>
    <w:p w14:paraId="74D34FBF" w14:textId="77777777" w:rsidR="00A63AAE" w:rsidRPr="00C33834" w:rsidRDefault="00A63AAE" w:rsidP="00C33834">
      <w:pPr>
        <w:pStyle w:val="rtejustify"/>
        <w:spacing w:before="0" w:after="0"/>
        <w:rPr>
          <w:color w:val="000000" w:themeColor="text1"/>
          <w:sz w:val="16"/>
          <w:szCs w:val="16"/>
        </w:rPr>
      </w:pPr>
    </w:p>
    <w:p w14:paraId="69A7512A" w14:textId="77777777" w:rsidR="00C02A38" w:rsidRPr="00C33834" w:rsidRDefault="00C02A38" w:rsidP="00C33834">
      <w:pPr>
        <w:pStyle w:val="rtejustify"/>
        <w:spacing w:before="0" w:after="0"/>
        <w:rPr>
          <w:color w:val="000000" w:themeColor="text1"/>
          <w:sz w:val="16"/>
          <w:szCs w:val="16"/>
        </w:rPr>
      </w:pPr>
      <w:r w:rsidRPr="00C33834">
        <w:rPr>
          <w:rStyle w:val="af0"/>
          <w:bCs/>
          <w:i w:val="0"/>
          <w:color w:val="000000" w:themeColor="text1"/>
          <w:sz w:val="16"/>
          <w:szCs w:val="16"/>
        </w:rPr>
        <w:t>31 августа 1933 вышел приказ НКТП № 142с.</w:t>
      </w:r>
      <w:r w:rsidRPr="00C33834">
        <w:rPr>
          <w:color w:val="000000" w:themeColor="text1"/>
          <w:sz w:val="16"/>
          <w:szCs w:val="16"/>
        </w:rPr>
        <w:t xml:space="preserve"> О реорганизации управления отдельными отраслями промышленности НКТП СССР. (РГАЭ. Ф. 7297. Оп. 38. Д. 38. Л. 95) (15246).</w:t>
      </w:r>
    </w:p>
    <w:p w14:paraId="52E19EFC" w14:textId="77777777" w:rsidR="00C02A38" w:rsidRPr="00C33834" w:rsidRDefault="00C02A38" w:rsidP="00C33834">
      <w:pPr>
        <w:pStyle w:val="rtejustify"/>
        <w:spacing w:before="0" w:after="0"/>
        <w:rPr>
          <w:color w:val="000000" w:themeColor="text1"/>
          <w:sz w:val="16"/>
          <w:szCs w:val="16"/>
        </w:rPr>
      </w:pPr>
    </w:p>
    <w:p w14:paraId="349D0483" w14:textId="77777777" w:rsidR="00A63AAE" w:rsidRPr="00C33834" w:rsidRDefault="00A63AAE" w:rsidP="00C33834">
      <w:pPr>
        <w:pStyle w:val="rtejustify"/>
        <w:spacing w:before="0" w:after="0"/>
        <w:rPr>
          <w:color w:val="000000" w:themeColor="text1"/>
          <w:sz w:val="16"/>
          <w:szCs w:val="16"/>
        </w:rPr>
      </w:pPr>
      <w:r w:rsidRPr="00C33834">
        <w:rPr>
          <w:color w:val="000000" w:themeColor="text1"/>
          <w:sz w:val="16"/>
          <w:szCs w:val="16"/>
        </w:rPr>
        <w:t>31 августа 1933 г. приказом по НКТП № 767 Главэнергопром был разукрупнен: из его ведения было выделено Главное управление слаботочной промышленности, а также ликвидированы ВЭО (ВЭСО) с подчинением ряда заводов непосредственно Главэнергопрому. Согласно этому же приказу на базе ВЭО был организован Государственный Всесоюзный электротехнический трест (ВЭТ) в составе Главэнергопрома. К 1937 г. в связи с развитием и дальнейшим усилением специализации различных отраслей электротехнической промышленности вновь возникла необходимость разукрупнения Главэнергопрома. Постановлением СНК СССР № 761 от 11 мая 1937 г. Главэнергопром был разукрупнен на два главка: Главное управление по производству электротехнического оборудования и Главное управление по производству теплосилового и электротехнического оборудования для электрических станций и судов, а также для крупных установок металлургической, химической и других отраслей промышленности. Этим же постановлением ВЭТ ликвидировался. В связи с постановлением СНК СССР № 1484 «О выделении из состава НКТП СССР машиностроительной промышленности и организации Наркоммаша СССР» от 29 августа 1937 г. и приказом по Наркомтяжпрому СССР и Наркоммашу СССР № 743/3 от 4 сентября 1937 г. главки вместе с рядом учреждений были переданы в состав Наркоммаша СССР. (РГАЭ. Ф. 7297. Оп. 44. Д. 1. Л. 29 об.; РГАЭ. Ф. 7297. Оп. 1. Д. 19. Л. 90</w:t>
      </w:r>
      <w:r w:rsidRPr="00C33834">
        <w:rPr>
          <w:color w:val="000000" w:themeColor="text1"/>
          <w:sz w:val="16"/>
          <w:szCs w:val="16"/>
        </w:rPr>
        <w:noBreakHyphen/>
        <w:t>91; СЗ, 1937 г 1937 вышел приказ НКОП № 34, ст. 139; СЗ, 1937, № 58, ст. 248.) (15273).</w:t>
      </w:r>
    </w:p>
    <w:p w14:paraId="06C2DCB3" w14:textId="77777777" w:rsidR="00A63AAE" w:rsidRPr="00C33834" w:rsidRDefault="00A63AAE" w:rsidP="00C33834">
      <w:pPr>
        <w:pStyle w:val="rtejustify"/>
        <w:spacing w:before="0" w:after="0"/>
        <w:rPr>
          <w:color w:val="000000" w:themeColor="text1"/>
          <w:sz w:val="16"/>
          <w:szCs w:val="16"/>
        </w:rPr>
      </w:pPr>
    </w:p>
    <w:p w14:paraId="7C9980F6" w14:textId="77777777" w:rsidR="00A63AAE" w:rsidRPr="00C33834" w:rsidRDefault="00A63AAE" w:rsidP="00C33834">
      <w:pPr>
        <w:pStyle w:val="rtejustify"/>
        <w:spacing w:before="0" w:after="0"/>
        <w:rPr>
          <w:color w:val="000000" w:themeColor="text1"/>
          <w:sz w:val="16"/>
          <w:szCs w:val="16"/>
        </w:rPr>
      </w:pPr>
      <w:r w:rsidRPr="00C33834">
        <w:rPr>
          <w:rStyle w:val="af0"/>
          <w:bCs/>
          <w:i w:val="0"/>
          <w:color w:val="000000" w:themeColor="text1"/>
          <w:sz w:val="16"/>
          <w:szCs w:val="16"/>
        </w:rPr>
        <w:t>31 августа 1933 вышел приказ НКТП № 133сс.</w:t>
      </w:r>
      <w:r w:rsidRPr="00C33834">
        <w:rPr>
          <w:color w:val="000000" w:themeColor="text1"/>
          <w:sz w:val="16"/>
          <w:szCs w:val="16"/>
        </w:rPr>
        <w:t xml:space="preserve"> О строительстве новых химических заводов. (РГАЭ. Ф. 7297. Оп. 38. Д. 38. Л. 92</w:t>
      </w:r>
      <w:r w:rsidRPr="00C33834">
        <w:rPr>
          <w:color w:val="000000" w:themeColor="text1"/>
          <w:sz w:val="16"/>
          <w:szCs w:val="16"/>
        </w:rPr>
        <w:noBreakHyphen/>
        <w:t>90) (15246).</w:t>
      </w:r>
    </w:p>
    <w:p w14:paraId="27F55794" w14:textId="77777777" w:rsidR="00A63AAE" w:rsidRPr="00C33834" w:rsidRDefault="00A63AAE" w:rsidP="00C33834">
      <w:pPr>
        <w:pStyle w:val="rtejustify"/>
        <w:spacing w:before="0" w:after="0"/>
        <w:rPr>
          <w:color w:val="000000" w:themeColor="text1"/>
          <w:sz w:val="16"/>
          <w:szCs w:val="16"/>
        </w:rPr>
      </w:pPr>
    </w:p>
    <w:p w14:paraId="0A2D8623" w14:textId="77777777" w:rsidR="00A63AAE" w:rsidRPr="00C33834" w:rsidRDefault="00A63AAE" w:rsidP="00C33834">
      <w:pPr>
        <w:pStyle w:val="rtejustify"/>
        <w:spacing w:before="0" w:after="0"/>
        <w:rPr>
          <w:color w:val="000000" w:themeColor="text1"/>
          <w:sz w:val="16"/>
          <w:szCs w:val="16"/>
        </w:rPr>
      </w:pPr>
      <w:r w:rsidRPr="00C33834">
        <w:rPr>
          <w:rStyle w:val="af0"/>
          <w:bCs/>
          <w:i w:val="0"/>
          <w:color w:val="000000" w:themeColor="text1"/>
          <w:sz w:val="16"/>
          <w:szCs w:val="16"/>
        </w:rPr>
        <w:t>31 августа 1933 вышел приказ НКТП № 137с.</w:t>
      </w:r>
      <w:r w:rsidRPr="00C33834">
        <w:rPr>
          <w:color w:val="000000" w:themeColor="text1"/>
          <w:sz w:val="16"/>
          <w:szCs w:val="16"/>
        </w:rPr>
        <w:t xml:space="preserve"> О проектировании «Гипроспецхимом» пяти пороховых заводов специального назначения. (РГАЭ. Ф. 7297. Оп. 38. Д. 38. Л. 89) (15246).</w:t>
      </w:r>
    </w:p>
    <w:p w14:paraId="0F7F9721" w14:textId="77777777" w:rsidR="00A63AAE" w:rsidRPr="00C33834" w:rsidRDefault="00A63AAE" w:rsidP="00C33834">
      <w:pPr>
        <w:pStyle w:val="rtejustify"/>
        <w:spacing w:before="0" w:after="0"/>
        <w:rPr>
          <w:color w:val="000000" w:themeColor="text1"/>
          <w:sz w:val="16"/>
          <w:szCs w:val="16"/>
        </w:rPr>
      </w:pPr>
    </w:p>
    <w:p w14:paraId="2CD5791F"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4947394"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E22BC0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августа 1933 г. чертежи отдельных деталей ЦКБ-12 начали передавать в производство. При отсутст</w:t>
      </w:r>
      <w:r w:rsidRPr="00C33834">
        <w:rPr>
          <w:rFonts w:ascii="Times New Roman" w:hAnsi="Times New Roman"/>
          <w:color w:val="000000" w:themeColor="text1"/>
          <w:sz w:val="16"/>
          <w:szCs w:val="16"/>
        </w:rPr>
        <w:softHyphen/>
        <w:t>вии официального заказа на истребитель решение начать его постройку, принятое начальником ЦКБ С.В.Илью</w:t>
      </w:r>
      <w:r w:rsidRPr="00C33834">
        <w:rPr>
          <w:rFonts w:ascii="Times New Roman" w:hAnsi="Times New Roman"/>
          <w:color w:val="000000" w:themeColor="text1"/>
          <w:sz w:val="16"/>
          <w:szCs w:val="16"/>
        </w:rPr>
        <w:softHyphen/>
        <w:t>шиным, являлось довольно рискованным, однако Сергей Владимирович всецело доверял Поликарпову (10667).</w:t>
      </w:r>
    </w:p>
    <w:p w14:paraId="3594020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0A1F9EB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августа 1933 на 18 завод по пути в Крым в Качинскую школу на Р-6 (АНТ-7) залетел П.И.Баранов и задержался на сутки для осмотра завода. Заинтересовался САМ-5 А.Москалева, который представил л Дорфман, сумевший уже полетать на САМ-5. Именно П.И.Б. предложил А.Москалеву и М.М.К. сделать машину деревянной в варианте штабной машины. Хотел взять А.Москалева в Москву для строительства истребителей. После гибели П.И.Б. А.Н.Гусаров перегнал САМ-5 в Москву. А.Н.Гусаров сделал посадку в Серпухове в летном училище (2889,28).</w:t>
      </w:r>
    </w:p>
    <w:p w14:paraId="7A17AA5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78EEB4BA" w14:textId="77777777" w:rsidR="004050DA" w:rsidRPr="00C33834" w:rsidRDefault="004050DA" w:rsidP="00C33834">
      <w:pPr>
        <w:pStyle w:val="a3"/>
        <w:rPr>
          <w:color w:val="000000" w:themeColor="text1"/>
          <w:lang w:val="ru-RU"/>
        </w:rPr>
      </w:pPr>
      <w:r w:rsidRPr="00C33834">
        <w:rPr>
          <w:color w:val="000000" w:themeColor="text1"/>
          <w:lang w:val="ru-RU"/>
        </w:rPr>
        <w:t>К концу августа 1933 почти весь проект В-6 (3500 чертежей) был передан в произ</w:t>
      </w:r>
      <w:r w:rsidRPr="00C33834">
        <w:rPr>
          <w:color w:val="000000" w:themeColor="text1"/>
          <w:lang w:val="ru-RU"/>
        </w:rPr>
        <w:softHyphen/>
        <w:t>водство. Но не готовым оказался первый металлический эллинг для сборки корабля, доставленный на площадку из Бердичева. По требованию Нобиле, помня просчеты по В-5, его размеры были увеличены по высоте до 33,28 м и в длину до 178,0 м (на два пролета колонн). Так что сборка В-6 откладывалась до января 1934 г.</w:t>
      </w:r>
    </w:p>
    <w:p w14:paraId="78983DC6" w14:textId="77777777" w:rsidR="004050DA" w:rsidRPr="00C33834" w:rsidRDefault="004050DA" w:rsidP="00C33834">
      <w:pPr>
        <w:pStyle w:val="a3"/>
        <w:rPr>
          <w:color w:val="000000" w:themeColor="text1"/>
          <w:lang w:val="ru-RU"/>
        </w:rPr>
      </w:pPr>
      <w:r w:rsidRPr="00C33834">
        <w:rPr>
          <w:color w:val="000000" w:themeColor="text1"/>
          <w:lang w:val="ru-RU"/>
        </w:rPr>
        <w:t>Надо заметить, что нужды и заботы «Дирижаблестроя» с самого начала, в силу своей специфики не находили должного понимания в «Аэрофлоте», изначально нацеленного на задачи стремительно разви</w:t>
      </w:r>
      <w:r w:rsidRPr="00C33834">
        <w:rPr>
          <w:color w:val="000000" w:themeColor="text1"/>
          <w:lang w:val="ru-RU"/>
        </w:rPr>
        <w:softHyphen/>
        <w:t>вающейся гражданской авиации с ее аэро</w:t>
      </w:r>
      <w:r w:rsidRPr="00C33834">
        <w:rPr>
          <w:color w:val="000000" w:themeColor="text1"/>
          <w:lang w:val="ru-RU"/>
        </w:rPr>
        <w:softHyphen/>
        <w:t>дромной инфраструктурой по городам и весям необъятного СССР. Воздухоплавание оставалось, какбы, падчерицей ведомства, у которого и собственных проблем хватало выше крыши. Достаточно сказать хотябы о том, что 5 сентября 1933 г. в авиационной катастрофе погибли начальники ГУ ГВФ и ГУАП А.З. Гольцман и П.И. Баранов. Мы не располагаем полными данными по авариям и катастрофам в ГВФ СССР за 1933 г. Но соотнесем их с рассекреченным отчетом за 1934 г., когда «Аэрофлотом» руководил, сменивший А.З. Гольцмана, не</w:t>
      </w:r>
      <w:r w:rsidRPr="00C33834">
        <w:rPr>
          <w:color w:val="000000" w:themeColor="text1"/>
          <w:lang w:val="ru-RU"/>
        </w:rPr>
        <w:softHyphen/>
        <w:t>давний заместитель наркомвоенмора СССР И.С. Уншлихт. Тогда было разбито само</w:t>
      </w:r>
      <w:r w:rsidRPr="00C33834">
        <w:rPr>
          <w:color w:val="000000" w:themeColor="text1"/>
          <w:lang w:val="ru-RU"/>
        </w:rPr>
        <w:softHyphen/>
        <w:t>летов - 348, погибло и ранено - 132 чел.; признаны виновными - 507 специалистов, в т.ч. привлечено ксуду- 190(РГАЭ.Ф. 9527, оп.2,д. 3, л. 45) (12732).</w:t>
      </w:r>
    </w:p>
    <w:p w14:paraId="0386DF07" w14:textId="77777777" w:rsidR="004050DA" w:rsidRPr="00C33834" w:rsidRDefault="004050DA" w:rsidP="00C33834">
      <w:pPr>
        <w:pStyle w:val="a3"/>
        <w:rPr>
          <w:color w:val="000000" w:themeColor="text1"/>
          <w:lang w:val="ru-RU"/>
        </w:rPr>
      </w:pPr>
    </w:p>
    <w:p w14:paraId="6826BA06"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0BB7802"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2F7B9E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августа 1933 СССР получил от Кристи 109 чертежей танка Кристи М.1932, которые были переданы в Спецмаштрест (3879,37).</w:t>
      </w:r>
    </w:p>
    <w:p w14:paraId="14A45A5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002B9481"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2ECCFDD"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1EF1133"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года вышел Отчет по испытанию облегченного самолета ТБ3-4М17 на определение радиуса действия и бомбовой нагрузки самолета (6785).</w:t>
      </w:r>
    </w:p>
    <w:p w14:paraId="7B73B76D"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2150D200"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Лосюков</w:t>
      </w:r>
    </w:p>
    <w:p w14:paraId="34951827"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Летчик Юмашев</w:t>
      </w:r>
    </w:p>
    <w:p w14:paraId="56CC54F3"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77E3E4BC"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Определить радиус действия и бомбовую нагрузку облегченного самолета ТБ3-4М17.</w:t>
      </w:r>
    </w:p>
    <w:p w14:paraId="7CCB072A"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13DED4AA" w14:textId="77777777" w:rsidR="00FD662C" w:rsidRPr="00C33834" w:rsidRDefault="00FD662C"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Резкое увеличение радиуса действий и бомбовой нагрузки самолета ТБ3-4М17 ……………….(6785).</w:t>
      </w:r>
    </w:p>
    <w:p w14:paraId="669141B7" w14:textId="77777777" w:rsidR="00FD662C" w:rsidRPr="00C33834" w:rsidRDefault="00FD662C"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930004"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был утвержден Отчет по испытанию самолета ТБ3 № 22311 с 4-мя моторами М17 Е=7,3 измененной конструкции (6637).</w:t>
      </w:r>
    </w:p>
    <w:p w14:paraId="3B7480EE"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7F82FE74"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ведущий испытания – Фролов</w:t>
      </w:r>
    </w:p>
    <w:p w14:paraId="5F6899BB"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 Байдуков</w:t>
      </w:r>
    </w:p>
    <w:p w14:paraId="4ADE82DC"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554F094A"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Определить в какой мере самолет с измененной конструкцией и проведенными облегчениями удовлетворяет техусловиям на поставку ТБ3. Определить вес облегченной конструкции, удобство работы штурмана в измененной носовой части – Ф-1, а также работу с укороченными ДЕР 25 и 26.</w:t>
      </w:r>
    </w:p>
    <w:p w14:paraId="54242DC7"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0AFD1997" w14:textId="77777777" w:rsidR="00FD662C" w:rsidRPr="00C33834" w:rsidRDefault="00FD662C"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ТБ3 № 22311 измененной конструкции по своему конструктивному и производственному выполнению, а также по своим летным эксплуатационным данным техусловиям на поставку самолета ТБ3 вполне удовлетворяет.</w:t>
      </w:r>
    </w:p>
    <w:p w14:paraId="2ACB77B8" w14:textId="77777777" w:rsidR="00FD662C" w:rsidRPr="00C33834" w:rsidRDefault="00FD662C"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Считать вес пустого самолета 10817 кг в дальнейшей работе по облегчению исходить из этого веса.</w:t>
      </w:r>
    </w:p>
    <w:p w14:paraId="5ABC9AB8"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проведены кроме облетов в один летный день – 1 августа 1933 года (6637).</w:t>
      </w:r>
    </w:p>
    <w:p w14:paraId="10886C9F"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BBD93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года Ворошилов писал письмо Куйбышеву.</w:t>
      </w:r>
    </w:p>
    <w:p w14:paraId="2D8806F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 нашей авиапромышленностью и ВВС была поставлена задача изыскать пути и способы облегчения конструкции и вооружений самолета ТБ-3 и увеличения за счет этого радиуса действия и бомбовой нагрузки.</w:t>
      </w:r>
    </w:p>
    <w:p w14:paraId="567F12B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Посылаю вам копию доклада Алксниса о результатах выполнения работы по этому заданию.</w:t>
      </w:r>
    </w:p>
    <w:p w14:paraId="63FE7F3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Как видно из доклада, задача поставленная перед нашей авиацией по увеличению радиуса действия и бомбовой нагрузки ТБ-3 выполнена (4014).</w:t>
      </w:r>
    </w:p>
    <w:p w14:paraId="3562BD9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2811141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Юмашев поднял в воздух модифицированный облегченный ТБ-3. На нем полностью убрали наружную подвеску бомб. Вместо этого в просторном фюзеляже установили дополнительные кассеты Дер-9. Всего самолет теперь мог нести внутри 36 бомб по 100 кг. За счет демонтажа бомбодержателей под фюзеляжем и крылом, кое-какого оборудования и облегчения самой конструкции выиграли 518 кг. Еще более 100 кг получили за счет уменьшения запаса масла в полтора раза (это внедрили и в серии). Но суммарный вес с бомбами дошел до 20 т. Добавочный бензин и улучшение аэродинамики позволили еще увеличить дальность (7668).</w:t>
      </w:r>
    </w:p>
    <w:p w14:paraId="323B967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3307EEE1" w14:textId="77777777" w:rsidR="00FD662C" w:rsidRPr="00C33834" w:rsidRDefault="00FD662C"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после в целом успешных испытаний СЗ-1 начальник ВВС Алкснис направил до</w:t>
      </w:r>
      <w:r w:rsidRPr="00C33834">
        <w:rPr>
          <w:rFonts w:ascii="Times New Roman" w:hAnsi="Times New Roman"/>
          <w:color w:val="000000" w:themeColor="text1"/>
          <w:sz w:val="16"/>
          <w:szCs w:val="16"/>
        </w:rPr>
        <w:softHyphen/>
        <w:t>кладную записку на имя заместителя Пред</w:t>
      </w:r>
      <w:r w:rsidRPr="00C33834">
        <w:rPr>
          <w:rFonts w:ascii="Times New Roman" w:hAnsi="Times New Roman"/>
          <w:color w:val="000000" w:themeColor="text1"/>
          <w:sz w:val="16"/>
          <w:szCs w:val="16"/>
        </w:rPr>
        <w:softHyphen/>
        <w:t>седателя Реввоенсовета СССР Тухачев</w:t>
      </w:r>
      <w:r w:rsidRPr="00C33834">
        <w:rPr>
          <w:rFonts w:ascii="Times New Roman" w:hAnsi="Times New Roman"/>
          <w:color w:val="000000" w:themeColor="text1"/>
          <w:sz w:val="16"/>
          <w:szCs w:val="16"/>
        </w:rPr>
        <w:softHyphen/>
        <w:t>ского. В ней говорилось, что полезная на</w:t>
      </w:r>
      <w:r w:rsidRPr="00C33834">
        <w:rPr>
          <w:rFonts w:ascii="Times New Roman" w:hAnsi="Times New Roman"/>
          <w:color w:val="000000" w:themeColor="text1"/>
          <w:sz w:val="16"/>
          <w:szCs w:val="16"/>
        </w:rPr>
        <w:softHyphen/>
        <w:t>грузка ТБ-1 может быть увеличена до 4650 кг при условии полета с истребителя</w:t>
      </w:r>
      <w:r w:rsidRPr="00C33834">
        <w:rPr>
          <w:rFonts w:ascii="Times New Roman" w:hAnsi="Times New Roman"/>
          <w:color w:val="000000" w:themeColor="text1"/>
          <w:sz w:val="16"/>
          <w:szCs w:val="16"/>
        </w:rPr>
        <w:softHyphen/>
        <w:t>ми к цели и до 5230 кг при полете с истре</w:t>
      </w:r>
      <w:r w:rsidRPr="00C33834">
        <w:rPr>
          <w:rFonts w:ascii="Times New Roman" w:hAnsi="Times New Roman"/>
          <w:color w:val="000000" w:themeColor="text1"/>
          <w:sz w:val="16"/>
          <w:szCs w:val="16"/>
        </w:rPr>
        <w:softHyphen/>
        <w:t>бителями на расстояние 50 км. В первом варианте дальность ТБ-1 с 1 т бомб увели</w:t>
      </w:r>
      <w:r w:rsidRPr="00C33834">
        <w:rPr>
          <w:rFonts w:ascii="Times New Roman" w:hAnsi="Times New Roman"/>
          <w:color w:val="000000" w:themeColor="text1"/>
          <w:sz w:val="16"/>
          <w:szCs w:val="16"/>
        </w:rPr>
        <w:softHyphen/>
        <w:t>чивается с 820 км до 1580 км, а во втором — до 2000 км (11286).</w:t>
      </w:r>
    </w:p>
    <w:p w14:paraId="5264088D" w14:textId="77777777" w:rsidR="00FD662C" w:rsidRPr="00C33834" w:rsidRDefault="00FD662C"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A8E8C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состоялась макетная комиссия по РД-ВВ и решили делать серию - ДБ и РД (80,339).</w:t>
      </w:r>
    </w:p>
    <w:p w14:paraId="04F624A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71E9142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в акте по государственным испытаниям самолета появилась такая запись: «... ЦАГИ все конструктивные изменения по устранению дефектов и доводке рекордных самолетов РД внести в чертежи военного варианта РД (ДБ-1) (...). Алкснис - декабрь 1933 г.» (160).</w:t>
      </w:r>
    </w:p>
    <w:p w14:paraId="15B5FA5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01510ECF"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года вышел Отчет испытания самолета И7 №4449 (эталон на 1933 год) с мотором М-17 № 262646 (6786).</w:t>
      </w:r>
    </w:p>
    <w:p w14:paraId="1DB1C7B6"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4847408C"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Проверка летных данных самолета И7-М17 № 4449 эталона на 1933 год после улучшения обтекателей узлов стоек, новых моторных капотов и установки обтекателя на колесах.</w:t>
      </w:r>
    </w:p>
    <w:p w14:paraId="70841F5F"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17B4863C" w14:textId="77777777" w:rsidR="00FD662C" w:rsidRPr="00C33834" w:rsidRDefault="00FD662C"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И7-М17 № 4449 может быть утвержден как эталон на 1933 год (с доработками).</w:t>
      </w:r>
    </w:p>
    <w:p w14:paraId="038E760E"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0B53AACA"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Часовиков</w:t>
      </w:r>
    </w:p>
    <w:p w14:paraId="23CBC799"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Кокинаки</w:t>
      </w:r>
    </w:p>
    <w:p w14:paraId="5BB5059B"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p w14:paraId="4AA50105"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получен с завода № 1 - 1 августа 1933 года</w:t>
      </w:r>
    </w:p>
    <w:p w14:paraId="3725045E"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километраж по программе - 2 августа 1933 года</w:t>
      </w:r>
    </w:p>
    <w:p w14:paraId="2225650A"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и скорости по высотам – 3 августа 1933 года</w:t>
      </w:r>
    </w:p>
    <w:p w14:paraId="0FA1F0C6"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и скорости по высотам – 3 августа 1933 года</w:t>
      </w:r>
    </w:p>
    <w:p w14:paraId="529EA1FD"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Второй километраж по программе - 3 августа 1933 года</w:t>
      </w:r>
    </w:p>
    <w:p w14:paraId="2AB93A62"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Километраж без обтекателей на колесах - 4 августа 1933 года</w:t>
      </w:r>
    </w:p>
    <w:p w14:paraId="1F01826B"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бомбометание учебными бомбами - 4 августа 1933 года</w:t>
      </w:r>
    </w:p>
    <w:p w14:paraId="17F4FAEC"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сдан на завод № 1 – 5 августа 1933 года (6786).</w:t>
      </w:r>
    </w:p>
    <w:p w14:paraId="2C4ADE1E"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37E91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Н.Н.П. начал работу над строительством И-16 М-22 (67,115).</w:t>
      </w:r>
    </w:p>
    <w:p w14:paraId="2EF5AFB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22628DD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закончились летные испытания Файрфлай IIM N F.1876, закупленного через Арков, выполнявшего функции торгпредства в Англии и испытывавшемуся в НИИ ВВС и ОЭЛИД ЦАГИ и опять в НИИ ВВС с 2-3 ноября 1932, когда английский летчик и л-и И.Ф.Козлов выполнили первые полеты на ЦА. В отчетах писали, что легко управляем и хорошо выходил из штопора, по скорости у земли немного уступал И--5, но во всем остальном - превосходил (2611,20).</w:t>
      </w:r>
    </w:p>
    <w:p w14:paraId="39E952B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4716305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П.И.Баранов поручил А.С.Москалеву спроектировать истребитель-перехватчик с предельной скоростью. Тот сделал Сигму. Проект положили в архив в августе 1934 (83,310).</w:t>
      </w:r>
    </w:p>
    <w:p w14:paraId="394A0E0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69088C10" w14:textId="77777777" w:rsidR="00FD662C" w:rsidRPr="00C33834" w:rsidRDefault="00FD662C"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проект ЦКБ-12 был готов. Николай Николаевич позаботился о том, чтобы варианты отличались лишь моторными установками и капотами. У земли их макси</w:t>
      </w:r>
      <w:r w:rsidRPr="00C33834">
        <w:rPr>
          <w:rFonts w:ascii="Times New Roman" w:hAnsi="Times New Roman"/>
          <w:color w:val="000000" w:themeColor="text1"/>
          <w:sz w:val="16"/>
          <w:szCs w:val="16"/>
        </w:rPr>
        <w:softHyphen/>
        <w:t>мальные скорости отличались на 30 км/ч, но с ростом высоты разница в скоростях достигала уже 100 км/ч. Эскизные проекты И-16 (ЦКБ-12) в июне 1933 г. на</w:t>
      </w:r>
      <w:r w:rsidRPr="00C33834">
        <w:rPr>
          <w:rFonts w:ascii="Times New Roman" w:hAnsi="Times New Roman"/>
          <w:color w:val="000000" w:themeColor="text1"/>
          <w:sz w:val="16"/>
          <w:szCs w:val="16"/>
        </w:rPr>
        <w:softHyphen/>
        <w:t>правили в НИИ ВВС. Там их устно одобрили, однако с письменным заключением не торопились (10667).</w:t>
      </w:r>
    </w:p>
    <w:p w14:paraId="07F22F23" w14:textId="77777777" w:rsidR="00FD662C" w:rsidRPr="00C33834" w:rsidRDefault="00FD662C"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0705B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был готов АНТ-31 И-14бис (1454,26).</w:t>
      </w:r>
    </w:p>
    <w:p w14:paraId="3573199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- 5 февраля 1934 (3110,20).</w:t>
      </w:r>
    </w:p>
    <w:p w14:paraId="1BA8B2A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31DAAED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w:t>
      </w:r>
      <w:r w:rsidRPr="00C33834">
        <w:rPr>
          <w:rFonts w:ascii="Times New Roman" w:hAnsi="Times New Roman"/>
          <w:color w:val="000000" w:themeColor="text1"/>
          <w:sz w:val="16"/>
          <w:szCs w:val="16"/>
        </w:rPr>
        <w:softHyphen/>
        <w:t>сте 1933 г. в ЦАГИ началось строительство самолета-дублера И-14 с мотором Райт «Циклон» SGR-1820 Р-3, санкционированное военными (10667).</w:t>
      </w:r>
    </w:p>
    <w:p w14:paraId="2D72902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в августе 1933 только началась постройка И-14 дублера с РЦ 712 нр - АНТ-31бис (2233,41). Ви назначили Н.Н.Фадеева (3110,20).</w:t>
      </w:r>
    </w:p>
    <w:p w14:paraId="1F11E3E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0C61727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начались работы по второму прототипу с РЦ 1820F2 640 hp, 2хАПК-37 76 мм и 2хПВ-1 (3882,24).</w:t>
      </w:r>
    </w:p>
    <w:p w14:paraId="1171B6C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527E68FB" w14:textId="77777777" w:rsidR="00FD662C" w:rsidRPr="00C33834" w:rsidRDefault="00FD662C"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августе 1933 года ВВС снова был поставлен вопрос в КО о тяжелом положении нашей истребительной авиации и наибольшем отставании ее от вероятных противников. При этом ВВС указывалось и подчеркивалось, что основной причиной этого отставания является отсутствие в стране производства легких мощных высотных авиамоторов для истребителей. В результате этой острой постановки вопроса КО 13 августа 1933 года приняло решение (см. постановление № 72сс): "для обеспечения истребительной авиации современными моторами водяного охлаждения считать необходимым закупить от 20 до 30 готовых моторов Испано-Сюиза типа 12 УБРС с запасными частями и инструментом" и техпомощь на производство этого типа моторов в Союзе. Кроме того, на том же заседании было решено </w:t>
      </w:r>
      <w:r w:rsidRPr="00C33834">
        <w:rPr>
          <w:rFonts w:ascii="Times New Roman" w:hAnsi="Times New Roman"/>
          <w:color w:val="000000" w:themeColor="text1"/>
          <w:sz w:val="16"/>
          <w:szCs w:val="16"/>
        </w:rPr>
        <w:lastRenderedPageBreak/>
        <w:t>закупить 50 готовых моторов воздушного охлаждения Райт-Циклон с инструментом и запасными частями для установки на истребителях. Закупка этих моторов и техпомощи была возложена на НКТПром (7439, 14).</w:t>
      </w:r>
    </w:p>
    <w:p w14:paraId="568E39DA" w14:textId="77777777" w:rsidR="00FD662C" w:rsidRPr="00C33834" w:rsidRDefault="00FD662C"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94E43C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на 18 заводе А.Н.Гусаров закончил заводские испытания САМ-5 цельнометаллического (2889,27).</w:t>
      </w:r>
    </w:p>
    <w:p w14:paraId="3A8AEC2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7E9188B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в местной прессе впервые появилась информация о проектировании КАИ-1, в октябре началась подготовка производства. Прототип решено было строить на базе завода № 124 и в КАИ, что и зафиксировал приказ начальника Авиастроя об учреждении ОКБ для опытного самолетостроения. 15 октября стал днем официального начала работ, в ноябре приступили к строительству самолета. Зимой проводились статические испытания, а с февраля по апрель уже шла сборка машины. 30 апреля 1934 г. КАИ-1 был закончен и 1 мая осуществлен первый полет. Летные испытания закончились 18 августа. Есть информация, что поднимал первую машину начальник авиаотряда КАИ летчик Николаев А.Д. (12049).</w:t>
      </w:r>
    </w:p>
    <w:p w14:paraId="3037202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4DD8AD2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года группа инженеров, представившая схему транспортного самолета ТС-1 Можаева, на основании решения НИИ ВС приступила к работе, для выполнения требования НИИ ВС. Эта работа была закончена и дальше она не могла продолжаться из-за отсутствия средств (4213).</w:t>
      </w:r>
    </w:p>
    <w:p w14:paraId="0C7804E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73616AF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Б.Н.Кудрин испытывал Омегу А.Н.Грацианского, сделанную в рамках конкурса Осоавиахима 1932 на ХАЗ. Потом передали в Полтавскую летную школу, где летали еще 7 лет (553,140).</w:t>
      </w:r>
    </w:p>
    <w:p w14:paraId="7B52278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19C43C8B" w14:textId="77777777" w:rsidR="00B96AA7" w:rsidRPr="00C33834" w:rsidRDefault="00B96AA7" w:rsidP="00C33834">
      <w:pPr>
        <w:pStyle w:val="afff2"/>
        <w:shd w:val="clear" w:color="auto" w:fill="FFFFFF"/>
        <w:spacing w:before="0" w:beforeAutospacing="0" w:after="0" w:afterAutospacing="0"/>
        <w:jc w:val="both"/>
        <w:rPr>
          <w:color w:val="000000" w:themeColor="text1"/>
          <w:sz w:val="16"/>
          <w:szCs w:val="16"/>
        </w:rPr>
      </w:pPr>
      <w:r w:rsidRPr="00C33834">
        <w:rPr>
          <w:color w:val="000000" w:themeColor="text1"/>
          <w:sz w:val="16"/>
          <w:szCs w:val="16"/>
        </w:rPr>
        <w:t>В августе 1933 года начальник летной группы Воронежского аэроклуба ОСОАВИАХИМа А. Н. Гусаров провел испытания в воз-духе самолета САМ-5 (19822).</w:t>
      </w:r>
    </w:p>
    <w:p w14:paraId="18535EC4" w14:textId="77777777" w:rsidR="00B96AA7" w:rsidRPr="00C33834" w:rsidRDefault="00B96AA7" w:rsidP="00C33834">
      <w:pPr>
        <w:pStyle w:val="afff2"/>
        <w:shd w:val="clear" w:color="auto" w:fill="FFFFFF"/>
        <w:spacing w:before="0" w:beforeAutospacing="0" w:after="0" w:afterAutospacing="0"/>
        <w:jc w:val="both"/>
        <w:rPr>
          <w:color w:val="000000" w:themeColor="text1"/>
          <w:sz w:val="16"/>
          <w:szCs w:val="16"/>
        </w:rPr>
      </w:pPr>
    </w:p>
    <w:p w14:paraId="51673681" w14:textId="77777777" w:rsidR="00FD662C" w:rsidRPr="00C33834" w:rsidRDefault="00FD662C"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года закончились войсковые испытания в частях головного серийного автожира А-4. В результате госиспытаний этого автожира в НИИ ВВС было решено построить для частей ВВС десять экземпляров машины и допустить их для войсковых испытаний в частях. В течении 1933 года заводом № 43 были выпущены все 10 машин, которые и были распределены по частям ВВС в восьми пунктах, расположенных на территории европейской части Союза. Это размещение автожиров в столь большом количестве пунктов было проведено ВВС несмотря на неоднократные настойчивые возражения со стороны ЦАГИ. Отрицательные результаты подобного размещения машин не преминули сказаться. За весь 1933 год из общего количества десяти машин, размещенных в частях ВВС, не летали пять машин, три машины эксплуатировались в самом небольшом объеме и полеты были лишь в ЦАГИ и в НИИ ВВС. После этого было принято решение эти машины перераспределить по другим местам, причем почти весь 1934 год был затрачен на это и в течении всего этого года было совершено самое незначительное количество полетов (порядка 10-15). К этому времени четыре машины получили незначительные повреждения по вине эксплуатации и были переданы на ремонт (3849,13).</w:t>
      </w:r>
    </w:p>
    <w:p w14:paraId="7FA2E0A1" w14:textId="77777777" w:rsidR="00FD662C" w:rsidRPr="00C33834" w:rsidRDefault="00FD662C"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69084A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в Ленинграде закончили ремонт десантного планера Г-63 Б.Д.Урлапова, построенный у П.И.Гроховского. Ремонт вели с мая, хотя разбили в конце 1932. После ремонта стал Г-3-1 или Г-31. Испытывали до 1934 и потом с учетом сделали Якова Алксниса (94,21).</w:t>
      </w:r>
    </w:p>
    <w:p w14:paraId="113E311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19EF310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закончился ремонт планера Г-63 Б.Урлапова. При этом, конструкцию усовершенствовали: увеличили площадь РН, изменили углы отклонения рулей и элеронов, оборудовали место второго пилота и переименовали в Г-31. В 1935-м на первый экземпляр установили мотор М-11 мощностью 100 л.с. Запас топлива позволял "омоторенному" планеру или, как его тогда называли, "планерлету" находиться в воздухе до 20 часов. Во время испытаний Г-31 А (так назвали новую машину) при весе полезной нагрузки в 1400 кг показал максимальную скорость в 120 км/ч при крейсерской 101 км/ч и потолок до 5000 м. Все это позволяло Г-31А иметь дальность 2000 км. Но находиться в течение 20 часов в узких отсеках, даже для тренированных десантников, затруднительно. Особенно, если учесть, что после этого им предстояло немедленно вступить в бой. Для увеличения скорости требовался более мощный мотор, что переводило машину из планерлетов в разряд полноценных транспортных самолетов, но с очень неудобным размещением десантников и груза. Преимущество планеров исчезало, а недостатки оставались. Такой самолет вряд ли имел бы перспективу серийной постройки и это прекрасно понимал Гроховский (7643).</w:t>
      </w:r>
    </w:p>
    <w:p w14:paraId="0839A1C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26012CC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1933-го закончился ремонт десантного планера на 16 человек аппарата конструктора Бориса Урлапова. при этом его конструкцию усовершенствовали: увеличили площадь руля направления, изменили углы отклонения рулей и элеронов, оборудовали место второго пилота и т.д. После восстановления планер переименовали в Г-31. Спустя два года построили второй экземпляр Г-31, получивший название «Яков Алкснис», а в 1935-м на первый экземпляр установили мотор М-11 мощностью 100 л.с. Запас топлива позволял «омоторенному» планеру или, как его тогда называли, «планерлету» находиться в воздухе до 20 часов. Во время испытаний Г-31А (так назвали новую машину) при весе полезной нагрузки в 1400 кг показал максимальную скорость в 120 км/ч при крейсерской 101 км/ч и потолок до 5000 м. Все это позволяло Г-31А иметь дальность 2000 км. Но находиться в течение 20 часов в узких отсеках, даже для тренированных десантников, затруднительно. Особенно, если учесть, что после этого им предстояло немедленно вступить в бой.  Для увеличения скорости требовался более мощный мотор, что переводило машину из планерлетов в разряд полноценных транспортных самолетов, но с очень неудобным размещением десантников и груза. Так появился вариант Г-31 с 700-сильным двигателем М-25 (11810).</w:t>
      </w:r>
    </w:p>
    <w:p w14:paraId="161EEEE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3BC031B8" w14:textId="77777777" w:rsidR="006A4DAE" w:rsidRPr="00C33834" w:rsidRDefault="006A4DA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г. ремонт Г-63 был закончен и на планере смонтировали кабину для второ</w:t>
      </w:r>
      <w:r w:rsidRPr="00C33834">
        <w:rPr>
          <w:rFonts w:ascii="Times New Roman" w:hAnsi="Times New Roman"/>
          <w:color w:val="000000" w:themeColor="text1"/>
          <w:sz w:val="16"/>
          <w:szCs w:val="16"/>
        </w:rPr>
        <w:softHyphen/>
        <w:t>го пилота, доработали систему управления, усилили шасси и т.д. После этого планеру присвоили обозна</w:t>
      </w:r>
      <w:r w:rsidRPr="00C33834">
        <w:rPr>
          <w:rFonts w:ascii="Times New Roman" w:hAnsi="Times New Roman"/>
          <w:color w:val="000000" w:themeColor="text1"/>
          <w:sz w:val="16"/>
          <w:szCs w:val="16"/>
        </w:rPr>
        <w:softHyphen/>
        <w:t>чение «Г-31».</w:t>
      </w:r>
    </w:p>
    <w:p w14:paraId="574027D9" w14:textId="77777777" w:rsidR="006A4DAE" w:rsidRPr="00C33834" w:rsidRDefault="006A4DA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1934 г. был построен второй экземпляр Г-31, позже названный «Яков Алкснис». Одновременно первый экземпляр был переделан в опытный самолет путем установки в носу мотора воздушного охлаж</w:t>
      </w:r>
      <w:r w:rsidRPr="00C33834">
        <w:rPr>
          <w:rFonts w:ascii="Times New Roman" w:hAnsi="Times New Roman"/>
          <w:color w:val="000000" w:themeColor="text1"/>
          <w:sz w:val="16"/>
          <w:szCs w:val="16"/>
        </w:rPr>
        <w:softHyphen/>
        <w:t>дения М-11 мощностью 100 л.с. Нужно заметить, что это первый случай переделки планера в мотопланер. В даль</w:t>
      </w:r>
      <w:r w:rsidRPr="00C33834">
        <w:rPr>
          <w:rFonts w:ascii="Times New Roman" w:hAnsi="Times New Roman"/>
          <w:color w:val="000000" w:themeColor="text1"/>
          <w:sz w:val="16"/>
          <w:szCs w:val="16"/>
        </w:rPr>
        <w:softHyphen/>
        <w:t>нейшем такие попытки пред</w:t>
      </w:r>
      <w:r w:rsidRPr="00C33834">
        <w:rPr>
          <w:rFonts w:ascii="Times New Roman" w:hAnsi="Times New Roman"/>
          <w:color w:val="000000" w:themeColor="text1"/>
          <w:sz w:val="16"/>
          <w:szCs w:val="16"/>
        </w:rPr>
        <w:softHyphen/>
        <w:t>принимались неоднократно.</w:t>
      </w:r>
    </w:p>
    <w:p w14:paraId="53459F06" w14:textId="77777777" w:rsidR="006A4DAE" w:rsidRPr="00C33834" w:rsidRDefault="006A4DA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целом испытания обоих образцов проходили успешно, однако военные не прояви</w:t>
      </w:r>
      <w:r w:rsidRPr="00C33834">
        <w:rPr>
          <w:rFonts w:ascii="Times New Roman" w:hAnsi="Times New Roman"/>
          <w:color w:val="000000" w:themeColor="text1"/>
          <w:sz w:val="16"/>
          <w:szCs w:val="16"/>
        </w:rPr>
        <w:softHyphen/>
        <w:t>ли интереса к Г-31. Отчасти это объясняется отсутствием устоявшихся взглядов на пер</w:t>
      </w:r>
      <w:r w:rsidRPr="00C33834">
        <w:rPr>
          <w:rFonts w:ascii="Times New Roman" w:hAnsi="Times New Roman"/>
          <w:color w:val="000000" w:themeColor="text1"/>
          <w:sz w:val="16"/>
          <w:szCs w:val="16"/>
        </w:rPr>
        <w:softHyphen/>
        <w:t>спективы применения транс</w:t>
      </w:r>
      <w:r w:rsidRPr="00C33834">
        <w:rPr>
          <w:rFonts w:ascii="Times New Roman" w:hAnsi="Times New Roman"/>
          <w:color w:val="000000" w:themeColor="text1"/>
          <w:sz w:val="16"/>
          <w:szCs w:val="16"/>
        </w:rPr>
        <w:softHyphen/>
        <w:t>портных планеров в зарожда</w:t>
      </w:r>
      <w:r w:rsidRPr="00C33834">
        <w:rPr>
          <w:rFonts w:ascii="Times New Roman" w:hAnsi="Times New Roman"/>
          <w:color w:val="000000" w:themeColor="text1"/>
          <w:sz w:val="16"/>
          <w:szCs w:val="16"/>
        </w:rPr>
        <w:softHyphen/>
        <w:t>ющихся у нас Воздушно-де</w:t>
      </w:r>
      <w:r w:rsidRPr="00C33834">
        <w:rPr>
          <w:rFonts w:ascii="Times New Roman" w:hAnsi="Times New Roman"/>
          <w:color w:val="000000" w:themeColor="text1"/>
          <w:sz w:val="16"/>
          <w:szCs w:val="16"/>
        </w:rPr>
        <w:softHyphen/>
        <w:t>сантных войсках (ВДВ).</w:t>
      </w:r>
    </w:p>
    <w:p w14:paraId="30F2984D" w14:textId="77777777" w:rsidR="006A4DAE" w:rsidRPr="00C33834" w:rsidRDefault="006A4DA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планеру Г-31 были присущи некоторые врожденные недостатки: пла</w:t>
      </w:r>
      <w:r w:rsidRPr="00C33834">
        <w:rPr>
          <w:rFonts w:ascii="Times New Roman" w:hAnsi="Times New Roman"/>
          <w:color w:val="000000" w:themeColor="text1"/>
          <w:sz w:val="16"/>
          <w:szCs w:val="16"/>
        </w:rPr>
        <w:softHyphen/>
        <w:t>нер мог перевозить только мелкие грузы, в то время как в 30-х гг. уже требовалось транспортировать тяжелое вооружение. Из-за малых размеров грузовых ячеек действовать в них можно было только лежа, что зна</w:t>
      </w:r>
      <w:r w:rsidRPr="00C33834">
        <w:rPr>
          <w:rFonts w:ascii="Times New Roman" w:hAnsi="Times New Roman"/>
          <w:color w:val="000000" w:themeColor="text1"/>
          <w:sz w:val="16"/>
          <w:szCs w:val="16"/>
        </w:rPr>
        <w:softHyphen/>
        <w:t>чительно удлиняло время погрузочных работ. В ре</w:t>
      </w:r>
      <w:r w:rsidRPr="00C33834">
        <w:rPr>
          <w:rFonts w:ascii="Times New Roman" w:hAnsi="Times New Roman"/>
          <w:color w:val="000000" w:themeColor="text1"/>
          <w:sz w:val="16"/>
          <w:szCs w:val="16"/>
        </w:rPr>
        <w:softHyphen/>
        <w:t>зультате в серийное производство планер Г-31 не передавался (12300).</w:t>
      </w:r>
    </w:p>
    <w:p w14:paraId="65C983C2" w14:textId="77777777" w:rsidR="006A4DAE" w:rsidRPr="00C33834" w:rsidRDefault="006A4DAE" w:rsidP="00C33834">
      <w:pPr>
        <w:spacing w:after="0" w:line="240" w:lineRule="auto"/>
        <w:jc w:val="both"/>
        <w:rPr>
          <w:rFonts w:ascii="Times New Roman" w:hAnsi="Times New Roman"/>
          <w:color w:val="000000" w:themeColor="text1"/>
          <w:sz w:val="16"/>
          <w:szCs w:val="16"/>
        </w:rPr>
      </w:pPr>
    </w:p>
    <w:p w14:paraId="7ED095B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Я.И.Алкснис поставил задачу на один из Г-31 поставить мотор и решили переделывать первый экз. (94,24).</w:t>
      </w:r>
    </w:p>
    <w:p w14:paraId="230DAC4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5E97359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на заводе А.М.Беленковича, производящем магниевые профили, появилась специальная мастерская для строительства самолета из электрона ЭМАИ (1040,22).</w:t>
      </w:r>
    </w:p>
    <w:p w14:paraId="69EF260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16940F9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начали строить натурные трубы ЦАГИ (271,135).</w:t>
      </w:r>
    </w:p>
    <w:p w14:paraId="49274DF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03E7512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г. задержка с полетом вызывала у экипажа тревогу за сохранность оболочки стратостата Осоавиахим-1 и т. Федосеенко добивался дальнейшего определения дня и места вылета. Консультационный совет при обсуждении этого вопроса 11 сентября в лице профессора Мультановского считал, что устойчивая погода для полета будет в 20-ых числах декабря, а профессор Троицкий считал, что это будет в феврале месяце. 24 августа стратостат приняла комиссия ЦС ОАХ под председательством т. Ильина. Тов. Федосеенко считал, что до февраля хранить оболочку нельзя, а нужно будет сделать новую. Основным мотивом к этому он считал, что пропускная способность газа будет не 17-20 м на 1 кв. м, а 60-70 и что опыта в хранении оболочки из такого материала нет. Когда полет было отложен, т. Федосеенко проявил особую заботу о сохранении оболочки и 5.XI донес т. Эйдеману, в каком виде и где хранится оболочка, и еще раз подчеркивал, что газонепроницаемость ее может быть нарушена. Приводя данные о погоде в декабре, он просил назначить полет на потолок 20.000 м, просил также собрать совещание специалистов для установления наиболее благоприятного времени и мест полета (11611).</w:t>
      </w:r>
    </w:p>
    <w:p w14:paraId="5C211D22" w14:textId="77777777" w:rsidR="00FD662C" w:rsidRPr="00C33834" w:rsidRDefault="00FD662C"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1E93A0" w14:textId="77777777" w:rsidR="001836B7" w:rsidRPr="00C33834" w:rsidRDefault="001836B7" w:rsidP="00C33834">
      <w:pPr>
        <w:pStyle w:val="ae"/>
        <w:spacing w:before="0" w:after="0"/>
        <w:jc w:val="both"/>
        <w:textAlignment w:val="baseline"/>
        <w:rPr>
          <w:color w:val="0070C0"/>
          <w:sz w:val="16"/>
          <w:szCs w:val="16"/>
          <w:bdr w:val="none" w:sz="0" w:space="0" w:color="auto" w:frame="1"/>
        </w:rPr>
      </w:pPr>
      <w:r w:rsidRPr="00C33834">
        <w:rPr>
          <w:color w:val="0070C0"/>
          <w:sz w:val="16"/>
          <w:szCs w:val="16"/>
          <w:bdr w:val="none" w:sz="0" w:space="0" w:color="auto" w:frame="1"/>
        </w:rPr>
        <w:t>В августе 1933 г. ресурс до первой переборки у М-17 достиг 150 часов. У «родных» моторов было не столь хорошо. В 1942 в частях 15-й воздушной армии один отказ мотора АМ-38ф приходился на 20 - 25 часов работы. Со временем дела с АМ-38Ф стали получше. В течение года, с мая 1944 г. по май 1945 г. в 3-й ВА моторы АМ-38ф наработали 40250 ч. В среднем ежемесячно действовало 350 моторов. За это же время было преждевременно снято по конструктивно-производственным дефектам 85 моторов (среднее время наработки 40 ч). В то же время установленный ресурс в 150 ч полностью выработали 105 моторов. Наработка на отказ моторов АМ-38ф в частях 5-й ВА в 1945 г. без учета моторов, поврежденных в бою и вышедших из строя по причине неграмотной эксплуатации, составила 90 ч.</w:t>
      </w:r>
    </w:p>
    <w:p w14:paraId="581247B3" w14:textId="77777777" w:rsidR="001836B7" w:rsidRPr="00C33834" w:rsidRDefault="001836B7" w:rsidP="00C33834">
      <w:pPr>
        <w:pStyle w:val="ae"/>
        <w:spacing w:before="0" w:after="0"/>
        <w:jc w:val="both"/>
        <w:textAlignment w:val="baseline"/>
        <w:rPr>
          <w:color w:val="0070C0"/>
          <w:sz w:val="16"/>
          <w:szCs w:val="16"/>
        </w:rPr>
      </w:pPr>
      <w:r w:rsidRPr="00C33834">
        <w:rPr>
          <w:color w:val="0070C0"/>
          <w:sz w:val="16"/>
          <w:szCs w:val="16"/>
          <w:bdr w:val="none" w:sz="0" w:space="0" w:color="auto" w:frame="1"/>
        </w:rPr>
        <w:t xml:space="preserve">Несмотря на обширную номенклатуру дефектов, мотор АМ-38Ф, как показывает анализ документов инженерно-авиационной службы воздушных армий, по надежности занимал первое место среди остальных отечественных моторов, находящихся на снабжении ВВС КА. Действительно, например в 15-й ВА количество моторов АМ-38Ф, снятых в 1945 г. по выработке ресурса, увеличилось в 1,4 раза в сравнении с предыдущим годом, а количество снятых моторов до выработки </w:t>
      </w:r>
      <w:r w:rsidRPr="00C33834">
        <w:rPr>
          <w:color w:val="0070C0"/>
          <w:sz w:val="16"/>
          <w:szCs w:val="16"/>
          <w:bdr w:val="none" w:sz="0" w:space="0" w:color="auto" w:frame="1"/>
        </w:rPr>
        <w:lastRenderedPageBreak/>
        <w:t>ресурса, наоборот, уменьшилось в 5,5 раза. При этом наработка в часах на один отказ мотора АМ-38Ф возросла с 50,6 ч до 99 ч, что более чем вдвое было выше результата, показываемого любым другим отечественным мотором. Так, мотор М-105ПФ в 1944 г. нарабатывал 42,8 ч на один отказ, а в 1945 г. - 48,9 ч.</w:t>
      </w:r>
    </w:p>
    <w:p w14:paraId="5055916B" w14:textId="77777777" w:rsidR="001836B7" w:rsidRPr="00C33834" w:rsidRDefault="001836B7" w:rsidP="00C33834">
      <w:pPr>
        <w:pStyle w:val="ae"/>
        <w:shd w:val="clear" w:color="auto" w:fill="FBFCFC"/>
        <w:spacing w:before="0" w:after="0"/>
        <w:jc w:val="both"/>
        <w:textAlignment w:val="baseline"/>
        <w:rPr>
          <w:color w:val="0070C0"/>
          <w:sz w:val="16"/>
          <w:szCs w:val="16"/>
        </w:rPr>
      </w:pPr>
      <w:r w:rsidRPr="00C33834">
        <w:rPr>
          <w:color w:val="0070C0"/>
          <w:sz w:val="16"/>
          <w:szCs w:val="16"/>
          <w:bdr w:val="none" w:sz="0" w:space="0" w:color="auto" w:frame="1"/>
        </w:rPr>
        <w:t>Если на каждые 100 моторов среднего парка свой ресурс полностью вырабатывали 11,5 моторов М-105ПФ, то АМ-38Ф - 16,5 моторов (20442).</w:t>
      </w:r>
    </w:p>
    <w:p w14:paraId="7DB88537" w14:textId="77777777" w:rsidR="001836B7" w:rsidRPr="00C33834" w:rsidRDefault="001836B7" w:rsidP="00C33834">
      <w:pPr>
        <w:spacing w:after="0" w:line="240" w:lineRule="auto"/>
        <w:jc w:val="both"/>
        <w:rPr>
          <w:rFonts w:ascii="Times New Roman" w:hAnsi="Times New Roman"/>
          <w:color w:val="0070C0"/>
          <w:sz w:val="16"/>
          <w:szCs w:val="16"/>
        </w:rPr>
      </w:pPr>
    </w:p>
    <w:p w14:paraId="7FDE1494" w14:textId="77777777" w:rsidR="001836B7" w:rsidRPr="00C33834" w:rsidRDefault="001836B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августе 1933 «СССР В-3» вышел в очередной по</w:t>
      </w:r>
      <w:r w:rsidRPr="00C33834">
        <w:rPr>
          <w:rFonts w:ascii="Times New Roman" w:hAnsi="Times New Roman"/>
          <w:color w:val="0070C0"/>
          <w:sz w:val="16"/>
          <w:szCs w:val="16"/>
        </w:rPr>
        <w:softHyphen/>
        <w:t>лёт и попал в окружение грозовых облаков. По</w:t>
      </w:r>
      <w:r w:rsidRPr="00C33834">
        <w:rPr>
          <w:rFonts w:ascii="Times New Roman" w:hAnsi="Times New Roman"/>
          <w:color w:val="0070C0"/>
          <w:sz w:val="16"/>
          <w:szCs w:val="16"/>
        </w:rPr>
        <w:softHyphen/>
        <w:t>ложение было настолько серьёзным, что пилот решил сесть вне аэродрома и переждать грозу на земле. Для посадки он прибёг к помощи работав</w:t>
      </w:r>
      <w:r w:rsidRPr="00C33834">
        <w:rPr>
          <w:rFonts w:ascii="Times New Roman" w:hAnsi="Times New Roman"/>
          <w:color w:val="0070C0"/>
          <w:sz w:val="16"/>
          <w:szCs w:val="16"/>
        </w:rPr>
        <w:softHyphen/>
        <w:t>ших в поле колхозников, предварительно преду</w:t>
      </w:r>
      <w:r w:rsidRPr="00C33834">
        <w:rPr>
          <w:rFonts w:ascii="Times New Roman" w:hAnsi="Times New Roman"/>
          <w:color w:val="0070C0"/>
          <w:sz w:val="16"/>
          <w:szCs w:val="16"/>
        </w:rPr>
        <w:softHyphen/>
        <w:t>предив их сброшенной запиской. Те поймали вы</w:t>
      </w:r>
      <w:r w:rsidRPr="00C33834">
        <w:rPr>
          <w:rFonts w:ascii="Times New Roman" w:hAnsi="Times New Roman"/>
          <w:color w:val="0070C0"/>
          <w:sz w:val="16"/>
          <w:szCs w:val="16"/>
        </w:rPr>
        <w:softHyphen/>
        <w:t>брошенный гайдроп, и дирижабль благополучно приземлился. Переждав грозу, пилот привёл ди</w:t>
      </w:r>
      <w:r w:rsidRPr="00C33834">
        <w:rPr>
          <w:rFonts w:ascii="Times New Roman" w:hAnsi="Times New Roman"/>
          <w:color w:val="0070C0"/>
          <w:sz w:val="16"/>
          <w:szCs w:val="16"/>
        </w:rPr>
        <w:softHyphen/>
        <w:t>рижабль на базу в Москву (20120).</w:t>
      </w:r>
    </w:p>
    <w:p w14:paraId="05C87DA9" w14:textId="77777777" w:rsidR="001836B7" w:rsidRPr="00C33834" w:rsidRDefault="001836B7" w:rsidP="00C33834">
      <w:pPr>
        <w:spacing w:after="0" w:line="240" w:lineRule="auto"/>
        <w:jc w:val="both"/>
        <w:rPr>
          <w:rFonts w:ascii="Times New Roman" w:hAnsi="Times New Roman"/>
          <w:color w:val="0070C0"/>
          <w:sz w:val="16"/>
          <w:szCs w:val="16"/>
        </w:rPr>
      </w:pPr>
    </w:p>
    <w:p w14:paraId="7D6784A1"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758082E"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73E919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на НИАПе (Ржевский полигон) проходили испытания Су-14 203 мм и машина демонстрировалась К.Е.В. Испытания затянулись и машина непрерывно ремонтировалась в основном из-за отказа ходовой (7437, 4).</w:t>
      </w:r>
    </w:p>
    <w:p w14:paraId="1663651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7E2A9931" w14:textId="77777777" w:rsidR="00C02A38" w:rsidRPr="00C33834" w:rsidRDefault="00C02A3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г. проводились испытания СУ-14 на НИАПе, где они были продемонстрированы маршалу К. Ворошилову. Испытания установки затянулись, в основном из-за отказа ходовой части. Одновременно с ремонтом внедрялись новые конструкторские решения. Вновь испытания СУ-14 были продолжены в марте 1935 г. После проведения испытаний в конструкцию установки СУ-14 были внесены существенные изменения. Предполагалось на унифицированном шасси создать две самоходные артиллерийские системы — «дуплекс», одна с 203-мм гаубицей Б-4, (вариант СУ-14), другая со 152-мм пушкой Б-10 (вариант СУ-14А) (15132).</w:t>
      </w:r>
    </w:p>
    <w:p w14:paraId="4343EB94" w14:textId="77777777" w:rsidR="00C02A38" w:rsidRPr="00C33834" w:rsidRDefault="00C02A38" w:rsidP="00C33834">
      <w:pPr>
        <w:spacing w:after="0" w:line="240" w:lineRule="auto"/>
        <w:jc w:val="both"/>
        <w:rPr>
          <w:rFonts w:ascii="Times New Roman" w:hAnsi="Times New Roman"/>
          <w:color w:val="000000" w:themeColor="text1"/>
          <w:sz w:val="16"/>
          <w:szCs w:val="16"/>
        </w:rPr>
      </w:pPr>
    </w:p>
    <w:p w14:paraId="1FB1737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года опытная батарея 76-мм пушек обр. 1933 г прошла войсковые испытания в Московской Пролетарской Стрелковой дивизии (МПСД) (3861).</w:t>
      </w:r>
    </w:p>
    <w:p w14:paraId="75A883B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5CD2B0C4" w14:textId="77777777" w:rsidR="00FD662C" w:rsidRPr="00C33834" w:rsidRDefault="00FD662C"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г. на заводе Новое Сормово был организован отдел главного технолога завода. Первоначально он состоял из маршрутной группы, кузнецов по горячей и холодной штамповке, технологической группы, группы нормирования, конструкторских групп по проектированию инструмента и приспособлений и группы технологических планировок (11741).</w:t>
      </w:r>
    </w:p>
    <w:p w14:paraId="19D43795" w14:textId="77777777" w:rsidR="00FD662C" w:rsidRPr="00C33834" w:rsidRDefault="00FD662C"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65039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года после очередной серии неприятных событий начальник ВОХИМУ дал Московскому Очаковскому складу № 136 указания (разумеется, во исполнение распоряжения наркома обороны К.Е.Ворошилова) - прекратить разлив ОВ по боеприпасам, а все имеющееся химоружие вывезти со склада в Очакове на два военно-химических полигона - в Кузьминки и в Шиханы (Саратовская область) (9065).</w:t>
      </w:r>
    </w:p>
    <w:p w14:paraId="2747244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6F48683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СТО принял постановление о системе бронетанкового вооружения КА на 2 пятилетку (359,92).</w:t>
      </w:r>
    </w:p>
    <w:p w14:paraId="47D3532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1129261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смежники - Ижорский (бронекорпуса), "Красный Октябрь" (коробки передач), Рыбинский (двигатели) заводы - начали поставки агрегатов для Т-35 на ХПЗ. Т-35 изготовлялся по узловому принципу (9 узлов), окончательная же сборка первой машины велась на специальных козлах (стапелях) (3862).</w:t>
      </w:r>
    </w:p>
    <w:p w14:paraId="72A6A83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7E90A68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г. был принят на вооружение танк Т-37, но серийно не выпускался. Он имел боевую массу 2,9 т, экипаж - два человека. На танке Т-37 использовались двигатель и силовая передача автомобильного типа: сцепление, коробка передач и простой дифференциал с колодочными тормозами. Приводы управления были дублированы. Подвеска танка пружинная, мелкозвенчатая гусеница скелетного типа из ковкого чугуна. Танк развивал скорость 36 км/ч на суше и 4 км/ч на воде. Для движения по воде применялся винт с поворачивающимися лопастями для осуществления заднего хода и руль. Танк показал хорошую устойчивость и маневренность на плаву.</w:t>
      </w:r>
    </w:p>
    <w:p w14:paraId="0E51E48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Серийная модификация этого танка - Т-37А - отличалась несколько большими размерами корпуса и наличием бронированных поплавков, заполненных внутри пробкой. Масса Т-37А достигала 3,2 т. Танки Т-37А выпускались в 1932-1936 гг. (3861).</w:t>
      </w:r>
    </w:p>
    <w:p w14:paraId="76B82A1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1234810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августа 1933 года строились двухбашенные танки Т-26 (выпущено около 1200 единиц), когда для них создали танковую 45-мм пушку образца 1932 г. и решили установить ее в одну башню.</w:t>
      </w:r>
    </w:p>
    <w:p w14:paraId="034722B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Танк Т-26 образца 1933 г. имел цилиндрическую башню и весил 9,4 т. Боекомплект 45-мм пушки состоял из 136 выстрелов. На 11 см увеличилась высота машины. Остальные характеристики не изменились. Танки командиров рот имели радиостанцию (боекомплект уменьшился до 96 выстрелов) и поручневую антенну на башне. Опыт боев в Испании и на озере Хасан показал, что противник в первую очередь сосредоточивал огонь по командирским машинам, хорошо различимым издалека по антенне, поэтому поручневую антенну заменили штыревой. Типичным для внешнего вида этих танков была установка двух фар-прожекторов над пушкой для ночной стрельбы.</w:t>
      </w:r>
    </w:p>
    <w:p w14:paraId="5B0AB3C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Конструкция танка Т-26 была проста, он был легок в управлении, не требовал большого ухода. Компоновка следовала классической схеме: впереди отделение управления, затем боевое и в корме моторное отделение. Установка четырехтактного карбюраторного двигателя "Т-26" воздушного охлаждения с горизонтальным расположением четырех цилиндров позволило заметно уменьшить высоту кормовой части корпуса. Там же находился и бензобак емкостью 182 литра. Силовая передача состояла из главного фрикциона, пятискоростной КП тракторного типа в передней части корпуса слева от места водителя, бортовых фрикционов и редукторов. Ведущее колесо переднего расположения. В ходовой части по две тележки по четыре обрезиненных катка.</w:t>
      </w:r>
    </w:p>
    <w:p w14:paraId="449F73B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45-мм пушки образца 1932, 1934 или 1938 гг. имели одинаковые баллистические данные и отличались лишь некоторыми усовершенствованиями. Пушка имела клиновый полуавтоматический затвор и угол наведения в вертикальной плоскости +22, -5 градусов. Бронебойный снаряд имел начальную скорость 700 м/с и пробивал со 100 метров 32-мм броню. Фугасный снаряд имел начальную скорость 335 м/с (3861).</w:t>
      </w:r>
    </w:p>
    <w:p w14:paraId="3428357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0596D55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августа 1933 г. на танк Т-26 ставили 45-мм пушку в цилиндрической башне и пулемет 7,62 мм. Экипаж составлял 3 человека. Боевая масса возросла до 10,3 т, а двигатель остался прежний, мощностью 90 л. с. Энерговооруженность была явно недостаточной. С февраля 1939 г. выпускалась последняя модификация Т-26 с наклонным расположением бронелистов подбашенной коробки. А во время Финской войны Т-26 оснастили экранной броней на лобовых листах корпуса. Всего за 1931-1940 гг. выпустили более 11000 машин 23 модификаций. Это была крупнейшая предвоенная серия танков в мире (11224).</w:t>
      </w:r>
    </w:p>
    <w:p w14:paraId="06843C2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1A04AF8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Опытный образец Т-26, оборудованный в июле 1933 ОКБ Опытного завода Спецмаштреста им. Кирова оборудованием СКБ завода Компрессор ТДП-3, разработанным в январе 1933, прошел войсковые испытания (9527,190).</w:t>
      </w:r>
    </w:p>
    <w:p w14:paraId="40CEEEE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5DB0602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в соответствии с военной доктриной для укомплектования частей и соединений РККА были приняты 5 типов танков: разведывательный танк (Т-37), общевойсковой танк (Т-26), оперативный танк (БТ-7), танк качественного усиления (Т-28) и тяжелый танк особого назначения (Т-35) (9527,13).</w:t>
      </w:r>
    </w:p>
    <w:p w14:paraId="526657A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3B3E133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Опытный завод Спецмаштреста изготовил опытный образец ТР-1, бронетранспортера на базе Т-26, разработанного в начале 1933 слушатели ВАММ, который до февраля 1934 прошел всесторонние полигонные испытания. На вооружение не принимался, т.к. ТР-4 оказался более совершенным (9527,206).</w:t>
      </w:r>
    </w:p>
    <w:p w14:paraId="5774D60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38431C8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началось строительства новой - VI серии ТК. Катера выпускались девятью сериями, различия между которыми были, в основном, в толщине листов обшивки (усиление ее по опыту эксплуатации проводилось на каждой последующей серии); двигателями (на части катеров стояли импортные моторы АССО и «Паккард», а на других - различные модификации ГАМ-34); скоростью, запасом топлива и вооружением. Внешних отличий между катерами отдельных серий очень мало. Катера типа Ш-4 отличаются вырезом рубки под турель пулемета, гофрированными листами обшивки палубы и расположением мачты за рубкой. На Г-5 независимо от серии отсутствовала гофрированная обшивка, по верхней части корпуса шли два продольных ребра жесткости, рубка без выреза (кроме катеров VI серии) на части катеров труба глушителя (совмещенная с системой дымопуска) шла от моторного отсека по верхней палубе в корму до консолей. Ранние серии имели на вооружении авиационную турель с двумя пулеметами ДА, либо одним ШКАС, позднее - пулеметами ДШК. В любом случае, с уверенностью сказать, к какой серии принадлежит катер, зачастую невозможно. Яркий пример - установленный в Севастополе ТК-52, который при наличии характерных для XI серии единых комплексов винт-руль, тем не менее имеет два пулемета ДШК, как на XI-бис и последующих сериях военной постройки. Дюралюминий, при всех его достоинствах, являлся достаточно дефицитным материалом, кроме того он подвержен коррозии в морской воде. Советские конструкторы, по заданиям флота вели большую исследовательскую работу по выбору материала для корпусов ТК. Материал должен был быть одновременно легким, прочным, устойчивым к воздействию морской воды и не слишком дорогим. На базе Г-5 в 1936 г. были построены три катера с деревянными корпусами, которые, несмотря на скорость хода 49 узлов, не получили одобрения флотом из-за дефектов сборки корпуса: на 4-х балльной волне они начали расходиться по швам. Строить торпедные катера из дерева советская промышленность еще не умела.</w:t>
      </w:r>
    </w:p>
    <w:p w14:paraId="01AA9FB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Делались попытки изменить строительную технологию корпуса, но из опасения срыва серийного производства осуществлять их не стали. Больше всего проблем (об этом будет рассказано ниже) доставляло авиационное топливо - пары бензина создавали постоянную опасность пожара. Предлагалось установить авиационные дизели и перейти на дизельное топливо, что разом решало все проблемы, как с пожаро-опасностью так и с дальностью плавания. Работоспособный дизель создали только накануне войны, и на катера он попал только перед самым ее началом (6002).</w:t>
      </w:r>
    </w:p>
    <w:p w14:paraId="09BF0C0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013E01E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w:t>
      </w:r>
      <w:r w:rsidRPr="00C33834">
        <w:rPr>
          <w:rFonts w:ascii="Times New Roman" w:hAnsi="Times New Roman"/>
          <w:color w:val="000000" w:themeColor="text1"/>
          <w:sz w:val="16"/>
          <w:szCs w:val="16"/>
        </w:rPr>
        <w:softHyphen/>
        <w:t>сте 1933 г. для проекта крупного тральщика были установлены стандартное водоизмещение 310 т, скорость 14 уз и дальность плавания 1000 миль. От его по</w:t>
      </w:r>
      <w:r w:rsidRPr="00C33834">
        <w:rPr>
          <w:rFonts w:ascii="Times New Roman" w:hAnsi="Times New Roman"/>
          <w:color w:val="000000" w:themeColor="text1"/>
          <w:sz w:val="16"/>
          <w:szCs w:val="16"/>
        </w:rPr>
        <w:softHyphen/>
        <w:t>стройки вскоре отказались, так как отдали предпочтение пр. 3 (3898).</w:t>
      </w:r>
    </w:p>
    <w:p w14:paraId="42DBC7B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048962A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г. (как и в июне 1932) задание на "амурский" бронекатер уточнялось В результате бьши конкретизированы типы башен (от танка Т-28) и моторов (ГАМ-34). Скорость полного хода на стоячей воде по заданию 21,6 уз (38 км/ч), дальность плавания 500 миль (876 км). Катер предназначался для тактической развед</w:t>
      </w:r>
      <w:r w:rsidRPr="00C33834">
        <w:rPr>
          <w:rFonts w:ascii="Times New Roman" w:hAnsi="Times New Roman"/>
          <w:color w:val="000000" w:themeColor="text1"/>
          <w:sz w:val="16"/>
          <w:szCs w:val="16"/>
        </w:rPr>
        <w:softHyphen/>
        <w:t>ки речнь1х сил противника, действия по тылам и флангам сухопут</w:t>
      </w:r>
      <w:r w:rsidRPr="00C33834">
        <w:rPr>
          <w:rFonts w:ascii="Times New Roman" w:hAnsi="Times New Roman"/>
          <w:color w:val="000000" w:themeColor="text1"/>
          <w:sz w:val="16"/>
          <w:szCs w:val="16"/>
        </w:rPr>
        <w:softHyphen/>
        <w:t>ных войск, для переброски и обеспечения действий разведгрупп и подрывных партий. Проект "амурского" бронекатера, получивший номер 1124, разрабатывался ленинградским Речсудопроектом, которым ру</w:t>
      </w:r>
      <w:r w:rsidRPr="00C33834">
        <w:rPr>
          <w:rFonts w:ascii="Times New Roman" w:hAnsi="Times New Roman"/>
          <w:color w:val="000000" w:themeColor="text1"/>
          <w:sz w:val="16"/>
          <w:szCs w:val="16"/>
        </w:rPr>
        <w:softHyphen/>
        <w:t>ководил инженера-кораблестроителя Ю. Ю. Бенуа в 1933— 1934 гг.</w:t>
      </w:r>
    </w:p>
    <w:p w14:paraId="259B187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уменьшения осадки корпусу бронектера была придана большая полнота образований, обеспеченная прямостенными бор</w:t>
      </w:r>
      <w:r w:rsidRPr="00C33834">
        <w:rPr>
          <w:rFonts w:ascii="Times New Roman" w:hAnsi="Times New Roman"/>
          <w:color w:val="000000" w:themeColor="text1"/>
          <w:sz w:val="16"/>
          <w:szCs w:val="16"/>
        </w:rPr>
        <w:softHyphen/>
        <w:t>тами с небольшими радиусами скруглений у скул и плоским дни</w:t>
      </w:r>
      <w:r w:rsidRPr="00C33834">
        <w:rPr>
          <w:rFonts w:ascii="Times New Roman" w:hAnsi="Times New Roman"/>
          <w:color w:val="000000" w:themeColor="text1"/>
          <w:sz w:val="16"/>
          <w:szCs w:val="16"/>
        </w:rPr>
        <w:softHyphen/>
        <w:t>щем с открытыми тоннелями гребных валов. В отработке обво</w:t>
      </w:r>
      <w:r w:rsidRPr="00C33834">
        <w:rPr>
          <w:rFonts w:ascii="Times New Roman" w:hAnsi="Times New Roman"/>
          <w:color w:val="000000" w:themeColor="text1"/>
          <w:sz w:val="16"/>
          <w:szCs w:val="16"/>
        </w:rPr>
        <w:softHyphen/>
        <w:t>дов пр. 1124 видную роль сыграл сотрудник Опытового бассейна НИВК Н. С. Вольдин, специализировавшийся на модельнь1х испы</w:t>
      </w:r>
      <w:r w:rsidRPr="00C33834">
        <w:rPr>
          <w:rFonts w:ascii="Times New Roman" w:hAnsi="Times New Roman"/>
          <w:color w:val="000000" w:themeColor="text1"/>
          <w:sz w:val="16"/>
          <w:szCs w:val="16"/>
        </w:rPr>
        <w:softHyphen/>
        <w:t>таниях быстроходных катеров.</w:t>
      </w:r>
    </w:p>
    <w:p w14:paraId="4A060E4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Корпус с поперечной системой набора подразделялся водонеп</w:t>
      </w:r>
      <w:r w:rsidRPr="00C33834">
        <w:rPr>
          <w:rFonts w:ascii="Times New Roman" w:hAnsi="Times New Roman"/>
          <w:color w:val="000000" w:themeColor="text1"/>
          <w:sz w:val="16"/>
          <w:szCs w:val="16"/>
        </w:rPr>
        <w:softHyphen/>
        <w:t>роницаемыми переборками на десять отсеков, для внутреннего со</w:t>
      </w:r>
      <w:r w:rsidRPr="00C33834">
        <w:rPr>
          <w:rFonts w:ascii="Times New Roman" w:hAnsi="Times New Roman"/>
          <w:color w:val="000000" w:themeColor="text1"/>
          <w:sz w:val="16"/>
          <w:szCs w:val="16"/>
        </w:rPr>
        <w:softHyphen/>
        <w:t>общения между которыми в переборках предусматривались люки. Конструкция его бьша смешанной: броневая часть выполнялась клепаной, небронированная — сварной</w:t>
      </w:r>
      <w:r w:rsidRPr="00C33834">
        <w:rPr>
          <w:rFonts w:ascii="Times New Roman" w:hAnsi="Times New Roman"/>
          <w:color w:val="000000" w:themeColor="text1"/>
          <w:sz w:val="16"/>
          <w:szCs w:val="16"/>
          <w:vertAlign w:val="superscript"/>
        </w:rPr>
        <w:t>1</w:t>
      </w:r>
      <w:r w:rsidRPr="00C33834">
        <w:rPr>
          <w:rFonts w:ascii="Times New Roman" w:hAnsi="Times New Roman"/>
          <w:color w:val="000000" w:themeColor="text1"/>
          <w:sz w:val="16"/>
          <w:szCs w:val="16"/>
        </w:rPr>
        <w:t>. При этом все детали сварных конструкций соединялись встык. Набор к броне прикле</w:t>
      </w:r>
      <w:r w:rsidRPr="00C33834">
        <w:rPr>
          <w:rFonts w:ascii="Times New Roman" w:hAnsi="Times New Roman"/>
          <w:color w:val="000000" w:themeColor="text1"/>
          <w:sz w:val="16"/>
          <w:szCs w:val="16"/>
        </w:rPr>
        <w:softHyphen/>
        <w:t>пывался, а к обшивке вне цитадели — приваривался. Среднюю часть корпуса занимала бронированная цитадель, в которой разме</w:t>
      </w:r>
      <w:r w:rsidRPr="00C33834">
        <w:rPr>
          <w:rFonts w:ascii="Times New Roman" w:hAnsi="Times New Roman"/>
          <w:color w:val="000000" w:themeColor="text1"/>
          <w:sz w:val="16"/>
          <w:szCs w:val="16"/>
        </w:rPr>
        <w:softHyphen/>
        <w:t>щались подбашенные отсеки, моторное отделение, топливные баки и радиорубка. В районе топливного отсека защита имела двойную толщину — два броневых листа склепывались между собой. Бро</w:t>
      </w:r>
      <w:r w:rsidRPr="00C33834">
        <w:rPr>
          <w:rFonts w:ascii="Times New Roman" w:hAnsi="Times New Roman"/>
          <w:color w:val="000000" w:themeColor="text1"/>
          <w:sz w:val="16"/>
          <w:szCs w:val="16"/>
        </w:rPr>
        <w:softHyphen/>
        <w:t>невые листы служили также палубным настилом и бортовой обшивкой, опускаясь на 200 мм ниже ватерлинии. Таким об</w:t>
      </w:r>
      <w:r w:rsidRPr="00C33834">
        <w:rPr>
          <w:rFonts w:ascii="Times New Roman" w:hAnsi="Times New Roman"/>
          <w:color w:val="000000" w:themeColor="text1"/>
          <w:sz w:val="16"/>
          <w:szCs w:val="16"/>
        </w:rPr>
        <w:softHyphen/>
        <w:t>разом, броня участвовала в обеспечении общей прочности кор</w:t>
      </w:r>
      <w:r w:rsidRPr="00C33834">
        <w:rPr>
          <w:rFonts w:ascii="Times New Roman" w:hAnsi="Times New Roman"/>
          <w:color w:val="000000" w:themeColor="text1"/>
          <w:sz w:val="16"/>
          <w:szCs w:val="16"/>
        </w:rPr>
        <w:softHyphen/>
        <w:t>пуса.</w:t>
      </w:r>
    </w:p>
    <w:p w14:paraId="655EA87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Жилые помещения получили вынужденно уменьшенные габа</w:t>
      </w:r>
      <w:r w:rsidRPr="00C33834">
        <w:rPr>
          <w:rFonts w:ascii="Times New Roman" w:hAnsi="Times New Roman"/>
          <w:color w:val="000000" w:themeColor="text1"/>
          <w:sz w:val="16"/>
          <w:szCs w:val="16"/>
        </w:rPr>
        <w:softHyphen/>
        <w:t>риты — высоту в свету всего 1,55 м и естественную вентиляцию. В то же время проектировщикам удалось оборудовать их водяным отоплением, а также снабдить другими элементарными удобства</w:t>
      </w:r>
      <w:r w:rsidRPr="00C33834">
        <w:rPr>
          <w:rFonts w:ascii="Times New Roman" w:hAnsi="Times New Roman"/>
          <w:color w:val="000000" w:themeColor="text1"/>
          <w:sz w:val="16"/>
          <w:szCs w:val="16"/>
        </w:rPr>
        <w:softHyphen/>
        <w:t>ми, в том числе естественным освещением через иллюминаторы. ГКП размещался в бронированной рубке, оборудованной перего</w:t>
      </w:r>
      <w:r w:rsidRPr="00C33834">
        <w:rPr>
          <w:rFonts w:ascii="Times New Roman" w:hAnsi="Times New Roman"/>
          <w:color w:val="000000" w:themeColor="text1"/>
          <w:sz w:val="16"/>
          <w:szCs w:val="16"/>
        </w:rPr>
        <w:softHyphen/>
        <w:t>ворными трубами и машинным телеграфом.</w:t>
      </w:r>
    </w:p>
    <w:p w14:paraId="7B719B9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Рубка бьша расположена непосредственно над бензоцистерной емкостью 4 т. Для предотвращения взрыва паров бензина приме</w:t>
      </w:r>
      <w:r w:rsidRPr="00C33834">
        <w:rPr>
          <w:rFonts w:ascii="Times New Roman" w:hAnsi="Times New Roman"/>
          <w:color w:val="000000" w:themeColor="text1"/>
          <w:sz w:val="16"/>
          <w:szCs w:val="16"/>
        </w:rPr>
        <w:softHyphen/>
        <w:t>нялась оригинальная система заполнения бензобаков отработав</w:t>
      </w:r>
      <w:r w:rsidRPr="00C33834">
        <w:rPr>
          <w:rFonts w:ascii="Times New Roman" w:hAnsi="Times New Roman"/>
          <w:color w:val="000000" w:themeColor="text1"/>
          <w:sz w:val="16"/>
          <w:szCs w:val="16"/>
        </w:rPr>
        <w:softHyphen/>
        <w:t>шими газами катерных двигателей инженера Шатерникова. Систе</w:t>
      </w:r>
      <w:r w:rsidRPr="00C33834">
        <w:rPr>
          <w:rFonts w:ascii="Times New Roman" w:hAnsi="Times New Roman"/>
          <w:color w:val="000000" w:themeColor="text1"/>
          <w:sz w:val="16"/>
          <w:szCs w:val="16"/>
        </w:rPr>
        <w:softHyphen/>
        <w:t>ма включала конденсатор, из которого газы поступали в разделен</w:t>
      </w:r>
      <w:r w:rsidRPr="00C33834">
        <w:rPr>
          <w:rFonts w:ascii="Times New Roman" w:hAnsi="Times New Roman"/>
          <w:color w:val="000000" w:themeColor="text1"/>
          <w:sz w:val="16"/>
          <w:szCs w:val="16"/>
        </w:rPr>
        <w:softHyphen/>
        <w:t>ный на семь отсеков бензобак и далее в газоотводную трубу с под</w:t>
      </w:r>
      <w:r w:rsidRPr="00C33834">
        <w:rPr>
          <w:rFonts w:ascii="Times New Roman" w:hAnsi="Times New Roman"/>
          <w:color w:val="000000" w:themeColor="text1"/>
          <w:sz w:val="16"/>
          <w:szCs w:val="16"/>
        </w:rPr>
        <w:softHyphen/>
        <w:t>водным выхлопом (для снижения шумности).</w:t>
      </w:r>
    </w:p>
    <w:p w14:paraId="506A0EA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0FC1C63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 типа ГАМ-34, аналогичные установленным на торпед</w:t>
      </w:r>
      <w:r w:rsidRPr="00C33834">
        <w:rPr>
          <w:rFonts w:ascii="Times New Roman" w:hAnsi="Times New Roman"/>
          <w:color w:val="000000" w:themeColor="text1"/>
          <w:sz w:val="16"/>
          <w:szCs w:val="16"/>
        </w:rPr>
        <w:softHyphen/>
        <w:t>ных катерах типа Г-5, охлаждались по замкнутому циклу: заборт</w:t>
      </w:r>
      <w:r w:rsidRPr="00C33834">
        <w:rPr>
          <w:rFonts w:ascii="Times New Roman" w:hAnsi="Times New Roman"/>
          <w:color w:val="000000" w:themeColor="text1"/>
          <w:sz w:val="16"/>
          <w:szCs w:val="16"/>
        </w:rPr>
        <w:softHyphen/>
        <w:t>ная вода самотеком поступала в специальные водомасляные радиа</w:t>
      </w:r>
      <w:r w:rsidRPr="00C33834">
        <w:rPr>
          <w:rFonts w:ascii="Times New Roman" w:hAnsi="Times New Roman"/>
          <w:color w:val="000000" w:themeColor="text1"/>
          <w:sz w:val="16"/>
          <w:szCs w:val="16"/>
        </w:rPr>
        <w:softHyphen/>
        <w:t>торы охлаждения. Машинное отделение оборудовалось углекислот-ной станцией пожаротушения (3898).</w:t>
      </w:r>
    </w:p>
    <w:p w14:paraId="17DDC46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31C4ABD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"днепровских" (малых) бронекатеров (пр. 1125) велось также ленинградским Речсудопроектом несколько по</w:t>
      </w:r>
      <w:r w:rsidRPr="00C33834">
        <w:rPr>
          <w:rFonts w:ascii="Times New Roman" w:hAnsi="Times New Roman"/>
          <w:color w:val="000000" w:themeColor="text1"/>
          <w:sz w:val="16"/>
          <w:szCs w:val="16"/>
        </w:rPr>
        <w:softHyphen/>
        <w:t>зже, но на тех же принципах и конструктивных решениях и под ру</w:t>
      </w:r>
      <w:r w:rsidRPr="00C33834">
        <w:rPr>
          <w:rFonts w:ascii="Times New Roman" w:hAnsi="Times New Roman"/>
          <w:color w:val="000000" w:themeColor="text1"/>
          <w:sz w:val="16"/>
          <w:szCs w:val="16"/>
        </w:rPr>
        <w:softHyphen/>
        <w:t>ководством того же Ю. Ю. Бенуа. Стремление к унификации отча</w:t>
      </w:r>
      <w:r w:rsidRPr="00C33834">
        <w:rPr>
          <w:rFonts w:ascii="Times New Roman" w:hAnsi="Times New Roman"/>
          <w:color w:val="000000" w:themeColor="text1"/>
          <w:sz w:val="16"/>
          <w:szCs w:val="16"/>
        </w:rPr>
        <w:softHyphen/>
        <w:t>сти отрицательно повлияло на качество проекта и самого катера. Малый бронекатер имел одновальную установку с одним двигате</w:t>
      </w:r>
      <w:r w:rsidRPr="00C33834">
        <w:rPr>
          <w:rFonts w:ascii="Times New Roman" w:hAnsi="Times New Roman"/>
          <w:color w:val="000000" w:themeColor="text1"/>
          <w:sz w:val="16"/>
          <w:szCs w:val="16"/>
        </w:rPr>
        <w:softHyphen/>
        <w:t>лем ГАМ-34, а следовательно и худшие маневренность и живучесть по сравнению с пр. 1124. В некоторой степени этот недостаток ис</w:t>
      </w:r>
      <w:r w:rsidRPr="00C33834">
        <w:rPr>
          <w:rFonts w:ascii="Times New Roman" w:hAnsi="Times New Roman"/>
          <w:color w:val="000000" w:themeColor="text1"/>
          <w:sz w:val="16"/>
          <w:szCs w:val="16"/>
        </w:rPr>
        <w:softHyphen/>
        <w:t>купался меньшей осадкой катера (3898).</w:t>
      </w:r>
    </w:p>
    <w:p w14:paraId="61020E3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26E7E7B0" w14:textId="77777777" w:rsidR="00FD662C"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29B01C03"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42F671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в ВВС была проведена перепись летно-технического состава (505,106).</w:t>
      </w:r>
    </w:p>
    <w:p w14:paraId="0992F2E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657DC3C3" w14:textId="77777777" w:rsidR="005F1848" w:rsidRPr="00C33834" w:rsidRDefault="005F1848"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24CBF7FE" w14:textId="77777777" w:rsidR="005F1848" w:rsidRPr="00C33834" w:rsidRDefault="005F184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FF5912F" w14:textId="77777777" w:rsidR="005F1848" w:rsidRPr="00C33834" w:rsidRDefault="005F184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Август 1933. Первые телефоны общественного пользования установлены в коридорах коммунальных квартир и в парадных домов. Каждому абоненту вручили ключ от ящика, в котором помещался телефон. Замок ящика сконструирован так, что ключ вынимается только после запора замка (18722).</w:t>
      </w:r>
    </w:p>
    <w:p w14:paraId="4ACF7D9B" w14:textId="77777777" w:rsidR="005F1848" w:rsidRPr="00C33834" w:rsidRDefault="005F1848" w:rsidP="00C33834">
      <w:pPr>
        <w:spacing w:after="0" w:line="240" w:lineRule="auto"/>
        <w:jc w:val="both"/>
        <w:rPr>
          <w:rFonts w:ascii="Times New Roman" w:hAnsi="Times New Roman"/>
          <w:color w:val="000000" w:themeColor="text1"/>
          <w:sz w:val="16"/>
          <w:szCs w:val="16"/>
        </w:rPr>
      </w:pPr>
    </w:p>
    <w:p w14:paraId="151292BB"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0493C73C"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44EFE3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г. СССР снял часть войск со своей западной границы с Польшей и направил их на Дальний Восток, предоставил Польше крупные заказы на поставку железа (РГВА, ф. 33987, оп. 3, д. 504, л. 153.). Тем временем обе стороны шаг за шагом, постепенно, поэтапно повели дело к сворачиванию своих связей. После отказа Москвы от совместного производства химических опытов («Томка») и дальнейшей деятельности танковой школы в Казани (30 мая и 13 июня) германский военный атташе Хартман 22 июля 1933 г. передал советской стороне меморандум, в котором излагалось решение главнокомандующего райхсвером о прекращении обучения летчиков-истребителей в Липецке в связи с «необходимостью железной экономии» и невозможностью для райхсвера производить новые крупные капитальные затраты для обновления материальной части авиационной школы (РГВА, ф. 33987, оп. 3, д. 504, л. 153.). Таким образом, все три школы райхсвера на территории СССР должны были прекратить свое существование. Однако, дабы сохранить для внешнего мира видимость продолжения сотрудничества между РККА и райхсвером, от имени германского главкома предлагалось осуществлять в дальнейшем обмен офицерами и специалистами, обмен сообщениями и опытом. Все постройки и сооружения в Липецке было обещано передать в распоряжение советской стороны. Меморандум Хартмана Ворошилов направил Сталину (РГВА, ф. 33987, оп. 3, д. 504, л. 153.). Однако Москва пошла дальше. Наряду с ликвидацией школ райхсвера, которая пошла полным ходом по утвержденному Ворошиловым в конце июля 1933г. графику, она отказалась направить командиров РККА на осмотр частей райхсвера. В ответ военный атташе Германии Хартман 8 августа 1933г. направил письмо заместителю начальника внешних сношений Штаба РККА Смагину с извещением о невозможности направить германских офицеров на учения частей РККА в конце летнего периода «по уже раньше обозначенным причинам» (нехватка денежных средств). На документе стоит изумительная по краткости и емкости резолюция Ворошилова: «Очень хорошо! В. 15. 8. 1933 г. » (РГВА, ф. 33987, оп. 3, д. 504, л. 153.), из которой видно, что данный ответный шаг немецкой стороны полностью вписывался в намеченную Москвой кампанию по ускоренному сворачиванию сотрудничества между РККА и райхсвером. Кстати сказать, немцев очень сильно задел и отказ советской стороны направить краскомов на курсы германской военной академии, поскольку «отказ от дальнейшего обмена офицерами и военными сведениями не предполагался» (РГВА, ф. 33987, оп. 3, д. 504, л. 153.). В соответствии с упоминавшимся графиком ликвидации предприятий «друзей» к 15 августа должна была быть закончена ликвидация «Томки», к 1 октября — «Липецка», к 1 — 15 октября — «Казани»{53}. Менее чем за месяц (26 июля — 15 августа)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 — 50 тыс. золотых руб. (РГВА, ф. 33987, оп. 3, д. 504, л. 153.).</w:t>
      </w:r>
    </w:p>
    <w:p w14:paraId="557B97B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01790EF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года в одном из парижских домов случился пожар. Среди пострадавших был некто Л. Дюккенной. Осматривая место происшествия, полиция обнаружила более десяти брошюр военного министерства с грифом «секретно» и подробным описанием новых самолетов, 37-мм пушки, тяжелой артиллерии, танков и другой техники (Даллин Д. Шпионаж по-советски. — М., 2001, с. 58—59.) (11765).</w:t>
      </w:r>
    </w:p>
    <w:p w14:paraId="1C40FE3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04664D7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японский специалист Хирота предложил план нанесения упреждающего удара по аэродромам Приморья (там стояли ТБ-3) силами палубной авиации, не считаясь с возможными потерями (1854).</w:t>
      </w:r>
    </w:p>
    <w:p w14:paraId="63B5C0E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4EB54B3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г. известный японский военный специалист Хирота предложил план нанесения упреждающего удара по аэродромам Приморья силами палубной авиации, не считаясь ни с потерями самолетов, ни с возможной гибелью авианосцев. В штабах советских авиабригад ВВС ОКДВА лежали запечатанные пакеты с указанием целей в Японии, Маньчжурии и Корее. Экипажи ТБ-3 учились летать ночью и в облаках, ориентироваться над тайгой и над морем. В частности, штурманам пришлось осваивать морские карты, строившиеся в другой проекции - Меркатора (7668).</w:t>
      </w:r>
    </w:p>
    <w:p w14:paraId="1C148768" w14:textId="5BB0E806"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2CC20EC4" w14:textId="7982591E" w:rsidR="001836B7" w:rsidRPr="00C33834" w:rsidRDefault="001836B7" w:rsidP="00C33834">
      <w:pPr>
        <w:autoSpaceDE w:val="0"/>
        <w:autoSpaceDN w:val="0"/>
        <w:adjustRightInd w:val="0"/>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За рубежом:</w:t>
      </w:r>
    </w:p>
    <w:p w14:paraId="1394C3F6" w14:textId="77777777" w:rsidR="001836B7" w:rsidRPr="00C33834" w:rsidRDefault="001836B7" w:rsidP="00C33834">
      <w:pPr>
        <w:autoSpaceDE w:val="0"/>
        <w:autoSpaceDN w:val="0"/>
        <w:adjustRightInd w:val="0"/>
        <w:spacing w:after="0" w:line="240" w:lineRule="auto"/>
        <w:jc w:val="both"/>
        <w:rPr>
          <w:rFonts w:ascii="Times New Roman" w:hAnsi="Times New Roman"/>
          <w:i/>
          <w:iCs/>
          <w:color w:val="000000" w:themeColor="text1"/>
          <w:sz w:val="16"/>
          <w:szCs w:val="16"/>
        </w:rPr>
      </w:pPr>
    </w:p>
    <w:p w14:paraId="0C507F1F" w14:textId="77777777" w:rsidR="001836B7" w:rsidRPr="00C33834" w:rsidRDefault="001836B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августе 1933 авиация Французской армии, Aéronautique Militaire, становится независимой службой в ВВС Франции ( Armée де l'Air ) (20802).</w:t>
      </w:r>
    </w:p>
    <w:p w14:paraId="07296FC1" w14:textId="77777777" w:rsidR="001836B7" w:rsidRPr="00C33834" w:rsidRDefault="001836B7" w:rsidP="00C33834">
      <w:pPr>
        <w:spacing w:after="0" w:line="240" w:lineRule="auto"/>
        <w:jc w:val="both"/>
        <w:rPr>
          <w:rFonts w:ascii="Times New Roman" w:hAnsi="Times New Roman"/>
          <w:color w:val="0070C0"/>
          <w:sz w:val="16"/>
          <w:szCs w:val="16"/>
        </w:rPr>
      </w:pPr>
    </w:p>
    <w:p w14:paraId="5A9B5A40"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4E22F4E"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43D85F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августе-сентябре 1933 г. из-за нехватки отечественных колес пришлось выпустить партию самолетов Р-5 с импортными колесами "Палмер", правда, при этом завод письменно обязался заменить их при первой возможности.</w:t>
      </w:r>
    </w:p>
    <w:p w14:paraId="0748811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Надо сказать, что в воинских частях к первым сериям самолетов с тормозными колесами отнеслись неодобрительно. Тормоза работали ненадежно. Вскоре начали ломаться оси. Оказалось, что на заводе их делают второпях, оставляют заусенцы, забывают снимать фаски. Смазки вообше не оказалось. Присланные самолеты перед эксплуатацией приходилось разбирать и проверять.</w:t>
      </w:r>
    </w:p>
    <w:p w14:paraId="038DF41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тормозов увеличила нагрузку на амортизаторы, с мая 1934 г. из строевых частей посыпались жалобы на быстрый износ внутренней трубы, скользившей в наружной.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выпушенной в октябре 1934 г. (12034).</w:t>
      </w:r>
    </w:p>
    <w:p w14:paraId="77DA569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0E39EF0D"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F947EBE"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ECF21A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г.—марте 1934 г. инженеры фирмы "Дешимаг" разработали эскизный про</w:t>
      </w:r>
      <w:r w:rsidRPr="00C33834">
        <w:rPr>
          <w:rFonts w:ascii="Times New Roman" w:hAnsi="Times New Roman"/>
          <w:color w:val="000000" w:themeColor="text1"/>
          <w:sz w:val="16"/>
          <w:szCs w:val="16"/>
        </w:rPr>
        <w:softHyphen/>
        <w:t>ект, подкрепленный расчетами, и руководили разработкой общего проекта. Воплощали общий проект в рабочие чертежи примени</w:t>
      </w:r>
      <w:r w:rsidRPr="00C33834">
        <w:rPr>
          <w:rFonts w:ascii="Times New Roman" w:hAnsi="Times New Roman"/>
          <w:color w:val="000000" w:themeColor="text1"/>
          <w:sz w:val="16"/>
          <w:szCs w:val="16"/>
        </w:rPr>
        <w:softHyphen/>
        <w:t>тельно к отечественной промышленности инженеры специального КБ, временно выделенного из ЦКБС-2 под руководством назначен</w:t>
      </w:r>
      <w:r w:rsidRPr="00C33834">
        <w:rPr>
          <w:rFonts w:ascii="Times New Roman" w:hAnsi="Times New Roman"/>
          <w:color w:val="000000" w:themeColor="text1"/>
          <w:sz w:val="16"/>
          <w:szCs w:val="16"/>
        </w:rPr>
        <w:softHyphen/>
        <w:t>ного 4 апреля 1934 г. приказом по Главморпрому С. Г. Туркова. Помощниками Туркова по караблестроительной, механической и электротехнической частям были инженеры В. Н. Перегудов, В. Ф. Критский и Д. В. Судравский соответственно. Общая органи</w:t>
      </w:r>
      <w:r w:rsidRPr="00C33834">
        <w:rPr>
          <w:rFonts w:ascii="Times New Roman" w:hAnsi="Times New Roman"/>
          <w:color w:val="000000" w:themeColor="text1"/>
          <w:sz w:val="16"/>
          <w:szCs w:val="16"/>
        </w:rPr>
        <w:softHyphen/>
        <w:t>зация взаимодействия КБ и заводов в ходе проектирования и по</w:t>
      </w:r>
      <w:r w:rsidRPr="00C33834">
        <w:rPr>
          <w:rFonts w:ascii="Times New Roman" w:hAnsi="Times New Roman"/>
          <w:color w:val="000000" w:themeColor="text1"/>
          <w:sz w:val="16"/>
          <w:szCs w:val="16"/>
        </w:rPr>
        <w:softHyphen/>
        <w:t>стройки первых трех лодок (закладка — ноябрь 1934 г., испытания головной — в конце 1935 г.) возлагалась на главного инженера Главморпрома П. Г. Гойнкиса, организация проектирования — на главного инженера ЦКБС-2 Б. М. Малинина, постройка — на ди</w:t>
      </w:r>
      <w:r w:rsidRPr="00C33834">
        <w:rPr>
          <w:rFonts w:ascii="Times New Roman" w:hAnsi="Times New Roman"/>
          <w:color w:val="000000" w:themeColor="text1"/>
          <w:sz w:val="16"/>
          <w:szCs w:val="16"/>
        </w:rPr>
        <w:softHyphen/>
        <w:t>ректора Балтийского завода Б. Я. Стрельцова (3898).</w:t>
      </w:r>
    </w:p>
    <w:p w14:paraId="4B49F8D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6FDBA099"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57AD07A4"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40AF46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 августа 1933 по февраль 1934 года в три этапа проводилась “паспортизация на железнодорожном транспорте”. Первоначально паспортизация проводилась на Октябрьской, Мурманской, Западной, Юго-Западной, Екатерининской, Южных, Уссурийской и Забайкальской железных дорогах. Затем на Закавказской, Северо-Кавказской, Юго-Восточной, Пермской, Самаро-Златоустовской и Рязано-Уральской, в последнюю очередь — на Средне-Азиатской, Туркестано-Сибирской, Томской, Омской, Московско-Казанской, Северной и Московско-Курской дорогах. Серия секретных приказов ОГПУ ставила основной задачей при выдаче паспортов рабочим и служащим железнодорожного транспорта “тщательное выявление и точное установление их социального положения” </w:t>
      </w:r>
      <w:r w:rsidRPr="00C33834">
        <w:rPr>
          <w:rFonts w:ascii="Times New Roman" w:hAnsi="Times New Roman"/>
          <w:color w:val="000000" w:themeColor="text1"/>
          <w:sz w:val="16"/>
          <w:szCs w:val="16"/>
          <w:vertAlign w:val="superscript"/>
        </w:rPr>
        <w:t>6</w:t>
      </w:r>
      <w:r w:rsidRPr="00C33834">
        <w:rPr>
          <w:rFonts w:ascii="Times New Roman" w:hAnsi="Times New Roman"/>
          <w:color w:val="000000" w:themeColor="text1"/>
          <w:sz w:val="16"/>
          <w:szCs w:val="16"/>
        </w:rPr>
        <w:t>. Для этого предлагалось использовать не только материалы оперативного учета, которые велись на всех явных и тайных “врагов советской власти” в ОГПУ и милиции, но и данные, поступившие от добровольных помощников — политотделов, профсоюзных, партийных организаций и “отдельных лиц”, то есть секретных осведомителей (в просторечии — стукачей). В результате принятых мер транспортные органы ОГПУ выявили и “отсеяли” (термин, используемый милицией) тех, чье положение определялось советской властью как социально чуждое и враждебное. Эта акция закрепляла разделение территории страны на “зоны”. Следующий этап паспортизации превращал территорию “вблизи железных дорог” в режимную (9985).</w:t>
      </w:r>
    </w:p>
    <w:p w14:paraId="534DB98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67D341CA"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2E8FC2BE"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C2EBD2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августе-сентябре 1933 все немецкие военные объекты в России были ликвидированы (1131,32).</w:t>
      </w:r>
    </w:p>
    <w:p w14:paraId="081A671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77F2B25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августе-сентябре 1933 г. СССР посетил видный французский государственный деятель Э. Эррио. Ему был показан ряд военных, в т. ч. авиационных, объектов. В сентябре 1933 г. в СССР нанес визит военный министр Франции П. Кот. Он посетил Киев, Харьков, Москву, авиационный завод в Филях и завод по производству авиамоторов. В начале 1934 г. произошел обмен военно-воздушными атташе. При этом «французов не оставляло ощущение, что инициатива к сближению исходила от советской стороны». (Подробнее см.: Орлов Б. М. Указ, соч.).) (11784).</w:t>
      </w:r>
    </w:p>
    <w:p w14:paraId="34B1195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0925CECA" w14:textId="77777777" w:rsidR="005F1848" w:rsidRPr="00C33834" w:rsidRDefault="005F1848"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A7AC6FF" w14:textId="77777777" w:rsidR="005F1848" w:rsidRPr="00C33834" w:rsidRDefault="005F184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330CD2D" w14:textId="77777777" w:rsidR="005F1848" w:rsidRPr="00C33834" w:rsidRDefault="005F184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конце лета 1933 г. планер СК-6 был построен и испы тан. Планер выполнялся по схеме двухместного двухбалочного среднеплана смешанной конструкции с деревянным кры ло и с короткой и широкой центральной гондолой (кабиной летчика и пассажира), выполненной из магниевого сплава «электрон». Фюзеляжные балки на планере заканчивались вер тикальными килями, поверх которых устанавливался стаби лизатор. Размеры гондолы обеспечивали размещение в ней двигательной установки с ЖРД (19586).</w:t>
      </w:r>
    </w:p>
    <w:p w14:paraId="223BF517" w14:textId="77777777" w:rsidR="005F1848" w:rsidRPr="00C33834" w:rsidRDefault="005F184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136409B"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9595E90"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48D95A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осени 1933 закончилось изготовление первого ЦКБ-3 (6593).</w:t>
      </w:r>
    </w:p>
    <w:p w14:paraId="46B2EB4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58F7F04F" w14:textId="77777777" w:rsidR="005F1848" w:rsidRPr="00C33834" w:rsidRDefault="005F1848" w:rsidP="00C33834">
      <w:pPr>
        <w:pStyle w:val="27"/>
        <w:shd w:val="clear" w:color="auto" w:fill="auto"/>
        <w:spacing w:after="0" w:line="240" w:lineRule="auto"/>
        <w:ind w:firstLine="0"/>
        <w:rPr>
          <w:rFonts w:ascii="Times New Roman" w:cs="Times New Roman"/>
          <w:color w:val="000000" w:themeColor="text1"/>
          <w:spacing w:val="0"/>
        </w:rPr>
      </w:pPr>
      <w:r w:rsidRPr="00C33834">
        <w:rPr>
          <w:rFonts w:ascii="Times New Roman" w:cs="Times New Roman"/>
          <w:color w:val="000000" w:themeColor="text1"/>
          <w:spacing w:val="0"/>
        </w:rPr>
        <w:t>К осени 1933 первый ЦКБ-3 построили. Рулежки, первые подлеты и, естественно, доделки начались в октябре. Летал испытатель Валерий Чкалов. В ноябре выпал снег, поэтому колеса заменили на лыжи от самолета И-</w:t>
      </w:r>
      <w:r w:rsidRPr="00C33834">
        <w:rPr>
          <w:rFonts w:ascii="Times New Roman" w:cs="Times New Roman"/>
          <w:color w:val="000000" w:themeColor="text1"/>
          <w:spacing w:val="0"/>
          <w:lang w:val="en-US"/>
        </w:rPr>
        <w:t>Z</w:t>
      </w:r>
      <w:r w:rsidRPr="00C33834">
        <w:rPr>
          <w:rFonts w:ascii="Times New Roman" w:cs="Times New Roman"/>
          <w:color w:val="000000" w:themeColor="text1"/>
          <w:spacing w:val="0"/>
        </w:rPr>
        <w:t>. Произошло это 18 ноября, а спустя пять дней случилась первая неприятность. 23 ноября во время длительного пикирования ЦКБ-3 со скоростью около 400 км/ч сорвалось ушко крепления растяжки левой лыжи. Носок лыжи опустился, и ее развернуло поперек потока. Случай в те време</w:t>
      </w:r>
      <w:r w:rsidRPr="00C33834">
        <w:rPr>
          <w:rFonts w:ascii="Times New Roman" w:cs="Times New Roman"/>
          <w:color w:val="000000" w:themeColor="text1"/>
          <w:spacing w:val="0"/>
        </w:rPr>
        <w:softHyphen/>
        <w:t>на не редкий, но досадный; шансов приземлиться благополучно практически не оставалось, и самолет на посадке перевернул</w:t>
      </w:r>
      <w:r w:rsidRPr="00C33834">
        <w:rPr>
          <w:rFonts w:ascii="Times New Roman" w:cs="Times New Roman"/>
          <w:color w:val="000000" w:themeColor="text1"/>
          <w:spacing w:val="0"/>
        </w:rPr>
        <w:softHyphen/>
        <w:t>ся. Чкалов не пострадал, но первый опытный экземпляр вышел из строя. Позднее его восстановили как самолет для достиже</w:t>
      </w:r>
      <w:r w:rsidRPr="00C33834">
        <w:rPr>
          <w:rFonts w:ascii="Times New Roman" w:cs="Times New Roman"/>
          <w:color w:val="000000" w:themeColor="text1"/>
          <w:spacing w:val="0"/>
        </w:rPr>
        <w:softHyphen/>
        <w:t>ния рекорда высоты (19107).</w:t>
      </w:r>
    </w:p>
    <w:p w14:paraId="3ACADC6B" w14:textId="77777777" w:rsidR="005F1848" w:rsidRPr="00C33834" w:rsidRDefault="005F1848" w:rsidP="00C33834">
      <w:pPr>
        <w:spacing w:after="0" w:line="240" w:lineRule="auto"/>
        <w:jc w:val="both"/>
        <w:rPr>
          <w:rFonts w:ascii="Times New Roman" w:hAnsi="Times New Roman"/>
          <w:color w:val="000000" w:themeColor="text1"/>
          <w:sz w:val="16"/>
          <w:szCs w:val="16"/>
        </w:rPr>
      </w:pPr>
    </w:p>
    <w:p w14:paraId="1376C6E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осени 1933 закончилось изготовление первого ЦКБ-3. Рулежки, первые подлеты и, естественно, доделки начались в октябре. Летал испытатель Валерий Чкалов. В ноябре выпал снег, поэтому колеса заменили на лыжи от самолета И-Z. Произошло это 18 ноября, а спустя пять дней случилась первая неприятность (12014).</w:t>
      </w:r>
    </w:p>
    <w:p w14:paraId="4EB9FB3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4FE83325" w14:textId="77777777" w:rsidR="006A4DAE" w:rsidRPr="00C33834" w:rsidRDefault="006A4DA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осени 1933 изготовление первого ЦКБ-3 завершили. Рулёжки, первые подлёты и, естественно, доделки начались в октябре. Облётывал машину В.П. Чкалов. В ноябре выпал снег, поэтому колёса заменили на лыжи от истребителя И-2. Произошло это 18 ноября, а спустя пять дней случи-лась первая неприятность (12261).</w:t>
      </w:r>
    </w:p>
    <w:p w14:paraId="19FEE012" w14:textId="77777777" w:rsidR="006A4DAE" w:rsidRPr="00C33834" w:rsidRDefault="006A4DAE" w:rsidP="00C33834">
      <w:pPr>
        <w:spacing w:after="0" w:line="240" w:lineRule="auto"/>
        <w:jc w:val="both"/>
        <w:rPr>
          <w:rFonts w:ascii="Times New Roman" w:hAnsi="Times New Roman"/>
          <w:color w:val="000000" w:themeColor="text1"/>
          <w:sz w:val="16"/>
          <w:szCs w:val="16"/>
        </w:rPr>
      </w:pPr>
    </w:p>
    <w:p w14:paraId="61E6CCE8"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6E4FCD39"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68107F6" w14:textId="77777777" w:rsidR="00FD662C" w:rsidRPr="00C33834" w:rsidRDefault="00FD662C" w:rsidP="00C33834">
      <w:pPr>
        <w:widowControl w:val="0"/>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осени 1933 г. опытный об</w:t>
      </w:r>
      <w:r w:rsidRPr="00C33834">
        <w:rPr>
          <w:rFonts w:ascii="Times New Roman" w:hAnsi="Times New Roman"/>
          <w:color w:val="000000" w:themeColor="text1"/>
          <w:sz w:val="16"/>
          <w:szCs w:val="16"/>
        </w:rPr>
        <w:softHyphen/>
        <w:t>разец тягача на базе Т-27 был готов для государственных испы</w:t>
      </w:r>
      <w:r w:rsidRPr="00C33834">
        <w:rPr>
          <w:rFonts w:ascii="Times New Roman" w:hAnsi="Times New Roman"/>
          <w:color w:val="000000" w:themeColor="text1"/>
          <w:sz w:val="16"/>
          <w:szCs w:val="16"/>
        </w:rPr>
        <w:softHyphen/>
        <w:t>таний. В конструкцию танкетки Т-27 были внесены следующие изменения:</w:t>
      </w:r>
    </w:p>
    <w:p w14:paraId="1F1B0C6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Верхние колпаки (входные люки) сня</w:t>
      </w:r>
      <w:r w:rsidRPr="00C33834">
        <w:rPr>
          <w:rFonts w:ascii="Times New Roman" w:hAnsi="Times New Roman"/>
          <w:color w:val="000000" w:themeColor="text1"/>
          <w:sz w:val="16"/>
          <w:szCs w:val="16"/>
        </w:rPr>
        <w:softHyphen/>
        <w:t>ты, вместо них верхняя часть корпуса подня</w:t>
      </w:r>
      <w:r w:rsidRPr="00C33834">
        <w:rPr>
          <w:rFonts w:ascii="Times New Roman" w:hAnsi="Times New Roman"/>
          <w:color w:val="000000" w:themeColor="text1"/>
          <w:sz w:val="16"/>
          <w:szCs w:val="16"/>
        </w:rPr>
        <w:softHyphen/>
        <w:t>та с таким расчетом, чтобы при занятии свое</w:t>
      </w:r>
      <w:r w:rsidRPr="00C33834">
        <w:rPr>
          <w:rFonts w:ascii="Times New Roman" w:hAnsi="Times New Roman"/>
          <w:color w:val="000000" w:themeColor="text1"/>
          <w:sz w:val="16"/>
          <w:szCs w:val="16"/>
        </w:rPr>
        <w:softHyphen/>
        <w:t>го места водителем, голова его закрыта вер</w:t>
      </w:r>
      <w:r w:rsidRPr="00C33834">
        <w:rPr>
          <w:rFonts w:ascii="Times New Roman" w:hAnsi="Times New Roman"/>
          <w:color w:val="000000" w:themeColor="text1"/>
          <w:sz w:val="16"/>
          <w:szCs w:val="16"/>
        </w:rPr>
        <w:softHyphen/>
        <w:t>тикальными стенками корпуса тягача. Верх</w:t>
      </w:r>
      <w:r w:rsidRPr="00C33834">
        <w:rPr>
          <w:rFonts w:ascii="Times New Roman" w:hAnsi="Times New Roman"/>
          <w:color w:val="000000" w:themeColor="text1"/>
          <w:sz w:val="16"/>
          <w:szCs w:val="16"/>
        </w:rPr>
        <w:softHyphen/>
        <w:t>няя часть корпуса оставлена совершенно от</w:t>
      </w:r>
      <w:r w:rsidRPr="00C33834">
        <w:rPr>
          <w:rFonts w:ascii="Times New Roman" w:hAnsi="Times New Roman"/>
          <w:color w:val="000000" w:themeColor="text1"/>
          <w:sz w:val="16"/>
          <w:szCs w:val="16"/>
        </w:rPr>
        <w:softHyphen/>
        <w:t>крытой, для наблюдения вперед в переднем вертикальном листе брони прорезаны смот</w:t>
      </w:r>
      <w:r w:rsidRPr="00C33834">
        <w:rPr>
          <w:rFonts w:ascii="Times New Roman" w:hAnsi="Times New Roman"/>
          <w:color w:val="000000" w:themeColor="text1"/>
          <w:sz w:val="16"/>
          <w:szCs w:val="16"/>
        </w:rPr>
        <w:softHyphen/>
        <w:t>ровые щели.</w:t>
      </w:r>
    </w:p>
    <w:p w14:paraId="6BB7D9C8" w14:textId="77777777" w:rsidR="00FD662C" w:rsidRPr="00C33834" w:rsidRDefault="00FD662C" w:rsidP="00C33834">
      <w:pPr>
        <w:tabs>
          <w:tab w:val="left" w:pos="514"/>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На месте бензинового бака установ</w:t>
      </w:r>
      <w:r w:rsidRPr="00C33834">
        <w:rPr>
          <w:rFonts w:ascii="Times New Roman" w:hAnsi="Times New Roman"/>
          <w:color w:val="000000" w:themeColor="text1"/>
          <w:sz w:val="16"/>
          <w:szCs w:val="16"/>
        </w:rPr>
        <w:softHyphen/>
        <w:t>лен дополнительный бачок для системы ох</w:t>
      </w:r>
      <w:r w:rsidRPr="00C33834">
        <w:rPr>
          <w:rFonts w:ascii="Times New Roman" w:hAnsi="Times New Roman"/>
          <w:color w:val="000000" w:themeColor="text1"/>
          <w:sz w:val="16"/>
          <w:szCs w:val="16"/>
        </w:rPr>
        <w:softHyphen/>
        <w:t>лаждения.</w:t>
      </w:r>
    </w:p>
    <w:p w14:paraId="072AABFF" w14:textId="77777777" w:rsidR="00FD662C" w:rsidRPr="00C33834" w:rsidRDefault="00FD662C" w:rsidP="00C33834">
      <w:pPr>
        <w:tabs>
          <w:tab w:val="left" w:pos="471"/>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Ящики для боеприпасов (расположен</w:t>
      </w:r>
      <w:r w:rsidRPr="00C33834">
        <w:rPr>
          <w:rFonts w:ascii="Times New Roman" w:hAnsi="Times New Roman"/>
          <w:color w:val="000000" w:themeColor="text1"/>
          <w:sz w:val="16"/>
          <w:szCs w:val="16"/>
        </w:rPr>
        <w:softHyphen/>
        <w:t>ные по сторонам) использованы для распо</w:t>
      </w:r>
      <w:r w:rsidRPr="00C33834">
        <w:rPr>
          <w:rFonts w:ascii="Times New Roman" w:hAnsi="Times New Roman"/>
          <w:color w:val="000000" w:themeColor="text1"/>
          <w:sz w:val="16"/>
          <w:szCs w:val="16"/>
        </w:rPr>
        <w:softHyphen/>
        <w:t>ложения в них баков для бензина общей ем</w:t>
      </w:r>
      <w:r w:rsidRPr="00C33834">
        <w:rPr>
          <w:rFonts w:ascii="Times New Roman" w:hAnsi="Times New Roman"/>
          <w:color w:val="000000" w:themeColor="text1"/>
          <w:sz w:val="16"/>
          <w:szCs w:val="16"/>
        </w:rPr>
        <w:softHyphen/>
        <w:t>костью в 100л.</w:t>
      </w:r>
    </w:p>
    <w:p w14:paraId="0B14FD2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К задней стенке корпуса приклепаны две серьги для шарнирного соединения (при помощи пальцев) прицепного прибора».</w:t>
      </w:r>
    </w:p>
    <w:p w14:paraId="3F3F83E6" w14:textId="77777777" w:rsidR="00FD662C" w:rsidRPr="00C33834" w:rsidRDefault="00FD662C" w:rsidP="00C33834">
      <w:pPr>
        <w:widowControl w:val="0"/>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Общая масса тягача на базе Т-27 с зап</w:t>
      </w:r>
      <w:r w:rsidRPr="00C33834">
        <w:rPr>
          <w:rFonts w:ascii="Times New Roman" w:hAnsi="Times New Roman"/>
          <w:color w:val="000000" w:themeColor="text1"/>
          <w:sz w:val="16"/>
          <w:szCs w:val="16"/>
        </w:rPr>
        <w:softHyphen/>
        <w:t>равкой бензина и без водителя составляла 2000 кг. Ширина равнялась 1800 мм, а высо</w:t>
      </w:r>
      <w:r w:rsidRPr="00C33834">
        <w:rPr>
          <w:rFonts w:ascii="Times New Roman" w:hAnsi="Times New Roman"/>
          <w:color w:val="000000" w:themeColor="text1"/>
          <w:sz w:val="16"/>
          <w:szCs w:val="16"/>
        </w:rPr>
        <w:softHyphen/>
        <w:t>та — 1420 мм. С каждой стороны машины было установлено по бензобаку на 100 л. Ем</w:t>
      </w:r>
      <w:r w:rsidRPr="00C33834">
        <w:rPr>
          <w:rFonts w:ascii="Times New Roman" w:hAnsi="Times New Roman"/>
          <w:color w:val="000000" w:themeColor="text1"/>
          <w:sz w:val="16"/>
          <w:szCs w:val="16"/>
        </w:rPr>
        <w:softHyphen/>
        <w:t>кость системы охлаждения была доведена до 34 л за счет установки дополнительного бач</w:t>
      </w:r>
      <w:r w:rsidRPr="00C33834">
        <w:rPr>
          <w:rFonts w:ascii="Times New Roman" w:hAnsi="Times New Roman"/>
          <w:color w:val="000000" w:themeColor="text1"/>
          <w:sz w:val="16"/>
          <w:szCs w:val="16"/>
        </w:rPr>
        <w:softHyphen/>
        <w:t>ка над двигателем.</w:t>
      </w:r>
    </w:p>
    <w:p w14:paraId="02B3EF24" w14:textId="77777777" w:rsidR="00FD662C" w:rsidRPr="00C33834" w:rsidRDefault="00FD662C" w:rsidP="00C33834">
      <w:pPr>
        <w:widowControl w:val="0"/>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Государственные испытания тягача про</w:t>
      </w:r>
      <w:r w:rsidRPr="00C33834">
        <w:rPr>
          <w:rFonts w:ascii="Times New Roman" w:hAnsi="Times New Roman"/>
          <w:color w:val="000000" w:themeColor="text1"/>
          <w:sz w:val="16"/>
          <w:szCs w:val="16"/>
        </w:rPr>
        <w:softHyphen/>
        <w:t>шли на НИАБТ полигоне УММ РККА в несколь</w:t>
      </w:r>
      <w:r w:rsidRPr="00C33834">
        <w:rPr>
          <w:rFonts w:ascii="Times New Roman" w:hAnsi="Times New Roman"/>
          <w:color w:val="000000" w:themeColor="text1"/>
          <w:sz w:val="16"/>
          <w:szCs w:val="16"/>
        </w:rPr>
        <w:softHyphen/>
        <w:t>ко этапов — с осени 1933 г. по осень 1934 г. Целью испытаний являлась оценка танкетки Т-27 с точки зрения ее использования без су</w:t>
      </w:r>
      <w:r w:rsidRPr="00C33834">
        <w:rPr>
          <w:rFonts w:ascii="Times New Roman" w:hAnsi="Times New Roman"/>
          <w:color w:val="000000" w:themeColor="text1"/>
          <w:sz w:val="16"/>
          <w:szCs w:val="16"/>
        </w:rPr>
        <w:softHyphen/>
        <w:t>щественных переделок в качестве тягача, а также подбор прицепных нагрузок, наиболее соответствующих тяговым усилиям тягачей (нормальные и максимальные нагрузки). Предстояло определить износ наименее на</w:t>
      </w:r>
      <w:r w:rsidRPr="00C33834">
        <w:rPr>
          <w:rFonts w:ascii="Times New Roman" w:hAnsi="Times New Roman"/>
          <w:color w:val="000000" w:themeColor="text1"/>
          <w:sz w:val="16"/>
          <w:szCs w:val="16"/>
        </w:rPr>
        <w:softHyphen/>
        <w:t>дежных деталей (катков, рессор, главного фрикциона и сцепного прибора), тяговые ха</w:t>
      </w:r>
      <w:r w:rsidRPr="00C33834">
        <w:rPr>
          <w:rFonts w:ascii="Times New Roman" w:hAnsi="Times New Roman"/>
          <w:color w:val="000000" w:themeColor="text1"/>
          <w:sz w:val="16"/>
          <w:szCs w:val="16"/>
        </w:rPr>
        <w:softHyphen/>
        <w:t>рактеристики при разных скоростях на наи</w:t>
      </w:r>
      <w:r w:rsidRPr="00C33834">
        <w:rPr>
          <w:rFonts w:ascii="Times New Roman" w:hAnsi="Times New Roman"/>
          <w:color w:val="000000" w:themeColor="text1"/>
          <w:sz w:val="16"/>
          <w:szCs w:val="16"/>
        </w:rPr>
        <w:softHyphen/>
        <w:t>более характерных грунтах, оценить удобство управления и маневренность, зафиксировать максимальную и среднюю скорости движе</w:t>
      </w:r>
      <w:r w:rsidRPr="00C33834">
        <w:rPr>
          <w:rFonts w:ascii="Times New Roman" w:hAnsi="Times New Roman"/>
          <w:color w:val="000000" w:themeColor="text1"/>
          <w:sz w:val="16"/>
          <w:szCs w:val="16"/>
        </w:rPr>
        <w:softHyphen/>
        <w:t>ния, предельные преодолеваемые подъемы и расход горючего.</w:t>
      </w:r>
    </w:p>
    <w:p w14:paraId="4BE9F0B9" w14:textId="77777777" w:rsidR="00FD662C" w:rsidRPr="00C33834" w:rsidRDefault="00FD662C" w:rsidP="00C33834">
      <w:pPr>
        <w:widowControl w:val="0"/>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Первоначальная программа испытаний предполагала пробеги протяженностью 150 км по различным типам грунтов с прице</w:t>
      </w:r>
      <w:r w:rsidRPr="00C33834">
        <w:rPr>
          <w:rFonts w:ascii="Times New Roman" w:hAnsi="Times New Roman"/>
          <w:color w:val="000000" w:themeColor="text1"/>
          <w:sz w:val="16"/>
          <w:szCs w:val="16"/>
        </w:rPr>
        <w:softHyphen/>
        <w:t>пами массой 1,2 т и 3 т. Испытания несколь</w:t>
      </w:r>
      <w:r w:rsidRPr="00C33834">
        <w:rPr>
          <w:rFonts w:ascii="Times New Roman" w:hAnsi="Times New Roman"/>
          <w:color w:val="000000" w:themeColor="text1"/>
          <w:sz w:val="16"/>
          <w:szCs w:val="16"/>
        </w:rPr>
        <w:softHyphen/>
        <w:t>ко раз прерывались авариями и следовавши</w:t>
      </w:r>
      <w:r w:rsidRPr="00C33834">
        <w:rPr>
          <w:rFonts w:ascii="Times New Roman" w:hAnsi="Times New Roman"/>
          <w:color w:val="000000" w:themeColor="text1"/>
          <w:sz w:val="16"/>
          <w:szCs w:val="16"/>
        </w:rPr>
        <w:softHyphen/>
        <w:t>ми за ними ремонтами, которые наглядно де</w:t>
      </w:r>
      <w:r w:rsidRPr="00C33834">
        <w:rPr>
          <w:rFonts w:ascii="Times New Roman" w:hAnsi="Times New Roman"/>
          <w:color w:val="000000" w:themeColor="text1"/>
          <w:sz w:val="16"/>
          <w:szCs w:val="16"/>
        </w:rPr>
        <w:softHyphen/>
        <w:t xml:space="preserve">монстрировали общую низкую прочность и малую надежность </w:t>
      </w:r>
      <w:r w:rsidRPr="00C33834">
        <w:rPr>
          <w:rFonts w:ascii="Times New Roman" w:hAnsi="Times New Roman"/>
          <w:color w:val="000000" w:themeColor="text1"/>
          <w:sz w:val="16"/>
          <w:szCs w:val="16"/>
        </w:rPr>
        <w:lastRenderedPageBreak/>
        <w:t>танкетки Т-27. Но уж очень велико было желание военных получить лег</w:t>
      </w:r>
      <w:r w:rsidRPr="00C33834">
        <w:rPr>
          <w:rFonts w:ascii="Times New Roman" w:hAnsi="Times New Roman"/>
          <w:color w:val="000000" w:themeColor="text1"/>
          <w:sz w:val="16"/>
          <w:szCs w:val="16"/>
        </w:rPr>
        <w:softHyphen/>
        <w:t>кий бронированный тягач!</w:t>
      </w:r>
    </w:p>
    <w:p w14:paraId="68C4CF56" w14:textId="77777777" w:rsidR="00FD662C" w:rsidRPr="00C33834" w:rsidRDefault="00FD662C" w:rsidP="00C33834">
      <w:pPr>
        <w:widowControl w:val="0"/>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тягача Т-27 начались пробегом по бездорожью со множеством ухабов и вы</w:t>
      </w:r>
      <w:r w:rsidRPr="00C33834">
        <w:rPr>
          <w:rFonts w:ascii="Times New Roman" w:hAnsi="Times New Roman"/>
          <w:color w:val="000000" w:themeColor="text1"/>
          <w:sz w:val="16"/>
          <w:szCs w:val="16"/>
        </w:rPr>
        <w:softHyphen/>
        <w:t>боин. В качестве прицепа использовалась гу</w:t>
      </w:r>
      <w:r w:rsidRPr="00C33834">
        <w:rPr>
          <w:rFonts w:ascii="Times New Roman" w:hAnsi="Times New Roman"/>
          <w:color w:val="000000" w:themeColor="text1"/>
          <w:sz w:val="16"/>
          <w:szCs w:val="16"/>
        </w:rPr>
        <w:softHyphen/>
        <w:t>сеничная прицепка «Карден-Ллойд» с грузом 1 т. Через 5 км пробега произошла авария: дви</w:t>
      </w:r>
      <w:r w:rsidRPr="00C33834">
        <w:rPr>
          <w:rFonts w:ascii="Times New Roman" w:hAnsi="Times New Roman"/>
          <w:color w:val="000000" w:themeColor="text1"/>
          <w:sz w:val="16"/>
          <w:szCs w:val="16"/>
        </w:rPr>
        <w:softHyphen/>
        <w:t>гатель машины работал, но вращение на ве</w:t>
      </w:r>
      <w:r w:rsidRPr="00C33834">
        <w:rPr>
          <w:rFonts w:ascii="Times New Roman" w:hAnsi="Times New Roman"/>
          <w:color w:val="000000" w:themeColor="text1"/>
          <w:sz w:val="16"/>
          <w:szCs w:val="16"/>
        </w:rPr>
        <w:softHyphen/>
        <w:t>дущие колеса не передавалось. После разбор</w:t>
      </w:r>
      <w:r w:rsidRPr="00C33834">
        <w:rPr>
          <w:rFonts w:ascii="Times New Roman" w:hAnsi="Times New Roman"/>
          <w:color w:val="000000" w:themeColor="text1"/>
          <w:sz w:val="16"/>
          <w:szCs w:val="16"/>
        </w:rPr>
        <w:softHyphen/>
        <w:t>ки дифференциала выяснилось, что он пришел в полную негодность: зубья шестерен полу</w:t>
      </w:r>
      <w:r w:rsidRPr="00C33834">
        <w:rPr>
          <w:rFonts w:ascii="Times New Roman" w:hAnsi="Times New Roman"/>
          <w:color w:val="000000" w:themeColor="text1"/>
          <w:sz w:val="16"/>
          <w:szCs w:val="16"/>
        </w:rPr>
        <w:softHyphen/>
        <w:t>осей были сорваны, шестерни сателлитов раз</w:t>
      </w:r>
      <w:r w:rsidRPr="00C33834">
        <w:rPr>
          <w:rFonts w:ascii="Times New Roman" w:hAnsi="Times New Roman"/>
          <w:color w:val="000000" w:themeColor="text1"/>
          <w:sz w:val="16"/>
          <w:szCs w:val="16"/>
        </w:rPr>
        <w:softHyphen/>
        <w:t>рушены на мелкие части, коробка сателлитов с внутренней стороны по окружности получи</w:t>
      </w:r>
      <w:r w:rsidRPr="00C33834">
        <w:rPr>
          <w:rFonts w:ascii="Times New Roman" w:hAnsi="Times New Roman"/>
          <w:color w:val="000000" w:themeColor="text1"/>
          <w:sz w:val="16"/>
          <w:szCs w:val="16"/>
        </w:rPr>
        <w:softHyphen/>
        <w:t>ла ряд глубоких задиров и забоин, на поверх</w:t>
      </w:r>
      <w:r w:rsidRPr="00C33834">
        <w:rPr>
          <w:rFonts w:ascii="Times New Roman" w:hAnsi="Times New Roman"/>
          <w:color w:val="000000" w:themeColor="text1"/>
          <w:sz w:val="16"/>
          <w:szCs w:val="16"/>
        </w:rPr>
        <w:softHyphen/>
        <w:t>ности осей сателлитов крестовины дифферен</w:t>
      </w:r>
      <w:r w:rsidRPr="00C33834">
        <w:rPr>
          <w:rFonts w:ascii="Times New Roman" w:hAnsi="Times New Roman"/>
          <w:color w:val="000000" w:themeColor="text1"/>
          <w:sz w:val="16"/>
          <w:szCs w:val="16"/>
        </w:rPr>
        <w:softHyphen/>
        <w:t>циальной коробки образовались задиры, а на коронной шестерне срезались четыре шпиль</w:t>
      </w:r>
      <w:r w:rsidRPr="00C33834">
        <w:rPr>
          <w:rFonts w:ascii="Times New Roman" w:hAnsi="Times New Roman"/>
          <w:color w:val="000000" w:themeColor="text1"/>
          <w:sz w:val="16"/>
          <w:szCs w:val="16"/>
        </w:rPr>
        <w:softHyphen/>
        <w:t>ки. Причиной поломки сочли то, что нагрузка в 1 т на гусеничном ходу при движении в осен</w:t>
      </w:r>
      <w:r w:rsidRPr="00C33834">
        <w:rPr>
          <w:rFonts w:ascii="Times New Roman" w:hAnsi="Times New Roman"/>
          <w:color w:val="000000" w:themeColor="text1"/>
          <w:sz w:val="16"/>
          <w:szCs w:val="16"/>
        </w:rPr>
        <w:softHyphen/>
        <w:t>нее время по грязи (особенно по ухабам) яви</w:t>
      </w:r>
      <w:r w:rsidRPr="00C33834">
        <w:rPr>
          <w:rFonts w:ascii="Times New Roman" w:hAnsi="Times New Roman"/>
          <w:color w:val="000000" w:themeColor="text1"/>
          <w:sz w:val="16"/>
          <w:szCs w:val="16"/>
        </w:rPr>
        <w:softHyphen/>
        <w:t>лась выше предельной для тягача Т-27, что и вызвало поломку дифференциала. После за</w:t>
      </w:r>
      <w:r w:rsidRPr="00C33834">
        <w:rPr>
          <w:rFonts w:ascii="Times New Roman" w:hAnsi="Times New Roman"/>
          <w:color w:val="000000" w:themeColor="text1"/>
          <w:sz w:val="16"/>
          <w:szCs w:val="16"/>
        </w:rPr>
        <w:softHyphen/>
        <w:t>мены дифференциала в январе 1934 г. маши</w:t>
      </w:r>
      <w:r w:rsidRPr="00C33834">
        <w:rPr>
          <w:rFonts w:ascii="Times New Roman" w:hAnsi="Times New Roman"/>
          <w:color w:val="000000" w:themeColor="text1"/>
          <w:sz w:val="16"/>
          <w:szCs w:val="16"/>
        </w:rPr>
        <w:softHyphen/>
        <w:t>на вновь прошла испытания пробегом на шос</w:t>
      </w:r>
      <w:r w:rsidRPr="00C33834">
        <w:rPr>
          <w:rFonts w:ascii="Times New Roman" w:hAnsi="Times New Roman"/>
          <w:color w:val="000000" w:themeColor="text1"/>
          <w:sz w:val="16"/>
          <w:szCs w:val="16"/>
        </w:rPr>
        <w:softHyphen/>
        <w:t>се и проселке — также с груженой прицепкой «Карден-Ллойд» общей массой 1,2 т.</w:t>
      </w:r>
    </w:p>
    <w:p w14:paraId="6152F6D3" w14:textId="77777777" w:rsidR="00FD662C" w:rsidRPr="00C33834" w:rsidRDefault="00FD662C" w:rsidP="00C33834">
      <w:pPr>
        <w:widowControl w:val="0"/>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шоссе, на ровном месте, тягач Т-27 с нагрузкой двигался с периодическими про</w:t>
      </w:r>
      <w:r w:rsidRPr="00C33834">
        <w:rPr>
          <w:rFonts w:ascii="Times New Roman" w:hAnsi="Times New Roman"/>
          <w:color w:val="000000" w:themeColor="text1"/>
          <w:sz w:val="16"/>
          <w:szCs w:val="16"/>
        </w:rPr>
        <w:softHyphen/>
        <w:t>буксовками, что иногда вынуждало отцеплять прицепку, менять направление движения, а затем присоединять прицепку к машине, На подъем в 4—5' длиной 300 м тягач двигался периодически, буксуя на месте и меняя на</w:t>
      </w:r>
      <w:r w:rsidRPr="00C33834">
        <w:rPr>
          <w:rFonts w:ascii="Times New Roman" w:hAnsi="Times New Roman"/>
          <w:color w:val="000000" w:themeColor="text1"/>
          <w:sz w:val="16"/>
          <w:szCs w:val="16"/>
        </w:rPr>
        <w:softHyphen/>
        <w:t>правление движения (два раза отцеплялась прицепка). На ровном участке проселка, по</w:t>
      </w:r>
      <w:r w:rsidRPr="00C33834">
        <w:rPr>
          <w:rFonts w:ascii="Times New Roman" w:hAnsi="Times New Roman"/>
          <w:color w:val="000000" w:themeColor="text1"/>
          <w:sz w:val="16"/>
          <w:szCs w:val="16"/>
        </w:rPr>
        <w:softHyphen/>
        <w:t>крытом снегом, тягач Т-27 с прицепкой оста</w:t>
      </w:r>
      <w:r w:rsidRPr="00C33834">
        <w:rPr>
          <w:rFonts w:ascii="Times New Roman" w:hAnsi="Times New Roman"/>
          <w:color w:val="000000" w:themeColor="text1"/>
          <w:sz w:val="16"/>
          <w:szCs w:val="16"/>
        </w:rPr>
        <w:softHyphen/>
        <w:t>навливался через каждые 5—10 мин. В от</w:t>
      </w:r>
      <w:r w:rsidRPr="00C33834">
        <w:rPr>
          <w:rFonts w:ascii="Times New Roman" w:hAnsi="Times New Roman"/>
          <w:color w:val="000000" w:themeColor="text1"/>
          <w:sz w:val="16"/>
          <w:szCs w:val="16"/>
        </w:rPr>
        <w:softHyphen/>
        <w:t>дельных случаях сдвинуть с места прицепку с грузом не удавалось.</w:t>
      </w:r>
    </w:p>
    <w:p w14:paraId="46D3DBA9" w14:textId="77777777" w:rsidR="00FD662C" w:rsidRPr="00C33834" w:rsidRDefault="00FD662C" w:rsidP="00C33834">
      <w:pPr>
        <w:widowControl w:val="0"/>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общей сложности тягач прошел по шос</w:t>
      </w:r>
      <w:r w:rsidRPr="00C33834">
        <w:rPr>
          <w:rFonts w:ascii="Times New Roman" w:hAnsi="Times New Roman"/>
          <w:color w:val="000000" w:themeColor="text1"/>
          <w:sz w:val="16"/>
          <w:szCs w:val="16"/>
        </w:rPr>
        <w:softHyphen/>
        <w:t>се 14 км. Из общего времени 5 ч 5 мин на ос</w:t>
      </w:r>
      <w:r w:rsidRPr="00C33834">
        <w:rPr>
          <w:rFonts w:ascii="Times New Roman" w:hAnsi="Times New Roman"/>
          <w:color w:val="000000" w:themeColor="text1"/>
          <w:sz w:val="16"/>
          <w:szCs w:val="16"/>
        </w:rPr>
        <w:softHyphen/>
        <w:t>тановки ушло 1 ч 34 мин, на буксование — 1 ч 46 мин. Средняя техническая скорость с на</w:t>
      </w:r>
      <w:r w:rsidRPr="00C33834">
        <w:rPr>
          <w:rFonts w:ascii="Times New Roman" w:hAnsi="Times New Roman"/>
          <w:color w:val="000000" w:themeColor="text1"/>
          <w:sz w:val="16"/>
          <w:szCs w:val="16"/>
        </w:rPr>
        <w:softHyphen/>
        <w:t>грузкой в 1,2 т на крюке составляла 8 км/ч. В ходе пробега гусеницы тягача Т-27 два раза забивались снегом и между ленивцем и гу</w:t>
      </w:r>
      <w:r w:rsidRPr="00C33834">
        <w:rPr>
          <w:rFonts w:ascii="Times New Roman" w:hAnsi="Times New Roman"/>
          <w:color w:val="000000" w:themeColor="text1"/>
          <w:sz w:val="16"/>
          <w:szCs w:val="16"/>
        </w:rPr>
        <w:softHyphen/>
        <w:t>сеницей образовывался слой льда, что вызы</w:t>
      </w:r>
      <w:r w:rsidRPr="00C33834">
        <w:rPr>
          <w:rFonts w:ascii="Times New Roman" w:hAnsi="Times New Roman"/>
          <w:color w:val="000000" w:themeColor="text1"/>
          <w:sz w:val="16"/>
          <w:szCs w:val="16"/>
        </w:rPr>
        <w:softHyphen/>
        <w:t>вало удары ведомых колес о гусеницы.</w:t>
      </w:r>
    </w:p>
    <w:p w14:paraId="489EC886" w14:textId="77777777" w:rsidR="00FD662C" w:rsidRPr="00C33834" w:rsidRDefault="00FD662C" w:rsidP="00C33834">
      <w:pPr>
        <w:widowControl w:val="0"/>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время зимнего пробега отказал глав</w:t>
      </w:r>
      <w:r w:rsidRPr="00C33834">
        <w:rPr>
          <w:rFonts w:ascii="Times New Roman" w:hAnsi="Times New Roman"/>
          <w:color w:val="000000" w:themeColor="text1"/>
          <w:sz w:val="16"/>
          <w:szCs w:val="16"/>
        </w:rPr>
        <w:softHyphen/>
        <w:t>ный фрикцион. После разборки сцепления было установлено, что лопнул в двух местах (по диаметру) ведомый диск и оторвалась втулка от остальной части диска (по окруж</w:t>
      </w:r>
      <w:r w:rsidRPr="00C33834">
        <w:rPr>
          <w:rFonts w:ascii="Times New Roman" w:hAnsi="Times New Roman"/>
          <w:color w:val="000000" w:themeColor="text1"/>
          <w:sz w:val="16"/>
          <w:szCs w:val="16"/>
        </w:rPr>
        <w:softHyphen/>
        <w:t>ности), а также отломились ушки крепления картера маховика (12081).</w:t>
      </w:r>
    </w:p>
    <w:p w14:paraId="0E7F8643" w14:textId="77777777" w:rsidR="00FD662C" w:rsidRPr="00C33834" w:rsidRDefault="00FD662C" w:rsidP="00C3383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4E7A0D"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6AD2A06"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C32183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сентябрю 1933 готовность МГ достигла 25%, а к концу 1933 г. - 60%. Поставка оборудования и комплектующих осуществлялась более чем сотней предприятий со всей страны.</w:t>
      </w:r>
    </w:p>
    <w:p w14:paraId="38D7253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ходе постройки Завод опытных конструкций регулярно отчитывался как перед комиссией, так и перед ГУАП. Ходом создания самолета-гиганта интересовалось и высшее руководство страны, включая И.В. Сталина.</w:t>
      </w:r>
    </w:p>
    <w:p w14:paraId="30BB437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Никакого военного оборудования на МГ ставить не собирались. Но военный вариант продолжал прорабатываться параллельно с агитационным (12024). </w:t>
      </w:r>
    </w:p>
    <w:p w14:paraId="1B16E9B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5910FD00"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BC6DBF0"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6F0787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состоялся первый полет АНТ-25 РД с М-34Р (237,167).</w:t>
      </w:r>
    </w:p>
    <w:p w14:paraId="2249D42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055BD59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была закончена постройка РД-дублера (АНТ-25, РД-2) с М-34 Р (2072,72) (1102).</w:t>
      </w:r>
    </w:p>
    <w:p w14:paraId="2F1E1FB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31B417E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состоялся второй полет К-7 (392,108).</w:t>
      </w:r>
    </w:p>
    <w:p w14:paraId="65060A5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второй круговой полет был 22 сентября 1933</w:t>
      </w:r>
    </w:p>
    <w:p w14:paraId="33C80E3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1CD52C1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состоялось совещание в Глававиапроме о передаче производства ТБ-4 заводу 18 (1077,179).</w:t>
      </w:r>
    </w:p>
    <w:p w14:paraId="39085FD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1151A8E1"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года Главный инженер-механик ВВС Аузан утвердил Отчет испытания самолета И5 № 4302 с мотором М22 винт фирмы Шварц Д=2,75 Н=2,3 (6639).</w:t>
      </w:r>
    </w:p>
    <w:p w14:paraId="04C87730"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19912FCD"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 Часовиков</w:t>
      </w:r>
    </w:p>
    <w:p w14:paraId="71E38A43"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 Сузи</w:t>
      </w:r>
    </w:p>
    <w:p w14:paraId="413C0E6C"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3802163C"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Снятие летной характеристики с самолета И5 М22 с винтом фирмы Шварц и дачи эксплуатационной оценки покрытия винта вышеуказанной фирмы.</w:t>
      </w:r>
    </w:p>
    <w:p w14:paraId="431BBCD6"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Краткие результаты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5A4D0CAB" w14:textId="77777777">
        <w:tc>
          <w:tcPr>
            <w:tcW w:w="5636" w:type="dxa"/>
          </w:tcPr>
          <w:p w14:paraId="1A282AB2"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Горизонтальные скорости у земли</w:t>
            </w:r>
          </w:p>
        </w:tc>
        <w:tc>
          <w:tcPr>
            <w:tcW w:w="5636" w:type="dxa"/>
          </w:tcPr>
          <w:p w14:paraId="11FAB70C"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265 км/час</w:t>
            </w:r>
          </w:p>
        </w:tc>
      </w:tr>
      <w:tr w:rsidR="00F26F01" w:rsidRPr="00C33834" w14:paraId="14F9E20B" w14:textId="77777777">
        <w:tc>
          <w:tcPr>
            <w:tcW w:w="5636" w:type="dxa"/>
          </w:tcPr>
          <w:p w14:paraId="58EBD6A2"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Горизонтальная скорость на 3000 м</w:t>
            </w:r>
          </w:p>
        </w:tc>
        <w:tc>
          <w:tcPr>
            <w:tcW w:w="5636" w:type="dxa"/>
          </w:tcPr>
          <w:p w14:paraId="6A95EEDF"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258 км/час</w:t>
            </w:r>
          </w:p>
        </w:tc>
      </w:tr>
      <w:tr w:rsidR="00F26F01" w:rsidRPr="00C33834" w14:paraId="4F9E0BE7" w14:textId="77777777">
        <w:tc>
          <w:tcPr>
            <w:tcW w:w="5636" w:type="dxa"/>
          </w:tcPr>
          <w:p w14:paraId="51616B3B"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Горизонтальная скорость на 5000 м</w:t>
            </w:r>
          </w:p>
        </w:tc>
        <w:tc>
          <w:tcPr>
            <w:tcW w:w="5636" w:type="dxa"/>
          </w:tcPr>
          <w:p w14:paraId="215B88DB"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246 км/час</w:t>
            </w:r>
          </w:p>
        </w:tc>
      </w:tr>
      <w:tr w:rsidR="00F26F01" w:rsidRPr="00C33834" w14:paraId="5EADF864" w14:textId="77777777">
        <w:tc>
          <w:tcPr>
            <w:tcW w:w="5636" w:type="dxa"/>
          </w:tcPr>
          <w:p w14:paraId="7D3B8EA8"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5000 м</w:t>
            </w:r>
          </w:p>
        </w:tc>
        <w:tc>
          <w:tcPr>
            <w:tcW w:w="5636" w:type="dxa"/>
          </w:tcPr>
          <w:p w14:paraId="70DCB8E4"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12-15 мин</w:t>
            </w:r>
          </w:p>
        </w:tc>
      </w:tr>
    </w:tbl>
    <w:p w14:paraId="531EEE04"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649DF98D" w14:textId="77777777" w:rsidR="00FD662C" w:rsidRPr="00C33834" w:rsidRDefault="00FD662C"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возможности перехода на легкие породы дерева для винтов считать необходимым в первом полугодии 1934 года выпустить партию в 10 штук опытных винтов типа Шварца, спроектировав их под самолет ТБ3-4М17 (6 винтов) и Р5-М17 (4 винта) (6639).</w:t>
      </w:r>
    </w:p>
    <w:p w14:paraId="1B7B77DB" w14:textId="77777777" w:rsidR="00FD662C" w:rsidRPr="00C33834" w:rsidRDefault="00FD662C"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B1DA0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был закончен постройкой ЛР М-34Н (2287,127).</w:t>
      </w:r>
    </w:p>
    <w:p w14:paraId="44065E1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4353810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года была подготовлена справка Состояние работ по опытным образцам: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2898"/>
        <w:gridCol w:w="2898"/>
        <w:gridCol w:w="2898"/>
      </w:tblGrid>
      <w:tr w:rsidR="00F26F01" w:rsidRPr="00C33834" w14:paraId="0513ED3F" w14:textId="77777777">
        <w:tc>
          <w:tcPr>
            <w:tcW w:w="2898" w:type="dxa"/>
          </w:tcPr>
          <w:p w14:paraId="7588BA2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w:t>
            </w:r>
          </w:p>
        </w:tc>
        <w:tc>
          <w:tcPr>
            <w:tcW w:w="2898" w:type="dxa"/>
          </w:tcPr>
          <w:p w14:paraId="1959A21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w:t>
            </w:r>
          </w:p>
        </w:tc>
        <w:tc>
          <w:tcPr>
            <w:tcW w:w="2898" w:type="dxa"/>
          </w:tcPr>
          <w:p w14:paraId="1EAC0A0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Состояние</w:t>
            </w:r>
          </w:p>
        </w:tc>
        <w:tc>
          <w:tcPr>
            <w:tcW w:w="2898" w:type="dxa"/>
          </w:tcPr>
          <w:p w14:paraId="49094E7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tc>
      </w:tr>
      <w:tr w:rsidR="00F26F01" w:rsidRPr="00C33834" w14:paraId="59D2C26C" w14:textId="77777777">
        <w:tc>
          <w:tcPr>
            <w:tcW w:w="2898" w:type="dxa"/>
          </w:tcPr>
          <w:p w14:paraId="68813E5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ТБ4-6М34</w:t>
            </w:r>
          </w:p>
        </w:tc>
        <w:tc>
          <w:tcPr>
            <w:tcW w:w="2898" w:type="dxa"/>
          </w:tcPr>
          <w:p w14:paraId="414148C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августа 1933 года</w:t>
            </w:r>
          </w:p>
        </w:tc>
        <w:tc>
          <w:tcPr>
            <w:tcW w:w="2898" w:type="dxa"/>
          </w:tcPr>
          <w:p w14:paraId="0091C47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Вышел на аэродром для испытаний.</w:t>
            </w:r>
          </w:p>
        </w:tc>
        <w:tc>
          <w:tcPr>
            <w:tcW w:w="2898" w:type="dxa"/>
          </w:tcPr>
          <w:p w14:paraId="732B290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Экземпляр считается неудовлетворит. Новый образец будет строиться с 8 моторами М34.</w:t>
            </w:r>
          </w:p>
        </w:tc>
      </w:tr>
      <w:tr w:rsidR="00F26F01" w:rsidRPr="00C33834" w14:paraId="1E527418" w14:textId="77777777">
        <w:tc>
          <w:tcPr>
            <w:tcW w:w="2898" w:type="dxa"/>
          </w:tcPr>
          <w:p w14:paraId="0579816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 НР</w:t>
            </w:r>
          </w:p>
        </w:tc>
        <w:tc>
          <w:tcPr>
            <w:tcW w:w="2898" w:type="dxa"/>
          </w:tcPr>
          <w:p w14:paraId="2167046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1934 года</w:t>
            </w:r>
          </w:p>
        </w:tc>
        <w:tc>
          <w:tcPr>
            <w:tcW w:w="2898" w:type="dxa"/>
          </w:tcPr>
          <w:p w14:paraId="0821643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Связано с готовностью мотора.</w:t>
            </w:r>
          </w:p>
        </w:tc>
        <w:tc>
          <w:tcPr>
            <w:tcW w:w="2898" w:type="dxa"/>
          </w:tcPr>
          <w:p w14:paraId="040DBE8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6740A92" w14:textId="77777777">
        <w:tc>
          <w:tcPr>
            <w:tcW w:w="2898" w:type="dxa"/>
          </w:tcPr>
          <w:p w14:paraId="5C3C81A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МИ3-2М34</w:t>
            </w:r>
          </w:p>
        </w:tc>
        <w:tc>
          <w:tcPr>
            <w:tcW w:w="2898" w:type="dxa"/>
          </w:tcPr>
          <w:p w14:paraId="1846C1B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года</w:t>
            </w:r>
          </w:p>
        </w:tc>
        <w:tc>
          <w:tcPr>
            <w:tcW w:w="2898" w:type="dxa"/>
          </w:tcPr>
          <w:p w14:paraId="6D81EEA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аэродр., испыт. будут переделки.</w:t>
            </w:r>
          </w:p>
        </w:tc>
        <w:tc>
          <w:tcPr>
            <w:tcW w:w="2898" w:type="dxa"/>
          </w:tcPr>
          <w:p w14:paraId="2CAD7BD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D9E94AA" w14:textId="77777777">
        <w:tc>
          <w:tcPr>
            <w:tcW w:w="2898" w:type="dxa"/>
          </w:tcPr>
          <w:p w14:paraId="7CC6505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МК1-6М34 НР</w:t>
            </w:r>
          </w:p>
        </w:tc>
        <w:tc>
          <w:tcPr>
            <w:tcW w:w="2898" w:type="dxa"/>
          </w:tcPr>
          <w:p w14:paraId="5F05EB0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1934 года</w:t>
            </w:r>
          </w:p>
        </w:tc>
        <w:tc>
          <w:tcPr>
            <w:tcW w:w="2898" w:type="dxa"/>
          </w:tcPr>
          <w:p w14:paraId="011582D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Постановление о гидросамолетостр. Выполняется. </w:t>
            </w:r>
          </w:p>
        </w:tc>
        <w:tc>
          <w:tcPr>
            <w:tcW w:w="2898" w:type="dxa"/>
          </w:tcPr>
          <w:p w14:paraId="314A620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1A74347" w14:textId="77777777">
        <w:tc>
          <w:tcPr>
            <w:tcW w:w="2898" w:type="dxa"/>
          </w:tcPr>
          <w:p w14:paraId="17B9E3A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МДР4-3М34 НР</w:t>
            </w:r>
          </w:p>
        </w:tc>
        <w:tc>
          <w:tcPr>
            <w:tcW w:w="2898" w:type="dxa"/>
          </w:tcPr>
          <w:p w14:paraId="515EA3F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1934 года</w:t>
            </w:r>
          </w:p>
        </w:tc>
        <w:tc>
          <w:tcPr>
            <w:tcW w:w="2898" w:type="dxa"/>
          </w:tcPr>
          <w:p w14:paraId="36C42DD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Зависит от мотора.</w:t>
            </w:r>
          </w:p>
        </w:tc>
        <w:tc>
          <w:tcPr>
            <w:tcW w:w="2898" w:type="dxa"/>
          </w:tcPr>
          <w:p w14:paraId="1F1EF4E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71164F1" w14:textId="77777777">
        <w:tc>
          <w:tcPr>
            <w:tcW w:w="2898" w:type="dxa"/>
          </w:tcPr>
          <w:p w14:paraId="08CCB51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ЛР-М34</w:t>
            </w:r>
          </w:p>
        </w:tc>
        <w:tc>
          <w:tcPr>
            <w:tcW w:w="2898" w:type="dxa"/>
          </w:tcPr>
          <w:p w14:paraId="304BF2F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года</w:t>
            </w:r>
          </w:p>
        </w:tc>
        <w:tc>
          <w:tcPr>
            <w:tcW w:w="2898" w:type="dxa"/>
          </w:tcPr>
          <w:p w14:paraId="6CB5019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898" w:type="dxa"/>
          </w:tcPr>
          <w:p w14:paraId="770B498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3817F0F" w14:textId="77777777">
        <w:tc>
          <w:tcPr>
            <w:tcW w:w="2898" w:type="dxa"/>
          </w:tcPr>
          <w:p w14:paraId="415A266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ТШ3-М34</w:t>
            </w:r>
          </w:p>
        </w:tc>
        <w:tc>
          <w:tcPr>
            <w:tcW w:w="2898" w:type="dxa"/>
          </w:tcPr>
          <w:p w14:paraId="3A7F0CE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февраля 1934 года</w:t>
            </w:r>
          </w:p>
        </w:tc>
        <w:tc>
          <w:tcPr>
            <w:tcW w:w="2898" w:type="dxa"/>
          </w:tcPr>
          <w:p w14:paraId="371E3C6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Развер. работы. </w:t>
            </w:r>
          </w:p>
        </w:tc>
        <w:tc>
          <w:tcPr>
            <w:tcW w:w="2898" w:type="dxa"/>
          </w:tcPr>
          <w:p w14:paraId="1E00106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E1FF1BB" w14:textId="77777777">
        <w:tc>
          <w:tcPr>
            <w:tcW w:w="2898" w:type="dxa"/>
          </w:tcPr>
          <w:p w14:paraId="19F414C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К14 – Бристоль-Меркур</w:t>
            </w:r>
          </w:p>
        </w:tc>
        <w:tc>
          <w:tcPr>
            <w:tcW w:w="2898" w:type="dxa"/>
          </w:tcPr>
          <w:p w14:paraId="43CED8B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июля 1933 года</w:t>
            </w:r>
          </w:p>
        </w:tc>
        <w:tc>
          <w:tcPr>
            <w:tcW w:w="2898" w:type="dxa"/>
          </w:tcPr>
          <w:p w14:paraId="715C889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Фактически будет представлен 1 октября 1933 года. Испытывается.</w:t>
            </w:r>
          </w:p>
        </w:tc>
        <w:tc>
          <w:tcPr>
            <w:tcW w:w="2898" w:type="dxa"/>
          </w:tcPr>
          <w:p w14:paraId="05F11E3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C0F52F0" w14:textId="77777777">
        <w:tc>
          <w:tcPr>
            <w:tcW w:w="2898" w:type="dxa"/>
          </w:tcPr>
          <w:p w14:paraId="7A8941B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И15 – Райт-Циклон</w:t>
            </w:r>
          </w:p>
        </w:tc>
        <w:tc>
          <w:tcPr>
            <w:tcW w:w="2898" w:type="dxa"/>
          </w:tcPr>
          <w:p w14:paraId="7EA9E3F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1933 года</w:t>
            </w:r>
          </w:p>
        </w:tc>
        <w:tc>
          <w:tcPr>
            <w:tcW w:w="2898" w:type="dxa"/>
          </w:tcPr>
          <w:p w14:paraId="569B4B4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Будет закончен.</w:t>
            </w:r>
          </w:p>
        </w:tc>
        <w:tc>
          <w:tcPr>
            <w:tcW w:w="2898" w:type="dxa"/>
          </w:tcPr>
          <w:p w14:paraId="1EA3C6D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E442913" w14:textId="77777777">
        <w:tc>
          <w:tcPr>
            <w:tcW w:w="2898" w:type="dxa"/>
          </w:tcPr>
          <w:p w14:paraId="42ED833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К7-7М34</w:t>
            </w:r>
          </w:p>
        </w:tc>
        <w:tc>
          <w:tcPr>
            <w:tcW w:w="2898" w:type="dxa"/>
          </w:tcPr>
          <w:p w14:paraId="2CCF165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1933 года</w:t>
            </w:r>
          </w:p>
        </w:tc>
        <w:tc>
          <w:tcPr>
            <w:tcW w:w="2898" w:type="dxa"/>
          </w:tcPr>
          <w:p w14:paraId="1F98E72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Вышел на испытания.</w:t>
            </w:r>
          </w:p>
        </w:tc>
        <w:tc>
          <w:tcPr>
            <w:tcW w:w="2898" w:type="dxa"/>
          </w:tcPr>
          <w:p w14:paraId="47E81A4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2B9EFA7" w14:textId="77777777">
        <w:tc>
          <w:tcPr>
            <w:tcW w:w="2898" w:type="dxa"/>
          </w:tcPr>
          <w:p w14:paraId="07E8823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ДИП-2М34</w:t>
            </w:r>
          </w:p>
        </w:tc>
        <w:tc>
          <w:tcPr>
            <w:tcW w:w="2898" w:type="dxa"/>
          </w:tcPr>
          <w:p w14:paraId="7DD92AC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1934 года</w:t>
            </w:r>
          </w:p>
        </w:tc>
        <w:tc>
          <w:tcPr>
            <w:tcW w:w="2898" w:type="dxa"/>
          </w:tcPr>
          <w:p w14:paraId="0F4C407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898" w:type="dxa"/>
          </w:tcPr>
          <w:p w14:paraId="7B50B84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6742F0E" w14:textId="77777777">
        <w:tc>
          <w:tcPr>
            <w:tcW w:w="2898" w:type="dxa"/>
          </w:tcPr>
          <w:p w14:paraId="122BC9B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ДИ6 – Райт-Циклон</w:t>
            </w:r>
          </w:p>
        </w:tc>
        <w:tc>
          <w:tcPr>
            <w:tcW w:w="2898" w:type="dxa"/>
          </w:tcPr>
          <w:p w14:paraId="34E52D9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1934 года</w:t>
            </w:r>
          </w:p>
        </w:tc>
        <w:tc>
          <w:tcPr>
            <w:tcW w:w="2898" w:type="dxa"/>
          </w:tcPr>
          <w:p w14:paraId="5713E79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898" w:type="dxa"/>
          </w:tcPr>
          <w:p w14:paraId="31A8092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3B7102C" w14:textId="77777777">
        <w:tc>
          <w:tcPr>
            <w:tcW w:w="2898" w:type="dxa"/>
          </w:tcPr>
          <w:p w14:paraId="023DF8A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ТБ6-10-12-М34</w:t>
            </w:r>
          </w:p>
        </w:tc>
        <w:tc>
          <w:tcPr>
            <w:tcW w:w="2898" w:type="dxa"/>
          </w:tcPr>
          <w:p w14:paraId="1E795DA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1935 года</w:t>
            </w:r>
          </w:p>
        </w:tc>
        <w:tc>
          <w:tcPr>
            <w:tcW w:w="2898" w:type="dxa"/>
          </w:tcPr>
          <w:p w14:paraId="310AF65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ведутся.</w:t>
            </w:r>
          </w:p>
        </w:tc>
        <w:tc>
          <w:tcPr>
            <w:tcW w:w="2898" w:type="dxa"/>
          </w:tcPr>
          <w:p w14:paraId="0C98245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0C500AB" w14:textId="77777777">
        <w:tc>
          <w:tcPr>
            <w:tcW w:w="2898" w:type="dxa"/>
          </w:tcPr>
          <w:p w14:paraId="60F4376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Стратосферный самолет</w:t>
            </w:r>
          </w:p>
        </w:tc>
        <w:tc>
          <w:tcPr>
            <w:tcW w:w="2898" w:type="dxa"/>
          </w:tcPr>
          <w:p w14:paraId="13FE7F4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1934 года</w:t>
            </w:r>
          </w:p>
        </w:tc>
        <w:tc>
          <w:tcPr>
            <w:tcW w:w="2898" w:type="dxa"/>
          </w:tcPr>
          <w:p w14:paraId="256683B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ведутся.</w:t>
            </w:r>
          </w:p>
        </w:tc>
        <w:tc>
          <w:tcPr>
            <w:tcW w:w="2898" w:type="dxa"/>
          </w:tcPr>
          <w:p w14:paraId="68D8D08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329F6C5" w14:textId="77777777">
        <w:tc>
          <w:tcPr>
            <w:tcW w:w="2898" w:type="dxa"/>
          </w:tcPr>
          <w:p w14:paraId="00B7855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Геликоптер ВТ-2</w:t>
            </w:r>
          </w:p>
        </w:tc>
        <w:tc>
          <w:tcPr>
            <w:tcW w:w="2898" w:type="dxa"/>
          </w:tcPr>
          <w:p w14:paraId="1B83906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июля 1933 года</w:t>
            </w:r>
          </w:p>
        </w:tc>
        <w:tc>
          <w:tcPr>
            <w:tcW w:w="2898" w:type="dxa"/>
          </w:tcPr>
          <w:p w14:paraId="2146CC6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испытаниям приступлено. Фактически будет предъявлен 1 октября 1933 года.</w:t>
            </w:r>
          </w:p>
        </w:tc>
        <w:tc>
          <w:tcPr>
            <w:tcW w:w="2898" w:type="dxa"/>
          </w:tcPr>
          <w:p w14:paraId="341C77B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9FD69D0" w14:textId="77777777">
        <w:tc>
          <w:tcPr>
            <w:tcW w:w="2898" w:type="dxa"/>
          </w:tcPr>
          <w:p w14:paraId="3BECBDB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 М-22</w:t>
            </w:r>
          </w:p>
        </w:tc>
        <w:tc>
          <w:tcPr>
            <w:tcW w:w="2898" w:type="dxa"/>
          </w:tcPr>
          <w:p w14:paraId="0437FFD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 года</w:t>
            </w:r>
          </w:p>
        </w:tc>
        <w:tc>
          <w:tcPr>
            <w:tcW w:w="2898" w:type="dxa"/>
          </w:tcPr>
          <w:p w14:paraId="735E781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развернуты.</w:t>
            </w:r>
          </w:p>
        </w:tc>
        <w:tc>
          <w:tcPr>
            <w:tcW w:w="2898" w:type="dxa"/>
          </w:tcPr>
          <w:p w14:paraId="0A32629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09FBB83" w14:textId="77777777">
        <w:tc>
          <w:tcPr>
            <w:tcW w:w="2898" w:type="dxa"/>
          </w:tcPr>
          <w:p w14:paraId="19D12F6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У3-М48</w:t>
            </w:r>
          </w:p>
        </w:tc>
        <w:tc>
          <w:tcPr>
            <w:tcW w:w="2898" w:type="dxa"/>
          </w:tcPr>
          <w:p w14:paraId="09151A6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1934 года</w:t>
            </w:r>
          </w:p>
        </w:tc>
        <w:tc>
          <w:tcPr>
            <w:tcW w:w="2898" w:type="dxa"/>
          </w:tcPr>
          <w:p w14:paraId="09A3996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Подготовительные работы развернуты.</w:t>
            </w:r>
          </w:p>
        </w:tc>
        <w:tc>
          <w:tcPr>
            <w:tcW w:w="2898" w:type="dxa"/>
          </w:tcPr>
          <w:p w14:paraId="6441853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4AE95D1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2898"/>
        <w:gridCol w:w="2898"/>
        <w:gridCol w:w="2898"/>
      </w:tblGrid>
      <w:tr w:rsidR="00F26F01" w:rsidRPr="00C33834" w14:paraId="7D8C2962" w14:textId="77777777">
        <w:tc>
          <w:tcPr>
            <w:tcW w:w="2898" w:type="dxa"/>
          </w:tcPr>
          <w:p w14:paraId="75A526A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М-34Н</w:t>
            </w:r>
          </w:p>
        </w:tc>
        <w:tc>
          <w:tcPr>
            <w:tcW w:w="2898" w:type="dxa"/>
          </w:tcPr>
          <w:p w14:paraId="5BC8B2B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года</w:t>
            </w:r>
          </w:p>
        </w:tc>
        <w:tc>
          <w:tcPr>
            <w:tcW w:w="2898" w:type="dxa"/>
          </w:tcPr>
          <w:p w14:paraId="3D7C7BB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Предъявлен к испытаниям.</w:t>
            </w:r>
          </w:p>
        </w:tc>
        <w:tc>
          <w:tcPr>
            <w:tcW w:w="2898" w:type="dxa"/>
          </w:tcPr>
          <w:p w14:paraId="6BA394B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Редуктор прошел все испытания (ноябрь – 5, декабрь – 15).</w:t>
            </w:r>
          </w:p>
        </w:tc>
      </w:tr>
      <w:tr w:rsidR="00F26F01" w:rsidRPr="00C33834" w14:paraId="0CFF4D5C" w14:textId="77777777">
        <w:tc>
          <w:tcPr>
            <w:tcW w:w="2898" w:type="dxa"/>
          </w:tcPr>
          <w:p w14:paraId="051C81C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М-34 РН</w:t>
            </w:r>
          </w:p>
        </w:tc>
        <w:tc>
          <w:tcPr>
            <w:tcW w:w="2898" w:type="dxa"/>
          </w:tcPr>
          <w:p w14:paraId="31AB556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1933 года</w:t>
            </w:r>
          </w:p>
        </w:tc>
        <w:tc>
          <w:tcPr>
            <w:tcW w:w="2898" w:type="dxa"/>
          </w:tcPr>
          <w:p w14:paraId="14F9484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Будет выд.</w:t>
            </w:r>
          </w:p>
        </w:tc>
        <w:tc>
          <w:tcPr>
            <w:tcW w:w="2898" w:type="dxa"/>
          </w:tcPr>
          <w:p w14:paraId="3A55EA0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Нагнетатель – на испытания в ВВС к 15 сентября результат.</w:t>
            </w:r>
          </w:p>
        </w:tc>
      </w:tr>
      <w:tr w:rsidR="00F26F01" w:rsidRPr="00C33834" w14:paraId="070F5275" w14:textId="77777777">
        <w:tc>
          <w:tcPr>
            <w:tcW w:w="2898" w:type="dxa"/>
          </w:tcPr>
          <w:p w14:paraId="394774D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ФР (форсир.)</w:t>
            </w:r>
          </w:p>
        </w:tc>
        <w:tc>
          <w:tcPr>
            <w:tcW w:w="2898" w:type="dxa"/>
          </w:tcPr>
          <w:p w14:paraId="055A8C0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марта 1934 года</w:t>
            </w:r>
          </w:p>
        </w:tc>
        <w:tc>
          <w:tcPr>
            <w:tcW w:w="2898" w:type="dxa"/>
          </w:tcPr>
          <w:p w14:paraId="7DBB21F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развернуты.</w:t>
            </w:r>
          </w:p>
        </w:tc>
        <w:tc>
          <w:tcPr>
            <w:tcW w:w="2898" w:type="dxa"/>
          </w:tcPr>
          <w:p w14:paraId="0F13D64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07616E6" w14:textId="77777777">
        <w:tc>
          <w:tcPr>
            <w:tcW w:w="2898" w:type="dxa"/>
          </w:tcPr>
          <w:p w14:paraId="71DB19F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ФРН с выключающимся нагнетателем и винтом перемен.</w:t>
            </w:r>
          </w:p>
        </w:tc>
        <w:tc>
          <w:tcPr>
            <w:tcW w:w="2898" w:type="dxa"/>
          </w:tcPr>
          <w:p w14:paraId="7D80BD5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1934 года</w:t>
            </w:r>
          </w:p>
        </w:tc>
        <w:tc>
          <w:tcPr>
            <w:tcW w:w="2898" w:type="dxa"/>
          </w:tcPr>
          <w:p w14:paraId="4EEBFED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Подготовительные работы развертываются.</w:t>
            </w:r>
          </w:p>
        </w:tc>
        <w:tc>
          <w:tcPr>
            <w:tcW w:w="2898" w:type="dxa"/>
          </w:tcPr>
          <w:p w14:paraId="4E9BF79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F08F840" w14:textId="77777777">
        <w:tc>
          <w:tcPr>
            <w:tcW w:w="2898" w:type="dxa"/>
          </w:tcPr>
          <w:p w14:paraId="5D59547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М34 с электрон. карт. </w:t>
            </w:r>
          </w:p>
        </w:tc>
        <w:tc>
          <w:tcPr>
            <w:tcW w:w="2898" w:type="dxa"/>
          </w:tcPr>
          <w:p w14:paraId="470B1E9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1933 года</w:t>
            </w:r>
          </w:p>
        </w:tc>
        <w:tc>
          <w:tcPr>
            <w:tcW w:w="2898" w:type="dxa"/>
          </w:tcPr>
          <w:p w14:paraId="10A094B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с элект. карт. в стадии сборки.</w:t>
            </w:r>
          </w:p>
        </w:tc>
        <w:tc>
          <w:tcPr>
            <w:tcW w:w="2898" w:type="dxa"/>
          </w:tcPr>
          <w:p w14:paraId="7B76FE5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8F838B0" w14:textId="77777777">
        <w:tc>
          <w:tcPr>
            <w:tcW w:w="2898" w:type="dxa"/>
          </w:tcPr>
          <w:p w14:paraId="36286739"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глиссер</w:t>
            </w:r>
          </w:p>
        </w:tc>
        <w:tc>
          <w:tcPr>
            <w:tcW w:w="2898" w:type="dxa"/>
          </w:tcPr>
          <w:p w14:paraId="470CC37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1933 года</w:t>
            </w:r>
          </w:p>
        </w:tc>
        <w:tc>
          <w:tcPr>
            <w:tcW w:w="2898" w:type="dxa"/>
          </w:tcPr>
          <w:p w14:paraId="4FB4345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Передан на испытание.</w:t>
            </w:r>
          </w:p>
        </w:tc>
        <w:tc>
          <w:tcPr>
            <w:tcW w:w="2898" w:type="dxa"/>
          </w:tcPr>
          <w:p w14:paraId="4F49456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3BD4FEA" w14:textId="77777777">
        <w:tc>
          <w:tcPr>
            <w:tcW w:w="2898" w:type="dxa"/>
          </w:tcPr>
          <w:p w14:paraId="75A3A19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М58 с нагнетателем</w:t>
            </w:r>
          </w:p>
        </w:tc>
        <w:tc>
          <w:tcPr>
            <w:tcW w:w="2898" w:type="dxa"/>
          </w:tcPr>
          <w:p w14:paraId="217AD5A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года</w:t>
            </w:r>
          </w:p>
        </w:tc>
        <w:tc>
          <w:tcPr>
            <w:tcW w:w="2898" w:type="dxa"/>
          </w:tcPr>
          <w:p w14:paraId="0064342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стадии заводских испытаний (№ 29 – Запорожье).</w:t>
            </w:r>
          </w:p>
        </w:tc>
        <w:tc>
          <w:tcPr>
            <w:tcW w:w="2898" w:type="dxa"/>
          </w:tcPr>
          <w:p w14:paraId="1F30872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73266EC" w14:textId="77777777">
        <w:tc>
          <w:tcPr>
            <w:tcW w:w="2898" w:type="dxa"/>
          </w:tcPr>
          <w:p w14:paraId="30AF921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М32 с нагнетателем и редуктором</w:t>
            </w:r>
          </w:p>
        </w:tc>
        <w:tc>
          <w:tcPr>
            <w:tcW w:w="2898" w:type="dxa"/>
          </w:tcPr>
          <w:p w14:paraId="5A8413C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1934 года</w:t>
            </w:r>
          </w:p>
        </w:tc>
        <w:tc>
          <w:tcPr>
            <w:tcW w:w="2898" w:type="dxa"/>
          </w:tcPr>
          <w:p w14:paraId="17F8C06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ведутся.</w:t>
            </w:r>
          </w:p>
        </w:tc>
        <w:tc>
          <w:tcPr>
            <w:tcW w:w="2898" w:type="dxa"/>
          </w:tcPr>
          <w:p w14:paraId="3CFAA90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B2A2932" w14:textId="77777777">
        <w:tc>
          <w:tcPr>
            <w:tcW w:w="2898" w:type="dxa"/>
          </w:tcPr>
          <w:p w14:paraId="63A36A9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М44 с нагнетателем</w:t>
            </w:r>
          </w:p>
        </w:tc>
        <w:tc>
          <w:tcPr>
            <w:tcW w:w="2898" w:type="dxa"/>
          </w:tcPr>
          <w:p w14:paraId="0F3CEA4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 года</w:t>
            </w:r>
          </w:p>
        </w:tc>
        <w:tc>
          <w:tcPr>
            <w:tcW w:w="2898" w:type="dxa"/>
          </w:tcPr>
          <w:p w14:paraId="2EF3EA2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Будет собран к этому сроку.</w:t>
            </w:r>
          </w:p>
        </w:tc>
        <w:tc>
          <w:tcPr>
            <w:tcW w:w="2898" w:type="dxa"/>
          </w:tcPr>
          <w:p w14:paraId="5E6A9D8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7390E1A" w14:textId="77777777">
        <w:tc>
          <w:tcPr>
            <w:tcW w:w="2898" w:type="dxa"/>
          </w:tcPr>
          <w:p w14:paraId="5B7B453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М-48</w:t>
            </w:r>
          </w:p>
        </w:tc>
        <w:tc>
          <w:tcPr>
            <w:tcW w:w="2898" w:type="dxa"/>
          </w:tcPr>
          <w:p w14:paraId="231C52D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года</w:t>
            </w:r>
          </w:p>
        </w:tc>
        <w:tc>
          <w:tcPr>
            <w:tcW w:w="2898" w:type="dxa"/>
          </w:tcPr>
          <w:p w14:paraId="10A1AFA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898" w:type="dxa"/>
          </w:tcPr>
          <w:p w14:paraId="25DBAAE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6C09277" w14:textId="77777777">
        <w:tc>
          <w:tcPr>
            <w:tcW w:w="2898" w:type="dxa"/>
          </w:tcPr>
          <w:p w14:paraId="62DEEAA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М-56</w:t>
            </w:r>
          </w:p>
        </w:tc>
        <w:tc>
          <w:tcPr>
            <w:tcW w:w="2898" w:type="dxa"/>
          </w:tcPr>
          <w:p w14:paraId="1CDC5E56"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1934 года</w:t>
            </w:r>
          </w:p>
        </w:tc>
        <w:tc>
          <w:tcPr>
            <w:tcW w:w="2898" w:type="dxa"/>
          </w:tcPr>
          <w:p w14:paraId="4D1BCB0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898" w:type="dxa"/>
          </w:tcPr>
          <w:p w14:paraId="3E48B7D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Воздушное охлаждение, конструкция ЦИАМа.</w:t>
            </w:r>
          </w:p>
        </w:tc>
      </w:tr>
    </w:tbl>
    <w:p w14:paraId="24BF81E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(4223, 26-27).</w:t>
      </w:r>
    </w:p>
    <w:p w14:paraId="61E8186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1FFCB67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года закончились повторные полигонные испытания "ВОМИЗА-250" (Воздушная мина заграждения с 250 кг зарядом взрывчатого вещества), которые начались 4 июля 1933, т.к. первые испытания в ноябре 1932 были прекращены из-за неудовлетворительного действия механизмов отдачи мины от якоря. Испытания производились в Финском заливе с сухопутного аэродрома (Комендантского)"ВОМИЗА-250" самолетами ТБ-1 и ТБ-3. Решили представить на войсковые испытания, которые закончить в навигацию текущего года (3053).</w:t>
      </w:r>
    </w:p>
    <w:p w14:paraId="3CF153B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112574D1" w14:textId="77777777" w:rsidR="005F0450" w:rsidRPr="00C33834" w:rsidRDefault="005F045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 сентября 1933 началось внесение изменений в проект дирижабля В-7 для подготовки рабочих чертежей – к форсированию работ по постройке дирижабля В-7 бис. К концу года задание было в целом выполнено бригадой инженера Храбковского − по модернизации В-7 было спущено около 2000 чертежей [14, л. 40-42 об] (15797).</w:t>
      </w:r>
    </w:p>
    <w:p w14:paraId="64FF2787" w14:textId="77777777" w:rsidR="005F0450" w:rsidRPr="00C33834" w:rsidRDefault="005F0450" w:rsidP="00C33834">
      <w:pPr>
        <w:spacing w:after="0" w:line="240" w:lineRule="auto"/>
        <w:jc w:val="both"/>
        <w:rPr>
          <w:rFonts w:ascii="Times New Roman" w:hAnsi="Times New Roman"/>
          <w:color w:val="000000" w:themeColor="text1"/>
          <w:sz w:val="16"/>
          <w:szCs w:val="16"/>
        </w:rPr>
      </w:pPr>
    </w:p>
    <w:p w14:paraId="2B9C495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года на планерных состязаниях в Коктебеле Сергей Николаевич Анохин впервые в термических потоках на планере обогнул гору Карадаг (5996).</w:t>
      </w:r>
    </w:p>
    <w:p w14:paraId="25B5C27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48F2AD8B"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0F88491"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90264B2" w14:textId="77777777" w:rsidR="00494802" w:rsidRPr="00C33834" w:rsidRDefault="0049480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 сентября 1933 г. ВЭСО ликвидируется, а его функции по управлению слаботочной отраслью передаются одному из оборонных главком НКТП – Главному управлению электрослаботочной промышленности (Главэспром). Это явилось очередным последовательно-логичным шагом по интеграции отрасли в нарождающийся отечественный оборонно-промышленный комплекс (ОПК) (18297).</w:t>
      </w:r>
    </w:p>
    <w:p w14:paraId="6BDDFF71" w14:textId="77777777" w:rsidR="00494802" w:rsidRPr="00C33834" w:rsidRDefault="00494802" w:rsidP="00C33834">
      <w:pPr>
        <w:spacing w:after="0" w:line="240" w:lineRule="auto"/>
        <w:jc w:val="both"/>
        <w:rPr>
          <w:rFonts w:ascii="Times New Roman" w:hAnsi="Times New Roman"/>
          <w:color w:val="000000" w:themeColor="text1"/>
          <w:sz w:val="16"/>
          <w:szCs w:val="16"/>
        </w:rPr>
      </w:pPr>
    </w:p>
    <w:p w14:paraId="3E9D78C7" w14:textId="77777777" w:rsidR="00FD662C" w:rsidRPr="00C33834" w:rsidRDefault="00FD662C"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 сентября 1933г. в связи с ликвидацией ВЭСО ЦРЛ была пере</w:t>
      </w:r>
      <w:r w:rsidRPr="00C33834">
        <w:rPr>
          <w:rFonts w:ascii="Times New Roman" w:hAnsi="Times New Roman"/>
          <w:color w:val="000000" w:themeColor="text1"/>
          <w:sz w:val="16"/>
          <w:szCs w:val="16"/>
        </w:rPr>
        <w:softHyphen/>
        <w:t>подчинена Главэспрому НКТП (11481).</w:t>
      </w:r>
    </w:p>
    <w:p w14:paraId="3A2F455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1 и7 сентября 1933. Из протокола заседания Политбюро N 145, 1933 г.</w:t>
      </w:r>
    </w:p>
    <w:p w14:paraId="42839BF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Об отпуске средств Радиевому институту </w:t>
      </w:r>
    </w:p>
    <w:p w14:paraId="4E02C3D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Утвердить постановление СНК СССР об отпуске Радиевому институту 100 тыс. руб. из резервного фонда СНК СССР на работы по расщеплению атома протонным пучком (11652).</w:t>
      </w:r>
    </w:p>
    <w:p w14:paraId="5B1F238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54A2125C" w14:textId="77777777" w:rsidR="005F0450" w:rsidRPr="00C33834" w:rsidRDefault="005F0450" w:rsidP="00C33834">
      <w:pPr>
        <w:spacing w:after="0" w:line="240" w:lineRule="auto"/>
        <w:jc w:val="both"/>
        <w:rPr>
          <w:rFonts w:ascii="Times New Roman" w:hAnsi="Times New Roman"/>
          <w:color w:val="000000" w:themeColor="text1"/>
          <w:sz w:val="16"/>
          <w:szCs w:val="16"/>
        </w:rPr>
      </w:pPr>
      <w:r w:rsidRPr="00C33834">
        <w:rPr>
          <w:rStyle w:val="ucoz-forum-post"/>
          <w:rFonts w:ascii="Times New Roman" w:eastAsiaTheme="majorEastAsia" w:hAnsi="Times New Roman"/>
          <w:bCs/>
          <w:color w:val="000000" w:themeColor="text1"/>
          <w:sz w:val="16"/>
          <w:szCs w:val="16"/>
        </w:rPr>
        <w:t xml:space="preserve">1 сентября </w:t>
      </w:r>
      <w:r w:rsidRPr="00C33834">
        <w:rPr>
          <w:rFonts w:ascii="Times New Roman" w:hAnsi="Times New Roman"/>
          <w:color w:val="000000" w:themeColor="text1"/>
          <w:sz w:val="16"/>
          <w:szCs w:val="16"/>
        </w:rPr>
        <w:t>в 1933 году на берегу реки Вятки был основан деревообрабатывающий комбинат, переданный в августе 1941 г. Главлесэкспорту для организации производства лыж на нужды фронта. Ныне — ОАО ордена Трудового Красного Знамени "Нововятский лыжный комбинат" (Кировская область)</w:t>
      </w:r>
    </w:p>
    <w:p w14:paraId="68A72EFB" w14:textId="77777777" w:rsidR="005F0450" w:rsidRPr="00C33834" w:rsidRDefault="005F0450" w:rsidP="00C33834">
      <w:pPr>
        <w:spacing w:after="0" w:line="240" w:lineRule="auto"/>
        <w:jc w:val="both"/>
        <w:rPr>
          <w:rFonts w:ascii="Times New Roman" w:hAnsi="Times New Roman"/>
          <w:color w:val="000000" w:themeColor="text1"/>
          <w:sz w:val="16"/>
          <w:szCs w:val="16"/>
        </w:rPr>
      </w:pPr>
    </w:p>
    <w:p w14:paraId="70C25209"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69D210F6"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AE1AA9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1 и</w:t>
      </w:r>
      <w:r w:rsidR="00494802" w:rsidRPr="00C33834">
        <w:rPr>
          <w:rFonts w:ascii="Times New Roman" w:hAnsi="Times New Roman"/>
          <w:color w:val="000000" w:themeColor="text1"/>
          <w:sz w:val="16"/>
          <w:szCs w:val="16"/>
        </w:rPr>
        <w:t xml:space="preserve"> </w:t>
      </w:r>
      <w:r w:rsidRPr="00C33834">
        <w:rPr>
          <w:rFonts w:ascii="Times New Roman" w:hAnsi="Times New Roman"/>
          <w:color w:val="000000" w:themeColor="text1"/>
          <w:sz w:val="16"/>
          <w:szCs w:val="16"/>
        </w:rPr>
        <w:t>7 сентября 1933. Из протокола заседания Политбюро N 145, 1933 г.</w:t>
      </w:r>
    </w:p>
    <w:p w14:paraId="7E5990E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Телеграммы с мест об оставлении на прежних работах переводимых в лагеря ОГПУ осужденных на 2 года и больше </w:t>
      </w:r>
    </w:p>
    <w:p w14:paraId="4D1812E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Предложить всем обкомам и крайкомам передать полностью контингенты, подлежащие отправке в лагеря ОГПУ, сняв их со всех работ, где они в настоящее время заняты. </w:t>
      </w:r>
    </w:p>
    <w:p w14:paraId="2F99276B"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Оставить в местах прежней работы из числа осужденных органами НКЮ на 2 года и выше только тех, которые имеют остаток срока отбывания наказания менее года. </w:t>
      </w:r>
    </w:p>
    <w:p w14:paraId="2189FA02"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На крупнейших объектах работ компенсировать отправляемых в лагеря заключенных за счет сворачивания всех второстепенных объектов, а также за счет перевода принудиловцев.</w:t>
      </w:r>
    </w:p>
    <w:p w14:paraId="4548D2C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Использовать в открытых колониях УИТУ подследственных, за исключением первой категории (11652).</w:t>
      </w:r>
    </w:p>
    <w:p w14:paraId="15CBE58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4A314AD4"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010783C"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2E1921A"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Гитлер в Нюрнберге заявил, что германское искусство будет базироваться на «нордических принципах» (4962).</w:t>
      </w:r>
    </w:p>
    <w:p w14:paraId="52AED665" w14:textId="77777777" w:rsidR="00FD662C" w:rsidRPr="00C33834" w:rsidRDefault="00FD662C"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63D0B6"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84A9ECC"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1BAD94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сентября 1933 года начальник 4 сектора 1 отдела штаба ВВС Алексеевский писал письмо начальнику 1 сектора 1 отдела штаба ВВС в сопровождении:</w:t>
      </w:r>
    </w:p>
    <w:p w14:paraId="282EDC4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Отчета по испытанию облегченного самолета ТБ3-4М17 на определение радиуса действия и бомбовой нагрузки самолета</w:t>
      </w:r>
    </w:p>
    <w:p w14:paraId="28C554F4"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3558E13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ведущий испытания самолета Лосюков</w:t>
      </w:r>
    </w:p>
    <w:p w14:paraId="2DC4ED3F"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Юмашев</w:t>
      </w:r>
    </w:p>
    <w:p w14:paraId="76CE63C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66D7881C"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Определить радиус действия и бомбовую нагрузку облегченного самолета ТБ3-4М17.</w:t>
      </w:r>
    </w:p>
    <w:p w14:paraId="758D95E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исполнение приказа РВС о дальнейшем увеличении радиуса действия и бомбовой нагрузки самолета ТБ3-4М17.</w:t>
      </w:r>
    </w:p>
    <w:p w14:paraId="53BBAE4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621AD0F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Резкое увеличение радиуса действия и бомбовой нагрузки самолета ТБ3-4М17, имеющее место благодаря:</w:t>
      </w:r>
    </w:p>
    <w:p w14:paraId="39CF330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уменьшения расхода горючего на км пути на 24%, что при запасе топлива 5 тонн составляет 1000 кг;</w:t>
      </w:r>
    </w:p>
    <w:p w14:paraId="5CE650B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облегчения несъемного оборудования и конструкции самолета на 518 кг;</w:t>
      </w:r>
    </w:p>
    <w:p w14:paraId="0AB351E7"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увеличения полетного веса самолета на 500 кг;</w:t>
      </w:r>
    </w:p>
    <w:p w14:paraId="1C59C118"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уменьшения запаса масла с 460 до 300 кг</w:t>
      </w:r>
    </w:p>
    <w:p w14:paraId="3A5175B5"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повышает во много раз боевую отдачу тяжелой бомбардировочной авиации ВВС и подлежит скорейшему освоению строевыми частями.</w:t>
      </w:r>
    </w:p>
    <w:p w14:paraId="621D7F3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Увеличение радиуса действия и бомбовой нагрузки за счет дальнейшего объединения смеси и увеличения полетного веса самолета НИИ ВВС считает недопустимым...</w:t>
      </w:r>
    </w:p>
    <w:p w14:paraId="20A722E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Испытательный полет по маршруту Щелково-Евпатория-Щелково проходил 8 августа 1933 года (3903,27-36).</w:t>
      </w:r>
    </w:p>
    <w:p w14:paraId="46F1AB7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5A93EAB6" w14:textId="77777777" w:rsidR="001836B7" w:rsidRPr="00C33834" w:rsidRDefault="001836B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сентября 1933 г. на завод № 31 пришел приказ остановить производство этих итальянских гидросамолетов, поскольку было решено заменить ее новой летающей лодкой конструкции Г.М. Бериева МБР-2 (Морской Ближний Разведчик Второй) (21410).</w:t>
      </w:r>
    </w:p>
    <w:p w14:paraId="77A026E6" w14:textId="77777777" w:rsidR="001836B7" w:rsidRPr="00C33834" w:rsidRDefault="001836B7" w:rsidP="00C33834">
      <w:pPr>
        <w:spacing w:after="0" w:line="240" w:lineRule="auto"/>
        <w:jc w:val="both"/>
        <w:rPr>
          <w:rFonts w:ascii="Times New Roman" w:hAnsi="Times New Roman"/>
          <w:color w:val="0070C0"/>
          <w:sz w:val="16"/>
          <w:szCs w:val="16"/>
        </w:rPr>
      </w:pPr>
    </w:p>
    <w:p w14:paraId="3E925D0A"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2–3 сентября 1933 г. на военном аэродроме в Новосельцах проходили Испытания «Звена-1а».</w:t>
      </w:r>
    </w:p>
    <w:p w14:paraId="100821CD"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В 1933 г. на вооружение поступила новая техника — четырёхмоторный бомбардировщик ТБ-3 и истребитель И-5. Из этих самолётов Вахмистров составил новые «звенья». Для начала на ТБ-1 установили два биплана И-5. Эту составную конструкцию назвали «Звено-1a». Технически она почти не отличалась от «Звена-1», за </w:t>
      </w:r>
      <w:r w:rsidRPr="00C33834">
        <w:rPr>
          <w:rFonts w:ascii="Times New Roman" w:eastAsia="Times New Roman" w:hAnsi="Times New Roman"/>
          <w:color w:val="000000" w:themeColor="text1"/>
          <w:sz w:val="16"/>
          <w:szCs w:val="16"/>
          <w:lang w:eastAsia="ru-RU"/>
        </w:rPr>
        <w:lastRenderedPageBreak/>
        <w:t>исключением заднего замка на И-5, который сделали самозапирающимся. Замок смонтировали на фермочке из стальных труб, приваренной к нижним узлам шпангоута за сидением лётчика — так удалось повысить заднюю точку крепления и обеспечить горизонтальность оси нового истребителя.</w:t>
      </w:r>
    </w:p>
    <w:p w14:paraId="23056ECB"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За штурвалом ТБ-1 был Стефановский, истребителями управляли Лагутин и Коккинаки. В первом, пробном полёте проверялась техника разъединения самолётов. На всякий случай из кабины ТБ-1 к замкам протянули тросы для их принудительного открытия. Но этого не понадобилось: отцепившись от задней опоры, лётчики легко, плавным выбиранием ручки на себя, взлетели с крыла носителя. Разделение самолётов происходило на высоте 800 м при скорости 130 км/ч.</w:t>
      </w:r>
    </w:p>
    <w:p w14:paraId="227839DD"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Второй полёт был сделан для определения лётных характеристик «Звена-1а» при работе всех моторов. Преимуществ по сравнению со «Звеном-1» не оказалось.</w:t>
      </w:r>
    </w:p>
    <w:p w14:paraId="79509E23"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В третьем, последнем полёте провели эксперимент: опытных испытателей заменили на лётчиков из строевых частей, причём оба лётчика-истребителя, Бубновский и Туренко, летали на «звене» впервые. После получения необходимых указаний и ознакомления с техникой на земле, экипаж в точности выполнил задание, освоив полёт с расцеплением с первого раза. «Лёгкость усвоения техники пилотирования… даёт возможность эксплуатировать самолёт „З-1a“ лётным составом строевых частей без специальной подготовки», — указано в отчёте </w:t>
      </w:r>
      <w:hyperlink r:id="rId316" w:history="1">
        <w:r w:rsidRPr="00C33834">
          <w:rPr>
            <w:rFonts w:ascii="Times New Roman" w:eastAsia="Times New Roman" w:hAnsi="Times New Roman"/>
            <w:color w:val="000000" w:themeColor="text1"/>
            <w:sz w:val="16"/>
            <w:szCs w:val="16"/>
            <w:lang w:eastAsia="ru-RU"/>
          </w:rPr>
          <w:t>[82]</w:t>
        </w:r>
      </w:hyperlink>
      <w:r w:rsidRPr="00C33834">
        <w:rPr>
          <w:rFonts w:ascii="Times New Roman" w:eastAsia="Times New Roman" w:hAnsi="Times New Roman"/>
          <w:color w:val="000000" w:themeColor="text1"/>
          <w:sz w:val="16"/>
          <w:szCs w:val="16"/>
          <w:lang w:eastAsia="ru-RU"/>
        </w:rPr>
        <w:t xml:space="preserve"> (17489).</w:t>
      </w:r>
    </w:p>
    <w:p w14:paraId="24CF902A"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p>
    <w:p w14:paraId="06D6E6E8" w14:textId="77777777" w:rsidR="001836B7" w:rsidRPr="00C33834" w:rsidRDefault="001836B7" w:rsidP="00C33834">
      <w:pPr>
        <w:pStyle w:val="rtejustify"/>
        <w:spacing w:before="0" w:after="0"/>
        <w:rPr>
          <w:color w:val="000000" w:themeColor="text1"/>
          <w:sz w:val="16"/>
          <w:szCs w:val="16"/>
        </w:rPr>
      </w:pPr>
      <w:r w:rsidRPr="00C33834">
        <w:rPr>
          <w:color w:val="000000" w:themeColor="text1"/>
          <w:sz w:val="16"/>
          <w:szCs w:val="16"/>
        </w:rPr>
        <w:t>2 сентября 1933 г. Каганович — Сталину, Ворошилову</w:t>
      </w:r>
    </w:p>
    <w:p w14:paraId="7D6514D0" w14:textId="77777777" w:rsidR="001836B7" w:rsidRPr="00C33834" w:rsidRDefault="001836B7" w:rsidP="00C33834">
      <w:pPr>
        <w:pStyle w:val="rtejustify"/>
        <w:spacing w:before="0" w:after="0"/>
        <w:rPr>
          <w:color w:val="000000" w:themeColor="text1"/>
          <w:sz w:val="16"/>
          <w:szCs w:val="16"/>
        </w:rPr>
      </w:pPr>
      <w:r w:rsidRPr="00C33834">
        <w:rPr>
          <w:color w:val="000000" w:themeColor="text1"/>
          <w:sz w:val="16"/>
          <w:szCs w:val="16"/>
        </w:rPr>
        <w:t>Шифровка.</w:t>
      </w:r>
    </w:p>
    <w:p w14:paraId="29DC7B28" w14:textId="77777777" w:rsidR="001836B7" w:rsidRPr="00C33834" w:rsidRDefault="001836B7" w:rsidP="00C33834">
      <w:pPr>
        <w:pStyle w:val="rtejustify"/>
        <w:spacing w:before="0" w:after="0"/>
        <w:rPr>
          <w:color w:val="000000" w:themeColor="text1"/>
          <w:sz w:val="16"/>
          <w:szCs w:val="16"/>
        </w:rPr>
      </w:pPr>
      <w:r w:rsidRPr="00C33834">
        <w:rPr>
          <w:color w:val="000000" w:themeColor="text1"/>
          <w:sz w:val="16"/>
          <w:szCs w:val="16"/>
        </w:rPr>
        <w:t>Из Москвы 2/IX — 33 г. 21 час. 28 мин. Вх. № 14.</w:t>
      </w:r>
    </w:p>
    <w:p w14:paraId="0A6D704C" w14:textId="77777777" w:rsidR="001836B7" w:rsidRPr="00C33834" w:rsidRDefault="001836B7" w:rsidP="00C33834">
      <w:pPr>
        <w:pStyle w:val="rtecenter"/>
        <w:spacing w:before="0" w:after="0"/>
        <w:jc w:val="both"/>
        <w:rPr>
          <w:color w:val="000000" w:themeColor="text1"/>
          <w:sz w:val="16"/>
          <w:szCs w:val="16"/>
        </w:rPr>
      </w:pPr>
      <w:r w:rsidRPr="00C33834">
        <w:rPr>
          <w:color w:val="000000" w:themeColor="text1"/>
          <w:sz w:val="16"/>
          <w:szCs w:val="16"/>
        </w:rPr>
        <w:t>Т. т. Сталину, Ворошилову.</w:t>
      </w:r>
    </w:p>
    <w:p w14:paraId="2379C105" w14:textId="77777777" w:rsidR="001836B7" w:rsidRPr="00C33834" w:rsidRDefault="001836B7" w:rsidP="00C33834">
      <w:pPr>
        <w:pStyle w:val="rtejustify"/>
        <w:spacing w:before="0" w:after="0"/>
        <w:rPr>
          <w:color w:val="000000" w:themeColor="text1"/>
          <w:sz w:val="16"/>
          <w:szCs w:val="16"/>
        </w:rPr>
      </w:pPr>
      <w:r w:rsidRPr="00C33834">
        <w:rPr>
          <w:color w:val="000000" w:themeColor="text1"/>
          <w:sz w:val="16"/>
          <w:szCs w:val="16"/>
        </w:rPr>
        <w:t>Французский генштаб поставил вопрос о включении в число участников перелета министра авиации Кота официальной военной миссии. В ее состав должен войти ген. Баррес с группой офицеров. Однако эта миссия ставит условием своего прибытия наше согласие показать какие-нибудь части и учреждения нашего воздушного флота.</w:t>
      </w:r>
    </w:p>
    <w:p w14:paraId="10EE9325" w14:textId="77777777" w:rsidR="001836B7" w:rsidRPr="00C33834" w:rsidRDefault="001836B7" w:rsidP="00C33834">
      <w:pPr>
        <w:pStyle w:val="rtejustify"/>
        <w:spacing w:before="0" w:after="0"/>
        <w:rPr>
          <w:color w:val="000000" w:themeColor="text1"/>
          <w:sz w:val="16"/>
          <w:szCs w:val="16"/>
        </w:rPr>
      </w:pPr>
      <w:r w:rsidRPr="00C33834">
        <w:rPr>
          <w:color w:val="000000" w:themeColor="text1"/>
          <w:sz w:val="16"/>
          <w:szCs w:val="16"/>
        </w:rPr>
        <w:t>Тухачевский и НКИД считают целесообразным дать согласие.</w:t>
      </w:r>
    </w:p>
    <w:p w14:paraId="2B8F9A01" w14:textId="77777777" w:rsidR="001836B7" w:rsidRPr="00C33834" w:rsidRDefault="001836B7" w:rsidP="00C33834">
      <w:pPr>
        <w:pStyle w:val="rtejustify"/>
        <w:spacing w:before="0" w:after="0"/>
        <w:rPr>
          <w:color w:val="000000" w:themeColor="text1"/>
          <w:sz w:val="16"/>
          <w:szCs w:val="16"/>
        </w:rPr>
      </w:pPr>
      <w:r w:rsidRPr="00C33834">
        <w:rPr>
          <w:color w:val="000000" w:themeColor="text1"/>
          <w:sz w:val="16"/>
          <w:szCs w:val="16"/>
        </w:rPr>
        <w:t>Прошу сообщить ваше мнение</w:t>
      </w:r>
      <w:r w:rsidRPr="00C33834">
        <w:rPr>
          <w:color w:val="000000" w:themeColor="text1"/>
          <w:sz w:val="16"/>
          <w:szCs w:val="16"/>
          <w:vertAlign w:val="superscript"/>
        </w:rPr>
        <w:t>1</w:t>
      </w:r>
      <w:r w:rsidRPr="00C33834">
        <w:rPr>
          <w:color w:val="000000" w:themeColor="text1"/>
          <w:sz w:val="16"/>
          <w:szCs w:val="16"/>
        </w:rPr>
        <w:t>. HP 14.</w:t>
      </w:r>
    </w:p>
    <w:p w14:paraId="3F13EE9B" w14:textId="77777777" w:rsidR="001836B7" w:rsidRPr="00C33834" w:rsidRDefault="001836B7" w:rsidP="00C33834">
      <w:pPr>
        <w:pStyle w:val="rtejustify"/>
        <w:spacing w:before="0" w:after="0"/>
        <w:rPr>
          <w:color w:val="000000" w:themeColor="text1"/>
          <w:sz w:val="16"/>
          <w:szCs w:val="16"/>
        </w:rPr>
      </w:pPr>
      <w:r w:rsidRPr="00C33834">
        <w:rPr>
          <w:color w:val="000000" w:themeColor="text1"/>
          <w:sz w:val="16"/>
          <w:szCs w:val="16"/>
        </w:rPr>
        <w:t>Каганович.</w:t>
      </w:r>
    </w:p>
    <w:p w14:paraId="7AB58CC4" w14:textId="77777777" w:rsidR="001836B7" w:rsidRPr="00C33834" w:rsidRDefault="001836B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Архив: РГАСПИ Ф. 558. Оп. 11. Д. 80. Л. 73. Подлинник. Машинопись. </w:t>
      </w:r>
    </w:p>
    <w:p w14:paraId="21E640F4" w14:textId="77777777" w:rsidR="001836B7" w:rsidRPr="00C33834" w:rsidRDefault="001836B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Сталин и Каганович. Переписка. 1931–1936 гг. Москва: (РОССПЭН), 2001 Стр. 325 (12361).</w:t>
      </w:r>
    </w:p>
    <w:p w14:paraId="19568CF6" w14:textId="77777777" w:rsidR="001836B7" w:rsidRPr="00C33834" w:rsidRDefault="001836B7" w:rsidP="00C33834">
      <w:pPr>
        <w:spacing w:after="0" w:line="240" w:lineRule="auto"/>
        <w:jc w:val="both"/>
        <w:rPr>
          <w:rFonts w:ascii="Times New Roman" w:hAnsi="Times New Roman"/>
          <w:color w:val="000000" w:themeColor="text1"/>
          <w:sz w:val="16"/>
          <w:szCs w:val="16"/>
          <w:u w:color="002060"/>
        </w:rPr>
      </w:pPr>
    </w:p>
    <w:p w14:paraId="49DA6104"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9C8B469"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3BE17CF" w14:textId="77777777" w:rsidR="00FD662C" w:rsidRPr="00C33834" w:rsidRDefault="00FD662C"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сентября 1933 Наркомат финансов СССР зареги</w:t>
      </w:r>
      <w:r w:rsidRPr="00C33834">
        <w:rPr>
          <w:rFonts w:ascii="Times New Roman" w:hAnsi="Times New Roman"/>
          <w:color w:val="000000" w:themeColor="text1"/>
          <w:sz w:val="16"/>
          <w:szCs w:val="16"/>
        </w:rPr>
        <w:softHyphen/>
        <w:t>стрировал первый в стране завод серийного производства мотоцик</w:t>
      </w:r>
      <w:r w:rsidRPr="00C33834">
        <w:rPr>
          <w:rFonts w:ascii="Times New Roman" w:hAnsi="Times New Roman"/>
          <w:color w:val="000000" w:themeColor="text1"/>
          <w:sz w:val="16"/>
          <w:szCs w:val="16"/>
        </w:rPr>
        <w:softHyphen/>
        <w:t>лов. До конца года на его территории сдали в эксплуатацию тер</w:t>
      </w:r>
      <w:r w:rsidRPr="00C33834">
        <w:rPr>
          <w:rFonts w:ascii="Times New Roman" w:hAnsi="Times New Roman"/>
          <w:color w:val="000000" w:themeColor="text1"/>
          <w:sz w:val="16"/>
          <w:szCs w:val="16"/>
        </w:rPr>
        <w:softHyphen/>
        <w:t>мический цех, котельную и электроподстанцию [4.113]. В том же году заводу предоставили финансирование для развития производ</w:t>
      </w:r>
      <w:r w:rsidRPr="00C33834">
        <w:rPr>
          <w:rFonts w:ascii="Times New Roman" w:hAnsi="Times New Roman"/>
          <w:color w:val="000000" w:themeColor="text1"/>
          <w:sz w:val="16"/>
          <w:szCs w:val="16"/>
        </w:rPr>
        <w:softHyphen/>
        <w:t>ственной базы и запланировали на 1934 г. выпуск 400 экземпляров мотоциклов [4.114]. Руководству предприятия в тот период ещё не удалось организовать работу, следствием чего стало невыполне</w:t>
      </w:r>
      <w:r w:rsidRPr="00C33834">
        <w:rPr>
          <w:rFonts w:ascii="Times New Roman" w:hAnsi="Times New Roman"/>
          <w:color w:val="000000" w:themeColor="text1"/>
          <w:sz w:val="16"/>
          <w:szCs w:val="16"/>
        </w:rPr>
        <w:softHyphen/>
        <w:t>ние плана 1934 г. - изготовили всего 111 мотоциклов. Тем не ме</w:t>
      </w:r>
      <w:r w:rsidRPr="00C33834">
        <w:rPr>
          <w:rFonts w:ascii="Times New Roman" w:hAnsi="Times New Roman"/>
          <w:color w:val="000000" w:themeColor="text1"/>
          <w:sz w:val="16"/>
          <w:szCs w:val="16"/>
        </w:rPr>
        <w:softHyphen/>
        <w:t>нее, программу следующего года увеличили до 450 машин и пере</w:t>
      </w:r>
      <w:r w:rsidRPr="00C33834">
        <w:rPr>
          <w:rFonts w:ascii="Times New Roman" w:hAnsi="Times New Roman"/>
          <w:color w:val="000000" w:themeColor="text1"/>
          <w:sz w:val="16"/>
          <w:szCs w:val="16"/>
        </w:rPr>
        <w:softHyphen/>
        <w:t>выполнили её - сделали 451 мотоцикл, что рассматривалось как производственный успех [4.111].</w:t>
      </w:r>
    </w:p>
    <w:p w14:paraId="2EA416C0" w14:textId="77777777" w:rsidR="00FD662C" w:rsidRPr="00C33834" w:rsidRDefault="00FD662C"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Особенно важным представлялся 1936 год. Предстояло при</w:t>
      </w:r>
      <w:r w:rsidRPr="00C33834">
        <w:rPr>
          <w:rFonts w:ascii="Times New Roman" w:hAnsi="Times New Roman"/>
          <w:color w:val="000000" w:themeColor="text1"/>
          <w:sz w:val="16"/>
          <w:szCs w:val="16"/>
        </w:rPr>
        <w:softHyphen/>
        <w:t>нять новую конституцию, в связи с чем трудовые коллективы брали повышенные обязательства. Ижевский мотозавод не стал исключением: план на 1936 г. более чем удвоили - 1000 мотоцик</w:t>
      </w:r>
      <w:r w:rsidRPr="00C33834">
        <w:rPr>
          <w:rFonts w:ascii="Times New Roman" w:hAnsi="Times New Roman"/>
          <w:color w:val="000000" w:themeColor="text1"/>
          <w:sz w:val="16"/>
          <w:szCs w:val="16"/>
        </w:rPr>
        <w:softHyphen/>
        <w:t>лов. По оценкам директора предприятия сделать больше не пред</w:t>
      </w:r>
      <w:r w:rsidRPr="00C33834">
        <w:rPr>
          <w:rFonts w:ascii="Times New Roman" w:hAnsi="Times New Roman"/>
          <w:color w:val="000000" w:themeColor="text1"/>
          <w:sz w:val="16"/>
          <w:szCs w:val="16"/>
        </w:rPr>
        <w:softHyphen/>
        <w:t>ставлялось возможным, и план утвердили. Завод с большим на</w:t>
      </w:r>
      <w:r w:rsidRPr="00C33834">
        <w:rPr>
          <w:rFonts w:ascii="Times New Roman" w:hAnsi="Times New Roman"/>
          <w:color w:val="000000" w:themeColor="text1"/>
          <w:sz w:val="16"/>
          <w:szCs w:val="16"/>
        </w:rPr>
        <w:softHyphen/>
        <w:t>пряжением удваивал выпуск мотоциклов. Однако произошло не</w:t>
      </w:r>
      <w:r w:rsidRPr="00C33834">
        <w:rPr>
          <w:rFonts w:ascii="Times New Roman" w:hAnsi="Times New Roman"/>
          <w:color w:val="000000" w:themeColor="text1"/>
          <w:sz w:val="16"/>
          <w:szCs w:val="16"/>
        </w:rPr>
        <w:softHyphen/>
        <w:t>предвиденное: 5 августа 1936 г. во время посещения Г.К. Орджо</w:t>
      </w:r>
      <w:r w:rsidRPr="00C33834">
        <w:rPr>
          <w:rFonts w:ascii="Times New Roman" w:hAnsi="Times New Roman"/>
          <w:color w:val="000000" w:themeColor="text1"/>
          <w:sz w:val="16"/>
          <w:szCs w:val="16"/>
        </w:rPr>
        <w:softHyphen/>
        <w:t>никидзе делегации мотозавода (участницы женского мотопробе</w:t>
      </w:r>
      <w:r w:rsidRPr="00C33834">
        <w:rPr>
          <w:rFonts w:ascii="Times New Roman" w:hAnsi="Times New Roman"/>
          <w:color w:val="000000" w:themeColor="text1"/>
          <w:sz w:val="16"/>
          <w:szCs w:val="16"/>
        </w:rPr>
        <w:softHyphen/>
        <w:t>га и руководители мотозавода) «железный нарком», осмотрев ижевские мотоциклы, неожиданно предложил удвоить годовой выпуск ИЖ-7 и довести его до 2 тыс. машин. Заводской коллек</w:t>
      </w:r>
      <w:r w:rsidRPr="00C33834">
        <w:rPr>
          <w:rFonts w:ascii="Times New Roman" w:hAnsi="Times New Roman"/>
          <w:color w:val="000000" w:themeColor="text1"/>
          <w:sz w:val="16"/>
          <w:szCs w:val="16"/>
        </w:rPr>
        <w:softHyphen/>
        <w:t>тив решил непременно выполнить это устное поручение наркома. В оставшиеся месяцы года пришлось почти в пять раз взвинтить средний темп изготовления мотоциклов, чтобы справиться с зада</w:t>
      </w:r>
      <w:r w:rsidRPr="00C33834">
        <w:rPr>
          <w:rFonts w:ascii="Times New Roman" w:hAnsi="Times New Roman"/>
          <w:color w:val="000000" w:themeColor="text1"/>
          <w:sz w:val="16"/>
          <w:szCs w:val="16"/>
        </w:rPr>
        <w:softHyphen/>
        <w:t>нием. Завод до конца года работал в аварийном режиме, а люди - с большим надрывом. Для выполнения поручения наркома труд</w:t>
      </w:r>
      <w:r w:rsidRPr="00C33834">
        <w:rPr>
          <w:rFonts w:ascii="Times New Roman" w:hAnsi="Times New Roman"/>
          <w:color w:val="000000" w:themeColor="text1"/>
          <w:sz w:val="16"/>
          <w:szCs w:val="16"/>
        </w:rPr>
        <w:softHyphen/>
        <w:t>но пришлось и смежникам, поставлявшим материалы и комплек</w:t>
      </w:r>
      <w:r w:rsidRPr="00C33834">
        <w:rPr>
          <w:rFonts w:ascii="Times New Roman" w:hAnsi="Times New Roman"/>
          <w:color w:val="000000" w:themeColor="text1"/>
          <w:sz w:val="16"/>
          <w:szCs w:val="16"/>
        </w:rPr>
        <w:softHyphen/>
        <w:t>тующие изделия. Чтобы справиться с этой задачей и сохранить трудовую честь коллектива ИжМЗ, группе специалистов завода пришлось выступить в «Ижевской правде» с открытым письмом к сторонним участникам выпуска мотоциклов ИЖ-7 [4.115], что помогло.</w:t>
      </w:r>
    </w:p>
    <w:p w14:paraId="68098037" w14:textId="77777777" w:rsidR="00FD662C" w:rsidRPr="00C33834" w:rsidRDefault="00FD662C"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то трудное время конструкторы ИМЗ завершили разработ</w:t>
      </w:r>
      <w:r w:rsidRPr="00C33834">
        <w:rPr>
          <w:rFonts w:ascii="Times New Roman" w:hAnsi="Times New Roman"/>
          <w:color w:val="000000" w:themeColor="text1"/>
          <w:sz w:val="16"/>
          <w:szCs w:val="16"/>
        </w:rPr>
        <w:softHyphen/>
        <w:t>ку нового мотоцикла с более мощным мотором. На поршне убра</w:t>
      </w:r>
      <w:r w:rsidRPr="00C33834">
        <w:rPr>
          <w:rFonts w:ascii="Times New Roman" w:hAnsi="Times New Roman"/>
          <w:color w:val="000000" w:themeColor="text1"/>
          <w:sz w:val="16"/>
          <w:szCs w:val="16"/>
        </w:rPr>
        <w:softHyphen/>
        <w:t>ли дефлектор, применили возвратную двухканальную продувку цилиндра, вместо манетки газа поместили вращающуюся ручку, усовершенствовали освещение и зажигание и многое другое [4.81]. В этой новаторской работе, проходившей в условиях про</w:t>
      </w:r>
      <w:r w:rsidRPr="00C33834">
        <w:rPr>
          <w:rFonts w:ascii="Times New Roman" w:hAnsi="Times New Roman"/>
          <w:color w:val="000000" w:themeColor="text1"/>
          <w:sz w:val="16"/>
          <w:szCs w:val="16"/>
        </w:rPr>
        <w:softHyphen/>
        <w:t>изводственной штурмовщины, связанной с выпуском 2 тыс. ма</w:t>
      </w:r>
      <w:r w:rsidRPr="00C33834">
        <w:rPr>
          <w:rFonts w:ascii="Times New Roman" w:hAnsi="Times New Roman"/>
          <w:color w:val="000000" w:themeColor="text1"/>
          <w:sz w:val="16"/>
          <w:szCs w:val="16"/>
        </w:rPr>
        <w:softHyphen/>
        <w:t>шин ИЖ-7, принимали участие конструкторы В.Е. Базик, Д.И. Зебзиев, К.М. Огнетов, В.В. Рогожин, СИ. Кульпин и др. Создали обновлённый мотоцикл с более элегантными обводами, обозначенный ИЖ-8. Поручение «товарища Серго» выполнили, хотя и с большими трудностями: к 31 декабря 1936 г. выпустили 2007 мотоциклов, сделав семь ИЖ-7 сверх задания [4.111].</w:t>
      </w:r>
    </w:p>
    <w:p w14:paraId="4F88AE39" w14:textId="77777777" w:rsidR="00FD662C" w:rsidRPr="00C33834" w:rsidRDefault="00FD662C"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Однако не все машины смогли укомплектовать полностью. Не хватило 60 мотоцепей для привода заднего колеса, 140 мане-ток газа, - именно столько мотоциклов не удалось в срок пере</w:t>
      </w:r>
      <w:r w:rsidRPr="00C33834">
        <w:rPr>
          <w:rFonts w:ascii="Times New Roman" w:hAnsi="Times New Roman"/>
          <w:color w:val="000000" w:themeColor="text1"/>
          <w:sz w:val="16"/>
          <w:szCs w:val="16"/>
        </w:rPr>
        <w:softHyphen/>
        <w:t>дать в торговую сеть. Тогда усиленно развивали соцсоревнования на всех уровнях: индивидуальном (между отдельным рабочими), коллективном (между бригадами, цехами и даже предприятиями), отраслевом (между наркоматами). Действуя в этом ключе, колле</w:t>
      </w:r>
      <w:r w:rsidRPr="00C33834">
        <w:rPr>
          <w:rFonts w:ascii="Times New Roman" w:hAnsi="Times New Roman"/>
          <w:color w:val="000000" w:themeColor="text1"/>
          <w:sz w:val="16"/>
          <w:szCs w:val="16"/>
        </w:rPr>
        <w:softHyphen/>
        <w:t>ктив ИжМЗ вызвал на соревнование трудящихся Подольского механического завода (ПМЗ) и обязался в следующем году изго</w:t>
      </w:r>
      <w:r w:rsidRPr="00C33834">
        <w:rPr>
          <w:rFonts w:ascii="Times New Roman" w:hAnsi="Times New Roman"/>
          <w:color w:val="000000" w:themeColor="text1"/>
          <w:sz w:val="16"/>
          <w:szCs w:val="16"/>
        </w:rPr>
        <w:softHyphen/>
        <w:t>товить 3 тыс. мотоциклов, из них 2 тыс. - машин ИЖ-8 [4.116]. Свои обязательства ИжМЗ выполнил: в 1937 г. изготовили ЗОЮ мотоциклов [4.111] (11429).</w:t>
      </w:r>
    </w:p>
    <w:p w14:paraId="49909E4B" w14:textId="77777777" w:rsidR="00FD662C" w:rsidRPr="00C33834" w:rsidRDefault="00FD662C"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157811"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сентября 1933 г. Научно-исследовательский отраслевой институт внутризаводского транспорта "НИИПТ". Приказом Наркомата тяжелой промышленности СССР был переименован в Научно-исследовательский институт по стальным конструкциям мостов, подъемно-транспортным сооружениям и механизации внутризаводского транспорта "Гинстальмост". Приказом наркомата от 13 ноября 1937 г. институт переименован во Всесоюзный научно-исследовательский институт подъемно-транспортного оборудования "ВНИИПТО", который приказом Наркомата тяжелого машиностроения СССР от 29 мая 1941 г. был переименован во Всесоюзный научно-исследовательский институт подъемно-транспортного машиностроения "ВНИИПТмаш" (12102).</w:t>
      </w:r>
    </w:p>
    <w:p w14:paraId="6EABEF54" w14:textId="77777777" w:rsidR="005F0450" w:rsidRPr="00C33834" w:rsidRDefault="005F0450"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5094A79" w14:textId="77777777" w:rsidR="00FD662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607ADF98" w14:textId="77777777" w:rsidR="00FD662C" w:rsidRPr="00C33834" w:rsidRDefault="00FD662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4E0A9A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сентября 1933 СССР подписал договор о ненападении и нейтралитете с Италией (1348,242).</w:t>
      </w:r>
    </w:p>
    <w:p w14:paraId="19DA3B6D"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250123BD" w14:textId="77777777" w:rsidR="001836B7" w:rsidRPr="00C33834" w:rsidRDefault="001836B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сентября 1933 г. был подписан «Договор о дружбе, ненападении и нейтралитете между СССР и Италией» (21410).</w:t>
      </w:r>
    </w:p>
    <w:p w14:paraId="37C4E167" w14:textId="77777777" w:rsidR="001836B7" w:rsidRPr="00C33834" w:rsidRDefault="001836B7" w:rsidP="00C33834">
      <w:pPr>
        <w:spacing w:after="0" w:line="240" w:lineRule="auto"/>
        <w:jc w:val="both"/>
        <w:rPr>
          <w:rFonts w:ascii="Times New Roman" w:hAnsi="Times New Roman"/>
          <w:color w:val="0070C0"/>
          <w:sz w:val="16"/>
          <w:szCs w:val="16"/>
        </w:rPr>
      </w:pPr>
    </w:p>
    <w:p w14:paraId="64267573"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сентября 1933 Италия и СССР подписали договор о дружбе, ненападении и нейтралитете (3186) сроком на 5 лет (3908,340).</w:t>
      </w:r>
    </w:p>
    <w:p w14:paraId="3274A71A"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403B609E"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сентября 1933 г. между СССР и Италией был подписан пятилетний пакт о дружбе, ненападении и нейтралитете. Между Советским Союзом и Италией существовали стабильные политические отношения и довольно развитые экономические связи. СССР был одним из важных поставщиков нефти в Италию (3871).</w:t>
      </w:r>
    </w:p>
    <w:p w14:paraId="40F674E0" w14:textId="77777777" w:rsidR="00FD662C" w:rsidRPr="00C33834" w:rsidRDefault="00FD662C" w:rsidP="00C33834">
      <w:pPr>
        <w:autoSpaceDE w:val="0"/>
        <w:autoSpaceDN w:val="0"/>
        <w:adjustRightInd w:val="0"/>
        <w:spacing w:after="0" w:line="240" w:lineRule="auto"/>
        <w:jc w:val="both"/>
        <w:rPr>
          <w:rFonts w:ascii="Times New Roman" w:hAnsi="Times New Roman"/>
          <w:color w:val="000000" w:themeColor="text1"/>
          <w:sz w:val="16"/>
          <w:szCs w:val="16"/>
        </w:rPr>
      </w:pPr>
    </w:p>
    <w:p w14:paraId="49EE894B" w14:textId="77777777" w:rsidR="007F23E2"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F15ECDE" w14:textId="77777777" w:rsidR="007F23E2" w:rsidRPr="00C33834" w:rsidRDefault="007F23E2" w:rsidP="00C33834">
      <w:pPr>
        <w:spacing w:after="0" w:line="240" w:lineRule="auto"/>
        <w:jc w:val="both"/>
        <w:rPr>
          <w:rFonts w:ascii="Times New Roman" w:hAnsi="Times New Roman"/>
          <w:iCs/>
          <w:color w:val="000000" w:themeColor="text1"/>
          <w:sz w:val="16"/>
          <w:szCs w:val="16"/>
        </w:rPr>
      </w:pPr>
    </w:p>
    <w:p w14:paraId="672CECB1"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сентября 1933 итальянский летчик Де Пинедо, который намеревался преодолеть Атлантику на уже проверенном высокоплане "Белланка" и долететь до Багдада, при старте в Нью-Йорке его тяжело нагруженный самолет выкатился с бетонной дорожки и врезался в ограждение аэродрома. Попытки спасти Де Пинедо остались безрезультатными, он сгорел вместе с самолетом (11941).</w:t>
      </w:r>
    </w:p>
    <w:p w14:paraId="41813FA8"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4B854120" w14:textId="77777777" w:rsidR="001836B7" w:rsidRPr="00C33834" w:rsidRDefault="001836B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сентября 1933 итальянский летчик Франческо де Пинедо погиб, когда его моноплан Bellanca Santa Lucia разбился при взлете на Флойд Беннетт Филд в Нью-Йорке в начале полета в Багдад в попытке установить новый рекорд дальности полета в одиночку без остановок в 6300 км (10 143 миль) (20802).</w:t>
      </w:r>
    </w:p>
    <w:p w14:paraId="52203B6C" w14:textId="77777777" w:rsidR="001836B7" w:rsidRPr="00C33834" w:rsidRDefault="001836B7" w:rsidP="00C33834">
      <w:pPr>
        <w:spacing w:after="0" w:line="240" w:lineRule="auto"/>
        <w:jc w:val="both"/>
        <w:rPr>
          <w:rFonts w:ascii="Times New Roman" w:hAnsi="Times New Roman"/>
          <w:color w:val="0070C0"/>
          <w:sz w:val="16"/>
          <w:szCs w:val="16"/>
        </w:rPr>
      </w:pPr>
    </w:p>
    <w:p w14:paraId="1673E574" w14:textId="77777777" w:rsidR="007F23E2"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7364950" w14:textId="77777777" w:rsidR="007F23E2" w:rsidRPr="00C33834" w:rsidRDefault="007F23E2" w:rsidP="00C33834">
      <w:pPr>
        <w:spacing w:after="0" w:line="240" w:lineRule="auto"/>
        <w:jc w:val="both"/>
        <w:rPr>
          <w:rFonts w:ascii="Times New Roman" w:hAnsi="Times New Roman"/>
          <w:iCs/>
          <w:color w:val="000000" w:themeColor="text1"/>
          <w:sz w:val="16"/>
          <w:szCs w:val="16"/>
        </w:rPr>
      </w:pPr>
    </w:p>
    <w:p w14:paraId="78A76869"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сентября 1933 в 12:30 на ЦА произошла авария автожира А-6 ЗОК ЦАГИ, пилотируемого л Селивачевым (2331,311).</w:t>
      </w:r>
    </w:p>
    <w:p w14:paraId="495D8924"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172735C1" w14:textId="77777777" w:rsidR="00CA6AB8" w:rsidRPr="00C33834" w:rsidRDefault="00CA6AB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сентября 1933 г. Корзинщиков после прохождения цикла тренировок выпустил в самостоятельный полет лет</w:t>
      </w:r>
      <w:r w:rsidRPr="00C33834">
        <w:rPr>
          <w:rFonts w:ascii="Times New Roman" w:hAnsi="Times New Roman"/>
          <w:color w:val="0070C0"/>
          <w:sz w:val="16"/>
          <w:szCs w:val="16"/>
        </w:rPr>
        <w:softHyphen/>
        <w:t>чика ОЭЛИД ЦАГИ М.В. Селивачева. Два полета Селивачев произвел благополучно. В третьем самостоятельном полете автожир развернуло вправо и накренило, после че</w:t>
      </w:r>
      <w:r w:rsidRPr="00C33834">
        <w:rPr>
          <w:rFonts w:ascii="Times New Roman" w:hAnsi="Times New Roman"/>
          <w:color w:val="0070C0"/>
          <w:sz w:val="16"/>
          <w:szCs w:val="16"/>
        </w:rPr>
        <w:softHyphen/>
        <w:t>го он задел ротором землю и упал на бок. По мнению Корзинщикова, вины пилота не было - машина имела тенден</w:t>
      </w:r>
      <w:r w:rsidRPr="00C33834">
        <w:rPr>
          <w:rFonts w:ascii="Times New Roman" w:hAnsi="Times New Roman"/>
          <w:color w:val="0070C0"/>
          <w:sz w:val="16"/>
          <w:szCs w:val="16"/>
        </w:rPr>
        <w:softHyphen/>
        <w:t>цию к развороту вправо, и при изменении направления ве</w:t>
      </w:r>
      <w:r w:rsidRPr="00C33834">
        <w:rPr>
          <w:rFonts w:ascii="Times New Roman" w:hAnsi="Times New Roman"/>
          <w:color w:val="0070C0"/>
          <w:sz w:val="16"/>
          <w:szCs w:val="16"/>
        </w:rPr>
        <w:softHyphen/>
        <w:t>тра сложились неблагоприятные обстоятельства, которые привели к аварии. После проведения ремонта полеты продолжились - в декабре 1933 г. на автожире вылетел са</w:t>
      </w:r>
      <w:r w:rsidRPr="00C33834">
        <w:rPr>
          <w:rFonts w:ascii="Times New Roman" w:hAnsi="Times New Roman"/>
          <w:color w:val="0070C0"/>
          <w:sz w:val="16"/>
          <w:szCs w:val="16"/>
        </w:rPr>
        <w:softHyphen/>
        <w:t>мостоятельно летчик Благин.</w:t>
      </w:r>
    </w:p>
    <w:p w14:paraId="5645F112" w14:textId="77777777" w:rsidR="00CA6AB8" w:rsidRPr="00C33834" w:rsidRDefault="00CA6AB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В ходе испытаний А-6 впервые пришлось столкнуться с явлением «земного резонанса» - самовозбуждающихся колебаний лопастей ротора в плоскости его вращения. Причина возникновения таких автоколебаний была изуче</w:t>
      </w:r>
      <w:r w:rsidRPr="00C33834">
        <w:rPr>
          <w:rFonts w:ascii="Times New Roman" w:hAnsi="Times New Roman"/>
          <w:color w:val="0070C0"/>
          <w:sz w:val="16"/>
          <w:szCs w:val="16"/>
        </w:rPr>
        <w:softHyphen/>
        <w:t>на, ее устранили путем изменения характеристик упруго</w:t>
      </w:r>
      <w:r w:rsidRPr="00C33834">
        <w:rPr>
          <w:rFonts w:ascii="Times New Roman" w:hAnsi="Times New Roman"/>
          <w:color w:val="0070C0"/>
          <w:sz w:val="16"/>
          <w:szCs w:val="16"/>
        </w:rPr>
        <w:softHyphen/>
        <w:t>сти в шарнирной заделке лопастей несущего ротора.</w:t>
      </w:r>
    </w:p>
    <w:p w14:paraId="543E3613" w14:textId="77777777" w:rsidR="00CA6AB8" w:rsidRPr="00C33834" w:rsidRDefault="00CA6AB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Заводские испытания А-6 закончились в начале декаб</w:t>
      </w:r>
      <w:r w:rsidRPr="00C33834">
        <w:rPr>
          <w:rFonts w:ascii="Times New Roman" w:hAnsi="Times New Roman"/>
          <w:color w:val="0070C0"/>
          <w:sz w:val="16"/>
          <w:szCs w:val="16"/>
        </w:rPr>
        <w:softHyphen/>
        <w:t>ря 1933 г., после чего 22 декабря машину передали воен</w:t>
      </w:r>
      <w:r w:rsidRPr="00C33834">
        <w:rPr>
          <w:rFonts w:ascii="Times New Roman" w:hAnsi="Times New Roman"/>
          <w:color w:val="0070C0"/>
          <w:sz w:val="16"/>
          <w:szCs w:val="16"/>
        </w:rPr>
        <w:softHyphen/>
        <w:t>ным испытателям для продолжения тестирования. Со</w:t>
      </w:r>
      <w:r w:rsidRPr="00C33834">
        <w:rPr>
          <w:rFonts w:ascii="Times New Roman" w:hAnsi="Times New Roman"/>
          <w:color w:val="0070C0"/>
          <w:sz w:val="16"/>
          <w:szCs w:val="16"/>
        </w:rPr>
        <w:softHyphen/>
        <w:t>гласно данным А.М. Изаксона, 5 (или 6) января 1934 г. при испытании А-6 в НИИ ВВС при резком выходе из пикиро</w:t>
      </w:r>
      <w:r w:rsidRPr="00C33834">
        <w:rPr>
          <w:rFonts w:ascii="Times New Roman" w:hAnsi="Times New Roman"/>
          <w:color w:val="0070C0"/>
          <w:sz w:val="16"/>
          <w:szCs w:val="16"/>
        </w:rPr>
        <w:softHyphen/>
        <w:t>вания сложились лопасти ротора и произошла катастро</w:t>
      </w:r>
      <w:r w:rsidRPr="00C33834">
        <w:rPr>
          <w:rFonts w:ascii="Times New Roman" w:hAnsi="Times New Roman"/>
          <w:color w:val="0070C0"/>
          <w:sz w:val="16"/>
          <w:szCs w:val="16"/>
        </w:rPr>
        <w:softHyphen/>
        <w:t>фа.</w:t>
      </w:r>
    </w:p>
    <w:p w14:paraId="71AD5E60" w14:textId="77777777" w:rsidR="00CA6AB8" w:rsidRPr="00C33834" w:rsidRDefault="00CA6AB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Данные и характеристики А-6</w:t>
      </w:r>
    </w:p>
    <w:p w14:paraId="230A8329" w14:textId="77777777" w:rsidR="00CA6AB8" w:rsidRPr="00C33834" w:rsidRDefault="00CA6AB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fldChar w:fldCharType="begin"/>
      </w:r>
      <w:r w:rsidRPr="00C33834">
        <w:rPr>
          <w:rFonts w:ascii="Times New Roman" w:hAnsi="Times New Roman"/>
          <w:color w:val="0070C0"/>
          <w:sz w:val="16"/>
          <w:szCs w:val="16"/>
        </w:rPr>
        <w:instrText xml:space="preserve"> TOC \o "1-5" \h \z </w:instrText>
      </w:r>
      <w:r w:rsidRPr="00C33834">
        <w:rPr>
          <w:rFonts w:ascii="Times New Roman" w:hAnsi="Times New Roman"/>
          <w:color w:val="0070C0"/>
          <w:sz w:val="16"/>
          <w:szCs w:val="16"/>
        </w:rPr>
        <w:fldChar w:fldCharType="separate"/>
      </w:r>
      <w:r w:rsidRPr="00C33834">
        <w:rPr>
          <w:rFonts w:ascii="Times New Roman" w:hAnsi="Times New Roman"/>
          <w:color w:val="0070C0"/>
          <w:sz w:val="16"/>
          <w:szCs w:val="16"/>
        </w:rPr>
        <w:t>Диаметр ротора (м)</w:t>
      </w:r>
      <w:r w:rsidRPr="00C33834">
        <w:rPr>
          <w:rFonts w:ascii="Times New Roman" w:hAnsi="Times New Roman"/>
          <w:color w:val="0070C0"/>
          <w:sz w:val="16"/>
          <w:szCs w:val="16"/>
        </w:rPr>
        <w:tab/>
        <w:t>11,0</w:t>
      </w:r>
    </w:p>
    <w:p w14:paraId="65568027" w14:textId="77777777" w:rsidR="00CA6AB8" w:rsidRPr="00C33834" w:rsidRDefault="00CA6AB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Длина без ротора (м)</w:t>
      </w:r>
      <w:r w:rsidRPr="00C33834">
        <w:rPr>
          <w:rFonts w:ascii="Times New Roman" w:hAnsi="Times New Roman"/>
          <w:color w:val="0070C0"/>
          <w:sz w:val="16"/>
          <w:szCs w:val="16"/>
        </w:rPr>
        <w:tab/>
        <w:t>6,17</w:t>
      </w:r>
    </w:p>
    <w:p w14:paraId="427F4437" w14:textId="77777777" w:rsidR="00CA6AB8" w:rsidRPr="00C33834" w:rsidRDefault="00CA6AB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Высота в линии полета</w:t>
      </w:r>
      <w:r w:rsidRPr="00C33834">
        <w:rPr>
          <w:rFonts w:ascii="Times New Roman" w:hAnsi="Times New Roman"/>
          <w:color w:val="0070C0"/>
          <w:sz w:val="16"/>
          <w:szCs w:val="16"/>
        </w:rPr>
        <w:tab/>
        <w:t>(м)</w:t>
      </w:r>
      <w:r w:rsidRPr="00C33834">
        <w:rPr>
          <w:rFonts w:ascii="Times New Roman" w:hAnsi="Times New Roman"/>
          <w:color w:val="0070C0"/>
          <w:sz w:val="16"/>
          <w:szCs w:val="16"/>
        </w:rPr>
        <w:tab/>
        <w:t>3,0</w:t>
      </w:r>
    </w:p>
    <w:p w14:paraId="2768C8F9" w14:textId="77777777" w:rsidR="00CA6AB8" w:rsidRPr="00C33834" w:rsidRDefault="00CA6AB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Размах крыла (м)</w:t>
      </w:r>
      <w:r w:rsidRPr="00C33834">
        <w:rPr>
          <w:rFonts w:ascii="Times New Roman" w:hAnsi="Times New Roman"/>
          <w:color w:val="0070C0"/>
          <w:sz w:val="16"/>
          <w:szCs w:val="16"/>
        </w:rPr>
        <w:tab/>
        <w:t>6,6</w:t>
      </w:r>
    </w:p>
    <w:p w14:paraId="79F2CDDF" w14:textId="77777777" w:rsidR="00CA6AB8" w:rsidRPr="00C33834" w:rsidRDefault="00CA6AB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Вес пустого (кг)</w:t>
      </w:r>
      <w:r w:rsidRPr="00C33834">
        <w:rPr>
          <w:rFonts w:ascii="Times New Roman" w:hAnsi="Times New Roman"/>
          <w:color w:val="0070C0"/>
          <w:sz w:val="16"/>
          <w:szCs w:val="16"/>
        </w:rPr>
        <w:tab/>
        <w:t>562</w:t>
      </w:r>
    </w:p>
    <w:p w14:paraId="72D0E6E9" w14:textId="77777777" w:rsidR="00CA6AB8" w:rsidRPr="00C33834" w:rsidRDefault="00CA6AB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Полетный вес (кг)</w:t>
      </w:r>
      <w:r w:rsidRPr="00C33834">
        <w:rPr>
          <w:rFonts w:ascii="Times New Roman" w:hAnsi="Times New Roman"/>
          <w:color w:val="0070C0"/>
          <w:sz w:val="16"/>
          <w:szCs w:val="16"/>
        </w:rPr>
        <w:tab/>
        <w:t>815</w:t>
      </w:r>
    </w:p>
    <w:p w14:paraId="53375F12" w14:textId="77777777" w:rsidR="00CA6AB8" w:rsidRPr="00C33834" w:rsidRDefault="00CA6AB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Скорость максимальная</w:t>
      </w:r>
      <w:r w:rsidRPr="00C33834">
        <w:rPr>
          <w:rFonts w:ascii="Times New Roman" w:hAnsi="Times New Roman"/>
          <w:color w:val="0070C0"/>
          <w:sz w:val="16"/>
          <w:szCs w:val="16"/>
        </w:rPr>
        <w:tab/>
        <w:t>у земли (км/ч)</w:t>
      </w:r>
      <w:r w:rsidRPr="00C33834">
        <w:rPr>
          <w:rFonts w:ascii="Times New Roman" w:hAnsi="Times New Roman"/>
          <w:color w:val="0070C0"/>
          <w:sz w:val="16"/>
          <w:szCs w:val="16"/>
        </w:rPr>
        <w:tab/>
        <w:t>135</w:t>
      </w:r>
    </w:p>
    <w:p w14:paraId="0E471B12" w14:textId="77777777" w:rsidR="00CA6AB8" w:rsidRPr="00C33834" w:rsidRDefault="00CA6AB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Скорость минимальная</w:t>
      </w:r>
      <w:r w:rsidRPr="00C33834">
        <w:rPr>
          <w:rFonts w:ascii="Times New Roman" w:hAnsi="Times New Roman"/>
          <w:color w:val="0070C0"/>
          <w:sz w:val="16"/>
          <w:szCs w:val="16"/>
        </w:rPr>
        <w:tab/>
        <w:t>у земли (км/ч)</w:t>
      </w:r>
      <w:r w:rsidRPr="00C33834">
        <w:rPr>
          <w:rFonts w:ascii="Times New Roman" w:hAnsi="Times New Roman"/>
          <w:color w:val="0070C0"/>
          <w:sz w:val="16"/>
          <w:szCs w:val="16"/>
        </w:rPr>
        <w:tab/>
        <w:t>55</w:t>
      </w:r>
    </w:p>
    <w:p w14:paraId="58E639BC" w14:textId="77777777" w:rsidR="00CA6AB8" w:rsidRPr="00C33834" w:rsidRDefault="00CA6AB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Потолок (м)</w:t>
      </w:r>
      <w:r w:rsidRPr="00C33834">
        <w:rPr>
          <w:rFonts w:ascii="Times New Roman" w:hAnsi="Times New Roman"/>
          <w:color w:val="0070C0"/>
          <w:sz w:val="16"/>
          <w:szCs w:val="16"/>
        </w:rPr>
        <w:tab/>
        <w:t>1600</w:t>
      </w:r>
    </w:p>
    <w:p w14:paraId="1341C3FB" w14:textId="77777777" w:rsidR="00CA6AB8" w:rsidRPr="00C33834" w:rsidRDefault="00CA6AB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Дальность полета (км)</w:t>
      </w:r>
      <w:r w:rsidRPr="00C33834">
        <w:rPr>
          <w:rFonts w:ascii="Times New Roman" w:hAnsi="Times New Roman"/>
          <w:color w:val="0070C0"/>
          <w:sz w:val="16"/>
          <w:szCs w:val="16"/>
        </w:rPr>
        <w:tab/>
        <w:t>220</w:t>
      </w:r>
    </w:p>
    <w:p w14:paraId="5D083020" w14:textId="77777777" w:rsidR="00CA6AB8" w:rsidRPr="00C33834" w:rsidRDefault="00CA6AB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Длина разбега (м)</w:t>
      </w:r>
      <w:r w:rsidRPr="00C33834">
        <w:rPr>
          <w:rFonts w:ascii="Times New Roman" w:hAnsi="Times New Roman"/>
          <w:color w:val="0070C0"/>
          <w:sz w:val="16"/>
          <w:szCs w:val="16"/>
        </w:rPr>
        <w:tab/>
        <w:t>65</w:t>
      </w:r>
      <w:r w:rsidRPr="00C33834">
        <w:rPr>
          <w:rFonts w:ascii="Times New Roman" w:hAnsi="Times New Roman"/>
          <w:color w:val="0070C0"/>
          <w:sz w:val="16"/>
          <w:szCs w:val="16"/>
        </w:rPr>
        <w:fldChar w:fldCharType="end"/>
      </w:r>
      <w:r w:rsidRPr="00C33834">
        <w:rPr>
          <w:rFonts w:ascii="Times New Roman" w:hAnsi="Times New Roman"/>
          <w:color w:val="0070C0"/>
          <w:sz w:val="16"/>
          <w:szCs w:val="16"/>
        </w:rPr>
        <w:t xml:space="preserve"> (20361).</w:t>
      </w:r>
    </w:p>
    <w:p w14:paraId="0A41BE1E" w14:textId="77777777" w:rsidR="00CA6AB8" w:rsidRPr="00C33834" w:rsidRDefault="00CA6AB8" w:rsidP="00C33834">
      <w:pPr>
        <w:spacing w:after="0" w:line="240" w:lineRule="auto"/>
        <w:jc w:val="both"/>
        <w:rPr>
          <w:rFonts w:ascii="Times New Roman" w:hAnsi="Times New Roman"/>
          <w:color w:val="0070C0"/>
          <w:sz w:val="16"/>
          <w:szCs w:val="16"/>
        </w:rPr>
      </w:pPr>
    </w:p>
    <w:p w14:paraId="231A4E91" w14:textId="77777777" w:rsidR="00CA6AB8" w:rsidRPr="00C33834" w:rsidRDefault="00CA6AB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сентября 1933 опросом членов ПБ</w:t>
      </w:r>
    </w:p>
    <w:p w14:paraId="4344D7C8" w14:textId="77777777" w:rsidR="00CA6AB8" w:rsidRPr="00C33834" w:rsidRDefault="00CA6AB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54/37.- О полете французов в СССР.</w:t>
      </w:r>
    </w:p>
    <w:p w14:paraId="4316FBF5" w14:textId="77777777" w:rsidR="00CA6AB8" w:rsidRPr="00C33834" w:rsidRDefault="00CA6AB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Не возражать против участия в перелете министра авиации Кота и официальной военной миссии.</w:t>
      </w:r>
    </w:p>
    <w:p w14:paraId="63CCB9D9" w14:textId="77777777" w:rsidR="00CA6AB8" w:rsidRPr="00C33834" w:rsidRDefault="00CA6AB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Выписка разослана: т.т. Тухачевскому, Литвинову, Артузову.</w:t>
      </w:r>
    </w:p>
    <w:p w14:paraId="40029D7D" w14:textId="77777777" w:rsidR="00CA6AB8" w:rsidRPr="00C33834" w:rsidRDefault="00CA6AB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сентября 1933 состоялось заседание ПБ и был оформлен протокол № 145 (29995).</w:t>
      </w:r>
    </w:p>
    <w:p w14:paraId="3F608E37" w14:textId="77777777" w:rsidR="00CA6AB8" w:rsidRPr="00C33834" w:rsidRDefault="00CA6AB8" w:rsidP="00C33834">
      <w:pPr>
        <w:spacing w:after="0" w:line="240" w:lineRule="auto"/>
        <w:jc w:val="both"/>
        <w:rPr>
          <w:rFonts w:ascii="Times New Roman" w:hAnsi="Times New Roman"/>
          <w:color w:val="0070C0"/>
          <w:sz w:val="16"/>
          <w:szCs w:val="16"/>
        </w:rPr>
      </w:pPr>
    </w:p>
    <w:p w14:paraId="763CAA98" w14:textId="77777777" w:rsidR="00CA6AB8" w:rsidRPr="00C33834" w:rsidRDefault="00CA6AB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shd w:val="clear" w:color="auto" w:fill="FFFFFF"/>
        </w:rPr>
        <w:t>3 сентября 1933 в бухту Тикси, на новый аэродром, прилетел самолет С.А. Леваневского, который должен был провести для Челюскина ледовую разведку района до пролива Санникова. 7 сентября начала работать радиостанция мыса Северный, завершался монтаж еще одной, на Медвежьих островах. 19 сентября с нового аэродрома на мысе Северный О.Ю. Шмидт вместе с начальником Северо-восточной летной группы ГУСМП Г.Д. Красинским на самолете достиг острова Врангеля, к которому «Челюскин» так и не смог подойти из-за сильного сплочения льдов. Тот же самолет Красинского — «Юнкерсе» провел разведку льдов в Чукотском море (20467).</w:t>
      </w:r>
    </w:p>
    <w:p w14:paraId="10698886" w14:textId="77777777" w:rsidR="00CA6AB8" w:rsidRPr="00C33834" w:rsidRDefault="00CA6AB8" w:rsidP="00C33834">
      <w:pPr>
        <w:spacing w:after="0" w:line="240" w:lineRule="auto"/>
        <w:jc w:val="both"/>
        <w:rPr>
          <w:rFonts w:ascii="Times New Roman" w:hAnsi="Times New Roman"/>
          <w:color w:val="0070C0"/>
          <w:sz w:val="16"/>
          <w:szCs w:val="16"/>
        </w:rPr>
      </w:pPr>
    </w:p>
    <w:p w14:paraId="4E0CD5AE" w14:textId="14548A13" w:rsidR="00CA6AB8" w:rsidRPr="00C33834" w:rsidRDefault="00CA6AB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сентября 1933 «СССР В-3» выполнял перелёт по маршруту Долгопрудная — Калуга — Дол</w:t>
      </w:r>
      <w:r w:rsidRPr="00C33834">
        <w:rPr>
          <w:rFonts w:ascii="Times New Roman" w:hAnsi="Times New Roman"/>
          <w:color w:val="0070C0"/>
          <w:sz w:val="16"/>
          <w:szCs w:val="16"/>
        </w:rPr>
        <w:softHyphen/>
        <w:t>гопрудная. Подлетая к Калуге, корабль встретил грозу, и командир решил возвращаться обратно. При возвращении экипаж потерял ориентировку и оказался в районе Рыбинска. Попав в запрет</w:t>
      </w:r>
      <w:r w:rsidRPr="00C33834">
        <w:rPr>
          <w:rFonts w:ascii="Times New Roman" w:hAnsi="Times New Roman"/>
          <w:color w:val="0070C0"/>
          <w:sz w:val="16"/>
          <w:szCs w:val="16"/>
        </w:rPr>
        <w:softHyphen/>
        <w:t>ную зону, дирижабль подвергся обстрелу с зем</w:t>
      </w:r>
      <w:r w:rsidRPr="00C33834">
        <w:rPr>
          <w:rFonts w:ascii="Times New Roman" w:hAnsi="Times New Roman"/>
          <w:color w:val="0070C0"/>
          <w:sz w:val="16"/>
          <w:szCs w:val="16"/>
        </w:rPr>
        <w:softHyphen/>
        <w:t>ли, но благополучно сел около Рыбинска. Из-за полученных при обстреле пробоин и потери газа, возвращение его стало невозможным. Ввиду опасности образования гремучего газа было дано распоряжение о разоружении корабля, проведён</w:t>
      </w:r>
      <w:r w:rsidRPr="00C33834">
        <w:rPr>
          <w:rFonts w:ascii="Times New Roman" w:hAnsi="Times New Roman"/>
          <w:color w:val="0070C0"/>
          <w:sz w:val="16"/>
          <w:szCs w:val="16"/>
        </w:rPr>
        <w:softHyphen/>
        <w:t>ном крайне безграмотно. Не были соблюдены элементарные меры предосторожности, из-за чего оболочка корабля, отделённая от гондолы, поднялась в воздух и увлекла за собой несколь</w:t>
      </w:r>
      <w:r w:rsidRPr="00C33834">
        <w:rPr>
          <w:rFonts w:ascii="Times New Roman" w:hAnsi="Times New Roman"/>
          <w:color w:val="0070C0"/>
          <w:sz w:val="16"/>
          <w:szCs w:val="16"/>
        </w:rPr>
        <w:softHyphen/>
        <w:t>ких человек, державших её за стропы. На высоте2000 м она лопнула, и поднятые в воздух крас</w:t>
      </w:r>
      <w:r w:rsidRPr="00C33834">
        <w:rPr>
          <w:rFonts w:ascii="Times New Roman" w:hAnsi="Times New Roman"/>
          <w:color w:val="0070C0"/>
          <w:sz w:val="16"/>
          <w:szCs w:val="16"/>
        </w:rPr>
        <w:softHyphen/>
        <w:t>ноармеец и рабочий разбились насмерть. Коман</w:t>
      </w:r>
      <w:r w:rsidRPr="00C33834">
        <w:rPr>
          <w:rFonts w:ascii="Times New Roman" w:hAnsi="Times New Roman"/>
          <w:color w:val="0070C0"/>
          <w:sz w:val="16"/>
          <w:szCs w:val="16"/>
        </w:rPr>
        <w:softHyphen/>
        <w:t>дира И.И. Мейснера, в третий раз аварийно поса</w:t>
      </w:r>
      <w:r w:rsidRPr="00C33834">
        <w:rPr>
          <w:rFonts w:ascii="Times New Roman" w:hAnsi="Times New Roman"/>
          <w:color w:val="0070C0"/>
          <w:sz w:val="16"/>
          <w:szCs w:val="16"/>
        </w:rPr>
        <w:softHyphen/>
        <w:t>дившего «СССР В-3» (каждый раз дирижабль ра</w:t>
      </w:r>
      <w:r w:rsidRPr="00C33834">
        <w:rPr>
          <w:rFonts w:ascii="Times New Roman" w:hAnsi="Times New Roman"/>
          <w:color w:val="0070C0"/>
          <w:sz w:val="16"/>
          <w:szCs w:val="16"/>
        </w:rPr>
        <w:softHyphen/>
        <w:t>зоружался), и его помощника Л.М. Шнейдермана отстранили от работы, а А.С. Куприянова сняли с должности начальника порта (20120).</w:t>
      </w:r>
    </w:p>
    <w:p w14:paraId="5D6E5504" w14:textId="0539327C" w:rsidR="00CA6AB8" w:rsidRPr="00C33834" w:rsidRDefault="00CA6AB8" w:rsidP="00C33834">
      <w:pPr>
        <w:spacing w:after="0" w:line="240" w:lineRule="auto"/>
        <w:jc w:val="both"/>
        <w:rPr>
          <w:rFonts w:ascii="Times New Roman" w:hAnsi="Times New Roman"/>
          <w:color w:val="0070C0"/>
          <w:sz w:val="16"/>
          <w:szCs w:val="16"/>
        </w:rPr>
      </w:pPr>
    </w:p>
    <w:p w14:paraId="7E5274D8" w14:textId="69707A16" w:rsidR="00CA6AB8" w:rsidRPr="00C33834" w:rsidRDefault="00CA6AB8" w:rsidP="00C33834">
      <w:pPr>
        <w:spacing w:after="0" w:line="240" w:lineRule="auto"/>
        <w:jc w:val="both"/>
        <w:rPr>
          <w:rFonts w:ascii="Times New Roman" w:hAnsi="Times New Roman"/>
          <w:i/>
          <w:iCs/>
          <w:color w:val="0070C0"/>
          <w:sz w:val="16"/>
          <w:szCs w:val="16"/>
        </w:rPr>
      </w:pPr>
      <w:r w:rsidRPr="00C33834">
        <w:rPr>
          <w:rFonts w:ascii="Times New Roman" w:hAnsi="Times New Roman"/>
          <w:i/>
          <w:iCs/>
          <w:color w:val="0070C0"/>
          <w:sz w:val="16"/>
          <w:szCs w:val="16"/>
        </w:rPr>
        <w:t>Армия:</w:t>
      </w:r>
    </w:p>
    <w:p w14:paraId="4D9E38C5" w14:textId="77777777" w:rsidR="00CA6AB8" w:rsidRPr="00C33834" w:rsidRDefault="00CA6AB8" w:rsidP="00C33834">
      <w:pPr>
        <w:spacing w:after="0" w:line="240" w:lineRule="auto"/>
        <w:jc w:val="both"/>
        <w:rPr>
          <w:rFonts w:ascii="Times New Roman" w:hAnsi="Times New Roman"/>
          <w:i/>
          <w:iCs/>
          <w:color w:val="0070C0"/>
          <w:sz w:val="16"/>
          <w:szCs w:val="16"/>
        </w:rPr>
      </w:pPr>
    </w:p>
    <w:p w14:paraId="364FF22B" w14:textId="77777777" w:rsidR="00CA6AB8" w:rsidRPr="00C33834" w:rsidRDefault="00CA6AB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сентября 1933 года на основании Постановления Совета Труда и Обороны СССР № 773/108сс образовано Спецгео. Главная задача предприятия - обеспечение командования Красной Армии военной геолого-географической информацией территорий возможного ведения боевых действий. В период 1941-1945 г.г. предприятием при штабах инженерных войск фронтов были созданы военно-геологические отряды (ВГО), которые в боевой обстановке решали задачи оценки проходимости местности, условий водоснабжения войск, преодоления водных преград, наличия месторождений местных строительных материалов и т.д. (21177).</w:t>
      </w:r>
    </w:p>
    <w:p w14:paraId="340A2BA5" w14:textId="77777777" w:rsidR="00CA6AB8" w:rsidRPr="00C33834" w:rsidRDefault="00CA6AB8" w:rsidP="00C33834">
      <w:pPr>
        <w:spacing w:after="0" w:line="240" w:lineRule="auto"/>
        <w:jc w:val="both"/>
        <w:rPr>
          <w:rFonts w:ascii="Times New Roman" w:hAnsi="Times New Roman"/>
          <w:color w:val="0070C0"/>
          <w:sz w:val="16"/>
          <w:szCs w:val="16"/>
        </w:rPr>
      </w:pPr>
    </w:p>
    <w:p w14:paraId="246313CE" w14:textId="77777777" w:rsidR="005F0450"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07FB84A1" w14:textId="77777777" w:rsidR="005F0450" w:rsidRPr="00C33834" w:rsidRDefault="005F0450" w:rsidP="00C33834">
      <w:pPr>
        <w:spacing w:after="0" w:line="240" w:lineRule="auto"/>
        <w:jc w:val="both"/>
        <w:rPr>
          <w:rFonts w:ascii="Times New Roman" w:hAnsi="Times New Roman"/>
          <w:iCs/>
          <w:color w:val="000000" w:themeColor="text1"/>
          <w:sz w:val="16"/>
          <w:szCs w:val="16"/>
        </w:rPr>
      </w:pPr>
    </w:p>
    <w:p w14:paraId="571BD034" w14:textId="77777777" w:rsidR="005F0450" w:rsidRPr="00C33834" w:rsidRDefault="005F0450" w:rsidP="00C33834">
      <w:pPr>
        <w:spacing w:after="0" w:line="240" w:lineRule="auto"/>
        <w:jc w:val="both"/>
        <w:rPr>
          <w:rFonts w:ascii="Times New Roman" w:hAnsi="Times New Roman"/>
          <w:color w:val="000000" w:themeColor="text1"/>
          <w:sz w:val="16"/>
          <w:szCs w:val="16"/>
        </w:rPr>
      </w:pPr>
      <w:r w:rsidRPr="00C33834">
        <w:rPr>
          <w:rStyle w:val="ucoz-forum-post"/>
          <w:rFonts w:ascii="Times New Roman" w:eastAsiaTheme="majorEastAsia" w:hAnsi="Times New Roman"/>
          <w:bCs/>
          <w:color w:val="000000" w:themeColor="text1"/>
          <w:sz w:val="16"/>
          <w:szCs w:val="16"/>
        </w:rPr>
        <w:t xml:space="preserve">3 сентября </w:t>
      </w:r>
      <w:r w:rsidRPr="00C33834">
        <w:rPr>
          <w:rFonts w:ascii="Times New Roman" w:hAnsi="Times New Roman"/>
          <w:color w:val="000000" w:themeColor="text1"/>
          <w:sz w:val="16"/>
          <w:szCs w:val="16"/>
        </w:rPr>
        <w:t>1933 году завершился 9500-километровый автомотопробег Москва—Каракумы—Москва (14758).</w:t>
      </w:r>
    </w:p>
    <w:p w14:paraId="610F522D" w14:textId="77777777" w:rsidR="005F0450" w:rsidRPr="00C33834" w:rsidRDefault="005F0450" w:rsidP="00C33834">
      <w:pPr>
        <w:spacing w:after="0" w:line="240" w:lineRule="auto"/>
        <w:jc w:val="both"/>
        <w:rPr>
          <w:rFonts w:ascii="Times New Roman" w:hAnsi="Times New Roman"/>
          <w:color w:val="000000" w:themeColor="text1"/>
          <w:sz w:val="16"/>
          <w:szCs w:val="16"/>
        </w:rPr>
      </w:pPr>
    </w:p>
    <w:p w14:paraId="11FEA41A" w14:textId="77777777" w:rsidR="00CA6AB8" w:rsidRPr="00C33834" w:rsidRDefault="00CA6AB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сентября 1933 года выдающийся красноярский альпинист Евгений Михайлович Абалаков совершил первое в истории восхождение на самую высокую точку СССР — пик Коммунизма. Пик Коммунизма (тогда - пик Сталина, а ныне пик Исмоила Сомони) находится на Памире и имеет высоту 7495 метров. В общем списке высочайших вершин мира находится на 50-м месте. Евгений Абалаков ушёл на фронт добровольцем, участвовал в битве за Москву, обороне Кавказа (21177).</w:t>
      </w:r>
    </w:p>
    <w:p w14:paraId="70EA35E9" w14:textId="77777777" w:rsidR="00CA6AB8" w:rsidRPr="00C33834" w:rsidRDefault="00CA6AB8" w:rsidP="00C33834">
      <w:pPr>
        <w:spacing w:after="0" w:line="240" w:lineRule="auto"/>
        <w:jc w:val="both"/>
        <w:rPr>
          <w:rFonts w:ascii="Times New Roman" w:hAnsi="Times New Roman"/>
          <w:color w:val="0070C0"/>
          <w:sz w:val="16"/>
          <w:szCs w:val="16"/>
        </w:rPr>
      </w:pPr>
    </w:p>
    <w:p w14:paraId="23D068C8" w14:textId="77777777" w:rsidR="007F23E2"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D5091BB" w14:textId="77777777" w:rsidR="007F23E2" w:rsidRPr="00C33834" w:rsidRDefault="007F23E2" w:rsidP="00C33834">
      <w:pPr>
        <w:spacing w:after="0" w:line="240" w:lineRule="auto"/>
        <w:jc w:val="both"/>
        <w:rPr>
          <w:rFonts w:ascii="Times New Roman" w:hAnsi="Times New Roman"/>
          <w:iCs/>
          <w:color w:val="000000" w:themeColor="text1"/>
          <w:sz w:val="16"/>
          <w:szCs w:val="16"/>
        </w:rPr>
      </w:pPr>
    </w:p>
    <w:p w14:paraId="66F37AF0"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день-два до полета, то есть 4 сентября 1933, П.И.Б. был в Воронеже и встретился с С.А.М., который в то время завершил гос. испытания дюралевого САМ-5. Одобрил, но сказал, что металлический - не выйдет, надо делать деревянный вариант - САМ-5бис и притом истребитель. Есть версия, что разбился не по пути на юг, а наоборот, по пути из Воронежа (557,49).</w:t>
      </w:r>
    </w:p>
    <w:p w14:paraId="25C03862"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5A3FD05B"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сентября 1933 проходили испытания автожира «4А» с мотором М-26 300 НР, которые проходили с 16 августа 1933 (6646).</w:t>
      </w:r>
    </w:p>
    <w:p w14:paraId="5D291B35"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0D05AC87"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Бронин</w:t>
      </w:r>
    </w:p>
    <w:p w14:paraId="2DB87C94"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Тихонов</w:t>
      </w:r>
    </w:p>
    <w:p w14:paraId="199002D3"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Летнаб Агишев</w:t>
      </w:r>
    </w:p>
    <w:p w14:paraId="44C90FF3"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7075B910" w14:textId="77777777" w:rsidR="007F23E2" w:rsidRPr="00C33834" w:rsidRDefault="007F23E2" w:rsidP="00C33834">
      <w:pPr>
        <w:numPr>
          <w:ilvl w:val="0"/>
          <w:numId w:val="25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Снятие летной характеристики.</w:t>
      </w:r>
    </w:p>
    <w:p w14:paraId="6F498835" w14:textId="77777777" w:rsidR="007F23E2" w:rsidRPr="00C33834" w:rsidRDefault="007F23E2" w:rsidP="00C33834">
      <w:pPr>
        <w:numPr>
          <w:ilvl w:val="0"/>
          <w:numId w:val="25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летных свойств и особенностей пилотирования автожира, как особого типа летательного аппарата.</w:t>
      </w:r>
    </w:p>
    <w:p w14:paraId="72FB3A95"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2B036489" w14:textId="77777777" w:rsidR="007F23E2" w:rsidRPr="00C33834" w:rsidRDefault="007F23E2" w:rsidP="00C33834">
      <w:pPr>
        <w:pStyle w:val="31"/>
        <w:widowControl/>
        <w:numPr>
          <w:ilvl w:val="0"/>
          <w:numId w:val="255"/>
        </w:numPr>
        <w:tabs>
          <w:tab w:val="left" w:pos="360"/>
          <w:tab w:val="left" w:pos="11199"/>
        </w:tabs>
        <w:ind w:left="0" w:firstLine="0"/>
        <w:jc w:val="both"/>
        <w:rPr>
          <w:color w:val="000000" w:themeColor="text1"/>
        </w:rPr>
      </w:pPr>
      <w:r w:rsidRPr="00C33834">
        <w:rPr>
          <w:color w:val="000000" w:themeColor="text1"/>
        </w:rPr>
        <w:t>Серия автожиров завода № 43 на основании испытания головной машины А-4 М-26 № 4301 может быть допущена для передачи в строевые части с целью ознакомления с особенностями пилотирования и эксплуатации автожиров.</w:t>
      </w:r>
    </w:p>
    <w:p w14:paraId="3C349FBB" w14:textId="77777777" w:rsidR="007F23E2" w:rsidRPr="00C33834" w:rsidRDefault="007F23E2" w:rsidP="00C33834">
      <w:pPr>
        <w:numPr>
          <w:ilvl w:val="0"/>
          <w:numId w:val="256"/>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Поскольку на автожире установлен мотор М-26 обладающий скверными эксплуатационными данными, поскольку автожир А-4 имеет нескладывающийся ротор, выявил недостаточную устойчивость и взлетные свойства, считать нецелесообразным данный тип автожира строить сверх указанной уже серии.</w:t>
      </w:r>
    </w:p>
    <w:p w14:paraId="49E0991B" w14:textId="77777777" w:rsidR="007F23E2" w:rsidRPr="00C33834" w:rsidRDefault="007F23E2" w:rsidP="00C33834">
      <w:pPr>
        <w:numPr>
          <w:ilvl w:val="0"/>
          <w:numId w:val="257"/>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Форсировать передачу на гос. испытания А-6 М-11, как обладающего рядом эксплуатационных преимуществ перед А-4, а именно складывающийся ротор и крылья, свободно махающие лопасти и надежный мотор М-11.</w:t>
      </w:r>
    </w:p>
    <w:p w14:paraId="485E8849"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 автожира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46EA55D2" w14:textId="77777777">
        <w:tc>
          <w:tcPr>
            <w:tcW w:w="5636" w:type="dxa"/>
          </w:tcPr>
          <w:p w14:paraId="6D9F2C70"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августа 1933 года</w:t>
            </w:r>
          </w:p>
        </w:tc>
        <w:tc>
          <w:tcPr>
            <w:tcW w:w="5636" w:type="dxa"/>
          </w:tcPr>
          <w:p w14:paraId="0E78AF50"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 принят на испытания. Проведено 2 приемных полета и перелет из Москвы в Щелково.</w:t>
            </w:r>
          </w:p>
        </w:tc>
      </w:tr>
      <w:tr w:rsidR="00F26F01" w:rsidRPr="00C33834" w14:paraId="04FECEC6" w14:textId="77777777">
        <w:tc>
          <w:tcPr>
            <w:tcW w:w="5636" w:type="dxa"/>
          </w:tcPr>
          <w:p w14:paraId="26EB3740"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августа 1933 года</w:t>
            </w:r>
          </w:p>
        </w:tc>
        <w:tc>
          <w:tcPr>
            <w:tcW w:w="5636" w:type="dxa"/>
          </w:tcPr>
          <w:p w14:paraId="28B3638D"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тренировочных полетов.</w:t>
            </w:r>
          </w:p>
        </w:tc>
      </w:tr>
      <w:tr w:rsidR="00F26F01" w:rsidRPr="00C33834" w14:paraId="4E0CE669" w14:textId="77777777">
        <w:tc>
          <w:tcPr>
            <w:tcW w:w="5636" w:type="dxa"/>
          </w:tcPr>
          <w:p w14:paraId="3E4F3E66"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августа 1933 года</w:t>
            </w:r>
          </w:p>
        </w:tc>
        <w:tc>
          <w:tcPr>
            <w:tcW w:w="5636" w:type="dxa"/>
          </w:tcPr>
          <w:p w14:paraId="011998F0"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Демонстрационный полет.</w:t>
            </w:r>
          </w:p>
        </w:tc>
      </w:tr>
      <w:tr w:rsidR="00F26F01" w:rsidRPr="00C33834" w14:paraId="5E3FEF45" w14:textId="77777777">
        <w:tc>
          <w:tcPr>
            <w:tcW w:w="5636" w:type="dxa"/>
          </w:tcPr>
          <w:p w14:paraId="5FF01EF7"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августа 1933 года</w:t>
            </w:r>
          </w:p>
        </w:tc>
        <w:tc>
          <w:tcPr>
            <w:tcW w:w="5636" w:type="dxa"/>
          </w:tcPr>
          <w:p w14:paraId="19E0C05A"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полета на километраж.</w:t>
            </w:r>
          </w:p>
        </w:tc>
      </w:tr>
      <w:tr w:rsidR="00F26F01" w:rsidRPr="00C33834" w14:paraId="7DBF8A06" w14:textId="77777777">
        <w:tc>
          <w:tcPr>
            <w:tcW w:w="5636" w:type="dxa"/>
          </w:tcPr>
          <w:p w14:paraId="55CB1B35"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августа 1933 года</w:t>
            </w:r>
          </w:p>
        </w:tc>
        <w:tc>
          <w:tcPr>
            <w:tcW w:w="5636" w:type="dxa"/>
          </w:tcPr>
          <w:p w14:paraId="6BDFA4BB"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полетов на выяснение взлетно-посадочных свойств самолета.</w:t>
            </w:r>
          </w:p>
        </w:tc>
      </w:tr>
      <w:tr w:rsidR="00F26F01" w:rsidRPr="00C33834" w14:paraId="651B1A8F" w14:textId="77777777">
        <w:tc>
          <w:tcPr>
            <w:tcW w:w="5636" w:type="dxa"/>
          </w:tcPr>
          <w:p w14:paraId="381EFE31"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августа 1933 года</w:t>
            </w:r>
          </w:p>
        </w:tc>
        <w:tc>
          <w:tcPr>
            <w:tcW w:w="5636" w:type="dxa"/>
          </w:tcPr>
          <w:p w14:paraId="180A7AF0"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полета на устойчивость на 1500 м.</w:t>
            </w:r>
          </w:p>
        </w:tc>
      </w:tr>
      <w:tr w:rsidR="00F26F01" w:rsidRPr="00C33834" w14:paraId="4127FBD3" w14:textId="77777777">
        <w:tc>
          <w:tcPr>
            <w:tcW w:w="5636" w:type="dxa"/>
          </w:tcPr>
          <w:p w14:paraId="5BD6C3D4"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p>
        </w:tc>
        <w:tc>
          <w:tcPr>
            <w:tcW w:w="5636" w:type="dxa"/>
          </w:tcPr>
          <w:p w14:paraId="59237AB9"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зубцы с летнабом.</w:t>
            </w:r>
          </w:p>
        </w:tc>
      </w:tr>
    </w:tbl>
    <w:p w14:paraId="35F4A7B8"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дальнейшие полеты произведены с летнабом.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058DE1AC" w14:textId="77777777">
        <w:tc>
          <w:tcPr>
            <w:tcW w:w="5636" w:type="dxa"/>
          </w:tcPr>
          <w:p w14:paraId="05D2FE10"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23 августа 1933 года</w:t>
            </w:r>
          </w:p>
        </w:tc>
        <w:tc>
          <w:tcPr>
            <w:tcW w:w="5636" w:type="dxa"/>
          </w:tcPr>
          <w:p w14:paraId="0A69527B"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зубцы.</w:t>
            </w:r>
          </w:p>
        </w:tc>
      </w:tr>
      <w:tr w:rsidR="00F26F01" w:rsidRPr="00C33834" w14:paraId="16820404" w14:textId="77777777">
        <w:tc>
          <w:tcPr>
            <w:tcW w:w="5636" w:type="dxa"/>
          </w:tcPr>
          <w:p w14:paraId="2F1744AC"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августа 1933 года</w:t>
            </w:r>
          </w:p>
        </w:tc>
        <w:tc>
          <w:tcPr>
            <w:tcW w:w="5636" w:type="dxa"/>
          </w:tcPr>
          <w:p w14:paraId="2AB25560"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зубцы на 3500 м.</w:t>
            </w:r>
          </w:p>
        </w:tc>
      </w:tr>
      <w:tr w:rsidR="00F26F01" w:rsidRPr="00C33834" w14:paraId="148452A1" w14:textId="77777777">
        <w:tc>
          <w:tcPr>
            <w:tcW w:w="5636" w:type="dxa"/>
          </w:tcPr>
          <w:p w14:paraId="14E0D384"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августа 1933 года</w:t>
            </w:r>
          </w:p>
        </w:tc>
        <w:tc>
          <w:tcPr>
            <w:tcW w:w="5636" w:type="dxa"/>
          </w:tcPr>
          <w:p w14:paraId="101F1C10"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маневренность и управляемость на 1000 м и 2000 м.</w:t>
            </w:r>
          </w:p>
        </w:tc>
      </w:tr>
      <w:tr w:rsidR="00F26F01" w:rsidRPr="00C33834" w14:paraId="71F22A23" w14:textId="77777777">
        <w:tc>
          <w:tcPr>
            <w:tcW w:w="5636" w:type="dxa"/>
          </w:tcPr>
          <w:p w14:paraId="3362A289"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августа 1933 года</w:t>
            </w:r>
          </w:p>
        </w:tc>
        <w:tc>
          <w:tcPr>
            <w:tcW w:w="5636" w:type="dxa"/>
          </w:tcPr>
          <w:p w14:paraId="6A023683"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километраж (с летнабом).</w:t>
            </w:r>
          </w:p>
        </w:tc>
      </w:tr>
      <w:tr w:rsidR="00F26F01" w:rsidRPr="00C33834" w14:paraId="30EC67EA" w14:textId="77777777">
        <w:tc>
          <w:tcPr>
            <w:tcW w:w="5636" w:type="dxa"/>
          </w:tcPr>
          <w:p w14:paraId="724765CA"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августа 1933 года</w:t>
            </w:r>
          </w:p>
        </w:tc>
        <w:tc>
          <w:tcPr>
            <w:tcW w:w="5636" w:type="dxa"/>
          </w:tcPr>
          <w:p w14:paraId="3818F7EF"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километраж (1 пилот).</w:t>
            </w:r>
          </w:p>
        </w:tc>
      </w:tr>
      <w:tr w:rsidR="00F26F01" w:rsidRPr="00C33834" w14:paraId="20476E15" w14:textId="77777777">
        <w:tc>
          <w:tcPr>
            <w:tcW w:w="5636" w:type="dxa"/>
          </w:tcPr>
          <w:p w14:paraId="785B388C"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августа 1933 года</w:t>
            </w:r>
          </w:p>
        </w:tc>
        <w:tc>
          <w:tcPr>
            <w:tcW w:w="5636" w:type="dxa"/>
          </w:tcPr>
          <w:p w14:paraId="5E954A12"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скороподъемность и потолок.</w:t>
            </w:r>
          </w:p>
        </w:tc>
      </w:tr>
      <w:tr w:rsidR="00F26F01" w:rsidRPr="00C33834" w14:paraId="3E8FEAC2" w14:textId="77777777">
        <w:tc>
          <w:tcPr>
            <w:tcW w:w="5636" w:type="dxa"/>
          </w:tcPr>
          <w:p w14:paraId="6F56D16D"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года</w:t>
            </w:r>
          </w:p>
        </w:tc>
        <w:tc>
          <w:tcPr>
            <w:tcW w:w="5636" w:type="dxa"/>
          </w:tcPr>
          <w:p w14:paraId="70AD2C78"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маневренность и устойчивость.</w:t>
            </w:r>
          </w:p>
        </w:tc>
      </w:tr>
      <w:tr w:rsidR="00F26F01" w:rsidRPr="00C33834" w14:paraId="06205933" w14:textId="77777777">
        <w:tc>
          <w:tcPr>
            <w:tcW w:w="5636" w:type="dxa"/>
          </w:tcPr>
          <w:p w14:paraId="322DF55C"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года</w:t>
            </w:r>
          </w:p>
        </w:tc>
        <w:tc>
          <w:tcPr>
            <w:tcW w:w="5636" w:type="dxa"/>
          </w:tcPr>
          <w:p w14:paraId="282A9EF1"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полетов на определение взлетно-посадочных свойств, определение траектории взлета и посадки.</w:t>
            </w:r>
          </w:p>
        </w:tc>
      </w:tr>
      <w:tr w:rsidR="00F26F01" w:rsidRPr="00C33834" w14:paraId="2E7FA333" w14:textId="77777777">
        <w:tc>
          <w:tcPr>
            <w:tcW w:w="5636" w:type="dxa"/>
          </w:tcPr>
          <w:p w14:paraId="220A9E3F"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сентября 1933 года</w:t>
            </w:r>
          </w:p>
        </w:tc>
        <w:tc>
          <w:tcPr>
            <w:tcW w:w="5636" w:type="dxa"/>
          </w:tcPr>
          <w:p w14:paraId="0C658A84"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полета с перегрузкой в 53 кг на скороподъемность на 2000 м и горизонталь скорости по высотам и маневренность.</w:t>
            </w:r>
          </w:p>
        </w:tc>
      </w:tr>
      <w:tr w:rsidR="00F26F01" w:rsidRPr="00C33834" w14:paraId="59475E83" w14:textId="77777777">
        <w:tc>
          <w:tcPr>
            <w:tcW w:w="5636" w:type="dxa"/>
          </w:tcPr>
          <w:p w14:paraId="71A4ACAC"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p>
        </w:tc>
        <w:tc>
          <w:tcPr>
            <w:tcW w:w="5636" w:type="dxa"/>
          </w:tcPr>
          <w:p w14:paraId="558137D2"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облетных полетов (2 выпущено).</w:t>
            </w:r>
          </w:p>
        </w:tc>
      </w:tr>
      <w:tr w:rsidR="00F26F01" w:rsidRPr="00C33834" w14:paraId="642F3449" w14:textId="77777777">
        <w:tc>
          <w:tcPr>
            <w:tcW w:w="5636" w:type="dxa"/>
          </w:tcPr>
          <w:p w14:paraId="22019EA9"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сентября 1933 года</w:t>
            </w:r>
          </w:p>
        </w:tc>
        <w:tc>
          <w:tcPr>
            <w:tcW w:w="5636" w:type="dxa"/>
          </w:tcPr>
          <w:p w14:paraId="33306F6B"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облетных полетов (4 выпущено).</w:t>
            </w:r>
          </w:p>
        </w:tc>
      </w:tr>
    </w:tbl>
    <w:p w14:paraId="01F5BB40"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проведено в 14 дней (13 летных), проведено 69 полетов. Полетных часов – 20 час. 20 мин.</w:t>
      </w:r>
    </w:p>
    <w:p w14:paraId="4B1D3AD9"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технические и регулировочные данные автожира «4А»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2411D793" w14:textId="77777777">
        <w:tc>
          <w:tcPr>
            <w:tcW w:w="5636" w:type="dxa"/>
          </w:tcPr>
          <w:p w14:paraId="3B67844E"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Год выпуска</w:t>
            </w:r>
          </w:p>
        </w:tc>
        <w:tc>
          <w:tcPr>
            <w:tcW w:w="5636" w:type="dxa"/>
          </w:tcPr>
          <w:p w14:paraId="0D4B7D47"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r>
      <w:tr w:rsidR="00F26F01" w:rsidRPr="00C33834" w14:paraId="1F505403" w14:textId="77777777">
        <w:tc>
          <w:tcPr>
            <w:tcW w:w="5636" w:type="dxa"/>
          </w:tcPr>
          <w:p w14:paraId="5B87E084"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Полный полетный вес</w:t>
            </w:r>
          </w:p>
        </w:tc>
        <w:tc>
          <w:tcPr>
            <w:tcW w:w="5636" w:type="dxa"/>
          </w:tcPr>
          <w:p w14:paraId="06BD180D"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1391,4</w:t>
            </w:r>
          </w:p>
        </w:tc>
      </w:tr>
      <w:tr w:rsidR="00F26F01" w:rsidRPr="00C33834" w14:paraId="03D54F06" w14:textId="77777777">
        <w:tc>
          <w:tcPr>
            <w:tcW w:w="5636" w:type="dxa"/>
          </w:tcPr>
          <w:p w14:paraId="67B3ADC9"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Размах крыльев</w:t>
            </w:r>
          </w:p>
        </w:tc>
        <w:tc>
          <w:tcPr>
            <w:tcW w:w="5636" w:type="dxa"/>
          </w:tcPr>
          <w:p w14:paraId="731EE8C9"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6,72</w:t>
            </w:r>
          </w:p>
        </w:tc>
      </w:tr>
    </w:tbl>
    <w:p w14:paraId="29455127"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Винты деревянные окованные (6646).</w:t>
      </w:r>
    </w:p>
    <w:p w14:paraId="634712F1"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p>
    <w:p w14:paraId="38AE9638"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сентября 1933 в районе Рыбинска произошла авария дирижабля В-3 и погибло 2, а 1 был тяжело ранен. В тот же день АНТ-9 столкнулся в воздухе с У-2 в Самаре и пилот У-2 погиб (2131,291).</w:t>
      </w:r>
    </w:p>
    <w:p w14:paraId="1CC5C70D"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6A71F5FE" w14:textId="77777777" w:rsidR="007F23E2"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0F6FAEC" w14:textId="77777777" w:rsidR="007F23E2" w:rsidRPr="00C33834" w:rsidRDefault="007F23E2" w:rsidP="00C33834">
      <w:pPr>
        <w:spacing w:after="0" w:line="240" w:lineRule="auto"/>
        <w:jc w:val="both"/>
        <w:rPr>
          <w:rFonts w:ascii="Times New Roman" w:hAnsi="Times New Roman"/>
          <w:iCs/>
          <w:color w:val="000000" w:themeColor="text1"/>
          <w:sz w:val="16"/>
          <w:szCs w:val="16"/>
        </w:rPr>
      </w:pPr>
    </w:p>
    <w:p w14:paraId="0E050DEC"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4 сентября по 11 ноября 1933 в окрестностях Харькова проходил испытания БТ-32 - такое название получил танк Кристи М.1932 (3879,37).</w:t>
      </w:r>
    </w:p>
    <w:p w14:paraId="72F3D692"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0F7B95F4" w14:textId="77777777" w:rsidR="007F23E2"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13346F4F" w14:textId="77777777" w:rsidR="007F23E2" w:rsidRPr="00C33834" w:rsidRDefault="007F23E2" w:rsidP="00C33834">
      <w:pPr>
        <w:spacing w:after="0" w:line="240" w:lineRule="auto"/>
        <w:jc w:val="both"/>
        <w:rPr>
          <w:rFonts w:ascii="Times New Roman" w:hAnsi="Times New Roman"/>
          <w:iCs/>
          <w:color w:val="000000" w:themeColor="text1"/>
          <w:sz w:val="16"/>
          <w:szCs w:val="16"/>
        </w:rPr>
      </w:pPr>
    </w:p>
    <w:p w14:paraId="5D9EEFFB"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сентября 1933 г. по сообщению источника НКВД из Берлина, решался вопрос о будущем отношений Германии с СССР: «Что касается отношений с СССР, то решающим в этом вопросе будет позиция, которую займет Советский Союз на конференции по разоружению. Опубликование многими газетами (начиная со статей в русских газетах) сведений относительно сотрудничества с Россией в прошлые годы подействовало ошеломляюще и прежняя точка зрения министерства рейхсвера и министерства иностранных дел поколеблена. Можно уже теперь сказать, что на конференции по разоружению Германия будет начисто отрицать военное сотрудничество с СССР, если возникнут разговоры об этом сотрудничестве» (РГВА, ф. 33987, оп. 3, д. 504, л. 153.) (11784). На Женевской конференции требование Германии о незамедлительном признании равноправия в вооружениях было отвергнуто. Реакция стран, подписавших с Германией римский «пакт четырех», была следующей: Италия поддержала Германию, Англия и Франция выступили против, блокировав тем самым ревизию военных положений Версальского договора. Это, кстати сказать, стало в тот момент одной из целей советской внешней политики. США заняли нейтральную позицию. В ответ Германия, указав на бесплодность работы конференции, 14 октября 1933 г. отозвала своего делегата с Женевской конференции, а спустя пять дней — 19 октября вышла из Лиги Наций. Москва же, сделавшая к тому времени выбор не в пользу нацистской Германии, инициировала подписание в Лондоне в ходе международной экономической конференции Соглашения об определении агрессора с соседними государствами, которое было направлено против Германии. Сталин и его окружение, поняв, что в лице правительства Гитлера они столкнулись со столь же целеустремленными, циничными и беспардонными политиками, как и они сами, всеми силами стремились загнать Германию в политическую изоляцию. Частично это им удалось. Однако опасения Запада относительно политики правительства «национальной концентрации» Гитлера были куда меньшими, нежели почти неприкрытый страх перед возможностью большевизации всего мира. В Берлине это понимали. Поэтому, выбрав курс на достижение двусторонних соглашений и взяв на себя роль «защитного вала» против большевизма (Meinecke Friedrich. Die deutsche Katastrophe. Betrachtungen und Erinnerungen. Wiesbaden 1949. S. 115.), Гитлер умело решал внешнеполитические головоломки последующего периода. Здесь были и резкое политическое противостояние Москвы и Берлина и попытки советско-германского сближения, вплоть до восстановления прежних военных связей, однако с «рапалльской политикой» было покончено (11784).</w:t>
      </w:r>
    </w:p>
    <w:p w14:paraId="3569588F" w14:textId="4A2A20B0" w:rsidR="007F23E2" w:rsidRPr="00C33834" w:rsidRDefault="007F23E2" w:rsidP="00C33834">
      <w:pPr>
        <w:spacing w:after="0" w:line="240" w:lineRule="auto"/>
        <w:jc w:val="both"/>
        <w:rPr>
          <w:rFonts w:ascii="Times New Roman" w:hAnsi="Times New Roman"/>
          <w:color w:val="000000" w:themeColor="text1"/>
          <w:sz w:val="16"/>
          <w:szCs w:val="16"/>
        </w:rPr>
      </w:pPr>
    </w:p>
    <w:p w14:paraId="4D34DD26" w14:textId="1FBDA859" w:rsidR="00114F15" w:rsidRPr="00C33834" w:rsidRDefault="00114F15" w:rsidP="00C33834">
      <w:pPr>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За рубежом:</w:t>
      </w:r>
    </w:p>
    <w:p w14:paraId="39F51233" w14:textId="77777777" w:rsidR="00114F15" w:rsidRPr="00C33834" w:rsidRDefault="00114F15" w:rsidP="00C33834">
      <w:pPr>
        <w:spacing w:after="0" w:line="240" w:lineRule="auto"/>
        <w:jc w:val="both"/>
        <w:rPr>
          <w:rFonts w:ascii="Times New Roman" w:hAnsi="Times New Roman"/>
          <w:i/>
          <w:iCs/>
          <w:color w:val="000000" w:themeColor="text1"/>
          <w:sz w:val="16"/>
          <w:szCs w:val="16"/>
        </w:rPr>
      </w:pPr>
    </w:p>
    <w:p w14:paraId="219D21B0" w14:textId="77777777" w:rsidR="00114F15" w:rsidRPr="00C33834" w:rsidRDefault="00114F1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сентября 1933 американская летчица Флоренс Клингенсмит погибает в результате крушения своего Gee Bee Model Y Senior Sportster (бортовой номер NR718Y) во время гонки на кубок Фрэнка Филлипса в Чикаго, штат Иллинойс. Организаторы гонок запретили женщинам участвовать в будущих гонках (20802).</w:t>
      </w:r>
    </w:p>
    <w:p w14:paraId="24221270" w14:textId="77777777" w:rsidR="00114F15" w:rsidRPr="00C33834" w:rsidRDefault="00114F15" w:rsidP="00C33834">
      <w:pPr>
        <w:spacing w:after="0" w:line="240" w:lineRule="auto"/>
        <w:jc w:val="both"/>
        <w:rPr>
          <w:rFonts w:ascii="Times New Roman" w:hAnsi="Times New Roman"/>
          <w:color w:val="0070C0"/>
          <w:sz w:val="16"/>
          <w:szCs w:val="16"/>
        </w:rPr>
      </w:pPr>
    </w:p>
    <w:p w14:paraId="257740C4" w14:textId="77777777" w:rsidR="007F23E2"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AFC585F" w14:textId="77777777" w:rsidR="007F23E2" w:rsidRPr="00C33834" w:rsidRDefault="007F23E2" w:rsidP="00C33834">
      <w:pPr>
        <w:spacing w:after="0" w:line="240" w:lineRule="auto"/>
        <w:jc w:val="both"/>
        <w:rPr>
          <w:rFonts w:ascii="Times New Roman" w:hAnsi="Times New Roman"/>
          <w:iCs/>
          <w:color w:val="000000" w:themeColor="text1"/>
          <w:sz w:val="16"/>
          <w:szCs w:val="16"/>
        </w:rPr>
      </w:pPr>
    </w:p>
    <w:p w14:paraId="6DD7250D"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сентября 1933 г. в ГУАП состоялось оче</w:t>
      </w:r>
      <w:r w:rsidRPr="00C33834">
        <w:rPr>
          <w:rFonts w:ascii="Times New Roman" w:hAnsi="Times New Roman"/>
          <w:color w:val="000000" w:themeColor="text1"/>
          <w:sz w:val="16"/>
          <w:szCs w:val="16"/>
        </w:rPr>
        <w:softHyphen/>
        <w:t>редное совещание о состоянии эталона И-5 на 1933 г. Конструктивные разработки предстоящих улучшений самолета выполнили в ЦКБ на заводе №39 и далее отправили на завод №21 в Горький. Назывались следующие новшества:</w:t>
      </w:r>
    </w:p>
    <w:p w14:paraId="71B55D54" w14:textId="77777777" w:rsidR="007F23E2" w:rsidRPr="00C33834" w:rsidRDefault="007F23E2" w:rsidP="00C33834">
      <w:pPr>
        <w:tabs>
          <w:tab w:val="left" w:pos="538"/>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Облегченное хвостовое оперение (от</w:t>
      </w:r>
      <w:r w:rsidRPr="00C33834">
        <w:rPr>
          <w:rFonts w:ascii="Times New Roman" w:hAnsi="Times New Roman"/>
          <w:color w:val="000000" w:themeColor="text1"/>
          <w:sz w:val="16"/>
          <w:szCs w:val="16"/>
        </w:rPr>
        <w:softHyphen/>
        <w:t>правили на №21)</w:t>
      </w:r>
    </w:p>
    <w:p w14:paraId="55CA5839" w14:textId="77777777" w:rsidR="007F23E2" w:rsidRPr="00C33834" w:rsidRDefault="007F23E2" w:rsidP="00C33834">
      <w:pPr>
        <w:tabs>
          <w:tab w:val="left" w:pos="523"/>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Обтекатели на колеса (решили изгото</w:t>
      </w:r>
      <w:r w:rsidRPr="00C33834">
        <w:rPr>
          <w:rFonts w:ascii="Times New Roman" w:hAnsi="Times New Roman"/>
          <w:color w:val="000000" w:themeColor="text1"/>
          <w:sz w:val="16"/>
          <w:szCs w:val="16"/>
        </w:rPr>
        <w:softHyphen/>
        <w:t>вить на №39)</w:t>
      </w:r>
    </w:p>
    <w:p w14:paraId="4EA77486" w14:textId="77777777" w:rsidR="007F23E2" w:rsidRPr="00C33834" w:rsidRDefault="007F23E2" w:rsidP="00C33834">
      <w:pPr>
        <w:tabs>
          <w:tab w:val="left" w:pos="508"/>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Колпак для слепых полетов</w:t>
      </w:r>
    </w:p>
    <w:p w14:paraId="092E0F27" w14:textId="77777777" w:rsidR="007F23E2" w:rsidRPr="00C33834" w:rsidRDefault="007F23E2" w:rsidP="00C33834">
      <w:pPr>
        <w:tabs>
          <w:tab w:val="left" w:pos="513"/>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Новое крепление кольца Тауненда</w:t>
      </w:r>
    </w:p>
    <w:p w14:paraId="4707EFCF" w14:textId="77777777" w:rsidR="007F23E2" w:rsidRPr="00C33834" w:rsidRDefault="007F23E2" w:rsidP="00C33834">
      <w:pPr>
        <w:tabs>
          <w:tab w:val="left" w:pos="494"/>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Тормозные колеса</w:t>
      </w:r>
    </w:p>
    <w:p w14:paraId="1687AB39"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этом коротком списке лишь частично реализованных нововведений интерес вызы</w:t>
      </w:r>
      <w:r w:rsidRPr="00C33834">
        <w:rPr>
          <w:rFonts w:ascii="Times New Roman" w:hAnsi="Times New Roman"/>
          <w:color w:val="000000" w:themeColor="text1"/>
          <w:sz w:val="16"/>
          <w:szCs w:val="16"/>
        </w:rPr>
        <w:softHyphen/>
        <w:t>вает первый пункт, т.е. «облегченное хвосто</w:t>
      </w:r>
      <w:r w:rsidRPr="00C33834">
        <w:rPr>
          <w:rFonts w:ascii="Times New Roman" w:hAnsi="Times New Roman"/>
          <w:color w:val="000000" w:themeColor="text1"/>
          <w:sz w:val="16"/>
          <w:szCs w:val="16"/>
        </w:rPr>
        <w:softHyphen/>
        <w:t>вое оперение». История его началась еще во время испытаний ВТ-11, когда Бенедикт Бухгольц в полете заметил вибрацию опере</w:t>
      </w:r>
      <w:r w:rsidRPr="00C33834">
        <w:rPr>
          <w:rFonts w:ascii="Times New Roman" w:hAnsi="Times New Roman"/>
          <w:color w:val="000000" w:themeColor="text1"/>
          <w:sz w:val="16"/>
          <w:szCs w:val="16"/>
        </w:rPr>
        <w:softHyphen/>
        <w:t>ния, и поэтому его усилили дополнительными подкосами. Практически без изменений такое оперение запустили в серийное производ</w:t>
      </w:r>
      <w:r w:rsidRPr="00C33834">
        <w:rPr>
          <w:rFonts w:ascii="Times New Roman" w:hAnsi="Times New Roman"/>
          <w:color w:val="000000" w:themeColor="text1"/>
          <w:sz w:val="16"/>
          <w:szCs w:val="16"/>
        </w:rPr>
        <w:softHyphen/>
        <w:t>ство. Примерно через год изготовили несколь</w:t>
      </w:r>
      <w:r w:rsidRPr="00C33834">
        <w:rPr>
          <w:rFonts w:ascii="Times New Roman" w:hAnsi="Times New Roman"/>
          <w:color w:val="000000" w:themeColor="text1"/>
          <w:sz w:val="16"/>
          <w:szCs w:val="16"/>
        </w:rPr>
        <w:softHyphen/>
        <w:t>ко облегченных оперений (с учетом установки подкосов),однако использовать их неудалось, так как к тому моменту уже успели «накле</w:t>
      </w:r>
      <w:r w:rsidRPr="00C33834">
        <w:rPr>
          <w:rFonts w:ascii="Times New Roman" w:hAnsi="Times New Roman"/>
          <w:color w:val="000000" w:themeColor="text1"/>
          <w:sz w:val="16"/>
          <w:szCs w:val="16"/>
        </w:rPr>
        <w:softHyphen/>
        <w:t>пать» 450 хвостовых комплектов прежней конструкции. В результате, 2 комплекта этого облегченного оперения были использованы А.С. Яковлевым на АИР-б и АИР-7, и еще один - остался у него в наличии (Яковлев в тот пе</w:t>
      </w:r>
      <w:r w:rsidRPr="00C33834">
        <w:rPr>
          <w:rFonts w:ascii="Times New Roman" w:hAnsi="Times New Roman"/>
          <w:color w:val="000000" w:themeColor="text1"/>
          <w:sz w:val="16"/>
          <w:szCs w:val="16"/>
        </w:rPr>
        <w:softHyphen/>
        <w:t>риод работал на заводе №39). Еще два экзем</w:t>
      </w:r>
      <w:r w:rsidRPr="00C33834">
        <w:rPr>
          <w:rFonts w:ascii="Times New Roman" w:hAnsi="Times New Roman"/>
          <w:color w:val="000000" w:themeColor="text1"/>
          <w:sz w:val="16"/>
          <w:szCs w:val="16"/>
        </w:rPr>
        <w:softHyphen/>
        <w:t>пляра оперения передали с завода №39 в Нижний Новгород на завод №21. Конструктивно они также отличались более совершенными узлами навески рулей поворо</w:t>
      </w:r>
      <w:r w:rsidRPr="00C33834">
        <w:rPr>
          <w:rFonts w:ascii="Times New Roman" w:hAnsi="Times New Roman"/>
          <w:color w:val="000000" w:themeColor="text1"/>
          <w:sz w:val="16"/>
          <w:szCs w:val="16"/>
        </w:rPr>
        <w:softHyphen/>
        <w:t>та и высоты, скреплялись не на штырях, а на узлах с двумя щеками, через которые проходит болт.</w:t>
      </w:r>
    </w:p>
    <w:p w14:paraId="6DC06712"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Уже в 1933 г. в отношении действующего и перспективного авиазавода №21 имени Енукидзе (позднее им Орджоникидзе) в руко</w:t>
      </w:r>
      <w:r w:rsidRPr="00C33834">
        <w:rPr>
          <w:rFonts w:ascii="Times New Roman" w:hAnsi="Times New Roman"/>
          <w:color w:val="000000" w:themeColor="text1"/>
          <w:sz w:val="16"/>
          <w:szCs w:val="16"/>
        </w:rPr>
        <w:softHyphen/>
        <w:t>водстве авиапромышленности имелись об</w:t>
      </w:r>
      <w:r w:rsidRPr="00C33834">
        <w:rPr>
          <w:rFonts w:ascii="Times New Roman" w:hAnsi="Times New Roman"/>
          <w:color w:val="000000" w:themeColor="text1"/>
          <w:sz w:val="16"/>
          <w:szCs w:val="16"/>
        </w:rPr>
        <w:softHyphen/>
        <w:t>ширные планы. В ноябре 1933 г. решался во</w:t>
      </w:r>
      <w:r w:rsidRPr="00C33834">
        <w:rPr>
          <w:rFonts w:ascii="Times New Roman" w:hAnsi="Times New Roman"/>
          <w:color w:val="000000" w:themeColor="text1"/>
          <w:sz w:val="16"/>
          <w:szCs w:val="16"/>
        </w:rPr>
        <w:softHyphen/>
        <w:t>прос о запуске в серию здесь истребителя И- 14, позднее последовало решение о строи</w:t>
      </w:r>
      <w:r w:rsidRPr="00C33834">
        <w:rPr>
          <w:rFonts w:ascii="Times New Roman" w:hAnsi="Times New Roman"/>
          <w:color w:val="000000" w:themeColor="text1"/>
          <w:sz w:val="16"/>
          <w:szCs w:val="16"/>
        </w:rPr>
        <w:softHyphen/>
        <w:t>тельстве ХАИ-1. Однако оба самолета стали для Горького лишь частным эпизодом. В соот</w:t>
      </w:r>
      <w:r w:rsidRPr="00C33834">
        <w:rPr>
          <w:rFonts w:ascii="Times New Roman" w:hAnsi="Times New Roman"/>
          <w:color w:val="000000" w:themeColor="text1"/>
          <w:sz w:val="16"/>
          <w:szCs w:val="16"/>
        </w:rPr>
        <w:softHyphen/>
        <w:t>ветствии с приказом ГУАП за №110б-со от 11 июня 1934 г. завод №21 получил новое зада</w:t>
      </w:r>
      <w:r w:rsidRPr="00C33834">
        <w:rPr>
          <w:rFonts w:ascii="Times New Roman" w:hAnsi="Times New Roman"/>
          <w:color w:val="000000" w:themeColor="text1"/>
          <w:sz w:val="16"/>
          <w:szCs w:val="16"/>
        </w:rPr>
        <w:softHyphen/>
        <w:t>ние - внедрить в крупносерийное производ</w:t>
      </w:r>
      <w:r w:rsidRPr="00C33834">
        <w:rPr>
          <w:rFonts w:ascii="Times New Roman" w:hAnsi="Times New Roman"/>
          <w:color w:val="000000" w:themeColor="text1"/>
          <w:sz w:val="16"/>
          <w:szCs w:val="16"/>
        </w:rPr>
        <w:softHyphen/>
        <w:t>ство истребитель-моноплан И-16 конструк</w:t>
      </w:r>
      <w:r w:rsidRPr="00C33834">
        <w:rPr>
          <w:rFonts w:ascii="Times New Roman" w:hAnsi="Times New Roman"/>
          <w:color w:val="000000" w:themeColor="text1"/>
          <w:sz w:val="16"/>
          <w:szCs w:val="16"/>
        </w:rPr>
        <w:softHyphen/>
        <w:t>ции Поликарпова. Выпуск ХАИ-1 после изго</w:t>
      </w:r>
      <w:r w:rsidRPr="00C33834">
        <w:rPr>
          <w:rFonts w:ascii="Times New Roman" w:hAnsi="Times New Roman"/>
          <w:color w:val="000000" w:themeColor="text1"/>
          <w:sz w:val="16"/>
          <w:szCs w:val="16"/>
        </w:rPr>
        <w:softHyphen/>
        <w:t>товления трех экземпляров перенесли на завод №43 в Киеве, а задание на изготовление И-14 передали иркутскому заводу №125. С по</w:t>
      </w:r>
      <w:r w:rsidRPr="00C33834">
        <w:rPr>
          <w:rFonts w:ascii="Times New Roman" w:hAnsi="Times New Roman"/>
          <w:color w:val="000000" w:themeColor="text1"/>
          <w:sz w:val="16"/>
          <w:szCs w:val="16"/>
        </w:rPr>
        <w:softHyphen/>
        <w:t>явлением И-16 на 21-м заводе ввели нумера цию строящихся самолетов по типам. Так, И-5 стал типом №1, И-14 - типом №2, ХАИ-1 - типом №3, а И-16 - типом №4. Впрочем, ука</w:t>
      </w:r>
      <w:r w:rsidRPr="00C33834">
        <w:rPr>
          <w:rFonts w:ascii="Times New Roman" w:hAnsi="Times New Roman"/>
          <w:color w:val="000000" w:themeColor="text1"/>
          <w:sz w:val="16"/>
          <w:szCs w:val="16"/>
        </w:rPr>
        <w:softHyphen/>
        <w:t>зывать тип самолета поначалу забывали. Например, в сводной ведомости упоминается И-5 №121633 - головной самолет 19 серии, сданный в ноябре и оснащенный тормозными колесами, а следующий самолет пишется без упоминания типа - №21634. В любом случае, 1934 г. стал последним годом строительства истребителей И-5. При плане в 300 И-5 авиа</w:t>
      </w:r>
      <w:r w:rsidRPr="00C33834">
        <w:rPr>
          <w:rFonts w:ascii="Times New Roman" w:hAnsi="Times New Roman"/>
          <w:color w:val="000000" w:themeColor="text1"/>
          <w:sz w:val="16"/>
          <w:szCs w:val="16"/>
        </w:rPr>
        <w:softHyphen/>
        <w:t>ционный завод №21 построил в 1934 г. 330 таких истребителей. Далее, в течение семи последующих лет здесь все усилия направля</w:t>
      </w:r>
      <w:r w:rsidRPr="00C33834">
        <w:rPr>
          <w:rFonts w:ascii="Times New Roman" w:hAnsi="Times New Roman"/>
          <w:color w:val="000000" w:themeColor="text1"/>
          <w:sz w:val="16"/>
          <w:szCs w:val="16"/>
        </w:rPr>
        <w:softHyphen/>
        <w:t>ли на изготовление И-16.</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1"/>
        <w:gridCol w:w="898"/>
        <w:gridCol w:w="941"/>
        <w:gridCol w:w="931"/>
        <w:gridCol w:w="941"/>
        <w:gridCol w:w="941"/>
        <w:gridCol w:w="720"/>
      </w:tblGrid>
      <w:tr w:rsidR="00F26F01" w:rsidRPr="00C33834" w14:paraId="625854CE" w14:textId="77777777">
        <w:trPr>
          <w:trHeight w:val="197"/>
        </w:trPr>
        <w:tc>
          <w:tcPr>
            <w:tcW w:w="691" w:type="dxa"/>
            <w:tcBorders>
              <w:top w:val="single" w:sz="12" w:space="0" w:color="auto"/>
            </w:tcBorders>
            <w:shd w:val="clear" w:color="auto" w:fill="FFFFFF"/>
          </w:tcPr>
          <w:p w14:paraId="093F14AE"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w:t>
            </w:r>
          </w:p>
        </w:tc>
        <w:tc>
          <w:tcPr>
            <w:tcW w:w="898" w:type="dxa"/>
            <w:tcBorders>
              <w:top w:val="single" w:sz="12" w:space="0" w:color="auto"/>
            </w:tcBorders>
            <w:shd w:val="clear" w:color="auto" w:fill="FFFFFF"/>
          </w:tcPr>
          <w:p w14:paraId="5409037E"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1930</w:t>
            </w:r>
          </w:p>
        </w:tc>
        <w:tc>
          <w:tcPr>
            <w:tcW w:w="941" w:type="dxa"/>
            <w:tcBorders>
              <w:top w:val="single" w:sz="12" w:space="0" w:color="auto"/>
            </w:tcBorders>
            <w:shd w:val="clear" w:color="auto" w:fill="FFFFFF"/>
          </w:tcPr>
          <w:p w14:paraId="78D7E005"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w:t>
            </w:r>
          </w:p>
        </w:tc>
        <w:tc>
          <w:tcPr>
            <w:tcW w:w="931" w:type="dxa"/>
            <w:tcBorders>
              <w:top w:val="single" w:sz="12" w:space="0" w:color="auto"/>
            </w:tcBorders>
            <w:shd w:val="clear" w:color="auto" w:fill="FFFFFF"/>
          </w:tcPr>
          <w:p w14:paraId="0CBA2B90"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c>
          <w:tcPr>
            <w:tcW w:w="941" w:type="dxa"/>
            <w:tcBorders>
              <w:top w:val="single" w:sz="12" w:space="0" w:color="auto"/>
            </w:tcBorders>
            <w:shd w:val="clear" w:color="auto" w:fill="FFFFFF"/>
          </w:tcPr>
          <w:p w14:paraId="5D25DDA5"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w:t>
            </w:r>
          </w:p>
        </w:tc>
        <w:tc>
          <w:tcPr>
            <w:tcW w:w="941" w:type="dxa"/>
            <w:tcBorders>
              <w:top w:val="single" w:sz="12" w:space="0" w:color="auto"/>
            </w:tcBorders>
            <w:shd w:val="clear" w:color="auto" w:fill="FFFFFF"/>
          </w:tcPr>
          <w:p w14:paraId="10B4F4D6"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1934</w:t>
            </w:r>
          </w:p>
        </w:tc>
        <w:tc>
          <w:tcPr>
            <w:tcW w:w="720" w:type="dxa"/>
            <w:tcBorders>
              <w:top w:val="single" w:sz="12" w:space="0" w:color="auto"/>
            </w:tcBorders>
            <w:shd w:val="clear" w:color="auto" w:fill="FFFFFF"/>
          </w:tcPr>
          <w:p w14:paraId="09216CD1"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r>
      <w:tr w:rsidR="00F26F01" w:rsidRPr="00C33834" w14:paraId="1A864BD8" w14:textId="77777777">
        <w:trPr>
          <w:trHeight w:val="197"/>
        </w:trPr>
        <w:tc>
          <w:tcPr>
            <w:tcW w:w="691" w:type="dxa"/>
            <w:shd w:val="clear" w:color="auto" w:fill="FFFFFF"/>
          </w:tcPr>
          <w:p w14:paraId="71BA5C97"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w:t>
            </w:r>
          </w:p>
        </w:tc>
        <w:tc>
          <w:tcPr>
            <w:tcW w:w="898" w:type="dxa"/>
            <w:shd w:val="clear" w:color="auto" w:fill="FFFFFF"/>
          </w:tcPr>
          <w:p w14:paraId="157F136E"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941" w:type="dxa"/>
            <w:shd w:val="clear" w:color="auto" w:fill="FFFFFF"/>
          </w:tcPr>
          <w:p w14:paraId="47191F21"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931" w:type="dxa"/>
            <w:shd w:val="clear" w:color="auto" w:fill="FFFFFF"/>
          </w:tcPr>
          <w:p w14:paraId="29CC095C" w14:textId="77777777" w:rsidR="007F23E2" w:rsidRPr="00C33834" w:rsidRDefault="007F23E2" w:rsidP="00C33834">
            <w:pPr>
              <w:spacing w:after="0" w:line="240" w:lineRule="auto"/>
              <w:jc w:val="both"/>
              <w:rPr>
                <w:rFonts w:ascii="Times New Roman" w:hAnsi="Times New Roman"/>
                <w:color w:val="000000" w:themeColor="text1"/>
                <w:sz w:val="16"/>
                <w:szCs w:val="16"/>
              </w:rPr>
            </w:pPr>
          </w:p>
        </w:tc>
        <w:tc>
          <w:tcPr>
            <w:tcW w:w="941" w:type="dxa"/>
            <w:shd w:val="clear" w:color="auto" w:fill="FFFFFF"/>
          </w:tcPr>
          <w:p w14:paraId="138FD622"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41" w:type="dxa"/>
            <w:shd w:val="clear" w:color="auto" w:fill="FFFFFF"/>
          </w:tcPr>
          <w:p w14:paraId="10168350"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20" w:type="dxa"/>
            <w:shd w:val="clear" w:color="auto" w:fill="FFFFFF"/>
          </w:tcPr>
          <w:p w14:paraId="4AB846F0"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r>
      <w:tr w:rsidR="00F26F01" w:rsidRPr="00C33834" w14:paraId="6A22CF41" w14:textId="77777777">
        <w:trPr>
          <w:trHeight w:val="202"/>
        </w:trPr>
        <w:tc>
          <w:tcPr>
            <w:tcW w:w="691" w:type="dxa"/>
            <w:shd w:val="clear" w:color="auto" w:fill="FFFFFF"/>
          </w:tcPr>
          <w:p w14:paraId="2D184B1A"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898" w:type="dxa"/>
            <w:shd w:val="clear" w:color="auto" w:fill="FFFFFF"/>
          </w:tcPr>
          <w:p w14:paraId="1805EFAD"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41" w:type="dxa"/>
            <w:shd w:val="clear" w:color="auto" w:fill="FFFFFF"/>
          </w:tcPr>
          <w:p w14:paraId="36C88169"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бб</w:t>
            </w:r>
          </w:p>
        </w:tc>
        <w:tc>
          <w:tcPr>
            <w:tcW w:w="931" w:type="dxa"/>
            <w:shd w:val="clear" w:color="auto" w:fill="FFFFFF"/>
          </w:tcPr>
          <w:p w14:paraId="45197083"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p>
        </w:tc>
        <w:tc>
          <w:tcPr>
            <w:tcW w:w="941" w:type="dxa"/>
            <w:shd w:val="clear" w:color="auto" w:fill="FFFFFF"/>
          </w:tcPr>
          <w:p w14:paraId="7BFE237C"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41" w:type="dxa"/>
            <w:shd w:val="clear" w:color="auto" w:fill="FFFFFF"/>
          </w:tcPr>
          <w:p w14:paraId="5FA43A57"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20" w:type="dxa"/>
            <w:shd w:val="clear" w:color="auto" w:fill="FFFFFF"/>
          </w:tcPr>
          <w:p w14:paraId="3A5F03D5"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142</w:t>
            </w:r>
          </w:p>
        </w:tc>
      </w:tr>
      <w:tr w:rsidR="00F26F01" w:rsidRPr="00C33834" w14:paraId="7877389E" w14:textId="77777777">
        <w:trPr>
          <w:trHeight w:val="197"/>
        </w:trPr>
        <w:tc>
          <w:tcPr>
            <w:tcW w:w="691" w:type="dxa"/>
            <w:shd w:val="clear" w:color="auto" w:fill="FFFFFF"/>
          </w:tcPr>
          <w:p w14:paraId="5475D863"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898" w:type="dxa"/>
            <w:shd w:val="clear" w:color="auto" w:fill="FFFFFF"/>
          </w:tcPr>
          <w:p w14:paraId="47FB3DC2" w14:textId="77777777" w:rsidR="007F23E2" w:rsidRPr="00C33834" w:rsidRDefault="007F23E2" w:rsidP="00C33834">
            <w:pPr>
              <w:spacing w:after="0" w:line="240" w:lineRule="auto"/>
              <w:jc w:val="both"/>
              <w:rPr>
                <w:rFonts w:ascii="Times New Roman" w:hAnsi="Times New Roman"/>
                <w:color w:val="000000" w:themeColor="text1"/>
                <w:sz w:val="16"/>
                <w:szCs w:val="16"/>
              </w:rPr>
            </w:pPr>
          </w:p>
        </w:tc>
        <w:tc>
          <w:tcPr>
            <w:tcW w:w="941" w:type="dxa"/>
            <w:shd w:val="clear" w:color="auto" w:fill="FFFFFF"/>
          </w:tcPr>
          <w:p w14:paraId="0C7D159E" w14:textId="77777777" w:rsidR="007F23E2" w:rsidRPr="00C33834" w:rsidRDefault="007F23E2" w:rsidP="00C33834">
            <w:pPr>
              <w:spacing w:after="0" w:line="240" w:lineRule="auto"/>
              <w:jc w:val="both"/>
              <w:rPr>
                <w:rFonts w:ascii="Times New Roman" w:hAnsi="Times New Roman"/>
                <w:color w:val="000000" w:themeColor="text1"/>
                <w:sz w:val="16"/>
                <w:szCs w:val="16"/>
              </w:rPr>
            </w:pPr>
          </w:p>
        </w:tc>
        <w:tc>
          <w:tcPr>
            <w:tcW w:w="931" w:type="dxa"/>
            <w:shd w:val="clear" w:color="auto" w:fill="FFFFFF"/>
          </w:tcPr>
          <w:p w14:paraId="35B31595"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941" w:type="dxa"/>
            <w:shd w:val="clear" w:color="auto" w:fill="FFFFFF"/>
          </w:tcPr>
          <w:p w14:paraId="324FBE09"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321</w:t>
            </w:r>
          </w:p>
        </w:tc>
        <w:tc>
          <w:tcPr>
            <w:tcW w:w="941" w:type="dxa"/>
            <w:shd w:val="clear" w:color="auto" w:fill="FFFFFF"/>
          </w:tcPr>
          <w:p w14:paraId="383A2EFE"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330</w:t>
            </w:r>
          </w:p>
        </w:tc>
        <w:tc>
          <w:tcPr>
            <w:tcW w:w="720" w:type="dxa"/>
            <w:shd w:val="clear" w:color="auto" w:fill="FFFFFF"/>
          </w:tcPr>
          <w:p w14:paraId="2B29AA4E"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661</w:t>
            </w:r>
          </w:p>
        </w:tc>
      </w:tr>
      <w:tr w:rsidR="00F26F01" w:rsidRPr="00C33834" w14:paraId="5DEDD5BD" w14:textId="77777777">
        <w:trPr>
          <w:trHeight w:val="192"/>
        </w:trPr>
        <w:tc>
          <w:tcPr>
            <w:tcW w:w="691" w:type="dxa"/>
            <w:tcBorders>
              <w:bottom w:val="single" w:sz="12" w:space="0" w:color="auto"/>
            </w:tcBorders>
            <w:shd w:val="clear" w:color="auto" w:fill="FFFFFF"/>
          </w:tcPr>
          <w:p w14:paraId="10C3EDC7"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898" w:type="dxa"/>
            <w:tcBorders>
              <w:bottom w:val="single" w:sz="12" w:space="0" w:color="auto"/>
            </w:tcBorders>
            <w:shd w:val="clear" w:color="auto" w:fill="FFFFFF"/>
          </w:tcPr>
          <w:p w14:paraId="47859FD1" w14:textId="77777777" w:rsidR="007F23E2" w:rsidRPr="00C33834" w:rsidRDefault="007F23E2" w:rsidP="00C33834">
            <w:pPr>
              <w:spacing w:after="0" w:line="240" w:lineRule="auto"/>
              <w:jc w:val="both"/>
              <w:rPr>
                <w:rFonts w:ascii="Times New Roman" w:hAnsi="Times New Roman"/>
                <w:color w:val="000000" w:themeColor="text1"/>
                <w:sz w:val="16"/>
                <w:szCs w:val="16"/>
              </w:rPr>
            </w:pPr>
          </w:p>
        </w:tc>
        <w:tc>
          <w:tcPr>
            <w:tcW w:w="941" w:type="dxa"/>
            <w:tcBorders>
              <w:bottom w:val="single" w:sz="12" w:space="0" w:color="auto"/>
            </w:tcBorders>
            <w:shd w:val="clear" w:color="auto" w:fill="FFFFFF"/>
          </w:tcPr>
          <w:p w14:paraId="6C50FB6D" w14:textId="77777777" w:rsidR="007F23E2" w:rsidRPr="00C33834" w:rsidRDefault="007F23E2" w:rsidP="00C33834">
            <w:pPr>
              <w:spacing w:after="0" w:line="240" w:lineRule="auto"/>
              <w:jc w:val="both"/>
              <w:rPr>
                <w:rFonts w:ascii="Times New Roman" w:hAnsi="Times New Roman"/>
                <w:color w:val="000000" w:themeColor="text1"/>
                <w:sz w:val="16"/>
                <w:szCs w:val="16"/>
              </w:rPr>
            </w:pPr>
          </w:p>
        </w:tc>
        <w:tc>
          <w:tcPr>
            <w:tcW w:w="931" w:type="dxa"/>
            <w:tcBorders>
              <w:bottom w:val="single" w:sz="12" w:space="0" w:color="auto"/>
            </w:tcBorders>
            <w:shd w:val="clear" w:color="auto" w:fill="FFFFFF"/>
          </w:tcPr>
          <w:p w14:paraId="79CA7104"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w:t>
            </w:r>
          </w:p>
        </w:tc>
        <w:tc>
          <w:tcPr>
            <w:tcW w:w="941" w:type="dxa"/>
            <w:tcBorders>
              <w:bottom w:val="single" w:sz="12" w:space="0" w:color="auto"/>
            </w:tcBorders>
            <w:shd w:val="clear" w:color="auto" w:fill="FFFFFF"/>
          </w:tcPr>
          <w:p w14:paraId="665EA05C"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321</w:t>
            </w:r>
          </w:p>
        </w:tc>
        <w:tc>
          <w:tcPr>
            <w:tcW w:w="941" w:type="dxa"/>
            <w:tcBorders>
              <w:bottom w:val="single" w:sz="12" w:space="0" w:color="auto"/>
            </w:tcBorders>
            <w:shd w:val="clear" w:color="auto" w:fill="FFFFFF"/>
          </w:tcPr>
          <w:p w14:paraId="573AD7A4"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330</w:t>
            </w:r>
          </w:p>
        </w:tc>
        <w:tc>
          <w:tcPr>
            <w:tcW w:w="720" w:type="dxa"/>
            <w:tcBorders>
              <w:bottom w:val="single" w:sz="12" w:space="0" w:color="auto"/>
            </w:tcBorders>
            <w:shd w:val="clear" w:color="auto" w:fill="FFFFFF"/>
          </w:tcPr>
          <w:p w14:paraId="076F8FD7"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815</w:t>
            </w:r>
          </w:p>
        </w:tc>
      </w:tr>
    </w:tbl>
    <w:p w14:paraId="082D9B11"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(11974).</w:t>
      </w:r>
    </w:p>
    <w:p w14:paraId="58A281C3"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6D590495"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сентября 1933 года начальник гл. управления авиапромышленности Королев писал в СТО</w:t>
      </w:r>
    </w:p>
    <w:p w14:paraId="0B11B3CE"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выполнении программы авиапромышленностью за 8 месяцев 1933 года и программы IV квартала</w:t>
      </w:r>
    </w:p>
    <w:p w14:paraId="412B9A10"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Основными причинами недовыполнения программы являлись:</w:t>
      </w:r>
    </w:p>
    <w:p w14:paraId="40C22271" w14:textId="77777777" w:rsidR="007F23E2" w:rsidRPr="00C33834" w:rsidRDefault="007F23E2" w:rsidP="00C33834">
      <w:pPr>
        <w:numPr>
          <w:ilvl w:val="0"/>
          <w:numId w:val="258"/>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Нехватка цветных металлов, в особенности по олову, сортовой и листовой латуни и по алюминию.</w:t>
      </w:r>
    </w:p>
    <w:p w14:paraId="72B01F97" w14:textId="77777777" w:rsidR="007F23E2" w:rsidRPr="00C33834" w:rsidRDefault="007F23E2" w:rsidP="00C33834">
      <w:pPr>
        <w:numPr>
          <w:ilvl w:val="0"/>
          <w:numId w:val="259"/>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Нехватка холоднокатанной калиброванной стали.</w:t>
      </w:r>
    </w:p>
    <w:p w14:paraId="69B8DC30" w14:textId="77777777" w:rsidR="007F23E2" w:rsidRPr="00C33834" w:rsidRDefault="007F23E2" w:rsidP="00C33834">
      <w:pPr>
        <w:numPr>
          <w:ilvl w:val="0"/>
          <w:numId w:val="26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Недопоставка магнето; АТЭ Электрозавода систематически не выполняет программы по авиационному магнето. По 1 октября требовалось к подаче 17250 штук; поставлено (включительно по 21 сентября) – 7976 штук. В настоящий момент остановился выпуск моторов М17 и М11. Импортного контингента нет.</w:t>
      </w:r>
    </w:p>
    <w:p w14:paraId="73E412D9" w14:textId="77777777" w:rsidR="007F23E2" w:rsidRPr="00C33834" w:rsidRDefault="007F23E2" w:rsidP="00C33834">
      <w:pPr>
        <w:pStyle w:val="a3"/>
        <w:widowControl/>
        <w:tabs>
          <w:tab w:val="left" w:pos="11199"/>
        </w:tabs>
        <w:rPr>
          <w:color w:val="000000" w:themeColor="text1"/>
          <w:lang w:val="ru-RU"/>
        </w:rPr>
      </w:pPr>
      <w:r w:rsidRPr="00C33834">
        <w:rPr>
          <w:color w:val="000000" w:themeColor="text1"/>
          <w:lang w:val="ru-RU"/>
        </w:rPr>
        <w:t>В области производства:</w:t>
      </w:r>
    </w:p>
    <w:p w14:paraId="0FB400E0" w14:textId="77777777" w:rsidR="007F23E2" w:rsidRPr="00C33834" w:rsidRDefault="007F23E2" w:rsidP="00C33834">
      <w:pPr>
        <w:numPr>
          <w:ilvl w:val="0"/>
          <w:numId w:val="26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Конструктивные изменения и недоработки отдельных машин: И-7 изменения хвостового оперения, ТБ-3 М-34 недоработанность винтомоторной установки, М-34 – изменение конструкции масляной помпы и др.</w:t>
      </w:r>
    </w:p>
    <w:p w14:paraId="0792568A" w14:textId="77777777" w:rsidR="007F23E2" w:rsidRPr="00C33834" w:rsidRDefault="007F23E2" w:rsidP="00C33834">
      <w:pPr>
        <w:numPr>
          <w:ilvl w:val="0"/>
          <w:numId w:val="26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Недостаточное еще освоение М-34 (заливка головок гл. шатунов) внедрение в производство ГМ34 и М34Р.</w:t>
      </w:r>
    </w:p>
    <w:p w14:paraId="140E9259" w14:textId="77777777" w:rsidR="007F23E2" w:rsidRPr="00C33834" w:rsidRDefault="007F23E2" w:rsidP="00C33834">
      <w:pPr>
        <w:numPr>
          <w:ilvl w:val="0"/>
          <w:numId w:val="26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Неподготовленность производства по самолетам Р-6 и МБР-4.</w:t>
      </w:r>
    </w:p>
    <w:p w14:paraId="0E112C3D"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IV квартал принята сдача самолетов 1658 штук и моторов 2683 штук в следующей разбивке по основным типам:</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F26F01" w:rsidRPr="00C33834" w14:paraId="6AE9E351" w14:textId="77777777">
        <w:tc>
          <w:tcPr>
            <w:tcW w:w="1914" w:type="dxa"/>
          </w:tcPr>
          <w:p w14:paraId="43DAD3B6"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 самолетов</w:t>
            </w:r>
          </w:p>
        </w:tc>
        <w:tc>
          <w:tcPr>
            <w:tcW w:w="1914" w:type="dxa"/>
          </w:tcPr>
          <w:p w14:paraId="3CF8C5C2"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Программа 1933 года</w:t>
            </w:r>
          </w:p>
        </w:tc>
        <w:tc>
          <w:tcPr>
            <w:tcW w:w="1914" w:type="dxa"/>
          </w:tcPr>
          <w:p w14:paraId="2EC778BF"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Ожидаемый выпуск за 9 месяцев</w:t>
            </w:r>
          </w:p>
        </w:tc>
        <w:tc>
          <w:tcPr>
            <w:tcW w:w="1914" w:type="dxa"/>
          </w:tcPr>
          <w:p w14:paraId="357005FD"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Программа IV квартала</w:t>
            </w:r>
          </w:p>
        </w:tc>
        <w:tc>
          <w:tcPr>
            <w:tcW w:w="1914" w:type="dxa"/>
          </w:tcPr>
          <w:p w14:paraId="25A28325"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Ожидаемый выпуск за год</w:t>
            </w:r>
          </w:p>
        </w:tc>
        <w:tc>
          <w:tcPr>
            <w:tcW w:w="1487" w:type="dxa"/>
          </w:tcPr>
          <w:p w14:paraId="668DD9D0"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ожидаемого выполнения в год</w:t>
            </w:r>
          </w:p>
        </w:tc>
      </w:tr>
    </w:tbl>
    <w:p w14:paraId="29C283B4"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Самолетов всего:</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F26F01" w:rsidRPr="00C33834" w14:paraId="33C2E980" w14:textId="77777777">
        <w:tc>
          <w:tcPr>
            <w:tcW w:w="1914" w:type="dxa"/>
          </w:tcPr>
          <w:p w14:paraId="26434BD0"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p>
        </w:tc>
        <w:tc>
          <w:tcPr>
            <w:tcW w:w="1914" w:type="dxa"/>
          </w:tcPr>
          <w:p w14:paraId="7EC01F9C"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4423</w:t>
            </w:r>
          </w:p>
        </w:tc>
        <w:tc>
          <w:tcPr>
            <w:tcW w:w="1914" w:type="dxa"/>
          </w:tcPr>
          <w:p w14:paraId="2B899497"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2819</w:t>
            </w:r>
          </w:p>
        </w:tc>
        <w:tc>
          <w:tcPr>
            <w:tcW w:w="1914" w:type="dxa"/>
          </w:tcPr>
          <w:p w14:paraId="58163481"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1658</w:t>
            </w:r>
          </w:p>
        </w:tc>
        <w:tc>
          <w:tcPr>
            <w:tcW w:w="1914" w:type="dxa"/>
          </w:tcPr>
          <w:p w14:paraId="66E915EC"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4477</w:t>
            </w:r>
          </w:p>
        </w:tc>
        <w:tc>
          <w:tcPr>
            <w:tcW w:w="1487" w:type="dxa"/>
          </w:tcPr>
          <w:p w14:paraId="16FAEF81"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101,2</w:t>
            </w:r>
          </w:p>
        </w:tc>
      </w:tr>
    </w:tbl>
    <w:p w14:paraId="5784B1D5"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том числе:</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F26F01" w:rsidRPr="00C33834" w14:paraId="19C33B53" w14:textId="77777777">
        <w:tc>
          <w:tcPr>
            <w:tcW w:w="1914" w:type="dxa"/>
          </w:tcPr>
          <w:p w14:paraId="18A72C85"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w:t>
            </w:r>
          </w:p>
        </w:tc>
        <w:tc>
          <w:tcPr>
            <w:tcW w:w="1914" w:type="dxa"/>
          </w:tcPr>
          <w:p w14:paraId="6063B29F"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1675</w:t>
            </w:r>
          </w:p>
        </w:tc>
        <w:tc>
          <w:tcPr>
            <w:tcW w:w="1914" w:type="dxa"/>
          </w:tcPr>
          <w:p w14:paraId="6BC86277"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995</w:t>
            </w:r>
          </w:p>
        </w:tc>
        <w:tc>
          <w:tcPr>
            <w:tcW w:w="1914" w:type="dxa"/>
          </w:tcPr>
          <w:p w14:paraId="01764DDE"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680</w:t>
            </w:r>
          </w:p>
        </w:tc>
        <w:tc>
          <w:tcPr>
            <w:tcW w:w="1914" w:type="dxa"/>
          </w:tcPr>
          <w:p w14:paraId="32960103"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1675</w:t>
            </w:r>
          </w:p>
        </w:tc>
        <w:tc>
          <w:tcPr>
            <w:tcW w:w="1487" w:type="dxa"/>
          </w:tcPr>
          <w:p w14:paraId="3FB18EE2"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74F6CD3A" w14:textId="77777777">
        <w:tc>
          <w:tcPr>
            <w:tcW w:w="1914" w:type="dxa"/>
          </w:tcPr>
          <w:p w14:paraId="71C79865"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МР-5</w:t>
            </w:r>
          </w:p>
        </w:tc>
        <w:tc>
          <w:tcPr>
            <w:tcW w:w="1914" w:type="dxa"/>
          </w:tcPr>
          <w:p w14:paraId="112E5235"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914" w:type="dxa"/>
          </w:tcPr>
          <w:p w14:paraId="391463F1"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914" w:type="dxa"/>
          </w:tcPr>
          <w:p w14:paraId="5E4AE03A"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914" w:type="dxa"/>
          </w:tcPr>
          <w:p w14:paraId="7988FC70"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487" w:type="dxa"/>
          </w:tcPr>
          <w:p w14:paraId="1749600F"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3F323765" w14:textId="77777777">
        <w:tc>
          <w:tcPr>
            <w:tcW w:w="1914" w:type="dxa"/>
          </w:tcPr>
          <w:p w14:paraId="3B2C2999"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w:t>
            </w:r>
          </w:p>
        </w:tc>
        <w:tc>
          <w:tcPr>
            <w:tcW w:w="1914" w:type="dxa"/>
          </w:tcPr>
          <w:p w14:paraId="2844B26B"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1914" w:type="dxa"/>
          </w:tcPr>
          <w:p w14:paraId="6E7D728F"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w:t>
            </w:r>
          </w:p>
        </w:tc>
        <w:tc>
          <w:tcPr>
            <w:tcW w:w="1914" w:type="dxa"/>
          </w:tcPr>
          <w:p w14:paraId="5DA0C0EC"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w:t>
            </w:r>
          </w:p>
        </w:tc>
        <w:tc>
          <w:tcPr>
            <w:tcW w:w="1914" w:type="dxa"/>
          </w:tcPr>
          <w:p w14:paraId="7B160A01"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tc>
        <w:tc>
          <w:tcPr>
            <w:tcW w:w="1487" w:type="dxa"/>
          </w:tcPr>
          <w:p w14:paraId="178AB443"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tc>
      </w:tr>
      <w:tr w:rsidR="00F26F01" w:rsidRPr="00C33834" w14:paraId="549EFC67" w14:textId="77777777">
        <w:tc>
          <w:tcPr>
            <w:tcW w:w="1914" w:type="dxa"/>
          </w:tcPr>
          <w:p w14:paraId="0483FB5B"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МБР-АСО</w:t>
            </w:r>
          </w:p>
        </w:tc>
        <w:tc>
          <w:tcPr>
            <w:tcW w:w="1914" w:type="dxa"/>
          </w:tcPr>
          <w:p w14:paraId="564E877B"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1914" w:type="dxa"/>
          </w:tcPr>
          <w:p w14:paraId="1DB06715"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1914" w:type="dxa"/>
          </w:tcPr>
          <w:p w14:paraId="136F4B9A"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914" w:type="dxa"/>
          </w:tcPr>
          <w:p w14:paraId="2FB4048D"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1487" w:type="dxa"/>
          </w:tcPr>
          <w:p w14:paraId="281F5224"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7ED9E839" w14:textId="77777777">
        <w:tc>
          <w:tcPr>
            <w:tcW w:w="1914" w:type="dxa"/>
          </w:tcPr>
          <w:p w14:paraId="7245E6A3"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w:t>
            </w:r>
          </w:p>
        </w:tc>
        <w:tc>
          <w:tcPr>
            <w:tcW w:w="1914" w:type="dxa"/>
          </w:tcPr>
          <w:p w14:paraId="7EADF8A4"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914" w:type="dxa"/>
          </w:tcPr>
          <w:p w14:paraId="7328AE7A"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228</w:t>
            </w:r>
          </w:p>
        </w:tc>
        <w:tc>
          <w:tcPr>
            <w:tcW w:w="1914" w:type="dxa"/>
          </w:tcPr>
          <w:p w14:paraId="7ABA64BE"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tc>
        <w:tc>
          <w:tcPr>
            <w:tcW w:w="1914" w:type="dxa"/>
          </w:tcPr>
          <w:p w14:paraId="5BB7D8EA"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358</w:t>
            </w:r>
          </w:p>
        </w:tc>
        <w:tc>
          <w:tcPr>
            <w:tcW w:w="1487" w:type="dxa"/>
          </w:tcPr>
          <w:p w14:paraId="370967A5"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119,3</w:t>
            </w:r>
          </w:p>
        </w:tc>
      </w:tr>
      <w:tr w:rsidR="00F26F01" w:rsidRPr="00C33834" w14:paraId="7A69BCDC" w14:textId="77777777">
        <w:tc>
          <w:tcPr>
            <w:tcW w:w="1914" w:type="dxa"/>
          </w:tcPr>
          <w:p w14:paraId="08AED742"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w:t>
            </w:r>
          </w:p>
        </w:tc>
        <w:tc>
          <w:tcPr>
            <w:tcW w:w="1914" w:type="dxa"/>
          </w:tcPr>
          <w:p w14:paraId="3684BEE4"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914" w:type="dxa"/>
          </w:tcPr>
          <w:p w14:paraId="1D9C0859"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c>
          <w:tcPr>
            <w:tcW w:w="1914" w:type="dxa"/>
          </w:tcPr>
          <w:p w14:paraId="05F8F7CE"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1914" w:type="dxa"/>
          </w:tcPr>
          <w:p w14:paraId="3B475987"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w:t>
            </w:r>
          </w:p>
        </w:tc>
        <w:tc>
          <w:tcPr>
            <w:tcW w:w="1487" w:type="dxa"/>
          </w:tcPr>
          <w:p w14:paraId="3B4252A8"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w:t>
            </w:r>
          </w:p>
        </w:tc>
      </w:tr>
      <w:tr w:rsidR="00F26F01" w:rsidRPr="00C33834" w14:paraId="31A00936" w14:textId="77777777">
        <w:tc>
          <w:tcPr>
            <w:tcW w:w="1914" w:type="dxa"/>
          </w:tcPr>
          <w:p w14:paraId="457F4F37"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ТБ3-М17</w:t>
            </w:r>
          </w:p>
        </w:tc>
        <w:tc>
          <w:tcPr>
            <w:tcW w:w="1914" w:type="dxa"/>
          </w:tcPr>
          <w:p w14:paraId="400EBE3B"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245</w:t>
            </w:r>
          </w:p>
        </w:tc>
        <w:tc>
          <w:tcPr>
            <w:tcW w:w="1914" w:type="dxa"/>
          </w:tcPr>
          <w:p w14:paraId="10A4C1B1"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1914" w:type="dxa"/>
          </w:tcPr>
          <w:p w14:paraId="1BA75821"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1914" w:type="dxa"/>
          </w:tcPr>
          <w:p w14:paraId="7DEC9FA2"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245</w:t>
            </w:r>
          </w:p>
        </w:tc>
        <w:tc>
          <w:tcPr>
            <w:tcW w:w="1487" w:type="dxa"/>
          </w:tcPr>
          <w:p w14:paraId="79B50C26"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5A8D76A5" w14:textId="77777777">
        <w:tc>
          <w:tcPr>
            <w:tcW w:w="1914" w:type="dxa"/>
          </w:tcPr>
          <w:p w14:paraId="638E3CC0"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М-34</w:t>
            </w:r>
          </w:p>
        </w:tc>
        <w:tc>
          <w:tcPr>
            <w:tcW w:w="1914" w:type="dxa"/>
          </w:tcPr>
          <w:p w14:paraId="62BD6D50"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tc>
        <w:tc>
          <w:tcPr>
            <w:tcW w:w="1914" w:type="dxa"/>
          </w:tcPr>
          <w:p w14:paraId="18176E8E"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1914" w:type="dxa"/>
          </w:tcPr>
          <w:p w14:paraId="55F904EB"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62</w:t>
            </w:r>
          </w:p>
        </w:tc>
        <w:tc>
          <w:tcPr>
            <w:tcW w:w="1914" w:type="dxa"/>
          </w:tcPr>
          <w:p w14:paraId="4D3E8236"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tc>
        <w:tc>
          <w:tcPr>
            <w:tcW w:w="1487" w:type="dxa"/>
          </w:tcPr>
          <w:p w14:paraId="72163F76"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658D4215" w14:textId="77777777">
        <w:tc>
          <w:tcPr>
            <w:tcW w:w="1914" w:type="dxa"/>
          </w:tcPr>
          <w:p w14:paraId="000D7DA0"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w:t>
            </w:r>
          </w:p>
        </w:tc>
        <w:tc>
          <w:tcPr>
            <w:tcW w:w="1914" w:type="dxa"/>
          </w:tcPr>
          <w:p w14:paraId="209902E6"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1280</w:t>
            </w:r>
          </w:p>
        </w:tc>
        <w:tc>
          <w:tcPr>
            <w:tcW w:w="1914" w:type="dxa"/>
          </w:tcPr>
          <w:p w14:paraId="2910E5A2"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936</w:t>
            </w:r>
          </w:p>
        </w:tc>
        <w:tc>
          <w:tcPr>
            <w:tcW w:w="1914" w:type="dxa"/>
          </w:tcPr>
          <w:p w14:paraId="0846422F"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441</w:t>
            </w:r>
          </w:p>
        </w:tc>
        <w:tc>
          <w:tcPr>
            <w:tcW w:w="1914" w:type="dxa"/>
          </w:tcPr>
          <w:p w14:paraId="0A65BFBF"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1377</w:t>
            </w:r>
          </w:p>
        </w:tc>
        <w:tc>
          <w:tcPr>
            <w:tcW w:w="1487" w:type="dxa"/>
          </w:tcPr>
          <w:p w14:paraId="7C79BE7A"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107</w:t>
            </w:r>
          </w:p>
        </w:tc>
      </w:tr>
    </w:tbl>
    <w:p w14:paraId="772D11E4"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F26F01" w:rsidRPr="00C33834" w14:paraId="4A03DDC4" w14:textId="77777777">
        <w:tc>
          <w:tcPr>
            <w:tcW w:w="1914" w:type="dxa"/>
          </w:tcPr>
          <w:p w14:paraId="1714581C"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1914" w:type="dxa"/>
          </w:tcPr>
          <w:p w14:paraId="0284DC74"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3800</w:t>
            </w:r>
          </w:p>
        </w:tc>
        <w:tc>
          <w:tcPr>
            <w:tcW w:w="1914" w:type="dxa"/>
          </w:tcPr>
          <w:p w14:paraId="3E09FD0C"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2605</w:t>
            </w:r>
          </w:p>
        </w:tc>
        <w:tc>
          <w:tcPr>
            <w:tcW w:w="1914" w:type="dxa"/>
          </w:tcPr>
          <w:p w14:paraId="203D83F7"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w:t>
            </w:r>
          </w:p>
        </w:tc>
        <w:tc>
          <w:tcPr>
            <w:tcW w:w="1914" w:type="dxa"/>
          </w:tcPr>
          <w:p w14:paraId="72FC5399"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3905</w:t>
            </w:r>
          </w:p>
        </w:tc>
        <w:tc>
          <w:tcPr>
            <w:tcW w:w="1487" w:type="dxa"/>
          </w:tcPr>
          <w:p w14:paraId="55200F9D"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102,8</w:t>
            </w:r>
          </w:p>
        </w:tc>
      </w:tr>
      <w:tr w:rsidR="00F26F01" w:rsidRPr="00C33834" w14:paraId="1EBD9860" w14:textId="77777777">
        <w:tc>
          <w:tcPr>
            <w:tcW w:w="1914" w:type="dxa"/>
          </w:tcPr>
          <w:p w14:paraId="115F78FB"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1914" w:type="dxa"/>
          </w:tcPr>
          <w:p w14:paraId="16B0E152"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962</w:t>
            </w:r>
          </w:p>
        </w:tc>
        <w:tc>
          <w:tcPr>
            <w:tcW w:w="1914" w:type="dxa"/>
          </w:tcPr>
          <w:p w14:paraId="1AC0B9BE"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577</w:t>
            </w:r>
          </w:p>
        </w:tc>
        <w:tc>
          <w:tcPr>
            <w:tcW w:w="1914" w:type="dxa"/>
          </w:tcPr>
          <w:p w14:paraId="6EA27547"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383</w:t>
            </w:r>
          </w:p>
        </w:tc>
        <w:tc>
          <w:tcPr>
            <w:tcW w:w="1914" w:type="dxa"/>
          </w:tcPr>
          <w:p w14:paraId="697A1B07"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960</w:t>
            </w:r>
          </w:p>
        </w:tc>
        <w:tc>
          <w:tcPr>
            <w:tcW w:w="1487" w:type="dxa"/>
          </w:tcPr>
          <w:p w14:paraId="0C6BCDAA"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99,8</w:t>
            </w:r>
          </w:p>
        </w:tc>
      </w:tr>
      <w:tr w:rsidR="00F26F01" w:rsidRPr="00C33834" w14:paraId="64C3ADD4" w14:textId="77777777">
        <w:tc>
          <w:tcPr>
            <w:tcW w:w="1914" w:type="dxa"/>
          </w:tcPr>
          <w:p w14:paraId="6A8B5564"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914" w:type="dxa"/>
          </w:tcPr>
          <w:p w14:paraId="7E57D835"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520</w:t>
            </w:r>
          </w:p>
        </w:tc>
        <w:tc>
          <w:tcPr>
            <w:tcW w:w="1914" w:type="dxa"/>
          </w:tcPr>
          <w:p w14:paraId="0B0E6544"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320</w:t>
            </w:r>
          </w:p>
        </w:tc>
        <w:tc>
          <w:tcPr>
            <w:tcW w:w="1914" w:type="dxa"/>
          </w:tcPr>
          <w:p w14:paraId="424F867E"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w:t>
            </w:r>
          </w:p>
        </w:tc>
        <w:tc>
          <w:tcPr>
            <w:tcW w:w="1914" w:type="dxa"/>
          </w:tcPr>
          <w:p w14:paraId="7FE770BA"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487" w:type="dxa"/>
          </w:tcPr>
          <w:p w14:paraId="6CDC916B"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96,2</w:t>
            </w:r>
          </w:p>
        </w:tc>
      </w:tr>
      <w:tr w:rsidR="00F26F01" w:rsidRPr="00C33834" w14:paraId="52066C94" w14:textId="77777777">
        <w:tc>
          <w:tcPr>
            <w:tcW w:w="1914" w:type="dxa"/>
          </w:tcPr>
          <w:p w14:paraId="41F096E0"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w:t>
            </w:r>
          </w:p>
        </w:tc>
        <w:tc>
          <w:tcPr>
            <w:tcW w:w="1914" w:type="dxa"/>
          </w:tcPr>
          <w:p w14:paraId="45D8E8B1"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2155</w:t>
            </w:r>
          </w:p>
        </w:tc>
        <w:tc>
          <w:tcPr>
            <w:tcW w:w="1914" w:type="dxa"/>
          </w:tcPr>
          <w:p w14:paraId="2D63958F"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1700</w:t>
            </w:r>
          </w:p>
        </w:tc>
        <w:tc>
          <w:tcPr>
            <w:tcW w:w="1914" w:type="dxa"/>
          </w:tcPr>
          <w:p w14:paraId="606D5ED2"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w:t>
            </w:r>
          </w:p>
        </w:tc>
        <w:tc>
          <w:tcPr>
            <w:tcW w:w="1914" w:type="dxa"/>
          </w:tcPr>
          <w:p w14:paraId="5EDB9041"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2500</w:t>
            </w:r>
          </w:p>
        </w:tc>
        <w:tc>
          <w:tcPr>
            <w:tcW w:w="1487" w:type="dxa"/>
          </w:tcPr>
          <w:p w14:paraId="2839F205"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116</w:t>
            </w:r>
          </w:p>
        </w:tc>
      </w:tr>
    </w:tbl>
    <w:p w14:paraId="5B803D89"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Изменение годовой программы – снятие с производства завода № 31 самолета МБР-4 М-34 и перенесение самолета ТБ4 с завода № 22 на завод № 18, а также восстановление производства самолета Р-6 на заводе № 22 произведено по решению Правительства от 13 августа 1933 года.</w:t>
      </w:r>
    </w:p>
    <w:p w14:paraId="61C58D74"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72D08F6D"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связи с изменением производственной программы завода № 31 и перенесением производства машин ТБ4 на завод № 18 с завода № 22; Р-6 с завода № 31 на завод № 22 (по решению Правительства от 13 августа 1933 года) и образованием излишков незавершенного производства на 1 сентября 1933 года обязать НКФ целиком покрыть утвержденное Правительством ГУАПу годовое финансирование в размере 51 млн. руб. И полностью выдать полагающееся финансирование в IV квартале а размере 16500000 рублей (4191, 27-30).</w:t>
      </w:r>
    </w:p>
    <w:p w14:paraId="461B4534"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p>
    <w:p w14:paraId="1F3AB86E"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сентября 1933 г. в ГУАПе состоялось оче</w:t>
      </w:r>
      <w:r w:rsidRPr="00C33834">
        <w:rPr>
          <w:rFonts w:ascii="Times New Roman" w:hAnsi="Times New Roman"/>
          <w:color w:val="000000" w:themeColor="text1"/>
          <w:sz w:val="16"/>
          <w:szCs w:val="16"/>
        </w:rPr>
        <w:softHyphen/>
        <w:t>редное совещание о состоянии эталона И-5 на 1933 г. Конструктивные разработки пред</w:t>
      </w:r>
      <w:r w:rsidRPr="00C33834">
        <w:rPr>
          <w:rFonts w:ascii="Times New Roman" w:hAnsi="Times New Roman"/>
          <w:color w:val="000000" w:themeColor="text1"/>
          <w:sz w:val="16"/>
          <w:szCs w:val="16"/>
        </w:rPr>
        <w:softHyphen/>
        <w:t>стоящих улучшений самолета выполнили в ЦКБ на заводе №39 и далее отправили на за</w:t>
      </w:r>
      <w:r w:rsidRPr="00C33834">
        <w:rPr>
          <w:rFonts w:ascii="Times New Roman" w:hAnsi="Times New Roman"/>
          <w:color w:val="000000" w:themeColor="text1"/>
          <w:sz w:val="16"/>
          <w:szCs w:val="16"/>
        </w:rPr>
        <w:softHyphen/>
        <w:t>вод №21 в Горький. Назывались следующие новшества:</w:t>
      </w:r>
    </w:p>
    <w:p w14:paraId="2AC213F4" w14:textId="77777777" w:rsidR="003F2394" w:rsidRPr="00C33834" w:rsidRDefault="003F2394" w:rsidP="00C33834">
      <w:pPr>
        <w:tabs>
          <w:tab w:val="left" w:pos="358"/>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rPr>
        <w:tab/>
        <w:t>облегченное хвостовое оперение (опра</w:t>
      </w:r>
      <w:r w:rsidRPr="00C33834">
        <w:rPr>
          <w:rFonts w:ascii="Times New Roman" w:hAnsi="Times New Roman"/>
          <w:color w:val="000000" w:themeColor="text1"/>
          <w:sz w:val="16"/>
          <w:szCs w:val="16"/>
        </w:rPr>
        <w:softHyphen/>
        <w:t>вили на №21);</w:t>
      </w:r>
    </w:p>
    <w:p w14:paraId="72842FC2" w14:textId="77777777" w:rsidR="003F2394" w:rsidRPr="00C33834" w:rsidRDefault="003F2394" w:rsidP="00C33834">
      <w:pPr>
        <w:tabs>
          <w:tab w:val="left" w:pos="38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rPr>
        <w:tab/>
        <w:t>обтекатели на колеса (решили изгото</w:t>
      </w:r>
      <w:r w:rsidRPr="00C33834">
        <w:rPr>
          <w:rFonts w:ascii="Times New Roman" w:hAnsi="Times New Roman"/>
          <w:color w:val="000000" w:themeColor="text1"/>
          <w:sz w:val="16"/>
          <w:szCs w:val="16"/>
        </w:rPr>
        <w:softHyphen/>
        <w:t>вить на №39);</w:t>
      </w:r>
    </w:p>
    <w:p w14:paraId="5429278D" w14:textId="77777777" w:rsidR="003F2394" w:rsidRPr="00C33834" w:rsidRDefault="003F2394" w:rsidP="00C33834">
      <w:pPr>
        <w:tabs>
          <w:tab w:val="left" w:pos="348"/>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rPr>
        <w:tab/>
        <w:t>колпак для слепых полетов;</w:t>
      </w:r>
    </w:p>
    <w:p w14:paraId="49DF32A6" w14:textId="77777777" w:rsidR="003F2394" w:rsidRPr="00C33834" w:rsidRDefault="003F2394" w:rsidP="00C33834">
      <w:pPr>
        <w:tabs>
          <w:tab w:val="left" w:pos="348"/>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rPr>
        <w:tab/>
        <w:t>новое крепление кольца Тауненда;</w:t>
      </w:r>
    </w:p>
    <w:p w14:paraId="12A6EFC3" w14:textId="77777777" w:rsidR="003F2394" w:rsidRPr="00C33834" w:rsidRDefault="003F2394" w:rsidP="00C33834">
      <w:pPr>
        <w:tabs>
          <w:tab w:val="left" w:pos="333"/>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rPr>
        <w:tab/>
        <w:t>тормозные колеса.</w:t>
      </w:r>
    </w:p>
    <w:p w14:paraId="2948BD12"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этом коротком списке лишь частично ре</w:t>
      </w:r>
      <w:r w:rsidRPr="00C33834">
        <w:rPr>
          <w:rFonts w:ascii="Times New Roman" w:hAnsi="Times New Roman"/>
          <w:color w:val="000000" w:themeColor="text1"/>
          <w:sz w:val="16"/>
          <w:szCs w:val="16"/>
        </w:rPr>
        <w:softHyphen/>
        <w:t>ализованных усовершенствований интерес вызывает первый пункт, т.е. «облегченное хвостовое оперение». История его началась еше во время испытаний ВТ-11, когда Бе</w:t>
      </w:r>
      <w:r w:rsidRPr="00C33834">
        <w:rPr>
          <w:rFonts w:ascii="Times New Roman" w:hAnsi="Times New Roman"/>
          <w:color w:val="000000" w:themeColor="text1"/>
          <w:sz w:val="16"/>
          <w:szCs w:val="16"/>
        </w:rPr>
        <w:softHyphen/>
        <w:t>недикт Бухгольц в полете заметил вибрацию оперения, и поэтому его усилили дополни</w:t>
      </w:r>
      <w:r w:rsidRPr="00C33834">
        <w:rPr>
          <w:rFonts w:ascii="Times New Roman" w:hAnsi="Times New Roman"/>
          <w:color w:val="000000" w:themeColor="text1"/>
          <w:sz w:val="16"/>
          <w:szCs w:val="16"/>
        </w:rPr>
        <w:softHyphen/>
        <w:t>тельными подкосами. Практически без из</w:t>
      </w:r>
      <w:r w:rsidRPr="00C33834">
        <w:rPr>
          <w:rFonts w:ascii="Times New Roman" w:hAnsi="Times New Roman"/>
          <w:color w:val="000000" w:themeColor="text1"/>
          <w:sz w:val="16"/>
          <w:szCs w:val="16"/>
        </w:rPr>
        <w:softHyphen/>
        <w:t>менений такое оперение запустили в серий</w:t>
      </w:r>
      <w:r w:rsidRPr="00C33834">
        <w:rPr>
          <w:rFonts w:ascii="Times New Roman" w:hAnsi="Times New Roman"/>
          <w:color w:val="000000" w:themeColor="text1"/>
          <w:sz w:val="16"/>
          <w:szCs w:val="16"/>
        </w:rPr>
        <w:softHyphen/>
        <w:t>ное производство. Примерно через год из</w:t>
      </w:r>
      <w:r w:rsidRPr="00C33834">
        <w:rPr>
          <w:rFonts w:ascii="Times New Roman" w:hAnsi="Times New Roman"/>
          <w:color w:val="000000" w:themeColor="text1"/>
          <w:sz w:val="16"/>
          <w:szCs w:val="16"/>
        </w:rPr>
        <w:softHyphen/>
        <w:t>готовили несколько облегченных оперений (с учетом установки подкосов), однако ис</w:t>
      </w:r>
      <w:r w:rsidRPr="00C33834">
        <w:rPr>
          <w:rFonts w:ascii="Times New Roman" w:hAnsi="Times New Roman"/>
          <w:color w:val="000000" w:themeColor="text1"/>
          <w:sz w:val="16"/>
          <w:szCs w:val="16"/>
        </w:rPr>
        <w:softHyphen/>
        <w:t>пользовать их не удалось, так как к тому мо</w:t>
      </w:r>
      <w:r w:rsidRPr="00C33834">
        <w:rPr>
          <w:rFonts w:ascii="Times New Roman" w:hAnsi="Times New Roman"/>
          <w:color w:val="000000" w:themeColor="text1"/>
          <w:sz w:val="16"/>
          <w:szCs w:val="16"/>
        </w:rPr>
        <w:softHyphen/>
        <w:t>менту уже успели «наклепать» 450 хвостовых комплектов прежней конструкции. В резуль</w:t>
      </w:r>
      <w:r w:rsidRPr="00C33834">
        <w:rPr>
          <w:rFonts w:ascii="Times New Roman" w:hAnsi="Times New Roman"/>
          <w:color w:val="000000" w:themeColor="text1"/>
          <w:sz w:val="16"/>
          <w:szCs w:val="16"/>
        </w:rPr>
        <w:softHyphen/>
        <w:t>тате, 2 комплекта этого облегченного опере</w:t>
      </w:r>
      <w:r w:rsidRPr="00C33834">
        <w:rPr>
          <w:rFonts w:ascii="Times New Roman" w:hAnsi="Times New Roman"/>
          <w:color w:val="000000" w:themeColor="text1"/>
          <w:sz w:val="16"/>
          <w:szCs w:val="16"/>
        </w:rPr>
        <w:softHyphen/>
        <w:t>ния были использованы А.С. Яковлевым на АИР-6 и АИР-7, и еше один остался у него в наличии (Яковлев в тот период работал на за</w:t>
      </w:r>
      <w:r w:rsidRPr="00C33834">
        <w:rPr>
          <w:rFonts w:ascii="Times New Roman" w:hAnsi="Times New Roman"/>
          <w:color w:val="000000" w:themeColor="text1"/>
          <w:sz w:val="16"/>
          <w:szCs w:val="16"/>
        </w:rPr>
        <w:softHyphen/>
        <w:t>воде №39). Еше два экземпляра оперения пе</w:t>
      </w:r>
      <w:r w:rsidRPr="00C33834">
        <w:rPr>
          <w:rFonts w:ascii="Times New Roman" w:hAnsi="Times New Roman"/>
          <w:color w:val="000000" w:themeColor="text1"/>
          <w:sz w:val="16"/>
          <w:szCs w:val="16"/>
        </w:rPr>
        <w:softHyphen/>
        <w:t>редали с завода №39 в Нижний Новгород на завод №21. Конструктивно они также отли</w:t>
      </w:r>
      <w:r w:rsidRPr="00C33834">
        <w:rPr>
          <w:rFonts w:ascii="Times New Roman" w:hAnsi="Times New Roman"/>
          <w:color w:val="000000" w:themeColor="text1"/>
          <w:sz w:val="16"/>
          <w:szCs w:val="16"/>
        </w:rPr>
        <w:softHyphen/>
        <w:t>чались более совершенными узлами навески рулей поворота и высоты, скреплялись не на штырях, а на узлах с двумя щеками, через ко</w:t>
      </w:r>
      <w:r w:rsidRPr="00C33834">
        <w:rPr>
          <w:rFonts w:ascii="Times New Roman" w:hAnsi="Times New Roman"/>
          <w:color w:val="000000" w:themeColor="text1"/>
          <w:sz w:val="16"/>
          <w:szCs w:val="16"/>
        </w:rPr>
        <w:softHyphen/>
        <w:t>торые проходит болт.</w:t>
      </w:r>
    </w:p>
    <w:p w14:paraId="668A1BFA"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Уже в 1933 г. в отношении действующего и перспективного авиазавода №21 имени Ену- кидзе (позднее им Орджоникидзе) в руковод</w:t>
      </w:r>
      <w:r w:rsidRPr="00C33834">
        <w:rPr>
          <w:rFonts w:ascii="Times New Roman" w:hAnsi="Times New Roman"/>
          <w:color w:val="000000" w:themeColor="text1"/>
          <w:sz w:val="16"/>
          <w:szCs w:val="16"/>
        </w:rPr>
        <w:softHyphen/>
        <w:t>стве авиапромышленности имелись обшир</w:t>
      </w:r>
      <w:r w:rsidRPr="00C33834">
        <w:rPr>
          <w:rFonts w:ascii="Times New Roman" w:hAnsi="Times New Roman"/>
          <w:color w:val="000000" w:themeColor="text1"/>
          <w:sz w:val="16"/>
          <w:szCs w:val="16"/>
        </w:rPr>
        <w:softHyphen/>
        <w:t>ные планы. В ноябре 1933 г. решался вопрос о запуске в серию здесь истребителя И-14, позднее последовало решение о строитель-стве ХАИ-1. Однако оба самолета стали для Горького лишь частным эпизодом. В соот</w:t>
      </w:r>
      <w:r w:rsidRPr="00C33834">
        <w:rPr>
          <w:rFonts w:ascii="Times New Roman" w:hAnsi="Times New Roman"/>
          <w:color w:val="000000" w:themeColor="text1"/>
          <w:sz w:val="16"/>
          <w:szCs w:val="16"/>
        </w:rPr>
        <w:softHyphen/>
        <w:t>ветствии с приказом ГУАП за № 1106-со от 11 июня 1934 г. завод №21 получил новое зада</w:t>
      </w:r>
      <w:r w:rsidRPr="00C33834">
        <w:rPr>
          <w:rFonts w:ascii="Times New Roman" w:hAnsi="Times New Roman"/>
          <w:color w:val="000000" w:themeColor="text1"/>
          <w:sz w:val="16"/>
          <w:szCs w:val="16"/>
        </w:rPr>
        <w:softHyphen/>
        <w:t>ние — внедрить в крупносерийное производ</w:t>
      </w:r>
      <w:r w:rsidRPr="00C33834">
        <w:rPr>
          <w:rFonts w:ascii="Times New Roman" w:hAnsi="Times New Roman"/>
          <w:color w:val="000000" w:themeColor="text1"/>
          <w:sz w:val="16"/>
          <w:szCs w:val="16"/>
        </w:rPr>
        <w:softHyphen/>
        <w:t>ство истребитель-моноплан И-16 конструк</w:t>
      </w:r>
      <w:r w:rsidRPr="00C33834">
        <w:rPr>
          <w:rFonts w:ascii="Times New Roman" w:hAnsi="Times New Roman"/>
          <w:color w:val="000000" w:themeColor="text1"/>
          <w:sz w:val="16"/>
          <w:szCs w:val="16"/>
        </w:rPr>
        <w:softHyphen/>
        <w:t>ции Поликарпова. Выпуск ХАИ-1 после из</w:t>
      </w:r>
      <w:r w:rsidRPr="00C33834">
        <w:rPr>
          <w:rFonts w:ascii="Times New Roman" w:hAnsi="Times New Roman"/>
          <w:color w:val="000000" w:themeColor="text1"/>
          <w:sz w:val="16"/>
          <w:szCs w:val="16"/>
        </w:rPr>
        <w:softHyphen/>
        <w:t>готовления трех экземпляров перенесли на завод №43 в Киеве, а задание на изготовление И-14 передали иркутскому заводу №125. С появлением И-16 на 21-м заводе ввели нуме</w:t>
      </w:r>
      <w:r w:rsidRPr="00C33834">
        <w:rPr>
          <w:rFonts w:ascii="Times New Roman" w:hAnsi="Times New Roman"/>
          <w:color w:val="000000" w:themeColor="text1"/>
          <w:sz w:val="16"/>
          <w:szCs w:val="16"/>
        </w:rPr>
        <w:softHyphen/>
        <w:t>рацию строящихся самолетов по типам. Так И-5 стал типом №1, И-14 типом №2, ХАИ-1 типом №3, а И-16 типом №4. Впрочем, ука</w:t>
      </w:r>
      <w:r w:rsidRPr="00C33834">
        <w:rPr>
          <w:rFonts w:ascii="Times New Roman" w:hAnsi="Times New Roman"/>
          <w:color w:val="000000" w:themeColor="text1"/>
          <w:sz w:val="16"/>
          <w:szCs w:val="16"/>
        </w:rPr>
        <w:softHyphen/>
        <w:t>зывать тип самолета поначалу забывал и. На</w:t>
      </w:r>
      <w:r w:rsidRPr="00C33834">
        <w:rPr>
          <w:rFonts w:ascii="Times New Roman" w:hAnsi="Times New Roman"/>
          <w:color w:val="000000" w:themeColor="text1"/>
          <w:sz w:val="16"/>
          <w:szCs w:val="16"/>
        </w:rPr>
        <w:softHyphen/>
        <w:t>пример, в сводной ведомости упоминается И-5 №121633 - головной самолет 19-й серии (12295).</w:t>
      </w:r>
    </w:p>
    <w:p w14:paraId="5B6027C0" w14:textId="77777777" w:rsidR="003F2394" w:rsidRPr="00C33834" w:rsidRDefault="003F2394" w:rsidP="00C33834">
      <w:pPr>
        <w:spacing w:after="0" w:line="240" w:lineRule="auto"/>
        <w:jc w:val="both"/>
        <w:rPr>
          <w:rFonts w:ascii="Times New Roman" w:hAnsi="Times New Roman"/>
          <w:color w:val="000000" w:themeColor="text1"/>
          <w:sz w:val="16"/>
          <w:szCs w:val="16"/>
        </w:rPr>
      </w:pPr>
    </w:p>
    <w:p w14:paraId="12E1DA1A"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сентября 1933 г. Группа работников ГУАП воз-вращалась с курортов Кавказа, АНТ-7 пилотировал командир лётного отряда управления И.М. Дорфман. В районе Ло- пасни (ныне г. Чехов) в тумане самолёт, прижимавшийся к земле, зацепился за верхушки деревьев. Все находившие-ся на борту, включая начальника ГУАП П.И. Баранова и директора завода № 22 С.П. Горбунова, погибли. Комиссия, расследовавшая катастрофу, признала, что самолёт был исправен. Этот слу-чай лёг тёмным пятном на репутацию пассажирского АНТ-7, и в серию его не запустили (12264).</w:t>
      </w:r>
    </w:p>
    <w:p w14:paraId="7D78D9C1" w14:textId="77777777" w:rsidR="003F2394" w:rsidRPr="00C33834" w:rsidRDefault="003F2394" w:rsidP="00C33834">
      <w:pPr>
        <w:spacing w:after="0" w:line="240" w:lineRule="auto"/>
        <w:jc w:val="both"/>
        <w:rPr>
          <w:rFonts w:ascii="Times New Roman" w:hAnsi="Times New Roman"/>
          <w:color w:val="000000" w:themeColor="text1"/>
          <w:sz w:val="16"/>
          <w:szCs w:val="16"/>
        </w:rPr>
      </w:pPr>
    </w:p>
    <w:p w14:paraId="2046B7CD" w14:textId="77777777" w:rsidR="005F0450" w:rsidRPr="00C33834" w:rsidRDefault="005F0450" w:rsidP="00C33834">
      <w:pPr>
        <w:pStyle w:val="rtejustify"/>
        <w:spacing w:before="0" w:after="0"/>
        <w:rPr>
          <w:color w:val="000000" w:themeColor="text1"/>
          <w:sz w:val="16"/>
          <w:szCs w:val="16"/>
        </w:rPr>
      </w:pPr>
      <w:r w:rsidRPr="00C33834">
        <w:rPr>
          <w:color w:val="000000" w:themeColor="text1"/>
          <w:sz w:val="16"/>
          <w:szCs w:val="16"/>
        </w:rPr>
        <w:t>5 сентября 1933 г. Каганович, Куйбышев — Сталину, Ворошилову</w:t>
      </w:r>
    </w:p>
    <w:p w14:paraId="54060285"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Шифровка.</w:t>
      </w:r>
    </w:p>
    <w:p w14:paraId="059B9A5C"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Из Москвы 5/IX — 33 г. 18 час. 45 мин.</w:t>
      </w:r>
    </w:p>
    <w:p w14:paraId="3D7D806E" w14:textId="77777777" w:rsidR="003F2394" w:rsidRPr="00C33834" w:rsidRDefault="003F2394" w:rsidP="00C33834">
      <w:pPr>
        <w:pStyle w:val="rtecenter"/>
        <w:spacing w:before="0" w:after="0"/>
        <w:jc w:val="both"/>
        <w:rPr>
          <w:color w:val="000000" w:themeColor="text1"/>
          <w:sz w:val="16"/>
          <w:szCs w:val="16"/>
        </w:rPr>
      </w:pPr>
      <w:r w:rsidRPr="00C33834">
        <w:rPr>
          <w:color w:val="000000" w:themeColor="text1"/>
          <w:sz w:val="16"/>
          <w:szCs w:val="16"/>
        </w:rPr>
        <w:t>Т. т. Сталину, Ворошилову.</w:t>
      </w:r>
    </w:p>
    <w:p w14:paraId="12B4E0F8"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Сегодня в 8 часов утра вылетели из Москвы в Севастополь на АНТ 7 ЦАГИ Баранов с женой, Гольцман, Горбунов — директор завода № 22, Зарзар — член президиума Госплана, Петров — заместитель нач. аэрофлота, Дорсман — пилот, Плотников — бортмеханик, и не долетев до Серпухова, самолет разбился. Все находившиеся в нем погибли.</w:t>
      </w:r>
    </w:p>
    <w:p w14:paraId="402737E0"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Для выяснения причины катастрофы создали комиссию в составе Тухачевского, Прокофьева, Харламова (ЦАГИ) и Ежова и кроме того, комиссию по похоронам в составе т. т. Енукидзе, Кагановича М., Тухачевского, Хрущева и Акулова</w:t>
      </w:r>
      <w:r w:rsidRPr="00C33834">
        <w:rPr>
          <w:color w:val="000000" w:themeColor="text1"/>
          <w:sz w:val="16"/>
          <w:szCs w:val="16"/>
          <w:vertAlign w:val="superscript"/>
        </w:rPr>
        <w:t>1</w:t>
      </w:r>
      <w:r w:rsidRPr="00C33834">
        <w:rPr>
          <w:color w:val="000000" w:themeColor="text1"/>
          <w:sz w:val="16"/>
          <w:szCs w:val="16"/>
        </w:rPr>
        <w:t>. Порядок похорон наметили следующий: шестого перевозим убитых в Дом Союзов и седьмого вечером кремация. Урны Гольцмана и Баранова замуровываем на Красной площади. В газеты даем извещения от ЦК и СНК отдельно и, кроме того, в отношении Гольцмана и Баранова предполагается составить краткое письмо товарищей. Нр 20.</w:t>
      </w:r>
    </w:p>
    <w:p w14:paraId="3B97658A"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Каганович, Куйбышев.</w:t>
      </w:r>
    </w:p>
    <w:p w14:paraId="3A1F3ED1"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vertAlign w:val="superscript"/>
        </w:rPr>
        <w:t>1</w:t>
      </w:r>
      <w:r w:rsidRPr="00C33834">
        <w:rPr>
          <w:color w:val="000000" w:themeColor="text1"/>
          <w:sz w:val="16"/>
          <w:szCs w:val="16"/>
        </w:rPr>
        <w:t xml:space="preserve"> Комиссия ПБ была создана 5 сентября 1933 г. (РГАСПИ. Ф. 17. Оп. 3. Д. 930. Л. 26).</w:t>
      </w:r>
    </w:p>
    <w:p w14:paraId="5BB9B00A"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Архив: РГАСПИ Ф. 558. Оп. 11. Д. 80. Л. 93 об. Подлинник. Машинопись. </w:t>
      </w:r>
    </w:p>
    <w:p w14:paraId="7DA360D9"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Источник: Сталин и Каганович. Переписка. 1931–1936 гг. Москва: (РОССПЭН), 2001 Стр. 331 (12323).</w:t>
      </w:r>
    </w:p>
    <w:p w14:paraId="7FC75047" w14:textId="77777777" w:rsidR="003F2394" w:rsidRPr="00C33834" w:rsidRDefault="003F2394" w:rsidP="00C33834">
      <w:pPr>
        <w:spacing w:after="0" w:line="240" w:lineRule="auto"/>
        <w:jc w:val="both"/>
        <w:rPr>
          <w:rFonts w:ascii="Times New Roman" w:hAnsi="Times New Roman"/>
          <w:color w:val="000000" w:themeColor="text1"/>
          <w:sz w:val="16"/>
          <w:szCs w:val="16"/>
        </w:rPr>
      </w:pPr>
    </w:p>
    <w:p w14:paraId="1C5F9FEB" w14:textId="77777777" w:rsidR="005F0450" w:rsidRPr="00C33834" w:rsidRDefault="005F0450" w:rsidP="00C33834">
      <w:pPr>
        <w:spacing w:after="0" w:line="240" w:lineRule="auto"/>
        <w:jc w:val="both"/>
        <w:rPr>
          <w:rStyle w:val="ucoz-forum-post"/>
          <w:rFonts w:ascii="Times New Roman" w:eastAsiaTheme="majorEastAsia" w:hAnsi="Times New Roman"/>
          <w:color w:val="000000" w:themeColor="text1"/>
          <w:sz w:val="16"/>
          <w:szCs w:val="16"/>
        </w:rPr>
      </w:pPr>
      <w:r w:rsidRPr="00C33834">
        <w:rPr>
          <w:rStyle w:val="ucoz-forum-post"/>
          <w:rFonts w:ascii="Times New Roman" w:eastAsiaTheme="majorEastAsia" w:hAnsi="Times New Roman"/>
          <w:bCs/>
          <w:color w:val="000000" w:themeColor="text1"/>
          <w:sz w:val="16"/>
          <w:szCs w:val="16"/>
        </w:rPr>
        <w:t>5 сентября 1933 года</w:t>
      </w:r>
      <w:r w:rsidRPr="00C33834">
        <w:rPr>
          <w:rStyle w:val="ucoz-forum-post"/>
          <w:rFonts w:ascii="Times New Roman" w:eastAsiaTheme="majorEastAsia" w:hAnsi="Times New Roman"/>
          <w:color w:val="000000" w:themeColor="text1"/>
          <w:sz w:val="16"/>
          <w:szCs w:val="16"/>
        </w:rPr>
        <w:t xml:space="preserve"> Катастрофа самолёта АНТ-7, командир экипажа Дорфман И.М.</w:t>
      </w:r>
    </w:p>
    <w:p w14:paraId="1B86B20C" w14:textId="77777777" w:rsidR="005F0450" w:rsidRPr="00C33834" w:rsidRDefault="005F0450" w:rsidP="00C33834">
      <w:pPr>
        <w:spacing w:after="0" w:line="240" w:lineRule="auto"/>
        <w:jc w:val="both"/>
        <w:rPr>
          <w:rStyle w:val="ucoz-forum-post"/>
          <w:rFonts w:ascii="Times New Roman" w:eastAsiaTheme="majorEastAsia" w:hAnsi="Times New Roman"/>
          <w:color w:val="000000" w:themeColor="text1"/>
          <w:sz w:val="16"/>
          <w:szCs w:val="16"/>
        </w:rPr>
      </w:pPr>
      <w:r w:rsidRPr="00C33834">
        <w:rPr>
          <w:rStyle w:val="ucoz-forum-post"/>
          <w:rFonts w:ascii="Times New Roman" w:eastAsiaTheme="majorEastAsia" w:hAnsi="Times New Roman"/>
          <w:color w:val="000000" w:themeColor="text1"/>
          <w:sz w:val="16"/>
          <w:szCs w:val="16"/>
        </w:rPr>
        <w:t>Экипаж выполнял перелёт в Крым. На борту находились высшие руководители авиапрома и ГВФ СССР. Через несколько минут после взлёта самолёт в условиях сильного тумана зацепился колесами за канат любительской антенны, укрепленной на высоких шестах, затем задел элероном левой плоскости за верхушку высокой ветлы. Левая консоль крыла отвалилась, самолет носовой частью ударился о землю южнее Подольска около ст. Лопасня и рассыпался. Гибель двух Главнокомандующих ВВС Красной Армии - А.С. Сергеева и П.И. Баранова в авиационной катастрофе самолёта Ант-7 (Р-6). Погибло 8 человек.</w:t>
      </w:r>
    </w:p>
    <w:p w14:paraId="19692844" w14:textId="77777777" w:rsidR="005F0450" w:rsidRPr="00C33834" w:rsidRDefault="005F0450" w:rsidP="00C33834">
      <w:pPr>
        <w:spacing w:after="0" w:line="240" w:lineRule="auto"/>
        <w:jc w:val="both"/>
        <w:rPr>
          <w:rStyle w:val="ucoz-forum-post"/>
          <w:rFonts w:ascii="Times New Roman" w:eastAsiaTheme="majorEastAsia" w:hAnsi="Times New Roman"/>
          <w:color w:val="000000" w:themeColor="text1"/>
          <w:sz w:val="16"/>
          <w:szCs w:val="16"/>
        </w:rPr>
      </w:pPr>
      <w:r w:rsidRPr="00C33834">
        <w:rPr>
          <w:rStyle w:val="ucoz-forum-post"/>
          <w:rFonts w:ascii="Times New Roman" w:eastAsiaTheme="majorEastAsia" w:hAnsi="Times New Roman"/>
          <w:color w:val="000000" w:themeColor="text1"/>
          <w:sz w:val="16"/>
          <w:szCs w:val="16"/>
        </w:rPr>
        <w:t>Предположительная причина: лётчик выполнял визуальный полёт в условиях недостаточной видимости и не справился с управлением.</w:t>
      </w:r>
    </w:p>
    <w:p w14:paraId="723A6B21" w14:textId="77777777" w:rsidR="005F0450" w:rsidRPr="00C33834" w:rsidRDefault="005F0450" w:rsidP="00C33834">
      <w:pPr>
        <w:spacing w:after="0" w:line="240" w:lineRule="auto"/>
        <w:jc w:val="both"/>
        <w:rPr>
          <w:rStyle w:val="ucoz-forum-post"/>
          <w:rFonts w:ascii="Times New Roman" w:eastAsiaTheme="majorEastAsia" w:hAnsi="Times New Roman"/>
          <w:color w:val="000000" w:themeColor="text1"/>
          <w:sz w:val="16"/>
          <w:szCs w:val="16"/>
        </w:rPr>
      </w:pPr>
      <w:r w:rsidRPr="00C33834">
        <w:rPr>
          <w:rStyle w:val="ucoz-forum-post"/>
          <w:rFonts w:ascii="Times New Roman" w:eastAsiaTheme="majorEastAsia" w:hAnsi="Times New Roman"/>
          <w:color w:val="000000" w:themeColor="text1"/>
          <w:sz w:val="16"/>
          <w:szCs w:val="16"/>
        </w:rPr>
        <w:t>Это был единственный опытный экземпляр, переделанный из устаревшего разведчика Р-6. На самолёте убрали все вооружение, в фюзеляже разместили 8 кресел для пассажиров и установили дополнительные баки с бензином. Самолет не был оборудован приборами для полетов ночью и в СМУ.</w:t>
      </w:r>
    </w:p>
    <w:p w14:paraId="462CB431" w14:textId="77777777" w:rsidR="005F0450" w:rsidRPr="00C33834" w:rsidRDefault="005F0450" w:rsidP="00C33834">
      <w:pPr>
        <w:spacing w:after="0" w:line="240" w:lineRule="auto"/>
        <w:jc w:val="both"/>
        <w:rPr>
          <w:rStyle w:val="ucoz-forum-post"/>
          <w:rFonts w:ascii="Times New Roman" w:eastAsiaTheme="majorEastAsia" w:hAnsi="Times New Roman"/>
          <w:color w:val="000000" w:themeColor="text1"/>
          <w:sz w:val="16"/>
          <w:szCs w:val="16"/>
        </w:rPr>
      </w:pPr>
      <w:r w:rsidRPr="00C33834">
        <w:rPr>
          <w:rStyle w:val="ucoz-forum-post"/>
          <w:rFonts w:ascii="Times New Roman" w:eastAsiaTheme="majorEastAsia" w:hAnsi="Times New Roman"/>
          <w:color w:val="000000" w:themeColor="text1"/>
          <w:sz w:val="16"/>
          <w:szCs w:val="16"/>
        </w:rPr>
        <w:t>Сталин, отдыхавший в это время в Сочи, выдал свои рекомендации остававшемуся в Москве вместо себя Кагановичу Л.: "Надо запретить под страхом исключения из партии полеты ответработников-нелетчиков без разрешения ЦК. Надо строжайше проводить в жизнь запрещение и обязательно исключать провинившихся, невзирая на лица".</w:t>
      </w:r>
    </w:p>
    <w:p w14:paraId="3C09A886" w14:textId="77777777" w:rsidR="005F0450" w:rsidRPr="00C33834" w:rsidRDefault="005F0450" w:rsidP="00C33834">
      <w:pPr>
        <w:spacing w:after="0" w:line="240" w:lineRule="auto"/>
        <w:jc w:val="both"/>
        <w:rPr>
          <w:rStyle w:val="ucoz-forum-post"/>
          <w:rFonts w:ascii="Times New Roman" w:eastAsiaTheme="majorEastAsia" w:hAnsi="Times New Roman"/>
          <w:color w:val="000000" w:themeColor="text1"/>
          <w:sz w:val="16"/>
          <w:szCs w:val="16"/>
        </w:rPr>
      </w:pPr>
      <w:r w:rsidRPr="00C33834">
        <w:rPr>
          <w:rStyle w:val="ucoz-forum-post"/>
          <w:rFonts w:ascii="Times New Roman" w:eastAsiaTheme="majorEastAsia" w:hAnsi="Times New Roman"/>
          <w:color w:val="000000" w:themeColor="text1"/>
          <w:sz w:val="16"/>
          <w:szCs w:val="16"/>
        </w:rPr>
        <w:t>Политбюро срочно составило и утвердило у Сталина список постов, обладатели которых лишались права свободного полета — от членов ЦК до начальников главных управлений наркоматов. Чуть позднее подготовили и обширный список мероприятий, которые должны были обеспечить безопасность полетов. Так, в СССР ввели ежегодную проверку квалификации летчиков, чего прежде не делалось. Авиапром обязали комплектовать каждый самолет всеми приборами, необходимыми для слепых полетов. А всем авиапредприятиям запретили переделывать машины по собственному разумению. Тем же постановлением категорически запрещалось перевозить пассажиров на не испытанных полностью самолетах, но главное - в стране появились навигационная, метеорологическая и штурманская службы. А также обязательное оснащение высоких объектов, таких как радиоантенны, сигнальными огнями. Произошедшая катастрофа также ускорила создание Воздушного кодекса (14760).</w:t>
      </w:r>
    </w:p>
    <w:p w14:paraId="5992E5A9" w14:textId="77777777" w:rsidR="005F0450" w:rsidRPr="00C33834" w:rsidRDefault="005F0450" w:rsidP="00C33834">
      <w:pPr>
        <w:spacing w:after="0" w:line="240" w:lineRule="auto"/>
        <w:jc w:val="both"/>
        <w:rPr>
          <w:rStyle w:val="ucoz-forum-post"/>
          <w:rFonts w:ascii="Times New Roman" w:eastAsiaTheme="majorEastAsia" w:hAnsi="Times New Roman"/>
          <w:color w:val="000000" w:themeColor="text1"/>
          <w:sz w:val="16"/>
          <w:szCs w:val="16"/>
        </w:rPr>
      </w:pPr>
    </w:p>
    <w:p w14:paraId="73815B15" w14:textId="77777777" w:rsidR="00C13D77" w:rsidRPr="00C33834" w:rsidRDefault="00C13D77" w:rsidP="00C33834">
      <w:pPr>
        <w:pStyle w:val="ae"/>
        <w:shd w:val="clear" w:color="auto" w:fill="FBFCFC"/>
        <w:spacing w:before="0" w:after="0"/>
        <w:jc w:val="both"/>
        <w:textAlignment w:val="baseline"/>
        <w:rPr>
          <w:color w:val="000000" w:themeColor="text1"/>
          <w:sz w:val="16"/>
          <w:szCs w:val="16"/>
        </w:rPr>
      </w:pPr>
      <w:r w:rsidRPr="00C33834">
        <w:rPr>
          <w:color w:val="000000" w:themeColor="text1"/>
          <w:sz w:val="16"/>
          <w:szCs w:val="16"/>
        </w:rPr>
        <w:t>5 сентября 1933 года трагически погибли руководители авиации и авиапромышленности. Самолет Р-6Л, на котором он отправились в последний полет представлял собой переделанный в «лимузин» устаревший разведчик Р-6 (АНТ-7) с «салоном» с восемью креслами. Оборудования для полетов в плохих погодных условиях на нем не было. Кроме П.И. Баранова и его жены на борт поднялись начальник Главного управления гражданского воздушного флота А.З. Гольцман, его заместитель А.В. Петров, работник Госплана В.А. Зарзар и директор авиазавода № 22, на котором и был построен Р-6Л, С.П. Горбунов. Пилотировал машину шеф-пилот Глававиапрома И.М. Дорфман, бортмеханик Н.Е. Плотников.</w:t>
      </w:r>
    </w:p>
    <w:p w14:paraId="44903AE7" w14:textId="77777777" w:rsidR="00C13D77" w:rsidRPr="00C33834" w:rsidRDefault="00C13D77" w:rsidP="00C33834">
      <w:pPr>
        <w:pStyle w:val="ae"/>
        <w:shd w:val="clear" w:color="auto" w:fill="FBFCFC"/>
        <w:spacing w:before="0" w:after="0"/>
        <w:jc w:val="both"/>
        <w:textAlignment w:val="baseline"/>
        <w:rPr>
          <w:color w:val="000000" w:themeColor="text1"/>
          <w:sz w:val="16"/>
          <w:szCs w:val="16"/>
        </w:rPr>
      </w:pPr>
      <w:r w:rsidRPr="00C33834">
        <w:rPr>
          <w:color w:val="000000" w:themeColor="text1"/>
          <w:sz w:val="16"/>
          <w:szCs w:val="16"/>
        </w:rPr>
        <w:t>Из-за плохих погодных условий все полеты в тот день были отменены. Однако по метеосводкам за Курском было ясно, а Баранов торопился успеть на планерные соревнования в Феодосии.</w:t>
      </w:r>
    </w:p>
    <w:p w14:paraId="6C307693" w14:textId="77777777" w:rsidR="00C13D77" w:rsidRPr="00C33834" w:rsidRDefault="00C13D77" w:rsidP="00C33834">
      <w:pPr>
        <w:pStyle w:val="ae"/>
        <w:shd w:val="clear" w:color="auto" w:fill="FBFCFC"/>
        <w:spacing w:before="0" w:after="0"/>
        <w:jc w:val="both"/>
        <w:textAlignment w:val="baseline"/>
        <w:rPr>
          <w:color w:val="000000" w:themeColor="text1"/>
          <w:sz w:val="16"/>
          <w:szCs w:val="16"/>
        </w:rPr>
      </w:pPr>
      <w:r w:rsidRPr="00C33834">
        <w:rPr>
          <w:color w:val="000000" w:themeColor="text1"/>
          <w:sz w:val="16"/>
          <w:szCs w:val="16"/>
        </w:rPr>
        <w:t>В девять утра Р-6Л вылетел, а через 20 минут в районе Подольска зацепил стойками шасси проволоку радиолюбительской антенны, натянутой высоко на шестах, потерял скорость, ударился левым крылом о верхушку дерева и врезался в землю. Все находившиеся на борту погибли.</w:t>
      </w:r>
    </w:p>
    <w:p w14:paraId="1A41CA42" w14:textId="77777777" w:rsidR="00C13D77" w:rsidRPr="00C33834" w:rsidRDefault="00C13D77" w:rsidP="00C33834">
      <w:pPr>
        <w:pStyle w:val="ae"/>
        <w:shd w:val="clear" w:color="auto" w:fill="FBFCFC"/>
        <w:spacing w:before="0" w:after="0"/>
        <w:jc w:val="both"/>
        <w:textAlignment w:val="baseline"/>
        <w:rPr>
          <w:color w:val="000000" w:themeColor="text1"/>
          <w:sz w:val="16"/>
          <w:szCs w:val="16"/>
        </w:rPr>
      </w:pPr>
      <w:r w:rsidRPr="00C33834">
        <w:rPr>
          <w:color w:val="000000" w:themeColor="text1"/>
          <w:sz w:val="16"/>
          <w:szCs w:val="16"/>
        </w:rPr>
        <w:t>Почему самолет летел так низко, так и не выяснили. Комиссия по расследованию происшествия пришла к выводу, что пилот вынужден был лететь ниже кромки облачности, чтобы не потерять ориентацию. По другой версии, самолет был перегружен и не смог быстро набрать высоту (19571)..</w:t>
      </w:r>
    </w:p>
    <w:p w14:paraId="68F90C55" w14:textId="77777777" w:rsidR="00C13D77" w:rsidRPr="00C33834" w:rsidRDefault="00C13D77" w:rsidP="00C33834">
      <w:pPr>
        <w:spacing w:after="0" w:line="240" w:lineRule="auto"/>
        <w:jc w:val="both"/>
        <w:rPr>
          <w:rFonts w:ascii="Times New Roman" w:hAnsi="Times New Roman"/>
          <w:color w:val="000000" w:themeColor="text1"/>
          <w:sz w:val="16"/>
          <w:szCs w:val="16"/>
        </w:rPr>
      </w:pPr>
    </w:p>
    <w:p w14:paraId="355B0839" w14:textId="77777777" w:rsidR="005F0450" w:rsidRPr="00C33834" w:rsidRDefault="005F0450"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 xml:space="preserve">5 сентября </w:t>
      </w:r>
      <w:r w:rsidRPr="00C33834">
        <w:rPr>
          <w:rFonts w:ascii="Times New Roman" w:hAnsi="Times New Roman"/>
          <w:color w:val="000000" w:themeColor="text1"/>
          <w:sz w:val="16"/>
          <w:szCs w:val="16"/>
        </w:rPr>
        <w:t>в 1933 году в авиационной катастрофе погиб Петр Ионович Баранов - заместитель Народного комиссара тяжелой промышленности СССР, начальник Главного управления авиационной промышленности НКТП СССР. С 1924 до 1931 П.И.Баранов являлся начальником ВВС РККА (14760).</w:t>
      </w:r>
    </w:p>
    <w:p w14:paraId="00574967" w14:textId="77777777" w:rsidR="005F0450" w:rsidRPr="00C33834" w:rsidRDefault="005F0450" w:rsidP="00C33834">
      <w:pPr>
        <w:spacing w:after="0" w:line="240" w:lineRule="auto"/>
        <w:jc w:val="both"/>
        <w:rPr>
          <w:rFonts w:ascii="Times New Roman" w:hAnsi="Times New Roman"/>
          <w:color w:val="000000" w:themeColor="text1"/>
          <w:sz w:val="16"/>
          <w:szCs w:val="16"/>
        </w:rPr>
      </w:pPr>
    </w:p>
    <w:p w14:paraId="2FA7ADF7"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сентября 1933 П.И.Баранов погиб (34,77) в авиакатастрофе (61,130) и начальником ГУАП стал М.М.Каганович, брат Л.М.Кагановича. С.В.Ильюшин сразу осиротел. Также погиб А.И.Гольцман - первый начальник ГУ ГВФ СССР (80,381).</w:t>
      </w:r>
    </w:p>
    <w:p w14:paraId="4EC9A364"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данным ЦАГИ также погибли директор завода п/я 747 (23) С.П.Горбунов, нач. летного отдела ГУАП шеф-пилот И.М.Дорфман, бортмеханик Н.Е.Плотников. Никакого А.Э.Гольцмана в приказе по ЦАГИ, выпущенном по приказу НКАП от 7 сентября, нет (298,183).</w:t>
      </w:r>
    </w:p>
    <w:p w14:paraId="288E0035"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другом приказе по ЦАГИ говорится и о А.Э.Гольцмане, В.А.Зарзаре, И.Ф.Петрове (298,193).</w:t>
      </w:r>
    </w:p>
    <w:p w14:paraId="6AAAB2AA"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П.И.Баранов погиб на Р-6 пассажирском (лимузине), сделанном в июле 1933 и переданном в летный отряд ГУАП, при перелете из Москвы в Крым. Не по вине машины (92,425).</w:t>
      </w:r>
    </w:p>
    <w:p w14:paraId="3195138D"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 был опытный АНТ-7 Р-6, переделанный ЦАГИ в пассажирский самолет в июле 1933, который получил обозначение USSR-S5 (1017,198).</w:t>
      </w:r>
    </w:p>
    <w:p w14:paraId="3F1BE25D"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самом деле сначала начальником ГУАП стал не М.М.Каганович - см. 1934.</w:t>
      </w:r>
    </w:p>
    <w:p w14:paraId="2BC7D0F8"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Летели в Коктебель на планерные состязания. Разбились в районе Лопасни столкнувшись с радиомачтой в условиях плохой видимости (438,654).</w:t>
      </w:r>
    </w:p>
    <w:p w14:paraId="2BA88300"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официального сообщения "5 сентября в 9 час. 20 мин. южнее Подольска около ст. Лопасни в результате аварии самолета погибли..." (557,49).</w:t>
      </w:r>
    </w:p>
    <w:p w14:paraId="7AB666B8"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428FAB3D"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сентября 1933 ЦАГИ организовал Гидробазу в Севастополе и начальником стал Н.А.Соколов (298,194).</w:t>
      </w:r>
    </w:p>
    <w:p w14:paraId="1CA90985"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1BDEFC4D"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сентября 1933 л В.А.Степанчонок на планерных состязаниях в Коктебеле установил рекорд высшего пилотажа на планере. За 3:20 на Г-9 сделал 184 петли, 8 переворотов через крыло и 13 витков штопора (438,654).</w:t>
      </w:r>
    </w:p>
    <w:p w14:paraId="5481C64D"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11A157E2" w14:textId="77777777" w:rsidR="007F23E2"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5B53FC2" w14:textId="77777777" w:rsidR="007F23E2" w:rsidRPr="00C33834" w:rsidRDefault="007F23E2" w:rsidP="00C33834">
      <w:pPr>
        <w:spacing w:after="0" w:line="240" w:lineRule="auto"/>
        <w:jc w:val="both"/>
        <w:rPr>
          <w:rFonts w:ascii="Times New Roman" w:hAnsi="Times New Roman"/>
          <w:iCs/>
          <w:color w:val="000000" w:themeColor="text1"/>
          <w:sz w:val="16"/>
          <w:szCs w:val="16"/>
        </w:rPr>
      </w:pPr>
    </w:p>
    <w:p w14:paraId="455BDA54"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сентября 1933 года в постановлении СНК СССР №1917-421с речь шла о переносе Гроховецкого полигона на Софринский полигон. Штат сотрудников полигона начал комплектоваться в основном работниками бывшего военсклада №51 (г.Ростов Ярославской обл.), расформированном в конце 1932 года. Первыми сотрудниками полигона были:</w:t>
      </w:r>
    </w:p>
    <w:p w14:paraId="6FD3B53C"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полигона – Серебряков В.П.</w:t>
      </w:r>
    </w:p>
    <w:p w14:paraId="27DCAE24"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политрук – Турукин Г.М.</w:t>
      </w:r>
    </w:p>
    <w:p w14:paraId="581171EB"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технической части - Кораблин Н.П.</w:t>
      </w:r>
    </w:p>
    <w:p w14:paraId="304C3238"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АХЧ – Лазарев Д.Е.</w:t>
      </w:r>
    </w:p>
    <w:p w14:paraId="762F4CC2"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руководители опытов - Корзин И.В., Тимофеев М.В., Бредис С.Я., начальник снаряжательной мастерской - Иващенко В.Д.,</w:t>
      </w:r>
    </w:p>
    <w:p w14:paraId="0FA09415"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 также Тураев Н.А, руководивший переброской имущества расформированного склада №51 к месту строительства нового полигона и Бодров И.Ф. </w:t>
      </w:r>
    </w:p>
    <w:p w14:paraId="1E5DA8CC"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отделом кадров Артуправления НКО полигон был пополнен кадрами. С военного склада № 45 прибыли Янике Л.Н., Хусточка, Скреминский и др. В этом же году начальник склада № 45 К.А.Григорович был назначен начальником полигона, вместо В.П.Серебрякова. перешедшего на другую работу (12071)</w:t>
      </w:r>
    </w:p>
    <w:p w14:paraId="0A21524F"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3B5F5D04" w14:textId="77777777" w:rsidR="005F0450" w:rsidRPr="00C33834" w:rsidRDefault="005F0450" w:rsidP="00C33834">
      <w:pPr>
        <w:pStyle w:val="rtejustify"/>
        <w:spacing w:before="0" w:after="0"/>
        <w:rPr>
          <w:color w:val="000000" w:themeColor="text1"/>
          <w:sz w:val="16"/>
          <w:szCs w:val="16"/>
        </w:rPr>
      </w:pPr>
      <w:r w:rsidRPr="00C33834">
        <w:rPr>
          <w:rStyle w:val="af0"/>
          <w:bCs/>
          <w:i w:val="0"/>
          <w:color w:val="000000" w:themeColor="text1"/>
          <w:sz w:val="16"/>
          <w:szCs w:val="16"/>
        </w:rPr>
        <w:t>5 сентября</w:t>
      </w:r>
      <w:r w:rsidRPr="00C33834">
        <w:rPr>
          <w:color w:val="000000" w:themeColor="text1"/>
          <w:sz w:val="16"/>
          <w:szCs w:val="16"/>
        </w:rPr>
        <w:t xml:space="preserve"> 1933. Постановление СТО СССР № 84сс/о «О плане ввода в эксплуатацию пусковых объектов военной промышленности в 1933 г.». (ГА РФ. Ф. Р</w:t>
      </w:r>
      <w:r w:rsidRPr="00C33834">
        <w:rPr>
          <w:color w:val="000000" w:themeColor="text1"/>
          <w:sz w:val="16"/>
          <w:szCs w:val="16"/>
        </w:rPr>
        <w:noBreakHyphen/>
        <w:t>8418. Оп. 28. Д. 2. Л. 136</w:t>
      </w:r>
      <w:r w:rsidRPr="00C33834">
        <w:rPr>
          <w:color w:val="000000" w:themeColor="text1"/>
          <w:sz w:val="16"/>
          <w:szCs w:val="16"/>
        </w:rPr>
        <w:noBreakHyphen/>
        <w:t>167) (15460).</w:t>
      </w:r>
    </w:p>
    <w:p w14:paraId="548044C2" w14:textId="77777777" w:rsidR="005F0450" w:rsidRPr="00C33834" w:rsidRDefault="005F0450" w:rsidP="00C33834">
      <w:pPr>
        <w:pStyle w:val="rtejustify"/>
        <w:spacing w:before="0" w:after="0"/>
        <w:rPr>
          <w:color w:val="000000" w:themeColor="text1"/>
          <w:sz w:val="16"/>
          <w:szCs w:val="16"/>
        </w:rPr>
      </w:pPr>
    </w:p>
    <w:p w14:paraId="57DAAC4E" w14:textId="77777777" w:rsidR="005F0450" w:rsidRPr="00C33834" w:rsidRDefault="005F0450"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 xml:space="preserve">5 сентября </w:t>
      </w:r>
      <w:r w:rsidRPr="00C33834">
        <w:rPr>
          <w:rFonts w:ascii="Times New Roman" w:hAnsi="Times New Roman"/>
          <w:color w:val="000000" w:themeColor="text1"/>
          <w:sz w:val="16"/>
          <w:szCs w:val="16"/>
        </w:rPr>
        <w:t>в 1933 году выпущены первые тонны криолита и фтористого алюминия на химическом заводе близ города Полевского (Свердловская область; ныне ОАО "Полевской криолитовый завод") — одно из крупнейших предприятий ВПК России (14760).</w:t>
      </w:r>
    </w:p>
    <w:p w14:paraId="7B110067" w14:textId="77777777" w:rsidR="005F0450" w:rsidRPr="00C33834" w:rsidRDefault="005F0450" w:rsidP="00C33834">
      <w:pPr>
        <w:spacing w:after="0" w:line="240" w:lineRule="auto"/>
        <w:jc w:val="both"/>
        <w:rPr>
          <w:rFonts w:ascii="Times New Roman" w:hAnsi="Times New Roman"/>
          <w:color w:val="000000" w:themeColor="text1"/>
          <w:sz w:val="16"/>
          <w:szCs w:val="16"/>
        </w:rPr>
      </w:pPr>
    </w:p>
    <w:p w14:paraId="564967FA" w14:textId="77777777" w:rsidR="007F23E2"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926C5B3" w14:textId="77777777" w:rsidR="007F23E2" w:rsidRPr="00C33834" w:rsidRDefault="007F23E2" w:rsidP="00C33834">
      <w:pPr>
        <w:spacing w:after="0" w:line="240" w:lineRule="auto"/>
        <w:jc w:val="both"/>
        <w:rPr>
          <w:rFonts w:ascii="Times New Roman" w:hAnsi="Times New Roman"/>
          <w:iCs/>
          <w:color w:val="000000" w:themeColor="text1"/>
          <w:sz w:val="16"/>
          <w:szCs w:val="16"/>
        </w:rPr>
      </w:pPr>
    </w:p>
    <w:p w14:paraId="3F7B42BD"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сентября 1933 гондола, которая делала бригада В.А.Чижевского в ЦКБ была готова и 30 сентября состоялся успешный старт на высоту 19 км. Т.к. С.В.Ильюшин недавно получил орден - дали только грамоту.</w:t>
      </w:r>
    </w:p>
    <w:p w14:paraId="76BC16E9"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Пономареву - у С.В.Ильюшина уже созрела задумка дальнего бомбардировщика (24,62). Кроме того, по совету В.В.Хрипина С.В.Ильюшин постоянно изучает примеры оперативного искусства и тактики применения авиации обращаясь к трудам В.И.Ленина и Д.Дуэ (24,88). Сделан вывод: нужны штурмовики (Ленин) и бомбардировки стратегических целей (Дуэ) (24,88).</w:t>
      </w:r>
    </w:p>
    <w:p w14:paraId="28C7E913"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Интересно, где территориально был простой трехэтажный корпус, приютивший КБ С.В.И. (24,62).</w:t>
      </w:r>
    </w:p>
    <w:p w14:paraId="18453E45"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Важно, что перед войной он был уже в пятиэтажном, то есть не том.</w:t>
      </w:r>
    </w:p>
    <w:p w14:paraId="337291A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p w14:paraId="4D4B143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сентября 1933 г. на совещании на заводе № 39 Николай Николаевич сделал доклад по проблеме развития истребителя ЦКБ-12. Материалы доклада лег</w:t>
      </w:r>
      <w:r w:rsidRPr="00C33834">
        <w:rPr>
          <w:rFonts w:ascii="Times New Roman" w:hAnsi="Times New Roman"/>
          <w:color w:val="000000" w:themeColor="text1"/>
          <w:sz w:val="16"/>
          <w:szCs w:val="16"/>
        </w:rPr>
        <w:softHyphen/>
        <w:t>ли в основу письма директора завода Марголина, на</w:t>
      </w:r>
      <w:r w:rsidRPr="00C33834">
        <w:rPr>
          <w:rFonts w:ascii="Times New Roman" w:hAnsi="Times New Roman"/>
          <w:color w:val="000000" w:themeColor="text1"/>
          <w:sz w:val="16"/>
          <w:szCs w:val="16"/>
        </w:rPr>
        <w:softHyphen/>
        <w:t>правленного начальнику ВВС РККА Алкснису, а также начальнику ГУАП. В нем, в частности, говорилось:</w:t>
      </w:r>
    </w:p>
    <w:p w14:paraId="5453DD5F"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«При проектировании самолета ЦКБ-12 (И-16) 2-й бригадой ЦКБ было проделано несколько вариантов расчетов под различные моторы.</w:t>
      </w:r>
    </w:p>
    <w:p w14:paraId="3060595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этих расчетов выяснилось, что в случае установки на самолет мотора «Райт-Сайклон» Р-5 (так в письме), мы получаем столь высокие летно-тактические данные этой машины, что она безусловно явится перво</w:t>
      </w:r>
      <w:r w:rsidRPr="00C33834">
        <w:rPr>
          <w:rFonts w:ascii="Times New Roman" w:hAnsi="Times New Roman"/>
          <w:color w:val="000000" w:themeColor="text1"/>
          <w:sz w:val="16"/>
          <w:szCs w:val="16"/>
        </w:rPr>
        <w:softHyphen/>
        <w:t>классным истребителем, по своим данным намного опе</w:t>
      </w:r>
      <w:r w:rsidRPr="00C33834">
        <w:rPr>
          <w:rFonts w:ascii="Times New Roman" w:hAnsi="Times New Roman"/>
          <w:color w:val="000000" w:themeColor="text1"/>
          <w:sz w:val="16"/>
          <w:szCs w:val="16"/>
        </w:rPr>
        <w:softHyphen/>
        <w:t>режающим все известные лучшие европейские и аме</w:t>
      </w:r>
      <w:r w:rsidRPr="00C33834">
        <w:rPr>
          <w:rFonts w:ascii="Times New Roman" w:hAnsi="Times New Roman"/>
          <w:color w:val="000000" w:themeColor="text1"/>
          <w:sz w:val="16"/>
          <w:szCs w:val="16"/>
        </w:rPr>
        <w:softHyphen/>
        <w:t>риканские образцы.</w:t>
      </w:r>
    </w:p>
    <w:p w14:paraId="7B50DBB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 например, эта машина будет иметь:</w:t>
      </w:r>
    </w:p>
    <w:p w14:paraId="6809C54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высоте 5000 мт - 410 клм,</w:t>
      </w:r>
    </w:p>
    <w:p w14:paraId="59E2583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- 7000 мт - 400 клм. Скороподъемность на 3000 мт - 3,5-4,5 мин.</w:t>
      </w:r>
    </w:p>
    <w:p w14:paraId="5B5EEF8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на 5000 мт - 6,5-7 мин.</w:t>
      </w:r>
    </w:p>
    <w:p w14:paraId="6417D4B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на 7000 мт - 10-11 мин.</w:t>
      </w:r>
    </w:p>
    <w:p w14:paraId="0147BBE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Практический потолок - 9500 мт.</w:t>
      </w:r>
    </w:p>
    <w:p w14:paraId="37FF934F"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Посадочная скорость - 100-105 клм.</w:t>
      </w:r>
    </w:p>
    <w:p w14:paraId="62C31F1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Учитывая столь высокие расчетные данные, было бы крайне желательно уже теперь одну (из двух) строящих</w:t>
      </w:r>
      <w:r w:rsidRPr="00C33834">
        <w:rPr>
          <w:rFonts w:ascii="Times New Roman" w:hAnsi="Times New Roman"/>
          <w:color w:val="000000" w:themeColor="text1"/>
          <w:sz w:val="16"/>
          <w:szCs w:val="16"/>
        </w:rPr>
        <w:softHyphen/>
        <w:t>ся ЦКБ-12 построить под мотор «Райт-Сайклон» Р-5.</w:t>
      </w:r>
    </w:p>
    <w:p w14:paraId="728D3934"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Докладывая о вышеизложенном, прошу Вашего рас</w:t>
      </w:r>
      <w:r w:rsidRPr="00C33834">
        <w:rPr>
          <w:rFonts w:ascii="Times New Roman" w:hAnsi="Times New Roman"/>
          <w:color w:val="000000" w:themeColor="text1"/>
          <w:sz w:val="16"/>
          <w:szCs w:val="16"/>
        </w:rPr>
        <w:softHyphen/>
        <w:t>поряжения о закупке одного мотора Р-5 (с запчастями с доставкой его в СССР не позднее декабря с/г)» (10667).</w:t>
      </w:r>
    </w:p>
    <w:p w14:paraId="2ED87D66"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424F6F1F" w14:textId="77777777" w:rsidR="00245CC2" w:rsidRPr="00C33834" w:rsidRDefault="00245CC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начале сентября 1933 г. в Особом техническом бюро ВВС, созданном на основе конструкторского отдела Гроховского, были завершены работы по модификации топливной системы ТБ-3, которые велись с конца июля.</w:t>
      </w:r>
    </w:p>
    <w:p w14:paraId="7C66D385" w14:textId="77777777" w:rsidR="00245CC2" w:rsidRPr="00C33834" w:rsidRDefault="00245CC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14 сентября начались полёты. Больше месяца недостаточно тренированные экипажи безуспешно пытались поймать шланг и перелить горючее из одного самолёта в другой. Только после смены лётчика ТБ-3 на опытного пилота-испытателя К.П. Миндера 20 ноября удалось провести две успешные дозаправки. При этом самолёты выполняли одновременный разворот на 180 градусов, не прекращая перелива топлива </w:t>
      </w:r>
      <w:hyperlink r:id="rId317" w:history="1">
        <w:r w:rsidRPr="00C33834">
          <w:rPr>
            <w:rFonts w:ascii="Times New Roman" w:eastAsia="Times New Roman" w:hAnsi="Times New Roman"/>
            <w:color w:val="000000" w:themeColor="text1"/>
            <w:sz w:val="16"/>
            <w:szCs w:val="16"/>
            <w:lang w:eastAsia="ru-RU"/>
          </w:rPr>
          <w:t>[57]</w:t>
        </w:r>
      </w:hyperlink>
      <w:r w:rsidRPr="00C33834">
        <w:rPr>
          <w:rFonts w:ascii="Times New Roman" w:eastAsia="Times New Roman" w:hAnsi="Times New Roman"/>
          <w:color w:val="000000" w:themeColor="text1"/>
          <w:sz w:val="16"/>
          <w:szCs w:val="16"/>
          <w:lang w:eastAsia="ru-RU"/>
        </w:rPr>
        <w:t xml:space="preserve"> .</w:t>
      </w:r>
    </w:p>
    <w:p w14:paraId="0FCD9EAA" w14:textId="77777777" w:rsidR="00245CC2" w:rsidRPr="00C33834" w:rsidRDefault="00245CC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На следующий год были намечены войсковые испытания. С этой целью планировалось подготовить двенадцать Р-5 с добавочными баками в фюзеляже и усовершенствованной аппаратурой для дозаправки (необходимо было уменьшить усилия при наматывании шланга на барабан самолёта-заправщика).</w:t>
      </w:r>
    </w:p>
    <w:p w14:paraId="5E4C9149" w14:textId="77777777" w:rsidR="00245CC2" w:rsidRPr="00C33834" w:rsidRDefault="00245CC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Но вскоре стало понятно, что использование одномоторного самолёта для дозаправки четырёхмоторного бомбардировщика лишено практического смысла: даже с дополнительным баком Р-5 мог передать не больше 1000 л бензина, что составляло всего около 15 % ёмкости топливных баков ТБ-3. Другое дело, если использовать тяжёлый бомбардировщик не в качестве заправляемого, а как заправщик. Этим и занялась группа Запанованного, работающая теперь в составе военного КБ-1.</w:t>
      </w:r>
    </w:p>
    <w:p w14:paraId="3A6E79D5" w14:textId="77777777" w:rsidR="00245CC2" w:rsidRPr="00C33834" w:rsidRDefault="00245CC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Год ушел на проект переделки бомбардировщика в топливозаправщик. В 1935 г. в НИИ ВВС начали работы по установке топливного оборудования на ТБ-3. Внутри фюзеляжа разместили барабан с намотанным на него шлангом.</w:t>
      </w:r>
    </w:p>
    <w:p w14:paraId="3B44B1D4" w14:textId="77777777" w:rsidR="00245CC2" w:rsidRPr="00C33834" w:rsidRDefault="00245CC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Шланг выпускался и втягивался ручной лебедкой через люк в полу, бензин к нему поступал от баков в крыле. Снаружи шланг подкрепили стальными тросами, служащими также для предотвращения опасности возникновения искры из-за разности электрических потенциалов самолётов в момент заправки. В магистраль слива был вмонтирован полуавтоматический клапан, открывавший и закрывавший перетекание топлива. Насоса не было, как и в прежних экспериментах топливо должно выливаться за счёт большей высоты полёта заправщика. Вес заправочного агрегата АЗ-21 равнялся 59 кг.</w:t>
      </w:r>
    </w:p>
    <w:p w14:paraId="5566D680" w14:textId="77777777" w:rsidR="00245CC2" w:rsidRPr="00C33834" w:rsidRDefault="00245CC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На этот раз планировалось заправлять истребители, чтобы уравнять их дальность с дальностью бомбардировщика, который им предстояло охранять. Для опытов один биплан И-5 и один моноплан И-16 оснастили заливными горловинами с устройствами АЗ-22, выталкивающими шланг после заправки и перекрывающими бензопровод к топливному баку истребителя.</w:t>
      </w:r>
    </w:p>
    <w:p w14:paraId="653FC716" w14:textId="77777777" w:rsidR="00245CC2" w:rsidRPr="00C33834" w:rsidRDefault="00245CC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«Сначала надо было проверить, — пишет Котельников, — сможет ли пилот истребителя поймать наконечник шланга. Ведь в полёте у него будут заняты обе руки: одной надо держать ручку управления, выдерживая положение под заправщиком, другой — сектор газа, выравнивая скорости. Оставалось только рискнуть, на время отпустив одну из ручек. В первых полётах в январе 1936 г. И-5 пилотировал капитан Соколов. Он тренировался, ловя фал, выпускавшийся из люка в днище фюзеляжа бомбардировщика. Последним управляли капитан Курбан и старший лейтенант Брагин. Задача оказалась нелёгкой, надолго бросить сектор газа не удавалось. Отпустить же ручку на не очень устойчивом И-5 и вовсе было невозможно. Тем не менее пять раз Соколов успешно ловил „грузовую грушу“ на фале. С 11 февраля на И-5 стал летать испытатель С.П. Супрун. Однако старый биплан использовали только для тренировки, хотя он и имел оборудование для перелива (17489).</w:t>
      </w:r>
    </w:p>
    <w:p w14:paraId="5AC587FC" w14:textId="77777777" w:rsidR="00245CC2" w:rsidRPr="00C33834" w:rsidRDefault="00245CC2" w:rsidP="00C33834">
      <w:pPr>
        <w:spacing w:after="0" w:line="240" w:lineRule="auto"/>
        <w:jc w:val="both"/>
        <w:rPr>
          <w:rFonts w:ascii="Times New Roman" w:eastAsia="Times New Roman" w:hAnsi="Times New Roman"/>
          <w:color w:val="000000" w:themeColor="text1"/>
          <w:sz w:val="16"/>
          <w:szCs w:val="16"/>
          <w:lang w:eastAsia="ru-RU"/>
        </w:rPr>
      </w:pPr>
    </w:p>
    <w:p w14:paraId="66FEA516" w14:textId="77777777" w:rsidR="00ED1A5E" w:rsidRPr="00C33834" w:rsidRDefault="00ED1A5E"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первых числах сентября 1933 года «СССР-1» подготовили к первому полету, после чего началось ожидание тихой погоды. Для проведения рекордного полета в стратосферу организовали специальный технический совет при УВВС РККА под председательством Начальника штаба ВВС РККА Хрипина. Окончательная готовность определилась 26 сентября, в этот день все элементы стратостата проверили и взвесили.</w:t>
      </w:r>
    </w:p>
    <w:p w14:paraId="52103554" w14:textId="77777777" w:rsidR="00ED1A5E" w:rsidRPr="00C33834" w:rsidRDefault="00ED1A5E"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Основные весовые характеристики «СССР-1»:</w:t>
      </w:r>
    </w:p>
    <w:p w14:paraId="52DAA66A" w14:textId="77777777" w:rsidR="00ED1A5E" w:rsidRPr="00C33834" w:rsidRDefault="00ED1A5E"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Вес оболочки и подвесной системы, кг: 1191</w:t>
      </w:r>
    </w:p>
    <w:p w14:paraId="292F149D" w14:textId="77777777" w:rsidR="00ED1A5E" w:rsidRPr="00C33834" w:rsidRDefault="00ED1A5E"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Вес гондолы и оборудования, кг: 730</w:t>
      </w:r>
    </w:p>
    <w:p w14:paraId="0E36984A" w14:textId="77777777" w:rsidR="00ED1A5E" w:rsidRPr="00C33834" w:rsidRDefault="00ED1A5E"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Внутренний балласт, кг: 360</w:t>
      </w:r>
    </w:p>
    <w:p w14:paraId="5F7D0CC6" w14:textId="77777777" w:rsidR="00ED1A5E" w:rsidRPr="00C33834" w:rsidRDefault="00ED1A5E"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Наружный балласт, кг: 420</w:t>
      </w:r>
    </w:p>
    <w:p w14:paraId="5B5FE31E" w14:textId="77777777" w:rsidR="00ED1A5E" w:rsidRPr="00C33834" w:rsidRDefault="00ED1A5E"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Вес различного снаряжения, кг: 671</w:t>
      </w:r>
    </w:p>
    <w:p w14:paraId="0898D1EA" w14:textId="77777777" w:rsidR="00ED1A5E" w:rsidRPr="00C33834" w:rsidRDefault="00ED1A5E"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Общий вес, кг: 3372</w:t>
      </w:r>
    </w:p>
    <w:p w14:paraId="69B9B394" w14:textId="77777777" w:rsidR="00ED1A5E" w:rsidRPr="00C33834" w:rsidRDefault="00ED1A5E"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Экипаж стратостата состоял из трех человек: командир — Георгий Александрович Прокофьев (командир опытно-испытательного воздухоплавательного дивизиона, размещенного в Кунцево), пилот-радист и помощник командира Эрнст Карлович Бирнбаум (УВВС), пилот-инженер Константин Дмитриевич Годунов (конструктор НИИ ГВФ). Перед полетом все трое прошли длительную тренировку в специальной барокамере с пониженным атмосферным давлением (19614).</w:t>
      </w:r>
    </w:p>
    <w:p w14:paraId="142B301A" w14:textId="77777777" w:rsidR="00ED1A5E" w:rsidRPr="00C33834" w:rsidRDefault="00ED1A5E" w:rsidP="00C33834">
      <w:pPr>
        <w:spacing w:after="0" w:line="240" w:lineRule="auto"/>
        <w:jc w:val="both"/>
        <w:rPr>
          <w:rFonts w:ascii="Times New Roman" w:hAnsi="Times New Roman"/>
          <w:color w:val="000000" w:themeColor="text1"/>
          <w:sz w:val="16"/>
          <w:szCs w:val="16"/>
        </w:rPr>
      </w:pPr>
    </w:p>
    <w:p w14:paraId="1D7615C2" w14:textId="77777777" w:rsidR="00D65FCC" w:rsidRPr="00C33834" w:rsidRDefault="00D65FC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начале сентября 1933 г. сведения о стратостате «СССР-1» появились на страницах печати, когда он уже был готов к полёту. Гондолу страто</w:t>
      </w:r>
      <w:r w:rsidRPr="00C33834">
        <w:rPr>
          <w:rFonts w:ascii="Times New Roman" w:hAnsi="Times New Roman"/>
          <w:color w:val="0070C0"/>
          <w:sz w:val="16"/>
          <w:szCs w:val="16"/>
        </w:rPr>
        <w:softHyphen/>
        <w:t>стата, прозванного «прокофьером», осматрива</w:t>
      </w:r>
      <w:r w:rsidRPr="00C33834">
        <w:rPr>
          <w:rFonts w:ascii="Times New Roman" w:hAnsi="Times New Roman"/>
          <w:color w:val="0070C0"/>
          <w:sz w:val="16"/>
          <w:szCs w:val="16"/>
        </w:rPr>
        <w:softHyphen/>
        <w:t>ли авиаторы, писатели (в том числе А.М. Горь</w:t>
      </w:r>
      <w:r w:rsidRPr="00C33834">
        <w:rPr>
          <w:rFonts w:ascii="Times New Roman" w:hAnsi="Times New Roman"/>
          <w:color w:val="0070C0"/>
          <w:sz w:val="16"/>
          <w:szCs w:val="16"/>
        </w:rPr>
        <w:softHyphen/>
        <w:t>кий), артисты, члены правительства (К.Е. Во</w:t>
      </w:r>
      <w:r w:rsidRPr="00C33834">
        <w:rPr>
          <w:rFonts w:ascii="Times New Roman" w:hAnsi="Times New Roman"/>
          <w:color w:val="0070C0"/>
          <w:sz w:val="16"/>
          <w:szCs w:val="16"/>
        </w:rPr>
        <w:softHyphen/>
        <w:t>рошилов, Г.К. Орджоникидзе, В.М. Молотов, М.М. Литвинов), иностранные делегации (20120).</w:t>
      </w:r>
    </w:p>
    <w:p w14:paraId="562D7D48" w14:textId="77777777" w:rsidR="00D65FCC" w:rsidRPr="00C33834" w:rsidRDefault="00D65FCC" w:rsidP="00C33834">
      <w:pPr>
        <w:spacing w:after="0" w:line="240" w:lineRule="auto"/>
        <w:jc w:val="both"/>
        <w:rPr>
          <w:rFonts w:ascii="Times New Roman" w:hAnsi="Times New Roman"/>
          <w:color w:val="0070C0"/>
          <w:sz w:val="16"/>
          <w:szCs w:val="16"/>
        </w:rPr>
      </w:pPr>
    </w:p>
    <w:p w14:paraId="57E1082C" w14:textId="77777777" w:rsidR="007F23E2"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6F0358B2" w14:textId="77777777" w:rsidR="007F23E2" w:rsidRPr="00C33834" w:rsidRDefault="007F23E2" w:rsidP="00C33834">
      <w:pPr>
        <w:spacing w:after="0" w:line="240" w:lineRule="auto"/>
        <w:jc w:val="both"/>
        <w:rPr>
          <w:rFonts w:ascii="Times New Roman" w:hAnsi="Times New Roman"/>
          <w:iCs/>
          <w:color w:val="000000" w:themeColor="text1"/>
          <w:sz w:val="16"/>
          <w:szCs w:val="16"/>
        </w:rPr>
      </w:pPr>
    </w:p>
    <w:p w14:paraId="6E6EA74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сентября 1933 года представитель УММ РККА докладывал в наркомат обороны о хо</w:t>
      </w:r>
      <w:r w:rsidRPr="00C33834">
        <w:rPr>
          <w:rFonts w:ascii="Times New Roman" w:hAnsi="Times New Roman"/>
          <w:color w:val="000000" w:themeColor="text1"/>
          <w:sz w:val="16"/>
          <w:szCs w:val="16"/>
        </w:rPr>
        <w:softHyphen/>
        <w:t>де выполнения Выксой годовой программы выпуска бро</w:t>
      </w:r>
      <w:r w:rsidRPr="00C33834">
        <w:rPr>
          <w:rFonts w:ascii="Times New Roman" w:hAnsi="Times New Roman"/>
          <w:color w:val="000000" w:themeColor="text1"/>
          <w:sz w:val="16"/>
          <w:szCs w:val="16"/>
        </w:rPr>
        <w:softHyphen/>
        <w:t>невиков: «БАИ — сдано 28, остальные 272 под сомнением. Будет вероятно не больше 150—200 штук». Однако до кон</w:t>
      </w:r>
      <w:r w:rsidRPr="00C33834">
        <w:rPr>
          <w:rFonts w:ascii="Times New Roman" w:hAnsi="Times New Roman"/>
          <w:color w:val="000000" w:themeColor="text1"/>
          <w:sz w:val="16"/>
          <w:szCs w:val="16"/>
        </w:rPr>
        <w:softHyphen/>
        <w:t>ца года из ворот завода вышло всего 90 машин, еще 19 БАИ собрали в начале 1934-го, после чего их производство пре</w:t>
      </w:r>
      <w:r w:rsidRPr="00C33834">
        <w:rPr>
          <w:rFonts w:ascii="Times New Roman" w:hAnsi="Times New Roman"/>
          <w:color w:val="000000" w:themeColor="text1"/>
          <w:sz w:val="16"/>
          <w:szCs w:val="16"/>
        </w:rPr>
        <w:softHyphen/>
        <w:t>кратилось. Следует сказать, что часть БАИ оснащалась ящиком для укладки цепей «Оверолл», установленным справа на крыле задних колес (11284).</w:t>
      </w:r>
    </w:p>
    <w:p w14:paraId="2613A64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p w14:paraId="5ADE01A0" w14:textId="77777777" w:rsidR="007F23E2"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1F13430" w14:textId="77777777" w:rsidR="007F23E2" w:rsidRPr="00C33834" w:rsidRDefault="007F23E2" w:rsidP="00C33834">
      <w:pPr>
        <w:spacing w:after="0" w:line="240" w:lineRule="auto"/>
        <w:jc w:val="both"/>
        <w:rPr>
          <w:rFonts w:ascii="Times New Roman" w:hAnsi="Times New Roman"/>
          <w:iCs/>
          <w:color w:val="000000" w:themeColor="text1"/>
          <w:sz w:val="16"/>
          <w:szCs w:val="16"/>
        </w:rPr>
      </w:pPr>
    </w:p>
    <w:p w14:paraId="6D6BDFD7" w14:textId="77777777" w:rsidR="005F0450" w:rsidRPr="00C33834" w:rsidRDefault="005F0450" w:rsidP="00C33834">
      <w:pPr>
        <w:pStyle w:val="rtejustify"/>
        <w:spacing w:before="0" w:after="0"/>
        <w:rPr>
          <w:color w:val="000000" w:themeColor="text1"/>
          <w:sz w:val="16"/>
          <w:szCs w:val="16"/>
        </w:rPr>
      </w:pPr>
      <w:r w:rsidRPr="00C33834">
        <w:rPr>
          <w:color w:val="000000" w:themeColor="text1"/>
          <w:sz w:val="16"/>
          <w:szCs w:val="16"/>
        </w:rPr>
        <w:t>С 7 по 11 сентября 1933 г., НИСИ организовал и провел Всесоюзную снарядную конференцию, где особое внимание уделялось вопросам создания менее трудоемких, дешевых методов изготовления снарядов без ущерба для качества и эффективности разрабатываемых образцов. После включения в состав НИСИ в 1934 г. ОКБ</w:t>
      </w:r>
      <w:r w:rsidRPr="00C33834">
        <w:rPr>
          <w:color w:val="000000" w:themeColor="text1"/>
          <w:sz w:val="16"/>
          <w:szCs w:val="16"/>
        </w:rPr>
        <w:noBreakHyphen/>
        <w:t>3 РККА (проектирование боеприпасов) и организации отдела «Станкокалибр» (производство оборудования, оснастки и специального инструмента для производства снарядов) была создана возможность комплексного решения вопросов создания и производства боеприпасов (15270).</w:t>
      </w:r>
    </w:p>
    <w:p w14:paraId="5E77231B" w14:textId="77777777" w:rsidR="005F0450" w:rsidRPr="00C33834" w:rsidRDefault="005F0450" w:rsidP="00C33834">
      <w:pPr>
        <w:pStyle w:val="rtejustify"/>
        <w:spacing w:before="0" w:after="0"/>
        <w:rPr>
          <w:color w:val="000000" w:themeColor="text1"/>
          <w:sz w:val="16"/>
          <w:szCs w:val="16"/>
        </w:rPr>
      </w:pPr>
    </w:p>
    <w:p w14:paraId="1B8AA125"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и 8 сентября 1933 года на НИАПе в результате двух выстрелов снарядом чертежа 4765 весом 15,4 кг (заряд 1/2 и 3/4 нормальных) произошло повреждение буферных деталей между казенником и дном люльки вследствие резких откатов 100-мм зенитной пушки. Расчетная длина отката 680 мм, а было 200-250 мм, После ремонта давление в накатнике было снижено с 75 атмосфер до 45-55 атмосфер (3861).</w:t>
      </w:r>
    </w:p>
    <w:p w14:paraId="3054D638"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41AAEAA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7 сентября 1933 до осени 1936 г. проходили испытания 100мм зенитной пушки Б-14. В конце концов, руководство отказалось от доработки зенитной пушки в связи е этим был арестован и главный конструктор ситемы Удряшов (10675).</w:t>
      </w:r>
    </w:p>
    <w:p w14:paraId="54F8C70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p w14:paraId="7C6FCF19" w14:textId="77777777" w:rsidR="00114F15" w:rsidRPr="00C33834" w:rsidRDefault="00114F1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 сентября 1933 полный проект трактора со всеми рабочими чер</w:t>
      </w:r>
      <w:r w:rsidRPr="00C33834">
        <w:rPr>
          <w:rFonts w:ascii="Times New Roman" w:hAnsi="Times New Roman"/>
          <w:color w:val="0070C0"/>
          <w:sz w:val="16"/>
          <w:szCs w:val="16"/>
        </w:rPr>
        <w:softHyphen/>
        <w:t>тежами был передан для производства заводу «Красный путиловец», а 29 декабря в экспе</w:t>
      </w:r>
      <w:r w:rsidRPr="00C33834">
        <w:rPr>
          <w:rFonts w:ascii="Times New Roman" w:hAnsi="Times New Roman"/>
          <w:color w:val="0070C0"/>
          <w:sz w:val="16"/>
          <w:szCs w:val="16"/>
        </w:rPr>
        <w:softHyphen/>
        <w:t>риментальном цехе собран первый трактор, полу</w:t>
      </w:r>
      <w:r w:rsidRPr="00C33834">
        <w:rPr>
          <w:rFonts w:ascii="Times New Roman" w:hAnsi="Times New Roman"/>
          <w:color w:val="0070C0"/>
          <w:sz w:val="16"/>
          <w:szCs w:val="16"/>
        </w:rPr>
        <w:softHyphen/>
        <w:t>чивший название Универсал-1 (с сближенными пе</w:t>
      </w:r>
      <w:r w:rsidRPr="00C33834">
        <w:rPr>
          <w:rFonts w:ascii="Times New Roman" w:hAnsi="Times New Roman"/>
          <w:color w:val="0070C0"/>
          <w:sz w:val="16"/>
          <w:szCs w:val="16"/>
        </w:rPr>
        <w:softHyphen/>
        <w:t>редними колесами) и Универсал-2 (с расставленны</w:t>
      </w:r>
      <w:r w:rsidRPr="00C33834">
        <w:rPr>
          <w:rFonts w:ascii="Times New Roman" w:hAnsi="Times New Roman"/>
          <w:color w:val="0070C0"/>
          <w:sz w:val="16"/>
          <w:szCs w:val="16"/>
        </w:rPr>
        <w:softHyphen/>
        <w:t>ми передними колесами).</w:t>
      </w:r>
    </w:p>
    <w:p w14:paraId="6868DFA0" w14:textId="77777777" w:rsidR="00114F15" w:rsidRPr="00C33834" w:rsidRDefault="00114F1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Разработка нового пропашного трактора была поручена НАТИ Приказом Наркома тяжелой промышленнос</w:t>
      </w:r>
      <w:r w:rsidRPr="00C33834">
        <w:rPr>
          <w:rFonts w:ascii="Times New Roman" w:hAnsi="Times New Roman"/>
          <w:color w:val="0070C0"/>
          <w:sz w:val="16"/>
          <w:szCs w:val="16"/>
        </w:rPr>
        <w:softHyphen/>
        <w:t>ти Г.К. Орджоникидзе.</w:t>
      </w:r>
    </w:p>
    <w:p w14:paraId="1A57EC8C" w14:textId="77777777" w:rsidR="00114F15" w:rsidRPr="00C33834" w:rsidRDefault="00114F1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Инженеры тракторного отдела под руковод</w:t>
      </w:r>
      <w:r w:rsidRPr="00C33834">
        <w:rPr>
          <w:rFonts w:ascii="Times New Roman" w:hAnsi="Times New Roman"/>
          <w:color w:val="0070C0"/>
          <w:sz w:val="16"/>
          <w:szCs w:val="16"/>
        </w:rPr>
        <w:softHyphen/>
        <w:t>ством Д.А. Чудакова спроектировали пропашной колесный трактор, взяв за прототип трактор Фар- молл-9/18 американской компании Интернэшнл Хар</w:t>
      </w:r>
      <w:r w:rsidRPr="00C33834">
        <w:rPr>
          <w:rFonts w:ascii="Times New Roman" w:hAnsi="Times New Roman"/>
          <w:color w:val="0070C0"/>
          <w:sz w:val="16"/>
          <w:szCs w:val="16"/>
        </w:rPr>
        <w:softHyphen/>
        <w:t>вестер. Когда начался этап непосредственно рабо</w:t>
      </w:r>
      <w:r w:rsidRPr="00C33834">
        <w:rPr>
          <w:rFonts w:ascii="Times New Roman" w:hAnsi="Times New Roman"/>
          <w:color w:val="0070C0"/>
          <w:sz w:val="16"/>
          <w:szCs w:val="16"/>
        </w:rPr>
        <w:softHyphen/>
        <w:t>чего проектирования, то здесь все было не так прос</w:t>
      </w:r>
      <w:r w:rsidRPr="00C33834">
        <w:rPr>
          <w:rFonts w:ascii="Times New Roman" w:hAnsi="Times New Roman"/>
          <w:color w:val="0070C0"/>
          <w:sz w:val="16"/>
          <w:szCs w:val="16"/>
        </w:rPr>
        <w:softHyphen/>
        <w:t xml:space="preserve">то, как предполагали. Отступая от </w:t>
      </w:r>
      <w:r w:rsidRPr="00C33834">
        <w:rPr>
          <w:rFonts w:ascii="Times New Roman" w:hAnsi="Times New Roman"/>
          <w:color w:val="0070C0"/>
          <w:sz w:val="16"/>
          <w:szCs w:val="16"/>
        </w:rPr>
        <w:lastRenderedPageBreak/>
        <w:t>Фармолла, кон</w:t>
      </w:r>
      <w:r w:rsidRPr="00C33834">
        <w:rPr>
          <w:rFonts w:ascii="Times New Roman" w:hAnsi="Times New Roman"/>
          <w:color w:val="0070C0"/>
          <w:sz w:val="16"/>
          <w:szCs w:val="16"/>
        </w:rPr>
        <w:softHyphen/>
        <w:t>структоры стремились максимальное количество узлов и деталей унифицировать с трактором СТЗ. Поэтому одновременно с проектированием под руко</w:t>
      </w:r>
      <w:r w:rsidRPr="00C33834">
        <w:rPr>
          <w:rFonts w:ascii="Times New Roman" w:hAnsi="Times New Roman"/>
          <w:color w:val="0070C0"/>
          <w:sz w:val="16"/>
          <w:szCs w:val="16"/>
        </w:rPr>
        <w:softHyphen/>
        <w:t>водством инженера В. Тюляева проводилась боль</w:t>
      </w:r>
      <w:r w:rsidRPr="00C33834">
        <w:rPr>
          <w:rFonts w:ascii="Times New Roman" w:hAnsi="Times New Roman"/>
          <w:color w:val="0070C0"/>
          <w:sz w:val="16"/>
          <w:szCs w:val="16"/>
        </w:rPr>
        <w:softHyphen/>
        <w:t>шая экспериментальная работа по проверке право</w:t>
      </w:r>
      <w:r w:rsidRPr="00C33834">
        <w:rPr>
          <w:rFonts w:ascii="Times New Roman" w:hAnsi="Times New Roman"/>
          <w:color w:val="0070C0"/>
          <w:sz w:val="16"/>
          <w:szCs w:val="16"/>
        </w:rPr>
        <w:softHyphen/>
        <w:t>мерности замены деталей.</w:t>
      </w:r>
    </w:p>
    <w:p w14:paraId="3A1A6E28" w14:textId="77777777" w:rsidR="00114F15" w:rsidRPr="00C33834" w:rsidRDefault="00114F1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Шасси для этого трактора разработал инженер А.А. Крейслер. Трактор Универсал-1 был трехколес</w:t>
      </w:r>
      <w:r w:rsidRPr="00C33834">
        <w:rPr>
          <w:rFonts w:ascii="Times New Roman" w:hAnsi="Times New Roman"/>
          <w:color w:val="0070C0"/>
          <w:sz w:val="16"/>
          <w:szCs w:val="16"/>
        </w:rPr>
        <w:softHyphen/>
        <w:t>ный. Он развивал тяговое усилие 300-900 кг. На нем устанавливался карбюраторный керосиновый 4-цилиндровый двигатель мощностью 22 л.с. при 1200 об./мин. Трактор весил 2 т. Универсал-2 разра</w:t>
      </w:r>
      <w:r w:rsidRPr="00C33834">
        <w:rPr>
          <w:rFonts w:ascii="Times New Roman" w:hAnsi="Times New Roman"/>
          <w:color w:val="0070C0"/>
          <w:sz w:val="16"/>
          <w:szCs w:val="16"/>
        </w:rPr>
        <w:softHyphen/>
        <w:t>батывался для обработки низкостебельных пропаш</w:t>
      </w:r>
      <w:r w:rsidRPr="00C33834">
        <w:rPr>
          <w:rFonts w:ascii="Times New Roman" w:hAnsi="Times New Roman"/>
          <w:color w:val="0070C0"/>
          <w:sz w:val="16"/>
          <w:szCs w:val="16"/>
        </w:rPr>
        <w:softHyphen/>
        <w:t>ных культур. Он имел передний двухколесный мост оригинальной конструкции (22518).</w:t>
      </w:r>
    </w:p>
    <w:p w14:paraId="2300D052" w14:textId="77777777" w:rsidR="00114F15" w:rsidRPr="00C33834" w:rsidRDefault="00114F15" w:rsidP="00C33834">
      <w:pPr>
        <w:spacing w:after="0" w:line="240" w:lineRule="auto"/>
        <w:jc w:val="both"/>
        <w:rPr>
          <w:rFonts w:ascii="Times New Roman" w:hAnsi="Times New Roman"/>
          <w:color w:val="0070C0"/>
          <w:sz w:val="16"/>
          <w:szCs w:val="16"/>
        </w:rPr>
      </w:pPr>
    </w:p>
    <w:p w14:paraId="66F7765C" w14:textId="77777777" w:rsidR="007F23E2"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3E849112" w14:textId="77777777" w:rsidR="007F23E2" w:rsidRPr="00C33834" w:rsidRDefault="007F23E2" w:rsidP="00C33834">
      <w:pPr>
        <w:spacing w:after="0" w:line="240" w:lineRule="auto"/>
        <w:jc w:val="both"/>
        <w:rPr>
          <w:rFonts w:ascii="Times New Roman" w:hAnsi="Times New Roman"/>
          <w:iCs/>
          <w:color w:val="000000" w:themeColor="text1"/>
          <w:sz w:val="16"/>
          <w:szCs w:val="16"/>
        </w:rPr>
      </w:pPr>
    </w:p>
    <w:p w14:paraId="7EBE3DB8"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сентября 1933 Максим Горький на съезде писателей выдвинул лозунг «критического реализма» (4962).</w:t>
      </w:r>
    </w:p>
    <w:p w14:paraId="6352C868" w14:textId="742E487B"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p>
    <w:p w14:paraId="2E9F940A" w14:textId="2AC8657B" w:rsidR="00114F15" w:rsidRPr="00C33834" w:rsidRDefault="00114F15" w:rsidP="00C33834">
      <w:pPr>
        <w:tabs>
          <w:tab w:val="left" w:pos="11199"/>
        </w:tabs>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За рубежом:</w:t>
      </w:r>
    </w:p>
    <w:p w14:paraId="6773C421" w14:textId="77777777" w:rsidR="00114F15" w:rsidRPr="00C33834" w:rsidRDefault="00114F15" w:rsidP="00C33834">
      <w:pPr>
        <w:tabs>
          <w:tab w:val="left" w:pos="11199"/>
        </w:tabs>
        <w:spacing w:after="0" w:line="240" w:lineRule="auto"/>
        <w:jc w:val="both"/>
        <w:rPr>
          <w:rFonts w:ascii="Times New Roman" w:hAnsi="Times New Roman"/>
          <w:i/>
          <w:iCs/>
          <w:color w:val="000000" w:themeColor="text1"/>
          <w:sz w:val="16"/>
          <w:szCs w:val="16"/>
        </w:rPr>
      </w:pPr>
    </w:p>
    <w:p w14:paraId="08E6DC49" w14:textId="77777777" w:rsidR="00114F15" w:rsidRPr="00C33834" w:rsidRDefault="00114F1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 сентября 1933 прототип французского авиалайнера Dewoitine D.332, названный Emeraude и зарегистрированный как F-AMMY, устанавливает мировой рекорд для самолета этого класса, развивая среднюю скорость 159,56 км / ч (99,1 миль / ч) на 1000 километрововой дистанции (621 миля) с полезной нагрузкой 2 000 кг (4 410 фунтов) (20802).</w:t>
      </w:r>
    </w:p>
    <w:p w14:paraId="1B9D9DA3" w14:textId="77777777" w:rsidR="00114F15" w:rsidRPr="00C33834" w:rsidRDefault="00114F15" w:rsidP="00C33834">
      <w:pPr>
        <w:spacing w:after="0" w:line="240" w:lineRule="auto"/>
        <w:jc w:val="both"/>
        <w:rPr>
          <w:rFonts w:ascii="Times New Roman" w:hAnsi="Times New Roman"/>
          <w:color w:val="0070C0"/>
          <w:sz w:val="16"/>
          <w:szCs w:val="16"/>
        </w:rPr>
      </w:pPr>
    </w:p>
    <w:p w14:paraId="08B523C6" w14:textId="77777777" w:rsidR="00114F15" w:rsidRPr="00C33834" w:rsidRDefault="00114F1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7–8 сентября 1933 шесть летающих лодок Объединенного флота США P2Y совершают беспосадочный рейс из Норфолка, штат Вирджиния, к Панамскому каналу, преодолевая 2059 миль (3314 км) за 25 часов 20 минут (20802).</w:t>
      </w:r>
    </w:p>
    <w:p w14:paraId="282A2731" w14:textId="77777777" w:rsidR="00114F15" w:rsidRPr="00C33834" w:rsidRDefault="00114F15" w:rsidP="00C33834">
      <w:pPr>
        <w:spacing w:after="0" w:line="240" w:lineRule="auto"/>
        <w:jc w:val="both"/>
        <w:rPr>
          <w:rFonts w:ascii="Times New Roman" w:hAnsi="Times New Roman"/>
          <w:color w:val="0070C0"/>
          <w:sz w:val="16"/>
          <w:szCs w:val="16"/>
        </w:rPr>
      </w:pPr>
    </w:p>
    <w:p w14:paraId="27C8EABD" w14:textId="77777777" w:rsidR="006F2F8B" w:rsidRPr="00C33834" w:rsidRDefault="006F2F8B" w:rsidP="00C33834">
      <w:pPr>
        <w:tabs>
          <w:tab w:val="left" w:pos="11199"/>
        </w:tabs>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За рубежом:</w:t>
      </w:r>
    </w:p>
    <w:p w14:paraId="61E22C06" w14:textId="77777777" w:rsidR="006F2F8B" w:rsidRPr="00C33834" w:rsidRDefault="006F2F8B" w:rsidP="00C33834">
      <w:pPr>
        <w:tabs>
          <w:tab w:val="left" w:pos="11199"/>
        </w:tabs>
        <w:spacing w:after="0" w:line="240" w:lineRule="auto"/>
        <w:jc w:val="both"/>
        <w:rPr>
          <w:rFonts w:ascii="Times New Roman" w:hAnsi="Times New Roman"/>
          <w:i/>
          <w:iCs/>
          <w:color w:val="000000" w:themeColor="text1"/>
          <w:sz w:val="16"/>
          <w:szCs w:val="16"/>
        </w:rPr>
      </w:pPr>
    </w:p>
    <w:p w14:paraId="7D8F054C" w14:textId="77777777" w:rsidR="006F2F8B" w:rsidRPr="00C33834" w:rsidRDefault="006F2F8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8 сентября 1933 - Самолёт D.332 Emeraude пролетел 1000 км с полезной нагрузкой 2000 кг и средней скоростью 259,56 км/час и был установлен мировой рекорд для машин такого класса. D.332 Emeraude - транспортный самолёт, разработанный французской компанией Dewoitine. Цельнометаллический свободнонесущий низкоплан Dewoitine D.332 был восьмиместным пассажирским транспортным самолётом. Основные стойки его шасси снабжались обтекателями типа штанина, а однокилевое вертикальное оперение имело подкосы и типичные для самолётов Dewoitine очертания. Командир корабля и второй пилот располагались бок о бок в кабине оборудованной впереди передней кромки крыла, а радист размещался сразу за ними. Комфортабельная пассажирская кабина была просторной и хорошо обогреваемой и проветриваемой, пассажирские кресла могли раскладываться для удобства во время ночных перелётов. Тяга создавалась тремя звёздообразными двигателями Wright Cyclone┌ построенными по лицензии компанией Hispano-Suiza. Этот новый самолёт, названный Еmeraude, совершил несколько впечатляющих демонстрационных полётов в различные европейские столицы (22372).</w:t>
      </w:r>
    </w:p>
    <w:p w14:paraId="72CB3D0D" w14:textId="77777777" w:rsidR="006F2F8B" w:rsidRPr="00C33834" w:rsidRDefault="006F2F8B" w:rsidP="00C33834">
      <w:pPr>
        <w:spacing w:after="0" w:line="240" w:lineRule="auto"/>
        <w:jc w:val="both"/>
        <w:rPr>
          <w:rFonts w:ascii="Times New Roman" w:hAnsi="Times New Roman"/>
          <w:color w:val="0070C0"/>
          <w:sz w:val="16"/>
          <w:szCs w:val="16"/>
        </w:rPr>
      </w:pPr>
    </w:p>
    <w:p w14:paraId="79F21315" w14:textId="77777777" w:rsidR="006F2F8B" w:rsidRPr="00C33834" w:rsidRDefault="006F2F8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8 сентября 1933 - 6 самолётов Consolidated P2Y-1 совершают беспосадочный полёт из Норфолка, штат Вирджиния, в Панамский канал, преодолевая 2059 миль (3 314 км) за 25 часов 20 минут (22372).</w:t>
      </w:r>
    </w:p>
    <w:p w14:paraId="56D2F41B" w14:textId="77777777" w:rsidR="006F2F8B" w:rsidRPr="00C33834" w:rsidRDefault="006F2F8B" w:rsidP="00C33834">
      <w:pPr>
        <w:spacing w:after="0" w:line="240" w:lineRule="auto"/>
        <w:jc w:val="both"/>
        <w:rPr>
          <w:rFonts w:ascii="Times New Roman" w:hAnsi="Times New Roman"/>
          <w:color w:val="0070C0"/>
          <w:sz w:val="16"/>
          <w:szCs w:val="16"/>
        </w:rPr>
      </w:pPr>
    </w:p>
    <w:p w14:paraId="79DF34B0" w14:textId="77777777" w:rsidR="007F23E2"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2F54E42" w14:textId="77777777" w:rsidR="007F23E2" w:rsidRPr="00C33834" w:rsidRDefault="007F23E2" w:rsidP="00C33834">
      <w:pPr>
        <w:spacing w:after="0" w:line="240" w:lineRule="auto"/>
        <w:jc w:val="both"/>
        <w:rPr>
          <w:rFonts w:ascii="Times New Roman" w:hAnsi="Times New Roman"/>
          <w:iCs/>
          <w:color w:val="000000" w:themeColor="text1"/>
          <w:sz w:val="16"/>
          <w:szCs w:val="16"/>
        </w:rPr>
      </w:pPr>
    </w:p>
    <w:p w14:paraId="17C7F972"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сентября 1933 разбился Сталь-3 агитэскадрильи МГ (2331,291).</w:t>
      </w:r>
    </w:p>
    <w:p w14:paraId="6DB9381F"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5A95CD68" w14:textId="77777777" w:rsidR="006F2F8B" w:rsidRPr="00C33834" w:rsidRDefault="006F2F8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9 сентября 1933 года РВС СССР принял постановление № 85сс/о, в котором был утвержден следующий объем выпуска самолетов в военное время: 1934г. – всего 8.730 самолетов, 1935 г. – 11.700, 1936 г. – 14.330 (РГВА. Ф. 32871. Оп. 1. Д. 2. Л. 80). (21402).</w:t>
      </w:r>
    </w:p>
    <w:p w14:paraId="3FF60205" w14:textId="77777777" w:rsidR="006F2F8B" w:rsidRPr="00C33834" w:rsidRDefault="006F2F8B" w:rsidP="00C33834">
      <w:pPr>
        <w:spacing w:after="0" w:line="240" w:lineRule="auto"/>
        <w:jc w:val="both"/>
        <w:rPr>
          <w:rFonts w:ascii="Times New Roman" w:hAnsi="Times New Roman"/>
          <w:color w:val="0070C0"/>
          <w:sz w:val="16"/>
          <w:szCs w:val="16"/>
        </w:rPr>
      </w:pPr>
    </w:p>
    <w:p w14:paraId="75AAE675" w14:textId="77777777" w:rsidR="005A361E"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858179B" w14:textId="77777777" w:rsidR="005A361E" w:rsidRPr="00C33834" w:rsidRDefault="005A361E" w:rsidP="00C33834">
      <w:pPr>
        <w:spacing w:after="0" w:line="240" w:lineRule="auto"/>
        <w:jc w:val="both"/>
        <w:rPr>
          <w:rFonts w:ascii="Times New Roman" w:hAnsi="Times New Roman"/>
          <w:iCs/>
          <w:color w:val="000000" w:themeColor="text1"/>
          <w:sz w:val="16"/>
          <w:szCs w:val="16"/>
        </w:rPr>
      </w:pPr>
    </w:p>
    <w:p w14:paraId="268E6DF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сентября 1933 СТО принял постановление N 85сс "Об обеспечении РККА вооружением на год ведения войны и капитальному строительству НКТП" и прекратилось действием мобплана МВ-10 (1566,117).</w:t>
      </w:r>
    </w:p>
    <w:p w14:paraId="411CD88C" w14:textId="77777777" w:rsidR="00B2303C" w:rsidRPr="00C33834" w:rsidRDefault="00B2303C" w:rsidP="00C33834">
      <w:pPr>
        <w:spacing w:after="0" w:line="240" w:lineRule="auto"/>
        <w:jc w:val="both"/>
        <w:rPr>
          <w:rFonts w:ascii="Times New Roman" w:hAnsi="Times New Roman"/>
          <w:color w:val="000000" w:themeColor="text1"/>
          <w:sz w:val="16"/>
          <w:szCs w:val="16"/>
        </w:rPr>
      </w:pPr>
    </w:p>
    <w:p w14:paraId="0AAC4176" w14:textId="77777777" w:rsidR="00B2303C" w:rsidRPr="00C33834" w:rsidRDefault="00B2303C"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сентября 1933 г. СТО принял постановление № 85 ее «Об обесспечении РККА вооружением на год ведения войны и капитальному строительству Наркомтяжпрома». Действие мобплана МВ-10, таким образом, было прекращено (1566,117).</w:t>
      </w:r>
    </w:p>
    <w:p w14:paraId="0D58141A" w14:textId="77777777" w:rsidR="00B2303C" w:rsidRPr="00C33834" w:rsidRDefault="00B2303C" w:rsidP="00C33834">
      <w:pPr>
        <w:shd w:val="clear" w:color="auto" w:fill="FFFFFF"/>
        <w:spacing w:after="0" w:line="240" w:lineRule="auto"/>
        <w:jc w:val="both"/>
        <w:rPr>
          <w:rFonts w:ascii="Times New Roman" w:hAnsi="Times New Roman"/>
          <w:color w:val="000000" w:themeColor="text1"/>
          <w:sz w:val="16"/>
          <w:szCs w:val="16"/>
        </w:rPr>
      </w:pPr>
    </w:p>
    <w:p w14:paraId="0707E0D2"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9 сентября 1933 г. вышло постановление СТО за № 85сс «Об обеспечении РККА вооружением на год ведения войны и капитальному строительству НКТП», согласно которому НКТП обязывался:</w:t>
      </w:r>
    </w:p>
    <w:p w14:paraId="544894AE"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 создать мощности и обеспечить подачу в первый год войны, если она начнется в 1934 г., суммарно около 24 500 артсистем, из них около 2800 систем — за первые три месяца войны. ГВМУ НКТП показывает подачу за первый год войны — около 21 800 систем, а за первые три месяца — 2800 систем,</w:t>
      </w:r>
    </w:p>
    <w:p w14:paraId="7F7CC07B"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 создать мощности и обеспечить подачу в первый год войны (1934 г.) 55 500 т отравляющих веществ (ОВ),</w:t>
      </w:r>
    </w:p>
    <w:p w14:paraId="6FF136C0"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 обеспечить подачу в первый год войны, если она начнется в 1934 г., 60 млн. артвыстрелов по типам, калибрам и месяцам согласно заявке НКОбороны,</w:t>
      </w:r>
    </w:p>
    <w:p w14:paraId="13CE5E8F"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 дать мощности и обеспечить подачу в первый год войны, если она начнется в 1934 г., следующее количество танков и бронемашин: танков: Т</w:t>
      </w:r>
      <w:r w:rsidRPr="00C33834">
        <w:rPr>
          <w:color w:val="000000" w:themeColor="text1"/>
          <w:sz w:val="16"/>
          <w:szCs w:val="16"/>
        </w:rPr>
        <w:noBreakHyphen/>
        <w:t>37 — 13 тыс. шт.; Т</w:t>
      </w:r>
      <w:r w:rsidRPr="00C33834">
        <w:rPr>
          <w:color w:val="000000" w:themeColor="text1"/>
          <w:sz w:val="16"/>
          <w:szCs w:val="16"/>
        </w:rPr>
        <w:noBreakHyphen/>
        <w:t>26 — 11 500 шт.; БТ — 4 тыс. шт.; Т</w:t>
      </w:r>
      <w:r w:rsidRPr="00C33834">
        <w:rPr>
          <w:color w:val="000000" w:themeColor="text1"/>
          <w:sz w:val="16"/>
          <w:szCs w:val="16"/>
        </w:rPr>
        <w:noBreakHyphen/>
        <w:t>28 — 200 шт.; Т</w:t>
      </w:r>
      <w:r w:rsidRPr="00C33834">
        <w:rPr>
          <w:color w:val="000000" w:themeColor="text1"/>
          <w:sz w:val="16"/>
          <w:szCs w:val="16"/>
        </w:rPr>
        <w:noBreakHyphen/>
        <w:t>35 — 100 шт. [Итого] — 28 800 шт. Бронемашин: ФАИ — 1070 шт.; БАИ — 870 шт.; БАИД — 30 шт.; ФАИД — 30 шт. [Итого] — 2 тыс. шт.,</w:t>
      </w:r>
    </w:p>
    <w:p w14:paraId="6F0E62B2"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 создать мощности и обеспечить подачу в первый год войны, если она начнется в 1934 г., суммарно 8700 самолетов и около 15 200 моторов. ГВМУ показывает подачу около 8 тыс. самолетов (92%) и около 14 700 моторов (97%) (15320).</w:t>
      </w:r>
    </w:p>
    <w:p w14:paraId="15ED4333" w14:textId="77777777" w:rsidR="00B2303C" w:rsidRPr="00C33834" w:rsidRDefault="00B2303C" w:rsidP="00C33834">
      <w:pPr>
        <w:spacing w:after="0" w:line="240" w:lineRule="auto"/>
        <w:jc w:val="both"/>
        <w:rPr>
          <w:rFonts w:ascii="Times New Roman" w:hAnsi="Times New Roman"/>
          <w:color w:val="000000" w:themeColor="text1"/>
          <w:sz w:val="16"/>
          <w:szCs w:val="16"/>
        </w:rPr>
      </w:pPr>
    </w:p>
    <w:p w14:paraId="4A37AAC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сентября 1933 г. Постановление СТО СССР № 85сс/о «Об обеспечении РККА вооружением на год ведения войны и капитальному строительству НКТП»</w:t>
      </w:r>
    </w:p>
    <w:p w14:paraId="54A0924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Совершенно секретно.</w:t>
      </w:r>
    </w:p>
    <w:p w14:paraId="2F1887C9"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Определить программу подачи НКТП НКВМ основных боеприпасов в следующих размерах по годам:</w:t>
      </w:r>
    </w:p>
    <w:p w14:paraId="5B1DE34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25"/>
        <w:gridCol w:w="2599"/>
        <w:gridCol w:w="2599"/>
        <w:gridCol w:w="2599"/>
      </w:tblGrid>
      <w:tr w:rsidR="00F26F01" w:rsidRPr="00C33834" w14:paraId="38BF6760"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A478D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D122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1934 военный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EE6B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1935 военный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503C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1936 военный год</w:t>
            </w:r>
          </w:p>
        </w:tc>
      </w:tr>
      <w:tr w:rsidR="00F26F01" w:rsidRPr="00C33834" w14:paraId="2BFC7667"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EDA58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Выстрелы в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48CE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E57B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8644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07F4B740"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57092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Винтпатроны в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654A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9D1A6"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C9E6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8000</w:t>
            </w:r>
          </w:p>
        </w:tc>
      </w:tr>
      <w:tr w:rsidR="00F26F01" w:rsidRPr="00C33834" w14:paraId="75CB7027"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26B4C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Аэробомбы в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29F7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CA2A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79A6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r>
    </w:tbl>
    <w:p w14:paraId="189A8959"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(Ведомость распределения порохов, ВВ и калибров снарядов см. табл. 1</w:t>
      </w:r>
      <w:r w:rsidRPr="00C33834">
        <w:rPr>
          <w:color w:val="000000" w:themeColor="text1"/>
          <w:sz w:val="16"/>
          <w:szCs w:val="16"/>
        </w:rPr>
        <w:noBreakHyphen/>
        <w:t>4)¹*.</w:t>
      </w:r>
    </w:p>
    <w:p w14:paraId="7B93EB94"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1. Для обеспечения указанных выше мощностей считать необходимым производство следующих работ: а) на существующих пороховых заводах (№№ 40, 25, 14, 9) к 1 января 1935 г. создать дополнительную мощность в 10 тыс. т порохов путем ликвидации имеющихся на заводах узких мест и этим закончить расширение мощностей на этих заводах; б) закончить и ввести в эксплуатацию в III квартале 1934 г. завод вискозных порохов в Клину мощностью в 7 тыс. т; в) закончить завод нитроглицериновых порохов (завод № 59) мощностью в 5 тыс. т в I квартале 1934 г. и завод нитроглицериновых порохов на Каме мощностью в 5 тыс. т в I квартале 1935 г.; г) закончить строительство селитроугольных довесков на Каме мощностью в 10 тыс. т в I квартале 1934 г. и немедленно приступить к строительству там же завода селитроугольных довесков на 10 тыс. т со сроком окончания в I квартале 1935 г.; д) форсировать строительство Кемеровского порохового завода на мощность 18 тыс. т с окончанием в III квартале 1935 г. и приступить к строительству там же завода селитроугольных довесков на 5 тыс. т с окончанием 1 января 1936 г.; е) немедленно приступить к проектированию двух пороховых заводов на базе нитрошелка мощностью каждый 18 тыс. т с вводом в эксплуатацию одного в IV квартале 1935 г., второго — первой очереди (9 тыс. т) в III квартале 1935 г. и полностью — в III квартале 1936 г.; ж) форсировать строительство Горловского тротилового завода в 16 тыс. т с окончанием во II квартале 1935 г.; з) форсировать строительство Кемеровского тротилового завода в 5 тыс. т с окончанием в III квартале 1935 г.; и) приступить в III квартале с. г. к проектированию тротилового завода в 16 тыс. т при Воскресенском химкомбинате с окончанием в IV квартале 1935 г.; к) форсировать строительство мелинитового завода на Бобриках мощностью 14 тыс. т с окончанием в I квартале 1935 г. и мелинитового завода в Березниках мощностью в 14 тыс. т с окончанием во II квартале 1935 г.; л) приступить к проектированию завода динитронафталина мощностью в 5 тыс. т на базе ассимиляции его с красителями на Дорогомиловском заводе с окончанием во II квартале 1935 г.</w:t>
      </w:r>
    </w:p>
    <w:p w14:paraId="74C17B35"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З.²* Обязать НКВМ и НКТП широко развернуть работы по большему внедрению селитроугольных довесков в структуру заряда для выстрела.</w:t>
      </w:r>
    </w:p>
    <w:p w14:paraId="3DA09691"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lastRenderedPageBreak/>
        <w:t>4. Обязать НКТП немедленно приступить к проектированию мощностей по капсюлям, обеспечивающим полностью указанные выше боеприпасы по годам.</w:t>
      </w:r>
    </w:p>
    <w:p w14:paraId="54BD0B52"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5. Обязать НКТП закончить полностью ведущееся строительство по снаряжательным заводам в I квартале 1935 г. Для увеличения мощностей по снаряжению в соответствии с указанной выше подачей боеприпасов НКТП в мае 1934 г. заготовить проекты снаряжательных заводов, выбрать по ним точки строительства и разместить заказы на оборудование заводов с тем, чтобы строительство этих заводов велось и было закончено в шестимесячный срок по объявлении войны.</w:t>
      </w:r>
    </w:p>
    <w:p w14:paraId="7368300A"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6. Принять к сведению заявление НКТП, что им будут обеспечены следующие мощности по основному сырью для порохов и взрывчатых веществ:</w:t>
      </w:r>
    </w:p>
    <w:p w14:paraId="7F07D50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тыс. тонн)</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00"/>
        <w:gridCol w:w="2024"/>
        <w:gridCol w:w="1250"/>
        <w:gridCol w:w="2024"/>
        <w:gridCol w:w="1250"/>
        <w:gridCol w:w="2024"/>
        <w:gridCol w:w="1250"/>
      </w:tblGrid>
      <w:tr w:rsidR="00F26F01" w:rsidRPr="00C33834" w14:paraId="7035BD2F" w14:textId="77777777" w:rsidTr="00CF276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A83A4C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55A4F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BA73BF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9B3C26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1936 г.</w:t>
            </w:r>
          </w:p>
        </w:tc>
      </w:tr>
      <w:tr w:rsidR="00F26F01" w:rsidRPr="00C33834" w14:paraId="5EC91F64"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8A7B71F" w14:textId="77777777" w:rsidR="00B2303C" w:rsidRPr="00C33834" w:rsidRDefault="00B2303C"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2914A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на 1 января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91B5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Подача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A8A9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на 1 января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355E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Подача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2C4B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на 1 января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0DBB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Подача за год</w:t>
            </w:r>
          </w:p>
        </w:tc>
      </w:tr>
      <w:tr w:rsidR="00F26F01" w:rsidRPr="00C33834" w14:paraId="5D687FBC"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C63676"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Аммиак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445B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3C9E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4D0B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8191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7063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6E9E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315</w:t>
            </w:r>
          </w:p>
        </w:tc>
      </w:tr>
      <w:tr w:rsidR="00F26F01" w:rsidRPr="00C33834" w14:paraId="3998555D"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F9455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Азотная крепкая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4C4C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D373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D2D8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84C0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9033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DB6B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419</w:t>
            </w:r>
          </w:p>
        </w:tc>
      </w:tr>
      <w:tr w:rsidR="00F26F01" w:rsidRPr="00C33834" w14:paraId="58CBC7AF"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0FAF6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Амселитра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98586"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41D8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C9DB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AD2F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7B252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CBBC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225</w:t>
            </w:r>
          </w:p>
        </w:tc>
      </w:tr>
      <w:tr w:rsidR="00F26F01" w:rsidRPr="00C33834" w14:paraId="6661DB7B"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B865F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Олеум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D2D1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8B71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3882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282</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B018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59AA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C303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586</w:t>
            </w:r>
          </w:p>
        </w:tc>
      </w:tr>
    </w:tbl>
    <w:p w14:paraId="532DFE69"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7. Для обеспечения указанных выше мощностей обязать НКТП: а) окончить во II квартале 1934 г. завод аммиака на 45 тыс. т на Березниках; завод амселитры на мощность 30 тыс. т и крепкой азотной [кислоте] на мощность 90 тыс. т с окончанием в III квартале 1934 г.; б) форсировать строительство Бобриковского химкомбината по аммиаку с окончанием второй очереди в 45 тыс. т в III квартале 1935 г. и третьей очереди мощностью в 30 тыс. т в IV квартале 1935 г., заводы по амселитре на 20 тыс. т и крепкой азотной кислоте мощностью в 90 тыс. т — в IV квартале 1935 г.; в) немедленно приступить к проектированию и строительству аммиачных установок в Каменской и Горловке мощностью по 30 тыс. т каждая с окончанием в III квартале 1935 г.; г) форсировать строительство Магнитогорского азотно-тукового комбината с мощностью по аммиаку на 60 тыс. т с окончанием во II квартале 1936 г.; д) приступить к проектированию и строительству завода аммиака в Лисичанске мощностью на 80 тыс. т аммиака с окончанием в III квартале 1936 г.; е) форсировать строительство Кемеровского тукового комбината с мощностью по аммиаку 30 тыс. т и с мощностями по крепкой азотной кислоте 35 тыс. т и амселитре 35 тыс. т с окончанием в III квартале 1935 г.; ж) форсировать строительство на Рубежной по крепкой азотной кислоте на 6 тыс. т с окончанием в III квартале 1934 г.; з) форсировать строительство завода олеума на заводах №№ 14, 15 и 80 по 16 тыс. т каждый с введением в эксплуатацию по заводу № 14 к 1 января 1935 г., а по заводам №№ 15 и 80 — во II квартале 1935 г.; и) форсировать строительство заводов олеума на Бобриках и Калате по 24 тыс. т каждый с введением в эксплуатацию на Калате в III квартале 1933 г. и в Бобриках — во II квартале 1934 г.; к) приступить к строительству заводов олеума в Горловке на 24 тыс. т, в Кемерово 48 тыс. т с окончанием по Горловке во II квартале 1935 г., а в Кемерово — в III квартале 1935 г.; л) приступить к проектированию и строительству двух заводов олеума с использованием башенных установок мощностью по 100 тыс. т каждый на Воскресенском и Красноуральском химкомбинатах с окончанием во II квартале 1935 г.</w:t>
      </w:r>
    </w:p>
    <w:p w14:paraId="2685DE3C"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8. В результате указанного выше строительства НКТП будут следующие мощности и подача по порохам и взрывчатым веществам:</w:t>
      </w:r>
    </w:p>
    <w:p w14:paraId="78AB6056"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тыс. тонн]</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79"/>
        <w:gridCol w:w="1129"/>
        <w:gridCol w:w="1452"/>
        <w:gridCol w:w="1129"/>
        <w:gridCol w:w="1452"/>
        <w:gridCol w:w="1129"/>
        <w:gridCol w:w="1452"/>
      </w:tblGrid>
      <w:tr w:rsidR="00F26F01" w:rsidRPr="00C33834" w14:paraId="3B4918B1" w14:textId="77777777" w:rsidTr="00CF276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19BBA7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E4CCDA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37B685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05FEE6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1936 г.</w:t>
            </w:r>
          </w:p>
        </w:tc>
      </w:tr>
      <w:tr w:rsidR="00F26F01" w:rsidRPr="00C33834" w14:paraId="6EDACA2B"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E451823" w14:textId="77777777" w:rsidR="00B2303C" w:rsidRPr="00C33834" w:rsidRDefault="00B2303C"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BBEEC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3154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Подача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4940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053D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Подача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E5EB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5527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Подача за год</w:t>
            </w:r>
          </w:p>
        </w:tc>
      </w:tr>
      <w:tr w:rsidR="00F26F01" w:rsidRPr="00C33834" w14:paraId="220A970D"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8AD386"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Порох и селитроугольные довески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197E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DDCD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E5FC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E15A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2CF1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F6A3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133,5</w:t>
            </w:r>
          </w:p>
        </w:tc>
      </w:tr>
      <w:tr w:rsidR="00F26F01" w:rsidRPr="00C33834" w14:paraId="31AC1B62"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5183C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Взрыввещества с амселитрой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80EC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CB53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0407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6E90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268,3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6A7C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F6F4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344,3</w:t>
            </w:r>
          </w:p>
        </w:tc>
      </w:tr>
    </w:tbl>
    <w:p w14:paraId="32A3415D"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Ведомость мощностей и выпуска порохов и В В — см. приложение, табл 1937 вышел приказ НКОП № 1</w:t>
      </w:r>
      <w:r w:rsidRPr="00C33834">
        <w:rPr>
          <w:color w:val="000000" w:themeColor="text1"/>
          <w:sz w:val="16"/>
          <w:szCs w:val="16"/>
        </w:rPr>
        <w:noBreakHyphen/>
        <w:t>3.</w:t>
      </w:r>
    </w:p>
    <w:p w14:paraId="3C0F608E"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9. Принять к сведению заявление НКВМ, что на 1934 военный год из запасов ГАУ может быть отпущено на комплектацию выстрелов 10 тыс. т порохов.</w:t>
      </w:r>
    </w:p>
    <w:p w14:paraId="34F80446"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10. НКТП в 1934 г. изготовить 15 тыс. т порохов и 6 тыс. т тротила в запас НКВМ.</w:t>
      </w:r>
    </w:p>
    <w:p w14:paraId="29C8BF5B"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11. Определить НКТП программу по подаче ОВ, ДВ и дегазаторам: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47"/>
        <w:gridCol w:w="1426"/>
        <w:gridCol w:w="1833"/>
        <w:gridCol w:w="1425"/>
        <w:gridCol w:w="1833"/>
        <w:gridCol w:w="1425"/>
        <w:gridCol w:w="1833"/>
      </w:tblGrid>
      <w:tr w:rsidR="00F26F01" w:rsidRPr="00C33834" w14:paraId="37E941C3" w14:textId="77777777" w:rsidTr="00CF276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561DC4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64D526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F604BB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C45415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1936 г.</w:t>
            </w:r>
          </w:p>
        </w:tc>
      </w:tr>
      <w:tr w:rsidR="00F26F01" w:rsidRPr="00C33834" w14:paraId="0C915772"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A8C9981" w14:textId="77777777" w:rsidR="00B2303C" w:rsidRPr="00C33834" w:rsidRDefault="00B2303C"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E99E2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582D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Подача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9DDF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5B88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Подача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504C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5628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Подача за год</w:t>
            </w:r>
          </w:p>
        </w:tc>
      </w:tr>
      <w:tr w:rsidR="00F26F01" w:rsidRPr="00C33834" w14:paraId="62EFB9DC"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D45CB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ОВ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4FFE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A996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55,48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B3BA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CB44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87,95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3D31F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24AE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107,35</w:t>
            </w:r>
          </w:p>
        </w:tc>
      </w:tr>
      <w:tr w:rsidR="00F26F01" w:rsidRPr="00C33834" w14:paraId="1C3F019B"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BA0D2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68D8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FFBB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756C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398B0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6765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78ED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54,0</w:t>
            </w:r>
          </w:p>
        </w:tc>
      </w:tr>
      <w:tr w:rsidR="00F26F01" w:rsidRPr="00C33834" w14:paraId="2FDDA039"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2D5FB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Дегазаторы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CCE9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F112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3221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FF3C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6B82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2D0B6"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153,9</w:t>
            </w:r>
          </w:p>
        </w:tc>
      </w:tr>
    </w:tbl>
    <w:p w14:paraId="645876D5"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12. Для обеспечения указанных выше мощностей обязать НКТП: а) форсировать строительство по Горьковскому заводу по хлору на 20 тыс. т и ОВ на 16 тыс. т с окончанием во II квартале 1935 г.; б) приступить к проектированию и строительству завода в Восточной Сибири на мощность по хлору 10 тыс. т, ОВ — 9 тыс. т и дегазаторам — 18 тыс. т со сроком окончания в III квартале 1935 г.; в) приступить к строительству хлорного завода в Кемерово на мощность 10 тыс. т, ОВ — 9 тыс. т и дегазатор — 20 тыс. т с окончанием в III квартале 1935 г.; г) приступить к дополнительному строительству хлора на «Славсоде» на мощность 20 тыс. т, завода дифосгена на мощность 1,5 тыс. т и завода иприта на 9 тыс. т с окончанием во II квартале 1935 г.; д) приступить к строительству на Урале завода жидкого дегазатора на мощность 10 тыс. т со сроком окончания в I квартале 1935 г.; е) форсировать строительство завода синильной кислоты в Свердловске на мощность 1,5 тыс. т с окончанием в I квартале 1936 г. и приступить к строительству завода синильной кислоты на Воскресенском химкомбинате мощностью в 1 тыс. т с вводом в эксплуатацию в I квартале 1935 г.; ж) приступить к строительству завода адамсита на 3 тыс. т на Березниках со сроком окончания в III квартале 1935 г.; з) закончить строительство заводов по ДВ: на Константиновке и «Кр[асном] химике» по 7 тыс. т каждый с вводом в эксплуатацию Константиновского — в I квартале 1934 г. и «Кр[асного] химика» — в III квартале 1934 г.; и) приступить к строительству завода ДВ мощностью на 14 тыс. т каждый в Красноуральске и Калате со сроком окончания во II квартале 1935 г.; к) приступить к строительству завода фосфора в Перми на мощность 3 тыс. т с вводом в эксплуатацию в III квартале 1935 г.; л) приступить к постройке опытных заводов по люизиту и четыреххлористому кремнию с окончанием не позднее II квартала 1935 г.; м) обязать НКТП обеспечить соответствующее развертывание сырьевой базы для ОВ, ДВ (дымшашек) в части мышьяка, серы, берсоли, пропилового спирта с учетом и других нужд народного хозяйства; н) определить затраты по ОВ, ДВ и дегазаторам в размере 245,25 млн. руб. (с учетом и соответствующего развертывания сырьевой базы для них.</w:t>
      </w:r>
    </w:p>
    <w:p w14:paraId="30D3B833"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13. Ассигновать для проведения строительства и обеспечения указанной выше программы 1374,15 млн. руб., из коих выделить дополнительно на 1933 г. 90 млн. руб. (III квартал — 40 млн. руб. и IV квартал — 50 млн. руб.), в 1934 г. выделить 710 млн. руб., в 1935 г. 470 млн. руб., 1936 г. 104,15 млн. руб.</w:t>
      </w:r>
    </w:p>
    <w:p w14:paraId="454E48C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 Авиация</w:t>
      </w:r>
    </w:p>
    <w:p w14:paraId="674BDD3A"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1. Утвердить объем выпуска продукции в военное время на 1934, 1935 и 1936 г. в следующих количествах:</w:t>
      </w:r>
    </w:p>
    <w:p w14:paraId="6472E477" w14:textId="77777777" w:rsidR="00B2303C" w:rsidRPr="00C33834" w:rsidRDefault="00B2303C" w:rsidP="00C33834">
      <w:pPr>
        <w:pStyle w:val="ae"/>
        <w:spacing w:before="0" w:after="0"/>
        <w:jc w:val="both"/>
        <w:rPr>
          <w:color w:val="000000" w:themeColor="text1"/>
          <w:sz w:val="16"/>
          <w:szCs w:val="16"/>
        </w:rPr>
      </w:pPr>
      <w:r w:rsidRPr="00C33834">
        <w:rPr>
          <w:rStyle w:val="a7"/>
          <w:rFonts w:eastAsiaTheme="majorEastAsia"/>
          <w:b w:val="0"/>
          <w:color w:val="000000" w:themeColor="text1"/>
          <w:sz w:val="16"/>
          <w:szCs w:val="16"/>
        </w:rPr>
        <w:t>Выпуск самолетов за год войны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22"/>
        <w:gridCol w:w="3479"/>
        <w:gridCol w:w="1807"/>
        <w:gridCol w:w="1807"/>
        <w:gridCol w:w="1807"/>
      </w:tblGrid>
      <w:tr w:rsidR="00F26F01" w:rsidRPr="00C33834" w14:paraId="4C2DEC22"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B3A6B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05DA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 самолета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5A3F6"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FFB7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F020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1936 г.</w:t>
            </w:r>
          </w:p>
        </w:tc>
      </w:tr>
      <w:tr w:rsidR="00F26F01" w:rsidRPr="00C33834" w14:paraId="68420347" w14:textId="77777777" w:rsidTr="00CF276A">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8C8BE8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Разведчики</w:t>
            </w:r>
          </w:p>
        </w:tc>
      </w:tr>
      <w:tr w:rsidR="00F26F01" w:rsidRPr="00C33834" w14:paraId="2D00D7AA"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84AA8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E36C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7A22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42DF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47CB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3200</w:t>
            </w:r>
          </w:p>
        </w:tc>
      </w:tr>
      <w:tr w:rsidR="00F26F01" w:rsidRPr="00C33834" w14:paraId="6E8B8ADC"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5E592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FA7E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833B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59AB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CA8F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r>
      <w:tr w:rsidR="00F26F01" w:rsidRPr="00C33834" w14:paraId="0EE5F82F"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5B066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2115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EE6D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A38C6"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0AAD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r>
      <w:tr w:rsidR="00F26F01" w:rsidRPr="00C33834" w14:paraId="7C8ED5DA"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6ED7E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D6E9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78C9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A380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3577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r>
      <w:tr w:rsidR="00F26F01" w:rsidRPr="00C33834" w14:paraId="6CD772A9" w14:textId="77777777" w:rsidTr="00CF276A">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0EAF0EC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Бомбардировщики</w:t>
            </w:r>
          </w:p>
        </w:tc>
      </w:tr>
      <w:tr w:rsidR="00F26F01" w:rsidRPr="00C33834" w14:paraId="066BB835"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56B35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A9A1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773B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F5F9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30676"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1800</w:t>
            </w:r>
          </w:p>
        </w:tc>
      </w:tr>
      <w:tr w:rsidR="00F26F01" w:rsidRPr="00C33834" w14:paraId="19BF4337"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868CD6"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5E7C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A794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AFEB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AAA9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39E4D1C"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825F1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69B1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9BCB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9AB3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97A8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r>
      <w:tr w:rsidR="00F26F01" w:rsidRPr="00C33834" w14:paraId="116A7F30"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00EA4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7E3E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0084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9D446"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1446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1400</w:t>
            </w:r>
          </w:p>
        </w:tc>
      </w:tr>
      <w:tr w:rsidR="00F26F01" w:rsidRPr="00C33834" w14:paraId="6E6E0EB1"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9DFE66"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5699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139A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E57B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81EB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r>
      <w:tr w:rsidR="00F26F01" w:rsidRPr="00C33834" w14:paraId="738F5E33"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36847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41C3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AA40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254D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C8DF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r>
      <w:tr w:rsidR="00F26F01" w:rsidRPr="00C33834" w14:paraId="77BC1EE6"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1DB51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87F2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1FE0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B926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D8D2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w:t>
            </w:r>
          </w:p>
        </w:tc>
      </w:tr>
      <w:tr w:rsidR="00F26F01" w:rsidRPr="00C33834" w14:paraId="70B9854E"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FA5DB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8CD6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DBA0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723F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BB13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3730</w:t>
            </w:r>
          </w:p>
        </w:tc>
      </w:tr>
      <w:tr w:rsidR="00F26F01" w:rsidRPr="00C33834" w14:paraId="50CEDFFC" w14:textId="77777777" w:rsidTr="00CF276A">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83BFFB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Истребители</w:t>
            </w:r>
          </w:p>
        </w:tc>
      </w:tr>
      <w:tr w:rsidR="00F26F01" w:rsidRPr="00C33834" w14:paraId="2BF26DBA"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7396B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9F85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835B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14B6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58DE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r>
      <w:tr w:rsidR="00F26F01" w:rsidRPr="00C33834" w14:paraId="4D41F0BB"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684DF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4BF7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15EC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D63B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632A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r>
      <w:tr w:rsidR="00F26F01" w:rsidRPr="00C33834" w14:paraId="7B0A33E6"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BD1B6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07C8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73A76"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AA9D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2894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3600</w:t>
            </w:r>
          </w:p>
        </w:tc>
      </w:tr>
      <w:tr w:rsidR="00F26F01" w:rsidRPr="00C33834" w14:paraId="1A4DAA07"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75F21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5602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6A56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4A6E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3CC3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r>
      <w:tr w:rsidR="00F26F01" w:rsidRPr="00C33834" w14:paraId="515899D4" w14:textId="77777777" w:rsidTr="00CF276A">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30809EC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Учебные</w:t>
            </w:r>
          </w:p>
        </w:tc>
      </w:tr>
      <w:tr w:rsidR="00F26F01" w:rsidRPr="00C33834" w14:paraId="639DC549"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1229D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AFB9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1857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A5BB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D060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1600</w:t>
            </w:r>
          </w:p>
        </w:tc>
      </w:tr>
      <w:tr w:rsidR="00F26F01" w:rsidRPr="00C33834" w14:paraId="5803D27D"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A673F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A7FA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0E03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7A6E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AD9D6"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14 330</w:t>
            </w:r>
          </w:p>
        </w:tc>
      </w:tr>
    </w:tbl>
    <w:p w14:paraId="25AEE6E5" w14:textId="77777777" w:rsidR="00B2303C" w:rsidRPr="00C33834" w:rsidRDefault="00B2303C" w:rsidP="00C33834">
      <w:pPr>
        <w:pStyle w:val="ae"/>
        <w:spacing w:before="0" w:after="0"/>
        <w:jc w:val="both"/>
        <w:rPr>
          <w:color w:val="000000" w:themeColor="text1"/>
          <w:sz w:val="16"/>
          <w:szCs w:val="16"/>
        </w:rPr>
      </w:pPr>
      <w:r w:rsidRPr="00C33834">
        <w:rPr>
          <w:rStyle w:val="a7"/>
          <w:rFonts w:eastAsiaTheme="majorEastAsia"/>
          <w:b w:val="0"/>
          <w:color w:val="000000" w:themeColor="text1"/>
          <w:sz w:val="16"/>
          <w:szCs w:val="16"/>
        </w:rPr>
        <w:t>Выпуск моторов за год войны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40"/>
        <w:gridCol w:w="1706"/>
        <w:gridCol w:w="2290"/>
        <w:gridCol w:w="2193"/>
        <w:gridCol w:w="2193"/>
      </w:tblGrid>
      <w:tr w:rsidR="00F26F01" w:rsidRPr="00C33834" w14:paraId="75CF7C53"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DC9EB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246F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98C8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1219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24BB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1936 г.</w:t>
            </w:r>
          </w:p>
        </w:tc>
      </w:tr>
      <w:tr w:rsidR="00F26F01" w:rsidRPr="00C33834" w14:paraId="2CCF983E"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E17BF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E387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w:t>
            </w:r>
            <w:r w:rsidRPr="00C33834">
              <w:rPr>
                <w:rFonts w:ascii="Times New Roman" w:hAnsi="Times New Roman"/>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8A60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696B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FBBA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10 000</w:t>
            </w:r>
          </w:p>
        </w:tc>
      </w:tr>
      <w:tr w:rsidR="00F26F01" w:rsidRPr="00C33834" w14:paraId="0155897A"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10456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4950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w:t>
            </w:r>
            <w:r w:rsidRPr="00C33834">
              <w:rPr>
                <w:rFonts w:ascii="Times New Roman" w:hAnsi="Times New Roman"/>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6285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3 700³*</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6D35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7B2D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11 200</w:t>
            </w:r>
          </w:p>
        </w:tc>
      </w:tr>
      <w:tr w:rsidR="00F26F01" w:rsidRPr="00C33834" w14:paraId="53D4332C"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87C1F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A21B6"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w:t>
            </w:r>
            <w:r w:rsidRPr="00C33834">
              <w:rPr>
                <w:rFonts w:ascii="Times New Roman" w:hAnsi="Times New Roman"/>
                <w:color w:val="000000" w:themeColor="text1"/>
                <w:sz w:val="16"/>
                <w:szCs w:val="16"/>
              </w:rPr>
              <w:noBreakHyphen/>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C32C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42F3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3482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4 400</w:t>
            </w:r>
          </w:p>
        </w:tc>
      </w:tr>
      <w:tr w:rsidR="00F26F01" w:rsidRPr="00C33834" w14:paraId="4CC66686"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BC0D8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EE4A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w:t>
            </w:r>
            <w:r w:rsidRPr="00C33834">
              <w:rPr>
                <w:rFonts w:ascii="Times New Roman" w:hAnsi="Times New Roman"/>
                <w:color w:val="000000" w:themeColor="text1"/>
                <w:sz w:val="16"/>
                <w:szCs w:val="16"/>
              </w:rPr>
              <w:noBreakHyphen/>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5DB5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D67B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F89C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1 200</w:t>
            </w:r>
          </w:p>
        </w:tc>
      </w:tr>
      <w:tr w:rsidR="00F26F01" w:rsidRPr="00C33834" w14:paraId="5E157AE4"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58067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D9AC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w:t>
            </w:r>
            <w:r w:rsidRPr="00C33834">
              <w:rPr>
                <w:rFonts w:ascii="Times New Roman" w:hAnsi="Times New Roman"/>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805D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49D0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9484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2 400</w:t>
            </w:r>
          </w:p>
        </w:tc>
      </w:tr>
      <w:tr w:rsidR="00F26F01" w:rsidRPr="00C33834" w14:paraId="0A32CDA8"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186D2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008F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5EF7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1418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B13C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29 200</w:t>
            </w:r>
          </w:p>
        </w:tc>
      </w:tr>
    </w:tbl>
    <w:p w14:paraId="5A084C05" w14:textId="77777777" w:rsidR="00B2303C" w:rsidRPr="00C33834" w:rsidRDefault="00B2303C" w:rsidP="00C33834">
      <w:pPr>
        <w:pStyle w:val="ae"/>
        <w:spacing w:before="0" w:after="0"/>
        <w:jc w:val="both"/>
        <w:rPr>
          <w:color w:val="000000" w:themeColor="text1"/>
          <w:sz w:val="16"/>
          <w:szCs w:val="16"/>
        </w:rPr>
      </w:pPr>
      <w:r w:rsidRPr="00C33834">
        <w:rPr>
          <w:rStyle w:val="a7"/>
          <w:rFonts w:eastAsiaTheme="majorEastAsia"/>
          <w:b w:val="0"/>
          <w:color w:val="000000" w:themeColor="text1"/>
          <w:sz w:val="16"/>
          <w:szCs w:val="16"/>
        </w:rPr>
        <w:t>В случае замены типов: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25"/>
        <w:gridCol w:w="1571"/>
        <w:gridCol w:w="1913"/>
        <w:gridCol w:w="1913"/>
      </w:tblGrid>
      <w:tr w:rsidR="00F26F01" w:rsidRPr="00C33834" w14:paraId="49473F32" w14:textId="77777777" w:rsidTr="00CF276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B59392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Уменьшение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3599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w:t>
            </w:r>
            <w:r w:rsidRPr="00C33834">
              <w:rPr>
                <w:rFonts w:ascii="Times New Roman" w:hAnsi="Times New Roman"/>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226A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1416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7 000</w:t>
            </w:r>
          </w:p>
        </w:tc>
      </w:tr>
      <w:tr w:rsidR="00F26F01" w:rsidRPr="00C33834" w14:paraId="475D80CA"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D504A4A" w14:textId="77777777" w:rsidR="00B2303C" w:rsidRPr="00C33834" w:rsidRDefault="00B2303C"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3ECCA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w:t>
            </w:r>
            <w:r w:rsidRPr="00C33834">
              <w:rPr>
                <w:rFonts w:ascii="Times New Roman" w:hAnsi="Times New Roman"/>
                <w:color w:val="000000" w:themeColor="text1"/>
                <w:sz w:val="16"/>
                <w:szCs w:val="16"/>
              </w:rPr>
              <w:noBreakHyphen/>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DFF5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A13F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2 800</w:t>
            </w:r>
          </w:p>
        </w:tc>
      </w:tr>
      <w:tr w:rsidR="00F26F01" w:rsidRPr="00C33834" w14:paraId="2745AD39" w14:textId="77777777" w:rsidTr="00CF276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922A1D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Увеличение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7BAD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81FC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8D6C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1 000</w:t>
            </w:r>
          </w:p>
        </w:tc>
      </w:tr>
      <w:tr w:rsidR="00F26F01" w:rsidRPr="00C33834" w14:paraId="3536230E"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7133E5F" w14:textId="77777777" w:rsidR="00B2303C" w:rsidRPr="00C33834" w:rsidRDefault="00B2303C"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4C941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AC89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E419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2 200</w:t>
            </w:r>
          </w:p>
        </w:tc>
      </w:tr>
      <w:tr w:rsidR="00F26F01" w:rsidRPr="00C33834" w14:paraId="03846246"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EB9F9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будет 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60C9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EDC0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C794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15 750</w:t>
            </w:r>
          </w:p>
        </w:tc>
      </w:tr>
    </w:tbl>
    <w:p w14:paraId="08BAB8A0"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2. Утвердить пятилетний план развития мощностей по самолетостроению в следующих количествах: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48"/>
        <w:gridCol w:w="1925"/>
        <w:gridCol w:w="1267"/>
        <w:gridCol w:w="1349"/>
        <w:gridCol w:w="1349"/>
        <w:gridCol w:w="1349"/>
        <w:gridCol w:w="1486"/>
        <w:gridCol w:w="1349"/>
      </w:tblGrid>
      <w:tr w:rsidR="00F26F01" w:rsidRPr="00C33834" w14:paraId="48709062"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49978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684637B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400B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Расчетный</w:t>
            </w:r>
          </w:p>
          <w:p w14:paraId="282CE7F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 самолета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AD28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w:t>
            </w:r>
          </w:p>
          <w:p w14:paraId="48FA836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0709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квартал</w:t>
            </w:r>
          </w:p>
          <w:p w14:paraId="393B5C9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B041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квартал</w:t>
            </w:r>
          </w:p>
          <w:p w14:paraId="7FB9936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9434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квартал</w:t>
            </w:r>
          </w:p>
          <w:p w14:paraId="347667F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0180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квартал</w:t>
            </w:r>
          </w:p>
          <w:p w14:paraId="7627549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5ACC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квартал</w:t>
            </w:r>
          </w:p>
          <w:p w14:paraId="4F21381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1938 г.</w:t>
            </w:r>
          </w:p>
        </w:tc>
      </w:tr>
      <w:tr w:rsidR="00F26F01" w:rsidRPr="00C33834" w14:paraId="761CCA99" w14:textId="77777777" w:rsidTr="00CF276A">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215FDFE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Разведчики, легкие бомбовозы, штурмовики</w:t>
            </w:r>
          </w:p>
        </w:tc>
      </w:tr>
      <w:tr w:rsidR="00F26F01" w:rsidRPr="00C33834" w14:paraId="718DD672"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95463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2B45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C848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6229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AB18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8A53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6F26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EB8A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r>
      <w:tr w:rsidR="00F26F01" w:rsidRPr="00C33834" w14:paraId="3F6AECA7"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68CB1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374E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8124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1807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A0CD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AF25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EC40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3EA2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r>
      <w:tr w:rsidR="00F26F01" w:rsidRPr="00C33834" w14:paraId="14C74124"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05A0A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011C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К-5</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728E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A154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FA82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1B136"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8396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048D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r>
      <w:tr w:rsidR="00F26F01" w:rsidRPr="00C33834" w14:paraId="2E329236" w14:textId="77777777" w:rsidTr="00CF276A">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B1ABE2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E6B6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A80C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BBEB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F690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E5FB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A74E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5800</w:t>
            </w:r>
          </w:p>
        </w:tc>
      </w:tr>
      <w:tr w:rsidR="00F26F01" w:rsidRPr="00C33834" w14:paraId="174C25B0" w14:textId="77777777" w:rsidTr="00CF276A">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651FFD7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Истребители</w:t>
            </w:r>
          </w:p>
        </w:tc>
      </w:tr>
      <w:tr w:rsidR="00F26F01" w:rsidRPr="00C33834" w14:paraId="4553DFFE"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4E87C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C025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3632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0BAC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AEAD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025E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BDD8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F25A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r>
      <w:tr w:rsidR="00F26F01" w:rsidRPr="00C33834" w14:paraId="538F1E9F"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C4DDD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EDD9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7BFF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B9BC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4EF1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573F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1500/0⁴*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DA0B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B873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r>
      <w:tr w:rsidR="00F26F01" w:rsidRPr="00C33834" w14:paraId="72FF54E3"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96AB3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2C3E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16E5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31D7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EC6A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8064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4C2C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0497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r>
      <w:tr w:rsidR="00F26F01" w:rsidRPr="00C33834" w14:paraId="4515961F" w14:textId="77777777" w:rsidTr="00CF276A">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8687D6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0AD4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3EE6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DEA6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6CE2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FB2B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7FCA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7000</w:t>
            </w:r>
          </w:p>
        </w:tc>
      </w:tr>
      <w:tr w:rsidR="00F26F01" w:rsidRPr="00C33834" w14:paraId="227AAEA9" w14:textId="77777777" w:rsidTr="00CF276A">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682D073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Морские</w:t>
            </w:r>
          </w:p>
        </w:tc>
      </w:tr>
      <w:tr w:rsidR="00F26F01" w:rsidRPr="00C33834" w14:paraId="54DAB854"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8B4F8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6C87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МБР/С-62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5F9B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AA67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034A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0272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B107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42E8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r>
      <w:tr w:rsidR="00F26F01" w:rsidRPr="00C33834" w14:paraId="0400C39B"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DE57F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081D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1949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DE78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8FAB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821C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5294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CB1E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r>
      <w:tr w:rsidR="00F26F01" w:rsidRPr="00C33834" w14:paraId="32709F37" w14:textId="77777777" w:rsidTr="00CF276A">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C5CD3F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DAA7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06B7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8B4B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8AC1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EB44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65A3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w:t>
            </w:r>
          </w:p>
        </w:tc>
      </w:tr>
      <w:tr w:rsidR="00F26F01" w:rsidRPr="00C33834" w14:paraId="74A2155D" w14:textId="77777777" w:rsidTr="00CF276A">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2598DEA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Тяжелые</w:t>
            </w:r>
          </w:p>
        </w:tc>
      </w:tr>
      <w:tr w:rsidR="00F26F01" w:rsidRPr="00C33834" w14:paraId="39F51C49"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1A7E2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78C0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459F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C15A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74EA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061B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15A2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D9976"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r>
      <w:tr w:rsidR="00F26F01" w:rsidRPr="00C33834" w14:paraId="36A82106"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4ADCE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8A51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1444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5667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86A5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4BBF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CA2B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B1D1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r>
      <w:tr w:rsidR="00F26F01" w:rsidRPr="00C33834" w14:paraId="4DD3034A"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07ADF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9747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E682D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6BBC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FF38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D66A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7863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476E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r>
      <w:tr w:rsidR="00F26F01" w:rsidRPr="00C33834" w14:paraId="2C114174"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3219A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E16F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40DF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E9CAA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11CE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F6DE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87E3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F573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r>
      <w:tr w:rsidR="00F26F01" w:rsidRPr="00C33834" w14:paraId="0A3944EE"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08D7A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5292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9C6E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0ECD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B4BF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E751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DB45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D2D8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r>
      <w:tr w:rsidR="00F26F01" w:rsidRPr="00C33834" w14:paraId="2B48DDB2" w14:textId="77777777" w:rsidTr="00CF276A">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216159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7CF86"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116F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A6F3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9BCB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99E9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6904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2800</w:t>
            </w:r>
          </w:p>
        </w:tc>
      </w:tr>
      <w:tr w:rsidR="00F26F01" w:rsidRPr="00C33834" w14:paraId="7D2C42A8" w14:textId="77777777" w:rsidTr="00CF276A">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256DB7A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Учебные</w:t>
            </w:r>
          </w:p>
        </w:tc>
      </w:tr>
      <w:tr w:rsidR="00F26F01" w:rsidRPr="00C33834" w14:paraId="7784022D"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062CE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670B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EF68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5191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FBAE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30BD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8EBC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8FFA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w:t>
            </w:r>
          </w:p>
        </w:tc>
      </w:tr>
      <w:tr w:rsidR="00F26F01" w:rsidRPr="00C33834" w14:paraId="34B1F61D"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54831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6D8A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29F2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0EAF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213E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2D53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A9DA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8000/4000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802256"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8000</w:t>
            </w:r>
          </w:p>
        </w:tc>
      </w:tr>
      <w:tr w:rsidR="00F26F01" w:rsidRPr="00C33834" w14:paraId="07270997" w14:textId="77777777" w:rsidTr="00CF276A">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3B8B3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82D7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53DC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06F7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1C09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71556"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A56F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9750</w:t>
            </w:r>
          </w:p>
        </w:tc>
      </w:tr>
      <w:tr w:rsidR="00F26F01" w:rsidRPr="00C33834" w14:paraId="5CCEB6BF" w14:textId="77777777" w:rsidTr="00CF276A">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7FA7A0B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Специальные (разные)</w:t>
            </w:r>
          </w:p>
        </w:tc>
      </w:tr>
      <w:tr w:rsidR="00F26F01" w:rsidRPr="00C33834" w14:paraId="2953CC33"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45A4D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2863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3638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D901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E046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C681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237C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2F66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r>
      <w:tr w:rsidR="00F26F01" w:rsidRPr="00C33834" w14:paraId="19B27EEE" w14:textId="77777777" w:rsidTr="00CF276A">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ECD80E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685C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783D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A2A9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FFDD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A73B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6AE1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26 550</w:t>
            </w:r>
          </w:p>
        </w:tc>
      </w:tr>
    </w:tbl>
    <w:p w14:paraId="6FBC359E"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3. Утвердить пятилетний план развития мощностей по моторостроению в следующем количестве: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81"/>
        <w:gridCol w:w="1604"/>
        <w:gridCol w:w="1055"/>
        <w:gridCol w:w="1996"/>
        <w:gridCol w:w="1996"/>
        <w:gridCol w:w="1444"/>
        <w:gridCol w:w="1123"/>
        <w:gridCol w:w="1123"/>
      </w:tblGrid>
      <w:tr w:rsidR="00F26F01" w:rsidRPr="00C33834" w14:paraId="57D61D59"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61E15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200E92A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D1EE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Расчетный</w:t>
            </w:r>
          </w:p>
          <w:p w14:paraId="7A36947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 самолета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BC88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w:t>
            </w:r>
          </w:p>
          <w:p w14:paraId="62785DD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61FC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квартал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D36F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квартал 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23AE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квартал</w:t>
            </w:r>
          </w:p>
          <w:p w14:paraId="017AB15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164D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квартал</w:t>
            </w:r>
          </w:p>
          <w:p w14:paraId="79B75676"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CF2E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квартал</w:t>
            </w:r>
          </w:p>
          <w:p w14:paraId="197FD33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1938 г.</w:t>
            </w:r>
          </w:p>
        </w:tc>
      </w:tr>
      <w:tr w:rsidR="00F26F01" w:rsidRPr="00C33834" w14:paraId="06420762" w14:textId="77777777" w:rsidTr="00CF276A">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4C30C6A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Водяное охлаждение</w:t>
            </w:r>
          </w:p>
        </w:tc>
      </w:tr>
      <w:tr w:rsidR="00F26F01" w:rsidRPr="00C33834" w14:paraId="619981E0"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21E0B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79DF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39E0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2BDE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BF98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F47E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6C07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350A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15 000</w:t>
            </w:r>
          </w:p>
        </w:tc>
      </w:tr>
      <w:tr w:rsidR="00F26F01" w:rsidRPr="00C33834" w14:paraId="6F72299E"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184BD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2A15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47AD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8999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809E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0753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D0BA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4F5A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10 000</w:t>
            </w:r>
          </w:p>
        </w:tc>
      </w:tr>
      <w:tr w:rsidR="00F26F01" w:rsidRPr="00C33834" w14:paraId="3C80FBBF"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B37396"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5E53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или</w:t>
            </w:r>
          </w:p>
          <w:p w14:paraId="1417FAE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«Кертис-</w:t>
            </w:r>
          </w:p>
          <w:p w14:paraId="77021E8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Конкверер»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75AF9D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069D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8BBF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0A7C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2944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04196"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20 000</w:t>
            </w:r>
          </w:p>
        </w:tc>
      </w:tr>
      <w:tr w:rsidR="00F26F01" w:rsidRPr="00C33834" w14:paraId="75EC2BC7"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46A99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122/24Б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4486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AE67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7786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220D6"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2BEC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CECA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E68E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r>
      <w:tr w:rsidR="00F26F01" w:rsidRPr="00C33834" w14:paraId="5463C4D4" w14:textId="77777777" w:rsidTr="00CF276A">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0587B3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C961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6124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6DDB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4A5B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687C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44B9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46 500</w:t>
            </w:r>
          </w:p>
        </w:tc>
      </w:tr>
      <w:tr w:rsidR="00F26F01" w:rsidRPr="00C33834" w14:paraId="6A3354BE"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82DA0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3E0D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47F5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5855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953E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514C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7A9E7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1DE6F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1D987C35"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46FF4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B084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85C7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FF336"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2180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00A2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3272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1F60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6 000</w:t>
            </w:r>
          </w:p>
        </w:tc>
      </w:tr>
      <w:tr w:rsidR="00F26F01" w:rsidRPr="00C33834" w14:paraId="76010CED"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E1B4E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6C05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РЦ</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E88B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80125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CC4F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CE90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4C5A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06A0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6 000</w:t>
            </w:r>
          </w:p>
        </w:tc>
      </w:tr>
      <w:tr w:rsidR="00F26F01" w:rsidRPr="00C33834" w14:paraId="3DEECCDA"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59C44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BAC1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5AF1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B032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514C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A40A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F08E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575A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15 000</w:t>
            </w:r>
          </w:p>
        </w:tc>
      </w:tr>
      <w:tr w:rsidR="00F26F01" w:rsidRPr="00C33834" w14:paraId="712C494E"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358A7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E6ED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020D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91BB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A2C0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8DB5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10 000/5000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48D8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6287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10 000</w:t>
            </w:r>
          </w:p>
        </w:tc>
      </w:tr>
      <w:tr w:rsidR="00F26F01" w:rsidRPr="00C33834" w14:paraId="2A435AFB" w14:textId="77777777" w:rsidTr="00CF276A">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B0525E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AFBF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1C4D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870B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856A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0ED0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3085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37 000</w:t>
            </w:r>
          </w:p>
        </w:tc>
      </w:tr>
      <w:tr w:rsidR="00F26F01" w:rsidRPr="00C33834" w14:paraId="6648940A" w14:textId="77777777" w:rsidTr="00CF276A">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506083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5958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5047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97FE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CBAF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DDE8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F262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83 500</w:t>
            </w:r>
          </w:p>
        </w:tc>
      </w:tr>
    </w:tbl>
    <w:p w14:paraId="096441F7"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4. В целях обеспечения выпуска в 1934 и 1935 гг. выделить в 1933 г. в III и IV кварталах контингент для заказа импортного оборудования для заводов №№ 19, 20, 33 и 120 в следующих суммах: завод № 19 — 1745 тыс. руб.; завод № 20 — 735 тыс. руб.; завод № 33 — 150 тыс. руб.; завод № 120 — 1330 тыс. руб.</w:t>
      </w:r>
    </w:p>
    <w:p w14:paraId="66435DA5"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5. Обязать НКВТорг и НКТП ввезти импортное оборудование для моторостроительных заводов №№ 24, 19, 20, 33 и 120 к 1 января 1935 г. на полную мощность.</w:t>
      </w:r>
    </w:p>
    <w:p w14:paraId="416C76A2"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6. В целях осуществления пятилетнего плана построить в течение второй пятилетки в сроки, согласно плана развития мощностей, следующие новые заводы, к строительству которых еще не приступлено.</w:t>
      </w:r>
    </w:p>
    <w:p w14:paraId="790FE9B5"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lastRenderedPageBreak/>
        <w:t>По моторостроению: а) завод № 130 в г. Казани на мощность в 20 тыс. моторов водяного охлаждения типа М</w:t>
      </w:r>
      <w:r w:rsidRPr="00C33834">
        <w:rPr>
          <w:color w:val="000000" w:themeColor="text1"/>
          <w:sz w:val="16"/>
          <w:szCs w:val="16"/>
        </w:rPr>
        <w:noBreakHyphen/>
        <w:t>34 или «Кертис-Конкверер»; б) завод № 117 в г. Горьком на мощность 10 тыс. моторов воздушного охлаждения типа «Райт-Циклон»; в) завод № 134 в г. Харькове на мощность 15 тыс. маломощных моторов типа М</w:t>
      </w:r>
      <w:r w:rsidRPr="00C33834">
        <w:rPr>
          <w:color w:val="000000" w:themeColor="text1"/>
          <w:sz w:val="16"/>
          <w:szCs w:val="16"/>
        </w:rPr>
        <w:noBreakHyphen/>
        <w:t>11; г) территорию быв. завода 246 использовать для производства мелких серий моторов бензиновых и нефтяных.</w:t>
      </w:r>
    </w:p>
    <w:p w14:paraId="7285C22E"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По самолетостроению: а) новый завод истребителей на мощность 3 тыс. шт. (расчетный тип — двухместный истребитель); б) новый завод легких самолетов на мощность 8 тыс. шт. самолетов типа У</w:t>
      </w:r>
      <w:r w:rsidRPr="00C33834">
        <w:rPr>
          <w:color w:val="000000" w:themeColor="text1"/>
          <w:sz w:val="16"/>
          <w:szCs w:val="16"/>
        </w:rPr>
        <w:noBreakHyphen/>
        <w:t>2 в г. Харькове.</w:t>
      </w:r>
    </w:p>
    <w:p w14:paraId="1077619D"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По строительству вспомогательных заводов: а) второй завод вооружений; б) второй завод винто-лыжный; в) завод металлических винтов; г) второй завод карбюраторный; д) территорию бывшего завода № 24 а использовать для производства запчастей к моторам, снятым с производства.</w:t>
      </w:r>
    </w:p>
    <w:p w14:paraId="4EE88419"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7. Определить ориентировочно объем вложений в капитальное строительство на вторую пятилетку в сумме 1450 млн. руб.</w:t>
      </w:r>
    </w:p>
    <w:p w14:paraId="49209889"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8. Обязать НКТП полностью обеспечить потребность авиапромышленности в сырье и материалах на вторую пятилетку.</w:t>
      </w:r>
    </w:p>
    <w:p w14:paraId="0288975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III. Танки</w:t>
      </w:r>
    </w:p>
    <w:p w14:paraId="4D238B3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Определить подачу танков на 1934 г.: танков Т</w:t>
      </w:r>
      <w:r w:rsidRPr="00C33834">
        <w:rPr>
          <w:rFonts w:ascii="Times New Roman" w:hAnsi="Times New Roman"/>
          <w:color w:val="000000" w:themeColor="text1"/>
          <w:sz w:val="16"/>
          <w:szCs w:val="16"/>
        </w:rPr>
        <w:noBreakHyphen/>
        <w:t>26 — 11 500 шт.; БТ — 4 тыс. шт.; Т</w:t>
      </w:r>
      <w:r w:rsidRPr="00C33834">
        <w:rPr>
          <w:rFonts w:ascii="Times New Roman" w:hAnsi="Times New Roman"/>
          <w:color w:val="000000" w:themeColor="text1"/>
          <w:sz w:val="16"/>
          <w:szCs w:val="16"/>
        </w:rPr>
        <w:noBreakHyphen/>
        <w:t>35 — 100 шт.; Т</w:t>
      </w:r>
      <w:r w:rsidRPr="00C33834">
        <w:rPr>
          <w:rFonts w:ascii="Times New Roman" w:hAnsi="Times New Roman"/>
          <w:color w:val="000000" w:themeColor="text1"/>
          <w:sz w:val="16"/>
          <w:szCs w:val="16"/>
        </w:rPr>
        <w:noBreakHyphen/>
        <w:t>28 — 200 шт.; танкеток — 13 тыс. шт.; бронемашин — 2 тыс. шт.; всего боевых машин — 30 800 шт. На 1935 г.: танков Т</w:t>
      </w:r>
      <w:r w:rsidRPr="00C33834">
        <w:rPr>
          <w:rFonts w:ascii="Times New Roman" w:hAnsi="Times New Roman"/>
          <w:color w:val="000000" w:themeColor="text1"/>
          <w:sz w:val="16"/>
          <w:szCs w:val="16"/>
        </w:rPr>
        <w:noBreakHyphen/>
        <w:t>26 — 17 тыс. шт.; БТ — 5 тыс. шт.; Т</w:t>
      </w:r>
      <w:r w:rsidRPr="00C33834">
        <w:rPr>
          <w:rFonts w:ascii="Times New Roman" w:hAnsi="Times New Roman"/>
          <w:color w:val="000000" w:themeColor="text1"/>
          <w:sz w:val="16"/>
          <w:szCs w:val="16"/>
        </w:rPr>
        <w:noBreakHyphen/>
        <w:t>35 — 100 шт.; Т</w:t>
      </w:r>
      <w:r w:rsidRPr="00C33834">
        <w:rPr>
          <w:rFonts w:ascii="Times New Roman" w:hAnsi="Times New Roman"/>
          <w:color w:val="000000" w:themeColor="text1"/>
          <w:sz w:val="16"/>
          <w:szCs w:val="16"/>
        </w:rPr>
        <w:noBreakHyphen/>
        <w:t>28 — 300 шт.; танкеток — 16 тыс. шт.; бронемашин — 2 тыс. шт.; всего боевых машин — 40 400 шт.</w:t>
      </w:r>
    </w:p>
    <w:p w14:paraId="67A0EBA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Предложить НКТП в двухмесячный срок проработать вопрос об обеспечении танков БТ моторами и дизелями и доложить КО. Определить объем капитального строительства по танками и бронезаводам — 125 млн. на 1934 г.</w:t>
      </w:r>
    </w:p>
    <w:p w14:paraId="237CCC9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IV.</w:t>
      </w:r>
    </w:p>
    <w:p w14:paraId="05C0B64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Определить подачу винтовок и пулеметов в 1934 г.: винтовок образца 1891 г. — 2 млн. шт.; пулеметов Максима⁵* и ПВ</w:t>
      </w:r>
      <w:r w:rsidRPr="00C33834">
        <w:rPr>
          <w:rFonts w:ascii="Times New Roman" w:hAnsi="Times New Roman"/>
          <w:color w:val="000000" w:themeColor="text1"/>
          <w:sz w:val="16"/>
          <w:szCs w:val="16"/>
        </w:rPr>
        <w:noBreakHyphen/>
        <w:t>1 — 40 тыс. шт.; пулеметов ШКАС — 5 тыс. шт.; пулеметов Дегтярева⁶* — 75 тыс. шт. Определить объем капитального строительства по заводам Тульскому, Ижевскому, Ковровскому и Подольскому на 1934 г. в размере 125 млн. руб.</w:t>
      </w:r>
    </w:p>
    <w:p w14:paraId="4D1DDFA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V. Артиллерия</w:t>
      </w:r>
    </w:p>
    <w:p w14:paraId="0E1A721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Определить подачу артсистем на 1934 г. (см. табл 1937 вышел приказ НКОП № 5) всего 24 410 систем, из них: мелких калибров (45 мм, 37 мм) — 15 180; дивизионная и полковая 76</w:t>
      </w:r>
      <w:r w:rsidRPr="00C33834">
        <w:rPr>
          <w:rFonts w:ascii="Times New Roman" w:hAnsi="Times New Roman"/>
          <w:color w:val="000000" w:themeColor="text1"/>
          <w:sz w:val="16"/>
          <w:szCs w:val="16"/>
        </w:rPr>
        <w:noBreakHyphen/>
        <w:t>мм и 122</w:t>
      </w:r>
      <w:r w:rsidRPr="00C33834">
        <w:rPr>
          <w:rFonts w:ascii="Times New Roman" w:hAnsi="Times New Roman"/>
          <w:color w:val="000000" w:themeColor="text1"/>
          <w:sz w:val="16"/>
          <w:szCs w:val="16"/>
        </w:rPr>
        <w:noBreakHyphen/>
        <w:t>мм (гаубицы) артиллерия — 6220; корпусная, армейская и морская 107</w:t>
      </w:r>
      <w:r w:rsidRPr="00C33834">
        <w:rPr>
          <w:rFonts w:ascii="Times New Roman" w:hAnsi="Times New Roman"/>
          <w:color w:val="000000" w:themeColor="text1"/>
          <w:sz w:val="16"/>
          <w:szCs w:val="16"/>
        </w:rPr>
        <w:noBreakHyphen/>
        <w:t>мм, 152</w:t>
      </w:r>
      <w:r w:rsidRPr="00C33834">
        <w:rPr>
          <w:rFonts w:ascii="Times New Roman" w:hAnsi="Times New Roman"/>
          <w:color w:val="000000" w:themeColor="text1"/>
          <w:sz w:val="16"/>
          <w:szCs w:val="16"/>
        </w:rPr>
        <w:noBreakHyphen/>
        <w:t>мм и выше артиллерия — 1940 шт.; зенитная артиллерия — 1070 шт. Определить объем капитального строительства на 1934 г. по заводам Орудобъединения: Уралмашзаводу и Крамзаводу — 300 млн. руб.</w:t>
      </w:r>
    </w:p>
    <w:p w14:paraId="2797EDC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VI. Оптика</w:t>
      </w:r>
    </w:p>
    <w:p w14:paraId="0A8A4DE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Определить подачу на 1934 г. по военно-оптическим приборам на 95 млн. руб.: на 1935 г. — на 210 млн. руб.; на 1936 г. — на 300 млн. руб.; на 1937 г. — на 400 млн. руб. Определить объем капитального строительства по оптико-механической промышленности на 1934 г. — 82 млн. руб.; на 1935 г. — 67 млн. руб. Предложить Наркомтяжпрому приступить уже в 1933 г. к проектированию трех новых оптико-механических заводов — завода зеркальных отражателей с сырьевой базой, завода авиационно-оптических приборов и завода танковых оптических приборов. Срок окончания строительства указанных заводов — конец 1935 г.</w:t>
      </w:r>
    </w:p>
    <w:p w14:paraId="76DA6F0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VII. Торпеды и мины</w:t>
      </w:r>
    </w:p>
    <w:p w14:paraId="34E1510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Определить подачу торпед в 1934 г. — 2,5 тыс. шт.; в 1935 г. — 4,0 тыс. шт.; определить подачу мин в 1934 г. — 25,0 тыс. шт.; в 1935 г. — 35,0 тыс. шт.</w:t>
      </w:r>
    </w:p>
    <w:p w14:paraId="42EE677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eastAsiaTheme="majorEastAsia" w:hAnsi="Times New Roman"/>
          <w:color w:val="000000" w:themeColor="text1"/>
          <w:sz w:val="16"/>
          <w:szCs w:val="16"/>
        </w:rPr>
        <w:t>VIII.</w:t>
      </w:r>
    </w:p>
    <w:p w14:paraId="4F04059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обеспечения подачи металлической части на 60 млн. выстрелов и 3 млн. винтпатронов в 1934 г. и на 76 млн. выстрелов и 6 млн. винтпатронов в 1935 г. (снаряды, взрыватели, трубки, орудийные гильзы и т. д.). Определить объем капитального строительства на 1934 г.: по снарядному производству — 145 млн. руб.; по винтпатронам, трубкам, взрывателям, орудийным гильзам и т. д. — 120 млн. руб.; по Кемеровскому комбинату — 75 млн. руб.</w:t>
      </w:r>
    </w:p>
    <w:p w14:paraId="6858398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IX.</w:t>
      </w:r>
    </w:p>
    <w:p w14:paraId="1BA362D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Утвердить подачу на 1934 г. по радиостанциям и горючему в количествах, указанных в таблице № 6.</w:t>
      </w:r>
    </w:p>
    <w:p w14:paraId="6614469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X.</w:t>
      </w:r>
    </w:p>
    <w:p w14:paraId="32E529A9"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Определить общий объем капитального оборонного строительства по указанным выше производствам на 1934 г., включая аммиак и олеум, в размере 2350 млн. НКТП при разработке контрольных цифр 1934 г. определить стоимость строительства по отдельным объектам. Ассигновать дополнительно на III и IV кварталы 1933 г. по оборонному строительству и подготовке производства 150 млн. руб., из них на химию — 90 млн. руб. Предложить НКТПрому, НКЛесу, НКЛегпрому обеспечить оборонное строительство НКТПрома всеми необходимыми стройматериалами, оборудованием и транспортом путем выделения целевых фондов. НКСнабу обеспечение снабжением оборонного строительства НКТПрома проводить по первой категории.</w:t>
      </w:r>
    </w:p>
    <w:p w14:paraId="1C7BF636"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Сроки окончания проектов и составление смет по новым заводам, строящимся для обеспечения намеченной в данном постановлении оборонной программы, устанавливаются наркомом тяжелой промышленности т. С. Орджоникидзе. НКФ, БДК и Госбанку⁷* впредь до представления проектов и смет бесперебойно финансировать строительство этих заводов⁸*.</w:t>
      </w:r>
    </w:p>
    <w:p w14:paraId="5AA149D6" w14:textId="77777777" w:rsidR="00B2303C" w:rsidRPr="00C33834" w:rsidRDefault="00B2303C" w:rsidP="00C33834">
      <w:pPr>
        <w:pStyle w:val="ae"/>
        <w:spacing w:before="0" w:after="0"/>
        <w:jc w:val="both"/>
        <w:rPr>
          <w:color w:val="000000" w:themeColor="text1"/>
          <w:sz w:val="16"/>
          <w:szCs w:val="16"/>
        </w:rPr>
      </w:pPr>
      <w:r w:rsidRPr="00C33834">
        <w:rPr>
          <w:rStyle w:val="af0"/>
          <w:i w:val="0"/>
          <w:color w:val="000000" w:themeColor="text1"/>
          <w:sz w:val="16"/>
          <w:szCs w:val="16"/>
        </w:rPr>
        <w:t>Председатель Совета труда и обороны В. Молотов (Скрябин)</w:t>
      </w:r>
    </w:p>
    <w:p w14:paraId="789A76DF" w14:textId="77777777" w:rsidR="00B2303C" w:rsidRPr="00C33834" w:rsidRDefault="00B2303C" w:rsidP="00C33834">
      <w:pPr>
        <w:pStyle w:val="ae"/>
        <w:spacing w:before="0" w:after="0"/>
        <w:jc w:val="both"/>
        <w:rPr>
          <w:color w:val="000000" w:themeColor="text1"/>
          <w:sz w:val="16"/>
          <w:szCs w:val="16"/>
        </w:rPr>
      </w:pPr>
      <w:r w:rsidRPr="00C33834">
        <w:rPr>
          <w:rStyle w:val="af0"/>
          <w:i w:val="0"/>
          <w:color w:val="000000" w:themeColor="text1"/>
          <w:sz w:val="16"/>
          <w:szCs w:val="16"/>
        </w:rPr>
        <w:t>За секретаря Совета труда и обороны Базилевич</w:t>
      </w:r>
    </w:p>
    <w:p w14:paraId="58CF4AF0" w14:textId="77777777" w:rsidR="00B2303C" w:rsidRPr="00C33834" w:rsidRDefault="00B2303C"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Примечания</w:t>
      </w:r>
      <w:r w:rsidRPr="00C33834">
        <w:rPr>
          <w:color w:val="000000" w:themeColor="text1"/>
          <w:sz w:val="16"/>
          <w:szCs w:val="16"/>
        </w:rPr>
        <w:t>:</w:t>
      </w:r>
    </w:p>
    <w:p w14:paraId="237AB1D4"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¹* Здесь и далее: таблицы, данные в приложении, не публикуются (см. там же, л. 17</w:t>
      </w:r>
      <w:r w:rsidRPr="00C33834">
        <w:rPr>
          <w:color w:val="000000" w:themeColor="text1"/>
          <w:sz w:val="16"/>
          <w:szCs w:val="16"/>
        </w:rPr>
        <w:noBreakHyphen/>
        <w:t>29).</w:t>
      </w:r>
    </w:p>
    <w:p w14:paraId="3504E749"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²* Пункт 2 в тексте отсутствует.</w:t>
      </w:r>
    </w:p>
    <w:p w14:paraId="1829AA1F"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³* Из намеченных к выпуску в 1934 г. моторов М</w:t>
      </w:r>
      <w:r w:rsidRPr="00C33834">
        <w:rPr>
          <w:color w:val="000000" w:themeColor="text1"/>
          <w:sz w:val="16"/>
          <w:szCs w:val="16"/>
        </w:rPr>
        <w:noBreakHyphen/>
        <w:t>34 700 шт. идут на неавиационные цели — танки, гидролодки и т. д. (</w:t>
      </w:r>
      <w:r w:rsidRPr="00C33834">
        <w:rPr>
          <w:rStyle w:val="af0"/>
          <w:i w:val="0"/>
          <w:color w:val="000000" w:themeColor="text1"/>
          <w:sz w:val="16"/>
          <w:szCs w:val="16"/>
        </w:rPr>
        <w:t>Прим. док.</w:t>
      </w:r>
      <w:r w:rsidRPr="00C33834">
        <w:rPr>
          <w:color w:val="000000" w:themeColor="text1"/>
          <w:sz w:val="16"/>
          <w:szCs w:val="16"/>
        </w:rPr>
        <w:t>).</w:t>
      </w:r>
    </w:p>
    <w:p w14:paraId="11702F7F"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⁴* Здесь и далее: в числителе мощности по строительству, в знаменателе — по оборудованию. В итоге показаны мощности по оборудованию (</w:t>
      </w:r>
      <w:r w:rsidRPr="00C33834">
        <w:rPr>
          <w:rStyle w:val="af0"/>
          <w:i w:val="0"/>
          <w:color w:val="000000" w:themeColor="text1"/>
          <w:sz w:val="16"/>
          <w:szCs w:val="16"/>
        </w:rPr>
        <w:t>Прим. док.</w:t>
      </w:r>
      <w:r w:rsidRPr="00C33834">
        <w:rPr>
          <w:color w:val="000000" w:themeColor="text1"/>
          <w:sz w:val="16"/>
          <w:szCs w:val="16"/>
        </w:rPr>
        <w:t>).</w:t>
      </w:r>
    </w:p>
    <w:p w14:paraId="17DAD283"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⁵* </w:t>
      </w:r>
      <w:r w:rsidRPr="00C33834">
        <w:rPr>
          <w:rStyle w:val="af0"/>
          <w:bCs/>
          <w:i w:val="0"/>
          <w:color w:val="000000" w:themeColor="text1"/>
          <w:sz w:val="16"/>
          <w:szCs w:val="16"/>
        </w:rPr>
        <w:t>Пулемет «Максим»</w:t>
      </w:r>
      <w:r w:rsidRPr="00C33834">
        <w:rPr>
          <w:color w:val="000000" w:themeColor="text1"/>
          <w:sz w:val="16"/>
          <w:szCs w:val="16"/>
        </w:rPr>
        <w:t>, название первого в мире боеспособного автоматического оружия — станкового пулемета, созданного американским изобретателем X. С. Максимом в 1883 г. под винтовочные патроны. В начале XX века пулемет появился во многих государствах, в том числе в России. Был усовершенствован русскими оружейниками и в 1910 г. принят на вооружение со станком А. А. Соколова. Модернизированный в 1930 и 1941 гг. «Максим» применялся в Красной армии до конца Великой Отечественной войны. Главные недостатки пулемета — жидкостное охлаждение и большой для этого вида оружия вес, что уменьшало его маневренные возможности.</w:t>
      </w:r>
    </w:p>
    <w:p w14:paraId="40CAA7FB"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⁶* В 1927 г. на вооружение РККА был принят «легкий» пулемет — 7,62</w:t>
      </w:r>
      <w:r w:rsidRPr="00C33834">
        <w:rPr>
          <w:color w:val="000000" w:themeColor="text1"/>
          <w:sz w:val="16"/>
          <w:szCs w:val="16"/>
        </w:rPr>
        <w:noBreakHyphen/>
        <w:t xml:space="preserve">мм ручной </w:t>
      </w:r>
      <w:r w:rsidRPr="00C33834">
        <w:rPr>
          <w:rStyle w:val="af0"/>
          <w:bCs/>
          <w:i w:val="0"/>
          <w:color w:val="000000" w:themeColor="text1"/>
          <w:sz w:val="16"/>
          <w:szCs w:val="16"/>
        </w:rPr>
        <w:t>пулемет ДП (Дегтярев-пехотный), разработанный конструктором В. А. Дегтяревым</w:t>
      </w:r>
      <w:r w:rsidRPr="00C33834">
        <w:rPr>
          <w:color w:val="000000" w:themeColor="text1"/>
          <w:sz w:val="16"/>
          <w:szCs w:val="16"/>
        </w:rPr>
        <w:t xml:space="preserve"> в 1926 г. Предназначался для огневой поддержки пехоты и по своим боевым качествам превосходил аналогичные зарубежные образцы. С 1927 г. на Ковровском заводе было налажено его массовое производство. На базе ручного пулемета ДП были разработаны и приняты на вооружение: в 1928 г. пулемет ДА (Дегтярев-авиационный), в 1929 г. — ДТ (Дегтярев-танковый) и в 1930 г. на вооружение поступил спаренный авиационный пулемет Дегтярева ДА</w:t>
      </w:r>
      <w:r w:rsidRPr="00C33834">
        <w:rPr>
          <w:color w:val="000000" w:themeColor="text1"/>
          <w:sz w:val="16"/>
          <w:szCs w:val="16"/>
        </w:rPr>
        <w:noBreakHyphen/>
        <w:t>2. Пулемет Дегтярева калибра 12,7</w:t>
      </w:r>
      <w:r w:rsidRPr="00C33834">
        <w:rPr>
          <w:color w:val="000000" w:themeColor="text1"/>
          <w:sz w:val="16"/>
          <w:szCs w:val="16"/>
        </w:rPr>
        <w:noBreakHyphen/>
        <w:t>мм начал производиться с 1932 г. под обозначением ДК (Дегтярев-крупнокалиберный). Недостатки схемы вынудили прекратить выпуск ДК в 1935 г. и заняться его усовершенствованием. К 1938 г. конструктор Шпагин усовершенствовал пулемет, и в 1939 г. он был принят на вооружение РККА под обозначением «12,7</w:t>
      </w:r>
      <w:r w:rsidRPr="00C33834">
        <w:rPr>
          <w:color w:val="000000" w:themeColor="text1"/>
          <w:sz w:val="16"/>
          <w:szCs w:val="16"/>
        </w:rPr>
        <w:noBreakHyphen/>
        <w:t>мм крупнокалиберный пулемет Дегтярева-Шпагина образца 1938 г. — ДШК».</w:t>
      </w:r>
    </w:p>
    <w:p w14:paraId="399B3175"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⁷* </w:t>
      </w:r>
      <w:r w:rsidRPr="00C33834">
        <w:rPr>
          <w:rStyle w:val="af0"/>
          <w:bCs/>
          <w:i w:val="0"/>
          <w:color w:val="000000" w:themeColor="text1"/>
          <w:sz w:val="16"/>
          <w:szCs w:val="16"/>
        </w:rPr>
        <w:t>Государственный банк (Госбанк)</w:t>
      </w:r>
      <w:r w:rsidRPr="00C33834">
        <w:rPr>
          <w:color w:val="000000" w:themeColor="text1"/>
          <w:sz w:val="16"/>
          <w:szCs w:val="16"/>
        </w:rPr>
        <w:t xml:space="preserve"> был учрежден постановлением четвертой сессии ВЦИК от 13 октября 1921 г. для реализации финансовой политики государства и создания единой кредитной системы. Государственный банк входил в состав Наркомата финансов СССР, но подчинялся не коллегии, а непосредственно наркому финансов, который осуществлял общий надзор за операциями и утверждал ежегодную смету расходов и годовой отчет банка. Управление банком возлагалось на его правление. В числе других отделов правления Госбанка был военно-морской, который ведал распределением средств в военный период через полевые казначейства военных соединений. В 1928 г. на Госбанк была возложена вся работа по исполнению единого государственного бюджета. В 1932 г. проводилась кредитная реформа. Вместо отдельных кредитных групп в центральном аппарате Госбанка были созданы отраслевые кредитные управления, в том числе, кредитования тяжелой и оборонной промышленности. До 1938 г. Госбанк находился в составе Наркомфина, а затем был подчинен непосредственно Совнаркому СССР на правах союзного наркомата. (СУ 1921, № 72, Ст. 594).</w:t>
      </w:r>
    </w:p>
    <w:p w14:paraId="11C53737"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 xml:space="preserve">⁸* 8 июля 1934 г. Сектором обороны Госплана СССР была представлена справка о </w:t>
      </w:r>
      <w:r w:rsidRPr="00C33834">
        <w:rPr>
          <w:rStyle w:val="af0"/>
          <w:bCs/>
          <w:i w:val="0"/>
          <w:color w:val="000000" w:themeColor="text1"/>
          <w:sz w:val="16"/>
          <w:szCs w:val="16"/>
        </w:rPr>
        <w:t>выполнении промышленностью постановления № 85сс</w:t>
      </w:r>
      <w:r w:rsidRPr="00C33834">
        <w:rPr>
          <w:color w:val="000000" w:themeColor="text1"/>
          <w:sz w:val="16"/>
          <w:szCs w:val="16"/>
        </w:rPr>
        <w:t>. В ней в частности говорилось, что в 1934 г. не будут готовы работать на полную мощность заводы «Новое Сормово», «Баррикады», Уралмашзавод, Ижевский завод, а также не обеспечены сроки окончания ввода в действие торпедного завода «Двигательстрой» и Сталинградского тракторного завода. Капиталовложения по гильзовым заводам недостаточны, а также незначительны ассигнования по строительству новых капсюльных заводов, заводов трассирующих патронов, нового завода оптических приборов для самолетов и танков и авиационных заводов, в связи с чем требуемые мощности по этим производствам в 1935 г. созданы не будут. Недостаточные капиталовложения в военно-химическое производство не позволят закончить в срок строительство новых комбинатов в Каменске, Алексино и Кемерово, законсервировано строительство завода пикриновой кислоты в Березниках. Строительства ряда химических комбинатов получили ассигнования только на проектирование и подготовительные работы. (РГАЭ. Ф. 4372. Оп. 91. Д. 2009. Л. 31</w:t>
      </w:r>
      <w:r w:rsidRPr="00C33834">
        <w:rPr>
          <w:color w:val="000000" w:themeColor="text1"/>
          <w:sz w:val="16"/>
          <w:szCs w:val="16"/>
        </w:rPr>
        <w:noBreakHyphen/>
        <w:t>30).</w:t>
      </w:r>
    </w:p>
    <w:p w14:paraId="55E3E70F"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ГА РФ. Ф. Р-8418. Оп. 28. Д. 2а. Л. 1-16. Подлинник (15279).</w:t>
      </w:r>
    </w:p>
    <w:p w14:paraId="23241F7D" w14:textId="77777777" w:rsidR="00B2303C" w:rsidRPr="00C33834" w:rsidRDefault="00B2303C" w:rsidP="00C33834">
      <w:pPr>
        <w:shd w:val="clear" w:color="auto" w:fill="FFFFFF"/>
        <w:spacing w:after="0" w:line="240" w:lineRule="auto"/>
        <w:jc w:val="both"/>
        <w:rPr>
          <w:rFonts w:ascii="Times New Roman" w:hAnsi="Times New Roman"/>
          <w:bCs/>
          <w:iCs/>
          <w:color w:val="000000" w:themeColor="text1"/>
          <w:sz w:val="16"/>
          <w:szCs w:val="16"/>
        </w:rPr>
      </w:pPr>
    </w:p>
    <w:p w14:paraId="40D23372" w14:textId="77777777" w:rsidR="006F2F8B" w:rsidRPr="00C33834" w:rsidRDefault="006F2F8B"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 xml:space="preserve">9 сентября СТО СССР утвердил предложения Орджоникидзе по развитию производственных мощностей для выпуска снарядов, патронов и авиационных бомб на 1934-1936 гг. (в этом отношении между Наркомтяжпромом и Госпланом разногласий не было, да и мобзаявке НКВМ на 1938 г. эти показатели прямо не противоречили). Тем же постановлением "Об обеспечении РККА вооружением на год ведения войны и капитальном строительстве Наркомтяжпрома" Совет Труда и </w:t>
      </w:r>
      <w:r w:rsidRPr="00C33834">
        <w:rPr>
          <w:rFonts w:ascii="Times New Roman" w:eastAsia="Times New Roman" w:hAnsi="Times New Roman"/>
          <w:color w:val="0070C0"/>
          <w:sz w:val="16"/>
          <w:szCs w:val="16"/>
          <w:lang w:eastAsia="ru-RU"/>
        </w:rPr>
        <w:lastRenderedPageBreak/>
        <w:t>Обороны прекратил действие плана мобилизации промышленности "МВ-10" (в 1931 г. он действовал наряду с "С-30", в 1932 г. - в качестве мобплана тяжелой промышленности) (22725).</w:t>
      </w:r>
    </w:p>
    <w:p w14:paraId="5B0C6398" w14:textId="77777777" w:rsidR="006F2F8B" w:rsidRPr="00C33834" w:rsidRDefault="006F2F8B" w:rsidP="00C33834">
      <w:pPr>
        <w:spacing w:after="0" w:line="240" w:lineRule="auto"/>
        <w:jc w:val="both"/>
        <w:rPr>
          <w:rFonts w:ascii="Times New Roman" w:hAnsi="Times New Roman"/>
          <w:color w:val="0070C0"/>
          <w:sz w:val="16"/>
          <w:szCs w:val="16"/>
        </w:rPr>
      </w:pPr>
    </w:p>
    <w:p w14:paraId="3BD8CD9C" w14:textId="77777777" w:rsidR="005A361E" w:rsidRPr="00C33834" w:rsidRDefault="005A361E"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bCs/>
          <w:iCs/>
          <w:color w:val="000000" w:themeColor="text1"/>
          <w:sz w:val="16"/>
          <w:szCs w:val="16"/>
        </w:rPr>
        <w:t>9 сентября 1933 г.</w:t>
      </w:r>
      <w:r w:rsidRPr="00C33834">
        <w:rPr>
          <w:rFonts w:ascii="Times New Roman" w:hAnsi="Times New Roman"/>
          <w:color w:val="000000" w:themeColor="text1"/>
          <w:sz w:val="16"/>
          <w:szCs w:val="16"/>
        </w:rPr>
        <w:t xml:space="preserve"> Постановление Совета Труда и Обороны СССР о развитии промышленности ОВ. Предусмотрено, что к 1 января 1936 г. в стране должны быть созданы мощности по выпуску ОВ в общем объеме 107600 тонн в год, в том числе: иприта — 79000 тонн, люизита — 500 тонн, фосгена — 16200 тонн, дифосгена — 3400 тонн, синильной кислоты — 2500 тонн, адамсита — 6000 тонн (17133).</w:t>
      </w:r>
    </w:p>
    <w:p w14:paraId="0754B34A" w14:textId="77777777" w:rsidR="005A361E" w:rsidRPr="00C33834" w:rsidRDefault="005A361E" w:rsidP="00C33834">
      <w:pPr>
        <w:shd w:val="clear" w:color="auto" w:fill="FFFFFF"/>
        <w:spacing w:after="0" w:line="240" w:lineRule="auto"/>
        <w:jc w:val="both"/>
        <w:rPr>
          <w:rFonts w:ascii="Times New Roman" w:hAnsi="Times New Roman"/>
          <w:color w:val="000000" w:themeColor="text1"/>
          <w:sz w:val="16"/>
          <w:szCs w:val="16"/>
        </w:rPr>
      </w:pPr>
    </w:p>
    <w:p w14:paraId="576EDAA6" w14:textId="77777777" w:rsidR="005A361E" w:rsidRPr="00C33834" w:rsidRDefault="005A361E" w:rsidP="00C33834">
      <w:pPr>
        <w:pStyle w:val="rtejustify"/>
        <w:spacing w:before="0" w:after="0"/>
        <w:rPr>
          <w:color w:val="000000" w:themeColor="text1"/>
          <w:sz w:val="16"/>
          <w:szCs w:val="16"/>
        </w:rPr>
      </w:pPr>
      <w:r w:rsidRPr="00C33834">
        <w:rPr>
          <w:rStyle w:val="af0"/>
          <w:i w:val="0"/>
          <w:color w:val="000000" w:themeColor="text1"/>
          <w:sz w:val="16"/>
          <w:szCs w:val="16"/>
        </w:rPr>
        <w:t xml:space="preserve">9 сентября 1933 г. </w:t>
      </w:r>
      <w:r w:rsidRPr="00C33834">
        <w:rPr>
          <w:color w:val="000000" w:themeColor="text1"/>
          <w:sz w:val="16"/>
          <w:szCs w:val="16"/>
        </w:rPr>
        <w:t>Доклад начальника Военно-морских сил РККА В. М. Орлова наркому по военным и морским делам СССР и председателю Реввоенсовета СССР К. Е. Ворошилову о состоянии строительства подводных лодок</w:t>
      </w:r>
    </w:p>
    <w:p w14:paraId="52C6F80E"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Докладываю, что положение с постройкой подводных лодок на всех заводах НКТП, несмотря на соответствующие решения правительства, продолжает оставаться по-прежнему неудовлетворительным. Из 39 подлежащих сдаче в 1933 г. подлодок на сегодня предъявлено к сдаточным испытаниям всего 8, причем до сих пор ни одна из этих подлодок не принята, вследствие ряда обнаруженных на испытаниях недостатков.</w:t>
      </w:r>
    </w:p>
    <w:p w14:paraId="3627248D"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А. Дальний Восток</w:t>
      </w:r>
    </w:p>
    <w:p w14:paraId="16B20B8B" w14:textId="77777777" w:rsidR="005A361E" w:rsidRPr="00C33834" w:rsidRDefault="005A361E" w:rsidP="00C33834">
      <w:pPr>
        <w:pStyle w:val="rtejustify"/>
        <w:spacing w:before="0" w:after="0"/>
        <w:rPr>
          <w:color w:val="000000" w:themeColor="text1"/>
          <w:sz w:val="16"/>
          <w:szCs w:val="16"/>
        </w:rPr>
      </w:pPr>
      <w:r w:rsidRPr="00C33834">
        <w:rPr>
          <w:rStyle w:val="af0"/>
          <w:bCs/>
          <w:i w:val="0"/>
          <w:color w:val="000000" w:themeColor="text1"/>
          <w:sz w:val="16"/>
          <w:szCs w:val="16"/>
        </w:rPr>
        <w:t>Подлодки типа «Карась»</w:t>
      </w:r>
      <w:r w:rsidRPr="00C33834">
        <w:rPr>
          <w:color w:val="000000" w:themeColor="text1"/>
          <w:sz w:val="16"/>
          <w:szCs w:val="16"/>
        </w:rPr>
        <w:t>¹*. Из 9 подлодок, которые должны быть сданы в этом году, пока предъявлено к приемным испытаниям только две (229 и 159).</w:t>
      </w:r>
    </w:p>
    <w:p w14:paraId="47719090"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Тов. Гамарником были 10 августа 1933 г. установлены следующие сроки сдачи шести подлодок, строящихся на Дальзаводе: первая (229) — до 1 сентября; вторая (159) — до 15 сентября; третья (160) — до 1 октября; четвертая (230) — до 15 октября; пятая (457) — до 1 ноября; шестая (458) — до 15 декабря. Однако срок сдачи первой подлодки уже не выдержан вследствие происшедшей аварии дизеля (поломка поршня, втулки цилиндра и мотылевых подшипников) при 24</w:t>
      </w:r>
      <w:r w:rsidRPr="00C33834">
        <w:rPr>
          <w:color w:val="000000" w:themeColor="text1"/>
          <w:sz w:val="16"/>
          <w:szCs w:val="16"/>
        </w:rPr>
        <w:noBreakHyphen/>
        <w:t>часовом испытании; подлодка прекратила сдаточные испытания в ожидании исправления дизелей. Не подлежит сомнению, что сроки, установленные т. Гамарником, не будут выдержаны Дальзаводом.</w:t>
      </w:r>
    </w:p>
    <w:p w14:paraId="6AC3BF93"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Подлодки «Осиповского затона» (должны быть сданы 4 подлодки к 15 сентября) находятся еще в более тяжелом положении — только одна подлодка (234) переведена во Владивосток, вторая (233) имеет готовность 82,5%, а третья и четвертая (232 и 231) — соответственно 42% и 24%. Совершенно ясно, что подлодки 232 и 231 не могут быть сданы в 1933 г. Кроме того испытания подлодок ДВ показали, что надводная скорость вряд ли будет получена более 12,5 узлов (вместо 14,5 по спецификации) и подводная скорость — около 8 узлов (вместо 9,5 узлов по спецификации). Наконец, на подлодках обнаружен крупный дефект в приводах горизонтальных рулей, которые на глубине свыше 60 м отказываются работать.</w:t>
      </w:r>
    </w:p>
    <w:p w14:paraId="72994D61" w14:textId="77777777" w:rsidR="005A361E" w:rsidRPr="00C33834" w:rsidRDefault="005A361E" w:rsidP="00C33834">
      <w:pPr>
        <w:pStyle w:val="rtejustify"/>
        <w:spacing w:before="0" w:after="0"/>
        <w:rPr>
          <w:color w:val="000000" w:themeColor="text1"/>
          <w:sz w:val="16"/>
          <w:szCs w:val="16"/>
        </w:rPr>
      </w:pPr>
      <w:r w:rsidRPr="00C33834">
        <w:rPr>
          <w:rStyle w:val="af0"/>
          <w:bCs/>
          <w:i w:val="0"/>
          <w:color w:val="000000" w:themeColor="text1"/>
          <w:sz w:val="16"/>
          <w:szCs w:val="16"/>
        </w:rPr>
        <w:t>Подлодки типа «М»</w:t>
      </w:r>
      <w:r w:rsidRPr="00C33834">
        <w:rPr>
          <w:color w:val="000000" w:themeColor="text1"/>
          <w:sz w:val="16"/>
          <w:szCs w:val="16"/>
        </w:rPr>
        <w:t>²*. Из 20 подлодок, которые должны быть сданы в этом году еще ни одной лодки не предъявлено к приемным испытаниям, в то время как по постановлению правительства от 2 апреля 1933 г. на 1 сентября должно быть уже сдано 7 подлодок³*.</w:t>
      </w:r>
    </w:p>
    <w:p w14:paraId="7E3A806A"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Заводские же испытания двух лодок (236 и 243) показали ряд крупных конструктивных дефектов — неудовлетворительность и громоздкость привода от главного и экономического электромотора к компрессору высокого давления, медленность продувания торпедо-залповой систерны, недопустимо тяжелый для открывания привод кингстона носовой балластной систерны, совершенно неудовлетворительный привод носовых горизонтальных рулей, плохая судовая и батарейная вентиляция и другие более мелкие недостатки. Скорость лодок как надводная, так и подводная выдержаны также не будут. Указанные выше недостатки столь серьезны, что они прямым образом влияют на боеспособность подлодки типа «М» и потому обязательно должны быть устранены до предъявления подлодок к сдаточным испытаниям.</w:t>
      </w:r>
    </w:p>
    <w:p w14:paraId="255D5E37"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Необходимо констатировать вялость и недостаточность мероприятий, предпринимаемых ГУСПом, несмотря на ряд настойчивых указаний У ВМС, для устранения обнаруженных на «Малютках» недостатков; более того, имеется стремление Николаевских государственных заводов дать первые подлодки со значительными дефектами с последующим их исправлением на ДВ. В связи с этим сроки сдачи «Малюток» затягиваются, и нельзя даже ориентировочно определить, когда и в каком количестве будет произведена сдача этих подлодок.</w:t>
      </w:r>
    </w:p>
    <w:p w14:paraId="09F439A1"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Б. Балтийское море</w:t>
      </w:r>
    </w:p>
    <w:p w14:paraId="79537A33" w14:textId="77777777" w:rsidR="005A361E" w:rsidRPr="00C33834" w:rsidRDefault="005A361E" w:rsidP="00C33834">
      <w:pPr>
        <w:pStyle w:val="rtejustify"/>
        <w:spacing w:before="0" w:after="0"/>
        <w:rPr>
          <w:color w:val="000000" w:themeColor="text1"/>
          <w:sz w:val="16"/>
          <w:szCs w:val="16"/>
        </w:rPr>
      </w:pPr>
      <w:r w:rsidRPr="00C33834">
        <w:rPr>
          <w:rStyle w:val="af0"/>
          <w:bCs/>
          <w:i w:val="0"/>
          <w:color w:val="000000" w:themeColor="text1"/>
          <w:sz w:val="16"/>
          <w:szCs w:val="16"/>
        </w:rPr>
        <w:t>Подлодки типа «Ленинец»</w:t>
      </w:r>
      <w:r w:rsidRPr="00C33834">
        <w:rPr>
          <w:color w:val="000000" w:themeColor="text1"/>
          <w:sz w:val="16"/>
          <w:szCs w:val="16"/>
        </w:rPr>
        <w:t>⁴*. Из 3 подлодок, которые должны быть сданы в этом году и предъявлены к сдаче согласно гарантийному письму начальника ГУСПа т. Кондратьева: первая — 15 мая 1933 г., вторая — 15 июня 1933 г. и третья — 25 июля 1933 г., до сих пор ни одной не сдано. Предъявлено к сдаточным испытаниям 2 лодки, из них последняя только 1 сентября 1932 г. Заводские испытания этих лодок показали ряд дефектов, из которых наиболее существенным является неотработанность системы пневматического открывания кингстонов балластных систерн — кингстоны открываются неодновременно, и поэтому необходимо держать у всех кингстонов людей.</w:t>
      </w:r>
    </w:p>
    <w:p w14:paraId="1283F6E2" w14:textId="77777777" w:rsidR="005A361E" w:rsidRPr="00C33834" w:rsidRDefault="005A361E" w:rsidP="00C33834">
      <w:pPr>
        <w:pStyle w:val="rtejustify"/>
        <w:spacing w:before="0" w:after="0"/>
        <w:rPr>
          <w:color w:val="000000" w:themeColor="text1"/>
          <w:sz w:val="16"/>
          <w:szCs w:val="16"/>
        </w:rPr>
      </w:pPr>
      <w:r w:rsidRPr="00C33834">
        <w:rPr>
          <w:rStyle w:val="af0"/>
          <w:bCs/>
          <w:i w:val="0"/>
          <w:color w:val="000000" w:themeColor="text1"/>
          <w:sz w:val="16"/>
          <w:szCs w:val="16"/>
        </w:rPr>
        <w:t>Подлодки типа «Щука»</w:t>
      </w:r>
      <w:r w:rsidRPr="00C33834">
        <w:rPr>
          <w:color w:val="000000" w:themeColor="text1"/>
          <w:sz w:val="16"/>
          <w:szCs w:val="16"/>
        </w:rPr>
        <w:t>⁵*. Из подлежащих сдаче в этом году 4 подлодок также ни одной не сдано и предъявлено к сдаточным испытаниям 2 подлодки, причем одна из них уже заканчивает испытания. Испытания этих лодок показали тот же дефект в приводах горизонтальных рулей, что и на подлодках типа «Карась» ДВ. Скорость надводного хода также не выдержана — 11,9 узлов вместо 13,75 по спецификации. Четвертая подлодка — «Комсомолец»⁶* в этом году сдана не будет, т. к. заводом «Красное Сормово» произведен монтаж исключительно скверно.</w:t>
      </w:r>
    </w:p>
    <w:p w14:paraId="6BA2F56B"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В. Черное море</w:t>
      </w:r>
    </w:p>
    <w:p w14:paraId="65AE0859" w14:textId="77777777" w:rsidR="005A361E" w:rsidRPr="00C33834" w:rsidRDefault="005A361E" w:rsidP="00C33834">
      <w:pPr>
        <w:pStyle w:val="rtejustify"/>
        <w:spacing w:before="0" w:after="0"/>
        <w:rPr>
          <w:color w:val="000000" w:themeColor="text1"/>
          <w:sz w:val="16"/>
          <w:szCs w:val="16"/>
        </w:rPr>
      </w:pPr>
      <w:r w:rsidRPr="00C33834">
        <w:rPr>
          <w:rStyle w:val="a7"/>
          <w:rFonts w:eastAsiaTheme="majorEastAsia"/>
          <w:b w:val="0"/>
          <w:iCs/>
          <w:color w:val="000000" w:themeColor="text1"/>
          <w:sz w:val="16"/>
          <w:szCs w:val="16"/>
        </w:rPr>
        <w:t>Подлодки типа «Гарибальдиец»</w:t>
      </w:r>
      <w:r w:rsidRPr="00C33834">
        <w:rPr>
          <w:color w:val="000000" w:themeColor="text1"/>
          <w:sz w:val="16"/>
          <w:szCs w:val="16"/>
        </w:rPr>
        <w:t>. Из трех подлодок, которые должны быть сданы в этом году, предъявлены к испытаниям 2 лодки, причем головная сдается с декабря 1932 г. и, вследствие ряда дефектов и отсутствия полагающегося ей технического снабжения и, в частности, запасных частей по дизелям и электрооборудованию, до сих пор еще не принята. Спецификационные скорости этих судов также не получены: надводная — 14 узлов вместо 14,7 узлов; подводная — 8,3 узлов вместо 9 узлов. Главными причинами подобного явно неудовлетворительного положения с постройкой подлодок надо считать:</w:t>
      </w:r>
    </w:p>
    <w:p w14:paraId="60832F8C"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1. Недостаточные усилия и внимание Народного комиссариата тяжелой промышленности, уделяемые строительству военных кораблей. Укрепление административно-хозяйственного и технического руководства заводов ГУСПа произведено крайне слабо, мобилизация 2 тыс. рабочих для верфей и судостроительных заводов, как это требует постановление правительства от 11 июля 1933 г.⁷*, не проведена; снабжение заводов ГУСПа материалами по-прежнему идет неудовлетворительно, проверка работы ГУСПа и его заводов, а также заводов-контрагентов отсутствует.</w:t>
      </w:r>
    </w:p>
    <w:p w14:paraId="23C3F94F"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2. Крайне плохая по качеству и некомплектная работа цехов судостроительных заводов, а также заводов-контрагентов, что особенно резко обнаруживается в процессе испытаний судов.</w:t>
      </w:r>
    </w:p>
    <w:p w14:paraId="3040114F"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3. Ряд конструктивных дефектов в новых устройствах и крайне вялые темпы изучения этих недостатков и их устранения.</w:t>
      </w:r>
    </w:p>
    <w:p w14:paraId="24E4D3BA"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В целях решительного содействия ускорению процесса сдачи судов, а также ввиду отсутствия у ГУСПа сдаточных экипажей, все командиры, инженеры-механики и весь личный состав подлодок на время производства испытаний как заводских, так и сдаточных, передан мною в распоряжение директоров соответствующих заводов. Участие личного состава в сдаточных испытаниях регламентировано согласованным с т. Кондратьевым и утвержденным мною 20 апреля 1933 г. «Положением о порядке участия личного состава подлодок в сдаточных испытаниях». Кроме того все наиболее квалифицированные инженеры-механики и краснофлотцы участвовали и участвуют в монтаже подлодок как инженеры и рабочие заводов.</w:t>
      </w:r>
    </w:p>
    <w:p w14:paraId="799B39BE"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Приемные комиссии и РВС морей получили ряд самых жестких указаний о недопущении требований каких-либо мелких переделок и улучшений, при одновременной тщательной проверке всех тактических элементов кораблей и при решительном повышении требовательности к качеству, в соответствии со спецификацией, всех предъявленных заводами к сдаче механизмов и устройств.</w:t>
      </w:r>
    </w:p>
    <w:p w14:paraId="5303308C"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Аппарат наблюдения за постройкой кораблей (Управление кораблестроения, комнабы), а также личный состав судов, принимают самое энергичное участие в выявлении всех конструктивных недостатков, в исследовании их причин и в разработке мер к их устранению. Однако усилия органов ВМС не могут восполнить крупнейших недостатков в организации и работе промышленности. По-видимому, без нового решительного нажима на НКТП военное судостроение еще долго будет оставаться в неудовлетворительном положении.</w:t>
      </w:r>
    </w:p>
    <w:p w14:paraId="3C6A54E2"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Докладываю при этом, что НКТП до сих пор не предпринял сколько-нибудь серьезных мероприятий по реализации постановления правительства о программе военного судостроения (от 11 июля 1933 г.), даже заказы на сталь для кораблей закладки 1933 г. до сих пор не размещены, и закладка 3 новых лидеров (все рабочие чертежи имеются), 4 тральщиков, а также 13 гидрографических судов находится под угрозой срыва.</w:t>
      </w:r>
    </w:p>
    <w:p w14:paraId="56473CC4"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Для обеспечения выполнения как программы сдачи кораблей в 1933 г., так и всей программы военного судостроения, необходимо:</w:t>
      </w:r>
    </w:p>
    <w:p w14:paraId="05F2FCCE"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1. Обязать наконец НКТП произвести в кратчайший срок решительную перестройку работы всех заводов ГУСПа, немедленно укрепив их административно-хозяйственное и техническое руководство наиболее сильными директорами и инженерами, а также выполнить решение правительства о мобилизации 2 тыс. рабочих для заводов ГУСПа Дальнего Востока.</w:t>
      </w:r>
    </w:p>
    <w:p w14:paraId="55D916E5"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2. Указать НКТП на безусловную необходимость предъявления к сдаточным испытаниям судов только вполне законченных и испытанных самими заводами со всеми запасными частями и техническим снаряжением.</w:t>
      </w:r>
    </w:p>
    <w:p w14:paraId="0450218B"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3. Подтвердить НКВМ (т. Орлову и т. Сивкову) не принимать от НКТП кораблей, не вполне укомплектованных и не имеющих всех положенных запчастей и техснабжения⁸*.</w:t>
      </w:r>
    </w:p>
    <w:p w14:paraId="11237684"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4. Предложить НКТП (т. Кондратьеву) в кратчайший срок произвести исправления всех обнаруженных в процессе испытаний на подлодках типа «М» дефектов и только после этого исправления предъявить подлодки к сдаче.</w:t>
      </w:r>
    </w:p>
    <w:p w14:paraId="18864F17"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5. В виде исключения допустить условную приемку: а) подлодки «Гарибальдиец» с обязательством НКТП устранить обнаруженные дефекты и подать запасные части и техснабжение в гарантийный период; б) подлодки «Щука» с обязательством устранить в зимний период после тщательного изучения вопроса неисправность в приводах горизонтальных рулей.</w:t>
      </w:r>
    </w:p>
    <w:p w14:paraId="7394F47A"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lastRenderedPageBreak/>
        <w:t>6. Предложить НКТП к 1 октября 1933 г. доложить правительству о принятых им мероприятиях по реализации постановления СТО от 11 июля 1933 г. «О программе военно-морского судостроения».</w:t>
      </w:r>
    </w:p>
    <w:p w14:paraId="3473E555"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7. Предложить НКТП немедленно уточнить план (и форсировать его выполнение) заводских и сдаточных испытаний подлодок и прочих военных кораблей по плану заказов 1933 г.</w:t>
      </w:r>
    </w:p>
    <w:p w14:paraId="5D31AED7" w14:textId="77777777" w:rsidR="005A361E" w:rsidRPr="00C33834" w:rsidRDefault="005A361E" w:rsidP="00C33834">
      <w:pPr>
        <w:pStyle w:val="ae"/>
        <w:spacing w:before="0" w:after="0"/>
        <w:jc w:val="both"/>
        <w:rPr>
          <w:color w:val="000000" w:themeColor="text1"/>
          <w:sz w:val="16"/>
          <w:szCs w:val="16"/>
        </w:rPr>
      </w:pPr>
      <w:r w:rsidRPr="00C33834">
        <w:rPr>
          <w:rStyle w:val="af0"/>
          <w:i w:val="0"/>
          <w:color w:val="000000" w:themeColor="text1"/>
          <w:sz w:val="16"/>
          <w:szCs w:val="16"/>
        </w:rPr>
        <w:t>Начальник Военно-морских сил РККА Орлов</w:t>
      </w:r>
    </w:p>
    <w:p w14:paraId="560D5A73" w14:textId="77777777" w:rsidR="005A361E" w:rsidRPr="00C33834" w:rsidRDefault="005A361E"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Примечания</w:t>
      </w:r>
      <w:r w:rsidRPr="00C33834">
        <w:rPr>
          <w:color w:val="000000" w:themeColor="text1"/>
          <w:sz w:val="16"/>
          <w:szCs w:val="16"/>
        </w:rPr>
        <w:t>:</w:t>
      </w:r>
    </w:p>
    <w:p w14:paraId="5953E0A4"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¹* </w:t>
      </w:r>
      <w:r w:rsidRPr="00C33834">
        <w:rPr>
          <w:rStyle w:val="af0"/>
          <w:bCs/>
          <w:i w:val="0"/>
          <w:color w:val="000000" w:themeColor="text1"/>
          <w:sz w:val="16"/>
          <w:szCs w:val="16"/>
        </w:rPr>
        <w:t>Подводные лодки типа «Карась»</w:t>
      </w:r>
      <w:r w:rsidRPr="00C33834">
        <w:rPr>
          <w:color w:val="000000" w:themeColor="text1"/>
          <w:sz w:val="16"/>
          <w:szCs w:val="16"/>
        </w:rPr>
        <w:t xml:space="preserve"> являлись улучшенным продолжением проекта III серии типа «Щука» (УВМС присвоило этим лодкам обозначение «Щука</w:t>
      </w:r>
      <w:r w:rsidRPr="00C33834">
        <w:rPr>
          <w:color w:val="000000" w:themeColor="text1"/>
          <w:sz w:val="16"/>
          <w:szCs w:val="16"/>
        </w:rPr>
        <w:noBreakHyphen/>
        <w:t>А») и впоследствии были отнесены к V серии. Всего УВМС РККА планировало в декабре 1931 г. для срочной постройки 12 лодок для Дальнего Востока. Главным исполнителем этого срочного заказа стал Балтийский завод, где техническое бюро № 4 (позднее ЦКБС</w:t>
      </w:r>
      <w:r w:rsidRPr="00C33834">
        <w:rPr>
          <w:color w:val="000000" w:themeColor="text1"/>
          <w:sz w:val="16"/>
          <w:szCs w:val="16"/>
        </w:rPr>
        <w:noBreakHyphen/>
        <w:t>2) составило общий проект лодок. Головная лодка «Карась» (позднее «Лосось», с 1934 г. — ГЦ</w:t>
      </w:r>
      <w:r w:rsidRPr="00C33834">
        <w:rPr>
          <w:color w:val="000000" w:themeColor="text1"/>
          <w:sz w:val="16"/>
          <w:szCs w:val="16"/>
        </w:rPr>
        <w:noBreakHyphen/>
        <w:t>101) была заложена 20 марта 1932 г. Почти одновременно заложили и остальные одиннадцать. Корпуса лодок по железной дороге доставлялись из Ленинграда на Дальний Восток. Сборка осуществлялась на Дальзаводе во Владивостоке и в «Осиповском затоне» (Хабаровск). Спущенный на воду 25 декабря 1932 г., «Лосось» («Карась») вступил в строй Морских сил Дальнего Востока в сентябре 1933 г. Через год — в сентябре 1934 г. — флотом была принята последняя лодка V серии.</w:t>
      </w:r>
    </w:p>
    <w:p w14:paraId="01DDDEE1"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 xml:space="preserve">²* Работа по созданию </w:t>
      </w:r>
      <w:r w:rsidRPr="00C33834">
        <w:rPr>
          <w:rStyle w:val="af0"/>
          <w:bCs/>
          <w:i w:val="0"/>
          <w:color w:val="000000" w:themeColor="text1"/>
          <w:sz w:val="16"/>
          <w:szCs w:val="16"/>
        </w:rPr>
        <w:t>малых подводных лодок («М»)</w:t>
      </w:r>
      <w:r w:rsidRPr="00C33834">
        <w:rPr>
          <w:color w:val="000000" w:themeColor="text1"/>
          <w:sz w:val="16"/>
          <w:szCs w:val="16"/>
        </w:rPr>
        <w:t xml:space="preserve"> для условий Балтийского моря была начата по инициативе Морского управления Штаба РККА в мае 1930 г. Эскизный проект разработало Техбюро № 4 под руководством А. Н. Асафова, и 20 марта он был утвержден в РВС СССР. Постройка лодок, а также составление общего проекта лодки VI серии были возложены на Николаевский завод им. А. Марти. Одновременно строительство шло на заводе им. «61 коммунара». По окончании постройки 28 лодок были частично разгружены, на специальных железнодорожных транспортерах доставлены во Владивосток, спущены на воду и введены в строй. Первые две «Малютки» М</w:t>
      </w:r>
      <w:r w:rsidRPr="00C33834">
        <w:rPr>
          <w:color w:val="000000" w:themeColor="text1"/>
          <w:sz w:val="16"/>
          <w:szCs w:val="16"/>
        </w:rPr>
        <w:noBreakHyphen/>
        <w:t>1 и М</w:t>
      </w:r>
      <w:r w:rsidRPr="00C33834">
        <w:rPr>
          <w:color w:val="000000" w:themeColor="text1"/>
          <w:sz w:val="16"/>
          <w:szCs w:val="16"/>
        </w:rPr>
        <w:noBreakHyphen/>
        <w:t>2 вступили в состав Морских сил Дальнего Востока в конце апреля 1934 г., последняя (М</w:t>
      </w:r>
      <w:r w:rsidRPr="00C33834">
        <w:rPr>
          <w:color w:val="000000" w:themeColor="text1"/>
          <w:sz w:val="16"/>
          <w:szCs w:val="16"/>
        </w:rPr>
        <w:noBreakHyphen/>
        <w:t>28) — в августе 1935 г., М</w:t>
      </w:r>
      <w:r w:rsidRPr="00C33834">
        <w:rPr>
          <w:color w:val="000000" w:themeColor="text1"/>
          <w:sz w:val="16"/>
          <w:szCs w:val="16"/>
        </w:rPr>
        <w:noBreakHyphen/>
        <w:t>51 и М</w:t>
      </w:r>
      <w:r w:rsidRPr="00C33834">
        <w:rPr>
          <w:color w:val="000000" w:themeColor="text1"/>
          <w:sz w:val="16"/>
          <w:szCs w:val="16"/>
        </w:rPr>
        <w:noBreakHyphen/>
        <w:t>52 — в сентябре 1934 г. пополнили Морские силы Черного моря. Испытания первых «Малюток» VI серии выявили серьезные конструктивные недостатки, но, несмотря на недостатки проекта, в августе 1933 г. было принято решение о продолжении постройки «Малюток» по улучшенному варианту, получившему название М1</w:t>
      </w:r>
      <w:r w:rsidRPr="00C33834">
        <w:rPr>
          <w:color w:val="000000" w:themeColor="text1"/>
          <w:sz w:val="16"/>
          <w:szCs w:val="16"/>
        </w:rPr>
        <w:noBreakHyphen/>
        <w:t>бис серия. Эти лодки, строившиеся уже после смерти Асафова в марте 1934 — октябре 1936 г., стали первыми подводными кораблями отечественного флота с цельносварными прочными корпусами. Всего в этой серии было построено 10 лодок.</w:t>
      </w:r>
    </w:p>
    <w:p w14:paraId="37BC1569"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³* Постановление СТО СССР № 13сс/о «О выполнении заказов на 30 малых подлодок». (ГА РФ. Ф. Р</w:t>
      </w:r>
      <w:r w:rsidRPr="00C33834">
        <w:rPr>
          <w:color w:val="000000" w:themeColor="text1"/>
          <w:sz w:val="16"/>
          <w:szCs w:val="16"/>
        </w:rPr>
        <w:noBreakHyphen/>
        <w:t>8418. Оп. 28. Д. 1. Л. 97</w:t>
      </w:r>
      <w:r w:rsidRPr="00C33834">
        <w:rPr>
          <w:color w:val="000000" w:themeColor="text1"/>
          <w:sz w:val="16"/>
          <w:szCs w:val="16"/>
        </w:rPr>
        <w:noBreakHyphen/>
        <w:t>98).</w:t>
      </w:r>
    </w:p>
    <w:p w14:paraId="458E356A"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⁴* Технический проект лодок II серии разрабатывался в Техбюро № 4 под руководством Б. М. Малинина в 1928</w:t>
      </w:r>
      <w:r w:rsidRPr="00C33834">
        <w:rPr>
          <w:color w:val="000000" w:themeColor="text1"/>
          <w:sz w:val="16"/>
          <w:szCs w:val="16"/>
        </w:rPr>
        <w:noBreakHyphen/>
        <w:t>1929 гг. Первые три лодки II серии — «</w:t>
      </w:r>
      <w:r w:rsidRPr="00C33834">
        <w:rPr>
          <w:rStyle w:val="af0"/>
          <w:bCs/>
          <w:i w:val="0"/>
          <w:color w:val="000000" w:themeColor="text1"/>
          <w:sz w:val="16"/>
          <w:szCs w:val="16"/>
        </w:rPr>
        <w:t>Ленинец» (Л-1)</w:t>
      </w:r>
      <w:r w:rsidRPr="00C33834">
        <w:rPr>
          <w:color w:val="000000" w:themeColor="text1"/>
          <w:sz w:val="16"/>
          <w:szCs w:val="16"/>
        </w:rPr>
        <w:t xml:space="preserve">, «Марксист» (с 1931 г. — «Сталинец») и «Большевик» (с 1931 г. — «Фрунзовец») — были заложены на Балтийском заводе 6 сентября 1929 г. В марте-апреле следующего года на заводе им. А. Марти заложили однотипные «Гарибальдиец», «Чартист» и </w:t>
      </w:r>
      <w:r w:rsidRPr="00C33834">
        <w:rPr>
          <w:rStyle w:val="af0"/>
          <w:bCs/>
          <w:i w:val="0"/>
          <w:color w:val="000000" w:themeColor="text1"/>
          <w:sz w:val="16"/>
          <w:szCs w:val="16"/>
        </w:rPr>
        <w:t>«Карбонарий»</w:t>
      </w:r>
      <w:r w:rsidRPr="00C33834">
        <w:rPr>
          <w:color w:val="000000" w:themeColor="text1"/>
          <w:sz w:val="16"/>
          <w:szCs w:val="16"/>
        </w:rPr>
        <w:t>), Головная лодка «Ленинец» была спущена на воду 28 февраля 1931 г. и вступила в строй 22 октября 1933 г. Параллельно с ней строилась и вся серия. На создание пяти лодок было затрачено около 50 месяцев. Впервые в отечественном кораблестроении лодки типа «Ленинец» получили стальные торпедные аппараты вместо прежних бронзовых. Однако создать предусмотренную заданием систему беспузырной торпедной стрельбы для них не удалось. К недостаткам лодок II серии относились длительное погружение, большая шумность механизмов, скорость погрузки торпед. Наибольшие нарекания моряков вызывали низкие качества элементов аккумуляторных батарей и плохая система вентиляции ям. Опыт этих аварий был учтен и система вентиляции и устройство аккумуляторных ям лодок типа «Ленинец» были усовершенствованы. Усовершенствованный проект «Ленинца» был реализован при постройке шести больших подводных лодок для Дальнего Востока. Эти лодки первоначально были отнесены к II</w:t>
      </w:r>
      <w:r w:rsidRPr="00C33834">
        <w:rPr>
          <w:color w:val="000000" w:themeColor="text1"/>
          <w:sz w:val="16"/>
          <w:szCs w:val="16"/>
        </w:rPr>
        <w:noBreakHyphen/>
        <w:t>бис, а затем к XI серии. «Ворошиловец», «Дзержинец» и «Кировец», заложенные в апреле-июне 1934 г., строились ударными темпами на Балтийском заводе, а собирались и сдавались на Дальзаводе во Владивостоке. Они вступили в строй в конце 1936 г. «Менжинец» строился на заводе им. А. Марти в Николаеве и был закончен на Дальзаводе в декабре 1937 г. Заложенные с ним одновременно (июнь 1934 г.) николаевскими корабелами Л</w:t>
      </w:r>
      <w:r w:rsidRPr="00C33834">
        <w:rPr>
          <w:color w:val="000000" w:themeColor="text1"/>
          <w:sz w:val="16"/>
          <w:szCs w:val="16"/>
        </w:rPr>
        <w:noBreakHyphen/>
        <w:t>11 и Л</w:t>
      </w:r>
      <w:r w:rsidRPr="00C33834">
        <w:rPr>
          <w:color w:val="000000" w:themeColor="text1"/>
          <w:sz w:val="16"/>
          <w:szCs w:val="16"/>
        </w:rPr>
        <w:noBreakHyphen/>
        <w:t>12 были собраны на еще строящейся Амурской верфи в Комсомольске-на-Амуре и вступили в строй в конце 1938 г.</w:t>
      </w:r>
    </w:p>
    <w:p w14:paraId="7BA3ECEF"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 xml:space="preserve">⁵* Разработка </w:t>
      </w:r>
      <w:r w:rsidRPr="00C33834">
        <w:rPr>
          <w:rStyle w:val="af0"/>
          <w:bCs/>
          <w:i w:val="0"/>
          <w:color w:val="000000" w:themeColor="text1"/>
          <w:sz w:val="16"/>
          <w:szCs w:val="16"/>
        </w:rPr>
        <w:t>подводных лодок типа «Щука»</w:t>
      </w:r>
      <w:r w:rsidRPr="00C33834">
        <w:rPr>
          <w:color w:val="000000" w:themeColor="text1"/>
          <w:sz w:val="16"/>
          <w:szCs w:val="16"/>
        </w:rPr>
        <w:t>, была начата в 1928 г. в Научно-техническом бюро под руководством А. Н. Гарсоева и Б. М. Малинина. Последний вариант проекта был утвержден Реввоенсоветом в 1930 г. Головная лодка «Щука», давшая наименование всей серии, была отнесена к средним подводным лодкам. Она была спущена на воду в декабре 1930 г. и вступила в строй в октябре 1933 г. Разработка средних подводных лодок была продолжена в проекте «Щука</w:t>
      </w:r>
      <w:r w:rsidRPr="00C33834">
        <w:rPr>
          <w:color w:val="000000" w:themeColor="text1"/>
          <w:sz w:val="16"/>
          <w:szCs w:val="16"/>
        </w:rPr>
        <w:noBreakHyphen/>
        <w:t>Б», отнесенного к VII, а потом к V</w:t>
      </w:r>
      <w:r w:rsidRPr="00C33834">
        <w:rPr>
          <w:color w:val="000000" w:themeColor="text1"/>
          <w:sz w:val="16"/>
          <w:szCs w:val="16"/>
        </w:rPr>
        <w:noBreakHyphen/>
        <w:t>бис сериям с устранением в ней недостатков. По нему построили 14 подводных лодок. Головная — «Стерлядь» — была заложена на Ленинградском заводе им. Марти 10 октября 1932 г., собрана на Дальзаводе и вступила в строй морских сил Дальнего Востока в январе 1935 г. Строительство шло также на Балтийском заводе и Дальзаводе. Всего до марта 1935 г. в состав морских сил Дальнего Востока поступили восемь подводных лодок V</w:t>
      </w:r>
      <w:r w:rsidRPr="00C33834">
        <w:rPr>
          <w:color w:val="000000" w:themeColor="text1"/>
          <w:sz w:val="16"/>
          <w:szCs w:val="16"/>
        </w:rPr>
        <w:noBreakHyphen/>
        <w:t>бис серии. Четыре лодки V</w:t>
      </w:r>
      <w:r w:rsidRPr="00C33834">
        <w:rPr>
          <w:color w:val="000000" w:themeColor="text1"/>
          <w:sz w:val="16"/>
          <w:szCs w:val="16"/>
        </w:rPr>
        <w:noBreakHyphen/>
        <w:t>бис серии были построены для морских сил Черного моря на заводе им. Марти в Ленинграде со сборкой на заводе им. «61 коммунара» (г. Николаев). Последняя лодка этой серии вступила в строй в декабре 1935 г. Одновременно с разработкой общего проекта V</w:t>
      </w:r>
      <w:r w:rsidRPr="00C33834">
        <w:rPr>
          <w:color w:val="000000" w:themeColor="text1"/>
          <w:sz w:val="16"/>
          <w:szCs w:val="16"/>
        </w:rPr>
        <w:noBreakHyphen/>
        <w:t>бис серии ЦКБС</w:t>
      </w:r>
      <w:r w:rsidRPr="00C33834">
        <w:rPr>
          <w:color w:val="000000" w:themeColor="text1"/>
          <w:sz w:val="16"/>
          <w:szCs w:val="16"/>
        </w:rPr>
        <w:noBreakHyphen/>
        <w:t>2 разработало улучшенный проект средней лодки VIII серии (позже V</w:t>
      </w:r>
      <w:r w:rsidRPr="00C33834">
        <w:rPr>
          <w:color w:val="000000" w:themeColor="text1"/>
          <w:sz w:val="16"/>
          <w:szCs w:val="16"/>
        </w:rPr>
        <w:noBreakHyphen/>
        <w:t>бис II серии) по заданию на «Щуку</w:t>
      </w:r>
      <w:r w:rsidRPr="00C33834">
        <w:rPr>
          <w:color w:val="000000" w:themeColor="text1"/>
          <w:sz w:val="16"/>
          <w:szCs w:val="16"/>
        </w:rPr>
        <w:noBreakHyphen/>
        <w:t>Б». Головная лодка этой серии «Треска» была заложена на Балтийском заводе 6 ноября 1933 г., спущена на воду 1 августа 1934 г. Строительство велось также на заводе «Красное Сормово». Последняя лодка, предназначенная для тихоокеанского флота, вступила в строй в ноябре 1935 г., а последняя черноморская — в декабре 1936 г. В ходе эксплуатации подводные лодки типа «Щука» всех серий (43 лодки) показали себя достаточно надежными кораблями.</w:t>
      </w:r>
    </w:p>
    <w:p w14:paraId="5AC58D53"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 xml:space="preserve">⁶* Подводная лодка </w:t>
      </w:r>
      <w:r w:rsidRPr="00C33834">
        <w:rPr>
          <w:rStyle w:val="af0"/>
          <w:bCs/>
          <w:i w:val="0"/>
          <w:color w:val="000000" w:themeColor="text1"/>
          <w:sz w:val="16"/>
          <w:szCs w:val="16"/>
        </w:rPr>
        <w:t>«Комсомолец»(Щ-304)</w:t>
      </w:r>
      <w:r w:rsidRPr="00C33834">
        <w:rPr>
          <w:color w:val="000000" w:themeColor="text1"/>
          <w:sz w:val="16"/>
          <w:szCs w:val="16"/>
        </w:rPr>
        <w:t> — четвертая лодка серии «Щука» была заложена 23 февраля 1930 г. на заводе «Красное Сормово». После спуска на воду корпус «Комсомольца» в плавучем доке был доставлен из Горького в Ленинград по внутренним водным путям. Лодка достраивалась на Балтийском заводе и вступила в строй в августе 1934 г. Опыт создания лодки, впоследствии пригодился при серийной постройке подводных лодок в Горьком.</w:t>
      </w:r>
    </w:p>
    <w:p w14:paraId="67CB96C5"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 xml:space="preserve">⁷* Cм. документ от 11 июля 1933 г. — </w:t>
      </w:r>
      <w:hyperlink r:id="rId318" w:history="1">
        <w:r w:rsidRPr="00C33834">
          <w:rPr>
            <w:rStyle w:val="a5"/>
            <w:color w:val="000000" w:themeColor="text1"/>
            <w:sz w:val="16"/>
            <w:szCs w:val="16"/>
          </w:rPr>
          <w:t>Постановление СТО СССР № 58сс/о «О программе военно-морского судостроения на 1933</w:t>
        </w:r>
        <w:r w:rsidRPr="00C33834">
          <w:rPr>
            <w:rStyle w:val="a5"/>
            <w:color w:val="000000" w:themeColor="text1"/>
            <w:sz w:val="16"/>
            <w:szCs w:val="16"/>
          </w:rPr>
          <w:noBreakHyphen/>
          <w:t>1938 гг.»</w:t>
        </w:r>
      </w:hyperlink>
    </w:p>
    <w:p w14:paraId="0863F9CF" w14:textId="77777777" w:rsidR="005A361E" w:rsidRPr="00C33834" w:rsidRDefault="005A361E" w:rsidP="00C33834">
      <w:pPr>
        <w:pStyle w:val="rtejustify"/>
        <w:spacing w:before="0" w:after="0"/>
        <w:rPr>
          <w:color w:val="000000" w:themeColor="text1"/>
          <w:sz w:val="16"/>
          <w:szCs w:val="16"/>
        </w:rPr>
      </w:pPr>
      <w:r w:rsidRPr="00C33834">
        <w:rPr>
          <w:color w:val="000000" w:themeColor="text1"/>
          <w:sz w:val="16"/>
          <w:szCs w:val="16"/>
        </w:rPr>
        <w:t>⁸* На странице поверх текста рукописные пометы К. Е. Ворошилова — к п. 3: «Совершенно правильно. В. 15 сентября 1933 г.»; к пункту 4: «Правильно. В»; к пункту 5: «На это можно пойти, но только под личную ответственность начальника ВМС т. Орлова. В. 15 сентября 1933 г.»; к пункту 6: «Поставить на КО теперь же. В. 15 сентября.»</w:t>
      </w:r>
    </w:p>
    <w:p w14:paraId="7E731F6F" w14:textId="77777777" w:rsidR="005A361E" w:rsidRPr="00C33834" w:rsidRDefault="005A361E" w:rsidP="00C33834">
      <w:pPr>
        <w:pStyle w:val="ae"/>
        <w:spacing w:before="0" w:after="0"/>
        <w:jc w:val="both"/>
        <w:rPr>
          <w:color w:val="000000" w:themeColor="text1"/>
          <w:sz w:val="16"/>
          <w:szCs w:val="16"/>
        </w:rPr>
      </w:pPr>
      <w:r w:rsidRPr="00C33834">
        <w:rPr>
          <w:color w:val="000000" w:themeColor="text1"/>
          <w:sz w:val="16"/>
          <w:szCs w:val="16"/>
        </w:rPr>
        <w:t>РГАВМФ. Ф. 441. Оп. 11. Д. 12. Л. 230-237. Подлинник (15280).</w:t>
      </w:r>
    </w:p>
    <w:p w14:paraId="2189F018" w14:textId="77777777" w:rsidR="005A361E" w:rsidRPr="00C33834" w:rsidRDefault="005A361E" w:rsidP="00C33834">
      <w:pPr>
        <w:spacing w:after="0" w:line="240" w:lineRule="auto"/>
        <w:jc w:val="both"/>
        <w:rPr>
          <w:rFonts w:ascii="Times New Roman" w:hAnsi="Times New Roman"/>
          <w:iCs/>
          <w:color w:val="000000" w:themeColor="text1"/>
          <w:sz w:val="16"/>
          <w:szCs w:val="16"/>
        </w:rPr>
      </w:pPr>
    </w:p>
    <w:p w14:paraId="43CC8B7B" w14:textId="77777777" w:rsidR="005A361E" w:rsidRPr="00C33834" w:rsidRDefault="005A361E" w:rsidP="00C33834">
      <w:pPr>
        <w:pStyle w:val="620"/>
        <w:shd w:val="clear" w:color="auto" w:fill="auto"/>
        <w:spacing w:before="0" w:line="240" w:lineRule="auto"/>
        <w:rPr>
          <w:rStyle w:val="67"/>
          <w:color w:val="000000" w:themeColor="text1"/>
          <w:sz w:val="16"/>
          <w:szCs w:val="16"/>
        </w:rPr>
      </w:pPr>
      <w:r w:rsidRPr="00C33834">
        <w:rPr>
          <w:rStyle w:val="Bodytext2"/>
          <w:color w:val="000000" w:themeColor="text1"/>
          <w:sz w:val="16"/>
          <w:szCs w:val="16"/>
        </w:rPr>
        <w:t xml:space="preserve">9 сентября 1933 г. </w:t>
      </w:r>
      <w:r w:rsidRPr="00C33834">
        <w:rPr>
          <w:rStyle w:val="Heading3"/>
          <w:color w:val="000000" w:themeColor="text1"/>
          <w:sz w:val="16"/>
          <w:szCs w:val="16"/>
        </w:rPr>
        <w:t>Доклад начальника Военно-морских сил РККА В. М. Орлова наркому по военным и морским делам СССР и председателю Реввоенсовета СССР К. Е. Ворошилову о состоянии строительства подводных лодок</w:t>
      </w:r>
    </w:p>
    <w:p w14:paraId="190FC175" w14:textId="77777777" w:rsidR="005A361E" w:rsidRPr="00C33834" w:rsidRDefault="005A361E" w:rsidP="00C33834">
      <w:pPr>
        <w:pStyle w:val="620"/>
        <w:shd w:val="clear" w:color="auto" w:fill="auto"/>
        <w:spacing w:before="0" w:line="240" w:lineRule="auto"/>
        <w:rPr>
          <w:color w:val="000000" w:themeColor="text1"/>
          <w:sz w:val="16"/>
          <w:szCs w:val="16"/>
        </w:rPr>
      </w:pPr>
      <w:r w:rsidRPr="00C33834">
        <w:rPr>
          <w:rStyle w:val="67"/>
          <w:color w:val="000000" w:themeColor="text1"/>
          <w:sz w:val="16"/>
          <w:szCs w:val="16"/>
        </w:rPr>
        <w:t>Докладываю, что положение с постройкой подводных лодок на всех заводах НКТП, несмотря на соответствующие решения правительства, продолжает оставаться по-прежнему неудовлетворительным. Из 39 подлежащих сдаче в 1933 г. подлодок на сегодня предъявлено к сдаточным испытаниям всего 8, причем до сих пор ни одна из этих подлодок не принята вследствие ряда обнаруженных на испытаниях недостатков.</w:t>
      </w:r>
    </w:p>
    <w:p w14:paraId="0C7D5BD5" w14:textId="77777777" w:rsidR="005A361E" w:rsidRPr="00C33834" w:rsidRDefault="005A361E" w:rsidP="00C33834">
      <w:pPr>
        <w:pStyle w:val="620"/>
        <w:shd w:val="clear" w:color="auto" w:fill="auto"/>
        <w:spacing w:before="0" w:line="240" w:lineRule="auto"/>
        <w:rPr>
          <w:rStyle w:val="BodytextItalic"/>
          <w:i w:val="0"/>
          <w:color w:val="000000" w:themeColor="text1"/>
          <w:sz w:val="16"/>
          <w:szCs w:val="16"/>
        </w:rPr>
      </w:pPr>
      <w:bookmarkStart w:id="49" w:name="bookmark7"/>
      <w:r w:rsidRPr="00C33834">
        <w:rPr>
          <w:rStyle w:val="Heading4"/>
          <w:color w:val="000000" w:themeColor="text1"/>
          <w:sz w:val="16"/>
          <w:szCs w:val="16"/>
        </w:rPr>
        <w:t>А. Дальний Восток</w:t>
      </w:r>
      <w:bookmarkEnd w:id="49"/>
    </w:p>
    <w:p w14:paraId="4038A1F1" w14:textId="77777777" w:rsidR="005A361E" w:rsidRPr="00C33834" w:rsidRDefault="005A361E" w:rsidP="00C33834">
      <w:pPr>
        <w:pStyle w:val="620"/>
        <w:shd w:val="clear" w:color="auto" w:fill="auto"/>
        <w:spacing w:before="0" w:line="240" w:lineRule="auto"/>
        <w:rPr>
          <w:color w:val="000000" w:themeColor="text1"/>
          <w:sz w:val="16"/>
          <w:szCs w:val="16"/>
        </w:rPr>
      </w:pPr>
      <w:r w:rsidRPr="00C33834">
        <w:rPr>
          <w:rStyle w:val="BodytextItalic"/>
          <w:i w:val="0"/>
          <w:color w:val="000000" w:themeColor="text1"/>
          <w:sz w:val="16"/>
          <w:szCs w:val="16"/>
        </w:rPr>
        <w:t>Подлодки типа «Карась».</w:t>
      </w:r>
      <w:r w:rsidRPr="00C33834">
        <w:rPr>
          <w:rStyle w:val="67"/>
          <w:color w:val="000000" w:themeColor="text1"/>
          <w:sz w:val="16"/>
          <w:szCs w:val="16"/>
        </w:rPr>
        <w:t xml:space="preserve"> Из 9 подлодок, которые должны быть сданы в этом году, пока предъявлено к приемным испытаниям только две (229 и 159).</w:t>
      </w:r>
    </w:p>
    <w:p w14:paraId="57A970CB" w14:textId="77777777" w:rsidR="005A361E" w:rsidRPr="00C33834" w:rsidRDefault="005A361E" w:rsidP="00C33834">
      <w:pPr>
        <w:pStyle w:val="620"/>
        <w:shd w:val="clear" w:color="auto" w:fill="auto"/>
        <w:spacing w:before="0" w:line="240" w:lineRule="auto"/>
        <w:rPr>
          <w:color w:val="000000" w:themeColor="text1"/>
          <w:sz w:val="16"/>
          <w:szCs w:val="16"/>
        </w:rPr>
      </w:pPr>
      <w:r w:rsidRPr="00C33834">
        <w:rPr>
          <w:rStyle w:val="67"/>
          <w:color w:val="000000" w:themeColor="text1"/>
          <w:sz w:val="16"/>
          <w:szCs w:val="16"/>
        </w:rPr>
        <w:t>Тов. Гамарником были 10 августа 1933 г. установлены следующие сроки сдачи шести подлодок, строящихся на Дальзаводе: первая (229) — до 1 сентября; вторая (159) — до 15 сентября; третья (160) — до 1 октября; четвертая (230) — до 15 октября; пятая (457) — до 1 ноября; шестая (458) — до 15 декабря. Однако срок сдачи первой подлодки уже не выдержан вследствие происшедшей аварии дизеля (поломка поршня, втулки цилиндра и мотылевых подшипников) при 24-часовом испытании; подлодка прекратила сдаточные испытания в ожидании исправления дизелей. Не подлежит сомнению, что сроки, установленные т. Га</w:t>
      </w:r>
      <w:r w:rsidRPr="00C33834">
        <w:rPr>
          <w:rStyle w:val="67"/>
          <w:color w:val="000000" w:themeColor="text1"/>
          <w:sz w:val="16"/>
          <w:szCs w:val="16"/>
        </w:rPr>
        <w:softHyphen/>
        <w:t>марником, не будут выдержаны Дальзаводом.</w:t>
      </w:r>
    </w:p>
    <w:p w14:paraId="1A58F836" w14:textId="77777777" w:rsidR="005A361E" w:rsidRPr="00C33834" w:rsidRDefault="005A361E" w:rsidP="00C33834">
      <w:pPr>
        <w:pStyle w:val="620"/>
        <w:shd w:val="clear" w:color="auto" w:fill="auto"/>
        <w:spacing w:before="0" w:line="240" w:lineRule="auto"/>
        <w:rPr>
          <w:color w:val="000000" w:themeColor="text1"/>
          <w:sz w:val="16"/>
          <w:szCs w:val="16"/>
        </w:rPr>
      </w:pPr>
      <w:r w:rsidRPr="00C33834">
        <w:rPr>
          <w:rStyle w:val="67"/>
          <w:color w:val="000000" w:themeColor="text1"/>
          <w:sz w:val="16"/>
          <w:szCs w:val="16"/>
        </w:rPr>
        <w:t>Подлодки Осиповского затона (должны быть сданы 4 подлодки к 15 сентября) находятся еще в более тяжелом положении — только одна подлодка (234) переведена во Владивосток, вторая (233) имеет готовность 82,5%, а третья и четвертая (232 и 231) — соответственно 42% и 24%. Совершенно ясно, что подлодки 232 и 231 не могут быть сданы в 1933 г. Кроме того, испытания подлодок ДВ показали, что надводная скорость вряд ли будет получена более 12,5 узлов (вместо 14,5 по спецификации) и подводная скорость — около 8 узлов (вместо 9,5 узлов по спецификации). Наконец, на подлодках обнаружен крупный дефект в приводах горизонтальных рулей, которые на глубине свыше 60 м отказываются работать.</w:t>
      </w:r>
    </w:p>
    <w:p w14:paraId="6236E8A3" w14:textId="77777777" w:rsidR="005A361E" w:rsidRPr="00C33834" w:rsidRDefault="005A361E" w:rsidP="00C33834">
      <w:pPr>
        <w:pStyle w:val="620"/>
        <w:shd w:val="clear" w:color="auto" w:fill="auto"/>
        <w:spacing w:before="0" w:line="240" w:lineRule="auto"/>
        <w:rPr>
          <w:color w:val="000000" w:themeColor="text1"/>
          <w:sz w:val="16"/>
          <w:szCs w:val="16"/>
        </w:rPr>
      </w:pPr>
      <w:r w:rsidRPr="00C33834">
        <w:rPr>
          <w:rStyle w:val="BodytextItalic"/>
          <w:i w:val="0"/>
          <w:color w:val="000000" w:themeColor="text1"/>
          <w:sz w:val="16"/>
          <w:szCs w:val="16"/>
        </w:rPr>
        <w:t>Подлодки типа «М».</w:t>
      </w:r>
      <w:r w:rsidRPr="00C33834">
        <w:rPr>
          <w:rStyle w:val="67"/>
          <w:color w:val="000000" w:themeColor="text1"/>
          <w:sz w:val="16"/>
          <w:szCs w:val="16"/>
        </w:rPr>
        <w:t xml:space="preserve"> Из 20 подлодок, которые должны быть сданы в этом году, еще ни одной лодки не предъявлено к приемным испытаниям, в то время как по постановлению правительства от 2 апреля 1933 г. на 1 сентября должно быть уже сдано 7 подлодок.</w:t>
      </w:r>
    </w:p>
    <w:p w14:paraId="6F8797D1" w14:textId="77777777" w:rsidR="005A361E" w:rsidRPr="00C33834" w:rsidRDefault="005A361E" w:rsidP="00C33834">
      <w:pPr>
        <w:pStyle w:val="620"/>
        <w:shd w:val="clear" w:color="auto" w:fill="auto"/>
        <w:spacing w:before="0" w:line="240" w:lineRule="auto"/>
        <w:rPr>
          <w:color w:val="000000" w:themeColor="text1"/>
          <w:sz w:val="16"/>
          <w:szCs w:val="16"/>
        </w:rPr>
      </w:pPr>
      <w:r w:rsidRPr="00C33834">
        <w:rPr>
          <w:rStyle w:val="67"/>
          <w:color w:val="000000" w:themeColor="text1"/>
          <w:sz w:val="16"/>
          <w:szCs w:val="16"/>
        </w:rPr>
        <w:t>Заводские же испытания двух лодок (236 и 243) показали ряд крупных конструктивных дефектов — неудовлетворительность и громоздкость привода от главного и экономиче</w:t>
      </w:r>
      <w:r w:rsidRPr="00C33834">
        <w:rPr>
          <w:rStyle w:val="67"/>
          <w:color w:val="000000" w:themeColor="text1"/>
          <w:sz w:val="16"/>
          <w:szCs w:val="16"/>
        </w:rPr>
        <w:softHyphen/>
        <w:t>ского электромотора к компрессору высокого давления, медленность продувания торпе</w:t>
      </w:r>
      <w:r w:rsidRPr="00C33834">
        <w:rPr>
          <w:rStyle w:val="67"/>
          <w:color w:val="000000" w:themeColor="text1"/>
          <w:sz w:val="16"/>
          <w:szCs w:val="16"/>
        </w:rPr>
        <w:softHyphen/>
        <w:t>до-залповой систерны, недопустимо тяжелый для открывания привод кингстона носовой балластной систерны, совершенно неудовлетворительный привод носовых горизонтальных рулей, плохая судовая и батарейная вентиляция и другие, более мелкие недостатки. Ско</w:t>
      </w:r>
      <w:r w:rsidRPr="00C33834">
        <w:rPr>
          <w:rStyle w:val="67"/>
          <w:color w:val="000000" w:themeColor="text1"/>
          <w:sz w:val="16"/>
          <w:szCs w:val="16"/>
        </w:rPr>
        <w:softHyphen/>
        <w:t>рость лодок как надводная, так и подводная выдержаны также не будут. Указанные выше недостатки столь серьезны, что они прямым образом влияют на боеспособность подлодки типа «М» и потому обязательно должны быть устранены до предъявления подлодок к сда</w:t>
      </w:r>
      <w:r w:rsidRPr="00C33834">
        <w:rPr>
          <w:rStyle w:val="67"/>
          <w:color w:val="000000" w:themeColor="text1"/>
          <w:sz w:val="16"/>
          <w:szCs w:val="16"/>
        </w:rPr>
        <w:softHyphen/>
        <w:t>точным испытаниям.</w:t>
      </w:r>
    </w:p>
    <w:p w14:paraId="3FD82EA1" w14:textId="77777777" w:rsidR="005A361E" w:rsidRPr="00C33834" w:rsidRDefault="005A361E" w:rsidP="00C33834">
      <w:pPr>
        <w:pStyle w:val="620"/>
        <w:shd w:val="clear" w:color="auto" w:fill="auto"/>
        <w:spacing w:before="0" w:line="240" w:lineRule="auto"/>
        <w:rPr>
          <w:color w:val="000000" w:themeColor="text1"/>
          <w:sz w:val="16"/>
          <w:szCs w:val="16"/>
        </w:rPr>
      </w:pPr>
      <w:r w:rsidRPr="00C33834">
        <w:rPr>
          <w:color w:val="000000" w:themeColor="text1"/>
          <w:sz w:val="16"/>
          <w:szCs w:val="16"/>
        </w:rPr>
        <w:t>Необходимо констатировать вялость и недостаточность мероприятий, предпринимаемых ГУСПом, несмотря на ряд настойчивых указаний УВМС, для устранения обнаруженных на «Малютках» недостатков; более того, имеется стремление Николаевских государственных заводов дать первые подлодки со значительными дефектами с последующим их исправлением на ДВ. В связи с этим сроки сдачи «Малюток» затягиваются, и нельзя даже ориентировочно определить, когда и в каком количестве будет произведена сдача этих подлодок.</w:t>
      </w:r>
    </w:p>
    <w:p w14:paraId="63819A26" w14:textId="77777777" w:rsidR="005A361E" w:rsidRPr="00C33834" w:rsidRDefault="005A361E" w:rsidP="00C33834">
      <w:pPr>
        <w:pStyle w:val="620"/>
        <w:shd w:val="clear" w:color="auto" w:fill="auto"/>
        <w:spacing w:before="0" w:line="240" w:lineRule="auto"/>
        <w:rPr>
          <w:rStyle w:val="BodytextItalic"/>
          <w:i w:val="0"/>
          <w:color w:val="000000" w:themeColor="text1"/>
          <w:sz w:val="16"/>
          <w:szCs w:val="16"/>
        </w:rPr>
      </w:pPr>
      <w:r w:rsidRPr="00C33834">
        <w:rPr>
          <w:rStyle w:val="Heading4"/>
          <w:color w:val="000000" w:themeColor="text1"/>
          <w:sz w:val="16"/>
          <w:szCs w:val="16"/>
        </w:rPr>
        <w:lastRenderedPageBreak/>
        <w:t>Б. Балтийское море</w:t>
      </w:r>
    </w:p>
    <w:p w14:paraId="7E037E77" w14:textId="77777777" w:rsidR="005A361E" w:rsidRPr="00C33834" w:rsidRDefault="005A361E" w:rsidP="00C33834">
      <w:pPr>
        <w:pStyle w:val="620"/>
        <w:shd w:val="clear" w:color="auto" w:fill="auto"/>
        <w:spacing w:before="0" w:line="240" w:lineRule="auto"/>
        <w:rPr>
          <w:color w:val="000000" w:themeColor="text1"/>
          <w:sz w:val="16"/>
          <w:szCs w:val="16"/>
        </w:rPr>
      </w:pPr>
      <w:r w:rsidRPr="00C33834">
        <w:rPr>
          <w:rStyle w:val="BodytextItalic"/>
          <w:i w:val="0"/>
          <w:color w:val="000000" w:themeColor="text1"/>
          <w:sz w:val="16"/>
          <w:szCs w:val="16"/>
        </w:rPr>
        <w:t>Подлодки типа «Ленинец».</w:t>
      </w:r>
      <w:r w:rsidRPr="00C33834">
        <w:rPr>
          <w:color w:val="000000" w:themeColor="text1"/>
          <w:sz w:val="16"/>
          <w:szCs w:val="16"/>
        </w:rPr>
        <w:t xml:space="preserve"> Из 3 подлодок, которые должны быть сданы в этом году и предъявлены к сдаче согласно гарантийному письму начальника ГУСПа т. Кондратьева: первая — 15 мая 1933 г., вторая — 15 июня 1933 г. и третья — 25 июля 1933 г., до сих пор ни одной не сдано. Предъявлено к сдаточным испытаниям 2 лодки, из них последняя только 1 сентября 1932 г. Заводские испытания этих лодок показали ряд дефектов, из которых наи</w:t>
      </w:r>
      <w:r w:rsidRPr="00C33834">
        <w:rPr>
          <w:color w:val="000000" w:themeColor="text1"/>
          <w:sz w:val="16"/>
          <w:szCs w:val="16"/>
        </w:rPr>
        <w:softHyphen/>
        <w:t>более существенным является неотработанность системы пневматического открывания кингстонов балластных систерн — кингстоны открываются не одновременно, и поэтому необходимо держать у всех кингстонов людей.</w:t>
      </w:r>
    </w:p>
    <w:p w14:paraId="67179330" w14:textId="77777777" w:rsidR="005A361E" w:rsidRPr="00C33834" w:rsidRDefault="005A361E" w:rsidP="00C33834">
      <w:pPr>
        <w:pStyle w:val="620"/>
        <w:shd w:val="clear" w:color="auto" w:fill="auto"/>
        <w:spacing w:before="0" w:line="240" w:lineRule="auto"/>
        <w:rPr>
          <w:color w:val="000000" w:themeColor="text1"/>
          <w:sz w:val="16"/>
          <w:szCs w:val="16"/>
        </w:rPr>
      </w:pPr>
      <w:r w:rsidRPr="00C33834">
        <w:rPr>
          <w:rStyle w:val="BodytextItalic"/>
          <w:i w:val="0"/>
          <w:color w:val="000000" w:themeColor="text1"/>
          <w:sz w:val="16"/>
          <w:szCs w:val="16"/>
        </w:rPr>
        <w:t>Подлодки типа «Щука».</w:t>
      </w:r>
      <w:r w:rsidRPr="00C33834">
        <w:rPr>
          <w:color w:val="000000" w:themeColor="text1"/>
          <w:sz w:val="16"/>
          <w:szCs w:val="16"/>
        </w:rPr>
        <w:t xml:space="preserve"> Из подлежащих сдаче в этом году 4 подлодок также ни одной не сдано и предъявлено к сдаточным испытаниям 2 подлодки, причем одна из них уже заканчивает испытания. Испытания этих лодок показали тот же дефект в приводах гори</w:t>
      </w:r>
      <w:r w:rsidRPr="00C33834">
        <w:rPr>
          <w:color w:val="000000" w:themeColor="text1"/>
          <w:sz w:val="16"/>
          <w:szCs w:val="16"/>
        </w:rPr>
        <w:softHyphen/>
        <w:t>зонтальных рулей, что и на подлодках типа «Карась» ДВ. Скорость надводного хода также не выдержана — 11,9 узлов вместо 13,75 по спецификации. Четвертая подлодка — «Комсо</w:t>
      </w:r>
      <w:r w:rsidRPr="00C33834">
        <w:rPr>
          <w:color w:val="000000" w:themeColor="text1"/>
          <w:sz w:val="16"/>
          <w:szCs w:val="16"/>
        </w:rPr>
        <w:softHyphen/>
        <w:t>молец» в этом году сдана не будет, так как заводом «Красное Сормово» произведен монтаж исключительно скверно.</w:t>
      </w:r>
    </w:p>
    <w:p w14:paraId="0E76914D" w14:textId="77777777" w:rsidR="005A361E" w:rsidRPr="00C33834" w:rsidRDefault="005A361E" w:rsidP="00C33834">
      <w:pPr>
        <w:pStyle w:val="620"/>
        <w:shd w:val="clear" w:color="auto" w:fill="auto"/>
        <w:spacing w:before="0" w:line="240" w:lineRule="auto"/>
        <w:rPr>
          <w:rStyle w:val="BodytextItalic"/>
          <w:i w:val="0"/>
          <w:color w:val="000000" w:themeColor="text1"/>
          <w:sz w:val="16"/>
          <w:szCs w:val="16"/>
        </w:rPr>
      </w:pPr>
      <w:bookmarkStart w:id="50" w:name="bookmark9"/>
      <w:r w:rsidRPr="00C33834">
        <w:rPr>
          <w:rStyle w:val="Heading4"/>
          <w:color w:val="000000" w:themeColor="text1"/>
          <w:sz w:val="16"/>
          <w:szCs w:val="16"/>
        </w:rPr>
        <w:t>В. Черное море</w:t>
      </w:r>
      <w:bookmarkEnd w:id="50"/>
    </w:p>
    <w:p w14:paraId="75B0E9EC" w14:textId="77777777" w:rsidR="005A361E" w:rsidRPr="00C33834" w:rsidRDefault="005A361E" w:rsidP="00C33834">
      <w:pPr>
        <w:pStyle w:val="620"/>
        <w:shd w:val="clear" w:color="auto" w:fill="auto"/>
        <w:spacing w:before="0" w:line="240" w:lineRule="auto"/>
        <w:rPr>
          <w:color w:val="000000" w:themeColor="text1"/>
          <w:sz w:val="16"/>
          <w:szCs w:val="16"/>
        </w:rPr>
      </w:pPr>
      <w:r w:rsidRPr="00C33834">
        <w:rPr>
          <w:rStyle w:val="BodytextItalic"/>
          <w:i w:val="0"/>
          <w:color w:val="000000" w:themeColor="text1"/>
          <w:sz w:val="16"/>
          <w:szCs w:val="16"/>
        </w:rPr>
        <w:t>Подлодки типа «Гарибальдиец».</w:t>
      </w:r>
      <w:r w:rsidRPr="00C33834">
        <w:rPr>
          <w:color w:val="000000" w:themeColor="text1"/>
          <w:sz w:val="16"/>
          <w:szCs w:val="16"/>
        </w:rPr>
        <w:t xml:space="preserve"> Из трех подлодок, которые должны быть сданы в этом году, предъявлены к испытаниям 2 лодки, причем головная сдается с декабря 1932 г. и вследствие ряда дефектов и отсутствия полагающегося ей технического снабжения, в частности запасных частей по дизелям и электрооборудованию, до сих пор еще не принята. Спецификационные скорости этих судов также не получены: надводная — 14 узлов вместо 14,7 узлов; подвод</w:t>
      </w:r>
      <w:r w:rsidRPr="00C33834">
        <w:rPr>
          <w:color w:val="000000" w:themeColor="text1"/>
          <w:sz w:val="16"/>
          <w:szCs w:val="16"/>
        </w:rPr>
        <w:softHyphen/>
        <w:t>ная — 8,3 узлов вместо 9 узлов. Главными причинами подобного явно неудовлетворительного положения с постройкой подлодок надо считать:</w:t>
      </w:r>
    </w:p>
    <w:p w14:paraId="1F0AF05B" w14:textId="77777777" w:rsidR="005A361E" w:rsidRPr="00C33834" w:rsidRDefault="005A361E" w:rsidP="00C33834">
      <w:pPr>
        <w:pStyle w:val="620"/>
        <w:shd w:val="clear" w:color="auto" w:fill="auto"/>
        <w:tabs>
          <w:tab w:val="left" w:pos="634"/>
        </w:tabs>
        <w:spacing w:before="0" w:line="240" w:lineRule="auto"/>
        <w:rPr>
          <w:color w:val="000000" w:themeColor="text1"/>
          <w:sz w:val="16"/>
          <w:szCs w:val="16"/>
        </w:rPr>
      </w:pPr>
      <w:r w:rsidRPr="00C33834">
        <w:rPr>
          <w:color w:val="000000" w:themeColor="text1"/>
          <w:sz w:val="16"/>
          <w:szCs w:val="16"/>
        </w:rPr>
        <w:t>1. Недостаточные усилия и внимание Народного комиссариата тяжелой промышленно</w:t>
      </w:r>
      <w:r w:rsidRPr="00C33834">
        <w:rPr>
          <w:color w:val="000000" w:themeColor="text1"/>
          <w:sz w:val="16"/>
          <w:szCs w:val="16"/>
        </w:rPr>
        <w:softHyphen/>
        <w:t>сти, уделяемые строительству военных кораблей. Укрепление административно-хозяйствен</w:t>
      </w:r>
      <w:r w:rsidRPr="00C33834">
        <w:rPr>
          <w:color w:val="000000" w:themeColor="text1"/>
          <w:sz w:val="16"/>
          <w:szCs w:val="16"/>
        </w:rPr>
        <w:softHyphen/>
        <w:t>ного и технического руководства заводов ГУСПа произведено крайне слабо, мобилизация 2 тыс. рабочих для верфей и судостроительных заводов, как это требует постановление правительства от 11 июля 1933 г., не проведена; снабжение заводов ГУСПа материалами по-прежнему идет неудовлетворительно, проверка работы ГУСПа и его заводов, а также заводов-контрагентов отсутствует.</w:t>
      </w:r>
    </w:p>
    <w:p w14:paraId="01B3A303" w14:textId="77777777" w:rsidR="005A361E" w:rsidRPr="00C33834" w:rsidRDefault="005A361E" w:rsidP="00C33834">
      <w:pPr>
        <w:pStyle w:val="620"/>
        <w:shd w:val="clear" w:color="auto" w:fill="auto"/>
        <w:tabs>
          <w:tab w:val="left" w:pos="634"/>
        </w:tabs>
        <w:spacing w:before="0" w:line="240" w:lineRule="auto"/>
        <w:rPr>
          <w:color w:val="000000" w:themeColor="text1"/>
          <w:sz w:val="16"/>
          <w:szCs w:val="16"/>
        </w:rPr>
      </w:pPr>
      <w:r w:rsidRPr="00C33834">
        <w:rPr>
          <w:color w:val="000000" w:themeColor="text1"/>
          <w:sz w:val="16"/>
          <w:szCs w:val="16"/>
        </w:rPr>
        <w:t>2. Крайне плохая по качеству и некомплектная работа цехов судостроительных заводов, а также заводов-контрагентов, что особенно резко обнаруживается в процессе испытаний судов.</w:t>
      </w:r>
    </w:p>
    <w:p w14:paraId="6381564C" w14:textId="77777777" w:rsidR="005A361E" w:rsidRPr="00C33834" w:rsidRDefault="005A361E" w:rsidP="00C33834">
      <w:pPr>
        <w:pStyle w:val="620"/>
        <w:shd w:val="clear" w:color="auto" w:fill="auto"/>
        <w:spacing w:before="0" w:line="240" w:lineRule="auto"/>
        <w:rPr>
          <w:color w:val="000000" w:themeColor="text1"/>
          <w:sz w:val="16"/>
          <w:szCs w:val="16"/>
        </w:rPr>
      </w:pPr>
      <w:r w:rsidRPr="00C33834">
        <w:rPr>
          <w:color w:val="000000" w:themeColor="text1"/>
          <w:sz w:val="16"/>
          <w:szCs w:val="16"/>
        </w:rPr>
        <w:t>3. Ряд конструктивных дефектов в новых устройствах и крайне вялые темпы изучения этих недостатков и их устранения.</w:t>
      </w:r>
    </w:p>
    <w:p w14:paraId="73D881E4" w14:textId="77777777" w:rsidR="005A361E" w:rsidRPr="00C33834" w:rsidRDefault="005A361E" w:rsidP="00C33834">
      <w:pPr>
        <w:pStyle w:val="620"/>
        <w:shd w:val="clear" w:color="auto" w:fill="auto"/>
        <w:spacing w:before="0" w:line="240" w:lineRule="auto"/>
        <w:rPr>
          <w:color w:val="000000" w:themeColor="text1"/>
          <w:sz w:val="16"/>
          <w:szCs w:val="16"/>
        </w:rPr>
      </w:pPr>
      <w:r w:rsidRPr="00C33834">
        <w:rPr>
          <w:color w:val="000000" w:themeColor="text1"/>
          <w:sz w:val="16"/>
          <w:szCs w:val="16"/>
        </w:rPr>
        <w:t>В целях решительного содействия ускорению процесса сдачи судов, а также ввиду отсутствия у ГУСПа сдаточных экипажей, все командиры, инженеры-механики и весь личный состав подлодок на время производства испытаний как заводских, так и сдаточных переданы мною в распоряжение директоров соответствующих заводов. Участие личного состава в сдаточных испытаниях регламентировано согласованным с т. Кондратьевым и утвержденным мною 20 апреля 1933 г. «Положением о порядке участия личного состава подлодок в сдаточных испытаниях». Кроме того, все наиболее квалифицированные инжене</w:t>
      </w:r>
      <w:r w:rsidRPr="00C33834">
        <w:rPr>
          <w:color w:val="000000" w:themeColor="text1"/>
          <w:sz w:val="16"/>
          <w:szCs w:val="16"/>
        </w:rPr>
        <w:softHyphen/>
        <w:t>ры-механики и краснофлотцы участвовали и участвуют в монтаже подлодок как инженеры и рабочие заводов.</w:t>
      </w:r>
    </w:p>
    <w:p w14:paraId="53FC0854" w14:textId="77777777" w:rsidR="005A361E" w:rsidRPr="00C33834" w:rsidRDefault="005A361E" w:rsidP="00C33834">
      <w:pPr>
        <w:pStyle w:val="620"/>
        <w:shd w:val="clear" w:color="auto" w:fill="auto"/>
        <w:spacing w:before="0" w:line="240" w:lineRule="auto"/>
        <w:rPr>
          <w:color w:val="000000" w:themeColor="text1"/>
          <w:sz w:val="16"/>
          <w:szCs w:val="16"/>
        </w:rPr>
      </w:pPr>
      <w:r w:rsidRPr="00C33834">
        <w:rPr>
          <w:color w:val="000000" w:themeColor="text1"/>
          <w:sz w:val="16"/>
          <w:szCs w:val="16"/>
        </w:rPr>
        <w:t>Приемные комиссии и РВС морей получили ряд самых жестких указаний о недопущении требований каких-либо мелких переделок и улучшений при одновременной тщательной проверке всех тактических элементов кораблей и при решительном повышении требова</w:t>
      </w:r>
      <w:r w:rsidRPr="00C33834">
        <w:rPr>
          <w:color w:val="000000" w:themeColor="text1"/>
          <w:sz w:val="16"/>
          <w:szCs w:val="16"/>
        </w:rPr>
        <w:softHyphen/>
        <w:t>тельности к качеству, в соответствии со спецификацией, всех предъявленных заводами к сдаче механизмов и устройств.</w:t>
      </w:r>
    </w:p>
    <w:p w14:paraId="06D86C24" w14:textId="77777777" w:rsidR="005A361E" w:rsidRPr="00C33834" w:rsidRDefault="005A361E" w:rsidP="00C33834">
      <w:pPr>
        <w:pStyle w:val="620"/>
        <w:shd w:val="clear" w:color="auto" w:fill="auto"/>
        <w:spacing w:before="0" w:line="240" w:lineRule="auto"/>
        <w:rPr>
          <w:color w:val="000000" w:themeColor="text1"/>
          <w:sz w:val="16"/>
          <w:szCs w:val="16"/>
        </w:rPr>
      </w:pPr>
      <w:r w:rsidRPr="00C33834">
        <w:rPr>
          <w:color w:val="000000" w:themeColor="text1"/>
          <w:sz w:val="16"/>
          <w:szCs w:val="16"/>
        </w:rPr>
        <w:t>Аппарат наблюдения за постройкой кораблей (Управление кораблестроения, комнабы), а также личный состав судов принимают самое энергичное участие в выявлении всех кон</w:t>
      </w:r>
      <w:r w:rsidRPr="00C33834">
        <w:rPr>
          <w:color w:val="000000" w:themeColor="text1"/>
          <w:sz w:val="16"/>
          <w:szCs w:val="16"/>
        </w:rPr>
        <w:softHyphen/>
        <w:t>структивных недостатков, в исследовании их причин и в разработке мер к их устранению. Однако усилия органов ВМС не могут восполнить крупнейших недостатков в организации и работе промышленности. По-видимому, без нового решительного нажима на НКТП военное судостроение еще долго будет оставаться в неудовлетворительном положении.</w:t>
      </w:r>
    </w:p>
    <w:p w14:paraId="37B94A97" w14:textId="77777777" w:rsidR="005A361E" w:rsidRPr="00C33834" w:rsidRDefault="005A361E" w:rsidP="00C33834">
      <w:pPr>
        <w:pStyle w:val="620"/>
        <w:shd w:val="clear" w:color="auto" w:fill="auto"/>
        <w:spacing w:before="0" w:line="240" w:lineRule="auto"/>
        <w:rPr>
          <w:color w:val="000000" w:themeColor="text1"/>
          <w:sz w:val="16"/>
          <w:szCs w:val="16"/>
        </w:rPr>
      </w:pPr>
      <w:r w:rsidRPr="00C33834">
        <w:rPr>
          <w:color w:val="000000" w:themeColor="text1"/>
          <w:sz w:val="16"/>
          <w:szCs w:val="16"/>
        </w:rPr>
        <w:t>Докладываю при этом, что НКТП до сих пор не предпринял сколько-нибудь серьезных мероприятий по реализации постановления правительства о программе военного судостро</w:t>
      </w:r>
      <w:r w:rsidRPr="00C33834">
        <w:rPr>
          <w:color w:val="000000" w:themeColor="text1"/>
          <w:sz w:val="16"/>
          <w:szCs w:val="16"/>
        </w:rPr>
        <w:softHyphen/>
        <w:t>ения (от 11 июля 1933 г.), даже заказы на сталь для кораблей закладки 1933 г. до сих пор не размещены, и закладка 3 новых лидеров (все рабочие чертежи имеются), 4 тральщиков, а также 13 гидрографических судов находится под угрозой срыва.</w:t>
      </w:r>
    </w:p>
    <w:p w14:paraId="5A6F4E75" w14:textId="77777777" w:rsidR="005A361E" w:rsidRPr="00C33834" w:rsidRDefault="005A361E" w:rsidP="00C33834">
      <w:pPr>
        <w:pStyle w:val="620"/>
        <w:shd w:val="clear" w:color="auto" w:fill="auto"/>
        <w:spacing w:before="0" w:line="240" w:lineRule="auto"/>
        <w:rPr>
          <w:color w:val="000000" w:themeColor="text1"/>
          <w:sz w:val="16"/>
          <w:szCs w:val="16"/>
        </w:rPr>
      </w:pPr>
      <w:r w:rsidRPr="00C33834">
        <w:rPr>
          <w:color w:val="000000" w:themeColor="text1"/>
          <w:sz w:val="16"/>
          <w:szCs w:val="16"/>
        </w:rPr>
        <w:t>Для обеспечения выполнения как программы сдачи кораблей в 1933 г., так и всей про</w:t>
      </w:r>
      <w:r w:rsidRPr="00C33834">
        <w:rPr>
          <w:color w:val="000000" w:themeColor="text1"/>
          <w:sz w:val="16"/>
          <w:szCs w:val="16"/>
        </w:rPr>
        <w:softHyphen/>
        <w:t>граммы военного судостроения необходимо:</w:t>
      </w:r>
    </w:p>
    <w:p w14:paraId="7B21C2E8" w14:textId="77777777" w:rsidR="005A361E" w:rsidRPr="00C33834" w:rsidRDefault="005A361E" w:rsidP="00C33834">
      <w:pPr>
        <w:pStyle w:val="620"/>
        <w:shd w:val="clear" w:color="auto" w:fill="auto"/>
        <w:tabs>
          <w:tab w:val="left" w:pos="619"/>
        </w:tabs>
        <w:spacing w:before="0" w:line="240" w:lineRule="auto"/>
        <w:rPr>
          <w:color w:val="000000" w:themeColor="text1"/>
          <w:sz w:val="16"/>
          <w:szCs w:val="16"/>
        </w:rPr>
      </w:pPr>
      <w:r w:rsidRPr="00C33834">
        <w:rPr>
          <w:color w:val="000000" w:themeColor="text1"/>
          <w:sz w:val="16"/>
          <w:szCs w:val="16"/>
        </w:rPr>
        <w:t>1. Обязать, наконец, НКТП произвести в кратчайший срок решительную перестройку работы всех заводов ГУСПа, немедленно укрепив их административно-хозяйственное и техническое руководство наиболее сильными директорами и инженерами, а также выпол</w:t>
      </w:r>
      <w:r w:rsidRPr="00C33834">
        <w:rPr>
          <w:color w:val="000000" w:themeColor="text1"/>
          <w:sz w:val="16"/>
          <w:szCs w:val="16"/>
        </w:rPr>
        <w:softHyphen/>
        <w:t>нить решение правительства о мобилизации 2 тыс. рабочих для заводов ГУСПа Дальнего Востока.</w:t>
      </w:r>
    </w:p>
    <w:p w14:paraId="593F2768" w14:textId="77777777" w:rsidR="005A361E" w:rsidRPr="00C33834" w:rsidRDefault="005A361E" w:rsidP="00C33834">
      <w:pPr>
        <w:pStyle w:val="620"/>
        <w:shd w:val="clear" w:color="auto" w:fill="auto"/>
        <w:tabs>
          <w:tab w:val="left" w:pos="605"/>
        </w:tabs>
        <w:spacing w:before="0" w:line="240" w:lineRule="auto"/>
        <w:rPr>
          <w:color w:val="000000" w:themeColor="text1"/>
          <w:sz w:val="16"/>
          <w:szCs w:val="16"/>
        </w:rPr>
      </w:pPr>
      <w:r w:rsidRPr="00C33834">
        <w:rPr>
          <w:color w:val="000000" w:themeColor="text1"/>
          <w:sz w:val="16"/>
          <w:szCs w:val="16"/>
        </w:rPr>
        <w:t>2. Указать НКТП на безусловную необходимость предъявления к сдаточным испытани</w:t>
      </w:r>
      <w:r w:rsidRPr="00C33834">
        <w:rPr>
          <w:color w:val="000000" w:themeColor="text1"/>
          <w:sz w:val="16"/>
          <w:szCs w:val="16"/>
        </w:rPr>
        <w:softHyphen/>
        <w:t>ям судов только вполне законченных и испытанных самими заводами со всеми запасными частями и техническим снаряжением.</w:t>
      </w:r>
    </w:p>
    <w:p w14:paraId="66D794A0" w14:textId="77777777" w:rsidR="005A361E" w:rsidRPr="00C33834" w:rsidRDefault="005A361E" w:rsidP="00C33834">
      <w:pPr>
        <w:pStyle w:val="620"/>
        <w:shd w:val="clear" w:color="auto" w:fill="auto"/>
        <w:tabs>
          <w:tab w:val="left" w:pos="643"/>
        </w:tabs>
        <w:spacing w:before="0" w:line="240" w:lineRule="auto"/>
        <w:rPr>
          <w:color w:val="000000" w:themeColor="text1"/>
          <w:sz w:val="16"/>
          <w:szCs w:val="16"/>
        </w:rPr>
      </w:pPr>
      <w:r w:rsidRPr="00C33834">
        <w:rPr>
          <w:color w:val="000000" w:themeColor="text1"/>
          <w:sz w:val="16"/>
          <w:szCs w:val="16"/>
        </w:rPr>
        <w:t>3. Подтвердить НКВМ (т. Орлову и т. Сивкову) не принимать от НКТП кораблей, не вполне укомплектованных и не имеющих всех положенных запчастей и техснабжения (</w:t>
      </w:r>
      <w:r w:rsidRPr="00C33834">
        <w:rPr>
          <w:rStyle w:val="Footnote"/>
          <w:color w:val="000000" w:themeColor="text1"/>
          <w:sz w:val="16"/>
          <w:szCs w:val="16"/>
        </w:rPr>
        <w:t>На странице поверх текста рукописные пометы К. Е. Ворошилова к п. 3: «Совершенно правиль</w:t>
      </w:r>
      <w:r w:rsidRPr="00C33834">
        <w:rPr>
          <w:rStyle w:val="Footnote"/>
          <w:color w:val="000000" w:themeColor="text1"/>
          <w:sz w:val="16"/>
          <w:szCs w:val="16"/>
        </w:rPr>
        <w:softHyphen/>
        <w:t>но. В. 15 сентября 1933 г.»; к пункту 4: «Правильно. В.»; к пункту 5: «На это можно пойти, но только под личную ответственность начальника ВМС т. Орлова. В. 15 сентября 1933 г.»; к пункту 6: «Поставить на КО теперь же. В. 15 сентября»</w:t>
      </w:r>
      <w:r w:rsidRPr="00C33834">
        <w:rPr>
          <w:color w:val="000000" w:themeColor="text1"/>
          <w:sz w:val="16"/>
          <w:szCs w:val="16"/>
        </w:rPr>
        <w:t>).</w:t>
      </w:r>
    </w:p>
    <w:p w14:paraId="776DA1C7" w14:textId="77777777" w:rsidR="005A361E" w:rsidRPr="00C33834" w:rsidRDefault="005A361E" w:rsidP="00C33834">
      <w:pPr>
        <w:pStyle w:val="620"/>
        <w:shd w:val="clear" w:color="auto" w:fill="auto"/>
        <w:tabs>
          <w:tab w:val="left" w:pos="614"/>
        </w:tabs>
        <w:spacing w:before="0" w:line="240" w:lineRule="auto"/>
        <w:rPr>
          <w:color w:val="000000" w:themeColor="text1"/>
          <w:sz w:val="16"/>
          <w:szCs w:val="16"/>
        </w:rPr>
      </w:pPr>
      <w:r w:rsidRPr="00C33834">
        <w:rPr>
          <w:color w:val="000000" w:themeColor="text1"/>
          <w:sz w:val="16"/>
          <w:szCs w:val="16"/>
        </w:rPr>
        <w:t>4. Предложить НКТП (т. Кондратьеву) в кратчайший срок произвести исправления всех обнаруженных в процессе испытаний на подлодках типа М дефектов и только после этого исправления предъявить подлодки к сдаче.</w:t>
      </w:r>
    </w:p>
    <w:p w14:paraId="43E43F76" w14:textId="77777777" w:rsidR="005A361E" w:rsidRPr="00C33834" w:rsidRDefault="005A361E" w:rsidP="00C33834">
      <w:pPr>
        <w:pStyle w:val="620"/>
        <w:shd w:val="clear" w:color="auto" w:fill="auto"/>
        <w:tabs>
          <w:tab w:val="left" w:pos="614"/>
        </w:tabs>
        <w:spacing w:before="0" w:line="240" w:lineRule="auto"/>
        <w:rPr>
          <w:color w:val="000000" w:themeColor="text1"/>
          <w:sz w:val="16"/>
          <w:szCs w:val="16"/>
        </w:rPr>
      </w:pPr>
      <w:r w:rsidRPr="00C33834">
        <w:rPr>
          <w:color w:val="000000" w:themeColor="text1"/>
          <w:sz w:val="16"/>
          <w:szCs w:val="16"/>
        </w:rPr>
        <w:t>5. В виде исключения допустить условную приемку: а) подлодки «Гарибальдиец» с обяза</w:t>
      </w:r>
      <w:r w:rsidRPr="00C33834">
        <w:rPr>
          <w:color w:val="000000" w:themeColor="text1"/>
          <w:sz w:val="16"/>
          <w:szCs w:val="16"/>
        </w:rPr>
        <w:softHyphen/>
        <w:t>тельством НКТП устранить обнаруженные дефекты и подать запасные части и техснабжение в гарантийный период; б) подлодки «Щука» с обязательством устранить в зимний период после тщательного изучения вопроса неисправность в приводах горизонтальных рулей.</w:t>
      </w:r>
    </w:p>
    <w:p w14:paraId="26636890" w14:textId="77777777" w:rsidR="005A361E" w:rsidRPr="00C33834" w:rsidRDefault="005A361E" w:rsidP="00C33834">
      <w:pPr>
        <w:pStyle w:val="620"/>
        <w:shd w:val="clear" w:color="auto" w:fill="auto"/>
        <w:tabs>
          <w:tab w:val="left" w:pos="644"/>
        </w:tabs>
        <w:spacing w:before="0" w:line="240" w:lineRule="auto"/>
        <w:rPr>
          <w:color w:val="000000" w:themeColor="text1"/>
          <w:sz w:val="16"/>
          <w:szCs w:val="16"/>
        </w:rPr>
      </w:pPr>
      <w:r w:rsidRPr="00C33834">
        <w:rPr>
          <w:rStyle w:val="93"/>
          <w:color w:val="000000" w:themeColor="text1"/>
          <w:sz w:val="16"/>
          <w:szCs w:val="16"/>
        </w:rPr>
        <w:t>6. Предложить НКТП к 1 октября 1933 г. доложить правительству о принятых им меро</w:t>
      </w:r>
      <w:r w:rsidRPr="00C33834">
        <w:rPr>
          <w:rStyle w:val="93"/>
          <w:color w:val="000000" w:themeColor="text1"/>
          <w:sz w:val="16"/>
          <w:szCs w:val="16"/>
        </w:rPr>
        <w:softHyphen/>
        <w:t>приятиях по реализации постановления СТО от 11 июля 1933 г. «О программе военно-мор</w:t>
      </w:r>
      <w:r w:rsidRPr="00C33834">
        <w:rPr>
          <w:rStyle w:val="93"/>
          <w:color w:val="000000" w:themeColor="text1"/>
          <w:sz w:val="16"/>
          <w:szCs w:val="16"/>
        </w:rPr>
        <w:softHyphen/>
        <w:t>ского судостроения».</w:t>
      </w:r>
    </w:p>
    <w:p w14:paraId="4EAF15DB" w14:textId="77777777" w:rsidR="005A361E" w:rsidRPr="00C33834" w:rsidRDefault="005A361E" w:rsidP="00C33834">
      <w:pPr>
        <w:pStyle w:val="620"/>
        <w:shd w:val="clear" w:color="auto" w:fill="auto"/>
        <w:tabs>
          <w:tab w:val="left" w:pos="625"/>
        </w:tabs>
        <w:spacing w:before="0" w:line="240" w:lineRule="auto"/>
        <w:rPr>
          <w:color w:val="000000" w:themeColor="text1"/>
          <w:sz w:val="16"/>
          <w:szCs w:val="16"/>
        </w:rPr>
      </w:pPr>
      <w:r w:rsidRPr="00C33834">
        <w:rPr>
          <w:rStyle w:val="93"/>
          <w:color w:val="000000" w:themeColor="text1"/>
          <w:sz w:val="16"/>
          <w:szCs w:val="16"/>
        </w:rPr>
        <w:t>7. Предложить НКТП немедленно уточнить план (и форсировать его выполнение) завод</w:t>
      </w:r>
      <w:r w:rsidRPr="00C33834">
        <w:rPr>
          <w:rStyle w:val="93"/>
          <w:color w:val="000000" w:themeColor="text1"/>
          <w:sz w:val="16"/>
          <w:szCs w:val="16"/>
        </w:rPr>
        <w:softHyphen/>
        <w:t>ских и сдаточных испытаний подлодок и прочих военных кораблей по плану заказов 1933 г.</w:t>
      </w:r>
    </w:p>
    <w:p w14:paraId="2DE65F95" w14:textId="77777777" w:rsidR="005A361E" w:rsidRPr="00C33834" w:rsidRDefault="005A361E" w:rsidP="00C33834">
      <w:pPr>
        <w:tabs>
          <w:tab w:val="left" w:pos="8199"/>
        </w:tabs>
        <w:spacing w:after="0" w:line="240" w:lineRule="auto"/>
        <w:jc w:val="both"/>
        <w:rPr>
          <w:rFonts w:ascii="Times New Roman" w:hAnsi="Times New Roman"/>
          <w:color w:val="000000" w:themeColor="text1"/>
          <w:sz w:val="16"/>
          <w:szCs w:val="16"/>
        </w:rPr>
      </w:pPr>
      <w:r w:rsidRPr="00C33834">
        <w:rPr>
          <w:rStyle w:val="Bodytext2"/>
          <w:rFonts w:eastAsia="Calibri"/>
          <w:color w:val="000000" w:themeColor="text1"/>
          <w:sz w:val="16"/>
          <w:szCs w:val="16"/>
        </w:rPr>
        <w:t xml:space="preserve">Начальник Военно-морских сил РККА </w:t>
      </w:r>
      <w:r w:rsidRPr="00C33834">
        <w:rPr>
          <w:rStyle w:val="Bodytext211pt"/>
          <w:rFonts w:eastAsia="Calibri"/>
          <w:color w:val="000000" w:themeColor="text1"/>
          <w:sz w:val="16"/>
          <w:szCs w:val="16"/>
        </w:rPr>
        <w:t>Орлов</w:t>
      </w:r>
    </w:p>
    <w:p w14:paraId="79ED959E" w14:textId="77777777" w:rsidR="005A361E" w:rsidRPr="00C33834" w:rsidRDefault="005A361E" w:rsidP="00C33834">
      <w:pPr>
        <w:spacing w:after="0" w:line="240" w:lineRule="auto"/>
        <w:jc w:val="both"/>
        <w:rPr>
          <w:rStyle w:val="Bodytext3"/>
          <w:rFonts w:eastAsia="Calibri"/>
          <w:color w:val="000000" w:themeColor="text1"/>
          <w:sz w:val="16"/>
          <w:szCs w:val="16"/>
        </w:rPr>
      </w:pPr>
      <w:r w:rsidRPr="00C33834">
        <w:rPr>
          <w:rStyle w:val="Bodytext3"/>
          <w:rFonts w:eastAsia="Calibri"/>
          <w:color w:val="000000" w:themeColor="text1"/>
          <w:sz w:val="16"/>
          <w:szCs w:val="16"/>
        </w:rPr>
        <w:t>РГА ВМФ. Ф. 441. Оп. 11. Д. 12. Л. 230-237 (15123).</w:t>
      </w:r>
    </w:p>
    <w:p w14:paraId="2A91BAF9" w14:textId="77777777" w:rsidR="005A361E" w:rsidRPr="00C33834" w:rsidRDefault="005A361E" w:rsidP="00C33834">
      <w:pPr>
        <w:spacing w:after="0" w:line="240" w:lineRule="auto"/>
        <w:jc w:val="both"/>
        <w:rPr>
          <w:rStyle w:val="Bodytext3"/>
          <w:rFonts w:eastAsia="Calibri"/>
          <w:color w:val="000000" w:themeColor="text1"/>
          <w:sz w:val="16"/>
          <w:szCs w:val="16"/>
        </w:rPr>
      </w:pPr>
    </w:p>
    <w:p w14:paraId="33BE9D94" w14:textId="77777777" w:rsidR="007F23E2" w:rsidRPr="00C33834" w:rsidRDefault="008E43FA"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32AFF64E" w14:textId="77777777" w:rsidR="007F23E2" w:rsidRPr="00C33834" w:rsidRDefault="007F23E2" w:rsidP="00C33834">
      <w:pPr>
        <w:spacing w:after="0" w:line="240" w:lineRule="auto"/>
        <w:jc w:val="both"/>
        <w:rPr>
          <w:rFonts w:ascii="Times New Roman" w:hAnsi="Times New Roman"/>
          <w:iCs/>
          <w:color w:val="000000" w:themeColor="text1"/>
          <w:sz w:val="16"/>
          <w:szCs w:val="16"/>
        </w:rPr>
      </w:pPr>
    </w:p>
    <w:p w14:paraId="2388E960" w14:textId="77777777" w:rsidR="00B2303C" w:rsidRPr="00C33834" w:rsidRDefault="00B2303C" w:rsidP="00C33834">
      <w:pPr>
        <w:pStyle w:val="rtejustify"/>
        <w:spacing w:before="0" w:after="0"/>
        <w:rPr>
          <w:color w:val="000000" w:themeColor="text1"/>
          <w:sz w:val="16"/>
          <w:szCs w:val="16"/>
        </w:rPr>
      </w:pPr>
      <w:r w:rsidRPr="00C33834">
        <w:rPr>
          <w:rStyle w:val="af0"/>
          <w:bCs/>
          <w:i w:val="0"/>
          <w:color w:val="000000" w:themeColor="text1"/>
          <w:sz w:val="16"/>
          <w:szCs w:val="16"/>
        </w:rPr>
        <w:t>9 сентября</w:t>
      </w:r>
      <w:r w:rsidRPr="00C33834">
        <w:rPr>
          <w:color w:val="000000" w:themeColor="text1"/>
          <w:sz w:val="16"/>
          <w:szCs w:val="16"/>
        </w:rPr>
        <w:t xml:space="preserve"> 1933. Постановление СТО СССР № 86сс/о «О строительных частях на Дальнем Востоке». (ГА РФ. Ф. Р</w:t>
      </w:r>
      <w:r w:rsidRPr="00C33834">
        <w:rPr>
          <w:color w:val="000000" w:themeColor="text1"/>
          <w:sz w:val="16"/>
          <w:szCs w:val="16"/>
        </w:rPr>
        <w:noBreakHyphen/>
        <w:t>8418. Оп. 28. Д. 2. Л. 169) (15460).</w:t>
      </w:r>
    </w:p>
    <w:p w14:paraId="566DD5F3" w14:textId="77777777" w:rsidR="00B2303C" w:rsidRPr="00C33834" w:rsidRDefault="00B2303C" w:rsidP="00C33834">
      <w:pPr>
        <w:pStyle w:val="rtejustify"/>
        <w:spacing w:before="0" w:after="0"/>
        <w:rPr>
          <w:color w:val="000000" w:themeColor="text1"/>
          <w:sz w:val="16"/>
          <w:szCs w:val="16"/>
        </w:rPr>
      </w:pPr>
    </w:p>
    <w:p w14:paraId="4EB5AF75" w14:textId="77777777" w:rsidR="007F23E2"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2B18EFBA" w14:textId="77777777" w:rsidR="007F23E2" w:rsidRPr="00C33834" w:rsidRDefault="007F23E2" w:rsidP="00C33834">
      <w:pPr>
        <w:spacing w:after="0" w:line="240" w:lineRule="auto"/>
        <w:jc w:val="both"/>
        <w:rPr>
          <w:rFonts w:ascii="Times New Roman" w:hAnsi="Times New Roman"/>
          <w:iCs/>
          <w:color w:val="000000" w:themeColor="text1"/>
          <w:sz w:val="16"/>
          <w:szCs w:val="16"/>
        </w:rPr>
      </w:pPr>
    </w:p>
    <w:p w14:paraId="76B16C56"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сентября 1933 в Москве основано издательство «Детская литература» (4962).</w:t>
      </w:r>
    </w:p>
    <w:p w14:paraId="0F96212C"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p>
    <w:p w14:paraId="0D834744" w14:textId="77777777" w:rsidR="007F23E2"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051AA9D" w14:textId="77777777" w:rsidR="007F23E2" w:rsidRPr="00C33834" w:rsidRDefault="007F23E2" w:rsidP="00C33834">
      <w:pPr>
        <w:spacing w:after="0" w:line="240" w:lineRule="auto"/>
        <w:jc w:val="both"/>
        <w:rPr>
          <w:rFonts w:ascii="Times New Roman" w:hAnsi="Times New Roman"/>
          <w:iCs/>
          <w:color w:val="000000" w:themeColor="text1"/>
          <w:sz w:val="16"/>
          <w:szCs w:val="16"/>
        </w:rPr>
      </w:pPr>
    </w:p>
    <w:p w14:paraId="580AF145"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сентября 1933 в ш Нью Йорк Американское межпланетное общество осуществило запуск очередной ракеты собственной конструкции и достигли высоты 130 м (2990).</w:t>
      </w:r>
    </w:p>
    <w:p w14:paraId="36D6D2AA"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31B4BDE3" w14:textId="77777777" w:rsidR="00270743" w:rsidRPr="00C33834" w:rsidRDefault="0027074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9 сентября 1933 - В штате Нью-Йорк (США) Американское межпланетное общество осуществило запуск очередной ракеты собственной конструкции. Ракета достигла высоты 130 метров.  Ракета ARS № 4, разработанная Джоном Шеста и небольшой группой подобранных им помощников, имела двигатель с четырьмя соплами, расположенными так, чтобы струя газов, истекавшая из двигателя, направлялась назад, немного отклоняясь от стенок цилиндрического бензобака, на верхнем днище которого был установлен двигатель. Кислородный бак был установлен непосредственно за бензобаком. Небольшой цилиндрический контейнер для парашюта размещался перед двигателем, а сам двигатель был заключён в рубашку водяного охлаждения. Вычисления, основанные на данных трёх наблюдателей, находившихся на триангуляционных наблюдательных пунктах, и подтверждённые материалами киносъёмки и фотографирования, показали, что максимальная скорость ракеты превышала 1000 фут/сек (~300 м/сек) (22370).</w:t>
      </w:r>
    </w:p>
    <w:p w14:paraId="7DE577A4" w14:textId="77777777" w:rsidR="00270743" w:rsidRPr="00C33834" w:rsidRDefault="00270743" w:rsidP="00C33834">
      <w:pPr>
        <w:spacing w:after="0" w:line="240" w:lineRule="auto"/>
        <w:jc w:val="both"/>
        <w:rPr>
          <w:rFonts w:ascii="Times New Roman" w:hAnsi="Times New Roman"/>
          <w:color w:val="0070C0"/>
          <w:sz w:val="16"/>
          <w:szCs w:val="16"/>
        </w:rPr>
      </w:pPr>
    </w:p>
    <w:p w14:paraId="6A5C8984" w14:textId="77777777" w:rsidR="007F23E2"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B146AE9" w14:textId="77777777" w:rsidR="007F23E2" w:rsidRPr="00C33834" w:rsidRDefault="007F23E2" w:rsidP="00C33834">
      <w:pPr>
        <w:spacing w:after="0" w:line="240" w:lineRule="auto"/>
        <w:jc w:val="both"/>
        <w:rPr>
          <w:rFonts w:ascii="Times New Roman" w:hAnsi="Times New Roman"/>
          <w:iCs/>
          <w:color w:val="000000" w:themeColor="text1"/>
          <w:sz w:val="16"/>
          <w:szCs w:val="16"/>
        </w:rPr>
      </w:pPr>
    </w:p>
    <w:p w14:paraId="5956644E"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сентября 1933 был первый полет дублера РД с М-34Р (92,486). Летал М.М.Громов (554,5).</w:t>
      </w:r>
    </w:p>
    <w:p w14:paraId="6252E152"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209AF097"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10 сентября 1933 года в воздух поднялась вторая машина РД-2, но уже с мотором М-34Р. оснащенным редуктором. Благо</w:t>
      </w:r>
      <w:r w:rsidRPr="00C33834">
        <w:rPr>
          <w:rFonts w:ascii="Times New Roman" w:hAnsi="Times New Roman"/>
          <w:color w:val="000000" w:themeColor="text1"/>
          <w:sz w:val="16"/>
          <w:szCs w:val="16"/>
        </w:rPr>
        <w:softHyphen/>
        <w:t>даря редуктору снизили обороты воздуш</w:t>
      </w:r>
      <w:r w:rsidRPr="00C33834">
        <w:rPr>
          <w:rFonts w:ascii="Times New Roman" w:hAnsi="Times New Roman"/>
          <w:color w:val="000000" w:themeColor="text1"/>
          <w:sz w:val="16"/>
          <w:szCs w:val="16"/>
        </w:rPr>
        <w:softHyphen/>
        <w:t>ного винта, что увеличило его тягу, а даль</w:t>
      </w:r>
      <w:r w:rsidRPr="00C33834">
        <w:rPr>
          <w:rFonts w:ascii="Times New Roman" w:hAnsi="Times New Roman"/>
          <w:color w:val="000000" w:themeColor="text1"/>
          <w:sz w:val="16"/>
          <w:szCs w:val="16"/>
        </w:rPr>
        <w:softHyphen/>
        <w:t>ность полета самолета по сравнению с предшественником возросла в полтора ра</w:t>
      </w:r>
      <w:r w:rsidRPr="00C33834">
        <w:rPr>
          <w:rFonts w:ascii="Times New Roman" w:hAnsi="Times New Roman"/>
          <w:color w:val="000000" w:themeColor="text1"/>
          <w:sz w:val="16"/>
          <w:szCs w:val="16"/>
        </w:rPr>
        <w:softHyphen/>
        <w:t>за - до 10 800 км. Параллельно исследова</w:t>
      </w:r>
      <w:r w:rsidRPr="00C33834">
        <w:rPr>
          <w:rFonts w:ascii="Times New Roman" w:hAnsi="Times New Roman"/>
          <w:color w:val="000000" w:themeColor="text1"/>
          <w:sz w:val="16"/>
          <w:szCs w:val="16"/>
        </w:rPr>
        <w:softHyphen/>
        <w:t>ли несколько двухлопастных деревянных воздушных винтов фиксированного шага, перейдя в конечном итоге к трехлопастно</w:t>
      </w:r>
      <w:r w:rsidRPr="00C33834">
        <w:rPr>
          <w:rFonts w:ascii="Times New Roman" w:hAnsi="Times New Roman"/>
          <w:color w:val="000000" w:themeColor="text1"/>
          <w:sz w:val="16"/>
          <w:szCs w:val="16"/>
        </w:rPr>
        <w:softHyphen/>
        <w:t>му металлическому пропеллеру.</w:t>
      </w:r>
    </w:p>
    <w:p w14:paraId="730C969C"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Впоследствии по результатам испыта</w:t>
      </w:r>
      <w:r w:rsidRPr="00C33834">
        <w:rPr>
          <w:rFonts w:ascii="Times New Roman" w:hAnsi="Times New Roman"/>
          <w:color w:val="000000" w:themeColor="text1"/>
          <w:sz w:val="16"/>
          <w:szCs w:val="16"/>
        </w:rPr>
        <w:softHyphen/>
        <w:t>ний на обеих машинах увеличили площадь руля направления и установили козырьки в виде фонарей над кабинами штурманов.</w:t>
      </w:r>
    </w:p>
    <w:p w14:paraId="44FAE2FF"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Примерно в это же время утвердили два экипажа. На самолет РД-1 — командир Ан</w:t>
      </w:r>
      <w:r w:rsidRPr="00C33834">
        <w:rPr>
          <w:rFonts w:ascii="Times New Roman" w:hAnsi="Times New Roman"/>
          <w:color w:val="000000" w:themeColor="text1"/>
          <w:sz w:val="16"/>
          <w:szCs w:val="16"/>
        </w:rPr>
        <w:softHyphen/>
        <w:t>дрей Юмашев, второй пилот Петр Стефа- новский и штурман Сергей Данилин. Для второй машины РД-2 — Михаил Громов, Александр Филин и Иван Спирин (12725).</w:t>
      </w:r>
    </w:p>
    <w:p w14:paraId="67E32215" w14:textId="77777777" w:rsidR="004050DA" w:rsidRPr="00C33834" w:rsidRDefault="004050DA" w:rsidP="00C33834">
      <w:pPr>
        <w:spacing w:after="0" w:line="240" w:lineRule="auto"/>
        <w:jc w:val="both"/>
        <w:rPr>
          <w:rFonts w:ascii="Times New Roman" w:hAnsi="Times New Roman"/>
          <w:color w:val="000000" w:themeColor="text1"/>
          <w:sz w:val="16"/>
          <w:szCs w:val="16"/>
        </w:rPr>
      </w:pPr>
    </w:p>
    <w:p w14:paraId="0F9F6A7B"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сентября 1933 г. руководство завода № 31 сообщило в Москву, что до конца года изменений в свою продукцию вно-сить не будет. По эталону 1933 г. пойдёт серия 1934 г. Действительно, в 1934 г. в Таганроге сделали 20 последних Р-6, далее полностью перешли на выпуск лодочных гидросамолётов.</w:t>
      </w:r>
    </w:p>
    <w:p w14:paraId="71C4A4E8"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Р-6 долго и мучительно осваивал молодой завод № 126 в Ком-сомольске-на-Амуре. Только в 1936 г. там удалось изготовить 20 экземпляров. Военные ими уже не очень-то интересо-вались, и большая часть их поступила в гражданскую авиацию (12264).</w:t>
      </w:r>
    </w:p>
    <w:p w14:paraId="1FF74947" w14:textId="77777777" w:rsidR="003F2394" w:rsidRPr="00C33834" w:rsidRDefault="003F2394" w:rsidP="00C33834">
      <w:pPr>
        <w:spacing w:after="0" w:line="240" w:lineRule="auto"/>
        <w:jc w:val="both"/>
        <w:rPr>
          <w:rFonts w:ascii="Times New Roman" w:hAnsi="Times New Roman"/>
          <w:color w:val="000000" w:themeColor="text1"/>
          <w:sz w:val="16"/>
          <w:szCs w:val="16"/>
        </w:rPr>
      </w:pPr>
    </w:p>
    <w:p w14:paraId="6CC2D8F8"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сентября 1933 года врид начальника УВИ НВ Я. Терентьев и врид начальника 2 отдела УВИ НВ Б. Лопаков писали письмо N 349734с начальнику штаба УВВС Хрипину.</w:t>
      </w:r>
    </w:p>
    <w:p w14:paraId="0A0A9A6F"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заданию УВИ НВ КБ N 11 разработан проект специального самолета для истребительной авиации, представляющий по мнению ряда специалистов большой интерес для воздушного флота, как в смысле вооружения так и в летном и тактическом отношении. В настоящее время проект передан на рассмотрение в НИИ ВВС. Прошу предусмотреть постройку этого самолета и включить его в план опытного строительства 1934 года (3903,12).</w:t>
      </w:r>
    </w:p>
    <w:p w14:paraId="53D33D02"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69D867C4"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сентября и 22 июля 1933 г. на заводских испытаниях нагнетатель А.Н Данилевского и Е.О. Дмит</w:t>
      </w:r>
      <w:r w:rsidRPr="00C33834">
        <w:rPr>
          <w:rFonts w:ascii="Times New Roman" w:hAnsi="Times New Roman"/>
          <w:color w:val="000000" w:themeColor="text1"/>
          <w:sz w:val="16"/>
          <w:szCs w:val="16"/>
        </w:rPr>
        <w:softHyphen/>
        <w:t>риевского дважды выходил из строя После этого спроектировали и изго</w:t>
      </w:r>
      <w:r w:rsidRPr="00C33834">
        <w:rPr>
          <w:rFonts w:ascii="Times New Roman" w:hAnsi="Times New Roman"/>
          <w:color w:val="000000" w:themeColor="text1"/>
          <w:sz w:val="16"/>
          <w:szCs w:val="16"/>
        </w:rPr>
        <w:softHyphen/>
        <w:t>товили новую, усиленную ребрами, заднюю крышку. Государственные испытания прошли удачнее. М-34Н проходил их с 25 декабря 1933 г., акт об успешном завершении утвер</w:t>
      </w:r>
      <w:r w:rsidRPr="00C33834">
        <w:rPr>
          <w:rFonts w:ascii="Times New Roman" w:hAnsi="Times New Roman"/>
          <w:color w:val="000000" w:themeColor="text1"/>
          <w:sz w:val="16"/>
          <w:szCs w:val="16"/>
        </w:rPr>
        <w:softHyphen/>
        <w:t>дили 7 февраля 1934 г., а серия по</w:t>
      </w:r>
      <w:r w:rsidRPr="00C33834">
        <w:rPr>
          <w:rFonts w:ascii="Times New Roman" w:hAnsi="Times New Roman"/>
          <w:color w:val="000000" w:themeColor="text1"/>
          <w:sz w:val="16"/>
          <w:szCs w:val="16"/>
        </w:rPr>
        <w:softHyphen/>
        <w:t>шла с сентября 1934 г. Нагнетатель выполнялся в виде отдельного съемного узла и мог мон</w:t>
      </w:r>
      <w:r w:rsidRPr="00C33834">
        <w:rPr>
          <w:rFonts w:ascii="Times New Roman" w:hAnsi="Times New Roman"/>
          <w:color w:val="000000" w:themeColor="text1"/>
          <w:sz w:val="16"/>
          <w:szCs w:val="16"/>
        </w:rPr>
        <w:softHyphen/>
        <w:t>тироваться на моторы других моди</w:t>
      </w:r>
      <w:r w:rsidRPr="00C33834">
        <w:rPr>
          <w:rFonts w:ascii="Times New Roman" w:hAnsi="Times New Roman"/>
          <w:color w:val="000000" w:themeColor="text1"/>
          <w:sz w:val="16"/>
          <w:szCs w:val="16"/>
        </w:rPr>
        <w:softHyphen/>
        <w:t>фикаций. В дальнейшем его хотели сделать отключаемым на малых вы</w:t>
      </w:r>
      <w:r w:rsidRPr="00C33834">
        <w:rPr>
          <w:rFonts w:ascii="Times New Roman" w:hAnsi="Times New Roman"/>
          <w:color w:val="000000" w:themeColor="text1"/>
          <w:sz w:val="16"/>
          <w:szCs w:val="16"/>
        </w:rPr>
        <w:softHyphen/>
        <w:t>сотах, но это намерение так и не было претворено в жизнь. Надеж</w:t>
      </w:r>
      <w:r w:rsidRPr="00C33834">
        <w:rPr>
          <w:rFonts w:ascii="Times New Roman" w:hAnsi="Times New Roman"/>
          <w:color w:val="000000" w:themeColor="text1"/>
          <w:sz w:val="16"/>
          <w:szCs w:val="16"/>
        </w:rPr>
        <w:softHyphen/>
        <w:t>ность М-34Н была невысока. Во-пер</w:t>
      </w:r>
      <w:r w:rsidRPr="00C33834">
        <w:rPr>
          <w:rFonts w:ascii="Times New Roman" w:hAnsi="Times New Roman"/>
          <w:color w:val="000000" w:themeColor="text1"/>
          <w:sz w:val="16"/>
          <w:szCs w:val="16"/>
        </w:rPr>
        <w:softHyphen/>
        <w:t>вых, разрушались подшипники, на которых стояла крыльчатка. Во-вто</w:t>
      </w:r>
      <w:r w:rsidRPr="00C33834">
        <w:rPr>
          <w:rFonts w:ascii="Times New Roman" w:hAnsi="Times New Roman"/>
          <w:color w:val="000000" w:themeColor="text1"/>
          <w:sz w:val="16"/>
          <w:szCs w:val="16"/>
        </w:rPr>
        <w:softHyphen/>
        <w:t>рых, нагнетатель у М-34Р распола</w:t>
      </w:r>
      <w:r w:rsidRPr="00C33834">
        <w:rPr>
          <w:rFonts w:ascii="Times New Roman" w:hAnsi="Times New Roman"/>
          <w:color w:val="000000" w:themeColor="text1"/>
          <w:sz w:val="16"/>
          <w:szCs w:val="16"/>
        </w:rPr>
        <w:softHyphen/>
        <w:t>гался за карбюратором; в нем сжи</w:t>
      </w:r>
      <w:r w:rsidRPr="00C33834">
        <w:rPr>
          <w:rFonts w:ascii="Times New Roman" w:hAnsi="Times New Roman"/>
          <w:color w:val="000000" w:themeColor="text1"/>
          <w:sz w:val="16"/>
          <w:szCs w:val="16"/>
        </w:rPr>
        <w:softHyphen/>
        <w:t>мался не воздух, а топливно-воздуш-ная смесь. На некоторых режимах бензин начинал конденсироваться на выходе из нагнетателя и двигатель глох. Альтернативно рассматрива</w:t>
      </w:r>
      <w:r w:rsidRPr="00C33834">
        <w:rPr>
          <w:rFonts w:ascii="Times New Roman" w:hAnsi="Times New Roman"/>
          <w:color w:val="000000" w:themeColor="text1"/>
          <w:sz w:val="16"/>
          <w:szCs w:val="16"/>
        </w:rPr>
        <w:softHyphen/>
        <w:t>лась возможность смонтировать на М-34 иностранные агрегаты. В 1934 г. вели переговоры с француз</w:t>
      </w:r>
      <w:r w:rsidRPr="00C33834">
        <w:rPr>
          <w:rFonts w:ascii="Times New Roman" w:hAnsi="Times New Roman"/>
          <w:color w:val="000000" w:themeColor="text1"/>
          <w:sz w:val="16"/>
          <w:szCs w:val="16"/>
        </w:rPr>
        <w:softHyphen/>
        <w:t>скими фирмами «Испано-Сюиза» и «Фарман» о проектировании ими нового нагнетателя специально для М-34Н. Пытались также приобрести двухступенчатые нагнетатели у «Рато» (этот вариант именовался М-34РАТО). По мировым стандартам М-34Н был тяжеловат. Военные неоднократ</w:t>
      </w:r>
      <w:r w:rsidRPr="00C33834">
        <w:rPr>
          <w:rFonts w:ascii="Times New Roman" w:hAnsi="Times New Roman"/>
          <w:color w:val="000000" w:themeColor="text1"/>
          <w:sz w:val="16"/>
          <w:szCs w:val="16"/>
        </w:rPr>
        <w:softHyphen/>
        <w:t>но требовали снизить вес мотора. В ответ спроектировали облегченный вариант М-34Э (560 кг) с картером из магниевого сплава электрона. Но вот только сплавов этих в СССР не имелось, а привезенные из-за гра</w:t>
      </w:r>
      <w:r w:rsidRPr="00C33834">
        <w:rPr>
          <w:rFonts w:ascii="Times New Roman" w:hAnsi="Times New Roman"/>
          <w:color w:val="000000" w:themeColor="text1"/>
          <w:sz w:val="16"/>
          <w:szCs w:val="16"/>
        </w:rPr>
        <w:softHyphen/>
        <w:t>ницы толком не умели обрабатывать. Пробный картер на заводе № 24 отлили, но через поры и трещины уходило масло. Попробовали разные варианты пропитки. В конце концов, образец М-34Э все-таки поставили на станок. Испытания сначала шли неплохо, но на 97-м часу лопнула одна из перегородок картера. В ре</w:t>
      </w:r>
      <w:r w:rsidRPr="00C33834">
        <w:rPr>
          <w:rFonts w:ascii="Times New Roman" w:hAnsi="Times New Roman"/>
          <w:color w:val="000000" w:themeColor="text1"/>
          <w:sz w:val="16"/>
          <w:szCs w:val="16"/>
        </w:rPr>
        <w:softHyphen/>
        <w:t>зультате от идеи облегчить М-34Н таким способом временно пришлось отказаться. Следующим шагом вполне логич</w:t>
      </w:r>
      <w:r w:rsidRPr="00C33834">
        <w:rPr>
          <w:rFonts w:ascii="Times New Roman" w:hAnsi="Times New Roman"/>
          <w:color w:val="000000" w:themeColor="text1"/>
          <w:sz w:val="16"/>
          <w:szCs w:val="16"/>
        </w:rPr>
        <w:softHyphen/>
        <w:t>но стало совместное применение редуктора и нагнетателя. По плану предлагалось представить опытный образец М-34РН на госиспытания к 1 декабря 1932 г. Фактически же он начал заводские испытания лишь 1 мая 1934 г. Поломка следовала за поломкой. Прогорали клапаны, сбо</w:t>
      </w:r>
      <w:r w:rsidRPr="00C33834">
        <w:rPr>
          <w:rFonts w:ascii="Times New Roman" w:hAnsi="Times New Roman"/>
          <w:color w:val="000000" w:themeColor="text1"/>
          <w:sz w:val="16"/>
          <w:szCs w:val="16"/>
        </w:rPr>
        <w:softHyphen/>
        <w:t>ило газораспределение, от вибраций появлялись трещины на лапах креп</w:t>
      </w:r>
      <w:r w:rsidRPr="00C33834">
        <w:rPr>
          <w:rFonts w:ascii="Times New Roman" w:hAnsi="Times New Roman"/>
          <w:color w:val="000000" w:themeColor="text1"/>
          <w:sz w:val="16"/>
          <w:szCs w:val="16"/>
        </w:rPr>
        <w:softHyphen/>
        <w:t>ления к раме. Но нагнетатель и ре</w:t>
      </w:r>
      <w:r w:rsidRPr="00C33834">
        <w:rPr>
          <w:rFonts w:ascii="Times New Roman" w:hAnsi="Times New Roman"/>
          <w:color w:val="000000" w:themeColor="text1"/>
          <w:sz w:val="16"/>
          <w:szCs w:val="16"/>
        </w:rPr>
        <w:softHyphen/>
        <w:t>дуктор работали «безукоризненно». Усовершенствованный вариант предъявили на госиспытания в сен</w:t>
      </w:r>
      <w:r w:rsidRPr="00C33834">
        <w:rPr>
          <w:rFonts w:ascii="Times New Roman" w:hAnsi="Times New Roman"/>
          <w:color w:val="000000" w:themeColor="text1"/>
          <w:sz w:val="16"/>
          <w:szCs w:val="16"/>
        </w:rPr>
        <w:softHyphen/>
        <w:t>тябре, но и они закончились неудач</w:t>
      </w:r>
      <w:r w:rsidRPr="00C33834">
        <w:rPr>
          <w:rFonts w:ascii="Times New Roman" w:hAnsi="Times New Roman"/>
          <w:color w:val="000000" w:themeColor="text1"/>
          <w:sz w:val="16"/>
          <w:szCs w:val="16"/>
        </w:rPr>
        <w:softHyphen/>
        <w:t>но - прогорели поршни. В результа</w:t>
      </w:r>
      <w:r w:rsidRPr="00C33834">
        <w:rPr>
          <w:rFonts w:ascii="Times New Roman" w:hAnsi="Times New Roman"/>
          <w:color w:val="000000" w:themeColor="text1"/>
          <w:sz w:val="16"/>
          <w:szCs w:val="16"/>
        </w:rPr>
        <w:softHyphen/>
        <w:t>те М-34РН в 1934 г. выпустили лишь небольшой серией. Поскольку нагне</w:t>
      </w:r>
      <w:r w:rsidRPr="00C33834">
        <w:rPr>
          <w:rFonts w:ascii="Times New Roman" w:hAnsi="Times New Roman"/>
          <w:color w:val="000000" w:themeColor="text1"/>
          <w:sz w:val="16"/>
          <w:szCs w:val="16"/>
        </w:rPr>
        <w:softHyphen/>
        <w:t>тателей не хватало, их монтировали только на редукторные моторы, а производство М-34Н отсрочили (11848).</w:t>
      </w:r>
    </w:p>
    <w:p w14:paraId="2E11B594"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786FAD67"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сентября 1933 Врид начальника ГУАП Макаровский подготовил:</w:t>
      </w:r>
    </w:p>
    <w:p w14:paraId="6F5C42EC"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Справка о состоянии работ по плану опытного моторостроения и самолетостроения, утвержденного Наркомвоенмором Ворошиловым 17 июля 1933 года</w:t>
      </w:r>
    </w:p>
    <w:p w14:paraId="41805756"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Опытные самолеты.</w:t>
      </w:r>
    </w:p>
    <w:p w14:paraId="73A364F7" w14:textId="77777777" w:rsidR="007F23E2" w:rsidRPr="00C33834" w:rsidRDefault="007F23E2" w:rsidP="00C33834">
      <w:pPr>
        <w:numPr>
          <w:ilvl w:val="0"/>
          <w:numId w:val="26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 – 6М34. Срок предъявления 15 августа 1933 года. В настоящее время самолет заканчивает заводские испытания. После испытаний с полетным весом 33 тонны, самолет будет предъявлен НИИ ВВС.</w:t>
      </w:r>
    </w:p>
    <w:p w14:paraId="5E65590E" w14:textId="77777777" w:rsidR="007F23E2" w:rsidRPr="00C33834" w:rsidRDefault="007F23E2" w:rsidP="00C33834">
      <w:pPr>
        <w:numPr>
          <w:ilvl w:val="0"/>
          <w:numId w:val="26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 РН. Срок предъявления 1 октября 1934 года. производится установка моторов М34Р на самолет ТБ3. Ведутся работы по переделке подмоторных рам под мотор М-34 РН.</w:t>
      </w:r>
    </w:p>
    <w:p w14:paraId="71165BB4" w14:textId="77777777" w:rsidR="007F23E2" w:rsidRPr="00C33834" w:rsidRDefault="007F23E2" w:rsidP="00C33834">
      <w:pPr>
        <w:numPr>
          <w:ilvl w:val="0"/>
          <w:numId w:val="26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МИ3-2М34. Срок предъявления 1 сентября 1933 года. после первых полетов обнаружены крупные недостатки, связанные с аэродинамическими и конструктивными формами. Ведутся исследования продувочного и экспериментального характера, как крыла, так и хвостового оперения. На втором строющемся экземпляре вносятся существенные изменения. Срок предъявления намечается к 1 ноября 1933 года.</w:t>
      </w:r>
    </w:p>
    <w:p w14:paraId="01C8FEA2" w14:textId="77777777" w:rsidR="007F23E2" w:rsidRPr="00C33834" w:rsidRDefault="007F23E2" w:rsidP="00C33834">
      <w:pPr>
        <w:numPr>
          <w:ilvl w:val="0"/>
          <w:numId w:val="26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МК-1 – 6М34 Рн. Срок предъявления 1 августа 1934 года. Заканчивается изготовление отдельных агрегатов (лодок, крыльев, мотоферм и пр.). Одновременно производится передача конструктивных чертежей заводу № 22 для подготовки серийного производства. Передача чертежей должна быть закончена 15 декабря 1933 года.</w:t>
      </w:r>
    </w:p>
    <w:p w14:paraId="16DD323E" w14:textId="77777777" w:rsidR="007F23E2" w:rsidRPr="00C33834" w:rsidRDefault="007F23E2" w:rsidP="00C33834">
      <w:pPr>
        <w:numPr>
          <w:ilvl w:val="0"/>
          <w:numId w:val="26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МДР4-3М34 РН. Срок предъявления 1 мая 1934 года. Производится изготовление отдельных агрегатов (лодки, крыльев, хвостового оперения) и заготовка моторных ферм. Одновременно идет передача чертежей заводам №№ 31 и 125, для подготовки серийного производства. Передача чертежей должна быть закончена 15 февраля 1934 года.</w:t>
      </w:r>
    </w:p>
    <w:p w14:paraId="3EDD4081" w14:textId="77777777" w:rsidR="007F23E2" w:rsidRPr="00C33834" w:rsidRDefault="007F23E2" w:rsidP="00C33834">
      <w:pPr>
        <w:numPr>
          <w:ilvl w:val="0"/>
          <w:numId w:val="26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ЛР-М34. Срок предъявления 1 сентября 1933 года. Самолет закончен в производстве. Заводские испытания задерживаются метеорологическими условиями. Будет предъявлен на гос. испытания 1 ноября 1933 года.</w:t>
      </w:r>
    </w:p>
    <w:p w14:paraId="49006663" w14:textId="77777777" w:rsidR="007F23E2" w:rsidRPr="00C33834" w:rsidRDefault="007F23E2" w:rsidP="00C33834">
      <w:pPr>
        <w:numPr>
          <w:ilvl w:val="0"/>
          <w:numId w:val="27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ТШ3-М34. Срок предъявления 1 февраля 1934 года. Производится изготовление отдельных частей для статиспытания. Будет предъявлен на испытание в марте 1934 года.</w:t>
      </w:r>
    </w:p>
    <w:p w14:paraId="2F64AF6B" w14:textId="77777777" w:rsidR="007F23E2" w:rsidRPr="00C33834" w:rsidRDefault="007F23E2" w:rsidP="00C33834">
      <w:pPr>
        <w:numPr>
          <w:ilvl w:val="0"/>
          <w:numId w:val="27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Бристоль Меркур. Срок предъявления 30 июля 1933 года. Самолет опробован в воздухе. Обнаружена возможность улучшения. В настоящее время заканчивается переделка и самолет должен быть отправлен на аэродром к 15 сентября 1933 года. Срок предъявления на гос. испытания 1 ноября 1933 года.</w:t>
      </w:r>
    </w:p>
    <w:p w14:paraId="44AA7257" w14:textId="77777777" w:rsidR="007F23E2" w:rsidRPr="00C33834" w:rsidRDefault="007F23E2" w:rsidP="00C33834">
      <w:pPr>
        <w:numPr>
          <w:ilvl w:val="0"/>
          <w:numId w:val="27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Райт Циклон. Срок предъявления 1 февраля 1934 года. Заканчивается проектирование и идет заготовка отдельных деталей и узлов.</w:t>
      </w:r>
    </w:p>
    <w:p w14:paraId="59F13E9C" w14:textId="77777777" w:rsidR="007F23E2" w:rsidRPr="00C33834" w:rsidRDefault="007F23E2" w:rsidP="00C33834">
      <w:pPr>
        <w:numPr>
          <w:ilvl w:val="0"/>
          <w:numId w:val="27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И15 Райт Циклон. Срок предъявления 1 декабря 1933 года. Производится стыковка агрегатов (крыльев, фюзеляжа, мотофермы, хвостового оперения), окончание постройки ожидается в октябре 1933 года. Срок предъявления на гос. испытания – 1 января 1934 года.</w:t>
      </w:r>
    </w:p>
    <w:p w14:paraId="16FBB9B2" w14:textId="77777777" w:rsidR="007F23E2" w:rsidRPr="00C33834" w:rsidRDefault="007F23E2" w:rsidP="00C33834">
      <w:pPr>
        <w:numPr>
          <w:ilvl w:val="0"/>
          <w:numId w:val="27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И15-М58. Срок предъявления через шесть месяцев после получения мотора. Ведется проектирование и увязка по установке мотора М-58.</w:t>
      </w:r>
    </w:p>
    <w:p w14:paraId="520F9F08" w14:textId="77777777" w:rsidR="007F23E2" w:rsidRPr="00C33834" w:rsidRDefault="007F23E2" w:rsidP="00C33834">
      <w:pPr>
        <w:numPr>
          <w:ilvl w:val="0"/>
          <w:numId w:val="27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МБр4-М34. (С62). Срок предъявления 1 августа 1933 года. При заводских испытаниях выявлена непригодность радиаторов. Ведется перепроектировка и изготовление новых радиаторов, которые должны быть окончены к 15 сентября 1933 года. Самолет снят с серийного производства.</w:t>
      </w:r>
    </w:p>
    <w:p w14:paraId="3C54C6AE"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 Экспериментальные самолеты.</w:t>
      </w:r>
    </w:p>
    <w:p w14:paraId="1B56D3B6" w14:textId="77777777" w:rsidR="007F23E2" w:rsidRPr="00C33834" w:rsidRDefault="007F23E2" w:rsidP="00C33834">
      <w:pPr>
        <w:numPr>
          <w:ilvl w:val="0"/>
          <w:numId w:val="27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СК2-М32 (или М34). Срок заводских испытаний 1 декабря 1934 года. Отсутствие моторов М-32 и неясность вопроса с установкой других моторов создали замедление в темпах работы. Проектирование закончено на 75%. Самолет запущен в производство.</w:t>
      </w:r>
    </w:p>
    <w:p w14:paraId="6D04A011" w14:textId="77777777" w:rsidR="007F23E2" w:rsidRPr="00C33834" w:rsidRDefault="007F23E2" w:rsidP="00C33834">
      <w:pPr>
        <w:numPr>
          <w:ilvl w:val="0"/>
          <w:numId w:val="27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ВС-2М22. Срок заводских испытаний 1 мая 1934 года. Заканчивается эскизный проект.</w:t>
      </w:r>
    </w:p>
    <w:p w14:paraId="657D99CB" w14:textId="77777777" w:rsidR="007F23E2" w:rsidRPr="00C33834" w:rsidRDefault="007F23E2" w:rsidP="00C33834">
      <w:pPr>
        <w:numPr>
          <w:ilvl w:val="0"/>
          <w:numId w:val="27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ДИП-2 М34 РН. Срок заводских испытаний 1 июня 1934 года. Ведется проектирование и изготовление отдельных частей (центроплан, фюзеляж, отъемное оперение).</w:t>
      </w:r>
    </w:p>
    <w:p w14:paraId="1E81F70F" w14:textId="77777777" w:rsidR="007F23E2" w:rsidRPr="00C33834" w:rsidRDefault="007F23E2" w:rsidP="00C33834">
      <w:pPr>
        <w:numPr>
          <w:ilvl w:val="0"/>
          <w:numId w:val="27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ДИ6-Райт Циклон. Срок заводских испытаний 1 мая 1934 года. Закончен эскизный проект и подготовляется макет.</w:t>
      </w:r>
    </w:p>
    <w:p w14:paraId="7AEFCD04" w14:textId="77777777" w:rsidR="007F23E2" w:rsidRPr="00C33834" w:rsidRDefault="007F23E2" w:rsidP="00C33834">
      <w:pPr>
        <w:numPr>
          <w:ilvl w:val="0"/>
          <w:numId w:val="28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К7-М34. Срок заводских испытаний 1 августа 1933 года. Самолет опробован в воздухе. Обнаружены конструктивные недочеты оперения. Внесены исправления и самолет подготовлен к заводским испытаниям.</w:t>
      </w:r>
    </w:p>
    <w:p w14:paraId="5C991919" w14:textId="77777777" w:rsidR="007F23E2" w:rsidRPr="00C33834" w:rsidRDefault="007F23E2" w:rsidP="00C33834">
      <w:pPr>
        <w:numPr>
          <w:ilvl w:val="0"/>
          <w:numId w:val="28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ТБ6- Срок заводских испытаний 1 декабря 1935 года. Ведется изучение материалов и предварительное проектирование. Изготовляются отдельные части для исследования и экспериментов.</w:t>
      </w:r>
    </w:p>
    <w:p w14:paraId="7864BDA7" w14:textId="77777777" w:rsidR="007F23E2" w:rsidRPr="00C33834" w:rsidRDefault="007F23E2" w:rsidP="00C33834">
      <w:pPr>
        <w:numPr>
          <w:ilvl w:val="0"/>
          <w:numId w:val="28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СР-1 М58. Срок испытания через шесть месяцев после получения моторов. Производится подбор материалов и предварительная проработка.</w:t>
      </w:r>
    </w:p>
    <w:p w14:paraId="4BCCAD3F" w14:textId="77777777" w:rsidR="007F23E2" w:rsidRPr="00C33834" w:rsidRDefault="007F23E2" w:rsidP="00C33834">
      <w:pPr>
        <w:numPr>
          <w:ilvl w:val="0"/>
          <w:numId w:val="28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СС-М34. Срок испытания 1 января 1934 года. Производится сборка отдельных агрегатов. Самолет выйдет с мотором без нагнетателя, но с редуктором.</w:t>
      </w:r>
    </w:p>
    <w:p w14:paraId="061F3437" w14:textId="77777777" w:rsidR="007F23E2" w:rsidRPr="00C33834" w:rsidRDefault="007F23E2" w:rsidP="00C33834">
      <w:pPr>
        <w:numPr>
          <w:ilvl w:val="0"/>
          <w:numId w:val="28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ЛК- . Срок испытания 1 января 1934 года. Заканчивается эскизный проект и производится постройка макета.</w:t>
      </w:r>
    </w:p>
    <w:p w14:paraId="7622CBCA" w14:textId="77777777" w:rsidR="007F23E2" w:rsidRPr="00C33834" w:rsidRDefault="007F23E2" w:rsidP="00C33834">
      <w:pPr>
        <w:numPr>
          <w:ilvl w:val="0"/>
          <w:numId w:val="28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РК (Кричевского). Срок испытания 1 октября 1933 года. Проектирование закончено. Производится изготовление отдельных частей самолета.</w:t>
      </w:r>
    </w:p>
    <w:p w14:paraId="2FF0EBDC" w14:textId="77777777" w:rsidR="007F23E2" w:rsidRPr="00C33834" w:rsidRDefault="007F23E2" w:rsidP="00C33834">
      <w:pPr>
        <w:numPr>
          <w:ilvl w:val="0"/>
          <w:numId w:val="28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Геликоптер. Срок испытания 30 июля 1933 года. Ведутся исследования и экспериментальные испытания на аэродроме, со специальным геликоптерным винтом.</w:t>
      </w:r>
    </w:p>
    <w:p w14:paraId="48952AEB" w14:textId="77777777" w:rsidR="007F23E2" w:rsidRPr="00C33834" w:rsidRDefault="007F23E2" w:rsidP="00C33834">
      <w:pPr>
        <w:numPr>
          <w:ilvl w:val="0"/>
          <w:numId w:val="28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 М-22. Срок испытания 1 октября 1933 года. Закончена стыковка отдельных агрегатов (крыльев, фюзеляжа, мотофермы, хвостового оперения, шасси).</w:t>
      </w:r>
    </w:p>
    <w:p w14:paraId="1D9C449A" w14:textId="77777777" w:rsidR="007F23E2" w:rsidRPr="00C33834" w:rsidRDefault="007F23E2" w:rsidP="00C33834">
      <w:pPr>
        <w:numPr>
          <w:ilvl w:val="0"/>
          <w:numId w:val="28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У-3 М-48. Срок испытания 1 июня 1934 года. Заканчивается эскизный проект и ведутся работы по макету.</w:t>
      </w:r>
    </w:p>
    <w:p w14:paraId="0F008983"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(4223, 34-35).</w:t>
      </w:r>
    </w:p>
    <w:p w14:paraId="22A81798"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Справка по моторам</w:t>
      </w:r>
    </w:p>
    <w:p w14:paraId="259DF41E" w14:textId="77777777" w:rsidR="007F23E2" w:rsidRPr="00C33834" w:rsidRDefault="007F23E2" w:rsidP="00C33834">
      <w:pPr>
        <w:numPr>
          <w:ilvl w:val="0"/>
          <w:numId w:val="289"/>
        </w:numPr>
        <w:tabs>
          <w:tab w:val="left" w:pos="72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Опытные моторы.</w:t>
      </w:r>
    </w:p>
    <w:p w14:paraId="37AAEAD5" w14:textId="77777777" w:rsidR="007F23E2" w:rsidRPr="00C33834" w:rsidRDefault="007F23E2" w:rsidP="00C33834">
      <w:pPr>
        <w:pStyle w:val="a3"/>
        <w:widowControl/>
        <w:numPr>
          <w:ilvl w:val="0"/>
          <w:numId w:val="290"/>
        </w:numPr>
        <w:tabs>
          <w:tab w:val="left" w:pos="360"/>
        </w:tabs>
        <w:ind w:left="0" w:firstLine="0"/>
        <w:rPr>
          <w:color w:val="000000" w:themeColor="text1"/>
          <w:lang w:val="ru-RU"/>
        </w:rPr>
      </w:pPr>
      <w:r w:rsidRPr="00C33834">
        <w:rPr>
          <w:color w:val="000000" w:themeColor="text1"/>
          <w:lang w:val="ru-RU"/>
        </w:rPr>
        <w:lastRenderedPageBreak/>
        <w:t>М-34 Н. Срок предъявления 1 сентября 1933 года. Нагнетатель прошел заводские испытания. Гос. испытания начались.</w:t>
      </w:r>
    </w:p>
    <w:p w14:paraId="32FFAF3E" w14:textId="77777777" w:rsidR="007F23E2" w:rsidRPr="00C33834" w:rsidRDefault="007F23E2" w:rsidP="00C33834">
      <w:pPr>
        <w:numPr>
          <w:ilvl w:val="0"/>
          <w:numId w:val="29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РН. Срок предъявления 1 ноября 1933 года. Проходит заводские испытания.</w:t>
      </w:r>
    </w:p>
    <w:p w14:paraId="15F2AA67" w14:textId="77777777" w:rsidR="007F23E2" w:rsidRPr="00C33834" w:rsidRDefault="007F23E2" w:rsidP="00C33834">
      <w:pPr>
        <w:numPr>
          <w:ilvl w:val="0"/>
          <w:numId w:val="29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ФР (форсированный). Срок предъявления 1 марта 1934 года. Проводятся предварительные экспериментальные работы и проектирование. Срок предъявления отодвигается на май 1934 года.</w:t>
      </w:r>
    </w:p>
    <w:p w14:paraId="197FF2D5" w14:textId="77777777" w:rsidR="007F23E2" w:rsidRPr="00C33834" w:rsidRDefault="007F23E2" w:rsidP="00C33834">
      <w:pPr>
        <w:numPr>
          <w:ilvl w:val="0"/>
          <w:numId w:val="29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ФРН с нагнетателем до 3500 метров. Срок предъявления 1 мая 1934 года. Работы связаны с М-34 ФР и срок предъявления отодвигается на июль 1934 года.</w:t>
      </w:r>
    </w:p>
    <w:p w14:paraId="5C939ECF" w14:textId="77777777" w:rsidR="007F23E2" w:rsidRPr="00C33834" w:rsidRDefault="007F23E2" w:rsidP="00C33834">
      <w:pPr>
        <w:numPr>
          <w:ilvl w:val="0"/>
          <w:numId w:val="29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ФРН с нагнетателем до 5000 метров и винтом переменного шага. Срок предъявления 1 сентября 1934 года. Ведутся лабораторные работы с нагнетателем на спецустановках. Винт переменного шага запущены в производство.</w:t>
      </w:r>
    </w:p>
    <w:p w14:paraId="26404557" w14:textId="77777777" w:rsidR="007F23E2" w:rsidRPr="00C33834" w:rsidRDefault="007F23E2" w:rsidP="00C33834">
      <w:pPr>
        <w:numPr>
          <w:ilvl w:val="0"/>
          <w:numId w:val="29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ФРН до 5000 метров с винтом переменного шага и удлиненным валом. Срок предъявления 1 сентября 1934 года. Ведутся конструкторские и исследовательские работы.</w:t>
      </w:r>
    </w:p>
    <w:p w14:paraId="0AB0E1CA" w14:textId="77777777" w:rsidR="007F23E2" w:rsidRPr="00C33834" w:rsidRDefault="007F23E2" w:rsidP="00C33834">
      <w:pPr>
        <w:numPr>
          <w:ilvl w:val="0"/>
          <w:numId w:val="29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с электронным картером. Срок – 1 декабря 1933 года. Мотор прошел заводские испытания и подготовляется к сдаче на гос. испытание.</w:t>
      </w:r>
    </w:p>
    <w:p w14:paraId="3ED2CB4A" w14:textId="77777777" w:rsidR="007F23E2" w:rsidRPr="00C33834" w:rsidRDefault="007F23E2" w:rsidP="00C33834">
      <w:pPr>
        <w:numPr>
          <w:ilvl w:val="0"/>
          <w:numId w:val="29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однорядный. Срок – 1 декабря 1933 года. Мотор старой компановки проходит заводские испытания. Запущен в производство новый вариант с усиленным картером, облегченными деталями и новыми агрегатами.</w:t>
      </w:r>
    </w:p>
    <w:p w14:paraId="37CDA59B" w14:textId="77777777" w:rsidR="007F23E2" w:rsidRPr="00C33834" w:rsidRDefault="007F23E2" w:rsidP="00C33834">
      <w:pPr>
        <w:numPr>
          <w:ilvl w:val="0"/>
          <w:numId w:val="29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ГМ-34 – глиссерный. Срок – 1 августа 1933 года. Два мотора сданы Морвед’у для испытания на глиссерах. Ведутся работы по охлаждению мотора пресной водой и холостому ходу.</w:t>
      </w:r>
    </w:p>
    <w:p w14:paraId="67570F56" w14:textId="77777777" w:rsidR="007F23E2" w:rsidRPr="00C33834" w:rsidRDefault="007F23E2" w:rsidP="00C33834">
      <w:pPr>
        <w:numPr>
          <w:ilvl w:val="0"/>
          <w:numId w:val="29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ГМ-34 Ф. Срок – 1 июля 1934 года. Ведется подготовка к заводским испытаниям.</w:t>
      </w:r>
    </w:p>
    <w:p w14:paraId="11F442E4" w14:textId="77777777" w:rsidR="007F23E2" w:rsidRPr="00C33834" w:rsidRDefault="007F23E2" w:rsidP="00C33834">
      <w:pPr>
        <w:numPr>
          <w:ilvl w:val="0"/>
          <w:numId w:val="30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М-58. Срок – 1 сентября 1933 года. Мотор проходит заводские испытания, которые затянулись вследствие аварий с противовесом и затруднениями в подборе клапанов. Срок отодвигается на декабрь 1933 года.</w:t>
      </w:r>
    </w:p>
    <w:p w14:paraId="62B6E6D7" w14:textId="77777777" w:rsidR="007F23E2" w:rsidRPr="00C33834" w:rsidRDefault="007F23E2" w:rsidP="00C33834">
      <w:pPr>
        <w:numPr>
          <w:ilvl w:val="0"/>
          <w:numId w:val="30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М-32 НР. Срок испытаний 1 июня 1934 года. Мотор проходит экспериментальные испытания. В производстве находится усиленные головки, усиленная передача на клапана и ряд вариантов перебора нагнетателя.</w:t>
      </w:r>
    </w:p>
    <w:p w14:paraId="1DC2A0EC" w14:textId="77777777" w:rsidR="007F23E2" w:rsidRPr="00C33834" w:rsidRDefault="007F23E2" w:rsidP="00C33834">
      <w:pPr>
        <w:numPr>
          <w:ilvl w:val="0"/>
          <w:numId w:val="30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Н-1. Срок заводских испытаний 1 ноября 1933 года. Мотор в деталях закончен. Производится монтаж и испытание отдельных агрегатов.</w:t>
      </w:r>
    </w:p>
    <w:p w14:paraId="4EA436E7" w14:textId="77777777" w:rsidR="007F23E2" w:rsidRPr="00C33834" w:rsidRDefault="007F23E2" w:rsidP="00C33834">
      <w:pPr>
        <w:numPr>
          <w:ilvl w:val="0"/>
          <w:numId w:val="30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Н-5 (ФЕД-8). Срок заводских испытаний 1 сентября 1933 года. Закончено производство деталей. Производится монтаж мотора.</w:t>
      </w:r>
    </w:p>
    <w:p w14:paraId="0CDB2C77" w14:textId="77777777" w:rsidR="007F23E2" w:rsidRPr="00C33834" w:rsidRDefault="007F23E2" w:rsidP="00C33834">
      <w:pPr>
        <w:numPr>
          <w:ilvl w:val="0"/>
          <w:numId w:val="30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М-44. Срок испытаний 1 октября 1933 года. Мотор в деталях закончен. Производится монтаж.</w:t>
      </w:r>
    </w:p>
    <w:p w14:paraId="4F457DF6" w14:textId="77777777" w:rsidR="007F23E2" w:rsidRPr="00C33834" w:rsidRDefault="007F23E2" w:rsidP="00C33834">
      <w:pPr>
        <w:numPr>
          <w:ilvl w:val="0"/>
          <w:numId w:val="30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ГМ-44. Срок не установлен. Ход работ будет зависеть от результатов испытания мотора М-44.</w:t>
      </w:r>
    </w:p>
    <w:p w14:paraId="37FE3111" w14:textId="77777777" w:rsidR="007F23E2" w:rsidRPr="00C33834" w:rsidRDefault="007F23E2" w:rsidP="00C33834">
      <w:pPr>
        <w:numPr>
          <w:ilvl w:val="0"/>
          <w:numId w:val="30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М-48. Срок заводских испытаний 1 сентября 1933 года. Заканчиваются заводские испытания.</w:t>
      </w:r>
    </w:p>
    <w:p w14:paraId="2DAD25D4" w14:textId="77777777" w:rsidR="007F23E2" w:rsidRPr="00C33834" w:rsidRDefault="007F23E2" w:rsidP="00C33834">
      <w:pPr>
        <w:numPr>
          <w:ilvl w:val="0"/>
          <w:numId w:val="30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М-38 Н. Срок заводских испытаний 1 января 1934 года. Проходит испытание 3-х цилиндрового мотора. Запущены в производство ряд вариантов головок, в том числе 4-х клапанная и кулачковый распределительные шайбы.</w:t>
      </w:r>
    </w:p>
    <w:p w14:paraId="669108E2" w14:textId="77777777" w:rsidR="007F23E2" w:rsidRPr="00C33834" w:rsidRDefault="007F23E2" w:rsidP="00C33834">
      <w:pPr>
        <w:numPr>
          <w:ilvl w:val="0"/>
          <w:numId w:val="30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М-56. Срок заводских испытаний 1 октября 1934 года. Ведутся конструкторские и экспериментальные работы. Запущена в производство одноцилиндровая установка (4223, 36-37).</w:t>
      </w:r>
    </w:p>
    <w:p w14:paraId="650EC241" w14:textId="77777777" w:rsidR="007F23E2" w:rsidRPr="00C33834" w:rsidRDefault="007F23E2" w:rsidP="00C33834">
      <w:pPr>
        <w:tabs>
          <w:tab w:val="left" w:pos="360"/>
        </w:tabs>
        <w:spacing w:after="0" w:line="240" w:lineRule="auto"/>
        <w:jc w:val="both"/>
        <w:rPr>
          <w:rFonts w:ascii="Times New Roman" w:hAnsi="Times New Roman"/>
          <w:color w:val="000000" w:themeColor="text1"/>
          <w:sz w:val="16"/>
          <w:szCs w:val="16"/>
        </w:rPr>
      </w:pPr>
    </w:p>
    <w:p w14:paraId="023F36F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сентября 1933 г.¹* Справка Экономического управления ОГПУ СССР о положении с производством авиабомб</w:t>
      </w:r>
    </w:p>
    <w:p w14:paraId="4E2D8005" w14:textId="77777777" w:rsidR="00B2303C" w:rsidRPr="00C33834" w:rsidRDefault="00B2303C" w:rsidP="00C33834">
      <w:pPr>
        <w:pStyle w:val="ae"/>
        <w:spacing w:before="0" w:after="0"/>
        <w:jc w:val="both"/>
        <w:rPr>
          <w:color w:val="000000" w:themeColor="text1"/>
          <w:sz w:val="16"/>
          <w:szCs w:val="16"/>
        </w:rPr>
      </w:pPr>
      <w:r w:rsidRPr="00C33834">
        <w:rPr>
          <w:rStyle w:val="af0"/>
          <w:i w:val="0"/>
          <w:color w:val="000000" w:themeColor="text1"/>
          <w:sz w:val="16"/>
          <w:szCs w:val="16"/>
        </w:rPr>
        <w:t>Совершенно секретно.</w:t>
      </w:r>
    </w:p>
    <w:p w14:paraId="4295202D"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Организация производства авиабомб к настоящему времени совершенно не обеспечивает растущей потребности военно-воздушного флота. Производство авиабомб разбросано по 18 заводам, входящим в состав 15 различных объединений и не обеспечено техническим руководством.</w:t>
      </w:r>
    </w:p>
    <w:p w14:paraId="6E003F74"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За I полугодие выполнение заказов на авиабомбы прошло неудовлетворительно. Особо плохо обстоит выполнение программы по крупным калибрам, что видно из следующей таблицы: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58"/>
        <w:gridCol w:w="1414"/>
        <w:gridCol w:w="2263"/>
        <w:gridCol w:w="752"/>
        <w:gridCol w:w="1036"/>
        <w:gridCol w:w="2899"/>
      </w:tblGrid>
      <w:tr w:rsidR="00F26F01" w:rsidRPr="00C33834" w14:paraId="4F129B68"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8F2E9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крупнокалиберным авиабомбам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A3A0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 бомбы и вес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1181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подачи в I полугодии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5829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EFA9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Процент</w:t>
            </w:r>
          </w:p>
          <w:p w14:paraId="355FA39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35E3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tc>
      </w:tr>
      <w:tr w:rsidR="00F26F01" w:rsidRPr="00C33834" w14:paraId="59A1D200" w14:textId="77777777" w:rsidTr="00CF276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E0B17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Краматорский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3C23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АФБ — 500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DCDF6"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3090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DD69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D2D32A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АФБ — Авиа</w:t>
            </w:r>
            <w:r w:rsidRPr="00C33834">
              <w:rPr>
                <w:rFonts w:ascii="Times New Roman" w:hAnsi="Times New Roman"/>
                <w:color w:val="000000" w:themeColor="text1"/>
                <w:sz w:val="16"/>
                <w:szCs w:val="16"/>
              </w:rPr>
              <w:softHyphen/>
              <w:t>фугасные бомбы</w:t>
            </w:r>
          </w:p>
          <w:p w14:paraId="39FDBA97" w14:textId="77777777" w:rsidR="00B2303C" w:rsidRPr="00C33834" w:rsidRDefault="00B2303C" w:rsidP="00C33834">
            <w:pPr>
              <w:spacing w:after="0" w:line="240" w:lineRule="auto"/>
              <w:jc w:val="both"/>
              <w:rPr>
                <w:rFonts w:ascii="Times New Roman" w:hAnsi="Times New Roman"/>
                <w:color w:val="000000" w:themeColor="text1"/>
                <w:sz w:val="16"/>
                <w:szCs w:val="16"/>
              </w:rPr>
            </w:pPr>
          </w:p>
          <w:p w14:paraId="55EBFEFB"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АБРБ — Авиа</w:t>
            </w:r>
            <w:r w:rsidRPr="00C33834">
              <w:rPr>
                <w:rFonts w:ascii="Times New Roman" w:hAnsi="Times New Roman"/>
                <w:color w:val="000000" w:themeColor="text1"/>
                <w:sz w:val="16"/>
                <w:szCs w:val="16"/>
              </w:rPr>
              <w:softHyphen/>
              <w:t>броне</w:t>
            </w:r>
            <w:r w:rsidRPr="00C33834">
              <w:rPr>
                <w:rFonts w:ascii="Times New Roman" w:hAnsi="Times New Roman"/>
                <w:color w:val="000000" w:themeColor="text1"/>
                <w:sz w:val="16"/>
                <w:szCs w:val="16"/>
              </w:rPr>
              <w:softHyphen/>
              <w:t>бойные бомбы</w:t>
            </w:r>
          </w:p>
        </w:tc>
      </w:tr>
      <w:tr w:rsidR="00F26F01" w:rsidRPr="00C33834" w14:paraId="2FAEAB5E"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0023CA4" w14:textId="77777777" w:rsidR="00B2303C" w:rsidRPr="00C33834" w:rsidRDefault="00B2303C"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DD35F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АФБ — 1000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C557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899E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5895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1038914" w14:textId="77777777" w:rsidR="00B2303C" w:rsidRPr="00C33834" w:rsidRDefault="00B2303C" w:rsidP="00C33834">
            <w:pPr>
              <w:spacing w:after="0" w:line="240" w:lineRule="auto"/>
              <w:jc w:val="both"/>
              <w:rPr>
                <w:rFonts w:ascii="Times New Roman" w:hAnsi="Times New Roman"/>
                <w:color w:val="000000" w:themeColor="text1"/>
                <w:sz w:val="16"/>
                <w:szCs w:val="16"/>
              </w:rPr>
            </w:pPr>
          </w:p>
        </w:tc>
      </w:tr>
      <w:tr w:rsidR="00F26F01" w:rsidRPr="00C33834" w14:paraId="6FB05A36" w14:textId="77777777" w:rsidTr="00CF276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AF10C97" w14:textId="77777777" w:rsidR="00B2303C" w:rsidRPr="00C33834" w:rsidRDefault="00B2303C" w:rsidP="00C33834">
            <w:pPr>
              <w:pStyle w:val="ae"/>
              <w:spacing w:before="0" w:after="0"/>
              <w:jc w:val="both"/>
              <w:rPr>
                <w:color w:val="000000" w:themeColor="text1"/>
                <w:sz w:val="16"/>
                <w:szCs w:val="16"/>
              </w:rPr>
            </w:pPr>
            <w:r w:rsidRPr="00C33834">
              <w:rPr>
                <w:color w:val="000000" w:themeColor="text1"/>
                <w:sz w:val="16"/>
                <w:szCs w:val="16"/>
              </w:rPr>
              <w:t>завод Коломенский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CD5B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АФБ — 500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FDE0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5282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14A5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3FCAE1C" w14:textId="77777777" w:rsidR="00B2303C" w:rsidRPr="00C33834" w:rsidRDefault="00B2303C" w:rsidP="00C33834">
            <w:pPr>
              <w:spacing w:after="0" w:line="240" w:lineRule="auto"/>
              <w:jc w:val="both"/>
              <w:rPr>
                <w:rFonts w:ascii="Times New Roman" w:hAnsi="Times New Roman"/>
                <w:color w:val="000000" w:themeColor="text1"/>
                <w:sz w:val="16"/>
                <w:szCs w:val="16"/>
              </w:rPr>
            </w:pPr>
          </w:p>
        </w:tc>
      </w:tr>
      <w:tr w:rsidR="00F26F01" w:rsidRPr="00C33834" w14:paraId="4FB85F9C"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B81B4FD" w14:textId="77777777" w:rsidR="00B2303C" w:rsidRPr="00C33834" w:rsidRDefault="00B2303C"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0932F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АФБ — 1000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5EF0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F8E3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000D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B0D13AB" w14:textId="77777777" w:rsidR="00B2303C" w:rsidRPr="00C33834" w:rsidRDefault="00B2303C" w:rsidP="00C33834">
            <w:pPr>
              <w:spacing w:after="0" w:line="240" w:lineRule="auto"/>
              <w:jc w:val="both"/>
              <w:rPr>
                <w:rFonts w:ascii="Times New Roman" w:hAnsi="Times New Roman"/>
                <w:color w:val="000000" w:themeColor="text1"/>
                <w:sz w:val="16"/>
                <w:szCs w:val="16"/>
              </w:rPr>
            </w:pPr>
          </w:p>
        </w:tc>
      </w:tr>
      <w:tr w:rsidR="00F26F01" w:rsidRPr="00C33834" w14:paraId="6DCF0A8A" w14:textId="77777777" w:rsidTr="00CF276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F38D15D" w14:textId="77777777" w:rsidR="00B2303C" w:rsidRPr="00C33834" w:rsidRDefault="00B2303C" w:rsidP="00C33834">
            <w:pPr>
              <w:pStyle w:val="ae"/>
              <w:spacing w:before="0" w:after="0"/>
              <w:jc w:val="both"/>
              <w:rPr>
                <w:color w:val="000000" w:themeColor="text1"/>
                <w:sz w:val="16"/>
                <w:szCs w:val="16"/>
              </w:rPr>
            </w:pPr>
            <w:r w:rsidRPr="00C33834">
              <w:rPr>
                <w:color w:val="000000" w:themeColor="text1"/>
                <w:sz w:val="16"/>
                <w:szCs w:val="16"/>
              </w:rPr>
              <w:t>завод № 67 Москва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4D9F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АФБ — 250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BACD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22CD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EF63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5879794" w14:textId="77777777" w:rsidR="00B2303C" w:rsidRPr="00C33834" w:rsidRDefault="00B2303C" w:rsidP="00C33834">
            <w:pPr>
              <w:spacing w:after="0" w:line="240" w:lineRule="auto"/>
              <w:jc w:val="both"/>
              <w:rPr>
                <w:rFonts w:ascii="Times New Roman" w:hAnsi="Times New Roman"/>
                <w:color w:val="000000" w:themeColor="text1"/>
                <w:sz w:val="16"/>
                <w:szCs w:val="16"/>
              </w:rPr>
            </w:pPr>
          </w:p>
        </w:tc>
      </w:tr>
      <w:tr w:rsidR="00F26F01" w:rsidRPr="00C33834" w14:paraId="6AF88472"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AD4410D" w14:textId="77777777" w:rsidR="00B2303C" w:rsidRPr="00C33834" w:rsidRDefault="00B2303C"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D05F5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АФБ — 1000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79C9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E7DF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2EF9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10DD6DB" w14:textId="77777777" w:rsidR="00B2303C" w:rsidRPr="00C33834" w:rsidRDefault="00B2303C" w:rsidP="00C33834">
            <w:pPr>
              <w:spacing w:after="0" w:line="240" w:lineRule="auto"/>
              <w:jc w:val="both"/>
              <w:rPr>
                <w:rFonts w:ascii="Times New Roman" w:hAnsi="Times New Roman"/>
                <w:color w:val="000000" w:themeColor="text1"/>
                <w:sz w:val="16"/>
                <w:szCs w:val="16"/>
              </w:rPr>
            </w:pPr>
          </w:p>
        </w:tc>
      </w:tr>
      <w:tr w:rsidR="00F26F01" w:rsidRPr="00C33834" w14:paraId="735868FE"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AFDF10A" w14:textId="77777777" w:rsidR="00B2303C" w:rsidRPr="00C33834" w:rsidRDefault="00B2303C"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14EE9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АФБ — 2000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0F3A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0831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119D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49A0256" w14:textId="77777777" w:rsidR="00B2303C" w:rsidRPr="00C33834" w:rsidRDefault="00B2303C" w:rsidP="00C33834">
            <w:pPr>
              <w:spacing w:after="0" w:line="240" w:lineRule="auto"/>
              <w:jc w:val="both"/>
              <w:rPr>
                <w:rFonts w:ascii="Times New Roman" w:hAnsi="Times New Roman"/>
                <w:color w:val="000000" w:themeColor="text1"/>
                <w:sz w:val="16"/>
                <w:szCs w:val="16"/>
              </w:rPr>
            </w:pPr>
          </w:p>
        </w:tc>
      </w:tr>
      <w:tr w:rsidR="00F26F01" w:rsidRPr="00C33834" w14:paraId="7C5395CD" w14:textId="77777777" w:rsidTr="00CF276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1C0CA9E" w14:textId="77777777" w:rsidR="00B2303C" w:rsidRPr="00C33834" w:rsidRDefault="00B2303C" w:rsidP="00C33834">
            <w:pPr>
              <w:pStyle w:val="ae"/>
              <w:spacing w:before="0" w:after="0"/>
              <w:jc w:val="both"/>
              <w:rPr>
                <w:color w:val="000000" w:themeColor="text1"/>
                <w:sz w:val="16"/>
                <w:szCs w:val="16"/>
              </w:rPr>
            </w:pPr>
            <w:r w:rsidRPr="00C33834">
              <w:rPr>
                <w:color w:val="000000" w:themeColor="text1"/>
                <w:sz w:val="16"/>
                <w:szCs w:val="16"/>
              </w:rPr>
              <w:t>завод «Коминтерн»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9CA1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АФБ — 250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9D0A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5A46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0DD2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B21EC6" w14:textId="77777777" w:rsidR="00B2303C" w:rsidRPr="00C33834" w:rsidRDefault="00B2303C" w:rsidP="00C33834">
            <w:pPr>
              <w:spacing w:after="0" w:line="240" w:lineRule="auto"/>
              <w:jc w:val="both"/>
              <w:rPr>
                <w:rFonts w:ascii="Times New Roman" w:hAnsi="Times New Roman"/>
                <w:color w:val="000000" w:themeColor="text1"/>
                <w:sz w:val="16"/>
                <w:szCs w:val="16"/>
              </w:rPr>
            </w:pPr>
          </w:p>
        </w:tc>
      </w:tr>
      <w:tr w:rsidR="00F26F01" w:rsidRPr="00C33834" w14:paraId="06E8647C"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DA6CDB0" w14:textId="77777777" w:rsidR="00B2303C" w:rsidRPr="00C33834" w:rsidRDefault="00B2303C"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2DA849"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АФБ — 500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DE01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9ED9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C14D8"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C886070" w14:textId="77777777" w:rsidR="00B2303C" w:rsidRPr="00C33834" w:rsidRDefault="00B2303C" w:rsidP="00C33834">
            <w:pPr>
              <w:spacing w:after="0" w:line="240" w:lineRule="auto"/>
              <w:jc w:val="both"/>
              <w:rPr>
                <w:rFonts w:ascii="Times New Roman" w:hAnsi="Times New Roman"/>
                <w:color w:val="000000" w:themeColor="text1"/>
                <w:sz w:val="16"/>
                <w:szCs w:val="16"/>
              </w:rPr>
            </w:pPr>
          </w:p>
        </w:tc>
      </w:tr>
      <w:tr w:rsidR="00F26F01" w:rsidRPr="00C33834" w14:paraId="7A3CAD50"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639A9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Лысьвенский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DD5B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АФБ — 250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C9EED"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9D4F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B2281"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B37797E" w14:textId="77777777" w:rsidR="00B2303C" w:rsidRPr="00C33834" w:rsidRDefault="00B2303C" w:rsidP="00C33834">
            <w:pPr>
              <w:spacing w:after="0" w:line="240" w:lineRule="auto"/>
              <w:jc w:val="both"/>
              <w:rPr>
                <w:rFonts w:ascii="Times New Roman" w:hAnsi="Times New Roman"/>
                <w:color w:val="000000" w:themeColor="text1"/>
                <w:sz w:val="16"/>
                <w:szCs w:val="16"/>
              </w:rPr>
            </w:pPr>
          </w:p>
        </w:tc>
      </w:tr>
      <w:tr w:rsidR="00F26F01" w:rsidRPr="00C33834" w14:paraId="2DE4F4C7"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D1CE67"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«Красный котельщик»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7EE1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АФБ — 250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64D7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7799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FA2B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B11332D" w14:textId="77777777" w:rsidR="00B2303C" w:rsidRPr="00C33834" w:rsidRDefault="00B2303C" w:rsidP="00C33834">
            <w:pPr>
              <w:spacing w:after="0" w:line="240" w:lineRule="auto"/>
              <w:jc w:val="both"/>
              <w:rPr>
                <w:rFonts w:ascii="Times New Roman" w:hAnsi="Times New Roman"/>
                <w:color w:val="000000" w:themeColor="text1"/>
                <w:sz w:val="16"/>
                <w:szCs w:val="16"/>
              </w:rPr>
            </w:pPr>
          </w:p>
        </w:tc>
      </w:tr>
      <w:tr w:rsidR="00F26F01" w:rsidRPr="00C33834" w14:paraId="2C4BDA59"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8F4F4F"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Рыбинский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25B7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АФБ — 500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B04C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2EA30"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EE723"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44,4%</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126104C" w14:textId="77777777" w:rsidR="00B2303C" w:rsidRPr="00C33834" w:rsidRDefault="00B2303C" w:rsidP="00C33834">
            <w:pPr>
              <w:spacing w:after="0" w:line="240" w:lineRule="auto"/>
              <w:jc w:val="both"/>
              <w:rPr>
                <w:rFonts w:ascii="Times New Roman" w:hAnsi="Times New Roman"/>
                <w:color w:val="000000" w:themeColor="text1"/>
                <w:sz w:val="16"/>
                <w:szCs w:val="16"/>
              </w:rPr>
            </w:pPr>
          </w:p>
        </w:tc>
      </w:tr>
      <w:tr w:rsidR="00F26F01" w:rsidRPr="00C33834" w14:paraId="1453787A"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045EA6"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ММ3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FF53C"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АБРБ </w:t>
            </w:r>
            <w:r w:rsidRPr="00C33834">
              <w:rPr>
                <w:rFonts w:ascii="Times New Roman" w:hAnsi="Times New Roman"/>
                <w:color w:val="000000" w:themeColor="text1"/>
                <w:sz w:val="16"/>
                <w:szCs w:val="16"/>
              </w:rPr>
              <w:noBreakHyphen/>
              <w:t xml:space="preserve"> 1000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FE8D2"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39AF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C543E"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4087A95" w14:textId="77777777" w:rsidR="00B2303C" w:rsidRPr="00C33834" w:rsidRDefault="00B2303C" w:rsidP="00C33834">
            <w:pPr>
              <w:spacing w:after="0" w:line="240" w:lineRule="auto"/>
              <w:jc w:val="both"/>
              <w:rPr>
                <w:rFonts w:ascii="Times New Roman" w:hAnsi="Times New Roman"/>
                <w:color w:val="000000" w:themeColor="text1"/>
                <w:sz w:val="16"/>
                <w:szCs w:val="16"/>
              </w:rPr>
            </w:pPr>
          </w:p>
        </w:tc>
      </w:tr>
    </w:tbl>
    <w:p w14:paraId="6141ABB2"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Более благополучно выполнение программы по производству мелкокалиберных авиабомб (5</w:t>
      </w:r>
      <w:r w:rsidRPr="00C33834">
        <w:rPr>
          <w:color w:val="000000" w:themeColor="text1"/>
          <w:sz w:val="16"/>
          <w:szCs w:val="16"/>
        </w:rPr>
        <w:noBreakHyphen/>
        <w:t>10</w:t>
      </w:r>
      <w:r w:rsidRPr="00C33834">
        <w:rPr>
          <w:color w:val="000000" w:themeColor="text1"/>
          <w:sz w:val="16"/>
          <w:szCs w:val="16"/>
        </w:rPr>
        <w:noBreakHyphen/>
        <w:t>25 кг), где на 10 заводов — 3 выполнили программу полностью, 4 завода — выше 70% и лишь 3 особо отстают (завод «Армалит» — 33%, «Свет шахтера» — 39%, завод «Красный блок» — 50%).</w:t>
      </w:r>
    </w:p>
    <w:p w14:paraId="2F64C187"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Каждый завод ведет производство самостоятельно, экспериментируя над технологическим процессом и даже конструкциями. Так, например: на заводе «Коминтерн» конец со стабилизатором собирается из 4</w:t>
      </w:r>
      <w:r w:rsidRPr="00C33834">
        <w:rPr>
          <w:color w:val="000000" w:themeColor="text1"/>
          <w:sz w:val="16"/>
          <w:szCs w:val="16"/>
        </w:rPr>
        <w:noBreakHyphen/>
        <w:t>х частей при помощи электросварки, а на «Ростсельмаше» этот стабилизатор монтируется из двух скрещивающихся частей и т. д.</w:t>
      </w:r>
    </w:p>
    <w:p w14:paraId="4761272B"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Чертежи по авиабомбам все время меняются, а в имеющихся на производстве чертежах в процессе работы обнаруживаются ошибки, так, чертеж авиационной фугасной бомбы (АФБ) в 100 кг, имея неправильный радиус, 3 раза переделывался в научно-испытательном отделе завода № 67 и Научно-техническом управлении Главного артиллерийского управления, и все-таки завод «Красный молот» по нему в 1 полугодии не смог сделать ни одной бомбы. Спущенный на валовое опытное производство чертеж авиационной осколочной бомбы (АОБ) 14 кг вновь переделывается и, по заявлению Иванова из Научно-технического управления Главного артиллерийского управления РККА, на его доведение потребуется затратить 56 тыс. руб. В прошлом году имелись неоднократные случаи отмены и снятия с производства уже отданных на производство чертежей.</w:t>
      </w:r>
    </w:p>
    <w:p w14:paraId="75286F44"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Производство авиабомб на заводах не считается первостепенной важности делом и внимания к выполнению заказов не уделяется. Краматорский завод, имеющий возможность к выполнению заказов за 1,5 года изготовил только 5 шт. фугасных авиабомб в 1 тыс. кг и 28 шт. в 500 кг. При обследовании Краматорского завода бригадой Спецтехбюро зам. директора Камнев признал, что «мы до сих пор занимались очковтирательством, а теперь мы займемся этим делом».</w:t>
      </w:r>
    </w:p>
    <w:p w14:paraId="2B416AF5"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На Коломенском заводе срыв заказа по крупнокалиберным бомбам объясняется приостановкой работы механического цеха из-за отсутствия приспособлений, тогда как проведенным обследованием была установлена полная возможность производства (по делу остановки цеха ДМ</w:t>
      </w:r>
      <w:r w:rsidRPr="00C33834">
        <w:rPr>
          <w:color w:val="000000" w:themeColor="text1"/>
          <w:sz w:val="16"/>
          <w:szCs w:val="16"/>
        </w:rPr>
        <w:noBreakHyphen/>
        <w:t>1 дано задание ЭКО ПП Московской области произвести расследование). В то время как программа завода № 67 срывается из-за непоставки Коломенским заводом головок авиабомб, на последнем, как установлено проверкой, на 1 июля имелось неотгруженных 4 тыс. шт. головок.</w:t>
      </w:r>
    </w:p>
    <w:p w14:paraId="07B0F82C"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Присланные Верхне-Туринским заводом в мае 3 вагона головок авиабомб были окончательно забракованы. Проведенным поэтому Уральским ПП ОГПУ расследованием привлечены к ответственности через суд инженер завода № 72 Степанов, мастер Попов и начальник ОТК Якушев.</w:t>
      </w:r>
    </w:p>
    <w:p w14:paraId="2B2D682F"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В числе поступающих на заводы Вохимтреста корпусов авиабомб оказывается очень высокий брак. В мае месяце снаряжательным заводом № 12 было получено от Боткинского завода 7 тыс. шт. осколочных авиабомб, из которых 60% было забраковано по резьбе под взрыватель и завод № 12 вынужден был сам сделать исправления. Из 40 тыс. шт. 10 кг авиационных освет[ительных] бомб, поступивших на снаряжение, 80% были не лакированы и все имели малое отверстие для контрольного винта.</w:t>
      </w:r>
    </w:p>
    <w:p w14:paraId="08028F65"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По авиафугасным бомбам АФБ</w:t>
      </w:r>
      <w:r w:rsidRPr="00C33834">
        <w:rPr>
          <w:color w:val="000000" w:themeColor="text1"/>
          <w:sz w:val="16"/>
          <w:szCs w:val="16"/>
        </w:rPr>
        <w:noBreakHyphen/>
        <w:t>500 кг недодел снаряжением произошел из-за некондиционности по запальным станкам, брака ушков и неправильности диаметра, который был сделан не 30,5 + 0,20 допуска, а 29 мм, ввиду чего снаряжательные заводы, производя исправления и доделы, тем самым превращались в ремонтную базу.</w:t>
      </w:r>
    </w:p>
    <w:p w14:paraId="6543D1A2"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Неполное поступление корпусов и необходимость ряда доделок их на заводах Вохимтреста обусловила наряду с другими причинами также и невыполнение программы по снаряжению авиабомб и заводами Вохимтреста (сигнальные 5 кг — 0%, фугасные — 1000 кг — 25%, 500 кг, 50 кг, 10 кг — 62</w:t>
      </w:r>
      <w:r w:rsidRPr="00C33834">
        <w:rPr>
          <w:color w:val="000000" w:themeColor="text1"/>
          <w:sz w:val="16"/>
          <w:szCs w:val="16"/>
        </w:rPr>
        <w:noBreakHyphen/>
        <w:t>65%).</w:t>
      </w:r>
    </w:p>
    <w:p w14:paraId="75CE19AD"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Вопросами конструирования занимается в основном лишь научно-исследовательский отдел (НИО) завода № 67. Работа ведется в основном по образцам типов, имеющихся к концу войны 1914</w:t>
      </w:r>
      <w:r w:rsidRPr="00C33834">
        <w:rPr>
          <w:color w:val="000000" w:themeColor="text1"/>
          <w:sz w:val="16"/>
          <w:szCs w:val="16"/>
        </w:rPr>
        <w:noBreakHyphen/>
        <w:t>1918 гг., новые же типы при испытаниях не дают эффекта (примеры: химическая авиабомба 100 кг (ХАБ-100), запущенная в количестве 3 тыс. шт. в производство, оказалась негодной, с производства снята, таков же результат с ХАБ</w:t>
      </w:r>
      <w:r w:rsidRPr="00C33834">
        <w:rPr>
          <w:color w:val="000000" w:themeColor="text1"/>
          <w:sz w:val="16"/>
          <w:szCs w:val="16"/>
        </w:rPr>
        <w:noBreakHyphen/>
        <w:t>321).</w:t>
      </w:r>
    </w:p>
    <w:p w14:paraId="7EBBFC47"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lastRenderedPageBreak/>
        <w:t>На заводе № 67, ведущем заводе по изготовлению авиабомбработы (сборка, клепка, сварка, чистка, смазка) производятся под открытым небом и временных пристройках, подлежащих сносу. Реконструкция завода затянулась. Директор завода № 67 Кринкин, взяв на себя проектирование, с 1931 г. не представляет генерального плана реконструкции. Снарядный трест не добился от завода своевременного исполнения генплана, и в результате реконструкция проходит частями. При общей затрате 10 млн. руб. вместо первоначально намеченных 4 млн. руб., основной механический корпус для авиабомбостроения в этом году все же не будет пущен.</w:t>
      </w:r>
    </w:p>
    <w:p w14:paraId="0CCA2882"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Вопросами конструирования бомбодержателей занимается ЦАГИ и возглавляет это дело бывший вредитель Надашкевич, непосредственно над конструированием работают инженер Шульгин А. И. и Матвеев В. И., оба антисоветски настроены. Указанные лица за последние 2 года, конструируя бомбодержатели, не дали ни одного механизированного способа подвески бомб, сконструированная ими лебедка к держателю 25 и 26 при испытании забракована и в серию не пошла. В результате средств для механической подвески под самолет авиабомб крупных калибров нет и подвеска производится вручную лебедками, что весьма длительно (подвеска авиабомбы вручную на тяжелом бомбовозе ТБ</w:t>
      </w:r>
      <w:r w:rsidRPr="00C33834">
        <w:rPr>
          <w:color w:val="000000" w:themeColor="text1"/>
          <w:sz w:val="16"/>
          <w:szCs w:val="16"/>
        </w:rPr>
        <w:noBreakHyphen/>
        <w:t>3 при его вооружении в 4 т занимает 2 часа) и опасно, так например: в июне с. г. на полигоне завода № 67 при подвеске вручную 1 кг термической бомбы бомба сорвалась, и от взрыва тяжело пострадал конструктор — т. Богданов (член ВКП(б)). Основной причиной такого положения вещей является отсутствие руководства производством и конструированием авиабомб.</w:t>
      </w:r>
    </w:p>
    <w:p w14:paraId="4280A851"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При указанной раздробленности производства между различными объединениями в Главном военно-мобилизационном управлении НКТяжпрома занимается этим делом только один молодой инженер Ворошнин, окончивший в 1930 г. Московский планово-экономический институт по металлу и не работавший после этого на производстве.</w:t>
      </w:r>
    </w:p>
    <w:p w14:paraId="5CC601E4"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Организованное в марте 1932 г. в ГВМУ Спецтехбюро по авиабомбостроению при 67</w:t>
      </w:r>
      <w:r w:rsidRPr="00C33834">
        <w:rPr>
          <w:color w:val="000000" w:themeColor="text1"/>
          <w:sz w:val="16"/>
          <w:szCs w:val="16"/>
        </w:rPr>
        <w:noBreakHyphen/>
        <w:t>м заводе под руководством директора завода Кринкина объединить руководство всеми заводами, производящими авиабомбы, не может, т. к. имеет исключительно технические задачи (обмен опытом, техническая помощь).</w:t>
      </w:r>
    </w:p>
    <w:p w14:paraId="33437932"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В результате такого положения воздушный флот во время войны может оказаться и количественно, и качественно необеспеченным средствами для бомбардировки.</w:t>
      </w:r>
    </w:p>
    <w:p w14:paraId="3E8D462F" w14:textId="77777777" w:rsidR="00B2303C" w:rsidRPr="00C33834" w:rsidRDefault="00B2303C" w:rsidP="00C33834">
      <w:pPr>
        <w:pStyle w:val="ae"/>
        <w:spacing w:before="0" w:after="0"/>
        <w:jc w:val="both"/>
        <w:rPr>
          <w:color w:val="000000" w:themeColor="text1"/>
          <w:sz w:val="16"/>
          <w:szCs w:val="16"/>
        </w:rPr>
      </w:pPr>
      <w:r w:rsidRPr="00C33834">
        <w:rPr>
          <w:rStyle w:val="af0"/>
          <w:i w:val="0"/>
          <w:color w:val="000000" w:themeColor="text1"/>
          <w:sz w:val="16"/>
          <w:szCs w:val="16"/>
        </w:rPr>
        <w:t>Начальник ЭКУ ОГПУ Миронов</w:t>
      </w:r>
    </w:p>
    <w:p w14:paraId="4CCA5CCE" w14:textId="77777777" w:rsidR="00B2303C" w:rsidRPr="00C33834" w:rsidRDefault="00B2303C" w:rsidP="00C33834">
      <w:pPr>
        <w:pStyle w:val="ae"/>
        <w:spacing w:before="0" w:after="0"/>
        <w:jc w:val="both"/>
        <w:rPr>
          <w:color w:val="000000" w:themeColor="text1"/>
          <w:sz w:val="16"/>
          <w:szCs w:val="16"/>
        </w:rPr>
      </w:pPr>
      <w:r w:rsidRPr="00C33834">
        <w:rPr>
          <w:rStyle w:val="af0"/>
          <w:i w:val="0"/>
          <w:color w:val="000000" w:themeColor="text1"/>
          <w:sz w:val="16"/>
          <w:szCs w:val="16"/>
        </w:rPr>
        <w:t>Начальник IV отд. ЭКУ ОГПУ Калецкий</w:t>
      </w:r>
    </w:p>
    <w:p w14:paraId="0A571B9D" w14:textId="77777777" w:rsidR="00B2303C" w:rsidRPr="00C33834" w:rsidRDefault="00B2303C"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Примечание</w:t>
      </w:r>
      <w:r w:rsidRPr="00C33834">
        <w:rPr>
          <w:color w:val="000000" w:themeColor="text1"/>
          <w:sz w:val="16"/>
          <w:szCs w:val="16"/>
        </w:rPr>
        <w:t>:</w:t>
      </w:r>
    </w:p>
    <w:p w14:paraId="4ACB022B" w14:textId="77777777" w:rsidR="00B2303C" w:rsidRPr="00C33834" w:rsidRDefault="00B2303C" w:rsidP="00C33834">
      <w:pPr>
        <w:pStyle w:val="ae"/>
        <w:spacing w:before="0" w:after="0"/>
        <w:jc w:val="both"/>
        <w:rPr>
          <w:color w:val="000000" w:themeColor="text1"/>
          <w:sz w:val="16"/>
          <w:szCs w:val="16"/>
        </w:rPr>
      </w:pPr>
      <w:r w:rsidRPr="00C33834">
        <w:rPr>
          <w:color w:val="000000" w:themeColor="text1"/>
          <w:sz w:val="16"/>
          <w:szCs w:val="16"/>
        </w:rPr>
        <w:t>¹* Датируется по сопроводительному документу.</w:t>
      </w:r>
    </w:p>
    <w:p w14:paraId="691F04EF" w14:textId="77777777" w:rsidR="00B2303C" w:rsidRPr="00C33834" w:rsidRDefault="00B2303C" w:rsidP="00C33834">
      <w:pPr>
        <w:pStyle w:val="ae"/>
        <w:spacing w:before="0" w:after="0"/>
        <w:jc w:val="both"/>
        <w:rPr>
          <w:color w:val="000000" w:themeColor="text1"/>
          <w:sz w:val="16"/>
          <w:szCs w:val="16"/>
        </w:rPr>
      </w:pPr>
      <w:r w:rsidRPr="00C33834">
        <w:rPr>
          <w:color w:val="000000" w:themeColor="text1"/>
          <w:sz w:val="16"/>
          <w:szCs w:val="16"/>
        </w:rPr>
        <w:t>РГАЭ. Ф. 7297. Оп. 41. Д. 73. Л. 231-227. Копия (15281).</w:t>
      </w:r>
    </w:p>
    <w:p w14:paraId="660D3271" w14:textId="77777777" w:rsidR="00B2303C" w:rsidRPr="00C33834" w:rsidRDefault="00B2303C" w:rsidP="00C33834">
      <w:pPr>
        <w:spacing w:after="0" w:line="240" w:lineRule="auto"/>
        <w:jc w:val="both"/>
        <w:rPr>
          <w:rFonts w:ascii="Times New Roman" w:hAnsi="Times New Roman"/>
          <w:iCs/>
          <w:color w:val="000000" w:themeColor="text1"/>
          <w:sz w:val="16"/>
          <w:szCs w:val="16"/>
        </w:rPr>
      </w:pPr>
    </w:p>
    <w:p w14:paraId="23550F4A" w14:textId="77777777" w:rsidR="00B2303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138557D" w14:textId="77777777" w:rsidR="00B2303C" w:rsidRPr="00C33834" w:rsidRDefault="00B2303C" w:rsidP="00C33834">
      <w:pPr>
        <w:spacing w:after="0" w:line="240" w:lineRule="auto"/>
        <w:jc w:val="both"/>
        <w:rPr>
          <w:rFonts w:ascii="Times New Roman" w:hAnsi="Times New Roman"/>
          <w:iCs/>
          <w:color w:val="000000" w:themeColor="text1"/>
          <w:sz w:val="16"/>
          <w:szCs w:val="16"/>
        </w:rPr>
      </w:pPr>
    </w:p>
    <w:p w14:paraId="39345A7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сентября 1933 г. заводу «Большевик» было предписано нарезать 130/55-мм орудие по чертежу АНИМИ № 338. На 27 октября 1933 г. начальник АНИМИ приказал 130/55-мм пушку как полигональную «с плана снять», а взамен заводу «Большевик» «надлежит нарезать 130/55-мм пушку № 7 углубленной нарезкой по чертежам, выданным на завод… Нарезку закончить к 15.12.1933 г.» (15117).</w:t>
      </w:r>
    </w:p>
    <w:p w14:paraId="287ED6E7" w14:textId="77777777" w:rsidR="00B2303C" w:rsidRPr="00C33834" w:rsidRDefault="00B2303C" w:rsidP="00C33834">
      <w:pPr>
        <w:spacing w:after="0" w:line="240" w:lineRule="auto"/>
        <w:jc w:val="both"/>
        <w:rPr>
          <w:rFonts w:ascii="Times New Roman" w:hAnsi="Times New Roman"/>
          <w:color w:val="000000" w:themeColor="text1"/>
          <w:sz w:val="16"/>
          <w:szCs w:val="16"/>
        </w:rPr>
      </w:pPr>
    </w:p>
    <w:p w14:paraId="25072FB1" w14:textId="77777777" w:rsidR="007F23E2" w:rsidRPr="00C33834" w:rsidRDefault="001A42D5" w:rsidP="00C33834">
      <w:pPr>
        <w:tabs>
          <w:tab w:val="left" w:pos="360"/>
        </w:tabs>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1FBD4FA0" w14:textId="77777777" w:rsidR="007F23E2" w:rsidRPr="00C33834" w:rsidRDefault="007F23E2" w:rsidP="00C33834">
      <w:pPr>
        <w:tabs>
          <w:tab w:val="left" w:pos="360"/>
        </w:tabs>
        <w:spacing w:after="0" w:line="240" w:lineRule="auto"/>
        <w:jc w:val="both"/>
        <w:rPr>
          <w:rFonts w:ascii="Times New Roman" w:hAnsi="Times New Roman"/>
          <w:iCs/>
          <w:color w:val="000000" w:themeColor="text1"/>
          <w:sz w:val="16"/>
          <w:szCs w:val="16"/>
        </w:rPr>
      </w:pPr>
    </w:p>
    <w:p w14:paraId="3CA47B0D" w14:textId="77777777" w:rsidR="007F23E2" w:rsidRPr="00C33834" w:rsidRDefault="007F23E2"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10 сентября 1933 г. Начались опытные передачи в Новосибирске по оптико-механической системе. Оборудование изготовлено в Томском физико-техническом институте (11482).</w:t>
      </w:r>
    </w:p>
    <w:p w14:paraId="0D1177F8" w14:textId="39DBDE3E" w:rsidR="007F23E2" w:rsidRPr="00C33834" w:rsidRDefault="007F23E2" w:rsidP="00C33834">
      <w:pPr>
        <w:pStyle w:val="af2"/>
        <w:jc w:val="both"/>
        <w:rPr>
          <w:i w:val="0"/>
          <w:iCs w:val="0"/>
          <w:color w:val="000000" w:themeColor="text1"/>
          <w:spacing w:val="0"/>
          <w:kern w:val="0"/>
          <w:position w:val="0"/>
          <w:sz w:val="16"/>
          <w:szCs w:val="16"/>
          <w:lang w:val="ru-RU"/>
        </w:rPr>
      </w:pPr>
    </w:p>
    <w:p w14:paraId="42E9B6E2" w14:textId="2B2FAF43" w:rsidR="00270743" w:rsidRPr="00C33834" w:rsidRDefault="00270743" w:rsidP="00C33834">
      <w:pPr>
        <w:pStyle w:val="af2"/>
        <w:jc w:val="both"/>
        <w:rPr>
          <w:color w:val="000000" w:themeColor="text1"/>
          <w:spacing w:val="0"/>
          <w:kern w:val="0"/>
          <w:position w:val="0"/>
          <w:sz w:val="16"/>
          <w:szCs w:val="16"/>
          <w:lang w:val="ru-RU"/>
        </w:rPr>
      </w:pPr>
      <w:r w:rsidRPr="00C33834">
        <w:rPr>
          <w:color w:val="000000" w:themeColor="text1"/>
          <w:spacing w:val="0"/>
          <w:kern w:val="0"/>
          <w:position w:val="0"/>
          <w:sz w:val="16"/>
          <w:szCs w:val="16"/>
          <w:lang w:val="ru-RU"/>
        </w:rPr>
        <w:t>За рубежом:</w:t>
      </w:r>
    </w:p>
    <w:p w14:paraId="46AA8D52" w14:textId="77777777" w:rsidR="00270743" w:rsidRPr="00C33834" w:rsidRDefault="00270743" w:rsidP="00C33834">
      <w:pPr>
        <w:pStyle w:val="af2"/>
        <w:jc w:val="both"/>
        <w:rPr>
          <w:color w:val="000000" w:themeColor="text1"/>
          <w:spacing w:val="0"/>
          <w:kern w:val="0"/>
          <w:position w:val="0"/>
          <w:sz w:val="16"/>
          <w:szCs w:val="16"/>
          <w:lang w:val="ru-RU"/>
        </w:rPr>
      </w:pPr>
    </w:p>
    <w:p w14:paraId="0EF80F59" w14:textId="77777777" w:rsidR="00270743" w:rsidRPr="00C33834" w:rsidRDefault="0027074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 сентября 1933 состоялся первый полет Mignet HM.14 Pou-du-Ciel (20802).</w:t>
      </w:r>
    </w:p>
    <w:p w14:paraId="5D7174CA" w14:textId="77777777" w:rsidR="00270743" w:rsidRPr="00C33834" w:rsidRDefault="00270743" w:rsidP="00C33834">
      <w:pPr>
        <w:spacing w:after="0" w:line="240" w:lineRule="auto"/>
        <w:jc w:val="both"/>
        <w:rPr>
          <w:rFonts w:ascii="Times New Roman" w:hAnsi="Times New Roman"/>
          <w:color w:val="0070C0"/>
          <w:sz w:val="16"/>
          <w:szCs w:val="16"/>
        </w:rPr>
      </w:pPr>
    </w:p>
    <w:p w14:paraId="649A50B5" w14:textId="77777777" w:rsidR="00270743" w:rsidRPr="00C33834" w:rsidRDefault="0027074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 сентября 1933 года — первый полёт сверхлёгкого самолёта Mignet Pou-du-ciel (Mignet HM.14). /Франция/</w:t>
      </w:r>
    </w:p>
    <w:p w14:paraId="0F171C1B" w14:textId="77777777" w:rsidR="00270743" w:rsidRPr="00C33834" w:rsidRDefault="0027074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Бывший военный радист и изобретатель Анри Минье начал строить свои первые самолёты ещё в 1920 году. Основной упор он делал на простоту конструкции, стоимость и безопасность. Наиболее известным его проектом стало семейство самолётов Pou-du-ciel («Небесная блоха»), родоначальником которого стал HM.14.</w:t>
      </w:r>
    </w:p>
    <w:p w14:paraId="049DDDF3" w14:textId="77777777" w:rsidR="00270743" w:rsidRPr="00C33834" w:rsidRDefault="0027074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Минье спроектировал HM.14 по тандемной схеме — переднее крыло с изменяемым углом атаки и фиксированное заднее крыло. Одноместный самолёт оснащался лёгким двигателем от автомобиля или мотоцикла. На HN.14 стоял мотор Aubier-Dunne 500, позволявший развить скорость до 100 км/ч.</w:t>
      </w:r>
    </w:p>
    <w:p w14:paraId="37587836" w14:textId="77777777" w:rsidR="00270743" w:rsidRPr="00C33834" w:rsidRDefault="0027074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Изобретатель заявлял, что любой, кто может управлять автомобилем, сможет летать на Pou-du-ciel. Минье опубликовал чертежи HN.14 и сотни энтузиастов по всему миру в домашних условиях построили свои самолёты. С различными доработками самолёты семейства Pou-du-ciel строятся и сегодня (22300).</w:t>
      </w:r>
    </w:p>
    <w:p w14:paraId="58088DA7" w14:textId="77777777" w:rsidR="00270743" w:rsidRPr="00C33834" w:rsidRDefault="00270743" w:rsidP="00C33834">
      <w:pPr>
        <w:spacing w:after="0" w:line="240" w:lineRule="auto"/>
        <w:jc w:val="both"/>
        <w:rPr>
          <w:rFonts w:ascii="Times New Roman" w:hAnsi="Times New Roman"/>
          <w:color w:val="0070C0"/>
          <w:sz w:val="16"/>
          <w:szCs w:val="16"/>
        </w:rPr>
      </w:pPr>
    </w:p>
    <w:p w14:paraId="5B2F17EF" w14:textId="77777777" w:rsidR="00270743" w:rsidRPr="00C33834" w:rsidRDefault="0027074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 сентября 1933 - Честертон, Индиана, США. Boeing-247 а/к United Air Lines разбился и сгорел, выполняя рейс из Кливленд в Чикаго. Все 7 человек на борту погибают. Самолёт выполнял трансконтинентальный рейс из Ньюарка в Окленд. На борту, помимо трёх членов экипажа, находилось ещё четыре пассажира. Боинг уже приземлялся в Кливленде и летел до следующей остановки в Чикаго, но взорвался в пути. Произошла детонация взрывного устройства, заложенного в багажный отсек; во взрывном устройстве использовался нитроглицерин. Возможно, устройство было оснащено часовым механизмом. Первый доказанный террористический акт в истории коммерческой авиации (22369).</w:t>
      </w:r>
    </w:p>
    <w:p w14:paraId="38B6049D" w14:textId="77777777" w:rsidR="00270743" w:rsidRPr="00C33834" w:rsidRDefault="00270743" w:rsidP="00C33834">
      <w:pPr>
        <w:spacing w:after="0" w:line="240" w:lineRule="auto"/>
        <w:jc w:val="both"/>
        <w:rPr>
          <w:rFonts w:ascii="Times New Roman" w:hAnsi="Times New Roman"/>
          <w:color w:val="0070C0"/>
          <w:sz w:val="16"/>
          <w:szCs w:val="16"/>
        </w:rPr>
      </w:pPr>
    </w:p>
    <w:p w14:paraId="72341B30" w14:textId="77777777" w:rsidR="007F23E2"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404062F" w14:textId="77777777" w:rsidR="007F23E2" w:rsidRPr="00C33834" w:rsidRDefault="007F23E2" w:rsidP="00C33834">
      <w:pPr>
        <w:spacing w:after="0" w:line="240" w:lineRule="auto"/>
        <w:jc w:val="both"/>
        <w:rPr>
          <w:rFonts w:ascii="Times New Roman" w:hAnsi="Times New Roman"/>
          <w:iCs/>
          <w:color w:val="000000" w:themeColor="text1"/>
          <w:sz w:val="16"/>
          <w:szCs w:val="16"/>
        </w:rPr>
      </w:pPr>
    </w:p>
    <w:p w14:paraId="396E1BC1"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сентября 1934 года закончились гос. испытания опытного самолета ЛР-М34Н (легкий разведчик), которые проходили с 31 июля 1934 (6664).</w:t>
      </w:r>
    </w:p>
    <w:p w14:paraId="502B9D6B"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3442F7B3"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Калилец</w:t>
      </w:r>
    </w:p>
    <w:p w14:paraId="0825621A"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летчик –Долгов</w:t>
      </w:r>
    </w:p>
    <w:p w14:paraId="1D312B48"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0256269A" w14:textId="77777777" w:rsidR="007F23E2" w:rsidRPr="00C33834" w:rsidRDefault="007F23E2" w:rsidP="00C33834">
      <w:pPr>
        <w:numPr>
          <w:ilvl w:val="0"/>
          <w:numId w:val="309"/>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 самолета в части снятия летной характеристики и выявления основных летных качеств.</w:t>
      </w:r>
    </w:p>
    <w:p w14:paraId="3E139353" w14:textId="77777777" w:rsidR="007F23E2" w:rsidRPr="00C33834" w:rsidRDefault="007F23E2" w:rsidP="00C33834">
      <w:pPr>
        <w:numPr>
          <w:ilvl w:val="0"/>
          <w:numId w:val="31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Выявление эксплуатационных свойств самолета.</w:t>
      </w:r>
    </w:p>
    <w:p w14:paraId="1007A588" w14:textId="77777777" w:rsidR="007F23E2" w:rsidRPr="00C33834" w:rsidRDefault="007F23E2" w:rsidP="00C33834">
      <w:pPr>
        <w:numPr>
          <w:ilvl w:val="0"/>
          <w:numId w:val="31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Оценка тактических свойств самолета.</w:t>
      </w:r>
    </w:p>
    <w:p w14:paraId="10661CBD"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38693954" w14:textId="77777777" w:rsidR="007F23E2" w:rsidRPr="00C33834" w:rsidRDefault="007F23E2" w:rsidP="00C33834">
      <w:pPr>
        <w:numPr>
          <w:ilvl w:val="0"/>
          <w:numId w:val="31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ЛР обладает хорошими летными данными, является современным разведчиком и может быть пущен в серийную постройку.</w:t>
      </w:r>
    </w:p>
    <w:p w14:paraId="37C92DF9"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w:t>
      </w:r>
    </w:p>
    <w:p w14:paraId="3BF576DC"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прохождения испытаний самолета ЛР-М34Н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74B42A6C" w14:textId="77777777">
        <w:tc>
          <w:tcPr>
            <w:tcW w:w="5636" w:type="dxa"/>
          </w:tcPr>
          <w:p w14:paraId="52DDA1C0"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июля 1934 года</w:t>
            </w:r>
          </w:p>
        </w:tc>
        <w:tc>
          <w:tcPr>
            <w:tcW w:w="5636" w:type="dxa"/>
          </w:tcPr>
          <w:p w14:paraId="1B9315B3"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поступил на гос. испытания.</w:t>
            </w:r>
          </w:p>
        </w:tc>
      </w:tr>
      <w:tr w:rsidR="00F26F01" w:rsidRPr="00C33834" w14:paraId="7884E0E5" w14:textId="77777777">
        <w:tc>
          <w:tcPr>
            <w:tcW w:w="5636" w:type="dxa"/>
          </w:tcPr>
          <w:p w14:paraId="3ECC6C7E"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1934 года</w:t>
            </w:r>
          </w:p>
        </w:tc>
        <w:tc>
          <w:tcPr>
            <w:tcW w:w="5636" w:type="dxa"/>
          </w:tcPr>
          <w:p w14:paraId="436AEFF8"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километраж.</w:t>
            </w:r>
          </w:p>
        </w:tc>
      </w:tr>
      <w:tr w:rsidR="00F26F01" w:rsidRPr="00C33834" w14:paraId="0A55B11C" w14:textId="77777777">
        <w:tc>
          <w:tcPr>
            <w:tcW w:w="5636" w:type="dxa"/>
          </w:tcPr>
          <w:p w14:paraId="1CB4AF4C"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августа 1934 года</w:t>
            </w:r>
          </w:p>
        </w:tc>
        <w:tc>
          <w:tcPr>
            <w:tcW w:w="5636" w:type="dxa"/>
          </w:tcPr>
          <w:p w14:paraId="5AB5C50F"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зубцы.</w:t>
            </w:r>
          </w:p>
        </w:tc>
      </w:tr>
      <w:tr w:rsidR="00F26F01" w:rsidRPr="00C33834" w14:paraId="7601E17F" w14:textId="77777777">
        <w:tc>
          <w:tcPr>
            <w:tcW w:w="5636" w:type="dxa"/>
          </w:tcPr>
          <w:p w14:paraId="14783ECA"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августа 1934 года</w:t>
            </w:r>
          </w:p>
        </w:tc>
        <w:tc>
          <w:tcPr>
            <w:tcW w:w="5636" w:type="dxa"/>
          </w:tcPr>
          <w:p w14:paraId="640D8706"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для проверки автоматического регулятора.</w:t>
            </w:r>
          </w:p>
        </w:tc>
      </w:tr>
      <w:tr w:rsidR="00F26F01" w:rsidRPr="00C33834" w14:paraId="7964D744" w14:textId="77777777">
        <w:tc>
          <w:tcPr>
            <w:tcW w:w="5636" w:type="dxa"/>
          </w:tcPr>
          <w:p w14:paraId="4134A9B1"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августа 1934 года</w:t>
            </w:r>
          </w:p>
        </w:tc>
        <w:tc>
          <w:tcPr>
            <w:tcW w:w="5636" w:type="dxa"/>
          </w:tcPr>
          <w:p w14:paraId="1C5EBC27"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Полеты на испытание бомбардировочного вооружения.</w:t>
            </w:r>
          </w:p>
        </w:tc>
      </w:tr>
      <w:tr w:rsidR="00F26F01" w:rsidRPr="00C33834" w14:paraId="6622A8AD" w14:textId="77777777">
        <w:tc>
          <w:tcPr>
            <w:tcW w:w="5636" w:type="dxa"/>
          </w:tcPr>
          <w:p w14:paraId="2CA34743"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августа 1934 года</w:t>
            </w:r>
          </w:p>
        </w:tc>
        <w:tc>
          <w:tcPr>
            <w:tcW w:w="5636" w:type="dxa"/>
          </w:tcPr>
          <w:p w14:paraId="0EF19D0D"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маневренность и устойчивость.</w:t>
            </w:r>
          </w:p>
        </w:tc>
      </w:tr>
      <w:tr w:rsidR="00F26F01" w:rsidRPr="00C33834" w14:paraId="19D43DF5" w14:textId="77777777">
        <w:tc>
          <w:tcPr>
            <w:tcW w:w="5636" w:type="dxa"/>
          </w:tcPr>
          <w:p w14:paraId="5AADF473"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августа 1934 года</w:t>
            </w:r>
          </w:p>
        </w:tc>
        <w:tc>
          <w:tcPr>
            <w:tcW w:w="5636" w:type="dxa"/>
          </w:tcPr>
          <w:p w14:paraId="5E87C66D"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зубцы.</w:t>
            </w:r>
          </w:p>
        </w:tc>
      </w:tr>
      <w:tr w:rsidR="00F26F01" w:rsidRPr="00C33834" w14:paraId="290146DD" w14:textId="77777777">
        <w:tc>
          <w:tcPr>
            <w:tcW w:w="5636" w:type="dxa"/>
          </w:tcPr>
          <w:p w14:paraId="7E59AB3A"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августа 1934 года</w:t>
            </w:r>
          </w:p>
        </w:tc>
        <w:tc>
          <w:tcPr>
            <w:tcW w:w="5636" w:type="dxa"/>
          </w:tcPr>
          <w:p w14:paraId="510ADE5C"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километраж с бомбами.</w:t>
            </w:r>
          </w:p>
        </w:tc>
      </w:tr>
      <w:tr w:rsidR="00F26F01" w:rsidRPr="00C33834" w14:paraId="411EFB6C" w14:textId="77777777">
        <w:tc>
          <w:tcPr>
            <w:tcW w:w="5636" w:type="dxa"/>
          </w:tcPr>
          <w:p w14:paraId="31086527"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августа 1934 года</w:t>
            </w:r>
          </w:p>
        </w:tc>
        <w:tc>
          <w:tcPr>
            <w:tcW w:w="5636" w:type="dxa"/>
          </w:tcPr>
          <w:p w14:paraId="2A1D4CFB"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скороподъемность с бомбами.</w:t>
            </w:r>
          </w:p>
        </w:tc>
      </w:tr>
      <w:tr w:rsidR="00F26F01" w:rsidRPr="00C33834" w14:paraId="49B09AD8" w14:textId="77777777">
        <w:tc>
          <w:tcPr>
            <w:tcW w:w="5636" w:type="dxa"/>
          </w:tcPr>
          <w:p w14:paraId="5CA02796"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августа 1934 года</w:t>
            </w:r>
          </w:p>
        </w:tc>
        <w:tc>
          <w:tcPr>
            <w:tcW w:w="5636" w:type="dxa"/>
          </w:tcPr>
          <w:p w14:paraId="071B9F08"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w:t>
            </w:r>
          </w:p>
        </w:tc>
      </w:tr>
      <w:tr w:rsidR="00F26F01" w:rsidRPr="00C33834" w14:paraId="7EE6532D" w14:textId="77777777">
        <w:tc>
          <w:tcPr>
            <w:tcW w:w="5636" w:type="dxa"/>
          </w:tcPr>
          <w:p w14:paraId="17313F5E"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августа 1934 года</w:t>
            </w:r>
          </w:p>
        </w:tc>
        <w:tc>
          <w:tcPr>
            <w:tcW w:w="5636" w:type="dxa"/>
          </w:tcPr>
          <w:p w14:paraId="5758A608"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Пробный полет с новым мотором.</w:t>
            </w:r>
          </w:p>
        </w:tc>
      </w:tr>
      <w:tr w:rsidR="00F26F01" w:rsidRPr="00C33834" w14:paraId="39E674B9" w14:textId="77777777">
        <w:tc>
          <w:tcPr>
            <w:tcW w:w="5636" w:type="dxa"/>
          </w:tcPr>
          <w:p w14:paraId="6511D01E"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августа 1934 года</w:t>
            </w:r>
          </w:p>
        </w:tc>
        <w:tc>
          <w:tcPr>
            <w:tcW w:w="5636" w:type="dxa"/>
          </w:tcPr>
          <w:p w14:paraId="776A08F4"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Полеты на испытание химвооружения.</w:t>
            </w:r>
          </w:p>
        </w:tc>
      </w:tr>
      <w:tr w:rsidR="00F26F01" w:rsidRPr="00C33834" w14:paraId="0AB91CAC" w14:textId="77777777">
        <w:tc>
          <w:tcPr>
            <w:tcW w:w="5636" w:type="dxa"/>
          </w:tcPr>
          <w:p w14:paraId="5918AF41"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августа 1934 года</w:t>
            </w:r>
          </w:p>
        </w:tc>
        <w:tc>
          <w:tcPr>
            <w:tcW w:w="5636" w:type="dxa"/>
          </w:tcPr>
          <w:p w14:paraId="2308267C"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Полеты на испытание химвооружения.</w:t>
            </w:r>
          </w:p>
        </w:tc>
      </w:tr>
      <w:tr w:rsidR="00F26F01" w:rsidRPr="00C33834" w14:paraId="0C470CEC" w14:textId="77777777">
        <w:tc>
          <w:tcPr>
            <w:tcW w:w="5636" w:type="dxa"/>
          </w:tcPr>
          <w:p w14:paraId="7A8D99BE"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августа 1934 года</w:t>
            </w:r>
          </w:p>
        </w:tc>
        <w:tc>
          <w:tcPr>
            <w:tcW w:w="5636" w:type="dxa"/>
          </w:tcPr>
          <w:p w14:paraId="2550151F"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расчетную высоту для подбора оборотов винта.</w:t>
            </w:r>
          </w:p>
        </w:tc>
      </w:tr>
      <w:tr w:rsidR="00F26F01" w:rsidRPr="00C33834" w14:paraId="05C2F834" w14:textId="77777777">
        <w:tc>
          <w:tcPr>
            <w:tcW w:w="5636" w:type="dxa"/>
          </w:tcPr>
          <w:p w14:paraId="1CC7783A"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августа 1934 года</w:t>
            </w:r>
          </w:p>
        </w:tc>
        <w:tc>
          <w:tcPr>
            <w:tcW w:w="5636" w:type="dxa"/>
          </w:tcPr>
          <w:p w14:paraId="2B5C0F48"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расчетную высоту для подбора оборотов винта.</w:t>
            </w:r>
          </w:p>
        </w:tc>
      </w:tr>
      <w:tr w:rsidR="00F26F01" w:rsidRPr="00C33834" w14:paraId="799C233E" w14:textId="77777777">
        <w:tc>
          <w:tcPr>
            <w:tcW w:w="5636" w:type="dxa"/>
          </w:tcPr>
          <w:p w14:paraId="23B89B77"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августа 1934 года</w:t>
            </w:r>
          </w:p>
        </w:tc>
        <w:tc>
          <w:tcPr>
            <w:tcW w:w="5636" w:type="dxa"/>
          </w:tcPr>
          <w:p w14:paraId="7C30DD06"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выявление скороподъемности и скоростей по высотам.</w:t>
            </w:r>
          </w:p>
        </w:tc>
      </w:tr>
      <w:tr w:rsidR="00F26F01" w:rsidRPr="00C33834" w14:paraId="39034181" w14:textId="77777777">
        <w:tc>
          <w:tcPr>
            <w:tcW w:w="5636" w:type="dxa"/>
          </w:tcPr>
          <w:p w14:paraId="7600E94C"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29 августа 1934 года</w:t>
            </w:r>
          </w:p>
        </w:tc>
        <w:tc>
          <w:tcPr>
            <w:tcW w:w="5636" w:type="dxa"/>
          </w:tcPr>
          <w:p w14:paraId="1C02F87B"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Полеты на испытание стрелкового и бомбардировочного вооружения.</w:t>
            </w:r>
          </w:p>
        </w:tc>
      </w:tr>
      <w:tr w:rsidR="00F26F01" w:rsidRPr="00C33834" w14:paraId="17AF1A46" w14:textId="77777777">
        <w:tc>
          <w:tcPr>
            <w:tcW w:w="5636" w:type="dxa"/>
          </w:tcPr>
          <w:p w14:paraId="4CF4BBE4"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августа 1934 года</w:t>
            </w:r>
          </w:p>
        </w:tc>
        <w:tc>
          <w:tcPr>
            <w:tcW w:w="5636" w:type="dxa"/>
          </w:tcPr>
          <w:p w14:paraId="63D90559"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Километраж с новым винтом.</w:t>
            </w:r>
          </w:p>
        </w:tc>
      </w:tr>
      <w:tr w:rsidR="00F26F01" w:rsidRPr="00C33834" w14:paraId="5DA39563" w14:textId="77777777">
        <w:tc>
          <w:tcPr>
            <w:tcW w:w="5636" w:type="dxa"/>
          </w:tcPr>
          <w:p w14:paraId="338FBB55"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сентября 1934 года</w:t>
            </w:r>
          </w:p>
        </w:tc>
        <w:tc>
          <w:tcPr>
            <w:tcW w:w="5636" w:type="dxa"/>
          </w:tcPr>
          <w:p w14:paraId="2C1285CB"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по треугольнику.</w:t>
            </w:r>
          </w:p>
        </w:tc>
      </w:tr>
      <w:tr w:rsidR="00F26F01" w:rsidRPr="00C33834" w14:paraId="68E15949" w14:textId="77777777">
        <w:tc>
          <w:tcPr>
            <w:tcW w:w="5636" w:type="dxa"/>
          </w:tcPr>
          <w:p w14:paraId="67A6CC3B"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сентября 1934 года</w:t>
            </w:r>
          </w:p>
        </w:tc>
        <w:tc>
          <w:tcPr>
            <w:tcW w:w="5636" w:type="dxa"/>
          </w:tcPr>
          <w:p w14:paraId="04F5E867"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Облет самолета.</w:t>
            </w:r>
          </w:p>
        </w:tc>
      </w:tr>
      <w:tr w:rsidR="00F26F01" w:rsidRPr="00C33834" w14:paraId="4DC89A6C" w14:textId="77777777">
        <w:tc>
          <w:tcPr>
            <w:tcW w:w="5636" w:type="dxa"/>
          </w:tcPr>
          <w:p w14:paraId="282B2342"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сентября 1934 года</w:t>
            </w:r>
          </w:p>
        </w:tc>
        <w:tc>
          <w:tcPr>
            <w:tcW w:w="5636" w:type="dxa"/>
          </w:tcPr>
          <w:p w14:paraId="19F4575F"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Облет самолета.</w:t>
            </w:r>
          </w:p>
        </w:tc>
      </w:tr>
      <w:tr w:rsidR="00F26F01" w:rsidRPr="00C33834" w14:paraId="199D2450" w14:textId="77777777">
        <w:tc>
          <w:tcPr>
            <w:tcW w:w="5636" w:type="dxa"/>
          </w:tcPr>
          <w:p w14:paraId="23D902F1"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сентября 1934 года</w:t>
            </w:r>
          </w:p>
        </w:tc>
        <w:tc>
          <w:tcPr>
            <w:tcW w:w="5636" w:type="dxa"/>
          </w:tcPr>
          <w:p w14:paraId="5752ABFE"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w:t>
            </w:r>
          </w:p>
        </w:tc>
      </w:tr>
      <w:tr w:rsidR="00F26F01" w:rsidRPr="00C33834" w14:paraId="1179CAC6" w14:textId="77777777">
        <w:tc>
          <w:tcPr>
            <w:tcW w:w="5636" w:type="dxa"/>
          </w:tcPr>
          <w:p w14:paraId="3C86E043"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сентября 1934 года</w:t>
            </w:r>
          </w:p>
        </w:tc>
        <w:tc>
          <w:tcPr>
            <w:tcW w:w="5636" w:type="dxa"/>
          </w:tcPr>
          <w:p w14:paraId="1D5643F5"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скороподъемность с расчетным весом.</w:t>
            </w:r>
          </w:p>
        </w:tc>
      </w:tr>
      <w:tr w:rsidR="00F26F01" w:rsidRPr="00C33834" w14:paraId="220DF426" w14:textId="77777777">
        <w:tc>
          <w:tcPr>
            <w:tcW w:w="5636" w:type="dxa"/>
          </w:tcPr>
          <w:p w14:paraId="0864CD53"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сентября 1934 года</w:t>
            </w:r>
          </w:p>
        </w:tc>
        <w:tc>
          <w:tcPr>
            <w:tcW w:w="5636" w:type="dxa"/>
          </w:tcPr>
          <w:p w14:paraId="1E258FE5"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Полеты на воздушный бой с другими самолетами.</w:t>
            </w:r>
          </w:p>
        </w:tc>
      </w:tr>
    </w:tbl>
    <w:p w14:paraId="0C5C12E0"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выполнены с 31 июля по 11 сентября 1934 года, т.е. за 43 календарных дня, из них полетных дней – 14. Сделано 48 полетов общей продолжительностью 31 час. 10 мин.</w:t>
      </w:r>
    </w:p>
    <w:p w14:paraId="434CD046"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ЛР-М34Н двухместный полутороплан смешанной конструкции.</w:t>
      </w:r>
    </w:p>
    <w:p w14:paraId="74DEF068"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Основное назначение – легкий армейский разведчик и легкий бомбардировщик для полетов днем и ночью. Вооружен одним пулеметом ПВ-1 для стрельбы вперед (через винт) и одним пулеметом Шкасс назад с экранированной турели. Может нести 200 кг бомб или химвооружения (6664).</w:t>
      </w:r>
    </w:p>
    <w:p w14:paraId="27B9C3F6"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p>
    <w:p w14:paraId="1C9F89B7"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сентября 1933 РД-дублер был передан в ОЭЛИД для испытаний (1102).</w:t>
      </w:r>
    </w:p>
    <w:p w14:paraId="2F72E0B0"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6522840C"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сентября 1933 года врид начальника ГУАП Макаровский писал письмо № ОП257/548с в СТО Бакулову</w:t>
      </w:r>
    </w:p>
    <w:p w14:paraId="78309E77"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дополнение к моим переговорам с Вами по телефону, представляю краткую справку о состоянии работ по типам моторов и самолетов опытного плана, утвержденного Наркомвоенмором Ворошиловым.</w:t>
      </w:r>
    </w:p>
    <w:p w14:paraId="7C3C40D3"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 справки на 4-х листах (4223, 33).</w:t>
      </w:r>
    </w:p>
    <w:p w14:paraId="2E8FD9C3"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сентября 1933 Врид начальника ГУАП Макаровский подготовил:</w:t>
      </w:r>
    </w:p>
    <w:p w14:paraId="5FA1D219"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Справка о состоянии работ по плану опытного моторостроения и самолетостроения, утвержденного Наркомвоенмором Ворошиловым 17 июля 1933 года</w:t>
      </w:r>
    </w:p>
    <w:p w14:paraId="5E05F521"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Опытные самолеты.</w:t>
      </w:r>
    </w:p>
    <w:p w14:paraId="2599C9FB" w14:textId="77777777" w:rsidR="007F23E2" w:rsidRPr="00C33834" w:rsidRDefault="007F23E2" w:rsidP="00C33834">
      <w:pPr>
        <w:numPr>
          <w:ilvl w:val="0"/>
          <w:numId w:val="31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 – 6М34. Срок предъявления 15 августа 1933 года. В настоящее время самолет заканчивает заводские испытания. После испытаний с полетным весом 33 тонны, самолет будет предъявлен НИИ ВВС.</w:t>
      </w:r>
    </w:p>
    <w:p w14:paraId="17E6779B" w14:textId="77777777" w:rsidR="007F23E2" w:rsidRPr="00C33834" w:rsidRDefault="007F23E2" w:rsidP="00C33834">
      <w:pPr>
        <w:numPr>
          <w:ilvl w:val="0"/>
          <w:numId w:val="31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 РН. Срок предъявления 1 октября 1934 года. производится установка моторов М34Р на самолет ТБ3. Ведутся работы по переделке подмоторных рам под мотор М-34 РН.</w:t>
      </w:r>
    </w:p>
    <w:p w14:paraId="7F872B7A" w14:textId="77777777" w:rsidR="007F23E2" w:rsidRPr="00C33834" w:rsidRDefault="007F23E2" w:rsidP="00C33834">
      <w:pPr>
        <w:numPr>
          <w:ilvl w:val="0"/>
          <w:numId w:val="31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МИ3-2М34. Срок предъявления 1 сентября 1933 года. после первых полетов обнаружены крупные недостатки, связанные с аэродинамическими и конструктивными формами. Ведутся исследования продувочного и экспериментального характера, как крыла, так и хвостового оперения. На втором строющемся экземпляре вносятся существенные изменения. Срок предъявления намечается к 1 ноября 1933 года.</w:t>
      </w:r>
    </w:p>
    <w:p w14:paraId="7F9BF408" w14:textId="77777777" w:rsidR="007F23E2" w:rsidRPr="00C33834" w:rsidRDefault="007F23E2" w:rsidP="00C33834">
      <w:pPr>
        <w:numPr>
          <w:ilvl w:val="0"/>
          <w:numId w:val="31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МК-1 – 6М34 Рн. Срок предъявления 1 августа 1934 года. Заканчивается изготовление отдельных агрегатов (лодок, крыльев, мотоферм и пр.). Одновременно производится передача конструктивных чертежей заводу № 22 для подготовки серийного производства. Передача чертежей должна быть закончена 15 декабря 1933 года.</w:t>
      </w:r>
    </w:p>
    <w:p w14:paraId="1CEDDBE8" w14:textId="77777777" w:rsidR="007F23E2" w:rsidRPr="00C33834" w:rsidRDefault="007F23E2" w:rsidP="00C33834">
      <w:pPr>
        <w:numPr>
          <w:ilvl w:val="0"/>
          <w:numId w:val="31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МДР4-3М34 РН. Срок предъявления 1 мая 1934 года. Производится изготовление отдельных агрегатов (лодки, крыльев, хвостового оперения) и заготовка моторных ферм. Одновременно идет передача чертежей заводам №№ 31 и 125, для подготовки серийного производства. Передача чертежей должна быть закончена 15 февраля 1934 года.</w:t>
      </w:r>
    </w:p>
    <w:p w14:paraId="6C1A16A4" w14:textId="77777777" w:rsidR="007F23E2" w:rsidRPr="00C33834" w:rsidRDefault="007F23E2" w:rsidP="00C33834">
      <w:pPr>
        <w:numPr>
          <w:ilvl w:val="0"/>
          <w:numId w:val="31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ЛР-М34. Срок предъявления 1 сентября 1933 года. Самолет закончен в производстве. Заводские испытания задерживаются метеорологическими условиями. Будет предъявлен на гос. испытания 1 ноября 1933 года.</w:t>
      </w:r>
    </w:p>
    <w:p w14:paraId="3FE376BB" w14:textId="77777777" w:rsidR="007F23E2" w:rsidRPr="00C33834" w:rsidRDefault="007F23E2" w:rsidP="00C33834">
      <w:pPr>
        <w:numPr>
          <w:ilvl w:val="0"/>
          <w:numId w:val="31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ТШ3-М34. Срок предъявления 1 февраля 1934 года. Производится изготовление отдельных частей для статиспытания. Будет предъявлен на испытание в марте 1934 года.</w:t>
      </w:r>
    </w:p>
    <w:p w14:paraId="144EC62B" w14:textId="77777777" w:rsidR="007F23E2" w:rsidRPr="00C33834" w:rsidRDefault="007F23E2" w:rsidP="00C33834">
      <w:pPr>
        <w:numPr>
          <w:ilvl w:val="0"/>
          <w:numId w:val="32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Бристоль Меркур. Срок предъявления 30 июля 1933 года. Самолет опробован в воздухе. Обнаружена возможность улучшения. В настоящее время заканчивается переделка и самолет должен быть отправлен на аэродром к 15 сентября 1933 года. Срок предъявления на гос. испытания 1 ноября 1933 года.</w:t>
      </w:r>
    </w:p>
    <w:p w14:paraId="2D15181E" w14:textId="77777777" w:rsidR="007F23E2" w:rsidRPr="00C33834" w:rsidRDefault="007F23E2" w:rsidP="00C33834">
      <w:pPr>
        <w:numPr>
          <w:ilvl w:val="0"/>
          <w:numId w:val="32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Райт Циклон. Срок предъявления 1 февраля 1934 года. Заканчивается проектирование и идет заготовка отдельных деталей и узлов.</w:t>
      </w:r>
    </w:p>
    <w:p w14:paraId="1D4B0F17" w14:textId="77777777" w:rsidR="007F23E2" w:rsidRPr="00C33834" w:rsidRDefault="007F23E2" w:rsidP="00C33834">
      <w:pPr>
        <w:numPr>
          <w:ilvl w:val="0"/>
          <w:numId w:val="32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И15 Райт Циклон. Срок предъявления 1 декабря 1933 года. Производится стыковка агрегатов (крыльев, фюзеляжа, мотофермы, хвостового оперения), окончание постройки ожидается в октябре 1933 года. Срок предъявления на гос. испытания – 1 января 1934 года.</w:t>
      </w:r>
    </w:p>
    <w:p w14:paraId="638EB72D" w14:textId="77777777" w:rsidR="007F23E2" w:rsidRPr="00C33834" w:rsidRDefault="007F23E2" w:rsidP="00C33834">
      <w:pPr>
        <w:numPr>
          <w:ilvl w:val="0"/>
          <w:numId w:val="32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И15-М58. Срок предъявления через шесть месяцев после получения мотора. Ведется проектирование и увязка по установке мотора М-58.</w:t>
      </w:r>
    </w:p>
    <w:p w14:paraId="751620AC" w14:textId="77777777" w:rsidR="007F23E2" w:rsidRPr="00C33834" w:rsidRDefault="007F23E2" w:rsidP="00C33834">
      <w:pPr>
        <w:numPr>
          <w:ilvl w:val="0"/>
          <w:numId w:val="32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МБр4-М34. (С62). Срок предъявления 1 августа 1933 года. При заводских испытаниях выявлена непригодность радиаторов. Ведется перепроектировка и изготовление новых радиаторов, которые должны быть окончены к 15 сентября 1933 года. Самолет снят с серийного производства.</w:t>
      </w:r>
    </w:p>
    <w:p w14:paraId="6CF052D4"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 Экспериментальные самолеты.</w:t>
      </w:r>
    </w:p>
    <w:p w14:paraId="5AA68207" w14:textId="77777777" w:rsidR="007F23E2" w:rsidRPr="00C33834" w:rsidRDefault="007F23E2" w:rsidP="00C33834">
      <w:pPr>
        <w:numPr>
          <w:ilvl w:val="0"/>
          <w:numId w:val="32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СК2-М32 (или М34). Срок заводских испытаний 1 декабря 1934 года. Отсутствие моторов М-32 и неясность вопроса с установкой других моторов создали замедление в темпах работы. Проектирование закончено на 75%. Самолет запущен в производство.</w:t>
      </w:r>
    </w:p>
    <w:p w14:paraId="40D73FDA" w14:textId="77777777" w:rsidR="007F23E2" w:rsidRPr="00C33834" w:rsidRDefault="007F23E2" w:rsidP="00C33834">
      <w:pPr>
        <w:numPr>
          <w:ilvl w:val="0"/>
          <w:numId w:val="32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ВС-2М22. Срок заводских испытаний 1 мая 1934 года. Заканчивается эскизный проект.</w:t>
      </w:r>
    </w:p>
    <w:p w14:paraId="1CB96AF6" w14:textId="77777777" w:rsidR="007F23E2" w:rsidRPr="00C33834" w:rsidRDefault="007F23E2" w:rsidP="00C33834">
      <w:pPr>
        <w:numPr>
          <w:ilvl w:val="0"/>
          <w:numId w:val="32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ДИП-2 М34 РН. Срок заводских испытаний 1 июня 1934 года. Ведется проектирование и изготовление отдельных частей (центроплан, фюзеляж, отъемное оперение).</w:t>
      </w:r>
    </w:p>
    <w:p w14:paraId="10490DE7" w14:textId="77777777" w:rsidR="007F23E2" w:rsidRPr="00C33834" w:rsidRDefault="007F23E2" w:rsidP="00C33834">
      <w:pPr>
        <w:numPr>
          <w:ilvl w:val="0"/>
          <w:numId w:val="32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ДИ6-Райт Циклон. Срок заводских испытаний 1 мая 1934 года. Закончен эскизный проект и подготовляется макет.</w:t>
      </w:r>
    </w:p>
    <w:p w14:paraId="5DA702AD" w14:textId="77777777" w:rsidR="007F23E2" w:rsidRPr="00C33834" w:rsidRDefault="007F23E2" w:rsidP="00C33834">
      <w:pPr>
        <w:numPr>
          <w:ilvl w:val="0"/>
          <w:numId w:val="32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К7-М34. Срок заводских испытаний 1 августа 1933 года. Самолет опробован в воздухе. Обнаружены конструктивные недочеты оперения. Внесены исправления и самолет подготовлен к заводским испытаниям.</w:t>
      </w:r>
    </w:p>
    <w:p w14:paraId="6B1E83AE" w14:textId="77777777" w:rsidR="007F23E2" w:rsidRPr="00C33834" w:rsidRDefault="007F23E2" w:rsidP="00C33834">
      <w:pPr>
        <w:numPr>
          <w:ilvl w:val="0"/>
          <w:numId w:val="33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ТБ6- Срок заводских испытаний 1 декабря 1935 года. Ведется изучение материалов и предварительное проектирование. Изготовляются отдельные части для исследования и экспериментов.</w:t>
      </w:r>
    </w:p>
    <w:p w14:paraId="0CAEAC71" w14:textId="77777777" w:rsidR="007F23E2" w:rsidRPr="00C33834" w:rsidRDefault="007F23E2" w:rsidP="00C33834">
      <w:pPr>
        <w:numPr>
          <w:ilvl w:val="0"/>
          <w:numId w:val="33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СР-1 М58. Срок испытания через шесть месяцев после получения моторов. Производится подбор материалов и предварительная проработка.</w:t>
      </w:r>
    </w:p>
    <w:p w14:paraId="241A12D7" w14:textId="77777777" w:rsidR="007F23E2" w:rsidRPr="00C33834" w:rsidRDefault="007F23E2" w:rsidP="00C33834">
      <w:pPr>
        <w:numPr>
          <w:ilvl w:val="0"/>
          <w:numId w:val="33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СС-М34. Срок испытания 1 января 1934 года. Производится сборка отдельных агрегатов. Самолет выйдет с мотором без нагнетателя, но с редуктором.</w:t>
      </w:r>
    </w:p>
    <w:p w14:paraId="175186E4" w14:textId="77777777" w:rsidR="007F23E2" w:rsidRPr="00C33834" w:rsidRDefault="007F23E2" w:rsidP="00C33834">
      <w:pPr>
        <w:numPr>
          <w:ilvl w:val="0"/>
          <w:numId w:val="33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ЛК- . Срок испытания 1 января 1934 года. Заканчивается эскизный проект и производится постройка макета.</w:t>
      </w:r>
    </w:p>
    <w:p w14:paraId="2DB0A8EE" w14:textId="77777777" w:rsidR="007F23E2" w:rsidRPr="00C33834" w:rsidRDefault="007F23E2" w:rsidP="00C33834">
      <w:pPr>
        <w:numPr>
          <w:ilvl w:val="0"/>
          <w:numId w:val="33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РК (Кричевского). Срок испытания 1 октября 1933 года. Проектирование закончено. Производится изготовление отдельных частей самолета.</w:t>
      </w:r>
    </w:p>
    <w:p w14:paraId="6D4D6C9A" w14:textId="77777777" w:rsidR="007F23E2" w:rsidRPr="00C33834" w:rsidRDefault="007F23E2" w:rsidP="00C33834">
      <w:pPr>
        <w:numPr>
          <w:ilvl w:val="0"/>
          <w:numId w:val="33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Геликоптер. Срок испытания 30 июля 1933 года. Ведутся исследования и экспериментальные испытания на аэродроме, со специальным геликоптерным винтом.</w:t>
      </w:r>
    </w:p>
    <w:p w14:paraId="4E4C4E59" w14:textId="77777777" w:rsidR="007F23E2" w:rsidRPr="00C33834" w:rsidRDefault="007F23E2" w:rsidP="00C33834">
      <w:pPr>
        <w:numPr>
          <w:ilvl w:val="0"/>
          <w:numId w:val="33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 М-22. Срок испытания 1 октября 1933 года. Закончена стыковка отдельных агрегатов (крыльев, фюзеляжа, мотофермы, хвостового оперения, шасси).</w:t>
      </w:r>
    </w:p>
    <w:p w14:paraId="606696A7" w14:textId="77777777" w:rsidR="007F23E2" w:rsidRPr="00C33834" w:rsidRDefault="007F23E2" w:rsidP="00C33834">
      <w:pPr>
        <w:numPr>
          <w:ilvl w:val="0"/>
          <w:numId w:val="33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У-3 М-48. Срок испытания 1 июня 1934 года. Заканчивается эскизный проект и ведутся работы по макету.</w:t>
      </w:r>
    </w:p>
    <w:p w14:paraId="5AAE7B34"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(4223, 34-35).</w:t>
      </w:r>
    </w:p>
    <w:p w14:paraId="72B9615D"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Справка по моторам</w:t>
      </w:r>
    </w:p>
    <w:p w14:paraId="4CD92711" w14:textId="77777777" w:rsidR="007F23E2" w:rsidRPr="00C33834" w:rsidRDefault="007F23E2" w:rsidP="00C33834">
      <w:pPr>
        <w:numPr>
          <w:ilvl w:val="0"/>
          <w:numId w:val="338"/>
        </w:numPr>
        <w:tabs>
          <w:tab w:val="left" w:pos="72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Опытные моторы.</w:t>
      </w:r>
    </w:p>
    <w:p w14:paraId="41BCA1CD" w14:textId="77777777" w:rsidR="007F23E2" w:rsidRPr="00C33834" w:rsidRDefault="007F23E2" w:rsidP="00C33834">
      <w:pPr>
        <w:pStyle w:val="a3"/>
        <w:widowControl/>
        <w:numPr>
          <w:ilvl w:val="0"/>
          <w:numId w:val="339"/>
        </w:numPr>
        <w:tabs>
          <w:tab w:val="left" w:pos="360"/>
        </w:tabs>
        <w:ind w:left="0" w:firstLine="0"/>
        <w:rPr>
          <w:color w:val="000000" w:themeColor="text1"/>
          <w:lang w:val="ru-RU"/>
        </w:rPr>
      </w:pPr>
      <w:r w:rsidRPr="00C33834">
        <w:rPr>
          <w:color w:val="000000" w:themeColor="text1"/>
          <w:lang w:val="ru-RU"/>
        </w:rPr>
        <w:t>М-34 Н. Срок предъявления 1 сентября 1933 года. Нагнетатель прошел заводские испытания. Гос. испытания начались.</w:t>
      </w:r>
    </w:p>
    <w:p w14:paraId="7C97FB27" w14:textId="77777777" w:rsidR="007F23E2" w:rsidRPr="00C33834" w:rsidRDefault="007F23E2" w:rsidP="00C33834">
      <w:pPr>
        <w:numPr>
          <w:ilvl w:val="0"/>
          <w:numId w:val="34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РН. Срок предъявления 1 ноября 1933 года. Проходит заводские испытания.</w:t>
      </w:r>
    </w:p>
    <w:p w14:paraId="6D8B0485" w14:textId="77777777" w:rsidR="007F23E2" w:rsidRPr="00C33834" w:rsidRDefault="007F23E2" w:rsidP="00C33834">
      <w:pPr>
        <w:numPr>
          <w:ilvl w:val="0"/>
          <w:numId w:val="34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ФР (форсированный). Срок предъявления 1 марта 1934 года. Проводятся предварительные экспериментальные работы и проектирование. Срок предъявления отодвигается на май 1934 года.</w:t>
      </w:r>
    </w:p>
    <w:p w14:paraId="09395E2D" w14:textId="77777777" w:rsidR="007F23E2" w:rsidRPr="00C33834" w:rsidRDefault="007F23E2" w:rsidP="00C33834">
      <w:pPr>
        <w:numPr>
          <w:ilvl w:val="0"/>
          <w:numId w:val="34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ФРН с нагнетателем до 3500 метров. Срок предъявления 1 мая 1934 года. Работы связаны с М-34 ФР и срок предъявления отодвигается на июль 1934 года.</w:t>
      </w:r>
    </w:p>
    <w:p w14:paraId="78DEA190" w14:textId="77777777" w:rsidR="007F23E2" w:rsidRPr="00C33834" w:rsidRDefault="007F23E2" w:rsidP="00C33834">
      <w:pPr>
        <w:numPr>
          <w:ilvl w:val="0"/>
          <w:numId w:val="34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ФРН с нагнетателем до 5000 метров и винтом переменного шага. Срок предъявления 1 сентября 1934 года. Ведутся лабораторные работы с нагнетателем на спецустановках. Винт переменного шага запущены в производство.</w:t>
      </w:r>
    </w:p>
    <w:p w14:paraId="0FE8FA84" w14:textId="77777777" w:rsidR="007F23E2" w:rsidRPr="00C33834" w:rsidRDefault="007F23E2" w:rsidP="00C33834">
      <w:pPr>
        <w:numPr>
          <w:ilvl w:val="0"/>
          <w:numId w:val="34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ФРН до 5000 метров с винтом переменного шага и удлиненным валом. Срок предъявления 1 сентября 1934 года. Ведутся конструкторские и исследовательские работы.</w:t>
      </w:r>
    </w:p>
    <w:p w14:paraId="77DF4E53" w14:textId="77777777" w:rsidR="007F23E2" w:rsidRPr="00C33834" w:rsidRDefault="007F23E2" w:rsidP="00C33834">
      <w:pPr>
        <w:numPr>
          <w:ilvl w:val="0"/>
          <w:numId w:val="34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с электронным картером. Срок – 1 декабря 1933 года. Мотор прошел заводские испытания и подготовляется к сдаче на гос. испытание.</w:t>
      </w:r>
    </w:p>
    <w:p w14:paraId="4CCCC515" w14:textId="77777777" w:rsidR="007F23E2" w:rsidRPr="00C33834" w:rsidRDefault="007F23E2" w:rsidP="00C33834">
      <w:pPr>
        <w:numPr>
          <w:ilvl w:val="0"/>
          <w:numId w:val="34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однорядный. Срок – 1 декабря 1933 года. Мотор старой компановки проходит заводские испытания. Запущен в производство новый вариант с усиленным картером, облегченными деталями и новыми агрегатами.</w:t>
      </w:r>
    </w:p>
    <w:p w14:paraId="66B18514" w14:textId="77777777" w:rsidR="007F23E2" w:rsidRPr="00C33834" w:rsidRDefault="007F23E2" w:rsidP="00C33834">
      <w:pPr>
        <w:numPr>
          <w:ilvl w:val="0"/>
          <w:numId w:val="34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ГМ-34 – глиссерный. Срок – 1 августа 1933 года. Два мотора сданы Морвед’у для испытания на глиссерах. Ведутся работы по охлаждению мотора пресной водой и холостому ходу.</w:t>
      </w:r>
    </w:p>
    <w:p w14:paraId="434B30EC" w14:textId="77777777" w:rsidR="007F23E2" w:rsidRPr="00C33834" w:rsidRDefault="007F23E2" w:rsidP="00C33834">
      <w:pPr>
        <w:numPr>
          <w:ilvl w:val="0"/>
          <w:numId w:val="34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ГМ-34 Ф. Срок – 1 июля 1934 года. Ведется подготовка к заводским испытаниям.</w:t>
      </w:r>
    </w:p>
    <w:p w14:paraId="36A0B3B6" w14:textId="77777777" w:rsidR="007F23E2" w:rsidRPr="00C33834" w:rsidRDefault="007F23E2" w:rsidP="00C33834">
      <w:pPr>
        <w:numPr>
          <w:ilvl w:val="0"/>
          <w:numId w:val="34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М-58. Срок – 1 сентября 1933 года. Мотор проходит заводские испытания, которые затянулись вследствие аварий с противовесом и затруднениями в подборе клапанов. Срок отодвигается на декабрь 1933 года.</w:t>
      </w:r>
    </w:p>
    <w:p w14:paraId="4E1B2F1F" w14:textId="77777777" w:rsidR="007F23E2" w:rsidRPr="00C33834" w:rsidRDefault="007F23E2" w:rsidP="00C33834">
      <w:pPr>
        <w:numPr>
          <w:ilvl w:val="0"/>
          <w:numId w:val="35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М-32 НР. Срок испытаний 1 июня 1934 года. Мотор проходит экспериментальные испытания. В производстве находится усиленные головки, усиленная передача на клапана и ряд вариантов перебора нагнетателя.</w:t>
      </w:r>
    </w:p>
    <w:p w14:paraId="03EBA895" w14:textId="77777777" w:rsidR="007F23E2" w:rsidRPr="00C33834" w:rsidRDefault="007F23E2" w:rsidP="00C33834">
      <w:pPr>
        <w:numPr>
          <w:ilvl w:val="0"/>
          <w:numId w:val="35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Н-1. Срок заводских испытаний 1 ноября 1933 года. Мотор в деталях закончен. Производится монтаж и испытание отдельных агрегатов.</w:t>
      </w:r>
    </w:p>
    <w:p w14:paraId="02AF1A53" w14:textId="77777777" w:rsidR="007F23E2" w:rsidRPr="00C33834" w:rsidRDefault="007F23E2" w:rsidP="00C33834">
      <w:pPr>
        <w:numPr>
          <w:ilvl w:val="0"/>
          <w:numId w:val="35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Н-5 (ФЕД-8). Срок заводских испытаний 1 сентября 1933 года. Закончено производство деталей. Производится монтаж мотора.</w:t>
      </w:r>
    </w:p>
    <w:p w14:paraId="12918C7D" w14:textId="77777777" w:rsidR="007F23E2" w:rsidRPr="00C33834" w:rsidRDefault="007F23E2" w:rsidP="00C33834">
      <w:pPr>
        <w:numPr>
          <w:ilvl w:val="0"/>
          <w:numId w:val="35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М-44. Срок испытаний 1 октября 1933 года. Мотор в деталях закончен. Производится монтаж.</w:t>
      </w:r>
    </w:p>
    <w:p w14:paraId="74C762F0" w14:textId="77777777" w:rsidR="007F23E2" w:rsidRPr="00C33834" w:rsidRDefault="007F23E2" w:rsidP="00C33834">
      <w:pPr>
        <w:numPr>
          <w:ilvl w:val="0"/>
          <w:numId w:val="35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ГМ-44. Срок не установлен. Ход работ будет зависеть от результатов испытания мотора М-44.</w:t>
      </w:r>
    </w:p>
    <w:p w14:paraId="202B85A1" w14:textId="77777777" w:rsidR="007F23E2" w:rsidRPr="00C33834" w:rsidRDefault="007F23E2" w:rsidP="00C33834">
      <w:pPr>
        <w:numPr>
          <w:ilvl w:val="0"/>
          <w:numId w:val="35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М-48. Срок заводских испытаний 1 сентября 1933 года. Заканчиваются заводские испытания.</w:t>
      </w:r>
    </w:p>
    <w:p w14:paraId="40B22F74" w14:textId="77777777" w:rsidR="007F23E2" w:rsidRPr="00C33834" w:rsidRDefault="007F23E2" w:rsidP="00C33834">
      <w:pPr>
        <w:numPr>
          <w:ilvl w:val="0"/>
          <w:numId w:val="35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М-38 Н. Срок заводских испытаний 1 января 1934 года. Проходит испытание 3-х цилиндрового мотора. Запущены в производство ряд вариантов головок, в том числе 4-х клапанная и кулачковый распределительные шайбы.</w:t>
      </w:r>
    </w:p>
    <w:p w14:paraId="0ED3574D" w14:textId="77777777" w:rsidR="007F23E2" w:rsidRPr="00C33834" w:rsidRDefault="007F23E2" w:rsidP="00C33834">
      <w:pPr>
        <w:numPr>
          <w:ilvl w:val="0"/>
          <w:numId w:val="35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М-56. Срок заводских испытаний 1 октября 1934 года. Ведутся конструкторские и экспериментальные работы. Запущена в производство одноцилиндровая установка (4223, 36-37).</w:t>
      </w:r>
    </w:p>
    <w:p w14:paraId="5CC8D680" w14:textId="77777777" w:rsidR="007F23E2" w:rsidRPr="00C33834" w:rsidRDefault="007F23E2" w:rsidP="00C33834">
      <w:pPr>
        <w:tabs>
          <w:tab w:val="left" w:pos="360"/>
        </w:tabs>
        <w:spacing w:after="0" w:line="240" w:lineRule="auto"/>
        <w:jc w:val="both"/>
        <w:rPr>
          <w:rFonts w:ascii="Times New Roman" w:hAnsi="Times New Roman"/>
          <w:color w:val="000000" w:themeColor="text1"/>
          <w:sz w:val="16"/>
          <w:szCs w:val="16"/>
        </w:rPr>
      </w:pPr>
    </w:p>
    <w:p w14:paraId="1FD9C8D0"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сентября 1933 Консультационный совет при обсуждении вопроса сохранности оболочки стратостата Осоавиахим-1 в лице профессора Мультановского считал, что устойчивая погода для полета будет в 20-ых числах декабря, а профессор Троицкий считал, что это будет в феврале месяце. 24 августа стратостат приняла комиссия ЦС ОАХ под председательством т. Ильина. Тов. Федосеенко считал, что до февраля хранить оболочку нельзя, а нужно будет сделать новую. Основным мотивом к этому он считал, что пропускная способность газа будет не 17-20 м на 1 кв. м, а 60-70 и что опыта в хранении оболочки из такого материала нет. Когда полет было отложен, т. Федосеенко проявил особую заботу о сохранении оболочки и 5.XI донес т. Эйдеману, в каком виде и где хранится оболочка, и еще раз подчеркивал, что газонепроницаемость ее может быть нарушена. Приводя данные о погоде в декабре, он просил назначить полет на потолок 20.000 м, просил также собрать совещание специалистов для установления наиболее благоприятного времени и мест полета (11611).</w:t>
      </w:r>
    </w:p>
    <w:p w14:paraId="00F9A504"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p w14:paraId="043C2894"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1933 разбился самолет польского перелета (Бреге-19), на котором погиб брат С.А.Леваневского Юзеф (100,40). На самом деле - PZL-19 - и произошло это 11 сентября в ходе перелета до Омска. Разбились недалеко от Ядрина - Чувашия (101,42).</w:t>
      </w:r>
    </w:p>
    <w:p w14:paraId="12ED69FF"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39080B66" w14:textId="77777777" w:rsidR="007F23E2"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4AA25A0" w14:textId="77777777" w:rsidR="007F23E2" w:rsidRPr="00C33834" w:rsidRDefault="007F23E2" w:rsidP="00C33834">
      <w:pPr>
        <w:spacing w:after="0" w:line="240" w:lineRule="auto"/>
        <w:jc w:val="both"/>
        <w:rPr>
          <w:rFonts w:ascii="Times New Roman" w:hAnsi="Times New Roman"/>
          <w:iCs/>
          <w:color w:val="000000" w:themeColor="text1"/>
          <w:sz w:val="16"/>
          <w:szCs w:val="16"/>
        </w:rPr>
      </w:pPr>
    </w:p>
    <w:p w14:paraId="6F5F7FA2" w14:textId="77777777" w:rsidR="00C97F35" w:rsidRPr="00C33834" w:rsidRDefault="00C97F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11 сентября 1933 состоялся первый полет Breguet 521 Bizerte (20802).</w:t>
      </w:r>
    </w:p>
    <w:p w14:paraId="3DB06F26" w14:textId="77777777" w:rsidR="00C97F35" w:rsidRPr="00C33834" w:rsidRDefault="00C97F35" w:rsidP="00C33834">
      <w:pPr>
        <w:spacing w:after="0" w:line="240" w:lineRule="auto"/>
        <w:jc w:val="both"/>
        <w:rPr>
          <w:rFonts w:ascii="Times New Roman" w:hAnsi="Times New Roman"/>
          <w:color w:val="0070C0"/>
          <w:sz w:val="16"/>
          <w:szCs w:val="16"/>
        </w:rPr>
      </w:pPr>
    </w:p>
    <w:p w14:paraId="34A4E40A" w14:textId="77777777" w:rsidR="00C97F35" w:rsidRPr="00C33834" w:rsidRDefault="00C97F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11 сентября 1933 - В Гавре первый раз поднялась в воздух французская летающая лодка-дальний разведчик Вr.521 Bizerte. Она ведёт свою родословную от английской Шорт S.8 "Калькутта" (1931 г.), лицензию на которую компания "Бреге" получила от "Шорт бразерс" в 1931 году. Опытный образец этого самолёта, Вr.521-01, строился в соответствии с требованиями задания французского флота на летающую лодку, предназначенную для дальней разведки в море, выданного в 1932 году. На нём стояли три звёздообразных мотора Гном-Рон 14Kdrs по 825 л.с. (22368).</w:t>
      </w:r>
    </w:p>
    <w:p w14:paraId="34CD284E" w14:textId="77777777" w:rsidR="00C97F35" w:rsidRPr="00C33834" w:rsidRDefault="00C97F35" w:rsidP="00C33834">
      <w:pPr>
        <w:spacing w:after="0" w:line="240" w:lineRule="auto"/>
        <w:jc w:val="both"/>
        <w:rPr>
          <w:rFonts w:ascii="Times New Roman" w:hAnsi="Times New Roman"/>
          <w:color w:val="0070C0"/>
          <w:sz w:val="16"/>
          <w:szCs w:val="16"/>
        </w:rPr>
      </w:pPr>
    </w:p>
    <w:p w14:paraId="3D8FF58E" w14:textId="77777777" w:rsidR="00C97F35" w:rsidRPr="00C33834" w:rsidRDefault="00C97F35"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shd w:val="clear" w:color="auto" w:fill="FFFFFF"/>
        </w:rPr>
        <w:t>11 сентября 1933 польский летчик-испытатель Юзеф Леваневский (J;zef Lewoniewski), брат известного советского летчика Сигизмунда Леваневского, вместе с начальником департамента гражданской авиации Польской Республики подполковником Чеславом Филиповичем (Czes;aw Filipowicz) вылетели из Варшавы на польском самолете PZL-19 в попытке установления рекорда дальности в классе легкомоторных самолетов.</w:t>
      </w:r>
    </w:p>
    <w:p w14:paraId="56CC0B6C" w14:textId="77777777" w:rsidR="00C97F35" w:rsidRPr="00C33834" w:rsidRDefault="00C97F35"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shd w:val="clear" w:color="auto" w:fill="FFFFFF"/>
        </w:rPr>
        <w:t>После пролета Нижнего Новгорода погода ухудшилась. При попытке преодолеть штормовой фронт самолет сорвался в штопор, стал неуправляемым и разбился у села Засурское (ныне Засурье), в 12 км от города Ядрин. Леваневский погиб, а Филипович остался жив, получив незначительные травмы.</w:t>
      </w:r>
    </w:p>
    <w:p w14:paraId="6CDF08F8" w14:textId="77777777" w:rsidR="00C97F35" w:rsidRPr="00C33834" w:rsidRDefault="00C97F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shd w:val="clear" w:color="auto" w:fill="FFFFFF"/>
        </w:rPr>
        <w:t>Польские дипломаты по итогам поисково-спасательных работ выразили местным жителям благодарность за «инициативу в розыске тела погибшего летчика», а советские газеты по горячим следам сообщили, что «Леваневского нашли мертвым в овраге в 15 километрах от самолета». Исходя из этой информации я склоняюсь к версии, что Леваневский покинул самолет с парашютом, который не раскрылся и стал причиной гибели летчика, а Филипович, по какой-то причине остался в кабине, а перед самой землей сумел вывести самолет в горизонтальный полет (21438).</w:t>
      </w:r>
    </w:p>
    <w:p w14:paraId="43681106" w14:textId="77777777" w:rsidR="00C97F35" w:rsidRPr="00C33834" w:rsidRDefault="00C97F35" w:rsidP="00C33834">
      <w:pPr>
        <w:spacing w:after="0" w:line="240" w:lineRule="auto"/>
        <w:jc w:val="both"/>
        <w:rPr>
          <w:rFonts w:ascii="Times New Roman" w:hAnsi="Times New Roman"/>
          <w:color w:val="0070C0"/>
          <w:sz w:val="16"/>
          <w:szCs w:val="16"/>
        </w:rPr>
      </w:pPr>
    </w:p>
    <w:p w14:paraId="0E722174"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сентября 1933 родной брат Леваневского - Юзеф Леваневский, который в 1919 г. вместе с семьей вернулся в Польшу, где получил необходимое образование и в 1924 г. и стал военным летчиком на, самолете PZL-19 вместе со штурманом Чеславом Филипповичем он стартовал по направлению на восток. На рассвете 12 сентября 1933 г. польский моноплан потерпел катастрофу в условиях плохой видимости неподалеку от города Ядрин в Чувашии (11941).</w:t>
      </w:r>
    </w:p>
    <w:p w14:paraId="4B7A06B4"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235FFDA3"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сентября 1933 страны латинской Америки подписали в Рио-де-Жанейро пакт о ненападении (3481).</w:t>
      </w:r>
    </w:p>
    <w:p w14:paraId="34920C50"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703A3112" w14:textId="77777777" w:rsidR="00C97F35" w:rsidRPr="00C33834" w:rsidRDefault="00C97F3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3796765" w14:textId="77777777" w:rsidR="00C97F35" w:rsidRPr="00C33834" w:rsidRDefault="00C97F35" w:rsidP="00C33834">
      <w:pPr>
        <w:spacing w:after="0" w:line="240" w:lineRule="auto"/>
        <w:jc w:val="both"/>
        <w:rPr>
          <w:rFonts w:ascii="Times New Roman" w:hAnsi="Times New Roman"/>
          <w:iCs/>
          <w:color w:val="000000" w:themeColor="text1"/>
          <w:sz w:val="16"/>
          <w:szCs w:val="16"/>
        </w:rPr>
      </w:pPr>
    </w:p>
    <w:p w14:paraId="4B82F65D" w14:textId="77777777" w:rsidR="00C97F35" w:rsidRPr="00C33834" w:rsidRDefault="00C97F35"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shd w:val="clear" w:color="auto" w:fill="FFFFFF"/>
        </w:rPr>
        <w:t>12 сентября 1933 из Парижа в Москву на трех самолетах вылетела делегация во главе с министром авиации Франции Пьером Кот (Pierre Jules Cot).</w:t>
      </w:r>
    </w:p>
    <w:p w14:paraId="7A322227" w14:textId="77777777" w:rsidR="00C97F35" w:rsidRPr="00C33834" w:rsidRDefault="00C97F35"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shd w:val="clear" w:color="auto" w:fill="FFFFFF"/>
        </w:rPr>
        <w:t>Министра сопровождали генеральный инспектор ВВС Франции генерал Баррес, начальник кабинета министерства авиации Гаген, начальник военного кабинета министерства авиации Жано, начальник гражданской авиации Помпье и начальник технического снабжения ВВС Франции инженер Како.</w:t>
      </w:r>
    </w:p>
    <w:p w14:paraId="7055203C" w14:textId="77777777" w:rsidR="00C97F35" w:rsidRPr="00C33834" w:rsidRDefault="00C97F35"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shd w:val="clear" w:color="auto" w:fill="FFFFFF"/>
        </w:rPr>
        <w:t>Продемонстрировать уровень французской авиационной промышленности должны были новые пассажирские самолеты «Девуатин» D.332, «Вибо» 282T (Wibault) и «Блох» МВ.120 (Marcel Bloch).</w:t>
      </w:r>
    </w:p>
    <w:p w14:paraId="0CC2978F" w14:textId="77777777" w:rsidR="00C97F35" w:rsidRPr="00C33834" w:rsidRDefault="00C97F35"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shd w:val="clear" w:color="auto" w:fill="FFFFFF"/>
        </w:rPr>
        <w:t>13 сентября делегация прилетела в Киев.</w:t>
      </w:r>
    </w:p>
    <w:p w14:paraId="203D02DF" w14:textId="77777777" w:rsidR="00C97F35" w:rsidRPr="00C33834" w:rsidRDefault="00C97F35"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shd w:val="clear" w:color="auto" w:fill="FFFFFF"/>
        </w:rPr>
        <w:t>15 сентября на центральном аэродроме Москвы делегацию французского министра авиации встречали наркоминдел М.М. Литвинов, начальник ВВС РККА Я.И. Алкснис, командующий войсками Московского военного округа А.И. Корк, французские дипломаты, советские официальные лица и представители прессы.</w:t>
      </w:r>
    </w:p>
    <w:p w14:paraId="5FA3E825" w14:textId="77777777" w:rsidR="00C97F35" w:rsidRPr="00C33834" w:rsidRDefault="00C97F35"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shd w:val="clear" w:color="auto" w:fill="FFFFFF"/>
        </w:rPr>
        <w:t>16 сентября были устроены приемы в честь Пьера Кот во французском посольстве и в наркомате иностранных дел СССР.</w:t>
      </w:r>
    </w:p>
    <w:p w14:paraId="2E0DCA0E" w14:textId="77777777" w:rsidR="00C97F35" w:rsidRPr="00C33834" w:rsidRDefault="00C97F35"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shd w:val="clear" w:color="auto" w:fill="FFFFFF"/>
        </w:rPr>
        <w:t>17 сентября министра авиации Франции принял замнаркомвоенмор М.Н. Тухачевский.</w:t>
      </w:r>
    </w:p>
    <w:p w14:paraId="620D432A" w14:textId="77777777" w:rsidR="00C97F35" w:rsidRPr="00C33834" w:rsidRDefault="00C97F35"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shd w:val="clear" w:color="auto" w:fill="FFFFFF"/>
        </w:rPr>
        <w:t>В тот же день делегация посетила Военно-воздушную академию и авиационный завод №22, на Центральном аэродроме прошли показательные полеты французских самолетов и полет гостей на самолете АНТ-14 над Москвой.</w:t>
      </w:r>
    </w:p>
    <w:p w14:paraId="31D6986C" w14:textId="77777777" w:rsidR="00C97F35" w:rsidRPr="00C33834" w:rsidRDefault="00C97F35"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shd w:val="clear" w:color="auto" w:fill="FFFFFF"/>
        </w:rPr>
        <w:t>В 16.40 в московском аэропорту приземлился самолет «Кузин» 33 (Couzinet) под управлением летчика Де Верней (Charles de Vernheilh), а в 17.00 прилетел «Блерио» 110 «Жозеф Ле Бри», на котором был установлен рекорд дальности полета по прямой – 9104 км. В Москву его привели летчики-рекордсмены Кодос (Paul Codos) и Росси (Maurice Rossi).</w:t>
      </w:r>
    </w:p>
    <w:p w14:paraId="10A22BDF" w14:textId="77777777" w:rsidR="00C97F35" w:rsidRPr="00C33834" w:rsidRDefault="00C97F35"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shd w:val="clear" w:color="auto" w:fill="FFFFFF"/>
        </w:rPr>
        <w:t>20 сентября делегация посетила Кремль, а 21-го вылетела в Киев. До Серпухова французские самолеты сопровождались эскадрильей из 10 советских самолетов.</w:t>
      </w:r>
    </w:p>
    <w:p w14:paraId="3879CC2D" w14:textId="77777777" w:rsidR="00C97F35" w:rsidRPr="00C33834" w:rsidRDefault="00C97F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shd w:val="clear" w:color="auto" w:fill="FFFFFF"/>
        </w:rPr>
        <w:t>22-го французы вылетели из Киева в Париж (21438).</w:t>
      </w:r>
    </w:p>
    <w:p w14:paraId="339A9CBC" w14:textId="77777777" w:rsidR="00C97F35" w:rsidRPr="00C33834" w:rsidRDefault="00C97F35" w:rsidP="00C33834">
      <w:pPr>
        <w:spacing w:after="0" w:line="240" w:lineRule="auto"/>
        <w:jc w:val="both"/>
        <w:rPr>
          <w:rFonts w:ascii="Times New Roman" w:hAnsi="Times New Roman"/>
          <w:color w:val="0070C0"/>
          <w:sz w:val="16"/>
          <w:szCs w:val="16"/>
        </w:rPr>
      </w:pPr>
    </w:p>
    <w:p w14:paraId="61EF3872" w14:textId="77777777" w:rsidR="00C51D0F"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1555005" w14:textId="77777777" w:rsidR="00C51D0F" w:rsidRPr="00C33834" w:rsidRDefault="00C51D0F" w:rsidP="00C33834">
      <w:pPr>
        <w:spacing w:after="0" w:line="240" w:lineRule="auto"/>
        <w:jc w:val="both"/>
        <w:rPr>
          <w:rFonts w:ascii="Times New Roman" w:hAnsi="Times New Roman"/>
          <w:iCs/>
          <w:color w:val="000000" w:themeColor="text1"/>
          <w:sz w:val="16"/>
          <w:szCs w:val="16"/>
        </w:rPr>
      </w:pPr>
    </w:p>
    <w:p w14:paraId="30EBAB28" w14:textId="77777777" w:rsidR="00C51D0F" w:rsidRPr="00C33834" w:rsidRDefault="00C51D0F" w:rsidP="00C33834">
      <w:pPr>
        <w:spacing w:after="0" w:line="240" w:lineRule="auto"/>
        <w:jc w:val="both"/>
        <w:rPr>
          <w:rFonts w:ascii="Times New Roman" w:hAnsi="Times New Roman"/>
          <w:color w:val="000000" w:themeColor="text1"/>
          <w:sz w:val="16"/>
          <w:szCs w:val="16"/>
        </w:rPr>
      </w:pPr>
      <w:r w:rsidRPr="00C33834">
        <w:rPr>
          <w:rFonts w:ascii="Times New Roman" w:eastAsia="Times New Roman" w:hAnsi="Times New Roman"/>
          <w:color w:val="000000" w:themeColor="text1"/>
          <w:sz w:val="16"/>
          <w:szCs w:val="16"/>
          <w:lang w:eastAsia="ru-RU"/>
        </w:rPr>
        <w:t xml:space="preserve">12 сентября </w:t>
      </w:r>
      <w:bookmarkStart w:id="51" w:name="YANDEX_23"/>
      <w:bookmarkEnd w:id="51"/>
      <w:r w:rsidRPr="00C33834">
        <w:rPr>
          <w:rFonts w:ascii="Times New Roman" w:eastAsia="Times New Roman" w:hAnsi="Times New Roman"/>
          <w:color w:val="000000" w:themeColor="text1"/>
          <w:sz w:val="16"/>
          <w:szCs w:val="16"/>
          <w:lang w:eastAsia="ru-RU"/>
        </w:rPr>
        <w:t xml:space="preserve"> 1933  г. Сталин вновь возвратился к вопросу о некомплектности комбайнов в письме Молотову: «Поведение Серго (и Яковлева) в истории о «комплектности продукции» нельзя назвать иначе, как антипартийным, так как оно имеет своей объективной целью защиту реакционных элементов партии </w:t>
      </w:r>
      <w:r w:rsidRPr="00C33834">
        <w:rPr>
          <w:rFonts w:ascii="Times New Roman" w:eastAsia="Times New Roman" w:hAnsi="Times New Roman"/>
          <w:bCs/>
          <w:color w:val="000000" w:themeColor="text1"/>
          <w:sz w:val="16"/>
          <w:szCs w:val="16"/>
          <w:lang w:eastAsia="ru-RU"/>
        </w:rPr>
        <w:t>против</w:t>
      </w:r>
      <w:r w:rsidRPr="00C33834">
        <w:rPr>
          <w:rFonts w:ascii="Times New Roman" w:eastAsia="Times New Roman" w:hAnsi="Times New Roman"/>
          <w:color w:val="000000" w:themeColor="text1"/>
          <w:sz w:val="16"/>
          <w:szCs w:val="16"/>
          <w:lang w:eastAsia="ru-RU"/>
        </w:rPr>
        <w:t>ЦК ВКП(б)[...] Я написал Кагановичу, что против моего ожидания он оказался в этом деле в лагере реакционных элементов партии».</w:t>
      </w:r>
    </w:p>
    <w:p w14:paraId="5C11E11D" w14:textId="77777777" w:rsidR="00C51D0F" w:rsidRPr="00C33834" w:rsidRDefault="00C51D0F"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Конфликт вокруг некомплектности комбайнов продемонстрировал многие скрытые пружины взаимоотношений и реального соотношения сил в советском руководстве. Очевидно, что он свидетельствовал не только о преобладающем влиянии Сталина в Политбюро, но и о том, что в этот период отдельные члены Политбюро также имели определенный вес и право голоса при решении достаточно важных проблем (17281).</w:t>
      </w:r>
    </w:p>
    <w:p w14:paraId="34F60F98" w14:textId="77777777" w:rsidR="00C51D0F" w:rsidRPr="00C33834" w:rsidRDefault="00C51D0F" w:rsidP="00C33834">
      <w:pPr>
        <w:spacing w:after="0" w:line="240" w:lineRule="auto"/>
        <w:jc w:val="both"/>
        <w:rPr>
          <w:rFonts w:ascii="Times New Roman" w:hAnsi="Times New Roman"/>
          <w:color w:val="000000" w:themeColor="text1"/>
          <w:sz w:val="16"/>
          <w:szCs w:val="16"/>
        </w:rPr>
      </w:pPr>
    </w:p>
    <w:p w14:paraId="5EC10FEF" w14:textId="77777777" w:rsidR="007F23E2"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F8D3C3C" w14:textId="77777777" w:rsidR="007F23E2" w:rsidRPr="00C33834" w:rsidRDefault="007F23E2" w:rsidP="00C33834">
      <w:pPr>
        <w:spacing w:after="0" w:line="240" w:lineRule="auto"/>
        <w:jc w:val="both"/>
        <w:rPr>
          <w:rFonts w:ascii="Times New Roman" w:hAnsi="Times New Roman"/>
          <w:iCs/>
          <w:color w:val="000000" w:themeColor="text1"/>
          <w:sz w:val="16"/>
          <w:szCs w:val="16"/>
        </w:rPr>
      </w:pPr>
    </w:p>
    <w:p w14:paraId="584C9FAA"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13 сентября по 5 октября 1933 проходили гос. испытания самолета Звена З-2 (6777).</w:t>
      </w:r>
    </w:p>
    <w:p w14:paraId="0E961CBF"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Ведущий испытания:</w:t>
      </w:r>
    </w:p>
    <w:p w14:paraId="2FD972A7"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 инженер Фролов, Вед. летчик Залевский</w:t>
      </w:r>
    </w:p>
    <w:p w14:paraId="44102B0A"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Летчики: Стефановский, Сузи, Кокинаки, Лагутин</w:t>
      </w:r>
    </w:p>
    <w:p w14:paraId="3B4FE537"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Предварительные замечания</w:t>
      </w:r>
    </w:p>
    <w:p w14:paraId="03194CDF"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Дальнейшее развитие идеи самолета Звена инженера Вахмистрова получило применение в разработанной им же установке на самолете ТБ3 4М17 № 22164 трех И-5 – М22 – два на плоскости и один на фюзеляже, а также двух истребителей Зет, подвешенных под плоскость.</w:t>
      </w:r>
    </w:p>
    <w:p w14:paraId="7CA6AAF9"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всей установки инженера Вахмистрова разбито на три части:</w:t>
      </w:r>
    </w:p>
    <w:p w14:paraId="20FA19DB" w14:textId="77777777" w:rsidR="007F23E2" w:rsidRPr="00C33834" w:rsidRDefault="007F23E2" w:rsidP="00C33834">
      <w:pPr>
        <w:numPr>
          <w:ilvl w:val="0"/>
          <w:numId w:val="358"/>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верхней установки Звена, т.е. ТБ3 4М17 с одним И5, ТБ3 – 4М17 с двумя И5 и ТБ3 4М17 с тремя И5.</w:t>
      </w:r>
    </w:p>
    <w:p w14:paraId="35BEB9A8" w14:textId="77777777" w:rsidR="007F23E2" w:rsidRPr="00C33834" w:rsidRDefault="007F23E2" w:rsidP="00C33834">
      <w:pPr>
        <w:numPr>
          <w:ilvl w:val="0"/>
          <w:numId w:val="359"/>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нижней установки самолета Звена, т.е. ТБ3 4М17 с двумя Зет подвешенными под плоскость, а также ТБ3 4М17 с двумя самолетами Зет и с двумя И5 и ТБ3 с двумя Зет и с тремя И5.</w:t>
      </w:r>
    </w:p>
    <w:p w14:paraId="70E5265D" w14:textId="77777777" w:rsidR="007F23E2" w:rsidRPr="00C33834" w:rsidRDefault="007F23E2" w:rsidP="00C33834">
      <w:pPr>
        <w:numPr>
          <w:ilvl w:val="0"/>
          <w:numId w:val="36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приспособления для посадки среднего самолета И5.</w:t>
      </w:r>
    </w:p>
    <w:p w14:paraId="21FDB0CD"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Настоящий отчет составлен по первой части испытаний, т.е. по верхней установке трех И5 – М22 на ТБ3 4М17.</w:t>
      </w:r>
    </w:p>
    <w:p w14:paraId="1C747B6C"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3BAF94A2"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Гос. испытания «Звена Вахмистрова» ТБ3-4М17 + И5 М22, ТБ3-4М17 + два И5 М22, ТБ3-4М17 + три И5 М22 имели целью:</w:t>
      </w:r>
    </w:p>
    <w:p w14:paraId="59E5DFBE"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определить надежность подъема с самолетов И5-М22 с плоскостей самолета ТБ3-4М17;</w:t>
      </w:r>
    </w:p>
    <w:p w14:paraId="62C57482"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влияние на летные данные самолета ТБ3-4М17 установки на него двух и трех самолетов И5 М22.</w:t>
      </w:r>
    </w:p>
    <w:p w14:paraId="4C137C10"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228B4DAD"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Гос. испытания З-2 пройдены вполне успешно.</w:t>
      </w:r>
    </w:p>
    <w:p w14:paraId="552FB3D9"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5616"/>
      </w:tblGrid>
      <w:tr w:rsidR="00F26F01" w:rsidRPr="00C33834" w14:paraId="02D3FA01" w14:textId="77777777">
        <w:tc>
          <w:tcPr>
            <w:tcW w:w="3024" w:type="dxa"/>
          </w:tcPr>
          <w:p w14:paraId="2213690C"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сентября 1933 года</w:t>
            </w:r>
          </w:p>
        </w:tc>
        <w:tc>
          <w:tcPr>
            <w:tcW w:w="5616" w:type="dxa"/>
          </w:tcPr>
          <w:p w14:paraId="5DB1A356"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Перелет в Щелково</w:t>
            </w:r>
          </w:p>
        </w:tc>
      </w:tr>
      <w:tr w:rsidR="00F26F01" w:rsidRPr="00C33834" w14:paraId="28DD3F09" w14:textId="77777777">
        <w:tc>
          <w:tcPr>
            <w:tcW w:w="3024" w:type="dxa"/>
          </w:tcPr>
          <w:p w14:paraId="192AB116"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сентября 1933 года</w:t>
            </w:r>
          </w:p>
        </w:tc>
        <w:tc>
          <w:tcPr>
            <w:tcW w:w="5616" w:type="dxa"/>
          </w:tcPr>
          <w:p w14:paraId="15D85FBB"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Километраж и тарировка САФА самолета ТБ3-4М17</w:t>
            </w:r>
          </w:p>
        </w:tc>
      </w:tr>
      <w:tr w:rsidR="00F26F01" w:rsidRPr="00C33834" w14:paraId="23AB68C0" w14:textId="77777777">
        <w:tc>
          <w:tcPr>
            <w:tcW w:w="3024" w:type="dxa"/>
          </w:tcPr>
          <w:p w14:paraId="4AC7F54A"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сентября 1933 года</w:t>
            </w:r>
          </w:p>
        </w:tc>
        <w:tc>
          <w:tcPr>
            <w:tcW w:w="5616" w:type="dxa"/>
          </w:tcPr>
          <w:p w14:paraId="7419FA7C"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Облет ТБ3 с двумя И5</w:t>
            </w:r>
          </w:p>
        </w:tc>
      </w:tr>
      <w:tr w:rsidR="00F26F01" w:rsidRPr="00C33834" w14:paraId="3B2CEDCD" w14:textId="77777777">
        <w:tc>
          <w:tcPr>
            <w:tcW w:w="3024" w:type="dxa"/>
          </w:tcPr>
          <w:p w14:paraId="01DE516A"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сентября 1933 года</w:t>
            </w:r>
          </w:p>
        </w:tc>
        <w:tc>
          <w:tcPr>
            <w:tcW w:w="5616" w:type="dxa"/>
          </w:tcPr>
          <w:p w14:paraId="48E603CF"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Облет ТБ3 с одним И5</w:t>
            </w:r>
          </w:p>
        </w:tc>
      </w:tr>
      <w:tr w:rsidR="00F26F01" w:rsidRPr="00C33834" w14:paraId="342A5FED" w14:textId="77777777">
        <w:tc>
          <w:tcPr>
            <w:tcW w:w="3024" w:type="dxa"/>
          </w:tcPr>
          <w:p w14:paraId="45AB9489"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сентября 1933 года</w:t>
            </w:r>
          </w:p>
        </w:tc>
        <w:tc>
          <w:tcPr>
            <w:tcW w:w="5616" w:type="dxa"/>
          </w:tcPr>
          <w:p w14:paraId="626E150C"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Облет ТБ3 с тремя И5</w:t>
            </w:r>
          </w:p>
        </w:tc>
      </w:tr>
      <w:tr w:rsidR="00F26F01" w:rsidRPr="00C33834" w14:paraId="3608DA83" w14:textId="77777777">
        <w:tc>
          <w:tcPr>
            <w:tcW w:w="3024" w:type="dxa"/>
          </w:tcPr>
          <w:p w14:paraId="58AED685"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сентября 1933 года</w:t>
            </w:r>
          </w:p>
        </w:tc>
        <w:tc>
          <w:tcPr>
            <w:tcW w:w="5616" w:type="dxa"/>
          </w:tcPr>
          <w:p w14:paraId="46689AD6"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F26F01" w:rsidRPr="00C33834" w14:paraId="680C1F32" w14:textId="77777777">
        <w:tc>
          <w:tcPr>
            <w:tcW w:w="3024" w:type="dxa"/>
          </w:tcPr>
          <w:p w14:paraId="0CB3941B"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сентября 1933 года</w:t>
            </w:r>
          </w:p>
        </w:tc>
        <w:tc>
          <w:tcPr>
            <w:tcW w:w="5616" w:type="dxa"/>
          </w:tcPr>
          <w:p w14:paraId="60459258"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горизонтальные скорости по высотам одного ТБ3-4М17 с весом 15725 кг</w:t>
            </w:r>
          </w:p>
        </w:tc>
      </w:tr>
      <w:tr w:rsidR="00F26F01" w:rsidRPr="00C33834" w14:paraId="4ACFF577" w14:textId="77777777">
        <w:tc>
          <w:tcPr>
            <w:tcW w:w="3024" w:type="dxa"/>
          </w:tcPr>
          <w:p w14:paraId="3415AA37"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сентября 1933 года</w:t>
            </w:r>
          </w:p>
        </w:tc>
        <w:tc>
          <w:tcPr>
            <w:tcW w:w="5616" w:type="dxa"/>
          </w:tcPr>
          <w:p w14:paraId="3E2FCCC8"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определение горизонтальных скоростей по высотам с одним И5</w:t>
            </w:r>
          </w:p>
        </w:tc>
      </w:tr>
      <w:tr w:rsidR="00F26F01" w:rsidRPr="00C33834" w14:paraId="77F63EEF" w14:textId="77777777">
        <w:tc>
          <w:tcPr>
            <w:tcW w:w="3024" w:type="dxa"/>
          </w:tcPr>
          <w:p w14:paraId="2708A3C8"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сентября 1933 года</w:t>
            </w:r>
          </w:p>
        </w:tc>
        <w:tc>
          <w:tcPr>
            <w:tcW w:w="5616" w:type="dxa"/>
          </w:tcPr>
          <w:p w14:paraId="1180096C"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F26F01" w:rsidRPr="00C33834" w14:paraId="3E6D5103" w14:textId="77777777">
        <w:tc>
          <w:tcPr>
            <w:tcW w:w="3024" w:type="dxa"/>
          </w:tcPr>
          <w:p w14:paraId="3CD95AB3"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сентября 1933 года</w:t>
            </w:r>
          </w:p>
        </w:tc>
        <w:tc>
          <w:tcPr>
            <w:tcW w:w="5616" w:type="dxa"/>
          </w:tcPr>
          <w:p w14:paraId="797952E0"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горизонтальные скорости по высотам с тремя И5</w:t>
            </w:r>
          </w:p>
        </w:tc>
      </w:tr>
      <w:tr w:rsidR="00F26F01" w:rsidRPr="00C33834" w14:paraId="745C4CAE" w14:textId="77777777">
        <w:tc>
          <w:tcPr>
            <w:tcW w:w="3024" w:type="dxa"/>
          </w:tcPr>
          <w:p w14:paraId="02C9C0D4"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сентября 1933 года</w:t>
            </w:r>
          </w:p>
        </w:tc>
        <w:tc>
          <w:tcPr>
            <w:tcW w:w="5616" w:type="dxa"/>
          </w:tcPr>
          <w:p w14:paraId="10F7253D"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горизонтальные скорости по высотам с тремя И5</w:t>
            </w:r>
          </w:p>
        </w:tc>
      </w:tr>
      <w:tr w:rsidR="00F26F01" w:rsidRPr="00C33834" w14:paraId="279FC60A" w14:textId="77777777">
        <w:tc>
          <w:tcPr>
            <w:tcW w:w="3024" w:type="dxa"/>
          </w:tcPr>
          <w:p w14:paraId="13F6B6E9"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сентября 1933 года</w:t>
            </w:r>
          </w:p>
        </w:tc>
        <w:tc>
          <w:tcPr>
            <w:tcW w:w="5616" w:type="dxa"/>
          </w:tcPr>
          <w:p w14:paraId="7AD3BA52"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F26F01" w:rsidRPr="00C33834" w14:paraId="50B9FFEE" w14:textId="77777777">
        <w:tc>
          <w:tcPr>
            <w:tcW w:w="3024" w:type="dxa"/>
          </w:tcPr>
          <w:p w14:paraId="377D36FD"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октября 1933 года</w:t>
            </w:r>
          </w:p>
        </w:tc>
        <w:tc>
          <w:tcPr>
            <w:tcW w:w="5616" w:type="dxa"/>
          </w:tcPr>
          <w:p w14:paraId="59B35B14"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F26F01" w:rsidRPr="00C33834" w14:paraId="52307C9B" w14:textId="77777777">
        <w:tc>
          <w:tcPr>
            <w:tcW w:w="3024" w:type="dxa"/>
          </w:tcPr>
          <w:p w14:paraId="0A9C3C5C"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октября 1933 года</w:t>
            </w:r>
          </w:p>
        </w:tc>
        <w:tc>
          <w:tcPr>
            <w:tcW w:w="5616" w:type="dxa"/>
          </w:tcPr>
          <w:p w14:paraId="26C4424E"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расход горючего с двумя И5</w:t>
            </w:r>
          </w:p>
        </w:tc>
      </w:tr>
      <w:tr w:rsidR="00F26F01" w:rsidRPr="00C33834" w14:paraId="185E5401" w14:textId="77777777">
        <w:tc>
          <w:tcPr>
            <w:tcW w:w="3024" w:type="dxa"/>
          </w:tcPr>
          <w:p w14:paraId="29293115"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5616" w:type="dxa"/>
          </w:tcPr>
          <w:p w14:paraId="2C4CC640"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полетов с налетом 16 час. 23 мин.</w:t>
            </w:r>
          </w:p>
        </w:tc>
      </w:tr>
    </w:tbl>
    <w:p w14:paraId="75C95A2A"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(6777).</w:t>
      </w:r>
    </w:p>
    <w:p w14:paraId="4894F91D"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p>
    <w:p w14:paraId="1625B11E" w14:textId="77777777" w:rsidR="006C13C1" w:rsidRPr="00C33834" w:rsidRDefault="006C13C1" w:rsidP="00C33834">
      <w:pPr>
        <w:pStyle w:val="a3"/>
        <w:rPr>
          <w:color w:val="000000" w:themeColor="text1"/>
          <w:lang w:val="ru-RU"/>
        </w:rPr>
      </w:pPr>
      <w:r w:rsidRPr="00C33834">
        <w:rPr>
          <w:color w:val="000000" w:themeColor="text1"/>
          <w:lang w:val="ru-RU"/>
        </w:rPr>
        <w:t>13 сентября 1933 г. новое Звено на ТБ-3 совершило первый полет; бомбардировщик нес только два истребителя - на крыльях. Командиром ТБ-3 был А.И. Залевский, И-5 пилотирова</w:t>
      </w:r>
      <w:r w:rsidRPr="00C33834">
        <w:rPr>
          <w:color w:val="000000" w:themeColor="text1"/>
          <w:lang w:val="ru-RU"/>
        </w:rPr>
        <w:softHyphen/>
        <w:t>ли В.К. Коккинаки и И.Ф. Гродзь (по дру</w:t>
      </w:r>
      <w:r w:rsidRPr="00C33834">
        <w:rPr>
          <w:color w:val="000000" w:themeColor="text1"/>
          <w:lang w:val="ru-RU"/>
        </w:rPr>
        <w:softHyphen/>
        <w:t>гим данным - Лагутин). Второй полет со</w:t>
      </w:r>
      <w:r w:rsidRPr="00C33834">
        <w:rPr>
          <w:color w:val="000000" w:themeColor="text1"/>
          <w:lang w:val="ru-RU"/>
        </w:rPr>
        <w:softHyphen/>
        <w:t>вершили только с И-5 на фюзеляже, в ка</w:t>
      </w:r>
      <w:r w:rsidRPr="00C33834">
        <w:rPr>
          <w:color w:val="000000" w:themeColor="text1"/>
          <w:lang w:val="ru-RU"/>
        </w:rPr>
        <w:softHyphen/>
        <w:t>бине которого сидел Т.П. Сузи. Носитель обычно взлетал при помощи своих собст</w:t>
      </w:r>
      <w:r w:rsidRPr="00C33834">
        <w:rPr>
          <w:color w:val="000000" w:themeColor="text1"/>
          <w:lang w:val="ru-RU"/>
        </w:rPr>
        <w:softHyphen/>
        <w:t>венных двигателей, а на истребителях их запускали перед отцепкой сжатым воз</w:t>
      </w:r>
      <w:r w:rsidRPr="00C33834">
        <w:rPr>
          <w:color w:val="000000" w:themeColor="text1"/>
          <w:lang w:val="ru-RU"/>
        </w:rPr>
        <w:softHyphen/>
        <w:t>духом. Лишь чтобы замерить максималь</w:t>
      </w:r>
      <w:r w:rsidRPr="00C33834">
        <w:rPr>
          <w:color w:val="000000" w:themeColor="text1"/>
          <w:lang w:val="ru-RU"/>
        </w:rPr>
        <w:softHyphen/>
        <w:t>ные данные «Звена-2» в воздухе исполь</w:t>
      </w:r>
      <w:r w:rsidRPr="00C33834">
        <w:rPr>
          <w:color w:val="000000" w:themeColor="text1"/>
          <w:lang w:val="ru-RU"/>
        </w:rPr>
        <w:softHyphen/>
        <w:t>зовали все моторы комплекта. Результат оказался неоднозначным. С двумя И-5 скорость составляла 199,5 км/ч, а с тре</w:t>
      </w:r>
      <w:r w:rsidRPr="00C33834">
        <w:rPr>
          <w:color w:val="000000" w:themeColor="text1"/>
          <w:lang w:val="ru-RU"/>
        </w:rPr>
        <w:softHyphen/>
        <w:t>мя - 196,5 км/ч, то есть третья машина выигрыша здесь не дала. Зато ее наличие существенно повлияло на скороподъем</w:t>
      </w:r>
      <w:r w:rsidRPr="00C33834">
        <w:rPr>
          <w:color w:val="000000" w:themeColor="text1"/>
          <w:lang w:val="ru-RU"/>
        </w:rPr>
        <w:softHyphen/>
        <w:t>ность и потолок. У «чистого» ТБ-3 практи</w:t>
      </w:r>
      <w:r w:rsidRPr="00C33834">
        <w:rPr>
          <w:color w:val="000000" w:themeColor="text1"/>
          <w:lang w:val="ru-RU"/>
        </w:rPr>
        <w:softHyphen/>
        <w:t>ческий потолок равнялся 3800 м,у носи</w:t>
      </w:r>
      <w:r w:rsidRPr="00C33834">
        <w:rPr>
          <w:color w:val="000000" w:themeColor="text1"/>
          <w:lang w:val="ru-RU"/>
        </w:rPr>
        <w:softHyphen/>
        <w:t>теля с двумя И-5 - 3880 м, а с тремя - 5130 м. Аналогичная ситуация сложилась со скороподъемностью. Бомбардировщик забирался на высоту 3000 м за 53 мин, носитель с двумя И-5 - за 31,5 мин, а с тремя - за 21 мин. Стоявший на фюзеля</w:t>
      </w:r>
      <w:r w:rsidRPr="00C33834">
        <w:rPr>
          <w:color w:val="000000" w:themeColor="text1"/>
          <w:lang w:val="ru-RU"/>
        </w:rPr>
        <w:softHyphen/>
        <w:t>же И-5 отцепили всего один раз, далее он стоял неподвижно (но с летчиком).</w:t>
      </w:r>
    </w:p>
    <w:p w14:paraId="3F088EBC" w14:textId="77777777" w:rsidR="006C13C1" w:rsidRPr="00C33834" w:rsidRDefault="006C13C1" w:rsidP="00C33834">
      <w:pPr>
        <w:pStyle w:val="a3"/>
        <w:rPr>
          <w:color w:val="000000" w:themeColor="text1"/>
          <w:lang w:val="ru-RU"/>
        </w:rPr>
      </w:pPr>
      <w:r w:rsidRPr="00C33834">
        <w:rPr>
          <w:color w:val="000000" w:themeColor="text1"/>
          <w:lang w:val="ru-RU"/>
        </w:rPr>
        <w:t>Однажды на режиме максимальной скорости произошла авария. Когда все пилоты дали полный газ, на среднем И-5 оторвался кок винта. Он отлетел, про</w:t>
      </w:r>
      <w:r w:rsidRPr="00C33834">
        <w:rPr>
          <w:color w:val="000000" w:themeColor="text1"/>
          <w:lang w:val="ru-RU"/>
        </w:rPr>
        <w:softHyphen/>
        <w:t>бив большую дыру в крыле у фюзеляжа. Чтобы не прерывать замер, Вахмистров заткнул пробоину собственной спиной. Командиру самолета П.М. Стефановскому удалось успешно приземлиться.</w:t>
      </w:r>
    </w:p>
    <w:p w14:paraId="46589D09" w14:textId="77777777" w:rsidR="006C13C1" w:rsidRPr="00C33834" w:rsidRDefault="006C13C1" w:rsidP="00C33834">
      <w:pPr>
        <w:pStyle w:val="a3"/>
        <w:rPr>
          <w:color w:val="000000" w:themeColor="text1"/>
          <w:lang w:val="ru-RU"/>
        </w:rPr>
      </w:pPr>
      <w:r w:rsidRPr="00C33834">
        <w:rPr>
          <w:color w:val="000000" w:themeColor="text1"/>
          <w:lang w:val="ru-RU"/>
        </w:rPr>
        <w:t>Испытания закончили 5 октября. Ре</w:t>
      </w:r>
      <w:r w:rsidRPr="00C33834">
        <w:rPr>
          <w:color w:val="000000" w:themeColor="text1"/>
          <w:lang w:val="ru-RU"/>
        </w:rPr>
        <w:softHyphen/>
        <w:t>зультаты их признали успешными. Управ</w:t>
      </w:r>
      <w:r w:rsidRPr="00C33834">
        <w:rPr>
          <w:color w:val="000000" w:themeColor="text1"/>
          <w:lang w:val="ru-RU"/>
        </w:rPr>
        <w:softHyphen/>
        <w:t>ление ВВС в конце 1933 г. стало планиро</w:t>
      </w:r>
      <w:r w:rsidRPr="00C33834">
        <w:rPr>
          <w:color w:val="000000" w:themeColor="text1"/>
          <w:lang w:val="ru-RU"/>
        </w:rPr>
        <w:softHyphen/>
        <w:t>вать размещение подобных «звеньев» на Дальнем Востоке. Две эскадрильи хотели дислоцировать в Воздвиженке, одну - в Хабаровске и одну под Читой. «Зве</w:t>
      </w:r>
      <w:r w:rsidRPr="00C33834">
        <w:rPr>
          <w:color w:val="000000" w:themeColor="text1"/>
          <w:lang w:val="ru-RU"/>
        </w:rPr>
        <w:softHyphen/>
        <w:t>нья» должны были прикрывать соеди</w:t>
      </w:r>
      <w:r w:rsidRPr="00C33834">
        <w:rPr>
          <w:color w:val="000000" w:themeColor="text1"/>
          <w:lang w:val="ru-RU"/>
        </w:rPr>
        <w:softHyphen/>
        <w:t>нения тяжелых бомбардировщиков при ударах по целям в Маньчжурии и Корее. Но вскоре взгляды изменились - И-5 устаревал, ему на смену шли новые типы истребителей.</w:t>
      </w:r>
    </w:p>
    <w:p w14:paraId="508D3AD6" w14:textId="77777777" w:rsidR="006C13C1" w:rsidRPr="00C33834" w:rsidRDefault="006C13C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Вахмистров учел это в последую</w:t>
      </w:r>
      <w:r w:rsidRPr="00C33834">
        <w:rPr>
          <w:rFonts w:ascii="Times New Roman" w:hAnsi="Times New Roman"/>
          <w:color w:val="000000" w:themeColor="text1"/>
          <w:sz w:val="16"/>
          <w:szCs w:val="16"/>
        </w:rPr>
        <w:softHyphen/>
        <w:t>щих проектах. Они выполнялись уже в конструкторском бюро завода №22 в Филях, куда его перевели:</w:t>
      </w:r>
    </w:p>
    <w:p w14:paraId="5516F20B" w14:textId="77777777" w:rsidR="006C13C1" w:rsidRPr="00C33834" w:rsidRDefault="006C13C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«Звене-3» он использовал два уже упоминавшихся выше моноплана И-Зет (И-</w:t>
      </w:r>
      <w:r w:rsidRPr="00C33834">
        <w:rPr>
          <w:rFonts w:ascii="Times New Roman" w:hAnsi="Times New Roman"/>
          <w:color w:val="000000" w:themeColor="text1"/>
          <w:sz w:val="16"/>
          <w:szCs w:val="16"/>
          <w:lang w:val="en-US"/>
        </w:rPr>
        <w:t>Z</w:t>
      </w:r>
      <w:r w:rsidRPr="00C33834">
        <w:rPr>
          <w:rFonts w:ascii="Times New Roman" w:hAnsi="Times New Roman"/>
          <w:color w:val="000000" w:themeColor="text1"/>
          <w:sz w:val="16"/>
          <w:szCs w:val="16"/>
        </w:rPr>
        <w:t>) конструкции Д.П. Григоровича. Эта цельнометалличе</w:t>
      </w:r>
      <w:r w:rsidRPr="00C33834">
        <w:rPr>
          <w:rFonts w:ascii="Times New Roman" w:hAnsi="Times New Roman"/>
          <w:color w:val="000000" w:themeColor="text1"/>
          <w:sz w:val="16"/>
          <w:szCs w:val="16"/>
        </w:rPr>
        <w:softHyphen/>
        <w:t>ская машина вооружалась двумя 76-мм динамореактивными (безоткатными) пушпуш</w:t>
      </w:r>
      <w:r w:rsidRPr="00C33834">
        <w:rPr>
          <w:rFonts w:ascii="Times New Roman" w:hAnsi="Times New Roman"/>
          <w:color w:val="000000" w:themeColor="text1"/>
          <w:sz w:val="16"/>
          <w:szCs w:val="16"/>
        </w:rPr>
        <w:softHyphen/>
        <w:t>ками. Подвеску таких самолетов под кры</w:t>
      </w:r>
      <w:r w:rsidRPr="00C33834">
        <w:rPr>
          <w:rFonts w:ascii="Times New Roman" w:hAnsi="Times New Roman"/>
          <w:color w:val="000000" w:themeColor="text1"/>
          <w:sz w:val="16"/>
          <w:szCs w:val="16"/>
        </w:rPr>
        <w:softHyphen/>
        <w:t>лом ТБ-3 конструктор уже прорабатывал в ходе создания «Звена-2». Такой подход значительно упрощал размещение ис</w:t>
      </w:r>
      <w:r w:rsidRPr="00C33834">
        <w:rPr>
          <w:rFonts w:ascii="Times New Roman" w:hAnsi="Times New Roman"/>
          <w:color w:val="000000" w:themeColor="text1"/>
          <w:sz w:val="16"/>
          <w:szCs w:val="16"/>
        </w:rPr>
        <w:softHyphen/>
        <w:t>требителей. Не требовались громоздкие деревянные мостки, не нужен был целый</w:t>
      </w:r>
    </w:p>
    <w:p w14:paraId="6C5062B7" w14:textId="77777777" w:rsidR="006C13C1" w:rsidRPr="00C33834" w:rsidRDefault="006C13C1" w:rsidP="00C33834">
      <w:pPr>
        <w:pStyle w:val="a3"/>
        <w:rPr>
          <w:color w:val="000000" w:themeColor="text1"/>
          <w:lang w:val="ru-RU"/>
        </w:rPr>
      </w:pPr>
      <w:r w:rsidRPr="00C33834">
        <w:rPr>
          <w:rStyle w:val="ArialNarrow10"/>
          <w:rFonts w:ascii="Times New Roman" w:hAnsi="Times New Roman" w:cs="Times New Roman"/>
          <w:b w:val="0"/>
          <w:color w:val="000000" w:themeColor="text1"/>
          <w:sz w:val="16"/>
          <w:szCs w:val="16"/>
          <w:lang w:val="ru-RU"/>
        </w:rPr>
        <w:t>Первый</w:t>
      </w:r>
      <w:r w:rsidRPr="00C33834">
        <w:rPr>
          <w:color w:val="000000" w:themeColor="text1"/>
          <w:lang w:val="ru-RU"/>
        </w:rPr>
        <w:t xml:space="preserve"> же полет «Звена-З» закончил</w:t>
      </w:r>
      <w:r w:rsidRPr="00C33834">
        <w:rPr>
          <w:color w:val="000000" w:themeColor="text1"/>
          <w:lang w:val="ru-RU"/>
        </w:rPr>
        <w:softHyphen/>
      </w:r>
      <w:r w:rsidRPr="00C33834">
        <w:rPr>
          <w:rStyle w:val="910"/>
          <w:rFonts w:ascii="Times New Roman" w:hAnsi="Times New Roman" w:cs="Times New Roman"/>
          <w:b w:val="0"/>
          <w:color w:val="000000" w:themeColor="text1"/>
          <w:spacing w:val="0"/>
          <w:sz w:val="16"/>
          <w:szCs w:val="16"/>
          <w:lang w:val="ru-RU"/>
        </w:rPr>
        <w:t>ся</w:t>
      </w:r>
      <w:r w:rsidRPr="00C33834">
        <w:rPr>
          <w:rStyle w:val="ArialNarrow10"/>
          <w:rFonts w:ascii="Times New Roman" w:hAnsi="Times New Roman" w:cs="Times New Roman"/>
          <w:b w:val="0"/>
          <w:color w:val="000000" w:themeColor="text1"/>
          <w:sz w:val="16"/>
          <w:szCs w:val="16"/>
          <w:lang w:val="ru-RU"/>
        </w:rPr>
        <w:t xml:space="preserve"> катастрофой.</w:t>
      </w:r>
      <w:r w:rsidRPr="00C33834">
        <w:rPr>
          <w:color w:val="000000" w:themeColor="text1"/>
          <w:lang w:val="ru-RU"/>
        </w:rPr>
        <w:t xml:space="preserve"> Командиром носителя </w:t>
      </w:r>
      <w:r w:rsidRPr="00C33834">
        <w:rPr>
          <w:rStyle w:val="910"/>
          <w:rFonts w:ascii="Times New Roman" w:hAnsi="Times New Roman" w:cs="Times New Roman"/>
          <w:b w:val="0"/>
          <w:color w:val="000000" w:themeColor="text1"/>
          <w:spacing w:val="0"/>
          <w:sz w:val="16"/>
          <w:szCs w:val="16"/>
          <w:lang w:val="ru-RU"/>
        </w:rPr>
        <w:t>являлся</w:t>
      </w:r>
      <w:r w:rsidRPr="00C33834">
        <w:rPr>
          <w:rStyle w:val="ArialNarrow10"/>
          <w:rFonts w:ascii="Times New Roman" w:hAnsi="Times New Roman" w:cs="Times New Roman"/>
          <w:b w:val="0"/>
          <w:color w:val="000000" w:themeColor="text1"/>
          <w:sz w:val="16"/>
          <w:szCs w:val="16"/>
          <w:lang w:val="ru-RU"/>
        </w:rPr>
        <w:t xml:space="preserve"> П.М.</w:t>
      </w:r>
      <w:r w:rsidRPr="00C33834">
        <w:rPr>
          <w:color w:val="000000" w:themeColor="text1"/>
          <w:lang w:val="ru-RU"/>
        </w:rPr>
        <w:t xml:space="preserve"> Стефановский, на истреби</w:t>
      </w:r>
      <w:r w:rsidRPr="00C33834">
        <w:rPr>
          <w:color w:val="000000" w:themeColor="text1"/>
          <w:lang w:val="ru-RU"/>
        </w:rPr>
        <w:softHyphen/>
      </w:r>
      <w:r w:rsidRPr="00C33834">
        <w:rPr>
          <w:rStyle w:val="910"/>
          <w:rFonts w:ascii="Times New Roman" w:hAnsi="Times New Roman" w:cs="Times New Roman"/>
          <w:b w:val="0"/>
          <w:color w:val="000000" w:themeColor="text1"/>
          <w:spacing w:val="0"/>
          <w:sz w:val="16"/>
          <w:szCs w:val="16"/>
          <w:lang w:val="ru-RU"/>
        </w:rPr>
        <w:t>телях</w:t>
      </w:r>
      <w:r w:rsidRPr="00C33834">
        <w:rPr>
          <w:rStyle w:val="ArialNarrow10"/>
          <w:rFonts w:ascii="Times New Roman" w:hAnsi="Times New Roman" w:cs="Times New Roman"/>
          <w:b w:val="0"/>
          <w:color w:val="000000" w:themeColor="text1"/>
          <w:sz w:val="16"/>
          <w:szCs w:val="16"/>
          <w:lang w:val="ru-RU"/>
        </w:rPr>
        <w:t xml:space="preserve"> летели И.Ф.</w:t>
      </w:r>
      <w:r w:rsidRPr="00C33834">
        <w:rPr>
          <w:color w:val="000000" w:themeColor="text1"/>
          <w:lang w:val="ru-RU"/>
        </w:rPr>
        <w:t xml:space="preserve"> Гродзь и А.В. Короткое. </w:t>
      </w:r>
      <w:r w:rsidRPr="00C33834">
        <w:rPr>
          <w:rStyle w:val="ArialNarrow10"/>
          <w:rFonts w:ascii="Times New Roman" w:hAnsi="Times New Roman" w:cs="Times New Roman"/>
          <w:b w:val="0"/>
          <w:color w:val="000000" w:themeColor="text1"/>
          <w:sz w:val="16"/>
          <w:szCs w:val="16"/>
          <w:lang w:val="ru-RU"/>
        </w:rPr>
        <w:t>Короткое ошибся</w:t>
      </w:r>
      <w:r w:rsidRPr="00C33834">
        <w:rPr>
          <w:color w:val="000000" w:themeColor="text1"/>
          <w:lang w:val="ru-RU"/>
        </w:rPr>
        <w:t xml:space="preserve"> дважды. Еще на взлете </w:t>
      </w:r>
      <w:r w:rsidRPr="00C33834">
        <w:rPr>
          <w:rStyle w:val="910"/>
          <w:rFonts w:ascii="Times New Roman" w:hAnsi="Times New Roman" w:cs="Times New Roman"/>
          <w:b w:val="0"/>
          <w:color w:val="000000" w:themeColor="text1"/>
          <w:spacing w:val="0"/>
          <w:sz w:val="16"/>
          <w:szCs w:val="16"/>
          <w:lang w:val="ru-RU"/>
        </w:rPr>
        <w:t>он</w:t>
      </w:r>
      <w:r w:rsidRPr="00C33834">
        <w:rPr>
          <w:rStyle w:val="ArialNarrow10"/>
          <w:rFonts w:ascii="Times New Roman" w:hAnsi="Times New Roman" w:cs="Times New Roman"/>
          <w:b w:val="0"/>
          <w:color w:val="000000" w:themeColor="text1"/>
          <w:sz w:val="16"/>
          <w:szCs w:val="16"/>
          <w:lang w:val="ru-RU"/>
        </w:rPr>
        <w:t xml:space="preserve"> неправильно</w:t>
      </w:r>
      <w:r w:rsidRPr="00C33834">
        <w:rPr>
          <w:color w:val="000000" w:themeColor="text1"/>
          <w:lang w:val="ru-RU"/>
        </w:rPr>
        <w:t xml:space="preserve"> выставил руль высо ты, и его машину подбросило к нижней поверхности крыла ТБ-3. Набрав высоту 2000 м, Стефановский поднял нос бом</w:t>
      </w:r>
      <w:r w:rsidRPr="00C33834">
        <w:rPr>
          <w:color w:val="000000" w:themeColor="text1"/>
          <w:lang w:val="ru-RU"/>
        </w:rPr>
        <w:softHyphen/>
        <w:t>бардировщика и смог как бы стряхнуть истребитель вниз. Но «зет» вдруг опять с треском врезался в крыло. Как потом оказалось, из-за новой ошибки Коротко- ва, слишком рано взявшего ручку управ</w:t>
      </w:r>
      <w:r w:rsidRPr="00C33834">
        <w:rPr>
          <w:color w:val="000000" w:themeColor="text1"/>
          <w:lang w:val="ru-RU"/>
        </w:rPr>
        <w:softHyphen/>
        <w:t>ления на себя, сломались крепления и истребитель ударил винтом в плоскость носителя. Винт разрушился, а отцепить «зет» от ТБ-3 стало невозможно.</w:t>
      </w:r>
    </w:p>
    <w:p w14:paraId="62E7F4B3" w14:textId="77777777" w:rsidR="006C13C1" w:rsidRPr="00C33834" w:rsidRDefault="006C13C1" w:rsidP="00C33834">
      <w:pPr>
        <w:pStyle w:val="a3"/>
        <w:rPr>
          <w:color w:val="000000" w:themeColor="text1"/>
          <w:lang w:val="ru-RU"/>
        </w:rPr>
      </w:pPr>
      <w:r w:rsidRPr="00C33834">
        <w:rPr>
          <w:color w:val="000000" w:themeColor="text1"/>
          <w:lang w:val="ru-RU"/>
        </w:rPr>
        <w:t>С самолета сопровождения Р-5 Корот- кову жестами предложили выпрыгнуть на парашюте, но летчик остался в кабине. Стефановский повел «звено» на посадку. Но на выравнивании И-Зет оторвался и, перевернувшись, упал. Коротков погиб, более никто не пострадал. Но «Звено-З» сочли вариантом неудачным.</w:t>
      </w:r>
    </w:p>
    <w:p w14:paraId="77A3585B" w14:textId="77777777" w:rsidR="006C13C1" w:rsidRPr="00C33834" w:rsidRDefault="006C13C1" w:rsidP="00C33834">
      <w:pPr>
        <w:pStyle w:val="a3"/>
        <w:rPr>
          <w:color w:val="000000" w:themeColor="text1"/>
          <w:lang w:val="ru-RU"/>
        </w:rPr>
      </w:pPr>
      <w:r w:rsidRPr="00C33834">
        <w:rPr>
          <w:color w:val="000000" w:themeColor="text1"/>
          <w:lang w:val="ru-RU"/>
        </w:rPr>
        <w:t>Что скрывалось под обозначением «Звено-4», выяснить не удалось. Возмож</w:t>
      </w:r>
      <w:r w:rsidRPr="00C33834">
        <w:rPr>
          <w:color w:val="000000" w:themeColor="text1"/>
          <w:lang w:val="ru-RU"/>
        </w:rPr>
        <w:softHyphen/>
        <w:t>но, это упоминавшийся вариант с дву</w:t>
      </w:r>
      <w:r w:rsidRPr="00C33834">
        <w:rPr>
          <w:color w:val="000000" w:themeColor="text1"/>
          <w:lang w:val="ru-RU"/>
        </w:rPr>
        <w:softHyphen/>
        <w:t>мя И-5 сверху и двумя «зетами» снизу. По другой версии, «Звеном-4» являлся первый проектный вариант описанно</w:t>
      </w:r>
      <w:r w:rsidRPr="00C33834">
        <w:rPr>
          <w:color w:val="000000" w:themeColor="text1"/>
          <w:lang w:val="ru-RU"/>
        </w:rPr>
        <w:softHyphen/>
        <w:t xml:space="preserve">го далее проекта «Тягач». </w:t>
      </w:r>
    </w:p>
    <w:p w14:paraId="50819963" w14:textId="77777777" w:rsidR="006C13C1" w:rsidRPr="00C33834" w:rsidRDefault="006C13C1" w:rsidP="00C33834">
      <w:pPr>
        <w:pStyle w:val="a3"/>
        <w:rPr>
          <w:color w:val="000000" w:themeColor="text1"/>
          <w:lang w:val="ru-RU"/>
        </w:rPr>
      </w:pPr>
      <w:r w:rsidRPr="00C33834">
        <w:rPr>
          <w:color w:val="000000" w:themeColor="text1"/>
          <w:lang w:val="ru-RU"/>
        </w:rPr>
        <w:t>А вот «Звено-5» - это подвеска одного И-Зет под фюзеляжем ТБ-3 с возможностью под</w:t>
      </w:r>
      <w:r w:rsidRPr="00C33834">
        <w:rPr>
          <w:color w:val="000000" w:themeColor="text1"/>
          <w:lang w:val="ru-RU"/>
        </w:rPr>
        <w:softHyphen/>
        <w:t>цепки и отцепки в воздухе. На этот раз взяли бомбардировщик более поздней модификации с моторами М-34Р (в более ранних вариантах «Звена» использовали машину ранней серии с двигателями М-17). Этот самолет отличался большей грузоподъемностью и улучшенными летными данными. Между пирамидами шасси смонтировали ферму-трапецию, которая с помощью лебедки с редукто</w:t>
      </w:r>
      <w:r w:rsidRPr="00C33834">
        <w:rPr>
          <w:color w:val="000000" w:themeColor="text1"/>
          <w:lang w:val="ru-RU"/>
        </w:rPr>
        <w:softHyphen/>
        <w:t>ром могла опускаться вниз и поднимать</w:t>
      </w:r>
      <w:r w:rsidRPr="00C33834">
        <w:rPr>
          <w:color w:val="000000" w:themeColor="text1"/>
          <w:lang w:val="ru-RU"/>
        </w:rPr>
        <w:softHyphen/>
        <w:t>ся. В полностью опущенном положении перекладина находилась ниже колесных тележек. Чтобы погасить рывок при при</w:t>
      </w:r>
      <w:r w:rsidRPr="00C33834">
        <w:rPr>
          <w:color w:val="000000" w:themeColor="text1"/>
          <w:lang w:val="ru-RU"/>
        </w:rPr>
        <w:softHyphen/>
        <w:t>чаливании, стойки трапеции снабдили гидропневматическими амортизаторами по образцу истребителя И-16. Для экс</w:t>
      </w:r>
      <w:r w:rsidRPr="00C33834">
        <w:rPr>
          <w:color w:val="000000" w:themeColor="text1"/>
          <w:lang w:val="ru-RU"/>
        </w:rPr>
        <w:softHyphen/>
        <w:t>перимента переоборудовали один И-Зет, на котором над кабиной поставили высо</w:t>
      </w:r>
      <w:r w:rsidRPr="00C33834">
        <w:rPr>
          <w:color w:val="000000" w:themeColor="text1"/>
          <w:lang w:val="ru-RU"/>
        </w:rPr>
        <w:softHyphen/>
        <w:t>кую треногу с крюком на конце. На крю</w:t>
      </w:r>
      <w:r w:rsidRPr="00C33834">
        <w:rPr>
          <w:color w:val="000000" w:themeColor="text1"/>
          <w:lang w:val="ru-RU"/>
        </w:rPr>
        <w:softHyphen/>
        <w:t>ке находился замок от бомбодержателя, управляемый летчиком. Вообще вся схе</w:t>
      </w:r>
      <w:r w:rsidRPr="00C33834">
        <w:rPr>
          <w:color w:val="000000" w:themeColor="text1"/>
          <w:lang w:val="ru-RU"/>
        </w:rPr>
        <w:softHyphen/>
        <w:t>ма сильно напоминала применявшуюся американцами на их дирижаблях-авиа</w:t>
      </w:r>
      <w:r w:rsidRPr="00C33834">
        <w:rPr>
          <w:color w:val="000000" w:themeColor="text1"/>
          <w:lang w:val="ru-RU"/>
        </w:rPr>
        <w:softHyphen/>
        <w:t>носцах «Акрон» и «Мекон», только там на борт принимали бипланы.</w:t>
      </w:r>
    </w:p>
    <w:p w14:paraId="16E64E66" w14:textId="77777777" w:rsidR="006C13C1" w:rsidRPr="00C33834" w:rsidRDefault="006C13C1" w:rsidP="00C33834">
      <w:pPr>
        <w:pStyle w:val="a3"/>
        <w:rPr>
          <w:color w:val="000000" w:themeColor="text1"/>
          <w:lang w:val="ru-RU"/>
        </w:rPr>
      </w:pPr>
      <w:r w:rsidRPr="00C33834">
        <w:rPr>
          <w:color w:val="000000" w:themeColor="text1"/>
          <w:lang w:val="ru-RU"/>
        </w:rPr>
        <w:t>Начали с причаливания к трапеции. ТБ-3, который пилотировал Стефанов</w:t>
      </w:r>
      <w:r w:rsidRPr="00C33834">
        <w:rPr>
          <w:color w:val="000000" w:themeColor="text1"/>
          <w:lang w:val="ru-RU"/>
        </w:rPr>
        <w:softHyphen/>
        <w:t>ский, взлетал один и в воздухе опускал ферму. На стойки надставили деревян</w:t>
      </w:r>
      <w:r w:rsidRPr="00C33834">
        <w:rPr>
          <w:color w:val="000000" w:themeColor="text1"/>
          <w:lang w:val="ru-RU"/>
        </w:rPr>
        <w:softHyphen/>
        <w:t>ные рейки, между которыми натянули цветные перкалевые ленты. Стартовав</w:t>
      </w:r>
      <w:r w:rsidRPr="00C33834">
        <w:rPr>
          <w:color w:val="000000" w:themeColor="text1"/>
          <w:lang w:val="ru-RU"/>
        </w:rPr>
        <w:softHyphen/>
        <w:t xml:space="preserve">ший </w:t>
      </w:r>
      <w:r w:rsidRPr="00C33834">
        <w:rPr>
          <w:color w:val="000000" w:themeColor="text1"/>
        </w:rPr>
        <w:t>rfa</w:t>
      </w:r>
      <w:r w:rsidRPr="00C33834">
        <w:rPr>
          <w:color w:val="000000" w:themeColor="text1"/>
          <w:lang w:val="ru-RU"/>
        </w:rPr>
        <w:t xml:space="preserve"> И-Зет В.А. Степанченок старался захватить их крюком. Носитель при этом должен был идеально идти по прямой. Лишь после упорных тренировок решили попробовать захватить трубу. В апреле 1934 г. Степанченку впервые удалось под</w:t>
      </w:r>
      <w:r w:rsidRPr="00C33834">
        <w:rPr>
          <w:color w:val="000000" w:themeColor="text1"/>
          <w:lang w:val="ru-RU"/>
        </w:rPr>
        <w:softHyphen/>
        <w:t>цепиться к носителю. Вместе с трапецией истребитель подтянули вверх так, что его плоскости прижались к колесам бомбар</w:t>
      </w:r>
      <w:r w:rsidRPr="00C33834">
        <w:rPr>
          <w:color w:val="000000" w:themeColor="text1"/>
          <w:lang w:val="ru-RU"/>
        </w:rPr>
        <w:softHyphen/>
        <w:t>дировщика. Затем все проделали в обрат</w:t>
      </w:r>
      <w:r w:rsidRPr="00C33834">
        <w:rPr>
          <w:color w:val="000000" w:themeColor="text1"/>
          <w:lang w:val="ru-RU"/>
        </w:rPr>
        <w:softHyphen/>
        <w:t>ном порядке, выпустив «зет» обратно в свободный полет.</w:t>
      </w:r>
    </w:p>
    <w:p w14:paraId="1C5A53F5" w14:textId="77777777" w:rsidR="006C13C1" w:rsidRPr="00C33834" w:rsidRDefault="006C13C1" w:rsidP="00C33834">
      <w:pPr>
        <w:pStyle w:val="a3"/>
        <w:rPr>
          <w:color w:val="000000" w:themeColor="text1"/>
          <w:lang w:val="ru-RU"/>
        </w:rPr>
      </w:pPr>
      <w:r w:rsidRPr="00C33834">
        <w:rPr>
          <w:color w:val="000000" w:themeColor="text1"/>
          <w:lang w:val="ru-RU"/>
        </w:rPr>
        <w:t>Эти эксперименты «цирка Вахмистро- ва» являлись подготовительной стадией к созданию «авиаматки ПВО» - мобильной базы истребителей-перехватчиков. Она должна была по командам с земли вый</w:t>
      </w:r>
      <w:r w:rsidRPr="00C33834">
        <w:rPr>
          <w:color w:val="000000" w:themeColor="text1"/>
          <w:lang w:val="ru-RU"/>
        </w:rPr>
        <w:softHyphen/>
        <w:t>ти в заданный район и выпустить истре</w:t>
      </w:r>
      <w:r w:rsidRPr="00C33834">
        <w:rPr>
          <w:color w:val="000000" w:themeColor="text1"/>
          <w:lang w:val="ru-RU"/>
        </w:rPr>
        <w:softHyphen/>
        <w:t>бители. После выполнения задания они возвращались и подцеплялись к носите</w:t>
      </w:r>
      <w:r w:rsidRPr="00C33834">
        <w:rPr>
          <w:color w:val="000000" w:themeColor="text1"/>
          <w:lang w:val="ru-RU"/>
        </w:rPr>
        <w:softHyphen/>
        <w:t>лю для дозаправки. «Авиаматка» могла дозаправлять и машины, поднявшиеся с земли, если их оборудовали необходи</w:t>
      </w:r>
      <w:r w:rsidRPr="00C33834">
        <w:rPr>
          <w:color w:val="000000" w:themeColor="text1"/>
          <w:lang w:val="ru-RU"/>
        </w:rPr>
        <w:softHyphen/>
        <w:t>мым образом. В перспективе Вахмистров рассчитывал дать летчикам возможность перейти в бомбардировщик для отдыха.</w:t>
      </w:r>
    </w:p>
    <w:p w14:paraId="50539A9F" w14:textId="77777777" w:rsidR="006C13C1" w:rsidRPr="00C33834" w:rsidRDefault="006C13C1" w:rsidP="00C33834">
      <w:pPr>
        <w:pStyle w:val="a3"/>
        <w:rPr>
          <w:color w:val="000000" w:themeColor="text1"/>
          <w:lang w:val="ru-RU"/>
        </w:rPr>
      </w:pPr>
      <w:r w:rsidRPr="00C33834">
        <w:rPr>
          <w:color w:val="000000" w:themeColor="text1"/>
          <w:lang w:val="ru-RU"/>
        </w:rPr>
        <w:t>В следующем проекте, названном «Звено-6», конструктор учел ошибки и ввел новые пирамиды подкрыльной под</w:t>
      </w:r>
      <w:r w:rsidRPr="00C33834">
        <w:rPr>
          <w:color w:val="000000" w:themeColor="text1"/>
          <w:lang w:val="ru-RU"/>
        </w:rPr>
        <w:softHyphen/>
        <w:t xml:space="preserve">вески, спроектированные В.И. Синельщиковым. На этот раз подвешивались два новых истребителя-моноплана И-16 с убирающимся шасси. Правда, Вах- мистрову выделили машины раннего типа с моторами М-22. </w:t>
      </w:r>
      <w:r w:rsidRPr="00C33834">
        <w:rPr>
          <w:color w:val="000000" w:themeColor="text1"/>
          <w:lang w:val="ru-RU"/>
        </w:rPr>
        <w:lastRenderedPageBreak/>
        <w:t>Возможность поднять колеса намного облегчила подвеску ис</w:t>
      </w:r>
      <w:r w:rsidRPr="00C33834">
        <w:rPr>
          <w:color w:val="000000" w:themeColor="text1"/>
          <w:lang w:val="ru-RU"/>
        </w:rPr>
        <w:softHyphen/>
        <w:t>требителей. Их просто подкатывали под крыло, закрепляли и убирали шасси. Пи</w:t>
      </w:r>
      <w:r w:rsidRPr="00C33834">
        <w:rPr>
          <w:color w:val="000000" w:themeColor="text1"/>
          <w:lang w:val="ru-RU"/>
        </w:rPr>
        <w:softHyphen/>
        <w:t>тание моторов истребителей горючим до момента отцепки осуществлялось из ба</w:t>
      </w:r>
      <w:r w:rsidRPr="00C33834">
        <w:rPr>
          <w:color w:val="000000" w:themeColor="text1"/>
          <w:lang w:val="ru-RU"/>
        </w:rPr>
        <w:softHyphen/>
        <w:t>ков носителя через трубу в задней отки</w:t>
      </w:r>
      <w:r w:rsidRPr="00C33834">
        <w:rPr>
          <w:color w:val="000000" w:themeColor="text1"/>
          <w:lang w:val="ru-RU"/>
        </w:rPr>
        <w:softHyphen/>
        <w:t>дывающейся стойке. Предусматривалась телефонная связь с пилотами И-16 и све</w:t>
      </w:r>
      <w:r w:rsidRPr="00C33834">
        <w:rPr>
          <w:color w:val="000000" w:themeColor="text1"/>
          <w:lang w:val="ru-RU"/>
        </w:rPr>
        <w:softHyphen/>
        <w:t>товая сигнализация лампами под крылом ТБ-3. Возвращение И-16 под носитель в данном случае не предусматривалось.</w:t>
      </w:r>
    </w:p>
    <w:p w14:paraId="325F9D94" w14:textId="77777777" w:rsidR="006C13C1" w:rsidRPr="00C33834" w:rsidRDefault="006C13C1" w:rsidP="00C33834">
      <w:pPr>
        <w:pStyle w:val="a3"/>
        <w:rPr>
          <w:color w:val="000000" w:themeColor="text1"/>
          <w:lang w:val="ru-RU"/>
        </w:rPr>
      </w:pPr>
      <w:r w:rsidRPr="00C33834">
        <w:rPr>
          <w:color w:val="000000" w:themeColor="text1"/>
          <w:lang w:val="ru-RU"/>
        </w:rPr>
        <w:t>Проектирование «Звена-6» провели в 1934 г., переоборудование самолетов завершили в августе 1935 г., тогда же они поднялись в воздух. В первом полете ко</w:t>
      </w:r>
      <w:r w:rsidRPr="00C33834">
        <w:rPr>
          <w:color w:val="000000" w:themeColor="text1"/>
          <w:lang w:val="ru-RU"/>
        </w:rPr>
        <w:softHyphen/>
        <w:t>мандиром ТБ-3 являлся П.М. Стефанов- ский, истребители пилотировали С.П. Суп</w:t>
      </w:r>
      <w:r w:rsidRPr="00C33834">
        <w:rPr>
          <w:color w:val="000000" w:themeColor="text1"/>
          <w:lang w:val="ru-RU"/>
        </w:rPr>
        <w:softHyphen/>
        <w:t>рун и В.К. Евсеев. Испытания завершили в декабре 1935 г. Конструкцию признали весьма удачной.</w:t>
      </w:r>
    </w:p>
    <w:p w14:paraId="192D0C1D" w14:textId="77777777" w:rsidR="006C13C1" w:rsidRPr="00C33834" w:rsidRDefault="006C13C1" w:rsidP="00C33834">
      <w:pPr>
        <w:spacing w:after="0" w:line="240" w:lineRule="auto"/>
        <w:jc w:val="both"/>
        <w:rPr>
          <w:rFonts w:ascii="Times New Roman" w:hAnsi="Times New Roman"/>
          <w:color w:val="000000" w:themeColor="text1"/>
          <w:sz w:val="16"/>
          <w:szCs w:val="16"/>
        </w:rPr>
      </w:pPr>
      <w:r w:rsidRPr="00C33834">
        <w:rPr>
          <w:rStyle w:val="94"/>
          <w:rFonts w:ascii="Times New Roman" w:hAnsi="Times New Roman" w:cs="Times New Roman"/>
          <w:b w:val="0"/>
          <w:color w:val="000000" w:themeColor="text1"/>
          <w:spacing w:val="0"/>
          <w:sz w:val="16"/>
          <w:szCs w:val="16"/>
        </w:rPr>
        <w:t>«Звено</w:t>
      </w:r>
      <w:r w:rsidRPr="00C33834">
        <w:rPr>
          <w:rStyle w:val="ArialNarrow8"/>
          <w:rFonts w:ascii="Times New Roman" w:hAnsi="Times New Roman" w:cs="Times New Roman"/>
          <w:b w:val="0"/>
          <w:color w:val="000000" w:themeColor="text1"/>
          <w:sz w:val="16"/>
          <w:szCs w:val="16"/>
        </w:rPr>
        <w:t>-7»</w:t>
      </w:r>
      <w:r w:rsidRPr="00C33834">
        <w:rPr>
          <w:rFonts w:ascii="Times New Roman" w:hAnsi="Times New Roman"/>
          <w:color w:val="000000" w:themeColor="text1"/>
          <w:sz w:val="16"/>
          <w:szCs w:val="16"/>
        </w:rPr>
        <w:t xml:space="preserve"> представляло собой гибрид </w:t>
      </w:r>
      <w:r w:rsidRPr="00C33834">
        <w:rPr>
          <w:rStyle w:val="9"/>
          <w:rFonts w:ascii="Times New Roman" w:hAnsi="Times New Roman" w:cs="Times New Roman"/>
          <w:color w:val="000000" w:themeColor="text1"/>
          <w:spacing w:val="0"/>
          <w:sz w:val="16"/>
          <w:szCs w:val="16"/>
        </w:rPr>
        <w:t>всех</w:t>
      </w:r>
      <w:r w:rsidRPr="00C33834">
        <w:rPr>
          <w:rStyle w:val="94"/>
          <w:rFonts w:ascii="Times New Roman" w:hAnsi="Times New Roman" w:cs="Times New Roman"/>
          <w:b w:val="0"/>
          <w:color w:val="000000" w:themeColor="text1"/>
          <w:spacing w:val="0"/>
          <w:sz w:val="16"/>
          <w:szCs w:val="16"/>
        </w:rPr>
        <w:t xml:space="preserve"> ранее</w:t>
      </w:r>
      <w:r w:rsidRPr="00C33834">
        <w:rPr>
          <w:rFonts w:ascii="Times New Roman" w:hAnsi="Times New Roman"/>
          <w:color w:val="000000" w:themeColor="text1"/>
          <w:sz w:val="16"/>
          <w:szCs w:val="16"/>
        </w:rPr>
        <w:t xml:space="preserve"> реализованных проектов. На </w:t>
      </w:r>
      <w:r w:rsidRPr="00C33834">
        <w:rPr>
          <w:rStyle w:val="9"/>
          <w:rFonts w:ascii="Times New Roman" w:hAnsi="Times New Roman" w:cs="Times New Roman"/>
          <w:color w:val="000000" w:themeColor="text1"/>
          <w:spacing w:val="0"/>
          <w:sz w:val="16"/>
          <w:szCs w:val="16"/>
        </w:rPr>
        <w:t>ярыяе</w:t>
      </w:r>
      <w:r w:rsidRPr="00C33834">
        <w:rPr>
          <w:rStyle w:val="ArialNarrow8"/>
          <w:rFonts w:ascii="Times New Roman" w:hAnsi="Times New Roman" w:cs="Times New Roman"/>
          <w:b w:val="0"/>
          <w:color w:val="000000" w:themeColor="text1"/>
          <w:sz w:val="16"/>
          <w:szCs w:val="16"/>
        </w:rPr>
        <w:t xml:space="preserve"> стояли</w:t>
      </w:r>
      <w:r w:rsidRPr="00C33834">
        <w:rPr>
          <w:rFonts w:ascii="Times New Roman" w:hAnsi="Times New Roman"/>
          <w:color w:val="000000" w:themeColor="text1"/>
          <w:sz w:val="16"/>
          <w:szCs w:val="16"/>
        </w:rPr>
        <w:t xml:space="preserve"> два И-5, под ним подве</w:t>
      </w:r>
      <w:r w:rsidRPr="00C33834">
        <w:rPr>
          <w:rFonts w:ascii="Times New Roman" w:hAnsi="Times New Roman"/>
          <w:color w:val="000000" w:themeColor="text1"/>
          <w:sz w:val="16"/>
          <w:szCs w:val="16"/>
        </w:rPr>
        <w:softHyphen/>
      </w:r>
      <w:r w:rsidRPr="00C33834">
        <w:rPr>
          <w:rStyle w:val="94"/>
          <w:rFonts w:ascii="Times New Roman" w:hAnsi="Times New Roman" w:cs="Times New Roman"/>
          <w:b w:val="0"/>
          <w:color w:val="000000" w:themeColor="text1"/>
          <w:spacing w:val="0"/>
          <w:sz w:val="16"/>
          <w:szCs w:val="16"/>
        </w:rPr>
        <w:t>шивалась</w:t>
      </w:r>
      <w:r w:rsidRPr="00C33834">
        <w:rPr>
          <w:rStyle w:val="ArialNarrow8"/>
          <w:rFonts w:ascii="Times New Roman" w:hAnsi="Times New Roman" w:cs="Times New Roman"/>
          <w:b w:val="0"/>
          <w:color w:val="000000" w:themeColor="text1"/>
          <w:sz w:val="16"/>
          <w:szCs w:val="16"/>
        </w:rPr>
        <w:t xml:space="preserve"> пара</w:t>
      </w:r>
      <w:r w:rsidRPr="00C33834">
        <w:rPr>
          <w:rFonts w:ascii="Times New Roman" w:hAnsi="Times New Roman"/>
          <w:color w:val="000000" w:themeColor="text1"/>
          <w:sz w:val="16"/>
          <w:szCs w:val="16"/>
        </w:rPr>
        <w:t xml:space="preserve"> 14-16, а под фюзеляжем </w:t>
      </w:r>
      <w:r w:rsidRPr="00C33834">
        <w:rPr>
          <w:rStyle w:val="ArialNarrow8"/>
          <w:rFonts w:ascii="Times New Roman" w:hAnsi="Times New Roman" w:cs="Times New Roman"/>
          <w:b w:val="0"/>
          <w:color w:val="000000" w:themeColor="text1"/>
          <w:sz w:val="16"/>
          <w:szCs w:val="16"/>
        </w:rPr>
        <w:t>ионпфовалась</w:t>
      </w:r>
      <w:r w:rsidRPr="00C33834">
        <w:rPr>
          <w:rFonts w:ascii="Times New Roman" w:hAnsi="Times New Roman"/>
          <w:color w:val="000000" w:themeColor="text1"/>
          <w:sz w:val="16"/>
          <w:szCs w:val="16"/>
        </w:rPr>
        <w:t xml:space="preserve"> трапеция, на которую уже </w:t>
      </w:r>
      <w:r w:rsidRPr="00C33834">
        <w:rPr>
          <w:rStyle w:val="102"/>
          <w:rFonts w:ascii="Times New Roman" w:hAnsi="Times New Roman" w:cs="Times New Roman"/>
          <w:color w:val="000000" w:themeColor="text1"/>
          <w:spacing w:val="0"/>
          <w:sz w:val="16"/>
          <w:szCs w:val="16"/>
        </w:rPr>
        <w:t>в</w:t>
      </w:r>
      <w:r w:rsidRPr="00C33834">
        <w:rPr>
          <w:rStyle w:val="ArialNarrow8"/>
          <w:rFonts w:ascii="Times New Roman" w:hAnsi="Times New Roman" w:cs="Times New Roman"/>
          <w:b w:val="0"/>
          <w:color w:val="000000" w:themeColor="text1"/>
          <w:sz w:val="16"/>
          <w:szCs w:val="16"/>
        </w:rPr>
        <w:t xml:space="preserve"> воздухе</w:t>
      </w:r>
      <w:r w:rsidRPr="00C33834">
        <w:rPr>
          <w:rFonts w:ascii="Times New Roman" w:hAnsi="Times New Roman"/>
          <w:color w:val="000000" w:themeColor="text1"/>
          <w:sz w:val="16"/>
          <w:szCs w:val="16"/>
        </w:rPr>
        <w:t xml:space="preserve"> подцеплялся И-Зет.</w:t>
      </w:r>
    </w:p>
    <w:p w14:paraId="703663BD" w14:textId="77777777" w:rsidR="006C13C1" w:rsidRPr="00C33834" w:rsidRDefault="006C13C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«Звена-5», «Звена-6» и «Звена-7» использовали один и тот же самолет-но</w:t>
      </w:r>
      <w:r w:rsidRPr="00C33834">
        <w:rPr>
          <w:rFonts w:ascii="Times New Roman" w:hAnsi="Times New Roman"/>
          <w:color w:val="000000" w:themeColor="text1"/>
          <w:sz w:val="16"/>
          <w:szCs w:val="16"/>
        </w:rPr>
        <w:softHyphen/>
        <w:t>ситель (17741).</w:t>
      </w:r>
    </w:p>
    <w:p w14:paraId="719D3421" w14:textId="77777777" w:rsidR="006C13C1" w:rsidRPr="00C33834" w:rsidRDefault="006C13C1" w:rsidP="00C33834">
      <w:pPr>
        <w:spacing w:after="0" w:line="240" w:lineRule="auto"/>
        <w:jc w:val="both"/>
        <w:rPr>
          <w:rFonts w:ascii="Times New Roman" w:eastAsia="Times New Roman" w:hAnsi="Times New Roman"/>
          <w:color w:val="000000" w:themeColor="text1"/>
          <w:sz w:val="16"/>
          <w:szCs w:val="16"/>
          <w:lang w:eastAsia="ru-RU"/>
        </w:rPr>
      </w:pPr>
    </w:p>
    <w:p w14:paraId="36E5DA8A"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сентября 1933 на К-7 К.А.К. выполнили 4 пробежки по аэродрому и взлет по прямой после удаления компенсации серворулей, изменения крепления тросов, соединения половинок стабилизатора в одно целое, установки лонжеронов верхнего плана с внутренними подкосами хвостового оперения. Высота взлетов была 2-3 м, скорость при взлете - 80 км/час. Потом устранили стремление машины заворачивать при разбеге, отсутствие реагирования на РН и течь водорадиаторов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F26F01" w:rsidRPr="00C33834" w14:paraId="1292A00E" w14:textId="77777777">
        <w:tc>
          <w:tcPr>
            <w:tcW w:w="1384" w:type="dxa"/>
            <w:tcBorders>
              <w:top w:val="single" w:sz="12" w:space="0" w:color="auto"/>
            </w:tcBorders>
          </w:tcPr>
          <w:p w14:paraId="2AFDA00C"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Дата испытания</w:t>
            </w:r>
          </w:p>
        </w:tc>
        <w:tc>
          <w:tcPr>
            <w:tcW w:w="2410" w:type="dxa"/>
            <w:tcBorders>
              <w:top w:val="single" w:sz="12" w:space="0" w:color="auto"/>
            </w:tcBorders>
          </w:tcPr>
          <w:p w14:paraId="5EF1C3E0"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7BF44834"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6582FF4E"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6D893C75"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44E14EA3"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tc>
      </w:tr>
      <w:tr w:rsidR="00F26F01" w:rsidRPr="00C33834" w14:paraId="697D00E9" w14:textId="77777777">
        <w:tc>
          <w:tcPr>
            <w:tcW w:w="1384" w:type="dxa"/>
            <w:tcBorders>
              <w:bottom w:val="single" w:sz="12" w:space="0" w:color="auto"/>
            </w:tcBorders>
          </w:tcPr>
          <w:p w14:paraId="1E12EE96"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сентября 1933</w:t>
            </w:r>
          </w:p>
        </w:tc>
        <w:tc>
          <w:tcPr>
            <w:tcW w:w="2410" w:type="dxa"/>
            <w:tcBorders>
              <w:bottom w:val="single" w:sz="12" w:space="0" w:color="auto"/>
            </w:tcBorders>
          </w:tcPr>
          <w:p w14:paraId="5757BE7E"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пробежки по аэродрому.</w:t>
            </w:r>
          </w:p>
          <w:p w14:paraId="5C33C4FC"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Взлет по прямой после удаления компенсации серворулей, изменения крепления троссов, соединения обеих половин стабилизатора в одно целое и установки лонжерона верхнего плана с внутренними подкосами хвостового оперения</w:t>
            </w:r>
          </w:p>
        </w:tc>
        <w:tc>
          <w:tcPr>
            <w:tcW w:w="1089" w:type="dxa"/>
            <w:tcBorders>
              <w:bottom w:val="single" w:sz="12" w:space="0" w:color="auto"/>
            </w:tcBorders>
          </w:tcPr>
          <w:p w14:paraId="4918CFE3"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Запуск моторов - 0:08</w:t>
            </w:r>
          </w:p>
          <w:p w14:paraId="57EC1739"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моторов - 2:13</w:t>
            </w:r>
          </w:p>
        </w:tc>
        <w:tc>
          <w:tcPr>
            <w:tcW w:w="3447" w:type="dxa"/>
            <w:tcBorders>
              <w:bottom w:val="single" w:sz="12" w:space="0" w:color="auto"/>
            </w:tcBorders>
          </w:tcPr>
          <w:p w14:paraId="1743C4CB"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взлетов - 2-3 метра, отрыв от земли - через 12-15 секунд, посадки - нормальные</w:t>
            </w:r>
          </w:p>
          <w:p w14:paraId="1DE1667B"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Эффективность действия рулей глубины - нормальная</w:t>
            </w:r>
          </w:p>
          <w:p w14:paraId="6B254224"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на взлете - 60 км/час</w:t>
            </w:r>
          </w:p>
        </w:tc>
        <w:tc>
          <w:tcPr>
            <w:tcW w:w="1776" w:type="dxa"/>
            <w:tcBorders>
              <w:bottom w:val="single" w:sz="12" w:space="0" w:color="auto"/>
            </w:tcBorders>
          </w:tcPr>
          <w:p w14:paraId="0F674788"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Стремление с-та поворачивать при разбеге 9устранено)</w:t>
            </w:r>
          </w:p>
          <w:p w14:paraId="082FE7FA"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\Отсутствие реагирования на рули поворота (устранено)</w:t>
            </w:r>
          </w:p>
          <w:p w14:paraId="30E324CF"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Течь водяного радиатора второго левого мотора (устранено)</w:t>
            </w:r>
          </w:p>
        </w:tc>
        <w:tc>
          <w:tcPr>
            <w:tcW w:w="1105" w:type="dxa"/>
            <w:tcBorders>
              <w:bottom w:val="single" w:sz="12" w:space="0" w:color="auto"/>
            </w:tcBorders>
          </w:tcPr>
          <w:p w14:paraId="1507DB84" w14:textId="77777777" w:rsidR="007F23E2" w:rsidRPr="00C33834" w:rsidRDefault="007F23E2" w:rsidP="00C33834">
            <w:pPr>
              <w:spacing w:after="0" w:line="240" w:lineRule="auto"/>
              <w:jc w:val="both"/>
              <w:rPr>
                <w:rFonts w:ascii="Times New Roman" w:hAnsi="Times New Roman"/>
                <w:color w:val="000000" w:themeColor="text1"/>
                <w:sz w:val="16"/>
                <w:szCs w:val="16"/>
              </w:rPr>
            </w:pPr>
          </w:p>
        </w:tc>
      </w:tr>
    </w:tbl>
    <w:p w14:paraId="7B98E00E"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(2306,98).</w:t>
      </w:r>
    </w:p>
    <w:p w14:paraId="32D86B21"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33929626"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сентября 1933 Пом. нач. НТОС Алмазов писал дир. ХАЗОС К.А.К. письмо N 275/549 в развитие указаний, данных Нач. ГУАП П.И.Б.:</w:t>
      </w:r>
    </w:p>
    <w:p w14:paraId="1996FC62"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Построенный экз. довести до безопасного (в смысле прочности) летно-эксплуатационного (в смысле бесперебойности испытания) состояния...</w:t>
      </w:r>
    </w:p>
    <w:p w14:paraId="505D0781"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Хотели к 15 ноября сдать на гос. испытания, на основе испытаний в 1934 изготовить 2 в пассажирском варианте для ГУ ГВФ (2306).</w:t>
      </w:r>
    </w:p>
    <w:p w14:paraId="1BF5B9C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ДИРЕКТОРУ ХАЗОС тов. КАЛИНИНУ.</w:t>
      </w:r>
    </w:p>
    <w:p w14:paraId="3CE4DFEF"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Секретно.</w:t>
      </w:r>
    </w:p>
    <w:p w14:paraId="336FA91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развитие указаний, данных Вам Нач.ГУАП тов. БАРАНОВЫМ подтверждаю:</w:t>
      </w:r>
    </w:p>
    <w:p w14:paraId="5DB6CC5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До самолету К-7 (построенный экземпляр),</w:t>
      </w:r>
    </w:p>
    <w:p w14:paraId="48C92E05"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Построенный экземпляр довести до безопасного (в смысле. прочности) летно-эксплоатационного (в смысле бесперебойного испытания) состояния,</w:t>
      </w:r>
    </w:p>
    <w:p w14:paraId="68F7538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 первую очередь и как можно быстрее провести летные испытания с выявлением летных данных самолета-и особенностей поведения его в воздухе,</w:t>
      </w:r>
    </w:p>
    <w:p w14:paraId="734D2AF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Определить дефекты конструктивного и эксшгоатационного поряд</w:t>
      </w:r>
      <w:r w:rsidRPr="00C33834">
        <w:rPr>
          <w:rFonts w:ascii="Times New Roman" w:hAnsi="Times New Roman"/>
          <w:color w:val="000000" w:themeColor="text1"/>
          <w:sz w:val="16"/>
          <w:szCs w:val="16"/>
        </w:rPr>
        <w:softHyphen/>
        <w:t>ка и в наикратчайший срок их устранить,</w:t>
      </w:r>
    </w:p>
    <w:p w14:paraId="7276A21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 период испытания с целью скорейшего проведения их, вопро</w:t>
      </w:r>
      <w:r w:rsidRPr="00C33834">
        <w:rPr>
          <w:rFonts w:ascii="Times New Roman" w:hAnsi="Times New Roman"/>
          <w:color w:val="000000" w:themeColor="text1"/>
          <w:sz w:val="16"/>
          <w:szCs w:val="16"/>
        </w:rPr>
        <w:softHyphen/>
        <w:t>сами оборудования как в качестве военного, так и пассажирского варианта на данном экземпляре заниматься не следует.</w:t>
      </w:r>
    </w:p>
    <w:p w14:paraId="4C35548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После испытания и параллельно с внесением необходимых исправ</w:t>
      </w:r>
      <w:r w:rsidRPr="00C33834">
        <w:rPr>
          <w:rFonts w:ascii="Times New Roman" w:hAnsi="Times New Roman"/>
          <w:color w:val="000000" w:themeColor="text1"/>
          <w:sz w:val="16"/>
          <w:szCs w:val="16"/>
        </w:rPr>
        <w:softHyphen/>
        <w:t>лении приступить -к подготовке к испытаниям самолета в военном варианте с таким расчетом, чтобы к 15/Х1 сдать самолет на госиспытания.</w:t>
      </w:r>
    </w:p>
    <w:p w14:paraId="34F78DF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Для подготовки военного варианта необходимо немедленно при</w:t>
      </w:r>
      <w:r w:rsidRPr="00C33834">
        <w:rPr>
          <w:rFonts w:ascii="Times New Roman" w:hAnsi="Times New Roman"/>
          <w:color w:val="000000" w:themeColor="text1"/>
          <w:sz w:val="16"/>
          <w:szCs w:val="16"/>
        </w:rPr>
        <w:softHyphen/>
        <w:t>ступить к согласованию с ВВС всех вопросов оборудования и вооружения с тем, чтобы при доводке самолета все претензии ВВС были учтены в доработке конструкции, т.е. до начала госиспытаний.</w:t>
      </w:r>
    </w:p>
    <w:p w14:paraId="180EF46F"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Перспективные работы по К—7</w:t>
      </w:r>
    </w:p>
    <w:p w14:paraId="10C411C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На основе проведенных испытаний, изготовить в 1934 г. 2 самолета в пассажирском варианте для ГУ ГВФ.</w:t>
      </w:r>
    </w:p>
    <w:p w14:paraId="4CEAD5C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Эти самолеты должны строится в порядке опытной серии и на изготовление их Вам надлежит заключить договор с ГУГВФ.</w:t>
      </w:r>
    </w:p>
    <w:p w14:paraId="681764D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То-же, что по п. 6 1-го экземпляра должно быть произведено в отношении пассажирской машины по линии ГУГВФ.</w:t>
      </w:r>
    </w:p>
    <w:p w14:paraId="6484857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 По другим опытным работам.</w:t>
      </w:r>
    </w:p>
    <w:p w14:paraId="4B01F024"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 плане 1933-34 г.г. остается постройка самолета ВСЧ2-2М22 со сроком выхода на заводские испытания - 1/У-34 г.</w:t>
      </w:r>
    </w:p>
    <w:p w14:paraId="246665D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 этоцу самолету необходимо форсировать представление эскизного проекта, чтобы не задержать увязку с ВВС всех вопросов (схемы, оборудования, вооружения и пр.) и тем самым выпуск машины.</w:t>
      </w:r>
    </w:p>
    <w:p w14:paraId="075E2EB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На 1934 г. включается Вам в план опытных работ для ГУГВФ пассажирский 20-ти местный сухопутн. самолет.</w:t>
      </w:r>
    </w:p>
    <w:p w14:paraId="4332159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этому заданию, в связи с заданиями выше, необходимо разработать программу работ по срокам (эскизн. проект, макет, период проектирования, изготовление чертежей, период постройки и пр.).</w:t>
      </w:r>
    </w:p>
    <w:p w14:paraId="737415A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Такую же программу необходимо дать по ВС. и двум сам.К-7.</w:t>
      </w:r>
    </w:p>
    <w:p w14:paraId="476F9DE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Определить нужные суммы и организационные мероприятия для выполнения опытного плана.</w:t>
      </w:r>
    </w:p>
    <w:p w14:paraId="2009990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По серийному производству</w:t>
      </w:r>
    </w:p>
    <w:p w14:paraId="2B40BA4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План серийного производства на 1934 г. должен охватывать следующую программу:</w:t>
      </w:r>
    </w:p>
    <w:p w14:paraId="6D35E3C4"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К5 ~ 150 сам.</w:t>
      </w:r>
    </w:p>
    <w:p w14:paraId="476FD11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К9 - 200 сам.</w:t>
      </w:r>
    </w:p>
    <w:p w14:paraId="27B50EA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Необходимо расчитать мощности под эту программу и ориентировочную калькуляцию.</w:t>
      </w:r>
    </w:p>
    <w:p w14:paraId="67FF4E4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Контрольные цифры должны быть составлены по формам, которые будут направлены Вам в ближайшее время.</w:t>
      </w:r>
    </w:p>
    <w:p w14:paraId="486B6D3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В проводимые Вами работы по модификации с-та К-5 необходимо включить лишь те из них, которые не изменят технологических процессов и не отразятся на выполнении серийной программы (2306,29).</w:t>
      </w:r>
    </w:p>
    <w:p w14:paraId="5C4A766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p w14:paraId="2FAD44EE"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сентября 1933 поступило распоряжение переделать опытный самолет К-7 в военный, а работы по пассажирскому варианту прекратить. В ноябре требовалось уже перегнать самолет в Москву и предъявить К-7 на государственные испытания как бомбардировщик. Калинин не укладывался ни в заданные сроки, ни в отведенные деньги (12936).</w:t>
      </w:r>
    </w:p>
    <w:p w14:paraId="253A2D70"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43EDE666" w14:textId="77777777" w:rsidR="00ED1A5E" w:rsidRPr="00C33834" w:rsidRDefault="00ED1A5E"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13 сентября 1933 выставку на Центральном аэродроме, приуроченную к визиту в Советский Союз министра авиации Франции П. Кота, посетил новый начальник ГУАП Г.Н. Королев, принявший яковлевский моноплан за заграничную работу (в экспозиции действительно имелась одна французская машина). Смущенный начальник поспешил двинуться дальше (19099).</w:t>
      </w:r>
    </w:p>
    <w:p w14:paraId="18ACA030" w14:textId="77777777" w:rsidR="00ED1A5E" w:rsidRPr="00C33834" w:rsidRDefault="00ED1A5E" w:rsidP="00C33834">
      <w:pPr>
        <w:pStyle w:val="a8"/>
        <w:jc w:val="both"/>
        <w:rPr>
          <w:rFonts w:ascii="Times New Roman" w:hAnsi="Times New Roman" w:cs="Times New Roman"/>
          <w:color w:val="000000" w:themeColor="text1"/>
        </w:rPr>
      </w:pPr>
    </w:p>
    <w:p w14:paraId="7FFC3274" w14:textId="77777777" w:rsidR="00C97F35" w:rsidRPr="00C33834" w:rsidRDefault="00C97F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13 сентября 1933 г., приказом Аэрофлота были отмечены Опыт эксплуатации «СССР В-1» в полевых условиях и положительные отзывы о работе за</w:t>
      </w:r>
      <w:r w:rsidRPr="00C33834">
        <w:rPr>
          <w:rFonts w:ascii="Times New Roman" w:hAnsi="Times New Roman"/>
          <w:color w:val="0070C0"/>
          <w:sz w:val="16"/>
          <w:szCs w:val="16"/>
        </w:rPr>
        <w:softHyphen/>
        <w:t>интересованных организаций и объявлялась благодарность экипажу и ли</w:t>
      </w:r>
      <w:r w:rsidRPr="00C33834">
        <w:rPr>
          <w:rFonts w:ascii="Times New Roman" w:hAnsi="Times New Roman"/>
          <w:color w:val="0070C0"/>
          <w:sz w:val="16"/>
          <w:szCs w:val="16"/>
        </w:rPr>
        <w:softHyphen/>
        <w:t>цам, обеспечивавшим проведение работ. Все они были премированы суммой в размере месячного оклада (20120).</w:t>
      </w:r>
    </w:p>
    <w:p w14:paraId="092885C1" w14:textId="77777777" w:rsidR="00C97F35" w:rsidRPr="00C33834" w:rsidRDefault="00C97F35" w:rsidP="00C33834">
      <w:pPr>
        <w:spacing w:after="0" w:line="240" w:lineRule="auto"/>
        <w:jc w:val="both"/>
        <w:rPr>
          <w:rFonts w:ascii="Times New Roman" w:hAnsi="Times New Roman"/>
          <w:color w:val="0070C0"/>
          <w:sz w:val="16"/>
          <w:szCs w:val="16"/>
        </w:rPr>
      </w:pPr>
    </w:p>
    <w:p w14:paraId="0A82A028" w14:textId="77777777" w:rsidR="00C97F35" w:rsidRPr="00C33834" w:rsidRDefault="00C97F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13 сентября 1933 опросом членов ПБ</w:t>
      </w:r>
    </w:p>
    <w:p w14:paraId="5046E7F6" w14:textId="77777777" w:rsidR="00C97F35" w:rsidRPr="00C33834" w:rsidRDefault="00C97F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125/109,- О гелии</w:t>
      </w:r>
    </w:p>
    <w:p w14:paraId="4B3DA281" w14:textId="77777777" w:rsidR="00C97F35" w:rsidRPr="00C33834" w:rsidRDefault="00C97F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Возложить ответственность за организацию работ по улавливанию гелия в скважине 108 (Артемовск) на т.Ратайчака.</w:t>
      </w:r>
    </w:p>
    <w:p w14:paraId="16901C69" w14:textId="77777777" w:rsidR="00C97F35" w:rsidRPr="00C33834" w:rsidRDefault="00C97F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Обязать т.Ратайчака периодически информировать о работах по улавливанию гелия т. Куйбышева.</w:t>
      </w:r>
    </w:p>
    <w:p w14:paraId="319EB10D" w14:textId="77777777" w:rsidR="00C97F35" w:rsidRPr="00C33834" w:rsidRDefault="00C97F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разосланы: Куйбышеву, Ратайчаку, Саркису(шифром).</w:t>
      </w:r>
    </w:p>
    <w:p w14:paraId="2FFB0F73" w14:textId="77777777" w:rsidR="00C97F35" w:rsidRPr="00C33834" w:rsidRDefault="00C97F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15 сентября 1933 состоялось заседание ПБ и был оформлен протокол № 145 (29995).</w:t>
      </w:r>
    </w:p>
    <w:p w14:paraId="4D8C6C71" w14:textId="77777777" w:rsidR="00C97F35" w:rsidRPr="00C33834" w:rsidRDefault="00C97F35" w:rsidP="00C33834">
      <w:pPr>
        <w:spacing w:after="0" w:line="240" w:lineRule="auto"/>
        <w:jc w:val="both"/>
        <w:rPr>
          <w:rFonts w:ascii="Times New Roman" w:hAnsi="Times New Roman"/>
          <w:color w:val="0070C0"/>
          <w:sz w:val="16"/>
          <w:szCs w:val="16"/>
        </w:rPr>
      </w:pPr>
    </w:p>
    <w:p w14:paraId="318A0FB4" w14:textId="77777777" w:rsidR="007F23E2"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889440F" w14:textId="77777777" w:rsidR="007F23E2" w:rsidRPr="00C33834" w:rsidRDefault="007F23E2" w:rsidP="00C33834">
      <w:pPr>
        <w:spacing w:after="0" w:line="240" w:lineRule="auto"/>
        <w:jc w:val="both"/>
        <w:rPr>
          <w:rFonts w:ascii="Times New Roman" w:hAnsi="Times New Roman"/>
          <w:iCs/>
          <w:color w:val="000000" w:themeColor="text1"/>
          <w:sz w:val="16"/>
          <w:szCs w:val="16"/>
        </w:rPr>
      </w:pPr>
    </w:p>
    <w:p w14:paraId="6504BADB"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14 сентября по 1 октября 1933 года проходили гос. испытания серийного самолета «ЗЕТ» № 39010 с мотором ЮVI-9 Aq 480/560 НР № 42151 (6783).</w:t>
      </w:r>
    </w:p>
    <w:p w14:paraId="0181415F"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56B59CDF"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И. Холодов</w:t>
      </w:r>
    </w:p>
    <w:p w14:paraId="104FFC2B"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 Сцельников</w:t>
      </w:r>
    </w:p>
    <w:p w14:paraId="6789C4CD"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2B4FDBBE"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 с целью определения вопроса о целесообразности постройки самолетов и использования построенной малой серии.</w:t>
      </w:r>
    </w:p>
    <w:p w14:paraId="31ADD7C0"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753A9E6A" w14:textId="77777777" w:rsidR="007F23E2" w:rsidRPr="00C33834" w:rsidRDefault="007F23E2" w:rsidP="00C33834">
      <w:pPr>
        <w:numPr>
          <w:ilvl w:val="0"/>
          <w:numId w:val="36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Построенные самолеты «ЗЕТ» вооруженные пушами АПК-4 бис и пулеметом ПВ-1 могут быть приняты на вооружение ВВС для получения летным составом тренировки в артиллерийской стрельбе и отработке тактики применения самолета с обязательным устранением на всех построенных самолетах дефектов.</w:t>
      </w:r>
    </w:p>
    <w:p w14:paraId="64DC3527"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p w14:paraId="6EF001B1"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сентября 1933 года – самолет поступил в бригаду НИИ ВВС для прохождения гос. испытаний.</w:t>
      </w:r>
    </w:p>
    <w:p w14:paraId="087DCC0E"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сентября 1933 года – фактическое начало испытаний.</w:t>
      </w:r>
    </w:p>
    <w:p w14:paraId="5D09E62A"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 года – фактическое окончание испытаний.</w:t>
      </w:r>
    </w:p>
    <w:p w14:paraId="5FCFB21F"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Фактически затрачено на испытание 17 календарных дней, из них:</w:t>
      </w:r>
    </w:p>
    <w:p w14:paraId="3DF13970"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было проведено в 7 летных дней.</w:t>
      </w:r>
    </w:p>
    <w:p w14:paraId="6A353FEC"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Налетано 16 час. 20 мин. (6783).</w:t>
      </w:r>
    </w:p>
    <w:p w14:paraId="17E23075" w14:textId="77777777" w:rsidR="007F23E2" w:rsidRPr="00C33834" w:rsidRDefault="007F23E2" w:rsidP="00C33834">
      <w:pPr>
        <w:tabs>
          <w:tab w:val="left" w:pos="11199"/>
        </w:tabs>
        <w:spacing w:after="0" w:line="240" w:lineRule="auto"/>
        <w:jc w:val="both"/>
        <w:rPr>
          <w:rFonts w:ascii="Times New Roman" w:hAnsi="Times New Roman"/>
          <w:color w:val="000000" w:themeColor="text1"/>
          <w:sz w:val="16"/>
          <w:szCs w:val="16"/>
        </w:rPr>
      </w:pPr>
    </w:p>
    <w:p w14:paraId="5B69A54F"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C 14 сентября по 1 октября 1933 проходил гос. испытания И-Зет с мотором ЮVI N 39010 (2692,6). Выполнили 15 посадок и налетали 16:20 за 7 летных дней. Вл П.Холопов и л М.Сцельников (2303,70).</w:t>
      </w:r>
    </w:p>
    <w:p w14:paraId="7EF7B95D"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самом деле 14 сентября 1933 машина поступила в бригаду НИИ ВВС и фактически испытания начались 15 сентября (2303,8).</w:t>
      </w:r>
    </w:p>
    <w:p w14:paraId="008F13AF"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Фактически затрачено на испытания 17 календарных дней, из них:</w:t>
      </w:r>
    </w:p>
    <w:p w14:paraId="0BF2CD76"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был неисправен</w:t>
      </w:r>
      <w:r w:rsidRPr="00C33834">
        <w:rPr>
          <w:rFonts w:ascii="Times New Roman" w:hAnsi="Times New Roman"/>
          <w:color w:val="000000" w:themeColor="text1"/>
          <w:sz w:val="16"/>
          <w:szCs w:val="16"/>
        </w:rPr>
        <w:tab/>
        <w:t>1</w:t>
      </w:r>
    </w:p>
    <w:p w14:paraId="7CC0D3C6"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нелетных дней</w:t>
      </w:r>
      <w:r w:rsidRPr="00C33834">
        <w:rPr>
          <w:rFonts w:ascii="Times New Roman" w:hAnsi="Times New Roman"/>
          <w:color w:val="000000" w:themeColor="text1"/>
          <w:sz w:val="16"/>
          <w:szCs w:val="16"/>
        </w:rPr>
        <w:tab/>
        <w:t>5</w:t>
      </w:r>
    </w:p>
    <w:p w14:paraId="0C894935"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дни командирской учебы</w:t>
      </w:r>
      <w:r w:rsidRPr="00C33834">
        <w:rPr>
          <w:rFonts w:ascii="Times New Roman" w:hAnsi="Times New Roman"/>
          <w:color w:val="000000" w:themeColor="text1"/>
          <w:sz w:val="16"/>
          <w:szCs w:val="16"/>
        </w:rPr>
        <w:tab/>
        <w:t>1</w:t>
      </w:r>
    </w:p>
    <w:p w14:paraId="09CA3246"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выходные дни</w:t>
      </w:r>
      <w:r w:rsidRPr="00C33834">
        <w:rPr>
          <w:rFonts w:ascii="Times New Roman" w:hAnsi="Times New Roman"/>
          <w:color w:val="000000" w:themeColor="text1"/>
          <w:sz w:val="16"/>
          <w:szCs w:val="16"/>
        </w:rPr>
        <w:tab/>
        <w:t>1</w:t>
      </w:r>
    </w:p>
    <w:p w14:paraId="2CF76DDD"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Всего </w:t>
      </w:r>
      <w:r w:rsidRPr="00C33834">
        <w:rPr>
          <w:rFonts w:ascii="Times New Roman" w:hAnsi="Times New Roman"/>
          <w:color w:val="000000" w:themeColor="text1"/>
          <w:sz w:val="16"/>
          <w:szCs w:val="16"/>
        </w:rPr>
        <w:tab/>
        <w:t>10</w:t>
      </w:r>
    </w:p>
    <w:p w14:paraId="2B3E873C"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 испытание было произведено за 7 летных дней.</w:t>
      </w:r>
    </w:p>
    <w:p w14:paraId="18D6DB5F"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время испытаний налет составил 16:20</w:t>
      </w:r>
    </w:p>
    <w:p w14:paraId="05AA856F"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Сделано посадок 15 (2303,63).</w:t>
      </w:r>
    </w:p>
    <w:p w14:paraId="79CDB675"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Машины были снабжены серийными АПК-4, каждая с магазином на 6 снарядов + 1 в стволе. скорость в 259 км/час и тех. дальность в 310 км сочли недостаточными. В заключении говорилось, что И-зет могут быть приняты на вооружение ВВС РККА при выполнении следующих условий: увеличения скорости до 300 км/час, емкости бензобаков, снарядов - до 20, установки радио. Отдельно требовали увеличить прочность с 300-500 до 1000 выстрелов. Просили предъявить к 1 марта 1934 (2692,6).</w:t>
      </w:r>
    </w:p>
    <w:p w14:paraId="63DD9D1D"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Сузи летал на стрельбу в Переяславле-Залесском. выполнил 52 полета и сделал 363 выстрела. Всего снарядов было 598 и число отказов доходило до 40%. Стреляли на высоте 700-800 м по группе шаров-пилотов диаметром 50-60 см. Поняли, что требуется дальномер и более совершенный прицел по сравнению с ОП-1 на дальность 400 м и скорость 250 км/час. Сначала летали на N 39005, а потом подоспел и 39010, на которых летали А.Коротков и М.Сцельников (2692,7).</w:t>
      </w:r>
    </w:p>
    <w:p w14:paraId="47E1500E"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29C8FFDB"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C 14 сентября по 1 октября 1933 проходил гос. испытания И-Зет с мотором ЮVI N 39010 (2692,6). Выполнили 15 посадок и налетали 16:20 за 7 летных дней. Вл П.Холопов и л М.Сцельников (2303,70).</w:t>
      </w:r>
    </w:p>
    <w:p w14:paraId="1F0C3513"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самом деле 14 сентября 1933 машина поступила в бригаду НИИ ВВС и фактически испытания начались 15 сентября (2303,8).</w:t>
      </w:r>
    </w:p>
    <w:p w14:paraId="325CDC7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ОСНОВНЫЕ ТЕХНИЧЕСКИЕ, РЕГУЛИРОВОЧНЫЕ И ВЕСОВЫЕ ДАННЫЕ</w:t>
      </w:r>
    </w:p>
    <w:p w14:paraId="2F8199E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Полная длина самолета..............................7,645 мтр.</w:t>
      </w:r>
    </w:p>
    <w:p w14:paraId="19FA8F0F"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Высота самолета при стоянка до конца лопасти винта...3,35</w:t>
      </w:r>
    </w:p>
    <w:p w14:paraId="3C4EFF4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Р а з м а х к р ы л ь е в........................11,5</w:t>
      </w:r>
    </w:p>
    <w:p w14:paraId="3DA31B0F"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Длина хорды к р ы л а.,:.........................2,215</w:t>
      </w:r>
    </w:p>
    <w:p w14:paraId="3551DC0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Р а з м а х стабилизатора........................3,2</w:t>
      </w:r>
    </w:p>
    <w:p w14:paraId="2071C5C4"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Р а з м а х руля высоты.........................3,203</w:t>
      </w:r>
    </w:p>
    <w:p w14:paraId="47BCBAE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Площадь крыльев с элеронами......................19,6</w:t>
      </w:r>
    </w:p>
    <w:p w14:paraId="2E5B33C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Плошадь э л е р о н о в..........................2,12</w:t>
      </w:r>
    </w:p>
    <w:p w14:paraId="7BDEC09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Плошадь стабилизатора................1,56</w:t>
      </w:r>
    </w:p>
    <w:p w14:paraId="2B8F7CD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Плошадь р у л я высоты...........................1,325</w:t>
      </w:r>
    </w:p>
    <w:p w14:paraId="3AB5BE4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Общая плошадь горизвнтального оперения............2,835</w:t>
      </w:r>
    </w:p>
    <w:p w14:paraId="695209D4"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Площадь килей.................................0,69</w:t>
      </w:r>
    </w:p>
    <w:p w14:paraId="0B4FE7E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Плошадь рулей направления.........................0,88</w:t>
      </w:r>
    </w:p>
    <w:p w14:paraId="1380534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Общая площадь вертикального оперения..............1,57</w:t>
      </w:r>
    </w:p>
    <w:p w14:paraId="3D0678E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Расстояние от земли до нижнего конца лопасти в линии полета.....0,35</w:t>
      </w:r>
    </w:p>
    <w:p w14:paraId="3C59B1D4"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Ширина ш а с с и.................................1,86</w:t>
      </w:r>
    </w:p>
    <w:p w14:paraId="5807DF6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Размер колес с пневматикой.....................750x125 м/м.</w:t>
      </w:r>
    </w:p>
    <w:p w14:paraId="4112D7B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Угол атаки крыльев................................0</w:t>
      </w:r>
    </w:p>
    <w:p w14:paraId="0AE9C0F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Угол к а п о т а ж а............................19</w:t>
      </w:r>
    </w:p>
    <w:p w14:paraId="449CED3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Пасадочный у г о л...............................14</w:t>
      </w:r>
      <w:r w:rsidRPr="00C33834">
        <w:rPr>
          <w:rFonts w:ascii="Times New Roman" w:hAnsi="Times New Roman"/>
          <w:color w:val="000000" w:themeColor="text1"/>
          <w:sz w:val="16"/>
          <w:szCs w:val="16"/>
          <w:vertAlign w:val="superscript"/>
        </w:rPr>
        <w:t>8</w:t>
      </w:r>
      <w:r w:rsidRPr="00C33834">
        <w:rPr>
          <w:rFonts w:ascii="Times New Roman" w:hAnsi="Times New Roman"/>
          <w:color w:val="000000" w:themeColor="text1"/>
          <w:sz w:val="16"/>
          <w:szCs w:val="16"/>
        </w:rPr>
        <w:t>30</w:t>
      </w:r>
    </w:p>
    <w:p w14:paraId="5345523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ВЕСОЫЕ ДАННЫЕ</w:t>
      </w:r>
    </w:p>
    <w:p w14:paraId="2570C04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Вес полной нагрузки...............................556 кг.</w:t>
      </w:r>
    </w:p>
    <w:p w14:paraId="718D66F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Полетный в е с..................................1648</w:t>
      </w:r>
    </w:p>
    <w:p w14:paraId="58B4FA2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Отношение веса полной нагрузка к полетному весу..33,8%</w:t>
      </w:r>
    </w:p>
    <w:p w14:paraId="31ECDED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Нягрузка на 1 мтр. крыльев........................84,1 кг.</w:t>
      </w:r>
    </w:p>
    <w:p w14:paraId="672EAF6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Нагрузка на нр..................................3,43</w:t>
      </w:r>
    </w:p>
    <w:p w14:paraId="050D056D"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Мощность на 1 мтр. 24,5</w:t>
      </w:r>
    </w:p>
    <w:p w14:paraId="5F95E0B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КРАТКОЕ ОПИСАНИЕ САМОЛЕТА.</w:t>
      </w:r>
    </w:p>
    <w:p w14:paraId="13DBB11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"ЗЕТ" представляет собою одномоторный подкосный, моноплан истребитель с мотором воздушного охлаждения ЮУ1 А</w:t>
      </w:r>
      <w:r w:rsidRPr="00C33834">
        <w:rPr>
          <w:rFonts w:ascii="Times New Roman" w:hAnsi="Times New Roman"/>
          <w:color w:val="000000" w:themeColor="text1"/>
          <w:sz w:val="16"/>
          <w:szCs w:val="16"/>
          <w:lang w:val="en-US"/>
        </w:rPr>
        <w:t>q</w:t>
      </w:r>
      <w:r w:rsidRPr="00C33834">
        <w:rPr>
          <w:rFonts w:ascii="Times New Roman" w:hAnsi="Times New Roman"/>
          <w:color w:val="000000" w:themeColor="text1"/>
          <w:sz w:val="16"/>
          <w:szCs w:val="16"/>
        </w:rPr>
        <w:t xml:space="preserve"> 480/550 нр.'</w:t>
      </w:r>
    </w:p>
    <w:p w14:paraId="6E249D0F"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Фюзеляж состоит из дзух частей: передней и заднейй /хвостовой/, стыуцемых между собой посредством 4-х узловых соеди</w:t>
      </w:r>
      <w:r w:rsidRPr="00C33834">
        <w:rPr>
          <w:rFonts w:ascii="Times New Roman" w:hAnsi="Times New Roman"/>
          <w:color w:val="000000" w:themeColor="text1"/>
          <w:sz w:val="16"/>
          <w:szCs w:val="16"/>
        </w:rPr>
        <w:softHyphen/>
        <w:t>нений. Конструкция фюзеляжа смешанного типа. Передняя часть от мотоустановки до заднего обреза кабины летчика - ферменная, выполненная из сварных хромансилевых труб, ввиде сварной корзин</w:t>
      </w:r>
      <w:r w:rsidRPr="00C33834">
        <w:rPr>
          <w:rFonts w:ascii="Times New Roman" w:hAnsi="Times New Roman"/>
          <w:color w:val="000000" w:themeColor="text1"/>
          <w:sz w:val="16"/>
          <w:szCs w:val="16"/>
        </w:rPr>
        <w:softHyphen/>
        <w:t>ки и служит основанием для присоединения к ней мотсустановки, шасси, крыльев и хвостовой части фазеляжа. На трубчатый остов корзинки приклепываются дюралевые профильки, которые обматываются полотняными лентами; к последним пришивается полотняная обтяжка.</w:t>
      </w:r>
    </w:p>
    <w:p w14:paraId="0DAA3805"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Задняя часть /хвостовая/ - шпоагоутного типа представляет кон</w:t>
      </w:r>
      <w:r w:rsidRPr="00C33834">
        <w:rPr>
          <w:rFonts w:ascii="Times New Roman" w:hAnsi="Times New Roman"/>
          <w:color w:val="000000" w:themeColor="text1"/>
          <w:sz w:val="16"/>
          <w:szCs w:val="16"/>
        </w:rPr>
        <w:softHyphen/>
        <w:t xml:space="preserve">струкцию из 11 дюралевых шпангоутов эллиптической формы, утоняющихся по своимразмерам к хвосту фюзеляжа; последние 4 шпангоута служат для образования киля фюзеляжа, составлякинаго одно целое с ним и имеют удлиненную вверх форму в соответствии с формой килевого образованил. Стрингеров 10; из них 4 усиленных: все они имеют форму </w:t>
      </w:r>
      <w:r w:rsidRPr="00C33834">
        <w:rPr>
          <w:rFonts w:ascii="Times New Roman" w:hAnsi="Times New Roman"/>
          <w:smallCaps/>
          <w:color w:val="000000" w:themeColor="text1"/>
          <w:sz w:val="16"/>
          <w:szCs w:val="16"/>
          <w:lang w:val="en-US"/>
        </w:rPr>
        <w:t>v</w:t>
      </w:r>
      <w:r w:rsidRPr="00C33834">
        <w:rPr>
          <w:rFonts w:ascii="Times New Roman" w:hAnsi="Times New Roman"/>
          <w:color w:val="000000" w:themeColor="text1"/>
          <w:sz w:val="16"/>
          <w:szCs w:val="16"/>
        </w:rPr>
        <w:t>образных профильков. Общивка - дюралевая.</w:t>
      </w:r>
    </w:p>
    <w:p w14:paraId="5633DD2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р ы л о - двухлонжеронное деревяное с полотняной обшивкой. Нервюр 22 из них 5 усиленных нервюр распорок и 17 нормальных. Лонжероны представляют собою конструкцию коробча</w:t>
      </w:r>
      <w:r w:rsidRPr="00C33834">
        <w:rPr>
          <w:rFonts w:ascii="Times New Roman" w:hAnsi="Times New Roman"/>
          <w:color w:val="000000" w:themeColor="text1"/>
          <w:sz w:val="16"/>
          <w:szCs w:val="16"/>
        </w:rPr>
        <w:softHyphen/>
        <w:t>того сеченая; материалом для них служит:- сосна, березовая фанера и липа. Нервюры состоят из фанерных стенок с облегчениями в них круглыми отверстиями, охваченными сверху и снизу сосновыми полочками, изогнутыми по форме дужки крыла.</w:t>
      </w:r>
    </w:p>
    <w:p w14:paraId="1EB6EF24"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Хвостовое оперение - целиком из дюраллюминия, усиленной конструкции с высоко расположенным горизонтальным оперением. Оно разделяется на горизонтальное, к которому относитсязакрепленный с помощью ушковых накшадок и подкосов стабилизатор и 2-х рулей высоты с компенсаторам; а вертикальное- включающее руль поворота и килек, наглухо приклепанный к вер</w:t>
      </w:r>
      <w:r w:rsidRPr="00C33834">
        <w:rPr>
          <w:rFonts w:ascii="Times New Roman" w:hAnsi="Times New Roman"/>
          <w:color w:val="000000" w:themeColor="text1"/>
          <w:sz w:val="16"/>
          <w:szCs w:val="16"/>
        </w:rPr>
        <w:softHyphen/>
        <w:t>хней поверхности стабилизатора.</w:t>
      </w:r>
    </w:p>
    <w:p w14:paraId="6B00FBBC"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Стабилизатор 2-х лонжеронный, с жесткими нервюрами и передним обтекателем. Рули высоты насаживаются на один обший, склепаный лонжерон, к которому крепится 11 нервюр. По своей конструкция и связи нервюр с обшивкой таковые имеют полную аналогию со стабилизатором. Руль направления состоит из основного лонжерона, 11 нервюр, ободка и стрингера; соединения их схоже с та</w:t>
      </w:r>
      <w:r w:rsidRPr="00C33834">
        <w:rPr>
          <w:rFonts w:ascii="Times New Roman" w:hAnsi="Times New Roman"/>
          <w:color w:val="000000" w:themeColor="text1"/>
          <w:sz w:val="16"/>
          <w:szCs w:val="16"/>
        </w:rPr>
        <w:softHyphen/>
        <w:t>ковыми для руля высоты. Обшивка - листовая, дюралевая с продольными ребрами жесткости, разбита на ряд секции, которые отгибаются в местах присоединения к соответствующим ребрам нервюи под прямым углом, охватывля эти ребра и приклепываются к ним. Подобное соединение обшивки с нервюрами увеличивают жесткость всей конструкции хаостового оперения.</w:t>
      </w:r>
    </w:p>
    <w:p w14:paraId="1FC65C5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 - представляют собою стальную конструкцию состоящую ия 2-х передних амортизационных ног, 2-х пар задних ног и 2-х пар крыльевых подкосов. Аммортизационные ноги укрепляются к пе</w:t>
      </w:r>
      <w:r w:rsidRPr="00C33834">
        <w:rPr>
          <w:rFonts w:ascii="Times New Roman" w:hAnsi="Times New Roman"/>
          <w:color w:val="000000" w:themeColor="text1"/>
          <w:sz w:val="16"/>
          <w:szCs w:val="16"/>
        </w:rPr>
        <w:softHyphen/>
        <w:t>редним нижним узлам сварной частя фюзеляжа и связываются между собою /снизу/ осью шасси. Задние ноги и крыльевые подкоса сое</w:t>
      </w:r>
      <w:r w:rsidRPr="00C33834">
        <w:rPr>
          <w:rFonts w:ascii="Times New Roman" w:hAnsi="Times New Roman"/>
          <w:color w:val="000000" w:themeColor="text1"/>
          <w:sz w:val="16"/>
          <w:szCs w:val="16"/>
        </w:rPr>
        <w:softHyphen/>
        <w:t>диняются в 2 узла /кабана/ между которыми проходит дополнитель</w:t>
      </w:r>
      <w:r w:rsidRPr="00C33834">
        <w:rPr>
          <w:rFonts w:ascii="Times New Roman" w:hAnsi="Times New Roman"/>
          <w:color w:val="000000" w:themeColor="text1"/>
          <w:sz w:val="16"/>
          <w:szCs w:val="16"/>
        </w:rPr>
        <w:softHyphen/>
        <w:t>ная ось. Дополнительная ось в свою очередь связана 2-мя горизон</w:t>
      </w:r>
      <w:r w:rsidRPr="00C33834">
        <w:rPr>
          <w:rFonts w:ascii="Times New Roman" w:hAnsi="Times New Roman"/>
          <w:color w:val="000000" w:themeColor="text1"/>
          <w:sz w:val="16"/>
          <w:szCs w:val="16"/>
        </w:rPr>
        <w:softHyphen/>
        <w:t>тальными распорными трубами с основной осью. Верхние концы ног укрепляются к переднему и заднему узлу сварной частя фюзеляжа. Верхние концы подкосов приходятся в-местах подхода переднего и заднего лонжеронов крыла..</w:t>
      </w:r>
    </w:p>
    <w:p w14:paraId="17D0ADE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Колеса - стандартного типа; размер 750 х 125 м/м.</w:t>
      </w:r>
    </w:p>
    <w:p w14:paraId="3BAC30E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 с т ы л ь- ориентирующийся.</w:t>
      </w:r>
    </w:p>
    <w:p w14:paraId="57DD4B1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 о р у ж е н и е- Самолет имеет следующие об"екты вооружения:</w:t>
      </w:r>
    </w:p>
    <w:p w14:paraId="5F9763A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2 пушки АПК-4 бис- 76,2 м/м. с автоматическим механизмом перезаряжания и 14 снарядов к ним.</w:t>
      </w:r>
    </w:p>
    <w:p w14:paraId="4DD7393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Одинпулемет ПВ-1 стреляющий через винт мотора посредст</w:t>
      </w:r>
      <w:r w:rsidRPr="00C33834">
        <w:rPr>
          <w:rFonts w:ascii="Times New Roman" w:hAnsi="Times New Roman"/>
          <w:color w:val="000000" w:themeColor="text1"/>
          <w:sz w:val="16"/>
          <w:szCs w:val="16"/>
        </w:rPr>
        <w:softHyphen/>
        <w:t>вом пулеметной установки ПУЛ-9 с 750 патронами.</w:t>
      </w:r>
    </w:p>
    <w:p w14:paraId="54BABF4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Оптический прицел Альдис.</w:t>
      </w:r>
    </w:p>
    <w:p w14:paraId="1B481D5F"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б о р у д о в а н и е - является нормальным для истребителя.</w:t>
      </w:r>
    </w:p>
    <w:p w14:paraId="389B898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Бензиновые баки состоят из главного на 87 кг. грозненского бензина марки Г2 я добавочного на 48 кг. В случае применения бензол-бензина обычне количество горючего составляет 145 кг.</w:t>
      </w:r>
    </w:p>
    <w:p w14:paraId="41F89700"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МасляныК бак расчитан на 18 кг.</w:t>
      </w:r>
    </w:p>
    <w:p w14:paraId="78C5BE5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Ц Е Н Т Р О В К А И Е Е В А Р И А Н Т 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88"/>
        <w:gridCol w:w="2398"/>
        <w:gridCol w:w="965"/>
        <w:gridCol w:w="799"/>
        <w:gridCol w:w="922"/>
        <w:gridCol w:w="929"/>
        <w:gridCol w:w="1267"/>
      </w:tblGrid>
      <w:tr w:rsidR="00F26F01" w:rsidRPr="00C33834" w14:paraId="2F2CF866" w14:textId="77777777">
        <w:trPr>
          <w:trHeight w:val="432"/>
        </w:trPr>
        <w:tc>
          <w:tcPr>
            <w:tcW w:w="288" w:type="dxa"/>
            <w:tcBorders>
              <w:top w:val="single" w:sz="12" w:space="0" w:color="auto"/>
            </w:tcBorders>
          </w:tcPr>
          <w:p w14:paraId="55247D5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№№п/п</w:t>
            </w:r>
          </w:p>
        </w:tc>
        <w:tc>
          <w:tcPr>
            <w:tcW w:w="2398" w:type="dxa"/>
            <w:tcBorders>
              <w:top w:val="single" w:sz="12" w:space="0" w:color="auto"/>
            </w:tcBorders>
          </w:tcPr>
          <w:p w14:paraId="73E9CCD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w:t>
            </w:r>
          </w:p>
        </w:tc>
        <w:tc>
          <w:tcPr>
            <w:tcW w:w="965" w:type="dxa"/>
            <w:tcBorders>
              <w:top w:val="single" w:sz="12" w:space="0" w:color="auto"/>
            </w:tcBorders>
          </w:tcPr>
          <w:p w14:paraId="6B65656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нагрузки в кг.</w:t>
            </w:r>
          </w:p>
        </w:tc>
        <w:tc>
          <w:tcPr>
            <w:tcW w:w="799" w:type="dxa"/>
            <w:tcBorders>
              <w:top w:val="single" w:sz="12" w:space="0" w:color="auto"/>
            </w:tcBorders>
          </w:tcPr>
          <w:p w14:paraId="2BF0B4F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Обшй вес в кг.</w:t>
            </w:r>
          </w:p>
        </w:tc>
        <w:tc>
          <w:tcPr>
            <w:tcW w:w="922" w:type="dxa"/>
            <w:tcBorders>
              <w:top w:val="single" w:sz="12" w:space="0" w:color="auto"/>
            </w:tcBorders>
          </w:tcPr>
          <w:p w14:paraId="4C5BC57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Координаты ЦТ к передней точки хорды крыла у фюзеляжа</w:t>
            </w:r>
          </w:p>
        </w:tc>
        <w:tc>
          <w:tcPr>
            <w:tcW w:w="929" w:type="dxa"/>
            <w:tcBorders>
              <w:top w:val="single" w:sz="12" w:space="0" w:color="auto"/>
            </w:tcBorders>
          </w:tcPr>
          <w:p w14:paraId="77B26C1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267" w:type="dxa"/>
            <w:tcBorders>
              <w:top w:val="single" w:sz="12" w:space="0" w:color="auto"/>
            </w:tcBorders>
          </w:tcPr>
          <w:p w14:paraId="12E9D214"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 к САХ крыла</w:t>
            </w:r>
          </w:p>
        </w:tc>
      </w:tr>
      <w:tr w:rsidR="00F26F01" w:rsidRPr="00C33834" w14:paraId="36429113" w14:textId="77777777">
        <w:trPr>
          <w:trHeight w:val="432"/>
        </w:trPr>
        <w:tc>
          <w:tcPr>
            <w:tcW w:w="288" w:type="dxa"/>
          </w:tcPr>
          <w:p w14:paraId="6B421E3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2398" w:type="dxa"/>
          </w:tcPr>
          <w:p w14:paraId="628D4665"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965" w:type="dxa"/>
          </w:tcPr>
          <w:p w14:paraId="60D26FA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799" w:type="dxa"/>
          </w:tcPr>
          <w:p w14:paraId="04112C4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922" w:type="dxa"/>
          </w:tcPr>
          <w:p w14:paraId="21DCBA3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 м/м.</w:t>
            </w:r>
          </w:p>
          <w:p w14:paraId="2BE0DE0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929" w:type="dxa"/>
          </w:tcPr>
          <w:p w14:paraId="6CB334D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Ук/м.</w:t>
            </w:r>
          </w:p>
          <w:p w14:paraId="31FE3A8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267" w:type="dxa"/>
          </w:tcPr>
          <w:p w14:paraId="0118FA2F"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r>
      <w:tr w:rsidR="00F26F01" w:rsidRPr="00C33834" w14:paraId="7E933B83" w14:textId="77777777">
        <w:trPr>
          <w:trHeight w:val="432"/>
        </w:trPr>
        <w:tc>
          <w:tcPr>
            <w:tcW w:w="288" w:type="dxa"/>
          </w:tcPr>
          <w:p w14:paraId="32C461F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2398" w:type="dxa"/>
          </w:tcPr>
          <w:p w14:paraId="32F0154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пустой с несъемным оборудованием</w:t>
            </w:r>
          </w:p>
          <w:p w14:paraId="3F6D33F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965" w:type="dxa"/>
          </w:tcPr>
          <w:p w14:paraId="5B7039A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328</w:t>
            </w:r>
          </w:p>
          <w:p w14:paraId="7B6116E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799" w:type="dxa"/>
          </w:tcPr>
          <w:p w14:paraId="56B8AE8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1320</w:t>
            </w:r>
          </w:p>
          <w:p w14:paraId="060D433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922" w:type="dxa"/>
          </w:tcPr>
          <w:p w14:paraId="45D7A53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w:t>
            </w:r>
          </w:p>
          <w:p w14:paraId="7CE8FBF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929" w:type="dxa"/>
          </w:tcPr>
          <w:p w14:paraId="111781F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318</w:t>
            </w:r>
          </w:p>
          <w:p w14:paraId="4DE26435"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267" w:type="dxa"/>
          </w:tcPr>
          <w:p w14:paraId="012B1FE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34,1</w:t>
            </w:r>
          </w:p>
          <w:p w14:paraId="6E744BF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r>
      <w:tr w:rsidR="00F26F01" w:rsidRPr="00C33834" w14:paraId="7E34AFF7" w14:textId="77777777">
        <w:trPr>
          <w:trHeight w:val="432"/>
        </w:trPr>
        <w:tc>
          <w:tcPr>
            <w:tcW w:w="288" w:type="dxa"/>
            <w:tcBorders>
              <w:bottom w:val="single" w:sz="12" w:space="0" w:color="auto"/>
            </w:tcBorders>
          </w:tcPr>
          <w:p w14:paraId="715F14D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2398" w:type="dxa"/>
            <w:tcBorders>
              <w:bottom w:val="single" w:sz="12" w:space="0" w:color="auto"/>
            </w:tcBorders>
          </w:tcPr>
          <w:p w14:paraId="67AF468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 полной боевой нагрузкой</w:t>
            </w:r>
          </w:p>
        </w:tc>
        <w:tc>
          <w:tcPr>
            <w:tcW w:w="965" w:type="dxa"/>
            <w:tcBorders>
              <w:bottom w:val="single" w:sz="12" w:space="0" w:color="auto"/>
            </w:tcBorders>
          </w:tcPr>
          <w:p w14:paraId="4A30D14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556</w:t>
            </w:r>
          </w:p>
        </w:tc>
        <w:tc>
          <w:tcPr>
            <w:tcW w:w="799" w:type="dxa"/>
            <w:tcBorders>
              <w:bottom w:val="single" w:sz="12" w:space="0" w:color="auto"/>
            </w:tcBorders>
          </w:tcPr>
          <w:p w14:paraId="4DDA5C4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1648</w:t>
            </w:r>
          </w:p>
        </w:tc>
        <w:tc>
          <w:tcPr>
            <w:tcW w:w="922" w:type="dxa"/>
            <w:tcBorders>
              <w:bottom w:val="single" w:sz="12" w:space="0" w:color="auto"/>
            </w:tcBorders>
          </w:tcPr>
          <w:p w14:paraId="4D12D97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844</w:t>
            </w:r>
          </w:p>
        </w:tc>
        <w:tc>
          <w:tcPr>
            <w:tcW w:w="929" w:type="dxa"/>
            <w:tcBorders>
              <w:bottom w:val="single" w:sz="12" w:space="0" w:color="auto"/>
            </w:tcBorders>
          </w:tcPr>
          <w:p w14:paraId="672CD975"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267" w:type="dxa"/>
            <w:tcBorders>
              <w:bottom w:val="single" w:sz="12" w:space="0" w:color="auto"/>
            </w:tcBorders>
          </w:tcPr>
          <w:p w14:paraId="3E9F3EB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36,3</w:t>
            </w:r>
          </w:p>
        </w:tc>
      </w:tr>
    </w:tbl>
    <w:p w14:paraId="464F824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Положение средней аэродинамической хорды по отношению к передней точке крыла у фюзеляжа - 119 м/и.</w:t>
      </w:r>
    </w:p>
    <w:p w14:paraId="7344C44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средней аэродинамической хорды крыла.... 1978 м/м.</w:t>
      </w:r>
    </w:p>
    <w:p w14:paraId="302A379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ГОРИЗОНТАЛЬНЫЕ СКОРОСТИ НА РАЗНЫХ ВЫСОТАХ</w:t>
      </w:r>
    </w:p>
    <w:p w14:paraId="5EA2D85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сведений:</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62"/>
        <w:gridCol w:w="1152"/>
        <w:gridCol w:w="1022"/>
        <w:gridCol w:w="1044"/>
        <w:gridCol w:w="972"/>
        <w:gridCol w:w="1011"/>
        <w:gridCol w:w="992"/>
      </w:tblGrid>
      <w:tr w:rsidR="00F26F01" w:rsidRPr="00C33834" w14:paraId="4DE4164E" w14:textId="77777777">
        <w:trPr>
          <w:trHeight w:val="367"/>
        </w:trPr>
        <w:tc>
          <w:tcPr>
            <w:tcW w:w="1462" w:type="dxa"/>
            <w:tcBorders>
              <w:top w:val="single" w:sz="12" w:space="0" w:color="auto"/>
            </w:tcBorders>
          </w:tcPr>
          <w:p w14:paraId="28528EE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p w14:paraId="0241BD3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152" w:type="dxa"/>
            <w:tcBorders>
              <w:top w:val="single" w:sz="12" w:space="0" w:color="auto"/>
            </w:tcBorders>
          </w:tcPr>
          <w:p w14:paraId="2F05AE45"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МАКСИМАЛЬНЫЕ</w:t>
            </w:r>
          </w:p>
          <w:p w14:paraId="07FB502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022" w:type="dxa"/>
            <w:tcBorders>
              <w:top w:val="single" w:sz="12" w:space="0" w:color="auto"/>
            </w:tcBorders>
          </w:tcPr>
          <w:p w14:paraId="4F3DE245"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p w14:paraId="141E5A9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044" w:type="dxa"/>
            <w:tcBorders>
              <w:top w:val="single" w:sz="12" w:space="0" w:color="auto"/>
            </w:tcBorders>
          </w:tcPr>
          <w:p w14:paraId="6B853CE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СРЕДНИЕ</w:t>
            </w:r>
          </w:p>
          <w:p w14:paraId="717F182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972" w:type="dxa"/>
            <w:tcBorders>
              <w:top w:val="single" w:sz="12" w:space="0" w:color="auto"/>
            </w:tcBorders>
          </w:tcPr>
          <w:p w14:paraId="33CF6CA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011" w:type="dxa"/>
            <w:tcBorders>
              <w:top w:val="single" w:sz="12" w:space="0" w:color="auto"/>
            </w:tcBorders>
          </w:tcPr>
          <w:p w14:paraId="3788620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МИНИМАЛЬНЫЕ</w:t>
            </w:r>
          </w:p>
          <w:p w14:paraId="062600E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single" w:sz="12" w:space="0" w:color="auto"/>
            </w:tcBorders>
          </w:tcPr>
          <w:p w14:paraId="7AFCC37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r>
      <w:tr w:rsidR="00F26F01" w:rsidRPr="00C33834" w14:paraId="600F3E90" w14:textId="77777777">
        <w:trPr>
          <w:trHeight w:val="763"/>
        </w:trPr>
        <w:tc>
          <w:tcPr>
            <w:tcW w:w="1462" w:type="dxa"/>
          </w:tcPr>
          <w:p w14:paraId="4238994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Высота в метрах. </w:t>
            </w:r>
          </w:p>
        </w:tc>
        <w:tc>
          <w:tcPr>
            <w:tcW w:w="1152" w:type="dxa"/>
          </w:tcPr>
          <w:p w14:paraId="105C5A8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в км/час</w:t>
            </w:r>
          </w:p>
        </w:tc>
        <w:tc>
          <w:tcPr>
            <w:tcW w:w="1022" w:type="dxa"/>
          </w:tcPr>
          <w:p w14:paraId="420A004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Оборотов мотора в мин.</w:t>
            </w:r>
          </w:p>
        </w:tc>
        <w:tc>
          <w:tcPr>
            <w:tcW w:w="1044" w:type="dxa"/>
          </w:tcPr>
          <w:p w14:paraId="14B97AB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в км/час</w:t>
            </w:r>
          </w:p>
        </w:tc>
        <w:tc>
          <w:tcPr>
            <w:tcW w:w="972" w:type="dxa"/>
          </w:tcPr>
          <w:p w14:paraId="2AA5669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Оборотов мотора в мин.</w:t>
            </w:r>
          </w:p>
        </w:tc>
        <w:tc>
          <w:tcPr>
            <w:tcW w:w="1011" w:type="dxa"/>
          </w:tcPr>
          <w:p w14:paraId="265CA95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в км/час</w:t>
            </w:r>
          </w:p>
        </w:tc>
        <w:tc>
          <w:tcPr>
            <w:tcW w:w="992" w:type="dxa"/>
          </w:tcPr>
          <w:p w14:paraId="4BD907D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Оборотов мотора в мин.</w:t>
            </w:r>
          </w:p>
        </w:tc>
      </w:tr>
      <w:tr w:rsidR="00F26F01" w:rsidRPr="00C33834" w14:paraId="2890EC66" w14:textId="77777777">
        <w:trPr>
          <w:trHeight w:val="526"/>
        </w:trPr>
        <w:tc>
          <w:tcPr>
            <w:tcW w:w="1462" w:type="dxa"/>
          </w:tcPr>
          <w:p w14:paraId="43E00AA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p w14:paraId="0504A70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152" w:type="dxa"/>
          </w:tcPr>
          <w:p w14:paraId="1E8921B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259.0</w:t>
            </w:r>
          </w:p>
          <w:p w14:paraId="0DDE753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022" w:type="dxa"/>
          </w:tcPr>
          <w:p w14:paraId="2A42B63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2100</w:t>
            </w:r>
          </w:p>
          <w:p w14:paraId="5C56090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044" w:type="dxa"/>
          </w:tcPr>
          <w:p w14:paraId="6BA5BE64"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204,5</w:t>
            </w:r>
          </w:p>
          <w:p w14:paraId="5085E28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972" w:type="dxa"/>
          </w:tcPr>
          <w:p w14:paraId="3B50844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1700</w:t>
            </w:r>
          </w:p>
          <w:p w14:paraId="1AF0525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011" w:type="dxa"/>
          </w:tcPr>
          <w:p w14:paraId="1093C1A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128</w:t>
            </w:r>
          </w:p>
          <w:p w14:paraId="0F79DD2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992" w:type="dxa"/>
          </w:tcPr>
          <w:p w14:paraId="512693D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1260</w:t>
            </w:r>
          </w:p>
          <w:p w14:paraId="5003459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r>
      <w:tr w:rsidR="00F26F01" w:rsidRPr="00C33834" w14:paraId="435A665C" w14:textId="77777777">
        <w:trPr>
          <w:trHeight w:val="504"/>
        </w:trPr>
        <w:tc>
          <w:tcPr>
            <w:tcW w:w="1462" w:type="dxa"/>
          </w:tcPr>
          <w:p w14:paraId="5AC9D04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p w14:paraId="0B48421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152" w:type="dxa"/>
          </w:tcPr>
          <w:p w14:paraId="6E1BF6F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255,8</w:t>
            </w:r>
          </w:p>
          <w:p w14:paraId="41DF668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022" w:type="dxa"/>
          </w:tcPr>
          <w:p w14:paraId="326D5DC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2095</w:t>
            </w:r>
          </w:p>
          <w:p w14:paraId="28B3642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044" w:type="dxa"/>
          </w:tcPr>
          <w:p w14:paraId="0514E86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202.2</w:t>
            </w:r>
          </w:p>
          <w:p w14:paraId="0E23B964"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972" w:type="dxa"/>
          </w:tcPr>
          <w:p w14:paraId="0B8BF73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1700</w:t>
            </w:r>
          </w:p>
          <w:p w14:paraId="1398A4B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011" w:type="dxa"/>
          </w:tcPr>
          <w:p w14:paraId="61F309B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133,4</w:t>
            </w:r>
          </w:p>
          <w:p w14:paraId="43C8B58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992" w:type="dxa"/>
          </w:tcPr>
          <w:p w14:paraId="05E7F1A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w:t>
            </w:r>
          </w:p>
          <w:p w14:paraId="2E2E5AB4"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r>
      <w:tr w:rsidR="00F26F01" w:rsidRPr="00C33834" w14:paraId="1BD689AF" w14:textId="77777777">
        <w:trPr>
          <w:trHeight w:val="518"/>
        </w:trPr>
        <w:tc>
          <w:tcPr>
            <w:tcW w:w="1462" w:type="dxa"/>
          </w:tcPr>
          <w:p w14:paraId="7E15AF6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p w14:paraId="20F64C3F"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152" w:type="dxa"/>
          </w:tcPr>
          <w:p w14:paraId="23D7DA4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252.0</w:t>
            </w:r>
          </w:p>
          <w:p w14:paraId="2ADE14B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022" w:type="dxa"/>
          </w:tcPr>
          <w:p w14:paraId="24CD5D1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2080</w:t>
            </w:r>
          </w:p>
          <w:p w14:paraId="75780B9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044" w:type="dxa"/>
          </w:tcPr>
          <w:p w14:paraId="1960DB4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p w14:paraId="33C9C4CF"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972" w:type="dxa"/>
          </w:tcPr>
          <w:p w14:paraId="5E8FF6A4"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1700</w:t>
            </w:r>
          </w:p>
          <w:p w14:paraId="53F5C95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011" w:type="dxa"/>
          </w:tcPr>
          <w:p w14:paraId="17391D2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138,7</w:t>
            </w:r>
          </w:p>
          <w:p w14:paraId="0520ADF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992" w:type="dxa"/>
          </w:tcPr>
          <w:p w14:paraId="51BE070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1340</w:t>
            </w:r>
          </w:p>
          <w:p w14:paraId="021FDFB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r>
      <w:tr w:rsidR="00F26F01" w:rsidRPr="00C33834" w14:paraId="51054AB5" w14:textId="77777777">
        <w:trPr>
          <w:trHeight w:val="511"/>
        </w:trPr>
        <w:tc>
          <w:tcPr>
            <w:tcW w:w="1462" w:type="dxa"/>
          </w:tcPr>
          <w:p w14:paraId="106CD16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p w14:paraId="39A90F5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152" w:type="dxa"/>
          </w:tcPr>
          <w:p w14:paraId="25BE50A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248,4</w:t>
            </w:r>
          </w:p>
          <w:p w14:paraId="1129CF0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022" w:type="dxa"/>
          </w:tcPr>
          <w:p w14:paraId="0BF8BCC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2055</w:t>
            </w:r>
          </w:p>
          <w:p w14:paraId="606FDC3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044" w:type="dxa"/>
          </w:tcPr>
          <w:p w14:paraId="3E5FF85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198,3</w:t>
            </w:r>
          </w:p>
          <w:p w14:paraId="02C794C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972" w:type="dxa"/>
          </w:tcPr>
          <w:p w14:paraId="3DA24D7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1700</w:t>
            </w:r>
          </w:p>
          <w:p w14:paraId="16836FAF"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011" w:type="dxa"/>
          </w:tcPr>
          <w:p w14:paraId="4B604AB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144</w:t>
            </w:r>
          </w:p>
          <w:p w14:paraId="481E320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992" w:type="dxa"/>
          </w:tcPr>
          <w:p w14:paraId="49722C8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1390</w:t>
            </w:r>
          </w:p>
          <w:p w14:paraId="3C2420A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r>
      <w:tr w:rsidR="00F26F01" w:rsidRPr="00C33834" w14:paraId="0F7FF454" w14:textId="77777777">
        <w:trPr>
          <w:trHeight w:val="511"/>
        </w:trPr>
        <w:tc>
          <w:tcPr>
            <w:tcW w:w="1462" w:type="dxa"/>
          </w:tcPr>
          <w:p w14:paraId="530FE9C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c>
          <w:tcPr>
            <w:tcW w:w="1152" w:type="dxa"/>
          </w:tcPr>
          <w:p w14:paraId="24876F7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244,2</w:t>
            </w:r>
          </w:p>
          <w:p w14:paraId="7ACB5C8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022" w:type="dxa"/>
          </w:tcPr>
          <w:p w14:paraId="66AA7BE4"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2020</w:t>
            </w:r>
          </w:p>
          <w:p w14:paraId="355FBE9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044" w:type="dxa"/>
          </w:tcPr>
          <w:p w14:paraId="352025E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195,5</w:t>
            </w:r>
          </w:p>
          <w:p w14:paraId="2D5B412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972" w:type="dxa"/>
          </w:tcPr>
          <w:p w14:paraId="20E0138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1700</w:t>
            </w:r>
          </w:p>
          <w:p w14:paraId="4F5A9E2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011" w:type="dxa"/>
          </w:tcPr>
          <w:p w14:paraId="627306A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149,4</w:t>
            </w:r>
          </w:p>
          <w:p w14:paraId="71D31A7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992" w:type="dxa"/>
          </w:tcPr>
          <w:p w14:paraId="4AAC4E35"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1455</w:t>
            </w:r>
          </w:p>
          <w:p w14:paraId="4F41199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r>
      <w:tr w:rsidR="00F26F01" w:rsidRPr="00C33834" w14:paraId="7E661E5A" w14:textId="77777777">
        <w:trPr>
          <w:trHeight w:val="518"/>
        </w:trPr>
        <w:tc>
          <w:tcPr>
            <w:tcW w:w="1462" w:type="dxa"/>
            <w:tcBorders>
              <w:bottom w:val="single" w:sz="12" w:space="0" w:color="auto"/>
            </w:tcBorders>
          </w:tcPr>
          <w:p w14:paraId="3ACCE3A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p w14:paraId="61464CC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152" w:type="dxa"/>
            <w:tcBorders>
              <w:bottom w:val="single" w:sz="12" w:space="0" w:color="auto"/>
            </w:tcBorders>
          </w:tcPr>
          <w:p w14:paraId="60FCDA64"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239.2</w:t>
            </w:r>
          </w:p>
          <w:p w14:paraId="5F531594"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022" w:type="dxa"/>
            <w:tcBorders>
              <w:bottom w:val="single" w:sz="12" w:space="0" w:color="auto"/>
            </w:tcBorders>
          </w:tcPr>
          <w:p w14:paraId="116FB42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2005</w:t>
            </w:r>
          </w:p>
          <w:p w14:paraId="055EC01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044" w:type="dxa"/>
            <w:tcBorders>
              <w:bottom w:val="single" w:sz="12" w:space="0" w:color="auto"/>
            </w:tcBorders>
          </w:tcPr>
          <w:p w14:paraId="1EFB10B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193,5</w:t>
            </w:r>
          </w:p>
          <w:p w14:paraId="20BDDDD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972" w:type="dxa"/>
            <w:tcBorders>
              <w:bottom w:val="single" w:sz="12" w:space="0" w:color="auto"/>
            </w:tcBorders>
          </w:tcPr>
          <w:p w14:paraId="2EF4E11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1700</w:t>
            </w:r>
          </w:p>
          <w:p w14:paraId="036B201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011" w:type="dxa"/>
            <w:tcBorders>
              <w:bottom w:val="single" w:sz="12" w:space="0" w:color="auto"/>
            </w:tcBorders>
          </w:tcPr>
          <w:p w14:paraId="3FBB072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156,4</w:t>
            </w:r>
          </w:p>
          <w:p w14:paraId="050EDD4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264BD2C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1550</w:t>
            </w:r>
          </w:p>
          <w:p w14:paraId="45E1B19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r>
    </w:tbl>
    <w:p w14:paraId="2EA76D9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СКОРОПОД'ЕМНОСТЬ И ПОТОЛОК.</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78"/>
        <w:gridCol w:w="1541"/>
        <w:gridCol w:w="1714"/>
        <w:gridCol w:w="1541"/>
        <w:gridCol w:w="1634"/>
      </w:tblGrid>
      <w:tr w:rsidR="00F26F01" w:rsidRPr="00C33834" w14:paraId="14FB5BFA" w14:textId="77777777">
        <w:trPr>
          <w:trHeight w:val="1080"/>
        </w:trPr>
        <w:tc>
          <w:tcPr>
            <w:tcW w:w="878" w:type="dxa"/>
            <w:tcBorders>
              <w:top w:val="single" w:sz="12" w:space="0" w:color="auto"/>
            </w:tcBorders>
          </w:tcPr>
          <w:p w14:paraId="6824F0E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в мтр.</w:t>
            </w:r>
          </w:p>
          <w:p w14:paraId="6C39E79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541" w:type="dxa"/>
            <w:tcBorders>
              <w:top w:val="single" w:sz="12" w:space="0" w:color="auto"/>
            </w:tcBorders>
          </w:tcPr>
          <w:p w14:paraId="04757AE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под"ема в мин.</w:t>
            </w:r>
          </w:p>
          <w:p w14:paraId="29F784B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714" w:type="dxa"/>
            <w:tcBorders>
              <w:top w:val="single" w:sz="12" w:space="0" w:color="auto"/>
            </w:tcBorders>
          </w:tcPr>
          <w:p w14:paraId="17AB5A2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Вертикаль</w:t>
            </w:r>
            <w:r w:rsidRPr="00C33834">
              <w:rPr>
                <w:rFonts w:ascii="Times New Roman" w:hAnsi="Times New Roman"/>
                <w:color w:val="000000" w:themeColor="text1"/>
                <w:sz w:val="16"/>
                <w:szCs w:val="16"/>
              </w:rPr>
              <w:softHyphen/>
              <w:t>ная скорость в мтр/сек.</w:t>
            </w:r>
          </w:p>
          <w:p w14:paraId="23AED68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541" w:type="dxa"/>
            <w:tcBorders>
              <w:top w:val="single" w:sz="12" w:space="0" w:color="auto"/>
            </w:tcBorders>
          </w:tcPr>
          <w:p w14:paraId="0567ACC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по приборам в км/час.</w:t>
            </w:r>
          </w:p>
          <w:p w14:paraId="755C956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634" w:type="dxa"/>
            <w:tcBorders>
              <w:top w:val="single" w:sz="12" w:space="0" w:color="auto"/>
            </w:tcBorders>
          </w:tcPr>
          <w:p w14:paraId="7BDB757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Обороты мотора в мин.</w:t>
            </w:r>
          </w:p>
          <w:p w14:paraId="2D363E2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r>
      <w:tr w:rsidR="00F26F01" w:rsidRPr="00C33834" w14:paraId="19C16CFE" w14:textId="77777777">
        <w:trPr>
          <w:trHeight w:val="511"/>
        </w:trPr>
        <w:tc>
          <w:tcPr>
            <w:tcW w:w="878" w:type="dxa"/>
          </w:tcPr>
          <w:p w14:paraId="0A04385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p w14:paraId="5EF18BF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541" w:type="dxa"/>
          </w:tcPr>
          <w:p w14:paraId="739344F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p w14:paraId="73C9A77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714" w:type="dxa"/>
          </w:tcPr>
          <w:p w14:paraId="1A29BA0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10,1</w:t>
            </w:r>
          </w:p>
          <w:p w14:paraId="4DD24A8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541" w:type="dxa"/>
          </w:tcPr>
          <w:p w14:paraId="1781E86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142</w:t>
            </w:r>
          </w:p>
          <w:p w14:paraId="6DBE46B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634" w:type="dxa"/>
          </w:tcPr>
          <w:p w14:paraId="37AC696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1865</w:t>
            </w:r>
          </w:p>
          <w:p w14:paraId="6C5526E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r>
      <w:tr w:rsidR="00F26F01" w:rsidRPr="00C33834" w14:paraId="34095C49" w14:textId="77777777">
        <w:trPr>
          <w:trHeight w:val="338"/>
        </w:trPr>
        <w:tc>
          <w:tcPr>
            <w:tcW w:w="878" w:type="dxa"/>
          </w:tcPr>
          <w:p w14:paraId="2C7F0B7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p w14:paraId="20E6A64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541" w:type="dxa"/>
          </w:tcPr>
          <w:p w14:paraId="4B84A19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p w14:paraId="3A3719F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714" w:type="dxa"/>
          </w:tcPr>
          <w:p w14:paraId="6EEC980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w:t>
            </w:r>
          </w:p>
          <w:p w14:paraId="05907F2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541" w:type="dxa"/>
          </w:tcPr>
          <w:p w14:paraId="136B1A3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138</w:t>
            </w:r>
          </w:p>
          <w:p w14:paraId="0EDA87E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634" w:type="dxa"/>
          </w:tcPr>
          <w:p w14:paraId="709C786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1860</w:t>
            </w:r>
          </w:p>
          <w:p w14:paraId="3DC46FFF"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r>
      <w:tr w:rsidR="00F26F01" w:rsidRPr="00C33834" w14:paraId="07A069D0" w14:textId="77777777">
        <w:trPr>
          <w:trHeight w:val="346"/>
        </w:trPr>
        <w:tc>
          <w:tcPr>
            <w:tcW w:w="878" w:type="dxa"/>
          </w:tcPr>
          <w:p w14:paraId="66261D6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p w14:paraId="5F43042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541" w:type="dxa"/>
          </w:tcPr>
          <w:p w14:paraId="29036985"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w:t>
            </w:r>
          </w:p>
          <w:p w14:paraId="02F3D7E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714" w:type="dxa"/>
          </w:tcPr>
          <w:p w14:paraId="5FAD8DE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7,45</w:t>
            </w:r>
          </w:p>
          <w:p w14:paraId="202AD05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541" w:type="dxa"/>
          </w:tcPr>
          <w:p w14:paraId="25873AC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133</w:t>
            </w:r>
          </w:p>
          <w:p w14:paraId="4FE78FD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634" w:type="dxa"/>
          </w:tcPr>
          <w:p w14:paraId="0186A60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1850</w:t>
            </w:r>
          </w:p>
          <w:p w14:paraId="259CB38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r>
      <w:tr w:rsidR="00F26F01" w:rsidRPr="00C33834" w14:paraId="4AB01F1A" w14:textId="77777777">
        <w:trPr>
          <w:trHeight w:val="346"/>
        </w:trPr>
        <w:tc>
          <w:tcPr>
            <w:tcW w:w="878" w:type="dxa"/>
          </w:tcPr>
          <w:p w14:paraId="300803C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p w14:paraId="3E85B5C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541" w:type="dxa"/>
          </w:tcPr>
          <w:p w14:paraId="2A9AA81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w:t>
            </w:r>
          </w:p>
          <w:p w14:paraId="0A30070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714" w:type="dxa"/>
          </w:tcPr>
          <w:p w14:paraId="6F8B3F2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6Л</w:t>
            </w:r>
          </w:p>
          <w:p w14:paraId="4C01EB25"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541" w:type="dxa"/>
          </w:tcPr>
          <w:p w14:paraId="00A6C49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p w14:paraId="18D04F5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634" w:type="dxa"/>
          </w:tcPr>
          <w:p w14:paraId="0A7F78F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1840</w:t>
            </w:r>
          </w:p>
          <w:p w14:paraId="57509D5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r>
      <w:tr w:rsidR="00F26F01" w:rsidRPr="00C33834" w14:paraId="6CD4F90F" w14:textId="77777777">
        <w:trPr>
          <w:trHeight w:val="346"/>
        </w:trPr>
        <w:tc>
          <w:tcPr>
            <w:tcW w:w="878" w:type="dxa"/>
          </w:tcPr>
          <w:p w14:paraId="61A6158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4000</w:t>
            </w:r>
          </w:p>
          <w:p w14:paraId="3B953AF5"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541" w:type="dxa"/>
          </w:tcPr>
          <w:p w14:paraId="67038B1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9.7</w:t>
            </w:r>
          </w:p>
          <w:p w14:paraId="0DFBD324"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714" w:type="dxa"/>
          </w:tcPr>
          <w:p w14:paraId="10DFC12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4,75</w:t>
            </w:r>
          </w:p>
          <w:p w14:paraId="7300D98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541" w:type="dxa"/>
          </w:tcPr>
          <w:p w14:paraId="02A6791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w:t>
            </w:r>
          </w:p>
          <w:p w14:paraId="477F7DC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634" w:type="dxa"/>
          </w:tcPr>
          <w:p w14:paraId="01093E2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1830,</w:t>
            </w:r>
          </w:p>
          <w:p w14:paraId="5AA0FB4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r>
      <w:tr w:rsidR="00F26F01" w:rsidRPr="00C33834" w14:paraId="613CAACB" w14:textId="77777777">
        <w:trPr>
          <w:trHeight w:val="346"/>
        </w:trPr>
        <w:tc>
          <w:tcPr>
            <w:tcW w:w="878" w:type="dxa"/>
          </w:tcPr>
          <w:p w14:paraId="41639C1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p w14:paraId="256766D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541" w:type="dxa"/>
          </w:tcPr>
          <w:p w14:paraId="0AE0E2B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w:t>
            </w:r>
          </w:p>
          <w:p w14:paraId="7066E23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714" w:type="dxa"/>
          </w:tcPr>
          <w:p w14:paraId="36025B3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w:t>
            </w:r>
          </w:p>
          <w:p w14:paraId="1371F5A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541" w:type="dxa"/>
          </w:tcPr>
          <w:p w14:paraId="15EA6CC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122</w:t>
            </w:r>
          </w:p>
          <w:p w14:paraId="5D5CB97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634" w:type="dxa"/>
          </w:tcPr>
          <w:p w14:paraId="494488B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1820</w:t>
            </w:r>
          </w:p>
          <w:p w14:paraId="653C9C14"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r>
      <w:tr w:rsidR="00F26F01" w:rsidRPr="00C33834" w14:paraId="7F116825" w14:textId="77777777">
        <w:trPr>
          <w:trHeight w:val="396"/>
        </w:trPr>
        <w:tc>
          <w:tcPr>
            <w:tcW w:w="878" w:type="dxa"/>
            <w:tcBorders>
              <w:bottom w:val="single" w:sz="12" w:space="0" w:color="auto"/>
            </w:tcBorders>
          </w:tcPr>
          <w:p w14:paraId="6F710D6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w:t>
            </w:r>
          </w:p>
          <w:p w14:paraId="5F1D0D1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541" w:type="dxa"/>
            <w:tcBorders>
              <w:bottom w:val="single" w:sz="12" w:space="0" w:color="auto"/>
            </w:tcBorders>
          </w:tcPr>
          <w:p w14:paraId="788B831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20,6</w:t>
            </w:r>
          </w:p>
          <w:p w14:paraId="1B32015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714" w:type="dxa"/>
            <w:tcBorders>
              <w:bottom w:val="single" w:sz="12" w:space="0" w:color="auto"/>
            </w:tcBorders>
          </w:tcPr>
          <w:p w14:paraId="686A791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p w14:paraId="57B4455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541" w:type="dxa"/>
            <w:tcBorders>
              <w:bottom w:val="single" w:sz="12" w:space="0" w:color="auto"/>
            </w:tcBorders>
          </w:tcPr>
          <w:p w14:paraId="39D405B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118</w:t>
            </w:r>
          </w:p>
          <w:p w14:paraId="15EC671F"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634" w:type="dxa"/>
            <w:tcBorders>
              <w:bottom w:val="single" w:sz="12" w:space="0" w:color="auto"/>
            </w:tcBorders>
          </w:tcPr>
          <w:p w14:paraId="293CCCB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1810</w:t>
            </w:r>
          </w:p>
          <w:p w14:paraId="1C86EBD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r>
    </w:tbl>
    <w:p w14:paraId="59D54E9F"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Практический потолок при Ин=0.05 Ис равен 7000 мтр.за 35,2 м</w:t>
      </w:r>
    </w:p>
    <w:p w14:paraId="67361B4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М А Н Е В Р Е Н Н О С Т Ь.</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69"/>
        <w:gridCol w:w="569"/>
        <w:gridCol w:w="569"/>
        <w:gridCol w:w="576"/>
        <w:gridCol w:w="562"/>
        <w:gridCol w:w="540"/>
        <w:gridCol w:w="583"/>
        <w:gridCol w:w="554"/>
        <w:gridCol w:w="562"/>
        <w:gridCol w:w="569"/>
        <w:gridCol w:w="619"/>
        <w:gridCol w:w="518"/>
        <w:gridCol w:w="1130"/>
      </w:tblGrid>
      <w:tr w:rsidR="00F26F01" w:rsidRPr="00C33834" w14:paraId="59094416" w14:textId="77777777">
        <w:trPr>
          <w:trHeight w:val="252"/>
        </w:trPr>
        <w:tc>
          <w:tcPr>
            <w:tcW w:w="569" w:type="dxa"/>
            <w:tcBorders>
              <w:top w:val="single" w:sz="12" w:space="0" w:color="auto"/>
            </w:tcBorders>
          </w:tcPr>
          <w:p w14:paraId="21C153C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69" w:type="dxa"/>
            <w:tcBorders>
              <w:top w:val="single" w:sz="12" w:space="0" w:color="auto"/>
            </w:tcBorders>
          </w:tcPr>
          <w:p w14:paraId="10B6C83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w:t>
            </w:r>
          </w:p>
        </w:tc>
        <w:tc>
          <w:tcPr>
            <w:tcW w:w="569" w:type="dxa"/>
            <w:tcBorders>
              <w:top w:val="single" w:sz="12" w:space="0" w:color="auto"/>
            </w:tcBorders>
          </w:tcPr>
          <w:p w14:paraId="4F2C9DA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76" w:type="dxa"/>
            <w:tcBorders>
              <w:top w:val="single" w:sz="12" w:space="0" w:color="auto"/>
            </w:tcBorders>
          </w:tcPr>
          <w:p w14:paraId="7DAA0E06" w14:textId="77777777" w:rsidR="007F23E2" w:rsidRPr="00C33834" w:rsidRDefault="007F23E2" w:rsidP="00C33834">
            <w:pPr>
              <w:shd w:val="clear" w:color="auto" w:fill="FFFFFF"/>
              <w:spacing w:after="0" w:line="240" w:lineRule="auto"/>
              <w:jc w:val="both"/>
              <w:rPr>
                <w:rFonts w:ascii="Times New Roman" w:hAnsi="Times New Roman"/>
                <w:smallCaps/>
                <w:color w:val="000000" w:themeColor="text1"/>
                <w:sz w:val="16"/>
                <w:szCs w:val="16"/>
              </w:rPr>
            </w:pPr>
          </w:p>
        </w:tc>
        <w:tc>
          <w:tcPr>
            <w:tcW w:w="562" w:type="dxa"/>
            <w:tcBorders>
              <w:top w:val="single" w:sz="12" w:space="0" w:color="auto"/>
            </w:tcBorders>
          </w:tcPr>
          <w:p w14:paraId="7FE8F90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w:t>
            </w:r>
          </w:p>
        </w:tc>
        <w:tc>
          <w:tcPr>
            <w:tcW w:w="540" w:type="dxa"/>
            <w:tcBorders>
              <w:top w:val="single" w:sz="12" w:space="0" w:color="auto"/>
            </w:tcBorders>
          </w:tcPr>
          <w:p w14:paraId="27A5B33F"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83" w:type="dxa"/>
            <w:tcBorders>
              <w:top w:val="single" w:sz="12" w:space="0" w:color="auto"/>
            </w:tcBorders>
          </w:tcPr>
          <w:p w14:paraId="1ADA328F"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54" w:type="dxa"/>
            <w:tcBorders>
              <w:top w:val="single" w:sz="12" w:space="0" w:color="auto"/>
            </w:tcBorders>
          </w:tcPr>
          <w:p w14:paraId="3FD2540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62" w:type="dxa"/>
            <w:tcBorders>
              <w:top w:val="single" w:sz="12" w:space="0" w:color="auto"/>
            </w:tcBorders>
          </w:tcPr>
          <w:p w14:paraId="02EEF76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69" w:type="dxa"/>
            <w:tcBorders>
              <w:top w:val="single" w:sz="12" w:space="0" w:color="auto"/>
            </w:tcBorders>
          </w:tcPr>
          <w:p w14:paraId="2495CFE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619" w:type="dxa"/>
            <w:tcBorders>
              <w:top w:val="single" w:sz="12" w:space="0" w:color="auto"/>
            </w:tcBorders>
          </w:tcPr>
          <w:p w14:paraId="2254E40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Обороты</w:t>
            </w:r>
          </w:p>
        </w:tc>
        <w:tc>
          <w:tcPr>
            <w:tcW w:w="518" w:type="dxa"/>
            <w:tcBorders>
              <w:top w:val="single" w:sz="12" w:space="0" w:color="auto"/>
            </w:tcBorders>
          </w:tcPr>
          <w:p w14:paraId="2DBD942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130" w:type="dxa"/>
            <w:tcBorders>
              <w:top w:val="single" w:sz="12" w:space="0" w:color="auto"/>
            </w:tcBorders>
          </w:tcPr>
          <w:p w14:paraId="5CE85B7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r>
      <w:tr w:rsidR="00F26F01" w:rsidRPr="00C33834" w14:paraId="55DBAD5E" w14:textId="77777777">
        <w:trPr>
          <w:trHeight w:val="252"/>
        </w:trPr>
        <w:tc>
          <w:tcPr>
            <w:tcW w:w="569" w:type="dxa"/>
          </w:tcPr>
          <w:p w14:paraId="5385DCC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69" w:type="dxa"/>
          </w:tcPr>
          <w:p w14:paraId="5172AD0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569" w:type="dxa"/>
          </w:tcPr>
          <w:p w14:paraId="3763F7D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576" w:type="dxa"/>
          </w:tcPr>
          <w:p w14:paraId="11281CA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562" w:type="dxa"/>
          </w:tcPr>
          <w:p w14:paraId="4AE0A7F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40" w:type="dxa"/>
          </w:tcPr>
          <w:p w14:paraId="27993C8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83" w:type="dxa"/>
          </w:tcPr>
          <w:p w14:paraId="3CB4A41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54" w:type="dxa"/>
          </w:tcPr>
          <w:p w14:paraId="79071EE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62" w:type="dxa"/>
          </w:tcPr>
          <w:p w14:paraId="21387D8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69" w:type="dxa"/>
          </w:tcPr>
          <w:p w14:paraId="0F33506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619" w:type="dxa"/>
          </w:tcPr>
          <w:p w14:paraId="3E9F212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518" w:type="dxa"/>
          </w:tcPr>
          <w:p w14:paraId="79C8C54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1130" w:type="dxa"/>
          </w:tcPr>
          <w:p w14:paraId="2645911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r>
      <w:tr w:rsidR="00F26F01" w:rsidRPr="00C33834" w14:paraId="5831B7C3" w14:textId="77777777">
        <w:trPr>
          <w:trHeight w:val="684"/>
        </w:trPr>
        <w:tc>
          <w:tcPr>
            <w:tcW w:w="569" w:type="dxa"/>
          </w:tcPr>
          <w:p w14:paraId="6796C7B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один правый</w:t>
            </w:r>
          </w:p>
        </w:tc>
        <w:tc>
          <w:tcPr>
            <w:tcW w:w="569" w:type="dxa"/>
          </w:tcPr>
          <w:p w14:paraId="1E7885C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16,8</w:t>
            </w:r>
          </w:p>
          <w:p w14:paraId="10B11C6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69" w:type="dxa"/>
          </w:tcPr>
          <w:p w14:paraId="759A7D1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18,8</w:t>
            </w:r>
          </w:p>
          <w:p w14:paraId="42BDE2F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76" w:type="dxa"/>
          </w:tcPr>
          <w:p w14:paraId="09B961F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w:t>
            </w:r>
          </w:p>
          <w:p w14:paraId="27F0361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62" w:type="dxa"/>
          </w:tcPr>
          <w:p w14:paraId="4557154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155</w:t>
            </w:r>
          </w:p>
          <w:p w14:paraId="38D7016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40" w:type="dxa"/>
          </w:tcPr>
          <w:p w14:paraId="2B5CCAD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p w14:paraId="21DF7E5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83" w:type="dxa"/>
          </w:tcPr>
          <w:p w14:paraId="15FDB0D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p w14:paraId="4075B93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54" w:type="dxa"/>
          </w:tcPr>
          <w:p w14:paraId="7F4E502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165</w:t>
            </w:r>
          </w:p>
          <w:p w14:paraId="7A661A0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62" w:type="dxa"/>
          </w:tcPr>
          <w:p w14:paraId="3A02209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p w14:paraId="7EA91FC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69" w:type="dxa"/>
          </w:tcPr>
          <w:p w14:paraId="3935678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p w14:paraId="50D20D5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619" w:type="dxa"/>
          </w:tcPr>
          <w:p w14:paraId="2556DE9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w:t>
            </w:r>
          </w:p>
          <w:p w14:paraId="10A6C0E5"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18" w:type="dxa"/>
          </w:tcPr>
          <w:p w14:paraId="6842C9D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1800</w:t>
            </w:r>
          </w:p>
          <w:p w14:paraId="6545FCD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130" w:type="dxa"/>
          </w:tcPr>
          <w:p w14:paraId="4902C09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1890</w:t>
            </w:r>
          </w:p>
          <w:p w14:paraId="09A348EF"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r>
      <w:tr w:rsidR="00F26F01" w:rsidRPr="00C33834" w14:paraId="266AD1A1" w14:textId="77777777">
        <w:trPr>
          <w:trHeight w:val="605"/>
        </w:trPr>
        <w:tc>
          <w:tcPr>
            <w:tcW w:w="569" w:type="dxa"/>
          </w:tcPr>
          <w:p w14:paraId="0663A3D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один левый</w:t>
            </w:r>
          </w:p>
        </w:tc>
        <w:tc>
          <w:tcPr>
            <w:tcW w:w="569" w:type="dxa"/>
          </w:tcPr>
          <w:p w14:paraId="3791F79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17,3</w:t>
            </w:r>
          </w:p>
        </w:tc>
        <w:tc>
          <w:tcPr>
            <w:tcW w:w="569" w:type="dxa"/>
          </w:tcPr>
          <w:p w14:paraId="75D4B02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p w14:paraId="7B75AC04"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76" w:type="dxa"/>
          </w:tcPr>
          <w:p w14:paraId="6C5500F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p w14:paraId="1413437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62" w:type="dxa"/>
          </w:tcPr>
          <w:p w14:paraId="42104BE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p w14:paraId="063CB9AF"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40" w:type="dxa"/>
          </w:tcPr>
          <w:p w14:paraId="62AC1D1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p w14:paraId="7FE566E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83" w:type="dxa"/>
          </w:tcPr>
          <w:p w14:paraId="1EAA954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135</w:t>
            </w:r>
          </w:p>
          <w:p w14:paraId="112E608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54" w:type="dxa"/>
          </w:tcPr>
          <w:p w14:paraId="3B3AAFD4"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145</w:t>
            </w:r>
          </w:p>
          <w:p w14:paraId="5578311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62" w:type="dxa"/>
          </w:tcPr>
          <w:p w14:paraId="7F00B185"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p w14:paraId="58A73DE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69" w:type="dxa"/>
          </w:tcPr>
          <w:p w14:paraId="22FF2AE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p w14:paraId="321E95A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619" w:type="dxa"/>
          </w:tcPr>
          <w:p w14:paraId="5A60BD9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1780</w:t>
            </w:r>
          </w:p>
          <w:p w14:paraId="4C55A54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18" w:type="dxa"/>
          </w:tcPr>
          <w:p w14:paraId="0CB2EF8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1800</w:t>
            </w:r>
          </w:p>
          <w:p w14:paraId="479B3015"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130" w:type="dxa"/>
          </w:tcPr>
          <w:p w14:paraId="2790780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1890</w:t>
            </w:r>
          </w:p>
          <w:p w14:paraId="6C58D185"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r>
      <w:tr w:rsidR="00F26F01" w:rsidRPr="00C33834" w14:paraId="47E74773" w14:textId="77777777">
        <w:trPr>
          <w:trHeight w:val="518"/>
        </w:trPr>
        <w:tc>
          <w:tcPr>
            <w:tcW w:w="569" w:type="dxa"/>
          </w:tcPr>
          <w:p w14:paraId="6AF8E02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серия правых</w:t>
            </w:r>
          </w:p>
        </w:tc>
        <w:tc>
          <w:tcPr>
            <w:tcW w:w="569" w:type="dxa"/>
          </w:tcPr>
          <w:p w14:paraId="68BB5F9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58,0</w:t>
            </w:r>
          </w:p>
          <w:p w14:paraId="774F7C7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69" w:type="dxa"/>
          </w:tcPr>
          <w:p w14:paraId="3F670C84"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66,5</w:t>
            </w:r>
          </w:p>
          <w:p w14:paraId="6F5806C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76" w:type="dxa"/>
          </w:tcPr>
          <w:p w14:paraId="1F0916E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75,1</w:t>
            </w:r>
          </w:p>
          <w:p w14:paraId="3AC0534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62" w:type="dxa"/>
          </w:tcPr>
          <w:p w14:paraId="7F4820A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w:t>
            </w:r>
          </w:p>
          <w:p w14:paraId="0D18F67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40" w:type="dxa"/>
          </w:tcPr>
          <w:p w14:paraId="11B4FB3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p w14:paraId="6715623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83" w:type="dxa"/>
          </w:tcPr>
          <w:p w14:paraId="3A65A28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w:t>
            </w:r>
          </w:p>
          <w:p w14:paraId="6819315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54" w:type="dxa"/>
          </w:tcPr>
          <w:p w14:paraId="2986D31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w:t>
            </w:r>
          </w:p>
          <w:p w14:paraId="345BDB5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62" w:type="dxa"/>
          </w:tcPr>
          <w:p w14:paraId="42FA59D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p w14:paraId="19567B8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69" w:type="dxa"/>
          </w:tcPr>
          <w:p w14:paraId="25CCE63F"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p w14:paraId="40A9C55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619" w:type="dxa"/>
          </w:tcPr>
          <w:p w14:paraId="4C03AAB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1740</w:t>
            </w:r>
          </w:p>
          <w:p w14:paraId="43B9E73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18" w:type="dxa"/>
          </w:tcPr>
          <w:p w14:paraId="4DE8A2B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1800</w:t>
            </w:r>
          </w:p>
          <w:p w14:paraId="70B72FF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130" w:type="dxa"/>
          </w:tcPr>
          <w:p w14:paraId="3EB8806F"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1875</w:t>
            </w:r>
          </w:p>
          <w:p w14:paraId="4723EA7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r>
      <w:tr w:rsidR="00F26F01" w:rsidRPr="00C33834" w14:paraId="1474A151" w14:textId="77777777">
        <w:trPr>
          <w:trHeight w:val="425"/>
        </w:trPr>
        <w:tc>
          <w:tcPr>
            <w:tcW w:w="569" w:type="dxa"/>
          </w:tcPr>
          <w:p w14:paraId="0EACEDA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серия левых</w:t>
            </w:r>
          </w:p>
        </w:tc>
        <w:tc>
          <w:tcPr>
            <w:tcW w:w="569" w:type="dxa"/>
          </w:tcPr>
          <w:p w14:paraId="1B26089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p w14:paraId="1D2387E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69" w:type="dxa"/>
          </w:tcPr>
          <w:p w14:paraId="772191F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68,0</w:t>
            </w:r>
          </w:p>
          <w:p w14:paraId="5DE9A3E5"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76" w:type="dxa"/>
          </w:tcPr>
          <w:p w14:paraId="6741691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74.0</w:t>
            </w:r>
          </w:p>
          <w:p w14:paraId="5368D26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62" w:type="dxa"/>
          </w:tcPr>
          <w:p w14:paraId="775D4EE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w:t>
            </w:r>
          </w:p>
          <w:p w14:paraId="51A7D8D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40" w:type="dxa"/>
          </w:tcPr>
          <w:p w14:paraId="2F35A41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p w14:paraId="37E3E75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83" w:type="dxa"/>
          </w:tcPr>
          <w:p w14:paraId="3D2F7D54"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115</w:t>
            </w:r>
          </w:p>
          <w:p w14:paraId="61E7CF3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54" w:type="dxa"/>
          </w:tcPr>
          <w:p w14:paraId="15063B3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135</w:t>
            </w:r>
          </w:p>
          <w:p w14:paraId="2B198D1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62" w:type="dxa"/>
          </w:tcPr>
          <w:p w14:paraId="0E46470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w:t>
            </w:r>
          </w:p>
          <w:p w14:paraId="391ECC2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69" w:type="dxa"/>
          </w:tcPr>
          <w:p w14:paraId="6D8BB9E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w:t>
            </w:r>
          </w:p>
          <w:p w14:paraId="2466DD4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619" w:type="dxa"/>
          </w:tcPr>
          <w:p w14:paraId="1943E66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1740</w:t>
            </w:r>
          </w:p>
          <w:p w14:paraId="5CEACFB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18" w:type="dxa"/>
          </w:tcPr>
          <w:p w14:paraId="372E7DB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1710</w:t>
            </w:r>
          </w:p>
        </w:tc>
        <w:tc>
          <w:tcPr>
            <w:tcW w:w="1130" w:type="dxa"/>
          </w:tcPr>
          <w:p w14:paraId="0D9982B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1860</w:t>
            </w:r>
          </w:p>
          <w:p w14:paraId="55395B6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r>
      <w:tr w:rsidR="00F26F01" w:rsidRPr="00C33834" w14:paraId="5E703EA9" w14:textId="77777777">
        <w:trPr>
          <w:trHeight w:val="403"/>
        </w:trPr>
        <w:tc>
          <w:tcPr>
            <w:tcW w:w="569" w:type="dxa"/>
            <w:tcBorders>
              <w:bottom w:val="single" w:sz="12" w:space="0" w:color="auto"/>
            </w:tcBorders>
          </w:tcPr>
          <w:p w14:paraId="595D4F8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восбмерки</w:t>
            </w:r>
          </w:p>
        </w:tc>
        <w:tc>
          <w:tcPr>
            <w:tcW w:w="569" w:type="dxa"/>
            <w:tcBorders>
              <w:bottom w:val="single" w:sz="12" w:space="0" w:color="auto"/>
            </w:tcBorders>
          </w:tcPr>
          <w:p w14:paraId="6BC1DE1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p w14:paraId="0771FA9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69" w:type="dxa"/>
            <w:tcBorders>
              <w:bottom w:val="single" w:sz="12" w:space="0" w:color="auto"/>
            </w:tcBorders>
          </w:tcPr>
          <w:p w14:paraId="3AA72B6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w:t>
            </w:r>
          </w:p>
          <w:p w14:paraId="3A39D3C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76" w:type="dxa"/>
            <w:tcBorders>
              <w:bottom w:val="single" w:sz="12" w:space="0" w:color="auto"/>
            </w:tcBorders>
          </w:tcPr>
          <w:p w14:paraId="577D872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53,0</w:t>
            </w:r>
          </w:p>
          <w:p w14:paraId="05B7B10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62" w:type="dxa"/>
            <w:tcBorders>
              <w:bottom w:val="single" w:sz="12" w:space="0" w:color="auto"/>
            </w:tcBorders>
          </w:tcPr>
          <w:p w14:paraId="7310022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p w14:paraId="4830A355"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40" w:type="dxa"/>
            <w:tcBorders>
              <w:bottom w:val="single" w:sz="12" w:space="0" w:color="auto"/>
            </w:tcBorders>
          </w:tcPr>
          <w:p w14:paraId="0CF6E134"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p w14:paraId="762A3BE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83" w:type="dxa"/>
            <w:tcBorders>
              <w:bottom w:val="single" w:sz="12" w:space="0" w:color="auto"/>
            </w:tcBorders>
          </w:tcPr>
          <w:p w14:paraId="4D4875E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135</w:t>
            </w:r>
          </w:p>
          <w:p w14:paraId="6FE074F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54" w:type="dxa"/>
            <w:tcBorders>
              <w:bottom w:val="single" w:sz="12" w:space="0" w:color="auto"/>
            </w:tcBorders>
          </w:tcPr>
          <w:p w14:paraId="10F4E5B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w:t>
            </w:r>
          </w:p>
          <w:p w14:paraId="1E1DE5E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62" w:type="dxa"/>
            <w:tcBorders>
              <w:bottom w:val="single" w:sz="12" w:space="0" w:color="auto"/>
            </w:tcBorders>
          </w:tcPr>
          <w:p w14:paraId="7C0A179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w:t>
            </w:r>
          </w:p>
          <w:p w14:paraId="2A374CE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69" w:type="dxa"/>
            <w:tcBorders>
              <w:bottom w:val="single" w:sz="12" w:space="0" w:color="auto"/>
            </w:tcBorders>
          </w:tcPr>
          <w:p w14:paraId="268D0B9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p w14:paraId="0C01532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619" w:type="dxa"/>
            <w:tcBorders>
              <w:bottom w:val="single" w:sz="12" w:space="0" w:color="auto"/>
            </w:tcBorders>
          </w:tcPr>
          <w:p w14:paraId="29DFCFB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1740</w:t>
            </w:r>
          </w:p>
          <w:p w14:paraId="0A30837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518" w:type="dxa"/>
            <w:tcBorders>
              <w:bottom w:val="single" w:sz="12" w:space="0" w:color="auto"/>
            </w:tcBorders>
          </w:tcPr>
          <w:p w14:paraId="022F1F0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1800</w:t>
            </w:r>
          </w:p>
          <w:p w14:paraId="64C52F7F"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130" w:type="dxa"/>
            <w:tcBorders>
              <w:bottom w:val="single" w:sz="12" w:space="0" w:color="auto"/>
            </w:tcBorders>
          </w:tcPr>
          <w:p w14:paraId="7BBBF59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1870</w:t>
            </w:r>
          </w:p>
          <w:p w14:paraId="74C90275"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r>
    </w:tbl>
    <w:p w14:paraId="1320B27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КРЕЙСЕРСКАЯ СКОРОСТЬ, РАСХОД ГОРЮЧЕГО И ДАЛЬНОСТЬ ПОЛЕТА.</w:t>
      </w:r>
    </w:p>
    <w:p w14:paraId="686C17C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по т р е у г о л ь н в к у:</w:t>
      </w:r>
    </w:p>
    <w:p w14:paraId="15D87014"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Щелково-Покров / пересечение железных дорог/.</w:t>
      </w:r>
    </w:p>
    <w:p w14:paraId="2B5079BF"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Покров-Щелково</w:t>
      </w:r>
    </w:p>
    <w:p w14:paraId="495B5CF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Щелково-Сергиев Посад-Щелково.</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14"/>
        <w:gridCol w:w="814"/>
        <w:gridCol w:w="1051"/>
        <w:gridCol w:w="900"/>
        <w:gridCol w:w="1159"/>
        <w:gridCol w:w="2635"/>
      </w:tblGrid>
      <w:tr w:rsidR="00F26F01" w:rsidRPr="00C33834" w14:paraId="7D3FE0C2" w14:textId="77777777">
        <w:trPr>
          <w:trHeight w:val="886"/>
        </w:trPr>
        <w:tc>
          <w:tcPr>
            <w:tcW w:w="814" w:type="dxa"/>
            <w:tcBorders>
              <w:top w:val="single" w:sz="12" w:space="0" w:color="auto"/>
            </w:tcBorders>
          </w:tcPr>
          <w:p w14:paraId="510B567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814" w:type="dxa"/>
            <w:tcBorders>
              <w:top w:val="single" w:sz="12" w:space="0" w:color="auto"/>
            </w:tcBorders>
          </w:tcPr>
          <w:p w14:paraId="3B01C79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Обороты</w:t>
            </w:r>
          </w:p>
        </w:tc>
        <w:tc>
          <w:tcPr>
            <w:tcW w:w="1051" w:type="dxa"/>
            <w:tcBorders>
              <w:top w:val="single" w:sz="12" w:space="0" w:color="auto"/>
            </w:tcBorders>
          </w:tcPr>
          <w:p w14:paraId="4E51A41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/км/час крейсер</w:t>
            </w:r>
            <w:r w:rsidRPr="00C33834">
              <w:rPr>
                <w:rFonts w:ascii="Times New Roman" w:hAnsi="Times New Roman"/>
                <w:color w:val="000000" w:themeColor="text1"/>
                <w:sz w:val="16"/>
                <w:szCs w:val="16"/>
              </w:rPr>
              <w:softHyphen/>
              <w:t>ская ско рость.</w:t>
            </w:r>
          </w:p>
          <w:p w14:paraId="2D11232F"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900" w:type="dxa"/>
            <w:tcBorders>
              <w:top w:val="single" w:sz="12" w:space="0" w:color="auto"/>
            </w:tcBorders>
          </w:tcPr>
          <w:p w14:paraId="057F7C3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Расход в час в кг.</w:t>
            </w:r>
          </w:p>
          <w:p w14:paraId="06CD486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159" w:type="dxa"/>
            <w:tcBorders>
              <w:top w:val="single" w:sz="12" w:space="0" w:color="auto"/>
            </w:tcBorders>
          </w:tcPr>
          <w:p w14:paraId="0C5EC1D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Расход на км/пути</w:t>
            </w:r>
          </w:p>
          <w:p w14:paraId="2A3F916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2635" w:type="dxa"/>
            <w:tcBorders>
              <w:top w:val="single" w:sz="12" w:space="0" w:color="auto"/>
            </w:tcBorders>
          </w:tcPr>
          <w:p w14:paraId="63B9E1A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в клм.</w:t>
            </w:r>
          </w:p>
          <w:p w14:paraId="6D12973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r>
      <w:tr w:rsidR="00F26F01" w:rsidRPr="00C33834" w14:paraId="09E5010C" w14:textId="77777777">
        <w:trPr>
          <w:trHeight w:val="547"/>
        </w:trPr>
        <w:tc>
          <w:tcPr>
            <w:tcW w:w="814" w:type="dxa"/>
            <w:tcBorders>
              <w:bottom w:val="single" w:sz="12" w:space="0" w:color="auto"/>
            </w:tcBorders>
          </w:tcPr>
          <w:p w14:paraId="169E734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814" w:type="dxa"/>
            <w:tcBorders>
              <w:bottom w:val="single" w:sz="12" w:space="0" w:color="auto"/>
            </w:tcBorders>
          </w:tcPr>
          <w:p w14:paraId="57B94DE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1700</w:t>
            </w:r>
          </w:p>
          <w:p w14:paraId="7AEF3C7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051" w:type="dxa"/>
            <w:tcBorders>
              <w:bottom w:val="single" w:sz="12" w:space="0" w:color="auto"/>
            </w:tcBorders>
          </w:tcPr>
          <w:p w14:paraId="46F0548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198</w:t>
            </w:r>
          </w:p>
          <w:p w14:paraId="0CE6FBF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900" w:type="dxa"/>
            <w:tcBorders>
              <w:bottom w:val="single" w:sz="12" w:space="0" w:color="auto"/>
            </w:tcBorders>
          </w:tcPr>
          <w:p w14:paraId="145DB69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69,0</w:t>
            </w:r>
          </w:p>
          <w:p w14:paraId="6A324945"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1159" w:type="dxa"/>
            <w:tcBorders>
              <w:bottom w:val="single" w:sz="12" w:space="0" w:color="auto"/>
            </w:tcBorders>
          </w:tcPr>
          <w:p w14:paraId="2631BF6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0,348</w:t>
            </w:r>
          </w:p>
          <w:p w14:paraId="5D89668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c>
          <w:tcPr>
            <w:tcW w:w="2635" w:type="dxa"/>
            <w:tcBorders>
              <w:bottom w:val="single" w:sz="12" w:space="0" w:color="auto"/>
            </w:tcBorders>
          </w:tcPr>
          <w:p w14:paraId="7B2F3024"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310</w:t>
            </w:r>
          </w:p>
          <w:p w14:paraId="5C56D2E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p>
        </w:tc>
      </w:tr>
    </w:tbl>
    <w:p w14:paraId="3165CDC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 На рулежку, планирование и набор высота отведено 20% от общего количества горючего. Дальность под</w:t>
      </w:r>
      <w:r w:rsidRPr="00C33834">
        <w:rPr>
          <w:rFonts w:ascii="Times New Roman" w:hAnsi="Times New Roman"/>
          <w:color w:val="000000" w:themeColor="text1"/>
          <w:sz w:val="16"/>
          <w:szCs w:val="16"/>
        </w:rPr>
        <w:softHyphen/>
        <w:t>считана до полного выгорания горючего. Расход масла от 3 до 3,5 кг. в час.</w:t>
      </w:r>
    </w:p>
    <w:p w14:paraId="2994096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РАЗБЕГ И П Р О Б Е Г.</w:t>
      </w:r>
    </w:p>
    <w:p w14:paraId="2F39CAE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 а з б е г........110 мтр. в 8,2 сек.</w:t>
      </w:r>
    </w:p>
    <w:p w14:paraId="5728C30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р об е г........180 мтр. за 15,2 сек.</w:t>
      </w:r>
    </w:p>
    <w:p w14:paraId="51CE9A3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ПЛАНИРОВАНИЕ И ПОСАДОЧНАЯ СКОРОСТЬ.</w:t>
      </w:r>
    </w:p>
    <w:p w14:paraId="7E0006E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при наивыгодн. угле снижен.........148 км/час.</w:t>
      </w:r>
    </w:p>
    <w:p w14:paraId="62169A1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Наивыгоднейш угол наклона траектории..... 7° 50</w:t>
      </w:r>
    </w:p>
    <w:p w14:paraId="18228F6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планирования с высоты 1000 мтр.... 7,2 км.</w:t>
      </w:r>
    </w:p>
    <w:p w14:paraId="00E4C9A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 е м я..............................2,58 сек.</w:t>
      </w:r>
    </w:p>
    <w:p w14:paraId="6418AD9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Посадочная скорость.......................110 км/час.</w:t>
      </w:r>
    </w:p>
    <w:p w14:paraId="21C91E6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16.ТРАЕКТОРИЯ ВЗЛЕТА И ВЗЛЕТНАЯ СКОРОСТЬ.</w:t>
      </w:r>
    </w:p>
    <w:p w14:paraId="3B9F32F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при наивыгоднейшем угле подъема..... .153 км/час</w:t>
      </w:r>
    </w:p>
    <w:p w14:paraId="65735C1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Наивыгоднейший угол под”ема...................12,5°</w:t>
      </w:r>
    </w:p>
    <w:p w14:paraId="15A0ABD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набора высоты на 1000 мтр............... 1,8 мин.</w:t>
      </w:r>
    </w:p>
    <w:p w14:paraId="4FECDD2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при наивыгоднейшем угле отрыва от з е м л и.................................115 км/час.</w:t>
      </w:r>
    </w:p>
    <w:p w14:paraId="4CEDD62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ЛЕТНО-ТАКТИЧЕСКАЯ ОЦЕНКА САМОЛЕТА "ЗЕТ” С МОТОРОМ ЮУ1.</w:t>
      </w:r>
    </w:p>
    <w:p w14:paraId="5B3E331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Каби на удобна и просторна. Требуется увеличить опускание. сидения на 1-2 зубца вниз, так как на больиих скоростях летчик испытывает большое задувание. Посадка в кабину неудобна, необ</w:t>
      </w:r>
      <w:r w:rsidRPr="00C33834">
        <w:rPr>
          <w:rFonts w:ascii="Times New Roman" w:hAnsi="Times New Roman"/>
          <w:color w:val="000000" w:themeColor="text1"/>
          <w:sz w:val="16"/>
          <w:szCs w:val="16"/>
        </w:rPr>
        <w:softHyphen/>
        <w:t>ходимо сделать выдвижную поднодку.</w:t>
      </w:r>
    </w:p>
    <w:p w14:paraId="7C3BFDA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Проба мотора. При пробе мотора на оборотах свыше 1500 необходимо хвост удерживать. Колодки вполне подходят от самолетов И4 и И5.</w:t>
      </w:r>
    </w:p>
    <w:p w14:paraId="247E13B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Руление. Самолет рулит на 700-800 об/мин. На ровном и сухом грунте может рулить и на меньших оборотах; позволяет рулить без сопровождающего. Управляемость удовлетворительная. При рулении ручку следует отдавать от себя для облегчения хвоста и уменьшения нагрузки на ручку летчика.</w:t>
      </w:r>
    </w:p>
    <w:p w14:paraId="13C7CBB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Взлет. При разбеге самолет требует почти полной отдачи ручки от себя с обязательным опережением ручки по отношению к даче газу; к концу разбега необходимо поддерживать ручкой. При нормальном взлете никаких тенденций к разворотам не имеет, на взлете с недос</w:t>
      </w:r>
      <w:r w:rsidRPr="00C33834">
        <w:rPr>
          <w:rFonts w:ascii="Times New Roman" w:hAnsi="Times New Roman"/>
          <w:color w:val="000000" w:themeColor="text1"/>
          <w:sz w:val="16"/>
          <w:szCs w:val="16"/>
        </w:rPr>
        <w:softHyphen/>
        <w:t>таточно поднятым хвостом на малой скорости, самолет очень быстро отрывается с разворотом в право.</w:t>
      </w:r>
    </w:p>
    <w:p w14:paraId="72DF2310"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Набор высоты. Наивыгоднейшая скорость набора высоты уземли 153 кв/час. с подъемом на высоту необходимо на каждую 1000 м. уменьшать скорость на 4 км/час: Во время набора при брошенной ручке самолет идет вверх до полной потери скорости. Нагрузка на ручку почти совершенно отсутствует.</w:t>
      </w:r>
    </w:p>
    <w:p w14:paraId="7551191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Горизоктальный полет особенностей не имеет. При 1500-1550 об/мин самолет идет с отпущенной ручкой по прямой. Нагрузка на ручку отсутствует.</w:t>
      </w:r>
    </w:p>
    <w:p w14:paraId="433D7AED"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Устойчивость самолета. Правильно отрегулированный самолет достаточно устойчив во всех отношениях как впродольном, поперечном так и пути. При наличии нечеткости в регулировке, самолет при брошеном управлении имеет тенденцию к развороту вправо и требует постоянного поддерживания левой ногой. Управление достаточно мягко и легко. При внезапном сбавлении газа, самолет переходит на нос до скорости 200 км/час и делает колебания в диапазоне - 200-160 км/час.</w:t>
      </w:r>
    </w:p>
    <w:p w14:paraId="28A1A6A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Планирование. Самолет достаточно устойчиво планирует на скорости 160 км/час; наибольшая продолжительность планирования на скорости 143 км/час, с брошеным управлением самолет планирует сам; на скорости 130-160, самолет имеет тенденцию клевать на нос.</w:t>
      </w:r>
    </w:p>
    <w:p w14:paraId="5C82EBE5"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Вираж и восьмерки .Самолет виражит хорошо при вводе на скорости 150-160 км/час. С виража в вираж прекладывается легко, время виража на высоте 1000 мтр. 16,8 сек. Выполнение этих фгур требует хорошее координации и внимания от летчика. Самолет не любит резких движений на вираже при перетягивании ручки теряет скорость, появ</w:t>
      </w:r>
      <w:r w:rsidRPr="00C33834">
        <w:rPr>
          <w:rFonts w:ascii="Times New Roman" w:hAnsi="Times New Roman"/>
          <w:color w:val="000000" w:themeColor="text1"/>
          <w:sz w:val="16"/>
          <w:szCs w:val="16"/>
        </w:rPr>
        <w:softHyphen/>
        <w:t>ляются вибрации и самолет теряет устойчивость. На левом вираже имеет тенденцию к задиру, на правом к забрыванию. Рулей вполне достаточно. Хорошо выполняет боевые развороты.</w:t>
      </w:r>
    </w:p>
    <w:p w14:paraId="25A095DF"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Скольжение. Самолет скользит нормально с креном 25-30°.</w:t>
      </w:r>
    </w:p>
    <w:p w14:paraId="1CA25226"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Парашютирование. Парашютирует хорошо на скорости 70-75 км/час с уменьшением скорости появляется незначительная вибрация хвосто</w:t>
      </w:r>
      <w:r w:rsidRPr="00C33834">
        <w:rPr>
          <w:rFonts w:ascii="Times New Roman" w:hAnsi="Times New Roman"/>
          <w:color w:val="000000" w:themeColor="text1"/>
          <w:sz w:val="16"/>
          <w:szCs w:val="16"/>
        </w:rPr>
        <w:softHyphen/>
        <w:t xml:space="preserve">вого оперения. </w:t>
      </w:r>
    </w:p>
    <w:p w14:paraId="1A362FE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Пикирование. Самолет устойчиво пикирует; со скоростью 280 км/час и выше появляется незначительная вибрация хвостового оперения. Вывод из пикирования легок, нагрузка на ручку незначительная.</w:t>
      </w:r>
    </w:p>
    <w:p w14:paraId="2BD7ADC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Штопор Испытания на штопор с системами ЛПК не производилось. Тенденции к срыву в штопор самолет не имеет.</w:t>
      </w:r>
    </w:p>
    <w:p w14:paraId="0C332389"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Петли перевороты, с системами не производились, без систем на самолете выполнялись петли с одинарные переворотом.</w:t>
      </w:r>
    </w:p>
    <w:p w14:paraId="20E6E9A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15. Посадка. Посадка на самолете проста. Подход к земле на скорости 120125 км/час по сафу, самолет легко садится на три точки с недобраной ручкой. Не любит высокого перевода и резких движений в силу особой чуткости руля глубины. Стремлений к развороту при пробеге не ямеет. Козлят довольно сильно.</w:t>
      </w:r>
    </w:p>
    <w:p w14:paraId="559D9B6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Обзор самолета. Обзор вверх я в стороны хороший, вниз я в стороны слепой. В полете на низких высотах вперед обзор плохой - мешает крыло.</w:t>
      </w:r>
    </w:p>
    <w:p w14:paraId="1A60B1E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Наводка на цель. Наводка на цель самолетом и удержание цели на прицеле не затруднена, самолет устойчив в этом подожении</w:t>
      </w:r>
    </w:p>
    <w:p w14:paraId="0A962784"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Воздушны и бой. Примерный воздушный бой проведен на высоте 1500 мтр. с самолетами И4 и Р5. Вести бой с И4 самолет “ЗЕТ" может только в вертикальном направлении с применением фигур. Преимушество остается на стороне самолета И4.</w:t>
      </w:r>
    </w:p>
    <w:p w14:paraId="3D76ADB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виражах самолет И4 свободно заходят в хвост.</w:t>
      </w:r>
    </w:p>
    <w:p w14:paraId="0CF26F17"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бою с самолетом Р5, самолет “ЗЕТ" легко держится в хвосте Р5.</w:t>
      </w:r>
    </w:p>
    <w:p w14:paraId="4B9C8EA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ЗАКЛЮЧЕНИЕ ПО ВООРУЖЕНИЮ.</w:t>
      </w:r>
    </w:p>
    <w:p w14:paraId="5018CF6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(см. Стр. отчета о Государственных Испытаниях Артиллерийского вооружения самолета "ЗЕТ" № 39012, вооруженного 2-мя пушками АПК-4бис колибром 76,2 м/м/.</w:t>
      </w:r>
    </w:p>
    <w:p w14:paraId="62DA0B4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Самолет "ЗЕТ" вооруженный АПК-76,2 испытания прошел.</w:t>
      </w:r>
    </w:p>
    <w:p w14:paraId="61F02AC3"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Конструкция самолета.Стрельбу из АПК-4 бис 76,2 м/м, до 350 выстрелов выдерживает.</w:t>
      </w:r>
    </w:p>
    <w:p w14:paraId="55A577F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Система в основном работает удовлетворительно, хотя нуждается в доработке и исправлении ряда неполадок.</w:t>
      </w:r>
    </w:p>
    <w:p w14:paraId="47F84BF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Снаряды качественно должны быть повышены, выбор-же наилучшего из них подвергнуть специальным испытаниям.</w:t>
      </w:r>
    </w:p>
    <w:p w14:paraId="1B8751FF"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При данной установке АПК-76,2 м/м стрельба возможна: на горизонтальном полете, при пикировании до 30-35 гр., при кабрировании - пределах кабрирования самолета и при крене до 25-30 гр.</w:t>
      </w:r>
    </w:p>
    <w:p w14:paraId="31616281"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Самолет "ЗЕТ" вооруженный АПК-76,2 м/м. должен быть снабжен специальным прицелом и дальномером.</w:t>
      </w:r>
    </w:p>
    <w:p w14:paraId="000CB18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Прицельная стрельба и попадания на дистанция 800-1000 мтр. При надлежашей тренировке личного состава возможна.</w:t>
      </w:r>
    </w:p>
    <w:p w14:paraId="02043B07"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Звено самолетов /3 самолета/ при стрельбе в горивонтаном полете дают относительно большую насыщенность зоны разрывов снарядов.</w:t>
      </w:r>
    </w:p>
    <w:p w14:paraId="775935FC"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Дальнейшим этапом работ должны стать войсковые испытания где провести в отработку тактики и применения, как одного самолета, так и звена или группы самолетов “ЗЕТ".</w:t>
      </w:r>
    </w:p>
    <w:p w14:paraId="3479061E"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Неполадки, выявленные в процессе испытания, как в системе, так и в снарядах устранить до начала работ по тактике и применению.</w:t>
      </w:r>
    </w:p>
    <w:p w14:paraId="21EC8132"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Для работ по тактике и применению самолетов "3ЕТ” необходимо провести подготовку и тренировку, как летного, так техничекого состава.</w:t>
      </w:r>
    </w:p>
    <w:p w14:paraId="09251BE8"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ЗАКЛЮЧЕНИЕ ПО СПЕЦОБОРУДОВАНИЮ</w:t>
      </w:r>
    </w:p>
    <w:p w14:paraId="6FAC445B"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ночным полетам, а также для полетов на больших высотах, самолет не подготовлен.</w:t>
      </w:r>
    </w:p>
    <w:p w14:paraId="3EC7564A" w14:textId="77777777" w:rsidR="007F23E2" w:rsidRPr="00C33834" w:rsidRDefault="007F23E2"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Связь как с землей, так и с самолетами в воздухе осуществить нельзя (2303,62).</w:t>
      </w:r>
    </w:p>
    <w:p w14:paraId="004618D9"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1C33E6A5" w14:textId="77777777" w:rsidR="004050DA" w:rsidRPr="00C33834" w:rsidRDefault="004050DA" w:rsidP="00C33834">
      <w:pPr>
        <w:pStyle w:val="a3"/>
        <w:rPr>
          <w:color w:val="000000" w:themeColor="text1"/>
          <w:lang w:val="ru-RU"/>
        </w:rPr>
      </w:pPr>
      <w:r w:rsidRPr="00C33834">
        <w:rPr>
          <w:color w:val="000000" w:themeColor="text1"/>
          <w:lang w:val="ru-RU"/>
        </w:rPr>
        <w:t>С 14 сентября по 1 октября 1933 г. в Щелково велись государственные испы</w:t>
      </w:r>
      <w:r w:rsidRPr="00C33834">
        <w:rPr>
          <w:color w:val="000000" w:themeColor="text1"/>
          <w:lang w:val="ru-RU"/>
        </w:rPr>
        <w:softHyphen/>
        <w:t>тания И-зет №39010, вооруженного серий</w:t>
      </w:r>
      <w:r w:rsidRPr="00C33834">
        <w:rPr>
          <w:color w:val="000000" w:themeColor="text1"/>
          <w:lang w:val="ru-RU"/>
        </w:rPr>
        <w:softHyphen/>
        <w:t>ными пушками АПК-4, каждая из которых была снабжена трубчатым магазином на 6 снарядов (плюс еще один снаряд в стволе). Летал М. Сцельников, общий налет по времени составил 16 ч 20 мин. В отчете по испытаниям указывалось, что самолет №39010 изготовлен по образцу опытного экземпляра и в основных размерных параметрах от последнего не отличается. Кабина летчика удобна и просторна. На взлете И-2 быстро отрывается от земли, в горизонтальном полете идете отпущенной ручкой, устойчив во всех отношениях, управление мягкое и легкое. Испытания на штопор не проводились, однако и тенденции к срыву в штопор не отмечалось. Полученные данные скороподъемности (5000 м за 14 мин) и потолка (7000 м) признавались удовлетворительными, а максимальная скорость 259 км/ч и техни</w:t>
      </w:r>
      <w:r w:rsidRPr="00C33834">
        <w:rPr>
          <w:color w:val="000000" w:themeColor="text1"/>
          <w:lang w:val="ru-RU"/>
        </w:rPr>
        <w:softHyphen/>
        <w:t>ческая дальность 310 км- недостаточными. Основными причинами отмеченных недо</w:t>
      </w:r>
      <w:r w:rsidRPr="00C33834">
        <w:rPr>
          <w:color w:val="000000" w:themeColor="text1"/>
          <w:lang w:val="ru-RU"/>
        </w:rPr>
        <w:softHyphen/>
        <w:t>статков назывались неудачная конструкция шасси и большое сопротивление АПК. Артиллерийское вооружение И-2 испыта</w:t>
      </w:r>
      <w:r w:rsidRPr="00C33834">
        <w:rPr>
          <w:color w:val="000000" w:themeColor="text1"/>
          <w:lang w:val="ru-RU"/>
        </w:rPr>
        <w:softHyphen/>
        <w:t>ния выдержало, однако емкость магазинов оценивалась как «недопустимо малая». В дальнейшем Курчевский планировал установить в крыле коробчатый магазин на 10-14 снарядов, но для АПК-4, насколько известно, это сделано не было.</w:t>
      </w:r>
    </w:p>
    <w:p w14:paraId="0E24090F" w14:textId="77777777" w:rsidR="004050DA" w:rsidRPr="00C33834" w:rsidRDefault="004050DA" w:rsidP="00C33834">
      <w:pPr>
        <w:pStyle w:val="a3"/>
        <w:rPr>
          <w:color w:val="000000" w:themeColor="text1"/>
          <w:lang w:val="ru-RU"/>
        </w:rPr>
      </w:pPr>
      <w:r w:rsidRPr="00C33834">
        <w:rPr>
          <w:color w:val="000000" w:themeColor="text1"/>
          <w:lang w:val="ru-RU"/>
        </w:rPr>
        <w:t>Итоговое заключение подтверждало, что истребители типа И-2 могут быть приняты на вооружение ВВС РККА при выполнении следующих условий: повы</w:t>
      </w:r>
      <w:r w:rsidRPr="00C33834">
        <w:rPr>
          <w:color w:val="000000" w:themeColor="text1"/>
          <w:lang w:val="ru-RU"/>
        </w:rPr>
        <w:softHyphen/>
        <w:t>шения максимальной полетной скорости до 300 км/ч, увеличения емкости бензо</w:t>
      </w:r>
      <w:r w:rsidRPr="00C33834">
        <w:rPr>
          <w:color w:val="000000" w:themeColor="text1"/>
          <w:lang w:val="ru-RU"/>
        </w:rPr>
        <w:softHyphen/>
        <w:t>баков, доведении количества снарядов до 20 штук, установки электрооборудования и радио. Особым пунктом шло пожелание увеличить прочность самолета, так как уже после произведения 300-500 выстрелов его конструкция нуждалась в ремонте. ВВС требовали довести живучесть планера И-2 до 1000 выстрелов из АПК. Модифициро</w:t>
      </w:r>
      <w:r w:rsidRPr="00C33834">
        <w:rPr>
          <w:color w:val="000000" w:themeColor="text1"/>
          <w:lang w:val="ru-RU"/>
        </w:rPr>
        <w:softHyphen/>
        <w:t>ванную машину следовало предъявить на испытания к 1 марта 1934 г.</w:t>
      </w:r>
    </w:p>
    <w:p w14:paraId="177C4065" w14:textId="77777777" w:rsidR="004050DA" w:rsidRPr="00C33834" w:rsidRDefault="004050DA" w:rsidP="00C33834">
      <w:pPr>
        <w:pStyle w:val="a3"/>
        <w:rPr>
          <w:color w:val="000000" w:themeColor="text1"/>
          <w:lang w:val="ru-RU"/>
        </w:rPr>
      </w:pPr>
      <w:r w:rsidRPr="00C33834">
        <w:rPr>
          <w:color w:val="000000" w:themeColor="text1"/>
          <w:lang w:val="ru-RU"/>
        </w:rPr>
        <w:t>Хотя местом проведения государствен</w:t>
      </w:r>
      <w:r w:rsidRPr="00C33834">
        <w:rPr>
          <w:color w:val="000000" w:themeColor="text1"/>
          <w:lang w:val="ru-RU"/>
        </w:rPr>
        <w:softHyphen/>
        <w:t>ных испытаний в документах указывался аэродром НИИ ВВС, стреляли из динамо- реактивных пушек совсем в другом месте. Старинный городок Переславль-Залесский и раскинувшееся вблизи его Плещеево озеро, расположенные в ста километрах севернее Москвы, являлись в ту пору изрядной глухоманью. Курчевский был родом из этих мест, любил ездить туда на охоту, поэтому настоял на обустройстве секретной базы и испытательного полигона на берегу Плещеева озера.</w:t>
      </w:r>
    </w:p>
    <w:p w14:paraId="14BF2229" w14:textId="77777777" w:rsidR="004050DA" w:rsidRPr="00C33834" w:rsidRDefault="004050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Первые стрельбы в небе над озером провел летчик-испытатель Томас Сузи. Всего осенью 1933 г. выполнили 52 полета. Было снаряжено 598 снарядов, по причине многочисленных отказов произведено 363 выстрела (60,7%). Стрельбы велись с высоты 700-800 м по запускаемым группам шаров-пилотов, каждый из которых имел диаметр 50-60 см. Проведенные испытания показали, что для повышения эффектив</w:t>
      </w:r>
      <w:r w:rsidRPr="00C33834">
        <w:rPr>
          <w:rFonts w:ascii="Times New Roman" w:hAnsi="Times New Roman"/>
          <w:color w:val="000000" w:themeColor="text1"/>
          <w:sz w:val="16"/>
          <w:szCs w:val="16"/>
        </w:rPr>
        <w:softHyphen/>
        <w:t>ности стрельбы из АПК нужен дальномер, и более совершенный прицел, чем опти</w:t>
      </w:r>
      <w:r w:rsidRPr="00C33834">
        <w:rPr>
          <w:rFonts w:ascii="Times New Roman" w:hAnsi="Times New Roman"/>
          <w:color w:val="000000" w:themeColor="text1"/>
          <w:sz w:val="16"/>
          <w:szCs w:val="16"/>
        </w:rPr>
        <w:softHyphen/>
        <w:t>ческий ОП-1, рассчитанный на дальность стрельбы 400 м и скорость 250 км/ч. После произведения одиночных полетов Томаса Сузи, здесь же под Переславлем-Залесским начались испытания двух серийных И-2(№№39005 и 39010), на которых летали А. Коротков и М. Сцельников.</w:t>
      </w:r>
    </w:p>
    <w:p w14:paraId="038E2C9B" w14:textId="77777777" w:rsidR="004050DA" w:rsidRPr="00C33834" w:rsidRDefault="004050DA" w:rsidP="00C33834">
      <w:pPr>
        <w:pStyle w:val="a3"/>
        <w:rPr>
          <w:color w:val="000000" w:themeColor="text1"/>
          <w:lang w:val="ru-RU"/>
        </w:rPr>
      </w:pPr>
      <w:r w:rsidRPr="00C33834">
        <w:rPr>
          <w:color w:val="000000" w:themeColor="text1"/>
          <w:lang w:val="ru-RU"/>
        </w:rPr>
        <w:t>В декабре 1933 г. базировавшаяся в Люберцах авиабригада, которой командовал Сузи, получила еще семь И-2 (№№39011, 39013-39016, 39020 и 39023). Испытывала их эскадрилья Новака: Климов, Губанов, Бурылин, Катичев, Родин. Летали с Люберецкого аэродрома на так называемый химический полигон, расположенный в Кузьминках. Испытывали шрапнельные снаряды, но эффективность их использования оценили невысоко, потом испытали фугасную гранату. Боекомплект в 7 снарядов по хронометражу в среднем расходовался за 20 с. Установили, что вполне надежно стрелять можно в гори</w:t>
      </w:r>
      <w:r w:rsidRPr="00C33834">
        <w:rPr>
          <w:color w:val="000000" w:themeColor="text1"/>
          <w:lang w:val="ru-RU"/>
        </w:rPr>
        <w:softHyphen/>
        <w:t>зонтальном полете, при пикировании до угла 30°, кабрировании и крене 25-30'. По результатам этих полетов признавалось, что АПК на И-2 первые тестирования прошли и в дальнейшем могут быть допу</w:t>
      </w:r>
      <w:r w:rsidRPr="00C33834">
        <w:rPr>
          <w:color w:val="000000" w:themeColor="text1"/>
          <w:lang w:val="ru-RU"/>
        </w:rPr>
        <w:softHyphen/>
        <w:t>щены на войсковые испытания.</w:t>
      </w:r>
    </w:p>
    <w:p w14:paraId="0051E225" w14:textId="77777777" w:rsidR="004050DA" w:rsidRPr="00C33834" w:rsidRDefault="004050DA" w:rsidP="00C33834">
      <w:pPr>
        <w:pStyle w:val="a3"/>
        <w:rPr>
          <w:color w:val="000000" w:themeColor="text1"/>
          <w:lang w:val="ru-RU"/>
        </w:rPr>
      </w:pPr>
      <w:r w:rsidRPr="00C33834">
        <w:rPr>
          <w:color w:val="000000" w:themeColor="text1"/>
          <w:lang w:val="ru-RU"/>
        </w:rPr>
        <w:t>С начала 1934 г. проведение стрельб в Переславле-Залесском было про</w:t>
      </w:r>
      <w:r w:rsidRPr="00C33834">
        <w:rPr>
          <w:color w:val="000000" w:themeColor="text1"/>
          <w:lang w:val="ru-RU"/>
        </w:rPr>
        <w:softHyphen/>
        <w:t>должено. Возглавил испытания Томас Сузи. Командиром отряда И-2 был летчик К.А. Катичев, там же летали ставшие впоследствии известными Н. Звонарев и Г. Кравченко. Испытаниями артсистем руководил военный инженер А.Д. Попович. Стреляли по конусам, которые буксировали разведчики Р-5. Так как все затянулось более чем на год, то это были скорее уже не войсковые испытания, а строевая служба, в ходе которой отрабатывались способы боевого применения И-2 по воздушным и наземным целям.</w:t>
      </w:r>
    </w:p>
    <w:p w14:paraId="605D62E2" w14:textId="77777777" w:rsidR="004050DA" w:rsidRPr="00C33834" w:rsidRDefault="004050DA" w:rsidP="00C33834">
      <w:pPr>
        <w:pStyle w:val="2c"/>
        <w:shd w:val="clear" w:color="auto" w:fill="auto"/>
        <w:spacing w:line="240" w:lineRule="auto"/>
        <w:ind w:firstLine="0"/>
        <w:jc w:val="both"/>
        <w:rPr>
          <w:rFonts w:ascii="Times New Roman" w:hAnsi="Times New Roman" w:cs="Times New Roman"/>
          <w:i w:val="0"/>
          <w:color w:val="000000" w:themeColor="text1"/>
          <w:sz w:val="16"/>
          <w:szCs w:val="16"/>
        </w:rPr>
      </w:pPr>
      <w:r w:rsidRPr="00C33834">
        <w:rPr>
          <w:rFonts w:ascii="Times New Roman" w:hAnsi="Times New Roman" w:cs="Times New Roman"/>
          <w:i w:val="0"/>
          <w:color w:val="000000" w:themeColor="text1"/>
          <w:sz w:val="16"/>
          <w:szCs w:val="16"/>
        </w:rPr>
        <w:t>Основные характеристики истребителя И-2</w:t>
      </w:r>
    </w:p>
    <w:p w14:paraId="79A74FD7" w14:textId="77777777" w:rsidR="004050DA" w:rsidRPr="00C33834" w:rsidRDefault="004050DA" w:rsidP="00C33834">
      <w:pPr>
        <w:pStyle w:val="37"/>
        <w:shd w:val="clear" w:color="auto" w:fill="auto"/>
        <w:tabs>
          <w:tab w:val="left" w:leader="dot" w:pos="2645"/>
        </w:tabs>
        <w:spacing w:line="240" w:lineRule="auto"/>
        <w:jc w:val="both"/>
        <w:rPr>
          <w:rFonts w:ascii="Times New Roman" w:hAnsi="Times New Roman" w:cs="Times New Roman"/>
          <w:color w:val="000000" w:themeColor="text1"/>
        </w:rPr>
      </w:pPr>
      <w:r w:rsidRPr="00C33834">
        <w:rPr>
          <w:rFonts w:ascii="Times New Roman" w:hAnsi="Times New Roman" w:cs="Times New Roman"/>
          <w:color w:val="000000" w:themeColor="text1"/>
        </w:rPr>
        <w:t>Длина в линии полета, м</w:t>
      </w:r>
      <w:r w:rsidRPr="00C33834">
        <w:rPr>
          <w:rFonts w:ascii="Times New Roman" w:hAnsi="Times New Roman" w:cs="Times New Roman"/>
          <w:color w:val="000000" w:themeColor="text1"/>
        </w:rPr>
        <w:tab/>
        <w:t>7,645</w:t>
      </w:r>
    </w:p>
    <w:p w14:paraId="22AEEE3B" w14:textId="77777777" w:rsidR="004050DA" w:rsidRPr="00C33834" w:rsidRDefault="004050DA" w:rsidP="00C33834">
      <w:pPr>
        <w:pStyle w:val="37"/>
        <w:shd w:val="clear" w:color="auto" w:fill="auto"/>
        <w:tabs>
          <w:tab w:val="left" w:leader="dot" w:pos="2722"/>
        </w:tabs>
        <w:spacing w:line="240" w:lineRule="auto"/>
        <w:jc w:val="both"/>
        <w:rPr>
          <w:rFonts w:ascii="Times New Roman" w:hAnsi="Times New Roman" w:cs="Times New Roman"/>
          <w:color w:val="000000" w:themeColor="text1"/>
        </w:rPr>
      </w:pPr>
      <w:r w:rsidRPr="00C33834">
        <w:rPr>
          <w:rFonts w:ascii="Times New Roman" w:hAnsi="Times New Roman" w:cs="Times New Roman"/>
          <w:color w:val="000000" w:themeColor="text1"/>
        </w:rPr>
        <w:t>Размах, м</w:t>
      </w:r>
      <w:r w:rsidRPr="00C33834">
        <w:rPr>
          <w:rFonts w:ascii="Times New Roman" w:hAnsi="Times New Roman" w:cs="Times New Roman"/>
          <w:color w:val="000000" w:themeColor="text1"/>
        </w:rPr>
        <w:tab/>
        <w:t>11,5</w:t>
      </w:r>
    </w:p>
    <w:p w14:paraId="2BF6227B" w14:textId="77777777" w:rsidR="004050DA" w:rsidRPr="00C33834" w:rsidRDefault="004050DA" w:rsidP="00C33834">
      <w:pPr>
        <w:pStyle w:val="37"/>
        <w:shd w:val="clear" w:color="auto" w:fill="auto"/>
        <w:tabs>
          <w:tab w:val="left" w:leader="dot" w:pos="2722"/>
        </w:tabs>
        <w:spacing w:line="240" w:lineRule="auto"/>
        <w:jc w:val="both"/>
        <w:rPr>
          <w:rFonts w:ascii="Times New Roman" w:hAnsi="Times New Roman" w:cs="Times New Roman"/>
          <w:color w:val="000000" w:themeColor="text1"/>
        </w:rPr>
      </w:pPr>
      <w:r w:rsidRPr="00C33834">
        <w:rPr>
          <w:rFonts w:ascii="Times New Roman" w:hAnsi="Times New Roman" w:cs="Times New Roman"/>
          <w:color w:val="000000" w:themeColor="text1"/>
        </w:rPr>
        <w:t>Площадь крыла, м</w:t>
      </w:r>
      <w:r w:rsidRPr="00C33834">
        <w:rPr>
          <w:rFonts w:ascii="Times New Roman" w:hAnsi="Times New Roman" w:cs="Times New Roman"/>
          <w:color w:val="000000" w:themeColor="text1"/>
          <w:vertAlign w:val="superscript"/>
        </w:rPr>
        <w:t>г</w:t>
      </w:r>
      <w:r w:rsidRPr="00C33834">
        <w:rPr>
          <w:rFonts w:ascii="Times New Roman" w:hAnsi="Times New Roman" w:cs="Times New Roman"/>
          <w:color w:val="000000" w:themeColor="text1"/>
        </w:rPr>
        <w:tab/>
        <w:t>19,6</w:t>
      </w:r>
    </w:p>
    <w:p w14:paraId="1C958262" w14:textId="77777777" w:rsidR="004050DA" w:rsidRPr="00C33834" w:rsidRDefault="004050DA" w:rsidP="00C33834">
      <w:pPr>
        <w:pStyle w:val="37"/>
        <w:shd w:val="clear" w:color="auto" w:fill="auto"/>
        <w:tabs>
          <w:tab w:val="left" w:leader="dot" w:pos="2765"/>
        </w:tabs>
        <w:spacing w:line="240" w:lineRule="auto"/>
        <w:jc w:val="both"/>
        <w:rPr>
          <w:rFonts w:ascii="Times New Roman" w:hAnsi="Times New Roman" w:cs="Times New Roman"/>
          <w:color w:val="000000" w:themeColor="text1"/>
        </w:rPr>
      </w:pPr>
      <w:r w:rsidRPr="00C33834">
        <w:rPr>
          <w:rFonts w:ascii="Times New Roman" w:hAnsi="Times New Roman" w:cs="Times New Roman"/>
          <w:color w:val="000000" w:themeColor="text1"/>
        </w:rPr>
        <w:t>Вес пустого, к)</w:t>
      </w:r>
      <w:r w:rsidRPr="00C33834">
        <w:rPr>
          <w:rFonts w:ascii="Times New Roman" w:hAnsi="Times New Roman" w:cs="Times New Roman"/>
          <w:color w:val="000000" w:themeColor="text1"/>
        </w:rPr>
        <w:tab/>
        <w:t>132</w:t>
      </w:r>
    </w:p>
    <w:p w14:paraId="2EB797D5" w14:textId="77777777" w:rsidR="004050DA" w:rsidRPr="00C33834" w:rsidRDefault="004050DA" w:rsidP="00C33834">
      <w:pPr>
        <w:pStyle w:val="37"/>
        <w:shd w:val="clear" w:color="auto" w:fill="auto"/>
        <w:tabs>
          <w:tab w:val="left" w:leader="dot" w:pos="2678"/>
        </w:tabs>
        <w:spacing w:line="240" w:lineRule="auto"/>
        <w:jc w:val="both"/>
        <w:rPr>
          <w:rFonts w:ascii="Times New Roman" w:hAnsi="Times New Roman" w:cs="Times New Roman"/>
          <w:color w:val="000000" w:themeColor="text1"/>
        </w:rPr>
      </w:pPr>
      <w:r w:rsidRPr="00C33834">
        <w:rPr>
          <w:rFonts w:ascii="Times New Roman" w:hAnsi="Times New Roman" w:cs="Times New Roman"/>
          <w:color w:val="000000" w:themeColor="text1"/>
        </w:rPr>
        <w:t>Полетный вес, к)</w:t>
      </w:r>
      <w:r w:rsidRPr="00C33834">
        <w:rPr>
          <w:rFonts w:ascii="Times New Roman" w:hAnsi="Times New Roman" w:cs="Times New Roman"/>
          <w:color w:val="000000" w:themeColor="text1"/>
        </w:rPr>
        <w:tab/>
        <w:t>1648</w:t>
      </w:r>
    </w:p>
    <w:p w14:paraId="5448A2FD" w14:textId="77777777" w:rsidR="004050DA" w:rsidRPr="00C33834" w:rsidRDefault="004050DA" w:rsidP="00C33834">
      <w:pPr>
        <w:pStyle w:val="37"/>
        <w:shd w:val="clear" w:color="auto" w:fill="auto"/>
        <w:tabs>
          <w:tab w:val="left" w:leader="dot" w:pos="2770"/>
        </w:tabs>
        <w:spacing w:line="240" w:lineRule="auto"/>
        <w:jc w:val="both"/>
        <w:rPr>
          <w:rFonts w:ascii="Times New Roman" w:hAnsi="Times New Roman" w:cs="Times New Roman"/>
          <w:color w:val="000000" w:themeColor="text1"/>
        </w:rPr>
      </w:pPr>
      <w:r w:rsidRPr="00C33834">
        <w:rPr>
          <w:rFonts w:ascii="Times New Roman" w:hAnsi="Times New Roman" w:cs="Times New Roman"/>
          <w:color w:val="000000" w:themeColor="text1"/>
        </w:rPr>
        <w:t>Скорость максимальная у земли, км/ч</w:t>
      </w:r>
      <w:r w:rsidRPr="00C33834">
        <w:rPr>
          <w:rFonts w:ascii="Times New Roman" w:hAnsi="Times New Roman" w:cs="Times New Roman"/>
          <w:color w:val="000000" w:themeColor="text1"/>
        </w:rPr>
        <w:tab/>
        <w:t>258</w:t>
      </w:r>
    </w:p>
    <w:p w14:paraId="01A1B13C" w14:textId="77777777" w:rsidR="004050DA" w:rsidRPr="00C33834" w:rsidRDefault="004050DA" w:rsidP="00C33834">
      <w:pPr>
        <w:pStyle w:val="37"/>
        <w:shd w:val="clear" w:color="auto" w:fill="auto"/>
        <w:spacing w:line="240" w:lineRule="auto"/>
        <w:jc w:val="both"/>
        <w:rPr>
          <w:rFonts w:ascii="Times New Roman" w:hAnsi="Times New Roman" w:cs="Times New Roman"/>
          <w:color w:val="000000" w:themeColor="text1"/>
        </w:rPr>
      </w:pPr>
      <w:r w:rsidRPr="00C33834">
        <w:rPr>
          <w:rFonts w:ascii="Times New Roman" w:hAnsi="Times New Roman" w:cs="Times New Roman"/>
          <w:color w:val="000000" w:themeColor="text1"/>
        </w:rPr>
        <w:t>Скорость максимальная</w:t>
      </w:r>
    </w:p>
    <w:p w14:paraId="3318FECC" w14:textId="77777777" w:rsidR="004050DA" w:rsidRPr="00C33834" w:rsidRDefault="004050DA" w:rsidP="00C33834">
      <w:pPr>
        <w:pStyle w:val="37"/>
        <w:shd w:val="clear" w:color="auto" w:fill="auto"/>
        <w:tabs>
          <w:tab w:val="left" w:leader="dot" w:pos="2770"/>
        </w:tabs>
        <w:spacing w:line="240" w:lineRule="auto"/>
        <w:jc w:val="both"/>
        <w:rPr>
          <w:rFonts w:ascii="Times New Roman" w:hAnsi="Times New Roman" w:cs="Times New Roman"/>
          <w:color w:val="000000" w:themeColor="text1"/>
        </w:rPr>
      </w:pPr>
      <w:r w:rsidRPr="00C33834">
        <w:rPr>
          <w:rFonts w:ascii="Times New Roman" w:hAnsi="Times New Roman" w:cs="Times New Roman"/>
          <w:color w:val="000000" w:themeColor="text1"/>
        </w:rPr>
        <w:t>на 3000 м, км/ч</w:t>
      </w:r>
      <w:r w:rsidRPr="00C33834">
        <w:rPr>
          <w:rFonts w:ascii="Times New Roman" w:hAnsi="Times New Roman" w:cs="Times New Roman"/>
          <w:color w:val="000000" w:themeColor="text1"/>
        </w:rPr>
        <w:tab/>
        <w:t>248</w:t>
      </w:r>
    </w:p>
    <w:p w14:paraId="60F3B432" w14:textId="77777777" w:rsidR="004050DA" w:rsidRPr="00C33834" w:rsidRDefault="004050DA" w:rsidP="00C33834">
      <w:pPr>
        <w:pStyle w:val="37"/>
        <w:shd w:val="clear" w:color="auto" w:fill="auto"/>
        <w:spacing w:line="240" w:lineRule="auto"/>
        <w:jc w:val="both"/>
        <w:rPr>
          <w:rFonts w:ascii="Times New Roman" w:hAnsi="Times New Roman" w:cs="Times New Roman"/>
          <w:color w:val="000000" w:themeColor="text1"/>
        </w:rPr>
      </w:pPr>
      <w:r w:rsidRPr="00C33834">
        <w:rPr>
          <w:rFonts w:ascii="Times New Roman" w:hAnsi="Times New Roman" w:cs="Times New Roman"/>
          <w:color w:val="000000" w:themeColor="text1"/>
        </w:rPr>
        <w:t>Скорость максимальная</w:t>
      </w:r>
    </w:p>
    <w:p w14:paraId="0054D093" w14:textId="77777777" w:rsidR="004050DA" w:rsidRPr="00C33834" w:rsidRDefault="004050DA" w:rsidP="00C33834">
      <w:pPr>
        <w:pStyle w:val="37"/>
        <w:shd w:val="clear" w:color="auto" w:fill="auto"/>
        <w:tabs>
          <w:tab w:val="left" w:leader="dot" w:pos="2765"/>
        </w:tabs>
        <w:spacing w:line="240" w:lineRule="auto"/>
        <w:jc w:val="both"/>
        <w:rPr>
          <w:rFonts w:ascii="Times New Roman" w:hAnsi="Times New Roman" w:cs="Times New Roman"/>
          <w:color w:val="000000" w:themeColor="text1"/>
        </w:rPr>
      </w:pPr>
      <w:r w:rsidRPr="00C33834">
        <w:rPr>
          <w:rFonts w:ascii="Times New Roman" w:hAnsi="Times New Roman" w:cs="Times New Roman"/>
          <w:color w:val="000000" w:themeColor="text1"/>
        </w:rPr>
        <w:t>на 5000 м, км/ч</w:t>
      </w:r>
      <w:r w:rsidRPr="00C33834">
        <w:rPr>
          <w:rFonts w:ascii="Times New Roman" w:hAnsi="Times New Roman" w:cs="Times New Roman"/>
          <w:color w:val="000000" w:themeColor="text1"/>
        </w:rPr>
        <w:tab/>
        <w:t>239</w:t>
      </w:r>
    </w:p>
    <w:p w14:paraId="50D2507F" w14:textId="77777777" w:rsidR="004050DA" w:rsidRPr="00C33834" w:rsidRDefault="004050DA" w:rsidP="00C33834">
      <w:pPr>
        <w:pStyle w:val="37"/>
        <w:shd w:val="clear" w:color="auto" w:fill="auto"/>
        <w:tabs>
          <w:tab w:val="left" w:leader="dot" w:pos="2674"/>
        </w:tabs>
        <w:spacing w:line="240" w:lineRule="auto"/>
        <w:jc w:val="both"/>
        <w:rPr>
          <w:rFonts w:ascii="Times New Roman" w:hAnsi="Times New Roman" w:cs="Times New Roman"/>
          <w:color w:val="000000" w:themeColor="text1"/>
        </w:rPr>
      </w:pPr>
      <w:r w:rsidRPr="00C33834">
        <w:rPr>
          <w:rFonts w:ascii="Times New Roman" w:hAnsi="Times New Roman" w:cs="Times New Roman"/>
          <w:color w:val="000000" w:themeColor="text1"/>
        </w:rPr>
        <w:t>Практический потолок, м</w:t>
      </w:r>
      <w:r w:rsidRPr="00C33834">
        <w:rPr>
          <w:rFonts w:ascii="Times New Roman" w:hAnsi="Times New Roman" w:cs="Times New Roman"/>
          <w:color w:val="000000" w:themeColor="text1"/>
        </w:rPr>
        <w:tab/>
        <w:t>7000</w:t>
      </w:r>
    </w:p>
    <w:p w14:paraId="2F6701B7" w14:textId="77777777" w:rsidR="004050DA" w:rsidRPr="00C33834" w:rsidRDefault="004050DA" w:rsidP="00C33834">
      <w:pPr>
        <w:pStyle w:val="37"/>
        <w:shd w:val="clear" w:color="auto" w:fill="auto"/>
        <w:tabs>
          <w:tab w:val="left" w:leader="dot" w:pos="2722"/>
        </w:tabs>
        <w:spacing w:line="240" w:lineRule="auto"/>
        <w:jc w:val="both"/>
        <w:rPr>
          <w:rFonts w:ascii="Times New Roman" w:hAnsi="Times New Roman" w:cs="Times New Roman"/>
          <w:color w:val="000000" w:themeColor="text1"/>
        </w:rPr>
      </w:pPr>
      <w:r w:rsidRPr="00C33834">
        <w:rPr>
          <w:rFonts w:ascii="Times New Roman" w:hAnsi="Times New Roman" w:cs="Times New Roman"/>
          <w:color w:val="000000" w:themeColor="text1"/>
        </w:rPr>
        <w:t>Время виража на 1000 м, с</w:t>
      </w:r>
      <w:r w:rsidRPr="00C33834">
        <w:rPr>
          <w:rFonts w:ascii="Times New Roman" w:hAnsi="Times New Roman" w:cs="Times New Roman"/>
          <w:color w:val="000000" w:themeColor="text1"/>
        </w:rPr>
        <w:tab/>
        <w:t>16,8</w:t>
      </w:r>
    </w:p>
    <w:p w14:paraId="1DB988B9" w14:textId="77777777" w:rsidR="004050DA" w:rsidRPr="00C33834" w:rsidRDefault="004050DA" w:rsidP="00C33834">
      <w:pPr>
        <w:pStyle w:val="37"/>
        <w:shd w:val="clear" w:color="auto" w:fill="auto"/>
        <w:tabs>
          <w:tab w:val="left" w:leader="dot" w:pos="2515"/>
        </w:tabs>
        <w:spacing w:line="240" w:lineRule="auto"/>
        <w:jc w:val="both"/>
        <w:rPr>
          <w:rFonts w:ascii="Times New Roman" w:hAnsi="Times New Roman" w:cs="Times New Roman"/>
          <w:color w:val="000000" w:themeColor="text1"/>
        </w:rPr>
      </w:pPr>
      <w:r w:rsidRPr="00C33834">
        <w:rPr>
          <w:rFonts w:ascii="Times New Roman" w:hAnsi="Times New Roman" w:cs="Times New Roman"/>
          <w:color w:val="000000" w:themeColor="text1"/>
        </w:rPr>
        <w:t>Длина/время разбега, м/с</w:t>
      </w:r>
      <w:r w:rsidRPr="00C33834">
        <w:rPr>
          <w:rFonts w:ascii="Times New Roman" w:hAnsi="Times New Roman" w:cs="Times New Roman"/>
          <w:color w:val="000000" w:themeColor="text1"/>
        </w:rPr>
        <w:tab/>
        <w:t>110/8,2</w:t>
      </w:r>
    </w:p>
    <w:p w14:paraId="71BEE05E" w14:textId="77777777" w:rsidR="004050DA" w:rsidRPr="00C33834" w:rsidRDefault="004050DA" w:rsidP="00C33834">
      <w:pPr>
        <w:pStyle w:val="37"/>
        <w:shd w:val="clear" w:color="auto" w:fill="auto"/>
        <w:tabs>
          <w:tab w:val="left" w:leader="dot" w:pos="2429"/>
        </w:tabs>
        <w:spacing w:line="240" w:lineRule="auto"/>
        <w:jc w:val="both"/>
        <w:rPr>
          <w:rFonts w:ascii="Times New Roman" w:hAnsi="Times New Roman" w:cs="Times New Roman"/>
          <w:color w:val="000000" w:themeColor="text1"/>
        </w:rPr>
      </w:pPr>
      <w:r w:rsidRPr="00C33834">
        <w:rPr>
          <w:rFonts w:ascii="Times New Roman" w:hAnsi="Times New Roman" w:cs="Times New Roman"/>
          <w:color w:val="000000" w:themeColor="text1"/>
        </w:rPr>
        <w:t>Длина/время пробега, м/с</w:t>
      </w:r>
      <w:r w:rsidRPr="00C33834">
        <w:rPr>
          <w:rFonts w:ascii="Times New Roman" w:hAnsi="Times New Roman" w:cs="Times New Roman"/>
          <w:color w:val="000000" w:themeColor="text1"/>
        </w:rPr>
        <w:tab/>
        <w:t>180/15,2</w:t>
      </w:r>
    </w:p>
    <w:p w14:paraId="42B27B12" w14:textId="77777777" w:rsidR="004050DA" w:rsidRPr="00C33834" w:rsidRDefault="004050DA" w:rsidP="00C33834">
      <w:pPr>
        <w:pStyle w:val="a3"/>
        <w:rPr>
          <w:color w:val="000000" w:themeColor="text1"/>
          <w:lang w:val="ru-RU"/>
        </w:rPr>
      </w:pPr>
      <w:r w:rsidRPr="00C33834">
        <w:rPr>
          <w:color w:val="000000" w:themeColor="text1"/>
          <w:lang w:val="ru-RU"/>
        </w:rPr>
        <w:t>(12731).</w:t>
      </w:r>
    </w:p>
    <w:p w14:paraId="5428445E" w14:textId="77777777" w:rsidR="004050DA" w:rsidRPr="00C33834" w:rsidRDefault="004050DA" w:rsidP="00C33834">
      <w:pPr>
        <w:spacing w:after="0" w:line="240" w:lineRule="auto"/>
        <w:jc w:val="both"/>
        <w:rPr>
          <w:rFonts w:ascii="Times New Roman" w:hAnsi="Times New Roman"/>
          <w:color w:val="000000" w:themeColor="text1"/>
          <w:sz w:val="16"/>
          <w:szCs w:val="16"/>
        </w:rPr>
      </w:pPr>
    </w:p>
    <w:p w14:paraId="27D3BA65"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14 сентября по 1 октября 1933 в НИИ ВВС в Щелково проходили гос. испытания И-ЗЕТ № 39010 с 2хАПК-4бис. Летал л М.Сцельников и летали 16:20 (3996, 92).</w:t>
      </w:r>
    </w:p>
    <w:p w14:paraId="00A26BEB"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отчете указано, что с-т изготовлен по образцу серийного и в основных размерных параметров от него не отличается.</w:t>
      </w:r>
    </w:p>
    <w:p w14:paraId="7212C4D3"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Кабина л удобна и просторна.</w:t>
      </w:r>
    </w:p>
    <w:p w14:paraId="5515C42B"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взлете быстро отрывается с поднятым хвостом, в горизонтальном полете идет с отпущенной ручкой, устойчив во всех отношениях, управление мягкое, легкое.</w:t>
      </w:r>
    </w:p>
    <w:p w14:paraId="3F139231"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на штопор не проводились, но тенденции к срыву в штопор не отмечались.</w:t>
      </w:r>
    </w:p>
    <w:p w14:paraId="6CDC4335"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Скороподъемнеость (14 мин на 500 м - удовлетворительна, потолок - 7000 м - тоже, скорость 259 - км/час мала. Причина- неудачная конструкция колес и большое сопротивление пушек. Тактическая дальность - 310 км - недостаточна.</w:t>
      </w:r>
    </w:p>
    <w:p w14:paraId="590B2730"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Артвооружение испытания выдержало. Выстрелили 363 патрона. 19 задержек. Снятие и установка АПК-4бис - 15 минут и 2 чел-ка.</w:t>
      </w:r>
    </w:p>
    <w:p w14:paraId="1BEB3BAD"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Мала емкость магазина - 7 на ствол, но Курчевский обещал 14.</w:t>
      </w:r>
    </w:p>
    <w:p w14:paraId="2A5D0A28"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Заключение:</w:t>
      </w:r>
    </w:p>
    <w:p w14:paraId="4E5B5DBF"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 И-ЗЕТ с АПК м.б. принят на вооружение при условиях доработок с предъявлением модификации к 1 марта:</w:t>
      </w:r>
    </w:p>
    <w:p w14:paraId="22285197"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увеличение скорости до 300 км/час,</w:t>
      </w:r>
    </w:p>
    <w:p w14:paraId="7FCEC23A"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увеличение емкости баков, доведение к-ва снарядов до 20, установка электрооборудования и радио,</w:t>
      </w:r>
    </w:p>
    <w:p w14:paraId="39FE2A00"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увеличение прочности, т.к. после 300-500 выстрелов нуждался в ремонте, а хотели - 1000 (3996, 93).</w:t>
      </w:r>
    </w:p>
    <w:p w14:paraId="669E1073"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Стреляли в р-не Переяславля-залесского на берегу Плещеева озера. Испытывали два - № 39005 и 39010 с 4хАПК-4бис серийные.</w:t>
      </w:r>
    </w:p>
    <w:p w14:paraId="58E9EC6F"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Летали: А.Коротков, М.Сцельников (3996, 93).</w:t>
      </w:r>
    </w:p>
    <w:p w14:paraId="2120444E"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6DE91FFA"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14 сентября по 1 октября 1933 г. в Щёлково велись государственные испытания И-ЗЕТ № 39010, вооружённого серийными пушками АПК-4, каждая из которых была снабжена трубчатым магазином на шесть снарядов (плюс ещё один снаряд в стволе). Летал М. Сцельников, общий налёт по времени составил 16 ч 20 мин. В отчёте по испытаниям указывалось, что самолёт № 39010 изготовлен по образцу опытного экземпляра и в основных размерных параметрах от последнего не отличается. Кабина лётчика была удобна и просторна. На взлёте И-ЗЕТ быстро отрывался от земли, в горизонтальном полёте шёл с отпущенной ручкой, был устойчив во всех отношениях, управление оценивалось как мягкое и лёгкое. Испытания на штопор не проводились, однако и тенденции к срыву в него не отмечалось. Полученные данные скороподъёмности (5000 м за 14 мин) и потолка (7000 м) признавались удовлетворительными, а максимальная скорость 259 км/ч и техническая дальность 310 км - недостаточными. Основными причинами отмеченных недостатков назывались неудачная конструкция шасси и большое сопротивление АПК-4. Артиллерийское вооружение И-ЗЕТ испытания выдержало, однако ёмкость магазинов оценивалась как "недопустимо малая". В дальнейшем Курчевский планировал установить в крыле коробчатый магазин на 10 - 14 снарядов, но для АПК-4, насколько известно, это сделано не было.</w:t>
      </w:r>
    </w:p>
    <w:p w14:paraId="237CAA24"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Итоговое заключение подтверждало, что истребители типа И-ЗЕТ могут быть приняты на вооружение ВВС РККА при выполнении следующих условий: повышение максимальной полётной скорости до 300 км/ч, увеличение ёмкости бензобаков, доведение количества снарядов на одну пушку до 20 штук, установка электрооборудования и радио. Особым пунктом шло требование увеличить прочность планёра, доведя его ресурс до 1000 выстрелов из ДРП. В существующем виде уже после 300 - 500 выстрелов конструкция истребителя нуждалась в ремонте. Модифицированную машину следовало предъявить на испытания к 1 марта 1934 г.</w:t>
      </w:r>
    </w:p>
    <w:p w14:paraId="0097E559"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Хотя местом проведения государственных испытаний в документах указывался аэродром НИИ ВВС, стреляли из динамо-реактивных пушек совсем в другом месте. Старинный городок Переславль-Залес- ский и раскинувшееся вблизи Плещеево озеро, расположенные в 100 км севернее Москвы, являлись в ту пору изрядной глухоманью. Курчевский был родом из этих мест, любил ездить туда на охоту, поэтому настоял на обустройстве секретной базы и испытательного полигона на берегу озера.</w:t>
      </w:r>
    </w:p>
    <w:p w14:paraId="5E4638A2"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Первые стрельбы в воздухе там провёл лётчик Томас Сузи. Осенью 1933 г. выполнили 52 полёта. Использовали 598 снарядов, но по причине многочисленных отказов произвели всего 363 выстрела (60,7%). Стрельбы велись на высоте 700 - 800 м по запускаемым группами шарам-пилотам, каждый из которых имел диаметр 50 - 60 см. Проведённые испытания показали, что для повышения эффективности стрельбы из АПК-4 нужен дальномер и более совершенный прицел, чем имеющийся оптический ОП-1, рассчитанный на дальность стрельбы 400 м и скорость 250 км/ч. После полётов Т. Сузи в этих же местах начались испытания ещё двух серийных И-ЗЕТ (№№ 39005 и 39010), на которых летали А. Короткое и М. Сцельников (12005).</w:t>
      </w:r>
    </w:p>
    <w:p w14:paraId="46F78C9F"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21DA990A" w14:textId="77777777" w:rsidR="00B2303C" w:rsidRPr="00C33834" w:rsidRDefault="00B2303C" w:rsidP="00C33834">
      <w:pPr>
        <w:spacing w:after="0" w:line="240" w:lineRule="auto"/>
        <w:jc w:val="both"/>
        <w:rPr>
          <w:rStyle w:val="ucoz-forum-post"/>
          <w:rFonts w:ascii="Times New Roman" w:eastAsiaTheme="majorEastAsia" w:hAnsi="Times New Roman"/>
          <w:color w:val="000000" w:themeColor="text1"/>
          <w:sz w:val="16"/>
          <w:szCs w:val="16"/>
        </w:rPr>
      </w:pPr>
      <w:r w:rsidRPr="00C33834">
        <w:rPr>
          <w:rStyle w:val="ucoz-forum-post"/>
          <w:rFonts w:ascii="Times New Roman" w:eastAsiaTheme="majorEastAsia" w:hAnsi="Times New Roman"/>
          <w:bCs/>
          <w:color w:val="000000" w:themeColor="text1"/>
          <w:sz w:val="16"/>
          <w:szCs w:val="16"/>
        </w:rPr>
        <w:t>14 сентября (по 1 октября) 1933 года</w:t>
      </w:r>
      <w:r w:rsidRPr="00C33834">
        <w:rPr>
          <w:rStyle w:val="ucoz-forum-post"/>
          <w:rFonts w:ascii="Times New Roman" w:eastAsiaTheme="majorEastAsia" w:hAnsi="Times New Roman"/>
          <w:color w:val="000000" w:themeColor="text1"/>
          <w:sz w:val="16"/>
          <w:szCs w:val="16"/>
        </w:rPr>
        <w:t xml:space="preserve"> В Щелково начались госиспытания И-Z №39010, вооруженного серийными пушками АПК-4, каждая из которых была снабжена трубчатым магазином на 6 снарядов (+1 - в стволе). Летал М.Сцельников, общий налет составил 16 ч 20 мин. В отчете по испытаниям указывалось, что самолет №39010 изготовлен по образцу опытного и в основных размерных параметрах от последнего не отличается. Кабина летчика удобна и просторна. На взлете И-Z быстро отрывается, в горизонтальном полете идет с отпущенной ручкой, устойчив во всех отношениях, управление мягкое и легкое. Испытания на штопор не проводились, однако и тенденции к срыву в штопор не отмечалось. Полученные данные скороподъемности (5000м за 14 мин) и потолка (7000м) признавались удовлетворительными, а максимальной скорости (259 км/ч) и технической дальности (310 км) - недостаточными. Основными причинами отмеченных недостатков назывались неудачная конструкция шасси и большое сопротивление АПК. Артиллерийское вооружение И-Z испытания выдержало, однако емкость магазинов оценивалась как недопустимо малая. В заключение говорилось, что истребители типа И-Z могут быть приняты на вооружение ВВС РККА при выполнении следующих условий: увеличения максимальной скорости (до 300 км/ч), емкости бензобаков, количества снарядов (до 20 штук), установки электрооборудования и радио. Особым пунктом шло пожелание увеличить прочность самолета, так как уже после 300-500 выстрелов его конструкция нуждалась в ремонте (14769).</w:t>
      </w:r>
    </w:p>
    <w:p w14:paraId="5A2DCFFA" w14:textId="77777777" w:rsidR="00B2303C" w:rsidRPr="00C33834" w:rsidRDefault="00B2303C" w:rsidP="00C33834">
      <w:pPr>
        <w:spacing w:after="0" w:line="240" w:lineRule="auto"/>
        <w:jc w:val="both"/>
        <w:rPr>
          <w:rStyle w:val="ucoz-forum-post"/>
          <w:rFonts w:ascii="Times New Roman" w:eastAsiaTheme="majorEastAsia" w:hAnsi="Times New Roman"/>
          <w:color w:val="000000" w:themeColor="text1"/>
          <w:sz w:val="16"/>
          <w:szCs w:val="16"/>
        </w:rPr>
      </w:pPr>
    </w:p>
    <w:p w14:paraId="2A907E44" w14:textId="77777777" w:rsidR="005228D6" w:rsidRPr="00C33834" w:rsidRDefault="005228D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14-го сентября по 1-е октября 1933 в Щелково прошли лётные Государственные испытания «И-Z», вооруженного серийными пушками АПК-4, каждая из которых была снабжена трубчатым магазином на шесть снарядов. Летал на истребителе летчик-испытатель НИИ ВВС М. Сцельников. В отчете НИИ ВВС по испытаниям указывалось, что самолет «И-Z» изготовлен по образцу опытного и в основных размерных параметрах от последнего не отличается. Кабина летчика удобна и просторна. На взлете «И-Z» быстро отрывается в горизонтальном полете идет с отпущенной ручкой, устойчив во всех отношениях, управление легкое. Испытания на штопор не проводились, но и тенденции к срыву в штопор не наблюдалось. В заключении по испытаниям говорилось, что истребители типа «И-Z» могут быть приняты на вооружение ВВС РККА при выполнении следующих условий: увеличение максимальной скорости до 300 км/час, емкости бензобаков, количества снарядов, установки электрооборудования и радио. Особым пунктом шло пожелание увеличить прочность самолета, так как уже после 300-500 выстрелов его конструкция нуждалась в ремонте. Военные хотели довести живучесть «И-Z» до 1000 выстрелов. Однако это пожелание ВВС выполнить не удалось. В ходе последующих испытаний истребителей «И-Z», стрельбы из пушек велись с пикирования, кабрирования, в горизонтальном полете, одиночными выстрелами и сериями. После 100-150 выстрелов проводился осмотр конструкций истребителей с заменой, по возможности, отдельных частей. В среднем из каждой пушки выполнили 240 выстрелов. При стрельбе в конструкции самолетов наблюдались значительные повреждения. Газы, вылетавшие из пушек, коробили и отрывали обшивку, оказывали на конструкцию крайне нежелательные нагрузки. Лишь отдельные самолеты смогли выдержать свыше 350 выстрелов. Признавалось, что даже при соответствующих усилениях конструкции «И-Z», срок его службы при стрельбе из динамо-реактивных пушек составит не более 400 выстрелов. При испытаниях большую часть серийных истребителей довели до нелетного состояния (15223).</w:t>
      </w:r>
    </w:p>
    <w:p w14:paraId="0448C562" w14:textId="77777777" w:rsidR="005228D6" w:rsidRPr="00C33834" w:rsidRDefault="005228D6" w:rsidP="00C33834">
      <w:pPr>
        <w:shd w:val="clear" w:color="auto" w:fill="FFFFFF"/>
        <w:spacing w:after="0" w:line="240" w:lineRule="auto"/>
        <w:jc w:val="both"/>
        <w:rPr>
          <w:rFonts w:ascii="Times New Roman" w:hAnsi="Times New Roman"/>
          <w:color w:val="000000" w:themeColor="text1"/>
          <w:sz w:val="16"/>
          <w:szCs w:val="16"/>
        </w:rPr>
      </w:pPr>
    </w:p>
    <w:p w14:paraId="76C8E96F"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14 сентября по 1 октября 1933 г. на аэродроме НИИ ВВС в Щелкове были проведены государственные испытания самолета И-7 № 39 010, вооруженного серийными пушками АПК-4бис. Летал летчик Сцельников, общий налет составил 16 часов 20 минут.</w:t>
      </w:r>
    </w:p>
    <w:p w14:paraId="14B0474E"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отчете по испытаниям указывалось, что самолет И-7 № 39 010 постройки авиазавода № 39 изготовлен по образцу опытного и в основных размерных параметрах от последнего не отклоняется. Кабина летчика удобна и просторна. На взлете И-7 быстро отрывается с поднятым хвостом, в горизонтальном полете идет с опущенной ручкой, устойчив во всех отношениях, управление мягкое и легкое. Испытания на штопор не производились, однако и тенденции к срыву в штопор не отмечалось.</w:t>
      </w:r>
    </w:p>
    <w:p w14:paraId="49AC381A"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результатам оценки летных данных отмечалось, что полученные данные скороподъемности (подъем на высоту 5000 м за 14 мин.) и потолка (7000 м) являются достаточно удовлетворительными. Полученное значение максимальной скорости 259 км/час совершенно недостаточное. Причина — неудачная конструкция колес и шасси, большое сопротивление пушек. Тактическая дальность действия самолета 310 км также признана недостаточной.</w:t>
      </w:r>
    </w:p>
    <w:p w14:paraId="6EF12332"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Комиссия записала в отчете, что артиллерийское вооружение И-7 испытания выдержало. Выстреляно 363 патрона, 19 патронов не было выстреляно из-за задержек. Снятие или установка АПК-4бис на самолет занимает 15 минут и производится силами не менее двух человек.</w:t>
      </w:r>
    </w:p>
    <w:p w14:paraId="33E028A1"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Малая емкость магазинов — на две пушки всего 14 снарядов — оценивалась как недопустимая. Курчевский предполагал далее установить в крыле коробчатый магазин для 14 снарядов, но для АПК-4бис это сделано не было.</w:t>
      </w:r>
    </w:p>
    <w:p w14:paraId="39837EE2"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заключении по результатам испытаний говорилось, что самолеты типа И-7 могут быть приняты на вооружение ВВС РККА при условии следующих доработок, с предъявлением модификации к 1 марта 1934 г.:</w:t>
      </w:r>
    </w:p>
    <w:p w14:paraId="04A76824"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увеличение максимальной скорости до 300 км/час;</w:t>
      </w:r>
    </w:p>
    <w:p w14:paraId="2552DDDC"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увеличение емкости бензобаков, доведения количества снарядов до 20 штук, установки электрооборудования и радио.</w:t>
      </w:r>
    </w:p>
    <w:p w14:paraId="7715FDE9"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Особым пунктом шло пожелание увеличить прочность самолета. Уже после 300–500 выстрелов конструкция истребителя нуждалась в ремонте, поэтому ВВС хотели довести живучесть И-7 до 1000 выстрелов.</w:t>
      </w:r>
    </w:p>
    <w:p w14:paraId="21BACE4E"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Хотя местом проведения госиспытаний назывался аэродром НИИ ВВС, на самом деле из пушек стреляли совсем в другой местности — в районе Переславля-Залесского на берегу Плещеева озера. Кстати, испытания безоткатных орудий на этом озере проводились еще в сентябре 1924 г. Испытывались два самолета И-7 (№ 39 005 и № 39 010) с четырьмя серийными пушками АПК-4бис. Летали летчики А. Коротков и М. Сцельников. Из 147 патронов выстреляно 74, задержек — 18. Причины задержек: а) отказ воздушного клапана в механизме перезарядки; б) утыкание снаряда, поданного на лоток, в головку очередного снаряда; в) неполное сгорание нитроткани (12091).</w:t>
      </w:r>
    </w:p>
    <w:p w14:paraId="16894727"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2B7B5B37"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сентября 1933 произошла авария МИ-3 2М-34Н (АНТ-21) - сломались рули направления - почти сразу после начала заводских испытаний. Заменили разнесенное оперение на один киль (4,10). Согласно В.Б.Ш., который был свидетелем, рули направления сломались по верхним узлам крепления и И.Ф.Козлов с трудом посадил снеся шасси (1076,473). Л И.Ф.Козлов (6200, 8).</w:t>
      </w:r>
    </w:p>
    <w:p w14:paraId="366721BA"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процессе испытаний гофр также заменили на гладкую обшивку (109,236) нет, это на дублере (1076,473).</w:t>
      </w:r>
    </w:p>
    <w:p w14:paraId="2D85A0C2"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7A74F130"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сентября 1933 при первом пробном взлете по прямой был подломлен костыль ЛР М-34Н (2287,127).</w:t>
      </w:r>
    </w:p>
    <w:p w14:paraId="7355BFE9"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3BB0490D"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14 сентября по 23 ноября 1933 проходили гос. испытания опытной переливки горючего в воздухе из самолета Р-5 М-17 в самолет ТБ-3-4М17</w:t>
      </w:r>
    </w:p>
    <w:p w14:paraId="74EF57DA"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1D0A4820"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инженер-летчик Белозеров</w:t>
      </w:r>
    </w:p>
    <w:p w14:paraId="2E7DA5E7"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Летчики - Миндер, Каверин</w:t>
      </w:r>
    </w:p>
    <w:p w14:paraId="25526430"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64DA5409"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проверить возможность переливки горючего в воздухе во время полета из самолета Р-5 М-17 в самолет ТБ-3 4М-17.</w:t>
      </w:r>
    </w:p>
    <w:p w14:paraId="26D6CBDE"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Установить практическую целесообразность внедрения таковой в строевые части.</w:t>
      </w:r>
    </w:p>
    <w:p w14:paraId="1957BB06"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55AE9192"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приспособление для переливки горючего из самолета Р-5 М-17 в самолет ТБ-3 4М-17 гос. испытания выдержало.</w:t>
      </w:r>
    </w:p>
    <w:p w14:paraId="25137751"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Календарь проведения гос. испытаний по переливке в воздухе горючего из самолета Р5-М17 в самолет </w:t>
      </w:r>
      <w:r w:rsidRPr="00C33834">
        <w:rPr>
          <w:rFonts w:ascii="Times New Roman" w:hAnsi="Times New Roman"/>
          <w:color w:val="000000" w:themeColor="text1"/>
          <w:sz w:val="16"/>
          <w:szCs w:val="16"/>
        </w:rPr>
        <w:tab/>
        <w:t>ТБ-3 4М-17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7493"/>
      </w:tblGrid>
      <w:tr w:rsidR="00F26F01" w:rsidRPr="00C33834" w14:paraId="0A9194D8" w14:textId="77777777">
        <w:tc>
          <w:tcPr>
            <w:tcW w:w="2254" w:type="dxa"/>
          </w:tcPr>
          <w:p w14:paraId="76D519C4"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сентября 1933 года</w:t>
            </w:r>
          </w:p>
        </w:tc>
        <w:tc>
          <w:tcPr>
            <w:tcW w:w="7493" w:type="dxa"/>
          </w:tcPr>
          <w:p w14:paraId="684A6F02"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Перегонка самолета ТБ-3 завода N 39 в Щелково - 50 мин.</w:t>
            </w:r>
          </w:p>
        </w:tc>
      </w:tr>
      <w:tr w:rsidR="00F26F01" w:rsidRPr="00C33834" w14:paraId="6102ED3D" w14:textId="77777777">
        <w:tc>
          <w:tcPr>
            <w:tcW w:w="2254" w:type="dxa"/>
          </w:tcPr>
          <w:p w14:paraId="0E07D247"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сентября 1933 года</w:t>
            </w:r>
          </w:p>
        </w:tc>
        <w:tc>
          <w:tcPr>
            <w:tcW w:w="7493" w:type="dxa"/>
          </w:tcPr>
          <w:p w14:paraId="5D1A9CEC"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Вывозные полеты командира эскадрильи Иванова</w:t>
            </w:r>
          </w:p>
        </w:tc>
      </w:tr>
      <w:tr w:rsidR="00F26F01" w:rsidRPr="00C33834" w14:paraId="1CA3EFA1" w14:textId="77777777">
        <w:tc>
          <w:tcPr>
            <w:tcW w:w="2254" w:type="dxa"/>
          </w:tcPr>
          <w:p w14:paraId="48541F64" w14:textId="77777777" w:rsidR="007F23E2" w:rsidRPr="00C33834" w:rsidRDefault="007F23E2" w:rsidP="00C33834">
            <w:pPr>
              <w:spacing w:after="0" w:line="240" w:lineRule="auto"/>
              <w:jc w:val="both"/>
              <w:rPr>
                <w:rFonts w:ascii="Times New Roman" w:hAnsi="Times New Roman"/>
                <w:color w:val="000000" w:themeColor="text1"/>
                <w:sz w:val="16"/>
                <w:szCs w:val="16"/>
              </w:rPr>
            </w:pPr>
          </w:p>
        </w:tc>
        <w:tc>
          <w:tcPr>
            <w:tcW w:w="7493" w:type="dxa"/>
          </w:tcPr>
          <w:p w14:paraId="5E451E30"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час. 28 мин.</w:t>
            </w:r>
          </w:p>
        </w:tc>
      </w:tr>
      <w:tr w:rsidR="00F26F01" w:rsidRPr="00C33834" w14:paraId="62D68586" w14:textId="77777777">
        <w:tc>
          <w:tcPr>
            <w:tcW w:w="2254" w:type="dxa"/>
          </w:tcPr>
          <w:p w14:paraId="582CC54F"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сентября 1933 года</w:t>
            </w:r>
          </w:p>
        </w:tc>
        <w:tc>
          <w:tcPr>
            <w:tcW w:w="7493" w:type="dxa"/>
          </w:tcPr>
          <w:p w14:paraId="489A4F06"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Вывозные полеты командира эскадрильи Иванова</w:t>
            </w:r>
          </w:p>
        </w:tc>
      </w:tr>
      <w:tr w:rsidR="00F26F01" w:rsidRPr="00C33834" w14:paraId="05F9C4C9" w14:textId="77777777">
        <w:tc>
          <w:tcPr>
            <w:tcW w:w="2254" w:type="dxa"/>
          </w:tcPr>
          <w:p w14:paraId="5ACD588B" w14:textId="77777777" w:rsidR="007F23E2" w:rsidRPr="00C33834" w:rsidRDefault="007F23E2" w:rsidP="00C33834">
            <w:pPr>
              <w:spacing w:after="0" w:line="240" w:lineRule="auto"/>
              <w:jc w:val="both"/>
              <w:rPr>
                <w:rFonts w:ascii="Times New Roman" w:hAnsi="Times New Roman"/>
                <w:color w:val="000000" w:themeColor="text1"/>
                <w:sz w:val="16"/>
                <w:szCs w:val="16"/>
              </w:rPr>
            </w:pPr>
          </w:p>
        </w:tc>
        <w:tc>
          <w:tcPr>
            <w:tcW w:w="7493" w:type="dxa"/>
          </w:tcPr>
          <w:p w14:paraId="12CAB7CC"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час. 25 мин.</w:t>
            </w:r>
          </w:p>
        </w:tc>
      </w:tr>
      <w:tr w:rsidR="00F26F01" w:rsidRPr="00C33834" w14:paraId="0ED6B9E3" w14:textId="77777777">
        <w:tc>
          <w:tcPr>
            <w:tcW w:w="2254" w:type="dxa"/>
          </w:tcPr>
          <w:p w14:paraId="59FF04EC" w14:textId="77777777" w:rsidR="007F23E2" w:rsidRPr="00C33834" w:rsidRDefault="007F23E2" w:rsidP="00C33834">
            <w:pPr>
              <w:spacing w:after="0" w:line="240" w:lineRule="auto"/>
              <w:jc w:val="both"/>
              <w:rPr>
                <w:rFonts w:ascii="Times New Roman" w:hAnsi="Times New Roman"/>
                <w:color w:val="000000" w:themeColor="text1"/>
                <w:sz w:val="16"/>
                <w:szCs w:val="16"/>
              </w:rPr>
            </w:pPr>
          </w:p>
        </w:tc>
        <w:tc>
          <w:tcPr>
            <w:tcW w:w="7493" w:type="dxa"/>
          </w:tcPr>
          <w:p w14:paraId="276CAA87"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Самостоятельная тренировка Иванова - 34 мин.</w:t>
            </w:r>
          </w:p>
        </w:tc>
      </w:tr>
      <w:tr w:rsidR="00F26F01" w:rsidRPr="00C33834" w14:paraId="3028BF8B" w14:textId="77777777">
        <w:tc>
          <w:tcPr>
            <w:tcW w:w="2254" w:type="dxa"/>
          </w:tcPr>
          <w:p w14:paraId="5EA5FFD2"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сентября 1933 года</w:t>
            </w:r>
          </w:p>
        </w:tc>
        <w:tc>
          <w:tcPr>
            <w:tcW w:w="7493" w:type="dxa"/>
          </w:tcPr>
          <w:p w14:paraId="21540AA2"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Подхватывание шлангов - не выполнено - 2 часа.</w:t>
            </w:r>
          </w:p>
        </w:tc>
      </w:tr>
      <w:tr w:rsidR="00F26F01" w:rsidRPr="00C33834" w14:paraId="5871288A" w14:textId="77777777">
        <w:tc>
          <w:tcPr>
            <w:tcW w:w="2254" w:type="dxa"/>
          </w:tcPr>
          <w:p w14:paraId="26491768"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октября 1933 года</w:t>
            </w:r>
          </w:p>
        </w:tc>
        <w:tc>
          <w:tcPr>
            <w:tcW w:w="7493" w:type="dxa"/>
          </w:tcPr>
          <w:p w14:paraId="5D13B770"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Подхватывание шлангов - не выполнено - 1 час. 8 мин.</w:t>
            </w:r>
          </w:p>
        </w:tc>
      </w:tr>
      <w:tr w:rsidR="00F26F01" w:rsidRPr="00C33834" w14:paraId="7E8B550A" w14:textId="77777777">
        <w:tc>
          <w:tcPr>
            <w:tcW w:w="2254" w:type="dxa"/>
          </w:tcPr>
          <w:p w14:paraId="082D22B5"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октября 1933 года</w:t>
            </w:r>
          </w:p>
        </w:tc>
        <w:tc>
          <w:tcPr>
            <w:tcW w:w="7493" w:type="dxa"/>
          </w:tcPr>
          <w:p w14:paraId="469934CC"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Подхватывание шлангов - не выполнено - 58 мин.</w:t>
            </w:r>
          </w:p>
        </w:tc>
      </w:tr>
      <w:tr w:rsidR="00F26F01" w:rsidRPr="00C33834" w14:paraId="4EEFB0E0" w14:textId="77777777">
        <w:tc>
          <w:tcPr>
            <w:tcW w:w="2254" w:type="dxa"/>
          </w:tcPr>
          <w:p w14:paraId="424A6628"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октября 1933 года</w:t>
            </w:r>
          </w:p>
        </w:tc>
        <w:tc>
          <w:tcPr>
            <w:tcW w:w="7493" w:type="dxa"/>
          </w:tcPr>
          <w:p w14:paraId="3B3DDA62"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Подхватывание веревки длиной 60 м - не выполнено</w:t>
            </w:r>
          </w:p>
        </w:tc>
      </w:tr>
      <w:tr w:rsidR="00F26F01" w:rsidRPr="00C33834" w14:paraId="24670038" w14:textId="77777777">
        <w:tc>
          <w:tcPr>
            <w:tcW w:w="2254" w:type="dxa"/>
          </w:tcPr>
          <w:p w14:paraId="5C6161F5" w14:textId="77777777" w:rsidR="007F23E2" w:rsidRPr="00C33834" w:rsidRDefault="007F23E2" w:rsidP="00C33834">
            <w:pPr>
              <w:spacing w:after="0" w:line="240" w:lineRule="auto"/>
              <w:jc w:val="both"/>
              <w:rPr>
                <w:rFonts w:ascii="Times New Roman" w:hAnsi="Times New Roman"/>
                <w:color w:val="000000" w:themeColor="text1"/>
                <w:sz w:val="16"/>
                <w:szCs w:val="16"/>
              </w:rPr>
            </w:pPr>
          </w:p>
        </w:tc>
        <w:tc>
          <w:tcPr>
            <w:tcW w:w="7493" w:type="dxa"/>
          </w:tcPr>
          <w:p w14:paraId="1EF7D304"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час. 17 мин.</w:t>
            </w:r>
          </w:p>
        </w:tc>
      </w:tr>
      <w:tr w:rsidR="00F26F01" w:rsidRPr="00C33834" w14:paraId="4CCF5080" w14:textId="77777777">
        <w:tc>
          <w:tcPr>
            <w:tcW w:w="2254" w:type="dxa"/>
          </w:tcPr>
          <w:p w14:paraId="1E802DED"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октября 1933 года</w:t>
            </w:r>
          </w:p>
        </w:tc>
        <w:tc>
          <w:tcPr>
            <w:tcW w:w="7493" w:type="dxa"/>
          </w:tcPr>
          <w:p w14:paraId="366E9ED0"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Подхватывание веревки длиной 60 м - выполнено.</w:t>
            </w:r>
          </w:p>
        </w:tc>
      </w:tr>
      <w:tr w:rsidR="00F26F01" w:rsidRPr="00C33834" w14:paraId="1C0353D2" w14:textId="77777777">
        <w:tc>
          <w:tcPr>
            <w:tcW w:w="2254" w:type="dxa"/>
          </w:tcPr>
          <w:p w14:paraId="48502E85" w14:textId="77777777" w:rsidR="007F23E2" w:rsidRPr="00C33834" w:rsidRDefault="007F23E2" w:rsidP="00C33834">
            <w:pPr>
              <w:spacing w:after="0" w:line="240" w:lineRule="auto"/>
              <w:jc w:val="both"/>
              <w:rPr>
                <w:rFonts w:ascii="Times New Roman" w:hAnsi="Times New Roman"/>
                <w:color w:val="000000" w:themeColor="text1"/>
                <w:sz w:val="16"/>
                <w:szCs w:val="16"/>
              </w:rPr>
            </w:pPr>
          </w:p>
        </w:tc>
        <w:tc>
          <w:tcPr>
            <w:tcW w:w="7493" w:type="dxa"/>
          </w:tcPr>
          <w:p w14:paraId="47156CFF"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час. 28 мин.</w:t>
            </w:r>
          </w:p>
        </w:tc>
      </w:tr>
      <w:tr w:rsidR="00F26F01" w:rsidRPr="00C33834" w14:paraId="79C1BDDA" w14:textId="77777777">
        <w:tc>
          <w:tcPr>
            <w:tcW w:w="2254" w:type="dxa"/>
          </w:tcPr>
          <w:p w14:paraId="46B36951"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октября 1933 года</w:t>
            </w:r>
          </w:p>
        </w:tc>
        <w:tc>
          <w:tcPr>
            <w:tcW w:w="7493" w:type="dxa"/>
          </w:tcPr>
          <w:p w14:paraId="6BDC33F2"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Подхватывание шланга длиной 50 м. Не выполнено из-за</w:t>
            </w:r>
          </w:p>
        </w:tc>
      </w:tr>
      <w:tr w:rsidR="00F26F01" w:rsidRPr="00C33834" w14:paraId="042BE2F4" w14:textId="77777777">
        <w:tc>
          <w:tcPr>
            <w:tcW w:w="2254" w:type="dxa"/>
          </w:tcPr>
          <w:p w14:paraId="189D469D" w14:textId="77777777" w:rsidR="007F23E2" w:rsidRPr="00C33834" w:rsidRDefault="007F23E2" w:rsidP="00C33834">
            <w:pPr>
              <w:spacing w:after="0" w:line="240" w:lineRule="auto"/>
              <w:jc w:val="both"/>
              <w:rPr>
                <w:rFonts w:ascii="Times New Roman" w:hAnsi="Times New Roman"/>
                <w:color w:val="000000" w:themeColor="text1"/>
                <w:sz w:val="16"/>
                <w:szCs w:val="16"/>
              </w:rPr>
            </w:pPr>
          </w:p>
        </w:tc>
        <w:tc>
          <w:tcPr>
            <w:tcW w:w="7493" w:type="dxa"/>
          </w:tcPr>
          <w:p w14:paraId="64AAB698"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того, что конец шланга болтался. - 1 час. 30 мин.</w:t>
            </w:r>
          </w:p>
        </w:tc>
      </w:tr>
      <w:tr w:rsidR="00F26F01" w:rsidRPr="00C33834" w14:paraId="7172C004" w14:textId="77777777">
        <w:tc>
          <w:tcPr>
            <w:tcW w:w="2254" w:type="dxa"/>
          </w:tcPr>
          <w:p w14:paraId="22AE562D"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7493" w:type="dxa"/>
          </w:tcPr>
          <w:p w14:paraId="152CC448"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час. 38 мин.</w:t>
            </w:r>
          </w:p>
        </w:tc>
      </w:tr>
    </w:tbl>
    <w:p w14:paraId="5A3D4CB1"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Новый состав экипажа (ведущий летчик Миндер)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5990"/>
      </w:tblGrid>
      <w:tr w:rsidR="00F26F01" w:rsidRPr="00C33834" w14:paraId="6EDDDCBB" w14:textId="77777777">
        <w:tc>
          <w:tcPr>
            <w:tcW w:w="3757" w:type="dxa"/>
          </w:tcPr>
          <w:p w14:paraId="7CB40A39"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ноября 1933 года</w:t>
            </w:r>
          </w:p>
        </w:tc>
        <w:tc>
          <w:tcPr>
            <w:tcW w:w="5990" w:type="dxa"/>
          </w:tcPr>
          <w:p w14:paraId="21F92A70"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Тренировочный полет, хождение парой в строю</w:t>
            </w:r>
          </w:p>
        </w:tc>
      </w:tr>
      <w:tr w:rsidR="00F26F01" w:rsidRPr="00C33834" w14:paraId="335654E4" w14:textId="77777777">
        <w:tc>
          <w:tcPr>
            <w:tcW w:w="3757" w:type="dxa"/>
          </w:tcPr>
          <w:p w14:paraId="5069EE2A" w14:textId="77777777" w:rsidR="007F23E2" w:rsidRPr="00C33834" w:rsidRDefault="007F23E2" w:rsidP="00C33834">
            <w:pPr>
              <w:spacing w:after="0" w:line="240" w:lineRule="auto"/>
              <w:jc w:val="both"/>
              <w:rPr>
                <w:rFonts w:ascii="Times New Roman" w:hAnsi="Times New Roman"/>
                <w:color w:val="000000" w:themeColor="text1"/>
                <w:sz w:val="16"/>
                <w:szCs w:val="16"/>
              </w:rPr>
            </w:pPr>
          </w:p>
        </w:tc>
        <w:tc>
          <w:tcPr>
            <w:tcW w:w="5990" w:type="dxa"/>
          </w:tcPr>
          <w:p w14:paraId="0AE2A165"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кильватора с принижением второго самолета и подхватывание</w:t>
            </w:r>
          </w:p>
        </w:tc>
      </w:tr>
      <w:tr w:rsidR="00F26F01" w:rsidRPr="00C33834" w14:paraId="2422A81B" w14:textId="77777777">
        <w:tc>
          <w:tcPr>
            <w:tcW w:w="3757" w:type="dxa"/>
          </w:tcPr>
          <w:p w14:paraId="12038752" w14:textId="77777777" w:rsidR="007F23E2" w:rsidRPr="00C33834" w:rsidRDefault="007F23E2" w:rsidP="00C33834">
            <w:pPr>
              <w:spacing w:after="0" w:line="240" w:lineRule="auto"/>
              <w:jc w:val="both"/>
              <w:rPr>
                <w:rFonts w:ascii="Times New Roman" w:hAnsi="Times New Roman"/>
                <w:color w:val="000000" w:themeColor="text1"/>
                <w:sz w:val="16"/>
                <w:szCs w:val="16"/>
              </w:rPr>
            </w:pPr>
          </w:p>
        </w:tc>
        <w:tc>
          <w:tcPr>
            <w:tcW w:w="5990" w:type="dxa"/>
          </w:tcPr>
          <w:p w14:paraId="2C6B1C1F"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летнабами самолета ТБ-3 веревки длиной 35 м, вместо</w:t>
            </w:r>
          </w:p>
        </w:tc>
      </w:tr>
      <w:tr w:rsidR="00F26F01" w:rsidRPr="00C33834" w14:paraId="5B085AFF" w14:textId="77777777">
        <w:tc>
          <w:tcPr>
            <w:tcW w:w="3757" w:type="dxa"/>
          </w:tcPr>
          <w:p w14:paraId="6097DB4A" w14:textId="77777777" w:rsidR="007F23E2" w:rsidRPr="00C33834" w:rsidRDefault="007F23E2" w:rsidP="00C33834">
            <w:pPr>
              <w:spacing w:after="0" w:line="240" w:lineRule="auto"/>
              <w:jc w:val="both"/>
              <w:rPr>
                <w:rFonts w:ascii="Times New Roman" w:hAnsi="Times New Roman"/>
                <w:color w:val="000000" w:themeColor="text1"/>
                <w:sz w:val="16"/>
                <w:szCs w:val="16"/>
              </w:rPr>
            </w:pPr>
          </w:p>
        </w:tc>
        <w:tc>
          <w:tcPr>
            <w:tcW w:w="5990" w:type="dxa"/>
          </w:tcPr>
          <w:p w14:paraId="3CC48AA9"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шланга - 55 мин.</w:t>
            </w:r>
          </w:p>
        </w:tc>
      </w:tr>
      <w:tr w:rsidR="00F26F01" w:rsidRPr="00C33834" w14:paraId="3F7ED79B" w14:textId="77777777">
        <w:tc>
          <w:tcPr>
            <w:tcW w:w="3757" w:type="dxa"/>
          </w:tcPr>
          <w:p w14:paraId="6A97CE2A"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ноября 1933 года</w:t>
            </w:r>
          </w:p>
        </w:tc>
        <w:tc>
          <w:tcPr>
            <w:tcW w:w="5990" w:type="dxa"/>
          </w:tcPr>
          <w:p w14:paraId="5CCCFFD1"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Тренировочный полет, хождение парой в строю</w:t>
            </w:r>
          </w:p>
        </w:tc>
      </w:tr>
      <w:tr w:rsidR="00F26F01" w:rsidRPr="00C33834" w14:paraId="45E95D5B" w14:textId="77777777">
        <w:tc>
          <w:tcPr>
            <w:tcW w:w="3757" w:type="dxa"/>
          </w:tcPr>
          <w:p w14:paraId="0022379E" w14:textId="77777777" w:rsidR="007F23E2" w:rsidRPr="00C33834" w:rsidRDefault="007F23E2" w:rsidP="00C33834">
            <w:pPr>
              <w:spacing w:after="0" w:line="240" w:lineRule="auto"/>
              <w:jc w:val="both"/>
              <w:rPr>
                <w:rFonts w:ascii="Times New Roman" w:hAnsi="Times New Roman"/>
                <w:color w:val="000000" w:themeColor="text1"/>
                <w:sz w:val="16"/>
                <w:szCs w:val="16"/>
              </w:rPr>
            </w:pPr>
          </w:p>
        </w:tc>
        <w:tc>
          <w:tcPr>
            <w:tcW w:w="5990" w:type="dxa"/>
          </w:tcPr>
          <w:p w14:paraId="3BBC67DD"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кильватора с принижением второго самолета и подхватывание</w:t>
            </w:r>
          </w:p>
        </w:tc>
      </w:tr>
      <w:tr w:rsidR="00F26F01" w:rsidRPr="00C33834" w14:paraId="7368769E" w14:textId="77777777">
        <w:tc>
          <w:tcPr>
            <w:tcW w:w="3757" w:type="dxa"/>
          </w:tcPr>
          <w:p w14:paraId="24AF4CA5" w14:textId="77777777" w:rsidR="007F23E2" w:rsidRPr="00C33834" w:rsidRDefault="007F23E2" w:rsidP="00C33834">
            <w:pPr>
              <w:spacing w:after="0" w:line="240" w:lineRule="auto"/>
              <w:jc w:val="both"/>
              <w:rPr>
                <w:rFonts w:ascii="Times New Roman" w:hAnsi="Times New Roman"/>
                <w:color w:val="000000" w:themeColor="text1"/>
                <w:sz w:val="16"/>
                <w:szCs w:val="16"/>
              </w:rPr>
            </w:pPr>
          </w:p>
        </w:tc>
        <w:tc>
          <w:tcPr>
            <w:tcW w:w="5990" w:type="dxa"/>
          </w:tcPr>
          <w:p w14:paraId="741C0E96"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летнабами самолета ТБ-3 шланга длиной 35 м, вместо</w:t>
            </w:r>
          </w:p>
        </w:tc>
      </w:tr>
      <w:tr w:rsidR="00F26F01" w:rsidRPr="00C33834" w14:paraId="55856246" w14:textId="77777777">
        <w:tc>
          <w:tcPr>
            <w:tcW w:w="3757" w:type="dxa"/>
          </w:tcPr>
          <w:p w14:paraId="099B7B6B" w14:textId="77777777" w:rsidR="007F23E2" w:rsidRPr="00C33834" w:rsidRDefault="007F23E2" w:rsidP="00C33834">
            <w:pPr>
              <w:spacing w:after="0" w:line="240" w:lineRule="auto"/>
              <w:jc w:val="both"/>
              <w:rPr>
                <w:rFonts w:ascii="Times New Roman" w:hAnsi="Times New Roman"/>
                <w:color w:val="000000" w:themeColor="text1"/>
                <w:sz w:val="16"/>
                <w:szCs w:val="16"/>
              </w:rPr>
            </w:pPr>
          </w:p>
        </w:tc>
        <w:tc>
          <w:tcPr>
            <w:tcW w:w="5990" w:type="dxa"/>
          </w:tcPr>
          <w:p w14:paraId="2CDA80A1"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шланга - 55 мин. В первый полет шланг болтался и из-за</w:t>
            </w:r>
          </w:p>
        </w:tc>
      </w:tr>
      <w:tr w:rsidR="00F26F01" w:rsidRPr="00C33834" w14:paraId="69E5AE27" w14:textId="77777777">
        <w:tc>
          <w:tcPr>
            <w:tcW w:w="3757" w:type="dxa"/>
          </w:tcPr>
          <w:p w14:paraId="791803B3" w14:textId="77777777" w:rsidR="007F23E2" w:rsidRPr="00C33834" w:rsidRDefault="007F23E2" w:rsidP="00C33834">
            <w:pPr>
              <w:spacing w:after="0" w:line="240" w:lineRule="auto"/>
              <w:jc w:val="both"/>
              <w:rPr>
                <w:rFonts w:ascii="Times New Roman" w:hAnsi="Times New Roman"/>
                <w:color w:val="000000" w:themeColor="text1"/>
                <w:sz w:val="16"/>
                <w:szCs w:val="16"/>
              </w:rPr>
            </w:pPr>
          </w:p>
        </w:tc>
        <w:tc>
          <w:tcPr>
            <w:tcW w:w="5990" w:type="dxa"/>
          </w:tcPr>
          <w:p w14:paraId="2952D5ED"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этого задание не было выполнено. Во второй полет</w:t>
            </w:r>
          </w:p>
        </w:tc>
      </w:tr>
      <w:tr w:rsidR="00F26F01" w:rsidRPr="00C33834" w14:paraId="21DF48DF" w14:textId="77777777">
        <w:tc>
          <w:tcPr>
            <w:tcW w:w="3757" w:type="dxa"/>
          </w:tcPr>
          <w:p w14:paraId="2B56EBD4" w14:textId="77777777" w:rsidR="007F23E2" w:rsidRPr="00C33834" w:rsidRDefault="007F23E2" w:rsidP="00C33834">
            <w:pPr>
              <w:spacing w:after="0" w:line="240" w:lineRule="auto"/>
              <w:jc w:val="both"/>
              <w:rPr>
                <w:rFonts w:ascii="Times New Roman" w:hAnsi="Times New Roman"/>
                <w:color w:val="000000" w:themeColor="text1"/>
                <w:sz w:val="16"/>
                <w:szCs w:val="16"/>
              </w:rPr>
            </w:pPr>
          </w:p>
        </w:tc>
        <w:tc>
          <w:tcPr>
            <w:tcW w:w="5990" w:type="dxa"/>
          </w:tcPr>
          <w:p w14:paraId="40A1FFCE"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утяжеления груза задание выполнено. - 1 час. 15 мин.</w:t>
            </w:r>
          </w:p>
        </w:tc>
      </w:tr>
      <w:tr w:rsidR="00F26F01" w:rsidRPr="00C33834" w14:paraId="6EED8B15" w14:textId="77777777">
        <w:tc>
          <w:tcPr>
            <w:tcW w:w="3757" w:type="dxa"/>
          </w:tcPr>
          <w:p w14:paraId="0DFB4DFC"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ноября 1933 года</w:t>
            </w:r>
          </w:p>
        </w:tc>
        <w:tc>
          <w:tcPr>
            <w:tcW w:w="5990" w:type="dxa"/>
          </w:tcPr>
          <w:p w14:paraId="7CEB6E25"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для переливки горючего в воздухе. Из-за низкой</w:t>
            </w:r>
          </w:p>
        </w:tc>
      </w:tr>
      <w:tr w:rsidR="00F26F01" w:rsidRPr="00C33834" w14:paraId="32F16F22" w14:textId="77777777">
        <w:tc>
          <w:tcPr>
            <w:tcW w:w="3757" w:type="dxa"/>
          </w:tcPr>
          <w:p w14:paraId="29FD9865" w14:textId="77777777" w:rsidR="007F23E2" w:rsidRPr="00C33834" w:rsidRDefault="007F23E2" w:rsidP="00C33834">
            <w:pPr>
              <w:spacing w:after="0" w:line="240" w:lineRule="auto"/>
              <w:jc w:val="both"/>
              <w:rPr>
                <w:rFonts w:ascii="Times New Roman" w:hAnsi="Times New Roman"/>
                <w:color w:val="000000" w:themeColor="text1"/>
                <w:sz w:val="16"/>
                <w:szCs w:val="16"/>
              </w:rPr>
            </w:pPr>
          </w:p>
        </w:tc>
        <w:tc>
          <w:tcPr>
            <w:tcW w:w="5990" w:type="dxa"/>
          </w:tcPr>
          <w:p w14:paraId="00CC2699"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облачности и нового состава экипажа самолета Р-5</w:t>
            </w:r>
          </w:p>
        </w:tc>
      </w:tr>
      <w:tr w:rsidR="00F26F01" w:rsidRPr="00C33834" w14:paraId="360AAB48" w14:textId="77777777">
        <w:tc>
          <w:tcPr>
            <w:tcW w:w="3757" w:type="dxa"/>
          </w:tcPr>
          <w:p w14:paraId="734143FD" w14:textId="77777777" w:rsidR="007F23E2" w:rsidRPr="00C33834" w:rsidRDefault="007F23E2" w:rsidP="00C33834">
            <w:pPr>
              <w:spacing w:after="0" w:line="240" w:lineRule="auto"/>
              <w:jc w:val="both"/>
              <w:rPr>
                <w:rFonts w:ascii="Times New Roman" w:hAnsi="Times New Roman"/>
                <w:color w:val="000000" w:themeColor="text1"/>
                <w:sz w:val="16"/>
                <w:szCs w:val="16"/>
              </w:rPr>
            </w:pPr>
          </w:p>
        </w:tc>
        <w:tc>
          <w:tcPr>
            <w:tcW w:w="5990" w:type="dxa"/>
          </w:tcPr>
          <w:p w14:paraId="29DA480C"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переливка отставлена - 55 мин.</w:t>
            </w:r>
          </w:p>
        </w:tc>
      </w:tr>
      <w:tr w:rsidR="00F26F01" w:rsidRPr="00C33834" w14:paraId="2C9A1C1C" w14:textId="77777777">
        <w:tc>
          <w:tcPr>
            <w:tcW w:w="3757" w:type="dxa"/>
          </w:tcPr>
          <w:p w14:paraId="5259C877"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ноября 1933 года</w:t>
            </w:r>
          </w:p>
        </w:tc>
        <w:tc>
          <w:tcPr>
            <w:tcW w:w="5990" w:type="dxa"/>
          </w:tcPr>
          <w:p w14:paraId="596C58DE"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для переливки горючего в воздухе. Первый раз</w:t>
            </w:r>
          </w:p>
        </w:tc>
      </w:tr>
      <w:tr w:rsidR="00F26F01" w:rsidRPr="00C33834" w14:paraId="7323D33F" w14:textId="77777777">
        <w:tc>
          <w:tcPr>
            <w:tcW w:w="3757" w:type="dxa"/>
          </w:tcPr>
          <w:p w14:paraId="2F352162"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переливка одного нижнего бака. Второй - переливка</w:t>
            </w:r>
          </w:p>
        </w:tc>
        <w:tc>
          <w:tcPr>
            <w:tcW w:w="5990" w:type="dxa"/>
          </w:tcPr>
          <w:p w14:paraId="244E83D2" w14:textId="77777777" w:rsidR="007F23E2" w:rsidRPr="00C33834" w:rsidRDefault="007F23E2" w:rsidP="00C33834">
            <w:pPr>
              <w:spacing w:after="0" w:line="240" w:lineRule="auto"/>
              <w:jc w:val="both"/>
              <w:rPr>
                <w:rFonts w:ascii="Times New Roman" w:hAnsi="Times New Roman"/>
                <w:color w:val="000000" w:themeColor="text1"/>
                <w:sz w:val="16"/>
                <w:szCs w:val="16"/>
              </w:rPr>
            </w:pPr>
          </w:p>
        </w:tc>
      </w:tr>
      <w:tr w:rsidR="00F26F01" w:rsidRPr="00C33834" w14:paraId="132FD5C8" w14:textId="77777777">
        <w:tc>
          <w:tcPr>
            <w:tcW w:w="3757" w:type="dxa"/>
          </w:tcPr>
          <w:p w14:paraId="406C0E6C"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нижнего подфюзеляжного бака и заднего фюзеляжного</w:t>
            </w:r>
          </w:p>
        </w:tc>
        <w:tc>
          <w:tcPr>
            <w:tcW w:w="5990" w:type="dxa"/>
          </w:tcPr>
          <w:p w14:paraId="0C722CDD" w14:textId="77777777" w:rsidR="007F23E2" w:rsidRPr="00C33834" w:rsidRDefault="007F23E2" w:rsidP="00C33834">
            <w:pPr>
              <w:spacing w:after="0" w:line="240" w:lineRule="auto"/>
              <w:jc w:val="both"/>
              <w:rPr>
                <w:rFonts w:ascii="Times New Roman" w:hAnsi="Times New Roman"/>
                <w:color w:val="000000" w:themeColor="text1"/>
                <w:sz w:val="16"/>
                <w:szCs w:val="16"/>
              </w:rPr>
            </w:pPr>
          </w:p>
        </w:tc>
      </w:tr>
      <w:tr w:rsidR="00F26F01" w:rsidRPr="00C33834" w14:paraId="2B7B1E1B" w14:textId="77777777">
        <w:tc>
          <w:tcPr>
            <w:tcW w:w="3757" w:type="dxa"/>
          </w:tcPr>
          <w:p w14:paraId="2D2915AD"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(главного)</w:t>
            </w:r>
          </w:p>
        </w:tc>
        <w:tc>
          <w:tcPr>
            <w:tcW w:w="5990" w:type="dxa"/>
          </w:tcPr>
          <w:p w14:paraId="1C315448"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час. 30 мин.</w:t>
            </w:r>
          </w:p>
        </w:tc>
      </w:tr>
      <w:tr w:rsidR="00F26F01" w:rsidRPr="00C33834" w14:paraId="1EA7E0D1" w14:textId="77777777">
        <w:tc>
          <w:tcPr>
            <w:tcW w:w="3757" w:type="dxa"/>
          </w:tcPr>
          <w:p w14:paraId="2D3EC462"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5990" w:type="dxa"/>
          </w:tcPr>
          <w:p w14:paraId="5C009D85"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час. 35 мин.</w:t>
            </w:r>
          </w:p>
        </w:tc>
      </w:tr>
    </w:tbl>
    <w:p w14:paraId="2968822D"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Проведено всего 24 полета общей продолжительностью - 17 час. 13 мин. (3916).</w:t>
      </w:r>
    </w:p>
    <w:p w14:paraId="2956C06E"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00210BC4" w14:textId="77777777" w:rsidR="00F249F2" w:rsidRPr="00C33834" w:rsidRDefault="00F249F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14 сентября 1933 начались полёты ТБ-3 с системой дозаправки в виздухе. Больше месяца недостаточно тренированные экипажи безуспешно пытались поймать шланг и перелить горючее из одного самолёта в другой. Только после смены лётчика ТБ-3 на опытного пилота-испытателя К.П. Миндера 20 ноября удалось провести две успешные дозаправки. При этом самолёты выполняли одновременный разворот на 180 градусов, не прекращая перелива топлива </w:t>
      </w:r>
      <w:hyperlink r:id="rId319" w:history="1">
        <w:r w:rsidRPr="00C33834">
          <w:rPr>
            <w:rFonts w:ascii="Times New Roman" w:eastAsia="Times New Roman" w:hAnsi="Times New Roman"/>
            <w:color w:val="000000" w:themeColor="text1"/>
            <w:sz w:val="16"/>
            <w:szCs w:val="16"/>
            <w:lang w:eastAsia="ru-RU"/>
          </w:rPr>
          <w:t>[57]</w:t>
        </w:r>
      </w:hyperlink>
      <w:r w:rsidRPr="00C33834">
        <w:rPr>
          <w:rFonts w:ascii="Times New Roman" w:eastAsia="Times New Roman" w:hAnsi="Times New Roman"/>
          <w:color w:val="000000" w:themeColor="text1"/>
          <w:sz w:val="16"/>
          <w:szCs w:val="16"/>
          <w:lang w:eastAsia="ru-RU"/>
        </w:rPr>
        <w:t xml:space="preserve"> .</w:t>
      </w:r>
    </w:p>
    <w:p w14:paraId="0ECCFC7A" w14:textId="77777777" w:rsidR="00F249F2" w:rsidRPr="00C33834" w:rsidRDefault="00F249F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На следующий год были намечены войсковые испытания. С этой целью планировалось подготовить двенадцать Р-5 с добавочными баками в фюзеляже и усовершенствованной аппаратурой для дозаправки (необходимо было уменьшить усилия при наматывании шланга на барабан самолёта-заправщика).</w:t>
      </w:r>
    </w:p>
    <w:p w14:paraId="68FE967B" w14:textId="77777777" w:rsidR="00F249F2" w:rsidRPr="00C33834" w:rsidRDefault="00F249F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Но вскоре стало понятно, что использование одномоторного самолёта для дозаправки четырёхмоторного бомбардировщика лишено практического смысла: даже с дополнительным баком Р-5 мог передать не больше 1000 л бензина, что составляло всего около 15 % ёмкости топливных баков ТБ-3. Другое дело, если использовать тяжёлый бомбардировщик не в качестве заправляемого, а как заправщик. Этим и занялась группа Запанованного, работающая теперь в составе военного КБ-1.</w:t>
      </w:r>
    </w:p>
    <w:p w14:paraId="09DFE3CE" w14:textId="77777777" w:rsidR="00F249F2" w:rsidRPr="00C33834" w:rsidRDefault="00F249F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Год ушел на проект переделки бомбардировщика в топливозаправщик. В 1935 г. в НИИ ВВС начали работы по установке топливного оборудования на ТБ-3. Внутри фюзеляжа разместили барабан с намотанным на него шлангом.</w:t>
      </w:r>
    </w:p>
    <w:p w14:paraId="6D3309D5" w14:textId="77777777" w:rsidR="00F249F2" w:rsidRPr="00C33834" w:rsidRDefault="00F249F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Шланг выпускался и втягивался ручной лебедкой через люк в полу, бензин к нему поступал от баков в крыле. Снаружи шланг подкрепили стальными тросами, служащими также для предотвращения опасности возникновения искры из-за разности электрических потенциалов самолётов в момент заправки. В магистраль слива был вмонтирован полуавтоматический клапан, открывавший и закрывавший перетекание топлива. Насоса не было, как и в прежних экспериментах топливо должно выливаться за счёт большей высоты полёта заправщика. Вес заправочного агрегата АЗ-21 равнялся 59 кг.</w:t>
      </w:r>
    </w:p>
    <w:p w14:paraId="5A0D32D4" w14:textId="77777777" w:rsidR="00F249F2" w:rsidRPr="00C33834" w:rsidRDefault="00F249F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На этот раз планировалось заправлять истребители, чтобы уравнять их дальность с дальностью бомбардировщика, который им предстояло охранять. Для опытов один биплан И-5 и один моноплан И-16 оснастили заливными горловинами с устройствами АЗ-22, выталкивающими шланг после заправки и перекрывающими бензопровод к топливному баку истребителя.</w:t>
      </w:r>
    </w:p>
    <w:p w14:paraId="4763D1FF" w14:textId="77777777" w:rsidR="00F249F2" w:rsidRPr="00C33834" w:rsidRDefault="00F249F2"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«Сначала надо было проверить, — пишет Котельников, — сможет ли пилот истребителя поймать наконечник шланга. Ведь в полёте у него будут заняты обе руки: одной надо держать ручку управления, выдерживая положение под заправщиком, другой — сектор газа, выравнивая скорости. Оставалось только рискнуть, на время отпустив одну из ручек. В первых полётах в январе 1936 г. И-5 пилотировал капитан Соколов. Он тренировался, ловя фал, выпускавшийся из люка в днище фюзеляжа бомбардировщика. Последним управляли капитан Курбан и старший лейтенант Брагин. Задача оказалась нелёгкой, надолго бросить сектор газа не удавалось. Отпустить же ручку на не очень устойчивом И-5 и вовсе было невозможно. Тем не менее пять раз Соколов успешно ловил „грузовую грушу“ на фале. С 11 февраля на И-5 стал летать испытатель С.П. Супрун. Однако старый биплан использовали только для тренировки, хотя он и имел оборудование для перелива (17489).</w:t>
      </w:r>
    </w:p>
    <w:p w14:paraId="5B7BFB74" w14:textId="77777777" w:rsidR="00F249F2" w:rsidRPr="00C33834" w:rsidRDefault="00F249F2" w:rsidP="00C33834">
      <w:pPr>
        <w:spacing w:after="0" w:line="240" w:lineRule="auto"/>
        <w:jc w:val="both"/>
        <w:rPr>
          <w:rFonts w:ascii="Times New Roman" w:eastAsia="Times New Roman" w:hAnsi="Times New Roman"/>
          <w:color w:val="000000" w:themeColor="text1"/>
          <w:sz w:val="16"/>
          <w:szCs w:val="16"/>
          <w:lang w:eastAsia="ru-RU"/>
        </w:rPr>
      </w:pPr>
    </w:p>
    <w:p w14:paraId="3E6A667C"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сентября 1933 г. в НИИ ВВС начались государственные испытания системы дозаправки в полете с Р-5 и про</w:t>
      </w:r>
      <w:r w:rsidRPr="00C33834">
        <w:rPr>
          <w:rFonts w:ascii="Times New Roman" w:hAnsi="Times New Roman"/>
          <w:color w:val="000000" w:themeColor="text1"/>
          <w:sz w:val="16"/>
          <w:szCs w:val="16"/>
        </w:rPr>
        <w:softHyphen/>
        <w:t>должались до 23 ноября 1933 г. Всего было выполнено 24 полета с общим налетом 17 часов 13 минут. Летали Иващенко, Шавкин, Никитин. В Акте по госиспытаниям указывалось, что «приспо</w:t>
      </w:r>
      <w:r w:rsidRPr="00C33834">
        <w:rPr>
          <w:rFonts w:ascii="Times New Roman" w:hAnsi="Times New Roman"/>
          <w:color w:val="000000" w:themeColor="text1"/>
          <w:sz w:val="16"/>
          <w:szCs w:val="16"/>
        </w:rPr>
        <w:softHyphen/>
        <w:t>собление для переливки горючего из самолета Р-5 в са</w:t>
      </w:r>
      <w:r w:rsidRPr="00C33834">
        <w:rPr>
          <w:rFonts w:ascii="Times New Roman" w:hAnsi="Times New Roman"/>
          <w:color w:val="000000" w:themeColor="text1"/>
          <w:sz w:val="16"/>
          <w:szCs w:val="16"/>
        </w:rPr>
        <w:softHyphen/>
        <w:t>молет ТБ-3 государственные испытания выдержало», что для дозаправки не имеют значения направление вет</w:t>
      </w:r>
      <w:r w:rsidRPr="00C33834">
        <w:rPr>
          <w:rFonts w:ascii="Times New Roman" w:hAnsi="Times New Roman"/>
          <w:color w:val="000000" w:themeColor="text1"/>
          <w:sz w:val="16"/>
          <w:szCs w:val="16"/>
        </w:rPr>
        <w:softHyphen/>
        <w:t>ра и высота полета, что конструкция аппаратуры позво</w:t>
      </w:r>
      <w:r w:rsidRPr="00C33834">
        <w:rPr>
          <w:rFonts w:ascii="Times New Roman" w:hAnsi="Times New Roman"/>
          <w:color w:val="000000" w:themeColor="text1"/>
          <w:sz w:val="16"/>
          <w:szCs w:val="16"/>
        </w:rPr>
        <w:softHyphen/>
        <w:t>ляет производить дозаправку ТБ-3 в воздухе. Благодаря этому можно увеличить дальность полета с заданной бомбовой нагрузкой, либо увеличить бомбовую нагруз</w:t>
      </w:r>
      <w:r w:rsidRPr="00C33834">
        <w:rPr>
          <w:rFonts w:ascii="Times New Roman" w:hAnsi="Times New Roman"/>
          <w:color w:val="000000" w:themeColor="text1"/>
          <w:sz w:val="16"/>
          <w:szCs w:val="16"/>
        </w:rPr>
        <w:softHyphen/>
        <w:t>ку при заданной дальности. В качестве основного недо</w:t>
      </w:r>
      <w:r w:rsidRPr="00C33834">
        <w:rPr>
          <w:rFonts w:ascii="Times New Roman" w:hAnsi="Times New Roman"/>
          <w:color w:val="000000" w:themeColor="text1"/>
          <w:sz w:val="16"/>
          <w:szCs w:val="16"/>
        </w:rPr>
        <w:softHyphen/>
        <w:t>статка отмечалось, что сматывание шланга вручную после заливки на самолете Р-5 затруднено, в особеннос</w:t>
      </w:r>
      <w:r w:rsidRPr="00C33834">
        <w:rPr>
          <w:rFonts w:ascii="Times New Roman" w:hAnsi="Times New Roman"/>
          <w:color w:val="000000" w:themeColor="text1"/>
          <w:sz w:val="16"/>
          <w:szCs w:val="16"/>
        </w:rPr>
        <w:softHyphen/>
        <w:t>ти в зимних условиях. Доработка системы позволяла ус</w:t>
      </w:r>
      <w:r w:rsidRPr="00C33834">
        <w:rPr>
          <w:rFonts w:ascii="Times New Roman" w:hAnsi="Times New Roman"/>
          <w:color w:val="000000" w:themeColor="text1"/>
          <w:sz w:val="16"/>
          <w:szCs w:val="16"/>
        </w:rPr>
        <w:softHyphen/>
        <w:t>транить этот дефект. Однако в дальнейшем к идее дозаправки самолетов в воздухе командование ВВС ста</w:t>
      </w:r>
      <w:r w:rsidRPr="00C33834">
        <w:rPr>
          <w:rFonts w:ascii="Times New Roman" w:hAnsi="Times New Roman"/>
          <w:color w:val="000000" w:themeColor="text1"/>
          <w:sz w:val="16"/>
          <w:szCs w:val="16"/>
        </w:rPr>
        <w:softHyphen/>
        <w:t>ло относиться более сдержанно, практического исполь</w:t>
      </w:r>
      <w:r w:rsidRPr="00C33834">
        <w:rPr>
          <w:rFonts w:ascii="Times New Roman" w:hAnsi="Times New Roman"/>
          <w:color w:val="000000" w:themeColor="text1"/>
          <w:sz w:val="16"/>
          <w:szCs w:val="16"/>
        </w:rPr>
        <w:softHyphen/>
        <w:t>зования в те годы она не получила (10667).</w:t>
      </w:r>
    </w:p>
    <w:p w14:paraId="12EA789E"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48220982" w14:textId="77777777" w:rsidR="007F23E2" w:rsidRPr="00C33834" w:rsidRDefault="007F23E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сентября 1933 последние немцы покинули Липецк и мы получили 15 Фоккеров Д 8 и несколько автомобилей. Всего немцы подготовили около 200 пилотов. Наш результат - подготовка наставления по технике бомбометания. На основе Липецкой школы создали Высшую военно-техническую школу ВВС РККА (1795,40).</w:t>
      </w:r>
    </w:p>
    <w:p w14:paraId="5CD39E56" w14:textId="77777777" w:rsidR="007F23E2" w:rsidRPr="00C33834" w:rsidRDefault="007F23E2" w:rsidP="00C33834">
      <w:pPr>
        <w:spacing w:after="0" w:line="240" w:lineRule="auto"/>
        <w:jc w:val="both"/>
        <w:rPr>
          <w:rFonts w:ascii="Times New Roman" w:hAnsi="Times New Roman"/>
          <w:color w:val="000000" w:themeColor="text1"/>
          <w:sz w:val="16"/>
          <w:szCs w:val="16"/>
        </w:rPr>
      </w:pPr>
    </w:p>
    <w:p w14:paraId="3D6E287A" w14:textId="77777777" w:rsidR="00B2303C" w:rsidRPr="00C33834" w:rsidRDefault="00B2303C" w:rsidP="00C33834">
      <w:pPr>
        <w:pStyle w:val="rtejustify"/>
        <w:spacing w:before="0" w:after="0"/>
        <w:rPr>
          <w:color w:val="000000" w:themeColor="text1"/>
          <w:sz w:val="16"/>
          <w:szCs w:val="16"/>
        </w:rPr>
      </w:pPr>
      <w:r w:rsidRPr="00C33834">
        <w:rPr>
          <w:color w:val="000000" w:themeColor="text1"/>
          <w:sz w:val="16"/>
          <w:szCs w:val="16"/>
        </w:rPr>
        <w:t>14 сентября 1933 г. Сталин, Ворошилов — Молотову, Кагановичу, Куйбышеву</w:t>
      </w:r>
    </w:p>
    <w:p w14:paraId="4613A4FD"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Шифром.</w:t>
      </w:r>
    </w:p>
    <w:p w14:paraId="7AAD617D" w14:textId="77777777" w:rsidR="003F2394" w:rsidRPr="00C33834" w:rsidRDefault="003F2394" w:rsidP="00C33834">
      <w:pPr>
        <w:pStyle w:val="rtecenter"/>
        <w:spacing w:before="0" w:after="0"/>
        <w:jc w:val="both"/>
        <w:rPr>
          <w:color w:val="000000" w:themeColor="text1"/>
          <w:sz w:val="16"/>
          <w:szCs w:val="16"/>
        </w:rPr>
      </w:pPr>
      <w:r w:rsidRPr="00C33834">
        <w:rPr>
          <w:color w:val="000000" w:themeColor="text1"/>
          <w:sz w:val="16"/>
          <w:szCs w:val="16"/>
        </w:rPr>
        <w:t xml:space="preserve">Москва. ЦК ВКП(б). Молотову, </w:t>
      </w:r>
      <w:r w:rsidRPr="00C33834">
        <w:rPr>
          <w:rStyle w:val="af0"/>
          <w:i w:val="0"/>
          <w:color w:val="000000" w:themeColor="text1"/>
          <w:sz w:val="16"/>
          <w:szCs w:val="16"/>
        </w:rPr>
        <w:t xml:space="preserve">Кагановичу, Куйбышеву. </w:t>
      </w:r>
    </w:p>
    <w:p w14:paraId="6881E19B"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 xml:space="preserve">В связи с громадным недовыполнением программы военных заказов авиации, танков, артиллерии, </w:t>
      </w:r>
      <w:r w:rsidRPr="00C33834">
        <w:rPr>
          <w:rStyle w:val="af0"/>
          <w:i w:val="0"/>
          <w:color w:val="000000" w:themeColor="text1"/>
          <w:sz w:val="16"/>
          <w:szCs w:val="16"/>
        </w:rPr>
        <w:t xml:space="preserve">снарядов — </w:t>
      </w:r>
      <w:r w:rsidRPr="00C33834">
        <w:rPr>
          <w:color w:val="000000" w:themeColor="text1"/>
          <w:sz w:val="16"/>
          <w:szCs w:val="16"/>
        </w:rPr>
        <w:t xml:space="preserve">просим рассмотреть вопрос в Комиссии обороны </w:t>
      </w:r>
      <w:r w:rsidRPr="00C33834">
        <w:rPr>
          <w:rStyle w:val="af0"/>
          <w:i w:val="0"/>
          <w:color w:val="000000" w:themeColor="text1"/>
          <w:sz w:val="16"/>
          <w:szCs w:val="16"/>
        </w:rPr>
        <w:t xml:space="preserve">с вызовом людей с заводов </w:t>
      </w:r>
      <w:r w:rsidRPr="00C33834">
        <w:rPr>
          <w:color w:val="000000" w:themeColor="text1"/>
          <w:sz w:val="16"/>
          <w:szCs w:val="16"/>
        </w:rPr>
        <w:t xml:space="preserve">и решительно подтянуть выполнение и </w:t>
      </w:r>
      <w:r w:rsidRPr="00C33834">
        <w:rPr>
          <w:rStyle w:val="af0"/>
          <w:i w:val="0"/>
          <w:color w:val="000000" w:themeColor="text1"/>
          <w:sz w:val="16"/>
          <w:szCs w:val="16"/>
        </w:rPr>
        <w:t>наказать провинившихся</w:t>
      </w:r>
      <w:r w:rsidRPr="00C33834">
        <w:rPr>
          <w:rStyle w:val="af0"/>
          <w:i w:val="0"/>
          <w:color w:val="000000" w:themeColor="text1"/>
          <w:sz w:val="16"/>
          <w:szCs w:val="16"/>
          <w:vertAlign w:val="superscript"/>
        </w:rPr>
        <w:t>1</w:t>
      </w:r>
      <w:r w:rsidRPr="00C33834">
        <w:rPr>
          <w:rStyle w:val="af0"/>
          <w:i w:val="0"/>
          <w:color w:val="000000" w:themeColor="text1"/>
          <w:sz w:val="16"/>
          <w:szCs w:val="16"/>
        </w:rPr>
        <w:t>.</w:t>
      </w:r>
    </w:p>
    <w:p w14:paraId="59B8F869"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Сталин, Ворошилов.</w:t>
      </w:r>
    </w:p>
    <w:p w14:paraId="281EACB6"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№32</w:t>
      </w:r>
    </w:p>
    <w:p w14:paraId="3BD4906B"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14/IX.33 г.</w:t>
      </w:r>
      <w:r w:rsidRPr="00C33834">
        <w:rPr>
          <w:color w:val="000000" w:themeColor="text1"/>
          <w:sz w:val="16"/>
          <w:szCs w:val="16"/>
          <w:vertAlign w:val="superscript"/>
        </w:rPr>
        <w:t>2</w:t>
      </w:r>
    </w:p>
    <w:p w14:paraId="64B52B97"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Архив: РГАСПИ Ф. 558. Oп. 11. Д. 80. Л. 132. Рукописный текст. Подписи — автографы. </w:t>
      </w:r>
    </w:p>
    <w:p w14:paraId="15562E14"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Сталин и Каганович. Переписка. 1931–1936 гг. Москва: (РОССПЭН), 2001 Стр. 343-344 (12360).</w:t>
      </w:r>
    </w:p>
    <w:p w14:paraId="26327029" w14:textId="77777777" w:rsidR="003F2394" w:rsidRPr="00C33834" w:rsidRDefault="003F2394" w:rsidP="00C33834">
      <w:pPr>
        <w:spacing w:after="0" w:line="240" w:lineRule="auto"/>
        <w:jc w:val="both"/>
        <w:rPr>
          <w:rFonts w:ascii="Times New Roman" w:hAnsi="Times New Roman"/>
          <w:color w:val="000000" w:themeColor="text1"/>
          <w:sz w:val="16"/>
          <w:szCs w:val="16"/>
          <w:u w:color="002060"/>
        </w:rPr>
      </w:pPr>
    </w:p>
    <w:p w14:paraId="7805A5E4"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Style w:val="ucoz-forum-post"/>
          <w:rFonts w:ascii="Times New Roman" w:eastAsiaTheme="majorEastAsia" w:hAnsi="Times New Roman"/>
          <w:bCs/>
          <w:color w:val="000000" w:themeColor="text1"/>
          <w:sz w:val="16"/>
          <w:szCs w:val="16"/>
        </w:rPr>
        <w:t xml:space="preserve">14 сентября </w:t>
      </w:r>
      <w:r w:rsidRPr="00C33834">
        <w:rPr>
          <w:rFonts w:ascii="Times New Roman" w:hAnsi="Times New Roman"/>
          <w:color w:val="000000" w:themeColor="text1"/>
          <w:sz w:val="16"/>
          <w:szCs w:val="16"/>
        </w:rPr>
        <w:t>в 1933 году был введен в эксплуатацию подмосковный аэропорт Быково — старейший аэропорт Московского авиаузла. Расположен в 35 км к юго-востоку от центра города. Связан с городом Жуковский Рязанским шоссе и железнодорожной линией Рязанского направления Московской железной дороги (станция Быково). Принимал самолёты типов «Як-42», «Ан-12» и все более лёгкие, а также вертолёты всех типов. Возможен был также приём самолётов «Ил-76», «Ту-154» без загрузки (перегонка в ремонт). Классификационное число ВПП (PCN) 38/F/B/X/T. С 18 октября 2010 года из-за истечения срока действия договора аренды аэродромного комплекса, который в последние годы эксплуатировался ООО "Аэропорт Быково", эксплуатация аэропорта прекращена, он закрыт для приёма воздушных судов гражданской авиации и используется только как посадочная площадка для вертолётов МВД РФ. До октября 2011 года в Быково базировались авиатакси Dexter (затем были перебазированы в аэропорт Раменское). В апреле 2011 начат демонтаж (снос) аэровокзального комплекса. В июне 2011 года Быково исключён из Государственного реестра гражданских аэродромов Российской Федерации (14769).</w:t>
      </w:r>
    </w:p>
    <w:p w14:paraId="0BBA033C" w14:textId="77777777" w:rsidR="00B2303C" w:rsidRPr="00C33834" w:rsidRDefault="00B2303C" w:rsidP="00C33834">
      <w:pPr>
        <w:spacing w:after="0" w:line="240" w:lineRule="auto"/>
        <w:jc w:val="both"/>
        <w:rPr>
          <w:rFonts w:ascii="Times New Roman" w:hAnsi="Times New Roman"/>
          <w:color w:val="000000" w:themeColor="text1"/>
          <w:sz w:val="16"/>
          <w:szCs w:val="16"/>
        </w:rPr>
      </w:pPr>
    </w:p>
    <w:p w14:paraId="7A1ABB62"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6E938D58"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2DA254C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14-15 сентября 1933 года испытания 100-мм зенитной пушки были продолжены. Работа досылателя и полуавтоматики не было отлажена. Противооткатные устройства работали неудовлетворительно, по-прежнему происходил резкий накат. До 20 сентября 1933 года система разбиралась заводом на НИАПе с целью исправления затвора, полуавтоматики и накатника. Кроме того, на системы поставили прицел от 3К. Затем заводские испытания были продолжены (3861).</w:t>
      </w:r>
    </w:p>
    <w:p w14:paraId="479BB1E8"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27FF01AD" w14:textId="77777777" w:rsidR="002E1DEE" w:rsidRPr="00C33834" w:rsidRDefault="002E1DE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14 сентября 1933 опросом членов ПБ</w:t>
      </w:r>
    </w:p>
    <w:p w14:paraId="7CF01931" w14:textId="77777777" w:rsidR="002E1DEE" w:rsidRPr="00C33834" w:rsidRDefault="002E1DE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164/148.- Об импорте для автозавода им,Сталина</w:t>
      </w:r>
    </w:p>
    <w:p w14:paraId="22037AB8" w14:textId="77777777" w:rsidR="002E1DEE" w:rsidRPr="00C33834" w:rsidRDefault="002E1DE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Разрешить НКТП закупить 9 легковых машин для проектных работ завода им.Сталина за счет выделен</w:t>
      </w:r>
      <w:r w:rsidRPr="00C33834">
        <w:rPr>
          <w:rFonts w:ascii="Times New Roman" w:hAnsi="Times New Roman"/>
          <w:color w:val="0070C0"/>
          <w:sz w:val="16"/>
          <w:szCs w:val="16"/>
        </w:rPr>
        <w:softHyphen/>
        <w:t>ного последнему контингента 3 млн.рублей.</w:t>
      </w:r>
    </w:p>
    <w:p w14:paraId="7A879984" w14:textId="77777777" w:rsidR="002E1DEE" w:rsidRPr="00C33834" w:rsidRDefault="002E1DE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Пятакову, Элиаве</w:t>
      </w:r>
    </w:p>
    <w:p w14:paraId="3F195164" w14:textId="77777777" w:rsidR="002E1DEE" w:rsidRPr="00C33834" w:rsidRDefault="002E1DE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сентября 1933 состоялось заседание ПБ и был оформлен протокол № 145 (29995).</w:t>
      </w:r>
    </w:p>
    <w:p w14:paraId="49544DA8" w14:textId="77777777" w:rsidR="002E1DEE" w:rsidRPr="00C33834" w:rsidRDefault="002E1DEE" w:rsidP="00C33834">
      <w:pPr>
        <w:shd w:val="clear" w:color="auto" w:fill="FFFFFF"/>
        <w:spacing w:after="0" w:line="240" w:lineRule="auto"/>
        <w:jc w:val="both"/>
        <w:rPr>
          <w:rFonts w:ascii="Times New Roman" w:hAnsi="Times New Roman"/>
          <w:color w:val="0070C0"/>
          <w:sz w:val="16"/>
          <w:szCs w:val="16"/>
        </w:rPr>
      </w:pPr>
    </w:p>
    <w:p w14:paraId="3B04FA08" w14:textId="77777777" w:rsidR="001E6614" w:rsidRPr="00C33834" w:rsidRDefault="001E6614"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bCs/>
          <w:color w:val="000000" w:themeColor="text1"/>
          <w:sz w:val="16"/>
          <w:szCs w:val="16"/>
          <w:lang w:eastAsia="ru-RU"/>
        </w:rPr>
        <w:t xml:space="preserve">14 сентября 1933 г. Сталин, Ворошилов писали Молотову, Кагановичу, Куйбышеву </w:t>
      </w:r>
    </w:p>
    <w:p w14:paraId="48F8DC33" w14:textId="77777777" w:rsidR="001E6614" w:rsidRPr="00C33834" w:rsidRDefault="001E6614"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Молотову, Кагановичу, Куйбышеву.</w:t>
      </w:r>
    </w:p>
    <w:p w14:paraId="0E245B76" w14:textId="77777777" w:rsidR="001E6614" w:rsidRPr="00C33834" w:rsidRDefault="001E6614"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По достоверным данным выполнение плана по строительству торпедного завода в Махачкале идет из рук вон плохо. Нарушены все сроки, дезорганизация работ полная. Нам грозит опасность остаться £ез торпед, — будут подлодки, не будет торпед, флот будет разоружен. Предлагаем вызвать в комиссию организаторов строительства и принять драконовские меры для создания перелома, для окончания завода в срок.</w:t>
      </w:r>
    </w:p>
    <w:p w14:paraId="23D5638F" w14:textId="77777777" w:rsidR="001E6614" w:rsidRPr="00C33834" w:rsidRDefault="001E6614"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Сталин. Ворошилов.</w:t>
      </w:r>
    </w:p>
    <w:p w14:paraId="4C592670" w14:textId="77777777" w:rsidR="001E6614" w:rsidRPr="00C33834" w:rsidRDefault="001E6614"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№33</w:t>
      </w:r>
    </w:p>
    <w:p w14:paraId="13246717" w14:textId="77777777" w:rsidR="001E6614" w:rsidRPr="00C33834" w:rsidRDefault="001E6614"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14/IX-33 г.2</w:t>
      </w:r>
    </w:p>
    <w:p w14:paraId="76938D02" w14:textId="77777777" w:rsidR="001E6614" w:rsidRPr="00C33834" w:rsidRDefault="001E6614"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 xml:space="preserve">Ф. 558. On. 11. Д. 80. Л. 134. Текст </w:t>
      </w:r>
      <w:r w:rsidRPr="00C33834">
        <w:rPr>
          <w:rFonts w:ascii="Times New Roman" w:eastAsia="Times New Roman" w:hAnsi="Times New Roman"/>
          <w:color w:val="000000" w:themeColor="text1"/>
          <w:sz w:val="16"/>
          <w:szCs w:val="16"/>
          <w:lang w:eastAsia="ru-RU"/>
        </w:rPr>
        <w:t xml:space="preserve">— </w:t>
      </w:r>
      <w:r w:rsidRPr="00C33834">
        <w:rPr>
          <w:rFonts w:ascii="Times New Roman" w:eastAsia="Times New Roman" w:hAnsi="Times New Roman"/>
          <w:iCs/>
          <w:color w:val="000000" w:themeColor="text1"/>
          <w:sz w:val="16"/>
          <w:szCs w:val="16"/>
          <w:lang w:eastAsia="ru-RU"/>
        </w:rPr>
        <w:t>автограф Сталина, подписи — автографы (17282).</w:t>
      </w:r>
    </w:p>
    <w:p w14:paraId="159573A6" w14:textId="77777777" w:rsidR="001E6614" w:rsidRPr="00C33834" w:rsidRDefault="001E6614" w:rsidP="00C33834">
      <w:pPr>
        <w:spacing w:after="0" w:line="240" w:lineRule="auto"/>
        <w:jc w:val="both"/>
        <w:rPr>
          <w:rFonts w:ascii="Times New Roman" w:hAnsi="Times New Roman"/>
          <w:color w:val="000000" w:themeColor="text1"/>
          <w:sz w:val="16"/>
          <w:szCs w:val="16"/>
        </w:rPr>
      </w:pPr>
    </w:p>
    <w:p w14:paraId="21826CC4"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23935D4B"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676EC1AA"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Style w:val="ucoz-forum-post"/>
          <w:rFonts w:ascii="Times New Roman" w:eastAsiaTheme="majorEastAsia" w:hAnsi="Times New Roman"/>
          <w:bCs/>
          <w:color w:val="000000" w:themeColor="text1"/>
          <w:sz w:val="16"/>
          <w:szCs w:val="16"/>
        </w:rPr>
        <w:t>14 сентября 1933 года</w:t>
      </w:r>
      <w:r w:rsidRPr="00C33834">
        <w:rPr>
          <w:rStyle w:val="ucoz-forum-post"/>
          <w:rFonts w:ascii="Times New Roman" w:eastAsiaTheme="majorEastAsia" w:hAnsi="Times New Roman"/>
          <w:color w:val="000000" w:themeColor="text1"/>
          <w:sz w:val="16"/>
          <w:szCs w:val="16"/>
        </w:rPr>
        <w:t xml:space="preserve"> Впервые поднялся в воздух американский транспортный самолет Боинг-247А. Самолет, носивший обозначение Модель-247, служил летающей лабораторией для испытания двигателей SGR-1535 "Твин Уосп Юниор" (двухрядных, 14-цилиндровых) мощностью 625 л. с. и одновременно использовался фирмой как служебный, а потому имел "салонный" интерьер. Самолет был целиком покрашен в серебристый цвет и имел широкие кольца Тауненда (стандартные были узкими), а на носу - надпись "UNITED AIRCRAFT &amp; TRANSPORT CORPORATION EXECUTIVE PLANE". Вот так, служебный самолет, и никаких гвоздей! </w:t>
      </w:r>
    </w:p>
    <w:p w14:paraId="1F08722C" w14:textId="77777777" w:rsidR="00B2303C" w:rsidRPr="00C33834" w:rsidRDefault="00B2303C" w:rsidP="00C33834">
      <w:pPr>
        <w:spacing w:after="0" w:line="240" w:lineRule="auto"/>
        <w:jc w:val="both"/>
        <w:rPr>
          <w:rFonts w:ascii="Times New Roman" w:eastAsiaTheme="minorHAnsi" w:hAnsi="Times New Roman"/>
          <w:color w:val="000000" w:themeColor="text1"/>
          <w:sz w:val="16"/>
          <w:szCs w:val="16"/>
        </w:rPr>
      </w:pPr>
    </w:p>
    <w:p w14:paraId="4BD84EB7" w14:textId="77777777" w:rsidR="002E1DEE" w:rsidRPr="00C33834" w:rsidRDefault="002E1DE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14 сентября 1933 состоялся первый полет - Boeing XF7B-1 (20802).</w:t>
      </w:r>
    </w:p>
    <w:p w14:paraId="44509D12" w14:textId="77777777" w:rsidR="002E1DEE" w:rsidRPr="00C33834" w:rsidRDefault="002E1DEE" w:rsidP="00C33834">
      <w:pPr>
        <w:spacing w:after="0" w:line="240" w:lineRule="auto"/>
        <w:jc w:val="both"/>
        <w:rPr>
          <w:rFonts w:ascii="Times New Roman" w:hAnsi="Times New Roman"/>
          <w:color w:val="0070C0"/>
          <w:sz w:val="16"/>
          <w:szCs w:val="16"/>
        </w:rPr>
      </w:pPr>
    </w:p>
    <w:p w14:paraId="63A6862A" w14:textId="77777777" w:rsidR="002E1DEE" w:rsidRPr="00C33834" w:rsidRDefault="002E1DE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14 сентября 1933 - Cовершил первый полёт прототип XF7B-1 американского палубного истребителя Boeing F7B. Boeing Model 273 (F7B) был разработан чуть раньше Model 264 (P-29) и отличался от него рядом деталей, а также наличием оборудования для полётов над морем. Из трёх предложенных вариантов для постройки прототипа был выбран Model 273. Это был первый истребитель-моноплан со свободнонесущим низкорасположенным крылом и убираемым шасси, прошедший оценку специалистов ВМС, первый самолёт компании "Boeing" с винтом изменяемого шага и предкрылками (22364).</w:t>
      </w:r>
    </w:p>
    <w:p w14:paraId="0675F62B" w14:textId="77777777" w:rsidR="002E1DEE" w:rsidRPr="00C33834" w:rsidRDefault="002E1DEE" w:rsidP="00C33834">
      <w:pPr>
        <w:spacing w:after="0" w:line="240" w:lineRule="auto"/>
        <w:jc w:val="both"/>
        <w:rPr>
          <w:rFonts w:ascii="Times New Roman" w:hAnsi="Times New Roman"/>
          <w:color w:val="0070C0"/>
          <w:sz w:val="16"/>
          <w:szCs w:val="16"/>
        </w:rPr>
      </w:pPr>
    </w:p>
    <w:p w14:paraId="2210CC8A" w14:textId="77777777" w:rsidR="00B2303C" w:rsidRPr="00C33834" w:rsidRDefault="00B2303C" w:rsidP="00C33834">
      <w:pPr>
        <w:spacing w:after="0" w:line="240" w:lineRule="auto"/>
        <w:jc w:val="both"/>
        <w:rPr>
          <w:rStyle w:val="ucoz-forum-post"/>
          <w:rFonts w:ascii="Times New Roman" w:eastAsiaTheme="majorEastAsia" w:hAnsi="Times New Roman"/>
          <w:color w:val="000000" w:themeColor="text1"/>
          <w:sz w:val="16"/>
          <w:szCs w:val="16"/>
        </w:rPr>
      </w:pPr>
      <w:r w:rsidRPr="00C33834">
        <w:rPr>
          <w:rStyle w:val="ucoz-forum-post"/>
          <w:rFonts w:ascii="Times New Roman" w:eastAsiaTheme="majorEastAsia" w:hAnsi="Times New Roman"/>
          <w:bCs/>
          <w:color w:val="000000" w:themeColor="text1"/>
          <w:sz w:val="16"/>
          <w:szCs w:val="16"/>
        </w:rPr>
        <w:t>14 сентября 1933 года</w:t>
      </w:r>
      <w:r w:rsidRPr="00C33834">
        <w:rPr>
          <w:rStyle w:val="ucoz-forum-post"/>
          <w:rFonts w:ascii="Times New Roman" w:eastAsiaTheme="majorEastAsia" w:hAnsi="Times New Roman"/>
          <w:color w:val="000000" w:themeColor="text1"/>
          <w:sz w:val="16"/>
          <w:szCs w:val="16"/>
        </w:rPr>
        <w:t xml:space="preserve"> Совершил первый полет прототип XF7B-1 американского палубного истребителя Boeing F7B. Boeing Model 273 (F7B) был разработан чуть раньше Model 264 (P-29) и отличался от него рядом деталей, а также наличием оборудования для полетов над морем. Из трех предложенных вариантов для постройки прототипа был выбран Model 273. Это был первый истребитель-моноплан со свободнонесущим низкорасположенным крылом и убираемым шасси, прошедший оценку специалистов ВМС, первый самолет компании "Boeing" с винтом изменяемого шага и предкрылками.</w:t>
      </w:r>
    </w:p>
    <w:p w14:paraId="798399B4" w14:textId="77777777" w:rsidR="00B2303C" w:rsidRPr="00C33834" w:rsidRDefault="00B2303C" w:rsidP="00C33834">
      <w:pPr>
        <w:spacing w:after="0" w:line="240" w:lineRule="auto"/>
        <w:jc w:val="both"/>
        <w:rPr>
          <w:rStyle w:val="ucoz-forum-post"/>
          <w:rFonts w:ascii="Times New Roman" w:eastAsiaTheme="majorEastAsia" w:hAnsi="Times New Roman"/>
          <w:color w:val="000000" w:themeColor="text1"/>
          <w:sz w:val="16"/>
          <w:szCs w:val="16"/>
        </w:rPr>
      </w:pPr>
      <w:r w:rsidRPr="00C33834">
        <w:rPr>
          <w:rStyle w:val="ucoz-forum-post"/>
          <w:rFonts w:ascii="Times New Roman" w:eastAsiaTheme="majorEastAsia" w:hAnsi="Times New Roman"/>
          <w:color w:val="000000" w:themeColor="text1"/>
          <w:sz w:val="16"/>
          <w:szCs w:val="16"/>
        </w:rPr>
        <w:t>Фюзеляж представлял собой цельнодюралевый полумонокок. На самолет устанавливался звездообразный двигатель Pratt &amp; Whitney SR-1340-30 Wasp, приводящий во вращение двухлопастный винт изменяемого шага (14769).</w:t>
      </w:r>
    </w:p>
    <w:p w14:paraId="48AC8AD9" w14:textId="77777777" w:rsidR="00B2303C" w:rsidRPr="00C33834" w:rsidRDefault="00B2303C" w:rsidP="00C33834">
      <w:pPr>
        <w:spacing w:after="0" w:line="240" w:lineRule="auto"/>
        <w:jc w:val="both"/>
        <w:rPr>
          <w:rStyle w:val="ucoz-forum-post"/>
          <w:rFonts w:ascii="Times New Roman" w:eastAsiaTheme="majorEastAsia" w:hAnsi="Times New Roman"/>
          <w:color w:val="000000" w:themeColor="text1"/>
          <w:sz w:val="16"/>
          <w:szCs w:val="16"/>
        </w:rPr>
      </w:pPr>
    </w:p>
    <w:p w14:paraId="1E57756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сентября 1933 Греция и Турция подписали пакт о ненападении сроком на 10 лет (3481).</w:t>
      </w:r>
    </w:p>
    <w:p w14:paraId="1C40EB8F"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01998453"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976208B"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43CB5DC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сентября 1933 при полетах и пробе на земле были вновь обнаружены недочеты по подъему шасси И-14 БМ (2287,131).</w:t>
      </w:r>
    </w:p>
    <w:p w14:paraId="6BD93BE2"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07DB4DD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сентября 1933 г. Протокол ПБ № 145 п.123/107: 0 полетах ответработников на аэропланах. Решено: а) Запретить под страхом исключения из партии полеты на аэропланах, без специального решения ЦК в каждом отдельном случае, ответственным работникам следующих категорий: Члены ЦК и кандидаты в ЦК; Члены Центральной Ревизионной Комиссии; Члены ЦКК; Члены президиумов ЦИК Союза и РСФСР; Члены президиума ВЦСПС; Ответственные секретари крайкомов, обкомов и ЦК нацкомпартий Председатели краевых, областных исполкомов и СНК союзных республик; Наркомы и их заместители по СССР и РСФСР; Начальники Главных управлений союзных наркоматов. б) Исключать нарушивших настоящее постановление из партии, невзирая на лица. в) Поручить Куйбышеву, Тухачевскому и Березину разработать обязательные правила вылета самолетов с аэродромов с предоставлением начальникам аэропортов и аэродромов права запрещать вылеты при неблагоприятных климатических условиях (15911).</w:t>
      </w:r>
    </w:p>
    <w:p w14:paraId="03459A42" w14:textId="77777777" w:rsidR="00B2303C" w:rsidRPr="00C33834" w:rsidRDefault="00B2303C" w:rsidP="00C33834">
      <w:pPr>
        <w:spacing w:after="0" w:line="240" w:lineRule="auto"/>
        <w:jc w:val="both"/>
        <w:rPr>
          <w:rFonts w:ascii="Times New Roman" w:hAnsi="Times New Roman"/>
          <w:color w:val="000000" w:themeColor="text1"/>
          <w:sz w:val="16"/>
          <w:szCs w:val="16"/>
        </w:rPr>
      </w:pPr>
    </w:p>
    <w:p w14:paraId="203B7A18" w14:textId="77777777" w:rsidR="009803CB" w:rsidRPr="00C33834" w:rsidRDefault="009803C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сентября 1933 года</w:t>
      </w:r>
    </w:p>
    <w:p w14:paraId="24C7B354" w14:textId="77777777" w:rsidR="009803CB" w:rsidRPr="00C33834" w:rsidRDefault="009803C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Протокол № 145 заседания Политбюро ЦК ВКП(б) от 15 сентября 1933 года</w:t>
      </w:r>
    </w:p>
    <w:p w14:paraId="1C37685F" w14:textId="77777777" w:rsidR="009803CB" w:rsidRPr="00C33834" w:rsidRDefault="009803C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Заседание Политбюро ЦК ВКП(б) от 15</w:t>
      </w:r>
      <w:r w:rsidRPr="00C33834">
        <w:rPr>
          <w:rFonts w:ascii="Times New Roman" w:hAnsi="Times New Roman"/>
          <w:color w:val="000000" w:themeColor="text1"/>
          <w:sz w:val="16"/>
          <w:szCs w:val="16"/>
        </w:rPr>
        <w:noBreakHyphen/>
        <w:t>го сентября 1933 года.</w:t>
      </w:r>
    </w:p>
    <w:p w14:paraId="14ABC999" w14:textId="77777777" w:rsidR="009803CB" w:rsidRPr="00C33834" w:rsidRDefault="009803C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13: О начальнике Главного Управления авиапромышленности</w:t>
      </w:r>
    </w:p>
    <w:p w14:paraId="1D61B831" w14:textId="77777777" w:rsidR="009803CB" w:rsidRPr="00C33834" w:rsidRDefault="009803C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а) Назначить начальником Главного Управления авиапромышленности т. Королева с освобождением его от должности директора Рыбинского завода.</w:t>
      </w:r>
    </w:p>
    <w:p w14:paraId="48E3FFD3" w14:textId="77777777" w:rsidR="009803CB" w:rsidRPr="00C33834" w:rsidRDefault="009803C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Директором Рыбинского завода назначить т. Побережского.</w:t>
      </w:r>
    </w:p>
    <w:p w14:paraId="6DDA1B30" w14:textId="77777777" w:rsidR="009803CB" w:rsidRPr="00C33834" w:rsidRDefault="009803C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14: О гибели самолета АНТ-7</w:t>
      </w:r>
    </w:p>
    <w:p w14:paraId="635202F6" w14:textId="77777777" w:rsidR="009803CB" w:rsidRPr="00C33834" w:rsidRDefault="009803C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(Прокофьев, Ежов).</w:t>
      </w:r>
    </w:p>
    <w:p w14:paraId="5C488164" w14:textId="77777777" w:rsidR="009803CB" w:rsidRPr="00C33834" w:rsidRDefault="009803C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Окончательное редактирование постановления ЦК и сообщения для печати поручить т.т. Кагановичу и Куйбышеву совместно с комиссией.</w:t>
      </w:r>
    </w:p>
    <w:p w14:paraId="6498B3FD" w14:textId="77777777" w:rsidR="009803CB" w:rsidRPr="00C33834" w:rsidRDefault="009803C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15: О военной цензуре</w:t>
      </w:r>
    </w:p>
    <w:p w14:paraId="513DE8DF" w14:textId="77777777" w:rsidR="009803CB" w:rsidRPr="00C33834" w:rsidRDefault="009803C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(Стецкий).</w:t>
      </w:r>
    </w:p>
    <w:p w14:paraId="4F1B856F" w14:textId="77777777" w:rsidR="009803CB" w:rsidRPr="00C33834" w:rsidRDefault="009803C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с поправками внесенный т. Стецким проект постановления о военной цензуре (</w:t>
      </w:r>
      <w:hyperlink r:id="rId320" w:history="1">
        <w:r w:rsidRPr="00C33834">
          <w:rPr>
            <w:rFonts w:ascii="Times New Roman" w:hAnsi="Times New Roman"/>
            <w:color w:val="000000" w:themeColor="text1"/>
            <w:sz w:val="16"/>
            <w:szCs w:val="16"/>
          </w:rPr>
          <w:t>см. приложение № 6</w:t>
        </w:r>
      </w:hyperlink>
      <w:r w:rsidRPr="00C33834">
        <w:rPr>
          <w:rFonts w:ascii="Times New Roman" w:hAnsi="Times New Roman"/>
          <w:color w:val="000000" w:themeColor="text1"/>
          <w:sz w:val="16"/>
          <w:szCs w:val="16"/>
        </w:rPr>
        <w:t>).</w:t>
      </w:r>
    </w:p>
    <w:p w14:paraId="6DDAC5AB" w14:textId="77777777" w:rsidR="009803CB" w:rsidRPr="00C33834" w:rsidRDefault="009803C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123/107: О полетах ответработников на аэропланах</w:t>
      </w:r>
    </w:p>
    <w:p w14:paraId="7CDE22DC" w14:textId="77777777" w:rsidR="009803CB" w:rsidRPr="00C33834" w:rsidRDefault="009803C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Запретить под страхом исключения из партии полеты на аэропланах, без специального решения ЦК в каждом отдельном случае, ответственным работникам следующих категорий:</w:t>
      </w:r>
    </w:p>
    <w:p w14:paraId="70EC47EE" w14:textId="77777777" w:rsidR="009803CB" w:rsidRPr="00C33834" w:rsidRDefault="009803C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Члены ЦК и кандидаты в ЦК.</w:t>
      </w:r>
    </w:p>
    <w:p w14:paraId="339078F6" w14:textId="77777777" w:rsidR="009803CB" w:rsidRPr="00C33834" w:rsidRDefault="009803C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Члены Центральной Ревизионной Комиссии.</w:t>
      </w:r>
    </w:p>
    <w:p w14:paraId="487D46D0" w14:textId="77777777" w:rsidR="009803CB" w:rsidRPr="00C33834" w:rsidRDefault="009803C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Члены ЦКК.</w:t>
      </w:r>
    </w:p>
    <w:p w14:paraId="0912846A" w14:textId="77777777" w:rsidR="009803CB" w:rsidRPr="00C33834" w:rsidRDefault="009803C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Члены президиумов ЦИК Союза и РСФСР.</w:t>
      </w:r>
    </w:p>
    <w:p w14:paraId="266E8ABC" w14:textId="77777777" w:rsidR="009803CB" w:rsidRPr="00C33834" w:rsidRDefault="009803C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Члены президиума ВЦСПС.</w:t>
      </w:r>
    </w:p>
    <w:p w14:paraId="79CD18EC" w14:textId="77777777" w:rsidR="009803CB" w:rsidRPr="00C33834" w:rsidRDefault="009803C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Ответственные секретари крайкомов, обкомов и ЦК нацкомпартий.</w:t>
      </w:r>
    </w:p>
    <w:p w14:paraId="4C4212A4" w14:textId="77777777" w:rsidR="009803CB" w:rsidRPr="00C33834" w:rsidRDefault="009803C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Председатели краевых, областных исполкомов и СНК союзных республик.</w:t>
      </w:r>
    </w:p>
    <w:p w14:paraId="1DD1EFA1" w14:textId="77777777" w:rsidR="009803CB" w:rsidRPr="00C33834" w:rsidRDefault="009803C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Наркомы и их заместители по СССР и РСФСР.</w:t>
      </w:r>
    </w:p>
    <w:p w14:paraId="19E2A2FF" w14:textId="77777777" w:rsidR="009803CB" w:rsidRPr="00C33834" w:rsidRDefault="009803C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Главных управлений союзных наркоматов.</w:t>
      </w:r>
    </w:p>
    <w:p w14:paraId="2693CA42" w14:textId="77777777" w:rsidR="009803CB" w:rsidRPr="00C33834" w:rsidRDefault="009803C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Нарушившие настоящее постановление исключаются из партии, не взирая на лица.</w:t>
      </w:r>
    </w:p>
    <w:p w14:paraId="0EC3139B" w14:textId="77777777" w:rsidR="009803CB" w:rsidRPr="00C33834" w:rsidRDefault="009803C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Поручить т.т. Куйбышеву, Тухачевскому и Березину разработать обязательные правила вылета самолетов с аэродромов, которые предоставляли бы право начальникам аэропортов и аэродромов запрещать вылеты при неблагоприятных климатических условиях (18072).</w:t>
      </w:r>
    </w:p>
    <w:p w14:paraId="6CD3DBAD" w14:textId="77777777" w:rsidR="009803CB" w:rsidRPr="00C33834" w:rsidRDefault="009803CB" w:rsidP="00C33834">
      <w:pPr>
        <w:spacing w:after="0" w:line="240" w:lineRule="auto"/>
        <w:jc w:val="both"/>
        <w:rPr>
          <w:rFonts w:ascii="Times New Roman" w:hAnsi="Times New Roman"/>
          <w:color w:val="000000" w:themeColor="text1"/>
          <w:sz w:val="16"/>
          <w:szCs w:val="16"/>
        </w:rPr>
      </w:pPr>
    </w:p>
    <w:p w14:paraId="169F68C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сентября 1933 в Москву на Девуатин-332 прибыл французский министр авиации Пьер Кот + специалисты на Вибо и Блох. 21 сентября полетели обратно (438,655).</w:t>
      </w:r>
    </w:p>
    <w:p w14:paraId="7C8411C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Ему демонстрировали и АИР-6 и АИР 7 (1771,7).</w:t>
      </w:r>
    </w:p>
    <w:p w14:paraId="71AAFDE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ЦА устроили выставку самолетов и построили эскадрилью им. МГ во главе с АНТ-14 и Сталью Путилова. Правее стояли АИР-6 и АИР-7 и французская машина. Нач. ГУАП Г.Н.Королев, сменивший П.И.Б. и посетивший выставку, подошел к АИР-6 и (со слов самого А.С.Я. и ж А.Гарри) сказал: Сразу видно заграничную работу. Вот Это - культура. Посмотрите на окраску, на изящество, на вкус. да, не скоро мы научимся так строить самолеты. Что за машина? Какой фирмы?" (3550,9).</w:t>
      </w:r>
    </w:p>
    <w:p w14:paraId="47DC1FAD"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5C1BF7EA" w14:textId="77777777" w:rsidR="002E1DEE" w:rsidRPr="00C33834" w:rsidRDefault="002E1DE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сентября 1933 состоялось заседание ПБ и был оформлен протокол № 145</w:t>
      </w:r>
    </w:p>
    <w:p w14:paraId="3802B4B9" w14:textId="77777777" w:rsidR="002E1DEE" w:rsidRPr="00C33834" w:rsidRDefault="002E1DE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сентября 1933 опросом членов ПБ</w:t>
      </w:r>
    </w:p>
    <w:p w14:paraId="5ADBDDCB" w14:textId="77777777" w:rsidR="002E1DEE" w:rsidRPr="00C33834" w:rsidRDefault="002E1DE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54/37.- О полете французов в СССР.</w:t>
      </w:r>
    </w:p>
    <w:p w14:paraId="3FD8A49D" w14:textId="77777777" w:rsidR="002E1DEE" w:rsidRPr="00C33834" w:rsidRDefault="002E1DE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Не возражать против участия в перелете министра авиации Кота и официальной военной миссии.</w:t>
      </w:r>
    </w:p>
    <w:p w14:paraId="752FFC24" w14:textId="77777777" w:rsidR="002E1DEE" w:rsidRPr="00C33834" w:rsidRDefault="002E1DE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Выписка разослана: т.т. Тухачевскому, Литвинову, Артузову.</w:t>
      </w:r>
    </w:p>
    <w:p w14:paraId="4CE8DA80" w14:textId="77777777" w:rsidR="002E1DEE" w:rsidRPr="00C33834" w:rsidRDefault="002E1DE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13 сентября 1933 опросом членов ПБ</w:t>
      </w:r>
    </w:p>
    <w:p w14:paraId="1C135038" w14:textId="77777777" w:rsidR="002E1DEE" w:rsidRPr="00C33834" w:rsidRDefault="002E1DE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125/109,- О гелии</w:t>
      </w:r>
    </w:p>
    <w:p w14:paraId="2BF94784" w14:textId="77777777" w:rsidR="002E1DEE" w:rsidRPr="00C33834" w:rsidRDefault="002E1DE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Возложить ответственность за организацию работ по улавливанию гелия в скважине 108 (Артемовск) на т.Ратайчака.</w:t>
      </w:r>
    </w:p>
    <w:p w14:paraId="15395E42" w14:textId="77777777" w:rsidR="002E1DEE" w:rsidRPr="00C33834" w:rsidRDefault="002E1DE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Обязать т.Ратайчака периодически информировать о работах по улавливанию гелия т. Куйбышева.</w:t>
      </w:r>
    </w:p>
    <w:p w14:paraId="54E1D282" w14:textId="77777777" w:rsidR="002E1DEE" w:rsidRPr="00C33834" w:rsidRDefault="002E1DE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разосланы: Куйбышеву, Ратайчаку, Саркису(шифром).</w:t>
      </w:r>
    </w:p>
    <w:p w14:paraId="76559878" w14:textId="77777777" w:rsidR="002E1DEE" w:rsidRPr="00C33834" w:rsidRDefault="002E1DE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14 сентября 1933 опросом членов ПБ</w:t>
      </w:r>
    </w:p>
    <w:p w14:paraId="4CC72C3A" w14:textId="77777777" w:rsidR="002E1DEE" w:rsidRPr="00C33834" w:rsidRDefault="002E1DE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164/148.- Об импорте для автозавода им,Сталина</w:t>
      </w:r>
    </w:p>
    <w:p w14:paraId="0FF897FF" w14:textId="77777777" w:rsidR="002E1DEE" w:rsidRPr="00C33834" w:rsidRDefault="002E1DE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Разрешить НКТП закупить 9 легковых машин для проектных работ завода им.Сталина за счет выделен</w:t>
      </w:r>
      <w:r w:rsidRPr="00C33834">
        <w:rPr>
          <w:rFonts w:ascii="Times New Roman" w:hAnsi="Times New Roman"/>
          <w:color w:val="0070C0"/>
          <w:sz w:val="16"/>
          <w:szCs w:val="16"/>
        </w:rPr>
        <w:softHyphen/>
        <w:t>ного последнему контингента 3 млн.рублей.</w:t>
      </w:r>
    </w:p>
    <w:p w14:paraId="4EEBCCD4" w14:textId="77777777" w:rsidR="002E1DEE" w:rsidRPr="00C33834" w:rsidRDefault="002E1DE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Пятакову, Элиаве (22995).</w:t>
      </w:r>
    </w:p>
    <w:p w14:paraId="471DCDE3" w14:textId="77777777" w:rsidR="002E1DEE" w:rsidRPr="00C33834" w:rsidRDefault="002E1DEE" w:rsidP="00C33834">
      <w:pPr>
        <w:spacing w:after="0" w:line="240" w:lineRule="auto"/>
        <w:jc w:val="both"/>
        <w:rPr>
          <w:rFonts w:ascii="Times New Roman" w:hAnsi="Times New Roman"/>
          <w:color w:val="0070C0"/>
          <w:sz w:val="16"/>
          <w:szCs w:val="16"/>
        </w:rPr>
      </w:pPr>
    </w:p>
    <w:p w14:paraId="62B7FAB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сентября 1933 С.Н.Анохин установил всесоюзный рекорд продолжительности полёта на одноместном планере -15 ч. 47 мин. (5996).</w:t>
      </w:r>
    </w:p>
    <w:p w14:paraId="47199079"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7FF58D60" w14:textId="77777777" w:rsidR="002E1DEE" w:rsidRPr="00C33834" w:rsidRDefault="002E1DE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сентября 1933 стратостат «Осоавиахим-1» («ОАХ-1») доставили в Москву. Старт его наметили на 30 сентября 1933 г., в один день с «СССР-1», но засвежевший ветер помешал полёту. Только в конце января 1934 г. условия погоды улучшились, и было решено провести исследования стратосферы в зимних условиях. 28 января стратостат перевезли в Кунцево, и в те</w:t>
      </w:r>
      <w:r w:rsidRPr="00C33834">
        <w:rPr>
          <w:rFonts w:ascii="Times New Roman" w:hAnsi="Times New Roman"/>
          <w:color w:val="0070C0"/>
          <w:sz w:val="16"/>
          <w:szCs w:val="16"/>
        </w:rPr>
        <w:softHyphen/>
        <w:t>чение ночи с 29 на 30 января оболочку на V7 на</w:t>
      </w:r>
      <w:r w:rsidRPr="00C33834">
        <w:rPr>
          <w:rFonts w:ascii="Times New Roman" w:hAnsi="Times New Roman"/>
          <w:color w:val="0070C0"/>
          <w:sz w:val="16"/>
          <w:szCs w:val="16"/>
        </w:rPr>
        <w:softHyphen/>
        <w:t>полнили газом (20120).</w:t>
      </w:r>
    </w:p>
    <w:p w14:paraId="0A3DA838" w14:textId="77777777" w:rsidR="002E1DEE" w:rsidRPr="00C33834" w:rsidRDefault="002E1DEE" w:rsidP="00C33834">
      <w:pPr>
        <w:spacing w:after="0" w:line="240" w:lineRule="auto"/>
        <w:jc w:val="both"/>
        <w:rPr>
          <w:rFonts w:ascii="Times New Roman" w:hAnsi="Times New Roman"/>
          <w:color w:val="0070C0"/>
          <w:sz w:val="16"/>
          <w:szCs w:val="16"/>
        </w:rPr>
      </w:pPr>
    </w:p>
    <w:p w14:paraId="3AC85DEE" w14:textId="77777777" w:rsidR="00B2303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3C8437C" w14:textId="77777777" w:rsidR="00B2303C" w:rsidRPr="00C33834" w:rsidRDefault="00B2303C" w:rsidP="00C33834">
      <w:pPr>
        <w:spacing w:after="0" w:line="240" w:lineRule="auto"/>
        <w:jc w:val="both"/>
        <w:rPr>
          <w:rFonts w:ascii="Times New Roman" w:hAnsi="Times New Roman"/>
          <w:iCs/>
          <w:color w:val="000000" w:themeColor="text1"/>
          <w:sz w:val="16"/>
          <w:szCs w:val="16"/>
        </w:rPr>
      </w:pPr>
    </w:p>
    <w:p w14:paraId="24D1C597" w14:textId="77777777" w:rsidR="00B2303C" w:rsidRPr="00C33834" w:rsidRDefault="00B2303C" w:rsidP="00C33834">
      <w:pPr>
        <w:pStyle w:val="rtejustify"/>
        <w:spacing w:before="0" w:after="0"/>
        <w:rPr>
          <w:color w:val="000000" w:themeColor="text1"/>
          <w:sz w:val="16"/>
          <w:szCs w:val="16"/>
        </w:rPr>
      </w:pPr>
      <w:r w:rsidRPr="00C33834">
        <w:rPr>
          <w:rStyle w:val="af0"/>
          <w:bCs/>
          <w:i w:val="0"/>
          <w:color w:val="000000" w:themeColor="text1"/>
          <w:sz w:val="16"/>
          <w:szCs w:val="16"/>
        </w:rPr>
        <w:t>15 сентября</w:t>
      </w:r>
      <w:r w:rsidRPr="00C33834">
        <w:rPr>
          <w:color w:val="000000" w:themeColor="text1"/>
          <w:sz w:val="16"/>
          <w:szCs w:val="16"/>
        </w:rPr>
        <w:t xml:space="preserve"> 1933. Протокол заседания Политбюро ЦК ВКП (б) № 145. </w:t>
      </w:r>
      <w:hyperlink r:id="rId321" w:anchor="showunit&amp;id=87636" w:history="1">
        <w:r w:rsidRPr="00C33834">
          <w:rPr>
            <w:rStyle w:val="a5"/>
            <w:color w:val="000000" w:themeColor="text1"/>
            <w:sz w:val="16"/>
            <w:szCs w:val="16"/>
          </w:rPr>
          <w:t>3. Об обеспечении рудой и флюсами металлургических заводов Юга</w:t>
        </w:r>
      </w:hyperlink>
      <w:r w:rsidRPr="00C33834">
        <w:rPr>
          <w:color w:val="000000" w:themeColor="text1"/>
          <w:sz w:val="16"/>
          <w:szCs w:val="16"/>
        </w:rPr>
        <w:t xml:space="preserve"> (Рудзутак, Пятаков, Андреев, М. Каганович). Решено: а) Командировать Полонского на Екатерининскую железную дорогу со специальным назначением ускорить вывоз руды из Кривого Рога и обеспечения подвоза всего необходимого для нормальной работы металлургических заводов (руда, флюсы, кокс, огнеупоры). б) Поручить Постникову специально следить за своевременной погрузкой руды для других заводов черной металлургии. в) Признать необходимым посылку в Кривой Рог уполномоченного или бригады ЦК для усиления вывоза руды, поручив Кагановичу Л. М. и Куйбышеву наметить кандидатуры. г) Предложить НКТяжпрому (Гуревичу) осуществлять ежедневную проверку исполнения решений о создании запасов руды на металлургических заводах и обеспечения их флюсами, огнеупором, коксом. д) Обязать Гуревича и Постникова каждую декаду сообщать в ЦК в письменной форме сведения об отгрузке и вывозе руды для черной металлургии. е) Предложить НКТПрому разработать ряд практических мер для обеспечения выполнения программы по огнеупорам с последующим сообщением в ЦК. </w:t>
      </w:r>
      <w:hyperlink r:id="rId322" w:anchor="showunit&amp;id=87564" w:history="1">
        <w:r w:rsidRPr="00C33834">
          <w:rPr>
            <w:rStyle w:val="a5"/>
            <w:color w:val="000000" w:themeColor="text1"/>
            <w:sz w:val="16"/>
            <w:szCs w:val="16"/>
          </w:rPr>
          <w:t>13. О начальнике Главного управления авиапромышленности</w:t>
        </w:r>
      </w:hyperlink>
      <w:r w:rsidRPr="00C33834">
        <w:rPr>
          <w:color w:val="000000" w:themeColor="text1"/>
          <w:sz w:val="16"/>
          <w:szCs w:val="16"/>
        </w:rPr>
        <w:t xml:space="preserve">. Решено: а) Назначить начальником Главного управления авиапромышленности Королева, освободив его от должности директора Рыбинского завода. б) Назначить директором Рыбинского завода Побережского. </w:t>
      </w:r>
      <w:hyperlink r:id="rId323" w:anchor="showunit&amp;id=87575" w:history="1">
        <w:r w:rsidRPr="00C33834">
          <w:rPr>
            <w:rStyle w:val="a5"/>
            <w:color w:val="000000" w:themeColor="text1"/>
            <w:sz w:val="16"/>
            <w:szCs w:val="16"/>
          </w:rPr>
          <w:t>14. О гибели самолета АНТ</w:t>
        </w:r>
        <w:r w:rsidRPr="00C33834">
          <w:rPr>
            <w:rStyle w:val="a5"/>
            <w:color w:val="000000" w:themeColor="text1"/>
            <w:sz w:val="16"/>
            <w:szCs w:val="16"/>
          </w:rPr>
          <w:noBreakHyphen/>
          <w:t>7</w:t>
        </w:r>
      </w:hyperlink>
      <w:r w:rsidRPr="00C33834">
        <w:rPr>
          <w:color w:val="000000" w:themeColor="text1"/>
          <w:sz w:val="16"/>
          <w:szCs w:val="16"/>
        </w:rPr>
        <w:t xml:space="preserve"> (Прокофьев, Ежов). Решено: Поручить Кагановичу и Куйбышеву совместно с комиссией окончательное редактирование постановления ЦК и сообщения для печати. </w:t>
      </w:r>
      <w:hyperlink r:id="rId324" w:anchor="showunit&amp;id=87640" w:history="1">
        <w:r w:rsidRPr="00C33834">
          <w:rPr>
            <w:rStyle w:val="a5"/>
            <w:color w:val="000000" w:themeColor="text1"/>
            <w:sz w:val="16"/>
            <w:szCs w:val="16"/>
          </w:rPr>
          <w:t>33/16. Об автомашинах и тракторах для военно-конных заводов Северного Кавказа</w:t>
        </w:r>
      </w:hyperlink>
      <w:r w:rsidRPr="00C33834">
        <w:rPr>
          <w:color w:val="000000" w:themeColor="text1"/>
          <w:sz w:val="16"/>
          <w:szCs w:val="16"/>
        </w:rPr>
        <w:t xml:space="preserve"> (ПБ от 1 сентября 1933 г.). Решено: Отпустить для военно-конных заводов Северного Кавказа 130 тракторов за счет резервов СНК; 50 автомашин (за счет НКЗема – 30 и НКСовхозов – 20); 45 легковых машин (за счет НКЗема – 20 и НКСовхозов – 25) и 5 автоцистерн – с перенесением отгрузки НКЗему и НКСовхозов на первые дни октября. </w:t>
      </w:r>
      <w:hyperlink r:id="rId325" w:anchor="showunit&amp;id=87689" w:history="1">
        <w:r w:rsidRPr="00C33834">
          <w:rPr>
            <w:rStyle w:val="a5"/>
            <w:color w:val="000000" w:themeColor="text1"/>
            <w:sz w:val="16"/>
            <w:szCs w:val="16"/>
          </w:rPr>
          <w:t>77/61. О гибели АНТ</w:t>
        </w:r>
        <w:r w:rsidRPr="00C33834">
          <w:rPr>
            <w:rStyle w:val="a5"/>
            <w:color w:val="000000" w:themeColor="text1"/>
            <w:sz w:val="16"/>
            <w:szCs w:val="16"/>
          </w:rPr>
          <w:noBreakHyphen/>
          <w:t>7 ЦАГИ</w:t>
        </w:r>
      </w:hyperlink>
      <w:r w:rsidRPr="00C33834">
        <w:rPr>
          <w:color w:val="000000" w:themeColor="text1"/>
          <w:sz w:val="16"/>
          <w:szCs w:val="16"/>
        </w:rPr>
        <w:t xml:space="preserve"> (ПБ от 5 сентября 1933 г.). Решено: а) Назначить комиссию в составе Тухачевского, Прокофьева, Харламова (ЦАГИ) и Ежова для выяснения причин гибели самолета АНТ</w:t>
      </w:r>
      <w:r w:rsidRPr="00C33834">
        <w:rPr>
          <w:color w:val="000000" w:themeColor="text1"/>
          <w:sz w:val="16"/>
          <w:szCs w:val="16"/>
        </w:rPr>
        <w:noBreakHyphen/>
        <w:t xml:space="preserve">7 ЦАГИ. б) Создать комиссию в составе Енукидзе (председатель), Кагановича М., Тухачевского, Акулова и Хрущева для организации похорон погибших. в) Замуровать урны Баранова и Гольцмана на Красной площади. </w:t>
      </w:r>
      <w:hyperlink r:id="rId326" w:anchor="showunit&amp;id=87695" w:history="1">
        <w:r w:rsidRPr="00C33834">
          <w:rPr>
            <w:rStyle w:val="a5"/>
            <w:color w:val="000000" w:themeColor="text1"/>
            <w:sz w:val="16"/>
            <w:szCs w:val="16"/>
          </w:rPr>
          <w:t>82/66. Об отпуске средств Радиевому институту</w:t>
        </w:r>
      </w:hyperlink>
      <w:r w:rsidRPr="00C33834">
        <w:rPr>
          <w:color w:val="000000" w:themeColor="text1"/>
          <w:sz w:val="16"/>
          <w:szCs w:val="16"/>
        </w:rPr>
        <w:t xml:space="preserve"> (ПБ от 5 сентября 1933 г.). Решено: Утвердить постановление СНК СССР об отпуске Радиевому институту 100 тысяч рублей из резервного фонда СНК СССР на работы по расщеплению ядра атома протонным пучком. </w:t>
      </w:r>
      <w:hyperlink r:id="rId327" w:anchor="showunit&amp;id=87532" w:history="1">
        <w:r w:rsidRPr="00C33834">
          <w:rPr>
            <w:rStyle w:val="a5"/>
            <w:color w:val="000000" w:themeColor="text1"/>
            <w:sz w:val="16"/>
            <w:szCs w:val="16"/>
          </w:rPr>
          <w:t>100/84. О строительстве электролампового завода</w:t>
        </w:r>
      </w:hyperlink>
      <w:r w:rsidRPr="00C33834">
        <w:rPr>
          <w:color w:val="000000" w:themeColor="text1"/>
          <w:sz w:val="16"/>
          <w:szCs w:val="16"/>
        </w:rPr>
        <w:t xml:space="preserve"> (ПБ от 25 августа 1932 г., пр. № 113, п. 14), (ПБ от 9 сентября 1933 г.). Решено: Утвердить постановление СТО о строительстве электролампового завода в Рязани. </w:t>
      </w:r>
      <w:hyperlink r:id="rId328" w:anchor="showunit&amp;id=87559" w:history="1">
        <w:r w:rsidRPr="00C33834">
          <w:rPr>
            <w:rStyle w:val="a5"/>
            <w:color w:val="000000" w:themeColor="text1"/>
            <w:sz w:val="16"/>
            <w:szCs w:val="16"/>
          </w:rPr>
          <w:t>125/109. О гелии</w:t>
        </w:r>
      </w:hyperlink>
      <w:r w:rsidRPr="00C33834">
        <w:rPr>
          <w:color w:val="000000" w:themeColor="text1"/>
          <w:sz w:val="16"/>
          <w:szCs w:val="16"/>
        </w:rPr>
        <w:t xml:space="preserve"> (ПБ от 13 сентября 1933 г.). — ОП. Решено: а) Возложить ответственность за организацию работ по улавливанию гелия в скважине 108 (Артемовск) на Ратайчака. б) Обязать Ратайчака периодически информировать Куйбышева о работах по улавливанию гелия. </w:t>
      </w:r>
      <w:hyperlink r:id="rId329" w:anchor="showunit&amp;id=87572" w:history="1">
        <w:r w:rsidRPr="00C33834">
          <w:rPr>
            <w:rStyle w:val="a5"/>
            <w:color w:val="000000" w:themeColor="text1"/>
            <w:sz w:val="16"/>
            <w:szCs w:val="16"/>
          </w:rPr>
          <w:t>137/121. О снабжении металлом судостроения на заводах НКВода (записка Янсона)</w:t>
        </w:r>
      </w:hyperlink>
      <w:r w:rsidRPr="00C33834">
        <w:rPr>
          <w:color w:val="000000" w:themeColor="text1"/>
          <w:sz w:val="16"/>
          <w:szCs w:val="16"/>
        </w:rPr>
        <w:t xml:space="preserve"> (ПБ от 13 сентября 1933 г.). Решено: Передать вопрос на разрешение в СТО. </w:t>
      </w:r>
      <w:hyperlink r:id="rId330" w:anchor="showunit&amp;id=87583" w:history="1">
        <w:r w:rsidRPr="00C33834">
          <w:rPr>
            <w:rStyle w:val="a5"/>
            <w:color w:val="000000" w:themeColor="text1"/>
            <w:sz w:val="16"/>
            <w:szCs w:val="16"/>
          </w:rPr>
          <w:t>147/131. О дополнительном импорте каучука</w:t>
        </w:r>
      </w:hyperlink>
      <w:r w:rsidRPr="00C33834">
        <w:rPr>
          <w:color w:val="000000" w:themeColor="text1"/>
          <w:sz w:val="16"/>
          <w:szCs w:val="16"/>
        </w:rPr>
        <w:t xml:space="preserve"> (ПБ от 13 сентября 1933 г.). Решено: Передать вопрос на рассмотрение в Валютную Комиссию. </w:t>
      </w:r>
      <w:hyperlink r:id="rId331" w:anchor="showunit&amp;id=87602" w:history="1">
        <w:r w:rsidRPr="00C33834">
          <w:rPr>
            <w:rStyle w:val="a5"/>
            <w:color w:val="000000" w:themeColor="text1"/>
            <w:sz w:val="16"/>
            <w:szCs w:val="16"/>
          </w:rPr>
          <w:t>164/148. Об импорте для завода им. Сталина</w:t>
        </w:r>
      </w:hyperlink>
      <w:r w:rsidRPr="00C33834">
        <w:rPr>
          <w:color w:val="000000" w:themeColor="text1"/>
          <w:sz w:val="16"/>
          <w:szCs w:val="16"/>
        </w:rPr>
        <w:t xml:space="preserve"> (ПБ от 14 сентября 1933 г.). — ОП. Решено: Разрешить НКТП закупить 9 легковых машин для проектных работ завода имени Сталина за счет выделенного последнему контингента 3 миллиона рублей (15462).</w:t>
      </w:r>
    </w:p>
    <w:p w14:paraId="1E95E7A8" w14:textId="77777777" w:rsidR="002226C2" w:rsidRPr="00C33834" w:rsidRDefault="002226C2" w:rsidP="00C33834">
      <w:pPr>
        <w:spacing w:after="0" w:line="240" w:lineRule="auto"/>
        <w:jc w:val="both"/>
        <w:rPr>
          <w:rFonts w:ascii="Times New Roman" w:eastAsia="Times New Roman" w:hAnsi="Times New Roman"/>
          <w:color w:val="000000" w:themeColor="text1"/>
          <w:sz w:val="16"/>
          <w:szCs w:val="16"/>
          <w:lang w:eastAsia="ru-RU"/>
        </w:rPr>
      </w:pPr>
    </w:p>
    <w:p w14:paraId="77E4DB8A" w14:textId="77777777" w:rsidR="002226C2" w:rsidRPr="00C33834" w:rsidRDefault="002226C2" w:rsidP="00C33834">
      <w:pPr>
        <w:spacing w:after="0" w:line="240" w:lineRule="auto"/>
        <w:jc w:val="both"/>
        <w:rPr>
          <w:rFonts w:ascii="Times New Roman" w:hAnsi="Times New Roman"/>
          <w:i/>
          <w:iCs/>
          <w:color w:val="000000" w:themeColor="text1"/>
          <w:sz w:val="16"/>
          <w:szCs w:val="16"/>
        </w:rPr>
      </w:pPr>
      <w:r w:rsidRPr="00C33834">
        <w:rPr>
          <w:rFonts w:ascii="Times New Roman" w:eastAsia="Times New Roman" w:hAnsi="Times New Roman"/>
          <w:i/>
          <w:color w:val="000000" w:themeColor="text1"/>
          <w:sz w:val="16"/>
          <w:szCs w:val="16"/>
          <w:lang w:eastAsia="ru-RU"/>
        </w:rPr>
        <w:t>Армия</w:t>
      </w:r>
      <w:r w:rsidRPr="00C33834">
        <w:rPr>
          <w:rFonts w:ascii="Times New Roman" w:hAnsi="Times New Roman"/>
          <w:i/>
          <w:iCs/>
          <w:color w:val="000000" w:themeColor="text1"/>
          <w:sz w:val="16"/>
          <w:szCs w:val="16"/>
        </w:rPr>
        <w:t>:</w:t>
      </w:r>
    </w:p>
    <w:p w14:paraId="21C7303A" w14:textId="77777777" w:rsidR="002226C2" w:rsidRPr="00C33834" w:rsidRDefault="002226C2" w:rsidP="00C33834">
      <w:pPr>
        <w:spacing w:after="0" w:line="240" w:lineRule="auto"/>
        <w:jc w:val="both"/>
        <w:rPr>
          <w:rFonts w:ascii="Times New Roman" w:hAnsi="Times New Roman"/>
          <w:i/>
          <w:iCs/>
          <w:color w:val="000000" w:themeColor="text1"/>
          <w:sz w:val="16"/>
          <w:szCs w:val="16"/>
        </w:rPr>
      </w:pPr>
    </w:p>
    <w:p w14:paraId="7191D48B" w14:textId="77777777" w:rsidR="002226C2" w:rsidRPr="00C33834" w:rsidRDefault="002226C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сентября 1933</w:t>
      </w:r>
    </w:p>
    <w:p w14:paraId="0293D089" w14:textId="77777777" w:rsidR="002226C2" w:rsidRPr="00C33834" w:rsidRDefault="002226C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w:t>
      </w:r>
    </w:p>
    <w:p w14:paraId="7BB3CAF1" w14:textId="77777777" w:rsidR="002226C2" w:rsidRPr="00C33834" w:rsidRDefault="002226C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http://sovdoc.rusarchives.ru</w:t>
      </w:r>
    </w:p>
    <w:p w14:paraId="3B7D8214" w14:textId="77777777" w:rsidR="002226C2" w:rsidRPr="00C33834" w:rsidRDefault="002226C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Архив: </w:t>
      </w:r>
    </w:p>
    <w:p w14:paraId="58F413DA" w14:textId="77777777" w:rsidR="002226C2" w:rsidRPr="00C33834" w:rsidRDefault="002226C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РГАСПИ. Ф. 17. Оп. 3. Д. 930. Л. 62.</w:t>
      </w:r>
    </w:p>
    <w:p w14:paraId="26AA8330" w14:textId="77777777" w:rsidR="002226C2" w:rsidRPr="00C33834" w:rsidRDefault="002226C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Приложение № 6</w:t>
      </w:r>
    </w:p>
    <w:p w14:paraId="76779EFA" w14:textId="77777777" w:rsidR="002226C2" w:rsidRPr="00C33834" w:rsidRDefault="002226C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 15 пр. ПБ № 145.</w:t>
      </w:r>
    </w:p>
    <w:p w14:paraId="661AD527" w14:textId="77777777" w:rsidR="002226C2" w:rsidRPr="00C33834" w:rsidRDefault="002226C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 усилении охраны военных тайн.</w:t>
      </w:r>
    </w:p>
    <w:p w14:paraId="2E702E95" w14:textId="77777777" w:rsidR="002226C2" w:rsidRPr="00C33834" w:rsidRDefault="002226C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(Утверждено Политбюро ЦК ВКП/б/ 15.IX.1933 г.).</w:t>
      </w:r>
    </w:p>
    <w:p w14:paraId="20B7D5CF" w14:textId="77777777" w:rsidR="002226C2" w:rsidRPr="00C33834" w:rsidRDefault="002226C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 целях усиления военной цензуры в СССР, считать необходимым возложить на тов. Волина обязанности уполномоченного СНК СССР по охране военных тайн в печати.</w:t>
      </w:r>
    </w:p>
    <w:p w14:paraId="47922B35" w14:textId="77777777" w:rsidR="002226C2" w:rsidRPr="00C33834" w:rsidRDefault="002226C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Группу Главлита РСФСР по военной цензуре выделить в самостоятельный отдел при уполномоченном СНК СССР. В союзных республиках создать при национальных Главлитах отделы по военной цензуре, подчиненные уполномоченному СНК СССР.</w:t>
      </w:r>
    </w:p>
    <w:p w14:paraId="4D907542" w14:textId="77777777" w:rsidR="002226C2" w:rsidRPr="00C33834" w:rsidRDefault="002226C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Обязать т. Волина совместно с РВС и ОГПУ в двухдекадный срок издать единую инструкцию по охране военных тайн для всех союзных республик.</w:t>
      </w:r>
    </w:p>
    <w:p w14:paraId="39EF391F" w14:textId="77777777" w:rsidR="002226C2" w:rsidRPr="00C33834" w:rsidRDefault="002226C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Поручить культпропу ЦК и т. Волину совместно с ЦК нацкомпартий, обкомами и крайкомами произвести в месячный срок пересмотр всего персонального состава работников по охране военных тайн во всех республиках и областях, освобождая от работы не отвечающих своему-назначению. Укрепить состав работников по охране государственных тайн выдержанными партийцами и квалифицированными работниками.</w:t>
      </w:r>
    </w:p>
    <w:p w14:paraId="296F336E" w14:textId="77777777" w:rsidR="002226C2" w:rsidRPr="00C33834" w:rsidRDefault="002226C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Весь личный состав отделов по охране военных тайн считать состоящим на действительной военной службе (18069).</w:t>
      </w:r>
    </w:p>
    <w:p w14:paraId="2A14BC48" w14:textId="77777777" w:rsidR="002226C2" w:rsidRPr="00C33834" w:rsidRDefault="002226C2" w:rsidP="00C33834">
      <w:pPr>
        <w:spacing w:after="0" w:line="240" w:lineRule="auto"/>
        <w:jc w:val="both"/>
        <w:rPr>
          <w:rFonts w:ascii="Times New Roman" w:hAnsi="Times New Roman"/>
          <w:color w:val="000000" w:themeColor="text1"/>
          <w:sz w:val="16"/>
          <w:szCs w:val="16"/>
        </w:rPr>
      </w:pPr>
    </w:p>
    <w:p w14:paraId="7887EE45"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11CCBE49"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76ACBBA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сентября 1933 Ягода сообщил И.В.С. о раскрытии в Ленинграде "общества педерастов" и арестовали 150 чел. (3481).</w:t>
      </w:r>
    </w:p>
    <w:p w14:paraId="5BA8CEC9"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7611E76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15 и 21 сентября 1933. Из протокола заседания Политбюро N 145, 1933 г.</w:t>
      </w:r>
    </w:p>
    <w:p w14:paraId="27E8752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железнодорожниках, судившихся за крушения, но продолжающих работать в должностях, связанных с безопасностью движения </w:t>
      </w:r>
    </w:p>
    <w:p w14:paraId="1BE40FE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Предложить Верхсуду и прокуратуре Союза разъяснить судебным органам обязательность для них при рассмотрении дел о крушениях сопровождать обвинительный приговор оговоркой об отстранении осужденного после отбытия наказания от занятия должностей, связанных с безопасностью движения, на определенный срок, а в исключительных случаях — навсегда; равным образом разъяснить судебным органам о недопустимости присуждения лиц, виновных в крушениях, к принудительным работам по старым должностям...(11652). </w:t>
      </w:r>
    </w:p>
    <w:p w14:paraId="1742A826"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7339791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15 и 21 сентября 1933. Из протокола заседания Политбюро N146, особая папка, 1933 г.</w:t>
      </w:r>
    </w:p>
    <w:p w14:paraId="7EE8606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партбюджете на 1933 г. </w:t>
      </w:r>
    </w:p>
    <w:p w14:paraId="33C6DD2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 Утвердить бюджет ВКП(б) на 1933 год: </w:t>
      </w:r>
    </w:p>
    <w:p w14:paraId="6F1E1E1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по доходам: от членских взносов ВКП(б) — 92 000 000 р. </w:t>
      </w:r>
    </w:p>
    <w:p w14:paraId="71764AA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от прибылей издательств ЦК ВКП(б) — 38 000 000 р. </w:t>
      </w:r>
    </w:p>
    <w:p w14:paraId="621AB5E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 от членских взносов ВЛКСМ — 18 000 000 р. </w:t>
      </w:r>
    </w:p>
    <w:p w14:paraId="35C1DCB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Всего доходов — 148 000 000 р. </w:t>
      </w:r>
    </w:p>
    <w:p w14:paraId="693CA12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 По расходам: </w:t>
      </w:r>
    </w:p>
    <w:p w14:paraId="56005FF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ВКП(б) — 140 488 000 р. </w:t>
      </w:r>
    </w:p>
    <w:p w14:paraId="676E630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ВЛКСМ — 31 241 000 р. </w:t>
      </w:r>
    </w:p>
    <w:p w14:paraId="10DA6E7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Всего расходов — 171 729 000 р. </w:t>
      </w:r>
    </w:p>
    <w:p w14:paraId="26CBCFE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Дотацию из резервного фонда СНК СССР утвердить в размере 25 000 000 р. (11652).</w:t>
      </w:r>
    </w:p>
    <w:p w14:paraId="73F38524"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6047A711"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37E13415"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5597DB9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15 и 21 сентября 1933. Из протокола заседания Политбюро N146, особая папка, 1933 г.</w:t>
      </w:r>
    </w:p>
    <w:p w14:paraId="3DD071D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Персии </w:t>
      </w:r>
    </w:p>
    <w:p w14:paraId="00AC4F9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связи с поездкой т. Карахана в Персию отпустить для подарка Риза шаху 3 танкетки и одну лошадь (11652).</w:t>
      </w:r>
    </w:p>
    <w:p w14:paraId="6D7587A7"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50E1F5EC"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7A44577"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44099AD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сентября 1933 завод 39 им. Менжинского, а, следовательно, ЦКБ С.В.И. посетил А.М.Г. (24,78).</w:t>
      </w:r>
    </w:p>
    <w:p w14:paraId="3F85A47C"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0504115A"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081A572E"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758F3D0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сентября 1933 г. Советский Союз посетила французская авиационная делегация, во главе которой находился министр авиации Пьер Кот, начальник военного кабинета министерства авиации Жако, генеральный инспектор авиации Барес, начальник гражданской авиации Помье. Французы прилетели на трехмоторном 12-местном Девуатине D.332. Однако эта флагманская машина, которую встречали на Центральном аэродроме Москвы комиссар иностранных дел М.М.Литвинов и начальник ВВС Я.И.Алкснис, доставила лишь официальных представителей. Кроме этого, Москву в те дни посетили по пути из Сирии на родину пилоты Росси и Кодос на рекордном Блерио-110, названном "Joseph le Brix" - в честь погибшего в 1931 г. командира экипажа Девуатин D.33. Известно, по крайней мере, еще о трех прибывших французских самолетах: Вибо 282(271?), Couzinet 33 (регистрационный номер F-ALMV, летчик Де Велерзен), Де Хевиленд Джипси Мот (регистрационный номер F-AMAR, летчик Жапи). Советская печать уделяла большое внимание пребыванию французов в Москве, велось много разговоров о дружбе и сотрудничестве. Особо запомнился флагманский D.332 "Emeraude", явившийся прямым развитием рекордного D.33. Самолет произвел заметное впечатление на советских авиаторов. Так, обладая максимальной полетной скоростью 300 км/ч, трехмоторный "Девуатин" обогнал эскортирующие его истребители-бипланы И-5. Интересно, что 7 сентября, т.е. практически накануне вылета в Москву, "Emeraude", пилотируемый Марселем Доре, установил несколько рекордов скорости. Позднее модификация этой машины - Девуатин D.333, в количестве трех экземпляров ("Антарес", "Кассиопея", "Альтаир") была закуплена компанией "Эр Франс" для полетов на дальней трассе Касабланка - Дакар. К сожалению, судьба первого трехмоторного прототипа оказалась недолгой. Спустя три месяца после московского визита D.332 совершил скоростной перелет в Сайгон, потратив 48 летных часов. На обратном пути в январе 1934 г. машина попала в бурю и вследствие значительных перегрузок развалилась в воздухе.</w:t>
      </w:r>
    </w:p>
    <w:p w14:paraId="1324192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ТАКТИКО-ТЕХНИЧЕСКИЕ ХАРАКТЕРИСТИКИ ЕВРОПЕЙСКИХ САМОЛЕТОВ ДЛЯ ДАЛЬНИХ ПЕРЕЛЕТОВ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5"/>
        <w:gridCol w:w="1145"/>
        <w:gridCol w:w="1145"/>
        <w:gridCol w:w="1145"/>
        <w:gridCol w:w="1145"/>
        <w:gridCol w:w="1145"/>
        <w:gridCol w:w="1145"/>
        <w:gridCol w:w="1145"/>
        <w:gridCol w:w="1145"/>
      </w:tblGrid>
      <w:tr w:rsidR="00F26F01" w:rsidRPr="00C33834" w14:paraId="0B63F254" w14:textId="77777777">
        <w:tc>
          <w:tcPr>
            <w:tcW w:w="1145" w:type="dxa"/>
            <w:tcBorders>
              <w:top w:val="single" w:sz="12" w:space="0" w:color="auto"/>
            </w:tcBorders>
          </w:tcPr>
          <w:p w14:paraId="6AE65D5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w:t>
            </w:r>
          </w:p>
        </w:tc>
        <w:tc>
          <w:tcPr>
            <w:tcW w:w="1145" w:type="dxa"/>
            <w:tcBorders>
              <w:top w:val="single" w:sz="12" w:space="0" w:color="auto"/>
            </w:tcBorders>
          </w:tcPr>
          <w:p w14:paraId="2296A5F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Двигатель(л.с.)</w:t>
            </w:r>
          </w:p>
        </w:tc>
        <w:tc>
          <w:tcPr>
            <w:tcW w:w="1145" w:type="dxa"/>
            <w:tcBorders>
              <w:top w:val="single" w:sz="12" w:space="0" w:color="auto"/>
            </w:tcBorders>
          </w:tcPr>
          <w:p w14:paraId="086A081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Размах (м)</w:t>
            </w:r>
          </w:p>
        </w:tc>
        <w:tc>
          <w:tcPr>
            <w:tcW w:w="1145" w:type="dxa"/>
            <w:tcBorders>
              <w:top w:val="single" w:sz="12" w:space="0" w:color="auto"/>
            </w:tcBorders>
          </w:tcPr>
          <w:p w14:paraId="66C6256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крыла (мг)</w:t>
            </w:r>
          </w:p>
        </w:tc>
        <w:tc>
          <w:tcPr>
            <w:tcW w:w="1145" w:type="dxa"/>
            <w:tcBorders>
              <w:top w:val="single" w:sz="12" w:space="0" w:color="auto"/>
            </w:tcBorders>
          </w:tcPr>
          <w:p w14:paraId="5A95338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Удлинение</w:t>
            </w:r>
          </w:p>
        </w:tc>
        <w:tc>
          <w:tcPr>
            <w:tcW w:w="1145" w:type="dxa"/>
            <w:tcBorders>
              <w:top w:val="single" w:sz="12" w:space="0" w:color="auto"/>
            </w:tcBorders>
          </w:tcPr>
          <w:p w14:paraId="28E6F02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пустого (кг)</w:t>
            </w:r>
          </w:p>
        </w:tc>
        <w:tc>
          <w:tcPr>
            <w:tcW w:w="1145" w:type="dxa"/>
            <w:tcBorders>
              <w:top w:val="single" w:sz="12" w:space="0" w:color="auto"/>
            </w:tcBorders>
          </w:tcPr>
          <w:p w14:paraId="3E98CD4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Полетный вес (кг)</w:t>
            </w:r>
          </w:p>
        </w:tc>
        <w:tc>
          <w:tcPr>
            <w:tcW w:w="1145" w:type="dxa"/>
            <w:tcBorders>
              <w:top w:val="single" w:sz="12" w:space="0" w:color="auto"/>
            </w:tcBorders>
          </w:tcPr>
          <w:p w14:paraId="0708225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Запас горючего (кг)</w:t>
            </w:r>
          </w:p>
        </w:tc>
        <w:tc>
          <w:tcPr>
            <w:tcW w:w="1145" w:type="dxa"/>
            <w:tcBorders>
              <w:top w:val="single" w:sz="12" w:space="0" w:color="auto"/>
            </w:tcBorders>
          </w:tcPr>
          <w:p w14:paraId="5E194B2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Нагрузка на крыло (кг/м2)</w:t>
            </w:r>
          </w:p>
        </w:tc>
      </w:tr>
      <w:tr w:rsidR="00F26F01" w:rsidRPr="00C33834" w14:paraId="615106EF" w14:textId="77777777">
        <w:tc>
          <w:tcPr>
            <w:tcW w:w="1145" w:type="dxa"/>
          </w:tcPr>
          <w:p w14:paraId="145442FB"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145" w:type="dxa"/>
          </w:tcPr>
          <w:p w14:paraId="7F9A4F14"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145" w:type="dxa"/>
          </w:tcPr>
          <w:p w14:paraId="5DD89F6F"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145" w:type="dxa"/>
          </w:tcPr>
          <w:p w14:paraId="5A695830"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145" w:type="dxa"/>
          </w:tcPr>
          <w:p w14:paraId="166914BD"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145" w:type="dxa"/>
          </w:tcPr>
          <w:p w14:paraId="584D4E55"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145" w:type="dxa"/>
          </w:tcPr>
          <w:p w14:paraId="28C2EB25"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145" w:type="dxa"/>
          </w:tcPr>
          <w:p w14:paraId="58C3C33B"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145" w:type="dxa"/>
          </w:tcPr>
          <w:p w14:paraId="692591A3"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r>
      <w:tr w:rsidR="00F26F01" w:rsidRPr="00C33834" w14:paraId="67A82D5B" w14:textId="77777777">
        <w:tc>
          <w:tcPr>
            <w:tcW w:w="1145" w:type="dxa"/>
          </w:tcPr>
          <w:p w14:paraId="7C83EE2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Фэйри LR</w:t>
            </w:r>
          </w:p>
        </w:tc>
        <w:tc>
          <w:tcPr>
            <w:tcW w:w="1145" w:type="dxa"/>
          </w:tcPr>
          <w:p w14:paraId="6C54BE5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Нэпир XI (530)</w:t>
            </w:r>
          </w:p>
        </w:tc>
        <w:tc>
          <w:tcPr>
            <w:tcW w:w="1145" w:type="dxa"/>
          </w:tcPr>
          <w:p w14:paraId="0A15E30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145" w:type="dxa"/>
          </w:tcPr>
          <w:p w14:paraId="04B4111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82,0</w:t>
            </w:r>
          </w:p>
        </w:tc>
        <w:tc>
          <w:tcPr>
            <w:tcW w:w="1145" w:type="dxa"/>
          </w:tcPr>
          <w:p w14:paraId="0AFF542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p>
        </w:tc>
        <w:tc>
          <w:tcPr>
            <w:tcW w:w="1145" w:type="dxa"/>
          </w:tcPr>
          <w:p w14:paraId="004C1EA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1145" w:type="dxa"/>
          </w:tcPr>
          <w:p w14:paraId="033FE4C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7800</w:t>
            </w:r>
          </w:p>
        </w:tc>
        <w:tc>
          <w:tcPr>
            <w:tcW w:w="1145" w:type="dxa"/>
          </w:tcPr>
          <w:p w14:paraId="4537608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4500</w:t>
            </w:r>
          </w:p>
        </w:tc>
        <w:tc>
          <w:tcPr>
            <w:tcW w:w="1145" w:type="dxa"/>
          </w:tcPr>
          <w:p w14:paraId="788028B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95,0</w:t>
            </w:r>
          </w:p>
        </w:tc>
      </w:tr>
      <w:tr w:rsidR="00F26F01" w:rsidRPr="00C33834" w14:paraId="3B49A23E" w14:textId="77777777">
        <w:tc>
          <w:tcPr>
            <w:tcW w:w="1145" w:type="dxa"/>
          </w:tcPr>
          <w:p w14:paraId="39E0F39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Савойя S-64</w:t>
            </w:r>
          </w:p>
        </w:tc>
        <w:tc>
          <w:tcPr>
            <w:tcW w:w="1145" w:type="dxa"/>
          </w:tcPr>
          <w:p w14:paraId="05ECF70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Фиат А-22Т (620)</w:t>
            </w:r>
          </w:p>
        </w:tc>
        <w:tc>
          <w:tcPr>
            <w:tcW w:w="1145" w:type="dxa"/>
          </w:tcPr>
          <w:p w14:paraId="6ECD192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1145" w:type="dxa"/>
          </w:tcPr>
          <w:p w14:paraId="4D4B296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1145" w:type="dxa"/>
          </w:tcPr>
          <w:p w14:paraId="577F9F9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7,75</w:t>
            </w:r>
          </w:p>
        </w:tc>
        <w:tc>
          <w:tcPr>
            <w:tcW w:w="1145" w:type="dxa"/>
          </w:tcPr>
          <w:p w14:paraId="561A61E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2670</w:t>
            </w:r>
          </w:p>
        </w:tc>
        <w:tc>
          <w:tcPr>
            <w:tcW w:w="1145" w:type="dxa"/>
          </w:tcPr>
          <w:p w14:paraId="4D2A08D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7200</w:t>
            </w:r>
          </w:p>
        </w:tc>
        <w:tc>
          <w:tcPr>
            <w:tcW w:w="1145" w:type="dxa"/>
          </w:tcPr>
          <w:p w14:paraId="60A330D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4550</w:t>
            </w:r>
          </w:p>
        </w:tc>
        <w:tc>
          <w:tcPr>
            <w:tcW w:w="1145" w:type="dxa"/>
          </w:tcPr>
          <w:p w14:paraId="6F94D20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w:t>
            </w:r>
          </w:p>
        </w:tc>
      </w:tr>
      <w:tr w:rsidR="00F26F01" w:rsidRPr="00C33834" w14:paraId="1CAD9F3A" w14:textId="77777777">
        <w:tc>
          <w:tcPr>
            <w:tcW w:w="1145" w:type="dxa"/>
          </w:tcPr>
          <w:p w14:paraId="12E206C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Блерио-110</w:t>
            </w:r>
          </w:p>
        </w:tc>
        <w:tc>
          <w:tcPr>
            <w:tcW w:w="1145" w:type="dxa"/>
          </w:tcPr>
          <w:p w14:paraId="0429F8F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Испано 12МЬг (500)</w:t>
            </w:r>
          </w:p>
        </w:tc>
        <w:tc>
          <w:tcPr>
            <w:tcW w:w="1145" w:type="dxa"/>
          </w:tcPr>
          <w:p w14:paraId="594140A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26,5</w:t>
            </w:r>
          </w:p>
        </w:tc>
        <w:tc>
          <w:tcPr>
            <w:tcW w:w="1145" w:type="dxa"/>
          </w:tcPr>
          <w:p w14:paraId="3759F22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81,0</w:t>
            </w:r>
          </w:p>
        </w:tc>
        <w:tc>
          <w:tcPr>
            <w:tcW w:w="1145" w:type="dxa"/>
          </w:tcPr>
          <w:p w14:paraId="10AA9CF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8,65</w:t>
            </w:r>
          </w:p>
        </w:tc>
        <w:tc>
          <w:tcPr>
            <w:tcW w:w="1145" w:type="dxa"/>
          </w:tcPr>
          <w:p w14:paraId="7C54029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2700</w:t>
            </w:r>
          </w:p>
        </w:tc>
        <w:tc>
          <w:tcPr>
            <w:tcW w:w="1145" w:type="dxa"/>
          </w:tcPr>
          <w:p w14:paraId="3DF580A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8500</w:t>
            </w:r>
          </w:p>
        </w:tc>
        <w:tc>
          <w:tcPr>
            <w:tcW w:w="1145" w:type="dxa"/>
          </w:tcPr>
          <w:p w14:paraId="0E54658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5500</w:t>
            </w:r>
          </w:p>
        </w:tc>
        <w:tc>
          <w:tcPr>
            <w:tcW w:w="1145" w:type="dxa"/>
          </w:tcPr>
          <w:p w14:paraId="56C69E2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104,5</w:t>
            </w:r>
          </w:p>
        </w:tc>
      </w:tr>
      <w:tr w:rsidR="00F26F01" w:rsidRPr="00C33834" w14:paraId="38B093C2" w14:textId="77777777">
        <w:tc>
          <w:tcPr>
            <w:tcW w:w="1145" w:type="dxa"/>
          </w:tcPr>
          <w:p w14:paraId="4BC226D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Девуатин D.33</w:t>
            </w:r>
          </w:p>
        </w:tc>
        <w:tc>
          <w:tcPr>
            <w:tcW w:w="1145" w:type="dxa"/>
          </w:tcPr>
          <w:p w14:paraId="725A18B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Испано 12Nb (650)</w:t>
            </w:r>
          </w:p>
        </w:tc>
        <w:tc>
          <w:tcPr>
            <w:tcW w:w="1145" w:type="dxa"/>
          </w:tcPr>
          <w:p w14:paraId="05723CC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w:t>
            </w:r>
          </w:p>
        </w:tc>
        <w:tc>
          <w:tcPr>
            <w:tcW w:w="1145" w:type="dxa"/>
          </w:tcPr>
          <w:p w14:paraId="0A928F8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78,0</w:t>
            </w:r>
          </w:p>
        </w:tc>
        <w:tc>
          <w:tcPr>
            <w:tcW w:w="1145" w:type="dxa"/>
          </w:tcPr>
          <w:p w14:paraId="339859A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1145" w:type="dxa"/>
          </w:tcPr>
          <w:p w14:paraId="76B5077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3100</w:t>
            </w:r>
          </w:p>
        </w:tc>
        <w:tc>
          <w:tcPr>
            <w:tcW w:w="1145" w:type="dxa"/>
          </w:tcPr>
          <w:p w14:paraId="19EBE38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9200</w:t>
            </w:r>
          </w:p>
        </w:tc>
        <w:tc>
          <w:tcPr>
            <w:tcW w:w="1145" w:type="dxa"/>
          </w:tcPr>
          <w:p w14:paraId="09848B9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5600</w:t>
            </w:r>
          </w:p>
        </w:tc>
        <w:tc>
          <w:tcPr>
            <w:tcW w:w="1145" w:type="dxa"/>
          </w:tcPr>
          <w:p w14:paraId="3CEBAF4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117,5</w:t>
            </w:r>
          </w:p>
        </w:tc>
      </w:tr>
      <w:tr w:rsidR="00F26F01" w:rsidRPr="00C33834" w14:paraId="6722A43B" w14:textId="77777777">
        <w:tc>
          <w:tcPr>
            <w:tcW w:w="1145" w:type="dxa"/>
            <w:tcBorders>
              <w:bottom w:val="single" w:sz="12" w:space="0" w:color="auto"/>
            </w:tcBorders>
          </w:tcPr>
          <w:p w14:paraId="6921463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Бернар-80</w:t>
            </w:r>
          </w:p>
        </w:tc>
        <w:tc>
          <w:tcPr>
            <w:tcW w:w="1145" w:type="dxa"/>
            <w:tcBorders>
              <w:bottom w:val="single" w:sz="12" w:space="0" w:color="auto"/>
            </w:tcBorders>
          </w:tcPr>
          <w:p w14:paraId="3C8F12B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Испано 12Nb (650)</w:t>
            </w:r>
          </w:p>
        </w:tc>
        <w:tc>
          <w:tcPr>
            <w:tcW w:w="1145" w:type="dxa"/>
            <w:tcBorders>
              <w:bottom w:val="single" w:sz="12" w:space="0" w:color="auto"/>
            </w:tcBorders>
          </w:tcPr>
          <w:p w14:paraId="57CE619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24,5</w:t>
            </w:r>
          </w:p>
        </w:tc>
        <w:tc>
          <w:tcPr>
            <w:tcW w:w="1145" w:type="dxa"/>
            <w:tcBorders>
              <w:bottom w:val="single" w:sz="12" w:space="0" w:color="auto"/>
            </w:tcBorders>
          </w:tcPr>
          <w:p w14:paraId="238350B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w:t>
            </w:r>
          </w:p>
        </w:tc>
        <w:tc>
          <w:tcPr>
            <w:tcW w:w="1145" w:type="dxa"/>
            <w:tcBorders>
              <w:bottom w:val="single" w:sz="12" w:space="0" w:color="auto"/>
            </w:tcBorders>
          </w:tcPr>
          <w:p w14:paraId="7FBBB14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w:t>
            </w:r>
          </w:p>
        </w:tc>
        <w:tc>
          <w:tcPr>
            <w:tcW w:w="1145" w:type="dxa"/>
            <w:tcBorders>
              <w:bottom w:val="single" w:sz="12" w:space="0" w:color="auto"/>
            </w:tcBorders>
          </w:tcPr>
          <w:p w14:paraId="5E8BD65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3100</w:t>
            </w:r>
          </w:p>
        </w:tc>
        <w:tc>
          <w:tcPr>
            <w:tcW w:w="1145" w:type="dxa"/>
            <w:tcBorders>
              <w:bottom w:val="single" w:sz="12" w:space="0" w:color="auto"/>
            </w:tcBorders>
          </w:tcPr>
          <w:p w14:paraId="35ABA03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8625</w:t>
            </w:r>
          </w:p>
        </w:tc>
        <w:tc>
          <w:tcPr>
            <w:tcW w:w="1145" w:type="dxa"/>
            <w:tcBorders>
              <w:bottom w:val="single" w:sz="12" w:space="0" w:color="auto"/>
            </w:tcBorders>
          </w:tcPr>
          <w:p w14:paraId="142DAC6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1145" w:type="dxa"/>
            <w:tcBorders>
              <w:bottom w:val="single" w:sz="12" w:space="0" w:color="auto"/>
            </w:tcBorders>
          </w:tcPr>
          <w:p w14:paraId="373AD5A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123,0</w:t>
            </w:r>
          </w:p>
        </w:tc>
      </w:tr>
    </w:tbl>
    <w:p w14:paraId="3703595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Приведенные в таблице данные полетного веса и запаса горючего на самом деле имели разные значения. Так, при установлении мирового рекорда в 1933 г. полетный вес Блерио-110 указывался 9 тонн, а запас горючего составлял 6500 литров (11941).</w:t>
      </w:r>
    </w:p>
    <w:p w14:paraId="1687BD72"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707B7988"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BF23C4F"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27007DB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17 сентября 1933 ТБ-3 4М-34, полученный ЦАГИ с завода 22 20 июня 1933, был направлен на гос. испытания. На 41 часу гос. испытания были аннулированы из-за прогорания клапанов и трещин в крышке нагнетателя. На клапанах изменена сталь. Крышка переделана (2287,129).</w:t>
      </w:r>
    </w:p>
    <w:p w14:paraId="58E489BC"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5284D57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сентября 1933 года после крайне длительной доводки винтомоторной группы на самолете ТБ3-4М34 ЦАГИ передало на гос. испытания самолет ТБ3-4М34 (без редуктора) с тремя вариантами винтов (3516).</w:t>
      </w:r>
    </w:p>
    <w:p w14:paraId="4CFE7D8A"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5A22F74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сентября 1933 на ЛР М-34Н был совершен полет по кругу (2287,127).</w:t>
      </w:r>
    </w:p>
    <w:p w14:paraId="0A74C745"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3D0D5432" w14:textId="77777777" w:rsidR="00B2303C" w:rsidRPr="00C33834" w:rsidRDefault="00B2303C" w:rsidP="00C33834">
      <w:pPr>
        <w:pStyle w:val="rtejustify"/>
        <w:spacing w:before="0" w:after="0"/>
        <w:rPr>
          <w:color w:val="000000" w:themeColor="text1"/>
          <w:sz w:val="16"/>
          <w:szCs w:val="16"/>
        </w:rPr>
      </w:pPr>
      <w:r w:rsidRPr="00C33834">
        <w:rPr>
          <w:rStyle w:val="af0"/>
          <w:bCs/>
          <w:i w:val="0"/>
          <w:color w:val="000000" w:themeColor="text1"/>
          <w:sz w:val="16"/>
          <w:szCs w:val="16"/>
        </w:rPr>
        <w:t>17 сентября</w:t>
      </w:r>
      <w:r w:rsidRPr="00C33834">
        <w:rPr>
          <w:color w:val="000000" w:themeColor="text1"/>
          <w:sz w:val="16"/>
          <w:szCs w:val="16"/>
        </w:rPr>
        <w:t xml:space="preserve"> 1933. Постановление Комиссии обороны СССР № 11сс «Об организации комиссии по вопросу об охране и секретности на авиазаводах». (ГА РФ. Ф. Р</w:t>
      </w:r>
      <w:r w:rsidRPr="00C33834">
        <w:rPr>
          <w:color w:val="000000" w:themeColor="text1"/>
          <w:sz w:val="16"/>
          <w:szCs w:val="16"/>
        </w:rPr>
        <w:noBreakHyphen/>
        <w:t>8418. Оп. 28. Д. 25а. Л. 41) (15460).</w:t>
      </w:r>
    </w:p>
    <w:p w14:paraId="4363C97F" w14:textId="77777777" w:rsidR="00B2303C" w:rsidRPr="00C33834" w:rsidRDefault="00B2303C" w:rsidP="00C33834">
      <w:pPr>
        <w:pStyle w:val="rtejustify"/>
        <w:spacing w:before="0" w:after="0"/>
        <w:rPr>
          <w:color w:val="000000" w:themeColor="text1"/>
          <w:sz w:val="16"/>
          <w:szCs w:val="16"/>
        </w:rPr>
      </w:pPr>
    </w:p>
    <w:p w14:paraId="6635E3FA" w14:textId="77777777" w:rsidR="00B2303C"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C77DBAA" w14:textId="77777777" w:rsidR="00B2303C" w:rsidRPr="00C33834" w:rsidRDefault="00B2303C" w:rsidP="00C33834">
      <w:pPr>
        <w:spacing w:after="0" w:line="240" w:lineRule="auto"/>
        <w:jc w:val="both"/>
        <w:rPr>
          <w:rFonts w:ascii="Times New Roman" w:hAnsi="Times New Roman"/>
          <w:iCs/>
          <w:color w:val="000000" w:themeColor="text1"/>
          <w:sz w:val="16"/>
          <w:szCs w:val="16"/>
        </w:rPr>
      </w:pPr>
    </w:p>
    <w:p w14:paraId="5D32ED89" w14:textId="77777777" w:rsidR="00B2303C" w:rsidRPr="00C33834" w:rsidRDefault="00B2303C" w:rsidP="00C33834">
      <w:pPr>
        <w:pStyle w:val="rtejustify"/>
        <w:spacing w:before="0" w:after="0"/>
        <w:rPr>
          <w:color w:val="000000" w:themeColor="text1"/>
          <w:sz w:val="16"/>
          <w:szCs w:val="16"/>
        </w:rPr>
      </w:pPr>
      <w:r w:rsidRPr="00C33834">
        <w:rPr>
          <w:rStyle w:val="af0"/>
          <w:bCs/>
          <w:i w:val="0"/>
          <w:color w:val="000000" w:themeColor="text1"/>
          <w:sz w:val="16"/>
          <w:szCs w:val="16"/>
        </w:rPr>
        <w:t>17 сентября</w:t>
      </w:r>
      <w:r w:rsidRPr="00C33834">
        <w:rPr>
          <w:color w:val="000000" w:themeColor="text1"/>
          <w:sz w:val="16"/>
          <w:szCs w:val="16"/>
        </w:rPr>
        <w:t xml:space="preserve"> 1933. Постановление СТО СССР № 88сс/о «О включении в состав особо важных строек узкооборонного значения заводов судостроительной промышленности». (ГА РФ. Ф. Р</w:t>
      </w:r>
      <w:r w:rsidRPr="00C33834">
        <w:rPr>
          <w:color w:val="000000" w:themeColor="text1"/>
          <w:sz w:val="16"/>
          <w:szCs w:val="16"/>
        </w:rPr>
        <w:noBreakHyphen/>
        <w:t>8418. Оп. 28. Д. 2. Л. 171) (15460).</w:t>
      </w:r>
    </w:p>
    <w:p w14:paraId="05CF8660" w14:textId="77777777" w:rsidR="00B2303C" w:rsidRPr="00C33834" w:rsidRDefault="00B2303C" w:rsidP="00C33834">
      <w:pPr>
        <w:pStyle w:val="rtejustify"/>
        <w:spacing w:before="0" w:after="0"/>
        <w:rPr>
          <w:color w:val="000000" w:themeColor="text1"/>
          <w:sz w:val="16"/>
          <w:szCs w:val="16"/>
        </w:rPr>
      </w:pPr>
    </w:p>
    <w:p w14:paraId="0562D00B" w14:textId="77777777" w:rsidR="00B2303C" w:rsidRPr="00C33834" w:rsidRDefault="00B2303C" w:rsidP="00C33834">
      <w:pPr>
        <w:pStyle w:val="rtejustify"/>
        <w:spacing w:before="0" w:after="0"/>
        <w:rPr>
          <w:color w:val="000000" w:themeColor="text1"/>
          <w:sz w:val="16"/>
          <w:szCs w:val="16"/>
        </w:rPr>
      </w:pPr>
      <w:r w:rsidRPr="00C33834">
        <w:rPr>
          <w:rStyle w:val="af0"/>
          <w:bCs/>
          <w:i w:val="0"/>
          <w:color w:val="000000" w:themeColor="text1"/>
          <w:sz w:val="16"/>
          <w:szCs w:val="16"/>
        </w:rPr>
        <w:t>17 сентября</w:t>
      </w:r>
      <w:r w:rsidRPr="00C33834">
        <w:rPr>
          <w:color w:val="000000" w:themeColor="text1"/>
          <w:sz w:val="16"/>
          <w:szCs w:val="16"/>
        </w:rPr>
        <w:t xml:space="preserve"> 1933. Постановление СТО СССР № 89сс/о «О дополнительном заказе на фильтры-поглотители ФП</w:t>
      </w:r>
      <w:r w:rsidRPr="00C33834">
        <w:rPr>
          <w:color w:val="000000" w:themeColor="text1"/>
          <w:sz w:val="16"/>
          <w:szCs w:val="16"/>
        </w:rPr>
        <w:noBreakHyphen/>
        <w:t>360 для ОКДВА». (ГА РФ. Ф. Р</w:t>
      </w:r>
      <w:r w:rsidRPr="00C33834">
        <w:rPr>
          <w:color w:val="000000" w:themeColor="text1"/>
          <w:sz w:val="16"/>
          <w:szCs w:val="16"/>
        </w:rPr>
        <w:noBreakHyphen/>
        <w:t>8418. Оп. 28. Д. 2. Л. 172) (15460).</w:t>
      </w:r>
    </w:p>
    <w:p w14:paraId="3AD3EE31" w14:textId="77777777" w:rsidR="00B2303C" w:rsidRPr="00C33834" w:rsidRDefault="00B2303C" w:rsidP="00C33834">
      <w:pPr>
        <w:pStyle w:val="rtejustify"/>
        <w:spacing w:before="0" w:after="0"/>
        <w:rPr>
          <w:color w:val="000000" w:themeColor="text1"/>
          <w:sz w:val="16"/>
          <w:szCs w:val="16"/>
        </w:rPr>
      </w:pPr>
    </w:p>
    <w:p w14:paraId="6F65B07B"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2B3040FE"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753A0FB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сентября 1933 появился приказ ГУЛАГа № 143:</w:t>
      </w:r>
    </w:p>
    <w:p w14:paraId="4F7A99B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«Управлением Вишерских лагерей представлен к освобождению и разгрузочной комиссией ПП ОГПУ Урала фактически освобожден заключенный Ермаков Николай Дорофеевич, осужденный В/Сессией Днепропетровского облсуда УССР по ст. 97 и 104 УК УССР к ВМН с заменой 10 годами лишения свободы. Мотивом освобождения является то, что врачебной комиссией з/к Ермаков признан хронически больным.</w:t>
      </w:r>
    </w:p>
    <w:p w14:paraId="2D686D4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Ермаков - бывш. член партии, до осуждения занимал должность директора Каменского треста общественного питания.</w:t>
      </w:r>
    </w:p>
    <w:p w14:paraId="1A352E8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ГУЛАГ ОГПУ обращает внимание всех управлений лагерей ОГПУ на грубейшее нарушение Вишлагом ОГПУ директивы зам. пред. ОГПУ тов. Ягода о разгрузке лагерей от стариков, инвалидов и больных, являющихся нетрудоспособным балластом. Недавно осужденный по важному делу крупный работник освобождается Вишлагом ОГПУ без всякого учета того, что он отнюдь не является балластом, а вполне может быть использован на хозяйственной работе в аппарате лагеря.</w:t>
      </w:r>
    </w:p>
    <w:p w14:paraId="05470D4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Наряду с необходимостью полной разгрузки лагерей от балласта, ГУЛАГ ОГПУ неоднократно указывал на необходимость строгого индивидуального подхода к намечаемым к освобождению.</w:t>
      </w:r>
    </w:p>
    <w:p w14:paraId="11D4DF3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Начальникам управлений лагерей ОГПУ приказываю лично представлять к освобождению, лишь после детального ознакомления со всеми материалами о данном инвалиде, не передоверяя этой обязанности никакому другому сотруднику» (7560).</w:t>
      </w:r>
    </w:p>
    <w:p w14:paraId="2E832D73"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797355A9"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8AA4022"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166B4F6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сентября 1933 было 2 взлета по прямой К-7 К.А.К. и проверялось действие рулей поворота и обтекания деталей оперения потоком с использованием люгерных лент. Моторы работали 1:58. Высота взлетов была 3-4 м. Отклонение рулей и серворулей отвечало движениям педалей. Отмечена по-прежнему слабая эффективность РН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F26F01" w:rsidRPr="00C33834" w14:paraId="17327AD8" w14:textId="77777777">
        <w:tc>
          <w:tcPr>
            <w:tcW w:w="1384" w:type="dxa"/>
            <w:tcBorders>
              <w:top w:val="single" w:sz="12" w:space="0" w:color="auto"/>
            </w:tcBorders>
          </w:tcPr>
          <w:p w14:paraId="2DD2610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Дата испытания</w:t>
            </w:r>
          </w:p>
        </w:tc>
        <w:tc>
          <w:tcPr>
            <w:tcW w:w="2410" w:type="dxa"/>
            <w:tcBorders>
              <w:top w:val="single" w:sz="12" w:space="0" w:color="auto"/>
            </w:tcBorders>
          </w:tcPr>
          <w:p w14:paraId="7AE173B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3620ADA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1EB219C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3193159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72B14F0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tc>
      </w:tr>
      <w:tr w:rsidR="00F26F01" w:rsidRPr="00C33834" w14:paraId="71457314" w14:textId="77777777">
        <w:tc>
          <w:tcPr>
            <w:tcW w:w="1384" w:type="dxa"/>
            <w:tcBorders>
              <w:bottom w:val="single" w:sz="12" w:space="0" w:color="auto"/>
            </w:tcBorders>
          </w:tcPr>
          <w:p w14:paraId="069F712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сентября 1933</w:t>
            </w:r>
          </w:p>
        </w:tc>
        <w:tc>
          <w:tcPr>
            <w:tcW w:w="2410" w:type="dxa"/>
            <w:tcBorders>
              <w:bottom w:val="single" w:sz="12" w:space="0" w:color="auto"/>
            </w:tcBorders>
          </w:tcPr>
          <w:p w14:paraId="2DC3F5D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Два взлета по прямой</w:t>
            </w:r>
          </w:p>
          <w:p w14:paraId="51BA7CA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Проверка действия рулей поворота и обтекания деталей оперения</w:t>
            </w:r>
          </w:p>
        </w:tc>
        <w:tc>
          <w:tcPr>
            <w:tcW w:w="1089" w:type="dxa"/>
            <w:tcBorders>
              <w:bottom w:val="single" w:sz="12" w:space="0" w:color="auto"/>
            </w:tcBorders>
          </w:tcPr>
          <w:p w14:paraId="7A4C630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Запуск моторов - 0:05</w:t>
            </w:r>
          </w:p>
          <w:p w14:paraId="5F7F563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моторов - 1:28</w:t>
            </w:r>
          </w:p>
        </w:tc>
        <w:tc>
          <w:tcPr>
            <w:tcW w:w="3447" w:type="dxa"/>
            <w:tcBorders>
              <w:bottom w:val="single" w:sz="12" w:space="0" w:color="auto"/>
            </w:tcBorders>
          </w:tcPr>
          <w:p w14:paraId="331B33A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взлетов - 3-4 м.</w:t>
            </w:r>
          </w:p>
          <w:p w14:paraId="359965E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Отклонение серворулей и рулей поваорота отвечает движению педалей.</w:t>
            </w:r>
          </w:p>
          <w:p w14:paraId="58E85A9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Обтекание частей оперения воздушным потоком - нормальное (по флюгерным лентам)</w:t>
            </w:r>
          </w:p>
        </w:tc>
        <w:tc>
          <w:tcPr>
            <w:tcW w:w="1776" w:type="dxa"/>
            <w:tcBorders>
              <w:bottom w:val="single" w:sz="12" w:space="0" w:color="auto"/>
            </w:tcBorders>
          </w:tcPr>
          <w:p w14:paraId="64E91C3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Недостаточная эффективность рулей поворота на малых скоростях</w:t>
            </w:r>
          </w:p>
        </w:tc>
        <w:tc>
          <w:tcPr>
            <w:tcW w:w="1105" w:type="dxa"/>
            <w:tcBorders>
              <w:bottom w:val="single" w:sz="12" w:space="0" w:color="auto"/>
            </w:tcBorders>
          </w:tcPr>
          <w:p w14:paraId="5DED3CE1"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r>
    </w:tbl>
    <w:p w14:paraId="105CC35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(2306,98).</w:t>
      </w:r>
    </w:p>
    <w:p w14:paraId="51BE00C5"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0130798F"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BB41D52"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07D5996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сентября 1933 г. была пущена перавая очередь Саратовского завода щелочных аккумуляторов (ГС Завод № 195 НКОП, НКСП, НКЭП, Саратовский завод щелочных аккумуляторов НКТП, НКОП, ОАО «Завод автономных источников тока» /410015  г. Саратов ул. Орджоникидзе, 11/). В 12.1936 г. завод передан из Главэспрома НКТП в ведение НКОП, по пр. № Обсс от 30.12.1936 г. переименован в завод № 195. По пр. № 54 от 5.02.1937 г. и № 59 от 14.02.1937 г. завод № 195 передан из 5ГУ в ГУ аккумуляторной промышленности НКОП, приказом № 76 от 3.03.1937 г. утвержден Устав ГС завода № 195; приказом № 276 от 20.07.1938 г. утвержден новый Устав завода. В 02.1939 г. из 19ГУ передан в ведение НКСП.</w:t>
      </w:r>
    </w:p>
    <w:p w14:paraId="2869BAD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Приказом № 0020 от 3.02.1937 г. заводу предписано создать к 1.01.1938 г. мощности по производству щелочных аккумуляторов. Завод первым в СССР и третьим в мире (после завода Юнгера в Швеции и Эдиссона в США) освоил производство щелочных никель-кадмиевых аккумуляторов (сначала выпускались никель-железные из-за дефицита дорогостоящего кадмия). В соответствии с решением СТО № 173сс от 9.11.1937 г. и пр. № 00249 г. было необходимо завершить к концу 1938 г. реконструкцию цехов по выпуску батарей Юнгера.</w:t>
      </w:r>
    </w:p>
    <w:p w14:paraId="7B32729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1950-х-70-х  г. при участии специалистов завода создавались новые аккумуляторные заводы в СССР, Китае, Болгарии, Корее, осваивались новые типы аккумуляторов, в основном, специального назначения (до 1992 г. две трети продукции шло на оборонные нужды).</w:t>
      </w:r>
    </w:p>
    <w:p w14:paraId="596327E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1993  г. в условиях практически полного прекращения выпуска аккумуляторов для спецтехники, начато создание и серийное производство никель-кадмиевых аккумуляторов общепромышленного назначения.</w:t>
      </w:r>
    </w:p>
    <w:p w14:paraId="4BFEBE5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(-8.05.1937 г.)- Ф.А. Герасимов, (8.05.1937-21.11.1938 г.)- А.П. Долгов (снят), (22.10.1938 г.-)- Н.М. Акимушкин, (-1942 г.)-С.А. Белобородов. Гендиректор (-1998-2006 Г.-)-А.В. Лопашев.</w:t>
      </w:r>
    </w:p>
    <w:p w14:paraId="06D88E8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директора (19.06-22.10.1938 г.)-А.С. Кузьмина.</w:t>
      </w:r>
    </w:p>
    <w:p w14:paraId="3CE1C8F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(11.11.1937 г.-)-А.Я. Глускин (11982).</w:t>
      </w:r>
    </w:p>
    <w:p w14:paraId="3CE74402" w14:textId="77777777" w:rsidR="001E6614" w:rsidRPr="00C33834" w:rsidRDefault="001E6614" w:rsidP="00C33834">
      <w:pPr>
        <w:spacing w:after="0" w:line="240" w:lineRule="auto"/>
        <w:jc w:val="both"/>
        <w:rPr>
          <w:rFonts w:ascii="Times New Roman" w:hAnsi="Times New Roman"/>
          <w:iCs/>
          <w:color w:val="000000" w:themeColor="text1"/>
          <w:sz w:val="16"/>
          <w:szCs w:val="16"/>
        </w:rPr>
      </w:pPr>
    </w:p>
    <w:p w14:paraId="0F28D4E0"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2C7B482E"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108CC60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сентября 1933 появилась телеграмма из Сочи в Москву И.В.С., К.Е.В. и Л.М.К.: "мы изучили вопрос о Сухаревской башне и пришли к тому, что ее надо обязательно снести... Архитекторы, возражающие против сноса - слепы и бесперспективны." (3481).</w:t>
      </w:r>
    </w:p>
    <w:p w14:paraId="0395F907"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2B7F2609" w14:textId="77777777" w:rsidR="001E6614" w:rsidRPr="00C33834" w:rsidRDefault="001E6614"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bCs/>
          <w:color w:val="000000" w:themeColor="text1"/>
          <w:sz w:val="16"/>
          <w:szCs w:val="16"/>
          <w:lang w:eastAsia="ru-RU"/>
        </w:rPr>
        <w:t>18 сентября 1933 г. Сталин, Ворошилов писали Кагановичу</w:t>
      </w:r>
    </w:p>
    <w:p w14:paraId="47E2EC5A" w14:textId="77777777" w:rsidR="001E6614" w:rsidRPr="00C33834" w:rsidRDefault="001E6614"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ЦК ВКП. Кагановичу.</w:t>
      </w:r>
    </w:p>
    <w:p w14:paraId="679224AA" w14:textId="77777777" w:rsidR="001E6614" w:rsidRPr="00C33834" w:rsidRDefault="001E6614"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Мы изучили вопрос о Сухаревой башне и пришли к тому, что ее надо обязательно снести. Предлагаем снести Сухареву башню и расширить движение. Архитектора, возражающие против сноса — слепы и бесперспективны.</w:t>
      </w:r>
    </w:p>
    <w:p w14:paraId="6C958424" w14:textId="77777777" w:rsidR="001E6614" w:rsidRPr="00C33834" w:rsidRDefault="001E6614"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Сталин. Ворошилов.</w:t>
      </w:r>
    </w:p>
    <w:p w14:paraId="3EFB58FB" w14:textId="77777777" w:rsidR="001E6614" w:rsidRPr="00C33834" w:rsidRDefault="001E6614"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№40</w:t>
      </w:r>
    </w:p>
    <w:p w14:paraId="4B91716C" w14:textId="77777777" w:rsidR="001E6614" w:rsidRPr="00C33834" w:rsidRDefault="001E6614"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18/IX.33 г.2</w:t>
      </w:r>
    </w:p>
    <w:p w14:paraId="25B906B7" w14:textId="77777777" w:rsidR="001E6614" w:rsidRPr="00C33834" w:rsidRDefault="001E6614"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Ф. </w:t>
      </w:r>
      <w:r w:rsidRPr="00C33834">
        <w:rPr>
          <w:rFonts w:ascii="Times New Roman" w:eastAsia="Times New Roman" w:hAnsi="Times New Roman"/>
          <w:iCs/>
          <w:color w:val="000000" w:themeColor="text1"/>
          <w:sz w:val="16"/>
          <w:szCs w:val="16"/>
          <w:lang w:eastAsia="ru-RU"/>
        </w:rPr>
        <w:t xml:space="preserve">558. On. 11. Д. 81. Л. 9. Автограф Сталина. Подписи </w:t>
      </w:r>
      <w:r w:rsidRPr="00C33834">
        <w:rPr>
          <w:rFonts w:ascii="Times New Roman" w:eastAsia="Times New Roman" w:hAnsi="Times New Roman"/>
          <w:color w:val="000000" w:themeColor="text1"/>
          <w:sz w:val="16"/>
          <w:szCs w:val="16"/>
          <w:lang w:eastAsia="ru-RU"/>
        </w:rPr>
        <w:t xml:space="preserve">— </w:t>
      </w:r>
      <w:r w:rsidRPr="00C33834">
        <w:rPr>
          <w:rFonts w:ascii="Times New Roman" w:eastAsia="Times New Roman" w:hAnsi="Times New Roman"/>
          <w:iCs/>
          <w:color w:val="000000" w:themeColor="text1"/>
          <w:sz w:val="16"/>
          <w:szCs w:val="16"/>
          <w:lang w:eastAsia="ru-RU"/>
        </w:rPr>
        <w:t>автографы. Известия ЦК КПСС. 1989. № 9. С. 112 (17281).</w:t>
      </w:r>
    </w:p>
    <w:p w14:paraId="46436316" w14:textId="77777777" w:rsidR="001E6614" w:rsidRPr="00C33834" w:rsidRDefault="001E6614" w:rsidP="00C33834">
      <w:pPr>
        <w:spacing w:after="0" w:line="240" w:lineRule="auto"/>
        <w:jc w:val="both"/>
        <w:rPr>
          <w:rFonts w:ascii="Times New Roman" w:hAnsi="Times New Roman"/>
          <w:color w:val="000000" w:themeColor="text1"/>
          <w:sz w:val="16"/>
          <w:szCs w:val="16"/>
        </w:rPr>
      </w:pPr>
    </w:p>
    <w:p w14:paraId="223D1D35" w14:textId="77777777" w:rsidR="00B2303C" w:rsidRPr="00C33834" w:rsidRDefault="00B2303C" w:rsidP="00C33834">
      <w:pPr>
        <w:spacing w:after="0" w:line="240" w:lineRule="auto"/>
        <w:jc w:val="both"/>
        <w:rPr>
          <w:rFonts w:ascii="Times New Roman" w:hAnsi="Times New Roman"/>
          <w:color w:val="000000" w:themeColor="text1"/>
          <w:sz w:val="16"/>
          <w:szCs w:val="16"/>
        </w:rPr>
      </w:pPr>
      <w:r w:rsidRPr="00C33834">
        <w:rPr>
          <w:rStyle w:val="ucoz-forum-post"/>
          <w:rFonts w:ascii="Times New Roman" w:eastAsiaTheme="majorEastAsia" w:hAnsi="Times New Roman"/>
          <w:bCs/>
          <w:color w:val="000000" w:themeColor="text1"/>
          <w:sz w:val="16"/>
          <w:szCs w:val="16"/>
        </w:rPr>
        <w:t xml:space="preserve">18 сентября </w:t>
      </w:r>
      <w:r w:rsidRPr="00C33834">
        <w:rPr>
          <w:rFonts w:ascii="Times New Roman" w:hAnsi="Times New Roman"/>
          <w:color w:val="000000" w:themeColor="text1"/>
          <w:sz w:val="16"/>
          <w:szCs w:val="16"/>
        </w:rPr>
        <w:t>в 1933 году телеграмма из Сочи в Москву Иосифа Сталина, Климента Ворошилова и Лазаря Кагановича: «Мы изучили вопрос о Сухаревой башне и пришли к тому, что ее надо обязательно снести. Предлагаем снести Сухареву башню и расширить движение. Архитекторы, возражающие против сноса, - слепы и бесперспективны». Сухаревская башня - уникальный образец русского зодчества, сооруженная по инициативе Петра I в 1692-1695, будет снесена (14773).</w:t>
      </w:r>
    </w:p>
    <w:p w14:paraId="1D964868" w14:textId="77777777" w:rsidR="00B2303C" w:rsidRPr="00C33834" w:rsidRDefault="00B2303C" w:rsidP="00C33834">
      <w:pPr>
        <w:spacing w:after="0" w:line="240" w:lineRule="auto"/>
        <w:jc w:val="both"/>
        <w:rPr>
          <w:rFonts w:ascii="Times New Roman" w:hAnsi="Times New Roman"/>
          <w:color w:val="000000" w:themeColor="text1"/>
          <w:sz w:val="16"/>
          <w:szCs w:val="16"/>
        </w:rPr>
      </w:pPr>
    </w:p>
    <w:p w14:paraId="29648291"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FF1C4C7"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4916C07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сентября 1933 с вход. № 48/он были представлены планы на 2 пятилетку по военной промышленности, в т.ч.:</w:t>
      </w:r>
    </w:p>
    <w:p w14:paraId="08E160B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А В И А Ц И Я</w:t>
      </w:r>
    </w:p>
    <w:p w14:paraId="4948A9D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Утвердить объем выпуска продукции в военное время на 1934 г., 1935 г. и 1936 г. в следующих количествах: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28"/>
        <w:gridCol w:w="2611"/>
        <w:gridCol w:w="1979"/>
        <w:gridCol w:w="1712"/>
        <w:gridCol w:w="1798"/>
      </w:tblGrid>
      <w:tr w:rsidR="00F26F01" w:rsidRPr="00C33834" w14:paraId="7ADCB553" w14:textId="77777777">
        <w:tc>
          <w:tcPr>
            <w:tcW w:w="828" w:type="dxa"/>
            <w:tcBorders>
              <w:top w:val="single" w:sz="12" w:space="0" w:color="auto"/>
            </w:tcBorders>
          </w:tcPr>
          <w:p w14:paraId="03A7A67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зав.</w:t>
            </w:r>
          </w:p>
        </w:tc>
        <w:tc>
          <w:tcPr>
            <w:tcW w:w="2611" w:type="dxa"/>
            <w:tcBorders>
              <w:top w:val="single" w:sz="12" w:space="0" w:color="auto"/>
            </w:tcBorders>
          </w:tcPr>
          <w:p w14:paraId="51AB1B5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w:t>
            </w:r>
          </w:p>
        </w:tc>
        <w:tc>
          <w:tcPr>
            <w:tcW w:w="1979" w:type="dxa"/>
            <w:tcBorders>
              <w:top w:val="single" w:sz="12" w:space="0" w:color="auto"/>
            </w:tcBorders>
          </w:tcPr>
          <w:p w14:paraId="2C45DF0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1934</w:t>
            </w:r>
          </w:p>
        </w:tc>
        <w:tc>
          <w:tcPr>
            <w:tcW w:w="1712" w:type="dxa"/>
            <w:tcBorders>
              <w:top w:val="single" w:sz="12" w:space="0" w:color="auto"/>
            </w:tcBorders>
          </w:tcPr>
          <w:p w14:paraId="0F8B0A3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1935</w:t>
            </w:r>
          </w:p>
        </w:tc>
        <w:tc>
          <w:tcPr>
            <w:tcW w:w="1798" w:type="dxa"/>
            <w:tcBorders>
              <w:top w:val="single" w:sz="12" w:space="0" w:color="auto"/>
            </w:tcBorders>
          </w:tcPr>
          <w:p w14:paraId="641453B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1936</w:t>
            </w:r>
          </w:p>
        </w:tc>
      </w:tr>
      <w:tr w:rsidR="00F26F01" w:rsidRPr="00C33834" w14:paraId="2C1BEC11" w14:textId="77777777">
        <w:tc>
          <w:tcPr>
            <w:tcW w:w="828" w:type="dxa"/>
          </w:tcPr>
          <w:p w14:paraId="0025182F"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2611" w:type="dxa"/>
          </w:tcPr>
          <w:p w14:paraId="2A1D6D4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Разведчики</w:t>
            </w:r>
          </w:p>
        </w:tc>
        <w:tc>
          <w:tcPr>
            <w:tcW w:w="1979" w:type="dxa"/>
          </w:tcPr>
          <w:p w14:paraId="45F560EF"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712" w:type="dxa"/>
          </w:tcPr>
          <w:p w14:paraId="71947E86"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798" w:type="dxa"/>
          </w:tcPr>
          <w:p w14:paraId="68C6C261"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r>
      <w:tr w:rsidR="00F26F01" w:rsidRPr="00C33834" w14:paraId="11C5FE18" w14:textId="77777777">
        <w:tc>
          <w:tcPr>
            <w:tcW w:w="828" w:type="dxa"/>
          </w:tcPr>
          <w:p w14:paraId="463C001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2611" w:type="dxa"/>
          </w:tcPr>
          <w:p w14:paraId="06DB9FB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w:t>
            </w:r>
          </w:p>
        </w:tc>
        <w:tc>
          <w:tcPr>
            <w:tcW w:w="1979" w:type="dxa"/>
          </w:tcPr>
          <w:p w14:paraId="328AD58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2350</w:t>
            </w:r>
          </w:p>
        </w:tc>
        <w:tc>
          <w:tcPr>
            <w:tcW w:w="1712" w:type="dxa"/>
          </w:tcPr>
          <w:p w14:paraId="132F19D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2500</w:t>
            </w:r>
          </w:p>
        </w:tc>
        <w:tc>
          <w:tcPr>
            <w:tcW w:w="1798" w:type="dxa"/>
          </w:tcPr>
          <w:p w14:paraId="10FE95D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3200</w:t>
            </w:r>
          </w:p>
        </w:tc>
      </w:tr>
      <w:tr w:rsidR="00F26F01" w:rsidRPr="00C33834" w14:paraId="36DA5F4D" w14:textId="77777777">
        <w:tc>
          <w:tcPr>
            <w:tcW w:w="828" w:type="dxa"/>
          </w:tcPr>
          <w:p w14:paraId="73B194A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w:t>
            </w:r>
          </w:p>
        </w:tc>
        <w:tc>
          <w:tcPr>
            <w:tcW w:w="2611" w:type="dxa"/>
          </w:tcPr>
          <w:p w14:paraId="7EA1359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w:t>
            </w:r>
          </w:p>
        </w:tc>
        <w:tc>
          <w:tcPr>
            <w:tcW w:w="1979" w:type="dxa"/>
          </w:tcPr>
          <w:p w14:paraId="0990E69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1712" w:type="dxa"/>
          </w:tcPr>
          <w:p w14:paraId="16EB5D3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1798" w:type="dxa"/>
          </w:tcPr>
          <w:p w14:paraId="5E63D47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r>
      <w:tr w:rsidR="00F26F01" w:rsidRPr="00C33834" w14:paraId="17B44887" w14:textId="77777777">
        <w:tc>
          <w:tcPr>
            <w:tcW w:w="828" w:type="dxa"/>
          </w:tcPr>
          <w:p w14:paraId="7286DBC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2611" w:type="dxa"/>
          </w:tcPr>
          <w:p w14:paraId="3AAAFE3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w:t>
            </w:r>
          </w:p>
        </w:tc>
        <w:tc>
          <w:tcPr>
            <w:tcW w:w="1979" w:type="dxa"/>
          </w:tcPr>
          <w:p w14:paraId="4CE8885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270</w:t>
            </w:r>
          </w:p>
        </w:tc>
        <w:tc>
          <w:tcPr>
            <w:tcW w:w="1712" w:type="dxa"/>
          </w:tcPr>
          <w:p w14:paraId="0FC30FB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798" w:type="dxa"/>
          </w:tcPr>
          <w:p w14:paraId="493F2D2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r>
      <w:tr w:rsidR="00F26F01" w:rsidRPr="00C33834" w14:paraId="55889AA8" w14:textId="77777777">
        <w:tc>
          <w:tcPr>
            <w:tcW w:w="828" w:type="dxa"/>
          </w:tcPr>
          <w:p w14:paraId="7A4F1338"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2611" w:type="dxa"/>
          </w:tcPr>
          <w:p w14:paraId="46A143AE"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979" w:type="dxa"/>
          </w:tcPr>
          <w:p w14:paraId="33AE394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2650</w:t>
            </w:r>
          </w:p>
        </w:tc>
        <w:tc>
          <w:tcPr>
            <w:tcW w:w="1712" w:type="dxa"/>
          </w:tcPr>
          <w:p w14:paraId="3DD78B0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1798" w:type="dxa"/>
          </w:tcPr>
          <w:p w14:paraId="10FD03D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r>
      <w:tr w:rsidR="00F26F01" w:rsidRPr="00C33834" w14:paraId="18E1E2F9" w14:textId="77777777">
        <w:tc>
          <w:tcPr>
            <w:tcW w:w="828" w:type="dxa"/>
          </w:tcPr>
          <w:p w14:paraId="74A1F32C"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2611" w:type="dxa"/>
          </w:tcPr>
          <w:p w14:paraId="03FADE8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Бомбардировщики</w:t>
            </w:r>
          </w:p>
        </w:tc>
        <w:tc>
          <w:tcPr>
            <w:tcW w:w="1979" w:type="dxa"/>
          </w:tcPr>
          <w:p w14:paraId="4A37276C"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712" w:type="dxa"/>
          </w:tcPr>
          <w:p w14:paraId="40F04049"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798" w:type="dxa"/>
          </w:tcPr>
          <w:p w14:paraId="5BDF197E"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r>
      <w:tr w:rsidR="00F26F01" w:rsidRPr="00C33834" w14:paraId="5BCCDD6B" w14:textId="77777777">
        <w:tc>
          <w:tcPr>
            <w:tcW w:w="828" w:type="dxa"/>
          </w:tcPr>
          <w:p w14:paraId="2CCD290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2611" w:type="dxa"/>
          </w:tcPr>
          <w:p w14:paraId="55AB985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w:t>
            </w:r>
          </w:p>
        </w:tc>
        <w:tc>
          <w:tcPr>
            <w:tcW w:w="1979" w:type="dxa"/>
          </w:tcPr>
          <w:p w14:paraId="3300B85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w:t>
            </w:r>
          </w:p>
        </w:tc>
        <w:tc>
          <w:tcPr>
            <w:tcW w:w="1712" w:type="dxa"/>
          </w:tcPr>
          <w:p w14:paraId="3DACE74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1800</w:t>
            </w:r>
          </w:p>
        </w:tc>
        <w:tc>
          <w:tcPr>
            <w:tcW w:w="1798" w:type="dxa"/>
          </w:tcPr>
          <w:p w14:paraId="2D316A6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1800</w:t>
            </w:r>
          </w:p>
        </w:tc>
      </w:tr>
      <w:tr w:rsidR="00F26F01" w:rsidRPr="00C33834" w14:paraId="090660BE" w14:textId="77777777">
        <w:tc>
          <w:tcPr>
            <w:tcW w:w="828" w:type="dxa"/>
          </w:tcPr>
          <w:p w14:paraId="5D573B7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2611" w:type="dxa"/>
          </w:tcPr>
          <w:p w14:paraId="76905BA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1979" w:type="dxa"/>
          </w:tcPr>
          <w:p w14:paraId="1B1819D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tc>
        <w:tc>
          <w:tcPr>
            <w:tcW w:w="1712" w:type="dxa"/>
          </w:tcPr>
          <w:p w14:paraId="06A310D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798" w:type="dxa"/>
          </w:tcPr>
          <w:p w14:paraId="38C8C3A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4B3D961" w14:textId="77777777">
        <w:tc>
          <w:tcPr>
            <w:tcW w:w="828" w:type="dxa"/>
          </w:tcPr>
          <w:p w14:paraId="54BA1DA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2611" w:type="dxa"/>
          </w:tcPr>
          <w:p w14:paraId="03109E8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w:t>
            </w:r>
          </w:p>
        </w:tc>
        <w:tc>
          <w:tcPr>
            <w:tcW w:w="1979" w:type="dxa"/>
          </w:tcPr>
          <w:p w14:paraId="2F9F965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1712" w:type="dxa"/>
          </w:tcPr>
          <w:p w14:paraId="1857388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c>
          <w:tcPr>
            <w:tcW w:w="1798" w:type="dxa"/>
          </w:tcPr>
          <w:p w14:paraId="6520C1B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r>
      <w:tr w:rsidR="00F26F01" w:rsidRPr="00C33834" w14:paraId="33837EE6" w14:textId="77777777">
        <w:tc>
          <w:tcPr>
            <w:tcW w:w="828" w:type="dxa"/>
          </w:tcPr>
          <w:p w14:paraId="72A7208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2611" w:type="dxa"/>
          </w:tcPr>
          <w:p w14:paraId="1098918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1979" w:type="dxa"/>
          </w:tcPr>
          <w:p w14:paraId="481476E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220</w:t>
            </w:r>
          </w:p>
        </w:tc>
        <w:tc>
          <w:tcPr>
            <w:tcW w:w="1712" w:type="dxa"/>
          </w:tcPr>
          <w:p w14:paraId="5422945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1798" w:type="dxa"/>
          </w:tcPr>
          <w:p w14:paraId="4DA0F92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1400</w:t>
            </w:r>
          </w:p>
        </w:tc>
      </w:tr>
      <w:tr w:rsidR="00F26F01" w:rsidRPr="00C33834" w14:paraId="1571EC9F" w14:textId="77777777">
        <w:tc>
          <w:tcPr>
            <w:tcW w:w="828" w:type="dxa"/>
          </w:tcPr>
          <w:p w14:paraId="56A811B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w:t>
            </w:r>
          </w:p>
        </w:tc>
        <w:tc>
          <w:tcPr>
            <w:tcW w:w="2611" w:type="dxa"/>
          </w:tcPr>
          <w:p w14:paraId="08BBD93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1979" w:type="dxa"/>
          </w:tcPr>
          <w:p w14:paraId="29880C7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712" w:type="dxa"/>
          </w:tcPr>
          <w:p w14:paraId="6353C92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1798" w:type="dxa"/>
          </w:tcPr>
          <w:p w14:paraId="20591B1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r>
      <w:tr w:rsidR="00F26F01" w:rsidRPr="00C33834" w14:paraId="5CC5A9BA" w14:textId="77777777">
        <w:tc>
          <w:tcPr>
            <w:tcW w:w="828" w:type="dxa"/>
          </w:tcPr>
          <w:p w14:paraId="4E8F555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126</w:t>
            </w:r>
          </w:p>
        </w:tc>
        <w:tc>
          <w:tcPr>
            <w:tcW w:w="2611" w:type="dxa"/>
          </w:tcPr>
          <w:p w14:paraId="6BCAED8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1979" w:type="dxa"/>
          </w:tcPr>
          <w:p w14:paraId="63077A4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712" w:type="dxa"/>
          </w:tcPr>
          <w:p w14:paraId="30EC04F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1798" w:type="dxa"/>
          </w:tcPr>
          <w:p w14:paraId="698635A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r>
      <w:tr w:rsidR="00F26F01" w:rsidRPr="00C33834" w14:paraId="783386BE" w14:textId="77777777">
        <w:tc>
          <w:tcPr>
            <w:tcW w:w="828" w:type="dxa"/>
          </w:tcPr>
          <w:p w14:paraId="260D1EC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124</w:t>
            </w:r>
          </w:p>
        </w:tc>
        <w:tc>
          <w:tcPr>
            <w:tcW w:w="2611" w:type="dxa"/>
          </w:tcPr>
          <w:p w14:paraId="6062D32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1979" w:type="dxa"/>
          </w:tcPr>
          <w:p w14:paraId="4A4C03C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712" w:type="dxa"/>
          </w:tcPr>
          <w:p w14:paraId="61396CA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1798" w:type="dxa"/>
          </w:tcPr>
          <w:p w14:paraId="730A964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w:t>
            </w:r>
          </w:p>
        </w:tc>
      </w:tr>
      <w:tr w:rsidR="00F26F01" w:rsidRPr="00C33834" w14:paraId="47D72CE3" w14:textId="77777777">
        <w:tc>
          <w:tcPr>
            <w:tcW w:w="828" w:type="dxa"/>
          </w:tcPr>
          <w:p w14:paraId="6BC51158"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2611" w:type="dxa"/>
          </w:tcPr>
          <w:p w14:paraId="02375396"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979" w:type="dxa"/>
          </w:tcPr>
          <w:p w14:paraId="1F8E434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2020</w:t>
            </w:r>
          </w:p>
        </w:tc>
        <w:tc>
          <w:tcPr>
            <w:tcW w:w="1712" w:type="dxa"/>
          </w:tcPr>
          <w:p w14:paraId="2FB81E4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2800</w:t>
            </w:r>
          </w:p>
        </w:tc>
        <w:tc>
          <w:tcPr>
            <w:tcW w:w="1798" w:type="dxa"/>
          </w:tcPr>
          <w:p w14:paraId="456ED46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3730</w:t>
            </w:r>
          </w:p>
        </w:tc>
      </w:tr>
      <w:tr w:rsidR="00F26F01" w:rsidRPr="00C33834" w14:paraId="26E4F0F8" w14:textId="77777777">
        <w:tc>
          <w:tcPr>
            <w:tcW w:w="828" w:type="dxa"/>
          </w:tcPr>
          <w:p w14:paraId="24E1E685"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2611" w:type="dxa"/>
          </w:tcPr>
          <w:p w14:paraId="09553EE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Истребители</w:t>
            </w:r>
          </w:p>
        </w:tc>
        <w:tc>
          <w:tcPr>
            <w:tcW w:w="1979" w:type="dxa"/>
          </w:tcPr>
          <w:p w14:paraId="265BF64C"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712" w:type="dxa"/>
          </w:tcPr>
          <w:p w14:paraId="3104802D"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798" w:type="dxa"/>
          </w:tcPr>
          <w:p w14:paraId="14B60B87"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r>
      <w:tr w:rsidR="00F26F01" w:rsidRPr="00C33834" w14:paraId="7C6FEDA8" w14:textId="77777777">
        <w:tc>
          <w:tcPr>
            <w:tcW w:w="828" w:type="dxa"/>
          </w:tcPr>
          <w:p w14:paraId="37FD130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2611" w:type="dxa"/>
          </w:tcPr>
          <w:p w14:paraId="02D0424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w:t>
            </w:r>
          </w:p>
        </w:tc>
        <w:tc>
          <w:tcPr>
            <w:tcW w:w="1979" w:type="dxa"/>
          </w:tcPr>
          <w:p w14:paraId="0A8B308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550</w:t>
            </w:r>
          </w:p>
        </w:tc>
        <w:tc>
          <w:tcPr>
            <w:tcW w:w="1712" w:type="dxa"/>
          </w:tcPr>
          <w:p w14:paraId="18D16E4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1798" w:type="dxa"/>
          </w:tcPr>
          <w:p w14:paraId="357FA1D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r>
      <w:tr w:rsidR="00F26F01" w:rsidRPr="00C33834" w14:paraId="26356311" w14:textId="77777777">
        <w:tc>
          <w:tcPr>
            <w:tcW w:w="828" w:type="dxa"/>
          </w:tcPr>
          <w:p w14:paraId="6CFD51F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2611" w:type="dxa"/>
          </w:tcPr>
          <w:p w14:paraId="4D3F892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w:t>
            </w:r>
          </w:p>
        </w:tc>
        <w:tc>
          <w:tcPr>
            <w:tcW w:w="1979" w:type="dxa"/>
          </w:tcPr>
          <w:p w14:paraId="197DEEE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310</w:t>
            </w:r>
          </w:p>
        </w:tc>
        <w:tc>
          <w:tcPr>
            <w:tcW w:w="1712" w:type="dxa"/>
          </w:tcPr>
          <w:p w14:paraId="0F428A7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1798" w:type="dxa"/>
          </w:tcPr>
          <w:p w14:paraId="06C7488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r>
      <w:tr w:rsidR="00F26F01" w:rsidRPr="00C33834" w14:paraId="7BA50332" w14:textId="77777777">
        <w:tc>
          <w:tcPr>
            <w:tcW w:w="828" w:type="dxa"/>
          </w:tcPr>
          <w:p w14:paraId="692653B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2611" w:type="dxa"/>
          </w:tcPr>
          <w:p w14:paraId="7E66C42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w:t>
            </w:r>
          </w:p>
        </w:tc>
        <w:tc>
          <w:tcPr>
            <w:tcW w:w="1979" w:type="dxa"/>
          </w:tcPr>
          <w:p w14:paraId="47803E9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1600</w:t>
            </w:r>
          </w:p>
        </w:tc>
        <w:tc>
          <w:tcPr>
            <w:tcW w:w="1712" w:type="dxa"/>
          </w:tcPr>
          <w:p w14:paraId="1DED539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2900</w:t>
            </w:r>
          </w:p>
        </w:tc>
        <w:tc>
          <w:tcPr>
            <w:tcW w:w="1798" w:type="dxa"/>
          </w:tcPr>
          <w:p w14:paraId="34AD691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3600</w:t>
            </w:r>
          </w:p>
        </w:tc>
      </w:tr>
      <w:tr w:rsidR="00F26F01" w:rsidRPr="00C33834" w14:paraId="14318220" w14:textId="77777777">
        <w:tc>
          <w:tcPr>
            <w:tcW w:w="828" w:type="dxa"/>
          </w:tcPr>
          <w:p w14:paraId="04789AB1"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2611" w:type="dxa"/>
          </w:tcPr>
          <w:p w14:paraId="21D31FCA"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979" w:type="dxa"/>
          </w:tcPr>
          <w:p w14:paraId="3B7757A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2460</w:t>
            </w:r>
          </w:p>
        </w:tc>
        <w:tc>
          <w:tcPr>
            <w:tcW w:w="1712" w:type="dxa"/>
          </w:tcPr>
          <w:p w14:paraId="6C6AA89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4300</w:t>
            </w:r>
          </w:p>
        </w:tc>
        <w:tc>
          <w:tcPr>
            <w:tcW w:w="1798" w:type="dxa"/>
          </w:tcPr>
          <w:p w14:paraId="52D36E0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r>
      <w:tr w:rsidR="00F26F01" w:rsidRPr="00C33834" w14:paraId="6DDE839F" w14:textId="77777777">
        <w:tc>
          <w:tcPr>
            <w:tcW w:w="828" w:type="dxa"/>
          </w:tcPr>
          <w:p w14:paraId="4A59CF34"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2611" w:type="dxa"/>
          </w:tcPr>
          <w:p w14:paraId="726EE5F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Учебные</w:t>
            </w:r>
          </w:p>
        </w:tc>
        <w:tc>
          <w:tcPr>
            <w:tcW w:w="1979" w:type="dxa"/>
          </w:tcPr>
          <w:p w14:paraId="23791A09"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712" w:type="dxa"/>
          </w:tcPr>
          <w:p w14:paraId="77E894EC"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798" w:type="dxa"/>
          </w:tcPr>
          <w:p w14:paraId="30A610C8"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r>
      <w:tr w:rsidR="00F26F01" w:rsidRPr="00C33834" w14:paraId="6272659E" w14:textId="77777777">
        <w:tc>
          <w:tcPr>
            <w:tcW w:w="828" w:type="dxa"/>
          </w:tcPr>
          <w:p w14:paraId="0C6C691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c>
          <w:tcPr>
            <w:tcW w:w="2611" w:type="dxa"/>
          </w:tcPr>
          <w:p w14:paraId="36087AC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w:t>
            </w:r>
          </w:p>
        </w:tc>
        <w:tc>
          <w:tcPr>
            <w:tcW w:w="1979" w:type="dxa"/>
          </w:tcPr>
          <w:p w14:paraId="7E5B4C4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1600</w:t>
            </w:r>
          </w:p>
        </w:tc>
        <w:tc>
          <w:tcPr>
            <w:tcW w:w="1712" w:type="dxa"/>
          </w:tcPr>
          <w:p w14:paraId="0F8A492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1600</w:t>
            </w:r>
          </w:p>
        </w:tc>
        <w:tc>
          <w:tcPr>
            <w:tcW w:w="1798" w:type="dxa"/>
          </w:tcPr>
          <w:p w14:paraId="47249B9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1600</w:t>
            </w:r>
          </w:p>
        </w:tc>
      </w:tr>
      <w:tr w:rsidR="00F26F01" w:rsidRPr="00C33834" w14:paraId="656A7856" w14:textId="77777777">
        <w:tc>
          <w:tcPr>
            <w:tcW w:w="828" w:type="dxa"/>
            <w:tcBorders>
              <w:bottom w:val="single" w:sz="12" w:space="0" w:color="auto"/>
            </w:tcBorders>
          </w:tcPr>
          <w:p w14:paraId="59B15635"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2611" w:type="dxa"/>
            <w:tcBorders>
              <w:bottom w:val="single" w:sz="12" w:space="0" w:color="auto"/>
            </w:tcBorders>
          </w:tcPr>
          <w:p w14:paraId="03451A1B"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979" w:type="dxa"/>
            <w:tcBorders>
              <w:bottom w:val="single" w:sz="12" w:space="0" w:color="auto"/>
            </w:tcBorders>
          </w:tcPr>
          <w:p w14:paraId="0D07320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8730</w:t>
            </w:r>
          </w:p>
        </w:tc>
        <w:tc>
          <w:tcPr>
            <w:tcW w:w="1712" w:type="dxa"/>
            <w:tcBorders>
              <w:bottom w:val="single" w:sz="12" w:space="0" w:color="auto"/>
            </w:tcBorders>
          </w:tcPr>
          <w:p w14:paraId="68174DE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11700</w:t>
            </w:r>
          </w:p>
        </w:tc>
        <w:tc>
          <w:tcPr>
            <w:tcW w:w="1798" w:type="dxa"/>
            <w:tcBorders>
              <w:bottom w:val="single" w:sz="12" w:space="0" w:color="auto"/>
            </w:tcBorders>
          </w:tcPr>
          <w:p w14:paraId="61145E1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14330</w:t>
            </w:r>
          </w:p>
        </w:tc>
      </w:tr>
    </w:tbl>
    <w:p w14:paraId="40976F3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Выпуск моторов за год войны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28"/>
        <w:gridCol w:w="2611"/>
        <w:gridCol w:w="1979"/>
        <w:gridCol w:w="1712"/>
        <w:gridCol w:w="1798"/>
      </w:tblGrid>
      <w:tr w:rsidR="00F26F01" w:rsidRPr="00C33834" w14:paraId="2D164473" w14:textId="77777777">
        <w:tc>
          <w:tcPr>
            <w:tcW w:w="828" w:type="dxa"/>
            <w:tcBorders>
              <w:top w:val="single" w:sz="12" w:space="0" w:color="auto"/>
            </w:tcBorders>
          </w:tcPr>
          <w:p w14:paraId="0C930B2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зав.</w:t>
            </w:r>
          </w:p>
        </w:tc>
        <w:tc>
          <w:tcPr>
            <w:tcW w:w="2611" w:type="dxa"/>
            <w:tcBorders>
              <w:top w:val="single" w:sz="12" w:space="0" w:color="auto"/>
            </w:tcBorders>
          </w:tcPr>
          <w:p w14:paraId="0020373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w:t>
            </w:r>
          </w:p>
        </w:tc>
        <w:tc>
          <w:tcPr>
            <w:tcW w:w="1979" w:type="dxa"/>
            <w:tcBorders>
              <w:top w:val="single" w:sz="12" w:space="0" w:color="auto"/>
            </w:tcBorders>
          </w:tcPr>
          <w:p w14:paraId="6EF2A3C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1934</w:t>
            </w:r>
          </w:p>
        </w:tc>
        <w:tc>
          <w:tcPr>
            <w:tcW w:w="1712" w:type="dxa"/>
            <w:tcBorders>
              <w:top w:val="single" w:sz="12" w:space="0" w:color="auto"/>
            </w:tcBorders>
          </w:tcPr>
          <w:p w14:paraId="6D81D39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1935</w:t>
            </w:r>
          </w:p>
        </w:tc>
        <w:tc>
          <w:tcPr>
            <w:tcW w:w="1798" w:type="dxa"/>
            <w:tcBorders>
              <w:top w:val="single" w:sz="12" w:space="0" w:color="auto"/>
            </w:tcBorders>
          </w:tcPr>
          <w:p w14:paraId="28A06A2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1936</w:t>
            </w:r>
          </w:p>
        </w:tc>
      </w:tr>
      <w:tr w:rsidR="00F26F01" w:rsidRPr="00C33834" w14:paraId="0CE9EE0D" w14:textId="77777777">
        <w:tc>
          <w:tcPr>
            <w:tcW w:w="828" w:type="dxa"/>
          </w:tcPr>
          <w:p w14:paraId="4A4CAC2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w:t>
            </w:r>
          </w:p>
        </w:tc>
        <w:tc>
          <w:tcPr>
            <w:tcW w:w="2611" w:type="dxa"/>
          </w:tcPr>
          <w:p w14:paraId="7A75D6E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1979" w:type="dxa"/>
          </w:tcPr>
          <w:p w14:paraId="15C1F0E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7500</w:t>
            </w:r>
          </w:p>
        </w:tc>
        <w:tc>
          <w:tcPr>
            <w:tcW w:w="1712" w:type="dxa"/>
          </w:tcPr>
          <w:p w14:paraId="4C437C0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9450</w:t>
            </w:r>
          </w:p>
        </w:tc>
        <w:tc>
          <w:tcPr>
            <w:tcW w:w="1798" w:type="dxa"/>
          </w:tcPr>
          <w:p w14:paraId="53F8DAA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10000</w:t>
            </w:r>
          </w:p>
        </w:tc>
      </w:tr>
      <w:tr w:rsidR="00F26F01" w:rsidRPr="00C33834" w14:paraId="36A8BB80" w14:textId="77777777">
        <w:tc>
          <w:tcPr>
            <w:tcW w:w="828" w:type="dxa"/>
          </w:tcPr>
          <w:p w14:paraId="055E1BF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2611" w:type="dxa"/>
          </w:tcPr>
          <w:p w14:paraId="0664029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1979" w:type="dxa"/>
          </w:tcPr>
          <w:p w14:paraId="45C41A3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3700</w:t>
            </w:r>
          </w:p>
        </w:tc>
        <w:tc>
          <w:tcPr>
            <w:tcW w:w="1712" w:type="dxa"/>
          </w:tcPr>
          <w:p w14:paraId="0F2FAFF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6500</w:t>
            </w:r>
          </w:p>
        </w:tc>
        <w:tc>
          <w:tcPr>
            <w:tcW w:w="1798" w:type="dxa"/>
          </w:tcPr>
          <w:p w14:paraId="337F533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11200</w:t>
            </w:r>
          </w:p>
        </w:tc>
      </w:tr>
      <w:tr w:rsidR="00F26F01" w:rsidRPr="00C33834" w14:paraId="75B7C847" w14:textId="77777777">
        <w:tc>
          <w:tcPr>
            <w:tcW w:w="828" w:type="dxa"/>
          </w:tcPr>
          <w:p w14:paraId="022DF8C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w:t>
            </w:r>
          </w:p>
        </w:tc>
        <w:tc>
          <w:tcPr>
            <w:tcW w:w="2611" w:type="dxa"/>
          </w:tcPr>
          <w:p w14:paraId="38AD33D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979" w:type="dxa"/>
          </w:tcPr>
          <w:p w14:paraId="67A9D71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1712" w:type="dxa"/>
          </w:tcPr>
          <w:p w14:paraId="79AE132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2800</w:t>
            </w:r>
          </w:p>
        </w:tc>
        <w:tc>
          <w:tcPr>
            <w:tcW w:w="1798" w:type="dxa"/>
          </w:tcPr>
          <w:p w14:paraId="2621B20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4400</w:t>
            </w:r>
          </w:p>
        </w:tc>
      </w:tr>
      <w:tr w:rsidR="00F26F01" w:rsidRPr="00C33834" w14:paraId="1571B50B" w14:textId="77777777">
        <w:tc>
          <w:tcPr>
            <w:tcW w:w="828" w:type="dxa"/>
          </w:tcPr>
          <w:p w14:paraId="268B30C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2611" w:type="dxa"/>
          </w:tcPr>
          <w:p w14:paraId="44DBD64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979" w:type="dxa"/>
          </w:tcPr>
          <w:p w14:paraId="40B754C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w:t>
            </w:r>
          </w:p>
        </w:tc>
        <w:tc>
          <w:tcPr>
            <w:tcW w:w="1712" w:type="dxa"/>
          </w:tcPr>
          <w:p w14:paraId="543C35F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w:t>
            </w:r>
          </w:p>
        </w:tc>
        <w:tc>
          <w:tcPr>
            <w:tcW w:w="1798" w:type="dxa"/>
          </w:tcPr>
          <w:p w14:paraId="24EF8FF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w:t>
            </w:r>
          </w:p>
        </w:tc>
      </w:tr>
      <w:tr w:rsidR="00F26F01" w:rsidRPr="00C33834" w14:paraId="76A49DE8" w14:textId="77777777">
        <w:tc>
          <w:tcPr>
            <w:tcW w:w="828" w:type="dxa"/>
          </w:tcPr>
          <w:p w14:paraId="463B2C1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2611" w:type="dxa"/>
          </w:tcPr>
          <w:p w14:paraId="6716E73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w:t>
            </w:r>
          </w:p>
        </w:tc>
        <w:tc>
          <w:tcPr>
            <w:tcW w:w="1979" w:type="dxa"/>
          </w:tcPr>
          <w:p w14:paraId="74B1DF2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712" w:type="dxa"/>
          </w:tcPr>
          <w:p w14:paraId="66CBE79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2400</w:t>
            </w:r>
          </w:p>
        </w:tc>
        <w:tc>
          <w:tcPr>
            <w:tcW w:w="1798" w:type="dxa"/>
          </w:tcPr>
          <w:p w14:paraId="37814E4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2400</w:t>
            </w:r>
          </w:p>
        </w:tc>
      </w:tr>
      <w:tr w:rsidR="00F26F01" w:rsidRPr="00C33834" w14:paraId="068BFBB1" w14:textId="77777777">
        <w:tc>
          <w:tcPr>
            <w:tcW w:w="828" w:type="dxa"/>
            <w:tcBorders>
              <w:bottom w:val="single" w:sz="12" w:space="0" w:color="auto"/>
            </w:tcBorders>
          </w:tcPr>
          <w:p w14:paraId="244ABC41"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2611" w:type="dxa"/>
            <w:tcBorders>
              <w:bottom w:val="single" w:sz="12" w:space="0" w:color="auto"/>
            </w:tcBorders>
          </w:tcPr>
          <w:p w14:paraId="6224BD89"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979" w:type="dxa"/>
            <w:tcBorders>
              <w:bottom w:val="single" w:sz="12" w:space="0" w:color="auto"/>
            </w:tcBorders>
          </w:tcPr>
          <w:p w14:paraId="36882C4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15150</w:t>
            </w:r>
          </w:p>
        </w:tc>
        <w:tc>
          <w:tcPr>
            <w:tcW w:w="1712" w:type="dxa"/>
            <w:tcBorders>
              <w:bottom w:val="single" w:sz="12" w:space="0" w:color="auto"/>
            </w:tcBorders>
          </w:tcPr>
          <w:p w14:paraId="21167A4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22350</w:t>
            </w:r>
          </w:p>
        </w:tc>
        <w:tc>
          <w:tcPr>
            <w:tcW w:w="1798" w:type="dxa"/>
            <w:tcBorders>
              <w:bottom w:val="single" w:sz="12" w:space="0" w:color="auto"/>
            </w:tcBorders>
          </w:tcPr>
          <w:p w14:paraId="765DC64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2920</w:t>
            </w:r>
          </w:p>
        </w:tc>
      </w:tr>
    </w:tbl>
    <w:p w14:paraId="434378D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случае замены типов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F26F01" w:rsidRPr="00C33834" w14:paraId="694594BB" w14:textId="77777777">
        <w:tc>
          <w:tcPr>
            <w:tcW w:w="1915" w:type="dxa"/>
            <w:tcBorders>
              <w:top w:val="single" w:sz="12" w:space="0" w:color="auto"/>
            </w:tcBorders>
          </w:tcPr>
          <w:p w14:paraId="0E7E904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Уменьшение</w:t>
            </w:r>
          </w:p>
        </w:tc>
        <w:tc>
          <w:tcPr>
            <w:tcW w:w="1915" w:type="dxa"/>
            <w:tcBorders>
              <w:top w:val="single" w:sz="12" w:space="0" w:color="auto"/>
            </w:tcBorders>
          </w:tcPr>
          <w:p w14:paraId="287240B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1915" w:type="dxa"/>
            <w:tcBorders>
              <w:top w:val="single" w:sz="12" w:space="0" w:color="auto"/>
            </w:tcBorders>
          </w:tcPr>
          <w:p w14:paraId="4229CAE1"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915" w:type="dxa"/>
            <w:tcBorders>
              <w:top w:val="single" w:sz="12" w:space="0" w:color="auto"/>
            </w:tcBorders>
          </w:tcPr>
          <w:p w14:paraId="5858F32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915" w:type="dxa"/>
            <w:tcBorders>
              <w:top w:val="single" w:sz="12" w:space="0" w:color="auto"/>
            </w:tcBorders>
          </w:tcPr>
          <w:p w14:paraId="6774073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7000</w:t>
            </w:r>
          </w:p>
        </w:tc>
      </w:tr>
      <w:tr w:rsidR="00F26F01" w:rsidRPr="00C33834" w14:paraId="13CA5197" w14:textId="77777777">
        <w:tc>
          <w:tcPr>
            <w:tcW w:w="1915" w:type="dxa"/>
          </w:tcPr>
          <w:p w14:paraId="2D67BC47"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915" w:type="dxa"/>
          </w:tcPr>
          <w:p w14:paraId="7FAEAA4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915" w:type="dxa"/>
          </w:tcPr>
          <w:p w14:paraId="6AC8939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1915" w:type="dxa"/>
          </w:tcPr>
          <w:p w14:paraId="2BD290C6"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915" w:type="dxa"/>
          </w:tcPr>
          <w:p w14:paraId="4808C71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2800</w:t>
            </w:r>
          </w:p>
        </w:tc>
      </w:tr>
      <w:tr w:rsidR="00F26F01" w:rsidRPr="00C33834" w14:paraId="7426DC73" w14:textId="77777777">
        <w:tc>
          <w:tcPr>
            <w:tcW w:w="1915" w:type="dxa"/>
          </w:tcPr>
          <w:p w14:paraId="53A8C2F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Увеличение</w:t>
            </w:r>
          </w:p>
        </w:tc>
        <w:tc>
          <w:tcPr>
            <w:tcW w:w="1915" w:type="dxa"/>
          </w:tcPr>
          <w:p w14:paraId="0C4CE8B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РЦ</w:t>
            </w:r>
          </w:p>
        </w:tc>
        <w:tc>
          <w:tcPr>
            <w:tcW w:w="1915" w:type="dxa"/>
          </w:tcPr>
          <w:p w14:paraId="7D88333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1915" w:type="dxa"/>
          </w:tcPr>
          <w:p w14:paraId="6D214EB8"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915" w:type="dxa"/>
          </w:tcPr>
          <w:p w14:paraId="31D5DA5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r>
      <w:tr w:rsidR="00F26F01" w:rsidRPr="00C33834" w14:paraId="5249DD49" w14:textId="77777777">
        <w:tc>
          <w:tcPr>
            <w:tcW w:w="1915" w:type="dxa"/>
          </w:tcPr>
          <w:p w14:paraId="11E43099"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915" w:type="dxa"/>
          </w:tcPr>
          <w:p w14:paraId="7A292B2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КК</w:t>
            </w:r>
          </w:p>
        </w:tc>
        <w:tc>
          <w:tcPr>
            <w:tcW w:w="1915" w:type="dxa"/>
          </w:tcPr>
          <w:p w14:paraId="1868911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1915" w:type="dxa"/>
          </w:tcPr>
          <w:p w14:paraId="7E93F6C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2200</w:t>
            </w:r>
          </w:p>
        </w:tc>
        <w:tc>
          <w:tcPr>
            <w:tcW w:w="1915" w:type="dxa"/>
          </w:tcPr>
          <w:p w14:paraId="0D6E0F33"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r>
      <w:tr w:rsidR="00F26F01" w:rsidRPr="00C33834" w14:paraId="44039988" w14:textId="77777777">
        <w:tc>
          <w:tcPr>
            <w:tcW w:w="1915" w:type="dxa"/>
            <w:tcBorders>
              <w:bottom w:val="single" w:sz="12" w:space="0" w:color="auto"/>
            </w:tcBorders>
          </w:tcPr>
          <w:p w14:paraId="76BB177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будет моторов</w:t>
            </w:r>
          </w:p>
        </w:tc>
        <w:tc>
          <w:tcPr>
            <w:tcW w:w="1915" w:type="dxa"/>
            <w:tcBorders>
              <w:bottom w:val="single" w:sz="12" w:space="0" w:color="auto"/>
            </w:tcBorders>
          </w:tcPr>
          <w:p w14:paraId="02809AF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12650</w:t>
            </w:r>
          </w:p>
        </w:tc>
        <w:tc>
          <w:tcPr>
            <w:tcW w:w="1915" w:type="dxa"/>
            <w:tcBorders>
              <w:bottom w:val="single" w:sz="12" w:space="0" w:color="auto"/>
            </w:tcBorders>
          </w:tcPr>
          <w:p w14:paraId="1AC66C2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15750</w:t>
            </w:r>
          </w:p>
        </w:tc>
        <w:tc>
          <w:tcPr>
            <w:tcW w:w="1915" w:type="dxa"/>
            <w:tcBorders>
              <w:bottom w:val="single" w:sz="12" w:space="0" w:color="auto"/>
            </w:tcBorders>
          </w:tcPr>
          <w:p w14:paraId="4930976C"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915" w:type="dxa"/>
            <w:tcBorders>
              <w:bottom w:val="single" w:sz="12" w:space="0" w:color="auto"/>
            </w:tcBorders>
          </w:tcPr>
          <w:p w14:paraId="682DE6FE"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r>
    </w:tbl>
    <w:p w14:paraId="5925C88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 Из намеченных к выпуску в 1934 М-34 700 шт. идут на неавиационные цели - танки, гидролоддки и т.п.</w:t>
      </w:r>
    </w:p>
    <w:p w14:paraId="198ABFE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Утвердить пятилетний план развития мощностей по самолетостроению в следующих количествах: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8"/>
        <w:gridCol w:w="1170"/>
        <w:gridCol w:w="1561"/>
        <w:gridCol w:w="1561"/>
        <w:gridCol w:w="1561"/>
        <w:gridCol w:w="1561"/>
        <w:gridCol w:w="1561"/>
        <w:gridCol w:w="1561"/>
      </w:tblGrid>
      <w:tr w:rsidR="00F26F01" w:rsidRPr="00C33834" w14:paraId="35A57233" w14:textId="77777777">
        <w:tc>
          <w:tcPr>
            <w:tcW w:w="738" w:type="dxa"/>
            <w:tcBorders>
              <w:top w:val="single" w:sz="12" w:space="0" w:color="auto"/>
            </w:tcBorders>
          </w:tcPr>
          <w:p w14:paraId="7AEFF69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зав.</w:t>
            </w:r>
          </w:p>
        </w:tc>
        <w:tc>
          <w:tcPr>
            <w:tcW w:w="1170" w:type="dxa"/>
            <w:tcBorders>
              <w:top w:val="single" w:sz="12" w:space="0" w:color="auto"/>
            </w:tcBorders>
          </w:tcPr>
          <w:p w14:paraId="62D43FF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Расчетный тип</w:t>
            </w:r>
          </w:p>
        </w:tc>
        <w:tc>
          <w:tcPr>
            <w:tcW w:w="1561" w:type="dxa"/>
            <w:tcBorders>
              <w:top w:val="single" w:sz="12" w:space="0" w:color="auto"/>
            </w:tcBorders>
          </w:tcPr>
          <w:p w14:paraId="03A6043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1.1.33</w:t>
            </w:r>
          </w:p>
        </w:tc>
        <w:tc>
          <w:tcPr>
            <w:tcW w:w="1561" w:type="dxa"/>
            <w:tcBorders>
              <w:top w:val="single" w:sz="12" w:space="0" w:color="auto"/>
            </w:tcBorders>
          </w:tcPr>
          <w:p w14:paraId="12FBF7D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кв. 34</w:t>
            </w:r>
          </w:p>
        </w:tc>
        <w:tc>
          <w:tcPr>
            <w:tcW w:w="1561" w:type="dxa"/>
            <w:tcBorders>
              <w:top w:val="single" w:sz="12" w:space="0" w:color="auto"/>
            </w:tcBorders>
          </w:tcPr>
          <w:p w14:paraId="675FA86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кв. 35</w:t>
            </w:r>
          </w:p>
        </w:tc>
        <w:tc>
          <w:tcPr>
            <w:tcW w:w="1561" w:type="dxa"/>
            <w:tcBorders>
              <w:top w:val="single" w:sz="12" w:space="0" w:color="auto"/>
            </w:tcBorders>
          </w:tcPr>
          <w:p w14:paraId="5BCB70B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кв. 36</w:t>
            </w:r>
          </w:p>
        </w:tc>
        <w:tc>
          <w:tcPr>
            <w:tcW w:w="1561" w:type="dxa"/>
            <w:tcBorders>
              <w:top w:val="single" w:sz="12" w:space="0" w:color="auto"/>
            </w:tcBorders>
          </w:tcPr>
          <w:p w14:paraId="26AF463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кв. 37</w:t>
            </w:r>
          </w:p>
        </w:tc>
        <w:tc>
          <w:tcPr>
            <w:tcW w:w="1561" w:type="dxa"/>
            <w:tcBorders>
              <w:top w:val="single" w:sz="12" w:space="0" w:color="auto"/>
            </w:tcBorders>
          </w:tcPr>
          <w:p w14:paraId="2D26696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кв.38</w:t>
            </w:r>
          </w:p>
        </w:tc>
      </w:tr>
      <w:tr w:rsidR="00F26F01" w:rsidRPr="00C33834" w14:paraId="1DE46BB3" w14:textId="77777777">
        <w:tc>
          <w:tcPr>
            <w:tcW w:w="738" w:type="dxa"/>
          </w:tcPr>
          <w:p w14:paraId="271ADEB4"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170" w:type="dxa"/>
          </w:tcPr>
          <w:p w14:paraId="4CDE608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Разведчики, легкие бомбовозы, штурмовики</w:t>
            </w:r>
          </w:p>
        </w:tc>
        <w:tc>
          <w:tcPr>
            <w:tcW w:w="1561" w:type="dxa"/>
          </w:tcPr>
          <w:p w14:paraId="0A2908C9"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6342CB47"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147D4ED8"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26466519"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75A1457F"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46F41C09"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r>
      <w:tr w:rsidR="00F26F01" w:rsidRPr="00C33834" w14:paraId="0E8B9538" w14:textId="77777777">
        <w:tc>
          <w:tcPr>
            <w:tcW w:w="738" w:type="dxa"/>
          </w:tcPr>
          <w:p w14:paraId="5F04711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170" w:type="dxa"/>
          </w:tcPr>
          <w:p w14:paraId="4874637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w:t>
            </w:r>
          </w:p>
        </w:tc>
        <w:tc>
          <w:tcPr>
            <w:tcW w:w="1561" w:type="dxa"/>
          </w:tcPr>
          <w:p w14:paraId="3419993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2500</w:t>
            </w:r>
          </w:p>
        </w:tc>
        <w:tc>
          <w:tcPr>
            <w:tcW w:w="1561" w:type="dxa"/>
          </w:tcPr>
          <w:p w14:paraId="55178E8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3500</w:t>
            </w:r>
          </w:p>
        </w:tc>
        <w:tc>
          <w:tcPr>
            <w:tcW w:w="1561" w:type="dxa"/>
          </w:tcPr>
          <w:p w14:paraId="03C47A3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1561" w:type="dxa"/>
          </w:tcPr>
          <w:p w14:paraId="23912BE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1561" w:type="dxa"/>
          </w:tcPr>
          <w:p w14:paraId="134F19C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1561" w:type="dxa"/>
          </w:tcPr>
          <w:p w14:paraId="5C9D031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r>
      <w:tr w:rsidR="00F26F01" w:rsidRPr="00C33834" w14:paraId="6F81BC20" w14:textId="77777777">
        <w:tc>
          <w:tcPr>
            <w:tcW w:w="738" w:type="dxa"/>
          </w:tcPr>
          <w:p w14:paraId="1BE84A5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w:t>
            </w:r>
          </w:p>
        </w:tc>
        <w:tc>
          <w:tcPr>
            <w:tcW w:w="1170" w:type="dxa"/>
          </w:tcPr>
          <w:p w14:paraId="397943B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w:t>
            </w:r>
          </w:p>
        </w:tc>
        <w:tc>
          <w:tcPr>
            <w:tcW w:w="1561" w:type="dxa"/>
          </w:tcPr>
          <w:p w14:paraId="7C26FE2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7EF1B72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1A0C0CA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561" w:type="dxa"/>
          </w:tcPr>
          <w:p w14:paraId="5B4DAF5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561" w:type="dxa"/>
          </w:tcPr>
          <w:p w14:paraId="4E4C8C8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561" w:type="dxa"/>
          </w:tcPr>
          <w:p w14:paraId="69B8BEE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r>
      <w:tr w:rsidR="00F26F01" w:rsidRPr="00C33834" w14:paraId="4B916958" w14:textId="77777777">
        <w:tc>
          <w:tcPr>
            <w:tcW w:w="738" w:type="dxa"/>
          </w:tcPr>
          <w:p w14:paraId="5F1B07A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70" w:type="dxa"/>
          </w:tcPr>
          <w:p w14:paraId="2B010DB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К-5</w:t>
            </w:r>
          </w:p>
        </w:tc>
        <w:tc>
          <w:tcPr>
            <w:tcW w:w="1561" w:type="dxa"/>
          </w:tcPr>
          <w:p w14:paraId="62774DD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1561" w:type="dxa"/>
          </w:tcPr>
          <w:p w14:paraId="15F110D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1561" w:type="dxa"/>
          </w:tcPr>
          <w:p w14:paraId="5C1FA74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561" w:type="dxa"/>
          </w:tcPr>
          <w:p w14:paraId="456117D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561" w:type="dxa"/>
          </w:tcPr>
          <w:p w14:paraId="38DCBD7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561" w:type="dxa"/>
          </w:tcPr>
          <w:p w14:paraId="075E669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r>
      <w:tr w:rsidR="00F26F01" w:rsidRPr="00C33834" w14:paraId="4BD7742C" w14:textId="77777777">
        <w:tc>
          <w:tcPr>
            <w:tcW w:w="738" w:type="dxa"/>
          </w:tcPr>
          <w:p w14:paraId="2483364D"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170" w:type="dxa"/>
          </w:tcPr>
          <w:p w14:paraId="58C6FFF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1561" w:type="dxa"/>
          </w:tcPr>
          <w:p w14:paraId="65557D7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2650</w:t>
            </w:r>
          </w:p>
        </w:tc>
        <w:tc>
          <w:tcPr>
            <w:tcW w:w="1561" w:type="dxa"/>
          </w:tcPr>
          <w:p w14:paraId="1BBB31E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3650</w:t>
            </w:r>
          </w:p>
        </w:tc>
        <w:tc>
          <w:tcPr>
            <w:tcW w:w="1561" w:type="dxa"/>
          </w:tcPr>
          <w:p w14:paraId="7776EF9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5800</w:t>
            </w:r>
          </w:p>
        </w:tc>
        <w:tc>
          <w:tcPr>
            <w:tcW w:w="1561" w:type="dxa"/>
          </w:tcPr>
          <w:p w14:paraId="28D2714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5800</w:t>
            </w:r>
          </w:p>
        </w:tc>
        <w:tc>
          <w:tcPr>
            <w:tcW w:w="1561" w:type="dxa"/>
          </w:tcPr>
          <w:p w14:paraId="2C50DA0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5800</w:t>
            </w:r>
          </w:p>
        </w:tc>
        <w:tc>
          <w:tcPr>
            <w:tcW w:w="1561" w:type="dxa"/>
          </w:tcPr>
          <w:p w14:paraId="34CA317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5800</w:t>
            </w:r>
          </w:p>
        </w:tc>
      </w:tr>
      <w:tr w:rsidR="00F26F01" w:rsidRPr="00C33834" w14:paraId="5F9CFCE1" w14:textId="77777777">
        <w:tc>
          <w:tcPr>
            <w:tcW w:w="738" w:type="dxa"/>
          </w:tcPr>
          <w:p w14:paraId="239097B3"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170" w:type="dxa"/>
          </w:tcPr>
          <w:p w14:paraId="7D186E1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Истребители</w:t>
            </w:r>
          </w:p>
        </w:tc>
        <w:tc>
          <w:tcPr>
            <w:tcW w:w="1561" w:type="dxa"/>
          </w:tcPr>
          <w:p w14:paraId="2D444DCF"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3069D5F1"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67414CEC"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4F30F9C9"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24EB7E1F"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79522687"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r>
      <w:tr w:rsidR="00F26F01" w:rsidRPr="00C33834" w14:paraId="0B4D4198" w14:textId="77777777">
        <w:tc>
          <w:tcPr>
            <w:tcW w:w="738" w:type="dxa"/>
          </w:tcPr>
          <w:p w14:paraId="249E3D0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1170" w:type="dxa"/>
          </w:tcPr>
          <w:p w14:paraId="6598D21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w:t>
            </w:r>
          </w:p>
        </w:tc>
        <w:tc>
          <w:tcPr>
            <w:tcW w:w="1561" w:type="dxa"/>
          </w:tcPr>
          <w:p w14:paraId="32C1C42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c>
          <w:tcPr>
            <w:tcW w:w="1561" w:type="dxa"/>
          </w:tcPr>
          <w:p w14:paraId="4E8F04A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2400</w:t>
            </w:r>
          </w:p>
        </w:tc>
        <w:tc>
          <w:tcPr>
            <w:tcW w:w="1561" w:type="dxa"/>
          </w:tcPr>
          <w:p w14:paraId="5FB2578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1561" w:type="dxa"/>
          </w:tcPr>
          <w:p w14:paraId="57D3CBB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1561" w:type="dxa"/>
          </w:tcPr>
          <w:p w14:paraId="733B6C9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1561" w:type="dxa"/>
          </w:tcPr>
          <w:p w14:paraId="49C0FA4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r>
      <w:tr w:rsidR="00F26F01" w:rsidRPr="00C33834" w14:paraId="562FC1FB" w14:textId="77777777">
        <w:tc>
          <w:tcPr>
            <w:tcW w:w="738" w:type="dxa"/>
          </w:tcPr>
          <w:p w14:paraId="2DDA1D9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70" w:type="dxa"/>
          </w:tcPr>
          <w:p w14:paraId="23AEEF1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Л-И</w:t>
            </w:r>
          </w:p>
        </w:tc>
        <w:tc>
          <w:tcPr>
            <w:tcW w:w="1561" w:type="dxa"/>
          </w:tcPr>
          <w:p w14:paraId="09183EF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0235821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59CCBB2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1E35426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1500/0</w:t>
            </w:r>
          </w:p>
        </w:tc>
        <w:tc>
          <w:tcPr>
            <w:tcW w:w="1561" w:type="dxa"/>
          </w:tcPr>
          <w:p w14:paraId="7C415BD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3000/1500</w:t>
            </w:r>
          </w:p>
        </w:tc>
        <w:tc>
          <w:tcPr>
            <w:tcW w:w="1561" w:type="dxa"/>
          </w:tcPr>
          <w:p w14:paraId="726CE23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r>
      <w:tr w:rsidR="00F26F01" w:rsidRPr="00C33834" w14:paraId="69ABFD63" w14:textId="77777777">
        <w:tc>
          <w:tcPr>
            <w:tcW w:w="738" w:type="dxa"/>
          </w:tcPr>
          <w:p w14:paraId="01319E3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1170" w:type="dxa"/>
          </w:tcPr>
          <w:p w14:paraId="678F6A4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w:t>
            </w:r>
          </w:p>
        </w:tc>
        <w:tc>
          <w:tcPr>
            <w:tcW w:w="1561" w:type="dxa"/>
          </w:tcPr>
          <w:p w14:paraId="03EC74B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214676C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2746C7F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1561" w:type="dxa"/>
          </w:tcPr>
          <w:p w14:paraId="61733B1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1561" w:type="dxa"/>
          </w:tcPr>
          <w:p w14:paraId="1CAF60D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1561" w:type="dxa"/>
          </w:tcPr>
          <w:p w14:paraId="0F23C0E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r>
      <w:tr w:rsidR="00F26F01" w:rsidRPr="00C33834" w14:paraId="535267ED" w14:textId="77777777">
        <w:tc>
          <w:tcPr>
            <w:tcW w:w="738" w:type="dxa"/>
          </w:tcPr>
          <w:p w14:paraId="0624A3E6"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170" w:type="dxa"/>
          </w:tcPr>
          <w:p w14:paraId="46B0555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1561" w:type="dxa"/>
          </w:tcPr>
          <w:p w14:paraId="75C7D46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c>
          <w:tcPr>
            <w:tcW w:w="1561" w:type="dxa"/>
          </w:tcPr>
          <w:p w14:paraId="0E2D85A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2400</w:t>
            </w:r>
          </w:p>
        </w:tc>
        <w:tc>
          <w:tcPr>
            <w:tcW w:w="1561" w:type="dxa"/>
          </w:tcPr>
          <w:p w14:paraId="036C737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c>
          <w:tcPr>
            <w:tcW w:w="1561" w:type="dxa"/>
          </w:tcPr>
          <w:p w14:paraId="729761D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c>
          <w:tcPr>
            <w:tcW w:w="1561" w:type="dxa"/>
          </w:tcPr>
          <w:p w14:paraId="34926B3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5500</w:t>
            </w:r>
          </w:p>
        </w:tc>
        <w:tc>
          <w:tcPr>
            <w:tcW w:w="1561" w:type="dxa"/>
          </w:tcPr>
          <w:p w14:paraId="702840F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7000</w:t>
            </w:r>
          </w:p>
        </w:tc>
      </w:tr>
      <w:tr w:rsidR="00F26F01" w:rsidRPr="00C33834" w14:paraId="0F93110E" w14:textId="77777777">
        <w:tc>
          <w:tcPr>
            <w:tcW w:w="738" w:type="dxa"/>
          </w:tcPr>
          <w:p w14:paraId="1B69E184"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170" w:type="dxa"/>
          </w:tcPr>
          <w:p w14:paraId="47FD467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Моские</w:t>
            </w:r>
          </w:p>
        </w:tc>
        <w:tc>
          <w:tcPr>
            <w:tcW w:w="1561" w:type="dxa"/>
          </w:tcPr>
          <w:p w14:paraId="5A842D73"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1BD06ACC"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259DDBAB"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3400F481"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23B0DA59"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52B547DF"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r>
      <w:tr w:rsidR="00F26F01" w:rsidRPr="00C33834" w14:paraId="6237B39E" w14:textId="77777777">
        <w:tc>
          <w:tcPr>
            <w:tcW w:w="738" w:type="dxa"/>
          </w:tcPr>
          <w:p w14:paraId="1801EDC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1170" w:type="dxa"/>
          </w:tcPr>
          <w:p w14:paraId="1D0C8F4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МБР2 (С62)</w:t>
            </w:r>
          </w:p>
        </w:tc>
        <w:tc>
          <w:tcPr>
            <w:tcW w:w="1561" w:type="dxa"/>
          </w:tcPr>
          <w:p w14:paraId="05E1DE1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561" w:type="dxa"/>
          </w:tcPr>
          <w:p w14:paraId="45126B9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561" w:type="dxa"/>
          </w:tcPr>
          <w:p w14:paraId="6EB5E85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1561" w:type="dxa"/>
          </w:tcPr>
          <w:p w14:paraId="539EB70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1561" w:type="dxa"/>
          </w:tcPr>
          <w:p w14:paraId="0ADF8F2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1561" w:type="dxa"/>
          </w:tcPr>
          <w:p w14:paraId="3D82E92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r>
      <w:tr w:rsidR="00F26F01" w:rsidRPr="00C33834" w14:paraId="109A3C43" w14:textId="77777777">
        <w:tc>
          <w:tcPr>
            <w:tcW w:w="738" w:type="dxa"/>
          </w:tcPr>
          <w:p w14:paraId="0DF2998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116</w:t>
            </w:r>
          </w:p>
        </w:tc>
        <w:tc>
          <w:tcPr>
            <w:tcW w:w="1170" w:type="dxa"/>
          </w:tcPr>
          <w:p w14:paraId="2EF9984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w:t>
            </w:r>
          </w:p>
        </w:tc>
        <w:tc>
          <w:tcPr>
            <w:tcW w:w="1561" w:type="dxa"/>
          </w:tcPr>
          <w:p w14:paraId="3854B94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1561" w:type="dxa"/>
          </w:tcPr>
          <w:p w14:paraId="2553F96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1561" w:type="dxa"/>
          </w:tcPr>
          <w:p w14:paraId="2194023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1561" w:type="dxa"/>
          </w:tcPr>
          <w:p w14:paraId="4625E65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300/150</w:t>
            </w:r>
          </w:p>
        </w:tc>
        <w:tc>
          <w:tcPr>
            <w:tcW w:w="1561" w:type="dxa"/>
          </w:tcPr>
          <w:p w14:paraId="3702D38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561" w:type="dxa"/>
          </w:tcPr>
          <w:p w14:paraId="0279AAC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r>
      <w:tr w:rsidR="00F26F01" w:rsidRPr="00C33834" w14:paraId="1A4AB1FC" w14:textId="77777777">
        <w:tc>
          <w:tcPr>
            <w:tcW w:w="738" w:type="dxa"/>
          </w:tcPr>
          <w:p w14:paraId="08069C41"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170" w:type="dxa"/>
          </w:tcPr>
          <w:p w14:paraId="00A51FC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1561" w:type="dxa"/>
          </w:tcPr>
          <w:p w14:paraId="59C1485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1561" w:type="dxa"/>
          </w:tcPr>
          <w:p w14:paraId="670242F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1561" w:type="dxa"/>
          </w:tcPr>
          <w:p w14:paraId="5CD117D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550</w:t>
            </w:r>
          </w:p>
        </w:tc>
        <w:tc>
          <w:tcPr>
            <w:tcW w:w="1561" w:type="dxa"/>
          </w:tcPr>
          <w:p w14:paraId="5C8B64F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550</w:t>
            </w:r>
          </w:p>
        </w:tc>
        <w:tc>
          <w:tcPr>
            <w:tcW w:w="1561" w:type="dxa"/>
          </w:tcPr>
          <w:p w14:paraId="6AAD793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w:t>
            </w:r>
          </w:p>
        </w:tc>
        <w:tc>
          <w:tcPr>
            <w:tcW w:w="1561" w:type="dxa"/>
          </w:tcPr>
          <w:p w14:paraId="1C0F841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w:t>
            </w:r>
          </w:p>
        </w:tc>
      </w:tr>
      <w:tr w:rsidR="00F26F01" w:rsidRPr="00C33834" w14:paraId="67A73621" w14:textId="77777777">
        <w:tc>
          <w:tcPr>
            <w:tcW w:w="738" w:type="dxa"/>
          </w:tcPr>
          <w:p w14:paraId="3E9AC54C"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170" w:type="dxa"/>
          </w:tcPr>
          <w:p w14:paraId="528FC9A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Тяжелые</w:t>
            </w:r>
          </w:p>
        </w:tc>
        <w:tc>
          <w:tcPr>
            <w:tcW w:w="1561" w:type="dxa"/>
          </w:tcPr>
          <w:p w14:paraId="7137EBB9"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095B132B"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05FB0EF3"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0B7927D8"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41FA3959"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3776E7CB"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r>
      <w:tr w:rsidR="00F26F01" w:rsidRPr="00C33834" w14:paraId="4E9C474B" w14:textId="77777777">
        <w:tc>
          <w:tcPr>
            <w:tcW w:w="738" w:type="dxa"/>
          </w:tcPr>
          <w:p w14:paraId="14D4729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1170" w:type="dxa"/>
          </w:tcPr>
          <w:p w14:paraId="353D0C8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1561" w:type="dxa"/>
          </w:tcPr>
          <w:p w14:paraId="02178D8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1561" w:type="dxa"/>
          </w:tcPr>
          <w:p w14:paraId="5C9D947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1561" w:type="dxa"/>
          </w:tcPr>
          <w:p w14:paraId="24556EF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1500/750</w:t>
            </w:r>
          </w:p>
        </w:tc>
        <w:tc>
          <w:tcPr>
            <w:tcW w:w="1561" w:type="dxa"/>
          </w:tcPr>
          <w:p w14:paraId="7C8E495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c>
          <w:tcPr>
            <w:tcW w:w="1561" w:type="dxa"/>
          </w:tcPr>
          <w:p w14:paraId="799FE85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c>
          <w:tcPr>
            <w:tcW w:w="1561" w:type="dxa"/>
          </w:tcPr>
          <w:p w14:paraId="06A04C5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r>
      <w:tr w:rsidR="00F26F01" w:rsidRPr="00C33834" w14:paraId="7B3B7A85" w14:textId="77777777">
        <w:tc>
          <w:tcPr>
            <w:tcW w:w="738" w:type="dxa"/>
          </w:tcPr>
          <w:p w14:paraId="5C67E4D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126</w:t>
            </w:r>
          </w:p>
        </w:tc>
        <w:tc>
          <w:tcPr>
            <w:tcW w:w="1170" w:type="dxa"/>
          </w:tcPr>
          <w:p w14:paraId="18C392E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1561" w:type="dxa"/>
          </w:tcPr>
          <w:p w14:paraId="21E69C1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26FF6D8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3019DD5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200/150</w:t>
            </w:r>
          </w:p>
        </w:tc>
        <w:tc>
          <w:tcPr>
            <w:tcW w:w="1561" w:type="dxa"/>
          </w:tcPr>
          <w:p w14:paraId="6B4C16E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1561" w:type="dxa"/>
          </w:tcPr>
          <w:p w14:paraId="6117C21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1561" w:type="dxa"/>
          </w:tcPr>
          <w:p w14:paraId="677E818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r>
      <w:tr w:rsidR="00F26F01" w:rsidRPr="00C33834" w14:paraId="2F1019DF" w14:textId="77777777">
        <w:tc>
          <w:tcPr>
            <w:tcW w:w="738" w:type="dxa"/>
          </w:tcPr>
          <w:p w14:paraId="33D82AC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1170" w:type="dxa"/>
          </w:tcPr>
          <w:p w14:paraId="06EE659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w:t>
            </w:r>
          </w:p>
        </w:tc>
        <w:tc>
          <w:tcPr>
            <w:tcW w:w="1561" w:type="dxa"/>
          </w:tcPr>
          <w:p w14:paraId="02BB51E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6740F54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420ED57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1561" w:type="dxa"/>
          </w:tcPr>
          <w:p w14:paraId="4E207FA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561" w:type="dxa"/>
          </w:tcPr>
          <w:p w14:paraId="4FCD73A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1561" w:type="dxa"/>
          </w:tcPr>
          <w:p w14:paraId="17DA5C3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r>
      <w:tr w:rsidR="00F26F01" w:rsidRPr="00C33834" w14:paraId="378ED15B" w14:textId="77777777">
        <w:tc>
          <w:tcPr>
            <w:tcW w:w="738" w:type="dxa"/>
          </w:tcPr>
          <w:p w14:paraId="17BD57D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1170" w:type="dxa"/>
          </w:tcPr>
          <w:p w14:paraId="55DF355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ТБ-6</w:t>
            </w:r>
          </w:p>
        </w:tc>
        <w:tc>
          <w:tcPr>
            <w:tcW w:w="1561" w:type="dxa"/>
          </w:tcPr>
          <w:p w14:paraId="6F0EDFF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28B3D76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165AA8C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1561" w:type="dxa"/>
          </w:tcPr>
          <w:p w14:paraId="2F0A0D3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1561" w:type="dxa"/>
          </w:tcPr>
          <w:p w14:paraId="2FAA144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1561" w:type="dxa"/>
          </w:tcPr>
          <w:p w14:paraId="2AD7E59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r>
      <w:tr w:rsidR="00F26F01" w:rsidRPr="00C33834" w14:paraId="41C5C823" w14:textId="77777777">
        <w:tc>
          <w:tcPr>
            <w:tcW w:w="738" w:type="dxa"/>
          </w:tcPr>
          <w:p w14:paraId="7D02563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1170" w:type="dxa"/>
          </w:tcPr>
          <w:p w14:paraId="5DB1703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1561" w:type="dxa"/>
          </w:tcPr>
          <w:p w14:paraId="7B2BB74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561" w:type="dxa"/>
          </w:tcPr>
          <w:p w14:paraId="572377A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1561" w:type="dxa"/>
          </w:tcPr>
          <w:p w14:paraId="06B1757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561" w:type="dxa"/>
          </w:tcPr>
          <w:p w14:paraId="60F43A7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561" w:type="dxa"/>
          </w:tcPr>
          <w:p w14:paraId="1474823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561" w:type="dxa"/>
          </w:tcPr>
          <w:p w14:paraId="54B513C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r>
      <w:tr w:rsidR="00F26F01" w:rsidRPr="00C33834" w14:paraId="21094FE9" w14:textId="77777777">
        <w:tc>
          <w:tcPr>
            <w:tcW w:w="738" w:type="dxa"/>
          </w:tcPr>
          <w:p w14:paraId="5B9BBBAF"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170" w:type="dxa"/>
          </w:tcPr>
          <w:p w14:paraId="007C01A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1561" w:type="dxa"/>
          </w:tcPr>
          <w:p w14:paraId="3058AF7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w:t>
            </w:r>
          </w:p>
        </w:tc>
        <w:tc>
          <w:tcPr>
            <w:tcW w:w="1561" w:type="dxa"/>
          </w:tcPr>
          <w:p w14:paraId="5550913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w:t>
            </w:r>
          </w:p>
        </w:tc>
        <w:tc>
          <w:tcPr>
            <w:tcW w:w="1561" w:type="dxa"/>
          </w:tcPr>
          <w:p w14:paraId="0EDF012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c>
          <w:tcPr>
            <w:tcW w:w="1561" w:type="dxa"/>
          </w:tcPr>
          <w:p w14:paraId="1C3BBFA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2400</w:t>
            </w:r>
          </w:p>
        </w:tc>
        <w:tc>
          <w:tcPr>
            <w:tcW w:w="1561" w:type="dxa"/>
          </w:tcPr>
          <w:p w14:paraId="3B347A5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2800</w:t>
            </w:r>
          </w:p>
        </w:tc>
        <w:tc>
          <w:tcPr>
            <w:tcW w:w="1561" w:type="dxa"/>
          </w:tcPr>
          <w:p w14:paraId="6746C53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2800</w:t>
            </w:r>
          </w:p>
        </w:tc>
      </w:tr>
      <w:tr w:rsidR="00F26F01" w:rsidRPr="00C33834" w14:paraId="55A5E20E" w14:textId="77777777">
        <w:tc>
          <w:tcPr>
            <w:tcW w:w="738" w:type="dxa"/>
          </w:tcPr>
          <w:p w14:paraId="7D4B7190"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170" w:type="dxa"/>
          </w:tcPr>
          <w:p w14:paraId="52508BE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Учкбные</w:t>
            </w:r>
          </w:p>
        </w:tc>
        <w:tc>
          <w:tcPr>
            <w:tcW w:w="1561" w:type="dxa"/>
          </w:tcPr>
          <w:p w14:paraId="77153BF1"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04A990E1"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7827B2D2"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26040D24"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0478D275"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2A2E84B5"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r>
      <w:tr w:rsidR="00F26F01" w:rsidRPr="00C33834" w14:paraId="43511C7F" w14:textId="77777777">
        <w:tc>
          <w:tcPr>
            <w:tcW w:w="738" w:type="dxa"/>
          </w:tcPr>
          <w:p w14:paraId="57DE05C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c>
          <w:tcPr>
            <w:tcW w:w="1170" w:type="dxa"/>
          </w:tcPr>
          <w:p w14:paraId="7B919E0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w:t>
            </w:r>
          </w:p>
        </w:tc>
        <w:tc>
          <w:tcPr>
            <w:tcW w:w="1561" w:type="dxa"/>
          </w:tcPr>
          <w:p w14:paraId="1C69605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w:t>
            </w:r>
          </w:p>
        </w:tc>
        <w:tc>
          <w:tcPr>
            <w:tcW w:w="1561" w:type="dxa"/>
          </w:tcPr>
          <w:p w14:paraId="11A1E11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w:t>
            </w:r>
          </w:p>
        </w:tc>
        <w:tc>
          <w:tcPr>
            <w:tcW w:w="1561" w:type="dxa"/>
          </w:tcPr>
          <w:p w14:paraId="0A460AE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w:t>
            </w:r>
          </w:p>
        </w:tc>
        <w:tc>
          <w:tcPr>
            <w:tcW w:w="1561" w:type="dxa"/>
          </w:tcPr>
          <w:p w14:paraId="3C1BF81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w:t>
            </w:r>
          </w:p>
        </w:tc>
        <w:tc>
          <w:tcPr>
            <w:tcW w:w="1561" w:type="dxa"/>
          </w:tcPr>
          <w:p w14:paraId="18092D2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w:t>
            </w:r>
          </w:p>
        </w:tc>
        <w:tc>
          <w:tcPr>
            <w:tcW w:w="1561" w:type="dxa"/>
          </w:tcPr>
          <w:p w14:paraId="3314E2E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w:t>
            </w:r>
          </w:p>
        </w:tc>
      </w:tr>
      <w:tr w:rsidR="00F26F01" w:rsidRPr="00C33834" w14:paraId="18E45B20" w14:textId="77777777">
        <w:tc>
          <w:tcPr>
            <w:tcW w:w="738" w:type="dxa"/>
          </w:tcPr>
          <w:p w14:paraId="19BEFB8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w:t>
            </w:r>
          </w:p>
        </w:tc>
        <w:tc>
          <w:tcPr>
            <w:tcW w:w="1170" w:type="dxa"/>
          </w:tcPr>
          <w:p w14:paraId="4EC4E14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w:t>
            </w:r>
          </w:p>
        </w:tc>
        <w:tc>
          <w:tcPr>
            <w:tcW w:w="1561" w:type="dxa"/>
          </w:tcPr>
          <w:p w14:paraId="7204570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2B8CBF9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519F592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692CF23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4000/0</w:t>
            </w:r>
          </w:p>
        </w:tc>
        <w:tc>
          <w:tcPr>
            <w:tcW w:w="1561" w:type="dxa"/>
          </w:tcPr>
          <w:p w14:paraId="7C54B37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8000/4000</w:t>
            </w:r>
          </w:p>
        </w:tc>
        <w:tc>
          <w:tcPr>
            <w:tcW w:w="1561" w:type="dxa"/>
          </w:tcPr>
          <w:p w14:paraId="5874EE3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8000</w:t>
            </w:r>
          </w:p>
        </w:tc>
      </w:tr>
      <w:tr w:rsidR="00F26F01" w:rsidRPr="00C33834" w14:paraId="757DCAD6" w14:textId="77777777">
        <w:tc>
          <w:tcPr>
            <w:tcW w:w="738" w:type="dxa"/>
          </w:tcPr>
          <w:p w14:paraId="0B88A09D"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170" w:type="dxa"/>
          </w:tcPr>
          <w:p w14:paraId="13864D2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1561" w:type="dxa"/>
          </w:tcPr>
          <w:p w14:paraId="224B7C4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w:t>
            </w:r>
          </w:p>
        </w:tc>
        <w:tc>
          <w:tcPr>
            <w:tcW w:w="1561" w:type="dxa"/>
          </w:tcPr>
          <w:p w14:paraId="44EBB43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w:t>
            </w:r>
          </w:p>
        </w:tc>
        <w:tc>
          <w:tcPr>
            <w:tcW w:w="1561" w:type="dxa"/>
          </w:tcPr>
          <w:p w14:paraId="216C941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w:t>
            </w:r>
          </w:p>
        </w:tc>
        <w:tc>
          <w:tcPr>
            <w:tcW w:w="1561" w:type="dxa"/>
          </w:tcPr>
          <w:p w14:paraId="5D7928F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w:t>
            </w:r>
          </w:p>
        </w:tc>
        <w:tc>
          <w:tcPr>
            <w:tcW w:w="1561" w:type="dxa"/>
          </w:tcPr>
          <w:p w14:paraId="0C256EF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5750</w:t>
            </w:r>
          </w:p>
        </w:tc>
        <w:tc>
          <w:tcPr>
            <w:tcW w:w="1561" w:type="dxa"/>
          </w:tcPr>
          <w:p w14:paraId="131DB38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9750</w:t>
            </w:r>
          </w:p>
        </w:tc>
      </w:tr>
      <w:tr w:rsidR="00F26F01" w:rsidRPr="00C33834" w14:paraId="63579BD6" w14:textId="77777777">
        <w:tc>
          <w:tcPr>
            <w:tcW w:w="738" w:type="dxa"/>
          </w:tcPr>
          <w:p w14:paraId="75DB70CB"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170" w:type="dxa"/>
          </w:tcPr>
          <w:p w14:paraId="7E83221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Специальные (разные)</w:t>
            </w:r>
          </w:p>
        </w:tc>
        <w:tc>
          <w:tcPr>
            <w:tcW w:w="1561" w:type="dxa"/>
          </w:tcPr>
          <w:p w14:paraId="07BFC06C"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6245B0A5"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269699BC"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7A949B6F"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321BDEDF"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7241DA10"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r>
      <w:tr w:rsidR="00F26F01" w:rsidRPr="00C33834" w14:paraId="2D822345" w14:textId="77777777">
        <w:tc>
          <w:tcPr>
            <w:tcW w:w="738" w:type="dxa"/>
          </w:tcPr>
          <w:p w14:paraId="33023CA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w:t>
            </w:r>
          </w:p>
        </w:tc>
        <w:tc>
          <w:tcPr>
            <w:tcW w:w="1170" w:type="dxa"/>
          </w:tcPr>
          <w:p w14:paraId="77DEB42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Разные</w:t>
            </w:r>
          </w:p>
        </w:tc>
        <w:tc>
          <w:tcPr>
            <w:tcW w:w="1561" w:type="dxa"/>
          </w:tcPr>
          <w:p w14:paraId="35B321C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561" w:type="dxa"/>
          </w:tcPr>
          <w:p w14:paraId="34248E4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561" w:type="dxa"/>
          </w:tcPr>
          <w:p w14:paraId="7972838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561" w:type="dxa"/>
          </w:tcPr>
          <w:p w14:paraId="392D583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561" w:type="dxa"/>
          </w:tcPr>
          <w:p w14:paraId="1B9E256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561" w:type="dxa"/>
          </w:tcPr>
          <w:p w14:paraId="1D0D97B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r>
      <w:tr w:rsidR="00F26F01" w:rsidRPr="00C33834" w14:paraId="77DECE3A" w14:textId="77777777">
        <w:tc>
          <w:tcPr>
            <w:tcW w:w="738" w:type="dxa"/>
            <w:tcBorders>
              <w:bottom w:val="single" w:sz="12" w:space="0" w:color="auto"/>
            </w:tcBorders>
          </w:tcPr>
          <w:p w14:paraId="748FD518"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170" w:type="dxa"/>
            <w:tcBorders>
              <w:bottom w:val="single" w:sz="12" w:space="0" w:color="auto"/>
            </w:tcBorders>
          </w:tcPr>
          <w:p w14:paraId="4CEF016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1561" w:type="dxa"/>
            <w:tcBorders>
              <w:bottom w:val="single" w:sz="12" w:space="0" w:color="auto"/>
            </w:tcBorders>
          </w:tcPr>
          <w:p w14:paraId="0816178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7500</w:t>
            </w:r>
          </w:p>
        </w:tc>
        <w:tc>
          <w:tcPr>
            <w:tcW w:w="1561" w:type="dxa"/>
            <w:tcBorders>
              <w:bottom w:val="single" w:sz="12" w:space="0" w:color="auto"/>
            </w:tcBorders>
          </w:tcPr>
          <w:p w14:paraId="5292401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9500</w:t>
            </w:r>
          </w:p>
        </w:tc>
        <w:tc>
          <w:tcPr>
            <w:tcW w:w="1561" w:type="dxa"/>
            <w:tcBorders>
              <w:bottom w:val="single" w:sz="12" w:space="0" w:color="auto"/>
            </w:tcBorders>
          </w:tcPr>
          <w:p w14:paraId="4FB23B6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13750</w:t>
            </w:r>
          </w:p>
        </w:tc>
        <w:tc>
          <w:tcPr>
            <w:tcW w:w="1561" w:type="dxa"/>
            <w:tcBorders>
              <w:bottom w:val="single" w:sz="12" w:space="0" w:color="auto"/>
            </w:tcBorders>
          </w:tcPr>
          <w:p w14:paraId="039CBD7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15000</w:t>
            </w:r>
          </w:p>
        </w:tc>
        <w:tc>
          <w:tcPr>
            <w:tcW w:w="1561" w:type="dxa"/>
            <w:tcBorders>
              <w:bottom w:val="single" w:sz="12" w:space="0" w:color="auto"/>
            </w:tcBorders>
          </w:tcPr>
          <w:p w14:paraId="2F1D9E8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21050</w:t>
            </w:r>
          </w:p>
        </w:tc>
        <w:tc>
          <w:tcPr>
            <w:tcW w:w="1561" w:type="dxa"/>
            <w:tcBorders>
              <w:bottom w:val="single" w:sz="12" w:space="0" w:color="auto"/>
            </w:tcBorders>
          </w:tcPr>
          <w:p w14:paraId="1E5682A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26550</w:t>
            </w:r>
          </w:p>
        </w:tc>
      </w:tr>
    </w:tbl>
    <w:p w14:paraId="399A828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 В числители мощности по строительству, в знаменателе - по оборудованию. В итого - мощности по оборудованию</w:t>
      </w:r>
    </w:p>
    <w:p w14:paraId="778F423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Утвердить пятилетний план развития мощностей по мотростроению в следующем количестве: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8"/>
        <w:gridCol w:w="1170"/>
        <w:gridCol w:w="1561"/>
        <w:gridCol w:w="1561"/>
        <w:gridCol w:w="1561"/>
        <w:gridCol w:w="1561"/>
        <w:gridCol w:w="1561"/>
        <w:gridCol w:w="1561"/>
      </w:tblGrid>
      <w:tr w:rsidR="00F26F01" w:rsidRPr="00C33834" w14:paraId="7778AB01" w14:textId="77777777">
        <w:tc>
          <w:tcPr>
            <w:tcW w:w="738" w:type="dxa"/>
            <w:tcBorders>
              <w:top w:val="single" w:sz="12" w:space="0" w:color="auto"/>
            </w:tcBorders>
          </w:tcPr>
          <w:p w14:paraId="4DED61B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зав.</w:t>
            </w:r>
          </w:p>
        </w:tc>
        <w:tc>
          <w:tcPr>
            <w:tcW w:w="1170" w:type="dxa"/>
            <w:tcBorders>
              <w:top w:val="single" w:sz="12" w:space="0" w:color="auto"/>
            </w:tcBorders>
          </w:tcPr>
          <w:p w14:paraId="26CAD35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Расчетный тип</w:t>
            </w:r>
          </w:p>
        </w:tc>
        <w:tc>
          <w:tcPr>
            <w:tcW w:w="1561" w:type="dxa"/>
            <w:tcBorders>
              <w:top w:val="single" w:sz="12" w:space="0" w:color="auto"/>
            </w:tcBorders>
          </w:tcPr>
          <w:p w14:paraId="4E1AA85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1.1.33</w:t>
            </w:r>
          </w:p>
        </w:tc>
        <w:tc>
          <w:tcPr>
            <w:tcW w:w="1561" w:type="dxa"/>
            <w:tcBorders>
              <w:top w:val="single" w:sz="12" w:space="0" w:color="auto"/>
            </w:tcBorders>
          </w:tcPr>
          <w:p w14:paraId="6FB8F57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кв. 34</w:t>
            </w:r>
          </w:p>
        </w:tc>
        <w:tc>
          <w:tcPr>
            <w:tcW w:w="1561" w:type="dxa"/>
            <w:tcBorders>
              <w:top w:val="single" w:sz="12" w:space="0" w:color="auto"/>
            </w:tcBorders>
          </w:tcPr>
          <w:p w14:paraId="25AE74C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кв. 35</w:t>
            </w:r>
          </w:p>
        </w:tc>
        <w:tc>
          <w:tcPr>
            <w:tcW w:w="1561" w:type="dxa"/>
            <w:tcBorders>
              <w:top w:val="single" w:sz="12" w:space="0" w:color="auto"/>
            </w:tcBorders>
          </w:tcPr>
          <w:p w14:paraId="30C200B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кв. 36</w:t>
            </w:r>
          </w:p>
        </w:tc>
        <w:tc>
          <w:tcPr>
            <w:tcW w:w="1561" w:type="dxa"/>
            <w:tcBorders>
              <w:top w:val="single" w:sz="12" w:space="0" w:color="auto"/>
            </w:tcBorders>
          </w:tcPr>
          <w:p w14:paraId="1DA2E00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кв. 37</w:t>
            </w:r>
          </w:p>
        </w:tc>
        <w:tc>
          <w:tcPr>
            <w:tcW w:w="1561" w:type="dxa"/>
            <w:tcBorders>
              <w:top w:val="single" w:sz="12" w:space="0" w:color="auto"/>
            </w:tcBorders>
          </w:tcPr>
          <w:p w14:paraId="0C78203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кв.38</w:t>
            </w:r>
          </w:p>
        </w:tc>
      </w:tr>
      <w:tr w:rsidR="00F26F01" w:rsidRPr="00C33834" w14:paraId="090D9E00" w14:textId="77777777">
        <w:tc>
          <w:tcPr>
            <w:tcW w:w="738" w:type="dxa"/>
          </w:tcPr>
          <w:p w14:paraId="6B453B13"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170" w:type="dxa"/>
          </w:tcPr>
          <w:p w14:paraId="59F82F8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Водяное охлаждение</w:t>
            </w:r>
          </w:p>
        </w:tc>
        <w:tc>
          <w:tcPr>
            <w:tcW w:w="1561" w:type="dxa"/>
          </w:tcPr>
          <w:p w14:paraId="21442FFA"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4FF14CCE"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771C6382"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172268EA"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1E1FA80F"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3F7F1321"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r>
      <w:tr w:rsidR="00F26F01" w:rsidRPr="00C33834" w14:paraId="5755A199" w14:textId="77777777">
        <w:tc>
          <w:tcPr>
            <w:tcW w:w="738" w:type="dxa"/>
          </w:tcPr>
          <w:p w14:paraId="6A7324A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1170" w:type="dxa"/>
          </w:tcPr>
          <w:p w14:paraId="5E517BB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1561" w:type="dxa"/>
          </w:tcPr>
          <w:p w14:paraId="7704415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2400</w:t>
            </w:r>
          </w:p>
        </w:tc>
        <w:tc>
          <w:tcPr>
            <w:tcW w:w="1561" w:type="dxa"/>
          </w:tcPr>
          <w:p w14:paraId="794CB93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3500</w:t>
            </w:r>
          </w:p>
        </w:tc>
        <w:tc>
          <w:tcPr>
            <w:tcW w:w="1561" w:type="dxa"/>
          </w:tcPr>
          <w:p w14:paraId="0F698B5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15000</w:t>
            </w:r>
          </w:p>
        </w:tc>
        <w:tc>
          <w:tcPr>
            <w:tcW w:w="1561" w:type="dxa"/>
          </w:tcPr>
          <w:p w14:paraId="5F13F3F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15000</w:t>
            </w:r>
          </w:p>
        </w:tc>
        <w:tc>
          <w:tcPr>
            <w:tcW w:w="1561" w:type="dxa"/>
          </w:tcPr>
          <w:p w14:paraId="1B82C5F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15000</w:t>
            </w:r>
          </w:p>
        </w:tc>
        <w:tc>
          <w:tcPr>
            <w:tcW w:w="1561" w:type="dxa"/>
          </w:tcPr>
          <w:p w14:paraId="02F04A0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15000</w:t>
            </w:r>
          </w:p>
        </w:tc>
      </w:tr>
      <w:tr w:rsidR="00F26F01" w:rsidRPr="00C33834" w14:paraId="770D4222" w14:textId="77777777">
        <w:tc>
          <w:tcPr>
            <w:tcW w:w="738" w:type="dxa"/>
          </w:tcPr>
          <w:p w14:paraId="0B25525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w:t>
            </w:r>
          </w:p>
        </w:tc>
        <w:tc>
          <w:tcPr>
            <w:tcW w:w="1170" w:type="dxa"/>
          </w:tcPr>
          <w:p w14:paraId="31D573D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1561" w:type="dxa"/>
          </w:tcPr>
          <w:p w14:paraId="64CA69A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7200</w:t>
            </w:r>
          </w:p>
        </w:tc>
        <w:tc>
          <w:tcPr>
            <w:tcW w:w="1561" w:type="dxa"/>
          </w:tcPr>
          <w:p w14:paraId="444333D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10000</w:t>
            </w:r>
          </w:p>
        </w:tc>
        <w:tc>
          <w:tcPr>
            <w:tcW w:w="1561" w:type="dxa"/>
          </w:tcPr>
          <w:p w14:paraId="612947C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10000</w:t>
            </w:r>
          </w:p>
        </w:tc>
        <w:tc>
          <w:tcPr>
            <w:tcW w:w="1561" w:type="dxa"/>
          </w:tcPr>
          <w:p w14:paraId="07B27FD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10000</w:t>
            </w:r>
          </w:p>
        </w:tc>
        <w:tc>
          <w:tcPr>
            <w:tcW w:w="1561" w:type="dxa"/>
          </w:tcPr>
          <w:p w14:paraId="65E04FC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10000</w:t>
            </w:r>
          </w:p>
        </w:tc>
        <w:tc>
          <w:tcPr>
            <w:tcW w:w="1561" w:type="dxa"/>
          </w:tcPr>
          <w:p w14:paraId="6962316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10000</w:t>
            </w:r>
          </w:p>
        </w:tc>
      </w:tr>
      <w:tr w:rsidR="00F26F01" w:rsidRPr="00C33834" w14:paraId="44F1D9F0" w14:textId="77777777">
        <w:tc>
          <w:tcPr>
            <w:tcW w:w="738" w:type="dxa"/>
          </w:tcPr>
          <w:p w14:paraId="52AF01C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tc>
        <w:tc>
          <w:tcPr>
            <w:tcW w:w="1170" w:type="dxa"/>
          </w:tcPr>
          <w:p w14:paraId="1EE3C04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М-24 или Кертис Конквер</w:t>
            </w:r>
          </w:p>
        </w:tc>
        <w:tc>
          <w:tcPr>
            <w:tcW w:w="1561" w:type="dxa"/>
          </w:tcPr>
          <w:p w14:paraId="22552CB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38A1C4D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3109742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10000/0</w:t>
            </w:r>
          </w:p>
        </w:tc>
        <w:tc>
          <w:tcPr>
            <w:tcW w:w="1561" w:type="dxa"/>
          </w:tcPr>
          <w:p w14:paraId="52BAB6C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10000</w:t>
            </w:r>
          </w:p>
        </w:tc>
        <w:tc>
          <w:tcPr>
            <w:tcW w:w="1561" w:type="dxa"/>
          </w:tcPr>
          <w:p w14:paraId="6003586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10000</w:t>
            </w:r>
          </w:p>
        </w:tc>
        <w:tc>
          <w:tcPr>
            <w:tcW w:w="1561" w:type="dxa"/>
          </w:tcPr>
          <w:p w14:paraId="7B63F66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10000</w:t>
            </w:r>
          </w:p>
        </w:tc>
      </w:tr>
      <w:tr w:rsidR="00F26F01" w:rsidRPr="00C33834" w14:paraId="62C5B5F5" w14:textId="77777777">
        <w:tc>
          <w:tcPr>
            <w:tcW w:w="738" w:type="dxa"/>
          </w:tcPr>
          <w:p w14:paraId="0D42AF5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70" w:type="dxa"/>
          </w:tcPr>
          <w:p w14:paraId="524C9C2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М-44</w:t>
            </w:r>
          </w:p>
        </w:tc>
        <w:tc>
          <w:tcPr>
            <w:tcW w:w="1561" w:type="dxa"/>
          </w:tcPr>
          <w:p w14:paraId="60105DC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6EEBCAE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66D2FD2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1000/0</w:t>
            </w:r>
          </w:p>
        </w:tc>
        <w:tc>
          <w:tcPr>
            <w:tcW w:w="1561" w:type="dxa"/>
          </w:tcPr>
          <w:p w14:paraId="474735F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1500/1000</w:t>
            </w:r>
          </w:p>
        </w:tc>
        <w:tc>
          <w:tcPr>
            <w:tcW w:w="1561" w:type="dxa"/>
          </w:tcPr>
          <w:p w14:paraId="11EDE1F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c>
          <w:tcPr>
            <w:tcW w:w="1561" w:type="dxa"/>
          </w:tcPr>
          <w:p w14:paraId="6E02215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r>
      <w:tr w:rsidR="00F26F01" w:rsidRPr="00C33834" w14:paraId="1EFAFDB1" w14:textId="77777777">
        <w:tc>
          <w:tcPr>
            <w:tcW w:w="738" w:type="dxa"/>
          </w:tcPr>
          <w:p w14:paraId="55E2706A"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170" w:type="dxa"/>
          </w:tcPr>
          <w:p w14:paraId="6AFF686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1561" w:type="dxa"/>
          </w:tcPr>
          <w:p w14:paraId="63540AD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9600</w:t>
            </w:r>
          </w:p>
        </w:tc>
        <w:tc>
          <w:tcPr>
            <w:tcW w:w="1561" w:type="dxa"/>
          </w:tcPr>
          <w:p w14:paraId="2A3167A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13500</w:t>
            </w:r>
          </w:p>
        </w:tc>
        <w:tc>
          <w:tcPr>
            <w:tcW w:w="1561" w:type="dxa"/>
          </w:tcPr>
          <w:p w14:paraId="4461267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25000</w:t>
            </w:r>
          </w:p>
        </w:tc>
        <w:tc>
          <w:tcPr>
            <w:tcW w:w="1561" w:type="dxa"/>
          </w:tcPr>
          <w:p w14:paraId="5E0D65B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36000</w:t>
            </w:r>
          </w:p>
        </w:tc>
        <w:tc>
          <w:tcPr>
            <w:tcW w:w="1561" w:type="dxa"/>
          </w:tcPr>
          <w:p w14:paraId="4303159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41500</w:t>
            </w:r>
          </w:p>
        </w:tc>
        <w:tc>
          <w:tcPr>
            <w:tcW w:w="1561" w:type="dxa"/>
          </w:tcPr>
          <w:p w14:paraId="685EFC1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46500</w:t>
            </w:r>
          </w:p>
        </w:tc>
      </w:tr>
      <w:tr w:rsidR="00F26F01" w:rsidRPr="00C33834" w14:paraId="3EC50B0E" w14:textId="77777777">
        <w:tc>
          <w:tcPr>
            <w:tcW w:w="738" w:type="dxa"/>
          </w:tcPr>
          <w:p w14:paraId="1DE32D45"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170" w:type="dxa"/>
          </w:tcPr>
          <w:p w14:paraId="2F4C6BD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Воздушное охлаждение</w:t>
            </w:r>
          </w:p>
        </w:tc>
        <w:tc>
          <w:tcPr>
            <w:tcW w:w="1561" w:type="dxa"/>
          </w:tcPr>
          <w:p w14:paraId="21D2AED1"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2A893DE0"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6E178BD2"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185BE224"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17FF3375"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561" w:type="dxa"/>
          </w:tcPr>
          <w:p w14:paraId="3465C1B5"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r>
      <w:tr w:rsidR="00F26F01" w:rsidRPr="00C33834" w14:paraId="0A139BAF" w14:textId="77777777">
        <w:tc>
          <w:tcPr>
            <w:tcW w:w="738" w:type="dxa"/>
          </w:tcPr>
          <w:p w14:paraId="2845EAC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1170" w:type="dxa"/>
          </w:tcPr>
          <w:p w14:paraId="1D4DCF0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561" w:type="dxa"/>
          </w:tcPr>
          <w:p w14:paraId="4D0D2D5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561" w:type="dxa"/>
          </w:tcPr>
          <w:p w14:paraId="0D9159F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w:t>
            </w:r>
          </w:p>
        </w:tc>
        <w:tc>
          <w:tcPr>
            <w:tcW w:w="1561" w:type="dxa"/>
          </w:tcPr>
          <w:p w14:paraId="1C35402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w:t>
            </w:r>
          </w:p>
        </w:tc>
        <w:tc>
          <w:tcPr>
            <w:tcW w:w="1561" w:type="dxa"/>
          </w:tcPr>
          <w:p w14:paraId="41EA254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4EA5E9B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4E03FD2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5F31F020" w14:textId="77777777">
        <w:tc>
          <w:tcPr>
            <w:tcW w:w="738" w:type="dxa"/>
          </w:tcPr>
          <w:p w14:paraId="2D484C3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1170" w:type="dxa"/>
          </w:tcPr>
          <w:p w14:paraId="49A1747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w:t>
            </w:r>
          </w:p>
        </w:tc>
        <w:tc>
          <w:tcPr>
            <w:tcW w:w="1561" w:type="dxa"/>
          </w:tcPr>
          <w:p w14:paraId="51FDA47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2400</w:t>
            </w:r>
          </w:p>
        </w:tc>
        <w:tc>
          <w:tcPr>
            <w:tcW w:w="1561" w:type="dxa"/>
          </w:tcPr>
          <w:p w14:paraId="0A9B3BA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2400</w:t>
            </w:r>
          </w:p>
        </w:tc>
        <w:tc>
          <w:tcPr>
            <w:tcW w:w="1561" w:type="dxa"/>
          </w:tcPr>
          <w:p w14:paraId="004C480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2400</w:t>
            </w:r>
          </w:p>
        </w:tc>
        <w:tc>
          <w:tcPr>
            <w:tcW w:w="1561" w:type="dxa"/>
          </w:tcPr>
          <w:p w14:paraId="09738CD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w:t>
            </w:r>
          </w:p>
        </w:tc>
        <w:tc>
          <w:tcPr>
            <w:tcW w:w="1561" w:type="dxa"/>
          </w:tcPr>
          <w:p w14:paraId="30EE96E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w:t>
            </w:r>
          </w:p>
        </w:tc>
        <w:tc>
          <w:tcPr>
            <w:tcW w:w="1561" w:type="dxa"/>
          </w:tcPr>
          <w:p w14:paraId="4C1F133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w:t>
            </w:r>
          </w:p>
        </w:tc>
      </w:tr>
      <w:tr w:rsidR="00F26F01" w:rsidRPr="00C33834" w14:paraId="6144CF60" w14:textId="77777777">
        <w:tc>
          <w:tcPr>
            <w:tcW w:w="738" w:type="dxa"/>
          </w:tcPr>
          <w:p w14:paraId="19D5DF6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1170" w:type="dxa"/>
          </w:tcPr>
          <w:p w14:paraId="3CE956B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РЦ</w:t>
            </w:r>
          </w:p>
        </w:tc>
        <w:tc>
          <w:tcPr>
            <w:tcW w:w="1561" w:type="dxa"/>
          </w:tcPr>
          <w:p w14:paraId="5EB005C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21DA09E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1561" w:type="dxa"/>
          </w:tcPr>
          <w:p w14:paraId="44BA59E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w:t>
            </w:r>
          </w:p>
        </w:tc>
        <w:tc>
          <w:tcPr>
            <w:tcW w:w="1561" w:type="dxa"/>
          </w:tcPr>
          <w:p w14:paraId="3C18BAB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w:t>
            </w:r>
          </w:p>
        </w:tc>
        <w:tc>
          <w:tcPr>
            <w:tcW w:w="1561" w:type="dxa"/>
          </w:tcPr>
          <w:p w14:paraId="1BC0656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w:t>
            </w:r>
          </w:p>
        </w:tc>
        <w:tc>
          <w:tcPr>
            <w:tcW w:w="1561" w:type="dxa"/>
          </w:tcPr>
          <w:p w14:paraId="3EFF3FF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w:t>
            </w:r>
          </w:p>
        </w:tc>
      </w:tr>
      <w:tr w:rsidR="00F26F01" w:rsidRPr="00C33834" w14:paraId="687DED9E" w14:textId="77777777">
        <w:tc>
          <w:tcPr>
            <w:tcW w:w="738" w:type="dxa"/>
          </w:tcPr>
          <w:p w14:paraId="27D4730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134</w:t>
            </w:r>
          </w:p>
        </w:tc>
        <w:tc>
          <w:tcPr>
            <w:tcW w:w="1170" w:type="dxa"/>
          </w:tcPr>
          <w:p w14:paraId="1C4D0B7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w:t>
            </w:r>
          </w:p>
        </w:tc>
        <w:tc>
          <w:tcPr>
            <w:tcW w:w="1561" w:type="dxa"/>
          </w:tcPr>
          <w:p w14:paraId="52BD91B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4D8D2B1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3BBB285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1607454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2FFAA7E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8000</w:t>
            </w:r>
          </w:p>
        </w:tc>
        <w:tc>
          <w:tcPr>
            <w:tcW w:w="1561" w:type="dxa"/>
          </w:tcPr>
          <w:p w14:paraId="3E08890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15000</w:t>
            </w:r>
          </w:p>
        </w:tc>
      </w:tr>
      <w:tr w:rsidR="00F26F01" w:rsidRPr="00C33834" w14:paraId="5CF147CA" w14:textId="77777777">
        <w:tc>
          <w:tcPr>
            <w:tcW w:w="738" w:type="dxa"/>
          </w:tcPr>
          <w:p w14:paraId="4211ADF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127</w:t>
            </w:r>
          </w:p>
        </w:tc>
        <w:tc>
          <w:tcPr>
            <w:tcW w:w="1170" w:type="dxa"/>
          </w:tcPr>
          <w:p w14:paraId="3B4B1E2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РЦ</w:t>
            </w:r>
          </w:p>
        </w:tc>
        <w:tc>
          <w:tcPr>
            <w:tcW w:w="1561" w:type="dxa"/>
          </w:tcPr>
          <w:p w14:paraId="4BD117C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2F8959E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61" w:type="dxa"/>
          </w:tcPr>
          <w:p w14:paraId="434AA00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5000/0</w:t>
            </w:r>
          </w:p>
        </w:tc>
        <w:tc>
          <w:tcPr>
            <w:tcW w:w="1561" w:type="dxa"/>
          </w:tcPr>
          <w:p w14:paraId="20E9ED5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10000/5000</w:t>
            </w:r>
          </w:p>
        </w:tc>
        <w:tc>
          <w:tcPr>
            <w:tcW w:w="1561" w:type="dxa"/>
          </w:tcPr>
          <w:p w14:paraId="49439A7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10000</w:t>
            </w:r>
          </w:p>
        </w:tc>
        <w:tc>
          <w:tcPr>
            <w:tcW w:w="1561" w:type="dxa"/>
          </w:tcPr>
          <w:p w14:paraId="4189C25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10000</w:t>
            </w:r>
          </w:p>
        </w:tc>
      </w:tr>
      <w:tr w:rsidR="00F26F01" w:rsidRPr="00C33834" w14:paraId="281F12DB" w14:textId="77777777">
        <w:tc>
          <w:tcPr>
            <w:tcW w:w="738" w:type="dxa"/>
          </w:tcPr>
          <w:p w14:paraId="2F5BF576"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170" w:type="dxa"/>
          </w:tcPr>
          <w:p w14:paraId="75E48AF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1561" w:type="dxa"/>
          </w:tcPr>
          <w:p w14:paraId="5BB4943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2900</w:t>
            </w:r>
          </w:p>
        </w:tc>
        <w:tc>
          <w:tcPr>
            <w:tcW w:w="1561" w:type="dxa"/>
          </w:tcPr>
          <w:p w14:paraId="39A7553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4600</w:t>
            </w:r>
          </w:p>
        </w:tc>
        <w:tc>
          <w:tcPr>
            <w:tcW w:w="1561" w:type="dxa"/>
          </w:tcPr>
          <w:p w14:paraId="637C877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9600</w:t>
            </w:r>
          </w:p>
        </w:tc>
        <w:tc>
          <w:tcPr>
            <w:tcW w:w="1561" w:type="dxa"/>
          </w:tcPr>
          <w:p w14:paraId="3B6545A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17000</w:t>
            </w:r>
          </w:p>
        </w:tc>
        <w:tc>
          <w:tcPr>
            <w:tcW w:w="1561" w:type="dxa"/>
          </w:tcPr>
          <w:p w14:paraId="372D1F2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30000</w:t>
            </w:r>
          </w:p>
        </w:tc>
        <w:tc>
          <w:tcPr>
            <w:tcW w:w="1561" w:type="dxa"/>
          </w:tcPr>
          <w:p w14:paraId="591224E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37000</w:t>
            </w:r>
          </w:p>
        </w:tc>
      </w:tr>
      <w:tr w:rsidR="00F26F01" w:rsidRPr="00C33834" w14:paraId="07276E2E" w14:textId="77777777">
        <w:tc>
          <w:tcPr>
            <w:tcW w:w="738" w:type="dxa"/>
            <w:tcBorders>
              <w:bottom w:val="single" w:sz="12" w:space="0" w:color="auto"/>
            </w:tcBorders>
          </w:tcPr>
          <w:p w14:paraId="4B2319F9"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1170" w:type="dxa"/>
            <w:tcBorders>
              <w:bottom w:val="single" w:sz="12" w:space="0" w:color="auto"/>
            </w:tcBorders>
          </w:tcPr>
          <w:p w14:paraId="1CA84B1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1561" w:type="dxa"/>
            <w:tcBorders>
              <w:bottom w:val="single" w:sz="12" w:space="0" w:color="auto"/>
            </w:tcBorders>
          </w:tcPr>
          <w:p w14:paraId="7F5463F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12500</w:t>
            </w:r>
          </w:p>
        </w:tc>
        <w:tc>
          <w:tcPr>
            <w:tcW w:w="1561" w:type="dxa"/>
            <w:tcBorders>
              <w:bottom w:val="single" w:sz="12" w:space="0" w:color="auto"/>
            </w:tcBorders>
          </w:tcPr>
          <w:p w14:paraId="638C4C6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18100</w:t>
            </w:r>
          </w:p>
        </w:tc>
        <w:tc>
          <w:tcPr>
            <w:tcW w:w="1561" w:type="dxa"/>
            <w:tcBorders>
              <w:bottom w:val="single" w:sz="12" w:space="0" w:color="auto"/>
            </w:tcBorders>
          </w:tcPr>
          <w:p w14:paraId="185B081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34600</w:t>
            </w:r>
          </w:p>
        </w:tc>
        <w:tc>
          <w:tcPr>
            <w:tcW w:w="1561" w:type="dxa"/>
            <w:tcBorders>
              <w:bottom w:val="single" w:sz="12" w:space="0" w:color="auto"/>
            </w:tcBorders>
          </w:tcPr>
          <w:p w14:paraId="7751646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53000</w:t>
            </w:r>
          </w:p>
        </w:tc>
        <w:tc>
          <w:tcPr>
            <w:tcW w:w="1561" w:type="dxa"/>
            <w:tcBorders>
              <w:bottom w:val="single" w:sz="12" w:space="0" w:color="auto"/>
            </w:tcBorders>
          </w:tcPr>
          <w:p w14:paraId="08863A7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71500</w:t>
            </w:r>
          </w:p>
        </w:tc>
        <w:tc>
          <w:tcPr>
            <w:tcW w:w="1561" w:type="dxa"/>
            <w:tcBorders>
              <w:bottom w:val="single" w:sz="12" w:space="0" w:color="auto"/>
            </w:tcBorders>
          </w:tcPr>
          <w:p w14:paraId="207D6F6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83500</w:t>
            </w:r>
          </w:p>
        </w:tc>
      </w:tr>
    </w:tbl>
    <w:p w14:paraId="0EBA913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 В числители мощности по строительству, в знаменателе - по оборудованию. В итого - мощности по оборудованию</w:t>
      </w:r>
    </w:p>
    <w:p w14:paraId="266093F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 целях обеспечения выпуска в 1934 и 1935 г. выделить в 1933 в Ш и 1У кв. контингент для заказа импортного оборудования для заводов №№ 19, 20, 33, 120 в следующих суммах:</w:t>
      </w:r>
    </w:p>
    <w:p w14:paraId="62182C30"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w:t>
      </w:r>
      <w:r w:rsidRPr="00C33834">
        <w:rPr>
          <w:rFonts w:ascii="Times New Roman" w:hAnsi="Times New Roman"/>
          <w:color w:val="000000" w:themeColor="text1"/>
          <w:sz w:val="16"/>
          <w:szCs w:val="16"/>
        </w:rPr>
        <w:tab/>
        <w:t>1745 т.р.</w:t>
      </w:r>
    </w:p>
    <w:p w14:paraId="54640AA6"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r w:rsidRPr="00C33834">
        <w:rPr>
          <w:rFonts w:ascii="Times New Roman" w:hAnsi="Times New Roman"/>
          <w:color w:val="000000" w:themeColor="text1"/>
          <w:sz w:val="16"/>
          <w:szCs w:val="16"/>
        </w:rPr>
        <w:tab/>
        <w:t>735</w:t>
      </w:r>
    </w:p>
    <w:p w14:paraId="1CF95AA6"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w:t>
      </w:r>
      <w:r w:rsidRPr="00C33834">
        <w:rPr>
          <w:rFonts w:ascii="Times New Roman" w:hAnsi="Times New Roman"/>
          <w:color w:val="000000" w:themeColor="text1"/>
          <w:sz w:val="16"/>
          <w:szCs w:val="16"/>
        </w:rPr>
        <w:tab/>
        <w:t>150</w:t>
      </w:r>
    </w:p>
    <w:p w14:paraId="25174BB4"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r w:rsidRPr="00C33834">
        <w:rPr>
          <w:rFonts w:ascii="Times New Roman" w:hAnsi="Times New Roman"/>
          <w:color w:val="000000" w:themeColor="text1"/>
          <w:sz w:val="16"/>
          <w:szCs w:val="16"/>
        </w:rPr>
        <w:tab/>
        <w:t>1330</w:t>
      </w:r>
    </w:p>
    <w:p w14:paraId="09BFF11D"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Обязать НКТвнешорг и НКТП ввезти импортное оборудование для моторостроительных заводов №№ 24, 19, 20, 33, 120 к 1.1.35 на полную мощность</w:t>
      </w:r>
    </w:p>
    <w:p w14:paraId="2391AC45"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В целях осоуществления пятилетнего плана построить в течение второй пятилетки в сроки, согласно плана развития мощностей, следующие новые заводы, к строительству которых еще не приступлено:</w:t>
      </w:r>
    </w:p>
    <w:p w14:paraId="268A9887"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моторростроению</w:t>
      </w:r>
    </w:p>
    <w:p w14:paraId="2E0A3522"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завод № 130 в Казани на мощность 20000 моторов водяного охлаждения типа М-34 или Кертис-Конкверер</w:t>
      </w:r>
    </w:p>
    <w:p w14:paraId="58A514C5"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завод № 117 в Горьком на мощность 10000 моторов воздушного охлаждения РЦ</w:t>
      </w:r>
    </w:p>
    <w:p w14:paraId="501AA4FA"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завод № 134 в Харькове на мощность 15000 маломощных моторов типа М-11</w:t>
      </w:r>
    </w:p>
    <w:p w14:paraId="2937FBBD"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территорию б. Завода № 24б использовать для производства мелких серий моторов бензиновых и нефтяных</w:t>
      </w:r>
    </w:p>
    <w:p w14:paraId="63C1513B"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самолетостроению</w:t>
      </w:r>
    </w:p>
    <w:p w14:paraId="0A5640E5"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новый завод истребителей на мощность 3000 шт. (расчетный тип 2-х местный истребитель)</w:t>
      </w:r>
    </w:p>
    <w:p w14:paraId="2A04395B"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новый завод легких самолетов на мощность 8000 шт. самолетов типа У-2 в Харькове</w:t>
      </w:r>
    </w:p>
    <w:p w14:paraId="7F191951"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строительству вспомогательных заводов</w:t>
      </w:r>
    </w:p>
    <w:p w14:paraId="00ED40A6"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второй завод вооружения</w:t>
      </w:r>
    </w:p>
    <w:p w14:paraId="28D5DC79"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второй завод винто-лыжный</w:t>
      </w:r>
    </w:p>
    <w:p w14:paraId="2F77E254"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завод металлических винтов</w:t>
      </w:r>
    </w:p>
    <w:p w14:paraId="253283BA"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г/второй завод карбюраторный</w:t>
      </w:r>
    </w:p>
    <w:p w14:paraId="1DF4322E"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территорию завода № 24а использовать для производства запчастей к моторам, снятым с производства</w:t>
      </w:r>
    </w:p>
    <w:p w14:paraId="3C35C200"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Определить ориентировочный объем вложений в КС на 2-ю пятилетку в сумме 1.450 млн. руб.</w:t>
      </w:r>
    </w:p>
    <w:p w14:paraId="75604D6E"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Обязать НКТП полностью обеспечить потребность авиапромышленности в сырье и материалах на 2 пятилетку (2228,55).</w:t>
      </w:r>
    </w:p>
    <w:p w14:paraId="0A876BCD"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083F4E4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сентября 1933 л НИИ ГВФ В.Г.Бородин установил новый мировой рекорд пилотажа на планере, выполнив на двухместном планере Б.Н.Шереметьева Ш-5 с пассажиром за 3:30 215 фигур, в т.ч. 209 петель и 6 переворотов через крыло (438,655).</w:t>
      </w:r>
    </w:p>
    <w:p w14:paraId="7FA99841"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2842FFD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19 сентября 1933 г. самый ранний вариант крупнокалиберного 410-мм ракетного фугас</w:t>
      </w:r>
      <w:r w:rsidRPr="00C33834">
        <w:rPr>
          <w:rFonts w:ascii="Times New Roman" w:hAnsi="Times New Roman"/>
          <w:color w:val="000000" w:themeColor="text1"/>
          <w:sz w:val="16"/>
          <w:szCs w:val="16"/>
        </w:rPr>
        <w:softHyphen/>
        <w:t>ного снаряда РС-400 модели 1055 был спроектирован в ГДЛ УВИ НВ РККА лично Г.Э.Лангемаком. Чертежные работы выполнил Б.Андерсон, хотя датировал их ноябрем 1932 г. (по-видимому, это была описка). Особенностью боеприпаса можно считать оперение размахом 350 мм, жестко установленное на сопловой рюмке (без сопло</w:t>
      </w:r>
      <w:r w:rsidRPr="00C33834">
        <w:rPr>
          <w:rFonts w:ascii="Times New Roman" w:hAnsi="Times New Roman"/>
          <w:color w:val="000000" w:themeColor="text1"/>
          <w:sz w:val="16"/>
          <w:szCs w:val="16"/>
        </w:rPr>
        <w:softHyphen/>
        <w:t>вого обтекателя), сварную стальную диафрагму колосникового типа ре</w:t>
      </w:r>
      <w:r w:rsidRPr="00C33834">
        <w:rPr>
          <w:rFonts w:ascii="Times New Roman" w:hAnsi="Times New Roman"/>
          <w:color w:val="000000" w:themeColor="text1"/>
          <w:sz w:val="16"/>
          <w:szCs w:val="16"/>
        </w:rPr>
        <w:softHyphen/>
        <w:t>шетчато-кольцевой конфигурации, а также ведущие элементы снаряда в виде направляющих планок. Стрелять им планировали из деревянного желоба, обитого металлическими полосами. Кстати, до недавнего време</w:t>
      </w:r>
      <w:r w:rsidRPr="00C33834">
        <w:rPr>
          <w:rFonts w:ascii="Times New Roman" w:hAnsi="Times New Roman"/>
          <w:color w:val="000000" w:themeColor="text1"/>
          <w:sz w:val="16"/>
          <w:szCs w:val="16"/>
        </w:rPr>
        <w:softHyphen/>
        <w:t>ни во Флоте металлические желоба успешно применяли для запуска ре</w:t>
      </w:r>
      <w:r w:rsidRPr="00C33834">
        <w:rPr>
          <w:rFonts w:ascii="Times New Roman" w:hAnsi="Times New Roman"/>
          <w:color w:val="000000" w:themeColor="text1"/>
          <w:sz w:val="16"/>
          <w:szCs w:val="16"/>
        </w:rPr>
        <w:softHyphen/>
        <w:t>активных глубинных мин и неуправляемых фугасно-реактивных снаря</w:t>
      </w:r>
      <w:r w:rsidRPr="00C33834">
        <w:rPr>
          <w:rFonts w:ascii="Times New Roman" w:hAnsi="Times New Roman"/>
          <w:color w:val="000000" w:themeColor="text1"/>
          <w:sz w:val="16"/>
          <w:szCs w:val="16"/>
        </w:rPr>
        <w:softHyphen/>
        <w:t>дов (11402).</w:t>
      </w:r>
    </w:p>
    <w:p w14:paraId="2D5E5358"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16B02832" w14:textId="77777777" w:rsidR="00B2303C" w:rsidRPr="00C33834" w:rsidRDefault="00B2303C" w:rsidP="00C33834">
      <w:pPr>
        <w:pStyle w:val="rtejustify"/>
        <w:spacing w:before="0" w:after="0"/>
        <w:rPr>
          <w:color w:val="000000" w:themeColor="text1"/>
          <w:sz w:val="16"/>
          <w:szCs w:val="16"/>
          <w:u w:val="single"/>
        </w:rPr>
      </w:pPr>
      <w:r w:rsidRPr="00C33834">
        <w:rPr>
          <w:color w:val="000000" w:themeColor="text1"/>
          <w:sz w:val="16"/>
          <w:szCs w:val="16"/>
        </w:rPr>
        <w:t>19 сентября 1933 г. Каганович — Сталину, Ворошилову</w:t>
      </w:r>
    </w:p>
    <w:p w14:paraId="7F02B5BD"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u w:val="single"/>
        </w:rPr>
        <w:t>С. секретно</w:t>
      </w:r>
      <w:r w:rsidRPr="00C33834">
        <w:rPr>
          <w:color w:val="000000" w:themeColor="text1"/>
          <w:sz w:val="16"/>
          <w:szCs w:val="16"/>
        </w:rPr>
        <w:t>.</w:t>
      </w:r>
    </w:p>
    <w:p w14:paraId="260320FA"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u w:val="single"/>
        </w:rPr>
        <w:t>Шифром.</w:t>
      </w:r>
    </w:p>
    <w:p w14:paraId="6114E079"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u w:val="single"/>
        </w:rPr>
        <w:t>Копия</w:t>
      </w:r>
      <w:r w:rsidRPr="00C33834">
        <w:rPr>
          <w:color w:val="000000" w:themeColor="text1"/>
          <w:sz w:val="16"/>
          <w:szCs w:val="16"/>
        </w:rPr>
        <w:t>.</w:t>
      </w:r>
    </w:p>
    <w:p w14:paraId="78F470FF" w14:textId="77777777" w:rsidR="003F2394" w:rsidRPr="00C33834" w:rsidRDefault="003F2394" w:rsidP="00C33834">
      <w:pPr>
        <w:pStyle w:val="rtecenter"/>
        <w:spacing w:before="0" w:after="0"/>
        <w:jc w:val="both"/>
        <w:rPr>
          <w:color w:val="000000" w:themeColor="text1"/>
          <w:sz w:val="16"/>
          <w:szCs w:val="16"/>
        </w:rPr>
      </w:pPr>
      <w:r w:rsidRPr="00C33834">
        <w:rPr>
          <w:color w:val="000000" w:themeColor="text1"/>
          <w:sz w:val="16"/>
          <w:szCs w:val="16"/>
        </w:rPr>
        <w:t>Т. т. Сталину, Ворошилову.</w:t>
      </w:r>
    </w:p>
    <w:p w14:paraId="549FEE2E"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Сегодня в 11 часов утра т. Тухачевского посетили Пьер Кот и генерал Баррес. Пьер Кот заявил, что «две страны в мире не хотят войны — это СССР и Франция и что поэтому эти страны могут безбоязненно ознакомлять друг друга со своими достижениями и что он имеет предложение установить более постоянное и тесное сотрудничество между французской и советской авиацией, что делает он это в самой предварительной форме, но, что, тем не менее, он может предложить сотрудничество по двум направлениям.</w:t>
      </w:r>
    </w:p>
    <w:p w14:paraId="16814B2E"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В области производства — посылка наших инженеров для изучения французской авиационной промышленности или приглашение к нам в промышленность французских инженеров, или, если мы пожелаем, и то и другое вместе. Во-вторых, Пьер Кот предложил посылку наших командиров для изучения французских авиационных частей и для прохождения французских авиационных школ.»</w:t>
      </w:r>
    </w:p>
    <w:p w14:paraId="792DEFD6"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Пьер Кот интересовался, в каких формах представляется Тухачевскому сотрудничество. Тухачевский ему определенного ответа не дал. Обещал доложить правительству</w:t>
      </w:r>
      <w:r w:rsidRPr="00C33834">
        <w:rPr>
          <w:color w:val="000000" w:themeColor="text1"/>
          <w:sz w:val="16"/>
          <w:szCs w:val="16"/>
          <w:vertAlign w:val="superscript"/>
        </w:rPr>
        <w:t>1</w:t>
      </w:r>
      <w:r w:rsidRPr="00C33834">
        <w:rPr>
          <w:color w:val="000000" w:themeColor="text1"/>
          <w:sz w:val="16"/>
          <w:szCs w:val="16"/>
        </w:rPr>
        <w:t>.</w:t>
      </w:r>
    </w:p>
    <w:p w14:paraId="7256D38F"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Уезжают они 21. IX. Просим сообщить Ваше мнение. Целесообразно ли дать Пьеру Коту и Барресу положительный ответ об установлении более систематической связи между нашей и их авиацией и авиационной промышленностью и о посылке наших командиров и инженеров для изучения французской авиации и авиапромышленности.</w:t>
      </w:r>
    </w:p>
    <w:p w14:paraId="07FF07AB"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Мы считали бы целесообразным дать положительный ответ</w:t>
      </w:r>
      <w:r w:rsidRPr="00C33834">
        <w:rPr>
          <w:color w:val="000000" w:themeColor="text1"/>
          <w:sz w:val="16"/>
          <w:szCs w:val="16"/>
          <w:vertAlign w:val="superscript"/>
        </w:rPr>
        <w:t>2</w:t>
      </w:r>
      <w:r w:rsidRPr="00C33834">
        <w:rPr>
          <w:color w:val="000000" w:themeColor="text1"/>
          <w:sz w:val="16"/>
          <w:szCs w:val="16"/>
        </w:rPr>
        <w:t>.</w:t>
      </w:r>
    </w:p>
    <w:p w14:paraId="5DD5E231"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 35/36/1910/ш.</w:t>
      </w:r>
    </w:p>
    <w:p w14:paraId="71535F0B"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Каганович.</w:t>
      </w:r>
    </w:p>
    <w:p w14:paraId="267222C2"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lastRenderedPageBreak/>
        <w:t>19/IX-33 г.</w:t>
      </w:r>
    </w:p>
    <w:p w14:paraId="03AC2666"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Речь идет о визите в СССР министра авиации Франции П.Кота и сопровождавших его генерального инспектора французской авиации генерала Бареса и других руководителей министерства авиации (см. ДВП. Т. XVI. С. 856–857). 20 сентября Тухачевский направил Кагановичу следующее сообщение: «Вчера на обеде, устроенном в честь французских гостей, пришлось иметь разговоры с Пьером Кот, ген[ералом] Барес и инженером Како по различным вопросам авиационной техники. Были затронуты вопросы полетов в условиях плохой видимости, охлаждения моторов на больших высотах, вооружения авиации, методов подготовки бомбардировщиков, организации ночных полетов и пр. по всем этим вопросам французы очень охотно дают ответы и открыто рассказывают о новых самолетных пушках и пулеметах (1.200 выстрелов в минуту). Истребитель, вооруженный автоматической пушкой, обещают показать через несколько месяцев (сейчас он строится). Приемом французы очень довольны, в частности, ген[ерал] Баррес говорит, что он совершенно очарован приемом, что он является старым другом СССР и что еще в 1927-ом году сговаривался с Эррио о совместной поездке в СССР, но что тогда это не удалось. До сих пор Баррес был очень сдержан. Очень приглашают меня и тов. Алксниса с группой командиров приехать во Францию для изучения авиации и обещают показать всю технику и методику подготовки» (РГАСПИ. Ф. 81. Оп. 3. Д. 101. Л. 27).</w:t>
      </w:r>
    </w:p>
    <w:p w14:paraId="7E49DA30"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vertAlign w:val="superscript"/>
        </w:rPr>
        <w:t>2</w:t>
      </w:r>
      <w:r w:rsidRPr="00C33834">
        <w:rPr>
          <w:color w:val="000000" w:themeColor="text1"/>
          <w:sz w:val="16"/>
          <w:szCs w:val="16"/>
        </w:rPr>
        <w:t xml:space="preserve"> 23 октября 1933 г. посол Франции в СССР в беседе с наркомом иностранных дел Литвиновым вновь поставил вопрос о визите Тухачевского во Францию. Литвинов ответил, что «вопрос у нас не обсуждался», и он даже не знает получил ли Тухачевский приглашение от кого-либо. 30 ноября 1933 г. советник посольства Франции передал члену коллегии НКИД Б.С.Стомонякову памятную записку французского посольства, в которой подтверждалось приглашение Тухачевскому и советским летчикам прибыть во Францию с визитом в ответ на визит Кота (ДВП. Т. XVI. С. 555, 859–860). 10 декабря 1933 г. ПБ приняло предложение Кота о посылке советских командиров в школы французской авиации для совершенствования и наметило состав командируемых. Послу во Франции В.СДовгалевскому было поручено сообщить французской стороне о намерении послать весной 1934 г. эскадрилью самолетов в Париж в ответ на визит Кота (РГАСПИ. Ф. 17. Оп. 162. Д. 15. Л. 152). Визит советской авиационной делегации во главе с начальником Главного управления гражданского/Воздушного флота Уншлихтом состоялся в августе 1934 г. (ДВП. Т. XVII. М. 1971. С. 811).</w:t>
      </w:r>
    </w:p>
    <w:p w14:paraId="72445A0C"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Архив: РГАСПИ Ф. 558. Оп. 11. Д. 81. Л. 24. Заверенная машинописная копия; Ф. 81. Оп. 3. Д. 101. Л. 26. Машинописный текст с пометами Кагановича. </w:t>
      </w:r>
    </w:p>
    <w:p w14:paraId="433F6CE1"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Сталин и Каганович. Переписка. 1931–1936 гг. Москва: (РОССПЭН), 2001 Стр. 351-352 (12310).</w:t>
      </w:r>
    </w:p>
    <w:p w14:paraId="7340CA94" w14:textId="77777777" w:rsidR="003F2394" w:rsidRPr="00C33834" w:rsidRDefault="003F2394" w:rsidP="00C33834">
      <w:pPr>
        <w:spacing w:after="0" w:line="240" w:lineRule="auto"/>
        <w:jc w:val="both"/>
        <w:rPr>
          <w:rFonts w:ascii="Times New Roman" w:hAnsi="Times New Roman"/>
          <w:color w:val="000000" w:themeColor="text1"/>
          <w:sz w:val="16"/>
          <w:szCs w:val="16"/>
          <w:u w:color="002060"/>
        </w:rPr>
      </w:pPr>
    </w:p>
    <w:p w14:paraId="62899490" w14:textId="77777777" w:rsidR="00F65AD9" w:rsidRPr="00C33834" w:rsidRDefault="00F65AD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19 сентября 1933 на Центральном аэродроме им. Фрунзе опробовали оболочку «СССР-1». В 20.00 состоялось совещание метеорологов Гольцмана, Молчанова, Вернова и Альтовского. Для провер</w:t>
      </w:r>
      <w:r w:rsidRPr="00C33834">
        <w:rPr>
          <w:rFonts w:ascii="Times New Roman" w:hAnsi="Times New Roman"/>
          <w:color w:val="0070C0"/>
          <w:sz w:val="16"/>
          <w:szCs w:val="16"/>
        </w:rPr>
        <w:softHyphen/>
        <w:t>ки прогноза запустили радиозонд (20120).</w:t>
      </w:r>
    </w:p>
    <w:p w14:paraId="53154DB9" w14:textId="77777777" w:rsidR="00F65AD9" w:rsidRPr="00C33834" w:rsidRDefault="00F65AD9" w:rsidP="00C33834">
      <w:pPr>
        <w:spacing w:after="0" w:line="240" w:lineRule="auto"/>
        <w:jc w:val="both"/>
        <w:rPr>
          <w:rFonts w:ascii="Times New Roman" w:hAnsi="Times New Roman"/>
          <w:color w:val="0070C0"/>
          <w:sz w:val="16"/>
          <w:szCs w:val="16"/>
        </w:rPr>
      </w:pPr>
    </w:p>
    <w:p w14:paraId="17A87D9D"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5E7AE9A"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1422172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19 сентября 1933 года испытания 107-мм орудий "Особой доставки" на НИАПе продолжались (3861).</w:t>
      </w:r>
    </w:p>
    <w:p w14:paraId="7ADDDD8B"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2C89232B" w14:textId="77777777" w:rsidR="001C2FB0" w:rsidRPr="00C33834" w:rsidRDefault="001C2FB0"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bCs/>
          <w:color w:val="000000" w:themeColor="text1"/>
          <w:sz w:val="16"/>
          <w:szCs w:val="16"/>
          <w:lang w:eastAsia="ru-RU"/>
        </w:rPr>
        <w:t>19 сентября 1933 г. Сталин, Ворошилов — Кагановичу</w:t>
      </w:r>
    </w:p>
    <w:p w14:paraId="24170443" w14:textId="77777777" w:rsidR="001C2FB0" w:rsidRPr="00C33834" w:rsidRDefault="001C2FB0"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Шифровка.</w:t>
      </w:r>
    </w:p>
    <w:p w14:paraId="220B3770" w14:textId="77777777" w:rsidR="001C2FB0" w:rsidRPr="00C33834" w:rsidRDefault="001C2FB0"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Из Сочи отправлена 17–05 19.IX. 1933 г.</w:t>
      </w:r>
    </w:p>
    <w:p w14:paraId="235A86E6" w14:textId="77777777" w:rsidR="001C2FB0" w:rsidRPr="00C33834" w:rsidRDefault="001C2FB0"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Москва. ЦК ВКП(б) тов. Кагановичу. Предлагаем утвердить следующие предложения:</w:t>
      </w:r>
    </w:p>
    <w:p w14:paraId="62F5FCC5" w14:textId="77777777" w:rsidR="001C2FB0" w:rsidRPr="00C33834" w:rsidRDefault="001C2FB0"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 Принять предложение т. Ворошилова о концентрации всех легковых автомашин фирмы «Роллс-Ройс» в особом гараже и о возврате рольсов товарищами, имеющими эти машины в личном пользовании.</w:t>
      </w:r>
    </w:p>
    <w:p w14:paraId="11EEFBE5" w14:textId="77777777" w:rsidR="001C2FB0" w:rsidRPr="00C33834" w:rsidRDefault="001C2FB0"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2) Считать, что впредь машины «Роллс-Ройс» не следует импортировать.</w:t>
      </w:r>
    </w:p>
    <w:p w14:paraId="18422A01" w14:textId="77777777" w:rsidR="001C2FB0" w:rsidRPr="00C33834" w:rsidRDefault="001C2FB0"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3) Купить за границей 4 крытых (лимузин) шестиместных машин системы «Кадиллак» и 8 штук открытых шестиместных «Паккардов» выпуска 1933 г. с полным комплектом запасных частей и запасных частей для существующего парка «Роллс-Ройс».</w:t>
      </w:r>
    </w:p>
    <w:p w14:paraId="3D52297A" w14:textId="77777777" w:rsidR="001C2FB0" w:rsidRPr="00C33834" w:rsidRDefault="001C2FB0"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4) Отпустить на расходы по пункту 3 сто тысяч рублей в инвалюте. Предлагаем:</w:t>
      </w:r>
    </w:p>
    <w:p w14:paraId="140E013E" w14:textId="77777777" w:rsidR="001C2FB0" w:rsidRPr="00C33834" w:rsidRDefault="001C2FB0"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 Утвердить делегацию для ответного визита в Турцию в составе т. т. Ворошилова и Литвинова.</w:t>
      </w:r>
    </w:p>
    <w:p w14:paraId="78526BC8" w14:textId="77777777" w:rsidR="001C2FB0" w:rsidRPr="00C33834" w:rsidRDefault="001C2FB0"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2) Сопровождающих их товарищей определить т. т. Ворошилову и Литвинову в количестве не более 10–15 человек всего.</w:t>
      </w:r>
    </w:p>
    <w:p w14:paraId="0CFDC3B5" w14:textId="77777777" w:rsidR="001C2FB0" w:rsidRPr="00C33834" w:rsidRDefault="001C2FB0"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Сталин. Ворошилов</w:t>
      </w:r>
      <w:r w:rsidRPr="00C33834">
        <w:rPr>
          <w:rFonts w:ascii="Times New Roman" w:eastAsia="Times New Roman" w:hAnsi="Times New Roman"/>
          <w:color w:val="000000" w:themeColor="text1"/>
          <w:sz w:val="16"/>
          <w:szCs w:val="16"/>
          <w:vertAlign w:val="superscript"/>
          <w:lang w:eastAsia="ru-RU"/>
        </w:rPr>
        <w:t>1</w:t>
      </w:r>
      <w:r w:rsidRPr="00C33834">
        <w:rPr>
          <w:rFonts w:ascii="Times New Roman" w:eastAsia="Times New Roman" w:hAnsi="Times New Roman"/>
          <w:color w:val="000000" w:themeColor="text1"/>
          <w:sz w:val="16"/>
          <w:szCs w:val="16"/>
          <w:lang w:eastAsia="ru-RU"/>
        </w:rPr>
        <w:t>.</w:t>
      </w:r>
    </w:p>
    <w:p w14:paraId="7E49A787" w14:textId="77777777" w:rsidR="001C2FB0" w:rsidRPr="00C33834" w:rsidRDefault="001C2FB0"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Ф. 558. On. 11. Д. 81. Л. 13. Подлинник. Машинопись (17281).</w:t>
      </w:r>
    </w:p>
    <w:p w14:paraId="6AACEFC2" w14:textId="77777777" w:rsidR="001C2FB0" w:rsidRPr="00C33834" w:rsidRDefault="001C2FB0" w:rsidP="00C33834">
      <w:pPr>
        <w:spacing w:after="0" w:line="240" w:lineRule="auto"/>
        <w:jc w:val="both"/>
        <w:rPr>
          <w:rFonts w:ascii="Times New Roman" w:hAnsi="Times New Roman"/>
          <w:color w:val="000000" w:themeColor="text1"/>
          <w:sz w:val="16"/>
          <w:szCs w:val="16"/>
        </w:rPr>
      </w:pPr>
    </w:p>
    <w:p w14:paraId="0776E04A"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76871F31"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38C4905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сентября 1933г. германский военный атташе в Москве полковник Хартман в донесении в Берлин писал: «Учебные центры закрыты 15 сентября. Таким образом продолжительный период советско-германского военного сотрудничества в его нынешних формах (sic!) закончился» ADAP, Ser.C, Bd. 1,2. S. 861.) (11784). Весьма показательна употребленная Хартманом формулировка. Получается, что некоторые, вполне обычные и легальные формы военных связей не исключались. О желании обеих сторон продолжать эти отношения «в иных формах» речь шла в ходе бесед генерал-лейтенанта Лютца и Халепского 22 августа 1933 г., Хартмана со Смагиным 23 сентября 1933 г., Левичева с полковником генштаба райхсвера X. фон Штюльпнагелем, нового германского посла в СССР Р. Надольного с Ворошиловым 10 января 1934 г. (ADAP, Ser.C, Bd. 1,2. S. 861.). Примерно в это же время на процессе в Ляйпциге о поджоге райхстага арестом корреспондентов ТАСС и «Известий» по подозрению в намерении присутствовать на процессе, в чем им было отказано днем раньше, был вызван «журналистский конфликт». Москва в ответ отозвала всех своих журналистов из Германии и решила одновременно выслать из СССР всех германских корреспондентов. Одновременно в Германии развернулась кампания по поводу голода в CCCP (Максимычев И. Ф. Указ, соч, с. 50—53.). Однако сталинская пропаганда начисто его отрицала, умело увязав «журналистский конфликт» с «голодной кампанией». В германской прессе усилились нападки против личности Литвинова (РГВА, ф. 33987, оп. 3, д. 505, л. 148-156.). Пытаясь разрядить ситуацию, МИД Германии ухватился за идею своего посольства в Москве об использовании поездки Крестинского на лечение в Германию для его Встречи с ведущими деятелями германского правительства. Но когда Гитлер 26 сентября 1933 г. согласился встретиться с Крестинским и об этом через Хинчука было сообщено в Москву, Крестинский, по инициативе Литвинова, вернулся в Москву через Вену (АВП РФ, ф. 082, оп. 16, п. 71, д. 1, л. 324; ADAP, Ser. С, Bd. 11,1. Ь. 75.) (11784).</w:t>
      </w:r>
    </w:p>
    <w:p w14:paraId="67E31979"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0E55210F" w14:textId="77777777" w:rsidR="00ED1A5E" w:rsidRPr="00C33834" w:rsidRDefault="00ED1A5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сентября 1933 г. германский военный атташе в Москве полковник Хартман в донесении в Берлин писал:</w:t>
      </w:r>
    </w:p>
    <w:p w14:paraId="72E1F7B7" w14:textId="77777777" w:rsidR="00ED1A5E" w:rsidRPr="00C33834" w:rsidRDefault="00ED1A5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«Учебные центры закрыты 15 сентября. Таким образом продолжительный период советско-германского военного сотрудничества в его нынешних формах (sic!) закончился» (18265).</w:t>
      </w:r>
    </w:p>
    <w:p w14:paraId="61E91B51" w14:textId="77777777" w:rsidR="00ED1A5E" w:rsidRPr="00C33834" w:rsidRDefault="00ED1A5E" w:rsidP="00C33834">
      <w:pPr>
        <w:spacing w:after="0" w:line="240" w:lineRule="auto"/>
        <w:jc w:val="both"/>
        <w:rPr>
          <w:rFonts w:ascii="Times New Roman" w:hAnsi="Times New Roman"/>
          <w:color w:val="000000" w:themeColor="text1"/>
          <w:sz w:val="16"/>
          <w:szCs w:val="16"/>
        </w:rPr>
      </w:pPr>
    </w:p>
    <w:p w14:paraId="46C9EBBC" w14:textId="77777777" w:rsidR="00755821" w:rsidRPr="00C33834" w:rsidRDefault="00755821"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19 сентября 1933 японский посол в Маньчжоу-Го получил уведомление о принятом решении арестовать группу советских служащих железной дороги. Советское руководство узнало об этом благодаря расшифровке японских кодов. В НКИД был подготовлен проект заявления о том, что советское правительство располагает сведениями о предполагающихся акциях маньчжурских властей против советского персонала на КВЖД. Первоначально документ был составлен в достаточно мягких тонах. Каганович, видимо учитывавший осторожность Сталина по отношению к Японии в предыдущий период, специально подчеркивал это в своем письме. Однако на этот раз Сталин решил продемонстрировать твердость и потребовал внести в текст заявления резкий абзац об ответственности Японии за нарушения договоров и за готовившийся захват дороги. 20 сентября </w:t>
      </w:r>
      <w:r w:rsidRPr="00C33834">
        <w:rPr>
          <w:rStyle w:val="highlight"/>
          <w:rFonts w:ascii="Times New Roman" w:hAnsi="Times New Roman"/>
          <w:color w:val="000000" w:themeColor="text1"/>
          <w:sz w:val="16"/>
          <w:szCs w:val="16"/>
        </w:rPr>
        <w:t> 1933 </w:t>
      </w:r>
      <w:r w:rsidRPr="00C33834">
        <w:rPr>
          <w:rFonts w:ascii="Times New Roman" w:hAnsi="Times New Roman"/>
          <w:color w:val="000000" w:themeColor="text1"/>
          <w:sz w:val="16"/>
          <w:szCs w:val="16"/>
        </w:rPr>
        <w:t xml:space="preserve"> г. сталинский вариант был утвержден Политбюро. Сталинские поправки в сентябрьском заявлении отражали существенные перемены, происходившие в позиции советского руководства по отношению к Японии (17281).</w:t>
      </w:r>
    </w:p>
    <w:p w14:paraId="4B65680F" w14:textId="77777777" w:rsidR="00755821" w:rsidRPr="00C33834" w:rsidRDefault="00755821" w:rsidP="00C33834">
      <w:pPr>
        <w:autoSpaceDE w:val="0"/>
        <w:autoSpaceDN w:val="0"/>
        <w:adjustRightInd w:val="0"/>
        <w:spacing w:after="0" w:line="240" w:lineRule="auto"/>
        <w:jc w:val="both"/>
        <w:rPr>
          <w:rFonts w:ascii="Times New Roman" w:hAnsi="Times New Roman"/>
          <w:color w:val="000000" w:themeColor="text1"/>
          <w:sz w:val="16"/>
          <w:szCs w:val="16"/>
        </w:rPr>
      </w:pPr>
    </w:p>
    <w:p w14:paraId="0C55DC59"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4F2EE17"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06A4C53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сентября 1933 в Бремерхафен прибыли два разобранных Кертиса Хок-2 - прародителей специализированных пикировщиков. Считались собственностью Удета (4961, 30).</w:t>
      </w:r>
    </w:p>
    <w:p w14:paraId="7A2DC4A9"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48DE7BC2" w14:textId="77777777" w:rsidR="00DD6690" w:rsidRPr="00C33834" w:rsidRDefault="00DD669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19 сентября 1933 г. министр обороны Германии Вернер фон Бломберг отдал приказ, который фактически </w:t>
      </w:r>
      <w:r w:rsidRPr="00C33834">
        <w:rPr>
          <w:rFonts w:ascii="Times New Roman" w:hAnsi="Times New Roman"/>
          <w:bCs/>
          <w:iCs/>
          <w:color w:val="000000" w:themeColor="text1"/>
          <w:sz w:val="16"/>
          <w:szCs w:val="16"/>
        </w:rPr>
        <w:t>нацифицировал вермахт</w:t>
      </w:r>
      <w:r w:rsidRPr="00C33834">
        <w:rPr>
          <w:rFonts w:ascii="Times New Roman" w:hAnsi="Times New Roman"/>
          <w:color w:val="000000" w:themeColor="text1"/>
          <w:sz w:val="16"/>
          <w:szCs w:val="16"/>
        </w:rPr>
        <w:t>. Этот приказ требовал от военнослужащих в военной форме отдавать честь членам НСДАП, одетым в нацистскую форму, а от военнослужащих в штатской форме приветствовать нацистов нацистским приветствием. Это было беспрецедентное для военной практики решение. Еще ранее 15 мая 1933 г. министр издал приказ об обязательной отдаче нацистского приветствия нацистскому флагу и шествиям национальных союзов – т.е. СА, СС, гитлерюгенту и «Стальному шлему». За неисполнение данных приказов полагались взыскания, вплоть до арестов (17325).</w:t>
      </w:r>
    </w:p>
    <w:p w14:paraId="1A3E9EC4" w14:textId="77777777" w:rsidR="00DD6690" w:rsidRPr="00C33834" w:rsidRDefault="00DD6690" w:rsidP="00C33834">
      <w:pPr>
        <w:spacing w:after="0" w:line="240" w:lineRule="auto"/>
        <w:jc w:val="both"/>
        <w:rPr>
          <w:rFonts w:ascii="Times New Roman" w:hAnsi="Times New Roman"/>
          <w:color w:val="000000" w:themeColor="text1"/>
          <w:sz w:val="16"/>
          <w:szCs w:val="16"/>
        </w:rPr>
      </w:pPr>
    </w:p>
    <w:p w14:paraId="6F5D7E25"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0BD5370"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2A36F59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20 сентября 1933 в ОЭЛИД ЦАГИ состоялось совещание о выборе винтов к серийным ТБ-3 (АНТ-6) М-34 (1077,129).</w:t>
      </w:r>
    </w:p>
    <w:p w14:paraId="197845C0"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36188A7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сентября 1933 г. директор авиазавода №39 Марголин направляет начальнику ГУАП и начальнику ВВС рапорт следующего содержания: "При проектировании самолета ЦКБ-12 (И-16) 2-й бригадой ЦКБ было проделано несколько вариантов расчетов под различные моторы. Из этих расчетов выяснилось, что если ставим РЦ Ф-5. получается великолепный истребитель. опережающий европейские и американские самолеты. Скорость максимальная на 5 км - 410 км/час, потолок - 9000 м. Прошу закупить один мотор не позднее декабря и поставить его на одни из строящихся ЦКБ-12". Марголин предлагал приобрести самый последний вариант "Райга", высотную модификацию F-5, однако на практике этого не произошло, а столкнуться с установкой таких двигателей пришлось гораздо позднее, в 1938 г. в Испании. В тот период в Москве и мелся всего один двигатель F-3, который проходил оценочные испытания в Центральном институте авиамоторостроения (ЦИАМ). Предлагалось завершить эти испытания пекле наработки 50-часового ресурса, далее F-3 не испытывать. а установить его на ЦКБ-12. Тем временем, конструктор самолета добивается получения одного двигателя "Райт-Циклон" F-2 (невысотный вариант) и принимает решение установить его на второй опытный экземпляр - ЦКБ-12бис (12015).</w:t>
      </w:r>
    </w:p>
    <w:p w14:paraId="6684445A"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7B3F2415"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20 сентября 1933 Тухачевский направил Кагановичу следующее сообщение: «Вчера на обеде, устроенном в честь французских гостей, пришлось иметь разговоры с Пьером Кот, ген[ералом] Барес и инженером Како по различным вопросам авиационной техники. Были затронуты вопросы полетов в условиях плохой видимости, охлаждения моторов на больших высотах, вооружения авиации, методов подготовки бомбардировщиков, организации ночных полетов и пр. по всем этим вопросам французы очень охотно дают ответы и открыто рассказывают о новых самолетных пушках и пулеметах (1.200 выстрелов в минуту). Истребитель, вооруженный автоматической пушкой, обещают показать через несколько месяцев (сейчас он строится). Приемом французы очень довольны, в частности, ген[ерал] Баррес говорит, что он совершенно очарован приемом, что он является старым другом СССР и что еще в 1927-ом году сговаривался с Эррио о совместной поездке в СССР, но что тогда это не удалось. До сих пор Баррес был очень сдержан. Очень приглашают меня и тов. Алксниса с группой командиров приехать во Францию для изучения авиации и обещают показать всю технику и методику подготовки» (РГАСПИ. Ф. 81. Оп. 3. Д. 101. Л. 27).</w:t>
      </w:r>
    </w:p>
    <w:p w14:paraId="40582F57" w14:textId="77777777" w:rsidR="003F2394" w:rsidRPr="00C33834" w:rsidRDefault="003F2394" w:rsidP="00C33834">
      <w:pPr>
        <w:spacing w:after="0" w:line="240" w:lineRule="auto"/>
        <w:jc w:val="both"/>
        <w:rPr>
          <w:rFonts w:ascii="Times New Roman" w:hAnsi="Times New Roman"/>
          <w:color w:val="000000" w:themeColor="text1"/>
          <w:sz w:val="16"/>
          <w:szCs w:val="16"/>
          <w:u w:color="002060"/>
        </w:rPr>
      </w:pPr>
    </w:p>
    <w:p w14:paraId="121D043C" w14:textId="77777777" w:rsidR="00BF574B" w:rsidRPr="00C33834" w:rsidRDefault="00BF574B" w:rsidP="00C33834">
      <w:pPr>
        <w:pStyle w:val="rtecenter"/>
        <w:spacing w:before="0" w:after="0"/>
        <w:jc w:val="both"/>
        <w:rPr>
          <w:color w:val="000000" w:themeColor="text1"/>
          <w:sz w:val="16"/>
          <w:szCs w:val="16"/>
        </w:rPr>
      </w:pPr>
      <w:r w:rsidRPr="00C33834">
        <w:rPr>
          <w:bCs/>
          <w:color w:val="000000" w:themeColor="text1"/>
          <w:sz w:val="16"/>
          <w:szCs w:val="16"/>
        </w:rPr>
        <w:t>20 сентября 1933 г. Сталин — Кагановичу</w:t>
      </w:r>
    </w:p>
    <w:p w14:paraId="7E382D49" w14:textId="77777777" w:rsidR="003F2394" w:rsidRPr="00C33834" w:rsidRDefault="003F2394" w:rsidP="00C33834">
      <w:pPr>
        <w:pStyle w:val="rtecenter"/>
        <w:spacing w:before="0" w:after="0"/>
        <w:jc w:val="both"/>
        <w:rPr>
          <w:color w:val="000000" w:themeColor="text1"/>
          <w:sz w:val="16"/>
          <w:szCs w:val="16"/>
        </w:rPr>
      </w:pPr>
      <w:r w:rsidRPr="00C33834">
        <w:rPr>
          <w:color w:val="000000" w:themeColor="text1"/>
          <w:sz w:val="16"/>
          <w:szCs w:val="16"/>
        </w:rPr>
        <w:t>Москва. ЦК ВКЛ. Кагановичу.</w:t>
      </w:r>
    </w:p>
    <w:p w14:paraId="4C2E5243"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Французы лезут к нам для разведки. Наша авиация интересует их потому, что она у нас хорошо поставлена, и мы сильны в этой области. Авиационное сотрудничество приемлемо, но его надо обусловить сотрудничеством по строительству военно-морских кораблей, особенно по подлодкам, миноносцам, где мы несколько слабы. Французам надо ответить так: первое, так как они уже посетили некоторые наши авиапредприятия, разрешить нашим инженерам и командирам ознакомиться на месте с французскими авиапредприятиями, а потом можно будет допустить к нам французских инженеров; второе, разрешить теперь же нашим инженерам и морским командирам ознакомиться на месте с французскими предприятиями по строительству морских кораблей и оборудования к ним. Если французы не согласятся, дать им вежливый, но прозрачный намек, что без последнего условия сотрудничество с ними считаем невозможным.</w:t>
      </w:r>
    </w:p>
    <w:p w14:paraId="2816C136"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Сталин.</w:t>
      </w:r>
    </w:p>
    <w:p w14:paraId="0BFF0B8A"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№45</w:t>
      </w:r>
    </w:p>
    <w:p w14:paraId="526A5538"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20ДХ.33</w:t>
      </w:r>
      <w:r w:rsidRPr="00C33834">
        <w:rPr>
          <w:color w:val="000000" w:themeColor="text1"/>
          <w:sz w:val="16"/>
          <w:szCs w:val="16"/>
          <w:vertAlign w:val="superscript"/>
        </w:rPr>
        <w:t>1</w:t>
      </w:r>
      <w:r w:rsidRPr="00C33834">
        <w:rPr>
          <w:color w:val="000000" w:themeColor="text1"/>
          <w:sz w:val="16"/>
          <w:szCs w:val="16"/>
        </w:rPr>
        <w:t>.</w:t>
      </w:r>
    </w:p>
    <w:p w14:paraId="54542600"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Архив: РГАСПИ Ф. 558. Оп. 11. Д. 81. Л. 22–23. Автограф. </w:t>
      </w:r>
    </w:p>
    <w:p w14:paraId="3B42B3FA"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Сталин и Каганович. Переписка. 1931–1936 гг. Москва: (РОССПЭН), 2001 Стр. 352 (12359).</w:t>
      </w:r>
    </w:p>
    <w:p w14:paraId="08FF5FD5" w14:textId="77777777" w:rsidR="003F2394" w:rsidRPr="00C33834" w:rsidRDefault="003F2394" w:rsidP="00C33834">
      <w:pPr>
        <w:spacing w:after="0" w:line="240" w:lineRule="auto"/>
        <w:jc w:val="both"/>
        <w:rPr>
          <w:rFonts w:ascii="Times New Roman" w:hAnsi="Times New Roman"/>
          <w:color w:val="000000" w:themeColor="text1"/>
          <w:sz w:val="16"/>
          <w:szCs w:val="16"/>
          <w:u w:color="002060"/>
        </w:rPr>
      </w:pPr>
    </w:p>
    <w:p w14:paraId="1470580A" w14:textId="77777777" w:rsidR="00F65AD9" w:rsidRPr="00C33834" w:rsidRDefault="00F65AD9"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4EE2CE8" w14:textId="77777777" w:rsidR="00F65AD9" w:rsidRPr="00C33834" w:rsidRDefault="00F65AD9" w:rsidP="00C33834">
      <w:pPr>
        <w:spacing w:after="0" w:line="240" w:lineRule="auto"/>
        <w:jc w:val="both"/>
        <w:rPr>
          <w:rFonts w:ascii="Times New Roman" w:hAnsi="Times New Roman"/>
          <w:iCs/>
          <w:color w:val="000000" w:themeColor="text1"/>
          <w:sz w:val="16"/>
          <w:szCs w:val="16"/>
        </w:rPr>
      </w:pPr>
    </w:p>
    <w:p w14:paraId="1F3DDA1B" w14:textId="77777777" w:rsidR="00F65AD9" w:rsidRPr="00C33834" w:rsidRDefault="00F65AD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20 сентября 1933 – Первый полет Boeing P-29 (Boeing Model 264). Boeing P-29 был попыткой создать более продвинутую версию успешного P-26. Хотя в ходе работ были достигнуты некоторые успехи Авиационный корпус Армии США не стал заказывать самолет. От Р-26 новый самолет отличался наличием полностью свободнонесущего крыла эллиптической формы, закрылками, закрытым фонарем и убирающимся назад в крыло шасси (нижняя часть которого торчала наружу) (22359).</w:t>
      </w:r>
    </w:p>
    <w:p w14:paraId="22E4FC60" w14:textId="77777777" w:rsidR="00F65AD9" w:rsidRPr="00C33834" w:rsidRDefault="00F65AD9" w:rsidP="00C33834">
      <w:pPr>
        <w:spacing w:after="0" w:line="240" w:lineRule="auto"/>
        <w:jc w:val="both"/>
        <w:rPr>
          <w:rFonts w:ascii="Times New Roman" w:hAnsi="Times New Roman"/>
          <w:color w:val="0070C0"/>
          <w:sz w:val="16"/>
          <w:szCs w:val="16"/>
        </w:rPr>
      </w:pPr>
    </w:p>
    <w:p w14:paraId="480C11F8"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21A3BA7"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136F2001"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21 сентября 1933 г. начались испытания ТБ-3 с двумя И-5 на крыле. На следующий день состоялся взлёт с одним истребителем на фюзеляже, а 23 сентября «Звено-2» поднялось в небо в полной комплектации — с тремя И-5. «Звено-2» — ТБ-3 с установкой двух И-5 на крыльях и третьего — на фюзеляже. Узлы крепления истребителей и техника отрыва остались те же В истребителях, расположенных на плоскостях, находились В.К. Коккинаки и И.Ф. Гроздь, а самолётом, закреплённым на фюзеляже, управлял Т.П. Сузи.</w:t>
      </w:r>
    </w:p>
    <w:p w14:paraId="292B91E5"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Испытания завершились 5 октября. За это время было сделано 11 полётов — два с одним И-5, шесть с двумя И-5 и три с тремя И-5.</w:t>
      </w:r>
    </w:p>
    <w:p w14:paraId="0788B544"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В шести случаях истребители взлетали с бомбардировщика. «Испытания показали полное решение проблемы перевозки на крыльях ТБЗ-4М17 одного, двух и трёх истребителей с отрывом их от бомбардировщика в любое время и в любой последовательности», — таков был основной вывод </w:t>
      </w:r>
      <w:hyperlink r:id="rId332" w:history="1">
        <w:r w:rsidRPr="00C33834">
          <w:rPr>
            <w:rFonts w:ascii="Times New Roman" w:eastAsia="Times New Roman" w:hAnsi="Times New Roman"/>
            <w:color w:val="000000" w:themeColor="text1"/>
            <w:sz w:val="16"/>
            <w:szCs w:val="16"/>
            <w:lang w:eastAsia="ru-RU"/>
          </w:rPr>
          <w:t>[83]</w:t>
        </w:r>
      </w:hyperlink>
      <w:r w:rsidRPr="00C33834">
        <w:rPr>
          <w:rFonts w:ascii="Times New Roman" w:eastAsia="Times New Roman" w:hAnsi="Times New Roman"/>
          <w:color w:val="000000" w:themeColor="text1"/>
          <w:sz w:val="16"/>
          <w:szCs w:val="16"/>
          <w:lang w:eastAsia="ru-RU"/>
        </w:rPr>
        <w:t xml:space="preserve"> .</w:t>
      </w:r>
    </w:p>
    <w:p w14:paraId="229EB896"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При запуске двигателей всех трёх истребителей «Звено-2» превращалось в семимоторный самолёт. При этом все лётные характеристики по сравнению с обычным ТБ-3 улучшались.</w:t>
      </w:r>
    </w:p>
    <w:p w14:paraId="3E1C25E3"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Но если в воздухе всё шло хорошо, то на земле подготовка «Звена-2» к полёту требовала массу времени и усилий. Особенно трудно было вручную взгромоздить И-5 на фюзеляж ТБ-3. Да и чтобы забраться потом в кабину этого самолёта, требовалась немалая сноровка. Поэтому при дальнейших испытаниях Сузи в полёте не стартовал и, по выражению П.М. Стефановского, «сидел как цыплёнок на клушке» </w:t>
      </w:r>
      <w:hyperlink r:id="rId333" w:history="1">
        <w:r w:rsidRPr="00C33834">
          <w:rPr>
            <w:rFonts w:ascii="Times New Roman" w:eastAsia="Times New Roman" w:hAnsi="Times New Roman"/>
            <w:color w:val="000000" w:themeColor="text1"/>
            <w:sz w:val="16"/>
            <w:szCs w:val="16"/>
            <w:lang w:eastAsia="ru-RU"/>
          </w:rPr>
          <w:t>[84]</w:t>
        </w:r>
      </w:hyperlink>
      <w:r w:rsidRPr="00C33834">
        <w:rPr>
          <w:rFonts w:ascii="Times New Roman" w:eastAsia="Times New Roman" w:hAnsi="Times New Roman"/>
          <w:color w:val="000000" w:themeColor="text1"/>
          <w:sz w:val="16"/>
          <w:szCs w:val="16"/>
          <w:lang w:eastAsia="ru-RU"/>
        </w:rPr>
        <w:t xml:space="preserve"> . Его самолёт использовали как дополнительный мотор.</w:t>
      </w:r>
    </w:p>
    <w:p w14:paraId="58E655AC"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связи этим у Вахмистрова утвердилась идея заменить третий истребитель на специальный самолёт-тягач «Т-3» с мощным мотором и соответственно подобранным винтом. Он должен был помогать взлёту тяжело нагруженного бомбардировщика. После набора высоты тягач можно было отделить и лётчик сажал его на аэродром (17489).</w:t>
      </w:r>
    </w:p>
    <w:p w14:paraId="17718A05"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p>
    <w:p w14:paraId="79C88FD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сентября 1933 приказом ЦС Осоавиахим руководство организацией полета стратостата Осоавиахим-1 возложил на т. Ильина. С момента переброски стратостата в Москву организация полета целиком ложится на Ц. С. Осоавиахима, и Лен. обл. совет от всей последующей организации отходит.</w:t>
      </w:r>
    </w:p>
    <w:p w14:paraId="1E42595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Подготовительная работа к полету в последние дни проведена в большой спешке, сроки для проверки материальной части и приборов давались короткие. Подготовка к полету для экипажа прошла в огромном напряжении (11611).</w:t>
      </w:r>
    </w:p>
    <w:p w14:paraId="726AF1D0"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0BCBBF2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сентября 1933 вышли приказ РВС и постановление СТО об организации РНИИ (1136,265) на базе ГДЛ и ГИРД (2528). Нач. назначили И.Т.Клейменова, зам. Нач. и ГИ - С.П.К., а нач. Ленинградского отделения РНИИ стал Г.Э.Лангемак и ГО - Б.С.Петропавловский (2990).</w:t>
      </w:r>
    </w:p>
    <w:p w14:paraId="22705DE2"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4BCE7B7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сентября 1933 г. по приказу РВС № 113 на базе ГИРД ОСОАВИАХИМ основан РНИИ РККА. Также на базе МосГИРД было организовано КБ-7, занимавшееся жидкостными баллистическими ракетами.</w:t>
      </w:r>
    </w:p>
    <w:p w14:paraId="4B6398A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постановлению СТО № 104 от 31.10.1933 г. РНИИ с филиалом передан в НКТП. В 1934 г. в него вошла группа по РД из ГДЛ при Управлении военных изобретений (г. Ленинград) под руководством В.П. Глушко. Вначале находился на Лихачевском ш.</w:t>
      </w:r>
    </w:p>
    <w:p w14:paraId="46E4851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по ЖРД, РДТТ, ПВРД, ракетам, газогенераторам торпед, порохам.</w:t>
      </w:r>
    </w:p>
    <w:p w14:paraId="47D2298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составе РНИИ организован сектор (отдел) КР, которым руководили: А.И. Стеняев, С.П. Королев, В.И. Дудаков. Позже, в 1935-36 г. создана отдельная бригада КР с РДТТ. </w:t>
      </w:r>
    </w:p>
    <w:p w14:paraId="648F208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Велись работы под руководством В.И. Дудакова по созданию стартовых ускорителей с РДТТ для самолетов: У-1 (1931 г.), ТБ-1 (1933 г.). Спроектирована и построена экспериментальная пороховая катапульта для запуска самолета с борта корабля (1935 г.).39</w:t>
      </w:r>
    </w:p>
    <w:p w14:paraId="61DF3BF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1933-40 г. под руководством Б.С. Петропавловского создан ряд пороховых РС.</w:t>
      </w:r>
    </w:p>
    <w:p w14:paraId="4C0BA48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1936 г. на базе ракеты «05» создана ракета «Авиавнито» с двигателем 12К (запущена 6.04.1936 г.). </w:t>
      </w:r>
    </w:p>
    <w:p w14:paraId="75B2D0C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Созданы и испытаны КР: «06/I» (Щетинков, 1934 г.), «06/III» («216») (1936 г.), «212» (Королев, 1939 г.).</w:t>
      </w:r>
    </w:p>
    <w:p w14:paraId="6800ACB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 руководством М.П. Дрязгова созданы КР с РДТТ: «48» (1935 г.), экспериментальная зенитная «217» (1936 г.).</w:t>
      </w:r>
    </w:p>
    <w:p w14:paraId="7CF013C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1936 г. под руководством 1937 г. Королёва и Щетинкова создан ракетоплан РП-218, в 1937 г.- РП-318-1 с двигателем ОРМ-65 конструкции Глушко.</w:t>
      </w:r>
    </w:p>
    <w:p w14:paraId="21344EF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 руководством С.А. Пивоварова создан гироскопический автомат ГПС-2 для КР «216».</w:t>
      </w:r>
    </w:p>
    <w:p w14:paraId="6EC6ACF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19.05.1939 г.. испытана ракета Р-3 с ПВРД И.А. Меркулова.59 </w:t>
      </w:r>
    </w:p>
    <w:p w14:paraId="56E5E83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2.01.1937 г. институт передан в НКОП и преобразован в НИИ-3 НКОП. В 1941 г.- в ведении НКБ.</w:t>
      </w:r>
    </w:p>
    <w:p w14:paraId="4D09EB8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xml:space="preserve">После ареста в 1938 г. Глушко и Королева их отделы были объединены в один под руководством Л.С. Душкина. Продолжены работы по ракетоплану РП-318-1 (ведущий конструктор- А.В. Палло). После успешных испытаний РП-318-1 был разобран, а после начала войны уничтожен. В соответствии с постановлением ГКО от 08.1941 г. отделу Душкина было поручено создание ЖРД РДА-1-1100 для истребителя БИ. </w:t>
      </w:r>
    </w:p>
    <w:p w14:paraId="109D95A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20-х числах октября 1941 г. институт эвакуирован в Свердловск.</w:t>
      </w:r>
    </w:p>
    <w:p w14:paraId="0883DC7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 1942 г.- ГИРТ (Государственный институт реактивной техники) при СНК СССР. По постановлению ГКО № 4306с от 11.10.1943 г. и приказу НКАП № 666с от 5.11.1943 г. в подчинение ГИРТ с 7.11.1943 г. передан завод № 55 НКАП в качестве производственной базы. В ГИРТ переведены все сотрудники бывшего ОКБ А.А. Архангельского, а также М.Р. Бисноват.СМ-3-4/97 </w:t>
      </w:r>
    </w:p>
    <w:p w14:paraId="45ACF00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 самолет «302П» (Ко-3) с ЖРД Душкина (гл. конструктор- Костиков, первый полет в 10.1943 г.).</w:t>
      </w:r>
    </w:p>
    <w:p w14:paraId="16805A7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Постановлением ГОКО № 5201сс от 18.02.1944 г. было указано на «нетерпимое положение с реактивной техникой» и ГИРТ был ликвидирован. Одновременно все сооружения и кадры были переданы в НКАП (приказ № 111с от 18.02.1944 г.) и стали основой для образования Научно-исследовательского института реактивной авиации (НИРА) НКАП. Приказом № 115с от 18.02.1944 г. начальником временно назначен В.И. Поликовский. По приказу № 149сс от 28.02.1944 г. НИРА объединен с заводом № 293 (вместе с ОКБ-293) и преобразован в НИИ-1, в ведении 7ГУ НКАП. </w:t>
      </w:r>
    </w:p>
    <w:p w14:paraId="551B439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Началось сосредоточение в институте основных кадров по реактивной технике. Сюда переведены: из ОКБ-293 - ЭКБ-3 М.М. Бондарюка (создан отдел ПВРД, далее- КБ-2 НИИ-1, с 10.1950 г.- самостоятельное ОКБ-670); из ЦИАМ - А.М. Люлька (выдано задание на создание ТРД тягой 1250 кг); группа В.П. Глушко; группа Л.С. Душкина; группа А.М. Исаева (ОКО при НИИ-1).</w:t>
      </w:r>
    </w:p>
    <w:p w14:paraId="11FE140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И.Ф. Флоров, работавший в ОКБ-293, в 07.1944 г. назначен начальником самолетного сектора № 43 НИИ-1 по приказу № 370сс от 30.05.1944 г. (с 1948 г.- в ЦИАМ). Здесь же с конца 1944 г. по 02.1945 г. работал А.А. Боровков. Создан самолет «4302» (1946 г.).</w:t>
      </w:r>
    </w:p>
    <w:p w14:paraId="5B537EF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Приказом № 364с от 29.05.1944 г. начальником НИИ-1 назначен П.И. Федоров, 1-м замом по научно-исследовательской работе- В.Ф. Болховитинов. Приказом № 656с от 11.11.1944 г. НИИ-1 передан в 18ГУ, основное направление- реактивное двигателестроение. В 03.1946 г. в связи с ликвидацией 18ГУ передан в 8ГУ, с 1.10.1951 г.- в 6ГУ.</w:t>
      </w:r>
    </w:p>
    <w:p w14:paraId="2D3B114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03.1946 г. из НИИ-1 МАП на завод № 81 МАП переведена группа конструкторов (9 чел.), занимавшаяся установками РС. По приказу № 182сс от 30.03.1946 г. СКБ А.М. Люльки переведено на самостоятельную опытную базу- завод № 165 МАП, в состав его ОКБ передан личный состав отдела № 21 НИИ-1.</w:t>
      </w:r>
    </w:p>
    <w:p w14:paraId="4E122C6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1947 г. Келдышем разработан проект ракетного самолета с 2-мя ПВРД и ЖРД.</w:t>
      </w:r>
    </w:p>
    <w:p w14:paraId="2A3D547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1.07.1948 г. НИИ-1 являлся филиалом ЦИАМ (приказ № 440с от 21.06.1948 г.). В соответствии с постановлением СМ СССР от 10.03.1952 г. НИИ-1 МАП стал самостоятельным и получил также название НИИ РД (реактивных двигателей)59.</w:t>
      </w:r>
    </w:p>
    <w:p w14:paraId="0DDD264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НИИ-88 в институт переведена лаборатория по автоматической астрокоррекции под руководством И.М. Лисовича.</w:t>
      </w:r>
    </w:p>
    <w:p w14:paraId="78133B1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 1950-х г., после выделения всех конструкторских организаций в самостоятельные, институт занимается НИР в ракетно-космической области и двигателестроении. </w:t>
      </w:r>
    </w:p>
    <w:p w14:paraId="14CF3A3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1954 г. создана лаборатория № 6 (руководитель- К.П. Осминин) по динамике КР.</w:t>
      </w:r>
    </w:p>
    <w:p w14:paraId="6CF883C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1950-е г. построена стендовая испытательная база в Тураево.</w:t>
      </w:r>
    </w:p>
    <w:p w14:paraId="14E44D8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1954 г. институт принимает активное участие в работах по МБР Р-7, МКР «Буран» и «Буря».</w:t>
      </w:r>
    </w:p>
    <w:p w14:paraId="157FCF3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1955 г. образован филиал по системам управления КР (начальник- Р.Г. Чачикян; гл. конструкторы: по астронавигации- И.М. Лисович, по автопилоту- Г.Н. Толстоусов).59 </w:t>
      </w:r>
    </w:p>
    <w:p w14:paraId="633C9B1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1956-57 г. построен газодинамический тепловой стенд Ц-12Т для испытаний ракет.59 </w:t>
      </w:r>
    </w:p>
    <w:p w14:paraId="27177B3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1950-е г. существовала лаборатория систем управления (руководитель- Б.В. Раушенбах). Разработаны системы ориентации КА на основе солнечных и лунных датчиков (Башкин, Князев). Затем группа Б.В. Раушенбаха переведена в ОКБ-1 ГКОТ.</w:t>
      </w:r>
    </w:p>
    <w:p w14:paraId="4ADF5C2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1965 г. НИИ-1 ГКАТ передан в подчинение 2ГУ МОМ и по приказу от 6.03.1966 г. преобразован в НИИТП (тепловых процессов). В 1990-х г. передан в РКА. В 1995 г. переименован в Исследовательский центр им М.В. Келдыша. По Указу Президента РФ № 1009 от 4.08.2004 г. вошел в число стратегических оборонных предприятий.</w:t>
      </w:r>
    </w:p>
    <w:p w14:paraId="75DF163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1960-е г.: научное обеспечение разработок ЖРД и теплозащиты головных частей ракет (1954-57 г.- БР Р-7 и МКР «Буря»), решение задач по выводу в космос КА. Проведены первые фундаментальные исследования ядерных ракетных двигателей (с конца 1950-х). Разработаны схемы электрических плазменных двигателей торцевого типа (А.А. Поротников). </w:t>
      </w:r>
    </w:p>
    <w:p w14:paraId="0A6411D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1965 г. НИИТП- головная научно-исследовательская организация ракетного двигателестроения.</w:t>
      </w:r>
    </w:p>
    <w:p w14:paraId="3C0D91F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Принимал участие в программе создания ОК «Буран». </w:t>
      </w:r>
    </w:p>
    <w:p w14:paraId="6FA58C4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1970-80-е г.- научное обеспечение создания РДТТ для БРК.</w:t>
      </w:r>
    </w:p>
    <w:p w14:paraId="3D03F1B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начале 1980-х г. создан плазмогенератор «Марабу», создающих вокруг движущегося объекта плазменную оболочку, снижающую радиолокационную заметность объекта.63 </w:t>
      </w:r>
    </w:p>
    <w:p w14:paraId="5B5DA71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Разработана технология создания в ионосфере плазменно-паровых облаков, отражающих РЛ-излучение (работал Ю.А. Уткин). Испытания установки «Мажор» проведены на космической станции «Мир».63 </w:t>
      </w:r>
    </w:p>
    <w:p w14:paraId="32DF14F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2000 г.: работы по ракетно-космическим энергоустановкам, исследования в области термодинамики. </w:t>
      </w:r>
    </w:p>
    <w:p w14:paraId="3334F14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Направления деятельности (2005 г.): исследования и разработки по ракетным двигателям для РКТ (ЖРД нового поколения, электроракетные двигатели); НИОКР по изделиям РКТ, подбор материалов и топлив; НИР по экологически чистым технологиям при производстве и эксплуатации РКТ; разработка технологий для военной, научной и народнохозяйственной техники; разработка энергосберегающих технологий.</w:t>
      </w:r>
    </w:p>
    <w:p w14:paraId="1118C93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 отдел «Водородной энергетики» (зам. начальника отдела (2005 г.)- В. Смоляров). Работы по водородным топливным элементам.</w:t>
      </w:r>
    </w:p>
    <w:p w14:paraId="7EEC4B6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(1933-37 г.)- И.Т. Клейменов (репрессирован), (1937-40 г.)- Б.М. Слонимер, (1941 г.)- Н.А. Монаков, (1941 г.)- А.Н. Фоменко, (1942-02.1944 г.)- генерал-майор А.Г. Костиков (отстранен, затем репрессирован), (02.1944-)- В.И. Поликовский, (05.1944 г.-)- П.И. Федоров, (1945-46 г.)- Я.Л. Бибиков, генерал-майор ИАС, (11.1946 г.-)- М.В. Келдыш, (1948-49 г.)- В.В. Владимиров, (1949-51 г.)- В.А. Окулов, (1951-55 г.)- А.Т. Туманов, (1955-88 г.)- В.Я. Лихушин. Директор (1988-2005 г.-)- академик А.С. Коротеев.</w:t>
      </w:r>
    </w:p>
    <w:p w14:paraId="4A16658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Научный руководитель (1948-61 г.)- академик М.В. Келдыш.</w:t>
      </w:r>
    </w:p>
    <w:p w14:paraId="58417FB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начальника (1933 г.-)- С.П. Королев; по научной части - В.Ф. Болховитинов (05.1944-46 г.). Зам. директора (2003 г.)- А.М. Губертов; по ВЭС (2005 г.)- А.А. Кленчев.</w:t>
      </w:r>
    </w:p>
    <w:p w14:paraId="63CEB9D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(1940-41 г.)- А.Г. Костиков. Начальник КБ (1943 г.-)- А.Я. Березняк.</w:t>
      </w:r>
    </w:p>
    <w:p w14:paraId="0CBB9BA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Работали: (03.1938; 1944 г.) - А.П. Артемьев (РС), А.П. Ваничев, Л.А. Воскресенский, И.И. Гвай (РС), (-1937 г.)-В.П. Глушко (репрессирован, работал в ОТБ НКВД на заводе № 8), (1933- 44 г.-)- Л.С. Душкин, (1941 г.)- В.С. Зуев (ПВРД), (1930-е; 1944-)- А.М. Исаев, (-04.1938 г.)- С.П. Королев (репрессирован), (-1937 г.)- Г.Э. Лангемак (репрессирован), А.М. Люлька, В.П. Мишин, (1936-45; 1958-96 г.)- А.В. Палло (ведущий инженер по ЖРД), Г.И. Петров, Н.А. Пилюгин, Ю.А. Победоносцев (РС для «Катюши»), (-1936-38 г.-)- Б.В. Раушенбах (расчеты), (-1934-41 г.-)- М.К. Тихонравов (затем- в НИИ-4 МО), Б.Е. Черток, (1941 г.)- Е.С. Щетинков (ПВРД). </w:t>
      </w:r>
    </w:p>
    <w:p w14:paraId="144F6B3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Создано: РС: РС-82 (пнв в 1937 г.), РС-132 (пнв в 1938 г.); М-13 (пнв в 1941 г.), М-13УК (пнв в 1943 г.), М-13ДД (пнв в 1944 г.), М-20 (1941 г.) для БМ-13 «Катюша» ; М-8 (пнв в 1941 г.) для БМ-8 «Катюша»; М-30 (пнв в 1942 г.), М-31 (пнв в 1943 г.), М-31УК (пнв в 1944 г.) для БМ-31;58 самолеты с ЖРД: «302» (1943), «4302» (1946), «4303» (1947); СЭДУ- солнечная энергодвигательная установка с СТРД- солнечным тепловым ракетным двигателем.</w:t>
      </w:r>
    </w:p>
    <w:p w14:paraId="45D158D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НИИ-1 НКАП, МАП, ГКАТ, РНИИ (ракетный) РККА, НКТП, НИИ-3 НКОП, НКБ, ГИРТ при СНК, НИРА НКАП, НИИ РД МАП, НИИТП (тепловых процессов) МОМ, НИИТП им. М.В. Келдыша РКА, ФГУП «Исследовательский центр им. М.В. Келдыша» РАКА</w:t>
      </w:r>
    </w:p>
    <w:p w14:paraId="0B497EC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125438 г. Москва, ул. Онежская, 8/10 тел. 456-46-08, 456-87-56 www.kerc.msk.ru (10776).</w:t>
      </w:r>
    </w:p>
    <w:p w14:paraId="1D926AB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КБ-7 РНИИ</w:t>
      </w:r>
    </w:p>
    <w:p w14:paraId="1515E6E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Создано в 1935 г. на базе бригады ЖРД ГИРДа. Работы по жидкостным ракетам.</w:t>
      </w:r>
    </w:p>
    <w:p w14:paraId="0448B4C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Построена испытательная станция, в состав которой вошли: башня для огневых испытаний, пультовая, помещение для сборки ракет, электротехническая и керамическая лаборатории.</w:t>
      </w:r>
    </w:p>
    <w:p w14:paraId="744C870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(1935 г.)- Л.К. Корнеев.</w:t>
      </w:r>
    </w:p>
    <w:p w14:paraId="36E58CC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начальника (08.1935 г.)- А.И. Полярный.</w:t>
      </w:r>
    </w:p>
    <w:p w14:paraId="1F56C22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Работали: (1935 г.-)- М.Г. Воробьев, П.И. Иванов (нач. группы аэродинамики), Е.М. Курило (электротехника), А.С. Раецкий, Э.П. Шептицкий (нач. конструкторской группы); (1937 г.)- М.Ю. Голлендер (нач. керамической лаборатории), Ф.Л. Якайтис, В.С. Зуев, А.Б. Ионов.</w:t>
      </w:r>
    </w:p>
    <w:p w14:paraId="5E622DE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Создано: ракеты: Р-03, Р-06 (1936 г.), АНИР-5, Р-07, ЭНИР-7, Р-05, Р-10 (1939 г.); порохо-жидкостный двигатель М-17, М-29е для Р-05.</w:t>
      </w:r>
    </w:p>
    <w:p w14:paraId="7788B0F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Филиал № 1 НИИ-1</w:t>
      </w:r>
    </w:p>
    <w:p w14:paraId="51F8F13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Химки Московской обл./</w:t>
      </w:r>
    </w:p>
    <w:p w14:paraId="564A483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293 НКАП действовал в составе НИИ-1 по приказу № 149сс от 28.02.1944 г., далее- на правах филиала № 1 (по приказу № 370сс от 30.05.1944 г.). Здесь же работала группа (ОКО) А.М. Исаева по ЖРД.</w:t>
      </w:r>
    </w:p>
    <w:p w14:paraId="7AC0FDC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соответствии с постановлением СМ от 31.05.1946 г. и приказами № 361сс от 7.06.1946 г. и № 373с от 14.07.1946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Группа А.М. Исаева переведена на основную территорию НИИ-1. Березняк в 12.1946 г. назначен зам. гл. конструктора ОКБ-2 завода № 1 МАП.</w:t>
      </w:r>
    </w:p>
    <w:p w14:paraId="58D5BEE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филиала (01.1946 г.)- Нейман.</w:t>
      </w:r>
    </w:p>
    <w:p w14:paraId="1B09492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КБ филиала (06.1946 г.)- А.Я. Березняк.</w:t>
      </w:r>
    </w:p>
    <w:p w14:paraId="4E4867E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Филиал № 2 НИИ-1</w:t>
      </w:r>
    </w:p>
    <w:p w14:paraId="4AC824F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Москва Ново-Владыкино/</w:t>
      </w:r>
    </w:p>
    <w:p w14:paraId="7B3E520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приказу № 655с от 11.11.1944 г. для развития работ по реактивному вооружению на бывшей территории завода № 482 НКАП (которая была передана полностью со всеми зданиями, оставшимся оборудованием и персоналом) во Владыкино образована база НИИ-1 по данной тематике. По приказу № 699с от 27.12.1944 г. база стала филиалом № 2 НИИ-1 по реактивному вооружению.</w:t>
      </w:r>
    </w:p>
    <w:p w14:paraId="20DE730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НИИ-1 сюда переведены сектора № 5, № 9, лаборатория «Е» и НИХЛ (химлаборатория) со всем личным составом и оборудованием. Продолжены работы по снарядам М-13ДД, М-20.</w:t>
      </w:r>
    </w:p>
    <w:p w14:paraId="10F0615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постановлением СМ СССР № 1017-419сс от 13.05.1946 г. и приказом МАП/ МСХМ № 318сс/126сс от 24.05.1946 г. для концентрации работ по пороховым РС из системы МАП в ведение МСХМ передан филиал № 2 НИИ-1 МАП (со всеми сооружениями и штатом сотрудников~ 350 чел.) с образованием на его базе КБ-2 МСХМ. В числе переведенных были начальник филиала Победоносцев, начальник отдела Е.А. Печерский и др.</w:t>
      </w:r>
    </w:p>
    <w:p w14:paraId="70D3E3A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базе бывшего филиала и ГЦКБ-1 МСХМ образован специализированный НИИ пороховых РС (с 1.04.1947 г. получивший название НИИ-1 МСХМ).</w:t>
      </w:r>
    </w:p>
    <w:p w14:paraId="0BD0963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филиала (1944-46 г.)- Ю.А. Победоносцев.</w:t>
      </w:r>
    </w:p>
    <w:p w14:paraId="5C1EB5A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начальника/ гл. инженер (1944 г.)- Н.В. Климовицкий.</w:t>
      </w:r>
    </w:p>
    <w:p w14:paraId="212AEDE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КБ-1, ОКБ-1 при НИИ-1 МАП гл. конструктора Л.С. Душкина</w:t>
      </w:r>
    </w:p>
    <w:p w14:paraId="06F59FE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Л.С. Душкин работал в ГИРДе, с 1933 г.- в РНИИ, в моторной лаборатории. С 01.1938 г. возглавлял в НИИ-3 НКБ отдел по ЖРД. </w:t>
      </w:r>
    </w:p>
    <w:p w14:paraId="1803DA0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приказом НКАП № 433сс/ов от 11.06.1942 г. для ускорения работ по реактивным двигателям планировалось перевести группу Душкина (В.А. Штоколов, А.В. Палло и др.) из НИИ-3 на завод № 293. Однако, по имеющейся информации, группа Душкина не была переведена и продолжала работать в НИИ-3 и затем в НИИ-1.</w:t>
      </w:r>
    </w:p>
    <w:p w14:paraId="66CFFD1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Проводились работы по ускорителю самолета С-155 и ускорителю для Е-50.</w:t>
      </w:r>
    </w:p>
    <w:p w14:paraId="542DE85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Душкин до 04.1946 г.- начальник отдела № 13 НИИ-1. В 04.1946 г.- гл. конструктор КБ-1 при НИИ-1.</w:t>
      </w:r>
    </w:p>
    <w:p w14:paraId="00377B9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1949 г. ОКБ-1 входило в состав ЦИАМ (вместе с НИИ-1).</w:t>
      </w:r>
    </w:p>
    <w:p w14:paraId="6B8E3BB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постановлением СМ СССР № 2473-973 от 10.06.1950 г. ОКБ-1 гл. конструктора Л.С. Душкина было ликвидировано, личный состав перевели в ОКБ-456, другие лаборатории НИИ-1.76 В 1955 г. Л.С. Душкин возглавил ОКБ-165-1.</w:t>
      </w:r>
    </w:p>
    <w:p w14:paraId="4A956A6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Работали: (1949 г.)- Преображенский, Чурков.</w:t>
      </w:r>
    </w:p>
    <w:p w14:paraId="611F6C3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Создано: ЖРД: ОР-10 («02» для «216»), РД-12К, РДА-1-150 для РП-318, РДК-150, РДА-300, КРД-604 для «604», Д-1-А-1100 для «БИ», Д-1-Т для торпеды РТ-45 (1932-42 г.); РД-КС-1 (1946), РД-КС-3, РД-2М (1945), РД-2М3В для «302», РД-2М3ВФ для самолета «5» (1946), РД-3М, РД-КС-5, УС-2500.</w:t>
      </w:r>
    </w:p>
    <w:p w14:paraId="0D8898A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КБ-2 при НИИ-1 МАП гл. конструктора М.М. Бондарюка</w:t>
      </w:r>
    </w:p>
    <w:p w14:paraId="4C54605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приказу № 149сс от 28.02.1944 г. ЭКБ-3 НИИ ГВФ М.М. Бондарюка вместе с ОКБ-293 влили в состав НИИ-1. Далее оно преобразовано в отдел прямоточных двигателей, а вскоре- и в КБ-2. Сначала Бондарюк- руководитель и конструктор КБ, а с 08.1947 г.- гл. конструктор КБ-2 (в 1949 г. по совместительству работал в отделе № 5 НИИ-88).</w:t>
      </w:r>
    </w:p>
    <w:p w14:paraId="5C0082C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дальнейшего ускорения работ и из-за потребности в собственной экспериментальной базе 1.10.1950 г. КБ-2 выделилось в самостоятельную организацию и получило название ОКБ-670 МАП, гл. конструктор- М.М. Бондарюк.</w:t>
      </w:r>
    </w:p>
    <w:p w14:paraId="1AA60DB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конструктор (08.1947-10.1950 г.)- М.М. Бондарюк.</w:t>
      </w:r>
    </w:p>
    <w:p w14:paraId="6F6833B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гл. конструктора – Г.А. Варшавский.</w:t>
      </w:r>
    </w:p>
    <w:p w14:paraId="0B95BDD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Работали: И.М. Вишнепольский, Ю.Н. Глазунов, Е.Я. Губер, Н.Д. Домарев, Ю.К. Ефимов, И.А. Куратов, И.Б. Леванов, А.Ф. Макеев, С.И. Платонов, С.М. Родин.</w:t>
      </w:r>
    </w:p>
    <w:p w14:paraId="0AA0B56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Создано: ПВРД: РД-430 для Ла-126 и Ла-138 (1948); проект РД-165 для установки на НВ вертолета И.П. Братухина; РД-350; проект РД-007 для «10Х» (1948); РД-700 (РД-1, 1948); первый двухконтурный РД-1А для РС «Шторм»(1949-50), РД-550 для мишени ЛМ-15 (1949).</w:t>
      </w:r>
    </w:p>
    <w:p w14:paraId="525BF12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КБ-3 при НИИ-1 МАП гл. конструктора Г.Я. Диллона</w:t>
      </w:r>
    </w:p>
    <w:p w14:paraId="2C3F62F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Также- это отдел вооружения № 52 НИИ-1.</w:t>
      </w:r>
    </w:p>
    <w:p w14:paraId="16C4C35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1942 г. под руководством Г.Я. Диллона и его зама В.П. Голикова начаты исследования и разработка реактивной авиационной торпеды РАТ (работали Ю.Б. Гермейер, В.А. Андреев, О.Т. Сазонова, Я.Л. Рудницкий). Закладывалась серия на заводе № 500.</w:t>
      </w:r>
    </w:p>
    <w:p w14:paraId="15860AF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1944 г. Диллон работал в филиале № 2 НИИ-1 по РС.</w:t>
      </w:r>
    </w:p>
    <w:p w14:paraId="525F67F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1948 г. действовало КБ-3 при НИИ-1. Разработан пороховой ускоритель У-5 для самолетов (1948 г., планировался выпуск на заводе № 500).</w:t>
      </w:r>
    </w:p>
    <w:p w14:paraId="31245E7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Видимо, после передачи филиала № 2 НИИ-1 в МСХМ и образования НИИ-1 МСХМ группа Диллона действовала там (по разным сведениям, или из отдела № 52 НИИ-1 МАП, или из НИИ-1 МСХМ, группа Г.Я. Диллона из 16 чел., зам.- В.П. Голиков, к 07.1946 г. переведена с тематикой по РАТ-52 в НИИ-2 МАП).</w:t>
      </w:r>
    </w:p>
    <w:p w14:paraId="5B4834F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СКБ НИИ-1 МАП гл. конструктора А.М. Люльки</w:t>
      </w:r>
    </w:p>
    <w:p w14:paraId="7C24199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Москва Лихоборы/</w:t>
      </w:r>
    </w:p>
    <w:p w14:paraId="0FF631A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Организовано при институте по приказу № 185с от 13.03.1944 г. для развития работ по ГТД. Одновременно гл. конструктором утвержден А.М. Люлька, группа которого со всем заделом и оборудованием была переведена из ЦИАМ. Работы по ТРД С-18, создан в 1945 г. Затем на его базе создан ТР-1.</w:t>
      </w:r>
    </w:p>
    <w:p w14:paraId="72DBF3A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приказу МАП № 182сс от 30.03.1946 г. для расширения работ СКБ переведено на самостоятельную базу- завод № 165 и получило название ОКБ-165 МАП.</w:t>
      </w:r>
    </w:p>
    <w:p w14:paraId="7B1EACD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конструктор (03.1944-03.1946 г.)- А.М. Люлька.</w:t>
      </w:r>
    </w:p>
    <w:p w14:paraId="62D9EBC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ОКО при НИИ-1 МАП </w:t>
      </w:r>
    </w:p>
    <w:p w14:paraId="5D362CB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Химки, г. Москва/</w:t>
      </w:r>
    </w:p>
    <w:p w14:paraId="025F68D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Опытно-конструкторский отдел сформирован в институте в 1944 г. Проводил работы по ЖРД.</w:t>
      </w:r>
    </w:p>
    <w:p w14:paraId="2146B91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Основу отдела составила группа двигателистов бывшего ОКБ-293, влитого в НИИ-1. Создан ЖРД РД-1 для «БИ», У-400-10 для экспериментальных летающих моделей ЛМ-6, ЛМ-9, ЛМ-12 (1946-47 г.), ЖРД-ускоритель СУ-1500; разрабатывался одноразовый РД У-12500 (1946 г.). </w:t>
      </w:r>
    </w:p>
    <w:p w14:paraId="3137297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отдела (-04.1946 г.)- А.М. Исаев. В 04.1946 г. Исаев возглавил ОТБ-2 в Германии (по некоторым данным, перед поездкой в Германию Исаев работал начальником цеха завода № 500).</w:t>
      </w:r>
    </w:p>
    <w:p w14:paraId="2C3E3B4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До 06.1946 г. ОКО располагался на территории филиала № 1 НИИ-1 в Химках. Затем по приказу № 361сс от 7.06.1946 г. ОКО переведен на основную территорию НИИ-1. </w:t>
      </w:r>
    </w:p>
    <w:p w14:paraId="6A75017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05.1948 г. в связи с большей перспективностью работ по ЖРД для РКТ ОКО Исаева переведен в НИИ-88 МВ, где образовал отдел № 9.</w:t>
      </w:r>
    </w:p>
    <w:p w14:paraId="25C5F09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Филиал НИИ-1 МАП</w:t>
      </w:r>
    </w:p>
    <w:p w14:paraId="35AAEFA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Создан в составе института в 1955 г. для работ по системам управления КР. </w:t>
      </w:r>
    </w:p>
    <w:p w14:paraId="79B9832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Создана астронавигационная система «Земля» для МКР «Буран» и аналогичная система для МКР «Буря». Гл. конструкторы систем- И.М. Лисович, Г.И. Толстоусов. В связи с прекращением работ по МКР остановлены работы и по астронавигации.</w:t>
      </w:r>
    </w:p>
    <w:p w14:paraId="5CE88D8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Руководитель (1955-59 г.)- Р.Г. Чачикян (в 1942-51 г. работал на заводах № 122 НКАП, № 224 НКАП; с 1959 г.- гл. конструктор ОКБ-133 МАП).</w:t>
      </w:r>
    </w:p>
    <w:p w14:paraId="608AA70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1962 г. в 4ГУ ГКАТ действовал филиал НИИ-1 (начальник- А.В. Ежов).</w:t>
      </w:r>
    </w:p>
    <w:p w14:paraId="42374EE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Филиал № 2 НИИ-1 МАП, п/я 10, НИИ Машиностроения МОМ, ГУП «НИИ Машиностроения» </w:t>
      </w:r>
    </w:p>
    <w:p w14:paraId="5ED9C73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/624790 г. Нижняя Салда Свердловской обл., ул. Строителей, 72 тел. (34345) 217-03/</w:t>
      </w:r>
    </w:p>
    <w:p w14:paraId="63BC224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 в соответствии с постановлением правительства № 2132 от 26.12.1956 г. как предприятие п/я 10 для проведения экспериментальных исследований по ЖРД, работающих на специальных топливах. Построен ряд стендов и опытное производство (в 1962 г.- испытательный комплекс 101, в 1963 г.- гидролаборатория, в 1964 г. –механосборочный корпус). Затем, в 1970-х г. созданы испытательные комплексы № 201 и 301. В 1980 г. введен в строй испытательный комплекс для ЖРД, работающих на криогенных компонентах топлива.</w:t>
      </w:r>
    </w:p>
    <w:p w14:paraId="437CF35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Постепенно, кроме сопровождения работ различных ОКБ по ЖРД, в филиале начались самостоятельные ОКР по ЖРД малой тяги, с 1981 г.- головное предприятие в этой области. Принимал участие в программе создания ОК «Буран».</w:t>
      </w:r>
    </w:p>
    <w:p w14:paraId="2B8F09E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1981 г. филиал, п/я 10, преобразован в самостоятельный НИИ Машиностроения и передан в ведение 12ГУ МОМ. Разработка ЖРД, ракетных двигателей малой тяги. Создано более 30 ЖРДМТ.</w:t>
      </w:r>
    </w:p>
    <w:p w14:paraId="297B7B1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012F217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филиала (1957-66 г.)- М.Г. Миронов.</w:t>
      </w:r>
    </w:p>
    <w:p w14:paraId="0822A2F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Директор (1981 г.)- В.И. Чепак, (-2000-02 г.-)- Б.А. Некрасов.</w:t>
      </w:r>
    </w:p>
    <w:p w14:paraId="33D309C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конструктор (2002 г.)- Е.Г. Ларин.</w:t>
      </w:r>
    </w:p>
    <w:p w14:paraId="422A8B5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Зам. директора по НИР (2002 г.)- Е.Г. Ларин.69 </w:t>
      </w:r>
    </w:p>
    <w:p w14:paraId="753076B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Создано: ЖРД: РДМТ-0.8, РДМТ-5 для передвижения космонавтов в открытом космосе, РДМТ-100, РДМТ-12, РДМТ-50, РДМТ-135, РДМТ-200, РДМТ-400.50 </w:t>
      </w:r>
    </w:p>
    <w:p w14:paraId="5F470E1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КБ «Пламя» при НИИТП МОМ, НПВО «Пламя» МОМ, ЗАО «ОКБ «Пламя»</w:t>
      </w:r>
    </w:p>
    <w:p w14:paraId="43F3760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КБ «Пламя» образовано при НИИТП в 1978 г. из группы конструкторов ОКБ-670 во главе с И.Б. Левановым, переведенных в 1972 г. в ОКБ-4-300 для продолжения работ по ПВРД.</w:t>
      </w:r>
    </w:p>
    <w:p w14:paraId="6E03817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1991 г. КБ преобразовано в самостоятельное НПВО «Пламя» МОМ. Размещалось в помещениях НИИТП. Весной 1994 г. было принято решение о преобразовании НПВО «Пламя» в ОКБ, входящее в состав НИИТП, а в 04.1994 г. НПВО ликвидировано. Коллектив перебазировался на другую территорию, где было образовано ЗАО «ОКБ «Пламя». В 02.1998 г. ОКБ ДУ «Пламя» вошло в состав ГНПЦ «Звезда-Стрела».</w:t>
      </w:r>
    </w:p>
    <w:p w14:paraId="178AC8C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1970-х г. велись работы по ядерному ПВРД для низколетящей КР. Работы по СПВРД для ПКР «Яхонт» (испытания- с 1987 г.). Работы по ГПВРД по программе «Орел»</w:t>
      </w:r>
    </w:p>
    <w:p w14:paraId="4244B78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Руководитель (1978-99 г.-)- И.Б. Леванов.</w:t>
      </w:r>
    </w:p>
    <w:p w14:paraId="6141BC5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конструктор (1978-99 г.-)- И.Б. Леванов (10776).</w:t>
      </w:r>
    </w:p>
    <w:p w14:paraId="31E23616"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4E41A87B" w14:textId="77777777" w:rsidR="00ED1A5E" w:rsidRPr="00C33834" w:rsidRDefault="00ED1A5E"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21 сентября 1933 года выходит приказ Революционного военного совета ССС Республик № 0113 (гриф неизвестен), в котором ставилась задача о формировании в Москве Реактивного Научно-Исследовательского Института РККА. Формирование Института должно было проходить в период с 25 сентября по 1 ноября 1933 года (19771).</w:t>
      </w:r>
    </w:p>
    <w:p w14:paraId="47E96341" w14:textId="77777777" w:rsidR="00ED1A5E" w:rsidRPr="00C33834" w:rsidRDefault="00ED1A5E"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F91960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сентября 1933 г. по приказу РВС № 113 на базе ГИРД ЦС Осоавиахима основан РНИИ РККА. По постановлению СТО № 104 от 31.10.1933г. РНИИ с филиалом передан в НКТП. В 1934г. в него вошла группа по РД из ГДЛ при Управлении военных изобретений (г. Ленинград) под руководством В.П. Глушко.</w:t>
      </w:r>
      <w:r w:rsidRPr="00C33834">
        <w:rPr>
          <w:rFonts w:ascii="Times New Roman" w:hAnsi="Times New Roman"/>
          <w:color w:val="000000" w:themeColor="text1"/>
          <w:sz w:val="16"/>
          <w:szCs w:val="16"/>
          <w:vertAlign w:val="superscript"/>
        </w:rPr>
        <w:t xml:space="preserve">50 </w:t>
      </w:r>
      <w:r w:rsidRPr="00C33834">
        <w:rPr>
          <w:rFonts w:ascii="Times New Roman" w:hAnsi="Times New Roman"/>
          <w:color w:val="000000" w:themeColor="text1"/>
          <w:sz w:val="16"/>
          <w:szCs w:val="16"/>
        </w:rPr>
        <w:t>Работы по ЖРД, РДТТ, ПВРД, ракетам, газогенераторам торпед, порохам.</w:t>
      </w:r>
    </w:p>
    <w:p w14:paraId="6F351CB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составе РНИИ организован сектор (затем отдел) крылатых ракет (КР). Создана первая в стране крылатая ракета «06» (1934г., С.П. Королев). Позже, в 1935-36г. создана отдельная бригада КР с РДТТ.</w:t>
      </w:r>
    </w:p>
    <w:p w14:paraId="639CD0E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Велись работы по созданию стартовых ускорителей с РДТТ для самолетов: У-1 (1931 г.), ТБ-1 (1933г.) (В.И. Дудаков). Спроектирована и построена экспериментальная пороховая катапульта для запуска самолета с борта корабля (1935г.).</w:t>
      </w:r>
      <w:r w:rsidRPr="00C33834">
        <w:rPr>
          <w:rFonts w:ascii="Times New Roman" w:hAnsi="Times New Roman"/>
          <w:color w:val="000000" w:themeColor="text1"/>
          <w:sz w:val="16"/>
          <w:szCs w:val="16"/>
          <w:vertAlign w:val="superscript"/>
        </w:rPr>
        <w:t>39</w:t>
      </w:r>
      <w:r w:rsidRPr="00C33834">
        <w:rPr>
          <w:rFonts w:ascii="Times New Roman" w:hAnsi="Times New Roman"/>
          <w:color w:val="000000" w:themeColor="text1"/>
          <w:sz w:val="16"/>
          <w:szCs w:val="16"/>
        </w:rPr>
        <w:t xml:space="preserve"> В 1933-40 г. под руководством Б.С. Петропавловского создан ряд пороховых </w:t>
      </w:r>
      <w:r w:rsidRPr="00C33834">
        <w:rPr>
          <w:rFonts w:ascii="Times New Roman" w:hAnsi="Times New Roman"/>
          <w:color w:val="000000" w:themeColor="text1"/>
          <w:sz w:val="16"/>
          <w:szCs w:val="16"/>
          <w:lang w:val="en-US"/>
        </w:rPr>
        <w:t>PC</w:t>
      </w:r>
      <w:r w:rsidRPr="00C33834">
        <w:rPr>
          <w:rFonts w:ascii="Times New Roman" w:hAnsi="Times New Roman"/>
          <w:color w:val="000000" w:themeColor="text1"/>
          <w:sz w:val="16"/>
          <w:szCs w:val="16"/>
        </w:rPr>
        <w:t>. В 1936г. на базе ракеты «05» создана ракета «Авиавнито» с двигателем 12К (запущена 6.04.1936г.).</w:t>
      </w:r>
    </w:p>
    <w:p w14:paraId="1207488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12.1936г. Научно-исследовательский реактивный институт передан из НКТП в НКОП и по пр. № Обсс от 30.12.1936г. переименован в НИИ № 3, в 03.1937г. - в ведении 4ГУ. По пр. НКОП № 0180 от 15.08.1937г. институт передан из 4ГУ в новое 13ГУ, пр. № 295 от 17.08.1937г. утвержден Устав института.</w:t>
      </w:r>
      <w:r w:rsidRPr="00C33834">
        <w:rPr>
          <w:rFonts w:ascii="Times New Roman" w:hAnsi="Times New Roman"/>
          <w:color w:val="000000" w:themeColor="text1"/>
          <w:sz w:val="16"/>
          <w:szCs w:val="16"/>
          <w:vertAlign w:val="superscript"/>
        </w:rPr>
        <w:t>139</w:t>
      </w:r>
      <w:r w:rsidRPr="00C33834">
        <w:rPr>
          <w:rFonts w:ascii="Times New Roman" w:hAnsi="Times New Roman"/>
          <w:color w:val="000000" w:themeColor="text1"/>
          <w:sz w:val="16"/>
          <w:szCs w:val="16"/>
        </w:rPr>
        <w:t xml:space="preserve"> В 02.1939г. НИИ № 3 13ГУ НКОП передан в ведение 13ГУ НКБ, в 06.1939г. - в ведении 4ГУ НКБ.</w:t>
      </w:r>
      <w:r w:rsidRPr="00C33834">
        <w:rPr>
          <w:rFonts w:ascii="Times New Roman" w:hAnsi="Times New Roman"/>
          <w:color w:val="000000" w:themeColor="text1"/>
          <w:sz w:val="16"/>
          <w:szCs w:val="16"/>
          <w:vertAlign w:val="superscript"/>
        </w:rPr>
        <w:t>132</w:t>
      </w:r>
      <w:r w:rsidRPr="00C33834">
        <w:rPr>
          <w:rFonts w:ascii="Times New Roman" w:hAnsi="Times New Roman"/>
          <w:color w:val="000000" w:themeColor="text1"/>
          <w:sz w:val="16"/>
          <w:szCs w:val="16"/>
        </w:rPr>
        <w:t xml:space="preserve"> (действовал в НКБ в 1941 г.).</w:t>
      </w:r>
    </w:p>
    <w:p w14:paraId="3C74FF6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1937г. многие сотрудники были арестованы, в т.ч. Глушко, Королев (отбывал срок на Колыме, на прииске Мальдяк. После организации ЦКБ-29 НКВД переведен на работу туда, в 1941 г. переведен в ОКБ-29 НКВД в Казань. В 1942-46г. был зам. гл. конструктора ОКБ-29 НКВД по летньм испытаниям, в 09.1944г. работал также в 4-м спецотделе НКВД на заводе № 16).</w:t>
      </w:r>
    </w:p>
    <w:p w14:paraId="6F773FB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ареста Глушко и Королева их отделы в 1938г. были объединены в один. Продолжены работы по ракетоплану РП-318-1. После успешных испытаний РП-318-1 (первый полет 28.02.1940 г.) был разобран, а после начала войны уничтожен. В соответствии с пост. ГКО от 08.1941 г. отделу Душкина было поручено создание ЖРД РДА-1 -1100 для истребителя БИ.</w:t>
      </w:r>
    </w:p>
    <w:p w14:paraId="4CD4A19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 № 147сс от 4.05.1938г. группа по авиабомбам института переведена в созданное ГСКБ-47.</w:t>
      </w:r>
    </w:p>
    <w:p w14:paraId="144790E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 правительства № 223сс от 10.09.1938г. и пр. № 381сс от 29.09.1938г. требовалось организовать лабораторию по исследованию пирозапуска авиационных моторов.</w:t>
      </w:r>
    </w:p>
    <w:p w14:paraId="188E6AC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Имелись (1939г.): корпуса № 1,2,3,4; экспериментальная мастерская (34 станка).</w:t>
      </w:r>
    </w:p>
    <w:p w14:paraId="2AA2EFA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20-х числах октября 1941 г. институт эвакуирован в Свердловск (11981).</w:t>
      </w:r>
    </w:p>
    <w:p w14:paraId="47D04BE2"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1CFBE6C2"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21 сентября 1933 г.</w:t>
      </w:r>
      <w:r w:rsidRPr="00C33834">
        <w:rPr>
          <w:color w:val="000000" w:themeColor="text1"/>
          <w:sz w:val="16"/>
          <w:szCs w:val="16"/>
        </w:rPr>
        <w:t xml:space="preserve"> Приказ Реввоенсовета о формировании первого отечественного Реактивного научно-исследовательского института РККА в Москве путем объединения ГДЛ при Управлении Военных Изобретений и МосГИРД при ОСОАВИАХИМ. </w:t>
      </w:r>
    </w:p>
    <w:p w14:paraId="06D06929"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 октября 1933 г.</w:t>
      </w:r>
      <w:r w:rsidRPr="00C33834">
        <w:rPr>
          <w:color w:val="000000" w:themeColor="text1"/>
          <w:sz w:val="16"/>
          <w:szCs w:val="16"/>
        </w:rPr>
        <w:t xml:space="preserve"> - 2 января 1934 г. - Продолжение работ подразделения В.П.Глушко в составе Ленинградского отделения РНИИ. </w:t>
      </w:r>
    </w:p>
    <w:p w14:paraId="045F04B8"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31 октября 1933 г.</w:t>
      </w:r>
      <w:r w:rsidRPr="00C33834">
        <w:rPr>
          <w:color w:val="000000" w:themeColor="text1"/>
          <w:sz w:val="16"/>
          <w:szCs w:val="16"/>
        </w:rPr>
        <w:t xml:space="preserve"> Постановление Совета Труда и Обороны о переводе РНИИ в состав Наркомата тяжелой промышленности. </w:t>
      </w:r>
    </w:p>
    <w:p w14:paraId="4C44AA82"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Ноябрь 1933 г.</w:t>
      </w:r>
      <w:r w:rsidRPr="00C33834">
        <w:rPr>
          <w:color w:val="000000" w:themeColor="text1"/>
          <w:sz w:val="16"/>
          <w:szCs w:val="16"/>
        </w:rPr>
        <w:t xml:space="preserve"> Проведены первые официальные стендовые испытания двигателя ОРМ-50 тягой 150кг с химическим зажиганием для ракеты 05 конструкции МосГИРД. Двигатель затем прошел стендовые испытания в составе ракеты и работал при пуске ракеты 05 с полигона ГИРД в Нахабино под Москвой. </w:t>
      </w:r>
    </w:p>
    <w:p w14:paraId="014E28C1"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Конец 1933 г.</w:t>
      </w:r>
      <w:r w:rsidRPr="00C33834">
        <w:rPr>
          <w:color w:val="000000" w:themeColor="text1"/>
          <w:sz w:val="16"/>
          <w:szCs w:val="16"/>
        </w:rPr>
        <w:t xml:space="preserve"> Проведены предварительные пневмогидравлические испытания жидкостной ракеты РЛА-2. </w:t>
      </w:r>
    </w:p>
    <w:p w14:paraId="2E7E1A54"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Декабрь 1933 г.</w:t>
      </w:r>
      <w:r w:rsidRPr="00C33834">
        <w:rPr>
          <w:color w:val="000000" w:themeColor="text1"/>
          <w:sz w:val="16"/>
          <w:szCs w:val="16"/>
        </w:rPr>
        <w:t xml:space="preserve"> Проведены официальные стендовые испытания двигателя ОРМ-52 тягой 300кг с химическим зажиганием для ракет серии РЛА и морской торпеды. </w:t>
      </w:r>
    </w:p>
    <w:p w14:paraId="36C4D46C"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31 декабря 1933 г.</w:t>
      </w:r>
      <w:r w:rsidRPr="00C33834">
        <w:rPr>
          <w:color w:val="000000" w:themeColor="text1"/>
          <w:sz w:val="16"/>
          <w:szCs w:val="16"/>
        </w:rPr>
        <w:t xml:space="preserve"> Летное испытание ракеты РЛА-1 с двигателем ОРМ-52 не состоялось из-за неоткрытия пускового клапана при сильном морозе.</w:t>
      </w:r>
    </w:p>
    <w:p w14:paraId="3815F24A"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3 января 1934 г.</w:t>
      </w:r>
      <w:r w:rsidRPr="00C33834">
        <w:rPr>
          <w:color w:val="000000" w:themeColor="text1"/>
          <w:sz w:val="16"/>
          <w:szCs w:val="16"/>
        </w:rPr>
        <w:t xml:space="preserve"> Переезд В.П.Глушко и его сотрудников в Москву для продолжения работ по ЖРД в составе РНИИ. В.П.Глушко назначен начальником сектора “Азотнокислотные ЖРД”отдела №2. </w:t>
      </w:r>
    </w:p>
    <w:p w14:paraId="3CFCC1C5"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1934-35 гг.</w:t>
      </w:r>
      <w:r w:rsidRPr="00C33834">
        <w:rPr>
          <w:color w:val="000000" w:themeColor="text1"/>
          <w:sz w:val="16"/>
          <w:szCs w:val="16"/>
        </w:rPr>
        <w:t xml:space="preserve"> Разработка семейства экспериментальных ЖРД ОРМ-53...ОРМ-64. </w:t>
      </w:r>
    </w:p>
    <w:p w14:paraId="47A287F2"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20 октября 1935 г.</w:t>
      </w:r>
      <w:r w:rsidRPr="00C33834">
        <w:rPr>
          <w:color w:val="000000" w:themeColor="text1"/>
          <w:sz w:val="16"/>
          <w:szCs w:val="16"/>
        </w:rPr>
        <w:t xml:space="preserve"> Заключен договор с Остехбюро на выполнение работы “Газогенератор для морских торпед”. </w:t>
      </w:r>
    </w:p>
    <w:p w14:paraId="41461F8A"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1935-1936 гг.</w:t>
      </w:r>
      <w:r w:rsidRPr="00C33834">
        <w:rPr>
          <w:color w:val="000000" w:themeColor="text1"/>
          <w:sz w:val="16"/>
          <w:szCs w:val="16"/>
        </w:rPr>
        <w:t xml:space="preserve"> Разработка конструкции газогенератора ГГ-1 на азотной кислоте и керосине с впрыском воды. </w:t>
      </w:r>
    </w:p>
    <w:p w14:paraId="3A34B5B1"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15 марта 1936 г.</w:t>
      </w:r>
      <w:r w:rsidRPr="00C33834">
        <w:rPr>
          <w:color w:val="000000" w:themeColor="text1"/>
          <w:sz w:val="16"/>
          <w:szCs w:val="16"/>
        </w:rPr>
        <w:t xml:space="preserve"> Начало разработки ЖРД ОРМ-65. </w:t>
      </w:r>
    </w:p>
    <w:p w14:paraId="132B28DC"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5 ноября 1936 г.</w:t>
      </w:r>
      <w:r w:rsidRPr="00C33834">
        <w:rPr>
          <w:color w:val="000000" w:themeColor="text1"/>
          <w:sz w:val="16"/>
          <w:szCs w:val="16"/>
        </w:rPr>
        <w:t xml:space="preserve"> Официальные стендовые испытания ЖРД ОРМ-65 тягой до 175кг на азотнокислотно-керосиновом топливе для ракетоплана РП-318 и крылатой ракеты 212. Подписан акт о сдаче двигателя. </w:t>
      </w:r>
    </w:p>
    <w:p w14:paraId="79CB466D"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2 января 1937 г.</w:t>
      </w:r>
      <w:r w:rsidRPr="00C33834">
        <w:rPr>
          <w:color w:val="000000" w:themeColor="text1"/>
          <w:sz w:val="16"/>
          <w:szCs w:val="16"/>
        </w:rPr>
        <w:t xml:space="preserve"> РНИИ НКТП переименован в НИИ №3 с подчинением Наркомату оборонной промышленности (НКОП). </w:t>
      </w:r>
    </w:p>
    <w:p w14:paraId="0659C0E2"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22 марта 1937 г.</w:t>
      </w:r>
      <w:r w:rsidRPr="00C33834">
        <w:rPr>
          <w:color w:val="000000" w:themeColor="text1"/>
          <w:sz w:val="16"/>
          <w:szCs w:val="16"/>
        </w:rPr>
        <w:t xml:space="preserve"> Приказ наркома оборонной промышленности о премировании В.П.Глушко за создание первого ракетного двигателя на азотном топливе (ОРМ-65). </w:t>
      </w:r>
    </w:p>
    <w:p w14:paraId="3C494630"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29 апреля 1937 г.</w:t>
      </w:r>
      <w:r w:rsidRPr="00C33834">
        <w:rPr>
          <w:color w:val="000000" w:themeColor="text1"/>
          <w:sz w:val="16"/>
          <w:szCs w:val="16"/>
        </w:rPr>
        <w:t xml:space="preserve"> Проведено первое наземное огневое испытание ОРМ-65 №1 в составе ракеты 212. </w:t>
      </w:r>
    </w:p>
    <w:p w14:paraId="62168018"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27 августа 1937 г.</w:t>
      </w:r>
      <w:r w:rsidRPr="00C33834">
        <w:rPr>
          <w:color w:val="000000" w:themeColor="text1"/>
          <w:sz w:val="16"/>
          <w:szCs w:val="16"/>
        </w:rPr>
        <w:t xml:space="preserve"> Проведены официальные стендовые испытания первого отечественного газогенератора ГГ-1 общей продолжительностью 1 час 46 мин. </w:t>
      </w:r>
    </w:p>
    <w:p w14:paraId="143CFEB3"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16 декабря 1937 г.</w:t>
      </w:r>
      <w:r w:rsidRPr="00C33834">
        <w:rPr>
          <w:color w:val="000000" w:themeColor="text1"/>
          <w:sz w:val="16"/>
          <w:szCs w:val="16"/>
        </w:rPr>
        <w:t xml:space="preserve"> Первое огневое наземное испытание ЖРД ОРМ-65 №1 в составе ракетоплана РП-318. </w:t>
      </w:r>
    </w:p>
    <w:p w14:paraId="0303D4AD"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17 декабря 1937 г. - 11 января 1938 г.</w:t>
      </w:r>
      <w:r w:rsidRPr="00C33834">
        <w:rPr>
          <w:color w:val="000000" w:themeColor="text1"/>
          <w:sz w:val="16"/>
          <w:szCs w:val="16"/>
        </w:rPr>
        <w:t xml:space="preserve"> Проведено еще 20 наземных огневых испытаний ЖРД ОРМ-65 №1 в составе ракетоплана РП-318. </w:t>
      </w:r>
    </w:p>
    <w:p w14:paraId="45029470"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1937-1938 г.</w:t>
      </w:r>
      <w:r w:rsidRPr="00C33834">
        <w:rPr>
          <w:color w:val="000000" w:themeColor="text1"/>
          <w:sz w:val="16"/>
          <w:szCs w:val="16"/>
        </w:rPr>
        <w:t xml:space="preserve"> Проведено 13 наземных огневых испытаний ЖРД ОРМ-65 в составе крылатой ракеты 212. </w:t>
      </w:r>
    </w:p>
    <w:p w14:paraId="0F05713F"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3 февраля - 15 апреля 1938 г.</w:t>
      </w:r>
      <w:r w:rsidRPr="00C33834">
        <w:rPr>
          <w:color w:val="000000" w:themeColor="text1"/>
          <w:sz w:val="16"/>
          <w:szCs w:val="16"/>
        </w:rPr>
        <w:t xml:space="preserve"> Проведено 9 наземных огневых испытаний ЖРД ОРМ-65 №2 в составе ракетоплана РП-318. </w:t>
      </w:r>
    </w:p>
    <w:p w14:paraId="5ED63F39"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23 марта 1938 г.</w:t>
      </w:r>
      <w:r w:rsidRPr="00C33834">
        <w:rPr>
          <w:color w:val="000000" w:themeColor="text1"/>
          <w:sz w:val="16"/>
          <w:szCs w:val="16"/>
        </w:rPr>
        <w:t xml:space="preserve"> Арест В.П.Глушко по делу антисоветской троцкистко-вредительской организации в НИИ №3. </w:t>
      </w:r>
    </w:p>
    <w:p w14:paraId="5C445688"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29 января и 8 марта 1939 г.</w:t>
      </w:r>
      <w:r w:rsidRPr="00C33834">
        <w:rPr>
          <w:color w:val="000000" w:themeColor="text1"/>
          <w:sz w:val="16"/>
          <w:szCs w:val="16"/>
        </w:rPr>
        <w:t xml:space="preserve"> Два летных испытания ЖРД ОРМ-65 №2 конструкции В.П.Глушко в составе крылатой ракете 212. </w:t>
      </w:r>
    </w:p>
    <w:p w14:paraId="44B87DAB"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15 августа 1939 г.</w:t>
      </w:r>
      <w:r w:rsidRPr="00C33834">
        <w:rPr>
          <w:color w:val="000000" w:themeColor="text1"/>
          <w:sz w:val="16"/>
          <w:szCs w:val="16"/>
        </w:rPr>
        <w:t xml:space="preserve"> Постановление Особого Совещания при Наркоме Внутренних Дел СССР о заключении В.П.Глушко в ИТЛ на 8 лет. </w:t>
      </w:r>
    </w:p>
    <w:p w14:paraId="74B9CFED"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Осень 1939 г. - лето 1940 г.</w:t>
      </w:r>
      <w:r w:rsidRPr="00C33834">
        <w:rPr>
          <w:color w:val="000000" w:themeColor="text1"/>
          <w:sz w:val="16"/>
          <w:szCs w:val="16"/>
        </w:rPr>
        <w:t xml:space="preserve"> В.П.Глушко получил возможность продолжить работы по ЖРД в спецгруппе 4-го Спецотдела НКВД при Тушинском авиамоторостроительном заводе №82. Разработка проектов мощного газогенератора ГГ-3 и установки ЖРД (на базе ОРМ-65) в качестве ускорителя на самолет С-100 и “Сталь- 7”.</w:t>
      </w:r>
    </w:p>
    <w:p w14:paraId="176AA9E4"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1940-44 гг.</w:t>
      </w:r>
      <w:r w:rsidRPr="00C33834">
        <w:rPr>
          <w:color w:val="000000" w:themeColor="text1"/>
          <w:sz w:val="16"/>
          <w:szCs w:val="16"/>
        </w:rPr>
        <w:t xml:space="preserve"> Работы В.П.Глушко и его сотрудников продолжаются в ОКБ 4-го Спецотдела НКВД при авиазаводе №27 (затем №16) в Казани. </w:t>
      </w:r>
    </w:p>
    <w:p w14:paraId="72044DCB"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1940-41 гг.</w:t>
      </w:r>
      <w:r w:rsidRPr="00C33834">
        <w:rPr>
          <w:color w:val="000000" w:themeColor="text1"/>
          <w:sz w:val="16"/>
          <w:szCs w:val="16"/>
        </w:rPr>
        <w:t xml:space="preserve"> Разработка проекта установки ЖРД в качестве ускорителя на самолет для ВВС. </w:t>
      </w:r>
    </w:p>
    <w:p w14:paraId="2A2946E7"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30 октября 1941 г.</w:t>
      </w:r>
      <w:r w:rsidRPr="00C33834">
        <w:rPr>
          <w:color w:val="000000" w:themeColor="text1"/>
          <w:sz w:val="16"/>
          <w:szCs w:val="16"/>
        </w:rPr>
        <w:t xml:space="preserve">Завод №84 из Химок эвакуирован в Ташкент. На оставшихся площадях организованы мастерские для ремонта фронтовых самолетов, переведенные в конце 1941г на завод №89 в Тушино. </w:t>
      </w:r>
    </w:p>
    <w:p w14:paraId="0C91E3F6"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1941 г.</w:t>
      </w:r>
      <w:r w:rsidRPr="00C33834">
        <w:rPr>
          <w:color w:val="000000" w:themeColor="text1"/>
          <w:sz w:val="16"/>
          <w:szCs w:val="16"/>
        </w:rPr>
        <w:t xml:space="preserve"> В.П.Глушко назначен главным конструктором по ЖРД в ОКБ 4-го Спецотдела при заводе №16. </w:t>
      </w:r>
    </w:p>
    <w:p w14:paraId="53E31840"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1941-46 гг.</w:t>
      </w:r>
      <w:r w:rsidRPr="00C33834">
        <w:rPr>
          <w:color w:val="000000" w:themeColor="text1"/>
          <w:sz w:val="16"/>
          <w:szCs w:val="16"/>
        </w:rPr>
        <w:t xml:space="preserve"> Разработка одно-, двух, трех- и четырехкамерных самолетных реактивных установок с насосной подачей топлива с тягой от 300 до 1200кг. </w:t>
      </w:r>
    </w:p>
    <w:p w14:paraId="4A263ED1"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16 апреля 1942 г.</w:t>
      </w:r>
      <w:r w:rsidRPr="00C33834">
        <w:rPr>
          <w:color w:val="000000" w:themeColor="text1"/>
          <w:sz w:val="16"/>
          <w:szCs w:val="16"/>
        </w:rPr>
        <w:t xml:space="preserve"> Создан государственный союзный завод №456 НКАП в Химках для ремонта самолетов различных типов на территории завода №84, эвакуированного в Ташкент. </w:t>
      </w:r>
    </w:p>
    <w:p w14:paraId="3844C386"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1942 г.</w:t>
      </w:r>
      <w:r w:rsidRPr="00C33834">
        <w:rPr>
          <w:color w:val="000000" w:themeColor="text1"/>
          <w:sz w:val="16"/>
          <w:szCs w:val="16"/>
        </w:rPr>
        <w:t xml:space="preserve"> Проведены стендовые доводочные испытания камеры сгорания РО1-1 (для ЖРД РД-1) общей продолжительностью 1 час 10мин за 25 пусков без съема со стенда. </w:t>
      </w:r>
    </w:p>
    <w:p w14:paraId="410DBF3A"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1942 г.</w:t>
      </w:r>
      <w:r w:rsidRPr="00C33834">
        <w:rPr>
          <w:color w:val="000000" w:themeColor="text1"/>
          <w:sz w:val="16"/>
          <w:szCs w:val="16"/>
        </w:rPr>
        <w:t xml:space="preserve"> Начало проектирования автономного ТНА для самолетных ЖРД. </w:t>
      </w:r>
    </w:p>
    <w:p w14:paraId="476DDBDA"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1942 г.</w:t>
      </w:r>
      <w:r w:rsidRPr="00C33834">
        <w:rPr>
          <w:color w:val="000000" w:themeColor="text1"/>
          <w:sz w:val="16"/>
          <w:szCs w:val="16"/>
        </w:rPr>
        <w:t xml:space="preserve"> ОКБ 4-го Спецотдела НКВД при заводе №16 посетили В.Ф.Болховитинов и А.М.Исаев для знакомства с работами по ЖРД. </w:t>
      </w:r>
    </w:p>
    <w:p w14:paraId="5C98147C"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lastRenderedPageBreak/>
        <w:t>1942-44 гг.</w:t>
      </w:r>
      <w:r w:rsidRPr="00C33834">
        <w:rPr>
          <w:color w:val="000000" w:themeColor="text1"/>
          <w:sz w:val="16"/>
          <w:szCs w:val="16"/>
        </w:rPr>
        <w:t xml:space="preserve"> С.П.Королев работает в составе ОКБ 4-го Спецотдела НКВД при заводе №16, занимаясь установкой ЖРД конструкции В.П.Глушко на самолеты. </w:t>
      </w:r>
    </w:p>
    <w:p w14:paraId="5156AE2A"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1943 г.</w:t>
      </w:r>
      <w:r w:rsidRPr="00C33834">
        <w:rPr>
          <w:color w:val="000000" w:themeColor="text1"/>
          <w:sz w:val="16"/>
          <w:szCs w:val="16"/>
        </w:rPr>
        <w:t xml:space="preserve"> Проведены официальные стендовые испытания РД-1. </w:t>
      </w:r>
    </w:p>
    <w:p w14:paraId="0564684A"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22 августа - 18 ноября 1943 г.</w:t>
      </w:r>
      <w:r w:rsidRPr="00C33834">
        <w:rPr>
          <w:color w:val="000000" w:themeColor="text1"/>
          <w:sz w:val="16"/>
          <w:szCs w:val="16"/>
        </w:rPr>
        <w:t xml:space="preserve"> Первые официальные летные испытания ЖРД РД-1 на самолете Пе-2Р (проведено 40 полетов с включением ЖРД). </w:t>
      </w:r>
    </w:p>
    <w:p w14:paraId="780188FD"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1943-46 гг.</w:t>
      </w:r>
      <w:r w:rsidRPr="00C33834">
        <w:rPr>
          <w:color w:val="000000" w:themeColor="text1"/>
          <w:sz w:val="16"/>
          <w:szCs w:val="16"/>
        </w:rPr>
        <w:t xml:space="preserve"> Летные испытания двигателей РД-1 и РД-1ХЗ на самолетах Пе-2, Ла-7 и 120Р, Як-3, Су-6 и Су-7 (около 400 пусков двигателей). </w:t>
      </w:r>
    </w:p>
    <w:p w14:paraId="6DF15542"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1944 г.</w:t>
      </w:r>
      <w:r w:rsidRPr="00C33834">
        <w:rPr>
          <w:color w:val="000000" w:themeColor="text1"/>
          <w:sz w:val="16"/>
          <w:szCs w:val="16"/>
        </w:rPr>
        <w:t xml:space="preserve"> Двигатели РД-1 в двух модификациях запущены в серийное производство по решению Государственного Комитета Обороны. </w:t>
      </w:r>
    </w:p>
    <w:p w14:paraId="5E60AED9"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Июль 1944г</w:t>
      </w:r>
      <w:r w:rsidRPr="00C33834">
        <w:rPr>
          <w:color w:val="000000" w:themeColor="text1"/>
          <w:sz w:val="16"/>
          <w:szCs w:val="16"/>
        </w:rPr>
        <w:t xml:space="preserve">    Начало р азработк и двигателя РД-1ХЗ с введением системы повторного химического зажигания. </w:t>
      </w:r>
    </w:p>
    <w:p w14:paraId="3E20ADFF"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27 июля 1944 г.</w:t>
      </w:r>
      <w:r w:rsidRPr="00C33834">
        <w:rPr>
          <w:color w:val="000000" w:themeColor="text1"/>
          <w:sz w:val="16"/>
          <w:szCs w:val="16"/>
        </w:rPr>
        <w:t xml:space="preserve"> Постановление Президиума Верховного Совета СССР о досрочном освобождении со снятием судимости В.П.Глушко и группы сотрудников ОКБ 4-го Спецотдела НКВД при заводе №16 (всего 35 человек). </w:t>
      </w:r>
    </w:p>
    <w:p w14:paraId="06BFF073"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30 октября 1944 г.</w:t>
      </w:r>
      <w:r w:rsidRPr="00C33834">
        <w:rPr>
          <w:color w:val="000000" w:themeColor="text1"/>
          <w:sz w:val="16"/>
          <w:szCs w:val="16"/>
        </w:rPr>
        <w:t xml:space="preserve"> Авиаконструкторы Яковлев, Лавочкин и Сухой приказом НКАП обязывались создавать самолеты с реактивными двигателями. </w:t>
      </w:r>
    </w:p>
    <w:p w14:paraId="0C7812F8"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7 декабря 1944 г.</w:t>
      </w:r>
      <w:r w:rsidRPr="00C33834">
        <w:rPr>
          <w:color w:val="000000" w:themeColor="text1"/>
          <w:sz w:val="16"/>
          <w:szCs w:val="16"/>
        </w:rPr>
        <w:t xml:space="preserve"> Организация ОКБ спецдвигателей (ОКБ-СД) Наркомата авиационной промышленности во главе с В.П.Глушко на базе ОКБ 4-го Спецотдела при заводе №16 в Казани. </w:t>
      </w:r>
    </w:p>
    <w:p w14:paraId="757C677E"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1944-45 гг.</w:t>
      </w:r>
      <w:r w:rsidRPr="00C33834">
        <w:rPr>
          <w:color w:val="000000" w:themeColor="text1"/>
          <w:sz w:val="16"/>
          <w:szCs w:val="16"/>
        </w:rPr>
        <w:t xml:space="preserve"> С.П.Королев работает в ОКБ-СД зам. главного конструктора. Заместителями главного конструктора работают также Г.С.Жирицкий и Д.Д.Севрук. </w:t>
      </w:r>
    </w:p>
    <w:p w14:paraId="409B3DD7"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1944-45 гг.</w:t>
      </w:r>
      <w:r w:rsidRPr="00C33834">
        <w:rPr>
          <w:color w:val="000000" w:themeColor="text1"/>
          <w:sz w:val="16"/>
          <w:szCs w:val="16"/>
        </w:rPr>
        <w:t xml:space="preserve"> Проведены испытания опытного трехкамерного ЖРД РД-3 с ТНА. </w:t>
      </w:r>
    </w:p>
    <w:p w14:paraId="1EA03EB1"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22 января 1945 г.</w:t>
      </w:r>
      <w:r w:rsidRPr="00C33834">
        <w:rPr>
          <w:color w:val="000000" w:themeColor="text1"/>
          <w:sz w:val="16"/>
          <w:szCs w:val="16"/>
        </w:rPr>
        <w:t xml:space="preserve"> Осуществлен первый полет самолета Як-3РД с ЖРД РД-1ХЗ. </w:t>
      </w:r>
    </w:p>
    <w:p w14:paraId="0491E120"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1945 г.</w:t>
      </w:r>
      <w:r w:rsidRPr="00C33834">
        <w:rPr>
          <w:color w:val="000000" w:themeColor="text1"/>
          <w:sz w:val="16"/>
          <w:szCs w:val="16"/>
        </w:rPr>
        <w:t xml:space="preserve"> Проведены наземные и летные испытания самолета Пе-2Р с ЖРД РД-1ХЗ в Летно-исследовательском институте под Москвой. </w:t>
      </w:r>
    </w:p>
    <w:p w14:paraId="6B762D6A"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Июль 1945 г.</w:t>
      </w:r>
      <w:r w:rsidRPr="00C33834">
        <w:rPr>
          <w:color w:val="000000" w:themeColor="text1"/>
          <w:sz w:val="16"/>
          <w:szCs w:val="16"/>
        </w:rPr>
        <w:t xml:space="preserve"> В.П.Глушко направлен в Германию для работы в составе Особой правительственной комиссии под руководством генерала Л.М.Гайдукова. </w:t>
      </w:r>
    </w:p>
    <w:p w14:paraId="2FB91C77"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1945 г.</w:t>
      </w:r>
      <w:r w:rsidRPr="00C33834">
        <w:rPr>
          <w:color w:val="000000" w:themeColor="text1"/>
          <w:sz w:val="16"/>
          <w:szCs w:val="16"/>
        </w:rPr>
        <w:t xml:space="preserve"> Двигатель РД-1ХЗ запущен в серийное производство. </w:t>
      </w:r>
    </w:p>
    <w:p w14:paraId="6B85DCDE"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Август 1945 г. - январь 1947 г.</w:t>
      </w:r>
      <w:r w:rsidRPr="00C33834">
        <w:rPr>
          <w:color w:val="000000" w:themeColor="text1"/>
          <w:sz w:val="16"/>
          <w:szCs w:val="16"/>
        </w:rPr>
        <w:t xml:space="preserve"> Работа в Германии под руководством В.П.Глушко группы специалистов ОКБ-СД. </w:t>
      </w:r>
    </w:p>
    <w:p w14:paraId="0977101C"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Сентябрь 1945 г.</w:t>
      </w:r>
      <w:r w:rsidRPr="00C33834">
        <w:rPr>
          <w:color w:val="000000" w:themeColor="text1"/>
          <w:sz w:val="16"/>
          <w:szCs w:val="16"/>
        </w:rPr>
        <w:t xml:space="preserve"> Первое награждение сотрудников ОКБ-СД правительственными орденами и медалями. В.П.Глушко и Д.Д.Севрук награждены орденами Трудового Красного Знамени, С.П.Королев, Г.С.Жирицкий, Н.Н.Артамонов, Г.Н.Лист, Н.С.Шнякин - орденами “Знак Почета”, большая группа сотрудников награждена медалью “За доблестный труд в Великой Отечественной войне”. </w:t>
      </w:r>
    </w:p>
    <w:p w14:paraId="37B1C589"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Сентябрь 1945 г. - январь 1947 г.</w:t>
      </w:r>
      <w:r w:rsidRPr="00C33834">
        <w:rPr>
          <w:color w:val="000000" w:themeColor="text1"/>
          <w:sz w:val="16"/>
          <w:szCs w:val="16"/>
        </w:rPr>
        <w:t xml:space="preserve"> Директором испытательной базы в Леестене работает сотрудник ОКБ-СД В.Л.Шабранский. </w:t>
      </w:r>
    </w:p>
    <w:p w14:paraId="39F3D78F"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Октябрь 1945 г.</w:t>
      </w:r>
      <w:r w:rsidRPr="00C33834">
        <w:rPr>
          <w:color w:val="000000" w:themeColor="text1"/>
          <w:sz w:val="16"/>
          <w:szCs w:val="16"/>
        </w:rPr>
        <w:t xml:space="preserve"> В.П.Глушко в составе группы советских специалистов присутствует на демонстрационном пуске ракеты Фау-2 в английской оккупационной зоне. </w:t>
      </w:r>
    </w:p>
    <w:p w14:paraId="5AA16B07"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23 ноября 1945 г.</w:t>
      </w:r>
      <w:r w:rsidRPr="00C33834">
        <w:rPr>
          <w:color w:val="000000" w:themeColor="text1"/>
          <w:sz w:val="16"/>
          <w:szCs w:val="16"/>
        </w:rPr>
        <w:t xml:space="preserve"> В.П.Глушко подает докладную записку председателю Особой правительственной комиссии генералу Л.М.Гайдукову о результатах работы группы сотрудников ОКБ-СД в Германии и с предложениями о развитии ракетной техники в СССР. </w:t>
      </w:r>
    </w:p>
    <w:p w14:paraId="7D93E2D3"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19 января 1946 г.</w:t>
      </w:r>
      <w:r w:rsidRPr="00C33834">
        <w:rPr>
          <w:color w:val="000000" w:themeColor="text1"/>
          <w:sz w:val="16"/>
          <w:szCs w:val="16"/>
        </w:rPr>
        <w:t xml:space="preserve"> Завод №456 определен приказом НКАП как филиал опытного производства КБ С.В.Ильюшина. </w:t>
      </w:r>
    </w:p>
    <w:p w14:paraId="2D71BF73"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Февраль 1946 г.</w:t>
      </w:r>
      <w:r w:rsidRPr="00C33834">
        <w:rPr>
          <w:color w:val="000000" w:themeColor="text1"/>
          <w:sz w:val="16"/>
          <w:szCs w:val="16"/>
        </w:rPr>
        <w:t xml:space="preserve"> Создание института “Нордхаузен” в Германии под руководством генерала Л.М.Гайдукова, в состав которого вошли завод “Монтанья” по производству ЖРД для Фау-2 и база огневых испытаний ЖРД в Леестене (завод “Форверк-Митте”), руководимые В.П.Глушко. </w:t>
      </w:r>
    </w:p>
    <w:p w14:paraId="7FCA6FEC"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14 марта 1946 г.</w:t>
      </w:r>
      <w:r w:rsidRPr="00C33834">
        <w:rPr>
          <w:color w:val="000000" w:themeColor="text1"/>
          <w:sz w:val="16"/>
          <w:szCs w:val="16"/>
        </w:rPr>
        <w:t xml:space="preserve"> Директором завода №456 назначен Б.И.Свет. </w:t>
      </w:r>
    </w:p>
    <w:p w14:paraId="1434A613"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13 мая 1946 г.</w:t>
      </w:r>
      <w:r w:rsidRPr="00C33834">
        <w:rPr>
          <w:color w:val="000000" w:themeColor="text1"/>
          <w:sz w:val="16"/>
          <w:szCs w:val="16"/>
        </w:rPr>
        <w:t xml:space="preserve"> Принято Постановление Правительства о развитии ракетной техники в СССР, определившее первоочередной задачей воспроизводство ракеты А-4 из отечественных материалов. Головным министерством по ЖРД определено Министерство авиационной промышленности. </w:t>
      </w:r>
    </w:p>
    <w:p w14:paraId="42D3EBC3"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3 июля 1946 г.</w:t>
      </w:r>
      <w:r w:rsidRPr="00C33834">
        <w:rPr>
          <w:color w:val="000000" w:themeColor="text1"/>
          <w:sz w:val="16"/>
          <w:szCs w:val="16"/>
        </w:rPr>
        <w:t xml:space="preserve"> Приказ Министра авиапрома о перепрофилировании авиаремонтного завода №456 под производство ЖРД и переводе в Химки ОКБ-СД из Казани. Главным конструктором ОКБ при заводе №456 назначен В.П.Глушко. </w:t>
      </w:r>
    </w:p>
    <w:p w14:paraId="57086EE8"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18 августа 1946 г.</w:t>
      </w:r>
      <w:r w:rsidRPr="00C33834">
        <w:rPr>
          <w:color w:val="000000" w:themeColor="text1"/>
          <w:sz w:val="16"/>
          <w:szCs w:val="16"/>
        </w:rPr>
        <w:t xml:space="preserve"> Первая в мире публичная демонстрация летательного аппарата в полете с работающим ЖРД - показ на авиационном параде в Тушино самолета-истребителя 120Р с двигателем РД-1ХЗ. </w:t>
      </w:r>
    </w:p>
    <w:p w14:paraId="799396AA"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29 сентября 1946 г</w:t>
      </w:r>
      <w:r w:rsidRPr="00C33834">
        <w:rPr>
          <w:color w:val="000000" w:themeColor="text1"/>
          <w:sz w:val="16"/>
          <w:szCs w:val="16"/>
        </w:rPr>
        <w:t xml:space="preserve"> Распоряжение Правительства о передислоцировании ОКБ-СД на завод №456. </w:t>
      </w:r>
    </w:p>
    <w:p w14:paraId="2E07F68A"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 октября 1946 г.</w:t>
      </w:r>
      <w:r w:rsidRPr="00C33834">
        <w:rPr>
          <w:color w:val="000000" w:themeColor="text1"/>
          <w:sz w:val="16"/>
          <w:szCs w:val="16"/>
        </w:rPr>
        <w:t xml:space="preserve"> Директором завода №456 назначен А.Г.Плоскинный. </w:t>
      </w:r>
    </w:p>
    <w:p w14:paraId="0289CC80"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Октябрь 1946 г.</w:t>
      </w:r>
      <w:r w:rsidRPr="00C33834">
        <w:rPr>
          <w:color w:val="000000" w:themeColor="text1"/>
          <w:sz w:val="16"/>
          <w:szCs w:val="16"/>
        </w:rPr>
        <w:t xml:space="preserve"> Двигатель РД-1ХЗ прошел государственные испытания. </w:t>
      </w:r>
    </w:p>
    <w:p w14:paraId="7B76FF19"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 ноября 1946 г.</w:t>
      </w:r>
      <w:r w:rsidRPr="00C33834">
        <w:rPr>
          <w:color w:val="000000" w:themeColor="text1"/>
          <w:sz w:val="16"/>
          <w:szCs w:val="16"/>
        </w:rPr>
        <w:t xml:space="preserve"> Директором завода №456 назначен Л.А.Гришин. </w:t>
      </w:r>
    </w:p>
    <w:p w14:paraId="1F254F8F"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Ноябрь-декабрь 1946 г.</w:t>
      </w:r>
      <w:r w:rsidRPr="00C33834">
        <w:rPr>
          <w:color w:val="000000" w:themeColor="text1"/>
          <w:sz w:val="16"/>
          <w:szCs w:val="16"/>
        </w:rPr>
        <w:t xml:space="preserve"> Переезд коллектива ОКБ-СД из Казани на завод №456 в Химках. </w:t>
      </w:r>
    </w:p>
    <w:p w14:paraId="7569D386"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Декабрь 1946 г.</w:t>
      </w:r>
      <w:r w:rsidRPr="00C33834">
        <w:rPr>
          <w:color w:val="000000" w:themeColor="text1"/>
          <w:sz w:val="16"/>
          <w:szCs w:val="16"/>
        </w:rPr>
        <w:t xml:space="preserve"> Организация опытного производства в ОКБ-456 в составе механического, слесарно-сварочного и сборочных цехов. </w:t>
      </w:r>
    </w:p>
    <w:p w14:paraId="77E4ACD1"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Декабрь 1946 г.</w:t>
      </w:r>
      <w:r w:rsidRPr="00C33834">
        <w:rPr>
          <w:color w:val="000000" w:themeColor="text1"/>
          <w:sz w:val="16"/>
          <w:szCs w:val="16"/>
        </w:rPr>
        <w:t xml:space="preserve"> Получена из Германии первая партия конструкторской и технологической документации для воспроизводства двигателей ракеты А-4. </w:t>
      </w:r>
    </w:p>
    <w:p w14:paraId="1AC6D8EC"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1946 г.</w:t>
      </w:r>
      <w:r w:rsidRPr="00C33834">
        <w:rPr>
          <w:color w:val="000000" w:themeColor="text1"/>
          <w:sz w:val="16"/>
          <w:szCs w:val="16"/>
        </w:rPr>
        <w:t xml:space="preserve"> Проведены официальные испытания ЖРД РД-2. </w:t>
      </w:r>
    </w:p>
    <w:p w14:paraId="597C871C" w14:textId="77777777" w:rsidR="003F2394" w:rsidRPr="00C33834" w:rsidRDefault="003F2394" w:rsidP="00C33834">
      <w:pPr>
        <w:pStyle w:val="ae"/>
        <w:shd w:val="clear" w:color="auto" w:fill="FFFFFF"/>
        <w:spacing w:before="0" w:after="0"/>
        <w:jc w:val="both"/>
        <w:rPr>
          <w:color w:val="000000" w:themeColor="text1"/>
          <w:sz w:val="16"/>
          <w:szCs w:val="16"/>
        </w:rPr>
      </w:pPr>
      <w:r w:rsidRPr="00C33834">
        <w:rPr>
          <w:rStyle w:val="a7"/>
          <w:b w:val="0"/>
          <w:color w:val="000000" w:themeColor="text1"/>
          <w:sz w:val="16"/>
          <w:szCs w:val="16"/>
        </w:rPr>
        <w:t>Конец 1946 г. – 50 г.</w:t>
      </w:r>
      <w:r w:rsidRPr="00C33834">
        <w:rPr>
          <w:color w:val="000000" w:themeColor="text1"/>
          <w:sz w:val="16"/>
          <w:szCs w:val="16"/>
        </w:rPr>
        <w:t xml:space="preserve"> Работа в ОКБ-456 группы немецких специалистов (23 человека), занятых в работах по воспроизводству двигателя ракеты А-4 (12236).</w:t>
      </w:r>
    </w:p>
    <w:p w14:paraId="195831EA" w14:textId="77777777" w:rsidR="003F2394" w:rsidRPr="00C33834" w:rsidRDefault="003F2394" w:rsidP="00C33834">
      <w:pPr>
        <w:pStyle w:val="ae"/>
        <w:shd w:val="clear" w:color="auto" w:fill="FFFFFF"/>
        <w:spacing w:before="0" w:after="0"/>
        <w:jc w:val="both"/>
        <w:rPr>
          <w:color w:val="000000" w:themeColor="text1"/>
          <w:sz w:val="16"/>
          <w:szCs w:val="16"/>
        </w:rPr>
      </w:pPr>
    </w:p>
    <w:p w14:paraId="677F9155" w14:textId="77777777" w:rsidR="00096706" w:rsidRPr="00C33834" w:rsidRDefault="0009670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сентября в 1933 году выходит приказ Реввоенсовета СССР № 01/3 о создании в Москве первого в мире Реактивного научно-исследовательского института на базе Газодинамической лаборатории и МосГИРДа Реактивного научно-исследовательского института (РНИИ), с декабря 1936 г. - НИИ-3. Начальником РНИИ был назначен военинженер 1 ранга И.Т.Клейменов, заместителем начальника по научной части и главным инженером — С.П.Королев (с января 1934 г.- Г.Э.Лангемак); начальником Ленинградского отделения РНИИ назначен Г.Э.Лангемак, главным инженером — Б.С.Петропавловский. Основным направлением деятельности института была разработка экспериментальных баллистических и крылатых ракет (14776).</w:t>
      </w:r>
    </w:p>
    <w:p w14:paraId="23F753FB" w14:textId="77777777" w:rsidR="00096706" w:rsidRPr="00C33834" w:rsidRDefault="00096706" w:rsidP="00C33834">
      <w:pPr>
        <w:spacing w:after="0" w:line="240" w:lineRule="auto"/>
        <w:jc w:val="both"/>
        <w:rPr>
          <w:rFonts w:ascii="Times New Roman" w:hAnsi="Times New Roman"/>
          <w:color w:val="000000" w:themeColor="text1"/>
          <w:sz w:val="16"/>
          <w:szCs w:val="16"/>
        </w:rPr>
      </w:pPr>
    </w:p>
    <w:p w14:paraId="625D7F73" w14:textId="77777777" w:rsidR="00096706" w:rsidRPr="00C33834" w:rsidRDefault="00096706" w:rsidP="00C33834">
      <w:pPr>
        <w:spacing w:after="0" w:line="240" w:lineRule="auto"/>
        <w:jc w:val="both"/>
        <w:rPr>
          <w:rStyle w:val="ucoz-forum-post"/>
          <w:rFonts w:ascii="Times New Roman" w:eastAsiaTheme="majorEastAsia" w:hAnsi="Times New Roman"/>
          <w:color w:val="000000" w:themeColor="text1"/>
          <w:sz w:val="16"/>
          <w:szCs w:val="16"/>
        </w:rPr>
      </w:pPr>
      <w:r w:rsidRPr="00C33834">
        <w:rPr>
          <w:rStyle w:val="ucoz-forum-post"/>
          <w:rFonts w:ascii="Times New Roman" w:eastAsiaTheme="majorEastAsia" w:hAnsi="Times New Roman"/>
          <w:bCs/>
          <w:color w:val="000000" w:themeColor="text1"/>
          <w:sz w:val="16"/>
          <w:szCs w:val="16"/>
        </w:rPr>
        <w:t>21 сентября 1933 года</w:t>
      </w:r>
      <w:r w:rsidRPr="00C33834">
        <w:rPr>
          <w:rStyle w:val="ucoz-forum-post"/>
          <w:rFonts w:ascii="Times New Roman" w:eastAsiaTheme="majorEastAsia" w:hAnsi="Times New Roman"/>
          <w:color w:val="000000" w:themeColor="text1"/>
          <w:sz w:val="16"/>
          <w:szCs w:val="16"/>
        </w:rPr>
        <w:t xml:space="preserve"> Приказом РВС СССР на базе Газодинамической лаборатории и МосГИРД создан Реактивный НИИ РККА (РНИИ), с декабря 1936 г. - НИИ-3. Первым начальником института стал военинженер 1 ранга И.Т.Клейменов. Ныне Исследовательский центр им. М.В. Келдыша (14776).</w:t>
      </w:r>
    </w:p>
    <w:p w14:paraId="37EF529E" w14:textId="77777777" w:rsidR="00096706" w:rsidRPr="00C33834" w:rsidRDefault="00096706" w:rsidP="00C33834">
      <w:pPr>
        <w:spacing w:after="0" w:line="240" w:lineRule="auto"/>
        <w:jc w:val="both"/>
        <w:rPr>
          <w:rStyle w:val="ucoz-forum-post"/>
          <w:rFonts w:ascii="Times New Roman" w:eastAsiaTheme="majorEastAsia" w:hAnsi="Times New Roman"/>
          <w:color w:val="000000" w:themeColor="text1"/>
          <w:sz w:val="16"/>
          <w:szCs w:val="16"/>
        </w:rPr>
      </w:pPr>
    </w:p>
    <w:p w14:paraId="73414A31" w14:textId="77777777" w:rsidR="00096706" w:rsidRPr="00C33834" w:rsidRDefault="0009670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сентября 1933 г. приказом М.Н.Тухачевского по Наркомату обороны в системе РККА был создан первый в мире Реактивный институт. Однако и московская и ленинградская группы до конца 1933 г. продолжали свою работу по намеченному ранее плану. В январе 1934 г. ленинградская группа должна была переехать в Москву. С целью окончания плановых работ приказом начальника института И.Т.Клейменова было создано Ленинградское отделение (ЛО РНИИ) во главе с Г.Э.Лангемаком и главным инженером Б.С.Петропавловским (15252).</w:t>
      </w:r>
    </w:p>
    <w:p w14:paraId="2AC82EFE" w14:textId="77777777" w:rsidR="00096706" w:rsidRPr="00C33834" w:rsidRDefault="00096706" w:rsidP="00C33834">
      <w:pPr>
        <w:shd w:val="clear" w:color="auto" w:fill="FFFFFF"/>
        <w:spacing w:after="0" w:line="240" w:lineRule="auto"/>
        <w:jc w:val="both"/>
        <w:rPr>
          <w:rFonts w:ascii="Times New Roman" w:hAnsi="Times New Roman"/>
          <w:color w:val="000000" w:themeColor="text1"/>
          <w:sz w:val="16"/>
          <w:szCs w:val="16"/>
        </w:rPr>
      </w:pPr>
    </w:p>
    <w:p w14:paraId="17BD7804" w14:textId="77777777" w:rsidR="00F65AD9" w:rsidRPr="00C33834" w:rsidRDefault="00F65AD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21 сентября 1933 г. выходит приказ № 0113 Реввоенсовета об организации Реактивного научно-исследовательского института (РНИИ). Напомню, что военное ведомство Соединенных Штатов оказало аналогичную поддержку ракетному делу спустя восемь лет (22685).</w:t>
      </w:r>
    </w:p>
    <w:p w14:paraId="5AB1F569" w14:textId="77777777" w:rsidR="00F65AD9" w:rsidRPr="00C33834" w:rsidRDefault="00F65AD9" w:rsidP="00C33834">
      <w:pPr>
        <w:spacing w:after="0" w:line="240" w:lineRule="auto"/>
        <w:jc w:val="both"/>
        <w:rPr>
          <w:rFonts w:ascii="Times New Roman" w:hAnsi="Times New Roman"/>
          <w:color w:val="0070C0"/>
          <w:sz w:val="16"/>
          <w:szCs w:val="16"/>
        </w:rPr>
      </w:pPr>
    </w:p>
    <w:p w14:paraId="5CBF7D0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сентября 1933г - Ленинградское отделение РНИИ РККА (11330).</w:t>
      </w:r>
    </w:p>
    <w:p w14:paraId="392D06BB"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0F6817D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сентября 1933 г. Начальник НИИ ВВС Зильберт утвердил Отчет о полигонных (государственных) испытаниях ВОМИЗЫ-250</w:t>
      </w:r>
    </w:p>
    <w:p w14:paraId="2766654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w:t>
      </w:r>
    </w:p>
    <w:p w14:paraId="1E47F8B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Образец именуется "ВОМИЗА-250" (Воздушная мина заграждения с 250 кг зарядом взрывчатого вещества).</w:t>
      </w:r>
    </w:p>
    <w:p w14:paraId="4A1C2BA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"ВОМИЗА-250" представляется из себя приспособленную для сбрасывания с самолетов, мину заграждения образца 1926 года принятую на вооружение морского флота.</w:t>
      </w:r>
    </w:p>
    <w:p w14:paraId="35C2F2C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Полигонные испытания начаты в ноябре 1932 года, которые были прекращены из-за неудовлетворительного действия механизмов отдачи мины от якоря, вторичные испытания (после значительной заводской переделки и заводских испытаний) начаты 4 июля и окончены 1 сентября 1933 года.</w:t>
      </w:r>
    </w:p>
    <w:p w14:paraId="12E922C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производились в Финском заливе с сухопутного аэродрома (Комендантского)"ВОМИЗА-250" самолетами ТБ-1 и ТБ-3.</w:t>
      </w:r>
    </w:p>
    <w:p w14:paraId="14E7D54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 гл. инженера вооружения ВВС</w:t>
      </w:r>
    </w:p>
    <w:p w14:paraId="1CEDEC5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Согласен представить на войсковые испытания, которые закончить в навигацию текущего года. Доклад начальнику ВВС и приказ по РВС (3053).</w:t>
      </w:r>
    </w:p>
    <w:p w14:paraId="6E90C6DB"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4329A610"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2FD479DF"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0554337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21 сентября по 23 декабря 1933 проходил Лейпцигский процесс о поджоге Рейхстага (2443,407).</w:t>
      </w:r>
    </w:p>
    <w:p w14:paraId="0A47DCDD"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01F0C256"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сентября 1933 в Лейпциге начался судебный процесс над коммунистами по обвинению в поджоге рейхстага (4962).</w:t>
      </w:r>
    </w:p>
    <w:p w14:paraId="0C5C0BA0"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p>
    <w:p w14:paraId="4236BD50"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9097BC5"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0BDE1DB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22 сентября 1933 состоялся второй круговой полет К-7 К.А.К. (70,233) с целью проверки управляемости и колебания хвостовой части. Летали 10 мин. Колебания хвостовой части отсутствовали, но случались как кратковременные на 3-4 сек., устраняемые изменением режима работы заднего мотора. Рули глубины и элероны работали нормально и самолет реагировал на ножное управление. Эффективность РН на малых скоростях была неэффективная (2396).</w:t>
      </w:r>
    </w:p>
    <w:p w14:paraId="6325E31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- 1 сентября 1933 - это не правда и 1 сентября полетов вообще не было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F26F01" w:rsidRPr="00C33834" w14:paraId="485502CA" w14:textId="77777777">
        <w:tc>
          <w:tcPr>
            <w:tcW w:w="1384" w:type="dxa"/>
            <w:tcBorders>
              <w:top w:val="single" w:sz="12" w:space="0" w:color="auto"/>
            </w:tcBorders>
          </w:tcPr>
          <w:p w14:paraId="3F85063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Дата испытания</w:t>
            </w:r>
          </w:p>
        </w:tc>
        <w:tc>
          <w:tcPr>
            <w:tcW w:w="2410" w:type="dxa"/>
            <w:tcBorders>
              <w:top w:val="single" w:sz="12" w:space="0" w:color="auto"/>
            </w:tcBorders>
          </w:tcPr>
          <w:p w14:paraId="6D4CACF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319588E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50B0FC4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30CAEFC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745DAA2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tc>
      </w:tr>
      <w:tr w:rsidR="00F26F01" w:rsidRPr="00C33834" w14:paraId="5E932B0E" w14:textId="77777777">
        <w:tc>
          <w:tcPr>
            <w:tcW w:w="1384" w:type="dxa"/>
            <w:tcBorders>
              <w:bottom w:val="single" w:sz="12" w:space="0" w:color="auto"/>
            </w:tcBorders>
          </w:tcPr>
          <w:p w14:paraId="0058E5D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lang w:val="en-US"/>
              </w:rPr>
              <w:t xml:space="preserve">22 </w:t>
            </w:r>
            <w:r w:rsidRPr="00C33834">
              <w:rPr>
                <w:rFonts w:ascii="Times New Roman" w:hAnsi="Times New Roman"/>
                <w:color w:val="000000" w:themeColor="text1"/>
                <w:sz w:val="16"/>
                <w:szCs w:val="16"/>
              </w:rPr>
              <w:t>сентября</w:t>
            </w:r>
            <w:r w:rsidRPr="00C33834">
              <w:rPr>
                <w:rFonts w:ascii="Times New Roman" w:hAnsi="Times New Roman"/>
                <w:color w:val="000000" w:themeColor="text1"/>
                <w:sz w:val="16"/>
                <w:szCs w:val="16"/>
                <w:lang w:val="en-US"/>
              </w:rPr>
              <w:t xml:space="preserve"> 1933</w:t>
            </w:r>
          </w:p>
        </w:tc>
        <w:tc>
          <w:tcPr>
            <w:tcW w:w="2410" w:type="dxa"/>
            <w:tcBorders>
              <w:bottom w:val="single" w:sz="12" w:space="0" w:color="auto"/>
            </w:tcBorders>
          </w:tcPr>
          <w:p w14:paraId="6D751BA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Второй круговой полет с целью проверки управляемости машины и наличия колебаний хвостовой части</w:t>
            </w:r>
          </w:p>
        </w:tc>
        <w:tc>
          <w:tcPr>
            <w:tcW w:w="1089" w:type="dxa"/>
            <w:tcBorders>
              <w:bottom w:val="single" w:sz="12" w:space="0" w:color="auto"/>
            </w:tcBorders>
          </w:tcPr>
          <w:p w14:paraId="40B2AD4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Запуск моторов - 0:08</w:t>
            </w:r>
          </w:p>
          <w:p w14:paraId="21ADB23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моторов - 2:10</w:t>
            </w:r>
          </w:p>
        </w:tc>
        <w:tc>
          <w:tcPr>
            <w:tcW w:w="3447" w:type="dxa"/>
            <w:tcBorders>
              <w:bottom w:val="single" w:sz="12" w:space="0" w:color="auto"/>
            </w:tcBorders>
          </w:tcPr>
          <w:p w14:paraId="1F9BB24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Отсутствие колебаний хвостовой части, кратковременное появление колебаний (3-4 сек.), устранимое изменением режима заднего мотора</w:t>
            </w:r>
          </w:p>
          <w:p w14:paraId="3312A7F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Нормальная работа элеронов и рулей глубины</w:t>
            </w:r>
          </w:p>
          <w:p w14:paraId="6DC21FE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Реагирование с-та на действие ножного управления</w:t>
            </w:r>
          </w:p>
        </w:tc>
        <w:tc>
          <w:tcPr>
            <w:tcW w:w="1776" w:type="dxa"/>
            <w:tcBorders>
              <w:bottom w:val="single" w:sz="12" w:space="0" w:color="auto"/>
            </w:tcBorders>
          </w:tcPr>
          <w:p w14:paraId="4B4E6F6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Недостаточная эффективность рулей поворота на малых скоростях</w:t>
            </w:r>
          </w:p>
        </w:tc>
        <w:tc>
          <w:tcPr>
            <w:tcW w:w="1105" w:type="dxa"/>
            <w:tcBorders>
              <w:bottom w:val="single" w:sz="12" w:space="0" w:color="auto"/>
            </w:tcBorders>
          </w:tcPr>
          <w:p w14:paraId="1B13B854"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r>
    </w:tbl>
    <w:p w14:paraId="4EE7AF4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(2306,98).</w:t>
      </w:r>
    </w:p>
    <w:p w14:paraId="293CD013"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1D073E1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сентября 1933 испытания К-7 возобновились. Далее после каждого полета следовали те или иные переделки. Еще через месяц, к 21 октября удалось довести до нормы работу серворулей. Их раскачивание исчезло, а усилия на органах управления находились в приемлемых для пилотов пределах.</w:t>
      </w:r>
    </w:p>
    <w:p w14:paraId="39E60CB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 в ноябре один из полетов чуть не закончился аварией. Отказал механизм поворота стабилизатора. На третьем заходе на посадку огромный самолет рухнул на землю с высоты около 9 м, но не разрушился, а подпрыгнул несколько раз и остановился. Машину спасли большие колеса низкого давления, погасившие удар. При осмотре в цепи привода стабилизатора нашли болт, мешавший ее перемещению. Но ОГПУ сочло это случайностью, а не диверсией. Существенных повреждений после падения К-7 не получил; ограничились заменой некоторых приборов и отдельных деталей.</w:t>
      </w:r>
    </w:p>
    <w:p w14:paraId="498294D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Замеренные на испытаниях скорость и скороподъемность самолета оказались ниже расчетных. Скорость составляла 213 км/ч, практический потолок - 3650 м. Дальность оценивалась в 2000 км. Калинин упорно старался их "дожать" до требований задания. Дату полета над мерной базой несколько раз переносили из-за плохой погоды. Наконец, 21 ноября он состоялся. На борту гиганта находились 20 человек. На полном газу машина прошла первый створ. При высоких оборотах моторов и ранее наблюдался бафтинг хвостовых балок. По показаниям очевидцев, было слышно, как лопнула труба лонжерона левой балки. Ее разошедшиеся концы зажали управление рулем высоты. В 5 км от аэродрома К-7 клюнул носом и пошел к земле под углом около 40 градусов. При ударе сначала разлетелось шасси, затем машина ударилась носом фюзеляжа о землю. Шасси и переднюю гондолу подмяло под крыло. Начался пожар, взорвались бензобаки. Вся полотняная обшивка крыла быстро сгорела. Через несколько минут рядом совершили посадку два самолета сопровождения, подъехали автомобили. Три члена экипажа смогли вылезти сами, еще четверых живых вытащили спасатели, но двое умерли по дороге в больницу. В общей сложности пятнадцать человек, включая командира самолета, погибли.</w:t>
      </w:r>
    </w:p>
    <w:p w14:paraId="31948CB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Расследовавшая катастрофу комиссия под председательством заместителя начальника штаба ВВС В.К. Лаврова пришла к выводу, что основной причиной явилась ранее не запланированная установка седьмого мотора, которая создавала сильное вихреобразование на хвостовом оперении, усугубляемое воздействием вынесенных на длинных балках серворулей и недостаточной жесткостью ферм. В акте записано: "Катастрофа самолета К-7 произошла из-за потери управляемости самолета в продольном направлении, что было вызвано деформацией хвостовой части самолета". Сам же Калинин говорил о диверсии, приведшей к гибели гиганта (12036).</w:t>
      </w:r>
    </w:p>
    <w:p w14:paraId="2AE814F0"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247812B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сентября 1933 состоялось совещание у зам. нач. КОСОС В.М.П. по докладу ЗАО о результатах продувок Ми-3 (1077,247).</w:t>
      </w:r>
    </w:p>
    <w:p w14:paraId="2D72633A"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185567C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сентября 1933 П.О.С. подписал акт о состоянии работ по РД-2 (1102).</w:t>
      </w:r>
    </w:p>
    <w:p w14:paraId="1F7A6674"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35B935FA"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сентября 1933 года выписка из протокола № 12 КО</w:t>
      </w:r>
    </w:p>
    <w:p w14:paraId="1D587663" w14:textId="77777777" w:rsidR="0007455B" w:rsidRPr="00C33834" w:rsidRDefault="0007455B" w:rsidP="00C33834">
      <w:pPr>
        <w:numPr>
          <w:ilvl w:val="0"/>
          <w:numId w:val="36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недовыполнении программы военных заказов по:</w:t>
      </w:r>
    </w:p>
    <w:p w14:paraId="65C28124" w14:textId="77777777" w:rsidR="0007455B" w:rsidRPr="00C33834" w:rsidRDefault="0007455B" w:rsidP="00C33834">
      <w:pPr>
        <w:pStyle w:val="a3"/>
        <w:widowControl/>
        <w:tabs>
          <w:tab w:val="left" w:pos="11199"/>
        </w:tabs>
        <w:rPr>
          <w:color w:val="000000" w:themeColor="text1"/>
          <w:lang w:val="ru-RU"/>
        </w:rPr>
      </w:pPr>
      <w:r w:rsidRPr="00C33834">
        <w:rPr>
          <w:color w:val="000000" w:themeColor="text1"/>
          <w:lang w:val="ru-RU"/>
        </w:rPr>
        <w:t>а) авиации; б) танкам; в) артиллерии; г) снарядам.</w:t>
      </w:r>
    </w:p>
    <w:p w14:paraId="71E11F5C" w14:textId="77777777" w:rsidR="0007455B" w:rsidRPr="00C33834" w:rsidRDefault="0007455B" w:rsidP="00C33834">
      <w:pPr>
        <w:numPr>
          <w:ilvl w:val="0"/>
          <w:numId w:val="36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заседании КО 5 октября 1933 года заслушать вторично – а) авиацию и б) танки.</w:t>
      </w:r>
    </w:p>
    <w:p w14:paraId="647D1218"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Предварительное рассмотрение мероприятий по обеспечению программы 1933 года поручить в части авиации Кагановичу, Королеву, Тухачевскому и Алкснису, в части танков - Кагановичу и Халепскому ………………………. (4191, 25).</w:t>
      </w:r>
    </w:p>
    <w:p w14:paraId="2D2BFE5C"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p>
    <w:p w14:paraId="0BC9C88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сентября 1933 И.С.Уншлихт стал начальником ГУ ГВФ. Это после гибели прежнего начальника - А.Э.Гольцмана (117,6).</w:t>
      </w:r>
    </w:p>
    <w:p w14:paraId="571E5987"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425D674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сентября 1933 Линдберг с супругой прилетел в Ленинград на красном гидроплане Локхид, который хранится в музее естественной истории США (238,117).</w:t>
      </w:r>
    </w:p>
    <w:p w14:paraId="144F394E"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3E560F25"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68FE5EC"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59743C4A" w14:textId="77777777" w:rsidR="00096706" w:rsidRPr="00C33834" w:rsidRDefault="00096706" w:rsidP="00C33834">
      <w:pPr>
        <w:pStyle w:val="rtejustify"/>
        <w:spacing w:before="0" w:after="0"/>
        <w:rPr>
          <w:color w:val="000000" w:themeColor="text1"/>
          <w:sz w:val="16"/>
          <w:szCs w:val="16"/>
        </w:rPr>
      </w:pPr>
      <w:r w:rsidRPr="00C33834">
        <w:rPr>
          <w:rStyle w:val="af0"/>
          <w:bCs/>
          <w:i w:val="0"/>
          <w:color w:val="000000" w:themeColor="text1"/>
          <w:sz w:val="16"/>
          <w:szCs w:val="16"/>
        </w:rPr>
        <w:t>22 сентября 1933 вышел приказ НКТП № 0112.</w:t>
      </w:r>
      <w:r w:rsidRPr="00C33834">
        <w:rPr>
          <w:color w:val="000000" w:themeColor="text1"/>
          <w:sz w:val="16"/>
          <w:szCs w:val="16"/>
        </w:rPr>
        <w:t xml:space="preserve"> Об утверждении правил разработки и изменения чертежей и технических условий на предметы артиллерийского вооружения РККА. (РГАЭ. Ф. 7297. Оп. 38. Д. 37. Л. 376</w:t>
      </w:r>
      <w:r w:rsidRPr="00C33834">
        <w:rPr>
          <w:color w:val="000000" w:themeColor="text1"/>
          <w:sz w:val="16"/>
          <w:szCs w:val="16"/>
        </w:rPr>
        <w:noBreakHyphen/>
        <w:t>373). (</w:t>
      </w:r>
      <w:r w:rsidRPr="00C33834">
        <w:rPr>
          <w:rStyle w:val="af0"/>
          <w:i w:val="0"/>
          <w:color w:val="000000" w:themeColor="text1"/>
          <w:sz w:val="16"/>
          <w:szCs w:val="16"/>
        </w:rPr>
        <w:t>Объединенный с РВС СССР</w:t>
      </w:r>
      <w:r w:rsidRPr="00C33834">
        <w:rPr>
          <w:color w:val="000000" w:themeColor="text1"/>
          <w:sz w:val="16"/>
          <w:szCs w:val="16"/>
        </w:rPr>
        <w:t>) (15246).</w:t>
      </w:r>
    </w:p>
    <w:p w14:paraId="5B39CD81" w14:textId="77777777" w:rsidR="00096706" w:rsidRPr="00C33834" w:rsidRDefault="00096706" w:rsidP="00C33834">
      <w:pPr>
        <w:pStyle w:val="rtejustify"/>
        <w:spacing w:before="0" w:after="0"/>
        <w:rPr>
          <w:color w:val="000000" w:themeColor="text1"/>
          <w:sz w:val="16"/>
          <w:szCs w:val="16"/>
        </w:rPr>
      </w:pPr>
    </w:p>
    <w:p w14:paraId="538DB9E9"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сентября 1933 г. вышел ПРИКАЗ УММ О РАБОТЕ С ВОЕНПРЕДАМИ НА ЗАВОДАХ № 119</w:t>
      </w:r>
    </w:p>
    <w:p w14:paraId="7F21F6A2"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Москва</w:t>
      </w:r>
    </w:p>
    <w:p w14:paraId="54FFA0A2"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улучшения работы аппарата УММ по руководству военпредами на заводах и поднятия борьбы за качество принимаемой УММ продукции приказываю:</w:t>
      </w:r>
    </w:p>
    <w:p w14:paraId="6DC24363"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 1 октября 1933 г. перестроить, в порядке рационализации, работу инспекции приемок, оставить за ней только инспекторские функции. Инспекцию приемок в составе: старшего инспектора приемок т. Евтихиева и инспектора т. Адрианова подчинить непосредственно начальнику 2 управления,</w:t>
      </w:r>
    </w:p>
    <w:p w14:paraId="50A01351"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Районных инженеров, старших военпредов и приемные аппараты на местах с 1 октября подчинить начальнику 2 отдела 2 управления. В его же ведении.сосредоточить учет выполнения заказов (готовых машин и запчастей), отчетность, составление плана заказов и перевозок имущества, включая обеспечение заводов воинскими ерами, для чего выделить одного работника плановика.</w:t>
      </w:r>
    </w:p>
    <w:p w14:paraId="2811E910"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Обеспечение заводов огнеприпасами и вооружением для испытания принимаемой продукции ожить на начальника 4 сектора 2 отдела 2 управления.</w:t>
      </w:r>
    </w:p>
    <w:p w14:paraId="5226CE19"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Подбор работников приемного аппарата, перестановку их на заводах, представление финансовому отделу смет на содержание вольнонаемного аппарата и наблюдение за культурно-бытовым луживанием приемного аппарата на местах - возлагаю на начальника 2 отдела 2 управления.</w:t>
      </w:r>
    </w:p>
    <w:p w14:paraId="35BD7345"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Административно-хозяйственное обслуживание и учет личного состава приемного аппарата возлаагаю на начальника общего сектора, в ведение коего передать заведующего делами инспекции мок т. Басова.</w:t>
      </w:r>
    </w:p>
    <w:p w14:paraId="3FFBDDE8"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Начальнику 2 управления представить мне к 1 октября 1933 г. на утверждение новый проект положения об инспекции приемок и отделе, а также схему распределения военпредов по заводам и кторам 2 отдела.</w:t>
      </w:r>
    </w:p>
    <w:p w14:paraId="3C7CDDD4"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Ответственного исполнителя инспекции приемок т. Хасидович, в связи с реорганизацией при-ного аппарата уволить с 13 октября 1933 г.</w:t>
      </w:r>
    </w:p>
    <w:p w14:paraId="1D56F1F9"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Управления механизации и моторизации РККА Халепский</w:t>
      </w:r>
    </w:p>
    <w:p w14:paraId="2B8D9CC6"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РГВА, Ф. 31811. Оп. 4. Д. 2. Л. 163. Подлинник (11210).</w:t>
      </w:r>
    </w:p>
    <w:p w14:paraId="72C41E0F" w14:textId="77777777" w:rsidR="0007455B" w:rsidRPr="00C33834" w:rsidRDefault="0007455B" w:rsidP="00C33834">
      <w:pPr>
        <w:pStyle w:val="af2"/>
        <w:jc w:val="both"/>
        <w:rPr>
          <w:i w:val="0"/>
          <w:iCs w:val="0"/>
          <w:color w:val="000000" w:themeColor="text1"/>
          <w:spacing w:val="0"/>
          <w:kern w:val="0"/>
          <w:position w:val="0"/>
          <w:sz w:val="16"/>
          <w:szCs w:val="16"/>
          <w:lang w:val="ru-RU"/>
        </w:rPr>
      </w:pPr>
    </w:p>
    <w:p w14:paraId="68C22640" w14:textId="77777777" w:rsidR="00096706" w:rsidRPr="00C33834" w:rsidRDefault="00096706" w:rsidP="00C33834">
      <w:pPr>
        <w:pStyle w:val="rtejustify"/>
        <w:spacing w:before="0" w:after="0"/>
        <w:rPr>
          <w:color w:val="000000" w:themeColor="text1"/>
          <w:sz w:val="16"/>
          <w:szCs w:val="16"/>
        </w:rPr>
      </w:pPr>
      <w:r w:rsidRPr="00C33834">
        <w:rPr>
          <w:rStyle w:val="af0"/>
          <w:bCs/>
          <w:i w:val="0"/>
          <w:color w:val="000000" w:themeColor="text1"/>
          <w:sz w:val="16"/>
          <w:szCs w:val="16"/>
        </w:rPr>
        <w:t>22 сентября</w:t>
      </w:r>
      <w:r w:rsidRPr="00C33834">
        <w:rPr>
          <w:color w:val="000000" w:themeColor="text1"/>
          <w:sz w:val="16"/>
          <w:szCs w:val="16"/>
        </w:rPr>
        <w:t xml:space="preserve"> 1933. Постановление СТО СССР № 91/сс «О передаче и оборудовании 2</w:t>
      </w:r>
      <w:r w:rsidRPr="00C33834">
        <w:rPr>
          <w:color w:val="000000" w:themeColor="text1"/>
          <w:sz w:val="16"/>
          <w:szCs w:val="16"/>
        </w:rPr>
        <w:noBreakHyphen/>
        <w:t>х торговых судов под плавучие базы подлодок ВМС РККА». (ГА РФ. Ф. Р</w:t>
      </w:r>
      <w:r w:rsidRPr="00C33834">
        <w:rPr>
          <w:color w:val="000000" w:themeColor="text1"/>
          <w:sz w:val="16"/>
          <w:szCs w:val="16"/>
        </w:rPr>
        <w:noBreakHyphen/>
        <w:t>8418. Оп. 28. Д. 2. Л. 174) (15460).</w:t>
      </w:r>
    </w:p>
    <w:p w14:paraId="7B424860" w14:textId="77777777" w:rsidR="00096706" w:rsidRPr="00C33834" w:rsidRDefault="00096706" w:rsidP="00C33834">
      <w:pPr>
        <w:pStyle w:val="rtejustify"/>
        <w:spacing w:before="0" w:after="0"/>
        <w:rPr>
          <w:color w:val="000000" w:themeColor="text1"/>
          <w:sz w:val="16"/>
          <w:szCs w:val="16"/>
        </w:rPr>
      </w:pPr>
    </w:p>
    <w:p w14:paraId="38DF96FE" w14:textId="77777777" w:rsidR="0007455B" w:rsidRPr="00C33834" w:rsidRDefault="008E43FA"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74B05B86"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2CB407E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сентября 1933 г. вышло Постановление Комитета обороны "О мероприятиях по укреплению Амура и побережья Дальнего Востока", которое требовало размещения там пяти эскадрилий, одного отдельного отряда и одного звена поплавковых разведчиков. Уже в конце 1933 г. три самолета отправили Морским силам Дальнего Востока (МСДВ). В январе следующего года 69-й отряд в Бочкарево уже имел 10 таких гидропланов. Всего же к 20 марта 1934 г. военную приемку прошли 13 Р-5а (12034).</w:t>
      </w:r>
    </w:p>
    <w:p w14:paraId="11A1372A"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70CE09D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22 и 28 сентября 1933. Из протокола заседания Политбюро N 146, особая папка, 1933 г.</w:t>
      </w:r>
    </w:p>
    <w:p w14:paraId="2B5C772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строительстве гаража Кремлевской военной школы </w:t>
      </w:r>
    </w:p>
    <w:p w14:paraId="15545C0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Включить в титульные списки 1933 года строительство гаража для боевых машин Кремлевской военной школы в сумме 450 тыс. рублей, отпустив означенную сумму из резервного фонда СНК СССР (11652).</w:t>
      </w:r>
    </w:p>
    <w:p w14:paraId="605C37BC"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1C6DCB8D" w14:textId="77777777" w:rsidR="003F55A7" w:rsidRPr="00C33834" w:rsidRDefault="003F55A7"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3B26A622" w14:textId="77777777" w:rsidR="003F55A7" w:rsidRPr="00C33834" w:rsidRDefault="003F55A7" w:rsidP="00C33834">
      <w:pPr>
        <w:spacing w:after="0" w:line="240" w:lineRule="auto"/>
        <w:jc w:val="both"/>
        <w:rPr>
          <w:rFonts w:ascii="Times New Roman" w:hAnsi="Times New Roman"/>
          <w:iCs/>
          <w:color w:val="000000" w:themeColor="text1"/>
          <w:sz w:val="16"/>
          <w:szCs w:val="16"/>
        </w:rPr>
      </w:pPr>
    </w:p>
    <w:p w14:paraId="4D46D961" w14:textId="77777777" w:rsidR="003F55A7" w:rsidRPr="00C33834" w:rsidRDefault="003F55A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shd w:val="clear" w:color="auto" w:fill="FFFFFF"/>
        </w:rPr>
        <w:t>22 сентября 1933 в Москву поступила очередная телеграмма, известившая В.В. Куйбышева: «Последние дни «Челюскин» в тяжелом льду. Легли в дрейф, ожидая изменения обстановки». 25 сентября еще одна радиограмма: ««Челюскин» дрейфует мимо острова Колючин, уперло в неподвижный лед». Но, несмотря на очень опасное положение судна, 26 сентября заместитель главы правительства Я.Э. Рудзутак потребовал от Шмидта взять на себя руководство спасением 164 пассажиров зазимовавших во льдах трех судов — «Север», «Анадырь» и «Хабаровск» Колымской экспедиции Наркомвода. Еще четыре парохода — «Красный партизан», «Урицкий», «Микоян» и «Монгол» — чуть ранее, 20 сентября, ледорезу «Литке» удалось освободить из льдов и привести в бухту Провидения (20467).</w:t>
      </w:r>
    </w:p>
    <w:p w14:paraId="320E4C9C" w14:textId="77777777" w:rsidR="003F55A7" w:rsidRPr="00C33834" w:rsidRDefault="003F55A7" w:rsidP="00C33834">
      <w:pPr>
        <w:spacing w:after="0" w:line="240" w:lineRule="auto"/>
        <w:jc w:val="both"/>
        <w:rPr>
          <w:rFonts w:ascii="Times New Roman" w:hAnsi="Times New Roman"/>
          <w:color w:val="0070C0"/>
          <w:sz w:val="16"/>
          <w:szCs w:val="16"/>
        </w:rPr>
      </w:pPr>
    </w:p>
    <w:p w14:paraId="4CD31F68" w14:textId="77777777" w:rsidR="00C64FF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5A68B923" w14:textId="77777777" w:rsidR="00C64FF6" w:rsidRPr="00C33834" w:rsidRDefault="00C64FF6" w:rsidP="00C33834">
      <w:pPr>
        <w:spacing w:after="0" w:line="240" w:lineRule="auto"/>
        <w:jc w:val="both"/>
        <w:rPr>
          <w:rFonts w:ascii="Times New Roman" w:hAnsi="Times New Roman"/>
          <w:iCs/>
          <w:color w:val="000000" w:themeColor="text1"/>
          <w:sz w:val="16"/>
          <w:szCs w:val="16"/>
        </w:rPr>
      </w:pPr>
    </w:p>
    <w:p w14:paraId="7E93642E" w14:textId="77777777" w:rsidR="00C64FF6" w:rsidRPr="00C33834" w:rsidRDefault="00C64FF6"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22 сентября 1933 г. германские власти арестовали представителя ТАСС и корреспондента «Известий» в Берлине, когда они направлялись на Лейпцигский процесс. В тот же день советские журналисты были освобождены. 23 сентября ПБ поручило полномочному представителю СССР в Германии Л.М.Хинчуку заявить германскому правительству протест по поводу арестов и обысков советских корреспондентов на процессе. 26 сентября ПБ утвердило для печати сообщение ТАСС об отзыве советских корреспондентов из Берлина и высылке из СССР всех представителей германской печати в Москве (ДВП. Т. XVI. С. 858; РГАСПИ. Ф. 17. Оп. 162. Д. 15. Л. 82, 85) (17281).</w:t>
      </w:r>
    </w:p>
    <w:p w14:paraId="77772B33" w14:textId="77777777" w:rsidR="00C64FF6" w:rsidRPr="00C33834" w:rsidRDefault="00C64FF6" w:rsidP="00C33834">
      <w:pPr>
        <w:spacing w:after="0" w:line="240" w:lineRule="auto"/>
        <w:jc w:val="both"/>
        <w:rPr>
          <w:rFonts w:ascii="Times New Roman" w:hAnsi="Times New Roman"/>
          <w:iCs/>
          <w:color w:val="000000" w:themeColor="text1"/>
          <w:sz w:val="16"/>
          <w:szCs w:val="16"/>
        </w:rPr>
      </w:pPr>
    </w:p>
    <w:p w14:paraId="31C13259"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BB54CAF"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5D7E3085" w14:textId="77777777" w:rsidR="003F55A7" w:rsidRPr="00C33834" w:rsidRDefault="003F55A7"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shd w:val="clear" w:color="auto" w:fill="FFFFFF"/>
        </w:rPr>
        <w:t>22 сентября 1933 «Сириус» супругов Линдберг, которые стартовали из Нью-Йорка 9 июля и следовали через Нью-Фаундленд, Лабрадор, Гренландию, Исландию (Рейкьявик, 15 августа), Фарерские острова в Копенгаген (26 августа), Стокгольм (4 сентября) и Гельсинфорс (ныне Хельсинки, 20 сентября) прибыл в Ленинград. После «северной столицы» воздушные путешественники перелетели в Москву, где 25 сентября гидросамолет произвел посадку на Москву-реку в районе Крымского моста.</w:t>
      </w:r>
    </w:p>
    <w:p w14:paraId="4D183E60" w14:textId="77777777" w:rsidR="003F55A7" w:rsidRPr="00C33834" w:rsidRDefault="003F55A7"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shd w:val="clear" w:color="auto" w:fill="FFFFFF"/>
        </w:rPr>
        <w:t>Чарльз Линдберг был принят начальником ВВС РККА Я.И. Алкснисом и начальником ГУ ГВФ Я.Я. Анвельтом. Для гостей были организованы экскурсии в ЦАГИ и на авиационный завод, а также культурная программа.</w:t>
      </w:r>
    </w:p>
    <w:p w14:paraId="361DBD78" w14:textId="77777777" w:rsidR="003F55A7" w:rsidRPr="00C33834" w:rsidRDefault="003F55A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shd w:val="clear" w:color="auto" w:fill="FFFFFF"/>
        </w:rPr>
        <w:t>29 сентября Линдберги оставили Москву и продолжили свое путешествие. Путь пролегал через Таллин (29 сентября) и Осло (1 октября) в Англию, далее следовал Париж (27 октября), Амстердам (2 ноября), Женева (8 ноября), Лиссабон (15 ноября). Посетив Азорские, Канарские острова и острова Зеленого мыса, самолет из Гамбии перелетел через Атлантику и прибыл в бразильский порт Наталь (6 декабря). Через Бразилию, Тринидад, Пуэрто-Рико и Флориду Линдберги 19 декабря вернулись в Нью-Йорк (21438).</w:t>
      </w:r>
    </w:p>
    <w:p w14:paraId="2DFA8135" w14:textId="77777777" w:rsidR="003F55A7" w:rsidRPr="00C33834" w:rsidRDefault="003F55A7" w:rsidP="00C33834">
      <w:pPr>
        <w:spacing w:after="0" w:line="240" w:lineRule="auto"/>
        <w:jc w:val="both"/>
        <w:rPr>
          <w:rFonts w:ascii="Times New Roman" w:hAnsi="Times New Roman"/>
          <w:color w:val="0070C0"/>
          <w:sz w:val="16"/>
          <w:szCs w:val="16"/>
        </w:rPr>
      </w:pPr>
    </w:p>
    <w:p w14:paraId="554BB2EF"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сентября 1933 в Германии создана Имперская палата культуры во главе с Й. Геббельсом (4962).</w:t>
      </w:r>
    </w:p>
    <w:p w14:paraId="541C611A"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p>
    <w:p w14:paraId="5FC5F9F6"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9133233"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0079B495"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сентября 1933 года был подготовлен Отчет о результатах лабораторных испытаний самолета ТБ-1 № 759/11, оборудованного пороховыми ракетами для сокращения разбега перед взлетом</w:t>
      </w:r>
    </w:p>
    <w:p w14:paraId="58117ABD"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Целью испытаний было выяснение возможности оборудования ТБ-1 стартовыми ракетами и величины сокращения длины и времени разбега перед взлетом в зависимости от заряда ракет и веса самолета.</w:t>
      </w:r>
    </w:p>
    <w:p w14:paraId="319E90DC"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Благин</w:t>
      </w:r>
    </w:p>
    <w:p w14:paraId="2B2811F4"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3B4582CD" w14:textId="77777777" w:rsidR="0007455B" w:rsidRPr="00C33834" w:rsidRDefault="0007455B" w:rsidP="00C33834">
      <w:pPr>
        <w:numPr>
          <w:ilvl w:val="0"/>
          <w:numId w:val="36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полном заряде ракет длина разбега сокращается по сравнению со взлетом без ракет в 3-3,5 раза.</w:t>
      </w:r>
    </w:p>
    <w:p w14:paraId="74B7BF0C" w14:textId="77777777" w:rsidR="0007455B" w:rsidRPr="00C33834" w:rsidRDefault="0007455B" w:rsidP="00C33834">
      <w:pPr>
        <w:numPr>
          <w:ilvl w:val="0"/>
          <w:numId w:val="36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Пилотирование самолета при взлете с ракетами имеет некоторые особенности, однако никаких особых затруднений не представляет (6795, 10-13).</w:t>
      </w:r>
    </w:p>
    <w:p w14:paraId="482921A0" w14:textId="77777777" w:rsidR="0007455B" w:rsidRPr="00C33834" w:rsidRDefault="0007455B" w:rsidP="00C33834">
      <w:pPr>
        <w:tabs>
          <w:tab w:val="left" w:pos="360"/>
          <w:tab w:val="left" w:pos="11199"/>
        </w:tabs>
        <w:spacing w:after="0" w:line="240" w:lineRule="auto"/>
        <w:jc w:val="both"/>
        <w:rPr>
          <w:rFonts w:ascii="Times New Roman" w:hAnsi="Times New Roman"/>
          <w:color w:val="000000" w:themeColor="text1"/>
          <w:sz w:val="16"/>
          <w:szCs w:val="16"/>
        </w:rPr>
      </w:pPr>
    </w:p>
    <w:p w14:paraId="6CFBD11D"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23 сентября по 9 октября 1933 года в НИИ ВВС проходили гос. испытания самолета ТБ3-4М34 (6635).</w:t>
      </w:r>
    </w:p>
    <w:p w14:paraId="13922526"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68A7CD96" w14:textId="77777777" w:rsidR="0007455B" w:rsidRPr="00C33834" w:rsidRDefault="0007455B" w:rsidP="00C33834">
      <w:pPr>
        <w:numPr>
          <w:ilvl w:val="0"/>
          <w:numId w:val="366"/>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испытание самолетов ТБ3-4М34 без редукторов (№№ 22203 и 22204).</w:t>
      </w:r>
    </w:p>
    <w:p w14:paraId="0886E8D5" w14:textId="77777777" w:rsidR="0007455B" w:rsidRPr="00C33834" w:rsidRDefault="0007455B" w:rsidP="00C33834">
      <w:pPr>
        <w:numPr>
          <w:ilvl w:val="0"/>
          <w:numId w:val="367"/>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Выбор наилучшего винта из трех представленных ЦАГИ.</w:t>
      </w:r>
    </w:p>
    <w:p w14:paraId="3A9EF817" w14:textId="77777777" w:rsidR="0007455B" w:rsidRPr="00C33834" w:rsidRDefault="0007455B" w:rsidP="00C33834">
      <w:pPr>
        <w:numPr>
          <w:ilvl w:val="0"/>
          <w:numId w:val="368"/>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Изыскание путей облегчения винтомоторной группы.</w:t>
      </w:r>
    </w:p>
    <w:p w14:paraId="7FA0537B"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44AFA0AD" w14:textId="77777777" w:rsidR="0007455B" w:rsidRPr="00C33834" w:rsidRDefault="0007455B" w:rsidP="00C33834">
      <w:pPr>
        <w:numPr>
          <w:ilvl w:val="0"/>
          <w:numId w:val="369"/>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того, что при испытании трех типов винтов лучшие летные данные самолет ТБ3-4М34 без редуктора получил с винтами Д=3,18; Н=1,88, считать необходимым все самолеты ТБ3-4М34 выпускать с этим типом винтов.</w:t>
      </w:r>
    </w:p>
    <w:p w14:paraId="20B3E497"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p w14:paraId="3055433B"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22203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296CE60E" w14:textId="77777777">
        <w:tc>
          <w:tcPr>
            <w:tcW w:w="5636" w:type="dxa"/>
          </w:tcPr>
          <w:p w14:paraId="5201081F"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сентября 1933 года</w:t>
            </w:r>
          </w:p>
        </w:tc>
        <w:tc>
          <w:tcPr>
            <w:tcW w:w="5636" w:type="dxa"/>
          </w:tcPr>
          <w:p w14:paraId="0CA1775D"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принят от ОЭЛИД ЦАГИ, переслан в Щелково и облетан.</w:t>
            </w:r>
          </w:p>
        </w:tc>
      </w:tr>
      <w:tr w:rsidR="00F26F01" w:rsidRPr="00C33834" w14:paraId="5F2B7FFF" w14:textId="77777777">
        <w:tc>
          <w:tcPr>
            <w:tcW w:w="5636" w:type="dxa"/>
          </w:tcPr>
          <w:p w14:paraId="51C27490"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сентября 1933 года</w:t>
            </w:r>
          </w:p>
        </w:tc>
        <w:tc>
          <w:tcPr>
            <w:tcW w:w="5636" w:type="dxa"/>
          </w:tcPr>
          <w:p w14:paraId="2BFE8B1C"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километраж.</w:t>
            </w:r>
          </w:p>
        </w:tc>
      </w:tr>
      <w:tr w:rsidR="00F26F01" w:rsidRPr="00C33834" w14:paraId="09483CDB" w14:textId="77777777">
        <w:tc>
          <w:tcPr>
            <w:tcW w:w="5636" w:type="dxa"/>
          </w:tcPr>
          <w:p w14:paraId="22DA36C6"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сентября 1933 года</w:t>
            </w:r>
          </w:p>
        </w:tc>
        <w:tc>
          <w:tcPr>
            <w:tcW w:w="5636" w:type="dxa"/>
          </w:tcPr>
          <w:p w14:paraId="28741B4E"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w:t>
            </w:r>
          </w:p>
        </w:tc>
      </w:tr>
      <w:tr w:rsidR="00F26F01" w:rsidRPr="00C33834" w14:paraId="47AAB4D5" w14:textId="77777777">
        <w:tc>
          <w:tcPr>
            <w:tcW w:w="5636" w:type="dxa"/>
          </w:tcPr>
          <w:p w14:paraId="335355E8"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октября 1933 года</w:t>
            </w:r>
          </w:p>
        </w:tc>
        <w:tc>
          <w:tcPr>
            <w:tcW w:w="5636" w:type="dxa"/>
          </w:tcPr>
          <w:p w14:paraId="1F136F8A"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километраж.</w:t>
            </w:r>
          </w:p>
        </w:tc>
      </w:tr>
      <w:tr w:rsidR="00F26F01" w:rsidRPr="00C33834" w14:paraId="50159341" w14:textId="77777777">
        <w:tc>
          <w:tcPr>
            <w:tcW w:w="5636" w:type="dxa"/>
          </w:tcPr>
          <w:p w14:paraId="7AE835F4"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октября 1933 года</w:t>
            </w:r>
          </w:p>
        </w:tc>
        <w:tc>
          <w:tcPr>
            <w:tcW w:w="5636" w:type="dxa"/>
          </w:tcPr>
          <w:p w14:paraId="396AC508"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зубцы.</w:t>
            </w:r>
          </w:p>
        </w:tc>
      </w:tr>
      <w:tr w:rsidR="00F26F01" w:rsidRPr="00C33834" w14:paraId="7487ABF1" w14:textId="77777777">
        <w:tc>
          <w:tcPr>
            <w:tcW w:w="5636" w:type="dxa"/>
          </w:tcPr>
          <w:p w14:paraId="66BF0C2A"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октября 1933 года</w:t>
            </w:r>
          </w:p>
        </w:tc>
        <w:tc>
          <w:tcPr>
            <w:tcW w:w="5636" w:type="dxa"/>
          </w:tcPr>
          <w:p w14:paraId="4A428225"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 трехчасовой 450 км полет по маршруту: Щелково-Коломна-Щелково-Серпухов-Щелково.</w:t>
            </w:r>
          </w:p>
        </w:tc>
      </w:tr>
    </w:tbl>
    <w:p w14:paraId="13DC28FA"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22204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6F97E7BB" w14:textId="77777777">
        <w:tc>
          <w:tcPr>
            <w:tcW w:w="5636" w:type="dxa"/>
          </w:tcPr>
          <w:p w14:paraId="001CAC02"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сентября 1933 года</w:t>
            </w:r>
          </w:p>
        </w:tc>
        <w:tc>
          <w:tcPr>
            <w:tcW w:w="5636" w:type="dxa"/>
          </w:tcPr>
          <w:p w14:paraId="66FF6A24"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принят от 22 завода и перегнан в Щелково.</w:t>
            </w:r>
          </w:p>
        </w:tc>
      </w:tr>
      <w:tr w:rsidR="00F26F01" w:rsidRPr="00C33834" w14:paraId="79C64C3A" w14:textId="77777777">
        <w:tc>
          <w:tcPr>
            <w:tcW w:w="5636" w:type="dxa"/>
          </w:tcPr>
          <w:p w14:paraId="31A1D471"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сентября 1933 года</w:t>
            </w:r>
          </w:p>
        </w:tc>
        <w:tc>
          <w:tcPr>
            <w:tcW w:w="5636" w:type="dxa"/>
          </w:tcPr>
          <w:p w14:paraId="285FAEEC"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Ознакомительный полет.</w:t>
            </w:r>
          </w:p>
        </w:tc>
      </w:tr>
      <w:tr w:rsidR="00F26F01" w:rsidRPr="00C33834" w14:paraId="352CAD1D" w14:textId="77777777">
        <w:tc>
          <w:tcPr>
            <w:tcW w:w="5636" w:type="dxa"/>
          </w:tcPr>
          <w:p w14:paraId="47674BA0"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сентября 1933 года</w:t>
            </w:r>
          </w:p>
        </w:tc>
        <w:tc>
          <w:tcPr>
            <w:tcW w:w="5636" w:type="dxa"/>
          </w:tcPr>
          <w:p w14:paraId="60CD0B05"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w:t>
            </w:r>
          </w:p>
        </w:tc>
      </w:tr>
      <w:tr w:rsidR="00F26F01" w:rsidRPr="00C33834" w14:paraId="6E28FE3C" w14:textId="77777777">
        <w:tc>
          <w:tcPr>
            <w:tcW w:w="5636" w:type="dxa"/>
          </w:tcPr>
          <w:p w14:paraId="0DF9F367"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сентября 1933 года</w:t>
            </w:r>
          </w:p>
        </w:tc>
        <w:tc>
          <w:tcPr>
            <w:tcW w:w="5636" w:type="dxa"/>
          </w:tcPr>
          <w:p w14:paraId="48FB5CEE"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километраж.</w:t>
            </w:r>
          </w:p>
        </w:tc>
      </w:tr>
      <w:tr w:rsidR="00F26F01" w:rsidRPr="00C33834" w14:paraId="099F5AD2" w14:textId="77777777">
        <w:tc>
          <w:tcPr>
            <w:tcW w:w="5636" w:type="dxa"/>
          </w:tcPr>
          <w:p w14:paraId="35AE3397"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сентября 1933 года</w:t>
            </w:r>
          </w:p>
        </w:tc>
        <w:tc>
          <w:tcPr>
            <w:tcW w:w="5636" w:type="dxa"/>
          </w:tcPr>
          <w:p w14:paraId="76FE01FE"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по зубцам.</w:t>
            </w:r>
          </w:p>
        </w:tc>
      </w:tr>
      <w:tr w:rsidR="00F26F01" w:rsidRPr="00C33834" w14:paraId="2EB28047" w14:textId="77777777">
        <w:tc>
          <w:tcPr>
            <w:tcW w:w="5636" w:type="dxa"/>
          </w:tcPr>
          <w:p w14:paraId="416BF358"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октября 1933 года</w:t>
            </w:r>
          </w:p>
        </w:tc>
        <w:tc>
          <w:tcPr>
            <w:tcW w:w="5636" w:type="dxa"/>
          </w:tcPr>
          <w:p w14:paraId="656354A1"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километраж.</w:t>
            </w:r>
          </w:p>
        </w:tc>
      </w:tr>
      <w:tr w:rsidR="00F26F01" w:rsidRPr="00C33834" w14:paraId="17577884" w14:textId="77777777">
        <w:tc>
          <w:tcPr>
            <w:tcW w:w="5636" w:type="dxa"/>
          </w:tcPr>
          <w:p w14:paraId="10EFEAD4"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октября 1933 года</w:t>
            </w:r>
          </w:p>
        </w:tc>
        <w:tc>
          <w:tcPr>
            <w:tcW w:w="5636" w:type="dxa"/>
          </w:tcPr>
          <w:p w14:paraId="5F1081FC"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зубцы.</w:t>
            </w:r>
          </w:p>
        </w:tc>
      </w:tr>
    </w:tbl>
    <w:p w14:paraId="11B71CDF"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проведены в 13 дней, из них самолет летал 6 дней (6635).</w:t>
      </w:r>
    </w:p>
    <w:p w14:paraId="38DB6457"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p>
    <w:p w14:paraId="53A52277"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23 сентября по 1 октября 1933 проходили гос. испытания опытного самолета ТБ4-6М34 конструкции и производства ЦАГИ с первым вариантом вооружения (6642).</w:t>
      </w:r>
    </w:p>
    <w:p w14:paraId="0128064D"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77866DFE"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ведущий испытания – Рязанов</w:t>
      </w:r>
    </w:p>
    <w:p w14:paraId="7B36A80D"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ведущий испытания – Стефановский</w:t>
      </w:r>
    </w:p>
    <w:p w14:paraId="7AD9ECFC"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15657FE7"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 самолета ТБ4-6М34 с первым вариантом вооружения (без пулеметных точек на крыльях) с целью определения дальнейших работ по самолету.</w:t>
      </w:r>
    </w:p>
    <w:p w14:paraId="71E87A3C"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7EA64E46" w14:textId="77777777" w:rsidR="0007455B" w:rsidRPr="00C33834" w:rsidRDefault="0007455B" w:rsidP="00C33834">
      <w:pPr>
        <w:numPr>
          <w:ilvl w:val="0"/>
          <w:numId w:val="37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Констатируя крупнейшее достижение Советского опытного самолетостроения, выразившееся в выпуске самолета ТБ4-6М34, НИИ ВВС не считает возможным рекомендовать серийную постройку самолета в виде идентичном испытанному самолету.</w:t>
      </w:r>
    </w:p>
    <w:p w14:paraId="4D15C4A5"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461EAF1A" w14:textId="77777777">
        <w:tc>
          <w:tcPr>
            <w:tcW w:w="5636" w:type="dxa"/>
          </w:tcPr>
          <w:p w14:paraId="5725D976"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сентября 1933 года</w:t>
            </w:r>
          </w:p>
        </w:tc>
        <w:tc>
          <w:tcPr>
            <w:tcW w:w="5636" w:type="dxa"/>
          </w:tcPr>
          <w:p w14:paraId="621476CE"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Приемка от ЦАГИ самолета в воздухе.</w:t>
            </w:r>
          </w:p>
        </w:tc>
      </w:tr>
      <w:tr w:rsidR="00F26F01" w:rsidRPr="00C33834" w14:paraId="1A427715" w14:textId="77777777">
        <w:tc>
          <w:tcPr>
            <w:tcW w:w="5636" w:type="dxa"/>
          </w:tcPr>
          <w:p w14:paraId="2230525D"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сентября 1933 года</w:t>
            </w:r>
          </w:p>
        </w:tc>
        <w:tc>
          <w:tcPr>
            <w:tcW w:w="5636" w:type="dxa"/>
          </w:tcPr>
          <w:p w14:paraId="32D46C10"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Вывозные полеты для к-ра тяжелой эскадрилии, полет на километраж.</w:t>
            </w:r>
          </w:p>
        </w:tc>
      </w:tr>
      <w:tr w:rsidR="00F26F01" w:rsidRPr="00C33834" w14:paraId="3F8A017F" w14:textId="77777777">
        <w:tc>
          <w:tcPr>
            <w:tcW w:w="5636" w:type="dxa"/>
          </w:tcPr>
          <w:p w14:paraId="02DF2F3C"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 года</w:t>
            </w:r>
          </w:p>
        </w:tc>
        <w:tc>
          <w:tcPr>
            <w:tcW w:w="5636" w:type="dxa"/>
          </w:tcPr>
          <w:p w14:paraId="4723B2AA"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скорости по высотам.</w:t>
            </w:r>
          </w:p>
        </w:tc>
      </w:tr>
    </w:tbl>
    <w:p w14:paraId="2C683889"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Программа испытания выполнена в 6 календарных дней, полеты – 3 дня (6642).</w:t>
      </w:r>
    </w:p>
    <w:p w14:paraId="354D999D"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p>
    <w:p w14:paraId="7D0AFE9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сентября 1933 начались гос. испытания ТБ-4 с балластом. Усилили фюзеляж, вооружили, испытали с успехом, но отклонили (80,317).</w:t>
      </w:r>
    </w:p>
    <w:p w14:paraId="29D4D50C"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64FDF53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сентября 1933 машину ТБ-4 приняли у ЦАГИ в НИИ ВВС на государственные испытания, затем неделя ушла на устранение мелких дефектов, и с 29 сентября начались испытательные полеты. Результаты их выглядели неоднозначно. Летал экипаж П.М. Стефановского. Стефановский позднее писал в своих мемуарах о новом самолете: "Он просто потрясал!"</w:t>
      </w:r>
    </w:p>
    <w:p w14:paraId="7DB5203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одной стороны, в отчете НИИ было записано: "Выпуск самолета ТБ4-6М34 с полетным весом 33 тонны является, несомненно, крупнейшим достижением Советского самолетостроения". С другой, на акте утверждения отчета начальник ВВС РККА командарм Я.И. Алкснис начертал резолюцию: "Констатирую, что в предъявленном виде самолет ТБ4-6М34 государственных испытаний не выдержал и к серийной постройке не может быть допущен". Причиной столь резкой реакции начальника ВВС стал ряд существенных недостатков, выявленных в НИИ.</w:t>
      </w:r>
    </w:p>
    <w:p w14:paraId="28A2952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Пилотирование гиганта оказалось не столь простым, как уверял Стефановского Громов. В отчете записано: "Взлет и посадка вследствие недостаточной мощности рулей высоты сложны и требуют согласованной работы обязательно двух летчиков. Самолет трудно отрывается от земли, имея разбег около 800 метров". Дело в том, что управление электроприводом стабилизатора поставили только у второго пилота. Командир действовал штурвалом, а второй пилот по его командам включал и выключал электромотор. При этом кнопки он искал на ощупь, держа штурвал одной рукой. Учитывая, что нагрузки на штурвале были очень велики, и его запросто могло вырвать, испытатели и пришли к такому разделению труда - один держит штурвал, а второй включает и выключает.</w:t>
      </w:r>
    </w:p>
    <w:p w14:paraId="0041070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взлете приходилось дважды включать электромеханизм перестановки стабилизатора. При этом подъемник работал ненадежно. Один раз его отказ чуть не привел к катастрофе. Электромотор после взлета не выключился и продолжал выворачивать стабилизатор. Бомбардировщик задрал нос и начал быстро терять скорость. Вот тут выявился еще один существенный конструктивный недостаток - отсутствие связи пилотов со старшим борттехником. На его месте в этом полете сидел инженер Л.И. Шевердин- ский. Наконец, Стефановскому удалось привлечь его внимание резким изменением оборотов одного из двигателей. Проблему решили обыкновенные кусачки - Шевердинс- кий перерезал провод к электромотору. Сели без перестановки стабилизатора, используя многочисленный экипаж как живой балласт для изменения центровки. Летать, постоянно ожидая отказа управления, было просто страшновато.</w:t>
      </w:r>
    </w:p>
    <w:p w14:paraId="59B6ABA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Были и другие неприятности. Выявилась тряска хвостового оперения. "При пробе плоскостных моторов на земле наблюдается боковое раскачивание хвостового оперения. При пробе тандемных моторов раскачивание оперения достигает больших размеров, вызывая опасение за сохранение прочности..." В полете незначительные вибрации проявлялись на всех режимах полета, усиливаясь при скоростях меньше 170 км/ч. Если летчики давали полный газ верхним моторам, начинал вдобавок раскачиваться руль направления. Но это были еще цветочки...</w:t>
      </w:r>
    </w:p>
    <w:p w14:paraId="4FE3C39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стадии проверки возможности пилотирования самолета на пяти и даже четырех моторах, стало еще хуже. Когда выключали один двигатель, в сущности, ничего не менялось. На высоте 1000 м бомбардировщик продолжал лететь горизонтально, нагрузки для пилотов оставались в приемлемых пределах. Когда выключали два - самолет терял высоту. Более того, если убирали газ двум моторам с одной стороны, хвостовую часть начинало дергать. Тряска была столь сильной, что серьезно обеспокоила испытателей. Из ЦАГИ прибыл В.М. Петляков, руководивший у Туполева бригадой тяжелых самолетов. Его засунули в кабину кормового стрелка и дали в руки веревку. Если Петляков сочтет, что тряска опасна, он должен был дернуть веревку, второй конец которой привязали к ноге Стефановского. Когда хвост стало трясти, Петляков перепугался и рванул веревку так, что она оборвалась. В итоге специалистам ЦАГИ пришлось признать, что жесткость хвостовой части самолета явно недостаточна.</w:t>
      </w:r>
    </w:p>
    <w:p w14:paraId="6FD265B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Множество неприятностей доставила верхняя мотоустановка. Начнем с того, что электронасос, который должен был подавать бензин из баков в крыле наверх, не работал. Два механика, постоянно меняясь, весь полет орудовали большим ручным насосом. Мощная струя воздуха от тандемной установки делала невозможным даже пребывание в огневой точке на фюзеляже. "Поток от винтов не позволяет даже стоять в верхней турели", - написали в отчете. Обслуживание мотоустановки на высоте около девяти метров признали "чрезвычайно затруднительным", "неудобным и небезопасным". Туда надо было поднимать воду и масло для двигателей. Это было просто акробатическим трюком. На испытаниях летали в сентябре, было еще сравнительно тепло. А зимой пришлось бы поднимать наверх горячую воду, причем в сильный мороз ее проливали через двигатель раза три-четыре, пока он не придет в норму по температуре. И масло тоже заправляли в мотор горячим. Люди лазили по лестницам, а воду и масло поднимали веревками в канистрах.</w:t>
      </w:r>
    </w:p>
    <w:p w14:paraId="7596229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Большую проблему создавай ремонт водяного радиатора, общего для двух моторов. Снять его можно было только большим подъемным краном, поскольку вес достигал 200 кг. Спешка, в которой проектировали верхнюю установку, выразилась, например, в том, что у нее не было откидных мостиков для обслуживания, как на крыльях. Вопреки техническому заданию, доступа к этим моторам в полете не имелось.</w:t>
      </w:r>
    </w:p>
    <w:p w14:paraId="1BB9920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Пилотская кабина находилась в плоскости вращения винтов, и в ней было очень шумно. После часа полета у летчиков, даже одетых в наушники, наступала временная глухота. Металлическая крыша над проходом ухудшала обзор. Один пилот мог смотреть только вправо, другой - только влево. Выполняя повороты при маневрировании на земле, летчики то и дело передавали друг другу управление.</w:t>
      </w:r>
    </w:p>
    <w:p w14:paraId="3923358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Тормоза работали весьма своеобразно. Они включались с задержкой в пять - десять секунд и с таким же опозданием выключались.</w:t>
      </w:r>
    </w:p>
    <w:p w14:paraId="16C8B3D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Вдобавок выявился целый букет заводских недоделок и брака. Два бензобака текли. Водяные и водо-масляные радиаторы текли тоже, да так, что их посчитали "совершенно ненадежными". Выхлопные коллекторы моторов трескались.</w:t>
      </w:r>
    </w:p>
    <w:p w14:paraId="2CA7088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Много хлопот доставляло обслуживание огромной машины при отсутствии специальной техники. На заправку бомбовоза бензином уходило 2,5 часа (при использовании двух насосов). Чтобы подвесить бомбы, команда из 20 человек работала три часа; при этом груз поднимали на высоту в пять метров ручными лебедками.</w:t>
      </w:r>
    </w:p>
    <w:p w14:paraId="1EFE23D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 самое главное, конструкторам не удалось выполнить ряд важных требований технического задания. Так, по заданию бомбардировщик должен был лететь на высоте 3000 м со скоростью 200 км/ч. Реально на испытаниях получили 187,5 км/ч на 2500 м. На 3000 м самолет вообще не смог подняться - практический потолок составлял всего 2750 м (при заданном 5000 м). Разбег доходил до 800 м при требуемом 250 м. Фактическая дальность полета составляла 1100 км против 2000 км. При этом нормальная бомбовая нагрузка равнялась всего 4000 кг. Правда, конструкторы предусмотрели установку дополнительных топливных баков емкостью 4000 л, что доводило взлетный вес до 37 т. Но в Н И И ВВС, подсчитав расход машиной горючего, пришли к выводу, что этого запаса хватит только на 1600 км.</w:t>
      </w:r>
    </w:p>
    <w:p w14:paraId="16B0D26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Задание предусматривало установку стрелковых башен на крыле, введение наддува бензобаков нейтральным газом для уменьшения пожароопасности и устройства для слива горючего в воздухе или сброса части баков. Реально все это отсутствовало. Вернее, слив сделали, но на опорожнение баков требовалось 83 минуты. Почти полтора часа никак не укладывались в понятие "быстрый", записанное в задании. Пользы от такого слива в аварийной ситуации реально не было никакой. В то же время все это отсутствовавшее на опытной машине оборудование и вооружение в будущем подняло бы вес самолета и несколько ухудшило его аэродинамику. Соответственно ухудшились бы и летные данные.</w:t>
      </w:r>
    </w:p>
    <w:p w14:paraId="1885A71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Причины невысоких летных данных ТБ-4 были ясны. Мощности шести М-34 для бомбардировщика такого веса просто не хватало. У старого ТБ-3 с двигателями М-17 нагрузка на мощность составляла 7,4 кг/л.е., а у АНТ-16 - 8,6 кг/л.с. Даже уменьшив нагрузку на крыло (63,3 кг/м2 против 78,3 кг/м2), парировать это не удалось.</w:t>
      </w:r>
    </w:p>
    <w:p w14:paraId="5A67209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обороты моторов М-34 были слишком велики для тихоходного ТБ-4. Коэффициент полезного действия винтов оказался довольно низким, не позволяя полностью использовать даже имеющуюся мощность. Самолет оснащался старомодными деревянными двухлопастными пропеллерами фиксированного шага трех разных размеров. Моторы на крыле вращали винты диаметром 3,18 м, передний двигатель наверху - 3,3 м и задний - 3,0 м. Пропеллеры для двигателей на крыле предварительно прошли испытания на ТБ-3.</w:t>
      </w:r>
    </w:p>
    <w:p w14:paraId="415A7D3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Специалисты НИИ ВВС внесли ряд рекомендаций по усовершенствованию машины. Но никто не мог дать бомбардировщику соответствующую его весу и размерам мотоустановку. Поэтому предложения НИИ, по сути, являлись паллиативными: увеличить размах и площадь крыла, увеличить руль высоты, внедрить моторы М-34Р с редукторами, заменить винты. Кроме этого требовали прозрачный фонарь над пилотской кабиной, огневые точки на крыльях и еще кое-что по мелочи.</w:t>
      </w:r>
    </w:p>
    <w:p w14:paraId="4782E64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Кое-что из этого хотели внедрить на втором экземпляре АНТ-16, он же АНТ-16бис и ТБ-4бис. Эту машину изготовляли с августа 1932 г. В марте 1933 г. УВВС признало эту работу первоочередной, но уже 2 июля, за день до первого полета первого опытного образца, ЦАГИ получил распоряжение остановить сборку узлов. По-видимому, многие уже сделанные части этого самолета использовали потом для самолета АНТ-20 (12024).</w:t>
      </w:r>
    </w:p>
    <w:p w14:paraId="03C8DADC"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4B80CBB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сентября 1933 ТБ-4 приняли у ЦАГИ на государственные испытания, затем неделя ушла на устранение мелких дефектов, и с 29 сентября начались испытательные полеты. Результаты их выглядели неоднозначно. Летал экипаж П.М. Стефановского. Стефановский позднее писал в своих мемуарах о новом самолете: "Он просто потрясал!"</w:t>
      </w:r>
    </w:p>
    <w:p w14:paraId="2714024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одной стороны, в отчете НИИ было записано: "Выпуск самолета ТБ4-6М34 с полетным весом 33 тонны является, несомненно, крупнейшим достижением Советского самолетостроения". С другой, на акте утверждения отчета начальник ВВС Я.И. Алкснис начертал резолюцию: "Констатирую, что в предъявленном виде самолет ТБ4-</w:t>
      </w:r>
      <w:r w:rsidRPr="00C33834">
        <w:rPr>
          <w:rFonts w:ascii="Times New Roman" w:hAnsi="Times New Roman"/>
          <w:color w:val="000000" w:themeColor="text1"/>
          <w:sz w:val="16"/>
          <w:szCs w:val="16"/>
        </w:rPr>
        <w:lastRenderedPageBreak/>
        <w:t>6М34 государственных испытаний не выдержал и к серийной постройке не может быть допущен". Причиной столь резкой реакции начальника ВВС РККА стал ряд существенных недостатков, выявленных в НИИ ВВС.</w:t>
      </w:r>
    </w:p>
    <w:p w14:paraId="45A711C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Пилотирование гиганта оказалось не столь простым, как уверял Стефановского Громов. В отчете записано: "Взлет и посадка вследствие недостаточной мощности рулей высоты сложны и требуют согласованной работы обязательно двух летчиков. Самолет трудно отрывается от земли, имея разбег около 800 метров". Дело в том, что управление электроприводом стабилизатора поставили только у второго пилота. Командир действовал штурвалом, а второй пилот по его командам включал и выключал электромотор. При этом кнопки он искал на ощупь, держа штурвал одной рукой. Учитывая, что нагрузки на штурвале были очень велики, и его запросто могло вырвать, испытатели и пришли к такому разделению труда - один держит штурвал, а второй включает и выключает.</w:t>
      </w:r>
    </w:p>
    <w:p w14:paraId="35614EB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взлете приходилось дважды включать электромеханизм перестановки стабилизатора. При этом подъемник работал ненадежно. Один раз его отказ чуть не привел к катастрофе. Электромотор после взлета не выключился и продолжал выворачивать стабилизатор. Бомбардировщик задрал нос и начал быстро терять скорость. Вот тут выявился еще один существенный конструктивный недостаток - отсутствие связи пилотов со старшим борттехником. На его месте в этом полете сидел инженер Л.И. Шевердинский. Наконец, Стефановскому удалось привлечь его внимание резким изменением оборотов одного из двигателей. Проблему решили обыкновенные кусачки - Шевердинский перерезал провод к электромотору. Сели без перестановки стабилизатора, используя многочисленный экипаж как живой балласт для изменения центровки. Летать, постоянно ожидая отказа управления, было просто страшновато.</w:t>
      </w:r>
    </w:p>
    <w:p w14:paraId="71168DE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Были и другие неприятности. Выявилась тряска хвостового оперения. "При пробе плоскостных моторов на земле наблюдается боковое раскачивание хвостового оперения. При пробе тандемных моторов раскачивание оперения достигает больших размеров, вызывая опасение за сохранение прочности...". В полете незначительные вибрации проявлялись на всех режимах полета, усиливаясь при скоростях меньше 170 км/ч. Если летчики давали полный газ верхним моторам, начинал вдобавок раскачиваться руль направления. Но это были еще цветочки...</w:t>
      </w:r>
    </w:p>
    <w:p w14:paraId="094E268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стадии проверки возможности пилотирования самолета на пяти и даже четырех моторах, стало еще хуже. Когда выключали один двигатель, в сущности, ничего не менялось. На высоте 1000 м бомбардировщик продолжал лететь горизонтально, нагрузки для пилотов оставались в приемлемых пределах. Когда выключали два - самолет терял высоту. Более того, если убирали газ двум моторам с одной стороны, хвостовую часть начинало дергать. Тряска была столь сильной, что серьезно обеспокоила испытателей. Из ЦАГИ прибыл В.М. Петляков, руководивший у Туполева бригадой тяжелых самолетов. Его засунули в кабину кормового стрелка и дали в руки веревку. Если Петляков сочтет, что тряска опасна, он должен был дернуть веревку, второй конец которой привязали к ноге Стефановского. Когда хвост стало трясти, Петляков перепугался и рванул веревку так, что она оборвалась. В итоге специалистам ЦАГИ пришлось признать, что жесткость хвостовой части самолета явно недостаточна.</w:t>
      </w:r>
    </w:p>
    <w:p w14:paraId="162862E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Множество неприятностей доставила верхняя мотоустановка. Начнем с того, что электронасос, который должен был подавать бензин из баков в крыле наверх, не работал. Два механика, постоянно меняясь, весь полет орудовали большим ручным насосом. Мощная струя воздуха от тандемной установки делала невозможным даже пребывание в огневой точке на фюзеляже. "Поток от винтов не позволяет даже стоять в верхней турели", - написали в отчете. Обслуживание мотоустановки на высоте около 9 м признали "чрезвычайно затруднительным", "неудобным и небезопасным". Туда надо было поднимать воду и масло дчя двигателей. Это было просто акробатическим трюком. На испытаниях летали в сентябре, было еще сравнительно тепло. А зимой пришлось бы поднимать наверх горячую воду, причем в сильный мороз ее проливали через двигатель раза три- четыре, пока он не придет в норму по температуре. И масло тоже заправляли в мотор горячим.</w:t>
      </w:r>
    </w:p>
    <w:p w14:paraId="266726A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Большую проблему создавал ремонт водяного радиатора, общего для двух моторов. Снять его можно было только большим подъемным краном, поскольку вес достигал 200 кг. Спешка, в которой проектировали верхнюю установку, выразилась, например, в том, что у нее не было откидных мостиков для обслуживания, как на крыльях. Вопреки техническому заданию, доступа к этим моторам в полете не имелось.</w:t>
      </w:r>
    </w:p>
    <w:p w14:paraId="5E430D1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Пилотская кабина находилась в плоскости вращения винтов, и в ней было очень шумно. После часа полета у летчиков, даже одетых в наушники, наступала временная глухота. Металлическая крыша над проходом ухудшала обзор. Один пилот мог смотреть только вправо, другой - только влево. Выполняя повороты при маневрировании на земле, летчики то и дело передавали друг другу управление.</w:t>
      </w:r>
    </w:p>
    <w:p w14:paraId="4D591FB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Тормоза работали своеобразно. Они включались с задержкой в пять - десять секунд и с таким же опозданием выключались.</w:t>
      </w:r>
    </w:p>
    <w:p w14:paraId="6F218CF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Вдобавок выявился целый букет заводских недоделок и брака. Два бензобака текли. Водяные и водо-масляные радиаторы текли тоже, да так, что их посчитали "совершенно ненадежными". Выхлопные коллекторы моторов трескались.</w:t>
      </w:r>
    </w:p>
    <w:p w14:paraId="7529940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Много хлопот доставляло обслуживание огромной машины при отсутствии специальной техники. На заправку бомбовоза бензином уходило 2,5 часа (при использовании двух насосов). Чтобы подвесить бомбы, команда из 20 человек работала три часа; при этом груз поднимали на высоту в пять метров ручными лебедками.</w:t>
      </w:r>
    </w:p>
    <w:p w14:paraId="5720C8A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 самое главное, конструкторам не удалось выполнить ряд важных требований технического задания. Так, по заданию бомбардировщик должен был лететь на высоте 3000 м со скоростью 200 км/ч. Реально на испытаниях получили 187,5 км/ч на 2500 м. На 3000 м самолет вообще не смог подняться - практический потолок составлял всего 2750 м (при заданном 5000 м). Разбег доходил до 800 м при требуемом 250 м. Фактическая дальность полета составляла 1100 км против 2000 км. При этом нормальная бомбовая нагрузка равнялась всего 4000 кг. Правда, конструкторы предусмотрели установку дополнительных топливных баков емкостью 4000 л, что доводило взлетный вес до 37 т. Но в НИИ ВВС, подсчитав расход машиной горючего, пришли к выводу, что этого запаса хватит только на 1600 км.</w:t>
      </w:r>
    </w:p>
    <w:p w14:paraId="1FBE8F1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Задание предусматривало установку стрелковых башен на крыле, введение наддува бензобаков нейтральным газом для уменьшения пожароопасности и устройства для слива горючего в воздухе или сброса части баков. Реально все это отсутствовало. Вернее, слив сделали, но на опорожнение баков требовались 83 минуты. Почти полтора часа никак не укладывались в понятие "быстрый", записанное в задании. Пользы от такого слива в аварийной ситуации реально не было никакой. В то же время все это отсутствовавшее на опытной машине оборудование и вооружение в будущем подняло бы вес самолета и несколько ухудшило его аэродинамику. Соответственно ухудшились бы и летные данные. </w:t>
      </w:r>
    </w:p>
    <w:p w14:paraId="6C84A98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Причины невысоких летных данных ТБ-4 были ясны. Мощности шести М-34 для бомбардировщика такого веса просто не хватало. У старого ТБ-3 с двигателями М-17 нагрузка на мощность составляла 7,4 кг/л.е., а у АНТ-16 - 8,6 кг/л.с. Даже уменьшив нагрузку на крыло (63,3 кг/м2 против 78,3 кг/м2), парировать это не удалось.</w:t>
      </w:r>
    </w:p>
    <w:p w14:paraId="38681B5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обороты моторов М-34 были слишком велики для тихоходного ТБ-4. Коэффициент полезного действия винтов оказался довольно низким, не позволяя полностью использовать даже имеющуюся мощность. Самолет оснащался старомодными деревянными двухлопастными пропеллерами фиксированного шага трех разных размеров. Моторы на крыле вращали винты диаметром 3,18 м, передний двигатель наверху - 3,3 м и задний - 3,0 м.</w:t>
      </w:r>
    </w:p>
    <w:p w14:paraId="0CED081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Специалисты НИИ ВВС внесли ряд рекомендаций по усовершенствованию машины. Но никто не мог дать бомбардировщику соответствующую его весу и размерам мотоустановку. Поэтому предложения НИИ, по сути, являлись паллиативными: увеличить размах и площадь крыла, увеличить руль высоты, внедрить моторы М-34Р с редукторами, заменить винты. Кроме этого требовали прозрачный фонарь над пилотской кабиной, огневые точки на крыльях и еще кое-что по мелочи.</w:t>
      </w:r>
    </w:p>
    <w:p w14:paraId="7C5AF72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Кое-что из этого хотели внедрить на втором экземпляре АНТ-16, он же АНТ-16бис и ТБ-4бис (12036).</w:t>
      </w:r>
    </w:p>
    <w:p w14:paraId="48C93703"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6A505AC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сентября 1933 состоялось заседание (прот. 127) у начальника Глававиапрома Г.Н.Королева о постановке М-34 на ТБ-7 (1077,126).</w:t>
      </w:r>
    </w:p>
    <w:p w14:paraId="27B8A68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Очень сомнительно, так как на ТБ-7 еще не было задания и оно появилось летом 1934.</w:t>
      </w:r>
    </w:p>
    <w:p w14:paraId="71D9F92F"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52398658" w14:textId="77777777" w:rsidR="00ED1A5E" w:rsidRPr="00C33834" w:rsidRDefault="00ED1A5E"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ночь с 23 на 24 сентября 1933 года на Центральном аэродроме Москвы состоялась первая попытка старта стратостата СССР-1. В 22 часа 40 минут начали наполнение оболочки из 700 подготовленных баллонов с водородом при помощи трех 50-мм рукавов. В ходе затянувшейся подготовки опустившийся сильный туман привел к тому, что оболочка утяжелилась на 500 кг. Затем поднялся порывистый ветер, который превратил наполненный стратостат в парус и делал предстоящий старт опасным мероприятием. Утром невозможность полета стала очевидной, к 12 часам 24 сентября старт решили отменить. Открытием разрывного клапана газ выпустили, оболочку отправили на просушивание и подготовку к следующему старту (19614).</w:t>
      </w:r>
    </w:p>
    <w:p w14:paraId="03E3CAFE" w14:textId="77777777" w:rsidR="00ED1A5E" w:rsidRPr="00C33834" w:rsidRDefault="00ED1A5E" w:rsidP="00C33834">
      <w:pPr>
        <w:spacing w:after="0" w:line="240" w:lineRule="auto"/>
        <w:jc w:val="both"/>
        <w:rPr>
          <w:rFonts w:ascii="Times New Roman" w:hAnsi="Times New Roman"/>
          <w:color w:val="000000" w:themeColor="text1"/>
          <w:sz w:val="16"/>
          <w:szCs w:val="16"/>
        </w:rPr>
      </w:pPr>
    </w:p>
    <w:p w14:paraId="51867A67" w14:textId="77777777" w:rsidR="005C5558" w:rsidRPr="00C33834" w:rsidRDefault="005C555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23 сентября 1933 состоялась первая попытка под</w:t>
      </w:r>
      <w:r w:rsidRPr="00C33834">
        <w:rPr>
          <w:rFonts w:ascii="Times New Roman" w:hAnsi="Times New Roman"/>
          <w:color w:val="0070C0"/>
          <w:sz w:val="16"/>
          <w:szCs w:val="16"/>
        </w:rPr>
        <w:softHyphen/>
        <w:t>нять стратостат в воздух. Купол «СССР-1» уже вытянулся на высоту 70 м, когда заметили, что аппендикс стратостата затянут узлом захлест</w:t>
      </w:r>
      <w:r w:rsidRPr="00C33834">
        <w:rPr>
          <w:rFonts w:ascii="Times New Roman" w:hAnsi="Times New Roman"/>
          <w:color w:val="0070C0"/>
          <w:sz w:val="16"/>
          <w:szCs w:val="16"/>
        </w:rPr>
        <w:softHyphen/>
        <w:t>нувшей его мокрой верёвки. Вызвали пожарных, но их лестница оказалась коротка. Положение спас красноармеец Ф. К. Терещенко, поднявший</w:t>
      </w:r>
      <w:r w:rsidRPr="00C33834">
        <w:rPr>
          <w:rFonts w:ascii="Times New Roman" w:hAnsi="Times New Roman"/>
          <w:color w:val="0070C0"/>
          <w:sz w:val="16"/>
          <w:szCs w:val="16"/>
        </w:rPr>
        <w:softHyphen/>
        <w:t>ся по тонкой стропе на высоту восьмиэтажного дома и распутавший узел. Начальник ВВС РККА Я.И. Алкснис тотчас же подарил герою свои часы. Экипаж зашёл в гондолу, начальник стар</w:t>
      </w:r>
      <w:r w:rsidRPr="00C33834">
        <w:rPr>
          <w:rFonts w:ascii="Times New Roman" w:hAnsi="Times New Roman"/>
          <w:color w:val="0070C0"/>
          <w:sz w:val="16"/>
          <w:szCs w:val="16"/>
        </w:rPr>
        <w:softHyphen/>
        <w:t>та В.Г. Гараканидзе отдал команду: «На поясных дать свободу!». «Оболочка зашевелилась, гондола приподнялась над землёй и ... снова опустилась. Сырой туман покрыл оболочку росой, и она гру</w:t>
      </w:r>
      <w:r w:rsidRPr="00C33834">
        <w:rPr>
          <w:rFonts w:ascii="Times New Roman" w:hAnsi="Times New Roman"/>
          <w:color w:val="0070C0"/>
          <w:sz w:val="16"/>
          <w:szCs w:val="16"/>
        </w:rPr>
        <w:softHyphen/>
        <w:t>зом больше полутоны навалилась на стратостат, погасив его подъёмную силу. Полёт пришлось отложить. Газ выпустили, и оболочка осела на землю» (20120).</w:t>
      </w:r>
    </w:p>
    <w:p w14:paraId="2F12AC91" w14:textId="77777777" w:rsidR="005C5558" w:rsidRPr="00C33834" w:rsidRDefault="005C5558" w:rsidP="00C33834">
      <w:pPr>
        <w:spacing w:after="0" w:line="240" w:lineRule="auto"/>
        <w:jc w:val="both"/>
        <w:rPr>
          <w:rFonts w:ascii="Times New Roman" w:hAnsi="Times New Roman"/>
          <w:color w:val="0070C0"/>
          <w:sz w:val="16"/>
          <w:szCs w:val="16"/>
        </w:rPr>
      </w:pPr>
    </w:p>
    <w:p w14:paraId="54EF30C3"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72E9568"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5126BE8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23 сентября 1933 года Тухачевский распорядился: "Учитывая недостаточную дальнобойность 76-мм пушки обр. 1902/30 г. считать необходимым впредь до окончания разработки новой дивизионной универсальной пушки произвести довооружение дивизий РККА дальнобойной 76-м пушкой обр. 1933 г., для чего поставить производство этой системы на заводе Новое Сормово, скооперировав его с МЗМ"(Пермским заводом). Всего было произведено около 200 пушек обр. 1933 г. Причем лафеты делал Пермский завод, а стволы и окончательную сборку завод № 92 ("Новое Сормово"). Сормовцы сразу подсуетились и присвоили пушке свой заводской индекс Ф-19. Кстати, в 1932 году завод № 92 получил заказ на 53 76-мм пушки обр. 1902/30 г., но сумел изготовить лишь одну пушку, но зато этим пушкам также </w:t>
      </w:r>
      <w:r w:rsidRPr="00C33834">
        <w:rPr>
          <w:rFonts w:ascii="Times New Roman" w:hAnsi="Times New Roman"/>
          <w:color w:val="000000" w:themeColor="text1"/>
          <w:sz w:val="16"/>
          <w:szCs w:val="16"/>
        </w:rPr>
        <w:lastRenderedPageBreak/>
        <w:t>присвоен заводской индекс Ф-10. В 1934 году завод должен был сдать 200 систем, а в 1934 году 60 систем. Однако в сентябре 1935 года завод № 92 получил указание ГВМУ о прекращении производства 76-мм пушек обр. 1933 г., а в октябре 1935 года приказ о передачи инструмента и полуфабрикатов на УЗТМ, а также о подготовке к запуску валового производства Ф-22. В результате срыв программы по Ф-19 (3861).</w:t>
      </w:r>
    </w:p>
    <w:p w14:paraId="56690628"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161E0BB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сентября 1933 г. дальневосточная Щ-11 (Лосось) после испытаний, которые проводила Постоянная комиссия под председательством А. К. Векмана, вступила в строй. Командовал Щ-11 Г. Н. Холостяков (ныне вице-адмирал, Герой Советского Союза). Эта лодка одной из первых вошла в состав подводных сил Тихоокеанского флота (10701).</w:t>
      </w:r>
    </w:p>
    <w:p w14:paraId="19B35301"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0F840EB4"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5834D1DA"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7D637674" w14:textId="77777777" w:rsidR="00C64FF6" w:rsidRPr="00C33834" w:rsidRDefault="00C64FF6"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color w:val="000000" w:themeColor="text1"/>
          <w:sz w:val="16"/>
          <w:szCs w:val="16"/>
        </w:rPr>
        <w:t>23 сентября 1933 г. пограничники заставы «Пицунда» произвели выстрелы по катеру, в котором находился Сталин. Инцидент, скорее всего, был вызван ошибкой: пограничники не получили предварительное уведомление о передвижении катера в охраняемой зоне и действовали согласно инструкции (обстоятельства инцидента см.: Берия. Конец карьеры. М., 1991. С. 362–364) (17281).</w:t>
      </w:r>
    </w:p>
    <w:p w14:paraId="6BC42D4F" w14:textId="77777777" w:rsidR="00C64FF6" w:rsidRPr="00C33834" w:rsidRDefault="00C64FF6" w:rsidP="00C33834">
      <w:pPr>
        <w:spacing w:after="0" w:line="240" w:lineRule="auto"/>
        <w:jc w:val="both"/>
        <w:rPr>
          <w:rFonts w:ascii="Times New Roman" w:hAnsi="Times New Roman"/>
          <w:iCs/>
          <w:color w:val="000000" w:themeColor="text1"/>
          <w:sz w:val="16"/>
          <w:szCs w:val="16"/>
        </w:rPr>
      </w:pPr>
    </w:p>
    <w:p w14:paraId="600B229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сентября 1933 вышел приказ ОГПУ № 0107:</w:t>
      </w:r>
    </w:p>
    <w:p w14:paraId="2639D9B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 Назначается: Начальником Дмитровского исправительно-трудового лагеря ОГПУ и зам. нач. строительства «Москва-Волга» Фирин Семен Григорьевич (зам. начальника ГУЛАГа ОГПУ - по совместительству).</w:t>
      </w:r>
    </w:p>
    <w:p w14:paraId="1460F39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2. Агентурно-оперативное обслуживание Дмитровского исправительно-трудового лагеря, по примеру всех лагерей ОГПУ, возложить на III отдел ГУЛАГа ОГПУ, для чего: 1) Особую инспекцию ПП ОГПУ МО по Дмитлагу ОГПУ - расформировать и весь личный состав таковой передать в ГУЛАГ ОГПУ. 2) III отдел Дмитлага ОГПУ подчинить во всех отношениях начальнику лагеря». Последнее означало, что агентурно-оперативная работа в Дмитлаге изымалась из компетенции полпредства ОГПУ по Московской области и, по примеру всех лагерей ОГПУ, переходила в ведение ГУЛАГа (7560).</w:t>
      </w:r>
    </w:p>
    <w:p w14:paraId="666D48E8"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0992EBD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сентября 1933 ГУЛАГ издал приказание № 10, подписанное помощником начальника ГУЛАГа И. И. Плинером и разосланное всем начальникам отделений ГУЛАГа:</w:t>
      </w:r>
    </w:p>
    <w:p w14:paraId="646D43E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«Констатирую, что отделения ГУЛАГа продолжают применять в своих сводках различный порядок расположения лагерей, вследствие чего крайне затрудняется обработка и анализ этих сводок.</w:t>
      </w:r>
    </w:p>
    <w:p w14:paraId="4ED20D3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Приказываю:</w:t>
      </w:r>
    </w:p>
    <w:p w14:paraId="6B51E83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Установить, как для делопроизводства, так и для составления различных сводок следующий обязательный порядок расположения лагерей:</w:t>
      </w:r>
    </w:p>
    <w:p w14:paraId="4045B19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Бамлаг</w:t>
      </w:r>
    </w:p>
    <w:p w14:paraId="4CBB99C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Дмитлаг</w:t>
      </w:r>
    </w:p>
    <w:p w14:paraId="5407DEB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Белбалтлаг</w:t>
      </w:r>
    </w:p>
    <w:p w14:paraId="4CF7970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Ухтпечлаг</w:t>
      </w:r>
    </w:p>
    <w:p w14:paraId="516AAAA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Свирлаг</w:t>
      </w:r>
    </w:p>
    <w:p w14:paraId="0420EBB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Темлаг</w:t>
      </w:r>
    </w:p>
    <w:p w14:paraId="7DFE627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Слаг [Соловки]</w:t>
      </w:r>
    </w:p>
    <w:p w14:paraId="2313D9B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Дальлаг</w:t>
      </w:r>
    </w:p>
    <w:p w14:paraId="4B94897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Сиблаг</w:t>
      </w:r>
    </w:p>
    <w:p w14:paraId="1C6A6C5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Сазлаг [Среднеазиатский лагерь]</w:t>
      </w:r>
    </w:p>
    <w:p w14:paraId="39CB958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Карлаг</w:t>
      </w:r>
    </w:p>
    <w:p w14:paraId="52345E4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Вишлаг</w:t>
      </w:r>
    </w:p>
    <w:p w14:paraId="3E114B1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Прорвлаг</w:t>
      </w:r>
    </w:p>
    <w:p w14:paraId="3879A86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Балахлаг</w:t>
      </w:r>
    </w:p>
    <w:p w14:paraId="2E3DB64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Сарлаг</w:t>
      </w:r>
    </w:p>
    <w:p w14:paraId="1087AE1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Вайгачская экспедиция</w:t>
      </w:r>
    </w:p>
    <w:p w14:paraId="402EADC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Севвостлаг» (7560).</w:t>
      </w:r>
    </w:p>
    <w:p w14:paraId="59CE7E91"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61DA6C7F"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13812C97"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5D98584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сентября 1933 г. была беседа Хартмана со Смагиным, а 10 января 1934 г. Левичева с полковником генштаба райхсвера X. фон Штюльпнагелем и нового германского посла в СССР Р. Надольного с Ворошиловым (ADAP, Ser.C, Bd. 1,2. S. 861.). Примерно в это же время на процессе в Ляйпциге о поджоге райхстага арестом корреспондентов ТАСС и «Известий» по подозрению в намерении присутствовать на процессе, в чем им было отказано днем раньше, был вызван «журналистский конфликт». Москва в ответ отозвала всех своих журналистов из Германии и решила одновременно выслать из СССР всех германских корреспондентов. Одновременно в Германии развернулась кампания по поводу голода в CCCP (Максимычев И. Ф. Указ, соч, с. 50—53.). Однако сталинская пропаганда начисто его отрицала, умело увязав «журналистский конфликт» с «голодной кампанией». В германской прессе усилились нападки против личности Литвинова (РГВА, ф. 33987, оп. 3, д. 505, л. 148-156.). Пытаясь разрядить ситуацию, МИД Германии ухватился за идею своего посольства в Москве об использовании поездки Крестинского на лечение в Германию для его Встречи с ведущими деятелями германского правительства. Но когда Гитлер 26 сентября 1933 г. согласился встретиться с Крестинским и об этом через Хинчука было сообщено в Москву, Крестинский, по инициативе Литвинова, вернулся в Москву через Вену (АВП РФ, ф. 082, оп. 16, п. 71, д. 1, л. 324; ADAP, Ser. С, Bd. 11,1. Ь. 75.) (11784).</w:t>
      </w:r>
    </w:p>
    <w:p w14:paraId="387F50D8"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074D3907" w14:textId="77777777" w:rsidR="00096706"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8916AC1" w14:textId="77777777" w:rsidR="00096706" w:rsidRPr="00C33834" w:rsidRDefault="00096706" w:rsidP="00C33834">
      <w:pPr>
        <w:spacing w:after="0" w:line="240" w:lineRule="auto"/>
        <w:jc w:val="both"/>
        <w:rPr>
          <w:rFonts w:ascii="Times New Roman" w:hAnsi="Times New Roman"/>
          <w:iCs/>
          <w:color w:val="000000" w:themeColor="text1"/>
          <w:sz w:val="16"/>
          <w:szCs w:val="16"/>
        </w:rPr>
      </w:pPr>
    </w:p>
    <w:p w14:paraId="3DB94435" w14:textId="77777777" w:rsidR="00096706" w:rsidRPr="00C33834" w:rsidRDefault="00096706" w:rsidP="00C33834">
      <w:pPr>
        <w:spacing w:after="0" w:line="240" w:lineRule="auto"/>
        <w:jc w:val="both"/>
        <w:rPr>
          <w:rFonts w:ascii="Times New Roman" w:hAnsi="Times New Roman"/>
          <w:color w:val="000000" w:themeColor="text1"/>
          <w:sz w:val="16"/>
          <w:szCs w:val="16"/>
        </w:rPr>
      </w:pPr>
      <w:r w:rsidRPr="00C33834">
        <w:rPr>
          <w:rStyle w:val="ucoz-forum-post"/>
          <w:rFonts w:ascii="Times New Roman" w:eastAsiaTheme="majorEastAsia" w:hAnsi="Times New Roman"/>
          <w:bCs/>
          <w:color w:val="000000" w:themeColor="text1"/>
          <w:sz w:val="16"/>
          <w:szCs w:val="16"/>
        </w:rPr>
        <w:t xml:space="preserve">23 сентября </w:t>
      </w:r>
      <w:r w:rsidRPr="00C33834">
        <w:rPr>
          <w:rFonts w:ascii="Times New Roman" w:hAnsi="Times New Roman"/>
          <w:color w:val="000000" w:themeColor="text1"/>
          <w:sz w:val="16"/>
          <w:szCs w:val="16"/>
        </w:rPr>
        <w:t>в 1933 году фашистская Германия приступила к осуществлению грандиозной программы строительства автобанов к югу от Франкфурта. На церемонии ее открытия Адольф Гитлер лично зачерпнул первую лопату земли. Лозунг этой кампании гласил: «6 000 километров и 600 000 рабочих мест!», для увеличения числа которых было решено почти полностью отказаться от использования техники. Населению постоянно внушалось, что программа государству ничего не стоит, поскольку финансируется почти целиком за счет средств, сэкономленных на пособиях по безработице и затратах по трудоустройству. И хотя не все шло по плану, программа была выполнена (14778).</w:t>
      </w:r>
    </w:p>
    <w:p w14:paraId="077A73C8" w14:textId="77777777" w:rsidR="00096706" w:rsidRPr="00C33834" w:rsidRDefault="00096706" w:rsidP="00C33834">
      <w:pPr>
        <w:spacing w:after="0" w:line="240" w:lineRule="auto"/>
        <w:jc w:val="both"/>
        <w:rPr>
          <w:rFonts w:ascii="Times New Roman" w:hAnsi="Times New Roman"/>
          <w:color w:val="000000" w:themeColor="text1"/>
          <w:sz w:val="16"/>
          <w:szCs w:val="16"/>
        </w:rPr>
      </w:pPr>
    </w:p>
    <w:p w14:paraId="7FB880EA"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436993A"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1DA1289A"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сентября 1933 года в СТО была направлена справка</w:t>
      </w:r>
    </w:p>
    <w:p w14:paraId="4A9F7050"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выполнении программы авиационной промышленности за 8 м-цев 1933 и программы 1У кв.</w:t>
      </w:r>
    </w:p>
    <w:p w14:paraId="61A49B21"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1933 год Правительство задало Авиапрому программу сдачи самолетов 4495 штук и моторов 7472 штуки.</w:t>
      </w:r>
    </w:p>
    <w:p w14:paraId="02E03AAD"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8 месяцев план определял сдачу самолетов 2852 штук и моторов 4785 штук, фактически сдано самолетов 2303 штук или 80,7% и моторов 4172 штук или 87,2%.</w:t>
      </w:r>
    </w:p>
    <w:p w14:paraId="6F37B1B9"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основным типам с-тов выполнение составляет:</w:t>
      </w:r>
    </w:p>
    <w:p w14:paraId="46A9ECDC"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52"/>
        <w:gridCol w:w="1157"/>
        <w:gridCol w:w="1157"/>
        <w:gridCol w:w="1157"/>
        <w:gridCol w:w="1157"/>
      </w:tblGrid>
      <w:tr w:rsidR="00F26F01" w:rsidRPr="00C33834" w14:paraId="60948303" w14:textId="77777777">
        <w:tc>
          <w:tcPr>
            <w:tcW w:w="2552" w:type="dxa"/>
          </w:tcPr>
          <w:p w14:paraId="7FF09EFE"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Типы самолетов</w:t>
            </w:r>
          </w:p>
        </w:tc>
        <w:tc>
          <w:tcPr>
            <w:tcW w:w="1157" w:type="dxa"/>
          </w:tcPr>
          <w:p w14:paraId="4D1065C4"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8-ти месяцев</w:t>
            </w:r>
          </w:p>
        </w:tc>
        <w:tc>
          <w:tcPr>
            <w:tcW w:w="1157" w:type="dxa"/>
          </w:tcPr>
          <w:p w14:paraId="091CF4D6"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Сдано за 8 месяцев</w:t>
            </w:r>
          </w:p>
        </w:tc>
        <w:tc>
          <w:tcPr>
            <w:tcW w:w="1157" w:type="dxa"/>
          </w:tcPr>
          <w:p w14:paraId="36E9670C"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выполнения к 8-ти месячному плану</w:t>
            </w:r>
          </w:p>
        </w:tc>
        <w:tc>
          <w:tcPr>
            <w:tcW w:w="1157" w:type="dxa"/>
          </w:tcPr>
          <w:p w14:paraId="3322FEC4"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выполнения к годового план</w:t>
            </w:r>
          </w:p>
        </w:tc>
      </w:tr>
      <w:tr w:rsidR="00F26F01" w:rsidRPr="00C33834" w14:paraId="018F2883" w14:textId="77777777">
        <w:tc>
          <w:tcPr>
            <w:tcW w:w="2552" w:type="dxa"/>
          </w:tcPr>
          <w:p w14:paraId="3C72F3D0"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Разведчики Р5-М17</w:t>
            </w:r>
          </w:p>
        </w:tc>
        <w:tc>
          <w:tcPr>
            <w:tcW w:w="1157" w:type="dxa"/>
          </w:tcPr>
          <w:p w14:paraId="210057B8"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1038</w:t>
            </w:r>
          </w:p>
        </w:tc>
        <w:tc>
          <w:tcPr>
            <w:tcW w:w="1157" w:type="dxa"/>
          </w:tcPr>
          <w:p w14:paraId="2531E990"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817</w:t>
            </w:r>
          </w:p>
        </w:tc>
        <w:tc>
          <w:tcPr>
            <w:tcW w:w="1157" w:type="dxa"/>
          </w:tcPr>
          <w:p w14:paraId="06DA0A3D"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78,7</w:t>
            </w:r>
          </w:p>
        </w:tc>
        <w:tc>
          <w:tcPr>
            <w:tcW w:w="1157" w:type="dxa"/>
          </w:tcPr>
          <w:p w14:paraId="75C7803A"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48,8</w:t>
            </w:r>
          </w:p>
        </w:tc>
      </w:tr>
      <w:tr w:rsidR="00F26F01" w:rsidRPr="00C33834" w14:paraId="5BE40337" w14:textId="77777777">
        <w:tc>
          <w:tcPr>
            <w:tcW w:w="2552" w:type="dxa"/>
          </w:tcPr>
          <w:p w14:paraId="6C11CB61"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Разведчики Р6-2М17</w:t>
            </w:r>
          </w:p>
        </w:tc>
        <w:tc>
          <w:tcPr>
            <w:tcW w:w="1157" w:type="dxa"/>
          </w:tcPr>
          <w:p w14:paraId="01B44560"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w:t>
            </w:r>
          </w:p>
        </w:tc>
        <w:tc>
          <w:tcPr>
            <w:tcW w:w="1157" w:type="dxa"/>
          </w:tcPr>
          <w:p w14:paraId="7BD61990"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1157" w:type="dxa"/>
          </w:tcPr>
          <w:p w14:paraId="5F9F912A"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w:t>
            </w:r>
          </w:p>
        </w:tc>
        <w:tc>
          <w:tcPr>
            <w:tcW w:w="1157" w:type="dxa"/>
          </w:tcPr>
          <w:p w14:paraId="0790DFBD"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r>
      <w:tr w:rsidR="00F26F01" w:rsidRPr="00C33834" w14:paraId="144C1077" w14:textId="77777777">
        <w:tc>
          <w:tcPr>
            <w:tcW w:w="2552" w:type="dxa"/>
          </w:tcPr>
          <w:p w14:paraId="555C3F9A"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Разведчики морские МР5-М17</w:t>
            </w:r>
          </w:p>
        </w:tc>
        <w:tc>
          <w:tcPr>
            <w:tcW w:w="1157" w:type="dxa"/>
          </w:tcPr>
          <w:p w14:paraId="4F00E2FE"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1157" w:type="dxa"/>
          </w:tcPr>
          <w:p w14:paraId="70110143"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57" w:type="dxa"/>
          </w:tcPr>
          <w:p w14:paraId="576A631F"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57" w:type="dxa"/>
          </w:tcPr>
          <w:p w14:paraId="276978CD"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6642F482" w14:textId="77777777">
        <w:tc>
          <w:tcPr>
            <w:tcW w:w="2552" w:type="dxa"/>
          </w:tcPr>
          <w:p w14:paraId="45205D5A"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МБР4-М34</w:t>
            </w:r>
          </w:p>
        </w:tc>
        <w:tc>
          <w:tcPr>
            <w:tcW w:w="1157" w:type="dxa"/>
          </w:tcPr>
          <w:p w14:paraId="05AA2169"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w:t>
            </w:r>
          </w:p>
        </w:tc>
        <w:tc>
          <w:tcPr>
            <w:tcW w:w="1157" w:type="dxa"/>
          </w:tcPr>
          <w:p w14:paraId="6AD07935"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tc>
        <w:tc>
          <w:tcPr>
            <w:tcW w:w="1157" w:type="dxa"/>
          </w:tcPr>
          <w:p w14:paraId="5AC6CBB5"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18,7</w:t>
            </w:r>
          </w:p>
        </w:tc>
        <w:tc>
          <w:tcPr>
            <w:tcW w:w="1157" w:type="dxa"/>
          </w:tcPr>
          <w:p w14:paraId="1781B67F"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9,8</w:t>
            </w:r>
          </w:p>
        </w:tc>
      </w:tr>
      <w:tr w:rsidR="00F26F01" w:rsidRPr="00C33834" w14:paraId="3DD45007" w14:textId="77777777">
        <w:tc>
          <w:tcPr>
            <w:tcW w:w="2552" w:type="dxa"/>
          </w:tcPr>
          <w:p w14:paraId="31AB1F48"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Истребители И5</w:t>
            </w:r>
          </w:p>
        </w:tc>
        <w:tc>
          <w:tcPr>
            <w:tcW w:w="1157" w:type="dxa"/>
          </w:tcPr>
          <w:p w14:paraId="0CDBD0E5"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w:t>
            </w:r>
          </w:p>
        </w:tc>
        <w:tc>
          <w:tcPr>
            <w:tcW w:w="1157" w:type="dxa"/>
          </w:tcPr>
          <w:p w14:paraId="67E99C75"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179</w:t>
            </w:r>
          </w:p>
        </w:tc>
        <w:tc>
          <w:tcPr>
            <w:tcW w:w="1157" w:type="dxa"/>
          </w:tcPr>
          <w:p w14:paraId="08242859"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99,4</w:t>
            </w:r>
          </w:p>
        </w:tc>
        <w:tc>
          <w:tcPr>
            <w:tcW w:w="1157" w:type="dxa"/>
          </w:tcPr>
          <w:p w14:paraId="6E2C8AC3"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19,7</w:t>
            </w:r>
          </w:p>
        </w:tc>
      </w:tr>
      <w:tr w:rsidR="00F26F01" w:rsidRPr="00C33834" w14:paraId="119BEF82" w14:textId="77777777">
        <w:tc>
          <w:tcPr>
            <w:tcW w:w="2552" w:type="dxa"/>
          </w:tcPr>
          <w:p w14:paraId="150EF9AF"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Истребители И7</w:t>
            </w:r>
          </w:p>
        </w:tc>
        <w:tc>
          <w:tcPr>
            <w:tcW w:w="1157" w:type="dxa"/>
          </w:tcPr>
          <w:p w14:paraId="7A8D5994"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142</w:t>
            </w:r>
          </w:p>
        </w:tc>
        <w:tc>
          <w:tcPr>
            <w:tcW w:w="1157" w:type="dxa"/>
          </w:tcPr>
          <w:p w14:paraId="1BB28D03"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w:t>
            </w:r>
          </w:p>
        </w:tc>
        <w:tc>
          <w:tcPr>
            <w:tcW w:w="1157" w:type="dxa"/>
          </w:tcPr>
          <w:p w14:paraId="2BD86483"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33,8</w:t>
            </w:r>
          </w:p>
        </w:tc>
        <w:tc>
          <w:tcPr>
            <w:tcW w:w="1157" w:type="dxa"/>
          </w:tcPr>
          <w:p w14:paraId="2794C6D0"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w:t>
            </w:r>
          </w:p>
        </w:tc>
      </w:tr>
      <w:tr w:rsidR="00F26F01" w:rsidRPr="00C33834" w14:paraId="258FED92" w14:textId="77777777">
        <w:tc>
          <w:tcPr>
            <w:tcW w:w="2552" w:type="dxa"/>
          </w:tcPr>
          <w:p w14:paraId="26400ED1"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Тяжелые бомбовозы ТБ3-4М17</w:t>
            </w:r>
          </w:p>
        </w:tc>
        <w:tc>
          <w:tcPr>
            <w:tcW w:w="1157" w:type="dxa"/>
          </w:tcPr>
          <w:p w14:paraId="0285316F"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172</w:t>
            </w:r>
          </w:p>
        </w:tc>
        <w:tc>
          <w:tcPr>
            <w:tcW w:w="1157" w:type="dxa"/>
          </w:tcPr>
          <w:p w14:paraId="4AC62A11"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165</w:t>
            </w:r>
          </w:p>
        </w:tc>
        <w:tc>
          <w:tcPr>
            <w:tcW w:w="1157" w:type="dxa"/>
          </w:tcPr>
          <w:p w14:paraId="2F48B79B"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95,9</w:t>
            </w:r>
          </w:p>
        </w:tc>
        <w:tc>
          <w:tcPr>
            <w:tcW w:w="1157" w:type="dxa"/>
          </w:tcPr>
          <w:p w14:paraId="13B86F3B"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67,3</w:t>
            </w:r>
          </w:p>
        </w:tc>
      </w:tr>
      <w:tr w:rsidR="00F26F01" w:rsidRPr="00C33834" w14:paraId="2D2AE448" w14:textId="77777777">
        <w:tc>
          <w:tcPr>
            <w:tcW w:w="2552" w:type="dxa"/>
          </w:tcPr>
          <w:p w14:paraId="1D99CA4A"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Тяжелые бомбовозы ТБ3-4М34</w:t>
            </w:r>
          </w:p>
        </w:tc>
        <w:tc>
          <w:tcPr>
            <w:tcW w:w="1157" w:type="dxa"/>
          </w:tcPr>
          <w:p w14:paraId="2FF240F7"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w:t>
            </w:r>
          </w:p>
        </w:tc>
        <w:tc>
          <w:tcPr>
            <w:tcW w:w="1157" w:type="dxa"/>
          </w:tcPr>
          <w:p w14:paraId="7BB31387"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1157" w:type="dxa"/>
          </w:tcPr>
          <w:p w14:paraId="20010D0B"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w:t>
            </w:r>
          </w:p>
        </w:tc>
        <w:tc>
          <w:tcPr>
            <w:tcW w:w="1157" w:type="dxa"/>
          </w:tcPr>
          <w:p w14:paraId="635E2128"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w:t>
            </w:r>
          </w:p>
        </w:tc>
      </w:tr>
      <w:tr w:rsidR="00F26F01" w:rsidRPr="00C33834" w14:paraId="1DDB6D43" w14:textId="77777777">
        <w:tc>
          <w:tcPr>
            <w:tcW w:w="2552" w:type="dxa"/>
          </w:tcPr>
          <w:p w14:paraId="61847572"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Учебные У2-М11</w:t>
            </w:r>
          </w:p>
        </w:tc>
        <w:tc>
          <w:tcPr>
            <w:tcW w:w="1157" w:type="dxa"/>
          </w:tcPr>
          <w:p w14:paraId="319A87B5"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785</w:t>
            </w:r>
          </w:p>
        </w:tc>
        <w:tc>
          <w:tcPr>
            <w:tcW w:w="1157" w:type="dxa"/>
          </w:tcPr>
          <w:p w14:paraId="1054F6CF"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768</w:t>
            </w:r>
          </w:p>
        </w:tc>
        <w:tc>
          <w:tcPr>
            <w:tcW w:w="1157" w:type="dxa"/>
          </w:tcPr>
          <w:p w14:paraId="268D24B0"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97,8</w:t>
            </w:r>
          </w:p>
        </w:tc>
        <w:tc>
          <w:tcPr>
            <w:tcW w:w="1157" w:type="dxa"/>
          </w:tcPr>
          <w:p w14:paraId="0FC54457"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r>
    </w:tbl>
    <w:p w14:paraId="05FB6AE6"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моторам:</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52"/>
        <w:gridCol w:w="1157"/>
        <w:gridCol w:w="1157"/>
        <w:gridCol w:w="1157"/>
        <w:gridCol w:w="1157"/>
      </w:tblGrid>
      <w:tr w:rsidR="00F26F01" w:rsidRPr="00C33834" w14:paraId="78367C32" w14:textId="77777777">
        <w:tc>
          <w:tcPr>
            <w:tcW w:w="2552" w:type="dxa"/>
          </w:tcPr>
          <w:p w14:paraId="1940BEF1"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Типы моторов</w:t>
            </w:r>
          </w:p>
        </w:tc>
        <w:tc>
          <w:tcPr>
            <w:tcW w:w="1157" w:type="dxa"/>
          </w:tcPr>
          <w:p w14:paraId="63E9DEAB"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8-ти месяцев</w:t>
            </w:r>
          </w:p>
        </w:tc>
        <w:tc>
          <w:tcPr>
            <w:tcW w:w="1157" w:type="dxa"/>
          </w:tcPr>
          <w:p w14:paraId="1E102C07"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Сдано за 8 месяцев</w:t>
            </w:r>
          </w:p>
        </w:tc>
        <w:tc>
          <w:tcPr>
            <w:tcW w:w="1157" w:type="dxa"/>
          </w:tcPr>
          <w:p w14:paraId="6D75BD37"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выполнения к 8-ти месячному плану</w:t>
            </w:r>
          </w:p>
        </w:tc>
        <w:tc>
          <w:tcPr>
            <w:tcW w:w="1157" w:type="dxa"/>
          </w:tcPr>
          <w:p w14:paraId="58E8DB6B"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выполнения к годового план</w:t>
            </w:r>
          </w:p>
        </w:tc>
      </w:tr>
      <w:tr w:rsidR="00F26F01" w:rsidRPr="00C33834" w14:paraId="1DB0C762" w14:textId="77777777">
        <w:tc>
          <w:tcPr>
            <w:tcW w:w="2552" w:type="dxa"/>
          </w:tcPr>
          <w:p w14:paraId="5D4792AF"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1157" w:type="dxa"/>
          </w:tcPr>
          <w:p w14:paraId="1DD31B9E"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2287</w:t>
            </w:r>
          </w:p>
        </w:tc>
        <w:tc>
          <w:tcPr>
            <w:tcW w:w="1157" w:type="dxa"/>
          </w:tcPr>
          <w:p w14:paraId="46D74049"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2205</w:t>
            </w:r>
          </w:p>
        </w:tc>
        <w:tc>
          <w:tcPr>
            <w:tcW w:w="1157" w:type="dxa"/>
          </w:tcPr>
          <w:p w14:paraId="4AC9F9B9"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96,4</w:t>
            </w:r>
          </w:p>
        </w:tc>
        <w:tc>
          <w:tcPr>
            <w:tcW w:w="1157" w:type="dxa"/>
          </w:tcPr>
          <w:p w14:paraId="417E19CE"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w:t>
            </w:r>
          </w:p>
        </w:tc>
      </w:tr>
      <w:tr w:rsidR="00F26F01" w:rsidRPr="00C33834" w14:paraId="0D45A12B" w14:textId="77777777">
        <w:tc>
          <w:tcPr>
            <w:tcW w:w="2552" w:type="dxa"/>
          </w:tcPr>
          <w:p w14:paraId="21DDC263"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1157" w:type="dxa"/>
          </w:tcPr>
          <w:p w14:paraId="537703E4"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655</w:t>
            </w:r>
          </w:p>
        </w:tc>
        <w:tc>
          <w:tcPr>
            <w:tcW w:w="1157" w:type="dxa"/>
          </w:tcPr>
          <w:p w14:paraId="17DD16F3"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w:t>
            </w:r>
          </w:p>
        </w:tc>
        <w:tc>
          <w:tcPr>
            <w:tcW w:w="1157" w:type="dxa"/>
          </w:tcPr>
          <w:p w14:paraId="17C628F1"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68,7</w:t>
            </w:r>
          </w:p>
        </w:tc>
        <w:tc>
          <w:tcPr>
            <w:tcW w:w="1157" w:type="dxa"/>
          </w:tcPr>
          <w:p w14:paraId="281D7607"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46,8</w:t>
            </w:r>
          </w:p>
        </w:tc>
      </w:tr>
      <w:tr w:rsidR="00F26F01" w:rsidRPr="00C33834" w14:paraId="4E0418AF" w14:textId="77777777">
        <w:tc>
          <w:tcPr>
            <w:tcW w:w="2552" w:type="dxa"/>
          </w:tcPr>
          <w:p w14:paraId="4344B20F"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157" w:type="dxa"/>
          </w:tcPr>
          <w:p w14:paraId="3D6FAF35"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157" w:type="dxa"/>
          </w:tcPr>
          <w:p w14:paraId="00A16238"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354</w:t>
            </w:r>
          </w:p>
        </w:tc>
        <w:tc>
          <w:tcPr>
            <w:tcW w:w="1157" w:type="dxa"/>
          </w:tcPr>
          <w:p w14:paraId="4A41A947"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84,7</w:t>
            </w:r>
          </w:p>
        </w:tc>
        <w:tc>
          <w:tcPr>
            <w:tcW w:w="1157" w:type="dxa"/>
          </w:tcPr>
          <w:p w14:paraId="5407E5B4"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48,8</w:t>
            </w:r>
          </w:p>
        </w:tc>
      </w:tr>
      <w:tr w:rsidR="00F26F01" w:rsidRPr="00C33834" w14:paraId="73B5B610" w14:textId="77777777">
        <w:tc>
          <w:tcPr>
            <w:tcW w:w="2552" w:type="dxa"/>
          </w:tcPr>
          <w:p w14:paraId="0E33D9CE"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w:t>
            </w:r>
          </w:p>
        </w:tc>
        <w:tc>
          <w:tcPr>
            <w:tcW w:w="1157" w:type="dxa"/>
          </w:tcPr>
          <w:p w14:paraId="76375A59"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1540</w:t>
            </w:r>
          </w:p>
        </w:tc>
        <w:tc>
          <w:tcPr>
            <w:tcW w:w="1157" w:type="dxa"/>
          </w:tcPr>
          <w:p w14:paraId="4491F01C"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1262</w:t>
            </w:r>
          </w:p>
        </w:tc>
        <w:tc>
          <w:tcPr>
            <w:tcW w:w="1157" w:type="dxa"/>
          </w:tcPr>
          <w:p w14:paraId="2DB52BAE"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82</w:t>
            </w:r>
          </w:p>
        </w:tc>
        <w:tc>
          <w:tcPr>
            <w:tcW w:w="1157" w:type="dxa"/>
          </w:tcPr>
          <w:p w14:paraId="1A596CF5"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w:t>
            </w:r>
          </w:p>
        </w:tc>
      </w:tr>
    </w:tbl>
    <w:p w14:paraId="1D167375"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Помимо сдачи задел машин по сборке по состоянию на 16 сентября с.г. составляет:</w:t>
      </w:r>
    </w:p>
    <w:p w14:paraId="01581BDC"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самолетам:</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52"/>
        <w:gridCol w:w="1157"/>
      </w:tblGrid>
      <w:tr w:rsidR="00F26F01" w:rsidRPr="00C33834" w14:paraId="1F127153" w14:textId="77777777">
        <w:tc>
          <w:tcPr>
            <w:tcW w:w="2552" w:type="dxa"/>
          </w:tcPr>
          <w:p w14:paraId="2C317DEC"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w:t>
            </w:r>
          </w:p>
        </w:tc>
        <w:tc>
          <w:tcPr>
            <w:tcW w:w="1157" w:type="dxa"/>
          </w:tcPr>
          <w:p w14:paraId="01B886A7"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110</w:t>
            </w:r>
          </w:p>
        </w:tc>
      </w:tr>
      <w:tr w:rsidR="00F26F01" w:rsidRPr="00C33834" w14:paraId="3CDC0576" w14:textId="77777777">
        <w:tc>
          <w:tcPr>
            <w:tcW w:w="2552" w:type="dxa"/>
          </w:tcPr>
          <w:p w14:paraId="21924546"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w:t>
            </w:r>
          </w:p>
        </w:tc>
        <w:tc>
          <w:tcPr>
            <w:tcW w:w="1157" w:type="dxa"/>
          </w:tcPr>
          <w:p w14:paraId="0378658A"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18C7ED00" w14:textId="77777777">
        <w:tc>
          <w:tcPr>
            <w:tcW w:w="2552" w:type="dxa"/>
          </w:tcPr>
          <w:p w14:paraId="5FCA430A"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w:t>
            </w:r>
          </w:p>
        </w:tc>
        <w:tc>
          <w:tcPr>
            <w:tcW w:w="1157" w:type="dxa"/>
          </w:tcPr>
          <w:p w14:paraId="6D7ABD95"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r>
      <w:tr w:rsidR="00F26F01" w:rsidRPr="00C33834" w14:paraId="7858B3F2" w14:textId="77777777">
        <w:tc>
          <w:tcPr>
            <w:tcW w:w="2552" w:type="dxa"/>
          </w:tcPr>
          <w:p w14:paraId="48DBD3D2"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w:t>
            </w:r>
          </w:p>
        </w:tc>
        <w:tc>
          <w:tcPr>
            <w:tcW w:w="1157" w:type="dxa"/>
          </w:tcPr>
          <w:p w14:paraId="3459E952"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r>
      <w:tr w:rsidR="00F26F01" w:rsidRPr="00C33834" w14:paraId="67193698" w14:textId="77777777">
        <w:tc>
          <w:tcPr>
            <w:tcW w:w="2552" w:type="dxa"/>
          </w:tcPr>
          <w:p w14:paraId="7DFC3DDA"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w:t>
            </w:r>
          </w:p>
        </w:tc>
        <w:tc>
          <w:tcPr>
            <w:tcW w:w="1157" w:type="dxa"/>
          </w:tcPr>
          <w:p w14:paraId="50DDC69C"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w:t>
            </w:r>
          </w:p>
        </w:tc>
      </w:tr>
      <w:tr w:rsidR="00F26F01" w:rsidRPr="00C33834" w14:paraId="75554447" w14:textId="77777777">
        <w:tc>
          <w:tcPr>
            <w:tcW w:w="2552" w:type="dxa"/>
          </w:tcPr>
          <w:p w14:paraId="4D5062F3"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w:t>
            </w:r>
          </w:p>
        </w:tc>
        <w:tc>
          <w:tcPr>
            <w:tcW w:w="1157" w:type="dxa"/>
          </w:tcPr>
          <w:p w14:paraId="1FF0D62D"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r>
      <w:tr w:rsidR="00F26F01" w:rsidRPr="00C33834" w14:paraId="018169F4" w14:textId="77777777">
        <w:tc>
          <w:tcPr>
            <w:tcW w:w="2552" w:type="dxa"/>
          </w:tcPr>
          <w:p w14:paraId="63294004"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w:t>
            </w:r>
          </w:p>
        </w:tc>
        <w:tc>
          <w:tcPr>
            <w:tcW w:w="1157" w:type="dxa"/>
          </w:tcPr>
          <w:p w14:paraId="4089CCC5"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r>
      <w:tr w:rsidR="00F26F01" w:rsidRPr="00C33834" w14:paraId="1C60F0DA" w14:textId="77777777">
        <w:tc>
          <w:tcPr>
            <w:tcW w:w="2552" w:type="dxa"/>
          </w:tcPr>
          <w:p w14:paraId="5CCA5496"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Учебные У2-М11</w:t>
            </w:r>
          </w:p>
        </w:tc>
        <w:tc>
          <w:tcPr>
            <w:tcW w:w="1157" w:type="dxa"/>
          </w:tcPr>
          <w:p w14:paraId="591BD901"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w:t>
            </w:r>
          </w:p>
        </w:tc>
      </w:tr>
    </w:tbl>
    <w:p w14:paraId="4E04ADD7"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моторам</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52"/>
        <w:gridCol w:w="1157"/>
      </w:tblGrid>
      <w:tr w:rsidR="00F26F01" w:rsidRPr="00C33834" w14:paraId="6F80B94F" w14:textId="77777777">
        <w:tc>
          <w:tcPr>
            <w:tcW w:w="2552" w:type="dxa"/>
          </w:tcPr>
          <w:p w14:paraId="248DF85C"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1157" w:type="dxa"/>
          </w:tcPr>
          <w:p w14:paraId="757DA06F"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177</w:t>
            </w:r>
          </w:p>
        </w:tc>
      </w:tr>
      <w:tr w:rsidR="00F26F01" w:rsidRPr="00C33834" w14:paraId="2F47D72B" w14:textId="77777777">
        <w:tc>
          <w:tcPr>
            <w:tcW w:w="2552" w:type="dxa"/>
          </w:tcPr>
          <w:p w14:paraId="3851F69F"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1157" w:type="dxa"/>
          </w:tcPr>
          <w:p w14:paraId="3B6F1365"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143</w:t>
            </w:r>
          </w:p>
        </w:tc>
      </w:tr>
      <w:tr w:rsidR="00F26F01" w:rsidRPr="00C33834" w14:paraId="353F3BCD" w14:textId="77777777">
        <w:tc>
          <w:tcPr>
            <w:tcW w:w="2552" w:type="dxa"/>
          </w:tcPr>
          <w:p w14:paraId="72165F6A"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157" w:type="dxa"/>
          </w:tcPr>
          <w:p w14:paraId="5F575AB2"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w:t>
            </w:r>
          </w:p>
        </w:tc>
      </w:tr>
      <w:tr w:rsidR="00F26F01" w:rsidRPr="00C33834" w14:paraId="73FEE70A" w14:textId="77777777">
        <w:tc>
          <w:tcPr>
            <w:tcW w:w="2552" w:type="dxa"/>
          </w:tcPr>
          <w:p w14:paraId="55E5F8D8"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w:t>
            </w:r>
          </w:p>
        </w:tc>
        <w:tc>
          <w:tcPr>
            <w:tcW w:w="1157" w:type="dxa"/>
          </w:tcPr>
          <w:p w14:paraId="72885A58"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210</w:t>
            </w:r>
          </w:p>
        </w:tc>
      </w:tr>
    </w:tbl>
    <w:p w14:paraId="14F25B41"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Основное недовыполнение программы имело место по самолетным заводам: № 1 (Р5 и И7), № 31 (МБР-4 и Р6) и № 22 (ТБ-3 М34) и по моторным заводам: з-д № 24 (М34) и № 29 (М11 и М22).</w:t>
      </w:r>
    </w:p>
    <w:p w14:paraId="30A38064"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 Нехваток цветных металлов, в особенности по олову, сортовой и листовой латуни и по аллюминию.</w:t>
      </w:r>
    </w:p>
    <w:p w14:paraId="0B814383"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 Нехваток холодно-катаной калиброваной стали.</w:t>
      </w:r>
    </w:p>
    <w:p w14:paraId="7907C17E"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 Недопоставка магнето; АТЭ Электрозавода (системати</w:t>
      </w:r>
      <w:r w:rsidRPr="00C33834">
        <w:rPr>
          <w:rFonts w:ascii="Times New Roman" w:hAnsi="Times New Roman"/>
          <w:color w:val="000000" w:themeColor="text1"/>
          <w:sz w:val="16"/>
          <w:szCs w:val="16"/>
        </w:rPr>
        <w:softHyphen/>
        <w:t>чески не выполняет программ по авиацион. Магнето). По 1 октя</w:t>
      </w:r>
      <w:r w:rsidRPr="00C33834">
        <w:rPr>
          <w:rFonts w:ascii="Times New Roman" w:hAnsi="Times New Roman"/>
          <w:color w:val="000000" w:themeColor="text1"/>
          <w:sz w:val="16"/>
          <w:szCs w:val="16"/>
        </w:rPr>
        <w:softHyphen/>
        <w:t>бря требовалось к подаче - 17.250 шт.; поставлено (включ. по 21 /</w:t>
      </w:r>
      <w:r w:rsidRPr="00C33834">
        <w:rPr>
          <w:rFonts w:ascii="Times New Roman" w:hAnsi="Times New Roman"/>
          <w:color w:val="000000" w:themeColor="text1"/>
          <w:sz w:val="16"/>
          <w:szCs w:val="16"/>
          <w:lang w:val="en-US"/>
        </w:rPr>
        <w:t>IX</w:t>
      </w:r>
      <w:r w:rsidRPr="00C33834">
        <w:rPr>
          <w:rFonts w:ascii="Times New Roman" w:hAnsi="Times New Roman"/>
          <w:color w:val="000000" w:themeColor="text1"/>
          <w:sz w:val="16"/>
          <w:szCs w:val="16"/>
        </w:rPr>
        <w:t xml:space="preserve"> - 7976 шт. В настоящей момент остановился выпуск мо</w:t>
      </w:r>
      <w:r w:rsidRPr="00C33834">
        <w:rPr>
          <w:rFonts w:ascii="Times New Roman" w:hAnsi="Times New Roman"/>
          <w:color w:val="000000" w:themeColor="text1"/>
          <w:sz w:val="16"/>
          <w:szCs w:val="16"/>
        </w:rPr>
        <w:softHyphen/>
        <w:t>торов М17 и М11. Импортного контингента нет.</w:t>
      </w:r>
    </w:p>
    <w:p w14:paraId="3996F4DC"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области производства:</w:t>
      </w:r>
    </w:p>
    <w:p w14:paraId="6F3C7FF3"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 Конструктивные изменения и недоработки отдельных машин: И-7 изменения хвостового оперения, ТБ-3 М-34 недоработанность винтомоторной установки, М-34 - изыскание конструк</w:t>
      </w:r>
      <w:r w:rsidRPr="00C33834">
        <w:rPr>
          <w:rFonts w:ascii="Times New Roman" w:hAnsi="Times New Roman"/>
          <w:color w:val="000000" w:themeColor="text1"/>
          <w:sz w:val="16"/>
          <w:szCs w:val="16"/>
        </w:rPr>
        <w:softHyphen/>
        <w:t>ции масляной помпы и др.</w:t>
      </w:r>
    </w:p>
    <w:p w14:paraId="7F0579EB"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 Недостаточное еще освоение М-34 (заливка головок главн. шатунов) внедрение в производство М34 и М34Р.</w:t>
      </w:r>
    </w:p>
    <w:p w14:paraId="10233B43"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 Неподготовленность производства по самолетам Р-6.и МБР-4.</w:t>
      </w:r>
    </w:p>
    <w:p w14:paraId="32A53BCD"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1У-й кв. принята сдача самолетов 1658 шт. и моторов 2683 штук в следующей разбивке по основным типам:</w:t>
      </w:r>
    </w:p>
    <w:p w14:paraId="07F405BC"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 Всего В той числе:</w:t>
      </w:r>
    </w:p>
    <w:p w14:paraId="378CC41B"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4423 2819 1658 4477 .101,2</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23"/>
        <w:gridCol w:w="1096"/>
        <w:gridCol w:w="1134"/>
        <w:gridCol w:w="992"/>
        <w:gridCol w:w="923"/>
        <w:gridCol w:w="944"/>
      </w:tblGrid>
      <w:tr w:rsidR="00F26F01" w:rsidRPr="00C33834" w14:paraId="11D40DD0" w14:textId="77777777">
        <w:trPr>
          <w:trHeight w:val="173"/>
        </w:trPr>
        <w:tc>
          <w:tcPr>
            <w:tcW w:w="2023" w:type="dxa"/>
            <w:tcBorders>
              <w:top w:val="single" w:sz="12" w:space="0" w:color="auto"/>
            </w:tcBorders>
          </w:tcPr>
          <w:p w14:paraId="2E4C0C3D"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Типы самолетов</w:t>
            </w:r>
          </w:p>
        </w:tc>
        <w:tc>
          <w:tcPr>
            <w:tcW w:w="1096" w:type="dxa"/>
            <w:tcBorders>
              <w:top w:val="single" w:sz="12" w:space="0" w:color="auto"/>
            </w:tcBorders>
          </w:tcPr>
          <w:p w14:paraId="367E3E20"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 1933</w:t>
            </w:r>
          </w:p>
        </w:tc>
        <w:tc>
          <w:tcPr>
            <w:tcW w:w="1134" w:type="dxa"/>
            <w:tcBorders>
              <w:top w:val="single" w:sz="12" w:space="0" w:color="auto"/>
            </w:tcBorders>
          </w:tcPr>
          <w:p w14:paraId="242233C8"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Ожид. Вып. 9 м</w:t>
            </w:r>
          </w:p>
        </w:tc>
        <w:tc>
          <w:tcPr>
            <w:tcW w:w="992" w:type="dxa"/>
            <w:tcBorders>
              <w:top w:val="single" w:sz="12" w:space="0" w:color="auto"/>
            </w:tcBorders>
          </w:tcPr>
          <w:p w14:paraId="4F29578C"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 1У кв.</w:t>
            </w:r>
          </w:p>
        </w:tc>
        <w:tc>
          <w:tcPr>
            <w:tcW w:w="923" w:type="dxa"/>
            <w:tcBorders>
              <w:top w:val="single" w:sz="12" w:space="0" w:color="auto"/>
            </w:tcBorders>
          </w:tcPr>
          <w:p w14:paraId="0010722D"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Ожид. Вып. за год</w:t>
            </w:r>
          </w:p>
        </w:tc>
        <w:tc>
          <w:tcPr>
            <w:tcW w:w="944" w:type="dxa"/>
            <w:tcBorders>
              <w:top w:val="single" w:sz="12" w:space="0" w:color="auto"/>
            </w:tcBorders>
          </w:tcPr>
          <w:p w14:paraId="11F8D36F"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ожтд. Выполн. в год</w:t>
            </w:r>
          </w:p>
        </w:tc>
      </w:tr>
      <w:tr w:rsidR="00F26F01" w:rsidRPr="00C33834" w14:paraId="04703ADF" w14:textId="77777777">
        <w:trPr>
          <w:trHeight w:val="173"/>
        </w:trPr>
        <w:tc>
          <w:tcPr>
            <w:tcW w:w="2023" w:type="dxa"/>
          </w:tcPr>
          <w:p w14:paraId="0F22A672"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 - всего, в т.ч.</w:t>
            </w:r>
          </w:p>
        </w:tc>
        <w:tc>
          <w:tcPr>
            <w:tcW w:w="1096" w:type="dxa"/>
          </w:tcPr>
          <w:p w14:paraId="3F582871"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4423</w:t>
            </w:r>
          </w:p>
        </w:tc>
        <w:tc>
          <w:tcPr>
            <w:tcW w:w="1134" w:type="dxa"/>
          </w:tcPr>
          <w:p w14:paraId="34145435"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2819</w:t>
            </w:r>
          </w:p>
        </w:tc>
        <w:tc>
          <w:tcPr>
            <w:tcW w:w="992" w:type="dxa"/>
          </w:tcPr>
          <w:p w14:paraId="0AEF3EC3"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1658</w:t>
            </w:r>
          </w:p>
        </w:tc>
        <w:tc>
          <w:tcPr>
            <w:tcW w:w="923" w:type="dxa"/>
          </w:tcPr>
          <w:p w14:paraId="17477996"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4477</w:t>
            </w:r>
          </w:p>
        </w:tc>
        <w:tc>
          <w:tcPr>
            <w:tcW w:w="944" w:type="dxa"/>
          </w:tcPr>
          <w:p w14:paraId="2C10328E"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101,2</w:t>
            </w:r>
          </w:p>
        </w:tc>
      </w:tr>
      <w:tr w:rsidR="00F26F01" w:rsidRPr="00C33834" w14:paraId="40B1088B" w14:textId="77777777">
        <w:trPr>
          <w:trHeight w:val="173"/>
        </w:trPr>
        <w:tc>
          <w:tcPr>
            <w:tcW w:w="2023" w:type="dxa"/>
          </w:tcPr>
          <w:p w14:paraId="608F22D9"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w:t>
            </w:r>
          </w:p>
        </w:tc>
        <w:tc>
          <w:tcPr>
            <w:tcW w:w="1096" w:type="dxa"/>
          </w:tcPr>
          <w:p w14:paraId="6E38D49E"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1675</w:t>
            </w:r>
          </w:p>
        </w:tc>
        <w:tc>
          <w:tcPr>
            <w:tcW w:w="1134" w:type="dxa"/>
          </w:tcPr>
          <w:p w14:paraId="15419FEC"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995</w:t>
            </w:r>
          </w:p>
        </w:tc>
        <w:tc>
          <w:tcPr>
            <w:tcW w:w="992" w:type="dxa"/>
          </w:tcPr>
          <w:p w14:paraId="11A0D137"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660</w:t>
            </w:r>
          </w:p>
        </w:tc>
        <w:tc>
          <w:tcPr>
            <w:tcW w:w="923" w:type="dxa"/>
          </w:tcPr>
          <w:p w14:paraId="6186F276"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1675</w:t>
            </w:r>
          </w:p>
        </w:tc>
        <w:tc>
          <w:tcPr>
            <w:tcW w:w="944" w:type="dxa"/>
          </w:tcPr>
          <w:p w14:paraId="11107DA6"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3E5FFEF1" w14:textId="77777777">
        <w:trPr>
          <w:trHeight w:val="173"/>
        </w:trPr>
        <w:tc>
          <w:tcPr>
            <w:tcW w:w="2023" w:type="dxa"/>
          </w:tcPr>
          <w:p w14:paraId="62A1A206"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МР-5</w:t>
            </w:r>
          </w:p>
        </w:tc>
        <w:tc>
          <w:tcPr>
            <w:tcW w:w="1096" w:type="dxa"/>
          </w:tcPr>
          <w:p w14:paraId="6DD19EBD"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134" w:type="dxa"/>
          </w:tcPr>
          <w:p w14:paraId="1DC39B58"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92" w:type="dxa"/>
          </w:tcPr>
          <w:p w14:paraId="742B3AFC"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923" w:type="dxa"/>
          </w:tcPr>
          <w:p w14:paraId="3982C258"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944" w:type="dxa"/>
          </w:tcPr>
          <w:p w14:paraId="686679EA"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4657A813" w14:textId="77777777">
        <w:trPr>
          <w:trHeight w:val="180"/>
        </w:trPr>
        <w:tc>
          <w:tcPr>
            <w:tcW w:w="2023" w:type="dxa"/>
          </w:tcPr>
          <w:p w14:paraId="03C443D6"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w:t>
            </w:r>
          </w:p>
        </w:tc>
        <w:tc>
          <w:tcPr>
            <w:tcW w:w="1096" w:type="dxa"/>
          </w:tcPr>
          <w:p w14:paraId="1B6B2BE1"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1134" w:type="dxa"/>
          </w:tcPr>
          <w:p w14:paraId="797F26FC"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w:t>
            </w:r>
          </w:p>
        </w:tc>
        <w:tc>
          <w:tcPr>
            <w:tcW w:w="992" w:type="dxa"/>
          </w:tcPr>
          <w:p w14:paraId="1E077FFE"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w:t>
            </w:r>
          </w:p>
        </w:tc>
        <w:tc>
          <w:tcPr>
            <w:tcW w:w="923" w:type="dxa"/>
          </w:tcPr>
          <w:p w14:paraId="20C60339"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tc>
        <w:tc>
          <w:tcPr>
            <w:tcW w:w="944" w:type="dxa"/>
          </w:tcPr>
          <w:p w14:paraId="67767447"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tc>
      </w:tr>
      <w:tr w:rsidR="00F26F01" w:rsidRPr="00C33834" w14:paraId="24458515" w14:textId="77777777">
        <w:trPr>
          <w:trHeight w:val="346"/>
        </w:trPr>
        <w:tc>
          <w:tcPr>
            <w:tcW w:w="2023" w:type="dxa"/>
          </w:tcPr>
          <w:p w14:paraId="2BD7CA67"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 - АСО</w:t>
            </w:r>
          </w:p>
        </w:tc>
        <w:tc>
          <w:tcPr>
            <w:tcW w:w="1096" w:type="dxa"/>
          </w:tcPr>
          <w:p w14:paraId="107CA1AB"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1134" w:type="dxa"/>
          </w:tcPr>
          <w:p w14:paraId="1852E534"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992" w:type="dxa"/>
          </w:tcPr>
          <w:p w14:paraId="3F2FCBB1"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23" w:type="dxa"/>
          </w:tcPr>
          <w:p w14:paraId="27A609F0"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944" w:type="dxa"/>
          </w:tcPr>
          <w:p w14:paraId="27D7FE5A"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3E49DEB7" w14:textId="77777777">
        <w:trPr>
          <w:trHeight w:val="346"/>
        </w:trPr>
        <w:tc>
          <w:tcPr>
            <w:tcW w:w="2023" w:type="dxa"/>
          </w:tcPr>
          <w:p w14:paraId="1A0F4DEC"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w:t>
            </w:r>
          </w:p>
        </w:tc>
        <w:tc>
          <w:tcPr>
            <w:tcW w:w="1096" w:type="dxa"/>
          </w:tcPr>
          <w:p w14:paraId="582D21A9"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134" w:type="dxa"/>
          </w:tcPr>
          <w:p w14:paraId="567142CF"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228</w:t>
            </w:r>
          </w:p>
        </w:tc>
        <w:tc>
          <w:tcPr>
            <w:tcW w:w="992" w:type="dxa"/>
          </w:tcPr>
          <w:p w14:paraId="521CE70D"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tc>
        <w:tc>
          <w:tcPr>
            <w:tcW w:w="923" w:type="dxa"/>
          </w:tcPr>
          <w:p w14:paraId="39D8AE1F"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353</w:t>
            </w:r>
          </w:p>
        </w:tc>
        <w:tc>
          <w:tcPr>
            <w:tcW w:w="944" w:type="dxa"/>
          </w:tcPr>
          <w:p w14:paraId="489CB147"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119,3</w:t>
            </w:r>
          </w:p>
        </w:tc>
      </w:tr>
      <w:tr w:rsidR="00F26F01" w:rsidRPr="00C33834" w14:paraId="5162AE64" w14:textId="77777777">
        <w:trPr>
          <w:trHeight w:val="180"/>
        </w:trPr>
        <w:tc>
          <w:tcPr>
            <w:tcW w:w="2023" w:type="dxa"/>
          </w:tcPr>
          <w:p w14:paraId="32F1D7DD"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w:t>
            </w:r>
          </w:p>
        </w:tc>
        <w:tc>
          <w:tcPr>
            <w:tcW w:w="1096" w:type="dxa"/>
          </w:tcPr>
          <w:p w14:paraId="02F31AC5"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134" w:type="dxa"/>
          </w:tcPr>
          <w:p w14:paraId="4356B71B"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c>
          <w:tcPr>
            <w:tcW w:w="992" w:type="dxa"/>
          </w:tcPr>
          <w:p w14:paraId="70BB61D9"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923" w:type="dxa"/>
          </w:tcPr>
          <w:p w14:paraId="5FA5A6E9"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w:t>
            </w:r>
          </w:p>
        </w:tc>
        <w:tc>
          <w:tcPr>
            <w:tcW w:w="944" w:type="dxa"/>
          </w:tcPr>
          <w:p w14:paraId="710113D4"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w:t>
            </w:r>
          </w:p>
        </w:tc>
      </w:tr>
      <w:tr w:rsidR="00F26F01" w:rsidRPr="00C33834" w14:paraId="0EF42CC6" w14:textId="77777777">
        <w:trPr>
          <w:trHeight w:val="180"/>
        </w:trPr>
        <w:tc>
          <w:tcPr>
            <w:tcW w:w="2023" w:type="dxa"/>
          </w:tcPr>
          <w:p w14:paraId="51C90E44"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ТБЗ-М17</w:t>
            </w:r>
          </w:p>
        </w:tc>
        <w:tc>
          <w:tcPr>
            <w:tcW w:w="1096" w:type="dxa"/>
          </w:tcPr>
          <w:p w14:paraId="29351BAC"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245</w:t>
            </w:r>
          </w:p>
        </w:tc>
        <w:tc>
          <w:tcPr>
            <w:tcW w:w="1134" w:type="dxa"/>
          </w:tcPr>
          <w:p w14:paraId="75736E92"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992" w:type="dxa"/>
          </w:tcPr>
          <w:p w14:paraId="6865D61E"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923" w:type="dxa"/>
          </w:tcPr>
          <w:p w14:paraId="25D41923"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245</w:t>
            </w:r>
          </w:p>
        </w:tc>
        <w:tc>
          <w:tcPr>
            <w:tcW w:w="944" w:type="dxa"/>
          </w:tcPr>
          <w:p w14:paraId="54D51E31"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2C863640" w14:textId="77777777">
        <w:trPr>
          <w:trHeight w:val="180"/>
        </w:trPr>
        <w:tc>
          <w:tcPr>
            <w:tcW w:w="2023" w:type="dxa"/>
          </w:tcPr>
          <w:p w14:paraId="48665BC8"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М1-34</w:t>
            </w:r>
          </w:p>
        </w:tc>
        <w:tc>
          <w:tcPr>
            <w:tcW w:w="1096" w:type="dxa"/>
          </w:tcPr>
          <w:p w14:paraId="19DBD5CF"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tc>
        <w:tc>
          <w:tcPr>
            <w:tcW w:w="1134" w:type="dxa"/>
          </w:tcPr>
          <w:p w14:paraId="21A62AFC"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992" w:type="dxa"/>
          </w:tcPr>
          <w:p w14:paraId="7ECBD5A4"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62</w:t>
            </w:r>
          </w:p>
        </w:tc>
        <w:tc>
          <w:tcPr>
            <w:tcW w:w="923" w:type="dxa"/>
          </w:tcPr>
          <w:p w14:paraId="6CCFFB72"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tc>
        <w:tc>
          <w:tcPr>
            <w:tcW w:w="944" w:type="dxa"/>
          </w:tcPr>
          <w:p w14:paraId="01EE42D2"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00B399D9" w14:textId="77777777">
        <w:trPr>
          <w:trHeight w:val="180"/>
        </w:trPr>
        <w:tc>
          <w:tcPr>
            <w:tcW w:w="2023" w:type="dxa"/>
          </w:tcPr>
          <w:p w14:paraId="33DC056D"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 - 2</w:t>
            </w:r>
          </w:p>
        </w:tc>
        <w:tc>
          <w:tcPr>
            <w:tcW w:w="1096" w:type="dxa"/>
          </w:tcPr>
          <w:p w14:paraId="1AC8FEB7"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1280</w:t>
            </w:r>
          </w:p>
        </w:tc>
        <w:tc>
          <w:tcPr>
            <w:tcW w:w="1134" w:type="dxa"/>
          </w:tcPr>
          <w:p w14:paraId="2BE07D56"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936</w:t>
            </w:r>
          </w:p>
        </w:tc>
        <w:tc>
          <w:tcPr>
            <w:tcW w:w="992" w:type="dxa"/>
          </w:tcPr>
          <w:p w14:paraId="5E351153"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441</w:t>
            </w:r>
          </w:p>
        </w:tc>
        <w:tc>
          <w:tcPr>
            <w:tcW w:w="923" w:type="dxa"/>
          </w:tcPr>
          <w:p w14:paraId="34E68920"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1387</w:t>
            </w:r>
          </w:p>
        </w:tc>
        <w:tc>
          <w:tcPr>
            <w:tcW w:w="944" w:type="dxa"/>
          </w:tcPr>
          <w:p w14:paraId="0B2760A7"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107</w:t>
            </w:r>
          </w:p>
        </w:tc>
      </w:tr>
      <w:tr w:rsidR="00F26F01" w:rsidRPr="00C33834" w14:paraId="7A8D787D" w14:textId="77777777">
        <w:trPr>
          <w:trHeight w:val="180"/>
        </w:trPr>
        <w:tc>
          <w:tcPr>
            <w:tcW w:w="2023" w:type="dxa"/>
          </w:tcPr>
          <w:p w14:paraId="0521CFA2"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w:t>
            </w:r>
          </w:p>
        </w:tc>
        <w:tc>
          <w:tcPr>
            <w:tcW w:w="1096" w:type="dxa"/>
          </w:tcPr>
          <w:p w14:paraId="7D273D5C"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p>
        </w:tc>
        <w:tc>
          <w:tcPr>
            <w:tcW w:w="1134" w:type="dxa"/>
          </w:tcPr>
          <w:p w14:paraId="6569F102"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p>
        </w:tc>
        <w:tc>
          <w:tcPr>
            <w:tcW w:w="992" w:type="dxa"/>
          </w:tcPr>
          <w:p w14:paraId="2C4FBA9C"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p>
        </w:tc>
        <w:tc>
          <w:tcPr>
            <w:tcW w:w="923" w:type="dxa"/>
          </w:tcPr>
          <w:p w14:paraId="09B6C732"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p>
        </w:tc>
        <w:tc>
          <w:tcPr>
            <w:tcW w:w="944" w:type="dxa"/>
          </w:tcPr>
          <w:p w14:paraId="44047872"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p>
        </w:tc>
      </w:tr>
      <w:tr w:rsidR="00F26F01" w:rsidRPr="00C33834" w14:paraId="231F85DF" w14:textId="77777777">
        <w:trPr>
          <w:trHeight w:val="180"/>
        </w:trPr>
        <w:tc>
          <w:tcPr>
            <w:tcW w:w="2023" w:type="dxa"/>
          </w:tcPr>
          <w:p w14:paraId="205453C4"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1096" w:type="dxa"/>
          </w:tcPr>
          <w:p w14:paraId="5E1E3F86"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3800</w:t>
            </w:r>
          </w:p>
        </w:tc>
        <w:tc>
          <w:tcPr>
            <w:tcW w:w="1134" w:type="dxa"/>
          </w:tcPr>
          <w:p w14:paraId="4977CFCC"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2605</w:t>
            </w:r>
          </w:p>
        </w:tc>
        <w:tc>
          <w:tcPr>
            <w:tcW w:w="992" w:type="dxa"/>
          </w:tcPr>
          <w:p w14:paraId="146B8FF7"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w:t>
            </w:r>
          </w:p>
        </w:tc>
        <w:tc>
          <w:tcPr>
            <w:tcW w:w="923" w:type="dxa"/>
          </w:tcPr>
          <w:p w14:paraId="7D7EBBD0"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3905</w:t>
            </w:r>
          </w:p>
        </w:tc>
        <w:tc>
          <w:tcPr>
            <w:tcW w:w="944" w:type="dxa"/>
          </w:tcPr>
          <w:p w14:paraId="01F8068A"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102,8</w:t>
            </w:r>
          </w:p>
        </w:tc>
      </w:tr>
      <w:tr w:rsidR="00F26F01" w:rsidRPr="00C33834" w14:paraId="778485A0" w14:textId="77777777">
        <w:trPr>
          <w:trHeight w:val="180"/>
        </w:trPr>
        <w:tc>
          <w:tcPr>
            <w:tcW w:w="2023" w:type="dxa"/>
          </w:tcPr>
          <w:p w14:paraId="0B5F7629"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1096" w:type="dxa"/>
          </w:tcPr>
          <w:p w14:paraId="6844CB93"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962</w:t>
            </w:r>
          </w:p>
        </w:tc>
        <w:tc>
          <w:tcPr>
            <w:tcW w:w="1134" w:type="dxa"/>
          </w:tcPr>
          <w:p w14:paraId="3242A796"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577</w:t>
            </w:r>
          </w:p>
        </w:tc>
        <w:tc>
          <w:tcPr>
            <w:tcW w:w="992" w:type="dxa"/>
          </w:tcPr>
          <w:p w14:paraId="4223EF86"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383</w:t>
            </w:r>
          </w:p>
        </w:tc>
        <w:tc>
          <w:tcPr>
            <w:tcW w:w="923" w:type="dxa"/>
          </w:tcPr>
          <w:p w14:paraId="77A8ACD6"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960</w:t>
            </w:r>
          </w:p>
        </w:tc>
        <w:tc>
          <w:tcPr>
            <w:tcW w:w="944" w:type="dxa"/>
          </w:tcPr>
          <w:p w14:paraId="1CFB80AF"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99,8</w:t>
            </w:r>
          </w:p>
        </w:tc>
      </w:tr>
      <w:tr w:rsidR="00F26F01" w:rsidRPr="00C33834" w14:paraId="5DD63723" w14:textId="77777777">
        <w:trPr>
          <w:trHeight w:val="180"/>
        </w:trPr>
        <w:tc>
          <w:tcPr>
            <w:tcW w:w="2023" w:type="dxa"/>
          </w:tcPr>
          <w:p w14:paraId="320732FA"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096" w:type="dxa"/>
          </w:tcPr>
          <w:p w14:paraId="593B715E"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520</w:t>
            </w:r>
          </w:p>
        </w:tc>
        <w:tc>
          <w:tcPr>
            <w:tcW w:w="1134" w:type="dxa"/>
          </w:tcPr>
          <w:p w14:paraId="5879071A"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320</w:t>
            </w:r>
          </w:p>
        </w:tc>
        <w:tc>
          <w:tcPr>
            <w:tcW w:w="992" w:type="dxa"/>
          </w:tcPr>
          <w:p w14:paraId="36125620"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w:t>
            </w:r>
          </w:p>
        </w:tc>
        <w:tc>
          <w:tcPr>
            <w:tcW w:w="923" w:type="dxa"/>
          </w:tcPr>
          <w:p w14:paraId="787ECFC1"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944" w:type="dxa"/>
          </w:tcPr>
          <w:p w14:paraId="33F51FEB"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96,2</w:t>
            </w:r>
          </w:p>
        </w:tc>
      </w:tr>
      <w:tr w:rsidR="00F26F01" w:rsidRPr="00C33834" w14:paraId="37ACD13E" w14:textId="77777777">
        <w:trPr>
          <w:trHeight w:val="180"/>
        </w:trPr>
        <w:tc>
          <w:tcPr>
            <w:tcW w:w="2023" w:type="dxa"/>
            <w:tcBorders>
              <w:bottom w:val="single" w:sz="12" w:space="0" w:color="auto"/>
            </w:tcBorders>
          </w:tcPr>
          <w:p w14:paraId="7E0E1F77"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w:t>
            </w:r>
          </w:p>
        </w:tc>
        <w:tc>
          <w:tcPr>
            <w:tcW w:w="1096" w:type="dxa"/>
            <w:tcBorders>
              <w:bottom w:val="single" w:sz="12" w:space="0" w:color="auto"/>
            </w:tcBorders>
          </w:tcPr>
          <w:p w14:paraId="7EDA0BB1"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2155</w:t>
            </w:r>
          </w:p>
        </w:tc>
        <w:tc>
          <w:tcPr>
            <w:tcW w:w="1134" w:type="dxa"/>
            <w:tcBorders>
              <w:bottom w:val="single" w:sz="12" w:space="0" w:color="auto"/>
            </w:tcBorders>
          </w:tcPr>
          <w:p w14:paraId="0DFF820F"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1700</w:t>
            </w:r>
          </w:p>
        </w:tc>
        <w:tc>
          <w:tcPr>
            <w:tcW w:w="992" w:type="dxa"/>
            <w:tcBorders>
              <w:bottom w:val="single" w:sz="12" w:space="0" w:color="auto"/>
            </w:tcBorders>
          </w:tcPr>
          <w:p w14:paraId="1E2D3D90"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w:t>
            </w:r>
          </w:p>
        </w:tc>
        <w:tc>
          <w:tcPr>
            <w:tcW w:w="923" w:type="dxa"/>
            <w:tcBorders>
              <w:bottom w:val="single" w:sz="12" w:space="0" w:color="auto"/>
            </w:tcBorders>
          </w:tcPr>
          <w:p w14:paraId="489F750F"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2500</w:t>
            </w:r>
          </w:p>
        </w:tc>
        <w:tc>
          <w:tcPr>
            <w:tcW w:w="944" w:type="dxa"/>
            <w:tcBorders>
              <w:bottom w:val="single" w:sz="12" w:space="0" w:color="auto"/>
            </w:tcBorders>
          </w:tcPr>
          <w:p w14:paraId="285A9FAF"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116</w:t>
            </w:r>
          </w:p>
        </w:tc>
      </w:tr>
    </w:tbl>
    <w:p w14:paraId="7BE41B1A"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Изменение годовой программы - снятие с производства з-да № 31 самолета МБР-4 М-34 и перенесение самолета ТБ4 с з-да и 22 на з-д № 18, а также восстановления производства с-та Р-6 на з-де № 22 про</w:t>
      </w:r>
      <w:r w:rsidRPr="00C33834">
        <w:rPr>
          <w:rFonts w:ascii="Times New Roman" w:hAnsi="Times New Roman"/>
          <w:color w:val="000000" w:themeColor="text1"/>
          <w:sz w:val="16"/>
          <w:szCs w:val="16"/>
        </w:rPr>
        <w:softHyphen/>
        <w:t>изведено по решению Правительства от 13 августа с.г.</w:t>
      </w:r>
    </w:p>
    <w:p w14:paraId="78F09DA4"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бесперебойного выполнения программы 1У кв. и всего года, а также для обеспечения задела на 1934 год необходимо:</w:t>
      </w:r>
    </w:p>
    <w:p w14:paraId="41DC9DAE"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 Обеспечено, фонда цветных металлов Глававиапрому:</w:t>
      </w:r>
    </w:p>
    <w:p w14:paraId="4799F4DA"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аллюминия чушкового</w:t>
      </w:r>
      <w:r w:rsidRPr="00C33834">
        <w:rPr>
          <w:rFonts w:ascii="Times New Roman" w:hAnsi="Times New Roman"/>
          <w:color w:val="000000" w:themeColor="text1"/>
          <w:sz w:val="16"/>
          <w:szCs w:val="16"/>
        </w:rPr>
        <w:tab/>
        <w:t>1270 т.</w:t>
      </w:r>
    </w:p>
    <w:p w14:paraId="78532476"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олова</w:t>
      </w:r>
      <w:r w:rsidRPr="00C33834">
        <w:rPr>
          <w:rFonts w:ascii="Times New Roman" w:hAnsi="Times New Roman"/>
          <w:color w:val="000000" w:themeColor="text1"/>
          <w:sz w:val="16"/>
          <w:szCs w:val="16"/>
        </w:rPr>
        <w:tab/>
        <w:t>76</w:t>
      </w:r>
    </w:p>
    <w:p w14:paraId="28AAB7D5"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латуни сортовой</w:t>
      </w:r>
      <w:r w:rsidRPr="00C33834">
        <w:rPr>
          <w:rFonts w:ascii="Times New Roman" w:hAnsi="Times New Roman"/>
          <w:color w:val="000000" w:themeColor="text1"/>
          <w:sz w:val="16"/>
          <w:szCs w:val="16"/>
        </w:rPr>
        <w:tab/>
        <w:t>184</w:t>
      </w:r>
    </w:p>
    <w:p w14:paraId="385B2EAF"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латуни листовой</w:t>
      </w:r>
      <w:r w:rsidRPr="00C33834">
        <w:rPr>
          <w:rFonts w:ascii="Times New Roman" w:hAnsi="Times New Roman"/>
          <w:color w:val="000000" w:themeColor="text1"/>
          <w:sz w:val="16"/>
          <w:szCs w:val="16"/>
        </w:rPr>
        <w:tab/>
        <w:t>66</w:t>
      </w:r>
    </w:p>
    <w:p w14:paraId="1D1AD448"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меди электролитич.</w:t>
      </w:r>
      <w:r w:rsidRPr="00C33834">
        <w:rPr>
          <w:rFonts w:ascii="Times New Roman" w:hAnsi="Times New Roman"/>
          <w:color w:val="000000" w:themeColor="text1"/>
          <w:sz w:val="16"/>
          <w:szCs w:val="16"/>
        </w:rPr>
        <w:tab/>
        <w:t>344</w:t>
      </w:r>
    </w:p>
    <w:p w14:paraId="294E866E"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меди листовой</w:t>
      </w:r>
      <w:r w:rsidRPr="00C33834">
        <w:rPr>
          <w:rFonts w:ascii="Times New Roman" w:hAnsi="Times New Roman"/>
          <w:color w:val="000000" w:themeColor="text1"/>
          <w:sz w:val="16"/>
          <w:szCs w:val="16"/>
        </w:rPr>
        <w:tab/>
        <w:t>26</w:t>
      </w:r>
    </w:p>
    <w:p w14:paraId="4487ED3F"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свинца чушкового</w:t>
      </w:r>
      <w:r w:rsidRPr="00C33834">
        <w:rPr>
          <w:rFonts w:ascii="Times New Roman" w:hAnsi="Times New Roman"/>
          <w:color w:val="000000" w:themeColor="text1"/>
          <w:sz w:val="16"/>
          <w:szCs w:val="16"/>
        </w:rPr>
        <w:tab/>
        <w:t>50</w:t>
      </w:r>
    </w:p>
    <w:p w14:paraId="2DA56813"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свинца листового</w:t>
      </w:r>
      <w:r w:rsidRPr="00C33834">
        <w:rPr>
          <w:rFonts w:ascii="Times New Roman" w:hAnsi="Times New Roman"/>
          <w:color w:val="000000" w:themeColor="text1"/>
          <w:sz w:val="16"/>
          <w:szCs w:val="16"/>
        </w:rPr>
        <w:tab/>
        <w:t>10.5</w:t>
      </w:r>
    </w:p>
    <w:p w14:paraId="3D9660BE"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магния</w:t>
      </w:r>
      <w:r w:rsidRPr="00C33834">
        <w:rPr>
          <w:rFonts w:ascii="Times New Roman" w:hAnsi="Times New Roman"/>
          <w:color w:val="000000" w:themeColor="text1"/>
          <w:sz w:val="16"/>
          <w:szCs w:val="16"/>
        </w:rPr>
        <w:tab/>
        <w:t>40</w:t>
      </w:r>
    </w:p>
    <w:p w14:paraId="4D0A2992"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что в пределах имеющихся на 1У кв. ресурсов полностью обеспечить невозможно, не затрагивая автотракторной промышленности, кабельного производства и остальной военной промышленности.</w:t>
      </w:r>
    </w:p>
    <w:p w14:paraId="19E9A9FF"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Выделять Главцветмотобработке дополнительно 400 тн. аллюминия, специально для увеличения программы по дюраллюминию на з-дах им. Ворошилова и № 45.</w:t>
      </w:r>
    </w:p>
    <w:p w14:paraId="342B5AF4"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Обеспечить в 1У кв. подачу авиац. магнето в количестве 7838 шт.</w:t>
      </w:r>
    </w:p>
    <w:p w14:paraId="7E4D08C5"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3. Немедленно приступить к реализация импортного контингента на инструмент в суше 56.000 р. (разрешенного к импорту Комиссией тов. Кагановича) я на алмазы в сумме 30.000 руб.</w:t>
      </w:r>
    </w:p>
    <w:p w14:paraId="6C566E5E"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Обязать подать:</w:t>
      </w:r>
    </w:p>
    <w:p w14:paraId="4AD4EF47"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С завода "Красный Октябрь" 241 тн. холодно-волоченой ка</w:t>
      </w:r>
      <w:r w:rsidRPr="00C33834">
        <w:rPr>
          <w:rFonts w:ascii="Times New Roman" w:hAnsi="Times New Roman"/>
          <w:color w:val="000000" w:themeColor="text1"/>
          <w:sz w:val="16"/>
          <w:szCs w:val="16"/>
        </w:rPr>
        <w:softHyphen/>
        <w:t>либрованной стали до 1.Х1-33 г.</w:t>
      </w:r>
    </w:p>
    <w:p w14:paraId="65EC5C9E"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с Мариупольского завода до 15.Х - с.г. - 14 тн. ободьевой стали.</w:t>
      </w:r>
    </w:p>
    <w:p w14:paraId="37AA13D5"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 Белорецкого завода, ИОЗ"а и завода “Красный Гвоздильщик" до 15 октября с.г. проволоку по заказан ГУАП"а, особенно обратив внимание на марку Р разм., 5 и 6, марку ХВа всех размеров и на качество проволоки.</w:t>
      </w:r>
    </w:p>
    <w:p w14:paraId="12C7A494"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С завода им. Ленина, до 10/Х - с.г. углеродистых труб 216 тыс. метр. хромомолибденовых труб - 22.3 т. метр., осевых труб 5,5 тыс. мет., а также обеспечить выполнение нарядов ГУАПа на 1У кварт.</w:t>
      </w:r>
    </w:p>
    <w:p w14:paraId="10017F36"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Обязать Союзнефтеторг и Н.К.П.С. обеспечить в первую оче</w:t>
      </w:r>
      <w:r w:rsidRPr="00C33834">
        <w:rPr>
          <w:rFonts w:ascii="Times New Roman" w:hAnsi="Times New Roman"/>
          <w:color w:val="000000" w:themeColor="text1"/>
          <w:sz w:val="16"/>
          <w:szCs w:val="16"/>
        </w:rPr>
        <w:softHyphen/>
        <w:t>редь равномерную и регулярную подачу Бакинского экспортного бензина авиазаводам по установленным фондак.</w:t>
      </w:r>
    </w:p>
    <w:p w14:paraId="2479EBFF"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Поручить Госплану СССР обязать лосозаготовительные организации поставить ГУАП"у в 1934 году авиалес в количестве: сосны 53750 кубометров, твордолиственных пород - 27900 кб. м. и авиафанеры 6000 кб. метр., форсировать проведение отборки и клеймения авиадревесины на корню в размере, обеспечиващем подачу указанного количества.</w:t>
      </w:r>
    </w:p>
    <w:p w14:paraId="745F6402"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 Предложить НКПС приравнять по очередности к военным пере</w:t>
      </w:r>
      <w:r w:rsidRPr="00C33834">
        <w:rPr>
          <w:rFonts w:ascii="Times New Roman" w:hAnsi="Times New Roman"/>
          <w:color w:val="000000" w:themeColor="text1"/>
          <w:sz w:val="16"/>
          <w:szCs w:val="16"/>
        </w:rPr>
        <w:softHyphen/>
        <w:t>возкам - перевозку грузов авиазаводов.</w:t>
      </w:r>
    </w:p>
    <w:p w14:paraId="0A8CA0C8"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 В связи с изменением производственной программы завода № 31 и перенесением производства машин ТБ4 на э-д № 18 с з-да № 22; Р-6 с зав. № 31 на зав. № 22 (по решению Правительства от 13/УШ-с.г.) и образованием излишков незавершенного производства на 1/1Х-С.Г. обязать НКФ целиком покрыть утвержденное Правительством ГУАП"у го</w:t>
      </w:r>
      <w:r w:rsidRPr="00C33834">
        <w:rPr>
          <w:rFonts w:ascii="Times New Roman" w:hAnsi="Times New Roman"/>
          <w:color w:val="000000" w:themeColor="text1"/>
          <w:sz w:val="16"/>
          <w:szCs w:val="16"/>
        </w:rPr>
        <w:softHyphen/>
        <w:t>довое финансирование в размере 51 мил. руб. и полностью выдать пола</w:t>
      </w:r>
      <w:r w:rsidRPr="00C33834">
        <w:rPr>
          <w:rFonts w:ascii="Times New Roman" w:hAnsi="Times New Roman"/>
          <w:color w:val="000000" w:themeColor="text1"/>
          <w:sz w:val="16"/>
          <w:szCs w:val="16"/>
        </w:rPr>
        <w:softHyphen/>
        <w:t>гающееся финансирование в 1У кв. в размере 16.500.000 руб.</w:t>
      </w:r>
    </w:p>
    <w:p w14:paraId="5000DC77"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ГЛАВНОГО УПРАВЛЕНИЯ АВИАПРОМЫШЛЕННОСТИ /Королев/ (4149,25).</w:t>
      </w:r>
    </w:p>
    <w:p w14:paraId="4C16A9D4"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ПОКАЗАТЕЛИ РАБОТЫ АВИАПРОМЫШЛЕННОСТИ ЗА 8 МЕСЯЦЕВ 1933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1039"/>
        <w:gridCol w:w="1039"/>
        <w:gridCol w:w="1039"/>
        <w:gridCol w:w="1039"/>
        <w:gridCol w:w="1039"/>
        <w:gridCol w:w="1039"/>
        <w:gridCol w:w="1039"/>
      </w:tblGrid>
      <w:tr w:rsidR="00F26F01" w:rsidRPr="00C33834" w14:paraId="52A5161F" w14:textId="77777777">
        <w:tc>
          <w:tcPr>
            <w:tcW w:w="3936" w:type="dxa"/>
            <w:tcBorders>
              <w:top w:val="single" w:sz="12" w:space="0" w:color="auto"/>
            </w:tcBorders>
          </w:tcPr>
          <w:p w14:paraId="1C7E19B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Показатели</w:t>
            </w:r>
          </w:p>
        </w:tc>
        <w:tc>
          <w:tcPr>
            <w:tcW w:w="1039" w:type="dxa"/>
            <w:tcBorders>
              <w:top w:val="single" w:sz="12" w:space="0" w:color="auto"/>
            </w:tcBorders>
          </w:tcPr>
          <w:p w14:paraId="2CAE147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годовой</w:t>
            </w:r>
          </w:p>
        </w:tc>
        <w:tc>
          <w:tcPr>
            <w:tcW w:w="1039" w:type="dxa"/>
            <w:tcBorders>
              <w:top w:val="single" w:sz="12" w:space="0" w:color="auto"/>
            </w:tcBorders>
          </w:tcPr>
          <w:p w14:paraId="2D540AE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Плен 8 месяцев</w:t>
            </w:r>
          </w:p>
        </w:tc>
        <w:tc>
          <w:tcPr>
            <w:tcW w:w="1039" w:type="dxa"/>
            <w:tcBorders>
              <w:top w:val="single" w:sz="12" w:space="0" w:color="auto"/>
            </w:tcBorders>
          </w:tcPr>
          <w:p w14:paraId="0C32E21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8 месяцев</w:t>
            </w:r>
          </w:p>
        </w:tc>
        <w:tc>
          <w:tcPr>
            <w:tcW w:w="1039" w:type="dxa"/>
            <w:tcBorders>
              <w:top w:val="single" w:sz="12" w:space="0" w:color="auto"/>
            </w:tcBorders>
          </w:tcPr>
          <w:p w14:paraId="1718393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к годовому</w:t>
            </w:r>
          </w:p>
        </w:tc>
        <w:tc>
          <w:tcPr>
            <w:tcW w:w="1039" w:type="dxa"/>
            <w:tcBorders>
              <w:top w:val="single" w:sz="12" w:space="0" w:color="auto"/>
            </w:tcBorders>
          </w:tcPr>
          <w:p w14:paraId="1758AB6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к 8 месяцам</w:t>
            </w:r>
          </w:p>
        </w:tc>
        <w:tc>
          <w:tcPr>
            <w:tcW w:w="1039" w:type="dxa"/>
            <w:tcBorders>
              <w:top w:val="single" w:sz="12" w:space="0" w:color="auto"/>
            </w:tcBorders>
          </w:tcPr>
          <w:p w14:paraId="3FB585B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8 месяцам 1932</w:t>
            </w:r>
          </w:p>
        </w:tc>
        <w:tc>
          <w:tcPr>
            <w:tcW w:w="1039" w:type="dxa"/>
            <w:tcBorders>
              <w:top w:val="single" w:sz="12" w:space="0" w:color="auto"/>
            </w:tcBorders>
          </w:tcPr>
          <w:p w14:paraId="31D850E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за 8 месяцев 1932</w:t>
            </w:r>
          </w:p>
        </w:tc>
      </w:tr>
      <w:tr w:rsidR="00F26F01" w:rsidRPr="00C33834" w14:paraId="3BD83D0D" w14:textId="77777777">
        <w:tc>
          <w:tcPr>
            <w:tcW w:w="3936" w:type="dxa"/>
          </w:tcPr>
          <w:p w14:paraId="224E796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Стоимость валовой продукции в соп. Ценах 1932 г.</w:t>
            </w:r>
          </w:p>
        </w:tc>
        <w:tc>
          <w:tcPr>
            <w:tcW w:w="1039" w:type="dxa"/>
          </w:tcPr>
          <w:p w14:paraId="3795467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498100</w:t>
            </w:r>
          </w:p>
        </w:tc>
        <w:tc>
          <w:tcPr>
            <w:tcW w:w="1039" w:type="dxa"/>
          </w:tcPr>
          <w:p w14:paraId="74BCB3A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304200</w:t>
            </w:r>
          </w:p>
        </w:tc>
        <w:tc>
          <w:tcPr>
            <w:tcW w:w="1039" w:type="dxa"/>
          </w:tcPr>
          <w:p w14:paraId="0644A32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296602</w:t>
            </w:r>
          </w:p>
        </w:tc>
        <w:tc>
          <w:tcPr>
            <w:tcW w:w="1039" w:type="dxa"/>
          </w:tcPr>
          <w:p w14:paraId="1234ADE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59,5</w:t>
            </w:r>
          </w:p>
        </w:tc>
        <w:tc>
          <w:tcPr>
            <w:tcW w:w="1039" w:type="dxa"/>
          </w:tcPr>
          <w:p w14:paraId="0A00EF8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97,5</w:t>
            </w:r>
          </w:p>
        </w:tc>
        <w:tc>
          <w:tcPr>
            <w:tcW w:w="1039" w:type="dxa"/>
          </w:tcPr>
          <w:p w14:paraId="60F2021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148,1</w:t>
            </w:r>
          </w:p>
        </w:tc>
        <w:tc>
          <w:tcPr>
            <w:tcW w:w="1039" w:type="dxa"/>
          </w:tcPr>
          <w:p w14:paraId="3F47AD8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200247</w:t>
            </w:r>
          </w:p>
        </w:tc>
      </w:tr>
      <w:tr w:rsidR="00F26F01" w:rsidRPr="00C33834" w14:paraId="114E6A37" w14:textId="77777777">
        <w:tc>
          <w:tcPr>
            <w:tcW w:w="3936" w:type="dxa"/>
          </w:tcPr>
          <w:p w14:paraId="71AAF9F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 списочн. числ. рабочих</w:t>
            </w:r>
          </w:p>
        </w:tc>
        <w:tc>
          <w:tcPr>
            <w:tcW w:w="1039" w:type="dxa"/>
          </w:tcPr>
          <w:p w14:paraId="4744FF5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77500</w:t>
            </w:r>
          </w:p>
        </w:tc>
        <w:tc>
          <w:tcPr>
            <w:tcW w:w="1039" w:type="dxa"/>
          </w:tcPr>
          <w:p w14:paraId="3D05129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74542</w:t>
            </w:r>
          </w:p>
        </w:tc>
        <w:tc>
          <w:tcPr>
            <w:tcW w:w="1039" w:type="dxa"/>
          </w:tcPr>
          <w:p w14:paraId="06A5E340"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62742</w:t>
            </w:r>
          </w:p>
        </w:tc>
        <w:tc>
          <w:tcPr>
            <w:tcW w:w="1039" w:type="dxa"/>
          </w:tcPr>
          <w:p w14:paraId="250BC5EC"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80,9</w:t>
            </w:r>
          </w:p>
        </w:tc>
        <w:tc>
          <w:tcPr>
            <w:tcW w:w="1039" w:type="dxa"/>
          </w:tcPr>
          <w:p w14:paraId="4FB4C700"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84,2</w:t>
            </w:r>
          </w:p>
        </w:tc>
        <w:tc>
          <w:tcPr>
            <w:tcW w:w="1039" w:type="dxa"/>
          </w:tcPr>
          <w:p w14:paraId="654323CA"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112,7</w:t>
            </w:r>
          </w:p>
        </w:tc>
        <w:tc>
          <w:tcPr>
            <w:tcW w:w="1039" w:type="dxa"/>
          </w:tcPr>
          <w:p w14:paraId="5BC0DF9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55664</w:t>
            </w:r>
          </w:p>
        </w:tc>
      </w:tr>
      <w:tr w:rsidR="00F26F01" w:rsidRPr="00C33834" w14:paraId="1EFDB8FC" w14:textId="77777777">
        <w:tc>
          <w:tcPr>
            <w:tcW w:w="3936" w:type="dxa"/>
          </w:tcPr>
          <w:p w14:paraId="084D88F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 месячн. выработка раб.</w:t>
            </w:r>
          </w:p>
        </w:tc>
        <w:tc>
          <w:tcPr>
            <w:tcW w:w="1039" w:type="dxa"/>
          </w:tcPr>
          <w:p w14:paraId="218C1C1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535,5</w:t>
            </w:r>
          </w:p>
        </w:tc>
        <w:tc>
          <w:tcPr>
            <w:tcW w:w="1039" w:type="dxa"/>
          </w:tcPr>
          <w:p w14:paraId="171D4B5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510,1</w:t>
            </w:r>
          </w:p>
        </w:tc>
        <w:tc>
          <w:tcPr>
            <w:tcW w:w="1039" w:type="dxa"/>
          </w:tcPr>
          <w:p w14:paraId="59E0CF14"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590,9</w:t>
            </w:r>
          </w:p>
        </w:tc>
        <w:tc>
          <w:tcPr>
            <w:tcW w:w="1039" w:type="dxa"/>
          </w:tcPr>
          <w:p w14:paraId="2075171F"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110,3</w:t>
            </w:r>
          </w:p>
        </w:tc>
        <w:tc>
          <w:tcPr>
            <w:tcW w:w="1039" w:type="dxa"/>
          </w:tcPr>
          <w:p w14:paraId="4704C678"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115,8</w:t>
            </w:r>
          </w:p>
        </w:tc>
        <w:tc>
          <w:tcPr>
            <w:tcW w:w="1039" w:type="dxa"/>
          </w:tcPr>
          <w:p w14:paraId="1D3ECB01"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131,4</w:t>
            </w:r>
          </w:p>
        </w:tc>
        <w:tc>
          <w:tcPr>
            <w:tcW w:w="1039" w:type="dxa"/>
          </w:tcPr>
          <w:p w14:paraId="0CFE9DF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449,7</w:t>
            </w:r>
          </w:p>
        </w:tc>
      </w:tr>
      <w:tr w:rsidR="00F26F01" w:rsidRPr="00C33834" w14:paraId="7ED5F757" w14:textId="77777777">
        <w:tc>
          <w:tcPr>
            <w:tcW w:w="3936" w:type="dxa"/>
          </w:tcPr>
          <w:p w14:paraId="06AE694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 месячн. зарплата раб.</w:t>
            </w:r>
          </w:p>
        </w:tc>
        <w:tc>
          <w:tcPr>
            <w:tcW w:w="1039" w:type="dxa"/>
          </w:tcPr>
          <w:p w14:paraId="6C087D9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168,3</w:t>
            </w:r>
          </w:p>
        </w:tc>
        <w:tc>
          <w:tcPr>
            <w:tcW w:w="1039" w:type="dxa"/>
          </w:tcPr>
          <w:p w14:paraId="1CC6CC5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165</w:t>
            </w:r>
          </w:p>
        </w:tc>
        <w:tc>
          <w:tcPr>
            <w:tcW w:w="1039" w:type="dxa"/>
          </w:tcPr>
          <w:p w14:paraId="11991DC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160,3</w:t>
            </w:r>
          </w:p>
        </w:tc>
        <w:tc>
          <w:tcPr>
            <w:tcW w:w="1039" w:type="dxa"/>
          </w:tcPr>
          <w:p w14:paraId="3A178F9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95,2</w:t>
            </w:r>
          </w:p>
        </w:tc>
        <w:tc>
          <w:tcPr>
            <w:tcW w:w="1039" w:type="dxa"/>
          </w:tcPr>
          <w:p w14:paraId="34ED68B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97,1</w:t>
            </w:r>
          </w:p>
        </w:tc>
        <w:tc>
          <w:tcPr>
            <w:tcW w:w="1039" w:type="dxa"/>
          </w:tcPr>
          <w:p w14:paraId="12D6A61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110,8</w:t>
            </w:r>
          </w:p>
        </w:tc>
        <w:tc>
          <w:tcPr>
            <w:tcW w:w="1039" w:type="dxa"/>
          </w:tcPr>
          <w:p w14:paraId="4FAEC55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144,6</w:t>
            </w:r>
          </w:p>
        </w:tc>
      </w:tr>
      <w:tr w:rsidR="00F26F01" w:rsidRPr="00C33834" w14:paraId="0CFAAFF7" w14:textId="77777777">
        <w:tc>
          <w:tcPr>
            <w:tcW w:w="3936" w:type="dxa"/>
            <w:tcBorders>
              <w:bottom w:val="single" w:sz="12" w:space="0" w:color="auto"/>
            </w:tcBorders>
          </w:tcPr>
          <w:p w14:paraId="717EC92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Фонды заорплаты всех работающих на заводах</w:t>
            </w:r>
          </w:p>
        </w:tc>
        <w:tc>
          <w:tcPr>
            <w:tcW w:w="1039" w:type="dxa"/>
            <w:tcBorders>
              <w:bottom w:val="single" w:sz="12" w:space="0" w:color="auto"/>
            </w:tcBorders>
          </w:tcPr>
          <w:p w14:paraId="27F7C37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229761</w:t>
            </w:r>
          </w:p>
        </w:tc>
        <w:tc>
          <w:tcPr>
            <w:tcW w:w="1039" w:type="dxa"/>
            <w:tcBorders>
              <w:bottom w:val="single" w:sz="12" w:space="0" w:color="auto"/>
            </w:tcBorders>
          </w:tcPr>
          <w:p w14:paraId="6711C40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147862</w:t>
            </w:r>
          </w:p>
        </w:tc>
        <w:tc>
          <w:tcPr>
            <w:tcW w:w="1039" w:type="dxa"/>
            <w:tcBorders>
              <w:bottom w:val="single" w:sz="12" w:space="0" w:color="auto"/>
            </w:tcBorders>
          </w:tcPr>
          <w:p w14:paraId="2F99412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127927</w:t>
            </w:r>
          </w:p>
        </w:tc>
        <w:tc>
          <w:tcPr>
            <w:tcW w:w="1039" w:type="dxa"/>
            <w:tcBorders>
              <w:bottom w:val="single" w:sz="12" w:space="0" w:color="auto"/>
            </w:tcBorders>
          </w:tcPr>
          <w:p w14:paraId="2565CA3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55,7</w:t>
            </w:r>
          </w:p>
        </w:tc>
        <w:tc>
          <w:tcPr>
            <w:tcW w:w="1039" w:type="dxa"/>
            <w:tcBorders>
              <w:bottom w:val="single" w:sz="12" w:space="0" w:color="auto"/>
            </w:tcBorders>
          </w:tcPr>
          <w:p w14:paraId="4D0A7CC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86,5</w:t>
            </w:r>
          </w:p>
        </w:tc>
        <w:tc>
          <w:tcPr>
            <w:tcW w:w="1039" w:type="dxa"/>
            <w:tcBorders>
              <w:bottom w:val="single" w:sz="12" w:space="0" w:color="auto"/>
            </w:tcBorders>
          </w:tcPr>
          <w:p w14:paraId="266213B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125,7</w:t>
            </w:r>
          </w:p>
        </w:tc>
        <w:tc>
          <w:tcPr>
            <w:tcW w:w="1039" w:type="dxa"/>
            <w:tcBorders>
              <w:bottom w:val="single" w:sz="12" w:space="0" w:color="auto"/>
            </w:tcBorders>
          </w:tcPr>
          <w:p w14:paraId="1B9A63F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101783</w:t>
            </w:r>
          </w:p>
        </w:tc>
      </w:tr>
    </w:tbl>
    <w:p w14:paraId="083D3C0C"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(4149,25).</w:t>
      </w:r>
    </w:p>
    <w:p w14:paraId="30355D5F"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p>
    <w:p w14:paraId="0A4BC42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сентября 1933 в Иркутск прибыл С.А.Леваневский на Дорнье-Валь СССР Н-9, который отправился на помощь Маттерну из Севастополя и долетел до Хабаровска, а оттуда - до Анадыря на Чукотке и доставил Маттерна в Ном, а потом слетал на о. Врангеля (99,195).</w:t>
      </w:r>
    </w:p>
    <w:p w14:paraId="17B0E051"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779A363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сентября 1933 СССР-Н8 прибыл в Иркутск, где экипаж сдал его в авиаремонтные мастерские Аэрофлота. Налет за год составил 222 часа, пройденное расстояние - свыше 37000 км (11970).</w:t>
      </w:r>
    </w:p>
    <w:p w14:paraId="721F2EC0"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31517A4E" w14:textId="77777777" w:rsidR="0025433E" w:rsidRPr="00C33834" w:rsidRDefault="00071897"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bCs/>
          <w:color w:val="000000" w:themeColor="text1"/>
          <w:sz w:val="16"/>
          <w:szCs w:val="16"/>
          <w:lang w:eastAsia="ru-RU"/>
        </w:rPr>
        <w:t>24 сентября 1933 г.</w:t>
      </w:r>
      <w:r w:rsidR="0025433E" w:rsidRPr="00C33834">
        <w:rPr>
          <w:rFonts w:ascii="Times New Roman" w:eastAsia="Times New Roman" w:hAnsi="Times New Roman"/>
          <w:bCs/>
          <w:color w:val="000000" w:themeColor="text1"/>
          <w:sz w:val="16"/>
          <w:szCs w:val="16"/>
          <w:lang w:eastAsia="ru-RU"/>
        </w:rPr>
        <w:t xml:space="preserve">Каганович, Молотов — Сталину </w:t>
      </w:r>
    </w:p>
    <w:p w14:paraId="1DCDD43C" w14:textId="77777777" w:rsidR="0025433E" w:rsidRPr="00C33834" w:rsidRDefault="0025433E"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Шифровка.</w:t>
      </w:r>
    </w:p>
    <w:p w14:paraId="7C53C9BA" w14:textId="77777777" w:rsidR="0025433E" w:rsidRPr="00C33834" w:rsidRDefault="0025433E"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Из Москвы 24/IX — 33 г. в 15 час. 57 мин.</w:t>
      </w:r>
    </w:p>
    <w:p w14:paraId="356ECCCC" w14:textId="77777777" w:rsidR="0025433E" w:rsidRPr="00C33834" w:rsidRDefault="0025433E"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Вх. № 42.</w:t>
      </w:r>
    </w:p>
    <w:p w14:paraId="76B37B0F" w14:textId="77777777" w:rsidR="0025433E" w:rsidRPr="00C33834" w:rsidRDefault="0025433E"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Тов. Сталину. Бельмаус</w:t>
      </w:r>
      <w:r w:rsidRPr="00C33834">
        <w:rPr>
          <w:rFonts w:ascii="Times New Roman" w:eastAsia="Times New Roman" w:hAnsi="Times New Roman"/>
          <w:color w:val="000000" w:themeColor="text1"/>
          <w:sz w:val="16"/>
          <w:szCs w:val="16"/>
          <w:vertAlign w:val="superscript"/>
          <w:lang w:eastAsia="ru-RU"/>
        </w:rPr>
        <w:t>1</w:t>
      </w:r>
      <w:r w:rsidRPr="00C33834">
        <w:rPr>
          <w:rFonts w:ascii="Times New Roman" w:eastAsia="Times New Roman" w:hAnsi="Times New Roman"/>
          <w:color w:val="000000" w:themeColor="text1"/>
          <w:sz w:val="16"/>
          <w:szCs w:val="16"/>
          <w:lang w:eastAsia="ru-RU"/>
        </w:rPr>
        <w:t xml:space="preserve"> — латвийский посланник в неофициальном порядке, через тов. Лоренса (бывш. полпреда в Латвии) зондировал наше отношение к возможному предложению латвийского правительства разрешить прилет латвийской эскадрильи в Москву.</w:t>
      </w:r>
    </w:p>
    <w:p w14:paraId="5E84DD31" w14:textId="77777777" w:rsidR="0025433E" w:rsidRPr="00C33834" w:rsidRDefault="0025433E"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Наркоминдельцы считают целесообразным ответить латвийскому посланнику тем же неофициальным порядком, что если со стороны Латвии поступит официальное предложение — оно будет принято благоприятно.</w:t>
      </w:r>
    </w:p>
    <w:p w14:paraId="2A268CA0" w14:textId="77777777" w:rsidR="0025433E" w:rsidRPr="00C33834" w:rsidRDefault="0025433E"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Литвинов считает возможным на прилет латвийской эскадрильи ответить соответствующим нашим полетом в Латвию и что такой обмен «воздушными визитами» не только содействовал бы установлению связи с латвийской армией, но оказал бы также благоприятное влияние и на наши политические отношения с Латвией.</w:t>
      </w:r>
    </w:p>
    <w:p w14:paraId="23ED9837" w14:textId="77777777" w:rsidR="0025433E" w:rsidRPr="00C33834" w:rsidRDefault="0025433E"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Мы считаем предложение Литвинова приемлемым. Просим сообщить ваше мнение</w:t>
      </w:r>
      <w:r w:rsidRPr="00C33834">
        <w:rPr>
          <w:rFonts w:ascii="Times New Roman" w:eastAsia="Times New Roman" w:hAnsi="Times New Roman"/>
          <w:color w:val="000000" w:themeColor="text1"/>
          <w:sz w:val="16"/>
          <w:szCs w:val="16"/>
          <w:vertAlign w:val="superscript"/>
          <w:lang w:eastAsia="ru-RU"/>
        </w:rPr>
        <w:t>2</w:t>
      </w:r>
      <w:r w:rsidRPr="00C33834">
        <w:rPr>
          <w:rFonts w:ascii="Times New Roman" w:eastAsia="Times New Roman" w:hAnsi="Times New Roman"/>
          <w:color w:val="000000" w:themeColor="text1"/>
          <w:sz w:val="16"/>
          <w:szCs w:val="16"/>
          <w:lang w:eastAsia="ru-RU"/>
        </w:rPr>
        <w:t>. HP 44.</w:t>
      </w:r>
    </w:p>
    <w:p w14:paraId="6CF53165" w14:textId="77777777" w:rsidR="0025433E" w:rsidRPr="00C33834" w:rsidRDefault="0025433E"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Каганович, Молотов.</w:t>
      </w:r>
    </w:p>
    <w:p w14:paraId="1574F178" w14:textId="77777777" w:rsidR="0025433E" w:rsidRPr="00C33834" w:rsidRDefault="0025433E"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Ф. 558. On. 11. Д. 81. Л. 53. Подлинник. Машинопись.</w:t>
      </w:r>
    </w:p>
    <w:p w14:paraId="42605326" w14:textId="77777777" w:rsidR="0025433E" w:rsidRPr="00C33834" w:rsidRDefault="0025433E"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vertAlign w:val="superscript"/>
          <w:lang w:eastAsia="ru-RU"/>
        </w:rPr>
        <w:t>1</w:t>
      </w:r>
      <w:r w:rsidRPr="00C33834">
        <w:rPr>
          <w:rFonts w:ascii="Times New Roman" w:eastAsia="Times New Roman" w:hAnsi="Times New Roman"/>
          <w:color w:val="000000" w:themeColor="text1"/>
          <w:sz w:val="16"/>
          <w:szCs w:val="16"/>
          <w:lang w:eastAsia="ru-RU"/>
        </w:rPr>
        <w:t xml:space="preserve"> Правильно — Бильманис.</w:t>
      </w:r>
    </w:p>
    <w:p w14:paraId="0462A862" w14:textId="77777777" w:rsidR="0025433E" w:rsidRPr="00C33834" w:rsidRDefault="0025433E"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vertAlign w:val="superscript"/>
          <w:lang w:eastAsia="ru-RU"/>
        </w:rPr>
        <w:t>2</w:t>
      </w:r>
      <w:r w:rsidRPr="00C33834">
        <w:rPr>
          <w:rFonts w:ascii="Times New Roman" w:eastAsia="Times New Roman" w:hAnsi="Times New Roman"/>
          <w:color w:val="000000" w:themeColor="text1"/>
          <w:sz w:val="16"/>
          <w:szCs w:val="16"/>
          <w:lang w:eastAsia="ru-RU"/>
        </w:rPr>
        <w:t xml:space="preserve"> 25 сентября шифром из Гагры в 1 час. 55 мин. Сталин ответил согласием (Там же. Л. 52). 26 сентября 1933 г. ПБ утвердило предложение Литвинова (РГАСПИ. Ф. 17. Оп. 162. Д. 15. Л. 84) (17281).</w:t>
      </w:r>
    </w:p>
    <w:p w14:paraId="57E26754" w14:textId="77777777" w:rsidR="0025433E" w:rsidRPr="00C33834" w:rsidRDefault="0025433E" w:rsidP="00C33834">
      <w:pPr>
        <w:spacing w:after="0" w:line="240" w:lineRule="auto"/>
        <w:jc w:val="both"/>
        <w:rPr>
          <w:rFonts w:ascii="Times New Roman" w:hAnsi="Times New Roman"/>
          <w:color w:val="000000" w:themeColor="text1"/>
          <w:sz w:val="16"/>
          <w:szCs w:val="16"/>
        </w:rPr>
      </w:pPr>
    </w:p>
    <w:p w14:paraId="23A2F668" w14:textId="77777777" w:rsidR="003F239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DD3B50B" w14:textId="77777777" w:rsidR="003F2394" w:rsidRPr="00C33834" w:rsidRDefault="003F2394" w:rsidP="00C33834">
      <w:pPr>
        <w:spacing w:after="0" w:line="240" w:lineRule="auto"/>
        <w:jc w:val="both"/>
        <w:rPr>
          <w:rFonts w:ascii="Times New Roman" w:hAnsi="Times New Roman"/>
          <w:iCs/>
          <w:color w:val="000000" w:themeColor="text1"/>
          <w:sz w:val="16"/>
          <w:szCs w:val="16"/>
        </w:rPr>
      </w:pPr>
    </w:p>
    <w:p w14:paraId="7DD548D9" w14:textId="77777777" w:rsidR="00071897" w:rsidRPr="00C33834" w:rsidRDefault="00071897" w:rsidP="00C33834">
      <w:pPr>
        <w:pStyle w:val="rtejustify"/>
        <w:spacing w:before="0" w:after="0"/>
        <w:rPr>
          <w:color w:val="000000" w:themeColor="text1"/>
          <w:sz w:val="16"/>
          <w:szCs w:val="16"/>
        </w:rPr>
      </w:pPr>
      <w:r w:rsidRPr="00C33834">
        <w:rPr>
          <w:bCs/>
          <w:color w:val="000000" w:themeColor="text1"/>
          <w:sz w:val="16"/>
          <w:szCs w:val="16"/>
        </w:rPr>
        <w:t>24 сентября [1933 г.] Каганович — Сталину</w:t>
      </w:r>
    </w:p>
    <w:p w14:paraId="7A58B593"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24/IX</w:t>
      </w:r>
    </w:p>
    <w:p w14:paraId="383AB546" w14:textId="77777777" w:rsidR="003F2394" w:rsidRPr="00C33834" w:rsidRDefault="003F2394" w:rsidP="00C33834">
      <w:pPr>
        <w:pStyle w:val="rtecenter"/>
        <w:spacing w:before="0" w:after="0"/>
        <w:jc w:val="both"/>
        <w:rPr>
          <w:color w:val="000000" w:themeColor="text1"/>
          <w:sz w:val="16"/>
          <w:szCs w:val="16"/>
        </w:rPr>
      </w:pPr>
      <w:r w:rsidRPr="00C33834">
        <w:rPr>
          <w:color w:val="000000" w:themeColor="text1"/>
          <w:sz w:val="16"/>
          <w:szCs w:val="16"/>
        </w:rPr>
        <w:t>Здравствуйте, Дорогой т. Сталин!</w:t>
      </w:r>
    </w:p>
    <w:p w14:paraId="3F49156C"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1) В связи с вашим указанием о проверке выполнения военных заказов мы собрали Комиссию обороны и заслушали сообщения по всем отраслям военной промышленности. Выяснилось, что выполнение программы идет неудовлетворительно. Всего подлежало сдаче военному ведомству за 8 м[есяце]в 2251 самолет, а сдано 1629 или 72% плана. НКТяжпром оспаривает эти цифры, но если даже взять их цифры, и то получается 80% плана. По танкам цифры НКВоенмора резко расходятся с цифрами НКТяжпрома, ибо НКВоен не считает сданные танки задела 1932 г., но и здесь, если даже взять цифры НКТяжпрома, и то неудовлетворительно. Хуже всего идет выполнение по артиллерии, как по пушкам, так и по боеприпасам. Мы после обмена мнениями дали для подработки вопроса ряд дополнительных поручений по авиации, танкам, артиллерии и назначили следующее заседание на 29 с вызовом директоров заводов для соответствующего «благословения»…</w:t>
      </w:r>
    </w:p>
    <w:p w14:paraId="71C7A5A6"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4) Ставят опять вопрос о разрешении ездить по СССР иностранным корреспондентам. Может быть действительно можно, оставляя порядок выдачи разрешений в каждом конкретном случае, допускать более частые выезды корреспондентов. Прошу вас сообщить ваше мнение.</w:t>
      </w:r>
    </w:p>
    <w:p w14:paraId="132AD435"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5) О КВЖД мы по получении от вас исправленную директиву Юреневу послали ее, одновременно, так как т. Сокольников, хотя и без поручения, сделал это заявление Оте, мы опубликовали это заявление назавтра же в нашей печати. Вышло это очень кстати, потому что с заявлением Юренева получилось неладно из-за безобразной ошибки шифротдела НКИД. Дело в том, что шифровка была передана в два приема, но после первой части не было написано «продолжение следует», а наш «догадливый» посол, получив эту, как он сам пишет странную телеграмму, пошел к Хироте и заявил ему то, что было в 1-ой части. Назавтра ему пришлось идти еще раз и уже заявлять полностью. Мы поручили Ягоде расследовать и он установил, что виноват шифротдел НКИД. Троих мы постановили посадить на 10 дней, одного сняли с работы. Вчера мы редактировали статьи и заметки в печать. Сегодня получились сообщения, что в Харбине арестованы 2 нач[альника] служб Калина и Кубли и 2 нач[альника] станции Маньчжурия и Пограничная. Мы дали директиву, чтобы Рудый немедленно назначил других советских же людей. Славуцкий заявил протест.</w:t>
      </w:r>
    </w:p>
    <w:p w14:paraId="6D1BB551"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О дальнейшем будем вам немедленно же сообщать.</w:t>
      </w:r>
    </w:p>
    <w:p w14:paraId="5B07C9E1"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Привет. Ваш Л.Каганович.</w:t>
      </w:r>
    </w:p>
    <w:p w14:paraId="54D8947A"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Архив: РГАСПИ Ф. 558. Oп. 11. Д. 741. Л. 63^71. Автограф. </w:t>
      </w:r>
    </w:p>
    <w:p w14:paraId="13C50110"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Сталин и Каганович. Переписка. 1931–1936 гг. Москва: (РОССПЭН), 2001 Стр. 360-361 (12322).</w:t>
      </w:r>
    </w:p>
    <w:p w14:paraId="07C67624" w14:textId="77777777" w:rsidR="00D51832" w:rsidRPr="00C33834" w:rsidRDefault="00D51832" w:rsidP="00C33834">
      <w:pPr>
        <w:spacing w:after="0" w:line="240" w:lineRule="auto"/>
        <w:jc w:val="both"/>
        <w:rPr>
          <w:rFonts w:ascii="Times New Roman" w:hAnsi="Times New Roman"/>
          <w:iCs/>
          <w:color w:val="000000" w:themeColor="text1"/>
          <w:sz w:val="16"/>
          <w:szCs w:val="16"/>
        </w:rPr>
      </w:pPr>
    </w:p>
    <w:p w14:paraId="63AF06D0"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CA53B32"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79DCBAA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сентября 1933 с-т К-7: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F26F01" w:rsidRPr="00C33834" w14:paraId="0B419E16" w14:textId="77777777">
        <w:tc>
          <w:tcPr>
            <w:tcW w:w="1384" w:type="dxa"/>
            <w:tcBorders>
              <w:top w:val="single" w:sz="12" w:space="0" w:color="auto"/>
            </w:tcBorders>
          </w:tcPr>
          <w:p w14:paraId="23F0F86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Дата испытания</w:t>
            </w:r>
          </w:p>
        </w:tc>
        <w:tc>
          <w:tcPr>
            <w:tcW w:w="2410" w:type="dxa"/>
            <w:tcBorders>
              <w:top w:val="single" w:sz="12" w:space="0" w:color="auto"/>
            </w:tcBorders>
          </w:tcPr>
          <w:p w14:paraId="6E7549C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249C150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12DFC78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2DF61D9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Выявленные и устраненные в </w:t>
            </w:r>
            <w:r w:rsidRPr="00C33834">
              <w:rPr>
                <w:rFonts w:ascii="Times New Roman" w:hAnsi="Times New Roman"/>
                <w:color w:val="000000" w:themeColor="text1"/>
                <w:sz w:val="16"/>
                <w:szCs w:val="16"/>
              </w:rPr>
              <w:lastRenderedPageBreak/>
              <w:t>процессе испытаний дефекты</w:t>
            </w:r>
          </w:p>
        </w:tc>
        <w:tc>
          <w:tcPr>
            <w:tcW w:w="1105" w:type="dxa"/>
            <w:tcBorders>
              <w:top w:val="single" w:sz="12" w:space="0" w:color="auto"/>
            </w:tcBorders>
          </w:tcPr>
          <w:p w14:paraId="55D9453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Примечание</w:t>
            </w:r>
          </w:p>
        </w:tc>
      </w:tr>
      <w:tr w:rsidR="00F26F01" w:rsidRPr="00C33834" w14:paraId="20C66888" w14:textId="77777777">
        <w:tc>
          <w:tcPr>
            <w:tcW w:w="1384" w:type="dxa"/>
            <w:tcBorders>
              <w:bottom w:val="single" w:sz="12" w:space="0" w:color="auto"/>
            </w:tcBorders>
          </w:tcPr>
          <w:p w14:paraId="6F5A6790" w14:textId="77777777" w:rsidR="0007455B" w:rsidRPr="00C33834" w:rsidRDefault="0007455B" w:rsidP="00C33834">
            <w:pPr>
              <w:spacing w:after="0" w:line="240" w:lineRule="auto"/>
              <w:jc w:val="both"/>
              <w:rPr>
                <w:rFonts w:ascii="Times New Roman" w:hAnsi="Times New Roman"/>
                <w:color w:val="000000" w:themeColor="text1"/>
                <w:sz w:val="16"/>
                <w:szCs w:val="16"/>
                <w:lang w:val="en-US"/>
              </w:rPr>
            </w:pPr>
            <w:r w:rsidRPr="00C33834">
              <w:rPr>
                <w:rFonts w:ascii="Times New Roman" w:hAnsi="Times New Roman"/>
                <w:color w:val="000000" w:themeColor="text1"/>
                <w:sz w:val="16"/>
                <w:szCs w:val="16"/>
              </w:rPr>
              <w:t>25 сентября 1933</w:t>
            </w:r>
          </w:p>
        </w:tc>
        <w:tc>
          <w:tcPr>
            <w:tcW w:w="2410" w:type="dxa"/>
            <w:tcBorders>
              <w:bottom w:val="single" w:sz="12" w:space="0" w:color="auto"/>
            </w:tcBorders>
          </w:tcPr>
          <w:p w14:paraId="7A43FAA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Третий полет с целью проверки рулей поворота после увеличения углов их отклонения и изучение вопроса о колебаниях и вибрациях</w:t>
            </w:r>
          </w:p>
        </w:tc>
        <w:tc>
          <w:tcPr>
            <w:tcW w:w="1089" w:type="dxa"/>
            <w:tcBorders>
              <w:bottom w:val="single" w:sz="12" w:space="0" w:color="auto"/>
            </w:tcBorders>
          </w:tcPr>
          <w:p w14:paraId="1CF3652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Запуск моторов - 0:10</w:t>
            </w:r>
          </w:p>
          <w:p w14:paraId="407D7C7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моторов - 1:14</w:t>
            </w:r>
          </w:p>
          <w:p w14:paraId="291BAFA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- 0:27</w:t>
            </w:r>
          </w:p>
        </w:tc>
        <w:tc>
          <w:tcPr>
            <w:tcW w:w="3447" w:type="dxa"/>
            <w:tcBorders>
              <w:bottom w:val="single" w:sz="12" w:space="0" w:color="auto"/>
            </w:tcBorders>
          </w:tcPr>
          <w:p w14:paraId="262E60C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Отрыв от земли на скорости 100 км.</w:t>
            </w:r>
          </w:p>
          <w:p w14:paraId="5C43743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полета 300 м, скорость до 170 км/час</w:t>
            </w:r>
          </w:p>
          <w:p w14:paraId="22CECF4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Отсутствие колебаний хвостовой части</w:t>
            </w:r>
          </w:p>
          <w:p w14:paraId="72F2BA7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на действия рулей реагирует, но недостаточно</w:t>
            </w:r>
          </w:p>
        </w:tc>
        <w:tc>
          <w:tcPr>
            <w:tcW w:w="1776" w:type="dxa"/>
            <w:tcBorders>
              <w:bottom w:val="single" w:sz="12" w:space="0" w:color="auto"/>
            </w:tcBorders>
          </w:tcPr>
          <w:p w14:paraId="64E7979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Занос с-та при старте влево (устранено)</w:t>
            </w:r>
          </w:p>
          <w:p w14:paraId="23AF05D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Действие рулей с-та - несколько слабее нормального.</w:t>
            </w:r>
          </w:p>
          <w:p w14:paraId="0C7F293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Мал положительный угол стабилизатора (устранено)</w:t>
            </w:r>
          </w:p>
          <w:p w14:paraId="055C503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Течь радиатора третьего правого мотора (устранена)</w:t>
            </w:r>
          </w:p>
          <w:p w14:paraId="417CFFE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Недостаточны углы отклонения серворулей поворота (устранено)</w:t>
            </w:r>
          </w:p>
        </w:tc>
        <w:tc>
          <w:tcPr>
            <w:tcW w:w="1105" w:type="dxa"/>
            <w:tcBorders>
              <w:bottom w:val="single" w:sz="12" w:space="0" w:color="auto"/>
            </w:tcBorders>
          </w:tcPr>
          <w:p w14:paraId="737313AA"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r>
    </w:tbl>
    <w:p w14:paraId="76A4E1F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(2306,98).</w:t>
      </w:r>
    </w:p>
    <w:p w14:paraId="2E7E12FB"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35AAF50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сентября 1933 ТБ-4 6М-34 был сдан на гос. испытания (2287,145).</w:t>
      </w:r>
    </w:p>
    <w:p w14:paraId="7A87298A"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2E519A1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25 сентября по 14 ноября 1933 прототип И-14 (АНТ-31) опять дорабатывали (1454,25).</w:t>
      </w:r>
    </w:p>
    <w:p w14:paraId="0B90D05A"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4D95D36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сентября 1933 была достигнута скорость 332 км/ч на АИР-7 (212,19). Контролером летал К.Кривицкий и мотор мог дать еще 80 оборотов (1771,7).</w:t>
      </w:r>
    </w:p>
    <w:p w14:paraId="07DCE86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это произошло только весной 1934</w:t>
      </w:r>
    </w:p>
    <w:p w14:paraId="40CD3952"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1C1CE093" w14:textId="77777777" w:rsidR="009E4F90" w:rsidRPr="00C33834" w:rsidRDefault="009E4F9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сентября 1933 АИР-7 снова был в центре внимания. В этот день, утром и вечером, летчик Пионтковский совершил на нем два полета, установив новый национальный рекорд скорости — 332 км/ч. При этом мотор еще недобрал 80 оборотов. Скорость зафиксировал летевший в качестве контролера инженер К. Кривицкий. Испытания на скороподъемность также дали рекордные результаты. Как и год назад, «Правда» сообщала: «АИР-7 — большая победа советской авиации. Новый рекорд скорости.. . Площадка для взлета и посадки АИ Р-7 требуется самая незначительная, так как разбег при взлете и пробег при посадке не превышают 150 м» (15447).</w:t>
      </w:r>
    </w:p>
    <w:p w14:paraId="1AE01C74" w14:textId="77777777" w:rsidR="009E4F90" w:rsidRPr="00C33834" w:rsidRDefault="009E4F90" w:rsidP="00C33834">
      <w:pPr>
        <w:spacing w:after="0" w:line="240" w:lineRule="auto"/>
        <w:jc w:val="both"/>
        <w:rPr>
          <w:rFonts w:ascii="Times New Roman" w:hAnsi="Times New Roman"/>
          <w:color w:val="000000" w:themeColor="text1"/>
          <w:sz w:val="16"/>
          <w:szCs w:val="16"/>
        </w:rPr>
      </w:pPr>
    </w:p>
    <w:p w14:paraId="22B058B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сентября 1933 года Главный инженер вооружения Коннарт утвердил Отчет Об испытании снарядов АПК-4 бис (изготовления ОКБ N 1 - ГАУ) на перевозку</w:t>
      </w:r>
    </w:p>
    <w:p w14:paraId="6247743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производились на участке Москва-Переславль.</w:t>
      </w:r>
    </w:p>
    <w:p w14:paraId="6A431E4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проводились работниками НИИ ВВС:</w:t>
      </w:r>
    </w:p>
    <w:p w14:paraId="2BEC722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28E3905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Определить возможность перевозки снарядов АПК-76,2 автотранспортом.</w:t>
      </w:r>
    </w:p>
    <w:p w14:paraId="3D253B7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проводились путем перевозки стержневых и шрапнельных патрон весом 3,030 кг по шоссе на трехосном автомобиле "Форд".</w:t>
      </w:r>
    </w:p>
    <w:p w14:paraId="5867003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Выводы:</w:t>
      </w:r>
    </w:p>
    <w:p w14:paraId="02815DB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Несмотря на слабую упаковку, патроны АПК-4 бис перевозку по шоссе, автотранспортом переносить могут (3903,109-111).</w:t>
      </w:r>
    </w:p>
    <w:p w14:paraId="37F3D286"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1FE0314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сентября 1933 поплавковый Локхид "Орион" Линдберга приводнился на Москве-реке в районе водного стадиона "Динамо". После трехдневного пребывания в советской столице 29 сентября чета Линдбергов стартовала в обратный путь (11941).</w:t>
      </w:r>
    </w:p>
    <w:p w14:paraId="76CE5B88"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659A7733" w14:textId="77777777" w:rsidR="009E4F90"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1DBD709" w14:textId="77777777" w:rsidR="009E4F90" w:rsidRPr="00C33834" w:rsidRDefault="009E4F90" w:rsidP="00C33834">
      <w:pPr>
        <w:spacing w:after="0" w:line="240" w:lineRule="auto"/>
        <w:jc w:val="both"/>
        <w:rPr>
          <w:rFonts w:ascii="Times New Roman" w:hAnsi="Times New Roman"/>
          <w:iCs/>
          <w:color w:val="000000" w:themeColor="text1"/>
          <w:sz w:val="16"/>
          <w:szCs w:val="16"/>
        </w:rPr>
      </w:pPr>
    </w:p>
    <w:p w14:paraId="19D5699C" w14:textId="77777777" w:rsidR="009E4F90" w:rsidRPr="00C33834" w:rsidRDefault="009E4F90" w:rsidP="00C33834">
      <w:pPr>
        <w:pStyle w:val="rtejustify"/>
        <w:spacing w:before="0" w:after="0"/>
        <w:rPr>
          <w:color w:val="000000" w:themeColor="text1"/>
          <w:sz w:val="16"/>
          <w:szCs w:val="16"/>
        </w:rPr>
      </w:pPr>
      <w:r w:rsidRPr="00C33834">
        <w:rPr>
          <w:rStyle w:val="af0"/>
          <w:bCs/>
          <w:i w:val="0"/>
          <w:color w:val="000000" w:themeColor="text1"/>
          <w:sz w:val="16"/>
          <w:szCs w:val="16"/>
        </w:rPr>
        <w:t>25 сентября</w:t>
      </w:r>
      <w:r w:rsidRPr="00C33834">
        <w:rPr>
          <w:color w:val="000000" w:themeColor="text1"/>
          <w:sz w:val="16"/>
          <w:szCs w:val="16"/>
        </w:rPr>
        <w:t xml:space="preserve"> 1933. Постановление СТО СССР № 92сс/о «Об обеспечении типографическими картами РККА в военное время». (ГА РФ. Ф. Р</w:t>
      </w:r>
      <w:r w:rsidRPr="00C33834">
        <w:rPr>
          <w:color w:val="000000" w:themeColor="text1"/>
          <w:sz w:val="16"/>
          <w:szCs w:val="16"/>
        </w:rPr>
        <w:noBreakHyphen/>
        <w:t>8418. Оп. 28. Д. 2. Л. 175</w:t>
      </w:r>
      <w:r w:rsidRPr="00C33834">
        <w:rPr>
          <w:color w:val="000000" w:themeColor="text1"/>
          <w:sz w:val="16"/>
          <w:szCs w:val="16"/>
        </w:rPr>
        <w:noBreakHyphen/>
        <w:t>177) (15460).</w:t>
      </w:r>
    </w:p>
    <w:p w14:paraId="2B414A88" w14:textId="77777777" w:rsidR="009E4F90" w:rsidRPr="00C33834" w:rsidRDefault="009E4F90" w:rsidP="00C33834">
      <w:pPr>
        <w:pStyle w:val="rtejustify"/>
        <w:spacing w:before="0" w:after="0"/>
        <w:rPr>
          <w:color w:val="000000" w:themeColor="text1"/>
          <w:sz w:val="16"/>
          <w:szCs w:val="16"/>
        </w:rPr>
      </w:pPr>
    </w:p>
    <w:p w14:paraId="02D51A7A" w14:textId="77777777" w:rsidR="009E4F90" w:rsidRPr="00C33834" w:rsidRDefault="009E4F9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сентября в 1933 году в Физико-техническом институте Ленинграда открылась первая Всесоюзная конференция по атомному ядру (14780).</w:t>
      </w:r>
    </w:p>
    <w:p w14:paraId="44657058" w14:textId="77777777" w:rsidR="009E4F90" w:rsidRPr="00C33834" w:rsidRDefault="009E4F90" w:rsidP="00C33834">
      <w:pPr>
        <w:spacing w:after="0" w:line="240" w:lineRule="auto"/>
        <w:jc w:val="both"/>
        <w:rPr>
          <w:rFonts w:ascii="Times New Roman" w:hAnsi="Times New Roman"/>
          <w:color w:val="000000" w:themeColor="text1"/>
          <w:sz w:val="16"/>
          <w:szCs w:val="16"/>
        </w:rPr>
      </w:pPr>
    </w:p>
    <w:p w14:paraId="0293B864"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78158554"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6CA8DFC7"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сентября 1933 у Пицунды пограничный наряд, попытавшись остановить катер И. Сталина, произвел выстрелы вверх, что Л. Берия представил вождю как попытку покушения на того (4962).</w:t>
      </w:r>
    </w:p>
    <w:p w14:paraId="259DB43B"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p>
    <w:p w14:paraId="2E17F44E" w14:textId="77777777" w:rsidR="009E4F90" w:rsidRPr="00C33834" w:rsidRDefault="009E4F9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сентября в 1933 году катер, на котором находится отдыхающий в Пицунде Иосиф Виссарионович Сталин, обстреливается пограничным нарядом (14780).</w:t>
      </w:r>
    </w:p>
    <w:p w14:paraId="68042901" w14:textId="77777777" w:rsidR="009E4F90" w:rsidRPr="00C33834" w:rsidRDefault="009E4F90" w:rsidP="00C33834">
      <w:pPr>
        <w:spacing w:after="0" w:line="240" w:lineRule="auto"/>
        <w:jc w:val="both"/>
        <w:rPr>
          <w:rFonts w:ascii="Times New Roman" w:hAnsi="Times New Roman"/>
          <w:color w:val="000000" w:themeColor="text1"/>
          <w:sz w:val="16"/>
          <w:szCs w:val="16"/>
        </w:rPr>
      </w:pPr>
    </w:p>
    <w:p w14:paraId="02A5EEF2"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2CC7CC0"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69DAAC7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сентября 1933 утром был третий полет К-7 К.А.К. (2306). Продолжительность 0:27, но моторы работали 1:14. Отрыв на скорости 100 км/час, высота - 500 м, скорость до 170 км/час. Колебяния хвостовой части отсутствовали. Недостаточная реакция на РН. Устраняли занос влево при старте. Течь радиатора 3 правого мотора, недостаточный угол отклонения серворулей РН (2306).</w:t>
      </w:r>
    </w:p>
    <w:p w14:paraId="051826FB"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0A9C306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сентября 1933 была телеграмма Щербакова ГУАП Алмазову по К-7:</w:t>
      </w:r>
    </w:p>
    <w:p w14:paraId="24FA4C6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Утром 26 произвели третий полет продолжительностью полчаса. Результаты хорошие (2306,9)</w:t>
      </w:r>
    </w:p>
    <w:p w14:paraId="31526CA7"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421F1CF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сентября 1933 года самолет ТБ4-6М34 был передан на гос. испытания в НИИ ВВС. Испытания показали, что при полетном весе самолета 33 т (в т.ч. полезная нагрузка 11,5 т) самолет имеет потолок всего лишь 2700 м. Столь низкий потолок объясняется установкой на самолете моторов М34 без редуктора и недостатком общей мощности винтомоторной группы (3516).</w:t>
      </w:r>
    </w:p>
    <w:p w14:paraId="3EA6B81F"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1CF2644A"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сентября, 17 октября и 16 декабря 1933 г. на НИАП АНИИ с пози</w:t>
      </w:r>
      <w:r w:rsidRPr="00C33834">
        <w:rPr>
          <w:rFonts w:ascii="Times New Roman" w:hAnsi="Times New Roman"/>
          <w:color w:val="000000" w:themeColor="text1"/>
          <w:sz w:val="16"/>
          <w:szCs w:val="16"/>
        </w:rPr>
        <w:softHyphen/>
        <w:t>ции 5600 м под руководством начальника 1 отдела ЛО РНИИ Л.Э.Швар</w:t>
      </w:r>
      <w:r w:rsidRPr="00C33834">
        <w:rPr>
          <w:rFonts w:ascii="Times New Roman" w:hAnsi="Times New Roman"/>
          <w:color w:val="000000" w:themeColor="text1"/>
          <w:sz w:val="16"/>
          <w:szCs w:val="16"/>
        </w:rPr>
        <w:softHyphen/>
        <w:t>ца отстреляли по 20 инертных образцов оперенных ракетных снарядов РС-82 модели 1367, изготовленных в мастерских ЛО РНИИ со стальным оперением размахом 235 мм, «для определения величин их рассеивания на дистанции 4000 м». Сопло боеприпаса с диаметром критического сечения 20,0 мм имело диаметр выходного сечения 45,0 мм. РЗ состоял из 28 шашек рецептуры ПТП габаритами 24/6-57,5 мм. Одна из них - разрезная. По торцам РЗ были расположены воспламенители из 6 г ДРП каж дый. Максимальная величина давления в камере работающего двига</w:t>
      </w:r>
      <w:r w:rsidRPr="00C33834">
        <w:rPr>
          <w:rFonts w:ascii="Times New Roman" w:hAnsi="Times New Roman"/>
          <w:color w:val="000000" w:themeColor="text1"/>
          <w:sz w:val="16"/>
          <w:szCs w:val="16"/>
        </w:rPr>
        <w:softHyphen/>
        <w:t>теля, по данным лабораторных измерений, составляла 300 кг/см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К единой стартовой массе инертные образцы снарядов привели за</w:t>
      </w:r>
      <w:r w:rsidRPr="00C33834">
        <w:rPr>
          <w:rFonts w:ascii="Times New Roman" w:hAnsi="Times New Roman"/>
          <w:color w:val="000000" w:themeColor="text1"/>
          <w:sz w:val="16"/>
          <w:szCs w:val="16"/>
        </w:rPr>
        <w:softHyphen/>
        <w:t>ливкой серы в корпуса БЧ. Выходное отверстие сопла было закрыто деревянной пробкой с отверстием для запальной гальванической трубки. Воспламеняли ее и РЗ, вырабатывая электроток при помощи индуктора. Испытатели отстреливали снаряды из пускового приспособления модели 1292, смонтированного на лафете горной пушки обр.1909 г., с уг</w:t>
      </w:r>
      <w:r w:rsidRPr="00C33834">
        <w:rPr>
          <w:rFonts w:ascii="Times New Roman" w:hAnsi="Times New Roman"/>
          <w:color w:val="000000" w:themeColor="text1"/>
          <w:sz w:val="16"/>
          <w:szCs w:val="16"/>
        </w:rPr>
        <w:softHyphen/>
        <w:t>лом возвышения 17° и 40°. Орудие наводили при помощи артиллерий</w:t>
      </w:r>
      <w:r w:rsidRPr="00C33834">
        <w:rPr>
          <w:rFonts w:ascii="Times New Roman" w:hAnsi="Times New Roman"/>
          <w:color w:val="000000" w:themeColor="text1"/>
          <w:sz w:val="16"/>
          <w:szCs w:val="16"/>
        </w:rPr>
        <w:softHyphen/>
        <w:t>ской панорамы и квадранта. Снаряды ложились довольно кучно. В сен</w:t>
      </w:r>
      <w:r w:rsidRPr="00C33834">
        <w:rPr>
          <w:rFonts w:ascii="Times New Roman" w:hAnsi="Times New Roman"/>
          <w:color w:val="000000" w:themeColor="text1"/>
          <w:sz w:val="16"/>
          <w:szCs w:val="16"/>
        </w:rPr>
        <w:softHyphen/>
        <w:t>тябре по 18 наблюдениям средняя дальность составила 3950 м. Оба от</w:t>
      </w:r>
      <w:r w:rsidRPr="00C33834">
        <w:rPr>
          <w:rFonts w:ascii="Times New Roman" w:hAnsi="Times New Roman"/>
          <w:color w:val="000000" w:themeColor="text1"/>
          <w:sz w:val="16"/>
          <w:szCs w:val="16"/>
        </w:rPr>
        <w:softHyphen/>
        <w:t>стрела РС-82 в 1933 г. дали удовлетворительное рассеивание по направ</w:t>
      </w:r>
      <w:r w:rsidRPr="00C33834">
        <w:rPr>
          <w:rFonts w:ascii="Times New Roman" w:hAnsi="Times New Roman"/>
          <w:color w:val="000000" w:themeColor="text1"/>
          <w:sz w:val="16"/>
          <w:szCs w:val="16"/>
        </w:rPr>
        <w:softHyphen/>
        <w:t xml:space="preserve">лению и неудовлетворительное по дальности. Последнее обстоятельство разработчики объяснили непостоянством горения РЗ. Расчетная дальность стрельбы была «с очевидностью подтверждена» на практике. По мнению Л.Э.Шварца, совпадение величин рассеивания в этих двух стрельбах «вызывается вполне определенными причинами, постоянно сопутствующими данному снаряду. Наиболее вероятные из них — разнообразие начальных скоростей и углов вылета. В ближайших опытах роль этих факторов необходимо выявить стрельбой по рамам-мишеням и стрельбами на меткость при различных углах возвышения пускового </w:t>
      </w:r>
      <w:r w:rsidRPr="00C33834">
        <w:rPr>
          <w:rFonts w:ascii="Times New Roman" w:hAnsi="Times New Roman"/>
          <w:color w:val="000000" w:themeColor="text1"/>
          <w:sz w:val="16"/>
          <w:szCs w:val="16"/>
        </w:rPr>
        <w:lastRenderedPageBreak/>
        <w:t>приспособления». Хотя в октябре 1933 г. произошло объединение ЛенГДЛ и МосГИРД в единый институт РНИИ. Окончательно переез</w:t>
      </w:r>
      <w:r w:rsidRPr="00C33834">
        <w:rPr>
          <w:rFonts w:ascii="Times New Roman" w:hAnsi="Times New Roman"/>
          <w:color w:val="000000" w:themeColor="text1"/>
          <w:sz w:val="16"/>
          <w:szCs w:val="16"/>
        </w:rPr>
        <w:softHyphen/>
        <w:t>жать в Москву ленинградцы не торопились — Центральный Московский артполигон в Софрино не был окончательно готов для работы с ракетны</w:t>
      </w:r>
      <w:r w:rsidRPr="00C33834">
        <w:rPr>
          <w:rFonts w:ascii="Times New Roman" w:hAnsi="Times New Roman"/>
          <w:color w:val="000000" w:themeColor="text1"/>
          <w:sz w:val="16"/>
          <w:szCs w:val="16"/>
        </w:rPr>
        <w:softHyphen/>
        <w:t>ми снарядами. На этот период ГДЛ получила статус Ленинградского от</w:t>
      </w:r>
      <w:r w:rsidRPr="00C33834">
        <w:rPr>
          <w:rFonts w:ascii="Times New Roman" w:hAnsi="Times New Roman"/>
          <w:color w:val="000000" w:themeColor="text1"/>
          <w:sz w:val="16"/>
          <w:szCs w:val="16"/>
        </w:rPr>
        <w:softHyphen/>
        <w:t>деления - ЛО РНИИ (11402).</w:t>
      </w:r>
    </w:p>
    <w:p w14:paraId="19FE3B5C"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p>
    <w:p w14:paraId="4937EF0B" w14:textId="77777777" w:rsidR="00ED1A5E" w:rsidRPr="00C33834" w:rsidRDefault="00ED1A5E"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25 сентября 1933 г. Москву посетил знаменитый американский летчик Ч. Линдберг, впервые в одиночку перелетевший Атлантический океан. Он прибыл на самолете Локхид «Сириус», установленном на поплавки. Советский летчик Возницкий встретил его на АИР-6А на подлете к городу довел до центра и указал место посадки на Москве-реке, приводнившись первым (19099).</w:t>
      </w:r>
    </w:p>
    <w:p w14:paraId="01DA62CD" w14:textId="77777777" w:rsidR="00ED1A5E" w:rsidRPr="00C33834" w:rsidRDefault="00ED1A5E" w:rsidP="00C33834">
      <w:pPr>
        <w:pStyle w:val="a8"/>
        <w:jc w:val="both"/>
        <w:rPr>
          <w:rFonts w:ascii="Times New Roman" w:hAnsi="Times New Roman" w:cs="Times New Roman"/>
          <w:color w:val="000000" w:themeColor="text1"/>
        </w:rPr>
      </w:pPr>
    </w:p>
    <w:p w14:paraId="7691F72E" w14:textId="77777777" w:rsidR="002910CF" w:rsidRPr="00C33834" w:rsidRDefault="002910C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26 сентября 1933 опросом членов ПБ</w:t>
      </w:r>
    </w:p>
    <w:p w14:paraId="58C4A30F" w14:textId="77777777" w:rsidR="002910CF" w:rsidRPr="00C33834" w:rsidRDefault="002910C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130/94.- О прилете Латвийской-эскадрильи в Москву</w:t>
      </w:r>
    </w:p>
    <w:p w14:paraId="0AB06054" w14:textId="77777777" w:rsidR="002910CF" w:rsidRPr="00C33834" w:rsidRDefault="002910C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разрешить прилет Латвийской эскадрильи в Москву.</w:t>
      </w:r>
    </w:p>
    <w:p w14:paraId="2B6C1CE1" w14:textId="77777777" w:rsidR="002910CF" w:rsidRPr="00C33834" w:rsidRDefault="002910C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считать возможным на прилет Латвийской эскадрильи ответить соответствующим нашим поле</w:t>
      </w:r>
      <w:r w:rsidRPr="00C33834">
        <w:rPr>
          <w:rFonts w:ascii="Times New Roman" w:hAnsi="Times New Roman"/>
          <w:color w:val="0070C0"/>
          <w:sz w:val="16"/>
          <w:szCs w:val="16"/>
        </w:rPr>
        <w:softHyphen/>
        <w:t>том в Латвию.</w:t>
      </w:r>
    </w:p>
    <w:p w14:paraId="6D9CBD93" w14:textId="77777777" w:rsidR="002910CF" w:rsidRPr="00C33834" w:rsidRDefault="002910C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Литвинову, Тухачевскому, Уншлихту, Артузову.</w:t>
      </w:r>
    </w:p>
    <w:p w14:paraId="3121A870" w14:textId="77777777" w:rsidR="002910CF" w:rsidRPr="00C33834" w:rsidRDefault="002910C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октября 1933 состоялось заседание ПБ и был оформлен протокол № 146 (22996).</w:t>
      </w:r>
    </w:p>
    <w:p w14:paraId="7347AA39" w14:textId="77777777" w:rsidR="002910CF" w:rsidRPr="00C33834" w:rsidRDefault="002910CF" w:rsidP="00C33834">
      <w:pPr>
        <w:spacing w:after="0" w:line="240" w:lineRule="auto"/>
        <w:jc w:val="both"/>
        <w:rPr>
          <w:rFonts w:ascii="Times New Roman" w:hAnsi="Times New Roman"/>
          <w:color w:val="0070C0"/>
          <w:sz w:val="16"/>
          <w:szCs w:val="16"/>
        </w:rPr>
      </w:pPr>
    </w:p>
    <w:p w14:paraId="320CF1DE"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35A7AF9D"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7D08DBF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сентября 1933 г. когда Гитлер согласился встретиться с Крестинским и об этом через Хинчука было сообщено в Москву, Крестинский, по инициативе Литвинова, вернулся в Москву через Вену (АВП РФ, ф. 082, оп. 16, п. 71, д. 1, л. 324; ADAP, Ser. С, Bd. 11,1. Ь. 75.) (11784).</w:t>
      </w:r>
    </w:p>
    <w:p w14:paraId="57EBB34D"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084A74B5"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B6BEE2A"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669C93C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27 сентября 1933 на ТБ-3 (АНТ-6) 22 завода N 22201 постройки марта 1933 и на N 22203 и 22204 в ЦАГИ поставили М-34, а на машину 22202 - М-34Р (1017,168) и две машины - 22203 и 22204 передали в НИИ ВВС на гос. испытания (1854,8).</w:t>
      </w:r>
    </w:p>
    <w:p w14:paraId="1FDD2C6E"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02FE3F3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27 сентября по 6 октября 1933 г. опытный самолет ТБ-3 №22202 с М-34Р проходил заводские испытания (7668).</w:t>
      </w:r>
    </w:p>
    <w:p w14:paraId="6ECC1737"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26A38AF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27 сентября по 6 октября 1933 опытный ТБ-3 (АНТ-6) с М-34Р N 22202 проходил заводские испытания (1854,9). Почему-то назвали “Торгсин” (9086).</w:t>
      </w:r>
    </w:p>
    <w:p w14:paraId="6B16615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два серийных ТБ-3 (АНТ-6) 22 завода (NN 22201 и 22203) были доработаны КБ А.Н.Т. и их после установки М-34 передали в НИИ ВВС. Изменения ЛТХ оказались незначительными из-за несоответствия винтов двигателям. Сделали несколько десятков (346,27).</w:t>
      </w:r>
    </w:p>
    <w:p w14:paraId="54A066D9"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2896679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этот же день 27 сентября 1933 начались заводские испытания ТБ-3 (АНТ-6) с М-34 производства 22 завода N 22201 и проходили до 10 октября 1933, а для машин 22203 и 22204 это были гос. испытания (1017,169).</w:t>
      </w:r>
    </w:p>
    <w:p w14:paraId="2D105CF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Потом вышел Отчет о гос. испытаниях самолета ТБ3-4М34.</w:t>
      </w:r>
    </w:p>
    <w:p w14:paraId="67CABB5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67826D2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Гос. испытание самолетов ТБ3-4М34 без редукторов (NN 22203 и 22204).</w:t>
      </w:r>
    </w:p>
    <w:p w14:paraId="11A3060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Выбор наилучшего винта из трех представленных ЦАГИ.</w:t>
      </w:r>
    </w:p>
    <w:p w14:paraId="362B1A9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Изыскание путей облегчения винтомоторной группы.</w:t>
      </w:r>
    </w:p>
    <w:p w14:paraId="2EA85A8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0BA63CB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Ввиду того, что при испытании трех типов винтов лучшие летные данные самолета ТБ3-4М34 без редуктора получил с винтами Д=3,18; Н=1,88 считать необходимым все самолеты ТБ3-4М34 выпускать с этим типом винтов.</w:t>
      </w:r>
    </w:p>
    <w:p w14:paraId="0375325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Считать возможным допустить приемку самолетов ТБ3-4М34 с завода N 22 при условии устранения заводом дефектов опасных для полета, перечисленных в отчете (3313,42-93).</w:t>
      </w:r>
    </w:p>
    <w:p w14:paraId="4219345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самолета N 22202 это были заводские испытания и они продолжались по 6 октября 1933 (1017,180).</w:t>
      </w:r>
    </w:p>
    <w:p w14:paraId="5BF97CF7"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0D3BF2A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сентября 1933 года Начальник НИИ ВВС Зильберт утвердил Отчет серийного испытания самолетов ЗЕТ NN 39005 и 39010, вооруженных авиапушками инженера Курчевского "АПК-4бис" калибра 76,2 мм</w:t>
      </w:r>
    </w:p>
    <w:p w14:paraId="4FD8281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Местом испытания был выбран Переславль, в частности берег озера Плещеево. Наличие широкого водного пространства, близость расположения полигона обеспечило наилучшее проведение испытания в части наблюдения за стрельбой, а отдаленность от административного центра, в отношении сохранения секретности работ.</w:t>
      </w:r>
    </w:p>
    <w:p w14:paraId="3285C74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проводились работниками НИИ ВВС:</w:t>
      </w:r>
    </w:p>
    <w:p w14:paraId="513AC3F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руководитель инженер 15а сектора - Мельников</w:t>
      </w:r>
    </w:p>
    <w:p w14:paraId="567D888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бригады НИИ ВВС (самолет N 39005) - Коротков А.</w:t>
      </w:r>
    </w:p>
    <w:p w14:paraId="28EC08D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бригады НИИ ВВС (самолет N 39010) - Сцельников М.</w:t>
      </w:r>
    </w:p>
    <w:p w14:paraId="021C4A3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1257201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Определить работу пушек и автоматики в условиях службы на самолете, при стрельбе в воздухе и на разных эволюциях самолета.</w:t>
      </w:r>
    </w:p>
    <w:p w14:paraId="337676C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Определить влияние выстрела на самолет.</w:t>
      </w:r>
    </w:p>
    <w:p w14:paraId="62B7CD7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Выявить эксплуатационные особенности АПК-4бис.</w:t>
      </w:r>
    </w:p>
    <w:p w14:paraId="405337C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Выводы:</w:t>
      </w:r>
    </w:p>
    <w:p w14:paraId="538EF74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основании произведенного серийного испытания самолета ЗЕТ N 39010 считать, что:</w:t>
      </w:r>
    </w:p>
    <w:p w14:paraId="2EB1248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Серийным самолетам свойственны в основном, те же недостатки, что и у самолета, предъявленного на гос. испытания (см. Выводы по самолету N 39012, предъявленного на гос. испытания) (3903,112-119).</w:t>
      </w:r>
    </w:p>
    <w:p w14:paraId="5CD4132E"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4EF0C35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сентября 1933 года Начальник НИИ ВВС Зильберт утвердил Отчет о гос. испытаниях самолета "ЗЕТ", вооруженного авиапушками инженера Курчевского "АПК-4бис" калибр 76,2 мм</w:t>
      </w:r>
    </w:p>
    <w:p w14:paraId="0583F06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Местом испытания был назначен Переславль-Залесский Ивановской пром. области, в частности побережье озера Плещеево. Подобные условия с одной стороны позволили организацию рядом расположенных аэродромной площадки и полигона, а с другой - обеспечивало сохранение секретности работ.</w:t>
      </w:r>
    </w:p>
    <w:p w14:paraId="31AB421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проводились работниками НИИ ВВС:</w:t>
      </w:r>
    </w:p>
    <w:p w14:paraId="1212500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руководитель - Мельников</w:t>
      </w:r>
    </w:p>
    <w:p w14:paraId="639606A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 Сузи</w:t>
      </w:r>
    </w:p>
    <w:p w14:paraId="0D8AC94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2059807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Определить технические свойства самолета ЗЕТ вооруженного АПК-76,2 мм, гл. образом в части возможной стрельбы при различных эволюциях самолета.</w:t>
      </w:r>
    </w:p>
    <w:p w14:paraId="24A31C5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Выявить эксплуатационные особенности АПК-4бис в условиях службы на самолете.</w:t>
      </w:r>
    </w:p>
    <w:p w14:paraId="20841DA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настоящих данных, предъявленных АПК-4бис и боевых возможностях самолета, определить в первом приближении действительность стрельбы.</w:t>
      </w:r>
    </w:p>
    <w:p w14:paraId="0771C7B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Определить влияние выстрела на самолет и его жизнеспособность.</w:t>
      </w:r>
    </w:p>
    <w:p w14:paraId="3308691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Определить работу автоматики АПК-4бис.</w:t>
      </w:r>
    </w:p>
    <w:p w14:paraId="64B5540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было разбито на 3 очереди:</w:t>
      </w:r>
    </w:p>
    <w:p w14:paraId="1B64755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АПК-4бис на земле для определения характеристических данных.</w:t>
      </w:r>
    </w:p>
    <w:p w14:paraId="77F76A2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АПК-4бис в воздухе для определения возможности стрельбы при различных эволюциях самолета и работу автоматики.</w:t>
      </w:r>
    </w:p>
    <w:p w14:paraId="69B0D75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в первом приближении действительности огня из АПК-4бис на самолете ЗЕТ.</w:t>
      </w:r>
    </w:p>
    <w:p w14:paraId="4042688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Выводы</w:t>
      </w:r>
    </w:p>
    <w:p w14:paraId="4EB175F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ЗЕТ, вооруженный АПК-76,2 испытания прошел (3903,77-102).</w:t>
      </w:r>
    </w:p>
    <w:p w14:paraId="09073390"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7451E2F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сентября 1933 состоялось совещание у зам. нач. ГУАП Макаровского по вопросу об изготовлении ГМ-34 без реверса (2292,223).</w:t>
      </w:r>
    </w:p>
    <w:p w14:paraId="047C2A45"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2A6E5024" w14:textId="77777777" w:rsidR="00ED1A5E" w:rsidRPr="00C33834" w:rsidRDefault="00ED1A5E"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lastRenderedPageBreak/>
        <w:t>Другие оборонные отрасли:</w:t>
      </w:r>
    </w:p>
    <w:p w14:paraId="65053BF5" w14:textId="77777777" w:rsidR="00ED1A5E" w:rsidRPr="00C33834" w:rsidRDefault="00ED1A5E" w:rsidP="00C33834">
      <w:pPr>
        <w:spacing w:after="0" w:line="240" w:lineRule="auto"/>
        <w:jc w:val="both"/>
        <w:rPr>
          <w:rFonts w:ascii="Times New Roman" w:hAnsi="Times New Roman"/>
          <w:iCs/>
          <w:color w:val="000000" w:themeColor="text1"/>
          <w:sz w:val="16"/>
          <w:szCs w:val="16"/>
        </w:rPr>
      </w:pPr>
    </w:p>
    <w:p w14:paraId="14DA1FC4" w14:textId="77777777" w:rsidR="00ED1A5E" w:rsidRPr="00C33834" w:rsidRDefault="00ED1A5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сентября 1933 года состоялось совещание комиссии Главхимпрома по выбору площадок для хлорного комбината в Дзержинске. План на 1934 год был утвержден в сумме 7635 тыс. рублей. Эти затраты в основном предусматривались на жилищное строительство. 750 тыс. рублей планировалось на приобретение оборудования и инвентаря, 355 тыс. предполагалось использовать на строительство базы ОРСа (сельское хозяйство, общественное питание и торговля). 300 тыс. рублей отводилось строительству трамвайных путей, соединяющих площадку с городом Дзержинском. По итогам года были сданы в эксплуатацию лесозавод, механические мастерские, деревообделочная и столярная мастерские, 4 котельные, водопровод, материальный склад, подъездные пути: широкой колеи, соединяющие площадку с магистралью протяженностью 3,8 км, узкой колеи, идущей на берег Оки, шоссе, соединяющее площадку с городом; 2 жилых дома и проходная, в которой разместилась и главная контора.</w:t>
      </w:r>
    </w:p>
    <w:p w14:paraId="0F015C0D" w14:textId="77777777" w:rsidR="00ED1A5E" w:rsidRPr="00C33834" w:rsidRDefault="00ED1A5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строительстве завода работали до 15 тысяч рабочих.</w:t>
      </w:r>
    </w:p>
    <w:p w14:paraId="42351AE4" w14:textId="77777777" w:rsidR="00ED1A5E" w:rsidRPr="00C33834" w:rsidRDefault="00ED1A5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1939 года в помещении здравпункта была организована центральная научно-исследовательская лаборатория, объединяющая 10 химиков и 30 лаборантов.</w:t>
      </w:r>
    </w:p>
    <w:p w14:paraId="0A557133" w14:textId="77777777" w:rsidR="00ED1A5E" w:rsidRPr="00C33834" w:rsidRDefault="00ED1A5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декабря 1939 года в цехе № 6 получен 100-процентный этилен. Таким радостным событием отметили пусковой год заводстроевцы.</w:t>
      </w:r>
    </w:p>
    <w:p w14:paraId="0AE4793D" w14:textId="77777777" w:rsidR="00ED1A5E" w:rsidRPr="00C33834" w:rsidRDefault="00ED1A5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Заслуги капролактамовцев в отечественной химии значительны. Впервые в СССР ими были выпущены 33 вида продукции, такие как изопропиловый спирт, винилхлорид и поливинилхлорид, бензоилхлорид, капролактам из фенола, этилен и диэтиленгликоль, натрий едкий реакционный, полихлорэтилен-80, нефтеполимерный лак, трихлорэтилен, поливинилхлорид в массе, гидротормозная жидкость ГТЖ-22 и другие.</w:t>
      </w:r>
    </w:p>
    <w:p w14:paraId="7A0BC61D" w14:textId="77777777" w:rsidR="00ED1A5E" w:rsidRPr="00C33834" w:rsidRDefault="00ED1A5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началу Великой Отечественной войны «Заводстрой» (завод «Капролактам»), сформировался как крупный химический комплекс, первенец отечественной хлорной промышленности. около 40% хлора и каустика, вырабатываемых в стране, приходилось на его долю. Производство не ограничивалось только их выпуском. Более 27 видов наименований различной продукции было освоено на заводе и серийно вырабатывалось для нужд народного хозяйства.</w:t>
      </w:r>
    </w:p>
    <w:p w14:paraId="30BC4624" w14:textId="77777777" w:rsidR="00ED1A5E" w:rsidRPr="00C33834" w:rsidRDefault="00ED1A5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начала войны коллектив завода переключился на выполнение оборонных заданий. Цех № 3 (производство иприта) и цех № 14 (производство люизита) производили химические отравляющие вещества еще до войны, но работали не на полную мощность (18248).</w:t>
      </w:r>
    </w:p>
    <w:p w14:paraId="41DB9371" w14:textId="77777777" w:rsidR="00ED1A5E" w:rsidRPr="00C33834" w:rsidRDefault="00ED1A5E" w:rsidP="00C33834">
      <w:pPr>
        <w:spacing w:after="0" w:line="240" w:lineRule="auto"/>
        <w:jc w:val="both"/>
        <w:rPr>
          <w:rFonts w:ascii="Times New Roman" w:hAnsi="Times New Roman"/>
          <w:color w:val="000000" w:themeColor="text1"/>
          <w:sz w:val="16"/>
          <w:szCs w:val="16"/>
        </w:rPr>
      </w:pPr>
    </w:p>
    <w:p w14:paraId="1FB43104"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EC92D8F"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66E5AF3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28 сентября по 9 октября 1933 проходили гос. испытания ТБ-3 4М-34</w:t>
      </w:r>
    </w:p>
    <w:p w14:paraId="1480FE1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33A0C26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испытание самолетов ТБ3-4М34 без редукторов (NN 22203 и 22204).</w:t>
      </w:r>
    </w:p>
    <w:p w14:paraId="394DA6A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Выбор наилучшего винта из трех представленных ЦАГИ.</w:t>
      </w:r>
    </w:p>
    <w:p w14:paraId="730037D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Изыскание путей облегчения винтомоторной группы.</w:t>
      </w:r>
    </w:p>
    <w:p w14:paraId="6A6A98F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167AB9D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значительно лучших летных данных самолета ТБ3-4М34 без редуктора с винтами Д=3,18 Н=1,88 (С Тб4-6М34) считать необходимым все самолеты ТБ3-4М34 выпускать с этим типом винтов (3903,147-200).</w:t>
      </w:r>
    </w:p>
    <w:p w14:paraId="7D38F201"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0CA8FC5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сентября 1933 года Начальник НИИ ВВС Зильберт утвердил Отчет об испытании прицела к АПК-4 бис на самолете ЗЕТ конструкции Петрова</w:t>
      </w:r>
    </w:p>
    <w:p w14:paraId="49E53F5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производились в г. Переславле в момент испытаний АПК-4 бис на самолете ЗЕТ.</w:t>
      </w:r>
    </w:p>
    <w:p w14:paraId="7ABBCD1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проводились работниками НИИ ВВС:</w:t>
      </w:r>
    </w:p>
    <w:p w14:paraId="11B8A99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руководитель - Мельников</w:t>
      </w:r>
    </w:p>
    <w:p w14:paraId="744E56B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 Сузи</w:t>
      </w:r>
    </w:p>
    <w:p w14:paraId="7C61EDB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53EA79A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Определить возможность прицельного огня при настоящих данных, предъявленного прицела и принятие его на вооружение самолетов ЗЕТ.</w:t>
      </w:r>
    </w:p>
    <w:p w14:paraId="6549B73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Определить эксплуатационные условия прицела.</w:t>
      </w:r>
    </w:p>
    <w:p w14:paraId="5807622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испытании было произведено 5 полетов с прицеливанием по земным объектам и 2 полета с прицеливанием по воздушным объектам (движущаяся цель).</w:t>
      </w:r>
    </w:p>
    <w:p w14:paraId="2E4D0E1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Вывод:</w:t>
      </w:r>
    </w:p>
    <w:p w14:paraId="5D23653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Прицел конструкции Петрова признан годным быть не может (2903,103-108).</w:t>
      </w:r>
    </w:p>
    <w:p w14:paraId="31EF0AC2"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3A7C802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сентября 1933 года был утвержден пом. нач. ГУАП как временный.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F26F01" w:rsidRPr="00C33834" w14:paraId="23281517" w14:textId="77777777">
        <w:tc>
          <w:tcPr>
            <w:tcW w:w="2818" w:type="dxa"/>
          </w:tcPr>
          <w:p w14:paraId="554D438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НКТП</w:t>
            </w:r>
          </w:p>
        </w:tc>
        <w:tc>
          <w:tcPr>
            <w:tcW w:w="2818" w:type="dxa"/>
          </w:tcPr>
          <w:p w14:paraId="1024EA2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Глававиапром</w:t>
            </w:r>
          </w:p>
        </w:tc>
        <w:tc>
          <w:tcPr>
            <w:tcW w:w="2818" w:type="dxa"/>
          </w:tcPr>
          <w:p w14:paraId="733714D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Объединенное бюро стандартизации (ОБСА)</w:t>
            </w:r>
          </w:p>
        </w:tc>
      </w:tr>
      <w:tr w:rsidR="00F26F01" w:rsidRPr="00C33834" w14:paraId="21A095FC" w14:textId="77777777">
        <w:tc>
          <w:tcPr>
            <w:tcW w:w="2818" w:type="dxa"/>
          </w:tcPr>
          <w:p w14:paraId="53BDCCD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Авиационный стандарт</w:t>
            </w:r>
          </w:p>
        </w:tc>
        <w:tc>
          <w:tcPr>
            <w:tcW w:w="2818" w:type="dxa"/>
          </w:tcPr>
          <w:p w14:paraId="3367A0B5"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2818" w:type="dxa"/>
          </w:tcPr>
          <w:p w14:paraId="298D025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 СТУ</w:t>
            </w:r>
          </w:p>
        </w:tc>
      </w:tr>
      <w:tr w:rsidR="00F26F01" w:rsidRPr="00C33834" w14:paraId="454341BA" w14:textId="77777777">
        <w:tc>
          <w:tcPr>
            <w:tcW w:w="2818" w:type="dxa"/>
          </w:tcPr>
          <w:p w14:paraId="28A6A31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ТБ-3 4М-34</w:t>
            </w:r>
          </w:p>
        </w:tc>
        <w:tc>
          <w:tcPr>
            <w:tcW w:w="2818" w:type="dxa"/>
          </w:tcPr>
          <w:p w14:paraId="1BCC5CB7"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2818" w:type="dxa"/>
          </w:tcPr>
          <w:p w14:paraId="0A0D8F6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16А</w:t>
            </w:r>
          </w:p>
        </w:tc>
      </w:tr>
      <w:tr w:rsidR="00F26F01" w:rsidRPr="00C33834" w14:paraId="76947884" w14:textId="77777777">
        <w:tc>
          <w:tcPr>
            <w:tcW w:w="2818" w:type="dxa"/>
          </w:tcPr>
          <w:p w14:paraId="403D583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 ТУ</w:t>
            </w:r>
          </w:p>
        </w:tc>
        <w:tc>
          <w:tcPr>
            <w:tcW w:w="2818" w:type="dxa"/>
          </w:tcPr>
          <w:p w14:paraId="0C6DC8B7" w14:textId="77777777" w:rsidR="0007455B" w:rsidRPr="00C33834" w:rsidRDefault="0007455B" w:rsidP="00C33834">
            <w:pPr>
              <w:spacing w:after="0" w:line="240" w:lineRule="auto"/>
              <w:jc w:val="both"/>
              <w:rPr>
                <w:rFonts w:ascii="Times New Roman" w:hAnsi="Times New Roman"/>
                <w:color w:val="000000" w:themeColor="text1"/>
                <w:sz w:val="16"/>
                <w:szCs w:val="16"/>
              </w:rPr>
            </w:pPr>
          </w:p>
        </w:tc>
        <w:tc>
          <w:tcPr>
            <w:tcW w:w="2818" w:type="dxa"/>
          </w:tcPr>
          <w:p w14:paraId="6AB9D7B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1-е издание (3100)</w:t>
            </w:r>
          </w:p>
        </w:tc>
      </w:tr>
    </w:tbl>
    <w:p w14:paraId="38E04A47"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0F8E560B" w14:textId="77777777" w:rsidR="00CE35D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6287AC13" w14:textId="77777777" w:rsidR="00CE35D9" w:rsidRPr="00C33834" w:rsidRDefault="00CE35D9" w:rsidP="00C33834">
      <w:pPr>
        <w:spacing w:after="0" w:line="240" w:lineRule="auto"/>
        <w:jc w:val="both"/>
        <w:rPr>
          <w:rFonts w:ascii="Times New Roman" w:hAnsi="Times New Roman"/>
          <w:iCs/>
          <w:color w:val="000000" w:themeColor="text1"/>
          <w:sz w:val="16"/>
          <w:szCs w:val="16"/>
        </w:rPr>
      </w:pPr>
    </w:p>
    <w:p w14:paraId="09E14B11" w14:textId="77777777" w:rsidR="00CE35D9" w:rsidRPr="00C33834" w:rsidRDefault="00CE35D9" w:rsidP="00C33834">
      <w:pPr>
        <w:spacing w:after="0" w:line="240" w:lineRule="auto"/>
        <w:jc w:val="both"/>
        <w:rPr>
          <w:rFonts w:ascii="Times New Roman" w:eastAsia="TimesNewRoman" w:hAnsi="Times New Roman"/>
          <w:color w:val="000000" w:themeColor="text1"/>
          <w:sz w:val="16"/>
          <w:szCs w:val="16"/>
        </w:rPr>
      </w:pPr>
      <w:r w:rsidRPr="00C33834">
        <w:rPr>
          <w:rFonts w:ascii="Times New Roman" w:eastAsia="TimesNewRoman" w:hAnsi="Times New Roman"/>
          <w:color w:val="000000" w:themeColor="text1"/>
          <w:sz w:val="16"/>
          <w:szCs w:val="16"/>
        </w:rPr>
        <w:t>28 сентября 1933 г., реализуя принятый курс военно-технического сотрудничества с Италией в области морского вооружения, вышло Постановление КО СНК СССР «О приобретении иностранной технической помощи по постройке крейсеров». В соответствии с данным Постановлением было определено следующее: «Предложить Наркому Тяжелой Промышленности (НКТП) тов. Орджоникидзе немедленно пригласить в СССР представителей итальянской фирмы ―Ансальдо для переговоров о заключении договора на техническую помощь по постройке крейсеров и покупке механических установок для одного крейсера. Первый крейсер строить в г. Ленинграде, место постройки второго крейсера установить особо» [Там же, д. 498, л. 202].</w:t>
      </w:r>
    </w:p>
    <w:p w14:paraId="23098FD0" w14:textId="77777777" w:rsidR="00CE35D9" w:rsidRPr="00C33834" w:rsidRDefault="00CE35D9" w:rsidP="00C33834">
      <w:pPr>
        <w:spacing w:after="0" w:line="240" w:lineRule="auto"/>
        <w:jc w:val="both"/>
        <w:rPr>
          <w:rFonts w:ascii="Times New Roman" w:eastAsia="TimesNewRoman" w:hAnsi="Times New Roman"/>
          <w:color w:val="000000" w:themeColor="text1"/>
          <w:sz w:val="16"/>
          <w:szCs w:val="16"/>
        </w:rPr>
      </w:pPr>
      <w:r w:rsidRPr="00C33834">
        <w:rPr>
          <w:rFonts w:ascii="Times New Roman" w:eastAsia="TimesNewRoman" w:hAnsi="Times New Roman"/>
          <w:color w:val="000000" w:themeColor="text1"/>
          <w:sz w:val="16"/>
          <w:szCs w:val="16"/>
        </w:rPr>
        <w:t>Дальнейшей реализацией данной программы стало Постановление КО СНК СССР от 17 февраля 1934 г. «О результатах переговоров по иностранной техпомощи для постройки крейсеров», в котором, в частности, указывалось НКТП продолжить переговоры с фирмой «Ансальдо» и заключить в кратчайший срок договор на техпомощь по крейсерам. Постановлением также принималась предъявленная фирмой стоимость заказа в 3000000-3300000 руб. за крейсер и техпомощь [Там же, д. 499, л. 14] (12701).</w:t>
      </w:r>
    </w:p>
    <w:p w14:paraId="40DEE0B9" w14:textId="77777777" w:rsidR="00CE35D9" w:rsidRPr="00C33834" w:rsidRDefault="00CE35D9" w:rsidP="00C33834">
      <w:pPr>
        <w:spacing w:after="0" w:line="240" w:lineRule="auto"/>
        <w:jc w:val="both"/>
        <w:rPr>
          <w:rFonts w:ascii="Times New Roman" w:eastAsia="TimesNewRoman" w:hAnsi="Times New Roman"/>
          <w:color w:val="000000" w:themeColor="text1"/>
          <w:sz w:val="16"/>
          <w:szCs w:val="16"/>
        </w:rPr>
      </w:pPr>
    </w:p>
    <w:p w14:paraId="416001F5" w14:textId="77777777" w:rsidR="00D51832" w:rsidRPr="00C33834" w:rsidRDefault="00D51832"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bCs/>
          <w:color w:val="000000" w:themeColor="text1"/>
          <w:sz w:val="16"/>
          <w:szCs w:val="16"/>
          <w:lang w:eastAsia="ru-RU"/>
        </w:rPr>
        <w:t xml:space="preserve">28 сентября 1933 г. Сталин — Кагановичу </w:t>
      </w:r>
    </w:p>
    <w:p w14:paraId="1B37EB4C" w14:textId="77777777" w:rsidR="00D51832" w:rsidRPr="00C33834" w:rsidRDefault="00D51832"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u w:val="single"/>
          <w:lang w:eastAsia="ru-RU"/>
        </w:rPr>
        <w:t>Т. Каганович!</w:t>
      </w:r>
    </w:p>
    <w:p w14:paraId="4B4A8D8A" w14:textId="77777777" w:rsidR="00D51832" w:rsidRPr="00C33834" w:rsidRDefault="00D51832"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 Кроме аэропланов, танков, артиллерии и боеприпасов надо проверить еще производство подлодок. Очень плохо с подлодками, производят их медленно, до безобразия плохо. Надо нажимать на это дело изо дня в день, непрерывно, </w:t>
      </w:r>
      <w:r w:rsidRPr="00C33834">
        <w:rPr>
          <w:rFonts w:ascii="Times New Roman" w:eastAsia="Times New Roman" w:hAnsi="Times New Roman"/>
          <w:color w:val="000000" w:themeColor="text1"/>
          <w:sz w:val="16"/>
          <w:szCs w:val="16"/>
          <w:u w:val="single"/>
          <w:lang w:eastAsia="ru-RU"/>
        </w:rPr>
        <w:t>без передышки</w:t>
      </w:r>
      <w:r w:rsidRPr="00C33834">
        <w:rPr>
          <w:rFonts w:ascii="Times New Roman" w:eastAsia="Times New Roman" w:hAnsi="Times New Roman"/>
          <w:color w:val="000000" w:themeColor="text1"/>
          <w:sz w:val="16"/>
          <w:szCs w:val="16"/>
          <w:lang w:eastAsia="ru-RU"/>
        </w:rPr>
        <w:t>. Качество подлодок плохое, очень плохое.</w:t>
      </w:r>
    </w:p>
    <w:p w14:paraId="0624B330" w14:textId="77777777" w:rsidR="00D51832" w:rsidRPr="00C33834" w:rsidRDefault="00D51832"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2) Нажим по хлебозаготовкам надо начать </w:t>
      </w:r>
      <w:r w:rsidRPr="00C33834">
        <w:rPr>
          <w:rFonts w:ascii="Times New Roman" w:eastAsia="Times New Roman" w:hAnsi="Times New Roman"/>
          <w:color w:val="000000" w:themeColor="text1"/>
          <w:sz w:val="16"/>
          <w:szCs w:val="16"/>
          <w:u w:val="single"/>
          <w:lang w:eastAsia="ru-RU"/>
        </w:rPr>
        <w:t>теперь же</w:t>
      </w:r>
      <w:r w:rsidRPr="00C33834">
        <w:rPr>
          <w:rFonts w:ascii="Times New Roman" w:eastAsia="Times New Roman" w:hAnsi="Times New Roman"/>
          <w:color w:val="000000" w:themeColor="text1"/>
          <w:sz w:val="16"/>
          <w:szCs w:val="16"/>
          <w:lang w:eastAsia="ru-RU"/>
        </w:rPr>
        <w:t xml:space="preserve">. «Потом» будет поздно. Если </w:t>
      </w:r>
      <w:r w:rsidRPr="00C33834">
        <w:rPr>
          <w:rFonts w:ascii="Times New Roman" w:eastAsia="Times New Roman" w:hAnsi="Times New Roman"/>
          <w:color w:val="000000" w:themeColor="text1"/>
          <w:sz w:val="16"/>
          <w:szCs w:val="16"/>
          <w:u w:val="single"/>
          <w:lang w:eastAsia="ru-RU"/>
        </w:rPr>
        <w:t>сейчас</w:t>
      </w:r>
      <w:r w:rsidRPr="00C33834">
        <w:rPr>
          <w:rFonts w:ascii="Times New Roman" w:eastAsia="Times New Roman" w:hAnsi="Times New Roman"/>
          <w:color w:val="000000" w:themeColor="text1"/>
          <w:sz w:val="16"/>
          <w:szCs w:val="16"/>
          <w:lang w:eastAsia="ru-RU"/>
        </w:rPr>
        <w:t xml:space="preserve"> же не начнете серьезным образом нажимать, прозеваете время и разложите работников и колхозников.</w:t>
      </w:r>
    </w:p>
    <w:p w14:paraId="48FAF9ED" w14:textId="77777777" w:rsidR="00D51832" w:rsidRPr="00C33834" w:rsidRDefault="00D51832"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3) Допускать «более частые выезды» инокорреспондентов нельзя. Если им не нравится установленный для них порядок, могут уехать в другие страны. В отношении инокорреспондентов надо сохранить полностью нынешний режим.</w:t>
      </w:r>
    </w:p>
    <w:p w14:paraId="5F52C97E" w14:textId="77777777" w:rsidR="00D51832" w:rsidRPr="00C33834" w:rsidRDefault="00D51832"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4) Сообщите как идет разворачивание коммерческой («свободной») хлебной торговли.</w:t>
      </w:r>
    </w:p>
    <w:p w14:paraId="0608E329" w14:textId="77777777" w:rsidR="00D51832" w:rsidRPr="00C33834" w:rsidRDefault="00D51832"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Привет! И.Сталин. 28/IX 33.</w:t>
      </w:r>
    </w:p>
    <w:p w14:paraId="1DFF3D17" w14:textId="77777777" w:rsidR="00D51832" w:rsidRPr="00C33834" w:rsidRDefault="00D51832"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Ф. 81. On. 3. Д. 100. Л. 22–24. Автограф (17281).</w:t>
      </w:r>
    </w:p>
    <w:p w14:paraId="63D760BD" w14:textId="77777777" w:rsidR="00D51832" w:rsidRPr="00C33834" w:rsidRDefault="00D51832" w:rsidP="00C33834">
      <w:pPr>
        <w:spacing w:after="0" w:line="240" w:lineRule="auto"/>
        <w:jc w:val="both"/>
        <w:rPr>
          <w:rFonts w:ascii="Times New Roman" w:eastAsia="TimesNewRoman" w:hAnsi="Times New Roman"/>
          <w:color w:val="000000" w:themeColor="text1"/>
          <w:sz w:val="16"/>
          <w:szCs w:val="16"/>
        </w:rPr>
      </w:pPr>
    </w:p>
    <w:p w14:paraId="58A71424" w14:textId="77777777" w:rsidR="00ED1A5E" w:rsidRPr="00C33834" w:rsidRDefault="00ED1A5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сентября 1933 г., реализуя принятый курс военно-технического сотрудничества с Италией в области морского вооружения и техники, вышло Постановление КО СНК СССР «О приобретении иностранной технической помощи по постройке крейсеров». В соответствии с данным Постановлением было определено следующее: «Предложить Наркому Тяжелой Промышленности (НКТП) тов. Орджоникидзе немедленно пригласить в СССР представителей итальянской фирмы ―Ансальдо‖ для переговоров о заключении договора на техническую помощь по постройке крейсеров и покупке механических установок для одного крейсера. Первый крейсер строить в г. Ленинграде, место постройки второго крейсера установить особо» [Там же, д. 498, л. 202]. Дальнейшей реализацией данной программы стало Постановление КО СНК СССР от 17 февраля 1934 г. «О результатах переговоров по иностранной техпомощи для постройки крейсеров», в котором, в частности, указывалось НКТП продолжить переговоры с фирмой «Ансальдо» и заключить в кратчайший срок договор на техпомощь по крейсерам. Постановлением также принималась предъявленная фирмой стоимость заказа в 3000000-3300000 руб. за крейсер и техпомощь [Там же, д. 499, л. 14].</w:t>
      </w:r>
    </w:p>
    <w:p w14:paraId="1CBC8EFC" w14:textId="77777777" w:rsidR="00ED1A5E" w:rsidRPr="00C33834" w:rsidRDefault="00ED1A5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Реализуя решения советского правительства, в марте 1934 года был заключѐн договор Центрального конструкторского бюро судостроения (ЦКБС-1) (Главморпром) с итальянской фирмой «Ансальдо» о техпомощи по судостроению. Условия договора были следующие: «1. В результате получения механизмов и техпомощи по судостроению от итальянской фирмы, должен быть построен крейсер со следующими характеристиками:</w:t>
      </w:r>
    </w:p>
    <w:p w14:paraId="08C60E3A" w14:textId="77777777" w:rsidR="00ED1A5E" w:rsidRPr="00C33834" w:rsidRDefault="00ED1A5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 6 – 180 мм орудий в 3-х парных башнях, 6 – 100 мм зенитных орудий, 6 – 45 мм полуавтоматов, 2 – 3-х трубных торпедных аппарата, 2 – самолѐта на катапультах, прибор управления артиллерийским огнѐм (ПУАО), мины и глубинные бомбы; водоизмещение стандартное – 7.000 тонн.</w:t>
      </w:r>
    </w:p>
    <w:p w14:paraId="311C6EC9" w14:textId="77777777" w:rsidR="00ED1A5E" w:rsidRPr="00C33834" w:rsidRDefault="00ED1A5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 соответствии с договором фирма поставляет: полный комплект главных и вспомогательных механизмов (перечень прилагался); техпомощь по постановке производства перечисленных выше механизмов на заводах СССР. А также данные технологического процесса, калибров, шаблонов, приспособлений и устройств, необходимых для изготовления этих механизмов в Советском Союзе. Фирма направляла в СССР своих инженеров (18-24 чел.) и техников для обучения и руководства работами на заводах и, наконец, обучения советских инженеров (12 чел.) и рабочих (10 чел.) на своих заводах. Помимо этого, предоставлялся комплект чертежей, расчѐтов и спецификаций по корпусной части крейсера ―Монкукколи‖, одного из наиболее новых крейсеров итальянского флота, вступающего в строй в 1935 году, а также теоретические чертежи и чертежи винтов для запроектированного крейсера и эсминца» [3, д. 56, л. 20-29].</w:t>
      </w:r>
    </w:p>
    <w:p w14:paraId="2AD2D2D6" w14:textId="77777777" w:rsidR="00ED1A5E" w:rsidRPr="00C33834" w:rsidRDefault="00ED1A5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Договором также были определены обязательства и гарантии фирмы, стоимость техпомощи – 3 750 000 зол. руб. [Там же].</w:t>
      </w:r>
    </w:p>
    <w:p w14:paraId="74EF2FF5" w14:textId="77777777" w:rsidR="00ED1A5E" w:rsidRPr="00C33834" w:rsidRDefault="00ED1A5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согласованию с фирмой «Ансальдо» в Италии с целью приема иностранной техники в исследуемый период находились 26 инженерно-технических работников [Там же, л. 11-12].</w:t>
      </w:r>
    </w:p>
    <w:p w14:paraId="170FD081" w14:textId="77777777" w:rsidR="00ED1A5E" w:rsidRPr="00C33834" w:rsidRDefault="00ED1A5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в Италию были направлены еще 4 инженера (специалисты по электрооборудованию, главным турбинам и вспомогательным механизмам) и 10 рабочих для обучения и освоения производственных процессов. Всего проходили изучение производства механизмов в Италии 8 инженеров, 1 мастер и 10 рабочих [Там же, л. 13] (18258).</w:t>
      </w:r>
    </w:p>
    <w:p w14:paraId="54BE9A23" w14:textId="77777777" w:rsidR="00ED1A5E" w:rsidRPr="00C33834" w:rsidRDefault="00ED1A5E" w:rsidP="00C33834">
      <w:pPr>
        <w:spacing w:after="0" w:line="240" w:lineRule="auto"/>
        <w:jc w:val="both"/>
        <w:rPr>
          <w:rFonts w:ascii="Times New Roman" w:hAnsi="Times New Roman"/>
          <w:color w:val="000000" w:themeColor="text1"/>
          <w:sz w:val="16"/>
          <w:szCs w:val="16"/>
        </w:rPr>
      </w:pPr>
    </w:p>
    <w:p w14:paraId="2F2C102D" w14:textId="77777777" w:rsidR="009E4F90"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875518F" w14:textId="77777777" w:rsidR="009E4F90" w:rsidRPr="00C33834" w:rsidRDefault="009E4F90" w:rsidP="00C33834">
      <w:pPr>
        <w:spacing w:after="0" w:line="240" w:lineRule="auto"/>
        <w:jc w:val="both"/>
        <w:rPr>
          <w:rFonts w:ascii="Times New Roman" w:hAnsi="Times New Roman"/>
          <w:iCs/>
          <w:color w:val="000000" w:themeColor="text1"/>
          <w:sz w:val="16"/>
          <w:szCs w:val="16"/>
        </w:rPr>
      </w:pPr>
    </w:p>
    <w:p w14:paraId="57C6B22A" w14:textId="77777777" w:rsidR="009E4F90" w:rsidRPr="00C33834" w:rsidRDefault="009E4F9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сентября 1933 г. Густав Лемуан (</w:t>
      </w:r>
      <w:r w:rsidRPr="00C33834">
        <w:rPr>
          <w:rFonts w:ascii="Times New Roman" w:hAnsi="Times New Roman"/>
          <w:color w:val="000000" w:themeColor="text1"/>
          <w:sz w:val="16"/>
          <w:szCs w:val="16"/>
          <w:lang w:val="en-US"/>
        </w:rPr>
        <w:t>GustaveLemoine</w:t>
      </w:r>
      <w:r w:rsidRPr="00C33834">
        <w:rPr>
          <w:rFonts w:ascii="Times New Roman" w:hAnsi="Times New Roman"/>
          <w:color w:val="000000" w:themeColor="text1"/>
          <w:sz w:val="16"/>
          <w:szCs w:val="16"/>
        </w:rPr>
        <w:t>) на самолёте Поте 50 достиг высоты 13661 м. Этому предшествовала трени</w:t>
      </w:r>
      <w:r w:rsidRPr="00C33834">
        <w:rPr>
          <w:rFonts w:ascii="Times New Roman" w:hAnsi="Times New Roman"/>
          <w:color w:val="000000" w:themeColor="text1"/>
          <w:sz w:val="16"/>
          <w:szCs w:val="16"/>
        </w:rPr>
        <w:softHyphen/>
        <w:t>ровка организма: особый режим питания,</w:t>
      </w:r>
      <w:r w:rsidRPr="00C33834">
        <w:rPr>
          <w:rStyle w:val="aff5"/>
          <w:rFonts w:ascii="Times New Roman" w:eastAsia="Arial Unicode MS" w:hAnsi="Times New Roman" w:cs="Times New Roman"/>
          <w:i w:val="0"/>
          <w:color w:val="000000" w:themeColor="text1"/>
        </w:rPr>
        <w:t xml:space="preserve"> «подъёмы» в барокамере и</w:t>
      </w:r>
      <w:r w:rsidRPr="00C33834">
        <w:rPr>
          <w:rFonts w:ascii="Times New Roman" w:hAnsi="Times New Roman"/>
          <w:color w:val="000000" w:themeColor="text1"/>
          <w:sz w:val="16"/>
          <w:szCs w:val="16"/>
        </w:rPr>
        <w:t xml:space="preserve"> пробные высотные полёты, после которых самолёт постепенно дорабатывался. Лемуан рассказывал об одной из попыток: </w:t>
      </w:r>
    </w:p>
    <w:p w14:paraId="7CADDF94" w14:textId="77777777" w:rsidR="009E4F90" w:rsidRPr="00C33834" w:rsidRDefault="009E4F90" w:rsidP="00C33834">
      <w:pPr>
        <w:pStyle w:val="28"/>
        <w:shd w:val="clear" w:color="auto" w:fill="auto"/>
        <w:spacing w:before="0" w:line="240" w:lineRule="auto"/>
        <w:jc w:val="both"/>
        <w:rPr>
          <w:rFonts w:ascii="Times New Roman" w:hAnsi="Times New Roman" w:cs="Times New Roman"/>
          <w:color w:val="000000" w:themeColor="text1"/>
          <w:sz w:val="16"/>
          <w:szCs w:val="16"/>
        </w:rPr>
      </w:pPr>
      <w:r w:rsidRPr="00C33834">
        <w:rPr>
          <w:rStyle w:val="2f2"/>
          <w:rFonts w:ascii="Times New Roman" w:eastAsiaTheme="minorHAnsi" w:hAnsi="Times New Roman" w:cs="Times New Roman"/>
          <w:b w:val="0"/>
          <w:color w:val="000000" w:themeColor="text1"/>
          <w:sz w:val="16"/>
          <w:szCs w:val="16"/>
        </w:rPr>
        <w:t>«Моя</w:t>
      </w:r>
      <w:r w:rsidRPr="00C33834">
        <w:rPr>
          <w:rFonts w:ascii="Times New Roman" w:hAnsi="Times New Roman" w:cs="Times New Roman"/>
          <w:color w:val="000000" w:themeColor="text1"/>
          <w:sz w:val="16"/>
          <w:szCs w:val="16"/>
        </w:rPr>
        <w:t xml:space="preserve"> экипировка состояла из шёлковой пижамы, хлопкового комбинезона, бумажной про</w:t>
      </w:r>
      <w:r w:rsidRPr="00C33834">
        <w:rPr>
          <w:rFonts w:ascii="Times New Roman" w:hAnsi="Times New Roman" w:cs="Times New Roman"/>
          <w:color w:val="000000" w:themeColor="text1"/>
          <w:sz w:val="16"/>
          <w:szCs w:val="16"/>
        </w:rPr>
        <w:softHyphen/>
        <w:t>слойки вокруг грудной клетки и очень мягкого кожаного комбинезона. На лице - шёлковый под</w:t>
      </w:r>
      <w:r w:rsidRPr="00C33834">
        <w:rPr>
          <w:rFonts w:ascii="Times New Roman" w:hAnsi="Times New Roman" w:cs="Times New Roman"/>
          <w:color w:val="000000" w:themeColor="text1"/>
          <w:sz w:val="16"/>
          <w:szCs w:val="16"/>
        </w:rPr>
        <w:softHyphen/>
        <w:t>шлемник, замшевая маска и обычный</w:t>
      </w:r>
      <w:r w:rsidRPr="00C33834">
        <w:rPr>
          <w:rStyle w:val="2f2"/>
          <w:rFonts w:ascii="Times New Roman" w:eastAsiaTheme="minorHAnsi" w:hAnsi="Times New Roman" w:cs="Times New Roman"/>
          <w:b w:val="0"/>
          <w:color w:val="000000" w:themeColor="text1"/>
          <w:sz w:val="16"/>
          <w:szCs w:val="16"/>
        </w:rPr>
        <w:t xml:space="preserve"> шлем. У меня</w:t>
      </w:r>
      <w:r w:rsidRPr="00C33834">
        <w:rPr>
          <w:rFonts w:ascii="Times New Roman" w:hAnsi="Times New Roman" w:cs="Times New Roman"/>
          <w:color w:val="000000" w:themeColor="text1"/>
          <w:sz w:val="16"/>
          <w:szCs w:val="16"/>
        </w:rPr>
        <w:t xml:space="preserve"> были рукавицы и</w:t>
      </w:r>
      <w:r w:rsidRPr="00C33834">
        <w:rPr>
          <w:rStyle w:val="2f2"/>
          <w:rFonts w:ascii="Times New Roman" w:eastAsiaTheme="minorHAnsi" w:hAnsi="Times New Roman" w:cs="Times New Roman"/>
          <w:b w:val="0"/>
          <w:color w:val="000000" w:themeColor="text1"/>
          <w:sz w:val="16"/>
          <w:szCs w:val="16"/>
        </w:rPr>
        <w:t xml:space="preserve"> меховые вкладные</w:t>
      </w:r>
      <w:r w:rsidRPr="00C33834">
        <w:rPr>
          <w:rFonts w:ascii="Times New Roman" w:hAnsi="Times New Roman" w:cs="Times New Roman"/>
          <w:color w:val="000000" w:themeColor="text1"/>
          <w:sz w:val="16"/>
          <w:szCs w:val="16"/>
        </w:rPr>
        <w:t xml:space="preserve"> чулки. Очки - без</w:t>
      </w:r>
      <w:r w:rsidRPr="00C33834">
        <w:rPr>
          <w:rStyle w:val="2f2"/>
          <w:rFonts w:ascii="Times New Roman" w:eastAsiaTheme="minorHAnsi" w:hAnsi="Times New Roman" w:cs="Times New Roman"/>
          <w:b w:val="0"/>
          <w:color w:val="000000" w:themeColor="text1"/>
          <w:sz w:val="16"/>
          <w:szCs w:val="16"/>
        </w:rPr>
        <w:t xml:space="preserve"> стёкол, чтобы не образовывался </w:t>
      </w:r>
      <w:r w:rsidRPr="00C33834">
        <w:rPr>
          <w:rFonts w:ascii="Times New Roman" w:hAnsi="Times New Roman" w:cs="Times New Roman"/>
          <w:color w:val="000000" w:themeColor="text1"/>
          <w:sz w:val="16"/>
          <w:szCs w:val="16"/>
        </w:rPr>
        <w:t>иней, окуляры обеспечивали вокруг глаз слой не такого холодного воздуха.</w:t>
      </w:r>
    </w:p>
    <w:p w14:paraId="3567274E" w14:textId="77777777" w:rsidR="009E4F90" w:rsidRPr="00C33834" w:rsidRDefault="009E4F90" w:rsidP="00C33834">
      <w:pPr>
        <w:pStyle w:val="28"/>
        <w:shd w:val="clear" w:color="auto" w:fill="auto"/>
        <w:spacing w:before="0" w:line="240" w:lineRule="auto"/>
        <w:jc w:val="both"/>
        <w:rPr>
          <w:rFonts w:ascii="Times New Roman" w:hAnsi="Times New Roman" w:cs="Times New Roman"/>
          <w:color w:val="000000" w:themeColor="text1"/>
          <w:sz w:val="16"/>
          <w:szCs w:val="16"/>
        </w:rPr>
      </w:pPr>
      <w:r w:rsidRPr="00C33834">
        <w:rPr>
          <w:rStyle w:val="2f2"/>
          <w:rFonts w:ascii="Times New Roman" w:eastAsiaTheme="minorHAnsi" w:hAnsi="Times New Roman" w:cs="Times New Roman"/>
          <w:b w:val="0"/>
          <w:color w:val="000000" w:themeColor="text1"/>
          <w:sz w:val="16"/>
          <w:szCs w:val="16"/>
        </w:rPr>
        <w:t>Я взлетел в ] 0:40, полный надежд, и</w:t>
      </w:r>
      <w:r w:rsidRPr="00C33834">
        <w:rPr>
          <w:rFonts w:ascii="Times New Roman" w:hAnsi="Times New Roman" w:cs="Times New Roman"/>
          <w:color w:val="000000" w:themeColor="text1"/>
          <w:sz w:val="16"/>
          <w:szCs w:val="16"/>
        </w:rPr>
        <w:t xml:space="preserve"> разме</w:t>
      </w:r>
      <w:r w:rsidRPr="00C33834">
        <w:rPr>
          <w:rFonts w:ascii="Times New Roman" w:hAnsi="Times New Roman" w:cs="Times New Roman"/>
          <w:color w:val="000000" w:themeColor="text1"/>
          <w:sz w:val="16"/>
          <w:szCs w:val="16"/>
        </w:rPr>
        <w:softHyphen/>
        <w:t xml:space="preserve">ренно набирал высоту 8000 метров, используя только часть мощности мотора (режим 1800 оборотов в минуту). Пролетая над регионом Бос, я достиг этой высоты за 30 минут. Выше 8000 метров я прибавил газ до 2350 оборотов </w:t>
      </w:r>
      <w:r w:rsidRPr="00C33834">
        <w:rPr>
          <w:rStyle w:val="26pt"/>
          <w:rFonts w:ascii="Times New Roman" w:hAnsi="Times New Roman" w:cs="Times New Roman"/>
          <w:b w:val="0"/>
          <w:color w:val="000000" w:themeColor="text1"/>
          <w:sz w:val="16"/>
          <w:szCs w:val="16"/>
        </w:rPr>
        <w:t>з</w:t>
      </w:r>
      <w:r w:rsidRPr="00C33834">
        <w:rPr>
          <w:rFonts w:ascii="Times New Roman" w:hAnsi="Times New Roman" w:cs="Times New Roman"/>
          <w:color w:val="000000" w:themeColor="text1"/>
          <w:sz w:val="16"/>
          <w:szCs w:val="16"/>
        </w:rPr>
        <w:t xml:space="preserve"> минуту</w:t>
      </w:r>
      <w:r w:rsidRPr="00C33834">
        <w:rPr>
          <w:rStyle w:val="2f2"/>
          <w:rFonts w:ascii="Times New Roman" w:eastAsiaTheme="minorHAnsi" w:hAnsi="Times New Roman" w:cs="Times New Roman"/>
          <w:b w:val="0"/>
          <w:color w:val="000000" w:themeColor="text1"/>
          <w:sz w:val="16"/>
          <w:szCs w:val="16"/>
        </w:rPr>
        <w:t xml:space="preserve"> и</w:t>
      </w:r>
      <w:r w:rsidRPr="00C33834">
        <w:rPr>
          <w:rFonts w:ascii="Times New Roman" w:hAnsi="Times New Roman" w:cs="Times New Roman"/>
          <w:color w:val="000000" w:themeColor="text1"/>
          <w:sz w:val="16"/>
          <w:szCs w:val="16"/>
        </w:rPr>
        <w:t xml:space="preserve"> переставил стабилизатор, чтобы</w:t>
      </w:r>
      <w:r w:rsidRPr="00C33834">
        <w:rPr>
          <w:rStyle w:val="26pt"/>
          <w:rFonts w:ascii="Times New Roman" w:hAnsi="Times New Roman" w:cs="Times New Roman"/>
          <w:b w:val="0"/>
          <w:color w:val="000000" w:themeColor="text1"/>
          <w:sz w:val="16"/>
          <w:szCs w:val="16"/>
        </w:rPr>
        <w:t xml:space="preserve"> ле</w:t>
      </w:r>
      <w:r w:rsidRPr="00C33834">
        <w:rPr>
          <w:rStyle w:val="26pt"/>
          <w:rFonts w:ascii="Times New Roman" w:hAnsi="Times New Roman" w:cs="Times New Roman"/>
          <w:b w:val="0"/>
          <w:color w:val="000000" w:themeColor="text1"/>
          <w:sz w:val="16"/>
          <w:szCs w:val="16"/>
        </w:rPr>
        <w:softHyphen/>
      </w:r>
      <w:r w:rsidRPr="00C33834">
        <w:rPr>
          <w:rFonts w:ascii="Times New Roman" w:hAnsi="Times New Roman" w:cs="Times New Roman"/>
          <w:color w:val="000000" w:themeColor="text1"/>
          <w:sz w:val="16"/>
          <w:szCs w:val="16"/>
        </w:rPr>
        <w:t>теть с оптимальным углом набора высоты.</w:t>
      </w:r>
    </w:p>
    <w:p w14:paraId="515B9C99" w14:textId="77777777" w:rsidR="009E4F90" w:rsidRPr="00C33834" w:rsidRDefault="009E4F90" w:rsidP="00C33834">
      <w:pPr>
        <w:pStyle w:val="28"/>
        <w:shd w:val="clear" w:color="auto" w:fill="auto"/>
        <w:spacing w:before="0" w:line="240" w:lineRule="auto"/>
        <w:jc w:val="both"/>
        <w:rPr>
          <w:rFonts w:ascii="Times New Roman" w:hAnsi="Times New Roman" w:cs="Times New Roman"/>
          <w:color w:val="000000" w:themeColor="text1"/>
          <w:sz w:val="16"/>
          <w:szCs w:val="16"/>
        </w:rPr>
      </w:pPr>
      <w:r w:rsidRPr="00C33834">
        <w:rPr>
          <w:rStyle w:val="2f2"/>
          <w:rFonts w:ascii="Times New Roman" w:eastAsiaTheme="minorHAnsi" w:hAnsi="Times New Roman" w:cs="Times New Roman"/>
          <w:b w:val="0"/>
          <w:color w:val="000000" w:themeColor="text1"/>
          <w:sz w:val="16"/>
          <w:szCs w:val="16"/>
        </w:rPr>
        <w:t>Официальные барографы были спрятаны з</w:t>
      </w:r>
      <w:r w:rsidRPr="00C33834">
        <w:rPr>
          <w:rFonts w:ascii="Times New Roman" w:hAnsi="Times New Roman" w:cs="Times New Roman"/>
          <w:color w:val="000000" w:themeColor="text1"/>
          <w:sz w:val="16"/>
          <w:szCs w:val="16"/>
        </w:rPr>
        <w:t xml:space="preserve"> фюзеляже комиссарами аэроклуба, месье Сади-Леконтом (</w:t>
      </w:r>
      <w:r w:rsidRPr="00C33834">
        <w:rPr>
          <w:rFonts w:ascii="Times New Roman" w:hAnsi="Times New Roman" w:cs="Times New Roman"/>
          <w:color w:val="000000" w:themeColor="text1"/>
          <w:sz w:val="16"/>
          <w:szCs w:val="16"/>
          <w:lang w:val="en-US"/>
        </w:rPr>
        <w:t>Sadi</w:t>
      </w:r>
      <w:r w:rsidRPr="00C33834">
        <w:rPr>
          <w:rFonts w:ascii="Times New Roman" w:hAnsi="Times New Roman" w:cs="Times New Roman"/>
          <w:color w:val="000000" w:themeColor="text1"/>
          <w:sz w:val="16"/>
          <w:szCs w:val="16"/>
        </w:rPr>
        <w:t>-</w:t>
      </w:r>
      <w:r w:rsidRPr="00C33834">
        <w:rPr>
          <w:rFonts w:ascii="Times New Roman" w:hAnsi="Times New Roman" w:cs="Times New Roman"/>
          <w:color w:val="000000" w:themeColor="text1"/>
          <w:sz w:val="16"/>
          <w:szCs w:val="16"/>
          <w:lang w:val="en-US"/>
        </w:rPr>
        <w:t>Lecointej</w:t>
      </w:r>
      <w:r w:rsidRPr="00C33834">
        <w:rPr>
          <w:rFonts w:ascii="Times New Roman" w:hAnsi="Times New Roman" w:cs="Times New Roman"/>
          <w:color w:val="000000" w:themeColor="text1"/>
          <w:sz w:val="16"/>
          <w:szCs w:val="16"/>
        </w:rPr>
        <w:t xml:space="preserve"> и месье Эспи- </w:t>
      </w:r>
      <w:r w:rsidRPr="00C33834">
        <w:rPr>
          <w:rStyle w:val="2f2"/>
          <w:rFonts w:ascii="Times New Roman" w:eastAsiaTheme="minorHAnsi" w:hAnsi="Times New Roman" w:cs="Times New Roman"/>
          <w:b w:val="0"/>
          <w:color w:val="000000" w:themeColor="text1"/>
          <w:sz w:val="16"/>
          <w:szCs w:val="16"/>
        </w:rPr>
        <w:t>на (</w:t>
      </w:r>
      <w:r w:rsidRPr="00C33834">
        <w:rPr>
          <w:rStyle w:val="2f2"/>
          <w:rFonts w:ascii="Times New Roman" w:eastAsiaTheme="minorHAnsi" w:hAnsi="Times New Roman" w:cs="Times New Roman"/>
          <w:b w:val="0"/>
          <w:color w:val="000000" w:themeColor="text1"/>
          <w:sz w:val="16"/>
          <w:szCs w:val="16"/>
          <w:lang w:val="en-US"/>
        </w:rPr>
        <w:t>Espinat</w:t>
      </w:r>
      <w:r w:rsidRPr="00C33834">
        <w:rPr>
          <w:rStyle w:val="2f2"/>
          <w:rFonts w:ascii="Times New Roman" w:eastAsiaTheme="minorHAnsi" w:hAnsi="Times New Roman" w:cs="Times New Roman"/>
          <w:b w:val="0"/>
          <w:color w:val="000000" w:themeColor="text1"/>
          <w:sz w:val="16"/>
          <w:szCs w:val="16"/>
        </w:rPr>
        <w:t>), и</w:t>
      </w:r>
      <w:r w:rsidRPr="00C33834">
        <w:rPr>
          <w:rFonts w:ascii="Times New Roman" w:hAnsi="Times New Roman" w:cs="Times New Roman"/>
          <w:color w:val="000000" w:themeColor="text1"/>
          <w:sz w:val="16"/>
          <w:szCs w:val="16"/>
        </w:rPr>
        <w:t xml:space="preserve"> перед</w:t>
      </w:r>
      <w:r w:rsidRPr="00C33834">
        <w:rPr>
          <w:rStyle w:val="2f2"/>
          <w:rFonts w:ascii="Times New Roman" w:eastAsiaTheme="minorHAnsi" w:hAnsi="Times New Roman" w:cs="Times New Roman"/>
          <w:b w:val="0"/>
          <w:color w:val="000000" w:themeColor="text1"/>
          <w:sz w:val="16"/>
          <w:szCs w:val="16"/>
        </w:rPr>
        <w:t xml:space="preserve"> глазами</w:t>
      </w:r>
      <w:r w:rsidRPr="00C33834">
        <w:rPr>
          <w:rFonts w:ascii="Times New Roman" w:hAnsi="Times New Roman" w:cs="Times New Roman"/>
          <w:color w:val="000000" w:themeColor="text1"/>
          <w:sz w:val="16"/>
          <w:szCs w:val="16"/>
        </w:rPr>
        <w:t xml:space="preserve"> у меня был только собственный барограф, тоже официальный. Благодаря ему, я шаг за шагом отслеживал набор высоты. От 8000 до 13000 метров я поднимался 1</w:t>
      </w:r>
      <w:r w:rsidRPr="00C33834">
        <w:rPr>
          <w:rStyle w:val="2f2"/>
          <w:rFonts w:ascii="Times New Roman" w:eastAsiaTheme="minorHAnsi" w:hAnsi="Times New Roman" w:cs="Times New Roman"/>
          <w:b w:val="0"/>
          <w:color w:val="000000" w:themeColor="text1"/>
          <w:sz w:val="16"/>
          <w:szCs w:val="16"/>
        </w:rPr>
        <w:t xml:space="preserve"> час.</w:t>
      </w:r>
      <w:r w:rsidRPr="00C33834">
        <w:rPr>
          <w:rFonts w:ascii="Times New Roman" w:hAnsi="Times New Roman" w:cs="Times New Roman"/>
          <w:color w:val="000000" w:themeColor="text1"/>
          <w:sz w:val="16"/>
          <w:szCs w:val="16"/>
        </w:rPr>
        <w:t xml:space="preserve"> Какой холод! Но, при этом, какой восторг. С высоты моему взору откры</w:t>
      </w:r>
      <w:r w:rsidRPr="00C33834">
        <w:rPr>
          <w:rFonts w:ascii="Times New Roman" w:hAnsi="Times New Roman" w:cs="Times New Roman"/>
          <w:color w:val="000000" w:themeColor="text1"/>
          <w:sz w:val="16"/>
          <w:szCs w:val="16"/>
        </w:rPr>
        <w:softHyphen/>
        <w:t>лась четверть Франции.</w:t>
      </w:r>
    </w:p>
    <w:p w14:paraId="42937B70" w14:textId="77777777" w:rsidR="009E4F90" w:rsidRPr="00C33834" w:rsidRDefault="009E4F90" w:rsidP="00C33834">
      <w:pPr>
        <w:pStyle w:val="28"/>
        <w:shd w:val="clear" w:color="auto" w:fill="auto"/>
        <w:spacing w:before="0" w:line="240" w:lineRule="auto"/>
        <w:jc w:val="both"/>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Я различал Ла Манш и угадывал берег Ан</w:t>
      </w:r>
      <w:r w:rsidRPr="00C33834">
        <w:rPr>
          <w:rFonts w:ascii="Times New Roman" w:hAnsi="Times New Roman" w:cs="Times New Roman"/>
          <w:color w:val="000000" w:themeColor="text1"/>
          <w:sz w:val="16"/>
          <w:szCs w:val="16"/>
        </w:rPr>
        <w:softHyphen/>
        <w:t>глии. Дыхательный аппарат работал превос</w:t>
      </w:r>
      <w:r w:rsidRPr="00C33834">
        <w:rPr>
          <w:rFonts w:ascii="Times New Roman" w:hAnsi="Times New Roman" w:cs="Times New Roman"/>
          <w:color w:val="000000" w:themeColor="text1"/>
          <w:sz w:val="16"/>
          <w:szCs w:val="16"/>
        </w:rPr>
        <w:softHyphen/>
        <w:t>ходно, и, начиная с высоты 2500 метров, он автоматически</w:t>
      </w:r>
      <w:r w:rsidRPr="00C33834">
        <w:rPr>
          <w:rStyle w:val="2f2"/>
          <w:rFonts w:ascii="Times New Roman" w:eastAsiaTheme="minorHAnsi" w:hAnsi="Times New Roman" w:cs="Times New Roman"/>
          <w:b w:val="0"/>
          <w:color w:val="000000" w:themeColor="text1"/>
          <w:sz w:val="16"/>
          <w:szCs w:val="16"/>
        </w:rPr>
        <w:t xml:space="preserve"> подавал</w:t>
      </w:r>
      <w:r w:rsidRPr="00C33834">
        <w:rPr>
          <w:rFonts w:ascii="Times New Roman" w:hAnsi="Times New Roman" w:cs="Times New Roman"/>
          <w:color w:val="000000" w:themeColor="text1"/>
          <w:sz w:val="16"/>
          <w:szCs w:val="16"/>
        </w:rPr>
        <w:t xml:space="preserve"> мне подогретый кис</w:t>
      </w:r>
      <w:r w:rsidRPr="00C33834">
        <w:rPr>
          <w:rFonts w:ascii="Times New Roman" w:hAnsi="Times New Roman" w:cs="Times New Roman"/>
          <w:color w:val="000000" w:themeColor="text1"/>
          <w:sz w:val="16"/>
          <w:szCs w:val="16"/>
        </w:rPr>
        <w:softHyphen/>
        <w:t>лород. Между 8000 до 1 1500 метров я пере</w:t>
      </w:r>
      <w:r w:rsidRPr="00C33834">
        <w:rPr>
          <w:rFonts w:ascii="Times New Roman" w:hAnsi="Times New Roman" w:cs="Times New Roman"/>
          <w:color w:val="000000" w:themeColor="text1"/>
          <w:sz w:val="16"/>
          <w:szCs w:val="16"/>
        </w:rPr>
        <w:softHyphen/>
        <w:t>ключил один из кислородных аппаратов на по</w:t>
      </w:r>
      <w:r w:rsidRPr="00C33834">
        <w:rPr>
          <w:rFonts w:ascii="Times New Roman" w:hAnsi="Times New Roman" w:cs="Times New Roman"/>
          <w:color w:val="000000" w:themeColor="text1"/>
          <w:sz w:val="16"/>
          <w:szCs w:val="16"/>
        </w:rPr>
        <w:softHyphen/>
        <w:t>вышенную производительность, а выше 1 1500 метров - оба.</w:t>
      </w:r>
    </w:p>
    <w:p w14:paraId="2EF35A12" w14:textId="77777777" w:rsidR="009E4F90" w:rsidRPr="00C33834" w:rsidRDefault="009E4F90" w:rsidP="00C33834">
      <w:pPr>
        <w:pStyle w:val="28"/>
        <w:shd w:val="clear" w:color="auto" w:fill="auto"/>
        <w:spacing w:before="0" w:line="240" w:lineRule="auto"/>
        <w:jc w:val="both"/>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На высоте 13000 м произошли резкие сильные порывы ветра, которые стали причиной мгновенного падения на 50 метров, и мне пришлось несколько минут лететь без набора высоты.</w:t>
      </w:r>
    </w:p>
    <w:p w14:paraId="48D32AF9" w14:textId="77777777" w:rsidR="009E4F90" w:rsidRPr="00C33834" w:rsidRDefault="009E4F90" w:rsidP="00C33834">
      <w:pPr>
        <w:pStyle w:val="28"/>
        <w:shd w:val="clear" w:color="auto" w:fill="auto"/>
        <w:spacing w:before="0" w:line="240" w:lineRule="auto"/>
        <w:jc w:val="both"/>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К 13200 метрам перо барографа прекратило писать. К счастью, официальные барографы, обмазанные сажей, продолжали работать, иначе рекорд не был бы зафиксирован.</w:t>
      </w:r>
    </w:p>
    <w:p w14:paraId="68246267" w14:textId="77777777" w:rsidR="009E4F90" w:rsidRPr="00C33834" w:rsidRDefault="009E4F90" w:rsidP="00C33834">
      <w:pPr>
        <w:pStyle w:val="28"/>
        <w:shd w:val="clear" w:color="auto" w:fill="auto"/>
        <w:spacing w:before="0" w:line="240" w:lineRule="auto"/>
        <w:jc w:val="both"/>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Взгляд на вариометр уверил меня, что попытка продолжается успешно, судя по указанию положительной вертикальной скорости.</w:t>
      </w:r>
    </w:p>
    <w:p w14:paraId="56E0025A" w14:textId="77777777" w:rsidR="009E4F90" w:rsidRPr="00C33834" w:rsidRDefault="009E4F90" w:rsidP="00C33834">
      <w:pPr>
        <w:pStyle w:val="28"/>
        <w:shd w:val="clear" w:color="auto" w:fill="auto"/>
        <w:spacing w:before="0" w:line="240" w:lineRule="auto"/>
        <w:jc w:val="both"/>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Видимость простиралась на многие сотни километров. На границе горизонта справа свер</w:t>
      </w:r>
      <w:r w:rsidRPr="00C33834">
        <w:rPr>
          <w:rFonts w:ascii="Times New Roman" w:hAnsi="Times New Roman" w:cs="Times New Roman"/>
          <w:color w:val="000000" w:themeColor="text1"/>
          <w:sz w:val="16"/>
          <w:szCs w:val="16"/>
        </w:rPr>
        <w:softHyphen/>
        <w:t>кала Сена, тогда как с другого борта я ясно различал Луару, усеянную залежами песка. Стол</w:t>
      </w:r>
      <w:r w:rsidRPr="00C33834">
        <w:rPr>
          <w:rFonts w:ascii="Times New Roman" w:hAnsi="Times New Roman" w:cs="Times New Roman"/>
          <w:color w:val="000000" w:themeColor="text1"/>
          <w:sz w:val="16"/>
          <w:szCs w:val="16"/>
        </w:rPr>
        <w:softHyphen/>
        <w:t>бик термометра показывал температуру ниже минус 60 градусов, и, тем не менее, мне не было холодно. &lt;...&gt; Я чувствовал себя хорошо.</w:t>
      </w:r>
    </w:p>
    <w:p w14:paraId="6AC716FA" w14:textId="77777777" w:rsidR="009E4F90" w:rsidRPr="00C33834" w:rsidRDefault="009E4F90" w:rsidP="00C33834">
      <w:pPr>
        <w:pStyle w:val="28"/>
        <w:shd w:val="clear" w:color="auto" w:fill="auto"/>
        <w:spacing w:before="0" w:line="240" w:lineRule="auto"/>
        <w:jc w:val="both"/>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Однако после сильной болтанки во все стороны и с глазами, частично прикрытыми льдин</w:t>
      </w:r>
      <w:r w:rsidRPr="00C33834">
        <w:rPr>
          <w:rFonts w:ascii="Times New Roman" w:hAnsi="Times New Roman" w:cs="Times New Roman"/>
          <w:color w:val="000000" w:themeColor="text1"/>
          <w:sz w:val="16"/>
          <w:szCs w:val="16"/>
        </w:rPr>
        <w:softHyphen/>
        <w:t>ками, образовавшимися на кончиках ресниц и постепенно снизившими мои зрительные воз</w:t>
      </w:r>
      <w:r w:rsidRPr="00C33834">
        <w:rPr>
          <w:rFonts w:ascii="Times New Roman" w:hAnsi="Times New Roman" w:cs="Times New Roman"/>
          <w:color w:val="000000" w:themeColor="text1"/>
          <w:sz w:val="16"/>
          <w:szCs w:val="16"/>
        </w:rPr>
        <w:softHyphen/>
        <w:t>можности,</w:t>
      </w:r>
      <w:r w:rsidRPr="00C33834">
        <w:rPr>
          <w:rStyle w:val="2f2"/>
          <w:rFonts w:ascii="Times New Roman" w:eastAsiaTheme="minorHAnsi" w:hAnsi="Times New Roman" w:cs="Times New Roman"/>
          <w:b w:val="0"/>
          <w:color w:val="000000" w:themeColor="text1"/>
          <w:sz w:val="16"/>
          <w:szCs w:val="16"/>
        </w:rPr>
        <w:t xml:space="preserve"> пришлось</w:t>
      </w:r>
      <w:r w:rsidRPr="00C33834">
        <w:rPr>
          <w:rFonts w:ascii="Times New Roman" w:hAnsi="Times New Roman" w:cs="Times New Roman"/>
          <w:color w:val="000000" w:themeColor="text1"/>
          <w:sz w:val="16"/>
          <w:szCs w:val="16"/>
        </w:rPr>
        <w:t xml:space="preserve"> прервать попытку, хотя мой Поте еще не достиг потолка. Находясь над Орлеаном, я остановил двигатель и, планируя, вернулся в Виллакубле в 12:45.</w:t>
      </w:r>
    </w:p>
    <w:p w14:paraId="72C95E51" w14:textId="77777777" w:rsidR="009E4F90" w:rsidRPr="00C33834" w:rsidRDefault="009E4F90" w:rsidP="00C33834">
      <w:pPr>
        <w:pStyle w:val="28"/>
        <w:shd w:val="clear" w:color="auto" w:fill="auto"/>
        <w:spacing w:before="0" w:line="240" w:lineRule="auto"/>
        <w:jc w:val="both"/>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Когда вчера утром я решил приступить к установлению рекорда, к которому приблизился на 28 метров во время предыдущей попытки, сомнений в успехе не было. &lt;...&gt; Мой Поте прошел испытания, и с ним я уже</w:t>
      </w:r>
      <w:r w:rsidRPr="00C33834">
        <w:rPr>
          <w:rStyle w:val="2f2"/>
          <w:rFonts w:ascii="Times New Roman" w:eastAsiaTheme="minorHAnsi" w:hAnsi="Times New Roman" w:cs="Times New Roman"/>
          <w:b w:val="0"/>
          <w:color w:val="000000" w:themeColor="text1"/>
          <w:sz w:val="16"/>
          <w:szCs w:val="16"/>
        </w:rPr>
        <w:t xml:space="preserve"> 1</w:t>
      </w:r>
      <w:r w:rsidRPr="00C33834">
        <w:rPr>
          <w:rFonts w:ascii="Times New Roman" w:hAnsi="Times New Roman" w:cs="Times New Roman"/>
          <w:color w:val="000000" w:themeColor="text1"/>
          <w:sz w:val="16"/>
          <w:szCs w:val="16"/>
        </w:rPr>
        <w:t>3 раз поднимался выше 12000</w:t>
      </w:r>
      <w:r w:rsidRPr="00C33834">
        <w:rPr>
          <w:rStyle w:val="2f2"/>
          <w:rFonts w:ascii="Times New Roman" w:eastAsiaTheme="minorHAnsi" w:hAnsi="Times New Roman" w:cs="Times New Roman"/>
          <w:b w:val="0"/>
          <w:color w:val="000000" w:themeColor="text1"/>
          <w:sz w:val="16"/>
          <w:szCs w:val="16"/>
        </w:rPr>
        <w:t xml:space="preserve"> метров.</w:t>
      </w:r>
    </w:p>
    <w:p w14:paraId="3234400A" w14:textId="77777777" w:rsidR="009E4F90" w:rsidRPr="00C33834" w:rsidRDefault="009E4F90" w:rsidP="00C33834">
      <w:pPr>
        <w:pStyle w:val="28"/>
        <w:shd w:val="clear" w:color="auto" w:fill="auto"/>
        <w:spacing w:before="0" w:line="240" w:lineRule="auto"/>
        <w:jc w:val="both"/>
        <w:rPr>
          <w:rFonts w:ascii="Times New Roman" w:hAnsi="Times New Roman" w:cs="Times New Roman"/>
          <w:color w:val="000000" w:themeColor="text1"/>
          <w:sz w:val="16"/>
          <w:szCs w:val="16"/>
        </w:rPr>
      </w:pPr>
      <w:r w:rsidRPr="00C33834">
        <w:rPr>
          <w:rFonts w:ascii="Times New Roman" w:hAnsi="Times New Roman" w:cs="Times New Roman"/>
          <w:color w:val="000000" w:themeColor="text1"/>
          <w:sz w:val="16"/>
          <w:szCs w:val="16"/>
        </w:rPr>
        <w:t xml:space="preserve">Несколькими днями ранее месье П.-Л. Вейер (РА. </w:t>
      </w:r>
      <w:r w:rsidRPr="00C33834">
        <w:rPr>
          <w:rFonts w:ascii="Times New Roman" w:hAnsi="Times New Roman" w:cs="Times New Roman"/>
          <w:color w:val="000000" w:themeColor="text1"/>
          <w:sz w:val="16"/>
          <w:szCs w:val="16"/>
          <w:lang w:val="en-US"/>
        </w:rPr>
        <w:t>Weillerj</w:t>
      </w:r>
      <w:r w:rsidRPr="00C33834">
        <w:rPr>
          <w:rFonts w:ascii="Times New Roman" w:hAnsi="Times New Roman" w:cs="Times New Roman"/>
          <w:color w:val="000000" w:themeColor="text1"/>
          <w:sz w:val="16"/>
          <w:szCs w:val="16"/>
        </w:rPr>
        <w:t xml:space="preserve"> сказал, что мотор должен преодо</w:t>
      </w:r>
      <w:r w:rsidRPr="00C33834">
        <w:rPr>
          <w:rFonts w:ascii="Times New Roman" w:hAnsi="Times New Roman" w:cs="Times New Roman"/>
          <w:color w:val="000000" w:themeColor="text1"/>
          <w:sz w:val="16"/>
          <w:szCs w:val="16"/>
        </w:rPr>
        <w:softHyphen/>
        <w:t>леть 13000 метров. Я знал также, что планер Поте 50 вполне подходит для такого достижения. Как</w:t>
      </w:r>
      <w:r w:rsidRPr="00C33834">
        <w:rPr>
          <w:rStyle w:val="2f2"/>
          <w:rFonts w:ascii="Times New Roman" w:eastAsiaTheme="minorHAnsi" w:hAnsi="Times New Roman" w:cs="Times New Roman"/>
          <w:b w:val="0"/>
          <w:color w:val="000000" w:themeColor="text1"/>
          <w:sz w:val="16"/>
          <w:szCs w:val="16"/>
        </w:rPr>
        <w:t xml:space="preserve"> в</w:t>
      </w:r>
      <w:r w:rsidRPr="00C33834">
        <w:rPr>
          <w:rFonts w:ascii="Times New Roman" w:hAnsi="Times New Roman" w:cs="Times New Roman"/>
          <w:color w:val="000000" w:themeColor="text1"/>
          <w:sz w:val="16"/>
          <w:szCs w:val="16"/>
        </w:rPr>
        <w:t xml:space="preserve"> таких условиях мне</w:t>
      </w:r>
      <w:r w:rsidRPr="00C33834">
        <w:rPr>
          <w:rStyle w:val="2f2"/>
          <w:rFonts w:ascii="Times New Roman" w:eastAsiaTheme="minorHAnsi" w:hAnsi="Times New Roman" w:cs="Times New Roman"/>
          <w:b w:val="0"/>
          <w:color w:val="000000" w:themeColor="text1"/>
          <w:sz w:val="16"/>
          <w:szCs w:val="16"/>
        </w:rPr>
        <w:t xml:space="preserve"> не</w:t>
      </w:r>
      <w:r w:rsidRPr="00C33834">
        <w:rPr>
          <w:rFonts w:ascii="Times New Roman" w:hAnsi="Times New Roman" w:cs="Times New Roman"/>
          <w:color w:val="000000" w:themeColor="text1"/>
          <w:sz w:val="16"/>
          <w:szCs w:val="16"/>
        </w:rPr>
        <w:t xml:space="preserve"> быть</w:t>
      </w:r>
      <w:r w:rsidRPr="00C33834">
        <w:rPr>
          <w:rStyle w:val="26pt"/>
          <w:rFonts w:ascii="Times New Roman" w:hAnsi="Times New Roman" w:cs="Times New Roman"/>
          <w:b w:val="0"/>
          <w:color w:val="000000" w:themeColor="text1"/>
          <w:sz w:val="16"/>
          <w:szCs w:val="16"/>
        </w:rPr>
        <w:t xml:space="preserve"> уверенным?»</w:t>
      </w:r>
      <w:r w:rsidRPr="00C33834">
        <w:rPr>
          <w:rStyle w:val="2f2"/>
          <w:rFonts w:ascii="Times New Roman" w:eastAsiaTheme="minorHAnsi" w:hAnsi="Times New Roman" w:cs="Times New Roman"/>
          <w:b w:val="0"/>
          <w:color w:val="000000" w:themeColor="text1"/>
          <w:sz w:val="16"/>
          <w:szCs w:val="16"/>
        </w:rPr>
        <w:t>.</w:t>
      </w:r>
    </w:p>
    <w:p w14:paraId="198987CB" w14:textId="77777777" w:rsidR="009E4F90" w:rsidRPr="00C33834" w:rsidRDefault="009E4F9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Полёт 28 сентября 1933 г. длился чуть больше двух часов. Наверху температура составляла минус 60°С, и Лемуана мучила боль в глазах, на его веках образовались сосульки (на высоте использовались очки без стёкол). Самолёт бросало сильными порывами ветра (15974).</w:t>
      </w:r>
    </w:p>
    <w:p w14:paraId="4C2B2726" w14:textId="77777777" w:rsidR="009E4F90" w:rsidRPr="00C33834" w:rsidRDefault="009E4F90" w:rsidP="00C33834">
      <w:pPr>
        <w:spacing w:after="0" w:line="240" w:lineRule="auto"/>
        <w:jc w:val="both"/>
        <w:rPr>
          <w:rFonts w:ascii="Times New Roman" w:hAnsi="Times New Roman"/>
          <w:color w:val="000000" w:themeColor="text1"/>
          <w:sz w:val="16"/>
          <w:szCs w:val="16"/>
        </w:rPr>
      </w:pPr>
    </w:p>
    <w:p w14:paraId="67E6872A" w14:textId="77777777" w:rsidR="002910CF" w:rsidRPr="00C33834" w:rsidRDefault="002910C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28 сентября 1933 Гюстав Лемуан , использующий кислород, но без скафандра, устанавливает новый мировой рекорд высоты в 13 661 м (44 820 футов) на Potez 506, не имея возможности подняться выше из-за обледенения глаз, когда он сидит в своей открытой кабине . Его полет из Вилакубле , Франция, длится 2 часа 5 минут (20802).</w:t>
      </w:r>
    </w:p>
    <w:p w14:paraId="11DC4E39" w14:textId="77777777" w:rsidR="002910CF" w:rsidRPr="00C33834" w:rsidRDefault="002910CF" w:rsidP="00C33834">
      <w:pPr>
        <w:spacing w:after="0" w:line="240" w:lineRule="auto"/>
        <w:jc w:val="both"/>
        <w:rPr>
          <w:rFonts w:ascii="Times New Roman" w:hAnsi="Times New Roman"/>
          <w:color w:val="0070C0"/>
          <w:sz w:val="16"/>
          <w:szCs w:val="16"/>
        </w:rPr>
      </w:pPr>
    </w:p>
    <w:p w14:paraId="2E89C3AF"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624D31C"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7DC3BE6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сентября 1933 были закончены испытания ТБ-4 (АНТ-16) (92,433).</w:t>
      </w:r>
    </w:p>
    <w:p w14:paraId="596C382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23 сентября 1933 начались совместные гос. и войсковые испытания АНТ-16 (ТБ-4). Показал летные данные, удовлетворяющие ТТТ и отметили резервы по улучшению. Выставили дополнительные требования, которые решили учесть при постройке дублера (2072,64).</w:t>
      </w:r>
    </w:p>
    <w:p w14:paraId="27B4108F"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41EBFB3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29 сентября 1933 начались испытательные полеты на ТБ-4 в ходе государственных испытаний. Результаты их выглядели неоднозначно. Летал экипаж П.М. Стефановского. Стефановский позднее писал в своих мемуарах о новом самолете: "Он просто потрясал!"</w:t>
      </w:r>
    </w:p>
    <w:p w14:paraId="1512435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одной стороны, в отчете НИИ было записано: "Выпуск самолета ТБ4-6М34 с полетным весом 33 тонны является, несомненно, крупнейшим достижением Советского самолетостроения". С другой, на акте утверждения отчета начальник ВВС Я.И. Алкснис начертал резолюцию: "Констатирую, что в предъявленном виде самолет ТБ4-6М34 государственных испытаний не выдержал и к серийной постройке не может быть допущен". Причиной столь резкой реакции начальника ВВС РККА стал ряд существенных недостатков, выявленных в НИИ ВВС.</w:t>
      </w:r>
    </w:p>
    <w:p w14:paraId="78ADC42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Пилотирование гиганта оказалось не столь простым, как уверял Стефановского Громов. В отчете записано: "Взлет и посадка вследствие недостаточной мощности рулей высоты сложны и требуют согласованной работы обязательно двух летчиков. Самолет трудно отрывается от земли, имея разбег около 800 метров". Дело в том, что управление электроприводом стабилизатора поставили только у второго пилота. Командир действовал штурвалом, а второй пилот по его командам включал и выключал электромотор. При этом кнопки он искал на ощупь, держа штурвал одной рукой. Учитывая, что нагрузки на штурвале были очень велики, и его запросто могло вырвать, испытатели и пришли к такому разделению труда - один держит штурвал, а второй включает и выключает.</w:t>
      </w:r>
    </w:p>
    <w:p w14:paraId="3D4A254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взлете приходилось дважды включать электромеханизм перестановки стабилизатора. При этом подъемник работал ненадежно. Один раз его отказ чуть не привел к катастрофе. Электромотор после взлета не выключился и продолжал выворачивать стабилизатор. Бомбардировщик задрал нос и начал быстро терять скорость. Вот тут выявился еще один существенный конструктивный недостаток - отсутствие связи пилотов со старшим борттехником. На его месте в этом полете сидел инженер Л.И. Шевердинский. Наконец, Стефановскому удалось привлечь его внимание резким изменением оборотов одного из двигателей. Проблему решили обыкновенные кусачки - Шевердинский перерезал провод к электромотору. Сели без перестановки стабилизатора, используя многочисленный экипаж как живой балласт для изменения центровки. Летать, постоянно ожидая отказа управления, было просто страшновато.</w:t>
      </w:r>
    </w:p>
    <w:p w14:paraId="6085791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Были и другие неприятности. Выявилась тряска хвостового оперения. "При пробе плоскостных моторов на земле наблюдается боковое раскачивание хвостового оперения. При пробе тандемных моторов раскачивание оперения достигает больших размеров, вызывая опасение за сохранение прочности...". В полете незначительные вибрации проявлялись на всех режимах полета, усиливаясь при скоростях меньше 170 км/ч. Если летчики давали полный газ верхним моторам, начинал вдобавок раскачиваться руль направления. Но это были еще цветочки...</w:t>
      </w:r>
    </w:p>
    <w:p w14:paraId="7B839F8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 стадии проверки возможности пилотирования самолета на пяти и даже четырех моторах, стало еще хуже. Когда выключали один двигатель, в сущности, ничего не менялось. На высоте 1000 м бомбардировщик продолжал лететь горизонтально, нагрузки для пилотов оставались в приемлемых пределах. Когда выключали два - самолет терял высоту. Более того, если убирали газ двум моторам с одной стороны, хвостовую часть начинало дергать. Тряска была столь сильной, что серьезно обеспокоила испытателей. Из ЦАГИ прибыл В.М. Петляков, руководивший у Туполева бригадой тяжелых самолетов. Его засунули в кабину кормового стрелка и </w:t>
      </w:r>
      <w:r w:rsidRPr="00C33834">
        <w:rPr>
          <w:rFonts w:ascii="Times New Roman" w:hAnsi="Times New Roman"/>
          <w:color w:val="000000" w:themeColor="text1"/>
          <w:sz w:val="16"/>
          <w:szCs w:val="16"/>
        </w:rPr>
        <w:lastRenderedPageBreak/>
        <w:t>дали в руки веревку. Если Петляков сочтет, что тряска опасна, он должен был дернуть веревку, второй конец которой привязали к ноге Стефановского. Когда хвост стало трясти, Петляков перепугался и рванул веревку так, что она оборвалась. В итоге специалистам ЦАГИ пришлось признать, что жесткость хвостовой части самолета явно недостаточна.</w:t>
      </w:r>
    </w:p>
    <w:p w14:paraId="038BEA0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Множество неприятностей доставила верхняя мотоустановка. Начнем с того, что электронасос, который должен был подавать бензин из баков в крыле наверх, не работал. Два механика, постоянно меняясь, весь полет орудовали большим ручным насосом. Мощная струя воздуха от тандемной установки делала невозможным даже пребывание в огневой точке на фюзеляже. "Поток от винтов не позволяет даже стоять в верхней турели", - написали в отчете. Обслуживание мотоустановки на высоте около 9 м признали "чрезвычайно затруднительным", "неудобным и небезопасным". Туда надо было поднимать воду и масло дчя двигателей. Это было просто акробатическим трюком. На испытаниях летали в сентябре, было еще сравнительно тепло. А зимой пришлось бы поднимать наверх горячую воду, причем в сильный мороз ее проливали через двигатель раза три- четыре, пока он не придет в норму по температуре. И масло тоже заправляли в мотор горячим.</w:t>
      </w:r>
    </w:p>
    <w:p w14:paraId="299D6B8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Большую проблему создавал ремонт водяного радиатора, общего для двух моторов. Снять его можно было только большим подъемным краном, поскольку вес достигал 200 кг. Спешка, в которой проектировали верхнюю установку, выразилась, например, в том, что у нее не было откидных мостиков для обслуживания, как на крыльях. Вопреки техническому заданию, доступа к этим моторам в полете не имелось.</w:t>
      </w:r>
    </w:p>
    <w:p w14:paraId="1733E0B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Пилотская кабина находилась в плоскости вращения винтов, и в ней было очень шумно. После часа полета у летчиков, даже одетых в наушники, наступала временная глухота. Металлическая крыша над проходом ухудшала обзор. Один пилот мог смотреть только вправо, другой - только влево. Выполняя повороты при маневрировании на земле, летчики то и дело передавали друг другу управление.</w:t>
      </w:r>
    </w:p>
    <w:p w14:paraId="3C413DF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Тормоза работали своеобразно. Они включались с задержкой в пять - десять секунд и с таким же опозданием выключались.</w:t>
      </w:r>
    </w:p>
    <w:p w14:paraId="2DF363B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Вдобавок выявился целый букет заводских недоделок и брака. Два бензобака текли. Водяные и водо-масляные радиаторы текли тоже, да так, что их посчитали "совершенно ненадежными". Выхлопные коллекторы моторов трескались.</w:t>
      </w:r>
    </w:p>
    <w:p w14:paraId="6D44DFF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Много хлопот доставляло обслуживание огромной машины при отсутствии специальной техники. На заправку бомбовоза бензином уходило 2,5 часа (при использовании двух насосов). Чтобы подвесить бомбы, команда из 20 человек работала три часа; при этом груз поднимали на высоту в пять метров ручными лебедками.</w:t>
      </w:r>
    </w:p>
    <w:p w14:paraId="0650A59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 самое главное, конструкторам не удалось выполнить ряд важных требований технического задания. Так, по заданию бомбардировщик должен был лететь на высоте 3000 м со скоростью 200 км/ч. Реально на испытаниях получили 187,5 км/ч на 2500 м. На 3000 м самолет вообще не смог подняться - практический потолок составлял всего 2750 м (при заданном 5000 м). Разбег доходил до 800 м при требуемом 250 м. Фактическая дальность полета составляла 1100 км против 2000 км. При этом нормальная бомбовая нагрузка равнялась всего 4000 кг. Правда, конструкторы предусмотрели установку дополнительных топливных баков емкостью 4000 л, что доводило взлетный вес до 37 т. Но в НИИ ВВС, подсчитав расход машиной горючего, пришли к выводу, что этого запаса хватит только на 1600 км.</w:t>
      </w:r>
    </w:p>
    <w:p w14:paraId="5EEDD87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Задание предусматривало установку стрелковых башен на крыле, введение наддува бензобаков нейтральным газом для уменьшения пожароопасности и устройства для слива горючего в воздухе или сброса части баков. Реально все это отсутствовало. Вернее, слив сделали, но на опорожнение баков требовались 83 минуты. Почти полтора часа никак не укладывались в понятие "быстрый", записанное в задании. Пользы от такого слива в аварийной ситуации реально не было никакой. В то же время все это отсутствовавшее на опытной машине оборудование и вооружение в будущем подняло бы вес самолета и несколько ухудшило его аэродинамику. Соответственно ухудшились бы и летные данные. </w:t>
      </w:r>
    </w:p>
    <w:p w14:paraId="6597218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Причины невысоких летных данных ТБ-4 были ясны. Мощности шести М-34 для бомбардировщика такого веса просто не хватало. У старого ТБ-3 с двигателями М-17 нагрузка на мощность составляла 7,4 кг/л.е., а у АНТ-16 - 8,6 кг/л.с. Даже уменьшив нагрузку на крыло (63,3 кг/м2 против 78,3 кг/м2), парировать это не удалось.</w:t>
      </w:r>
    </w:p>
    <w:p w14:paraId="71EF1ED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обороты моторов М-34 были слишком велики для тихоходного ТБ-4. Коэффициент полезного действия винтов оказался довольно низким, не позволяя полностью использовать даже имеющуюся мощность. Самолет оснащался старомодными деревянными двухлопастными пропеллерами фиксированного шага трех разных размеров. Моторы на крыле вращали винты диаметром 3,18 м, передний двигатель наверху - 3,3 м и задний - 3,0 м.</w:t>
      </w:r>
    </w:p>
    <w:p w14:paraId="7D804C7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Специалисты НИИ ВВС внесли ряд рекомендаций по усовершенствованию машины. Но никто не мог дать бомбардировщику соответствующую его весу и размерам мотоустановку. Поэтому предложения НИИ, по сути, являлись паллиативными: увеличить размах и площадь крыла, увеличить руль высоты, внедрить моторы М-34Р с редукторами, заменить винты. Кроме этого требовали прозрачный фонарь над пилотской кабиной, огневые точки на крыльях и еще кое-что по мелочи.</w:t>
      </w:r>
    </w:p>
    <w:p w14:paraId="3E0364C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Кое-что из этого хотели внедрить на втором экземпляре АНТ-16, он же АНТ-16бис и ТБ-4бис (12036).</w:t>
      </w:r>
    </w:p>
    <w:p w14:paraId="233EDD06"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71E9B479" w14:textId="77777777" w:rsidR="00814683" w:rsidRPr="00C33834" w:rsidRDefault="0081468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29 сентября 1933 опросом членов ПБ</w:t>
      </w:r>
    </w:p>
    <w:p w14:paraId="2DBD759A" w14:textId="77777777" w:rsidR="00814683" w:rsidRPr="00C33834" w:rsidRDefault="0081468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26/133.-О комиссии Мариамова.</w:t>
      </w:r>
    </w:p>
    <w:p w14:paraId="5855614C" w14:textId="77777777" w:rsidR="00814683" w:rsidRPr="00C33834" w:rsidRDefault="0081468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Задачу комиссии т.Мариамова ограничить покупкой 20-30 моторов "Испано-Сюиза" 12-Уbrs с запчастями и инстру</w:t>
      </w:r>
      <w:r w:rsidRPr="00C33834">
        <w:rPr>
          <w:rFonts w:ascii="Times New Roman" w:hAnsi="Times New Roman"/>
          <w:color w:val="0070C0"/>
          <w:sz w:val="16"/>
          <w:szCs w:val="16"/>
        </w:rPr>
        <w:softHyphen/>
        <w:t>ментом и приобретением, в счет стоимости моторов, тех</w:t>
      </w:r>
      <w:r w:rsidRPr="00C33834">
        <w:rPr>
          <w:rFonts w:ascii="Times New Roman" w:hAnsi="Times New Roman"/>
          <w:color w:val="0070C0"/>
          <w:sz w:val="16"/>
          <w:szCs w:val="16"/>
        </w:rPr>
        <w:softHyphen/>
        <w:t>нической помощи фирмы на производство этих моторов в СССР. Комиссии изучить производство на заводе "Испано- Сюиза".</w:t>
      </w:r>
    </w:p>
    <w:p w14:paraId="5E827DF8" w14:textId="77777777" w:rsidR="00814683" w:rsidRPr="00C33834" w:rsidRDefault="0081468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При ведении переговоров исходить ориентировочно из суммы 700-800 тысяч рублей и, во всяком случае, не свыше одного миллиона рублей, ограничив свои задачи установленными полномочиями.</w:t>
      </w:r>
    </w:p>
    <w:p w14:paraId="4F27795F" w14:textId="77777777" w:rsidR="00814683" w:rsidRPr="00C33834" w:rsidRDefault="0081468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Выписка послана: т. Тухачевскому.</w:t>
      </w:r>
    </w:p>
    <w:p w14:paraId="38680907" w14:textId="77777777" w:rsidR="00814683" w:rsidRPr="00C33834" w:rsidRDefault="0081468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29 сентября 1933 опросом членов ПБ</w:t>
      </w:r>
    </w:p>
    <w:p w14:paraId="0A2F3161" w14:textId="77777777" w:rsidR="00814683" w:rsidRPr="00C33834" w:rsidRDefault="0081468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178/161.- О прилете польской эскадрильи в Москву.</w:t>
      </w:r>
    </w:p>
    <w:p w14:paraId="4F8615ED" w14:textId="77777777" w:rsidR="00814683" w:rsidRPr="00C33834" w:rsidRDefault="0081468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Не возражать против прилета польской эскад</w:t>
      </w:r>
      <w:r w:rsidRPr="00C33834">
        <w:rPr>
          <w:rFonts w:ascii="Times New Roman" w:hAnsi="Times New Roman"/>
          <w:color w:val="0070C0"/>
          <w:sz w:val="16"/>
          <w:szCs w:val="16"/>
        </w:rPr>
        <w:softHyphen/>
        <w:t>рильи в Москву.</w:t>
      </w:r>
    </w:p>
    <w:p w14:paraId="66040E12" w14:textId="77777777" w:rsidR="00814683" w:rsidRPr="00C33834" w:rsidRDefault="0081468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досланы: т.т.Литвинову.Тухачевскому, Лртузову,Уншлихту (22996).</w:t>
      </w:r>
    </w:p>
    <w:p w14:paraId="449CB4BC" w14:textId="77777777" w:rsidR="00814683" w:rsidRPr="00C33834" w:rsidRDefault="0081468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октября 1933 состоялось заседание ПБ и был оформлен протокол № 146 (22996).</w:t>
      </w:r>
    </w:p>
    <w:p w14:paraId="4ACE753A" w14:textId="77777777" w:rsidR="00814683" w:rsidRPr="00C33834" w:rsidRDefault="00814683" w:rsidP="00C33834">
      <w:pPr>
        <w:spacing w:after="0" w:line="240" w:lineRule="auto"/>
        <w:jc w:val="both"/>
        <w:rPr>
          <w:rFonts w:ascii="Times New Roman" w:hAnsi="Times New Roman"/>
          <w:color w:val="0070C0"/>
          <w:sz w:val="16"/>
          <w:szCs w:val="16"/>
        </w:rPr>
      </w:pPr>
    </w:p>
    <w:p w14:paraId="3DB1ECC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сентября 1933 Ч.Линдберга, который улетал в Таллинн на гидросамолете провожал Ю.Пионтковский на АИР-7 и сделали два прощальных круга над Москвой (1771,7).</w:t>
      </w:r>
    </w:p>
    <w:p w14:paraId="6DD5273E"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254F6206" w14:textId="77777777" w:rsidR="00785FB6" w:rsidRPr="00C33834" w:rsidRDefault="00785FB6" w:rsidP="00C33834">
      <w:pPr>
        <w:pStyle w:val="rtejustify"/>
        <w:spacing w:before="0" w:after="0"/>
        <w:rPr>
          <w:color w:val="000000" w:themeColor="text1"/>
          <w:sz w:val="16"/>
          <w:szCs w:val="16"/>
        </w:rPr>
      </w:pPr>
      <w:r w:rsidRPr="00C33834">
        <w:rPr>
          <w:bCs/>
          <w:color w:val="000000" w:themeColor="text1"/>
          <w:sz w:val="16"/>
          <w:szCs w:val="16"/>
        </w:rPr>
        <w:t>29 сентября 1933 г. Каганович, Молотов — Сталину</w:t>
      </w:r>
    </w:p>
    <w:p w14:paraId="71703441"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Шифровка.</w:t>
      </w:r>
    </w:p>
    <w:p w14:paraId="789184AA"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Из Москвы 29/IX — 33 г. в 2 час. 15 мин. Вх. № 45.</w:t>
      </w:r>
    </w:p>
    <w:p w14:paraId="019B730F" w14:textId="77777777" w:rsidR="003F2394" w:rsidRPr="00C33834" w:rsidRDefault="003F2394" w:rsidP="00C33834">
      <w:pPr>
        <w:pStyle w:val="rtecenter"/>
        <w:spacing w:before="0" w:after="0"/>
        <w:jc w:val="both"/>
        <w:rPr>
          <w:color w:val="000000" w:themeColor="text1"/>
          <w:sz w:val="16"/>
          <w:szCs w:val="16"/>
        </w:rPr>
      </w:pPr>
      <w:r w:rsidRPr="00C33834">
        <w:rPr>
          <w:color w:val="000000" w:themeColor="text1"/>
          <w:sz w:val="16"/>
          <w:szCs w:val="16"/>
        </w:rPr>
        <w:t>Тов. Сталину.</w:t>
      </w:r>
    </w:p>
    <w:p w14:paraId="4399BF52"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1) Поляки выдвинули официальное предложение об установлении воздушной линии Варшава-Москва</w:t>
      </w:r>
      <w:r w:rsidRPr="00C33834">
        <w:rPr>
          <w:color w:val="000000" w:themeColor="text1"/>
          <w:sz w:val="16"/>
          <w:szCs w:val="16"/>
          <w:vertAlign w:val="superscript"/>
        </w:rPr>
        <w:t>1</w:t>
      </w:r>
      <w:r w:rsidRPr="00C33834">
        <w:rPr>
          <w:color w:val="000000" w:themeColor="text1"/>
          <w:sz w:val="16"/>
          <w:szCs w:val="16"/>
        </w:rPr>
        <w:t>. Французы (Шомье) также ставили вопрос о продлении их линии Париж-Прага-Варшава через Минск до Москвы. Просят ускорить ответ.</w:t>
      </w:r>
    </w:p>
    <w:p w14:paraId="7C4D8175"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2) Лукасевич сообщил о желании поляков организовать новый прилет Филипповича в Москву примерно 15 октября, на этот раз с начальником польской военной авиации Райским.</w:t>
      </w:r>
    </w:p>
    <w:p w14:paraId="446C548C"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Литвинов считает, что на оба предложения надо дать положительный ответ. Мы согласны с этим, просим сообщить ваше мнение</w:t>
      </w:r>
      <w:r w:rsidRPr="00C33834">
        <w:rPr>
          <w:color w:val="000000" w:themeColor="text1"/>
          <w:sz w:val="16"/>
          <w:szCs w:val="16"/>
          <w:vertAlign w:val="superscript"/>
        </w:rPr>
        <w:t>2</w:t>
      </w:r>
      <w:r w:rsidRPr="00C33834">
        <w:rPr>
          <w:color w:val="000000" w:themeColor="text1"/>
          <w:sz w:val="16"/>
          <w:szCs w:val="16"/>
        </w:rPr>
        <w:t>. HP 49.</w:t>
      </w:r>
    </w:p>
    <w:p w14:paraId="0AF46032"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Каганович, Молотов.</w:t>
      </w:r>
    </w:p>
    <w:p w14:paraId="5C1B0FC4"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vertAlign w:val="superscript"/>
        </w:rPr>
        <w:t>1</w:t>
      </w:r>
      <w:r w:rsidRPr="00C33834">
        <w:rPr>
          <w:color w:val="000000" w:themeColor="text1"/>
          <w:sz w:val="16"/>
          <w:szCs w:val="16"/>
        </w:rPr>
        <w:t xml:space="preserve"> Вопрос об установлении воздушного сообщения между Варшавой и Москвой был затронут ЮЛукасевичем в беседе с М.МЛитвиновым 5 сентября 1933 г. и в беседе с Б.С.Стомоняковым 13 сентября (ДВП. Т. XVI. С. 854).</w:t>
      </w:r>
    </w:p>
    <w:p w14:paraId="1538B57C"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vertAlign w:val="superscript"/>
        </w:rPr>
        <w:t>2</w:t>
      </w:r>
      <w:r w:rsidRPr="00C33834">
        <w:rPr>
          <w:color w:val="000000" w:themeColor="text1"/>
          <w:sz w:val="16"/>
          <w:szCs w:val="16"/>
        </w:rPr>
        <w:t xml:space="preserve"> 29 сентября шифром из Гагры в 21 час. Сталин ответил согласием (РГАСПИ. Ф. 558. Оп. 11. Д. 81. Л. 65). В тот же день ПБ приняло решение не возражать против прилета польской эскадрильи в Москву (Там же. Ф. 17. Оп. 162. Д. 15. Л. 87). Эскадрилья во главе с начальником польской авиации Райским присутствовала 7 ноября на параде на Красной площади, посетила ЦАГИ. Райский был принят Тухачевским и Крестинским (ДВП. Т. XVI. С. 868). 3 октября Стомоняков сообщил Лукасевичу, что получено принципиальное согласие заинтересованных ведомств на принятие польского предложения. 22 октября для ведения переговоров в Москву прибыла делегация во главе с директором департамента гражданской авиации Филипповичем. Во время переговоров советская сторона предложила образовать советско-польское смешанное общество для обслуживания линии Варшава — Москва. Польская сторона предложила параллельное и попеременное обслуживание этой линии польской и советской авиацией, подписав соответствующий договор между правительствами. 28 октября 1933 г. Стомоняков в беседе с Лукасевичем поставил вопрос «об участии Франции в нашем воздушном сообщении с Польшей. Франция [...] просила нашего согласия на установление воздушной линии Париж — Москва. Ввиду существующих в настоящее время дружественных отношений с Францией у нас принято решение удовлетворить это пожелание Франции». Далее Стомоняков заявил, что «мы хотели бы разрешить вопрос путем тройственного соглашения между СССР, Польшей и Францией». В ответ Лукасевич сказал, что по мнению польского правительства, торопиться с этим делом не следует. В конце 1933 г. переговоры с Польшей были прерваны, так как достичь соглашения по указанным вопросам не удалось (Там же. С. 854).</w:t>
      </w:r>
    </w:p>
    <w:p w14:paraId="3B972360"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Архив: РГАСПИ Ф. 558. Оп. 11. Д. 81. Л. 66. Подлинник. Машинопись. </w:t>
      </w:r>
    </w:p>
    <w:p w14:paraId="3034DEBC"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Сталин и Каганович. Переписка. 1931–1936 гг. Москва: (РОССПЭН), 2001 Стр. 366-367 (12358).</w:t>
      </w:r>
    </w:p>
    <w:p w14:paraId="7751A95C" w14:textId="77777777" w:rsidR="003F2394" w:rsidRPr="00C33834" w:rsidRDefault="003F2394" w:rsidP="00C33834">
      <w:pPr>
        <w:spacing w:after="0" w:line="240" w:lineRule="auto"/>
        <w:jc w:val="both"/>
        <w:rPr>
          <w:rFonts w:ascii="Times New Roman" w:hAnsi="Times New Roman"/>
          <w:color w:val="000000" w:themeColor="text1"/>
          <w:sz w:val="16"/>
          <w:szCs w:val="16"/>
          <w:u w:color="002060"/>
        </w:rPr>
      </w:pPr>
    </w:p>
    <w:p w14:paraId="12DB312D" w14:textId="77777777" w:rsidR="006C4664" w:rsidRPr="00C33834" w:rsidRDefault="006C466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29 сентября 1933 г. Линдберг улетал в Таллин на своем скоростном гидросамолете с мотором 750 л. с. Его провожал самый быстрый советский самолет АИР-7. Управляемый Пионтковским, он, сделав вместе с Линдбергом два прощальных круга над Москвой-рекой, обогнал американскую машину и пошел впереди нее, указывая выход на трассу...(15447).</w:t>
      </w:r>
    </w:p>
    <w:p w14:paraId="7DFA3D79" w14:textId="77777777" w:rsidR="006C4664" w:rsidRPr="00C33834" w:rsidRDefault="006C4664" w:rsidP="00C33834">
      <w:pPr>
        <w:spacing w:after="0" w:line="240" w:lineRule="auto"/>
        <w:jc w:val="both"/>
        <w:rPr>
          <w:rFonts w:ascii="Times New Roman" w:hAnsi="Times New Roman"/>
          <w:color w:val="000000" w:themeColor="text1"/>
          <w:sz w:val="16"/>
          <w:szCs w:val="16"/>
        </w:rPr>
      </w:pPr>
    </w:p>
    <w:p w14:paraId="041538A8" w14:textId="77777777" w:rsidR="006C4664"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D2B3583" w14:textId="77777777" w:rsidR="006C4664" w:rsidRPr="00C33834" w:rsidRDefault="006C4664" w:rsidP="00C33834">
      <w:pPr>
        <w:spacing w:after="0" w:line="240" w:lineRule="auto"/>
        <w:jc w:val="both"/>
        <w:rPr>
          <w:rFonts w:ascii="Times New Roman" w:hAnsi="Times New Roman"/>
          <w:iCs/>
          <w:color w:val="000000" w:themeColor="text1"/>
          <w:sz w:val="16"/>
          <w:szCs w:val="16"/>
        </w:rPr>
      </w:pPr>
    </w:p>
    <w:p w14:paraId="3DB0AA12" w14:textId="77777777" w:rsidR="006C4664" w:rsidRPr="00C33834" w:rsidRDefault="006C4664" w:rsidP="00C33834">
      <w:pPr>
        <w:pStyle w:val="rtejustify"/>
        <w:spacing w:before="0" w:after="0"/>
        <w:rPr>
          <w:color w:val="000000" w:themeColor="text1"/>
          <w:sz w:val="16"/>
          <w:szCs w:val="16"/>
        </w:rPr>
      </w:pPr>
      <w:r w:rsidRPr="00C33834">
        <w:rPr>
          <w:color w:val="000000" w:themeColor="text1"/>
          <w:sz w:val="16"/>
          <w:szCs w:val="16"/>
        </w:rPr>
        <w:t>29 сентября 1933 г. Правительством было констатировано крайне неудовлетворительное выполнение программы по военной оптике и в особенности по авиаприцелам. Указав тт. Толоконцеву, Трофимову и директорам заводов на их особую ответственность за выполнение программы и определив на IV квартал 1933 г.: ОПБ</w:t>
      </w:r>
      <w:r w:rsidRPr="00C33834">
        <w:rPr>
          <w:color w:val="000000" w:themeColor="text1"/>
          <w:sz w:val="16"/>
          <w:szCs w:val="16"/>
        </w:rPr>
        <w:noBreakHyphen/>
        <w:t>1 — 550 шт., ОПБ</w:t>
      </w:r>
      <w:r w:rsidRPr="00C33834">
        <w:rPr>
          <w:color w:val="000000" w:themeColor="text1"/>
          <w:sz w:val="16"/>
          <w:szCs w:val="16"/>
        </w:rPr>
        <w:noBreakHyphen/>
        <w:t>2 — 30 шт., правительством было предложено через полтора месяца доложить о ходе выполнения программы (15288).</w:t>
      </w:r>
    </w:p>
    <w:p w14:paraId="3D795951" w14:textId="77777777" w:rsidR="006C4664" w:rsidRPr="00C33834" w:rsidRDefault="006C4664" w:rsidP="00C33834">
      <w:pPr>
        <w:pStyle w:val="rtejustify"/>
        <w:spacing w:before="0" w:after="0"/>
        <w:rPr>
          <w:rStyle w:val="af0"/>
          <w:bCs/>
          <w:i w:val="0"/>
          <w:color w:val="000000" w:themeColor="text1"/>
          <w:sz w:val="16"/>
          <w:szCs w:val="16"/>
        </w:rPr>
      </w:pPr>
    </w:p>
    <w:p w14:paraId="73645E07" w14:textId="77777777" w:rsidR="006C4664" w:rsidRPr="00C33834" w:rsidRDefault="006C4664" w:rsidP="00C33834">
      <w:pPr>
        <w:pStyle w:val="rtejustify"/>
        <w:spacing w:before="0" w:after="0"/>
        <w:rPr>
          <w:color w:val="000000" w:themeColor="text1"/>
          <w:sz w:val="16"/>
          <w:szCs w:val="16"/>
        </w:rPr>
      </w:pPr>
      <w:r w:rsidRPr="00C33834">
        <w:rPr>
          <w:rStyle w:val="af0"/>
          <w:bCs/>
          <w:i w:val="0"/>
          <w:color w:val="000000" w:themeColor="text1"/>
          <w:sz w:val="16"/>
          <w:szCs w:val="16"/>
        </w:rPr>
        <w:t>29 сентября 1933 вышел приказ НКТП № 155с.</w:t>
      </w:r>
      <w:r w:rsidRPr="00C33834">
        <w:rPr>
          <w:color w:val="000000" w:themeColor="text1"/>
          <w:sz w:val="16"/>
          <w:szCs w:val="16"/>
        </w:rPr>
        <w:t xml:space="preserve"> О синхронизации в деле снабжения муфтами «Бамаг» дизелей и электромоторов отечественной судостроительной промышленности. (РГАЭ. Ф. 7297. Оп. 38. Д. 37. Л. 216) (15246).</w:t>
      </w:r>
    </w:p>
    <w:p w14:paraId="6C781812" w14:textId="77777777" w:rsidR="006C4664" w:rsidRPr="00C33834" w:rsidRDefault="006C4664" w:rsidP="00C33834">
      <w:pPr>
        <w:pStyle w:val="rtejustify"/>
        <w:spacing w:before="0" w:after="0"/>
        <w:rPr>
          <w:color w:val="000000" w:themeColor="text1"/>
          <w:sz w:val="16"/>
          <w:szCs w:val="16"/>
        </w:rPr>
      </w:pPr>
    </w:p>
    <w:p w14:paraId="5640492C"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7B4406B4"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7BC232E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29 сентября и 4 октября 1933. Из протокола заседания Политбюро N146, особая папка, 1933 г.</w:t>
      </w:r>
    </w:p>
    <w:p w14:paraId="6427D08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Об антивоенном комитете в СССР </w:t>
      </w:r>
    </w:p>
    <w:p w14:paraId="6677108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предложение т. Стасовой и т. Пятницкого признать необходимым организацию антивоенного комитета в СССР в составе 25 человек. Руководство возложить на тт. Горького, Стасову и Шверника. Остальной состав наметить Оргбюро и внести на утверждение ПБ опросом (11652).</w:t>
      </w:r>
    </w:p>
    <w:p w14:paraId="00C1C3D8"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2482DCC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29 сентября и 4 октября 1933. Из протокола заседания Политбюро N146, особая папка, 1933 г.</w:t>
      </w:r>
    </w:p>
    <w:p w14:paraId="4B5DB28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посылке делегации на Всемирную техническую выставку в Чикаго </w:t>
      </w:r>
    </w:p>
    <w:p w14:paraId="6497261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Удовлетворить просьбу Наркомтяжпрома о посылке группы товарищей в составе 20 человек. </w:t>
      </w:r>
    </w:p>
    <w:p w14:paraId="159D53A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Поставить перед командируемыми товарищами задачу детального ознакомления с последними достижениями новой техники, представленными на выставке, и, главным образом, изучить организацию производства транспортного машиностроения (особо вагонное хозяйство метрополитена), автотракторное, энергетическое и др. </w:t>
      </w:r>
    </w:p>
    <w:p w14:paraId="4F9F7EA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 Поручить Амторгу обеспечить допуск командируемых на крупные предприятия для изучения организации производства. </w:t>
      </w:r>
    </w:p>
    <w:p w14:paraId="34CA4A4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4. Список командируемых рассмотреть тт. Ежову и Кагановичу М. М... </w:t>
      </w:r>
    </w:p>
    <w:p w14:paraId="4F901A1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6. Руководство делегацией возложить на члена коллегии Наркомтяжпрома т. Гинзбурга С. Е. </w:t>
      </w:r>
    </w:p>
    <w:p w14:paraId="6646138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Валютные расходы отнести за счет лимитов Наркомтяжпрома (11652).</w:t>
      </w:r>
    </w:p>
    <w:p w14:paraId="29686289"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2498ED99"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19DFD988"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3BA8ECC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сентября 1933 в Германии евреям запретили владеть землей (1798).</w:t>
      </w:r>
    </w:p>
    <w:p w14:paraId="5A916FBA"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18782B0F"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51894EC"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2B15FD9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сентября 1933 закончились доработки И-14 (АНТ-31), который отправили назад в ЦАГИ 17 июля 1933 (1454,25) - доводили мотоустановку и шасси (4020,11). Машину вновь отправили в ОЭЛИД ЦАГИ и она там была на испытаниях до 25 октября 1933 (2869,23). Летали К.А.Попов и С.А.Корзинщиков (4020,11).</w:t>
      </w:r>
    </w:p>
    <w:p w14:paraId="05AEA496"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17ECC55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сентября 1933 г. доработанный И-14 (в ЗОК на головном самолете произвели регулировку убирающегося шасси, заменили консоли с полотняной обшивкой на новые, умевшие метеллическую гофрированную обшивку. Поскольку радиатор не отвечал требованиям эффективного охлаждения масла, его заменили на более мощный. Заодно переделали коллектор выпускной системы мотора) вновь отправили на аэродром, где летчикииспытатели ОЭЛИД ЦАГИ обнаружили, что механизм уборки шасси опять не работает, поэтому снятие летных характеристик происходило с выпущенными стойками. Особого смысла такая работа не имела, а потому 30 октября машину опять вернули в ЗОКдлн нового этапа доработок. Лишь 14 ноября старания производственников увенчались успехом и шасси стало работать без замечаний. В ходе летного эксперимента это подтвердили испытатели, и 16 ноября 1933 г. самолет передали в ОЭЛИД по акту №32. Эту дату следует считать началом полномасштабных испытаний И -14 (12037).</w:t>
      </w:r>
    </w:p>
    <w:p w14:paraId="715B72F1"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5C558DAC" w14:textId="77777777" w:rsidR="006C4664" w:rsidRPr="00C33834" w:rsidRDefault="006C466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30 сен</w:t>
      </w:r>
      <w:r w:rsidRPr="00C33834">
        <w:rPr>
          <w:rFonts w:ascii="Times New Roman" w:hAnsi="Times New Roman"/>
          <w:color w:val="000000" w:themeColor="text1"/>
          <w:sz w:val="16"/>
          <w:szCs w:val="16"/>
        </w:rPr>
        <w:softHyphen/>
        <w:t>тября 1933 на самолёте И-14 выполнили следующие работы: отрегулировали систему уборки и выпуска шасси; на отъёмных частях крыла перкалевую обшивку заменили гофрирован</w:t>
      </w:r>
      <w:r w:rsidRPr="00C33834">
        <w:rPr>
          <w:rFonts w:ascii="Times New Roman" w:hAnsi="Times New Roman"/>
          <w:color w:val="000000" w:themeColor="text1"/>
          <w:sz w:val="16"/>
          <w:szCs w:val="16"/>
        </w:rPr>
        <w:softHyphen/>
        <w:t>ной; установили масляный радиатор с увеличенной площадью охлаждения; передела</w:t>
      </w:r>
      <w:r w:rsidRPr="00C33834">
        <w:rPr>
          <w:rFonts w:ascii="Times New Roman" w:hAnsi="Times New Roman"/>
          <w:color w:val="000000" w:themeColor="text1"/>
          <w:sz w:val="16"/>
          <w:szCs w:val="16"/>
        </w:rPr>
        <w:softHyphen/>
        <w:t>ли выхлопной коллектор мотора. В связи с затруднениями, возникшими при доводке самолёта и срывом сроков передачи его на госиспытания (15.03.33), постановлением РВС СССР от 17.07.33 г. определили новый срок — 1.02.34 г.</w:t>
      </w:r>
    </w:p>
    <w:p w14:paraId="5928DEB8" w14:textId="77777777" w:rsidR="006C4664" w:rsidRPr="00C33834" w:rsidRDefault="006C466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Учитывая то, что в Советском Союзе имелся лишь один экземпляр мотора </w:t>
      </w:r>
      <w:r w:rsidRPr="00C33834">
        <w:rPr>
          <w:rFonts w:ascii="Times New Roman" w:hAnsi="Times New Roman"/>
          <w:color w:val="000000" w:themeColor="text1"/>
          <w:sz w:val="16"/>
          <w:szCs w:val="16"/>
          <w:lang w:val="en-US"/>
        </w:rPr>
        <w:t>Bristol</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Mer</w:t>
      </w:r>
      <w:r w:rsidRPr="00C33834">
        <w:rPr>
          <w:rFonts w:ascii="Times New Roman" w:hAnsi="Times New Roman"/>
          <w:color w:val="000000" w:themeColor="text1"/>
          <w:sz w:val="16"/>
          <w:szCs w:val="16"/>
        </w:rPr>
        <w:softHyphen/>
      </w:r>
      <w:r w:rsidRPr="00C33834">
        <w:rPr>
          <w:rFonts w:ascii="Times New Roman" w:hAnsi="Times New Roman"/>
          <w:color w:val="000000" w:themeColor="text1"/>
          <w:sz w:val="16"/>
          <w:szCs w:val="16"/>
          <w:lang w:val="en-US"/>
        </w:rPr>
        <w:t>cury</w:t>
      </w:r>
      <w:r w:rsidRPr="00C33834">
        <w:rPr>
          <w:rFonts w:ascii="Times New Roman" w:hAnsi="Times New Roman"/>
          <w:color w:val="000000" w:themeColor="text1"/>
          <w:sz w:val="16"/>
          <w:szCs w:val="16"/>
        </w:rPr>
        <w:t>, в июле 1933 г. в ЦАГИ приступили к постройке второго экземпляра И-14 или так на</w:t>
      </w:r>
      <w:r w:rsidRPr="00C33834">
        <w:rPr>
          <w:rFonts w:ascii="Times New Roman" w:hAnsi="Times New Roman"/>
          <w:color w:val="000000" w:themeColor="text1"/>
          <w:sz w:val="16"/>
          <w:szCs w:val="16"/>
        </w:rPr>
        <w:softHyphen/>
        <w:t xml:space="preserve">зываемого «дублёра» (И-14бис, АНТ-31бис, заказ 7189, иногда в переписке — И14 РЦ) с мотором </w:t>
      </w:r>
      <w:r w:rsidRPr="00C33834">
        <w:rPr>
          <w:rFonts w:ascii="Times New Roman" w:hAnsi="Times New Roman"/>
          <w:color w:val="000000" w:themeColor="text1"/>
          <w:sz w:val="16"/>
          <w:szCs w:val="16"/>
          <w:lang w:val="en-US"/>
        </w:rPr>
        <w:t>Wright</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CycloneF</w:t>
      </w:r>
      <w:r w:rsidRPr="00C33834">
        <w:rPr>
          <w:rFonts w:ascii="Times New Roman" w:hAnsi="Times New Roman"/>
          <w:color w:val="000000" w:themeColor="text1"/>
          <w:sz w:val="16"/>
          <w:szCs w:val="16"/>
        </w:rPr>
        <w:t>2. При проектировании дублёра учли некоторые недостатки первого экземпляра самолёта (15823).</w:t>
      </w:r>
    </w:p>
    <w:p w14:paraId="0FF50D84" w14:textId="77777777" w:rsidR="006C4664" w:rsidRPr="00C33834" w:rsidRDefault="006C4664" w:rsidP="00C33834">
      <w:pPr>
        <w:spacing w:after="0" w:line="240" w:lineRule="auto"/>
        <w:jc w:val="both"/>
        <w:rPr>
          <w:rFonts w:ascii="Times New Roman" w:hAnsi="Times New Roman"/>
          <w:color w:val="000000" w:themeColor="text1"/>
          <w:sz w:val="16"/>
          <w:szCs w:val="16"/>
        </w:rPr>
      </w:pPr>
    </w:p>
    <w:p w14:paraId="47143E2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сентября 1933 (3 октября - 66,197) состоялся успешный полет стратостата СССР-1 на 19 км (18800 м - 237,167) с герметической гондолой В.А.Чижевского (95,22). Летали Г.А.Прокофьев, Э.К.Бирнбаум и К.Д.Годунов (237,167). Работали: Н.Н.Каштанов - обшивка и установка приборов, В.М.Лапицкий - люки, иллюминаторы, специальное отцепное устройство, А.Я.Левин - герметические выводы управления клапаном и балластом, И.И.Цебриков - амортизирующее устройство, В.Г.Фролов - механизм сбрасывания балласта. Расчет и конструкцию оболочки предложил К.Д.Годунов (3392).</w:t>
      </w:r>
    </w:p>
    <w:p w14:paraId="6EA1E0D1"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533AB30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Утром 30 сентября 1933 года, будучи в Москве К.Кайтанов видел, как серебристый стратостат «СССР-1» объемом чуть больше 24 000 кубических метров поднял ввысь Г. Прокофьева, конструктора оболочки К. Годунова и радиста Э. Бирнбаума с Центрального аэродрома города Москвы. Утро было изумительно светлое, небо ясное. В 12 часов 45 минут радист доложил:</w:t>
      </w:r>
    </w:p>
    <w:p w14:paraId="0DF2EC3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«ЦК ВКП(б), Реввоенсовет, Совнарком СССР. Экипаж первого советского стратостата успешно выполнил поставленную перед ним задачу и сообщает о благополучном завершении подъема стратостата «СССР-1» на высоту 19 000 метров. Экипаж готов к дальнейшей общей работе по овладению стратосферой».</w:t>
      </w:r>
    </w:p>
    <w:p w14:paraId="3B5B9C5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Выполнив намеченную программу научных исследований, стратостат мягко приземлился. Более чем на два километра было улучшено достижение Пиккара (11312).</w:t>
      </w:r>
    </w:p>
    <w:p w14:paraId="4489AA92"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70616B4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сентября 1933 г. советский стратостат "СССР-1" с экипажем Г.А.Прокофьева, К.Д.Бирнбаума и К.Д.Годунова достиг рекордной высоты 19 км, после чего благополучно опустился на берегу реки Москвы близ Коломны. Достигнутый результат стал вообще первым рекордом мирового значения, достигнутым СССР. Полет стратостата лишь подогрел и без того высокий градус массового авиационного психоза, который захватил на этот раз и шестую часть земной поверхности. На вопрос о необходимости завоевания авиационных рекордов в Советском Союзе существовал теперь только один ответ - ДОЛЖНЫ! (11941).</w:t>
      </w:r>
    </w:p>
    <w:p w14:paraId="645D13CD"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61CD824D" w14:textId="77777777" w:rsidR="006C4664" w:rsidRPr="00C33834" w:rsidRDefault="006C4664" w:rsidP="00C33834">
      <w:pPr>
        <w:spacing w:after="0" w:line="240" w:lineRule="auto"/>
        <w:jc w:val="both"/>
        <w:rPr>
          <w:rStyle w:val="ucoz-forum-post"/>
          <w:rFonts w:ascii="Times New Roman" w:eastAsiaTheme="majorEastAsia" w:hAnsi="Times New Roman"/>
          <w:color w:val="000000" w:themeColor="text1"/>
          <w:sz w:val="16"/>
          <w:szCs w:val="16"/>
        </w:rPr>
      </w:pPr>
      <w:r w:rsidRPr="00C33834">
        <w:rPr>
          <w:rStyle w:val="ucoz-forum-post"/>
          <w:rFonts w:ascii="Times New Roman" w:eastAsiaTheme="majorEastAsia" w:hAnsi="Times New Roman"/>
          <w:bCs/>
          <w:color w:val="000000" w:themeColor="text1"/>
          <w:sz w:val="16"/>
          <w:szCs w:val="16"/>
        </w:rPr>
        <w:t>30 сентября 1933 года</w:t>
      </w:r>
      <w:r w:rsidRPr="00C33834">
        <w:rPr>
          <w:rStyle w:val="ucoz-forum-post"/>
          <w:rFonts w:ascii="Times New Roman" w:eastAsiaTheme="majorEastAsia" w:hAnsi="Times New Roman"/>
          <w:color w:val="000000" w:themeColor="text1"/>
          <w:sz w:val="16"/>
          <w:szCs w:val="16"/>
        </w:rPr>
        <w:t xml:space="preserve"> Полет экипажа воздухоплавателей в составе Г. А. Прокофьева, Э. К. Бирнбаума и К. Д. Годунова на первом советском стратостате «СССР-1» (объем 24 тыс.куб. м). В 12 ч. 45 мин. московского времени достигли рекордной высоты 19 км. Полет, начавшийся в 8 ч 40 мин в Кунцево, завершился в 17 ч посадкой в Коломне. Тем самым перекрыв официальный мировой рекорд Огюста Пиккера, поднявшегося в мае 1932 г. на 16 300 метров (14785).</w:t>
      </w:r>
    </w:p>
    <w:p w14:paraId="240CB438" w14:textId="77777777" w:rsidR="006C4664" w:rsidRPr="00C33834" w:rsidRDefault="006C4664" w:rsidP="00C33834">
      <w:pPr>
        <w:spacing w:after="0" w:line="240" w:lineRule="auto"/>
        <w:jc w:val="both"/>
        <w:rPr>
          <w:rStyle w:val="ucoz-forum-post"/>
          <w:rFonts w:ascii="Times New Roman" w:eastAsiaTheme="majorEastAsia" w:hAnsi="Times New Roman"/>
          <w:color w:val="000000" w:themeColor="text1"/>
          <w:sz w:val="16"/>
          <w:szCs w:val="16"/>
        </w:rPr>
      </w:pPr>
    </w:p>
    <w:p w14:paraId="166A7F92" w14:textId="77777777" w:rsidR="006C4664" w:rsidRPr="00C33834" w:rsidRDefault="006C4664" w:rsidP="00C33834">
      <w:pPr>
        <w:spacing w:after="0" w:line="240" w:lineRule="auto"/>
        <w:jc w:val="both"/>
        <w:rPr>
          <w:rFonts w:ascii="Times New Roman" w:hAnsi="Times New Roman"/>
          <w:color w:val="000000" w:themeColor="text1"/>
          <w:sz w:val="16"/>
          <w:szCs w:val="16"/>
        </w:rPr>
      </w:pPr>
      <w:r w:rsidRPr="00C33834">
        <w:rPr>
          <w:rStyle w:val="ucoz-forum-post"/>
          <w:rFonts w:ascii="Times New Roman" w:eastAsiaTheme="majorEastAsia" w:hAnsi="Times New Roman"/>
          <w:bCs/>
          <w:color w:val="000000" w:themeColor="text1"/>
          <w:sz w:val="16"/>
          <w:szCs w:val="16"/>
        </w:rPr>
        <w:t xml:space="preserve">30 сентября </w:t>
      </w:r>
      <w:r w:rsidRPr="00C33834">
        <w:rPr>
          <w:rFonts w:ascii="Times New Roman" w:hAnsi="Times New Roman"/>
          <w:color w:val="000000" w:themeColor="text1"/>
          <w:sz w:val="16"/>
          <w:szCs w:val="16"/>
        </w:rPr>
        <w:t>в 1933 году впервые организована радиосвязь со стратостатом, поднявшимся на 19 тысяч метров. Разговор пилотов с землей транслировался московскими радиостанциями (14785).</w:t>
      </w:r>
    </w:p>
    <w:p w14:paraId="0EACB27F" w14:textId="77777777" w:rsidR="006C4664" w:rsidRPr="00C33834" w:rsidRDefault="006C4664" w:rsidP="00C33834">
      <w:pPr>
        <w:spacing w:after="0" w:line="240" w:lineRule="auto"/>
        <w:jc w:val="both"/>
        <w:rPr>
          <w:rFonts w:ascii="Times New Roman" w:hAnsi="Times New Roman"/>
          <w:color w:val="000000" w:themeColor="text1"/>
          <w:sz w:val="16"/>
          <w:szCs w:val="16"/>
        </w:rPr>
      </w:pPr>
    </w:p>
    <w:p w14:paraId="12487D4B" w14:textId="77777777" w:rsidR="006C4664" w:rsidRPr="00C33834" w:rsidRDefault="006C4664" w:rsidP="00C33834">
      <w:pPr>
        <w:spacing w:after="0" w:line="240" w:lineRule="auto"/>
        <w:jc w:val="both"/>
        <w:rPr>
          <w:rFonts w:ascii="Times New Roman" w:hAnsi="Times New Roman"/>
          <w:color w:val="000000" w:themeColor="text1"/>
          <w:sz w:val="16"/>
          <w:szCs w:val="16"/>
        </w:rPr>
      </w:pPr>
      <w:r w:rsidRPr="00C33834">
        <w:rPr>
          <w:rStyle w:val="ucoz-forum-post"/>
          <w:rFonts w:ascii="Times New Roman" w:eastAsiaTheme="majorEastAsia" w:hAnsi="Times New Roman"/>
          <w:bCs/>
          <w:color w:val="000000" w:themeColor="text1"/>
          <w:sz w:val="16"/>
          <w:szCs w:val="16"/>
        </w:rPr>
        <w:t xml:space="preserve">30 сентября </w:t>
      </w:r>
      <w:r w:rsidRPr="00C33834">
        <w:rPr>
          <w:rFonts w:ascii="Times New Roman" w:hAnsi="Times New Roman"/>
          <w:color w:val="000000" w:themeColor="text1"/>
          <w:sz w:val="16"/>
          <w:szCs w:val="16"/>
        </w:rPr>
        <w:t xml:space="preserve">в 1933 году сферический стратостат "СССР-1" (объем 24 тысяч кубических метров) с экипажем в составе командира Георгия Прокофьева, конструктора Константина Годунова и воздухоплавателя Эрнста Бирнбаума совершил рекордный свободный полет, достигнув высоты 18,8 км и перекрыв тем самым официальный мировой рекорд Огюста Пикара, поднявшегося в мае 1932 года на 16 300 метров. Аэронавты взяли пробы воздуха с различных слоев тропо- и стратосферы, определили количество космических лучей, провели аэрологические и метеорологические наблюдения. Полет, начавшийся в 8 ч 40 мин в Кунцево, завершился в 17 ч посадкой недалеко от Коломны в ста километрах от Москвы. Гондола стратостата, сконструированная В.А.Чижевским, очень заинтересовала Сергея Павловича Королева. </w:t>
      </w:r>
      <w:r w:rsidRPr="00C33834">
        <w:rPr>
          <w:rFonts w:ascii="Times New Roman" w:hAnsi="Times New Roman"/>
          <w:color w:val="000000" w:themeColor="text1"/>
          <w:sz w:val="16"/>
          <w:szCs w:val="16"/>
        </w:rPr>
        <w:lastRenderedPageBreak/>
        <w:t>Глядя на этот шар на усеченном конусе, он представил, как этот шар мог бы выглядеть в головной части ракеты. Много лет спустя она будет повторена гениальным конструктором в гагаринском "Востоке", только у "Востока" у основания шара по кольцу будут расположены газовые баллоны (14785).</w:t>
      </w:r>
    </w:p>
    <w:p w14:paraId="01FB60D8" w14:textId="77777777" w:rsidR="006C4664" w:rsidRPr="00C33834" w:rsidRDefault="006C4664" w:rsidP="00C33834">
      <w:pPr>
        <w:spacing w:after="0" w:line="240" w:lineRule="auto"/>
        <w:jc w:val="both"/>
        <w:rPr>
          <w:rFonts w:ascii="Times New Roman" w:hAnsi="Times New Roman"/>
          <w:color w:val="000000" w:themeColor="text1"/>
          <w:sz w:val="16"/>
          <w:szCs w:val="16"/>
        </w:rPr>
      </w:pPr>
    </w:p>
    <w:p w14:paraId="23BEF398" w14:textId="77777777" w:rsidR="00ED1A5E" w:rsidRPr="00C33834" w:rsidRDefault="00ED1A5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shd w:val="clear" w:color="auto" w:fill="FFFFFF"/>
        </w:rPr>
        <w:t>В ночь на 30 сентября 1933 года состоялась вторая попытка старта аэростата СССР-1. На этот раз оболочку наполняли из 35 газгольдеров с водородом. Команда из 10 красноармейцев просто наваливалась на зеленые газгольдеры и под собственным весом выдавливала газ по шлангу в оболочку стратостата. Руководил стартовой командой один из участников программы создания стратостата Гарканидзе. К 6 часам утра наполнение закончили и немедленно в воздух поднялись два небольших воздушных шара – прыгуна. Сидящие в подвесной системе этих шаров два члена аэродромной команды осмотрели и расправили оболочку. В 6 часов 30 минут запустили радиозонд, который подтвердил полное отсутствие ветра.</w:t>
      </w:r>
    </w:p>
    <w:p w14:paraId="6F93DFBE" w14:textId="77777777" w:rsidR="00ED1A5E" w:rsidRPr="00C33834" w:rsidRDefault="00ED1A5E" w:rsidP="00C33834">
      <w:pPr>
        <w:pStyle w:val="ae"/>
        <w:shd w:val="clear" w:color="auto" w:fill="FFFFFF"/>
        <w:spacing w:before="0" w:after="0"/>
        <w:jc w:val="both"/>
        <w:rPr>
          <w:color w:val="000000" w:themeColor="text1"/>
          <w:sz w:val="16"/>
          <w:szCs w:val="16"/>
        </w:rPr>
      </w:pPr>
      <w:r w:rsidRPr="00C33834">
        <w:rPr>
          <w:color w:val="000000" w:themeColor="text1"/>
          <w:sz w:val="16"/>
          <w:szCs w:val="16"/>
        </w:rPr>
        <w:t>С первыми лучами солнца гондолу, вокруг которой было навешено 620 кг маневрового балласта из мелкой дроби, прикрепили к оболочке. Еще 300 кг резервного балласта разместили внутри гондолы. В оболочке находилось 3000 м3 газа, что составляло 1/10 полного объема. С подъемом на высоту 17 км газ должен был расшириться и заполнить оболочку полностью, превратив ее в сферу.</w:t>
      </w:r>
    </w:p>
    <w:p w14:paraId="16FB5E7B" w14:textId="77777777" w:rsidR="00ED1A5E" w:rsidRPr="00C33834" w:rsidRDefault="00ED1A5E" w:rsidP="00C33834">
      <w:pPr>
        <w:pStyle w:val="ae"/>
        <w:shd w:val="clear" w:color="auto" w:fill="FFFFFF"/>
        <w:spacing w:before="0" w:after="0"/>
        <w:jc w:val="both"/>
        <w:rPr>
          <w:color w:val="000000" w:themeColor="text1"/>
          <w:sz w:val="16"/>
          <w:szCs w:val="16"/>
        </w:rPr>
      </w:pPr>
      <w:r w:rsidRPr="00C33834">
        <w:rPr>
          <w:color w:val="000000" w:themeColor="text1"/>
          <w:sz w:val="16"/>
          <w:szCs w:val="16"/>
        </w:rPr>
        <w:t>В 8 часов 30 минут экипаж занял гондолу и через 10 минут начальник ВВС Яков Алкснис лично дал разрешение на старт. Под крики ура и аплодисменты провожающих голубая гондола с надписью «СССР», подвешенная под серебристой «кишкой» оболочки дирижабля, быстро по вертикали пошла вверх. Уже через 5 минут полета набранная высота составила 3 км. Подъем продолжался при постоянной радиосвязи с экипажем, который имел позывной «Марс». На земле связь осуществляли радиоузел в поселке Тарасовка и радиостанция Главной аэрометеорологической службы (ГАМС).</w:t>
      </w:r>
    </w:p>
    <w:p w14:paraId="4464623C" w14:textId="77777777" w:rsidR="00ED1A5E" w:rsidRPr="00C33834" w:rsidRDefault="00ED1A5E" w:rsidP="00C33834">
      <w:pPr>
        <w:pStyle w:val="ae"/>
        <w:shd w:val="clear" w:color="auto" w:fill="FFFFFF"/>
        <w:spacing w:before="0" w:after="0"/>
        <w:jc w:val="both"/>
        <w:rPr>
          <w:color w:val="000000" w:themeColor="text1"/>
          <w:sz w:val="16"/>
          <w:szCs w:val="16"/>
        </w:rPr>
      </w:pPr>
      <w:r w:rsidRPr="00C33834">
        <w:rPr>
          <w:color w:val="000000" w:themeColor="text1"/>
          <w:sz w:val="16"/>
          <w:szCs w:val="16"/>
        </w:rPr>
        <w:t>К 11 часам дня «СССР-1» достиг высоты 18 км при температуре за бортом -67°C, внутри гондолы температура составила +22°C, перегрев оболочки достиг 75°C. В 12 часов 45 минут аэростат уже полностью достиг сферической формы, к этому моменту он достиг высоты 19 км при температуре -67°C снаружи, внутри оболочки +75°C, внутри гондолы температура колебалась от +12°C до +32°C.</w:t>
      </w:r>
    </w:p>
    <w:p w14:paraId="5A19718F" w14:textId="77777777" w:rsidR="00ED1A5E" w:rsidRPr="00C33834" w:rsidRDefault="00ED1A5E" w:rsidP="00C33834">
      <w:pPr>
        <w:pStyle w:val="ae"/>
        <w:shd w:val="clear" w:color="auto" w:fill="FFFFFF"/>
        <w:spacing w:before="0" w:after="0"/>
        <w:jc w:val="both"/>
        <w:rPr>
          <w:color w:val="000000" w:themeColor="text1"/>
          <w:sz w:val="16"/>
          <w:szCs w:val="16"/>
        </w:rPr>
      </w:pPr>
      <w:r w:rsidRPr="00C33834">
        <w:rPr>
          <w:color w:val="000000" w:themeColor="text1"/>
          <w:sz w:val="16"/>
          <w:szCs w:val="16"/>
        </w:rPr>
        <w:t>Как и было тогда положено, при достижении максимальной высоты экипаж направил приветственную радиограмму товарищу Сталину, после чего приступил к снижению. В течение всего полета, продолжавшегося около 8 часов 15 минут, стратостат отлично наблюдали с земли. В 13 часов дня наземные наблюдатели отметили начало его снижения и перемещение в направлении на юго-восток. В 17 часов 30 сентября «СССР-1» благополучно опустился на берегу Москва-реки близ Коломны, в 250 метрах от Коломенского завода у станции Голутвин.</w:t>
      </w:r>
    </w:p>
    <w:p w14:paraId="1D266C05" w14:textId="77777777" w:rsidR="00ED1A5E" w:rsidRPr="00C33834" w:rsidRDefault="00ED1A5E" w:rsidP="00C33834">
      <w:pPr>
        <w:pStyle w:val="ae"/>
        <w:shd w:val="clear" w:color="auto" w:fill="FFFFFF"/>
        <w:spacing w:before="0" w:after="0"/>
        <w:jc w:val="both"/>
        <w:rPr>
          <w:color w:val="000000" w:themeColor="text1"/>
          <w:sz w:val="16"/>
          <w:szCs w:val="16"/>
        </w:rPr>
      </w:pPr>
      <w:r w:rsidRPr="00C33834">
        <w:rPr>
          <w:color w:val="000000" w:themeColor="text1"/>
          <w:sz w:val="16"/>
          <w:szCs w:val="16"/>
        </w:rPr>
        <w:t>Научные результаты полета стратостата «СССР-1» были следующие:</w:t>
      </w:r>
    </w:p>
    <w:p w14:paraId="660AB2F6" w14:textId="77777777" w:rsidR="00ED1A5E" w:rsidRPr="00C33834" w:rsidRDefault="00ED1A5E" w:rsidP="00C33834">
      <w:pPr>
        <w:pStyle w:val="ae"/>
        <w:shd w:val="clear" w:color="auto" w:fill="FFFFFF"/>
        <w:spacing w:before="0" w:after="0"/>
        <w:jc w:val="both"/>
        <w:rPr>
          <w:color w:val="000000" w:themeColor="text1"/>
          <w:sz w:val="16"/>
          <w:szCs w:val="16"/>
        </w:rPr>
      </w:pPr>
      <w:r w:rsidRPr="00C33834">
        <w:rPr>
          <w:color w:val="000000" w:themeColor="text1"/>
          <w:sz w:val="16"/>
          <w:szCs w:val="16"/>
        </w:rPr>
        <w:t>— К.Д.Годунов выполнил измерения интенсивности космических лучей с помощью электрометров Гесса и Кольхёрстера, их зарядка осуществлялась электризованной трением о шерсть эбонитовой палочкой. Электрометр Кольхёрстера был изготовлен в Германии, а электрометр Гесса — на опытном заводе Геологоразведки в Ленинграде. Полученные результаты подтвердили данные Пиккара о космическом (внеземном) происхождения этих лучей и роли атмосферы в защите от них.</w:t>
      </w:r>
    </w:p>
    <w:p w14:paraId="43807B95" w14:textId="77777777" w:rsidR="00ED1A5E" w:rsidRPr="00C33834" w:rsidRDefault="00ED1A5E" w:rsidP="00C33834">
      <w:pPr>
        <w:pStyle w:val="ae"/>
        <w:shd w:val="clear" w:color="auto" w:fill="FFFFFF"/>
        <w:spacing w:before="0" w:after="0"/>
        <w:jc w:val="both"/>
        <w:rPr>
          <w:color w:val="000000" w:themeColor="text1"/>
          <w:sz w:val="16"/>
          <w:szCs w:val="16"/>
        </w:rPr>
      </w:pPr>
      <w:r w:rsidRPr="00C33834">
        <w:rPr>
          <w:color w:val="000000" w:themeColor="text1"/>
          <w:sz w:val="16"/>
          <w:szCs w:val="16"/>
        </w:rPr>
        <w:t>— с высоты 18000 м привезли пробы воздуха. Анализ показал, что на этой высоте состав воздуха немного отличается от близкого к земле: в нем смешаны 78,13% азота, 20,95% кислорода и 0,92% аргона и инертных газов. Установление близости состава стратосферного воздуха к воздуху тропосферы означало в перспективе возможность использования для полета на этих высотах как двигателей внутреннего сгорания, с компрессорами, так и воздушно-реактивных двигателей. Метеорографы стратостата работали нормально. Давление измерялось ртутным барометром, температура — электрическим платиновым термометром, но из-за слабого действия вентиляции точными можно было признать лишь часть отсчетов. Этих отсчетов было достаточно для пользования при вычислении высоты подъема, но полной картины распределения температуры по высоте они не дали.</w:t>
      </w:r>
    </w:p>
    <w:p w14:paraId="3311D267" w14:textId="77777777" w:rsidR="00ED1A5E" w:rsidRPr="00C33834" w:rsidRDefault="00ED1A5E" w:rsidP="00C33834">
      <w:pPr>
        <w:pStyle w:val="ae"/>
        <w:shd w:val="clear" w:color="auto" w:fill="FFFFFF"/>
        <w:spacing w:before="0" w:after="0"/>
        <w:jc w:val="both"/>
        <w:rPr>
          <w:color w:val="000000" w:themeColor="text1"/>
          <w:sz w:val="16"/>
          <w:szCs w:val="16"/>
        </w:rPr>
      </w:pPr>
      <w:r w:rsidRPr="00C33834">
        <w:rPr>
          <w:color w:val="000000" w:themeColor="text1"/>
          <w:sz w:val="16"/>
          <w:szCs w:val="16"/>
        </w:rPr>
        <w:t>— институт актинометрии и атмосферной оптики планировал провести изучение солнечной и рассеянной радиации, а также измерение отражающей способности (альбедо) земной поверхности. Для этого специалисты института разработали два пиранометра, а также пираноальбедометр, которые предполагалось подвесить на расстоянии 75 м под гондолой. Приборы прошли испытания и были подготовлены к полету, но не установлены в стратостате, так как первый полет был предназначен в основном для обучения экипажа (19614).</w:t>
      </w:r>
    </w:p>
    <w:p w14:paraId="4DC19A00" w14:textId="77777777" w:rsidR="00ED1A5E" w:rsidRPr="00C33834" w:rsidRDefault="00ED1A5E" w:rsidP="00C33834">
      <w:pPr>
        <w:spacing w:after="0" w:line="240" w:lineRule="auto"/>
        <w:jc w:val="both"/>
        <w:rPr>
          <w:rFonts w:ascii="Times New Roman" w:hAnsi="Times New Roman"/>
          <w:color w:val="000000" w:themeColor="text1"/>
          <w:sz w:val="16"/>
          <w:szCs w:val="16"/>
        </w:rPr>
      </w:pPr>
    </w:p>
    <w:p w14:paraId="78932E05" w14:textId="77777777" w:rsidR="00AE6ED4" w:rsidRPr="00C33834" w:rsidRDefault="00AE6ED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ночь на 30 сентября 1933, когда стало ясно, что по</w:t>
      </w:r>
      <w:r w:rsidRPr="00C33834">
        <w:rPr>
          <w:rFonts w:ascii="Times New Roman" w:hAnsi="Times New Roman"/>
          <w:color w:val="0070C0"/>
          <w:sz w:val="16"/>
          <w:szCs w:val="16"/>
        </w:rPr>
        <w:softHyphen/>
        <w:t>года не помешает старту, оболочку стали напол</w:t>
      </w:r>
      <w:r w:rsidRPr="00C33834">
        <w:rPr>
          <w:rFonts w:ascii="Times New Roman" w:hAnsi="Times New Roman"/>
          <w:color w:val="0070C0"/>
          <w:sz w:val="16"/>
          <w:szCs w:val="16"/>
        </w:rPr>
        <w:softHyphen/>
        <w:t>нять из газгольдеров. К 6 часам утра наполнение закончилось. В неё влили около 3000 м3 водорода, заполнив примерно на 7g объёма. Через 20 минут на старт вынесли гондолу и прикрепили к таке</w:t>
      </w:r>
      <w:r w:rsidRPr="00C33834">
        <w:rPr>
          <w:rFonts w:ascii="Times New Roman" w:hAnsi="Times New Roman"/>
          <w:color w:val="0070C0"/>
          <w:sz w:val="16"/>
          <w:szCs w:val="16"/>
        </w:rPr>
        <w:softHyphen/>
        <w:t>лажу. Комиссия по определению высоты полёта запломбировала барографы. Около 8.00, после доклада командира стратостата Г.А. Прокофьева командарму Я.И. Алкснису о готовности экипа</w:t>
      </w:r>
      <w:r w:rsidRPr="00C33834">
        <w:rPr>
          <w:rFonts w:ascii="Times New Roman" w:hAnsi="Times New Roman"/>
          <w:color w:val="0070C0"/>
          <w:sz w:val="16"/>
          <w:szCs w:val="16"/>
        </w:rPr>
        <w:softHyphen/>
        <w:t>жа и стратостата к полёту, пилоты заняли места в гондоле. Всю систему в последний раз взвесили.</w:t>
      </w:r>
    </w:p>
    <w:p w14:paraId="41597C50" w14:textId="77777777" w:rsidR="00AE6ED4" w:rsidRPr="00C33834" w:rsidRDefault="00AE6ED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8.40 по команде Я.И. Алксниса красноармей</w:t>
      </w:r>
      <w:r w:rsidRPr="00C33834">
        <w:rPr>
          <w:rFonts w:ascii="Times New Roman" w:hAnsi="Times New Roman"/>
          <w:color w:val="0070C0"/>
          <w:sz w:val="16"/>
          <w:szCs w:val="16"/>
        </w:rPr>
        <w:softHyphen/>
        <w:t>цы, державшие стратостат за корзину амортиза</w:t>
      </w:r>
      <w:r w:rsidRPr="00C33834">
        <w:rPr>
          <w:rFonts w:ascii="Times New Roman" w:hAnsi="Times New Roman"/>
          <w:color w:val="0070C0"/>
          <w:sz w:val="16"/>
          <w:szCs w:val="16"/>
        </w:rPr>
        <w:softHyphen/>
        <w:t>тора, отпустили его. Через пять минут на радио</w:t>
      </w:r>
      <w:r w:rsidRPr="00C33834">
        <w:rPr>
          <w:rFonts w:ascii="Times New Roman" w:hAnsi="Times New Roman"/>
          <w:color w:val="0070C0"/>
          <w:sz w:val="16"/>
          <w:szCs w:val="16"/>
        </w:rPr>
        <w:softHyphen/>
        <w:t>станции Главной аэрометеорологической стан</w:t>
      </w:r>
      <w:r w:rsidRPr="00C33834">
        <w:rPr>
          <w:rFonts w:ascii="Times New Roman" w:hAnsi="Times New Roman"/>
          <w:color w:val="0070C0"/>
          <w:sz w:val="16"/>
          <w:szCs w:val="16"/>
        </w:rPr>
        <w:softHyphen/>
        <w:t>ции (ГАМС) аэродрома получили радиограмму с позывными стратостата «Марс», в которой со</w:t>
      </w:r>
      <w:r w:rsidRPr="00C33834">
        <w:rPr>
          <w:rFonts w:ascii="Times New Roman" w:hAnsi="Times New Roman"/>
          <w:color w:val="0070C0"/>
          <w:sz w:val="16"/>
          <w:szCs w:val="16"/>
        </w:rPr>
        <w:softHyphen/>
        <w:t>общалось о достижении высоты 2000 м. С этого времени наземная радиостанция поддерживала связь со стратостатом до того момента, когда он пошёл на посадку.</w:t>
      </w:r>
    </w:p>
    <w:p w14:paraId="2102E4B4" w14:textId="77777777" w:rsidR="00AE6ED4" w:rsidRPr="00C33834" w:rsidRDefault="00AE6ED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9.17 «СССР-1» достиг высоты 16 800 м, побив рекорд Пиккара-Козинса. В 9.19 страто</w:t>
      </w:r>
      <w:r w:rsidRPr="00C33834">
        <w:rPr>
          <w:rFonts w:ascii="Times New Roman" w:hAnsi="Times New Roman"/>
          <w:color w:val="0070C0"/>
          <w:sz w:val="16"/>
          <w:szCs w:val="16"/>
        </w:rPr>
        <w:softHyphen/>
        <w:t>навты сообщили, что оболочка стратостата вы</w:t>
      </w:r>
      <w:r w:rsidRPr="00C33834">
        <w:rPr>
          <w:rFonts w:ascii="Times New Roman" w:hAnsi="Times New Roman"/>
          <w:color w:val="0070C0"/>
          <w:sz w:val="16"/>
          <w:szCs w:val="16"/>
        </w:rPr>
        <w:softHyphen/>
        <w:t>полнилась и уравновесилась на высоте 17500 м.</w:t>
      </w:r>
    </w:p>
    <w:p w14:paraId="070C867D" w14:textId="77777777" w:rsidR="00AE6ED4" w:rsidRPr="00C33834" w:rsidRDefault="00AE6ED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Прокофьев, убедившись, что всё в порядке, от</w:t>
      </w:r>
      <w:r w:rsidRPr="00C33834">
        <w:rPr>
          <w:rFonts w:ascii="Times New Roman" w:hAnsi="Times New Roman"/>
          <w:color w:val="0070C0"/>
          <w:sz w:val="16"/>
          <w:szCs w:val="16"/>
        </w:rPr>
        <w:softHyphen/>
        <w:t>дал 80 кг балласта, позволив «СССР-1» поднять</w:t>
      </w:r>
      <w:r w:rsidRPr="00C33834">
        <w:rPr>
          <w:rFonts w:ascii="Times New Roman" w:hAnsi="Times New Roman"/>
          <w:color w:val="0070C0"/>
          <w:sz w:val="16"/>
          <w:szCs w:val="16"/>
        </w:rPr>
        <w:softHyphen/>
        <w:t>ся выше. В 10.22 на высоте 17 400 м аэронавты взяли первую пробу воздуха. В 10.30 на высоте 18 100 м лопнуло стекло герметического колпака барографа. В 10.35 на высоте 17 900 м давление в гондоле возросло на 12 мм рт. ст., что вызвало остановку прибора, автоматически подающего кислород. Стравив избыток воздуха в атмосфе</w:t>
      </w:r>
      <w:r w:rsidRPr="00C33834">
        <w:rPr>
          <w:rFonts w:ascii="Times New Roman" w:hAnsi="Times New Roman"/>
          <w:color w:val="0070C0"/>
          <w:sz w:val="16"/>
          <w:szCs w:val="16"/>
        </w:rPr>
        <w:softHyphen/>
        <w:t>ру, аэронавты перезапустили прибор. В 12.00 они сбросили последнюю дозу балласта, пред</w:t>
      </w:r>
      <w:r w:rsidRPr="00C33834">
        <w:rPr>
          <w:rFonts w:ascii="Times New Roman" w:hAnsi="Times New Roman"/>
          <w:color w:val="0070C0"/>
          <w:sz w:val="16"/>
          <w:szCs w:val="16"/>
        </w:rPr>
        <w:softHyphen/>
        <w:t>назначенного для подъёма на потолок. Про</w:t>
      </w:r>
      <w:r w:rsidRPr="00C33834">
        <w:rPr>
          <w:rFonts w:ascii="Times New Roman" w:hAnsi="Times New Roman"/>
          <w:color w:val="0070C0"/>
          <w:sz w:val="16"/>
          <w:szCs w:val="16"/>
        </w:rPr>
        <w:softHyphen/>
        <w:t>кофьев занёс в бортовой журнал: «Нам ничего не мешает, разве обилие влаги, которая порой не даёт нам следить за показаниями электроме</w:t>
      </w:r>
      <w:r w:rsidRPr="00C33834">
        <w:rPr>
          <w:rFonts w:ascii="Times New Roman" w:hAnsi="Times New Roman"/>
          <w:color w:val="0070C0"/>
          <w:sz w:val="16"/>
          <w:szCs w:val="16"/>
        </w:rPr>
        <w:softHyphen/>
        <w:t>тров». К 12.55 «СССР-1» достиг высоты 19 000 м, и стратонавты послали радиограмму И.В. Ста</w:t>
      </w:r>
      <w:r w:rsidRPr="00C33834">
        <w:rPr>
          <w:rFonts w:ascii="Times New Roman" w:hAnsi="Times New Roman"/>
          <w:color w:val="0070C0"/>
          <w:sz w:val="16"/>
          <w:szCs w:val="16"/>
        </w:rPr>
        <w:softHyphen/>
        <w:t>лину, К.Е. Ворошилову и В.М. Молотову. По</w:t>
      </w:r>
      <w:r w:rsidRPr="00C33834">
        <w:rPr>
          <w:rFonts w:ascii="Times New Roman" w:hAnsi="Times New Roman"/>
          <w:color w:val="0070C0"/>
          <w:sz w:val="16"/>
          <w:szCs w:val="16"/>
        </w:rPr>
        <w:softHyphen/>
        <w:t>сле достижения рекордной высоты «СССР-1» пошёл на снижение и в 17.00 опустился на луг около Коломенского завода (20120).</w:t>
      </w:r>
    </w:p>
    <w:p w14:paraId="06902CA0" w14:textId="77777777" w:rsidR="00AE6ED4" w:rsidRPr="00C33834" w:rsidRDefault="00AE6ED4" w:rsidP="00C33834">
      <w:pPr>
        <w:spacing w:after="0" w:line="240" w:lineRule="auto"/>
        <w:jc w:val="both"/>
        <w:rPr>
          <w:rFonts w:ascii="Times New Roman" w:hAnsi="Times New Roman"/>
          <w:color w:val="0070C0"/>
          <w:sz w:val="16"/>
          <w:szCs w:val="16"/>
        </w:rPr>
      </w:pPr>
    </w:p>
    <w:p w14:paraId="173DD103"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9881FDB"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363ADE24"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сентября 1933 г. были окончательно приняты вместе с еще двумя изготов</w:t>
      </w:r>
      <w:r w:rsidRPr="00C33834">
        <w:rPr>
          <w:rFonts w:ascii="Times New Roman" w:hAnsi="Times New Roman"/>
          <w:color w:val="000000" w:themeColor="text1"/>
          <w:sz w:val="16"/>
          <w:szCs w:val="16"/>
        </w:rPr>
        <w:softHyphen/>
        <w:t>ленными сначала 12 танков Т-28, а к концу года при плане 90 танков была сдана 41 машина из 44-изготовленных. Правда, цех МХ-2 “Путиловского завода” уже перестраивался. Для его оснаще</w:t>
      </w:r>
      <w:r w:rsidRPr="00C33834">
        <w:rPr>
          <w:rFonts w:ascii="Times New Roman" w:hAnsi="Times New Roman"/>
          <w:color w:val="000000" w:themeColor="text1"/>
          <w:sz w:val="16"/>
          <w:szCs w:val="16"/>
        </w:rPr>
        <w:softHyphen/>
        <w:t>ния в США и Великобритании были закуплены более трех десятков станков и приспособлений для выпуска тракто</w:t>
      </w:r>
      <w:r w:rsidRPr="00C33834">
        <w:rPr>
          <w:rFonts w:ascii="Times New Roman" w:hAnsi="Times New Roman"/>
          <w:color w:val="000000" w:themeColor="text1"/>
          <w:sz w:val="16"/>
          <w:szCs w:val="16"/>
        </w:rPr>
        <w:softHyphen/>
        <w:t>ров. На заводе были созданы восемь специальных стапелей для сборки больших танков (10733,241).</w:t>
      </w:r>
    </w:p>
    <w:p w14:paraId="0B68CCCB"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p>
    <w:p w14:paraId="4E8546AF" w14:textId="77777777" w:rsidR="00785FB6" w:rsidRPr="00C33834" w:rsidRDefault="00785FB6"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30 сентября 1933 г. закончился автопробег Москва — Кара-Кум — Москва, протяженностью в 9500 километров в составе 23 машин советского производства, который стартовал 6 июля 1933 г. (17381).</w:t>
      </w:r>
    </w:p>
    <w:p w14:paraId="69F59797" w14:textId="77777777" w:rsidR="00785FB6" w:rsidRPr="00C33834" w:rsidRDefault="00785FB6" w:rsidP="00C33834">
      <w:pPr>
        <w:shd w:val="clear" w:color="auto" w:fill="FFFFFF"/>
        <w:spacing w:after="0" w:line="240" w:lineRule="auto"/>
        <w:jc w:val="both"/>
        <w:rPr>
          <w:rFonts w:ascii="Times New Roman" w:hAnsi="Times New Roman"/>
          <w:color w:val="000000" w:themeColor="text1"/>
          <w:sz w:val="16"/>
          <w:szCs w:val="16"/>
        </w:rPr>
      </w:pPr>
    </w:p>
    <w:p w14:paraId="0DC56AE7"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30 сентября 1933 г. был подготовлен Протокол допроса обвиняемого Миллера Вольдемара Антоновича, 1897 г. рождения</w:t>
      </w:r>
    </w:p>
    <w:p w14:paraId="69A2DABC"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Мой отец, бывший домовладелец, Миллер Антон Матвеевич, являющийся контролером отделения международной фирмы "Конт­роль К" в Мариуполе, познакомил меня с ответственным представи­телем этой фирмы доктором химии Вайнцетелем Иосифом и его заме­стителем Цикмундом Евгением в декабре м-це 1931 года.</w:t>
      </w:r>
    </w:p>
    <w:p w14:paraId="27AE4EB1"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Первая моя встреча с Вайнцетелем и Цикмундом состоялась в квар­тире моего отца, которого они периодически посещали.</w:t>
      </w:r>
    </w:p>
    <w:p w14:paraId="650DA175"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Вайнцетель и Цикмунд пригласили меня к себе в гости и с этого момента началось мое сближение с ними.</w:t>
      </w:r>
    </w:p>
    <w:p w14:paraId="56F7F871"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Исключительная любезность и общительность, проявленная Цик­мундом, вызвали мое расположение к нему. Сначала я с ним сблизил­ся более чем с Вайнцетелем, часто его посещая.</w:t>
      </w:r>
    </w:p>
    <w:p w14:paraId="0202F952"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 нашем обществе постоянно находился католический пастор г. Мариуполя немец Вагнер Адам.</w:t>
      </w:r>
    </w:p>
    <w:p w14:paraId="47237257"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 этой, вполне естественной обстановке встреч, Цикмунд прояв­лял большую инициативу в части проведения бесед на политические темы, носившие к-р характер. Цикмунд расценивал коллективиза­цию как насильственный акт со стороны советского правительства в отношении крестьянства, направленный к развалу сельского, соб­ственнического хозяйства. Его возмущали заготовительные кампа­нии, которым он присваивал кличку "грабежа крестьянина".</w:t>
      </w:r>
    </w:p>
    <w:p w14:paraId="35E64C40"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Он также старался убедить меня в том, что взятые большевиками темпы по индустриализации страны выдержаны не будут, ибо народ! голодает, внутренние ресурсы, дававшие возможность к получению! импорта - машин и прочее, исчерпываются, и все это вместе взятое повлечет за собой подрыв мощи Советской власти, нарастание не­верия и недовольств масс по отношению к советской ]власти и выте­кающие отсюда последствия в виде внутриполитических эксцессов - волнений среди рабочих, восстаний на селе и т.д.</w:t>
      </w:r>
    </w:p>
    <w:p w14:paraId="5F07F928"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Совершенно не скрывая от меня свою враждебность к советской власти, Цикмунд всячески восхвалял мощь Германии как убежденный националист. Несмотря на то, что он является уроженцем Авст­рии, Цикмунд был сторонником воссоздания и захвата исторических границ Германии, считая еще в то время необходимым присоедине­ние к Германии немецкой Австрии.</w:t>
      </w:r>
    </w:p>
    <w:p w14:paraId="4FEE5F6D"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Таким образом, Цикмунд предвосхищал идею "аншлюса", под­держиваемую ныне гитлеровским правительством.</w:t>
      </w:r>
    </w:p>
    <w:p w14:paraId="06CFC805"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Цикмунд убежденно доказывал, что коммунистическое движение в Германии будет подавлено и руководящая роль в германском пра­вительстве перейдет к националистам, которые, несомненно, поведут активную борьбу с советской властью, направленную к защите ин­тересов немецкого населения, живущего на территории СССР, в ос­новном, на Украине и в Приволжском крае.</w:t>
      </w:r>
    </w:p>
    <w:p w14:paraId="6C391F1C"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lastRenderedPageBreak/>
        <w:t>Защита интересов немцев, живущих в СССР, как говорил Цикмунд, должна была в основном сводиться к организации эмиграции немцев из СССР в Германию. Одновременно Цикмунд в процессе бе­сед со мной всегда особо подчеркивал, что каждый немец, живущий в СССР, должен помнить, что он обязан защищать интересы герман­ского народа и, в случае вооруженного столкновения Германии с СССР, стать на путь активной поддержки германской армии путем организации развала тыла Красной Армии, т.е. дезертирства из РККА в ряды германской армии, контреволюционной пропаган­ды, создания волынок и повстанческого движения в немецких коло­ниях.</w:t>
      </w:r>
    </w:p>
    <w:p w14:paraId="666B7752"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Я лично сознательно разделял политические взгляды Цикмунда, так как не был согласен с политикой советской власти по сельским вопросам и считал, что немецкое население угнетено, экономически разорено и также был уверен в непродолжительности существования советской власти.</w:t>
      </w:r>
    </w:p>
    <w:p w14:paraId="43CD7242"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Стремясь выехать в Германию, я был уверен в близости гибели советской власти, полагая, что в России будет установлено демократическое управление государством на выборных началах от всех слоев населения, без участия коммунистов.</w:t>
      </w:r>
    </w:p>
    <w:p w14:paraId="3BA53647"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Вайнцетель также был со мной откровенен, высказывая свои на­ционально-фашистские политические взгляды.</w:t>
      </w:r>
    </w:p>
    <w:p w14:paraId="4C2015A3"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 апреле месяце 1932 года Цикмунд пригласил меня зайти к нему. Просьбу его я исполнил. Находясь наедине со мной, Цикмунд пре­дупредил меня, что намерен со мной переговорить по весьма серьезно­му вопросу, касающегося моего активного действенного участия в разведывательной работе в пользу Германии, которую он проводит, находясь в СССР.</w:t>
      </w:r>
    </w:p>
    <w:p w14:paraId="05EAF1E0"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Цикмунд откровенно заявил мне, что в целях оказания помощи германскому правительству, необходимо всесторонне изучать эконо­мическую, политическую и оборонную мощь Советского Союза, как возможного противника Германии, что в данном случае, привлекая меня к разведывательной работе, он даст мне соответствующие пору­чения.</w:t>
      </w:r>
    </w:p>
    <w:p w14:paraId="214DC1D1"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Я, сознательно подчиняясь тому же влиянию Цикмунда, изъявил согласие принять участие в разведывательной работе. Цикмунд ос­тался доволен таким ответом, предупредил меня об осторожности.</w:t>
      </w:r>
    </w:p>
    <w:p w14:paraId="3F11458B"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После осуществления вербовки меня, Цикмунд в тот же день дал мне следующее задание:</w:t>
      </w:r>
    </w:p>
    <w:p w14:paraId="14A5BE70"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1. Собирать сведения о ходе строительства новостроящегося заво­да "Азовстали" в Мариуполе:</w:t>
      </w:r>
    </w:p>
    <w:p w14:paraId="35879978"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а) какие цеха запроектированы и строятся, их назначение, ориен­тировочная производственная мощность;</w:t>
      </w:r>
    </w:p>
    <w:p w14:paraId="2E174EB6"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б) количество предполагаемых к постройке доменных печей, с рас­четами их производственной мощности;</w:t>
      </w:r>
    </w:p>
    <w:p w14:paraId="4F3365D9"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 насколько строительство обеспечено материалами и рабочей силой;</w:t>
      </w:r>
    </w:p>
    <w:p w14:paraId="01D7057C"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г) какими механизмами будет оборудовано строительство "Азов­стали", импортными или же советского производства.</w:t>
      </w:r>
    </w:p>
    <w:p w14:paraId="30FA1CBF"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2. Выяснить, какие запроектированы по "Азовстали" цеха обо­ронного значения по выпуску брони и прочее. Возможную, ориен­тировочную их пропускную способность.</w:t>
      </w:r>
    </w:p>
    <w:p w14:paraId="062D95CC"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3. Собирать исчерпывающие сведения по заводу им. Ильича в Мариуполе, в основном интересуясь броневым и снарядным цехами, выясняя характер, качество и количество выпускаемой продукции.</w:t>
      </w:r>
    </w:p>
    <w:p w14:paraId="1DD86564"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4. Собирать данные о пропускной способности Мариупольского порта, количестве и качестве запасов угля в порту, предназначенного для экспорта и состояние железнодорожного транспорта по порто­вому ж. д. узлу.</w:t>
      </w:r>
    </w:p>
    <w:p w14:paraId="11B65C3D"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5. Выяснить состав военного гарнизона РККА, расположенного в Мариуполе, количество и дислокацию его подразделений, характер вооружения. Собирать сведения о настроениях военнослужащих, Цикмунд особо интересовался, имеются ли в составе военнослужащих немцы.</w:t>
      </w:r>
    </w:p>
    <w:p w14:paraId="1BFD3866"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Цикмунд рекомендовал мне черпать необходимые сведения от сво­их надежных, близких знакомых, которые в той, или иной степени сталкиваются с интересующими его объектами.</w:t>
      </w:r>
    </w:p>
    <w:p w14:paraId="5C696949"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Наиболее проверенных близких мне антисоветски настроенных лиц, Цикмунд советовал осторожно привлечь для разведывательной работы.</w:t>
      </w:r>
    </w:p>
    <w:p w14:paraId="52F8F341"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Намеченного к вербовке я должен был, согласно полученных ука­заний, тщательно политически во враждебном к советской власти духе обработать, обещая материальную поддержку за выполнение поручений.</w:t>
      </w:r>
    </w:p>
    <w:p w14:paraId="3398E75F"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Приступив к выполнению порученных мной заданий от Цикмунда по разведывательной деятельности, я решил для облегчения соей работы по "Азовстали" завербовать инженера-конструктора Ниль­сена Виктора Александровича, который, по моему мнению, подхо­дил к условиям, поставленным передо мною Цикмундом.</w:t>
      </w:r>
    </w:p>
    <w:p w14:paraId="0BF0EA6D"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Нильсен по национальности немец, до империалистической вой­ны работал архитектором при Городской Управе г. Мариуполя. В армиях он не служил, пожилой. С ним я находился в близких взаимо­отношениях и знал, что Нильсен настроен антисоветски, а, следова­тельно, не будет противоречить моему предложению.</w:t>
      </w:r>
    </w:p>
    <w:p w14:paraId="345E12F1"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 конце мая месяца 1932 года я зашел к Нильсену. В процессе бесе­ды мы коснулись вопросов политического характера и положения Германии. Я доказывал Нильсену, что каждый немец должен быть националистом, не забывая своих отечественных обязанностей. Не видя возражений с его стороны, я приступил к вербовке Нильсена, предложив ему собрать сведения от "Азовстали" в разрезе получен­ного мною задания от Цикмунда. Нильсен в ответ на это спросил меня, с кем я состою в связи, насколько я и он будем гарантированы от про­вала, ибо в случае провала — мы понесем серьезную ответственность.</w:t>
      </w:r>
    </w:p>
    <w:p w14:paraId="18097BFF"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Я сообщил Нильсену, что сведения будут передаваться для герман­ской разведки, в связи с которой я состою и гарантировал ему конс­пирацию. </w:t>
      </w:r>
    </w:p>
    <w:p w14:paraId="3EE6B450"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Нильсена мой ответ не удовлетворил и он потребовал конкретноназвать лицо, которое мною руководит, так как в противном случае согласия на мое предложение не даст.</w:t>
      </w:r>
    </w:p>
    <w:p w14:paraId="33A03043"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Я вынуждено информировал Нильсена о том, что действую по поручению представителя фирмы "Контроль К°" Цикмунда.</w:t>
      </w:r>
    </w:p>
    <w:p w14:paraId="236853F5"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Нильсен, волнуясь, в тот же день изъявил свое согласие работатьсо мной, но неоднократно напоминал о необходимости быть осторожным.</w:t>
      </w:r>
    </w:p>
    <w:p w14:paraId="74699AC5"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Для освещения состояния Мариупольского порта я решил в мае месяце завербовать хорошо знакомого мне сотрудника "У экспорта" Колпакова Владимира Ивановича, проживающего Мариуполе.</w:t>
      </w:r>
    </w:p>
    <w:p w14:paraId="12635D52"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С Колпаковым я знаком около шести лет, знал его как политически неустойчивого человека, далекого от советской действительности постоянно брюзжащего и жалующегося на трудности и «загибы» вполитике Советской власти.</w:t>
      </w:r>
    </w:p>
    <w:p w14:paraId="08FFE00B"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Зайдя к Колпакову на дом (дату точно не могу вспомнить), застав его дома, я начал вести с ним осторожную беседу о внутренних и внешнеполитических затруднениях СССР. Колпаков со мной согласился, и я постепенно свою беседу свел к тому, что близко время, когда политические события, развиваясь, закончатся интервенцией со стороны Германии и других западных государств.</w:t>
      </w:r>
    </w:p>
    <w:p w14:paraId="5B42C3E3"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Колпаков продолжал со мной соглашаться, и я более смело гнул ему о своем намерении переговорить с ним по весьма серьезному делу.</w:t>
      </w:r>
    </w:p>
    <w:p w14:paraId="2B61B6A7"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Колпаков насторожился, сразу же пытливо спросил меня, о чем я хочу с ним говорить. Предупредив его о том, что моя беседа носит секретный характер, заручившись его честным словом об исполнениимоего предупреждения, я сказал ему, что за счет материальных гарантий и политического обезвреживания его при свержении существующего строя в СССР, он, Колпаков, должен помочь мне в сборе сведений о состоянии Мариупольского порта.</w:t>
      </w:r>
    </w:p>
    <w:p w14:paraId="5EA900AE"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Выслушав меня, Колпаков также спросил, от имени кого я действую. Ему я сказал, что требуемые сведения по порту весьма необходимы в коммерческих целях для фирмы "Контроль К°", Колпаков подозрительно отнесся к моему ответу и высказался, что мое предложение он рассматривает "как политическое дело, в его понятиях, экономический шпионаж".</w:t>
      </w:r>
    </w:p>
    <w:p w14:paraId="148BEF27"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Учитывая, что Колпаков догадывается о сути моего предложенияя в более откровенной форме дополнил свою информацию тем, что я связал с Цикмундом, задания которого выполняю по разведке в пользу Германии.</w:t>
      </w:r>
    </w:p>
    <w:p w14:paraId="576259C6"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Колпаков, после некоторого раздумья, боясь за последствия, все же согласие изъявил, обещая быть полезным.</w:t>
      </w:r>
    </w:p>
    <w:p w14:paraId="731ADA04"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 первых числах июля месяца 1932 года, зайдя к Цикмунду, я до­ложил ему о вербовке Нильсена и Колпакова. Цикмунд одобрил эти вербовки, но очень просил изучить людей, имеющих связи в Мариу­польском 238 стрелковом полку, для проведения там вербовочной ра­боты. Я обещал ему это, но предупредил Цикмуида, что такими свя­зями не располагаю. Кроме того, указал, что по заводу им. Ильича также не имею подходящих людей для вербовки.</w:t>
      </w:r>
    </w:p>
    <w:p w14:paraId="682ACA88"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Мною лично, а также через Нильсена и Колпакова, были собра­ны и переданы Цикмунду с июня по август месяцы 1932 г. сведения: По "Азовстали" — три рукописных доклада Нильсена (без его подписи) о ходе строительства "Азовстали", запроектированных це­хах оборонного значения, об оборудовании запроектированном для этих цехов и прочее.</w:t>
      </w:r>
    </w:p>
    <w:p w14:paraId="4CA89FA4"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Нильсен обычно подготавливал материалы и передавал мне, для чего я к нему заходил.</w:t>
      </w:r>
    </w:p>
    <w:p w14:paraId="7C01476B"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По Мариупольскому порту от Колпакова, кажется, были мною получены три заметки или четыре с данными по угольному запасу, его качеству, состоянии ж.-д. транспорта.</w:t>
      </w:r>
    </w:p>
    <w:p w14:paraId="581DC2D7"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По заводу им. Ильича я не мог добыть данных, также не мог об­служить Мариупольский полк, ограничиваясь в этом направлении желанием выполнить и эти поручения Цикмунда.</w:t>
      </w:r>
    </w:p>
    <w:p w14:paraId="08C88C66"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Нильсену я вознаграждений не передавал, а Колпакову Цикмунд передал через меня несколько посылок, состоящих из муки, сахара и сливочного масла.</w:t>
      </w:r>
    </w:p>
    <w:p w14:paraId="10BED3D0"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Пастор Вагнер Адам, как я указал выше, находился со мной в са­мых близких дружественных взаимоотношениях, он бывал у меня, присутствовал и участвовал в собеседованиях моих с Цикмундом на политические темы.</w:t>
      </w:r>
    </w:p>
    <w:p w14:paraId="03D0933B"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Вагнер — немец, националист, органически ненавидящий Советскую власть, всегда мечтавший и пророчивший ее близкое свержение интервентами.</w:t>
      </w:r>
    </w:p>
    <w:p w14:paraId="73ACE88A"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Вагнер постоянно твердил, что Германия в ближайшем будущем явится одним из активных агрессоров в отношении СССР и что, в свя­зи с этим, немецкой интеллигенцией, живущей в СССР, должна про­водиться и проводится соответствующая работа, направленная к организации немецкого населения, живущего в </w:t>
      </w:r>
      <w:r w:rsidRPr="00C33834">
        <w:rPr>
          <w:i w:val="0"/>
          <w:iCs w:val="0"/>
          <w:color w:val="000000" w:themeColor="text1"/>
          <w:spacing w:val="0"/>
          <w:kern w:val="0"/>
          <w:position w:val="0"/>
          <w:sz w:val="16"/>
          <w:szCs w:val="16"/>
          <w:lang w:val="ru-RU"/>
        </w:rPr>
        <w:lastRenderedPageBreak/>
        <w:t>колониях, его национальному воспитанию которое бы шло по руслу создания германс­кой национальной повстанческой контрреволюционной органи­зации, которая в момент внутренних и внешних политических ослож­нений в отношении СССР, могла бы активно выступить против Советской власти.</w:t>
      </w:r>
    </w:p>
    <w:p w14:paraId="4B61F97B"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Совершенно доверяя Вагнеру, с другой стороны, задавшись целью проверить, завербован ли он, как и я Цикмундом, я в одной из бесед с ним признался ему, что работаю в области разведки под руководством Цикмунда.</w:t>
      </w:r>
    </w:p>
    <w:p w14:paraId="08ACCD90"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Вагнер, удовлетворенный моим признанием, одобряя мои действия, также откровенно сообщил мне, что он имеет деловую связь с предста­вителем фирмы "Контроль К°" доктором Вайнцетелем, по поручению которого собирает такие же сведения о Советском Союзе и, в частно­сти, проводит работу по изучению политико-экономического состоя­ния немецких колоний, отдельных немцев обрабатывает в национа­листическом духе и вербует их в целях насаждения, при их помощи, в немецких колониях ячеек повстанческой контрреволюционной организации, о существовании которой Вагнер мне ранее намекал.</w:t>
      </w:r>
    </w:p>
    <w:p w14:paraId="6856B3AC"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Он назвал немецкие колонии, где существуют ячейки организа­ции, но название колоний, я не могу припомнить.</w:t>
      </w:r>
    </w:p>
    <w:p w14:paraId="6137CDAF"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О своей беседе с Вагнером, желая проверить, искренне ли он со мной говорил, я информировал Цикмунда.</w:t>
      </w:r>
    </w:p>
    <w:p w14:paraId="34DAAA9C"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Цикмунд удивлен был обстоятельством этой "откровенной" моей встречи с Вагнером, но подтвердил мне, что Вайнцетель ведет также разведывательную работу, как и он, что Вагнер, надо полагать, дей­ствительно с Вайнцетелем связан по этой работе.</w:t>
      </w:r>
    </w:p>
    <w:p w14:paraId="43CFFC10"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Цикмунд все же предупредил меня, впредь более осторожно вести себя, запретил мне совершенно вербовочную работу, намекая на то, что я могу провалиться и причинить, как себе, так и другим большие неприятности.</w:t>
      </w:r>
    </w:p>
    <w:p w14:paraId="1D05C00A"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Цикмунд указал, что с Вагнером от подобных бесед я должен впредь уклоняться, чего я впоследствии придерживался.</w:t>
      </w:r>
    </w:p>
    <w:p w14:paraId="00A50B64"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 ноябре месяце 1932 года Цикмунд предупредил меня о том, что он уезжает, и я впредь должен буду продолжать выполнение своих обязательств по разведке, передавая собираемые сведения Вайнцетелю, который обо мне Цикмундом был предупрежден.</w:t>
      </w:r>
    </w:p>
    <w:p w14:paraId="56B2A0F1"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 конце ноября месяца 1932 г. Цикмунд выехал из СССР в Вену.</w:t>
      </w:r>
    </w:p>
    <w:p w14:paraId="1DD51E70"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До пасхальных праздников 1933 г. (начало мая месяца), я связь с Вайнцетелем не установил, ожидая, что он это оформит лично, как говорил мне Цикмунд.</w:t>
      </w:r>
    </w:p>
    <w:p w14:paraId="13FD684F"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 пасхальные дни Вайнцетель пригласил меня к себе в гости. Пред­ложение я охотно принял, посетил его, и он просил меня заглянуть к нему через несколько дней.</w:t>
      </w:r>
    </w:p>
    <w:p w14:paraId="7B976C52"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При явке моей, Вайнцетель пригласил меня зайти к нему в рабо­чий кабинет, где, уединившись, информировал о том, что в Германии в то время происходили серьезные политические события, завершив­шиеся "славным" приходом к власти Гитлера, который громит ком­мунистические организации, восстанавливает в стране порядок, ук­репляя ее политическую и физическую мощь.</w:t>
      </w:r>
    </w:p>
    <w:p w14:paraId="7B238CE2"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Фашизм, по словам Вайнцетеля, является формой воинственных идей Гитлера и национал-социалистов, он все более и более крепнет, развиваясь на Западе, представит собой в будущем основное поли­тическое ядро в капиталистическом мире, прекращая этим самым меж­дупартийную борьбу, ибо существующие партии, кроме подавляе­мой коммунистической, сольются с национал-социализмом.</w:t>
      </w:r>
    </w:p>
    <w:p w14:paraId="1DE0A720"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Вайнцетель доказывал мне, что именно в настоящее время нацио­нал-социалисты, в основном, взяли ставку на организацию интер­венции СССР, как сильнейшего противника, опирающегося на мощ­ную металлургическую базу, имеющую решающее значение в оборо­не, и подготовленную Красную Армию.</w:t>
      </w:r>
    </w:p>
    <w:p w14:paraId="4E783531"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Указывая на близость интервенции СССР Германий, Вайнцетель особо отмечал, что в мирной обстановке на территории Советского Союза, насыщенного большим количеством немцев и части русской интеллигенции, сочувствующими национал-социализму, представ­ляются большие возможности к пропаганде идей фашизма и созда­нию политической, повстанческой организации, ячейки которой яв­лялись бы фактически боевыми отрядами-звеньями организации.</w:t>
      </w:r>
    </w:p>
    <w:p w14:paraId="749D65F9"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Руководство организации, по словам Вайнцетеля, должно было вести усиленную пропагандистскую работу среди этих отрядов, вов­лекая в состав их большое количество немецкой молодежи, а также и русскую, присваивая этим отрядам, для поднятия их идейно-воин­ствующего духа, под знаком фашизма, звание "штурмовых отрядов защиты Германии".</w:t>
      </w:r>
    </w:p>
    <w:p w14:paraId="555E051B"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Такая организационная работа, как говорил мне Вайнцетель, ведется национал-социалистами в немецких колониях Украины и Приволжского края.</w:t>
      </w:r>
    </w:p>
    <w:p w14:paraId="12F6BC32"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Вайнцетель, как-то случайно, подтвердил, что участниками по­добных организаций проводится вредительская работа в промышлен­ности Советского Союза.</w:t>
      </w:r>
    </w:p>
    <w:p w14:paraId="1E9E8669"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Я разделял политическую точку зрения Вайнцетеля, считал себя с момента этой беседы, сторонником национал-социалистов.</w:t>
      </w:r>
    </w:p>
    <w:p w14:paraId="42971F1E"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Вайнцетель в тот же день подподтвердил, что Цикмунд ему сообщил обо мне как о своем агенте и интересовался сущностью заданий, по­лученных мною от Цикмунда, подтвердил эти задания и попросил продолжать их выполнение, представив ему материалы в ближайшее вре­мя, так: как он должен был их срочно переотправить по месту назна­чения, почему-то назвав мне получателем - правление фирмы.</w:t>
      </w:r>
    </w:p>
    <w:p w14:paraId="3A91ABD9"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До дня ареста Вайнцетелю я передал сведения, полученные от Колпакова по Мариупольскому порту (уголь, транспорт) и одну руко­пись от Никсона по "Азовстали"' содержание которой не помню.</w:t>
      </w:r>
    </w:p>
    <w:p w14:paraId="017A7788"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Нильсену и Колпакову я Вайнцетеля не называл. При встрече же с ним я сообщил как о людях мною завербованных и уже использовавшихся.</w:t>
      </w:r>
    </w:p>
    <w:p w14:paraId="52484BC3"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Материалы от Нильсена я передал Вайнцетелю в конце июля ме­сяца 1933 г. в квартире Вайнцетеля.</w:t>
      </w:r>
    </w:p>
    <w:p w14:paraId="3A8F49E3"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Мне известно, что Вайнцетель был дружен по Мариуполю с инже­нером завода им. Ильича — Ставровским, электромонтером Цыган­ковым, работником "Экспортхлеба" - Булавой, Свирским - сотруд­ник конторы "Контроль К°".</w:t>
      </w:r>
    </w:p>
    <w:p w14:paraId="26126ACC"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Эти люди явно антисоветски настроены и я полагаю, что они да­леко не случайно составляли o6щество Вайнцетеля.</w:t>
      </w:r>
    </w:p>
    <w:p w14:paraId="2B97EC14"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Показания прерываются. Все записано с моих слов правильно, мной прочтено, в чем собственноручно расписываюсь. </w:t>
      </w:r>
    </w:p>
    <w:p w14:paraId="7E48782E"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В.Миллер.</w:t>
      </w:r>
    </w:p>
    <w:p w14:paraId="3D377067"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Допросили: Нач. 2 отделения 00 Доноблотдела ГПУ Богуславский </w:t>
      </w:r>
    </w:p>
    <w:p w14:paraId="12DFE448"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Уполномоченный 00 Турьянский (11462).</w:t>
      </w:r>
    </w:p>
    <w:p w14:paraId="32454EDC" w14:textId="77777777" w:rsidR="0007455B" w:rsidRPr="00C33834" w:rsidRDefault="0007455B" w:rsidP="00C33834">
      <w:pPr>
        <w:pStyle w:val="af2"/>
        <w:jc w:val="both"/>
        <w:rPr>
          <w:i w:val="0"/>
          <w:iCs w:val="0"/>
          <w:color w:val="000000" w:themeColor="text1"/>
          <w:spacing w:val="0"/>
          <w:kern w:val="0"/>
          <w:position w:val="0"/>
          <w:sz w:val="16"/>
          <w:szCs w:val="16"/>
          <w:lang w:val="ru-RU"/>
        </w:rPr>
      </w:pPr>
    </w:p>
    <w:p w14:paraId="27EF2A4F"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1D36F11E"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5FCCCC4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30 сентября 1933 года германский долг Англии равнялся 132 млн фунтов стерлингов, или 1718 млн марок. Для сравнения: весь германский экспорт в 1933 году составил 4871 млн марок (11208).</w:t>
      </w:r>
    </w:p>
    <w:p w14:paraId="4EC5014D"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76CFD471"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E15DB5A"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478CDF8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сентября 1933 в Москве в аэроклубе Осоавиахима (заказчика) испытывали САМ-5 цельнометаллический А.Москалева. Чуть-чуть поломали крышку фонаря и А.С.Я. предложил помочь отремонтировать. А.С.Я. протянул 2 месяца и машина простояла под открытым небом и требовала более серьезного ремонта. Москалев в это время делал САМ-6 под мотор в 85 нр и проектировал самолет с дельтовидным крылом Сигма, а также договорился с директором Воронежского авиатехникума о переделки цельнометаллического САМ-5 в цельнодеревянный САМ-5бис (2889,29).</w:t>
      </w:r>
    </w:p>
    <w:p w14:paraId="026894CB"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0120D33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сентября 1933 первый гидроплан S.55, закупленный ГВФ, под управлением экипажа А.С.Демченко совершил рейс Владивосток - Петропавловск за 4 суток. Потом на ДВ перегнали еще 4 машины, а одну под управлением Б.Л.Бухгольца разбили (1834,16).</w:t>
      </w:r>
    </w:p>
    <w:p w14:paraId="6352AF0E"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76129C0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сентября 1933 г. он совершил рейс Владивосток - Петропавловск-Камчатский и обратно. Перелет занял четверо суток. Ближе к зиме самолет разобрали и оставили на хранение на одном из складов Владивостокского порта, где к этому времени находились еще три лодки, доставленные морем. А куда же делась пятая ? Она предназначалась уже не ГВФ, а Управлению воздушной службы Главсевморпути (УВС ГУСМП). Именно для этого добивались «арктической» доработки С-55. Главсевморпути досталась головная машина, с полным зимним капотированием двигателей. Этот самолет из Одессы перевезли в Севастополь и там собрали (5486,4).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F26F01" w:rsidRPr="00C33834" w14:paraId="0380EAA7" w14:textId="77777777">
        <w:tc>
          <w:tcPr>
            <w:tcW w:w="4261" w:type="dxa"/>
          </w:tcPr>
          <w:p w14:paraId="42F8672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Технические данные С-55 советского заказа</w:t>
            </w:r>
          </w:p>
        </w:tc>
        <w:tc>
          <w:tcPr>
            <w:tcW w:w="4261" w:type="dxa"/>
          </w:tcPr>
          <w:p w14:paraId="4E99F60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данным НИИ ГВФ)</w:t>
            </w:r>
          </w:p>
        </w:tc>
      </w:tr>
      <w:tr w:rsidR="00F26F01" w:rsidRPr="00C33834" w14:paraId="285C5374" w14:textId="77777777">
        <w:tc>
          <w:tcPr>
            <w:tcW w:w="4261" w:type="dxa"/>
          </w:tcPr>
          <w:p w14:paraId="03B6B64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Размах крыла,м</w:t>
            </w:r>
          </w:p>
        </w:tc>
        <w:tc>
          <w:tcPr>
            <w:tcW w:w="4261" w:type="dxa"/>
          </w:tcPr>
          <w:p w14:paraId="137C733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w:t>
            </w:r>
          </w:p>
        </w:tc>
      </w:tr>
      <w:tr w:rsidR="00F26F01" w:rsidRPr="00C33834" w14:paraId="36B0ECA2" w14:textId="77777777">
        <w:tc>
          <w:tcPr>
            <w:tcW w:w="4261" w:type="dxa"/>
          </w:tcPr>
          <w:p w14:paraId="78FA608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Длина,м</w:t>
            </w:r>
          </w:p>
        </w:tc>
        <w:tc>
          <w:tcPr>
            <w:tcW w:w="4261" w:type="dxa"/>
          </w:tcPr>
          <w:p w14:paraId="38552D2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16,5</w:t>
            </w:r>
          </w:p>
        </w:tc>
      </w:tr>
      <w:tr w:rsidR="00F26F01" w:rsidRPr="00C33834" w14:paraId="6D919BAA" w14:textId="77777777">
        <w:tc>
          <w:tcPr>
            <w:tcW w:w="4261" w:type="dxa"/>
          </w:tcPr>
          <w:p w14:paraId="3C72CBA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м</w:t>
            </w:r>
          </w:p>
        </w:tc>
        <w:tc>
          <w:tcPr>
            <w:tcW w:w="4261" w:type="dxa"/>
          </w:tcPr>
          <w:p w14:paraId="1AFCC15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r>
      <w:tr w:rsidR="00F26F01" w:rsidRPr="00C33834" w14:paraId="6C67CCF9" w14:textId="77777777">
        <w:tc>
          <w:tcPr>
            <w:tcW w:w="4261" w:type="dxa"/>
          </w:tcPr>
          <w:p w14:paraId="060DB50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Пустой вес, кг</w:t>
            </w:r>
          </w:p>
        </w:tc>
        <w:tc>
          <w:tcPr>
            <w:tcW w:w="4261" w:type="dxa"/>
          </w:tcPr>
          <w:p w14:paraId="56E6B98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5970</w:t>
            </w:r>
          </w:p>
        </w:tc>
      </w:tr>
      <w:tr w:rsidR="00F26F01" w:rsidRPr="00C33834" w14:paraId="7149DADF" w14:textId="77777777">
        <w:tc>
          <w:tcPr>
            <w:tcW w:w="4261" w:type="dxa"/>
          </w:tcPr>
          <w:p w14:paraId="652F6C5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Полезная нагрузка, кг</w:t>
            </w:r>
          </w:p>
        </w:tc>
        <w:tc>
          <w:tcPr>
            <w:tcW w:w="4261" w:type="dxa"/>
          </w:tcPr>
          <w:p w14:paraId="675CE1A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2500</w:t>
            </w:r>
          </w:p>
        </w:tc>
      </w:tr>
      <w:tr w:rsidR="00F26F01" w:rsidRPr="00C33834" w14:paraId="06F85514" w14:textId="77777777">
        <w:tc>
          <w:tcPr>
            <w:tcW w:w="4261" w:type="dxa"/>
          </w:tcPr>
          <w:p w14:paraId="395E8BF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Взлетный вес, кг</w:t>
            </w:r>
          </w:p>
        </w:tc>
        <w:tc>
          <w:tcPr>
            <w:tcW w:w="4261" w:type="dxa"/>
          </w:tcPr>
          <w:p w14:paraId="7B2CF67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8470</w:t>
            </w:r>
          </w:p>
        </w:tc>
      </w:tr>
      <w:tr w:rsidR="00F26F01" w:rsidRPr="00C33834" w14:paraId="428A9FF6" w14:textId="77777777">
        <w:tc>
          <w:tcPr>
            <w:tcW w:w="4261" w:type="dxa"/>
          </w:tcPr>
          <w:p w14:paraId="7FE4A0E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Экипаж, чел</w:t>
            </w:r>
          </w:p>
        </w:tc>
        <w:tc>
          <w:tcPr>
            <w:tcW w:w="4261" w:type="dxa"/>
          </w:tcPr>
          <w:p w14:paraId="00FE9AF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r>
      <w:tr w:rsidR="00F26F01" w:rsidRPr="00C33834" w14:paraId="183AB00F" w14:textId="77777777">
        <w:tc>
          <w:tcPr>
            <w:tcW w:w="4261" w:type="dxa"/>
          </w:tcPr>
          <w:p w14:paraId="5B2771B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Пассажиры, чел</w:t>
            </w:r>
          </w:p>
        </w:tc>
        <w:tc>
          <w:tcPr>
            <w:tcW w:w="4261" w:type="dxa"/>
          </w:tcPr>
          <w:p w14:paraId="13434F0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w:t>
            </w:r>
          </w:p>
        </w:tc>
      </w:tr>
      <w:tr w:rsidR="00F26F01" w:rsidRPr="00C33834" w14:paraId="44AA331A" w14:textId="77777777">
        <w:tc>
          <w:tcPr>
            <w:tcW w:w="4261" w:type="dxa"/>
          </w:tcPr>
          <w:p w14:paraId="1E80E8F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 скорость, км/ч</w:t>
            </w:r>
          </w:p>
        </w:tc>
        <w:tc>
          <w:tcPr>
            <w:tcW w:w="4261" w:type="dxa"/>
          </w:tcPr>
          <w:p w14:paraId="5277454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r>
      <w:tr w:rsidR="00F26F01" w:rsidRPr="00C33834" w14:paraId="13C541D7" w14:textId="77777777">
        <w:tc>
          <w:tcPr>
            <w:tcW w:w="4261" w:type="dxa"/>
          </w:tcPr>
          <w:p w14:paraId="507732A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Крейсерская скорость, км/ч</w:t>
            </w:r>
          </w:p>
        </w:tc>
        <w:tc>
          <w:tcPr>
            <w:tcW w:w="4261" w:type="dxa"/>
          </w:tcPr>
          <w:p w14:paraId="07DF121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200-220</w:t>
            </w:r>
          </w:p>
        </w:tc>
      </w:tr>
      <w:tr w:rsidR="00F26F01" w:rsidRPr="00C33834" w14:paraId="295B291A" w14:textId="77777777">
        <w:tc>
          <w:tcPr>
            <w:tcW w:w="4261" w:type="dxa"/>
          </w:tcPr>
          <w:p w14:paraId="117B8DE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Посадочная скорость, км/ч</w:t>
            </w:r>
          </w:p>
        </w:tc>
        <w:tc>
          <w:tcPr>
            <w:tcW w:w="4261" w:type="dxa"/>
          </w:tcPr>
          <w:p w14:paraId="4BFFA49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r>
      <w:tr w:rsidR="00F26F01" w:rsidRPr="00C33834" w14:paraId="03A9614F" w14:textId="77777777">
        <w:tc>
          <w:tcPr>
            <w:tcW w:w="4261" w:type="dxa"/>
          </w:tcPr>
          <w:p w14:paraId="29448CE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полета, км</w:t>
            </w:r>
          </w:p>
        </w:tc>
        <w:tc>
          <w:tcPr>
            <w:tcW w:w="4261" w:type="dxa"/>
          </w:tcPr>
          <w:p w14:paraId="45DE7E8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 (5486,5)</w:t>
            </w:r>
          </w:p>
        </w:tc>
      </w:tr>
    </w:tbl>
    <w:p w14:paraId="1406B9C4"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6111522B" w14:textId="77777777" w:rsidR="0007455B"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08A1DC6" w14:textId="77777777" w:rsidR="0007455B" w:rsidRPr="00C33834" w:rsidRDefault="0007455B" w:rsidP="00C33834">
      <w:pPr>
        <w:spacing w:after="0" w:line="240" w:lineRule="auto"/>
        <w:jc w:val="both"/>
        <w:rPr>
          <w:rFonts w:ascii="Times New Roman" w:hAnsi="Times New Roman"/>
          <w:iCs/>
          <w:color w:val="000000" w:themeColor="text1"/>
          <w:sz w:val="16"/>
          <w:szCs w:val="16"/>
        </w:rPr>
      </w:pPr>
    </w:p>
    <w:p w14:paraId="7DA5332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 на ТБ-3 №22202 поставили М-34Р из одной из пробных партий с новыми винтами диаметром 4,4 м. Но заменой двигателей далеко не ограничились. За счет установки редуктора вал винта сместился вверх, что привело к необходимости изменить капоты. На самолете полностью переделали хвостовую часть. В фюзеляже появилась дополнительная секция Ф-4. где разместили кормовую турель Тур-б с парой пулеметов ДА и боезапасом в 12 дисков. Первоначально она была изолирована от остальной части фюзеляжа, но вскоре ширину секции Ф-3 несколько увеличили и сделали в ней сквозной проход, разнеся по бортам тросы управления. Руль направления подняли, изменив его контуры, в частности сделали вырез над турелью. Его площадь возросла на 0,404 м2. Увеличили и площадь рулей высоты, одновременно подрезав их у фюзеляжа. Усилили килевую колонку. Стрелковое вооружение, за исключением кормовой установки, полностью соответствовало поздним ТБ-3 с моторами М-34 - - без подкрыльных башен, но с люковой установкой. Резиновые амортизаторы шасси заменили масляно-воздушными. Задние колеса основных тележек, теперь цельнолитые, получили гидравлические колодочные тормоза, позволившие примерно на четверть сократить дистанцию пробега. Кроме того, улучшилась и маневренность на земле, поскольку правую и левую тележки можно было притормаживать раздельно. Внедрения тормозов на серийных ТБ-3 УВВС требовало еще с марта 1933 г., и Главное управление авиационной промышленности (ГУАП) с этим соглашалось, но не торопилось претворять в жизнь (7668).</w:t>
      </w:r>
    </w:p>
    <w:p w14:paraId="45A96E76"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0FFF7D5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на ТБ-3 (АНТ-6) поставили М-34Р с винтами 4.4 м. Стал эталоном на 1934 (156,20). Испытывали как эталон 1934 до октября (437,103).</w:t>
      </w:r>
    </w:p>
    <w:p w14:paraId="5778F9C1"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571237F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на серийном ТБ-3 (АНТ-6) 22 завода (N 22202) поставили М-34Р и новые винты диаметром 3.4 м. Доработали еще много (пришлось переделывать капоты и ввели доаолнительную секцию фюзеляжа - Ф-4, в которой разместили кормовую турель ТУР-6 с парой ДА и боезапасом 12 дисков, подняли руль направления и сделали вырез над турелью и т.п.) и передали на гос. испытания, которые закончились 16 октября 1933 (346,27).</w:t>
      </w:r>
    </w:p>
    <w:p w14:paraId="70F9797C"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2DB66ED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состоялись гос. испытания ТБ-3-4М-34 (АНТ-6) с накатанными 1, 2 и 3 И-5 М-22. Оказалось, что летные качества только улучшились (1017,177).</w:t>
      </w:r>
    </w:p>
    <w:p w14:paraId="4AC67A54"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3B4FD50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 ТБ-4 передали в НИИ ВВС на государственные испытания. Там на нем летал экипаж П.М. Стефановского. Стефановский позднее писал в своих мемуарах о новом самолете: "Он просто потрясал!" (12036).</w:t>
      </w:r>
    </w:p>
    <w:p w14:paraId="00ABAE88"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47181FCF" w14:textId="77777777" w:rsidR="00413D6B" w:rsidRPr="00C33834" w:rsidRDefault="00413D6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сентябре 1933 в статье «Каким дол</w:t>
      </w:r>
      <w:r w:rsidRPr="00C33834">
        <w:rPr>
          <w:rFonts w:ascii="Times New Roman" w:hAnsi="Times New Roman"/>
          <w:color w:val="0070C0"/>
          <w:sz w:val="16"/>
          <w:szCs w:val="16"/>
        </w:rPr>
        <w:softHyphen/>
        <w:t>жен быть самолет имени Максима Горь</w:t>
      </w:r>
      <w:r w:rsidRPr="00C33834">
        <w:rPr>
          <w:rFonts w:ascii="Times New Roman" w:hAnsi="Times New Roman"/>
          <w:color w:val="0070C0"/>
          <w:sz w:val="16"/>
          <w:szCs w:val="16"/>
        </w:rPr>
        <w:softHyphen/>
        <w:t>кого», опубликованной в журнале «Само</w:t>
      </w:r>
      <w:r w:rsidRPr="00C33834">
        <w:rPr>
          <w:rFonts w:ascii="Times New Roman" w:hAnsi="Times New Roman"/>
          <w:color w:val="0070C0"/>
          <w:sz w:val="16"/>
          <w:szCs w:val="16"/>
        </w:rPr>
        <w:softHyphen/>
        <w:t>лет» №№ 8-9 за 1933 г., А.А. Архангель</w:t>
      </w:r>
      <w:r w:rsidRPr="00C33834">
        <w:rPr>
          <w:rFonts w:ascii="Times New Roman" w:hAnsi="Times New Roman"/>
          <w:color w:val="0070C0"/>
          <w:sz w:val="16"/>
          <w:szCs w:val="16"/>
        </w:rPr>
        <w:softHyphen/>
        <w:t>ский рассказал о трех таких возможных направлениях:</w:t>
      </w:r>
    </w:p>
    <w:p w14:paraId="03891168" w14:textId="77777777" w:rsidR="00413D6B" w:rsidRPr="00C33834" w:rsidRDefault="00413D6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«Самолет желательно оборудовать ус</w:t>
      </w:r>
      <w:r w:rsidRPr="00C33834">
        <w:rPr>
          <w:rFonts w:ascii="Times New Roman" w:hAnsi="Times New Roman"/>
          <w:color w:val="0070C0"/>
          <w:sz w:val="16"/>
          <w:szCs w:val="16"/>
        </w:rPr>
        <w:softHyphen/>
        <w:t>тановкой для телевизии е тем, чтобы он мог передать по радио в тот или иной насе</w:t>
      </w:r>
      <w:r w:rsidRPr="00C33834">
        <w:rPr>
          <w:rFonts w:ascii="Times New Roman" w:hAnsi="Times New Roman"/>
          <w:color w:val="0070C0"/>
          <w:sz w:val="16"/>
          <w:szCs w:val="16"/>
        </w:rPr>
        <w:softHyphen/>
        <w:t>ленный пункт картинки, наблюдаемые с самолета.</w:t>
      </w:r>
    </w:p>
    <w:p w14:paraId="3C6D8804" w14:textId="77777777" w:rsidR="00413D6B" w:rsidRPr="00C33834" w:rsidRDefault="00413D6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Во время полета желательно, чтобы самолет имел возможность демонстриро</w:t>
      </w:r>
      <w:r w:rsidRPr="00C33834">
        <w:rPr>
          <w:rFonts w:ascii="Times New Roman" w:hAnsi="Times New Roman"/>
          <w:color w:val="0070C0"/>
          <w:sz w:val="16"/>
          <w:szCs w:val="16"/>
        </w:rPr>
        <w:softHyphen/>
        <w:t>вать на облаках или на специальной дымо</w:t>
      </w:r>
      <w:r w:rsidRPr="00C33834">
        <w:rPr>
          <w:rFonts w:ascii="Times New Roman" w:hAnsi="Times New Roman"/>
          <w:color w:val="0070C0"/>
          <w:sz w:val="16"/>
          <w:szCs w:val="16"/>
        </w:rPr>
        <w:softHyphen/>
        <w:t>вой завесе, устанавливаемой самим же са</w:t>
      </w:r>
      <w:r w:rsidRPr="00C33834">
        <w:rPr>
          <w:rFonts w:ascii="Times New Roman" w:hAnsi="Times New Roman"/>
          <w:color w:val="0070C0"/>
          <w:sz w:val="16"/>
          <w:szCs w:val="16"/>
        </w:rPr>
        <w:softHyphen/>
        <w:t>молетом, различные световые изображе</w:t>
      </w:r>
      <w:r w:rsidRPr="00C33834">
        <w:rPr>
          <w:rFonts w:ascii="Times New Roman" w:hAnsi="Times New Roman"/>
          <w:color w:val="0070C0"/>
          <w:sz w:val="16"/>
          <w:szCs w:val="16"/>
        </w:rPr>
        <w:softHyphen/>
        <w:t>ния и лозунги путем специальных прожек</w:t>
      </w:r>
      <w:r w:rsidRPr="00C33834">
        <w:rPr>
          <w:rFonts w:ascii="Times New Roman" w:hAnsi="Times New Roman"/>
          <w:color w:val="0070C0"/>
          <w:sz w:val="16"/>
          <w:szCs w:val="16"/>
        </w:rPr>
        <w:softHyphen/>
        <w:t>торных установок. Эти изображения, ко</w:t>
      </w:r>
      <w:r w:rsidRPr="00C33834">
        <w:rPr>
          <w:rFonts w:ascii="Times New Roman" w:hAnsi="Times New Roman"/>
          <w:color w:val="0070C0"/>
          <w:sz w:val="16"/>
          <w:szCs w:val="16"/>
        </w:rPr>
        <w:softHyphen/>
        <w:t>роткие лозунги, должны быть достаточ</w:t>
      </w:r>
      <w:r w:rsidRPr="00C33834">
        <w:rPr>
          <w:rFonts w:ascii="Times New Roman" w:hAnsi="Times New Roman"/>
          <w:color w:val="0070C0"/>
          <w:sz w:val="16"/>
          <w:szCs w:val="16"/>
        </w:rPr>
        <w:softHyphen/>
        <w:t>ных размеров, чтобы можно было их уви</w:t>
      </w:r>
      <w:r w:rsidRPr="00C33834">
        <w:rPr>
          <w:rFonts w:ascii="Times New Roman" w:hAnsi="Times New Roman"/>
          <w:color w:val="0070C0"/>
          <w:sz w:val="16"/>
          <w:szCs w:val="16"/>
        </w:rPr>
        <w:softHyphen/>
        <w:t>деть и прочитать с земли на расстоянии около 2—3 км.</w:t>
      </w:r>
    </w:p>
    <w:p w14:paraId="5107D4FF" w14:textId="77777777" w:rsidR="00413D6B" w:rsidRPr="00C33834" w:rsidRDefault="00413D6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 самолете желательна также уста</w:t>
      </w:r>
      <w:r w:rsidRPr="00C33834">
        <w:rPr>
          <w:rFonts w:ascii="Times New Roman" w:hAnsi="Times New Roman"/>
          <w:color w:val="0070C0"/>
          <w:sz w:val="16"/>
          <w:szCs w:val="16"/>
        </w:rPr>
        <w:softHyphen/>
        <w:t>новка ряда электрических лампочек, с по</w:t>
      </w:r>
      <w:r w:rsidRPr="00C33834">
        <w:rPr>
          <w:rFonts w:ascii="Times New Roman" w:hAnsi="Times New Roman"/>
          <w:color w:val="0070C0"/>
          <w:sz w:val="16"/>
          <w:szCs w:val="16"/>
        </w:rPr>
        <w:softHyphen/>
        <w:t>мощью которых на нижней стороне крыль</w:t>
      </w:r>
      <w:r w:rsidRPr="00C33834">
        <w:rPr>
          <w:rFonts w:ascii="Times New Roman" w:hAnsi="Times New Roman"/>
          <w:color w:val="0070C0"/>
          <w:sz w:val="16"/>
          <w:szCs w:val="16"/>
        </w:rPr>
        <w:softHyphen/>
        <w:t>ев самолета можно было бы изображать лозунги светящимися точками» (21240).</w:t>
      </w:r>
    </w:p>
    <w:p w14:paraId="348328C8" w14:textId="77777777" w:rsidR="00413D6B" w:rsidRPr="00C33834" w:rsidRDefault="00413D6B" w:rsidP="00C33834">
      <w:pPr>
        <w:spacing w:after="0" w:line="240" w:lineRule="auto"/>
        <w:jc w:val="both"/>
        <w:rPr>
          <w:rFonts w:ascii="Times New Roman" w:hAnsi="Times New Roman"/>
          <w:color w:val="0070C0"/>
          <w:sz w:val="16"/>
          <w:szCs w:val="16"/>
        </w:rPr>
      </w:pPr>
    </w:p>
    <w:p w14:paraId="46EC5598" w14:textId="77777777" w:rsidR="00413D6B" w:rsidRPr="00C33834" w:rsidRDefault="00413D6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 сентябре 1933 г. в строй Агитэскадрильи вступил самолет «Крестьянская газета». Он положил на</w:t>
      </w:r>
      <w:r w:rsidRPr="00C33834">
        <w:rPr>
          <w:rFonts w:ascii="Times New Roman" w:hAnsi="Times New Roman"/>
          <w:color w:val="0070C0"/>
          <w:sz w:val="16"/>
          <w:szCs w:val="16"/>
          <w:lang w:eastAsia="ru-RU" w:bidi="ru-RU"/>
        </w:rPr>
        <w:softHyphen/>
        <w:t>чало целому отряду самолетов с анало</w:t>
      </w:r>
      <w:r w:rsidRPr="00C33834">
        <w:rPr>
          <w:rFonts w:ascii="Times New Roman" w:hAnsi="Times New Roman"/>
          <w:color w:val="0070C0"/>
          <w:sz w:val="16"/>
          <w:szCs w:val="16"/>
          <w:lang w:eastAsia="ru-RU" w:bidi="ru-RU"/>
        </w:rPr>
        <w:softHyphen/>
        <w:t>гичными названиями: «Горьковский колхозник». «Социалистическое земле</w:t>
      </w:r>
      <w:r w:rsidRPr="00C33834">
        <w:rPr>
          <w:rFonts w:ascii="Times New Roman" w:hAnsi="Times New Roman"/>
          <w:color w:val="0070C0"/>
          <w:sz w:val="16"/>
          <w:szCs w:val="16"/>
          <w:lang w:eastAsia="ru-RU" w:bidi="ru-RU"/>
        </w:rPr>
        <w:softHyphen/>
        <w:t>делие», «Колхозник ЦЧО», «Московский колхозник», «Восточно-Сибир</w:t>
      </w:r>
      <w:r w:rsidRPr="00C33834">
        <w:rPr>
          <w:rFonts w:ascii="Times New Roman" w:hAnsi="Times New Roman"/>
          <w:color w:val="0070C0"/>
          <w:sz w:val="16"/>
          <w:szCs w:val="16"/>
          <w:lang w:eastAsia="ru-RU" w:bidi="ru-RU"/>
        </w:rPr>
        <w:softHyphen/>
        <w:t>ский колхозник» и др.</w:t>
      </w:r>
    </w:p>
    <w:p w14:paraId="739C9217" w14:textId="77777777" w:rsidR="00413D6B" w:rsidRPr="00C33834" w:rsidRDefault="00413D6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Пилоты агитэскадрильи совершили рейсы по Кузбассу, районам добычи цвет</w:t>
      </w:r>
      <w:r w:rsidRPr="00C33834">
        <w:rPr>
          <w:rFonts w:ascii="Times New Roman" w:hAnsi="Times New Roman"/>
          <w:color w:val="0070C0"/>
          <w:sz w:val="16"/>
          <w:szCs w:val="16"/>
          <w:lang w:eastAsia="ru-RU" w:bidi="ru-RU"/>
        </w:rPr>
        <w:softHyphen/>
        <w:t>ных металлов Урала и Алтая. Донбассу и Подмосковному бассейну, популяризи</w:t>
      </w:r>
      <w:r w:rsidRPr="00C33834">
        <w:rPr>
          <w:rFonts w:ascii="Times New Roman" w:hAnsi="Times New Roman"/>
          <w:color w:val="0070C0"/>
          <w:sz w:val="16"/>
          <w:szCs w:val="16"/>
          <w:lang w:eastAsia="ru-RU" w:bidi="ru-RU"/>
        </w:rPr>
        <w:softHyphen/>
        <w:t>руя опыт стахановского движения. Они несли санитарную культуру в деревню, провели специальный рейс для архитек</w:t>
      </w:r>
      <w:r w:rsidRPr="00C33834">
        <w:rPr>
          <w:rFonts w:ascii="Times New Roman" w:hAnsi="Times New Roman"/>
          <w:color w:val="0070C0"/>
          <w:sz w:val="16"/>
          <w:szCs w:val="16"/>
          <w:lang w:eastAsia="ru-RU" w:bidi="ru-RU"/>
        </w:rPr>
        <w:softHyphen/>
        <w:t>торов Москвы в связи с перепланировкой города и организацией Сельскохозяйст</w:t>
      </w:r>
      <w:r w:rsidRPr="00C33834">
        <w:rPr>
          <w:rFonts w:ascii="Times New Roman" w:hAnsi="Times New Roman"/>
          <w:color w:val="0070C0"/>
          <w:sz w:val="16"/>
          <w:szCs w:val="16"/>
          <w:lang w:eastAsia="ru-RU" w:bidi="ru-RU"/>
        </w:rPr>
        <w:softHyphen/>
        <w:t>венной выставки (ныне ВВЦ).</w:t>
      </w:r>
    </w:p>
    <w:p w14:paraId="589D6F72" w14:textId="77777777" w:rsidR="00413D6B" w:rsidRPr="00C33834" w:rsidRDefault="00413D6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 составе агитбригад вылетали и вы</w:t>
      </w:r>
      <w:r w:rsidRPr="00C33834">
        <w:rPr>
          <w:rFonts w:ascii="Times New Roman" w:hAnsi="Times New Roman"/>
          <w:color w:val="0070C0"/>
          <w:sz w:val="16"/>
          <w:szCs w:val="16"/>
          <w:lang w:eastAsia="ru-RU" w:bidi="ru-RU"/>
        </w:rPr>
        <w:softHyphen/>
        <w:t>ступали перед рабочими и колхозниками такие выдающиеся деятели международ</w:t>
      </w:r>
      <w:r w:rsidRPr="00C33834">
        <w:rPr>
          <w:rFonts w:ascii="Times New Roman" w:hAnsi="Times New Roman"/>
          <w:color w:val="0070C0"/>
          <w:sz w:val="16"/>
          <w:szCs w:val="16"/>
          <w:lang w:eastAsia="ru-RU" w:bidi="ru-RU"/>
        </w:rPr>
        <w:softHyphen/>
        <w:t>ного коммунистического движения, как Георгий Димитров, Вильгельм Пик. Пальмиро Тольятти; прославленные но</w:t>
      </w:r>
      <w:r w:rsidRPr="00C33834">
        <w:rPr>
          <w:rFonts w:ascii="Times New Roman" w:hAnsi="Times New Roman"/>
          <w:color w:val="0070C0"/>
          <w:sz w:val="16"/>
          <w:szCs w:val="16"/>
          <w:lang w:eastAsia="ru-RU" w:bidi="ru-RU"/>
        </w:rPr>
        <w:softHyphen/>
        <w:t>ваторы промышленности и сельского хо</w:t>
      </w:r>
      <w:r w:rsidRPr="00C33834">
        <w:rPr>
          <w:rFonts w:ascii="Times New Roman" w:hAnsi="Times New Roman"/>
          <w:color w:val="0070C0"/>
          <w:sz w:val="16"/>
          <w:szCs w:val="16"/>
          <w:lang w:eastAsia="ru-RU" w:bidi="ru-RU"/>
        </w:rPr>
        <w:softHyphen/>
        <w:t>зяйства: Мария Демченко. Макар Мазай, Никита Изотов и многие другие извест</w:t>
      </w:r>
      <w:r w:rsidRPr="00C33834">
        <w:rPr>
          <w:rFonts w:ascii="Times New Roman" w:hAnsi="Times New Roman"/>
          <w:color w:val="0070C0"/>
          <w:sz w:val="16"/>
          <w:szCs w:val="16"/>
          <w:lang w:eastAsia="ru-RU" w:bidi="ru-RU"/>
        </w:rPr>
        <w:softHyphen/>
        <w:t>ные всей стране люди (21240).</w:t>
      </w:r>
    </w:p>
    <w:p w14:paraId="2AC94241" w14:textId="77777777" w:rsidR="00413D6B" w:rsidRPr="00C33834" w:rsidRDefault="00413D6B" w:rsidP="00C33834">
      <w:pPr>
        <w:spacing w:after="0" w:line="240" w:lineRule="auto"/>
        <w:jc w:val="both"/>
        <w:rPr>
          <w:rFonts w:ascii="Times New Roman" w:hAnsi="Times New Roman"/>
          <w:color w:val="0070C0"/>
          <w:sz w:val="16"/>
          <w:szCs w:val="16"/>
        </w:rPr>
      </w:pPr>
    </w:p>
    <w:p w14:paraId="5553541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летало звено В.С.Вахмистрова - ТБ-1 с двумя И-5 (88,106).</w:t>
      </w:r>
    </w:p>
    <w:p w14:paraId="78CE21DD"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16F61E56" w14:textId="77777777" w:rsidR="00CE69D7" w:rsidRPr="00C33834" w:rsidRDefault="00CE69D7" w:rsidP="00C33834">
      <w:pPr>
        <w:pStyle w:val="a3"/>
        <w:rPr>
          <w:color w:val="000000" w:themeColor="text1"/>
          <w:lang w:val="ru-RU"/>
        </w:rPr>
      </w:pPr>
      <w:r w:rsidRPr="00C33834">
        <w:rPr>
          <w:color w:val="000000" w:themeColor="text1"/>
          <w:lang w:val="ru-RU"/>
        </w:rPr>
        <w:t>В сен</w:t>
      </w:r>
      <w:r w:rsidRPr="00C33834">
        <w:rPr>
          <w:color w:val="000000" w:themeColor="text1"/>
          <w:lang w:val="ru-RU"/>
        </w:rPr>
        <w:softHyphen/>
        <w:t>тябре 1933 г. испытывали следующий вариант — «Звено-1а», нёс вместо И-4 пару И-5., ТБ-1 пилотировал Стефановский, истребители — Коккинаки и Гродзь (Лагутин). Во всех последующих «звеньях» в качестве носителя использовался четырёх</w:t>
      </w:r>
      <w:r w:rsidRPr="00C33834">
        <w:rPr>
          <w:color w:val="000000" w:themeColor="text1"/>
          <w:lang w:val="ru-RU"/>
        </w:rPr>
        <w:softHyphen/>
        <w:t>моторный бомбардировщик ТБ-3 (15821).</w:t>
      </w:r>
    </w:p>
    <w:p w14:paraId="7AF6973D" w14:textId="77777777" w:rsidR="00CE69D7" w:rsidRPr="00C33834" w:rsidRDefault="00CE69D7" w:rsidP="00C33834">
      <w:pPr>
        <w:pStyle w:val="a3"/>
        <w:rPr>
          <w:color w:val="000000" w:themeColor="text1"/>
          <w:lang w:val="ru-RU"/>
        </w:rPr>
      </w:pPr>
    </w:p>
    <w:p w14:paraId="611502BC"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 успешно провели вой</w:t>
      </w:r>
      <w:r w:rsidRPr="00C33834">
        <w:rPr>
          <w:rFonts w:ascii="Times New Roman" w:hAnsi="Times New Roman"/>
          <w:color w:val="000000" w:themeColor="text1"/>
          <w:sz w:val="16"/>
          <w:szCs w:val="16"/>
        </w:rPr>
        <w:softHyphen/>
        <w:t>сковые испытания еще одного «звена» — «3-1а», составленного из ТБ-1 и двух И-5. Алкснис утвердил отчет по ним 5 октября с положительной оценкой и предложением более эффективная система — ТБ-3 с дву</w:t>
      </w:r>
      <w:r w:rsidRPr="00C33834">
        <w:rPr>
          <w:rFonts w:ascii="Times New Roman" w:hAnsi="Times New Roman"/>
          <w:color w:val="000000" w:themeColor="text1"/>
          <w:sz w:val="16"/>
          <w:szCs w:val="16"/>
        </w:rPr>
        <w:softHyphen/>
        <w:t>мя подвешенными под крылом И-16 — была принята на вооружение и нашла примене</w:t>
      </w:r>
      <w:r w:rsidRPr="00C33834">
        <w:rPr>
          <w:rFonts w:ascii="Times New Roman" w:hAnsi="Times New Roman"/>
          <w:color w:val="000000" w:themeColor="text1"/>
          <w:sz w:val="16"/>
          <w:szCs w:val="16"/>
        </w:rPr>
        <w:softHyphen/>
        <w:t>ние в Великой Отечественной войне (11286).</w:t>
      </w:r>
    </w:p>
    <w:p w14:paraId="7E16BEA2"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p>
    <w:p w14:paraId="499C52F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 с положительной оценкой прошла государственные испытания система звено - 2 - ТБ-3, несущий сверху три истребителя И-5 - два на крыле и один на фюзеляже («Зве</w:t>
      </w:r>
      <w:r w:rsidRPr="00C33834">
        <w:rPr>
          <w:rFonts w:ascii="Times New Roman" w:hAnsi="Times New Roman"/>
          <w:color w:val="000000" w:themeColor="text1"/>
          <w:sz w:val="16"/>
          <w:szCs w:val="16"/>
        </w:rPr>
        <w:softHyphen/>
        <w:t>но-2»). Наибольшее число истребителей нес вариант «Звено-7» - сверху на крыле ТБ-3 было два И-5, снизу - два И-16, в воздухе под фюзеляж подцеплялся И-2 (10667).</w:t>
      </w:r>
    </w:p>
    <w:p w14:paraId="0D27F9B2"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5EDDB527" w14:textId="77777777" w:rsidR="00413D6B" w:rsidRPr="00C33834" w:rsidRDefault="00413D6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сентябре 1933, спустя два месяца после завершения войсковых испытаний, было оборудовано еще одно «звено» - З-1а, со</w:t>
      </w:r>
      <w:r w:rsidRPr="00C33834">
        <w:rPr>
          <w:rFonts w:ascii="Times New Roman" w:hAnsi="Times New Roman"/>
          <w:color w:val="0070C0"/>
          <w:sz w:val="16"/>
          <w:szCs w:val="16"/>
        </w:rPr>
        <w:softHyphen/>
        <w:t>ставленное из ТБ-1 и двух И-5. Войсковые испытания З-1а успешно провели в сентябре 1933 г. Начальник ВВС Яков Алкснис утвердил отчет по испытаниям З-1а 5 октя</w:t>
      </w:r>
      <w:r w:rsidRPr="00C33834">
        <w:rPr>
          <w:rFonts w:ascii="Times New Roman" w:hAnsi="Times New Roman"/>
          <w:color w:val="0070C0"/>
          <w:sz w:val="16"/>
          <w:szCs w:val="16"/>
        </w:rPr>
        <w:softHyphen/>
        <w:t>бря 1933 г. с положительной оценкой и предложением по</w:t>
      </w:r>
      <w:r w:rsidRPr="00C33834">
        <w:rPr>
          <w:rFonts w:ascii="Times New Roman" w:hAnsi="Times New Roman"/>
          <w:color w:val="0070C0"/>
          <w:sz w:val="16"/>
          <w:szCs w:val="16"/>
        </w:rPr>
        <w:softHyphen/>
        <w:t>строить серию таких составных самолето (20345).</w:t>
      </w:r>
    </w:p>
    <w:p w14:paraId="7A7B897B" w14:textId="77777777" w:rsidR="00413D6B" w:rsidRPr="00C33834" w:rsidRDefault="00413D6B" w:rsidP="00C33834">
      <w:pPr>
        <w:spacing w:after="0" w:line="240" w:lineRule="auto"/>
        <w:jc w:val="both"/>
        <w:rPr>
          <w:rFonts w:ascii="Times New Roman" w:hAnsi="Times New Roman"/>
          <w:color w:val="0070C0"/>
          <w:sz w:val="16"/>
          <w:szCs w:val="16"/>
        </w:rPr>
      </w:pPr>
    </w:p>
    <w:p w14:paraId="3C0872F4" w14:textId="77777777" w:rsidR="00413D6B" w:rsidRPr="00C33834" w:rsidRDefault="00413D6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сентябре 1933 г. уточненный проект ВС-2 К-12 был представлен НИИ ВВС, но снова отклонен и оправлен на доработку.   По инициативе ГУ ВВС самолет был включен в Постановление СТО № 119сс от 23.11.33 г., которое предусматривало строительство его головной (т.е. установочной) серии из трех экз. на ХАЗОС со сроком передачи на ГИ, сдвинутым на 01.09.34 г. Однако ГУАП настоял на исключении самолета из его серийной программы на том основании, что самолет можно считать только экспериментальным и вопрос о его серийном производстве можно рассматривать только после завершения испытаний. Кроме того, в начале 1934 г. строительство самолета было передано опытному производству завода № 18 (г. Воронеж).   Постановлением СТО №№ С-39сс «О плане опытного строительства самолетов и моторов на 1936-1936 гг.» от 16.04.35 г. был введен в действие новый) «План опытного моторо- и самолетостроения ВВС РККА на 1935-36 гг.», которым срок сдачи самолета на 01.10.35 г.   В начале 1935 г. был забракован натурный макет самолета (см. ниже). В это же время Калинин ходатайствовал о выделении двух импортных моторов Гном-Рон 14К «Мистраль-Мажор», которыми можно было бы заменить недостаточно мощные М-22 (23157).</w:t>
      </w:r>
    </w:p>
    <w:p w14:paraId="2B2ED89A" w14:textId="77777777" w:rsidR="00413D6B" w:rsidRPr="00C33834" w:rsidRDefault="00413D6B" w:rsidP="00C33834">
      <w:pPr>
        <w:spacing w:after="0" w:line="240" w:lineRule="auto"/>
        <w:jc w:val="both"/>
        <w:rPr>
          <w:rFonts w:ascii="Times New Roman" w:hAnsi="Times New Roman"/>
          <w:color w:val="0070C0"/>
          <w:sz w:val="16"/>
          <w:szCs w:val="16"/>
        </w:rPr>
      </w:pPr>
    </w:p>
    <w:p w14:paraId="26EAEFB0" w14:textId="77777777" w:rsidR="009F44F5" w:rsidRPr="00C33834" w:rsidRDefault="009F44F5"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В сентябре 1933 г. был готов третий опытный образец АИР-6. На нем увеличили запас горючего, установив не два, а четыре бака. Правую дверь переделали, придав ей более удобную форму. Элероны разделили на две секции. На колеса поставили каплевидные обтекатели, мотор прикрыли узким кольцевым капотом (кольцом Тауненда), а втулку винта - выпуклым коком. Таким образом хотели улучшить аэродинамику машины и способствовать улучшению летных данных. Но скорость самолета оказалась слишком мала, чтобы подобные меры дали существенный результат. Третий образец оказался еще легче, чем второй - вес пустого равнялся 605 кг. Кольцо Тауненда и кок позже сняли, а обтекатели колес - оставили.</w:t>
      </w:r>
    </w:p>
    <w:p w14:paraId="1DF9E751" w14:textId="77777777" w:rsidR="009F44F5" w:rsidRPr="00C33834" w:rsidRDefault="009F44F5"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Позднее второй и третий образец АИР-6 передали московскому отделению Осоавиахима.</w:t>
      </w:r>
    </w:p>
    <w:p w14:paraId="172BC0A1" w14:textId="77777777" w:rsidR="009F44F5" w:rsidRPr="00C33834" w:rsidRDefault="009F44F5"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Видимо, именно третий образец направили на государственные испытания в СНИИ ГВФ, завершившиеся в октябре 1933 г Самолет опять подтвердил заявленные конструктором данные и продемонстрировал хорошую устойчивость и управляемость, а также простоту в эксплуатации. Получили максимальную скорость 169 км/ч. В заключении СНИИ ГВФ говорилось: «Простота конструкции, надежная работа мотора, удобная пассажирская кабина типа «лимузин» и сравнительно малая посадочная скорость создали самолету хорошую репутацию. Имея в закрытой кабине два места для пассажиров, самолет является наиболее удобным типом на местных линиях воздушного сообщения для перевозки почты и пассажиров» (19099).</w:t>
      </w:r>
    </w:p>
    <w:p w14:paraId="0489AECB" w14:textId="77777777" w:rsidR="009F44F5" w:rsidRPr="00C33834" w:rsidRDefault="009F44F5" w:rsidP="00C33834">
      <w:pPr>
        <w:pStyle w:val="a8"/>
        <w:jc w:val="both"/>
        <w:rPr>
          <w:rFonts w:ascii="Times New Roman" w:hAnsi="Times New Roman" w:cs="Times New Roman"/>
          <w:color w:val="000000" w:themeColor="text1"/>
        </w:rPr>
      </w:pPr>
    </w:p>
    <w:p w14:paraId="31034E1B"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 делегация советских моторостроителей, отбиравших об</w:t>
      </w:r>
      <w:r w:rsidRPr="00C33834">
        <w:rPr>
          <w:rFonts w:ascii="Times New Roman" w:hAnsi="Times New Roman"/>
          <w:color w:val="000000" w:themeColor="text1"/>
          <w:sz w:val="16"/>
          <w:szCs w:val="16"/>
        </w:rPr>
        <w:softHyphen/>
        <w:t>разцы двигателей для производства в СССР, отправилась во Францию. Руко</w:t>
      </w:r>
      <w:r w:rsidRPr="00C33834">
        <w:rPr>
          <w:rFonts w:ascii="Times New Roman" w:hAnsi="Times New Roman"/>
          <w:color w:val="000000" w:themeColor="text1"/>
          <w:sz w:val="16"/>
          <w:szCs w:val="16"/>
        </w:rPr>
        <w:softHyphen/>
        <w:t>водителем делегации являлся В.Я. Климов, ВВС представлял М.А. Левин. Двигатели фирмы «Гном-Рон» вызвали большой интерес у советских спе</w:t>
      </w:r>
      <w:r w:rsidRPr="00C33834">
        <w:rPr>
          <w:rFonts w:ascii="Times New Roman" w:hAnsi="Times New Roman"/>
          <w:color w:val="000000" w:themeColor="text1"/>
          <w:sz w:val="16"/>
          <w:szCs w:val="16"/>
        </w:rPr>
        <w:softHyphen/>
        <w:t xml:space="preserve">циалистов, причем не только двухрядный мотор типа 14К, о котором шла речь первоначально, но и менее мощный унифицированный с ним 9К. Их в первую очередь собирались ставить на </w:t>
      </w:r>
      <w:r w:rsidRPr="00C33834">
        <w:rPr>
          <w:rFonts w:ascii="Times New Roman" w:hAnsi="Times New Roman"/>
          <w:color w:val="000000" w:themeColor="text1"/>
          <w:sz w:val="16"/>
          <w:szCs w:val="16"/>
        </w:rPr>
        <w:lastRenderedPageBreak/>
        <w:t>бомбардировщики. 7 июня 1934 г. вышло специальное постановление Комитета обороны, предписывавшее Кли</w:t>
      </w:r>
      <w:r w:rsidRPr="00C33834">
        <w:rPr>
          <w:rFonts w:ascii="Times New Roman" w:hAnsi="Times New Roman"/>
          <w:color w:val="000000" w:themeColor="text1"/>
          <w:sz w:val="16"/>
          <w:szCs w:val="16"/>
        </w:rPr>
        <w:softHyphen/>
        <w:t>мову, Левину и директору завода № 29 Александрову в кратчайшие сроки завершить переговоры с «Гном-Рон» и добиться предоставления лицензии на оба этих типа, приобрести необходимую документацию и образцы моторов. В итоге с фирмой «Гном-Рон» заключили соглашение о технической помощи в освоении двух двигателей семейства К: 9-цилиндровый 9К «Мистраль» и 14-цилиндровый 14К «Мистраль мажор». Первый получил советское обозначение М-75, второй — М-85 (ненадолго его переимено</w:t>
      </w:r>
      <w:r w:rsidRPr="00C33834">
        <w:rPr>
          <w:rFonts w:ascii="Times New Roman" w:hAnsi="Times New Roman"/>
          <w:color w:val="000000" w:themeColor="text1"/>
          <w:sz w:val="16"/>
          <w:szCs w:val="16"/>
        </w:rPr>
        <w:softHyphen/>
        <w:t>вали в М-70, а затем обратно в М-85). Договор предусматривал поставки комплектующих для первых серий двигателей, а также стажировку 15 со</w:t>
      </w:r>
      <w:r w:rsidRPr="00C33834">
        <w:rPr>
          <w:rFonts w:ascii="Times New Roman" w:hAnsi="Times New Roman"/>
          <w:color w:val="000000" w:themeColor="text1"/>
          <w:sz w:val="16"/>
          <w:szCs w:val="16"/>
        </w:rPr>
        <w:softHyphen/>
        <w:t>ветских инженеров на заводе «Гном-Рон» (11852).</w:t>
      </w:r>
    </w:p>
    <w:p w14:paraId="66D829AA"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0DC3400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в Москву на ЦА из Ленинграда перегнали ТБ-1 с автопилотом АВП-2 конструкции Осконбюро для гос. испытаний в НИИ ВВС (390,132).</w:t>
      </w:r>
    </w:p>
    <w:p w14:paraId="167BAA74"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2146E52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ТБ-4 (АНТ-16) поступил на гос. испытания. В экипаж входили П.Стефановский, М.Нюхтиков, Л.Шевердинский, А.Рязанов. Испытания прекращали из-за сильных виюраций при отключении более двух моторов. Исправили, но военные от машины отказались, т.к. требованиям уже не соответствовал (7388, 8).</w:t>
      </w:r>
    </w:p>
    <w:p w14:paraId="37D2E2AA"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304E5C2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года зам. начальника Аэрофлота Анвельт писал письмо № 19с в СТО Базилевичу</w:t>
      </w:r>
    </w:p>
    <w:p w14:paraId="4931966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ГУГВФ Правительством было возложено задание по постройке в 1932 году для военведа опытных самолетов, из числа которых строится только один (хим-Х1 с двумя М-34), так как с одной стороны средства на все самолеты не были отпущены, а с другой – не было достаточной базы для постройки таких самолетов как МБР-5.</w:t>
      </w:r>
    </w:p>
    <w:p w14:paraId="0E632E7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по заявлению НИИ ВВС самолет МБР 5 принимается постройкой ЦКБ-39 завода, а для постройки У3-М48 и П3-М52 нет еще моторов (не прошли госиспытаний).</w:t>
      </w:r>
    </w:p>
    <w:p w14:paraId="0DFAE85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Прошу оформить передачу заданий по постройке МБР-5 на ГУГВФ заводу № 39, а постройку У3 и П3 отнести на 1934 год (при наличии моторов) со сроком готовности к 1 мая с обеспечением средств в сумме 60000 рублей (из них 20000 рублей в течении 4 квартала 1933 года) и 40000 рублей – в первом квартале 1934 года. По имеющимся сведениям самолет У3-М48 проектируется в ГУАПе (3530,136).</w:t>
      </w:r>
    </w:p>
    <w:p w14:paraId="6DB052A1"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205EE27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 дополнительно испытали с деревянным воздушным винтом фирмы Шварц диаметром 2,75 метра с целлулоидным покрытием И-5 для строительства на заводе №21 по типу самолета № 4302, выпущенного на за</w:t>
      </w:r>
      <w:r w:rsidRPr="00C33834">
        <w:rPr>
          <w:rFonts w:ascii="Times New Roman" w:hAnsi="Times New Roman"/>
          <w:color w:val="000000" w:themeColor="text1"/>
          <w:sz w:val="16"/>
          <w:szCs w:val="16"/>
        </w:rPr>
        <w:softHyphen/>
        <w:t>воде №1. Летал Томас Сузи. Самолет недодал скорости - раз</w:t>
      </w:r>
      <w:r w:rsidRPr="00C33834">
        <w:rPr>
          <w:rFonts w:ascii="Times New Roman" w:hAnsi="Times New Roman"/>
          <w:color w:val="000000" w:themeColor="text1"/>
          <w:sz w:val="16"/>
          <w:szCs w:val="16"/>
        </w:rPr>
        <w:softHyphen/>
        <w:t>вивал всего 265 км/ч у земли. Однако воз</w:t>
      </w:r>
      <w:r w:rsidRPr="00C33834">
        <w:rPr>
          <w:rFonts w:ascii="Times New Roman" w:hAnsi="Times New Roman"/>
          <w:color w:val="000000" w:themeColor="text1"/>
          <w:sz w:val="16"/>
          <w:szCs w:val="16"/>
        </w:rPr>
        <w:softHyphen/>
        <w:t>душный винт понравился, поэтому в 1934 г. предлагалось организовать производство таких винтов. Между тем, в Горьком (в городе Горьком, ибо так с 1932 г. стал именоваться Нижний Новгород) уже выпускали самолеты с металлическими воздушными винтами. Образцом-эталоном был выбран серийный И-5 № 21510 (11974).</w:t>
      </w:r>
    </w:p>
    <w:p w14:paraId="73222845"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006FDEC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 Предварительные проекты истребителя И-17 в трех вариантах (один с двигателем Испано-Сюиза 12У и пулеметным вооружением, другой с 12У и пушкой, стреляющей через полый вал редуктора, тре</w:t>
      </w:r>
      <w:r w:rsidRPr="00C33834">
        <w:rPr>
          <w:rFonts w:ascii="Times New Roman" w:hAnsi="Times New Roman"/>
          <w:color w:val="000000" w:themeColor="text1"/>
          <w:sz w:val="16"/>
          <w:szCs w:val="16"/>
        </w:rPr>
        <w:softHyphen/>
        <w:t>тий с мотором М-34ФН). Согласно принятой на заводе №39 традиции, он обозначался еще и как ЦКБ-15 (10667).</w:t>
      </w:r>
    </w:p>
    <w:p w14:paraId="5EC10CA4"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2F0EE5D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на заводе 39 был построен 1-й экз. И-15 РЦ (2287,131).</w:t>
      </w:r>
    </w:p>
    <w:p w14:paraId="699359FE"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54F041A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ИО нач. завода № 22 В.Чернышев писал Зам. Нач. ГУАП Мальхову: “По отдельным указаниям Нач. ГУАП и протокола от 29 июня 1933 мы приступили к изготовлению чертежей АНТ-14 под четыре мотора М-34 с новой хвостовой частью фюзеляжа. При этом согласно специальным решениям совещания от 10 июля 1933 в переделываемых ЦАГИ чертежах д.б. б. Предусмотрены крепления агрегатов вооружения военного варианта этой машины.</w:t>
      </w:r>
    </w:p>
    <w:p w14:paraId="2013C8D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того, что означенная машина в военном варианте ЦАГИ не строится, во избежание могущих возникнуть недоразумений, неясностей и зедержек в разработке, считаем необходимым просить вашего указания ЦАГИ построить опытный АНТ-14 военного варианта, т. как на основании приказа НКВМ и НКТП от 31 июля 1933...завод должен производить внедрение конструкции в серийное производство.</w:t>
      </w:r>
    </w:p>
    <w:p w14:paraId="320B93E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Вследствие перегруженности конструкторского отдела, связанной с форсированием работ по Р-6 и МК... завод не имеет возможности начать работы по подготовке к пуску в производство АНТ-14 ранее второго квартала. Кроме того, при отсутствии утвержденного образца до выпуска и сипытаний его мы считаем начинать работу нецелесообразно...” (8863,8).</w:t>
      </w:r>
    </w:p>
    <w:p w14:paraId="0136C611"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2D591AE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в УВВС из ВВА поступил проект переделки АНТ-9 в штурманский самолет, выполненный Сумароковым. Выполнили в 1934 и использовали несколько лет (10542,29).</w:t>
      </w:r>
    </w:p>
    <w:p w14:paraId="4E6A91AC"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696352D4" w14:textId="77777777" w:rsidR="00681A8C" w:rsidRPr="00C33834" w:rsidRDefault="00681A8C" w:rsidP="00C33834">
      <w:pPr>
        <w:pStyle w:val="a3"/>
        <w:rPr>
          <w:color w:val="000000" w:themeColor="text1"/>
          <w:lang w:val="ru-RU"/>
        </w:rPr>
      </w:pPr>
      <w:r w:rsidRPr="00C33834">
        <w:rPr>
          <w:color w:val="000000" w:themeColor="text1"/>
          <w:lang w:val="ru-RU"/>
        </w:rPr>
        <w:t>В сентябре 1933 состоялся первый полет «Звено-</w:t>
      </w:r>
      <w:r w:rsidRPr="00C33834">
        <w:rPr>
          <w:color w:val="000000" w:themeColor="text1"/>
        </w:rPr>
        <w:t>la</w:t>
      </w:r>
      <w:r w:rsidRPr="00C33834">
        <w:rPr>
          <w:color w:val="000000" w:themeColor="text1"/>
          <w:lang w:val="ru-RU"/>
        </w:rPr>
        <w:t>» (ТБ-1 + 2 И-5). Имев</w:t>
      </w:r>
      <w:r w:rsidRPr="00C33834">
        <w:rPr>
          <w:color w:val="000000" w:themeColor="text1"/>
          <w:lang w:val="ru-RU"/>
        </w:rPr>
        <w:softHyphen/>
        <w:t>шийся в НИИ ВВС носитель переделали под пару И-5. Командиром ТБ-1 являлся Стефановский, истребители пилотирова</w:t>
      </w:r>
      <w:r w:rsidRPr="00C33834">
        <w:rPr>
          <w:color w:val="000000" w:themeColor="text1"/>
          <w:lang w:val="ru-RU"/>
        </w:rPr>
        <w:softHyphen/>
      </w:r>
      <w:r w:rsidRPr="00C33834">
        <w:rPr>
          <w:rStyle w:val="96"/>
          <w:rFonts w:ascii="Times New Roman" w:hAnsi="Times New Roman" w:cs="Times New Roman"/>
          <w:b w:val="0"/>
          <w:color w:val="000000" w:themeColor="text1"/>
          <w:spacing w:val="0"/>
          <w:sz w:val="16"/>
          <w:szCs w:val="16"/>
          <w:lang w:val="ru-RU"/>
        </w:rPr>
        <w:t>ли</w:t>
      </w:r>
      <w:r w:rsidRPr="00C33834">
        <w:rPr>
          <w:color w:val="000000" w:themeColor="text1"/>
          <w:lang w:val="ru-RU"/>
        </w:rPr>
        <w:t xml:space="preserve"> Коккинаки и Лагутин.</w:t>
      </w:r>
    </w:p>
    <w:p w14:paraId="226D815C" w14:textId="77777777" w:rsidR="00681A8C" w:rsidRPr="00C33834" w:rsidRDefault="00681A8C"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hAnsi="Times New Roman"/>
          <w:color w:val="000000" w:themeColor="text1"/>
          <w:sz w:val="16"/>
          <w:szCs w:val="16"/>
        </w:rPr>
        <w:t>Управление ВВС распорядилось обо</w:t>
      </w:r>
      <w:r w:rsidRPr="00C33834">
        <w:rPr>
          <w:rFonts w:ascii="Times New Roman" w:hAnsi="Times New Roman"/>
          <w:color w:val="000000" w:themeColor="text1"/>
          <w:sz w:val="16"/>
          <w:szCs w:val="16"/>
        </w:rPr>
        <w:softHyphen/>
        <w:t>рудовать подобным образом шесть ком</w:t>
      </w:r>
      <w:r w:rsidRPr="00C33834">
        <w:rPr>
          <w:rFonts w:ascii="Times New Roman" w:hAnsi="Times New Roman"/>
          <w:color w:val="000000" w:themeColor="text1"/>
          <w:sz w:val="16"/>
          <w:szCs w:val="16"/>
        </w:rPr>
        <w:softHyphen/>
        <w:t xml:space="preserve">плектов «Звена-1а» и направить их в </w:t>
      </w:r>
      <w:r w:rsidRPr="00C33834">
        <w:rPr>
          <w:rStyle w:val="96"/>
          <w:rFonts w:ascii="Times New Roman" w:hAnsi="Times New Roman" w:cs="Times New Roman"/>
          <w:b w:val="0"/>
          <w:color w:val="000000" w:themeColor="text1"/>
          <w:spacing w:val="0"/>
          <w:sz w:val="16"/>
          <w:szCs w:val="16"/>
        </w:rPr>
        <w:t>1-ю</w:t>
      </w:r>
      <w:r w:rsidRPr="00C33834">
        <w:rPr>
          <w:rFonts w:ascii="Times New Roman" w:hAnsi="Times New Roman"/>
          <w:color w:val="000000" w:themeColor="text1"/>
          <w:sz w:val="16"/>
          <w:szCs w:val="16"/>
        </w:rPr>
        <w:t xml:space="preserve"> авиабригаду. Срок начала войсковых испытаний определили как 1 мая 1934 г. (17741)</w:t>
      </w:r>
    </w:p>
    <w:p w14:paraId="5E0860F0" w14:textId="77777777" w:rsidR="00681A8C" w:rsidRPr="00C33834" w:rsidRDefault="00681A8C" w:rsidP="00C33834">
      <w:pPr>
        <w:spacing w:after="0" w:line="240" w:lineRule="auto"/>
        <w:jc w:val="both"/>
        <w:rPr>
          <w:rFonts w:ascii="Times New Roman" w:hAnsi="Times New Roman"/>
          <w:color w:val="000000" w:themeColor="text1"/>
          <w:sz w:val="16"/>
          <w:szCs w:val="16"/>
        </w:rPr>
      </w:pPr>
    </w:p>
    <w:p w14:paraId="027BD213"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К.А.К. по результатом продувок ХАИ представил в НИИ ВВС второй эскизный проект ВС-2</w:t>
      </w:r>
    </w:p>
    <w:p w14:paraId="6336D22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C сентября 1933 лл S.55 ГВФ начала эксплуатироваться на линиях Хабаровск-Петропавловск и Владивосток-Петропавловск (2446,41).</w:t>
      </w:r>
    </w:p>
    <w:p w14:paraId="492A2028"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70206928"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 руководство завода № 22 в Филях обратилось в ГУАП за разрешением на постройку опытного образца военно-транспортной машины на базе АНТ-14, но, видимо, получило отказ. В Осконбюро ВВС разрабатывали десантный вариант АНТ-14 на 50 парашютистов, которые должны были покидать машину по наклонным трубам, какие можно увидеть сейчас на детских площадках. Прорабатывали также вариант "бензиноносца" - танкера для дозаправки в воздухе тяжелого бомбардировщика ТБ-4. Он мог, по расчетам, нести дополнительно около 2500 кг топлива.</w:t>
      </w:r>
    </w:p>
    <w:p w14:paraId="266F207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Изучалась также возможность доработки при необходимости обычного пассажирского АНТ-14 для военных целей - как транспортного или "вспомогательного бомбардировщика", аналогично подобному проекту для АНТ-9. Все эти работы были прекращены после принятия решения об отказе от запуска АНТ-14 в серию (12036).</w:t>
      </w:r>
    </w:p>
    <w:p w14:paraId="103C3ABD"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71A6142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на заводе 39 был готов третий АИР-6, уже модифицированный Е.Г.Адлером и со сниженной массой (3550,10).</w:t>
      </w:r>
    </w:p>
    <w:p w14:paraId="0B606F3F"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0D986B3A"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был выпущен АИР-6 на поплавках, которые разработал В.Б.Ш. и прошел испытания (1076,826).</w:t>
      </w:r>
    </w:p>
    <w:p w14:paraId="2B565169"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297DEB9C"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испытали АИР-6 на поплавках, сконструированных В.Б.Ш. (92,449).</w:t>
      </w:r>
    </w:p>
    <w:p w14:paraId="5EC47791"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322BE2D9"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В.П.Чкалов выполнил первый полет и испытывал НВ-1 и выполнил 9 (10 - 4,99) полетов. Оказался очень строгим в пилотировании - слишком маленьким, построенным под влиянием Джи-Бее. Строили на 39 заводе на средства Осоавиахима (1076,804).</w:t>
      </w:r>
    </w:p>
    <w:p w14:paraId="58AA6B42"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1CE1A74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В.П.Чкалов начал испытания УТИ-6 В.В.Никитина (682,118).</w:t>
      </w:r>
    </w:p>
    <w:p w14:paraId="17DC3D7F"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772FE2A9" w14:textId="77777777" w:rsidR="0007455B" w:rsidRPr="00C33834" w:rsidRDefault="0007455B"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 сентябре 1933 г. самый большой мотор из четверки моторов, созданных на основе М-11 на заводе № 29, девятицилиндровый М-49 (максимальная мощность 310 л.с.), проходил заводские испытания Конструкция его сохраняла все черты меньших "собратьев". Были изготовлены два экземпляра М-49. Использование этого двигателя предусматривалось в оригинальном проекте конструктора Михельсона. Предполагалось, что три из четырех двигателей семейства (за исключением М-50) будут запущены в серийное производство. Первым планировали освоить М-51 - в 1933 г. он должен был сменить М-11В в цехах завода № 29. Но в установленные сроки запорожский завод не уложился с доводкой моторов до требуемых показателей надежности (с межремонтным ресурсом порядка 200 ч), а в 1934 г. там развернули выпуск моторов М-22. Под этим обозначением у нас по французской лицензии стали делать английский мотор "Юпитер". Ему придавалось гораздо большее значение, чем двигателям на базе М-11, ведь "Юпитер" предназначался для истребителей И-4 и И-5. Работы по М-51, М-48 и М-49 в Запорожье прекратили. Там всем стало не до них (11478).</w:t>
      </w:r>
    </w:p>
    <w:p w14:paraId="03177013" w14:textId="77777777" w:rsidR="0007455B" w:rsidRPr="00C33834" w:rsidRDefault="0007455B" w:rsidP="00C33834">
      <w:pPr>
        <w:pStyle w:val="af2"/>
        <w:jc w:val="both"/>
        <w:rPr>
          <w:i w:val="0"/>
          <w:iCs w:val="0"/>
          <w:color w:val="000000" w:themeColor="text1"/>
          <w:spacing w:val="0"/>
          <w:kern w:val="0"/>
          <w:position w:val="0"/>
          <w:sz w:val="16"/>
          <w:szCs w:val="16"/>
          <w:lang w:val="ru-RU"/>
        </w:rPr>
      </w:pPr>
    </w:p>
    <w:p w14:paraId="353333FD" w14:textId="77777777" w:rsidR="00C47183" w:rsidRPr="00C33834" w:rsidRDefault="00C4718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сентябре 1933 года после продувки моделей в аэродинамической трубе ХАИ и с их учетом появился второй эскизный проект ВС-2. Новый вариант отличался от классического «летающего крыла», в документах КБ его называли «короткохвостым». Машина выглядела довольно необычно. Так, вдоль всей задней кромки крыла размещался мощный закрылок, что позволяло значительно уменьшить посадочную скорость. Именно поэтому руль высоты и стабилизатор крепились к задней части фюзеляжа. Элероны, получившие название «садовая скамейка», — на стойках в конце крыла. Органы управления такого типа в сочетании с закрылками впоследствии </w:t>
      </w:r>
      <w:r w:rsidRPr="00C33834">
        <w:rPr>
          <w:rFonts w:ascii="Times New Roman" w:hAnsi="Times New Roman"/>
          <w:color w:val="000000" w:themeColor="text1"/>
          <w:sz w:val="16"/>
          <w:szCs w:val="16"/>
        </w:rPr>
        <w:lastRenderedPageBreak/>
        <w:t>с успехом использовал на скоростных машинах американский конструктор Д. Нортроп. Для крыла «короткохвосток» выбрали малоизвестный профиль НАСА R-106R, а само крыло было оснащено автоматическими и управляемыми предкрылками на передней его кромке. Проектом предусматривалась гражданская модификация самолета на 11 пассажиров с багажом. Новый проект повлек за собой новые продувки, и их результаты заставили К. А. Калинина все же отказаться от «короткохвостой» схемы и вернуться к самолету-бесхвостке. Соответственно не понадобились предкрылок, стабилизатор и выносные элероны. Для обеспечения продольной устойчивости была изменена и профилировка крыла: вместо НАСА R-106R с аэродинамической круткой крыла применили отечественный профиль ЦАГИ Р-11, удачно модифицированный конструкторами группы управления во главе с А. В. Коваленко. А вдоль всей задней кромки крыла на кронштейнах подвесили вспомогательную плоскость, выполняющую роль горизонтального оперения. Интересно, что она имела тот же профиль — ЦАГИ Р-11, перевернутый на 180° по отношению к крылу. Столь же неожиданное решение позволило добиться надежной продольной устойчивости на всех режимах полета. А крыло с модифицированным профилем, кроме того, обладало хорошими несущими свойствами при посадке в отличие от крыльев с отрицательной круткой профиля. Функции вертикального оперения выполняли расположенные на концах крыла шайбы эллиптической формы. Рули направления отклонялись раздельно и только в наружную сторону. Чтобы проверить свои теоретические расчеты, К. А. Калинин задумал построить еще одну аэродинамическую модель, но только не продувочную, а... летающую. В сущности, получился настоящий планер. Сделали его цельно-деревянным, в масштабе 1:2 — по отношению к самолету. Летчик-испытатель П. О. Борисов совершил на нем свыше ста успешных полетов, исследуя в реальных условиях различные режимы. В одном из первых полетов произошел случай, подтвердивший правильность выбранный схемы. На высоте около трех километров из-за недостаточной прочности сломалась качалка руля высоты. Планер резко клюнул носом, войдя в крутое пикирование, привязные ремни не выдержали перегрузки, и летчика выбросило из кабины. Борисов благополучно опустился на землю с парашютом. Но цел остался и планер: он вдруг выровнялся, начал плавно снижаться по спирали и совершил нормальную посадку.</w:t>
      </w:r>
    </w:p>
    <w:p w14:paraId="085E3567" w14:textId="77777777" w:rsidR="00C47183" w:rsidRPr="00C33834" w:rsidRDefault="00C4718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Высокая продольная и путевая устойчивость планера-аналога позволяла совершать на нем дальние буксирные перелеты. Была также практически доказана возможность выполнения горизонтального полета на «бесхвостке» с «брошенной» ручкой управления. Этот эксперимент, блестяще продемонстрированный Борисовым, практически доказал возможность продольной аэродинамической балансировки машин выбранной схемы. В целом же модель-аналог значительно ускорила и облегчила проектирование самолета (15128).</w:t>
      </w:r>
    </w:p>
    <w:p w14:paraId="21335549" w14:textId="77777777" w:rsidR="00C47183" w:rsidRPr="00C33834" w:rsidRDefault="00C47183" w:rsidP="00C33834">
      <w:pPr>
        <w:spacing w:after="0" w:line="240" w:lineRule="auto"/>
        <w:jc w:val="both"/>
        <w:rPr>
          <w:rFonts w:ascii="Times New Roman" w:hAnsi="Times New Roman"/>
          <w:color w:val="000000" w:themeColor="text1"/>
          <w:sz w:val="16"/>
          <w:szCs w:val="16"/>
        </w:rPr>
      </w:pPr>
    </w:p>
    <w:p w14:paraId="495B9315" w14:textId="77777777" w:rsidR="00C47183" w:rsidRPr="00C33834" w:rsidRDefault="00C4718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года появился второй эскизный проект К-12. Новый вариант отличался от классического “летающего крыла”, в документах КБ его называли “короткохвостым”. Машина выглядела довольно необычно. Так, вдоль всей задней кромки крыла размещался мощный закрылок, что позволяло значительно уменьшить посадочную скорость. Именно поэтому руль высоты и стабилизатор крепились к задней части фюзеляжа. Элероны, получившие название “садовая скамейка” — на стойках в конце крыла. Органы управления такого типа в сочетании с закрылками впоследствии с успехом использовал на скоростных машинах американский конструктор Д. Нортроп.</w:t>
      </w:r>
    </w:p>
    <w:p w14:paraId="592663FE" w14:textId="77777777" w:rsidR="00C47183" w:rsidRPr="00C33834" w:rsidRDefault="00C4718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крыла “короткохвосток” выбрали малоизвестный профиль НАСА R-106R, а само крыло было оснащено автоматическими и управляемыми предкрылками на передней его кромке.</w:t>
      </w:r>
    </w:p>
    <w:p w14:paraId="30D6FF89" w14:textId="77777777" w:rsidR="00C47183" w:rsidRPr="00C33834" w:rsidRDefault="00C4718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Проектом предусматривалась гражданская модификация самолета на 11 пассажиров с багажом.</w:t>
      </w:r>
    </w:p>
    <w:p w14:paraId="4315F2B3" w14:textId="77777777" w:rsidR="00C47183" w:rsidRPr="00C33834" w:rsidRDefault="00C4718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Новый проект повлек за собой новые продувки, и их результаты заставили К. А. Калинина все же отказаться от “короткохвостой” схемы и вернуться к самолету-бесхвостке. Соответственно не понадобились предкрылок, стабилизатор и выносные элероны. Для обеспечения продольной устойчивости была изменена и профилировка крыла: вместо НАСА R-106R с аэродинамической круткой крыла применили отечественный профиль ЦАГИ Р-11, удачно модифицированный конструкторами группы управления во главе с А. В. Коваленко. А вдоль всей задней кромки крыла на кронштейнах подвесили вспомогательную плоскость, выполняющую роль горизонтального оперения. Интересно, что она имела тот же профиль — ЦАГИ Р-11, перевернутый на 180° по отношению к крылу. Столь же неожиданное решение позволило добиться надежной продольной устойчивости на всех режимах полета. А крыло с модифицированным профилем, кроме того, обладало хорошими несущими свойствами при посадке в отличие от крыльев с отрицательной круткой профиля.</w:t>
      </w:r>
    </w:p>
    <w:p w14:paraId="3C0CA541" w14:textId="77777777" w:rsidR="00C47183" w:rsidRPr="00C33834" w:rsidRDefault="00C4718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Функции вертикального оперения выполняли расположенные на концах крыла шайбы эллиптической формы. Рули направления отклонялись раздельно и только в наружную сторону.</w:t>
      </w:r>
    </w:p>
    <w:p w14:paraId="4C2C7B7D" w14:textId="77777777" w:rsidR="00C47183" w:rsidRPr="00C33834" w:rsidRDefault="00C4718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Чтобы проверить свои теоретические расчеты, К. А. Калинин задумал построить еще одну аэродинамическую модель, но только не продувочную, а... летающую. В сущности, получился настоящий планер. Сделали его цельнодеревянным, в масштабе 1:2 — по отношению к самолету. Летчик-испытатель П. О. Борисов совершил на нем свыше ста успешных полетов, исследуя в реальных условиях различные режимы.</w:t>
      </w:r>
    </w:p>
    <w:p w14:paraId="618A522F" w14:textId="77777777" w:rsidR="00C47183" w:rsidRPr="00C33834" w:rsidRDefault="00C4718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одном из первых полетов произошел случай, подтвердивший правильность выбранный схемы. На высоте около трех километров из-за недостаточной прочности сломалась качалка руля высоты. Планер резко клюнул носом, войдя в крутое пикирование, привязные ремни не выдержали перегрузки, и летчика выбросило из кабины. Борисов благополучно опустился на землю с парашютом. Но цел остался и планер: он вдруг выровнялся, начал плавно снижаться по спирали и совершил нормальную посадку.</w:t>
      </w:r>
    </w:p>
    <w:p w14:paraId="127FC4DF" w14:textId="77777777" w:rsidR="00C47183" w:rsidRPr="00C33834" w:rsidRDefault="00C4718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Высокая продольная и путевая устойчивость планера-аналога позволяла совершать на нем дальние буксирные перелеты. Была также практически доказана возможность выполнения горизонтального полета на “бесхвостке” с “брошенной” ручкой управления. Этот эксперимент, блестяще продемонстрированный Борисовым, практически доказал возможность продольной аэродинамической балансировки машин выбранной схемы. В целом же модель-аналог значительно ускорила и облегчила проектирование самолета.</w:t>
      </w:r>
    </w:p>
    <w:p w14:paraId="4AB052C9" w14:textId="77777777" w:rsidR="00C47183" w:rsidRPr="00C33834" w:rsidRDefault="00C4718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планера совпали по времени с переездом КБ в Воронеж, где К. А. Калинину предоставили новую производственную базу на авиационном заводе. Весь 1935 год уходит на размещение на новом месте, и только в начале следующего года опытный цех завода приступает к строительству реального самолета.</w:t>
      </w:r>
    </w:p>
    <w:p w14:paraId="6964D690" w14:textId="77777777" w:rsidR="00C47183" w:rsidRPr="00C33834" w:rsidRDefault="00C4718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Новая машина вобрала в себя результаты многочисленных расчетов, а также аэродинамических и натурных экспериментов. Каркас самолета сваривался из хромансилевых труб, обшивка была полотняной, а у кабины летчика и штурмана — дюралевой. Нервюры и лонжероны крыла, а также нервюры оперения выполнялись форменными, из труб. Для их расчета применили оригинальную методику, разработанную инженером В. К. Золотухиным.</w:t>
      </w:r>
    </w:p>
    <w:p w14:paraId="5C884194" w14:textId="77777777" w:rsidR="00C47183" w:rsidRPr="00C33834" w:rsidRDefault="00C4718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Каждая из консолей крыла представляла собой неразъемный сварной узел, составленный из лонжеронов, нервюр, кромок и других узлов.</w:t>
      </w:r>
    </w:p>
    <w:p w14:paraId="7248C0DA" w14:textId="77777777" w:rsidR="00C47183" w:rsidRPr="00C33834" w:rsidRDefault="00C4718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Крупными сварными агрегатами стали и три отсека фюзеляжа, соединявшиеся между собой болтами. Рулевые поверхности и концевые шайбы — из дюралевых труб, обтянутых полотном.</w:t>
      </w:r>
    </w:p>
    <w:p w14:paraId="6C1B4F39" w14:textId="77777777" w:rsidR="00C47183" w:rsidRPr="00C33834" w:rsidRDefault="00C4718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 — неубирающееся, двухколесное, баллонное, с тормозами. Хвостовое колесо имело масляно-пневматическую амортизацию.</w:t>
      </w:r>
    </w:p>
    <w:p w14:paraId="6EBB2A6D" w14:textId="77777777" w:rsidR="00C47183" w:rsidRPr="00C33834" w:rsidRDefault="00C4718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довольно просторном фюзеляже конструкторы расположили кассетный бомбодержатель КД-2, неподвижную фотоустановку АФА-13 и связную радиостанцию ВСК-2. В носу и корме фюзеляжа располагались установки пулеметов ШКАС в прозрачных поворотных башнях. Бомбовая нагрузка равнялась 500 кг.</w:t>
      </w:r>
    </w:p>
    <w:p w14:paraId="1D578705" w14:textId="77777777" w:rsidR="00C47183" w:rsidRPr="00C33834" w:rsidRDefault="00C4718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Два двигателя М-22 по 480 л. с. с двухлопастными винтами фиксированного шага диаметром 2,8 м закрывались капотами НАСА с регулируемыми в полете створками.</w:t>
      </w:r>
    </w:p>
    <w:p w14:paraId="41E38230" w14:textId="77777777" w:rsidR="00C47183" w:rsidRPr="00C33834" w:rsidRDefault="00C4718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Экипаж состоял из трех человек: летчика, штурмана и хвостового стрелка. Управление самолетом было двойное — в кабине пилота располагался штурвал, в кабине штурмана — съемная ручка (15552).</w:t>
      </w:r>
    </w:p>
    <w:p w14:paraId="50064E31" w14:textId="77777777" w:rsidR="00C47183" w:rsidRPr="00C33834" w:rsidRDefault="00C47183" w:rsidP="00C33834">
      <w:pPr>
        <w:spacing w:after="0" w:line="240" w:lineRule="auto"/>
        <w:jc w:val="both"/>
        <w:rPr>
          <w:rFonts w:ascii="Times New Roman" w:hAnsi="Times New Roman"/>
          <w:color w:val="000000" w:themeColor="text1"/>
          <w:sz w:val="16"/>
          <w:szCs w:val="16"/>
        </w:rPr>
      </w:pPr>
    </w:p>
    <w:p w14:paraId="1CF29714" w14:textId="77777777" w:rsidR="0007455B" w:rsidRPr="00C33834" w:rsidRDefault="0007455B" w:rsidP="00C33834">
      <w:pPr>
        <w:pStyle w:val="ae"/>
        <w:widowControl/>
        <w:spacing w:before="0" w:after="0"/>
        <w:jc w:val="both"/>
        <w:rPr>
          <w:color w:val="000000" w:themeColor="text1"/>
          <w:sz w:val="16"/>
          <w:szCs w:val="16"/>
        </w:rPr>
      </w:pPr>
      <w:r w:rsidRPr="00C33834">
        <w:rPr>
          <w:color w:val="000000" w:themeColor="text1"/>
          <w:sz w:val="16"/>
          <w:szCs w:val="16"/>
        </w:rPr>
        <w:t>В сентябре 1933 на ХАЗОС Начаты летные испытания бесхвостого планера К-12. Летчик В.О.Борисов (10674).</w:t>
      </w:r>
    </w:p>
    <w:p w14:paraId="219A959C" w14:textId="77777777" w:rsidR="0007455B" w:rsidRPr="00C33834" w:rsidRDefault="0007455B" w:rsidP="00C33834">
      <w:pPr>
        <w:pStyle w:val="ae"/>
        <w:widowControl/>
        <w:spacing w:before="0" w:after="0"/>
        <w:jc w:val="both"/>
        <w:rPr>
          <w:color w:val="000000" w:themeColor="text1"/>
          <w:sz w:val="16"/>
          <w:szCs w:val="16"/>
        </w:rPr>
      </w:pPr>
    </w:p>
    <w:p w14:paraId="426A561E"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был утвержден Отчет по испытанию автожира «4А» с мотором М-26 300 НР</w:t>
      </w:r>
    </w:p>
    <w:p w14:paraId="04768B94"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52D5559A"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Бронин</w:t>
      </w:r>
    </w:p>
    <w:p w14:paraId="5D41CE8F"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Тихонов</w:t>
      </w:r>
    </w:p>
    <w:p w14:paraId="409E2714"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Летнаб Агишев</w:t>
      </w:r>
    </w:p>
    <w:p w14:paraId="0E4E1006"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63C95CEA" w14:textId="77777777" w:rsidR="0007455B" w:rsidRPr="00C33834" w:rsidRDefault="0007455B" w:rsidP="00C33834">
      <w:pPr>
        <w:numPr>
          <w:ilvl w:val="0"/>
          <w:numId w:val="37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Снятие летной характеристики.</w:t>
      </w:r>
    </w:p>
    <w:p w14:paraId="3EFE79B0" w14:textId="77777777" w:rsidR="0007455B" w:rsidRPr="00C33834" w:rsidRDefault="0007455B" w:rsidP="00C33834">
      <w:pPr>
        <w:numPr>
          <w:ilvl w:val="0"/>
          <w:numId w:val="37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летных свойств и особенностей пилотирования автожира, как особого типа летательного аппарата.</w:t>
      </w:r>
    </w:p>
    <w:p w14:paraId="438F385E"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68724969" w14:textId="77777777" w:rsidR="0007455B" w:rsidRPr="00C33834" w:rsidRDefault="0007455B" w:rsidP="00C33834">
      <w:pPr>
        <w:pStyle w:val="31"/>
        <w:widowControl/>
        <w:numPr>
          <w:ilvl w:val="0"/>
          <w:numId w:val="373"/>
        </w:numPr>
        <w:tabs>
          <w:tab w:val="left" w:pos="360"/>
          <w:tab w:val="left" w:pos="11199"/>
        </w:tabs>
        <w:ind w:left="0" w:firstLine="0"/>
        <w:jc w:val="both"/>
        <w:rPr>
          <w:color w:val="000000" w:themeColor="text1"/>
        </w:rPr>
      </w:pPr>
      <w:r w:rsidRPr="00C33834">
        <w:rPr>
          <w:color w:val="000000" w:themeColor="text1"/>
        </w:rPr>
        <w:t>Серия автожиров завода № 43 на основании испытания головной машины А-4 М-26 № 4301 может быть допущена для передачи в строевые части с целью ознакомления с особенностями пилотирования и эксплуатации автожиров.</w:t>
      </w:r>
    </w:p>
    <w:p w14:paraId="03772421" w14:textId="77777777" w:rsidR="0007455B" w:rsidRPr="00C33834" w:rsidRDefault="0007455B" w:rsidP="00C33834">
      <w:pPr>
        <w:numPr>
          <w:ilvl w:val="0"/>
          <w:numId w:val="37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Поскольку на автожире установлен мотор М-26 обладающий скверными эксплуатационными данными, поскольку автожир А-4 имеет нескладывающийся ротор, выявил недостаточную устойчивость и взлетные свойства, считать нецелесообразным данный тип автожира строить сверх указанной уже серии.</w:t>
      </w:r>
    </w:p>
    <w:p w14:paraId="0CB1B772" w14:textId="77777777" w:rsidR="0007455B" w:rsidRPr="00C33834" w:rsidRDefault="0007455B" w:rsidP="00C33834">
      <w:pPr>
        <w:numPr>
          <w:ilvl w:val="0"/>
          <w:numId w:val="37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Форсировать передачу на гос. испытания А-6 М-11, как обладающего рядом эксплуатационных преимуществ перед А-4, а именно складывающийся ротор и крылья, свободно махающие лопасти и надежный мотор М-11.</w:t>
      </w:r>
    </w:p>
    <w:p w14:paraId="18D73F66"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 автожира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5E74E2E3" w14:textId="77777777">
        <w:tc>
          <w:tcPr>
            <w:tcW w:w="5636" w:type="dxa"/>
          </w:tcPr>
          <w:p w14:paraId="14A7DB43"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августа 1933 года</w:t>
            </w:r>
          </w:p>
        </w:tc>
        <w:tc>
          <w:tcPr>
            <w:tcW w:w="5636" w:type="dxa"/>
          </w:tcPr>
          <w:p w14:paraId="06935D74"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 принят на испытания. Проведено 2 приемных полета и перелет из Москвы в Щелково.</w:t>
            </w:r>
          </w:p>
        </w:tc>
      </w:tr>
      <w:tr w:rsidR="00F26F01" w:rsidRPr="00C33834" w14:paraId="1C98E03F" w14:textId="77777777">
        <w:tc>
          <w:tcPr>
            <w:tcW w:w="5636" w:type="dxa"/>
          </w:tcPr>
          <w:p w14:paraId="4530FDB3"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августа 1933 года</w:t>
            </w:r>
          </w:p>
        </w:tc>
        <w:tc>
          <w:tcPr>
            <w:tcW w:w="5636" w:type="dxa"/>
          </w:tcPr>
          <w:p w14:paraId="038190B3"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тренировочных полетов.</w:t>
            </w:r>
          </w:p>
        </w:tc>
      </w:tr>
      <w:tr w:rsidR="00F26F01" w:rsidRPr="00C33834" w14:paraId="51D1EE7B" w14:textId="77777777">
        <w:tc>
          <w:tcPr>
            <w:tcW w:w="5636" w:type="dxa"/>
          </w:tcPr>
          <w:p w14:paraId="2FDF93B9"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18 августа 1933 года</w:t>
            </w:r>
          </w:p>
        </w:tc>
        <w:tc>
          <w:tcPr>
            <w:tcW w:w="5636" w:type="dxa"/>
          </w:tcPr>
          <w:p w14:paraId="2F32FAF2"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Демонстрационный полет.</w:t>
            </w:r>
          </w:p>
        </w:tc>
      </w:tr>
      <w:tr w:rsidR="00F26F01" w:rsidRPr="00C33834" w14:paraId="62975EEC" w14:textId="77777777">
        <w:tc>
          <w:tcPr>
            <w:tcW w:w="5636" w:type="dxa"/>
          </w:tcPr>
          <w:p w14:paraId="7DB6B2FB"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августа 1933 года</w:t>
            </w:r>
          </w:p>
        </w:tc>
        <w:tc>
          <w:tcPr>
            <w:tcW w:w="5636" w:type="dxa"/>
          </w:tcPr>
          <w:p w14:paraId="64FD4044"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полета на километраж.</w:t>
            </w:r>
          </w:p>
        </w:tc>
      </w:tr>
      <w:tr w:rsidR="00F26F01" w:rsidRPr="00C33834" w14:paraId="6B047F77" w14:textId="77777777">
        <w:tc>
          <w:tcPr>
            <w:tcW w:w="5636" w:type="dxa"/>
          </w:tcPr>
          <w:p w14:paraId="642164FD"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августа 1933 года</w:t>
            </w:r>
          </w:p>
        </w:tc>
        <w:tc>
          <w:tcPr>
            <w:tcW w:w="5636" w:type="dxa"/>
          </w:tcPr>
          <w:p w14:paraId="702C3545"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полетов на выяснение взлетно-посадочных свойств самолета.</w:t>
            </w:r>
          </w:p>
        </w:tc>
      </w:tr>
      <w:tr w:rsidR="00F26F01" w:rsidRPr="00C33834" w14:paraId="7D7049B3" w14:textId="77777777">
        <w:tc>
          <w:tcPr>
            <w:tcW w:w="5636" w:type="dxa"/>
          </w:tcPr>
          <w:p w14:paraId="269AEB8C"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августа 1933 года</w:t>
            </w:r>
          </w:p>
        </w:tc>
        <w:tc>
          <w:tcPr>
            <w:tcW w:w="5636" w:type="dxa"/>
          </w:tcPr>
          <w:p w14:paraId="204B2251"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полета на устойчивость на 1500 м.</w:t>
            </w:r>
          </w:p>
        </w:tc>
      </w:tr>
      <w:tr w:rsidR="00F26F01" w:rsidRPr="00C33834" w14:paraId="55A63B19" w14:textId="77777777">
        <w:tc>
          <w:tcPr>
            <w:tcW w:w="5636" w:type="dxa"/>
          </w:tcPr>
          <w:p w14:paraId="57C854C8"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p>
        </w:tc>
        <w:tc>
          <w:tcPr>
            <w:tcW w:w="5636" w:type="dxa"/>
          </w:tcPr>
          <w:p w14:paraId="3B696721"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зубцы с летнабом.</w:t>
            </w:r>
          </w:p>
        </w:tc>
      </w:tr>
    </w:tbl>
    <w:p w14:paraId="65360D50"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дальнейшие полеты произведены с летнабом.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0B6651D0" w14:textId="77777777">
        <w:tc>
          <w:tcPr>
            <w:tcW w:w="5636" w:type="dxa"/>
          </w:tcPr>
          <w:p w14:paraId="65A9B118"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августа 1933 года</w:t>
            </w:r>
          </w:p>
        </w:tc>
        <w:tc>
          <w:tcPr>
            <w:tcW w:w="5636" w:type="dxa"/>
          </w:tcPr>
          <w:p w14:paraId="39FBC94D"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зубцы.</w:t>
            </w:r>
          </w:p>
        </w:tc>
      </w:tr>
      <w:tr w:rsidR="00F26F01" w:rsidRPr="00C33834" w14:paraId="3FFB9990" w14:textId="77777777">
        <w:tc>
          <w:tcPr>
            <w:tcW w:w="5636" w:type="dxa"/>
          </w:tcPr>
          <w:p w14:paraId="6F5D4CEF"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августа 1933 года</w:t>
            </w:r>
          </w:p>
        </w:tc>
        <w:tc>
          <w:tcPr>
            <w:tcW w:w="5636" w:type="dxa"/>
          </w:tcPr>
          <w:p w14:paraId="695D6BC0"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зубцы на 3500 м.</w:t>
            </w:r>
          </w:p>
        </w:tc>
      </w:tr>
      <w:tr w:rsidR="00F26F01" w:rsidRPr="00C33834" w14:paraId="1EC2758C" w14:textId="77777777">
        <w:tc>
          <w:tcPr>
            <w:tcW w:w="5636" w:type="dxa"/>
          </w:tcPr>
          <w:p w14:paraId="323F09F9"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августа 1933 года</w:t>
            </w:r>
          </w:p>
        </w:tc>
        <w:tc>
          <w:tcPr>
            <w:tcW w:w="5636" w:type="dxa"/>
          </w:tcPr>
          <w:p w14:paraId="376E5512"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маневренность и управляемость на 1000 м и 2000 м.</w:t>
            </w:r>
          </w:p>
        </w:tc>
      </w:tr>
      <w:tr w:rsidR="00F26F01" w:rsidRPr="00C33834" w14:paraId="6FDE4C98" w14:textId="77777777">
        <w:tc>
          <w:tcPr>
            <w:tcW w:w="5636" w:type="dxa"/>
          </w:tcPr>
          <w:p w14:paraId="252445D1"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августа 1933 года</w:t>
            </w:r>
          </w:p>
        </w:tc>
        <w:tc>
          <w:tcPr>
            <w:tcW w:w="5636" w:type="dxa"/>
          </w:tcPr>
          <w:p w14:paraId="7B97211D"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километраж (с летнабом).</w:t>
            </w:r>
          </w:p>
        </w:tc>
      </w:tr>
      <w:tr w:rsidR="00F26F01" w:rsidRPr="00C33834" w14:paraId="1B32A151" w14:textId="77777777">
        <w:tc>
          <w:tcPr>
            <w:tcW w:w="5636" w:type="dxa"/>
          </w:tcPr>
          <w:p w14:paraId="3E2D552F"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августа 1933 года</w:t>
            </w:r>
          </w:p>
        </w:tc>
        <w:tc>
          <w:tcPr>
            <w:tcW w:w="5636" w:type="dxa"/>
          </w:tcPr>
          <w:p w14:paraId="6C29D08D"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километраж (1 пилот).</w:t>
            </w:r>
          </w:p>
        </w:tc>
      </w:tr>
      <w:tr w:rsidR="00F26F01" w:rsidRPr="00C33834" w14:paraId="0C877F24" w14:textId="77777777">
        <w:tc>
          <w:tcPr>
            <w:tcW w:w="5636" w:type="dxa"/>
          </w:tcPr>
          <w:p w14:paraId="00637014"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августа 1933 года</w:t>
            </w:r>
          </w:p>
        </w:tc>
        <w:tc>
          <w:tcPr>
            <w:tcW w:w="5636" w:type="dxa"/>
          </w:tcPr>
          <w:p w14:paraId="01CF65F8"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скороподъемность и потолок.</w:t>
            </w:r>
          </w:p>
        </w:tc>
      </w:tr>
      <w:tr w:rsidR="00F26F01" w:rsidRPr="00C33834" w14:paraId="52B70C2D" w14:textId="77777777">
        <w:tc>
          <w:tcPr>
            <w:tcW w:w="5636" w:type="dxa"/>
          </w:tcPr>
          <w:p w14:paraId="452531BA"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года</w:t>
            </w:r>
          </w:p>
        </w:tc>
        <w:tc>
          <w:tcPr>
            <w:tcW w:w="5636" w:type="dxa"/>
          </w:tcPr>
          <w:p w14:paraId="3EF18639"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маневренность и устойчивость.</w:t>
            </w:r>
          </w:p>
        </w:tc>
      </w:tr>
      <w:tr w:rsidR="00F26F01" w:rsidRPr="00C33834" w14:paraId="3B4B571A" w14:textId="77777777">
        <w:tc>
          <w:tcPr>
            <w:tcW w:w="5636" w:type="dxa"/>
          </w:tcPr>
          <w:p w14:paraId="535B0186"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1933 года</w:t>
            </w:r>
          </w:p>
        </w:tc>
        <w:tc>
          <w:tcPr>
            <w:tcW w:w="5636" w:type="dxa"/>
          </w:tcPr>
          <w:p w14:paraId="65565016"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полетов на определение взлетно-посадочных свойств, определение траектории взлета и посадки.</w:t>
            </w:r>
          </w:p>
        </w:tc>
      </w:tr>
      <w:tr w:rsidR="00F26F01" w:rsidRPr="00C33834" w14:paraId="539DCACA" w14:textId="77777777">
        <w:tc>
          <w:tcPr>
            <w:tcW w:w="5636" w:type="dxa"/>
          </w:tcPr>
          <w:p w14:paraId="545944A1"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сентября 1933 года</w:t>
            </w:r>
          </w:p>
        </w:tc>
        <w:tc>
          <w:tcPr>
            <w:tcW w:w="5636" w:type="dxa"/>
          </w:tcPr>
          <w:p w14:paraId="7FAAB990"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полета с перегрузкой в 53 кг на скороподъемность на 2000 м и горизонталь скорости по высотам и маневренность.</w:t>
            </w:r>
          </w:p>
        </w:tc>
      </w:tr>
      <w:tr w:rsidR="00F26F01" w:rsidRPr="00C33834" w14:paraId="3D8E9EA0" w14:textId="77777777">
        <w:tc>
          <w:tcPr>
            <w:tcW w:w="5636" w:type="dxa"/>
          </w:tcPr>
          <w:p w14:paraId="67797C6D"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p>
        </w:tc>
        <w:tc>
          <w:tcPr>
            <w:tcW w:w="5636" w:type="dxa"/>
          </w:tcPr>
          <w:p w14:paraId="3AA741A8"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облетных полетов (2 выпущено).</w:t>
            </w:r>
          </w:p>
        </w:tc>
      </w:tr>
      <w:tr w:rsidR="00F26F01" w:rsidRPr="00C33834" w14:paraId="17EBB8C4" w14:textId="77777777">
        <w:tc>
          <w:tcPr>
            <w:tcW w:w="5636" w:type="dxa"/>
          </w:tcPr>
          <w:p w14:paraId="23683CBD"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сентября 1933 года</w:t>
            </w:r>
          </w:p>
        </w:tc>
        <w:tc>
          <w:tcPr>
            <w:tcW w:w="5636" w:type="dxa"/>
          </w:tcPr>
          <w:p w14:paraId="70EEE59D"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облетных полетов (4 выпущено).</w:t>
            </w:r>
          </w:p>
        </w:tc>
      </w:tr>
    </w:tbl>
    <w:p w14:paraId="491BED14"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проведено в 14 дней (13 летных), проведено 69 полетов. Полетных часов – 20 час. 20 мин.</w:t>
      </w:r>
    </w:p>
    <w:p w14:paraId="4F62E2BE"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технические и регулировочные данные автожира «4А»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5C65D48F" w14:textId="77777777">
        <w:tc>
          <w:tcPr>
            <w:tcW w:w="5636" w:type="dxa"/>
          </w:tcPr>
          <w:p w14:paraId="1FA181FF"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Год выпуска</w:t>
            </w:r>
          </w:p>
        </w:tc>
        <w:tc>
          <w:tcPr>
            <w:tcW w:w="5636" w:type="dxa"/>
          </w:tcPr>
          <w:p w14:paraId="1204C77D"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r>
      <w:tr w:rsidR="00F26F01" w:rsidRPr="00C33834" w14:paraId="0D9BBD39" w14:textId="77777777">
        <w:tc>
          <w:tcPr>
            <w:tcW w:w="5636" w:type="dxa"/>
          </w:tcPr>
          <w:p w14:paraId="49985D19"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Полный полетный вес</w:t>
            </w:r>
          </w:p>
        </w:tc>
        <w:tc>
          <w:tcPr>
            <w:tcW w:w="5636" w:type="dxa"/>
          </w:tcPr>
          <w:p w14:paraId="7538582D"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1391,4</w:t>
            </w:r>
          </w:p>
        </w:tc>
      </w:tr>
      <w:tr w:rsidR="00F26F01" w:rsidRPr="00C33834" w14:paraId="7894D666" w14:textId="77777777">
        <w:tc>
          <w:tcPr>
            <w:tcW w:w="5636" w:type="dxa"/>
          </w:tcPr>
          <w:p w14:paraId="2AB6E563"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Размах крыльев</w:t>
            </w:r>
          </w:p>
        </w:tc>
        <w:tc>
          <w:tcPr>
            <w:tcW w:w="5636" w:type="dxa"/>
          </w:tcPr>
          <w:p w14:paraId="458ACADA"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6,72</w:t>
            </w:r>
          </w:p>
        </w:tc>
      </w:tr>
    </w:tbl>
    <w:p w14:paraId="00F1F2A8"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Винты деревянные окованные (6646).</w:t>
      </w:r>
    </w:p>
    <w:p w14:paraId="5CF6C436"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p>
    <w:p w14:paraId="01D239C4" w14:textId="77777777" w:rsidR="00CE69D7" w:rsidRPr="00C33834" w:rsidRDefault="00CE69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1933-го Москва встречала зарубежных авиаторов. Готовясь к визиту министра авиации Франции Пьера Кота, на Центральном аэродроме устроили выставку самолетов. Левее аэродрома в два ряда построили агитэскадрилью им. М.Горького во главе с флагманским кораблем АНТ-14 А.Н.Туполева и самолетом "Сталь" А.И.Путилова. Правее эскадрильи внимание привлекала красно-белая авиэтка АИР-6, отделанная с большим изяществом. Тут же расположился и АИР-7 - самый скоростной советский самолет. Неподалеку стоя французский аппарат.</w:t>
      </w:r>
    </w:p>
    <w:p w14:paraId="78FED397" w14:textId="77777777" w:rsidR="00CE69D7" w:rsidRPr="00C33834" w:rsidRDefault="00CE69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Выставку посетил новый начальник ГУАП Г.Н.Королев, сменивший на этом посту погибшего в авиакатастрофе 5 сентября 1933-го П.И.Баранова. С многочисленной свитой он подошел к одной из машин. Самолет этот был очень красив, великолепно отделан как снаружи, так и изнутри. Королев остановился и величественно протянул к самолету указательный палец. "Сразу видно заграничную работу, - сказал он. - Вот - это культура! Посмотрите на окраску, на изящество, на вкус! Да, нескоро мы научимся так строить самолеты! Что за машина? Какой фирмы?" А ему шепотом говорят: "Это новый осоавиахимовский самолет АИР-6 конструкции Яковлева". Ответственное лицо, скрывая свое смущение, зевнуло, и пошло дальше отыскивать на аэродроме иностранный самолет. Одиноко остался стоять у самолета обескураженный конструктор.</w:t>
      </w:r>
    </w:p>
    <w:p w14:paraId="63083B52" w14:textId="77777777" w:rsidR="00CE69D7" w:rsidRPr="00C33834" w:rsidRDefault="00CE69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 описали эту сцену А.Яковлев и журналист А.Гарри. Но более забавно изложил ее спустя три года Е.Кригер в "Известиях": "Когда в Москву прилетел французский министр авиации, он долго стоял возле машины конструктора Яковлева, и, наконец, сказал своим спутникам: - Вот как нужно культурно строить самолеты". Следующая встреча Королева и Яковлева состоялась спустя два-три месяца. Тогда Яковлева выживали с завода №39 при попустительстве ГУАП. Пришлось обращаться за помощью в правительство. По этому поводу Яковлев вспоминал: "Вскоре меня вызвали к начальнику ГУАПа. Пришлось долго ожидать в приемной, пока, наконец, пригласили пройти в кабинет. За огромным письменным столом сидел удивительно полный, черноволосый человек. Не поздоровавшись и даже не пригласив сесть, окинув меня недружелюбным взглядом, он без лишних предисловий приступил к делу: - С завода вас выселяют? Правильно делают. Так вот... Я дал указание разместить ваше конструкторское бюро и производственников в кроватной мастерской на Ленинградском шоссе. Ясно? На большее не рассчитывайте. Идите. И поменьше бегайте с жалобами. А то... В общем, идите. Он предупредил, между прочим, что производство кроватей за мастерской сохраняется" (15727).</w:t>
      </w:r>
    </w:p>
    <w:p w14:paraId="4DD8A61C" w14:textId="77777777" w:rsidR="00CE69D7" w:rsidRPr="00C33834" w:rsidRDefault="00CE69D7" w:rsidP="00C33834">
      <w:pPr>
        <w:spacing w:after="0" w:line="240" w:lineRule="auto"/>
        <w:jc w:val="both"/>
        <w:rPr>
          <w:rFonts w:ascii="Times New Roman" w:hAnsi="Times New Roman"/>
          <w:color w:val="000000" w:themeColor="text1"/>
          <w:sz w:val="16"/>
          <w:szCs w:val="16"/>
        </w:rPr>
      </w:pPr>
    </w:p>
    <w:p w14:paraId="0B695A8A"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 во Францию от</w:t>
      </w:r>
      <w:r w:rsidRPr="00C33834">
        <w:rPr>
          <w:rFonts w:ascii="Times New Roman" w:hAnsi="Times New Roman"/>
          <w:color w:val="000000" w:themeColor="text1"/>
          <w:sz w:val="16"/>
          <w:szCs w:val="16"/>
        </w:rPr>
        <w:softHyphen/>
        <w:t>правилась советская авиационная деле</w:t>
      </w:r>
      <w:r w:rsidRPr="00C33834">
        <w:rPr>
          <w:rFonts w:ascii="Times New Roman" w:hAnsi="Times New Roman"/>
          <w:color w:val="000000" w:themeColor="text1"/>
          <w:sz w:val="16"/>
          <w:szCs w:val="16"/>
        </w:rPr>
        <w:softHyphen/>
        <w:t>гация. Руководителем ее являлся В.Я. Климов, ВВС представлял М.А. Левин. В состав группы вошел и Ильюшин. Большая программа создания мощных отечественных авиамоторов в конце 20-х — начале 30-х годов дала лишь один практический результат — внедрение в серию двигателя М-34 (впоследствии переименованного в АМ-34) конструк</w:t>
      </w:r>
      <w:r w:rsidRPr="00C33834">
        <w:rPr>
          <w:rFonts w:ascii="Times New Roman" w:hAnsi="Times New Roman"/>
          <w:color w:val="000000" w:themeColor="text1"/>
          <w:sz w:val="16"/>
          <w:szCs w:val="16"/>
        </w:rPr>
        <w:softHyphen/>
        <w:t>ции А.А. Микулина. Однако к моменту развертывания массового производства он уже уступал передовым моторам За</w:t>
      </w:r>
      <w:r w:rsidRPr="00C33834">
        <w:rPr>
          <w:rFonts w:ascii="Times New Roman" w:hAnsi="Times New Roman"/>
          <w:color w:val="000000" w:themeColor="text1"/>
          <w:sz w:val="16"/>
          <w:szCs w:val="16"/>
        </w:rPr>
        <w:softHyphen/>
        <w:t>пада по удельной массе и экономичнос</w:t>
      </w:r>
      <w:r w:rsidRPr="00C33834">
        <w:rPr>
          <w:rFonts w:ascii="Times New Roman" w:hAnsi="Times New Roman"/>
          <w:color w:val="000000" w:themeColor="text1"/>
          <w:sz w:val="16"/>
          <w:szCs w:val="16"/>
        </w:rPr>
        <w:softHyphen/>
        <w:t>ти. Отставание по моторостроению от</w:t>
      </w:r>
      <w:r w:rsidRPr="00C33834">
        <w:rPr>
          <w:rFonts w:ascii="Times New Roman" w:hAnsi="Times New Roman"/>
          <w:color w:val="000000" w:themeColor="text1"/>
          <w:sz w:val="16"/>
          <w:szCs w:val="16"/>
        </w:rPr>
        <w:softHyphen/>
        <w:t>рицательно влияло на создание новых типов самолетов, в первую очередь, во</w:t>
      </w:r>
      <w:r w:rsidRPr="00C33834">
        <w:rPr>
          <w:rFonts w:ascii="Times New Roman" w:hAnsi="Times New Roman"/>
          <w:color w:val="000000" w:themeColor="text1"/>
          <w:sz w:val="16"/>
          <w:szCs w:val="16"/>
        </w:rPr>
        <w:softHyphen/>
        <w:t>енных. Было решено приобрести ли</w:t>
      </w:r>
      <w:r w:rsidRPr="00C33834">
        <w:rPr>
          <w:rFonts w:ascii="Times New Roman" w:hAnsi="Times New Roman"/>
          <w:color w:val="000000" w:themeColor="text1"/>
          <w:sz w:val="16"/>
          <w:szCs w:val="16"/>
        </w:rPr>
        <w:softHyphen/>
        <w:t>цензии за рубежом. С этой целью и от</w:t>
      </w:r>
      <w:r w:rsidRPr="00C33834">
        <w:rPr>
          <w:rFonts w:ascii="Times New Roman" w:hAnsi="Times New Roman"/>
          <w:color w:val="000000" w:themeColor="text1"/>
          <w:sz w:val="16"/>
          <w:szCs w:val="16"/>
        </w:rPr>
        <w:softHyphen/>
        <w:t>правилась делегация во Францию. Ос</w:t>
      </w:r>
      <w:r w:rsidRPr="00C33834">
        <w:rPr>
          <w:rFonts w:ascii="Times New Roman" w:hAnsi="Times New Roman"/>
          <w:color w:val="000000" w:themeColor="text1"/>
          <w:sz w:val="16"/>
          <w:szCs w:val="16"/>
        </w:rPr>
        <w:softHyphen/>
        <w:t>новной задачей ей ставили получение лицензии на мотор Испано-Сюиза 12У. Но и двигатели «Гном-Рон» вызвали большой интерес у советских специали</w:t>
      </w:r>
      <w:r w:rsidRPr="00C33834">
        <w:rPr>
          <w:rFonts w:ascii="Times New Roman" w:hAnsi="Times New Roman"/>
          <w:color w:val="000000" w:themeColor="text1"/>
          <w:sz w:val="16"/>
          <w:szCs w:val="16"/>
        </w:rPr>
        <w:softHyphen/>
        <w:t>стов, причем не только двухрядный мо</w:t>
      </w:r>
      <w:r w:rsidRPr="00C33834">
        <w:rPr>
          <w:rFonts w:ascii="Times New Roman" w:hAnsi="Times New Roman"/>
          <w:color w:val="000000" w:themeColor="text1"/>
          <w:sz w:val="16"/>
          <w:szCs w:val="16"/>
        </w:rPr>
        <w:softHyphen/>
        <w:t>тор типа 14К, о котором шла речь пер</w:t>
      </w:r>
      <w:r w:rsidRPr="00C33834">
        <w:rPr>
          <w:rFonts w:ascii="Times New Roman" w:hAnsi="Times New Roman"/>
          <w:color w:val="000000" w:themeColor="text1"/>
          <w:sz w:val="16"/>
          <w:szCs w:val="16"/>
        </w:rPr>
        <w:softHyphen/>
        <w:t>воначально, но и менее мощный унифи</w:t>
      </w:r>
      <w:r w:rsidRPr="00C33834">
        <w:rPr>
          <w:rFonts w:ascii="Times New Roman" w:hAnsi="Times New Roman"/>
          <w:color w:val="000000" w:themeColor="text1"/>
          <w:sz w:val="16"/>
          <w:szCs w:val="16"/>
        </w:rPr>
        <w:softHyphen/>
        <w:t>цированный с ним 9К. Их в первую оче</w:t>
      </w:r>
      <w:r w:rsidRPr="00C33834">
        <w:rPr>
          <w:rFonts w:ascii="Times New Roman" w:hAnsi="Times New Roman"/>
          <w:color w:val="000000" w:themeColor="text1"/>
          <w:sz w:val="16"/>
          <w:szCs w:val="16"/>
        </w:rPr>
        <w:softHyphen/>
        <w:t>редь собирались ставить на бомбарди</w:t>
      </w:r>
      <w:r w:rsidRPr="00C33834">
        <w:rPr>
          <w:rFonts w:ascii="Times New Roman" w:hAnsi="Times New Roman"/>
          <w:color w:val="000000" w:themeColor="text1"/>
          <w:sz w:val="16"/>
          <w:szCs w:val="16"/>
        </w:rPr>
        <w:softHyphen/>
        <w:t>ровщики (10734,3).</w:t>
      </w:r>
    </w:p>
    <w:p w14:paraId="63C315DB"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p>
    <w:p w14:paraId="4E2A557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С.В.И. в составе группы специалистов был командирован во Францию для покупки лицензии на производство перспективного авиадвигателя. Выбрали Мистраль-Мажор К-14 Гном-Рон 800 нр (3846,5).</w:t>
      </w:r>
    </w:p>
    <w:p w14:paraId="491D8714"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0CD3E3BC"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в состав делегации, отправившейся во Францию, вошел и С.В.Ильюшин. В этой стране присмотрели два мощных двигателя - рядный “Испано-Сюиза”12У и звездообразный “Гном-Рон-14К”. Последний очень понравился Ильюшину. Это была 14-цилиндровая двухрядная звезда воздушного охлаждения, отличавшаяся компактностью, малым весом и экономичностью на крейсерском режиме. Такие моторы могли существенно улучшить показатели проектируемого бомбардировщика ЛБ-2, особенно в отношении радиуса действия. Вернувшись домой, Ильюшин внес предложение о постройке бомбардировщика с двигателями "Гном-Рон”14К (у нас его чаще называли К-14) (6474).</w:t>
      </w:r>
    </w:p>
    <w:p w14:paraId="37D45221" w14:textId="77777777" w:rsidR="0007455B" w:rsidRPr="00C33834" w:rsidRDefault="0007455B" w:rsidP="00C33834">
      <w:pPr>
        <w:tabs>
          <w:tab w:val="left" w:pos="11199"/>
        </w:tabs>
        <w:spacing w:after="0" w:line="240" w:lineRule="auto"/>
        <w:jc w:val="both"/>
        <w:rPr>
          <w:rFonts w:ascii="Times New Roman" w:hAnsi="Times New Roman"/>
          <w:color w:val="000000" w:themeColor="text1"/>
          <w:sz w:val="16"/>
          <w:szCs w:val="16"/>
        </w:rPr>
      </w:pPr>
    </w:p>
    <w:p w14:paraId="675F839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 во Францию отправилась советская авиационная делегация. Руководителем ее являлся В.Я. Климов, ВВС представлял М.А. Левин. В состав группы вошел и Ильюшин. Большая программа создания мощных отечественных авиамоторов в конце 20-х - начале 30-х годов дала лишь один практический результат - внедрение в серию двигателя М-34 (впоследствии переименованного в АМ-34) конструкции А.А. Микулина. Однако к моменту развертывания массового производства он уже уступал передовым моторам Запада по удельной массе и экономичности. Отставание по моторостроению отрицательно влияло на создание новых типов самолетов, в первую очередь, военных. Было решено приобрести лицензии за рубежом. С этой целью и отправилась делегация во Францию. Основной задачей ей ставили получение лицензии на мотор Испано-Сюиза 12Y.</w:t>
      </w:r>
    </w:p>
    <w:p w14:paraId="5649371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 и двигатели "Гном-Рон" вызвали большой интерес у советских специалистов, причем не только двухрядный мотор типа 14К, о котором шла речь первоначально, но и менее мощный унифицированный с ним 9К. Их в первую очередь собирались ставить на бомбардировщики. 7 июня 1934 г. вышло специальное постановление Комитета обороны, предписывавшее Климову, Левину и директору завода № 29 Александрову в кратчайшие сроки завершить переговоры с "Гном-Рон" и добиться предоставления лицензии на оба этих типа, приобрести необходимую документацию и образцы моторов.</w:t>
      </w:r>
    </w:p>
    <w:p w14:paraId="51D430E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итоге с фирмой "Гном-Рон" заключили соглашение о технической помощи в освоении двух двигателей семейства К: 9-цилиндрового 9К "Мистраль" и 14-цилиндрового 14К "Мистраль мажор". Первый получил советское обозначение М-75, второй - М-85 (ненадолго его переименовали в М-70, а затем обратно в М-85) (12021).</w:t>
      </w:r>
    </w:p>
    <w:p w14:paraId="5464A778"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34797E1C"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серию «Е» М-34 завода № 24 приемщики опять забраковали. Инспектор Уп</w:t>
      </w:r>
      <w:r w:rsidRPr="00C33834">
        <w:rPr>
          <w:rFonts w:ascii="Times New Roman" w:hAnsi="Times New Roman"/>
          <w:color w:val="000000" w:themeColor="text1"/>
          <w:sz w:val="16"/>
          <w:szCs w:val="16"/>
        </w:rPr>
        <w:softHyphen/>
        <w:t>равления материально-технического снабжения в июле 1933 г. доклады</w:t>
      </w:r>
      <w:r w:rsidRPr="00C33834">
        <w:rPr>
          <w:rFonts w:ascii="Times New Roman" w:hAnsi="Times New Roman"/>
          <w:color w:val="000000" w:themeColor="text1"/>
          <w:sz w:val="16"/>
          <w:szCs w:val="16"/>
        </w:rPr>
        <w:softHyphen/>
        <w:t>вал в УВВС: «Качество моторов М-34, выпускаемых заводом, с начала производства оставляет желать мно</w:t>
      </w:r>
      <w:r w:rsidRPr="00C33834">
        <w:rPr>
          <w:rFonts w:ascii="Times New Roman" w:hAnsi="Times New Roman"/>
          <w:color w:val="000000" w:themeColor="text1"/>
          <w:sz w:val="16"/>
          <w:szCs w:val="16"/>
        </w:rPr>
        <w:softHyphen/>
        <w:t>го лучшего» (11848).</w:t>
      </w:r>
    </w:p>
    <w:p w14:paraId="33E7D802"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p>
    <w:p w14:paraId="6056846A"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 проходил заводские испытания двигатель М-49. Разрабатывался в КБ завода № 29 (Запорожье) под руководством А.С. Назарова в 1931 г. Использовал часть узлов и агрегатов двигателя М-11 и унифицировался с моторами М-48 и М-51, входившими в то же семейство. Изготовлены 3 экз. В серийное производство М-49 не запускался. Работы по этому двигателю прекращены в апреле 1934 г. Он послужил основой для раз</w:t>
      </w:r>
      <w:r w:rsidRPr="00C33834">
        <w:rPr>
          <w:rFonts w:ascii="Times New Roman" w:hAnsi="Times New Roman"/>
          <w:color w:val="000000" w:themeColor="text1"/>
          <w:sz w:val="16"/>
          <w:szCs w:val="16"/>
        </w:rPr>
        <w:softHyphen/>
        <w:t>работки двигателя МГ-31.</w:t>
      </w:r>
    </w:p>
    <w:p w14:paraId="7222BF7B"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Характеристики:</w:t>
      </w:r>
    </w:p>
    <w:p w14:paraId="3A18BDE1"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9-цилиндровый, звездообразный, четырехтактный, воздушного охлаж</w:t>
      </w:r>
      <w:r w:rsidRPr="00C33834">
        <w:rPr>
          <w:rFonts w:ascii="Times New Roman" w:hAnsi="Times New Roman"/>
          <w:color w:val="000000" w:themeColor="text1"/>
          <w:sz w:val="16"/>
          <w:szCs w:val="16"/>
        </w:rPr>
        <w:softHyphen/>
        <w:t>дения, с ПЦН;</w:t>
      </w:r>
    </w:p>
    <w:p w14:paraId="623945AA"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мощность 270/310 л.с.;</w:t>
      </w:r>
    </w:p>
    <w:p w14:paraId="4A327E4C"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диаметр цилиндра/ход поршня 125/140 мм;</w:t>
      </w:r>
    </w:p>
    <w:p w14:paraId="0E2406E6"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степень сжатия 5,0;</w:t>
      </w:r>
    </w:p>
    <w:p w14:paraId="17295E81"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вес 248 кг. (11852).</w:t>
      </w:r>
    </w:p>
    <w:p w14:paraId="291B3024" w14:textId="77777777" w:rsidR="0007455B" w:rsidRPr="00C33834" w:rsidRDefault="0007455B" w:rsidP="00C33834">
      <w:pPr>
        <w:shd w:val="clear" w:color="auto" w:fill="FFFFFF"/>
        <w:spacing w:after="0" w:line="240" w:lineRule="auto"/>
        <w:jc w:val="both"/>
        <w:rPr>
          <w:rFonts w:ascii="Times New Roman" w:hAnsi="Times New Roman"/>
          <w:color w:val="000000" w:themeColor="text1"/>
          <w:sz w:val="16"/>
          <w:szCs w:val="16"/>
        </w:rPr>
      </w:pPr>
    </w:p>
    <w:p w14:paraId="13128E2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года Бакулов подготовил:</w:t>
      </w:r>
    </w:p>
    <w:p w14:paraId="49E5178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Справка</w:t>
      </w:r>
    </w:p>
    <w:p w14:paraId="74C5A02A" w14:textId="77777777" w:rsidR="0007455B" w:rsidRPr="00C33834" w:rsidRDefault="0007455B" w:rsidP="00C33834">
      <w:pPr>
        <w:numPr>
          <w:ilvl w:val="0"/>
          <w:numId w:val="37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 постановления об опытном самолето- и моторостроении проработан совместно с ГУАПом и возражений со стороны последнего невызывает. ГУАП (ядров и Яхонтов) вносят только ряд изменений в сроки готовности отдельных объектов: М-58 вместо 1 сентября 1933 года – 1 ноября 1933 года; Н-5 вместо 1 сентября 1933 года – 1 ноября 1933 года; М-48 вместо 1 сентября 1933 года – 1 ноября 1933 года; МИ3-2М34 вместо 1 сентября 1933 года – 1 ноября 1933 года; ЛР М-34 - вместо 1 сентября 1933 года – 1 ноября 1933 года и некоторые др.</w:t>
      </w:r>
    </w:p>
    <w:p w14:paraId="5C9E5594" w14:textId="77777777" w:rsidR="0007455B" w:rsidRPr="00C33834" w:rsidRDefault="0007455B" w:rsidP="00C33834">
      <w:pPr>
        <w:numPr>
          <w:ilvl w:val="0"/>
          <w:numId w:val="37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Алкснис считатет возможным согласиться с этими изменениями сроков и одновременно просит исключить из проекта постановления п. 7 (покупка иностранных моторов), как разрешенный постановлением СТО № 72сс/о о гидросамолетостроении (п.п. 8 и 9), а также исключить из списка опытных самолетов МБР-4 М-34 (С-62), как экземпляр, снятый с производства тем же постановлением СТО № 72сс/о (п. 1 «г»).</w:t>
      </w:r>
    </w:p>
    <w:p w14:paraId="41460561" w14:textId="77777777" w:rsidR="0007455B" w:rsidRPr="00C33834" w:rsidRDefault="0007455B" w:rsidP="00C33834">
      <w:pPr>
        <w:numPr>
          <w:ilvl w:val="0"/>
          <w:numId w:val="37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ГУГВФ (Анвельт) принципиально не возражает против п. 15 проекта, если опытные работы, возлагаемые на ГУГВФ, будут обеспечены спецкредитами, из-за отсутствия которых и было приостановлено опытное самолетостроение (У-3 бис М-48, П3 М-52, Х-1, паровая турбина 3000 НР).</w:t>
      </w:r>
    </w:p>
    <w:p w14:paraId="36492252" w14:textId="77777777" w:rsidR="0007455B" w:rsidRPr="00C33834" w:rsidRDefault="0007455B" w:rsidP="00C33834">
      <w:pPr>
        <w:numPr>
          <w:ilvl w:val="0"/>
          <w:numId w:val="37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ОГПУ (Миронов – начальник ЭКУ) не возражает (п.п. 5 и 11-а проекта). В отношении проф. петрова сообщает, что последний в данное время работает в системе НКТП (4223, 38).</w:t>
      </w:r>
    </w:p>
    <w:p w14:paraId="2EB67397"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287D2C7E"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на базе ГДЛ и ГИРД был организован РНИИ. После смерти Петропавловского начальником ГДЛ стал И.Т.Клейменов и РНИИ был создан по его идее с поддержкой Г.К.Орджоникидзе и М.Н.Тухачевского (93,18).</w:t>
      </w:r>
    </w:p>
    <w:p w14:paraId="65209FE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это было в октябре.</w:t>
      </w:r>
    </w:p>
    <w:p w14:paraId="2FA47C93"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544BEAB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С.К.Королева назначили зам. директора РНИИ, но продержался до января 1934 и стал рядовым (105,141).</w:t>
      </w:r>
    </w:p>
    <w:p w14:paraId="7F777997"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2580884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проведены летные испытания ПВРД Ю.А.Победоносцева, выполнявшего роль второй ступени 76 мм арт. снаряда. Выстрелили 10 из пушки обр. 1902 (388,71). Скорость - 2 М (237,167).</w:t>
      </w:r>
    </w:p>
    <w:p w14:paraId="4EF8A6FE"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342B35A4"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ВАП-5 передали на Центральный военно-химический полигон (ЦВХП) в Шиханах и в следующем месяце подвергли испытаниям. ВАП-5 должен был стать альтернативой ВАП-4. Но результаты испытаний признали неудовлетворительными, прибор забраковали. ВАП-5, имевший большую емкость - 120 л (по другим данным - 160 л). Предполагалось, что Р-5 будет нести два таких. Опытный образец ВАП-5 изготовили в НИИ ВВС (11931).</w:t>
      </w:r>
    </w:p>
    <w:p w14:paraId="78B5A679"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6BC05E4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германский персонал покинул Липецк, хотя интерес стал снижаться с лета 1930. Нам оставили 30 истребителей Д-8. С 1928 УГПУ арестовало 28 наших за общение с немцами, в 1937 - еще 8 и в 1941 - 39 (162,28).</w:t>
      </w:r>
    </w:p>
    <w:p w14:paraId="4DECA57A"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0A950646"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 французские пилоты Росси и Кодос на самолете Блерио-110 прилетели в Москву. Известный советский журналист Л.Бронтман в своих дневниковых записях оставил такие воспоминания о посещении Москвы французскими летчиками (датировано 1936-м годом):</w:t>
      </w:r>
    </w:p>
    <w:p w14:paraId="121E73D0"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"Утром был в Центральном аэроклубе на приеме французской авиационной парламентской делегации. В числе других были Кодос (толстый, краснощекий, грузный) и Боссутро.</w:t>
      </w:r>
    </w:p>
    <w:p w14:paraId="354DB7D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(зачеркнуто) интервьюировал Кодоса:</w:t>
      </w:r>
    </w:p>
    <w:p w14:paraId="0193C087"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Что вы можете сказать о полете Чкалова?</w:t>
      </w:r>
    </w:p>
    <w:p w14:paraId="1C4DBEB5"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слыхал.</w:t>
      </w:r>
    </w:p>
    <w:p w14:paraId="6D99DA0D"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Громова (на "РД") ?</w:t>
      </w:r>
    </w:p>
    <w:p w14:paraId="424F282F"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сожалению тоже не знаю.</w:t>
      </w:r>
    </w:p>
    <w:p w14:paraId="71C57441"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Кого из советских пилотов вы знаете?</w:t>
      </w:r>
    </w:p>
    <w:p w14:paraId="3F09D20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Россинского"</w:t>
      </w:r>
    </w:p>
    <w:p w14:paraId="76CA5BE2"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то время как Сигизмунд Леваневский спасал Маттерна, еще один пилот готовился к дальнему полету через территорию СССР. Этим пилотом был его родной брат - Юзеф Леваневский. Еще в 1919 г. Юзеф вместе с семьей вернулся в Польшу, где получил необходимое образование и в 1924 г. стал военным летчиком. Позднее он получил диплом инженера, занимался научно-исследовательской работой и одновременно совершенствовал свое летное мастерство. В 1933 г. Ю.Леваневский начинает подготовку к кругосветному перелету и в качестве тренировочной акции планирует беспосадочный перелет из Варшавы в Омск протяженностью 3400 км (11941).</w:t>
      </w:r>
    </w:p>
    <w:p w14:paraId="4C33E00B"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7D26D20B" w14:textId="77777777" w:rsidR="0007455B" w:rsidRPr="00C33834" w:rsidRDefault="0007455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 из Варшавы в Красноярск вылетела спортивная машина PZL-19 с экипажем из двух человек. Одним из пилотов и был капитан Юзеф Левоневский (в Польше эта фамилия пишется через «о»), с которым Сигизмунд расстался во времена гражданской войны. Маленький самолетик разбился недалеко от чувашского города Ядрин (150 км западнее Казани), погибшего Юзефа привезли сначала в наш город, а потом отправили в Польшу. Вот так, весьма неожиданно, Казань соединила память о двух братьях, летчиках двух стран (12049).</w:t>
      </w:r>
    </w:p>
    <w:p w14:paraId="5554FE36" w14:textId="77777777" w:rsidR="0007455B" w:rsidRPr="00C33834" w:rsidRDefault="0007455B" w:rsidP="00C33834">
      <w:pPr>
        <w:spacing w:after="0" w:line="240" w:lineRule="auto"/>
        <w:jc w:val="both"/>
        <w:rPr>
          <w:rFonts w:ascii="Times New Roman" w:hAnsi="Times New Roman"/>
          <w:color w:val="000000" w:themeColor="text1"/>
          <w:sz w:val="16"/>
          <w:szCs w:val="16"/>
        </w:rPr>
      </w:pPr>
    </w:p>
    <w:p w14:paraId="38A92E2A"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D5CE536"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FD22E4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были проведены испытания Т-25А (артиллерийский) или Т-26-4, разработанного в 1933 КБ Опытного завода Спешмаштреста им. Кирова под руководством Н.В.Барыкова и С.А.Гинзбурга. По результатам испытаний в конструкцию внесли изменения и в 1933-34 изготовили опытную партию из 5 машин. Получил 76 мм пушку обр. 1927 с укороченным откатом (2 машины) и 76 мм ПС-3 (3 машины). Орудия монтировали на Красном пролетарии в Москве (9527,92).</w:t>
      </w:r>
    </w:p>
    <w:p w14:paraId="3D46DFB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63025676" w14:textId="77777777" w:rsidR="003F2394" w:rsidRPr="00C33834" w:rsidRDefault="003F2394" w:rsidP="00C33834">
      <w:pPr>
        <w:pStyle w:val="a3"/>
        <w:rPr>
          <w:color w:val="000000" w:themeColor="text1"/>
          <w:lang w:val="ru-RU"/>
        </w:rPr>
      </w:pPr>
      <w:r w:rsidRPr="00C33834">
        <w:rPr>
          <w:color w:val="000000" w:themeColor="text1"/>
          <w:lang w:val="ru-RU"/>
        </w:rPr>
        <w:t xml:space="preserve">В сентябре 1933 г. произошла очередная реорганизация танкового производства завода. Вся конструкторско-экспериментальная часть завода </w:t>
      </w:r>
      <w:r w:rsidRPr="00C33834">
        <w:rPr>
          <w:color w:val="000000" w:themeColor="text1"/>
        </w:rPr>
        <w:t>N</w:t>
      </w:r>
      <w:r w:rsidRPr="00C33834">
        <w:rPr>
          <w:color w:val="000000" w:themeColor="text1"/>
          <w:lang w:val="ru-RU"/>
        </w:rPr>
        <w:t>"174 была выделена в самостоя</w:t>
      </w:r>
      <w:r w:rsidRPr="00C33834">
        <w:rPr>
          <w:color w:val="000000" w:themeColor="text1"/>
          <w:lang w:val="ru-RU"/>
        </w:rPr>
        <w:softHyphen/>
        <w:t>тельный завод №185 (с 1934 г. — им. Кирова). Директором завода стал Н.В. Барыков, заме</w:t>
      </w:r>
      <w:r w:rsidRPr="00C33834">
        <w:rPr>
          <w:color w:val="000000" w:themeColor="text1"/>
          <w:lang w:val="ru-RU"/>
        </w:rPr>
        <w:softHyphen/>
        <w:t>стителем директора и начальником конструк</w:t>
      </w:r>
      <w:r w:rsidRPr="00C33834">
        <w:rPr>
          <w:color w:val="000000" w:themeColor="text1"/>
          <w:lang w:val="ru-RU"/>
        </w:rPr>
        <w:softHyphen/>
        <w:t>торского отдела — С.А. Гинзбург, вторым заместителем директора по конструкторско- исследовательской части — Г.В. Гудков (12619).</w:t>
      </w:r>
    </w:p>
    <w:p w14:paraId="6BBBCFEC" w14:textId="77777777" w:rsidR="003F2394" w:rsidRPr="00C33834" w:rsidRDefault="003F2394" w:rsidP="00C33834">
      <w:pPr>
        <w:pStyle w:val="a3"/>
        <w:rPr>
          <w:color w:val="000000" w:themeColor="text1"/>
          <w:lang w:val="ru-RU"/>
        </w:rPr>
      </w:pPr>
    </w:p>
    <w:p w14:paraId="1F246F85" w14:textId="77777777" w:rsidR="003F2394" w:rsidRPr="00C33834" w:rsidRDefault="003F2394" w:rsidP="00C33834">
      <w:pPr>
        <w:pStyle w:val="74"/>
        <w:shd w:val="clear" w:color="auto" w:fill="auto"/>
        <w:spacing w:line="240" w:lineRule="auto"/>
        <w:ind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 в заключении 3-го управле</w:t>
      </w:r>
      <w:r w:rsidRPr="00C33834">
        <w:rPr>
          <w:rFonts w:ascii="Times New Roman" w:hAnsi="Times New Roman"/>
          <w:color w:val="000000" w:themeColor="text1"/>
          <w:sz w:val="16"/>
          <w:szCs w:val="16"/>
        </w:rPr>
        <w:softHyphen/>
        <w:t>ния УММ РККА БХМ-8 отмечалось:</w:t>
      </w:r>
    </w:p>
    <w:p w14:paraId="53D7129D" w14:textId="77777777" w:rsidR="003F2394" w:rsidRPr="00C33834" w:rsidRDefault="003F2394" w:rsidP="00C33834">
      <w:pPr>
        <w:pStyle w:val="5a"/>
        <w:shd w:val="clear" w:color="auto" w:fill="auto"/>
        <w:spacing w:line="240" w:lineRule="auto"/>
        <w:ind w:firstLine="0"/>
        <w:jc w:val="both"/>
        <w:rPr>
          <w:rFonts w:ascii="Times New Roman" w:hAnsi="Times New Roman"/>
          <w:color w:val="000000" w:themeColor="text1"/>
          <w:spacing w:val="0"/>
          <w:sz w:val="16"/>
          <w:szCs w:val="16"/>
        </w:rPr>
      </w:pPr>
      <w:r w:rsidRPr="00C33834">
        <w:rPr>
          <w:rFonts w:ascii="Times New Roman" w:hAnsi="Times New Roman"/>
          <w:color w:val="000000" w:themeColor="text1"/>
          <w:spacing w:val="0"/>
          <w:sz w:val="16"/>
          <w:szCs w:val="16"/>
        </w:rPr>
        <w:t>«Таких же результатов, вернее, лучших в смысле использования веса, можно было бы добиться и на шасси танка Т-37, сняв с него вооружение, боевой комплект, башню, часть запаса горючего и одного человека экипажа».</w:t>
      </w:r>
    </w:p>
    <w:p w14:paraId="7CF1EDF1" w14:textId="77777777" w:rsidR="003F2394" w:rsidRPr="00C33834" w:rsidRDefault="003F2394" w:rsidP="00C33834">
      <w:pPr>
        <w:pStyle w:val="74"/>
        <w:shd w:val="clear" w:color="auto" w:fill="auto"/>
        <w:spacing w:line="240" w:lineRule="auto"/>
        <w:ind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было установлено, что при заданных условиях получить специальную бое</w:t>
      </w:r>
      <w:r w:rsidRPr="00C33834">
        <w:rPr>
          <w:rFonts w:ascii="Times New Roman" w:hAnsi="Times New Roman"/>
          <w:color w:val="000000" w:themeColor="text1"/>
          <w:sz w:val="16"/>
          <w:szCs w:val="16"/>
        </w:rPr>
        <w:softHyphen/>
        <w:t>вую химическую машину с необходимыми пара</w:t>
      </w:r>
      <w:r w:rsidRPr="00C33834">
        <w:rPr>
          <w:rFonts w:ascii="Times New Roman" w:hAnsi="Times New Roman"/>
          <w:color w:val="000000" w:themeColor="text1"/>
          <w:sz w:val="16"/>
          <w:szCs w:val="16"/>
        </w:rPr>
        <w:softHyphen/>
        <w:t>метрами невозможно. Дальнейшие работы по БХМ-8 были приостановлены, а проектирование легких боевых химических гусеничных машин велось уже на базе серийных конструкций.</w:t>
      </w:r>
    </w:p>
    <w:p w14:paraId="68423FBE" w14:textId="77777777" w:rsidR="003F2394" w:rsidRPr="00C33834" w:rsidRDefault="003F2394" w:rsidP="00C33834">
      <w:pPr>
        <w:pStyle w:val="a3"/>
        <w:rPr>
          <w:color w:val="000000" w:themeColor="text1"/>
          <w:lang w:val="ru-RU"/>
        </w:rPr>
      </w:pPr>
      <w:r w:rsidRPr="00C33834">
        <w:rPr>
          <w:color w:val="000000" w:themeColor="text1"/>
          <w:lang w:val="ru-RU"/>
        </w:rPr>
        <w:t>В Управлении военных изобретений (УВИ) РККА организовали про</w:t>
      </w:r>
      <w:r w:rsidRPr="00C33834">
        <w:rPr>
          <w:color w:val="000000" w:themeColor="text1"/>
          <w:lang w:val="ru-RU"/>
        </w:rPr>
        <w:softHyphen/>
        <w:t>ектные работы по созданию легкой гусеничной БХМ на оригинальной базе. Одноместная ма</w:t>
      </w:r>
      <w:r w:rsidRPr="00C33834">
        <w:rPr>
          <w:color w:val="000000" w:themeColor="text1"/>
          <w:lang w:val="ru-RU"/>
        </w:rPr>
        <w:softHyphen/>
        <w:t>шина разработки Конструкторского бюро УВИ РККА т. Бродского была названа БХМ-8. В БХМ-8 из серийных агрегатов предпо</w:t>
      </w:r>
      <w:r w:rsidRPr="00C33834">
        <w:rPr>
          <w:color w:val="000000" w:themeColor="text1"/>
          <w:lang w:val="ru-RU"/>
        </w:rPr>
        <w:softHyphen/>
        <w:t>лагалось использовать только силовую уста</w:t>
      </w:r>
      <w:r w:rsidRPr="00C33834">
        <w:rPr>
          <w:color w:val="000000" w:themeColor="text1"/>
          <w:lang w:val="ru-RU"/>
        </w:rPr>
        <w:softHyphen/>
        <w:t>новку — двигатель «Форд АА». С целью обе</w:t>
      </w:r>
      <w:r w:rsidRPr="00C33834">
        <w:rPr>
          <w:color w:val="000000" w:themeColor="text1"/>
          <w:lang w:val="ru-RU"/>
        </w:rPr>
        <w:softHyphen/>
        <w:t>спечения подвижности масса машины ограни</w:t>
      </w:r>
      <w:r w:rsidRPr="00C33834">
        <w:rPr>
          <w:color w:val="000000" w:themeColor="text1"/>
          <w:lang w:val="ru-RU"/>
        </w:rPr>
        <w:softHyphen/>
        <w:t>чивалась в пределах 3000—3200 кг. Для БХМ-8 спроектировали оригинальный гусеничный движитель с резинометаллической гусеницей, а также предусмотрели возможность движения по железной дороге со скоростью до 60 км/ч. Расположение отделений управления, силово</w:t>
      </w:r>
      <w:r w:rsidRPr="00C33834">
        <w:rPr>
          <w:color w:val="000000" w:themeColor="text1"/>
          <w:lang w:val="ru-RU"/>
        </w:rPr>
        <w:softHyphen/>
        <w:t>го и боевого отделений было последователь</w:t>
      </w:r>
      <w:r w:rsidRPr="00C33834">
        <w:rPr>
          <w:color w:val="000000" w:themeColor="text1"/>
          <w:lang w:val="ru-RU"/>
        </w:rPr>
        <w:softHyphen/>
        <w:t>ным. По проекту, боевые химические вещества размещались в разделенной на отсеки цистер</w:t>
      </w:r>
      <w:r w:rsidRPr="00C33834">
        <w:rPr>
          <w:color w:val="000000" w:themeColor="text1"/>
          <w:lang w:val="ru-RU"/>
        </w:rPr>
        <w:softHyphen/>
        <w:t>не, допускающей при необходимости заправку через отдельные горловины. Подразумевался вариант управления БХМ-8 по радио.</w:t>
      </w:r>
    </w:p>
    <w:p w14:paraId="50944C57" w14:textId="77777777" w:rsidR="003F2394" w:rsidRPr="00C33834" w:rsidRDefault="003F2394" w:rsidP="00C33834">
      <w:pPr>
        <w:pStyle w:val="74"/>
        <w:shd w:val="clear" w:color="auto" w:fill="auto"/>
        <w:spacing w:line="240" w:lineRule="auto"/>
        <w:ind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Тем не менее, в этом проекте не удалось реализовать комплекс требований, предъяв</w:t>
      </w:r>
      <w:r w:rsidRPr="00C33834">
        <w:rPr>
          <w:rFonts w:ascii="Times New Roman" w:hAnsi="Times New Roman"/>
          <w:color w:val="000000" w:themeColor="text1"/>
          <w:sz w:val="16"/>
          <w:szCs w:val="16"/>
        </w:rPr>
        <w:softHyphen/>
        <w:t>ляемых к боевой химической машине. Мас</w:t>
      </w:r>
      <w:r w:rsidRPr="00C33834">
        <w:rPr>
          <w:rFonts w:ascii="Times New Roman" w:hAnsi="Times New Roman"/>
          <w:color w:val="000000" w:themeColor="text1"/>
          <w:sz w:val="16"/>
          <w:szCs w:val="16"/>
        </w:rPr>
        <w:softHyphen/>
        <w:t>са специального вещества была ограничена 650 кг. Из-за массогабаритных ограничений в БХМ-8 пришлось отказаться от бронирования, что обесценивало ее боевые возможности (12125).</w:t>
      </w:r>
    </w:p>
    <w:p w14:paraId="64418A28" w14:textId="77777777" w:rsidR="003F2394" w:rsidRPr="00C33834" w:rsidRDefault="003F2394" w:rsidP="00C33834">
      <w:pPr>
        <w:spacing w:after="0" w:line="240" w:lineRule="auto"/>
        <w:jc w:val="both"/>
        <w:rPr>
          <w:rStyle w:val="1c"/>
          <w:rFonts w:ascii="Times New Roman" w:hAnsi="Times New Roman"/>
          <w:i w:val="0"/>
          <w:color w:val="000000" w:themeColor="text1"/>
          <w:sz w:val="16"/>
          <w:szCs w:val="16"/>
        </w:rPr>
      </w:pPr>
    </w:p>
    <w:p w14:paraId="415E179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сентября 1933 на Т-35 устанавливали съемный дымовой прибор ТДП-3 (два баллона по 40 л) конструкции СКБ завода Промет с использованием спецжидкости S-IV, но с 1933 прибор прекратили производить и заменили ТДП-4 с двумя баллонами общей емкостью 150-180 л (9527,197).</w:t>
      </w:r>
    </w:p>
    <w:p w14:paraId="51BBEDB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319C95D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года в докладе директора завода имени Коминтерна на бюро горкома партии о состоянии дизелестроения на заводе сказано: «...за</w:t>
      </w:r>
      <w:r w:rsidRPr="00C33834">
        <w:rPr>
          <w:rFonts w:ascii="Times New Roman" w:hAnsi="Times New Roman"/>
          <w:color w:val="000000" w:themeColor="text1"/>
          <w:sz w:val="16"/>
          <w:szCs w:val="16"/>
        </w:rPr>
        <w:softHyphen/>
        <w:t>вод поставил перед собой задачу (и в настоящее время может считать ее Почти разрешенной) — сконструировать и построить мощный быстро</w:t>
      </w:r>
      <w:r w:rsidRPr="00C33834">
        <w:rPr>
          <w:rFonts w:ascii="Times New Roman" w:hAnsi="Times New Roman"/>
          <w:color w:val="000000" w:themeColor="text1"/>
          <w:sz w:val="16"/>
          <w:szCs w:val="16"/>
        </w:rPr>
        <w:softHyphen/>
        <w:t>ходный дизель-мотор, имеющий колоссальное значение». С 1932 года Конструкторы-дизелисты завода полностью сосредоточили свои усилия На создании танкового дизеля. Дизели другого назначения, находящиеся в разработке и в производстве завода, были переданы на другие предпри</w:t>
      </w:r>
      <w:r w:rsidRPr="00C33834">
        <w:rPr>
          <w:rFonts w:ascii="Times New Roman" w:hAnsi="Times New Roman"/>
          <w:color w:val="000000" w:themeColor="text1"/>
          <w:sz w:val="16"/>
          <w:szCs w:val="16"/>
        </w:rPr>
        <w:softHyphen/>
        <w:t>ятия отрасли дизелестроения (11504).</w:t>
      </w:r>
    </w:p>
    <w:p w14:paraId="5F2C868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32092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года закончились стендовые испытания первого опытного дизель-мотора ХПЗ БД-1, которые начались в мае. К 1 мая 1933 года быстроходный дизель БД-1 был собран. Помня свой богатый опыт неудач, начиная с Д-40, Челпан и Вихман приготовились к тому, что, во-первых, он сразу же не запустится, а во-вторых, долго не проработает. А проработать на испытаниях согласно техническому зада</w:t>
      </w:r>
      <w:r w:rsidRPr="00C33834">
        <w:rPr>
          <w:rFonts w:ascii="Times New Roman" w:hAnsi="Times New Roman"/>
          <w:color w:val="000000" w:themeColor="text1"/>
          <w:sz w:val="16"/>
          <w:szCs w:val="16"/>
        </w:rPr>
        <w:softHyphen/>
        <w:t>нию на дизель Д-300 мотор должен был целых 150 часов. Неожиданно мотор сразу запустился и начал работать, словно это на</w:t>
      </w:r>
      <w:r w:rsidRPr="00C33834">
        <w:rPr>
          <w:rFonts w:ascii="Times New Roman" w:hAnsi="Times New Roman"/>
          <w:color w:val="000000" w:themeColor="text1"/>
          <w:sz w:val="16"/>
          <w:szCs w:val="16"/>
        </w:rPr>
        <w:softHyphen/>
        <w:t>дежный серийный двигатель. был поставлен на специальный обкаточ</w:t>
      </w:r>
      <w:r w:rsidRPr="00C33834">
        <w:rPr>
          <w:rFonts w:ascii="Times New Roman" w:hAnsi="Times New Roman"/>
          <w:color w:val="000000" w:themeColor="text1"/>
          <w:sz w:val="16"/>
          <w:szCs w:val="16"/>
        </w:rPr>
        <w:softHyphen/>
        <w:t>ный стенд.</w:t>
      </w:r>
    </w:p>
    <w:p w14:paraId="7C96707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Дизель БД-1 был установлен на специальный обкаточный стенд. После того, как его запустили, около него остался дежурный механик ис</w:t>
      </w:r>
      <w:r w:rsidRPr="00C33834">
        <w:rPr>
          <w:rFonts w:ascii="Times New Roman" w:hAnsi="Times New Roman"/>
          <w:color w:val="000000" w:themeColor="text1"/>
          <w:sz w:val="16"/>
          <w:szCs w:val="16"/>
        </w:rPr>
        <w:softHyphen/>
        <w:t>пытательной лаборатории дизельного отдела. Он стал прохаживаться под навесом, ни к чему не прикасаясь, лишь поглядывая на стрелки прибо</w:t>
      </w:r>
      <w:r w:rsidRPr="00C33834">
        <w:rPr>
          <w:rFonts w:ascii="Times New Roman" w:hAnsi="Times New Roman"/>
          <w:color w:val="000000" w:themeColor="text1"/>
          <w:sz w:val="16"/>
          <w:szCs w:val="16"/>
        </w:rPr>
        <w:softHyphen/>
        <w:t>ров, размещенных на длинной панели. Стрелки приборов дрожали, по</w:t>
      </w:r>
      <w:r w:rsidRPr="00C33834">
        <w:rPr>
          <w:rFonts w:ascii="Times New Roman" w:hAnsi="Times New Roman"/>
          <w:color w:val="000000" w:themeColor="text1"/>
          <w:sz w:val="16"/>
          <w:szCs w:val="16"/>
        </w:rPr>
        <w:softHyphen/>
        <w:t>казывая количество оборотов в минуту, мощность, развиваемую двигате</w:t>
      </w:r>
      <w:r w:rsidRPr="00C33834">
        <w:rPr>
          <w:rFonts w:ascii="Times New Roman" w:hAnsi="Times New Roman"/>
          <w:color w:val="000000" w:themeColor="text1"/>
          <w:sz w:val="16"/>
          <w:szCs w:val="16"/>
        </w:rPr>
        <w:softHyphen/>
        <w:t>лем, давление масла и т.д.</w:t>
      </w:r>
    </w:p>
    <w:p w14:paraId="326567C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БД-1 ревел под навесом на открытом воздухе. Из его выхлопных труб вылетали огненные языки, прорезая темноту навеса. В любом помеще</w:t>
      </w:r>
      <w:r w:rsidRPr="00C33834">
        <w:rPr>
          <w:rFonts w:ascii="Times New Roman" w:hAnsi="Times New Roman"/>
          <w:color w:val="000000" w:themeColor="text1"/>
          <w:sz w:val="16"/>
          <w:szCs w:val="16"/>
        </w:rPr>
        <w:softHyphen/>
        <w:t>нии от этих сгорающих отработанных газов задохнулись бы не только люди, но и сам мотор, тоже требующий кислорода...</w:t>
      </w:r>
    </w:p>
    <w:p w14:paraId="774A784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Дизель ревел, сотрясая бетонный фундамент под собой, сотрясая воз</w:t>
      </w:r>
      <w:r w:rsidRPr="00C33834">
        <w:rPr>
          <w:rFonts w:ascii="Times New Roman" w:hAnsi="Times New Roman"/>
          <w:color w:val="000000" w:themeColor="text1"/>
          <w:sz w:val="16"/>
          <w:szCs w:val="16"/>
        </w:rPr>
        <w:softHyphen/>
        <w:t>дух. Вот так — без перерыва, без единой остановки хотя бы на минуту — мотор должен был проработать 150 часов на государственных испытаниях, к которым должны были его подготовить конструкторы и инженеры отде</w:t>
      </w:r>
      <w:r w:rsidRPr="00C33834">
        <w:rPr>
          <w:rFonts w:ascii="Times New Roman" w:hAnsi="Times New Roman"/>
          <w:color w:val="000000" w:themeColor="text1"/>
          <w:sz w:val="16"/>
          <w:szCs w:val="16"/>
        </w:rPr>
        <w:softHyphen/>
        <w:t>ла. Танковый дизель, по существу, еще не был создан, не был доведен.</w:t>
      </w:r>
    </w:p>
    <w:p w14:paraId="7EF5573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Никто из создателей танкового дизеля не предполагал тогда, что для того, чтобы довести дизель до его непрерывной 150 часовой работы по</w:t>
      </w:r>
      <w:r w:rsidRPr="00C33834">
        <w:rPr>
          <w:rFonts w:ascii="Times New Roman" w:hAnsi="Times New Roman"/>
          <w:color w:val="000000" w:themeColor="text1"/>
          <w:sz w:val="16"/>
          <w:szCs w:val="16"/>
        </w:rPr>
        <w:softHyphen/>
        <w:t>требуется долгих 6,5 лет.</w:t>
      </w:r>
    </w:p>
    <w:p w14:paraId="251EE88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концу рабочего дня около дизеля собрались конструкторы и инже</w:t>
      </w:r>
      <w:r w:rsidRPr="00C33834">
        <w:rPr>
          <w:rFonts w:ascii="Times New Roman" w:hAnsi="Times New Roman"/>
          <w:color w:val="000000" w:themeColor="text1"/>
          <w:sz w:val="16"/>
          <w:szCs w:val="16"/>
        </w:rPr>
        <w:softHyphen/>
        <w:t>неры дизельного отдела. Пришел ярый поборник установки дизеля на танк военпред на ХПЗ М.Н.Федоров. Подошли и Челпан с Вихманом.</w:t>
      </w:r>
    </w:p>
    <w:p w14:paraId="2DCAD13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Константин Федорович стоял у ярко освещенной панели, где по при-</w:t>
      </w:r>
    </w:p>
    <w:p w14:paraId="58C90CD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борам можно было увидеть, как работает БД-1, но сейчас, сдержанно улы</w:t>
      </w:r>
      <w:r w:rsidRPr="00C33834">
        <w:rPr>
          <w:rFonts w:ascii="Times New Roman" w:hAnsi="Times New Roman"/>
          <w:color w:val="000000" w:themeColor="text1"/>
          <w:sz w:val="16"/>
          <w:szCs w:val="16"/>
        </w:rPr>
        <w:softHyphen/>
        <w:t>баясь, смотрел не на приборы, а на молодых конструкторов, которые сто</w:t>
      </w:r>
      <w:r w:rsidRPr="00C33834">
        <w:rPr>
          <w:rFonts w:ascii="Times New Roman" w:hAnsi="Times New Roman"/>
          <w:color w:val="000000" w:themeColor="text1"/>
          <w:sz w:val="16"/>
          <w:szCs w:val="16"/>
        </w:rPr>
        <w:softHyphen/>
        <w:t>яли в ожидании команды, чтобы отметить двойное событие: начало за</w:t>
      </w:r>
      <w:r w:rsidRPr="00C33834">
        <w:rPr>
          <w:rFonts w:ascii="Times New Roman" w:hAnsi="Times New Roman"/>
          <w:color w:val="000000" w:themeColor="text1"/>
          <w:sz w:val="16"/>
          <w:szCs w:val="16"/>
        </w:rPr>
        <w:softHyphen/>
        <w:t>рождения танкового дизеля и наступающий праздник 1 Мая 1933 года. Вихман прокричал на ухо дежурному механику:</w:t>
      </w:r>
    </w:p>
    <w:p w14:paraId="33FE502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Сбросьте газ до малого!</w:t>
      </w:r>
    </w:p>
    <w:p w14:paraId="3E54A20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полагаясь на свой голос, Вихман еще и жестами скомандовал, что</w:t>
      </w:r>
      <w:r w:rsidRPr="00C33834">
        <w:rPr>
          <w:rFonts w:ascii="Times New Roman" w:hAnsi="Times New Roman"/>
          <w:color w:val="000000" w:themeColor="text1"/>
          <w:sz w:val="16"/>
          <w:szCs w:val="16"/>
        </w:rPr>
        <w:softHyphen/>
        <w:t>бы мотор гудел потише.</w:t>
      </w:r>
    </w:p>
    <w:p w14:paraId="4FD9E96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Снизьте обороты! — прокричал на этот раз Челпан.</w:t>
      </w:r>
    </w:p>
    <w:p w14:paraId="75DBC09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Он жестами изобразил, что представляет слово главному конструкто</w:t>
      </w:r>
      <w:r w:rsidRPr="00C33834">
        <w:rPr>
          <w:rFonts w:ascii="Times New Roman" w:hAnsi="Times New Roman"/>
          <w:color w:val="000000" w:themeColor="text1"/>
          <w:sz w:val="16"/>
          <w:szCs w:val="16"/>
        </w:rPr>
        <w:softHyphen/>
        <w:t>ру. И опять не обошлось без назидательной, но весьма разумной фило</w:t>
      </w:r>
      <w:r w:rsidRPr="00C33834">
        <w:rPr>
          <w:rFonts w:ascii="Times New Roman" w:hAnsi="Times New Roman"/>
          <w:color w:val="000000" w:themeColor="text1"/>
          <w:sz w:val="16"/>
          <w:szCs w:val="16"/>
        </w:rPr>
        <w:softHyphen/>
        <w:t>софской лекции Якова Вихмана.</w:t>
      </w:r>
    </w:p>
    <w:p w14:paraId="0A799A6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Друзья мои, — начал он с пафосом, — посмотрите на это свое желез</w:t>
      </w:r>
      <w:r w:rsidRPr="00C33834">
        <w:rPr>
          <w:rFonts w:ascii="Times New Roman" w:hAnsi="Times New Roman"/>
          <w:color w:val="000000" w:themeColor="text1"/>
          <w:sz w:val="16"/>
          <w:szCs w:val="16"/>
        </w:rPr>
        <w:softHyphen/>
        <w:t>ное творение, в котором скрыта силища в целый табун из четырехсот ло</w:t>
      </w:r>
      <w:r w:rsidRPr="00C33834">
        <w:rPr>
          <w:rFonts w:ascii="Times New Roman" w:hAnsi="Times New Roman"/>
          <w:color w:val="000000" w:themeColor="text1"/>
          <w:sz w:val="16"/>
          <w:szCs w:val="16"/>
        </w:rPr>
        <w:softHyphen/>
        <w:t>шадей. А теперь послушайте, что могут нам преподнести эти строптивые «лошадки», дабы испортить нам спокойную кабинетную жизнь.</w:t>
      </w:r>
    </w:p>
    <w:p w14:paraId="7625715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Альтернативы, возникающие при исследовании опытного образца, — продолжал Вихман, — примерно таковы:</w:t>
      </w:r>
    </w:p>
    <w:p w14:paraId="157A874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Первое. Известны причины и источник неблагополучия, а также изве</w:t>
      </w:r>
      <w:r w:rsidRPr="00C33834">
        <w:rPr>
          <w:rFonts w:ascii="Times New Roman" w:hAnsi="Times New Roman"/>
          <w:color w:val="000000" w:themeColor="text1"/>
          <w:sz w:val="16"/>
          <w:szCs w:val="16"/>
        </w:rPr>
        <w:softHyphen/>
        <w:t>стно, что необходимо предпринять для устранения неблагоприятных про</w:t>
      </w:r>
      <w:r w:rsidRPr="00C33834">
        <w:rPr>
          <w:rFonts w:ascii="Times New Roman" w:hAnsi="Times New Roman"/>
          <w:color w:val="000000" w:themeColor="text1"/>
          <w:sz w:val="16"/>
          <w:szCs w:val="16"/>
        </w:rPr>
        <w:softHyphen/>
        <w:t>явлений.</w:t>
      </w:r>
    </w:p>
    <w:p w14:paraId="18A472C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Второе. Известны причины и источник неудовлетворительной рабо</w:t>
      </w:r>
      <w:r w:rsidRPr="00C33834">
        <w:rPr>
          <w:rFonts w:ascii="Times New Roman" w:hAnsi="Times New Roman"/>
          <w:color w:val="000000" w:themeColor="text1"/>
          <w:sz w:val="16"/>
          <w:szCs w:val="16"/>
        </w:rPr>
        <w:softHyphen/>
        <w:t>ты опытного образца БД-1, но неизвестно, что именно следует предпри</w:t>
      </w:r>
      <w:r w:rsidRPr="00C33834">
        <w:rPr>
          <w:rFonts w:ascii="Times New Roman" w:hAnsi="Times New Roman"/>
          <w:color w:val="000000" w:themeColor="text1"/>
          <w:sz w:val="16"/>
          <w:szCs w:val="16"/>
        </w:rPr>
        <w:softHyphen/>
        <w:t>нять для устранения дефектов. Не видно приемлемых решений, по край</w:t>
      </w:r>
      <w:r w:rsidRPr="00C33834">
        <w:rPr>
          <w:rFonts w:ascii="Times New Roman" w:hAnsi="Times New Roman"/>
          <w:color w:val="000000" w:themeColor="text1"/>
          <w:sz w:val="16"/>
          <w:szCs w:val="16"/>
        </w:rPr>
        <w:softHyphen/>
        <w:t>ней мере, таких, которые не требуют коренной реконструкции опытного образца двигателя.</w:t>
      </w:r>
    </w:p>
    <w:p w14:paraId="77D3264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Третье. Неизвестны причины и источник помех, однако известно, что следует предпринять для устранения неблагоприятных проявлений. И наконец, четвертое. Неизвестны ни причины, ни источник неудовлетво</w:t>
      </w:r>
      <w:r w:rsidRPr="00C33834">
        <w:rPr>
          <w:rFonts w:ascii="Times New Roman" w:hAnsi="Times New Roman"/>
          <w:color w:val="000000" w:themeColor="text1"/>
          <w:sz w:val="16"/>
          <w:szCs w:val="16"/>
        </w:rPr>
        <w:softHyphen/>
        <w:t>рительного функционирования образца, ни средства, которые могут ис</w:t>
      </w:r>
      <w:r w:rsidRPr="00C33834">
        <w:rPr>
          <w:rFonts w:ascii="Times New Roman" w:hAnsi="Times New Roman"/>
          <w:color w:val="000000" w:themeColor="text1"/>
          <w:sz w:val="16"/>
          <w:szCs w:val="16"/>
        </w:rPr>
        <w:softHyphen/>
        <w:t>править положение.</w:t>
      </w:r>
    </w:p>
    <w:p w14:paraId="7A70A5F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Вихман обвел всех внимательным взглядом и с не меньшим пафосом закончил свои рассуждения словами:</w:t>
      </w:r>
    </w:p>
    <w:p w14:paraId="4E9CFBA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 общем, друзья мои, я уже вам говорил, что мы идем по пути проб и ошибок — самому горькому пути, так что не ждите легкой жизни.</w:t>
      </w:r>
    </w:p>
    <w:p w14:paraId="776E412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Яков Ефимович окажется пророком, изо дня в день почти полных 80 месяцев будут заниматься танковым дизелем конструкторы и инженеры ХПЗ, пока его 19 декабря 1939 года не примет государственная комиссия к серийному производству.</w:t>
      </w:r>
    </w:p>
    <w:p w14:paraId="5BC6640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пока БД-1 гудел. К мотору подошел военпред Федоров, постоял, на</w:t>
      </w:r>
      <w:r w:rsidRPr="00C33834">
        <w:rPr>
          <w:rFonts w:ascii="Times New Roman" w:hAnsi="Times New Roman"/>
          <w:color w:val="000000" w:themeColor="text1"/>
          <w:sz w:val="16"/>
          <w:szCs w:val="16"/>
        </w:rPr>
        <w:softHyphen/>
        <w:t>клонился к Челпану и что-то прокричал. Вихман, смеясь подставил ухо.</w:t>
      </w:r>
    </w:p>
    <w:p w14:paraId="64F98D0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Когда же он сломается? — весело крикнул Федоров.</w:t>
      </w:r>
    </w:p>
    <w:p w14:paraId="54A54AB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Сломается, не беспокойтесь! — так же весело заорал в ответ Вихман.</w:t>
      </w:r>
    </w:p>
    <w:p w14:paraId="64305F9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Он уже не был новичком в своем деле, твердо знал, что поломки обяза</w:t>
      </w:r>
      <w:r w:rsidRPr="00C33834">
        <w:rPr>
          <w:rFonts w:ascii="Times New Roman" w:hAnsi="Times New Roman"/>
          <w:color w:val="000000" w:themeColor="text1"/>
          <w:sz w:val="16"/>
          <w:szCs w:val="16"/>
        </w:rPr>
        <w:softHyphen/>
        <w:t>тельно будут, и запасся терпением, упорством, по его выражению, «ульт</w:t>
      </w:r>
      <w:r w:rsidRPr="00C33834">
        <w:rPr>
          <w:rFonts w:ascii="Times New Roman" w:hAnsi="Times New Roman"/>
          <w:color w:val="000000" w:themeColor="text1"/>
          <w:sz w:val="16"/>
          <w:szCs w:val="16"/>
        </w:rPr>
        <w:softHyphen/>
        <w:t>раупорством» чтобы «доводить и доводить» мотор.</w:t>
      </w:r>
    </w:p>
    <w:p w14:paraId="2ED1040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Оставайтесь с нами до утра! — прокричал Челпан Федорову. — Тог</w:t>
      </w:r>
      <w:r w:rsidRPr="00C33834">
        <w:rPr>
          <w:rFonts w:ascii="Times New Roman" w:hAnsi="Times New Roman"/>
          <w:color w:val="000000" w:themeColor="text1"/>
          <w:sz w:val="16"/>
          <w:szCs w:val="16"/>
        </w:rPr>
        <w:softHyphen/>
        <w:t>да, может быть, дождетесь...</w:t>
      </w:r>
    </w:p>
    <w:p w14:paraId="2394029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Федоров отрицательно повел головой.</w:t>
      </w:r>
    </w:p>
    <w:p w14:paraId="00334AD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Он так и не дождался поломки. Еще некоторое время он пробыл у мотора, потом попрощался со всеми и уехал.</w:t>
      </w:r>
    </w:p>
    <w:p w14:paraId="4ACB15F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действительно сломался к утру, беспрерывно проработав мень</w:t>
      </w:r>
      <w:r w:rsidRPr="00C33834">
        <w:rPr>
          <w:rFonts w:ascii="Times New Roman" w:hAnsi="Times New Roman"/>
          <w:color w:val="000000" w:themeColor="text1"/>
          <w:sz w:val="16"/>
          <w:szCs w:val="16"/>
        </w:rPr>
        <w:softHyphen/>
        <w:t>ше суток. Это было 1 мая 1933 года (11504).</w:t>
      </w:r>
    </w:p>
    <w:p w14:paraId="6C1661D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B598A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года представитель УММ докладывал в наркомат обороны о ходе их выпуска следующее: «БАД (плавающий) из 25 будет вероятно сдано не более 15». Но из-за большой загрузки другой продукцией Ижорский завод не смог изготовить эти машины. БАД-2 так и остался в единственном экземпляре. Следует добавить, что 1 мая 1933 года БАД-2 вместе с БАД-1 показали во время военного парада на площади Урицкого (ныне Дворцовая) в Ленинграде, после чего на гла</w:t>
      </w:r>
      <w:r w:rsidRPr="00C33834">
        <w:rPr>
          <w:rFonts w:ascii="Times New Roman" w:hAnsi="Times New Roman"/>
          <w:color w:val="000000" w:themeColor="text1"/>
          <w:sz w:val="16"/>
          <w:szCs w:val="16"/>
        </w:rPr>
        <w:softHyphen/>
        <w:t>зах советских и иностранных военных броневик переплыл Неву. Дальнейшая судьба машины неизвестна, но, по неко</w:t>
      </w:r>
      <w:r w:rsidRPr="00C33834">
        <w:rPr>
          <w:rFonts w:ascii="Times New Roman" w:hAnsi="Times New Roman"/>
          <w:color w:val="000000" w:themeColor="text1"/>
          <w:sz w:val="16"/>
          <w:szCs w:val="16"/>
        </w:rPr>
        <w:softHyphen/>
        <w:t>торым данным, осенью того же года она была разобрана (11284).</w:t>
      </w:r>
    </w:p>
    <w:p w14:paraId="1EAD32A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7C11A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года Ижорский завод изготовил три об</w:t>
      </w:r>
      <w:r w:rsidRPr="00C33834">
        <w:rPr>
          <w:rFonts w:ascii="Times New Roman" w:hAnsi="Times New Roman"/>
          <w:color w:val="000000" w:themeColor="text1"/>
          <w:sz w:val="16"/>
          <w:szCs w:val="16"/>
        </w:rPr>
        <w:softHyphen/>
        <w:t>разца ПБ-4, которые в октябре прошли испытания пробе</w:t>
      </w:r>
      <w:r w:rsidRPr="00C33834">
        <w:rPr>
          <w:rFonts w:ascii="Times New Roman" w:hAnsi="Times New Roman"/>
          <w:color w:val="000000" w:themeColor="text1"/>
          <w:sz w:val="16"/>
          <w:szCs w:val="16"/>
        </w:rPr>
        <w:softHyphen/>
        <w:t>гом и на плаву.</w:t>
      </w:r>
    </w:p>
    <w:p w14:paraId="33BEBC6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Получив задание на производство БАД-2, работники Ижорского завода столкнулись с проблемой изготовления бронекорпуса машины, который имел очень сложную фор</w:t>
      </w:r>
      <w:r w:rsidRPr="00C33834">
        <w:rPr>
          <w:rFonts w:ascii="Times New Roman" w:hAnsi="Times New Roman"/>
          <w:color w:val="000000" w:themeColor="text1"/>
          <w:sz w:val="16"/>
          <w:szCs w:val="16"/>
        </w:rPr>
        <w:softHyphen/>
        <w:t>му. Поэтому инженер-конструктор Эммануилов и замести</w:t>
      </w:r>
      <w:r w:rsidRPr="00C33834">
        <w:rPr>
          <w:rFonts w:ascii="Times New Roman" w:hAnsi="Times New Roman"/>
          <w:color w:val="000000" w:themeColor="text1"/>
          <w:sz w:val="16"/>
          <w:szCs w:val="16"/>
        </w:rPr>
        <w:softHyphen/>
        <w:t>тель начальника КБС Григорьев при активном участии на</w:t>
      </w:r>
      <w:r w:rsidRPr="00C33834">
        <w:rPr>
          <w:rFonts w:ascii="Times New Roman" w:hAnsi="Times New Roman"/>
          <w:color w:val="000000" w:themeColor="text1"/>
          <w:sz w:val="16"/>
          <w:szCs w:val="16"/>
        </w:rPr>
        <w:softHyphen/>
        <w:t>чальника КБС Померанцева спроектировали новую боевую плавающую машину, получившую обозначение ПБ-4.</w:t>
      </w:r>
    </w:p>
    <w:p w14:paraId="374E182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Впервые в нашей стране корпус бронеавтомобиля был безрамным и несущим. По конфигурации он почти не от</w:t>
      </w:r>
      <w:r w:rsidRPr="00C33834">
        <w:rPr>
          <w:rFonts w:ascii="Times New Roman" w:hAnsi="Times New Roman"/>
          <w:color w:val="000000" w:themeColor="text1"/>
          <w:sz w:val="16"/>
          <w:szCs w:val="16"/>
        </w:rPr>
        <w:softHyphen/>
        <w:t>личался от корпуса БА-3, за исключением изменения кон</w:t>
      </w:r>
      <w:r w:rsidRPr="00C33834">
        <w:rPr>
          <w:rFonts w:ascii="Times New Roman" w:hAnsi="Times New Roman"/>
          <w:color w:val="000000" w:themeColor="text1"/>
          <w:sz w:val="16"/>
          <w:szCs w:val="16"/>
        </w:rPr>
        <w:softHyphen/>
        <w:t>струкции кормы. Передний и задние мосты монтировались снаружи и приваривались к специальным кронштейнам, карданный вал выводился наружу через специальный саль</w:t>
      </w:r>
      <w:r w:rsidRPr="00C33834">
        <w:rPr>
          <w:rFonts w:ascii="Times New Roman" w:hAnsi="Times New Roman"/>
          <w:color w:val="000000" w:themeColor="text1"/>
          <w:sz w:val="16"/>
          <w:szCs w:val="16"/>
        </w:rPr>
        <w:softHyphen/>
        <w:t>ник в редане днища корпуса.</w:t>
      </w:r>
    </w:p>
    <w:p w14:paraId="4A006E9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Башня цилиндрической формы, аналогичная по конст</w:t>
      </w:r>
      <w:r w:rsidRPr="00C33834">
        <w:rPr>
          <w:rFonts w:ascii="Times New Roman" w:hAnsi="Times New Roman"/>
          <w:color w:val="000000" w:themeColor="text1"/>
          <w:sz w:val="16"/>
          <w:szCs w:val="16"/>
        </w:rPr>
        <w:softHyphen/>
        <w:t>рукции БА-3, но без кормовой ниши, располагалась в задней части машины. Для посадки экипажа из 4 человек, раз</w:t>
      </w:r>
      <w:r w:rsidRPr="00C33834">
        <w:rPr>
          <w:rFonts w:ascii="Times New Roman" w:hAnsi="Times New Roman"/>
          <w:color w:val="000000" w:themeColor="text1"/>
          <w:sz w:val="16"/>
          <w:szCs w:val="16"/>
        </w:rPr>
        <w:softHyphen/>
        <w:t>мещавшихся так же, как на БА-3, служили два люка в кры</w:t>
      </w:r>
      <w:r w:rsidRPr="00C33834">
        <w:rPr>
          <w:rFonts w:ascii="Times New Roman" w:hAnsi="Times New Roman"/>
          <w:color w:val="000000" w:themeColor="text1"/>
          <w:sz w:val="16"/>
          <w:szCs w:val="16"/>
        </w:rPr>
        <w:softHyphen/>
        <w:t>ше над отделением управления и два в башне. Доступ к дви</w:t>
      </w:r>
      <w:r w:rsidRPr="00C33834">
        <w:rPr>
          <w:rFonts w:ascii="Times New Roman" w:hAnsi="Times New Roman"/>
          <w:color w:val="000000" w:themeColor="text1"/>
          <w:sz w:val="16"/>
          <w:szCs w:val="16"/>
        </w:rPr>
        <w:softHyphen/>
        <w:t>гателю осуществлялся через откидывающуюся вперед кры</w:t>
      </w:r>
      <w:r w:rsidRPr="00C33834">
        <w:rPr>
          <w:rFonts w:ascii="Times New Roman" w:hAnsi="Times New Roman"/>
          <w:color w:val="000000" w:themeColor="text1"/>
          <w:sz w:val="16"/>
          <w:szCs w:val="16"/>
        </w:rPr>
        <w:softHyphen/>
        <w:t>шу моторного отделения, запираемую 10 хомутиками. Кроме того, в днище корпуса имелись 4 пробки для стока попавшей внутрь воды и 2 лючка для слива масла из карте</w:t>
      </w:r>
      <w:r w:rsidRPr="00C33834">
        <w:rPr>
          <w:rFonts w:ascii="Times New Roman" w:hAnsi="Times New Roman"/>
          <w:color w:val="000000" w:themeColor="text1"/>
          <w:sz w:val="16"/>
          <w:szCs w:val="16"/>
        </w:rPr>
        <w:softHyphen/>
        <w:t>ров двигателя и демультипликатора.</w:t>
      </w:r>
    </w:p>
    <w:p w14:paraId="0DA0B24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Наблюдение за дорогой водитель вел через лючок со смотровой щелью в лобовом листе корпуса и две смотровые щели в бортах. В башне наблюдение велось через смотро</w:t>
      </w:r>
      <w:r w:rsidRPr="00C33834">
        <w:rPr>
          <w:rFonts w:ascii="Times New Roman" w:hAnsi="Times New Roman"/>
          <w:color w:val="000000" w:themeColor="text1"/>
          <w:sz w:val="16"/>
          <w:szCs w:val="16"/>
        </w:rPr>
        <w:softHyphen/>
        <w:t>вые приборы «Триплекс» в правом и левом бортах.</w:t>
      </w:r>
    </w:p>
    <w:p w14:paraId="68E4834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 броневика состояло из 45-мм танковой пушки 20К и спаренного пулемета ДТ в башне и еще одно</w:t>
      </w:r>
      <w:r w:rsidRPr="00C33834">
        <w:rPr>
          <w:rFonts w:ascii="Times New Roman" w:hAnsi="Times New Roman"/>
          <w:color w:val="000000" w:themeColor="text1"/>
          <w:sz w:val="16"/>
          <w:szCs w:val="16"/>
        </w:rPr>
        <w:softHyphen/>
        <w:t>го ДТ в лобовом листе корпуса. Следует отметить, что из-за отсутствия ниши башня получилась неуравновешенной, поэтому ее поворот на 360 или 180 градусов требовал боль</w:t>
      </w:r>
      <w:r w:rsidRPr="00C33834">
        <w:rPr>
          <w:rFonts w:ascii="Times New Roman" w:hAnsi="Times New Roman"/>
          <w:color w:val="000000" w:themeColor="text1"/>
          <w:sz w:val="16"/>
          <w:szCs w:val="16"/>
        </w:rPr>
        <w:softHyphen/>
        <w:t>шого усилия на маховиках, а при крене 10—11 градусов в сторону приходилось их вращать обеими руками.</w:t>
      </w:r>
    </w:p>
    <w:p w14:paraId="218CC55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Боекомплект к пушке состоял из 52 снарядов, к пулеме</w:t>
      </w:r>
      <w:r w:rsidRPr="00C33834">
        <w:rPr>
          <w:rFonts w:ascii="Times New Roman" w:hAnsi="Times New Roman"/>
          <w:color w:val="000000" w:themeColor="text1"/>
          <w:sz w:val="16"/>
          <w:szCs w:val="16"/>
        </w:rPr>
        <w:softHyphen/>
        <w:t>там 2268 патронов (36 дисков). Снаряды укладывались по бокам башни (12 штук), справа и слева в корме корпуса (две укладки по 20 штук), пулеметные диски располагались в башне и по бортам боевого отделения.</w:t>
      </w:r>
    </w:p>
    <w:p w14:paraId="307C255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ПБ-4 оснащался 40-сильным двигателем ГАЗ-АА, стандартной «газовской» коробкой перемены передач и де</w:t>
      </w:r>
      <w:r w:rsidRPr="00C33834">
        <w:rPr>
          <w:rFonts w:ascii="Times New Roman" w:hAnsi="Times New Roman"/>
          <w:color w:val="000000" w:themeColor="text1"/>
          <w:sz w:val="16"/>
          <w:szCs w:val="16"/>
        </w:rPr>
        <w:softHyphen/>
        <w:t>мультипликатором. Движение на плаву осуществлялось при помощи трехлопастного гребного винта, установлен</w:t>
      </w:r>
      <w:r w:rsidRPr="00C33834">
        <w:rPr>
          <w:rFonts w:ascii="Times New Roman" w:hAnsi="Times New Roman"/>
          <w:color w:val="000000" w:themeColor="text1"/>
          <w:sz w:val="16"/>
          <w:szCs w:val="16"/>
        </w:rPr>
        <w:softHyphen/>
        <w:t>ного на удлиненном червяке дифференциала заднего мос</w:t>
      </w:r>
      <w:r w:rsidRPr="00C33834">
        <w:rPr>
          <w:rFonts w:ascii="Times New Roman" w:hAnsi="Times New Roman"/>
          <w:color w:val="000000" w:themeColor="text1"/>
          <w:sz w:val="16"/>
          <w:szCs w:val="16"/>
        </w:rPr>
        <w:softHyphen/>
        <w:t>та. Как и на БАД-2, винт ПБ-4 был включен постоянно, да</w:t>
      </w:r>
      <w:r w:rsidRPr="00C33834">
        <w:rPr>
          <w:rFonts w:ascii="Times New Roman" w:hAnsi="Times New Roman"/>
          <w:color w:val="000000" w:themeColor="text1"/>
          <w:sz w:val="16"/>
          <w:szCs w:val="16"/>
        </w:rPr>
        <w:softHyphen/>
        <w:t>же на суше. Соответственно в воде вращались колеса зад</w:t>
      </w:r>
      <w:r w:rsidRPr="00C33834">
        <w:rPr>
          <w:rFonts w:ascii="Times New Roman" w:hAnsi="Times New Roman"/>
          <w:color w:val="000000" w:themeColor="text1"/>
          <w:sz w:val="16"/>
          <w:szCs w:val="16"/>
        </w:rPr>
        <w:softHyphen/>
        <w:t>них мостов.</w:t>
      </w:r>
    </w:p>
    <w:p w14:paraId="25B1B9C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увеличения водоизмещения по бортам броневика устанавливались деревянные поплавки (а не пробковые, как указывалось в ряде источников), обитые 1 мм железом.</w:t>
      </w:r>
    </w:p>
    <w:p w14:paraId="2E2FBC3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Бронеавтомобиль комплектовался четырьмя спасательны</w:t>
      </w:r>
      <w:r w:rsidRPr="00C33834">
        <w:rPr>
          <w:rFonts w:ascii="Times New Roman" w:hAnsi="Times New Roman"/>
          <w:color w:val="000000" w:themeColor="text1"/>
          <w:sz w:val="16"/>
          <w:szCs w:val="16"/>
        </w:rPr>
        <w:softHyphen/>
        <w:t>ми пробковыми жилетами, уложенными между снарядны</w:t>
      </w:r>
      <w:r w:rsidRPr="00C33834">
        <w:rPr>
          <w:rFonts w:ascii="Times New Roman" w:hAnsi="Times New Roman"/>
          <w:color w:val="000000" w:themeColor="text1"/>
          <w:sz w:val="16"/>
          <w:szCs w:val="16"/>
        </w:rPr>
        <w:softHyphen/>
        <w:t>ми стеллажами в корме корпуса. Для откачки попавшей внутрь воды справа от водителя крепилась ручная помпа «Альвейер» производительностью 20 литров в минуту.</w:t>
      </w:r>
    </w:p>
    <w:p w14:paraId="7855408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Как и все средние советские броневики, ПБ-4 имел вращающиеся запасные колеса и вездеходные цепи «Ове-ролл», уложенные на корме машины. Боевая масса броне</w:t>
      </w:r>
      <w:r w:rsidRPr="00C33834">
        <w:rPr>
          <w:rFonts w:ascii="Times New Roman" w:hAnsi="Times New Roman"/>
          <w:color w:val="000000" w:themeColor="text1"/>
          <w:sz w:val="16"/>
          <w:szCs w:val="16"/>
        </w:rPr>
        <w:softHyphen/>
        <w:t>автомобиля составляла 5285 кг.Несмотря на удовлетворительные результа</w:t>
      </w:r>
      <w:r w:rsidRPr="00C33834">
        <w:rPr>
          <w:rFonts w:ascii="Times New Roman" w:hAnsi="Times New Roman"/>
          <w:color w:val="000000" w:themeColor="text1"/>
          <w:sz w:val="16"/>
          <w:szCs w:val="16"/>
        </w:rPr>
        <w:softHyphen/>
        <w:t>ты, у них выявили большое количество недостатков и недо</w:t>
      </w:r>
      <w:r w:rsidRPr="00C33834">
        <w:rPr>
          <w:rFonts w:ascii="Times New Roman" w:hAnsi="Times New Roman"/>
          <w:color w:val="000000" w:themeColor="text1"/>
          <w:sz w:val="16"/>
          <w:szCs w:val="16"/>
        </w:rPr>
        <w:softHyphen/>
        <w:t xml:space="preserve">работок, в частности </w:t>
      </w:r>
      <w:r w:rsidRPr="00C33834">
        <w:rPr>
          <w:rFonts w:ascii="Times New Roman" w:hAnsi="Times New Roman"/>
          <w:color w:val="000000" w:themeColor="text1"/>
          <w:sz w:val="16"/>
          <w:szCs w:val="16"/>
        </w:rPr>
        <w:lastRenderedPageBreak/>
        <w:t>большое количество трещин в местах сварных швов бронекорпусов. Из-за этого представитель военной приемки на заводе принял броневики только ус</w:t>
      </w:r>
      <w:r w:rsidRPr="00C33834">
        <w:rPr>
          <w:rFonts w:ascii="Times New Roman" w:hAnsi="Times New Roman"/>
          <w:color w:val="000000" w:themeColor="text1"/>
          <w:sz w:val="16"/>
          <w:szCs w:val="16"/>
        </w:rPr>
        <w:softHyphen/>
        <w:t>ловно, а заказчик - УММ РККА - не оплатило их (11284).</w:t>
      </w:r>
    </w:p>
    <w:p w14:paraId="799A83F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C588A7" w14:textId="77777777" w:rsidR="00CE69D7" w:rsidRPr="00C33834" w:rsidRDefault="00CE69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года последний 15-й серийный образец Д-2, изготовленный на заводе Можерез, окончательноп передали заказчику. Таким образом, в 1932 -1934 годах в Москве и Брянске изготовили 30 серийных мотоброневагонов Д-2 Дыренкова (15624).</w:t>
      </w:r>
    </w:p>
    <w:p w14:paraId="30183421" w14:textId="77777777" w:rsidR="00CE69D7" w:rsidRPr="00C33834" w:rsidRDefault="00CE69D7" w:rsidP="00C33834">
      <w:pPr>
        <w:spacing w:after="0" w:line="240" w:lineRule="auto"/>
        <w:jc w:val="both"/>
        <w:rPr>
          <w:rFonts w:ascii="Times New Roman" w:hAnsi="Times New Roman"/>
          <w:color w:val="000000" w:themeColor="text1"/>
          <w:sz w:val="16"/>
          <w:szCs w:val="16"/>
        </w:rPr>
      </w:pPr>
    </w:p>
    <w:p w14:paraId="2B94981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 к выполнению задачи разработки конструк ции однократного ленточного аппарата со скоростью передачи 360-400 слов в минуту на заводе им. Кулакова приступила группа спе циалистов в количестве десяти человек под руководством инженера Е.Р. Мило видова. К сентябрю 1934 г. был создан аппарат НОТА-34, изготовлены проект ные чертежи и семь комплектов образцов изделий. Однако выпуск первой се рийной партии в сто аппаратов в 1935 г. был сорван. Сказалась слабая освоен ность технологического процесса, нехватка квалифицированных кадров, а также невыполнение заводами-поставщиками обязательств по поставке материалов к этому аппарату, который оказался исключительно требовательным к качеству материалов (ЦГА СПб., ф. 2086, оп. 11, д. 1, л. 87.). На 1936 г. завод получил заказ на изготовление девяноста аппара тов НОТА-34 (ЦГА СПб., ф. 2086, оп. 11, д. 1, л. 88) (11870).</w:t>
      </w:r>
    </w:p>
    <w:p w14:paraId="7E9AF2A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195CFEFD" w14:textId="77777777" w:rsidR="00BE6B55" w:rsidRPr="00C33834" w:rsidRDefault="00BE6B5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 к разработку конструк</w:t>
      </w:r>
      <w:r w:rsidRPr="00C33834">
        <w:rPr>
          <w:rFonts w:ascii="Times New Roman" w:hAnsi="Times New Roman"/>
          <w:color w:val="000000" w:themeColor="text1"/>
          <w:sz w:val="16"/>
          <w:szCs w:val="16"/>
        </w:rPr>
        <w:softHyphen/>
        <w:t>ции однократного ленточного аппарата со скоростью передачи 360-400 слов в минуту приступила группа спе</w:t>
      </w:r>
      <w:r w:rsidRPr="00C33834">
        <w:rPr>
          <w:rFonts w:ascii="Times New Roman" w:hAnsi="Times New Roman"/>
          <w:color w:val="000000" w:themeColor="text1"/>
          <w:sz w:val="16"/>
          <w:szCs w:val="16"/>
        </w:rPr>
        <w:softHyphen/>
        <w:t>циалистов в количестве десяти человек под руководством инженера Е.Р. Миловидова. К сентябрю 1934 г. был создан аппарат НОТА-34, изготовлены проект</w:t>
      </w:r>
      <w:r w:rsidRPr="00C33834">
        <w:rPr>
          <w:rFonts w:ascii="Times New Roman" w:hAnsi="Times New Roman"/>
          <w:color w:val="000000" w:themeColor="text1"/>
          <w:sz w:val="16"/>
          <w:szCs w:val="16"/>
        </w:rPr>
        <w:softHyphen/>
        <w:t>ные чертежи и семь комплектов образцов изделий. Однако выпуск первой се</w:t>
      </w:r>
      <w:r w:rsidRPr="00C33834">
        <w:rPr>
          <w:rFonts w:ascii="Times New Roman" w:hAnsi="Times New Roman"/>
          <w:color w:val="000000" w:themeColor="text1"/>
          <w:sz w:val="16"/>
          <w:szCs w:val="16"/>
        </w:rPr>
        <w:softHyphen/>
        <w:t>рийной партии в сто аппаратов в 1935 г. был сорван. Сказалась слабая освоен</w:t>
      </w:r>
      <w:r w:rsidRPr="00C33834">
        <w:rPr>
          <w:rFonts w:ascii="Times New Roman" w:hAnsi="Times New Roman"/>
          <w:color w:val="000000" w:themeColor="text1"/>
          <w:sz w:val="16"/>
          <w:szCs w:val="16"/>
        </w:rPr>
        <w:softHyphen/>
        <w:t>ность технологического процесса, нехватка квалифицированных кадров, а также невыполнение заводами-поставщиками обязательств по поставке материалов к этому аппарату, который оказался исключительно требовательным к качеству материалов. На 1936 г. завод Кулакова получил заказ на изготовление девяноста аппара</w:t>
      </w:r>
      <w:r w:rsidRPr="00C33834">
        <w:rPr>
          <w:rFonts w:ascii="Times New Roman" w:hAnsi="Times New Roman"/>
          <w:color w:val="000000" w:themeColor="text1"/>
          <w:sz w:val="16"/>
          <w:szCs w:val="16"/>
        </w:rPr>
        <w:softHyphen/>
        <w:t>тов НОТА-34 (19098).</w:t>
      </w:r>
    </w:p>
    <w:p w14:paraId="1FAEFA77" w14:textId="77777777" w:rsidR="00BE6B55" w:rsidRPr="00C33834" w:rsidRDefault="00BE6B55" w:rsidP="00C33834">
      <w:pPr>
        <w:spacing w:after="0" w:line="240" w:lineRule="auto"/>
        <w:jc w:val="both"/>
        <w:rPr>
          <w:rFonts w:ascii="Times New Roman" w:hAnsi="Times New Roman"/>
          <w:color w:val="000000" w:themeColor="text1"/>
          <w:sz w:val="16"/>
          <w:szCs w:val="16"/>
        </w:rPr>
      </w:pPr>
    </w:p>
    <w:p w14:paraId="16CB76CF" w14:textId="77777777" w:rsidR="00681A8C" w:rsidRPr="00C33834" w:rsidRDefault="00681A8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состоялся испытательный автопробег машин ЗИС-5 и ЗИС-6 по маршруту Москва – Харьков – Москва (17494).</w:t>
      </w:r>
    </w:p>
    <w:p w14:paraId="169992EE" w14:textId="77777777" w:rsidR="00681A8C" w:rsidRPr="00C33834" w:rsidRDefault="00681A8C" w:rsidP="00C33834">
      <w:pPr>
        <w:spacing w:after="0" w:line="240" w:lineRule="auto"/>
        <w:jc w:val="both"/>
        <w:rPr>
          <w:rFonts w:ascii="Times New Roman" w:eastAsia="Times New Roman" w:hAnsi="Times New Roman"/>
          <w:color w:val="000000" w:themeColor="text1"/>
          <w:sz w:val="16"/>
          <w:szCs w:val="16"/>
          <w:lang w:eastAsia="ru-RU"/>
        </w:rPr>
      </w:pPr>
    </w:p>
    <w:p w14:paraId="1CA682F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ГУ ПВО представило в НКВМД официальный доклад "Электромагнитные станции ВНОС" и в декабре работы были утверждены комиссией по вооружениям СТО (380,87).</w:t>
      </w:r>
    </w:p>
    <w:p w14:paraId="3AFBE52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6C93AAD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 — флотом была принята первая лодка V серии Лосось, а в сентябре 1934 - последняя. Таким образом, на создание всей серии бьшо затрачено около 30 мес. Значение этого для ВМС РККА трудно переоце</w:t>
      </w:r>
      <w:r w:rsidRPr="00C33834">
        <w:rPr>
          <w:rFonts w:ascii="Times New Roman" w:hAnsi="Times New Roman"/>
          <w:color w:val="000000" w:themeColor="text1"/>
          <w:sz w:val="16"/>
          <w:szCs w:val="16"/>
        </w:rPr>
        <w:softHyphen/>
        <w:t>нить. Впервые за предшествующие 30 лет флоту вероятного про</w:t>
      </w:r>
      <w:r w:rsidRPr="00C33834">
        <w:rPr>
          <w:rFonts w:ascii="Times New Roman" w:hAnsi="Times New Roman"/>
          <w:color w:val="000000" w:themeColor="text1"/>
          <w:sz w:val="16"/>
          <w:szCs w:val="16"/>
        </w:rPr>
        <w:softHyphen/>
        <w:t>тивника была создана реальная угроза в пределах всего Японского моря (3898).</w:t>
      </w:r>
    </w:p>
    <w:p w14:paraId="780DDC7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плавания лодок V серии позволяла определенное время использовать их даже в водах Тихого океана и Желтого мо</w:t>
      </w:r>
      <w:r w:rsidRPr="00C33834">
        <w:rPr>
          <w:rFonts w:ascii="Times New Roman" w:hAnsi="Times New Roman"/>
          <w:color w:val="000000" w:themeColor="text1"/>
          <w:sz w:val="16"/>
          <w:szCs w:val="16"/>
        </w:rPr>
        <w:softHyphen/>
        <w:t>ря. По сравнению с лодками III серии они получили более плавные обводы носовой части легкого корпуса и наклонный форштевень. Дополнительная плоская переборка разделила первый отсек на два: число отсеков в лодке увеличилось до семи. Центральный пост стал просторнее благодаря более рациональному размещению механиз</w:t>
      </w:r>
      <w:r w:rsidRPr="00C33834">
        <w:rPr>
          <w:rFonts w:ascii="Times New Roman" w:hAnsi="Times New Roman"/>
          <w:color w:val="000000" w:themeColor="text1"/>
          <w:sz w:val="16"/>
          <w:szCs w:val="16"/>
        </w:rPr>
        <w:softHyphen/>
        <w:t>мов и цистерн. На лодках V серии было установлено по два 45-мм полуавтомата с боезапасом по 500 патронов на ствол. Это вооруже</w:t>
      </w:r>
      <w:r w:rsidRPr="00C33834">
        <w:rPr>
          <w:rFonts w:ascii="Times New Roman" w:hAnsi="Times New Roman"/>
          <w:color w:val="000000" w:themeColor="text1"/>
          <w:sz w:val="16"/>
          <w:szCs w:val="16"/>
        </w:rPr>
        <w:softHyphen/>
        <w:t>ние дополняли два 7,62-мм пулемета (3898).</w:t>
      </w:r>
    </w:p>
    <w:p w14:paraId="46D06DE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4515A75D" w14:textId="77777777" w:rsidR="001F72EB"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6AC27033"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057576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 ТБ-1П впервые участвовали в крупных учениях Балтийского флота. Торпедоносцы 121-й эскадрильи «атаковали» эсминец «Карл Маркс», игравший роль финского броненосца «Вяйне-мяйнен». В октябрьских учениях «нападе</w:t>
      </w:r>
      <w:r w:rsidRPr="00C33834">
        <w:rPr>
          <w:rFonts w:ascii="Times New Roman" w:hAnsi="Times New Roman"/>
          <w:color w:val="000000" w:themeColor="text1"/>
          <w:sz w:val="16"/>
          <w:szCs w:val="16"/>
        </w:rPr>
        <w:softHyphen/>
        <w:t>нию» подвергался линкор «Марат». Манев</w:t>
      </w:r>
      <w:r w:rsidRPr="00C33834">
        <w:rPr>
          <w:rFonts w:ascii="Times New Roman" w:hAnsi="Times New Roman"/>
          <w:color w:val="000000" w:themeColor="text1"/>
          <w:sz w:val="16"/>
          <w:szCs w:val="16"/>
        </w:rPr>
        <w:softHyphen/>
        <w:t>ры показали, что сброс высотных торпед на парашютах малоэффективен, и следует развивать низковысотную технику и тактику. Однако для подобных стремительных атак ТБ-1 подходил мало — крупный тихоходный самолет сам был неплохой целью для ПВО. На Балтике значительная часть поплавковых ТБ-1 базировалась в Гребном порту) (Гавани) Ленинграда на Васильевском ост</w:t>
      </w:r>
      <w:r w:rsidRPr="00C33834">
        <w:rPr>
          <w:rFonts w:ascii="Times New Roman" w:hAnsi="Times New Roman"/>
          <w:color w:val="000000" w:themeColor="text1"/>
          <w:sz w:val="16"/>
          <w:szCs w:val="16"/>
        </w:rPr>
        <w:softHyphen/>
        <w:t>рове, поэтому горожане могли в летний период наблюдать полеты этих необычных воздушных кораблей. По причине недостатка минно-торпедного оружия они выполняли задачи разведки, связи с флотом и учебного бомбометания. Использовали их и для поисково-спасательных операций. Так, когда летом 1934 г. в Финском заливе произошел взрыв в одном из отсеков подводной лодки Л-2 «Сталинец», для эвакуации раненых с субмарины вылетела пара ТБ-1, экипажи которых возглавляли коман</w:t>
      </w:r>
      <w:r w:rsidRPr="00C33834">
        <w:rPr>
          <w:rFonts w:ascii="Times New Roman" w:hAnsi="Times New Roman"/>
          <w:color w:val="000000" w:themeColor="text1"/>
          <w:sz w:val="16"/>
          <w:szCs w:val="16"/>
        </w:rPr>
        <w:softHyphen/>
        <w:t>дир 122-й эскадрильи А.М. Вирак и коман</w:t>
      </w:r>
      <w:r w:rsidRPr="00C33834">
        <w:rPr>
          <w:rFonts w:ascii="Times New Roman" w:hAnsi="Times New Roman"/>
          <w:color w:val="000000" w:themeColor="text1"/>
          <w:sz w:val="16"/>
          <w:szCs w:val="16"/>
        </w:rPr>
        <w:softHyphen/>
        <w:t>дир отряда А.А. Полозов. Поиск аварийного корабля происходил ночью. В воздухе тяжелые машины разошлись, и обнаружить лодку удалось экипажу Полозова. В полной темноте, подсвечивая посадочными фара</w:t>
      </w:r>
      <w:r w:rsidRPr="00C33834">
        <w:rPr>
          <w:rFonts w:ascii="Times New Roman" w:hAnsi="Times New Roman"/>
          <w:color w:val="000000" w:themeColor="text1"/>
          <w:sz w:val="16"/>
          <w:szCs w:val="16"/>
        </w:rPr>
        <w:softHyphen/>
        <w:t>ми, он стал заходить на посадку. Фары давали рассеянный свет на удалении не бо</w:t>
      </w:r>
      <w:r w:rsidRPr="00C33834">
        <w:rPr>
          <w:rFonts w:ascii="Times New Roman" w:hAnsi="Times New Roman"/>
          <w:color w:val="000000" w:themeColor="text1"/>
          <w:sz w:val="16"/>
          <w:szCs w:val="16"/>
        </w:rPr>
        <w:softHyphen/>
        <w:t>лее тридцати метров. Тем не менее, Полозов удачно приводнился, подошел к лодке и забрал раненых (11286).</w:t>
      </w:r>
    </w:p>
    <w:p w14:paraId="71C1D6F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6006C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 завод № I рассылал самолеты 16 эскадрильям, 26 отдельным отрядам и четырем летным школам. К 1 декабря в ВВС насчитывалось уже 1898 Р-5 (12034).</w:t>
      </w:r>
    </w:p>
    <w:p w14:paraId="62F042A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3638E18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началась восьмилетняя работе в Японии (прерванной арестом японской полицией в октябре 1941-го) Рихарда Зорге (Рамзая). В Москве не слишком доверяли его сообщениям, а оценить по достоинству (посмертным присвоением звания Героя Советского Союза) деятельность Зорге сочли необходимым лишь в 1964-м, после того как Н.С.Хрущев случайно узнал о ней - не из документов, а из французского художественного фильма трехлетней давности (тогда же в Москве появится идущая от комплекса зданий ГРУ (Хорошевское шоссе, 76) к готовящей для него кадры Военно-дипломатической академии (ул. Народного ополчения, 50) улица Зорге). Отметим поэтому только факт контактов Зорге с французским информационным агентством "Гавас", в токийском бюро которого работал член группы "Рамзай" югослав Бранко Вукелич. Спустя годы глава этого бюро Робер Гиейн осознал, что "по желанию Зорге... получал информацию, которую добывала его разведывательная сеть. Ему было необходимо, чтобы некоторые данные... дошли до представителей западных стран - противников Гитлера. О секретной информации я ставил в известность своего посла и военного атташе. Мой приятель полковник Тибо передавал ее, о чем я сказал Вукеличу, своим коллегам - британскому и американскому военным атташе"; по мнению Гийена, Зорге понимал, что Центр относится к его сообщениям скептически, и считал полезным, "чтобы и по другим каналам подтверждалась информация, которую он посылал в Москву с помощью своей тайной радиостанции. Тем самым его данным придавался бoльший вес" (7559).</w:t>
      </w:r>
    </w:p>
    <w:p w14:paraId="3F308CA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44909445"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7994FE58"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3EE69A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 в СССР нанес визит военный министр Франции П. Кот. Он посетил Киев, Харьков, Москву, авиационный завод в Филях и завод по производству авиамоторов. В начале 1934 г. произошел обмен военно-воздушными атташе. При этом «французов не оставляло ощущение, что инициатива к сближению исходила от советской стороны». (Подробнее см.: Орлов Б. М. Указ, соч.).) (11784).</w:t>
      </w:r>
    </w:p>
    <w:p w14:paraId="4C583D4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7032BDA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г. германский военный атташе Хартман употребил формулировку, что закончился период советско-германского военного сотрудничества «в его нынешних формах». Оно продолжалось и в «пострапалльский» период. Сохранились и поддерживались официальные контакты офицеров РККА с офицерами райхсвера, в Германии по-прежнему осуществлялись закупки военных образцов и лицензий (11784).</w:t>
      </w:r>
    </w:p>
    <w:p w14:paraId="65A3989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21FE12"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31CE63C"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6B962A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Министерство авиации Германии (RLM) объявило двухэтапный конкурс на разработку конструкции пикирующего бомбардировщика (Sturzkampfflugzeug). Немедленная программа (Sofort-Program) предполагала биплан для замены Не-50. В результате появился Ю-87 (347,1).</w:t>
      </w:r>
    </w:p>
    <w:p w14:paraId="5109F50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060B253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нацисты учредили Палату по культуре и исключили евреев из культурной деятельности (1798).</w:t>
      </w:r>
    </w:p>
    <w:p w14:paraId="74A007A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3A533703"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5724CBA"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CF63ED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сентябре-ноябре 1933 на ТБ-3 с М-17 и Р-5, дооборудованных на заводе 39, проводили гос. испытания дозаправки машин в воздухе по системе А.К.Запаванного. Р-5 был танкером и с него ручной лебедкой выпускали бронированный шланг с "грузовой грушей" на конце. Приемная горловина на Тб-3 была между турелями ТУР-5 и от нее шла разводка к крыльевым бакам. Грушу ловили 2 стрелка, так как один удержать не мог (1854,10).</w:t>
      </w:r>
    </w:p>
    <w:p w14:paraId="7DD635B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1DD8A03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сентябре-ноябре 1933 г. велись государственные испытания системы заправки ТБ-3 с Р-5, который выступал в качестве танкера. С Р-5 ручной лебедкой выпускался бронированный шланг, на конце которого висела -грузовая груша» - попросту увесистая гиря. Дозаправлялся ТБ-3 с моторами М-17. Приемная горловина на бомбардировщике размещалась на фюзеляже перед турелями Тур-5, от нее шла разводка к крыльевым бакам. Бензин с танкера поступал самотеком - заправщик просто </w:t>
      </w:r>
      <w:r w:rsidRPr="00C33834">
        <w:rPr>
          <w:rFonts w:ascii="Times New Roman" w:hAnsi="Times New Roman"/>
          <w:color w:val="000000" w:themeColor="text1"/>
          <w:sz w:val="16"/>
          <w:szCs w:val="16"/>
        </w:rPr>
        <w:lastRenderedPageBreak/>
        <w:t>шел несколько выше заправляемого самолета. Доработку Р-5 и ТБ-3 осуществлял завод №39. «Грузовую грушу» ловили сразу два стрелка - один не мог удержать бьющийся на ветру шланг (9807).</w:t>
      </w:r>
    </w:p>
    <w:p w14:paraId="1A87A19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60500E5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 ноябре 1933 с Р-5 в полете заправляли бомбардировщик ТБ-3. Испытания прошли в целом успешно, если не считать того, что ловля "груши" оказалась делом нелегким и опасным. Конец шланга болтался в воздухе, можно было запросто получить по голове трехкилограммовой гирей. На ТБ-3 два стрелка с трудом удерживали шланг, бьющийся на ветру. Однако система работала. Сначала пробовали переливать воду, затем перешли на бензин. Для использования Р-5 в качестве танкера, естественно, потребовалось увеличить запас горючего на борту. В апреле 1932 г. попробовали подвесить дополнительные баки под крылом. Однако баки и магистрали текли, проводить испытания даже не рискнули. В июне выставили образец с большим подфю- зеляжным баком из стали, вмещавшим 550 л. Этот вариант использовали для заправки ТБ-1. При установке дополнительных внутренних баков, как на машинах для дальних перелетов, "бензиновоз" мог слить в бомбардировщик до 1040 л топлива. Весь комплект оборудования танкера весил около 120 кг. За счет дополнительного сопротивления бака скорость заправщика уменьшалась на 6 км/ч. (11836).</w:t>
      </w:r>
    </w:p>
    <w:p w14:paraId="7A43785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096DC10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ноябре 1933 г. с того же Р-5 попробовали заправлять ТБ-3. Дозаправлялся самолет одной из ранних серий с моторами М-17. Приемная горловина на бомбардировщике размещалась на фюзеляже перед турелями Тур-5, от нее шла разводка к крыльевым бакам. Доработку ТБ-3 осуществлял завод № 39. 20 ноября экипаж летчика Иванова впервые успешно дозаправил свой ТБ-3. Но для него бензин, сливавшийся с переоборудованного разведчика, был "каплей в море". Альтернативно рассматривали другие типы самолетов. На роль "бензиноносца" примеряли ТБ-1, пассажирские трехмоторный АНТ-9 и пятимоторный АНТ-14. Проект переделки АНТ-9 в танкер разрабатывался в Осконбюро ВВС, руководимом П.И. Гроховским. В эту организацию влилась группа Запанованного, которая фактически и вела конструирование. Параллельно там же делали проект доработки ТБ-1. По АНТ-14 сделали только самые прикидочные расчеты; эта машина предназначалась для снабжения горючим в воздухе шестимоторного бомбардировщика ТБ-4. В проекте самолета Г-1 (Д-1) предусматривался вариант "танкера сопровождения". Последний должен был лететь в составе соединения, подпитывая бензином тяжелые бомбовозы и сопровождающие их "крейсера". Г-1 мог дозаправить в одном вылете, например, две с половиной эскадрильи "крейсеров" Р-6 - три десятка машин. По-видимому, на "танкере" предусматривалась не одна, а две линии заправки с одинаковым оборудованием. Но все это остаюсь лишь в проектах. Вариант заправщика предлагал и B.C. Вахмистров для своей "авиаматки" - огромного "летающего крыла", прорисованного автором в эскизах.</w:t>
      </w:r>
    </w:p>
    <w:p w14:paraId="5292442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Несколько дальше ушли с превращением в танкер бомбардировщика ТБ-3. Его грузоподъемность и габариты позволяли взять немало дополнительного горючего. Группа Запанованного, которая при передаче Осконбюро Нарком- тяжпрому перешла в состав военного КБ-1, выполнила один за другим несколько подобных проектов. С каждым разом оборудование становилось легче и надежнее. Но в связи с крайней дефицитностью ТБ-3 до реализации дело дошло лишь в 1935 г. В НИИ ВВС переоборудовали два самолета - № 22610 и № 22464, оба с моторами М-34Р. Шланг-дюрит был намотан на барабан, располагавшийся в хвостовой части фюзеляжа. Он выпускался и втягивался ручной лебедкой через люк в полу за кабиной радиста. Шланг снаружи армировался стальными тросами - как для повышения прочности, так и для выравнивания потенциалов. Бензин для перелива браш из средних центропланных баков. Между 3-м и 4-м шпангоутами Ф-3 бомбардировщика находился полуавтомат перелива, открывавший и закрывавший магистраль. Насоса не было; топливо, как и ранее, переливалось под воздействием собственного веса. Общий вес комплекта АЗ-21 на ТБ-3 равнялся 59,32 кг.</w:t>
      </w:r>
    </w:p>
    <w:p w14:paraId="504DE25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Конструкцию КБ-1 одобрили. Отчет НИИ ВВС рекомендовал изготовить серию комплектов для дозаправки. Ознакомившийся с отчетом начальник ВВС РККА Я.И. Алк- снис наложил резолюцию: "Провести войсковые испытания на трех ТБ-3". Но никаких следов дальнейших работ по дозаправке в довоенный период мне найти не удалось. Что было этому причиной? Возможно, быстрый рост скоростей самолетов. Все эксперименты с системами Запано- ванного велись на скоростях не более 200 км/ч, шланг ловили руками из открытых кабин. При больших скоростях это стало невозможно, кроме того, кабины закрыли фонарями, стрелковые установки - экранами (12036).</w:t>
      </w:r>
    </w:p>
    <w:p w14:paraId="56EFF5D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4EB7570E"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6A938A07"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923157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1933 - феврале 1934 на НИБТ полигоне проходили полигонные испытания тягача Т-26-Т2, разработанного КБ завода им. Ворошилова в Ленинграде в 1933 на основе поекта КБ завода Большевик, для обслуживания мехсоединений. С 1933 был на вооружении и небольшие партии машин выпускались заводом им. Ворошилова в 1934, 35, 36 (9527,212).</w:t>
      </w:r>
    </w:p>
    <w:p w14:paraId="11FC72A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1CC6DEB0"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459C900"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380CE4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г. в ОКБ С.В.И. шло проектирование ЛБ-2 - будущего ДБ-3 (6474).</w:t>
      </w:r>
    </w:p>
    <w:p w14:paraId="0F766C5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план опытного самолетостроения на 1933-1934 гг. были заложены два "бомбардировщика ближнего действия”. Создание цельнометаллической машины поручалось ЦАГИ - в итоге появился знаменитый СБ. На ЦКБ возложили проектирование самолета аналогичного назначения, но смешанной конструкции. Он обозначался ЛБ-2. Этот бомбардировщик должен был оснащаться двумя двигателями М-34РН. Максимальная скорость определялась а 300 км/ч на высоте 5000 м. практический потолок - 7500 м, дальность полета 800-1500 км. Вооружение: два пулемета и 800 кг бомб (6474).</w:t>
      </w:r>
    </w:p>
    <w:p w14:paraId="4D27D4D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1D50F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(в октябре - 237,167; 1 - 271,137) 1933 проводились летные испытания ТБ-1, управляемого по радио, и была создана опытная эскадрилья таких самолетов в качестве беспилотных бомбардировщиков с возвращением на базу, а также самолетов-снарядов (80,303).</w:t>
      </w:r>
    </w:p>
    <w:p w14:paraId="5BB8D0A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5C2A63B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г. идея создания ТБ-7 начала обретать реальность. Тяжелый бомбардировщик включили в план опытного самолетостроения советской авиапромышленности на 1934-1935 гг. Согласно этому документу, утвержденному 13 декабря 1933 г. начальником 7-го сектора НИИ ВВС Б.Т.Горощенко, задание на проектирование ТБ-7 расценивалось как приоритетное, в недалеком будущем ему предстояло заменить быстро устаревающий ТБ-3. С четырьмя двигателями М-34 ТБ-7 должен был развивать скорость 280-300 км/ч на высоте 5000 м, обладать рабочим потолком 8000 м, нести максимальную бомбовую нагрузку 4000 кг на дальность 4000 км. Срок готовности опытного экземпляра устанавливался весьма сжатый, к его летным испытаниям предстояло приступить не позднее 1 октября 1935 г. Понятно, что в реальности для создания столь крупного и сложного самолета понадобилось значительно больше времени (12025).</w:t>
      </w:r>
    </w:p>
    <w:p w14:paraId="6140991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063E860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года началось проектирование модификации Р-5Т. Переделкой планера занималась группа конструкторов завода № 1 во главе с инженером Гребеневым. Основную роль в ней играли инженеры Шишкин и Никитин. Подвеску торпеды разрабатывали в 16-м отделе НИИ ВВС под руководством М.И. Проценко.</w:t>
      </w:r>
    </w:p>
    <w:p w14:paraId="27A8F05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Такой тяжелый груз, как торпеда, можно было подвесить только под фюзеляжем. Но Р-5 имел старомодное шасси, не позволявшее разместить торпеду между стойками, поэтому его заменили новой конструкцией с двумя отдельными пирамидальными стойками. Силовой набор крыла и фюзеляжа несколько усилили.</w:t>
      </w:r>
    </w:p>
    <w:p w14:paraId="1718469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Р-5Т выбрали торпеду ТАН-12 - переделанную морскую торпеду образца 1912 г. Ее расположили под фюзеляжем наклонно. Подвеска ("торпедодержатель") снабжалась замками от бомбодержателя Дер-13. Сброс осуществлялся механическим сбрасывателем, стоявшим у пилота.</w:t>
      </w:r>
    </w:p>
    <w:p w14:paraId="1958EFA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самолета сконструировали простой торпедный прицел ПТН-1 ("гребенку").</w:t>
      </w:r>
    </w:p>
    <w:p w14:paraId="03EF1A5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Масса торпеды с подвеской (930 кг) превышала максимально допустимые для Р-5 пределы. Для облегчения самолет сделали одноместным, закрыв проем задней кабины съемной крышкой. Курсовой пулемет ПВ-1 сохранили для подавления зенитных средств атакуемого корабля. Р-5Т без торпеды мог использоваться как дальний разведчик. При этом предусматривалось размещение в задней кабине дополнительного бензобака, позволявшего увеличить дальность до 1200 км.</w:t>
      </w:r>
    </w:p>
    <w:p w14:paraId="06D1227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качестве ближнего разведчика Р-5Т опять становился двухместным. В задней кабине предусматривалась установка радиостанции 13-СК и фотоаппаратов Поттэ 1Б или АФА-13. При этом машина могла нести мелкие бомбы на держателях Дер-7 под крылом.</w:t>
      </w:r>
    </w:p>
    <w:p w14:paraId="2023F9F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и переделка серийного Р-5 в опытный образец торпедоносца заняли всего 29 дней (11936).</w:t>
      </w:r>
    </w:p>
    <w:p w14:paraId="1F38235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47B0681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г. началось проектирование модификации, названной Р-5Т. Переделкой планера занималась группа конструкторов завода №1 во главе с инженером Гребеневым. Основную роль в ней играли инженеры Шишкин и Никитин. Подвеску торпеды разрабатывали в 16-м отделе НИИ ВВС под руководством М.И. Проценко.</w:t>
      </w:r>
    </w:p>
    <w:p w14:paraId="55962FF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Такой тяжелый груз, как торпеда, можно было подвесить только под фюзеляжем самолета. Для этого требовалось освободить всю его нижнюю поверхность. Но Р-5 имел старомодное шасси, не позволявшее разместить торпеду между стойками. Его заменили новой конструкцией. Две отдельные пирамидальные стойки с полуосями освободили пространство по оси самолета. Основная стойка с пластинчатым резиновым амортизатором присоединялась теперь не к фюзеляжу, а к переднему лонжерону крыла и подкреплялась раскосом, идущим вверх. Силовой набор крыла и фюзеляжа был несколько усилен в расчете на большие нагрузки.</w:t>
      </w:r>
    </w:p>
    <w:p w14:paraId="7DBC03D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Но торпеда TAB-15 с громоздкой парашютной коробкой оказалась неприемлема для сравнительно небольшого биплана. Поэтому от высотного торпедометания отказались. Для Р-5Т выбрали торпеду ТАН-12 (она же ВВС 12 и 45-12). Она представляла собой переделку морской торпеды образца 1912 г. Такую торпеду можно было сбрасывать с высоты 10-20 м при скорости не более 160 км/ч. ТАН-12 расположили под фюзеляжем наклонно, передней частью вниз. Подвеска </w:t>
      </w:r>
      <w:r w:rsidRPr="00C33834">
        <w:rPr>
          <w:rFonts w:ascii="Times New Roman" w:hAnsi="Times New Roman"/>
          <w:color w:val="000000" w:themeColor="text1"/>
          <w:sz w:val="16"/>
          <w:szCs w:val="16"/>
        </w:rPr>
        <w:lastRenderedPageBreak/>
        <w:t>("торпедодержатель") снабжалась замками от бомбодержателя Дер-13. Подвеска и торпеда вместе весили 930 кг. Сброс осуществлялся механическим бомбосбрасывателем, стоявшим у пилота. Последние чертежи торпедодержателя передали на завод 15 января 1934 г. Для самолета сконструировали простой торпедный прицел ПТН -1 ("гребенку").</w:t>
      </w:r>
    </w:p>
    <w:p w14:paraId="30ECC79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принципе любой Р-5 мог быть переделан в торпедоносец непосредственно в авиационной части с использованием набора узлов, поставленного заводом.</w:t>
      </w:r>
    </w:p>
    <w:p w14:paraId="06B0EBC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торпеды с подвеской превышал максимально допустимые для самолета пределы, поэтому машину требовалось облегчить. Сняли турель со спаренным пулеметом ДА-2, стоявшую в задней кабине. Да и сама эта кабина при несении торпеды не использовалась - самолет становился одноместным. Для улучшения аэродинамики проем задней кабины закрывался съемной крышкой. Один из вариантов предусматривал размещение в ней дополнительного бензобака, позволявшего увеличить дальность полетало 1200 км.</w:t>
      </w:r>
    </w:p>
    <w:p w14:paraId="4C53076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 в качестве разведчика Р-5Т опять становился двухместным. В задней кабине предусматривалась установка радиостанции 13-СК, запитывавшейся от электрогенератора ДОС-1 с ветрянкой, и фотоаппаратов Поттэ 1Б или АФА-13. При этом машина могла нести мелкие бомбы на бомбодержателях Дер-7 под крылом. Они управлялись вторым бомбосбрасывателем, в задней кабине.</w:t>
      </w:r>
    </w:p>
    <w:p w14:paraId="2850559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стрелкового оружия на самолете остался только неподвижный пулемет ПВ-1 под капотом мотора. Он мог использоваться торпедоносцем для подавления зенитных средств атакуемого корабля.</w:t>
      </w:r>
    </w:p>
    <w:p w14:paraId="2CF01A6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оценкам специалистов НИИ ВВС, Р-5Т имел ряд преимуществ по сравнению с создававшимся почти параллельно в ЦАГИ поплавковым торпедоносцем Р-6Т - лучшую маневренность, меньшие габариты. Он был легче, дешевле, проще в производстве и ремонте. Очень важным считалось то, что минимальная скорость полета биплана составляла 130 км/ч, а у моноплана Р-6Т - 157 км/ч, что было близко к пределу прочности торпед того времени.</w:t>
      </w:r>
    </w:p>
    <w:p w14:paraId="1232DDF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и переделка серийного Р-5 в опытный образец торпедоносца заняли всего 29 дней. Постройкой машины руководил инженер Шиц. К 20 января 1934 г. уже были готовы все основные узлы. К 4 февраля сборку самолета закончили, о чем начальник ВВС РККА Я.И. Алкснис немедленно доложил Реввоенсовету. В ответ последовало распоряжение: "Предусмотреть приспособление одной эскадрильи Р-5 под торпедоносцы после испытаний опытного образца специально для Дальнего Востока" (12034).</w:t>
      </w:r>
    </w:p>
    <w:p w14:paraId="447AAED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3193357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г. начальник 4-го (разведывательного) управления штаба РККА Берзин сообщил о том, бомбардировщик что его агентам удалось заполучить комплект Мартин 139(В-10) чертежей В-10 и аэродинамические расчеты машины. Поставить в строй ВВС РККА подобный самолет было очень заманчиво.</w:t>
      </w:r>
    </w:p>
    <w:p w14:paraId="7777069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вот в конце 1933 г. при формировании плана опытно-конструкторских работ по самолетостроению на 1934-35 годы А.Н. Туполев внес предложение построить отечественный скоростной бомбардировщик. Правда, первые наметки Туполева были довольно скромны: скорость 300-320 км/ч (а В-10 имел 340 км/ч). В итоге уже в первый вариант плана заложили два новых двухмоторных "бомбардировщика ближнего действия". Создание одного из них, цельнометаллического, поручили КОСОС ЦАГИ, руководимому Туполевым. Работу над вторым самолетом, смешанной конструкции, задали заводу № 39 - фактически базировавшемуся там Центральному конструкторскому бюро (ЦКБ).</w:t>
      </w:r>
    </w:p>
    <w:p w14:paraId="2C45ED4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Начальником ЦКБ в то время являлся С.В. Ильюшин. Он тогда был более известен как высокопоставленный администратор, нежели как конструктор. Его конструкторский опыт сводился лишь к созданию нескольких учебных и спортивных планеров. Однако Ильюшин рвался к самостоятельной работе по проектированию боевых самолетов. Уже в феврале 1934 г. с согласия начальника Главного управления авиационной промышленности (ГУАП) П.И. Баранова в рамках ЦКБ он создал небольшую собственную группу (12021).</w:t>
      </w:r>
    </w:p>
    <w:p w14:paraId="11ACD62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2EA128D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г. на И-ЗЕТ № 39010, вооружённого серийными пушками АПК-4, каждая из которых была снабжена трубчатым магазином на шесть снарядов (плюс ещё один снаряд в стволе) выполнили 52 полёта. Использовали 598 снарядов, но по причине многочисленных отказов произвели всего 363 выстрела (60,7%). Стрельбы велись на высоте 700 - 800 м по запускаемым группами шарам-пилотам, каждый из которых имел диаметр 50 - 60 см. Проведённые испытания показали, что для повышения эффективности стрельбы из АПК-4 нужен дальномер и более совершенный прицел, чем имеющийся оптический ОП-1, рассчитанный на дальность стрельбы 400 м и скорость 250 км/ч. После полётов Т. Сузи в этих же местах начались испытания ещё двух серийных И-ЗЕТ (№№ 39005 и 39010), на которых летали А. Короткое и М. Сцельников (12005).</w:t>
      </w:r>
    </w:p>
    <w:p w14:paraId="77A92F5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308A68B6" w14:textId="77777777" w:rsidR="007D171D" w:rsidRPr="00C33834" w:rsidRDefault="007D171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г. были проведены государственные испытания самолета И-7 № 39010, вооруженного серийными пушками АПК-4бис. Испытания проходили на аэродроме НИИ ВВС в Щелкове в период с 14 сентября по 1 октября 1933 г. Летал летчик Сцельников, общий налет составил 16 часов 20 минут. (Сх.9)</w:t>
      </w:r>
    </w:p>
    <w:p w14:paraId="48DFDFDD" w14:textId="77777777" w:rsidR="007D171D" w:rsidRPr="00C33834" w:rsidRDefault="007D171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отчете по испытаниям указывалось, что самолет И-7 № 39010 постройки авиазавода № 39 изготовлен по образцу опытного и в основных размерных параметрах от последнего не отклоняется. Кабина летчика удобна и просторна. На взлете И-7 быстро отрывается с поднятым хвостом, в горизонтальном полете идет с опущенной ручкой, устойчив во всех отношениях, управление мягкое и легкое. Испытания на штопор не производились, однако и тенденции к срыву в штопор не отмечалось.</w:t>
      </w:r>
    </w:p>
    <w:p w14:paraId="4F9C01A4" w14:textId="77777777" w:rsidR="007D171D" w:rsidRPr="00C33834" w:rsidRDefault="007D171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результатам оценки летных данных отмечалось, что полученные данные скороподъемности (подъем на высоту 5000 м за 14 мин.) и потолка (7000 м) являются достаточно удовлетворительными. Полученное значение максимальной скорости 259 км/час совершенно недостаточное. Причина — неудачная конструкция колес и шасси, большое сопротивление пушек. Тактическая дальность действия самолета — 310 км — также признана недостаточной.</w:t>
      </w:r>
    </w:p>
    <w:p w14:paraId="2EF7E10C" w14:textId="77777777" w:rsidR="007D171D" w:rsidRPr="00C33834" w:rsidRDefault="007D171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Комиссия записала в отчете, что артиллерийское вооружение И-7 испытания выдержало. Выстреляно 363 патрона, 19 патронов не было выстреляно из-за задержек. Снятие или установка АПК-4бис на самолет занимает 15 минут и производится силами не менее двух человек.</w:t>
      </w:r>
    </w:p>
    <w:p w14:paraId="7681557C" w14:textId="77777777" w:rsidR="007D171D" w:rsidRPr="00C33834" w:rsidRDefault="007D171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Малая емкость магазинов — на две пушки всего 14 снарядов — оценивалась как недопустимая. Курчевский предполагал далее установить в крыле коробчатый магазин для 14 снарядов, но для АПК-4бис это сделано не было.</w:t>
      </w:r>
    </w:p>
    <w:p w14:paraId="5AB964DD" w14:textId="77777777" w:rsidR="007D171D" w:rsidRPr="00C33834" w:rsidRDefault="007D171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заключении по результатам испытаний говорилось, что самолеты типа И-7 могут быть приняты на вооружение ВВС РККА при условии следующих доработок, с предъявлением модификации к 1 марта 1934 г.:</w:t>
      </w:r>
    </w:p>
    <w:p w14:paraId="155F6501" w14:textId="77777777" w:rsidR="007D171D" w:rsidRPr="00C33834" w:rsidRDefault="007D171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увеличение максимальной скорости до 300 км/час;</w:t>
      </w:r>
    </w:p>
    <w:p w14:paraId="07B28E5D" w14:textId="77777777" w:rsidR="007D171D" w:rsidRPr="00C33834" w:rsidRDefault="007D171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увеличение емкости бензобаков, доведение количества снарядов до 20 штук, установка электрооборудования и радио.</w:t>
      </w:r>
    </w:p>
    <w:p w14:paraId="680C45B2" w14:textId="77777777" w:rsidR="007D171D" w:rsidRPr="00C33834" w:rsidRDefault="007D171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Особым пунктом шло пожелание увеличить прочность самолета. Уже после 300—500 выстрелов конструкция истребителя нуждалась в ремонте, поэтому ВВС хотели довести живучесть И-7 до 1000 выстрелов.</w:t>
      </w:r>
    </w:p>
    <w:p w14:paraId="39DABB8B" w14:textId="77777777" w:rsidR="007D171D" w:rsidRPr="00C33834" w:rsidRDefault="007D171D"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Хотя местом проведения госиспытаний назывался аэродром НИИ ВВС, на самом деле из пушек стреляли совсем в другой местности — в районе Переславля-Залесского на берегу Плещеева озера. Кстати, испытания безоткатных орудий на этом озере проводились еще в сентябре 1924 г. Испытывались два самолета И-7 (№ 39005 и № 39010) с четырьмя серийными пушками АПК-4бис. Летали летчики А. Коротков и М. Сцельников. Из 147 патронов выстреляно 74, задержек 18. Причины задержек: а) Отказ воздушного клапана в механизме перезарядки; б) утыкание снаряда, поданного на лоток, в головку очередного снаряда; в) неполное сгорание нитроткани (15117).</w:t>
      </w:r>
    </w:p>
    <w:p w14:paraId="1759A355" w14:textId="77777777" w:rsidR="007D171D" w:rsidRPr="00C33834" w:rsidRDefault="007D171D" w:rsidP="00C33834">
      <w:pPr>
        <w:spacing w:after="0" w:line="240" w:lineRule="auto"/>
        <w:jc w:val="both"/>
        <w:rPr>
          <w:rFonts w:ascii="Times New Roman" w:hAnsi="Times New Roman"/>
          <w:color w:val="000000" w:themeColor="text1"/>
          <w:sz w:val="16"/>
          <w:szCs w:val="16"/>
        </w:rPr>
      </w:pPr>
    </w:p>
    <w:p w14:paraId="64DBB39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г. "Сталь-6", спроектированный Р. Бартини и оснащённый двигателем Кертисс "Конкерор" мощностью 680 л. с., самолёт летал со скоростью свыше 400 км/ч, что на тот момент являлось весьма впечатляющим достижением. На базе "Стали-б" в 1934 г. был спроектирован и начал строиться истребитель "Сталь-8", ориентированный под "Испано Сюизу". Однако ещё до окончания года на стадии готовности 70% все работы над машиной были прекращены. Основными причинами назывались трудоёмкость используемой технологии и уязвимое в боевой обстановке пароиспарительное охлаждение двигателя (9630).</w:t>
      </w:r>
    </w:p>
    <w:p w14:paraId="5B84AAA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0B938E8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г. самолет "Сталь-6", спроектированный Роберто Бартини и оснащенный двигателем Кертисс "Конкверор" мощностью 680 л.с. летал со скоростью свыше 400 км/ч. что являлось значительным и весьма впечатляющим достижением. На базе своего вполне успешного Сталь-6 в 1934 г. Бартини начал* строить новый опытный истребитель. Эта машина получила обозначение Сталь-8, предполагалась под двигатель "Испано Сюиза" l2Ybrs, и вполне могла стать очередным громким успехом конструктора Бартини. Однако по целому ряду обстоятельств, основными из которых назывались трудоемкость используемой технологии и уязвимое в боевой обстановке па- роиспарительное охлаждения двигателя, постройка этого опытного истребителя была прекращена (12016).</w:t>
      </w:r>
    </w:p>
    <w:p w14:paraId="36CEA96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1445466B" w14:textId="77777777" w:rsidR="00640E1D" w:rsidRPr="00C33834" w:rsidRDefault="00640E1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Осенью 1933 года в Монино прошли испытания нового «детища» проекта Владимира Сергеевича Вахмистрова – самолёта-авианосца, основой которого стал тяжёлый бомбардировщик ТБ-3 (21535).</w:t>
      </w:r>
    </w:p>
    <w:p w14:paraId="40AB3600" w14:textId="77777777" w:rsidR="00640E1D" w:rsidRPr="00C33834" w:rsidRDefault="00640E1D" w:rsidP="00C33834">
      <w:pPr>
        <w:spacing w:after="0" w:line="240" w:lineRule="auto"/>
        <w:jc w:val="both"/>
        <w:rPr>
          <w:rFonts w:ascii="Times New Roman" w:hAnsi="Times New Roman"/>
          <w:color w:val="0070C0"/>
          <w:sz w:val="16"/>
          <w:szCs w:val="16"/>
        </w:rPr>
      </w:pPr>
    </w:p>
    <w:p w14:paraId="3146AE23" w14:textId="77777777" w:rsidR="00B06AD3" w:rsidRPr="00C33834" w:rsidRDefault="00B06A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г. БИЧ-12 вместе с БИЧ-13 успешно летал на 9-х планерных состязаниях в Коктебеле. Вес конструк</w:t>
      </w:r>
      <w:r w:rsidRPr="00C33834">
        <w:rPr>
          <w:rFonts w:ascii="Times New Roman" w:hAnsi="Times New Roman"/>
          <w:color w:val="000000" w:themeColor="text1"/>
          <w:sz w:val="16"/>
          <w:szCs w:val="16"/>
        </w:rPr>
        <w:softHyphen/>
        <w:t>ции планера составлял 97 кг.</w:t>
      </w:r>
      <w:bookmarkStart w:id="52" w:name="bookmark13"/>
      <w:r w:rsidRPr="00C33834">
        <w:rPr>
          <w:rFonts w:ascii="Times New Roman" w:hAnsi="Times New Roman"/>
          <w:color w:val="000000" w:themeColor="text1"/>
          <w:sz w:val="16"/>
          <w:szCs w:val="16"/>
        </w:rPr>
        <w:t xml:space="preserve"> Планер БИЧ-12 отличался от БИЧ-11</w:t>
      </w:r>
      <w:bookmarkEnd w:id="52"/>
      <w:r w:rsidRPr="00C33834">
        <w:rPr>
          <w:rFonts w:ascii="Times New Roman" w:hAnsi="Times New Roman"/>
          <w:color w:val="000000" w:themeColor="text1"/>
          <w:sz w:val="16"/>
          <w:szCs w:val="16"/>
        </w:rPr>
        <w:t xml:space="preserve"> отсутствием вертикального оперения. Испытания аппарата состоялись на пла</w:t>
      </w:r>
      <w:r w:rsidRPr="00C33834">
        <w:rPr>
          <w:rFonts w:ascii="Times New Roman" w:hAnsi="Times New Roman"/>
          <w:color w:val="000000" w:themeColor="text1"/>
          <w:sz w:val="16"/>
          <w:szCs w:val="16"/>
        </w:rPr>
        <w:softHyphen/>
        <w:t>нерной станции «Первомайская» вблизи одноименной железнодорожной стан</w:t>
      </w:r>
      <w:r w:rsidRPr="00C33834">
        <w:rPr>
          <w:rFonts w:ascii="Times New Roman" w:hAnsi="Times New Roman"/>
          <w:color w:val="000000" w:themeColor="text1"/>
          <w:sz w:val="16"/>
          <w:szCs w:val="16"/>
        </w:rPr>
        <w:softHyphen/>
        <w:t>ции под Москвой 23 января 1933 г. По</w:t>
      </w:r>
      <w:r w:rsidRPr="00C33834">
        <w:rPr>
          <w:rFonts w:ascii="Times New Roman" w:hAnsi="Times New Roman"/>
          <w:color w:val="000000" w:themeColor="text1"/>
          <w:sz w:val="16"/>
          <w:szCs w:val="16"/>
        </w:rPr>
        <w:softHyphen/>
        <w:t>леты осуществлялись на пологом склоне при помощи резинового амортизатора. Пилоты Молчанов, Подрезков, Романов отмечали, что БИЧ-12 устойчив и прия</w:t>
      </w:r>
      <w:r w:rsidRPr="00C33834">
        <w:rPr>
          <w:rFonts w:ascii="Times New Roman" w:hAnsi="Times New Roman"/>
          <w:color w:val="000000" w:themeColor="text1"/>
          <w:sz w:val="16"/>
          <w:szCs w:val="16"/>
        </w:rPr>
        <w:softHyphen/>
        <w:t>тен в полете. Особенно важным счита лось, что предположения конструктора оправдались, планер отлично управлял</w:t>
      </w:r>
      <w:r w:rsidRPr="00C33834">
        <w:rPr>
          <w:rFonts w:ascii="Times New Roman" w:hAnsi="Times New Roman"/>
          <w:color w:val="000000" w:themeColor="text1"/>
          <w:sz w:val="16"/>
          <w:szCs w:val="16"/>
        </w:rPr>
        <w:softHyphen/>
        <w:t>ся по курсу без вертикального оперения при помощи элеронов.</w:t>
      </w:r>
    </w:p>
    <w:p w14:paraId="7F9351FF" w14:textId="77777777" w:rsidR="00B06AD3" w:rsidRPr="00C33834" w:rsidRDefault="00B06A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Планер БИЧ-13 имел одинаковый размах и площадь крыла с БИЧ-12, од</w:t>
      </w:r>
      <w:r w:rsidRPr="00C33834">
        <w:rPr>
          <w:rFonts w:ascii="Times New Roman" w:hAnsi="Times New Roman"/>
          <w:color w:val="000000" w:themeColor="text1"/>
          <w:sz w:val="16"/>
          <w:szCs w:val="16"/>
        </w:rPr>
        <w:softHyphen/>
        <w:t>нако был выполнен в виде «параболы». Целью эксперимента стало получение сравнительных характеристик этих двух планеров, отличающихся лишь формой крыла. На обоих планерах рули пово</w:t>
      </w:r>
      <w:r w:rsidRPr="00C33834">
        <w:rPr>
          <w:rFonts w:ascii="Times New Roman" w:hAnsi="Times New Roman"/>
          <w:color w:val="000000" w:themeColor="text1"/>
          <w:sz w:val="16"/>
          <w:szCs w:val="16"/>
        </w:rPr>
        <w:softHyphen/>
        <w:t>рота были заменены закрылками не</w:t>
      </w:r>
      <w:r w:rsidRPr="00C33834">
        <w:rPr>
          <w:rFonts w:ascii="Times New Roman" w:hAnsi="Times New Roman"/>
          <w:color w:val="000000" w:themeColor="text1"/>
          <w:sz w:val="16"/>
          <w:szCs w:val="16"/>
        </w:rPr>
        <w:softHyphen/>
        <w:t xml:space="preserve">большой площади, </w:t>
      </w:r>
      <w:r w:rsidRPr="00C33834">
        <w:rPr>
          <w:rFonts w:ascii="Times New Roman" w:hAnsi="Times New Roman"/>
          <w:color w:val="000000" w:themeColor="text1"/>
          <w:sz w:val="16"/>
          <w:szCs w:val="16"/>
        </w:rPr>
        <w:lastRenderedPageBreak/>
        <w:t>расположенными по концам крыла, приводимыми в движе</w:t>
      </w:r>
      <w:r w:rsidRPr="00C33834">
        <w:rPr>
          <w:rFonts w:ascii="Times New Roman" w:hAnsi="Times New Roman"/>
          <w:color w:val="000000" w:themeColor="text1"/>
          <w:sz w:val="16"/>
          <w:szCs w:val="16"/>
        </w:rPr>
        <w:softHyphen/>
        <w:t>ние ножными педалями. При испытани</w:t>
      </w:r>
      <w:r w:rsidRPr="00C33834">
        <w:rPr>
          <w:rFonts w:ascii="Times New Roman" w:hAnsi="Times New Roman"/>
          <w:color w:val="000000" w:themeColor="text1"/>
          <w:sz w:val="16"/>
          <w:szCs w:val="16"/>
        </w:rPr>
        <w:softHyphen/>
        <w:t>ях опытными пилотами производились виражи и развороты, при этом не было обнаружено каких-либо особенностей в технике пилотирования по сравнению с планерами нормальной схемы.</w:t>
      </w:r>
    </w:p>
    <w:p w14:paraId="51BDA94F" w14:textId="77777777" w:rsidR="00B06AD3" w:rsidRPr="00C33834" w:rsidRDefault="00B06A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полет БИЧ-13 состоялся на 9-х планерных состязаниях в Коктебе</w:t>
      </w:r>
      <w:r w:rsidRPr="00C33834">
        <w:rPr>
          <w:rFonts w:ascii="Times New Roman" w:hAnsi="Times New Roman"/>
          <w:color w:val="000000" w:themeColor="text1"/>
          <w:sz w:val="16"/>
          <w:szCs w:val="16"/>
        </w:rPr>
        <w:softHyphen/>
        <w:t>ле, причем пилот В.А. Степанчонок сра</w:t>
      </w:r>
      <w:r w:rsidRPr="00C33834">
        <w:rPr>
          <w:rFonts w:ascii="Times New Roman" w:hAnsi="Times New Roman"/>
          <w:color w:val="000000" w:themeColor="text1"/>
          <w:sz w:val="16"/>
          <w:szCs w:val="16"/>
        </w:rPr>
        <w:softHyphen/>
        <w:t>зу вылетел на парение и парил 26 мин, что явилось блестящим результатом. По отзывам всех летчиков БИЧ-13 обладал настолько хорошей поперечной и путе</w:t>
      </w:r>
      <w:r w:rsidRPr="00C33834">
        <w:rPr>
          <w:rFonts w:ascii="Times New Roman" w:hAnsi="Times New Roman"/>
          <w:color w:val="000000" w:themeColor="text1"/>
          <w:sz w:val="16"/>
          <w:szCs w:val="16"/>
        </w:rPr>
        <w:softHyphen/>
        <w:t>вой устойчивостью, что в спокойном по</w:t>
      </w:r>
      <w:r w:rsidRPr="00C33834">
        <w:rPr>
          <w:rFonts w:ascii="Times New Roman" w:hAnsi="Times New Roman"/>
          <w:color w:val="000000" w:themeColor="text1"/>
          <w:sz w:val="16"/>
          <w:szCs w:val="16"/>
        </w:rPr>
        <w:softHyphen/>
        <w:t>токе можно было'бросить ручку управ</w:t>
      </w:r>
      <w:r w:rsidRPr="00C33834">
        <w:rPr>
          <w:rFonts w:ascii="Times New Roman" w:hAnsi="Times New Roman"/>
          <w:color w:val="000000" w:themeColor="text1"/>
          <w:sz w:val="16"/>
          <w:szCs w:val="16"/>
        </w:rPr>
        <w:softHyphen/>
        <w:t>ления и педали.</w:t>
      </w:r>
    </w:p>
    <w:p w14:paraId="74151755" w14:textId="77777777" w:rsidR="00B06AD3" w:rsidRPr="00C33834" w:rsidRDefault="00B06A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ЦАГИ А.И. Сильман отме</w:t>
      </w:r>
      <w:r w:rsidRPr="00C33834">
        <w:rPr>
          <w:rFonts w:ascii="Times New Roman" w:hAnsi="Times New Roman"/>
          <w:color w:val="000000" w:themeColor="text1"/>
          <w:sz w:val="16"/>
          <w:szCs w:val="16"/>
        </w:rPr>
        <w:softHyphen/>
        <w:t>чал, что эта «парабола» Черановского была самой удачной из четырех других безхвостых планеров-участников состя</w:t>
      </w:r>
      <w:r w:rsidRPr="00C33834">
        <w:rPr>
          <w:rFonts w:ascii="Times New Roman" w:hAnsi="Times New Roman"/>
          <w:color w:val="000000" w:themeColor="text1"/>
          <w:sz w:val="16"/>
          <w:szCs w:val="16"/>
        </w:rPr>
        <w:softHyphen/>
        <w:t>заний (17473).</w:t>
      </w:r>
    </w:p>
    <w:p w14:paraId="682D1DB3" w14:textId="77777777" w:rsidR="00B06AD3" w:rsidRPr="00C33834" w:rsidRDefault="00B06AD3" w:rsidP="00C33834">
      <w:pPr>
        <w:spacing w:after="0" w:line="240" w:lineRule="auto"/>
        <w:jc w:val="both"/>
        <w:rPr>
          <w:rFonts w:ascii="Times New Roman" w:hAnsi="Times New Roman"/>
          <w:color w:val="000000" w:themeColor="text1"/>
          <w:sz w:val="16"/>
          <w:szCs w:val="16"/>
        </w:rPr>
      </w:pPr>
    </w:p>
    <w:p w14:paraId="25D945C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осени 1933 г. в соответствии с постановлением Реввоенсовета 17 июля 1933 г. в ЦИАМ проектировалась модифика</w:t>
      </w:r>
      <w:r w:rsidRPr="00C33834">
        <w:rPr>
          <w:rFonts w:ascii="Times New Roman" w:hAnsi="Times New Roman"/>
          <w:color w:val="000000" w:themeColor="text1"/>
          <w:sz w:val="16"/>
          <w:szCs w:val="16"/>
        </w:rPr>
        <w:softHyphen/>
        <w:t>ция двигателя с редуктором и нагне</w:t>
      </w:r>
      <w:r w:rsidRPr="00C33834">
        <w:rPr>
          <w:rFonts w:ascii="Times New Roman" w:hAnsi="Times New Roman"/>
          <w:color w:val="000000" w:themeColor="text1"/>
          <w:sz w:val="16"/>
          <w:szCs w:val="16"/>
        </w:rPr>
        <w:softHyphen/>
        <w:t>тателем, форсированная до 950 л.с., которая именовалась М-34ФРН (он же М-34РФН и М-34РНФ). Моторы серии «Б» дали выигрыш в надежности, но не в мощности и поэтому понадобился новый мотор. Он представлял собой сильно дорабо</w:t>
      </w:r>
      <w:r w:rsidRPr="00C33834">
        <w:rPr>
          <w:rFonts w:ascii="Times New Roman" w:hAnsi="Times New Roman"/>
          <w:color w:val="000000" w:themeColor="text1"/>
          <w:sz w:val="16"/>
          <w:szCs w:val="16"/>
        </w:rPr>
        <w:softHyphen/>
        <w:t>танный вариант М-34РНБ с некото</w:t>
      </w:r>
      <w:r w:rsidRPr="00C33834">
        <w:rPr>
          <w:rFonts w:ascii="Times New Roman" w:hAnsi="Times New Roman"/>
          <w:color w:val="000000" w:themeColor="text1"/>
          <w:sz w:val="16"/>
          <w:szCs w:val="16"/>
        </w:rPr>
        <w:softHyphen/>
        <w:t>рыми конструктивными элементами от так называемого «М-34Р эталон 1934 г.». На нем усилили коленчатый вал, редуктор и картер. Централь</w:t>
      </w:r>
      <w:r w:rsidRPr="00C33834">
        <w:rPr>
          <w:rFonts w:ascii="Times New Roman" w:hAnsi="Times New Roman"/>
          <w:color w:val="000000" w:themeColor="text1"/>
          <w:sz w:val="16"/>
          <w:szCs w:val="16"/>
        </w:rPr>
        <w:softHyphen/>
        <w:t>ное сочленение шатунов заменили боковым (главный — прицепной). При этом проиграли в плавности хода, но выиграли в надежности. Изменили си</w:t>
      </w:r>
      <w:r w:rsidRPr="00C33834">
        <w:rPr>
          <w:rFonts w:ascii="Times New Roman" w:hAnsi="Times New Roman"/>
          <w:color w:val="000000" w:themeColor="text1"/>
          <w:sz w:val="16"/>
          <w:szCs w:val="16"/>
        </w:rPr>
        <w:softHyphen/>
        <w:t>стему смазки (масло пустили через вал), усовершенствовали нагнета</w:t>
      </w:r>
      <w:r w:rsidRPr="00C33834">
        <w:rPr>
          <w:rFonts w:ascii="Times New Roman" w:hAnsi="Times New Roman"/>
          <w:color w:val="000000" w:themeColor="text1"/>
          <w:sz w:val="16"/>
          <w:szCs w:val="16"/>
        </w:rPr>
        <w:softHyphen/>
        <w:t>тель, подняв наддув, внедрили новый механизм газораспределения, а кар</w:t>
      </w:r>
      <w:r w:rsidRPr="00C33834">
        <w:rPr>
          <w:rFonts w:ascii="Times New Roman" w:hAnsi="Times New Roman"/>
          <w:color w:val="000000" w:themeColor="text1"/>
          <w:sz w:val="16"/>
          <w:szCs w:val="16"/>
        </w:rPr>
        <w:softHyphen/>
        <w:t>бюраторы (их стало несколько) уста</w:t>
      </w:r>
      <w:r w:rsidRPr="00C33834">
        <w:rPr>
          <w:rFonts w:ascii="Times New Roman" w:hAnsi="Times New Roman"/>
          <w:color w:val="000000" w:themeColor="text1"/>
          <w:sz w:val="16"/>
          <w:szCs w:val="16"/>
        </w:rPr>
        <w:softHyphen/>
        <w:t>новили после нагнетателя.</w:t>
      </w:r>
    </w:p>
    <w:p w14:paraId="1B55BBE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166F0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в НИИ ВВС испытывался автопилот АВП-3 конструкции Тимофеева-Лусисса и в январе 1934 его приняли на снабжение ВВС в виде опытной партии. Летал А.Анисимов и А.И.Петров (390,128).</w:t>
      </w:r>
    </w:p>
    <w:p w14:paraId="4EAD23E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6347F52A" w14:textId="77777777" w:rsidR="001F72EB" w:rsidRPr="00C33834" w:rsidRDefault="001F72EB"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года второй опытный образец автопилота Ниренберга прошел госиспытания в НИИ ВВС и несмотря на ряд удачных новшеств был признан непригодным для эксплуатации в строевых частях ВВС РККА (4039,114).</w:t>
      </w:r>
    </w:p>
    <w:p w14:paraId="5A9543B1" w14:textId="77777777" w:rsidR="001F72EB" w:rsidRPr="00C33834" w:rsidRDefault="001F72EB"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B52CBA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создали эскадрилью особого назначения под управлением Т.П.Сузи, которая базировалась в Переяславле-Залесском на Плещеевом озере и занималась испытаниями ДРП и РС. Начали на И-зет, а потом получили и ИП-1 и И-14 (4020,15).</w:t>
      </w:r>
    </w:p>
    <w:p w14:paraId="225C4E5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4A35422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в план опытного самолетостроения ГУАП на 1933-1934 было внесено дополнительное задание на самолеты-разведчики для конструкторских бригад С.А.Кочеригина из ЦКБ завода 39 (СР (ЦКБ-27) с ГР ММ) и И.Г.Немана из ХАИ (СО (ХАИ-5) с М-22). Было предложено создать однодвигательный двухместный скоростной разведчик с убирающимся шасси, пулеметным вооружением и возможностью нести бомбы и сроком выхода на заводские испытания к 1 декабря 1934. Кроме того, ХАИ поручили, используя опыт проектирования ХАИ-1, создать невооруженный скоростной фоторазведчик ФР (СФР), получивший номер ХАИ-6. Неман начал с ФР и хотел его выпустить на испытания к 1 сентября 1934. Идея СФР была выдвинута нач. сектора сухопутных самолетов НИИ ВВС Б.С.Горощенко, который считал, что скорости, превосходящей скорость истребителя, будет достаточно для защиты (1166,28).</w:t>
      </w:r>
    </w:p>
    <w:p w14:paraId="7838C6D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Если проверить по плану, то окажется, что в план попали только 8 декабря, это был план на 1934-1935 и СР ХАИ был с М-34ФРН или Испано, а ЦКБ-27 с РЦ, а ФР - также с РЦ.</w:t>
      </w:r>
    </w:p>
    <w:p w14:paraId="3531D23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53598DC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л Возницкий на АИР-6 с поплавками выполнил перелет на 3000 км на АИР-6 на поплавках вдоль Москвы-реки, Оки и Волги (3550,12).</w:t>
      </w:r>
    </w:p>
    <w:p w14:paraId="2DA0B4F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094ACE2F" w14:textId="77777777" w:rsidR="00CE69D7" w:rsidRPr="00C33834" w:rsidRDefault="00CE69D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1933-го Возницкий пролетел на поплавковом АИР-6 3000 км вдоль Москва-реки, Оки и Волги из Москвы в Казань и обратно (15727).</w:t>
      </w:r>
    </w:p>
    <w:p w14:paraId="15D496E0" w14:textId="77777777" w:rsidR="00CE69D7" w:rsidRPr="00C33834" w:rsidRDefault="00CE69D7" w:rsidP="00C33834">
      <w:pPr>
        <w:spacing w:after="0" w:line="240" w:lineRule="auto"/>
        <w:jc w:val="both"/>
        <w:rPr>
          <w:rFonts w:ascii="Times New Roman" w:hAnsi="Times New Roman"/>
          <w:color w:val="000000" w:themeColor="text1"/>
          <w:sz w:val="16"/>
          <w:szCs w:val="16"/>
        </w:rPr>
      </w:pPr>
    </w:p>
    <w:p w14:paraId="17ACD2E3" w14:textId="77777777" w:rsidR="00BE6B55" w:rsidRPr="00C33834" w:rsidRDefault="00BE6B55"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Осенью 1933 года Возницкий совершил на АИР-6А перелет вдоль Москвы-реки, Оки и Волги по маршруту Москва - Рязань - Горький - Казань и обратно общей протяженностью 3000 км (19099).</w:t>
      </w:r>
    </w:p>
    <w:p w14:paraId="5C231B31" w14:textId="77777777" w:rsidR="00BE6B55" w:rsidRPr="00C33834" w:rsidRDefault="00BE6B55" w:rsidP="00C33834">
      <w:pPr>
        <w:pStyle w:val="a8"/>
        <w:jc w:val="both"/>
        <w:rPr>
          <w:rFonts w:ascii="Times New Roman" w:hAnsi="Times New Roman" w:cs="Times New Roman"/>
          <w:color w:val="000000" w:themeColor="text1"/>
        </w:rPr>
      </w:pPr>
    </w:p>
    <w:p w14:paraId="49D700A4" w14:textId="77777777" w:rsidR="00BE6B55" w:rsidRPr="00C33834" w:rsidRDefault="00BE6B55"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Осенью 1933 г. американский мотор с самолета АИР-5 сняли и начали переделывать машину под советский М-48, несколько более громоздкий и тяжелый. Максимальная мощность зато тоже была немного выше-210 л.с. Когда именно из Запорожья доставили опытный образец М-48, неизвестно, но, по воспоминаниям Л.М. Шехтера, в ноябре замену двигателя уже вели. Таким образом хотели получить эталон для серийного производства (19099).</w:t>
      </w:r>
    </w:p>
    <w:p w14:paraId="58406540" w14:textId="77777777" w:rsidR="00BE6B55" w:rsidRPr="00C33834" w:rsidRDefault="00BE6B55" w:rsidP="00C33834">
      <w:pPr>
        <w:pStyle w:val="a8"/>
        <w:jc w:val="both"/>
        <w:rPr>
          <w:rFonts w:ascii="Times New Roman" w:hAnsi="Times New Roman" w:cs="Times New Roman"/>
          <w:color w:val="000000" w:themeColor="text1"/>
        </w:rPr>
      </w:pPr>
    </w:p>
    <w:p w14:paraId="397921A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Зам. НКТП Пятаков писал проект записки Пред. СНК т. Молотову:</w:t>
      </w:r>
    </w:p>
    <w:p w14:paraId="770C5EC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вопросу: Доводки и летных испытаний сам. ДАР-2 (группа Чухновского)</w:t>
      </w:r>
    </w:p>
    <w:p w14:paraId="309DD09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постановлению Правительства от 7 августа с.г. за № К-30/с ГУАП должен произвести на заводе № 45 окончательную сборку и заводские испытания самолета ДАР-2 (группы Чухновского).</w:t>
      </w:r>
    </w:p>
    <w:p w14:paraId="3157FCE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по заявлению тов. Чухновского, доводка и производство заводских испытаний сам. ДАР-2 будет произведена на заводе им. Марти в Ленинграде, силами группы тов. Чухновского, что в болтшей степени будет отвечать своевременности выпуска самолета на госиспытания.</w:t>
      </w:r>
    </w:p>
    <w:p w14:paraId="178E382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силу Изложенного ходатайствую об отмене постановления правительства от 7 августа с.г. в части, касающейся ГУАПа (2266,235).</w:t>
      </w:r>
    </w:p>
    <w:p w14:paraId="460C40C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5F1CDBC4"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г. М.Н.Тухачевский вызывает Н.Я.Ильина в Москву и назначает его на должность начальника конструкторского бюро № 2 Отдела изобретений НКО. Оно было создано, как КБ-11 при непосредственном участии Н.Я.Ильина еще в 1931 г. (12702).</w:t>
      </w:r>
    </w:p>
    <w:p w14:paraId="7127DC1F" w14:textId="77777777" w:rsidR="00CE35D9" w:rsidRPr="00C33834" w:rsidRDefault="00CE35D9" w:rsidP="00C33834">
      <w:pPr>
        <w:spacing w:after="0" w:line="240" w:lineRule="auto"/>
        <w:jc w:val="both"/>
        <w:rPr>
          <w:rFonts w:ascii="Times New Roman" w:hAnsi="Times New Roman"/>
          <w:color w:val="000000" w:themeColor="text1"/>
          <w:sz w:val="16"/>
          <w:szCs w:val="16"/>
        </w:rPr>
      </w:pPr>
    </w:p>
    <w:p w14:paraId="21347D03" w14:textId="77777777" w:rsidR="00BE6B55" w:rsidRPr="00C33834" w:rsidRDefault="00BE6B55"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Осенью 1933 г. в Московском отделении ГИРД по инициа тиве СП. Королева было принято решение о начале работ по ракетопланам, т.е. над самолетами, полет которых обеспечи вает ЖРД.</w:t>
      </w:r>
    </w:p>
    <w:p w14:paraId="75AC975B" w14:textId="77777777" w:rsidR="00BE6B55" w:rsidRPr="00C33834" w:rsidRDefault="00BE6B55"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Предусматривалось два основных направления работ:</w:t>
      </w:r>
    </w:p>
    <w:p w14:paraId="793771E5" w14:textId="77777777" w:rsidR="00BE6B55" w:rsidRPr="00C33834" w:rsidRDefault="00BE6B55"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создание ракетоплана РП-1 с ЖРД ОР-2 с вытеснитель ной подачей компонентов топлива в камеру сгорания двигате ля (рис. 2.7 а). Эта работа велась в четвертой бригаде ГИРД под руководством СП. Королева;</w:t>
      </w:r>
    </w:p>
    <w:p w14:paraId="5F195780" w14:textId="77777777" w:rsidR="00BE6B55" w:rsidRPr="00C33834" w:rsidRDefault="00BE6B55"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создание ракетоплана РП-2 с ЖРД РД-А (03) и с насос ной подачей компонентов топлива в камеру сгорания двигате ля. Эта работа велась во второй бригаде ГИРД под руководством М.К. Тихонравова.</w:t>
      </w:r>
    </w:p>
    <w:p w14:paraId="6A3EA655" w14:textId="77777777" w:rsidR="00BE6B55" w:rsidRPr="00C33834" w:rsidRDefault="00BE6B55"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этих работах надо было не только показать принципи альную возможность создания ракетных самолетов, но и раз работать двигательную установку с ЖРД. Эта ДУ должна была обеспечить ракетному самолету достаточно высокую полезную нагрузку, большую продолжительность полета, простоту в эк сплуатации, а в конечном итоге возможность и практического использования самолета, например, для изучения стратосфе ры (высота 11...40км), освоению которой придавалось тогда большое значение.</w:t>
      </w:r>
    </w:p>
    <w:p w14:paraId="00800D1C" w14:textId="77777777" w:rsidR="00BE6B55" w:rsidRPr="00C33834" w:rsidRDefault="00BE6B55"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 П. Королев предложил в основу ракетоплана положить бесхвостый планер БИЧ-XI конструкции Б.И. Черановского.</w:t>
      </w:r>
    </w:p>
    <w:p w14:paraId="4B8392CF" w14:textId="77777777" w:rsidR="00BE6B55" w:rsidRPr="00C33834" w:rsidRDefault="00BE6B55"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Для ракетоплана РП-1 двигатель ОР-2 разрабатывал Ф.А. Цандер.</w:t>
      </w:r>
    </w:p>
    <w:p w14:paraId="11A3EC6A" w14:textId="77777777" w:rsidR="00BE6B55" w:rsidRPr="00C33834" w:rsidRDefault="00BE6B55"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ЖРД создавался не как изолированный агрегат, а как со ставная часть конкретного самолета (рис. 2.8), то есть осу ществлялся комплексный подход к решению проблемы уста новки двигателя.</w:t>
      </w:r>
    </w:p>
    <w:p w14:paraId="58B15BF3" w14:textId="77777777" w:rsidR="00BE6B55" w:rsidRPr="00C33834" w:rsidRDefault="00BE6B55"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Тяга этого ЖРД должна была составлять 50 кгс, а время ра боты 30 секунд. В качестве горючего было принято взять авиационный бензин, окислителя — жидкий кислород. Компоненты топлива заправлялись в баки грушевидной формы, из которых под давлением сжатого азота подавались в камеру сгорания дви гателя по вытеснительной схеме. Вытеснительная система пода чи была наиболее простой и легко осуществимой, но получалась относительно тяжелой из-за необходимости расчета баков, тру бопроводов, арматуры и соединений на довольно высокое избы точное давление (6...8 атм.). При этом необходимо было тщательно собирать и подгонять все части системы в производстве, и под держивать ее герметичность в эксплуатации.</w:t>
      </w:r>
    </w:p>
    <w:p w14:paraId="27215105" w14:textId="77777777" w:rsidR="00BE6B55" w:rsidRPr="00C33834" w:rsidRDefault="00BE6B55"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На ракетоплане РП-2 планировали установить двигатель РД-А с тягой 80...85 кгс, который создавался во второй бригаде ГИРД под руководством М.К. Тихонравова. Для этого ЖРД должна была применяться насосная система подачи топлива, которая по зволяла выполнить баки плоскими, тонкостенными и легки ми. При этом под высоким давлением находились только сам насос и трубопровод, соединяющий его с камерой сгорания двигателя. Кроме того, насосная система подачи отличалась безопасностью и простотой в эксплуатации.</w:t>
      </w:r>
    </w:p>
    <w:p w14:paraId="442DFB31" w14:textId="77777777" w:rsidR="00BE6B55" w:rsidRPr="00C33834" w:rsidRDefault="00BE6B55"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Разработчики ракетопланов РП-1 и РП-2 не ставили перед собой цель получить выдающиеся летно-те^нические характе ристики, они рассчитывали всего лишь подтвердить возмож ности полета самолета с ЖРД.</w:t>
      </w:r>
    </w:p>
    <w:p w14:paraId="330A607E" w14:textId="77777777" w:rsidR="00BE6B55" w:rsidRPr="00C33834" w:rsidRDefault="00BE6B55"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При полной массе 470 кг максимальная расчетная скорость этих ракетных самолетов составила бы не более 140 км/ч. Про должительность полета получалась из расчетов равной соответ ственно 7 и 12 мин. С П. Королев подчеркивал, что при тяге 50 кгс для взлета ракетоплану потребуется продолжительный разбег, а набор высоты будет происходить очень медленно и до потолка всего 810 м. Несколько лучше, считал С П. Королев, будет обстоять дело и при форсировании работы реактивного Двигателя до тяги 100 кгс.</w:t>
      </w:r>
    </w:p>
    <w:p w14:paraId="30248583" w14:textId="77777777" w:rsidR="00BE6B55" w:rsidRPr="00C33834" w:rsidRDefault="00BE6B55"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lastRenderedPageBreak/>
        <w:t>Аэродинамическая схема ракетопланов — «летающее кры Ло ». Выбор этой схемы был обусловлен необходимостью со 40 М. ЕВТИФЬЕВ кращения длины герметичных трубопроводов вытеснительной системы подачи топлива для РП-1 и трубопровода от насоса до двигателя для РП-2. Такая аэродинамическая схема дава ла возможность всю ДУ разместить очень компактно вблизи центра тяжести ракетоплана при минимальной длине находя щихся под давлением трубопроводов.</w:t>
      </w:r>
    </w:p>
    <w:p w14:paraId="0422ADDD" w14:textId="77777777" w:rsidR="00BE6B55" w:rsidRPr="00C33834" w:rsidRDefault="00BE6B55"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Тяга двигателя ракетоплана РП-1 в полете должна была регулироваться из кабины летчика со специального щитка посредством подачи различного количества горючей смеси жиклерами, а также изменением давления подачи. Работа дви гательной установки должна была контролироваться маномет рами в каждом из баков и в камере сгорания, а также термо метрами.</w:t>
      </w:r>
    </w:p>
    <w:p w14:paraId="41749E66" w14:textId="77777777" w:rsidR="00BE6B55" w:rsidRPr="00C33834" w:rsidRDefault="00BE6B55"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Планер БИЧ-XI построили, смонтировали практически все агрегаты двигательной установки ракетоплана РП-1, но сам двигатель еще не был готов. Работы по ЖРД ОР-2 оказались не простыми, как думали раньше. Как показали стендовые испытания, двигатель ОР-2 оказался ненадежным в работе.</w:t>
      </w:r>
    </w:p>
    <w:p w14:paraId="31ED81DA" w14:textId="77777777" w:rsidR="00BE6B55" w:rsidRPr="00C33834" w:rsidRDefault="00BE6B55"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Возникли проблемы с устойчивостью горения топливной сме си в камере сгорания, надежностью охлаждения двигателя.</w:t>
      </w:r>
    </w:p>
    <w:p w14:paraId="7F9B5704" w14:textId="77777777" w:rsidR="00BE6B55" w:rsidRPr="00C33834" w:rsidRDefault="00BE6B55"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Надо было определить возникающие нагрузки, решить еще многие трудные и не известные в то время вопросы, а это по требовало дополнительного времени. Также возникли трудно сти, и затянулась работа по изготовлению топливного насоса для двигателя РД-А на ракетоплан РП-2. В связи с этими про блемами было принято решение о прекращении работ по ра кетопланам РП-1 и РП-2. Основные усилия направили на раз работку более совершенных и надежных жидкостных ракет ных двигателей.</w:t>
      </w:r>
    </w:p>
    <w:p w14:paraId="056637F5" w14:textId="77777777" w:rsidR="00BE6B55" w:rsidRPr="00C33834" w:rsidRDefault="00BE6B55"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Зимой 1932 г. СП. Королев испытал в полете планер без двигателя, а также с маломощным поршневым двигателем.</w:t>
      </w:r>
    </w:p>
    <w:p w14:paraId="3D7D5D17" w14:textId="77777777" w:rsidR="00BE6B55" w:rsidRPr="00C33834" w:rsidRDefault="00BE6B55"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По результатам полетов было установлено, что планер доволь но сложен в управлении. В связи с этим С П. Королев решил спроектировать свой новый планер СК-б, аэродинамическая схема которого обеспечивала бы получение нормальных ха рактеристик устойчивости и управляемости и одновременно обладала всеми компоновочными достоинствами для размеще ния двигательной установки с ЖРД (19586).</w:t>
      </w:r>
    </w:p>
    <w:p w14:paraId="0D68FFD8" w14:textId="77777777" w:rsidR="00BE6B55" w:rsidRPr="00C33834" w:rsidRDefault="00BE6B55"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C53798D" w14:textId="77777777" w:rsidR="00640E1D" w:rsidRPr="00C33834" w:rsidRDefault="00640E1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Осенью 1933 г. вторая оболочка дирижабля «СССР В-1» пришла в негодность, и взамен её изготовили тре</w:t>
      </w:r>
      <w:r w:rsidRPr="00C33834">
        <w:rPr>
          <w:rFonts w:ascii="Times New Roman" w:hAnsi="Times New Roman"/>
          <w:color w:val="0070C0"/>
          <w:sz w:val="16"/>
          <w:szCs w:val="16"/>
        </w:rPr>
        <w:softHyphen/>
        <w:t>тью, на этот раз большего объёма за счёт вставки дополнительного полотнища. Она имела объём 2625 м3, длину 45,3 м, наибольший диаметр 0,8 м. Полезная нагрузка возросла до 1148 кг (20120).</w:t>
      </w:r>
    </w:p>
    <w:p w14:paraId="796AC3B3" w14:textId="77777777" w:rsidR="00640E1D" w:rsidRPr="00C33834" w:rsidRDefault="00640E1D" w:rsidP="00C33834">
      <w:pPr>
        <w:spacing w:after="0" w:line="240" w:lineRule="auto"/>
        <w:jc w:val="both"/>
        <w:rPr>
          <w:rFonts w:ascii="Times New Roman" w:hAnsi="Times New Roman"/>
          <w:color w:val="0070C0"/>
          <w:sz w:val="16"/>
          <w:szCs w:val="16"/>
        </w:rPr>
      </w:pPr>
    </w:p>
    <w:p w14:paraId="102BB5B2"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7E6384A"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60A6BC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прошли испытания танка БТ-5ПХ, оборудованного в мастерских 5 учебного полка БелВО. Резиновыми уплотнителями обеспечили герметичность, а швы прокрасили суриком (3880,30).</w:t>
      </w:r>
    </w:p>
    <w:p w14:paraId="68D5F66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735BAFD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проходили испытания радиостанции 71-ТК на БТ-2. Неудовлетворительно из-за помех от системы зажигания (9527,78).</w:t>
      </w:r>
    </w:p>
    <w:p w14:paraId="1F75380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6EF225B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прошли испытания опытного образца танка Т-26 с приспособлением для плава (АТ-2), разработанного специальным отделом НАТИ под руководством А.С.Кузина в 1933. Всерии и на вооружении не был (9527,241).</w:t>
      </w:r>
    </w:p>
    <w:p w14:paraId="5A9D2BB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5AA3676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были построены три ба ПБ-4 КБ Ижорского завода. В апреле 1934 построенные в феврале 1934 по доработанным чертежам еще три ба ПБ-4, разработанные КБ Ижорского завода под руководством Н.Я.Обухова на базе Форд Тимкен, показали удовлетворительные результаты во время испытаний (9527,332).</w:t>
      </w:r>
    </w:p>
    <w:p w14:paraId="49C26BF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42B4367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года на одном БАИ установили 37-мм динамо-реактивное (бе</w:t>
      </w:r>
      <w:r w:rsidRPr="00C33834">
        <w:rPr>
          <w:rFonts w:ascii="Times New Roman" w:hAnsi="Times New Roman"/>
          <w:color w:val="000000" w:themeColor="text1"/>
          <w:sz w:val="16"/>
          <w:szCs w:val="16"/>
        </w:rPr>
        <w:softHyphen/>
        <w:t>зоткатное) противотанковое ружье конструкции Курчевского. Для этого в корме башни прорезали квадратное от</w:t>
      </w:r>
      <w:r w:rsidRPr="00C33834">
        <w:rPr>
          <w:rFonts w:ascii="Times New Roman" w:hAnsi="Times New Roman"/>
          <w:color w:val="000000" w:themeColor="text1"/>
          <w:sz w:val="16"/>
          <w:szCs w:val="16"/>
        </w:rPr>
        <w:softHyphen/>
        <w:t>верстие, закрытое бронелистом, а спереди приварили спе</w:t>
      </w:r>
      <w:r w:rsidRPr="00C33834">
        <w:rPr>
          <w:rFonts w:ascii="Times New Roman" w:hAnsi="Times New Roman"/>
          <w:color w:val="000000" w:themeColor="text1"/>
          <w:sz w:val="16"/>
          <w:szCs w:val="16"/>
        </w:rPr>
        <w:softHyphen/>
        <w:t>циальный коробчатый кожух. Испытания, проведенные на Кунцевском стрелковом полигоне, выявили ненадежное крепление ствола в башне, неудачную систему заряжания, малый угол возвышения и невозможность стрельбы назад из-за крыши, возвышающейся над отделением водителя. Поэтому дальнейшие работы по вооружению БАИ система</w:t>
      </w:r>
      <w:r w:rsidRPr="00C33834">
        <w:rPr>
          <w:rFonts w:ascii="Times New Roman" w:hAnsi="Times New Roman"/>
          <w:color w:val="000000" w:themeColor="text1"/>
          <w:sz w:val="16"/>
          <w:szCs w:val="16"/>
        </w:rPr>
        <w:softHyphen/>
        <w:t>ми Курчевского прекратили (11284).</w:t>
      </w:r>
    </w:p>
    <w:p w14:paraId="1699A63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89FD3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года собрали два двигателя мощностью около 90 л.с., установили их на автомобили Я-5 и отправили в сравнительный пробег, где испытывалось 27 аналогичных зарубежных двигателей, установленных на таких же Я-5. Испытание ярославские моторы выдержали, но производство еще не было готово к выпуску столь сложной продукции, как дизельный двигатель, особенно прецизионной топливной аппаратуры для дизелей (11197).</w:t>
      </w:r>
    </w:p>
    <w:p w14:paraId="0BC42F8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005F1965"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года собрали два двигателя профессора Н.Р. Брилинга мощностью около 90 л.с., установили их на автомобили Я-5 и отправили в сравнительный пробег, где испытывалось 27 аналогичных зарубежных двигателей, установленных на таких же Я-5. Испытание ярославские моторы выдержали, но производство еще не было готово к выпуску столь сложной продукции, как дизельный двигатель, особенно прецизионной топливной аппаратуры для дизелей (12200).</w:t>
      </w:r>
    </w:p>
    <w:p w14:paraId="5B5DEDA3" w14:textId="77777777" w:rsidR="003F2394" w:rsidRPr="00C33834" w:rsidRDefault="003F2394" w:rsidP="00C33834">
      <w:pPr>
        <w:spacing w:after="0" w:line="240" w:lineRule="auto"/>
        <w:jc w:val="both"/>
        <w:rPr>
          <w:rFonts w:ascii="Times New Roman" w:hAnsi="Times New Roman"/>
          <w:color w:val="000000" w:themeColor="text1"/>
          <w:sz w:val="16"/>
          <w:szCs w:val="16"/>
        </w:rPr>
      </w:pPr>
    </w:p>
    <w:p w14:paraId="3D727E0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г. экспериментальном отделе завода начались работы по новой легковой модели, получившей впоследствии обозначение ГАЗ-М1. Когда в 1933 г. началось производство модели "Форд-40", был поставлен вопрос о выпуске ее и на ГАЗе. Одним из инициаторов быстрейшей подготовки производства новой легковой модели выступил назначенный в октябре 1933 г. главным конструктором ГАЗа А. А. Липгарт. Первые три опытных образца собрали в январе 1934 г. Они внешне отличались от серийных машин иной облицовкой радиатора, лючками на боковинах капота, колесами с проволочными спицами. ГАЗ-М1 не повторял полностью конструкцию "Форда-40". Так горьковские конструкторы в подвесках колес отказались от двух поперечных рессор в польз четырех продольных, впервые самостоятельно путем графо-пластических методов они разработали иную, чем у "Форда-40", криволинейную поверхность передних крыльев, перешли на дисковые штампованные колеса, ввели ряд других изменений, в том числе "плавающую" подвеску двигателя. Главным новшеством стал кузов - закрытый цельнометаллический. Деревянной оставалась лишь одна деталь - боковой брус крыши. В целом машина сохранила очень мало общего с ГАЗ-А, хотя двигатель, коробка передач и задний мост представляли собой усовершенствованные узлы прежней модели. Двигатель получил систему смазки под давлением, циркуляционную (от насоса) систему охлаждения, автомат опережения момента зажигания, усовершенствованный карбюратор с экономайзером и автоматическим клапаном воздушной заслонки, коленчатый вал с противовесами, а также контактно-масляный воздушный фильтр. При таком же рабочем объеме, как у ГАЗ-А, двигатель ГАЗ-M новой модели стал мощнее (50 л. с.) благодаря измененным фазам газораспределения и повышенной до 4,6 степени сжатия. Эта степень сжатия соответствовала тогда наиболее распространенному в СССР сорту автомобильного бензина с октановым числом 59-65. Двигатель ГАЗ-M с 1938 г. стал монтироваться и на модернизированных грузовиках ГАЗ-АА, получивших индекс ГАЗ-ММ. Завод обновил и коробку передач - ввел шестерни постоянного зацепления на второй ступени и скользящую зубчатую муфту включения второй и третьей передач. Толкающие усилия от заднего моста на раму у ГАЗ-М1 передавала не труба карданного вала, как у ГАЗ-А, а рессоры. Поэтому труба стала легче, получила скользящее телескопическое сочленение и воспринимала только реактивный момент заднего моста. Значительное увеличение жесткости рамы было достигнуто не только увеличением сечений лонжеронов и траверс, но и введением Х-образной поперечины. Более мягкие, чем у ГАЗ-А, рессоры сочетались с гидравлическими рычажными амортизаторами одностороннего действия. Изменения коснулись рулевого механизма (глобоидальный червяк и двойной ролик вместо червяка и двухзубого сектора на ГАЗ-А), а также тормозов. Кузов ГАЗ-М1 был более комфортным для водителя и пассажиров. Многое завод применил впервые: регулируемое по расстоянию от педалей сиденье водителя, бессквозняковая вентиляция с четырьмя поворотными форточками в боковых окнах, противосолнечные щитки, суконная обивка сидений, прикуриватель, пепельница. Добавим сюда запираемые изнутри три двери и правую дверь с индивидуальным наружным замком, ножной переключатель дальнего света фар, подфарники, электрический указатель уровня бензина. ГАЗ-MI имел следующие характеристики: количество мест - 5; двигатель: число цилиндров- 4; рабочий объем - 3285 см'*, мощность - 50 л. с. при 2800 об/мин; число передач - 3; размер шин - 7,00 - 16"; длина - 4625 мм, ширина - 1770 мм, высота - 1780 мм; база - 2845 мм. Масса в снаряженном состоянии - 1370 кг. Наибольшая скорость - 105 км/ч, разгон места до 80 км/ч - за 24 с. Средний эксплуатационный расход топлива - 14,5 л/100 км. С 1936 по 1943 г. изготовлено 62888 машин ГАЗ-М1. Конструкция ГАЗ-М1 разрабатывалась под руководством А. А. Липгарта инженерами Л. В. Косткиным, А. М. Кригером, Ю. Н. Сорочкиным и др. Первые два серийных образца ГАЗ-М1 17 марта 1936 г. были отправлены в Кремль. Там их осматривали И. В. Сталин, В. М. Молотов, К. Е. Ворошилов, Г. К. Орджоникидзе. Так установилась традиция, когда все новые модели автомобилей проходили высшую госприемку (12098).</w:t>
      </w:r>
    </w:p>
    <w:p w14:paraId="6C59A56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462BA94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г. мотоцикл-одиночку НАТИ-А-750 с заводским номером 2 передали в Политехнический музей столи</w:t>
      </w:r>
      <w:r w:rsidRPr="00C33834">
        <w:rPr>
          <w:rFonts w:ascii="Times New Roman" w:hAnsi="Times New Roman"/>
          <w:color w:val="000000" w:themeColor="text1"/>
          <w:sz w:val="16"/>
          <w:szCs w:val="16"/>
        </w:rPr>
        <w:softHyphen/>
        <w:t>цы [4.72] (11429).</w:t>
      </w:r>
    </w:p>
    <w:p w14:paraId="140AC81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A9E68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Осенью 1933г. в системе НКТП по инициативе А.Ф. Шорина пост. СНК создан ВГИТиС (ГС НИИ-10 НКОП, НКСП, МСП, ГКРЭ, МРП, п/я 2435, Всесоюзный государственный институт телемеханики и связи (ВГИТиС) НКТП, Всесоюзный НИИ радиоэлектронники (ВНИИРЭ) МСП, ВНИИ, НПО «Альтаир», А-1586, ГосНПО «Альтаир», ФГУП «НТК «Альтаир», ОАО «Морской НИИ радиоэлектроники (МНИИРЭ) «Альтаир» ФАП /111024 г. Москва ул. Авиамоторная, 57 тел. 673-14-32/) для разработки радиоэлектронного вооружения армии и флота. Строительство комплекса зданий началось в 1934г. в Дангауэровской слободе. Коллектив института формировался из сотрудников Остехбюро, ЦЛПС, ВЭИ и НРЛ. Приказом НКТП от 23.10.1933г. директором назначен Ф.Ф. Сучков. Положение об институте утверждено приказом НКТП от 2.07.1935г. В 12.1936г. институт передан в ведение НКОП и по пр. № Обсс от 30.12.1936г. переименован в НИИ-10, приказом № 262 </w:t>
      </w:r>
      <w:r w:rsidRPr="00C33834">
        <w:rPr>
          <w:rFonts w:ascii="Times New Roman" w:hAnsi="Times New Roman"/>
          <w:color w:val="000000" w:themeColor="text1"/>
          <w:sz w:val="16"/>
          <w:szCs w:val="16"/>
        </w:rPr>
        <w:lastRenderedPageBreak/>
        <w:t>от 31.07.1937г. утверждено Положение о ГС НИИ-10 5ГУ. По пр. № 108с от 25.03.1938г. передан в ведение нового 20ГУ, пр. № 328 от 29.08.1938г. утвержден новый Устав института. В 02.1939г. из 20ГУ передан в ведение НКСП.</w:t>
      </w:r>
    </w:p>
    <w:p w14:paraId="1CFDA54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Первоначально в составе института было три сектора: электрических процессов (разработка радиоаппаратуры для радиолиний управления объектами); электроакустики; телемеханики (разработка исполнительных механизмов для телеуправляемых объектов). На базе ЦЛПС был организован Ленинградский филиал (ЛФ) института - Тихвинские мастерские. В Москве построены три больших корпуса и вспомогательные постройки. Приказом № 020 от 3.02.1937г. предписано к 1.01.1938г. закончить строительство института; пр. НКМ/НКОП № 311сс/425сс от 3/14.11.1938г. - сдать лабораторный корпус к 1.12.1938г. Этим же приказом в институт из ВЭИ переданы со всей тематикой, кадрами и имуществом лаборатории № 1 (станция БТП-ВЭИ; изготовление: болометров, специндикаторов; радио-синхронная передача показаний углов при помощи кабельного телевидения) и № 2 (силовая синхронно-следящая передача: для Б-34, для стабилизированной платформы; разработка: электровысотомера координат самолета, электрогироскопа, электрофугального молота; ПУАЗО для малокалиберной артиллерии) на правах отдельных лабораторий. В конце 1930-х г. сектор электрических процессов преобразован в лабораторию № 3. В ее составе группы: высокочастотных устройств, передающих устройств, приемных устройств, специальных устройств, устройств электропитания аппаратуры; конструкторский сектор. К этому времени были созданы также лаборатории: электровакуумных и оптических устройств, химическая; опытное производство, сборочный цех № 2. Создан отдел технического обучения.</w:t>
      </w:r>
    </w:p>
    <w:p w14:paraId="49BA85B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1939г. ЛФ НИИ-10 объединен с Ленинградским филиалом НИИ-20 в Институт морской телемеханики и автоматики (НИИ-49).</w:t>
      </w:r>
    </w:p>
    <w:p w14:paraId="13A866B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(1930-е г.): управляемые по проводам: пулемет ШКАС (Г.Г. Коннов), пулемет «Максим» (С.Д. Иваненко); система наведения планера-снаряда с самолета на корабль «Квант» (В.Д. Калмыков); радиолинии управления для танков и торпедных катеров: на дециметровых волнах «Альфа» (В.А. Кузовкин), на СВ «Штурвал» (К.А. Рождественский); радиолиния управления фугасными зарядами «Малютка» (А.Ф. Шорин); в ЛФ создана радиоаппаратура для МБР-2 для наведения торпедных катеров; система наведения торпедного катера по ИК-лучам «Луна» (1937г.), модернизированная- «Аргон»; создана «трубка Кубецкого»- каскадный усилитель электрических сигналов; управление для крылатой ракеты «217» конструкции РНИИ.</w:t>
      </w:r>
      <w:r w:rsidRPr="00C33834">
        <w:rPr>
          <w:rFonts w:ascii="Times New Roman" w:hAnsi="Times New Roman"/>
          <w:color w:val="000000" w:themeColor="text1"/>
          <w:sz w:val="16"/>
          <w:szCs w:val="16"/>
          <w:vertAlign w:val="superscript"/>
        </w:rPr>
        <w:t>57</w:t>
      </w:r>
      <w:r w:rsidRPr="00C33834">
        <w:rPr>
          <w:rFonts w:ascii="Times New Roman" w:hAnsi="Times New Roman"/>
          <w:color w:val="000000" w:themeColor="text1"/>
          <w:sz w:val="16"/>
          <w:szCs w:val="16"/>
        </w:rPr>
        <w:t xml:space="preserve"> В эти же годы были заложены основы радиолокации, теплопеленгации, гироскопии, электроакустики, управления стрельбой артиллерии. С 1940 г. начинают превалировать разработки для ВМФ. В 05.1940 г. образован отдел гл. конструктора (ОГК), а в его составе- ЦКБ. Лаборатории оснащаются новейшей зарубежной измерительной и испытательной аппаратурой.</w:t>
      </w:r>
    </w:p>
    <w:p w14:paraId="3E786A6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исполнение решения правительства № 62сс от 26.03.1937г. институту поручено (совместно с заводом № 21) выполнить к 1.09.1937г. взамен турельного авиаприбора с автоматическим открытием огня с помощью фотоспуска на самолете И-16 аналогичное устройство для неподвижной установки с оптическим прицелом ОП-1.</w:t>
      </w:r>
    </w:p>
    <w:p w14:paraId="2C96733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распоряжением СНК № 1720-рс от 19.06.1941 г. и приказом НКАП № 558с от 24.06.1941 г. институту переданы опытные работы и оборудование по морским гироскопическим приборам ликвидированного НИИ-22 НКАП.</w:t>
      </w:r>
    </w:p>
    <w:p w14:paraId="22CEEC9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09.1941 г. большая часть института (кадры и оборудование) эвакуирована в пос. Бекетовка под Сталинградом. Уполномоченным по эвакуации назначен А.С. Андреев. 16.10.1941 г. принято решение о эвакуации оставшейся части института в Свердловск, где он был размещен в здании Политехнического института. Начальником Свердловского отделения назначен Н.В. Рогачевский. В Москве продолжал действовать филиал: велось изготовление аппаратуры для фронта; работы по созданию аппаратуры по обнаружению самолетов с земли (К.В. Байдун). В 12.1941 г. в Свердловске в состав НИИ-10 влилась часть эвакуированного НИИ-49, и образован Свердловский филиал НИИ-10. В начале 1941 г. в Москву возвращается часть института из Сталинграда, а в 08.1941 г.- из Свердловска. К концу 1943г. институт полностью восстановил свою деятельность. В 07.1941 г. группа специалистов НИИ-10 по гироскопической тематике переведена в СКБ НКСП. В 10.1941 г. часть сотрудников НИИ-49 из Ленинграда переведена в Москву в распоряжение НИИ-10.</w:t>
      </w:r>
    </w:p>
    <w:p w14:paraId="7757D82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1941 г. началась разработка первой морской РЛС для управления стрельбой зенитных орудий крейсеров- «Юпитер-1». 3.03.1943г. вышло распоряжение ГКО № 2960 об изготовлении в институте РЛ аппаратуры для кораблей ВМФ. 13.02.1944г. - постановление ГКО № 5167 о проектировании и изготовлении в институте опытных РЛС и приборов точной наводки артиллерии для кораблей ВМФ. 8.05.1945г. вышло постановление ГКО № 8454 о проектировании и изготовлении опытных образцов радиолокатора «Юпитер-</w:t>
      </w:r>
      <w:r w:rsidRPr="00C33834">
        <w:rPr>
          <w:rFonts w:ascii="Times New Roman" w:hAnsi="Times New Roman"/>
          <w:color w:val="000000" w:themeColor="text1"/>
          <w:sz w:val="16"/>
          <w:szCs w:val="16"/>
          <w:lang w:val="en-US"/>
        </w:rPr>
        <w:t>Ill</w:t>
      </w:r>
      <w:r w:rsidRPr="00C33834">
        <w:rPr>
          <w:rFonts w:ascii="Times New Roman" w:hAnsi="Times New Roman"/>
          <w:color w:val="000000" w:themeColor="text1"/>
          <w:sz w:val="16"/>
          <w:szCs w:val="16"/>
        </w:rPr>
        <w:t>» и электрического ПУАЗО.</w:t>
      </w:r>
    </w:p>
    <w:p w14:paraId="000CA5A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войны, наряду с разработкой РЛС для ВМФ, велась разработка измерительной и контрольной аппаратуры; создан отдел гироскопических приборов УР. Работы по гироприборам, как для морской техники, так и для ракетной (гл. конструктор- В.И. Кузнецов, до этого работавший в МНИИ-1).</w:t>
      </w:r>
    </w:p>
    <w:p w14:paraId="003B4B1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9.08.1946г. ВМФ выдало задание на разработку' корабельной РЛС «Риф». В соответствии с пост, правительства от 10.07.1946г. создана РЛС «Зарница», в соответствии с пост, правительства от 17.07.1947г. станция была полностью переделана (А.К. Балаян). В соответствии с этими же постановлениями начата разработка боевого информационного поста (БИЛ) «Звено» для надводных кораблей. В 1948-50 г. выполнена (совместно с НИМРИ) НИР «Знамя» по устранению недостатков БИП «Звено», в результате которой в 1953г. создан новый БИП «Цепь». В соответствии с ПСМ № 547-242сс от 27.03.1954г. БИП «Планшет» пнв.</w:t>
      </w:r>
    </w:p>
    <w:p w14:paraId="7DBC61E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1940-х г. проведены НИР «Гавань» и «Нарцисс» по исследованию автоматического сопровождения воздушных целей. Создана первая отечественная РЛС с автоматическим сопровождением воздушных и надводных целей «Якорь» (1950 г.). В 1948г.- НИР «Ют» по определению принципов построения комплексной СУ стрельбой малокалиберной зенитной артиллерии (МЗА) (А.А. Папернов).</w:t>
      </w:r>
    </w:p>
    <w:p w14:paraId="3F0503C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началу 1950-х г. построены два новых больших корпуса. В 1957г. началось оснащение института ЭВМ, создан вычислительный центр. Имелись лаборатории: вакуумная, климатических и механических испытаний.</w:t>
      </w:r>
    </w:p>
    <w:p w14:paraId="3E6DB4F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проведения испытаний аппаратуры на Московском море у пристани Большая Волга создается научно- испытательная база (НИБ) «Большая Волга». В 1956г. построен лабораторный корпус, а в 1958г. строительство НИБ было завершено. Оборудовано лабораторно-экспедиционное судно «Торпедо». Были также организованы производственные и научно-испытательные базы в Севастополе, Феодосии, Североморске. В 1958г. организован филиал института в Таганроге (с 1961 г. - самостоятельный НИИ-406).</w:t>
      </w:r>
    </w:p>
    <w:p w14:paraId="11C3536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Построен корпус института в Таганроге; 22.04.1961 г. вышло распоряжение правительства № 1093-рс о завершении строительства корпуса в 1961 г.</w:t>
      </w:r>
    </w:p>
    <w:p w14:paraId="0D624AD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1950-60-е г. с помощью ведущих специалистов НИИ-10 созданы: Московский НИИ прикладной механики, КБ завода «Топаз», КБ завода «Салют», ЦНИИ «Курс». В 1955г. на базе СКБ создан НИИГС.</w:t>
      </w:r>
    </w:p>
    <w:p w14:paraId="0EDDE01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1950 г. выполнена НИР «Анализ» по созданию средств обнаружения, пеленгования и определения параметров РЛС противника (А.И. Бобров). В результате в 1954г. создана корабельная станция поиска и радиоразведки «Мачта». В 1956-58г. проведена НИР «Хорда» по новым принципам построения станций радиоразведки (</w:t>
      </w:r>
      <w:r w:rsidRPr="00C33834">
        <w:rPr>
          <w:rFonts w:ascii="Times New Roman" w:hAnsi="Times New Roman"/>
          <w:color w:val="000000" w:themeColor="text1"/>
          <w:sz w:val="16"/>
          <w:szCs w:val="16"/>
          <w:lang w:val="en-US"/>
        </w:rPr>
        <w:t>JI</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B</w:t>
      </w:r>
      <w:r w:rsidRPr="00C33834">
        <w:rPr>
          <w:rFonts w:ascii="Times New Roman" w:hAnsi="Times New Roman"/>
          <w:color w:val="000000" w:themeColor="text1"/>
          <w:sz w:val="16"/>
          <w:szCs w:val="16"/>
        </w:rPr>
        <w:t>. Фридман, И.В. Мальский). В результате в 1961 г. создана новая станция «Залив».</w:t>
      </w:r>
    </w:p>
    <w:p w14:paraId="70EA9ED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1950 г. выполена НИР «Фаза» по радиопротиводействию (А.В. Кожухов). В результате в 1952-54г. созданы станции помех «Коралл-11» и «Коралл-14». В 1955г.- НИР «Дракон» по методам создания заградительных шумовых помех (В.А. Егоров), в результате создана станция прицельно-заградительных помех «Взрью». В 1956г.- НИР «Прибой» по разработке методов создания импульсных ответных помех (В.А. Егоров). В 1958-59г. выполнена НИР «Воронеж» по разработке средств радиопротиводействия УР (В.А. Егоров). В 1960 г. выполнен аванпроект «Зарево». В 1960 г. тематика радиоразведки и радиопротиводействия передана во вновь созданный Таганрогский НИИ связи.</w:t>
      </w:r>
    </w:p>
    <w:p w14:paraId="73DD22D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1951 г. разработана первая аппаратура коллективной защиты </w:t>
      </w:r>
      <w:r w:rsidRPr="00C33834">
        <w:rPr>
          <w:rFonts w:ascii="Times New Roman" w:hAnsi="Times New Roman"/>
          <w:color w:val="000000" w:themeColor="text1"/>
          <w:sz w:val="16"/>
          <w:szCs w:val="16"/>
          <w:lang w:val="en-US"/>
        </w:rPr>
        <w:t>PJIC</w:t>
      </w:r>
      <w:r w:rsidRPr="00C33834">
        <w:rPr>
          <w:rFonts w:ascii="Times New Roman" w:hAnsi="Times New Roman"/>
          <w:color w:val="000000" w:themeColor="text1"/>
          <w:sz w:val="16"/>
          <w:szCs w:val="16"/>
        </w:rPr>
        <w:t xml:space="preserve"> корабля от взаимных импульсных помех «Звезда». В 1961-66г. выполнена НИР по электромагнитной совместимости (ЭМС) «Итог». В 1971 г. вышло постановление СМ СССР № 90-43, направленное на комплексное решение проблемы ЭМС. В 1974-78г. проведена НИР «Совместимость» по обеспечению ЭМС ТАКР «Киев». В 1975г. начата разработка корабельного комплекса защиты РЭС от непреднамеренных помех «Подзаголовок», в 1986г.- «Подзаголовок-2». В 1992-96г. выполнены НИР «Парус», «Пандус» по формированию облика аппаратуры обеспечения ЭМС 3-го поколения.</w:t>
      </w:r>
    </w:p>
    <w:p w14:paraId="058F099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начале 1950-х г. была создана лаборатория № 24 для доводки бортовой аппаратуры управления КР «Комета» разработки КБ-1 </w:t>
      </w:r>
      <w:r w:rsidRPr="00C33834">
        <w:rPr>
          <w:rFonts w:ascii="Times New Roman" w:hAnsi="Times New Roman"/>
          <w:color w:val="000000" w:themeColor="text1"/>
          <w:sz w:val="16"/>
          <w:szCs w:val="16"/>
          <w:lang w:val="en-US"/>
        </w:rPr>
        <w:t>MB</w:t>
      </w:r>
      <w:r w:rsidRPr="00C33834">
        <w:rPr>
          <w:rFonts w:ascii="Times New Roman" w:hAnsi="Times New Roman"/>
          <w:color w:val="000000" w:themeColor="text1"/>
          <w:sz w:val="16"/>
          <w:szCs w:val="16"/>
        </w:rPr>
        <w:t>. В 11.1951 г. аппаратура прошла госиспытания и запущена в серию. Затем разработана СУ «Колчан» для КСС, в 1956г. работы по ней прекращены. В 08.1956г. начата разработка СУ для ПКР комплекса П-6.</w:t>
      </w:r>
    </w:p>
    <w:p w14:paraId="5B6FE48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соответствии с пост. СМ СССР от 3.10.1951 г. начата разработка усовершенствованной береговой </w:t>
      </w:r>
      <w:r w:rsidRPr="00C33834">
        <w:rPr>
          <w:rFonts w:ascii="Times New Roman" w:hAnsi="Times New Roman"/>
          <w:color w:val="000000" w:themeColor="text1"/>
          <w:sz w:val="16"/>
          <w:szCs w:val="16"/>
          <w:lang w:val="en-US"/>
        </w:rPr>
        <w:t>PJIC</w:t>
      </w:r>
      <w:r w:rsidRPr="00C33834">
        <w:rPr>
          <w:rFonts w:ascii="Times New Roman" w:hAnsi="Times New Roman"/>
          <w:color w:val="000000" w:themeColor="text1"/>
          <w:sz w:val="16"/>
          <w:szCs w:val="16"/>
        </w:rPr>
        <w:t xml:space="preserve"> управления стрельбой «Редан-ЗА» и СУ стрельбой зенитной артиллерии среднего калибра «Парус» в составе станции обнаружения «Парус-Н» и управления артиллерией «Парус-Б»; пост, правительства № 721-346 от 26.06.1957г. </w:t>
      </w:r>
      <w:r w:rsidRPr="00C33834">
        <w:rPr>
          <w:rFonts w:ascii="Times New Roman" w:hAnsi="Times New Roman"/>
          <w:color w:val="000000" w:themeColor="text1"/>
          <w:sz w:val="16"/>
          <w:szCs w:val="16"/>
          <w:lang w:val="en-US"/>
        </w:rPr>
        <w:t>MP</w:t>
      </w:r>
      <w:r w:rsidRPr="00C33834">
        <w:rPr>
          <w:rFonts w:ascii="Times New Roman" w:hAnsi="Times New Roman"/>
          <w:color w:val="000000" w:themeColor="text1"/>
          <w:sz w:val="16"/>
          <w:szCs w:val="16"/>
        </w:rPr>
        <w:t>-100 «Парус» пнв.</w:t>
      </w:r>
    </w:p>
    <w:p w14:paraId="6EA021B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1954г. начались работы по созданию РЛГСН для ракет. В 1955-56г. проведена НИР «Вектор» по корабельной СУ КР с принципом «визирования через снаряд» (К.А. Петров) с командной радиолинией управления (КРУ). В 1956г. институту поручена разработка СУ КР П-35 «Бином-Блок» и ее береговые варианты «Скала-Блок» (мобильный), «Утес-Блок» (стационарный). В 1963г. начата разработка СУ для ККР П-120. С начала 1970-х г. - разработка СУ для КР «Прогресс» и «Москит». В 1970-е г. создана ИК ГСН для противоспутниковой системы ИС-М, в 1978г. работы по ней прекращены.</w:t>
      </w:r>
    </w:p>
    <w:p w14:paraId="1039FBD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1957г. выполнена НИР «Дозор» по созданию </w:t>
      </w:r>
      <w:r w:rsidRPr="00C33834">
        <w:rPr>
          <w:rFonts w:ascii="Times New Roman" w:hAnsi="Times New Roman"/>
          <w:color w:val="000000" w:themeColor="text1"/>
          <w:sz w:val="16"/>
          <w:szCs w:val="16"/>
          <w:lang w:val="en-US"/>
        </w:rPr>
        <w:t>PJI</w:t>
      </w:r>
      <w:r w:rsidRPr="00C33834">
        <w:rPr>
          <w:rFonts w:ascii="Times New Roman" w:hAnsi="Times New Roman"/>
          <w:color w:val="000000" w:themeColor="text1"/>
          <w:sz w:val="16"/>
          <w:szCs w:val="16"/>
        </w:rPr>
        <w:t xml:space="preserve"> высотомера для обнаружения воздушных целей, в результате в 1958г. создана </w:t>
      </w:r>
      <w:r w:rsidRPr="00C33834">
        <w:rPr>
          <w:rFonts w:ascii="Times New Roman" w:hAnsi="Times New Roman"/>
          <w:color w:val="000000" w:themeColor="text1"/>
          <w:sz w:val="16"/>
          <w:szCs w:val="16"/>
          <w:lang w:val="en-US"/>
        </w:rPr>
        <w:t>PJIC</w:t>
      </w:r>
      <w:r w:rsidRPr="00C33834">
        <w:rPr>
          <w:rFonts w:ascii="Times New Roman" w:hAnsi="Times New Roman"/>
          <w:color w:val="000000" w:themeColor="text1"/>
          <w:sz w:val="16"/>
          <w:szCs w:val="16"/>
        </w:rPr>
        <w:t xml:space="preserve"> «Разлив». Затем работы по </w:t>
      </w:r>
      <w:r w:rsidRPr="00C33834">
        <w:rPr>
          <w:rFonts w:ascii="Times New Roman" w:hAnsi="Times New Roman"/>
          <w:color w:val="000000" w:themeColor="text1"/>
          <w:sz w:val="16"/>
          <w:szCs w:val="16"/>
          <w:lang w:val="en-US"/>
        </w:rPr>
        <w:t>PJIC</w:t>
      </w:r>
      <w:r w:rsidRPr="00C33834">
        <w:rPr>
          <w:rFonts w:ascii="Times New Roman" w:hAnsi="Times New Roman"/>
          <w:color w:val="000000" w:themeColor="text1"/>
          <w:sz w:val="16"/>
          <w:szCs w:val="16"/>
        </w:rPr>
        <w:t xml:space="preserve"> обнаружения воздушных целей переданы в КБ завода № 703.</w:t>
      </w:r>
    </w:p>
    <w:p w14:paraId="1B7F2DE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1955-57г. начаты работы в направлении автоматической обработки </w:t>
      </w:r>
      <w:r w:rsidRPr="00C33834">
        <w:rPr>
          <w:rFonts w:ascii="Times New Roman" w:hAnsi="Times New Roman"/>
          <w:color w:val="000000" w:themeColor="text1"/>
          <w:sz w:val="16"/>
          <w:szCs w:val="16"/>
          <w:lang w:val="en-US"/>
        </w:rPr>
        <w:t>PJI</w:t>
      </w:r>
      <w:r w:rsidRPr="00C33834">
        <w:rPr>
          <w:rFonts w:ascii="Times New Roman" w:hAnsi="Times New Roman"/>
          <w:color w:val="000000" w:themeColor="text1"/>
          <w:sz w:val="16"/>
          <w:szCs w:val="16"/>
        </w:rPr>
        <w:t xml:space="preserve"> информации на базе компьютерной технологии. В 1958г. группа аналоговых счетно-решающих приборов (СРП) лаборатории № 24 выделилась в отдельную лабораторию № 30. В 1961 г. начата ОКР по созданию первой отечественной системы автоматической обработки РЛ информации «Ангара-А», в 1968г. она запущена в серию как МРО-ЗЮА. В 1965г. начата разработка системы «Байкал-С4» (Б.М. Гусев). Затем эта тематика передана в КБ завода «Салют».</w:t>
      </w:r>
    </w:p>
    <w:p w14:paraId="7911366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Тематика по системам управления корабельной артиллерией была передана в КБ «Аметист»; по координации формирования состава РЭВ кораблей- в ЦНИИ «Курс».</w:t>
      </w:r>
    </w:p>
    <w:p w14:paraId="246224A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середине 1950-х г. по заданию ВМФ институту поручено создание первого отечественного корабельного ЗРК «Волна». В соответствии с пост, правительства в 1961 г. начата разработка ЗРК «Шторм», для этого создана комплексная лаборатория (Г.Н. Волгин). В 1969г. по решению правительства начата разработка ЗРК С-300Ф, в котором впервые в институте применены ФАР. Для него создан комплексный имитационно-моделирующий стенд. В 1975г. по постановлению производства начата разработка ЗРК «Клинок».</w:t>
      </w:r>
    </w:p>
    <w:p w14:paraId="6424FCE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1960 г.- НИР «Весна» по разработке экспериментальных запоминающих устройств, в 1961 г. начата разработка первой специализированной ЦВМ.</w:t>
      </w:r>
    </w:p>
    <w:p w14:paraId="7A06E26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1968г. выполнена НИР «Квант» по оценке возможностей создания импульсно-доплеровских </w:t>
      </w:r>
      <w:r w:rsidRPr="00C33834">
        <w:rPr>
          <w:rFonts w:ascii="Times New Roman" w:hAnsi="Times New Roman"/>
          <w:color w:val="000000" w:themeColor="text1"/>
          <w:sz w:val="16"/>
          <w:szCs w:val="16"/>
          <w:lang w:val="en-US"/>
        </w:rPr>
        <w:t>PJIC</w:t>
      </w:r>
      <w:r w:rsidRPr="00C33834">
        <w:rPr>
          <w:rFonts w:ascii="Times New Roman" w:hAnsi="Times New Roman"/>
          <w:color w:val="000000" w:themeColor="text1"/>
          <w:sz w:val="16"/>
          <w:szCs w:val="16"/>
        </w:rPr>
        <w:t xml:space="preserve"> (В.А. Букатов). В 1970-е г.- НИР «Сириус» по сокращению длительности зондирующих сигналов (Г.А. Пасюков).</w:t>
      </w:r>
    </w:p>
    <w:p w14:paraId="7528D4B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Выполнены также НИР: «Сокол», «Квант», «Баклан», «Агат», «Стриж».</w:t>
      </w:r>
    </w:p>
    <w:p w14:paraId="3A74A8E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Созданы првые в стране приемники лучистой энергии на основе селенида свинца (А.С. Егоров-Кузьмин). Создана первая отечественная компьютерная система обработки </w:t>
      </w:r>
      <w:r w:rsidRPr="00C33834">
        <w:rPr>
          <w:rFonts w:ascii="Times New Roman" w:hAnsi="Times New Roman"/>
          <w:color w:val="000000" w:themeColor="text1"/>
          <w:sz w:val="16"/>
          <w:szCs w:val="16"/>
          <w:lang w:val="en-US"/>
        </w:rPr>
        <w:t>PJI</w:t>
      </w:r>
      <w:r w:rsidRPr="00C33834">
        <w:rPr>
          <w:rFonts w:ascii="Times New Roman" w:hAnsi="Times New Roman"/>
          <w:color w:val="000000" w:themeColor="text1"/>
          <w:sz w:val="16"/>
          <w:szCs w:val="16"/>
        </w:rPr>
        <w:t xml:space="preserve"> информации «Байкал».</w:t>
      </w:r>
    </w:p>
    <w:p w14:paraId="2881541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Созданы научные школы: по теплопеленгации (Н.Д. Смирнов совместно с В.А. Грановским и К.С. Вульфсоном), по ИК технике; по методам машинного проектирования аппаратуры, компьютеризированной обработки документации (В.А. Букатов).</w:t>
      </w:r>
    </w:p>
    <w:p w14:paraId="048458A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Институт имел наименования: «п/я 2435», А-1586. В 1958г. передан в ведение ГКРЭ, затем- в МРП. В 1967г. НИИ-10 вновь передан из МРП в МСП и переименован во ВНИИРЭ, а в 1973г.- во ВНИИ «Альтаир».</w:t>
      </w:r>
    </w:p>
    <w:p w14:paraId="6449545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После войны в институте существовал отдел с опытным цехом, где разрабатывались электроприборы: потенциометры, трансформаторы, кнопки, моторы, источники питания, тестеры. В 1955г. образована лаборатория электропитания. В 09.1966г. она преобразована в отдел с тремя лабораториями, в т.ч. высоковольтных источников. В середине 1950-х г. создан новый комплексный отдел № 2, имелся отдел бортовой аппаратуры №51. Для изготовления аппаратуры «Блок» был создан механосборочный цех № 10 с монтажным участком и комплексный стенд (руководитель- А.В. Ковалев). Была также дооборудована лаборатория климатических и механических испытаний. Для разработки аппаратуры СУ П-120 в 1960-е г. созданы две новые лаборатории по разработке бортовой и корабельной СУ. Для разработки автопилота АПЛИ-5 для П-120 в отделе № 7 создана лаборатория в составе групп: автопилота, гироприборов, усилителей приводов, электроэлементов, радиовысотомера. Для отработки комбинированной активно-пассивной </w:t>
      </w:r>
      <w:r w:rsidRPr="00C33834">
        <w:rPr>
          <w:rFonts w:ascii="Times New Roman" w:hAnsi="Times New Roman"/>
          <w:color w:val="000000" w:themeColor="text1"/>
          <w:sz w:val="16"/>
          <w:szCs w:val="16"/>
          <w:lang w:val="en-US"/>
        </w:rPr>
        <w:t>PJITCH</w:t>
      </w:r>
      <w:r w:rsidRPr="00C33834">
        <w:rPr>
          <w:rFonts w:ascii="Times New Roman" w:hAnsi="Times New Roman"/>
          <w:color w:val="000000" w:themeColor="text1"/>
          <w:sz w:val="16"/>
          <w:szCs w:val="16"/>
        </w:rPr>
        <w:t xml:space="preserve"> для КР «Москит» создан комплекс полунатурного моделирования. Создан отдел № 4 для разработки сложных передатчиков, в его составе- лаборатория устройств опорных и гетеродинных сигналов. В 1968г. создан отдел № 15 по разработке ЦВМ, аналоговых счетно-решающих устройств. В его состав вошли лаборатории: вычислительных машин; счетно- решающих приборов; регистрирующих устройств; и вновь созданные- запоминающих устройств и математического обеспечения.</w:t>
      </w:r>
    </w:p>
    <w:p w14:paraId="6C35290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Было создано мощное ОП, оснащенное станками с ЧПУ, с цехом по производству многослойных печатных плат. Кроме того, в ведущих отделах имелись экспериментальные цеха и участки. Создан отдел микроминиатюризации. Разработана и внедрена технология изготовления приемников ИК-излучения. Были построены новые корпуса: 6-этажный лаборторно-складской; корпус для сборки антенных постов, где был установлен уникальный трехстепенной моделирующий стенд для отработки ГСН ракет, а также комплексный имитационно-моделирующий стенд. Построена безэховая камера для измерения параметров антенн. Начато строительство научно-испытательных баз: «Ай-Петри»- на Черном море (г. Феодосия) и Североморской испытательной базы «Скала» (г. Североморск) на Баренцевом море. На базах в Феодосии и «Большой Волге» построены механические цеха и стенды.</w:t>
      </w:r>
    </w:p>
    <w:p w14:paraId="4E73DDD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1989г. на базе ВНИИ «Альтаир» создано Государственное НПО «Альтаир», в которое также вошли НИБ «Большая Волга», «Ай-Перти», «Скала» и опытный завод «Фобос» (г. Москва). В 2001 г. НПО преобразовано в ФГУП «НПО «Альтаир», а в 2003(2)г.- в ОАО «МНИИРЭ «Альтаир». Входит в концерн «Алмаз-Антей» (2003- 06г.). По Указу Президента РФ № 1009 от 4.08.2004г. вошло в число стратегических оборонных предприятий.</w:t>
      </w:r>
    </w:p>
    <w:p w14:paraId="4E11608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1997г. - работы по созданию автоматизированных рабочих мест (АРМ) операторов корабельных систем.</w:t>
      </w:r>
    </w:p>
    <w:p w14:paraId="0BB137C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(2005г.): ЗРК ближней зоны обороны, а также обороны малых кораблей «Гибка» с ракетами «Игла».</w:t>
      </w:r>
      <w:r w:rsidRPr="00C33834">
        <w:rPr>
          <w:rFonts w:ascii="Times New Roman" w:hAnsi="Times New Roman"/>
          <w:color w:val="000000" w:themeColor="text1"/>
          <w:sz w:val="16"/>
          <w:szCs w:val="16"/>
          <w:vertAlign w:val="superscript"/>
        </w:rPr>
        <w:t>35</w:t>
      </w:r>
    </w:p>
    <w:p w14:paraId="28B6404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(23.10.1933-36г.)- Ф.Ф. Сучков, (1936-38г.)- А.Ф. Шорин, (1938-41 г.)- А.А. Осмер, (1942-49г.)- В.Д. Калмыков, (1949-51 г.)- Б.Н. Савельев, (1953-76г.)- М.П. Петелин, (1976-78г.)- В.А. Букатов, (1978-86г.)- Л.Б. Масленников, (1986-89г.)- В.Ф. Измайлов. Гендиректор (1989-91 г.)- В.Ф. Измайлов, (1991-2006г.)- С.А. Климов, (07.2006-07г.-)- В.Н. Гусев.</w:t>
      </w:r>
    </w:p>
    <w:p w14:paraId="72CD0CA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1-й зам. директора, гендиректора: (14.07.1938г.-)- М.М. Гусев; по научной работе (-1991 г.)- С.А. Климов, Н.С. Щербаков, по научной работе, конверсии и ВЭД- С.М. Соколов; по конверсии- Н.С. Щербаков; (-2006г.)- В.Н. Гусев, В.И. Харитонов, </w:t>
      </w:r>
      <w:r w:rsidRPr="00C33834">
        <w:rPr>
          <w:rFonts w:ascii="Times New Roman" w:hAnsi="Times New Roman"/>
          <w:color w:val="000000" w:themeColor="text1"/>
          <w:sz w:val="16"/>
          <w:szCs w:val="16"/>
          <w:lang w:val="en-US"/>
        </w:rPr>
        <w:t>B</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C</w:t>
      </w:r>
      <w:r w:rsidRPr="00C33834">
        <w:rPr>
          <w:rFonts w:ascii="Times New Roman" w:hAnsi="Times New Roman"/>
          <w:color w:val="000000" w:themeColor="text1"/>
          <w:sz w:val="16"/>
          <w:szCs w:val="16"/>
        </w:rPr>
        <w:t xml:space="preserve">. Бобрышев, </w:t>
      </w:r>
      <w:r w:rsidRPr="00C33834">
        <w:rPr>
          <w:rFonts w:ascii="Times New Roman" w:hAnsi="Times New Roman"/>
          <w:color w:val="000000" w:themeColor="text1"/>
          <w:sz w:val="16"/>
          <w:szCs w:val="16"/>
          <w:lang w:val="en-US"/>
        </w:rPr>
        <w:t>JI</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H</w:t>
      </w:r>
      <w:r w:rsidRPr="00C33834">
        <w:rPr>
          <w:rFonts w:ascii="Times New Roman" w:hAnsi="Times New Roman"/>
          <w:color w:val="000000" w:themeColor="text1"/>
          <w:sz w:val="16"/>
          <w:szCs w:val="16"/>
        </w:rPr>
        <w:t xml:space="preserve">. Шинкарев. Зам. директора: по научной части- Ю.А. Шаровский, по научной работе (1960 г.-)- А.А. Гапеев, (-1976г.)- В.А. Букатов, Е.М. Гогичайшвили, С.А. Климов, (-1986г.)- В.Ф. Измайлов, (1987-88г.)- </w:t>
      </w:r>
      <w:r w:rsidRPr="00C33834">
        <w:rPr>
          <w:rFonts w:ascii="Times New Roman" w:hAnsi="Times New Roman"/>
          <w:color w:val="000000" w:themeColor="text1"/>
          <w:sz w:val="16"/>
          <w:szCs w:val="16"/>
          <w:lang w:val="en-US"/>
        </w:rPr>
        <w:t>JI</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A</w:t>
      </w:r>
      <w:r w:rsidRPr="00C33834">
        <w:rPr>
          <w:rFonts w:ascii="Times New Roman" w:hAnsi="Times New Roman"/>
          <w:color w:val="000000" w:themeColor="text1"/>
          <w:sz w:val="16"/>
          <w:szCs w:val="16"/>
        </w:rPr>
        <w:t xml:space="preserve">. Родионов, Д.Я. Ковалевский, Л.Б. Масленников, по НИР (-1995г.)- Б.М. Палладии; по производству (1943-44г.)- Н.А. Чарин, Е.М. Гогичайшвили; по опытному производству (-1976г.)- В.П. Олеванов; по испытаниям (1980-е-91 г.)- А.А. Исраелов, В.Т. Ященко; по общим вопросам- В.Н. Гусев; по кадрм- Г.П. Шадрин; С.Н. Беляев, В.Г. Ильюшин, А.С. Манасаров, В.Д. Пономарев, Г.Ф. Черкасов, И.П. Федечкин. Зам. гендиректора: по научной работе (07.2006-07г.-)- С.А. Климов; по производству (2007г.)- В.И. Харитонов; по общим вопросам- В.Н. Гусев; по ВЭД (2000-05г.)- О.П. Ефимов, (2007г.)- С.М. Соколов; по кадрам и социально- бытовым вопросам- Г.П. Шадрин, по управлению персоналом (2007г.)- Г.П. Шадрин; (-1991 г.)- </w:t>
      </w:r>
      <w:r w:rsidRPr="00C33834">
        <w:rPr>
          <w:rFonts w:ascii="Times New Roman" w:hAnsi="Times New Roman"/>
          <w:color w:val="000000" w:themeColor="text1"/>
          <w:sz w:val="16"/>
          <w:szCs w:val="16"/>
          <w:lang w:val="en-US"/>
        </w:rPr>
        <w:t>B</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C</w:t>
      </w:r>
      <w:r w:rsidRPr="00C33834">
        <w:rPr>
          <w:rFonts w:ascii="Times New Roman" w:hAnsi="Times New Roman"/>
          <w:color w:val="000000" w:themeColor="text1"/>
          <w:sz w:val="16"/>
          <w:szCs w:val="16"/>
        </w:rPr>
        <w:t>. Бобрышев.</w:t>
      </w:r>
    </w:p>
    <w:p w14:paraId="3F6C591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финансовый (-2006г.)- В.Н. Гусев.</w:t>
      </w:r>
    </w:p>
    <w:p w14:paraId="3AA26DC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конструктор (1940 г.-)- В.Д. Калмыков, (1943г.-)- Ю.А. Шаровский, И.А. Игнатьев, (1969г.)- В.А. Букатов, (1970-е)- Г.Н. Волгин, (1980-е)- С.А. Фадеев. Ген. конструктор (1986г.-)- Л.Б. Масленников, (1992-2007г.-)- С.А. Климов. Ген. конструктор направления: корабельных ЗРК и систем (2004-07г.-)- С.А. Климов; Л.Б. Масленников.</w:t>
      </w:r>
    </w:p>
    <w:p w14:paraId="045AE58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1-й зам. гл., Ген. конструктора- В.В. Быстровзоров, (2004г.)- С.М. Соколов. Зам. гл. конструктора (1970-е)- М.М. Жаров, (-1968г.)- Ю.А. Шаровский. Зам. ген. конструктора (2006г.)- С.М. Соколов, В.В. Быстровзоров.</w:t>
      </w:r>
    </w:p>
    <w:p w14:paraId="2E25462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Гл. инженер (14.07.1938г.-&gt; М.М. Гусев, (1938г.-)- А.И. Бобров, (1941-41 г.)- В.Д. Калмыков, (1941 г.-)- А.И. Мирвис, Ю.А. Шаровский, (-1953г.)- Ф.В. Лукин, (1950-е)- В.А. Кузовкин, (1960 г.-)- А.А. Гапеев, (-1976г.)- В.А. Букатов, С.А. Климов, Л.Н. Шинкарев, (-1986г.)- В.Ф. Измайлов, Б.М. Палладии, (-1991 г.)- </w:t>
      </w:r>
      <w:r w:rsidRPr="00C33834">
        <w:rPr>
          <w:rFonts w:ascii="Times New Roman" w:hAnsi="Times New Roman"/>
          <w:color w:val="000000" w:themeColor="text1"/>
          <w:sz w:val="16"/>
          <w:szCs w:val="16"/>
          <w:lang w:val="en-US"/>
        </w:rPr>
        <w:t>B</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C</w:t>
      </w:r>
      <w:r w:rsidRPr="00C33834">
        <w:rPr>
          <w:rFonts w:ascii="Times New Roman" w:hAnsi="Times New Roman"/>
          <w:color w:val="000000" w:themeColor="text1"/>
          <w:sz w:val="16"/>
          <w:szCs w:val="16"/>
        </w:rPr>
        <w:t xml:space="preserve">. Бобрышев, В.И. Харитонов, С.М. Соколов, (2004г.-)- </w:t>
      </w:r>
      <w:r w:rsidRPr="00C33834">
        <w:rPr>
          <w:rFonts w:ascii="Times New Roman" w:hAnsi="Times New Roman"/>
          <w:color w:val="000000" w:themeColor="text1"/>
          <w:sz w:val="16"/>
          <w:szCs w:val="16"/>
          <w:lang w:val="en-US"/>
        </w:rPr>
        <w:t>B</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C</w:t>
      </w:r>
      <w:r w:rsidRPr="00C33834">
        <w:rPr>
          <w:rFonts w:ascii="Times New Roman" w:hAnsi="Times New Roman"/>
          <w:color w:val="000000" w:themeColor="text1"/>
          <w:sz w:val="16"/>
          <w:szCs w:val="16"/>
        </w:rPr>
        <w:t>. Клементьев.</w:t>
      </w:r>
    </w:p>
    <w:p w14:paraId="6700867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Зам. гл. инженера (1952-56г.-&gt; Б.П. Капелин, </w:t>
      </w:r>
      <w:r w:rsidRPr="00C33834">
        <w:rPr>
          <w:rFonts w:ascii="Times New Roman" w:hAnsi="Times New Roman"/>
          <w:color w:val="000000" w:themeColor="text1"/>
          <w:sz w:val="16"/>
          <w:szCs w:val="16"/>
          <w:lang w:val="en-US"/>
        </w:rPr>
        <w:t>B</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C</w:t>
      </w:r>
      <w:r w:rsidRPr="00C33834">
        <w:rPr>
          <w:rFonts w:ascii="Times New Roman" w:hAnsi="Times New Roman"/>
          <w:color w:val="000000" w:themeColor="text1"/>
          <w:sz w:val="16"/>
          <w:szCs w:val="16"/>
        </w:rPr>
        <w:t xml:space="preserve">. Бобрышев, В.А. Кузовкин, В.В. Быстровзоров, Е.М. Гогичайшвили, (-1978г.)- Л.Б. Масленников, (1969-79г.)- Б.С. Сыромятников, С.А. Климов, (1980-е)- Л.Н. Шинкарев, Е.Г. Демин, (-1999г.)- Б.М. Гусев, (2000-е)- </w:t>
      </w:r>
      <w:r w:rsidRPr="00C33834">
        <w:rPr>
          <w:rFonts w:ascii="Times New Roman" w:hAnsi="Times New Roman"/>
          <w:color w:val="000000" w:themeColor="text1"/>
          <w:sz w:val="16"/>
          <w:szCs w:val="16"/>
          <w:lang w:val="en-US"/>
        </w:rPr>
        <w:t>B</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C</w:t>
      </w:r>
      <w:r w:rsidRPr="00C33834">
        <w:rPr>
          <w:rFonts w:ascii="Times New Roman" w:hAnsi="Times New Roman"/>
          <w:color w:val="000000" w:themeColor="text1"/>
          <w:sz w:val="16"/>
          <w:szCs w:val="16"/>
        </w:rPr>
        <w:t>. Клементьев.</w:t>
      </w:r>
    </w:p>
    <w:p w14:paraId="1A33E76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Гл. технолог (-1986г.)- В.И. Соловьев, В.И. Харитонов. Гл. энергетик- </w:t>
      </w:r>
      <w:r w:rsidRPr="00C33834">
        <w:rPr>
          <w:rFonts w:ascii="Times New Roman" w:hAnsi="Times New Roman"/>
          <w:color w:val="000000" w:themeColor="text1"/>
          <w:sz w:val="16"/>
          <w:szCs w:val="16"/>
          <w:lang w:val="en-US"/>
        </w:rPr>
        <w:t>B</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C</w:t>
      </w:r>
      <w:r w:rsidRPr="00C33834">
        <w:rPr>
          <w:rFonts w:ascii="Times New Roman" w:hAnsi="Times New Roman"/>
          <w:color w:val="000000" w:themeColor="text1"/>
          <w:sz w:val="16"/>
          <w:szCs w:val="16"/>
        </w:rPr>
        <w:t>. Бобрышев.</w:t>
      </w:r>
    </w:p>
    <w:p w14:paraId="54409E7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Ленинградского филиала (-17.05.1937г.)- А.С. Порфирьев, (17.05.1937г.-)- М.П. Курочкин, (-2.12.1938г.)- И.М. Тарновский, (2.12.1938г.-)- К.В. Грудницкий; Свердловского филиала (1941 г.)- В.Д. Калмыков; Таганрогского филиала (1958-61 г.)- В.Н. Бровиков; опытного завода- Г.Ф. Черкасов; комплексов: НТК- Л.Б. Масленников; конструкторско-технологического (-1998г.)- Е.М. Гогичайшвили; экономического- С.М. Соколов. Помощник директора по найму и увольнению Ленинградского филиала (14.08.1938г.-)- Я.В. Фитиалов. Начальники управлений: НИУ (2007г.)- А.В. Борзунов, (2007г.)- М.И. Кризенталь; (2007г.)- Д.С. Климов, (2000- е)- А.В. Листратов.</w:t>
      </w:r>
    </w:p>
    <w:p w14:paraId="4E0C7C2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1-й зам. директора комплекса: научно-исследовательского (-1994г.)- С.А. Фадеев. Зам. директора НТК по научной работе- А.П. Ежов, Е.А. Титов. Гл. инженер комплекса (-1994г.)- С.А. Фадеев.</w:t>
      </w:r>
    </w:p>
    <w:p w14:paraId="5004734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Гл. конструкторы: (-1943-49г.-)- В.Б. Кнунянц («Окунь», «Координатор»), Б.Н. Савельев («Сом», «Координатор»), (-1945-48г.-)- Ф.В. Лукин («Марс-2», «Юпитер-2», «Фут»), (-1946-50 г.-)- В.А. Кузовкин («Марс- 3», «Редан-3»), (-1946-51 г.)- В.М. Ястребилов («Сириус», «Штаг-Б», БИМС), (1946г.)- В.И. Кузнецов (гироприборы), (-1947-53г.-)- М.С. Орышак («Звено», «Цепь»), (1948г.)- Г.А. Астахов («Фут»), (-1947-56г.-)- А.К. Балаян («Зарница», «Парус-Н»), (1940-е)- С. Дикий («Линь»), (-1945-51 г.-)- А.С. Гринштейн («Редан-1, -2», «Якорь»), И.Т. Соколов (измерительные приборы), (-1951-58г.-)- Ф.Н. Малахов («Редан-ЗА», «Разлив»,, командная радиолиния), (1951 г.)- А.И. Кузнецов («Звезда»), (1950-52г,-)- И.И. Бакулов («Залп»), (-1948-61 г.-)- И.А. Игнатьев («Риф», «Риф-А», «Волна»), (-1954-61 г.-)- А.И. Бурмистров («Мачта», «Гафель», «Залив»), (-1954- 57г.-)- А.В. Кожухов («Коралл», «Краб», «Взрыв»), (1956г.)- Б.И. Станиславский («Парус-Б»), (1956г.)- Е.В. Ковалев («Бизань»), (1956г.)- К.А. Петров («Бином-Блок»), (1956г.)- А.С. Полянский («Бином»), (-1956-63г.-)- Л.Е. Хазанов (СУ для «Комета», «Блок»), (1956г.)- А.И. Беляков (автопилоты), (1958г.)- С.Н. Литков («Ангара»), (1950-е)- </w:t>
      </w:r>
      <w:r w:rsidRPr="00C33834">
        <w:rPr>
          <w:rFonts w:ascii="Times New Roman" w:hAnsi="Times New Roman"/>
          <w:color w:val="000000" w:themeColor="text1"/>
          <w:sz w:val="16"/>
          <w:szCs w:val="16"/>
          <w:lang w:val="en-US"/>
        </w:rPr>
        <w:t>B</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C</w:t>
      </w:r>
      <w:r w:rsidRPr="00C33834">
        <w:rPr>
          <w:rFonts w:ascii="Times New Roman" w:hAnsi="Times New Roman"/>
          <w:color w:val="000000" w:themeColor="text1"/>
          <w:sz w:val="16"/>
          <w:szCs w:val="16"/>
        </w:rPr>
        <w:t xml:space="preserve">. Острецов («Залп-Б»), (1950-е)- П.А. Ануфриев (Лоза»), (1950-е)- В.И. Ярошенко («Юпитер-1», «Тайфун»), (-1961-61 г.-)- М.В. Яцковский (СУ П-6), (-1961-61 г.-&gt; Н.А. Чарин (СУ П-6), (-1961-61 г.-)- И.Ю. Кривцов (бортаппаратура СУ П-6), (-1961-61 г.-)- В.Н. Яковлев (корабельная аппаратура СУ П-6, П-500), (-1961- 61 г.-)- В.П. Лапин (КПА СУ П-6), (-1961-66г.)- Я.Г. Генин («Ангара-А»), А.И. Денисов (РЛС для КР «Щука»), (-1962-63г.-)- А.С. Миронов («Бином-Блок»), (1963г.)- В.Е. Краснов (СУ П-120), (-1947-63г.-)- И.А. Скородумов («Вахта», «Колчан», «Двина», РЛГСН П-120), (-1963-71 г.)- </w:t>
      </w:r>
      <w:r w:rsidRPr="00C33834">
        <w:rPr>
          <w:rFonts w:ascii="Times New Roman" w:hAnsi="Times New Roman"/>
          <w:color w:val="000000" w:themeColor="text1"/>
          <w:sz w:val="16"/>
          <w:szCs w:val="16"/>
          <w:lang w:val="en-US"/>
        </w:rPr>
        <w:t>B</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C</w:t>
      </w:r>
      <w:r w:rsidRPr="00C33834">
        <w:rPr>
          <w:rFonts w:ascii="Times New Roman" w:hAnsi="Times New Roman"/>
          <w:color w:val="000000" w:themeColor="text1"/>
          <w:sz w:val="16"/>
          <w:szCs w:val="16"/>
        </w:rPr>
        <w:t xml:space="preserve">. Марчик («Дрофа»), (1963г.)- В.П. Хондзинский («Дунай»), (1963г.)- С.Е. Ермолаев (АПЛИ-5 П-120), (1963г.)- Г.И. Келлер (АКИА «Дон», АК-120), (1966г.-)- Л.Г. Коваленко (МРО-ЗЮА, -М, «Ангара-А»), (1968г.)- И.С. Перельман («Звездочка»), (-1968-71 г.-)- Э.М. Лившиц («Гравюра», «Гравюра-МТ»), Л.В. Голубев (ВЭПУАЗО), С.М. Голубев (АКИА «Дон», АК-120), Н.Н. Государов (ИГС-59), Н.Д. Смирнов (теплопеленгаторы, ИК ГСН для К-8), Д.П. Павлов («Снегирь»), А.Ф. Шорин, В.Д. Калмыков, (1960-е)- М.П. Петелин («Астра», «Подснежник»), В.Ф. Измайлов, (1960-е-85г.)- Г.Н. Волгин («Шторм», «Метель», «Штиль»), (-1969-78; 1984г.)- В.А. Букатов (С-300Ф, «Риф», «Байкал»), Б.А. Митрофанов («Аметист»), (1958г.)- С.Т. Зайцев (М-2, «Аметист»), А(Л).М. Камаевский (бортаппаратура СУ «Аметист», «Гранит»), Б.П. Михеев (корабельная аппаратура СУ «Аметист», «Гранит»), О.Ф. Евстигнеева (КПА СУ «Аметист»), А.В. Чижов (бортаппаратура СУ П-500), Е.Я. Кац (корабельная аппаратура П-500 для пр. 675), (1976г.)- С.И. Червяков («Аргон» для пр. 1143), Г.А. Васильев (корабельная аппаратура П-500 для пр. 1164), Б.М. Гольдин (КПА СУ П-500, «Гранит»), Н.М. Мозжухин («Гранит»), Б.Н. Степанов (корабельная аппаратура для ПЛ СУ «Гранит»), Ю.Ф. Подоплекин, В.А. Никольцев, А.Б. Якобсон, К.С. Хрусталев, </w:t>
      </w:r>
      <w:r w:rsidRPr="00C33834">
        <w:rPr>
          <w:rFonts w:ascii="Times New Roman" w:hAnsi="Times New Roman"/>
          <w:color w:val="000000" w:themeColor="text1"/>
          <w:sz w:val="16"/>
          <w:szCs w:val="16"/>
          <w:lang w:val="en-US"/>
        </w:rPr>
        <w:t>B</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C</w:t>
      </w:r>
      <w:r w:rsidRPr="00C33834">
        <w:rPr>
          <w:rFonts w:ascii="Times New Roman" w:hAnsi="Times New Roman"/>
          <w:color w:val="000000" w:themeColor="text1"/>
          <w:sz w:val="16"/>
          <w:szCs w:val="16"/>
        </w:rPr>
        <w:t xml:space="preserve">. Богданов, Ю.В. Молодык (СУ для П-35, «Москит»), (-1971 г.)- Л.В. Некрасов, (1970-е)- Д.Я. Ковалевский (Ж ГСН для </w:t>
      </w:r>
      <w:r w:rsidRPr="00C33834">
        <w:rPr>
          <w:rFonts w:ascii="Times New Roman" w:hAnsi="Times New Roman"/>
          <w:color w:val="000000" w:themeColor="text1"/>
          <w:sz w:val="16"/>
          <w:szCs w:val="16"/>
        </w:rPr>
        <w:lastRenderedPageBreak/>
        <w:t xml:space="preserve">ИС-М), (1971-81 г.-&gt; А.Н. Крюков («Снегирь», «Дрофа», «Дрофа-МТ»), (-1973-78г.-)- С.А. Климов (СУ «Прогресс», «Москит»), (1975г.)- С.А. Фадеев («Клинок», ЗУРО-ЗРК «Волна»), М.А. Липатов («Клинок»), (-1975-86г.-)- А.Г. Байдун («Подзаголовок», «Подзаголовок-2»), (1978-81 г.)- Б.М. Палладии (С-300Ф, «Риф»), (1970-е)- Е.Ф. Глаголев (КМСУО «Штиль»), (1970-е)- Н.М. Грязное (СП «Штиль»), А.П. Ежов (С-300Ф, «Риф-М»), Н.Н. Гусарова (ТГС), (1982-84г.-)- Е.А. Титов (С-300Ф), (1985г.-)- А.С. Евстигнеев («Штиль»), (1980-е)- С.М. Соколов («Штиль-1»), Н.А. Макарова («Штиль-1»), (1972-86г.-)- Ю.М. Бабкин (РЛСУ «Муссон», «Раструб», «Каштан»), </w:t>
      </w:r>
      <w:r w:rsidRPr="00C33834">
        <w:rPr>
          <w:rFonts w:ascii="Times New Roman" w:hAnsi="Times New Roman"/>
          <w:color w:val="000000" w:themeColor="text1"/>
          <w:sz w:val="16"/>
          <w:szCs w:val="16"/>
          <w:lang w:val="en-US"/>
        </w:rPr>
        <w:t>A</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M</w:t>
      </w:r>
      <w:r w:rsidRPr="00C33834">
        <w:rPr>
          <w:rFonts w:ascii="Times New Roman" w:hAnsi="Times New Roman"/>
          <w:color w:val="000000" w:themeColor="text1"/>
          <w:sz w:val="16"/>
          <w:szCs w:val="16"/>
        </w:rPr>
        <w:t>. Томский (РЛСУ «Каштан»), (1980-е)- О.В. Гудков (РЛСУ П-35, БМ «Каштан», «Полимент-Редут»), А.С. Егоров-Кузьмин (приемники лучистой энергии), В.П. Еремин (системы отображения информации), А.В. Листратов (системы спутниковой метеорологии), Л.А. Логвинов, В.Т. Родионов (ИК-аппаратура для КА «Метеор»); направления (-2005-07г.-)- А.В. Борзунов, (2007г.)- М.И. Кризенталь, В.П. Линьков (оптимизация корабельных РЭС), (2007г.)- Л.Н. Шинкарев.</w:t>
      </w:r>
    </w:p>
    <w:p w14:paraId="55C68B8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1-й зам. гл. конструкторов: (1950-е)- М.Ф. Кортюков («Волна»), В.Б. Голованов («Гранит»), (-1962-78г-.)- Л.А. Гурвиц («Бином-Блок», «Москит»), (-1969-78г.)- Б.М. Палладии (С-300Ф, «Риф»), (1971 г.)- Н.И. Кузнецов («Штиль»), Н.В. Алексеев («Штиль-1»), (1975г.)- М.А. Липатов («Клинок»), (1978г.-)- А.А. Хрусталев (СУ «Москит»), Зам. гл. конструкторов: (1949г.)- Я.А. Габелев («Якорь»), (1950 г.)- Б.И. Матвиенко («Редан-3»), (-1947-93г.-)- И.А. Скородумов («Редан-3», «Блок», РЛСУ «Каштан», линия радиокоррекции), (1950 г.)- К.А. Петров («Редан-3»), (1950 г.)- К.А. Беляев («Редан-3»), Е.И. Яковлев («Зарница»), (1956г.)- В.Н. Бурашников («Бином»), (1956г.)- В.Е. Краснов («Бином-Блок»), (1956г.)- Г.И. Келлер («Бином-Блок»), В.П. Хондзинский (СУ П-120), (1950-е-73г.-)- В.В. Романов («Волна», «Метель»), (1950-е-61 г.-)- В.И. Тумаркин («Волна»), (1950-е-62г,- )- С.Г. Шойхет («Волна»), (1950-е)- В.А. Кочурков («Волна»), (1950-е&gt; В.И. Максюк («Волна»), (1950-е)- П.И. Сизов («Волна»), Г.Н. Волгин («Волна»), (1960-е)- Ю.Г. Черкасов («Ангара-А»), (1960-е-71 г.-)- Ю.С. Сергеев («Ангара-А», «Штиль»), (1960-е-71 г.)- Ю.П. Гуров («Шторм», «Штиль»), (1960-е-73г.-)- А.П. Шульга («Шторм», «Метель»), (1960-е)- Н.И. Морозов («Шторм»), (1960-е)- А. И. Филиппов («Шторм»), О.В. Гудков («Шторм»), (1969г.)- В.Л. Ришин (С-300Ф), (-1969-70-е)- Е.А. Титов (С-300Ф), (1969г.)- Г.А. Пасюков (С-300Ф), (1969г.)- Я.Е. Нефедов (С-300Ф), (1969г.)- Л.Г. Коваленко (С-300Ф, «Риф»), (1969г.)- М.И. Волков (С-300Ф), (1969г.)- К.Г. Агапов (С-300Ф), Н.Д. Горман (С-ЗООФ, -ФМ), В.П. Олеванов («Москит»), А.С. Миронов (МР-310, «Фут», «Волна»), В .А. Спирин (МР-310, «Шторм-Н»), (1971 г.)- </w:t>
      </w:r>
      <w:r w:rsidRPr="00C33834">
        <w:rPr>
          <w:rFonts w:ascii="Times New Roman" w:hAnsi="Times New Roman"/>
          <w:color w:val="000000" w:themeColor="text1"/>
          <w:sz w:val="16"/>
          <w:szCs w:val="16"/>
          <w:lang w:val="en-US"/>
        </w:rPr>
        <w:t>B</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C</w:t>
      </w:r>
      <w:r w:rsidRPr="00C33834">
        <w:rPr>
          <w:rFonts w:ascii="Times New Roman" w:hAnsi="Times New Roman"/>
          <w:color w:val="000000" w:themeColor="text1"/>
          <w:sz w:val="16"/>
          <w:szCs w:val="16"/>
        </w:rPr>
        <w:t xml:space="preserve">. Баранов («Штиль»), (1971 г.)- Е.Ф. Глаголев («Штиль»), (1971 г.)- Н.М. Грязнов («Штиль»), (1971 г.)- Н.И. Егоров («Штиль»), (1971 г.)- О.Г. Петров («Штиль»), Н.В. Алексеев («Ураган», «Кашмир», «Штиль», «Редут»), (-1973-78г.-)- В.В. Быстровзоров (СУ «Прогресс», «Москит»), (-1973-78г.-)- В.Н. Гусев (СУ «Прогресс», «Москит-М»), (-1973-78г.-)- Ю.И. Бородин (СУ П-120, «Прогресс», «Москит»), (1973г.)- А.А. Хрусталев (СУ «Прогресс»), (1973г.)- А.Г. Стронин (СУ «Прогресс»), (1973г.)- В.В. Феоктистов (СУ «Прогресс»), (1973г.)- Ф.И. Тезиков (СУ «Прогресс»), (1973г.)- А.Н. Скоробогачев (СУ «Прогресс»), (1973г.)- Ю.П. Горячев (СУ «Прогресс»), (1973г.)- А.С. Евстигнеев («Метель», «Штиль»), (1973г.)- Н.И. Кузнецов («Метель»), (1975г.)- Е.Л. Назаров («Клинок»), (1975г.)- В.Д. Немцов («Клинок»), (1975г.)- О.Н. Смирнов («Клинок»), (1975г.)- А.И. Чугунов («Эльбрус», «Кристалл», «Зефир», «Клинок», «Пакет- 71»), (1978г.-)- С.Е. Ермолаев (СУ «Москит»), (1978г.-)- Ю.В. Молодык (СУ «Москит»), (1978г.-)- </w:t>
      </w:r>
      <w:r w:rsidRPr="00C33834">
        <w:rPr>
          <w:rFonts w:ascii="Times New Roman" w:hAnsi="Times New Roman"/>
          <w:color w:val="000000" w:themeColor="text1"/>
          <w:sz w:val="16"/>
          <w:szCs w:val="16"/>
          <w:lang w:val="en-US"/>
        </w:rPr>
        <w:t>G</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M</w:t>
      </w:r>
      <w:r w:rsidRPr="00C33834">
        <w:rPr>
          <w:rFonts w:ascii="Times New Roman" w:hAnsi="Times New Roman"/>
          <w:color w:val="000000" w:themeColor="text1"/>
          <w:sz w:val="16"/>
          <w:szCs w:val="16"/>
        </w:rPr>
        <w:t xml:space="preserve">. Голубев (СУ «Москит»), (1970-е)- В.А. Драчук («Штиль»), (1970-е)- Н.А. Макарова («Штиль»), (1970-е)- Э.В. Романова («Клинок»), (1970-е)- С.Н. Лещев («Клинок»), (1970-е)- Г.А. Миронов («Клинок»), (1970-е)- Ю.И. Иванов («Клинок»), (1980-е)- Б.М. Палладии, (1969-80-е)- О.М. Гиндлин («Риф», «Риф-М», С-300Ф), А.В. Борзунов, А.П. Ежов, ИЛ. Левин, </w:t>
      </w:r>
      <w:r w:rsidRPr="00C33834">
        <w:rPr>
          <w:rFonts w:ascii="Times New Roman" w:hAnsi="Times New Roman"/>
          <w:color w:val="000000" w:themeColor="text1"/>
          <w:sz w:val="16"/>
          <w:szCs w:val="16"/>
          <w:lang w:val="en-US"/>
        </w:rPr>
        <w:t>JI</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B</w:t>
      </w:r>
      <w:r w:rsidRPr="00C33834">
        <w:rPr>
          <w:rFonts w:ascii="Times New Roman" w:hAnsi="Times New Roman"/>
          <w:color w:val="000000" w:themeColor="text1"/>
          <w:sz w:val="16"/>
          <w:szCs w:val="16"/>
        </w:rPr>
        <w:t xml:space="preserve">. Некрасов, Э.Г. Подоляк, Г.П. Шадрин, </w:t>
      </w:r>
      <w:r w:rsidRPr="00C33834">
        <w:rPr>
          <w:rFonts w:ascii="Times New Roman" w:hAnsi="Times New Roman"/>
          <w:color w:val="000000" w:themeColor="text1"/>
          <w:sz w:val="16"/>
          <w:szCs w:val="16"/>
          <w:lang w:val="en-US"/>
        </w:rPr>
        <w:t>JI</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H</w:t>
      </w:r>
      <w:r w:rsidRPr="00C33834">
        <w:rPr>
          <w:rFonts w:ascii="Times New Roman" w:hAnsi="Times New Roman"/>
          <w:color w:val="000000" w:themeColor="text1"/>
          <w:sz w:val="16"/>
          <w:szCs w:val="16"/>
        </w:rPr>
        <w:t>. Шинкарев.</w:t>
      </w:r>
    </w:p>
    <w:p w14:paraId="3CE4CBF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отделений: НИО-2 (1970-е-80-е)- С.А. Климов; НИО-3 (1960-е)- В.И. Ярошенко, (1970-е)- В.Ф. Измайлов, Н.С. Щербаков, В.И. Кочурков; конструкторского (-1971 г.)- Л.В. Некрасов, Л.А. Логвинов, Л.Н. Шинкарев; (1971 г.-)- И.Н. Амиантов, (-1985г.)- Г.Н. Волгин, С.А. Гвоздев, Д.Я. Ковалевский, В.П. Линьков, А.С. Миронов; и.о.- С.М. Соколов; (-1986г.)- В.И. Соловьев, Е.А. Титов, С.А. Фадеев, В.И. Харитонов.</w:t>
      </w:r>
    </w:p>
    <w:p w14:paraId="30715C2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начальника отделения: НИО-2 (1980-е)- О.В. Гудков; конструкторского- Л.А. Логвинов, Л.Н. Шинкарев; по научной работе- В.А. Кочурков; В.В. Быстровзоров, Е.М. Гогичайшвили, В.Н. Гусев, В.П. Линьков, А.В. Листратов, Д.П. Павлов, А.И. Чугунов, Г.П. Шадрин.</w:t>
      </w:r>
    </w:p>
    <w:p w14:paraId="07E84DE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Председатель НТС (1938-40 г.)- А.Ф. Шорин. Ученый секретарь (-1984г.)- П.А. Богомолов, А.В. Листратов, Д.П. Павлов.</w:t>
      </w:r>
    </w:p>
    <w:p w14:paraId="76028B8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Начальники отделов: № 2 (1956г.)- Б.П. Капелин, (1961 г.)- А.С. Миронов; № 4- В.А. Егоров; № 15 (1968-70-е)- Н.С. Щербаков; № 51 (1956г.)- Г.А. Абрамян; электропитания (1966г.-)- К.Г. Агапов; ОГК (1940 г.-)- В.Д. Калмыков; системного программирования (2007г.)- И.С. Чернова; ОКС (1938г.)- Косоруков; (-1987г.)- И.Н. Амиантов, (2001 г.)- В. Беляев, (-1954г.)- А.И. Бобров, </w:t>
      </w:r>
      <w:r w:rsidRPr="00C33834">
        <w:rPr>
          <w:rFonts w:ascii="Times New Roman" w:hAnsi="Times New Roman"/>
          <w:color w:val="000000" w:themeColor="text1"/>
          <w:sz w:val="16"/>
          <w:szCs w:val="16"/>
          <w:lang w:val="en-US"/>
        </w:rPr>
        <w:t>B</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C</w:t>
      </w:r>
      <w:r w:rsidRPr="00C33834">
        <w:rPr>
          <w:rFonts w:ascii="Times New Roman" w:hAnsi="Times New Roman"/>
          <w:color w:val="000000" w:themeColor="text1"/>
          <w:sz w:val="16"/>
          <w:szCs w:val="16"/>
        </w:rPr>
        <w:t>. Бобрышев, П.А. Богомолов, А.В. Борзунов, (-1979г.)- Ю.И. Бородин, Г.Н. Волгин, (-1953г.)- А.С. Гринштейн, О.В. Гудков, В.Н. Гусев, (-1991 г.)- О.Н. Демин, А.С. Евстигнеев, А.П. Ежов, В.Ф. Измайлов, Д.Я. Ковалевский, В.Е. Краснов, М.И. Кризенталь, (1940 г.-)- В.И. Кузнецов, В.А. Кузовкин, В.П. Линьков, М.А. Липатов, А.В. Листратов, Л.А. Логвинов, Л.Б. Масленников, С.А. Миронов, Я.Е. Нефедов, Д.П. Павлов, В.И. Пейсиков, Э.Г. Подоляк, Н.Д. Смирнов, С.М. Соколов, В.И. Соловьев, (-1987г.)- Ф.И. Тезиков, Е.А. Титов, (2007г.)- О.В. Тихонова, (2007г.)- А.М. Томский, С.А. Фадеев, В.И. Харитонов, А.И. Чугунов, (-1968г.)- Ю.А. Шаровский, Л.Н. Шинкарев, В.И. Ярошенко.</w:t>
      </w:r>
    </w:p>
    <w:p w14:paraId="5AAFEC1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начальника отдела: КО (-1973г.)- Б.П. Капелин; А.В. Борзунов, В.В. Быстровзоров, (2000-е)- С.А. Гвоздев, В.А. Егоров, И.А. Игнатьев, (2001 г.-)- Д.С. Климов, (-1997г.)- В.А. Кочурков, С.А. Миронов, Д.П. Павлов, (-1961 г.)- К.А. Петров, (-2004г.)- Э.Г. Подоляк, (-1961 г.)- С.П. Сагарда, (-1974г.)- Н.Д. Смирнов, (-1986г.)- B.П.Хондзинский, Г.П. Шадрин, Л.Н. Шинкарев, В.И. Ярошенко.</w:t>
      </w:r>
    </w:p>
    <w:p w14:paraId="2A005E8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секторов: электрических процессов (1933г.-)- Б.А. Смирении; электроакустики (1933г.-)- А.И. Бобров; телемеханики (1933г.-)- П.П. Темный; конструкторского ОГК- В.А. Соломенцев, (-1964г.)- В.К. Беляев, (-1965г.)- В.В. Романов, А.П. Беляков, (-1968г.)- А.Ф. Малютин, (-1971 г.)- И.Я. Левин; (2000-е)- Н.В. Алексеев, Ю.М. Бабкин, А.В. Борзунов, Ю.И. Бородин, В.В. Быстровзоров, Г.Н. Волгин, (-1978г.)- Н.Н. Гусарова, О.Н. Демин, (-2001 г.)- А.С. Евстигнеев, В.А. Егоров, (1971 г.-)- В.Ф. Измайлов, (2005г.)- А. Котов, В.А. Кочурков, В.Е. Краснов, В.П. Линьков, М.А. Липатов, Н.А. Макарова, Ю.В. Малинин, С.А. Миронов, (-1985г.)- Ю.В. Молодык, Я.Е. Нефедов, Д.П. Павлов, (1970-е)- О.В. Платонов, (-1984г.)- Л.М. Рогов, (-1990 г.)- В.В. Романов, (-2003г.)- Э.В. Романова, (-1991 г.)- Ю.С. Сергеев, В.И. Соловьев, (-2006г.)- В.Н. Тимашов, Е.А. Титов, О.В. Тихонова, В.И. Тумаркин, С.А. Фадеев, В.И. Харитонов, В.П. Хондзинский, А.И. Чугунов, Л.Н. Шинкарев. Зам. начальника сектора: А.П. Ежов, Н.А. Камнев, И.С. Чернова.</w:t>
      </w:r>
    </w:p>
    <w:p w14:paraId="6B385CA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филиалов: Ленинградского (-28.10.1937г.)- М.Т. Курочкин, (28.10.1937г.-)- И.М. Тарновский, (1930-е)- М.Л. Медведев; Свердловского отделения (10.1941 г.-)- Н.В. Рогачевский, Свердловского филиала (12.1941 г.-)- С.В. Петренко; НИБ «Большая Волга» (1950-е)- к1р В.Г. Турусов, Г.А. Пушкин, А.И. Пестов, В.В. Смирнов.</w:t>
      </w:r>
    </w:p>
    <w:p w14:paraId="6C466DA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инженеры: Свердловского филиала (12.1941 г.-)- В.Д. Калмыков; ОП- Е.М. Гогичайшвили, В.П. Олеванов, (-1994г.)- Ю.В. Малинин.</w:t>
      </w:r>
    </w:p>
    <w:p w14:paraId="64EA299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цехов: (1960-е)- В.П. Олеванов.</w:t>
      </w:r>
    </w:p>
    <w:p w14:paraId="064A521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начальника цеха: Е.М. Гогичайшвили, В.П. Олеванов.</w:t>
      </w:r>
    </w:p>
    <w:p w14:paraId="6C3AD8D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Начальники лабораторий: вторичного электронного преобразования (1930-е)- Кубецкий; № 3 (1930-е)- К.В. Байдун; № 24 (1954г.)- </w:t>
      </w:r>
      <w:r w:rsidRPr="00C33834">
        <w:rPr>
          <w:rFonts w:ascii="Times New Roman" w:hAnsi="Times New Roman"/>
          <w:color w:val="000000" w:themeColor="text1"/>
          <w:sz w:val="16"/>
          <w:szCs w:val="16"/>
          <w:lang w:val="en-US"/>
        </w:rPr>
        <w:t>C</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II</w:t>
      </w:r>
      <w:r w:rsidRPr="00C33834">
        <w:rPr>
          <w:rFonts w:ascii="Times New Roman" w:hAnsi="Times New Roman"/>
          <w:color w:val="000000" w:themeColor="text1"/>
          <w:sz w:val="16"/>
          <w:szCs w:val="16"/>
        </w:rPr>
        <w:t xml:space="preserve">. Сагарда, (-1955-57г.-&gt; А.С. Миронов; № 30 (1958-60 г.)- А.А. Папернов; № 35 (1965г.)- В.А. Букатов; № 44 А.Н. Сыровец; электропитания (1955г.-)- Ф.П. Афонина; корабельной СУ П-120 (-1965г.)- С.Н. Литков, В.П. Хондзинский; цифровой обработки сигналов (1958г.)- Ю.Г. Черкасов; СВЧ- передатчиков- П.А. Ануфриев, К.Г. Кнорре, К.А. Рождественский, А.Е. Бударов; устройств опорных и гетеродинных сигналов- Ю.В. Пырсиков; вычислительных машин (1968г.)- Г.Е. Ножников; счетно-решающих приборов (1968г.)- А.Н. Голощапов; регистрирующих устройств (1968г.)- М.С. Арапов; запоминающих устройств (1968г.)- Ю.И. Фокин; математического обеспечения (-1968-70 г.)- Е.Н. Пирогов, Э.Г. Подоляк; высоковольтных источников питания- Ю.П. Кудряшов; (-1971 г.)- М.Е. Альбац, (1966г.)- Ф.П. Афонина, (-1953г.)- И.И. Бакулов, (-1961 г.)- А.К. Балаян, А.С. Батанов, (-1956-60-е)- А.И. Беляков, В.Б. Биншток, (1935г.-)- А.И. Бобров, П.А. Богомолов, В.А. Борисюк, (1960-е)- Г.Н. Волгин, (2001 г.)- В. Волоцкий, (-1966г.)- В.И. Гаврююв, С.А. Гвоздев, (-1960 г.)- Г.Г. Гинкин, О.В. Гудков, (-1971 г.)- Ю.П. Гуров, Б.М. Гусев, О.Н. Демин, А.И. Денисов, В.А. Егоров, Е.В. Егоров, А.С. Егоров-Кузьмин, В.П. Еремин, (-1968г.)- И.А. Игнатьев, Г.И. Келлер, (-1995г.)- В.И. Киселев, C.А.Климов, Д.Я. Ковалевский, Л.Г. Коваленко, А.В. Кожухов, В.Е. Краснов, М.И. Кризенталь, В.П. Крупкин, (-1987г.)- А.Н. Крюков; и.о.- М.Ф. Куртюков; (-1964г.)- М.Ф. Куртюков, (-1989г.)- Э.М. Лившиц, (2000-е)- М.А. Липатов, А.В. Листратов, Л.А. Логвинов, (-1971 г.)- </w:t>
      </w:r>
      <w:r w:rsidRPr="00C33834">
        <w:rPr>
          <w:rFonts w:ascii="Times New Roman" w:hAnsi="Times New Roman"/>
          <w:color w:val="000000" w:themeColor="text1"/>
          <w:sz w:val="16"/>
          <w:szCs w:val="16"/>
          <w:lang w:val="en-US"/>
        </w:rPr>
        <w:t>B</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C</w:t>
      </w:r>
      <w:r w:rsidRPr="00C33834">
        <w:rPr>
          <w:rFonts w:ascii="Times New Roman" w:hAnsi="Times New Roman"/>
          <w:color w:val="000000" w:themeColor="text1"/>
          <w:sz w:val="16"/>
          <w:szCs w:val="16"/>
        </w:rPr>
        <w:t xml:space="preserve">. Марчик, (1969г.-)- Л.Б. Масленников, (1966г.)- Л.Г. Махнин, (1970-е)- Ю.В. Молодык, </w:t>
      </w:r>
      <w:r w:rsidRPr="00C33834">
        <w:rPr>
          <w:rFonts w:ascii="Times New Roman" w:hAnsi="Times New Roman"/>
          <w:color w:val="000000" w:themeColor="text1"/>
          <w:sz w:val="16"/>
          <w:szCs w:val="16"/>
          <w:lang w:val="en-US"/>
        </w:rPr>
        <w:t>B</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C</w:t>
      </w:r>
      <w:r w:rsidRPr="00C33834">
        <w:rPr>
          <w:rFonts w:ascii="Times New Roman" w:hAnsi="Times New Roman"/>
          <w:color w:val="000000" w:themeColor="text1"/>
          <w:sz w:val="16"/>
          <w:szCs w:val="16"/>
        </w:rPr>
        <w:t>. Острецов, Д.П. Павлов, Б.М. Палладии, (-1989г.)- Г.А. Пасюков, В.И. Пейсиков; и.о.- Э.Г. Подоляк; (1960 г.-)- Л.М. Рогов, (-1974г.)- В.Т. Родионов, (-1949г.)- Б.Н. Савельев, Ю.С. Сергеев, (-1971 г.)- П.А. Синицын, (-1999г.)- И.А. Скородумов, Н.Д. Смирнов, (-1950 г.)- И.Т. Соколов, Б.С. Ставицкий, (1956г.)- Б.И. Станиславский, (1971 г.)- А.Г. Стронин, Ф.И. Тезиков, Е.А. Титов, С.А. Фадеев, В.А.Фокин, (-1985г.)- Л.Е. Хазанов, Ф.Н. Черных, Л.Н. Шинкарев, Н.С. Щербаков, (1939г.-)- Н.М. Якименко, (1940 г.- )- В.М. Ястребилов.</w:t>
      </w:r>
    </w:p>
    <w:p w14:paraId="289ED18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Зам. начальника лаборатории: № 5 (-17.05.1937г.)- М.П. Курочкин; П.А. Богомолов, Г.Н. Волгин, В.И. Гаврилов, (-1966г.)- Я.Г. Генин , Ю.П. Гуров, В.А. Егоров, А.С. Егоров-Кузьмин, </w:t>
      </w:r>
      <w:r w:rsidRPr="00C33834">
        <w:rPr>
          <w:rFonts w:ascii="Times New Roman" w:hAnsi="Times New Roman"/>
          <w:color w:val="000000" w:themeColor="text1"/>
          <w:sz w:val="16"/>
          <w:szCs w:val="16"/>
          <w:lang w:val="en-US"/>
        </w:rPr>
        <w:t>B</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C</w:t>
      </w:r>
      <w:r w:rsidRPr="00C33834">
        <w:rPr>
          <w:rFonts w:ascii="Times New Roman" w:hAnsi="Times New Roman"/>
          <w:color w:val="000000" w:themeColor="text1"/>
          <w:sz w:val="16"/>
          <w:szCs w:val="16"/>
        </w:rPr>
        <w:t xml:space="preserve">. Жданов, Н.А. Камнев, Г.И. Келлер, М.Ф. Куртюков, Ф.Н. Малахов, </w:t>
      </w:r>
      <w:r w:rsidRPr="00C33834">
        <w:rPr>
          <w:rFonts w:ascii="Times New Roman" w:hAnsi="Times New Roman"/>
          <w:color w:val="000000" w:themeColor="text1"/>
          <w:sz w:val="16"/>
          <w:szCs w:val="16"/>
          <w:lang w:val="en-US"/>
        </w:rPr>
        <w:t>B</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C</w:t>
      </w:r>
      <w:r w:rsidRPr="00C33834">
        <w:rPr>
          <w:rFonts w:ascii="Times New Roman" w:hAnsi="Times New Roman"/>
          <w:color w:val="000000" w:themeColor="text1"/>
          <w:sz w:val="16"/>
          <w:szCs w:val="16"/>
        </w:rPr>
        <w:t>. Марчик, Ю.В. Молодык, Ю.С. Сергеев, Ф.И. Тезиков, В.И. Тумаркин, С.А. Фадеев, (-1981 г.)- Г.Ф. Черкасов, (-1971 г.)- В.И. Шпагин, (-1996г.)- И.С. Ямпольский, В.И. Ярошенко.</w:t>
      </w:r>
    </w:p>
    <w:p w14:paraId="6FD9253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групп: высокочастотных устройств (1930-е)- В.А. Кузовкин; передающих устройств (1930-е)- К.А. Рождественский; приемных устройств (1930-е)- Ф.В. Лукин; специальных устройств (1930-е)- Н.К. Свистов; устройств электропитания аппаратуры (1930-е)- Ф.П. Афонина; аналоговых СРП (-1958г.)- А.А. Папернов; гироприборов (1970-е)- А.П. Антонов; усилителей приводов (1970-е)- В.А. Алешин, А.И. Скоробогачев; электроэлементов (1970-е)- Н.А. Ивенин; радиовысотомера (1970-е)- Д.М. Котлярский; А.С. Гринштейн, В.П. Еремин, (2000-е)- Ф.К. Поволоцкий, Н.Д. Смирнов. Начальники бюро: ИТБ (1937г.-)- Г.Г. Гинкин.</w:t>
      </w:r>
    </w:p>
    <w:p w14:paraId="7876CFB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начальника КБ- Л.А. Логвинов. Зам. гл. инженера КБ- Ю.В. Малинин.</w:t>
      </w:r>
    </w:p>
    <w:p w14:paraId="010C1DD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Научные руководители НИР: Н.Н. Гусарова («Сокол», «Квант», «Баклан», «Агат», «Стриж»), Д.Я. Ковалевский, В.П. Линьков, А.В. Листратов, Г.А. Пасюков, В.Т. Родионов, Е.А. Титов.</w:t>
      </w:r>
    </w:p>
    <w:p w14:paraId="48E2748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научного руководителя НИР: Б.М. Палладии.</w:t>
      </w:r>
      <w:r w:rsidRPr="00C33834">
        <w:rPr>
          <w:rFonts w:ascii="Times New Roman" w:hAnsi="Times New Roman"/>
          <w:color w:val="000000" w:themeColor="text1"/>
          <w:sz w:val="16"/>
          <w:szCs w:val="16"/>
          <w:vertAlign w:val="superscript"/>
        </w:rPr>
        <w:t>ьо</w:t>
      </w:r>
    </w:p>
    <w:p w14:paraId="329D900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iCs/>
          <w:color w:val="000000" w:themeColor="text1"/>
          <w:sz w:val="16"/>
          <w:szCs w:val="16"/>
        </w:rPr>
        <w:t>Создано: корабельные РЛС:</w:t>
      </w:r>
      <w:r w:rsidRPr="00C33834">
        <w:rPr>
          <w:rFonts w:ascii="Times New Roman" w:hAnsi="Times New Roman"/>
          <w:color w:val="000000" w:themeColor="text1"/>
          <w:sz w:val="16"/>
          <w:szCs w:val="16"/>
        </w:rPr>
        <w:t xml:space="preserve"> управления артстрельбой: «Юпитер-1» (1943), «Вымпел-2Д» («Юпитер-2», 1946), «Марс-1» (1945), «Редан-1», «Редан-2» («Марс-2», пнв в 09.1945г.), «Марс-3» (1946), БИМС, радиодальномеры «Сириус» (1946), «Сириус-Б» (1948), «Штаг-Б» (1948), для торпедной стрельбы «Редан-ЗТ» (1952), орудий главного калибра «Грот» (1951-) и «Залп» (1952), «Якорь» (1949-51), «Турель» (1955); обнаружения надводных целей и низколетяших самолетов: «Риф» (пнв в 1949г.), </w:t>
      </w:r>
      <w:r w:rsidRPr="00C33834">
        <w:rPr>
          <w:rFonts w:ascii="Times New Roman" w:hAnsi="Times New Roman"/>
          <w:color w:val="000000" w:themeColor="text1"/>
          <w:sz w:val="16"/>
          <w:szCs w:val="16"/>
        </w:rPr>
        <w:lastRenderedPageBreak/>
        <w:t>«Риф-А» (1954), для торпедных катеров «Зарница» (1947), для сторожевиков и тральщиков «Линь» (1940-е), «Ангара» (пнв в 1958г.); обнаружения воздушных целей «Разлив» (1958), «Ангара» (1958), «Тайфун» (1950-е); «Бином»;</w:t>
      </w:r>
      <w:r w:rsidRPr="00C33834">
        <w:rPr>
          <w:rFonts w:ascii="Times New Roman" w:hAnsi="Times New Roman"/>
          <w:iCs/>
          <w:color w:val="000000" w:themeColor="text1"/>
          <w:sz w:val="16"/>
          <w:szCs w:val="16"/>
        </w:rPr>
        <w:t xml:space="preserve"> береговые РЛС:</w:t>
      </w:r>
      <w:r w:rsidRPr="00C33834">
        <w:rPr>
          <w:rFonts w:ascii="Times New Roman" w:hAnsi="Times New Roman"/>
          <w:color w:val="000000" w:themeColor="text1"/>
          <w:sz w:val="16"/>
          <w:szCs w:val="16"/>
        </w:rPr>
        <w:t xml:space="preserve"> «Шкот» (на базе «Риф», пнв в 1950 г.), «Лот» (на базе «Линь», 1940-е), «Редан-3» (1950), «Редан-ЗА» (1953), «Залп-Б» (1950-е); «Вахта» (1947), «Колчан» (1955);</w:t>
      </w:r>
      <w:r w:rsidRPr="00C33834">
        <w:rPr>
          <w:rFonts w:ascii="Times New Roman" w:hAnsi="Times New Roman"/>
          <w:iCs/>
          <w:color w:val="000000" w:themeColor="text1"/>
          <w:sz w:val="16"/>
          <w:szCs w:val="16"/>
        </w:rPr>
        <w:t xml:space="preserve"> станции поиска и разведки:</w:t>
      </w:r>
      <w:r w:rsidRPr="00C33834">
        <w:rPr>
          <w:rFonts w:ascii="Times New Roman" w:hAnsi="Times New Roman"/>
          <w:color w:val="000000" w:themeColor="text1"/>
          <w:sz w:val="16"/>
          <w:szCs w:val="16"/>
        </w:rPr>
        <w:t xml:space="preserve"> «Мачта» (1954), «Бизань» (1956), «Гафель» (1956), МРП-11-12, МРП-13-14 и МРП-15-16 («Залив», 1961); РЛС «Мост» (1970-е);</w:t>
      </w:r>
      <w:r w:rsidRPr="00C33834">
        <w:rPr>
          <w:rFonts w:ascii="Times New Roman" w:hAnsi="Times New Roman"/>
          <w:iCs/>
          <w:color w:val="000000" w:themeColor="text1"/>
          <w:sz w:val="16"/>
          <w:szCs w:val="16"/>
        </w:rPr>
        <w:t xml:space="preserve"> станции радиопротиводействия:</w:t>
      </w:r>
      <w:r w:rsidRPr="00C33834">
        <w:rPr>
          <w:rFonts w:ascii="Times New Roman" w:hAnsi="Times New Roman"/>
          <w:color w:val="000000" w:themeColor="text1"/>
          <w:sz w:val="16"/>
          <w:szCs w:val="16"/>
        </w:rPr>
        <w:t xml:space="preserve"> «Коралл-11, - 14» (1954), «Краб-11», «Краб-12» (1956), «Взрыв» (1960); автомат стрельбы 37-мм пушек «Юкон» (1946); первый отечественный векторно-электрический прибор ВЭПУАЗО;</w:t>
      </w:r>
      <w:r w:rsidRPr="00C33834">
        <w:rPr>
          <w:rFonts w:ascii="Times New Roman" w:hAnsi="Times New Roman"/>
          <w:iCs/>
          <w:color w:val="000000" w:themeColor="text1"/>
          <w:sz w:val="16"/>
          <w:szCs w:val="16"/>
        </w:rPr>
        <w:t xml:space="preserve"> системы управления:</w:t>
      </w:r>
      <w:r w:rsidRPr="00C33834">
        <w:rPr>
          <w:rFonts w:ascii="Times New Roman" w:hAnsi="Times New Roman"/>
          <w:color w:val="000000" w:themeColor="text1"/>
          <w:sz w:val="16"/>
          <w:szCs w:val="16"/>
        </w:rPr>
        <w:t xml:space="preserve"> стрельбой МЗА «Фут» (пнв в 1955г.), ЗА МР-100 «Парус» (пнв 26.06.1957г.), береговым комплексом «Полимент-Редут»; УРВП «Комета», ККР П-6 (1962), «Аметист», «Бином-Блок» для П-35 «Скала» (пнв в 1961 г.), «Аргон» для П-500, «Двина» для П-120 «Малахит» (пнв в 03.1971 г.), «Прогресс» (пнв в 1981 г.), «Гранит», противолодочным УРПК-3 «Метель» (пнв в 1973г.), «Муссон» для УРПК-4 (1972), «Раструб» для УРК-5 (1982), для ЗК-96, «Москит-М, -МВЕ», РЛСУ ЗРК «Каштан» (пнв в 1990 г., «Кортик»- экпортный); «Трио»;</w:t>
      </w:r>
      <w:r w:rsidRPr="00C33834">
        <w:rPr>
          <w:rFonts w:ascii="Times New Roman" w:hAnsi="Times New Roman"/>
          <w:iCs/>
          <w:color w:val="000000" w:themeColor="text1"/>
          <w:sz w:val="16"/>
          <w:szCs w:val="16"/>
        </w:rPr>
        <w:t xml:space="preserve"> БИП:</w:t>
      </w:r>
      <w:r w:rsidRPr="00C33834">
        <w:rPr>
          <w:rFonts w:ascii="Times New Roman" w:hAnsi="Times New Roman"/>
          <w:color w:val="000000" w:themeColor="text1"/>
          <w:sz w:val="16"/>
          <w:szCs w:val="16"/>
        </w:rPr>
        <w:t xml:space="preserve"> «Звено» (1948), «Цепь» (1953), «Планшет» (пнв 27.03.1954г.), «Дозор», «Сапфир» (1970-е);</w:t>
      </w:r>
      <w:r w:rsidRPr="00C33834">
        <w:rPr>
          <w:rFonts w:ascii="Times New Roman" w:hAnsi="Times New Roman"/>
          <w:iCs/>
          <w:color w:val="000000" w:themeColor="text1"/>
          <w:sz w:val="16"/>
          <w:szCs w:val="16"/>
        </w:rPr>
        <w:t xml:space="preserve"> ИК ГСН:</w:t>
      </w:r>
      <w:r w:rsidRPr="00C33834">
        <w:rPr>
          <w:rFonts w:ascii="Times New Roman" w:hAnsi="Times New Roman"/>
          <w:color w:val="000000" w:themeColor="text1"/>
          <w:sz w:val="16"/>
          <w:szCs w:val="16"/>
        </w:rPr>
        <w:t xml:space="preserve"> ИГС-59 для К-55, для К-8, 5Г42 (середина 1960-х), «Кондор», «Снегирь» для П-15, «Дрофа» для П-120 (1971), «Дрофа-МТ» для УРК-5 (1982); комбинированная ГСН для КР «Москит» (1970-е); ИК ГСН для ИС-М (1970-е); радионавигационная система движения судов по схеме «кабель на дне» «Окунь» (1943), система ориентации судов относительно берега «Координатор» (1949); «Сом»; триод НТ-99Д (ВОВ); автоматический имитатор корабля «Минарет» (1970-е); корабельные системы автоматической обработки РЛ информации МРО-ЗЮА «Ангара-А» (1968), «Байкал-С4 (1969), -Ф»; системы отображения РЛ, оптико-электронной информации для космических систем «Метеор», «Метеор-2»;</w:t>
      </w:r>
      <w:r w:rsidRPr="00C33834">
        <w:rPr>
          <w:rFonts w:ascii="Times New Roman" w:hAnsi="Times New Roman"/>
          <w:iCs/>
          <w:color w:val="000000" w:themeColor="text1"/>
          <w:sz w:val="16"/>
          <w:szCs w:val="16"/>
        </w:rPr>
        <w:t xml:space="preserve"> АРМ:</w:t>
      </w:r>
      <w:r w:rsidRPr="00C33834">
        <w:rPr>
          <w:rFonts w:ascii="Times New Roman" w:hAnsi="Times New Roman"/>
          <w:color w:val="000000" w:themeColor="text1"/>
          <w:sz w:val="16"/>
          <w:szCs w:val="16"/>
        </w:rPr>
        <w:t xml:space="preserve"> АРМ- 01, ^02,-03 (2000-е);</w:t>
      </w:r>
    </w:p>
    <w:p w14:paraId="61AB1CD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iCs/>
          <w:color w:val="000000" w:themeColor="text1"/>
          <w:sz w:val="16"/>
          <w:szCs w:val="16"/>
        </w:rPr>
        <w:t>корабельные ЗРК:</w:t>
      </w:r>
      <w:r w:rsidRPr="00C33834">
        <w:rPr>
          <w:rFonts w:ascii="Times New Roman" w:hAnsi="Times New Roman"/>
          <w:color w:val="000000" w:themeColor="text1"/>
          <w:sz w:val="16"/>
          <w:szCs w:val="16"/>
        </w:rPr>
        <w:t xml:space="preserve"> М-1 «Волна» (пнв 24.08.1961 г.), «Волна-М» (пнв в 1968г.), «Волна-П» (пнв в 1976г.); «Волна-Н» (пнв в 1984г.); М-2 «Волхов-М» (опытный, 1958); М-11 «Шторм» (пнв в 1969г., «Шквал»- экспортный), «Шторм-М» (пнв в 1971 г.), «Шторм-Н» (пнв в 1986г.); ЗМ95, ЗМ95М; «Штиль» (1983), «Штиль-1»- экспортный; С-300Ф «Форт» (пнв в 1983г.), «Форт-М» (пнв в 1990 г., «Риф»-экспортный); М-22 «Ураган» (пнв в 1983г.); «Клинок» (пнв в 1989г., «Кинжал»-экспортный); «Риф-М, -96»; «Гибка» (2005); «Квант» (опытный, середина 1960-х);</w:t>
      </w:r>
      <w:r w:rsidRPr="00C33834">
        <w:rPr>
          <w:rFonts w:ascii="Times New Roman" w:hAnsi="Times New Roman"/>
          <w:color w:val="000000" w:themeColor="text1"/>
          <w:sz w:val="16"/>
          <w:szCs w:val="16"/>
          <w:vertAlign w:val="superscript"/>
        </w:rPr>
        <w:t>58</w:t>
      </w:r>
      <w:r w:rsidRPr="00C33834">
        <w:rPr>
          <w:rFonts w:ascii="Times New Roman" w:hAnsi="Times New Roman"/>
          <w:color w:val="000000" w:themeColor="text1"/>
          <w:sz w:val="16"/>
          <w:szCs w:val="16"/>
        </w:rPr>
        <w:t xml:space="preserve"> опытные «Орех», «Зефир»; бортовая аппаратура СУ «Гравюра» для ЗУР В-611 (1968), «Гравюра-МТ» для 85Р (1972); командно-измерительная система «Подснежник» для управления ИСЗ (1960-е), командно-траекторная радиолиния «Астра» (1960-е);</w:t>
      </w:r>
      <w:r w:rsidRPr="00C33834">
        <w:rPr>
          <w:rFonts w:ascii="Times New Roman" w:hAnsi="Times New Roman"/>
          <w:iCs/>
          <w:color w:val="000000" w:themeColor="text1"/>
          <w:sz w:val="16"/>
          <w:szCs w:val="16"/>
        </w:rPr>
        <w:t xml:space="preserve"> аппаратура обеспечения электромагнитной совместимости:</w:t>
      </w:r>
      <w:r w:rsidRPr="00C33834">
        <w:rPr>
          <w:rFonts w:ascii="Times New Roman" w:hAnsi="Times New Roman"/>
          <w:color w:val="000000" w:themeColor="text1"/>
          <w:sz w:val="16"/>
          <w:szCs w:val="16"/>
        </w:rPr>
        <w:t xml:space="preserve"> «Звезда» (1951), «Звезда-М» (1957), «Звездочка» (1968), «Подзаголовок» (пнв в 1981 г.), для больших кораблей «Подзаголовок-21» (пнв в 1993г.), для средних и малых кораблей МКЗ-11 «Подзаголовок-23» (пнв в 1993г.), для катеров «Подзаголовок-24» (пнв в 1993г.) (11982).</w:t>
      </w:r>
      <w:r w:rsidRPr="00C33834">
        <w:rPr>
          <w:rFonts w:ascii="Times New Roman" w:hAnsi="Times New Roman"/>
          <w:color w:val="000000" w:themeColor="text1"/>
          <w:sz w:val="16"/>
          <w:szCs w:val="16"/>
          <w:vertAlign w:val="superscript"/>
        </w:rPr>
        <w:t>77,103</w:t>
      </w:r>
    </w:p>
    <w:p w14:paraId="7C7DEB5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05BB8D1B" w14:textId="77777777" w:rsidR="00BE6B55" w:rsidRPr="00C33834" w:rsidRDefault="00BE6B5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07210660" w14:textId="77777777" w:rsidR="00BE6B55" w:rsidRPr="00C33834" w:rsidRDefault="00BE6B5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8FE41E1" w14:textId="77777777" w:rsidR="00BE6B55" w:rsidRPr="00C33834" w:rsidRDefault="00BE6B5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г. не был решен еще ряд важных вопросов: точное прохождение трассы на Арбате, положение и тип станции «Дворец Советов» и «Улица Коминтерна», ширина станций, гидроизоляция, система доставки пассажиров на станции, профиль тоннелей и габариты поездов (железнодорожная колея или уменьшенная) и снабжение электроэнергией подвижного состава. Вследствие вопиющего отставания проектных работ на ряде объектов в 1933 г. в ходе строительных работ пришлось переделывать готовые сооружения. В этом отношении заметных улучшений не наблюдалось. Механизация работ, которую требовали в марте, оставалась неудовлетворительной и нарушала все планы. Поставки оборудования не были систематическими, а носили скорее случайный характер, поскольку осуществлялись начальниками строительных объектов самостоятельно. Оборудование поступало разукомплектованным, а имеющиеся машины не использовались или применялись неправильно. Выемка и отвал грунта производились все еще по преимуществу ручным способом. Не хватало транспортных средств. Прогресс на различных производственных стадиях был неравномерен: шахты угрожающе долго оставались только с деревянной крепью, поскольку бетонные работы запаздывали. Несмотря на высокий расход цемента, качество бетонных работ оставалось низким. Затраты же на строительство оказывались непомерно высоки{503}.Производительность труда рабочих была чрезвычайно невелика, управленческий же аппарат оставался крайне раздутым{504}. [Картинка: i_024.png] Рис. 20. Схема линий Метростроя, август 1933 г. (18299).</w:t>
      </w:r>
    </w:p>
    <w:p w14:paraId="6D3226A2" w14:textId="77777777" w:rsidR="00BE6B55" w:rsidRPr="00C33834" w:rsidRDefault="00BE6B55" w:rsidP="00C33834">
      <w:pPr>
        <w:spacing w:after="0" w:line="240" w:lineRule="auto"/>
        <w:jc w:val="both"/>
        <w:rPr>
          <w:rFonts w:ascii="Times New Roman" w:hAnsi="Times New Roman"/>
          <w:color w:val="000000" w:themeColor="text1"/>
          <w:sz w:val="16"/>
          <w:szCs w:val="16"/>
        </w:rPr>
      </w:pPr>
    </w:p>
    <w:p w14:paraId="38010326" w14:textId="77777777" w:rsidR="00BE6B55" w:rsidRPr="00C33834" w:rsidRDefault="00BE6B5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19E28AAB" w14:textId="77777777" w:rsidR="00BE6B55" w:rsidRPr="00C33834" w:rsidRDefault="00BE6B55"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2EE8F00" w14:textId="77777777" w:rsidR="00BE6B55" w:rsidRPr="00C33834" w:rsidRDefault="00BE6B5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г. Липецкая школа была закрыта. Ряд наших авторов не мудрствуя лукаво связывают это с приходом к власти Гитлера. Однако связь между этими событиями лишь косвенная. Дело в том, что к 1933 г. контроль западных держав за соблюдением статей Версальского договора в Германии ослаб, а военная и политическая мощь страны возросла.</w:t>
      </w:r>
    </w:p>
    <w:p w14:paraId="34F0B46A" w14:textId="77777777" w:rsidR="00BE6B55" w:rsidRPr="00C33834" w:rsidRDefault="00BE6B5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Выпуск Липецкой школы в 1933 г. составил всего 15 человек. 18 августа аэродром в Липецке был возвращен ВВС РККА, а через несколько дней в Москву, а оттуда в Германию вылетели базировавшиеся в Липецке самолеты «Юнкерс» W 33, K 47 и А 48 с немецкими летчиками и наиболее ценным оборудованием на борту. Последние представители рейхсвера покинули Липецк 14 сентября 1933 г.</w:t>
      </w:r>
    </w:p>
    <w:p w14:paraId="11460FF1" w14:textId="77777777" w:rsidR="00BE6B55" w:rsidRPr="00C33834" w:rsidRDefault="00BE6B5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Нашим ВВС немцы оставили 15 истребителей «Фоккер D XIII», несколько автомобилей и другое имущество. На месте бывшей Липецкой авиашколы была создана Высшая военно-техническая школа ВВС РККА, затем преобразованная в летный центр по испытаниям боевых самолетов (18264).</w:t>
      </w:r>
    </w:p>
    <w:p w14:paraId="47DE4453" w14:textId="77777777" w:rsidR="00BE6B55" w:rsidRPr="00C33834" w:rsidRDefault="00BE6B55" w:rsidP="00C33834">
      <w:pPr>
        <w:spacing w:after="0" w:line="240" w:lineRule="auto"/>
        <w:jc w:val="both"/>
        <w:rPr>
          <w:rFonts w:ascii="Times New Roman" w:hAnsi="Times New Roman"/>
          <w:color w:val="000000" w:themeColor="text1"/>
          <w:sz w:val="16"/>
          <w:szCs w:val="16"/>
        </w:rPr>
      </w:pPr>
    </w:p>
    <w:p w14:paraId="34F011B3"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78E3C8EE"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5A0488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года в «Обществе межпланетных сообщений» была серьезная дискуссия по поводу применения спирта в качестве горючего. Было известно, что спирт требует при горении меньшее количество окислителя. Чтобы полностью сжечь 1 кг бензина, необходимо иметь 3,5 кг кислорода. Для того, чтобы сжечь 1 кг спирта, нужно всего лишь около 2 кг кислорода. Хотя спирт выделяет несколько меньше энергии, это преимущество было явным. В это время Ридель работал над проблемой повышения эффективности системы охлаждения. Заинтересовавшись спиртом как возможным ракетным топливом, Ридель задался мыслью охладить двигатель путем впрыскивания внутрь камеры сгорания некоторого количества охлаждающей воды. Готовность Риделя согласиться на применение спирта основывалась на том, что охлаждающую воду можно было смешать со спиртом, обходясь без дополнительной впрыскивающей форсунки.</w:t>
      </w:r>
    </w:p>
    <w:p w14:paraId="010C06E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Тем временем неутомимый Рудольф Небель усиленно искал тех, кто смог бы оказывать постоянную финансовую поддержку работам с ракетами. Обращение к промышленникам ничего не давало – ракеты им были не нужны. Тогда Небель попытался заинтересовать в проводившихся работах военное ведомство. Он направил туда, по воспоминаниям Вилли Лея «технически совершенно неграмотный секретный меморандум о дальнобойной ракетной артиллерии». Военное ведомство предложением заинтересовалось и в конце концов было решено произвести показательный пуск ракеты на артиллерийском полигоне Куммерсдорф, расположенном южнее Берлине. Пуск ракеты «Repulsor» не произвел большого впечатления на военных. Она поднялась примерно на 70 м и уже на этой малой высоте ее траектория была почти горизонтальной. Ракета упала на расстоянии 2 – 3 км от точки старта. Военные сочли, что продемонстрированный запуск говорит о неспособности группы Небеля организовать серьезную разработку. Особенно плохое впечатление произвело на них то, что у Небеля не было конкретных ответов на вопросы по проблеме управления полетом ракеты, о ее траекториях, потребном расходе топлива и тому подобном. На эти вопросы мог бы ответить Герман Оберт, но его на те испытания никто не пригласил (11688).</w:t>
      </w:r>
    </w:p>
    <w:p w14:paraId="45711F1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1FC35D8D" w14:textId="77777777" w:rsidR="00321E7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4E8AA23" w14:textId="77777777" w:rsidR="00321E7A" w:rsidRPr="00C33834" w:rsidRDefault="00321E7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CD3D83C" w14:textId="77777777" w:rsidR="00321E7A" w:rsidRPr="00C33834" w:rsidRDefault="00321E7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3-го квартала 1933 по дирижаблю В-10 на совещании у заместителя начальника Дирижаблестроя Флаксермана было вынесено решение - работы приостановить. Если до 1934 г. в течение 3-х лет проблеме жесткого дирижаблестроения почти не уделялось внимания, то за 1934 г. силами молодых советских специалистов - инженерами выпуска 19321933 гг. проделана глубокая серьезная работа по жесткому дирижаблю ДЖ-1 объемом 100 000 м 3. Группа в составе 20 человек изучила весь имеющийся материал, разработала техническое задание и технические условия, сделала около 40 основных расчетов и выполнила 4 комплекта рабочих чертежей по опытным конструкциям (около 108 чертежей) [14, л. 41]. С 1 сентября началось внесение изменений в проект дирижабля В-7 для подготовки рабочих чертежей – к форсированию работ по постройке дирижабля В-7 бис. К концу года задание было в целом выполнено бригадой инженера Храбковского − по модернизации В-7 было спущено около 2000 чертежей [14, л. 40-42 об] (15797).</w:t>
      </w:r>
    </w:p>
    <w:p w14:paraId="361B2F45" w14:textId="77777777" w:rsidR="00321E7A" w:rsidRPr="00C33834" w:rsidRDefault="00321E7A" w:rsidP="00C33834">
      <w:pPr>
        <w:spacing w:after="0" w:line="240" w:lineRule="auto"/>
        <w:jc w:val="both"/>
        <w:rPr>
          <w:rFonts w:ascii="Times New Roman" w:hAnsi="Times New Roman"/>
          <w:color w:val="000000" w:themeColor="text1"/>
          <w:sz w:val="16"/>
          <w:szCs w:val="16"/>
        </w:rPr>
      </w:pPr>
    </w:p>
    <w:p w14:paraId="4BF129C1" w14:textId="77777777" w:rsidR="003F2394"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DDBBA16" w14:textId="77777777" w:rsidR="003F2394" w:rsidRPr="00C33834" w:rsidRDefault="003F239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17ECA30"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осенний и зимний период 1933 г. в Подмосковье на НИАБТП испытания специальной подкатной тележки для Т-27, буксируемой грузовым автомобилем провели начальник испытательной станции Громов, начальник автобронестанции Шмелев и старший авто-техник Шумилов под руковод-ством начальника полигона Штагина.</w:t>
      </w:r>
    </w:p>
    <w:p w14:paraId="281F785E"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Целью испытаний являлось определение соответствия изготовленного образца тактико- техническим требованиям, предъявляемым к подобным изделиям. Если для разработчиков транспортеров танков за рубежом немаловаж-ным фактором было стремление сохранить до-рожное покрытие автострад от разрушения гу-сеницами, то при утверждении программы ис-пытания подкатной тележки для Т-27 из общего пробега в 600 км только половина должна была пройти по шоссе. Остальные 300 км распреде-лялись следующим образом:«150 км среднего качества и 150 км разбитой и сильно грязной» дороги.</w:t>
      </w:r>
    </w:p>
    <w:p w14:paraId="5A597B66"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транспортировки тележки по снегу Остехбюро сконструировало специальные мощные аэросани.</w:t>
      </w:r>
    </w:p>
    <w:p w14:paraId="35DFDC4F"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Скорости движения в ходе испытаний пред-полагалось «иметь до пределов допускаемых машиной, но не менее 30 клм/час по шоссе, по проселку среднего качества не менее 25 клм/час и по разбитой проселочной дороге не менее 15 клм/час». Следовало установить «время вка-тывания с закреплением танкетки на поход, вре-мя освобождения танкетки и ее скатывания», до-пустимые крены, минимальный радиус поворо-та, возможность преодоления валов и движения по косогору, а также выбрать подходящий для буксировки тип автомобиля и придать«особое внимание мерам предосторожности при всех операциях и перевозках».</w:t>
      </w:r>
    </w:p>
    <w:p w14:paraId="68139DE3"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Данные буксировки за АМО-6</w:t>
      </w:r>
    </w:p>
    <w:p w14:paraId="539CE97A"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Пробеги, км</w:t>
      </w:r>
      <w:r w:rsidRPr="00C33834">
        <w:rPr>
          <w:rFonts w:ascii="Times New Roman" w:hAnsi="Times New Roman"/>
          <w:color w:val="000000" w:themeColor="text1"/>
          <w:sz w:val="16"/>
          <w:szCs w:val="16"/>
        </w:rPr>
        <w:tab/>
        <w:t>94</w:t>
      </w:r>
      <w:r w:rsidRPr="00C33834">
        <w:rPr>
          <w:rFonts w:ascii="Times New Roman" w:hAnsi="Times New Roman"/>
          <w:color w:val="000000" w:themeColor="text1"/>
          <w:sz w:val="16"/>
          <w:szCs w:val="16"/>
        </w:rPr>
        <w:tab/>
        <w:t>128</w:t>
      </w:r>
      <w:r w:rsidRPr="00C33834">
        <w:rPr>
          <w:rFonts w:ascii="Times New Roman" w:hAnsi="Times New Roman"/>
          <w:color w:val="000000" w:themeColor="text1"/>
          <w:sz w:val="16"/>
          <w:szCs w:val="16"/>
        </w:rPr>
        <w:tab/>
        <w:t>103</w:t>
      </w:r>
    </w:p>
    <w:p w14:paraId="45B5C942"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движения расчетная, км/ч</w:t>
      </w:r>
      <w:r w:rsidRPr="00C33834">
        <w:rPr>
          <w:rFonts w:ascii="Times New Roman" w:hAnsi="Times New Roman"/>
          <w:color w:val="000000" w:themeColor="text1"/>
          <w:sz w:val="16"/>
          <w:szCs w:val="16"/>
        </w:rPr>
        <w:tab/>
        <w:t>27,7</w:t>
      </w:r>
      <w:r w:rsidRPr="00C33834">
        <w:rPr>
          <w:rFonts w:ascii="Times New Roman" w:hAnsi="Times New Roman"/>
          <w:color w:val="000000" w:themeColor="text1"/>
          <w:sz w:val="16"/>
          <w:szCs w:val="16"/>
        </w:rPr>
        <w:tab/>
        <w:t>27,1</w:t>
      </w:r>
      <w:r w:rsidRPr="00C33834">
        <w:rPr>
          <w:rFonts w:ascii="Times New Roman" w:hAnsi="Times New Roman"/>
          <w:color w:val="000000" w:themeColor="text1"/>
          <w:sz w:val="16"/>
          <w:szCs w:val="16"/>
        </w:rPr>
        <w:tab/>
        <w:t>19,8</w:t>
      </w:r>
    </w:p>
    <w:p w14:paraId="69F6BDF1"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движения фактическая, км/ч</w:t>
      </w:r>
      <w:r w:rsidRPr="00C33834">
        <w:rPr>
          <w:rFonts w:ascii="Times New Roman" w:hAnsi="Times New Roman"/>
          <w:color w:val="000000" w:themeColor="text1"/>
          <w:sz w:val="16"/>
          <w:szCs w:val="16"/>
        </w:rPr>
        <w:tab/>
        <w:t>21,2</w:t>
      </w:r>
      <w:r w:rsidRPr="00C33834">
        <w:rPr>
          <w:rFonts w:ascii="Times New Roman" w:hAnsi="Times New Roman"/>
          <w:color w:val="000000" w:themeColor="text1"/>
          <w:sz w:val="16"/>
          <w:szCs w:val="16"/>
        </w:rPr>
        <w:tab/>
        <w:t>15,2</w:t>
      </w:r>
      <w:r w:rsidRPr="00C33834">
        <w:rPr>
          <w:rFonts w:ascii="Times New Roman" w:hAnsi="Times New Roman"/>
          <w:color w:val="000000" w:themeColor="text1"/>
          <w:sz w:val="16"/>
          <w:szCs w:val="16"/>
        </w:rPr>
        <w:tab/>
        <w:t>15,8</w:t>
      </w:r>
    </w:p>
    <w:p w14:paraId="39E1C601"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Передачи, на которых автомобиль двигался в пробеге</w:t>
      </w:r>
      <w:r w:rsidRPr="00C33834">
        <w:rPr>
          <w:rFonts w:ascii="Times New Roman" w:hAnsi="Times New Roman"/>
          <w:color w:val="000000" w:themeColor="text1"/>
          <w:sz w:val="16"/>
          <w:szCs w:val="16"/>
        </w:rPr>
        <w:tab/>
        <w:t>2-3-4</w:t>
      </w:r>
      <w:r w:rsidRPr="00C33834">
        <w:rPr>
          <w:rFonts w:ascii="Times New Roman" w:hAnsi="Times New Roman"/>
          <w:color w:val="000000" w:themeColor="text1"/>
          <w:sz w:val="16"/>
          <w:szCs w:val="16"/>
        </w:rPr>
        <w:tab/>
        <w:t>1-2-3-4</w:t>
      </w:r>
      <w:r w:rsidRPr="00C33834">
        <w:rPr>
          <w:rFonts w:ascii="Times New Roman" w:hAnsi="Times New Roman"/>
          <w:color w:val="000000" w:themeColor="text1"/>
          <w:sz w:val="16"/>
          <w:szCs w:val="16"/>
        </w:rPr>
        <w:tab/>
        <w:t>1-2-3-4</w:t>
      </w:r>
    </w:p>
    <w:p w14:paraId="2575ED15"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Полезная нагрузка</w:t>
      </w:r>
      <w:r w:rsidRPr="00C33834">
        <w:rPr>
          <w:rFonts w:ascii="Times New Roman" w:hAnsi="Times New Roman"/>
          <w:color w:val="000000" w:themeColor="text1"/>
          <w:sz w:val="16"/>
          <w:szCs w:val="16"/>
        </w:rPr>
        <w:tab/>
        <w:t>2,5 т в кузове и Т-27 на буксире</w:t>
      </w:r>
      <w:r w:rsidRPr="00C33834">
        <w:rPr>
          <w:rFonts w:ascii="Times New Roman" w:hAnsi="Times New Roman"/>
          <w:color w:val="000000" w:themeColor="text1"/>
          <w:sz w:val="16"/>
          <w:szCs w:val="16"/>
        </w:rPr>
        <w:tab/>
        <w:t>2,5 т в кузове и Т-27 на буксире</w:t>
      </w:r>
      <w:r w:rsidRPr="00C33834">
        <w:rPr>
          <w:rFonts w:ascii="Times New Roman" w:hAnsi="Times New Roman"/>
          <w:color w:val="000000" w:themeColor="text1"/>
          <w:sz w:val="16"/>
          <w:szCs w:val="16"/>
        </w:rPr>
        <w:tab/>
        <w:t>2 т в кузове и Т-27 на буксире</w:t>
      </w:r>
    </w:p>
    <w:p w14:paraId="3814F481"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Общий расход горючего, кг</w:t>
      </w:r>
      <w:r w:rsidRPr="00C33834">
        <w:rPr>
          <w:rFonts w:ascii="Times New Roman" w:hAnsi="Times New Roman"/>
          <w:color w:val="000000" w:themeColor="text1"/>
          <w:sz w:val="16"/>
          <w:szCs w:val="16"/>
        </w:rPr>
        <w:tab/>
        <w:t>48</w:t>
      </w:r>
      <w:r w:rsidRPr="00C33834">
        <w:rPr>
          <w:rFonts w:ascii="Times New Roman" w:hAnsi="Times New Roman"/>
          <w:color w:val="000000" w:themeColor="text1"/>
          <w:sz w:val="16"/>
          <w:szCs w:val="16"/>
        </w:rPr>
        <w:tab/>
        <w:t>72</w:t>
      </w:r>
      <w:r w:rsidRPr="00C33834">
        <w:rPr>
          <w:rFonts w:ascii="Times New Roman" w:hAnsi="Times New Roman"/>
          <w:color w:val="000000" w:themeColor="text1"/>
          <w:sz w:val="16"/>
          <w:szCs w:val="16"/>
        </w:rPr>
        <w:tab/>
        <w:t>71,2</w:t>
      </w:r>
    </w:p>
    <w:p w14:paraId="16F4C358"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Продолжительность пробега</w:t>
      </w:r>
      <w:r w:rsidRPr="00C33834">
        <w:rPr>
          <w:rFonts w:ascii="Times New Roman" w:hAnsi="Times New Roman"/>
          <w:color w:val="000000" w:themeColor="text1"/>
          <w:sz w:val="16"/>
          <w:szCs w:val="16"/>
        </w:rPr>
        <w:tab/>
        <w:t>4 ч 4 мин</w:t>
      </w:r>
      <w:r w:rsidRPr="00C33834">
        <w:rPr>
          <w:rFonts w:ascii="Times New Roman" w:hAnsi="Times New Roman"/>
          <w:color w:val="000000" w:themeColor="text1"/>
          <w:sz w:val="16"/>
          <w:szCs w:val="16"/>
        </w:rPr>
        <w:tab/>
        <w:t>8 ч 26 мин</w:t>
      </w:r>
      <w:r w:rsidRPr="00C33834">
        <w:rPr>
          <w:rFonts w:ascii="Times New Roman" w:hAnsi="Times New Roman"/>
          <w:color w:val="000000" w:themeColor="text1"/>
          <w:sz w:val="16"/>
          <w:szCs w:val="16"/>
        </w:rPr>
        <w:tab/>
        <w:t>6 ч 25 мин</w:t>
      </w:r>
    </w:p>
    <w:p w14:paraId="46F6CF93"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Хотя все выявленные недостатки подкатной тележки были устранимы, внедрению их в войс-ка препятствовал недостаток мощных колесных тягачей. Автомобили АМО-6 могли использо-ваться для перевозки по хорошим дорогам в благоприятных погодных условиях, а ЯГ-10 были крайне малочисленными. Поэтому массово под-катная тележка не производилась и нашла огра-ниченное применение в РККА — главным обра-зом для доставки к месту испытаний опытных об-разцов танкеток, в частности, Т-27 с ДРП Курчевского</w:t>
      </w:r>
    </w:p>
    <w:p w14:paraId="0586149F"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Закатывание Т-27 на подкатную тележку производилось автомобилем. После предва-рительных тренировок на эту операцию затрачивалось до 35 с, а на скатывание — 20 с. В первый день испытания подкатной тележки пробе-гом производились по щебенчатому шоссе среднего качества на буксире за автомобилем ЯГ-10. На случай поломки буксировочного крю-ка имелось дополнительное крепление страхо-вочной цепью. На буксире за ЯГ-10 было прой-дено 138 км со средней скоростью 29,7 км/ч, что оказалось близко к расчетным данным. В ходе дальнейших испытаний (было соверше-но три пробега общей протяженностью 325 км) подкатная тележка буксировалась за автомо-билем АМО-6. Затем испытания приостанови-ли из-за отсутствия подходящих тягачей и ухуд-шения погодных условий. При буксировании подкатной тележки за АМО-6 его двигатель все время работал с перегрузкой. Кроме того, от-мечалась и неудачная конструкция сцепного прибора:«Буксирное приспособление у АМО-6 не позволяет нормальное крепление подкатной те-лежки, вследствие того, что отворотные лапы (буксирное приспособление подкатной тележ-ки) не совпадают с отверстием буксирного при-способления у автомобиля АМО-6, благодаря чему шкворень упирается в лапу тележки и не проходит. Для испытания было введено проме-жуточное соединение через рымы. Устранение означенного недостатка возможно путем изме-нения буксирного приспособления у АМО-6, и ни в коем случае не за счет увеличения отверстия у лапы тележки, так как это повело бы к ослабле-нию последней».</w:t>
      </w:r>
    </w:p>
    <w:p w14:paraId="03D1BF8D"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Крепление лапы буксировочного приспо-собления к тележке на заклепках характеризо-валось как ненадежное — отмечались случаи их срезания. Тогда было предложено усилить крепление путем увеличения количества закле-пок и их сечения. При движении со скоростями 25—30 км/ч и выше наблюдалась сильная тряска тележки,запыление,забрасывание сне-гом и грязью. Для устранения тряски (подпры-гивания и сильных ударов) испытатели реко-мендовали ввести подрессоривание или уста-новить на колеса специальную резину типа «полу-баллон» или «сверх-баллон», а для пре-дохранения от загрязнения требовался бре-зентовый чехол.</w:t>
      </w:r>
    </w:p>
    <w:p w14:paraId="20AE4902"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въезде на подкатную тележку танкетка брюхом садилась на ребро лапы тележки, и даль-нейшее движение становилось невозможным. Чтобы избежать этого, под гусеницы Т-27 под- кладывали доски. Испытатели рекомендовали уменьшить высоту ребра на 20—30 мм. Отмеча-лись и другие недостатки.</w:t>
      </w:r>
    </w:p>
    <w:p w14:paraId="5933A1D3"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Спецификация подкатной тележки</w:t>
      </w:r>
    </w:p>
    <w:p w14:paraId="2CD3FC29"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 и материал рамы</w:t>
      </w:r>
      <w:r w:rsidRPr="00C33834">
        <w:rPr>
          <w:rFonts w:ascii="Times New Roman" w:hAnsi="Times New Roman"/>
          <w:color w:val="000000" w:themeColor="text1"/>
          <w:sz w:val="16"/>
          <w:szCs w:val="16"/>
        </w:rPr>
        <w:tab/>
        <w:t>Железная, корытообразного сечения (швеллер №24).</w:t>
      </w:r>
    </w:p>
    <w:p w14:paraId="5B7D88EF"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Концы выгнуты по форме гусеницы</w:t>
      </w:r>
    </w:p>
    <w:p w14:paraId="79FB2312"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Число поперечин рамы</w:t>
      </w:r>
      <w:r w:rsidRPr="00C33834">
        <w:rPr>
          <w:rFonts w:ascii="Times New Roman" w:hAnsi="Times New Roman"/>
          <w:color w:val="000000" w:themeColor="text1"/>
          <w:sz w:val="16"/>
          <w:szCs w:val="16"/>
        </w:rPr>
        <w:tab/>
        <w:t>6</w:t>
      </w:r>
    </w:p>
    <w:p w14:paraId="327D591C"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Число и тип осей</w:t>
      </w:r>
      <w:r w:rsidRPr="00C33834">
        <w:rPr>
          <w:rFonts w:ascii="Times New Roman" w:hAnsi="Times New Roman"/>
          <w:color w:val="000000" w:themeColor="text1"/>
          <w:sz w:val="16"/>
          <w:szCs w:val="16"/>
        </w:rPr>
        <w:tab/>
        <w:t>Одна, типа автомобиля Я-5, усиленная</w:t>
      </w:r>
    </w:p>
    <w:p w14:paraId="0DD04C7C"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Крепление оси к раме</w:t>
      </w:r>
      <w:r w:rsidRPr="00C33834">
        <w:rPr>
          <w:rFonts w:ascii="Times New Roman" w:hAnsi="Times New Roman"/>
          <w:color w:val="000000" w:themeColor="text1"/>
          <w:sz w:val="16"/>
          <w:szCs w:val="16"/>
        </w:rPr>
        <w:tab/>
        <w:t>Жесткое</w:t>
      </w:r>
    </w:p>
    <w:p w14:paraId="0B12E533"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Число и тип колес</w:t>
      </w:r>
      <w:r w:rsidRPr="00C33834">
        <w:rPr>
          <w:rFonts w:ascii="Times New Roman" w:hAnsi="Times New Roman"/>
          <w:color w:val="000000" w:themeColor="text1"/>
          <w:sz w:val="16"/>
          <w:szCs w:val="16"/>
        </w:rPr>
        <w:tab/>
        <w:t>Два дисковые (от автомобиля Я-5)</w:t>
      </w:r>
    </w:p>
    <w:p w14:paraId="6EEF992F"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Резина</w:t>
      </w:r>
      <w:r w:rsidRPr="00C33834">
        <w:rPr>
          <w:rFonts w:ascii="Times New Roman" w:hAnsi="Times New Roman"/>
          <w:color w:val="000000" w:themeColor="text1"/>
          <w:sz w:val="16"/>
          <w:szCs w:val="16"/>
        </w:rPr>
        <w:tab/>
        <w:t>40x8' (пневматики высокого давления)</w:t>
      </w:r>
    </w:p>
    <w:p w14:paraId="78D4A119"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Крепление колес</w:t>
      </w:r>
      <w:r w:rsidRPr="00C33834">
        <w:rPr>
          <w:rFonts w:ascii="Times New Roman" w:hAnsi="Times New Roman"/>
          <w:color w:val="000000" w:themeColor="text1"/>
          <w:sz w:val="16"/>
          <w:szCs w:val="16"/>
        </w:rPr>
        <w:tab/>
        <w:t>На 10 шпильках</w:t>
      </w:r>
    </w:p>
    <w:p w14:paraId="10353432"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Ширина хода, мм</w:t>
      </w:r>
      <w:r w:rsidRPr="00C33834">
        <w:rPr>
          <w:rFonts w:ascii="Times New Roman" w:hAnsi="Times New Roman"/>
          <w:color w:val="000000" w:themeColor="text1"/>
          <w:sz w:val="16"/>
          <w:szCs w:val="16"/>
        </w:rPr>
        <w:tab/>
      </w:r>
      <w:r w:rsidRPr="00C33834">
        <w:rPr>
          <w:rFonts w:ascii="Times New Roman" w:hAnsi="Times New Roman"/>
          <w:color w:val="000000" w:themeColor="text1"/>
          <w:sz w:val="16"/>
          <w:szCs w:val="16"/>
        </w:rPr>
        <w:tab/>
      </w:r>
      <w:r w:rsidRPr="00C33834">
        <w:rPr>
          <w:rFonts w:ascii="Times New Roman" w:hAnsi="Times New Roman"/>
          <w:color w:val="000000" w:themeColor="text1"/>
          <w:sz w:val="16"/>
          <w:szCs w:val="16"/>
        </w:rPr>
        <w:tab/>
      </w:r>
      <w:r w:rsidRPr="00C33834">
        <w:rPr>
          <w:rFonts w:ascii="Times New Roman" w:hAnsi="Times New Roman"/>
          <w:color w:val="000000" w:themeColor="text1"/>
          <w:sz w:val="16"/>
          <w:szCs w:val="16"/>
        </w:rPr>
        <w:tab/>
      </w:r>
      <w:r w:rsidRPr="00C33834">
        <w:rPr>
          <w:rFonts w:ascii="Times New Roman" w:hAnsi="Times New Roman"/>
          <w:color w:val="000000" w:themeColor="text1"/>
          <w:sz w:val="16"/>
          <w:szCs w:val="16"/>
        </w:rPr>
        <w:tab/>
      </w:r>
      <w:r w:rsidRPr="00C33834">
        <w:rPr>
          <w:rFonts w:ascii="Times New Roman" w:hAnsi="Times New Roman"/>
          <w:color w:val="000000" w:themeColor="text1"/>
          <w:sz w:val="16"/>
          <w:szCs w:val="16"/>
        </w:rPr>
        <w:tab/>
      </w:r>
      <w:r w:rsidRPr="00C33834">
        <w:rPr>
          <w:rFonts w:ascii="Times New Roman" w:hAnsi="Times New Roman"/>
          <w:color w:val="000000" w:themeColor="text1"/>
          <w:sz w:val="16"/>
          <w:szCs w:val="16"/>
        </w:rPr>
        <w:tab/>
        <w:t xml:space="preserve"> 2620</w:t>
      </w:r>
    </w:p>
    <w:p w14:paraId="64201C3B"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Ширина колеи, мм</w:t>
      </w:r>
      <w:r w:rsidRPr="00C33834">
        <w:rPr>
          <w:rFonts w:ascii="Times New Roman" w:hAnsi="Times New Roman"/>
          <w:color w:val="000000" w:themeColor="text1"/>
          <w:sz w:val="16"/>
          <w:szCs w:val="16"/>
        </w:rPr>
        <w:tab/>
        <w:t xml:space="preserve"> 2340</w:t>
      </w:r>
    </w:p>
    <w:p w14:paraId="3EE7FADF"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Ширина по колпакам колес, мм</w:t>
      </w:r>
      <w:r w:rsidRPr="00C33834">
        <w:rPr>
          <w:rFonts w:ascii="Times New Roman" w:hAnsi="Times New Roman"/>
          <w:color w:val="000000" w:themeColor="text1"/>
          <w:sz w:val="16"/>
          <w:szCs w:val="16"/>
        </w:rPr>
        <w:tab/>
        <w:t xml:space="preserve"> 2580</w:t>
      </w:r>
    </w:p>
    <w:p w14:paraId="64900504"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мм</w:t>
      </w:r>
      <w:r w:rsidRPr="00C33834">
        <w:rPr>
          <w:rFonts w:ascii="Times New Roman" w:hAnsi="Times New Roman"/>
          <w:color w:val="000000" w:themeColor="text1"/>
          <w:sz w:val="16"/>
          <w:szCs w:val="16"/>
        </w:rPr>
        <w:tab/>
        <w:t>4500</w:t>
      </w:r>
    </w:p>
    <w:p w14:paraId="041D59A7"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Приспособление для крепления Т-27</w:t>
      </w:r>
      <w:r w:rsidRPr="00C33834">
        <w:rPr>
          <w:rFonts w:ascii="Times New Roman" w:hAnsi="Times New Roman"/>
          <w:color w:val="000000" w:themeColor="text1"/>
          <w:sz w:val="16"/>
          <w:szCs w:val="16"/>
        </w:rPr>
        <w:tab/>
        <w:t>Специальные стяжки</w:t>
      </w:r>
    </w:p>
    <w:p w14:paraId="7504FE0F"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Заезд Т-27 на подкат-ную тележку. Хорошо видно ребро лапы подкатной тележки, затрудняющее танкетки.</w:t>
      </w:r>
    </w:p>
    <w:p w14:paraId="5B936D99"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Буксирное приспособление</w:t>
      </w:r>
      <w:r w:rsidRPr="00C33834">
        <w:rPr>
          <w:rFonts w:ascii="Times New Roman" w:hAnsi="Times New Roman"/>
          <w:color w:val="000000" w:themeColor="text1"/>
          <w:sz w:val="16"/>
          <w:szCs w:val="16"/>
        </w:rPr>
        <w:tab/>
        <w:t>Специальная лапа с отверстием под шкворень (12261).</w:t>
      </w:r>
    </w:p>
    <w:p w14:paraId="41E07301" w14:textId="77777777" w:rsidR="003F2394" w:rsidRPr="00C33834" w:rsidRDefault="003F2394" w:rsidP="00C33834">
      <w:pPr>
        <w:spacing w:after="0" w:line="240" w:lineRule="auto"/>
        <w:jc w:val="both"/>
        <w:rPr>
          <w:rFonts w:ascii="Times New Roman" w:hAnsi="Times New Roman"/>
          <w:color w:val="000000" w:themeColor="text1"/>
          <w:sz w:val="16"/>
          <w:szCs w:val="16"/>
        </w:rPr>
      </w:pPr>
    </w:p>
    <w:p w14:paraId="5AA8C0D5"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6FA928F"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5D52FF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 закончились гос. испытания опытного самолета ТБ4-6М34 конструкции и производства ЦАГИ с первым вариантом вооружения, которые проходили с 23 сентября 1933 (6642).</w:t>
      </w:r>
    </w:p>
    <w:p w14:paraId="7E9F1E6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395D59C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ведущий испытания – Рязанов</w:t>
      </w:r>
    </w:p>
    <w:p w14:paraId="4D4A593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ведущий испытания – Стефановский</w:t>
      </w:r>
    </w:p>
    <w:p w14:paraId="384EAEF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3D99F9F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 самолета ТБ4-6М34 с первым вариантом вооружения (без пулеметных точек на крыльях) с целью определения дальнейших работ по самолету.</w:t>
      </w:r>
    </w:p>
    <w:p w14:paraId="57183FB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58514365"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Констатируя крупнейшее достижение Советского опытного самолетостроения, выразившееся в выпуске самолета ТБ4-6М34, НИИ ВВС не считает возможным рекомендовать серийную постройку самолета в виде идентичном испытанному самолету.</w:t>
      </w:r>
    </w:p>
    <w:p w14:paraId="4093537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681BCD0D" w14:textId="77777777">
        <w:tc>
          <w:tcPr>
            <w:tcW w:w="5636" w:type="dxa"/>
          </w:tcPr>
          <w:p w14:paraId="6EF57A3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сентября 1933 года</w:t>
            </w:r>
          </w:p>
        </w:tc>
        <w:tc>
          <w:tcPr>
            <w:tcW w:w="5636" w:type="dxa"/>
          </w:tcPr>
          <w:p w14:paraId="5A5E20C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Приемка от ЦАГИ самолета в воздухе.</w:t>
            </w:r>
          </w:p>
        </w:tc>
      </w:tr>
      <w:tr w:rsidR="00F26F01" w:rsidRPr="00C33834" w14:paraId="78A7F05F" w14:textId="77777777">
        <w:tc>
          <w:tcPr>
            <w:tcW w:w="5636" w:type="dxa"/>
          </w:tcPr>
          <w:p w14:paraId="0D96615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сентября 1933 года</w:t>
            </w:r>
          </w:p>
        </w:tc>
        <w:tc>
          <w:tcPr>
            <w:tcW w:w="5636" w:type="dxa"/>
          </w:tcPr>
          <w:p w14:paraId="5D21E70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Вывозные полеты для к-ра тяжелой эскадрилии, полет на километраж.</w:t>
            </w:r>
          </w:p>
        </w:tc>
      </w:tr>
      <w:tr w:rsidR="00F26F01" w:rsidRPr="00C33834" w14:paraId="10A5F17B" w14:textId="77777777">
        <w:tc>
          <w:tcPr>
            <w:tcW w:w="5636" w:type="dxa"/>
          </w:tcPr>
          <w:p w14:paraId="5DBD52A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 года</w:t>
            </w:r>
          </w:p>
        </w:tc>
        <w:tc>
          <w:tcPr>
            <w:tcW w:w="5636" w:type="dxa"/>
          </w:tcPr>
          <w:p w14:paraId="4318273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скорости по высотам.</w:t>
            </w:r>
          </w:p>
        </w:tc>
      </w:tr>
    </w:tbl>
    <w:p w14:paraId="492DB68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Программа испытания выполнена в 6 календарных дней, полеты – 3 дня (6642).</w:t>
      </w:r>
    </w:p>
    <w:p w14:paraId="79BF3CE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8FE25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 начались летные испытания АНТ-16 А.Н.Т. полетным весом 33000 кг. Бомбовая нагрузка - 4000 кг (271,137).</w:t>
      </w:r>
    </w:p>
    <w:p w14:paraId="02EB635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1B4F203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 был готов АНТ-25бис (514).</w:t>
      </w:r>
    </w:p>
    <w:p w14:paraId="459340B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3D25699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 закончились гос. испытания И-Зет N 39012 с мотором ЮVI, 2хАПК-4бис 76.2 мм, которые проходили с 14 сентября 1933. Выполнили 15 посадок и налетали 16:20 за 7 летных дней. Вл П.Холопов и л Оцельников (2303,70). Проводили примерный воздушный бой с И-4 и Р-5 на высоте 1500 м. С И-4 мог вести бой только в вертикальном направлении с применением фигур. Преимущество было за И-4 и на вираже он свободно заходил в хвост. В бою с Р-5 И-зет уверенно держался в хвосте И-5 (2303,46).</w:t>
      </w:r>
    </w:p>
    <w:p w14:paraId="5F50B4E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Фактически затрачено на испытания 17 календарных дней, из них:</w:t>
      </w:r>
    </w:p>
    <w:p w14:paraId="3638BCB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был неисправен</w:t>
      </w:r>
      <w:r w:rsidRPr="00C33834">
        <w:rPr>
          <w:rFonts w:ascii="Times New Roman" w:hAnsi="Times New Roman"/>
          <w:color w:val="000000" w:themeColor="text1"/>
          <w:sz w:val="16"/>
          <w:szCs w:val="16"/>
        </w:rPr>
        <w:tab/>
        <w:t>1</w:t>
      </w:r>
    </w:p>
    <w:p w14:paraId="39AD68B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нелетных дней</w:t>
      </w:r>
      <w:r w:rsidRPr="00C33834">
        <w:rPr>
          <w:rFonts w:ascii="Times New Roman" w:hAnsi="Times New Roman"/>
          <w:color w:val="000000" w:themeColor="text1"/>
          <w:sz w:val="16"/>
          <w:szCs w:val="16"/>
        </w:rPr>
        <w:tab/>
        <w:t>5</w:t>
      </w:r>
    </w:p>
    <w:p w14:paraId="4C96137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дни командирской учебы</w:t>
      </w:r>
      <w:r w:rsidRPr="00C33834">
        <w:rPr>
          <w:rFonts w:ascii="Times New Roman" w:hAnsi="Times New Roman"/>
          <w:color w:val="000000" w:themeColor="text1"/>
          <w:sz w:val="16"/>
          <w:szCs w:val="16"/>
        </w:rPr>
        <w:tab/>
        <w:t>1</w:t>
      </w:r>
    </w:p>
    <w:p w14:paraId="3475627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выходные дни</w:t>
      </w:r>
      <w:r w:rsidRPr="00C33834">
        <w:rPr>
          <w:rFonts w:ascii="Times New Roman" w:hAnsi="Times New Roman"/>
          <w:color w:val="000000" w:themeColor="text1"/>
          <w:sz w:val="16"/>
          <w:szCs w:val="16"/>
        </w:rPr>
        <w:tab/>
        <w:t>1</w:t>
      </w:r>
    </w:p>
    <w:p w14:paraId="164E7B5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Всего </w:t>
      </w:r>
      <w:r w:rsidRPr="00C33834">
        <w:rPr>
          <w:rFonts w:ascii="Times New Roman" w:hAnsi="Times New Roman"/>
          <w:color w:val="000000" w:themeColor="text1"/>
          <w:sz w:val="16"/>
          <w:szCs w:val="16"/>
        </w:rPr>
        <w:tab/>
        <w:t>10</w:t>
      </w:r>
    </w:p>
    <w:p w14:paraId="5BDDAC5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 испытание было произведено за 7 летных дней.</w:t>
      </w:r>
    </w:p>
    <w:p w14:paraId="62295E3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время испытаний налет составил 16:20</w:t>
      </w:r>
    </w:p>
    <w:p w14:paraId="68116C2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Сделано посадок 15 (2303,63).</w:t>
      </w:r>
    </w:p>
    <w:p w14:paraId="7F6F092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ОСНОВНЫЕ ТЕХНИЧЕСКИЕ, РЕГУЛИРОВОЧНЫЕ И ВЕСОВЫЕ ДАННЫЕ</w:t>
      </w:r>
    </w:p>
    <w:p w14:paraId="61BE259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 Полная длина самолета..............................7,645 мтр.</w:t>
      </w:r>
    </w:p>
    <w:p w14:paraId="56B4A2D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Высота самолета при стоянка до конца лопасти винта...3,35</w:t>
      </w:r>
    </w:p>
    <w:p w14:paraId="6AD8DB0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Р а з м а х к р ы л ь е в........................11,5</w:t>
      </w:r>
    </w:p>
    <w:p w14:paraId="1C57F7E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Длина хорды к р ы л а.,:.........................2,215</w:t>
      </w:r>
    </w:p>
    <w:p w14:paraId="75CE610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Р а з м а х стабилизатора........................3,2</w:t>
      </w:r>
    </w:p>
    <w:p w14:paraId="096E7E3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Р а з м а х руля высоты.........................3,203</w:t>
      </w:r>
    </w:p>
    <w:p w14:paraId="6EED419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Площадь крыльев с элеронами......................19,6</w:t>
      </w:r>
    </w:p>
    <w:p w14:paraId="1EFB66B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Плошадь э л е р о н о в..........................2,12</w:t>
      </w:r>
    </w:p>
    <w:p w14:paraId="2D9FB74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Плошадь стабилизатора................1,56</w:t>
      </w:r>
    </w:p>
    <w:p w14:paraId="6346AE8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Плошадь р у л я высоты...........................1,325</w:t>
      </w:r>
    </w:p>
    <w:p w14:paraId="29A2506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Общая плошадь горизвнтального оперения............2,835</w:t>
      </w:r>
    </w:p>
    <w:p w14:paraId="52F4483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Площадь килей.................................0,69</w:t>
      </w:r>
    </w:p>
    <w:p w14:paraId="0082CE3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Плошадь рулей направления.........................0,88</w:t>
      </w:r>
    </w:p>
    <w:p w14:paraId="352E710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Общая площадь вертикального оперения..............1,57</w:t>
      </w:r>
    </w:p>
    <w:p w14:paraId="51B2A08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Расстояние от земли до нижнего конца лопасти в линии полета.....0,35</w:t>
      </w:r>
    </w:p>
    <w:p w14:paraId="4CC4A2C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Ширина ш а с с и.................................1,86</w:t>
      </w:r>
    </w:p>
    <w:p w14:paraId="2EA6BFD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Размер колес с пневматикой.....................750x125 м/м.</w:t>
      </w:r>
    </w:p>
    <w:p w14:paraId="4E1B1A8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Угол атаки крыльев................................0</w:t>
      </w:r>
    </w:p>
    <w:p w14:paraId="00D5DBC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Угол к а п о т а ж а............................19</w:t>
      </w:r>
    </w:p>
    <w:p w14:paraId="275D2B4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Пасадочный у г о л...............................14</w:t>
      </w:r>
      <w:r w:rsidRPr="00C33834">
        <w:rPr>
          <w:rFonts w:ascii="Times New Roman" w:hAnsi="Times New Roman"/>
          <w:color w:val="000000" w:themeColor="text1"/>
          <w:sz w:val="16"/>
          <w:szCs w:val="16"/>
          <w:vertAlign w:val="superscript"/>
        </w:rPr>
        <w:t>8</w:t>
      </w:r>
      <w:r w:rsidRPr="00C33834">
        <w:rPr>
          <w:rFonts w:ascii="Times New Roman" w:hAnsi="Times New Roman"/>
          <w:color w:val="000000" w:themeColor="text1"/>
          <w:sz w:val="16"/>
          <w:szCs w:val="16"/>
        </w:rPr>
        <w:t>30</w:t>
      </w:r>
    </w:p>
    <w:p w14:paraId="3C50F47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ВЕСОЫЕ ДАННЫЕ</w:t>
      </w:r>
    </w:p>
    <w:p w14:paraId="08BE6F4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Вес полной нагрузки...............................556 кг.</w:t>
      </w:r>
    </w:p>
    <w:p w14:paraId="0CBEC47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Полетный в е с..................................1648</w:t>
      </w:r>
    </w:p>
    <w:p w14:paraId="0D83D76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Отношение веса полной нагрузка к полетному весу..33,8%</w:t>
      </w:r>
    </w:p>
    <w:p w14:paraId="15EA8F6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Нягрузка на 1 мтр. крыльев........................84,1 кг.</w:t>
      </w:r>
    </w:p>
    <w:p w14:paraId="628B991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Нагрузка на нр..................................3,43</w:t>
      </w:r>
    </w:p>
    <w:p w14:paraId="207BDB5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Мощность на 1 мтр. 24,5</w:t>
      </w:r>
    </w:p>
    <w:p w14:paraId="4A99B0D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КРАТКОЕ ОПИСАНИЕ САМОЛЕТА.</w:t>
      </w:r>
    </w:p>
    <w:p w14:paraId="05219F4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"ЗЕТ" представляет собою одномоторный подкосный, моноплан истребитель с мотором воздушного охлаждения ЮУ1 А</w:t>
      </w:r>
      <w:r w:rsidRPr="00C33834">
        <w:rPr>
          <w:rFonts w:ascii="Times New Roman" w:hAnsi="Times New Roman"/>
          <w:color w:val="000000" w:themeColor="text1"/>
          <w:sz w:val="16"/>
          <w:szCs w:val="16"/>
          <w:lang w:val="en-US"/>
        </w:rPr>
        <w:t>q</w:t>
      </w:r>
      <w:r w:rsidRPr="00C33834">
        <w:rPr>
          <w:rFonts w:ascii="Times New Roman" w:hAnsi="Times New Roman"/>
          <w:color w:val="000000" w:themeColor="text1"/>
          <w:sz w:val="16"/>
          <w:szCs w:val="16"/>
        </w:rPr>
        <w:t xml:space="preserve"> 480/550 нр.'</w:t>
      </w:r>
    </w:p>
    <w:p w14:paraId="75E7BCE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Фюзеляж состоит из дзух частей: передней и заднейй /хвостовой/, стыуцемых между собой посредством 4-х узловых соеди</w:t>
      </w:r>
      <w:r w:rsidRPr="00C33834">
        <w:rPr>
          <w:rFonts w:ascii="Times New Roman" w:hAnsi="Times New Roman"/>
          <w:color w:val="000000" w:themeColor="text1"/>
          <w:sz w:val="16"/>
          <w:szCs w:val="16"/>
        </w:rPr>
        <w:softHyphen/>
        <w:t>нений. Конструкция фюзеляжа смешанного типа. Передняя часть от мотоустановки до заднего обреза кабины летчика - ферменная, выполненная из сварных хромансилевых труб, ввиде сварной корзин</w:t>
      </w:r>
      <w:r w:rsidRPr="00C33834">
        <w:rPr>
          <w:rFonts w:ascii="Times New Roman" w:hAnsi="Times New Roman"/>
          <w:color w:val="000000" w:themeColor="text1"/>
          <w:sz w:val="16"/>
          <w:szCs w:val="16"/>
        </w:rPr>
        <w:softHyphen/>
        <w:t>ки и служит основанием для присоединения к ней мотсустановки, шасси, крыльев и хвостовой части фазеляжа. На трубчатый остов корзинки приклепываются дюралевые профильки, которые обматываются полотняными лентами; к последним пришивается полотняная обтяжка.</w:t>
      </w:r>
    </w:p>
    <w:p w14:paraId="5646FBE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Задняя часть /хвостовая/ - шпоагоутного типа представляет кон</w:t>
      </w:r>
      <w:r w:rsidRPr="00C33834">
        <w:rPr>
          <w:rFonts w:ascii="Times New Roman" w:hAnsi="Times New Roman"/>
          <w:color w:val="000000" w:themeColor="text1"/>
          <w:sz w:val="16"/>
          <w:szCs w:val="16"/>
        </w:rPr>
        <w:softHyphen/>
        <w:t xml:space="preserve">струкцию из 11 дюралевых шпангоутов эллиптической формы, утоняющихся по своимразмерам к хвосту фюзеляжа; последние 4 шпангоута служат для образования киля фюзеляжа, составлякинаго одно целое с ним и имеют удлиненную вверх форму в соответствии с формой килевого образованил. Стрингеров 10; из них 4 усиленных: все они имеют форму </w:t>
      </w:r>
      <w:r w:rsidRPr="00C33834">
        <w:rPr>
          <w:rFonts w:ascii="Times New Roman" w:hAnsi="Times New Roman"/>
          <w:smallCaps/>
          <w:color w:val="000000" w:themeColor="text1"/>
          <w:sz w:val="16"/>
          <w:szCs w:val="16"/>
          <w:lang w:val="en-US"/>
        </w:rPr>
        <w:t>v</w:t>
      </w:r>
      <w:r w:rsidRPr="00C33834">
        <w:rPr>
          <w:rFonts w:ascii="Times New Roman" w:hAnsi="Times New Roman"/>
          <w:color w:val="000000" w:themeColor="text1"/>
          <w:sz w:val="16"/>
          <w:szCs w:val="16"/>
        </w:rPr>
        <w:t>образных профильков. Общивка - дюралевая.</w:t>
      </w:r>
    </w:p>
    <w:p w14:paraId="7C39BA4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р ы л о - двухлонжеронное деревяное с полотняной обшивкой. Нервюр 22 из них 5 усиленных нервюр распорок и 17 нормальных. Лонжероны представляют собою конструкцию коробча</w:t>
      </w:r>
      <w:r w:rsidRPr="00C33834">
        <w:rPr>
          <w:rFonts w:ascii="Times New Roman" w:hAnsi="Times New Roman"/>
          <w:color w:val="000000" w:themeColor="text1"/>
          <w:sz w:val="16"/>
          <w:szCs w:val="16"/>
        </w:rPr>
        <w:softHyphen/>
        <w:t>того сеченая; материалом для них служит:- сосна, березовая фанера и липа. Нервюры состоят из фанерных стенок с облегчениями в них круглыми отверстиями, охваченными сверху и снизу сосновыми полочками, изогнутыми по форме дужки крыла.</w:t>
      </w:r>
    </w:p>
    <w:p w14:paraId="4DAC4A4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Хвостовое оперение - целиком из дюраллюминия, усиленной конструкции с высоко расположенным горизонтальным оперением. Оно разделяется на горизонтальное, к которому относитсязакрепленный с помощью ушковых накшадок и подкосов стабилизатор и 2-х рулей высоты с компенсаторам; а вертикальное- включающее руль поворота и килек, наглухо приклепанный к вер</w:t>
      </w:r>
      <w:r w:rsidRPr="00C33834">
        <w:rPr>
          <w:rFonts w:ascii="Times New Roman" w:hAnsi="Times New Roman"/>
          <w:color w:val="000000" w:themeColor="text1"/>
          <w:sz w:val="16"/>
          <w:szCs w:val="16"/>
        </w:rPr>
        <w:softHyphen/>
        <w:t>хней поверхности стабилизатора.</w:t>
      </w:r>
    </w:p>
    <w:p w14:paraId="65AB466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Стабилизатор 2-х лонжеронный, с жесткими нервюрами и передним обтекателем. Рули высоты насаживаются на один обший, склепаный лонжерон, к которому крепится 11 нервюр. По своей конструкция и связи нервюр с обшивкой таковые имеют полную аналогию со стабилизатором. Руль направления состоит из основного лонжерона, 11 нервюр, ободка и стрингера; соединения их схоже с та</w:t>
      </w:r>
      <w:r w:rsidRPr="00C33834">
        <w:rPr>
          <w:rFonts w:ascii="Times New Roman" w:hAnsi="Times New Roman"/>
          <w:color w:val="000000" w:themeColor="text1"/>
          <w:sz w:val="16"/>
          <w:szCs w:val="16"/>
        </w:rPr>
        <w:softHyphen/>
        <w:t>ковыми для руля высоты. Обшивка - листовая, дюралевая с продольными ребрами жесткости, разбита на ряд секции, которые отгибаются в местах присоединения к соответствующим ребрам нервюи под прямым углом, охватывля эти ребра и приклепываются к ним. Подобное соединение обшивки с нервюрами увеличивают жесткость всей конструкции хаостового оперения.</w:t>
      </w:r>
    </w:p>
    <w:p w14:paraId="76B90D3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 - представляют собою стальную конструкцию состоящую ия 2-х передних амортизационных ног, 2-х пар задних ног и 2-х пар крыльевых подкосов. Аммортизационные ноги укрепляются к пе</w:t>
      </w:r>
      <w:r w:rsidRPr="00C33834">
        <w:rPr>
          <w:rFonts w:ascii="Times New Roman" w:hAnsi="Times New Roman"/>
          <w:color w:val="000000" w:themeColor="text1"/>
          <w:sz w:val="16"/>
          <w:szCs w:val="16"/>
        </w:rPr>
        <w:softHyphen/>
        <w:t>редним нижним узлам сварной частя фюзеляжа и связываются между собою /снизу/ осью шасси. Задние ноги и крыльевые подкоса сое</w:t>
      </w:r>
      <w:r w:rsidRPr="00C33834">
        <w:rPr>
          <w:rFonts w:ascii="Times New Roman" w:hAnsi="Times New Roman"/>
          <w:color w:val="000000" w:themeColor="text1"/>
          <w:sz w:val="16"/>
          <w:szCs w:val="16"/>
        </w:rPr>
        <w:softHyphen/>
        <w:t>диняются в 2 узла /кабана/ между которыми проходит дополнитель</w:t>
      </w:r>
      <w:r w:rsidRPr="00C33834">
        <w:rPr>
          <w:rFonts w:ascii="Times New Roman" w:hAnsi="Times New Roman"/>
          <w:color w:val="000000" w:themeColor="text1"/>
          <w:sz w:val="16"/>
          <w:szCs w:val="16"/>
        </w:rPr>
        <w:softHyphen/>
        <w:t>ная ось. Дополнительная ось в свою очередь связана 2-мя горизон</w:t>
      </w:r>
      <w:r w:rsidRPr="00C33834">
        <w:rPr>
          <w:rFonts w:ascii="Times New Roman" w:hAnsi="Times New Roman"/>
          <w:color w:val="000000" w:themeColor="text1"/>
          <w:sz w:val="16"/>
          <w:szCs w:val="16"/>
        </w:rPr>
        <w:softHyphen/>
        <w:t>тальными распорными трубами с основной осью. Верхние концы ног укрепляются к переднему и заднему узлу сварной частя фюзеляжа. Верхние концы подкосов приходятся в-местах подхода переднего и заднего лонжеронов крыла..</w:t>
      </w:r>
    </w:p>
    <w:p w14:paraId="343C3C5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Колеса - стандартного типа; размер 750 х 125 м/м.</w:t>
      </w:r>
    </w:p>
    <w:p w14:paraId="05E29A5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 с т ы л ь- ориентирующийся.</w:t>
      </w:r>
    </w:p>
    <w:p w14:paraId="6148985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 о р у ж е н и е- Самолет имеет следующие об"екты вооружения:</w:t>
      </w:r>
    </w:p>
    <w:p w14:paraId="3908D7B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2 пушки АПК-4 бис- 76,2 м/м. с автоматическим механизмом перезаряжания и 14 снарядов к ним.</w:t>
      </w:r>
    </w:p>
    <w:p w14:paraId="23482B0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Одинпулемет ПВ-1 стреляющий через винт мотора посредст</w:t>
      </w:r>
      <w:r w:rsidRPr="00C33834">
        <w:rPr>
          <w:rFonts w:ascii="Times New Roman" w:hAnsi="Times New Roman"/>
          <w:color w:val="000000" w:themeColor="text1"/>
          <w:sz w:val="16"/>
          <w:szCs w:val="16"/>
        </w:rPr>
        <w:softHyphen/>
        <w:t>вом пулеметной установки ПУЛ-9 с 750 патронами.</w:t>
      </w:r>
    </w:p>
    <w:p w14:paraId="22A6563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Оптический прицел Альдис.</w:t>
      </w:r>
    </w:p>
    <w:p w14:paraId="62469D8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б о р у д о в а н и е - является нормальным для истребителя.</w:t>
      </w:r>
    </w:p>
    <w:p w14:paraId="4A160F3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Бензиновые баки состоят из главного на 87 кг. грозненского бензина марки Г2 я добавочного на 48 кг. В случае применения бензол-бензина обычне количество горючего составляет 145 кг.</w:t>
      </w:r>
    </w:p>
    <w:p w14:paraId="4B51D21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МасляныК бак расчитан на 18 кг.</w:t>
      </w:r>
    </w:p>
    <w:p w14:paraId="1CF6CAC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Ц Е Н Т Р О В К А И Е Е В А Р И А Н Т 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88"/>
        <w:gridCol w:w="2398"/>
        <w:gridCol w:w="965"/>
        <w:gridCol w:w="799"/>
        <w:gridCol w:w="922"/>
        <w:gridCol w:w="929"/>
        <w:gridCol w:w="1267"/>
      </w:tblGrid>
      <w:tr w:rsidR="00F26F01" w:rsidRPr="00C33834" w14:paraId="0A3F3D89" w14:textId="77777777">
        <w:trPr>
          <w:trHeight w:val="432"/>
        </w:trPr>
        <w:tc>
          <w:tcPr>
            <w:tcW w:w="288" w:type="dxa"/>
            <w:tcBorders>
              <w:top w:val="single" w:sz="12" w:space="0" w:color="auto"/>
            </w:tcBorders>
          </w:tcPr>
          <w:p w14:paraId="42CCF94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№№п/п</w:t>
            </w:r>
          </w:p>
        </w:tc>
        <w:tc>
          <w:tcPr>
            <w:tcW w:w="2398" w:type="dxa"/>
            <w:tcBorders>
              <w:top w:val="single" w:sz="12" w:space="0" w:color="auto"/>
            </w:tcBorders>
          </w:tcPr>
          <w:p w14:paraId="4C83BDE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w:t>
            </w:r>
          </w:p>
        </w:tc>
        <w:tc>
          <w:tcPr>
            <w:tcW w:w="965" w:type="dxa"/>
            <w:tcBorders>
              <w:top w:val="single" w:sz="12" w:space="0" w:color="auto"/>
            </w:tcBorders>
          </w:tcPr>
          <w:p w14:paraId="75185D9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нагрузки в кг.</w:t>
            </w:r>
          </w:p>
        </w:tc>
        <w:tc>
          <w:tcPr>
            <w:tcW w:w="799" w:type="dxa"/>
            <w:tcBorders>
              <w:top w:val="single" w:sz="12" w:space="0" w:color="auto"/>
            </w:tcBorders>
          </w:tcPr>
          <w:p w14:paraId="42CA750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Обшй вес в кг.</w:t>
            </w:r>
          </w:p>
        </w:tc>
        <w:tc>
          <w:tcPr>
            <w:tcW w:w="922" w:type="dxa"/>
            <w:tcBorders>
              <w:top w:val="single" w:sz="12" w:space="0" w:color="auto"/>
            </w:tcBorders>
          </w:tcPr>
          <w:p w14:paraId="6BF8FA1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Координаты ЦТ к передней точки хорды крыла у фюзеляжа</w:t>
            </w:r>
          </w:p>
        </w:tc>
        <w:tc>
          <w:tcPr>
            <w:tcW w:w="929" w:type="dxa"/>
            <w:tcBorders>
              <w:top w:val="single" w:sz="12" w:space="0" w:color="auto"/>
            </w:tcBorders>
          </w:tcPr>
          <w:p w14:paraId="499F2F0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12" w:space="0" w:color="auto"/>
            </w:tcBorders>
          </w:tcPr>
          <w:p w14:paraId="7ADCF8B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 к САХ крыла</w:t>
            </w:r>
          </w:p>
        </w:tc>
      </w:tr>
      <w:tr w:rsidR="00F26F01" w:rsidRPr="00C33834" w14:paraId="54AC26B7" w14:textId="77777777">
        <w:trPr>
          <w:trHeight w:val="432"/>
        </w:trPr>
        <w:tc>
          <w:tcPr>
            <w:tcW w:w="288" w:type="dxa"/>
          </w:tcPr>
          <w:p w14:paraId="3728605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98" w:type="dxa"/>
          </w:tcPr>
          <w:p w14:paraId="23051D4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1641430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0B51E4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Pr>
          <w:p w14:paraId="1F57BFF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 м/м.</w:t>
            </w:r>
          </w:p>
          <w:p w14:paraId="046B703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9" w:type="dxa"/>
          </w:tcPr>
          <w:p w14:paraId="28BBFA5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Ук/м.</w:t>
            </w:r>
          </w:p>
          <w:p w14:paraId="4E80B79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Pr>
          <w:p w14:paraId="3B0F4A8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754E4A1" w14:textId="77777777">
        <w:trPr>
          <w:trHeight w:val="432"/>
        </w:trPr>
        <w:tc>
          <w:tcPr>
            <w:tcW w:w="288" w:type="dxa"/>
          </w:tcPr>
          <w:p w14:paraId="6B56215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2398" w:type="dxa"/>
          </w:tcPr>
          <w:p w14:paraId="624A88F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пустой с несъемным оборудованием</w:t>
            </w:r>
          </w:p>
          <w:p w14:paraId="6075043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0430347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328</w:t>
            </w:r>
          </w:p>
          <w:p w14:paraId="485A45D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A3676A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1320</w:t>
            </w:r>
          </w:p>
          <w:p w14:paraId="26723F2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Pr>
          <w:p w14:paraId="07ECAEC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w:t>
            </w:r>
          </w:p>
          <w:p w14:paraId="1DF8ECD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9" w:type="dxa"/>
          </w:tcPr>
          <w:p w14:paraId="71A1EB6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318</w:t>
            </w:r>
          </w:p>
          <w:p w14:paraId="6BD1F58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Pr>
          <w:p w14:paraId="70C57E7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34,1</w:t>
            </w:r>
          </w:p>
          <w:p w14:paraId="63921C4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114086D" w14:textId="77777777">
        <w:trPr>
          <w:trHeight w:val="432"/>
        </w:trPr>
        <w:tc>
          <w:tcPr>
            <w:tcW w:w="288" w:type="dxa"/>
            <w:tcBorders>
              <w:bottom w:val="single" w:sz="12" w:space="0" w:color="auto"/>
            </w:tcBorders>
          </w:tcPr>
          <w:p w14:paraId="0ED3DDD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2398" w:type="dxa"/>
            <w:tcBorders>
              <w:bottom w:val="single" w:sz="12" w:space="0" w:color="auto"/>
            </w:tcBorders>
          </w:tcPr>
          <w:p w14:paraId="70F2439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 полной боевой нагрузкой</w:t>
            </w:r>
          </w:p>
        </w:tc>
        <w:tc>
          <w:tcPr>
            <w:tcW w:w="965" w:type="dxa"/>
            <w:tcBorders>
              <w:bottom w:val="single" w:sz="12" w:space="0" w:color="auto"/>
            </w:tcBorders>
          </w:tcPr>
          <w:p w14:paraId="1916EFF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556</w:t>
            </w:r>
          </w:p>
        </w:tc>
        <w:tc>
          <w:tcPr>
            <w:tcW w:w="799" w:type="dxa"/>
            <w:tcBorders>
              <w:bottom w:val="single" w:sz="12" w:space="0" w:color="auto"/>
            </w:tcBorders>
          </w:tcPr>
          <w:p w14:paraId="1FFF912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1648</w:t>
            </w:r>
          </w:p>
        </w:tc>
        <w:tc>
          <w:tcPr>
            <w:tcW w:w="922" w:type="dxa"/>
            <w:tcBorders>
              <w:bottom w:val="single" w:sz="12" w:space="0" w:color="auto"/>
            </w:tcBorders>
          </w:tcPr>
          <w:p w14:paraId="2A7012C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844</w:t>
            </w:r>
          </w:p>
        </w:tc>
        <w:tc>
          <w:tcPr>
            <w:tcW w:w="929" w:type="dxa"/>
            <w:tcBorders>
              <w:bottom w:val="single" w:sz="12" w:space="0" w:color="auto"/>
            </w:tcBorders>
          </w:tcPr>
          <w:p w14:paraId="288E44E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267" w:type="dxa"/>
            <w:tcBorders>
              <w:bottom w:val="single" w:sz="12" w:space="0" w:color="auto"/>
            </w:tcBorders>
          </w:tcPr>
          <w:p w14:paraId="74F6F4A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36,3</w:t>
            </w:r>
          </w:p>
        </w:tc>
      </w:tr>
    </w:tbl>
    <w:p w14:paraId="3894172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Положение средней аэродинамической хорды по отношению к передней точке крыла у фюзеляжа - 119 м/и.</w:t>
      </w:r>
    </w:p>
    <w:p w14:paraId="244875E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средней аэродинамической хорды крыла.... 1978 м/м.</w:t>
      </w:r>
    </w:p>
    <w:p w14:paraId="0ADEFC4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ГОРИЗОНТАЛЬНЫЕ СКОРОСТИ НА РАЗНЫХ ВЫСОТАХ</w:t>
      </w:r>
    </w:p>
    <w:p w14:paraId="277FEFF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сведений:</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62"/>
        <w:gridCol w:w="1152"/>
        <w:gridCol w:w="1022"/>
        <w:gridCol w:w="1044"/>
        <w:gridCol w:w="972"/>
        <w:gridCol w:w="1011"/>
        <w:gridCol w:w="992"/>
      </w:tblGrid>
      <w:tr w:rsidR="00F26F01" w:rsidRPr="00C33834" w14:paraId="2C96A6A8" w14:textId="77777777">
        <w:trPr>
          <w:trHeight w:val="367"/>
        </w:trPr>
        <w:tc>
          <w:tcPr>
            <w:tcW w:w="1462" w:type="dxa"/>
            <w:tcBorders>
              <w:top w:val="single" w:sz="12" w:space="0" w:color="auto"/>
            </w:tcBorders>
          </w:tcPr>
          <w:p w14:paraId="722623A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32DC1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12" w:space="0" w:color="auto"/>
            </w:tcBorders>
          </w:tcPr>
          <w:p w14:paraId="063151B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МАКСИМАЛЬНЫЕ</w:t>
            </w:r>
          </w:p>
          <w:p w14:paraId="2D18B5A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Borders>
              <w:top w:val="single" w:sz="12" w:space="0" w:color="auto"/>
            </w:tcBorders>
          </w:tcPr>
          <w:p w14:paraId="27FD3E7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51B4D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Borders>
              <w:top w:val="single" w:sz="12" w:space="0" w:color="auto"/>
            </w:tcBorders>
          </w:tcPr>
          <w:p w14:paraId="0E94827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СРЕДНИЕ</w:t>
            </w:r>
          </w:p>
          <w:p w14:paraId="725EC71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2" w:type="dxa"/>
            <w:tcBorders>
              <w:top w:val="single" w:sz="12" w:space="0" w:color="auto"/>
            </w:tcBorders>
          </w:tcPr>
          <w:p w14:paraId="39084A0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1" w:type="dxa"/>
            <w:tcBorders>
              <w:top w:val="single" w:sz="12" w:space="0" w:color="auto"/>
            </w:tcBorders>
          </w:tcPr>
          <w:p w14:paraId="0E0C701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МИНИМАЛЬНЫЕ</w:t>
            </w:r>
          </w:p>
          <w:p w14:paraId="0E36019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single" w:sz="12" w:space="0" w:color="auto"/>
            </w:tcBorders>
          </w:tcPr>
          <w:p w14:paraId="48E8F89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88B8989" w14:textId="77777777">
        <w:trPr>
          <w:trHeight w:val="763"/>
        </w:trPr>
        <w:tc>
          <w:tcPr>
            <w:tcW w:w="1462" w:type="dxa"/>
          </w:tcPr>
          <w:p w14:paraId="2A844C0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Высота в метрах. </w:t>
            </w:r>
          </w:p>
        </w:tc>
        <w:tc>
          <w:tcPr>
            <w:tcW w:w="1152" w:type="dxa"/>
          </w:tcPr>
          <w:p w14:paraId="30658FF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в км/час</w:t>
            </w:r>
          </w:p>
        </w:tc>
        <w:tc>
          <w:tcPr>
            <w:tcW w:w="1022" w:type="dxa"/>
          </w:tcPr>
          <w:p w14:paraId="435003D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Оборотов мотора в мин.</w:t>
            </w:r>
          </w:p>
        </w:tc>
        <w:tc>
          <w:tcPr>
            <w:tcW w:w="1044" w:type="dxa"/>
          </w:tcPr>
          <w:p w14:paraId="6FB1240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в км/час</w:t>
            </w:r>
          </w:p>
        </w:tc>
        <w:tc>
          <w:tcPr>
            <w:tcW w:w="972" w:type="dxa"/>
          </w:tcPr>
          <w:p w14:paraId="79C00C3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Оборотов мотора в мин.</w:t>
            </w:r>
          </w:p>
        </w:tc>
        <w:tc>
          <w:tcPr>
            <w:tcW w:w="1011" w:type="dxa"/>
          </w:tcPr>
          <w:p w14:paraId="57A1749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в км/час</w:t>
            </w:r>
          </w:p>
        </w:tc>
        <w:tc>
          <w:tcPr>
            <w:tcW w:w="992" w:type="dxa"/>
          </w:tcPr>
          <w:p w14:paraId="6801CFB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Оборотов мотора в мин.</w:t>
            </w:r>
          </w:p>
        </w:tc>
      </w:tr>
      <w:tr w:rsidR="00F26F01" w:rsidRPr="00C33834" w14:paraId="7EEA77DD" w14:textId="77777777">
        <w:trPr>
          <w:trHeight w:val="526"/>
        </w:trPr>
        <w:tc>
          <w:tcPr>
            <w:tcW w:w="1462" w:type="dxa"/>
          </w:tcPr>
          <w:p w14:paraId="0C281AA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p w14:paraId="7992150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Pr>
          <w:p w14:paraId="743DDAD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259.0</w:t>
            </w:r>
          </w:p>
          <w:p w14:paraId="0401BC4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51A0DCF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2100</w:t>
            </w:r>
          </w:p>
          <w:p w14:paraId="2349BC2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EC42ED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204,5</w:t>
            </w:r>
          </w:p>
          <w:p w14:paraId="2746901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2" w:type="dxa"/>
          </w:tcPr>
          <w:p w14:paraId="5912272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1700</w:t>
            </w:r>
          </w:p>
          <w:p w14:paraId="287505D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1" w:type="dxa"/>
          </w:tcPr>
          <w:p w14:paraId="2C6E00E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128</w:t>
            </w:r>
          </w:p>
          <w:p w14:paraId="1325FBD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33BDB2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1260</w:t>
            </w:r>
          </w:p>
          <w:p w14:paraId="1A530B7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72F2D98" w14:textId="77777777">
        <w:trPr>
          <w:trHeight w:val="504"/>
        </w:trPr>
        <w:tc>
          <w:tcPr>
            <w:tcW w:w="1462" w:type="dxa"/>
          </w:tcPr>
          <w:p w14:paraId="040551A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p w14:paraId="5B190FC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Pr>
          <w:p w14:paraId="6B806A3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255,8</w:t>
            </w:r>
          </w:p>
          <w:p w14:paraId="3878918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0473F37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2095</w:t>
            </w:r>
          </w:p>
          <w:p w14:paraId="6F50B72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68F74F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202.2</w:t>
            </w:r>
          </w:p>
          <w:p w14:paraId="4885FB5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2" w:type="dxa"/>
          </w:tcPr>
          <w:p w14:paraId="5707545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1700</w:t>
            </w:r>
          </w:p>
          <w:p w14:paraId="4F3BD92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1" w:type="dxa"/>
          </w:tcPr>
          <w:p w14:paraId="4607CDC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133,4</w:t>
            </w:r>
          </w:p>
          <w:p w14:paraId="346DD56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4A0E4A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w:t>
            </w:r>
          </w:p>
          <w:p w14:paraId="5B6FB2E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49B34FA" w14:textId="77777777">
        <w:trPr>
          <w:trHeight w:val="518"/>
        </w:trPr>
        <w:tc>
          <w:tcPr>
            <w:tcW w:w="1462" w:type="dxa"/>
          </w:tcPr>
          <w:p w14:paraId="17F50CB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p w14:paraId="2EF5A2E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Pr>
          <w:p w14:paraId="2077F46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252.0</w:t>
            </w:r>
          </w:p>
          <w:p w14:paraId="34E8D86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63C1F8D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2080</w:t>
            </w:r>
          </w:p>
          <w:p w14:paraId="23738C9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2E58A2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p w14:paraId="5AF2837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2" w:type="dxa"/>
          </w:tcPr>
          <w:p w14:paraId="24AB338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1700</w:t>
            </w:r>
          </w:p>
          <w:p w14:paraId="56E4386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1" w:type="dxa"/>
          </w:tcPr>
          <w:p w14:paraId="0C53AA8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138,7</w:t>
            </w:r>
          </w:p>
          <w:p w14:paraId="00C17C8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9D2C9B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1340</w:t>
            </w:r>
          </w:p>
          <w:p w14:paraId="4692462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EF2E9B9" w14:textId="77777777">
        <w:trPr>
          <w:trHeight w:val="511"/>
        </w:trPr>
        <w:tc>
          <w:tcPr>
            <w:tcW w:w="1462" w:type="dxa"/>
          </w:tcPr>
          <w:p w14:paraId="014C505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p w14:paraId="67B1B95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Pr>
          <w:p w14:paraId="28204C3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248,4</w:t>
            </w:r>
          </w:p>
          <w:p w14:paraId="7A18F12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29E9870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2055</w:t>
            </w:r>
          </w:p>
          <w:p w14:paraId="7EEE8B4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06244A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198,3</w:t>
            </w:r>
          </w:p>
          <w:p w14:paraId="74F0083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2" w:type="dxa"/>
          </w:tcPr>
          <w:p w14:paraId="377902F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1700</w:t>
            </w:r>
          </w:p>
          <w:p w14:paraId="3874CDC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1" w:type="dxa"/>
          </w:tcPr>
          <w:p w14:paraId="7406F64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144</w:t>
            </w:r>
          </w:p>
          <w:p w14:paraId="4A23CBD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A5048F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1390</w:t>
            </w:r>
          </w:p>
          <w:p w14:paraId="550C966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9067847" w14:textId="77777777">
        <w:trPr>
          <w:trHeight w:val="511"/>
        </w:trPr>
        <w:tc>
          <w:tcPr>
            <w:tcW w:w="1462" w:type="dxa"/>
          </w:tcPr>
          <w:p w14:paraId="27FD452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c>
          <w:tcPr>
            <w:tcW w:w="1152" w:type="dxa"/>
          </w:tcPr>
          <w:p w14:paraId="3A52FF6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244,2</w:t>
            </w:r>
          </w:p>
          <w:p w14:paraId="1D1CCD2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74F7875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2020</w:t>
            </w:r>
          </w:p>
          <w:p w14:paraId="570F1E1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A0164E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195,5</w:t>
            </w:r>
          </w:p>
          <w:p w14:paraId="22885C3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2" w:type="dxa"/>
          </w:tcPr>
          <w:p w14:paraId="644583D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1700</w:t>
            </w:r>
          </w:p>
          <w:p w14:paraId="59E09AB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1" w:type="dxa"/>
          </w:tcPr>
          <w:p w14:paraId="189D1C4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149,4</w:t>
            </w:r>
          </w:p>
          <w:p w14:paraId="5E51AA0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DF596A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1455</w:t>
            </w:r>
          </w:p>
          <w:p w14:paraId="51A16E0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7206849" w14:textId="77777777">
        <w:trPr>
          <w:trHeight w:val="518"/>
        </w:trPr>
        <w:tc>
          <w:tcPr>
            <w:tcW w:w="1462" w:type="dxa"/>
            <w:tcBorders>
              <w:bottom w:val="single" w:sz="12" w:space="0" w:color="auto"/>
            </w:tcBorders>
          </w:tcPr>
          <w:p w14:paraId="48411A0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p w14:paraId="049151E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bottom w:val="single" w:sz="12" w:space="0" w:color="auto"/>
            </w:tcBorders>
          </w:tcPr>
          <w:p w14:paraId="55FF8A9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239.2</w:t>
            </w:r>
          </w:p>
          <w:p w14:paraId="4775B3B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Borders>
              <w:bottom w:val="single" w:sz="12" w:space="0" w:color="auto"/>
            </w:tcBorders>
          </w:tcPr>
          <w:p w14:paraId="097CC8B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2005</w:t>
            </w:r>
          </w:p>
          <w:p w14:paraId="132D5F7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Borders>
              <w:bottom w:val="single" w:sz="12" w:space="0" w:color="auto"/>
            </w:tcBorders>
          </w:tcPr>
          <w:p w14:paraId="4EB40E2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193,5</w:t>
            </w:r>
          </w:p>
          <w:p w14:paraId="6C90CC2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2" w:type="dxa"/>
            <w:tcBorders>
              <w:bottom w:val="single" w:sz="12" w:space="0" w:color="auto"/>
            </w:tcBorders>
          </w:tcPr>
          <w:p w14:paraId="09F5056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1700</w:t>
            </w:r>
          </w:p>
          <w:p w14:paraId="17DC34F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1" w:type="dxa"/>
            <w:tcBorders>
              <w:bottom w:val="single" w:sz="12" w:space="0" w:color="auto"/>
            </w:tcBorders>
          </w:tcPr>
          <w:p w14:paraId="75E9336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156,4</w:t>
            </w:r>
          </w:p>
          <w:p w14:paraId="0E652B4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5A39A27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1550</w:t>
            </w:r>
          </w:p>
          <w:p w14:paraId="701BD75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14DB05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СКОРОПОД'ЕМНОСТЬ И ПОТОЛОК.</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78"/>
        <w:gridCol w:w="1541"/>
        <w:gridCol w:w="1714"/>
        <w:gridCol w:w="1541"/>
        <w:gridCol w:w="1634"/>
      </w:tblGrid>
      <w:tr w:rsidR="00F26F01" w:rsidRPr="00C33834" w14:paraId="49C6EDCC" w14:textId="77777777">
        <w:trPr>
          <w:trHeight w:val="1080"/>
        </w:trPr>
        <w:tc>
          <w:tcPr>
            <w:tcW w:w="878" w:type="dxa"/>
            <w:tcBorders>
              <w:top w:val="single" w:sz="12" w:space="0" w:color="auto"/>
            </w:tcBorders>
          </w:tcPr>
          <w:p w14:paraId="0C72717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в мтр.</w:t>
            </w:r>
          </w:p>
          <w:p w14:paraId="1D76B73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Borders>
              <w:top w:val="single" w:sz="12" w:space="0" w:color="auto"/>
            </w:tcBorders>
          </w:tcPr>
          <w:p w14:paraId="6E60B26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под"ема в мин.</w:t>
            </w:r>
          </w:p>
          <w:p w14:paraId="0EA8A39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4" w:type="dxa"/>
            <w:tcBorders>
              <w:top w:val="single" w:sz="12" w:space="0" w:color="auto"/>
            </w:tcBorders>
          </w:tcPr>
          <w:p w14:paraId="7699661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Вертикаль</w:t>
            </w:r>
            <w:r w:rsidRPr="00C33834">
              <w:rPr>
                <w:rFonts w:ascii="Times New Roman" w:hAnsi="Times New Roman"/>
                <w:color w:val="000000" w:themeColor="text1"/>
                <w:sz w:val="16"/>
                <w:szCs w:val="16"/>
              </w:rPr>
              <w:softHyphen/>
              <w:t>ная скорость в мтр/сек.</w:t>
            </w:r>
          </w:p>
          <w:p w14:paraId="75EF93E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Borders>
              <w:top w:val="single" w:sz="12" w:space="0" w:color="auto"/>
            </w:tcBorders>
          </w:tcPr>
          <w:p w14:paraId="030A848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по приборам в км/час.</w:t>
            </w:r>
          </w:p>
          <w:p w14:paraId="4589EC2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4" w:type="dxa"/>
            <w:tcBorders>
              <w:top w:val="single" w:sz="12" w:space="0" w:color="auto"/>
            </w:tcBorders>
          </w:tcPr>
          <w:p w14:paraId="5735833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Обороты мотора в мин.</w:t>
            </w:r>
          </w:p>
          <w:p w14:paraId="3AF7A6C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9A141D2" w14:textId="77777777">
        <w:trPr>
          <w:trHeight w:val="511"/>
        </w:trPr>
        <w:tc>
          <w:tcPr>
            <w:tcW w:w="878" w:type="dxa"/>
          </w:tcPr>
          <w:p w14:paraId="6F9D977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p w14:paraId="0BC8300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19E681B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p w14:paraId="3B0BEE4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4" w:type="dxa"/>
          </w:tcPr>
          <w:p w14:paraId="53C1D41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10,1</w:t>
            </w:r>
          </w:p>
          <w:p w14:paraId="4DF35C1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0C1FB18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142</w:t>
            </w:r>
          </w:p>
          <w:p w14:paraId="36E92D4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4" w:type="dxa"/>
          </w:tcPr>
          <w:p w14:paraId="2A79E17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1865</w:t>
            </w:r>
          </w:p>
          <w:p w14:paraId="20CB7DA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1860C5D" w14:textId="77777777">
        <w:trPr>
          <w:trHeight w:val="338"/>
        </w:trPr>
        <w:tc>
          <w:tcPr>
            <w:tcW w:w="878" w:type="dxa"/>
          </w:tcPr>
          <w:p w14:paraId="7A66E54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p w14:paraId="5878079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0FC87B2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p w14:paraId="192A848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4" w:type="dxa"/>
          </w:tcPr>
          <w:p w14:paraId="0F2C043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w:t>
            </w:r>
          </w:p>
          <w:p w14:paraId="26A9A60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5552B59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138</w:t>
            </w:r>
          </w:p>
          <w:p w14:paraId="610DC01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4" w:type="dxa"/>
          </w:tcPr>
          <w:p w14:paraId="678F28D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1860</w:t>
            </w:r>
          </w:p>
          <w:p w14:paraId="7A1DBA6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4144692" w14:textId="77777777">
        <w:trPr>
          <w:trHeight w:val="346"/>
        </w:trPr>
        <w:tc>
          <w:tcPr>
            <w:tcW w:w="878" w:type="dxa"/>
          </w:tcPr>
          <w:p w14:paraId="6E95361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p w14:paraId="6D49A05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3C99379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w:t>
            </w:r>
          </w:p>
          <w:p w14:paraId="5CF6A42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4" w:type="dxa"/>
          </w:tcPr>
          <w:p w14:paraId="7D042F2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7,45</w:t>
            </w:r>
          </w:p>
          <w:p w14:paraId="2491D3D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0978D5D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133</w:t>
            </w:r>
          </w:p>
          <w:p w14:paraId="7BB17BA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4" w:type="dxa"/>
          </w:tcPr>
          <w:p w14:paraId="62E216A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1850</w:t>
            </w:r>
          </w:p>
          <w:p w14:paraId="168CD6A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96D508E" w14:textId="77777777">
        <w:trPr>
          <w:trHeight w:val="346"/>
        </w:trPr>
        <w:tc>
          <w:tcPr>
            <w:tcW w:w="878" w:type="dxa"/>
          </w:tcPr>
          <w:p w14:paraId="08E430D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p w14:paraId="3531C3B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512D9AF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w:t>
            </w:r>
          </w:p>
          <w:p w14:paraId="5D9E057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4" w:type="dxa"/>
          </w:tcPr>
          <w:p w14:paraId="1245628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6Л</w:t>
            </w:r>
          </w:p>
          <w:p w14:paraId="0AE0BD6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6ACE669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p w14:paraId="0B4290B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4" w:type="dxa"/>
          </w:tcPr>
          <w:p w14:paraId="13B678A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1840</w:t>
            </w:r>
          </w:p>
          <w:p w14:paraId="5A3F4CA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A15988F" w14:textId="77777777">
        <w:trPr>
          <w:trHeight w:val="346"/>
        </w:trPr>
        <w:tc>
          <w:tcPr>
            <w:tcW w:w="878" w:type="dxa"/>
          </w:tcPr>
          <w:p w14:paraId="01B82AE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p w14:paraId="1152DF8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3355D7F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9.7</w:t>
            </w:r>
          </w:p>
          <w:p w14:paraId="7F4B301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4" w:type="dxa"/>
          </w:tcPr>
          <w:p w14:paraId="0280CAE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4,75</w:t>
            </w:r>
          </w:p>
          <w:p w14:paraId="21F4029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29132C9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w:t>
            </w:r>
          </w:p>
          <w:p w14:paraId="5FA1E13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4" w:type="dxa"/>
          </w:tcPr>
          <w:p w14:paraId="6049BE5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1830,</w:t>
            </w:r>
          </w:p>
          <w:p w14:paraId="0817F4C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AD012F6" w14:textId="77777777">
        <w:trPr>
          <w:trHeight w:val="346"/>
        </w:trPr>
        <w:tc>
          <w:tcPr>
            <w:tcW w:w="878" w:type="dxa"/>
          </w:tcPr>
          <w:p w14:paraId="498A76D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p w14:paraId="5FFF297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5AE5CB7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w:t>
            </w:r>
          </w:p>
          <w:p w14:paraId="3CBC426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4" w:type="dxa"/>
          </w:tcPr>
          <w:p w14:paraId="1D4CCBB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w:t>
            </w:r>
          </w:p>
          <w:p w14:paraId="262F812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077A509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122</w:t>
            </w:r>
          </w:p>
          <w:p w14:paraId="7A729D2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4" w:type="dxa"/>
          </w:tcPr>
          <w:p w14:paraId="1A02C08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1820</w:t>
            </w:r>
          </w:p>
          <w:p w14:paraId="76A09DB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754DD32" w14:textId="77777777">
        <w:trPr>
          <w:trHeight w:val="396"/>
        </w:trPr>
        <w:tc>
          <w:tcPr>
            <w:tcW w:w="878" w:type="dxa"/>
            <w:tcBorders>
              <w:bottom w:val="single" w:sz="12" w:space="0" w:color="auto"/>
            </w:tcBorders>
          </w:tcPr>
          <w:p w14:paraId="6B741CF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w:t>
            </w:r>
          </w:p>
          <w:p w14:paraId="60871E8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Borders>
              <w:bottom w:val="single" w:sz="12" w:space="0" w:color="auto"/>
            </w:tcBorders>
          </w:tcPr>
          <w:p w14:paraId="3AAAAD8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20,6</w:t>
            </w:r>
          </w:p>
          <w:p w14:paraId="40D1073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4" w:type="dxa"/>
            <w:tcBorders>
              <w:bottom w:val="single" w:sz="12" w:space="0" w:color="auto"/>
            </w:tcBorders>
          </w:tcPr>
          <w:p w14:paraId="2E0F832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p w14:paraId="242760C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Borders>
              <w:bottom w:val="single" w:sz="12" w:space="0" w:color="auto"/>
            </w:tcBorders>
          </w:tcPr>
          <w:p w14:paraId="15B7DA6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118</w:t>
            </w:r>
          </w:p>
          <w:p w14:paraId="494278C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4" w:type="dxa"/>
            <w:tcBorders>
              <w:bottom w:val="single" w:sz="12" w:space="0" w:color="auto"/>
            </w:tcBorders>
          </w:tcPr>
          <w:p w14:paraId="162088E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1810</w:t>
            </w:r>
          </w:p>
          <w:p w14:paraId="7931674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DB6BA7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Практический потолок при Ин=0.05 Ис равен 7000 мтр.за 35,2 м</w:t>
      </w:r>
    </w:p>
    <w:p w14:paraId="361CC92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М А Н Е В Р Е Н Н О С Т Ь.</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69"/>
        <w:gridCol w:w="569"/>
        <w:gridCol w:w="569"/>
        <w:gridCol w:w="576"/>
        <w:gridCol w:w="562"/>
        <w:gridCol w:w="540"/>
        <w:gridCol w:w="583"/>
        <w:gridCol w:w="554"/>
        <w:gridCol w:w="562"/>
        <w:gridCol w:w="569"/>
        <w:gridCol w:w="619"/>
        <w:gridCol w:w="518"/>
        <w:gridCol w:w="1130"/>
      </w:tblGrid>
      <w:tr w:rsidR="00F26F01" w:rsidRPr="00C33834" w14:paraId="1E68E9D3" w14:textId="77777777">
        <w:trPr>
          <w:trHeight w:val="252"/>
        </w:trPr>
        <w:tc>
          <w:tcPr>
            <w:tcW w:w="569" w:type="dxa"/>
            <w:tcBorders>
              <w:top w:val="single" w:sz="12" w:space="0" w:color="auto"/>
            </w:tcBorders>
          </w:tcPr>
          <w:p w14:paraId="095D365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Borders>
              <w:top w:val="single" w:sz="12" w:space="0" w:color="auto"/>
            </w:tcBorders>
          </w:tcPr>
          <w:p w14:paraId="57FB177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w:t>
            </w:r>
          </w:p>
        </w:tc>
        <w:tc>
          <w:tcPr>
            <w:tcW w:w="569" w:type="dxa"/>
            <w:tcBorders>
              <w:top w:val="single" w:sz="12" w:space="0" w:color="auto"/>
            </w:tcBorders>
          </w:tcPr>
          <w:p w14:paraId="56BF812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12" w:space="0" w:color="auto"/>
            </w:tcBorders>
          </w:tcPr>
          <w:p w14:paraId="0BCB727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p>
        </w:tc>
        <w:tc>
          <w:tcPr>
            <w:tcW w:w="562" w:type="dxa"/>
            <w:tcBorders>
              <w:top w:val="single" w:sz="12" w:space="0" w:color="auto"/>
            </w:tcBorders>
          </w:tcPr>
          <w:p w14:paraId="16F408C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w:t>
            </w:r>
          </w:p>
        </w:tc>
        <w:tc>
          <w:tcPr>
            <w:tcW w:w="540" w:type="dxa"/>
            <w:tcBorders>
              <w:top w:val="single" w:sz="12" w:space="0" w:color="auto"/>
            </w:tcBorders>
          </w:tcPr>
          <w:p w14:paraId="2B011B8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12" w:space="0" w:color="auto"/>
            </w:tcBorders>
          </w:tcPr>
          <w:p w14:paraId="6488BE3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4" w:type="dxa"/>
            <w:tcBorders>
              <w:top w:val="single" w:sz="12" w:space="0" w:color="auto"/>
            </w:tcBorders>
          </w:tcPr>
          <w:p w14:paraId="6CF7019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Borders>
              <w:top w:val="single" w:sz="12" w:space="0" w:color="auto"/>
            </w:tcBorders>
          </w:tcPr>
          <w:p w14:paraId="5B0549C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Borders>
              <w:top w:val="single" w:sz="12" w:space="0" w:color="auto"/>
            </w:tcBorders>
          </w:tcPr>
          <w:p w14:paraId="74ED748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Borders>
              <w:top w:val="single" w:sz="12" w:space="0" w:color="auto"/>
            </w:tcBorders>
          </w:tcPr>
          <w:p w14:paraId="549C08D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Обороты</w:t>
            </w:r>
          </w:p>
        </w:tc>
        <w:tc>
          <w:tcPr>
            <w:tcW w:w="518" w:type="dxa"/>
            <w:tcBorders>
              <w:top w:val="single" w:sz="12" w:space="0" w:color="auto"/>
            </w:tcBorders>
          </w:tcPr>
          <w:p w14:paraId="010C7AD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Borders>
              <w:top w:val="single" w:sz="12" w:space="0" w:color="auto"/>
            </w:tcBorders>
          </w:tcPr>
          <w:p w14:paraId="56D0AC2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2D7F068" w14:textId="77777777">
        <w:trPr>
          <w:trHeight w:val="252"/>
        </w:trPr>
        <w:tc>
          <w:tcPr>
            <w:tcW w:w="569" w:type="dxa"/>
          </w:tcPr>
          <w:p w14:paraId="39DF158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Pr>
          <w:p w14:paraId="3E4A8A2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569" w:type="dxa"/>
          </w:tcPr>
          <w:p w14:paraId="4CA2E26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576" w:type="dxa"/>
          </w:tcPr>
          <w:p w14:paraId="1FD4099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562" w:type="dxa"/>
          </w:tcPr>
          <w:p w14:paraId="247FE77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59DF169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Pr>
          <w:p w14:paraId="5E71B92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4" w:type="dxa"/>
          </w:tcPr>
          <w:p w14:paraId="4BD9E0E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Pr>
          <w:p w14:paraId="00957A1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Pr>
          <w:p w14:paraId="0179E0C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3BB222D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518" w:type="dxa"/>
          </w:tcPr>
          <w:p w14:paraId="3BF0706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1130" w:type="dxa"/>
          </w:tcPr>
          <w:p w14:paraId="12160C0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r>
      <w:tr w:rsidR="00F26F01" w:rsidRPr="00C33834" w14:paraId="6AF83583" w14:textId="77777777">
        <w:trPr>
          <w:trHeight w:val="684"/>
        </w:trPr>
        <w:tc>
          <w:tcPr>
            <w:tcW w:w="569" w:type="dxa"/>
          </w:tcPr>
          <w:p w14:paraId="612EC8C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один правый</w:t>
            </w:r>
          </w:p>
        </w:tc>
        <w:tc>
          <w:tcPr>
            <w:tcW w:w="569" w:type="dxa"/>
          </w:tcPr>
          <w:p w14:paraId="5AD8816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16,8</w:t>
            </w:r>
          </w:p>
          <w:p w14:paraId="3EEA59B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Pr>
          <w:p w14:paraId="3F7F910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18,8</w:t>
            </w:r>
          </w:p>
          <w:p w14:paraId="1BEB761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31DFAD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w:t>
            </w:r>
          </w:p>
          <w:p w14:paraId="202CE39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Pr>
          <w:p w14:paraId="75232D3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155</w:t>
            </w:r>
          </w:p>
          <w:p w14:paraId="618B1E6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311B2E5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p w14:paraId="7ACC906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Pr>
          <w:p w14:paraId="14CD658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p w14:paraId="26BC2A2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4" w:type="dxa"/>
          </w:tcPr>
          <w:p w14:paraId="1BAB0D8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165</w:t>
            </w:r>
          </w:p>
          <w:p w14:paraId="0C323C8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Pr>
          <w:p w14:paraId="7E48A3A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p w14:paraId="43BB996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Pr>
          <w:p w14:paraId="0EFA07B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p w14:paraId="29071A3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1085EAA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1750</w:t>
            </w:r>
          </w:p>
          <w:p w14:paraId="7C86E7D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Pr>
          <w:p w14:paraId="5E7A377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1800</w:t>
            </w:r>
          </w:p>
          <w:p w14:paraId="11AFC2C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ECF21C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1890</w:t>
            </w:r>
          </w:p>
          <w:p w14:paraId="0B4ED96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B64FB85" w14:textId="77777777">
        <w:trPr>
          <w:trHeight w:val="605"/>
        </w:trPr>
        <w:tc>
          <w:tcPr>
            <w:tcW w:w="569" w:type="dxa"/>
          </w:tcPr>
          <w:p w14:paraId="4F29D9A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один левый</w:t>
            </w:r>
          </w:p>
        </w:tc>
        <w:tc>
          <w:tcPr>
            <w:tcW w:w="569" w:type="dxa"/>
          </w:tcPr>
          <w:p w14:paraId="138FA74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17,3</w:t>
            </w:r>
          </w:p>
        </w:tc>
        <w:tc>
          <w:tcPr>
            <w:tcW w:w="569" w:type="dxa"/>
          </w:tcPr>
          <w:p w14:paraId="0910E67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p w14:paraId="686672B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D4BD09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p w14:paraId="208EF3B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Pr>
          <w:p w14:paraId="2728CE2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p w14:paraId="6378C49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2B1AD7A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p w14:paraId="3FD10D9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Pr>
          <w:p w14:paraId="520362D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135</w:t>
            </w:r>
          </w:p>
          <w:p w14:paraId="66F313F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4" w:type="dxa"/>
          </w:tcPr>
          <w:p w14:paraId="1652BAD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145</w:t>
            </w:r>
          </w:p>
          <w:p w14:paraId="7ED75D9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Pr>
          <w:p w14:paraId="272F4C1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p w14:paraId="5C87ECF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Pr>
          <w:p w14:paraId="6599D5C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p w14:paraId="59AB39A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18CF163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1780</w:t>
            </w:r>
          </w:p>
          <w:p w14:paraId="5B93A99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Pr>
          <w:p w14:paraId="4ADF25B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1800</w:t>
            </w:r>
          </w:p>
          <w:p w14:paraId="6DB66EA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ABF53E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1890</w:t>
            </w:r>
          </w:p>
          <w:p w14:paraId="6902CC5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B35999D" w14:textId="77777777">
        <w:trPr>
          <w:trHeight w:val="518"/>
        </w:trPr>
        <w:tc>
          <w:tcPr>
            <w:tcW w:w="569" w:type="dxa"/>
          </w:tcPr>
          <w:p w14:paraId="5C11EAB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серия правых</w:t>
            </w:r>
          </w:p>
        </w:tc>
        <w:tc>
          <w:tcPr>
            <w:tcW w:w="569" w:type="dxa"/>
          </w:tcPr>
          <w:p w14:paraId="366660A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58,0</w:t>
            </w:r>
          </w:p>
          <w:p w14:paraId="1097796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Pr>
          <w:p w14:paraId="1E1A4DB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66,5</w:t>
            </w:r>
          </w:p>
          <w:p w14:paraId="7224871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E5FC29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75,1</w:t>
            </w:r>
          </w:p>
          <w:p w14:paraId="3AB8118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Pr>
          <w:p w14:paraId="4284AA8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w:t>
            </w:r>
          </w:p>
          <w:p w14:paraId="768ED20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601B962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p w14:paraId="1D5D3B8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Pr>
          <w:p w14:paraId="1CC080B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w:t>
            </w:r>
          </w:p>
          <w:p w14:paraId="2016661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4" w:type="dxa"/>
          </w:tcPr>
          <w:p w14:paraId="16582F8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w:t>
            </w:r>
          </w:p>
          <w:p w14:paraId="5023B1A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Pr>
          <w:p w14:paraId="0462E6D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p w14:paraId="613EFFD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Pr>
          <w:p w14:paraId="48EA330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p w14:paraId="5BB53FE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53626ED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1740</w:t>
            </w:r>
          </w:p>
          <w:p w14:paraId="0244199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Pr>
          <w:p w14:paraId="0996484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1800</w:t>
            </w:r>
          </w:p>
          <w:p w14:paraId="65600C9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0CFAED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1875</w:t>
            </w:r>
          </w:p>
          <w:p w14:paraId="2A72A52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3E5410A" w14:textId="77777777">
        <w:trPr>
          <w:trHeight w:val="425"/>
        </w:trPr>
        <w:tc>
          <w:tcPr>
            <w:tcW w:w="569" w:type="dxa"/>
          </w:tcPr>
          <w:p w14:paraId="2252DF7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серия левых</w:t>
            </w:r>
          </w:p>
        </w:tc>
        <w:tc>
          <w:tcPr>
            <w:tcW w:w="569" w:type="dxa"/>
          </w:tcPr>
          <w:p w14:paraId="6053EAB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p w14:paraId="0E604C7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Pr>
          <w:p w14:paraId="1F615C5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68,0</w:t>
            </w:r>
          </w:p>
          <w:p w14:paraId="75209F3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F89F05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74.0</w:t>
            </w:r>
          </w:p>
          <w:p w14:paraId="69D69D0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Pr>
          <w:p w14:paraId="695260B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w:t>
            </w:r>
          </w:p>
          <w:p w14:paraId="18554A8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1B184B0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p w14:paraId="0E01F67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Pr>
          <w:p w14:paraId="7C585D2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115</w:t>
            </w:r>
          </w:p>
          <w:p w14:paraId="64F9ECD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4" w:type="dxa"/>
          </w:tcPr>
          <w:p w14:paraId="6300E2E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135</w:t>
            </w:r>
          </w:p>
          <w:p w14:paraId="340CB09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Pr>
          <w:p w14:paraId="65DFB5C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w:t>
            </w:r>
          </w:p>
          <w:p w14:paraId="524D3EC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Pr>
          <w:p w14:paraId="786D331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w:t>
            </w:r>
          </w:p>
          <w:p w14:paraId="104D4C4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0072FFE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1740</w:t>
            </w:r>
          </w:p>
          <w:p w14:paraId="56D013C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Pr>
          <w:p w14:paraId="0794022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1710</w:t>
            </w:r>
          </w:p>
        </w:tc>
        <w:tc>
          <w:tcPr>
            <w:tcW w:w="1130" w:type="dxa"/>
          </w:tcPr>
          <w:p w14:paraId="54245CD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1860</w:t>
            </w:r>
          </w:p>
          <w:p w14:paraId="1209FAC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23541C1" w14:textId="77777777">
        <w:trPr>
          <w:trHeight w:val="403"/>
        </w:trPr>
        <w:tc>
          <w:tcPr>
            <w:tcW w:w="569" w:type="dxa"/>
            <w:tcBorders>
              <w:bottom w:val="single" w:sz="12" w:space="0" w:color="auto"/>
            </w:tcBorders>
          </w:tcPr>
          <w:p w14:paraId="2CFCD35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восбмерки</w:t>
            </w:r>
          </w:p>
        </w:tc>
        <w:tc>
          <w:tcPr>
            <w:tcW w:w="569" w:type="dxa"/>
            <w:tcBorders>
              <w:bottom w:val="single" w:sz="12" w:space="0" w:color="auto"/>
            </w:tcBorders>
          </w:tcPr>
          <w:p w14:paraId="7A442E4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p w14:paraId="24B0682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Borders>
              <w:bottom w:val="single" w:sz="12" w:space="0" w:color="auto"/>
            </w:tcBorders>
          </w:tcPr>
          <w:p w14:paraId="1E98A4D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w:t>
            </w:r>
          </w:p>
          <w:p w14:paraId="60F9A66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bottom w:val="single" w:sz="12" w:space="0" w:color="auto"/>
            </w:tcBorders>
          </w:tcPr>
          <w:p w14:paraId="64726BE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53,0</w:t>
            </w:r>
          </w:p>
          <w:p w14:paraId="14A261A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Borders>
              <w:bottom w:val="single" w:sz="12" w:space="0" w:color="auto"/>
            </w:tcBorders>
          </w:tcPr>
          <w:p w14:paraId="3487EF6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p w14:paraId="5DF7DF5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Borders>
              <w:bottom w:val="single" w:sz="12" w:space="0" w:color="auto"/>
            </w:tcBorders>
          </w:tcPr>
          <w:p w14:paraId="093FEAC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p w14:paraId="741F2D9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bottom w:val="single" w:sz="12" w:space="0" w:color="auto"/>
            </w:tcBorders>
          </w:tcPr>
          <w:p w14:paraId="6B24A40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135</w:t>
            </w:r>
          </w:p>
          <w:p w14:paraId="77B5F7A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4" w:type="dxa"/>
            <w:tcBorders>
              <w:bottom w:val="single" w:sz="12" w:space="0" w:color="auto"/>
            </w:tcBorders>
          </w:tcPr>
          <w:p w14:paraId="1AEAFB1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w:t>
            </w:r>
          </w:p>
          <w:p w14:paraId="43B076F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Borders>
              <w:bottom w:val="single" w:sz="12" w:space="0" w:color="auto"/>
            </w:tcBorders>
          </w:tcPr>
          <w:p w14:paraId="63D04C4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w:t>
            </w:r>
          </w:p>
          <w:p w14:paraId="490C01C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Borders>
              <w:bottom w:val="single" w:sz="12" w:space="0" w:color="auto"/>
            </w:tcBorders>
          </w:tcPr>
          <w:p w14:paraId="6CAC5CD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p w14:paraId="2B73B85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Borders>
              <w:bottom w:val="single" w:sz="12" w:space="0" w:color="auto"/>
            </w:tcBorders>
          </w:tcPr>
          <w:p w14:paraId="1173E00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1740</w:t>
            </w:r>
          </w:p>
          <w:p w14:paraId="256596F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bottom w:val="single" w:sz="12" w:space="0" w:color="auto"/>
            </w:tcBorders>
          </w:tcPr>
          <w:p w14:paraId="455DBE0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1800</w:t>
            </w:r>
          </w:p>
          <w:p w14:paraId="384FD7C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Borders>
              <w:bottom w:val="single" w:sz="12" w:space="0" w:color="auto"/>
            </w:tcBorders>
          </w:tcPr>
          <w:p w14:paraId="6A15C0D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1870</w:t>
            </w:r>
          </w:p>
          <w:p w14:paraId="5F93BFE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0285E3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КРЕЙСЕРСКАЯ СКОРОСТЬ, РАСХОД ГОРЮЧЕГО И ДАЛЬНОСТЬ ПОЛЕТА.</w:t>
      </w:r>
    </w:p>
    <w:p w14:paraId="77B3E47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по т р е у г о л ь н в к у:</w:t>
      </w:r>
    </w:p>
    <w:p w14:paraId="4B50535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Щелково-Покров / пересечение железных дорог/.</w:t>
      </w:r>
    </w:p>
    <w:p w14:paraId="639A0DB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Покров-Щелково</w:t>
      </w:r>
    </w:p>
    <w:p w14:paraId="280E036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Щелково-Сергиев Посад-Щелково.</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14"/>
        <w:gridCol w:w="814"/>
        <w:gridCol w:w="1051"/>
        <w:gridCol w:w="900"/>
        <w:gridCol w:w="1159"/>
        <w:gridCol w:w="2635"/>
      </w:tblGrid>
      <w:tr w:rsidR="00F26F01" w:rsidRPr="00C33834" w14:paraId="46CF4CA5" w14:textId="77777777">
        <w:trPr>
          <w:trHeight w:val="886"/>
        </w:trPr>
        <w:tc>
          <w:tcPr>
            <w:tcW w:w="814" w:type="dxa"/>
            <w:tcBorders>
              <w:top w:val="single" w:sz="12" w:space="0" w:color="auto"/>
            </w:tcBorders>
          </w:tcPr>
          <w:p w14:paraId="3CA51D9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Borders>
              <w:top w:val="single" w:sz="12" w:space="0" w:color="auto"/>
            </w:tcBorders>
          </w:tcPr>
          <w:p w14:paraId="256C48C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Обороты</w:t>
            </w:r>
          </w:p>
        </w:tc>
        <w:tc>
          <w:tcPr>
            <w:tcW w:w="1051" w:type="dxa"/>
            <w:tcBorders>
              <w:top w:val="single" w:sz="12" w:space="0" w:color="auto"/>
            </w:tcBorders>
          </w:tcPr>
          <w:p w14:paraId="462FB80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/км/час крейсер</w:t>
            </w:r>
            <w:r w:rsidRPr="00C33834">
              <w:rPr>
                <w:rFonts w:ascii="Times New Roman" w:hAnsi="Times New Roman"/>
                <w:color w:val="000000" w:themeColor="text1"/>
                <w:sz w:val="16"/>
                <w:szCs w:val="16"/>
              </w:rPr>
              <w:softHyphen/>
              <w:t>ская ско рость.</w:t>
            </w:r>
          </w:p>
          <w:p w14:paraId="2FB2D86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Borders>
              <w:top w:val="single" w:sz="12" w:space="0" w:color="auto"/>
            </w:tcBorders>
          </w:tcPr>
          <w:p w14:paraId="7B25B42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Расход в час в кг.</w:t>
            </w:r>
          </w:p>
          <w:p w14:paraId="707DEF5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Borders>
              <w:top w:val="single" w:sz="12" w:space="0" w:color="auto"/>
            </w:tcBorders>
          </w:tcPr>
          <w:p w14:paraId="2A55053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Расход на км/пути</w:t>
            </w:r>
          </w:p>
          <w:p w14:paraId="1AB6435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35" w:type="dxa"/>
            <w:tcBorders>
              <w:top w:val="single" w:sz="12" w:space="0" w:color="auto"/>
            </w:tcBorders>
          </w:tcPr>
          <w:p w14:paraId="5D41F5B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в клм.</w:t>
            </w:r>
          </w:p>
          <w:p w14:paraId="467D0FA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30E2560" w14:textId="77777777">
        <w:trPr>
          <w:trHeight w:val="547"/>
        </w:trPr>
        <w:tc>
          <w:tcPr>
            <w:tcW w:w="814" w:type="dxa"/>
            <w:tcBorders>
              <w:bottom w:val="single" w:sz="12" w:space="0" w:color="auto"/>
            </w:tcBorders>
          </w:tcPr>
          <w:p w14:paraId="19BC25E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814" w:type="dxa"/>
            <w:tcBorders>
              <w:bottom w:val="single" w:sz="12" w:space="0" w:color="auto"/>
            </w:tcBorders>
          </w:tcPr>
          <w:p w14:paraId="62066E6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1700</w:t>
            </w:r>
          </w:p>
          <w:p w14:paraId="2BC61F5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1" w:type="dxa"/>
            <w:tcBorders>
              <w:bottom w:val="single" w:sz="12" w:space="0" w:color="auto"/>
            </w:tcBorders>
          </w:tcPr>
          <w:p w14:paraId="6AAD0FB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198</w:t>
            </w:r>
          </w:p>
          <w:p w14:paraId="0C41BC4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Borders>
              <w:bottom w:val="single" w:sz="12" w:space="0" w:color="auto"/>
            </w:tcBorders>
          </w:tcPr>
          <w:p w14:paraId="50E0918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69,0</w:t>
            </w:r>
          </w:p>
          <w:p w14:paraId="523B1E6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Borders>
              <w:bottom w:val="single" w:sz="12" w:space="0" w:color="auto"/>
            </w:tcBorders>
          </w:tcPr>
          <w:p w14:paraId="4109A6F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0,348</w:t>
            </w:r>
          </w:p>
          <w:p w14:paraId="2A5713E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35" w:type="dxa"/>
            <w:tcBorders>
              <w:bottom w:val="single" w:sz="12" w:space="0" w:color="auto"/>
            </w:tcBorders>
          </w:tcPr>
          <w:p w14:paraId="69A2FA9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310</w:t>
            </w:r>
          </w:p>
          <w:p w14:paraId="2C73D70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0BCC64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 На рулежку, планирование и набор высота отведено 20% от общего количества горючего. Дальность под</w:t>
      </w:r>
      <w:r w:rsidRPr="00C33834">
        <w:rPr>
          <w:rFonts w:ascii="Times New Roman" w:hAnsi="Times New Roman"/>
          <w:color w:val="000000" w:themeColor="text1"/>
          <w:sz w:val="16"/>
          <w:szCs w:val="16"/>
        </w:rPr>
        <w:softHyphen/>
        <w:t>считана до полного выгорания горючего. Расход масла от 3 до 3,5 кг. в час.</w:t>
      </w:r>
    </w:p>
    <w:p w14:paraId="650FECC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РАЗБЕГ И П Р О Б Е Г.</w:t>
      </w:r>
    </w:p>
    <w:p w14:paraId="2EFC989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 а з б е г........110 мтр. в 8,2 сек.</w:t>
      </w:r>
    </w:p>
    <w:p w14:paraId="2B75D00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 р об е г........180 мтр. за 15,2 сек.</w:t>
      </w:r>
    </w:p>
    <w:p w14:paraId="61BACF8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ПЛАНИРОВАНИЕ И ПОСАДОЧНАЯ СКОРОСТЬ.</w:t>
      </w:r>
    </w:p>
    <w:p w14:paraId="56B9056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при наивыгодн. угле снижен.........148 км/час.</w:t>
      </w:r>
    </w:p>
    <w:p w14:paraId="131013B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Наивыгоднейш угол наклона траектории..... 7° 50</w:t>
      </w:r>
    </w:p>
    <w:p w14:paraId="6AD0ECC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планирования с высоты 1000 мтр.... 7,2 км.</w:t>
      </w:r>
    </w:p>
    <w:p w14:paraId="6C1983C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 е м я..............................2,58 сек.</w:t>
      </w:r>
    </w:p>
    <w:p w14:paraId="29E2887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Посадочная скорость.......................110 км/час.</w:t>
      </w:r>
    </w:p>
    <w:p w14:paraId="729A4F9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16.ТРАЕКТОРИЯ ВЗЛЕТА И ВЗЛЕТНАЯ СКОРОСТЬ.</w:t>
      </w:r>
    </w:p>
    <w:p w14:paraId="24EB3DB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при наивыгоднейшем угле подъема..... .153 км/час</w:t>
      </w:r>
    </w:p>
    <w:p w14:paraId="6FAAD59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Наивыгоднейший угол под”ема...................12,5°</w:t>
      </w:r>
    </w:p>
    <w:p w14:paraId="07CFF7D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набора высоты на 1000 мтр............... 1,8 мин.</w:t>
      </w:r>
    </w:p>
    <w:p w14:paraId="5063B6C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при наивыгоднейшем угле отрыва от з е м л и.................................115 км/час.</w:t>
      </w:r>
    </w:p>
    <w:p w14:paraId="1C6757D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ЛЕТНО-ТАКТИЧЕСКАЯ ОЦЕНКА САМОЛЕТА "ЗЕТ” С МОТОРОМ ЮУ1.</w:t>
      </w:r>
    </w:p>
    <w:p w14:paraId="43A2B13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Каби на удобна и просторна. Требуется увеличить опускание. сидения на 1-2 зубца вниз, так как на больиих скоростях летчик испытывает большое задувание. Посадка в кабину неудобна, необ</w:t>
      </w:r>
      <w:r w:rsidRPr="00C33834">
        <w:rPr>
          <w:rFonts w:ascii="Times New Roman" w:hAnsi="Times New Roman"/>
          <w:color w:val="000000" w:themeColor="text1"/>
          <w:sz w:val="16"/>
          <w:szCs w:val="16"/>
        </w:rPr>
        <w:softHyphen/>
        <w:t>ходимо сделать выдвижную поднодку.</w:t>
      </w:r>
    </w:p>
    <w:p w14:paraId="5376904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Проба мотора. При пробе мотора на оборотах свыше 1500 необходимо хвост удерживать. Колодки вполне подходят от самолетов И4 и И5.</w:t>
      </w:r>
    </w:p>
    <w:p w14:paraId="068AF90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Руление. Самолет рулит на 700-800 об/мин. На ровном и сухом грунте может рулить и на меньших оборотах; позволяет рулить без сопровождающего. Управляемость удовлетворительная. При рулении ручку следует отдавать от себя для облегчения хвоста и уменьшения нагрузки на ручку летчика.</w:t>
      </w:r>
    </w:p>
    <w:p w14:paraId="1C810CB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Взлет. При разбеге самолет требует почти полной отдачи ручки от себя с обязательным опережением ручки по отношению к даче газу; к концу разбега необходимо поддерживать ручкой. При нормальном взлете никаких тенденций к разворотам не имеет, на взлете с недос</w:t>
      </w:r>
      <w:r w:rsidRPr="00C33834">
        <w:rPr>
          <w:rFonts w:ascii="Times New Roman" w:hAnsi="Times New Roman"/>
          <w:color w:val="000000" w:themeColor="text1"/>
          <w:sz w:val="16"/>
          <w:szCs w:val="16"/>
        </w:rPr>
        <w:softHyphen/>
        <w:t>таточно поднятым хвостом на малой скорости, самолет очень быстро отрывается с разворотом в право.</w:t>
      </w:r>
    </w:p>
    <w:p w14:paraId="1DD27E2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Набор высоты. Наивыгоднейшая скорость набора высоты уземли 153 кв/час. с подъемом на высоту необходимо на каждую 1000 м. уменьшать скорость на 4 км/час: Во время набора при брошенной ручке самолет идет вверх до полной потери скорости. Нагрузка на ручку почти совершенно отсутствует.</w:t>
      </w:r>
    </w:p>
    <w:p w14:paraId="2F3EBA0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Горизоктальный полет особенностей не имеет. При 1500-1550 об/мин самолет идет с отпущенной ручкой по прямой. Нагрузка на ручку отсутствует.</w:t>
      </w:r>
    </w:p>
    <w:p w14:paraId="1473247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Устойчивость самолета. Правильно отрегулированный самолет достаточно устойчив во всех отношениях как впродольном, поперечном так и пути. При наличии нечеткости в регулировке, самолет при брошеном управлении имеет тенденцию к развороту вправо и требует постоянного поддерживания левой ногой. Управление достаточно мягко и легко. При внезапном сбавлении газа, самолет переходит на нос до скорости 200 км/час и делает колебания в диапазоне - 200-160 км/час.</w:t>
      </w:r>
    </w:p>
    <w:p w14:paraId="204AAA1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Планирование. Самолет достаточно устойчиво планирует на скорости 160 км/час; наибольшая продолжительность планирования на скорости 143 км/час, с брошеным управлением самолет планирует сам; на скорости 130-160, самолет имеет тенденцию клевать на нос.</w:t>
      </w:r>
    </w:p>
    <w:p w14:paraId="6B6D264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Вираж и восьмерки .Самолет виражит хорошо при вводе на скорости 150-160 км/час. С виража в вираж прекладывается легко, время виража на высоте 1000 мтр. 16,8 сек. Выполнение этих фгур требует хорошее координации и внимания от летчика. Самолет не любит резких движений на вираже при перетягивании ручки теряет скорость, появ</w:t>
      </w:r>
      <w:r w:rsidRPr="00C33834">
        <w:rPr>
          <w:rFonts w:ascii="Times New Roman" w:hAnsi="Times New Roman"/>
          <w:color w:val="000000" w:themeColor="text1"/>
          <w:sz w:val="16"/>
          <w:szCs w:val="16"/>
        </w:rPr>
        <w:softHyphen/>
        <w:t>ляются вибрации и самолет теряет устойчивость. На левом вираже имеет тенденцию к задиру, на правом к забрыванию. Рулей вполне достаточно. Хорошо выполняет боевые развороты.</w:t>
      </w:r>
    </w:p>
    <w:p w14:paraId="5562426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Скольжение. Самолет скользит нормально с креном 25-30°.</w:t>
      </w:r>
    </w:p>
    <w:p w14:paraId="359AC76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Парашютирование. Парашютирует хорошо на скорости 70-75 км/час с уменьшением скорости появляется незначительная вибрация хвосто</w:t>
      </w:r>
      <w:r w:rsidRPr="00C33834">
        <w:rPr>
          <w:rFonts w:ascii="Times New Roman" w:hAnsi="Times New Roman"/>
          <w:color w:val="000000" w:themeColor="text1"/>
          <w:sz w:val="16"/>
          <w:szCs w:val="16"/>
        </w:rPr>
        <w:softHyphen/>
        <w:t xml:space="preserve">вого оперения. </w:t>
      </w:r>
    </w:p>
    <w:p w14:paraId="0DE1A88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Пикирование. Самолет устойчиво пикирует; со скоростью 280 км/час и выше появляется незначительная вибрация хвостового оперения. Вывод из пикирования легок, нагрузка на ручку незначительная.</w:t>
      </w:r>
    </w:p>
    <w:p w14:paraId="250ABCD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Штопор Испытания на штопор с системами ЛПК не производилось. Тенденции к срыву в штопор самолет не имеет.</w:t>
      </w:r>
    </w:p>
    <w:p w14:paraId="27FAC19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Петли перевороты, с системами не производились, без систем на самолете выполнялись петли с одинарные переворотом.</w:t>
      </w:r>
    </w:p>
    <w:p w14:paraId="59E0CC7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Посадка. Посадка на самолете проста. Подход к земле на скорости 120125 км/час по сафу, самолет легко садится на три точки с недобраной ручкой. Не любит высокого перевода и резких движений в силу особой чуткости руля глубины. Стремлений к развороту при пробеге не ямеет. Козлят довольно сильно.</w:t>
      </w:r>
    </w:p>
    <w:p w14:paraId="2011B81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Обзор самолета. Обзор вверх я в стороны хороший, вниз я в стороны слепой. В полете на низких высотах вперед обзор плохой - мешает крыло.</w:t>
      </w:r>
    </w:p>
    <w:p w14:paraId="62CF4A2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Наводка на цель. Наводка на цель самолетом и удержание цели на прицеле не затруднена, самолет устойчив в этом подожении</w:t>
      </w:r>
    </w:p>
    <w:p w14:paraId="455C9C2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Воздушны и бой. Примерный воздушный бой проведен на высоте 1500 мтр. с самолетами И4 и Р5. Вести бой с И4 самолет “ЗЕТ" может только в вертикальном направлении с применением фигур. Преимушество остается на стороне самолета И4.</w:t>
      </w:r>
    </w:p>
    <w:p w14:paraId="0CE0344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виражах самолет И4 свободно заходят в хвост.</w:t>
      </w:r>
    </w:p>
    <w:p w14:paraId="1043528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бою с самолетом Р5, самолет “ЗЕТ" легко держится в хвосте Р5.</w:t>
      </w:r>
    </w:p>
    <w:p w14:paraId="01C1D5B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ЗАКЛЮЧЕНИЕ ПО ВООРУЖЕНИЮ.</w:t>
      </w:r>
    </w:p>
    <w:p w14:paraId="0431A58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(см. Стр. отчета о Государственных Испытаниях Артиллерийского вооружения самолета "ЗЕТ" № 39012, вооруженного 2-мя пушками АПК-4бис колибром 76,2 м/м/.</w:t>
      </w:r>
    </w:p>
    <w:p w14:paraId="7FA8EFA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Самолет "ЗЕТ" вооруженный АПК-76,2 испытания прошел.</w:t>
      </w:r>
    </w:p>
    <w:p w14:paraId="0EFF044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Конструкция самолета.Стрельбу из АПК-4 бис 76,2 м/м, до 350 выстрелов выдерживает.</w:t>
      </w:r>
    </w:p>
    <w:p w14:paraId="6853AC8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Система в основном работает удовлетворительно, хотя нуждается в доработке и исправлении ряда неполадок.</w:t>
      </w:r>
    </w:p>
    <w:p w14:paraId="6D0F5CC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Снаряды качественно должны быть повышены, выбор-же наилучшего из них подвергнуть специальным испытаниям.</w:t>
      </w:r>
    </w:p>
    <w:p w14:paraId="01667FE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При данной установке АПК-76,2 м/м стрельба возможна: на горизонтальном полете, при пикировании до 30-35 гр., при кабрировании - пределах кабрирования самолета и при крене до 25-30 гр.</w:t>
      </w:r>
    </w:p>
    <w:p w14:paraId="5444A8E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Самолет "ЗЕТ" вооруженный АПК-76,2 м/м. должен быть снабжен специальным прицелом и дальномером.</w:t>
      </w:r>
    </w:p>
    <w:p w14:paraId="690FF79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Прицельная стрельба и попадания на дистанция 800-1000 мтр. При надлежашей тренировке личного состава возможна.</w:t>
      </w:r>
    </w:p>
    <w:p w14:paraId="249B1D9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Звено самолетов /3 самолета/ при стрельбе в горивонтаном полете дают относительно большую насыщенность зоны разрывов снарядов.</w:t>
      </w:r>
    </w:p>
    <w:p w14:paraId="6DCB4F1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Дальнейшим этапом работ должны стать войсковые испытания где провести в отработку тактики и применения, как одного самолета, так и звена или группы самолетов “ЗЕТ".</w:t>
      </w:r>
    </w:p>
    <w:p w14:paraId="2BA5533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Неполадки, выявленные в процессе испытания, как в системе, так и в снарядах устранить до начала работ по тактике и применению.</w:t>
      </w:r>
    </w:p>
    <w:p w14:paraId="0076FBA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Для работ по тактике и применению самолетов "3ЕТ” необходимо провести подготовку и тренировку, как летного, так техничекого состава.</w:t>
      </w:r>
    </w:p>
    <w:p w14:paraId="6FA08A0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ЗАКЛЮЧЕНИЕ ПО СПЕЦОБОРУДОВАНИЮ</w:t>
      </w:r>
    </w:p>
    <w:p w14:paraId="7CDD463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ночным полетам, а также для полетов на больших высотах, самолет не подготовлен.</w:t>
      </w:r>
    </w:p>
    <w:p w14:paraId="4FDC104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Связь как с землей, так и с самолетами в воздухе осуществить нельзя (2303,62).</w:t>
      </w:r>
    </w:p>
    <w:p w14:paraId="4869AC0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18F9EE93" w14:textId="77777777" w:rsidR="005228D6" w:rsidRPr="00C33834" w:rsidRDefault="005228D6"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1-е октября 1933 в Щелково прошли лётные Государственные испытания «И-Z», вооруженного серийными пушками АПК-4, каждая из которых была снабжена трубчатым магазином на шесть снарядов, которые шли с 14 сентября. Летал на истребителе летчик-испытатель НИИ ВВС М. Сцельников. В отчете НИИ ВВС по испытаниям указывалось, что самолет «И-Z» изготовлен по образцу опытного и в основных размерных параметрах от последнего не отличается. Кабина летчика удобна и просторна. На взлете «И-Z» быстро отрывается в горизонтальном полете идет с отпущенной ручкой, устойчив во всех отношениях, управление легкое. Испытания на штопор не проводились, но и тенденции к срыву в штопор не наблюдалось. В заключении по испытаниям говорилось, что истребители типа «И-Z» могут быть приняты на вооружение ВВС РККА при выполнении следующих условий: увеличение максимальной скорости до 300 км/час, емкости бензобаков, количества снарядов, установки электрооборудования и радио. Особым пунктом шло пожелание увеличить прочность самолета, так как уже после 300-500 выстрелов его конструкция нуждалась в ремонте. Военные хотели довести живучесть «И-Z» до 1000 выстрелов. Однако это пожелание ВВС выполнить не удалось. В ходе последующих испытаний истребителей «И-Z», стрельбы из пушек велись с пикирования, кабрирования, в горизонтальном полете, одиночными выстрелами и сериями. После 100-150 выстрелов проводился осмотр конструкций истребителей с заменой, по возможности, отдельных частей. В среднем из каждой пушки выполнили 240 выстрелов. При стрельбе в конструкции самолетов наблюдались значительные повреждения. Газы, вылетавшие из пушек, коробили и отрывали обшивку, оказывали на конструкцию крайне нежелательные нагрузки. Лишь отдельные самолеты смогли выдержать свыше 350 выстрелов. Признавалось, что даже при соответствующих усилениях конструкции «И-Z», срок его службы при стрельбе из динамо-реактивных пушек составит не более 400 выстрелов. При испытаниях большую часть серийных истребителей довели до нелетного состояния (15223).</w:t>
      </w:r>
    </w:p>
    <w:p w14:paraId="4742494E" w14:textId="77777777" w:rsidR="005228D6" w:rsidRPr="00C33834" w:rsidRDefault="005228D6" w:rsidP="00C33834">
      <w:pPr>
        <w:shd w:val="clear" w:color="auto" w:fill="FFFFFF"/>
        <w:spacing w:after="0" w:line="240" w:lineRule="auto"/>
        <w:jc w:val="both"/>
        <w:rPr>
          <w:rFonts w:ascii="Times New Roman" w:hAnsi="Times New Roman"/>
          <w:color w:val="000000" w:themeColor="text1"/>
          <w:sz w:val="16"/>
          <w:szCs w:val="16"/>
        </w:rPr>
      </w:pPr>
    </w:p>
    <w:p w14:paraId="55030F4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 в НИИ ВВС в Щелково закончились гос. испытания И-ЗЕТ № 39010 с 2хАПК-4бис. Летал л М.Сцельников и летали 16:20 С с 14 сентября (3996, 92).</w:t>
      </w:r>
    </w:p>
    <w:p w14:paraId="716CE2E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отчете указано, что с-т изготовлен по образцу серийного и в основных размерных параметров от него не отличается.</w:t>
      </w:r>
    </w:p>
    <w:p w14:paraId="79491A1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Кабина л удобна и просторна.</w:t>
      </w:r>
    </w:p>
    <w:p w14:paraId="047AFFD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взлете быстро отрывается с поднятым хвостом, в горизонтальном полете идет с отпущенной ручкой, устойчив во всех отношениях, управление мягкое, легкое.</w:t>
      </w:r>
    </w:p>
    <w:p w14:paraId="7DB5649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Испытания на штопор не проводились, но тенденции к срыву в штопор не отмечались.</w:t>
      </w:r>
    </w:p>
    <w:p w14:paraId="32E2043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Скороподъемнеость (14 мин на 500 м - удовлетворительна, потолок - 7000 м - тоже, скорость 259 - км/час мала. Причина- неудачная конструкция колес и большое сопротивление пушек. Тактическая дальность - 310 км - недостаточна.</w:t>
      </w:r>
    </w:p>
    <w:p w14:paraId="23C8DE3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Артвооружение испытания выдержало. Выстрелили 363 патрона. 19 задержек. Снятие и установка АПК-4бис - 15 минут и 2 чел-ка.</w:t>
      </w:r>
    </w:p>
    <w:p w14:paraId="6C02BAB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Мала емкость магазина - 7 на ствол, но Курчевский обещал 14.</w:t>
      </w:r>
    </w:p>
    <w:p w14:paraId="3FC15E7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7852A5D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 И-ЗЕТ с АПК м.б. принят на вооружение при условиях доработок с предъявлением модификации к 1 марта:</w:t>
      </w:r>
    </w:p>
    <w:p w14:paraId="15B03CE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увеличение скорости до 300 км/час,</w:t>
      </w:r>
    </w:p>
    <w:p w14:paraId="251D856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увеличение емкости баков, доведение к-ва снарядов до 20, установка электрооборудования и радио,</w:t>
      </w:r>
    </w:p>
    <w:p w14:paraId="789349D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увеличение прочности, т.к. после 300-500 выстрелов нуждался в ремонте, а хотели - 1000 (3996, 93).</w:t>
      </w:r>
    </w:p>
    <w:p w14:paraId="4585526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Стреляли в р-не Переяславля-залесского на берегу Плещеева озера. Испытывали два - № 39005 и 39010 с 4хАПК-4бис серийные.</w:t>
      </w:r>
    </w:p>
    <w:p w14:paraId="26B7901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Летали: А.Коротков, М.Сцельников (3996, 93).</w:t>
      </w:r>
    </w:p>
    <w:p w14:paraId="6B1F853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3345838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 года закончились гос. испытания серийного самолета «ЗЕТ» № 39010 с мотором ЮVI-9 Aq 480/560 НР № 42151, которые проходили с 14 сентября 1933 (6783).</w:t>
      </w:r>
    </w:p>
    <w:p w14:paraId="0CD41DC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40870A3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И. Холодов</w:t>
      </w:r>
    </w:p>
    <w:p w14:paraId="179F152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 Сцельников</w:t>
      </w:r>
    </w:p>
    <w:p w14:paraId="4CFA5B3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3B8A511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 с целью определения вопроса о целесообразности постройки самолетов и использования построенной малой серии.</w:t>
      </w:r>
    </w:p>
    <w:p w14:paraId="44554F0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17C55C18"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Построенные самолеты «ЗЕТ» вооруженные пушами АПК-4 бис и пулеметом ПВ-1 могут быть приняты на вооружение ВВС для получения летным составом тренировки в артиллерийской стрельбе и отработке тактики применения самолета с обязательным устранением на всех построенных самолетах дефектов.</w:t>
      </w:r>
    </w:p>
    <w:p w14:paraId="096AC01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p w14:paraId="5F56FA4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сентября 1933 года – самолет поступил в бригаду НИИ ВВС для прохождения гос. испытаний.</w:t>
      </w:r>
    </w:p>
    <w:p w14:paraId="26CB84A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сентября 1933 года – фактическое начало испытаний.</w:t>
      </w:r>
    </w:p>
    <w:p w14:paraId="68ACC9D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 года – фактическое окончание испытаний.</w:t>
      </w:r>
    </w:p>
    <w:p w14:paraId="47C9234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Фактически затрачено на испытание 17 календарных дней, из них:</w:t>
      </w:r>
    </w:p>
    <w:p w14:paraId="0A5AA47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было проведено в 7 летных дней.</w:t>
      </w:r>
    </w:p>
    <w:p w14:paraId="5264755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Налетано 16 час. 20 мин. (6783).</w:t>
      </w:r>
    </w:p>
    <w:p w14:paraId="72F6A46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0F0CA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 г. на аэродроме НИИ ВВС в Щелкове закончились государственные испытания самолета И-7 № 39 010, вооруженного серийными пушками АПК-4бис, которые шли с 14 сентября. Летал летчик Сцельников, общий налет составил 16 часов 20 минут.</w:t>
      </w:r>
    </w:p>
    <w:p w14:paraId="0B64D30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отчете по испытаниям указывалось, что самолет И-7 № 39 010 постройки авиазавода № 39 изготовлен по образцу опытного и в основных размерных параметрах от последнего не отклоняется. Кабина летчика удобна и просторна. На взлете И-7 быстро отрывается с поднятым хвостом, в горизонтальном полете идет с опущенной ручкой, устойчив во всех отношениях, управление мягкое и легкое. Испытания на штопор не производились, однако и тенденции к срыву в штопор не отмечалось.</w:t>
      </w:r>
    </w:p>
    <w:p w14:paraId="35FFCF1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результатам оценки летных данных отмечалось, что полученные данные скороподъемности (подъем на высоту 5000 м за 14 мин.) и потолка (7000 м) являются достаточно удовлетворительными. Полученное значение максимальной скорости 259 км/час совершенно недостаточное. Причина — неудачная конструкция колес и шасси, большое сопротивление пушек. Тактическая дальность действия самолета 310 км также признана недостаточной.</w:t>
      </w:r>
    </w:p>
    <w:p w14:paraId="31B782C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Комиссия записала в отчете, что артиллерийское вооружение И-7 испытания выдержало. Выстреляно 363 патрона, 19 патронов не было выстреляно из-за задержек. Снятие или установка АПК-4бис на самолет занимает 15 минут и производится силами не менее двух человек.</w:t>
      </w:r>
    </w:p>
    <w:p w14:paraId="6820468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Малая емкость магазинов — на две пушки всего 14 снарядов — оценивалась как недопустимая. Курчевский предполагал далее установить в крыле коробчатый магазин для 14 снарядов, но для АПК-4бис это сделано не было.</w:t>
      </w:r>
    </w:p>
    <w:p w14:paraId="393ECB7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заключении по результатам испытаний говорилось, что самолеты типа И-7 могут быть приняты на вооружение ВВС РККА при условии следующих доработок, с предъявлением модификации к 1 марта 1934 г.:</w:t>
      </w:r>
    </w:p>
    <w:p w14:paraId="39114C7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увеличение максимальной скорости до 300 км/час;</w:t>
      </w:r>
    </w:p>
    <w:p w14:paraId="67AEFA5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увеличение емкости бензобаков, доведения количества снарядов до 20 штук, установки электрооборудования и радио.</w:t>
      </w:r>
    </w:p>
    <w:p w14:paraId="3EC7EE7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Особым пунктом шло пожелание увеличить прочность самолета. Уже после 300–500 выстрелов конструкция истребителя нуждалась в ремонте, поэтому ВВС хотели довести живучесть И-7 до 1000 выстрелов.</w:t>
      </w:r>
    </w:p>
    <w:p w14:paraId="17154BC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Хотя местом проведения госиспытаний назывался аэродром НИИ ВВС, на самом деле из пушек стреляли совсем в другой местности — в районе Переславля-Залесского на берегу Плещеева озера. Кстати, испытания безоткатных орудий на этом озере проводились еще в сентябре 1924 г. Испытывались два самолета И-7 (№ 39 005 и № 39 010) с четырьмя серийными пушками АПК-4бис. Летали летчики А. Коротков и М. Сцельников. Из 147 патронов выстреляно 74, задержек — 18. Причины задержек: а) отказ воздушного клапана в механизме перезарядки; б) утыкание снаряда, поданного на лоток, в головку очередного снаряда; в) неполное сгорание нитроткани (12091).</w:t>
      </w:r>
    </w:p>
    <w:p w14:paraId="2708589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063AC5F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 г. начались летные испытания самолета И-15 "Чайка" конструкции Н.Н.Поликарпова. И-15 был принят на вооружение и запущен в производство, на то время он превосходил лучшие зарубежные образцы. (6395).</w:t>
      </w:r>
    </w:p>
    <w:p w14:paraId="17CA326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FD96A7" w14:textId="77777777" w:rsidR="00CF276A" w:rsidRPr="00C33834" w:rsidRDefault="00CF276A"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 xml:space="preserve">1 октября </w:t>
      </w:r>
      <w:r w:rsidRPr="00C33834">
        <w:rPr>
          <w:rFonts w:ascii="Times New Roman" w:hAnsi="Times New Roman"/>
          <w:color w:val="000000" w:themeColor="text1"/>
          <w:sz w:val="16"/>
          <w:szCs w:val="16"/>
        </w:rPr>
        <w:t>в 1933 году начались летные испытания самолета «И-15» "Чайка" конструкции Н.Н.Поликарпова. «И-15» был принят на вооружение и запущен в производство, на то время он превосходил лучшие зарубежные образцы (14786).</w:t>
      </w:r>
    </w:p>
    <w:p w14:paraId="158965B4" w14:textId="77777777" w:rsidR="00CF276A" w:rsidRPr="00C33834" w:rsidRDefault="00CF276A" w:rsidP="00C33834">
      <w:pPr>
        <w:spacing w:after="0" w:line="240" w:lineRule="auto"/>
        <w:jc w:val="both"/>
        <w:rPr>
          <w:rFonts w:ascii="Times New Roman" w:hAnsi="Times New Roman"/>
          <w:color w:val="000000" w:themeColor="text1"/>
          <w:sz w:val="16"/>
          <w:szCs w:val="16"/>
        </w:rPr>
      </w:pPr>
    </w:p>
    <w:p w14:paraId="530F667B" w14:textId="77777777" w:rsidR="00CF276A" w:rsidRPr="00C33834" w:rsidRDefault="00CF276A"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color w:val="000000" w:themeColor="text1"/>
          <w:sz w:val="16"/>
          <w:szCs w:val="16"/>
        </w:rPr>
        <w:t>1 октября 1933 г. Протокол ПБ № 146 п.25/133: О комиссии Мариамова - ОП. Решено: 1. Задачу комиссии Мариамова ограничить покупкой 20-30 моторов "Испано-Сюиза" 12-У с запчастями и инструментом и приобретением, в счет стоимости моторов, технической помощи фирмы на производство этих моторов в СССР. Комиссии изучить производство на заводе "Испано-Сюиза". 2. При ведении переговоров исходить ориентировочно из суммы 700-800 тысяч рублей и, во всяком случае, не свыше одного миллиона рублей, ограничив свои задачи установленными полномочиями (15883).</w:t>
      </w:r>
    </w:p>
    <w:p w14:paraId="10DB7073" w14:textId="77777777" w:rsidR="00CF276A" w:rsidRPr="00C33834" w:rsidRDefault="00CF276A" w:rsidP="00C33834">
      <w:pPr>
        <w:spacing w:after="0" w:line="240" w:lineRule="auto"/>
        <w:jc w:val="both"/>
        <w:rPr>
          <w:rFonts w:ascii="Times New Roman" w:hAnsi="Times New Roman"/>
          <w:iCs/>
          <w:color w:val="000000" w:themeColor="text1"/>
          <w:sz w:val="16"/>
          <w:szCs w:val="16"/>
        </w:rPr>
      </w:pPr>
    </w:p>
    <w:p w14:paraId="5096770F" w14:textId="77777777" w:rsidR="008C59D2" w:rsidRPr="00C33834" w:rsidRDefault="008C59D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октября 1933 состоялось заседание ПБ и был оформлен протокол № 146</w:t>
      </w:r>
    </w:p>
    <w:p w14:paraId="37626A18" w14:textId="77777777" w:rsidR="008C59D2" w:rsidRPr="00C33834" w:rsidRDefault="008C59D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О договоре с Люфтганзой</w:t>
      </w:r>
    </w:p>
    <w:p w14:paraId="558CE6EB" w14:textId="77777777" w:rsidR="008C59D2" w:rsidRPr="00C33834" w:rsidRDefault="008C59D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(т.т. Сокольников, Беленькии 3.).</w:t>
      </w:r>
    </w:p>
    <w:p w14:paraId="1983BB29" w14:textId="77777777" w:rsidR="008C59D2" w:rsidRPr="00C33834" w:rsidRDefault="008C59D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В принципе не возражать против предложения о тран</w:t>
      </w:r>
      <w:r w:rsidRPr="00C33834">
        <w:rPr>
          <w:rFonts w:ascii="Times New Roman" w:hAnsi="Times New Roman"/>
          <w:color w:val="0070C0"/>
          <w:sz w:val="16"/>
          <w:szCs w:val="16"/>
        </w:rPr>
        <w:softHyphen/>
        <w:t>зитной воздушной линии Москва-Синь-Цзянь.</w:t>
      </w:r>
    </w:p>
    <w:p w14:paraId="6DAFDC0C" w14:textId="77777777" w:rsidR="008C59D2" w:rsidRPr="00C33834" w:rsidRDefault="008C59D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Поручить комиссии в составе т.т.Уншлихта, Сокольнико ва, Беленького 3. и Элиавы обсудить вопрос и внести конкрет</w:t>
      </w:r>
      <w:r w:rsidRPr="00C33834">
        <w:rPr>
          <w:rFonts w:ascii="Times New Roman" w:hAnsi="Times New Roman"/>
          <w:color w:val="0070C0"/>
          <w:sz w:val="16"/>
          <w:szCs w:val="16"/>
        </w:rPr>
        <w:softHyphen/>
        <w:t>ные предложения.</w:t>
      </w:r>
    </w:p>
    <w:p w14:paraId="0E99B57E" w14:textId="77777777" w:rsidR="008C59D2" w:rsidRPr="00C33834" w:rsidRDefault="008C59D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Созыв комиссии за т. Уншлихтом.</w:t>
      </w:r>
    </w:p>
    <w:p w14:paraId="39D46370" w14:textId="77777777" w:rsidR="008C59D2" w:rsidRPr="00C33834" w:rsidRDefault="008C59D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т.т.Уншлихту, Сокольникову, Беленькому З., Элиаве.</w:t>
      </w:r>
    </w:p>
    <w:p w14:paraId="23F7902A" w14:textId="77777777" w:rsidR="008C59D2" w:rsidRPr="00C33834" w:rsidRDefault="008C59D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29 сентября 1933 опросом членов ПБ</w:t>
      </w:r>
    </w:p>
    <w:p w14:paraId="6B6251E1" w14:textId="77777777" w:rsidR="008C59D2" w:rsidRPr="00C33834" w:rsidRDefault="008C59D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26/133.-О комиссии Мариамова.</w:t>
      </w:r>
    </w:p>
    <w:p w14:paraId="35EC0E8A" w14:textId="77777777" w:rsidR="008C59D2" w:rsidRPr="00C33834" w:rsidRDefault="008C59D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Задачу комиссии т.Мариамова ограничить покупкой 20-30 моторов "Испано-Сюиза" 12-Уbrs с запчастями и инстру</w:t>
      </w:r>
      <w:r w:rsidRPr="00C33834">
        <w:rPr>
          <w:rFonts w:ascii="Times New Roman" w:hAnsi="Times New Roman"/>
          <w:color w:val="0070C0"/>
          <w:sz w:val="16"/>
          <w:szCs w:val="16"/>
        </w:rPr>
        <w:softHyphen/>
        <w:t>ментом и приобретением, в счет стоимости моторов, тех</w:t>
      </w:r>
      <w:r w:rsidRPr="00C33834">
        <w:rPr>
          <w:rFonts w:ascii="Times New Roman" w:hAnsi="Times New Roman"/>
          <w:color w:val="0070C0"/>
          <w:sz w:val="16"/>
          <w:szCs w:val="16"/>
        </w:rPr>
        <w:softHyphen/>
        <w:t>нической помощи фирмы на производство этих моторов в СССР. Комиссии изучить производство на заводе "Испано- Сюиза".</w:t>
      </w:r>
    </w:p>
    <w:p w14:paraId="3BF689E4" w14:textId="77777777" w:rsidR="008C59D2" w:rsidRPr="00C33834" w:rsidRDefault="008C59D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При ведении переговоров исходить ориентировочно из суммы 700-800 тысяч рублей и, во всяком случае, не свыше одного миллиона рублей, ограничив свои задачи установленными полномочиями.</w:t>
      </w:r>
    </w:p>
    <w:p w14:paraId="7C14CDC9" w14:textId="77777777" w:rsidR="008C59D2" w:rsidRPr="00C33834" w:rsidRDefault="008C59D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Выписка послана: т. Тухачевскому.</w:t>
      </w:r>
    </w:p>
    <w:p w14:paraId="45278FAE" w14:textId="77777777" w:rsidR="008C59D2" w:rsidRPr="00C33834" w:rsidRDefault="008C59D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26 сентября 1933 опросом членов ПБ</w:t>
      </w:r>
    </w:p>
    <w:p w14:paraId="19BFE333" w14:textId="77777777" w:rsidR="008C59D2" w:rsidRPr="00C33834" w:rsidRDefault="008C59D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130/94.- О прилете Латвийской-эскадрильи в Москву</w:t>
      </w:r>
    </w:p>
    <w:p w14:paraId="717BDEF6" w14:textId="77777777" w:rsidR="008C59D2" w:rsidRPr="00C33834" w:rsidRDefault="008C59D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разрешить прилет Латвийской эскадрильи в Москву.</w:t>
      </w:r>
    </w:p>
    <w:p w14:paraId="38256F7D" w14:textId="77777777" w:rsidR="008C59D2" w:rsidRPr="00C33834" w:rsidRDefault="008C59D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считать возможным на прилет Латвийской эскадрильи ответить соответствующим нашим поле</w:t>
      </w:r>
      <w:r w:rsidRPr="00C33834">
        <w:rPr>
          <w:rFonts w:ascii="Times New Roman" w:hAnsi="Times New Roman"/>
          <w:color w:val="0070C0"/>
          <w:sz w:val="16"/>
          <w:szCs w:val="16"/>
        </w:rPr>
        <w:softHyphen/>
        <w:t>том в Латвию.</w:t>
      </w:r>
    </w:p>
    <w:p w14:paraId="0F32EC73" w14:textId="77777777" w:rsidR="008C59D2" w:rsidRPr="00C33834" w:rsidRDefault="008C59D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Литвинову, Тухачевскому, Уншлихту, Артузову.</w:t>
      </w:r>
    </w:p>
    <w:p w14:paraId="2FA5A9AE" w14:textId="77777777" w:rsidR="008C59D2" w:rsidRPr="00C33834" w:rsidRDefault="008C59D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29 сентября 1933 опросом членов ПБ</w:t>
      </w:r>
    </w:p>
    <w:p w14:paraId="016B5101" w14:textId="77777777" w:rsidR="008C59D2" w:rsidRPr="00C33834" w:rsidRDefault="008C59D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178/161.- О прилете польской эскадрильи в Москву.</w:t>
      </w:r>
    </w:p>
    <w:p w14:paraId="0D0F5035" w14:textId="77777777" w:rsidR="008C59D2" w:rsidRPr="00C33834" w:rsidRDefault="008C59D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Не возражать против прилета польской эскад</w:t>
      </w:r>
      <w:r w:rsidRPr="00C33834">
        <w:rPr>
          <w:rFonts w:ascii="Times New Roman" w:hAnsi="Times New Roman"/>
          <w:color w:val="0070C0"/>
          <w:sz w:val="16"/>
          <w:szCs w:val="16"/>
        </w:rPr>
        <w:softHyphen/>
        <w:t>рильи в Москву.</w:t>
      </w:r>
    </w:p>
    <w:p w14:paraId="1F84C79D" w14:textId="77777777" w:rsidR="008C59D2" w:rsidRPr="00C33834" w:rsidRDefault="008C59D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досланы: т.т.Литвинову.Тухачевскому, Лртузову,Уншлихту (22996).</w:t>
      </w:r>
    </w:p>
    <w:p w14:paraId="43EAA684" w14:textId="77777777" w:rsidR="008C59D2" w:rsidRPr="00C33834" w:rsidRDefault="008C59D2" w:rsidP="00C33834">
      <w:pPr>
        <w:spacing w:after="0" w:line="240" w:lineRule="auto"/>
        <w:jc w:val="both"/>
        <w:rPr>
          <w:rFonts w:ascii="Times New Roman" w:hAnsi="Times New Roman"/>
          <w:color w:val="0070C0"/>
          <w:sz w:val="16"/>
          <w:szCs w:val="16"/>
        </w:rPr>
      </w:pPr>
    </w:p>
    <w:p w14:paraId="7DDAA069" w14:textId="77777777" w:rsidR="008C59D2" w:rsidRPr="00C33834" w:rsidRDefault="008C59D2"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 ГДЛ была преобразована в Ленинградское отделении РНИИ, но уже в октябре 1933 М.Тухачевский обратился к С.Орджоникидзе с просьбой принять РНИИ в НКТП (5380, 23).</w:t>
      </w:r>
    </w:p>
    <w:p w14:paraId="4748CEA3" w14:textId="77777777" w:rsidR="008C59D2" w:rsidRPr="00C33834" w:rsidRDefault="008C59D2" w:rsidP="00C33834">
      <w:pPr>
        <w:autoSpaceDE w:val="0"/>
        <w:autoSpaceDN w:val="0"/>
        <w:adjustRightInd w:val="0"/>
        <w:spacing w:after="0" w:line="240" w:lineRule="auto"/>
        <w:jc w:val="both"/>
        <w:rPr>
          <w:rFonts w:ascii="Times New Roman" w:hAnsi="Times New Roman"/>
          <w:color w:val="000000" w:themeColor="text1"/>
          <w:sz w:val="16"/>
          <w:szCs w:val="16"/>
        </w:rPr>
      </w:pPr>
    </w:p>
    <w:p w14:paraId="13A50261"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C58F1C5"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B3FE4B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 1 октября 1933 на Электрозаводе количество бригад сократилось до 365, но число занятых в них рабочих возросло до 5462, что составляло 62% всех рабочих завода, занятых на основных работах. К этому времени заводской и цеховой хозрасчёт отошли на вторые роли, на первый план был выдвинут хозрасчёт бригадный, однако и с последним дела не ладились. В объяснение столь неутешительных итогов заводоуправление привело следующие причины: </w:t>
      </w:r>
    </w:p>
    <w:p w14:paraId="1D3510C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Организационный разброд и разные ревизионистские настроения, стремящиеся оправдать этот разброд. </w:t>
      </w:r>
    </w:p>
    <w:p w14:paraId="17D157C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Рост рабочей силы, ведущий к снижению удельного веса охваченных хозрасчётными бригадами рабочих. </w:t>
      </w:r>
    </w:p>
    <w:p w14:paraId="5521D4B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 Бригадный хозрасчёт застыл в тех формах, которые он принял в середине 1932 г., хотя многое в нём уже изменилось. Основное было то, что организационная структура хозрасчётных бригад была недостаточно чёткая, недостаточно рациональная с токи зрения технологического процесса. Среднее число членов в бригаде по 4 основным заводам (АТЭ, Трансформаторный, Прожекторный, Ламповый) было 10–11 человек, а в Прожекторном – 6–7 человек, а при такой численности далеко не всюду бригада могла быть организована как следует. Превалировала организация бригады по принципу обработки какой-либо операции. Пример: деталь начата обработкой в бригаде № 19, затем она идёт в бригаду № 21, оттуда возвращается в бригаду № 19, а затем – в бригаду № 27, оттуда возвращается в бригаду № 21, затем – снова в бригаду № 19, потом – в бригаду № 27 и окончательная обработка – в бригаде № 25. </w:t>
      </w:r>
    </w:p>
    <w:p w14:paraId="0DEB809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Если в 1932 г. велась борьба и удалось изменить существующую практику многочисленных и многосменных бригад (в 50–70 человек), не считавшихся с техническими процессами и требовавших правильного хозрасчёта, то тут мы имеем дело с другой крайностью – размельчением бригад» (11564).</w:t>
      </w:r>
    </w:p>
    <w:p w14:paraId="1EB145E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11D44E7F" w14:textId="77777777" w:rsidR="00FE71E3" w:rsidRPr="00C33834" w:rsidRDefault="00FE71E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 г. ПБ рассмотрело вопрос об Уральском вагоностроительном заводе. Заместителю наркома тяжелой промышленности Пятакову было поручено «установить личное систематическое наблюдение за проведением всех директив по выполнению заданий строительства» и в конце ноября — декабре выехать на место. Различные задания получили также руководители Уральского обкома партии. Вновь рассмотреть вопрос о заводе было решено в декабре (Там же. Ф. 17. Оп. 3. Д. 931. Л. 3) (17281).</w:t>
      </w:r>
    </w:p>
    <w:p w14:paraId="18D416DC" w14:textId="77777777" w:rsidR="00FE71E3" w:rsidRPr="00C33834" w:rsidRDefault="00FE71E3" w:rsidP="00C33834">
      <w:pPr>
        <w:autoSpaceDE w:val="0"/>
        <w:autoSpaceDN w:val="0"/>
        <w:adjustRightInd w:val="0"/>
        <w:spacing w:after="0" w:line="240" w:lineRule="auto"/>
        <w:jc w:val="both"/>
        <w:rPr>
          <w:rFonts w:ascii="Times New Roman" w:hAnsi="Times New Roman"/>
          <w:color w:val="000000" w:themeColor="text1"/>
          <w:sz w:val="16"/>
          <w:szCs w:val="16"/>
        </w:rPr>
      </w:pPr>
    </w:p>
    <w:p w14:paraId="1B7DBCA8" w14:textId="77777777" w:rsidR="00CF276A" w:rsidRPr="00C33834" w:rsidRDefault="00CF276A"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bCs/>
          <w:iCs/>
          <w:color w:val="000000" w:themeColor="text1"/>
          <w:sz w:val="16"/>
          <w:szCs w:val="16"/>
        </w:rPr>
        <w:t>1 октября 1933 г.</w:t>
      </w:r>
      <w:r w:rsidRPr="00C33834">
        <w:rPr>
          <w:rFonts w:ascii="Times New Roman" w:hAnsi="Times New Roman"/>
          <w:color w:val="000000" w:themeColor="text1"/>
          <w:sz w:val="16"/>
          <w:szCs w:val="16"/>
        </w:rPr>
        <w:t xml:space="preserve"> Приказ начальника ВОХИМУ и химических войск РККА Я.М.Фишмана об организации на полигоне в Кузьминках (Москва) в связи с предстоящим в октябре Пленумом РВС СССР «</w:t>
      </w:r>
      <w:r w:rsidRPr="00C33834">
        <w:rPr>
          <w:rFonts w:ascii="Times New Roman" w:hAnsi="Times New Roman"/>
          <w:iCs/>
          <w:color w:val="000000" w:themeColor="text1"/>
          <w:sz w:val="16"/>
          <w:szCs w:val="16"/>
        </w:rPr>
        <w:t>демонстрации средств химического вооружения РККА</w:t>
      </w:r>
      <w:r w:rsidRPr="00C33834">
        <w:rPr>
          <w:rFonts w:ascii="Times New Roman" w:hAnsi="Times New Roman"/>
          <w:color w:val="000000" w:themeColor="text1"/>
          <w:sz w:val="16"/>
          <w:szCs w:val="16"/>
        </w:rPr>
        <w:t>». Демонстрация включала химическую атаку с использованием танков, химическую атаку с применением самолетов, бой боевой химической машины с танком, стрельбы химическими минами, преодоление войсками зараженного участка. Химическая атака с использованием танков так понравилась РВС СССР, что вскоре на полигон прибыли уже члены советского правительства во главе с И.В.Сталиным. Этот визит имел и практическое продолжение — уже в первые месяцы 1934 года на полигоне проходили первые испытания химического танка БТ, созданного в ударном порядке по совету товарища Сталина в качестве подарка к намечавшемуся XVII съезду ВКП(б) (17133).</w:t>
      </w:r>
    </w:p>
    <w:p w14:paraId="41BB3E7D" w14:textId="77777777" w:rsidR="00CF276A" w:rsidRPr="00C33834" w:rsidRDefault="00CF276A" w:rsidP="00C33834">
      <w:pPr>
        <w:shd w:val="clear" w:color="auto" w:fill="FFFFFF"/>
        <w:spacing w:after="0" w:line="240" w:lineRule="auto"/>
        <w:jc w:val="both"/>
        <w:rPr>
          <w:rFonts w:ascii="Times New Roman" w:hAnsi="Times New Roman"/>
          <w:color w:val="000000" w:themeColor="text1"/>
          <w:sz w:val="16"/>
          <w:szCs w:val="16"/>
        </w:rPr>
      </w:pPr>
    </w:p>
    <w:p w14:paraId="475929DC" w14:textId="77777777" w:rsidR="00CF276A" w:rsidRPr="00C33834" w:rsidRDefault="00CF276A" w:rsidP="00C33834">
      <w:pPr>
        <w:pStyle w:val="rtejustify"/>
        <w:spacing w:before="0" w:after="0"/>
        <w:rPr>
          <w:color w:val="000000" w:themeColor="text1"/>
          <w:sz w:val="16"/>
          <w:szCs w:val="16"/>
        </w:rPr>
      </w:pPr>
      <w:r w:rsidRPr="00C33834">
        <w:rPr>
          <w:rStyle w:val="af0"/>
          <w:bCs/>
          <w:i w:val="0"/>
          <w:color w:val="000000" w:themeColor="text1"/>
          <w:sz w:val="16"/>
          <w:szCs w:val="16"/>
        </w:rPr>
        <w:t>1 октября</w:t>
      </w:r>
      <w:r w:rsidRPr="00C33834">
        <w:rPr>
          <w:color w:val="000000" w:themeColor="text1"/>
          <w:sz w:val="16"/>
          <w:szCs w:val="16"/>
        </w:rPr>
        <w:t xml:space="preserve"> 1933. Протокол заседания Политбюро ЦК ВКП (б) № 146. </w:t>
      </w:r>
      <w:hyperlink r:id="rId334" w:anchor="showunit&amp;id=87865" w:history="1">
        <w:r w:rsidRPr="00C33834">
          <w:rPr>
            <w:rStyle w:val="a5"/>
            <w:color w:val="000000" w:themeColor="text1"/>
            <w:sz w:val="16"/>
            <w:szCs w:val="16"/>
          </w:rPr>
          <w:t>7. О договоре техпомощи с фирмой «Крупп-Грузонверк»</w:t>
        </w:r>
      </w:hyperlink>
      <w:r w:rsidRPr="00C33834">
        <w:rPr>
          <w:color w:val="000000" w:themeColor="text1"/>
          <w:sz w:val="16"/>
          <w:szCs w:val="16"/>
        </w:rPr>
        <w:t xml:space="preserve"> (Пятаков, Элиава). — ОП. Решено позволить Наркомату тяжелой промышленности заключить ликвидационное соглашение с фирмой “Крупп-Грузонверк” на основе уплаты последней, в качестве ликвидационной суммы, до 100 000 долларов. </w:t>
      </w:r>
      <w:hyperlink r:id="rId335" w:anchor="showunit&amp;id=87737" w:history="1">
        <w:r w:rsidRPr="00C33834">
          <w:rPr>
            <w:rStyle w:val="a5"/>
            <w:color w:val="000000" w:themeColor="text1"/>
            <w:sz w:val="16"/>
            <w:szCs w:val="16"/>
          </w:rPr>
          <w:t>12. Об импорте кабеля (Молотов)</w:t>
        </w:r>
      </w:hyperlink>
      <w:r w:rsidRPr="00C33834">
        <w:rPr>
          <w:color w:val="000000" w:themeColor="text1"/>
          <w:sz w:val="16"/>
          <w:szCs w:val="16"/>
        </w:rPr>
        <w:t xml:space="preserve"> (ПБ от 1 октября 1933 г.). — ОП. 25/133. О Комиссии Мариамова (ПБ от 29 сентября 1933 г.) — ОП. Решено утвердить следующее постановление СНК СССР: 1. Сверх утвержденного для текущего года плана ввоза цветных металлов, обязать наркома внешней торговли Розенгольца немедленно закупить по целевому фонду для нужд электростроительства 850 тонн меди и 1220 тонн свинца с тем, чтобы это количество было завезено в Союз не позже 1 ноября с. г. 2. Обязать Наркомат тяжелой промышленности обеспечить изготовление в текущем году на кабельных заводах сверх установленных фондов 3</w:t>
      </w:r>
      <w:r w:rsidRPr="00C33834">
        <w:rPr>
          <w:color w:val="000000" w:themeColor="text1"/>
          <w:sz w:val="16"/>
          <w:szCs w:val="16"/>
        </w:rPr>
        <w:noBreakHyphen/>
        <w:t xml:space="preserve">х кварталов для Главэнерго следующее количество кабеля за счет указанного импорта цветных металлов: контрольно-измерительного кабеля — 250 километров, кабеля СРГН — 220 км., силового кабеля — 300 км. </w:t>
      </w:r>
      <w:hyperlink r:id="rId336" w:anchor="showunit&amp;id=87897" w:history="1">
        <w:r w:rsidRPr="00C33834">
          <w:rPr>
            <w:rStyle w:val="a5"/>
            <w:color w:val="000000" w:themeColor="text1"/>
            <w:sz w:val="16"/>
            <w:szCs w:val="16"/>
          </w:rPr>
          <w:t>99/63. Об обеспечении безопасности полетов на самолетах</w:t>
        </w:r>
      </w:hyperlink>
      <w:r w:rsidRPr="00C33834">
        <w:rPr>
          <w:color w:val="000000" w:themeColor="text1"/>
          <w:sz w:val="16"/>
          <w:szCs w:val="16"/>
        </w:rPr>
        <w:t xml:space="preserve"> (ПБ от 11 сентября 1933 г., пр. № 145, п. 123/107), (ПБ от 22 сентября 1933 г.). Решено утвердить предложения комиссии Политбюро об обеспечении безопасности полетов на самолетах. </w:t>
      </w:r>
      <w:hyperlink r:id="rId337" w:anchor="showunit&amp;id=87806" w:history="1">
        <w:r w:rsidRPr="00C33834">
          <w:rPr>
            <w:rStyle w:val="a5"/>
            <w:color w:val="000000" w:themeColor="text1"/>
            <w:sz w:val="16"/>
            <w:szCs w:val="16"/>
          </w:rPr>
          <w:t>182/166. Вопрос КО</w:t>
        </w:r>
      </w:hyperlink>
      <w:r w:rsidRPr="00C33834">
        <w:rPr>
          <w:color w:val="000000" w:themeColor="text1"/>
          <w:sz w:val="16"/>
          <w:szCs w:val="16"/>
        </w:rPr>
        <w:t xml:space="preserve"> (ПБ от 29 сентября 1933 г.). — ОП. Решено утвердить постановление Комитета обороны об отпуске ВООМП (Всесоюзному объединению оптико-механической промышленности) 50 тысяч рублей валюты сверх контингента Наркомата тяжелой промышленности (15462).</w:t>
      </w:r>
    </w:p>
    <w:p w14:paraId="42A7BEB4" w14:textId="77777777" w:rsidR="00CF276A" w:rsidRPr="00C33834" w:rsidRDefault="00CF276A" w:rsidP="00C33834">
      <w:pPr>
        <w:pStyle w:val="rtejustify"/>
        <w:spacing w:before="0" w:after="0"/>
        <w:rPr>
          <w:color w:val="000000" w:themeColor="text1"/>
          <w:sz w:val="16"/>
          <w:szCs w:val="16"/>
        </w:rPr>
      </w:pPr>
    </w:p>
    <w:p w14:paraId="384BDACE" w14:textId="77777777" w:rsidR="001F72EB"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5115DB64"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E8E5AE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 было сформировано Управление и Штаб ВВС морских сил ДВ (2668).</w:t>
      </w:r>
    </w:p>
    <w:p w14:paraId="4642260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72B90F9D"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098E1A9"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415F25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октября 1933 Врид ГИ-М ВВС РККА Горощенко утвердил Заключение по эскизному проекту самолета И-16 с М-22 (2303,35):</w:t>
      </w:r>
    </w:p>
    <w:p w14:paraId="18FE438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ПРЕДСТАВЛЕННЫЕ НА РАССМОТРЕНИЕ МАТЕРИАЛЫ</w:t>
      </w:r>
    </w:p>
    <w:p w14:paraId="6D706E2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Материал представлен заволом № 39 не полностью по положению о прохождении опытных с-тов, утвержденному СТО от 7 мая 1932 г. за № 937/157</w:t>
      </w:r>
    </w:p>
    <w:p w14:paraId="0D3F84A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представлен: 1) Краткий аэродинамический расчет</w:t>
      </w:r>
    </w:p>
    <w:p w14:paraId="58D1898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Соответствие с техническими требованиями</w:t>
      </w:r>
    </w:p>
    <w:p w14:paraId="7996187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Летные данные и свойства</w:t>
      </w:r>
    </w:p>
    <w:p w14:paraId="0E34B8C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Основная летная характеристика</w:t>
      </w:r>
    </w:p>
    <w:p w14:paraId="17A1DC1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Скрость на 0</w:t>
      </w:r>
      <w:r w:rsidRPr="00C33834">
        <w:rPr>
          <w:rFonts w:ascii="Times New Roman" w:hAnsi="Times New Roman"/>
          <w:color w:val="000000" w:themeColor="text1"/>
          <w:sz w:val="16"/>
          <w:szCs w:val="16"/>
        </w:rPr>
        <w:tab/>
        <w:t>345</w:t>
      </w:r>
    </w:p>
    <w:p w14:paraId="3785863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на 3000</w:t>
      </w:r>
      <w:r w:rsidRPr="00C33834">
        <w:rPr>
          <w:rFonts w:ascii="Times New Roman" w:hAnsi="Times New Roman"/>
          <w:color w:val="000000" w:themeColor="text1"/>
          <w:sz w:val="16"/>
          <w:szCs w:val="16"/>
        </w:rPr>
        <w:tab/>
        <w:t>320</w:t>
      </w:r>
    </w:p>
    <w:p w14:paraId="187A013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на 5000</w:t>
      </w:r>
      <w:r w:rsidRPr="00C33834">
        <w:rPr>
          <w:rFonts w:ascii="Times New Roman" w:hAnsi="Times New Roman"/>
          <w:color w:val="000000" w:themeColor="text1"/>
          <w:sz w:val="16"/>
          <w:szCs w:val="16"/>
        </w:rPr>
        <w:tab/>
        <w:t>300</w:t>
      </w:r>
    </w:p>
    <w:p w14:paraId="1B8D2E5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r w:rsidRPr="00C33834">
        <w:rPr>
          <w:rFonts w:ascii="Times New Roman" w:hAnsi="Times New Roman"/>
          <w:color w:val="000000" w:themeColor="text1"/>
          <w:sz w:val="16"/>
          <w:szCs w:val="16"/>
        </w:rPr>
        <w:tab/>
        <w:t>6700</w:t>
      </w:r>
    </w:p>
    <w:p w14:paraId="123687A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набора 5000</w:t>
      </w:r>
      <w:r w:rsidRPr="00C33834">
        <w:rPr>
          <w:rFonts w:ascii="Times New Roman" w:hAnsi="Times New Roman"/>
          <w:color w:val="000000" w:themeColor="text1"/>
          <w:sz w:val="16"/>
          <w:szCs w:val="16"/>
        </w:rPr>
        <w:tab/>
        <w:t>10-11</w:t>
      </w:r>
    </w:p>
    <w:p w14:paraId="50FF14A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Посадочная скорость 100-105</w:t>
      </w:r>
    </w:p>
    <w:p w14:paraId="64C7C4E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Расхождение с требованиями по следующим пунктам: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F26F01" w:rsidRPr="00C33834" w14:paraId="1A1BBCBE" w14:textId="77777777">
        <w:tc>
          <w:tcPr>
            <w:tcW w:w="2802" w:type="dxa"/>
            <w:tcBorders>
              <w:top w:val="single" w:sz="12" w:space="0" w:color="auto"/>
            </w:tcBorders>
          </w:tcPr>
          <w:p w14:paraId="5ED985E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tcPr>
          <w:p w14:paraId="59F3647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ТТТ</w:t>
            </w:r>
          </w:p>
        </w:tc>
        <w:tc>
          <w:tcPr>
            <w:tcW w:w="2802" w:type="dxa"/>
            <w:tcBorders>
              <w:top w:val="single" w:sz="12" w:space="0" w:color="auto"/>
            </w:tcBorders>
          </w:tcPr>
          <w:p w14:paraId="6961BF6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эскизному проекту</w:t>
            </w:r>
          </w:p>
        </w:tc>
        <w:tc>
          <w:tcPr>
            <w:tcW w:w="2802" w:type="dxa"/>
            <w:tcBorders>
              <w:top w:val="single" w:sz="12" w:space="0" w:color="auto"/>
            </w:tcBorders>
          </w:tcPr>
          <w:p w14:paraId="65F8EFF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tc>
      </w:tr>
      <w:tr w:rsidR="00F26F01" w:rsidRPr="00C33834" w14:paraId="64A20651" w14:textId="77777777">
        <w:tc>
          <w:tcPr>
            <w:tcW w:w="2802" w:type="dxa"/>
          </w:tcPr>
          <w:p w14:paraId="352473D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на 5000 м</w:t>
            </w:r>
          </w:p>
        </w:tc>
        <w:tc>
          <w:tcPr>
            <w:tcW w:w="2802" w:type="dxa"/>
          </w:tcPr>
          <w:p w14:paraId="527D603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7,5-8</w:t>
            </w:r>
          </w:p>
        </w:tc>
        <w:tc>
          <w:tcPr>
            <w:tcW w:w="2802" w:type="dxa"/>
          </w:tcPr>
          <w:p w14:paraId="2EE0042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10-11</w:t>
            </w:r>
          </w:p>
        </w:tc>
        <w:tc>
          <w:tcPr>
            <w:tcW w:w="2802" w:type="dxa"/>
          </w:tcPr>
          <w:p w14:paraId="630C298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6BDA5B4" w14:textId="77777777">
        <w:tc>
          <w:tcPr>
            <w:tcW w:w="2802" w:type="dxa"/>
          </w:tcPr>
          <w:p w14:paraId="36D94F4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Разбег</w:t>
            </w:r>
          </w:p>
        </w:tc>
        <w:tc>
          <w:tcPr>
            <w:tcW w:w="2802" w:type="dxa"/>
          </w:tcPr>
          <w:p w14:paraId="49C4432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c>
          <w:tcPr>
            <w:tcW w:w="2802" w:type="dxa"/>
          </w:tcPr>
          <w:p w14:paraId="0951AEA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Несколько больше</w:t>
            </w:r>
          </w:p>
        </w:tc>
        <w:tc>
          <w:tcPr>
            <w:tcW w:w="2802" w:type="dxa"/>
          </w:tcPr>
          <w:p w14:paraId="1DA6E57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Подсчет не дан</w:t>
            </w:r>
          </w:p>
        </w:tc>
      </w:tr>
      <w:tr w:rsidR="00F26F01" w:rsidRPr="00C33834" w14:paraId="3AC0058D" w14:textId="77777777">
        <w:tc>
          <w:tcPr>
            <w:tcW w:w="2802" w:type="dxa"/>
          </w:tcPr>
          <w:p w14:paraId="548AA8F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Запаздывание после 6 витков штопора</w:t>
            </w:r>
          </w:p>
        </w:tc>
        <w:tc>
          <w:tcPr>
            <w:tcW w:w="2802" w:type="dxa"/>
          </w:tcPr>
          <w:p w14:paraId="66808C2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0,5 вит.</w:t>
            </w:r>
          </w:p>
        </w:tc>
        <w:tc>
          <w:tcPr>
            <w:tcW w:w="2802" w:type="dxa"/>
          </w:tcPr>
          <w:p w14:paraId="6C8E9DF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2802" w:type="dxa"/>
          </w:tcPr>
          <w:p w14:paraId="36501EF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ЦКБ гарантирует только свободный вход и выход</w:t>
            </w:r>
          </w:p>
        </w:tc>
      </w:tr>
      <w:tr w:rsidR="00F26F01" w:rsidRPr="00C33834" w14:paraId="09EBDA54" w14:textId="77777777">
        <w:tc>
          <w:tcPr>
            <w:tcW w:w="2802" w:type="dxa"/>
            <w:tcBorders>
              <w:bottom w:val="single" w:sz="12" w:space="0" w:color="auto"/>
            </w:tcBorders>
          </w:tcPr>
          <w:p w14:paraId="73A1D1A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Давление на ручку при управлении</w:t>
            </w:r>
          </w:p>
        </w:tc>
        <w:tc>
          <w:tcPr>
            <w:tcW w:w="2802" w:type="dxa"/>
            <w:tcBorders>
              <w:bottom w:val="single" w:sz="12" w:space="0" w:color="auto"/>
            </w:tcBorders>
          </w:tcPr>
          <w:p w14:paraId="21F5E9C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0,5-1 кг</w:t>
            </w:r>
          </w:p>
        </w:tc>
        <w:tc>
          <w:tcPr>
            <w:tcW w:w="2802" w:type="dxa"/>
            <w:tcBorders>
              <w:bottom w:val="single" w:sz="12" w:space="0" w:color="auto"/>
            </w:tcBorders>
          </w:tcPr>
          <w:p w14:paraId="72169B4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bottom w:val="single" w:sz="12" w:space="0" w:color="auto"/>
            </w:tcBorders>
          </w:tcPr>
          <w:p w14:paraId="685116F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ЦКБ цифр не дает</w:t>
            </w:r>
          </w:p>
        </w:tc>
      </w:tr>
    </w:tbl>
    <w:p w14:paraId="38238A0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Вывод:</w:t>
      </w:r>
    </w:p>
    <w:p w14:paraId="467218C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отношении летных данных с-та И-16, ЦКБ полностью удовлетворяет основному пункут (требования скорости на 5000 м). Уменьшение скороподъемности (второе по определению требований) все же выходит из допустимых границ.</w:t>
      </w:r>
    </w:p>
    <w:p w14:paraId="222CC6D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нагрузкам</w:t>
      </w:r>
    </w:p>
    <w:p w14:paraId="2AD5AD7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Расхождение против требований выражается в 5.2 кг</w:t>
      </w:r>
    </w:p>
    <w:p w14:paraId="626D0D1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Получается за счет точнения весов вооружения и несъемных деталей крепления оборудования</w:t>
      </w:r>
    </w:p>
    <w:p w14:paraId="0C9B26A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конструкции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F26F01" w:rsidRPr="00C33834" w14:paraId="5623EB5C" w14:textId="77777777">
        <w:tc>
          <w:tcPr>
            <w:tcW w:w="5605" w:type="dxa"/>
            <w:tcBorders>
              <w:top w:val="single" w:sz="12" w:space="0" w:color="auto"/>
            </w:tcBorders>
          </w:tcPr>
          <w:p w14:paraId="3726E0E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Редакция требования</w:t>
            </w:r>
          </w:p>
        </w:tc>
        <w:tc>
          <w:tcPr>
            <w:tcW w:w="5605" w:type="dxa"/>
            <w:tcBorders>
              <w:top w:val="single" w:sz="12" w:space="0" w:color="auto"/>
            </w:tcBorders>
          </w:tcPr>
          <w:p w14:paraId="69900BD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Редакция завода № 39</w:t>
            </w:r>
          </w:p>
        </w:tc>
      </w:tr>
      <w:tr w:rsidR="00F26F01" w:rsidRPr="00C33834" w14:paraId="4784DF64" w14:textId="77777777">
        <w:tc>
          <w:tcPr>
            <w:tcW w:w="5605" w:type="dxa"/>
          </w:tcPr>
          <w:p w14:paraId="3B090C9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 при каких режимах полета не должны возникать вибрации оперения и крыльев</w:t>
            </w:r>
          </w:p>
        </w:tc>
        <w:tc>
          <w:tcPr>
            <w:tcW w:w="5605" w:type="dxa"/>
          </w:tcPr>
          <w:p w14:paraId="6535442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 при каких режимах полета не должны возникать вибрации оперения и крыльев, опасные для полета</w:t>
            </w:r>
          </w:p>
        </w:tc>
      </w:tr>
      <w:tr w:rsidR="00F26F01" w:rsidRPr="00C33834" w14:paraId="3606521F" w14:textId="77777777">
        <w:tc>
          <w:tcPr>
            <w:tcW w:w="5605" w:type="dxa"/>
          </w:tcPr>
          <w:p w14:paraId="4F7ADAE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Капотирование мотора должно обеспечивать возможность просмотра без снятия капотов фильтров, карбюратора и других</w:t>
            </w:r>
          </w:p>
        </w:tc>
        <w:tc>
          <w:tcPr>
            <w:tcW w:w="5605" w:type="dxa"/>
          </w:tcPr>
          <w:p w14:paraId="372C355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установки кольца НАКА требование выполнено быть не может</w:t>
            </w:r>
          </w:p>
        </w:tc>
      </w:tr>
      <w:tr w:rsidR="00F26F01" w:rsidRPr="00C33834" w14:paraId="30FC98AA" w14:textId="77777777">
        <w:tc>
          <w:tcPr>
            <w:tcW w:w="5605" w:type="dxa"/>
          </w:tcPr>
          <w:p w14:paraId="2B89461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Снятие капота не должно отнимать времени более 3-х минут, закопачивание - 5 минут</w:t>
            </w:r>
          </w:p>
        </w:tc>
        <w:tc>
          <w:tcPr>
            <w:tcW w:w="5605" w:type="dxa"/>
          </w:tcPr>
          <w:p w14:paraId="4C53414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Выдержать время по ТТ ЦКБ не может, но будет стремиться обеспечить наименьшее время на снятие и установку</w:t>
            </w:r>
          </w:p>
        </w:tc>
      </w:tr>
      <w:tr w:rsidR="00F26F01" w:rsidRPr="00C33834" w14:paraId="76D545D0" w14:textId="77777777">
        <w:tc>
          <w:tcPr>
            <w:tcW w:w="5605" w:type="dxa"/>
            <w:tcBorders>
              <w:bottom w:val="single" w:sz="12" w:space="0" w:color="auto"/>
            </w:tcBorders>
          </w:tcPr>
          <w:p w14:paraId="657970F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 при каких режимах работы мотора не должны наблюдаться вибрации отдельных элементов конструкции с-та</w:t>
            </w:r>
          </w:p>
        </w:tc>
        <w:tc>
          <w:tcPr>
            <w:tcW w:w="5605" w:type="dxa"/>
            <w:tcBorders>
              <w:bottom w:val="single" w:sz="12" w:space="0" w:color="auto"/>
            </w:tcBorders>
          </w:tcPr>
          <w:p w14:paraId="7EF0CC2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 при каких режимах работы мотора не должны наблюдаться вибрации отдельных элементов конструкции с-та, опасные для полета</w:t>
            </w:r>
          </w:p>
        </w:tc>
      </w:tr>
    </w:tbl>
    <w:p w14:paraId="6EE445C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Выводы:</w:t>
      </w:r>
    </w:p>
    <w:p w14:paraId="4654ED6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Учитывая установку на с-те капота НАКА (техтребования были даны с учетом кольца Тауненда) можно согласиться с невыполнением требования к времени снятия и установки капота</w:t>
      </w:r>
    </w:p>
    <w:p w14:paraId="4325799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Ввиду невозможности при проектировании гарантировать полное отсутствие вибраций отдельных элементов куонструкции с-та, можно согласиться с редакцией завода, что степень опасности вибраций, будут таковые, будет определена на заводских испытаниях.</w:t>
      </w:r>
    </w:p>
    <w:p w14:paraId="0FB66D8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Сравнение с одноместными истребителями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tblGrid>
      <w:tr w:rsidR="00F26F01" w:rsidRPr="00C33834" w14:paraId="195BFBAB" w14:textId="77777777">
        <w:tc>
          <w:tcPr>
            <w:tcW w:w="1127" w:type="dxa"/>
          </w:tcPr>
          <w:p w14:paraId="6494751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E5CAAC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И-16</w:t>
            </w:r>
          </w:p>
        </w:tc>
        <w:tc>
          <w:tcPr>
            <w:tcW w:w="1127" w:type="dxa"/>
          </w:tcPr>
          <w:p w14:paraId="3411643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 оп.</w:t>
            </w:r>
          </w:p>
        </w:tc>
        <w:tc>
          <w:tcPr>
            <w:tcW w:w="1127" w:type="dxa"/>
          </w:tcPr>
          <w:p w14:paraId="1A3DB75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 1933</w:t>
            </w:r>
          </w:p>
        </w:tc>
        <w:tc>
          <w:tcPr>
            <w:tcW w:w="1127" w:type="dxa"/>
          </w:tcPr>
          <w:p w14:paraId="4CAE808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И-16</w:t>
            </w:r>
          </w:p>
        </w:tc>
        <w:tc>
          <w:tcPr>
            <w:tcW w:w="1127" w:type="dxa"/>
          </w:tcPr>
          <w:p w14:paraId="5D84CC2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пр.</w:t>
            </w:r>
          </w:p>
        </w:tc>
        <w:tc>
          <w:tcPr>
            <w:tcW w:w="1127" w:type="dxa"/>
          </w:tcPr>
          <w:p w14:paraId="4A98AE3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Виккерс</w:t>
            </w:r>
          </w:p>
        </w:tc>
        <w:tc>
          <w:tcPr>
            <w:tcW w:w="1127" w:type="dxa"/>
          </w:tcPr>
          <w:p w14:paraId="5E612B3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Девуатин</w:t>
            </w:r>
          </w:p>
        </w:tc>
        <w:tc>
          <w:tcPr>
            <w:tcW w:w="1127" w:type="dxa"/>
          </w:tcPr>
          <w:p w14:paraId="50C464C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Кертис</w:t>
            </w:r>
          </w:p>
        </w:tc>
      </w:tr>
      <w:tr w:rsidR="00F26F01" w:rsidRPr="00C33834" w14:paraId="28BC223F" w14:textId="77777777">
        <w:tc>
          <w:tcPr>
            <w:tcW w:w="1127" w:type="dxa"/>
          </w:tcPr>
          <w:p w14:paraId="78D297E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219548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0CC851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11B09E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5583D3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530127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Джойс</w:t>
            </w:r>
          </w:p>
        </w:tc>
        <w:tc>
          <w:tcPr>
            <w:tcW w:w="1127" w:type="dxa"/>
          </w:tcPr>
          <w:p w14:paraId="6041F3C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Д-37</w:t>
            </w:r>
          </w:p>
        </w:tc>
        <w:tc>
          <w:tcPr>
            <w:tcW w:w="1127" w:type="dxa"/>
          </w:tcPr>
          <w:p w14:paraId="5D3276E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4096D8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Хаук</w:t>
            </w:r>
          </w:p>
        </w:tc>
      </w:tr>
      <w:tr w:rsidR="00F26F01" w:rsidRPr="00C33834" w14:paraId="4D6ED539" w14:textId="77777777">
        <w:tc>
          <w:tcPr>
            <w:tcW w:w="1127" w:type="dxa"/>
          </w:tcPr>
          <w:p w14:paraId="547A9FE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w:t>
            </w:r>
          </w:p>
        </w:tc>
        <w:tc>
          <w:tcPr>
            <w:tcW w:w="1127" w:type="dxa"/>
          </w:tcPr>
          <w:p w14:paraId="7F564D8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127" w:type="dxa"/>
          </w:tcPr>
          <w:p w14:paraId="2CE8BBE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127" w:type="dxa"/>
          </w:tcPr>
          <w:p w14:paraId="777DB65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127" w:type="dxa"/>
          </w:tcPr>
          <w:p w14:paraId="2CC8A8C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РЦФ-3</w:t>
            </w:r>
          </w:p>
        </w:tc>
        <w:tc>
          <w:tcPr>
            <w:tcW w:w="1127" w:type="dxa"/>
          </w:tcPr>
          <w:p w14:paraId="2900BD1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C6284B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A8AB2F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Мистраль</w:t>
            </w:r>
          </w:p>
        </w:tc>
        <w:tc>
          <w:tcPr>
            <w:tcW w:w="1127" w:type="dxa"/>
          </w:tcPr>
          <w:p w14:paraId="06001D4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РЦ</w:t>
            </w:r>
          </w:p>
        </w:tc>
      </w:tr>
      <w:tr w:rsidR="00F26F01" w:rsidRPr="00C33834" w14:paraId="56EAE727" w14:textId="77777777">
        <w:tc>
          <w:tcPr>
            <w:tcW w:w="1127" w:type="dxa"/>
          </w:tcPr>
          <w:p w14:paraId="2FF6D5A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 на 5000</w:t>
            </w:r>
          </w:p>
        </w:tc>
        <w:tc>
          <w:tcPr>
            <w:tcW w:w="1127" w:type="dxa"/>
          </w:tcPr>
          <w:p w14:paraId="2B6F61B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127" w:type="dxa"/>
          </w:tcPr>
          <w:p w14:paraId="6B04F24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252</w:t>
            </w:r>
          </w:p>
        </w:tc>
        <w:tc>
          <w:tcPr>
            <w:tcW w:w="1127" w:type="dxa"/>
          </w:tcPr>
          <w:p w14:paraId="37CFD2E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242</w:t>
            </w:r>
          </w:p>
        </w:tc>
        <w:tc>
          <w:tcPr>
            <w:tcW w:w="1127" w:type="dxa"/>
          </w:tcPr>
          <w:p w14:paraId="3ADBCA6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405</w:t>
            </w:r>
          </w:p>
        </w:tc>
        <w:tc>
          <w:tcPr>
            <w:tcW w:w="1127" w:type="dxa"/>
          </w:tcPr>
          <w:p w14:paraId="1CF0B85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360</w:t>
            </w:r>
          </w:p>
        </w:tc>
        <w:tc>
          <w:tcPr>
            <w:tcW w:w="1127" w:type="dxa"/>
          </w:tcPr>
          <w:p w14:paraId="59DDDE0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371</w:t>
            </w:r>
          </w:p>
        </w:tc>
        <w:tc>
          <w:tcPr>
            <w:tcW w:w="1127" w:type="dxa"/>
          </w:tcPr>
          <w:p w14:paraId="2F9B209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385</w:t>
            </w:r>
          </w:p>
        </w:tc>
        <w:tc>
          <w:tcPr>
            <w:tcW w:w="1127" w:type="dxa"/>
          </w:tcPr>
          <w:p w14:paraId="6D3CF75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281</w:t>
            </w:r>
          </w:p>
        </w:tc>
      </w:tr>
      <w:tr w:rsidR="00F26F01" w:rsidRPr="00C33834" w14:paraId="62315C7D" w14:textId="77777777">
        <w:tc>
          <w:tcPr>
            <w:tcW w:w="1127" w:type="dxa"/>
          </w:tcPr>
          <w:p w14:paraId="0CB2B5E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 на 5000</w:t>
            </w:r>
          </w:p>
        </w:tc>
        <w:tc>
          <w:tcPr>
            <w:tcW w:w="1127" w:type="dxa"/>
          </w:tcPr>
          <w:p w14:paraId="3EF87C7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10-11</w:t>
            </w:r>
          </w:p>
        </w:tc>
        <w:tc>
          <w:tcPr>
            <w:tcW w:w="1127" w:type="dxa"/>
          </w:tcPr>
          <w:p w14:paraId="5DCBA12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8:58</w:t>
            </w:r>
          </w:p>
        </w:tc>
        <w:tc>
          <w:tcPr>
            <w:tcW w:w="1127" w:type="dxa"/>
          </w:tcPr>
          <w:p w14:paraId="67F1DFF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11:30</w:t>
            </w:r>
          </w:p>
        </w:tc>
        <w:tc>
          <w:tcPr>
            <w:tcW w:w="1127" w:type="dxa"/>
          </w:tcPr>
          <w:p w14:paraId="452999D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10-10.5</w:t>
            </w:r>
          </w:p>
        </w:tc>
        <w:tc>
          <w:tcPr>
            <w:tcW w:w="1127" w:type="dxa"/>
          </w:tcPr>
          <w:p w14:paraId="67FF8CC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9:30</w:t>
            </w:r>
          </w:p>
        </w:tc>
        <w:tc>
          <w:tcPr>
            <w:tcW w:w="1127" w:type="dxa"/>
          </w:tcPr>
          <w:p w14:paraId="51C930B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w:t>
            </w:r>
          </w:p>
        </w:tc>
        <w:tc>
          <w:tcPr>
            <w:tcW w:w="1127" w:type="dxa"/>
          </w:tcPr>
          <w:p w14:paraId="2E5EEF0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1127" w:type="dxa"/>
          </w:tcPr>
          <w:p w14:paraId="0B05379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r>
      <w:tr w:rsidR="00F26F01" w:rsidRPr="00C33834" w14:paraId="78FF6E88" w14:textId="77777777">
        <w:tc>
          <w:tcPr>
            <w:tcW w:w="1127" w:type="dxa"/>
          </w:tcPr>
          <w:p w14:paraId="1AB604B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1127" w:type="dxa"/>
          </w:tcPr>
          <w:p w14:paraId="53DEFFF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6700</w:t>
            </w:r>
          </w:p>
        </w:tc>
        <w:tc>
          <w:tcPr>
            <w:tcW w:w="1127" w:type="dxa"/>
          </w:tcPr>
          <w:p w14:paraId="2D0ECF1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8200</w:t>
            </w:r>
          </w:p>
        </w:tc>
        <w:tc>
          <w:tcPr>
            <w:tcW w:w="1127" w:type="dxa"/>
          </w:tcPr>
          <w:p w14:paraId="2C2BAB2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2252C6E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9200</w:t>
            </w:r>
          </w:p>
        </w:tc>
        <w:tc>
          <w:tcPr>
            <w:tcW w:w="1127" w:type="dxa"/>
          </w:tcPr>
          <w:p w14:paraId="5CA622F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8500</w:t>
            </w:r>
          </w:p>
        </w:tc>
        <w:tc>
          <w:tcPr>
            <w:tcW w:w="1127" w:type="dxa"/>
          </w:tcPr>
          <w:p w14:paraId="6C97AE9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11000</w:t>
            </w:r>
          </w:p>
        </w:tc>
        <w:tc>
          <w:tcPr>
            <w:tcW w:w="1127" w:type="dxa"/>
          </w:tcPr>
          <w:p w14:paraId="12121A1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11500</w:t>
            </w:r>
          </w:p>
        </w:tc>
        <w:tc>
          <w:tcPr>
            <w:tcW w:w="1127" w:type="dxa"/>
          </w:tcPr>
          <w:p w14:paraId="5B80D88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8150</w:t>
            </w:r>
          </w:p>
        </w:tc>
      </w:tr>
      <w:tr w:rsidR="00F26F01" w:rsidRPr="00C33834" w14:paraId="238F5CC4" w14:textId="77777777">
        <w:tc>
          <w:tcPr>
            <w:tcW w:w="1127" w:type="dxa"/>
          </w:tcPr>
          <w:p w14:paraId="7A40602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пуст.</w:t>
            </w:r>
          </w:p>
        </w:tc>
        <w:tc>
          <w:tcPr>
            <w:tcW w:w="1127" w:type="dxa"/>
          </w:tcPr>
          <w:p w14:paraId="12B57EA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938</w:t>
            </w:r>
          </w:p>
        </w:tc>
        <w:tc>
          <w:tcPr>
            <w:tcW w:w="1127" w:type="dxa"/>
          </w:tcPr>
          <w:p w14:paraId="57C989D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852</w:t>
            </w:r>
          </w:p>
        </w:tc>
        <w:tc>
          <w:tcPr>
            <w:tcW w:w="1127" w:type="dxa"/>
          </w:tcPr>
          <w:p w14:paraId="69B9D28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1002</w:t>
            </w:r>
          </w:p>
        </w:tc>
        <w:tc>
          <w:tcPr>
            <w:tcW w:w="1127" w:type="dxa"/>
          </w:tcPr>
          <w:p w14:paraId="18CE3B3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938</w:t>
            </w:r>
          </w:p>
        </w:tc>
        <w:tc>
          <w:tcPr>
            <w:tcW w:w="1127" w:type="dxa"/>
          </w:tcPr>
          <w:p w14:paraId="3AC2935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950</w:t>
            </w:r>
          </w:p>
        </w:tc>
        <w:tc>
          <w:tcPr>
            <w:tcW w:w="1127" w:type="dxa"/>
          </w:tcPr>
          <w:p w14:paraId="559B025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1080</w:t>
            </w:r>
          </w:p>
        </w:tc>
        <w:tc>
          <w:tcPr>
            <w:tcW w:w="1127" w:type="dxa"/>
          </w:tcPr>
          <w:p w14:paraId="36B6858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1173</w:t>
            </w:r>
          </w:p>
        </w:tc>
        <w:tc>
          <w:tcPr>
            <w:tcW w:w="1127" w:type="dxa"/>
          </w:tcPr>
          <w:p w14:paraId="132C3F9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1145</w:t>
            </w:r>
          </w:p>
        </w:tc>
      </w:tr>
      <w:tr w:rsidR="00F26F01" w:rsidRPr="00C33834" w14:paraId="48B27CC9" w14:textId="77777777">
        <w:tc>
          <w:tcPr>
            <w:tcW w:w="1127" w:type="dxa"/>
          </w:tcPr>
          <w:p w14:paraId="4DE6A2C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полетн.</w:t>
            </w:r>
          </w:p>
        </w:tc>
        <w:tc>
          <w:tcPr>
            <w:tcW w:w="1127" w:type="dxa"/>
          </w:tcPr>
          <w:p w14:paraId="24002C8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1330</w:t>
            </w:r>
          </w:p>
        </w:tc>
        <w:tc>
          <w:tcPr>
            <w:tcW w:w="1127" w:type="dxa"/>
          </w:tcPr>
          <w:p w14:paraId="35B9D8C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1262</w:t>
            </w:r>
          </w:p>
        </w:tc>
        <w:tc>
          <w:tcPr>
            <w:tcW w:w="1127" w:type="dxa"/>
          </w:tcPr>
          <w:p w14:paraId="35BEA6B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1414</w:t>
            </w:r>
          </w:p>
        </w:tc>
        <w:tc>
          <w:tcPr>
            <w:tcW w:w="1127" w:type="dxa"/>
          </w:tcPr>
          <w:p w14:paraId="6E0F3C9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1330</w:t>
            </w:r>
          </w:p>
        </w:tc>
        <w:tc>
          <w:tcPr>
            <w:tcW w:w="1127" w:type="dxa"/>
          </w:tcPr>
          <w:p w14:paraId="5994FCF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1360</w:t>
            </w:r>
          </w:p>
        </w:tc>
        <w:tc>
          <w:tcPr>
            <w:tcW w:w="1127" w:type="dxa"/>
          </w:tcPr>
          <w:p w14:paraId="43BA91B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1486</w:t>
            </w:r>
          </w:p>
        </w:tc>
        <w:tc>
          <w:tcPr>
            <w:tcW w:w="1127" w:type="dxa"/>
          </w:tcPr>
          <w:p w14:paraId="6773D89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1630</w:t>
            </w:r>
          </w:p>
        </w:tc>
        <w:tc>
          <w:tcPr>
            <w:tcW w:w="1127" w:type="dxa"/>
          </w:tcPr>
          <w:p w14:paraId="6249EA6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1467</w:t>
            </w:r>
          </w:p>
        </w:tc>
      </w:tr>
    </w:tbl>
    <w:p w14:paraId="0269FF2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Вывод:</w:t>
      </w:r>
    </w:p>
    <w:p w14:paraId="376EC76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С-т И-16 в сравнении с И-5 имеющим такой же мотор в отношении горизонтальной скорости дает скачек на 20% (60 км)</w:t>
      </w:r>
    </w:p>
    <w:p w14:paraId="2FE559E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отношении скороподъемности находится на уровне эталона 1933 г.</w:t>
      </w:r>
    </w:p>
    <w:p w14:paraId="0CB77B7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Сравнивая И-16 с РЦФ3 с современными истребителями с воздушным мотором, получаем, что И-16 также значительно превосходит таковые</w:t>
      </w:r>
    </w:p>
    <w:p w14:paraId="7609528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Оценка схемы и конструкции с-та</w:t>
      </w:r>
    </w:p>
    <w:p w14:paraId="5EB1243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Вибрация схемы низкокрылого моноплана с убирающимся шасси вполне соответствует основным требованиям, предъявляемым к самолету.</w:t>
      </w:r>
    </w:p>
    <w:p w14:paraId="4CC7645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Для опытного экземпляра нужно остановиться на капоте НАКА, как дающем больший выигрыш в скорости, хотя и за счет некоторого ухудшения эксплоатационной стороны.</w:t>
      </w:r>
    </w:p>
    <w:p w14:paraId="1860477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Общий вывод:</w:t>
      </w:r>
    </w:p>
    <w:p w14:paraId="40A1E05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Рассматривая И-16 с М-22 как более близкий к серийному выпуску вариант (обеспечен отечественным мотором) нужно признать, что:</w:t>
      </w:r>
    </w:p>
    <w:p w14:paraId="1D275F9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По своей схеме и аэродинамическим формам И-16 полностью соответствует сновному, предъявленному к нему требованию.</w:t>
      </w:r>
    </w:p>
    <w:p w14:paraId="0A8AE75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 летным данным даже с невысотным мотором становится на уровень, близкий к современным заграничным с-там истребителям и представляет значительный сдвиг по скорости с имеющимися у нас на вооружении истребителями.</w:t>
      </w:r>
    </w:p>
    <w:p w14:paraId="0DDACDE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1E18E43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Предъявленную боевую схему И-16 с мотором М-22 - утвердить.</w:t>
      </w:r>
    </w:p>
    <w:p w14:paraId="3BF7E3A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Считать необходимым опытный экземпляр выпустить с капотом N АС"а, дублер же с кольцом ТАУЭНДА с целью всестороннего сравнения выгод и недостатков присущих тому и другому типу.</w:t>
      </w:r>
    </w:p>
    <w:p w14:paraId="2FE5570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Считать возможным согласиться с ЦКБ завода N 39 в отношении отклонения техтребований перечисленных в разделе 2-го пункта А 9стр. 1) (2303,30).</w:t>
      </w:r>
    </w:p>
    <w:p w14:paraId="0C49A8A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00D8C09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октября 1933 Врид ГИ-М ВВС РККА Горощенко утвердил Заключение по эскизному проекту самолета И-16 с М-22 (2303,35):</w:t>
      </w:r>
    </w:p>
    <w:p w14:paraId="16619FE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Предъявленную боевую схему И-16 с мотором М-22 - утвердить.</w:t>
      </w:r>
    </w:p>
    <w:p w14:paraId="3A41019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Считать необходимым опытный экземпляр выпустить с капотом N АС"а, дублер же с кольцом ТАУЭНДА с целью всестороннего сравнения выгод и недостатков присущих тому и другому типу.</w:t>
      </w:r>
    </w:p>
    <w:p w14:paraId="6AE7EA6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Считать возможным согласиться с ЦКБ завода N 39 в отношении отклонения техтребований перечисленных в разделе 2-го пункта А 9стр. 1) (2303,30).</w:t>
      </w:r>
    </w:p>
    <w:p w14:paraId="5E18EF2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Сравнение с одноместными истребителями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tblGrid>
      <w:tr w:rsidR="00F26F01" w:rsidRPr="00C33834" w14:paraId="22BA2223" w14:textId="77777777">
        <w:tc>
          <w:tcPr>
            <w:tcW w:w="1127" w:type="dxa"/>
          </w:tcPr>
          <w:p w14:paraId="7D9A79F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A45BC5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И-16</w:t>
            </w:r>
          </w:p>
        </w:tc>
        <w:tc>
          <w:tcPr>
            <w:tcW w:w="1127" w:type="dxa"/>
          </w:tcPr>
          <w:p w14:paraId="5056434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 оп.</w:t>
            </w:r>
          </w:p>
        </w:tc>
        <w:tc>
          <w:tcPr>
            <w:tcW w:w="1127" w:type="dxa"/>
          </w:tcPr>
          <w:p w14:paraId="185F91B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 1933</w:t>
            </w:r>
          </w:p>
        </w:tc>
        <w:tc>
          <w:tcPr>
            <w:tcW w:w="1127" w:type="dxa"/>
          </w:tcPr>
          <w:p w14:paraId="2566300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И-16</w:t>
            </w:r>
          </w:p>
        </w:tc>
        <w:tc>
          <w:tcPr>
            <w:tcW w:w="1127" w:type="dxa"/>
          </w:tcPr>
          <w:p w14:paraId="5C4CB9B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пр.</w:t>
            </w:r>
          </w:p>
        </w:tc>
        <w:tc>
          <w:tcPr>
            <w:tcW w:w="1127" w:type="dxa"/>
          </w:tcPr>
          <w:p w14:paraId="067D2DB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Виккерс</w:t>
            </w:r>
          </w:p>
        </w:tc>
        <w:tc>
          <w:tcPr>
            <w:tcW w:w="1127" w:type="dxa"/>
          </w:tcPr>
          <w:p w14:paraId="0B4ED07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Девуатин</w:t>
            </w:r>
          </w:p>
        </w:tc>
        <w:tc>
          <w:tcPr>
            <w:tcW w:w="1127" w:type="dxa"/>
          </w:tcPr>
          <w:p w14:paraId="699F638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Кертис</w:t>
            </w:r>
          </w:p>
        </w:tc>
      </w:tr>
      <w:tr w:rsidR="00F26F01" w:rsidRPr="00C33834" w14:paraId="4AFBF35C" w14:textId="77777777">
        <w:tc>
          <w:tcPr>
            <w:tcW w:w="1127" w:type="dxa"/>
          </w:tcPr>
          <w:p w14:paraId="59BC685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BFC94D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3E7133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2D9CCC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8928C7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922BF3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Джойс</w:t>
            </w:r>
          </w:p>
        </w:tc>
        <w:tc>
          <w:tcPr>
            <w:tcW w:w="1127" w:type="dxa"/>
          </w:tcPr>
          <w:p w14:paraId="550D831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Д-37</w:t>
            </w:r>
          </w:p>
        </w:tc>
        <w:tc>
          <w:tcPr>
            <w:tcW w:w="1127" w:type="dxa"/>
          </w:tcPr>
          <w:p w14:paraId="026B878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23A8B3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Хаук</w:t>
            </w:r>
          </w:p>
        </w:tc>
      </w:tr>
      <w:tr w:rsidR="00F26F01" w:rsidRPr="00C33834" w14:paraId="6076B97F" w14:textId="77777777">
        <w:tc>
          <w:tcPr>
            <w:tcW w:w="1127" w:type="dxa"/>
          </w:tcPr>
          <w:p w14:paraId="3EB3DF5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w:t>
            </w:r>
          </w:p>
        </w:tc>
        <w:tc>
          <w:tcPr>
            <w:tcW w:w="1127" w:type="dxa"/>
          </w:tcPr>
          <w:p w14:paraId="158B30E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127" w:type="dxa"/>
          </w:tcPr>
          <w:p w14:paraId="17DF8E7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127" w:type="dxa"/>
          </w:tcPr>
          <w:p w14:paraId="7668694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127" w:type="dxa"/>
          </w:tcPr>
          <w:p w14:paraId="1E9CB08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РЦФ-3</w:t>
            </w:r>
          </w:p>
        </w:tc>
        <w:tc>
          <w:tcPr>
            <w:tcW w:w="1127" w:type="dxa"/>
          </w:tcPr>
          <w:p w14:paraId="7C2CE0C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0B7A21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FD2DD0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Мистраль</w:t>
            </w:r>
          </w:p>
        </w:tc>
        <w:tc>
          <w:tcPr>
            <w:tcW w:w="1127" w:type="dxa"/>
          </w:tcPr>
          <w:p w14:paraId="5775E24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РЦ</w:t>
            </w:r>
          </w:p>
        </w:tc>
      </w:tr>
      <w:tr w:rsidR="00F26F01" w:rsidRPr="00C33834" w14:paraId="0C0F6910" w14:textId="77777777">
        <w:tc>
          <w:tcPr>
            <w:tcW w:w="1127" w:type="dxa"/>
          </w:tcPr>
          <w:p w14:paraId="45B7391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 на 5000</w:t>
            </w:r>
          </w:p>
        </w:tc>
        <w:tc>
          <w:tcPr>
            <w:tcW w:w="1127" w:type="dxa"/>
          </w:tcPr>
          <w:p w14:paraId="21152BA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127" w:type="dxa"/>
          </w:tcPr>
          <w:p w14:paraId="44385D6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252</w:t>
            </w:r>
          </w:p>
        </w:tc>
        <w:tc>
          <w:tcPr>
            <w:tcW w:w="1127" w:type="dxa"/>
          </w:tcPr>
          <w:p w14:paraId="41648AB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242</w:t>
            </w:r>
          </w:p>
        </w:tc>
        <w:tc>
          <w:tcPr>
            <w:tcW w:w="1127" w:type="dxa"/>
          </w:tcPr>
          <w:p w14:paraId="492B6FB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405</w:t>
            </w:r>
          </w:p>
        </w:tc>
        <w:tc>
          <w:tcPr>
            <w:tcW w:w="1127" w:type="dxa"/>
          </w:tcPr>
          <w:p w14:paraId="2268BCE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360</w:t>
            </w:r>
          </w:p>
        </w:tc>
        <w:tc>
          <w:tcPr>
            <w:tcW w:w="1127" w:type="dxa"/>
          </w:tcPr>
          <w:p w14:paraId="2722ECF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371</w:t>
            </w:r>
          </w:p>
        </w:tc>
        <w:tc>
          <w:tcPr>
            <w:tcW w:w="1127" w:type="dxa"/>
          </w:tcPr>
          <w:p w14:paraId="01E88DE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385</w:t>
            </w:r>
          </w:p>
        </w:tc>
        <w:tc>
          <w:tcPr>
            <w:tcW w:w="1127" w:type="dxa"/>
          </w:tcPr>
          <w:p w14:paraId="519995A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281</w:t>
            </w:r>
          </w:p>
        </w:tc>
      </w:tr>
      <w:tr w:rsidR="00F26F01" w:rsidRPr="00C33834" w14:paraId="003203AD" w14:textId="77777777">
        <w:tc>
          <w:tcPr>
            <w:tcW w:w="1127" w:type="dxa"/>
          </w:tcPr>
          <w:p w14:paraId="463E4E2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 на 5000</w:t>
            </w:r>
          </w:p>
        </w:tc>
        <w:tc>
          <w:tcPr>
            <w:tcW w:w="1127" w:type="dxa"/>
          </w:tcPr>
          <w:p w14:paraId="5F49D32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10-11</w:t>
            </w:r>
          </w:p>
        </w:tc>
        <w:tc>
          <w:tcPr>
            <w:tcW w:w="1127" w:type="dxa"/>
          </w:tcPr>
          <w:p w14:paraId="2E35C7C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8:58</w:t>
            </w:r>
          </w:p>
        </w:tc>
        <w:tc>
          <w:tcPr>
            <w:tcW w:w="1127" w:type="dxa"/>
          </w:tcPr>
          <w:p w14:paraId="603EAE0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11:30</w:t>
            </w:r>
          </w:p>
        </w:tc>
        <w:tc>
          <w:tcPr>
            <w:tcW w:w="1127" w:type="dxa"/>
          </w:tcPr>
          <w:p w14:paraId="5FA7495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10-10.5</w:t>
            </w:r>
          </w:p>
        </w:tc>
        <w:tc>
          <w:tcPr>
            <w:tcW w:w="1127" w:type="dxa"/>
          </w:tcPr>
          <w:p w14:paraId="2FB55FA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9:30</w:t>
            </w:r>
          </w:p>
        </w:tc>
        <w:tc>
          <w:tcPr>
            <w:tcW w:w="1127" w:type="dxa"/>
          </w:tcPr>
          <w:p w14:paraId="5C245E3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w:t>
            </w:r>
          </w:p>
        </w:tc>
        <w:tc>
          <w:tcPr>
            <w:tcW w:w="1127" w:type="dxa"/>
          </w:tcPr>
          <w:p w14:paraId="7A3F532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1127" w:type="dxa"/>
          </w:tcPr>
          <w:p w14:paraId="6A66AE1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r>
      <w:tr w:rsidR="00F26F01" w:rsidRPr="00C33834" w14:paraId="08109317" w14:textId="77777777">
        <w:tc>
          <w:tcPr>
            <w:tcW w:w="1127" w:type="dxa"/>
          </w:tcPr>
          <w:p w14:paraId="19C3AA5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1127" w:type="dxa"/>
          </w:tcPr>
          <w:p w14:paraId="026B733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6700</w:t>
            </w:r>
          </w:p>
        </w:tc>
        <w:tc>
          <w:tcPr>
            <w:tcW w:w="1127" w:type="dxa"/>
          </w:tcPr>
          <w:p w14:paraId="6F2F435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8200</w:t>
            </w:r>
          </w:p>
        </w:tc>
        <w:tc>
          <w:tcPr>
            <w:tcW w:w="1127" w:type="dxa"/>
          </w:tcPr>
          <w:p w14:paraId="0336A45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7" w:type="dxa"/>
          </w:tcPr>
          <w:p w14:paraId="624BBB2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9200</w:t>
            </w:r>
          </w:p>
        </w:tc>
        <w:tc>
          <w:tcPr>
            <w:tcW w:w="1127" w:type="dxa"/>
          </w:tcPr>
          <w:p w14:paraId="0E58AD2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8500</w:t>
            </w:r>
          </w:p>
        </w:tc>
        <w:tc>
          <w:tcPr>
            <w:tcW w:w="1127" w:type="dxa"/>
          </w:tcPr>
          <w:p w14:paraId="7AF8838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11000</w:t>
            </w:r>
          </w:p>
        </w:tc>
        <w:tc>
          <w:tcPr>
            <w:tcW w:w="1127" w:type="dxa"/>
          </w:tcPr>
          <w:p w14:paraId="2ADB506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11500</w:t>
            </w:r>
          </w:p>
        </w:tc>
        <w:tc>
          <w:tcPr>
            <w:tcW w:w="1127" w:type="dxa"/>
          </w:tcPr>
          <w:p w14:paraId="3AA932D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8150</w:t>
            </w:r>
          </w:p>
        </w:tc>
      </w:tr>
      <w:tr w:rsidR="00F26F01" w:rsidRPr="00C33834" w14:paraId="38C3E043" w14:textId="77777777">
        <w:tc>
          <w:tcPr>
            <w:tcW w:w="1127" w:type="dxa"/>
          </w:tcPr>
          <w:p w14:paraId="7EE78E2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пуст.</w:t>
            </w:r>
          </w:p>
        </w:tc>
        <w:tc>
          <w:tcPr>
            <w:tcW w:w="1127" w:type="dxa"/>
          </w:tcPr>
          <w:p w14:paraId="144656B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938</w:t>
            </w:r>
          </w:p>
        </w:tc>
        <w:tc>
          <w:tcPr>
            <w:tcW w:w="1127" w:type="dxa"/>
          </w:tcPr>
          <w:p w14:paraId="6979D32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852</w:t>
            </w:r>
          </w:p>
        </w:tc>
        <w:tc>
          <w:tcPr>
            <w:tcW w:w="1127" w:type="dxa"/>
          </w:tcPr>
          <w:p w14:paraId="01A6076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1002</w:t>
            </w:r>
          </w:p>
        </w:tc>
        <w:tc>
          <w:tcPr>
            <w:tcW w:w="1127" w:type="dxa"/>
          </w:tcPr>
          <w:p w14:paraId="5977203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938</w:t>
            </w:r>
          </w:p>
        </w:tc>
        <w:tc>
          <w:tcPr>
            <w:tcW w:w="1127" w:type="dxa"/>
          </w:tcPr>
          <w:p w14:paraId="4A1C768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950</w:t>
            </w:r>
          </w:p>
        </w:tc>
        <w:tc>
          <w:tcPr>
            <w:tcW w:w="1127" w:type="dxa"/>
          </w:tcPr>
          <w:p w14:paraId="40FB674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1080</w:t>
            </w:r>
          </w:p>
        </w:tc>
        <w:tc>
          <w:tcPr>
            <w:tcW w:w="1127" w:type="dxa"/>
          </w:tcPr>
          <w:p w14:paraId="07B66AB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1173</w:t>
            </w:r>
          </w:p>
        </w:tc>
        <w:tc>
          <w:tcPr>
            <w:tcW w:w="1127" w:type="dxa"/>
          </w:tcPr>
          <w:p w14:paraId="7C28800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1145</w:t>
            </w:r>
          </w:p>
        </w:tc>
      </w:tr>
      <w:tr w:rsidR="00F26F01" w:rsidRPr="00C33834" w14:paraId="7563C283" w14:textId="77777777">
        <w:tc>
          <w:tcPr>
            <w:tcW w:w="1127" w:type="dxa"/>
          </w:tcPr>
          <w:p w14:paraId="4D7F36D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полетн.</w:t>
            </w:r>
          </w:p>
        </w:tc>
        <w:tc>
          <w:tcPr>
            <w:tcW w:w="1127" w:type="dxa"/>
          </w:tcPr>
          <w:p w14:paraId="2467C16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1330</w:t>
            </w:r>
          </w:p>
        </w:tc>
        <w:tc>
          <w:tcPr>
            <w:tcW w:w="1127" w:type="dxa"/>
          </w:tcPr>
          <w:p w14:paraId="3B736A7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1262</w:t>
            </w:r>
          </w:p>
        </w:tc>
        <w:tc>
          <w:tcPr>
            <w:tcW w:w="1127" w:type="dxa"/>
          </w:tcPr>
          <w:p w14:paraId="55C7BC6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1414</w:t>
            </w:r>
          </w:p>
        </w:tc>
        <w:tc>
          <w:tcPr>
            <w:tcW w:w="1127" w:type="dxa"/>
          </w:tcPr>
          <w:p w14:paraId="6A93BA9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1330</w:t>
            </w:r>
          </w:p>
        </w:tc>
        <w:tc>
          <w:tcPr>
            <w:tcW w:w="1127" w:type="dxa"/>
          </w:tcPr>
          <w:p w14:paraId="4069563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1360</w:t>
            </w:r>
          </w:p>
        </w:tc>
        <w:tc>
          <w:tcPr>
            <w:tcW w:w="1127" w:type="dxa"/>
          </w:tcPr>
          <w:p w14:paraId="241E753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1486</w:t>
            </w:r>
          </w:p>
        </w:tc>
        <w:tc>
          <w:tcPr>
            <w:tcW w:w="1127" w:type="dxa"/>
          </w:tcPr>
          <w:p w14:paraId="3F84BAD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1630</w:t>
            </w:r>
          </w:p>
        </w:tc>
        <w:tc>
          <w:tcPr>
            <w:tcW w:w="1127" w:type="dxa"/>
          </w:tcPr>
          <w:p w14:paraId="6201AD5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1467</w:t>
            </w:r>
          </w:p>
        </w:tc>
      </w:tr>
    </w:tbl>
    <w:p w14:paraId="0F2A089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Главный вывод, что И-16 с М-22 все равно надо делать, т.к. это лучшая машина с отечественным мотором (2393,32).</w:t>
      </w:r>
    </w:p>
    <w:p w14:paraId="5A992D9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41773A1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октября 1933 г. главный инженер-ме</w:t>
      </w:r>
      <w:r w:rsidRPr="00C33834">
        <w:rPr>
          <w:rFonts w:ascii="Times New Roman" w:hAnsi="Times New Roman"/>
          <w:color w:val="000000" w:themeColor="text1"/>
          <w:sz w:val="16"/>
          <w:szCs w:val="16"/>
        </w:rPr>
        <w:softHyphen/>
        <w:t>ханик ВВС РККА Б.Т.Горощенко, впоследствии профессор ВВА им. проф. Н.Е.Жуковского, видный уче</w:t>
      </w:r>
      <w:r w:rsidRPr="00C33834">
        <w:rPr>
          <w:rFonts w:ascii="Times New Roman" w:hAnsi="Times New Roman"/>
          <w:color w:val="000000" w:themeColor="text1"/>
          <w:sz w:val="16"/>
          <w:szCs w:val="16"/>
        </w:rPr>
        <w:softHyphen/>
        <w:t>ный в области динамики полета и аэродинамического расчета самолетов утвердил заключения по эскизному проекту И-16 с мотором М-22 написанное ВРИД начальника 7-го сектора НИИ ВВС Н.А.Жемчу-жиным. Дать официальный заказ на постройку истреби</w:t>
      </w:r>
      <w:r w:rsidRPr="00C33834">
        <w:rPr>
          <w:rFonts w:ascii="Times New Roman" w:hAnsi="Times New Roman"/>
          <w:color w:val="000000" w:themeColor="text1"/>
          <w:sz w:val="16"/>
          <w:szCs w:val="16"/>
        </w:rPr>
        <w:softHyphen/>
        <w:t>теля И-16 ВВС вынуди</w:t>
      </w:r>
      <w:r w:rsidRPr="00C33834">
        <w:rPr>
          <w:rFonts w:ascii="Times New Roman" w:hAnsi="Times New Roman"/>
          <w:color w:val="000000" w:themeColor="text1"/>
          <w:sz w:val="16"/>
          <w:szCs w:val="16"/>
        </w:rPr>
        <w:softHyphen/>
        <w:t>ли задержки с проведением заводских испытаний И-14 и передачей его на государственные испытания. В документе были зафиксированы следующие рас</w:t>
      </w:r>
      <w:r w:rsidRPr="00C33834">
        <w:rPr>
          <w:rFonts w:ascii="Times New Roman" w:hAnsi="Times New Roman"/>
          <w:color w:val="000000" w:themeColor="text1"/>
          <w:sz w:val="16"/>
          <w:szCs w:val="16"/>
        </w:rPr>
        <w:softHyphen/>
        <w:t>четные характеристики истребителя: максимальная скорость у земли - 345 км/ч, скорость на высоте 3000 м - 320 км/ч, на высоте 5000 м - 300 км/ч, время набора высоты 5000 м - 10-11 мин. После анализа характерис</w:t>
      </w:r>
      <w:r w:rsidRPr="00C33834">
        <w:rPr>
          <w:rFonts w:ascii="Times New Roman" w:hAnsi="Times New Roman"/>
          <w:color w:val="000000" w:themeColor="text1"/>
          <w:sz w:val="16"/>
          <w:szCs w:val="16"/>
        </w:rPr>
        <w:softHyphen/>
        <w:t>тик отечественных и зарубежных опытных и серийных одноместных истребителей были сделаны следующие выводы:</w:t>
      </w:r>
    </w:p>
    <w:p w14:paraId="15FD948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«Рассматривая самолет И-16 с мотором М-22 как бо</w:t>
      </w:r>
      <w:r w:rsidRPr="00C33834">
        <w:rPr>
          <w:rFonts w:ascii="Times New Roman" w:hAnsi="Times New Roman"/>
          <w:color w:val="000000" w:themeColor="text1"/>
          <w:sz w:val="16"/>
          <w:szCs w:val="16"/>
        </w:rPr>
        <w:softHyphen/>
        <w:t>лее близкий к серийному выпуску вариант (обеспечен</w:t>
      </w:r>
      <w:r w:rsidRPr="00C33834">
        <w:rPr>
          <w:rFonts w:ascii="Times New Roman" w:hAnsi="Times New Roman"/>
          <w:color w:val="000000" w:themeColor="text1"/>
          <w:sz w:val="16"/>
          <w:szCs w:val="16"/>
        </w:rPr>
        <w:softHyphen/>
        <w:t>ный отечественным мотором), нужно признать, что:</w:t>
      </w:r>
    </w:p>
    <w:p w14:paraId="3C389E2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По своей схеме и аэродинамическим формам са</w:t>
      </w:r>
      <w:r w:rsidRPr="00C33834">
        <w:rPr>
          <w:rFonts w:ascii="Times New Roman" w:hAnsi="Times New Roman"/>
          <w:color w:val="000000" w:themeColor="text1"/>
          <w:sz w:val="16"/>
          <w:szCs w:val="16"/>
        </w:rPr>
        <w:softHyphen/>
        <w:t>молет И-16 полностью соответствует основному предъ</w:t>
      </w:r>
      <w:r w:rsidRPr="00C33834">
        <w:rPr>
          <w:rFonts w:ascii="Times New Roman" w:hAnsi="Times New Roman"/>
          <w:color w:val="000000" w:themeColor="text1"/>
          <w:sz w:val="16"/>
          <w:szCs w:val="16"/>
        </w:rPr>
        <w:softHyphen/>
        <w:t>явленному к нему требованию - скорости.</w:t>
      </w:r>
    </w:p>
    <w:p w14:paraId="6318B34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 летным данным даже с невысотным мотором становится на уровне, близком к современным загра</w:t>
      </w:r>
      <w:r w:rsidRPr="00C33834">
        <w:rPr>
          <w:rFonts w:ascii="Times New Roman" w:hAnsi="Times New Roman"/>
          <w:color w:val="000000" w:themeColor="text1"/>
          <w:sz w:val="16"/>
          <w:szCs w:val="16"/>
        </w:rPr>
        <w:softHyphen/>
        <w:t>ничным истребителям, и представляет значительный сдвиг по скорости с имеющимися у нас на вооружении истребителями...» (10667).</w:t>
      </w:r>
    </w:p>
    <w:p w14:paraId="45A1CA6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6ADFEDE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октября 1934 года С.Н.Анохин выполнил исключительный по смелости эксперимент по испытанию планера "Рот-Фронт-1 " с преднамеренным разрушением в воздухе. Эксперимент был задуман учёными и конструкторами ЦАГИ. По расчётам известного учёно-го-аэродинамика В.П.Ветчинкина, планер должен был разрушиться на скорости 220 км/ч. По мнению другой группы учёных, в числе которых был конструктор планера О.К.Антонов, это должно было произойти на скорости около 300 км/ч. При испытании в воздухе планер разрушился на скорости, очень близкой к той, которую рассчитал Ветчинкин. Анохин благополучно спасся на парашюте (5996).</w:t>
      </w:r>
    </w:p>
    <w:p w14:paraId="2BB667C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0FB7DAE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 по 15 октября 1933 проводились наземные гос. испытания ж/д торпед ЖДТ-1 и ЖДТ-3 системы Бродского, изготовленных КБ N 5 УВИ НВ РККА, предназначаемые для поражения ж/д составов, бронепоездов и мостов при воздушно-десантных операциях.</w:t>
      </w:r>
    </w:p>
    <w:p w14:paraId="1B552D0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Место испытаний - предварительных земных и воздушных в Москве</w:t>
      </w:r>
    </w:p>
    <w:p w14:paraId="2DAC407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Земных испытаний - в Ильино на научно-испытательном ж/д полигоне</w:t>
      </w:r>
    </w:p>
    <w:p w14:paraId="44325C3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5B097AC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Выявить возможность применения указанных торпед ЖДТ-1 (ЖДТ-3) при десантных операциях для разрушения ж/д составов, бронепоездов, путей и мостов, в частности:</w:t>
      </w:r>
    </w:p>
    <w:p w14:paraId="15B836B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а) Удобство подвески торпед под самолетом (с использованием существующих держателей на самолете).</w:t>
      </w:r>
    </w:p>
    <w:p w14:paraId="57176E6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Установку на ж/д полотно после падения и потребное число обслуживающего персонала.</w:t>
      </w:r>
    </w:p>
    <w:p w14:paraId="38F27B0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Техническое устройство торпед (действие механизмов).</w:t>
      </w:r>
    </w:p>
    <w:p w14:paraId="49664B5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Устойчивость торпед в пути (при разных закруглениях профиля пути).</w:t>
      </w:r>
    </w:p>
    <w:p w14:paraId="7465A20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Среднюю скорость передвижения торпеды по ж/д полотну и ее максимальный радиус действия.</w:t>
      </w:r>
    </w:p>
    <w:p w14:paraId="7A0684D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 Характер разрушительного действия торпеды (ЖДТ-3).</w:t>
      </w:r>
    </w:p>
    <w:p w14:paraId="67232E4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Полученные результаты должны дать возможность судить о целесообразности производства войсковых испытаний и дать конструктивные изменения, которые должны быть внесены в этом случае.</w:t>
      </w:r>
    </w:p>
    <w:p w14:paraId="4BB2611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Выводы</w:t>
      </w:r>
    </w:p>
    <w:p w14:paraId="15434AE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ЖДТ-1 и ЖДТ-3 испытания выдержали. Необходимо произвести войсковые испытания (3853).</w:t>
      </w:r>
    </w:p>
    <w:p w14:paraId="519E604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43E173FE" w14:textId="77777777" w:rsidR="00585A9A" w:rsidRPr="00C33834" w:rsidRDefault="001A42D5" w:rsidP="00C3383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B2BA114" w14:textId="77777777" w:rsidR="00585A9A" w:rsidRPr="00C33834" w:rsidRDefault="00585A9A" w:rsidP="00C3383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3CF52E3" w14:textId="77777777" w:rsidR="00CF276A" w:rsidRPr="00C33834" w:rsidRDefault="00CF276A" w:rsidP="00C33834">
      <w:pPr>
        <w:pStyle w:val="rtejustify"/>
        <w:spacing w:before="0" w:after="0"/>
        <w:rPr>
          <w:color w:val="000000" w:themeColor="text1"/>
          <w:sz w:val="16"/>
          <w:szCs w:val="16"/>
        </w:rPr>
      </w:pPr>
      <w:r w:rsidRPr="00C33834">
        <w:rPr>
          <w:color w:val="000000" w:themeColor="text1"/>
          <w:sz w:val="16"/>
          <w:szCs w:val="16"/>
        </w:rPr>
        <w:t>2 октября [1933 г.] Каганович — Сталину</w:t>
      </w:r>
    </w:p>
    <w:p w14:paraId="13AB810B"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2/Х</w:t>
      </w:r>
    </w:p>
    <w:p w14:paraId="35824DC7" w14:textId="77777777" w:rsidR="003F2394" w:rsidRPr="00C33834" w:rsidRDefault="003F2394" w:rsidP="00C33834">
      <w:pPr>
        <w:pStyle w:val="rtecenter"/>
        <w:spacing w:before="0" w:after="0"/>
        <w:jc w:val="both"/>
        <w:rPr>
          <w:color w:val="000000" w:themeColor="text1"/>
          <w:sz w:val="16"/>
          <w:szCs w:val="16"/>
        </w:rPr>
      </w:pPr>
      <w:r w:rsidRPr="00C33834">
        <w:rPr>
          <w:color w:val="000000" w:themeColor="text1"/>
          <w:sz w:val="16"/>
          <w:szCs w:val="16"/>
        </w:rPr>
        <w:t>Дорогой т. Сталин.</w:t>
      </w:r>
    </w:p>
    <w:p w14:paraId="62EE8968"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…4) По военным заводам: мы специально заслушивали непосредственно заводы, надо надеяться, что подтянутся, но нужно будет проверять</w:t>
      </w:r>
      <w:r w:rsidRPr="00C33834">
        <w:rPr>
          <w:color w:val="000000" w:themeColor="text1"/>
          <w:sz w:val="16"/>
          <w:szCs w:val="16"/>
          <w:vertAlign w:val="superscript"/>
        </w:rPr>
        <w:t>4</w:t>
      </w:r>
      <w:r w:rsidRPr="00C33834">
        <w:rPr>
          <w:color w:val="000000" w:themeColor="text1"/>
          <w:sz w:val="16"/>
          <w:szCs w:val="16"/>
        </w:rPr>
        <w:t>.</w:t>
      </w:r>
    </w:p>
    <w:p w14:paraId="741A4ADF"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Я лично прикрепился к 8-му заводу в Мытищах, который провалился с танковой пушкой, с зенитной и т.д. Теперь мы согласно Вашему указанию займемся подлодками</w:t>
      </w:r>
      <w:r w:rsidRPr="00C33834">
        <w:rPr>
          <w:color w:val="000000" w:themeColor="text1"/>
          <w:sz w:val="16"/>
          <w:szCs w:val="16"/>
          <w:vertAlign w:val="superscript"/>
        </w:rPr>
        <w:t>5</w:t>
      </w:r>
      <w:r w:rsidRPr="00C33834">
        <w:rPr>
          <w:color w:val="000000" w:themeColor="text1"/>
          <w:sz w:val="16"/>
          <w:szCs w:val="16"/>
        </w:rPr>
        <w:t>.</w:t>
      </w:r>
    </w:p>
    <w:p w14:paraId="2FB74306"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5) Слушали мы на ПБ вчера сообщение Пятакова об Уральском вагоностроительном заводе. Плохо там дело. Мы указали Уральскому обкому и предложили ему принять меры помощи. Возложили на Пятакова повседневную проверку исполнения, с тем, чтобы он в ноябре еще раз поехал туда, а в декабре заслушать на ПБ отчет о ходе стройки</w:t>
      </w:r>
      <w:r w:rsidRPr="00C33834">
        <w:rPr>
          <w:color w:val="000000" w:themeColor="text1"/>
          <w:sz w:val="16"/>
          <w:szCs w:val="16"/>
          <w:vertAlign w:val="superscript"/>
        </w:rPr>
        <w:t>6</w:t>
      </w:r>
      <w:r w:rsidRPr="00C33834">
        <w:rPr>
          <w:color w:val="000000" w:themeColor="text1"/>
          <w:sz w:val="16"/>
          <w:szCs w:val="16"/>
        </w:rPr>
        <w:t>.</w:t>
      </w:r>
    </w:p>
    <w:p w14:paraId="24931A51"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6) Слушали мы также вопрос о минеральных удобрениях, поднятый с[ель]х[оз] отделом. Яковлев знает как нажимать, чтобы побольше ему дали, но использование удобрений поставлено безобразно. Складов нет, удобрения сваливаются под откос, портятся и теряют свои свойства, превращаясь просто в землю. Работники на местах относятся к удобрениям плохо, даже враждебно. Мы заострили этот вопрос и создали комиссию для разработки этого вопроса во всю ширь, а главное, практически обеспечить правильное использование удобрений</w:t>
      </w:r>
      <w:r w:rsidRPr="00C33834">
        <w:rPr>
          <w:color w:val="000000" w:themeColor="text1"/>
          <w:sz w:val="16"/>
          <w:szCs w:val="16"/>
          <w:vertAlign w:val="superscript"/>
        </w:rPr>
        <w:t>7</w:t>
      </w:r>
      <w:r w:rsidRPr="00C33834">
        <w:rPr>
          <w:color w:val="000000" w:themeColor="text1"/>
          <w:sz w:val="16"/>
          <w:szCs w:val="16"/>
        </w:rPr>
        <w:t>.</w:t>
      </w:r>
    </w:p>
    <w:p w14:paraId="3A6566CC"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Привет Вам. Ваш Л. Каганович.</w:t>
      </w:r>
    </w:p>
    <w:p w14:paraId="5F2583FD"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P.S. Комсомольцы хотят издать обращение в связи с 15-летием комсомола, но они, кроме этого, хотят, чтобы ЦК принял постановление. Проект обращения большой и я Вам его не посылаю, но проект постановления ЦК я Вам посылаю и прошу сообщить Ваше мнение. Кроме этого, они намекали насчет награждений по примеру женщин к женскому дню. Прошу и об этом сообщить Ваше мнение.</w:t>
      </w:r>
    </w:p>
    <w:p w14:paraId="3D455F9F"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rPr>
        <w:t>Жму руку. Ваш Л.Каганович.</w:t>
      </w:r>
    </w:p>
    <w:p w14:paraId="29722104"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vertAlign w:val="superscript"/>
        </w:rPr>
        <w:t>5</w:t>
      </w:r>
      <w:r w:rsidRPr="00C33834">
        <w:rPr>
          <w:color w:val="000000" w:themeColor="text1"/>
          <w:sz w:val="16"/>
          <w:szCs w:val="16"/>
        </w:rPr>
        <w:t xml:space="preserve"> 5 ноября 1933 г. Политбюро утвердило разработанный комиссией под руководством Я.Б.Гамарника график постройки и сдачи 20 подлодок типа «М» в 1933 г., после исправления на них «выявленных на испытаниях конструктивных дефектов» (Там же. Ф. 17. Oп. 162. Д. 15. Л. 130). См. также: Дмитриев В.И. Советское подводное кораблестроение. М., 1990.</w:t>
      </w:r>
    </w:p>
    <w:p w14:paraId="1A697085"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vertAlign w:val="superscript"/>
        </w:rPr>
        <w:t>6</w:t>
      </w:r>
      <w:r w:rsidRPr="00C33834">
        <w:rPr>
          <w:color w:val="000000" w:themeColor="text1"/>
          <w:sz w:val="16"/>
          <w:szCs w:val="16"/>
        </w:rPr>
        <w:t xml:space="preserve"> 1 октября 1933 г. ПБ рассмотрело вопрос об Уральском вагоностроительном заводе. Заместителю наркома тяжелой промышленности Пятакову было поручено «установить личное систематическое наблюдение за проведением всех директив по выполнению заданий строительства» и в конце ноября — декабре выехать на место. Различные задания получили также руководители Уральского обкома партии. Вновь рассмотреть вопрос о заводе было решено в декабре (Там же. Ф. 17. Оп. 3. Д. 931. Л. 3).</w:t>
      </w:r>
    </w:p>
    <w:p w14:paraId="5A0E5E87" w14:textId="77777777" w:rsidR="003F2394" w:rsidRPr="00C33834" w:rsidRDefault="003F2394" w:rsidP="00C33834">
      <w:pPr>
        <w:pStyle w:val="rtejustify"/>
        <w:spacing w:before="0" w:after="0"/>
        <w:rPr>
          <w:color w:val="000000" w:themeColor="text1"/>
          <w:sz w:val="16"/>
          <w:szCs w:val="16"/>
        </w:rPr>
      </w:pPr>
      <w:r w:rsidRPr="00C33834">
        <w:rPr>
          <w:color w:val="000000" w:themeColor="text1"/>
          <w:sz w:val="16"/>
          <w:szCs w:val="16"/>
          <w:vertAlign w:val="superscript"/>
        </w:rPr>
        <w:t>7</w:t>
      </w:r>
      <w:r w:rsidRPr="00C33834">
        <w:rPr>
          <w:color w:val="000000" w:themeColor="text1"/>
          <w:sz w:val="16"/>
          <w:szCs w:val="16"/>
        </w:rPr>
        <w:t xml:space="preserve"> 1 октября 1933 г. ПБ приняло в основном представленный сельскохозяйственным отделом ЦК проект постановления об использовании минеральных удобрений. Комиссии под руководством Кагановича было поручено разработать вопрос о выполнении программы производства минеральных удобрений и их использования (Там же. Л. 4).</w:t>
      </w:r>
    </w:p>
    <w:p w14:paraId="744D546E"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Архив: РГАСПИ Ф. 558. Оп. 11. Д. 741. Л. 80–89. Автограф. </w:t>
      </w:r>
    </w:p>
    <w:p w14:paraId="55ACF5AC" w14:textId="77777777" w:rsidR="003F2394" w:rsidRPr="00C33834" w:rsidRDefault="003F239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Сталин и Каганович. Переписка. 1931–1936 гг. Москва: (РОССПЭН), 2001 Стр. 370-373 (12336).</w:t>
      </w:r>
    </w:p>
    <w:p w14:paraId="6759AF1C" w14:textId="77777777" w:rsidR="003F2394" w:rsidRPr="00C33834" w:rsidRDefault="003F2394" w:rsidP="00C33834">
      <w:pPr>
        <w:spacing w:after="0" w:line="240" w:lineRule="auto"/>
        <w:jc w:val="both"/>
        <w:rPr>
          <w:rFonts w:ascii="Times New Roman" w:hAnsi="Times New Roman"/>
          <w:color w:val="000000" w:themeColor="text1"/>
          <w:sz w:val="16"/>
          <w:szCs w:val="16"/>
          <w:u w:color="002060"/>
        </w:rPr>
      </w:pPr>
    </w:p>
    <w:p w14:paraId="769FA706" w14:textId="77777777" w:rsidR="00CF276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5D799EC" w14:textId="77777777" w:rsidR="00CF276A" w:rsidRPr="00C33834" w:rsidRDefault="00CF276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B38DF9C" w14:textId="77777777" w:rsidR="00CF276A" w:rsidRPr="00C33834" w:rsidRDefault="00CF276A"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октября 1933 года в Бельгии аппа</w:t>
      </w:r>
      <w:r w:rsidRPr="00C33834">
        <w:rPr>
          <w:rFonts w:ascii="Times New Roman" w:hAnsi="Times New Roman"/>
          <w:color w:val="000000" w:themeColor="text1"/>
          <w:sz w:val="16"/>
          <w:szCs w:val="16"/>
        </w:rPr>
        <w:softHyphen/>
        <w:t>рат Г.Флорина поднялся на высоту 3,5 м и про</w:t>
      </w:r>
      <w:r w:rsidRPr="00C33834">
        <w:rPr>
          <w:rFonts w:ascii="Times New Roman" w:hAnsi="Times New Roman"/>
          <w:color w:val="000000" w:themeColor="text1"/>
          <w:sz w:val="16"/>
          <w:szCs w:val="16"/>
        </w:rPr>
        <w:softHyphen/>
        <w:t>держался в воздухе 2 мин 54 с. 19 октября вертолет поднялся на высоту 6 м и продержался в воздухе 6 мин 30 с. Рекордную продолжительность полета - 9 мин 47 с (превышавшую рекорд вертолета д'Асканио на 1 мин 13 с) Роберт Коллин показал 25 ок</w:t>
      </w:r>
      <w:r w:rsidRPr="00C33834">
        <w:rPr>
          <w:rFonts w:ascii="Times New Roman" w:hAnsi="Times New Roman"/>
          <w:color w:val="000000" w:themeColor="text1"/>
          <w:sz w:val="16"/>
          <w:szCs w:val="16"/>
        </w:rPr>
        <w:softHyphen/>
        <w:t>тября. Это достижение было зарегист</w:t>
      </w:r>
      <w:r w:rsidRPr="00C33834">
        <w:rPr>
          <w:rFonts w:ascii="Times New Roman" w:hAnsi="Times New Roman"/>
          <w:color w:val="000000" w:themeColor="text1"/>
          <w:sz w:val="16"/>
          <w:szCs w:val="16"/>
        </w:rPr>
        <w:softHyphen/>
        <w:t>рировано официальными представите</w:t>
      </w:r>
      <w:r w:rsidRPr="00C33834">
        <w:rPr>
          <w:rFonts w:ascii="Times New Roman" w:hAnsi="Times New Roman"/>
          <w:color w:val="000000" w:themeColor="text1"/>
          <w:sz w:val="16"/>
          <w:szCs w:val="16"/>
        </w:rPr>
        <w:softHyphen/>
        <w:t>лями «Аэроклуба», однако в качестве мирового рекорда не утверждено. Отметим попутно, что и этот рекорд значительно уступает рекорду, достигнутому на вертолете ЦАГИ 1 -ЭА (11401).</w:t>
      </w:r>
    </w:p>
    <w:p w14:paraId="6FE71439" w14:textId="77777777" w:rsidR="00CF276A" w:rsidRPr="00C33834" w:rsidRDefault="00CF276A"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FFC386"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4FCA60E"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B7B074E" w14:textId="77777777" w:rsidR="00CF276A" w:rsidRPr="00C33834" w:rsidRDefault="00CF276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октября 1933 года Поздравление экипажу стратостата “СССР”</w:t>
      </w:r>
    </w:p>
    <w:p w14:paraId="69D4193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Командиру стратостата «СССР» ПРОКОФЬЕВУ</w:t>
      </w:r>
    </w:p>
    <w:p w14:paraId="08D86A1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Пилоту БИРНБАУМУ</w:t>
      </w:r>
    </w:p>
    <w:p w14:paraId="716B9C2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Инженеру ГОДУНОВУ</w:t>
      </w:r>
    </w:p>
    <w:p w14:paraId="4853225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Поздравляем непревзойденных героев стратосферы с блестящим выполнением задания Советской власти.</w:t>
      </w:r>
    </w:p>
    <w:p w14:paraId="385871A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 совместно с рабочими и конструкторами, создавшими стратостат, вместе с организаторами полета, вписали блестящие страницы в историю советской авиации и изучения стратосферы. Ваша самоотверженная и успешная работа ярко выявила новые достижения советской техники.</w:t>
      </w:r>
    </w:p>
    <w:p w14:paraId="340C6FD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Мы входим в ЦИК Союза ССР с предложением о награждении орденом Ленина участников и организаторов полета.</w:t>
      </w:r>
    </w:p>
    <w:p w14:paraId="5C2BDEC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СТАЛИН</w:t>
      </w:r>
    </w:p>
    <w:p w14:paraId="1A0E574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МОЛОТОВ</w:t>
      </w:r>
    </w:p>
    <w:p w14:paraId="33380B1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ВОРОШИЛОВ</w:t>
      </w:r>
    </w:p>
    <w:p w14:paraId="080EAE0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КАГАНОВИЧ</w:t>
      </w:r>
    </w:p>
    <w:p w14:paraId="3637044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Правда. 1933. 3 октября (11659).</w:t>
      </w:r>
    </w:p>
    <w:p w14:paraId="77AB16EA" w14:textId="77777777" w:rsidR="00CF276A" w:rsidRPr="00C33834" w:rsidRDefault="00CF276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99AFF06"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A36784C"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6B1E3D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4 по 11 октября 1933 проходили гос. испытания по сокращению разбега самолета ТБ1-2М17 с помощью стартовых ракет, разработанных Реактивным НИИ (бывш. ГДЛ).</w:t>
      </w:r>
    </w:p>
    <w:p w14:paraId="117E559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основании приказа РВС № 0025 от 22 августа 1933 года настоящей комиссией были проведены в НИИ ВВС гос. испытания по ускорению взлета самолета ТБ1-2М17 со стартовыми ракетами.</w:t>
      </w:r>
    </w:p>
    <w:p w14:paraId="36A7762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516D65C7"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Стартовые ракеты конструкции Реактивного НИИ для ускорения взлета самолета ТБ1-2М17 гос. испытания прошли вполне удовлетворительно.</w:t>
      </w:r>
    </w:p>
    <w:p w14:paraId="6CE65D6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5C9B328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ведущий испытания – Рязанов</w:t>
      </w:r>
    </w:p>
    <w:p w14:paraId="48ED6E4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ведущий испытания – Миндер</w:t>
      </w:r>
    </w:p>
    <w:p w14:paraId="57AC9DD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6E3C6FEB" w14:textId="77777777">
        <w:tc>
          <w:tcPr>
            <w:tcW w:w="5636" w:type="dxa"/>
          </w:tcPr>
          <w:p w14:paraId="142F36B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октября 1933 года</w:t>
            </w:r>
          </w:p>
        </w:tc>
        <w:tc>
          <w:tcPr>
            <w:tcW w:w="5636" w:type="dxa"/>
          </w:tcPr>
          <w:p w14:paraId="7252D18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Приемка самолета на испытание.</w:t>
            </w:r>
          </w:p>
        </w:tc>
      </w:tr>
      <w:tr w:rsidR="00F26F01" w:rsidRPr="00C33834" w14:paraId="21B3D3CA" w14:textId="77777777">
        <w:tc>
          <w:tcPr>
            <w:tcW w:w="5636" w:type="dxa"/>
          </w:tcPr>
          <w:p w14:paraId="1F9E88C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октября 1933 года</w:t>
            </w:r>
          </w:p>
        </w:tc>
        <w:tc>
          <w:tcPr>
            <w:tcW w:w="5636" w:type="dxa"/>
          </w:tcPr>
          <w:p w14:paraId="1FF1FE4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Взлеты с полетным весом 6500 кг и 7000 кг.</w:t>
            </w:r>
          </w:p>
        </w:tc>
      </w:tr>
      <w:tr w:rsidR="00F26F01" w:rsidRPr="00C33834" w14:paraId="50DAC4B5" w14:textId="77777777">
        <w:tc>
          <w:tcPr>
            <w:tcW w:w="5636" w:type="dxa"/>
          </w:tcPr>
          <w:p w14:paraId="0AD0AD8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октября 1933 года</w:t>
            </w:r>
          </w:p>
        </w:tc>
        <w:tc>
          <w:tcPr>
            <w:tcW w:w="5636" w:type="dxa"/>
          </w:tcPr>
          <w:p w14:paraId="029CB50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Взлет с полетным весом 7000 кг.</w:t>
            </w:r>
          </w:p>
        </w:tc>
      </w:tr>
      <w:tr w:rsidR="00F26F01" w:rsidRPr="00C33834" w14:paraId="15938CF3" w14:textId="77777777">
        <w:tc>
          <w:tcPr>
            <w:tcW w:w="5636" w:type="dxa"/>
          </w:tcPr>
          <w:p w14:paraId="73B93FC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октября 1933 года</w:t>
            </w:r>
          </w:p>
        </w:tc>
        <w:tc>
          <w:tcPr>
            <w:tcW w:w="5636" w:type="dxa"/>
          </w:tcPr>
          <w:p w14:paraId="24D1897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Взлет с полетным весом 8000 кг.</w:t>
            </w:r>
          </w:p>
        </w:tc>
      </w:tr>
    </w:tbl>
    <w:p w14:paraId="5892FD4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 о. испытание заняло календарных дней, взлеты по программе – 3 дня (6643).</w:t>
      </w:r>
    </w:p>
    <w:p w14:paraId="1A0B4CB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8A934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октября 1933 г. появился приказ начальника штаба ВВС о формировании шести торпедоносных эскадрилий на ТБ-3: двух на Балтике и четырех на Тихом океане. Промышленности для этих целей выдали заказ на 76 мостов. Но вскоре распоряжением Алксниса его урезали до 38 штук (9807).</w:t>
      </w:r>
    </w:p>
    <w:p w14:paraId="65409DE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7AF6669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октября 1933 г. на НИАП АНИИ состоялась стрельба теми же РС-132 модели 561/1273. В этот раз боеприпасы двух опытных партий отличались от прототипа тем, что их оперение из восьми крыльев было выполнено с размахом 400 и 300 мм. Наземную стрельбу вели с углами возвышения 25°. Из 25 отстрелянных снарядов удалось зафиксировать 16 точек паде</w:t>
      </w:r>
      <w:r w:rsidRPr="00C33834">
        <w:rPr>
          <w:rFonts w:ascii="Times New Roman" w:hAnsi="Times New Roman"/>
          <w:color w:val="000000" w:themeColor="text1"/>
          <w:sz w:val="16"/>
          <w:szCs w:val="16"/>
        </w:rPr>
        <w:softHyphen/>
        <w:t>ния. Выводы - «увеличение количества крыльев стабилизатора не пони</w:t>
      </w:r>
      <w:r w:rsidRPr="00C33834">
        <w:rPr>
          <w:rFonts w:ascii="Times New Roman" w:hAnsi="Times New Roman"/>
          <w:color w:val="000000" w:themeColor="text1"/>
          <w:sz w:val="16"/>
          <w:szCs w:val="16"/>
        </w:rPr>
        <w:softHyphen/>
        <w:t>жает меткости, но и не увеличивает ее». Кроме того, сравнивая результа</w:t>
      </w:r>
      <w:r w:rsidRPr="00C33834">
        <w:rPr>
          <w:rFonts w:ascii="Times New Roman" w:hAnsi="Times New Roman"/>
          <w:color w:val="000000" w:themeColor="text1"/>
          <w:sz w:val="16"/>
          <w:szCs w:val="16"/>
        </w:rPr>
        <w:softHyphen/>
        <w:t>ты точности при стрельбе 27 июля и 17 августа 1933 г. с данным опытом, испытатели резюмировали, что «имеются постоянные источники по</w:t>
      </w:r>
      <w:r w:rsidRPr="00C33834">
        <w:rPr>
          <w:rFonts w:ascii="Times New Roman" w:hAnsi="Times New Roman"/>
          <w:color w:val="000000" w:themeColor="text1"/>
          <w:sz w:val="16"/>
          <w:szCs w:val="16"/>
        </w:rPr>
        <w:softHyphen/>
        <w:t>грешности, из которых наиболее существенные — недостаточная тща</w:t>
      </w:r>
      <w:r w:rsidRPr="00C33834">
        <w:rPr>
          <w:rFonts w:ascii="Times New Roman" w:hAnsi="Times New Roman"/>
          <w:color w:val="000000" w:themeColor="text1"/>
          <w:sz w:val="16"/>
          <w:szCs w:val="16"/>
        </w:rPr>
        <w:softHyphen/>
        <w:t>тельность изготовления снарядов и разнообразие скоростей, которые да</w:t>
      </w:r>
      <w:r w:rsidRPr="00C33834">
        <w:rPr>
          <w:rFonts w:ascii="Times New Roman" w:hAnsi="Times New Roman"/>
          <w:color w:val="000000" w:themeColor="text1"/>
          <w:sz w:val="16"/>
          <w:szCs w:val="16"/>
        </w:rPr>
        <w:softHyphen/>
        <w:t>ют значительное рассеивание по дальности» (11402).</w:t>
      </w:r>
    </w:p>
    <w:p w14:paraId="59CB314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2E836D" w14:textId="77777777" w:rsidR="001F72EB" w:rsidRPr="00C33834" w:rsidRDefault="001A42D5" w:rsidP="00C3383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A74D87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3FA2493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4-го октября 1933 года Протокол дополнительных показаний Обвиняемого Фогеля Отто Александровича</w:t>
      </w:r>
    </w:p>
    <w:p w14:paraId="4FDEBA7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дополнение к моим предыдущим показаниям о моей шпионской деятельности в пользу Германии, осуществлявшейся путем представ­ления в распоряжение германского консульства сведений шпионско­го характера, я добавляю следующее:</w:t>
      </w:r>
    </w:p>
    <w:p w14:paraId="2EA41CA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Центральное правление Союзверфи заключило договор с герман­ской фирмой Манна на изготовление в Германии для Николаевских судостроительных заводов им. А. Марти и № 61 (бывший Руссуд) двигателей внутреннего сгорания для коммерческих судов. По выпол­нении этого заказа, двигатели должны быть в разобранном виде до­ставлены в Николаев и фирма Манна приняла на себя обязательство смонтировать, установить и испытать эти двигатели на Николаевс­ких заводах.</w:t>
      </w:r>
    </w:p>
    <w:p w14:paraId="68EC201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1928 году заказанные двигатели прибыли из Германии, для производства указанных работ (монтаж) фирмой Манн был командиро­ван немецкий специалист некий Шрамль (имя и отчество не помню). Впервые Шрамль прибыл в Николаев приблизительно в июле — ав­густе месяце 1928 года.</w:t>
      </w:r>
    </w:p>
    <w:p w14:paraId="4596E72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Технический директор завода "А. Марти" — Л.П. Орлов (ныне находится в Ленинграде — технический директор Северной верфи) познакомил меня с прибывшим Шрамлем и просил оказать содействие в устройстве Шрамля где-либо на квартире. Я эту просьбу исполнил.</w:t>
      </w:r>
    </w:p>
    <w:p w14:paraId="492E4E6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Благодаря этому между мною и Шрамлем установились приятель­ские взаимоотношения, выразившиеся в частых посещениях моего дома Шрамлем.</w:t>
      </w:r>
    </w:p>
    <w:p w14:paraId="1082CF1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Встречи с Шрамлем сопровождались обоюдным обсуждением воп­росов производственного характера, мы делились впечатлениями о советском строительстве, об условиях быта рабочих на заводе, Шрамль в свою очередь, рассказывал о положении в Германии и в процессе наших разговоров Шрамль пришел, видимо, к заключению, что я настроен в национальном духе и дружелюбно отношусь к Гер­мании.</w:t>
      </w:r>
    </w:p>
    <w:p w14:paraId="054E662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Период встреч с Шрамлем относится к тому времени, когда мой сын Эдмунд Оттович находился в Германии, и я имел в виду использо­вать предстоявший отъезд Шрамля в Германию для передачи кое-чего сыну, а впоследствии обратился к нему с просьбой субсидировать сына в Германии деньгами, стоимость которых я возвращу ему в соввалюте при вторичном приезде в Николаев.</w:t>
      </w:r>
    </w:p>
    <w:p w14:paraId="2BB137F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одной из таких бесед Шрамль обратился ко мне с предложением оказать ему содействие в представлении некоторых сведений, касаю­щихся деятельности завода, необходимых ему в производственных интересах фирмы - представителем которой он является. Сведения, которые у меня просил Шрамль, в основном касались производствен­ной программы завода и его перспектив по части коммерческого су­достроения. Я согласился представить ему просимые сведения и, дей­ствительно, такие сведения я ему сообщил. Спустя несколько месяцев, приблизительно в декабре 1928 г., Шрамль уехал обратно в Герма­нию и я перед самым его отъездом дополнительно дал ему необходи­мые сведения.</w:t>
      </w:r>
    </w:p>
    <w:p w14:paraId="48BBC94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Вторично Шрамль приехал в Николаев уже летом 1929 года, после того как мой сын уже возвратился из Германии и работал в дизельно-монтажном отделе завода «А. Марта».</w:t>
      </w:r>
    </w:p>
    <w:p w14:paraId="67249EF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время отсутствия Шрамля я вел с ним переписку частного ха­рактера, касавшуюся пересылки денег моему сыну с последующим возвратом, но он моей просьбы не выполнил.</w:t>
      </w:r>
    </w:p>
    <w:p w14:paraId="02F49B6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приезде Шрамль заехал ко мне, а затем переселился на свою прежнюю квартиру к Орловой. С этого времени вновь восстанови­лась близкая связь между мною и Шрамлем.</w:t>
      </w:r>
    </w:p>
    <w:p w14:paraId="7CFB183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Спустя некоторое время после приезда (вторичного) в Николаев Шрамля, на наш завод приехал представитель другой, более круп­ной германской фирмы "Сульцер", некий Лишер. Фирма "Сульцер" также, как и раньше фирма Манна, устанавливала двигатели внут­реннего сгорания своей системы, являвшиеся более усовершенствован­ными.</w:t>
      </w:r>
    </w:p>
    <w:p w14:paraId="47DD90C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тем, до весны 1933 года на заводе "А. Марта" одновремен­но работали представители обеих фирм, т.е. «Манна» и "Сульцер", ибо первый заканчивал работу по двигателям своей фирмы, а второй лишь начал развивать работу продукции своей фирмы.</w:t>
      </w:r>
    </w:p>
    <w:p w14:paraId="1A07670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Указанный Лишер являлся старшим монтером фирмы "Сульцер", а спустя месяц после его приезда, приехал второй представитель той же фирмы, некий Фелькер - монтер.</w:t>
      </w:r>
    </w:p>
    <w:p w14:paraId="2908376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 времени приезда Фелькера, он приступил практически к рабо­те на заводе "А. Марта", а Лишер выехал в Ленинград на завод "Рус­ский Дизель", где работал в качестве консультанта, посещая перио­дически город Николаев, для наблюдения за работой Фелькера по установлению двигателей на н/заводе.</w:t>
      </w:r>
    </w:p>
    <w:p w14:paraId="3B417B2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Лишер, а впоследствии и Фелькер, работали в одном цеху с Шрам­лем до его отъезда, и с ними в том же цеху работал мой сын Эдмунд, приехавший из Германии.</w:t>
      </w:r>
    </w:p>
    <w:p w14:paraId="5A1E44C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Благодаря этому я при посредстве Шрамля и моего сына познако­мился с Лишером и Фелькером, которые также, как и ранее Шрамль, сделались завсегдатаями моего дома.</w:t>
      </w:r>
    </w:p>
    <w:p w14:paraId="5640AC2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Тем временем я продолжал информировать Шрамля об интересовав­ших его сведениях по части производственной деятельности завода.</w:t>
      </w:r>
    </w:p>
    <w:p w14:paraId="0A1940A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 представлял в его распоряжение данные, касающиеся строив­шихся коммерческих судов, их тоннажа, конструктивных особеннос­тей и т.п.</w:t>
      </w:r>
    </w:p>
    <w:p w14:paraId="05D2943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Помимо того, я периодически информировал Шрамля о производ­ственной программе коммерческого судостроения поквартально и пер­спективах на дальнейшее развитие этого судостроения.</w:t>
      </w:r>
    </w:p>
    <w:p w14:paraId="7A8C253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одной из информаций, данных мною Шрамля, я сообщил ему также сведения, касающиеся достраивавшегося тогда на нашем за­воде крейсера "Червоная Украина", которыми он интересовался.</w:t>
      </w:r>
    </w:p>
    <w:p w14:paraId="6D7CB42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Сведения, которыми я снабжал Шрамля, я в свою очередь получал отчасти из производственного отдела завода, т.к. не все мне было из­вестно, как начальнику одного только котельного цеха и, пользуясь своим положением, я имел возможность беспрепятственно и без всяких подозрений получать, как я сказал, в производственном отделе недо­стававшие мне сведения.</w:t>
      </w:r>
    </w:p>
    <w:p w14:paraId="6417274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Интересовавшие меня сведения я получил в производственном от­деле от заведующего сектором котлостроения Кульчевского и сотруд­ника Худика, которые не знали для какой цели эти сведения мне не­обходимы.</w:t>
      </w:r>
    </w:p>
    <w:p w14:paraId="674AF88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Весной 1930 года Шрамль из г. Николаева выехал обратно в Гер­манию.</w:t>
      </w:r>
    </w:p>
    <w:p w14:paraId="422C56A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После отъезда Шрамля оставшийся на заводе фелькер начал за­вязывать со мной более близкие взаимоотношения, которые впослед­ствии также, как и взаимоотношения </w:t>
      </w:r>
      <w:r w:rsidRPr="00C33834">
        <w:rPr>
          <w:rFonts w:ascii="Times New Roman" w:hAnsi="Times New Roman"/>
          <w:iCs/>
          <w:color w:val="000000" w:themeColor="text1"/>
          <w:sz w:val="16"/>
          <w:szCs w:val="16"/>
        </w:rPr>
        <w:t xml:space="preserve">с </w:t>
      </w:r>
      <w:r w:rsidRPr="00C33834">
        <w:rPr>
          <w:rFonts w:ascii="Times New Roman" w:hAnsi="Times New Roman"/>
          <w:color w:val="000000" w:themeColor="text1"/>
          <w:sz w:val="16"/>
          <w:szCs w:val="16"/>
        </w:rPr>
        <w:t>Шрамлем, перешли в форму связи шпионского характера.</w:t>
      </w:r>
    </w:p>
    <w:p w14:paraId="3A057D8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Произошло это таким образом: Фелькер, посещая мой дом, старался максимально сблизиться со мной и моей семьей, при чем этому способ­ствовала совместная работа, вначале с моим старшим сыном Эдмун­дом на заводе "А. Марта", а впоследствии, с переходом Фелькера на завод бывший «Руссуд», с младшим сыном Александром, работав­шим прорабом по оборудованию коммерческих судов.</w:t>
      </w:r>
    </w:p>
    <w:p w14:paraId="7FAD0EE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время бесед мы касались разных политических вопросов, обсуж­дая международное положение СССР и Германии, внутреннее положе­ние обоих стран и т.п. Фелькер, как я установил, являлся личностью отрицательно настроенной к Советской власти, он критиковал дости­жения Советского Союза и вместе с тем был личностью национально-патриотически настроенной в духе ярого сторонника Германии.</w:t>
      </w:r>
    </w:p>
    <w:p w14:paraId="2D21F84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 в разговорах с ним не срывал своих национально-патриотичес­ких чувств к Германии и эта общность во взглядах укрепила наши взаимоотношения.</w:t>
      </w:r>
    </w:p>
    <w:p w14:paraId="0B3FA55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процессе разговоров со мной Фелькер, интересуясь достижения­ми Советской власти в области техники и, в частности, достижения­ми завода "А. Марти", очень подробно расспрашивал меня о работе завода, о имеющихся достижениях о выпускаемой продукции и т.п. Я весьма охотно давал ему подробные ответы. При таких разговорах обычно присутствовали и мои сыновья, которые также давали ответ на вопросы Фелькера.</w:t>
      </w:r>
    </w:p>
    <w:p w14:paraId="23B6249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Видя весьма благосклонное отношение с моей стороны к нему и даваемые мною ответы по ряду вопросов, Фелькер, находясь однаж­ды у меня дома и, оставщись со мной наедине, обратился ко мне с пред­ложением сообщить ему более подробно сведения, необходимые в ин­тересах Германии не только по части коммерческого судостроения, но и по военному кораблестроению.</w:t>
      </w:r>
    </w:p>
    <w:p w14:paraId="1DA67A9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Получив на то мое согласие, Фелькер с этого момента установил со мной регулярную связь, и я предоставлял в его распоряжение инте­ресовавшие его сведения.</w:t>
      </w:r>
    </w:p>
    <w:p w14:paraId="16BAB70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Установившаяся между нами связь по линии дачи ему сведений шпионского характера продолжалась до конца 1930 года до июня месяца 1932 года, т.е. до момента окончательного отъезда Фелькера обратно в Германию.</w:t>
      </w:r>
    </w:p>
    <w:p w14:paraId="140B25F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этот период времени, как я сейчас припоминаю, я представил Фелькеру, помимо подробных данных о строившемся коммерческом судостроении, следующие данные о строившихся на заводе "А. Марти" военных судах:</w:t>
      </w:r>
    </w:p>
    <w:p w14:paraId="0ABB1EB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 О строившихся 4-х сторожевых судах и следующих их особенно­стях: скорости, роде орудий</w:t>
      </w:r>
      <w:r w:rsidRPr="00C33834">
        <w:rPr>
          <w:rFonts w:ascii="Times New Roman" w:hAnsi="Times New Roman"/>
          <w:color w:val="000000" w:themeColor="text1"/>
          <w:sz w:val="16"/>
          <w:szCs w:val="16"/>
          <w:vertAlign w:val="subscript"/>
        </w:rPr>
        <w:t>;</w:t>
      </w:r>
      <w:r w:rsidRPr="00C33834">
        <w:rPr>
          <w:rFonts w:ascii="Times New Roman" w:hAnsi="Times New Roman"/>
          <w:color w:val="000000" w:themeColor="text1"/>
          <w:sz w:val="16"/>
          <w:szCs w:val="16"/>
        </w:rPr>
        <w:t xml:space="preserve"> калибр орудий, дальнобойности, конст­руктивности, устройстве машин (турбины и котлы) тоннаже.</w:t>
      </w:r>
    </w:p>
    <w:p w14:paraId="4796F52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Хорошо помню, что я сообщил ему подробное описание двух сто­рожевых судов за №№ 186 и 187.</w:t>
      </w:r>
    </w:p>
    <w:p w14:paraId="0546BCD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 шести торпедоносцах, которые тогда были намечены к строи­тельству. Помимо аналогичных сведений, которые я сообщил ему в отношении 4-х сторожевых судов, я в отношении торпедоносцев из­ложил также особенности конструкции котлов, вооружения и т.п.</w:t>
      </w:r>
    </w:p>
    <w:p w14:paraId="05C86E3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Технически передача сведений производилась путем заметок со­ставляемых мною на немецком языке, которые зачитывались Фельке­ру, а им подробнее записывались, после чего эти записочки мною уничтожались.</w:t>
      </w:r>
    </w:p>
    <w:p w14:paraId="7539C89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Фелькер, как мне известно, периодически сообщал эти сведения в Германию, способ отправки их мне неизвестен. Помимо того, Фель­кер дважды лично выезжал в Германию.</w:t>
      </w:r>
    </w:p>
    <w:p w14:paraId="44D2208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Находившийся в Ленинграде Лишер до его отъезда в Германию два раза посетил г. Николаев.</w:t>
      </w:r>
    </w:p>
    <w:p w14:paraId="4C37A24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моей связи с Фелькером и представлявшихся мною ему сведениях Лишер знал со слов Фелькера. Об этом Фелькер говорил Лишеру в моем присутствии.</w:t>
      </w:r>
    </w:p>
    <w:p w14:paraId="0D587A1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Как мне известно, Щрамль находился в дружеских отношениях с Верманом и посещал его на дому, а Фелькер поддерживал близкие отношения с Козловским.</w:t>
      </w:r>
    </w:p>
    <w:p w14:paraId="164FD1F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Протокол записан с моих слов правильно, мне прочитан, в чем и расписываюсь.</w:t>
      </w:r>
    </w:p>
    <w:p w14:paraId="0F35D66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Допросили: Нач. 2 отделения особого отдела Лукин</w:t>
      </w:r>
    </w:p>
    <w:p w14:paraId="1F6E1A3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Уполномоченный ОО Бриннер (11462).</w:t>
      </w:r>
    </w:p>
    <w:p w14:paraId="5DEF59D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u w:val="single"/>
        </w:rPr>
      </w:pPr>
    </w:p>
    <w:p w14:paraId="42563BA3" w14:textId="77777777" w:rsidR="001F72EB"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013AAE57"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33EF61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октября 1933 г. начальник штаба ВВС приказал начать подготовку к формированию сразу десяти эскадрилий (в том числе четырех на ТБ-1). 29 декабря в округа поступает новый план - сформировать восемь эскадрилий (из них семь - на ТБ-1). Почти все они должны были дислоцироваться на Дальнем Востоке. Но эти планы не были реализованы.</w:t>
      </w:r>
    </w:p>
    <w:p w14:paraId="6173392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ТБ-1П активно использовались на Балтике, но из-за нехватки мин и торпед фактически служили только как разведчики и бомбардировщики. Зимой их переставляли на лыжи или колеса. В сентябре 1934 г. 122-ю эскадрилью привлекли к поискам затонувшей в Финском заливе после взрыва подводной лодки Л-2 ("Сталинец"). Ее нашел и помог вывезти раненых экипаж комэска A.M. Вирака.</w:t>
      </w:r>
    </w:p>
    <w:p w14:paraId="1C63807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Реально на 1 сентября 1936 г. в составе советской минно-торпедной авиации было всего шесть эскадрилий, из них четыре - на ТБ-1 (на Балтийском флоте две - 121-я и 122-я; на Черном море - одна и неполная, 34-я; и одна, 109-я, - на Тихом океане). Последнюю на следующий год перевооружили на ТБ-3. Еще 12 самолетов имелись в школе в Ейске.</w:t>
      </w:r>
    </w:p>
    <w:p w14:paraId="3043B75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последующие два года положение мало улучшилось. 34-я эскадрилья в Евпатории сдала изношенные ТБ-1П, получив Р-5Т. На 1 января 1938 г. в боевых частях морской авиации насчитывалось 38 ТБ-1 и ТБ-1 П. В том же году поступило распоряжение их списать или сдать во вспомогательные подразделения.</w:t>
      </w:r>
    </w:p>
    <w:p w14:paraId="30DD25E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25 сентября 1940 г. у морских летчиков еще сохранялись 14 ТБ-1, из которых могли летать только шесть. Все они использовались в учебных целях или для транспортных перевозок.</w:t>
      </w:r>
    </w:p>
    <w:p w14:paraId="2F02CEB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Подготовка летчиков морской авиации велась в Ейске. В 1932 г. находившаяся там школа получила первые ТБ-1. К январю 1935 г. там имелось уже 26 самолетов этого типа (12001).</w:t>
      </w:r>
    </w:p>
    <w:p w14:paraId="19C192E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322E9AB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октября 1933 начальник штаба ВВС приказал начать подготовку к формированию десяти эскадрилий (четырех на ТБ-1 и шести на ТБ-3). оказалось, что для ТБ-3 только делают два опытных моста, а самих самолетов не хватает даже тяжелобомбардировочным бригадам. Необходимого количества денег на мосты тоже нет - начальник ВВС Я.И. Алкснис урезал заказ впятеро. Тем не менее 29 декабря в округа поступает новый план - сформировать восемь эскадрилий (семь на ТБ-1 и одну - на ТБ-3). Почти все они должны были дислоцироваться на Дальнем Востоке. Две эскадрильи для Балтийского флота собирались базировать в Едрово, одну для Черноморского - в Севастополе. При этом черноморцам предложили поставить торпедные мосты на старые летающие лодки Дорнье "Валь", на которых ни мины, ни торпеды никогда и не пытались вешать (12002).</w:t>
      </w:r>
    </w:p>
    <w:p w14:paraId="40F31C2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498CCA2E" w14:textId="77777777" w:rsidR="005228D6" w:rsidRPr="00C33834" w:rsidRDefault="005228D6"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октября 1933 г. появился приказ начальника штаба ВВС о формировании шести торпедоносных эскадрилий на ТБ-3 - двух на Балтике и четырех на Тихом океане. Промышленности для этих целей выдали заказ на 76 мостов. Но вскоре распоряжением начальника ВВС Я.И. Алксниса его урезали до 38 штук. 29 декабря поступил новый приказ - торпедоносные эскадрильи вооружать ТБ-1 и лишь одну, 110-ю на Дальнем Востоке - ТБ-3 (12036).</w:t>
      </w:r>
    </w:p>
    <w:p w14:paraId="39352CC4" w14:textId="77777777" w:rsidR="005228D6" w:rsidRPr="00C33834" w:rsidRDefault="005228D6" w:rsidP="00C33834">
      <w:pPr>
        <w:autoSpaceDE w:val="0"/>
        <w:autoSpaceDN w:val="0"/>
        <w:adjustRightInd w:val="0"/>
        <w:spacing w:after="0" w:line="240" w:lineRule="auto"/>
        <w:jc w:val="both"/>
        <w:rPr>
          <w:rFonts w:ascii="Times New Roman" w:hAnsi="Times New Roman"/>
          <w:color w:val="000000" w:themeColor="text1"/>
          <w:sz w:val="16"/>
          <w:szCs w:val="16"/>
        </w:rPr>
      </w:pPr>
    </w:p>
    <w:p w14:paraId="48031DD0"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3A9BA0C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7F73176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октября 1933 появился приказ начальника ГУЛАГа № 155:</w:t>
      </w:r>
    </w:p>
    <w:p w14:paraId="7D55BDF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«Вайгачская экспедиция ОГПУ, находясь за полярным кругом в исключительно тяжелых условиях, закончила свой производственный год с выполнением плановых заданий на 194%.</w:t>
      </w:r>
    </w:p>
    <w:p w14:paraId="5D653D7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Перевыполнение плана было дано экспедицией не только по количественным показателям, но и по качественным. Добываемая экспедицией цинково свинцовая руда путем ручной сортировки была доведена в среднем до 32% содержания в ней металлов, в то время как по плану предполагалось добывать руду всего лишь с 20%.</w:t>
      </w:r>
    </w:p>
    <w:p w14:paraId="0FF2DF0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Подготавливаясь к развороту работ на летний период вне острова, экспедиция, преодолевая исключительные трудности освоения вековой тундры, сумела заблаговременно забросить в намеченные пункты людей, продовольствие, оборудование, организовав для этого беспримерные в истории Севера рейсы тракторов по льду через море.</w:t>
      </w:r>
    </w:p>
    <w:p w14:paraId="73622A1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эти достижения явились результатом четкой работы руководства экспедиции и подлинного трудового энтузиазма лучших лагерников, показавших образцы честного и преданного отношения к делу, добивавшихся наивысших производственных достижений и закреплявших свои производственные достижения широко развитым трудсоревнованием и ударничеством.</w:t>
      </w:r>
    </w:p>
    <w:p w14:paraId="17F5907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Отмечая эти достижения, объявляю благодарность начальнику экспедиции тов. Дицкалн А. Ф. (с 27 октября 1932 года до 27 марта 1934 года - начальник Вайгачской экспедиции ОГПУ) и всему составу экспедиции.</w:t>
      </w:r>
    </w:p>
    <w:p w14:paraId="42B3220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Приказываю:</w:t>
      </w:r>
    </w:p>
    <w:p w14:paraId="6D2D64B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Экспедицию премировать духовым оркестром и кинопередвижкой.</w:t>
      </w:r>
    </w:p>
    <w:p w14:paraId="017DE28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Наиболее отличившихся 2 лагерных пункта премировать библиотечками и патефонами.</w:t>
      </w:r>
    </w:p>
    <w:p w14:paraId="556910D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Для персонального премирования личного состава экспедиции выделить в распоряжение начальника экспедиции фонд в 5.000 рублей.</w:t>
      </w:r>
    </w:p>
    <w:p w14:paraId="3AB8DFB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Особо отметить, с занесением в личные дела, энергичную работу вольнонаемных сотрудников экспедиции тт. Красильникова, Купчинского и з/к Клыкова, Ливанова, Микалк, Свирского, Виттенбург, Потехина, Лойко и Лабутина» (7560).</w:t>
      </w:r>
    </w:p>
    <w:p w14:paraId="616BC80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7EE565C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октября 1933 г. было подготовлено донесение №50665</w:t>
      </w:r>
    </w:p>
    <w:p w14:paraId="417E1D5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СЕКРЕТАРЮ ЦК ВКП (Б)</w:t>
      </w:r>
    </w:p>
    <w:p w14:paraId="1E398115" w14:textId="77777777" w:rsidR="001F72EB" w:rsidRPr="00C33834" w:rsidRDefault="001F72EB" w:rsidP="00C33834">
      <w:pPr>
        <w:autoSpaceDE w:val="0"/>
        <w:autoSpaceDN w:val="0"/>
        <w:adjustRightInd w:val="0"/>
        <w:spacing w:after="0" w:line="240" w:lineRule="auto"/>
        <w:jc w:val="both"/>
        <w:rPr>
          <w:rFonts w:ascii="Times New Roman" w:hAnsi="Times New Roman"/>
          <w:bCs/>
          <w:color w:val="000000" w:themeColor="text1"/>
          <w:sz w:val="16"/>
          <w:szCs w:val="16"/>
        </w:rPr>
      </w:pPr>
      <w:r w:rsidRPr="00C33834">
        <w:rPr>
          <w:rFonts w:ascii="Times New Roman" w:hAnsi="Times New Roman"/>
          <w:color w:val="000000" w:themeColor="text1"/>
          <w:sz w:val="16"/>
          <w:szCs w:val="16"/>
        </w:rPr>
        <w:t>т.Сталину</w:t>
      </w:r>
    </w:p>
    <w:p w14:paraId="1F19C59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ОГПУ получено от ПП ОГПУ Белоруссии телеграфное сообщение следующего содержания:</w:t>
      </w:r>
    </w:p>
    <w:p w14:paraId="3ABF00B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 Могилеве вскрывается, ликвидируется филиал Польской Военной Организации (ПОВ). Сознанием членов организации: слесаря депо, исключенного из партии в 1931 г. – РЕУТА, сестры известного к.-р. деятеля Белоголового – Скоповского выявлены пока свыше 30 человек организации, завербованных ксендзом Ярошевичем.</w:t>
      </w:r>
    </w:p>
    <w:p w14:paraId="4C8B167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 Жлобине также вскрывается филиал ПОВ, созданный ксендзом Ярошевичем. Арестованный член организации, БАТУРО и Кучинская сознались в передаче Ярошевичу сведений о Жблодинском узле и воинских частях.</w:t>
      </w:r>
    </w:p>
    <w:p w14:paraId="0EE8BC1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В Осиповическом районе вскрывается, ликвидируется филиал ПОВ, созданный ксендзом Мустейкисом. Сознанием арестованных Рожновского и Барташкевича устанавливается возникновение организации в 1924 году, имеются указания на наличие ячеек ПОВ в Осиповическ5ом железнодорожном узле.</w:t>
      </w:r>
    </w:p>
    <w:p w14:paraId="1184FD2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Арестованный в Гомеле по делу ПОВ Сескевич Антон подтвердил свою причастность к организации. Сознался в том что в 1929 г. – 1932 г. по заданиям ксендза Андрекуса бывал в Польше, в 1932 г., будучи в Белостоке, окончил 3-х месячные развед. – диверсионные курсы.</w:t>
      </w:r>
    </w:p>
    <w:p w14:paraId="35EF79A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1-го октября 1933 г. в Минске задержан бежавший в Польшу в начале 1933 года по досрочной демобилизации из армии отделком 5-го артполка 2-й дивизии Сучков Иван. Сознанием Сучкова устанавливается его сотрудничество в Лунинецкой разведпляцувке и создания им в Минске резидентуры в лице отделкома 2-го артполка Трофимовича Георгия, инструктора военстрой-площадки Кулинича Ивана. Арестованный Трофимович в шпионаже сознался.</w:t>
      </w:r>
    </w:p>
    <w:p w14:paraId="3F1A20D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Арестован разрабатываемый нами родственник известного польского диверсанта Холява – Янковский Адам Иосифович, сознался в сотрудничестве с Виллейской разведпляцувской. Сознанием Янковского также устанавливается крупная шпионско-диверсионная резидентура в Минске, в Логойском районе. Привлеченный к следствию Шимченко подтвердил показания Янковского.</w:t>
      </w:r>
    </w:p>
    <w:p w14:paraId="686B45B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7. На участке 17 погранотряда задержан с оружием в руках старый агент Столпецкий разведпляцувки Зойнич, Франц Бронеславович. Войнич в 1932 г. был судим за шпионаж, бежал из концлагеря в Польшу. Прибыл с заданием по Смоленскому гарнизону, ограбления фельдъегаря, курсирующего Минск – Москва.</w:t>
      </w:r>
    </w:p>
    <w:p w14:paraId="765DE38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1-го октября 1933 г. на участке 13-го погранотряда задержан бежавший в Польшу в сентябре месяце бывший красноармеец 13-го погранотряда, осевший в погранполосе после демобилизации в 1932 году – Лошков, Андрей Петрович. Сознанием Лошкова устанавливается его сотрудничество с Глубокской разведпляцувкой, сознание резидентуры в Полоцке и сбор сведений в Полоцким гарнизоне.</w:t>
      </w:r>
    </w:p>
    <w:p w14:paraId="0AEF9E4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29-го сентября 1933 г. на участке 16-го погранотряда задержан агент Столпецкой разведпляцувки Казак, Франц Антонивич, бежавший из ссылки в июле месяце в Польшу. Прибыл с заданием осесть в Слуцке в качестве резидента. У Казака обнаружены фиктивные советские документы на фамилию Крук Николая Антоновича.</w:t>
      </w:r>
    </w:p>
    <w:p w14:paraId="2597954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1-го октября 1933 г. на участке 15-го погранотряда задержан польский агент Виллейской разведпляцувки Логунов Савелий Прокопьевич, житель сов. стороны, бежавший в Польшу в июне месяце. При Логунове обнаружено 500 рублей.</w:t>
      </w:r>
    </w:p>
    <w:p w14:paraId="4345D6C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4-го октября 1933 г. Заковский.</w:t>
      </w:r>
    </w:p>
    <w:p w14:paraId="694E376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 РФ, ф.3, оп.58, д.243, л.86-88 (11462).</w:t>
      </w:r>
    </w:p>
    <w:p w14:paraId="78B189A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4DFB57F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октября 1933 датировано разосланное всем начальникам управлений ИТЛ ОГПУ приказание ГУЛАГа № 11 за подписью начальника главка Бермана:</w:t>
      </w:r>
    </w:p>
    <w:p w14:paraId="3E6B49E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Москву приезжают сотрудники лагерей, допуская нарушение правил ношения формы (неряшливо одеты и т. д.).</w:t>
      </w:r>
    </w:p>
    <w:p w14:paraId="34FFA16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Секретарю Управления тов. Сулину я приказал: впредь за отмеченные нарушения ношения формы виновных немедленно арестовывать. Одновременно будут налагаться взыскания на непосредственных их начальников и на нач. лагерей, не сумевших внушить своим подчиненным о необходимости выполнения приказаний» (7560).</w:t>
      </w:r>
    </w:p>
    <w:p w14:paraId="4DDEB40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73ACFCF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октября 1933 г. были подготовлены Сведения Секретариата Президиума ЦИК Союза ССР об иностранных специалистах, награжденных орденами Советского Союза за оказание технической помощи</w:t>
      </w:r>
    </w:p>
    <w:p w14:paraId="4E7208D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Наркомтяжпром:</w:t>
      </w:r>
    </w:p>
    <w:p w14:paraId="07CB04D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заслуги в области тяжелой промышленности Президиум ЦИК Союза ССР наградил орденами СССР ряд иностранцев... Награждены:</w:t>
      </w:r>
    </w:p>
    <w:p w14:paraId="12857DE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Днепрострою - Франк Фейфер, Чарльз Джон Томсон, Вильгельм Петрикович Меффи, Хью Купер, Фридрих Вильгельмович Винтер, Георг Себастьянович Биндер;</w:t>
      </w:r>
    </w:p>
    <w:p w14:paraId="263CD46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"Серп и Молот" - Томас Яковлевич Монгер;</w:t>
      </w:r>
    </w:p>
    <w:p w14:paraId="06AE1F9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Сталинградскому тракторному заводу - Франк Бруно Хоней;</w:t>
      </w:r>
    </w:p>
    <w:p w14:paraId="60FE63A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Харьковскому тракторному заводу - Леон Эвис Суважан;</w:t>
      </w:r>
    </w:p>
    <w:p w14:paraId="1A4102C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угольной промышленности Донбасса - И. Г. Либхард.</w:t>
      </w:r>
    </w:p>
    <w:p w14:paraId="4B14B70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Заведующий сектором С. Терехов.</w:t>
      </w:r>
    </w:p>
    <w:p w14:paraId="74BF6C5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РГАЭ. Ф. 7297. Оп. 38. Д. 60. Л.1.</w:t>
      </w:r>
    </w:p>
    <w:p w14:paraId="6EAC917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Франк Бруно Хоней, работник Сталинградского тракторного завода, на котором только в октябре 1930 года трудилось около 170 иностранных специалистов был удостоен высокой советской награды - Ордена Ленина. Чуть ранее американское издание "Детройт Таймс" рассказало об этом читателям в самой Америке, назвав эту награду "крестом Ленина". </w:t>
      </w:r>
    </w:p>
    <w:p w14:paraId="6D56255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Настоящая фамилия Франка Хонея была Метушевский, его семья была из числа эмигрантов из западных губерний Российской Империи. Франк Метушевский родился в городе Эри (штат Пенсильвания), а работать он начал с 13 лет, продавая газету "Эри дейли таймс". Схема была такова: он покупал в редакции газеты по 1 центу за экземпляр, а реализовывал за 2. Скоро у него собрался пул из 40 постоянных покупателей. При этом в воскресенье, когда газета выходила с четырьмя страницами комиксов, число покупателей увеличивалось. В выходной день выпуск стоил 3 цента, а он продавал его по 5.</w:t>
      </w:r>
    </w:p>
    <w:p w14:paraId="1CE2D4E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Потом он работал на пяти различных заводах в родном городке и одновременно получал техническое образование в вечерней конструкторской школе. Однако в самом Эри работать у него не сложилось из-за увлечения профсоюзной деятельностью, и Франку пришлось уехать в Детройт. Там он под псевдонимом Хоней работал специалистом пружинного производства на заводах Форда и "Додж". 1 марта 1930 года Франк Хоней , будучи уже безработным, завербовался в Сталинград, где готовили к пуску тракторный завод. Группа из 60 американских специалистов выехала поездом из Детройта в Нью-Йорк. </w:t>
      </w:r>
    </w:p>
    <w:p w14:paraId="450F074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Сталинграде американцев разместили в новых домах в Нижнем поселке (аналог Верхней Колонии в Кузнецке), где у каждого была отдельная комната. На СТЗ Хоней организовал и возглавил пружинное отделение, обучив сложному делу молодых рабочих. И уже в первый год работы его поощрили грамотой, премией и ценным подарком - именным серебряным портсигаром с камнем. А в 1932 году Франк вместе с другими ударниками труда был вызван в Москву и получил из рук Калинина орден Ленина. "В Кремле я чувствовал себя, как во сне, - вспоминал Франк Хоней . - Михаил Иванович Калинин вручил мне орден Ленина и пожелал дальнейших успехов в работе". </w:t>
      </w:r>
    </w:p>
    <w:p w14:paraId="6C96E25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Американец так понравился большевикам, что чуть позже ему подарили легковую персональную машину, а в 1936 году он принял советское гражданство. За 30-е годы мистер Хоней подготовил более 300 рацпредложений, а к 1941 году занял уже должность заместителя директора (затем и директора) Сталинградского метизного завода - "дочки" СТЗ. Именно Франк Хоней провел за две недели удачную и оперативную эвакуацию этого предприятия и пружинного цеха СТЗ в 1942 году в Барнаул. Еще две недели ему понадобилось, чтобы там запустить эти производства. </w:t>
      </w:r>
    </w:p>
    <w:p w14:paraId="7376229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войны бывший американец был еще неоднократно награжден советскими наградами - медалями "За оборону Сталинграда" и "За доблестный труд в ВОВ 1941-1945". Однако личная жизнь у него не совсем сложилась: американская жена Стефания отказалась жить с детьми в СССР и уехала обратно на родину. В СССР Метушевский был еще два раза женат, но оба раза неудачно. Известно, что он взял на воспитание ребенка-сироту (Вадима Евстафьева) из детского дома и смог его вырастить. Во время хрущевской оттепели была даже опубликована книга воспоминаний Франка Хонея "Я уехал из Америки" (Волгоград, 1962) (11600).</w:t>
      </w:r>
    </w:p>
    <w:p w14:paraId="161A900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1413BF19"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496ED29"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CAAC437" w14:textId="77777777" w:rsidR="008C761D" w:rsidRPr="00C33834" w:rsidRDefault="008C761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октября 1933 французские авиаторы Жан Ассолан и Рене Лефевр вылетают из Орана во французском Алжире на Bernard 81 GR L'Oiseau Canari II, надеясь установить новый мировой рекорд дальности без дозаправки по прямой прямой, долетев до Сайгона во французском Индокитае . Неожиданно высокий расход топлива делает рекорд недосягаемым, и они приземляются в Карачи , пролетев 6600 км (4099 миль) за 27 часов (20802).</w:t>
      </w:r>
    </w:p>
    <w:p w14:paraId="5E36223C" w14:textId="77777777" w:rsidR="008C761D" w:rsidRPr="00C33834" w:rsidRDefault="008C761D" w:rsidP="00C33834">
      <w:pPr>
        <w:spacing w:after="0" w:line="240" w:lineRule="auto"/>
        <w:jc w:val="both"/>
        <w:rPr>
          <w:rFonts w:ascii="Times New Roman" w:hAnsi="Times New Roman"/>
          <w:color w:val="0070C0"/>
          <w:sz w:val="16"/>
          <w:szCs w:val="16"/>
        </w:rPr>
      </w:pPr>
    </w:p>
    <w:p w14:paraId="5DCC30BC" w14:textId="77777777" w:rsidR="008C761D" w:rsidRPr="00C33834" w:rsidRDefault="008C761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4–11 октября 1933 сэр Чарльз Кингсфорд Смит на Percival Gull устанавливает новый рекорд одиночного полета между Англией и Австралией - 7 дней 4 часа 44 минуты (20802).</w:t>
      </w:r>
    </w:p>
    <w:p w14:paraId="7D768D6F" w14:textId="77777777" w:rsidR="008C761D" w:rsidRPr="00C33834" w:rsidRDefault="008C761D" w:rsidP="00C33834">
      <w:pPr>
        <w:spacing w:after="0" w:line="240" w:lineRule="auto"/>
        <w:jc w:val="both"/>
        <w:rPr>
          <w:rFonts w:ascii="Times New Roman" w:hAnsi="Times New Roman"/>
          <w:color w:val="0070C0"/>
          <w:sz w:val="16"/>
          <w:szCs w:val="16"/>
        </w:rPr>
      </w:pPr>
    </w:p>
    <w:p w14:paraId="481CE62B" w14:textId="77777777" w:rsidR="008C761D" w:rsidRPr="00C33834" w:rsidRDefault="008C761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октября 1933 - Выдающийся английский авиатор Чарлз Кигсфорд Смит (Charles Kingsford Smith) взлетев в 05:28 утра с аэродрома «Lympne» (графство Кент) в Великобритании начал рекордный одиночный перелёт на самолёте «Percival D.2 Gull IV» (борт. рег. код G-ACJV) между Великобританией и Австралией, на который ему потребуется 7 дней, 4 часа и 44 минуты (22347).</w:t>
      </w:r>
    </w:p>
    <w:p w14:paraId="17B6C96E" w14:textId="77777777" w:rsidR="008C761D" w:rsidRPr="00C33834" w:rsidRDefault="008C761D" w:rsidP="00C33834">
      <w:pPr>
        <w:spacing w:after="0" w:line="240" w:lineRule="auto"/>
        <w:jc w:val="both"/>
        <w:rPr>
          <w:rFonts w:ascii="Times New Roman" w:hAnsi="Times New Roman"/>
          <w:color w:val="0070C0"/>
          <w:sz w:val="16"/>
          <w:szCs w:val="16"/>
        </w:rPr>
      </w:pPr>
    </w:p>
    <w:p w14:paraId="3D1517E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октября 1933 в Германии евреям запретили быть издателями газет (1798).</w:t>
      </w:r>
    </w:p>
    <w:p w14:paraId="6D4218B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1BBACF4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октября 1933 евреям запрещено работать в газетах Германии (4962).</w:t>
      </w:r>
    </w:p>
    <w:p w14:paraId="68AE32C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DDE1C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октября 1933 была ратифицирована 20 поправка к Конституции США (3481).</w:t>
      </w:r>
    </w:p>
    <w:p w14:paraId="442BEDC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644CEA31"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5C134E9"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017CA0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октября 1933 М.Н.Тухачевский оценил в приказе работы по гос. испытанию по ракетному разгону ТБ-3 (АНТ-6), которые проводились с 22 августа 1933 (376,26).</w:t>
      </w:r>
    </w:p>
    <w:p w14:paraId="7BAF34D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0B8B912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октября 1933 закончились гос. испытания самолета Звена З-2, которые проходили с 13 сентября 1933 (6777).</w:t>
      </w:r>
    </w:p>
    <w:p w14:paraId="044B2AE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Ведущий испытания:</w:t>
      </w:r>
    </w:p>
    <w:p w14:paraId="52B9B53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 инженер Фролов, Вед. летчик Залевский</w:t>
      </w:r>
    </w:p>
    <w:p w14:paraId="3968C10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Летчики: Стефановский, Сузи, Кокинаки, Лагутин</w:t>
      </w:r>
    </w:p>
    <w:p w14:paraId="02C264D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Предварительные замечания</w:t>
      </w:r>
    </w:p>
    <w:p w14:paraId="76A4500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Дальнейшее развитие идеи самолета Звена инженера Вахмистрова получило применение в разработанной им же установке на самолете ТБ3 4М17 № 22164 трех И-5 – М22 – два на плоскости и один на фюзеляже, а также двух истребителей Зет, подвешенных под плоскость.</w:t>
      </w:r>
    </w:p>
    <w:p w14:paraId="189EB29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всей установки инженера Вахмистрова разбито на три части:</w:t>
      </w:r>
    </w:p>
    <w:p w14:paraId="1B358B65"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Испытание верхней установки Звена, т.е. ТБ3 4М17 с одним И5, ТБ3 – 4М17 с двумя И5 и ТБ3 4М17 с тремя И5.</w:t>
      </w:r>
    </w:p>
    <w:p w14:paraId="70315AEF"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нижней установки самолета Звена, т.е. ТБ3 4М17 с двумя Зет подвешенными под плоскость, а также ТБ3 4М17 с двумя самолетами Зет и с двумя И5 и ТБ3 с двумя Зет и с тремя И5.</w:t>
      </w:r>
    </w:p>
    <w:p w14:paraId="307A7A56"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приспособления для посадки среднего самолета И5.</w:t>
      </w:r>
    </w:p>
    <w:p w14:paraId="65B4044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Настоящий отчет составлен по первой части испытаний, т.е. по верхней установке трех И5 – М22 на ТБ3 4М17.</w:t>
      </w:r>
    </w:p>
    <w:p w14:paraId="46157CE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4166551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Гос. испытания «Звена Вахмистрова» ТБ3-4М17 + И5 М22, ТБ3-4М17 + два И5 М22, ТБ3-4М17 + три И5 М22 имели целью:</w:t>
      </w:r>
    </w:p>
    <w:p w14:paraId="0DDBD1D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определить надежность подъема с самолетов И5-М22 с плоскостей самолета ТБ3-4М17;</w:t>
      </w:r>
    </w:p>
    <w:p w14:paraId="450CECB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влияние на летные данные самолета ТБ3-4М17 установки на него двух и трех самолетов И5 М22.</w:t>
      </w:r>
    </w:p>
    <w:p w14:paraId="1BE1B4E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3CE67B0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Гос. испытания З-2 пройдены вполне успешно.</w:t>
      </w:r>
    </w:p>
    <w:p w14:paraId="710BA03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5616"/>
      </w:tblGrid>
      <w:tr w:rsidR="00F26F01" w:rsidRPr="00C33834" w14:paraId="6867386F" w14:textId="77777777">
        <w:tc>
          <w:tcPr>
            <w:tcW w:w="3024" w:type="dxa"/>
          </w:tcPr>
          <w:p w14:paraId="660DB5B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сентября 1933 года</w:t>
            </w:r>
          </w:p>
        </w:tc>
        <w:tc>
          <w:tcPr>
            <w:tcW w:w="5616" w:type="dxa"/>
          </w:tcPr>
          <w:p w14:paraId="3702258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Перелет в Щелково</w:t>
            </w:r>
          </w:p>
        </w:tc>
      </w:tr>
      <w:tr w:rsidR="00F26F01" w:rsidRPr="00C33834" w14:paraId="1D6AFC36" w14:textId="77777777">
        <w:tc>
          <w:tcPr>
            <w:tcW w:w="3024" w:type="dxa"/>
          </w:tcPr>
          <w:p w14:paraId="5AECEC9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сентября 1933 года</w:t>
            </w:r>
          </w:p>
        </w:tc>
        <w:tc>
          <w:tcPr>
            <w:tcW w:w="5616" w:type="dxa"/>
          </w:tcPr>
          <w:p w14:paraId="4E3D36C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Километраж и тарировка САФА самолета ТБ3-4М17</w:t>
            </w:r>
          </w:p>
        </w:tc>
      </w:tr>
      <w:tr w:rsidR="00F26F01" w:rsidRPr="00C33834" w14:paraId="07306B64" w14:textId="77777777">
        <w:tc>
          <w:tcPr>
            <w:tcW w:w="3024" w:type="dxa"/>
          </w:tcPr>
          <w:p w14:paraId="2C5A528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сентября 1933 года</w:t>
            </w:r>
          </w:p>
        </w:tc>
        <w:tc>
          <w:tcPr>
            <w:tcW w:w="5616" w:type="dxa"/>
          </w:tcPr>
          <w:p w14:paraId="201CAD4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Облет ТБ3 с двумя И5</w:t>
            </w:r>
          </w:p>
        </w:tc>
      </w:tr>
      <w:tr w:rsidR="00F26F01" w:rsidRPr="00C33834" w14:paraId="4EE644EE" w14:textId="77777777">
        <w:tc>
          <w:tcPr>
            <w:tcW w:w="3024" w:type="dxa"/>
          </w:tcPr>
          <w:p w14:paraId="679492B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сентября 1933 года</w:t>
            </w:r>
          </w:p>
        </w:tc>
        <w:tc>
          <w:tcPr>
            <w:tcW w:w="5616" w:type="dxa"/>
          </w:tcPr>
          <w:p w14:paraId="49CCBFC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Облет ТБ3 с одним И5</w:t>
            </w:r>
          </w:p>
        </w:tc>
      </w:tr>
      <w:tr w:rsidR="00F26F01" w:rsidRPr="00C33834" w14:paraId="6D8D08EC" w14:textId="77777777">
        <w:tc>
          <w:tcPr>
            <w:tcW w:w="3024" w:type="dxa"/>
          </w:tcPr>
          <w:p w14:paraId="72EF402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сентября 1933 года</w:t>
            </w:r>
          </w:p>
        </w:tc>
        <w:tc>
          <w:tcPr>
            <w:tcW w:w="5616" w:type="dxa"/>
          </w:tcPr>
          <w:p w14:paraId="5F7D861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Облет ТБ3 с тремя И5</w:t>
            </w:r>
          </w:p>
        </w:tc>
      </w:tr>
      <w:tr w:rsidR="00F26F01" w:rsidRPr="00C33834" w14:paraId="78C52168" w14:textId="77777777">
        <w:tc>
          <w:tcPr>
            <w:tcW w:w="3024" w:type="dxa"/>
          </w:tcPr>
          <w:p w14:paraId="569C424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сентября 1933 года</w:t>
            </w:r>
          </w:p>
        </w:tc>
        <w:tc>
          <w:tcPr>
            <w:tcW w:w="5616" w:type="dxa"/>
          </w:tcPr>
          <w:p w14:paraId="43A7005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F26F01" w:rsidRPr="00C33834" w14:paraId="7A36B462" w14:textId="77777777">
        <w:tc>
          <w:tcPr>
            <w:tcW w:w="3024" w:type="dxa"/>
          </w:tcPr>
          <w:p w14:paraId="3D9F932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сентября 1933 года</w:t>
            </w:r>
          </w:p>
        </w:tc>
        <w:tc>
          <w:tcPr>
            <w:tcW w:w="5616" w:type="dxa"/>
          </w:tcPr>
          <w:p w14:paraId="2DDC5F0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горизонтальные скорости по высотам одного ТБ3-4М17 с весом 15725 кг</w:t>
            </w:r>
          </w:p>
        </w:tc>
      </w:tr>
      <w:tr w:rsidR="00F26F01" w:rsidRPr="00C33834" w14:paraId="14C0555B" w14:textId="77777777">
        <w:tc>
          <w:tcPr>
            <w:tcW w:w="3024" w:type="dxa"/>
          </w:tcPr>
          <w:p w14:paraId="1FB304D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сентября 1933 года</w:t>
            </w:r>
          </w:p>
        </w:tc>
        <w:tc>
          <w:tcPr>
            <w:tcW w:w="5616" w:type="dxa"/>
          </w:tcPr>
          <w:p w14:paraId="31CCB17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определение горизонтальных скоростей по высотам с одним И5</w:t>
            </w:r>
          </w:p>
        </w:tc>
      </w:tr>
      <w:tr w:rsidR="00F26F01" w:rsidRPr="00C33834" w14:paraId="737124CB" w14:textId="77777777">
        <w:tc>
          <w:tcPr>
            <w:tcW w:w="3024" w:type="dxa"/>
          </w:tcPr>
          <w:p w14:paraId="31974FF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сентября 1933 года</w:t>
            </w:r>
          </w:p>
        </w:tc>
        <w:tc>
          <w:tcPr>
            <w:tcW w:w="5616" w:type="dxa"/>
          </w:tcPr>
          <w:p w14:paraId="14E36A4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F26F01" w:rsidRPr="00C33834" w14:paraId="0D7FEE15" w14:textId="77777777">
        <w:tc>
          <w:tcPr>
            <w:tcW w:w="3024" w:type="dxa"/>
          </w:tcPr>
          <w:p w14:paraId="569D7B6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сентября 1933 года</w:t>
            </w:r>
          </w:p>
        </w:tc>
        <w:tc>
          <w:tcPr>
            <w:tcW w:w="5616" w:type="dxa"/>
          </w:tcPr>
          <w:p w14:paraId="729306F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горизонтальные скорости по высотам с тремя И5</w:t>
            </w:r>
          </w:p>
        </w:tc>
      </w:tr>
      <w:tr w:rsidR="00F26F01" w:rsidRPr="00C33834" w14:paraId="0ABC6E59" w14:textId="77777777">
        <w:tc>
          <w:tcPr>
            <w:tcW w:w="3024" w:type="dxa"/>
          </w:tcPr>
          <w:p w14:paraId="7FDD4AE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сентября 1933 года</w:t>
            </w:r>
          </w:p>
        </w:tc>
        <w:tc>
          <w:tcPr>
            <w:tcW w:w="5616" w:type="dxa"/>
          </w:tcPr>
          <w:p w14:paraId="678F97B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горизонтальные скорости по высотам с тремя И5</w:t>
            </w:r>
          </w:p>
        </w:tc>
      </w:tr>
      <w:tr w:rsidR="00F26F01" w:rsidRPr="00C33834" w14:paraId="12EA02B9" w14:textId="77777777">
        <w:tc>
          <w:tcPr>
            <w:tcW w:w="3024" w:type="dxa"/>
          </w:tcPr>
          <w:p w14:paraId="79E2138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сентября 1933 года</w:t>
            </w:r>
          </w:p>
        </w:tc>
        <w:tc>
          <w:tcPr>
            <w:tcW w:w="5616" w:type="dxa"/>
          </w:tcPr>
          <w:p w14:paraId="711377D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F26F01" w:rsidRPr="00C33834" w14:paraId="6BC54220" w14:textId="77777777">
        <w:tc>
          <w:tcPr>
            <w:tcW w:w="3024" w:type="dxa"/>
          </w:tcPr>
          <w:p w14:paraId="367737E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октября 1933 года</w:t>
            </w:r>
          </w:p>
        </w:tc>
        <w:tc>
          <w:tcPr>
            <w:tcW w:w="5616" w:type="dxa"/>
          </w:tcPr>
          <w:p w14:paraId="16A8FB8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F26F01" w:rsidRPr="00C33834" w14:paraId="0FEB253E" w14:textId="77777777">
        <w:tc>
          <w:tcPr>
            <w:tcW w:w="3024" w:type="dxa"/>
          </w:tcPr>
          <w:p w14:paraId="0986C3A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октября 1933 года</w:t>
            </w:r>
          </w:p>
        </w:tc>
        <w:tc>
          <w:tcPr>
            <w:tcW w:w="5616" w:type="dxa"/>
          </w:tcPr>
          <w:p w14:paraId="120CCB9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расход горючего с двумя И5</w:t>
            </w:r>
          </w:p>
        </w:tc>
      </w:tr>
      <w:tr w:rsidR="00F26F01" w:rsidRPr="00C33834" w14:paraId="4C2CE4B9" w14:textId="77777777">
        <w:tc>
          <w:tcPr>
            <w:tcW w:w="3024" w:type="dxa"/>
          </w:tcPr>
          <w:p w14:paraId="4B0076A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5616" w:type="dxa"/>
          </w:tcPr>
          <w:p w14:paraId="6BD4577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полетов с налетом 16 час. 23 мин.</w:t>
            </w:r>
          </w:p>
        </w:tc>
      </w:tr>
    </w:tbl>
    <w:p w14:paraId="714F5B5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(6777).</w:t>
      </w:r>
    </w:p>
    <w:p w14:paraId="0C709D3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4BCA8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октября 1933 Алкснис утвердил отчет по вой</w:t>
      </w:r>
      <w:r w:rsidRPr="00C33834">
        <w:rPr>
          <w:rFonts w:ascii="Times New Roman" w:hAnsi="Times New Roman"/>
          <w:color w:val="000000" w:themeColor="text1"/>
          <w:sz w:val="16"/>
          <w:szCs w:val="16"/>
        </w:rPr>
        <w:softHyphen/>
        <w:t>сковым испытаниям еще одного «звена» — «3-1а», составленного из ТБ-1 и двух И-5 с положительной оценкой и предложением более эффективная система — ТБ-3 с дву</w:t>
      </w:r>
      <w:r w:rsidRPr="00C33834">
        <w:rPr>
          <w:rFonts w:ascii="Times New Roman" w:hAnsi="Times New Roman"/>
          <w:color w:val="000000" w:themeColor="text1"/>
          <w:sz w:val="16"/>
          <w:szCs w:val="16"/>
        </w:rPr>
        <w:softHyphen/>
        <w:t>мя подвешенными под крылом И-16 — была принята на вооружение и нашла примене</w:t>
      </w:r>
      <w:r w:rsidRPr="00C33834">
        <w:rPr>
          <w:rFonts w:ascii="Times New Roman" w:hAnsi="Times New Roman"/>
          <w:color w:val="000000" w:themeColor="text1"/>
          <w:sz w:val="16"/>
          <w:szCs w:val="16"/>
        </w:rPr>
        <w:softHyphen/>
        <w:t>ние в Великой Отечественной войне (11286).</w:t>
      </w:r>
    </w:p>
    <w:p w14:paraId="11A47EF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A6D9B6" w14:textId="77777777" w:rsidR="00035895" w:rsidRPr="00C33834" w:rsidRDefault="00035895" w:rsidP="00C33834">
      <w:pPr>
        <w:pStyle w:val="a3"/>
        <w:rPr>
          <w:color w:val="000000" w:themeColor="text1"/>
          <w:lang w:val="ru-RU"/>
        </w:rPr>
      </w:pPr>
      <w:r w:rsidRPr="00C33834">
        <w:rPr>
          <w:color w:val="000000" w:themeColor="text1"/>
          <w:lang w:val="ru-RU"/>
        </w:rPr>
        <w:t>5 октября 1933 завершили испытания нового звена на ТБ-3.</w:t>
      </w:r>
    </w:p>
    <w:p w14:paraId="11FB061E" w14:textId="77777777" w:rsidR="00035895" w:rsidRPr="00C33834" w:rsidRDefault="00035895" w:rsidP="00C33834">
      <w:pPr>
        <w:pStyle w:val="a3"/>
        <w:rPr>
          <w:color w:val="000000" w:themeColor="text1"/>
          <w:lang w:val="ru-RU"/>
        </w:rPr>
      </w:pPr>
      <w:r w:rsidRPr="00C33834">
        <w:rPr>
          <w:color w:val="000000" w:themeColor="text1"/>
          <w:lang w:val="ru-RU"/>
        </w:rPr>
        <w:t>Носитель обычно взлетал при помощи своих собст</w:t>
      </w:r>
      <w:r w:rsidRPr="00C33834">
        <w:rPr>
          <w:color w:val="000000" w:themeColor="text1"/>
          <w:lang w:val="ru-RU"/>
        </w:rPr>
        <w:softHyphen/>
        <w:t>венных двигателей, а на истребителях их запускали перед отцепкой сжатым воз</w:t>
      </w:r>
      <w:r w:rsidRPr="00C33834">
        <w:rPr>
          <w:color w:val="000000" w:themeColor="text1"/>
          <w:lang w:val="ru-RU"/>
        </w:rPr>
        <w:softHyphen/>
        <w:t>духом. Лишь чтобы замерить максималь</w:t>
      </w:r>
      <w:r w:rsidRPr="00C33834">
        <w:rPr>
          <w:color w:val="000000" w:themeColor="text1"/>
          <w:lang w:val="ru-RU"/>
        </w:rPr>
        <w:softHyphen/>
        <w:t>ные данные «Звена-2» в воздухе исполь</w:t>
      </w:r>
      <w:r w:rsidRPr="00C33834">
        <w:rPr>
          <w:color w:val="000000" w:themeColor="text1"/>
          <w:lang w:val="ru-RU"/>
        </w:rPr>
        <w:softHyphen/>
        <w:t>зовали все моторы комплекта. Результат оказался неоднозначным. С двумя И-5 скорость составляла 199,5 км/ч, а с тре</w:t>
      </w:r>
      <w:r w:rsidRPr="00C33834">
        <w:rPr>
          <w:color w:val="000000" w:themeColor="text1"/>
          <w:lang w:val="ru-RU"/>
        </w:rPr>
        <w:softHyphen/>
        <w:t>мя - 196,5 км/ч, то есть третья машина выигрыша здесь не дала. Зато ее наличие существенно повлияло на скороподъем</w:t>
      </w:r>
      <w:r w:rsidRPr="00C33834">
        <w:rPr>
          <w:color w:val="000000" w:themeColor="text1"/>
          <w:lang w:val="ru-RU"/>
        </w:rPr>
        <w:softHyphen/>
        <w:t>ность и потолок. У «чистого» ТБ-3 практи</w:t>
      </w:r>
      <w:r w:rsidRPr="00C33834">
        <w:rPr>
          <w:color w:val="000000" w:themeColor="text1"/>
          <w:lang w:val="ru-RU"/>
        </w:rPr>
        <w:softHyphen/>
        <w:t>ческий потолок равнялся 3800 м,у носи</w:t>
      </w:r>
      <w:r w:rsidRPr="00C33834">
        <w:rPr>
          <w:color w:val="000000" w:themeColor="text1"/>
          <w:lang w:val="ru-RU"/>
        </w:rPr>
        <w:softHyphen/>
        <w:t>теля с двумя И-5 - 3880 м, а с тремя - 5130 м. Аналогичная ситуация сложилась со скороподъемностью. Бомбардировщик забирался на высоту 3000 м за 53 мин, носитель с двумя И-5 - за 31,5 мин, а с тремя - за 21 мин. Стоявший на фюзеля</w:t>
      </w:r>
      <w:r w:rsidRPr="00C33834">
        <w:rPr>
          <w:color w:val="000000" w:themeColor="text1"/>
          <w:lang w:val="ru-RU"/>
        </w:rPr>
        <w:softHyphen/>
        <w:t>же И-5 отцепили всего один раз, далее он стоял неподвижно (но с летчиком).</w:t>
      </w:r>
    </w:p>
    <w:p w14:paraId="66266F0F" w14:textId="77777777" w:rsidR="00035895" w:rsidRPr="00C33834" w:rsidRDefault="00035895" w:rsidP="00C33834">
      <w:pPr>
        <w:pStyle w:val="a3"/>
        <w:rPr>
          <w:color w:val="000000" w:themeColor="text1"/>
          <w:lang w:val="ru-RU"/>
        </w:rPr>
      </w:pPr>
      <w:r w:rsidRPr="00C33834">
        <w:rPr>
          <w:color w:val="000000" w:themeColor="text1"/>
          <w:lang w:val="ru-RU"/>
        </w:rPr>
        <w:t>Однажды на режиме максимальной скорости произошла авария. Когда все пилоты дали полный газ, на среднем И-5 оторвался кок винта. Он отлетел, про</w:t>
      </w:r>
      <w:r w:rsidRPr="00C33834">
        <w:rPr>
          <w:color w:val="000000" w:themeColor="text1"/>
          <w:lang w:val="ru-RU"/>
        </w:rPr>
        <w:softHyphen/>
        <w:t>бив большую дыру в крыле у фюзеляжа. Чтобы не прерывать замер, Вахмистров заткнул пробоину собственной спиной. Командиру самолета П.М. Стефановскому удалось успешно приземлиться.</w:t>
      </w:r>
    </w:p>
    <w:p w14:paraId="6B7F7B32" w14:textId="77777777" w:rsidR="00035895" w:rsidRPr="00C33834" w:rsidRDefault="00035895" w:rsidP="00C33834">
      <w:pPr>
        <w:pStyle w:val="a3"/>
        <w:rPr>
          <w:color w:val="000000" w:themeColor="text1"/>
          <w:lang w:val="ru-RU"/>
        </w:rPr>
      </w:pPr>
      <w:r w:rsidRPr="00C33834">
        <w:rPr>
          <w:color w:val="000000" w:themeColor="text1"/>
          <w:lang w:val="ru-RU"/>
        </w:rPr>
        <w:t>Ре</w:t>
      </w:r>
      <w:r w:rsidRPr="00C33834">
        <w:rPr>
          <w:color w:val="000000" w:themeColor="text1"/>
          <w:lang w:val="ru-RU"/>
        </w:rPr>
        <w:softHyphen/>
        <w:t>зультаты их признали успешными. Управ</w:t>
      </w:r>
      <w:r w:rsidRPr="00C33834">
        <w:rPr>
          <w:color w:val="000000" w:themeColor="text1"/>
          <w:lang w:val="ru-RU"/>
        </w:rPr>
        <w:softHyphen/>
        <w:t>ление ВВС в конце 1933 г. стало планиро</w:t>
      </w:r>
      <w:r w:rsidRPr="00C33834">
        <w:rPr>
          <w:color w:val="000000" w:themeColor="text1"/>
          <w:lang w:val="ru-RU"/>
        </w:rPr>
        <w:softHyphen/>
        <w:t>вать размещение подобных «звеньев» на Дальнем Востоке. Две эскадрильи хотели дислоцировать в Воздвиженке, одну - в Хабаровске и одну под Читой. «Зве</w:t>
      </w:r>
      <w:r w:rsidRPr="00C33834">
        <w:rPr>
          <w:color w:val="000000" w:themeColor="text1"/>
          <w:lang w:val="ru-RU"/>
        </w:rPr>
        <w:softHyphen/>
        <w:t>нья» должны были прикрывать соеди</w:t>
      </w:r>
      <w:r w:rsidRPr="00C33834">
        <w:rPr>
          <w:color w:val="000000" w:themeColor="text1"/>
          <w:lang w:val="ru-RU"/>
        </w:rPr>
        <w:softHyphen/>
        <w:t>нения тяжелых бомбардировщиков при ударах по целям в Маньчжурии и Корее. Но вскоре взгляды изменились - И-5 устаревал, ему на смену шли новые типы истребителей.</w:t>
      </w:r>
    </w:p>
    <w:p w14:paraId="14A62AD2" w14:textId="77777777" w:rsidR="00035895" w:rsidRPr="00C33834" w:rsidRDefault="0003589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Вахмистров учел это в последую</w:t>
      </w:r>
      <w:r w:rsidRPr="00C33834">
        <w:rPr>
          <w:rFonts w:ascii="Times New Roman" w:hAnsi="Times New Roman"/>
          <w:color w:val="000000" w:themeColor="text1"/>
          <w:sz w:val="16"/>
          <w:szCs w:val="16"/>
        </w:rPr>
        <w:softHyphen/>
        <w:t>щих проектах. Они выполнялись уже в конструкторском бюро завода №22 в Филях, куда его перевели.</w:t>
      </w:r>
    </w:p>
    <w:p w14:paraId="45C5854B" w14:textId="77777777" w:rsidR="00035895" w:rsidRPr="00C33834" w:rsidRDefault="0003589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«Звене-З» он использовал два уже упоминавшихся выше моноплана И-Зет (И-</w:t>
      </w:r>
      <w:r w:rsidRPr="00C33834">
        <w:rPr>
          <w:rFonts w:ascii="Times New Roman" w:hAnsi="Times New Roman"/>
          <w:color w:val="000000" w:themeColor="text1"/>
          <w:sz w:val="16"/>
          <w:szCs w:val="16"/>
          <w:lang w:val="en-US"/>
        </w:rPr>
        <w:t>Z</w:t>
      </w:r>
      <w:r w:rsidRPr="00C33834">
        <w:rPr>
          <w:rFonts w:ascii="Times New Roman" w:hAnsi="Times New Roman"/>
          <w:color w:val="000000" w:themeColor="text1"/>
          <w:sz w:val="16"/>
          <w:szCs w:val="16"/>
        </w:rPr>
        <w:t>) конструкции Д.П. Григоровича. Эта цельнометалличе</w:t>
      </w:r>
      <w:r w:rsidRPr="00C33834">
        <w:rPr>
          <w:rFonts w:ascii="Times New Roman" w:hAnsi="Times New Roman"/>
          <w:color w:val="000000" w:themeColor="text1"/>
          <w:sz w:val="16"/>
          <w:szCs w:val="16"/>
        </w:rPr>
        <w:softHyphen/>
        <w:t>ская машина вооружалась двумя 76-мм динамореактивными (безоткатными) пушпуш</w:t>
      </w:r>
      <w:r w:rsidRPr="00C33834">
        <w:rPr>
          <w:rFonts w:ascii="Times New Roman" w:hAnsi="Times New Roman"/>
          <w:color w:val="000000" w:themeColor="text1"/>
          <w:sz w:val="16"/>
          <w:szCs w:val="16"/>
        </w:rPr>
        <w:softHyphen/>
        <w:t>ками. Подвеску таких самолетов под кры</w:t>
      </w:r>
      <w:r w:rsidRPr="00C33834">
        <w:rPr>
          <w:rFonts w:ascii="Times New Roman" w:hAnsi="Times New Roman"/>
          <w:color w:val="000000" w:themeColor="text1"/>
          <w:sz w:val="16"/>
          <w:szCs w:val="16"/>
        </w:rPr>
        <w:softHyphen/>
        <w:t>лом ТБ-3 конструктор уже прорабатывал в ходе создания «Звена-2». Такой подход значительно упрощал размещение ис</w:t>
      </w:r>
      <w:r w:rsidRPr="00C33834">
        <w:rPr>
          <w:rFonts w:ascii="Times New Roman" w:hAnsi="Times New Roman"/>
          <w:color w:val="000000" w:themeColor="text1"/>
          <w:sz w:val="16"/>
          <w:szCs w:val="16"/>
        </w:rPr>
        <w:softHyphen/>
        <w:t>требителей. Не требовались громоздкие деревянные мостки, не нужен был целый</w:t>
      </w:r>
    </w:p>
    <w:p w14:paraId="45976144" w14:textId="77777777" w:rsidR="00035895" w:rsidRPr="00C33834" w:rsidRDefault="00035895" w:rsidP="00C33834">
      <w:pPr>
        <w:pStyle w:val="a3"/>
        <w:rPr>
          <w:color w:val="000000" w:themeColor="text1"/>
          <w:lang w:val="ru-RU"/>
        </w:rPr>
      </w:pPr>
      <w:r w:rsidRPr="00C33834">
        <w:rPr>
          <w:rStyle w:val="ArialNarrow10"/>
          <w:rFonts w:ascii="Times New Roman" w:hAnsi="Times New Roman" w:cs="Times New Roman"/>
          <w:b w:val="0"/>
          <w:color w:val="000000" w:themeColor="text1"/>
          <w:sz w:val="16"/>
          <w:szCs w:val="16"/>
          <w:lang w:val="ru-RU"/>
        </w:rPr>
        <w:t>Первый</w:t>
      </w:r>
      <w:r w:rsidRPr="00C33834">
        <w:rPr>
          <w:color w:val="000000" w:themeColor="text1"/>
          <w:lang w:val="ru-RU"/>
        </w:rPr>
        <w:t xml:space="preserve"> же полет «Звена-З» закончил</w:t>
      </w:r>
      <w:r w:rsidRPr="00C33834">
        <w:rPr>
          <w:color w:val="000000" w:themeColor="text1"/>
          <w:lang w:val="ru-RU"/>
        </w:rPr>
        <w:softHyphen/>
      </w:r>
      <w:r w:rsidRPr="00C33834">
        <w:rPr>
          <w:rStyle w:val="910"/>
          <w:rFonts w:ascii="Times New Roman" w:hAnsi="Times New Roman" w:cs="Times New Roman"/>
          <w:b w:val="0"/>
          <w:color w:val="000000" w:themeColor="text1"/>
          <w:spacing w:val="0"/>
          <w:sz w:val="16"/>
          <w:szCs w:val="16"/>
          <w:lang w:val="ru-RU"/>
        </w:rPr>
        <w:t>ся</w:t>
      </w:r>
      <w:r w:rsidRPr="00C33834">
        <w:rPr>
          <w:rStyle w:val="ArialNarrow10"/>
          <w:rFonts w:ascii="Times New Roman" w:hAnsi="Times New Roman" w:cs="Times New Roman"/>
          <w:b w:val="0"/>
          <w:color w:val="000000" w:themeColor="text1"/>
          <w:sz w:val="16"/>
          <w:szCs w:val="16"/>
          <w:lang w:val="ru-RU"/>
        </w:rPr>
        <w:t xml:space="preserve"> катастрофой.</w:t>
      </w:r>
      <w:r w:rsidRPr="00C33834">
        <w:rPr>
          <w:color w:val="000000" w:themeColor="text1"/>
          <w:lang w:val="ru-RU"/>
        </w:rPr>
        <w:t xml:space="preserve"> Командиром носителя </w:t>
      </w:r>
      <w:r w:rsidRPr="00C33834">
        <w:rPr>
          <w:rStyle w:val="910"/>
          <w:rFonts w:ascii="Times New Roman" w:hAnsi="Times New Roman" w:cs="Times New Roman"/>
          <w:b w:val="0"/>
          <w:color w:val="000000" w:themeColor="text1"/>
          <w:spacing w:val="0"/>
          <w:sz w:val="16"/>
          <w:szCs w:val="16"/>
          <w:lang w:val="ru-RU"/>
        </w:rPr>
        <w:t>являлся</w:t>
      </w:r>
      <w:r w:rsidRPr="00C33834">
        <w:rPr>
          <w:rStyle w:val="ArialNarrow10"/>
          <w:rFonts w:ascii="Times New Roman" w:hAnsi="Times New Roman" w:cs="Times New Roman"/>
          <w:b w:val="0"/>
          <w:color w:val="000000" w:themeColor="text1"/>
          <w:sz w:val="16"/>
          <w:szCs w:val="16"/>
          <w:lang w:val="ru-RU"/>
        </w:rPr>
        <w:t xml:space="preserve"> П.М.</w:t>
      </w:r>
      <w:r w:rsidRPr="00C33834">
        <w:rPr>
          <w:color w:val="000000" w:themeColor="text1"/>
          <w:lang w:val="ru-RU"/>
        </w:rPr>
        <w:t xml:space="preserve"> Стефановский, на истреби</w:t>
      </w:r>
      <w:r w:rsidRPr="00C33834">
        <w:rPr>
          <w:color w:val="000000" w:themeColor="text1"/>
          <w:lang w:val="ru-RU"/>
        </w:rPr>
        <w:softHyphen/>
      </w:r>
      <w:r w:rsidRPr="00C33834">
        <w:rPr>
          <w:rStyle w:val="910"/>
          <w:rFonts w:ascii="Times New Roman" w:hAnsi="Times New Roman" w:cs="Times New Roman"/>
          <w:b w:val="0"/>
          <w:color w:val="000000" w:themeColor="text1"/>
          <w:spacing w:val="0"/>
          <w:sz w:val="16"/>
          <w:szCs w:val="16"/>
          <w:lang w:val="ru-RU"/>
        </w:rPr>
        <w:t>телях</w:t>
      </w:r>
      <w:r w:rsidRPr="00C33834">
        <w:rPr>
          <w:rStyle w:val="ArialNarrow10"/>
          <w:rFonts w:ascii="Times New Roman" w:hAnsi="Times New Roman" w:cs="Times New Roman"/>
          <w:b w:val="0"/>
          <w:color w:val="000000" w:themeColor="text1"/>
          <w:sz w:val="16"/>
          <w:szCs w:val="16"/>
          <w:lang w:val="ru-RU"/>
        </w:rPr>
        <w:t xml:space="preserve"> летели И.Ф.</w:t>
      </w:r>
      <w:r w:rsidRPr="00C33834">
        <w:rPr>
          <w:color w:val="000000" w:themeColor="text1"/>
          <w:lang w:val="ru-RU"/>
        </w:rPr>
        <w:t xml:space="preserve"> Гродзь и А.В. Короткое. </w:t>
      </w:r>
      <w:r w:rsidRPr="00C33834">
        <w:rPr>
          <w:rStyle w:val="ArialNarrow10"/>
          <w:rFonts w:ascii="Times New Roman" w:hAnsi="Times New Roman" w:cs="Times New Roman"/>
          <w:b w:val="0"/>
          <w:color w:val="000000" w:themeColor="text1"/>
          <w:sz w:val="16"/>
          <w:szCs w:val="16"/>
          <w:lang w:val="ru-RU"/>
        </w:rPr>
        <w:t>Короткое ошибся</w:t>
      </w:r>
      <w:r w:rsidRPr="00C33834">
        <w:rPr>
          <w:color w:val="000000" w:themeColor="text1"/>
          <w:lang w:val="ru-RU"/>
        </w:rPr>
        <w:t xml:space="preserve"> дважды. Еще на взлете </w:t>
      </w:r>
      <w:r w:rsidRPr="00C33834">
        <w:rPr>
          <w:rStyle w:val="910"/>
          <w:rFonts w:ascii="Times New Roman" w:hAnsi="Times New Roman" w:cs="Times New Roman"/>
          <w:b w:val="0"/>
          <w:color w:val="000000" w:themeColor="text1"/>
          <w:spacing w:val="0"/>
          <w:sz w:val="16"/>
          <w:szCs w:val="16"/>
          <w:lang w:val="ru-RU"/>
        </w:rPr>
        <w:t>он</w:t>
      </w:r>
      <w:r w:rsidRPr="00C33834">
        <w:rPr>
          <w:rStyle w:val="ArialNarrow10"/>
          <w:rFonts w:ascii="Times New Roman" w:hAnsi="Times New Roman" w:cs="Times New Roman"/>
          <w:b w:val="0"/>
          <w:color w:val="000000" w:themeColor="text1"/>
          <w:sz w:val="16"/>
          <w:szCs w:val="16"/>
          <w:lang w:val="ru-RU"/>
        </w:rPr>
        <w:t xml:space="preserve"> неправильно</w:t>
      </w:r>
      <w:r w:rsidRPr="00C33834">
        <w:rPr>
          <w:color w:val="000000" w:themeColor="text1"/>
          <w:lang w:val="ru-RU"/>
        </w:rPr>
        <w:t xml:space="preserve"> выставил руль высо ты, и его машину подбросило к нижней поверхности крыла ТБ-3. Набрав высоту 2000 м, Стефановский поднял нос бом</w:t>
      </w:r>
      <w:r w:rsidRPr="00C33834">
        <w:rPr>
          <w:color w:val="000000" w:themeColor="text1"/>
          <w:lang w:val="ru-RU"/>
        </w:rPr>
        <w:softHyphen/>
        <w:t>бардировщика и смог как бы стряхнуть истребитель вниз. Но «зет» вдруг опять с треском врезался в крыло. Как потом оказалось, из-за новой ошибки Коротко- ва, слишком рано взявшего ручку управ</w:t>
      </w:r>
      <w:r w:rsidRPr="00C33834">
        <w:rPr>
          <w:color w:val="000000" w:themeColor="text1"/>
          <w:lang w:val="ru-RU"/>
        </w:rPr>
        <w:softHyphen/>
        <w:t>ления на себя, сломались крепления и истребитель ударил винтом в плоскость носителя. Винт разрушился, а отцепить «зет» от ТБ-3 стало невозможно.</w:t>
      </w:r>
    </w:p>
    <w:p w14:paraId="5B7B516E" w14:textId="77777777" w:rsidR="00035895" w:rsidRPr="00C33834" w:rsidRDefault="00035895" w:rsidP="00C33834">
      <w:pPr>
        <w:pStyle w:val="a3"/>
        <w:rPr>
          <w:color w:val="000000" w:themeColor="text1"/>
          <w:lang w:val="ru-RU"/>
        </w:rPr>
      </w:pPr>
      <w:r w:rsidRPr="00C33834">
        <w:rPr>
          <w:color w:val="000000" w:themeColor="text1"/>
          <w:lang w:val="ru-RU"/>
        </w:rPr>
        <w:t>С самолета сопровождения Р-5 Короткову жестами предложили выпрыгнуть на парашюте, но летчик остался в кабине. Стефановский повел «звено» на посадку. Но на выравнивании И-Зет оторвался и, перевернувшись, упал. Коротков погиб, более никто не пострадал. Но «Звено-З» сочли вариантом неудачным.</w:t>
      </w:r>
    </w:p>
    <w:p w14:paraId="24EFE019" w14:textId="77777777" w:rsidR="00035895" w:rsidRPr="00C33834" w:rsidRDefault="00035895" w:rsidP="00C33834">
      <w:pPr>
        <w:pStyle w:val="a3"/>
        <w:rPr>
          <w:color w:val="000000" w:themeColor="text1"/>
          <w:lang w:val="ru-RU"/>
        </w:rPr>
      </w:pPr>
      <w:r w:rsidRPr="00C33834">
        <w:rPr>
          <w:color w:val="000000" w:themeColor="text1"/>
          <w:lang w:val="ru-RU"/>
        </w:rPr>
        <w:t>Что скрывалось под обозначением «Звено-4», выяснить не удалось. Возмож</w:t>
      </w:r>
      <w:r w:rsidRPr="00C33834">
        <w:rPr>
          <w:color w:val="000000" w:themeColor="text1"/>
          <w:lang w:val="ru-RU"/>
        </w:rPr>
        <w:softHyphen/>
        <w:t>но, это упоминавшийся вариант с дву</w:t>
      </w:r>
      <w:r w:rsidRPr="00C33834">
        <w:rPr>
          <w:color w:val="000000" w:themeColor="text1"/>
          <w:lang w:val="ru-RU"/>
        </w:rPr>
        <w:softHyphen/>
        <w:t>мя И-5 сверху и двумя «зетами» снизу. По другой версии, «Звеном-4» являлся первый проектный вариант описанно</w:t>
      </w:r>
      <w:r w:rsidRPr="00C33834">
        <w:rPr>
          <w:color w:val="000000" w:themeColor="text1"/>
          <w:lang w:val="ru-RU"/>
        </w:rPr>
        <w:softHyphen/>
        <w:t xml:space="preserve">го далее проекта «Тягач». </w:t>
      </w:r>
    </w:p>
    <w:p w14:paraId="2174F195" w14:textId="77777777" w:rsidR="00035895" w:rsidRPr="00C33834" w:rsidRDefault="00035895" w:rsidP="00C33834">
      <w:pPr>
        <w:pStyle w:val="a3"/>
        <w:rPr>
          <w:color w:val="000000" w:themeColor="text1"/>
          <w:lang w:val="ru-RU"/>
        </w:rPr>
      </w:pPr>
      <w:r w:rsidRPr="00C33834">
        <w:rPr>
          <w:color w:val="000000" w:themeColor="text1"/>
          <w:lang w:val="ru-RU"/>
        </w:rPr>
        <w:t>А вот «Звено-5» - это подвеска одного И-Зет под фюзеляжем ТБ-3 с возможностью под</w:t>
      </w:r>
      <w:r w:rsidRPr="00C33834">
        <w:rPr>
          <w:color w:val="000000" w:themeColor="text1"/>
          <w:lang w:val="ru-RU"/>
        </w:rPr>
        <w:softHyphen/>
        <w:t>цепки и отцепки в воздухе. На этот раз взяли бомбардировщик более поздней модификации с моторами М-34Р (в более ранних вариантах «Звена» использовали машину ранней серии с двигателями М-17). Этот самолет отличался большей грузоподъемностью и улучшенными летными данными. Между пирамидами шасси смонтировали ферму-трапецию, которая с помощью лебедки с редукто</w:t>
      </w:r>
      <w:r w:rsidRPr="00C33834">
        <w:rPr>
          <w:color w:val="000000" w:themeColor="text1"/>
          <w:lang w:val="ru-RU"/>
        </w:rPr>
        <w:softHyphen/>
        <w:t>ром могла опускаться вниз и поднимать</w:t>
      </w:r>
      <w:r w:rsidRPr="00C33834">
        <w:rPr>
          <w:color w:val="000000" w:themeColor="text1"/>
          <w:lang w:val="ru-RU"/>
        </w:rPr>
        <w:softHyphen/>
        <w:t>ся. В полностью опущенном положении перекладина находилась ниже колесных тележек. Чтобы погасить рывок при при</w:t>
      </w:r>
      <w:r w:rsidRPr="00C33834">
        <w:rPr>
          <w:color w:val="000000" w:themeColor="text1"/>
          <w:lang w:val="ru-RU"/>
        </w:rPr>
        <w:softHyphen/>
        <w:t>чаливании, стойки трапеции снабдили гидропневматическими амортизаторами по образцу истребителя И-16. Для экс</w:t>
      </w:r>
      <w:r w:rsidRPr="00C33834">
        <w:rPr>
          <w:color w:val="000000" w:themeColor="text1"/>
          <w:lang w:val="ru-RU"/>
        </w:rPr>
        <w:softHyphen/>
        <w:t>перимента переоборудовали один И-Зет, на котором над кабиной поставили высо</w:t>
      </w:r>
      <w:r w:rsidRPr="00C33834">
        <w:rPr>
          <w:color w:val="000000" w:themeColor="text1"/>
          <w:lang w:val="ru-RU"/>
        </w:rPr>
        <w:softHyphen/>
        <w:t>кую треногу с крюком на конце. На крю</w:t>
      </w:r>
      <w:r w:rsidRPr="00C33834">
        <w:rPr>
          <w:color w:val="000000" w:themeColor="text1"/>
          <w:lang w:val="ru-RU"/>
        </w:rPr>
        <w:softHyphen/>
        <w:t>ке находился замок от бомбодержателя, управляемый летчиком. Вообще вся схе</w:t>
      </w:r>
      <w:r w:rsidRPr="00C33834">
        <w:rPr>
          <w:color w:val="000000" w:themeColor="text1"/>
          <w:lang w:val="ru-RU"/>
        </w:rPr>
        <w:softHyphen/>
        <w:t>ма сильно напоминала применявшуюся американцами на их дирижаблях-авиа</w:t>
      </w:r>
      <w:r w:rsidRPr="00C33834">
        <w:rPr>
          <w:color w:val="000000" w:themeColor="text1"/>
          <w:lang w:val="ru-RU"/>
        </w:rPr>
        <w:softHyphen/>
        <w:t>носцах «Акрон» и «Мекон», только там на борт принимали бипланы.</w:t>
      </w:r>
    </w:p>
    <w:p w14:paraId="1E649415" w14:textId="77777777" w:rsidR="00035895" w:rsidRPr="00C33834" w:rsidRDefault="00035895" w:rsidP="00C33834">
      <w:pPr>
        <w:pStyle w:val="a3"/>
        <w:rPr>
          <w:color w:val="000000" w:themeColor="text1"/>
          <w:lang w:val="ru-RU"/>
        </w:rPr>
      </w:pPr>
      <w:r w:rsidRPr="00C33834">
        <w:rPr>
          <w:color w:val="000000" w:themeColor="text1"/>
          <w:lang w:val="ru-RU"/>
        </w:rPr>
        <w:t>Начали с причаливания к трапеции. ТБ-3, который пилотировал Стефанов</w:t>
      </w:r>
      <w:r w:rsidRPr="00C33834">
        <w:rPr>
          <w:color w:val="000000" w:themeColor="text1"/>
          <w:lang w:val="ru-RU"/>
        </w:rPr>
        <w:softHyphen/>
        <w:t>ский, взлетал один и в воздухе опускал ферму. На стойки надставили деревян</w:t>
      </w:r>
      <w:r w:rsidRPr="00C33834">
        <w:rPr>
          <w:color w:val="000000" w:themeColor="text1"/>
          <w:lang w:val="ru-RU"/>
        </w:rPr>
        <w:softHyphen/>
        <w:t>ные рейки, между которыми натянули цветные перкалевые ленты. В.А. Степанченок старался захватить их крюком. Носитель при этом должен был идеально идти по прямой. Лишь после упорных тренировок решили попробовать захватить трубу. В апреле 1934 г. Степанченку впервые удалось под</w:t>
      </w:r>
      <w:r w:rsidRPr="00C33834">
        <w:rPr>
          <w:color w:val="000000" w:themeColor="text1"/>
          <w:lang w:val="ru-RU"/>
        </w:rPr>
        <w:softHyphen/>
        <w:t>цепиться к носителю. Вместе с трапецией истребитель подтянули вверх так, что его плоскости прижались к колесам бомбар</w:t>
      </w:r>
      <w:r w:rsidRPr="00C33834">
        <w:rPr>
          <w:color w:val="000000" w:themeColor="text1"/>
          <w:lang w:val="ru-RU"/>
        </w:rPr>
        <w:softHyphen/>
        <w:t>дировщика. Затем все проделали в обрат</w:t>
      </w:r>
      <w:r w:rsidRPr="00C33834">
        <w:rPr>
          <w:color w:val="000000" w:themeColor="text1"/>
          <w:lang w:val="ru-RU"/>
        </w:rPr>
        <w:softHyphen/>
        <w:t>ном порядке, выпустив «зет» обратно в свободный полет.</w:t>
      </w:r>
    </w:p>
    <w:p w14:paraId="1391B0E4" w14:textId="77777777" w:rsidR="00035895" w:rsidRPr="00C33834" w:rsidRDefault="00035895" w:rsidP="00C33834">
      <w:pPr>
        <w:pStyle w:val="a3"/>
        <w:rPr>
          <w:color w:val="000000" w:themeColor="text1"/>
          <w:lang w:val="ru-RU"/>
        </w:rPr>
      </w:pPr>
      <w:r w:rsidRPr="00C33834">
        <w:rPr>
          <w:color w:val="000000" w:themeColor="text1"/>
          <w:lang w:val="ru-RU"/>
        </w:rPr>
        <w:t>Эти эксперименты «цирка Вахмистро- ва» являлись подготовительной стадией к созданию «авиаматки ПВО» - мобильной базы истребителей-перехватчиков. Она должна была по командам с земли вый</w:t>
      </w:r>
      <w:r w:rsidRPr="00C33834">
        <w:rPr>
          <w:color w:val="000000" w:themeColor="text1"/>
          <w:lang w:val="ru-RU"/>
        </w:rPr>
        <w:softHyphen/>
        <w:t>ти в заданный район и выпустить истре</w:t>
      </w:r>
      <w:r w:rsidRPr="00C33834">
        <w:rPr>
          <w:color w:val="000000" w:themeColor="text1"/>
          <w:lang w:val="ru-RU"/>
        </w:rPr>
        <w:softHyphen/>
        <w:t>бители. После выполнения задания они возвращались и подцеплялись к носите</w:t>
      </w:r>
      <w:r w:rsidRPr="00C33834">
        <w:rPr>
          <w:color w:val="000000" w:themeColor="text1"/>
          <w:lang w:val="ru-RU"/>
        </w:rPr>
        <w:softHyphen/>
        <w:t>лю для дозаправки. «Авиаматка» могла дозаправлять и машины, поднявшиеся с земли, если их оборудовали необходи</w:t>
      </w:r>
      <w:r w:rsidRPr="00C33834">
        <w:rPr>
          <w:color w:val="000000" w:themeColor="text1"/>
          <w:lang w:val="ru-RU"/>
        </w:rPr>
        <w:softHyphen/>
        <w:t>мым образом. В перспективе Вахмистров рассчитывал дать летчикам возможность перейти в бомбардировщик для отдыха.</w:t>
      </w:r>
    </w:p>
    <w:p w14:paraId="573BC456" w14:textId="77777777" w:rsidR="00035895" w:rsidRPr="00C33834" w:rsidRDefault="00035895" w:rsidP="00C33834">
      <w:pPr>
        <w:pStyle w:val="a3"/>
        <w:rPr>
          <w:color w:val="000000" w:themeColor="text1"/>
          <w:lang w:val="ru-RU"/>
        </w:rPr>
      </w:pPr>
      <w:r w:rsidRPr="00C33834">
        <w:rPr>
          <w:color w:val="000000" w:themeColor="text1"/>
          <w:lang w:val="ru-RU"/>
        </w:rPr>
        <w:t>В следующем проекте, названном «Звено-6», конструктор учел ошибки и ввел новые пирамиды подкрыльной под</w:t>
      </w:r>
      <w:r w:rsidRPr="00C33834">
        <w:rPr>
          <w:color w:val="000000" w:themeColor="text1"/>
          <w:lang w:val="ru-RU"/>
        </w:rPr>
        <w:softHyphen/>
        <w:t>вески, спроектированные В.И. Синель- щиковым. На этот раз подвешивались два новых истребителя-моноплана И-16 с убирающимся шасси. Правда, Вах- мистрову выделили машины раннего типа с моторами М-22. Возможность поднять колеса намного облегчила подвеску ис</w:t>
      </w:r>
      <w:r w:rsidRPr="00C33834">
        <w:rPr>
          <w:color w:val="000000" w:themeColor="text1"/>
          <w:lang w:val="ru-RU"/>
        </w:rPr>
        <w:softHyphen/>
        <w:t>требителей. Их просто подкатывали под крыло, закрепляли и убирали шасси. Пи</w:t>
      </w:r>
      <w:r w:rsidRPr="00C33834">
        <w:rPr>
          <w:color w:val="000000" w:themeColor="text1"/>
          <w:lang w:val="ru-RU"/>
        </w:rPr>
        <w:softHyphen/>
        <w:t xml:space="preserve">тание моторов </w:t>
      </w:r>
      <w:r w:rsidRPr="00C33834">
        <w:rPr>
          <w:color w:val="000000" w:themeColor="text1"/>
          <w:lang w:val="ru-RU"/>
        </w:rPr>
        <w:lastRenderedPageBreak/>
        <w:t>истребителей горючим до момента отцепки осуществлялось из ба</w:t>
      </w:r>
      <w:r w:rsidRPr="00C33834">
        <w:rPr>
          <w:color w:val="000000" w:themeColor="text1"/>
          <w:lang w:val="ru-RU"/>
        </w:rPr>
        <w:softHyphen/>
        <w:t>ков носителя через трубу в задней отки</w:t>
      </w:r>
      <w:r w:rsidRPr="00C33834">
        <w:rPr>
          <w:color w:val="000000" w:themeColor="text1"/>
          <w:lang w:val="ru-RU"/>
        </w:rPr>
        <w:softHyphen/>
        <w:t>дывающейся стойке. Предусматривалась телефонная связь с пилотами И-16 и све</w:t>
      </w:r>
      <w:r w:rsidRPr="00C33834">
        <w:rPr>
          <w:color w:val="000000" w:themeColor="text1"/>
          <w:lang w:val="ru-RU"/>
        </w:rPr>
        <w:softHyphen/>
        <w:t>товая сигнализация лампами под крылом ТБ-3. Возвращение И-16 под носитель в данном случае не предусматривалось.</w:t>
      </w:r>
    </w:p>
    <w:p w14:paraId="2AE80936" w14:textId="77777777" w:rsidR="00035895" w:rsidRPr="00C33834" w:rsidRDefault="00035895" w:rsidP="00C33834">
      <w:pPr>
        <w:pStyle w:val="a3"/>
        <w:rPr>
          <w:color w:val="000000" w:themeColor="text1"/>
          <w:lang w:val="ru-RU"/>
        </w:rPr>
      </w:pPr>
      <w:r w:rsidRPr="00C33834">
        <w:rPr>
          <w:color w:val="000000" w:themeColor="text1"/>
          <w:lang w:val="ru-RU"/>
        </w:rPr>
        <w:t>Проектирование «Звена-6» провели в 1934 г., переоборудование самолетов завершили в августе 1935 г., тогда же они поднялись в воздух. В первом полете ко</w:t>
      </w:r>
      <w:r w:rsidRPr="00C33834">
        <w:rPr>
          <w:color w:val="000000" w:themeColor="text1"/>
          <w:lang w:val="ru-RU"/>
        </w:rPr>
        <w:softHyphen/>
        <w:t>мандиром ТБ-3 являлся П.М. Стефановский, истребители пилотировали С.П. Суп</w:t>
      </w:r>
      <w:r w:rsidRPr="00C33834">
        <w:rPr>
          <w:color w:val="000000" w:themeColor="text1"/>
          <w:lang w:val="ru-RU"/>
        </w:rPr>
        <w:softHyphen/>
        <w:t>рун и В.К. Евсеев. Испытания завершили в декабре 1935 г. Конструкцию признали весьма удачной.</w:t>
      </w:r>
    </w:p>
    <w:p w14:paraId="22B61AA9" w14:textId="77777777" w:rsidR="00035895" w:rsidRPr="00C33834" w:rsidRDefault="00035895" w:rsidP="00C33834">
      <w:pPr>
        <w:spacing w:after="0" w:line="240" w:lineRule="auto"/>
        <w:jc w:val="both"/>
        <w:rPr>
          <w:rFonts w:ascii="Times New Roman" w:hAnsi="Times New Roman"/>
          <w:color w:val="000000" w:themeColor="text1"/>
          <w:sz w:val="16"/>
          <w:szCs w:val="16"/>
        </w:rPr>
      </w:pPr>
      <w:r w:rsidRPr="00C33834">
        <w:rPr>
          <w:rStyle w:val="94"/>
          <w:rFonts w:ascii="Times New Roman" w:hAnsi="Times New Roman" w:cs="Times New Roman"/>
          <w:b w:val="0"/>
          <w:color w:val="000000" w:themeColor="text1"/>
          <w:spacing w:val="0"/>
          <w:sz w:val="16"/>
          <w:szCs w:val="16"/>
        </w:rPr>
        <w:t>«Звено</w:t>
      </w:r>
      <w:r w:rsidRPr="00C33834">
        <w:rPr>
          <w:rStyle w:val="ArialNarrow8"/>
          <w:rFonts w:ascii="Times New Roman" w:hAnsi="Times New Roman" w:cs="Times New Roman"/>
          <w:b w:val="0"/>
          <w:color w:val="000000" w:themeColor="text1"/>
          <w:sz w:val="16"/>
          <w:szCs w:val="16"/>
        </w:rPr>
        <w:t>-7»</w:t>
      </w:r>
      <w:r w:rsidRPr="00C33834">
        <w:rPr>
          <w:rFonts w:ascii="Times New Roman" w:hAnsi="Times New Roman"/>
          <w:color w:val="000000" w:themeColor="text1"/>
          <w:sz w:val="16"/>
          <w:szCs w:val="16"/>
        </w:rPr>
        <w:t xml:space="preserve"> представляло собой гибрид </w:t>
      </w:r>
      <w:r w:rsidRPr="00C33834">
        <w:rPr>
          <w:rStyle w:val="9"/>
          <w:rFonts w:ascii="Times New Roman" w:hAnsi="Times New Roman" w:cs="Times New Roman"/>
          <w:color w:val="000000" w:themeColor="text1"/>
          <w:spacing w:val="0"/>
          <w:sz w:val="16"/>
          <w:szCs w:val="16"/>
        </w:rPr>
        <w:t>всех</w:t>
      </w:r>
      <w:r w:rsidRPr="00C33834">
        <w:rPr>
          <w:rStyle w:val="94"/>
          <w:rFonts w:ascii="Times New Roman" w:hAnsi="Times New Roman" w:cs="Times New Roman"/>
          <w:b w:val="0"/>
          <w:color w:val="000000" w:themeColor="text1"/>
          <w:spacing w:val="0"/>
          <w:sz w:val="16"/>
          <w:szCs w:val="16"/>
        </w:rPr>
        <w:t xml:space="preserve"> ранее</w:t>
      </w:r>
      <w:r w:rsidRPr="00C33834">
        <w:rPr>
          <w:rFonts w:ascii="Times New Roman" w:hAnsi="Times New Roman"/>
          <w:color w:val="000000" w:themeColor="text1"/>
          <w:sz w:val="16"/>
          <w:szCs w:val="16"/>
        </w:rPr>
        <w:t xml:space="preserve"> реализованных проектов. На крыле</w:t>
      </w:r>
      <w:r w:rsidRPr="00C33834">
        <w:rPr>
          <w:rStyle w:val="ArialNarrow8"/>
          <w:rFonts w:ascii="Times New Roman" w:hAnsi="Times New Roman" w:cs="Times New Roman"/>
          <w:b w:val="0"/>
          <w:color w:val="000000" w:themeColor="text1"/>
          <w:sz w:val="16"/>
          <w:szCs w:val="16"/>
        </w:rPr>
        <w:t xml:space="preserve"> стояли</w:t>
      </w:r>
      <w:r w:rsidRPr="00C33834">
        <w:rPr>
          <w:rFonts w:ascii="Times New Roman" w:hAnsi="Times New Roman"/>
          <w:color w:val="000000" w:themeColor="text1"/>
          <w:sz w:val="16"/>
          <w:szCs w:val="16"/>
        </w:rPr>
        <w:t xml:space="preserve"> два И-5, под ним подве</w:t>
      </w:r>
      <w:r w:rsidRPr="00C33834">
        <w:rPr>
          <w:rFonts w:ascii="Times New Roman" w:hAnsi="Times New Roman"/>
          <w:color w:val="000000" w:themeColor="text1"/>
          <w:sz w:val="16"/>
          <w:szCs w:val="16"/>
        </w:rPr>
        <w:softHyphen/>
      </w:r>
      <w:r w:rsidRPr="00C33834">
        <w:rPr>
          <w:rStyle w:val="94"/>
          <w:rFonts w:ascii="Times New Roman" w:hAnsi="Times New Roman" w:cs="Times New Roman"/>
          <w:b w:val="0"/>
          <w:color w:val="000000" w:themeColor="text1"/>
          <w:spacing w:val="0"/>
          <w:sz w:val="16"/>
          <w:szCs w:val="16"/>
        </w:rPr>
        <w:t>шивалась</w:t>
      </w:r>
      <w:r w:rsidRPr="00C33834">
        <w:rPr>
          <w:rStyle w:val="ArialNarrow8"/>
          <w:rFonts w:ascii="Times New Roman" w:hAnsi="Times New Roman" w:cs="Times New Roman"/>
          <w:b w:val="0"/>
          <w:color w:val="000000" w:themeColor="text1"/>
          <w:sz w:val="16"/>
          <w:szCs w:val="16"/>
        </w:rPr>
        <w:t xml:space="preserve"> пара</w:t>
      </w:r>
      <w:r w:rsidRPr="00C33834">
        <w:rPr>
          <w:rFonts w:ascii="Times New Roman" w:hAnsi="Times New Roman"/>
          <w:color w:val="000000" w:themeColor="text1"/>
          <w:sz w:val="16"/>
          <w:szCs w:val="16"/>
        </w:rPr>
        <w:t xml:space="preserve"> И-16, а под фюзеляжем </w:t>
      </w:r>
      <w:r w:rsidRPr="00C33834">
        <w:rPr>
          <w:rStyle w:val="ArialNarrow8"/>
          <w:rFonts w:ascii="Times New Roman" w:hAnsi="Times New Roman" w:cs="Times New Roman"/>
          <w:b w:val="0"/>
          <w:color w:val="000000" w:themeColor="text1"/>
          <w:sz w:val="16"/>
          <w:szCs w:val="16"/>
        </w:rPr>
        <w:t>ионпфовалась</w:t>
      </w:r>
      <w:r w:rsidRPr="00C33834">
        <w:rPr>
          <w:rFonts w:ascii="Times New Roman" w:hAnsi="Times New Roman"/>
          <w:color w:val="000000" w:themeColor="text1"/>
          <w:sz w:val="16"/>
          <w:szCs w:val="16"/>
        </w:rPr>
        <w:t xml:space="preserve"> трапеция, на которую уже </w:t>
      </w:r>
      <w:r w:rsidRPr="00C33834">
        <w:rPr>
          <w:rStyle w:val="102"/>
          <w:rFonts w:ascii="Times New Roman" w:hAnsi="Times New Roman" w:cs="Times New Roman"/>
          <w:color w:val="000000" w:themeColor="text1"/>
          <w:spacing w:val="0"/>
          <w:sz w:val="16"/>
          <w:szCs w:val="16"/>
        </w:rPr>
        <w:t>в</w:t>
      </w:r>
      <w:r w:rsidRPr="00C33834">
        <w:rPr>
          <w:rStyle w:val="ArialNarrow8"/>
          <w:rFonts w:ascii="Times New Roman" w:hAnsi="Times New Roman" w:cs="Times New Roman"/>
          <w:b w:val="0"/>
          <w:color w:val="000000" w:themeColor="text1"/>
          <w:sz w:val="16"/>
          <w:szCs w:val="16"/>
        </w:rPr>
        <w:t xml:space="preserve"> воздухе</w:t>
      </w:r>
      <w:r w:rsidRPr="00C33834">
        <w:rPr>
          <w:rFonts w:ascii="Times New Roman" w:hAnsi="Times New Roman"/>
          <w:color w:val="000000" w:themeColor="text1"/>
          <w:sz w:val="16"/>
          <w:szCs w:val="16"/>
        </w:rPr>
        <w:t xml:space="preserve"> подцеплялся И-Зет.</w:t>
      </w:r>
    </w:p>
    <w:p w14:paraId="3F298828" w14:textId="77777777" w:rsidR="00035895" w:rsidRPr="00C33834" w:rsidRDefault="0003589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(17741).</w:t>
      </w:r>
    </w:p>
    <w:p w14:paraId="37593A4D" w14:textId="77777777" w:rsidR="00035895" w:rsidRPr="00C33834" w:rsidRDefault="00035895" w:rsidP="00C33834">
      <w:pPr>
        <w:spacing w:after="0" w:line="240" w:lineRule="auto"/>
        <w:jc w:val="both"/>
        <w:rPr>
          <w:rFonts w:ascii="Times New Roman" w:eastAsia="Times New Roman" w:hAnsi="Times New Roman"/>
          <w:color w:val="000000" w:themeColor="text1"/>
          <w:sz w:val="16"/>
          <w:szCs w:val="16"/>
          <w:lang w:eastAsia="ru-RU"/>
        </w:rPr>
      </w:pPr>
    </w:p>
    <w:p w14:paraId="7D664911" w14:textId="77777777" w:rsidR="008C761D" w:rsidRPr="00C33834" w:rsidRDefault="008C761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октя</w:t>
      </w:r>
      <w:r w:rsidRPr="00C33834">
        <w:rPr>
          <w:rFonts w:ascii="Times New Roman" w:hAnsi="Times New Roman"/>
          <w:color w:val="0070C0"/>
          <w:sz w:val="16"/>
          <w:szCs w:val="16"/>
        </w:rPr>
        <w:softHyphen/>
        <w:t>бря 1933 г. Начальник ВВС Яков Алкснис утвердил отчет по испытаниям З-1а с положительной оценкой и предложением по</w:t>
      </w:r>
      <w:r w:rsidRPr="00C33834">
        <w:rPr>
          <w:rFonts w:ascii="Times New Roman" w:hAnsi="Times New Roman"/>
          <w:color w:val="0070C0"/>
          <w:sz w:val="16"/>
          <w:szCs w:val="16"/>
        </w:rPr>
        <w:softHyphen/>
        <w:t>строить серию таких составных самолетов (20345).</w:t>
      </w:r>
    </w:p>
    <w:p w14:paraId="580E0144" w14:textId="77777777" w:rsidR="008C761D" w:rsidRPr="00C33834" w:rsidRDefault="008C761D" w:rsidP="00C33834">
      <w:pPr>
        <w:spacing w:after="0" w:line="240" w:lineRule="auto"/>
        <w:jc w:val="both"/>
        <w:rPr>
          <w:rFonts w:ascii="Times New Roman" w:hAnsi="Times New Roman"/>
          <w:color w:val="0070C0"/>
          <w:sz w:val="16"/>
          <w:szCs w:val="16"/>
        </w:rPr>
      </w:pPr>
    </w:p>
    <w:p w14:paraId="751E78A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октября 1933 года Начальник Штаба ВВС Хрипин утвердил протокол Тактико-технического совещания НИИ ВВС (Журнал № 8) от 21 сентября 1933 года (6788).</w:t>
      </w:r>
    </w:p>
    <w:p w14:paraId="2D07B95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Перечень разбиравшихся вопросов</w:t>
      </w:r>
    </w:p>
    <w:p w14:paraId="1C5D5509"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Эскизный проект Х1. Докладчик Гребенев.</w:t>
      </w:r>
    </w:p>
    <w:p w14:paraId="4393F05E"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Эскизный проект ДИ6 (6788).</w:t>
      </w:r>
    </w:p>
    <w:p w14:paraId="1D792589"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A1B50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октября 1933 года Начальник Штаба ВВС Хрипин утвердил протокол Тактико-технического совещания НИИ ВВС (Журнал № 9) от 28 сентября 1933 года (6788).</w:t>
      </w:r>
    </w:p>
    <w:p w14:paraId="15AA0F6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Перечень разбиравшихся вопросов</w:t>
      </w:r>
    </w:p>
    <w:p w14:paraId="381EB28C"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Эскизный проект боевого самолета особого назначения конструкции Заславского. Докладчик Гребенев.</w:t>
      </w:r>
    </w:p>
    <w:p w14:paraId="0CB4788F"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Рассмотрение боевой схемы самолета И16. Докладчик Жемчужин (6788).</w:t>
      </w:r>
    </w:p>
    <w:p w14:paraId="0281B54F"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15436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октября 1933 - А.С.Я. как начальника конструкторской группы пытались выжить с завода Менжинского - N 142 НКТП СССР в течение недели - пом. директора - Александров (74,66). Помог Ф.Ф.Башин - секретарь парторганизации. Посоветовал писать в ЦКК Я.Э.Рудзутаку. Демонстрировал и катал его на красном моноплане вместе с Ю.И.Пионтковским (74,69). На конях в Николину гору прискакали К.Е.Ворошилов и А.И.Микоян (74,70). М.М.Каганович дал кроватную мастерскую на Ленинградском ш. (там, где сейчас КБ) (74,70). Обращался все время в Правду, боролся. От главка был - А.М.Беленкович, зам. нач. (74,72).</w:t>
      </w:r>
    </w:p>
    <w:p w14:paraId="5BC6DC7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Опять какое-то новое обозначение в дополнение к 39 и п/я 411</w:t>
      </w:r>
    </w:p>
    <w:p w14:paraId="7704DE9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10DBBEB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октября 1933 года начались гос. испытания мотора М-34 с электронным картером. Электронный картер дает облегчение мотора на 35 кг. Общий вес мотора вместо 600 кг был 565 кг (3516).</w:t>
      </w:r>
    </w:p>
    <w:p w14:paraId="592F479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05D9798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5 октября 1933 г. приступили к отстрелу РС-132 модели 1374, изго</w:t>
      </w:r>
      <w:r w:rsidRPr="00C33834">
        <w:rPr>
          <w:rFonts w:ascii="Times New Roman" w:hAnsi="Times New Roman"/>
          <w:color w:val="000000" w:themeColor="text1"/>
          <w:sz w:val="16"/>
          <w:szCs w:val="16"/>
        </w:rPr>
        <w:softHyphen/>
        <w:t>товленными тщательнее снарядов модели 561/1273. В отличие от прото</w:t>
      </w:r>
      <w:r w:rsidRPr="00C33834">
        <w:rPr>
          <w:rFonts w:ascii="Times New Roman" w:hAnsi="Times New Roman"/>
          <w:color w:val="000000" w:themeColor="text1"/>
          <w:sz w:val="16"/>
          <w:szCs w:val="16"/>
        </w:rPr>
        <w:softHyphen/>
        <w:t>типа, они были оснащены оперением из четырех крыльев размахом 300 мм. По 11 выстрелам при углах возвышения 23° средняя дальность соста</w:t>
      </w:r>
      <w:r w:rsidRPr="00C33834">
        <w:rPr>
          <w:rFonts w:ascii="Times New Roman" w:hAnsi="Times New Roman"/>
          <w:color w:val="000000" w:themeColor="text1"/>
          <w:sz w:val="16"/>
          <w:szCs w:val="16"/>
        </w:rPr>
        <w:softHyphen/>
        <w:t>вила 4129 м. Рассеивание уменьшилось на 30% и показало, что качество изготовления снарядов при повышении давления в камере двигателя оказывает влияние на меткость (11402).</w:t>
      </w:r>
    </w:p>
    <w:p w14:paraId="03178FC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F28793" w14:textId="77777777" w:rsidR="00CF276A" w:rsidRPr="00C33834" w:rsidRDefault="001A42D5" w:rsidP="00C3383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847EF8B" w14:textId="77777777" w:rsidR="00CF276A" w:rsidRPr="00C33834" w:rsidRDefault="00CF276A" w:rsidP="00C3383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6ABD6981" w14:textId="77777777" w:rsidR="00CF276A" w:rsidRPr="00C33834" w:rsidRDefault="00CF276A" w:rsidP="00C33834">
      <w:pPr>
        <w:pStyle w:val="rtejustify"/>
        <w:spacing w:before="0" w:after="0"/>
        <w:rPr>
          <w:color w:val="000000" w:themeColor="text1"/>
          <w:sz w:val="16"/>
          <w:szCs w:val="16"/>
        </w:rPr>
      </w:pPr>
      <w:r w:rsidRPr="00C33834">
        <w:rPr>
          <w:rStyle w:val="af0"/>
          <w:bCs/>
          <w:i w:val="0"/>
          <w:color w:val="000000" w:themeColor="text1"/>
          <w:sz w:val="16"/>
          <w:szCs w:val="16"/>
        </w:rPr>
        <w:t>5 октября 1933 вышел приказ НКТП № 168сс.</w:t>
      </w:r>
      <w:r w:rsidRPr="00C33834">
        <w:rPr>
          <w:color w:val="000000" w:themeColor="text1"/>
          <w:sz w:val="16"/>
          <w:szCs w:val="16"/>
        </w:rPr>
        <w:t xml:space="preserve"> О строительстве новых пороховых заводов. (РГАЭ. Ф. 7297. Оп. 38. Д. 38. Л. 110) (15246).</w:t>
      </w:r>
    </w:p>
    <w:p w14:paraId="7F857B09" w14:textId="77777777" w:rsidR="00CF276A" w:rsidRPr="00C33834" w:rsidRDefault="00CF276A" w:rsidP="00C33834">
      <w:pPr>
        <w:pStyle w:val="rtejustify"/>
        <w:spacing w:before="0" w:after="0"/>
        <w:rPr>
          <w:color w:val="000000" w:themeColor="text1"/>
          <w:sz w:val="16"/>
          <w:szCs w:val="16"/>
        </w:rPr>
      </w:pPr>
    </w:p>
    <w:p w14:paraId="3ECE0E2B"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020251E1"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E0BD87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октября 1933 за национализм уволен из харьковского театра «Березиль» украинский режиссер Л. Курбас (4962).</w:t>
      </w:r>
    </w:p>
    <w:p w14:paraId="177B274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9E3FBB" w14:textId="77777777" w:rsidR="00CF276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3FFD594" w14:textId="77777777" w:rsidR="00CF276A" w:rsidRPr="00C33834" w:rsidRDefault="00CF276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8B17725" w14:textId="77777777" w:rsidR="00CF276A" w:rsidRPr="00C33834" w:rsidRDefault="00CF276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октября в 1933 году в США ратифицирована XX поправка к конституции, "поправка о подбитой утке". "Хроменькой (или подбитой) уткой" (Lame duck или попросту ламер) называют в США только что избранного президента. Этим же выражением припечатывают бизнес, который никак не может "встать на ноги", подчеркивая тем самым стремление такой вот "уточки" побыстрее избавиться от присущих ей недостатков и стать полноценной. Поправка же предусматривала срок истечения полномочий покидающего свой пост президента в полдень 20 января года, следующего за годом выборов, и соответственно ту же дату вступления в должность нового президента, благодаря чему соблюдается принцип преемственности президентского поста. Устанавливает дату начала сессий Конгресса США очередного созыва - полдень 3 января, за счет чего сокращается переходный период передачи власти. Ранее переходный этап заканчивался в марте (14790).</w:t>
      </w:r>
    </w:p>
    <w:p w14:paraId="6B347AE4" w14:textId="77777777" w:rsidR="00CF276A" w:rsidRPr="00C33834" w:rsidRDefault="00CF276A" w:rsidP="00C33834">
      <w:pPr>
        <w:spacing w:after="0" w:line="240" w:lineRule="auto"/>
        <w:jc w:val="both"/>
        <w:rPr>
          <w:rFonts w:ascii="Times New Roman" w:hAnsi="Times New Roman"/>
          <w:color w:val="000000" w:themeColor="text1"/>
          <w:sz w:val="16"/>
          <w:szCs w:val="16"/>
        </w:rPr>
      </w:pPr>
    </w:p>
    <w:p w14:paraId="575B5C5C"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6F32609"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90727B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октября 1933 закончились заводские испытания ТБ-3 (АНТ-6) N 22202 с М-34Р, которые проводились с 27 сентября 1933 (1017,180). Поставили хвостовую турель (1854,9).</w:t>
      </w:r>
    </w:p>
    <w:p w14:paraId="428ABE3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5FB11D8C" w14:textId="77777777" w:rsidR="00CF276A" w:rsidRPr="00C33834" w:rsidRDefault="00CF276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октября 1933 К.К. Попов приступил к официальным заводским испытаниям опытного И-14, где выяснилось, что система уборки и выпуска шасси не доведена, и поэтому снятие лётных характеристик выполнялось с выпущенным шасси. С 25 октября по 14 ноября на самолёте доработали шасси. Заводские испытания завершились 13 декабря.</w:t>
      </w:r>
    </w:p>
    <w:p w14:paraId="28C77993" w14:textId="77777777" w:rsidR="00CF276A" w:rsidRPr="00C33834" w:rsidRDefault="00CF276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Заключении Отчёта по испытаниям И-14 отмечалось: «Лётные качества самолёта И-14 — горизонтальная скорость и скороподъёмность ставят его в разряд современных скоростных истребителей ...Самолет И-14 передать на государственные испытания» (15823).</w:t>
      </w:r>
    </w:p>
    <w:p w14:paraId="078FBD98" w14:textId="77777777" w:rsidR="00CF276A" w:rsidRPr="00C33834" w:rsidRDefault="00CF276A" w:rsidP="00C33834">
      <w:pPr>
        <w:spacing w:after="0" w:line="240" w:lineRule="auto"/>
        <w:jc w:val="both"/>
        <w:rPr>
          <w:rFonts w:ascii="Times New Roman" w:hAnsi="Times New Roman"/>
          <w:color w:val="000000" w:themeColor="text1"/>
          <w:sz w:val="16"/>
          <w:szCs w:val="16"/>
        </w:rPr>
      </w:pPr>
    </w:p>
    <w:p w14:paraId="306924BF" w14:textId="77777777" w:rsidR="00354C71" w:rsidRPr="00C33834" w:rsidRDefault="00354C71"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6 октября 1933 К. К. Попов приступил к официальным заводским испытаниям опытного И-14, в процессе которых выяснилось, что система уборки и выпуска шасси не доведена и поэтому снятие летных характеристик выполнялось с выпущенным шасси. С 25 октября по 14 ноября на самолете были выполнены доработки шасси. Заводские испытания завершились 13 декабря.</w:t>
      </w:r>
    </w:p>
    <w:p w14:paraId="4CB37386" w14:textId="77777777" w:rsidR="00354C71" w:rsidRPr="00C33834" w:rsidRDefault="00354C71"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В заключении Отчета по испытаниям самолета И-14 было отмечено:</w:t>
      </w:r>
    </w:p>
    <w:p w14:paraId="1B63C81A" w14:textId="77777777" w:rsidR="00354C71" w:rsidRPr="00C33834" w:rsidRDefault="00354C71" w:rsidP="00C33834">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C33834">
        <w:rPr>
          <w:rStyle w:val="af0"/>
          <w:i w:val="0"/>
          <w:color w:val="000000" w:themeColor="text1"/>
          <w:sz w:val="16"/>
          <w:szCs w:val="16"/>
          <w:bdr w:val="none" w:sz="0" w:space="0" w:color="auto" w:frame="1"/>
        </w:rPr>
        <w:t>«…Летные качества самолета И-14 – горизонтальная скорость и скороподъемность ставят его в разряд современных скоростных истребителей. …Самолет И-14 передать на государственные испытания.» (19177).</w:t>
      </w:r>
    </w:p>
    <w:p w14:paraId="5E0060EA" w14:textId="77777777" w:rsidR="00354C71" w:rsidRPr="00C33834" w:rsidRDefault="00354C71" w:rsidP="00C33834">
      <w:pPr>
        <w:pStyle w:val="ae"/>
        <w:shd w:val="clear" w:color="auto" w:fill="FFFFFF"/>
        <w:spacing w:before="0" w:after="0"/>
        <w:jc w:val="both"/>
        <w:textAlignment w:val="baseline"/>
        <w:rPr>
          <w:color w:val="000000" w:themeColor="text1"/>
          <w:sz w:val="16"/>
          <w:szCs w:val="16"/>
        </w:rPr>
      </w:pPr>
    </w:p>
    <w:p w14:paraId="4F92D82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6 октября по 13 декабря 1933 велись официальные заводские испытания И-14 (АНТ-31) (1454,25) c мотором Бристоль-Меркур (2267,50), а на гос. испытания машина попала только 2 января 1934 (2233,40). Машина то направлялась в ОЭЛИД, то отзывалась оттуда для доработок (2869,23).</w:t>
      </w:r>
    </w:p>
    <w:p w14:paraId="4F7C617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71B4A6C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октября 1933 в Финском заливе в районе Толбухина маяка в ходе испытаний улучшенных ТАВ-15 с ТБ-1 удачно сбросили торпеду с 1000 м при температуре -7. Приняли к производству как эталон на 1934 и Нач. ВВС приказал доработать имеющиеся торпеды (1966,12).</w:t>
      </w:r>
    </w:p>
    <w:p w14:paraId="3A6F7DE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623EF8B0" w14:textId="77777777" w:rsidR="00FE71E3" w:rsidRPr="00C33834" w:rsidRDefault="00FE71E3"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bCs/>
          <w:color w:val="000000" w:themeColor="text1"/>
          <w:sz w:val="16"/>
          <w:szCs w:val="16"/>
          <w:lang w:eastAsia="ru-RU"/>
        </w:rPr>
        <w:t>6 октября 1933 г. Сталин — Кагановичу</w:t>
      </w:r>
    </w:p>
    <w:p w14:paraId="24D760FD" w14:textId="77777777" w:rsidR="00FE71E3" w:rsidRPr="00C33834" w:rsidRDefault="00FE71E3"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u w:val="single"/>
          <w:lang w:eastAsia="ru-RU"/>
        </w:rPr>
        <w:t>Здравствуйте, т. Каганович!</w:t>
      </w:r>
    </w:p>
    <w:p w14:paraId="75B096B5" w14:textId="77777777" w:rsidR="00FE71E3" w:rsidRPr="00C33834" w:rsidRDefault="00FE71E3"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 Мои поправки к проекту пост[ановле]ния ЦК в связи с юбилеем Комсомола посылаю. Проект составлен неряшливо.</w:t>
      </w:r>
    </w:p>
    <w:p w14:paraId="1292A4ED" w14:textId="77777777" w:rsidR="00FE71E3" w:rsidRPr="00C33834" w:rsidRDefault="00FE71E3"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Придется 10–15 орденов (или 20) дать комсомольцам</w:t>
      </w:r>
      <w:r w:rsidRPr="00C33834">
        <w:rPr>
          <w:rFonts w:ascii="Times New Roman" w:eastAsia="Times New Roman" w:hAnsi="Times New Roman"/>
          <w:color w:val="000000" w:themeColor="text1"/>
          <w:sz w:val="16"/>
          <w:szCs w:val="16"/>
          <w:vertAlign w:val="superscript"/>
          <w:lang w:eastAsia="ru-RU"/>
        </w:rPr>
        <w:t>1</w:t>
      </w:r>
      <w:r w:rsidRPr="00C33834">
        <w:rPr>
          <w:rFonts w:ascii="Times New Roman" w:eastAsia="Times New Roman" w:hAnsi="Times New Roman"/>
          <w:color w:val="000000" w:themeColor="text1"/>
          <w:sz w:val="16"/>
          <w:szCs w:val="16"/>
          <w:lang w:eastAsia="ru-RU"/>
        </w:rPr>
        <w:t>.</w:t>
      </w:r>
    </w:p>
    <w:p w14:paraId="1ECDE5A7" w14:textId="77777777" w:rsidR="00FE71E3" w:rsidRPr="00C33834" w:rsidRDefault="00FE71E3"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2) Доколе будете терпеть безобразия в предприятиях НКснаба, особенно в консервных заводах? Отравили опять свыше 100 человек! Почему не принимаете меры против НКснаба и Микояна? Доколе будут издеваться над населением. Ваше (т.е. ПБ) долготерпение прямо поразительно</w:t>
      </w:r>
      <w:r w:rsidRPr="00C33834">
        <w:rPr>
          <w:rFonts w:ascii="Times New Roman" w:eastAsia="Times New Roman" w:hAnsi="Times New Roman"/>
          <w:color w:val="000000" w:themeColor="text1"/>
          <w:sz w:val="16"/>
          <w:szCs w:val="16"/>
          <w:vertAlign w:val="superscript"/>
          <w:lang w:eastAsia="ru-RU"/>
        </w:rPr>
        <w:t>2</w:t>
      </w:r>
      <w:r w:rsidRPr="00C33834">
        <w:rPr>
          <w:rFonts w:ascii="Times New Roman" w:eastAsia="Times New Roman" w:hAnsi="Times New Roman"/>
          <w:color w:val="000000" w:themeColor="text1"/>
          <w:sz w:val="16"/>
          <w:szCs w:val="16"/>
          <w:lang w:eastAsia="ru-RU"/>
        </w:rPr>
        <w:t>.</w:t>
      </w:r>
    </w:p>
    <w:p w14:paraId="5BEFEB11" w14:textId="77777777" w:rsidR="00FE71E3" w:rsidRPr="00C33834" w:rsidRDefault="00FE71E3"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3) Крайне подозрительно, что в разработке материалов стратостата</w:t>
      </w:r>
      <w:r w:rsidRPr="00C33834">
        <w:rPr>
          <w:rFonts w:ascii="Times New Roman" w:eastAsia="Times New Roman" w:hAnsi="Times New Roman"/>
          <w:color w:val="000000" w:themeColor="text1"/>
          <w:sz w:val="16"/>
          <w:szCs w:val="16"/>
          <w:vertAlign w:val="superscript"/>
          <w:lang w:eastAsia="ru-RU"/>
        </w:rPr>
        <w:t>3</w:t>
      </w:r>
      <w:r w:rsidRPr="00C33834">
        <w:rPr>
          <w:rFonts w:ascii="Times New Roman" w:eastAsia="Times New Roman" w:hAnsi="Times New Roman"/>
          <w:color w:val="000000" w:themeColor="text1"/>
          <w:sz w:val="16"/>
          <w:szCs w:val="16"/>
          <w:u w:val="single"/>
          <w:lang w:eastAsia="ru-RU"/>
        </w:rPr>
        <w:t>первую скрипку</w:t>
      </w:r>
      <w:r w:rsidRPr="00C33834">
        <w:rPr>
          <w:rFonts w:ascii="Times New Roman" w:eastAsia="Times New Roman" w:hAnsi="Times New Roman"/>
          <w:color w:val="000000" w:themeColor="text1"/>
          <w:sz w:val="16"/>
          <w:szCs w:val="16"/>
          <w:lang w:eastAsia="ru-RU"/>
        </w:rPr>
        <w:t xml:space="preserve"> играет Вангенгейм, тот самый Вангенгейм, который во главе Бюро погоды сулил нам к лету 33 года великую засуху и который организовал в Мурманске ГОИН, потом разгромленный нами, как гнездо немецких шпионов. В чем тут дело? Откуда такое доверие к этому субъекту?</w:t>
      </w:r>
    </w:p>
    <w:p w14:paraId="1E19DC3F" w14:textId="77777777" w:rsidR="00FE71E3" w:rsidRPr="00C33834" w:rsidRDefault="00FE71E3"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lastRenderedPageBreak/>
        <w:t>Ну, пока все. Привет И. Сталин</w:t>
      </w:r>
      <w:r w:rsidRPr="00C33834">
        <w:rPr>
          <w:rFonts w:ascii="Times New Roman" w:eastAsia="Times New Roman" w:hAnsi="Times New Roman"/>
          <w:color w:val="000000" w:themeColor="text1"/>
          <w:sz w:val="16"/>
          <w:szCs w:val="16"/>
          <w:vertAlign w:val="superscript"/>
          <w:lang w:eastAsia="ru-RU"/>
        </w:rPr>
        <w:t xml:space="preserve">4 </w:t>
      </w:r>
      <w:r w:rsidRPr="00C33834">
        <w:rPr>
          <w:rFonts w:ascii="Times New Roman" w:eastAsia="Times New Roman" w:hAnsi="Times New Roman"/>
          <w:color w:val="000000" w:themeColor="text1"/>
          <w:sz w:val="16"/>
          <w:szCs w:val="16"/>
          <w:lang w:eastAsia="ru-RU"/>
        </w:rPr>
        <w:t>6/Х-ЗЗ</w:t>
      </w:r>
    </w:p>
    <w:p w14:paraId="61231408" w14:textId="77777777" w:rsidR="00FE71E3" w:rsidRPr="00C33834" w:rsidRDefault="00FE71E3"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iCs/>
          <w:color w:val="000000" w:themeColor="text1"/>
          <w:sz w:val="16"/>
          <w:szCs w:val="16"/>
          <w:lang w:eastAsia="ru-RU"/>
        </w:rPr>
        <w:t>Ф. 81. On. 3. Д. 100. Л. 34–35. Автограф(17281).</w:t>
      </w:r>
    </w:p>
    <w:p w14:paraId="19C46B1F" w14:textId="77777777" w:rsidR="00FE71E3" w:rsidRPr="00C33834" w:rsidRDefault="00FE71E3" w:rsidP="00C33834">
      <w:pPr>
        <w:autoSpaceDE w:val="0"/>
        <w:autoSpaceDN w:val="0"/>
        <w:adjustRightInd w:val="0"/>
        <w:spacing w:after="0" w:line="240" w:lineRule="auto"/>
        <w:jc w:val="both"/>
        <w:rPr>
          <w:rFonts w:ascii="Times New Roman" w:hAnsi="Times New Roman"/>
          <w:color w:val="000000" w:themeColor="text1"/>
          <w:sz w:val="16"/>
          <w:szCs w:val="16"/>
        </w:rPr>
      </w:pPr>
    </w:p>
    <w:p w14:paraId="1F4E538A"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1AE78F5B"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0734EB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6 и 12 октября 1933. Из протокола заседания Политбюро N 148, 1933 г.</w:t>
      </w:r>
    </w:p>
    <w:p w14:paraId="229F358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Об отпуске средств на пособия работникам МХАТ им. Горького </w:t>
      </w:r>
    </w:p>
    <w:p w14:paraId="50D4F8E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Отпустить из резервного фонда СНК СССР двести тысяч рублей на выплату единовременных пособий руководителям и старейшим работникам — артистам МХАТ им. Горького в связи с 35-летним юбилеем этого театра (11652).</w:t>
      </w:r>
    </w:p>
    <w:p w14:paraId="155D514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3803830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6 и 12 октября 1933. Из протокола заседания Политбюро N 148, 1933 г.</w:t>
      </w:r>
    </w:p>
    <w:p w14:paraId="79C5AD6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выдаче пшеничной муки к Октябрьским праздникам </w:t>
      </w:r>
    </w:p>
    <w:p w14:paraId="2F99514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Разрешить Комитету по заготовкам при СНК СССР выдать рабочим в важнейших промышленных центрах к Октябрьским праздникам вместо ржаной муки пшеничную, выделить для этой цели для всего Союза 20 000 тонн пшеничной муки (11652).</w:t>
      </w:r>
    </w:p>
    <w:p w14:paraId="27D0187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75484B5F"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71808527"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A811CE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6 и 12 октября 1933. Из протокола заседания Политбюро N 148, 1933 г.</w:t>
      </w:r>
    </w:p>
    <w:p w14:paraId="763FC8B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Польше </w:t>
      </w:r>
    </w:p>
    <w:p w14:paraId="0804617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Утвердить следующий текст ноты Польше с опубликованием в печати: </w:t>
      </w:r>
    </w:p>
    <w:p w14:paraId="2B1CAAB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"21-го октября на Генеральное Консульство СССР во Львове было произведено нападение, в результате которого сотрудник Консульства Майлов был убит, а другой сотрудник, Джугай,— ранен. Это покушение нельзя не поставить в связь с той кампанией, которая уже в течение продолжительного времени ведется в некоторых воеводствах и, в частности, во Львове, кампании, не знающей никаких границ в травле, клевете и науськивании на Советский Союз и имеющей целью возбудить известные слои населения против СССР" (11652).</w:t>
      </w:r>
    </w:p>
    <w:p w14:paraId="05CCF736" w14:textId="4AA0AED3"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115FBE4E" w14:textId="7A2A7266" w:rsidR="00302848" w:rsidRPr="00C33834" w:rsidRDefault="00302848" w:rsidP="00C33834">
      <w:pPr>
        <w:autoSpaceDE w:val="0"/>
        <w:autoSpaceDN w:val="0"/>
        <w:adjustRightInd w:val="0"/>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За рубежом:</w:t>
      </w:r>
    </w:p>
    <w:p w14:paraId="298AA6F3" w14:textId="77777777" w:rsidR="00302848" w:rsidRPr="00C33834" w:rsidRDefault="00302848" w:rsidP="00C33834">
      <w:pPr>
        <w:autoSpaceDE w:val="0"/>
        <w:autoSpaceDN w:val="0"/>
        <w:adjustRightInd w:val="0"/>
        <w:spacing w:after="0" w:line="240" w:lineRule="auto"/>
        <w:jc w:val="both"/>
        <w:rPr>
          <w:rFonts w:ascii="Times New Roman" w:hAnsi="Times New Roman"/>
          <w:i/>
          <w:iCs/>
          <w:color w:val="000000" w:themeColor="text1"/>
          <w:sz w:val="16"/>
          <w:szCs w:val="16"/>
        </w:rPr>
      </w:pPr>
    </w:p>
    <w:p w14:paraId="19CA4EE6" w14:textId="77777777" w:rsidR="00302848" w:rsidRPr="00C33834" w:rsidRDefault="0030284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октября 1933 состоялся первый полет Pander S-4 Postjager (20802).</w:t>
      </w:r>
    </w:p>
    <w:p w14:paraId="01418BE6" w14:textId="77777777" w:rsidR="00302848" w:rsidRPr="00C33834" w:rsidRDefault="00302848" w:rsidP="00C33834">
      <w:pPr>
        <w:spacing w:after="0" w:line="240" w:lineRule="auto"/>
        <w:jc w:val="both"/>
        <w:rPr>
          <w:rFonts w:ascii="Times New Roman" w:hAnsi="Times New Roman"/>
          <w:color w:val="0070C0"/>
          <w:sz w:val="16"/>
          <w:szCs w:val="16"/>
        </w:rPr>
      </w:pPr>
    </w:p>
    <w:p w14:paraId="23347ADB"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F59EBCA"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7B7821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октября 1933 г. на аэродроме появился Первенец бригады № 2 ЦКБ - И-15. На киле ярко-красного самолета в центре белого круга была изображена звезда, а поверх ее выведены цифры «39» и надпись «ЦКБ-3». Испытания прошли успешно: И-15 был принят на вооружение ВВС СССР и в течение двух лет выпускался серийно. На опытном экземпляре ЦКБ-3, специально облегченном для этого полета, летчик Владимир Константинович Коккинаки 21 декабря 1935 г. установил мировой рекорд высоты, поднявшись на 14575 метров. Этот результат на 132 м превысил рекорд высоты, установленный в 1934 г. итальянским летчиком Р.Донатти на самолете «Caproni-114a» (9536,5).</w:t>
      </w:r>
    </w:p>
    <w:p w14:paraId="46079BA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2CEB3EF2" w14:textId="77777777" w:rsidR="00354C71" w:rsidRPr="00C33834" w:rsidRDefault="00354C7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октября 1933 г. первенец бригады № 2 появился на аэродроме На киле ярко-красного самолета в центре белого круга была изображена звезда, а поверх ее выведены цифры «39» и надпись «ЦКБ-3». Испытания прошли успешно: И-15 был принят на вооружение ВВС СССР и в течение двух лет выпускался серийно. На опытном экземпляре ЦКБ-3, специально облегченном для этого полета, летчик Владимир Константинович Коккинаки 21 декабря 1935 г. установил мировой рекорд высоты, поднявшись на 14575 метров. Этот результат на 132 м превысил рекорд высоты, установленный в 1934 г. итальянским летчиком Р.Донатти на самолете «Caproni 14а» (18254).</w:t>
      </w:r>
    </w:p>
    <w:p w14:paraId="57DA8542" w14:textId="77777777" w:rsidR="00354C71" w:rsidRPr="00C33834" w:rsidRDefault="00354C71" w:rsidP="00C33834">
      <w:pPr>
        <w:spacing w:after="0" w:line="240" w:lineRule="auto"/>
        <w:jc w:val="both"/>
        <w:rPr>
          <w:rFonts w:ascii="Times New Roman" w:hAnsi="Times New Roman"/>
          <w:color w:val="000000" w:themeColor="text1"/>
          <w:sz w:val="16"/>
          <w:szCs w:val="16"/>
        </w:rPr>
      </w:pPr>
    </w:p>
    <w:p w14:paraId="7537096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октября 1933 г. ярко-красный самолет - пер</w:t>
      </w:r>
      <w:r w:rsidRPr="00C33834">
        <w:rPr>
          <w:rFonts w:ascii="Times New Roman" w:hAnsi="Times New Roman"/>
          <w:color w:val="000000" w:themeColor="text1"/>
          <w:sz w:val="16"/>
          <w:szCs w:val="16"/>
        </w:rPr>
        <w:softHyphen/>
        <w:t>венец бригады № 2 - доставили на аэродром. На киле в центре белого круга была изображена звезда, а поверх нее выведены цифры «39» и надпись «ЦКБ-3». Начались наземные испытания и подготовка к первому вылету (10667).</w:t>
      </w:r>
    </w:p>
    <w:p w14:paraId="5B7142E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2320B3F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октября 1933 Нач. 4 отдела ЭКУ ОГПУ Калецкий подготовил:</w:t>
      </w:r>
    </w:p>
    <w:p w14:paraId="38A5FED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в е д е н и я</w:t>
      </w:r>
    </w:p>
    <w:p w14:paraId="532DBF8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вьполнении программы по з-дам самолетостроения взятые ив сводки ГУАП"а, подписанной Нач.ГУАП"а тов. КОРОЛШШ.</w:t>
      </w:r>
    </w:p>
    <w:p w14:paraId="1D19F7A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lang w:val="en-US"/>
        </w:rPr>
        <w:t>I</w:t>
      </w:r>
      <w:r w:rsidRPr="00C33834">
        <w:rPr>
          <w:rFonts w:ascii="Times New Roman" w:hAnsi="Times New Roman"/>
          <w:color w:val="000000" w:themeColor="text1"/>
          <w:sz w:val="16"/>
          <w:szCs w:val="16"/>
        </w:rPr>
        <w:t xml:space="preserve">. Завод № </w:t>
      </w:r>
      <w:r w:rsidRPr="00C33834">
        <w:rPr>
          <w:rFonts w:ascii="Times New Roman" w:hAnsi="Times New Roman"/>
          <w:color w:val="000000" w:themeColor="text1"/>
          <w:sz w:val="16"/>
          <w:szCs w:val="16"/>
          <w:lang w:val="en-US"/>
        </w:rPr>
        <w:t>I</w:t>
      </w:r>
    </w:p>
    <w:p w14:paraId="083DEE4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программу Р-5 выполнил - 57% годового задания или 79% задания на 9 мес За 8 мес. недодано 252 само</w:t>
      </w:r>
      <w:r w:rsidRPr="00C33834">
        <w:rPr>
          <w:rFonts w:ascii="Times New Roman" w:hAnsi="Times New Roman"/>
          <w:color w:val="000000" w:themeColor="text1"/>
          <w:sz w:val="16"/>
          <w:szCs w:val="16"/>
        </w:rPr>
        <w:softHyphen/>
        <w:t>лета.</w:t>
      </w:r>
    </w:p>
    <w:p w14:paraId="4AEAC6E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программу И-7 выполнил - 1.9% годового зада</w:t>
      </w:r>
      <w:r w:rsidRPr="00C33834">
        <w:rPr>
          <w:rFonts w:ascii="Times New Roman" w:hAnsi="Times New Roman"/>
          <w:color w:val="000000" w:themeColor="text1"/>
          <w:sz w:val="16"/>
          <w:szCs w:val="16"/>
        </w:rPr>
        <w:softHyphen/>
        <w:t>ния или 27% задания на 9 мео. За 9 мес. недодано 124 само</w:t>
      </w:r>
      <w:r w:rsidRPr="00C33834">
        <w:rPr>
          <w:rFonts w:ascii="Times New Roman" w:hAnsi="Times New Roman"/>
          <w:color w:val="000000" w:themeColor="text1"/>
          <w:sz w:val="16"/>
          <w:szCs w:val="16"/>
        </w:rPr>
        <w:softHyphen/>
        <w:t>лета.</w:t>
      </w:r>
    </w:p>
    <w:p w14:paraId="2BDD4CB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Еще хуже выполнение по групповым комплектам.</w:t>
      </w:r>
    </w:p>
    <w:p w14:paraId="63D5805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Завод № 31 программа по гидросамолетам "МБР-4" с мотором АСОО выполнена на 75%, не</w:t>
      </w:r>
      <w:r w:rsidRPr="00C33834">
        <w:rPr>
          <w:rFonts w:ascii="Times New Roman" w:hAnsi="Times New Roman"/>
          <w:color w:val="000000" w:themeColor="text1"/>
          <w:sz w:val="16"/>
          <w:szCs w:val="16"/>
        </w:rPr>
        <w:softHyphen/>
        <w:t>додано 5 машин.</w:t>
      </w:r>
    </w:p>
    <w:p w14:paraId="10A984B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Тоже с мотором “М-34"не сда</w:t>
      </w:r>
      <w:r w:rsidRPr="00C33834">
        <w:rPr>
          <w:rFonts w:ascii="Times New Roman" w:hAnsi="Times New Roman"/>
          <w:color w:val="000000" w:themeColor="text1"/>
          <w:sz w:val="16"/>
          <w:szCs w:val="16"/>
        </w:rPr>
        <w:softHyphen/>
        <w:t>но ни одной машины при зада</w:t>
      </w:r>
      <w:r w:rsidRPr="00C33834">
        <w:rPr>
          <w:rFonts w:ascii="Times New Roman" w:hAnsi="Times New Roman"/>
          <w:color w:val="000000" w:themeColor="text1"/>
          <w:sz w:val="16"/>
          <w:szCs w:val="16"/>
        </w:rPr>
        <w:softHyphen/>
        <w:t>нии 42.</w:t>
      </w:r>
    </w:p>
    <w:p w14:paraId="525524A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программу по сам. Р6 с мотор. 2 М17 7-8% годово</w:t>
      </w:r>
      <w:r w:rsidRPr="00C33834">
        <w:rPr>
          <w:rFonts w:ascii="Times New Roman" w:hAnsi="Times New Roman"/>
          <w:color w:val="000000" w:themeColor="text1"/>
          <w:sz w:val="16"/>
          <w:szCs w:val="16"/>
        </w:rPr>
        <w:softHyphen/>
        <w:t>го или 16% 9 мес. задания недо</w:t>
      </w:r>
      <w:r w:rsidRPr="00C33834">
        <w:rPr>
          <w:rFonts w:ascii="Times New Roman" w:hAnsi="Times New Roman"/>
          <w:color w:val="000000" w:themeColor="text1"/>
          <w:sz w:val="16"/>
          <w:szCs w:val="16"/>
        </w:rPr>
        <w:softHyphen/>
        <w:t>дано 49 машин.</w:t>
      </w:r>
    </w:p>
    <w:p w14:paraId="276C72D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Тоже с моторами М34 - 0%</w:t>
      </w:r>
    </w:p>
    <w:p w14:paraId="067E56D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программу по сам. АНТ-9 - 0% при задании 8 са</w:t>
      </w:r>
      <w:r w:rsidRPr="00C33834">
        <w:rPr>
          <w:rFonts w:ascii="Times New Roman" w:hAnsi="Times New Roman"/>
          <w:color w:val="000000" w:themeColor="text1"/>
          <w:sz w:val="16"/>
          <w:szCs w:val="16"/>
        </w:rPr>
        <w:softHyphen/>
        <w:t>молетов.</w:t>
      </w:r>
    </w:p>
    <w:p w14:paraId="37D6E49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Завод №18 не сдал в течение 1 и 1/2 мес. ни одной маши</w:t>
      </w:r>
      <w:r w:rsidRPr="00C33834">
        <w:rPr>
          <w:rFonts w:ascii="Times New Roman" w:hAnsi="Times New Roman"/>
          <w:color w:val="000000" w:themeColor="text1"/>
          <w:sz w:val="16"/>
          <w:szCs w:val="16"/>
        </w:rPr>
        <w:softHyphen/>
        <w:t>ны.</w:t>
      </w:r>
    </w:p>
    <w:p w14:paraId="4A0CC80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Харьковский авиазавод из программы на 9 мес. выполнил 76%, недодав 25 самолетов К5.</w:t>
      </w:r>
    </w:p>
    <w:p w14:paraId="6761A2F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остальным заводам /№№ 21, 22, 23, 39/ программа само</w:t>
      </w:r>
      <w:r w:rsidRPr="00C33834">
        <w:rPr>
          <w:rFonts w:ascii="Times New Roman" w:hAnsi="Times New Roman"/>
          <w:color w:val="000000" w:themeColor="text1"/>
          <w:sz w:val="16"/>
          <w:szCs w:val="16"/>
        </w:rPr>
        <w:softHyphen/>
        <w:t>летостроения выполнена более удовлетворительно /выше 80%/, за исключением ТБ-3 с мотором М34 /з-д № 22/ из 45 самоле</w:t>
      </w:r>
      <w:r w:rsidRPr="00C33834">
        <w:rPr>
          <w:rFonts w:ascii="Times New Roman" w:hAnsi="Times New Roman"/>
          <w:color w:val="000000" w:themeColor="text1"/>
          <w:sz w:val="16"/>
          <w:szCs w:val="16"/>
        </w:rPr>
        <w:softHyphen/>
        <w:t>тов сдано 2- и отставание по групповым комплектам,</w:t>
      </w:r>
    </w:p>
    <w:p w14:paraId="27B56D9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 4 ОТД ЭКУ ОГПУ /КАЛЕЦКИЙ/ (4191).</w:t>
      </w:r>
    </w:p>
    <w:p w14:paraId="763B0D5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7C366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октября 1933 была подготовлена:</w:t>
      </w:r>
    </w:p>
    <w:p w14:paraId="0240A97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ВЫПИСКА</w:t>
      </w:r>
    </w:p>
    <w:p w14:paraId="05B2517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МАТЕРИАЛОВ ПРЕДВАРИТЕЛЬНОГО СЛЕДСТВИЯ ПО ЗАВОДУ№ 21.</w:t>
      </w:r>
    </w:p>
    <w:p w14:paraId="24EAFE4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ПОКАЗАНИЯ КУПРИЯНОВА:</w:t>
      </w:r>
    </w:p>
    <w:p w14:paraId="662A747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21 самолета, сданных в июле в счет июньской про</w:t>
      </w:r>
      <w:r w:rsidRPr="00C33834">
        <w:rPr>
          <w:rFonts w:ascii="Times New Roman" w:hAnsi="Times New Roman"/>
          <w:color w:val="000000" w:themeColor="text1"/>
          <w:sz w:val="16"/>
          <w:szCs w:val="16"/>
        </w:rPr>
        <w:softHyphen/>
        <w:t>граммы, только машина № 2197 была задержана в заводе по вине завода № 29, все остальные 20 машин должны были пройти ряд операций производственного характера, прежде чем попасть в ящик. На каждой из этих машин требовалось времени на прохождение этих операций не менее 60-ти ра</w:t>
      </w:r>
      <w:r w:rsidRPr="00C33834">
        <w:rPr>
          <w:rFonts w:ascii="Times New Roman" w:hAnsi="Times New Roman"/>
          <w:color w:val="000000" w:themeColor="text1"/>
          <w:sz w:val="16"/>
          <w:szCs w:val="16"/>
        </w:rPr>
        <w:softHyphen/>
        <w:t>бочих часов. Дирекцией завода эти машины были сданы и коммерчески оформлены следующим образом: 27 и 28 июня были Заводоуправлением пред"явлены к техническому осмо</w:t>
      </w:r>
      <w:r w:rsidRPr="00C33834">
        <w:rPr>
          <w:rFonts w:ascii="Times New Roman" w:hAnsi="Times New Roman"/>
          <w:color w:val="000000" w:themeColor="text1"/>
          <w:sz w:val="16"/>
          <w:szCs w:val="16"/>
        </w:rPr>
        <w:softHyphen/>
        <w:t>тру ВОенпредству 15 машин из июньской программы, а 28 и 29 июня уже были Военпредом -ЖУКОВЫМ выданы на них удосто</w:t>
      </w:r>
      <w:r w:rsidRPr="00C33834">
        <w:rPr>
          <w:rFonts w:ascii="Times New Roman" w:hAnsi="Times New Roman"/>
          <w:color w:val="000000" w:themeColor="text1"/>
          <w:sz w:val="16"/>
          <w:szCs w:val="16"/>
        </w:rPr>
        <w:softHyphen/>
        <w:t>верения, свидетельствующие о 100% готовности этих машин к отправке в ящики. На этих удостоверениях за №№ 93 и 95 имеется примечание: "самолеты отправлены в ящиках УВВС." Фактически были отправлены 5 самолетов 17 июля, 3 само</w:t>
      </w:r>
      <w:r w:rsidRPr="00C33834">
        <w:rPr>
          <w:rFonts w:ascii="Times New Roman" w:hAnsi="Times New Roman"/>
          <w:color w:val="000000" w:themeColor="text1"/>
          <w:sz w:val="16"/>
          <w:szCs w:val="16"/>
        </w:rPr>
        <w:softHyphen/>
        <w:t>лета 23 июля, 5 самолетов 31 июля, а машина № 21128, числящаяся сданной по удостоверению № 95 в июне, пред</w:t>
      </w:r>
      <w:r w:rsidRPr="00C33834">
        <w:rPr>
          <w:rFonts w:ascii="Times New Roman" w:hAnsi="Times New Roman"/>
          <w:color w:val="000000" w:themeColor="text1"/>
          <w:sz w:val="16"/>
          <w:szCs w:val="16"/>
        </w:rPr>
        <w:softHyphen/>
        <w:t>полагалась к отправке только 7 августа, из-за отсутствия некоторых запасных частей, например: резины и платформ.</w:t>
      </w:r>
    </w:p>
    <w:p w14:paraId="05C2625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показаний младшего Военпреда ИЕВЛЕВА, заместите</w:t>
      </w:r>
      <w:r w:rsidRPr="00C33834">
        <w:rPr>
          <w:rFonts w:ascii="Times New Roman" w:hAnsi="Times New Roman"/>
          <w:color w:val="000000" w:themeColor="text1"/>
          <w:sz w:val="16"/>
          <w:szCs w:val="16"/>
        </w:rPr>
        <w:softHyphen/>
        <w:t>ля Военпреда ЖУКОВА видно, что:</w:t>
      </w:r>
    </w:p>
    <w:p w14:paraId="0D437DD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программы проходит в ненормальных условиях, в сильной степени отражающейся на качестве продукции. Примером может служить июль</w:t>
      </w:r>
      <w:r w:rsidRPr="00C33834">
        <w:rPr>
          <w:rFonts w:ascii="Times New Roman" w:hAnsi="Times New Roman"/>
          <w:color w:val="000000" w:themeColor="text1"/>
          <w:sz w:val="16"/>
          <w:szCs w:val="16"/>
        </w:rPr>
        <w:softHyphen/>
        <w:t>ская программа. Не имея ряда деталей секторов газа, заливной с ис темы, краников фильтра, тяг и т.д. Самолеты пред являлись ОТК и, одновременно, Военной При е мке.</w:t>
      </w:r>
    </w:p>
    <w:p w14:paraId="713EAF7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"Самолеы из сборочного цеха перебрасывались на аэродром в недоделанном виде. На мой вопрос АБРАМОВУ (Пом. Техн. директора, быв. вредитель, </w:t>
      </w:r>
      <w:r w:rsidRPr="00C33834">
        <w:rPr>
          <w:rFonts w:ascii="Times New Roman" w:hAnsi="Times New Roman"/>
          <w:smallCaps/>
          <w:color w:val="000000" w:themeColor="text1"/>
          <w:sz w:val="16"/>
          <w:szCs w:val="16"/>
        </w:rPr>
        <w:t xml:space="preserve">досрочно </w:t>
      </w:r>
      <w:r w:rsidRPr="00C33834">
        <w:rPr>
          <w:rFonts w:ascii="Times New Roman" w:hAnsi="Times New Roman"/>
          <w:color w:val="000000" w:themeColor="text1"/>
          <w:sz w:val="16"/>
          <w:szCs w:val="16"/>
        </w:rPr>
        <w:t>освобожденный), что это дело никуда не годится, что на устранение дефектов и недо</w:t>
      </w:r>
      <w:r w:rsidRPr="00C33834">
        <w:rPr>
          <w:rFonts w:ascii="Times New Roman" w:hAnsi="Times New Roman"/>
          <w:color w:val="000000" w:themeColor="text1"/>
          <w:sz w:val="16"/>
          <w:szCs w:val="16"/>
        </w:rPr>
        <w:softHyphen/>
        <w:t>лов на еэродраме затрачивается лишняя рабочая сила, время', средства, АБРАМОВ ответил, что "в цехе нет места". На ряд других требований с моей стороны АБРАМОВУ и КУПРИЯНОУ (ст. инженер сборочного цеха) я получил ответ: что если машина на аэродроме, то она считается готовой к полету, а если она здесь, то уже другое дело, тем более, что может кто нибудь навернуться из Москвы для проверки выполнения программы по отправленной телеграмме".</w:t>
      </w:r>
    </w:p>
    <w:p w14:paraId="0CDD46D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показания мл. Военпреда ИЕВЛЕВА).</w:t>
      </w:r>
    </w:p>
    <w:p w14:paraId="1FF34FF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показаний летчика ПАВЛУШОВА:</w:t>
      </w:r>
    </w:p>
    <w:p w14:paraId="54508B5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"Самолет еще находится в стадии сборки, а военный представитель уже оплачивает заводу за самолет, т.е. приблизительно за 10 - 15 дней до поступления самолета в экспедицию. В результате сборочный цех пред"являет самолет Контрольному Отделу без многих монтажей и если Контрольный Отдел не принимает для осмотра са</w:t>
      </w:r>
      <w:r w:rsidRPr="00C33834">
        <w:rPr>
          <w:rFonts w:ascii="Times New Roman" w:hAnsi="Times New Roman"/>
          <w:color w:val="000000" w:themeColor="text1"/>
          <w:sz w:val="16"/>
          <w:szCs w:val="16"/>
        </w:rPr>
        <w:softHyphen/>
        <w:t>молет, то на него производиться нажим со сторо</w:t>
      </w:r>
      <w:r w:rsidRPr="00C33834">
        <w:rPr>
          <w:rFonts w:ascii="Times New Roman" w:hAnsi="Times New Roman"/>
          <w:color w:val="000000" w:themeColor="text1"/>
          <w:sz w:val="16"/>
          <w:szCs w:val="16"/>
        </w:rPr>
        <w:softHyphen/>
        <w:t>ны дирекции. Военнае представительство также осматривает незаконченные самолеты и требования снизило в последние 2 месяца июнь-июль по срав</w:t>
      </w:r>
      <w:r w:rsidRPr="00C33834">
        <w:rPr>
          <w:rFonts w:ascii="Times New Roman" w:hAnsi="Times New Roman"/>
          <w:color w:val="000000" w:themeColor="text1"/>
          <w:sz w:val="16"/>
          <w:szCs w:val="16"/>
        </w:rPr>
        <w:softHyphen/>
        <w:t>нению с мартом-апрелем. Сборочный цех стал самолеты выводить на аэродром совершенно недо</w:t>
      </w:r>
      <w:r w:rsidRPr="00C33834">
        <w:rPr>
          <w:rFonts w:ascii="Times New Roman" w:hAnsi="Times New Roman"/>
          <w:color w:val="000000" w:themeColor="text1"/>
          <w:sz w:val="16"/>
          <w:szCs w:val="16"/>
        </w:rPr>
        <w:softHyphen/>
        <w:t>деланными и все недоделки в большой суете и спешке производятся на аэродроме, при чем на ка</w:t>
      </w:r>
      <w:r w:rsidRPr="00C33834">
        <w:rPr>
          <w:rFonts w:ascii="Times New Roman" w:hAnsi="Times New Roman"/>
          <w:color w:val="000000" w:themeColor="text1"/>
          <w:sz w:val="16"/>
          <w:szCs w:val="16"/>
        </w:rPr>
        <w:softHyphen/>
        <w:t>чество отделки Военное представительство снизило требование. В результате спешки (т.е. пере</w:t>
      </w:r>
      <w:r w:rsidRPr="00C33834">
        <w:rPr>
          <w:rFonts w:ascii="Times New Roman" w:hAnsi="Times New Roman"/>
          <w:color w:val="000000" w:themeColor="text1"/>
          <w:sz w:val="16"/>
          <w:szCs w:val="16"/>
        </w:rPr>
        <w:softHyphen/>
        <w:t>выполнение программы) качество самолетов не улучшается, а ухудшается, при чем военное представи</w:t>
      </w:r>
      <w:r w:rsidRPr="00C33834">
        <w:rPr>
          <w:rFonts w:ascii="Times New Roman" w:hAnsi="Times New Roman"/>
          <w:color w:val="000000" w:themeColor="text1"/>
          <w:sz w:val="16"/>
          <w:szCs w:val="16"/>
        </w:rPr>
        <w:softHyphen/>
        <w:t>тельство это отлично видит.</w:t>
      </w:r>
    </w:p>
    <w:p w14:paraId="30FEF1D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 облетываются недоделанными и летают только как летательные машины, а не как боевая и после полетов в экспедиции устраняются до 30 недоделок (дефекты). Конечно экспедиция устра няет эти недоделки, а часть их остается, т.к. самолет в экспедицию поступает в разобранном виде, например: патронные ящики в собранном виде самолета не вынимаются, а когда самолет разобран то ящики вынимаются свободно. Все самолеты, ко</w:t>
      </w:r>
      <w:r w:rsidRPr="00C33834">
        <w:rPr>
          <w:rFonts w:ascii="Times New Roman" w:hAnsi="Times New Roman"/>
          <w:color w:val="000000" w:themeColor="text1"/>
          <w:sz w:val="16"/>
          <w:szCs w:val="16"/>
        </w:rPr>
        <w:softHyphen/>
        <w:t>торые поступают на аэродром с т.н. дефектами, то эти дефекты просто являются недоделками, ко</w:t>
      </w:r>
      <w:r w:rsidRPr="00C33834">
        <w:rPr>
          <w:rFonts w:ascii="Times New Roman" w:hAnsi="Times New Roman"/>
          <w:color w:val="000000" w:themeColor="text1"/>
          <w:sz w:val="16"/>
          <w:szCs w:val="16"/>
        </w:rPr>
        <w:softHyphen/>
        <w:t>торые следовало бы устранять а цеху до полета"</w:t>
      </w:r>
    </w:p>
    <w:p w14:paraId="3F91498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подлинным верно:</w:t>
      </w:r>
    </w:p>
    <w:p w14:paraId="43BFB51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Пом. Уполномоченного 4 отд. ЭКУ ОГПУ(Куторин) (4149,79).</w:t>
      </w:r>
    </w:p>
    <w:p w14:paraId="2C93DBE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68C407"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1350B79"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B05ED0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октября 1933 г. ЗОКом были получены чертежи на консоли дублера И-14, сборку лонжеронов завершили 25 ноября, нервюры собрали лишь 11 декабря 1933 г., поскольку их дважды переделывали - первый раз при отказе от гофрированной обшивки, второй раз - когда решили установить посадочный щиток. Чертежи на щиток с его приводом поступили к 14 декабря, сборку завершили 13 января следующего - 1934 г.</w:t>
      </w:r>
    </w:p>
    <w:p w14:paraId="0D624D9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Чертежи на каркас были изъяты из производства по причине перехода на гладкую обшивку, а новые чертежи завод получил лишь 25 ноября 1933 г. Каркас был собран быстро - к 17 декабря, после чего приступили к его обшивке, которую завершили 7 января 1934 г.</w:t>
      </w:r>
    </w:p>
    <w:p w14:paraId="0F46F72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Консоли крыла были собраны 13 января 1934 г. </w:t>
      </w:r>
    </w:p>
    <w:p w14:paraId="3084DC4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Центроплан был готов полностью 8 января 1934 г. Оперение собрали раньше - к середине декабря 1933 г., 22 декабря собрали элероны, которые из-за изменения обшивки застряли в производстве на целый месяц.</w:t>
      </w:r>
    </w:p>
    <w:p w14:paraId="7403575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3F3ADD1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504029E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48942A0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771D47B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3954933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7CA0821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октября 1933 года Начальник Штаба ВВС Хрипин утвердил протокол Тактико-технического совещания НИИ ВВС (Журнал № 7), состоявшегося в конце сентября 1933 (6788).</w:t>
      </w:r>
    </w:p>
    <w:p w14:paraId="34AC8A4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Перечень разбиравшихся вопросов</w:t>
      </w:r>
    </w:p>
    <w:p w14:paraId="5A415D18"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 спецоборудования самолетов на 1934 год. Докладчик Панов.</w:t>
      </w:r>
    </w:p>
    <w:p w14:paraId="189D4E5E"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Обсуждение военного варианта самолетов Ш5 и СПЛ. Докладчик Красильников.</w:t>
      </w:r>
    </w:p>
    <w:p w14:paraId="65D42E29"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Рассмотрение предложений завода № 22. Докладчик Лосюков (6788).</w:t>
      </w:r>
    </w:p>
    <w:p w14:paraId="17FBB5B6"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76C04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октября 1933 были назначены газовки, руление и пробежки Сталь-6 - полетел и показал скорость до 420 км/ч и потом - совещание М.Н.Тухачевского в помещении ГУ ВМФ - реклама (173,3).</w:t>
      </w:r>
    </w:p>
    <w:p w14:paraId="1CBBA11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Осенью 1933 ВВС уже выдвинуло ТТТ на истребитель со скоростью 400-450, но ГУАП не брался сделать. На совещании в Наркомвоенморе в присутствии К.Е.В. и Г.К.О. представитель ГУАП заявил о невыполнимости ТТТ. Поправили, сказали, что есть. Дали задание на истребитель (92,442).</w:t>
      </w:r>
    </w:p>
    <w:p w14:paraId="651EB5E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Наверное, анекдот.</w:t>
      </w:r>
    </w:p>
    <w:p w14:paraId="66356FFA"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B15BCD6" w14:textId="77777777" w:rsidR="00CF276A" w:rsidRPr="00C33834" w:rsidRDefault="00CF276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7 октября 1933 года были назначены газовки, руления и пробежки по аэродрому Сталь-6. При первом же энергичном разгоне летчик-испытатель Андрей Борисович Юмашев почувствовал легкость управления самолетом, который «сам запросился в воздух». Пилот не препятствовал «желанию» машины и взял ручку на себя... Так состоялся незапланированный первый полет. После посадки он получил «разгон» от Бартини за самовольство, а заводские испытания были продолжены. В одном из полетов Юмашев впервые в СССР превысил значение скорости в 400 км/ч, а на другой день была достигнута скорость 420 км/ч (15555).</w:t>
      </w:r>
    </w:p>
    <w:p w14:paraId="7BFA309C" w14:textId="77777777" w:rsidR="00CF276A" w:rsidRPr="00C33834" w:rsidRDefault="00CF276A" w:rsidP="00C33834">
      <w:pPr>
        <w:spacing w:after="0" w:line="240" w:lineRule="auto"/>
        <w:jc w:val="both"/>
        <w:rPr>
          <w:rFonts w:ascii="Times New Roman" w:hAnsi="Times New Roman"/>
          <w:color w:val="000000" w:themeColor="text1"/>
          <w:sz w:val="16"/>
          <w:szCs w:val="16"/>
        </w:rPr>
      </w:pPr>
    </w:p>
    <w:p w14:paraId="4827CCD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октября 1933 года была подготовлена справка в СТО</w:t>
      </w:r>
    </w:p>
    <w:p w14:paraId="39E9BA1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выполнении авиапромышленностью программы за 9 месяцев и IV квартал 1933 года</w:t>
      </w:r>
    </w:p>
    <w:p w14:paraId="5695768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1933 год Правительство задало Авиапрому программу сдачи самолетов 4495 штук и моторов 7472 штуки.</w:t>
      </w:r>
    </w:p>
    <w:p w14:paraId="3EF0CEE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9 месяцев план определял сдачу самолетов 3230 штук и моторов 5305 штук, фактически сдано самолетов 2630 штук или 81,4% к 9-ти месячному плану и моторов 4836 штук или 91,1% к плану.</w:t>
      </w:r>
    </w:p>
    <w:p w14:paraId="373ED7D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программы по заводам и типам составляет:</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36"/>
        <w:gridCol w:w="1436"/>
        <w:gridCol w:w="1436"/>
        <w:gridCol w:w="1436"/>
        <w:gridCol w:w="1436"/>
        <w:gridCol w:w="1436"/>
        <w:gridCol w:w="1436"/>
        <w:gridCol w:w="1005"/>
      </w:tblGrid>
      <w:tr w:rsidR="00F26F01" w:rsidRPr="00C33834" w14:paraId="6D0A8944" w14:textId="77777777">
        <w:tc>
          <w:tcPr>
            <w:tcW w:w="1436" w:type="dxa"/>
          </w:tcPr>
          <w:p w14:paraId="00EB8EC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заводов</w:t>
            </w:r>
          </w:p>
        </w:tc>
        <w:tc>
          <w:tcPr>
            <w:tcW w:w="1436" w:type="dxa"/>
          </w:tcPr>
          <w:p w14:paraId="67D228A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Типы самолетов</w:t>
            </w:r>
          </w:p>
        </w:tc>
        <w:tc>
          <w:tcPr>
            <w:tcW w:w="1436" w:type="dxa"/>
          </w:tcPr>
          <w:p w14:paraId="046FB61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Годовой план 1933 года (госплан)</w:t>
            </w:r>
          </w:p>
        </w:tc>
        <w:tc>
          <w:tcPr>
            <w:tcW w:w="1436" w:type="dxa"/>
          </w:tcPr>
          <w:p w14:paraId="4CA9609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9-ти месяцев</w:t>
            </w:r>
          </w:p>
        </w:tc>
        <w:tc>
          <w:tcPr>
            <w:tcW w:w="1436" w:type="dxa"/>
          </w:tcPr>
          <w:p w14:paraId="18EBE26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Сдано за 9 месяцев</w:t>
            </w:r>
          </w:p>
        </w:tc>
        <w:tc>
          <w:tcPr>
            <w:tcW w:w="1436" w:type="dxa"/>
          </w:tcPr>
          <w:p w14:paraId="2C58E62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выполнения к 9-ти месячному плану</w:t>
            </w:r>
          </w:p>
        </w:tc>
        <w:tc>
          <w:tcPr>
            <w:tcW w:w="1436" w:type="dxa"/>
          </w:tcPr>
          <w:p w14:paraId="6981449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Сдано за 9 месяцев 1932 года</w:t>
            </w:r>
          </w:p>
        </w:tc>
        <w:tc>
          <w:tcPr>
            <w:tcW w:w="1005" w:type="dxa"/>
          </w:tcPr>
          <w:p w14:paraId="1F32704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сдачи 1933 года к 1932 году</w:t>
            </w:r>
          </w:p>
        </w:tc>
      </w:tr>
      <w:tr w:rsidR="00F26F01" w:rsidRPr="00C33834" w14:paraId="52C25320" w14:textId="77777777">
        <w:tc>
          <w:tcPr>
            <w:tcW w:w="1436" w:type="dxa"/>
          </w:tcPr>
          <w:p w14:paraId="4840F35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436" w:type="dxa"/>
          </w:tcPr>
          <w:p w14:paraId="7EC4DB6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Р5-М17</w:t>
            </w:r>
          </w:p>
        </w:tc>
        <w:tc>
          <w:tcPr>
            <w:tcW w:w="1436" w:type="dxa"/>
          </w:tcPr>
          <w:p w14:paraId="6122B79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1675</w:t>
            </w:r>
          </w:p>
        </w:tc>
        <w:tc>
          <w:tcPr>
            <w:tcW w:w="1436" w:type="dxa"/>
          </w:tcPr>
          <w:p w14:paraId="0BEB0C2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1208</w:t>
            </w:r>
          </w:p>
        </w:tc>
        <w:tc>
          <w:tcPr>
            <w:tcW w:w="1436" w:type="dxa"/>
          </w:tcPr>
          <w:p w14:paraId="533D1EC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956</w:t>
            </w:r>
          </w:p>
        </w:tc>
        <w:tc>
          <w:tcPr>
            <w:tcW w:w="1436" w:type="dxa"/>
          </w:tcPr>
          <w:p w14:paraId="6AD1F15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79,1</w:t>
            </w:r>
          </w:p>
        </w:tc>
        <w:tc>
          <w:tcPr>
            <w:tcW w:w="1436" w:type="dxa"/>
          </w:tcPr>
          <w:p w14:paraId="1324498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690</w:t>
            </w:r>
          </w:p>
        </w:tc>
        <w:tc>
          <w:tcPr>
            <w:tcW w:w="1005" w:type="dxa"/>
          </w:tcPr>
          <w:p w14:paraId="7226BA3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138,5</w:t>
            </w:r>
          </w:p>
        </w:tc>
      </w:tr>
      <w:tr w:rsidR="00F26F01" w:rsidRPr="00C33834" w14:paraId="0042DCBF" w14:textId="77777777">
        <w:tc>
          <w:tcPr>
            <w:tcW w:w="1436" w:type="dxa"/>
          </w:tcPr>
          <w:p w14:paraId="03FBE4B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436" w:type="dxa"/>
          </w:tcPr>
          <w:p w14:paraId="718318F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МР5-М17</w:t>
            </w:r>
          </w:p>
        </w:tc>
        <w:tc>
          <w:tcPr>
            <w:tcW w:w="1436" w:type="dxa"/>
          </w:tcPr>
          <w:p w14:paraId="4D62F5E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436" w:type="dxa"/>
          </w:tcPr>
          <w:p w14:paraId="687FB3B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w:t>
            </w:r>
          </w:p>
        </w:tc>
        <w:tc>
          <w:tcPr>
            <w:tcW w:w="1436" w:type="dxa"/>
          </w:tcPr>
          <w:p w14:paraId="061D904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6" w:type="dxa"/>
          </w:tcPr>
          <w:p w14:paraId="3734BAC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6" w:type="dxa"/>
          </w:tcPr>
          <w:p w14:paraId="7CED321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05" w:type="dxa"/>
          </w:tcPr>
          <w:p w14:paraId="32A85EA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77D0A686" w14:textId="77777777">
        <w:tc>
          <w:tcPr>
            <w:tcW w:w="1436" w:type="dxa"/>
          </w:tcPr>
          <w:p w14:paraId="201B3CD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436" w:type="dxa"/>
          </w:tcPr>
          <w:p w14:paraId="4FF9D97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И7-М17</w:t>
            </w:r>
          </w:p>
        </w:tc>
        <w:tc>
          <w:tcPr>
            <w:tcW w:w="1436" w:type="dxa"/>
          </w:tcPr>
          <w:p w14:paraId="3F17F4B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436" w:type="dxa"/>
          </w:tcPr>
          <w:p w14:paraId="15148F9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172</w:t>
            </w:r>
          </w:p>
        </w:tc>
        <w:tc>
          <w:tcPr>
            <w:tcW w:w="1436" w:type="dxa"/>
          </w:tcPr>
          <w:p w14:paraId="50D6402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w:t>
            </w:r>
          </w:p>
        </w:tc>
        <w:tc>
          <w:tcPr>
            <w:tcW w:w="1436" w:type="dxa"/>
          </w:tcPr>
          <w:p w14:paraId="46688C0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27,9</w:t>
            </w:r>
          </w:p>
        </w:tc>
        <w:tc>
          <w:tcPr>
            <w:tcW w:w="1436" w:type="dxa"/>
          </w:tcPr>
          <w:p w14:paraId="33D1FE8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05" w:type="dxa"/>
          </w:tcPr>
          <w:p w14:paraId="1A1D79A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53F20DE2" w14:textId="77777777">
        <w:tc>
          <w:tcPr>
            <w:tcW w:w="1436" w:type="dxa"/>
          </w:tcPr>
          <w:p w14:paraId="1A915EF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436" w:type="dxa"/>
          </w:tcPr>
          <w:p w14:paraId="55F5D09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И5-М17</w:t>
            </w:r>
          </w:p>
        </w:tc>
        <w:tc>
          <w:tcPr>
            <w:tcW w:w="1436" w:type="dxa"/>
          </w:tcPr>
          <w:p w14:paraId="524F67E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6" w:type="dxa"/>
          </w:tcPr>
          <w:p w14:paraId="4B50D95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6" w:type="dxa"/>
          </w:tcPr>
          <w:p w14:paraId="77AF883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6" w:type="dxa"/>
          </w:tcPr>
          <w:p w14:paraId="2409B87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6" w:type="dxa"/>
          </w:tcPr>
          <w:p w14:paraId="23F68B4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p>
        </w:tc>
        <w:tc>
          <w:tcPr>
            <w:tcW w:w="1005" w:type="dxa"/>
          </w:tcPr>
          <w:p w14:paraId="444987F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7CAD58B7" w14:textId="77777777">
        <w:tc>
          <w:tcPr>
            <w:tcW w:w="1436" w:type="dxa"/>
          </w:tcPr>
          <w:p w14:paraId="080B7A4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1436" w:type="dxa"/>
          </w:tcPr>
          <w:p w14:paraId="3B5FEF0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И5-М22</w:t>
            </w:r>
          </w:p>
        </w:tc>
        <w:tc>
          <w:tcPr>
            <w:tcW w:w="1436" w:type="dxa"/>
          </w:tcPr>
          <w:p w14:paraId="6A62DB6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436" w:type="dxa"/>
          </w:tcPr>
          <w:p w14:paraId="6D88E1A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 (план 8-ми месяцев)</w:t>
            </w:r>
          </w:p>
        </w:tc>
        <w:tc>
          <w:tcPr>
            <w:tcW w:w="1436" w:type="dxa"/>
          </w:tcPr>
          <w:p w14:paraId="3745A39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179 (сдача 8-ми месяцев)</w:t>
            </w:r>
          </w:p>
        </w:tc>
        <w:tc>
          <w:tcPr>
            <w:tcW w:w="1436" w:type="dxa"/>
          </w:tcPr>
          <w:p w14:paraId="05A12B6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99,4</w:t>
            </w:r>
          </w:p>
        </w:tc>
        <w:tc>
          <w:tcPr>
            <w:tcW w:w="1436" w:type="dxa"/>
          </w:tcPr>
          <w:p w14:paraId="130BB31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05" w:type="dxa"/>
          </w:tcPr>
          <w:p w14:paraId="42E23F9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016EFB7A" w14:textId="77777777">
        <w:tc>
          <w:tcPr>
            <w:tcW w:w="1436" w:type="dxa"/>
          </w:tcPr>
          <w:p w14:paraId="213169C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1436" w:type="dxa"/>
          </w:tcPr>
          <w:p w14:paraId="7FB3D68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w:t>
            </w:r>
          </w:p>
        </w:tc>
        <w:tc>
          <w:tcPr>
            <w:tcW w:w="1436" w:type="dxa"/>
          </w:tcPr>
          <w:p w14:paraId="3139CDB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1436" w:type="dxa"/>
          </w:tcPr>
          <w:p w14:paraId="1195A2D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1436" w:type="dxa"/>
          </w:tcPr>
          <w:p w14:paraId="34952F9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168</w:t>
            </w:r>
          </w:p>
        </w:tc>
        <w:tc>
          <w:tcPr>
            <w:tcW w:w="1436" w:type="dxa"/>
          </w:tcPr>
          <w:p w14:paraId="5A501FC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140,0</w:t>
            </w:r>
          </w:p>
        </w:tc>
        <w:tc>
          <w:tcPr>
            <w:tcW w:w="1436" w:type="dxa"/>
          </w:tcPr>
          <w:p w14:paraId="4EE0FB2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w:t>
            </w:r>
          </w:p>
        </w:tc>
        <w:tc>
          <w:tcPr>
            <w:tcW w:w="1005" w:type="dxa"/>
          </w:tcPr>
          <w:p w14:paraId="280FCE6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357,4</w:t>
            </w:r>
          </w:p>
        </w:tc>
      </w:tr>
      <w:tr w:rsidR="00F26F01" w:rsidRPr="00C33834" w14:paraId="5F9DEA7F" w14:textId="77777777">
        <w:tc>
          <w:tcPr>
            <w:tcW w:w="1436" w:type="dxa"/>
          </w:tcPr>
          <w:p w14:paraId="19B21C9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1436" w:type="dxa"/>
          </w:tcPr>
          <w:p w14:paraId="60FE7E5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w:t>
            </w:r>
          </w:p>
        </w:tc>
        <w:tc>
          <w:tcPr>
            <w:tcW w:w="1436" w:type="dxa"/>
          </w:tcPr>
          <w:p w14:paraId="1E42375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1436" w:type="dxa"/>
          </w:tcPr>
          <w:p w14:paraId="6D51273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p>
        </w:tc>
        <w:tc>
          <w:tcPr>
            <w:tcW w:w="1436" w:type="dxa"/>
          </w:tcPr>
          <w:p w14:paraId="5D5B694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1436" w:type="dxa"/>
          </w:tcPr>
          <w:p w14:paraId="16E307C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w:t>
            </w:r>
          </w:p>
        </w:tc>
        <w:tc>
          <w:tcPr>
            <w:tcW w:w="1436" w:type="dxa"/>
          </w:tcPr>
          <w:p w14:paraId="1EAE83F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05" w:type="dxa"/>
          </w:tcPr>
          <w:p w14:paraId="2808407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767B4A71" w14:textId="77777777">
        <w:tc>
          <w:tcPr>
            <w:tcW w:w="1436" w:type="dxa"/>
          </w:tcPr>
          <w:p w14:paraId="4839FF1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1436" w:type="dxa"/>
          </w:tcPr>
          <w:p w14:paraId="73FC50A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ТБ4-6М34</w:t>
            </w:r>
          </w:p>
        </w:tc>
        <w:tc>
          <w:tcPr>
            <w:tcW w:w="1436" w:type="dxa"/>
          </w:tcPr>
          <w:p w14:paraId="31AFDA9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1436" w:type="dxa"/>
          </w:tcPr>
          <w:p w14:paraId="426168F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6" w:type="dxa"/>
          </w:tcPr>
          <w:p w14:paraId="2E046F3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6" w:type="dxa"/>
          </w:tcPr>
          <w:p w14:paraId="7B2CA17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6" w:type="dxa"/>
          </w:tcPr>
          <w:p w14:paraId="7A3B73C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05" w:type="dxa"/>
          </w:tcPr>
          <w:p w14:paraId="55D5647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0CB4DB43" w14:textId="77777777">
        <w:tc>
          <w:tcPr>
            <w:tcW w:w="1436" w:type="dxa"/>
          </w:tcPr>
          <w:p w14:paraId="72E3D9D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1436" w:type="dxa"/>
          </w:tcPr>
          <w:p w14:paraId="2A2A0D9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МИ3-2М34</w:t>
            </w:r>
          </w:p>
        </w:tc>
        <w:tc>
          <w:tcPr>
            <w:tcW w:w="1436" w:type="dxa"/>
          </w:tcPr>
          <w:p w14:paraId="2A57272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1436" w:type="dxa"/>
          </w:tcPr>
          <w:p w14:paraId="6C85D4D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6" w:type="dxa"/>
          </w:tcPr>
          <w:p w14:paraId="6543157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6" w:type="dxa"/>
          </w:tcPr>
          <w:p w14:paraId="599C777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6" w:type="dxa"/>
          </w:tcPr>
          <w:p w14:paraId="629ED66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05" w:type="dxa"/>
          </w:tcPr>
          <w:p w14:paraId="0294420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76B182D7" w14:textId="77777777">
        <w:tc>
          <w:tcPr>
            <w:tcW w:w="1436" w:type="dxa"/>
          </w:tcPr>
          <w:p w14:paraId="114C43F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1436" w:type="dxa"/>
          </w:tcPr>
          <w:p w14:paraId="35D8A5D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МБР4-АССО</w:t>
            </w:r>
          </w:p>
        </w:tc>
        <w:tc>
          <w:tcPr>
            <w:tcW w:w="1436" w:type="dxa"/>
          </w:tcPr>
          <w:p w14:paraId="535F773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1436" w:type="dxa"/>
          </w:tcPr>
          <w:p w14:paraId="106C96F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1436" w:type="dxa"/>
          </w:tcPr>
          <w:p w14:paraId="30E8B82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1436" w:type="dxa"/>
          </w:tcPr>
          <w:p w14:paraId="6AEEA1D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1436" w:type="dxa"/>
          </w:tcPr>
          <w:p w14:paraId="5FC47D5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1005" w:type="dxa"/>
          </w:tcPr>
          <w:p w14:paraId="100A502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r>
      <w:tr w:rsidR="00F26F01" w:rsidRPr="00C33834" w14:paraId="3EC31D9E" w14:textId="77777777">
        <w:tc>
          <w:tcPr>
            <w:tcW w:w="1436" w:type="dxa"/>
          </w:tcPr>
          <w:p w14:paraId="12F5656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1436" w:type="dxa"/>
          </w:tcPr>
          <w:p w14:paraId="6B40A8B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МБР4-М34</w:t>
            </w:r>
          </w:p>
        </w:tc>
        <w:tc>
          <w:tcPr>
            <w:tcW w:w="1436" w:type="dxa"/>
          </w:tcPr>
          <w:p w14:paraId="2A945A9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w:t>
            </w:r>
          </w:p>
        </w:tc>
        <w:tc>
          <w:tcPr>
            <w:tcW w:w="1436" w:type="dxa"/>
          </w:tcPr>
          <w:p w14:paraId="1863B64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w:t>
            </w:r>
          </w:p>
        </w:tc>
        <w:tc>
          <w:tcPr>
            <w:tcW w:w="1436" w:type="dxa"/>
          </w:tcPr>
          <w:p w14:paraId="4455C6A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6" w:type="dxa"/>
          </w:tcPr>
          <w:p w14:paraId="29B3836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6" w:type="dxa"/>
          </w:tcPr>
          <w:p w14:paraId="66C42AB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05" w:type="dxa"/>
          </w:tcPr>
          <w:p w14:paraId="0EA72F0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6D599B25" w14:textId="77777777">
        <w:tc>
          <w:tcPr>
            <w:tcW w:w="1436" w:type="dxa"/>
          </w:tcPr>
          <w:p w14:paraId="5E54119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1436" w:type="dxa"/>
          </w:tcPr>
          <w:p w14:paraId="5A33838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Р6-2М17</w:t>
            </w:r>
          </w:p>
        </w:tc>
        <w:tc>
          <w:tcPr>
            <w:tcW w:w="1436" w:type="dxa"/>
          </w:tcPr>
          <w:p w14:paraId="0548C7C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436" w:type="dxa"/>
          </w:tcPr>
          <w:p w14:paraId="5425D87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436" w:type="dxa"/>
          </w:tcPr>
          <w:p w14:paraId="4AED402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1436" w:type="dxa"/>
          </w:tcPr>
          <w:p w14:paraId="0AC27DC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w:t>
            </w:r>
          </w:p>
        </w:tc>
        <w:tc>
          <w:tcPr>
            <w:tcW w:w="1436" w:type="dxa"/>
          </w:tcPr>
          <w:p w14:paraId="6260B0F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05" w:type="dxa"/>
          </w:tcPr>
          <w:p w14:paraId="32727E0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0BC4653A" w14:textId="77777777">
        <w:tc>
          <w:tcPr>
            <w:tcW w:w="1436" w:type="dxa"/>
          </w:tcPr>
          <w:p w14:paraId="21A1DB0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1436" w:type="dxa"/>
          </w:tcPr>
          <w:p w14:paraId="595C1CF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АШ-М11</w:t>
            </w:r>
          </w:p>
        </w:tc>
        <w:tc>
          <w:tcPr>
            <w:tcW w:w="1436" w:type="dxa"/>
          </w:tcPr>
          <w:p w14:paraId="3DD01AE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w:t>
            </w:r>
          </w:p>
        </w:tc>
        <w:tc>
          <w:tcPr>
            <w:tcW w:w="1436" w:type="dxa"/>
          </w:tcPr>
          <w:p w14:paraId="73A3F9D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w:t>
            </w:r>
          </w:p>
        </w:tc>
        <w:tc>
          <w:tcPr>
            <w:tcW w:w="1436" w:type="dxa"/>
          </w:tcPr>
          <w:p w14:paraId="74B4673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172</w:t>
            </w:r>
          </w:p>
        </w:tc>
        <w:tc>
          <w:tcPr>
            <w:tcW w:w="1436" w:type="dxa"/>
          </w:tcPr>
          <w:p w14:paraId="47E9DA4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98,3</w:t>
            </w:r>
          </w:p>
        </w:tc>
        <w:tc>
          <w:tcPr>
            <w:tcW w:w="1436" w:type="dxa"/>
          </w:tcPr>
          <w:p w14:paraId="7168333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1005" w:type="dxa"/>
          </w:tcPr>
          <w:p w14:paraId="4581486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8600,0</w:t>
            </w:r>
          </w:p>
        </w:tc>
      </w:tr>
      <w:tr w:rsidR="00F26F01" w:rsidRPr="00C33834" w14:paraId="0CB27DD8" w14:textId="77777777">
        <w:tc>
          <w:tcPr>
            <w:tcW w:w="1436" w:type="dxa"/>
          </w:tcPr>
          <w:p w14:paraId="086C1D9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1436" w:type="dxa"/>
          </w:tcPr>
          <w:p w14:paraId="36B6FFB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АНТ9-2М17</w:t>
            </w:r>
          </w:p>
        </w:tc>
        <w:tc>
          <w:tcPr>
            <w:tcW w:w="1436" w:type="dxa"/>
          </w:tcPr>
          <w:p w14:paraId="257C161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1436" w:type="dxa"/>
          </w:tcPr>
          <w:p w14:paraId="24688D0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1436" w:type="dxa"/>
          </w:tcPr>
          <w:p w14:paraId="59F73E7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6" w:type="dxa"/>
          </w:tcPr>
          <w:p w14:paraId="7D24AE9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6" w:type="dxa"/>
          </w:tcPr>
          <w:p w14:paraId="034B337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05" w:type="dxa"/>
          </w:tcPr>
          <w:p w14:paraId="77016CA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732C7770" w14:textId="77777777">
        <w:tc>
          <w:tcPr>
            <w:tcW w:w="1436" w:type="dxa"/>
          </w:tcPr>
          <w:p w14:paraId="369287F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w:t>
            </w:r>
          </w:p>
        </w:tc>
        <w:tc>
          <w:tcPr>
            <w:tcW w:w="1436" w:type="dxa"/>
          </w:tcPr>
          <w:p w14:paraId="2E77911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w:t>
            </w:r>
          </w:p>
        </w:tc>
        <w:tc>
          <w:tcPr>
            <w:tcW w:w="1436" w:type="dxa"/>
          </w:tcPr>
          <w:p w14:paraId="3C05B7D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1436" w:type="dxa"/>
          </w:tcPr>
          <w:p w14:paraId="426B359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c>
          <w:tcPr>
            <w:tcW w:w="1436" w:type="dxa"/>
          </w:tcPr>
          <w:p w14:paraId="25F46E7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1436" w:type="dxa"/>
          </w:tcPr>
          <w:p w14:paraId="2D3EF8C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104,3</w:t>
            </w:r>
          </w:p>
        </w:tc>
        <w:tc>
          <w:tcPr>
            <w:tcW w:w="1436" w:type="dxa"/>
          </w:tcPr>
          <w:p w14:paraId="63DA44C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05" w:type="dxa"/>
          </w:tcPr>
          <w:p w14:paraId="478C79E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4B7D18B9" w14:textId="77777777">
        <w:tc>
          <w:tcPr>
            <w:tcW w:w="1436" w:type="dxa"/>
          </w:tcPr>
          <w:p w14:paraId="0BEF079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1436" w:type="dxa"/>
          </w:tcPr>
          <w:p w14:paraId="6C01ED2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w:t>
            </w:r>
          </w:p>
        </w:tc>
        <w:tc>
          <w:tcPr>
            <w:tcW w:w="1436" w:type="dxa"/>
          </w:tcPr>
          <w:p w14:paraId="20F4338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1436" w:type="dxa"/>
          </w:tcPr>
          <w:p w14:paraId="5369C92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1436" w:type="dxa"/>
          </w:tcPr>
          <w:p w14:paraId="1C5630A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6" w:type="dxa"/>
          </w:tcPr>
          <w:p w14:paraId="3195A14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6" w:type="dxa"/>
          </w:tcPr>
          <w:p w14:paraId="5459117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05" w:type="dxa"/>
          </w:tcPr>
          <w:p w14:paraId="7800A31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D2BB3E9" w14:textId="77777777">
        <w:tc>
          <w:tcPr>
            <w:tcW w:w="1436" w:type="dxa"/>
          </w:tcPr>
          <w:p w14:paraId="192A3EC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c>
          <w:tcPr>
            <w:tcW w:w="1436" w:type="dxa"/>
          </w:tcPr>
          <w:p w14:paraId="04B6723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У2-М11</w:t>
            </w:r>
          </w:p>
        </w:tc>
        <w:tc>
          <w:tcPr>
            <w:tcW w:w="1436" w:type="dxa"/>
          </w:tcPr>
          <w:p w14:paraId="66497F3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1280</w:t>
            </w:r>
          </w:p>
        </w:tc>
        <w:tc>
          <w:tcPr>
            <w:tcW w:w="1436" w:type="dxa"/>
          </w:tcPr>
          <w:p w14:paraId="2CA2B19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933</w:t>
            </w:r>
          </w:p>
        </w:tc>
        <w:tc>
          <w:tcPr>
            <w:tcW w:w="1436" w:type="dxa"/>
          </w:tcPr>
          <w:p w14:paraId="78836EF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880</w:t>
            </w:r>
          </w:p>
        </w:tc>
        <w:tc>
          <w:tcPr>
            <w:tcW w:w="1436" w:type="dxa"/>
          </w:tcPr>
          <w:p w14:paraId="6545627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94,3</w:t>
            </w:r>
          </w:p>
        </w:tc>
        <w:tc>
          <w:tcPr>
            <w:tcW w:w="1436" w:type="dxa"/>
          </w:tcPr>
          <w:p w14:paraId="31DF033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642</w:t>
            </w:r>
          </w:p>
        </w:tc>
        <w:tc>
          <w:tcPr>
            <w:tcW w:w="1005" w:type="dxa"/>
          </w:tcPr>
          <w:p w14:paraId="538C01B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137,1</w:t>
            </w:r>
          </w:p>
        </w:tc>
      </w:tr>
      <w:tr w:rsidR="00F26F01" w:rsidRPr="00C33834" w14:paraId="24C0F727" w14:textId="77777777">
        <w:tc>
          <w:tcPr>
            <w:tcW w:w="1436" w:type="dxa"/>
          </w:tcPr>
          <w:p w14:paraId="50A1BBF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c>
          <w:tcPr>
            <w:tcW w:w="1436" w:type="dxa"/>
          </w:tcPr>
          <w:p w14:paraId="67B5207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АП-М11</w:t>
            </w:r>
          </w:p>
        </w:tc>
        <w:tc>
          <w:tcPr>
            <w:tcW w:w="1436" w:type="dxa"/>
          </w:tcPr>
          <w:p w14:paraId="2AAC3DD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1436" w:type="dxa"/>
          </w:tcPr>
          <w:p w14:paraId="2CCE3B0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1436" w:type="dxa"/>
          </w:tcPr>
          <w:p w14:paraId="7EBC2D8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127</w:t>
            </w:r>
          </w:p>
        </w:tc>
        <w:tc>
          <w:tcPr>
            <w:tcW w:w="1436" w:type="dxa"/>
          </w:tcPr>
          <w:p w14:paraId="142C4D2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105,8</w:t>
            </w:r>
          </w:p>
        </w:tc>
        <w:tc>
          <w:tcPr>
            <w:tcW w:w="1436" w:type="dxa"/>
          </w:tcPr>
          <w:p w14:paraId="0299477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171</w:t>
            </w:r>
          </w:p>
        </w:tc>
        <w:tc>
          <w:tcPr>
            <w:tcW w:w="1005" w:type="dxa"/>
          </w:tcPr>
          <w:p w14:paraId="4D572F5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74,3</w:t>
            </w:r>
          </w:p>
        </w:tc>
      </w:tr>
      <w:tr w:rsidR="00F26F01" w:rsidRPr="00C33834" w14:paraId="03816309" w14:textId="77777777">
        <w:tc>
          <w:tcPr>
            <w:tcW w:w="1436" w:type="dxa"/>
          </w:tcPr>
          <w:p w14:paraId="19D6610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ХАЗОС</w:t>
            </w:r>
          </w:p>
        </w:tc>
        <w:tc>
          <w:tcPr>
            <w:tcW w:w="1436" w:type="dxa"/>
          </w:tcPr>
          <w:p w14:paraId="5054CC1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К5-М22</w:t>
            </w:r>
          </w:p>
        </w:tc>
        <w:tc>
          <w:tcPr>
            <w:tcW w:w="1436" w:type="dxa"/>
          </w:tcPr>
          <w:p w14:paraId="60266EF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1436" w:type="dxa"/>
          </w:tcPr>
          <w:p w14:paraId="3D7ACC3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w:t>
            </w:r>
          </w:p>
        </w:tc>
        <w:tc>
          <w:tcPr>
            <w:tcW w:w="1436" w:type="dxa"/>
          </w:tcPr>
          <w:p w14:paraId="2AF8804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w:t>
            </w:r>
          </w:p>
        </w:tc>
        <w:tc>
          <w:tcPr>
            <w:tcW w:w="1436" w:type="dxa"/>
          </w:tcPr>
          <w:p w14:paraId="1A5E86D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70,6</w:t>
            </w:r>
          </w:p>
        </w:tc>
        <w:tc>
          <w:tcPr>
            <w:tcW w:w="1436" w:type="dxa"/>
          </w:tcPr>
          <w:p w14:paraId="376734B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w:t>
            </w:r>
          </w:p>
        </w:tc>
        <w:tc>
          <w:tcPr>
            <w:tcW w:w="1005" w:type="dxa"/>
          </w:tcPr>
          <w:p w14:paraId="0D5EA8E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92,1</w:t>
            </w:r>
          </w:p>
        </w:tc>
      </w:tr>
    </w:tbl>
    <w:p w14:paraId="15C0F29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самолетов:</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36"/>
        <w:gridCol w:w="1436"/>
        <w:gridCol w:w="1436"/>
        <w:gridCol w:w="1436"/>
        <w:gridCol w:w="1436"/>
        <w:gridCol w:w="1436"/>
        <w:gridCol w:w="1436"/>
        <w:gridCol w:w="1005"/>
      </w:tblGrid>
      <w:tr w:rsidR="00F26F01" w:rsidRPr="00C33834" w14:paraId="536DA811" w14:textId="77777777">
        <w:tc>
          <w:tcPr>
            <w:tcW w:w="1436" w:type="dxa"/>
          </w:tcPr>
          <w:p w14:paraId="262745A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36" w:type="dxa"/>
          </w:tcPr>
          <w:p w14:paraId="4BA8C7E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36" w:type="dxa"/>
          </w:tcPr>
          <w:p w14:paraId="2508C7E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4495</w:t>
            </w:r>
          </w:p>
        </w:tc>
        <w:tc>
          <w:tcPr>
            <w:tcW w:w="1436" w:type="dxa"/>
          </w:tcPr>
          <w:p w14:paraId="5CE98F2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3230</w:t>
            </w:r>
          </w:p>
        </w:tc>
        <w:tc>
          <w:tcPr>
            <w:tcW w:w="1436" w:type="dxa"/>
          </w:tcPr>
          <w:p w14:paraId="0724D74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2630</w:t>
            </w:r>
          </w:p>
        </w:tc>
        <w:tc>
          <w:tcPr>
            <w:tcW w:w="1436" w:type="dxa"/>
          </w:tcPr>
          <w:p w14:paraId="2B62B28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81,4</w:t>
            </w:r>
          </w:p>
        </w:tc>
        <w:tc>
          <w:tcPr>
            <w:tcW w:w="1436" w:type="dxa"/>
          </w:tcPr>
          <w:p w14:paraId="0467BDB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1736</w:t>
            </w:r>
          </w:p>
        </w:tc>
        <w:tc>
          <w:tcPr>
            <w:tcW w:w="1005" w:type="dxa"/>
          </w:tcPr>
          <w:p w14:paraId="1AE4B7D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151,5</w:t>
            </w:r>
          </w:p>
        </w:tc>
      </w:tr>
    </w:tbl>
    <w:p w14:paraId="30D582C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36"/>
        <w:gridCol w:w="1436"/>
        <w:gridCol w:w="1436"/>
        <w:gridCol w:w="1436"/>
        <w:gridCol w:w="1436"/>
        <w:gridCol w:w="1436"/>
        <w:gridCol w:w="1436"/>
        <w:gridCol w:w="1005"/>
      </w:tblGrid>
      <w:tr w:rsidR="00F26F01" w:rsidRPr="00C33834" w14:paraId="0A34801A" w14:textId="77777777">
        <w:tc>
          <w:tcPr>
            <w:tcW w:w="1436" w:type="dxa"/>
          </w:tcPr>
          <w:p w14:paraId="0A069D4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заводов</w:t>
            </w:r>
          </w:p>
        </w:tc>
        <w:tc>
          <w:tcPr>
            <w:tcW w:w="1436" w:type="dxa"/>
          </w:tcPr>
          <w:p w14:paraId="3ACD75B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Типы моторов</w:t>
            </w:r>
          </w:p>
        </w:tc>
        <w:tc>
          <w:tcPr>
            <w:tcW w:w="1436" w:type="dxa"/>
          </w:tcPr>
          <w:p w14:paraId="772A49D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Годовой план 1933 года (госплан)</w:t>
            </w:r>
          </w:p>
        </w:tc>
        <w:tc>
          <w:tcPr>
            <w:tcW w:w="1436" w:type="dxa"/>
          </w:tcPr>
          <w:p w14:paraId="2C5FC52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9-ти месяцев</w:t>
            </w:r>
          </w:p>
        </w:tc>
        <w:tc>
          <w:tcPr>
            <w:tcW w:w="1436" w:type="dxa"/>
          </w:tcPr>
          <w:p w14:paraId="711C23C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Сдано за 9 месяцев</w:t>
            </w:r>
          </w:p>
        </w:tc>
        <w:tc>
          <w:tcPr>
            <w:tcW w:w="1436" w:type="dxa"/>
          </w:tcPr>
          <w:p w14:paraId="5F95F16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выполнения к 9-ти месячному плану</w:t>
            </w:r>
          </w:p>
        </w:tc>
        <w:tc>
          <w:tcPr>
            <w:tcW w:w="1436" w:type="dxa"/>
          </w:tcPr>
          <w:p w14:paraId="165B8B9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Сдано за 9 месяцев 1932 года</w:t>
            </w:r>
          </w:p>
        </w:tc>
        <w:tc>
          <w:tcPr>
            <w:tcW w:w="1005" w:type="dxa"/>
          </w:tcPr>
          <w:p w14:paraId="5106BAA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сдачи 1933 года к 1932 году</w:t>
            </w:r>
          </w:p>
        </w:tc>
      </w:tr>
      <w:tr w:rsidR="00F26F01" w:rsidRPr="00C33834" w14:paraId="5DCD8E70" w14:textId="77777777">
        <w:tc>
          <w:tcPr>
            <w:tcW w:w="1436" w:type="dxa"/>
          </w:tcPr>
          <w:p w14:paraId="1B23259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1436" w:type="dxa"/>
          </w:tcPr>
          <w:p w14:paraId="2E65B18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1436" w:type="dxa"/>
          </w:tcPr>
          <w:p w14:paraId="0E5941B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962</w:t>
            </w:r>
          </w:p>
        </w:tc>
        <w:tc>
          <w:tcPr>
            <w:tcW w:w="1436" w:type="dxa"/>
          </w:tcPr>
          <w:p w14:paraId="113A0A7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570</w:t>
            </w:r>
          </w:p>
        </w:tc>
        <w:tc>
          <w:tcPr>
            <w:tcW w:w="1436" w:type="dxa"/>
          </w:tcPr>
          <w:p w14:paraId="7AB0C8B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457</w:t>
            </w:r>
          </w:p>
        </w:tc>
        <w:tc>
          <w:tcPr>
            <w:tcW w:w="1436" w:type="dxa"/>
          </w:tcPr>
          <w:p w14:paraId="6B1182A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80,2</w:t>
            </w:r>
          </w:p>
        </w:tc>
        <w:tc>
          <w:tcPr>
            <w:tcW w:w="1436" w:type="dxa"/>
          </w:tcPr>
          <w:p w14:paraId="19CF117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1005" w:type="dxa"/>
          </w:tcPr>
          <w:p w14:paraId="37DE14B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2538,8</w:t>
            </w:r>
          </w:p>
        </w:tc>
      </w:tr>
      <w:tr w:rsidR="00F26F01" w:rsidRPr="00C33834" w14:paraId="2E26CD11" w14:textId="77777777">
        <w:tc>
          <w:tcPr>
            <w:tcW w:w="1436" w:type="dxa"/>
          </w:tcPr>
          <w:p w14:paraId="31DE565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1436" w:type="dxa"/>
          </w:tcPr>
          <w:p w14:paraId="39A3713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Разные</w:t>
            </w:r>
          </w:p>
        </w:tc>
        <w:tc>
          <w:tcPr>
            <w:tcW w:w="1436" w:type="dxa"/>
          </w:tcPr>
          <w:p w14:paraId="4E3C3A5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6" w:type="dxa"/>
          </w:tcPr>
          <w:p w14:paraId="77977EE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6" w:type="dxa"/>
          </w:tcPr>
          <w:p w14:paraId="09ED9AC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6" w:type="dxa"/>
          </w:tcPr>
          <w:p w14:paraId="7B5772D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6" w:type="dxa"/>
          </w:tcPr>
          <w:p w14:paraId="64DCDAC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540</w:t>
            </w:r>
          </w:p>
        </w:tc>
        <w:tc>
          <w:tcPr>
            <w:tcW w:w="1005" w:type="dxa"/>
          </w:tcPr>
          <w:p w14:paraId="07C1BAC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7C8871C0" w14:textId="77777777">
        <w:tc>
          <w:tcPr>
            <w:tcW w:w="1436" w:type="dxa"/>
          </w:tcPr>
          <w:p w14:paraId="2195D32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w:t>
            </w:r>
          </w:p>
        </w:tc>
        <w:tc>
          <w:tcPr>
            <w:tcW w:w="1436" w:type="dxa"/>
          </w:tcPr>
          <w:p w14:paraId="0BD3429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1436" w:type="dxa"/>
          </w:tcPr>
          <w:p w14:paraId="42AD404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3800</w:t>
            </w:r>
          </w:p>
        </w:tc>
        <w:tc>
          <w:tcPr>
            <w:tcW w:w="1436" w:type="dxa"/>
          </w:tcPr>
          <w:p w14:paraId="0B8836A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2605</w:t>
            </w:r>
          </w:p>
        </w:tc>
        <w:tc>
          <w:tcPr>
            <w:tcW w:w="1436" w:type="dxa"/>
          </w:tcPr>
          <w:p w14:paraId="03A510A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2605</w:t>
            </w:r>
          </w:p>
        </w:tc>
        <w:tc>
          <w:tcPr>
            <w:tcW w:w="1436" w:type="dxa"/>
          </w:tcPr>
          <w:p w14:paraId="6E7D107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1436" w:type="dxa"/>
          </w:tcPr>
          <w:p w14:paraId="4EEE773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1186</w:t>
            </w:r>
          </w:p>
        </w:tc>
        <w:tc>
          <w:tcPr>
            <w:tcW w:w="1005" w:type="dxa"/>
          </w:tcPr>
          <w:p w14:paraId="2D60FAF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219,6</w:t>
            </w:r>
          </w:p>
        </w:tc>
      </w:tr>
      <w:tr w:rsidR="00F26F01" w:rsidRPr="00C33834" w14:paraId="223B4F0C" w14:textId="77777777">
        <w:tc>
          <w:tcPr>
            <w:tcW w:w="1436" w:type="dxa"/>
          </w:tcPr>
          <w:p w14:paraId="1980D06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1436" w:type="dxa"/>
          </w:tcPr>
          <w:p w14:paraId="7DC7F0C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w:t>
            </w:r>
          </w:p>
        </w:tc>
        <w:tc>
          <w:tcPr>
            <w:tcW w:w="1436" w:type="dxa"/>
          </w:tcPr>
          <w:p w14:paraId="7A6D220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2155</w:t>
            </w:r>
          </w:p>
        </w:tc>
        <w:tc>
          <w:tcPr>
            <w:tcW w:w="1436" w:type="dxa"/>
          </w:tcPr>
          <w:p w14:paraId="47BFBD5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1780</w:t>
            </w:r>
          </w:p>
        </w:tc>
        <w:tc>
          <w:tcPr>
            <w:tcW w:w="1436" w:type="dxa"/>
          </w:tcPr>
          <w:p w14:paraId="21D069A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1493</w:t>
            </w:r>
          </w:p>
        </w:tc>
        <w:tc>
          <w:tcPr>
            <w:tcW w:w="1436" w:type="dxa"/>
          </w:tcPr>
          <w:p w14:paraId="5371455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83,9</w:t>
            </w:r>
          </w:p>
        </w:tc>
        <w:tc>
          <w:tcPr>
            <w:tcW w:w="1436" w:type="dxa"/>
          </w:tcPr>
          <w:p w14:paraId="3B7D099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1161</w:t>
            </w:r>
          </w:p>
        </w:tc>
        <w:tc>
          <w:tcPr>
            <w:tcW w:w="1005" w:type="dxa"/>
          </w:tcPr>
          <w:p w14:paraId="46E6E06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128,6</w:t>
            </w:r>
          </w:p>
        </w:tc>
      </w:tr>
      <w:tr w:rsidR="00F26F01" w:rsidRPr="00C33834" w14:paraId="15577D83" w14:textId="77777777">
        <w:tc>
          <w:tcPr>
            <w:tcW w:w="1436" w:type="dxa"/>
          </w:tcPr>
          <w:p w14:paraId="5854365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1436" w:type="dxa"/>
          </w:tcPr>
          <w:p w14:paraId="31B6275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436" w:type="dxa"/>
          </w:tcPr>
          <w:p w14:paraId="340FE5C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520</w:t>
            </w:r>
          </w:p>
        </w:tc>
        <w:tc>
          <w:tcPr>
            <w:tcW w:w="1436" w:type="dxa"/>
          </w:tcPr>
          <w:p w14:paraId="60EE234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tc>
        <w:tc>
          <w:tcPr>
            <w:tcW w:w="1436" w:type="dxa"/>
          </w:tcPr>
          <w:p w14:paraId="2ACD73C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281</w:t>
            </w:r>
          </w:p>
        </w:tc>
        <w:tc>
          <w:tcPr>
            <w:tcW w:w="1436" w:type="dxa"/>
          </w:tcPr>
          <w:p w14:paraId="26DE75B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80,3</w:t>
            </w:r>
          </w:p>
        </w:tc>
        <w:tc>
          <w:tcPr>
            <w:tcW w:w="1436" w:type="dxa"/>
          </w:tcPr>
          <w:p w14:paraId="3F57266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257</w:t>
            </w:r>
          </w:p>
        </w:tc>
        <w:tc>
          <w:tcPr>
            <w:tcW w:w="1005" w:type="dxa"/>
          </w:tcPr>
          <w:p w14:paraId="0D69225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109,3</w:t>
            </w:r>
          </w:p>
        </w:tc>
      </w:tr>
      <w:tr w:rsidR="00F26F01" w:rsidRPr="00C33834" w14:paraId="44B3CFB0" w14:textId="77777777">
        <w:tc>
          <w:tcPr>
            <w:tcW w:w="1436" w:type="dxa"/>
          </w:tcPr>
          <w:p w14:paraId="5876C18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w:t>
            </w:r>
          </w:p>
        </w:tc>
        <w:tc>
          <w:tcPr>
            <w:tcW w:w="1436" w:type="dxa"/>
          </w:tcPr>
          <w:p w14:paraId="5EEA9DE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436" w:type="dxa"/>
          </w:tcPr>
          <w:p w14:paraId="69B85C3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tc>
        <w:tc>
          <w:tcPr>
            <w:tcW w:w="1436" w:type="dxa"/>
          </w:tcPr>
          <w:p w14:paraId="60B5A34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6" w:type="dxa"/>
          </w:tcPr>
          <w:p w14:paraId="3345048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6" w:type="dxa"/>
          </w:tcPr>
          <w:p w14:paraId="79CC6C7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6" w:type="dxa"/>
          </w:tcPr>
          <w:p w14:paraId="3268EF0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05" w:type="dxa"/>
          </w:tcPr>
          <w:p w14:paraId="7EA6165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bl>
    <w:p w14:paraId="413362E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моторов:</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36"/>
        <w:gridCol w:w="1436"/>
        <w:gridCol w:w="1436"/>
        <w:gridCol w:w="1436"/>
        <w:gridCol w:w="1436"/>
        <w:gridCol w:w="1436"/>
        <w:gridCol w:w="1436"/>
        <w:gridCol w:w="1005"/>
      </w:tblGrid>
      <w:tr w:rsidR="00F26F01" w:rsidRPr="00C33834" w14:paraId="1B5FCB1E" w14:textId="77777777">
        <w:tc>
          <w:tcPr>
            <w:tcW w:w="1436" w:type="dxa"/>
          </w:tcPr>
          <w:p w14:paraId="6B65710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36" w:type="dxa"/>
          </w:tcPr>
          <w:p w14:paraId="2DAE468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36" w:type="dxa"/>
          </w:tcPr>
          <w:p w14:paraId="11D578C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7472</w:t>
            </w:r>
          </w:p>
        </w:tc>
        <w:tc>
          <w:tcPr>
            <w:tcW w:w="1436" w:type="dxa"/>
          </w:tcPr>
          <w:p w14:paraId="4588015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5305</w:t>
            </w:r>
          </w:p>
        </w:tc>
        <w:tc>
          <w:tcPr>
            <w:tcW w:w="1436" w:type="dxa"/>
          </w:tcPr>
          <w:p w14:paraId="0DA7B77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4836</w:t>
            </w:r>
          </w:p>
        </w:tc>
        <w:tc>
          <w:tcPr>
            <w:tcW w:w="1436" w:type="dxa"/>
          </w:tcPr>
          <w:p w14:paraId="7636937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91,1</w:t>
            </w:r>
          </w:p>
        </w:tc>
        <w:tc>
          <w:tcPr>
            <w:tcW w:w="1436" w:type="dxa"/>
          </w:tcPr>
          <w:p w14:paraId="26C5304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3162</w:t>
            </w:r>
          </w:p>
        </w:tc>
        <w:tc>
          <w:tcPr>
            <w:tcW w:w="1005" w:type="dxa"/>
          </w:tcPr>
          <w:p w14:paraId="75D8DB3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152,9</w:t>
            </w:r>
          </w:p>
        </w:tc>
      </w:tr>
    </w:tbl>
    <w:p w14:paraId="44FFFF7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групповых комплектов за 9 месяцев составляло по самолетам – 333 комплекта или 68,5% от 9-ти месячного плана и по моторам 339 комплектов или 64,0% от плана.</w:t>
      </w:r>
    </w:p>
    <w:p w14:paraId="2BF8293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Основное недовыполнение программы за 9 месяцев зависело от следующих причин:</w:t>
      </w:r>
    </w:p>
    <w:p w14:paraId="6A52B4B1"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области производства.</w:t>
      </w:r>
    </w:p>
    <w:p w14:paraId="01EAD89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Конструктивные изменения и недоработки самолетов и моторов: изменение хвостового оперения И7, недоработанность винтомоторной установки на самолет ТБ3 4М34 (радиаторы, винты, подогрев и проч.), задержка выхода эталонов из опытных организаций – самолетов ТБ4 и МИ3, неподготовленность к производству по самолетам Р6 и МБР4.</w:t>
      </w:r>
    </w:p>
    <w:p w14:paraId="2984277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Недостаточное освоение в производстве мотора М34 (заливка баббитом головок шатуна, течь воды в картер через уплотнительные кольца цилиндра и проч.) (и внедрение в производство ГМ34 и М34Р) редук. Изменение конструк. Масляных помп и друг.).</w:t>
      </w:r>
    </w:p>
    <w:p w14:paraId="4DEA0D4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Многотипность в производстве: так по разведчикам Р5 завод № 1 выпускает по назначению: штурмовик, почтовый, школьный, разведчик, поплавковые и на тормозном шасси; большой типаж самолетов по заводу № 31 (Р6, МБР4-4М34, АШ-М11, АНТ9, МБР4-АССО).</w:t>
      </w:r>
    </w:p>
    <w:p w14:paraId="270CCEA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Отсутствие необходимого хозяйственного и технического руководства (заводы №№ 1 и 31), к настоящему времени руководство сменено.</w:t>
      </w:r>
    </w:p>
    <w:p w14:paraId="3161101F"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области снабжения.</w:t>
      </w:r>
    </w:p>
    <w:p w14:paraId="73B4503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Недостаток цветных металлов, в особенности по олову, сортовой и листовой латуни и по алюминию.</w:t>
      </w:r>
    </w:p>
    <w:p w14:paraId="6776882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Недопоставка холоднокатанной калиброванной стали.</w:t>
      </w:r>
    </w:p>
    <w:p w14:paraId="49530EB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Недопоставка магнето; АТЭ. Электрокомбината систематически не выполняет программы по авиационному магнето. По 1 октября требовалось к подаче 17250 штук, поставлено (включительно по 1 октября 8785 штук. В настоящий момент остановился выпуск моторов М17 и М11. Импортного контингента нет.</w:t>
      </w:r>
    </w:p>
    <w:p w14:paraId="1268AA0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программы по основным потребителям (по программе Госплана) составляет:</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83"/>
        <w:gridCol w:w="883"/>
        <w:gridCol w:w="883"/>
        <w:gridCol w:w="883"/>
        <w:gridCol w:w="883"/>
        <w:gridCol w:w="883"/>
        <w:gridCol w:w="883"/>
        <w:gridCol w:w="883"/>
        <w:gridCol w:w="883"/>
        <w:gridCol w:w="883"/>
        <w:gridCol w:w="883"/>
        <w:gridCol w:w="883"/>
        <w:gridCol w:w="461"/>
      </w:tblGrid>
      <w:tr w:rsidR="00F26F01" w:rsidRPr="00C33834" w14:paraId="5CD943CF" w14:textId="77777777">
        <w:tc>
          <w:tcPr>
            <w:tcW w:w="883" w:type="dxa"/>
          </w:tcPr>
          <w:p w14:paraId="544F615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Типы машин</w:t>
            </w:r>
          </w:p>
        </w:tc>
        <w:tc>
          <w:tcPr>
            <w:tcW w:w="883" w:type="dxa"/>
          </w:tcPr>
          <w:p w14:paraId="045683E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УВВС годовой заказ</w:t>
            </w:r>
          </w:p>
        </w:tc>
        <w:tc>
          <w:tcPr>
            <w:tcW w:w="883" w:type="dxa"/>
          </w:tcPr>
          <w:p w14:paraId="060DFB7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УВВС поставка за 9 месяцев</w:t>
            </w:r>
          </w:p>
        </w:tc>
        <w:tc>
          <w:tcPr>
            <w:tcW w:w="883" w:type="dxa"/>
          </w:tcPr>
          <w:p w14:paraId="6175154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УВВС % выполн.</w:t>
            </w:r>
          </w:p>
          <w:p w14:paraId="63BEAAE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24AF0C6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ГУГВФ годовой заказ</w:t>
            </w:r>
          </w:p>
        </w:tc>
        <w:tc>
          <w:tcPr>
            <w:tcW w:w="883" w:type="dxa"/>
          </w:tcPr>
          <w:p w14:paraId="6A7C876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ГУГВФ поставка за 9 месяцев</w:t>
            </w:r>
          </w:p>
        </w:tc>
        <w:tc>
          <w:tcPr>
            <w:tcW w:w="883" w:type="dxa"/>
          </w:tcPr>
          <w:p w14:paraId="4662E05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ГУГВФ % выполн.</w:t>
            </w:r>
          </w:p>
        </w:tc>
        <w:tc>
          <w:tcPr>
            <w:tcW w:w="883" w:type="dxa"/>
          </w:tcPr>
          <w:p w14:paraId="5A4561B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ОСОАВИАХИМ</w:t>
            </w:r>
          </w:p>
          <w:p w14:paraId="32C289D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годовой заказ</w:t>
            </w:r>
          </w:p>
        </w:tc>
        <w:tc>
          <w:tcPr>
            <w:tcW w:w="883" w:type="dxa"/>
          </w:tcPr>
          <w:p w14:paraId="6C2EC73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ОСОАВИАХИМ поставка за 9 месяцев</w:t>
            </w:r>
          </w:p>
        </w:tc>
        <w:tc>
          <w:tcPr>
            <w:tcW w:w="883" w:type="dxa"/>
          </w:tcPr>
          <w:p w14:paraId="599D2EB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ОСОАВИАХИМ% выполн.</w:t>
            </w:r>
          </w:p>
        </w:tc>
        <w:tc>
          <w:tcPr>
            <w:tcW w:w="883" w:type="dxa"/>
          </w:tcPr>
          <w:p w14:paraId="7E171DD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ГПУ и</w:t>
            </w:r>
          </w:p>
          <w:p w14:paraId="57E0B3B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Динамо</w:t>
            </w:r>
          </w:p>
          <w:p w14:paraId="625C7CE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годовой заказ</w:t>
            </w:r>
          </w:p>
        </w:tc>
        <w:tc>
          <w:tcPr>
            <w:tcW w:w="883" w:type="dxa"/>
          </w:tcPr>
          <w:p w14:paraId="1131887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ГПУ и Динамо поставка за 9 месяцев</w:t>
            </w:r>
          </w:p>
        </w:tc>
        <w:tc>
          <w:tcPr>
            <w:tcW w:w="461" w:type="dxa"/>
          </w:tcPr>
          <w:p w14:paraId="344BD93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ГПУ и Динамо % выполн.</w:t>
            </w:r>
          </w:p>
        </w:tc>
      </w:tr>
      <w:tr w:rsidR="00F26F01" w:rsidRPr="00C33834" w14:paraId="48F39D32" w14:textId="77777777">
        <w:tc>
          <w:tcPr>
            <w:tcW w:w="883" w:type="dxa"/>
          </w:tcPr>
          <w:p w14:paraId="160B4FD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Р5-М17</w:t>
            </w:r>
          </w:p>
        </w:tc>
        <w:tc>
          <w:tcPr>
            <w:tcW w:w="883" w:type="dxa"/>
          </w:tcPr>
          <w:p w14:paraId="4B01C2D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1550</w:t>
            </w:r>
          </w:p>
        </w:tc>
        <w:tc>
          <w:tcPr>
            <w:tcW w:w="883" w:type="dxa"/>
          </w:tcPr>
          <w:p w14:paraId="1D9BA71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811</w:t>
            </w:r>
          </w:p>
        </w:tc>
        <w:tc>
          <w:tcPr>
            <w:tcW w:w="883" w:type="dxa"/>
          </w:tcPr>
          <w:p w14:paraId="7766DF8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52,3</w:t>
            </w:r>
          </w:p>
        </w:tc>
        <w:tc>
          <w:tcPr>
            <w:tcW w:w="883" w:type="dxa"/>
          </w:tcPr>
          <w:p w14:paraId="409AD9C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w:t>
            </w:r>
          </w:p>
        </w:tc>
        <w:tc>
          <w:tcPr>
            <w:tcW w:w="883" w:type="dxa"/>
          </w:tcPr>
          <w:p w14:paraId="0FA23C2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w:t>
            </w:r>
          </w:p>
        </w:tc>
        <w:tc>
          <w:tcPr>
            <w:tcW w:w="883" w:type="dxa"/>
          </w:tcPr>
          <w:p w14:paraId="5DEA843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77,0</w:t>
            </w:r>
          </w:p>
        </w:tc>
        <w:tc>
          <w:tcPr>
            <w:tcW w:w="883" w:type="dxa"/>
          </w:tcPr>
          <w:p w14:paraId="08DF79A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c>
          <w:tcPr>
            <w:tcW w:w="883" w:type="dxa"/>
          </w:tcPr>
          <w:p w14:paraId="004B4B6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883" w:type="dxa"/>
          </w:tcPr>
          <w:p w14:paraId="6397427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114,2</w:t>
            </w:r>
          </w:p>
        </w:tc>
        <w:tc>
          <w:tcPr>
            <w:tcW w:w="883" w:type="dxa"/>
          </w:tcPr>
          <w:p w14:paraId="3CDDCFF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w:t>
            </w:r>
          </w:p>
        </w:tc>
        <w:tc>
          <w:tcPr>
            <w:tcW w:w="883" w:type="dxa"/>
          </w:tcPr>
          <w:p w14:paraId="247FD47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461" w:type="dxa"/>
          </w:tcPr>
          <w:p w14:paraId="57072A6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121,2</w:t>
            </w:r>
          </w:p>
        </w:tc>
      </w:tr>
      <w:tr w:rsidR="00F26F01" w:rsidRPr="00C33834" w14:paraId="7F0935C1" w14:textId="77777777">
        <w:tc>
          <w:tcPr>
            <w:tcW w:w="883" w:type="dxa"/>
          </w:tcPr>
          <w:p w14:paraId="44E25BD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МР5-М17</w:t>
            </w:r>
          </w:p>
        </w:tc>
        <w:tc>
          <w:tcPr>
            <w:tcW w:w="883" w:type="dxa"/>
          </w:tcPr>
          <w:p w14:paraId="3AE9DDF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883" w:type="dxa"/>
          </w:tcPr>
          <w:p w14:paraId="38F4E93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26A34AA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6172DB0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0E4A766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59AC86A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4AB7D5C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0991AE0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34CD2D5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3E5209D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6C4FB09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61" w:type="dxa"/>
          </w:tcPr>
          <w:p w14:paraId="4836F2B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4EB137DA" w14:textId="77777777">
        <w:tc>
          <w:tcPr>
            <w:tcW w:w="883" w:type="dxa"/>
          </w:tcPr>
          <w:p w14:paraId="1F603BE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И7-М17</w:t>
            </w:r>
          </w:p>
        </w:tc>
        <w:tc>
          <w:tcPr>
            <w:tcW w:w="883" w:type="dxa"/>
          </w:tcPr>
          <w:p w14:paraId="49E7D50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883" w:type="dxa"/>
          </w:tcPr>
          <w:p w14:paraId="5DE456E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w:t>
            </w:r>
          </w:p>
        </w:tc>
        <w:tc>
          <w:tcPr>
            <w:tcW w:w="883" w:type="dxa"/>
          </w:tcPr>
          <w:p w14:paraId="1BE6518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w:t>
            </w:r>
          </w:p>
        </w:tc>
        <w:tc>
          <w:tcPr>
            <w:tcW w:w="883" w:type="dxa"/>
          </w:tcPr>
          <w:p w14:paraId="6DD1922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1BE20A7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9B9292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5F6CFC3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73156AA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7AA69B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FA7009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44CDF8D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Pr>
          <w:p w14:paraId="2CD0509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5C4D059" w14:textId="77777777">
        <w:tc>
          <w:tcPr>
            <w:tcW w:w="883" w:type="dxa"/>
          </w:tcPr>
          <w:p w14:paraId="7FB8957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И5-М22</w:t>
            </w:r>
          </w:p>
        </w:tc>
        <w:tc>
          <w:tcPr>
            <w:tcW w:w="883" w:type="dxa"/>
          </w:tcPr>
          <w:p w14:paraId="674AC5F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883" w:type="dxa"/>
          </w:tcPr>
          <w:p w14:paraId="3A9905A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179</w:t>
            </w:r>
          </w:p>
        </w:tc>
        <w:tc>
          <w:tcPr>
            <w:tcW w:w="883" w:type="dxa"/>
          </w:tcPr>
          <w:p w14:paraId="1B7B5DC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59,7</w:t>
            </w:r>
          </w:p>
        </w:tc>
        <w:tc>
          <w:tcPr>
            <w:tcW w:w="883" w:type="dxa"/>
          </w:tcPr>
          <w:p w14:paraId="66C9109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4A8DD89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EBA854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498A52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3F049C4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2EEBA10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208DC94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7A6FC86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Pr>
          <w:p w14:paraId="2D677A1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8063E84" w14:textId="77777777">
        <w:tc>
          <w:tcPr>
            <w:tcW w:w="883" w:type="dxa"/>
          </w:tcPr>
          <w:p w14:paraId="1A79E56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w:t>
            </w:r>
          </w:p>
        </w:tc>
        <w:tc>
          <w:tcPr>
            <w:tcW w:w="883" w:type="dxa"/>
          </w:tcPr>
          <w:p w14:paraId="5162C96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883" w:type="dxa"/>
          </w:tcPr>
          <w:p w14:paraId="55D47F1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w:t>
            </w:r>
          </w:p>
        </w:tc>
        <w:tc>
          <w:tcPr>
            <w:tcW w:w="883" w:type="dxa"/>
          </w:tcPr>
          <w:p w14:paraId="541C113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128,0</w:t>
            </w:r>
          </w:p>
        </w:tc>
        <w:tc>
          <w:tcPr>
            <w:tcW w:w="883" w:type="dxa"/>
          </w:tcPr>
          <w:p w14:paraId="53CE050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21A3123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7FF995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3A93BC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3E67E19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247427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2CCACE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31133C6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Pr>
          <w:p w14:paraId="4A00B40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43DF04C" w14:textId="77777777">
        <w:tc>
          <w:tcPr>
            <w:tcW w:w="883" w:type="dxa"/>
          </w:tcPr>
          <w:p w14:paraId="4299119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w:t>
            </w:r>
          </w:p>
        </w:tc>
        <w:tc>
          <w:tcPr>
            <w:tcW w:w="883" w:type="dxa"/>
          </w:tcPr>
          <w:p w14:paraId="05458EB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165</w:t>
            </w:r>
          </w:p>
        </w:tc>
        <w:tc>
          <w:tcPr>
            <w:tcW w:w="883" w:type="dxa"/>
          </w:tcPr>
          <w:p w14:paraId="58803AA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883" w:type="dxa"/>
          </w:tcPr>
          <w:p w14:paraId="4A55DE8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883" w:type="dxa"/>
          </w:tcPr>
          <w:p w14:paraId="5B47733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5F1B83A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D95AD5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22824D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49195EE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6D5BDE1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863644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180AEED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Pr>
          <w:p w14:paraId="767A132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5C9B2AF" w14:textId="77777777">
        <w:tc>
          <w:tcPr>
            <w:tcW w:w="883" w:type="dxa"/>
          </w:tcPr>
          <w:p w14:paraId="17387CB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МИ3-2М34</w:t>
            </w:r>
          </w:p>
        </w:tc>
        <w:tc>
          <w:tcPr>
            <w:tcW w:w="883" w:type="dxa"/>
          </w:tcPr>
          <w:p w14:paraId="6D160C1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883" w:type="dxa"/>
          </w:tcPr>
          <w:p w14:paraId="01D9C4D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1A62204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417D6DB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03E78E4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654A107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656744F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45CD31A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6BF7053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E912E7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22B01FF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Pr>
          <w:p w14:paraId="59C7EC8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5BF85ED" w14:textId="77777777">
        <w:tc>
          <w:tcPr>
            <w:tcW w:w="883" w:type="dxa"/>
          </w:tcPr>
          <w:p w14:paraId="05D8D3E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МБР4-АССО</w:t>
            </w:r>
          </w:p>
        </w:tc>
        <w:tc>
          <w:tcPr>
            <w:tcW w:w="883" w:type="dxa"/>
          </w:tcPr>
          <w:p w14:paraId="6A45B66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883" w:type="dxa"/>
          </w:tcPr>
          <w:p w14:paraId="0F729E4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883" w:type="dxa"/>
          </w:tcPr>
          <w:p w14:paraId="3B2FBB8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883" w:type="dxa"/>
          </w:tcPr>
          <w:p w14:paraId="3138FAF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71FF901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446D5E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5C8A121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37E57F6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A54A9D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D03A14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2F4DE48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Pr>
          <w:p w14:paraId="5A43CA9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73FA76D" w14:textId="77777777">
        <w:tc>
          <w:tcPr>
            <w:tcW w:w="883" w:type="dxa"/>
          </w:tcPr>
          <w:p w14:paraId="4F81C01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МБР4-М34</w:t>
            </w:r>
          </w:p>
        </w:tc>
        <w:tc>
          <w:tcPr>
            <w:tcW w:w="883" w:type="dxa"/>
          </w:tcPr>
          <w:p w14:paraId="3FB3413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883" w:type="dxa"/>
          </w:tcPr>
          <w:p w14:paraId="5ADAD04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1774E4B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7A77582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883" w:type="dxa"/>
          </w:tcPr>
          <w:p w14:paraId="4F7D02C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9E0012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198265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750442F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F89790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7F430F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0E08765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Pr>
          <w:p w14:paraId="75B18B7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5D4FA3E" w14:textId="77777777">
        <w:tc>
          <w:tcPr>
            <w:tcW w:w="883" w:type="dxa"/>
          </w:tcPr>
          <w:p w14:paraId="2006C2C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Р6-М17, М34</w:t>
            </w:r>
          </w:p>
        </w:tc>
        <w:tc>
          <w:tcPr>
            <w:tcW w:w="883" w:type="dxa"/>
          </w:tcPr>
          <w:p w14:paraId="3E6A753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883" w:type="dxa"/>
          </w:tcPr>
          <w:p w14:paraId="1520095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883" w:type="dxa"/>
          </w:tcPr>
          <w:p w14:paraId="0913FFB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c>
          <w:tcPr>
            <w:tcW w:w="883" w:type="dxa"/>
          </w:tcPr>
          <w:p w14:paraId="5F45DB8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1603D84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2C8C2C6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188F34E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48ECFCB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46A9172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5FE954D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1568554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61" w:type="dxa"/>
          </w:tcPr>
          <w:p w14:paraId="5E9C863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1DCC1592" w14:textId="77777777">
        <w:tc>
          <w:tcPr>
            <w:tcW w:w="883" w:type="dxa"/>
          </w:tcPr>
          <w:p w14:paraId="4690DA5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У2-М11</w:t>
            </w:r>
          </w:p>
        </w:tc>
        <w:tc>
          <w:tcPr>
            <w:tcW w:w="883" w:type="dxa"/>
          </w:tcPr>
          <w:p w14:paraId="3E150FD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883" w:type="dxa"/>
          </w:tcPr>
          <w:p w14:paraId="490CF1C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w:t>
            </w:r>
          </w:p>
        </w:tc>
        <w:tc>
          <w:tcPr>
            <w:tcW w:w="883" w:type="dxa"/>
          </w:tcPr>
          <w:p w14:paraId="10A4879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126,0</w:t>
            </w:r>
          </w:p>
        </w:tc>
        <w:tc>
          <w:tcPr>
            <w:tcW w:w="883" w:type="dxa"/>
          </w:tcPr>
          <w:p w14:paraId="12F2379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883" w:type="dxa"/>
          </w:tcPr>
          <w:p w14:paraId="714C961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w:t>
            </w:r>
          </w:p>
        </w:tc>
        <w:tc>
          <w:tcPr>
            <w:tcW w:w="883" w:type="dxa"/>
          </w:tcPr>
          <w:p w14:paraId="2226ED9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110,0</w:t>
            </w:r>
          </w:p>
        </w:tc>
        <w:tc>
          <w:tcPr>
            <w:tcW w:w="883" w:type="dxa"/>
          </w:tcPr>
          <w:p w14:paraId="4A7474D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883" w:type="dxa"/>
          </w:tcPr>
          <w:p w14:paraId="70B4546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883" w:type="dxa"/>
          </w:tcPr>
          <w:p w14:paraId="5116882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883" w:type="dxa"/>
          </w:tcPr>
          <w:p w14:paraId="6872E5F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w:t>
            </w:r>
          </w:p>
        </w:tc>
        <w:tc>
          <w:tcPr>
            <w:tcW w:w="883" w:type="dxa"/>
          </w:tcPr>
          <w:p w14:paraId="1AECF06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w:t>
            </w:r>
          </w:p>
        </w:tc>
        <w:tc>
          <w:tcPr>
            <w:tcW w:w="461" w:type="dxa"/>
          </w:tcPr>
          <w:p w14:paraId="0ECE5CD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29,2</w:t>
            </w:r>
          </w:p>
        </w:tc>
      </w:tr>
      <w:tr w:rsidR="00F26F01" w:rsidRPr="00C33834" w14:paraId="0F07F0D8" w14:textId="77777777">
        <w:tc>
          <w:tcPr>
            <w:tcW w:w="883" w:type="dxa"/>
          </w:tcPr>
          <w:p w14:paraId="396452B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У2-М11</w:t>
            </w:r>
          </w:p>
        </w:tc>
        <w:tc>
          <w:tcPr>
            <w:tcW w:w="883" w:type="dxa"/>
          </w:tcPr>
          <w:p w14:paraId="58C6E83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w:t>
            </w:r>
          </w:p>
        </w:tc>
        <w:tc>
          <w:tcPr>
            <w:tcW w:w="883" w:type="dxa"/>
          </w:tcPr>
          <w:p w14:paraId="61C656D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558</w:t>
            </w:r>
          </w:p>
        </w:tc>
        <w:tc>
          <w:tcPr>
            <w:tcW w:w="883" w:type="dxa"/>
          </w:tcPr>
          <w:p w14:paraId="10FF964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69,7</w:t>
            </w:r>
          </w:p>
        </w:tc>
        <w:tc>
          <w:tcPr>
            <w:tcW w:w="883" w:type="dxa"/>
          </w:tcPr>
          <w:p w14:paraId="3834355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245</w:t>
            </w:r>
          </w:p>
        </w:tc>
        <w:tc>
          <w:tcPr>
            <w:tcW w:w="883" w:type="dxa"/>
          </w:tcPr>
          <w:p w14:paraId="45F05DB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883" w:type="dxa"/>
          </w:tcPr>
          <w:p w14:paraId="31483E6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40,8</w:t>
            </w:r>
          </w:p>
        </w:tc>
        <w:tc>
          <w:tcPr>
            <w:tcW w:w="883" w:type="dxa"/>
          </w:tcPr>
          <w:p w14:paraId="3B8DBD3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883" w:type="dxa"/>
          </w:tcPr>
          <w:p w14:paraId="47A1E19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157</w:t>
            </w:r>
          </w:p>
        </w:tc>
        <w:tc>
          <w:tcPr>
            <w:tcW w:w="883" w:type="dxa"/>
          </w:tcPr>
          <w:p w14:paraId="2858578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78,5</w:t>
            </w:r>
          </w:p>
        </w:tc>
        <w:tc>
          <w:tcPr>
            <w:tcW w:w="883" w:type="dxa"/>
          </w:tcPr>
          <w:p w14:paraId="6023225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tc>
        <w:tc>
          <w:tcPr>
            <w:tcW w:w="883" w:type="dxa"/>
          </w:tcPr>
          <w:p w14:paraId="3EEA7D2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461" w:type="dxa"/>
          </w:tcPr>
          <w:p w14:paraId="44D0884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11,4</w:t>
            </w:r>
          </w:p>
        </w:tc>
      </w:tr>
      <w:tr w:rsidR="00F26F01" w:rsidRPr="00C33834" w14:paraId="3AFA6510" w14:textId="77777777">
        <w:tc>
          <w:tcPr>
            <w:tcW w:w="883" w:type="dxa"/>
          </w:tcPr>
          <w:p w14:paraId="3EAF500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К5-М22</w:t>
            </w:r>
          </w:p>
        </w:tc>
        <w:tc>
          <w:tcPr>
            <w:tcW w:w="883" w:type="dxa"/>
          </w:tcPr>
          <w:p w14:paraId="669E1A4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5A62C15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883" w:type="dxa"/>
          </w:tcPr>
          <w:p w14:paraId="199F7B7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164FACA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w:t>
            </w:r>
          </w:p>
        </w:tc>
        <w:tc>
          <w:tcPr>
            <w:tcW w:w="883" w:type="dxa"/>
          </w:tcPr>
          <w:p w14:paraId="099EDC7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w:t>
            </w:r>
          </w:p>
        </w:tc>
        <w:tc>
          <w:tcPr>
            <w:tcW w:w="883" w:type="dxa"/>
          </w:tcPr>
          <w:p w14:paraId="2E7C35E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49,4</w:t>
            </w:r>
          </w:p>
        </w:tc>
        <w:tc>
          <w:tcPr>
            <w:tcW w:w="883" w:type="dxa"/>
          </w:tcPr>
          <w:p w14:paraId="6E2D41C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883" w:type="dxa"/>
          </w:tcPr>
          <w:p w14:paraId="59422F9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5B29614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5D864A1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883" w:type="dxa"/>
          </w:tcPr>
          <w:p w14:paraId="03D652D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461" w:type="dxa"/>
          </w:tcPr>
          <w:p w14:paraId="5035CCB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r>
      <w:tr w:rsidR="00F26F01" w:rsidRPr="00C33834" w14:paraId="5CE0433B" w14:textId="77777777">
        <w:tc>
          <w:tcPr>
            <w:tcW w:w="883" w:type="dxa"/>
          </w:tcPr>
          <w:p w14:paraId="3303EA9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АП-М11</w:t>
            </w:r>
          </w:p>
        </w:tc>
        <w:tc>
          <w:tcPr>
            <w:tcW w:w="883" w:type="dxa"/>
          </w:tcPr>
          <w:p w14:paraId="384B32D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37E949D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883" w:type="dxa"/>
          </w:tcPr>
          <w:p w14:paraId="0BC3067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53DAD32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883" w:type="dxa"/>
          </w:tcPr>
          <w:p w14:paraId="0CE3383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883" w:type="dxa"/>
          </w:tcPr>
          <w:p w14:paraId="03EF6C0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883" w:type="dxa"/>
          </w:tcPr>
          <w:p w14:paraId="1310BD5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043C4FD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18CF4BB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63985AD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66E195C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61" w:type="dxa"/>
          </w:tcPr>
          <w:p w14:paraId="773C3C3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06C5E528" w14:textId="77777777">
        <w:tc>
          <w:tcPr>
            <w:tcW w:w="883" w:type="dxa"/>
          </w:tcPr>
          <w:p w14:paraId="2280228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АНТ9-2М17</w:t>
            </w:r>
          </w:p>
        </w:tc>
        <w:tc>
          <w:tcPr>
            <w:tcW w:w="883" w:type="dxa"/>
          </w:tcPr>
          <w:p w14:paraId="28B849D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40F57F9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252BBBF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19D5ACF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883" w:type="dxa"/>
          </w:tcPr>
          <w:p w14:paraId="355A7F1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6BC96D2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296CE03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50E335D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37953CF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7351A57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3" w:type="dxa"/>
          </w:tcPr>
          <w:p w14:paraId="1E4624E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461" w:type="dxa"/>
          </w:tcPr>
          <w:p w14:paraId="04031EE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bl>
    <w:p w14:paraId="70F4E37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Поставка моторов в резерв УВВС за 8 месяцев составляет:</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71"/>
        <w:gridCol w:w="2871"/>
        <w:gridCol w:w="2871"/>
        <w:gridCol w:w="2444"/>
      </w:tblGrid>
      <w:tr w:rsidR="00F26F01" w:rsidRPr="00C33834" w14:paraId="34CF9130" w14:textId="77777777">
        <w:tc>
          <w:tcPr>
            <w:tcW w:w="2871" w:type="dxa"/>
          </w:tcPr>
          <w:p w14:paraId="7DC6D49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 моторов</w:t>
            </w:r>
          </w:p>
        </w:tc>
        <w:tc>
          <w:tcPr>
            <w:tcW w:w="2871" w:type="dxa"/>
          </w:tcPr>
          <w:p w14:paraId="4FD7BEC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8-ми месячный заказ</w:t>
            </w:r>
          </w:p>
        </w:tc>
        <w:tc>
          <w:tcPr>
            <w:tcW w:w="2871" w:type="dxa"/>
          </w:tcPr>
          <w:p w14:paraId="22BF1BE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Поставлено за 8 месяцев</w:t>
            </w:r>
          </w:p>
        </w:tc>
        <w:tc>
          <w:tcPr>
            <w:tcW w:w="2444" w:type="dxa"/>
          </w:tcPr>
          <w:p w14:paraId="189F5D6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выполнения</w:t>
            </w:r>
          </w:p>
        </w:tc>
      </w:tr>
      <w:tr w:rsidR="00F26F01" w:rsidRPr="00C33834" w14:paraId="12030F9F" w14:textId="77777777">
        <w:tc>
          <w:tcPr>
            <w:tcW w:w="2871" w:type="dxa"/>
          </w:tcPr>
          <w:p w14:paraId="1A01A49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2871" w:type="dxa"/>
          </w:tcPr>
          <w:p w14:paraId="4C134F7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127</w:t>
            </w:r>
          </w:p>
        </w:tc>
        <w:tc>
          <w:tcPr>
            <w:tcW w:w="2871" w:type="dxa"/>
          </w:tcPr>
          <w:p w14:paraId="1BDCDE6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131</w:t>
            </w:r>
          </w:p>
        </w:tc>
        <w:tc>
          <w:tcPr>
            <w:tcW w:w="2444" w:type="dxa"/>
          </w:tcPr>
          <w:p w14:paraId="034BE7A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103,1</w:t>
            </w:r>
          </w:p>
        </w:tc>
      </w:tr>
      <w:tr w:rsidR="00F26F01" w:rsidRPr="00C33834" w14:paraId="736194A2" w14:textId="77777777">
        <w:tc>
          <w:tcPr>
            <w:tcW w:w="2871" w:type="dxa"/>
          </w:tcPr>
          <w:p w14:paraId="1A7AF65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2871" w:type="dxa"/>
          </w:tcPr>
          <w:p w14:paraId="7A49658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245</w:t>
            </w:r>
          </w:p>
        </w:tc>
        <w:tc>
          <w:tcPr>
            <w:tcW w:w="2871" w:type="dxa"/>
          </w:tcPr>
          <w:p w14:paraId="6CCA05C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367</w:t>
            </w:r>
          </w:p>
        </w:tc>
        <w:tc>
          <w:tcPr>
            <w:tcW w:w="2444" w:type="dxa"/>
          </w:tcPr>
          <w:p w14:paraId="1D4B78A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149,8</w:t>
            </w:r>
          </w:p>
        </w:tc>
      </w:tr>
      <w:tr w:rsidR="00F26F01" w:rsidRPr="00C33834" w14:paraId="6397E72B" w14:textId="77777777">
        <w:tc>
          <w:tcPr>
            <w:tcW w:w="2871" w:type="dxa"/>
          </w:tcPr>
          <w:p w14:paraId="018FFA8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2871" w:type="dxa"/>
          </w:tcPr>
          <w:p w14:paraId="0B89A67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62</w:t>
            </w:r>
          </w:p>
        </w:tc>
        <w:tc>
          <w:tcPr>
            <w:tcW w:w="2871" w:type="dxa"/>
          </w:tcPr>
          <w:p w14:paraId="3AC4E6C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w:t>
            </w:r>
          </w:p>
        </w:tc>
        <w:tc>
          <w:tcPr>
            <w:tcW w:w="2444" w:type="dxa"/>
          </w:tcPr>
          <w:p w14:paraId="2ED6055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51,6</w:t>
            </w:r>
          </w:p>
        </w:tc>
      </w:tr>
      <w:tr w:rsidR="00F26F01" w:rsidRPr="00C33834" w14:paraId="073CAA35" w14:textId="77777777">
        <w:tc>
          <w:tcPr>
            <w:tcW w:w="2871" w:type="dxa"/>
          </w:tcPr>
          <w:p w14:paraId="558C538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w:t>
            </w:r>
          </w:p>
        </w:tc>
        <w:tc>
          <w:tcPr>
            <w:tcW w:w="2871" w:type="dxa"/>
          </w:tcPr>
          <w:p w14:paraId="036D6C5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w:t>
            </w:r>
          </w:p>
        </w:tc>
        <w:tc>
          <w:tcPr>
            <w:tcW w:w="2871" w:type="dxa"/>
          </w:tcPr>
          <w:p w14:paraId="17E2EB1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149</w:t>
            </w:r>
          </w:p>
        </w:tc>
        <w:tc>
          <w:tcPr>
            <w:tcW w:w="2444" w:type="dxa"/>
          </w:tcPr>
          <w:p w14:paraId="77620A9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82,8</w:t>
            </w:r>
          </w:p>
        </w:tc>
      </w:tr>
    </w:tbl>
    <w:p w14:paraId="3D5A700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71"/>
        <w:gridCol w:w="2871"/>
        <w:gridCol w:w="2871"/>
        <w:gridCol w:w="2444"/>
      </w:tblGrid>
      <w:tr w:rsidR="00F26F01" w:rsidRPr="00C33834" w14:paraId="6D20CC86" w14:textId="77777777">
        <w:tc>
          <w:tcPr>
            <w:tcW w:w="2871" w:type="dxa"/>
          </w:tcPr>
          <w:p w14:paraId="5188559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871" w:type="dxa"/>
          </w:tcPr>
          <w:p w14:paraId="76478F2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614</w:t>
            </w:r>
          </w:p>
        </w:tc>
        <w:tc>
          <w:tcPr>
            <w:tcW w:w="2871" w:type="dxa"/>
          </w:tcPr>
          <w:p w14:paraId="324B2E6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679</w:t>
            </w:r>
          </w:p>
        </w:tc>
        <w:tc>
          <w:tcPr>
            <w:tcW w:w="2444" w:type="dxa"/>
          </w:tcPr>
          <w:p w14:paraId="093FBC2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110,6</w:t>
            </w:r>
          </w:p>
        </w:tc>
      </w:tr>
    </w:tbl>
    <w:p w14:paraId="1E5313A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IV квартал принята сдача самолетов по программе – 1658 штук и моторов – 2683 штук следующей разбивки по основным типам и заводам:</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35"/>
        <w:gridCol w:w="1435"/>
        <w:gridCol w:w="1435"/>
        <w:gridCol w:w="1435"/>
        <w:gridCol w:w="1435"/>
        <w:gridCol w:w="1435"/>
        <w:gridCol w:w="1435"/>
        <w:gridCol w:w="1012"/>
      </w:tblGrid>
      <w:tr w:rsidR="00F26F01" w:rsidRPr="00C33834" w14:paraId="21DA69E9" w14:textId="77777777">
        <w:tc>
          <w:tcPr>
            <w:tcW w:w="1435" w:type="dxa"/>
          </w:tcPr>
          <w:p w14:paraId="7426124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заводов</w:t>
            </w:r>
          </w:p>
        </w:tc>
        <w:tc>
          <w:tcPr>
            <w:tcW w:w="1435" w:type="dxa"/>
          </w:tcPr>
          <w:p w14:paraId="739856D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 самолета и мотора</w:t>
            </w:r>
          </w:p>
        </w:tc>
        <w:tc>
          <w:tcPr>
            <w:tcW w:w="1435" w:type="dxa"/>
          </w:tcPr>
          <w:p w14:paraId="3647FAD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Программа на 1933 год по Госплану</w:t>
            </w:r>
          </w:p>
        </w:tc>
        <w:tc>
          <w:tcPr>
            <w:tcW w:w="1435" w:type="dxa"/>
          </w:tcPr>
          <w:p w14:paraId="026E5B9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за 9 месяцев</w:t>
            </w:r>
          </w:p>
        </w:tc>
        <w:tc>
          <w:tcPr>
            <w:tcW w:w="1435" w:type="dxa"/>
          </w:tcPr>
          <w:p w14:paraId="5EBBF7F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IV квартал утвержд. Госпланом</w:t>
            </w:r>
          </w:p>
        </w:tc>
        <w:tc>
          <w:tcPr>
            <w:tcW w:w="1435" w:type="dxa"/>
          </w:tcPr>
          <w:p w14:paraId="6C245EE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IV квартал</w:t>
            </w:r>
          </w:p>
          <w:p w14:paraId="4A58A54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учетом выполнения за 9 месяцев</w:t>
            </w:r>
          </w:p>
        </w:tc>
        <w:tc>
          <w:tcPr>
            <w:tcW w:w="1435" w:type="dxa"/>
          </w:tcPr>
          <w:p w14:paraId="45CA1A1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Ожидаемый выпуск за год</w:t>
            </w:r>
          </w:p>
        </w:tc>
        <w:tc>
          <w:tcPr>
            <w:tcW w:w="1012" w:type="dxa"/>
          </w:tcPr>
          <w:p w14:paraId="7556E69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ожидаемого выполнения за год</w:t>
            </w:r>
          </w:p>
        </w:tc>
      </w:tr>
      <w:tr w:rsidR="00F26F01" w:rsidRPr="00C33834" w14:paraId="7F276278" w14:textId="77777777">
        <w:tc>
          <w:tcPr>
            <w:tcW w:w="1435" w:type="dxa"/>
          </w:tcPr>
          <w:p w14:paraId="531DC4C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w:t>
            </w:r>
          </w:p>
        </w:tc>
        <w:tc>
          <w:tcPr>
            <w:tcW w:w="1435" w:type="dxa"/>
          </w:tcPr>
          <w:p w14:paraId="38128B1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Р5-М17</w:t>
            </w:r>
          </w:p>
        </w:tc>
        <w:tc>
          <w:tcPr>
            <w:tcW w:w="1435" w:type="dxa"/>
          </w:tcPr>
          <w:p w14:paraId="3A6EBCC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1675</w:t>
            </w:r>
          </w:p>
        </w:tc>
        <w:tc>
          <w:tcPr>
            <w:tcW w:w="1435" w:type="dxa"/>
          </w:tcPr>
          <w:p w14:paraId="454E27A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956</w:t>
            </w:r>
          </w:p>
        </w:tc>
        <w:tc>
          <w:tcPr>
            <w:tcW w:w="1435" w:type="dxa"/>
          </w:tcPr>
          <w:p w14:paraId="6254961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680</w:t>
            </w:r>
          </w:p>
        </w:tc>
        <w:tc>
          <w:tcPr>
            <w:tcW w:w="1435" w:type="dxa"/>
          </w:tcPr>
          <w:p w14:paraId="62101CA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719</w:t>
            </w:r>
          </w:p>
        </w:tc>
        <w:tc>
          <w:tcPr>
            <w:tcW w:w="1435" w:type="dxa"/>
          </w:tcPr>
          <w:p w14:paraId="1F27C9A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1675</w:t>
            </w:r>
          </w:p>
        </w:tc>
        <w:tc>
          <w:tcPr>
            <w:tcW w:w="1012" w:type="dxa"/>
          </w:tcPr>
          <w:p w14:paraId="54709C4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r>
      <w:tr w:rsidR="00F26F01" w:rsidRPr="00C33834" w14:paraId="62C7D122" w14:textId="77777777">
        <w:tc>
          <w:tcPr>
            <w:tcW w:w="1435" w:type="dxa"/>
          </w:tcPr>
          <w:p w14:paraId="24F9954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435" w:type="dxa"/>
          </w:tcPr>
          <w:p w14:paraId="15E065B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МР5-М17</w:t>
            </w:r>
          </w:p>
        </w:tc>
        <w:tc>
          <w:tcPr>
            <w:tcW w:w="1435" w:type="dxa"/>
          </w:tcPr>
          <w:p w14:paraId="5CA9E0C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435" w:type="dxa"/>
          </w:tcPr>
          <w:p w14:paraId="7C22572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5" w:type="dxa"/>
          </w:tcPr>
          <w:p w14:paraId="4C76CAA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435" w:type="dxa"/>
          </w:tcPr>
          <w:p w14:paraId="04499E8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435" w:type="dxa"/>
          </w:tcPr>
          <w:p w14:paraId="1753281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012" w:type="dxa"/>
          </w:tcPr>
          <w:p w14:paraId="6C35B0A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r>
      <w:tr w:rsidR="00F26F01" w:rsidRPr="00C33834" w14:paraId="01120C62" w14:textId="77777777">
        <w:tc>
          <w:tcPr>
            <w:tcW w:w="1435" w:type="dxa"/>
          </w:tcPr>
          <w:p w14:paraId="26AF01F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435" w:type="dxa"/>
          </w:tcPr>
          <w:p w14:paraId="22EAF07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И7-М17</w:t>
            </w:r>
          </w:p>
        </w:tc>
        <w:tc>
          <w:tcPr>
            <w:tcW w:w="1435" w:type="dxa"/>
          </w:tcPr>
          <w:p w14:paraId="2A17E49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435" w:type="dxa"/>
          </w:tcPr>
          <w:p w14:paraId="71AA3DA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w:t>
            </w:r>
          </w:p>
        </w:tc>
        <w:tc>
          <w:tcPr>
            <w:tcW w:w="1435" w:type="dxa"/>
          </w:tcPr>
          <w:p w14:paraId="2B0B97E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1435" w:type="dxa"/>
          </w:tcPr>
          <w:p w14:paraId="76CFD60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w:t>
            </w:r>
          </w:p>
        </w:tc>
        <w:tc>
          <w:tcPr>
            <w:tcW w:w="1435" w:type="dxa"/>
          </w:tcPr>
          <w:p w14:paraId="1E52CB9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w:t>
            </w:r>
          </w:p>
        </w:tc>
        <w:tc>
          <w:tcPr>
            <w:tcW w:w="1012" w:type="dxa"/>
          </w:tcPr>
          <w:p w14:paraId="695871C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42,0</w:t>
            </w:r>
          </w:p>
        </w:tc>
      </w:tr>
      <w:tr w:rsidR="00F26F01" w:rsidRPr="00C33834" w14:paraId="4723AE45" w14:textId="77777777">
        <w:tc>
          <w:tcPr>
            <w:tcW w:w="1435" w:type="dxa"/>
          </w:tcPr>
          <w:p w14:paraId="2C71AF5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1435" w:type="dxa"/>
          </w:tcPr>
          <w:p w14:paraId="20608F1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И5-М22</w:t>
            </w:r>
          </w:p>
        </w:tc>
        <w:tc>
          <w:tcPr>
            <w:tcW w:w="1435" w:type="dxa"/>
          </w:tcPr>
          <w:p w14:paraId="335E860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435" w:type="dxa"/>
          </w:tcPr>
          <w:p w14:paraId="4C49088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179</w:t>
            </w:r>
          </w:p>
        </w:tc>
        <w:tc>
          <w:tcPr>
            <w:tcW w:w="1435" w:type="dxa"/>
          </w:tcPr>
          <w:p w14:paraId="28DA2CC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tc>
        <w:tc>
          <w:tcPr>
            <w:tcW w:w="1435" w:type="dxa"/>
          </w:tcPr>
          <w:p w14:paraId="54F3BF5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179</w:t>
            </w:r>
          </w:p>
        </w:tc>
        <w:tc>
          <w:tcPr>
            <w:tcW w:w="1435" w:type="dxa"/>
          </w:tcPr>
          <w:p w14:paraId="25FFE3D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358</w:t>
            </w:r>
          </w:p>
        </w:tc>
        <w:tc>
          <w:tcPr>
            <w:tcW w:w="1012" w:type="dxa"/>
          </w:tcPr>
          <w:p w14:paraId="64D47F4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119,3</w:t>
            </w:r>
          </w:p>
        </w:tc>
      </w:tr>
      <w:tr w:rsidR="00F26F01" w:rsidRPr="00C33834" w14:paraId="029D524E" w14:textId="77777777">
        <w:tc>
          <w:tcPr>
            <w:tcW w:w="1435" w:type="dxa"/>
          </w:tcPr>
          <w:p w14:paraId="3EE160F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1435" w:type="dxa"/>
          </w:tcPr>
          <w:p w14:paraId="67528E2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w:t>
            </w:r>
          </w:p>
        </w:tc>
        <w:tc>
          <w:tcPr>
            <w:tcW w:w="1435" w:type="dxa"/>
          </w:tcPr>
          <w:p w14:paraId="6524F3A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1435" w:type="dxa"/>
          </w:tcPr>
          <w:p w14:paraId="55A4BE1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168</w:t>
            </w:r>
          </w:p>
        </w:tc>
        <w:tc>
          <w:tcPr>
            <w:tcW w:w="1435" w:type="dxa"/>
          </w:tcPr>
          <w:p w14:paraId="2C1E33F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w:t>
            </w:r>
          </w:p>
        </w:tc>
        <w:tc>
          <w:tcPr>
            <w:tcW w:w="1435" w:type="dxa"/>
          </w:tcPr>
          <w:p w14:paraId="1DBBF42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w:t>
            </w:r>
          </w:p>
        </w:tc>
        <w:tc>
          <w:tcPr>
            <w:tcW w:w="1435" w:type="dxa"/>
          </w:tcPr>
          <w:p w14:paraId="4E9348B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1012" w:type="dxa"/>
          </w:tcPr>
          <w:p w14:paraId="0358D98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166,7</w:t>
            </w:r>
          </w:p>
        </w:tc>
      </w:tr>
      <w:tr w:rsidR="00F26F01" w:rsidRPr="00C33834" w14:paraId="3C4351B1" w14:textId="77777777">
        <w:tc>
          <w:tcPr>
            <w:tcW w:w="1435" w:type="dxa"/>
          </w:tcPr>
          <w:p w14:paraId="686B3A6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1435" w:type="dxa"/>
          </w:tcPr>
          <w:p w14:paraId="74AC408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w:t>
            </w:r>
          </w:p>
        </w:tc>
        <w:tc>
          <w:tcPr>
            <w:tcW w:w="1435" w:type="dxa"/>
          </w:tcPr>
          <w:p w14:paraId="0F33A9D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1435" w:type="dxa"/>
          </w:tcPr>
          <w:p w14:paraId="4C06BB0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1435" w:type="dxa"/>
          </w:tcPr>
          <w:p w14:paraId="3941B7F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5" w:type="dxa"/>
          </w:tcPr>
          <w:p w14:paraId="293A351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w:t>
            </w:r>
          </w:p>
        </w:tc>
        <w:tc>
          <w:tcPr>
            <w:tcW w:w="1435" w:type="dxa"/>
          </w:tcPr>
          <w:p w14:paraId="3913E1C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w:t>
            </w:r>
          </w:p>
        </w:tc>
        <w:tc>
          <w:tcPr>
            <w:tcW w:w="1012" w:type="dxa"/>
          </w:tcPr>
          <w:p w14:paraId="4AC9D6D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52,0</w:t>
            </w:r>
          </w:p>
        </w:tc>
      </w:tr>
      <w:tr w:rsidR="00F26F01" w:rsidRPr="00C33834" w14:paraId="1FDFB0C7" w14:textId="77777777">
        <w:tc>
          <w:tcPr>
            <w:tcW w:w="1435" w:type="dxa"/>
          </w:tcPr>
          <w:p w14:paraId="7DA1C27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1435" w:type="dxa"/>
          </w:tcPr>
          <w:p w14:paraId="41AF821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МИ3-2М34</w:t>
            </w:r>
          </w:p>
        </w:tc>
        <w:tc>
          <w:tcPr>
            <w:tcW w:w="1435" w:type="dxa"/>
          </w:tcPr>
          <w:p w14:paraId="051F75A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1435" w:type="dxa"/>
          </w:tcPr>
          <w:p w14:paraId="22F1E08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5" w:type="dxa"/>
          </w:tcPr>
          <w:p w14:paraId="343ECEB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5" w:type="dxa"/>
          </w:tcPr>
          <w:p w14:paraId="688C329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5" w:type="dxa"/>
          </w:tcPr>
          <w:p w14:paraId="657EBAD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12" w:type="dxa"/>
          </w:tcPr>
          <w:p w14:paraId="49D2324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2010D0C8" w14:textId="77777777">
        <w:tc>
          <w:tcPr>
            <w:tcW w:w="1435" w:type="dxa"/>
          </w:tcPr>
          <w:p w14:paraId="638D73B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1435" w:type="dxa"/>
          </w:tcPr>
          <w:p w14:paraId="449E3BB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ТБ4-6М34</w:t>
            </w:r>
          </w:p>
        </w:tc>
        <w:tc>
          <w:tcPr>
            <w:tcW w:w="1435" w:type="dxa"/>
          </w:tcPr>
          <w:p w14:paraId="05664A8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1435" w:type="dxa"/>
          </w:tcPr>
          <w:p w14:paraId="4044FAF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5" w:type="dxa"/>
          </w:tcPr>
          <w:p w14:paraId="315D009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5" w:type="dxa"/>
          </w:tcPr>
          <w:p w14:paraId="57EB99E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5" w:type="dxa"/>
          </w:tcPr>
          <w:p w14:paraId="047C545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12" w:type="dxa"/>
          </w:tcPr>
          <w:p w14:paraId="30BB64A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0F8CDF2A" w14:textId="77777777">
        <w:tc>
          <w:tcPr>
            <w:tcW w:w="1435" w:type="dxa"/>
          </w:tcPr>
          <w:p w14:paraId="40263D0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1435" w:type="dxa"/>
          </w:tcPr>
          <w:p w14:paraId="1600347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МБР4-АССО</w:t>
            </w:r>
          </w:p>
        </w:tc>
        <w:tc>
          <w:tcPr>
            <w:tcW w:w="1435" w:type="dxa"/>
          </w:tcPr>
          <w:p w14:paraId="20E9D44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1435" w:type="dxa"/>
          </w:tcPr>
          <w:p w14:paraId="4580BAB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1435" w:type="dxa"/>
          </w:tcPr>
          <w:p w14:paraId="76872CE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5" w:type="dxa"/>
          </w:tcPr>
          <w:p w14:paraId="3AD1BB5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1435" w:type="dxa"/>
          </w:tcPr>
          <w:p w14:paraId="1B0D899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1012" w:type="dxa"/>
          </w:tcPr>
          <w:p w14:paraId="7163750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r>
      <w:tr w:rsidR="00F26F01" w:rsidRPr="00C33834" w14:paraId="0A42CC0C" w14:textId="77777777">
        <w:tc>
          <w:tcPr>
            <w:tcW w:w="1435" w:type="dxa"/>
          </w:tcPr>
          <w:p w14:paraId="2A5A177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1435" w:type="dxa"/>
          </w:tcPr>
          <w:p w14:paraId="5D42F57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МБР4-М34</w:t>
            </w:r>
          </w:p>
        </w:tc>
        <w:tc>
          <w:tcPr>
            <w:tcW w:w="1435" w:type="dxa"/>
          </w:tcPr>
          <w:p w14:paraId="6CCFA9C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w:t>
            </w:r>
          </w:p>
        </w:tc>
        <w:tc>
          <w:tcPr>
            <w:tcW w:w="1435" w:type="dxa"/>
          </w:tcPr>
          <w:p w14:paraId="75B0FF1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5" w:type="dxa"/>
          </w:tcPr>
          <w:p w14:paraId="2236565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5" w:type="dxa"/>
          </w:tcPr>
          <w:p w14:paraId="199B2AB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1435" w:type="dxa"/>
          </w:tcPr>
          <w:p w14:paraId="70C3540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1012" w:type="dxa"/>
          </w:tcPr>
          <w:p w14:paraId="107C43D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20,8</w:t>
            </w:r>
          </w:p>
        </w:tc>
      </w:tr>
      <w:tr w:rsidR="00F26F01" w:rsidRPr="00C33834" w14:paraId="6FA22138" w14:textId="77777777">
        <w:tc>
          <w:tcPr>
            <w:tcW w:w="1435" w:type="dxa"/>
          </w:tcPr>
          <w:p w14:paraId="3F9AAC6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1435" w:type="dxa"/>
          </w:tcPr>
          <w:p w14:paraId="2BD475D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Р6-М17 М34</w:t>
            </w:r>
          </w:p>
        </w:tc>
        <w:tc>
          <w:tcPr>
            <w:tcW w:w="1435" w:type="dxa"/>
          </w:tcPr>
          <w:p w14:paraId="10B94FB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1435" w:type="dxa"/>
          </w:tcPr>
          <w:p w14:paraId="3034B39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1435" w:type="dxa"/>
          </w:tcPr>
          <w:p w14:paraId="70DA8EF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w:t>
            </w:r>
          </w:p>
        </w:tc>
        <w:tc>
          <w:tcPr>
            <w:tcW w:w="1435" w:type="dxa"/>
          </w:tcPr>
          <w:p w14:paraId="0BAB247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w:t>
            </w:r>
          </w:p>
        </w:tc>
        <w:tc>
          <w:tcPr>
            <w:tcW w:w="1435" w:type="dxa"/>
          </w:tcPr>
          <w:p w14:paraId="3FA2025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012" w:type="dxa"/>
          </w:tcPr>
          <w:p w14:paraId="454127D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r>
      <w:tr w:rsidR="00F26F01" w:rsidRPr="00C33834" w14:paraId="66BE55F0" w14:textId="77777777">
        <w:tc>
          <w:tcPr>
            <w:tcW w:w="1435" w:type="dxa"/>
          </w:tcPr>
          <w:p w14:paraId="39E1517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1435" w:type="dxa"/>
          </w:tcPr>
          <w:p w14:paraId="13FE055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АШ-М11</w:t>
            </w:r>
          </w:p>
        </w:tc>
        <w:tc>
          <w:tcPr>
            <w:tcW w:w="1435" w:type="dxa"/>
          </w:tcPr>
          <w:p w14:paraId="131F914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w:t>
            </w:r>
          </w:p>
        </w:tc>
        <w:tc>
          <w:tcPr>
            <w:tcW w:w="1435" w:type="dxa"/>
          </w:tcPr>
          <w:p w14:paraId="3D1627B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172</w:t>
            </w:r>
          </w:p>
        </w:tc>
        <w:tc>
          <w:tcPr>
            <w:tcW w:w="1435" w:type="dxa"/>
          </w:tcPr>
          <w:p w14:paraId="15FF65A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w:t>
            </w:r>
          </w:p>
        </w:tc>
        <w:tc>
          <w:tcPr>
            <w:tcW w:w="1435" w:type="dxa"/>
          </w:tcPr>
          <w:p w14:paraId="01EBE2B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w:t>
            </w:r>
          </w:p>
        </w:tc>
        <w:tc>
          <w:tcPr>
            <w:tcW w:w="1435" w:type="dxa"/>
          </w:tcPr>
          <w:p w14:paraId="5165EDB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1012" w:type="dxa"/>
          </w:tcPr>
          <w:p w14:paraId="4E5D276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114,3</w:t>
            </w:r>
          </w:p>
        </w:tc>
      </w:tr>
      <w:tr w:rsidR="00F26F01" w:rsidRPr="00C33834" w14:paraId="1E0F10D7" w14:textId="77777777">
        <w:tc>
          <w:tcPr>
            <w:tcW w:w="1435" w:type="dxa"/>
          </w:tcPr>
          <w:p w14:paraId="2EF3D41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1435" w:type="dxa"/>
          </w:tcPr>
          <w:p w14:paraId="5B1D6D5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АНТ9</w:t>
            </w:r>
          </w:p>
        </w:tc>
        <w:tc>
          <w:tcPr>
            <w:tcW w:w="1435" w:type="dxa"/>
          </w:tcPr>
          <w:p w14:paraId="12F9B3A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1435" w:type="dxa"/>
          </w:tcPr>
          <w:p w14:paraId="106CBA0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5" w:type="dxa"/>
          </w:tcPr>
          <w:p w14:paraId="3628404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1435" w:type="dxa"/>
          </w:tcPr>
          <w:p w14:paraId="4137D3E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1435" w:type="dxa"/>
          </w:tcPr>
          <w:p w14:paraId="15C9A13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1012" w:type="dxa"/>
          </w:tcPr>
          <w:p w14:paraId="733A48F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33,3</w:t>
            </w:r>
          </w:p>
        </w:tc>
      </w:tr>
      <w:tr w:rsidR="00F26F01" w:rsidRPr="00C33834" w14:paraId="6F5B9C59" w14:textId="77777777">
        <w:tc>
          <w:tcPr>
            <w:tcW w:w="1435" w:type="dxa"/>
          </w:tcPr>
          <w:p w14:paraId="4305D68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w:t>
            </w:r>
          </w:p>
        </w:tc>
        <w:tc>
          <w:tcPr>
            <w:tcW w:w="1435" w:type="dxa"/>
          </w:tcPr>
          <w:p w14:paraId="5204E63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w:t>
            </w:r>
          </w:p>
        </w:tc>
        <w:tc>
          <w:tcPr>
            <w:tcW w:w="1435" w:type="dxa"/>
          </w:tcPr>
          <w:p w14:paraId="2101BE8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1435" w:type="dxa"/>
          </w:tcPr>
          <w:p w14:paraId="5AF6168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1435" w:type="dxa"/>
          </w:tcPr>
          <w:p w14:paraId="2DCA432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c>
          <w:tcPr>
            <w:tcW w:w="1435" w:type="dxa"/>
          </w:tcPr>
          <w:p w14:paraId="4380204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w:t>
            </w:r>
          </w:p>
        </w:tc>
        <w:tc>
          <w:tcPr>
            <w:tcW w:w="1435" w:type="dxa"/>
          </w:tcPr>
          <w:p w14:paraId="2562A16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1012" w:type="dxa"/>
          </w:tcPr>
          <w:p w14:paraId="53D6B7F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133,3</w:t>
            </w:r>
          </w:p>
        </w:tc>
      </w:tr>
      <w:tr w:rsidR="00F26F01" w:rsidRPr="00C33834" w14:paraId="59EB3394" w14:textId="77777777">
        <w:tc>
          <w:tcPr>
            <w:tcW w:w="1435" w:type="dxa"/>
          </w:tcPr>
          <w:p w14:paraId="2889EF9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1435" w:type="dxa"/>
          </w:tcPr>
          <w:p w14:paraId="4EB8D44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w:t>
            </w:r>
          </w:p>
        </w:tc>
        <w:tc>
          <w:tcPr>
            <w:tcW w:w="1435" w:type="dxa"/>
          </w:tcPr>
          <w:p w14:paraId="23B5C8D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1435" w:type="dxa"/>
          </w:tcPr>
          <w:p w14:paraId="0FE6E0C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5" w:type="dxa"/>
          </w:tcPr>
          <w:p w14:paraId="2749479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1435" w:type="dxa"/>
          </w:tcPr>
          <w:p w14:paraId="414C793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1435" w:type="dxa"/>
          </w:tcPr>
          <w:p w14:paraId="2DD4365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1012" w:type="dxa"/>
          </w:tcPr>
          <w:p w14:paraId="4136446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13,3</w:t>
            </w:r>
          </w:p>
        </w:tc>
      </w:tr>
      <w:tr w:rsidR="00F26F01" w:rsidRPr="00C33834" w14:paraId="7771857A" w14:textId="77777777">
        <w:tc>
          <w:tcPr>
            <w:tcW w:w="1435" w:type="dxa"/>
          </w:tcPr>
          <w:p w14:paraId="2F26A0E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ХАЗОСС</w:t>
            </w:r>
          </w:p>
        </w:tc>
        <w:tc>
          <w:tcPr>
            <w:tcW w:w="1435" w:type="dxa"/>
          </w:tcPr>
          <w:p w14:paraId="77F7026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К5-М22</w:t>
            </w:r>
          </w:p>
        </w:tc>
        <w:tc>
          <w:tcPr>
            <w:tcW w:w="1435" w:type="dxa"/>
          </w:tcPr>
          <w:p w14:paraId="5A24E0E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1435" w:type="dxa"/>
          </w:tcPr>
          <w:p w14:paraId="53D48E2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w:t>
            </w:r>
          </w:p>
        </w:tc>
        <w:tc>
          <w:tcPr>
            <w:tcW w:w="1435" w:type="dxa"/>
          </w:tcPr>
          <w:p w14:paraId="1C5F3E2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w:t>
            </w:r>
          </w:p>
        </w:tc>
        <w:tc>
          <w:tcPr>
            <w:tcW w:w="1435" w:type="dxa"/>
          </w:tcPr>
          <w:p w14:paraId="0CDFFD9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59</w:t>
            </w:r>
          </w:p>
        </w:tc>
        <w:tc>
          <w:tcPr>
            <w:tcW w:w="1435" w:type="dxa"/>
          </w:tcPr>
          <w:p w14:paraId="080F5B4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108</w:t>
            </w:r>
          </w:p>
        </w:tc>
        <w:tc>
          <w:tcPr>
            <w:tcW w:w="1012" w:type="dxa"/>
          </w:tcPr>
          <w:p w14:paraId="502D5DB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108,0</w:t>
            </w:r>
          </w:p>
        </w:tc>
      </w:tr>
      <w:tr w:rsidR="00F26F01" w:rsidRPr="00C33834" w14:paraId="4A4C4C2C" w14:textId="77777777">
        <w:tc>
          <w:tcPr>
            <w:tcW w:w="1435" w:type="dxa"/>
          </w:tcPr>
          <w:p w14:paraId="591AA28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c>
          <w:tcPr>
            <w:tcW w:w="1435" w:type="dxa"/>
          </w:tcPr>
          <w:p w14:paraId="6DD96BE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У2-М11 </w:t>
            </w:r>
          </w:p>
        </w:tc>
        <w:tc>
          <w:tcPr>
            <w:tcW w:w="1435" w:type="dxa"/>
          </w:tcPr>
          <w:p w14:paraId="490D87D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1280</w:t>
            </w:r>
          </w:p>
        </w:tc>
        <w:tc>
          <w:tcPr>
            <w:tcW w:w="1435" w:type="dxa"/>
          </w:tcPr>
          <w:p w14:paraId="2720ED9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880</w:t>
            </w:r>
          </w:p>
        </w:tc>
        <w:tc>
          <w:tcPr>
            <w:tcW w:w="1435" w:type="dxa"/>
          </w:tcPr>
          <w:p w14:paraId="3547935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441</w:t>
            </w:r>
          </w:p>
        </w:tc>
        <w:tc>
          <w:tcPr>
            <w:tcW w:w="1435" w:type="dxa"/>
          </w:tcPr>
          <w:p w14:paraId="15EB85F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497</w:t>
            </w:r>
          </w:p>
        </w:tc>
        <w:tc>
          <w:tcPr>
            <w:tcW w:w="1435" w:type="dxa"/>
          </w:tcPr>
          <w:p w14:paraId="077FDC2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1377</w:t>
            </w:r>
          </w:p>
        </w:tc>
        <w:tc>
          <w:tcPr>
            <w:tcW w:w="1012" w:type="dxa"/>
          </w:tcPr>
          <w:p w14:paraId="4F2E9D1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107,0</w:t>
            </w:r>
          </w:p>
        </w:tc>
      </w:tr>
      <w:tr w:rsidR="00F26F01" w:rsidRPr="00C33834" w14:paraId="21488091" w14:textId="77777777">
        <w:tc>
          <w:tcPr>
            <w:tcW w:w="1435" w:type="dxa"/>
          </w:tcPr>
          <w:p w14:paraId="6C131A4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c>
          <w:tcPr>
            <w:tcW w:w="1435" w:type="dxa"/>
          </w:tcPr>
          <w:p w14:paraId="33E353D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АП-М11</w:t>
            </w:r>
          </w:p>
        </w:tc>
        <w:tc>
          <w:tcPr>
            <w:tcW w:w="1435" w:type="dxa"/>
          </w:tcPr>
          <w:p w14:paraId="3314D86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1435" w:type="dxa"/>
          </w:tcPr>
          <w:p w14:paraId="41BE5A6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127</w:t>
            </w:r>
          </w:p>
        </w:tc>
        <w:tc>
          <w:tcPr>
            <w:tcW w:w="1435" w:type="dxa"/>
          </w:tcPr>
          <w:p w14:paraId="3E9E243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5" w:type="dxa"/>
          </w:tcPr>
          <w:p w14:paraId="53E017D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5" w:type="dxa"/>
          </w:tcPr>
          <w:p w14:paraId="56FE6B7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123</w:t>
            </w:r>
          </w:p>
        </w:tc>
        <w:tc>
          <w:tcPr>
            <w:tcW w:w="1012" w:type="dxa"/>
          </w:tcPr>
          <w:p w14:paraId="796E8DF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102,5</w:t>
            </w:r>
          </w:p>
        </w:tc>
      </w:tr>
    </w:tbl>
    <w:p w14:paraId="7578F3B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самолетов:</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35"/>
        <w:gridCol w:w="1435"/>
        <w:gridCol w:w="1435"/>
        <w:gridCol w:w="1435"/>
        <w:gridCol w:w="1435"/>
        <w:gridCol w:w="1435"/>
        <w:gridCol w:w="1435"/>
        <w:gridCol w:w="1012"/>
      </w:tblGrid>
      <w:tr w:rsidR="00F26F01" w:rsidRPr="00C33834" w14:paraId="3D07E0E6" w14:textId="77777777">
        <w:tc>
          <w:tcPr>
            <w:tcW w:w="1435" w:type="dxa"/>
          </w:tcPr>
          <w:p w14:paraId="3C29D64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C0DF06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DCC895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4495</w:t>
            </w:r>
          </w:p>
        </w:tc>
        <w:tc>
          <w:tcPr>
            <w:tcW w:w="1435" w:type="dxa"/>
          </w:tcPr>
          <w:p w14:paraId="1ABEAED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2630</w:t>
            </w:r>
          </w:p>
        </w:tc>
        <w:tc>
          <w:tcPr>
            <w:tcW w:w="1435" w:type="dxa"/>
          </w:tcPr>
          <w:p w14:paraId="20466A3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1658</w:t>
            </w:r>
          </w:p>
        </w:tc>
        <w:tc>
          <w:tcPr>
            <w:tcW w:w="1435" w:type="dxa"/>
          </w:tcPr>
          <w:p w14:paraId="4864857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1791</w:t>
            </w:r>
          </w:p>
        </w:tc>
        <w:tc>
          <w:tcPr>
            <w:tcW w:w="1435" w:type="dxa"/>
          </w:tcPr>
          <w:p w14:paraId="5361BBE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4411</w:t>
            </w:r>
          </w:p>
        </w:tc>
        <w:tc>
          <w:tcPr>
            <w:tcW w:w="1012" w:type="dxa"/>
          </w:tcPr>
          <w:p w14:paraId="6772DFF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98,1</w:t>
            </w:r>
          </w:p>
        </w:tc>
      </w:tr>
    </w:tbl>
    <w:p w14:paraId="724BB84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35"/>
        <w:gridCol w:w="1435"/>
        <w:gridCol w:w="1435"/>
        <w:gridCol w:w="1435"/>
        <w:gridCol w:w="1435"/>
        <w:gridCol w:w="1435"/>
        <w:gridCol w:w="1435"/>
        <w:gridCol w:w="1012"/>
      </w:tblGrid>
      <w:tr w:rsidR="00F26F01" w:rsidRPr="00C33834" w14:paraId="0F9BC0A8" w14:textId="77777777">
        <w:tc>
          <w:tcPr>
            <w:tcW w:w="1435" w:type="dxa"/>
          </w:tcPr>
          <w:p w14:paraId="5DE9B57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1435" w:type="dxa"/>
          </w:tcPr>
          <w:p w14:paraId="69E3744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1435" w:type="dxa"/>
          </w:tcPr>
          <w:p w14:paraId="55F02CF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962</w:t>
            </w:r>
          </w:p>
        </w:tc>
        <w:tc>
          <w:tcPr>
            <w:tcW w:w="1435" w:type="dxa"/>
          </w:tcPr>
          <w:p w14:paraId="79F9FEE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457</w:t>
            </w:r>
          </w:p>
        </w:tc>
        <w:tc>
          <w:tcPr>
            <w:tcW w:w="1435" w:type="dxa"/>
          </w:tcPr>
          <w:p w14:paraId="06B4074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383</w:t>
            </w:r>
          </w:p>
        </w:tc>
        <w:tc>
          <w:tcPr>
            <w:tcW w:w="1435" w:type="dxa"/>
          </w:tcPr>
          <w:p w14:paraId="4389280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503</w:t>
            </w:r>
          </w:p>
        </w:tc>
        <w:tc>
          <w:tcPr>
            <w:tcW w:w="1435" w:type="dxa"/>
          </w:tcPr>
          <w:p w14:paraId="7FD2906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960</w:t>
            </w:r>
          </w:p>
        </w:tc>
        <w:tc>
          <w:tcPr>
            <w:tcW w:w="1012" w:type="dxa"/>
          </w:tcPr>
          <w:p w14:paraId="4BFBA2A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99,8</w:t>
            </w:r>
          </w:p>
        </w:tc>
      </w:tr>
      <w:tr w:rsidR="00F26F01" w:rsidRPr="00C33834" w14:paraId="17631524" w14:textId="77777777">
        <w:tc>
          <w:tcPr>
            <w:tcW w:w="1435" w:type="dxa"/>
          </w:tcPr>
          <w:p w14:paraId="653A944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w:t>
            </w:r>
          </w:p>
        </w:tc>
        <w:tc>
          <w:tcPr>
            <w:tcW w:w="1435" w:type="dxa"/>
          </w:tcPr>
          <w:p w14:paraId="1357E1F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1435" w:type="dxa"/>
          </w:tcPr>
          <w:p w14:paraId="2D8520C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3800</w:t>
            </w:r>
          </w:p>
        </w:tc>
        <w:tc>
          <w:tcPr>
            <w:tcW w:w="1435" w:type="dxa"/>
          </w:tcPr>
          <w:p w14:paraId="6746DD1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2605</w:t>
            </w:r>
          </w:p>
        </w:tc>
        <w:tc>
          <w:tcPr>
            <w:tcW w:w="1435" w:type="dxa"/>
          </w:tcPr>
          <w:p w14:paraId="249C85B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w:t>
            </w:r>
          </w:p>
        </w:tc>
        <w:tc>
          <w:tcPr>
            <w:tcW w:w="1435" w:type="dxa"/>
          </w:tcPr>
          <w:p w14:paraId="23C16B9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w:t>
            </w:r>
          </w:p>
        </w:tc>
        <w:tc>
          <w:tcPr>
            <w:tcW w:w="1435" w:type="dxa"/>
          </w:tcPr>
          <w:p w14:paraId="4E49FBC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3905</w:t>
            </w:r>
          </w:p>
        </w:tc>
        <w:tc>
          <w:tcPr>
            <w:tcW w:w="1012" w:type="dxa"/>
          </w:tcPr>
          <w:p w14:paraId="074C5B9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102,8</w:t>
            </w:r>
          </w:p>
        </w:tc>
      </w:tr>
      <w:tr w:rsidR="00F26F01" w:rsidRPr="00C33834" w14:paraId="7685851B" w14:textId="77777777">
        <w:tc>
          <w:tcPr>
            <w:tcW w:w="1435" w:type="dxa"/>
          </w:tcPr>
          <w:p w14:paraId="4F2EB2A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1435" w:type="dxa"/>
          </w:tcPr>
          <w:p w14:paraId="4D88DA2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435" w:type="dxa"/>
          </w:tcPr>
          <w:p w14:paraId="1626056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520</w:t>
            </w:r>
          </w:p>
        </w:tc>
        <w:tc>
          <w:tcPr>
            <w:tcW w:w="1435" w:type="dxa"/>
          </w:tcPr>
          <w:p w14:paraId="4BAAF8B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281</w:t>
            </w:r>
          </w:p>
        </w:tc>
        <w:tc>
          <w:tcPr>
            <w:tcW w:w="1435" w:type="dxa"/>
          </w:tcPr>
          <w:p w14:paraId="791487A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w:t>
            </w:r>
          </w:p>
        </w:tc>
        <w:tc>
          <w:tcPr>
            <w:tcW w:w="1435" w:type="dxa"/>
          </w:tcPr>
          <w:p w14:paraId="23A5FA1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219</w:t>
            </w:r>
          </w:p>
        </w:tc>
        <w:tc>
          <w:tcPr>
            <w:tcW w:w="1435" w:type="dxa"/>
          </w:tcPr>
          <w:p w14:paraId="3177790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tc>
        <w:tc>
          <w:tcPr>
            <w:tcW w:w="1012" w:type="dxa"/>
          </w:tcPr>
          <w:p w14:paraId="4F6BD2D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96,2</w:t>
            </w:r>
          </w:p>
        </w:tc>
      </w:tr>
      <w:tr w:rsidR="00F26F01" w:rsidRPr="00C33834" w14:paraId="73C7BFAC" w14:textId="77777777">
        <w:tc>
          <w:tcPr>
            <w:tcW w:w="1435" w:type="dxa"/>
          </w:tcPr>
          <w:p w14:paraId="7B5063A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1435" w:type="dxa"/>
          </w:tcPr>
          <w:p w14:paraId="560CE24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w:t>
            </w:r>
          </w:p>
        </w:tc>
        <w:tc>
          <w:tcPr>
            <w:tcW w:w="1435" w:type="dxa"/>
          </w:tcPr>
          <w:p w14:paraId="47509B9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2150</w:t>
            </w:r>
          </w:p>
        </w:tc>
        <w:tc>
          <w:tcPr>
            <w:tcW w:w="1435" w:type="dxa"/>
          </w:tcPr>
          <w:p w14:paraId="7A6D269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1493</w:t>
            </w:r>
          </w:p>
        </w:tc>
        <w:tc>
          <w:tcPr>
            <w:tcW w:w="1435" w:type="dxa"/>
          </w:tcPr>
          <w:p w14:paraId="486DBCE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w:t>
            </w:r>
          </w:p>
        </w:tc>
        <w:tc>
          <w:tcPr>
            <w:tcW w:w="1435" w:type="dxa"/>
          </w:tcPr>
          <w:p w14:paraId="34F3D7B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1007</w:t>
            </w:r>
          </w:p>
        </w:tc>
        <w:tc>
          <w:tcPr>
            <w:tcW w:w="1435" w:type="dxa"/>
          </w:tcPr>
          <w:p w14:paraId="09A8128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2500</w:t>
            </w:r>
          </w:p>
        </w:tc>
        <w:tc>
          <w:tcPr>
            <w:tcW w:w="1012" w:type="dxa"/>
          </w:tcPr>
          <w:p w14:paraId="0FDB869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116,0</w:t>
            </w:r>
          </w:p>
        </w:tc>
      </w:tr>
      <w:tr w:rsidR="00F26F01" w:rsidRPr="00C33834" w14:paraId="070380B9" w14:textId="77777777">
        <w:tc>
          <w:tcPr>
            <w:tcW w:w="1435" w:type="dxa"/>
          </w:tcPr>
          <w:p w14:paraId="511121B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w:t>
            </w:r>
          </w:p>
        </w:tc>
        <w:tc>
          <w:tcPr>
            <w:tcW w:w="1435" w:type="dxa"/>
          </w:tcPr>
          <w:p w14:paraId="1948646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435" w:type="dxa"/>
          </w:tcPr>
          <w:p w14:paraId="09403F8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tc>
        <w:tc>
          <w:tcPr>
            <w:tcW w:w="1435" w:type="dxa"/>
          </w:tcPr>
          <w:p w14:paraId="00D1C07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5" w:type="dxa"/>
          </w:tcPr>
          <w:p w14:paraId="09D04A7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5" w:type="dxa"/>
          </w:tcPr>
          <w:p w14:paraId="16C5F03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35" w:type="dxa"/>
          </w:tcPr>
          <w:p w14:paraId="429DD87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12" w:type="dxa"/>
          </w:tcPr>
          <w:p w14:paraId="3C864B4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bl>
    <w:p w14:paraId="2C6DF21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моторов</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35"/>
        <w:gridCol w:w="1435"/>
        <w:gridCol w:w="1435"/>
        <w:gridCol w:w="1435"/>
        <w:gridCol w:w="1435"/>
        <w:gridCol w:w="1435"/>
        <w:gridCol w:w="1435"/>
        <w:gridCol w:w="1012"/>
      </w:tblGrid>
      <w:tr w:rsidR="00F26F01" w:rsidRPr="00C33834" w14:paraId="5FE9505A" w14:textId="77777777">
        <w:tc>
          <w:tcPr>
            <w:tcW w:w="1435" w:type="dxa"/>
          </w:tcPr>
          <w:p w14:paraId="10ECBDF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53F5D6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AEF219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7472</w:t>
            </w:r>
          </w:p>
        </w:tc>
        <w:tc>
          <w:tcPr>
            <w:tcW w:w="1435" w:type="dxa"/>
          </w:tcPr>
          <w:p w14:paraId="52E9852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4836</w:t>
            </w:r>
          </w:p>
        </w:tc>
        <w:tc>
          <w:tcPr>
            <w:tcW w:w="1435" w:type="dxa"/>
          </w:tcPr>
          <w:p w14:paraId="63A5684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2663</w:t>
            </w:r>
          </w:p>
        </w:tc>
        <w:tc>
          <w:tcPr>
            <w:tcW w:w="1435" w:type="dxa"/>
          </w:tcPr>
          <w:p w14:paraId="5B9E607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3029</w:t>
            </w:r>
          </w:p>
        </w:tc>
        <w:tc>
          <w:tcPr>
            <w:tcW w:w="1435" w:type="dxa"/>
          </w:tcPr>
          <w:p w14:paraId="65E73B3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7865</w:t>
            </w:r>
          </w:p>
        </w:tc>
        <w:tc>
          <w:tcPr>
            <w:tcW w:w="1012" w:type="dxa"/>
          </w:tcPr>
          <w:p w14:paraId="72D7E7E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105,3</w:t>
            </w:r>
          </w:p>
        </w:tc>
      </w:tr>
    </w:tbl>
    <w:p w14:paraId="14BC843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 по заводу № 21 план и выполнение показаны за 8 месяцев.</w:t>
      </w:r>
    </w:p>
    <w:p w14:paraId="1F28B43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Остатки на 1 октября 1933 года</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96"/>
        <w:gridCol w:w="2296"/>
        <w:gridCol w:w="2296"/>
        <w:gridCol w:w="2296"/>
        <w:gridCol w:w="1873"/>
      </w:tblGrid>
      <w:tr w:rsidR="00F26F01" w:rsidRPr="00C33834" w14:paraId="710EC515" w14:textId="77777777">
        <w:tc>
          <w:tcPr>
            <w:tcW w:w="2296" w:type="dxa"/>
          </w:tcPr>
          <w:p w14:paraId="7797002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w:t>
            </w:r>
          </w:p>
        </w:tc>
        <w:tc>
          <w:tcPr>
            <w:tcW w:w="2296" w:type="dxa"/>
          </w:tcPr>
          <w:p w14:paraId="76ED549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 изделий</w:t>
            </w:r>
          </w:p>
        </w:tc>
        <w:tc>
          <w:tcPr>
            <w:tcW w:w="2296" w:type="dxa"/>
          </w:tcPr>
          <w:p w14:paraId="09D249A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Собрано</w:t>
            </w:r>
          </w:p>
        </w:tc>
        <w:tc>
          <w:tcPr>
            <w:tcW w:w="2296" w:type="dxa"/>
          </w:tcPr>
          <w:p w14:paraId="6360FCD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Предъявлено</w:t>
            </w:r>
          </w:p>
        </w:tc>
        <w:tc>
          <w:tcPr>
            <w:tcW w:w="1873" w:type="dxa"/>
          </w:tcPr>
          <w:p w14:paraId="1AD178A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r>
      <w:tr w:rsidR="00F26F01" w:rsidRPr="00C33834" w14:paraId="65173E72" w14:textId="77777777">
        <w:tc>
          <w:tcPr>
            <w:tcW w:w="2296" w:type="dxa"/>
          </w:tcPr>
          <w:p w14:paraId="5EABA0B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2296" w:type="dxa"/>
          </w:tcPr>
          <w:p w14:paraId="7941E13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w:t>
            </w:r>
          </w:p>
        </w:tc>
        <w:tc>
          <w:tcPr>
            <w:tcW w:w="2296" w:type="dxa"/>
          </w:tcPr>
          <w:p w14:paraId="6F69555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2296" w:type="dxa"/>
          </w:tcPr>
          <w:p w14:paraId="36FCCA1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w:t>
            </w:r>
          </w:p>
        </w:tc>
        <w:tc>
          <w:tcPr>
            <w:tcW w:w="1873" w:type="dxa"/>
          </w:tcPr>
          <w:p w14:paraId="1AE1D78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w:t>
            </w:r>
          </w:p>
        </w:tc>
      </w:tr>
      <w:tr w:rsidR="00F26F01" w:rsidRPr="00C33834" w14:paraId="2801C310" w14:textId="77777777">
        <w:tc>
          <w:tcPr>
            <w:tcW w:w="2296" w:type="dxa"/>
          </w:tcPr>
          <w:p w14:paraId="47C38FC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2296" w:type="dxa"/>
          </w:tcPr>
          <w:p w14:paraId="346FA28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w:t>
            </w:r>
          </w:p>
        </w:tc>
        <w:tc>
          <w:tcPr>
            <w:tcW w:w="2296" w:type="dxa"/>
          </w:tcPr>
          <w:p w14:paraId="39BA073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2296" w:type="dxa"/>
          </w:tcPr>
          <w:p w14:paraId="30B335A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tc>
        <w:tc>
          <w:tcPr>
            <w:tcW w:w="1873" w:type="dxa"/>
          </w:tcPr>
          <w:p w14:paraId="661E006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w:t>
            </w:r>
          </w:p>
        </w:tc>
      </w:tr>
      <w:tr w:rsidR="00F26F01" w:rsidRPr="00C33834" w14:paraId="00AF7B10" w14:textId="77777777">
        <w:tc>
          <w:tcPr>
            <w:tcW w:w="2296" w:type="dxa"/>
          </w:tcPr>
          <w:p w14:paraId="66A5024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2296" w:type="dxa"/>
          </w:tcPr>
          <w:p w14:paraId="6354F98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w:t>
            </w:r>
          </w:p>
        </w:tc>
        <w:tc>
          <w:tcPr>
            <w:tcW w:w="2296" w:type="dxa"/>
          </w:tcPr>
          <w:p w14:paraId="4DF51EB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2296" w:type="dxa"/>
          </w:tcPr>
          <w:p w14:paraId="4FA8EDB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1873" w:type="dxa"/>
          </w:tcPr>
          <w:p w14:paraId="1EB429A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r>
      <w:tr w:rsidR="00F26F01" w:rsidRPr="00C33834" w14:paraId="5BED7715" w14:textId="77777777">
        <w:tc>
          <w:tcPr>
            <w:tcW w:w="2296" w:type="dxa"/>
          </w:tcPr>
          <w:p w14:paraId="6710C48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2296" w:type="dxa"/>
          </w:tcPr>
          <w:p w14:paraId="0950D70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w:t>
            </w:r>
          </w:p>
        </w:tc>
        <w:tc>
          <w:tcPr>
            <w:tcW w:w="2296" w:type="dxa"/>
          </w:tcPr>
          <w:p w14:paraId="7D55CDE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2296" w:type="dxa"/>
          </w:tcPr>
          <w:p w14:paraId="5FC9171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w:t>
            </w:r>
          </w:p>
        </w:tc>
        <w:tc>
          <w:tcPr>
            <w:tcW w:w="1873" w:type="dxa"/>
          </w:tcPr>
          <w:p w14:paraId="4088D20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w:t>
            </w:r>
          </w:p>
        </w:tc>
      </w:tr>
      <w:tr w:rsidR="00F26F01" w:rsidRPr="00C33834" w14:paraId="6CDB23D7" w14:textId="77777777">
        <w:tc>
          <w:tcPr>
            <w:tcW w:w="2296" w:type="dxa"/>
          </w:tcPr>
          <w:p w14:paraId="3FFE511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c>
          <w:tcPr>
            <w:tcW w:w="2296" w:type="dxa"/>
          </w:tcPr>
          <w:p w14:paraId="1A79F83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w:t>
            </w:r>
          </w:p>
        </w:tc>
        <w:tc>
          <w:tcPr>
            <w:tcW w:w="2296" w:type="dxa"/>
          </w:tcPr>
          <w:p w14:paraId="5433F81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2296" w:type="dxa"/>
          </w:tcPr>
          <w:p w14:paraId="68C0BD2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w:t>
            </w:r>
          </w:p>
        </w:tc>
        <w:tc>
          <w:tcPr>
            <w:tcW w:w="1873" w:type="dxa"/>
          </w:tcPr>
          <w:p w14:paraId="4526641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w:t>
            </w:r>
          </w:p>
        </w:tc>
      </w:tr>
      <w:tr w:rsidR="00F26F01" w:rsidRPr="00C33834" w14:paraId="455AF3E1" w14:textId="77777777">
        <w:tc>
          <w:tcPr>
            <w:tcW w:w="2296" w:type="dxa"/>
          </w:tcPr>
          <w:p w14:paraId="2DFAEC9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2296" w:type="dxa"/>
          </w:tcPr>
          <w:p w14:paraId="0E54001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 IV</w:t>
            </w:r>
          </w:p>
        </w:tc>
        <w:tc>
          <w:tcPr>
            <w:tcW w:w="2296" w:type="dxa"/>
          </w:tcPr>
          <w:p w14:paraId="4794C0B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2296" w:type="dxa"/>
          </w:tcPr>
          <w:p w14:paraId="30B1C2B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873" w:type="dxa"/>
          </w:tcPr>
          <w:p w14:paraId="2E887E1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r>
      <w:tr w:rsidR="00F26F01" w:rsidRPr="00C33834" w14:paraId="0C86405B" w14:textId="77777777">
        <w:tc>
          <w:tcPr>
            <w:tcW w:w="2296" w:type="dxa"/>
          </w:tcPr>
          <w:p w14:paraId="4D4AD44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2296" w:type="dxa"/>
          </w:tcPr>
          <w:p w14:paraId="4ABF9EC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w:t>
            </w:r>
          </w:p>
        </w:tc>
        <w:tc>
          <w:tcPr>
            <w:tcW w:w="2296" w:type="dxa"/>
          </w:tcPr>
          <w:p w14:paraId="343C494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2296" w:type="dxa"/>
          </w:tcPr>
          <w:p w14:paraId="07D53AF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873" w:type="dxa"/>
          </w:tcPr>
          <w:p w14:paraId="1A42B77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6D6B6186" w14:textId="77777777">
        <w:tc>
          <w:tcPr>
            <w:tcW w:w="2296" w:type="dxa"/>
          </w:tcPr>
          <w:p w14:paraId="155FA5E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2296" w:type="dxa"/>
          </w:tcPr>
          <w:p w14:paraId="116C1CE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АШ</w:t>
            </w:r>
          </w:p>
        </w:tc>
        <w:tc>
          <w:tcPr>
            <w:tcW w:w="2296" w:type="dxa"/>
          </w:tcPr>
          <w:p w14:paraId="7B9EAF0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2296" w:type="dxa"/>
          </w:tcPr>
          <w:p w14:paraId="11AD6DD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873" w:type="dxa"/>
          </w:tcPr>
          <w:p w14:paraId="455BCA4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r>
      <w:tr w:rsidR="00F26F01" w:rsidRPr="00C33834" w14:paraId="01FEC624" w14:textId="77777777">
        <w:tc>
          <w:tcPr>
            <w:tcW w:w="2296" w:type="dxa"/>
          </w:tcPr>
          <w:p w14:paraId="4B89552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2296" w:type="dxa"/>
          </w:tcPr>
          <w:p w14:paraId="6E95972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w:t>
            </w:r>
          </w:p>
        </w:tc>
        <w:tc>
          <w:tcPr>
            <w:tcW w:w="2296" w:type="dxa"/>
          </w:tcPr>
          <w:p w14:paraId="7BD4C46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2296" w:type="dxa"/>
          </w:tcPr>
          <w:p w14:paraId="2C7E97F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w:t>
            </w:r>
          </w:p>
        </w:tc>
        <w:tc>
          <w:tcPr>
            <w:tcW w:w="1873" w:type="dxa"/>
          </w:tcPr>
          <w:p w14:paraId="0F992A7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r>
      <w:tr w:rsidR="00F26F01" w:rsidRPr="00C33834" w14:paraId="1275C10C" w14:textId="77777777">
        <w:tc>
          <w:tcPr>
            <w:tcW w:w="2296" w:type="dxa"/>
          </w:tcPr>
          <w:p w14:paraId="2603FB5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w:t>
            </w:r>
          </w:p>
        </w:tc>
        <w:tc>
          <w:tcPr>
            <w:tcW w:w="2296" w:type="dxa"/>
          </w:tcPr>
          <w:p w14:paraId="01CD1AA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2296" w:type="dxa"/>
          </w:tcPr>
          <w:p w14:paraId="348493C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2296" w:type="dxa"/>
          </w:tcPr>
          <w:p w14:paraId="5D25C64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873" w:type="dxa"/>
          </w:tcPr>
          <w:p w14:paraId="0D33ACB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r>
      <w:tr w:rsidR="00F26F01" w:rsidRPr="00C33834" w14:paraId="47749F5E" w14:textId="77777777">
        <w:tc>
          <w:tcPr>
            <w:tcW w:w="2296" w:type="dxa"/>
          </w:tcPr>
          <w:p w14:paraId="4A7BB7A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ХАЗОСС</w:t>
            </w:r>
          </w:p>
        </w:tc>
        <w:tc>
          <w:tcPr>
            <w:tcW w:w="2296" w:type="dxa"/>
          </w:tcPr>
          <w:p w14:paraId="0741A11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К-5</w:t>
            </w:r>
          </w:p>
        </w:tc>
        <w:tc>
          <w:tcPr>
            <w:tcW w:w="2296" w:type="dxa"/>
          </w:tcPr>
          <w:p w14:paraId="7BCEC3C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2296" w:type="dxa"/>
          </w:tcPr>
          <w:p w14:paraId="4638A45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c>
          <w:tcPr>
            <w:tcW w:w="1873" w:type="dxa"/>
          </w:tcPr>
          <w:p w14:paraId="0606A1A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r>
    </w:tbl>
    <w:p w14:paraId="6012C43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самолетов:</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96"/>
        <w:gridCol w:w="2296"/>
        <w:gridCol w:w="2296"/>
        <w:gridCol w:w="2296"/>
        <w:gridCol w:w="1873"/>
      </w:tblGrid>
      <w:tr w:rsidR="00F26F01" w:rsidRPr="00C33834" w14:paraId="6D29B67A" w14:textId="77777777">
        <w:tc>
          <w:tcPr>
            <w:tcW w:w="2296" w:type="dxa"/>
          </w:tcPr>
          <w:p w14:paraId="4AFE87D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96" w:type="dxa"/>
          </w:tcPr>
          <w:p w14:paraId="21AE016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96" w:type="dxa"/>
          </w:tcPr>
          <w:p w14:paraId="2B77712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w:t>
            </w:r>
          </w:p>
        </w:tc>
        <w:tc>
          <w:tcPr>
            <w:tcW w:w="2296" w:type="dxa"/>
          </w:tcPr>
          <w:p w14:paraId="203DB91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167</w:t>
            </w:r>
          </w:p>
        </w:tc>
        <w:tc>
          <w:tcPr>
            <w:tcW w:w="1873" w:type="dxa"/>
          </w:tcPr>
          <w:p w14:paraId="7AF391B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203</w:t>
            </w:r>
          </w:p>
        </w:tc>
      </w:tr>
    </w:tbl>
    <w:p w14:paraId="744A4B8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F26F01" w:rsidRPr="00C33834" w14:paraId="481DC724" w14:textId="77777777">
        <w:tc>
          <w:tcPr>
            <w:tcW w:w="1914" w:type="dxa"/>
          </w:tcPr>
          <w:p w14:paraId="614122F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w:t>
            </w:r>
          </w:p>
        </w:tc>
        <w:tc>
          <w:tcPr>
            <w:tcW w:w="1914" w:type="dxa"/>
          </w:tcPr>
          <w:p w14:paraId="1AE7F16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w:t>
            </w:r>
          </w:p>
        </w:tc>
        <w:tc>
          <w:tcPr>
            <w:tcW w:w="1914" w:type="dxa"/>
          </w:tcPr>
          <w:p w14:paraId="4F246CF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Собрано</w:t>
            </w:r>
          </w:p>
        </w:tc>
        <w:tc>
          <w:tcPr>
            <w:tcW w:w="1914" w:type="dxa"/>
          </w:tcPr>
          <w:p w14:paraId="4375C95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Прошли 3-х часовые испытания</w:t>
            </w:r>
          </w:p>
        </w:tc>
        <w:tc>
          <w:tcPr>
            <w:tcW w:w="1914" w:type="dxa"/>
          </w:tcPr>
          <w:p w14:paraId="18BA585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Прошли 20-ти минутные испытания</w:t>
            </w:r>
          </w:p>
        </w:tc>
        <w:tc>
          <w:tcPr>
            <w:tcW w:w="1487" w:type="dxa"/>
          </w:tcPr>
          <w:p w14:paraId="3FDACE0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r>
      <w:tr w:rsidR="00F26F01" w:rsidRPr="00C33834" w14:paraId="54BADA0F" w14:textId="77777777">
        <w:tc>
          <w:tcPr>
            <w:tcW w:w="1914" w:type="dxa"/>
          </w:tcPr>
          <w:p w14:paraId="396D948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1914" w:type="dxa"/>
          </w:tcPr>
          <w:p w14:paraId="3BE8FBA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1914" w:type="dxa"/>
          </w:tcPr>
          <w:p w14:paraId="740C11D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w:t>
            </w:r>
          </w:p>
        </w:tc>
        <w:tc>
          <w:tcPr>
            <w:tcW w:w="1914" w:type="dxa"/>
          </w:tcPr>
          <w:p w14:paraId="0E1601F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w:t>
            </w:r>
          </w:p>
        </w:tc>
        <w:tc>
          <w:tcPr>
            <w:tcW w:w="1914" w:type="dxa"/>
          </w:tcPr>
          <w:p w14:paraId="7D56EB1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83</w:t>
            </w:r>
          </w:p>
        </w:tc>
        <w:tc>
          <w:tcPr>
            <w:tcW w:w="1487" w:type="dxa"/>
          </w:tcPr>
          <w:p w14:paraId="0A86140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223</w:t>
            </w:r>
          </w:p>
        </w:tc>
      </w:tr>
      <w:tr w:rsidR="00F26F01" w:rsidRPr="00C33834" w14:paraId="0F0131C6" w14:textId="77777777">
        <w:tc>
          <w:tcPr>
            <w:tcW w:w="1914" w:type="dxa"/>
          </w:tcPr>
          <w:p w14:paraId="1F4C4DE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w:t>
            </w:r>
          </w:p>
        </w:tc>
        <w:tc>
          <w:tcPr>
            <w:tcW w:w="1914" w:type="dxa"/>
          </w:tcPr>
          <w:p w14:paraId="4D55C30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1914" w:type="dxa"/>
          </w:tcPr>
          <w:p w14:paraId="6E27C62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1914" w:type="dxa"/>
          </w:tcPr>
          <w:p w14:paraId="06E97B2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c>
          <w:tcPr>
            <w:tcW w:w="1914" w:type="dxa"/>
          </w:tcPr>
          <w:p w14:paraId="4625FE1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w:t>
            </w:r>
          </w:p>
        </w:tc>
        <w:tc>
          <w:tcPr>
            <w:tcW w:w="1487" w:type="dxa"/>
          </w:tcPr>
          <w:p w14:paraId="3A92061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w:t>
            </w:r>
          </w:p>
        </w:tc>
      </w:tr>
      <w:tr w:rsidR="00F26F01" w:rsidRPr="00C33834" w14:paraId="384D2F84" w14:textId="77777777">
        <w:tc>
          <w:tcPr>
            <w:tcW w:w="1914" w:type="dxa"/>
          </w:tcPr>
          <w:p w14:paraId="3BDF24F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1914" w:type="dxa"/>
          </w:tcPr>
          <w:p w14:paraId="7A9AD04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w:t>
            </w:r>
          </w:p>
        </w:tc>
        <w:tc>
          <w:tcPr>
            <w:tcW w:w="1914" w:type="dxa"/>
          </w:tcPr>
          <w:p w14:paraId="20343F5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w:t>
            </w:r>
          </w:p>
        </w:tc>
        <w:tc>
          <w:tcPr>
            <w:tcW w:w="1914" w:type="dxa"/>
          </w:tcPr>
          <w:p w14:paraId="0F6F55B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c>
          <w:tcPr>
            <w:tcW w:w="1914" w:type="dxa"/>
          </w:tcPr>
          <w:p w14:paraId="3D37DDD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tc>
        <w:tc>
          <w:tcPr>
            <w:tcW w:w="1487" w:type="dxa"/>
          </w:tcPr>
          <w:p w14:paraId="2345655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191</w:t>
            </w:r>
          </w:p>
        </w:tc>
      </w:tr>
      <w:tr w:rsidR="00F26F01" w:rsidRPr="00C33834" w14:paraId="70A1A956" w14:textId="77777777">
        <w:tc>
          <w:tcPr>
            <w:tcW w:w="1914" w:type="dxa"/>
          </w:tcPr>
          <w:p w14:paraId="0424B94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1914" w:type="dxa"/>
          </w:tcPr>
          <w:p w14:paraId="0FE519A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914" w:type="dxa"/>
          </w:tcPr>
          <w:p w14:paraId="631630B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1914" w:type="dxa"/>
          </w:tcPr>
          <w:p w14:paraId="655727B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1914" w:type="dxa"/>
          </w:tcPr>
          <w:p w14:paraId="5B9C0F9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1487" w:type="dxa"/>
          </w:tcPr>
          <w:p w14:paraId="0D0E175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w:t>
            </w:r>
          </w:p>
        </w:tc>
      </w:tr>
    </w:tbl>
    <w:p w14:paraId="04EA2E7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моторов:</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F26F01" w:rsidRPr="00C33834" w14:paraId="4D9038A5" w14:textId="77777777">
        <w:tc>
          <w:tcPr>
            <w:tcW w:w="1914" w:type="dxa"/>
          </w:tcPr>
          <w:p w14:paraId="27049BF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914" w:type="dxa"/>
          </w:tcPr>
          <w:p w14:paraId="76E0105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914" w:type="dxa"/>
          </w:tcPr>
          <w:p w14:paraId="0CDEFF7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1914" w:type="dxa"/>
          </w:tcPr>
          <w:p w14:paraId="61FB64C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189</w:t>
            </w:r>
          </w:p>
        </w:tc>
        <w:tc>
          <w:tcPr>
            <w:tcW w:w="1914" w:type="dxa"/>
          </w:tcPr>
          <w:p w14:paraId="0456EDE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202</w:t>
            </w:r>
          </w:p>
        </w:tc>
        <w:tc>
          <w:tcPr>
            <w:tcW w:w="1487" w:type="dxa"/>
          </w:tcPr>
          <w:p w14:paraId="15F0AFA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541</w:t>
            </w:r>
          </w:p>
        </w:tc>
      </w:tr>
    </w:tbl>
    <w:p w14:paraId="30D9DFA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(4191, 33-38).</w:t>
      </w:r>
    </w:p>
    <w:p w14:paraId="31657E4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ПЛАНА 9-ти МЕСЯЦЕВ 1933 ГОДА ПО САМОЛЕТАМ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1656"/>
        <w:gridCol w:w="1093"/>
        <w:gridCol w:w="1093"/>
        <w:gridCol w:w="1094"/>
        <w:gridCol w:w="1093"/>
        <w:gridCol w:w="1093"/>
        <w:gridCol w:w="1093"/>
        <w:gridCol w:w="1093"/>
        <w:gridCol w:w="1094"/>
      </w:tblGrid>
      <w:tr w:rsidR="00F26F01" w:rsidRPr="00C33834" w14:paraId="7C73F5C0" w14:textId="77777777">
        <w:tc>
          <w:tcPr>
            <w:tcW w:w="817" w:type="dxa"/>
            <w:tcBorders>
              <w:top w:val="single" w:sz="12" w:space="0" w:color="auto"/>
            </w:tcBorders>
          </w:tcPr>
          <w:p w14:paraId="1DAA529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завода</w:t>
            </w:r>
          </w:p>
        </w:tc>
        <w:tc>
          <w:tcPr>
            <w:tcW w:w="1656" w:type="dxa"/>
            <w:tcBorders>
              <w:top w:val="single" w:sz="12" w:space="0" w:color="auto"/>
            </w:tcBorders>
          </w:tcPr>
          <w:p w14:paraId="2A3055A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 самолета</w:t>
            </w:r>
          </w:p>
        </w:tc>
        <w:tc>
          <w:tcPr>
            <w:tcW w:w="1093" w:type="dxa"/>
            <w:tcBorders>
              <w:top w:val="single" w:sz="12" w:space="0" w:color="auto"/>
            </w:tcBorders>
          </w:tcPr>
          <w:p w14:paraId="1B52FB3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на 1933</w:t>
            </w:r>
          </w:p>
        </w:tc>
        <w:tc>
          <w:tcPr>
            <w:tcW w:w="7653" w:type="dxa"/>
            <w:gridSpan w:val="7"/>
            <w:tcBorders>
              <w:top w:val="single" w:sz="12" w:space="0" w:color="auto"/>
            </w:tcBorders>
          </w:tcPr>
          <w:p w14:paraId="597BC65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w:t>
            </w:r>
          </w:p>
        </w:tc>
      </w:tr>
      <w:tr w:rsidR="00F26F01" w:rsidRPr="00C33834" w14:paraId="493B063F" w14:textId="77777777">
        <w:tc>
          <w:tcPr>
            <w:tcW w:w="2473" w:type="dxa"/>
            <w:gridSpan w:val="2"/>
          </w:tcPr>
          <w:p w14:paraId="07A7CF4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4BC7621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3B0B900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кв.</w:t>
            </w:r>
          </w:p>
        </w:tc>
        <w:tc>
          <w:tcPr>
            <w:tcW w:w="1093" w:type="dxa"/>
          </w:tcPr>
          <w:p w14:paraId="45A258A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кв.</w:t>
            </w:r>
          </w:p>
        </w:tc>
        <w:tc>
          <w:tcPr>
            <w:tcW w:w="5466" w:type="dxa"/>
            <w:gridSpan w:val="5"/>
          </w:tcPr>
          <w:p w14:paraId="002FEA4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 квартал</w:t>
            </w:r>
          </w:p>
        </w:tc>
      </w:tr>
      <w:tr w:rsidR="00F26F01" w:rsidRPr="00C33834" w14:paraId="4F5561D3" w14:textId="77777777">
        <w:tc>
          <w:tcPr>
            <w:tcW w:w="2473" w:type="dxa"/>
            <w:gridSpan w:val="2"/>
          </w:tcPr>
          <w:p w14:paraId="786B8D0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510E549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187" w:type="dxa"/>
            <w:gridSpan w:val="2"/>
          </w:tcPr>
          <w:p w14:paraId="2DCFA88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1281191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w:t>
            </w:r>
          </w:p>
        </w:tc>
        <w:tc>
          <w:tcPr>
            <w:tcW w:w="1093" w:type="dxa"/>
          </w:tcPr>
          <w:p w14:paraId="7DAB425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всего</w:t>
            </w:r>
          </w:p>
        </w:tc>
        <w:tc>
          <w:tcPr>
            <w:tcW w:w="3280" w:type="dxa"/>
            <w:gridSpan w:val="3"/>
          </w:tcPr>
          <w:p w14:paraId="2E1DFBE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том числе по месяцам</w:t>
            </w:r>
          </w:p>
        </w:tc>
      </w:tr>
      <w:tr w:rsidR="00F26F01" w:rsidRPr="00C33834" w14:paraId="32CEE4BB" w14:textId="77777777">
        <w:tc>
          <w:tcPr>
            <w:tcW w:w="817" w:type="dxa"/>
          </w:tcPr>
          <w:p w14:paraId="1996A92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3E329C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7CC6D2D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7293859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20795CC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6AE8430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6B6091D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72C738A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июль</w:t>
            </w:r>
          </w:p>
        </w:tc>
        <w:tc>
          <w:tcPr>
            <w:tcW w:w="1093" w:type="dxa"/>
          </w:tcPr>
          <w:p w14:paraId="5FD6036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август</w:t>
            </w:r>
          </w:p>
        </w:tc>
        <w:tc>
          <w:tcPr>
            <w:tcW w:w="1093" w:type="dxa"/>
          </w:tcPr>
          <w:p w14:paraId="304DC6C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сентябрь</w:t>
            </w:r>
          </w:p>
        </w:tc>
      </w:tr>
      <w:tr w:rsidR="00F26F01" w:rsidRPr="00C33834" w14:paraId="07B79EDC" w14:textId="77777777">
        <w:tc>
          <w:tcPr>
            <w:tcW w:w="817" w:type="dxa"/>
          </w:tcPr>
          <w:p w14:paraId="4629B51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656" w:type="dxa"/>
          </w:tcPr>
          <w:p w14:paraId="4916424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Р5-М17</w:t>
            </w:r>
          </w:p>
        </w:tc>
        <w:tc>
          <w:tcPr>
            <w:tcW w:w="1093" w:type="dxa"/>
          </w:tcPr>
          <w:p w14:paraId="75F9535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1675</w:t>
            </w:r>
          </w:p>
        </w:tc>
        <w:tc>
          <w:tcPr>
            <w:tcW w:w="1093" w:type="dxa"/>
          </w:tcPr>
          <w:p w14:paraId="7900121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244</w:t>
            </w:r>
          </w:p>
        </w:tc>
        <w:tc>
          <w:tcPr>
            <w:tcW w:w="1093" w:type="dxa"/>
          </w:tcPr>
          <w:p w14:paraId="12C3E22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339</w:t>
            </w:r>
          </w:p>
        </w:tc>
        <w:tc>
          <w:tcPr>
            <w:tcW w:w="1093" w:type="dxa"/>
          </w:tcPr>
          <w:p w14:paraId="7FC73F7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514</w:t>
            </w:r>
          </w:p>
        </w:tc>
        <w:tc>
          <w:tcPr>
            <w:tcW w:w="1093" w:type="dxa"/>
          </w:tcPr>
          <w:p w14:paraId="19D9AD0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373</w:t>
            </w:r>
          </w:p>
        </w:tc>
        <w:tc>
          <w:tcPr>
            <w:tcW w:w="1093" w:type="dxa"/>
          </w:tcPr>
          <w:p w14:paraId="4ECF39B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w:t>
            </w:r>
          </w:p>
        </w:tc>
        <w:tc>
          <w:tcPr>
            <w:tcW w:w="1093" w:type="dxa"/>
          </w:tcPr>
          <w:p w14:paraId="7EE5CAF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169</w:t>
            </w:r>
          </w:p>
        </w:tc>
        <w:tc>
          <w:tcPr>
            <w:tcW w:w="1093" w:type="dxa"/>
          </w:tcPr>
          <w:p w14:paraId="50A93DE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129</w:t>
            </w:r>
          </w:p>
        </w:tc>
      </w:tr>
      <w:tr w:rsidR="00F26F01" w:rsidRPr="00C33834" w14:paraId="39F93F82" w14:textId="77777777">
        <w:tc>
          <w:tcPr>
            <w:tcW w:w="817" w:type="dxa"/>
          </w:tcPr>
          <w:p w14:paraId="2A56014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07C438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И7-М17</w:t>
            </w:r>
          </w:p>
        </w:tc>
        <w:tc>
          <w:tcPr>
            <w:tcW w:w="1093" w:type="dxa"/>
          </w:tcPr>
          <w:p w14:paraId="7A37957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093" w:type="dxa"/>
          </w:tcPr>
          <w:p w14:paraId="416DE6F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w:t>
            </w:r>
          </w:p>
        </w:tc>
        <w:tc>
          <w:tcPr>
            <w:tcW w:w="1093" w:type="dxa"/>
          </w:tcPr>
          <w:p w14:paraId="3043ACB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1093" w:type="dxa"/>
          </w:tcPr>
          <w:p w14:paraId="2F45A76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w:t>
            </w:r>
          </w:p>
        </w:tc>
        <w:tc>
          <w:tcPr>
            <w:tcW w:w="1093" w:type="dxa"/>
          </w:tcPr>
          <w:p w14:paraId="1E34A3E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64802A8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23EB9E6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2128EC2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5DA0BA17" w14:textId="77777777">
        <w:tc>
          <w:tcPr>
            <w:tcW w:w="817" w:type="dxa"/>
          </w:tcPr>
          <w:p w14:paraId="2A062AC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9A4ECB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МР5-М17</w:t>
            </w:r>
          </w:p>
        </w:tc>
        <w:tc>
          <w:tcPr>
            <w:tcW w:w="1093" w:type="dxa"/>
          </w:tcPr>
          <w:p w14:paraId="571AE89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093" w:type="dxa"/>
          </w:tcPr>
          <w:p w14:paraId="3E59280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7D62034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3424164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w:t>
            </w:r>
          </w:p>
        </w:tc>
        <w:tc>
          <w:tcPr>
            <w:tcW w:w="1093" w:type="dxa"/>
          </w:tcPr>
          <w:p w14:paraId="677876A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136C564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3E36E6C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5B40BD0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05342729" w14:textId="77777777">
        <w:tc>
          <w:tcPr>
            <w:tcW w:w="817" w:type="dxa"/>
          </w:tcPr>
          <w:p w14:paraId="7A0FEA8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FA6407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Разные</w:t>
            </w:r>
          </w:p>
        </w:tc>
        <w:tc>
          <w:tcPr>
            <w:tcW w:w="1093" w:type="dxa"/>
          </w:tcPr>
          <w:p w14:paraId="38052C2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397C33E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6CE00D4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6A6AD10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1EE30BF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074F8CB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11D68EA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6F2BFA7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1C6B1558" w14:textId="77777777">
        <w:tc>
          <w:tcPr>
            <w:tcW w:w="817" w:type="dxa"/>
          </w:tcPr>
          <w:p w14:paraId="3CCEFC7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6BB8B11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самолетов</w:t>
            </w:r>
          </w:p>
        </w:tc>
        <w:tc>
          <w:tcPr>
            <w:tcW w:w="1093" w:type="dxa"/>
          </w:tcPr>
          <w:p w14:paraId="276E478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1975</w:t>
            </w:r>
          </w:p>
        </w:tc>
        <w:tc>
          <w:tcPr>
            <w:tcW w:w="1093" w:type="dxa"/>
          </w:tcPr>
          <w:p w14:paraId="4CBAB1E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261</w:t>
            </w:r>
          </w:p>
        </w:tc>
        <w:tc>
          <w:tcPr>
            <w:tcW w:w="1093" w:type="dxa"/>
          </w:tcPr>
          <w:p w14:paraId="3146C22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370</w:t>
            </w:r>
          </w:p>
        </w:tc>
        <w:tc>
          <w:tcPr>
            <w:tcW w:w="1093" w:type="dxa"/>
          </w:tcPr>
          <w:p w14:paraId="0294367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630</w:t>
            </w:r>
          </w:p>
        </w:tc>
        <w:tc>
          <w:tcPr>
            <w:tcW w:w="1093" w:type="dxa"/>
          </w:tcPr>
          <w:p w14:paraId="0AF9CE8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373</w:t>
            </w:r>
          </w:p>
        </w:tc>
        <w:tc>
          <w:tcPr>
            <w:tcW w:w="1093" w:type="dxa"/>
          </w:tcPr>
          <w:p w14:paraId="2C7477A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w:t>
            </w:r>
          </w:p>
        </w:tc>
        <w:tc>
          <w:tcPr>
            <w:tcW w:w="1093" w:type="dxa"/>
          </w:tcPr>
          <w:p w14:paraId="0B1ECFA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169</w:t>
            </w:r>
          </w:p>
        </w:tc>
        <w:tc>
          <w:tcPr>
            <w:tcW w:w="1093" w:type="dxa"/>
          </w:tcPr>
          <w:p w14:paraId="3811C2C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139</w:t>
            </w:r>
          </w:p>
        </w:tc>
      </w:tr>
      <w:tr w:rsidR="00F26F01" w:rsidRPr="00C33834" w14:paraId="49724453" w14:textId="77777777">
        <w:tc>
          <w:tcPr>
            <w:tcW w:w="817" w:type="dxa"/>
          </w:tcPr>
          <w:p w14:paraId="531E8B1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1656" w:type="dxa"/>
          </w:tcPr>
          <w:p w14:paraId="55CBAF9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w:t>
            </w:r>
          </w:p>
        </w:tc>
        <w:tc>
          <w:tcPr>
            <w:tcW w:w="1093" w:type="dxa"/>
          </w:tcPr>
          <w:p w14:paraId="021B84A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1093" w:type="dxa"/>
          </w:tcPr>
          <w:p w14:paraId="74BCC3D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w:t>
            </w:r>
          </w:p>
        </w:tc>
        <w:tc>
          <w:tcPr>
            <w:tcW w:w="1093" w:type="dxa"/>
          </w:tcPr>
          <w:p w14:paraId="08B32D9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w:t>
            </w:r>
          </w:p>
        </w:tc>
        <w:tc>
          <w:tcPr>
            <w:tcW w:w="1093" w:type="dxa"/>
          </w:tcPr>
          <w:p w14:paraId="5CE9A44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c>
          <w:tcPr>
            <w:tcW w:w="1093" w:type="dxa"/>
          </w:tcPr>
          <w:p w14:paraId="0A50BD4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w:t>
            </w:r>
          </w:p>
        </w:tc>
        <w:tc>
          <w:tcPr>
            <w:tcW w:w="1093" w:type="dxa"/>
          </w:tcPr>
          <w:p w14:paraId="567ABD3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1093" w:type="dxa"/>
          </w:tcPr>
          <w:p w14:paraId="3DBAA29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tc>
        <w:tc>
          <w:tcPr>
            <w:tcW w:w="1093" w:type="dxa"/>
          </w:tcPr>
          <w:p w14:paraId="3BFBE44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tc>
      </w:tr>
      <w:tr w:rsidR="00F26F01" w:rsidRPr="00C33834" w14:paraId="01DDD8D3" w14:textId="77777777">
        <w:tc>
          <w:tcPr>
            <w:tcW w:w="817" w:type="dxa"/>
          </w:tcPr>
          <w:p w14:paraId="3FB402A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77D602E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w:t>
            </w:r>
          </w:p>
        </w:tc>
        <w:tc>
          <w:tcPr>
            <w:tcW w:w="1093" w:type="dxa"/>
          </w:tcPr>
          <w:p w14:paraId="683B248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1093" w:type="dxa"/>
          </w:tcPr>
          <w:p w14:paraId="3FF50E3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372EE5D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093" w:type="dxa"/>
          </w:tcPr>
          <w:p w14:paraId="1D333F3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p>
        </w:tc>
        <w:tc>
          <w:tcPr>
            <w:tcW w:w="1093" w:type="dxa"/>
          </w:tcPr>
          <w:p w14:paraId="520E0FD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1093" w:type="dxa"/>
          </w:tcPr>
          <w:p w14:paraId="00821DD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093" w:type="dxa"/>
          </w:tcPr>
          <w:p w14:paraId="1ABFBB8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488A6F5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r>
      <w:tr w:rsidR="00F26F01" w:rsidRPr="00C33834" w14:paraId="11ECD642" w14:textId="77777777">
        <w:tc>
          <w:tcPr>
            <w:tcW w:w="817" w:type="dxa"/>
          </w:tcPr>
          <w:p w14:paraId="36D3D6A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77DE301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ТБ4-6М34</w:t>
            </w:r>
          </w:p>
        </w:tc>
        <w:tc>
          <w:tcPr>
            <w:tcW w:w="1093" w:type="dxa"/>
          </w:tcPr>
          <w:p w14:paraId="21E6C88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1093" w:type="dxa"/>
          </w:tcPr>
          <w:p w14:paraId="2DA7C07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178FF59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08CC8F1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2A9985C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5EACD2E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272455B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37FA21B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565D085" w14:textId="77777777">
        <w:tc>
          <w:tcPr>
            <w:tcW w:w="817" w:type="dxa"/>
          </w:tcPr>
          <w:p w14:paraId="45E454D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639815D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МИ3-2М34</w:t>
            </w:r>
          </w:p>
        </w:tc>
        <w:tc>
          <w:tcPr>
            <w:tcW w:w="1093" w:type="dxa"/>
          </w:tcPr>
          <w:p w14:paraId="5C8AF9D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1093" w:type="dxa"/>
          </w:tcPr>
          <w:p w14:paraId="5A9F053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2199037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06262A2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012B9F5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018C948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092B340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5976960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01846CD2" w14:textId="77777777">
        <w:tc>
          <w:tcPr>
            <w:tcW w:w="817" w:type="dxa"/>
          </w:tcPr>
          <w:p w14:paraId="1DFD607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1C6AD9D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Разные</w:t>
            </w:r>
          </w:p>
        </w:tc>
        <w:tc>
          <w:tcPr>
            <w:tcW w:w="1093" w:type="dxa"/>
          </w:tcPr>
          <w:p w14:paraId="4A34362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500DFAE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435EC15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252AF4A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7BF8754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05B8BB2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1AF0993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1B32A8D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7EE7914A" w14:textId="77777777">
        <w:tc>
          <w:tcPr>
            <w:tcW w:w="817" w:type="dxa"/>
          </w:tcPr>
          <w:p w14:paraId="504F5B8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0F7810F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самолетов</w:t>
            </w:r>
          </w:p>
        </w:tc>
        <w:tc>
          <w:tcPr>
            <w:tcW w:w="1093" w:type="dxa"/>
          </w:tcPr>
          <w:p w14:paraId="0C2F590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278</w:t>
            </w:r>
          </w:p>
        </w:tc>
        <w:tc>
          <w:tcPr>
            <w:tcW w:w="1093" w:type="dxa"/>
          </w:tcPr>
          <w:p w14:paraId="0F781D9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w:t>
            </w:r>
          </w:p>
        </w:tc>
        <w:tc>
          <w:tcPr>
            <w:tcW w:w="1093" w:type="dxa"/>
          </w:tcPr>
          <w:p w14:paraId="0E1409D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82</w:t>
            </w:r>
          </w:p>
        </w:tc>
        <w:tc>
          <w:tcPr>
            <w:tcW w:w="1093" w:type="dxa"/>
          </w:tcPr>
          <w:p w14:paraId="31CA4AB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83</w:t>
            </w:r>
          </w:p>
        </w:tc>
        <w:tc>
          <w:tcPr>
            <w:tcW w:w="1093" w:type="dxa"/>
          </w:tcPr>
          <w:p w14:paraId="38A1C8A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w:t>
            </w:r>
          </w:p>
        </w:tc>
        <w:tc>
          <w:tcPr>
            <w:tcW w:w="1093" w:type="dxa"/>
          </w:tcPr>
          <w:p w14:paraId="319C0EB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w:t>
            </w:r>
          </w:p>
        </w:tc>
        <w:tc>
          <w:tcPr>
            <w:tcW w:w="1093" w:type="dxa"/>
          </w:tcPr>
          <w:p w14:paraId="4AECED4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tc>
        <w:tc>
          <w:tcPr>
            <w:tcW w:w="1093" w:type="dxa"/>
          </w:tcPr>
          <w:p w14:paraId="7E57871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w:t>
            </w:r>
          </w:p>
        </w:tc>
      </w:tr>
      <w:tr w:rsidR="00F26F01" w:rsidRPr="00C33834" w14:paraId="08DE7B35" w14:textId="77777777">
        <w:tc>
          <w:tcPr>
            <w:tcW w:w="817" w:type="dxa"/>
          </w:tcPr>
          <w:p w14:paraId="14BDCCC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c>
          <w:tcPr>
            <w:tcW w:w="1656" w:type="dxa"/>
          </w:tcPr>
          <w:p w14:paraId="5065C2B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У2-М11</w:t>
            </w:r>
          </w:p>
        </w:tc>
        <w:tc>
          <w:tcPr>
            <w:tcW w:w="1093" w:type="dxa"/>
          </w:tcPr>
          <w:p w14:paraId="6AEC9B5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1280</w:t>
            </w:r>
          </w:p>
        </w:tc>
        <w:tc>
          <w:tcPr>
            <w:tcW w:w="1093" w:type="dxa"/>
          </w:tcPr>
          <w:p w14:paraId="1210017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w:t>
            </w:r>
          </w:p>
        </w:tc>
        <w:tc>
          <w:tcPr>
            <w:tcW w:w="1093" w:type="dxa"/>
          </w:tcPr>
          <w:p w14:paraId="0B1425B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419</w:t>
            </w:r>
          </w:p>
        </w:tc>
        <w:tc>
          <w:tcPr>
            <w:tcW w:w="1093" w:type="dxa"/>
          </w:tcPr>
          <w:p w14:paraId="1EF8ADC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444</w:t>
            </w:r>
          </w:p>
        </w:tc>
        <w:tc>
          <w:tcPr>
            <w:tcW w:w="1093" w:type="dxa"/>
          </w:tcPr>
          <w:p w14:paraId="452ECD1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395</w:t>
            </w:r>
          </w:p>
        </w:tc>
        <w:tc>
          <w:tcPr>
            <w:tcW w:w="1093" w:type="dxa"/>
          </w:tcPr>
          <w:p w14:paraId="2F7F78A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156</w:t>
            </w:r>
          </w:p>
        </w:tc>
        <w:tc>
          <w:tcPr>
            <w:tcW w:w="1093" w:type="dxa"/>
          </w:tcPr>
          <w:p w14:paraId="48444B1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127</w:t>
            </w:r>
          </w:p>
        </w:tc>
        <w:tc>
          <w:tcPr>
            <w:tcW w:w="1093" w:type="dxa"/>
          </w:tcPr>
          <w:p w14:paraId="7F01F34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112</w:t>
            </w:r>
          </w:p>
        </w:tc>
      </w:tr>
      <w:tr w:rsidR="00F26F01" w:rsidRPr="00C33834" w14:paraId="1AB1EB3D" w14:textId="77777777">
        <w:tc>
          <w:tcPr>
            <w:tcW w:w="817" w:type="dxa"/>
          </w:tcPr>
          <w:p w14:paraId="5A294B5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7D3C0D1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АП-М11</w:t>
            </w:r>
          </w:p>
        </w:tc>
        <w:tc>
          <w:tcPr>
            <w:tcW w:w="1093" w:type="dxa"/>
          </w:tcPr>
          <w:p w14:paraId="03CF05F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1093" w:type="dxa"/>
          </w:tcPr>
          <w:p w14:paraId="3823DF9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123</w:t>
            </w:r>
          </w:p>
        </w:tc>
        <w:tc>
          <w:tcPr>
            <w:tcW w:w="1093" w:type="dxa"/>
          </w:tcPr>
          <w:p w14:paraId="53468DE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1093" w:type="dxa"/>
          </w:tcPr>
          <w:p w14:paraId="54BEF17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3C43646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006FF0B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6172EE9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113789E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D74B218" w14:textId="77777777">
        <w:tc>
          <w:tcPr>
            <w:tcW w:w="817" w:type="dxa"/>
          </w:tcPr>
          <w:p w14:paraId="369A3CD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561D722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самолетов</w:t>
            </w:r>
          </w:p>
        </w:tc>
        <w:tc>
          <w:tcPr>
            <w:tcW w:w="1093" w:type="dxa"/>
          </w:tcPr>
          <w:p w14:paraId="42B11EC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1400</w:t>
            </w:r>
          </w:p>
        </w:tc>
        <w:tc>
          <w:tcPr>
            <w:tcW w:w="1093" w:type="dxa"/>
          </w:tcPr>
          <w:p w14:paraId="1FF6A59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189</w:t>
            </w:r>
          </w:p>
        </w:tc>
        <w:tc>
          <w:tcPr>
            <w:tcW w:w="1093" w:type="dxa"/>
          </w:tcPr>
          <w:p w14:paraId="543C526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423</w:t>
            </w:r>
          </w:p>
        </w:tc>
        <w:tc>
          <w:tcPr>
            <w:tcW w:w="1093" w:type="dxa"/>
          </w:tcPr>
          <w:p w14:paraId="2931EF2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444</w:t>
            </w:r>
          </w:p>
        </w:tc>
        <w:tc>
          <w:tcPr>
            <w:tcW w:w="1093" w:type="dxa"/>
          </w:tcPr>
          <w:p w14:paraId="7BB01AF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395</w:t>
            </w:r>
          </w:p>
        </w:tc>
        <w:tc>
          <w:tcPr>
            <w:tcW w:w="1093" w:type="dxa"/>
          </w:tcPr>
          <w:p w14:paraId="2E08066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156</w:t>
            </w:r>
          </w:p>
        </w:tc>
        <w:tc>
          <w:tcPr>
            <w:tcW w:w="1093" w:type="dxa"/>
          </w:tcPr>
          <w:p w14:paraId="04EA2A3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127</w:t>
            </w:r>
          </w:p>
        </w:tc>
        <w:tc>
          <w:tcPr>
            <w:tcW w:w="1093" w:type="dxa"/>
          </w:tcPr>
          <w:p w14:paraId="2662F59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112</w:t>
            </w:r>
          </w:p>
        </w:tc>
      </w:tr>
      <w:tr w:rsidR="00F26F01" w:rsidRPr="00C33834" w14:paraId="0F7A9DD3" w14:textId="77777777">
        <w:tc>
          <w:tcPr>
            <w:tcW w:w="817" w:type="dxa"/>
          </w:tcPr>
          <w:p w14:paraId="40E10F7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1656" w:type="dxa"/>
          </w:tcPr>
          <w:p w14:paraId="151A624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МБР4-АСО</w:t>
            </w:r>
          </w:p>
        </w:tc>
        <w:tc>
          <w:tcPr>
            <w:tcW w:w="1093" w:type="dxa"/>
          </w:tcPr>
          <w:p w14:paraId="3038294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1093" w:type="dxa"/>
          </w:tcPr>
          <w:p w14:paraId="7594AEE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6406EED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7906ACC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1093" w:type="dxa"/>
          </w:tcPr>
          <w:p w14:paraId="101EA72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w:t>
            </w:r>
          </w:p>
        </w:tc>
        <w:tc>
          <w:tcPr>
            <w:tcW w:w="1093" w:type="dxa"/>
          </w:tcPr>
          <w:p w14:paraId="030070B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093" w:type="dxa"/>
          </w:tcPr>
          <w:p w14:paraId="42F20B7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1093" w:type="dxa"/>
          </w:tcPr>
          <w:p w14:paraId="5AAF3B1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r>
      <w:tr w:rsidR="00F26F01" w:rsidRPr="00C33834" w14:paraId="2643D902" w14:textId="77777777">
        <w:tc>
          <w:tcPr>
            <w:tcW w:w="817" w:type="dxa"/>
          </w:tcPr>
          <w:p w14:paraId="6E05718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61E14BF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МБР4-М34</w:t>
            </w:r>
          </w:p>
        </w:tc>
        <w:tc>
          <w:tcPr>
            <w:tcW w:w="1093" w:type="dxa"/>
          </w:tcPr>
          <w:p w14:paraId="1B2D242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w:t>
            </w:r>
          </w:p>
        </w:tc>
        <w:tc>
          <w:tcPr>
            <w:tcW w:w="1093" w:type="dxa"/>
          </w:tcPr>
          <w:p w14:paraId="2DD157B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531FF0D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0B6803C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w:t>
            </w:r>
          </w:p>
        </w:tc>
        <w:tc>
          <w:tcPr>
            <w:tcW w:w="1093" w:type="dxa"/>
          </w:tcPr>
          <w:p w14:paraId="3066040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54B5110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415B11E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5DC9EAD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26EF73BF" w14:textId="77777777">
        <w:tc>
          <w:tcPr>
            <w:tcW w:w="817" w:type="dxa"/>
          </w:tcPr>
          <w:p w14:paraId="13E8E87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692ABC5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Р6-2М17</w:t>
            </w:r>
          </w:p>
        </w:tc>
        <w:tc>
          <w:tcPr>
            <w:tcW w:w="1093" w:type="dxa"/>
          </w:tcPr>
          <w:p w14:paraId="2787A49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093" w:type="dxa"/>
          </w:tcPr>
          <w:p w14:paraId="19C289B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572A7FF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147CB11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w:t>
            </w:r>
          </w:p>
        </w:tc>
        <w:tc>
          <w:tcPr>
            <w:tcW w:w="1093" w:type="dxa"/>
          </w:tcPr>
          <w:p w14:paraId="0EA3020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1093" w:type="dxa"/>
          </w:tcPr>
          <w:p w14:paraId="1E914FE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093" w:type="dxa"/>
          </w:tcPr>
          <w:p w14:paraId="47B36C2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1093" w:type="dxa"/>
          </w:tcPr>
          <w:p w14:paraId="4949953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r>
      <w:tr w:rsidR="00F26F01" w:rsidRPr="00C33834" w14:paraId="1ED523F7" w14:textId="77777777">
        <w:tc>
          <w:tcPr>
            <w:tcW w:w="817" w:type="dxa"/>
          </w:tcPr>
          <w:p w14:paraId="4B38226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38CB63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Р6-2М34</w:t>
            </w:r>
          </w:p>
        </w:tc>
        <w:tc>
          <w:tcPr>
            <w:tcW w:w="1093" w:type="dxa"/>
          </w:tcPr>
          <w:p w14:paraId="08372BE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093" w:type="dxa"/>
          </w:tcPr>
          <w:p w14:paraId="479D1C0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71493F3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2209FDF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745FB06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160080C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2C58D58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6703FB8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220C4DA4" w14:textId="77777777">
        <w:tc>
          <w:tcPr>
            <w:tcW w:w="817" w:type="dxa"/>
          </w:tcPr>
          <w:p w14:paraId="71D17DD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0CD67DE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АНТ9-2М17</w:t>
            </w:r>
          </w:p>
        </w:tc>
        <w:tc>
          <w:tcPr>
            <w:tcW w:w="1093" w:type="dxa"/>
          </w:tcPr>
          <w:p w14:paraId="1BA8A8B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1093" w:type="dxa"/>
          </w:tcPr>
          <w:p w14:paraId="305D24E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005CD8F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04FCD7B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w:t>
            </w:r>
          </w:p>
        </w:tc>
        <w:tc>
          <w:tcPr>
            <w:tcW w:w="1093" w:type="dxa"/>
          </w:tcPr>
          <w:p w14:paraId="72EC931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78D310F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543E84F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7D7F91E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74DD9361" w14:textId="77777777">
        <w:tc>
          <w:tcPr>
            <w:tcW w:w="817" w:type="dxa"/>
          </w:tcPr>
          <w:p w14:paraId="4D0B4B7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55A171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АШ-М11</w:t>
            </w:r>
          </w:p>
        </w:tc>
        <w:tc>
          <w:tcPr>
            <w:tcW w:w="1093" w:type="dxa"/>
          </w:tcPr>
          <w:p w14:paraId="2C350D4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w:t>
            </w:r>
          </w:p>
        </w:tc>
        <w:tc>
          <w:tcPr>
            <w:tcW w:w="1093" w:type="dxa"/>
          </w:tcPr>
          <w:p w14:paraId="0A4A0AB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093" w:type="dxa"/>
          </w:tcPr>
          <w:p w14:paraId="55891C3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w:t>
            </w:r>
          </w:p>
        </w:tc>
        <w:tc>
          <w:tcPr>
            <w:tcW w:w="1093" w:type="dxa"/>
          </w:tcPr>
          <w:p w14:paraId="080C43C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1093" w:type="dxa"/>
          </w:tcPr>
          <w:p w14:paraId="598FC11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127</w:t>
            </w:r>
          </w:p>
        </w:tc>
        <w:tc>
          <w:tcPr>
            <w:tcW w:w="1093" w:type="dxa"/>
          </w:tcPr>
          <w:p w14:paraId="7AEF6CD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w:t>
            </w:r>
          </w:p>
        </w:tc>
        <w:tc>
          <w:tcPr>
            <w:tcW w:w="1093" w:type="dxa"/>
          </w:tcPr>
          <w:p w14:paraId="4E304E8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w:t>
            </w:r>
          </w:p>
        </w:tc>
        <w:tc>
          <w:tcPr>
            <w:tcW w:w="1093" w:type="dxa"/>
          </w:tcPr>
          <w:p w14:paraId="2E4053D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w:t>
            </w:r>
          </w:p>
        </w:tc>
      </w:tr>
      <w:tr w:rsidR="00F26F01" w:rsidRPr="00C33834" w14:paraId="11054B5F" w14:textId="77777777">
        <w:tc>
          <w:tcPr>
            <w:tcW w:w="817" w:type="dxa"/>
          </w:tcPr>
          <w:p w14:paraId="736BF17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0F1C2EF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самолетов</w:t>
            </w:r>
          </w:p>
        </w:tc>
        <w:tc>
          <w:tcPr>
            <w:tcW w:w="1093" w:type="dxa"/>
          </w:tcPr>
          <w:p w14:paraId="47436D0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397</w:t>
            </w:r>
          </w:p>
        </w:tc>
        <w:tc>
          <w:tcPr>
            <w:tcW w:w="1093" w:type="dxa"/>
          </w:tcPr>
          <w:p w14:paraId="00B9E26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093" w:type="dxa"/>
          </w:tcPr>
          <w:p w14:paraId="762F933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w:t>
            </w:r>
          </w:p>
        </w:tc>
        <w:tc>
          <w:tcPr>
            <w:tcW w:w="1093" w:type="dxa"/>
          </w:tcPr>
          <w:p w14:paraId="1A2F59E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104</w:t>
            </w:r>
          </w:p>
        </w:tc>
        <w:tc>
          <w:tcPr>
            <w:tcW w:w="1093" w:type="dxa"/>
          </w:tcPr>
          <w:p w14:paraId="2597FB4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1093" w:type="dxa"/>
          </w:tcPr>
          <w:p w14:paraId="528EE9B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1093" w:type="dxa"/>
          </w:tcPr>
          <w:p w14:paraId="4FAA04E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c>
          <w:tcPr>
            <w:tcW w:w="1093" w:type="dxa"/>
          </w:tcPr>
          <w:p w14:paraId="488AD47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w:t>
            </w:r>
          </w:p>
        </w:tc>
      </w:tr>
      <w:tr w:rsidR="00F26F01" w:rsidRPr="00C33834" w14:paraId="27114BDB" w14:textId="77777777">
        <w:tc>
          <w:tcPr>
            <w:tcW w:w="817" w:type="dxa"/>
          </w:tcPr>
          <w:p w14:paraId="13293E3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1656" w:type="dxa"/>
          </w:tcPr>
          <w:p w14:paraId="3043F75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w:t>
            </w:r>
          </w:p>
        </w:tc>
        <w:tc>
          <w:tcPr>
            <w:tcW w:w="1093" w:type="dxa"/>
          </w:tcPr>
          <w:p w14:paraId="3A74325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1093" w:type="dxa"/>
          </w:tcPr>
          <w:p w14:paraId="16BB67B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2E863E2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6F0B4F3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1093" w:type="dxa"/>
          </w:tcPr>
          <w:p w14:paraId="1FEB8E4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2ABF3A8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0536028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040AA2B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40344289" w14:textId="77777777">
        <w:tc>
          <w:tcPr>
            <w:tcW w:w="817" w:type="dxa"/>
          </w:tcPr>
          <w:p w14:paraId="5D97D05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1656" w:type="dxa"/>
          </w:tcPr>
          <w:p w14:paraId="241FC9B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И5-М22</w:t>
            </w:r>
          </w:p>
        </w:tc>
        <w:tc>
          <w:tcPr>
            <w:tcW w:w="1093" w:type="dxa"/>
          </w:tcPr>
          <w:p w14:paraId="728AF30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093" w:type="dxa"/>
          </w:tcPr>
          <w:p w14:paraId="5799790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1093" w:type="dxa"/>
          </w:tcPr>
          <w:p w14:paraId="35C4F19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87</w:t>
            </w:r>
          </w:p>
        </w:tc>
        <w:tc>
          <w:tcPr>
            <w:tcW w:w="1093" w:type="dxa"/>
          </w:tcPr>
          <w:p w14:paraId="5F73E9F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110</w:t>
            </w:r>
          </w:p>
        </w:tc>
        <w:tc>
          <w:tcPr>
            <w:tcW w:w="1093" w:type="dxa"/>
          </w:tcPr>
          <w:p w14:paraId="7CE4967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w:t>
            </w:r>
          </w:p>
        </w:tc>
        <w:tc>
          <w:tcPr>
            <w:tcW w:w="1093" w:type="dxa"/>
          </w:tcPr>
          <w:p w14:paraId="686CD08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w:t>
            </w:r>
          </w:p>
        </w:tc>
        <w:tc>
          <w:tcPr>
            <w:tcW w:w="1093" w:type="dxa"/>
          </w:tcPr>
          <w:p w14:paraId="3188DCE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w:t>
            </w:r>
          </w:p>
        </w:tc>
        <w:tc>
          <w:tcPr>
            <w:tcW w:w="1093" w:type="dxa"/>
          </w:tcPr>
          <w:p w14:paraId="6A90630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r>
      <w:tr w:rsidR="00F26F01" w:rsidRPr="00C33834" w14:paraId="15224AD4" w14:textId="77777777">
        <w:tc>
          <w:tcPr>
            <w:tcW w:w="817" w:type="dxa"/>
          </w:tcPr>
          <w:p w14:paraId="2FE95BA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ХАЗОС</w:t>
            </w:r>
          </w:p>
        </w:tc>
        <w:tc>
          <w:tcPr>
            <w:tcW w:w="1656" w:type="dxa"/>
          </w:tcPr>
          <w:p w14:paraId="266F213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К5-М22</w:t>
            </w:r>
          </w:p>
        </w:tc>
        <w:tc>
          <w:tcPr>
            <w:tcW w:w="1093" w:type="dxa"/>
          </w:tcPr>
          <w:p w14:paraId="105A104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1093" w:type="dxa"/>
          </w:tcPr>
          <w:p w14:paraId="6A2E35D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093" w:type="dxa"/>
          </w:tcPr>
          <w:p w14:paraId="09D4B46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1093" w:type="dxa"/>
          </w:tcPr>
          <w:p w14:paraId="401A975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w:t>
            </w:r>
          </w:p>
        </w:tc>
        <w:tc>
          <w:tcPr>
            <w:tcW w:w="1093" w:type="dxa"/>
          </w:tcPr>
          <w:p w14:paraId="572C7AA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1093" w:type="dxa"/>
          </w:tcPr>
          <w:p w14:paraId="6069822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093" w:type="dxa"/>
          </w:tcPr>
          <w:p w14:paraId="4AB1E75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1093" w:type="dxa"/>
          </w:tcPr>
          <w:p w14:paraId="26047C5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r>
      <w:tr w:rsidR="00F26F01" w:rsidRPr="00C33834" w14:paraId="6984D5D5" w14:textId="77777777">
        <w:tc>
          <w:tcPr>
            <w:tcW w:w="817" w:type="dxa"/>
          </w:tcPr>
          <w:p w14:paraId="5F9D763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w:t>
            </w:r>
          </w:p>
        </w:tc>
        <w:tc>
          <w:tcPr>
            <w:tcW w:w="1656" w:type="dxa"/>
          </w:tcPr>
          <w:p w14:paraId="36CCF59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w:t>
            </w:r>
          </w:p>
        </w:tc>
        <w:tc>
          <w:tcPr>
            <w:tcW w:w="1093" w:type="dxa"/>
          </w:tcPr>
          <w:p w14:paraId="6FF6AB5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1093" w:type="dxa"/>
          </w:tcPr>
          <w:p w14:paraId="65185B1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1093" w:type="dxa"/>
          </w:tcPr>
          <w:p w14:paraId="726B283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c>
          <w:tcPr>
            <w:tcW w:w="1093" w:type="dxa"/>
          </w:tcPr>
          <w:p w14:paraId="13F3B6C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tc>
        <w:tc>
          <w:tcPr>
            <w:tcW w:w="1093" w:type="dxa"/>
          </w:tcPr>
          <w:p w14:paraId="07B7CBA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tc>
        <w:tc>
          <w:tcPr>
            <w:tcW w:w="1093" w:type="dxa"/>
          </w:tcPr>
          <w:p w14:paraId="310BC97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1093" w:type="dxa"/>
          </w:tcPr>
          <w:p w14:paraId="2C3BA16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1093" w:type="dxa"/>
          </w:tcPr>
          <w:p w14:paraId="06AB025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r>
      <w:tr w:rsidR="00F26F01" w:rsidRPr="00C33834" w14:paraId="5436B5A0" w14:textId="77777777">
        <w:tc>
          <w:tcPr>
            <w:tcW w:w="817" w:type="dxa"/>
            <w:tcBorders>
              <w:bottom w:val="single" w:sz="12" w:space="0" w:color="auto"/>
            </w:tcBorders>
          </w:tcPr>
          <w:p w14:paraId="280C489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Borders>
              <w:bottom w:val="single" w:sz="12" w:space="0" w:color="auto"/>
            </w:tcBorders>
          </w:tcPr>
          <w:p w14:paraId="7A4A68A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самолетов</w:t>
            </w:r>
          </w:p>
        </w:tc>
        <w:tc>
          <w:tcPr>
            <w:tcW w:w="1093" w:type="dxa"/>
            <w:tcBorders>
              <w:bottom w:val="single" w:sz="12" w:space="0" w:color="auto"/>
            </w:tcBorders>
          </w:tcPr>
          <w:p w14:paraId="139DC2A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4495</w:t>
            </w:r>
          </w:p>
        </w:tc>
        <w:tc>
          <w:tcPr>
            <w:tcW w:w="1093" w:type="dxa"/>
            <w:tcBorders>
              <w:bottom w:val="single" w:sz="12" w:space="0" w:color="auto"/>
            </w:tcBorders>
          </w:tcPr>
          <w:p w14:paraId="264187C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528</w:t>
            </w:r>
          </w:p>
        </w:tc>
        <w:tc>
          <w:tcPr>
            <w:tcW w:w="1093" w:type="dxa"/>
            <w:tcBorders>
              <w:bottom w:val="single" w:sz="12" w:space="0" w:color="auto"/>
            </w:tcBorders>
          </w:tcPr>
          <w:p w14:paraId="3B0230C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1048</w:t>
            </w:r>
          </w:p>
        </w:tc>
        <w:tc>
          <w:tcPr>
            <w:tcW w:w="1093" w:type="dxa"/>
            <w:tcBorders>
              <w:bottom w:val="single" w:sz="12" w:space="0" w:color="auto"/>
            </w:tcBorders>
          </w:tcPr>
          <w:p w14:paraId="5E166CE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1417</w:t>
            </w:r>
          </w:p>
        </w:tc>
        <w:tc>
          <w:tcPr>
            <w:tcW w:w="1093" w:type="dxa"/>
            <w:tcBorders>
              <w:bottom w:val="single" w:sz="12" w:space="0" w:color="auto"/>
            </w:tcBorders>
          </w:tcPr>
          <w:p w14:paraId="1D5CCA9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1055</w:t>
            </w:r>
          </w:p>
        </w:tc>
        <w:tc>
          <w:tcPr>
            <w:tcW w:w="1093" w:type="dxa"/>
            <w:tcBorders>
              <w:bottom w:val="single" w:sz="12" w:space="0" w:color="auto"/>
            </w:tcBorders>
          </w:tcPr>
          <w:p w14:paraId="0BD5A3B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301</w:t>
            </w:r>
          </w:p>
        </w:tc>
        <w:tc>
          <w:tcPr>
            <w:tcW w:w="1093" w:type="dxa"/>
            <w:tcBorders>
              <w:bottom w:val="single" w:sz="12" w:space="0" w:color="auto"/>
            </w:tcBorders>
          </w:tcPr>
          <w:p w14:paraId="1DF612D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425</w:t>
            </w:r>
          </w:p>
        </w:tc>
        <w:tc>
          <w:tcPr>
            <w:tcW w:w="1093" w:type="dxa"/>
            <w:tcBorders>
              <w:bottom w:val="single" w:sz="12" w:space="0" w:color="auto"/>
            </w:tcBorders>
          </w:tcPr>
          <w:p w14:paraId="043DDC3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329</w:t>
            </w:r>
          </w:p>
        </w:tc>
      </w:tr>
    </w:tbl>
    <w:p w14:paraId="51E28E1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(4149,40).</w:t>
      </w:r>
    </w:p>
    <w:p w14:paraId="7B71254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ПЛАНА 9-ти МЕСЯЦЕВ 1933 ГОДА ПО САМОЛЕТАМ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1656"/>
        <w:gridCol w:w="1093"/>
        <w:gridCol w:w="1093"/>
        <w:gridCol w:w="1093"/>
        <w:gridCol w:w="1093"/>
        <w:gridCol w:w="1094"/>
        <w:gridCol w:w="1093"/>
        <w:gridCol w:w="1093"/>
        <w:gridCol w:w="1094"/>
      </w:tblGrid>
      <w:tr w:rsidR="00F26F01" w:rsidRPr="00C33834" w14:paraId="55234903" w14:textId="77777777">
        <w:tc>
          <w:tcPr>
            <w:tcW w:w="817" w:type="dxa"/>
            <w:tcBorders>
              <w:top w:val="single" w:sz="12" w:space="0" w:color="auto"/>
            </w:tcBorders>
          </w:tcPr>
          <w:p w14:paraId="3EB0CFD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п/п</w:t>
            </w:r>
          </w:p>
        </w:tc>
        <w:tc>
          <w:tcPr>
            <w:tcW w:w="1656" w:type="dxa"/>
            <w:tcBorders>
              <w:top w:val="single" w:sz="12" w:space="0" w:color="auto"/>
            </w:tcBorders>
          </w:tcPr>
          <w:p w14:paraId="202349D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 самолета</w:t>
            </w:r>
          </w:p>
        </w:tc>
        <w:tc>
          <w:tcPr>
            <w:tcW w:w="1093" w:type="dxa"/>
            <w:tcBorders>
              <w:top w:val="single" w:sz="12" w:space="0" w:color="auto"/>
            </w:tcBorders>
          </w:tcPr>
          <w:p w14:paraId="04D4C74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на 9 месяцев</w:t>
            </w:r>
          </w:p>
        </w:tc>
        <w:tc>
          <w:tcPr>
            <w:tcW w:w="4373" w:type="dxa"/>
            <w:gridSpan w:val="4"/>
            <w:tcBorders>
              <w:top w:val="single" w:sz="12" w:space="0" w:color="auto"/>
            </w:tcBorders>
          </w:tcPr>
          <w:p w14:paraId="71EDA02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w:t>
            </w:r>
          </w:p>
        </w:tc>
        <w:tc>
          <w:tcPr>
            <w:tcW w:w="1093" w:type="dxa"/>
            <w:tcBorders>
              <w:top w:val="single" w:sz="12" w:space="0" w:color="auto"/>
            </w:tcBorders>
          </w:tcPr>
          <w:p w14:paraId="4426865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Сдано за 9 мес. 1932</w:t>
            </w:r>
          </w:p>
        </w:tc>
        <w:tc>
          <w:tcPr>
            <w:tcW w:w="2187" w:type="dxa"/>
            <w:gridSpan w:val="2"/>
            <w:tcBorders>
              <w:top w:val="single" w:sz="12" w:space="0" w:color="auto"/>
            </w:tcBorders>
          </w:tcPr>
          <w:p w14:paraId="14FD514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Остаток на 1 октября</w:t>
            </w:r>
          </w:p>
        </w:tc>
      </w:tr>
      <w:tr w:rsidR="00F26F01" w:rsidRPr="00C33834" w14:paraId="11743852" w14:textId="77777777">
        <w:tc>
          <w:tcPr>
            <w:tcW w:w="817" w:type="dxa"/>
          </w:tcPr>
          <w:p w14:paraId="45B4D17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4D529E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40B59B6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1217640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w:t>
            </w:r>
          </w:p>
        </w:tc>
        <w:tc>
          <w:tcPr>
            <w:tcW w:w="3280" w:type="dxa"/>
            <w:gridSpan w:val="3"/>
          </w:tcPr>
          <w:p w14:paraId="266567C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w:t>
            </w:r>
          </w:p>
        </w:tc>
        <w:tc>
          <w:tcPr>
            <w:tcW w:w="1093" w:type="dxa"/>
          </w:tcPr>
          <w:p w14:paraId="1B4B84E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3B36679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Отбракованных</w:t>
            </w:r>
          </w:p>
        </w:tc>
        <w:tc>
          <w:tcPr>
            <w:tcW w:w="1093" w:type="dxa"/>
          </w:tcPr>
          <w:p w14:paraId="312FCA6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Предъявленных</w:t>
            </w:r>
          </w:p>
        </w:tc>
      </w:tr>
      <w:tr w:rsidR="00F26F01" w:rsidRPr="00C33834" w14:paraId="61B5AEC9" w14:textId="77777777">
        <w:tc>
          <w:tcPr>
            <w:tcW w:w="817" w:type="dxa"/>
          </w:tcPr>
          <w:p w14:paraId="32A15B0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732E396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4F5D8CD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52F125B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083FCE5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годов. Плану</w:t>
            </w:r>
          </w:p>
        </w:tc>
        <w:tc>
          <w:tcPr>
            <w:tcW w:w="1093" w:type="dxa"/>
          </w:tcPr>
          <w:p w14:paraId="12DCC88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9 мес. плану</w:t>
            </w:r>
          </w:p>
        </w:tc>
        <w:tc>
          <w:tcPr>
            <w:tcW w:w="1093" w:type="dxa"/>
          </w:tcPr>
          <w:p w14:paraId="3B06082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Сдача за 9 мес.</w:t>
            </w:r>
          </w:p>
        </w:tc>
        <w:tc>
          <w:tcPr>
            <w:tcW w:w="1093" w:type="dxa"/>
          </w:tcPr>
          <w:p w14:paraId="7174D9C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2AD4687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31B757F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CFE4B0C" w14:textId="77777777">
        <w:tc>
          <w:tcPr>
            <w:tcW w:w="817" w:type="dxa"/>
          </w:tcPr>
          <w:p w14:paraId="11FF46F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656" w:type="dxa"/>
          </w:tcPr>
          <w:p w14:paraId="095315F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Р5-М17</w:t>
            </w:r>
          </w:p>
        </w:tc>
        <w:tc>
          <w:tcPr>
            <w:tcW w:w="1093" w:type="dxa"/>
          </w:tcPr>
          <w:p w14:paraId="537DF46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1208</w:t>
            </w:r>
          </w:p>
        </w:tc>
        <w:tc>
          <w:tcPr>
            <w:tcW w:w="1093" w:type="dxa"/>
          </w:tcPr>
          <w:p w14:paraId="2215E73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956</w:t>
            </w:r>
          </w:p>
        </w:tc>
        <w:tc>
          <w:tcPr>
            <w:tcW w:w="1093" w:type="dxa"/>
          </w:tcPr>
          <w:p w14:paraId="3D52F92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57,1</w:t>
            </w:r>
          </w:p>
        </w:tc>
        <w:tc>
          <w:tcPr>
            <w:tcW w:w="1093" w:type="dxa"/>
          </w:tcPr>
          <w:p w14:paraId="332C0E8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79,1</w:t>
            </w:r>
          </w:p>
        </w:tc>
        <w:tc>
          <w:tcPr>
            <w:tcW w:w="1093" w:type="dxa"/>
          </w:tcPr>
          <w:p w14:paraId="3C370D7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138,5</w:t>
            </w:r>
          </w:p>
        </w:tc>
        <w:tc>
          <w:tcPr>
            <w:tcW w:w="1093" w:type="dxa"/>
          </w:tcPr>
          <w:p w14:paraId="270C6AB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690</w:t>
            </w:r>
          </w:p>
        </w:tc>
        <w:tc>
          <w:tcPr>
            <w:tcW w:w="1093" w:type="dxa"/>
          </w:tcPr>
          <w:p w14:paraId="2265E7B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1093" w:type="dxa"/>
          </w:tcPr>
          <w:p w14:paraId="3A76072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w:t>
            </w:r>
          </w:p>
        </w:tc>
      </w:tr>
      <w:tr w:rsidR="00F26F01" w:rsidRPr="00C33834" w14:paraId="7E717612" w14:textId="77777777">
        <w:tc>
          <w:tcPr>
            <w:tcW w:w="817" w:type="dxa"/>
          </w:tcPr>
          <w:p w14:paraId="2291F54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547CAB6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И7-М17</w:t>
            </w:r>
          </w:p>
        </w:tc>
        <w:tc>
          <w:tcPr>
            <w:tcW w:w="1093" w:type="dxa"/>
          </w:tcPr>
          <w:p w14:paraId="4DC8176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172</w:t>
            </w:r>
          </w:p>
        </w:tc>
        <w:tc>
          <w:tcPr>
            <w:tcW w:w="1093" w:type="dxa"/>
          </w:tcPr>
          <w:p w14:paraId="1036E93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w:t>
            </w:r>
          </w:p>
        </w:tc>
        <w:tc>
          <w:tcPr>
            <w:tcW w:w="1093" w:type="dxa"/>
          </w:tcPr>
          <w:p w14:paraId="259CD2A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w:t>
            </w:r>
          </w:p>
        </w:tc>
        <w:tc>
          <w:tcPr>
            <w:tcW w:w="1093" w:type="dxa"/>
          </w:tcPr>
          <w:p w14:paraId="0C4ACA1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27,9</w:t>
            </w:r>
          </w:p>
        </w:tc>
        <w:tc>
          <w:tcPr>
            <w:tcW w:w="1093" w:type="dxa"/>
          </w:tcPr>
          <w:p w14:paraId="2C383B7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044CF21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16EEF00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1093" w:type="dxa"/>
          </w:tcPr>
          <w:p w14:paraId="677B40C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tc>
      </w:tr>
      <w:tr w:rsidR="00F26F01" w:rsidRPr="00C33834" w14:paraId="4887EFFC" w14:textId="77777777">
        <w:tc>
          <w:tcPr>
            <w:tcW w:w="817" w:type="dxa"/>
          </w:tcPr>
          <w:p w14:paraId="61CB97E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5A908E5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МР5-М17</w:t>
            </w:r>
          </w:p>
        </w:tc>
        <w:tc>
          <w:tcPr>
            <w:tcW w:w="1093" w:type="dxa"/>
          </w:tcPr>
          <w:p w14:paraId="76B20D6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w:t>
            </w:r>
          </w:p>
        </w:tc>
        <w:tc>
          <w:tcPr>
            <w:tcW w:w="1093" w:type="dxa"/>
          </w:tcPr>
          <w:p w14:paraId="27B9FCA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251EFF8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313D4B2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1779466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228F97F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79C5CCC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344EA7C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851D07E" w14:textId="77777777">
        <w:tc>
          <w:tcPr>
            <w:tcW w:w="817" w:type="dxa"/>
          </w:tcPr>
          <w:p w14:paraId="220E7D3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20E5E18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Разные</w:t>
            </w:r>
          </w:p>
        </w:tc>
        <w:tc>
          <w:tcPr>
            <w:tcW w:w="1093" w:type="dxa"/>
          </w:tcPr>
          <w:p w14:paraId="2E099CE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41D5583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30A5C09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61DB65A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38D7CC5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49C6746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w:t>
            </w:r>
          </w:p>
        </w:tc>
        <w:tc>
          <w:tcPr>
            <w:tcW w:w="1093" w:type="dxa"/>
          </w:tcPr>
          <w:p w14:paraId="5D6B7A1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7F38924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4B5BD012" w14:textId="77777777">
        <w:tc>
          <w:tcPr>
            <w:tcW w:w="817" w:type="dxa"/>
          </w:tcPr>
          <w:p w14:paraId="35B84BE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7A45173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самолетов</w:t>
            </w:r>
          </w:p>
        </w:tc>
        <w:tc>
          <w:tcPr>
            <w:tcW w:w="1093" w:type="dxa"/>
          </w:tcPr>
          <w:p w14:paraId="47977BB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1406</w:t>
            </w:r>
          </w:p>
        </w:tc>
        <w:tc>
          <w:tcPr>
            <w:tcW w:w="1093" w:type="dxa"/>
          </w:tcPr>
          <w:p w14:paraId="19719E8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1004</w:t>
            </w:r>
          </w:p>
        </w:tc>
        <w:tc>
          <w:tcPr>
            <w:tcW w:w="1093" w:type="dxa"/>
          </w:tcPr>
          <w:p w14:paraId="36DC723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50,3</w:t>
            </w:r>
          </w:p>
        </w:tc>
        <w:tc>
          <w:tcPr>
            <w:tcW w:w="1093" w:type="dxa"/>
          </w:tcPr>
          <w:p w14:paraId="4216B6D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71,4</w:t>
            </w:r>
          </w:p>
        </w:tc>
        <w:tc>
          <w:tcPr>
            <w:tcW w:w="1093" w:type="dxa"/>
          </w:tcPr>
          <w:p w14:paraId="7C724B6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131</w:t>
            </w:r>
          </w:p>
        </w:tc>
        <w:tc>
          <w:tcPr>
            <w:tcW w:w="1093" w:type="dxa"/>
          </w:tcPr>
          <w:p w14:paraId="47C35F5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766</w:t>
            </w:r>
          </w:p>
        </w:tc>
        <w:tc>
          <w:tcPr>
            <w:tcW w:w="1093" w:type="dxa"/>
          </w:tcPr>
          <w:p w14:paraId="2D2DA45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w:t>
            </w:r>
          </w:p>
        </w:tc>
        <w:tc>
          <w:tcPr>
            <w:tcW w:w="1093" w:type="dxa"/>
          </w:tcPr>
          <w:p w14:paraId="4B064A4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w:t>
            </w:r>
          </w:p>
        </w:tc>
      </w:tr>
      <w:tr w:rsidR="00F26F01" w:rsidRPr="00C33834" w14:paraId="794BEFE0" w14:textId="77777777">
        <w:tc>
          <w:tcPr>
            <w:tcW w:w="817" w:type="dxa"/>
          </w:tcPr>
          <w:p w14:paraId="1C4A135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1656" w:type="dxa"/>
          </w:tcPr>
          <w:p w14:paraId="60D3B68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w:t>
            </w:r>
          </w:p>
        </w:tc>
        <w:tc>
          <w:tcPr>
            <w:tcW w:w="1093" w:type="dxa"/>
          </w:tcPr>
          <w:p w14:paraId="350F654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1093" w:type="dxa"/>
          </w:tcPr>
          <w:p w14:paraId="2AACA8F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168</w:t>
            </w:r>
          </w:p>
        </w:tc>
        <w:tc>
          <w:tcPr>
            <w:tcW w:w="1093" w:type="dxa"/>
          </w:tcPr>
          <w:p w14:paraId="3CDAB53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w:t>
            </w:r>
          </w:p>
        </w:tc>
        <w:tc>
          <w:tcPr>
            <w:tcW w:w="1093" w:type="dxa"/>
          </w:tcPr>
          <w:p w14:paraId="2D67D72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w:t>
            </w:r>
          </w:p>
        </w:tc>
        <w:tc>
          <w:tcPr>
            <w:tcW w:w="1093" w:type="dxa"/>
          </w:tcPr>
          <w:p w14:paraId="03B4CB0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357,4</w:t>
            </w:r>
          </w:p>
        </w:tc>
        <w:tc>
          <w:tcPr>
            <w:tcW w:w="1093" w:type="dxa"/>
          </w:tcPr>
          <w:p w14:paraId="49DDB4A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w:t>
            </w:r>
          </w:p>
        </w:tc>
        <w:tc>
          <w:tcPr>
            <w:tcW w:w="1093" w:type="dxa"/>
          </w:tcPr>
          <w:p w14:paraId="5968D7E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262F228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r>
      <w:tr w:rsidR="00F26F01" w:rsidRPr="00C33834" w14:paraId="16FEEF5A" w14:textId="77777777">
        <w:tc>
          <w:tcPr>
            <w:tcW w:w="817" w:type="dxa"/>
          </w:tcPr>
          <w:p w14:paraId="713E60F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011B59B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w:t>
            </w:r>
          </w:p>
        </w:tc>
        <w:tc>
          <w:tcPr>
            <w:tcW w:w="1093" w:type="dxa"/>
          </w:tcPr>
          <w:p w14:paraId="114DCE4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p>
        </w:tc>
        <w:tc>
          <w:tcPr>
            <w:tcW w:w="1093" w:type="dxa"/>
          </w:tcPr>
          <w:p w14:paraId="70EF128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1093" w:type="dxa"/>
          </w:tcPr>
          <w:p w14:paraId="1EA65B6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w:t>
            </w:r>
          </w:p>
        </w:tc>
        <w:tc>
          <w:tcPr>
            <w:tcW w:w="1093" w:type="dxa"/>
          </w:tcPr>
          <w:p w14:paraId="6F0D9A5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w:t>
            </w:r>
          </w:p>
        </w:tc>
        <w:tc>
          <w:tcPr>
            <w:tcW w:w="1093" w:type="dxa"/>
          </w:tcPr>
          <w:p w14:paraId="77E6FB9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734E664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21B5D7C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5824CDF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w:t>
            </w:r>
          </w:p>
        </w:tc>
      </w:tr>
      <w:tr w:rsidR="00F26F01" w:rsidRPr="00C33834" w14:paraId="26EB962E" w14:textId="77777777">
        <w:tc>
          <w:tcPr>
            <w:tcW w:w="817" w:type="dxa"/>
          </w:tcPr>
          <w:p w14:paraId="4D31090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6D33B69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ТБ4-6М34</w:t>
            </w:r>
          </w:p>
        </w:tc>
        <w:tc>
          <w:tcPr>
            <w:tcW w:w="1093" w:type="dxa"/>
          </w:tcPr>
          <w:p w14:paraId="73EFC9E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51211B5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7E23185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2369E13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2FF15DD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59A99B5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5AB8D56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7FDEF1B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6B68BD39" w14:textId="77777777">
        <w:tc>
          <w:tcPr>
            <w:tcW w:w="817" w:type="dxa"/>
          </w:tcPr>
          <w:p w14:paraId="36ED2C1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3C05B5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МИ3-2М34</w:t>
            </w:r>
          </w:p>
        </w:tc>
        <w:tc>
          <w:tcPr>
            <w:tcW w:w="1093" w:type="dxa"/>
          </w:tcPr>
          <w:p w14:paraId="457D30A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6EBFA5B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494663A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2C69103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559F3FE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596376C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57D0A5C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7A74BC4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46136719" w14:textId="77777777">
        <w:tc>
          <w:tcPr>
            <w:tcW w:w="817" w:type="dxa"/>
          </w:tcPr>
          <w:p w14:paraId="2C30193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C44F16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Разные</w:t>
            </w:r>
          </w:p>
        </w:tc>
        <w:tc>
          <w:tcPr>
            <w:tcW w:w="1093" w:type="dxa"/>
          </w:tcPr>
          <w:p w14:paraId="0BEEF29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68DE28D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2DD23FC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75E4EC6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6A4D75E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38B19E3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w:t>
            </w:r>
          </w:p>
        </w:tc>
        <w:tc>
          <w:tcPr>
            <w:tcW w:w="1093" w:type="dxa"/>
          </w:tcPr>
          <w:p w14:paraId="110EDE9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027E65C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00124A5D" w14:textId="77777777">
        <w:tc>
          <w:tcPr>
            <w:tcW w:w="817" w:type="dxa"/>
          </w:tcPr>
          <w:p w14:paraId="716701D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17BDE10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самолетов</w:t>
            </w:r>
          </w:p>
        </w:tc>
        <w:tc>
          <w:tcPr>
            <w:tcW w:w="1093" w:type="dxa"/>
          </w:tcPr>
          <w:p w14:paraId="6A6EC09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196</w:t>
            </w:r>
          </w:p>
        </w:tc>
        <w:tc>
          <w:tcPr>
            <w:tcW w:w="1093" w:type="dxa"/>
          </w:tcPr>
          <w:p w14:paraId="35DFC5D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172</w:t>
            </w:r>
          </w:p>
        </w:tc>
        <w:tc>
          <w:tcPr>
            <w:tcW w:w="1093" w:type="dxa"/>
          </w:tcPr>
          <w:p w14:paraId="64B5802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61,9</w:t>
            </w:r>
          </w:p>
        </w:tc>
        <w:tc>
          <w:tcPr>
            <w:tcW w:w="1093" w:type="dxa"/>
          </w:tcPr>
          <w:p w14:paraId="22032B9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87,7</w:t>
            </w:r>
          </w:p>
        </w:tc>
        <w:tc>
          <w:tcPr>
            <w:tcW w:w="1093" w:type="dxa"/>
          </w:tcPr>
          <w:p w14:paraId="6EAC399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175,6</w:t>
            </w:r>
          </w:p>
        </w:tc>
        <w:tc>
          <w:tcPr>
            <w:tcW w:w="1093" w:type="dxa"/>
          </w:tcPr>
          <w:p w14:paraId="602B1C3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w:t>
            </w:r>
          </w:p>
        </w:tc>
        <w:tc>
          <w:tcPr>
            <w:tcW w:w="1093" w:type="dxa"/>
          </w:tcPr>
          <w:p w14:paraId="70E7590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7650427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r>
      <w:tr w:rsidR="00F26F01" w:rsidRPr="00C33834" w14:paraId="6B3A0056" w14:textId="77777777">
        <w:tc>
          <w:tcPr>
            <w:tcW w:w="817" w:type="dxa"/>
          </w:tcPr>
          <w:p w14:paraId="58BB8CC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c>
          <w:tcPr>
            <w:tcW w:w="1656" w:type="dxa"/>
          </w:tcPr>
          <w:p w14:paraId="2E13A01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У2-М11</w:t>
            </w:r>
          </w:p>
        </w:tc>
        <w:tc>
          <w:tcPr>
            <w:tcW w:w="1093" w:type="dxa"/>
          </w:tcPr>
          <w:p w14:paraId="41F1102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923</w:t>
            </w:r>
          </w:p>
        </w:tc>
        <w:tc>
          <w:tcPr>
            <w:tcW w:w="1093" w:type="dxa"/>
          </w:tcPr>
          <w:p w14:paraId="5806AAA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880</w:t>
            </w:r>
          </w:p>
        </w:tc>
        <w:tc>
          <w:tcPr>
            <w:tcW w:w="1093" w:type="dxa"/>
          </w:tcPr>
          <w:p w14:paraId="12CD786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68,7</w:t>
            </w:r>
          </w:p>
        </w:tc>
        <w:tc>
          <w:tcPr>
            <w:tcW w:w="1093" w:type="dxa"/>
          </w:tcPr>
          <w:p w14:paraId="6F90AF9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94,3</w:t>
            </w:r>
          </w:p>
        </w:tc>
        <w:tc>
          <w:tcPr>
            <w:tcW w:w="1093" w:type="dxa"/>
          </w:tcPr>
          <w:p w14:paraId="1CACA86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137,1</w:t>
            </w:r>
          </w:p>
        </w:tc>
        <w:tc>
          <w:tcPr>
            <w:tcW w:w="1093" w:type="dxa"/>
          </w:tcPr>
          <w:p w14:paraId="26C4E64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642</w:t>
            </w:r>
          </w:p>
        </w:tc>
        <w:tc>
          <w:tcPr>
            <w:tcW w:w="1093" w:type="dxa"/>
          </w:tcPr>
          <w:p w14:paraId="6AC25B5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3D3667D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w:t>
            </w:r>
          </w:p>
        </w:tc>
      </w:tr>
      <w:tr w:rsidR="00F26F01" w:rsidRPr="00C33834" w14:paraId="5B32862F" w14:textId="77777777">
        <w:tc>
          <w:tcPr>
            <w:tcW w:w="817" w:type="dxa"/>
          </w:tcPr>
          <w:p w14:paraId="2B2BD8A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C2370C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АП-М11</w:t>
            </w:r>
          </w:p>
        </w:tc>
        <w:tc>
          <w:tcPr>
            <w:tcW w:w="1093" w:type="dxa"/>
          </w:tcPr>
          <w:p w14:paraId="06AA9B0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1093" w:type="dxa"/>
          </w:tcPr>
          <w:p w14:paraId="5A09098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127</w:t>
            </w:r>
          </w:p>
        </w:tc>
        <w:tc>
          <w:tcPr>
            <w:tcW w:w="1093" w:type="dxa"/>
          </w:tcPr>
          <w:p w14:paraId="27BF07D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105,8</w:t>
            </w:r>
          </w:p>
        </w:tc>
        <w:tc>
          <w:tcPr>
            <w:tcW w:w="1093" w:type="dxa"/>
          </w:tcPr>
          <w:p w14:paraId="669C726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105,8</w:t>
            </w:r>
          </w:p>
        </w:tc>
        <w:tc>
          <w:tcPr>
            <w:tcW w:w="1093" w:type="dxa"/>
          </w:tcPr>
          <w:p w14:paraId="1ADD0B0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74,3</w:t>
            </w:r>
          </w:p>
        </w:tc>
        <w:tc>
          <w:tcPr>
            <w:tcW w:w="1093" w:type="dxa"/>
          </w:tcPr>
          <w:p w14:paraId="2CFD7EF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171</w:t>
            </w:r>
          </w:p>
        </w:tc>
        <w:tc>
          <w:tcPr>
            <w:tcW w:w="1093" w:type="dxa"/>
          </w:tcPr>
          <w:p w14:paraId="13FD692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7BB7F4A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036E543E" w14:textId="77777777">
        <w:tc>
          <w:tcPr>
            <w:tcW w:w="817" w:type="dxa"/>
          </w:tcPr>
          <w:p w14:paraId="3C52A44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975CEA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самолетов</w:t>
            </w:r>
          </w:p>
        </w:tc>
        <w:tc>
          <w:tcPr>
            <w:tcW w:w="1093" w:type="dxa"/>
          </w:tcPr>
          <w:p w14:paraId="47869F3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1053</w:t>
            </w:r>
          </w:p>
        </w:tc>
        <w:tc>
          <w:tcPr>
            <w:tcW w:w="1093" w:type="dxa"/>
          </w:tcPr>
          <w:p w14:paraId="1297993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1007</w:t>
            </w:r>
          </w:p>
        </w:tc>
        <w:tc>
          <w:tcPr>
            <w:tcW w:w="1093" w:type="dxa"/>
          </w:tcPr>
          <w:p w14:paraId="5CDD935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71,9</w:t>
            </w:r>
          </w:p>
        </w:tc>
        <w:tc>
          <w:tcPr>
            <w:tcW w:w="1093" w:type="dxa"/>
          </w:tcPr>
          <w:p w14:paraId="3B6A71E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95,6</w:t>
            </w:r>
          </w:p>
        </w:tc>
        <w:tc>
          <w:tcPr>
            <w:tcW w:w="1093" w:type="dxa"/>
          </w:tcPr>
          <w:p w14:paraId="7DA1A4E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123,8</w:t>
            </w:r>
          </w:p>
        </w:tc>
        <w:tc>
          <w:tcPr>
            <w:tcW w:w="1093" w:type="dxa"/>
          </w:tcPr>
          <w:p w14:paraId="3D4126C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813</w:t>
            </w:r>
          </w:p>
        </w:tc>
        <w:tc>
          <w:tcPr>
            <w:tcW w:w="1093" w:type="dxa"/>
          </w:tcPr>
          <w:p w14:paraId="0778DAB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426A4F3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w:t>
            </w:r>
          </w:p>
        </w:tc>
      </w:tr>
      <w:tr w:rsidR="00F26F01" w:rsidRPr="00C33834" w14:paraId="4510A993" w14:textId="77777777">
        <w:tc>
          <w:tcPr>
            <w:tcW w:w="817" w:type="dxa"/>
          </w:tcPr>
          <w:p w14:paraId="3AA27EC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1656" w:type="dxa"/>
          </w:tcPr>
          <w:p w14:paraId="06E6713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МБР4-АСО</w:t>
            </w:r>
          </w:p>
        </w:tc>
        <w:tc>
          <w:tcPr>
            <w:tcW w:w="1093" w:type="dxa"/>
          </w:tcPr>
          <w:p w14:paraId="5192D59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1093" w:type="dxa"/>
          </w:tcPr>
          <w:p w14:paraId="09184CE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1093" w:type="dxa"/>
          </w:tcPr>
          <w:p w14:paraId="044A43D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w:t>
            </w:r>
          </w:p>
        </w:tc>
        <w:tc>
          <w:tcPr>
            <w:tcW w:w="1093" w:type="dxa"/>
          </w:tcPr>
          <w:p w14:paraId="3019120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w:t>
            </w:r>
          </w:p>
        </w:tc>
        <w:tc>
          <w:tcPr>
            <w:tcW w:w="1093" w:type="dxa"/>
          </w:tcPr>
          <w:p w14:paraId="4CD5739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093" w:type="dxa"/>
          </w:tcPr>
          <w:p w14:paraId="33C0CBB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1093" w:type="dxa"/>
          </w:tcPr>
          <w:p w14:paraId="0653ED1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1093" w:type="dxa"/>
          </w:tcPr>
          <w:p w14:paraId="5CBC763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030398D5" w14:textId="77777777">
        <w:tc>
          <w:tcPr>
            <w:tcW w:w="817" w:type="dxa"/>
          </w:tcPr>
          <w:p w14:paraId="2B4634B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3F60E87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МБР4-М34</w:t>
            </w:r>
          </w:p>
        </w:tc>
        <w:tc>
          <w:tcPr>
            <w:tcW w:w="1093" w:type="dxa"/>
          </w:tcPr>
          <w:p w14:paraId="03C2AF2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w:t>
            </w:r>
          </w:p>
        </w:tc>
        <w:tc>
          <w:tcPr>
            <w:tcW w:w="1093" w:type="dxa"/>
          </w:tcPr>
          <w:p w14:paraId="5EC5BB5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62B1BCF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57AB5C4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6400A02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070D027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192534B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436489B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B8EA5FF" w14:textId="77777777">
        <w:tc>
          <w:tcPr>
            <w:tcW w:w="817" w:type="dxa"/>
          </w:tcPr>
          <w:p w14:paraId="3C0AE01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0842F15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Р6-2М17</w:t>
            </w:r>
          </w:p>
        </w:tc>
        <w:tc>
          <w:tcPr>
            <w:tcW w:w="1093" w:type="dxa"/>
          </w:tcPr>
          <w:p w14:paraId="0B30E56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093" w:type="dxa"/>
          </w:tcPr>
          <w:p w14:paraId="6DDC871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1093" w:type="dxa"/>
          </w:tcPr>
          <w:p w14:paraId="40384B5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1093" w:type="dxa"/>
          </w:tcPr>
          <w:p w14:paraId="4AAE059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w:t>
            </w:r>
          </w:p>
        </w:tc>
        <w:tc>
          <w:tcPr>
            <w:tcW w:w="1093" w:type="dxa"/>
          </w:tcPr>
          <w:p w14:paraId="11186CC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71121E1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5F18D4E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56ACBAF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68844AC3" w14:textId="77777777">
        <w:tc>
          <w:tcPr>
            <w:tcW w:w="817" w:type="dxa"/>
          </w:tcPr>
          <w:p w14:paraId="6A830DE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0B9A18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Р6-2М34</w:t>
            </w:r>
          </w:p>
        </w:tc>
        <w:tc>
          <w:tcPr>
            <w:tcW w:w="1093" w:type="dxa"/>
          </w:tcPr>
          <w:p w14:paraId="2C76718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56ED94A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736C408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1AF54D6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4FA7E6C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774E13A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0954A49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0F3B143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45080A74" w14:textId="77777777">
        <w:tc>
          <w:tcPr>
            <w:tcW w:w="817" w:type="dxa"/>
          </w:tcPr>
          <w:p w14:paraId="36351C8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2E94C41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АНТ9-2М17</w:t>
            </w:r>
          </w:p>
        </w:tc>
        <w:tc>
          <w:tcPr>
            <w:tcW w:w="1093" w:type="dxa"/>
          </w:tcPr>
          <w:p w14:paraId="1C332D5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1093" w:type="dxa"/>
          </w:tcPr>
          <w:p w14:paraId="725E9ED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3301A30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60D94C6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0B547F4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43A3B6A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7AA3528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66A0E1E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1E6EA63E" w14:textId="77777777">
        <w:tc>
          <w:tcPr>
            <w:tcW w:w="817" w:type="dxa"/>
          </w:tcPr>
          <w:p w14:paraId="6085D74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09A1E35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АШ-М11</w:t>
            </w:r>
          </w:p>
        </w:tc>
        <w:tc>
          <w:tcPr>
            <w:tcW w:w="1093" w:type="dxa"/>
          </w:tcPr>
          <w:p w14:paraId="229C55A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w:t>
            </w:r>
          </w:p>
        </w:tc>
        <w:tc>
          <w:tcPr>
            <w:tcW w:w="1093" w:type="dxa"/>
          </w:tcPr>
          <w:p w14:paraId="628FC77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172</w:t>
            </w:r>
          </w:p>
        </w:tc>
        <w:tc>
          <w:tcPr>
            <w:tcW w:w="1093" w:type="dxa"/>
          </w:tcPr>
          <w:p w14:paraId="40E3A5C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98,3</w:t>
            </w:r>
          </w:p>
        </w:tc>
        <w:tc>
          <w:tcPr>
            <w:tcW w:w="1093" w:type="dxa"/>
          </w:tcPr>
          <w:p w14:paraId="785B87B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98,3</w:t>
            </w:r>
          </w:p>
        </w:tc>
        <w:tc>
          <w:tcPr>
            <w:tcW w:w="1093" w:type="dxa"/>
          </w:tcPr>
          <w:p w14:paraId="6A71D80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8600</w:t>
            </w:r>
          </w:p>
        </w:tc>
        <w:tc>
          <w:tcPr>
            <w:tcW w:w="1093" w:type="dxa"/>
          </w:tcPr>
          <w:p w14:paraId="2C78B9D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1093" w:type="dxa"/>
          </w:tcPr>
          <w:p w14:paraId="2E7E434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3CE7A9E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r>
      <w:tr w:rsidR="00F26F01" w:rsidRPr="00C33834" w14:paraId="3C3081CD" w14:textId="77777777">
        <w:tc>
          <w:tcPr>
            <w:tcW w:w="817" w:type="dxa"/>
          </w:tcPr>
          <w:p w14:paraId="15EC546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266E5F3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самолетов</w:t>
            </w:r>
          </w:p>
        </w:tc>
        <w:tc>
          <w:tcPr>
            <w:tcW w:w="1093" w:type="dxa"/>
          </w:tcPr>
          <w:p w14:paraId="73468CA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305</w:t>
            </w:r>
          </w:p>
        </w:tc>
        <w:tc>
          <w:tcPr>
            <w:tcW w:w="1093" w:type="dxa"/>
          </w:tcPr>
          <w:p w14:paraId="748DCE4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w:t>
            </w:r>
          </w:p>
        </w:tc>
        <w:tc>
          <w:tcPr>
            <w:tcW w:w="1093" w:type="dxa"/>
          </w:tcPr>
          <w:p w14:paraId="7F30940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49,1</w:t>
            </w:r>
          </w:p>
        </w:tc>
        <w:tc>
          <w:tcPr>
            <w:tcW w:w="1093" w:type="dxa"/>
          </w:tcPr>
          <w:p w14:paraId="05AB969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53,9</w:t>
            </w:r>
          </w:p>
        </w:tc>
        <w:tc>
          <w:tcPr>
            <w:tcW w:w="1093" w:type="dxa"/>
          </w:tcPr>
          <w:p w14:paraId="22BD657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2437</w:t>
            </w:r>
          </w:p>
        </w:tc>
        <w:tc>
          <w:tcPr>
            <w:tcW w:w="1093" w:type="dxa"/>
          </w:tcPr>
          <w:p w14:paraId="56EB5A8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1093" w:type="dxa"/>
          </w:tcPr>
          <w:p w14:paraId="1DFDD3E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1093" w:type="dxa"/>
          </w:tcPr>
          <w:p w14:paraId="2DB60D7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r>
      <w:tr w:rsidR="00F26F01" w:rsidRPr="00C33834" w14:paraId="5023F2C5" w14:textId="77777777">
        <w:tc>
          <w:tcPr>
            <w:tcW w:w="817" w:type="dxa"/>
          </w:tcPr>
          <w:p w14:paraId="2BF065F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1656" w:type="dxa"/>
          </w:tcPr>
          <w:p w14:paraId="4083D1E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w:t>
            </w:r>
          </w:p>
        </w:tc>
        <w:tc>
          <w:tcPr>
            <w:tcW w:w="1093" w:type="dxa"/>
          </w:tcPr>
          <w:p w14:paraId="1C184E5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1093" w:type="dxa"/>
          </w:tcPr>
          <w:p w14:paraId="6B82BED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11DF35E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3B2316E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4C32D37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54E8635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7238B16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03FB060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28D68B99" w14:textId="77777777">
        <w:tc>
          <w:tcPr>
            <w:tcW w:w="817" w:type="dxa"/>
          </w:tcPr>
          <w:p w14:paraId="0E25457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1656" w:type="dxa"/>
          </w:tcPr>
          <w:p w14:paraId="46E5934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И5-М22</w:t>
            </w:r>
          </w:p>
        </w:tc>
        <w:tc>
          <w:tcPr>
            <w:tcW w:w="1093" w:type="dxa"/>
          </w:tcPr>
          <w:p w14:paraId="70510B5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220</w:t>
            </w:r>
          </w:p>
        </w:tc>
        <w:tc>
          <w:tcPr>
            <w:tcW w:w="1093" w:type="dxa"/>
          </w:tcPr>
          <w:p w14:paraId="702C4FE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w:t>
            </w:r>
          </w:p>
        </w:tc>
        <w:tc>
          <w:tcPr>
            <w:tcW w:w="1093" w:type="dxa"/>
          </w:tcPr>
          <w:p w14:paraId="6F017E1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c>
          <w:tcPr>
            <w:tcW w:w="1093" w:type="dxa"/>
          </w:tcPr>
          <w:p w14:paraId="2750503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81,8</w:t>
            </w:r>
          </w:p>
        </w:tc>
        <w:tc>
          <w:tcPr>
            <w:tcW w:w="1093" w:type="dxa"/>
          </w:tcPr>
          <w:p w14:paraId="4F21350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47FD17F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538DAD0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1093" w:type="dxa"/>
          </w:tcPr>
          <w:p w14:paraId="7D3301B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w:t>
            </w:r>
          </w:p>
        </w:tc>
      </w:tr>
      <w:tr w:rsidR="00F26F01" w:rsidRPr="00C33834" w14:paraId="1F981DAA" w14:textId="77777777">
        <w:tc>
          <w:tcPr>
            <w:tcW w:w="817" w:type="dxa"/>
          </w:tcPr>
          <w:p w14:paraId="49B641A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ХАЗОС</w:t>
            </w:r>
          </w:p>
        </w:tc>
        <w:tc>
          <w:tcPr>
            <w:tcW w:w="1656" w:type="dxa"/>
          </w:tcPr>
          <w:p w14:paraId="7000772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К5-М22</w:t>
            </w:r>
          </w:p>
        </w:tc>
        <w:tc>
          <w:tcPr>
            <w:tcW w:w="1093" w:type="dxa"/>
          </w:tcPr>
          <w:p w14:paraId="5CE91AA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w:t>
            </w:r>
          </w:p>
        </w:tc>
        <w:tc>
          <w:tcPr>
            <w:tcW w:w="1093" w:type="dxa"/>
          </w:tcPr>
          <w:p w14:paraId="75B0EEC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w:t>
            </w:r>
          </w:p>
        </w:tc>
        <w:tc>
          <w:tcPr>
            <w:tcW w:w="1093" w:type="dxa"/>
          </w:tcPr>
          <w:p w14:paraId="1FC6492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w:t>
            </w:r>
          </w:p>
        </w:tc>
        <w:tc>
          <w:tcPr>
            <w:tcW w:w="1093" w:type="dxa"/>
          </w:tcPr>
          <w:p w14:paraId="14F026D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76,6</w:t>
            </w:r>
          </w:p>
        </w:tc>
        <w:tc>
          <w:tcPr>
            <w:tcW w:w="1093" w:type="dxa"/>
          </w:tcPr>
          <w:p w14:paraId="5C0FEF1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92,1</w:t>
            </w:r>
          </w:p>
        </w:tc>
        <w:tc>
          <w:tcPr>
            <w:tcW w:w="1093" w:type="dxa"/>
          </w:tcPr>
          <w:p w14:paraId="6A54E48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w:t>
            </w:r>
          </w:p>
        </w:tc>
        <w:tc>
          <w:tcPr>
            <w:tcW w:w="1093" w:type="dxa"/>
          </w:tcPr>
          <w:p w14:paraId="55D0FE3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1093" w:type="dxa"/>
          </w:tcPr>
          <w:p w14:paraId="4DB4792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r>
      <w:tr w:rsidR="00F26F01" w:rsidRPr="00C33834" w14:paraId="0E1B2AE3" w14:textId="77777777">
        <w:tc>
          <w:tcPr>
            <w:tcW w:w="817" w:type="dxa"/>
          </w:tcPr>
          <w:p w14:paraId="29B6D67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w:t>
            </w:r>
          </w:p>
        </w:tc>
        <w:tc>
          <w:tcPr>
            <w:tcW w:w="1656" w:type="dxa"/>
          </w:tcPr>
          <w:p w14:paraId="664DF5D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w:t>
            </w:r>
          </w:p>
        </w:tc>
        <w:tc>
          <w:tcPr>
            <w:tcW w:w="1093" w:type="dxa"/>
          </w:tcPr>
          <w:p w14:paraId="57DDCAF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c>
          <w:tcPr>
            <w:tcW w:w="1093" w:type="dxa"/>
          </w:tcPr>
          <w:p w14:paraId="72C061F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1093" w:type="dxa"/>
          </w:tcPr>
          <w:p w14:paraId="597AFA5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c>
          <w:tcPr>
            <w:tcW w:w="1093" w:type="dxa"/>
          </w:tcPr>
          <w:p w14:paraId="5DE31C6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104,3</w:t>
            </w:r>
          </w:p>
        </w:tc>
        <w:tc>
          <w:tcPr>
            <w:tcW w:w="1093" w:type="dxa"/>
          </w:tcPr>
          <w:p w14:paraId="6CC5366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64C4832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93" w:type="dxa"/>
          </w:tcPr>
          <w:p w14:paraId="61E84D8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093" w:type="dxa"/>
          </w:tcPr>
          <w:p w14:paraId="27F21BA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r>
      <w:tr w:rsidR="00F26F01" w:rsidRPr="00C33834" w14:paraId="23A2B2D1" w14:textId="77777777">
        <w:tc>
          <w:tcPr>
            <w:tcW w:w="817" w:type="dxa"/>
            <w:tcBorders>
              <w:bottom w:val="single" w:sz="12" w:space="0" w:color="auto"/>
            </w:tcBorders>
          </w:tcPr>
          <w:p w14:paraId="434904C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Borders>
              <w:bottom w:val="single" w:sz="12" w:space="0" w:color="auto"/>
            </w:tcBorders>
          </w:tcPr>
          <w:p w14:paraId="634A317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самолетов</w:t>
            </w:r>
          </w:p>
        </w:tc>
        <w:tc>
          <w:tcPr>
            <w:tcW w:w="1093" w:type="dxa"/>
            <w:tcBorders>
              <w:bottom w:val="single" w:sz="12" w:space="0" w:color="auto"/>
            </w:tcBorders>
          </w:tcPr>
          <w:p w14:paraId="3058B23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3270</w:t>
            </w:r>
          </w:p>
        </w:tc>
        <w:tc>
          <w:tcPr>
            <w:tcW w:w="1093" w:type="dxa"/>
            <w:tcBorders>
              <w:bottom w:val="single" w:sz="12" w:space="0" w:color="auto"/>
            </w:tcBorders>
          </w:tcPr>
          <w:p w14:paraId="55BAD2B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2631</w:t>
            </w:r>
          </w:p>
        </w:tc>
        <w:tc>
          <w:tcPr>
            <w:tcW w:w="1093" w:type="dxa"/>
            <w:tcBorders>
              <w:bottom w:val="single" w:sz="12" w:space="0" w:color="auto"/>
            </w:tcBorders>
          </w:tcPr>
          <w:p w14:paraId="7B324FF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58,5</w:t>
            </w:r>
          </w:p>
        </w:tc>
        <w:tc>
          <w:tcPr>
            <w:tcW w:w="1093" w:type="dxa"/>
            <w:tcBorders>
              <w:bottom w:val="single" w:sz="12" w:space="0" w:color="auto"/>
            </w:tcBorders>
          </w:tcPr>
          <w:p w14:paraId="54323A8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80,4</w:t>
            </w:r>
          </w:p>
        </w:tc>
        <w:tc>
          <w:tcPr>
            <w:tcW w:w="1093" w:type="dxa"/>
            <w:tcBorders>
              <w:bottom w:val="single" w:sz="12" w:space="0" w:color="auto"/>
            </w:tcBorders>
          </w:tcPr>
          <w:p w14:paraId="25FD174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151,5</w:t>
            </w:r>
          </w:p>
        </w:tc>
        <w:tc>
          <w:tcPr>
            <w:tcW w:w="1093" w:type="dxa"/>
            <w:tcBorders>
              <w:bottom w:val="single" w:sz="12" w:space="0" w:color="auto"/>
            </w:tcBorders>
          </w:tcPr>
          <w:p w14:paraId="7971DEE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1736</w:t>
            </w:r>
          </w:p>
        </w:tc>
        <w:tc>
          <w:tcPr>
            <w:tcW w:w="1093" w:type="dxa"/>
            <w:tcBorders>
              <w:bottom w:val="single" w:sz="12" w:space="0" w:color="auto"/>
            </w:tcBorders>
          </w:tcPr>
          <w:p w14:paraId="2080DF9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w:t>
            </w:r>
          </w:p>
        </w:tc>
        <w:tc>
          <w:tcPr>
            <w:tcW w:w="1093" w:type="dxa"/>
            <w:tcBorders>
              <w:bottom w:val="single" w:sz="12" w:space="0" w:color="auto"/>
            </w:tcBorders>
          </w:tcPr>
          <w:p w14:paraId="0B0D989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167</w:t>
            </w:r>
          </w:p>
        </w:tc>
      </w:tr>
    </w:tbl>
    <w:p w14:paraId="33B2C1F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(4149,40).</w:t>
      </w:r>
    </w:p>
    <w:p w14:paraId="6BC8B40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ПЛАНА 9-ти МЕСЯЦЕВ 1933 ГОДА ПО МОТОРАМ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701"/>
        <w:gridCol w:w="1123"/>
        <w:gridCol w:w="1123"/>
        <w:gridCol w:w="1123"/>
        <w:gridCol w:w="1123"/>
        <w:gridCol w:w="1123"/>
        <w:gridCol w:w="1123"/>
        <w:gridCol w:w="1123"/>
        <w:gridCol w:w="1123"/>
      </w:tblGrid>
      <w:tr w:rsidR="00F26F01" w:rsidRPr="00C33834" w14:paraId="5AB34FE3" w14:textId="77777777">
        <w:tc>
          <w:tcPr>
            <w:tcW w:w="534" w:type="dxa"/>
            <w:tcBorders>
              <w:top w:val="single" w:sz="12" w:space="0" w:color="auto"/>
            </w:tcBorders>
          </w:tcPr>
          <w:p w14:paraId="0DAEE4A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п/п</w:t>
            </w:r>
          </w:p>
        </w:tc>
        <w:tc>
          <w:tcPr>
            <w:tcW w:w="1701" w:type="dxa"/>
            <w:tcBorders>
              <w:top w:val="single" w:sz="12" w:space="0" w:color="auto"/>
            </w:tcBorders>
          </w:tcPr>
          <w:p w14:paraId="0985D2F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 мотора</w:t>
            </w:r>
          </w:p>
        </w:tc>
        <w:tc>
          <w:tcPr>
            <w:tcW w:w="1123" w:type="dxa"/>
            <w:tcBorders>
              <w:top w:val="single" w:sz="12" w:space="0" w:color="auto"/>
            </w:tcBorders>
          </w:tcPr>
          <w:p w14:paraId="6DFB762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на 1933</w:t>
            </w:r>
          </w:p>
        </w:tc>
        <w:tc>
          <w:tcPr>
            <w:tcW w:w="7861" w:type="dxa"/>
            <w:gridSpan w:val="7"/>
            <w:tcBorders>
              <w:top w:val="single" w:sz="12" w:space="0" w:color="auto"/>
            </w:tcBorders>
          </w:tcPr>
          <w:p w14:paraId="62F1360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w:t>
            </w:r>
          </w:p>
        </w:tc>
      </w:tr>
      <w:tr w:rsidR="00F26F01" w:rsidRPr="00C33834" w14:paraId="1EBDE299" w14:textId="77777777">
        <w:tc>
          <w:tcPr>
            <w:tcW w:w="534" w:type="dxa"/>
          </w:tcPr>
          <w:p w14:paraId="2C0C960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9E446D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457F483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3F02BEE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кв.</w:t>
            </w:r>
          </w:p>
        </w:tc>
        <w:tc>
          <w:tcPr>
            <w:tcW w:w="1123" w:type="dxa"/>
          </w:tcPr>
          <w:p w14:paraId="6762519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кв.</w:t>
            </w:r>
          </w:p>
        </w:tc>
        <w:tc>
          <w:tcPr>
            <w:tcW w:w="5615" w:type="dxa"/>
            <w:gridSpan w:val="5"/>
          </w:tcPr>
          <w:p w14:paraId="41E2395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 квартал</w:t>
            </w:r>
          </w:p>
        </w:tc>
      </w:tr>
      <w:tr w:rsidR="00F26F01" w:rsidRPr="00C33834" w14:paraId="21766ED4" w14:textId="77777777">
        <w:tc>
          <w:tcPr>
            <w:tcW w:w="534" w:type="dxa"/>
          </w:tcPr>
          <w:p w14:paraId="75AAB8F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18683B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1078E9D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09B094F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564F546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3C6574E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w:t>
            </w:r>
          </w:p>
        </w:tc>
        <w:tc>
          <w:tcPr>
            <w:tcW w:w="1123" w:type="dxa"/>
          </w:tcPr>
          <w:p w14:paraId="1B43272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всего</w:t>
            </w:r>
          </w:p>
        </w:tc>
        <w:tc>
          <w:tcPr>
            <w:tcW w:w="3369" w:type="dxa"/>
            <w:gridSpan w:val="3"/>
          </w:tcPr>
          <w:p w14:paraId="7A40C29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том числе по месяцам</w:t>
            </w:r>
          </w:p>
        </w:tc>
      </w:tr>
      <w:tr w:rsidR="00F26F01" w:rsidRPr="00C33834" w14:paraId="391FE33B" w14:textId="77777777">
        <w:tc>
          <w:tcPr>
            <w:tcW w:w="534" w:type="dxa"/>
          </w:tcPr>
          <w:p w14:paraId="57868F9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040304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1989277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3DBC4DA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7BFD0EA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36284C4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4303F6D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0A20AFC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июль</w:t>
            </w:r>
          </w:p>
        </w:tc>
        <w:tc>
          <w:tcPr>
            <w:tcW w:w="1123" w:type="dxa"/>
          </w:tcPr>
          <w:p w14:paraId="2303544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август</w:t>
            </w:r>
          </w:p>
        </w:tc>
        <w:tc>
          <w:tcPr>
            <w:tcW w:w="1123" w:type="dxa"/>
          </w:tcPr>
          <w:p w14:paraId="51C6225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сентябрь</w:t>
            </w:r>
          </w:p>
        </w:tc>
      </w:tr>
      <w:tr w:rsidR="00F26F01" w:rsidRPr="00C33834" w14:paraId="735702B9" w14:textId="77777777">
        <w:tc>
          <w:tcPr>
            <w:tcW w:w="534" w:type="dxa"/>
          </w:tcPr>
          <w:p w14:paraId="175D2BC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w:t>
            </w:r>
          </w:p>
        </w:tc>
        <w:tc>
          <w:tcPr>
            <w:tcW w:w="1701" w:type="dxa"/>
          </w:tcPr>
          <w:p w14:paraId="6C65F10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123" w:type="dxa"/>
          </w:tcPr>
          <w:p w14:paraId="1DDC4AB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tc>
        <w:tc>
          <w:tcPr>
            <w:tcW w:w="1123" w:type="dxa"/>
          </w:tcPr>
          <w:p w14:paraId="272A6E8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3" w:type="dxa"/>
          </w:tcPr>
          <w:p w14:paraId="21DDE43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3" w:type="dxa"/>
          </w:tcPr>
          <w:p w14:paraId="5887EE6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1123" w:type="dxa"/>
          </w:tcPr>
          <w:p w14:paraId="71D21E5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3" w:type="dxa"/>
          </w:tcPr>
          <w:p w14:paraId="24E2D48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3" w:type="dxa"/>
          </w:tcPr>
          <w:p w14:paraId="2D00590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3" w:type="dxa"/>
          </w:tcPr>
          <w:p w14:paraId="0163F91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7DAE4817" w14:textId="77777777">
        <w:tc>
          <w:tcPr>
            <w:tcW w:w="534" w:type="dxa"/>
          </w:tcPr>
          <w:p w14:paraId="6C10759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1701" w:type="dxa"/>
          </w:tcPr>
          <w:p w14:paraId="4E7BBC9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1123" w:type="dxa"/>
          </w:tcPr>
          <w:p w14:paraId="7BFF5A4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962</w:t>
            </w:r>
          </w:p>
        </w:tc>
        <w:tc>
          <w:tcPr>
            <w:tcW w:w="1123" w:type="dxa"/>
          </w:tcPr>
          <w:p w14:paraId="0E382D9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w:t>
            </w:r>
          </w:p>
        </w:tc>
        <w:tc>
          <w:tcPr>
            <w:tcW w:w="1123" w:type="dxa"/>
          </w:tcPr>
          <w:p w14:paraId="1C38D53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166</w:t>
            </w:r>
          </w:p>
        </w:tc>
        <w:tc>
          <w:tcPr>
            <w:tcW w:w="1123" w:type="dxa"/>
          </w:tcPr>
          <w:p w14:paraId="4B595C8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325</w:t>
            </w:r>
          </w:p>
        </w:tc>
        <w:tc>
          <w:tcPr>
            <w:tcW w:w="1123" w:type="dxa"/>
          </w:tcPr>
          <w:p w14:paraId="3E3F78F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166</w:t>
            </w:r>
          </w:p>
        </w:tc>
        <w:tc>
          <w:tcPr>
            <w:tcW w:w="1123" w:type="dxa"/>
          </w:tcPr>
          <w:p w14:paraId="240F7D7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w:t>
            </w:r>
          </w:p>
        </w:tc>
        <w:tc>
          <w:tcPr>
            <w:tcW w:w="1123" w:type="dxa"/>
          </w:tcPr>
          <w:p w14:paraId="014DBFE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126</w:t>
            </w:r>
          </w:p>
        </w:tc>
        <w:tc>
          <w:tcPr>
            <w:tcW w:w="1123" w:type="dxa"/>
          </w:tcPr>
          <w:p w14:paraId="1EC81A8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r>
      <w:tr w:rsidR="00F26F01" w:rsidRPr="00C33834" w14:paraId="767A66AB" w14:textId="77777777">
        <w:tc>
          <w:tcPr>
            <w:tcW w:w="534" w:type="dxa"/>
          </w:tcPr>
          <w:p w14:paraId="221095A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149EA2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Разные</w:t>
            </w:r>
          </w:p>
        </w:tc>
        <w:tc>
          <w:tcPr>
            <w:tcW w:w="1123" w:type="dxa"/>
          </w:tcPr>
          <w:p w14:paraId="3BA7D24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3" w:type="dxa"/>
          </w:tcPr>
          <w:p w14:paraId="3039A83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3" w:type="dxa"/>
          </w:tcPr>
          <w:p w14:paraId="2EF6D39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3" w:type="dxa"/>
          </w:tcPr>
          <w:p w14:paraId="4E21307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3" w:type="dxa"/>
          </w:tcPr>
          <w:p w14:paraId="6A4DE7F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3" w:type="dxa"/>
          </w:tcPr>
          <w:p w14:paraId="49C84C7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3" w:type="dxa"/>
          </w:tcPr>
          <w:p w14:paraId="242B30E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3" w:type="dxa"/>
          </w:tcPr>
          <w:p w14:paraId="27FED69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E95CB53" w14:textId="77777777">
        <w:tc>
          <w:tcPr>
            <w:tcW w:w="534" w:type="dxa"/>
          </w:tcPr>
          <w:p w14:paraId="50C1A0D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F440F2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1123" w:type="dxa"/>
          </w:tcPr>
          <w:p w14:paraId="61071E9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962</w:t>
            </w:r>
          </w:p>
        </w:tc>
        <w:tc>
          <w:tcPr>
            <w:tcW w:w="1123" w:type="dxa"/>
          </w:tcPr>
          <w:p w14:paraId="692D809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w:t>
            </w:r>
          </w:p>
        </w:tc>
        <w:tc>
          <w:tcPr>
            <w:tcW w:w="1123" w:type="dxa"/>
          </w:tcPr>
          <w:p w14:paraId="11ABE73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166</w:t>
            </w:r>
          </w:p>
        </w:tc>
        <w:tc>
          <w:tcPr>
            <w:tcW w:w="1123" w:type="dxa"/>
          </w:tcPr>
          <w:p w14:paraId="0AD3180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325</w:t>
            </w:r>
          </w:p>
        </w:tc>
        <w:tc>
          <w:tcPr>
            <w:tcW w:w="1123" w:type="dxa"/>
          </w:tcPr>
          <w:p w14:paraId="5F4EA57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166</w:t>
            </w:r>
          </w:p>
        </w:tc>
        <w:tc>
          <w:tcPr>
            <w:tcW w:w="1123" w:type="dxa"/>
          </w:tcPr>
          <w:p w14:paraId="672E413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w:t>
            </w:r>
          </w:p>
        </w:tc>
        <w:tc>
          <w:tcPr>
            <w:tcW w:w="1123" w:type="dxa"/>
          </w:tcPr>
          <w:p w14:paraId="748887E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128</w:t>
            </w:r>
          </w:p>
        </w:tc>
        <w:tc>
          <w:tcPr>
            <w:tcW w:w="1123" w:type="dxa"/>
          </w:tcPr>
          <w:p w14:paraId="34D3DB6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r>
      <w:tr w:rsidR="00F26F01" w:rsidRPr="00C33834" w14:paraId="7E934F2A" w14:textId="77777777">
        <w:tc>
          <w:tcPr>
            <w:tcW w:w="534" w:type="dxa"/>
          </w:tcPr>
          <w:p w14:paraId="13A60A1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w:t>
            </w:r>
          </w:p>
        </w:tc>
        <w:tc>
          <w:tcPr>
            <w:tcW w:w="1701" w:type="dxa"/>
          </w:tcPr>
          <w:p w14:paraId="63DEE80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1123" w:type="dxa"/>
          </w:tcPr>
          <w:p w14:paraId="797756A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3800</w:t>
            </w:r>
          </w:p>
        </w:tc>
        <w:tc>
          <w:tcPr>
            <w:tcW w:w="1123" w:type="dxa"/>
          </w:tcPr>
          <w:p w14:paraId="72448B9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567</w:t>
            </w:r>
          </w:p>
        </w:tc>
        <w:tc>
          <w:tcPr>
            <w:tcW w:w="1123" w:type="dxa"/>
          </w:tcPr>
          <w:p w14:paraId="4AAC76A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885</w:t>
            </w:r>
          </w:p>
        </w:tc>
        <w:tc>
          <w:tcPr>
            <w:tcW w:w="1123" w:type="dxa"/>
          </w:tcPr>
          <w:p w14:paraId="55519BB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1120</w:t>
            </w:r>
          </w:p>
        </w:tc>
        <w:tc>
          <w:tcPr>
            <w:tcW w:w="1123" w:type="dxa"/>
          </w:tcPr>
          <w:p w14:paraId="36CED52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1153</w:t>
            </w:r>
          </w:p>
        </w:tc>
        <w:tc>
          <w:tcPr>
            <w:tcW w:w="1123" w:type="dxa"/>
          </w:tcPr>
          <w:p w14:paraId="37D3282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883</w:t>
            </w:r>
          </w:p>
        </w:tc>
        <w:tc>
          <w:tcPr>
            <w:tcW w:w="1123" w:type="dxa"/>
          </w:tcPr>
          <w:p w14:paraId="3AB95AB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370</w:t>
            </w:r>
          </w:p>
        </w:tc>
        <w:tc>
          <w:tcPr>
            <w:tcW w:w="1123" w:type="dxa"/>
          </w:tcPr>
          <w:p w14:paraId="73D99E1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r>
      <w:tr w:rsidR="00F26F01" w:rsidRPr="00C33834" w14:paraId="56490F7F" w14:textId="77777777">
        <w:tc>
          <w:tcPr>
            <w:tcW w:w="534" w:type="dxa"/>
          </w:tcPr>
          <w:p w14:paraId="74510B0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1701" w:type="dxa"/>
          </w:tcPr>
          <w:p w14:paraId="6421B0E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w:t>
            </w:r>
          </w:p>
        </w:tc>
        <w:tc>
          <w:tcPr>
            <w:tcW w:w="1123" w:type="dxa"/>
          </w:tcPr>
          <w:p w14:paraId="7B8BD31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2155</w:t>
            </w:r>
          </w:p>
        </w:tc>
        <w:tc>
          <w:tcPr>
            <w:tcW w:w="1123" w:type="dxa"/>
          </w:tcPr>
          <w:p w14:paraId="3E2E4FB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475</w:t>
            </w:r>
          </w:p>
        </w:tc>
        <w:tc>
          <w:tcPr>
            <w:tcW w:w="1123" w:type="dxa"/>
          </w:tcPr>
          <w:p w14:paraId="11B5974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581</w:t>
            </w:r>
          </w:p>
        </w:tc>
        <w:tc>
          <w:tcPr>
            <w:tcW w:w="1123" w:type="dxa"/>
          </w:tcPr>
          <w:p w14:paraId="7E78FFD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715</w:t>
            </w:r>
          </w:p>
        </w:tc>
        <w:tc>
          <w:tcPr>
            <w:tcW w:w="1123" w:type="dxa"/>
          </w:tcPr>
          <w:p w14:paraId="02FBC9C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437</w:t>
            </w:r>
          </w:p>
        </w:tc>
        <w:tc>
          <w:tcPr>
            <w:tcW w:w="1123" w:type="dxa"/>
          </w:tcPr>
          <w:p w14:paraId="107895B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w:t>
            </w:r>
          </w:p>
        </w:tc>
        <w:tc>
          <w:tcPr>
            <w:tcW w:w="1123" w:type="dxa"/>
          </w:tcPr>
          <w:p w14:paraId="7D14265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178</w:t>
            </w:r>
          </w:p>
        </w:tc>
        <w:tc>
          <w:tcPr>
            <w:tcW w:w="1123" w:type="dxa"/>
          </w:tcPr>
          <w:p w14:paraId="09106D9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r>
      <w:tr w:rsidR="00F26F01" w:rsidRPr="00C33834" w14:paraId="1BA99857" w14:textId="77777777">
        <w:tc>
          <w:tcPr>
            <w:tcW w:w="534" w:type="dxa"/>
          </w:tcPr>
          <w:p w14:paraId="4BE46C9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152643C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123" w:type="dxa"/>
          </w:tcPr>
          <w:p w14:paraId="780222B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520</w:t>
            </w:r>
          </w:p>
        </w:tc>
        <w:tc>
          <w:tcPr>
            <w:tcW w:w="1123" w:type="dxa"/>
          </w:tcPr>
          <w:p w14:paraId="04FAE45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w:t>
            </w:r>
          </w:p>
        </w:tc>
        <w:tc>
          <w:tcPr>
            <w:tcW w:w="1123" w:type="dxa"/>
          </w:tcPr>
          <w:p w14:paraId="2817461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103</w:t>
            </w:r>
          </w:p>
        </w:tc>
        <w:tc>
          <w:tcPr>
            <w:tcW w:w="1123" w:type="dxa"/>
          </w:tcPr>
          <w:p w14:paraId="1FE96BD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146</w:t>
            </w:r>
          </w:p>
        </w:tc>
        <w:tc>
          <w:tcPr>
            <w:tcW w:w="1123" w:type="dxa"/>
          </w:tcPr>
          <w:p w14:paraId="58DB4F3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83</w:t>
            </w:r>
          </w:p>
        </w:tc>
        <w:tc>
          <w:tcPr>
            <w:tcW w:w="1123" w:type="dxa"/>
          </w:tcPr>
          <w:p w14:paraId="707A62E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1123" w:type="dxa"/>
          </w:tcPr>
          <w:p w14:paraId="2230BF5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w:t>
            </w:r>
          </w:p>
        </w:tc>
        <w:tc>
          <w:tcPr>
            <w:tcW w:w="1123" w:type="dxa"/>
          </w:tcPr>
          <w:p w14:paraId="43291F7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w:t>
            </w:r>
          </w:p>
        </w:tc>
      </w:tr>
      <w:tr w:rsidR="00F26F01" w:rsidRPr="00C33834" w14:paraId="6ACAA0F8" w14:textId="77777777">
        <w:tc>
          <w:tcPr>
            <w:tcW w:w="534" w:type="dxa"/>
          </w:tcPr>
          <w:p w14:paraId="5445EF3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19F7C26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1123" w:type="dxa"/>
          </w:tcPr>
          <w:p w14:paraId="50E937E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2675</w:t>
            </w:r>
          </w:p>
        </w:tc>
        <w:tc>
          <w:tcPr>
            <w:tcW w:w="1123" w:type="dxa"/>
          </w:tcPr>
          <w:p w14:paraId="1E11FD3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570</w:t>
            </w:r>
          </w:p>
        </w:tc>
        <w:tc>
          <w:tcPr>
            <w:tcW w:w="1123" w:type="dxa"/>
          </w:tcPr>
          <w:p w14:paraId="332B391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884</w:t>
            </w:r>
          </w:p>
        </w:tc>
        <w:tc>
          <w:tcPr>
            <w:tcW w:w="1123" w:type="dxa"/>
          </w:tcPr>
          <w:p w14:paraId="1C38E2B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861</w:t>
            </w:r>
          </w:p>
        </w:tc>
        <w:tc>
          <w:tcPr>
            <w:tcW w:w="1123" w:type="dxa"/>
          </w:tcPr>
          <w:p w14:paraId="4D5F7B4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520</w:t>
            </w:r>
          </w:p>
        </w:tc>
        <w:tc>
          <w:tcPr>
            <w:tcW w:w="1123" w:type="dxa"/>
          </w:tcPr>
          <w:p w14:paraId="6308132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w:t>
            </w:r>
          </w:p>
        </w:tc>
        <w:tc>
          <w:tcPr>
            <w:tcW w:w="1123" w:type="dxa"/>
          </w:tcPr>
          <w:p w14:paraId="47D29A6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211</w:t>
            </w:r>
          </w:p>
        </w:tc>
        <w:tc>
          <w:tcPr>
            <w:tcW w:w="1123" w:type="dxa"/>
          </w:tcPr>
          <w:p w14:paraId="757A2AD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267</w:t>
            </w:r>
          </w:p>
        </w:tc>
      </w:tr>
      <w:tr w:rsidR="00F26F01" w:rsidRPr="00C33834" w14:paraId="1BCD0D8F" w14:textId="77777777">
        <w:tc>
          <w:tcPr>
            <w:tcW w:w="534" w:type="dxa"/>
            <w:tcBorders>
              <w:bottom w:val="single" w:sz="12" w:space="0" w:color="auto"/>
            </w:tcBorders>
          </w:tcPr>
          <w:p w14:paraId="7A8E37B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bottom w:val="single" w:sz="12" w:space="0" w:color="auto"/>
            </w:tcBorders>
          </w:tcPr>
          <w:p w14:paraId="3CFC376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1123" w:type="dxa"/>
            <w:tcBorders>
              <w:bottom w:val="single" w:sz="12" w:space="0" w:color="auto"/>
            </w:tcBorders>
          </w:tcPr>
          <w:p w14:paraId="32E7499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7472</w:t>
            </w:r>
          </w:p>
        </w:tc>
        <w:tc>
          <w:tcPr>
            <w:tcW w:w="1123" w:type="dxa"/>
            <w:tcBorders>
              <w:bottom w:val="single" w:sz="12" w:space="0" w:color="auto"/>
            </w:tcBorders>
          </w:tcPr>
          <w:p w14:paraId="6DFFA68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1243</w:t>
            </w:r>
          </w:p>
        </w:tc>
        <w:tc>
          <w:tcPr>
            <w:tcW w:w="1123" w:type="dxa"/>
            <w:tcBorders>
              <w:bottom w:val="single" w:sz="12" w:space="0" w:color="auto"/>
            </w:tcBorders>
          </w:tcPr>
          <w:p w14:paraId="03A5A15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1735</w:t>
            </w:r>
          </w:p>
        </w:tc>
        <w:tc>
          <w:tcPr>
            <w:tcW w:w="1123" w:type="dxa"/>
            <w:tcBorders>
              <w:bottom w:val="single" w:sz="12" w:space="0" w:color="auto"/>
            </w:tcBorders>
          </w:tcPr>
          <w:p w14:paraId="042AE43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2314</w:t>
            </w:r>
          </w:p>
        </w:tc>
        <w:tc>
          <w:tcPr>
            <w:tcW w:w="1123" w:type="dxa"/>
            <w:tcBorders>
              <w:bottom w:val="single" w:sz="12" w:space="0" w:color="auto"/>
            </w:tcBorders>
          </w:tcPr>
          <w:p w14:paraId="7C81DD8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1859</w:t>
            </w:r>
          </w:p>
        </w:tc>
        <w:tc>
          <w:tcPr>
            <w:tcW w:w="1123" w:type="dxa"/>
            <w:tcBorders>
              <w:bottom w:val="single" w:sz="12" w:space="0" w:color="auto"/>
            </w:tcBorders>
          </w:tcPr>
          <w:p w14:paraId="1D1BA1A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486</w:t>
            </w:r>
          </w:p>
        </w:tc>
        <w:tc>
          <w:tcPr>
            <w:tcW w:w="1123" w:type="dxa"/>
            <w:tcBorders>
              <w:bottom w:val="single" w:sz="12" w:space="0" w:color="auto"/>
            </w:tcBorders>
          </w:tcPr>
          <w:p w14:paraId="4815BDB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709</w:t>
            </w:r>
          </w:p>
        </w:tc>
        <w:tc>
          <w:tcPr>
            <w:tcW w:w="1123" w:type="dxa"/>
            <w:tcBorders>
              <w:bottom w:val="single" w:sz="12" w:space="0" w:color="auto"/>
            </w:tcBorders>
          </w:tcPr>
          <w:p w14:paraId="051BEFD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664</w:t>
            </w:r>
          </w:p>
        </w:tc>
      </w:tr>
    </w:tbl>
    <w:p w14:paraId="248DE37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(4149,40).</w:t>
      </w:r>
    </w:p>
    <w:p w14:paraId="725D299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ПЛАНА 9-ти МЕСЯЦЕВ 1933 ГОДА ПО МОТОРАМ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701"/>
        <w:gridCol w:w="1123"/>
        <w:gridCol w:w="1123"/>
        <w:gridCol w:w="1123"/>
        <w:gridCol w:w="1123"/>
        <w:gridCol w:w="1123"/>
        <w:gridCol w:w="905"/>
        <w:gridCol w:w="1232"/>
        <w:gridCol w:w="1232"/>
      </w:tblGrid>
      <w:tr w:rsidR="00F26F01" w:rsidRPr="00C33834" w14:paraId="59C815B1" w14:textId="77777777">
        <w:tc>
          <w:tcPr>
            <w:tcW w:w="534" w:type="dxa"/>
            <w:tcBorders>
              <w:top w:val="single" w:sz="12" w:space="0" w:color="auto"/>
            </w:tcBorders>
          </w:tcPr>
          <w:p w14:paraId="7B12923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п/п</w:t>
            </w:r>
          </w:p>
        </w:tc>
        <w:tc>
          <w:tcPr>
            <w:tcW w:w="1701" w:type="dxa"/>
            <w:tcBorders>
              <w:top w:val="single" w:sz="12" w:space="0" w:color="auto"/>
            </w:tcBorders>
          </w:tcPr>
          <w:p w14:paraId="1280906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 мотора</w:t>
            </w:r>
          </w:p>
        </w:tc>
        <w:tc>
          <w:tcPr>
            <w:tcW w:w="1123" w:type="dxa"/>
            <w:tcBorders>
              <w:top w:val="single" w:sz="12" w:space="0" w:color="auto"/>
            </w:tcBorders>
          </w:tcPr>
          <w:p w14:paraId="6931082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на 9 месяцев</w:t>
            </w:r>
          </w:p>
        </w:tc>
        <w:tc>
          <w:tcPr>
            <w:tcW w:w="4492" w:type="dxa"/>
            <w:gridSpan w:val="4"/>
            <w:tcBorders>
              <w:top w:val="single" w:sz="12" w:space="0" w:color="auto"/>
            </w:tcBorders>
          </w:tcPr>
          <w:p w14:paraId="19128B4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w:t>
            </w:r>
          </w:p>
        </w:tc>
        <w:tc>
          <w:tcPr>
            <w:tcW w:w="905" w:type="dxa"/>
            <w:tcBorders>
              <w:top w:val="single" w:sz="12" w:space="0" w:color="auto"/>
            </w:tcBorders>
          </w:tcPr>
          <w:p w14:paraId="7774C9D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Сдано за 9 мес. 1932</w:t>
            </w:r>
          </w:p>
        </w:tc>
        <w:tc>
          <w:tcPr>
            <w:tcW w:w="2464" w:type="dxa"/>
            <w:gridSpan w:val="2"/>
            <w:tcBorders>
              <w:top w:val="single" w:sz="12" w:space="0" w:color="auto"/>
            </w:tcBorders>
          </w:tcPr>
          <w:p w14:paraId="567175F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Остаток на 1 октября</w:t>
            </w:r>
          </w:p>
        </w:tc>
      </w:tr>
      <w:tr w:rsidR="00F26F01" w:rsidRPr="00C33834" w14:paraId="35DFEBE5" w14:textId="77777777">
        <w:tc>
          <w:tcPr>
            <w:tcW w:w="534" w:type="dxa"/>
          </w:tcPr>
          <w:p w14:paraId="6BF51CA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558844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1FD7D41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35F03B9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w:t>
            </w:r>
          </w:p>
        </w:tc>
        <w:tc>
          <w:tcPr>
            <w:tcW w:w="3369" w:type="dxa"/>
            <w:gridSpan w:val="3"/>
          </w:tcPr>
          <w:p w14:paraId="5C2AE36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w:t>
            </w:r>
          </w:p>
        </w:tc>
        <w:tc>
          <w:tcPr>
            <w:tcW w:w="905" w:type="dxa"/>
          </w:tcPr>
          <w:p w14:paraId="7462AE3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32" w:type="dxa"/>
          </w:tcPr>
          <w:p w14:paraId="08C1B4D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Собранных</w:t>
            </w:r>
          </w:p>
        </w:tc>
        <w:tc>
          <w:tcPr>
            <w:tcW w:w="1232" w:type="dxa"/>
          </w:tcPr>
          <w:p w14:paraId="0A428B1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Прошудших 2-х часовое испытание</w:t>
            </w:r>
          </w:p>
        </w:tc>
      </w:tr>
      <w:tr w:rsidR="00F26F01" w:rsidRPr="00C33834" w14:paraId="17A797F1" w14:textId="77777777">
        <w:tc>
          <w:tcPr>
            <w:tcW w:w="534" w:type="dxa"/>
          </w:tcPr>
          <w:p w14:paraId="6A697C8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BDBBDD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680F60D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3102C95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52F2A8A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годов. Плану</w:t>
            </w:r>
          </w:p>
        </w:tc>
        <w:tc>
          <w:tcPr>
            <w:tcW w:w="1123" w:type="dxa"/>
          </w:tcPr>
          <w:p w14:paraId="423DFD2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9 мес. плану</w:t>
            </w:r>
          </w:p>
        </w:tc>
        <w:tc>
          <w:tcPr>
            <w:tcW w:w="1123" w:type="dxa"/>
          </w:tcPr>
          <w:p w14:paraId="5F25376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Сдача за 9 мес.</w:t>
            </w:r>
          </w:p>
        </w:tc>
        <w:tc>
          <w:tcPr>
            <w:tcW w:w="905" w:type="dxa"/>
          </w:tcPr>
          <w:p w14:paraId="31CC394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32" w:type="dxa"/>
          </w:tcPr>
          <w:p w14:paraId="02BE02C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32" w:type="dxa"/>
          </w:tcPr>
          <w:p w14:paraId="4E7C752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80993E3" w14:textId="77777777">
        <w:tc>
          <w:tcPr>
            <w:tcW w:w="534" w:type="dxa"/>
          </w:tcPr>
          <w:p w14:paraId="137CAE3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w:t>
            </w:r>
          </w:p>
        </w:tc>
        <w:tc>
          <w:tcPr>
            <w:tcW w:w="1701" w:type="dxa"/>
          </w:tcPr>
          <w:p w14:paraId="3133B67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123" w:type="dxa"/>
          </w:tcPr>
          <w:p w14:paraId="27EBC83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3" w:type="dxa"/>
          </w:tcPr>
          <w:p w14:paraId="1B6C259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3" w:type="dxa"/>
          </w:tcPr>
          <w:p w14:paraId="1EEBF71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3" w:type="dxa"/>
          </w:tcPr>
          <w:p w14:paraId="5D73EFC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3" w:type="dxa"/>
          </w:tcPr>
          <w:p w14:paraId="43C2496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05" w:type="dxa"/>
          </w:tcPr>
          <w:p w14:paraId="0F8709C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32" w:type="dxa"/>
          </w:tcPr>
          <w:p w14:paraId="4A8DE4F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32" w:type="dxa"/>
          </w:tcPr>
          <w:p w14:paraId="4095A5E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70C562CF" w14:textId="77777777">
        <w:tc>
          <w:tcPr>
            <w:tcW w:w="534" w:type="dxa"/>
          </w:tcPr>
          <w:p w14:paraId="327B3B9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1701" w:type="dxa"/>
          </w:tcPr>
          <w:p w14:paraId="3CA8E3D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1123" w:type="dxa"/>
          </w:tcPr>
          <w:p w14:paraId="3638C75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570</w:t>
            </w:r>
          </w:p>
        </w:tc>
        <w:tc>
          <w:tcPr>
            <w:tcW w:w="1123" w:type="dxa"/>
          </w:tcPr>
          <w:p w14:paraId="3B43CBC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437</w:t>
            </w:r>
          </w:p>
        </w:tc>
        <w:tc>
          <w:tcPr>
            <w:tcW w:w="1123" w:type="dxa"/>
          </w:tcPr>
          <w:p w14:paraId="32ECE76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47,5</w:t>
            </w:r>
          </w:p>
        </w:tc>
        <w:tc>
          <w:tcPr>
            <w:tcW w:w="1123" w:type="dxa"/>
          </w:tcPr>
          <w:p w14:paraId="45766C6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123" w:type="dxa"/>
          </w:tcPr>
          <w:p w14:paraId="6B2898C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2538,8</w:t>
            </w:r>
          </w:p>
        </w:tc>
        <w:tc>
          <w:tcPr>
            <w:tcW w:w="905" w:type="dxa"/>
          </w:tcPr>
          <w:p w14:paraId="0F7A1EC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1232" w:type="dxa"/>
          </w:tcPr>
          <w:p w14:paraId="5AFC78E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w:t>
            </w:r>
          </w:p>
        </w:tc>
        <w:tc>
          <w:tcPr>
            <w:tcW w:w="1232" w:type="dxa"/>
          </w:tcPr>
          <w:p w14:paraId="22B765B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w:t>
            </w:r>
          </w:p>
        </w:tc>
      </w:tr>
      <w:tr w:rsidR="00F26F01" w:rsidRPr="00C33834" w14:paraId="4C2F15C8" w14:textId="77777777">
        <w:tc>
          <w:tcPr>
            <w:tcW w:w="534" w:type="dxa"/>
          </w:tcPr>
          <w:p w14:paraId="5F6C96C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3E172F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Разные</w:t>
            </w:r>
          </w:p>
        </w:tc>
        <w:tc>
          <w:tcPr>
            <w:tcW w:w="1123" w:type="dxa"/>
          </w:tcPr>
          <w:p w14:paraId="5B042E5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3" w:type="dxa"/>
          </w:tcPr>
          <w:p w14:paraId="4A71C94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3" w:type="dxa"/>
          </w:tcPr>
          <w:p w14:paraId="0A44235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3" w:type="dxa"/>
          </w:tcPr>
          <w:p w14:paraId="730D1D1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23" w:type="dxa"/>
          </w:tcPr>
          <w:p w14:paraId="5922F78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05" w:type="dxa"/>
          </w:tcPr>
          <w:p w14:paraId="2D7F5BD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540</w:t>
            </w:r>
          </w:p>
        </w:tc>
        <w:tc>
          <w:tcPr>
            <w:tcW w:w="1232" w:type="dxa"/>
          </w:tcPr>
          <w:p w14:paraId="09F3713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232" w:type="dxa"/>
          </w:tcPr>
          <w:p w14:paraId="5B4A4B1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0F7C1C7C" w14:textId="77777777">
        <w:tc>
          <w:tcPr>
            <w:tcW w:w="534" w:type="dxa"/>
          </w:tcPr>
          <w:p w14:paraId="4563797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1438967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1123" w:type="dxa"/>
          </w:tcPr>
          <w:p w14:paraId="59F115D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570</w:t>
            </w:r>
          </w:p>
        </w:tc>
        <w:tc>
          <w:tcPr>
            <w:tcW w:w="1123" w:type="dxa"/>
          </w:tcPr>
          <w:p w14:paraId="10DFC54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437</w:t>
            </w:r>
          </w:p>
        </w:tc>
        <w:tc>
          <w:tcPr>
            <w:tcW w:w="1123" w:type="dxa"/>
          </w:tcPr>
          <w:p w14:paraId="73A0FFE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47,5</w:t>
            </w:r>
          </w:p>
        </w:tc>
        <w:tc>
          <w:tcPr>
            <w:tcW w:w="1123" w:type="dxa"/>
          </w:tcPr>
          <w:p w14:paraId="02860E1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123" w:type="dxa"/>
          </w:tcPr>
          <w:p w14:paraId="6BD78C2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2538,8</w:t>
            </w:r>
          </w:p>
        </w:tc>
        <w:tc>
          <w:tcPr>
            <w:tcW w:w="905" w:type="dxa"/>
          </w:tcPr>
          <w:p w14:paraId="4728A16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558</w:t>
            </w:r>
          </w:p>
        </w:tc>
        <w:tc>
          <w:tcPr>
            <w:tcW w:w="1232" w:type="dxa"/>
          </w:tcPr>
          <w:p w14:paraId="7CC549F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w:t>
            </w:r>
          </w:p>
        </w:tc>
        <w:tc>
          <w:tcPr>
            <w:tcW w:w="1232" w:type="dxa"/>
          </w:tcPr>
          <w:p w14:paraId="37B4004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w:t>
            </w:r>
          </w:p>
        </w:tc>
      </w:tr>
      <w:tr w:rsidR="00F26F01" w:rsidRPr="00C33834" w14:paraId="26ED21BF" w14:textId="77777777">
        <w:tc>
          <w:tcPr>
            <w:tcW w:w="534" w:type="dxa"/>
          </w:tcPr>
          <w:p w14:paraId="275D6F5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w:t>
            </w:r>
          </w:p>
        </w:tc>
        <w:tc>
          <w:tcPr>
            <w:tcW w:w="1701" w:type="dxa"/>
          </w:tcPr>
          <w:p w14:paraId="4685B34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1123" w:type="dxa"/>
          </w:tcPr>
          <w:p w14:paraId="123B6DA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2605</w:t>
            </w:r>
          </w:p>
        </w:tc>
        <w:tc>
          <w:tcPr>
            <w:tcW w:w="1123" w:type="dxa"/>
          </w:tcPr>
          <w:p w14:paraId="0CE9943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2605</w:t>
            </w:r>
          </w:p>
        </w:tc>
        <w:tc>
          <w:tcPr>
            <w:tcW w:w="1123" w:type="dxa"/>
          </w:tcPr>
          <w:p w14:paraId="77E84DA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60,6</w:t>
            </w:r>
          </w:p>
        </w:tc>
        <w:tc>
          <w:tcPr>
            <w:tcW w:w="1123" w:type="dxa"/>
          </w:tcPr>
          <w:p w14:paraId="25F7348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1123" w:type="dxa"/>
          </w:tcPr>
          <w:p w14:paraId="17A67EC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219,6</w:t>
            </w:r>
          </w:p>
        </w:tc>
        <w:tc>
          <w:tcPr>
            <w:tcW w:w="905" w:type="dxa"/>
          </w:tcPr>
          <w:p w14:paraId="69595A9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1196</w:t>
            </w:r>
          </w:p>
        </w:tc>
        <w:tc>
          <w:tcPr>
            <w:tcW w:w="1232" w:type="dxa"/>
          </w:tcPr>
          <w:p w14:paraId="23F4968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1232" w:type="dxa"/>
          </w:tcPr>
          <w:p w14:paraId="793FFD8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r>
      <w:tr w:rsidR="00F26F01" w:rsidRPr="00C33834" w14:paraId="1BEB891B" w14:textId="77777777">
        <w:tc>
          <w:tcPr>
            <w:tcW w:w="534" w:type="dxa"/>
          </w:tcPr>
          <w:p w14:paraId="723454C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1701" w:type="dxa"/>
          </w:tcPr>
          <w:p w14:paraId="5CA65A6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w:t>
            </w:r>
          </w:p>
        </w:tc>
        <w:tc>
          <w:tcPr>
            <w:tcW w:w="1123" w:type="dxa"/>
          </w:tcPr>
          <w:p w14:paraId="74E7B72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1780</w:t>
            </w:r>
          </w:p>
        </w:tc>
        <w:tc>
          <w:tcPr>
            <w:tcW w:w="1123" w:type="dxa"/>
          </w:tcPr>
          <w:p w14:paraId="786B204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1493</w:t>
            </w:r>
          </w:p>
        </w:tc>
        <w:tc>
          <w:tcPr>
            <w:tcW w:w="1123" w:type="dxa"/>
          </w:tcPr>
          <w:p w14:paraId="40C2F3A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68,8</w:t>
            </w:r>
          </w:p>
        </w:tc>
        <w:tc>
          <w:tcPr>
            <w:tcW w:w="1123" w:type="dxa"/>
          </w:tcPr>
          <w:p w14:paraId="1209303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83,9</w:t>
            </w:r>
          </w:p>
        </w:tc>
        <w:tc>
          <w:tcPr>
            <w:tcW w:w="1123" w:type="dxa"/>
          </w:tcPr>
          <w:p w14:paraId="058CA2A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128,6</w:t>
            </w:r>
          </w:p>
        </w:tc>
        <w:tc>
          <w:tcPr>
            <w:tcW w:w="905" w:type="dxa"/>
          </w:tcPr>
          <w:p w14:paraId="7F498CC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1161</w:t>
            </w:r>
          </w:p>
        </w:tc>
        <w:tc>
          <w:tcPr>
            <w:tcW w:w="1232" w:type="dxa"/>
          </w:tcPr>
          <w:p w14:paraId="43A9B40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w:t>
            </w:r>
          </w:p>
        </w:tc>
        <w:tc>
          <w:tcPr>
            <w:tcW w:w="1232" w:type="dxa"/>
          </w:tcPr>
          <w:p w14:paraId="606BA02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r>
      <w:tr w:rsidR="00F26F01" w:rsidRPr="00C33834" w14:paraId="78F9663A" w14:textId="77777777">
        <w:tc>
          <w:tcPr>
            <w:tcW w:w="534" w:type="dxa"/>
          </w:tcPr>
          <w:p w14:paraId="35F7863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3E572D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123" w:type="dxa"/>
          </w:tcPr>
          <w:p w14:paraId="4473105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tc>
        <w:tc>
          <w:tcPr>
            <w:tcW w:w="1123" w:type="dxa"/>
          </w:tcPr>
          <w:p w14:paraId="0D46FE6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261</w:t>
            </w:r>
          </w:p>
        </w:tc>
        <w:tc>
          <w:tcPr>
            <w:tcW w:w="1123" w:type="dxa"/>
          </w:tcPr>
          <w:p w14:paraId="77996CC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w:t>
            </w:r>
          </w:p>
        </w:tc>
        <w:tc>
          <w:tcPr>
            <w:tcW w:w="1123" w:type="dxa"/>
          </w:tcPr>
          <w:p w14:paraId="53EE3E0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80,3</w:t>
            </w:r>
          </w:p>
        </w:tc>
        <w:tc>
          <w:tcPr>
            <w:tcW w:w="1123" w:type="dxa"/>
          </w:tcPr>
          <w:p w14:paraId="75CF17A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109,3</w:t>
            </w:r>
          </w:p>
        </w:tc>
        <w:tc>
          <w:tcPr>
            <w:tcW w:w="905" w:type="dxa"/>
          </w:tcPr>
          <w:p w14:paraId="24CBD5A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267</w:t>
            </w:r>
          </w:p>
        </w:tc>
        <w:tc>
          <w:tcPr>
            <w:tcW w:w="1232" w:type="dxa"/>
          </w:tcPr>
          <w:p w14:paraId="3ACF91E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1232" w:type="dxa"/>
          </w:tcPr>
          <w:p w14:paraId="481C190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r>
      <w:tr w:rsidR="00F26F01" w:rsidRPr="00C33834" w14:paraId="06C0C505" w14:textId="77777777">
        <w:tc>
          <w:tcPr>
            <w:tcW w:w="534" w:type="dxa"/>
          </w:tcPr>
          <w:p w14:paraId="12D3B7D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F411EE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1123" w:type="dxa"/>
          </w:tcPr>
          <w:p w14:paraId="604B75A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2130</w:t>
            </w:r>
          </w:p>
        </w:tc>
        <w:tc>
          <w:tcPr>
            <w:tcW w:w="1123" w:type="dxa"/>
          </w:tcPr>
          <w:p w14:paraId="49EDA3E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1774</w:t>
            </w:r>
          </w:p>
        </w:tc>
        <w:tc>
          <w:tcPr>
            <w:tcW w:w="1123" w:type="dxa"/>
          </w:tcPr>
          <w:p w14:paraId="3CB5575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66,3</w:t>
            </w:r>
          </w:p>
        </w:tc>
        <w:tc>
          <w:tcPr>
            <w:tcW w:w="1123" w:type="dxa"/>
          </w:tcPr>
          <w:p w14:paraId="13E3911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63,8</w:t>
            </w:r>
          </w:p>
        </w:tc>
        <w:tc>
          <w:tcPr>
            <w:tcW w:w="1123" w:type="dxa"/>
          </w:tcPr>
          <w:p w14:paraId="1C4146C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125,1</w:t>
            </w:r>
          </w:p>
        </w:tc>
        <w:tc>
          <w:tcPr>
            <w:tcW w:w="905" w:type="dxa"/>
          </w:tcPr>
          <w:p w14:paraId="0F4598C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141,8</w:t>
            </w:r>
          </w:p>
        </w:tc>
        <w:tc>
          <w:tcPr>
            <w:tcW w:w="1232" w:type="dxa"/>
          </w:tcPr>
          <w:p w14:paraId="7C02417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w:t>
            </w:r>
          </w:p>
        </w:tc>
        <w:tc>
          <w:tcPr>
            <w:tcW w:w="1232" w:type="dxa"/>
          </w:tcPr>
          <w:p w14:paraId="7D9636C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111</w:t>
            </w:r>
          </w:p>
        </w:tc>
      </w:tr>
      <w:tr w:rsidR="00F26F01" w:rsidRPr="00C33834" w14:paraId="1E0BA6F4" w14:textId="77777777">
        <w:tc>
          <w:tcPr>
            <w:tcW w:w="534" w:type="dxa"/>
            <w:tcBorders>
              <w:bottom w:val="single" w:sz="12" w:space="0" w:color="auto"/>
            </w:tcBorders>
          </w:tcPr>
          <w:p w14:paraId="2C52F80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bottom w:val="single" w:sz="12" w:space="0" w:color="auto"/>
            </w:tcBorders>
          </w:tcPr>
          <w:p w14:paraId="0601182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1123" w:type="dxa"/>
            <w:tcBorders>
              <w:bottom w:val="single" w:sz="12" w:space="0" w:color="auto"/>
            </w:tcBorders>
          </w:tcPr>
          <w:p w14:paraId="730774B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5306</w:t>
            </w:r>
          </w:p>
        </w:tc>
        <w:tc>
          <w:tcPr>
            <w:tcW w:w="1123" w:type="dxa"/>
            <w:tcBorders>
              <w:bottom w:val="single" w:sz="12" w:space="0" w:color="auto"/>
            </w:tcBorders>
          </w:tcPr>
          <w:p w14:paraId="001487D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4836</w:t>
            </w:r>
          </w:p>
        </w:tc>
        <w:tc>
          <w:tcPr>
            <w:tcW w:w="1123" w:type="dxa"/>
            <w:tcBorders>
              <w:bottom w:val="single" w:sz="12" w:space="0" w:color="auto"/>
            </w:tcBorders>
          </w:tcPr>
          <w:p w14:paraId="2EAB046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64,7</w:t>
            </w:r>
          </w:p>
        </w:tc>
        <w:tc>
          <w:tcPr>
            <w:tcW w:w="1123" w:type="dxa"/>
            <w:tcBorders>
              <w:bottom w:val="single" w:sz="12" w:space="0" w:color="auto"/>
            </w:tcBorders>
          </w:tcPr>
          <w:p w14:paraId="71D525C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91,1</w:t>
            </w:r>
          </w:p>
        </w:tc>
        <w:tc>
          <w:tcPr>
            <w:tcW w:w="1123" w:type="dxa"/>
            <w:tcBorders>
              <w:bottom w:val="single" w:sz="12" w:space="0" w:color="auto"/>
            </w:tcBorders>
          </w:tcPr>
          <w:p w14:paraId="191757E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152,9</w:t>
            </w:r>
          </w:p>
        </w:tc>
        <w:tc>
          <w:tcPr>
            <w:tcW w:w="905" w:type="dxa"/>
            <w:tcBorders>
              <w:bottom w:val="single" w:sz="12" w:space="0" w:color="auto"/>
            </w:tcBorders>
          </w:tcPr>
          <w:p w14:paraId="2F930DB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3162</w:t>
            </w:r>
          </w:p>
        </w:tc>
        <w:tc>
          <w:tcPr>
            <w:tcW w:w="1232" w:type="dxa"/>
            <w:tcBorders>
              <w:bottom w:val="single" w:sz="12" w:space="0" w:color="auto"/>
            </w:tcBorders>
          </w:tcPr>
          <w:p w14:paraId="3781B0B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1232" w:type="dxa"/>
            <w:tcBorders>
              <w:bottom w:val="single" w:sz="12" w:space="0" w:color="auto"/>
            </w:tcBorders>
          </w:tcPr>
          <w:p w14:paraId="0565662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189</w:t>
            </w:r>
          </w:p>
        </w:tc>
      </w:tr>
    </w:tbl>
    <w:p w14:paraId="4010A38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(4149,40).</w:t>
      </w:r>
    </w:p>
    <w:p w14:paraId="595D3C9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E9630F" w14:textId="77777777" w:rsidR="00CF276A" w:rsidRPr="00C33834" w:rsidRDefault="00CF276A" w:rsidP="00C33834">
      <w:pPr>
        <w:spacing w:after="0" w:line="240" w:lineRule="auto"/>
        <w:jc w:val="both"/>
        <w:rPr>
          <w:rStyle w:val="af0"/>
          <w:rFonts w:ascii="Times New Roman" w:hAnsi="Times New Roman"/>
          <w:i w:val="0"/>
          <w:color w:val="000000" w:themeColor="text1"/>
          <w:sz w:val="16"/>
          <w:szCs w:val="16"/>
        </w:rPr>
      </w:pPr>
      <w:r w:rsidRPr="00C33834">
        <w:rPr>
          <w:rStyle w:val="af0"/>
          <w:rFonts w:ascii="Times New Roman" w:hAnsi="Times New Roman"/>
          <w:i w:val="0"/>
          <w:color w:val="000000" w:themeColor="text1"/>
          <w:sz w:val="16"/>
          <w:szCs w:val="16"/>
        </w:rPr>
        <w:t xml:space="preserve">7 октября 1933 г. </w:t>
      </w:r>
      <w:r w:rsidRPr="00C33834">
        <w:rPr>
          <w:rFonts w:ascii="Times New Roman" w:hAnsi="Times New Roman"/>
          <w:color w:val="000000" w:themeColor="text1"/>
          <w:sz w:val="16"/>
          <w:szCs w:val="16"/>
        </w:rPr>
        <w:t>Письмо заместителя начальника Реактивного научно-исследовательского института РККА С. П. Королева в Сектор обороны Госплана СССР об испытаниях первых советских ракет</w:t>
      </w:r>
    </w:p>
    <w:p w14:paraId="5C8A353A" w14:textId="77777777" w:rsidR="00CF276A" w:rsidRPr="00C33834" w:rsidRDefault="00CF276A"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Секретно.</w:t>
      </w:r>
    </w:p>
    <w:p w14:paraId="3D28D8CC" w14:textId="77777777" w:rsidR="00CF276A" w:rsidRPr="00C33834" w:rsidRDefault="00CF276A" w:rsidP="00C33834">
      <w:pPr>
        <w:pStyle w:val="rtejustify"/>
        <w:spacing w:before="0" w:after="0"/>
        <w:rPr>
          <w:color w:val="000000" w:themeColor="text1"/>
          <w:sz w:val="16"/>
          <w:szCs w:val="16"/>
        </w:rPr>
      </w:pPr>
      <w:r w:rsidRPr="00C33834">
        <w:rPr>
          <w:color w:val="000000" w:themeColor="text1"/>
          <w:sz w:val="16"/>
          <w:szCs w:val="16"/>
        </w:rPr>
        <w:t>При сем препровождаю краткий фотоальбом реактивных систем, которые выстроены бывшим ГИРД Осоавиахима, ныне Реактивный научно-исследовательский институт РККА¹*.</w:t>
      </w:r>
    </w:p>
    <w:p w14:paraId="6311E512" w14:textId="77777777" w:rsidR="00CF276A" w:rsidRPr="00C33834" w:rsidRDefault="00CF276A" w:rsidP="00C33834">
      <w:pPr>
        <w:pStyle w:val="rtejustify"/>
        <w:spacing w:before="0" w:after="0"/>
        <w:rPr>
          <w:color w:val="000000" w:themeColor="text1"/>
          <w:sz w:val="16"/>
          <w:szCs w:val="16"/>
        </w:rPr>
      </w:pPr>
      <w:r w:rsidRPr="00C33834">
        <w:rPr>
          <w:color w:val="000000" w:themeColor="text1"/>
          <w:sz w:val="16"/>
          <w:szCs w:val="16"/>
        </w:rPr>
        <w:t>Все эти объекты в течение этого года проходят испытания. Первая советская ракета на жидком горючем была пущена ГИРД 17 августа сего года. К Октябрьской годовщине РНИИ выпустит в воздух еще 4 объекта на высоту подъема до 12 км и на дальность до 20 км.</w:t>
      </w:r>
    </w:p>
    <w:p w14:paraId="408DD102" w14:textId="77777777" w:rsidR="00CF276A" w:rsidRPr="00C33834" w:rsidRDefault="00CF276A" w:rsidP="00C33834">
      <w:pPr>
        <w:pStyle w:val="rtejustify"/>
        <w:spacing w:before="0" w:after="0"/>
        <w:rPr>
          <w:color w:val="000000" w:themeColor="text1"/>
          <w:sz w:val="16"/>
          <w:szCs w:val="16"/>
        </w:rPr>
      </w:pPr>
      <w:r w:rsidRPr="00C33834">
        <w:rPr>
          <w:color w:val="000000" w:themeColor="text1"/>
          <w:sz w:val="16"/>
          <w:szCs w:val="16"/>
        </w:rPr>
        <w:t>Значительные трудности в настоящее время испытывает РНИИ вследствие отсутствия у него достаточного транспорта. Необходима грузовая или легковая автомашина для проведения испытаний на полигоне, находящемся в 40 км от Москвы. Кроме того работа РНИИ предусматривает сейчас работы только на военвед. Мирное применение ракет не учитывается, и средств на это нет. Недавно НТУ ГУ ГВФ дало 15 тыс. руб. на ракету, но эта сумма совершенно очевидно недостаточна. Необходимы какие-то плановые ассигнования на научно-исследовательскую работу по мирному применению ракет.</w:t>
      </w:r>
    </w:p>
    <w:p w14:paraId="1B982207" w14:textId="77777777" w:rsidR="00CF276A" w:rsidRPr="00C33834" w:rsidRDefault="00CF276A" w:rsidP="00C33834">
      <w:pPr>
        <w:pStyle w:val="rtejustify"/>
        <w:spacing w:before="0" w:after="0"/>
        <w:rPr>
          <w:color w:val="000000" w:themeColor="text1"/>
          <w:sz w:val="16"/>
          <w:szCs w:val="16"/>
        </w:rPr>
      </w:pPr>
      <w:r w:rsidRPr="00C33834">
        <w:rPr>
          <w:color w:val="000000" w:themeColor="text1"/>
          <w:sz w:val="16"/>
          <w:szCs w:val="16"/>
        </w:rPr>
        <w:t>О всем вышеизложенном прошу Вас доложить т. Уншлихту.</w:t>
      </w:r>
    </w:p>
    <w:p w14:paraId="365E3A63" w14:textId="77777777" w:rsidR="00CF276A" w:rsidRPr="00C33834" w:rsidRDefault="00CF276A" w:rsidP="00C33834">
      <w:pPr>
        <w:pStyle w:val="rtejustify"/>
        <w:spacing w:before="0" w:after="0"/>
        <w:rPr>
          <w:color w:val="000000" w:themeColor="text1"/>
          <w:sz w:val="16"/>
          <w:szCs w:val="16"/>
        </w:rPr>
      </w:pPr>
      <w:r w:rsidRPr="00C33834">
        <w:rPr>
          <w:color w:val="000000" w:themeColor="text1"/>
          <w:sz w:val="16"/>
          <w:szCs w:val="16"/>
        </w:rPr>
        <w:t>(Приложение на 26 листах)²*.</w:t>
      </w:r>
    </w:p>
    <w:p w14:paraId="57F2CB9E" w14:textId="77777777" w:rsidR="00CF276A" w:rsidRPr="00C33834" w:rsidRDefault="00CF276A" w:rsidP="00C33834">
      <w:pPr>
        <w:pStyle w:val="ae"/>
        <w:spacing w:before="0" w:after="0"/>
        <w:jc w:val="both"/>
        <w:rPr>
          <w:color w:val="000000" w:themeColor="text1"/>
          <w:sz w:val="16"/>
          <w:szCs w:val="16"/>
        </w:rPr>
      </w:pPr>
      <w:r w:rsidRPr="00C33834">
        <w:rPr>
          <w:rStyle w:val="af0"/>
          <w:i w:val="0"/>
          <w:color w:val="000000" w:themeColor="text1"/>
          <w:sz w:val="16"/>
          <w:szCs w:val="16"/>
        </w:rPr>
        <w:t>Зам. начальника РНИИ РККА Королев</w:t>
      </w:r>
    </w:p>
    <w:p w14:paraId="187A5C92" w14:textId="77777777" w:rsidR="00CF276A" w:rsidRPr="00C33834" w:rsidRDefault="00CF276A"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Примечания</w:t>
      </w:r>
      <w:r w:rsidRPr="00C33834">
        <w:rPr>
          <w:color w:val="000000" w:themeColor="text1"/>
          <w:sz w:val="16"/>
          <w:szCs w:val="16"/>
        </w:rPr>
        <w:t>:</w:t>
      </w:r>
    </w:p>
    <w:p w14:paraId="293DFD4B" w14:textId="77777777" w:rsidR="00CF276A" w:rsidRPr="00C33834" w:rsidRDefault="00CF276A" w:rsidP="00C33834">
      <w:pPr>
        <w:pStyle w:val="rtejustify"/>
        <w:spacing w:before="0" w:after="0"/>
        <w:rPr>
          <w:color w:val="000000" w:themeColor="text1"/>
          <w:sz w:val="16"/>
          <w:szCs w:val="16"/>
        </w:rPr>
      </w:pPr>
      <w:r w:rsidRPr="00C33834">
        <w:rPr>
          <w:color w:val="000000" w:themeColor="text1"/>
          <w:sz w:val="16"/>
          <w:szCs w:val="16"/>
        </w:rPr>
        <w:t>¹* Реактивный научно-исследовательский институт (РНИИ) был создан 21 сентября 1933 г. путем слияния Газодинамической лаборатории и Группы изучения реактивного движения. Начальником института был назначен И. Т. Клейменов, его заместителем по научной части — С. П. Королев. Основным направлением деятельности РНИИ была разработка экспериментальных баллистических и крылатых ракет. В институте также велись исследования и разработки жидкостных ракетных двигателей и продолжались работы по ракетным двигателям на твердом топливе. Созданная институтом наземная многозарядная установка для стрельбы реактивными снарядами явилась прототипом боевой машины БМ</w:t>
      </w:r>
      <w:r w:rsidRPr="00C33834">
        <w:rPr>
          <w:color w:val="000000" w:themeColor="text1"/>
          <w:sz w:val="16"/>
          <w:szCs w:val="16"/>
        </w:rPr>
        <w:noBreakHyphen/>
        <w:t>13 («Катюша»).</w:t>
      </w:r>
    </w:p>
    <w:p w14:paraId="4A2AFF30" w14:textId="77777777" w:rsidR="00CF276A" w:rsidRPr="00C33834" w:rsidRDefault="00CF276A" w:rsidP="00C33834">
      <w:pPr>
        <w:pStyle w:val="rtejustify"/>
        <w:spacing w:before="0" w:after="0"/>
        <w:rPr>
          <w:color w:val="000000" w:themeColor="text1"/>
          <w:sz w:val="16"/>
          <w:szCs w:val="16"/>
        </w:rPr>
      </w:pPr>
      <w:r w:rsidRPr="00C33834">
        <w:rPr>
          <w:color w:val="000000" w:themeColor="text1"/>
          <w:sz w:val="16"/>
          <w:szCs w:val="16"/>
        </w:rPr>
        <w:t>²* Приложение не публикуется (см. там же, л. 313</w:t>
      </w:r>
      <w:r w:rsidRPr="00C33834">
        <w:rPr>
          <w:color w:val="000000" w:themeColor="text1"/>
          <w:sz w:val="16"/>
          <w:szCs w:val="16"/>
        </w:rPr>
        <w:noBreakHyphen/>
        <w:t>286).</w:t>
      </w:r>
    </w:p>
    <w:p w14:paraId="6E8C9F37" w14:textId="77777777" w:rsidR="00CF276A" w:rsidRPr="00C33834" w:rsidRDefault="00CF276A" w:rsidP="00C33834">
      <w:pPr>
        <w:pStyle w:val="ae"/>
        <w:spacing w:before="0" w:after="0"/>
        <w:jc w:val="both"/>
        <w:rPr>
          <w:color w:val="000000" w:themeColor="text1"/>
          <w:sz w:val="16"/>
          <w:szCs w:val="16"/>
        </w:rPr>
      </w:pPr>
      <w:r w:rsidRPr="00C33834">
        <w:rPr>
          <w:color w:val="000000" w:themeColor="text1"/>
          <w:sz w:val="16"/>
          <w:szCs w:val="16"/>
        </w:rPr>
        <w:t>РГАЭ. Ф. 4372. Оп. 91. Д. 1076. Л. 314. Подлинник (15282).</w:t>
      </w:r>
    </w:p>
    <w:p w14:paraId="23C4E576" w14:textId="77777777" w:rsidR="00CF276A" w:rsidRPr="00C33834" w:rsidRDefault="00CF276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3A3A9AC" w14:textId="77777777" w:rsidR="00CF276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8B1021A" w14:textId="77777777" w:rsidR="00CF276A" w:rsidRPr="00C33834" w:rsidRDefault="00CF276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9AA7863" w14:textId="77777777" w:rsidR="00CF276A" w:rsidRPr="00C33834" w:rsidRDefault="00CF276A" w:rsidP="00C33834">
      <w:pPr>
        <w:pStyle w:val="rtejustify"/>
        <w:spacing w:before="0" w:after="0"/>
        <w:rPr>
          <w:color w:val="000000" w:themeColor="text1"/>
          <w:sz w:val="16"/>
          <w:szCs w:val="16"/>
        </w:rPr>
      </w:pPr>
      <w:r w:rsidRPr="00C33834">
        <w:rPr>
          <w:rStyle w:val="af0"/>
          <w:bCs/>
          <w:i w:val="0"/>
          <w:color w:val="000000" w:themeColor="text1"/>
          <w:sz w:val="16"/>
          <w:szCs w:val="16"/>
        </w:rPr>
        <w:t>7 октября</w:t>
      </w:r>
      <w:r w:rsidRPr="00C33834">
        <w:rPr>
          <w:color w:val="000000" w:themeColor="text1"/>
          <w:sz w:val="16"/>
          <w:szCs w:val="16"/>
        </w:rPr>
        <w:t xml:space="preserve"> 1933. Постановление Комиссии обороны СССР № 13сс «О мероприятиях по выполнению программы 1933 г. заводом “Баррикады”». (ГА РФ. Ф. Р</w:t>
      </w:r>
      <w:r w:rsidRPr="00C33834">
        <w:rPr>
          <w:color w:val="000000" w:themeColor="text1"/>
          <w:sz w:val="16"/>
          <w:szCs w:val="16"/>
        </w:rPr>
        <w:noBreakHyphen/>
        <w:t>8418. Оп. 28. Д. 25а. Л. 44</w:t>
      </w:r>
      <w:r w:rsidRPr="00C33834">
        <w:rPr>
          <w:color w:val="000000" w:themeColor="text1"/>
          <w:sz w:val="16"/>
          <w:szCs w:val="16"/>
        </w:rPr>
        <w:noBreakHyphen/>
        <w:t>48, 54) (15460).</w:t>
      </w:r>
    </w:p>
    <w:p w14:paraId="2BD938BF" w14:textId="77777777" w:rsidR="00CF276A" w:rsidRPr="00C33834" w:rsidRDefault="00CF276A" w:rsidP="00C33834">
      <w:pPr>
        <w:pStyle w:val="rtejustify"/>
        <w:spacing w:before="0" w:after="0"/>
        <w:rPr>
          <w:color w:val="000000" w:themeColor="text1"/>
          <w:sz w:val="16"/>
          <w:szCs w:val="16"/>
        </w:rPr>
      </w:pPr>
    </w:p>
    <w:p w14:paraId="4762B581" w14:textId="77777777" w:rsidR="00CF276A" w:rsidRPr="00C33834" w:rsidRDefault="00CF276A" w:rsidP="00C33834">
      <w:pPr>
        <w:pStyle w:val="rtejustify"/>
        <w:spacing w:before="0" w:after="0"/>
        <w:rPr>
          <w:color w:val="000000" w:themeColor="text1"/>
          <w:sz w:val="16"/>
          <w:szCs w:val="16"/>
        </w:rPr>
      </w:pPr>
      <w:r w:rsidRPr="00C33834">
        <w:rPr>
          <w:rStyle w:val="af0"/>
          <w:bCs/>
          <w:i w:val="0"/>
          <w:color w:val="000000" w:themeColor="text1"/>
          <w:sz w:val="16"/>
          <w:szCs w:val="16"/>
        </w:rPr>
        <w:t>7 октября 1933 вышел приказ НКТП № 156с.</w:t>
      </w:r>
      <w:r w:rsidRPr="00C33834">
        <w:rPr>
          <w:color w:val="000000" w:themeColor="text1"/>
          <w:sz w:val="16"/>
          <w:szCs w:val="16"/>
        </w:rPr>
        <w:t xml:space="preserve"> О повышении оплаты труда на предприятиях, имеющих важное оборонное значение. (РГАЭ. Ф. 7297. Оп. 38. Д. 38. Л. 109) (15246).</w:t>
      </w:r>
    </w:p>
    <w:p w14:paraId="30D9DF98" w14:textId="7F477015" w:rsidR="00CF276A" w:rsidRPr="00C33834" w:rsidRDefault="00CF276A" w:rsidP="00C33834">
      <w:pPr>
        <w:pStyle w:val="rtejustify"/>
        <w:spacing w:before="0" w:after="0"/>
        <w:rPr>
          <w:color w:val="000000" w:themeColor="text1"/>
          <w:sz w:val="16"/>
          <w:szCs w:val="16"/>
        </w:rPr>
      </w:pPr>
    </w:p>
    <w:p w14:paraId="72A3D83A" w14:textId="15312E66" w:rsidR="00B55CC8" w:rsidRPr="00C33834" w:rsidRDefault="00B55CC8" w:rsidP="00C33834">
      <w:pPr>
        <w:pStyle w:val="rtejustify"/>
        <w:spacing w:before="0" w:after="0"/>
        <w:rPr>
          <w:i/>
          <w:iCs/>
          <w:color w:val="000000" w:themeColor="text1"/>
          <w:sz w:val="16"/>
          <w:szCs w:val="16"/>
        </w:rPr>
      </w:pPr>
      <w:r w:rsidRPr="00C33834">
        <w:rPr>
          <w:i/>
          <w:iCs/>
          <w:color w:val="000000" w:themeColor="text1"/>
          <w:sz w:val="16"/>
          <w:szCs w:val="16"/>
        </w:rPr>
        <w:t>Внешняя политика:</w:t>
      </w:r>
    </w:p>
    <w:p w14:paraId="4910CE8F" w14:textId="77777777" w:rsidR="00B55CC8" w:rsidRPr="00C33834" w:rsidRDefault="00B55CC8" w:rsidP="00C33834">
      <w:pPr>
        <w:pStyle w:val="rtejustify"/>
        <w:spacing w:before="0" w:after="0"/>
        <w:rPr>
          <w:i/>
          <w:iCs/>
          <w:color w:val="000000" w:themeColor="text1"/>
          <w:sz w:val="16"/>
          <w:szCs w:val="16"/>
        </w:rPr>
      </w:pPr>
    </w:p>
    <w:p w14:paraId="2A5A6DF9" w14:textId="77777777" w:rsidR="00B55CC8" w:rsidRPr="00C33834" w:rsidRDefault="00B55CC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 октября 1933 опросом членов ПБ</w:t>
      </w:r>
    </w:p>
    <w:p w14:paraId="6A39ADCA" w14:textId="77777777" w:rsidR="00B55CC8" w:rsidRPr="00C33834" w:rsidRDefault="00B55CC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71/48.- О Tvрции.</w:t>
      </w:r>
    </w:p>
    <w:p w14:paraId="41CD1166" w14:textId="77777777" w:rsidR="00B55CC8" w:rsidRPr="00C33834" w:rsidRDefault="00B55CC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Передать через делегацию, в качестве подарка Турецкой послублике от правительства СССР одно звено (3) военных самолетов Р-5 :: 1 пассажирский самолет "АНТ-9".</w:t>
      </w:r>
    </w:p>
    <w:p w14:paraId="732148EC" w14:textId="77777777" w:rsidR="00B55CC8" w:rsidRPr="00C33834" w:rsidRDefault="00B55CC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Ворошилову ,.Литвинову, Сокольникову.</w:t>
      </w:r>
    </w:p>
    <w:p w14:paraId="5EF781E4" w14:textId="77777777" w:rsidR="00B55CC8" w:rsidRPr="00C33834" w:rsidRDefault="00B55CC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октября 1933 состоялось заседание ПБ и был оформлен протокол № 147 (22997).</w:t>
      </w:r>
    </w:p>
    <w:p w14:paraId="583EE0EB" w14:textId="1ACDAC04" w:rsidR="00B55CC8" w:rsidRPr="00C33834" w:rsidRDefault="00B55CC8" w:rsidP="00C33834">
      <w:pPr>
        <w:spacing w:after="0" w:line="240" w:lineRule="auto"/>
        <w:jc w:val="both"/>
        <w:rPr>
          <w:rFonts w:ascii="Times New Roman" w:hAnsi="Times New Roman"/>
          <w:color w:val="0070C0"/>
          <w:sz w:val="16"/>
          <w:szCs w:val="16"/>
        </w:rPr>
      </w:pPr>
    </w:p>
    <w:p w14:paraId="5F4CC854" w14:textId="06DBA8B8" w:rsidR="00B55CC8" w:rsidRPr="00C33834" w:rsidRDefault="00B55CC8" w:rsidP="00C33834">
      <w:pPr>
        <w:spacing w:after="0" w:line="240" w:lineRule="auto"/>
        <w:jc w:val="both"/>
        <w:rPr>
          <w:rFonts w:ascii="Times New Roman" w:hAnsi="Times New Roman"/>
          <w:i/>
          <w:iCs/>
          <w:color w:val="0070C0"/>
          <w:sz w:val="16"/>
          <w:szCs w:val="16"/>
        </w:rPr>
      </w:pPr>
      <w:r w:rsidRPr="00C33834">
        <w:rPr>
          <w:rFonts w:ascii="Times New Roman" w:hAnsi="Times New Roman"/>
          <w:i/>
          <w:iCs/>
          <w:color w:val="0070C0"/>
          <w:sz w:val="16"/>
          <w:szCs w:val="16"/>
        </w:rPr>
        <w:t>За рубежом:</w:t>
      </w:r>
    </w:p>
    <w:p w14:paraId="76D4B69D" w14:textId="77777777" w:rsidR="00B55CC8" w:rsidRPr="00C33834" w:rsidRDefault="00B55CC8" w:rsidP="00C33834">
      <w:pPr>
        <w:spacing w:after="0" w:line="240" w:lineRule="auto"/>
        <w:jc w:val="both"/>
        <w:rPr>
          <w:rFonts w:ascii="Times New Roman" w:hAnsi="Times New Roman"/>
          <w:i/>
          <w:iCs/>
          <w:color w:val="0070C0"/>
          <w:sz w:val="16"/>
          <w:szCs w:val="16"/>
        </w:rPr>
      </w:pPr>
    </w:p>
    <w:p w14:paraId="7C1AF38B" w14:textId="77777777" w:rsidR="00B55CC8" w:rsidRPr="00C33834" w:rsidRDefault="00B55CC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 октября 1933 Air France образована в результате слияния пяти французских авиакомпаний - Air Orient , Air Union , Compagnie Générale Aéropostale , Compagnie Internationale de Navigation Aérienne (CIDNA) и Société Générale des Transports Aériens (SGTA) - начало операций с 250 самолетами (20802).</w:t>
      </w:r>
    </w:p>
    <w:p w14:paraId="30FE24FE" w14:textId="77777777" w:rsidR="00B55CC8" w:rsidRPr="00C33834" w:rsidRDefault="00B55CC8" w:rsidP="00C33834">
      <w:pPr>
        <w:spacing w:after="0" w:line="240" w:lineRule="auto"/>
        <w:jc w:val="both"/>
        <w:rPr>
          <w:rFonts w:ascii="Times New Roman" w:hAnsi="Times New Roman"/>
          <w:color w:val="0070C0"/>
          <w:sz w:val="16"/>
          <w:szCs w:val="16"/>
        </w:rPr>
      </w:pPr>
    </w:p>
    <w:p w14:paraId="316399DE"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512B6B5"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9F82E8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октября 1933 года начальник ВВС Алкснис писал письмо № МТС/007442 председателю РВС Ворошилову, зам. председателя РВС Гамарнику, зам. председателя РВС Тухачевскому</w:t>
      </w:r>
    </w:p>
    <w:p w14:paraId="511D8C5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w:t>
      </w:r>
    </w:p>
    <w:p w14:paraId="759CDDC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выполнении авиапромышленностью программы за 3 квартала 1933 года по самолетам, моторам и запчастям.</w:t>
      </w:r>
    </w:p>
    <w:p w14:paraId="1DF44F9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авиапромышленностью заказа на самолеты, моторы и запасные части к ним за 3 квартала 1933 года характеризуется:</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F26F01" w:rsidRPr="00C33834" w14:paraId="2D94245F" w14:textId="77777777">
        <w:tc>
          <w:tcPr>
            <w:tcW w:w="1914" w:type="dxa"/>
          </w:tcPr>
          <w:p w14:paraId="409F28D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w:t>
            </w:r>
          </w:p>
        </w:tc>
        <w:tc>
          <w:tcPr>
            <w:tcW w:w="1914" w:type="dxa"/>
          </w:tcPr>
          <w:p w14:paraId="34EF25D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 продукции</w:t>
            </w:r>
          </w:p>
        </w:tc>
        <w:tc>
          <w:tcPr>
            <w:tcW w:w="1914" w:type="dxa"/>
          </w:tcPr>
          <w:p w14:paraId="558B592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Годовой заказ по постановлению Правительства</w:t>
            </w:r>
          </w:p>
        </w:tc>
        <w:tc>
          <w:tcPr>
            <w:tcW w:w="1914" w:type="dxa"/>
          </w:tcPr>
          <w:p w14:paraId="5DE757C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Подлежат поставке за 9 месяцев</w:t>
            </w:r>
          </w:p>
        </w:tc>
        <w:tc>
          <w:tcPr>
            <w:tcW w:w="1914" w:type="dxa"/>
          </w:tcPr>
          <w:p w14:paraId="0F1E37E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Поставлено за 9 месяцев</w:t>
            </w:r>
          </w:p>
        </w:tc>
        <w:tc>
          <w:tcPr>
            <w:tcW w:w="1487" w:type="dxa"/>
          </w:tcPr>
          <w:p w14:paraId="1553093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выполнения</w:t>
            </w:r>
          </w:p>
        </w:tc>
      </w:tr>
    </w:tbl>
    <w:p w14:paraId="2744114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F26F01" w:rsidRPr="00C33834" w14:paraId="43ADA2EC" w14:textId="77777777">
        <w:tc>
          <w:tcPr>
            <w:tcW w:w="1914" w:type="dxa"/>
          </w:tcPr>
          <w:p w14:paraId="79569BB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1914" w:type="dxa"/>
          </w:tcPr>
          <w:p w14:paraId="0A9FAE2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ТБ3-М17</w:t>
            </w:r>
          </w:p>
          <w:p w14:paraId="2AE96B9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ТБ3-М22</w:t>
            </w:r>
          </w:p>
          <w:p w14:paraId="57D1034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 комплектов на 10 самолетов</w:t>
            </w:r>
          </w:p>
          <w:p w14:paraId="0878887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 комплектов на 30 самолетов</w:t>
            </w:r>
          </w:p>
          <w:p w14:paraId="131777B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Отд. один. компл.</w:t>
            </w:r>
          </w:p>
        </w:tc>
        <w:tc>
          <w:tcPr>
            <w:tcW w:w="1914" w:type="dxa"/>
          </w:tcPr>
          <w:p w14:paraId="0657D24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p w14:paraId="722B269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p w14:paraId="7C735FA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29F89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w:t>
            </w:r>
          </w:p>
          <w:p w14:paraId="7233829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26AA4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p w14:paraId="0F607A7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w:t>
            </w:r>
          </w:p>
        </w:tc>
        <w:tc>
          <w:tcPr>
            <w:tcW w:w="1914" w:type="dxa"/>
          </w:tcPr>
          <w:p w14:paraId="03479C1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p w14:paraId="6D3C35A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110</w:t>
            </w:r>
          </w:p>
          <w:p w14:paraId="39E27DC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009B8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w:t>
            </w:r>
          </w:p>
          <w:p w14:paraId="4F5C630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4F4E6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p w14:paraId="4B80410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w:t>
            </w:r>
          </w:p>
        </w:tc>
        <w:tc>
          <w:tcPr>
            <w:tcW w:w="1914" w:type="dxa"/>
          </w:tcPr>
          <w:p w14:paraId="124B817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168</w:t>
            </w:r>
          </w:p>
          <w:p w14:paraId="75B15BA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p w14:paraId="30154DA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51375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p w14:paraId="12C3FFF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402D0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p w14:paraId="2D0D490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87" w:type="dxa"/>
          </w:tcPr>
          <w:p w14:paraId="71B679C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w:t>
            </w:r>
          </w:p>
          <w:p w14:paraId="006C013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w:t>
            </w:r>
          </w:p>
          <w:p w14:paraId="4A77A77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60968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w:t>
            </w:r>
          </w:p>
          <w:p w14:paraId="737BF94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18292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57,1%</w:t>
            </w:r>
          </w:p>
          <w:p w14:paraId="17EEEAA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tc>
      </w:tr>
      <w:tr w:rsidR="00F26F01" w:rsidRPr="00C33834" w14:paraId="3994E72C" w14:textId="77777777">
        <w:tc>
          <w:tcPr>
            <w:tcW w:w="1914" w:type="dxa"/>
          </w:tcPr>
          <w:p w14:paraId="77501AC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1914" w:type="dxa"/>
          </w:tcPr>
          <w:p w14:paraId="5720962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p w14:paraId="182DC0E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 комплектов на 10 самолетов</w:t>
            </w:r>
          </w:p>
          <w:p w14:paraId="2E4ED44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 комплектов на 30 самолетов</w:t>
            </w:r>
          </w:p>
          <w:p w14:paraId="2132B0F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Отд. один. компл.</w:t>
            </w:r>
          </w:p>
        </w:tc>
        <w:tc>
          <w:tcPr>
            <w:tcW w:w="1914" w:type="dxa"/>
          </w:tcPr>
          <w:p w14:paraId="30BCA3C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270</w:t>
            </w:r>
          </w:p>
          <w:p w14:paraId="4FE459F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5C53E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w:t>
            </w:r>
          </w:p>
          <w:p w14:paraId="1F0C032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E21CD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p w14:paraId="3F79B2A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w:t>
            </w:r>
          </w:p>
        </w:tc>
        <w:tc>
          <w:tcPr>
            <w:tcW w:w="1914" w:type="dxa"/>
          </w:tcPr>
          <w:p w14:paraId="3AC8B51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p w14:paraId="40D84B8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D69D3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w:t>
            </w:r>
          </w:p>
          <w:p w14:paraId="785AF82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EF364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p w14:paraId="7802258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w:t>
            </w:r>
          </w:p>
        </w:tc>
        <w:tc>
          <w:tcPr>
            <w:tcW w:w="1914" w:type="dxa"/>
          </w:tcPr>
          <w:p w14:paraId="0566567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172</w:t>
            </w:r>
          </w:p>
          <w:p w14:paraId="420F72C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B3704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p w14:paraId="2FE6EC7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09A20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p w14:paraId="119A1E3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87" w:type="dxa"/>
          </w:tcPr>
          <w:p w14:paraId="60851F5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74,7%</w:t>
            </w:r>
          </w:p>
          <w:p w14:paraId="6E10D2E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78CB6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w:t>
            </w:r>
          </w:p>
          <w:p w14:paraId="331F16B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B63E9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57,1%</w:t>
            </w:r>
          </w:p>
          <w:p w14:paraId="4C8C333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tc>
      </w:tr>
      <w:tr w:rsidR="00F26F01" w:rsidRPr="00C33834" w14:paraId="7B8456A3" w14:textId="77777777">
        <w:tc>
          <w:tcPr>
            <w:tcW w:w="1914" w:type="dxa"/>
          </w:tcPr>
          <w:p w14:paraId="20754CF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w:t>
            </w:r>
          </w:p>
        </w:tc>
        <w:tc>
          <w:tcPr>
            <w:tcW w:w="1914" w:type="dxa"/>
          </w:tcPr>
          <w:p w14:paraId="4F1577B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ТБ3-М17</w:t>
            </w:r>
          </w:p>
          <w:p w14:paraId="059F84B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 комплектов на 10 самолетов</w:t>
            </w:r>
          </w:p>
        </w:tc>
        <w:tc>
          <w:tcPr>
            <w:tcW w:w="1914" w:type="dxa"/>
          </w:tcPr>
          <w:p w14:paraId="53B378B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p w14:paraId="272BA1B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E8702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1914" w:type="dxa"/>
          </w:tcPr>
          <w:p w14:paraId="2324681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w:t>
            </w:r>
          </w:p>
          <w:p w14:paraId="46BAB40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98DFF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1914" w:type="dxa"/>
          </w:tcPr>
          <w:p w14:paraId="1AD59AE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p w14:paraId="0FA4F11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C15F9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1487" w:type="dxa"/>
          </w:tcPr>
          <w:p w14:paraId="267CD6B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92,7%</w:t>
            </w:r>
          </w:p>
          <w:p w14:paraId="1E46AA9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0B107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56,6%</w:t>
            </w:r>
          </w:p>
        </w:tc>
      </w:tr>
      <w:tr w:rsidR="00F26F01" w:rsidRPr="00C33834" w14:paraId="0E29157E" w14:textId="77777777">
        <w:tc>
          <w:tcPr>
            <w:tcW w:w="1914" w:type="dxa"/>
          </w:tcPr>
          <w:p w14:paraId="1EFC932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1914" w:type="dxa"/>
          </w:tcPr>
          <w:p w14:paraId="5AA5A38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p w14:paraId="1F7EFE2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 комплектов на 10 самолетов</w:t>
            </w:r>
          </w:p>
          <w:p w14:paraId="65EA14E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 комплектов на 30 самолетов</w:t>
            </w:r>
          </w:p>
          <w:p w14:paraId="60300AB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Отд. один. компл.</w:t>
            </w:r>
          </w:p>
        </w:tc>
        <w:tc>
          <w:tcPr>
            <w:tcW w:w="1914" w:type="dxa"/>
          </w:tcPr>
          <w:p w14:paraId="2E1764B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p w14:paraId="5280C68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4E274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w:t>
            </w:r>
          </w:p>
          <w:p w14:paraId="1E44B12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4CABB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p w14:paraId="3463513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w:t>
            </w:r>
          </w:p>
        </w:tc>
        <w:tc>
          <w:tcPr>
            <w:tcW w:w="1914" w:type="dxa"/>
          </w:tcPr>
          <w:p w14:paraId="612F490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256</w:t>
            </w:r>
          </w:p>
          <w:p w14:paraId="6E11652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62CB0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w:t>
            </w:r>
          </w:p>
          <w:p w14:paraId="6512E1F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73C38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p w14:paraId="1421FDF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w:t>
            </w:r>
          </w:p>
        </w:tc>
        <w:tc>
          <w:tcPr>
            <w:tcW w:w="1914" w:type="dxa"/>
          </w:tcPr>
          <w:p w14:paraId="7718F5B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196</w:t>
            </w:r>
          </w:p>
          <w:p w14:paraId="1396AF5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D26CD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p w14:paraId="21A51BD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2ABEE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p w14:paraId="40E9B68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87" w:type="dxa"/>
          </w:tcPr>
          <w:p w14:paraId="610C050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76,5%</w:t>
            </w:r>
          </w:p>
          <w:p w14:paraId="2529A8E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42353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56,9%</w:t>
            </w:r>
          </w:p>
          <w:p w14:paraId="69010DE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7FE96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57,1%</w:t>
            </w:r>
          </w:p>
        </w:tc>
      </w:tr>
      <w:tr w:rsidR="00F26F01" w:rsidRPr="00C33834" w14:paraId="7700D575" w14:textId="77777777">
        <w:tc>
          <w:tcPr>
            <w:tcW w:w="1914" w:type="dxa"/>
          </w:tcPr>
          <w:p w14:paraId="592A41C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1914" w:type="dxa"/>
          </w:tcPr>
          <w:p w14:paraId="452AB30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ТБ4-М34</w:t>
            </w:r>
          </w:p>
          <w:p w14:paraId="1222184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 комплект</w:t>
            </w:r>
          </w:p>
        </w:tc>
        <w:tc>
          <w:tcPr>
            <w:tcW w:w="1914" w:type="dxa"/>
          </w:tcPr>
          <w:p w14:paraId="410A8A1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p w14:paraId="4C5FE7C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914" w:type="dxa"/>
          </w:tcPr>
          <w:p w14:paraId="164B6DD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66C1EC4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914" w:type="dxa"/>
          </w:tcPr>
          <w:p w14:paraId="389266D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637F1F8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87" w:type="dxa"/>
          </w:tcPr>
          <w:p w14:paraId="1EE9D32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0B55D60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6C558415" w14:textId="77777777">
        <w:tc>
          <w:tcPr>
            <w:tcW w:w="1914" w:type="dxa"/>
          </w:tcPr>
          <w:p w14:paraId="7609E09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1914" w:type="dxa"/>
          </w:tcPr>
          <w:p w14:paraId="73F8E64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МИ3-М34</w:t>
            </w:r>
          </w:p>
          <w:p w14:paraId="2EA7164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 комплекты</w:t>
            </w:r>
          </w:p>
        </w:tc>
        <w:tc>
          <w:tcPr>
            <w:tcW w:w="1914" w:type="dxa"/>
          </w:tcPr>
          <w:p w14:paraId="5B0E453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p w14:paraId="4D82E56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1914" w:type="dxa"/>
          </w:tcPr>
          <w:p w14:paraId="31A7EC7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1226C28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914" w:type="dxa"/>
          </w:tcPr>
          <w:p w14:paraId="7402A61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24A9A3E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87" w:type="dxa"/>
          </w:tcPr>
          <w:p w14:paraId="1B01CAE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2ED2E98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0CDE2D2E" w14:textId="77777777">
        <w:tc>
          <w:tcPr>
            <w:tcW w:w="1914" w:type="dxa"/>
          </w:tcPr>
          <w:p w14:paraId="27B901A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914" w:type="dxa"/>
          </w:tcPr>
          <w:p w14:paraId="7F805BD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И7-М17</w:t>
            </w:r>
          </w:p>
          <w:p w14:paraId="7A4F7B6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Гр. комплекты</w:t>
            </w:r>
          </w:p>
        </w:tc>
        <w:tc>
          <w:tcPr>
            <w:tcW w:w="1914" w:type="dxa"/>
          </w:tcPr>
          <w:p w14:paraId="563EF36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250</w:t>
            </w:r>
          </w:p>
          <w:p w14:paraId="480D1C3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42</w:t>
            </w:r>
          </w:p>
        </w:tc>
        <w:tc>
          <w:tcPr>
            <w:tcW w:w="1914" w:type="dxa"/>
          </w:tcPr>
          <w:p w14:paraId="3A00941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175</w:t>
            </w:r>
          </w:p>
          <w:p w14:paraId="433D367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28</w:t>
            </w:r>
          </w:p>
        </w:tc>
        <w:tc>
          <w:tcPr>
            <w:tcW w:w="1914" w:type="dxa"/>
          </w:tcPr>
          <w:p w14:paraId="1E5ED7A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45*</w:t>
            </w:r>
          </w:p>
          <w:p w14:paraId="378427D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11</w:t>
            </w:r>
          </w:p>
        </w:tc>
        <w:tc>
          <w:tcPr>
            <w:tcW w:w="1487" w:type="dxa"/>
          </w:tcPr>
          <w:p w14:paraId="63FA2F5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25,7</w:t>
            </w:r>
          </w:p>
          <w:p w14:paraId="0FF6DF3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39,2</w:t>
            </w:r>
          </w:p>
        </w:tc>
      </w:tr>
      <w:tr w:rsidR="00F26F01" w:rsidRPr="00C33834" w14:paraId="1BD69E07" w14:textId="77777777">
        <w:tc>
          <w:tcPr>
            <w:tcW w:w="1914" w:type="dxa"/>
          </w:tcPr>
          <w:p w14:paraId="4277FC4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w:t>
            </w:r>
          </w:p>
          <w:p w14:paraId="1015FCF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96936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A0CF8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1914" w:type="dxa"/>
          </w:tcPr>
          <w:p w14:paraId="3947097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Р5-М17</w:t>
            </w:r>
          </w:p>
          <w:p w14:paraId="75442C9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 комплекты</w:t>
            </w:r>
          </w:p>
          <w:p w14:paraId="536FACC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Р5а-М17</w:t>
            </w:r>
          </w:p>
          <w:p w14:paraId="7E44BF0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 комплекты</w:t>
            </w:r>
          </w:p>
          <w:p w14:paraId="2E61AD9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Р5-М17</w:t>
            </w:r>
          </w:p>
          <w:p w14:paraId="744C395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 комплекты</w:t>
            </w:r>
          </w:p>
        </w:tc>
        <w:tc>
          <w:tcPr>
            <w:tcW w:w="1914" w:type="dxa"/>
          </w:tcPr>
          <w:p w14:paraId="2B418CA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1600</w:t>
            </w:r>
          </w:p>
          <w:p w14:paraId="0CBD19C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267</w:t>
            </w:r>
          </w:p>
          <w:p w14:paraId="4D9231C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p w14:paraId="7C8D1E6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p w14:paraId="4CD501B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1650</w:t>
            </w:r>
          </w:p>
          <w:p w14:paraId="22B03D6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275</w:t>
            </w:r>
          </w:p>
        </w:tc>
        <w:tc>
          <w:tcPr>
            <w:tcW w:w="1914" w:type="dxa"/>
          </w:tcPr>
          <w:p w14:paraId="5E2F489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1115</w:t>
            </w:r>
          </w:p>
          <w:p w14:paraId="56FFC17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w:t>
            </w:r>
          </w:p>
          <w:p w14:paraId="2CAD9D1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p w14:paraId="1B70514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p w14:paraId="3EEBB79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1165</w:t>
            </w:r>
          </w:p>
          <w:p w14:paraId="73EDD8D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183</w:t>
            </w:r>
          </w:p>
        </w:tc>
        <w:tc>
          <w:tcPr>
            <w:tcW w:w="1914" w:type="dxa"/>
          </w:tcPr>
          <w:p w14:paraId="06A3AB0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813</w:t>
            </w:r>
          </w:p>
          <w:p w14:paraId="4FE53B5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w:t>
            </w:r>
          </w:p>
          <w:p w14:paraId="2821F52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39C6F21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2042788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813</w:t>
            </w:r>
          </w:p>
          <w:p w14:paraId="3115DB6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w:t>
            </w:r>
          </w:p>
        </w:tc>
        <w:tc>
          <w:tcPr>
            <w:tcW w:w="1487" w:type="dxa"/>
          </w:tcPr>
          <w:p w14:paraId="2E8E155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DBDFD5B" w14:textId="77777777">
        <w:tc>
          <w:tcPr>
            <w:tcW w:w="1914" w:type="dxa"/>
          </w:tcPr>
          <w:p w14:paraId="1379351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1914" w:type="dxa"/>
          </w:tcPr>
          <w:p w14:paraId="2BF6257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И5-М22</w:t>
            </w:r>
          </w:p>
          <w:p w14:paraId="1D093BD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 комплекты</w:t>
            </w:r>
          </w:p>
          <w:p w14:paraId="0648DA7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Отд. один. компл.</w:t>
            </w:r>
          </w:p>
        </w:tc>
        <w:tc>
          <w:tcPr>
            <w:tcW w:w="1914" w:type="dxa"/>
          </w:tcPr>
          <w:p w14:paraId="33F174F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p w14:paraId="51205BD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94</w:t>
            </w:r>
          </w:p>
          <w:p w14:paraId="616FADC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116</w:t>
            </w:r>
          </w:p>
        </w:tc>
        <w:tc>
          <w:tcPr>
            <w:tcW w:w="1914" w:type="dxa"/>
          </w:tcPr>
          <w:p w14:paraId="146A9C5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228</w:t>
            </w:r>
          </w:p>
          <w:p w14:paraId="58FD52E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w:t>
            </w:r>
          </w:p>
          <w:p w14:paraId="096368A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w:t>
            </w:r>
          </w:p>
        </w:tc>
        <w:tc>
          <w:tcPr>
            <w:tcW w:w="1914" w:type="dxa"/>
          </w:tcPr>
          <w:p w14:paraId="45B3841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182</w:t>
            </w:r>
          </w:p>
          <w:p w14:paraId="12E079D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w:t>
            </w:r>
          </w:p>
          <w:p w14:paraId="48AF327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116</w:t>
            </w:r>
          </w:p>
        </w:tc>
        <w:tc>
          <w:tcPr>
            <w:tcW w:w="1487" w:type="dxa"/>
          </w:tcPr>
          <w:p w14:paraId="0430587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41D35AF" w14:textId="77777777">
        <w:tc>
          <w:tcPr>
            <w:tcW w:w="1914" w:type="dxa"/>
          </w:tcPr>
          <w:p w14:paraId="0CAD742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p w14:paraId="754D21A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10F3B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616FB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1914" w:type="dxa"/>
          </w:tcPr>
          <w:p w14:paraId="6906C17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Р6-М17</w:t>
            </w:r>
          </w:p>
          <w:p w14:paraId="4338450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 комплекты</w:t>
            </w:r>
          </w:p>
          <w:p w14:paraId="60BDC94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Р6-М34</w:t>
            </w:r>
          </w:p>
          <w:p w14:paraId="6BDEB20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 комплекты</w:t>
            </w:r>
          </w:p>
          <w:p w14:paraId="5960BA9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w:t>
            </w:r>
          </w:p>
          <w:p w14:paraId="6EE2289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 комплектов</w:t>
            </w:r>
          </w:p>
        </w:tc>
        <w:tc>
          <w:tcPr>
            <w:tcW w:w="1914" w:type="dxa"/>
          </w:tcPr>
          <w:p w14:paraId="753CE40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p w14:paraId="3C03D39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p w14:paraId="79D9A1A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p w14:paraId="2D1C1E7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p w14:paraId="2AC8E90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p w14:paraId="78A0CE2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1914" w:type="dxa"/>
          </w:tcPr>
          <w:p w14:paraId="4C112D0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p w14:paraId="49F9E37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p w14:paraId="1298890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p w14:paraId="00CE876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p w14:paraId="0E2C249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p w14:paraId="4E83E5C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c>
          <w:tcPr>
            <w:tcW w:w="1914" w:type="dxa"/>
          </w:tcPr>
          <w:p w14:paraId="3514035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p w14:paraId="5BD0E73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p w14:paraId="7841FA5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162D0C7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5944ABB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p w14:paraId="3A7C6DF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487" w:type="dxa"/>
          </w:tcPr>
          <w:p w14:paraId="52925D9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64E14F3" w14:textId="77777777">
        <w:tc>
          <w:tcPr>
            <w:tcW w:w="1914" w:type="dxa"/>
          </w:tcPr>
          <w:p w14:paraId="7FA14D8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1914" w:type="dxa"/>
          </w:tcPr>
          <w:p w14:paraId="6A27C41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МБР4-АССО</w:t>
            </w:r>
          </w:p>
          <w:p w14:paraId="129A085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 комплекты</w:t>
            </w:r>
          </w:p>
          <w:p w14:paraId="3A3D9EC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МБР4-М34</w:t>
            </w:r>
          </w:p>
          <w:p w14:paraId="69004D1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 комплекты</w:t>
            </w:r>
          </w:p>
        </w:tc>
        <w:tc>
          <w:tcPr>
            <w:tcW w:w="1914" w:type="dxa"/>
          </w:tcPr>
          <w:p w14:paraId="4B99882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p w14:paraId="5C09072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p w14:paraId="616330F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p w14:paraId="355B35F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1914" w:type="dxa"/>
          </w:tcPr>
          <w:p w14:paraId="07335A8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p w14:paraId="5825575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p w14:paraId="2B94A46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00750B8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914" w:type="dxa"/>
          </w:tcPr>
          <w:p w14:paraId="2547B4F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p w14:paraId="4AF59AA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p w14:paraId="4B39FB5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0A6C7A3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87" w:type="dxa"/>
          </w:tcPr>
          <w:p w14:paraId="7E999DF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FC6B27E" w14:textId="77777777">
        <w:tc>
          <w:tcPr>
            <w:tcW w:w="1914" w:type="dxa"/>
          </w:tcPr>
          <w:p w14:paraId="5C8690C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1914" w:type="dxa"/>
          </w:tcPr>
          <w:p w14:paraId="316E299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АШ-М11</w:t>
            </w:r>
          </w:p>
          <w:p w14:paraId="6A3D8DB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 комплекты</w:t>
            </w:r>
          </w:p>
        </w:tc>
        <w:tc>
          <w:tcPr>
            <w:tcW w:w="1914" w:type="dxa"/>
          </w:tcPr>
          <w:p w14:paraId="5673ABB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p w14:paraId="2E8F17F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1914" w:type="dxa"/>
          </w:tcPr>
          <w:p w14:paraId="429851E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p w14:paraId="688BC51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1914" w:type="dxa"/>
          </w:tcPr>
          <w:p w14:paraId="5514F4F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p w14:paraId="2005CFD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1487" w:type="dxa"/>
          </w:tcPr>
          <w:p w14:paraId="1A03427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p w14:paraId="0A19EDD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r>
      <w:tr w:rsidR="00F26F01" w:rsidRPr="00C33834" w14:paraId="21432CD1" w14:textId="77777777">
        <w:tc>
          <w:tcPr>
            <w:tcW w:w="1914" w:type="dxa"/>
          </w:tcPr>
          <w:p w14:paraId="24BA4DA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c>
          <w:tcPr>
            <w:tcW w:w="1914" w:type="dxa"/>
          </w:tcPr>
          <w:p w14:paraId="1A41331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У2-М11</w:t>
            </w:r>
          </w:p>
          <w:p w14:paraId="5251E12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 комплекты</w:t>
            </w:r>
          </w:p>
        </w:tc>
        <w:tc>
          <w:tcPr>
            <w:tcW w:w="1914" w:type="dxa"/>
          </w:tcPr>
          <w:p w14:paraId="2A369EC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w:t>
            </w:r>
          </w:p>
          <w:p w14:paraId="0C7638C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133</w:t>
            </w:r>
          </w:p>
        </w:tc>
        <w:tc>
          <w:tcPr>
            <w:tcW w:w="1914" w:type="dxa"/>
          </w:tcPr>
          <w:p w14:paraId="2E6DB14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640</w:t>
            </w:r>
          </w:p>
          <w:p w14:paraId="4137532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w:t>
            </w:r>
          </w:p>
        </w:tc>
        <w:tc>
          <w:tcPr>
            <w:tcW w:w="1914" w:type="dxa"/>
          </w:tcPr>
          <w:p w14:paraId="027DCEE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580</w:t>
            </w:r>
          </w:p>
          <w:p w14:paraId="2F76E4D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103</w:t>
            </w:r>
          </w:p>
        </w:tc>
        <w:tc>
          <w:tcPr>
            <w:tcW w:w="1487" w:type="dxa"/>
          </w:tcPr>
          <w:p w14:paraId="7F36923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90,5%</w:t>
            </w:r>
          </w:p>
          <w:p w14:paraId="6B93D44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98%</w:t>
            </w:r>
          </w:p>
        </w:tc>
      </w:tr>
      <w:tr w:rsidR="00F26F01" w:rsidRPr="00C33834" w14:paraId="7AB102A1" w14:textId="77777777">
        <w:tc>
          <w:tcPr>
            <w:tcW w:w="1914" w:type="dxa"/>
          </w:tcPr>
          <w:p w14:paraId="291B07F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1914" w:type="dxa"/>
          </w:tcPr>
          <w:p w14:paraId="0D0E92B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Самолетов</w:t>
            </w:r>
          </w:p>
          <w:p w14:paraId="031F182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 комплектов</w:t>
            </w:r>
          </w:p>
          <w:p w14:paraId="5AED4C7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Отд. один. компл.</w:t>
            </w:r>
          </w:p>
        </w:tc>
        <w:tc>
          <w:tcPr>
            <w:tcW w:w="1914" w:type="dxa"/>
          </w:tcPr>
          <w:p w14:paraId="5C9AED4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3615</w:t>
            </w:r>
          </w:p>
          <w:p w14:paraId="3E8CFC2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637</w:t>
            </w:r>
          </w:p>
          <w:p w14:paraId="41B1613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144</w:t>
            </w:r>
          </w:p>
        </w:tc>
        <w:tc>
          <w:tcPr>
            <w:tcW w:w="1914" w:type="dxa"/>
          </w:tcPr>
          <w:p w14:paraId="4CEA818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2604</w:t>
            </w:r>
          </w:p>
          <w:p w14:paraId="5B77BAA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439</w:t>
            </w:r>
          </w:p>
          <w:p w14:paraId="1B40BC1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w:t>
            </w:r>
          </w:p>
        </w:tc>
        <w:tc>
          <w:tcPr>
            <w:tcW w:w="1914" w:type="dxa"/>
          </w:tcPr>
          <w:p w14:paraId="1D7C77E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1890</w:t>
            </w:r>
          </w:p>
          <w:p w14:paraId="4B109F9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253</w:t>
            </w:r>
          </w:p>
          <w:p w14:paraId="57C6AF4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115</w:t>
            </w:r>
          </w:p>
        </w:tc>
        <w:tc>
          <w:tcPr>
            <w:tcW w:w="1487" w:type="dxa"/>
          </w:tcPr>
          <w:p w14:paraId="7C3E3D2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72,5%</w:t>
            </w:r>
          </w:p>
          <w:p w14:paraId="7ABE157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51,2%</w:t>
            </w:r>
          </w:p>
          <w:p w14:paraId="694AEE9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128,8%</w:t>
            </w:r>
          </w:p>
        </w:tc>
      </w:tr>
      <w:tr w:rsidR="00F26F01" w:rsidRPr="00C33834" w14:paraId="6B269A9B" w14:textId="77777777">
        <w:tc>
          <w:tcPr>
            <w:tcW w:w="1914" w:type="dxa"/>
          </w:tcPr>
          <w:p w14:paraId="73BED58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w:t>
            </w:r>
          </w:p>
        </w:tc>
        <w:tc>
          <w:tcPr>
            <w:tcW w:w="1914" w:type="dxa"/>
          </w:tcPr>
          <w:p w14:paraId="7B12330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Автожиры</w:t>
            </w:r>
          </w:p>
          <w:p w14:paraId="043D243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 комплекты</w:t>
            </w:r>
          </w:p>
        </w:tc>
        <w:tc>
          <w:tcPr>
            <w:tcW w:w="1914" w:type="dxa"/>
          </w:tcPr>
          <w:p w14:paraId="38A2DEC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p w14:paraId="5B49EDE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914" w:type="dxa"/>
          </w:tcPr>
          <w:p w14:paraId="3E38C72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p w14:paraId="233D164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914" w:type="dxa"/>
          </w:tcPr>
          <w:p w14:paraId="798BBBD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p w14:paraId="00B1129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87" w:type="dxa"/>
          </w:tcPr>
          <w:p w14:paraId="2423512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p w14:paraId="79EBEE6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bl>
    <w:p w14:paraId="43062E2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3"/>
        <w:gridCol w:w="1913"/>
        <w:gridCol w:w="1913"/>
        <w:gridCol w:w="1913"/>
        <w:gridCol w:w="1913"/>
        <w:gridCol w:w="1490"/>
      </w:tblGrid>
      <w:tr w:rsidR="00F26F01" w:rsidRPr="00C33834" w14:paraId="5479FCB0" w14:textId="77777777">
        <w:tc>
          <w:tcPr>
            <w:tcW w:w="1913" w:type="dxa"/>
          </w:tcPr>
          <w:p w14:paraId="5F25AC7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1913" w:type="dxa"/>
          </w:tcPr>
          <w:p w14:paraId="4357303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p w14:paraId="02E0C08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 комплекты</w:t>
            </w:r>
          </w:p>
        </w:tc>
        <w:tc>
          <w:tcPr>
            <w:tcW w:w="1913" w:type="dxa"/>
          </w:tcPr>
          <w:p w14:paraId="03462CF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p w14:paraId="3637F59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1913" w:type="dxa"/>
          </w:tcPr>
          <w:p w14:paraId="1BD5AE5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135</w:t>
            </w:r>
          </w:p>
          <w:p w14:paraId="6F8E27E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w:t>
            </w:r>
          </w:p>
        </w:tc>
        <w:tc>
          <w:tcPr>
            <w:tcW w:w="1913" w:type="dxa"/>
          </w:tcPr>
          <w:p w14:paraId="3B9DC32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131</w:t>
            </w:r>
          </w:p>
          <w:p w14:paraId="2E53865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1490" w:type="dxa"/>
          </w:tcPr>
          <w:p w14:paraId="555621D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97%</w:t>
            </w:r>
          </w:p>
          <w:p w14:paraId="645CBAE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w:t>
            </w:r>
          </w:p>
        </w:tc>
      </w:tr>
      <w:tr w:rsidR="00F26F01" w:rsidRPr="00C33834" w14:paraId="1372122C" w14:textId="77777777">
        <w:tc>
          <w:tcPr>
            <w:tcW w:w="1913" w:type="dxa"/>
          </w:tcPr>
          <w:p w14:paraId="66DFD98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w:t>
            </w:r>
          </w:p>
        </w:tc>
        <w:tc>
          <w:tcPr>
            <w:tcW w:w="1913" w:type="dxa"/>
          </w:tcPr>
          <w:p w14:paraId="34AA12D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М-17</w:t>
            </w:r>
          </w:p>
          <w:p w14:paraId="7BA0F44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 комплекты</w:t>
            </w:r>
          </w:p>
        </w:tc>
        <w:tc>
          <w:tcPr>
            <w:tcW w:w="1913" w:type="dxa"/>
          </w:tcPr>
          <w:p w14:paraId="68C7460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790</w:t>
            </w:r>
          </w:p>
          <w:p w14:paraId="3FD5F09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339</w:t>
            </w:r>
          </w:p>
        </w:tc>
        <w:tc>
          <w:tcPr>
            <w:tcW w:w="1913" w:type="dxa"/>
          </w:tcPr>
          <w:p w14:paraId="0D7B318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p w14:paraId="4A28317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1913" w:type="dxa"/>
          </w:tcPr>
          <w:p w14:paraId="02FE236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382</w:t>
            </w:r>
          </w:p>
          <w:p w14:paraId="6AA2093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212</w:t>
            </w:r>
          </w:p>
        </w:tc>
        <w:tc>
          <w:tcPr>
            <w:tcW w:w="1490" w:type="dxa"/>
          </w:tcPr>
          <w:p w14:paraId="6547EC5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95,5%</w:t>
            </w:r>
          </w:p>
          <w:p w14:paraId="13432F1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92,1%</w:t>
            </w:r>
          </w:p>
        </w:tc>
      </w:tr>
      <w:tr w:rsidR="00F26F01" w:rsidRPr="00C33834" w14:paraId="10C2D90D" w14:textId="77777777">
        <w:tc>
          <w:tcPr>
            <w:tcW w:w="1913" w:type="dxa"/>
          </w:tcPr>
          <w:p w14:paraId="1A2FD7C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1913" w:type="dxa"/>
          </w:tcPr>
          <w:p w14:paraId="3875FD8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p w14:paraId="218C172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 комплекты</w:t>
            </w:r>
          </w:p>
          <w:p w14:paraId="16604D3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w:t>
            </w:r>
          </w:p>
          <w:p w14:paraId="077E227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 комплекты</w:t>
            </w:r>
          </w:p>
        </w:tc>
        <w:tc>
          <w:tcPr>
            <w:tcW w:w="1913" w:type="dxa"/>
          </w:tcPr>
          <w:p w14:paraId="0CFD555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p w14:paraId="6DC0058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w:t>
            </w:r>
          </w:p>
          <w:p w14:paraId="7AA20AB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540</w:t>
            </w:r>
          </w:p>
          <w:p w14:paraId="3581677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119</w:t>
            </w:r>
          </w:p>
        </w:tc>
        <w:tc>
          <w:tcPr>
            <w:tcW w:w="1913" w:type="dxa"/>
          </w:tcPr>
          <w:p w14:paraId="406A41F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69</w:t>
            </w:r>
          </w:p>
          <w:p w14:paraId="4771EB3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p w14:paraId="7858625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220</w:t>
            </w:r>
          </w:p>
          <w:p w14:paraId="71C1452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w:t>
            </w:r>
          </w:p>
        </w:tc>
        <w:tc>
          <w:tcPr>
            <w:tcW w:w="1913" w:type="dxa"/>
          </w:tcPr>
          <w:p w14:paraId="1E87913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w:t>
            </w:r>
          </w:p>
          <w:p w14:paraId="51DA919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p w14:paraId="490F566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165</w:t>
            </w:r>
          </w:p>
          <w:p w14:paraId="6C73328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1490" w:type="dxa"/>
          </w:tcPr>
          <w:p w14:paraId="1A66D90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45,8%</w:t>
            </w:r>
          </w:p>
          <w:p w14:paraId="76A00BB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p w14:paraId="74EF9F6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w:t>
            </w:r>
          </w:p>
          <w:p w14:paraId="27C3774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32,9%</w:t>
            </w:r>
          </w:p>
        </w:tc>
      </w:tr>
      <w:tr w:rsidR="00F26F01" w:rsidRPr="00C33834" w14:paraId="7BA48AB1" w14:textId="77777777">
        <w:tc>
          <w:tcPr>
            <w:tcW w:w="1913" w:type="dxa"/>
          </w:tcPr>
          <w:p w14:paraId="1E0D726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1913" w:type="dxa"/>
          </w:tcPr>
          <w:p w14:paraId="04EBD45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Моторов</w:t>
            </w:r>
          </w:p>
          <w:p w14:paraId="663D89B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 комплектов</w:t>
            </w:r>
          </w:p>
        </w:tc>
        <w:tc>
          <w:tcPr>
            <w:tcW w:w="1913" w:type="dxa"/>
          </w:tcPr>
          <w:p w14:paraId="61D8D3D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1430</w:t>
            </w:r>
          </w:p>
          <w:p w14:paraId="5644FA2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610</w:t>
            </w:r>
          </w:p>
        </w:tc>
        <w:tc>
          <w:tcPr>
            <w:tcW w:w="1913" w:type="dxa"/>
          </w:tcPr>
          <w:p w14:paraId="2F3DE32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824</w:t>
            </w:r>
          </w:p>
          <w:p w14:paraId="7440AE2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416</w:t>
            </w:r>
          </w:p>
        </w:tc>
        <w:tc>
          <w:tcPr>
            <w:tcW w:w="1913" w:type="dxa"/>
          </w:tcPr>
          <w:p w14:paraId="7065FD9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710</w:t>
            </w:r>
          </w:p>
          <w:p w14:paraId="13BE413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256</w:t>
            </w:r>
          </w:p>
        </w:tc>
        <w:tc>
          <w:tcPr>
            <w:tcW w:w="1490" w:type="dxa"/>
          </w:tcPr>
          <w:p w14:paraId="04D930E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86,1%</w:t>
            </w:r>
          </w:p>
          <w:p w14:paraId="1B35D7C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61,5%</w:t>
            </w:r>
          </w:p>
        </w:tc>
      </w:tr>
    </w:tbl>
    <w:p w14:paraId="7269A37B"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низ 30 самолетов И-7 находятся на заводе для замены хвостового оперения.</w:t>
      </w:r>
    </w:p>
    <w:p w14:paraId="59B1973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Выводы по количеству</w:t>
      </w:r>
    </w:p>
    <w:p w14:paraId="0D02609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авиапромышленность выполнение заказов ВВС за три квартала 1933 года закончила со значительным недоделом.</w:t>
      </w:r>
    </w:p>
    <w:p w14:paraId="2F3F306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 самолетам</w:t>
      </w:r>
    </w:p>
    <w:p w14:paraId="2630D32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самолетам в целом заказ недовыполнен на 27,5%, т.е. недодано 714 самолетов, причем недовыполнение главным образом по истребителям (И-7) завода № 1, гидросамолетам (Р-5а и ) по заводам №№ 1 и 31, по разведчикам (Р-5) по заводу № 1, также по дальнеразведовательным и крейсерским самолетам по заводу № 31. Третий квартал дал значительное недовыполнение по тяжелобомбардировочным самолетам – ТБ-3 по заводу № в количестве 58 самолетов.</w:t>
      </w:r>
    </w:p>
    <w:p w14:paraId="3A227DE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 моторам</w:t>
      </w:r>
    </w:p>
    <w:p w14:paraId="5844D9D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резервным моторам план заказов недовыполнен на 114 моторов, главным образом, моторов М-22 и М-11 (по заводу № 29).</w:t>
      </w:r>
    </w:p>
    <w:p w14:paraId="6466D00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 запчастям</w:t>
      </w:r>
    </w:p>
    <w:p w14:paraId="5748314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Еще более неудовлетворительно выполнение заказов по групповым комплектам запчастей к самолетам и моторам. По самолетным групповым комплектам недовыполнено 48,8%, т.е. недодано 186 групповых комплектов, а по моторным групповым комплектам недовыполнено 38,5%, т.е. недодано 160 группкомплектов.</w:t>
      </w:r>
    </w:p>
    <w:p w14:paraId="07965CB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Помимо недосдачи групповых комплектов к самолетам и моторам, сданные групповые комплекты недоукомплектованы, например: в группкомплекты к мотору М-17 недодаются роликовые обоймы, шатуны, коренные вкладыши, ролики шатунов и др.; в самолетные комплекты и к самолетам недодаются специальные ключи, ряд технических деталей и др., что сильно затрудняет эксплуатацию и ремонт самолетов и моторов в частях ВВС.</w:t>
      </w:r>
    </w:p>
    <w:p w14:paraId="2E70752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СТО от 27 апреля 1933 года о сдаче в 1933 году 100 самолетов ТБ-3 и 350 самолетов Р-5 на тормозных колесах до сих пор авиапромышленностью не выполнено.</w:t>
      </w:r>
    </w:p>
    <w:p w14:paraId="2B4A753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Несмотря на то, что тем же решением СТО, ГУАП обязан был не позднее 10 июля 1933 года сдать на тормозных колесах первые пять самолетов Р-5 и не позднее 15 августа 1933 года – первые 5 самолетов ТБ-3, ни один самолет на тормозных шасси не сдан.</w:t>
      </w:r>
    </w:p>
    <w:p w14:paraId="627F8CF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Выводы по качеству</w:t>
      </w:r>
    </w:p>
    <w:p w14:paraId="5250566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 самолетам</w:t>
      </w:r>
    </w:p>
    <w:p w14:paraId="6F0F390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Качество сдаваемых самолетов продолжает иметь ряд существенных недостатков, например:</w:t>
      </w:r>
    </w:p>
    <w:p w14:paraId="360BC7AA"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почти все самолеты перетяжелены против весов образцов или против расчетных весов;</w:t>
      </w:r>
    </w:p>
    <w:p w14:paraId="7CF7A3FD"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большинстве самолетов с моторами водяного охлаждения текут радиаторы;</w:t>
      </w:r>
    </w:p>
    <w:p w14:paraId="435B1BF1"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текут бензо-маслокраны;</w:t>
      </w:r>
    </w:p>
    <w:p w14:paraId="194BD048"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ряд частей и деталей самолетов слабо и ломается (хвостовое оперение И-7, крепление верхних узлов шасси самолета ТБ-3) и т.д.</w:t>
      </w:r>
    </w:p>
    <w:p w14:paraId="0C822AE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 моторам</w:t>
      </w:r>
    </w:p>
    <w:p w14:paraId="78B5BEF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еще частые явления на моторах М-17:</w:t>
      </w:r>
    </w:p>
    <w:p w14:paraId="6F6B9651"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обрыв шпилек цилиндров;</w:t>
      </w:r>
    </w:p>
    <w:p w14:paraId="0D728F0D"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обрыв фланцев цилиндров;</w:t>
      </w:r>
    </w:p>
    <w:p w14:paraId="7EE68F4E"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износ верхних головок шатунов;</w:t>
      </w:r>
    </w:p>
    <w:p w14:paraId="6E149C45"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люфт сцепления магнето;</w:t>
      </w:r>
    </w:p>
    <w:p w14:paraId="27BBE380"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обрыв шпилек карбюратора.</w:t>
      </w:r>
    </w:p>
    <w:p w14:paraId="6E1376A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М-34 имеет ряд серьезных дефектов, затрудняющих нормальную эксплуатацию его, а именно:</w:t>
      </w:r>
    </w:p>
    <w:p w14:paraId="7BBB8D47"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трещины, выкрашивание и выплавление баббита шатунных и коренных вкладышей;</w:t>
      </w:r>
    </w:p>
    <w:p w14:paraId="6527C803"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поломки коленчатых валов и др.</w:t>
      </w:r>
    </w:p>
    <w:p w14:paraId="4231189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мотору М-22 (завод № 29) в эксплуатации выявлены:</w:t>
      </w:r>
    </w:p>
    <w:p w14:paraId="70896292"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большой износ пальцев;</w:t>
      </w:r>
    </w:p>
    <w:p w14:paraId="619775B2"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износ втулок коромысла;</w:t>
      </w:r>
    </w:p>
    <w:p w14:paraId="0A8B14D8"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не держит давления на малых оборотах из-за плохого монтажа масляных помп.</w:t>
      </w:r>
    </w:p>
    <w:p w14:paraId="14AB5A8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Предложения</w:t>
      </w:r>
    </w:p>
    <w:p w14:paraId="0CBC4EB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 своей стороны полагаю необходимым для обеспечения выполнения авиапромышленностью заказов ВВС на 1933 год проведение следующих мероприятий:</w:t>
      </w:r>
    </w:p>
    <w:p w14:paraId="2F23ED37"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Наркомтяжпром снабдить заводы ГУАПа в IV квартале материалами, в особенности цветными металлами, оловом, сортовыми сталями и лесом в размерах. Полностью обеспечивающих 100% выполнение программы УВВС. Впредь авиазаводы обеспечивать материалами из расчета потребностей на 3 месяца вперед.</w:t>
      </w:r>
    </w:p>
    <w:p w14:paraId="105015B3"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Категорически обязать ГУАП сдать в IV квартале весь недодел первых трех кварталов, как по самолетам, так и по моторам, предложив ГУАПу не позднее 15 октября 1933 года разработать конкретный план сдачи продукции в IV квартале.</w:t>
      </w:r>
    </w:p>
    <w:p w14:paraId="6B5D28C6"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ГУАП сдать в IV квартале все заказанные в 1933 году запасные части к самолетам и моторам, как по основным заводам, так и по заводам, изготовляющим запчасти для самолетов, снятых с серийного производства (заводы №№ 16, 18, 35, 45, 47). Так как недовыполнение заказов по запчастям ставит в чрезвычайно тяжелое положение эксплуатацию и ремонт самолетов и моторов в частях ВВС.</w:t>
      </w:r>
    </w:p>
    <w:p w14:paraId="6FF22F56"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Предложить ГУАПу произвести быструю перестройку производства на заводе № 31 по выпуску гидросамолетов и дальнеразведовательных самолетов (Р-6); такие мероприятия провести и в отношении заводов №№ 1 45, кооперированных постройкой самолетов Р-5а на поплавках.</w:t>
      </w:r>
    </w:p>
    <w:p w14:paraId="390ED660"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ГУАП не позднее, как со второй половины октября начать сдавать самолеты Р-5 и ТБ-3 с тормозными шасси, с тем, чтобы в текущем году решение СТО от 27 апреля 1933 года было бы выполнено.</w:t>
      </w:r>
    </w:p>
    <w:p w14:paraId="0942FC84"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ГУАП решительно перестроить работу подсобных заводов (№№ 32, 34, 20, 28, 33) для полного обеспечения выполнения программы IV квартала основных самолетостроительных и моторостроительных заводов по подаче: литья, радиаторов, колес, вооружения, винтов, лыж, масляных и бензиновых помп, карбюраторов. Одновременно ГУАПу добиться своевременного и полного снабжения этих заводов материалами (олово, медь, сталь, лес).</w:t>
      </w:r>
    </w:p>
    <w:p w14:paraId="69DE0D0C"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ГУАП не позднее 20 октября закончить испытание новой передачи к масляной помпе моторов М-22 с последующим немедленным внедрением этой передачи в серийное производство.</w:t>
      </w:r>
    </w:p>
    <w:p w14:paraId="06A76EF0"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ГУАП в течение IV квартала довести веса выпускаемых самолетов до установленных пределов.</w:t>
      </w:r>
    </w:p>
    <w:p w14:paraId="60579E0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ГУАП не позднее 1 декабря 1933 года предъявить УВВС на испытание эталоны самолетов и моторов, предусмотренных по плану заказов на 1934 год (4191, 81-84).</w:t>
      </w:r>
    </w:p>
    <w:p w14:paraId="1C56CFF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74BA2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октября 1933 года начальник ВВС Алкснис писал письмо N 3552сс Ворошилову.</w:t>
      </w:r>
    </w:p>
    <w:p w14:paraId="1E1737D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 о ходе опытного строительства главнейших объектов моторов и самолетов на 1 октября 1933 года</w:t>
      </w:r>
    </w:p>
    <w:p w14:paraId="7BC56D9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моторам:</w:t>
      </w:r>
    </w:p>
    <w:p w14:paraId="600964A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М34Н (с нагнетателем). Мощность 750 л.с., высотность 3500 м. Срок предъявления на гос. испытания 1 сентября 1933 года.</w:t>
      </w:r>
    </w:p>
    <w:p w14:paraId="6367938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был предъявлен на гос. испытания, которые начались 17 сентября. На 41 часу гос. испытания были аннулированы из-за прогорания клапанов и трещин в крышке нагнетателя. На клапанах изменена сталь. Крышка переделана. На гос. испытания мотор можно ожидать к 1 сентября 1933 года.</w:t>
      </w:r>
    </w:p>
    <w:p w14:paraId="17930CE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М-58 (с нагнетателем). Мощность 630 л.с., высотность 4000 м. Срок предъявления на гос. испытания 1 сентября 1933 года.</w:t>
      </w:r>
    </w:p>
    <w:p w14:paraId="7F633E4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Заводские испытания М58 проходят медленными темпами, ввиду постоянных задержек в изготовлении опытных деталей. До сих пор не изжит дефект-поломка клапанов выпуска и коробление седел клапанов. Заводскими испытаниями проверяются новые варианты клапанов. Для проверки высотности мотора в ЦИАМ направлен импеллер М58, который будет испытан в ближайшее время и там же будет проверена высотность мотора к 1 ноября 1933 года. Ожидаемый срок предъявления мотора на гос. испытания 15 ноября 1933 года - 1 декабря 1933 года.</w:t>
      </w:r>
    </w:p>
    <w:p w14:paraId="1D5A134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Н-5 (дизель). Мощность 2000 л.с. Срок предъявления на гос. испытания 1 сентября 1933 года.</w:t>
      </w:r>
    </w:p>
    <w:p w14:paraId="23A13AB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Дизель Н-5 находится в сборке. Собран картер с коленчатым валом и нагнетателем и отправлен в лабораторию ЦИАМ для испытания нагнетателя. Срок постановки на заводские испытания до этого установить трудно.</w:t>
      </w:r>
    </w:p>
    <w:p w14:paraId="7B566EB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Н-1 (дизель). Мощность 750-900 л.с. Срок предъявления на гос. испытания 1 ноября 1933 года.</w:t>
      </w:r>
    </w:p>
    <w:p w14:paraId="3DE28CC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Дизель Н-1 находится в сборке. Ввиду задержки в механической обработке ряда деталей, срок окончания сборки и начало заводских испытаний установить трудно.</w:t>
      </w:r>
    </w:p>
    <w:p w14:paraId="37401CA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М-34Р (выпуск серии).</w:t>
      </w:r>
    </w:p>
    <w:p w14:paraId="319791B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октября 1933 года завод N 24 не обеспечил выпуска в серию С34Р. Модели готовы, технологический процесс разработан, проектируется инструмент и приспособления.... Нормальный выпуск серии завод предполагает наладить во 2-ом квартале 1934 года вместо 1 октября 1933 года, определен. постановлением РВС.</w:t>
      </w:r>
    </w:p>
    <w:p w14:paraId="1EBD5CD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М-34э (с электронным картером). Срок предъявления 1 декабря 1933 года.</w:t>
      </w:r>
    </w:p>
    <w:p w14:paraId="61A0662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предъявлен на гос. испытания, которые начались 5 октября 1933 года. Электронный картер дает облегчение мотора на 35 кг. Общий вес мотора вместо 600 кг будет 565 кг.</w:t>
      </w:r>
    </w:p>
    <w:p w14:paraId="617B8DC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самолетам:</w:t>
      </w:r>
    </w:p>
    <w:p w14:paraId="5BFBF50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Установка мотора М34 на самолете ТБ3</w:t>
      </w:r>
    </w:p>
    <w:p w14:paraId="6BF4A5B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крайне длительной доводки винтомоторной группы на самолете ТБ3-4М34 ЦАГИ 17 сентября 1933 года передало на гос. испытания самолет ТБ3-4М34 (без редуктора) с тремя вариантами винтов.</w:t>
      </w:r>
    </w:p>
    <w:p w14:paraId="2385A3C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ЦАГИ начаты заводские испытания ТБ3-4М34 с редуктором. По данным испытаний ЦАГИ потолок ТБ3-4М34 с редуктором 4600м, полетный вес самолета 18600 кг.</w:t>
      </w:r>
    </w:p>
    <w:p w14:paraId="58E9354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Одноместный истребитель И14 с мотором Бристоль Меркур. Срок предъявления на гос. испытания 30 июля 1933 года.</w:t>
      </w:r>
    </w:p>
    <w:p w14:paraId="05ACD34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ввиду необходимости доводки механизма подъема шасси на гос. испытания не передан. В настоящее время после переделки шасси ЦАГИ вновь приступило к заводским испытаниям самолета.</w:t>
      </w:r>
    </w:p>
    <w:p w14:paraId="523254B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Легкий разведчик ЛР-М34</w:t>
      </w:r>
    </w:p>
    <w:p w14:paraId="6FE9997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 испытания 1 сентября 1933 года.</w:t>
      </w:r>
    </w:p>
    <w:p w14:paraId="6FB277D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проходит заводские испытания, крупных дефектов у самолета не обнаружено, летная характеристика еще не снята.</w:t>
      </w:r>
    </w:p>
    <w:p w14:paraId="2CADA50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Многоместный истребитель МИ3-2М34</w:t>
      </w:r>
    </w:p>
    <w:p w14:paraId="1CA05FC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 испытания 1 сентября 1933 года.</w:t>
      </w:r>
    </w:p>
    <w:p w14:paraId="4F87EAA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Опытный самолет, при заводских испытаниях благодаря поломки компенсаторов рулей направления, в воздухе разбит. Дублер самолета должен выйти на заводские испытания между 20-30 октября 1933 года.</w:t>
      </w:r>
    </w:p>
    <w:p w14:paraId="2C42D95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Тяжелый бомбардировщик ТБ4-6М34</w:t>
      </w:r>
    </w:p>
    <w:p w14:paraId="1B97FCE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на гос. испытания 15 августа 1933 года.</w:t>
      </w:r>
    </w:p>
    <w:p w14:paraId="30CDE2C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сентября 1933 года самолет передан на гос. испытания в НИИ ВВС. Испытания показали, что при полетном весе самолета 33 т (в т.ч. полезная нагрузка 11,5 т) самолет имеет потолок всего лишь 2700 м. Столь низкий потолок объясняется установкой на самолете моторов М34 без редуктора и недостатком общей мощности винтомоторной группы.</w:t>
      </w:r>
    </w:p>
    <w:p w14:paraId="6582340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Истребитель И15 Райт-Циклон</w:t>
      </w:r>
    </w:p>
    <w:p w14:paraId="4F13BA4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Истребитель И15 Райт Циклон заканчивается постройкой. Завод N 39 обещает выпустить этот самолет на аэродром к 15-18 октября 1933 года - к заседанию РВС по итогам боевой подготовки.</w:t>
      </w:r>
    </w:p>
    <w:p w14:paraId="42DF052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Истребитель И16-М22</w:t>
      </w:r>
    </w:p>
    <w:p w14:paraId="00D643B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того, что получение импортных моторов ограничено, а введение на вооружение истребителей с большими скоростями крайне необходимо, мною перед заводом N 39 была поставлена задача попытаться изыскать возможности получить истребитель со скоростью порядка 300 км/час и выше под мотор М22.</w:t>
      </w:r>
    </w:p>
    <w:p w14:paraId="36F0E8C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N 39 после подсчета изысканий, дал согласие на конструирование и постройку И16 под М22 со скоростью у земли 345, а на высоте 5000 м - 300 км/час, против 290 км/час у земли у И5 и И7 и против 242-270 км/час скорости их на высоте 5000 м. Срок выхода И16 на аэродром 1 января 1934 года.</w:t>
      </w:r>
    </w:p>
    <w:p w14:paraId="531EC23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Гидросамолеты</w:t>
      </w:r>
    </w:p>
    <w:p w14:paraId="5E0E2F9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Согласно постановления КО всемерно форсируется постройка тяжелых гидросамолетов МДР4-3М34 и МК1-6М34.</w:t>
      </w:r>
    </w:p>
    <w:p w14:paraId="6145A69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самолет находится в производстве, готовность 30%. Проектирование второго самолета закончено. Готовность в производстве 66%.</w:t>
      </w:r>
    </w:p>
    <w:p w14:paraId="4815327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Во исполнение постановления РВС от 17 июля 1933 года об организации бюро опытного гидросамолетостроения на незамерзающем море ведется выбор места. ГУАП настаивает на Севастополе, ВВС на районе Керчи.</w:t>
      </w:r>
    </w:p>
    <w:p w14:paraId="703EEFB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Экспериментальные работы</w:t>
      </w:r>
    </w:p>
    <w:p w14:paraId="397F984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В НИИ ВВС закончены испытания ТБ3-4М17 с двумя и тремя установленными на нем истребителями И5-М22 (звено Вахмистрова). Испытания показали значительное увеличение скороподъемности ТБ3-4м17, небольшое (100-300 м) увеличение потолка и полную надежность подъема истребителей с крыльев бомбовоза.</w:t>
      </w:r>
    </w:p>
    <w:p w14:paraId="6F00957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Закончились успешно заводские испытания, ускорения ракетами взлета ТБ1-2М17. При полетном весе самолета ТБ1-2М17 8000 кг разбег сократился с 550-600 м до 150 м. Самолет предъявлен на гос. испытания (3516,130-136).</w:t>
      </w:r>
    </w:p>
    <w:p w14:paraId="04728AE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3947EB9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октября 1933 года начальник Управления материально-технического снабжения и вооружения УВВС Жаров писал письмо в СТО Базилевичу</w:t>
      </w:r>
    </w:p>
    <w:p w14:paraId="17256BE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выполнении авиапромышленностью плана заказов УВВС 1933 года за 9 месяцев</w:t>
      </w:r>
    </w:p>
    <w:p w14:paraId="11AA30CD"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Постановлением СТО от 5 декабря 1932 года для ВВС по авиапромышленности определен следующий заказ материальной части:</w:t>
      </w:r>
    </w:p>
    <w:p w14:paraId="491EE9C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w:t>
      </w:r>
    </w:p>
    <w:p w14:paraId="41FC930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ТБ3-М17 – 150 штук</w:t>
      </w:r>
    </w:p>
    <w:p w14:paraId="11A12B7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ТБ3-М34 - 150 штук</w:t>
      </w:r>
    </w:p>
    <w:p w14:paraId="6F0C54D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ТБ4-М34 - 10 штук</w:t>
      </w:r>
    </w:p>
    <w:p w14:paraId="4720485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Р6-М17 - 80 штук</w:t>
      </w:r>
    </w:p>
    <w:p w14:paraId="3C8462A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Р6-М34 - 50 штук</w:t>
      </w:r>
    </w:p>
    <w:p w14:paraId="3DC9CF8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Р5-М17 - 1600 штук</w:t>
      </w:r>
    </w:p>
    <w:p w14:paraId="022C2C1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МР5-М17 - 50 штук</w:t>
      </w:r>
    </w:p>
    <w:p w14:paraId="73A530D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С62-АССО - 20 штук</w:t>
      </w:r>
    </w:p>
    <w:p w14:paraId="234FC64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С62-М34 - 60 штук</w:t>
      </w:r>
    </w:p>
    <w:p w14:paraId="467693A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И5-М22 – 350 штук</w:t>
      </w:r>
    </w:p>
    <w:p w14:paraId="4E0AF27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И7-М17 – 250 штук</w:t>
      </w:r>
    </w:p>
    <w:p w14:paraId="15048AB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МИ3-М34 – 25 штук</w:t>
      </w:r>
    </w:p>
    <w:p w14:paraId="6A49320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АШ-М11 – 50 штук</w:t>
      </w:r>
    </w:p>
    <w:p w14:paraId="15119B0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У2-М11 – 800 штук</w:t>
      </w:r>
    </w:p>
    <w:p w14:paraId="5F74220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3615 штук</w:t>
      </w:r>
    </w:p>
    <w:p w14:paraId="0549FD8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w:t>
      </w:r>
    </w:p>
    <w:p w14:paraId="0290B4A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 – 3300 штук</w:t>
      </w:r>
    </w:p>
    <w:p w14:paraId="046E7D5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 1070 штук</w:t>
      </w:r>
    </w:p>
    <w:p w14:paraId="1DCB98A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 – 450 штук</w:t>
      </w:r>
    </w:p>
    <w:p w14:paraId="26ABF68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 – 1190 штук</w:t>
      </w:r>
    </w:p>
    <w:p w14:paraId="2E1E838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6010 штук</w:t>
      </w:r>
    </w:p>
    <w:p w14:paraId="63A7F338"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авиапромышленностью заключенных в развитие постановления СТО договоров за период 1 января – 1 октября 1933 года – выразилось:</w:t>
      </w:r>
    </w:p>
    <w:p w14:paraId="3D2A9D7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Самолеты: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F26F01" w:rsidRPr="00C33834" w14:paraId="32243692" w14:textId="77777777">
        <w:tc>
          <w:tcPr>
            <w:tcW w:w="1914" w:type="dxa"/>
          </w:tcPr>
          <w:p w14:paraId="26E8F3B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завода</w:t>
            </w:r>
          </w:p>
        </w:tc>
        <w:tc>
          <w:tcPr>
            <w:tcW w:w="1914" w:type="dxa"/>
          </w:tcPr>
          <w:p w14:paraId="51DB9B5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Типы самолетов</w:t>
            </w:r>
          </w:p>
        </w:tc>
        <w:tc>
          <w:tcPr>
            <w:tcW w:w="1914" w:type="dxa"/>
          </w:tcPr>
          <w:p w14:paraId="70E4025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Годовой заказ, согласно постановления СТО</w:t>
            </w:r>
          </w:p>
        </w:tc>
        <w:tc>
          <w:tcPr>
            <w:tcW w:w="1914" w:type="dxa"/>
          </w:tcPr>
          <w:p w14:paraId="763BCA3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Подлежащие сдаче, согласно договора за 9 месяцев</w:t>
            </w:r>
          </w:p>
        </w:tc>
        <w:tc>
          <w:tcPr>
            <w:tcW w:w="1914" w:type="dxa"/>
          </w:tcPr>
          <w:p w14:paraId="6EC9290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Сдано за 9 месяцев</w:t>
            </w:r>
          </w:p>
        </w:tc>
        <w:tc>
          <w:tcPr>
            <w:tcW w:w="1487" w:type="dxa"/>
          </w:tcPr>
          <w:p w14:paraId="36388A7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выполнения</w:t>
            </w:r>
          </w:p>
        </w:tc>
      </w:tr>
      <w:tr w:rsidR="00F26F01" w:rsidRPr="00C33834" w14:paraId="2B0E566D" w14:textId="77777777">
        <w:tc>
          <w:tcPr>
            <w:tcW w:w="1914" w:type="dxa"/>
          </w:tcPr>
          <w:p w14:paraId="324E3BE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914" w:type="dxa"/>
          </w:tcPr>
          <w:p w14:paraId="7E5C137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Р5-М17</w:t>
            </w:r>
          </w:p>
          <w:p w14:paraId="2D635ED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МР5-М17</w:t>
            </w:r>
          </w:p>
          <w:p w14:paraId="583A81A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p w14:paraId="578D915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И7-М17</w:t>
            </w:r>
          </w:p>
        </w:tc>
        <w:tc>
          <w:tcPr>
            <w:tcW w:w="1914" w:type="dxa"/>
          </w:tcPr>
          <w:p w14:paraId="6D0D284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1600</w:t>
            </w:r>
          </w:p>
          <w:p w14:paraId="2CCFAAD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p w14:paraId="35DA2C5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1660</w:t>
            </w:r>
          </w:p>
          <w:p w14:paraId="0DE4A3F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1914" w:type="dxa"/>
          </w:tcPr>
          <w:p w14:paraId="1773B6D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1115</w:t>
            </w:r>
          </w:p>
          <w:p w14:paraId="4D3B1E9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p w14:paraId="70116CA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1165</w:t>
            </w:r>
          </w:p>
          <w:p w14:paraId="678349A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w:t>
            </w:r>
          </w:p>
        </w:tc>
        <w:tc>
          <w:tcPr>
            <w:tcW w:w="1914" w:type="dxa"/>
          </w:tcPr>
          <w:p w14:paraId="32AD114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813</w:t>
            </w:r>
          </w:p>
          <w:p w14:paraId="347D0F4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3CBF4CD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813</w:t>
            </w:r>
          </w:p>
          <w:p w14:paraId="11F3A33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w:t>
            </w:r>
          </w:p>
        </w:tc>
        <w:tc>
          <w:tcPr>
            <w:tcW w:w="1487" w:type="dxa"/>
          </w:tcPr>
          <w:p w14:paraId="4AC9E11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73,9%</w:t>
            </w:r>
          </w:p>
          <w:p w14:paraId="3DCCA38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p w14:paraId="6EA9E45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69,7%</w:t>
            </w:r>
          </w:p>
          <w:p w14:paraId="06A9618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25,7%</w:t>
            </w:r>
          </w:p>
        </w:tc>
      </w:tr>
      <w:tr w:rsidR="00F26F01" w:rsidRPr="00C33834" w14:paraId="2C3E22E7" w14:textId="77777777">
        <w:tc>
          <w:tcPr>
            <w:tcW w:w="1914" w:type="dxa"/>
          </w:tcPr>
          <w:p w14:paraId="60164EC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1914" w:type="dxa"/>
          </w:tcPr>
          <w:p w14:paraId="52D9884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-М22</w:t>
            </w:r>
          </w:p>
        </w:tc>
        <w:tc>
          <w:tcPr>
            <w:tcW w:w="1914" w:type="dxa"/>
          </w:tcPr>
          <w:p w14:paraId="7E4CFC8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tc>
        <w:tc>
          <w:tcPr>
            <w:tcW w:w="1914" w:type="dxa"/>
          </w:tcPr>
          <w:p w14:paraId="6A80BBD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228</w:t>
            </w:r>
          </w:p>
        </w:tc>
        <w:tc>
          <w:tcPr>
            <w:tcW w:w="1914" w:type="dxa"/>
          </w:tcPr>
          <w:p w14:paraId="67B3A14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182</w:t>
            </w:r>
          </w:p>
        </w:tc>
        <w:tc>
          <w:tcPr>
            <w:tcW w:w="1487" w:type="dxa"/>
          </w:tcPr>
          <w:p w14:paraId="713F80D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72,8%</w:t>
            </w:r>
          </w:p>
        </w:tc>
      </w:tr>
      <w:tr w:rsidR="00F26F01" w:rsidRPr="00C33834" w14:paraId="410C1A59" w14:textId="77777777">
        <w:tc>
          <w:tcPr>
            <w:tcW w:w="1914" w:type="dxa"/>
          </w:tcPr>
          <w:p w14:paraId="66CDC25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1914" w:type="dxa"/>
          </w:tcPr>
          <w:p w14:paraId="7EA4ABC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w:t>
            </w:r>
          </w:p>
          <w:p w14:paraId="0E5F42B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w:t>
            </w:r>
          </w:p>
          <w:p w14:paraId="778F5AB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1914" w:type="dxa"/>
          </w:tcPr>
          <w:p w14:paraId="51972DF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p w14:paraId="2FCA30E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p w14:paraId="7AC3945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270</w:t>
            </w:r>
          </w:p>
        </w:tc>
        <w:tc>
          <w:tcPr>
            <w:tcW w:w="1914" w:type="dxa"/>
          </w:tcPr>
          <w:p w14:paraId="3C1DC55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p w14:paraId="5D27587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110</w:t>
            </w:r>
          </w:p>
          <w:p w14:paraId="4979B53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1914" w:type="dxa"/>
          </w:tcPr>
          <w:p w14:paraId="5D2A76C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168</w:t>
            </w:r>
          </w:p>
          <w:p w14:paraId="411B315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p w14:paraId="4B40C54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172</w:t>
            </w:r>
          </w:p>
        </w:tc>
        <w:tc>
          <w:tcPr>
            <w:tcW w:w="1487" w:type="dxa"/>
          </w:tcPr>
          <w:p w14:paraId="0EDCF32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w:t>
            </w:r>
          </w:p>
          <w:p w14:paraId="4D683DF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w:t>
            </w:r>
          </w:p>
          <w:p w14:paraId="331ED63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74,7%</w:t>
            </w:r>
          </w:p>
        </w:tc>
      </w:tr>
      <w:tr w:rsidR="00F26F01" w:rsidRPr="00C33834" w14:paraId="040EC1CB" w14:textId="77777777">
        <w:tc>
          <w:tcPr>
            <w:tcW w:w="1914" w:type="dxa"/>
          </w:tcPr>
          <w:p w14:paraId="085BAE8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w:t>
            </w:r>
          </w:p>
        </w:tc>
        <w:tc>
          <w:tcPr>
            <w:tcW w:w="1914" w:type="dxa"/>
          </w:tcPr>
          <w:p w14:paraId="40438E5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w:t>
            </w:r>
          </w:p>
        </w:tc>
        <w:tc>
          <w:tcPr>
            <w:tcW w:w="1914" w:type="dxa"/>
          </w:tcPr>
          <w:p w14:paraId="7AB79D6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1914" w:type="dxa"/>
          </w:tcPr>
          <w:p w14:paraId="711D77E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w:t>
            </w:r>
          </w:p>
        </w:tc>
        <w:tc>
          <w:tcPr>
            <w:tcW w:w="1914" w:type="dxa"/>
          </w:tcPr>
          <w:p w14:paraId="128E389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1487" w:type="dxa"/>
          </w:tcPr>
          <w:p w14:paraId="751D673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92,3%</w:t>
            </w:r>
          </w:p>
        </w:tc>
      </w:tr>
      <w:tr w:rsidR="00F26F01" w:rsidRPr="00C33834" w14:paraId="06A7F661" w14:textId="77777777">
        <w:tc>
          <w:tcPr>
            <w:tcW w:w="1914" w:type="dxa"/>
          </w:tcPr>
          <w:p w14:paraId="452D3D6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Итого </w:t>
            </w:r>
          </w:p>
        </w:tc>
        <w:tc>
          <w:tcPr>
            <w:tcW w:w="1914" w:type="dxa"/>
          </w:tcPr>
          <w:p w14:paraId="739A264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1914" w:type="dxa"/>
          </w:tcPr>
          <w:p w14:paraId="7BBC88E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1914" w:type="dxa"/>
          </w:tcPr>
          <w:p w14:paraId="0ADBF40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256</w:t>
            </w:r>
          </w:p>
        </w:tc>
        <w:tc>
          <w:tcPr>
            <w:tcW w:w="1914" w:type="dxa"/>
          </w:tcPr>
          <w:p w14:paraId="332DBE1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196</w:t>
            </w:r>
          </w:p>
        </w:tc>
        <w:tc>
          <w:tcPr>
            <w:tcW w:w="1487" w:type="dxa"/>
          </w:tcPr>
          <w:p w14:paraId="7CE20A0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76,5%</w:t>
            </w:r>
          </w:p>
        </w:tc>
      </w:tr>
      <w:tr w:rsidR="00F26F01" w:rsidRPr="00C33834" w14:paraId="56B23C64" w14:textId="77777777">
        <w:tc>
          <w:tcPr>
            <w:tcW w:w="1914" w:type="dxa"/>
          </w:tcPr>
          <w:p w14:paraId="74A3AB7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1914" w:type="dxa"/>
          </w:tcPr>
          <w:p w14:paraId="45F7132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ТБ4-5М34</w:t>
            </w:r>
          </w:p>
          <w:p w14:paraId="32A7C93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МИ3-3М34</w:t>
            </w:r>
          </w:p>
        </w:tc>
        <w:tc>
          <w:tcPr>
            <w:tcW w:w="1914" w:type="dxa"/>
          </w:tcPr>
          <w:p w14:paraId="69DF265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p w14:paraId="30CE858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tc>
        <w:tc>
          <w:tcPr>
            <w:tcW w:w="1914" w:type="dxa"/>
          </w:tcPr>
          <w:p w14:paraId="7DE5BFD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71FEA57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914" w:type="dxa"/>
          </w:tcPr>
          <w:p w14:paraId="511E2C1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0D8DEC7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87" w:type="dxa"/>
          </w:tcPr>
          <w:p w14:paraId="18B6162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1C7BDBF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EFE1159" w14:textId="77777777">
        <w:tc>
          <w:tcPr>
            <w:tcW w:w="1914" w:type="dxa"/>
          </w:tcPr>
          <w:p w14:paraId="0EC3A1D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1914" w:type="dxa"/>
          </w:tcPr>
          <w:p w14:paraId="02259DD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МБР4-АССО</w:t>
            </w:r>
          </w:p>
          <w:p w14:paraId="7823F81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МБР4-М34</w:t>
            </w:r>
          </w:p>
          <w:p w14:paraId="16F0BDA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p w14:paraId="2CA7BA6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Р6-2М17</w:t>
            </w:r>
          </w:p>
          <w:p w14:paraId="39A6F75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Р6-2М34</w:t>
            </w:r>
          </w:p>
          <w:p w14:paraId="556C342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p w14:paraId="33198AB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АШ-М11</w:t>
            </w:r>
          </w:p>
        </w:tc>
        <w:tc>
          <w:tcPr>
            <w:tcW w:w="1914" w:type="dxa"/>
          </w:tcPr>
          <w:p w14:paraId="75EA8FE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p w14:paraId="42A058F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p w14:paraId="1C816B2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p w14:paraId="2BF94B5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p w14:paraId="15CCA9C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p w14:paraId="6799978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p w14:paraId="0A56C8E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914" w:type="dxa"/>
          </w:tcPr>
          <w:p w14:paraId="3E66C60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p w14:paraId="07C7A82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118B919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p w14:paraId="325C9C5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p w14:paraId="25E619E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p w14:paraId="077BC50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p w14:paraId="324158E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914" w:type="dxa"/>
          </w:tcPr>
          <w:p w14:paraId="0FFD8AB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p w14:paraId="0CBE4ED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7BE2695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p w14:paraId="37EFF80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p w14:paraId="0C0B4B6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2858C25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p w14:paraId="7023D96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487" w:type="dxa"/>
          </w:tcPr>
          <w:p w14:paraId="2A58D3F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w:t>
            </w:r>
          </w:p>
          <w:p w14:paraId="2CC8420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199A198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w:t>
            </w:r>
          </w:p>
          <w:p w14:paraId="47D31E9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p w14:paraId="0949AE6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p w14:paraId="6AB4383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12,8%</w:t>
            </w:r>
          </w:p>
          <w:p w14:paraId="1EDDD34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45347537" w14:textId="77777777">
        <w:tc>
          <w:tcPr>
            <w:tcW w:w="1914" w:type="dxa"/>
          </w:tcPr>
          <w:p w14:paraId="33EC47A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c>
          <w:tcPr>
            <w:tcW w:w="1914" w:type="dxa"/>
          </w:tcPr>
          <w:p w14:paraId="0A8637C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У2-М11</w:t>
            </w:r>
          </w:p>
        </w:tc>
        <w:tc>
          <w:tcPr>
            <w:tcW w:w="1914" w:type="dxa"/>
          </w:tcPr>
          <w:p w14:paraId="5A1679C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w:t>
            </w:r>
          </w:p>
        </w:tc>
        <w:tc>
          <w:tcPr>
            <w:tcW w:w="1914" w:type="dxa"/>
          </w:tcPr>
          <w:p w14:paraId="2B4B834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640</w:t>
            </w:r>
          </w:p>
        </w:tc>
        <w:tc>
          <w:tcPr>
            <w:tcW w:w="1914" w:type="dxa"/>
          </w:tcPr>
          <w:p w14:paraId="0AF7A0B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580</w:t>
            </w:r>
          </w:p>
        </w:tc>
        <w:tc>
          <w:tcPr>
            <w:tcW w:w="1487" w:type="dxa"/>
          </w:tcPr>
          <w:p w14:paraId="58DD849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90,6%</w:t>
            </w:r>
          </w:p>
        </w:tc>
      </w:tr>
      <w:tr w:rsidR="00F26F01" w:rsidRPr="00C33834" w14:paraId="16064499" w14:textId="77777777">
        <w:tc>
          <w:tcPr>
            <w:tcW w:w="1914" w:type="dxa"/>
          </w:tcPr>
          <w:p w14:paraId="0881891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1914" w:type="dxa"/>
          </w:tcPr>
          <w:p w14:paraId="6C74DD1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914" w:type="dxa"/>
          </w:tcPr>
          <w:p w14:paraId="5A53B6B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3615</w:t>
            </w:r>
          </w:p>
        </w:tc>
        <w:tc>
          <w:tcPr>
            <w:tcW w:w="1914" w:type="dxa"/>
          </w:tcPr>
          <w:p w14:paraId="58957D3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2604</w:t>
            </w:r>
          </w:p>
        </w:tc>
        <w:tc>
          <w:tcPr>
            <w:tcW w:w="1914" w:type="dxa"/>
          </w:tcPr>
          <w:p w14:paraId="79F0C48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1890</w:t>
            </w:r>
          </w:p>
        </w:tc>
        <w:tc>
          <w:tcPr>
            <w:tcW w:w="1487" w:type="dxa"/>
          </w:tcPr>
          <w:p w14:paraId="24B02EF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72,5%</w:t>
            </w:r>
          </w:p>
        </w:tc>
      </w:tr>
    </w:tbl>
    <w:p w14:paraId="0982620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F26F01" w:rsidRPr="00C33834" w14:paraId="01F8A47D" w14:textId="77777777">
        <w:tc>
          <w:tcPr>
            <w:tcW w:w="1914" w:type="dxa"/>
          </w:tcPr>
          <w:p w14:paraId="69F73BB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завода</w:t>
            </w:r>
          </w:p>
        </w:tc>
        <w:tc>
          <w:tcPr>
            <w:tcW w:w="1914" w:type="dxa"/>
          </w:tcPr>
          <w:p w14:paraId="4CBBF7B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Типы моторов</w:t>
            </w:r>
          </w:p>
        </w:tc>
        <w:tc>
          <w:tcPr>
            <w:tcW w:w="1914" w:type="dxa"/>
          </w:tcPr>
          <w:p w14:paraId="621BCFF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Годовой заказ, согласно постановления СТО</w:t>
            </w:r>
          </w:p>
        </w:tc>
        <w:tc>
          <w:tcPr>
            <w:tcW w:w="1914" w:type="dxa"/>
          </w:tcPr>
          <w:p w14:paraId="600653C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Подлежащие сдаче, согласно договора за 9 месяцев</w:t>
            </w:r>
          </w:p>
        </w:tc>
        <w:tc>
          <w:tcPr>
            <w:tcW w:w="1914" w:type="dxa"/>
          </w:tcPr>
          <w:p w14:paraId="6DC8EEB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Сдано за 9 месяцев</w:t>
            </w:r>
          </w:p>
        </w:tc>
        <w:tc>
          <w:tcPr>
            <w:tcW w:w="1487" w:type="dxa"/>
          </w:tcPr>
          <w:p w14:paraId="507A616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выполнения</w:t>
            </w:r>
          </w:p>
        </w:tc>
      </w:tr>
      <w:tr w:rsidR="00F26F01" w:rsidRPr="00C33834" w14:paraId="418E3DD5" w14:textId="77777777">
        <w:tc>
          <w:tcPr>
            <w:tcW w:w="1914" w:type="dxa"/>
          </w:tcPr>
          <w:p w14:paraId="3ACAF5A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1914" w:type="dxa"/>
          </w:tcPr>
          <w:p w14:paraId="173DC70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p w14:paraId="3809487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самолеты</w:t>
            </w:r>
          </w:p>
          <w:p w14:paraId="572DA67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резерв</w:t>
            </w:r>
          </w:p>
        </w:tc>
        <w:tc>
          <w:tcPr>
            <w:tcW w:w="1914" w:type="dxa"/>
          </w:tcPr>
          <w:p w14:paraId="0D57132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8640F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870</w:t>
            </w:r>
          </w:p>
          <w:p w14:paraId="19772B5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1914" w:type="dxa"/>
          </w:tcPr>
          <w:p w14:paraId="0BC723E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B9AA6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521</w:t>
            </w:r>
          </w:p>
          <w:p w14:paraId="7ACA84C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135</w:t>
            </w:r>
          </w:p>
        </w:tc>
        <w:tc>
          <w:tcPr>
            <w:tcW w:w="1914" w:type="dxa"/>
          </w:tcPr>
          <w:p w14:paraId="4653FCC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15A40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197</w:t>
            </w:r>
          </w:p>
          <w:p w14:paraId="1C4287C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131</w:t>
            </w:r>
          </w:p>
        </w:tc>
        <w:tc>
          <w:tcPr>
            <w:tcW w:w="1487" w:type="dxa"/>
          </w:tcPr>
          <w:p w14:paraId="3F605C2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BB083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w:t>
            </w:r>
          </w:p>
          <w:p w14:paraId="183843D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97%</w:t>
            </w:r>
          </w:p>
        </w:tc>
      </w:tr>
      <w:tr w:rsidR="00F26F01" w:rsidRPr="00C33834" w14:paraId="79DE5E2C" w14:textId="77777777">
        <w:tc>
          <w:tcPr>
            <w:tcW w:w="1914" w:type="dxa"/>
          </w:tcPr>
          <w:p w14:paraId="08E6E1D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w:t>
            </w:r>
          </w:p>
          <w:p w14:paraId="1C73615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914" w:type="dxa"/>
          </w:tcPr>
          <w:p w14:paraId="116AAEE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p w14:paraId="44C3F13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самолеты</w:t>
            </w:r>
          </w:p>
          <w:p w14:paraId="2C0A828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резерв</w:t>
            </w:r>
          </w:p>
        </w:tc>
        <w:tc>
          <w:tcPr>
            <w:tcW w:w="1914" w:type="dxa"/>
          </w:tcPr>
          <w:p w14:paraId="2A3E7F4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A5F23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2600</w:t>
            </w:r>
          </w:p>
          <w:p w14:paraId="0B4A8BB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780*</w:t>
            </w:r>
          </w:p>
        </w:tc>
        <w:tc>
          <w:tcPr>
            <w:tcW w:w="1914" w:type="dxa"/>
          </w:tcPr>
          <w:p w14:paraId="45DDB90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0F1B9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2034</w:t>
            </w:r>
          </w:p>
          <w:p w14:paraId="6CA1C9C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1914" w:type="dxa"/>
          </w:tcPr>
          <w:p w14:paraId="15C7401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F2C05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2070</w:t>
            </w:r>
          </w:p>
          <w:p w14:paraId="56C9D1D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382</w:t>
            </w:r>
          </w:p>
        </w:tc>
        <w:tc>
          <w:tcPr>
            <w:tcW w:w="1487" w:type="dxa"/>
          </w:tcPr>
          <w:p w14:paraId="17836E0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2115B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102%</w:t>
            </w:r>
          </w:p>
          <w:p w14:paraId="184A6A5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95,5%</w:t>
            </w:r>
          </w:p>
        </w:tc>
      </w:tr>
      <w:tr w:rsidR="00F26F01" w:rsidRPr="00C33834" w14:paraId="36C19FF8" w14:textId="77777777">
        <w:tc>
          <w:tcPr>
            <w:tcW w:w="1914" w:type="dxa"/>
          </w:tcPr>
          <w:p w14:paraId="62CFC4A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1914" w:type="dxa"/>
          </w:tcPr>
          <w:p w14:paraId="57B73E1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w:t>
            </w:r>
          </w:p>
          <w:p w14:paraId="2BD4C30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самолеты</w:t>
            </w:r>
          </w:p>
          <w:p w14:paraId="1C4ACDD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резерв</w:t>
            </w:r>
          </w:p>
          <w:p w14:paraId="7CC88DD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p w14:paraId="34F598C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самолеты</w:t>
            </w:r>
          </w:p>
          <w:p w14:paraId="4CF26B3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резерв</w:t>
            </w:r>
          </w:p>
        </w:tc>
        <w:tc>
          <w:tcPr>
            <w:tcW w:w="1914" w:type="dxa"/>
          </w:tcPr>
          <w:p w14:paraId="0B074EC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652A0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650</w:t>
            </w:r>
          </w:p>
          <w:p w14:paraId="6E0A98F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340</w:t>
            </w:r>
          </w:p>
          <w:p w14:paraId="279C66E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244D9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p w14:paraId="29C0562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1914" w:type="dxa"/>
          </w:tcPr>
          <w:p w14:paraId="52B5923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B6705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520</w:t>
            </w:r>
          </w:p>
          <w:p w14:paraId="63FF995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220</w:t>
            </w:r>
          </w:p>
          <w:p w14:paraId="5FAA3DC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10C45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252</w:t>
            </w:r>
          </w:p>
          <w:p w14:paraId="1B4967F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69</w:t>
            </w:r>
          </w:p>
        </w:tc>
        <w:tc>
          <w:tcPr>
            <w:tcW w:w="1914" w:type="dxa"/>
          </w:tcPr>
          <w:p w14:paraId="6A27570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43C7D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791</w:t>
            </w:r>
          </w:p>
          <w:p w14:paraId="7D568AC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165</w:t>
            </w:r>
          </w:p>
          <w:p w14:paraId="7C17B27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256D0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115</w:t>
            </w:r>
          </w:p>
          <w:p w14:paraId="1AD530A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w:t>
            </w:r>
          </w:p>
        </w:tc>
        <w:tc>
          <w:tcPr>
            <w:tcW w:w="1487" w:type="dxa"/>
          </w:tcPr>
          <w:p w14:paraId="7FB8B24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9C942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115%</w:t>
            </w:r>
          </w:p>
          <w:p w14:paraId="70EB885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w:t>
            </w:r>
          </w:p>
          <w:p w14:paraId="16DA16B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A5813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w:t>
            </w:r>
          </w:p>
          <w:p w14:paraId="335AA03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w:t>
            </w:r>
          </w:p>
        </w:tc>
      </w:tr>
      <w:tr w:rsidR="00F26F01" w:rsidRPr="00C33834" w14:paraId="679757E2" w14:textId="77777777">
        <w:tc>
          <w:tcPr>
            <w:tcW w:w="1914" w:type="dxa"/>
          </w:tcPr>
          <w:p w14:paraId="3D22D13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1914" w:type="dxa"/>
          </w:tcPr>
          <w:p w14:paraId="7BC05EC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самолеты</w:t>
            </w:r>
          </w:p>
          <w:p w14:paraId="1E00DC8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резерв</w:t>
            </w:r>
          </w:p>
        </w:tc>
        <w:tc>
          <w:tcPr>
            <w:tcW w:w="1914" w:type="dxa"/>
          </w:tcPr>
          <w:p w14:paraId="2219C23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4670</w:t>
            </w:r>
          </w:p>
          <w:p w14:paraId="513BE21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1430</w:t>
            </w:r>
          </w:p>
        </w:tc>
        <w:tc>
          <w:tcPr>
            <w:tcW w:w="1914" w:type="dxa"/>
          </w:tcPr>
          <w:p w14:paraId="015E463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3467</w:t>
            </w:r>
          </w:p>
          <w:p w14:paraId="18B91B2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824</w:t>
            </w:r>
          </w:p>
        </w:tc>
        <w:tc>
          <w:tcPr>
            <w:tcW w:w="1914" w:type="dxa"/>
          </w:tcPr>
          <w:p w14:paraId="1053793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8173</w:t>
            </w:r>
          </w:p>
          <w:p w14:paraId="6D5E145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710</w:t>
            </w:r>
          </w:p>
        </w:tc>
        <w:tc>
          <w:tcPr>
            <w:tcW w:w="1487" w:type="dxa"/>
          </w:tcPr>
          <w:p w14:paraId="4D3F88F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91%</w:t>
            </w:r>
          </w:p>
          <w:p w14:paraId="197639E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w:t>
            </w:r>
          </w:p>
        </w:tc>
      </w:tr>
    </w:tbl>
    <w:p w14:paraId="34136F90"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Количество сдаваемых в резерв моторов М-17 по дополнительному соглашению между ГУАПом и УВВС увеличено на 90 штук.</w:t>
      </w:r>
    </w:p>
    <w:p w14:paraId="68ABC7D1"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ГУАП и завод № 1 устранить на самолетах И-7 все дефекты, довести серийные самолеты на заводе полностью до требований эталона и начать с 1 ноября серийный выпуск их.</w:t>
      </w:r>
    </w:p>
    <w:p w14:paraId="211D9B55"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ГУАП в течение IV квартала 1933 года ликвидировать всю задолженность ВВС по запасным частям к самолетам и моторам, как в отношении групповых и одиночных комплектов, так и запасных частей снятой с производства продукции.</w:t>
      </w:r>
    </w:p>
    <w:p w14:paraId="07DCCFC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ГУАП в кратчайший срок наладить работу подсобной группы заводов (№№ 22, 34 20, 28 и 33), подрывающих выполнение программы основных самолетостроительных и моторостроительных заводов из-за систематической неподачи: литья, радиаторов, колес, вооружения, винтов, масляных и бензиновых помп и др. изделий (4191, 55-68).</w:t>
      </w:r>
    </w:p>
    <w:p w14:paraId="3D1B5B6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8E9060" w14:textId="77777777" w:rsidR="00CF276A" w:rsidRPr="00C33834" w:rsidRDefault="00CF276A" w:rsidP="00C33834">
      <w:pPr>
        <w:spacing w:after="0" w:line="240" w:lineRule="auto"/>
        <w:jc w:val="both"/>
        <w:rPr>
          <w:rFonts w:ascii="Times New Roman" w:hAnsi="Times New Roman"/>
          <w:color w:val="000000" w:themeColor="text1"/>
          <w:sz w:val="16"/>
          <w:szCs w:val="16"/>
        </w:rPr>
      </w:pPr>
      <w:r w:rsidRPr="00C33834">
        <w:rPr>
          <w:rStyle w:val="ucoz-forum-post"/>
          <w:rFonts w:ascii="Times New Roman" w:eastAsiaTheme="majorEastAsia" w:hAnsi="Times New Roman"/>
          <w:bCs/>
          <w:color w:val="000000" w:themeColor="text1"/>
          <w:sz w:val="16"/>
          <w:szCs w:val="16"/>
        </w:rPr>
        <w:t xml:space="preserve">8 октября </w:t>
      </w:r>
      <w:r w:rsidRPr="00C33834">
        <w:rPr>
          <w:rFonts w:ascii="Times New Roman" w:hAnsi="Times New Roman"/>
          <w:color w:val="000000" w:themeColor="text1"/>
          <w:sz w:val="16"/>
          <w:szCs w:val="16"/>
        </w:rPr>
        <w:t>в 1933 году совершил первый полет истребитель ОКБ Н.Н.Поликарпова И-15 "Чайка" (ЦКБ-3; летчик-испытатель В.П.Чкалов). Для того времени — самый маневренный в мире самолет, превосходивший лучшие зарубежные образцы. В ноябре 1935 г. летчик В.К.Коккинаки на специально облегченном ЦКБ-3 установил неофициальный мировой рекорд высоты полета —14 575 м</w:t>
      </w:r>
    </w:p>
    <w:p w14:paraId="4145ACC9" w14:textId="77777777" w:rsidR="00CF276A" w:rsidRPr="00C33834" w:rsidRDefault="00CF276A" w:rsidP="00C33834">
      <w:pPr>
        <w:spacing w:after="0" w:line="240" w:lineRule="auto"/>
        <w:jc w:val="both"/>
        <w:rPr>
          <w:rFonts w:ascii="Times New Roman" w:hAnsi="Times New Roman"/>
          <w:color w:val="000000" w:themeColor="text1"/>
          <w:sz w:val="16"/>
          <w:szCs w:val="16"/>
        </w:rPr>
      </w:pPr>
    </w:p>
    <w:p w14:paraId="290262C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октября 1933 летчики ГВФ А.С.Демченко закончил перелет из Италии на Дальний Восток на Савойе-55, начавшийся 28 июня (438,657).</w:t>
      </w:r>
    </w:p>
    <w:p w14:paraId="5B952CC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3FB096DA" w14:textId="77777777" w:rsidR="008D2E02" w:rsidRPr="00C33834" w:rsidRDefault="008D2E0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8 октября 1933 опросом членов ПБ</w:t>
      </w:r>
    </w:p>
    <w:p w14:paraId="74980CEC" w14:textId="77777777" w:rsidR="008D2E02" w:rsidRPr="00C33834" w:rsidRDefault="008D2E0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77/54,- О гелии</w:t>
      </w:r>
    </w:p>
    <w:p w14:paraId="0834B0E0" w14:textId="77777777" w:rsidR="008D2E02" w:rsidRPr="00C33834" w:rsidRDefault="008D2E0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(ПБ от 13.1Х.ЗЗг., Пр. № 145, п.125/109).</w:t>
      </w:r>
    </w:p>
    <w:p w14:paraId="68722DA8" w14:textId="77777777" w:rsidR="008D2E02" w:rsidRPr="00C33834" w:rsidRDefault="008D2E0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Во изменение постановления ПБ от 13.1Х.ЗЗ г. возложить ответственность за организацию работ по улавливанию гелия в скважине 103 (Артемовск) на т. Нестерова (Главгаз).</w:t>
      </w:r>
    </w:p>
    <w:p w14:paraId="7F4E6D47" w14:textId="77777777" w:rsidR="008D2E02" w:rsidRPr="00C33834" w:rsidRDefault="008D2E0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Выписки_посланы: т.т. Пятакову, Нестерову.</w:t>
      </w:r>
    </w:p>
    <w:p w14:paraId="7EC34888" w14:textId="77777777" w:rsidR="008D2E02" w:rsidRPr="00C33834" w:rsidRDefault="008D2E0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октября 1933 состоялось заседание ПБ и был оформлен протокол № 147 (22997).</w:t>
      </w:r>
    </w:p>
    <w:p w14:paraId="24C28078" w14:textId="77777777" w:rsidR="008D2E02" w:rsidRPr="00C33834" w:rsidRDefault="008D2E02" w:rsidP="00C33834">
      <w:pPr>
        <w:spacing w:after="0" w:line="240" w:lineRule="auto"/>
        <w:jc w:val="both"/>
        <w:rPr>
          <w:rFonts w:ascii="Times New Roman" w:hAnsi="Times New Roman"/>
          <w:color w:val="0070C0"/>
          <w:sz w:val="16"/>
          <w:szCs w:val="16"/>
        </w:rPr>
      </w:pPr>
    </w:p>
    <w:p w14:paraId="04E309F6"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501E309"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46F7A6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Не ранее 8 октября 1933 г. </w:t>
      </w:r>
      <w:r w:rsidR="000656DA" w:rsidRPr="00C33834">
        <w:rPr>
          <w:rFonts w:ascii="Times New Roman" w:hAnsi="Times New Roman"/>
          <w:color w:val="000000" w:themeColor="text1"/>
          <w:sz w:val="16"/>
          <w:szCs w:val="16"/>
        </w:rPr>
        <w:fldChar w:fldCharType="begin"/>
      </w:r>
      <w:r w:rsidR="000656DA" w:rsidRPr="00C33834">
        <w:rPr>
          <w:rFonts w:ascii="Times New Roman" w:hAnsi="Times New Roman"/>
          <w:color w:val="000000" w:themeColor="text1"/>
          <w:sz w:val="16"/>
          <w:szCs w:val="16"/>
        </w:rPr>
        <w:instrText xml:space="preserve">ref HYPERLINK  \l "_edn2" \* MERGEFORMAT </w:instrText>
      </w:r>
      <w:r w:rsidR="000656DA" w:rsidRPr="00C33834">
        <w:rPr>
          <w:rFonts w:ascii="Times New Roman" w:hAnsi="Times New Roman"/>
          <w:color w:val="000000" w:themeColor="text1"/>
          <w:sz w:val="16"/>
          <w:szCs w:val="16"/>
        </w:rPr>
        <w:fldChar w:fldCharType="separate"/>
      </w:r>
      <w:r w:rsidRPr="00C33834">
        <w:rPr>
          <w:rFonts w:ascii="Times New Roman" w:hAnsi="Times New Roman"/>
          <w:color w:val="000000" w:themeColor="text1"/>
          <w:sz w:val="16"/>
          <w:szCs w:val="16"/>
          <w:u w:val="single"/>
        </w:rPr>
        <w:t>[2]</w:t>
      </w:r>
      <w:r w:rsidR="000656DA" w:rsidRPr="00C33834">
        <w:rPr>
          <w:rFonts w:ascii="Times New Roman" w:hAnsi="Times New Roman"/>
          <w:color w:val="000000" w:themeColor="text1"/>
          <w:sz w:val="16"/>
          <w:szCs w:val="16"/>
          <w:u w:val="single"/>
        </w:rPr>
        <w:fldChar w:fldCharType="end"/>
      </w:r>
      <w:r w:rsidRPr="00C33834">
        <w:rPr>
          <w:rFonts w:ascii="Times New Roman" w:hAnsi="Times New Roman"/>
          <w:color w:val="000000" w:themeColor="text1"/>
          <w:sz w:val="16"/>
          <w:szCs w:val="16"/>
        </w:rPr>
        <w:t xml:space="preserve"> Из отчета дирекции, парткома и завкома Московского автомобильного завода им. Сталина об участии завода во Всесоюзном конкурсе по освоению техники </w:t>
      </w:r>
      <w:r w:rsidRPr="00C33834">
        <w:rPr>
          <w:rFonts w:ascii="Times New Roman" w:hAnsi="Times New Roman"/>
          <w:color w:val="000000" w:themeColor="text1"/>
          <w:sz w:val="16"/>
          <w:szCs w:val="16"/>
          <w:vertAlign w:val="superscript"/>
        </w:rPr>
        <w:t>16</w:t>
      </w:r>
    </w:p>
    <w:p w14:paraId="43B6B83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Не ранее 8 октября 1933 г. </w:t>
      </w:r>
      <w:r w:rsidR="000656DA" w:rsidRPr="00C33834">
        <w:rPr>
          <w:rFonts w:ascii="Times New Roman" w:hAnsi="Times New Roman"/>
          <w:color w:val="000000" w:themeColor="text1"/>
          <w:sz w:val="16"/>
          <w:szCs w:val="16"/>
        </w:rPr>
        <w:fldChar w:fldCharType="begin"/>
      </w:r>
      <w:r w:rsidR="000656DA" w:rsidRPr="00C33834">
        <w:rPr>
          <w:rFonts w:ascii="Times New Roman" w:hAnsi="Times New Roman"/>
          <w:color w:val="000000" w:themeColor="text1"/>
          <w:sz w:val="16"/>
          <w:szCs w:val="16"/>
        </w:rPr>
        <w:instrText xml:space="preserve">ref HYPERLINK  \l "_edn2" \* MERGEFORMAT </w:instrText>
      </w:r>
      <w:r w:rsidR="000656DA" w:rsidRPr="00C33834">
        <w:rPr>
          <w:rFonts w:ascii="Times New Roman" w:hAnsi="Times New Roman"/>
          <w:color w:val="000000" w:themeColor="text1"/>
          <w:sz w:val="16"/>
          <w:szCs w:val="16"/>
        </w:rPr>
        <w:fldChar w:fldCharType="separate"/>
      </w:r>
      <w:r w:rsidRPr="00C33834">
        <w:rPr>
          <w:rFonts w:ascii="Times New Roman" w:hAnsi="Times New Roman"/>
          <w:color w:val="000000" w:themeColor="text1"/>
          <w:sz w:val="16"/>
          <w:szCs w:val="16"/>
          <w:u w:val="single"/>
        </w:rPr>
        <w:t>[2]</w:t>
      </w:r>
      <w:r w:rsidR="000656DA" w:rsidRPr="00C33834">
        <w:rPr>
          <w:rFonts w:ascii="Times New Roman" w:hAnsi="Times New Roman"/>
          <w:color w:val="000000" w:themeColor="text1"/>
          <w:sz w:val="16"/>
          <w:szCs w:val="16"/>
          <w:u w:val="single"/>
        </w:rPr>
        <w:fldChar w:fldCharType="end"/>
      </w:r>
    </w:p>
    <w:p w14:paraId="53C64C8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Показатели итогов конкурса </w:t>
      </w:r>
    </w:p>
    <w:p w14:paraId="7971DCFB" w14:textId="77777777" w:rsidR="001F72EB" w:rsidRPr="00C33834" w:rsidRDefault="000656DA"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fldChar w:fldCharType="begin"/>
      </w:r>
      <w:r w:rsidRPr="00C33834">
        <w:rPr>
          <w:rFonts w:ascii="Times New Roman" w:hAnsi="Times New Roman"/>
          <w:color w:val="000000" w:themeColor="text1"/>
          <w:sz w:val="16"/>
          <w:szCs w:val="16"/>
        </w:rPr>
        <w:instrText xml:space="preserve">ref HYPERLINK  \l "_edn3" \* MERGEFORMAT </w:instrText>
      </w:r>
      <w:r w:rsidRPr="00C33834">
        <w:rPr>
          <w:rFonts w:ascii="Times New Roman" w:hAnsi="Times New Roman"/>
          <w:color w:val="000000" w:themeColor="text1"/>
          <w:sz w:val="16"/>
          <w:szCs w:val="16"/>
        </w:rPr>
        <w:fldChar w:fldCharType="separate"/>
      </w:r>
      <w:r w:rsidR="001F72EB" w:rsidRPr="00C33834">
        <w:rPr>
          <w:rFonts w:ascii="Times New Roman" w:hAnsi="Times New Roman"/>
          <w:color w:val="000000" w:themeColor="text1"/>
          <w:sz w:val="16"/>
          <w:szCs w:val="16"/>
          <w:u w:val="single"/>
        </w:rPr>
        <w:t>[3]</w:t>
      </w:r>
      <w:r w:rsidRPr="00C33834">
        <w:rPr>
          <w:rFonts w:ascii="Times New Roman" w:hAnsi="Times New Roman"/>
          <w:color w:val="000000" w:themeColor="text1"/>
          <w:sz w:val="16"/>
          <w:szCs w:val="16"/>
          <w:u w:val="single"/>
        </w:rPr>
        <w:fldChar w:fldCharType="end"/>
      </w:r>
      <w:r w:rsidR="001F72EB" w:rsidRPr="00C33834">
        <w:rPr>
          <w:rFonts w:ascii="Times New Roman" w:hAnsi="Times New Roman"/>
          <w:color w:val="000000" w:themeColor="text1"/>
          <w:sz w:val="16"/>
          <w:szCs w:val="16"/>
        </w:rPr>
        <w:t xml:space="preserve">... Освоение техники и создание постоянных, квалифицированных кадров рабочих дало возможность решительно внедрить прямую неограниченную сдельщину — процент сдельных работ увеличился с 42 при пуске завода до 57,6 в среднем за 1932 г. и 65 — в июле 1933 г. </w:t>
      </w:r>
    </w:p>
    <w:p w14:paraId="20378D8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Внедрение сдельщины, улучшение организации труда обеспечили резкое снижение нормы на производство ЗИС-3.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224"/>
        <w:gridCol w:w="768"/>
        <w:gridCol w:w="576"/>
      </w:tblGrid>
      <w:tr w:rsidR="00F26F01" w:rsidRPr="00C33834" w14:paraId="5EF93339" w14:textId="77777777">
        <w:tc>
          <w:tcPr>
            <w:tcW w:w="4224" w:type="dxa"/>
            <w:tcBorders>
              <w:top w:val="single" w:sz="12" w:space="0" w:color="auto"/>
            </w:tcBorders>
          </w:tcPr>
          <w:p w14:paraId="0E3C85A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IV квартал 1931 г</w:t>
            </w:r>
          </w:p>
        </w:tc>
        <w:tc>
          <w:tcPr>
            <w:tcW w:w="768" w:type="dxa"/>
            <w:tcBorders>
              <w:top w:val="single" w:sz="12" w:space="0" w:color="auto"/>
            </w:tcBorders>
          </w:tcPr>
          <w:p w14:paraId="42E1025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—479</w:t>
            </w:r>
          </w:p>
        </w:tc>
        <w:tc>
          <w:tcPr>
            <w:tcW w:w="576" w:type="dxa"/>
            <w:tcBorders>
              <w:top w:val="single" w:sz="12" w:space="0" w:color="auto"/>
            </w:tcBorders>
          </w:tcPr>
          <w:p w14:paraId="4D23517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час</w:t>
            </w:r>
          </w:p>
        </w:tc>
      </w:tr>
      <w:tr w:rsidR="00F26F01" w:rsidRPr="00C33834" w14:paraId="1F636C6A" w14:textId="77777777">
        <w:tc>
          <w:tcPr>
            <w:tcW w:w="4224" w:type="dxa"/>
          </w:tcPr>
          <w:p w14:paraId="192EE84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полугодие 1932 г</w:t>
            </w:r>
          </w:p>
        </w:tc>
        <w:tc>
          <w:tcPr>
            <w:tcW w:w="768" w:type="dxa"/>
          </w:tcPr>
          <w:p w14:paraId="3790B13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—406</w:t>
            </w:r>
          </w:p>
        </w:tc>
        <w:tc>
          <w:tcPr>
            <w:tcW w:w="576" w:type="dxa"/>
          </w:tcPr>
          <w:p w14:paraId="44EBA69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час</w:t>
            </w:r>
          </w:p>
        </w:tc>
      </w:tr>
      <w:tr w:rsidR="00F26F01" w:rsidRPr="00C33834" w14:paraId="30C7FB46" w14:textId="77777777">
        <w:tc>
          <w:tcPr>
            <w:tcW w:w="4224" w:type="dxa"/>
          </w:tcPr>
          <w:p w14:paraId="4442EBC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 полугодие 1932 г.</w:t>
            </w:r>
          </w:p>
        </w:tc>
        <w:tc>
          <w:tcPr>
            <w:tcW w:w="768" w:type="dxa"/>
          </w:tcPr>
          <w:p w14:paraId="565B55B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—364</w:t>
            </w:r>
          </w:p>
        </w:tc>
        <w:tc>
          <w:tcPr>
            <w:tcW w:w="576" w:type="dxa"/>
          </w:tcPr>
          <w:p w14:paraId="08F4C22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час</w:t>
            </w:r>
          </w:p>
        </w:tc>
      </w:tr>
      <w:tr w:rsidR="00F26F01" w:rsidRPr="00C33834" w14:paraId="49489FA1" w14:textId="77777777">
        <w:tc>
          <w:tcPr>
            <w:tcW w:w="4224" w:type="dxa"/>
          </w:tcPr>
          <w:p w14:paraId="02FF885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квартал 1933 г.</w:t>
            </w:r>
          </w:p>
        </w:tc>
        <w:tc>
          <w:tcPr>
            <w:tcW w:w="768" w:type="dxa"/>
          </w:tcPr>
          <w:p w14:paraId="201F531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—319</w:t>
            </w:r>
          </w:p>
        </w:tc>
        <w:tc>
          <w:tcPr>
            <w:tcW w:w="576" w:type="dxa"/>
          </w:tcPr>
          <w:p w14:paraId="6CC47EF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час</w:t>
            </w:r>
          </w:p>
        </w:tc>
      </w:tr>
      <w:tr w:rsidR="00F26F01" w:rsidRPr="00C33834" w14:paraId="4EBB1366" w14:textId="77777777">
        <w:tc>
          <w:tcPr>
            <w:tcW w:w="4224" w:type="dxa"/>
          </w:tcPr>
          <w:p w14:paraId="0220B6B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 квартал 1933 г.</w:t>
            </w:r>
          </w:p>
        </w:tc>
        <w:tc>
          <w:tcPr>
            <w:tcW w:w="768" w:type="dxa"/>
          </w:tcPr>
          <w:p w14:paraId="3C0F1C9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—290</w:t>
            </w:r>
          </w:p>
        </w:tc>
        <w:tc>
          <w:tcPr>
            <w:tcW w:w="576" w:type="dxa"/>
          </w:tcPr>
          <w:p w14:paraId="2AC7D17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час</w:t>
            </w:r>
          </w:p>
        </w:tc>
      </w:tr>
      <w:tr w:rsidR="00F26F01" w:rsidRPr="00C33834" w14:paraId="648E5637" w14:textId="77777777">
        <w:tc>
          <w:tcPr>
            <w:tcW w:w="4224" w:type="dxa"/>
            <w:tcBorders>
              <w:bottom w:val="single" w:sz="12" w:space="0" w:color="auto"/>
            </w:tcBorders>
          </w:tcPr>
          <w:p w14:paraId="79E41C1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15 сентября 1933 г.</w:t>
            </w:r>
          </w:p>
        </w:tc>
        <w:tc>
          <w:tcPr>
            <w:tcW w:w="768" w:type="dxa"/>
            <w:tcBorders>
              <w:bottom w:val="single" w:sz="12" w:space="0" w:color="auto"/>
            </w:tcBorders>
          </w:tcPr>
          <w:p w14:paraId="3F16E87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—284</w:t>
            </w:r>
          </w:p>
        </w:tc>
        <w:tc>
          <w:tcPr>
            <w:tcW w:w="576" w:type="dxa"/>
            <w:tcBorders>
              <w:bottom w:val="single" w:sz="12" w:space="0" w:color="auto"/>
            </w:tcBorders>
          </w:tcPr>
          <w:p w14:paraId="6CDFE62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час</w:t>
            </w:r>
          </w:p>
        </w:tc>
      </w:tr>
    </w:tbl>
    <w:p w14:paraId="438E5E3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Рассматривая техническое нормирование как основной рычаг поднятия производительности труда, завод в 1933 г. начал внедрять технически обоснованные нормы выработки. Уже внедрено 6585 норм, что дало экономии 30 час. на машину и повлекло значительное увеличение выработки. Так, например, в литейной ковкого чугуна до внедрения технически обоснованных норм картеров диффера делалось 100 шт. в смену, после внедрения — 185 шт. в смену; задний мост — 130 шт. вместо 70 шт.; тормозные колодки — 220 шт. вместо 100 шт.; результатом явилось значительное перекрытие американских норм.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650"/>
        <w:gridCol w:w="2637"/>
        <w:gridCol w:w="3071"/>
      </w:tblGrid>
      <w:tr w:rsidR="00F26F01" w:rsidRPr="00C33834" w14:paraId="45AE1678" w14:textId="77777777">
        <w:tc>
          <w:tcPr>
            <w:tcW w:w="3650" w:type="dxa"/>
            <w:tcBorders>
              <w:top w:val="single" w:sz="12" w:space="0" w:color="auto"/>
            </w:tcBorders>
          </w:tcPr>
          <w:p w14:paraId="47C11C7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637" w:type="dxa"/>
            <w:tcBorders>
              <w:top w:val="single" w:sz="12" w:space="0" w:color="auto"/>
            </w:tcBorders>
          </w:tcPr>
          <w:p w14:paraId="566E4C8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Американская норма</w:t>
            </w:r>
          </w:p>
        </w:tc>
        <w:tc>
          <w:tcPr>
            <w:tcW w:w="3071" w:type="dxa"/>
            <w:tcBorders>
              <w:top w:val="single" w:sz="12" w:space="0" w:color="auto"/>
            </w:tcBorders>
          </w:tcPr>
          <w:p w14:paraId="607A0F6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Фактическая выработка</w:t>
            </w:r>
          </w:p>
        </w:tc>
      </w:tr>
      <w:tr w:rsidR="00F26F01" w:rsidRPr="00C33834" w14:paraId="6F9E76D9" w14:textId="77777777">
        <w:tc>
          <w:tcPr>
            <w:tcW w:w="3650" w:type="dxa"/>
          </w:tcPr>
          <w:p w14:paraId="42A0E5F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Блок цилиндров (формовки)</w:t>
            </w:r>
          </w:p>
        </w:tc>
        <w:tc>
          <w:tcPr>
            <w:tcW w:w="2637" w:type="dxa"/>
          </w:tcPr>
          <w:p w14:paraId="31A21B0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110</w:t>
            </w:r>
          </w:p>
        </w:tc>
        <w:tc>
          <w:tcPr>
            <w:tcW w:w="3071" w:type="dxa"/>
          </w:tcPr>
          <w:p w14:paraId="32F4AD0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w:t>
            </w:r>
          </w:p>
        </w:tc>
      </w:tr>
      <w:tr w:rsidR="00F26F01" w:rsidRPr="00C33834" w14:paraId="398D724D" w14:textId="77777777">
        <w:tc>
          <w:tcPr>
            <w:tcW w:w="3650" w:type="dxa"/>
          </w:tcPr>
          <w:p w14:paraId="2D42617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Картер заднего моста</w:t>
            </w:r>
          </w:p>
        </w:tc>
        <w:tc>
          <w:tcPr>
            <w:tcW w:w="2637" w:type="dxa"/>
          </w:tcPr>
          <w:p w14:paraId="66A1C4C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106</w:t>
            </w:r>
          </w:p>
        </w:tc>
        <w:tc>
          <w:tcPr>
            <w:tcW w:w="3071" w:type="dxa"/>
          </w:tcPr>
          <w:p w14:paraId="670803F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124</w:t>
            </w:r>
          </w:p>
        </w:tc>
      </w:tr>
      <w:tr w:rsidR="00F26F01" w:rsidRPr="00C33834" w14:paraId="50527C12" w14:textId="77777777">
        <w:tc>
          <w:tcPr>
            <w:tcW w:w="3650" w:type="dxa"/>
          </w:tcPr>
          <w:p w14:paraId="0266BDB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Передняя ось (штамповки)</w:t>
            </w:r>
          </w:p>
        </w:tc>
        <w:tc>
          <w:tcPr>
            <w:tcW w:w="2637" w:type="dxa"/>
          </w:tcPr>
          <w:p w14:paraId="3A88720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w:t>
            </w:r>
          </w:p>
        </w:tc>
        <w:tc>
          <w:tcPr>
            <w:tcW w:w="3071" w:type="dxa"/>
          </w:tcPr>
          <w:p w14:paraId="1F8BC6B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126</w:t>
            </w:r>
          </w:p>
        </w:tc>
      </w:tr>
      <w:tr w:rsidR="00F26F01" w:rsidRPr="00C33834" w14:paraId="669A4B48" w14:textId="77777777">
        <w:tc>
          <w:tcPr>
            <w:tcW w:w="3650" w:type="dxa"/>
          </w:tcPr>
          <w:p w14:paraId="076E9D7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Шатун</w:t>
            </w:r>
          </w:p>
        </w:tc>
        <w:tc>
          <w:tcPr>
            <w:tcW w:w="2637" w:type="dxa"/>
          </w:tcPr>
          <w:p w14:paraId="399C0A1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w:t>
            </w:r>
          </w:p>
        </w:tc>
        <w:tc>
          <w:tcPr>
            <w:tcW w:w="3071" w:type="dxa"/>
          </w:tcPr>
          <w:p w14:paraId="323CEE9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1190</w:t>
            </w:r>
          </w:p>
        </w:tc>
      </w:tr>
      <w:tr w:rsidR="00F26F01" w:rsidRPr="00C33834" w14:paraId="40B28B22" w14:textId="77777777">
        <w:tc>
          <w:tcPr>
            <w:tcW w:w="3650" w:type="dxa"/>
            <w:tcBorders>
              <w:bottom w:val="single" w:sz="12" w:space="0" w:color="auto"/>
            </w:tcBorders>
          </w:tcPr>
          <w:p w14:paraId="4846F1F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Поворотный кулак</w:t>
            </w:r>
          </w:p>
        </w:tc>
        <w:tc>
          <w:tcPr>
            <w:tcW w:w="2637" w:type="dxa"/>
            <w:tcBorders>
              <w:bottom w:val="single" w:sz="12" w:space="0" w:color="auto"/>
            </w:tcBorders>
          </w:tcPr>
          <w:p w14:paraId="64BE087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w:t>
            </w:r>
          </w:p>
        </w:tc>
        <w:tc>
          <w:tcPr>
            <w:tcW w:w="3071" w:type="dxa"/>
            <w:tcBorders>
              <w:bottom w:val="single" w:sz="12" w:space="0" w:color="auto"/>
            </w:tcBorders>
          </w:tcPr>
          <w:p w14:paraId="6956C43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355</w:t>
            </w:r>
          </w:p>
        </w:tc>
      </w:tr>
    </w:tbl>
    <w:p w14:paraId="1C907BA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итоге производительность труда по заводу возрастает из месяца в месяц. Среднемесячная выработка одного рабочего (в руб.): 1932 г. — 1117, I квартал 1933 г.— 1462, II квартал 1933 г. — 1531, июль 1933 г.— 1557. Таким образом, в июле 1933 г. производительность труда составляет 140% против 1932 г. </w:t>
      </w:r>
    </w:p>
    <w:p w14:paraId="6DE5A45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Наряду с работой по повышению производительности труда завод вел усиленную борьбу за повышение качества продукции, за снижение брака. Количество дефектных машин по рекламациям уменьшилось с 533 в первой выпущенной тысяче машин, находящихся 6 месяцев в эксплуатации, до 42 в 17-й тысяче выпущенных машин. Брак по заводу снизился с 7,83% в 1932 г. до 6,66% в I квартале 1933 г., 5,66% — во II квартале 1933 г. и 5,32% — в июле. Снижение брака достигнуто благодаря упорной борьбе одних цехов при слабой мобилизации других: если по литейной ковкого чугуна брак снизился с 22,7% в 1932 г. до 10,5% в июле 1933 г., по механосборочному — соответственно с 3,4 до 2%, то по литейной серого чугуна брак составляет 28% в 1932 г., 28,4% — во II квартале 1933 г., 26,5% — в июле. В убытках, которые несет завод от брака, существенное место занимают наши смежники, поставляющие зачастую недоброкачественные материалы и изделия. </w:t>
      </w:r>
    </w:p>
    <w:p w14:paraId="1DDF820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июне на заводе была созвана конференция по качеству автомобиля с привлечением на нее смежных производств, на которой был предъявлен социалистический счет смежникам и приняты обязательства по борьбе с браком коллективом завода. </w:t>
      </w:r>
    </w:p>
    <w:p w14:paraId="228C960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Таким образом, задача дальнейшей напряженной работы по снижению брака стоит в центре внимания ближайшего периода работы завода. </w:t>
      </w:r>
    </w:p>
    <w:p w14:paraId="0664163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Успешно закончившийся Кара-Кумский пробег показал высокое качество выпускаемых нами машин, способных нести свою службу в разнообразных дорожных условиях Союза. </w:t>
      </w:r>
    </w:p>
    <w:p w14:paraId="48B5BC2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Рост производительности труда, улучшение качества продукции, снижение брака обеспечивались не только борьбой за овладение техникой производственного процесса, но и большой работой по внедрению хозрасчета. </w:t>
      </w:r>
    </w:p>
    <w:p w14:paraId="7F004BD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Введенная в практику система жесткого финансового контроля рублем, закрытия кредитов в случае прорывов, выдачи им ссуд только под определенные обязательства, изъятия излишка средств у цехов, а также - распределение премий в зависимости от результатов хозяйственной деятельности цехов значительно оздоровили финансовое состояние отделов и усилили борьбу за выполнение качественных показателей плана. Ведется строгий ежедневный контроль за состоянием расчетных счетов отделов (цехов), и на основе этого принимаются оперативные меры по ликвидации узких мест. В результате на 21 сентября с.г. нет ни одного отдела, имеющего дебетовое сальдо, т.е. работающего на чужие средства. </w:t>
      </w:r>
    </w:p>
    <w:p w14:paraId="496AFE0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Усиление контроля рублем способствовало уменьшению мертвого капитала, снижению за последний квартал незавершен­ного производства больше, чем на 2 млн. руб. </w:t>
      </w:r>
    </w:p>
    <w:p w14:paraId="28A03AE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Освоение технологического процесса, рост производительности труда, развернутая рационализаторская и изобретательская работа, экономия металла и замена цветных металлов черными, внедрение хозрасчета и усиление партийно-массовой работы дали возможность достичь значительных результатов в борьбе за один из основных качественных показателей — снижение себестоимости. </w:t>
      </w:r>
    </w:p>
    <w:p w14:paraId="2601243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Себестоимость автомобиля неуклонно, из месяца в месяц снижалась. Если в IV квартале 1931 г. машина стоила 11 258 руб., то в среднем за 1932 г. она дошла до 5658 руб., а в августе 1933 г. была снижена до 4755 руб. без учета удорожания от замены импорта советскими изделиями и 4868 руб. с учетом удорожания импорта, в то время как за границей 2,5-тонный автокар стоит 2300 долларов, или примерно 4600 золотых руб. Этому снижению способствовала большая работа, проведенная по линии экономии и замены материалов. Целый ряд деталей был переведен с цветных металлов на чугунное литье, ряд деталей изготовляется из гладкотянутой стали вместо латуни. Экономия металла достигалась вследствие изменения технологического процесса; так, например, применением холодной высадки болтов, профильного волочения. Наконец, немалое значение имело все увеличивающееся использование отходов, высечек и обрезов. В результате расход металла на одну машину снижается с 1827 кг в IV квартале 1931 г. до 1713 кг в I квартале 1933 г. Расход стали уменьшается с 1704 кг в I квартале 1933 г. до 1604 кг во II квартале. Потребление цветных металлов на одну машину снизилось с 36,5 кг в I квартале 1932 г. до 27,8 кг в I квартале 1933 г. </w:t>
      </w:r>
    </w:p>
    <w:p w14:paraId="14D5FE9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результате снижения себестоимости как против отчетных данных за прошлые периоды, так и против плана завод сумел только за 1932 г. создать 5800 тыс. руб. экономии, из которых свыше 1 млн. было обращено на улучшение снабжения и питания рабочих. </w:t>
      </w:r>
    </w:p>
    <w:p w14:paraId="709570D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Наряду с мероприятиями, позволяющими снизить себестоимость машины, завод проводил большую работу, не отражавшуюся непосредственно на себестоимости, но имеющую огромное народнохозяйственное значение, завод освобождался от импорта. Так, например, была произведена замена никелевых и хромоникелевых сталей кремнистыми, замена импортного феррофосфора в шихте апатитонефелиновой рудой и т.д. </w:t>
      </w:r>
    </w:p>
    <w:p w14:paraId="30172E4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Ведя борьбу за качественные показатели, завод уделял большое внимание вопросам организации управления, планирования и учета. На основе решений ЦК партии о Донбассе заводом проведена большая реорганизация системы управления с целью значительного упрощения работы и усиления оперативного руководства. Упразднено и сокращено 38 отделов и бюро; в связи с проведенным укрупнением цехов сокращено 28 цехов. Пересмотрена вся система отчетности, упразднена 101 форма, упрощено 59 форм. Сокращена система внутризаводского промфинплана с 33 до 12 форм. </w:t>
      </w:r>
    </w:p>
    <w:p w14:paraId="0457B7A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результате проведенной работы сокращено У8 человек счетно-конторского персонала. </w:t>
      </w:r>
    </w:p>
    <w:p w14:paraId="342D7BA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Произведенная перестройка требует дальнейшего углубления и сосредоточения особого внимания на вопросах еще большего упрощения отчетности и усиления оперативного руководства. </w:t>
      </w:r>
      <w:r w:rsidR="000656DA" w:rsidRPr="00C33834">
        <w:rPr>
          <w:rFonts w:ascii="Times New Roman" w:hAnsi="Times New Roman"/>
          <w:color w:val="000000" w:themeColor="text1"/>
          <w:sz w:val="16"/>
          <w:szCs w:val="16"/>
        </w:rPr>
        <w:fldChar w:fldCharType="begin"/>
      </w:r>
      <w:r w:rsidR="000656DA" w:rsidRPr="00C33834">
        <w:rPr>
          <w:rFonts w:ascii="Times New Roman" w:hAnsi="Times New Roman"/>
          <w:color w:val="000000" w:themeColor="text1"/>
          <w:sz w:val="16"/>
          <w:szCs w:val="16"/>
        </w:rPr>
        <w:instrText xml:space="preserve">ref HYPERLINK  \l "_edn4" \* MERGEFORMAT </w:instrText>
      </w:r>
      <w:r w:rsidR="000656DA" w:rsidRPr="00C33834">
        <w:rPr>
          <w:rFonts w:ascii="Times New Roman" w:hAnsi="Times New Roman"/>
          <w:color w:val="000000" w:themeColor="text1"/>
          <w:sz w:val="16"/>
          <w:szCs w:val="16"/>
        </w:rPr>
        <w:fldChar w:fldCharType="separate"/>
      </w:r>
      <w:r w:rsidRPr="00C33834">
        <w:rPr>
          <w:rFonts w:ascii="Times New Roman" w:hAnsi="Times New Roman"/>
          <w:color w:val="000000" w:themeColor="text1"/>
          <w:sz w:val="16"/>
          <w:szCs w:val="16"/>
          <w:u w:val="single"/>
        </w:rPr>
        <w:t>[4]</w:t>
      </w:r>
      <w:r w:rsidR="000656DA" w:rsidRPr="00C33834">
        <w:rPr>
          <w:rFonts w:ascii="Times New Roman" w:hAnsi="Times New Roman"/>
          <w:color w:val="000000" w:themeColor="text1"/>
          <w:sz w:val="16"/>
          <w:szCs w:val="16"/>
          <w:u w:val="single"/>
        </w:rPr>
        <w:fldChar w:fldCharType="end"/>
      </w:r>
    </w:p>
    <w:p w14:paraId="4FED846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Директор завода Лихачев Секретарь парткома Тарасов Председатель завкома Ойцев Председатель конкурсной комиссии Голяев </w:t>
      </w:r>
    </w:p>
    <w:p w14:paraId="65FDD30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ЦГАНХ СССР, ф. 7622, on. 1, д. 59, лл. 8—13. Заверенная копия (12053).</w:t>
      </w:r>
    </w:p>
    <w:p w14:paraId="5595FC2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75F63B20"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Ранее 8 октября 1933 г. из отчета дирекции, парткома и завкома Московского автомобильного завода им. Сталина об участии завода во Всесоюзном конкурсе по освоению техники</w:t>
      </w:r>
    </w:p>
    <w:p w14:paraId="02474339"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Внедрение сдельщины, улучшение организации труда обеспечили резкое снижение нормы на производство ЗИС-3.</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84"/>
        <w:gridCol w:w="430"/>
        <w:gridCol w:w="268"/>
      </w:tblGrid>
      <w:tr w:rsidR="00F26F01" w:rsidRPr="00C33834" w14:paraId="36C375BF" w14:textId="77777777" w:rsidTr="00DC292A">
        <w:trPr>
          <w:tblCellSpacing w:w="15" w:type="dxa"/>
        </w:trPr>
        <w:tc>
          <w:tcPr>
            <w:tcW w:w="0" w:type="auto"/>
            <w:tcMar>
              <w:top w:w="0" w:type="dxa"/>
              <w:left w:w="0" w:type="dxa"/>
              <w:bottom w:w="0" w:type="dxa"/>
              <w:right w:w="0" w:type="dxa"/>
            </w:tcMar>
            <w:vAlign w:val="center"/>
            <w:hideMark/>
          </w:tcPr>
          <w:p w14:paraId="02EA9A48"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IV квартал 1931 г</w:t>
            </w:r>
          </w:p>
        </w:tc>
        <w:tc>
          <w:tcPr>
            <w:tcW w:w="0" w:type="auto"/>
            <w:tcMar>
              <w:top w:w="0" w:type="dxa"/>
              <w:left w:w="0" w:type="dxa"/>
              <w:bottom w:w="0" w:type="dxa"/>
              <w:right w:w="0" w:type="dxa"/>
            </w:tcMar>
            <w:vAlign w:val="center"/>
            <w:hideMark/>
          </w:tcPr>
          <w:p w14:paraId="7D2D74F3"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—479</w:t>
            </w:r>
          </w:p>
        </w:tc>
        <w:tc>
          <w:tcPr>
            <w:tcW w:w="0" w:type="auto"/>
            <w:tcMar>
              <w:top w:w="0" w:type="dxa"/>
              <w:left w:w="0" w:type="dxa"/>
              <w:bottom w:w="0" w:type="dxa"/>
              <w:right w:w="0" w:type="dxa"/>
            </w:tcMar>
            <w:vAlign w:val="center"/>
            <w:hideMark/>
          </w:tcPr>
          <w:p w14:paraId="53EC9957"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час</w:t>
            </w:r>
          </w:p>
        </w:tc>
      </w:tr>
      <w:tr w:rsidR="00F26F01" w:rsidRPr="00C33834" w14:paraId="0401387D" w14:textId="77777777" w:rsidTr="00DC292A">
        <w:trPr>
          <w:tblCellSpacing w:w="15" w:type="dxa"/>
        </w:trPr>
        <w:tc>
          <w:tcPr>
            <w:tcW w:w="0" w:type="auto"/>
            <w:tcMar>
              <w:top w:w="0" w:type="dxa"/>
              <w:left w:w="0" w:type="dxa"/>
              <w:bottom w:w="0" w:type="dxa"/>
              <w:right w:w="0" w:type="dxa"/>
            </w:tcMar>
            <w:vAlign w:val="center"/>
            <w:hideMark/>
          </w:tcPr>
          <w:p w14:paraId="038903BF"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полугодие 1932 г</w:t>
            </w:r>
          </w:p>
        </w:tc>
        <w:tc>
          <w:tcPr>
            <w:tcW w:w="0" w:type="auto"/>
            <w:tcMar>
              <w:top w:w="0" w:type="dxa"/>
              <w:left w:w="0" w:type="dxa"/>
              <w:bottom w:w="0" w:type="dxa"/>
              <w:right w:w="0" w:type="dxa"/>
            </w:tcMar>
            <w:vAlign w:val="center"/>
            <w:hideMark/>
          </w:tcPr>
          <w:p w14:paraId="3A616452"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—406</w:t>
            </w:r>
          </w:p>
        </w:tc>
        <w:tc>
          <w:tcPr>
            <w:tcW w:w="0" w:type="auto"/>
            <w:tcMar>
              <w:top w:w="0" w:type="dxa"/>
              <w:left w:w="0" w:type="dxa"/>
              <w:bottom w:w="0" w:type="dxa"/>
              <w:right w:w="0" w:type="dxa"/>
            </w:tcMar>
            <w:vAlign w:val="center"/>
            <w:hideMark/>
          </w:tcPr>
          <w:p w14:paraId="45525E87"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час</w:t>
            </w:r>
          </w:p>
        </w:tc>
      </w:tr>
      <w:tr w:rsidR="00F26F01" w:rsidRPr="00C33834" w14:paraId="0D2B6367" w14:textId="77777777" w:rsidTr="00DC292A">
        <w:trPr>
          <w:tblCellSpacing w:w="15" w:type="dxa"/>
        </w:trPr>
        <w:tc>
          <w:tcPr>
            <w:tcW w:w="0" w:type="auto"/>
            <w:tcMar>
              <w:top w:w="0" w:type="dxa"/>
              <w:left w:w="0" w:type="dxa"/>
              <w:bottom w:w="0" w:type="dxa"/>
              <w:right w:w="0" w:type="dxa"/>
            </w:tcMar>
            <w:vAlign w:val="center"/>
            <w:hideMark/>
          </w:tcPr>
          <w:p w14:paraId="3DE0C5EA"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II полугодие 1932 г.</w:t>
            </w:r>
          </w:p>
        </w:tc>
        <w:tc>
          <w:tcPr>
            <w:tcW w:w="0" w:type="auto"/>
            <w:tcMar>
              <w:top w:w="0" w:type="dxa"/>
              <w:left w:w="0" w:type="dxa"/>
              <w:bottom w:w="0" w:type="dxa"/>
              <w:right w:w="0" w:type="dxa"/>
            </w:tcMar>
            <w:vAlign w:val="center"/>
            <w:hideMark/>
          </w:tcPr>
          <w:p w14:paraId="731565D1"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—364</w:t>
            </w:r>
          </w:p>
        </w:tc>
        <w:tc>
          <w:tcPr>
            <w:tcW w:w="0" w:type="auto"/>
            <w:tcMar>
              <w:top w:w="0" w:type="dxa"/>
              <w:left w:w="0" w:type="dxa"/>
              <w:bottom w:w="0" w:type="dxa"/>
              <w:right w:w="0" w:type="dxa"/>
            </w:tcMar>
            <w:vAlign w:val="center"/>
            <w:hideMark/>
          </w:tcPr>
          <w:p w14:paraId="16EFEB87"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час</w:t>
            </w:r>
          </w:p>
        </w:tc>
      </w:tr>
      <w:tr w:rsidR="00F26F01" w:rsidRPr="00C33834" w14:paraId="4774C307" w14:textId="77777777" w:rsidTr="00DC292A">
        <w:trPr>
          <w:tblCellSpacing w:w="15" w:type="dxa"/>
        </w:trPr>
        <w:tc>
          <w:tcPr>
            <w:tcW w:w="0" w:type="auto"/>
            <w:tcMar>
              <w:top w:w="0" w:type="dxa"/>
              <w:left w:w="0" w:type="dxa"/>
              <w:bottom w:w="0" w:type="dxa"/>
              <w:right w:w="0" w:type="dxa"/>
            </w:tcMar>
            <w:vAlign w:val="center"/>
            <w:hideMark/>
          </w:tcPr>
          <w:p w14:paraId="54911339"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квартал 1933 г.</w:t>
            </w:r>
          </w:p>
        </w:tc>
        <w:tc>
          <w:tcPr>
            <w:tcW w:w="0" w:type="auto"/>
            <w:tcMar>
              <w:top w:w="0" w:type="dxa"/>
              <w:left w:w="0" w:type="dxa"/>
              <w:bottom w:w="0" w:type="dxa"/>
              <w:right w:w="0" w:type="dxa"/>
            </w:tcMar>
            <w:vAlign w:val="center"/>
            <w:hideMark/>
          </w:tcPr>
          <w:p w14:paraId="5C9B635F"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—319</w:t>
            </w:r>
          </w:p>
        </w:tc>
        <w:tc>
          <w:tcPr>
            <w:tcW w:w="0" w:type="auto"/>
            <w:tcMar>
              <w:top w:w="0" w:type="dxa"/>
              <w:left w:w="0" w:type="dxa"/>
              <w:bottom w:w="0" w:type="dxa"/>
              <w:right w:w="0" w:type="dxa"/>
            </w:tcMar>
            <w:vAlign w:val="center"/>
            <w:hideMark/>
          </w:tcPr>
          <w:p w14:paraId="50402268"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час</w:t>
            </w:r>
          </w:p>
        </w:tc>
      </w:tr>
      <w:tr w:rsidR="00F26F01" w:rsidRPr="00C33834" w14:paraId="17E1DA0A" w14:textId="77777777" w:rsidTr="00DC292A">
        <w:trPr>
          <w:tblCellSpacing w:w="15" w:type="dxa"/>
        </w:trPr>
        <w:tc>
          <w:tcPr>
            <w:tcW w:w="0" w:type="auto"/>
            <w:tcMar>
              <w:top w:w="0" w:type="dxa"/>
              <w:left w:w="0" w:type="dxa"/>
              <w:bottom w:w="0" w:type="dxa"/>
              <w:right w:w="0" w:type="dxa"/>
            </w:tcMar>
            <w:vAlign w:val="center"/>
            <w:hideMark/>
          </w:tcPr>
          <w:p w14:paraId="656AB5D0"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 квартал 1933 г.</w:t>
            </w:r>
          </w:p>
        </w:tc>
        <w:tc>
          <w:tcPr>
            <w:tcW w:w="0" w:type="auto"/>
            <w:tcMar>
              <w:top w:w="0" w:type="dxa"/>
              <w:left w:w="0" w:type="dxa"/>
              <w:bottom w:w="0" w:type="dxa"/>
              <w:right w:w="0" w:type="dxa"/>
            </w:tcMar>
            <w:vAlign w:val="center"/>
            <w:hideMark/>
          </w:tcPr>
          <w:p w14:paraId="49CDD756"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—290</w:t>
            </w:r>
          </w:p>
        </w:tc>
        <w:tc>
          <w:tcPr>
            <w:tcW w:w="0" w:type="auto"/>
            <w:tcMar>
              <w:top w:w="0" w:type="dxa"/>
              <w:left w:w="0" w:type="dxa"/>
              <w:bottom w:w="0" w:type="dxa"/>
              <w:right w:w="0" w:type="dxa"/>
            </w:tcMar>
            <w:vAlign w:val="center"/>
            <w:hideMark/>
          </w:tcPr>
          <w:p w14:paraId="78CAD1DC"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час</w:t>
            </w:r>
          </w:p>
        </w:tc>
      </w:tr>
      <w:tr w:rsidR="00F26F01" w:rsidRPr="00C33834" w14:paraId="65400B6A" w14:textId="77777777" w:rsidTr="00DC292A">
        <w:trPr>
          <w:tblCellSpacing w:w="15" w:type="dxa"/>
        </w:trPr>
        <w:tc>
          <w:tcPr>
            <w:tcW w:w="0" w:type="auto"/>
            <w:tcMar>
              <w:top w:w="0" w:type="dxa"/>
              <w:left w:w="0" w:type="dxa"/>
              <w:bottom w:w="0" w:type="dxa"/>
              <w:right w:w="0" w:type="dxa"/>
            </w:tcMar>
            <w:vAlign w:val="center"/>
            <w:hideMark/>
          </w:tcPr>
          <w:p w14:paraId="4E766183"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15 сентября 1933 г.</w:t>
            </w:r>
          </w:p>
        </w:tc>
        <w:tc>
          <w:tcPr>
            <w:tcW w:w="0" w:type="auto"/>
            <w:tcMar>
              <w:top w:w="0" w:type="dxa"/>
              <w:left w:w="0" w:type="dxa"/>
              <w:bottom w:w="0" w:type="dxa"/>
              <w:right w:w="0" w:type="dxa"/>
            </w:tcMar>
            <w:vAlign w:val="center"/>
            <w:hideMark/>
          </w:tcPr>
          <w:p w14:paraId="2E87BB0E"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—284</w:t>
            </w:r>
          </w:p>
        </w:tc>
        <w:tc>
          <w:tcPr>
            <w:tcW w:w="0" w:type="auto"/>
            <w:tcMar>
              <w:top w:w="0" w:type="dxa"/>
              <w:left w:w="0" w:type="dxa"/>
              <w:bottom w:w="0" w:type="dxa"/>
              <w:right w:w="0" w:type="dxa"/>
            </w:tcMar>
            <w:vAlign w:val="center"/>
            <w:hideMark/>
          </w:tcPr>
          <w:p w14:paraId="281FC11C"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час</w:t>
            </w:r>
          </w:p>
        </w:tc>
      </w:tr>
    </w:tbl>
    <w:p w14:paraId="6502BCD8"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Рассматривая техническое нормирование как основной рычаг поднятия производительности труда, завод в 1933 г. начал внедрять технически обоснованные нормы выработки. Уже внедрено 6585 норм, что дало экономии 30 час. на машину и повлекло значительное увеличение выработки. Так, например, в литейной ковкого чугуна до внедрения технически обоснованных норм картеров диффера делалось 100 шт. в смену, после внедрения — 185 шт. в смену; задний мост — 130 шт. вместо 70 шт.; тормозные колодки — 220 шт. вместо 100 шт.; результатом явилось значительное перекрытие американских норм.</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85"/>
        <w:gridCol w:w="1470"/>
        <w:gridCol w:w="1675"/>
      </w:tblGrid>
      <w:tr w:rsidR="00F26F01" w:rsidRPr="00C33834" w14:paraId="2520E4BD" w14:textId="77777777" w:rsidTr="00DC292A">
        <w:trPr>
          <w:tblCellSpacing w:w="15" w:type="dxa"/>
        </w:trPr>
        <w:tc>
          <w:tcPr>
            <w:tcW w:w="0" w:type="auto"/>
            <w:tcMar>
              <w:top w:w="0" w:type="dxa"/>
              <w:left w:w="0" w:type="dxa"/>
              <w:bottom w:w="0" w:type="dxa"/>
              <w:right w:w="0" w:type="dxa"/>
            </w:tcMar>
            <w:vAlign w:val="center"/>
            <w:hideMark/>
          </w:tcPr>
          <w:p w14:paraId="3513946B" w14:textId="77777777" w:rsidR="00810F58" w:rsidRPr="00C33834" w:rsidRDefault="00810F58" w:rsidP="00C33834">
            <w:pPr>
              <w:spacing w:after="0" w:line="240" w:lineRule="auto"/>
              <w:jc w:val="both"/>
              <w:rPr>
                <w:rFonts w:ascii="Times New Roman" w:hAnsi="Times New Roman"/>
                <w:color w:val="000000" w:themeColor="text1"/>
                <w:sz w:val="16"/>
                <w:szCs w:val="16"/>
              </w:rPr>
            </w:pPr>
          </w:p>
        </w:tc>
        <w:tc>
          <w:tcPr>
            <w:tcW w:w="0" w:type="auto"/>
            <w:tcMar>
              <w:top w:w="0" w:type="dxa"/>
              <w:left w:w="0" w:type="dxa"/>
              <w:bottom w:w="0" w:type="dxa"/>
              <w:right w:w="0" w:type="dxa"/>
            </w:tcMar>
            <w:vAlign w:val="center"/>
            <w:hideMark/>
          </w:tcPr>
          <w:p w14:paraId="4B31A091"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Американская норма</w:t>
            </w:r>
          </w:p>
        </w:tc>
        <w:tc>
          <w:tcPr>
            <w:tcW w:w="0" w:type="auto"/>
            <w:tcMar>
              <w:top w:w="0" w:type="dxa"/>
              <w:left w:w="0" w:type="dxa"/>
              <w:bottom w:w="0" w:type="dxa"/>
              <w:right w:w="0" w:type="dxa"/>
            </w:tcMar>
            <w:vAlign w:val="center"/>
            <w:hideMark/>
          </w:tcPr>
          <w:p w14:paraId="49E9B065"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Фактическая выработка</w:t>
            </w:r>
          </w:p>
        </w:tc>
      </w:tr>
      <w:tr w:rsidR="00F26F01" w:rsidRPr="00C33834" w14:paraId="130B833A" w14:textId="77777777" w:rsidTr="00DC292A">
        <w:trPr>
          <w:tblCellSpacing w:w="15" w:type="dxa"/>
        </w:trPr>
        <w:tc>
          <w:tcPr>
            <w:tcW w:w="0" w:type="auto"/>
            <w:tcMar>
              <w:top w:w="0" w:type="dxa"/>
              <w:left w:w="0" w:type="dxa"/>
              <w:bottom w:w="0" w:type="dxa"/>
              <w:right w:w="0" w:type="dxa"/>
            </w:tcMar>
            <w:vAlign w:val="center"/>
            <w:hideMark/>
          </w:tcPr>
          <w:p w14:paraId="79F3FC86"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Блок цилиндров (формовки)</w:t>
            </w:r>
          </w:p>
        </w:tc>
        <w:tc>
          <w:tcPr>
            <w:tcW w:w="0" w:type="auto"/>
            <w:tcMar>
              <w:top w:w="0" w:type="dxa"/>
              <w:left w:w="0" w:type="dxa"/>
              <w:bottom w:w="0" w:type="dxa"/>
              <w:right w:w="0" w:type="dxa"/>
            </w:tcMar>
            <w:vAlign w:val="center"/>
            <w:hideMark/>
          </w:tcPr>
          <w:p w14:paraId="202BA707"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110</w:t>
            </w:r>
          </w:p>
        </w:tc>
        <w:tc>
          <w:tcPr>
            <w:tcW w:w="0" w:type="auto"/>
            <w:tcMar>
              <w:top w:w="0" w:type="dxa"/>
              <w:left w:w="0" w:type="dxa"/>
              <w:bottom w:w="0" w:type="dxa"/>
              <w:right w:w="0" w:type="dxa"/>
            </w:tcMar>
            <w:vAlign w:val="center"/>
            <w:hideMark/>
          </w:tcPr>
          <w:p w14:paraId="45B3853E"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w:t>
            </w:r>
          </w:p>
        </w:tc>
      </w:tr>
      <w:tr w:rsidR="00F26F01" w:rsidRPr="00C33834" w14:paraId="25432DE4" w14:textId="77777777" w:rsidTr="00DC292A">
        <w:trPr>
          <w:tblCellSpacing w:w="15" w:type="dxa"/>
        </w:trPr>
        <w:tc>
          <w:tcPr>
            <w:tcW w:w="0" w:type="auto"/>
            <w:tcMar>
              <w:top w:w="0" w:type="dxa"/>
              <w:left w:w="0" w:type="dxa"/>
              <w:bottom w:w="0" w:type="dxa"/>
              <w:right w:w="0" w:type="dxa"/>
            </w:tcMar>
            <w:vAlign w:val="center"/>
            <w:hideMark/>
          </w:tcPr>
          <w:p w14:paraId="3BB60A88"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Картер заднего моста</w:t>
            </w:r>
          </w:p>
        </w:tc>
        <w:tc>
          <w:tcPr>
            <w:tcW w:w="0" w:type="auto"/>
            <w:tcMar>
              <w:top w:w="0" w:type="dxa"/>
              <w:left w:w="0" w:type="dxa"/>
              <w:bottom w:w="0" w:type="dxa"/>
              <w:right w:w="0" w:type="dxa"/>
            </w:tcMar>
            <w:vAlign w:val="center"/>
            <w:hideMark/>
          </w:tcPr>
          <w:p w14:paraId="51BEE1AA"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106</w:t>
            </w:r>
          </w:p>
        </w:tc>
        <w:tc>
          <w:tcPr>
            <w:tcW w:w="0" w:type="auto"/>
            <w:tcMar>
              <w:top w:w="0" w:type="dxa"/>
              <w:left w:w="0" w:type="dxa"/>
              <w:bottom w:w="0" w:type="dxa"/>
              <w:right w:w="0" w:type="dxa"/>
            </w:tcMar>
            <w:vAlign w:val="center"/>
            <w:hideMark/>
          </w:tcPr>
          <w:p w14:paraId="22E423EE"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124</w:t>
            </w:r>
          </w:p>
        </w:tc>
      </w:tr>
      <w:tr w:rsidR="00F26F01" w:rsidRPr="00C33834" w14:paraId="3EBD1C83" w14:textId="77777777" w:rsidTr="00DC292A">
        <w:trPr>
          <w:tblCellSpacing w:w="15" w:type="dxa"/>
        </w:trPr>
        <w:tc>
          <w:tcPr>
            <w:tcW w:w="0" w:type="auto"/>
            <w:tcMar>
              <w:top w:w="0" w:type="dxa"/>
              <w:left w:w="0" w:type="dxa"/>
              <w:bottom w:w="0" w:type="dxa"/>
              <w:right w:w="0" w:type="dxa"/>
            </w:tcMar>
            <w:vAlign w:val="center"/>
            <w:hideMark/>
          </w:tcPr>
          <w:p w14:paraId="1D4441CC"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Передняя ось (штамповки)</w:t>
            </w:r>
          </w:p>
        </w:tc>
        <w:tc>
          <w:tcPr>
            <w:tcW w:w="0" w:type="auto"/>
            <w:tcMar>
              <w:top w:w="0" w:type="dxa"/>
              <w:left w:w="0" w:type="dxa"/>
              <w:bottom w:w="0" w:type="dxa"/>
              <w:right w:w="0" w:type="dxa"/>
            </w:tcMar>
            <w:vAlign w:val="center"/>
            <w:hideMark/>
          </w:tcPr>
          <w:p w14:paraId="5E9CEAE7"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w:t>
            </w:r>
          </w:p>
        </w:tc>
        <w:tc>
          <w:tcPr>
            <w:tcW w:w="0" w:type="auto"/>
            <w:tcMar>
              <w:top w:w="0" w:type="dxa"/>
              <w:left w:w="0" w:type="dxa"/>
              <w:bottom w:w="0" w:type="dxa"/>
              <w:right w:w="0" w:type="dxa"/>
            </w:tcMar>
            <w:vAlign w:val="center"/>
            <w:hideMark/>
          </w:tcPr>
          <w:p w14:paraId="44EC77CF"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126</w:t>
            </w:r>
          </w:p>
        </w:tc>
      </w:tr>
      <w:tr w:rsidR="00F26F01" w:rsidRPr="00C33834" w14:paraId="7F3219C7" w14:textId="77777777" w:rsidTr="00DC292A">
        <w:trPr>
          <w:tblCellSpacing w:w="15" w:type="dxa"/>
        </w:trPr>
        <w:tc>
          <w:tcPr>
            <w:tcW w:w="0" w:type="auto"/>
            <w:tcMar>
              <w:top w:w="0" w:type="dxa"/>
              <w:left w:w="0" w:type="dxa"/>
              <w:bottom w:w="0" w:type="dxa"/>
              <w:right w:w="0" w:type="dxa"/>
            </w:tcMar>
            <w:vAlign w:val="center"/>
            <w:hideMark/>
          </w:tcPr>
          <w:p w14:paraId="77FB9F09"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Шатун</w:t>
            </w:r>
          </w:p>
        </w:tc>
        <w:tc>
          <w:tcPr>
            <w:tcW w:w="0" w:type="auto"/>
            <w:tcMar>
              <w:top w:w="0" w:type="dxa"/>
              <w:left w:w="0" w:type="dxa"/>
              <w:bottom w:w="0" w:type="dxa"/>
              <w:right w:w="0" w:type="dxa"/>
            </w:tcMar>
            <w:vAlign w:val="center"/>
            <w:hideMark/>
          </w:tcPr>
          <w:p w14:paraId="0B11071F"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w:t>
            </w:r>
          </w:p>
        </w:tc>
        <w:tc>
          <w:tcPr>
            <w:tcW w:w="0" w:type="auto"/>
            <w:tcMar>
              <w:top w:w="0" w:type="dxa"/>
              <w:left w:w="0" w:type="dxa"/>
              <w:bottom w:w="0" w:type="dxa"/>
              <w:right w:w="0" w:type="dxa"/>
            </w:tcMar>
            <w:vAlign w:val="center"/>
            <w:hideMark/>
          </w:tcPr>
          <w:p w14:paraId="274AE4A3"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1190</w:t>
            </w:r>
          </w:p>
        </w:tc>
      </w:tr>
      <w:tr w:rsidR="00F26F01" w:rsidRPr="00C33834" w14:paraId="577723BE" w14:textId="77777777" w:rsidTr="00DC292A">
        <w:trPr>
          <w:tblCellSpacing w:w="15" w:type="dxa"/>
        </w:trPr>
        <w:tc>
          <w:tcPr>
            <w:tcW w:w="0" w:type="auto"/>
            <w:tcMar>
              <w:top w:w="0" w:type="dxa"/>
              <w:left w:w="0" w:type="dxa"/>
              <w:bottom w:w="0" w:type="dxa"/>
              <w:right w:w="0" w:type="dxa"/>
            </w:tcMar>
            <w:vAlign w:val="center"/>
            <w:hideMark/>
          </w:tcPr>
          <w:p w14:paraId="4013DBF5"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Поворотный кулак</w:t>
            </w:r>
          </w:p>
        </w:tc>
        <w:tc>
          <w:tcPr>
            <w:tcW w:w="0" w:type="auto"/>
            <w:tcMar>
              <w:top w:w="0" w:type="dxa"/>
              <w:left w:w="0" w:type="dxa"/>
              <w:bottom w:w="0" w:type="dxa"/>
              <w:right w:w="0" w:type="dxa"/>
            </w:tcMar>
            <w:vAlign w:val="center"/>
            <w:hideMark/>
          </w:tcPr>
          <w:p w14:paraId="54EA18CC"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w:t>
            </w:r>
          </w:p>
        </w:tc>
        <w:tc>
          <w:tcPr>
            <w:tcW w:w="0" w:type="auto"/>
            <w:tcMar>
              <w:top w:w="0" w:type="dxa"/>
              <w:left w:w="0" w:type="dxa"/>
              <w:bottom w:w="0" w:type="dxa"/>
              <w:right w:w="0" w:type="dxa"/>
            </w:tcMar>
            <w:vAlign w:val="center"/>
            <w:hideMark/>
          </w:tcPr>
          <w:p w14:paraId="33C63F4C"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355</w:t>
            </w:r>
          </w:p>
        </w:tc>
      </w:tr>
    </w:tbl>
    <w:p w14:paraId="10A327C3"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итоге производительность труда по заводу возрастает из месяца в месяц. Среднемесячная выработка одного рабочего (в руб.): 1932 г. — 1117, I квартал 1933 г.— 1462, II квартал 1933 г. — 1531, июль 1933 г.— 1557. Таким образом, в июле 1933 г. производительность труда составляет 140% против 1932 г.</w:t>
      </w:r>
    </w:p>
    <w:p w14:paraId="5E39215B"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Наряду с работой по повышению производительности труда завод вел усиленную борьбу за повышение качества продукции, за снижение брака. Количество дефектных машин по рекламациям уменьшилось с 533 в первой выпущенной тысяче машин, находящихся 6 месяцев в эксплуатации, до 42 в 17-й тысяче выпущенных машин. Брак по заводу снизился с 7,83% в 1932 г. до 6,66% в I квартале 1933 г., 5,66% — во II квартале 1933 г. и 5,32% — в июле. Снижение брака достигнуто благодаря упорной борьбе одних цехов при слабой мобилизации других: если по литейной ковкого чугуна брак снизился с 22,7% в 1932 г. до 10,5% в июле 1933 г., по механосборочному — соответственно с 3,4 до 2%, то по литейной серого чугуна брак составляет 28% в 1932 г., 28,4% — во II квартале 1933 г., 26,5% — в июле. В убытках, которые несет завод от брака, существенное место занимают наши смежники, поставляющие зачастую недоброкачественные материалы и изделия. В июне на заводе была созвана конференция по качеству автомобиля с привлечением на нее смежных производств, на которой был предъявлен социалистический счет смежникам и приняты обязательства по борьбе с браком коллективом завода. Таким образом, задача дальнейшей напряженной работы по снижению брака стоит в центре внимания ближайшего периода работы завода. Успешно закончившийся Кара-Кумский пробег показал высокое качество выпускаемых нами машин, способных нести свою службу в разнообразных дорожных условиях Союза. Рост производительности труда, улучшение качества продукции, снижение брака обеспечивались не только борьбой за овладение техникой производственного процесса, но и большой работой по внедрению хозрасчета. Введенная в практику система жесткого финансового контроля рублем, закрытия кредитов в случае прорывов, выдачи им ссуд только под определенные обязательства, изъятия излишка средств у цехов, а также - распределение премий в зависимости от результатов хозяйственной деятельности цехов значительно оздоровили финансовое состояние отделов и усилили борьбу за выполнение качественных показателей плана. Ведется строгий ежедневный контроль за состоянием расчетных счетов отделов (цехов), и на основе этого принимаются оперативные меры по ликвидации узких мест. В результате на 21 сентября с.г. нет ни одного отдела, имеющего дебетовое сальдо, т.е. работающего на чужие средства. Усиление контроля рублем способствовало уменьшению мертвого капитала, снижению за последний квартал незавершен</w:t>
      </w:r>
      <w:r w:rsidRPr="00C33834">
        <w:rPr>
          <w:rFonts w:ascii="Times New Roman" w:hAnsi="Times New Roman"/>
          <w:color w:val="000000" w:themeColor="text1"/>
          <w:sz w:val="16"/>
          <w:szCs w:val="16"/>
        </w:rPr>
        <w:softHyphen/>
        <w:t>ного производства больше, чем на 2 млн. руб. Освоение технологического процесса, рост производительности труда, развернутая рационализаторская и изобретательская работа, экономия металла и замена цветных металлов черными, внедрение хозрасчета и усиление партийно-массовой работы дали возможность достичь значительных результатов в борьбе за один из основных качественных показателей — снижение себестоимости.</w:t>
      </w:r>
    </w:p>
    <w:p w14:paraId="50C17EC4"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Себестоимость автомобиля неуклонно, из месяца в месяц снижалась. Если в IV квартале 1931 г. машина стоила 11 258 руб., то в среднем за 1932 г. она дошла до 5658 руб., а в августе 1933 г. была снижена до 4755 руб. без учета удорожания от замены импорта советскими изделиями и 4868 руб. с учетом удорожания импорта, в то время как за границей 2,5-тонный автокар стоит 2300 долларов, или примерно 4600 золотых руб. Этому снижению способствовала большая работа, проведенная по линии экономии и замены материалов. Целый ряд деталей был переведен с цветных металлов на чугунное литье, ряд деталей изготовляется из гладкотянутой стали вместо латуни. Экономия металла достигалась вследствие изменения технологического процесса; так, например, применением холодной высадки болтов, профильного волочения. Наконец, немалое значение имело все увеличивающееся использование отходов, высечек и обрезов. В результате расход металла на одну машину снижается с 1827 кг в IV квартале 1931 г. до 1713 кг в I квартале 1933 г. Расход стали уменьшается с 1704 кг в I квартале 1933 г. до 1604 кг во II квартале. Потребление цветных металлов на одну машину снизилось с 36,5 кг в I квартале 1932 г. до 27,8 кг в I квартале 1933 г. В результате снижения себестоимости как против отчетных данных за прошлые периоды, так и против плана завод сумел только за 1932 г. создать 5800 тыс. руб. экономии, из которых свыше 1 млн. было обращено на улучшение снабжения и питания рабочих. Наряду с мероприятиями, позволяющими снизить себестоимость машины, завод проводил большую работу, не отражавшуюся непосредственно на себестоимости, но имеющую огромное народнохозяйственное значение, завод освобождался от импорта. Так, например, была произведена замена никелевых и хромоникелевых сталей кремнистыми, замена импортного феррофосфора в шихте апатитонефелиновой рудой и т.д. Ведя борьбу за качественные показатели, завод уделял большое внимание вопросам организации управления, планирования и учета. На основе решений ЦК партии о Донбассе заводом проведена большая реорганизация системы управления с целью значительного упрощения работы и усиления оперативного руководства. Упразднено и сокращено 38 отделов и бюро; в связи с проведенным укрупнением цехов сокращено 28 цехов. Пересмотрена вся система отчетности, упразднена 101 форма, упрощено 59 форм. Сокращена система внутризаводского промфинплана с 33 до 12 форм. В результате проведенной работы сокращено У8 человек счетно-конторского персонала.</w:t>
      </w:r>
    </w:p>
    <w:p w14:paraId="2A2915D2" w14:textId="77777777" w:rsidR="00810F58" w:rsidRPr="00C33834" w:rsidRDefault="00810F5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Произведенная перестройка требует дальнейшего углубления и сосредоточения особого внимания на вопросах еще большего упрощения отчетности и усиления оперативного руководства.* Директор завода Лихачев Секретарь парткома Тарасов Председатель завкома Ойцев Председатель конкурсной комиссии Голяев ЦГАНХ СССР, ф. 7622, on. 1, д. 59, лл. 8—13. Заверенная копия (18300).</w:t>
      </w:r>
    </w:p>
    <w:p w14:paraId="0536F35B" w14:textId="77777777" w:rsidR="00810F58" w:rsidRPr="00C33834" w:rsidRDefault="00810F58" w:rsidP="00C33834">
      <w:pPr>
        <w:spacing w:after="0" w:line="240" w:lineRule="auto"/>
        <w:jc w:val="both"/>
        <w:rPr>
          <w:rFonts w:ascii="Times New Roman" w:hAnsi="Times New Roman"/>
          <w:color w:val="000000" w:themeColor="text1"/>
          <w:sz w:val="16"/>
          <w:szCs w:val="16"/>
        </w:rPr>
      </w:pPr>
    </w:p>
    <w:p w14:paraId="2822AA46" w14:textId="77777777" w:rsidR="001F72EB"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54EB0C74"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849B3D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октября 1933 г. состоялись первые учения с применением торпедоносцев. Учения проходили на Балтике по специальному постановлению Реввоенсовета под личным руководством заместителя Наркома по военным и морским делам М.Н. Тухачевского. В своем письменном докладе К.Е. Ворошилову он отмечал:</w:t>
      </w:r>
    </w:p>
    <w:p w14:paraId="1E8599C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основании постановления Реввоенсовета СССР от 9 июля 1933 г. мною было проведено 8 октября 1933 г. опытное учение Морских сил Балтийского моря с целью определить возможности дальнейшего развития тактики морского боя и увеличения боевой значимости мелких судов, путем применения высотного бомбо- и минометания. низкого и высотного торпедометания, торпедных катеров, телеуправляемых торпед и дымовых завес...</w:t>
      </w:r>
    </w:p>
    <w:p w14:paraId="06680F4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Учение состояло из трех эпизодов.</w:t>
      </w:r>
    </w:p>
    <w:p w14:paraId="611ED6E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1-й эпизод учения имел своей задачей разработку частного случая движения линкора в узкости.</w:t>
      </w:r>
    </w:p>
    <w:p w14:paraId="772854E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2-й эпизод имел своей задачей: применением новых технических средств поставить свободно маневрирующий линкор в такое положение, когда он не мог бы использовать всей своей артиллерии и когда он подвергался бы одновременной атаке бомбардировщиков, торпедоносцев, торпедных катеров...</w:t>
      </w:r>
    </w:p>
    <w:p w14:paraId="614D359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3-й эпизод состоял из опыта с радиоуправляемой торпедой Бекаури (РУТ). Опыт показал изумительную меткость торпеды.</w:t>
      </w:r>
    </w:p>
    <w:p w14:paraId="6A0D095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учение в совокупности заставляет прийти к следующим выводам:</w:t>
      </w:r>
    </w:p>
    <w:p w14:paraId="112D212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Применение новых технических средств морского и воздушного боя совершенно по-новому ставит вопрос о борьбе с линейным флотом, особенно в условиях относительной близости берега. Быстроходность линкора и мощь его артиллерийского вооружения могут уменьшиться, иногда почти сводиться на нет применением высотного и низкого торпедометания, высотной постановкой мин заграждения, атаками радиоуправляемыми торпедами и торпедными катерами.</w:t>
      </w:r>
    </w:p>
    <w:p w14:paraId="0B5CE1D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Основным выводом из этого является необходимость форсированного создания мощного торпедоносного и мино- заградительного воздушного флота, обратив на это дело в первую очередь все сухопутные ТБ-1.</w:t>
      </w:r>
    </w:p>
    <w:p w14:paraId="0551537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Охранение линейного флота от атак с воздуха должно быть возложено на специальные суда, несущие на себе:</w:t>
      </w:r>
    </w:p>
    <w:p w14:paraId="1BFCE6D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ТБ-1П из состава ВВС Морских сил Балтийского моря</w:t>
      </w:r>
    </w:p>
    <w:p w14:paraId="502F6B7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авиацию, могущую в любой момент подняться в воздух для отражения атак противника;</w:t>
      </w:r>
    </w:p>
    <w:p w14:paraId="463A8D0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зенитные орудия...</w:t>
      </w:r>
    </w:p>
    <w:p w14:paraId="4F40DC0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 отношении материальной части: ...</w:t>
      </w:r>
    </w:p>
    <w:p w14:paraId="0645988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необходимо сконструировать специальный самолет-торпедоносец..." (12002).</w:t>
      </w:r>
    </w:p>
    <w:p w14:paraId="36F9AF1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23BFC23B"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E8B0AFB"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4AA1851" w14:textId="77777777" w:rsidR="008D2E02" w:rsidRPr="00C33834" w:rsidRDefault="008D2E0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8 октября 1933 г. подполковник Гуильельмо Кассинелли установил мировой рекорд скорости по замкнутому 100-км маршруту 629,39 км/ч, хотя наблюдалась тряска мотора. Через две недели, 21 октября, капитан Пьетро Скапинелли выиграл престижный Кубок Блерио, пройдя дистанцию между портами Реканти и Корсини со средней скоростью 619,37 км/ч в сложных метеоусловиях.</w:t>
      </w:r>
    </w:p>
    <w:p w14:paraId="6C73BF14" w14:textId="77777777" w:rsidR="008D2E02" w:rsidRPr="00C33834" w:rsidRDefault="008D2E0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23 октября 1934 г. военный пилот Франческо Аджелло, который установил первый рекорд, пройдя мерную базу 3 км со скоростью 682,403 км/ч, четырежды прошел трехкилометровый участок над озером Гарда с севера на юг и обратно. Комиссары ФАИ зафиксировали скорости 705,882, 710,433, 711,462 и 709,034 км/ч, выведя среднее значение 709,202 км/ч. Достижение Аджелло продержалось в качестве абсолютного мирового рекорда скорости аж до 30 марта 1939 г., когда немец Ганс Дитерле на специально переоборудованном опытном истребителе Хейнкель Не 100V показал на базе 3 км скорость 746,606 км/ч и, но рекорд Аджелло для поршневых летательных аппаратов, взлетающих с воды, действует до сих пор (22725).</w:t>
      </w:r>
    </w:p>
    <w:p w14:paraId="2F76526F" w14:textId="77777777" w:rsidR="008D2E02" w:rsidRPr="00C33834" w:rsidRDefault="008D2E02" w:rsidP="00C33834">
      <w:pPr>
        <w:spacing w:after="0" w:line="240" w:lineRule="auto"/>
        <w:jc w:val="both"/>
        <w:rPr>
          <w:rFonts w:ascii="Times New Roman" w:hAnsi="Times New Roman"/>
          <w:color w:val="0070C0"/>
          <w:sz w:val="16"/>
          <w:szCs w:val="16"/>
        </w:rPr>
      </w:pPr>
    </w:p>
    <w:p w14:paraId="073105D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октября 1933 Мартинес Барриос сформировал новое испанское правительство (3481).</w:t>
      </w:r>
    </w:p>
    <w:p w14:paraId="7EB9EDF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3DEABC93"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15134E2"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366A80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октября 1933 года в НИИ ВВС закончились гос. испытания самолета ТБ3-4М34 (6635), которые проходили с 23 сентября 1933 (6635).</w:t>
      </w:r>
    </w:p>
    <w:p w14:paraId="2448096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7A9D827D"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испытание самолетов ТБ3-4М34 без редукторов (№№ 22203 и 22204).</w:t>
      </w:r>
    </w:p>
    <w:p w14:paraId="07A3FFF5"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Выбор наилучшего винта из трех представленных ЦАГИ.</w:t>
      </w:r>
    </w:p>
    <w:p w14:paraId="399F07F0"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Изыскание путей облегчения винтомоторной группы.</w:t>
      </w:r>
    </w:p>
    <w:p w14:paraId="250042E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1614558B"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того, что при испытании трех типов винтов лучшие летные данные самолет ТБ3-4М34 без редуктора получил с винтами Д=3,18; Н=1,88, считать необходимым все самолеты ТБ3-4М34 выпускать с этим типом винтов.</w:t>
      </w:r>
    </w:p>
    <w:p w14:paraId="2522680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p w14:paraId="33FC8BD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22203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671D4142" w14:textId="77777777">
        <w:tc>
          <w:tcPr>
            <w:tcW w:w="5636" w:type="dxa"/>
          </w:tcPr>
          <w:p w14:paraId="7A8C6CC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сентября 1933 года</w:t>
            </w:r>
          </w:p>
        </w:tc>
        <w:tc>
          <w:tcPr>
            <w:tcW w:w="5636" w:type="dxa"/>
          </w:tcPr>
          <w:p w14:paraId="7836BDD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принят от ОЭЛИД ЦАГИ, переслан в Щелково и облетан.</w:t>
            </w:r>
          </w:p>
        </w:tc>
      </w:tr>
      <w:tr w:rsidR="00F26F01" w:rsidRPr="00C33834" w14:paraId="036E92EE" w14:textId="77777777">
        <w:tc>
          <w:tcPr>
            <w:tcW w:w="5636" w:type="dxa"/>
          </w:tcPr>
          <w:p w14:paraId="685D79A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сентября 1933 года</w:t>
            </w:r>
          </w:p>
        </w:tc>
        <w:tc>
          <w:tcPr>
            <w:tcW w:w="5636" w:type="dxa"/>
          </w:tcPr>
          <w:p w14:paraId="6512205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километраж.</w:t>
            </w:r>
          </w:p>
        </w:tc>
      </w:tr>
      <w:tr w:rsidR="00F26F01" w:rsidRPr="00C33834" w14:paraId="5A1C31F2" w14:textId="77777777">
        <w:tc>
          <w:tcPr>
            <w:tcW w:w="5636" w:type="dxa"/>
          </w:tcPr>
          <w:p w14:paraId="44075D3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сентября 1933 года</w:t>
            </w:r>
          </w:p>
        </w:tc>
        <w:tc>
          <w:tcPr>
            <w:tcW w:w="5636" w:type="dxa"/>
          </w:tcPr>
          <w:p w14:paraId="6990265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w:t>
            </w:r>
          </w:p>
        </w:tc>
      </w:tr>
      <w:tr w:rsidR="00F26F01" w:rsidRPr="00C33834" w14:paraId="6C8C0E92" w14:textId="77777777">
        <w:tc>
          <w:tcPr>
            <w:tcW w:w="5636" w:type="dxa"/>
          </w:tcPr>
          <w:p w14:paraId="06B4F64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октября 1933 года</w:t>
            </w:r>
          </w:p>
        </w:tc>
        <w:tc>
          <w:tcPr>
            <w:tcW w:w="5636" w:type="dxa"/>
          </w:tcPr>
          <w:p w14:paraId="67596BD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километраж.</w:t>
            </w:r>
          </w:p>
        </w:tc>
      </w:tr>
      <w:tr w:rsidR="00F26F01" w:rsidRPr="00C33834" w14:paraId="0CF70504" w14:textId="77777777">
        <w:tc>
          <w:tcPr>
            <w:tcW w:w="5636" w:type="dxa"/>
          </w:tcPr>
          <w:p w14:paraId="5417D89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октября 1933 года</w:t>
            </w:r>
          </w:p>
        </w:tc>
        <w:tc>
          <w:tcPr>
            <w:tcW w:w="5636" w:type="dxa"/>
          </w:tcPr>
          <w:p w14:paraId="31DD2C3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зубцы.</w:t>
            </w:r>
          </w:p>
        </w:tc>
      </w:tr>
      <w:tr w:rsidR="00F26F01" w:rsidRPr="00C33834" w14:paraId="7D222B67" w14:textId="77777777">
        <w:tc>
          <w:tcPr>
            <w:tcW w:w="5636" w:type="dxa"/>
          </w:tcPr>
          <w:p w14:paraId="7B8830A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октября 1933 года</w:t>
            </w:r>
          </w:p>
        </w:tc>
        <w:tc>
          <w:tcPr>
            <w:tcW w:w="5636" w:type="dxa"/>
          </w:tcPr>
          <w:p w14:paraId="32BFA4C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 трехчасовой 450 км полет по маршруту: Щелково-Коломна-Щелково-Серпухов-Щелково.</w:t>
            </w:r>
          </w:p>
        </w:tc>
      </w:tr>
    </w:tbl>
    <w:p w14:paraId="22E813F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22204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17E5CEE3" w14:textId="77777777">
        <w:tc>
          <w:tcPr>
            <w:tcW w:w="5636" w:type="dxa"/>
          </w:tcPr>
          <w:p w14:paraId="3C51D26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сентября 1933 года</w:t>
            </w:r>
          </w:p>
        </w:tc>
        <w:tc>
          <w:tcPr>
            <w:tcW w:w="5636" w:type="dxa"/>
          </w:tcPr>
          <w:p w14:paraId="2A0188B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принят от 22 завода и перегнан в Щелково.</w:t>
            </w:r>
          </w:p>
        </w:tc>
      </w:tr>
      <w:tr w:rsidR="00F26F01" w:rsidRPr="00C33834" w14:paraId="2086768E" w14:textId="77777777">
        <w:tc>
          <w:tcPr>
            <w:tcW w:w="5636" w:type="dxa"/>
          </w:tcPr>
          <w:p w14:paraId="663E931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сентября 1933 года</w:t>
            </w:r>
          </w:p>
        </w:tc>
        <w:tc>
          <w:tcPr>
            <w:tcW w:w="5636" w:type="dxa"/>
          </w:tcPr>
          <w:p w14:paraId="099E7F4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Ознакомительный полет.</w:t>
            </w:r>
          </w:p>
        </w:tc>
      </w:tr>
      <w:tr w:rsidR="00F26F01" w:rsidRPr="00C33834" w14:paraId="23E061AA" w14:textId="77777777">
        <w:tc>
          <w:tcPr>
            <w:tcW w:w="5636" w:type="dxa"/>
          </w:tcPr>
          <w:p w14:paraId="617EE74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сентября 1933 года</w:t>
            </w:r>
          </w:p>
        </w:tc>
        <w:tc>
          <w:tcPr>
            <w:tcW w:w="5636" w:type="dxa"/>
          </w:tcPr>
          <w:p w14:paraId="5C7C33E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w:t>
            </w:r>
          </w:p>
        </w:tc>
      </w:tr>
      <w:tr w:rsidR="00F26F01" w:rsidRPr="00C33834" w14:paraId="1BF8511E" w14:textId="77777777">
        <w:tc>
          <w:tcPr>
            <w:tcW w:w="5636" w:type="dxa"/>
          </w:tcPr>
          <w:p w14:paraId="720F7F6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сентября 1933 года</w:t>
            </w:r>
          </w:p>
        </w:tc>
        <w:tc>
          <w:tcPr>
            <w:tcW w:w="5636" w:type="dxa"/>
          </w:tcPr>
          <w:p w14:paraId="5798CCD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километраж.</w:t>
            </w:r>
          </w:p>
        </w:tc>
      </w:tr>
      <w:tr w:rsidR="00F26F01" w:rsidRPr="00C33834" w14:paraId="44C5A547" w14:textId="77777777">
        <w:tc>
          <w:tcPr>
            <w:tcW w:w="5636" w:type="dxa"/>
          </w:tcPr>
          <w:p w14:paraId="204CB80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сентября 1933 года</w:t>
            </w:r>
          </w:p>
        </w:tc>
        <w:tc>
          <w:tcPr>
            <w:tcW w:w="5636" w:type="dxa"/>
          </w:tcPr>
          <w:p w14:paraId="3A3CAD0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по зубцам.</w:t>
            </w:r>
          </w:p>
        </w:tc>
      </w:tr>
      <w:tr w:rsidR="00F26F01" w:rsidRPr="00C33834" w14:paraId="4801FD19" w14:textId="77777777">
        <w:tc>
          <w:tcPr>
            <w:tcW w:w="5636" w:type="dxa"/>
          </w:tcPr>
          <w:p w14:paraId="6D626B2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октября 1933 года</w:t>
            </w:r>
          </w:p>
        </w:tc>
        <w:tc>
          <w:tcPr>
            <w:tcW w:w="5636" w:type="dxa"/>
          </w:tcPr>
          <w:p w14:paraId="73B6D47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километраж.</w:t>
            </w:r>
          </w:p>
        </w:tc>
      </w:tr>
      <w:tr w:rsidR="00F26F01" w:rsidRPr="00C33834" w14:paraId="2ABDBD2D" w14:textId="77777777">
        <w:tc>
          <w:tcPr>
            <w:tcW w:w="5636" w:type="dxa"/>
          </w:tcPr>
          <w:p w14:paraId="0F578B8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октября 1933 года</w:t>
            </w:r>
          </w:p>
        </w:tc>
        <w:tc>
          <w:tcPr>
            <w:tcW w:w="5636" w:type="dxa"/>
          </w:tcPr>
          <w:p w14:paraId="2C8FFBD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зубцы.</w:t>
            </w:r>
          </w:p>
        </w:tc>
      </w:tr>
    </w:tbl>
    <w:p w14:paraId="4C0F3F2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проведены в 13 дней, из них самолет летал 6 дней (6635).</w:t>
      </w:r>
    </w:p>
    <w:p w14:paraId="7FF7039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52008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октября 1933 закончились гос. испытания ТБ-3 4М-34, которые проходили с 28 сентября 1933:</w:t>
      </w:r>
    </w:p>
    <w:p w14:paraId="5EEA8C3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6711DFA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испытание самолетов ТБ3-4М34 без редукторов (NN 22203 и 22204).</w:t>
      </w:r>
    </w:p>
    <w:p w14:paraId="33BE53C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Выбор наилучшего винта из трех представленных ЦАГИ.</w:t>
      </w:r>
    </w:p>
    <w:p w14:paraId="279FC22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Изыскание путей облегчений винтомоторной группы.</w:t>
      </w:r>
    </w:p>
    <w:p w14:paraId="36E8C82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1B538CE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значительно лучших летных данных самолета ТБ3-4М34 без редуктора с винтами Д=3,18 Н=1,88 (С Тб4-6М34) считать необходимым все самолеты ТБ3-4М34 выпускать с этим типом винтов (3903,147-200).</w:t>
      </w:r>
    </w:p>
    <w:p w14:paraId="6F50989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01FA8E3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октября 1933 в Финском заливе в районе Толбухина маяка закончились испытания улучшенных ТАВ-15, которые шли с 16 августа 1933. С одного ТБ-1 сбросили 4 болванки и две торпеды с ходом и 6 октября удачно сбросили торпеду с 1000 м при температуре -7. Приняли к производству как эталон на 1934 и Нач. ВВС приказал доработать имеющиеся торпеды (1966,12).</w:t>
      </w:r>
    </w:p>
    <w:p w14:paraId="042E475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на Балтике провели первые учения минно-торпедной авиации. Самолеты ТБ-1а 121 Э применяли торпеды ТАН-12 и мины МАВ-1. Руководил Я.И.Алкснис (561,7). 10 октября четыре машины с торпедами и четыре с минами атаковали эсминец Карл Маркс. С-62Б делали дымовую завесу. 15 октября - атаковали Марат и Р-5 с ВАП выливали имитацию ОВ. ТБ-1 были не очень то хороши как торпедоносцы из-за плохой маневренности (561,7).</w:t>
      </w:r>
    </w:p>
    <w:p w14:paraId="7E72D3E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атаки Марата были в ходе маневров Балтфлота в июне 1934 (1966,12).</w:t>
      </w:r>
    </w:p>
    <w:p w14:paraId="16374D5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629E37C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октября 1933 года выписка из протокола № 14 КО</w:t>
      </w:r>
    </w:p>
    <w:p w14:paraId="6ACDAF5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О недовыполнении программы заказов 1933 года по авиации</w:t>
      </w:r>
    </w:p>
    <w:p w14:paraId="6FCCA0B4"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Комиссии в составе Кагановича М. (председатель), Прокофьева, Беленького, Королева, Алксниса, Жарова, Малахова, Копосова, Чернышева и Коврова в пяти дневный срок, на основе обмена мнений, разработать и доложить КО мероприятия по обеспечению выполнения всей программы 1933 года:</w:t>
      </w:r>
    </w:p>
    <w:p w14:paraId="183DFC3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Комиссии обратить особое внимание на:</w:t>
      </w:r>
    </w:p>
    <w:p w14:paraId="1D01E0A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устранение причин организационного и производственного порядка, препятствующих выполнению программы, в особенности на отстающих заводах №№ 1 и 31;</w:t>
      </w:r>
    </w:p>
    <w:p w14:paraId="6C1497F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ликвидацию прорыва по производству самолетов новых типов (И7-М17, ТБ3-4М34, МБР4-2М34, Р6-2М34);</w:t>
      </w:r>
    </w:p>
    <w:p w14:paraId="6D1615F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усиление руководства работой ЦАГИ со стороны НКТП (Галактионов)</w:t>
      </w:r>
    </w:p>
    <w:p w14:paraId="0355E36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Для расследования случаев сдачи и приемки дефектных моторов на заводе № 26 назначить комиссию в составе тт. Беленького (Председатель), Прокофьева, Павлуновского, Алксниса.</w:t>
      </w:r>
    </w:p>
    <w:p w14:paraId="11028AB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работы - декадный (4191, 19).</w:t>
      </w:r>
    </w:p>
    <w:p w14:paraId="2990583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94DF4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октября 1933 года зам. начальника ЭКУ ОГПУ Шанин, начальник 4 отдела ЭКУ ОГПУ Калецкий</w:t>
      </w:r>
    </w:p>
    <w:p w14:paraId="674610C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Справка о выполнении программы самолето- и моторостроения за 9 месяцев 1933 года</w:t>
      </w:r>
    </w:p>
    <w:p w14:paraId="05FDF99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Программа текущего года за 9 месяцев по самолето- и моторостроению за отдельными исключениями не выполнена.</w:t>
      </w:r>
    </w:p>
    <w:p w14:paraId="7B5D974E" w14:textId="77777777" w:rsidR="001F72EB" w:rsidRPr="00C33834" w:rsidRDefault="001F72EB" w:rsidP="00C33834">
      <w:pPr>
        <w:tabs>
          <w:tab w:val="left" w:pos="72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Самолетостроение</w:t>
      </w:r>
    </w:p>
    <w:p w14:paraId="5082900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всем заводам самолетостроения годовая программа выполнена на 58,5%, а к заданию 9-ти месяцев на 80%. Особо отстают заводы №№ 1, 31 и 18.</w:t>
      </w:r>
    </w:p>
    <w:p w14:paraId="3BDC771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 данные о выполнении программы см. приложение.</w:t>
      </w:r>
    </w:p>
    <w:p w14:paraId="13D2AF8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Основными причинами являются:</w:t>
      </w:r>
    </w:p>
    <w:p w14:paraId="14A4FB5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Расстроенность производственного планирования (цехового) отсюда некомплектная заготовка полуфабрикатов.</w:t>
      </w:r>
    </w:p>
    <w:p w14:paraId="184B8AB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Совершенно недостаточное выполнение работ вспомогательными заводами (винты, лыжи, вооружение, колеса, радиаторы, помпы), что лимитирует работу основных цехов.</w:t>
      </w:r>
    </w:p>
    <w:p w14:paraId="2515018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 погоне за показательным количеством, отсутствует борьба за качество и как результат большой брак, попытки сдачи и сдача при попустительстве приемки УВВС некондиционной продукции и без внутреннего оборудования, так:</w:t>
      </w:r>
    </w:p>
    <w:p w14:paraId="31E814E6"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 22</w:t>
      </w:r>
    </w:p>
    <w:p w14:paraId="2F767D4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Неудовлетворительная сварка – имеются трещины на сварке; погнутость, главным образом, в месте приварки заглушек помяты в узлах.</w:t>
      </w:r>
    </w:p>
    <w:p w14:paraId="6FB07F0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32</w:t>
      </w:r>
    </w:p>
    <w:p w14:paraId="6105396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Большой брак агрегатов и деталей, поступающих на сборку, так например: радиаторы, колеса, поступающие на другие авиазаводы, оказываются некомплектными и некондиционными.</w:t>
      </w:r>
    </w:p>
    <w:p w14:paraId="20772D5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Практикуются случаи сдачи заводам явно некондиционных деталей, минуя технический контроль завода. (По вине начальника радиаторного цеха Гусева за два месяца сдано заводу № 22 – 85 заведомо дефектных радиаторов – с большой деформацией).</w:t>
      </w:r>
    </w:p>
    <w:p w14:paraId="1713E43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Отсутствие четкой планировки создает подачу некомплектных деталей.</w:t>
      </w:r>
    </w:p>
    <w:p w14:paraId="7126B18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28</w:t>
      </w:r>
    </w:p>
    <w:p w14:paraId="74754D9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погоне исключительно за количеством – выполняет неходовые винты, но более легкие в производстве (ветрянки, винты для У-2), тогда как винты для ТБ-3, МБР-4 производятся в недостаточном количестве:</w:t>
      </w:r>
    </w:p>
    <w:p w14:paraId="532DEFD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изготовлено винтов для УД-2 вместо 130-182; ветрянки (небольшие винты для динамомашин) вместо 700 – 918, тогда как для ТБ-3 место 210 – 118 штук; МБР4 вместо 14 изготовлено 0.</w:t>
      </w:r>
    </w:p>
    <w:p w14:paraId="2456290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производство запускаются невыдержанные материалы, вследствие чего имеются случаи коробления винтов; отстает окраска вследствие неудовлетворительности шпаклевки; винты плохо балансируются, что приводит к тряске моторов и неоднократной смене винтов при сдаче самолетов в полет.</w:t>
      </w:r>
    </w:p>
    <w:p w14:paraId="1870ADF0"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 М-17 (завод № 26).</w:t>
      </w:r>
    </w:p>
    <w:p w14:paraId="35CD931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Несмотря на то, что это производство является вполне освоенным, за последний период времени в авиачасти ВВС РККА систематически начали поступать моторы с существенными дефектами, обнаруженными в процессе эксплуатации после непродолжительного времени работы таковых.</w:t>
      </w:r>
    </w:p>
    <w:p w14:paraId="2A9107C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w:t>
      </w:r>
    </w:p>
    <w:p w14:paraId="18E4A4D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основным трем дефектам (коленчатый вал, цилиндры и картер) сдано моторов со скидкой, но в счет выполнения программы:</w:t>
      </w:r>
    </w:p>
    <w:p w14:paraId="169427B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5 моторов – сумма скидки 3983 рублей 86 копеек</w:t>
      </w:r>
    </w:p>
    <w:p w14:paraId="4CC3808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68 моторов – сумма скидки 44283 рубля 60 копеек</w:t>
      </w:r>
    </w:p>
    <w:p w14:paraId="0325881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142 мотора - сумма скидки 58929 рублей 00 копеек</w:t>
      </w:r>
    </w:p>
    <w:p w14:paraId="51E3A3A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177 моторов - сумма скидки 83220 рублей 00 копеек</w:t>
      </w:r>
    </w:p>
    <w:p w14:paraId="250A968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завод потерпел убыток на недоброкачественности моторов 190416 рублей 36 копеек, а военное ведомство получило 393 дефектных мотора, что подтверждается целым рядом актов, полученных из авиачастей.</w:t>
      </w:r>
    </w:p>
    <w:p w14:paraId="223D03B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Брак идет, главным образом, за счет трудоемких деталей.</w:t>
      </w:r>
    </w:p>
    <w:p w14:paraId="19C390E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Шатуны бракуются из-за наличия в металле волосовин; цилиндры по трещинам в головке.</w:t>
      </w:r>
    </w:p>
    <w:p w14:paraId="7E9B454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Эти дефекты благодаря безобразно поставленного контроля обнаруживаются на последних стадиях механической обработки.</w:t>
      </w:r>
    </w:p>
    <w:p w14:paraId="25BCF68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Брак по картерам в первом полугодии достигал 70% благодаря отсутствию проработанного технологического процесса и плохого контроля за режимом плавки и составом шихты.</w:t>
      </w:r>
    </w:p>
    <w:p w14:paraId="5D4A752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Необходимо отметить, что в последнее время наметился сдвиг в сторону уменьшения брака (для картеров 40%).</w:t>
      </w:r>
    </w:p>
    <w:p w14:paraId="0C7C55E6"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 М-22 и М-11 (завод № 29).</w:t>
      </w:r>
    </w:p>
    <w:p w14:paraId="18F8030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Программа за 9 месяцев выполнена по М-22 на 80% (годовой 54%) и по М-11 на 84% (годовой – 68%).</w:t>
      </w:r>
    </w:p>
    <w:p w14:paraId="7D99701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Продукция невысокого качества.</w:t>
      </w:r>
    </w:p>
    <w:p w14:paraId="026E444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дефекты в производстве относятся за счет расстроенности инструментального хозяйства и приспособлений, кустарничества в производстве, отсутствия четкого технического планирования, в особенности в механических цехах и отсутствия плановопредупредительного ремонта оборудования.</w:t>
      </w:r>
    </w:p>
    <w:p w14:paraId="5B3E1F7F"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20 (помпы, нормали их).</w:t>
      </w:r>
    </w:p>
    <w:p w14:paraId="794B44D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формально выполняя программу на 100%, по существу недодает заводам нужного количества, не говоря уже о качестве частей и деталей моторов.</w:t>
      </w:r>
    </w:p>
    <w:p w14:paraId="579C1C8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в погоне за выполнением программы цеха, производит детали большой стоимости и менее трудоемкие, например:</w:t>
      </w:r>
    </w:p>
    <w:p w14:paraId="1AFF6B2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сентября 1933 года не было одних деталей – для бензопомп (сальники, прокладки, хомуты) при запасе других деталей (пружин – 9149 штук, кольца прокладочные – 4700 штук и проч.).</w:t>
      </w:r>
    </w:p>
    <w:p w14:paraId="53BE26D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водопомпам: шплинтов – нет, патрубков входящей воды – нет, гаек к шпилькам (дет. № Б20256) не достает.</w:t>
      </w:r>
    </w:p>
    <w:p w14:paraId="40E4A2A7"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33 (производство карбюраторов).</w:t>
      </w:r>
    </w:p>
    <w:p w14:paraId="1E40C26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последнего времени завод находился в большом прорыве и лишь в последнее время освоил часть номенклатур. Так, например, особо дефицитные карбюраторы к мотору М-34 из 3-х серий – 1-ая серия – 100% брак, из 2-ой серии только 20 штук годных и лишь последнюю серию завод выполнил с большим напряжением.</w:t>
      </w:r>
    </w:p>
    <w:p w14:paraId="356DB15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Причины невыполнения заводом программы – низкое качество литья, получаемого с завода № 20, конструктивные доводки карбюраторов – недоработанность технологического процесса и вследствие этого бесплановый и кустарный характер производства (4191, 71-75).</w:t>
      </w:r>
    </w:p>
    <w:p w14:paraId="4C38657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октября 1933 Нач. 4 отдела ЭКУ ОГПУ Калецкий подготовил:</w:t>
      </w:r>
    </w:p>
    <w:p w14:paraId="2A99556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в е д е н и я</w:t>
      </w:r>
    </w:p>
    <w:p w14:paraId="576F369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вьполнении программы по з-дам самолетостроения взятые ив сводки ГУАП"а, подписанной Нач.ГУАП"а тов. КОРОЛШШ.</w:t>
      </w:r>
    </w:p>
    <w:p w14:paraId="608D888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lang w:val="en-US"/>
        </w:rPr>
        <w:t>I</w:t>
      </w:r>
      <w:r w:rsidRPr="00C33834">
        <w:rPr>
          <w:rFonts w:ascii="Times New Roman" w:hAnsi="Times New Roman"/>
          <w:color w:val="000000" w:themeColor="text1"/>
          <w:sz w:val="16"/>
          <w:szCs w:val="16"/>
        </w:rPr>
        <w:t xml:space="preserve">. Завод № </w:t>
      </w:r>
      <w:r w:rsidRPr="00C33834">
        <w:rPr>
          <w:rFonts w:ascii="Times New Roman" w:hAnsi="Times New Roman"/>
          <w:color w:val="000000" w:themeColor="text1"/>
          <w:sz w:val="16"/>
          <w:szCs w:val="16"/>
          <w:lang w:val="en-US"/>
        </w:rPr>
        <w:t>I</w:t>
      </w:r>
    </w:p>
    <w:p w14:paraId="30BBAF2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программу Р-5 выполнил - 57% годового задания или 79% задания на 9 мес За 8 мес. недодано 252 само</w:t>
      </w:r>
      <w:r w:rsidRPr="00C33834">
        <w:rPr>
          <w:rFonts w:ascii="Times New Roman" w:hAnsi="Times New Roman"/>
          <w:color w:val="000000" w:themeColor="text1"/>
          <w:sz w:val="16"/>
          <w:szCs w:val="16"/>
        </w:rPr>
        <w:softHyphen/>
        <w:t>лета.</w:t>
      </w:r>
    </w:p>
    <w:p w14:paraId="2B3B84F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программу И-7 выполнил - 1.9% годового зада</w:t>
      </w:r>
      <w:r w:rsidRPr="00C33834">
        <w:rPr>
          <w:rFonts w:ascii="Times New Roman" w:hAnsi="Times New Roman"/>
          <w:color w:val="000000" w:themeColor="text1"/>
          <w:sz w:val="16"/>
          <w:szCs w:val="16"/>
        </w:rPr>
        <w:softHyphen/>
        <w:t>ния или 27% задания на 9 мео. За 9 мес. недодано 124 само</w:t>
      </w:r>
      <w:r w:rsidRPr="00C33834">
        <w:rPr>
          <w:rFonts w:ascii="Times New Roman" w:hAnsi="Times New Roman"/>
          <w:color w:val="000000" w:themeColor="text1"/>
          <w:sz w:val="16"/>
          <w:szCs w:val="16"/>
        </w:rPr>
        <w:softHyphen/>
        <w:t>лета.</w:t>
      </w:r>
    </w:p>
    <w:p w14:paraId="256A00F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Еще хуже выполнение по групповым комплектам.</w:t>
      </w:r>
    </w:p>
    <w:p w14:paraId="6EB3741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Завод № 31 программа по гидросамолетам "МБР-4" с мотором АСОО выполнена на 75%, не</w:t>
      </w:r>
      <w:r w:rsidRPr="00C33834">
        <w:rPr>
          <w:rFonts w:ascii="Times New Roman" w:hAnsi="Times New Roman"/>
          <w:color w:val="000000" w:themeColor="text1"/>
          <w:sz w:val="16"/>
          <w:szCs w:val="16"/>
        </w:rPr>
        <w:softHyphen/>
        <w:t>додано 5 машин.</w:t>
      </w:r>
    </w:p>
    <w:p w14:paraId="7578B1C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Тоже с мотором “М-34"не сда</w:t>
      </w:r>
      <w:r w:rsidRPr="00C33834">
        <w:rPr>
          <w:rFonts w:ascii="Times New Roman" w:hAnsi="Times New Roman"/>
          <w:color w:val="000000" w:themeColor="text1"/>
          <w:sz w:val="16"/>
          <w:szCs w:val="16"/>
        </w:rPr>
        <w:softHyphen/>
        <w:t>но ни одной машины при зада</w:t>
      </w:r>
      <w:r w:rsidRPr="00C33834">
        <w:rPr>
          <w:rFonts w:ascii="Times New Roman" w:hAnsi="Times New Roman"/>
          <w:color w:val="000000" w:themeColor="text1"/>
          <w:sz w:val="16"/>
          <w:szCs w:val="16"/>
        </w:rPr>
        <w:softHyphen/>
        <w:t>нии 42.</w:t>
      </w:r>
    </w:p>
    <w:p w14:paraId="3249E89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программу по сам. Р6 с мотор. 2 М17 7-8% годово</w:t>
      </w:r>
      <w:r w:rsidRPr="00C33834">
        <w:rPr>
          <w:rFonts w:ascii="Times New Roman" w:hAnsi="Times New Roman"/>
          <w:color w:val="000000" w:themeColor="text1"/>
          <w:sz w:val="16"/>
          <w:szCs w:val="16"/>
        </w:rPr>
        <w:softHyphen/>
        <w:t>го или 16% 9 мес. задания недо</w:t>
      </w:r>
      <w:r w:rsidRPr="00C33834">
        <w:rPr>
          <w:rFonts w:ascii="Times New Roman" w:hAnsi="Times New Roman"/>
          <w:color w:val="000000" w:themeColor="text1"/>
          <w:sz w:val="16"/>
          <w:szCs w:val="16"/>
        </w:rPr>
        <w:softHyphen/>
        <w:t>дано 49 машин.</w:t>
      </w:r>
    </w:p>
    <w:p w14:paraId="586D41C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Тоже с моторами М34 - 0%</w:t>
      </w:r>
    </w:p>
    <w:p w14:paraId="72811CF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программу по сам. АНТ-9 - 0% при задании 8 са</w:t>
      </w:r>
      <w:r w:rsidRPr="00C33834">
        <w:rPr>
          <w:rFonts w:ascii="Times New Roman" w:hAnsi="Times New Roman"/>
          <w:color w:val="000000" w:themeColor="text1"/>
          <w:sz w:val="16"/>
          <w:szCs w:val="16"/>
        </w:rPr>
        <w:softHyphen/>
        <w:t>молетов.</w:t>
      </w:r>
    </w:p>
    <w:p w14:paraId="5E425B3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Завод №18 не сдал в течение 1 и 1/2 мес. ни одной маши</w:t>
      </w:r>
      <w:r w:rsidRPr="00C33834">
        <w:rPr>
          <w:rFonts w:ascii="Times New Roman" w:hAnsi="Times New Roman"/>
          <w:color w:val="000000" w:themeColor="text1"/>
          <w:sz w:val="16"/>
          <w:szCs w:val="16"/>
        </w:rPr>
        <w:softHyphen/>
        <w:t>ны.</w:t>
      </w:r>
    </w:p>
    <w:p w14:paraId="32B1710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Харьковский авиазавод из программы на 9 мес. выполнил 76%, недодав 25 самолетов К5.</w:t>
      </w:r>
    </w:p>
    <w:p w14:paraId="5C4A91B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остальным заводам /№№ 21, 22, 23, 39/ программа само</w:t>
      </w:r>
      <w:r w:rsidRPr="00C33834">
        <w:rPr>
          <w:rFonts w:ascii="Times New Roman" w:hAnsi="Times New Roman"/>
          <w:color w:val="000000" w:themeColor="text1"/>
          <w:sz w:val="16"/>
          <w:szCs w:val="16"/>
        </w:rPr>
        <w:softHyphen/>
        <w:t>летостроения выполнена более удовлетворительно /выше 80%/, за исключением ТБ-3 с мотором М34 /з-д № 22/ из 45 самоле</w:t>
      </w:r>
      <w:r w:rsidRPr="00C33834">
        <w:rPr>
          <w:rFonts w:ascii="Times New Roman" w:hAnsi="Times New Roman"/>
          <w:color w:val="000000" w:themeColor="text1"/>
          <w:sz w:val="16"/>
          <w:szCs w:val="16"/>
        </w:rPr>
        <w:softHyphen/>
        <w:t>тов сдано 2- и отставание по групповым комплектам,</w:t>
      </w:r>
    </w:p>
    <w:p w14:paraId="33C4970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 4 ОТД ЭКУ ОГПУ /КАЛЕЦКИЙ/ (4191).</w:t>
      </w:r>
    </w:p>
    <w:p w14:paraId="17E201C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октября 1933 была подготовлена:</w:t>
      </w:r>
    </w:p>
    <w:p w14:paraId="546B88F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ВЫПИСКА</w:t>
      </w:r>
    </w:p>
    <w:p w14:paraId="3C72126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МАТЕРИАЛОВ ПРЕДВАРИТЕЛЬНОГО СЛЕДСТВИЯ ПО ЗАВОДУ№ 21.</w:t>
      </w:r>
    </w:p>
    <w:p w14:paraId="7F387C0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ПОКАЗАНИЯ КУПРИЯНОВА:</w:t>
      </w:r>
    </w:p>
    <w:p w14:paraId="34FB732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21 самолета, сданных в июле в счет июньской про</w:t>
      </w:r>
      <w:r w:rsidRPr="00C33834">
        <w:rPr>
          <w:rFonts w:ascii="Times New Roman" w:hAnsi="Times New Roman"/>
          <w:color w:val="000000" w:themeColor="text1"/>
          <w:sz w:val="16"/>
          <w:szCs w:val="16"/>
        </w:rPr>
        <w:softHyphen/>
        <w:t>граммы, только машина № 2197 была задержана в заводе по вине завода № 29, все остальные 20 машин должны были пройти ряд операций производственного характера, прежде чем попасть в ящик. На каждой из этих машин требовалось времени на прохождение этих операций не менее 60-ти ра</w:t>
      </w:r>
      <w:r w:rsidRPr="00C33834">
        <w:rPr>
          <w:rFonts w:ascii="Times New Roman" w:hAnsi="Times New Roman"/>
          <w:color w:val="000000" w:themeColor="text1"/>
          <w:sz w:val="16"/>
          <w:szCs w:val="16"/>
        </w:rPr>
        <w:softHyphen/>
        <w:t>бочих часов. Дирекцией завода эти машины были сданы и коммерчески оформлены следующим образом: 27 и 28 июня были Заводоуправлением пред"явлены к техническому осмо</w:t>
      </w:r>
      <w:r w:rsidRPr="00C33834">
        <w:rPr>
          <w:rFonts w:ascii="Times New Roman" w:hAnsi="Times New Roman"/>
          <w:color w:val="000000" w:themeColor="text1"/>
          <w:sz w:val="16"/>
          <w:szCs w:val="16"/>
        </w:rPr>
        <w:softHyphen/>
        <w:t>тру ВОенпредству 15 машин из июньской программы, а 28 и 29 июня уже были Военпредом -ЖУКОВЫМ выданы на них удосто</w:t>
      </w:r>
      <w:r w:rsidRPr="00C33834">
        <w:rPr>
          <w:rFonts w:ascii="Times New Roman" w:hAnsi="Times New Roman"/>
          <w:color w:val="000000" w:themeColor="text1"/>
          <w:sz w:val="16"/>
          <w:szCs w:val="16"/>
        </w:rPr>
        <w:softHyphen/>
        <w:t>верения, свидетельствующие о 100% готовности этих машин к отправке в ящики. На этих удостоверениях за №№ 93 и 95 имеется примечание: "самолеты отправлены в ящиках УВВС." Фактически были отправлены 5 самолетов 17 июля, 3 само</w:t>
      </w:r>
      <w:r w:rsidRPr="00C33834">
        <w:rPr>
          <w:rFonts w:ascii="Times New Roman" w:hAnsi="Times New Roman"/>
          <w:color w:val="000000" w:themeColor="text1"/>
          <w:sz w:val="16"/>
          <w:szCs w:val="16"/>
        </w:rPr>
        <w:softHyphen/>
        <w:t>лета 23 июля, 5 самолетов 31 июля, а машина № 21128, числящаяся сданной по удостоверению № 95 в июне, пред</w:t>
      </w:r>
      <w:r w:rsidRPr="00C33834">
        <w:rPr>
          <w:rFonts w:ascii="Times New Roman" w:hAnsi="Times New Roman"/>
          <w:color w:val="000000" w:themeColor="text1"/>
          <w:sz w:val="16"/>
          <w:szCs w:val="16"/>
        </w:rPr>
        <w:softHyphen/>
        <w:t>полагалась к отправке только 7 августа, из-за отсутствия некоторых запасных частей, например: резины и платформ.</w:t>
      </w:r>
    </w:p>
    <w:p w14:paraId="2D7EAD1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показаний младшего Военпреда ИЕВЛЕВА, заместите</w:t>
      </w:r>
      <w:r w:rsidRPr="00C33834">
        <w:rPr>
          <w:rFonts w:ascii="Times New Roman" w:hAnsi="Times New Roman"/>
          <w:color w:val="000000" w:themeColor="text1"/>
          <w:sz w:val="16"/>
          <w:szCs w:val="16"/>
        </w:rPr>
        <w:softHyphen/>
        <w:t>ля Военпреда ЖУКОВА видно, что:</w:t>
      </w:r>
    </w:p>
    <w:p w14:paraId="6FC3FF9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программы проходит в ненормальных условиях, в сильной степени отражающейся на качестве продукции. Примером может служить июль</w:t>
      </w:r>
      <w:r w:rsidRPr="00C33834">
        <w:rPr>
          <w:rFonts w:ascii="Times New Roman" w:hAnsi="Times New Roman"/>
          <w:color w:val="000000" w:themeColor="text1"/>
          <w:sz w:val="16"/>
          <w:szCs w:val="16"/>
        </w:rPr>
        <w:softHyphen/>
        <w:t>ская программа. Не имея ряда деталей секторов газа, заливной с ис темы, краников фильтра, тяг и т.д. Самолеты пред являлись ОТК и, одновременно, Военной Приемке.</w:t>
      </w:r>
    </w:p>
    <w:p w14:paraId="4D31E7D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"Самолеы из сборочного цеха перебрасывались на аэродром в недоделанном виде. На мой вопрос АБРАМОВУ (Пом. Техн. директора, быв. вредитель, </w:t>
      </w:r>
      <w:r w:rsidRPr="00C33834">
        <w:rPr>
          <w:rFonts w:ascii="Times New Roman" w:hAnsi="Times New Roman"/>
          <w:smallCaps/>
          <w:color w:val="000000" w:themeColor="text1"/>
          <w:sz w:val="16"/>
          <w:szCs w:val="16"/>
        </w:rPr>
        <w:t xml:space="preserve">досрочно </w:t>
      </w:r>
      <w:r w:rsidRPr="00C33834">
        <w:rPr>
          <w:rFonts w:ascii="Times New Roman" w:hAnsi="Times New Roman"/>
          <w:color w:val="000000" w:themeColor="text1"/>
          <w:sz w:val="16"/>
          <w:szCs w:val="16"/>
        </w:rPr>
        <w:t>освобожденный), что это дело никуда не годится, что на устранение дефектов и недо</w:t>
      </w:r>
      <w:r w:rsidRPr="00C33834">
        <w:rPr>
          <w:rFonts w:ascii="Times New Roman" w:hAnsi="Times New Roman"/>
          <w:color w:val="000000" w:themeColor="text1"/>
          <w:sz w:val="16"/>
          <w:szCs w:val="16"/>
        </w:rPr>
        <w:softHyphen/>
        <w:t>лов на еэродраме затрачивается лишняя рабочая сила, время', средства, АБРАМОВ ответил, что "в цехе нет места". На ряд других требований с моей стороны АБРАМОВУ и КУПРИЯНОУ (ст. инженер сборочного цеха) я получил ответ: что если машина на аэродроме, то она считается готовой к полету, а если она здесь, то уже другое дело, тем более, что может кто нибудь навернуться из Москвы для проверки выполнения программы по отправленной телеграмме".</w:t>
      </w:r>
    </w:p>
    <w:p w14:paraId="0E986A7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показания мл. Военпреда ИЕВЛЕВА).</w:t>
      </w:r>
    </w:p>
    <w:p w14:paraId="083A248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показаний летчика ПАВЛУШОВА:</w:t>
      </w:r>
    </w:p>
    <w:p w14:paraId="39978D0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"Самолет еще находится в стадии сборки, а военный представитель уже оплачивает заводу за самолет, т.е. приблизительно за 10 - 15 дней до поступления самолета в экспедицию. В результате сборочный цех пред"являет самолет Контрольному Отделу без многих монтажей и если Контрольный Отдел не принимает для осмотра </w:t>
      </w:r>
      <w:r w:rsidRPr="00C33834">
        <w:rPr>
          <w:rFonts w:ascii="Times New Roman" w:hAnsi="Times New Roman"/>
          <w:color w:val="000000" w:themeColor="text1"/>
          <w:sz w:val="16"/>
          <w:szCs w:val="16"/>
        </w:rPr>
        <w:lastRenderedPageBreak/>
        <w:t>са</w:t>
      </w:r>
      <w:r w:rsidRPr="00C33834">
        <w:rPr>
          <w:rFonts w:ascii="Times New Roman" w:hAnsi="Times New Roman"/>
          <w:color w:val="000000" w:themeColor="text1"/>
          <w:sz w:val="16"/>
          <w:szCs w:val="16"/>
        </w:rPr>
        <w:softHyphen/>
        <w:t>молет, то на него производиться нажим со сторо</w:t>
      </w:r>
      <w:r w:rsidRPr="00C33834">
        <w:rPr>
          <w:rFonts w:ascii="Times New Roman" w:hAnsi="Times New Roman"/>
          <w:color w:val="000000" w:themeColor="text1"/>
          <w:sz w:val="16"/>
          <w:szCs w:val="16"/>
        </w:rPr>
        <w:softHyphen/>
        <w:t>ны дирекции. Военнае представительство также осматривает незаконченные самолеты и требования снизило в последние 2 месяца июнь-июль по срав</w:t>
      </w:r>
      <w:r w:rsidRPr="00C33834">
        <w:rPr>
          <w:rFonts w:ascii="Times New Roman" w:hAnsi="Times New Roman"/>
          <w:color w:val="000000" w:themeColor="text1"/>
          <w:sz w:val="16"/>
          <w:szCs w:val="16"/>
        </w:rPr>
        <w:softHyphen/>
        <w:t>нению с мартом-апрелем. Сборочный цех стал самолеты выводить на аэродром совершенно недо</w:t>
      </w:r>
      <w:r w:rsidRPr="00C33834">
        <w:rPr>
          <w:rFonts w:ascii="Times New Roman" w:hAnsi="Times New Roman"/>
          <w:color w:val="000000" w:themeColor="text1"/>
          <w:sz w:val="16"/>
          <w:szCs w:val="16"/>
        </w:rPr>
        <w:softHyphen/>
        <w:t>деланными и все недоделки в большой суете и спешке производятся на аэродроме, при чем на ка</w:t>
      </w:r>
      <w:r w:rsidRPr="00C33834">
        <w:rPr>
          <w:rFonts w:ascii="Times New Roman" w:hAnsi="Times New Roman"/>
          <w:color w:val="000000" w:themeColor="text1"/>
          <w:sz w:val="16"/>
          <w:szCs w:val="16"/>
        </w:rPr>
        <w:softHyphen/>
        <w:t>чество отделки Военное представительство снизило требование. В результате спешки (т.е. пере</w:t>
      </w:r>
      <w:r w:rsidRPr="00C33834">
        <w:rPr>
          <w:rFonts w:ascii="Times New Roman" w:hAnsi="Times New Roman"/>
          <w:color w:val="000000" w:themeColor="text1"/>
          <w:sz w:val="16"/>
          <w:szCs w:val="16"/>
        </w:rPr>
        <w:softHyphen/>
        <w:t>выполнение программы) качество самолетов не улучшается, а ухудшается, при чем военное представи</w:t>
      </w:r>
      <w:r w:rsidRPr="00C33834">
        <w:rPr>
          <w:rFonts w:ascii="Times New Roman" w:hAnsi="Times New Roman"/>
          <w:color w:val="000000" w:themeColor="text1"/>
          <w:sz w:val="16"/>
          <w:szCs w:val="16"/>
        </w:rPr>
        <w:softHyphen/>
        <w:t>тельство это отлично видит.</w:t>
      </w:r>
    </w:p>
    <w:p w14:paraId="060A44C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 облетываются недоделанными и летают только как летательные машины, а не как боевая и после полетов в экспедиции устраняются до 30 недоделок (дефекты). Конечно экспедиция устра няет эти недоделки, а часть их остается, т.к. самолет в экспедицию поступает в разобранном виде, например: патронные ящики в собранном виде самолета не вынимаются, а когда самолет разобран то ящики вынимаются свободно. Все самолеты, ко</w:t>
      </w:r>
      <w:r w:rsidRPr="00C33834">
        <w:rPr>
          <w:rFonts w:ascii="Times New Roman" w:hAnsi="Times New Roman"/>
          <w:color w:val="000000" w:themeColor="text1"/>
          <w:sz w:val="16"/>
          <w:szCs w:val="16"/>
        </w:rPr>
        <w:softHyphen/>
        <w:t>торые поступают на аэродром с т.н. дефектами, то эти дефекты просто являются недоделками, ко</w:t>
      </w:r>
      <w:r w:rsidRPr="00C33834">
        <w:rPr>
          <w:rFonts w:ascii="Times New Roman" w:hAnsi="Times New Roman"/>
          <w:color w:val="000000" w:themeColor="text1"/>
          <w:sz w:val="16"/>
          <w:szCs w:val="16"/>
        </w:rPr>
        <w:softHyphen/>
        <w:t>торые следовало бы устранять а цеху до полета"</w:t>
      </w:r>
    </w:p>
    <w:p w14:paraId="52FD23B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подлинным верно:</w:t>
      </w:r>
    </w:p>
    <w:p w14:paraId="5450F24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Пом. Уполномоченного 4 отд. ЭКУ ОГПУ(Куторин) (4149,79).</w:t>
      </w:r>
    </w:p>
    <w:p w14:paraId="406ABDB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FC28D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октября 1933 года выписка из протокола № 14 КО</w:t>
      </w:r>
    </w:p>
    <w:p w14:paraId="39B7650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О недовыполнении программы заказов 1933 года по авиации</w:t>
      </w:r>
    </w:p>
    <w:p w14:paraId="4BAC45E4"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Комиссии в составе Кагановича М. (председатель), Прокофьева, Беленького, Королева, Алксниса, Жарова, Малахова, Копосова, Чернышева и Коврова в пяти дневный срок, на основе обмена мнений, разработать и доложить КО мероприятия по обеспечению выполнения всей программы 1933 года:</w:t>
      </w:r>
    </w:p>
    <w:p w14:paraId="2B020F1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Комиссии обратить особое внимание на:</w:t>
      </w:r>
    </w:p>
    <w:p w14:paraId="09091E2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устранение причин организационного и производственного порядка, препятствующих выполнению программы, в особенности на отстающих заводах №№ 1 и 31;</w:t>
      </w:r>
    </w:p>
    <w:p w14:paraId="3DD768C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ликвидацию прорыва по производству самолетов новых типов (И7-М17, ТБ3-4М34, МБР4-2М34, Р6-2М34);</w:t>
      </w:r>
    </w:p>
    <w:p w14:paraId="0BDAAE1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усиление руководства работой ЦАГИ со стороны НКТП.</w:t>
      </w:r>
    </w:p>
    <w:p w14:paraId="5F55C3D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расследования случаев сдачи и приемки дефектных моторов на заводе № 26 назначить комиссию в составе Беленького (председатель), Прокофьева, Павлуновского и Алксниса (Галактионов) (4191, 22).</w:t>
      </w:r>
    </w:p>
    <w:p w14:paraId="7846988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57085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октября 1933 года в районе дер. Татарово-Крылатское ТБ-3 перевез группу парашютистов в количестве 21 чел. (3853).</w:t>
      </w:r>
    </w:p>
    <w:p w14:paraId="70E8484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1A298EA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октября 1933 были закончены дополнительные испытания МАВ-1 (ВОМИЗЫ-100), которые шли с 24 июля 1933. Морские испытания с корабля произведены в ладожском озере на глубинах от 5 до 43 морских саженей. Воздушные испытания - в Финском заливе в створе Петергоф-лисий нос на глубинах 3 м. саж. и к северу от Толбухина маяка на глубинах 11-12 м. саж. самолетами ТБ-1 и ТБ-3 с сухопутного аэродрома (Комендантского), с высот от 600 до 1000 м. Сброшено с самолета 2 раза с бикфордовым шнуром и 7 раз с гидростатической отдачей (3052).</w:t>
      </w:r>
    </w:p>
    <w:p w14:paraId="4751913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1F3D36A3"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A65D985"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0566FAE" w14:textId="77777777" w:rsidR="00CF276A" w:rsidRPr="00C33834" w:rsidRDefault="00CF276A" w:rsidP="00C33834">
      <w:pPr>
        <w:pStyle w:val="rtejustify"/>
        <w:spacing w:before="0" w:after="0"/>
        <w:rPr>
          <w:color w:val="000000" w:themeColor="text1"/>
          <w:sz w:val="16"/>
          <w:szCs w:val="16"/>
        </w:rPr>
      </w:pPr>
      <w:r w:rsidRPr="00C33834">
        <w:rPr>
          <w:rStyle w:val="af0"/>
          <w:bCs/>
          <w:i w:val="0"/>
          <w:color w:val="000000" w:themeColor="text1"/>
          <w:sz w:val="16"/>
          <w:szCs w:val="16"/>
        </w:rPr>
        <w:t>9 октября</w:t>
      </w:r>
      <w:r w:rsidRPr="00C33834">
        <w:rPr>
          <w:color w:val="000000" w:themeColor="text1"/>
          <w:sz w:val="16"/>
          <w:szCs w:val="16"/>
        </w:rPr>
        <w:t xml:space="preserve"> 1933. Постановление СТО СССР № 93с/о «О мероприятиях по форсированию строительства «Двигательстрой» (Махачкала) и развитии производства торпед». (ГА РФ. Ф. Р</w:t>
      </w:r>
      <w:r w:rsidRPr="00C33834">
        <w:rPr>
          <w:color w:val="000000" w:themeColor="text1"/>
          <w:sz w:val="16"/>
          <w:szCs w:val="16"/>
        </w:rPr>
        <w:noBreakHyphen/>
        <w:t>8418. Оп. 28. Д. 2. Л. 178</w:t>
      </w:r>
      <w:r w:rsidRPr="00C33834">
        <w:rPr>
          <w:color w:val="000000" w:themeColor="text1"/>
          <w:sz w:val="16"/>
          <w:szCs w:val="16"/>
        </w:rPr>
        <w:noBreakHyphen/>
        <w:t>182) (15460).</w:t>
      </w:r>
    </w:p>
    <w:p w14:paraId="0F0707B5" w14:textId="77777777" w:rsidR="00CF276A" w:rsidRPr="00C33834" w:rsidRDefault="00CF276A" w:rsidP="00C33834">
      <w:pPr>
        <w:pStyle w:val="rtejustify"/>
        <w:spacing w:before="0" w:after="0"/>
        <w:rPr>
          <w:color w:val="000000" w:themeColor="text1"/>
          <w:sz w:val="16"/>
          <w:szCs w:val="16"/>
        </w:rPr>
      </w:pPr>
    </w:p>
    <w:p w14:paraId="1BBF65A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октября 1933 года выписка из протокола № 14 КО</w:t>
      </w:r>
    </w:p>
    <w:p w14:paraId="18AB70A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Поручить т. Беленькому, совместно с т.т. Халепским и Павлуновским, проверить правильность оплаты НКВМором 411 танков Т-26 по недоделу 1932 г.</w:t>
      </w:r>
    </w:p>
    <w:p w14:paraId="040E3A9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Для рабочих, техников и инженеров,подлежащих призыву в 1933 г., по заводам им. Ворошиловаи Ижорскому, предоставить каждому по 100 отсрочек.</w:t>
      </w:r>
    </w:p>
    <w:p w14:paraId="30EAB75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 ходе изготовления и сдаче подводных лодок по программе 1933 г.</w:t>
      </w:r>
    </w:p>
    <w:p w14:paraId="3787F0C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Перенести на следующее заседание</w:t>
      </w:r>
    </w:p>
    <w:p w14:paraId="752BCA6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 приобретении инотехпомощи по постройке крейсеров и эскадренных миноносцев и об отпуске валюты на приобретение автопилотов “Сперри”</w:t>
      </w:r>
    </w:p>
    <w:p w14:paraId="2C014E7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Отложить (4191,24).</w:t>
      </w:r>
    </w:p>
    <w:p w14:paraId="492B7B0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1C836E"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4EAE767"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2BC4F7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октября 1933 закончились заводские испытания ТБ-3 (АНТ-6) с М-34 производства 22 завода N 22201, которые проходили с 27 сентября 1933 (1017,169).</w:t>
      </w:r>
    </w:p>
    <w:p w14:paraId="3D410AD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034A34D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октября 1933 Пом. Нач. ГУАП Алмазов писал письмо на вх. N 203 от 25 сентября 1933 о том, что по программе на 4 кв. завод 24 д. сдать 5 МР-34Р, а в декабре - 15. Все выпущенные моторы д.б. пойти в распоряжение ЦАГИ. Первые 9 - по срочному заданию Правительства, а остальные - для МГ (2306,24).</w:t>
      </w:r>
    </w:p>
    <w:p w14:paraId="50D93E2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3931F3D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октября 1933 в ОЭЛИД ЦАГИ в 12:15 на ЦА произошла поломка автожира 4-А, которого подломил л ОЭЛИД Саливачев (2331,248).</w:t>
      </w:r>
    </w:p>
    <w:p w14:paraId="4C63C31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2A40103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октября 1933 В.Н.Евсеев совершил прыжок с ДН-4 с высоты 7200 м и был в свободном падении до высоты 150 м. - 132.5 сек (438,137). К.Е.В. в приказе N 163 наградил золотыми часами "Воздушному бойцу т. Евсееву за храбрость от РВС" (172,52).</w:t>
      </w:r>
    </w:p>
    <w:p w14:paraId="76BBC78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1CE372CC" w14:textId="77777777" w:rsidR="00CF276A" w:rsidRPr="00C33834" w:rsidRDefault="00CF276A" w:rsidP="00C33834">
      <w:pPr>
        <w:spacing w:after="0" w:line="240" w:lineRule="auto"/>
        <w:jc w:val="both"/>
        <w:rPr>
          <w:rStyle w:val="ucoz-forum-post"/>
          <w:rFonts w:ascii="Times New Roman" w:eastAsiaTheme="majorEastAsia" w:hAnsi="Times New Roman"/>
          <w:color w:val="000000" w:themeColor="text1"/>
          <w:sz w:val="16"/>
          <w:szCs w:val="16"/>
        </w:rPr>
      </w:pPr>
      <w:r w:rsidRPr="00C33834">
        <w:rPr>
          <w:rStyle w:val="ucoz-forum-post"/>
          <w:rFonts w:ascii="Times New Roman" w:eastAsiaTheme="majorEastAsia" w:hAnsi="Times New Roman"/>
          <w:bCs/>
          <w:color w:val="000000" w:themeColor="text1"/>
          <w:sz w:val="16"/>
          <w:szCs w:val="16"/>
        </w:rPr>
        <w:t>10 октября 1933 года</w:t>
      </w:r>
      <w:r w:rsidRPr="00C33834">
        <w:rPr>
          <w:rStyle w:val="ucoz-forum-post"/>
          <w:rFonts w:ascii="Times New Roman" w:eastAsiaTheme="majorEastAsia" w:hAnsi="Times New Roman"/>
          <w:color w:val="000000" w:themeColor="text1"/>
          <w:sz w:val="16"/>
          <w:szCs w:val="16"/>
        </w:rPr>
        <w:t xml:space="preserve"> Мировой рекорд затяжного парашютного прыжка - 7050 м, время падения - 132,5 сек., прыжок исполнен с высоты 7200 м, парашютист В.Н. Евсеев (14795).</w:t>
      </w:r>
    </w:p>
    <w:p w14:paraId="5CB7B846" w14:textId="77777777" w:rsidR="00CF276A" w:rsidRPr="00C33834" w:rsidRDefault="00CF276A" w:rsidP="00C33834">
      <w:pPr>
        <w:spacing w:after="0" w:line="240" w:lineRule="auto"/>
        <w:jc w:val="both"/>
        <w:rPr>
          <w:rStyle w:val="ucoz-forum-post"/>
          <w:rFonts w:ascii="Times New Roman" w:eastAsiaTheme="majorEastAsia" w:hAnsi="Times New Roman"/>
          <w:color w:val="000000" w:themeColor="text1"/>
          <w:sz w:val="16"/>
          <w:szCs w:val="16"/>
        </w:rPr>
      </w:pPr>
    </w:p>
    <w:p w14:paraId="0F25502A" w14:textId="77777777" w:rsidR="001F72EB"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258122F7"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627310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октября 1933 4 ТБ-1 с торпедами и 4 ТБ-1 с минами атаковали эсминец Карл Маркс, изображавший финский броненосец Вайнемяйнен. Удар поддерживали С-62, которые ставили дымзавесы и Р-5, подавлявшие легкими бомбами и пулеметами зенитные средства (3413,15).</w:t>
      </w:r>
    </w:p>
    <w:p w14:paraId="089198F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54A5FC0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октября 1933 четыре машины ТБ-1 с торпедами и четыре с минами (естественно, без боевого заряда) атаковали эсминец "Карл Маркс", игравший роль финского броненосца "Вайнемяйнен". Удар поддерживали летающие лодки -дымзавес- чики С-62Б и легкие бомбардировщики Р-5, подавлявшие мелкими бомбами и пулеметным огнем зенитные средства противника. Ставилась задача поставить минную банку по курсу корабля, шедшего через проход в минном поле, сковать его маневр и атаковать торпедами. Но задуманная как согласованная операция сорвалась.</w:t>
      </w:r>
    </w:p>
    <w:p w14:paraId="7EC21FC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Эсминец вышел с минного поля почти на десять минут раньше, чем появились ТБ-1 П. Легкие бомбардировщики запоздали и не смогли сымитировать подавление зенитных средств. Мины поставили не по курсу корабля, а левее. От момента их падения в воду до постановки на заданную глубину прошло 10- 15 минут, причем сработала только одна МАВ-1 из трех сброшенных.</w:t>
      </w:r>
    </w:p>
    <w:p w14:paraId="784B39C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Торпедоносцы пошли в атаку двумя парами, с севера и юга, под прикрытием дымовых завес. Северная группа появилась слишком поздно и слишком высоко, дым ее укрыть не мог. Поскольку Р-5 свою задачу не выполнили, зенитчики эсминца палили вовсю. Тем не менее, одна из торпед северной пары, сброшенная с дистанции 5 - 6 кабельтовых, попала в правый борт под мостиком. Одна торпеда другой пары прошла немного впереди носа эсминца (12001).</w:t>
      </w:r>
    </w:p>
    <w:p w14:paraId="78F4E24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659AC82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октября 1933 четыре ТБ-1а 121-й эскадрильи с торпедами и четыре с минами атаковали эсминец "Карл Маркс", изображавший финский броненосец "Вай- немяйнен". Удар поддерживали летающие лодки-дымзавесчи- ки С-62Б и легкие бомбардировщики Р-5, подавлявшие мелкими бомбами и пулеметным огнем зенитные средства. Ставилась задача поставить минную банку по курсу корабля, шедшего через проход в минном поле, сковать его маневр и атаковать торпедами На практике же скоординированного удара не получилось.</w:t>
      </w:r>
    </w:p>
    <w:p w14:paraId="7DFCE60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Эсминец вышел с минного поля почти на десять минут раньше, чем появились ТБ-1а. Легкие бомбардировщики запоздали и не смогли изобразить подавление зенитных средств. Мины поставили не по курсу корабля, а левее на 3 кабельтовых. От момента падения мин в воду до их постановки на заданную глубину прошло 10-15 мин, причем сработала только одна МАВ-1 из трех сброшенных.</w:t>
      </w:r>
    </w:p>
    <w:p w14:paraId="6A11189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Торпедоносцы атаковали двумя парами, с севера и юга, под прикрытием дымовых завес. Северная группа появилась слишком поздно и слишком высоко, дым ее укрыть не смог. Поскольку Р-5 свою задачу не выполнили, зенитчики эсминца палили вовсю. Тем не менее одна из торпед северной пары, сброшенная с дистанции 5-6 кабельтовых, попала в правый борт под мостиком. Одна из торпед другой пары прошла немного впереди носа эсминца (12002).</w:t>
      </w:r>
    </w:p>
    <w:p w14:paraId="2CE963D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5BB38614" w14:textId="77777777" w:rsidR="00C97702" w:rsidRPr="00C33834" w:rsidRDefault="00C9770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10 октября 1933 года Начальник ВВС в своем докладе Председателю РВС СССР писал:«1933 год является годом решительного перелома в развитии воздушно-десантного дела в РККА в целом и в ВВС в особенности. В 1933 г. произведен огромный сдвиг в отношении внедрения воздушно-десантного дела во все расчеты операций наземных, воздушных и отчасти морских сил» (Архив ЦДА и К. Ф. 50. Оп. 1. Д. 3. Л. 37.).</w:t>
      </w:r>
    </w:p>
    <w:p w14:paraId="112BA17C" w14:textId="77777777" w:rsidR="00C97702" w:rsidRPr="00C33834" w:rsidRDefault="00C9770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За 9 месяцев 1933 года было совершено прыжков в 6 раз больше, чем за весь 1932 год, в абсолютном измерении – 14.800 и 2.480 прыжков соответственно. Было подготовлено инструкторов парашютного дела ВВС в 5.5 раз больше по сравнению с 1932 годом. С учетом инструкторской подготовки командного состава частей особого назначения эти цифры увеличивались вдвое. Штатные структуры ВДВ уделили должное внимание парашютной подготовке. Количество парашютных прыжков, выполненных штатными десантниками в 1933 г., более чем в 13 раз превысило уровень 1932 г. (21402).</w:t>
      </w:r>
    </w:p>
    <w:p w14:paraId="51DEBAF5" w14:textId="77777777" w:rsidR="00C97702" w:rsidRPr="00C33834" w:rsidRDefault="00C97702" w:rsidP="00C33834">
      <w:pPr>
        <w:spacing w:after="0" w:line="240" w:lineRule="auto"/>
        <w:jc w:val="both"/>
        <w:rPr>
          <w:rFonts w:ascii="Times New Roman" w:hAnsi="Times New Roman"/>
          <w:color w:val="0070C0"/>
          <w:sz w:val="16"/>
          <w:szCs w:val="16"/>
        </w:rPr>
      </w:pPr>
    </w:p>
    <w:p w14:paraId="10A85380"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24981CE9"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8686041" w14:textId="77777777" w:rsidR="00C97702" w:rsidRPr="00C33834" w:rsidRDefault="00C9770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 октября 1933 бомба уничтожает United Airlines Boeing 247 в воздухе около Честертон, Индиана, во время трансконтинентального перелета через Соединенные Штаты. Погибли все семь человек на борту. Это первый доказанный случай саботажа в гражданской авиации, хотя ни одного подозреваемого не выявлено (20802).</w:t>
      </w:r>
    </w:p>
    <w:p w14:paraId="47415CA1" w14:textId="77777777" w:rsidR="00C97702" w:rsidRPr="00C33834" w:rsidRDefault="00C97702" w:rsidP="00C33834">
      <w:pPr>
        <w:spacing w:after="0" w:line="240" w:lineRule="auto"/>
        <w:jc w:val="both"/>
        <w:rPr>
          <w:rFonts w:ascii="Times New Roman" w:hAnsi="Times New Roman"/>
          <w:color w:val="0070C0"/>
          <w:sz w:val="16"/>
          <w:szCs w:val="16"/>
        </w:rPr>
      </w:pPr>
    </w:p>
    <w:p w14:paraId="318B5D1D" w14:textId="77777777" w:rsidR="00C97702" w:rsidRPr="00C33834" w:rsidRDefault="00C9770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 октября 1933 - Честертон, Индиана, США. Boeing-247 а/к United Air Lines разбился и сгорел, выполняя рейс из Кливленд в Чикаго. Все 7 человек на борту погибают... Самолёт выполнял трансконтинентальный рейс из Ньюарка в Окленд. На борту, помимо трёх членов экипажа, находилось ещё четыре пассажира. Боинг уже приземлялся в Кливленде и летел до следующей остановки в Чикаго, но взорвался в пути. Произошла детонация взрывного устройства, заложенного в багажный отсек; во взрывном устройстве использовался нитроглицерин. Возможно, устройство было оснащено часовым механизмом. Первый доказанный террористический акт в истории коммерческой авиации (22341).</w:t>
      </w:r>
    </w:p>
    <w:p w14:paraId="4A7FE618" w14:textId="77777777" w:rsidR="00C97702" w:rsidRPr="00C33834" w:rsidRDefault="00C97702" w:rsidP="00C33834">
      <w:pPr>
        <w:spacing w:after="0" w:line="240" w:lineRule="auto"/>
        <w:jc w:val="both"/>
        <w:rPr>
          <w:rFonts w:ascii="Times New Roman" w:hAnsi="Times New Roman"/>
          <w:color w:val="0070C0"/>
          <w:sz w:val="16"/>
          <w:szCs w:val="16"/>
        </w:rPr>
      </w:pPr>
    </w:p>
    <w:p w14:paraId="7A99CE1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октября 1933 нации западного полушария подписали в Рио де Жанейро договор о политики ненападения (2100).</w:t>
      </w:r>
    </w:p>
    <w:p w14:paraId="7984321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5F820E7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октября 1933 был выпущен первый комплексный стиральный порошок Dreft компании Proctor &amp; Gamble (3481).</w:t>
      </w:r>
    </w:p>
    <w:p w14:paraId="1B72E0E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212AAB54"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CFB6BD6"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464E50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октября 1933 закончились гос. испытания по сокращению разбега самолета ТБ1-2М17 с помощью стартовых ракет, разработанных Реактивным НИИ (бывш. ГДЛ), которые проходили с 4 октября 1933 (6643).</w:t>
      </w:r>
    </w:p>
    <w:p w14:paraId="3DB33A2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основании приказа РВС № 0025 от 22 августа 1933 года настоящей комиссией были проведены в НИИ ВВС гос. испытания по ускорению взлета самолета ТБ1-2М17 со стартовыми ракетами.</w:t>
      </w:r>
    </w:p>
    <w:p w14:paraId="1FCAA04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3B733016"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Стартовые ракеты конструкции Реактивного НИИ для ускорения взлета самолета ТБ1-2М17 гос. испытания прошли вполне удовлетворительно.</w:t>
      </w:r>
    </w:p>
    <w:p w14:paraId="4D089E9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5EB92EE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ведущий испытания – Рязанов</w:t>
      </w:r>
    </w:p>
    <w:p w14:paraId="0149D75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ведущий испытания – Миндер</w:t>
      </w:r>
    </w:p>
    <w:p w14:paraId="08D6387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0144C845" w14:textId="77777777">
        <w:tc>
          <w:tcPr>
            <w:tcW w:w="5636" w:type="dxa"/>
          </w:tcPr>
          <w:p w14:paraId="1D41C2C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октября 1933 года</w:t>
            </w:r>
          </w:p>
        </w:tc>
        <w:tc>
          <w:tcPr>
            <w:tcW w:w="5636" w:type="dxa"/>
          </w:tcPr>
          <w:p w14:paraId="7ED9B6B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Приемка самолета на испытание.</w:t>
            </w:r>
          </w:p>
        </w:tc>
      </w:tr>
      <w:tr w:rsidR="00F26F01" w:rsidRPr="00C33834" w14:paraId="3535CCDB" w14:textId="77777777">
        <w:tc>
          <w:tcPr>
            <w:tcW w:w="5636" w:type="dxa"/>
          </w:tcPr>
          <w:p w14:paraId="46C3B92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октября 1933 года</w:t>
            </w:r>
          </w:p>
        </w:tc>
        <w:tc>
          <w:tcPr>
            <w:tcW w:w="5636" w:type="dxa"/>
          </w:tcPr>
          <w:p w14:paraId="5DA244C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Взлеты с полетным весом 6500 кг и 7000 кг.</w:t>
            </w:r>
          </w:p>
        </w:tc>
      </w:tr>
      <w:tr w:rsidR="00F26F01" w:rsidRPr="00C33834" w14:paraId="18E3427B" w14:textId="77777777">
        <w:tc>
          <w:tcPr>
            <w:tcW w:w="5636" w:type="dxa"/>
          </w:tcPr>
          <w:p w14:paraId="6C00AE5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октября 1933 года</w:t>
            </w:r>
          </w:p>
        </w:tc>
        <w:tc>
          <w:tcPr>
            <w:tcW w:w="5636" w:type="dxa"/>
          </w:tcPr>
          <w:p w14:paraId="712E50E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Взлет с полетным весом 7000 кг.</w:t>
            </w:r>
          </w:p>
        </w:tc>
      </w:tr>
      <w:tr w:rsidR="00F26F01" w:rsidRPr="00C33834" w14:paraId="52B29593" w14:textId="77777777">
        <w:tc>
          <w:tcPr>
            <w:tcW w:w="5636" w:type="dxa"/>
          </w:tcPr>
          <w:p w14:paraId="617A2CF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октября 1933 года</w:t>
            </w:r>
          </w:p>
        </w:tc>
        <w:tc>
          <w:tcPr>
            <w:tcW w:w="5636" w:type="dxa"/>
          </w:tcPr>
          <w:p w14:paraId="271B059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Взлет с полетным весом 8000 кг.</w:t>
            </w:r>
          </w:p>
        </w:tc>
      </w:tr>
    </w:tbl>
    <w:p w14:paraId="2820FDD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 о. испытание заняло календарных дней, взлеты по программе – 3 дня (6643).</w:t>
      </w:r>
    </w:p>
    <w:p w14:paraId="14B63DD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6EAE0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октября 1933 при полете для киносъемке разбился А.Ф.Анисимов (438,658).</w:t>
      </w:r>
    </w:p>
    <w:p w14:paraId="67163AD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5ADC728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октября 1933 на заседании Бюро Президиума ЦС ОХА принято решение при передаче ГИРД в военное ведомство исходить из того, что ОХА "преподносит ГИРД целиком как подарок Реввоенсовету к XVI годовщине Октября, о чем написать рапорт Наркомвоенмору" (ЦГАОР, ф. 8355, № 74(1), л. 1) (10676).</w:t>
      </w:r>
    </w:p>
    <w:p w14:paraId="562324E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1D4C5731"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4B9A408"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0D68759" w14:textId="77777777" w:rsidR="00CF276A" w:rsidRPr="00C33834" w:rsidRDefault="00CF276A" w:rsidP="00C33834">
      <w:pPr>
        <w:pStyle w:val="rtejustify"/>
        <w:spacing w:before="0" w:after="0"/>
        <w:rPr>
          <w:color w:val="000000" w:themeColor="text1"/>
          <w:sz w:val="16"/>
          <w:szCs w:val="16"/>
        </w:rPr>
      </w:pPr>
      <w:r w:rsidRPr="00C33834">
        <w:rPr>
          <w:rStyle w:val="af0"/>
          <w:bCs/>
          <w:i w:val="0"/>
          <w:color w:val="000000" w:themeColor="text1"/>
          <w:sz w:val="16"/>
          <w:szCs w:val="16"/>
        </w:rPr>
        <w:t>11 октября</w:t>
      </w:r>
      <w:r w:rsidRPr="00C33834">
        <w:rPr>
          <w:color w:val="000000" w:themeColor="text1"/>
          <w:sz w:val="16"/>
          <w:szCs w:val="16"/>
        </w:rPr>
        <w:t xml:space="preserve"> 1933. Постановление СНК СССР № 25сс/о «Об ассигнованиях по общесоюзному бюджету на оборонные мероприятия в IV квартале 1933 г.». (ГА РФ. Ф. Р</w:t>
      </w:r>
      <w:r w:rsidRPr="00C33834">
        <w:rPr>
          <w:color w:val="000000" w:themeColor="text1"/>
          <w:sz w:val="16"/>
          <w:szCs w:val="16"/>
        </w:rPr>
        <w:noBreakHyphen/>
        <w:t>8418. Оп. 28. Д. 15. Л. 50</w:t>
      </w:r>
      <w:r w:rsidRPr="00C33834">
        <w:rPr>
          <w:color w:val="000000" w:themeColor="text1"/>
          <w:sz w:val="16"/>
          <w:szCs w:val="16"/>
        </w:rPr>
        <w:noBreakHyphen/>
        <w:t>52) (15460).</w:t>
      </w:r>
    </w:p>
    <w:p w14:paraId="31131CE7" w14:textId="77777777" w:rsidR="00CF276A" w:rsidRPr="00C33834" w:rsidRDefault="00CF276A" w:rsidP="00C33834">
      <w:pPr>
        <w:pStyle w:val="rtejustify"/>
        <w:spacing w:before="0" w:after="0"/>
        <w:rPr>
          <w:color w:val="000000" w:themeColor="text1"/>
          <w:sz w:val="16"/>
          <w:szCs w:val="16"/>
        </w:rPr>
      </w:pPr>
    </w:p>
    <w:p w14:paraId="06B90F52" w14:textId="77777777" w:rsidR="00863284" w:rsidRPr="00C33834" w:rsidRDefault="0086328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11 октября 1933 опросом членов ПБ</w:t>
      </w:r>
    </w:p>
    <w:p w14:paraId="048D7A16" w14:textId="77777777" w:rsidR="00863284" w:rsidRPr="00C33834" w:rsidRDefault="0086328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110/37.</w:t>
      </w:r>
    </w:p>
    <w:p w14:paraId="4291416F" w14:textId="77777777" w:rsidR="00863284" w:rsidRPr="00C33834" w:rsidRDefault="0086328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Вопрос К.О.</w:t>
      </w:r>
    </w:p>
    <w:p w14:paraId="598815F1" w14:textId="77777777" w:rsidR="00863284" w:rsidRPr="00C33834" w:rsidRDefault="0086328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Утвердить постановление КО об отпуске в 1У кв.1933 г. из резерва СНК 5 млн.р. и выделении дополнительного импортного контингента - 50 т.р. "Двигательстрою”.</w:t>
      </w:r>
    </w:p>
    <w:p w14:paraId="54BE977D" w14:textId="77777777" w:rsidR="00863284" w:rsidRPr="00C33834" w:rsidRDefault="0086328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Базилевичу, Мирошникову.</w:t>
      </w:r>
    </w:p>
    <w:p w14:paraId="2EC6878E" w14:textId="77777777" w:rsidR="00863284" w:rsidRPr="00C33834" w:rsidRDefault="0086328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октября 1933 состоялось заседание ПБ и был оформлен протокол № 147 (22997).</w:t>
      </w:r>
    </w:p>
    <w:p w14:paraId="114B10B4" w14:textId="77777777" w:rsidR="00863284" w:rsidRPr="00C33834" w:rsidRDefault="00863284" w:rsidP="00C33834">
      <w:pPr>
        <w:spacing w:after="0" w:line="240" w:lineRule="auto"/>
        <w:jc w:val="both"/>
        <w:rPr>
          <w:rFonts w:ascii="Times New Roman" w:hAnsi="Times New Roman"/>
          <w:color w:val="0070C0"/>
          <w:sz w:val="16"/>
          <w:szCs w:val="16"/>
        </w:rPr>
      </w:pPr>
    </w:p>
    <w:p w14:paraId="45488CE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11 октября 1933 был прием в состав МСБМ подводной лодки «Щука» — головной средней подводной лодки типа «Щ» III серии. </w:t>
      </w:r>
    </w:p>
    <w:p w14:paraId="0B52629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Полуторакорпусные подводные лодки типа «Щ» всех шести серий строились по проектам Б. М. Малинина (за основу был взят проект III серии). Они имели 6 отсеков, главный балласт размещался вне прочного корпуса в бортовых цистернах в виде булей. Подводные лодки отличались простотой конструкции, прочностью, надежностью систем и механизмов, обладали высокими по тому времени тактико-техническими характеристиками. В разобранном виде их можно было перевозить по железным дорогам. </w:t>
      </w:r>
    </w:p>
    <w:p w14:paraId="729D318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1938 ПЛ «Щ-402» и «Щ-403» участвовали в операции по эвакуации членов научно-исследовательской экспедиции со станции «Северный полюс-1». </w:t>
      </w:r>
    </w:p>
    <w:p w14:paraId="1382708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годы Великой Отечественной войны подводные лодки типа «Щ» активно участвовали в боевых действиях, 11 из них были награждены орденом Красного </w:t>
      </w:r>
    </w:p>
    <w:p w14:paraId="0E24769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Знамени, 6 удостоены гвардейского звания. Командирам лодок Н. А. Лунину («Щ-421»), Е. Я. Осипову («Щ-406»), М. С. Калинину («Щ-303»), С. Н. Богораду </w:t>
      </w:r>
    </w:p>
    <w:p w14:paraId="27E7310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(«Щ-310»), М. В. Грешилову («Щ-215») присвоено звание Героя Советского Союза. ПЛ «Щ-402» СФ под командованием старшего лейтенанта (затем капитана 3 ранга) Н. Г. Столбова, а с 31 августа 1942 капитана 3 ранга А. М. Каутского совершила 16 боевых походов и потопила 9 кораблей и транспортов противника общим водоизмещением около 50000 т. 3 апреля 1942 она была награждена орденом Красного Знамени, а 25 июля 1943 удостоена гвардейского звания (11712). </w:t>
      </w:r>
    </w:p>
    <w:p w14:paraId="6B5020F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7C0DC4F9"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74A8077"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CE556B4" w14:textId="77777777" w:rsidR="00863284" w:rsidRPr="00C33834" w:rsidRDefault="0086328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11 октября 1933 состоялся первый полет Блэкберн Перт (20802).</w:t>
      </w:r>
    </w:p>
    <w:p w14:paraId="653C2828" w14:textId="77777777" w:rsidR="00863284" w:rsidRPr="00C33834" w:rsidRDefault="00863284" w:rsidP="00C33834">
      <w:pPr>
        <w:spacing w:after="0" w:line="240" w:lineRule="auto"/>
        <w:jc w:val="both"/>
        <w:rPr>
          <w:rFonts w:ascii="Times New Roman" w:hAnsi="Times New Roman"/>
          <w:color w:val="0070C0"/>
          <w:sz w:val="16"/>
          <w:szCs w:val="16"/>
        </w:rPr>
      </w:pPr>
    </w:p>
    <w:p w14:paraId="402F206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октября 1933 в США поступил в продажу первый в мире стиральный порошок (4962).</w:t>
      </w:r>
    </w:p>
    <w:p w14:paraId="6AFA308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25B970"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147CF4A"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AE7F5F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октября 1933 состоялся 4-й полет К-7 К.А.К. после увеличения углов серворулей поворота и положительного угла стабилизатора. Летали 0:27. Пробег 327 м, машина хорошо шла по прямой. Скорость - 190 км/час. Полетный вес - 29 тон. Эффективность РН - слабая, большие нагрузки на ноги. Течь водяного радиатора первого левого мотора - устранили (2306).</w:t>
      </w:r>
    </w:p>
    <w:p w14:paraId="7FD2F0E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F26F01" w:rsidRPr="00C33834" w14:paraId="6592631C" w14:textId="77777777">
        <w:tc>
          <w:tcPr>
            <w:tcW w:w="1384" w:type="dxa"/>
            <w:tcBorders>
              <w:top w:val="single" w:sz="12" w:space="0" w:color="auto"/>
            </w:tcBorders>
          </w:tcPr>
          <w:p w14:paraId="5A7072E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Дата испытания</w:t>
            </w:r>
          </w:p>
        </w:tc>
        <w:tc>
          <w:tcPr>
            <w:tcW w:w="2410" w:type="dxa"/>
            <w:tcBorders>
              <w:top w:val="single" w:sz="12" w:space="0" w:color="auto"/>
            </w:tcBorders>
          </w:tcPr>
          <w:p w14:paraId="26F60A7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47FCA10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41BA073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18B3D75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Выявленные и устраненные в </w:t>
            </w:r>
            <w:r w:rsidRPr="00C33834">
              <w:rPr>
                <w:rFonts w:ascii="Times New Roman" w:hAnsi="Times New Roman"/>
                <w:color w:val="000000" w:themeColor="text1"/>
                <w:sz w:val="16"/>
                <w:szCs w:val="16"/>
              </w:rPr>
              <w:lastRenderedPageBreak/>
              <w:t>процессе испытаний дефекты</w:t>
            </w:r>
          </w:p>
        </w:tc>
        <w:tc>
          <w:tcPr>
            <w:tcW w:w="1105" w:type="dxa"/>
            <w:tcBorders>
              <w:top w:val="single" w:sz="12" w:space="0" w:color="auto"/>
            </w:tcBorders>
          </w:tcPr>
          <w:p w14:paraId="4659294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Примечание</w:t>
            </w:r>
          </w:p>
        </w:tc>
      </w:tr>
      <w:tr w:rsidR="00F26F01" w:rsidRPr="00C33834" w14:paraId="7500649C" w14:textId="77777777">
        <w:tc>
          <w:tcPr>
            <w:tcW w:w="1384" w:type="dxa"/>
            <w:tcBorders>
              <w:bottom w:val="single" w:sz="12" w:space="0" w:color="auto"/>
            </w:tcBorders>
          </w:tcPr>
          <w:p w14:paraId="3BF117D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октября 1933</w:t>
            </w:r>
          </w:p>
        </w:tc>
        <w:tc>
          <w:tcPr>
            <w:tcW w:w="2410" w:type="dxa"/>
            <w:tcBorders>
              <w:bottom w:val="single" w:sz="12" w:space="0" w:color="auto"/>
            </w:tcBorders>
          </w:tcPr>
          <w:p w14:paraId="2B2C77D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4-й полет после увеличения углов серворулей поворота и положительного угла стабилизатора</w:t>
            </w:r>
          </w:p>
        </w:tc>
        <w:tc>
          <w:tcPr>
            <w:tcW w:w="1089" w:type="dxa"/>
            <w:tcBorders>
              <w:bottom w:val="single" w:sz="12" w:space="0" w:color="auto"/>
            </w:tcBorders>
          </w:tcPr>
          <w:p w14:paraId="63FD1ED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Запуск моторов - 0:10</w:t>
            </w:r>
          </w:p>
          <w:p w14:paraId="0094BB0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моторов - 1:26</w:t>
            </w:r>
          </w:p>
          <w:p w14:paraId="64D7D9B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- 0:27</w:t>
            </w:r>
          </w:p>
        </w:tc>
        <w:tc>
          <w:tcPr>
            <w:tcW w:w="3447" w:type="dxa"/>
            <w:tcBorders>
              <w:bottom w:val="single" w:sz="12" w:space="0" w:color="auto"/>
            </w:tcBorders>
          </w:tcPr>
          <w:p w14:paraId="47C89AC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Разбег 18 сек., высота 370 м</w:t>
            </w:r>
          </w:p>
          <w:p w14:paraId="75E679F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 хорошо выдерживает прямую при старте.</w:t>
            </w:r>
          </w:p>
          <w:p w14:paraId="25E0EE7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Пробег - 327 м.</w:t>
            </w:r>
          </w:p>
          <w:p w14:paraId="412A067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 шел с отпущенным управлением</w:t>
            </w:r>
          </w:p>
          <w:p w14:paraId="0446703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до 190 км/час, максимальное число оборотов по электрическому счетчику - 1450.</w:t>
            </w:r>
          </w:p>
          <w:p w14:paraId="1D4B292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Посадка при положительном угле стабилизатора (не соответствует посадочному)</w:t>
            </w:r>
          </w:p>
          <w:p w14:paraId="677566D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Полетный вес 29 т</w:t>
            </w:r>
          </w:p>
        </w:tc>
        <w:tc>
          <w:tcPr>
            <w:tcW w:w="1776" w:type="dxa"/>
            <w:tcBorders>
              <w:bottom w:val="single" w:sz="12" w:space="0" w:color="auto"/>
            </w:tcBorders>
          </w:tcPr>
          <w:p w14:paraId="1DF8665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Слабая эффективность рулей поворота.</w:t>
            </w:r>
          </w:p>
          <w:p w14:paraId="5D7AA53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Большие нагрузки на ноги пилота.</w:t>
            </w:r>
          </w:p>
          <w:p w14:paraId="4522179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Течь водяного радиатора первого левого мотора (устранено)</w:t>
            </w:r>
          </w:p>
        </w:tc>
        <w:tc>
          <w:tcPr>
            <w:tcW w:w="1105" w:type="dxa"/>
            <w:tcBorders>
              <w:bottom w:val="single" w:sz="12" w:space="0" w:color="auto"/>
            </w:tcBorders>
          </w:tcPr>
          <w:p w14:paraId="47F09E9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2B20B48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(2306,98).</w:t>
      </w:r>
    </w:p>
    <w:p w14:paraId="20B967D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03D19F0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октября 1933 года начальник воздушно-десантной службы ВВС Татарченко.</w:t>
      </w:r>
    </w:p>
    <w:p w14:paraId="1BCF06B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работе ОКПБ ВВС и его начальника Гроховского</w:t>
      </w:r>
    </w:p>
    <w:p w14:paraId="7042852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Штат 1932 года 700 человек.</w:t>
      </w:r>
    </w:p>
    <w:p w14:paraId="42FA489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Необходимо строго отделить работу коллектива бюро от работы его начальника. Бюро безусловно имеет некоторые достижения в своей работе над развитием парашютно и воздушно-десантной материальной части. На 90% бюро работало над грузовыми парашютами. Задача решена ОКПБ несовершенно. Кроме неблагоприятного соотношения весов все объекты имеют много дефектов конструктивного характера. Все они построены наспех, недоработаны, все нуждаются в коренных улучшениях. Опыт эксплуатации этой материальной части в войсках дал много данных в этом отношении. При более удовлетворительной работе госкомиссии по испытаниям объектов 1932 года многие дефекты можно было бы установить до передачи объектов на массовое изготовление. Часть объектов следовало совсем забраковать чего комиссия не сделала. Комиссия пропустила такие объекты как авиабусы, агитбомбы, агиткассеты и т.п., у которых соотношение весов сбрасываемого груза и веса приспособлений конструкций ОКПБ превосходят всякие границы вообще допустимого даже в первом приближении (составляя 208-424% от веса сбрасываемого груза).</w:t>
      </w:r>
    </w:p>
    <w:p w14:paraId="16BF773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Изобретательства в полном смысле этого слова во всей своей деятельности ни Бюро, ни лично Гроховский не проявили, если взять объекты в целом. Все это было повторением известного у нас или за границей. Сколько ни будь заметные формы изобретательства можно усмотреть лишь в некоторых деталях конструкций объектов.</w:t>
      </w:r>
    </w:p>
    <w:p w14:paraId="4A4E235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32AECC0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Очковтирательский трюк Гроховского состоял в том, что варианты одной и той же конструкции, а также отдельные детали конструкций он выдает за отдельные объекты. Так например, к парашюту можно подвесить бесконечное число предметов. На этом основании число объектов Гроховского можно было увеличить до бесконечности. В действительности по воздушно-десантной материальной части ОКПБ разрабатывало 5 тем - объектов:</w:t>
      </w:r>
    </w:p>
    <w:p w14:paraId="76D6C37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Парашют (различных диаметров, из различного материала с разными подвесками);</w:t>
      </w:r>
    </w:p>
    <w:p w14:paraId="2815CE0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Тара для грузов, сбрасываемых на парашютах (мешки, баки, короба и т.п.);</w:t>
      </w:r>
    </w:p>
    <w:p w14:paraId="678CB62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Буксируемый планер много местный;</w:t>
      </w:r>
    </w:p>
    <w:p w14:paraId="1C3411E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Беспарашютное сбрасывание (авиабусы и др.);</w:t>
      </w:r>
    </w:p>
    <w:p w14:paraId="14A0168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Агитсредства для ПУРа.</w:t>
      </w:r>
    </w:p>
    <w:p w14:paraId="5C8BF3D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ОКПБ бралось за решение различных задач не по воздушно-десантному делу. Сюда входят и реактивные пушки и бактериологические средства и автолебедки и телефоны и т.п.</w:t>
      </w:r>
    </w:p>
    <w:p w14:paraId="0016093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Здесь необходимо дать общую оценку этим основным работам Бюро. Бюро освоило иностранный парашют Ирвина, применило вместо шелка перкаль и в последнее время делает попытку применить для грузовых парашютов марлю. В области парашютного дела бюро имеет наибольшие заслуги. К сожалению все конструкции ОКПБ являются вариантом Ирвина. Ничего нового в области парашюта бюро не дало, между тем здесь много не терпящих отлагательства задач (управление, скоростные парашюты и т.д.).</w:t>
      </w:r>
    </w:p>
    <w:p w14:paraId="686C973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области создания тары для сбрасывания грузов нужно отметить мягкие мешки, баки и короба разной формы. Их общий недостаток - большая тяжесть, недоработанность деталей, порча аэродинамических качеств самолета.</w:t>
      </w:r>
    </w:p>
    <w:p w14:paraId="28F0F13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Агитсредства конструкции ОКПБ наиболее слабый участок в работе Бюро. Все они крайне тяжелы, портят аэродинамику самолета, мало надежны.</w:t>
      </w:r>
    </w:p>
    <w:p w14:paraId="3E62BE3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Беспарашютное сбрасывание и буксирные планеры пока не представлены ни одним удачным образцом. Авиабусы вообще негодная идея. Но оба эти отдела работы представляют большой интерес для ВД. Нужно констатировать, что бюро пока совершенно не справилось с поставленной ему задачей.</w:t>
      </w:r>
    </w:p>
    <w:p w14:paraId="6D28521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других не чисто ВД объектов необходимо указать на телефонную установку, буксируемую кабину, как на объекты представляющие интерес и посильные Бюро. Реактивные пушки, мины, приспособления для действия химическими и бактериологическими средствами не обещают никакого успеха при данном составе Бюро.</w:t>
      </w:r>
    </w:p>
    <w:p w14:paraId="3EE338B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Справка о степени выполнения плана ОКПБ ВВС (Гроховского) на 1933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61"/>
        <w:gridCol w:w="6095"/>
      </w:tblGrid>
      <w:tr w:rsidR="00F26F01" w:rsidRPr="00C33834" w14:paraId="47DF5CB4" w14:textId="77777777">
        <w:tc>
          <w:tcPr>
            <w:tcW w:w="4361" w:type="dxa"/>
          </w:tcPr>
          <w:p w14:paraId="2E02B87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Предъявляется на испытание НИИ ВВС недоделанные объекты не прошедшие заводских</w:t>
            </w:r>
          </w:p>
        </w:tc>
        <w:tc>
          <w:tcPr>
            <w:tcW w:w="6095" w:type="dxa"/>
          </w:tcPr>
          <w:p w14:paraId="396A8E3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32BE9F5" w14:textId="77777777">
        <w:tc>
          <w:tcPr>
            <w:tcW w:w="4361" w:type="dxa"/>
          </w:tcPr>
          <w:p w14:paraId="5EF4351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объектов</w:t>
            </w:r>
          </w:p>
        </w:tc>
        <w:tc>
          <w:tcPr>
            <w:tcW w:w="6095" w:type="dxa"/>
          </w:tcPr>
          <w:p w14:paraId="59A67D9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tc>
      </w:tr>
      <w:tr w:rsidR="00F26F01" w:rsidRPr="00C33834" w14:paraId="6B168A41" w14:textId="77777777">
        <w:tc>
          <w:tcPr>
            <w:tcW w:w="4361" w:type="dxa"/>
          </w:tcPr>
          <w:p w14:paraId="26BB446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выполнено из них на 12 октября 1933 года</w:t>
            </w:r>
          </w:p>
        </w:tc>
        <w:tc>
          <w:tcPr>
            <w:tcW w:w="6095" w:type="dxa"/>
          </w:tcPr>
          <w:p w14:paraId="793B180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т.е. 66%</w:t>
            </w:r>
          </w:p>
        </w:tc>
      </w:tr>
      <w:tr w:rsidR="00F26F01" w:rsidRPr="00C33834" w14:paraId="70CF6B95" w14:textId="77777777">
        <w:tc>
          <w:tcPr>
            <w:tcW w:w="4361" w:type="dxa"/>
          </w:tcPr>
          <w:p w14:paraId="5AC2D03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испытаний на 12 октября 1933 года</w:t>
            </w:r>
          </w:p>
        </w:tc>
        <w:tc>
          <w:tcPr>
            <w:tcW w:w="6095" w:type="dxa"/>
          </w:tcPr>
          <w:p w14:paraId="7EBB419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т.е. 34%</w:t>
            </w:r>
          </w:p>
        </w:tc>
      </w:tr>
      <w:tr w:rsidR="00F26F01" w:rsidRPr="00C33834" w14:paraId="414AD3F9" w14:textId="77777777">
        <w:tc>
          <w:tcPr>
            <w:tcW w:w="4361" w:type="dxa"/>
          </w:tcPr>
          <w:p w14:paraId="605F228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Летающее крыло универс.</w:t>
            </w:r>
          </w:p>
        </w:tc>
        <w:tc>
          <w:tcPr>
            <w:tcW w:w="6095" w:type="dxa"/>
          </w:tcPr>
          <w:p w14:paraId="3CBD329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постройке на складе ВВС БМ N 17.</w:t>
            </w:r>
          </w:p>
        </w:tc>
      </w:tr>
      <w:tr w:rsidR="00F26F01" w:rsidRPr="00C33834" w14:paraId="251D3306" w14:textId="77777777">
        <w:tc>
          <w:tcPr>
            <w:tcW w:w="4361" w:type="dxa"/>
          </w:tcPr>
          <w:p w14:paraId="6EB2E0B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5F6447A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Полная готовность не раньше конца года.</w:t>
            </w:r>
          </w:p>
        </w:tc>
      </w:tr>
      <w:tr w:rsidR="00F26F01" w:rsidRPr="00C33834" w14:paraId="7A8D5F2A" w14:textId="77777777">
        <w:tc>
          <w:tcPr>
            <w:tcW w:w="4361" w:type="dxa"/>
          </w:tcPr>
          <w:p w14:paraId="6C3B3BD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37740FC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плану должно быть готово сентябрь-</w:t>
            </w:r>
          </w:p>
        </w:tc>
      </w:tr>
      <w:tr w:rsidR="00F26F01" w:rsidRPr="00C33834" w14:paraId="0291BFC8" w14:textId="77777777">
        <w:tc>
          <w:tcPr>
            <w:tcW w:w="4361" w:type="dxa"/>
          </w:tcPr>
          <w:p w14:paraId="1C88B85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44155CB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октябрь.</w:t>
            </w:r>
          </w:p>
        </w:tc>
      </w:tr>
      <w:tr w:rsidR="00F26F01" w:rsidRPr="00C33834" w14:paraId="1BFEBDDA" w14:textId="77777777">
        <w:tc>
          <w:tcPr>
            <w:tcW w:w="4361" w:type="dxa"/>
          </w:tcPr>
          <w:p w14:paraId="2C77081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Таран-истребитель</w:t>
            </w:r>
          </w:p>
        </w:tc>
        <w:tc>
          <w:tcPr>
            <w:tcW w:w="6095" w:type="dxa"/>
          </w:tcPr>
          <w:p w14:paraId="6D7E292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 До момента снятия сделано было</w:t>
            </w:r>
          </w:p>
        </w:tc>
      </w:tr>
      <w:tr w:rsidR="00F26F01" w:rsidRPr="00C33834" w14:paraId="1D52604F" w14:textId="77777777">
        <w:tc>
          <w:tcPr>
            <w:tcW w:w="4361" w:type="dxa"/>
          </w:tcPr>
          <w:p w14:paraId="16C61CA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4945FEF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мало.</w:t>
            </w:r>
          </w:p>
        </w:tc>
      </w:tr>
      <w:tr w:rsidR="00F26F01" w:rsidRPr="00C33834" w14:paraId="73148D1D" w14:textId="77777777">
        <w:tc>
          <w:tcPr>
            <w:tcW w:w="4361" w:type="dxa"/>
          </w:tcPr>
          <w:p w14:paraId="7C457AB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Буксируемая кабина</w:t>
            </w:r>
          </w:p>
        </w:tc>
        <w:tc>
          <w:tcPr>
            <w:tcW w:w="6095" w:type="dxa"/>
          </w:tcPr>
          <w:p w14:paraId="1082557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Предъявляется на испытание НИИ. Данные</w:t>
            </w:r>
          </w:p>
        </w:tc>
      </w:tr>
      <w:tr w:rsidR="00F26F01" w:rsidRPr="00C33834" w14:paraId="7EC81F01" w14:textId="77777777">
        <w:tc>
          <w:tcPr>
            <w:tcW w:w="4361" w:type="dxa"/>
          </w:tcPr>
          <w:p w14:paraId="7676932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3DF86F0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пока не известны. </w:t>
            </w:r>
          </w:p>
        </w:tc>
      </w:tr>
      <w:tr w:rsidR="00F26F01" w:rsidRPr="00C33834" w14:paraId="17C862E2" w14:textId="77777777">
        <w:tc>
          <w:tcPr>
            <w:tcW w:w="4361" w:type="dxa"/>
          </w:tcPr>
          <w:p w14:paraId="5E5A63C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Буксируемая сеть</w:t>
            </w:r>
          </w:p>
        </w:tc>
        <w:tc>
          <w:tcPr>
            <w:tcW w:w="6095" w:type="dxa"/>
          </w:tcPr>
          <w:p w14:paraId="4CB35B7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Заводских испытаний не прошла.</w:t>
            </w:r>
          </w:p>
        </w:tc>
      </w:tr>
      <w:tr w:rsidR="00F26F01" w:rsidRPr="00C33834" w14:paraId="74A3BB2F" w14:textId="77777777">
        <w:tc>
          <w:tcPr>
            <w:tcW w:w="4361" w:type="dxa"/>
          </w:tcPr>
          <w:p w14:paraId="7D86479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50-местный планер буксируемый (проект)</w:t>
            </w:r>
          </w:p>
        </w:tc>
        <w:tc>
          <w:tcPr>
            <w:tcW w:w="6095" w:type="dxa"/>
          </w:tcPr>
          <w:p w14:paraId="2375AE1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 т.к. мало было сделано по 18-местному</w:t>
            </w:r>
          </w:p>
        </w:tc>
      </w:tr>
      <w:tr w:rsidR="00F26F01" w:rsidRPr="00C33834" w14:paraId="12967BC6" w14:textId="77777777">
        <w:tc>
          <w:tcPr>
            <w:tcW w:w="4361" w:type="dxa"/>
          </w:tcPr>
          <w:p w14:paraId="4850E15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61E112A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планеру.</w:t>
            </w:r>
          </w:p>
        </w:tc>
      </w:tr>
      <w:tr w:rsidR="00F26F01" w:rsidRPr="00C33834" w14:paraId="4B9E73A1" w14:textId="77777777">
        <w:tc>
          <w:tcPr>
            <w:tcW w:w="4361" w:type="dxa"/>
          </w:tcPr>
          <w:p w14:paraId="3217174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Автосцепка планера с летящим самолетом</w:t>
            </w:r>
          </w:p>
        </w:tc>
        <w:tc>
          <w:tcPr>
            <w:tcW w:w="6095" w:type="dxa"/>
          </w:tcPr>
          <w:p w14:paraId="3AE3AE3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выполнено.</w:t>
            </w:r>
          </w:p>
        </w:tc>
      </w:tr>
      <w:tr w:rsidR="00F26F01" w:rsidRPr="00C33834" w14:paraId="3D1B823F" w14:textId="77777777">
        <w:tc>
          <w:tcPr>
            <w:tcW w:w="4361" w:type="dxa"/>
          </w:tcPr>
          <w:p w14:paraId="18C6BB8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18-местный планер буксируемый </w:t>
            </w:r>
          </w:p>
        </w:tc>
        <w:tc>
          <w:tcPr>
            <w:tcW w:w="6095" w:type="dxa"/>
          </w:tcPr>
          <w:p w14:paraId="1B162F2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Ремонт старого планера, Разбит при первой</w:t>
            </w:r>
          </w:p>
        </w:tc>
      </w:tr>
      <w:tr w:rsidR="00F26F01" w:rsidRPr="00C33834" w14:paraId="37AC7FFA" w14:textId="77777777">
        <w:tc>
          <w:tcPr>
            <w:tcW w:w="4361" w:type="dxa"/>
          </w:tcPr>
          <w:p w14:paraId="636082A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088028D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же попытке испытания вследствие</w:t>
            </w:r>
          </w:p>
        </w:tc>
      </w:tr>
      <w:tr w:rsidR="00F26F01" w:rsidRPr="00C33834" w14:paraId="446C1BE5" w14:textId="77777777">
        <w:tc>
          <w:tcPr>
            <w:tcW w:w="4361" w:type="dxa"/>
          </w:tcPr>
          <w:p w14:paraId="6FB65D8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422FF23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неудовлетвор. Конструкции.</w:t>
            </w:r>
          </w:p>
        </w:tc>
      </w:tr>
      <w:tr w:rsidR="00F26F01" w:rsidRPr="00C33834" w14:paraId="61885B44" w14:textId="77777777">
        <w:tc>
          <w:tcPr>
            <w:tcW w:w="4361" w:type="dxa"/>
          </w:tcPr>
          <w:p w14:paraId="0276F9F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Парашютная кабина на 12 и 35 чел.</w:t>
            </w:r>
          </w:p>
        </w:tc>
        <w:tc>
          <w:tcPr>
            <w:tcW w:w="6095" w:type="dxa"/>
          </w:tcPr>
          <w:p w14:paraId="295FF6B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проект забракован. Дальн.</w:t>
            </w:r>
          </w:p>
        </w:tc>
      </w:tr>
      <w:tr w:rsidR="00F26F01" w:rsidRPr="00C33834" w14:paraId="749A07EF" w14:textId="77777777">
        <w:tc>
          <w:tcPr>
            <w:tcW w:w="4361" w:type="dxa"/>
          </w:tcPr>
          <w:p w14:paraId="4722248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03E1482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состояние работы неизвестно.</w:t>
            </w:r>
          </w:p>
        </w:tc>
      </w:tr>
      <w:tr w:rsidR="00F26F01" w:rsidRPr="00C33834" w14:paraId="7CE4F9CD" w14:textId="77777777">
        <w:tc>
          <w:tcPr>
            <w:tcW w:w="4361" w:type="dxa"/>
          </w:tcPr>
          <w:p w14:paraId="542F611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Грузовой парашют 40 м дл.</w:t>
            </w:r>
          </w:p>
        </w:tc>
        <w:tc>
          <w:tcPr>
            <w:tcW w:w="6095" w:type="dxa"/>
          </w:tcPr>
          <w:p w14:paraId="38ADC17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 на испыт. НИИ не пройдя заводск.</w:t>
            </w:r>
          </w:p>
        </w:tc>
      </w:tr>
      <w:tr w:rsidR="00F26F01" w:rsidRPr="00C33834" w14:paraId="2A58C870" w14:textId="77777777">
        <w:tc>
          <w:tcPr>
            <w:tcW w:w="4361" w:type="dxa"/>
          </w:tcPr>
          <w:p w14:paraId="7750376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5B6AC6C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w:t>
            </w:r>
          </w:p>
        </w:tc>
      </w:tr>
      <w:tr w:rsidR="00F26F01" w:rsidRPr="00C33834" w14:paraId="7A926B92" w14:textId="77777777">
        <w:tc>
          <w:tcPr>
            <w:tcW w:w="4361" w:type="dxa"/>
          </w:tcPr>
          <w:p w14:paraId="2B0E4C1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Грузовой парашют 62 м дл.</w:t>
            </w:r>
          </w:p>
        </w:tc>
        <w:tc>
          <w:tcPr>
            <w:tcW w:w="6095" w:type="dxa"/>
          </w:tcPr>
          <w:p w14:paraId="5E8A4BF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 на испыт. НИИ не пройдя заводск.</w:t>
            </w:r>
          </w:p>
        </w:tc>
      </w:tr>
      <w:tr w:rsidR="00F26F01" w:rsidRPr="00C33834" w14:paraId="177A74E5" w14:textId="77777777">
        <w:tc>
          <w:tcPr>
            <w:tcW w:w="4361" w:type="dxa"/>
          </w:tcPr>
          <w:p w14:paraId="5E35BC7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4E8D22B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w:t>
            </w:r>
          </w:p>
        </w:tc>
      </w:tr>
      <w:tr w:rsidR="00F26F01" w:rsidRPr="00C33834" w14:paraId="59183C73" w14:textId="77777777">
        <w:tc>
          <w:tcPr>
            <w:tcW w:w="4361" w:type="dxa"/>
          </w:tcPr>
          <w:p w14:paraId="4FE32C9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Парашютная подцепка д/танка</w:t>
            </w:r>
          </w:p>
        </w:tc>
        <w:tc>
          <w:tcPr>
            <w:tcW w:w="6095" w:type="dxa"/>
          </w:tcPr>
          <w:p w14:paraId="5931731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 на испыт. НИИ не пройдя заводск.</w:t>
            </w:r>
          </w:p>
        </w:tc>
      </w:tr>
      <w:tr w:rsidR="00F26F01" w:rsidRPr="00C33834" w14:paraId="6885C672" w14:textId="77777777">
        <w:tc>
          <w:tcPr>
            <w:tcW w:w="4361" w:type="dxa"/>
          </w:tcPr>
          <w:p w14:paraId="11D3E97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09B10E7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w:t>
            </w:r>
          </w:p>
        </w:tc>
      </w:tr>
      <w:tr w:rsidR="00F26F01" w:rsidRPr="00C33834" w14:paraId="21894D75" w14:textId="77777777">
        <w:tc>
          <w:tcPr>
            <w:tcW w:w="4361" w:type="dxa"/>
          </w:tcPr>
          <w:p w14:paraId="6F1AF8F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Комбинированная грузовая кабина</w:t>
            </w:r>
          </w:p>
        </w:tc>
        <w:tc>
          <w:tcPr>
            <w:tcW w:w="6095" w:type="dxa"/>
          </w:tcPr>
          <w:p w14:paraId="78CE686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8F7A374" w14:textId="77777777">
        <w:tc>
          <w:tcPr>
            <w:tcW w:w="4361" w:type="dxa"/>
          </w:tcPr>
          <w:p w14:paraId="2B6D40F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парашютная</w:t>
            </w:r>
          </w:p>
        </w:tc>
        <w:tc>
          <w:tcPr>
            <w:tcW w:w="6095" w:type="dxa"/>
          </w:tcPr>
          <w:p w14:paraId="19623E2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 деталь объекта N 1, а не самостоятельн.</w:t>
            </w:r>
          </w:p>
        </w:tc>
      </w:tr>
      <w:tr w:rsidR="00F26F01" w:rsidRPr="00C33834" w14:paraId="41E2267B" w14:textId="77777777">
        <w:tc>
          <w:tcPr>
            <w:tcW w:w="4361" w:type="dxa"/>
          </w:tcPr>
          <w:p w14:paraId="7F467CF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4E3427A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объект. Данные не известны.</w:t>
            </w:r>
          </w:p>
        </w:tc>
      </w:tr>
      <w:tr w:rsidR="00F26F01" w:rsidRPr="00C33834" w14:paraId="700BCE22" w14:textId="77777777">
        <w:tc>
          <w:tcPr>
            <w:tcW w:w="4361" w:type="dxa"/>
          </w:tcPr>
          <w:p w14:paraId="1BEB1D5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Десантная кабина на 4 человека</w:t>
            </w:r>
          </w:p>
        </w:tc>
        <w:tc>
          <w:tcPr>
            <w:tcW w:w="6095" w:type="dxa"/>
          </w:tcPr>
          <w:p w14:paraId="25D1789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выполнена.</w:t>
            </w:r>
          </w:p>
        </w:tc>
      </w:tr>
      <w:tr w:rsidR="00F26F01" w:rsidRPr="00C33834" w14:paraId="6BFADF6A" w14:textId="77777777">
        <w:tc>
          <w:tcPr>
            <w:tcW w:w="4361" w:type="dxa"/>
          </w:tcPr>
          <w:p w14:paraId="0FEFDEA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Беспарашютный грузосбрасыв. 80 кг</w:t>
            </w:r>
          </w:p>
        </w:tc>
        <w:tc>
          <w:tcPr>
            <w:tcW w:w="6095" w:type="dxa"/>
          </w:tcPr>
          <w:p w14:paraId="003E2AC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Данных нет. Первые образцы неудачны,</w:t>
            </w:r>
          </w:p>
        </w:tc>
      </w:tr>
      <w:tr w:rsidR="00F26F01" w:rsidRPr="00C33834" w14:paraId="184C4CB6" w14:textId="77777777">
        <w:tc>
          <w:tcPr>
            <w:tcW w:w="4361" w:type="dxa"/>
          </w:tcPr>
          <w:p w14:paraId="1259D34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1B0B371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новый обр. скоро будет готов.</w:t>
            </w:r>
          </w:p>
        </w:tc>
      </w:tr>
      <w:tr w:rsidR="00F26F01" w:rsidRPr="00C33834" w14:paraId="23F959BB" w14:textId="77777777">
        <w:tc>
          <w:tcPr>
            <w:tcW w:w="4361" w:type="dxa"/>
          </w:tcPr>
          <w:p w14:paraId="4227AB2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Санитарные подвесные носилки на Р-5</w:t>
            </w:r>
          </w:p>
        </w:tc>
        <w:tc>
          <w:tcPr>
            <w:tcW w:w="6095" w:type="dxa"/>
          </w:tcPr>
          <w:p w14:paraId="06DE94A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выполнена.</w:t>
            </w:r>
          </w:p>
        </w:tc>
      </w:tr>
      <w:tr w:rsidR="00F26F01" w:rsidRPr="00C33834" w14:paraId="663857C7" w14:textId="77777777">
        <w:tc>
          <w:tcPr>
            <w:tcW w:w="4361" w:type="dxa"/>
          </w:tcPr>
          <w:p w14:paraId="2FF421F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Воздушн. связь с самолетом</w:t>
            </w:r>
          </w:p>
        </w:tc>
        <w:tc>
          <w:tcPr>
            <w:tcW w:w="6095" w:type="dxa"/>
          </w:tcPr>
          <w:p w14:paraId="43C7E21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Предъявляется НИИ для исп.</w:t>
            </w:r>
          </w:p>
        </w:tc>
      </w:tr>
      <w:tr w:rsidR="00F26F01" w:rsidRPr="00C33834" w14:paraId="41829ECB" w14:textId="77777777">
        <w:tc>
          <w:tcPr>
            <w:tcW w:w="4361" w:type="dxa"/>
          </w:tcPr>
          <w:p w14:paraId="1A8C509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Прокладка телефона на 30 км</w:t>
            </w:r>
          </w:p>
        </w:tc>
        <w:tc>
          <w:tcPr>
            <w:tcW w:w="6095" w:type="dxa"/>
          </w:tcPr>
          <w:p w14:paraId="13FBE4B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выполнена.</w:t>
            </w:r>
          </w:p>
        </w:tc>
      </w:tr>
      <w:tr w:rsidR="00F26F01" w:rsidRPr="00C33834" w14:paraId="12E7B5B2" w14:textId="77777777">
        <w:tc>
          <w:tcPr>
            <w:tcW w:w="4361" w:type="dxa"/>
          </w:tcPr>
          <w:p w14:paraId="4B12A8D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Автолебедка для взлета самолетов</w:t>
            </w:r>
          </w:p>
        </w:tc>
        <w:tc>
          <w:tcPr>
            <w:tcW w:w="6095" w:type="dxa"/>
          </w:tcPr>
          <w:p w14:paraId="25E30FF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выполнена.</w:t>
            </w:r>
          </w:p>
        </w:tc>
      </w:tr>
      <w:tr w:rsidR="00F26F01" w:rsidRPr="00C33834" w14:paraId="52D34B55" w14:textId="77777777">
        <w:tc>
          <w:tcPr>
            <w:tcW w:w="4361" w:type="dxa"/>
          </w:tcPr>
          <w:p w14:paraId="5E322E0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Оборудование десантного корабля К-7</w:t>
            </w:r>
          </w:p>
        </w:tc>
        <w:tc>
          <w:tcPr>
            <w:tcW w:w="6095" w:type="dxa"/>
          </w:tcPr>
          <w:p w14:paraId="461C9D8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Ничего не сделано.</w:t>
            </w:r>
          </w:p>
        </w:tc>
      </w:tr>
      <w:tr w:rsidR="00F26F01" w:rsidRPr="00C33834" w14:paraId="3148073E" w14:textId="77777777">
        <w:tc>
          <w:tcPr>
            <w:tcW w:w="4361" w:type="dxa"/>
          </w:tcPr>
          <w:p w14:paraId="0EFDE42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Летающ. парашют-разведка</w:t>
            </w:r>
          </w:p>
        </w:tc>
        <w:tc>
          <w:tcPr>
            <w:tcW w:w="6095" w:type="dxa"/>
          </w:tcPr>
          <w:p w14:paraId="3D278C8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выполнен.</w:t>
            </w:r>
          </w:p>
        </w:tc>
      </w:tr>
      <w:tr w:rsidR="00F26F01" w:rsidRPr="00C33834" w14:paraId="3776614B" w14:textId="77777777">
        <w:tc>
          <w:tcPr>
            <w:tcW w:w="4361" w:type="dxa"/>
          </w:tcPr>
          <w:p w14:paraId="334A9F5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Различные экспериментальные работы</w:t>
            </w:r>
          </w:p>
        </w:tc>
        <w:tc>
          <w:tcPr>
            <w:tcW w:w="6095" w:type="dxa"/>
          </w:tcPr>
          <w:p w14:paraId="50CF302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B02AC1F" w14:textId="77777777">
        <w:tc>
          <w:tcPr>
            <w:tcW w:w="4361" w:type="dxa"/>
          </w:tcPr>
          <w:p w14:paraId="537F450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ОВ, термиты, бактер. и т.п.</w:t>
            </w:r>
          </w:p>
        </w:tc>
        <w:tc>
          <w:tcPr>
            <w:tcW w:w="6095" w:type="dxa"/>
          </w:tcPr>
          <w:p w14:paraId="5487DBA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объекта предъявл. НИИ для испытаний.</w:t>
            </w:r>
          </w:p>
        </w:tc>
      </w:tr>
      <w:tr w:rsidR="00F26F01" w:rsidRPr="00C33834" w14:paraId="10A94D0D" w14:textId="77777777">
        <w:tc>
          <w:tcPr>
            <w:tcW w:w="4361" w:type="dxa"/>
          </w:tcPr>
          <w:p w14:paraId="3092174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6F93B59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Данных об остальных нет.</w:t>
            </w:r>
          </w:p>
        </w:tc>
      </w:tr>
      <w:tr w:rsidR="00F26F01" w:rsidRPr="00C33834" w14:paraId="07F4740D" w14:textId="77777777">
        <w:tc>
          <w:tcPr>
            <w:tcW w:w="4361" w:type="dxa"/>
          </w:tcPr>
          <w:p w14:paraId="49FDA96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Агитпланер</w:t>
            </w:r>
          </w:p>
        </w:tc>
        <w:tc>
          <w:tcPr>
            <w:tcW w:w="6095" w:type="dxa"/>
          </w:tcPr>
          <w:p w14:paraId="2358279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выполнен.</w:t>
            </w:r>
          </w:p>
        </w:tc>
      </w:tr>
      <w:tr w:rsidR="00F26F01" w:rsidRPr="00C33834" w14:paraId="3C0F567F" w14:textId="77777777">
        <w:tc>
          <w:tcPr>
            <w:tcW w:w="4361" w:type="dxa"/>
          </w:tcPr>
          <w:p w14:paraId="4814CB2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Агитстат парашютный</w:t>
            </w:r>
          </w:p>
        </w:tc>
        <w:tc>
          <w:tcPr>
            <w:tcW w:w="6095" w:type="dxa"/>
          </w:tcPr>
          <w:p w14:paraId="60C3368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выполнен.</w:t>
            </w:r>
          </w:p>
        </w:tc>
      </w:tr>
      <w:tr w:rsidR="00F26F01" w:rsidRPr="00C33834" w14:paraId="6BF40000" w14:textId="77777777">
        <w:tc>
          <w:tcPr>
            <w:tcW w:w="4361" w:type="dxa"/>
          </w:tcPr>
          <w:p w14:paraId="3376193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Кассета для ударных агитбомб</w:t>
            </w:r>
          </w:p>
        </w:tc>
        <w:tc>
          <w:tcPr>
            <w:tcW w:w="6095" w:type="dxa"/>
          </w:tcPr>
          <w:p w14:paraId="54B2D72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 другим названием предъявлен НИИ</w:t>
            </w:r>
          </w:p>
        </w:tc>
      </w:tr>
      <w:tr w:rsidR="00F26F01" w:rsidRPr="00C33834" w14:paraId="0331619E" w14:textId="77777777">
        <w:tc>
          <w:tcPr>
            <w:tcW w:w="4361" w:type="dxa"/>
          </w:tcPr>
          <w:p w14:paraId="0AB0F93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425648B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испытания.</w:t>
            </w:r>
          </w:p>
        </w:tc>
      </w:tr>
      <w:tr w:rsidR="00F26F01" w:rsidRPr="00C33834" w14:paraId="56D2CC96" w14:textId="77777777">
        <w:tc>
          <w:tcPr>
            <w:tcW w:w="4361" w:type="dxa"/>
          </w:tcPr>
          <w:p w14:paraId="187A8D8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Радио-установка агитационная</w:t>
            </w:r>
          </w:p>
        </w:tc>
        <w:tc>
          <w:tcPr>
            <w:tcW w:w="6095" w:type="dxa"/>
          </w:tcPr>
          <w:p w14:paraId="3094C83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выполнена.</w:t>
            </w:r>
          </w:p>
        </w:tc>
      </w:tr>
      <w:tr w:rsidR="00F26F01" w:rsidRPr="00C33834" w14:paraId="0E7FD207" w14:textId="77777777">
        <w:tc>
          <w:tcPr>
            <w:tcW w:w="4361" w:type="dxa"/>
          </w:tcPr>
          <w:p w14:paraId="6FFF7D1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Вертикальная агитмина</w:t>
            </w:r>
          </w:p>
        </w:tc>
        <w:tc>
          <w:tcPr>
            <w:tcW w:w="6095" w:type="dxa"/>
          </w:tcPr>
          <w:p w14:paraId="376DE89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 другим названием предъявлена НИИ.</w:t>
            </w:r>
          </w:p>
        </w:tc>
      </w:tr>
    </w:tbl>
    <w:p w14:paraId="58A917B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1934 год Бюро задач не разработало.</w:t>
      </w:r>
    </w:p>
    <w:p w14:paraId="6A003BD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Общее заключение</w:t>
      </w:r>
    </w:p>
    <w:p w14:paraId="2603CDC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Нет сомнений, что план ОКПБ в 1933 году даже формально не будет выполнен, даже на 50%. По существу же план вряд ли будет выполнен на 25%/</w:t>
      </w:r>
    </w:p>
    <w:p w14:paraId="7AFAAAC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Фактический план ОКПБ на 1933 год сорван.</w:t>
      </w:r>
    </w:p>
    <w:p w14:paraId="7D77744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 он на 34%, по существу же не больше чем на 25%. Из 35 объектов утвержденный на 1933 год на 12... 1933 года не выполнено 23, т.е. 66%.</w:t>
      </w:r>
    </w:p>
    <w:p w14:paraId="6AB5BBA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результате слабого технического руководства Гроховского и погони за рекламой многие объекты построены наспех, недоделаны, имеют крупные дефекты конструктивного порядка.</w:t>
      </w:r>
    </w:p>
    <w:p w14:paraId="58ED2ED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1E29DB6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за 1,5 года израсходовано 202717 руб. Помимо этого велась политика повышения цен на поставляемое серийное имущество доходившее по отдельным предметам до 490% их действительной стоимости.</w:t>
      </w:r>
    </w:p>
    <w:p w14:paraId="46D298D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183F5B1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Вследствие всех этих безобразий царивших за последнее время в ОКПБ нарком Ворошилов приказал ликвидировать ОКПБ как самостоятельное учреждение и влить его в качестве парашютно-десантного отдела в НИИ ВВС, подчинив его начальнику НИИ (3853,128-142).</w:t>
      </w:r>
    </w:p>
    <w:p w14:paraId="5195233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3BAE9BB1" w14:textId="77777777" w:rsidR="0004162D" w:rsidRPr="00C33834" w:rsidRDefault="0004162D" w:rsidP="00C33834">
      <w:pPr>
        <w:autoSpaceDE w:val="0"/>
        <w:autoSpaceDN w:val="0"/>
        <w:adjustRightInd w:val="0"/>
        <w:spacing w:after="0" w:line="240" w:lineRule="auto"/>
        <w:jc w:val="both"/>
        <w:rPr>
          <w:rFonts w:ascii="Times New Roman" w:hAnsi="Times New Roman"/>
          <w:i/>
          <w:color w:val="000000" w:themeColor="text1"/>
          <w:sz w:val="16"/>
          <w:szCs w:val="16"/>
        </w:rPr>
      </w:pPr>
      <w:r w:rsidRPr="00C33834">
        <w:rPr>
          <w:rFonts w:ascii="Times New Roman" w:hAnsi="Times New Roman"/>
          <w:i/>
          <w:color w:val="000000" w:themeColor="text1"/>
          <w:sz w:val="16"/>
          <w:szCs w:val="16"/>
        </w:rPr>
        <w:t>Жизнь и внутренняя политика:</w:t>
      </w:r>
    </w:p>
    <w:p w14:paraId="3497B309" w14:textId="77777777" w:rsidR="0004162D" w:rsidRPr="00C33834" w:rsidRDefault="0004162D" w:rsidP="00C33834">
      <w:pPr>
        <w:autoSpaceDE w:val="0"/>
        <w:autoSpaceDN w:val="0"/>
        <w:adjustRightInd w:val="0"/>
        <w:spacing w:after="0" w:line="240" w:lineRule="auto"/>
        <w:jc w:val="both"/>
        <w:rPr>
          <w:rFonts w:ascii="Times New Roman" w:hAnsi="Times New Roman"/>
          <w:i/>
          <w:color w:val="000000" w:themeColor="text1"/>
          <w:sz w:val="16"/>
          <w:szCs w:val="16"/>
        </w:rPr>
      </w:pPr>
    </w:p>
    <w:p w14:paraId="6F441FAA" w14:textId="77777777" w:rsidR="0004162D" w:rsidRPr="00C33834" w:rsidRDefault="0004162D"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12 октября 1933 Москву смогли информировать, что Челюскин, «ценою пробоины в правом борту», все же прорвалось за мыс Сердце-Камень, расположенный всего в 100 километрах от Берингова пролива.</w:t>
      </w:r>
    </w:p>
    <w:p w14:paraId="237F9CEE" w14:textId="77777777" w:rsidR="0004162D" w:rsidRPr="00C33834" w:rsidRDefault="0004162D"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В тот же день на имя О.Ю. Шмидта из Москвы поступила ободряющая телеграмма, подписанная В.М. Молотовым и В.В. Куйбышевым: «Горячо приветствуем Вас и всех участников экспедиции, находящейся, как мы твердо уверены, перед успешным завершением дела. Ждем в ближайшие дни ваших сообщений о прохождении Берингова пролива».</w:t>
      </w:r>
    </w:p>
    <w:p w14:paraId="71B4225C" w14:textId="77777777" w:rsidR="0004162D" w:rsidRPr="00C33834" w:rsidRDefault="0004162D"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Но и неделю спустя «Челюскин» все еще не мог выйти в Тихий океан. Теперь Шмидту приходилось чуть ли не оправдываться в задержке. «Проходим мыс Уникин, в шестидесяти метрах от Берингова пролива, — радировал он в столицу. — Лед очень тяжелый»14. Зато тогда же смог Шмидт сообщить и о бесспорном успехе. О спасении больных пассажиров «Севера», «Анадыря» и «Хабаровска». Создание Северо-восточной авиагруппы ГУСМП, располагавшей всего пятью самолетами — «Савойя», «Дорнье-Валь», «Юнкерс» и два У-2, да постройка самой примитивной взлетно-посадочной полосы, гордо именуемой аэродром мыса Северный, оказались решающими. Только благодаря им буквально в считанные дни удалось эвакуировать на материк самолетами 67 человек, и еще, но на собачьих упряжках, — 16 (20467).</w:t>
      </w:r>
    </w:p>
    <w:p w14:paraId="269723B3" w14:textId="77777777" w:rsidR="0004162D" w:rsidRPr="00C33834" w:rsidRDefault="0004162D" w:rsidP="00C33834">
      <w:pPr>
        <w:spacing w:after="0" w:line="240" w:lineRule="auto"/>
        <w:jc w:val="both"/>
        <w:rPr>
          <w:rFonts w:ascii="Times New Roman" w:hAnsi="Times New Roman"/>
          <w:color w:val="0070C0"/>
          <w:sz w:val="16"/>
          <w:szCs w:val="16"/>
        </w:rPr>
      </w:pPr>
    </w:p>
    <w:p w14:paraId="6173F959"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931B069"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249874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октября 1933 в США тюрьма Alcatraz стала тюрьмой высшей защиты (2100).</w:t>
      </w:r>
    </w:p>
    <w:p w14:paraId="19D6C40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5F2AD3DF"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90F0CF9"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17162B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октября 1933 был подписан Отчет по гос. испытаниям самолета Зет N 39020 с мотором ЮVI-9АQ 480/560 нр N 42151 Х-6,9 винт N 40460 Д-2.8 Н-2,1 (2303,69).</w:t>
      </w:r>
    </w:p>
    <w:p w14:paraId="15E480B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7A2AA07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 с целью определения вопроса о целесообразности серийной постройки самолета с использованием построенной малой серии.</w:t>
      </w:r>
    </w:p>
    <w:p w14:paraId="505B6AC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полученные данные</w:t>
      </w:r>
    </w:p>
    <w:p w14:paraId="5E1BEA8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Вес пустого с несъемным оборудованием - 1320 кг</w:t>
      </w:r>
    </w:p>
    <w:p w14:paraId="7001D4A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Нагрузка - 328</w:t>
      </w:r>
    </w:p>
    <w:p w14:paraId="1148C63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Полетный вес - 1648</w:t>
      </w:r>
    </w:p>
    <w:p w14:paraId="2FE81B7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Макс. гор. скорость у земли - 259 км/час</w:t>
      </w:r>
    </w:p>
    <w:p w14:paraId="7671AF7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Макс. гор. скорость на 3000 м - 248 км/час</w:t>
      </w:r>
    </w:p>
    <w:p w14:paraId="02664EC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Макс. гор. скорость на 5000 м - 239 км/час</w:t>
      </w:r>
    </w:p>
    <w:p w14:paraId="29E86E8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Скороподъемность (с форсированным газом) на 3000 м - 6.5 м</w:t>
      </w:r>
    </w:p>
    <w:p w14:paraId="54E4E2C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Скороподъемность (с форсированным газом) на 5000 м - 14 м.</w:t>
      </w:r>
    </w:p>
    <w:p w14:paraId="6BDD8DF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Практический потолок - 7000 м</w:t>
      </w:r>
    </w:p>
    <w:p w14:paraId="2D9C1F1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Время одинарного виража на 1000 м - 18.8 с</w:t>
      </w:r>
    </w:p>
    <w:p w14:paraId="5962620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Время восьмерки на 1000 м - 40 с</w:t>
      </w:r>
    </w:p>
    <w:p w14:paraId="2E5816E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Выводы</w:t>
      </w:r>
    </w:p>
    <w:p w14:paraId="0473DD7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Констатировать, что для истребителя вооруженного двумя пушками АПК-4 и одним пулеметом ПВ-1 при полной нагрузке 556 кг и невысотном мотором ЮVI полученные данные: скороподъемность, потолок и маневренность являются достаточно удовлетворительными.</w:t>
      </w:r>
    </w:p>
    <w:p w14:paraId="6C03B22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Максимальная гор. скорость 259 км/час для моноплана с большой нагрузкой на кв. м крыла совершенно недостаточна. Малая скорость в основном объясняется:</w:t>
      </w:r>
    </w:p>
    <w:p w14:paraId="64D6B4D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неудачной конструкцией шасси</w:t>
      </w:r>
    </w:p>
    <w:p w14:paraId="1BE5B11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большим сопротивлением пушек</w:t>
      </w:r>
    </w:p>
    <w:p w14:paraId="55C7B6A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неудобообтекаемой формой фюзеляжа</w:t>
      </w:r>
    </w:p>
    <w:p w14:paraId="69B6920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Артиллерийское вооружение самолета испытание выдержало. (см. стр. 20 заключения по вооружению).</w:t>
      </w:r>
    </w:p>
    <w:p w14:paraId="1C0C4E2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Запас горючего, обеспечивающий тех. дальность 310 км, недостаточен.</w:t>
      </w:r>
    </w:p>
    <w:p w14:paraId="1F1F694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Невозможность путем перегрузки самолета увеличить общее количество снарядов выше 14 - недопустимо.</w:t>
      </w:r>
    </w:p>
    <w:p w14:paraId="13161E8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Невозможность установки рации (за счет перегрузки) на ведущем самолете с тактической точки зрения недопустимо.7. Отсутствие электрооборудования для пушечного самолета является недопустимым.</w:t>
      </w:r>
    </w:p>
    <w:p w14:paraId="529E368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Конструкция самолета после 300-350 выстрелов требует заводского ремонта.</w:t>
      </w:r>
    </w:p>
    <w:p w14:paraId="1A9E9AD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Самолет обладает рядом дефектов (см. стр. 2), наиболее серьезным из которых является невозможность полета при открытом кране обоих баков.</w:t>
      </w:r>
    </w:p>
    <w:p w14:paraId="51A6A34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00D3136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Построенные самолеты Зет, вооруженные двумя пушками АПК-4 бис и пулеметом ПВ-1 могут быть приняты на вооружение ВВС РККА для получения летным составом тренировки в артиллерийской стрельбе и отработке тактики применения самолета с обязательным устранением на всех построенных самолетах дефектов, указанных на стр. 2.</w:t>
      </w:r>
    </w:p>
    <w:p w14:paraId="3C9CB8E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2. Считать целесообразным построенные самолеты И-зет сосредоточить в одной части ВВС с проведением в ней Войсковых испытаний самолета при следующих в основном цель технического и тактического освоения нового оружия (пушки АПК).</w:t>
      </w:r>
    </w:p>
    <w:p w14:paraId="636F39C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Считать необходимым заводу 133 произвести модификацию самолета И-зет с предъявлением модифицированного экз. на гос. испытания не позднее 1 марта 1934.</w:t>
      </w:r>
    </w:p>
    <w:p w14:paraId="3D07AEB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Модифицированный самолет должен обладать гор. скоростью у земли не ниже 300 км/час.</w:t>
      </w:r>
    </w:p>
    <w:p w14:paraId="6AC6FAF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За счет перегрузки на модифицированном самолете д.б. предусмотрено:</w:t>
      </w:r>
    </w:p>
    <w:p w14:paraId="6E960CE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увеличение емкости бензобаков на 60-70 кг</w:t>
      </w:r>
    </w:p>
    <w:p w14:paraId="0D79BE7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увеличение количества снарядов до 20 шт.</w:t>
      </w:r>
    </w:p>
    <w:p w14:paraId="128D2FF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установка электрооборудования для ночных полетов</w:t>
      </w:r>
    </w:p>
    <w:p w14:paraId="4D75711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сделать легкосъемные установки радио 14-СК для командирских самолетов</w:t>
      </w:r>
    </w:p>
    <w:p w14:paraId="2D815EB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Прочность конструкции самолета д. допускать производство 1000 выстрелов.</w:t>
      </w:r>
    </w:p>
    <w:p w14:paraId="571AA17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Вес конструкции самолета д.б. не выше 1000 кг (вместо 1092).</w:t>
      </w:r>
    </w:p>
    <w:p w14:paraId="33B2158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При модификации самолета д.б. учтено устранение дефектов, указанных на стр. 22-24 сводки. Врид ГИ-М ВВС РККА Горощенко, Ком. бриг. НИИ ВВС Залевский, Зам. нач. 7 Сектора НИИ ВВС РККА Жемчужин" (2303,70).</w:t>
      </w:r>
    </w:p>
    <w:p w14:paraId="51F16D3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35F8545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октября 1933 состоялось совещание у Нач. Авиапрома Королева (протокол 138) и постановили:</w:t>
      </w:r>
    </w:p>
    <w:p w14:paraId="12C75FC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По заводу 22</w:t>
      </w:r>
    </w:p>
    <w:p w14:paraId="05B1F93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М17 и М-34 - 300</w:t>
      </w:r>
    </w:p>
    <w:p w14:paraId="17B15A2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Р-6 - 150-200</w:t>
      </w:r>
    </w:p>
    <w:p w14:paraId="09DBD74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МИ-3 - 100</w:t>
      </w:r>
    </w:p>
    <w:p w14:paraId="51DF254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 заводу 31</w:t>
      </w:r>
    </w:p>
    <w:p w14:paraId="78A5BDC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МБР-2 - основной</w:t>
      </w:r>
    </w:p>
    <w:p w14:paraId="096E62D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МДР-4 - второй</w:t>
      </w:r>
    </w:p>
    <w:p w14:paraId="6AD2D38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По заводу 39</w:t>
      </w:r>
    </w:p>
    <w:p w14:paraId="3508F04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АНТ-14 вместо ТБ-3</w:t>
      </w:r>
    </w:p>
    <w:p w14:paraId="32F79E4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По заводу 24</w:t>
      </w:r>
    </w:p>
    <w:p w14:paraId="6080D22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По заводам 26 и 29</w:t>
      </w:r>
    </w:p>
    <w:p w14:paraId="490A13E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капстроительству (2286,92).</w:t>
      </w:r>
    </w:p>
    <w:p w14:paraId="22A97B0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5AE2732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октября 1933 состоялось совещание у зам. нач. ЦАГИ А.Н.Т. по вопросу о моторах Ми-3 (1077,247).</w:t>
      </w:r>
    </w:p>
    <w:p w14:paraId="3C69237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28828D2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октября 1933 г. самолет ТБ-1 № 750, на котором установили автопилот АВП-2, сопряженный с приборами управления по радио, самопроизвольно перешел в пикирование, но пилот отреагировал вовремя. Выяснилось, что отказал АВП-2.</w:t>
      </w:r>
    </w:p>
    <w:p w14:paraId="336F0EB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работы достигли такой стадии, что машина с этой аппаратурой уже могла летать. Опытным образцом. Сначала опробовали только автопилот. Автоматику подстраховывал сидевший в кабине летчик Агров. В октябре на этом самолете совершили перелеты Москва - Клин - Москва и Москва - Одоев - Москва - Загорск - Москва. Общий курс выдерживался удовлетворительно, но скорость сильно колебалась, а несколько раз пилоту пришлось браться за штурвал.</w:t>
      </w:r>
    </w:p>
    <w:p w14:paraId="4693E5E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Затем перешли на управление по радио (но опять с присутствием на борту летчика). Командный пост расположили на вышке Центрального аэродрома. Выяснилось, что повторную команду на поворот можно выдать не ранее, чем через 40 с после первой - устройство не успевает срабатывать. Угол разворота не мог быть больше 55°.</w:t>
      </w:r>
    </w:p>
    <w:p w14:paraId="32E8D3C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его ремонта попробовали атаковать условную цель - перекресток шоссе и железной дороги в Химках. Управлять летающей бомбой должны были с борта ТБ-3. По плану ТБ-1 требовалось совершить перелет до Сенежского озера, вернуться и пройти точно над контрольным пунктом у перекрестка. Две недели ушли на попытки выполнить этот план. То не работала радиостанция на ТБ-3, то мешала непогода. Наилучшим достижением оказался полет до Дмитрова и обратно; операторам наведения не удавалось провести ТБ-1 ближе, чем в 100 м от контрольного пункта. Неожиданным препятствием явился параллакс. Оператору казалось, что наводимый им самолет идет правильно, а на самом деле он двигался в стороне от цели.</w:t>
      </w:r>
    </w:p>
    <w:p w14:paraId="2912080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Впоследствии на ТБ-1 опробовали много различных автопилотов и несколько усовершенствованных систем радиоуправления. В июле 1935 г. заместитель наркома обороны М.Н. Тухачевский утвердил задание на комплекс, получивший позже обозначение ТМС-36. Он состоял из двух "телемеханических" (радиоуправляемых) ТБ-1 и самолета наведения ТБ-3. "Летающие бомбы", загруженные взрывчаткой или ОВ, поднимались в воздух пилотами, выбрасывавшимися затем на парашютах. Дальше к цели их вели операторы с борта ТБ-3, шедшего сзади в отдалении 10 - 20 км.</w:t>
      </w:r>
    </w:p>
    <w:p w14:paraId="33CA18D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Задача была решена, опытные самолеты построены и испытаны, но на вооружение ТМС-36 не приняли. Надежность системы по-прежнему оставалась недостаточной.</w:t>
      </w:r>
    </w:p>
    <w:p w14:paraId="6B2770A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Лишь в конце 1930-х гг. удалось предъявить более-менее пригодную к боевому применению "летающую бомбу". В мае 1939 г. Военному совету ВВС продемонстрировали полеты ТБ-1 № 712, управляемого по радио от взлета до посадки. Экипажа на самолете не было. В акте комиссия записала: "Проведенные испытания доказали, что впервые в СССР... разрешена проблема создания телемеханического самолета..." Полученный опыт помог при проектировании других, более современных, радиоуправляемых машин (12001).</w:t>
      </w:r>
    </w:p>
    <w:p w14:paraId="6318B4B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736F68D1" w14:textId="77777777" w:rsidR="002346CC" w:rsidRPr="00C33834" w:rsidRDefault="002346CC"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shd w:val="clear" w:color="auto" w:fill="FFFFFF"/>
        </w:rPr>
        <w:t>13 октября 1933 года во время испытаний ТМС, управляемого по радио, но с присутствием на борту летчика (командные сигналы подавались с вышки Центрального аэродрома в Москве) произошел сбой в системе управления, после чего самолет самопроизвольно перешел в пикирование, но пилот вовремя отреагировал и взял управление на себя. Выяснилось, что причиной сбоя стал отказ АВП-2. После ремонта автопилота запланировали попробовать атаковать условную цель – перекресток шоссе и железной дороги в Химках.</w:t>
      </w:r>
    </w:p>
    <w:p w14:paraId="14150C32" w14:textId="77777777" w:rsidR="002346CC" w:rsidRPr="00C33834" w:rsidRDefault="002346CC"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shd w:val="clear" w:color="auto" w:fill="FFFFFF"/>
        </w:rPr>
        <w:t>Управлять ТМС должны были с борта самолета управления ТБ-3. Планировалось, что ТМС совершит перелет до Сенежского озера, вернется и пройдет точно над контрольным пунктом у перекрестка. Испытания длились две недели, наилучшим достижением оказался полет до Дмитрова и обратно с отклонением около 100 м при прохождении контрольного пункта.</w:t>
      </w:r>
    </w:p>
    <w:p w14:paraId="06818DCB" w14:textId="77777777" w:rsidR="002346CC" w:rsidRPr="00C33834" w:rsidRDefault="002346CC"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shd w:val="clear" w:color="auto" w:fill="FFFFFF"/>
        </w:rPr>
        <w:t>Впоследствии на ТБ-1 опробовали много различных конструкций автопилотов (пневматические, гидравлические, электромеханические) и несколько усовершенствованных систем радиоуправления (22290).</w:t>
      </w:r>
    </w:p>
    <w:p w14:paraId="33295DFE" w14:textId="77777777" w:rsidR="002346CC" w:rsidRPr="00C33834" w:rsidRDefault="002346CC" w:rsidP="00C33834">
      <w:pPr>
        <w:spacing w:after="0" w:line="240" w:lineRule="auto"/>
        <w:jc w:val="both"/>
        <w:rPr>
          <w:rFonts w:ascii="Times New Roman" w:hAnsi="Times New Roman"/>
          <w:color w:val="0070C0"/>
          <w:sz w:val="16"/>
          <w:szCs w:val="16"/>
          <w:shd w:val="clear" w:color="auto" w:fill="FFFFFF"/>
        </w:rPr>
      </w:pPr>
    </w:p>
    <w:p w14:paraId="5507AA6B" w14:textId="77777777" w:rsidR="002346CC" w:rsidRPr="00C33834" w:rsidRDefault="002346C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13 октября 1933 опросом членов ПБ</w:t>
      </w:r>
    </w:p>
    <w:p w14:paraId="2221C036" w14:textId="77777777" w:rsidR="002346CC" w:rsidRPr="00C33834" w:rsidRDefault="002346C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 договоре с Манчжурском авиаобществом</w:t>
      </w:r>
    </w:p>
    <w:p w14:paraId="03D79C55" w14:textId="77777777" w:rsidR="002346CC" w:rsidRPr="00C33834" w:rsidRDefault="002346C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Считать нецелесообразным утверждение дого</w:t>
      </w:r>
      <w:r w:rsidRPr="00C33834">
        <w:rPr>
          <w:rFonts w:ascii="Times New Roman" w:hAnsi="Times New Roman"/>
          <w:color w:val="0070C0"/>
          <w:sz w:val="16"/>
          <w:szCs w:val="16"/>
        </w:rPr>
        <w:softHyphen/>
        <w:t>вора с манчжурским авиаобществом; добиться отка</w:t>
      </w:r>
      <w:r w:rsidRPr="00C33834">
        <w:rPr>
          <w:rFonts w:ascii="Times New Roman" w:hAnsi="Times New Roman"/>
          <w:color w:val="0070C0"/>
          <w:sz w:val="16"/>
          <w:szCs w:val="16"/>
        </w:rPr>
        <w:softHyphen/>
        <w:t>за манчжурского общества от договора.</w:t>
      </w:r>
    </w:p>
    <w:p w14:paraId="01950BA6" w14:textId="77777777" w:rsidR="002346CC" w:rsidRPr="00C33834" w:rsidRDefault="002346C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Розенгольцу, Сокольникову.</w:t>
      </w:r>
    </w:p>
    <w:p w14:paraId="4DEC9D92" w14:textId="77777777" w:rsidR="002346CC" w:rsidRPr="00C33834" w:rsidRDefault="002346C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143/120. - О полете на дальность.</w:t>
      </w:r>
    </w:p>
    <w:p w14:paraId="0965C1B6" w14:textId="77777777" w:rsidR="002346CC" w:rsidRPr="00C33834" w:rsidRDefault="002346C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Отложить рекордный полет нашего самолета на дальность на весну 1934 г.</w:t>
      </w:r>
    </w:p>
    <w:p w14:paraId="1FC50FA0" w14:textId="77777777" w:rsidR="002346CC" w:rsidRPr="00C33834" w:rsidRDefault="002346C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Выписка послана: тов. Ворошилову.</w:t>
      </w:r>
    </w:p>
    <w:p w14:paraId="65F542EA" w14:textId="77777777" w:rsidR="002346CC" w:rsidRPr="00C33834" w:rsidRDefault="002346C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октября 1933 состоялось заседание ПБ и был оформлен протокол № 147 (22997).</w:t>
      </w:r>
    </w:p>
    <w:p w14:paraId="0D150A64" w14:textId="77777777" w:rsidR="002346CC" w:rsidRPr="00C33834" w:rsidRDefault="002346CC" w:rsidP="00C33834">
      <w:pPr>
        <w:spacing w:after="0" w:line="240" w:lineRule="auto"/>
        <w:jc w:val="both"/>
        <w:rPr>
          <w:rFonts w:ascii="Times New Roman" w:hAnsi="Times New Roman"/>
          <w:color w:val="0070C0"/>
          <w:sz w:val="16"/>
          <w:szCs w:val="16"/>
        </w:rPr>
      </w:pPr>
    </w:p>
    <w:p w14:paraId="45DAB85C"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2DF8B5E"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4F28F36" w14:textId="77777777" w:rsidR="00CF276A" w:rsidRPr="00C33834" w:rsidRDefault="00CF276A" w:rsidP="00C33834">
      <w:pPr>
        <w:pStyle w:val="rtejustify"/>
        <w:spacing w:before="0" w:after="0"/>
        <w:rPr>
          <w:color w:val="000000" w:themeColor="text1"/>
          <w:sz w:val="16"/>
          <w:szCs w:val="16"/>
        </w:rPr>
      </w:pPr>
      <w:r w:rsidRPr="00C33834">
        <w:rPr>
          <w:rStyle w:val="af0"/>
          <w:bCs/>
          <w:i w:val="0"/>
          <w:color w:val="000000" w:themeColor="text1"/>
          <w:sz w:val="16"/>
          <w:szCs w:val="16"/>
        </w:rPr>
        <w:t>13 октября</w:t>
      </w:r>
      <w:r w:rsidRPr="00C33834">
        <w:rPr>
          <w:color w:val="000000" w:themeColor="text1"/>
          <w:sz w:val="16"/>
          <w:szCs w:val="16"/>
        </w:rPr>
        <w:t xml:space="preserve"> 1933. Постановление СТО СССР № 94сс/о «О мероприятиях по выполнению программы 1933 г. заводом № 8». (ГА РФ. Ф. Р</w:t>
      </w:r>
      <w:r w:rsidRPr="00C33834">
        <w:rPr>
          <w:color w:val="000000" w:themeColor="text1"/>
          <w:sz w:val="16"/>
          <w:szCs w:val="16"/>
        </w:rPr>
        <w:noBreakHyphen/>
        <w:t>8418. Оп. 28. Д. 2. Л. 184</w:t>
      </w:r>
      <w:r w:rsidRPr="00C33834">
        <w:rPr>
          <w:color w:val="000000" w:themeColor="text1"/>
          <w:sz w:val="16"/>
          <w:szCs w:val="16"/>
        </w:rPr>
        <w:noBreakHyphen/>
        <w:t>188) (15460).</w:t>
      </w:r>
    </w:p>
    <w:p w14:paraId="686CBA0B" w14:textId="77777777" w:rsidR="00CF276A" w:rsidRPr="00C33834" w:rsidRDefault="00CF276A" w:rsidP="00C33834">
      <w:pPr>
        <w:pStyle w:val="rtejustify"/>
        <w:spacing w:before="0" w:after="0"/>
        <w:rPr>
          <w:color w:val="000000" w:themeColor="text1"/>
          <w:sz w:val="16"/>
          <w:szCs w:val="16"/>
        </w:rPr>
      </w:pPr>
    </w:p>
    <w:p w14:paraId="2E2A3760" w14:textId="77777777" w:rsidR="00CF276A" w:rsidRPr="00C33834" w:rsidRDefault="00CF276A" w:rsidP="00C33834">
      <w:pPr>
        <w:pStyle w:val="rtejustify"/>
        <w:spacing w:before="0" w:after="0"/>
        <w:rPr>
          <w:color w:val="000000" w:themeColor="text1"/>
          <w:sz w:val="16"/>
          <w:szCs w:val="16"/>
        </w:rPr>
      </w:pPr>
      <w:r w:rsidRPr="00C33834">
        <w:rPr>
          <w:rStyle w:val="af0"/>
          <w:bCs/>
          <w:i w:val="0"/>
          <w:color w:val="000000" w:themeColor="text1"/>
          <w:sz w:val="16"/>
          <w:szCs w:val="16"/>
        </w:rPr>
        <w:t>13/14 октября 1933 вышел приказ НКТП № 174с.</w:t>
      </w:r>
      <w:r w:rsidRPr="00C33834">
        <w:rPr>
          <w:color w:val="000000" w:themeColor="text1"/>
          <w:sz w:val="16"/>
          <w:szCs w:val="16"/>
        </w:rPr>
        <w:t xml:space="preserve"> О строительстве завода и пристрелочной станции «Двигательстрой». (РГАЭ. Ф. 7297. Оп. 38. Д. 38. Л. 113</w:t>
      </w:r>
      <w:r w:rsidRPr="00C33834">
        <w:rPr>
          <w:color w:val="000000" w:themeColor="text1"/>
          <w:sz w:val="16"/>
          <w:szCs w:val="16"/>
        </w:rPr>
        <w:noBreakHyphen/>
        <w:t>113 об.) (15246).</w:t>
      </w:r>
    </w:p>
    <w:p w14:paraId="249B2FA0" w14:textId="77777777" w:rsidR="00CF276A" w:rsidRPr="00C33834" w:rsidRDefault="00CF276A" w:rsidP="00C33834">
      <w:pPr>
        <w:pStyle w:val="rtejustify"/>
        <w:spacing w:before="0" w:after="0"/>
        <w:rPr>
          <w:color w:val="000000" w:themeColor="text1"/>
          <w:sz w:val="16"/>
          <w:szCs w:val="16"/>
        </w:rPr>
      </w:pPr>
    </w:p>
    <w:p w14:paraId="707EC71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октября 1933 г. на заводе “Электроприбор” в г. Ленинграде была обнаружена пропажа секретного чертежа – схемы управления артиллерийским огнем береговой обороны.</w:t>
      </w:r>
    </w:p>
    <w:p w14:paraId="4AA9BA5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Негласным исследованием этого факта, ОГПУ было установлено, что чертеж присвоен заводским инженером Зильберберг Лев Яковлевичем.</w:t>
      </w:r>
    </w:p>
    <w:p w14:paraId="6C5F745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последний был арестован и на квартире у него обнаружены 3 секретных чертежа, военных заказов, находящихся в производстве на заводе “Электроприбор”.</w:t>
      </w:r>
    </w:p>
    <w:p w14:paraId="24FF701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Следствием установлено; инж. Зильберберг проживая в 1921-23 гг. в г. Аккермане (Бессарабия) был завербован Румынской разведкой (сигуранцей) в лице сотрудника разведки Керлера, при содействии некоего гр. Капелюшника, также тайного агента разведки.</w:t>
      </w:r>
    </w:p>
    <w:p w14:paraId="767D1D6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1923 г. Зильберберг был нелегально переброшен на территорию СССР для ведения, по заданию разведки шпионской работы, где выдал себя за политэмигранта.</w:t>
      </w:r>
    </w:p>
    <w:p w14:paraId="38DE68A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того же года Зильберберг, по заданию разведки вступил добровольно в РККА и был зачислен в 6-й полк связи в г. Киеве. Затем, будучи демобилизованным, пробрался во СТУЗ и по окончании его в 1931 г. переехал в г. Ленинград, где и поступил на завод “Электроприбор” в качестве инженера.</w:t>
      </w:r>
    </w:p>
    <w:p w14:paraId="47611C3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1931 г. Зильберберг установил связь с упомянутым тайным агентом Румынской разведки Капелюшником, также перебравшимся в СССР и устроившимся инженером на военный радиозавод им. “Коминтерн” в Ленинграде.</w:t>
      </w:r>
    </w:p>
    <w:p w14:paraId="738546F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проведения разведывательной работы по военным заказам на заводе “Электроприбор” Зильбербергом был завербован инж. Военно-морской части завода Дмитриев В.М., который в течение свыше года снабжал Зильберберга секретными чертежами, схемами и подробными сведениями о количестве и назначении заказов военно-морской части завода “Электроприбор”.</w:t>
      </w:r>
    </w:p>
    <w:p w14:paraId="5B01819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Шпионские сведения и материалы Зильбербергом передавались Капелюшнику, который за это платил деньги.</w:t>
      </w:r>
    </w:p>
    <w:p w14:paraId="63D69AA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 Капелюшник Ю.И. – Зав. Спец. Конструкторск. Бюро Радиозавод им. “Коминтерн” и инж. Дмитриев Б.М – сотрудник Военно-морской части завода “Электроприбор” – арестованы.</w:t>
      </w:r>
    </w:p>
    <w:p w14:paraId="3AF72BF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Следствие по делу продолжается.</w:t>
      </w:r>
    </w:p>
    <w:p w14:paraId="375D966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Председателя ОГПУ Ягода</w:t>
      </w:r>
    </w:p>
    <w:p w14:paraId="1C5F4C0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 ЭКУ ОГПУ Миронов</w:t>
      </w:r>
    </w:p>
    <w:p w14:paraId="0EF37565" w14:textId="77777777" w:rsidR="001F72EB" w:rsidRPr="00C33834" w:rsidRDefault="001F72EB" w:rsidP="00C33834">
      <w:pPr>
        <w:autoSpaceDE w:val="0"/>
        <w:autoSpaceDN w:val="0"/>
        <w:adjustRightInd w:val="0"/>
        <w:spacing w:after="0" w:line="240" w:lineRule="auto"/>
        <w:jc w:val="both"/>
        <w:rPr>
          <w:rFonts w:ascii="Times New Roman" w:hAnsi="Times New Roman"/>
          <w:bCs/>
          <w:color w:val="000000" w:themeColor="text1"/>
          <w:sz w:val="16"/>
          <w:szCs w:val="16"/>
        </w:rPr>
      </w:pPr>
      <w:r w:rsidRPr="00C33834">
        <w:rPr>
          <w:rFonts w:ascii="Times New Roman" w:hAnsi="Times New Roman"/>
          <w:color w:val="000000" w:themeColor="text1"/>
          <w:sz w:val="16"/>
          <w:szCs w:val="16"/>
        </w:rPr>
        <w:t>АП РФ, ф.3, оп.58, д.243, л.201-202 (11462).</w:t>
      </w:r>
    </w:p>
    <w:p w14:paraId="2CEB4B8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59BE5256" w14:textId="0F4162AC" w:rsidR="001F72EB" w:rsidRPr="00C33834" w:rsidRDefault="001F72EB" w:rsidP="00C33834">
      <w:pPr>
        <w:autoSpaceDE w:val="0"/>
        <w:autoSpaceDN w:val="0"/>
        <w:adjustRightInd w:val="0"/>
        <w:spacing w:after="0" w:line="240" w:lineRule="auto"/>
        <w:jc w:val="both"/>
        <w:rPr>
          <w:rFonts w:ascii="Times New Roman" w:hAnsi="Times New Roman"/>
          <w:i/>
          <w:color w:val="000000" w:themeColor="text1"/>
          <w:sz w:val="16"/>
          <w:szCs w:val="16"/>
        </w:rPr>
      </w:pPr>
      <w:r w:rsidRPr="00C33834">
        <w:rPr>
          <w:rFonts w:ascii="Times New Roman" w:hAnsi="Times New Roman"/>
          <w:i/>
          <w:color w:val="000000" w:themeColor="text1"/>
          <w:sz w:val="16"/>
          <w:szCs w:val="16"/>
        </w:rPr>
        <w:t>Жизнь и внутре</w:t>
      </w:r>
      <w:r w:rsidR="0004162D" w:rsidRPr="00C33834">
        <w:rPr>
          <w:rFonts w:ascii="Times New Roman" w:hAnsi="Times New Roman"/>
          <w:i/>
          <w:color w:val="000000" w:themeColor="text1"/>
          <w:sz w:val="16"/>
          <w:szCs w:val="16"/>
        </w:rPr>
        <w:t>н</w:t>
      </w:r>
      <w:r w:rsidRPr="00C33834">
        <w:rPr>
          <w:rFonts w:ascii="Times New Roman" w:hAnsi="Times New Roman"/>
          <w:i/>
          <w:color w:val="000000" w:themeColor="text1"/>
          <w:sz w:val="16"/>
          <w:szCs w:val="16"/>
        </w:rPr>
        <w:t>няя политика:</w:t>
      </w:r>
    </w:p>
    <w:p w14:paraId="75699F94" w14:textId="77777777" w:rsidR="001F72EB" w:rsidRPr="00C33834" w:rsidRDefault="001F72EB" w:rsidP="00C33834">
      <w:pPr>
        <w:autoSpaceDE w:val="0"/>
        <w:autoSpaceDN w:val="0"/>
        <w:adjustRightInd w:val="0"/>
        <w:spacing w:after="0" w:line="240" w:lineRule="auto"/>
        <w:jc w:val="both"/>
        <w:rPr>
          <w:rFonts w:ascii="Times New Roman" w:hAnsi="Times New Roman"/>
          <w:i/>
          <w:color w:val="000000" w:themeColor="text1"/>
          <w:sz w:val="16"/>
          <w:szCs w:val="16"/>
        </w:rPr>
      </w:pPr>
    </w:p>
    <w:p w14:paraId="701BF80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13 и 19 октября 1933. Из протокола заседания Политбюро N147, особая папка, 1933 г.</w:t>
      </w:r>
    </w:p>
    <w:p w14:paraId="7C065FA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переселении 14 000 хозяйств демобилизованных красноармейцев на Северный Кавказ </w:t>
      </w:r>
    </w:p>
    <w:p w14:paraId="1B91994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Телеграмма Кагановича и Молотова крайкомам, обкомам, ЦК Белоруссии: </w:t>
      </w:r>
    </w:p>
    <w:p w14:paraId="3BB16D5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15 ноября должны быть переселены на Северный Кавказ 14 000 семей демобилизованных красноармейцев. Проведение вербовки, организация отправки по железной дороге, питание, обслуживание в пути возложено на военвед. ЦК ВКП(б) и СНК СССР предлагают вам оказать всемерную помощь местным органам военведа и обеспечить своевременное проведение на местах — районах, колхозах всех мер, связанных с производством расчетов между колхозниками и колхозами, полностью и своевременно по выработанным последними трудодням, подготовить к выезду переселенцев и доставке их в точно установленные сроки к станциям погрузки" (11652).</w:t>
      </w:r>
    </w:p>
    <w:p w14:paraId="20BC7FD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7A804D4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13 и 19 октября 1933. Из протокола заседания Политбюро N147, особая папка, 1933 г.</w:t>
      </w:r>
    </w:p>
    <w:p w14:paraId="2721097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продуктовых магазинах во Владивостоке и Хабаровске </w:t>
      </w:r>
    </w:p>
    <w:p w14:paraId="3974D31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Открыть пять продуктовых (гастрономических) магазинов во Владивостоке и Хабаровске с продажей по повышенным ценам, причем в среднем цены должны быть на 30 процентов выше цен, установленных для таких же магазинов Донбасса (11652).</w:t>
      </w:r>
    </w:p>
    <w:p w14:paraId="51D3611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3541791E"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2BD036BC"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DD0A50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13 и 19 октября 1933. Из протокола заседания Политбюро N147, особая папка, 1933 г.</w:t>
      </w:r>
    </w:p>
    <w:p w14:paraId="785822D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польских журналистах </w:t>
      </w:r>
    </w:p>
    <w:p w14:paraId="683D3A3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Предложить редакциям газет "Известия", "За индустриализацию", "Экономическая жизнь" и "Соц. земледелие" послать приглашение польским журналистам, выступающим в пользу сближения Польши и СССР, совершить экскурсию по СССР. Все мероприятия по организации этой экскурсии согласовать с НКИД (11652).</w:t>
      </w:r>
    </w:p>
    <w:p w14:paraId="0FEE4A8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43AE305A" w14:textId="77777777" w:rsidR="00CF276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C81CA95" w14:textId="77777777" w:rsidR="00CF276A" w:rsidRPr="00C33834" w:rsidRDefault="00CF276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A458075" w14:textId="77777777" w:rsidR="00CF276A" w:rsidRPr="00C33834" w:rsidRDefault="00CF276A" w:rsidP="00C33834">
      <w:pPr>
        <w:spacing w:after="0" w:line="240" w:lineRule="auto"/>
        <w:jc w:val="both"/>
        <w:rPr>
          <w:rFonts w:ascii="Times New Roman" w:hAnsi="Times New Roman"/>
          <w:color w:val="000000" w:themeColor="text1"/>
          <w:sz w:val="16"/>
          <w:szCs w:val="16"/>
        </w:rPr>
      </w:pPr>
      <w:r w:rsidRPr="00C33834">
        <w:rPr>
          <w:rStyle w:val="ucoz-forum-post"/>
          <w:rFonts w:ascii="Times New Roman" w:eastAsiaTheme="majorEastAsia" w:hAnsi="Times New Roman"/>
          <w:bCs/>
          <w:color w:val="000000" w:themeColor="text1"/>
          <w:sz w:val="16"/>
          <w:szCs w:val="16"/>
        </w:rPr>
        <w:t xml:space="preserve">13 октября </w:t>
      </w:r>
      <w:r w:rsidRPr="00C33834">
        <w:rPr>
          <w:rFonts w:ascii="Times New Roman" w:hAnsi="Times New Roman"/>
          <w:color w:val="000000" w:themeColor="text1"/>
          <w:sz w:val="16"/>
          <w:szCs w:val="16"/>
        </w:rPr>
        <w:t>в 1933 году в Лондоне создано Британское межпланетное общество (British Interplanetary Society), одна из старейших ныне действующих общественных организаций подобного профиля. В 1936 году при обществе, насчитывавшем порядка 100 членов, был организован Технический комитет, в задачи которого входили исследования в области проектирования и оборудования космических кораблей. В 1939 году членами общества был разработан проект космического корабля, рассчитанного на экипаж из 3 человек и предназначенный для 20-дневной экспедиции на Луну. После войны тем для обсуждения и теоретической разработки появилось великое множество. Члены общества разрабатывали проекты космической станции, скафандров, встречи и заправки космического летательного аппарата на орбите, использования ядерной энергии для ракетного двигателя, создания глобальной системы связи с ИСЗ. В 1950 году на основе BIS возникла Международная астронавтическая федерация, содействующая развитию космонавтики, межпланетных исследований и космической связи путем проведения исследований, публикации открытий и содействия международному сотрудничеству в области космонавтики. Общество издает журнал "Spaceflight" и организует тематические симпозиумы (14798).</w:t>
      </w:r>
    </w:p>
    <w:p w14:paraId="075DE98A" w14:textId="77777777" w:rsidR="00CF276A" w:rsidRPr="00C33834" w:rsidRDefault="00CF276A" w:rsidP="00C33834">
      <w:pPr>
        <w:spacing w:after="0" w:line="240" w:lineRule="auto"/>
        <w:jc w:val="both"/>
        <w:rPr>
          <w:rFonts w:ascii="Times New Roman" w:hAnsi="Times New Roman"/>
          <w:color w:val="000000" w:themeColor="text1"/>
          <w:sz w:val="16"/>
          <w:szCs w:val="16"/>
        </w:rPr>
      </w:pPr>
    </w:p>
    <w:p w14:paraId="38D50F3A"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0B5F178"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EFD7AC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октября 1933 И.С.Уншлихт получил записку по поводу К-5М-22, в которой констатировались хорошие качества машины как планер, но недостаточную мощность в расчете на л.с. (70,173).</w:t>
      </w:r>
    </w:p>
    <w:p w14:paraId="1D5C43F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77A8377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октября 1933 года зам. начальника НТУ Зоншайн</w:t>
      </w:r>
    </w:p>
    <w:p w14:paraId="0B65B1A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Докладная записка по вопросу о самолете К-5</w:t>
      </w:r>
    </w:p>
    <w:p w14:paraId="575DBF5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Первое испытание самолета К-5 производилось в апреле 1930 года в ВВС.</w:t>
      </w:r>
    </w:p>
    <w:p w14:paraId="42816A3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1930 года представитель Аэрофлота совместно с НИИ ВВС испытывал самолет с точки зрения пригодности его для ГВФ и предложил ряд улучшений без проведения которых самолет не мог быть рекомендован для внедрения.</w:t>
      </w:r>
    </w:p>
    <w:p w14:paraId="79D5312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1931 года в НИИ поступил самолет К-5 для испытаний, но он был возвращен ХАЗу из-за наличия большого количества дефектов.23 августа 1931 года в НИИ поступил другой экземпляр К-5 с частично устраненными дефектами. Самолет был испытан и условно утвержден для производства.</w:t>
      </w:r>
    </w:p>
    <w:p w14:paraId="02CC59B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1932 года на ХАЗ испытывался улучшенный вариант К-5. Самолет был утвержден в эксплуатацию, по этому образцу строилась серия 1932 года.</w:t>
      </w:r>
    </w:p>
    <w:p w14:paraId="749AE80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Параллельно ГРОСС (гл. конструктор Калинин) вел работы по созданию эталона (для серии 1933 года).</w:t>
      </w:r>
    </w:p>
    <w:p w14:paraId="75C4E60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1932 года с участием представителей Аэрофлота проводились заводские испытания этого самолета. Был выявлен ряд производственных и конструктивных дефектов.</w:t>
      </w:r>
    </w:p>
    <w:p w14:paraId="1DB9B16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Этот экземпляр с 23 мая по 26 июня проходил госиспытания в НИИ. Эталон принят не был, заводу было предложено ввести ряд переделок и после этого предъявить самолет для дополнительных испытаний.</w:t>
      </w:r>
    </w:p>
    <w:p w14:paraId="77D67C1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отказался от введения кардинальных переделок (перенос шасси, уменьшение веса); в дальнейшем самолет в НИИ ГВФ для дополнительных испытаний не поступил.</w:t>
      </w:r>
    </w:p>
    <w:p w14:paraId="7A62DAB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Последние испытания К-5 эталонного проводились в феврале 1933 года в отряде ГУАП только с привлечением в комиссию представителей Аэрофлота.</w:t>
      </w:r>
    </w:p>
    <w:p w14:paraId="3D6C807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0688DF5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приходится констатировать, что образец 1933 года был внедрен в производство недоиспытанным (7738, 12-10).</w:t>
      </w:r>
    </w:p>
    <w:p w14:paraId="4BED20D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6310B05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октября 1933 года начальник 8 сектора НИИ ВВС Ганулич писал письмо N 2/01328 начальнику штаба ВВС.</w:t>
      </w:r>
    </w:p>
    <w:p w14:paraId="1249DF3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Справка</w:t>
      </w:r>
    </w:p>
    <w:p w14:paraId="3704D9C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Туполев считает, что второй экземпляр крыла самолета МДР4 к строящейся второй лодке для перелета в Италию построить невозможно (якобы из-за перегруженности ЗОКа).</w:t>
      </w:r>
    </w:p>
    <w:p w14:paraId="5023AC3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т.к. остается лишь опытный экземпляр, который совершенно нежелательно пускать в перелет, он нужен для освоения строем и промышленностью.</w:t>
      </w:r>
    </w:p>
    <w:p w14:paraId="03929CA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Необходимо начальнику ГУАП поставить задание: специально подготовить к перелету в июле-августе 1934 года:</w:t>
      </w:r>
    </w:p>
    <w:p w14:paraId="2A90E1B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ЦАГИ второй экземпляр МДР4</w:t>
      </w:r>
    </w:p>
    <w:p w14:paraId="132F75D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заводу N 31 - два самолета МБР2 из числа серийных.</w:t>
      </w:r>
    </w:p>
    <w:p w14:paraId="1EC926A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3. Считаю, что следует поставить вопрос о том, чтобы завязать с Турцией связь по авиационной линии, которая практически обеспечивается тем, что в серию вводятся отечественные образцы гидросамолетов (3559,1).</w:t>
      </w:r>
    </w:p>
    <w:p w14:paraId="25DBC0B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7A7BDD6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октября 1933 года инженер ВВС Попов писал письмо Nсс 001207 Кагановичу, Молотову, Базилевичу, Тухачевскому, Алкснису.</w:t>
      </w:r>
    </w:p>
    <w:p w14:paraId="7CE8A9F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04CDD0A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оживились в мире работы над заброшенной было идеей геликоптера и появился в результате исследований Де-Сиерва новый аппарат-автожир.</w:t>
      </w:r>
    </w:p>
    <w:p w14:paraId="66C9B79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сожалению до сих пор оказались безуспешными попытки создать геликоптер и автожир обладающие достаточной для практического использования устойчивостью, хотя успехи в этом деле уже имеются.</w:t>
      </w:r>
    </w:p>
    <w:p w14:paraId="6394BC1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последние годы особенно широко стоит вопрос создания самолета с вращающимися крыльями.</w:t>
      </w:r>
    </w:p>
    <w:p w14:paraId="5C0002C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0777C9B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1932 года я по заданию зам. наркомвоенмора Тухачевского приступил к постройке модели воздушного гребного колеса, предложенного инженером Максимовым А.П.</w:t>
      </w:r>
    </w:p>
    <w:p w14:paraId="19822C2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течение 3-х месяцев была спроектирована модель и затем почти 7 месяцев ее строили.</w:t>
      </w:r>
    </w:p>
    <w:p w14:paraId="31E4904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модели показали, что от гребных воздушных колес можно получить значительную подъемную силу при затрате мощности примерно такой же как у современного самолета.</w:t>
      </w:r>
    </w:p>
    <w:p w14:paraId="287F27B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1933 года я получил задание Тухачевского приступить к проектированию самолета с гребными воздушными колесами тотчас же после окончания испытаний переделанной нами модели.</w:t>
      </w:r>
    </w:p>
    <w:p w14:paraId="31246FD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были закончены в мае 1933 года, причем результаты вполне совпали с результатами первых испытаний.</w:t>
      </w:r>
    </w:p>
    <w:p w14:paraId="5DE3D12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 как средств и людей на разработку проекта самолета не хватало, я приступил к проектированию универсальной модели, позволяющей испытание различных гребных колес. Кроме того мы спроектировали специальные аэродинамические весы для испытания гребных колес в трубе Т-1 аэродинамической лаборатории ВВА.</w:t>
      </w:r>
    </w:p>
    <w:p w14:paraId="07DB2ED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7EA0C2F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Были исследованы все детали вопроса и мы вплотную подошли к созданию проекта самолета с вращающимися крыльями, способного вертикально взлетать и спускаться, висеть в воздухе и передвигаться со скоростями современных самолетов.</w:t>
      </w:r>
    </w:p>
    <w:p w14:paraId="7865A91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………….(4015,3-10).</w:t>
      </w:r>
    </w:p>
    <w:p w14:paraId="6F15E71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364F860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14 по 29 октября 1933 проходили гос. испытания турельных авиационных пулеметов калибра 7,62 мм ШКАС-МК-1933 г. за NN 290, 301, 302, 303 и 310 (3053).</w:t>
      </w:r>
    </w:p>
    <w:p w14:paraId="23D542D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4772D1FB"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AEE5EC8"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5B6D4E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октября 1933 г. Я. Берзин докладывал К.Ворошилову:</w:t>
      </w:r>
    </w:p>
    <w:p w14:paraId="12128F3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 Казань. Ликвидация станции была начала 20-го июля. Тремя транспортами 11.8, 19.8 и 4.9. имущество «друзей» ушло из азани. 6 сентября никого из «друзей» на месте не осталось.</w:t>
      </w:r>
    </w:p>
    <w:p w14:paraId="6D0DF18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Безвозмездно перешедшее во владение УММ имущество по самым скромным подсчетам оценивается до миллиона рублей. Состоить оно из переоборудованных и вночь построенных зда</w:t>
      </w:r>
      <w:r w:rsidRPr="00C33834">
        <w:rPr>
          <w:rFonts w:ascii="Times New Roman" w:hAnsi="Times New Roman"/>
          <w:color w:val="000000" w:themeColor="text1"/>
          <w:sz w:val="16"/>
          <w:szCs w:val="16"/>
        </w:rPr>
        <w:softHyphen/>
        <w:t>ний склада огнеприпасов, жилых корпусов, радиолаборатории,, караульного помещения, кооператива, холодильника, бензохра</w:t>
      </w:r>
      <w:r w:rsidRPr="00C33834">
        <w:rPr>
          <w:rFonts w:ascii="Times New Roman" w:hAnsi="Times New Roman"/>
          <w:color w:val="000000" w:themeColor="text1"/>
          <w:sz w:val="16"/>
          <w:szCs w:val="16"/>
        </w:rPr>
        <w:softHyphen/>
        <w:t>нилища на 20 тонн горючего, электростанции, реконструиро</w:t>
      </w:r>
      <w:r w:rsidRPr="00C33834">
        <w:rPr>
          <w:rFonts w:ascii="Times New Roman" w:hAnsi="Times New Roman"/>
          <w:color w:val="000000" w:themeColor="text1"/>
          <w:sz w:val="16"/>
          <w:szCs w:val="16"/>
        </w:rPr>
        <w:softHyphen/>
        <w:t>ванной водокачки, гаража с компрессорной установкой, мас</w:t>
      </w:r>
      <w:r w:rsidRPr="00C33834">
        <w:rPr>
          <w:rFonts w:ascii="Times New Roman" w:hAnsi="Times New Roman"/>
          <w:color w:val="000000" w:themeColor="text1"/>
          <w:sz w:val="16"/>
          <w:szCs w:val="16"/>
        </w:rPr>
        <w:softHyphen/>
        <w:t>терских на ходу (сборная, станочная),... системы центрально</w:t>
      </w:r>
      <w:r w:rsidRPr="00C33834">
        <w:rPr>
          <w:rFonts w:ascii="Times New Roman" w:hAnsi="Times New Roman"/>
          <w:color w:val="000000" w:themeColor="text1"/>
          <w:sz w:val="16"/>
          <w:szCs w:val="16"/>
        </w:rPr>
        <w:softHyphen/>
        <w:t>го отопления, гаража и склада, канализации, тира, благоуст</w:t>
      </w:r>
      <w:r w:rsidRPr="00C33834">
        <w:rPr>
          <w:rFonts w:ascii="Times New Roman" w:hAnsi="Times New Roman"/>
          <w:color w:val="000000" w:themeColor="text1"/>
          <w:sz w:val="16"/>
          <w:szCs w:val="16"/>
        </w:rPr>
        <w:softHyphen/>
        <w:t>роенной мостовой, строительных материалов и пр.</w:t>
      </w:r>
    </w:p>
    <w:p w14:paraId="4AF77DC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Приобретено УММ имущества на сумму 220 000 рублей: автомашины и трактора с запасными частями, канализаци</w:t>
      </w:r>
      <w:r w:rsidRPr="00C33834">
        <w:rPr>
          <w:rFonts w:ascii="Times New Roman" w:hAnsi="Times New Roman"/>
          <w:color w:val="000000" w:themeColor="text1"/>
          <w:sz w:val="16"/>
          <w:szCs w:val="16"/>
        </w:rPr>
        <w:softHyphen/>
        <w:t>онные трубы и оборудование холодильника и столовой.</w:t>
      </w:r>
    </w:p>
    <w:p w14:paraId="13A0AB3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Вывезено в Германию: 6 больших и 4 малых танка, одна восъмиколесная машина с запасными частями, снаряжение, вооружение...» (10733,127).</w:t>
      </w:r>
    </w:p>
    <w:p w14:paraId="15D401E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595D2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октября 1933 г. на Щ-301 был поднят военно-морской флаг. Она пополнила одно из соединений Краснознаменного Балтийского флота (10700).</w:t>
      </w:r>
    </w:p>
    <w:p w14:paraId="5C58368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3F31A9B3"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6F47FB3C"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E56AD3C"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14 октября 1933 года ледокол Садко, 16 (29) июня 1916 года затонувший при перевозке груза для строительства железной дороги Кандалакша-Мурманск «Садко» в Кандалакшской губе, наскочив на подводный камень, поднят силами ЭПРОН. Год спустя, 9 июля 1934 года состоялся первый выход «Садко» в море после ремонта.</w:t>
      </w:r>
    </w:p>
    <w:p w14:paraId="5E40D426"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 сентября 1934 года экспедиция на «Садко» под командованием капитана А. К. Бурке, в сопровождении ледокола «Ермак», основала полярную станцию на острове Уединения.</w:t>
      </w:r>
    </w:p>
    <w:p w14:paraId="7817B1A8"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Оборудование и персонал были предназначены для станции на мысе Оловянный (Северная Земля), но ледовая обстановка не позволила туда пробиться и по распоряжению Главсевморпути место выгрузки было перенесено. Начало строительства станции и первую зимовку на острове провели 18 человек (в том числе 9 строительных рабочих) под руководством С. В. Шманева.</w:t>
      </w:r>
    </w:p>
    <w:p w14:paraId="400783E6"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1935 году на «Садко» предпринята Первая Высокоширотная экспедиция Главсевморпути под руководством Г. А. Ушакова. Установлен мировой рекорд свободного плавания за Полярным кругом (82°4’с.ш.). Открыт остров Ушакова.</w:t>
      </w:r>
    </w:p>
    <w:p w14:paraId="4CACE389"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Летом 1937 года экспедиция на «Садко» (капитан Николай Иванович Хромцов) под руководством профессора Визе, отплыла из Мурманска к островам Де-Лонга. Однако задачи были изменены и ледокол направлен для помощи судам в Карском море и море Лаптевых. Попытка преодолеть льды оказалась неудачой и «Садко» также оказался блокирован льдами в районе Новосибирских островов 75°17' с.ш. 132°28' в. д. (G) (O).</w:t>
      </w:r>
    </w:p>
    <w:p w14:paraId="7B5BF0C8" w14:textId="1FA1EB91"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Вместе с ледокольными пароходами «Малыгин» и «Георгий Седов», «Садко» дрейфовал во льдах на север от Бельковского острова до 83°05' северной широты.</w:t>
      </w:r>
    </w:p>
    <w:p w14:paraId="11312DE2"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Экспедиция на «Садко» не имела достаточных припасов для столь долгой зимовки, однако из-за сложных метеоусловий часть членов экспедиции и экипажа удалось эвакуировать лишь в апреле 1938 года.</w:t>
      </w:r>
    </w:p>
    <w:p w14:paraId="26B9E915"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Сам «Садко» освободился от ледового плена только в сентябре 1938 года с помощью ледокола «Ермак» 83°04' с. ш. 138°22' в. д. (G) (O).</w:t>
      </w:r>
    </w:p>
    <w:p w14:paraId="452F8406"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11 сентября 1941 года, на пути из Диксона на Землю Франца-Иосифа, «Садко» наскочил на ранее неизвестную подводную банку вблизи островов Известий ЦИК в Карском море и затонул. Погиб один человек, остальной экипаж спасен ледоколом «Ленин» (21179).</w:t>
      </w:r>
    </w:p>
    <w:p w14:paraId="4AE8B943" w14:textId="77777777" w:rsidR="00F15A76" w:rsidRPr="00C33834" w:rsidRDefault="00F15A76" w:rsidP="00C33834">
      <w:pPr>
        <w:pStyle w:val="108"/>
        <w:shd w:val="clear" w:color="auto" w:fill="auto"/>
        <w:spacing w:after="0" w:line="240" w:lineRule="auto"/>
        <w:ind w:firstLine="0"/>
        <w:jc w:val="both"/>
        <w:rPr>
          <w:rStyle w:val="820"/>
          <w:rFonts w:ascii="Times New Roman" w:hAnsi="Times New Roman" w:cs="Times New Roman"/>
          <w:color w:val="0070C0"/>
          <w:sz w:val="16"/>
          <w:szCs w:val="16"/>
        </w:rPr>
      </w:pPr>
    </w:p>
    <w:p w14:paraId="377E2A6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14 октября 1934 г. Мытищинским заводом два опытных вагона, которые были направлены сначала на завод «Динамо», где было смонтировано электротехническое оборудование и аппаратура, а потом опробованы и прошли обкатку, были отправлены на метрополитен. 15 октября первая секция прибыла в депо «Северное». Первый вагон был опробован со скоростью около 25 км/ч с пассажирами, которыми были работники заводов-изготовителей Мытищинского машиностроительного, Московского тормозного и завода «Динамо». Среди первых пассажиров были также специалисты метростроя. Первые вагоны получили названия «ММ-1 моторный» и «МП-1001 прицепной» типа «А». </w:t>
      </w:r>
    </w:p>
    <w:p w14:paraId="7E2C8F3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 дню открытия VII съезда Советов 25 января 1935 г. Мытищинский завод выпустил первые 40 вагонов, обеспечив тем самым своевременное открытие движения на метрополитене. В процессе эксплуатации и доводки первые вагоны типа «А» и «Б» были значительно модернизированы, особенно усовершенствована их электрическая схема. Эксплуатация показала высокую надежность и долговечность вагонов. Срок их эксплуатации был определен в 50 лет. Вагоны обеспечивали устойчивый пробег без капитального ремонта 2,5 млн. км. </w:t>
      </w:r>
    </w:p>
    <w:p w14:paraId="0E7E67B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Серьезным недостатком конструкции первых вагонов было несовершенство конструкции автотормозов. Торможение было пневматическим, производилось за счет трения колодок о бандажи колес (электротормоз был внедрен позднее). Недостаточна была и электрическая защита от токов перегрузки и коротких замыканий (11613).</w:t>
      </w:r>
    </w:p>
    <w:p w14:paraId="225D25A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7A5986"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72C94C0F"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F77C83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октября 1933 г. правительство Гитлера заявило о прекращении своего участия в работе Конференции по разоружению (3871).</w:t>
      </w:r>
    </w:p>
    <w:p w14:paraId="2149E8D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2B762C51" w14:textId="77777777" w:rsidR="00562118" w:rsidRPr="00C33834" w:rsidRDefault="0056211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октября 1933 г. Германия, указав на бесплодность работы конференции, отозвала своего делегата с Женевской конференции, а спустя пять дней — 19 октября вышла из Лиги Наций.</w:t>
      </w:r>
    </w:p>
    <w:p w14:paraId="6F8ED958" w14:textId="77777777" w:rsidR="00562118" w:rsidRPr="00C33834" w:rsidRDefault="00562118" w:rsidP="00C33834">
      <w:pPr>
        <w:spacing w:after="0" w:line="240" w:lineRule="auto"/>
        <w:jc w:val="both"/>
        <w:rPr>
          <w:rFonts w:ascii="Times New Roman" w:hAnsi="Times New Roman"/>
          <w:color w:val="000000" w:themeColor="text1"/>
          <w:sz w:val="16"/>
          <w:szCs w:val="16"/>
          <w:lang w:val="en-US"/>
        </w:rPr>
      </w:pPr>
      <w:r w:rsidRPr="00C33834">
        <w:rPr>
          <w:rFonts w:ascii="Times New Roman" w:hAnsi="Times New Roman"/>
          <w:color w:val="000000" w:themeColor="text1"/>
          <w:sz w:val="16"/>
          <w:szCs w:val="16"/>
        </w:rPr>
        <w:t>На Женевской конференции требование Германии о незамедлительном признании равноправия в вооружениях было отвергнуто. Реакция стран, подписавших с Германией римский «пакт четырех», была следующей: Италия поддержала Германию, Англия и Франция выступили против, блокировав тем самым ревизию военных положений Версальского договора. Это, кстати сказать, стало в тот момент одной из целей советской внешней политики. США</w:t>
      </w:r>
      <w:r w:rsidRPr="00C33834">
        <w:rPr>
          <w:rFonts w:ascii="Times New Roman" w:hAnsi="Times New Roman"/>
          <w:color w:val="000000" w:themeColor="text1"/>
          <w:sz w:val="16"/>
          <w:szCs w:val="16"/>
          <w:lang w:val="en-US"/>
        </w:rPr>
        <w:t xml:space="preserve"> </w:t>
      </w:r>
      <w:r w:rsidRPr="00C33834">
        <w:rPr>
          <w:rFonts w:ascii="Times New Roman" w:hAnsi="Times New Roman"/>
          <w:color w:val="000000" w:themeColor="text1"/>
          <w:sz w:val="16"/>
          <w:szCs w:val="16"/>
        </w:rPr>
        <w:t>заняли</w:t>
      </w:r>
      <w:r w:rsidRPr="00C33834">
        <w:rPr>
          <w:rFonts w:ascii="Times New Roman" w:hAnsi="Times New Roman"/>
          <w:color w:val="000000" w:themeColor="text1"/>
          <w:sz w:val="16"/>
          <w:szCs w:val="16"/>
          <w:lang w:val="en-US"/>
        </w:rPr>
        <w:t xml:space="preserve"> </w:t>
      </w:r>
      <w:r w:rsidRPr="00C33834">
        <w:rPr>
          <w:rFonts w:ascii="Times New Roman" w:hAnsi="Times New Roman"/>
          <w:color w:val="000000" w:themeColor="text1"/>
          <w:sz w:val="16"/>
          <w:szCs w:val="16"/>
        </w:rPr>
        <w:t>нейтральную</w:t>
      </w:r>
      <w:r w:rsidRPr="00C33834">
        <w:rPr>
          <w:rFonts w:ascii="Times New Roman" w:hAnsi="Times New Roman"/>
          <w:color w:val="000000" w:themeColor="text1"/>
          <w:sz w:val="16"/>
          <w:szCs w:val="16"/>
          <w:lang w:val="en-US"/>
        </w:rPr>
        <w:t xml:space="preserve"> </w:t>
      </w:r>
      <w:r w:rsidRPr="00C33834">
        <w:rPr>
          <w:rFonts w:ascii="Times New Roman" w:hAnsi="Times New Roman"/>
          <w:color w:val="000000" w:themeColor="text1"/>
          <w:sz w:val="16"/>
          <w:szCs w:val="16"/>
        </w:rPr>
        <w:t>позицию</w:t>
      </w:r>
      <w:r w:rsidRPr="00C33834">
        <w:rPr>
          <w:rFonts w:ascii="Times New Roman" w:hAnsi="Times New Roman"/>
          <w:color w:val="000000" w:themeColor="text1"/>
          <w:sz w:val="16"/>
          <w:szCs w:val="16"/>
          <w:lang w:val="en-US"/>
        </w:rPr>
        <w:t xml:space="preserve"> (18265)</w:t>
      </w:r>
    </w:p>
    <w:p w14:paraId="5634EE77" w14:textId="77777777" w:rsidR="00562118" w:rsidRPr="00C33834" w:rsidRDefault="00562118" w:rsidP="00C33834">
      <w:pPr>
        <w:spacing w:after="0" w:line="240" w:lineRule="auto"/>
        <w:jc w:val="both"/>
        <w:rPr>
          <w:rFonts w:ascii="Times New Roman" w:hAnsi="Times New Roman"/>
          <w:color w:val="000000" w:themeColor="text1"/>
          <w:sz w:val="16"/>
          <w:szCs w:val="16"/>
          <w:lang w:val="en-US"/>
        </w:rPr>
      </w:pPr>
    </w:p>
    <w:p w14:paraId="47AD41D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lang w:val="en-US"/>
        </w:rPr>
      </w:pPr>
      <w:r w:rsidRPr="00C33834">
        <w:rPr>
          <w:rFonts w:ascii="Times New Roman" w:hAnsi="Times New Roman"/>
          <w:color w:val="000000" w:themeColor="text1"/>
          <w:sz w:val="16"/>
          <w:szCs w:val="16"/>
          <w:lang w:val="en-US"/>
        </w:rPr>
        <w:lastRenderedPageBreak/>
        <w:t>October 14 1933 Germany leaves League of Nations (1037).</w:t>
      </w:r>
    </w:p>
    <w:p w14:paraId="5CC3C38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lang w:val="en-US"/>
        </w:rPr>
      </w:pPr>
    </w:p>
    <w:p w14:paraId="5D31C80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октября 1933 была прервана Женевская мирная конференция, так как Германия объявила о своем выходе из инициативы по разоружению, а также из Лиги наций (2100).</w:t>
      </w:r>
    </w:p>
    <w:p w14:paraId="59D352D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1B1CDE1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октября 1933 Германия вышла из Лиги Наций (4962).</w:t>
      </w:r>
    </w:p>
    <w:p w14:paraId="3D80DAB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548251" w14:textId="77777777" w:rsidR="00362C4F" w:rsidRPr="00C33834" w:rsidRDefault="00362C4F"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color w:val="000000" w:themeColor="text1"/>
          <w:sz w:val="16"/>
          <w:szCs w:val="16"/>
        </w:rPr>
        <w:t>14 октября 1933 Гитлер заявил, что поскольку другие участники женевских переговоров отказываются предоставить Германии равные права, она немедленно отзывает своих представителей с конференции по разоружению и из Лиги Наций. Одновременно он принял и другие меры: распустил рейхстаг, объявив, что решение отозвать своих представителей из Женевы вынесет на референдум, и приказал министру обороны генералу фон Бломбергу издать секретную директиву вооруженным силам - оказать вооруженное сопротивление, если Лига Наций прибегнет к санкциям (17283).</w:t>
      </w:r>
    </w:p>
    <w:p w14:paraId="2C18285B" w14:textId="77777777" w:rsidR="00362C4F" w:rsidRPr="00C33834" w:rsidRDefault="00362C4F"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5D0F71D"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CA4D506"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A8D179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октября 1933 ТБ-3, переделанный в машину с 4М-34Р, полученных ЦАГИ с 7 по 13 августа, был направлен на гос. испытания (2287,129).</w:t>
      </w:r>
    </w:p>
    <w:p w14:paraId="21CE5EC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05170C9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октября 1933 г. Главным конструктором Григоровичем и инженером П.М.Крейсоном (являлся начальником бригады №6 ЦКБ, которая осуществляла весовые расчеты, взвешивание, статические испытания) был разработан военный вариант РД-МАИ.</w:t>
      </w:r>
    </w:p>
    <w:p w14:paraId="604A4F2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расчетные технические и летные характеристики РД-МАИ*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F26F01" w:rsidRPr="00C33834" w14:paraId="2DD1BE46" w14:textId="77777777">
        <w:tc>
          <w:tcPr>
            <w:tcW w:w="5156" w:type="dxa"/>
            <w:tcBorders>
              <w:top w:val="single" w:sz="12" w:space="0" w:color="auto"/>
            </w:tcBorders>
          </w:tcPr>
          <w:p w14:paraId="1DCB464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Размах крыла (м)</w:t>
            </w:r>
          </w:p>
        </w:tc>
        <w:tc>
          <w:tcPr>
            <w:tcW w:w="5156" w:type="dxa"/>
            <w:tcBorders>
              <w:top w:val="single" w:sz="12" w:space="0" w:color="auto"/>
            </w:tcBorders>
          </w:tcPr>
          <w:p w14:paraId="1A54446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w:t>
            </w:r>
          </w:p>
        </w:tc>
      </w:tr>
      <w:tr w:rsidR="00F26F01" w:rsidRPr="00C33834" w14:paraId="066AC838" w14:textId="77777777">
        <w:tc>
          <w:tcPr>
            <w:tcW w:w="5156" w:type="dxa"/>
          </w:tcPr>
          <w:p w14:paraId="627D518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крыла (м2)</w:t>
            </w:r>
          </w:p>
        </w:tc>
        <w:tc>
          <w:tcPr>
            <w:tcW w:w="5156" w:type="dxa"/>
          </w:tcPr>
          <w:p w14:paraId="7CACA60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40,5</w:t>
            </w:r>
          </w:p>
        </w:tc>
      </w:tr>
      <w:tr w:rsidR="00F26F01" w:rsidRPr="00C33834" w14:paraId="1F18F193" w14:textId="77777777">
        <w:tc>
          <w:tcPr>
            <w:tcW w:w="5156" w:type="dxa"/>
          </w:tcPr>
          <w:p w14:paraId="498FC61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самолета (м)</w:t>
            </w:r>
          </w:p>
        </w:tc>
        <w:tc>
          <w:tcPr>
            <w:tcW w:w="5156" w:type="dxa"/>
          </w:tcPr>
          <w:p w14:paraId="2BB0221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11,5</w:t>
            </w:r>
          </w:p>
        </w:tc>
      </w:tr>
      <w:tr w:rsidR="00F26F01" w:rsidRPr="00C33834" w14:paraId="7C98B68E" w14:textId="77777777">
        <w:tc>
          <w:tcPr>
            <w:tcW w:w="5156" w:type="dxa"/>
          </w:tcPr>
          <w:p w14:paraId="1AF85BB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в линии полета (м)</w:t>
            </w:r>
          </w:p>
        </w:tc>
        <w:tc>
          <w:tcPr>
            <w:tcW w:w="5156" w:type="dxa"/>
          </w:tcPr>
          <w:p w14:paraId="44E4122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4,03</w:t>
            </w:r>
          </w:p>
        </w:tc>
      </w:tr>
      <w:tr w:rsidR="00F26F01" w:rsidRPr="00C33834" w14:paraId="17CBDE63" w14:textId="77777777">
        <w:tc>
          <w:tcPr>
            <w:tcW w:w="5156" w:type="dxa"/>
          </w:tcPr>
          <w:p w14:paraId="09A070B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пустого (кг)</w:t>
            </w:r>
          </w:p>
        </w:tc>
        <w:tc>
          <w:tcPr>
            <w:tcW w:w="5156" w:type="dxa"/>
          </w:tcPr>
          <w:p w14:paraId="6B11753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2410</w:t>
            </w:r>
          </w:p>
        </w:tc>
      </w:tr>
      <w:tr w:rsidR="00F26F01" w:rsidRPr="00C33834" w14:paraId="5BD988B9" w14:textId="77777777">
        <w:tc>
          <w:tcPr>
            <w:tcW w:w="5156" w:type="dxa"/>
          </w:tcPr>
          <w:p w14:paraId="031F300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Полетный вес (кг)</w:t>
            </w:r>
          </w:p>
        </w:tc>
        <w:tc>
          <w:tcPr>
            <w:tcW w:w="5156" w:type="dxa"/>
          </w:tcPr>
          <w:p w14:paraId="5E82D2B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3850-4600</w:t>
            </w:r>
          </w:p>
        </w:tc>
      </w:tr>
      <w:tr w:rsidR="00F26F01" w:rsidRPr="00C33834" w14:paraId="1982F04E" w14:textId="77777777">
        <w:tc>
          <w:tcPr>
            <w:tcW w:w="5156" w:type="dxa"/>
          </w:tcPr>
          <w:p w14:paraId="435F096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Горючее (кг)</w:t>
            </w:r>
          </w:p>
        </w:tc>
        <w:tc>
          <w:tcPr>
            <w:tcW w:w="5156" w:type="dxa"/>
          </w:tcPr>
          <w:p w14:paraId="2FF9B43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1000-1800</w:t>
            </w:r>
          </w:p>
        </w:tc>
      </w:tr>
      <w:tr w:rsidR="00F26F01" w:rsidRPr="00C33834" w14:paraId="77815D26" w14:textId="77777777">
        <w:tc>
          <w:tcPr>
            <w:tcW w:w="5156" w:type="dxa"/>
          </w:tcPr>
          <w:p w14:paraId="4F49A9C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 скорость (км/ч) ....</w:t>
            </w:r>
          </w:p>
        </w:tc>
        <w:tc>
          <w:tcPr>
            <w:tcW w:w="5156" w:type="dxa"/>
          </w:tcPr>
          <w:p w14:paraId="58029E5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330-350</w:t>
            </w:r>
          </w:p>
        </w:tc>
      </w:tr>
      <w:tr w:rsidR="00F26F01" w:rsidRPr="00C33834" w14:paraId="71740006" w14:textId="77777777">
        <w:tc>
          <w:tcPr>
            <w:tcW w:w="5156" w:type="dxa"/>
          </w:tcPr>
          <w:p w14:paraId="38DF6A1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Крейсерская скорость (км/ч)</w:t>
            </w:r>
          </w:p>
        </w:tc>
        <w:tc>
          <w:tcPr>
            <w:tcW w:w="5156" w:type="dxa"/>
          </w:tcPr>
          <w:p w14:paraId="6DF52AB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290-300</w:t>
            </w:r>
          </w:p>
        </w:tc>
      </w:tr>
      <w:tr w:rsidR="00F26F01" w:rsidRPr="00C33834" w14:paraId="5C4EF43D" w14:textId="77777777">
        <w:tc>
          <w:tcPr>
            <w:tcW w:w="5156" w:type="dxa"/>
          </w:tcPr>
          <w:p w14:paraId="0A31CEB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Потолок(м) </w:t>
            </w:r>
          </w:p>
        </w:tc>
        <w:tc>
          <w:tcPr>
            <w:tcW w:w="5156" w:type="dxa"/>
          </w:tcPr>
          <w:p w14:paraId="33D3B83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6000</w:t>
            </w:r>
          </w:p>
        </w:tc>
      </w:tr>
      <w:tr w:rsidR="00F26F01" w:rsidRPr="00C33834" w14:paraId="13C076AB" w14:textId="77777777">
        <w:tc>
          <w:tcPr>
            <w:tcW w:w="5156" w:type="dxa"/>
            <w:tcBorders>
              <w:bottom w:val="single" w:sz="12" w:space="0" w:color="auto"/>
            </w:tcBorders>
          </w:tcPr>
          <w:p w14:paraId="5BFCB55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полета (км)</w:t>
            </w:r>
          </w:p>
        </w:tc>
        <w:tc>
          <w:tcPr>
            <w:tcW w:w="5156" w:type="dxa"/>
            <w:tcBorders>
              <w:bottom w:val="single" w:sz="12" w:space="0" w:color="auto"/>
            </w:tcBorders>
          </w:tcPr>
          <w:p w14:paraId="08C54A4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3250-6000</w:t>
            </w:r>
          </w:p>
        </w:tc>
      </w:tr>
    </w:tbl>
    <w:p w14:paraId="599539E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Подписано с таким названием: "Главный конструктор Григорович 28 ноября 1933 г".</w:t>
      </w:r>
    </w:p>
    <w:p w14:paraId="4CDB9DE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Постепенно Д.П.Григорович переключился на другие работы, в частности на создание истребителей с динамо-реактивными пушками, поэтому техническое руководство процессом создания Сталь-МАИ спустя некоторое время перешло к П.Д.Грушину. В 1933 г. в институте окончательно оформилось конструкторское бюро, которое получило официальное наименование ОКБ-1 и в дальнейшем функционировало как полноценное КБ с главным конструктором Грушиным во главе (11941).</w:t>
      </w:r>
    </w:p>
    <w:p w14:paraId="20455CD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2008821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октября 1933 на заводе 22 состоялось совещание по вопросу дефектов ТБ-3, на котором военные представили их перечень (2264).</w:t>
      </w:r>
    </w:p>
    <w:p w14:paraId="0173BD9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503C3E4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октября 1933 4 ТБ-1 с торпедами и 4 ТБ-1 с минами атаковали линкор Марат, изображавший финский броненосец Вайнемяйнен. Удар поддерживали С-62, которые ставили дымзавесы и Р-5, подавлявшие легкими бомбами и пулеметами зенитные средства, а также выливавшими ОВ из ВАП. также появились 4 И-4, которые сопровождали ТБ-1 (3413,15).</w:t>
      </w:r>
    </w:p>
    <w:p w14:paraId="322D815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16C77BE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октября 1933 цель выбрали покрупнее - линкор "Марат". Самолеты с минами должны были связать маневрирование корабля перед ударом Р-5. Добавили истребительное прикрытие: ТБ-1П сопровождали четыре И-4. Сбросили пять мин, из них всплыли две. Обе банки поставили левее, чем нужно. Р-5 отбомбились довольно удачно: из 10 практических бомб одна попала прямо в линкор.</w:t>
      </w:r>
    </w:p>
    <w:p w14:paraId="7DE87D6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 учений показал, что на "динамическое вомизометание" надежды мало - мина спускалась на парашютах так долго, что даже огромный "Марат" успевал отвернуть от нее. Был сделан вывод: "Использование МАВ-1 как активного средства для связывания маневра морской цели в условиях комбинированного удара нецелесообразно...". Досталось и торпедоносцам: "Самолет ТБ1 для низкого торпедометания малопригоден". Тоже вполне резонно - велик, тихоходен, недостаточно маневрен.</w:t>
      </w:r>
    </w:p>
    <w:p w14:paraId="5B20566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 в целом применение нового оружия сочли перспективным. В итоговом отчете записали: "Учение показало, что применение в комбинированном ударе в короткий промежуток времени таких средств, как МАВ-1, ТАН-12, штурмовиков и легких бомбардировщиков, действующих с использованием завес, как средств, маскирующих "атакующие силы, авиация способна нанести морским силам большие потери, вплоть до полного уничтожения" (12001).</w:t>
      </w:r>
    </w:p>
    <w:p w14:paraId="02A0647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5E3A42E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октября 1933 цель была покрупнее - линкор "Марат". Самолеты с минами должны были связать маневрирование корабля перед ударом Р-5. Добавили истребительное прикрытие: ТБ-1а сопровождали четыре И-4. ТБ-1а сбросили пять мин, из них всплыли две. Обе банки поставили левее, чем нужно, на 3-4 кабельтова. Р-5 отбомбились довольно удачно: из 10 практических бомб одна попала прямо в линкор.</w:t>
      </w:r>
    </w:p>
    <w:p w14:paraId="7C2486E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 учений показал, что "динамическое вомизометание" в боевой обстановке вряд ли даст практический результат - мина спускалась на парашютах так долго, что даже огромный "Марат" успевал отвернуть от нее. Был сделан вывод: "Использование МАВ-1 как активного средства для связывания маневра морской цели в условиях комбинированного удара нецелесообразно..." Досталось и торпедоносцам. В своих выводах командующий Морскими силами Балтийского моря Л.М. Галлер записал:</w:t>
      </w:r>
    </w:p>
    <w:p w14:paraId="20595D7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результате проведенного опытового учения необходимо отметить:</w:t>
      </w:r>
    </w:p>
    <w:p w14:paraId="1F633B3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Минно-торпедное оружие, применяемое с воздуха, является мощным средством нападения во взаимодействии со своими линкорами и самостоятельно против линкоров противника...</w:t>
      </w:r>
    </w:p>
    <w:p w14:paraId="3CE4053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Вероятность попадания 18" торпеды с самолета в свободно маневрирующий отдельный корабль мала...</w:t>
      </w:r>
    </w:p>
    <w:p w14:paraId="12A93DC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Следует немедленно рассмотреть вопрос о самолете- торпедоносце. так как "ТБ-1" мало соответствует этому назначению.</w:t>
      </w:r>
    </w:p>
    <w:p w14:paraId="01B43F4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Необходимо в дальнейшем значительно увеличить количество минно-торпедной авиации ВВС Балтийского моря...</w:t>
      </w:r>
    </w:p>
    <w:p w14:paraId="7AED73C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Материальная часть авиаторпед проверена недостаточно" (12002).</w:t>
      </w:r>
    </w:p>
    <w:p w14:paraId="027F1DA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61A0FBA9" w14:textId="77777777" w:rsidR="005228D6" w:rsidRPr="00C33834" w:rsidRDefault="005228D6" w:rsidP="00C33834">
      <w:pPr>
        <w:pStyle w:val="a3"/>
        <w:rPr>
          <w:color w:val="000000" w:themeColor="text1"/>
          <w:lang w:val="ru-RU"/>
        </w:rPr>
      </w:pPr>
      <w:r w:rsidRPr="00C33834">
        <w:rPr>
          <w:color w:val="000000" w:themeColor="text1"/>
          <w:lang w:val="ru-RU"/>
        </w:rPr>
        <w:t>15 октября 1933 г. Главным конструктором Григоровичем и инжене</w:t>
      </w:r>
      <w:r w:rsidRPr="00C33834">
        <w:rPr>
          <w:color w:val="000000" w:themeColor="text1"/>
          <w:lang w:val="ru-RU"/>
        </w:rPr>
        <w:softHyphen/>
        <w:t>ром П.М. Крейсоном (являлся начальни</w:t>
      </w:r>
      <w:r w:rsidRPr="00C33834">
        <w:rPr>
          <w:color w:val="000000" w:themeColor="text1"/>
          <w:lang w:val="ru-RU"/>
        </w:rPr>
        <w:softHyphen/>
        <w:t xml:space="preserve">ком бригады </w:t>
      </w:r>
      <w:r w:rsidRPr="00C33834">
        <w:rPr>
          <w:color w:val="000000" w:themeColor="text1"/>
        </w:rPr>
        <w:t>N</w:t>
      </w:r>
      <w:r w:rsidRPr="00C33834">
        <w:rPr>
          <w:color w:val="000000" w:themeColor="text1"/>
          <w:lang w:val="ru-RU"/>
        </w:rPr>
        <w:t xml:space="preserve"> 6 ЦКБ, которая осущест</w:t>
      </w:r>
      <w:r w:rsidRPr="00C33834">
        <w:rPr>
          <w:color w:val="000000" w:themeColor="text1"/>
          <w:lang w:val="ru-RU"/>
        </w:rPr>
        <w:softHyphen/>
        <w:t>вляла весовые расчеты, взвешивание и статические испытания)был утвержден проект военного варианта РД-МАИ.</w:t>
      </w:r>
    </w:p>
    <w:p w14:paraId="77E36F7D" w14:textId="77777777" w:rsidR="005228D6" w:rsidRPr="00C33834" w:rsidRDefault="005228D6" w:rsidP="00C33834">
      <w:pPr>
        <w:pStyle w:val="a3"/>
        <w:rPr>
          <w:color w:val="000000" w:themeColor="text1"/>
          <w:lang w:val="ru-RU"/>
        </w:rPr>
      </w:pPr>
      <w:r w:rsidRPr="00C33834">
        <w:rPr>
          <w:color w:val="000000" w:themeColor="text1"/>
          <w:lang w:val="ru-RU"/>
        </w:rPr>
        <w:t>Постепенно, уже в процессе строи</w:t>
      </w:r>
      <w:r w:rsidRPr="00C33834">
        <w:rPr>
          <w:color w:val="000000" w:themeColor="text1"/>
          <w:lang w:val="ru-RU"/>
        </w:rPr>
        <w:softHyphen/>
        <w:t>тельства дальнего самолета, Григоро</w:t>
      </w:r>
      <w:r w:rsidRPr="00C33834">
        <w:rPr>
          <w:color w:val="000000" w:themeColor="text1"/>
          <w:lang w:val="ru-RU"/>
        </w:rPr>
        <w:softHyphen/>
        <w:t>вич переключился на другие работы, в частности на создание истребителей с динамо-реактивными пушками, поэто</w:t>
      </w:r>
      <w:r w:rsidRPr="00C33834">
        <w:rPr>
          <w:color w:val="000000" w:themeColor="text1"/>
          <w:lang w:val="ru-RU"/>
        </w:rPr>
        <w:softHyphen/>
        <w:t>му техническое руководство при соз</w:t>
      </w:r>
      <w:r w:rsidRPr="00C33834">
        <w:rPr>
          <w:color w:val="000000" w:themeColor="text1"/>
          <w:lang w:val="ru-RU"/>
        </w:rPr>
        <w:softHyphen/>
        <w:t>дании РД-МАИ спустя некоторое время перешло к П.Д. Грушину. В 1933 г. в институте окончательно оформилось конструкторское бюро, которое получи</w:t>
      </w:r>
      <w:r w:rsidRPr="00C33834">
        <w:rPr>
          <w:color w:val="000000" w:themeColor="text1"/>
          <w:lang w:val="ru-RU"/>
        </w:rPr>
        <w:softHyphen/>
        <w:t>ло официальное наименование ОКБ-1 и в дальнейшем функционировало как полноценное проектное подразделение с главным конструктором Грушиным во главе.</w:t>
      </w:r>
    </w:p>
    <w:p w14:paraId="6B39113C" w14:textId="77777777" w:rsidR="005228D6" w:rsidRPr="00C33834" w:rsidRDefault="005228D6" w:rsidP="00C33834">
      <w:pPr>
        <w:pStyle w:val="a3"/>
        <w:rPr>
          <w:color w:val="000000" w:themeColor="text1"/>
          <w:lang w:val="ru-RU"/>
        </w:rPr>
      </w:pPr>
      <w:r w:rsidRPr="00C33834">
        <w:rPr>
          <w:rStyle w:val="380"/>
          <w:rFonts w:ascii="Times New Roman" w:hAnsi="Times New Roman" w:cs="Times New Roman"/>
          <w:b w:val="0"/>
          <w:color w:val="000000" w:themeColor="text1"/>
          <w:sz w:val="16"/>
          <w:szCs w:val="16"/>
          <w:lang w:val="ru-RU"/>
        </w:rPr>
        <w:t>Самолет</w:t>
      </w:r>
      <w:r w:rsidRPr="00C33834">
        <w:rPr>
          <w:color w:val="000000" w:themeColor="text1"/>
          <w:lang w:val="ru-RU"/>
        </w:rPr>
        <w:t xml:space="preserve"> закончили производством в</w:t>
      </w:r>
      <w:r w:rsidRPr="00C33834">
        <w:rPr>
          <w:rStyle w:val="380"/>
          <w:rFonts w:ascii="Times New Roman" w:hAnsi="Times New Roman" w:cs="Times New Roman"/>
          <w:b w:val="0"/>
          <w:color w:val="000000" w:themeColor="text1"/>
          <w:sz w:val="16"/>
          <w:szCs w:val="16"/>
          <w:lang w:val="ru-RU"/>
        </w:rPr>
        <w:t xml:space="preserve"> мастерских института летом 1934</w:t>
      </w:r>
      <w:r w:rsidRPr="00C33834">
        <w:rPr>
          <w:color w:val="000000" w:themeColor="text1"/>
          <w:lang w:val="ru-RU"/>
        </w:rPr>
        <w:t xml:space="preserve"> г. </w:t>
      </w:r>
      <w:r w:rsidRPr="00C33834">
        <w:rPr>
          <w:rStyle w:val="380"/>
          <w:rFonts w:ascii="Times New Roman" w:hAnsi="Times New Roman" w:cs="Times New Roman"/>
          <w:b w:val="0"/>
          <w:color w:val="000000" w:themeColor="text1"/>
          <w:sz w:val="16"/>
          <w:szCs w:val="16"/>
          <w:lang w:val="ru-RU"/>
        </w:rPr>
        <w:t>Очевидно, вопрос осуществления ре</w:t>
      </w:r>
      <w:r w:rsidRPr="00C33834">
        <w:rPr>
          <w:rStyle w:val="380"/>
          <w:rFonts w:ascii="Times New Roman" w:hAnsi="Times New Roman" w:cs="Times New Roman"/>
          <w:b w:val="0"/>
          <w:color w:val="000000" w:themeColor="text1"/>
          <w:sz w:val="16"/>
          <w:szCs w:val="16"/>
          <w:lang w:val="ru-RU"/>
        </w:rPr>
        <w:softHyphen/>
        <w:t xml:space="preserve">кордных перелетов для студенческой машины на тот момент не ставился, ибо </w:t>
      </w:r>
      <w:r w:rsidRPr="00C33834">
        <w:rPr>
          <w:color w:val="000000" w:themeColor="text1"/>
          <w:lang w:val="ru-RU"/>
        </w:rPr>
        <w:t>приказом</w:t>
      </w:r>
      <w:r w:rsidRPr="00C33834">
        <w:rPr>
          <w:rStyle w:val="380"/>
          <w:rFonts w:ascii="Times New Roman" w:hAnsi="Times New Roman" w:cs="Times New Roman"/>
          <w:b w:val="0"/>
          <w:color w:val="000000" w:themeColor="text1"/>
          <w:sz w:val="16"/>
          <w:szCs w:val="16"/>
          <w:lang w:val="ru-RU"/>
        </w:rPr>
        <w:t xml:space="preserve"> по Московскому авиационному </w:t>
      </w:r>
      <w:r w:rsidRPr="00C33834">
        <w:rPr>
          <w:color w:val="000000" w:themeColor="text1"/>
          <w:lang w:val="ru-RU"/>
        </w:rPr>
        <w:t>институту №224</w:t>
      </w:r>
      <w:r w:rsidRPr="00C33834">
        <w:rPr>
          <w:rStyle w:val="380"/>
          <w:rFonts w:ascii="Times New Roman" w:hAnsi="Times New Roman" w:cs="Times New Roman"/>
          <w:b w:val="0"/>
          <w:color w:val="000000" w:themeColor="text1"/>
          <w:sz w:val="16"/>
          <w:szCs w:val="16"/>
          <w:lang w:val="ru-RU"/>
        </w:rPr>
        <w:t xml:space="preserve"> от 16 сентября 1934</w:t>
      </w:r>
      <w:r w:rsidRPr="00C33834">
        <w:rPr>
          <w:color w:val="000000" w:themeColor="text1"/>
          <w:lang w:val="ru-RU"/>
        </w:rPr>
        <w:t xml:space="preserve"> г. самолету присвоили наименование Сталь-МАИ. Журнал «Самолет» №11 за 1934 г. сообщал:</w:t>
      </w:r>
      <w:r w:rsidRPr="00C33834">
        <w:rPr>
          <w:rStyle w:val="252"/>
          <w:rFonts w:ascii="Times New Roman" w:hAnsi="Times New Roman" w:cs="Times New Roman"/>
          <w:i w:val="0"/>
          <w:color w:val="000000" w:themeColor="text1"/>
          <w:sz w:val="16"/>
          <w:szCs w:val="16"/>
          <w:lang w:val="ru-RU"/>
        </w:rPr>
        <w:t xml:space="preserve"> «19 сентября со</w:t>
      </w:r>
      <w:r w:rsidRPr="00C33834">
        <w:rPr>
          <w:rStyle w:val="252"/>
          <w:rFonts w:ascii="Times New Roman" w:hAnsi="Times New Roman" w:cs="Times New Roman"/>
          <w:i w:val="0"/>
          <w:color w:val="000000" w:themeColor="text1"/>
          <w:sz w:val="16"/>
          <w:szCs w:val="16"/>
          <w:lang w:val="ru-RU"/>
        </w:rPr>
        <w:softHyphen/>
        <w:t>стоялись летные испытания самолета Сталь-МАИ имени Алксниса. Испыты</w:t>
      </w:r>
      <w:r w:rsidRPr="00C33834">
        <w:rPr>
          <w:rStyle w:val="252"/>
          <w:rFonts w:ascii="Times New Roman" w:hAnsi="Times New Roman" w:cs="Times New Roman"/>
          <w:i w:val="0"/>
          <w:color w:val="000000" w:themeColor="text1"/>
          <w:sz w:val="16"/>
          <w:szCs w:val="16"/>
          <w:lang w:val="ru-RU"/>
        </w:rPr>
        <w:softHyphen/>
        <w:t>вающий самолет летчик Пионтковский отмечает прекрасный взлет самолета и хорошую устойчивость в воздухе».</w:t>
      </w:r>
      <w:r w:rsidRPr="00C33834">
        <w:rPr>
          <w:color w:val="000000" w:themeColor="text1"/>
          <w:lang w:val="ru-RU"/>
        </w:rPr>
        <w:t xml:space="preserve"> За</w:t>
      </w:r>
      <w:r w:rsidRPr="00C33834">
        <w:rPr>
          <w:color w:val="000000" w:themeColor="text1"/>
          <w:lang w:val="ru-RU"/>
        </w:rPr>
        <w:softHyphen/>
        <w:t>тем три полета выполнил летчик-испы</w:t>
      </w:r>
      <w:r w:rsidRPr="00C33834">
        <w:rPr>
          <w:color w:val="000000" w:themeColor="text1"/>
          <w:lang w:val="ru-RU"/>
        </w:rPr>
        <w:softHyphen/>
        <w:t>татель НИИ ВВС И.Ф. Козлов. 4 октября 1934 г. при совершении пятого по счету полета произошла авария на Централь</w:t>
      </w:r>
      <w:r w:rsidRPr="00C33834">
        <w:rPr>
          <w:color w:val="000000" w:themeColor="text1"/>
          <w:lang w:val="ru-RU"/>
        </w:rPr>
        <w:softHyphen/>
        <w:t>ном аэродроме. В этот день поднять</w:t>
      </w:r>
      <w:r w:rsidRPr="00C33834">
        <w:rPr>
          <w:color w:val="000000" w:themeColor="text1"/>
          <w:lang w:val="ru-RU"/>
        </w:rPr>
        <w:softHyphen/>
        <w:t>ся в воздух</w:t>
      </w:r>
      <w:r w:rsidRPr="00C33834">
        <w:rPr>
          <w:rStyle w:val="252"/>
          <w:rFonts w:ascii="Times New Roman" w:hAnsi="Times New Roman" w:cs="Times New Roman"/>
          <w:i w:val="0"/>
          <w:color w:val="000000" w:themeColor="text1"/>
          <w:sz w:val="16"/>
          <w:szCs w:val="16"/>
          <w:lang w:val="ru-RU"/>
        </w:rPr>
        <w:t xml:space="preserve"> на</w:t>
      </w:r>
      <w:r w:rsidRPr="00C33834">
        <w:rPr>
          <w:color w:val="000000" w:themeColor="text1"/>
          <w:lang w:val="ru-RU"/>
        </w:rPr>
        <w:t xml:space="preserve"> Сталь-МАИ готовились испытатель Пионтковский и главный конструктор Грушин. Причиной аварии стала банальная ошибка пилота, не переключившего бензокран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 (15746).</w:t>
      </w:r>
    </w:p>
    <w:p w14:paraId="07570A56" w14:textId="77777777" w:rsidR="005228D6" w:rsidRPr="00C33834" w:rsidRDefault="005228D6" w:rsidP="00C33834">
      <w:pPr>
        <w:pStyle w:val="a3"/>
        <w:rPr>
          <w:color w:val="000000" w:themeColor="text1"/>
          <w:lang w:val="ru-RU"/>
        </w:rPr>
      </w:pPr>
    </w:p>
    <w:p w14:paraId="31342922" w14:textId="77777777" w:rsidR="00347975" w:rsidRPr="00C33834" w:rsidRDefault="00347975"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15 октября 1933 г. Главным конструктором Д.П. Григоровичем и инженером П.М. Крейсоном был утвержден военный вариант Сталь-МАИ. Предусматривалась установка пулемётов ШКАС (один — для стрельбы вперед через винт, второй — для стрельбы назад-вверх) и крыльевых держателей для бомб весом до 500 кг.</w:t>
      </w:r>
    </w:p>
    <w:p w14:paraId="391AD76B" w14:textId="77777777" w:rsidR="00347975" w:rsidRPr="00C33834" w:rsidRDefault="00347975"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lastRenderedPageBreak/>
        <w:t>В то время, когда самолёт ещё строился, Григорович переключился на другие работы, в частности на создание истребителей с динамо-реактивными пушками Курчевского, поэтому техническое руководство созданием стального самолёта МАИ перешло к П.Д. Грушину. К концу 1933 г. в институте окончательно оформилось конструкторское бюро, которое получило официальное наименование ОКБ-1 и в дальнейшем функционировало как полноценное проектное подразделение во главе с главным конструктором Грушиным (17489).</w:t>
      </w:r>
    </w:p>
    <w:p w14:paraId="55C6E415" w14:textId="77777777" w:rsidR="00347975" w:rsidRPr="00C33834" w:rsidRDefault="00347975" w:rsidP="00C33834">
      <w:pPr>
        <w:spacing w:after="0" w:line="240" w:lineRule="auto"/>
        <w:jc w:val="both"/>
        <w:rPr>
          <w:rFonts w:ascii="Times New Roman" w:eastAsia="Times New Roman" w:hAnsi="Times New Roman"/>
          <w:color w:val="000000" w:themeColor="text1"/>
          <w:sz w:val="16"/>
          <w:szCs w:val="16"/>
          <w:lang w:eastAsia="ru-RU"/>
        </w:rPr>
      </w:pPr>
    </w:p>
    <w:p w14:paraId="4A28ED0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октября 1933 стал днем официального начала работ по КАИ-1, в ноябре приступили к строительству самолета. Зимой проводились статические испытания, а с февраля по апрель уже шла сборка машины. 30 апреля 1934 г. КАИ-1 был закончен и 1 мая осуществлен первый полет. Летные испытания закончились 18 августа. Есть информация, что поднимал первую машину начальник авиаотряда КАИ летчик Николаев А.Д. (12049).</w:t>
      </w:r>
    </w:p>
    <w:p w14:paraId="1F19A82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36553AC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октября 1933 Пятаковым был подготовлен:</w:t>
      </w:r>
    </w:p>
    <w:p w14:paraId="7EBDF21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СОВЕТА ТРУДА И ОБОРОНЫ СОЮЗА С. С. Р. (проект)</w:t>
      </w:r>
    </w:p>
    <w:p w14:paraId="57FD1C7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Москва, Кремль, “__"Октября 1933 г.</w:t>
      </w:r>
    </w:p>
    <w:p w14:paraId="243AFA3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Комиссия Обороны отмечает, что, наряду с заврдами</w:t>
      </w:r>
      <w:r w:rsidRPr="00C33834">
        <w:rPr>
          <w:rFonts w:ascii="Times New Roman" w:hAnsi="Times New Roman"/>
          <w:smallCaps/>
          <w:color w:val="000000" w:themeColor="text1"/>
          <w:sz w:val="16"/>
          <w:szCs w:val="16"/>
        </w:rPr>
        <w:t xml:space="preserve">, </w:t>
      </w:r>
      <w:r w:rsidRPr="00C33834">
        <w:rPr>
          <w:rFonts w:ascii="Times New Roman" w:hAnsi="Times New Roman"/>
          <w:color w:val="000000" w:themeColor="text1"/>
          <w:sz w:val="16"/>
          <w:szCs w:val="16"/>
        </w:rPr>
        <w:t>успешно выполнившимиза 9 м-цев 1333 г. свою производственную программу по основным объектам (завод № 22 - самолет ТБЗ с М17;  завод № 39 - са</w:t>
      </w:r>
      <w:r w:rsidRPr="00C33834">
        <w:rPr>
          <w:rFonts w:ascii="Times New Roman" w:hAnsi="Times New Roman"/>
          <w:color w:val="000000" w:themeColor="text1"/>
          <w:sz w:val="16"/>
          <w:szCs w:val="16"/>
        </w:rPr>
        <w:softHyphen/>
        <w:t>молет ТБ3 с М17; завод № 21 - самолет И5 с М22; завод № 24 - мотор М34, завод № 26 - мотор М17; завод № 23 - У2 с М11), тогда как не справились с поставленным им программными заданием заводы №№ 1, 31 и 29 (И7 с М17, Р6 с М17, Р5-А с М17, АНТ9 и моторы М22 и М11), что создает угрожающее положение по выполнения заданий - не только в отно</w:t>
      </w:r>
      <w:r w:rsidRPr="00C33834">
        <w:rPr>
          <w:rFonts w:ascii="Times New Roman" w:hAnsi="Times New Roman"/>
          <w:color w:val="000000" w:themeColor="text1"/>
          <w:sz w:val="16"/>
          <w:szCs w:val="16"/>
        </w:rPr>
        <w:softHyphen/>
        <w:t>шении данных заводов, но и годовой программы Глававиапрома в целом.</w:t>
      </w:r>
    </w:p>
    <w:p w14:paraId="059D23A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Отметить также явно неудовлетворительную сдачу запасных частей, как к самолетам, так и к моторам (за 9 м. 68,5% и 64%).</w:t>
      </w:r>
    </w:p>
    <w:p w14:paraId="786CE50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Констатировать, что при заметном улучшении качества основных типов самолетов и моторов (ТБЗ, Р5, И15, У2 и И17), выпускаемая заводами продукция все еще имеет существенные недостатки, осложняющие эксплоатацию и понижающие надежность материальной части в полете, основными из коих являются:</w:t>
      </w:r>
    </w:p>
    <w:p w14:paraId="049B1BF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Конструкция большинства самолетов перетяжелена;</w:t>
      </w:r>
    </w:p>
    <w:p w14:paraId="4D8C346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отмечается массовая течь радиаторов и бензокранов;</w:t>
      </w:r>
    </w:p>
    <w:p w14:paraId="16C27E2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быстро появляется люфты в соединениях;</w:t>
      </w:r>
    </w:p>
    <w:p w14:paraId="3E6E5CE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наблюдаются частые обрывы шпилек и фланцов в цилиндрах моторов М17;</w:t>
      </w:r>
    </w:p>
    <w:p w14:paraId="2AEE253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появляется трещина в лапах картеров М34</w:t>
      </w:r>
    </w:p>
    <w:p w14:paraId="0D16840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 выкрашивание баббита в шатунах того-же мотора;</w:t>
      </w:r>
    </w:p>
    <w:p w14:paraId="33D3BA3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 недостаточное давление масла в моторе М22 на малых оборотах.</w:t>
      </w:r>
    </w:p>
    <w:p w14:paraId="5C9C8AC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несмотря на двухкратное постановление С.Т.О., до сего времени не введено в серийное производство одно из крупнейших мероприятий по увеличеншз безопасности полета и улучшению эксплоатационных качеств самолетов - тормазное шасси.</w:t>
      </w:r>
    </w:p>
    <w:p w14:paraId="7C83EAB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улучшения качества продукции до сих пор не внедрено производство в массовом порядке - нержавеющей стали и сверхлегкие сплавы: электрон, магний и т.д.).</w:t>
      </w:r>
    </w:p>
    <w:p w14:paraId="6BD0A88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Вследствие отсутствия эталонов, а также выявившихся в процессе производства конструктивных недостатков, - снять с утвержденной программы по самолетостроению на 1933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F26F01" w:rsidRPr="00C33834" w14:paraId="06034788" w14:textId="77777777">
        <w:tc>
          <w:tcPr>
            <w:tcW w:w="3736" w:type="dxa"/>
            <w:tcBorders>
              <w:top w:val="single" w:sz="12" w:space="0" w:color="auto"/>
            </w:tcBorders>
            <w:shd w:val="clear" w:color="auto" w:fill="FFFFFF"/>
          </w:tcPr>
          <w:p w14:paraId="3EDE1D7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 1</w:t>
            </w:r>
          </w:p>
        </w:tc>
        <w:tc>
          <w:tcPr>
            <w:tcW w:w="3736" w:type="dxa"/>
            <w:tcBorders>
              <w:top w:val="single" w:sz="12" w:space="0" w:color="auto"/>
            </w:tcBorders>
            <w:shd w:val="clear" w:color="auto" w:fill="FFFFFF"/>
          </w:tcPr>
          <w:p w14:paraId="6A1DDAD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145</w:t>
            </w:r>
          </w:p>
        </w:tc>
        <w:tc>
          <w:tcPr>
            <w:tcW w:w="3736" w:type="dxa"/>
            <w:tcBorders>
              <w:top w:val="single" w:sz="12" w:space="0" w:color="auto"/>
            </w:tcBorders>
            <w:shd w:val="clear" w:color="auto" w:fill="FFFFFF"/>
          </w:tcPr>
          <w:p w14:paraId="1660435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самолетов И7 с М17</w:t>
            </w:r>
          </w:p>
        </w:tc>
      </w:tr>
      <w:tr w:rsidR="00F26F01" w:rsidRPr="00C33834" w14:paraId="03A471A3" w14:textId="77777777">
        <w:tc>
          <w:tcPr>
            <w:tcW w:w="3736" w:type="dxa"/>
            <w:shd w:val="clear" w:color="auto" w:fill="FFFFFF"/>
          </w:tcPr>
          <w:p w14:paraId="46DBDC5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 - 22</w:t>
            </w:r>
          </w:p>
        </w:tc>
        <w:tc>
          <w:tcPr>
            <w:tcW w:w="3736" w:type="dxa"/>
            <w:shd w:val="clear" w:color="auto" w:fill="FFFFFF"/>
          </w:tcPr>
          <w:p w14:paraId="7BA198D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3736" w:type="dxa"/>
            <w:shd w:val="clear" w:color="auto" w:fill="FFFFFF"/>
          </w:tcPr>
          <w:p w14:paraId="0171BE7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 с М34</w:t>
            </w:r>
          </w:p>
        </w:tc>
      </w:tr>
      <w:tr w:rsidR="00F26F01" w:rsidRPr="00C33834" w14:paraId="04C635DC" w14:textId="77777777">
        <w:tc>
          <w:tcPr>
            <w:tcW w:w="3736" w:type="dxa"/>
            <w:shd w:val="clear" w:color="auto" w:fill="FFFFFF"/>
          </w:tcPr>
          <w:p w14:paraId="56A8399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shd w:val="clear" w:color="auto" w:fill="FFFFFF"/>
          </w:tcPr>
          <w:p w14:paraId="0EB6C7E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3736" w:type="dxa"/>
            <w:shd w:val="clear" w:color="auto" w:fill="FFFFFF"/>
          </w:tcPr>
          <w:p w14:paraId="151FECA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 с 6М34</w:t>
            </w:r>
          </w:p>
        </w:tc>
      </w:tr>
      <w:tr w:rsidR="00F26F01" w:rsidRPr="00C33834" w14:paraId="77F1D34E" w14:textId="77777777">
        <w:tc>
          <w:tcPr>
            <w:tcW w:w="3736" w:type="dxa"/>
            <w:shd w:val="clear" w:color="auto" w:fill="FFFFFF"/>
          </w:tcPr>
          <w:p w14:paraId="430CEA1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 - " 31</w:t>
            </w:r>
          </w:p>
        </w:tc>
        <w:tc>
          <w:tcPr>
            <w:tcW w:w="3736" w:type="dxa"/>
            <w:shd w:val="clear" w:color="auto" w:fill="FFFFFF"/>
          </w:tcPr>
          <w:p w14:paraId="617CBAB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3736" w:type="dxa"/>
            <w:shd w:val="clear" w:color="auto" w:fill="FFFFFF"/>
          </w:tcPr>
          <w:p w14:paraId="0914A45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 с М34. Весь задел по АНТ9 передать ГУГВФ</w:t>
            </w:r>
          </w:p>
        </w:tc>
      </w:tr>
      <w:tr w:rsidR="00F26F01" w:rsidRPr="00C33834" w14:paraId="490D1B28" w14:textId="77777777">
        <w:tc>
          <w:tcPr>
            <w:tcW w:w="3736" w:type="dxa"/>
            <w:tcBorders>
              <w:bottom w:val="single" w:sz="12" w:space="0" w:color="auto"/>
            </w:tcBorders>
            <w:shd w:val="clear" w:color="auto" w:fill="FFFFFF"/>
          </w:tcPr>
          <w:p w14:paraId="1344438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 - " 18</w:t>
            </w:r>
          </w:p>
        </w:tc>
        <w:tc>
          <w:tcPr>
            <w:tcW w:w="3736" w:type="dxa"/>
            <w:tcBorders>
              <w:bottom w:val="single" w:sz="12" w:space="0" w:color="auto"/>
            </w:tcBorders>
            <w:shd w:val="clear" w:color="auto" w:fill="FFFFFF"/>
          </w:tcPr>
          <w:p w14:paraId="3CDF9D5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w:t>
            </w:r>
          </w:p>
        </w:tc>
        <w:tc>
          <w:tcPr>
            <w:tcW w:w="3736" w:type="dxa"/>
            <w:tcBorders>
              <w:bottom w:val="single" w:sz="12" w:space="0" w:color="auto"/>
            </w:tcBorders>
            <w:shd w:val="clear" w:color="auto" w:fill="FFFFFF"/>
          </w:tcPr>
          <w:p w14:paraId="69A3B96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с М34</w:t>
            </w:r>
          </w:p>
        </w:tc>
      </w:tr>
    </w:tbl>
    <w:p w14:paraId="16D7ACD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Предложить НКТП и НКВМ войти в К.О. к 10 Ноября со своими сообщениями о постановке на производство самолета И7 с дюралевым хвостовым оперением.</w:t>
      </w:r>
    </w:p>
    <w:p w14:paraId="6B0E8FB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 связи с быстрой модификацией предметов оборудования самолетов...под руководством и ближайшем участии потребителей, - обязанность по размещению заказов на опытные образцы утвержденного оборудования, утверждению образца, размещению заказа на опытную партию и проведению с ней войско</w:t>
      </w:r>
      <w:r w:rsidRPr="00C33834">
        <w:rPr>
          <w:rFonts w:ascii="Times New Roman" w:hAnsi="Times New Roman"/>
          <w:color w:val="000000" w:themeColor="text1"/>
          <w:sz w:val="16"/>
          <w:szCs w:val="16"/>
        </w:rPr>
        <w:softHyphen/>
        <w:t>вых эксплоатационных испытаний, возложить на УВВС.</w:t>
      </w:r>
    </w:p>
    <w:p w14:paraId="28AD4B7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Каждый новыйоб"ект внедрять всерийное производство только при наличии всех тактико-технических требований и законченного испы</w:t>
      </w:r>
      <w:r w:rsidRPr="00C33834">
        <w:rPr>
          <w:rFonts w:ascii="Times New Roman" w:hAnsi="Times New Roman"/>
          <w:color w:val="000000" w:themeColor="text1"/>
          <w:sz w:val="16"/>
          <w:szCs w:val="16"/>
        </w:rPr>
        <w:softHyphen/>
        <w:t>тания эталонов.</w:t>
      </w:r>
    </w:p>
    <w:p w14:paraId="1B35976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Изъятия из этого правила могут допускаться только при специаль</w:t>
      </w:r>
      <w:r w:rsidRPr="00C33834">
        <w:rPr>
          <w:rFonts w:ascii="Times New Roman" w:hAnsi="Times New Roman"/>
          <w:color w:val="000000" w:themeColor="text1"/>
          <w:sz w:val="16"/>
          <w:szCs w:val="16"/>
        </w:rPr>
        <w:softHyphen/>
        <w:t>ном постановлении Комиссии Обороны в каждом отдельнойм случае.</w:t>
      </w:r>
    </w:p>
    <w:p w14:paraId="71FE55E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безусловного выполнения авиапромышленностью программы 4-го квартала с покрытием всего недовыполненного за год, обязать:</w:t>
      </w:r>
    </w:p>
    <w:p w14:paraId="453393E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НКТП (Глававиапром) взять под особое наблюдение работу заво</w:t>
      </w:r>
      <w:r w:rsidRPr="00C33834">
        <w:rPr>
          <w:rFonts w:ascii="Times New Roman" w:hAnsi="Times New Roman"/>
          <w:color w:val="000000" w:themeColor="text1"/>
          <w:sz w:val="16"/>
          <w:szCs w:val="16"/>
        </w:rPr>
        <w:softHyphen/>
        <w:t>дов №№ 31, 1 и 29 и в частности:</w:t>
      </w:r>
    </w:p>
    <w:p w14:paraId="66BDFC4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По зазову № 31:</w:t>
      </w:r>
    </w:p>
    <w:p w14:paraId="2184173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Нач. ГУАП тов. КОРОЛЕВУ принять на месте все необходимые меры по укреплению завода, обеспечению всеми потребными материалами в целях полного выполнения программы.</w:t>
      </w:r>
    </w:p>
    <w:p w14:paraId="637AA61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Ввиду прорыва на заводе № 31, возловить на Северо-Кавказский Крайком ВКП(б) непосредственное наблюдение за полным выполнением за</w:t>
      </w:r>
      <w:r w:rsidRPr="00C33834">
        <w:rPr>
          <w:rFonts w:ascii="Times New Roman" w:hAnsi="Times New Roman"/>
          <w:color w:val="000000" w:themeColor="text1"/>
          <w:sz w:val="16"/>
          <w:szCs w:val="16"/>
        </w:rPr>
        <w:softHyphen/>
        <w:t>водом программы, обязав оказать заводу максимальное содействие в этом.</w:t>
      </w:r>
    </w:p>
    <w:p w14:paraId="7343954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Но заводу № 1:</w:t>
      </w:r>
    </w:p>
    <w:p w14:paraId="02C2B07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Тов. КОРОЛЕВУ Г.Е. уделить исключительное внимание заводу, в частности .установить точные календарные српоки окончания и ввода -в эксплоатапизс отдельных цехов и представить таковые к 1 ноября в К.О.</w:t>
      </w:r>
    </w:p>
    <w:p w14:paraId="01F89FD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 Закончить в </w:t>
      </w:r>
      <w:r w:rsidRPr="00C33834">
        <w:rPr>
          <w:rFonts w:ascii="Times New Roman" w:hAnsi="Times New Roman"/>
          <w:iCs/>
          <w:color w:val="000000" w:themeColor="text1"/>
          <w:sz w:val="16"/>
          <w:szCs w:val="16"/>
        </w:rPr>
        <w:t xml:space="preserve">4-и </w:t>
      </w:r>
      <w:r w:rsidRPr="00C33834">
        <w:rPr>
          <w:rFonts w:ascii="Times New Roman" w:hAnsi="Times New Roman"/>
          <w:color w:val="000000" w:themeColor="text1"/>
          <w:sz w:val="16"/>
          <w:szCs w:val="16"/>
        </w:rPr>
        <w:t>квартале строительство завода, обязав т. ГИНЗБУРГА обеспечить его всеми необходимыми материалами, рабочей силой и руководящим строительным персоналом.</w:t>
      </w:r>
    </w:p>
    <w:p w14:paraId="3A1805E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По заводу № 29:</w:t>
      </w:r>
    </w:p>
    <w:p w14:paraId="46A7F5E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ГУАП командировать на завод, сроком не менее м-ца, груп</w:t>
      </w:r>
      <w:r w:rsidRPr="00C33834">
        <w:rPr>
          <w:rFonts w:ascii="Times New Roman" w:hAnsi="Times New Roman"/>
          <w:color w:val="000000" w:themeColor="text1"/>
          <w:sz w:val="16"/>
          <w:szCs w:val="16"/>
        </w:rPr>
        <w:softHyphen/>
        <w:t>пу ответственных специалистов и Зам. Нач. ГУАП т. БЕЛЕНКОВИЧА для конкретной производственной помощи заводу.</w:t>
      </w:r>
    </w:p>
    <w:p w14:paraId="3491D34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Обязать ГУАП тов. КОРОЛЕВА и персонально всех директоров за</w:t>
      </w:r>
      <w:r w:rsidRPr="00C33834">
        <w:rPr>
          <w:rFonts w:ascii="Times New Roman" w:hAnsi="Times New Roman"/>
          <w:color w:val="000000" w:themeColor="text1"/>
          <w:sz w:val="16"/>
          <w:szCs w:val="16"/>
        </w:rPr>
        <w:softHyphen/>
        <w:t>водов авиапромышленности обеспечить полное выполнение программы по запчастям.</w:t>
      </w:r>
    </w:p>
    <w:p w14:paraId="5962DFE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 Обязать НКТП проверить всю деятельность Научно-Исследователь</w:t>
      </w:r>
      <w:r w:rsidRPr="00C33834">
        <w:rPr>
          <w:rFonts w:ascii="Times New Roman" w:hAnsi="Times New Roman"/>
          <w:color w:val="000000" w:themeColor="text1"/>
          <w:sz w:val="16"/>
          <w:szCs w:val="16"/>
        </w:rPr>
        <w:softHyphen/>
        <w:t>ских учреждений ГУАП (ЦАГИ, ЦИАМ и ВИАМ), в целя выяснения связи с заводами и их технического обслуживания, представив К.О. в месячный срок подробный доклад и проект необходимых мероприятий.</w:t>
      </w:r>
    </w:p>
    <w:p w14:paraId="4135431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Отметить недопустимую волокиту, проявленную ЦАГИ в отношении проработки образцов (особенно по ТБ3 с М34) и обязать т. КОРОЛЕВА лично обеспечить надлежащие темпы работы Института в отношении проверки и выпуска образцов - эталонов.</w:t>
      </w:r>
    </w:p>
    <w:p w14:paraId="335C9C5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1У. Обязать НКТП (ГУАП) немедленно приступить к усовершенствованию аэродромного хозяйств (планировка посадочных площадок, мелиоративные работы, постройка бензохранилищ, механизация обслуживания и т.д.) и представить к 1 ноября в КО исчерпывающую программу по приведению этого хозяйства в порядок...</w:t>
      </w:r>
    </w:p>
    <w:p w14:paraId="02E638D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ватманской бумаги 60.000 листов.</w:t>
      </w:r>
    </w:p>
    <w:p w14:paraId="551EEF9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У1. В целях своевременной подготовки к 1934г. - обязать НКТП (ГУАП) совместно с НКВоенмором немедленно приступить к проработке всего плана 1934 года и наметить все необходимые ме</w:t>
      </w:r>
      <w:r w:rsidRPr="00C33834">
        <w:rPr>
          <w:rFonts w:ascii="Times New Roman" w:hAnsi="Times New Roman"/>
          <w:color w:val="000000" w:themeColor="text1"/>
          <w:sz w:val="16"/>
          <w:szCs w:val="16"/>
        </w:rPr>
        <w:softHyphen/>
        <w:t>роприятия, обеспечизазцие выполнение программы 1934 года как в части строительства, так и всех видов снабжения и внести в К.О. к 10 Ноября.</w:t>
      </w:r>
    </w:p>
    <w:p w14:paraId="1EDA2DC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Наркомвоенмор в декадный срок уточнить и пред</w:t>
      </w:r>
      <w:r w:rsidRPr="00C33834">
        <w:rPr>
          <w:rFonts w:ascii="Times New Roman" w:hAnsi="Times New Roman"/>
          <w:color w:val="000000" w:themeColor="text1"/>
          <w:sz w:val="16"/>
          <w:szCs w:val="16"/>
        </w:rPr>
        <w:softHyphen/>
        <w:t>ставить свой заказ авиапромышленности на 1934 год (4191,94).</w:t>
      </w:r>
    </w:p>
    <w:p w14:paraId="331B056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AC3A82" w14:textId="77777777" w:rsidR="003026DB" w:rsidRPr="00C33834" w:rsidRDefault="003026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15 октября 1933 г. Протокол ПБ № 147 п.16: О дирижабле В-3 "Красная Звезда" (Антипов, Прокофьев, Уншлихт) - ОП. Решено принять с поправками внесенный комиссией проект постановления о дирижабле В-3 "Красная Звезда". В постановлении говорилось: "1. Констатировать, что происшедшая 3 сентября катастрофа дирижабля В-3 "Красная Звезда" явилась следствием небрежной и преступной подготовки дирижабля к полету. Начальником порта Куприяновым, командиром корабля Мейснером, его помощником Шнейдерманом, непосредственно отвечающими за организацию полета, были допущены следующие явно преступные действия: а) учебно-тренировочный полет дирижабля В-3 был проработан совершенно недостаточно; летный состав перед полетом в должной мере проинструктирован не был; б) корабль не был обеспечен опытным руководством аэронавигационной службы; в) полет совершался без метеорологических сводок и необходимых карт. 2. Дирижаблестрой, в лице Фельдмана, не обеспечил правильной постановки учебно-тренировочных полетов, не организовал технически грамотной эксплуатационной службы в Московском порту дирижаблей. 3. Главная инспекция Аэрофлота также не обеспечила должного наблюдения и контроля за состоянием эксплуатационной работы Дирижаблестроя." Центральный Комитет ВКП(б) постановляет: 1) Обязать начальника Главного управления Гражданского воздушного флота Уншлихта в кратчайший срок привести в полный порядок эксплуатационную службу Дирижаблестроя и организовать строгий контроль над ней со стороны Главной инспекции. 2) Предложить Уншлихту привлечь к уголовной ответственности отстраненного от должности начальника порта Куприянова, ответственного за преступную организацию полета дирижабля "Красная Звезда". 3) Начальнику Дирижаблестроя Фельдману за отсутствие должного руководства постановкой учебно-тренировочных полетов, за крайнюю неорганизованность эксплуатационной службы в Московском порту - объявить строгий выговор. 4) Принять к сведению приказ ГУГВФ, согласно которому командир корабля Мейснер, его помощник Шнейдерман привлечены к уголовной ответственности. 5) Обязать Центральную аварийную </w:t>
      </w:r>
      <w:r w:rsidRPr="00C33834">
        <w:rPr>
          <w:rFonts w:ascii="Times New Roman" w:hAnsi="Times New Roman"/>
          <w:color w:val="000000" w:themeColor="text1"/>
          <w:sz w:val="16"/>
          <w:szCs w:val="16"/>
        </w:rPr>
        <w:lastRenderedPageBreak/>
        <w:t>комиссию в двухдекадный срок рассмотреть материалы всех аварий дирижаблей ГУГВФ и разработать соответствующие мероприятия по полному обеспечению правильной эксплуатации материальной части и безопасности воздушных полетов. 6) Поручить Ворошилову расследовать дело об обстреле дирижабля и сообщить о результатах в ЦК (15954).</w:t>
      </w:r>
    </w:p>
    <w:p w14:paraId="204D5622" w14:textId="77777777" w:rsidR="003026DB" w:rsidRPr="00C33834" w:rsidRDefault="003026DB" w:rsidP="00C33834">
      <w:pPr>
        <w:spacing w:after="0" w:line="240" w:lineRule="auto"/>
        <w:jc w:val="both"/>
        <w:rPr>
          <w:rFonts w:ascii="Times New Roman" w:hAnsi="Times New Roman"/>
          <w:color w:val="000000" w:themeColor="text1"/>
          <w:sz w:val="16"/>
          <w:szCs w:val="16"/>
        </w:rPr>
      </w:pPr>
    </w:p>
    <w:p w14:paraId="51EE2613" w14:textId="77777777" w:rsidR="003026DB" w:rsidRPr="00C33834" w:rsidRDefault="003026DB" w:rsidP="00C33834">
      <w:pPr>
        <w:pStyle w:val="rtejustify"/>
        <w:spacing w:before="0" w:after="0"/>
        <w:rPr>
          <w:color w:val="000000" w:themeColor="text1"/>
          <w:sz w:val="16"/>
          <w:szCs w:val="16"/>
        </w:rPr>
      </w:pPr>
      <w:r w:rsidRPr="00C33834">
        <w:rPr>
          <w:rStyle w:val="af0"/>
          <w:bCs/>
          <w:i w:val="0"/>
          <w:color w:val="000000" w:themeColor="text1"/>
          <w:sz w:val="16"/>
          <w:szCs w:val="16"/>
        </w:rPr>
        <w:t>15 октября</w:t>
      </w:r>
      <w:r w:rsidRPr="00C33834">
        <w:rPr>
          <w:color w:val="000000" w:themeColor="text1"/>
          <w:sz w:val="16"/>
          <w:szCs w:val="16"/>
        </w:rPr>
        <w:t xml:space="preserve"> 1933. Протокол заседания Политбюро ЦК ВКП (б) № 147. </w:t>
      </w:r>
      <w:hyperlink r:id="rId338" w:anchor="showunit&amp;id=87979" w:history="1">
        <w:r w:rsidRPr="00C33834">
          <w:rPr>
            <w:rStyle w:val="a5"/>
            <w:color w:val="000000" w:themeColor="text1"/>
            <w:sz w:val="16"/>
            <w:szCs w:val="16"/>
          </w:rPr>
          <w:t>3. О договоре с «Люфтганзой»</w:t>
        </w:r>
      </w:hyperlink>
      <w:r w:rsidRPr="00C33834">
        <w:rPr>
          <w:color w:val="000000" w:themeColor="text1"/>
          <w:sz w:val="16"/>
          <w:szCs w:val="16"/>
        </w:rPr>
        <w:t xml:space="preserve"> (Уншлихт, Сокольников, 3. Беленький, Элиава) (ПБ от 1 октября 1933 г., пр. № 146, п. 36). — ОП. Решено: а) Считая в принципе приемлемым предложение комиссии, предложить Уншлихту и Сокольникову представить в Политбюро экономический расчет в двухнедельный срок. б) Против переговоров с "Люфтганзой" в установленных комиссией пределах не возражать. </w:t>
      </w:r>
      <w:hyperlink r:id="rId339" w:anchor="showunit&amp;id=87964" w:history="1">
        <w:r w:rsidRPr="00C33834">
          <w:rPr>
            <w:rStyle w:val="a5"/>
            <w:color w:val="000000" w:themeColor="text1"/>
            <w:sz w:val="16"/>
            <w:szCs w:val="16"/>
          </w:rPr>
          <w:t>16. О дирижабле В</w:t>
        </w:r>
        <w:r w:rsidRPr="00C33834">
          <w:rPr>
            <w:rStyle w:val="a5"/>
            <w:color w:val="000000" w:themeColor="text1"/>
            <w:sz w:val="16"/>
            <w:szCs w:val="16"/>
          </w:rPr>
          <w:noBreakHyphen/>
          <w:t>3 «Красная звезда»</w:t>
        </w:r>
      </w:hyperlink>
      <w:r w:rsidRPr="00C33834">
        <w:rPr>
          <w:color w:val="000000" w:themeColor="text1"/>
          <w:sz w:val="16"/>
          <w:szCs w:val="16"/>
        </w:rPr>
        <w:t xml:space="preserve"> (Антипов, Прокофьев, Уншлихт). — ОП. Решено принять с поправками внесенный комиссией проект постановления о дирижабле В</w:t>
      </w:r>
      <w:r w:rsidRPr="00C33834">
        <w:rPr>
          <w:color w:val="000000" w:themeColor="text1"/>
          <w:sz w:val="16"/>
          <w:szCs w:val="16"/>
        </w:rPr>
        <w:noBreakHyphen/>
        <w:t>3 “Красная Звезда”. В постановлении говорилось: «1. Констатировать, что происшедшая 3 сентября катастрофа дирижабля В</w:t>
      </w:r>
      <w:r w:rsidRPr="00C33834">
        <w:rPr>
          <w:color w:val="000000" w:themeColor="text1"/>
          <w:sz w:val="16"/>
          <w:szCs w:val="16"/>
        </w:rPr>
        <w:noBreakHyphen/>
        <w:t>3 “Красная Звезда” явилась следствием небрежной и преступной подготовки дирижабля к полету. Начальником порта Куприяновым, командиром корабля Мейснером, его помощником Шнейдерманом, непосредственно отвечающими за организацию полета, были допущены следующие явно преступные действия: а) учебно-тренировочный полет дирижабля В</w:t>
      </w:r>
      <w:r w:rsidRPr="00C33834">
        <w:rPr>
          <w:color w:val="000000" w:themeColor="text1"/>
          <w:sz w:val="16"/>
          <w:szCs w:val="16"/>
        </w:rPr>
        <w:noBreakHyphen/>
        <w:t xml:space="preserve">3 был проработан совершенно недостаточно; летный состав перед полетом в должной мере проинструктирован не был; б) корабль не был обеспечен опытным руководством аэронавигационной службы; в) полет совершался без метеорологических сводок и необходимых карт. 2. Дирижаблестрой, в лице Фельдмана, не обеспечил правильной постановки учебно-тренировочных полетов, не организовал технически грамотной эксплуатационной службы в Московском порту дирижаблей. 3. Главная инспекция Аэрофлота также не обеспечила должного наблюдения и контроля за состоянием эксплуатационной работы Дирижаблестроя.» Центральный Комитет ВКП(б) постановляет: 1) Обязать начальника Главного управления Гражданского воздушного флота Уншлихта в кратчайший срок привести в полный порядок эксплуатационную службу Дирижаблестроя и организовать строгий контроль над ней со стороны Главной инспекции. 2) Предложить Уншлихту привлечь к уголовной ответственности отстраненного от должности начальника порта Куприянова, ответственного за преступную организацию полета дирижабля “Красная Звезда”. 3) Начальнику Дирижаблестроя Фельдману за отсутствие должного руководства постановкой учебно-тренировочных полетов, за крайнюю неорганизованность эксплуатационной службы в Московском порту — объявить строгий выговор. 4) Принять к сведению приказ ГУГВФ, согласно которому командир корабля Мейснер, его помощник Шнейдерман привлечены к уголовной ответственности. 5) Обязать Центральную аварийную комиссию в двухдекадный срок рассмотреть материалы всех аварий дирижаблей ГУГВФ и разработать соответствующие мероприятия по полному обеспечению правильной эксплуатации материальной части и безопасности воздушных полетов. 6) Поручить Ворошилову расследовать дело об обстреле дирижабля и сообщить о результатах в ЦК» (см. приложение). </w:t>
      </w:r>
      <w:hyperlink r:id="rId340" w:anchor="showunit&amp;id=88031" w:history="1">
        <w:r w:rsidRPr="00C33834">
          <w:rPr>
            <w:rStyle w:val="a5"/>
            <w:color w:val="000000" w:themeColor="text1"/>
            <w:sz w:val="16"/>
            <w:szCs w:val="16"/>
          </w:rPr>
          <w:t>77/54. О гелии.</w:t>
        </w:r>
      </w:hyperlink>
      <w:r w:rsidRPr="00C33834">
        <w:rPr>
          <w:color w:val="000000" w:themeColor="text1"/>
          <w:sz w:val="16"/>
          <w:szCs w:val="16"/>
        </w:rPr>
        <w:t xml:space="preserve"> (ПБ от 13 сентября 1933 г., пр. № 145, п. 125/109). — ОП. Решено, вo изменение постановления ПБ от 13</w:t>
      </w:r>
      <w:r w:rsidRPr="00C33834">
        <w:rPr>
          <w:color w:val="000000" w:themeColor="text1"/>
          <w:sz w:val="16"/>
          <w:szCs w:val="16"/>
        </w:rPr>
        <w:noBreakHyphen/>
        <w:t>9</w:t>
      </w:r>
      <w:r w:rsidRPr="00C33834">
        <w:rPr>
          <w:color w:val="000000" w:themeColor="text1"/>
          <w:sz w:val="16"/>
          <w:szCs w:val="16"/>
        </w:rPr>
        <w:noBreakHyphen/>
        <w:t xml:space="preserve">1933, возложить ответственность за организацию работ по улавливанию гелия в скважине 108 (Артемовск) на Нестерова (Главгаз). </w:t>
      </w:r>
      <w:hyperlink r:id="rId341" w:anchor="showunit&amp;id=87896" w:history="1">
        <w:r w:rsidRPr="00C33834">
          <w:rPr>
            <w:rStyle w:val="a5"/>
            <w:color w:val="000000" w:themeColor="text1"/>
            <w:sz w:val="16"/>
            <w:szCs w:val="16"/>
          </w:rPr>
          <w:t>98/62. О перевозках стройматериалов для НКВМ</w:t>
        </w:r>
      </w:hyperlink>
      <w:r w:rsidRPr="00C33834">
        <w:rPr>
          <w:color w:val="000000" w:themeColor="text1"/>
          <w:sz w:val="16"/>
          <w:szCs w:val="16"/>
        </w:rPr>
        <w:t xml:space="preserve"> (ПБ от 22 сентября 1933 г.). — ОП. Решено обязать НКПС безусловно обеспечить строительство взлетно-посадочных площадок Наркомата по военным и морским делам перевозкой в октябре 20 000 вагонов стройматериалов. </w:t>
      </w:r>
      <w:hyperlink r:id="rId342" w:anchor="showunit&amp;id=87911" w:history="1">
        <w:r w:rsidRPr="00C33834">
          <w:rPr>
            <w:rStyle w:val="a5"/>
            <w:color w:val="000000" w:themeColor="text1"/>
            <w:sz w:val="16"/>
            <w:szCs w:val="16"/>
          </w:rPr>
          <w:t>110/87. Вопрос КО</w:t>
        </w:r>
      </w:hyperlink>
      <w:r w:rsidRPr="00C33834">
        <w:rPr>
          <w:color w:val="000000" w:themeColor="text1"/>
          <w:sz w:val="16"/>
          <w:szCs w:val="16"/>
        </w:rPr>
        <w:t xml:space="preserve"> (ПБ от 11 октября 1933 г.). — ОП. Решено утвердить постановление КО об отпуске в IV кв. 1933 г. из резерва СНК 5 млн. руб. и выделении дополнительного импортного контингента — 50 тыс. руб. Двигательстрою. </w:t>
      </w:r>
      <w:hyperlink r:id="rId343" w:anchor="showunit&amp;id=87927" w:history="1">
        <w:r w:rsidRPr="00C33834">
          <w:rPr>
            <w:rStyle w:val="a5"/>
            <w:color w:val="000000" w:themeColor="text1"/>
            <w:sz w:val="16"/>
            <w:szCs w:val="16"/>
          </w:rPr>
          <w:t>125/102. О взаимоотношениях с немецкими компаниями</w:t>
        </w:r>
      </w:hyperlink>
      <w:r w:rsidRPr="00C33834">
        <w:rPr>
          <w:color w:val="000000" w:themeColor="text1"/>
          <w:sz w:val="16"/>
          <w:szCs w:val="16"/>
        </w:rPr>
        <w:t xml:space="preserve"> (ПБ от 13 октября 1933 г.). — ОП. Решено считать установку Литвинова правильной — руководствоваться во взаимоотношениях с компаниями исключительно хозяйственными соображениями (15462).</w:t>
      </w:r>
    </w:p>
    <w:p w14:paraId="38378AEF" w14:textId="77777777" w:rsidR="003026DB" w:rsidRPr="00C33834" w:rsidRDefault="003026DB" w:rsidP="00C33834">
      <w:pPr>
        <w:pStyle w:val="rtejustify"/>
        <w:spacing w:before="0" w:after="0"/>
        <w:rPr>
          <w:color w:val="000000" w:themeColor="text1"/>
          <w:sz w:val="16"/>
          <w:szCs w:val="16"/>
        </w:rPr>
      </w:pPr>
    </w:p>
    <w:p w14:paraId="45D9B91B"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октября 1933</w:t>
      </w:r>
    </w:p>
    <w:p w14:paraId="4C9F292F"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Протокол № 147 заседания Политбюро ЦК ВКП(б) от 15 октября 1933 года</w:t>
      </w:r>
    </w:p>
    <w:p w14:paraId="10FBCAE4"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Заседание Политбюро ЦК ВКП(б) от 15</w:t>
      </w:r>
      <w:r w:rsidRPr="00C33834">
        <w:rPr>
          <w:rFonts w:ascii="Times New Roman" w:hAnsi="Times New Roman"/>
          <w:color w:val="000000" w:themeColor="text1"/>
          <w:sz w:val="16"/>
          <w:szCs w:val="16"/>
        </w:rPr>
        <w:noBreakHyphen/>
        <w:t>го октября 1933 года.</w:t>
      </w:r>
    </w:p>
    <w:p w14:paraId="26A34600"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3: О договоре с “Люфтганзой”</w:t>
      </w:r>
    </w:p>
    <w:p w14:paraId="60C1382D"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(ПБ от 1.X.33 г., пр. № 146, п. 3-б).</w:t>
      </w:r>
    </w:p>
    <w:p w14:paraId="6F950FCE"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(Уншлихт, Сокольников, Беленький 3., Элиава).</w:t>
      </w:r>
    </w:p>
    <w:p w14:paraId="448C3C89"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 особая папка.</w:t>
      </w:r>
    </w:p>
    <w:p w14:paraId="52FB206C"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Считая в принципе приемлемым предложение комиссии, предложить т.т. Уншлихту и Сокольникову представить в Политбюро экономический расчет в 2</w:t>
      </w:r>
      <w:r w:rsidRPr="00C33834">
        <w:rPr>
          <w:rFonts w:ascii="Times New Roman" w:hAnsi="Times New Roman"/>
          <w:color w:val="000000" w:themeColor="text1"/>
          <w:sz w:val="16"/>
          <w:szCs w:val="16"/>
        </w:rPr>
        <w:noBreakHyphen/>
        <w:t>недельный срок.</w:t>
      </w:r>
    </w:p>
    <w:p w14:paraId="0717A21C"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Против переговоров с “Люфтганзой” в установленных комиссией пределах не возражать.</w:t>
      </w:r>
    </w:p>
    <w:p w14:paraId="30B2BB9A"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Выписки посланы:</w:t>
      </w:r>
    </w:p>
    <w:p w14:paraId="53D3DBF6"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Уншлихту, Сокольникову, Элиаве, Беленькому 3.</w:t>
      </w:r>
    </w:p>
    <w:p w14:paraId="01AA3E1E"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16: О дирижабле В-3 “Красная Звезда”</w:t>
      </w:r>
    </w:p>
    <w:p w14:paraId="7B1DBEE4"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(Антипов, Прокофьев, Уншлихт).</w:t>
      </w:r>
    </w:p>
    <w:p w14:paraId="3F31214C"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 особая папка.</w:t>
      </w:r>
    </w:p>
    <w:p w14:paraId="5AD73859"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с поправками внесенный комиссией проект постановления о дирижабле В</w:t>
      </w:r>
      <w:r w:rsidRPr="00C33834">
        <w:rPr>
          <w:rFonts w:ascii="Times New Roman" w:hAnsi="Times New Roman"/>
          <w:color w:val="000000" w:themeColor="text1"/>
          <w:sz w:val="16"/>
          <w:szCs w:val="16"/>
        </w:rPr>
        <w:noBreakHyphen/>
        <w:t>3 “Красная Звезда” (</w:t>
      </w:r>
      <w:hyperlink r:id="rId344" w:history="1">
        <w:r w:rsidRPr="00C33834">
          <w:rPr>
            <w:rFonts w:ascii="Times New Roman" w:hAnsi="Times New Roman"/>
            <w:color w:val="000000" w:themeColor="text1"/>
            <w:sz w:val="16"/>
            <w:szCs w:val="16"/>
          </w:rPr>
          <w:t>см. приложение № 1</w:t>
        </w:r>
        <w:r w:rsidRPr="00C33834">
          <w:rPr>
            <w:rFonts w:ascii="Times New Roman" w:hAnsi="Times New Roman"/>
            <w:color w:val="000000" w:themeColor="text1"/>
            <w:sz w:val="16"/>
            <w:szCs w:val="16"/>
          </w:rPr>
          <w:noBreakHyphen/>
          <w:t>ОП</w:t>
        </w:r>
      </w:hyperlink>
      <w:r w:rsidRPr="00C33834">
        <w:rPr>
          <w:rFonts w:ascii="Times New Roman" w:hAnsi="Times New Roman"/>
          <w:color w:val="000000" w:themeColor="text1"/>
          <w:sz w:val="16"/>
          <w:szCs w:val="16"/>
        </w:rPr>
        <w:t>).</w:t>
      </w:r>
    </w:p>
    <w:p w14:paraId="0D99A313"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Выписки посланы:</w:t>
      </w:r>
    </w:p>
    <w:p w14:paraId="5A11C33A"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Фельдману (Дирижаблестрой), Уншлихту, Ворошилову;</w:t>
      </w:r>
    </w:p>
    <w:p w14:paraId="767B722A"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председателю Центральной Аварийной Комиссии — п. 5 из приложения.</w:t>
      </w:r>
    </w:p>
    <w:p w14:paraId="78D7BD40"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77/54: О гелии</w:t>
      </w:r>
    </w:p>
    <w:p w14:paraId="0784342B"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(ПБ от 13.IX.3З г., пр. № 145, п. 125/109).</w:t>
      </w:r>
    </w:p>
    <w:p w14:paraId="75D20918"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 особая папка.</w:t>
      </w:r>
    </w:p>
    <w:p w14:paraId="15B3D5C2"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изменение постановления ПБ от 13.IX.1933 г. возложить ответственность за организацию работ по улавливанию гелия в скважине 108 (Артемовск) на т. Нестерова (Главгаз).</w:t>
      </w:r>
    </w:p>
    <w:p w14:paraId="2F1C26A7"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Выписки посланы:</w:t>
      </w:r>
    </w:p>
    <w:p w14:paraId="6603B0D4"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Пятакову, Нестерову (18070).</w:t>
      </w:r>
    </w:p>
    <w:p w14:paraId="36A39EE4" w14:textId="77777777" w:rsidR="00347975" w:rsidRPr="00C33834" w:rsidRDefault="00347975" w:rsidP="00C33834">
      <w:pPr>
        <w:spacing w:after="0" w:line="240" w:lineRule="auto"/>
        <w:jc w:val="both"/>
        <w:rPr>
          <w:rFonts w:ascii="Times New Roman" w:hAnsi="Times New Roman"/>
          <w:color w:val="000000" w:themeColor="text1"/>
          <w:sz w:val="16"/>
          <w:szCs w:val="16"/>
        </w:rPr>
      </w:pPr>
    </w:p>
    <w:p w14:paraId="3E135D8E"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октября 1933</w:t>
      </w:r>
    </w:p>
    <w:p w14:paraId="07F8EA6E"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w:t>
      </w:r>
    </w:p>
    <w:p w14:paraId="73462944"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http://sovdoc.rusarchives.ru</w:t>
      </w:r>
    </w:p>
    <w:p w14:paraId="65AA1574"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Архив: </w:t>
      </w:r>
    </w:p>
    <w:p w14:paraId="4905F7CE"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РГАСПИ. Ф. 17. Оп. 162. Д. 15. Л. 105.</w:t>
      </w:r>
    </w:p>
    <w:p w14:paraId="05006C90"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 № 1-ОП</w:t>
      </w:r>
    </w:p>
    <w:p w14:paraId="7C5171CD"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 16 (о. п.) пр. ПБ № 147.</w:t>
      </w:r>
    </w:p>
    <w:p w14:paraId="5B87CD17"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дирижабле В-3 “Красная Звезда”.</w:t>
      </w:r>
    </w:p>
    <w:p w14:paraId="03D3E2DF"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Центрального Комитета ВКП/б/ от 15.Х.1933 г.</w:t>
      </w:r>
    </w:p>
    <w:p w14:paraId="72B32D9F"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Констатировать, что происшедшая 3</w:t>
      </w:r>
      <w:r w:rsidRPr="00C33834">
        <w:rPr>
          <w:rFonts w:ascii="Times New Roman" w:hAnsi="Times New Roman"/>
          <w:color w:val="000000" w:themeColor="text1"/>
          <w:sz w:val="16"/>
          <w:szCs w:val="16"/>
        </w:rPr>
        <w:noBreakHyphen/>
        <w:t>го сентября катастрофа дирижабля В</w:t>
      </w:r>
      <w:r w:rsidRPr="00C33834">
        <w:rPr>
          <w:rFonts w:ascii="Times New Roman" w:hAnsi="Times New Roman"/>
          <w:color w:val="000000" w:themeColor="text1"/>
          <w:sz w:val="16"/>
          <w:szCs w:val="16"/>
        </w:rPr>
        <w:noBreakHyphen/>
        <w:t>3 “Красная Звезда” явилась следствием небрежной и преступной подготовки дирижабля к полету.</w:t>
      </w:r>
    </w:p>
    <w:p w14:paraId="5EEA17D5"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Начальником порта т. Куприяновым, командиром корабля т. Мейснером, его помощником Шнейдерманом, непосредственно отвечающими за организацию полета, были допущены следующие явно преступные действия:</w:t>
      </w:r>
    </w:p>
    <w:p w14:paraId="55A135F2"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учебно-тренировочный полет дирижабля В</w:t>
      </w:r>
      <w:r w:rsidRPr="00C33834">
        <w:rPr>
          <w:rFonts w:ascii="Times New Roman" w:hAnsi="Times New Roman"/>
          <w:color w:val="000000" w:themeColor="text1"/>
          <w:sz w:val="16"/>
          <w:szCs w:val="16"/>
        </w:rPr>
        <w:noBreakHyphen/>
        <w:t>3 был проработан совершенно недостаточно; летный состав перед полетом в должной мере проинструктирован не был;</w:t>
      </w:r>
    </w:p>
    <w:p w14:paraId="249F7083"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корабль не был обеспечен опытным руководством аэронавигационной службы;</w:t>
      </w:r>
    </w:p>
    <w:p w14:paraId="13AC2523"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полет совершался без метеорологических сводок и необходимых карт.</w:t>
      </w:r>
    </w:p>
    <w:p w14:paraId="4E19777F"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Дирижаблестрой, в лице т. Фельдмана, не обеспечил правильной постановки учебно-тренировочных полетов, не организовал технически-грамотной эксплуатационной службы в Московском порту дирижаблей.</w:t>
      </w:r>
    </w:p>
    <w:p w14:paraId="420A1D6D"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Главная Инспекция Аэрофлота также не обеспечила должного наблюдения и контроля за состоянием эксплуатационной работы Дирижаблестроя.</w:t>
      </w:r>
    </w:p>
    <w:p w14:paraId="1917B3B8"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Центральный Комитет ВКП/б/ постановляет:</w:t>
      </w:r>
    </w:p>
    <w:p w14:paraId="3D565A82"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Обязать начальника Главного Управления Гражданского Воздушного Флота т. Уншлихта: в кратчайший срок привести в полный порядок эксплуатационную службу Дирижаблестроя и организовать строгий контроль над ней со стороны Главной Инспекции.</w:t>
      </w:r>
    </w:p>
    <w:p w14:paraId="34DAFDB3"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Предложить тов. Уншлихту привлечь к уголовной ответственности отстраненного от должности начальника порта Куприянова, ответственного за преступную организацию полета дирижабля “Красная Звезда”.</w:t>
      </w:r>
    </w:p>
    <w:p w14:paraId="50439903"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 Начальнику Дирижаблестроя т. Фельдману за отсутствие должного руководства постановкой учебно-тренировочных полетов, за крайнюю неорганизованность эксплуатационной службы в Московском порту — объявить строгий выговор.</w:t>
      </w:r>
    </w:p>
    <w:p w14:paraId="4C51F1E3"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Принять к сведению приказ ГУГВФ, согласно которого командир корабля Мейснер, его помощник Шнейдерман привлечены к уголовной ответственности.</w:t>
      </w:r>
    </w:p>
    <w:p w14:paraId="7EB97D95"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5) Обязать Центральную Аварийную комиссию в двухдекадный срок рассмотреть материалы всех аварий дирижаблей ГУГВФ и разработать соответствующие мероприятия по полному обеспечению правильной эксплуатации материальной части и безопасности воздушных полетов.</w:t>
      </w:r>
    </w:p>
    <w:p w14:paraId="2D13C174" w14:textId="77777777" w:rsidR="00347975" w:rsidRPr="00C33834" w:rsidRDefault="0034797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Поручить т. Ворошилову расследовать дело об обстреле дирижабля и сообщить о результатах в ЦК (18071).</w:t>
      </w:r>
    </w:p>
    <w:p w14:paraId="69F15096" w14:textId="77777777" w:rsidR="00347975" w:rsidRPr="00C33834" w:rsidRDefault="00347975" w:rsidP="00C33834">
      <w:pPr>
        <w:spacing w:after="0" w:line="240" w:lineRule="auto"/>
        <w:jc w:val="both"/>
        <w:rPr>
          <w:rFonts w:ascii="Times New Roman" w:eastAsia="Times New Roman" w:hAnsi="Times New Roman"/>
          <w:color w:val="000000" w:themeColor="text1"/>
          <w:sz w:val="16"/>
          <w:szCs w:val="16"/>
          <w:lang w:eastAsia="ru-RU"/>
        </w:rPr>
      </w:pPr>
    </w:p>
    <w:p w14:paraId="69AD7556" w14:textId="77777777" w:rsidR="003026DB" w:rsidRPr="00C33834" w:rsidRDefault="003026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октября 1933 г. Протокол ПБ № 147 п.143/120: О полете на дальность - ОП. Решено отложить рекордный полет нашего самолета на дальность на весну 1934 г. (15913).</w:t>
      </w:r>
    </w:p>
    <w:p w14:paraId="3E7B6532" w14:textId="77777777" w:rsidR="003026DB" w:rsidRPr="00C33834" w:rsidRDefault="003026DB" w:rsidP="00C33834">
      <w:pPr>
        <w:spacing w:after="0" w:line="240" w:lineRule="auto"/>
        <w:jc w:val="both"/>
        <w:rPr>
          <w:rFonts w:ascii="Times New Roman" w:hAnsi="Times New Roman"/>
          <w:color w:val="000000" w:themeColor="text1"/>
          <w:sz w:val="16"/>
          <w:szCs w:val="16"/>
        </w:rPr>
      </w:pPr>
    </w:p>
    <w:p w14:paraId="708C2038"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октября 1933 состоялось заседание ПБ и был оформлен протокол № 147</w:t>
      </w:r>
    </w:p>
    <w:p w14:paraId="4ABCF8B5"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О договоре с Люфтганзой</w:t>
      </w:r>
    </w:p>
    <w:p w14:paraId="4E9E150A"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(ПБ от 1.Х.33 г. Пр. № 146, п. 3 - б).</w:t>
      </w:r>
    </w:p>
    <w:p w14:paraId="2199FFF2"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(т.т.Уншлихт, Сокольников, Беленький 3., Элиава).</w:t>
      </w:r>
    </w:p>
    <w:p w14:paraId="2BFC9C31"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Считая в принципе приемлемым предложение комис</w:t>
      </w:r>
      <w:r w:rsidRPr="00C33834">
        <w:rPr>
          <w:rFonts w:ascii="Times New Roman" w:hAnsi="Times New Roman"/>
          <w:color w:val="0070C0"/>
          <w:sz w:val="16"/>
          <w:szCs w:val="16"/>
        </w:rPr>
        <w:softHyphen/>
        <w:t>сии. Предложить т.т. Уншлихту и Сокольникову представить в Политбюро экономический расчет в 2-недельный срок.</w:t>
      </w:r>
    </w:p>
    <w:p w14:paraId="1500BCE6"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Против переговоров с ’’Люфтганзой" в установлен</w:t>
      </w:r>
      <w:r w:rsidRPr="00C33834">
        <w:rPr>
          <w:rFonts w:ascii="Times New Roman" w:hAnsi="Times New Roman"/>
          <w:color w:val="0070C0"/>
          <w:sz w:val="16"/>
          <w:szCs w:val="16"/>
        </w:rPr>
        <w:softHyphen/>
        <w:t>ных комиссией пределах не возражать.</w:t>
      </w:r>
    </w:p>
    <w:p w14:paraId="585B86C4"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т.т.Уншлихту, Сокольникову, Элиаве, Беленькому 3.</w:t>
      </w:r>
    </w:p>
    <w:p w14:paraId="4A4DE46B"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 октября 1933 опросом членов ПБ</w:t>
      </w:r>
    </w:p>
    <w:p w14:paraId="2940C732"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71/48.- О Tvрции.</w:t>
      </w:r>
    </w:p>
    <w:p w14:paraId="35269957"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 ередать через делегацию, в качестве подарка Турецкой послублике от правительства СССР одно звено (3) военных самолетов Р-5 :: 1 пассажирский самолет "АНТ-9".</w:t>
      </w:r>
    </w:p>
    <w:p w14:paraId="24D55FB8"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Ворошилову ,.Литвинову, Сокольникову.</w:t>
      </w:r>
    </w:p>
    <w:p w14:paraId="28C5E9C4"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8 октября 1933 опросом членов ПБ</w:t>
      </w:r>
    </w:p>
    <w:p w14:paraId="4BA5C876"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77/54,- О гелии</w:t>
      </w:r>
    </w:p>
    <w:p w14:paraId="320842EA"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(ПБ от 13.1Х.ЗЗг., Пр. № 145, п.125/109).</w:t>
      </w:r>
    </w:p>
    <w:p w14:paraId="01FBE201"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Во изменение постановления ПБ от 13.1Х.ЗЗ г. возложить ответственность за организацию работ по улавливанию гелия в скважине 103 (Артемовск) на т. Нестерова (Главгаз).</w:t>
      </w:r>
    </w:p>
    <w:p w14:paraId="3719EF6B"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Выписки_посланы: т.т. Пятакову, Нестерову.</w:t>
      </w:r>
    </w:p>
    <w:p w14:paraId="7902B868"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11 октября 1933 опросом членов ПБ</w:t>
      </w:r>
    </w:p>
    <w:p w14:paraId="78696B22"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110/37.</w:t>
      </w:r>
    </w:p>
    <w:p w14:paraId="7F3FF334"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Вопрос К.О.</w:t>
      </w:r>
    </w:p>
    <w:p w14:paraId="53621BD5"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Утвердить постановление КО об отпуске в 1У кв.1933 г. из резерва СНК 5 млн.р. и выделении дополнительного импортного контингента - 50 т.р. "Двигателвстрою”.</w:t>
      </w:r>
    </w:p>
    <w:p w14:paraId="75D2A3A6"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Базилевичу, Мирошникову.</w:t>
      </w:r>
    </w:p>
    <w:p w14:paraId="2CDD1F60"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13 октября 1933 опросом членов ПБ</w:t>
      </w:r>
    </w:p>
    <w:p w14:paraId="3A097A52"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 договоре с Манчжурском авиаобществом</w:t>
      </w:r>
    </w:p>
    <w:p w14:paraId="18A66A77"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Считать нецелесообразным утверждение дого</w:t>
      </w:r>
      <w:r w:rsidRPr="00C33834">
        <w:rPr>
          <w:rFonts w:ascii="Times New Roman" w:hAnsi="Times New Roman"/>
          <w:color w:val="0070C0"/>
          <w:sz w:val="16"/>
          <w:szCs w:val="16"/>
        </w:rPr>
        <w:softHyphen/>
        <w:t>вора с манчжурским авиаобществом; добиться отка</w:t>
      </w:r>
      <w:r w:rsidRPr="00C33834">
        <w:rPr>
          <w:rFonts w:ascii="Times New Roman" w:hAnsi="Times New Roman"/>
          <w:color w:val="0070C0"/>
          <w:sz w:val="16"/>
          <w:szCs w:val="16"/>
        </w:rPr>
        <w:softHyphen/>
        <w:t>за манчжурского общества от договора.</w:t>
      </w:r>
    </w:p>
    <w:p w14:paraId="434F266E"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Розенгольцу, Сокольникову.</w:t>
      </w:r>
    </w:p>
    <w:p w14:paraId="4E822393"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143/120. - О полете на дальность.</w:t>
      </w:r>
    </w:p>
    <w:p w14:paraId="719BA188"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Отложить рекордный полет нашего самолета на дальность на весну 1934 г.</w:t>
      </w:r>
    </w:p>
    <w:p w14:paraId="7A90C428"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Выписка послана: тов. Ворошилову.</w:t>
      </w:r>
    </w:p>
    <w:p w14:paraId="1EC22626"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октября 1933 опросом членов ПБ</w:t>
      </w:r>
    </w:p>
    <w:p w14:paraId="193E3DC6"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152/129.- О договоре с манчжурским авиаобществом.</w:t>
      </w:r>
    </w:p>
    <w:p w14:paraId="03D490BA" w14:textId="77777777" w:rsidR="00F15A76" w:rsidRPr="00C33834" w:rsidRDefault="00F15A7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Во изменение решения Пб от 12.X считать нецелесообразном утверждение договора с ман</w:t>
      </w:r>
      <w:r w:rsidRPr="00C33834">
        <w:rPr>
          <w:rFonts w:ascii="Times New Roman" w:hAnsi="Times New Roman"/>
          <w:color w:val="0070C0"/>
          <w:sz w:val="16"/>
          <w:szCs w:val="16"/>
        </w:rPr>
        <w:softHyphen/>
        <w:t>чжурским авиаобществок в его настоящей редакции. Выдвинуть, во-порых требованио об оплате за товар по скользящей мировой цене; во-вторых, требогание о подписании особого протокола сто</w:t>
      </w:r>
      <w:r w:rsidRPr="00C33834">
        <w:rPr>
          <w:rFonts w:ascii="Times New Roman" w:hAnsi="Times New Roman"/>
          <w:color w:val="0070C0"/>
          <w:sz w:val="16"/>
          <w:szCs w:val="16"/>
        </w:rPr>
        <w:softHyphen/>
        <w:t>ронами о том, что договор отпадает в случае нарушения договорного статута К.В.Ж.Д. манчжур скими властями (22997).</w:t>
      </w:r>
    </w:p>
    <w:p w14:paraId="0CC0E11A" w14:textId="77777777" w:rsidR="00F15A76" w:rsidRPr="00C33834" w:rsidRDefault="00F15A76" w:rsidP="00C33834">
      <w:pPr>
        <w:spacing w:after="0" w:line="240" w:lineRule="auto"/>
        <w:jc w:val="both"/>
        <w:rPr>
          <w:rFonts w:ascii="Times New Roman" w:hAnsi="Times New Roman"/>
          <w:color w:val="0070C0"/>
          <w:sz w:val="16"/>
          <w:szCs w:val="16"/>
        </w:rPr>
      </w:pPr>
    </w:p>
    <w:p w14:paraId="1EE5F9CC" w14:textId="77777777" w:rsidR="001F72EB" w:rsidRPr="00C33834" w:rsidRDefault="001A42D5" w:rsidP="00C33834">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7ACB74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380063DB" w14:textId="77777777" w:rsidR="003026DB" w:rsidRPr="00C33834" w:rsidRDefault="003026DB" w:rsidP="00C33834">
      <w:pPr>
        <w:spacing w:after="0" w:line="240" w:lineRule="auto"/>
        <w:jc w:val="both"/>
        <w:rPr>
          <w:rStyle w:val="af0"/>
          <w:rFonts w:ascii="Times New Roman" w:hAnsi="Times New Roman"/>
          <w:i w:val="0"/>
          <w:color w:val="000000" w:themeColor="text1"/>
          <w:sz w:val="16"/>
          <w:szCs w:val="16"/>
        </w:rPr>
      </w:pPr>
      <w:r w:rsidRPr="00C33834">
        <w:rPr>
          <w:rStyle w:val="af0"/>
          <w:rFonts w:ascii="Times New Roman" w:hAnsi="Times New Roman"/>
          <w:i w:val="0"/>
          <w:color w:val="000000" w:themeColor="text1"/>
          <w:sz w:val="16"/>
          <w:szCs w:val="16"/>
        </w:rPr>
        <w:t xml:space="preserve">15 октября 1933 г. </w:t>
      </w:r>
      <w:r w:rsidRPr="00C33834">
        <w:rPr>
          <w:rFonts w:ascii="Times New Roman" w:hAnsi="Times New Roman"/>
          <w:color w:val="000000" w:themeColor="text1"/>
          <w:sz w:val="16"/>
          <w:szCs w:val="16"/>
        </w:rPr>
        <w:t>Докладная записка Госплана СССР в Комиссию обороны СССР о кооперировании военного и гражданского производств</w:t>
      </w:r>
    </w:p>
    <w:p w14:paraId="0203979D" w14:textId="77777777" w:rsidR="003026DB" w:rsidRPr="00C33834" w:rsidRDefault="003026DB"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Совершенно секретно.</w:t>
      </w:r>
    </w:p>
    <w:p w14:paraId="5EDC0759" w14:textId="77777777" w:rsidR="003026DB" w:rsidRPr="00C33834" w:rsidRDefault="003026DB" w:rsidP="00C33834">
      <w:pPr>
        <w:pStyle w:val="rtejustify"/>
        <w:spacing w:before="0" w:after="0"/>
        <w:rPr>
          <w:color w:val="000000" w:themeColor="text1"/>
          <w:sz w:val="16"/>
          <w:szCs w:val="16"/>
        </w:rPr>
      </w:pPr>
      <w:r w:rsidRPr="00C33834">
        <w:rPr>
          <w:color w:val="000000" w:themeColor="text1"/>
          <w:sz w:val="16"/>
          <w:szCs w:val="16"/>
        </w:rPr>
        <w:t>Предстоящая война предъявит грандиозные требования на стрелковое оружие. Эти требования сейчас трудно точно определить, но ясно одно, что нам нужно готовить свою промышленность к удовлетворению потребностей фронта в любых количествах этого основного оружия пехоты.</w:t>
      </w:r>
    </w:p>
    <w:p w14:paraId="3A12CCB5" w14:textId="77777777" w:rsidR="003026DB" w:rsidRPr="00C33834" w:rsidRDefault="003026DB" w:rsidP="00C33834">
      <w:pPr>
        <w:pStyle w:val="rtejustify"/>
        <w:spacing w:before="0" w:after="0"/>
        <w:rPr>
          <w:color w:val="000000" w:themeColor="text1"/>
          <w:sz w:val="16"/>
          <w:szCs w:val="16"/>
        </w:rPr>
      </w:pPr>
      <w:r w:rsidRPr="00C33834">
        <w:rPr>
          <w:color w:val="000000" w:themeColor="text1"/>
          <w:sz w:val="16"/>
          <w:szCs w:val="16"/>
        </w:rPr>
        <w:t>Наши кадровые заводы Оружейно-пулеметного треста, реконструкция которых в основном будет закончена в 1934 г., имеют чрезвычайно большую мощность. Мощность, которая ставит наши заводы на одно из самых первых мест в мире. Мобилизационная подача на 1934 г. по трем оружейным заводам и кооперированному Подольскому механическому заводу определена правительством в 2 млн. винтовок и 120 тыс. пулеметов. Капитальные работы 1933</w:t>
      </w:r>
      <w:r w:rsidRPr="00C33834">
        <w:rPr>
          <w:color w:val="000000" w:themeColor="text1"/>
          <w:sz w:val="16"/>
          <w:szCs w:val="16"/>
        </w:rPr>
        <w:noBreakHyphen/>
        <w:t>1934 гг. делают эту подачу реальной.</w:t>
      </w:r>
    </w:p>
    <w:p w14:paraId="7E441165" w14:textId="77777777" w:rsidR="003026DB" w:rsidRPr="00C33834" w:rsidRDefault="003026DB" w:rsidP="00C33834">
      <w:pPr>
        <w:pStyle w:val="rtejustify"/>
        <w:spacing w:before="0" w:after="0"/>
        <w:rPr>
          <w:color w:val="000000" w:themeColor="text1"/>
          <w:sz w:val="16"/>
          <w:szCs w:val="16"/>
        </w:rPr>
      </w:pPr>
      <w:r w:rsidRPr="00C33834">
        <w:rPr>
          <w:color w:val="000000" w:themeColor="text1"/>
          <w:sz w:val="16"/>
          <w:szCs w:val="16"/>
        </w:rPr>
        <w:t>Тем не менее, одна только кадровая промышленность не в состоянии покрыть рост потребности армии в стрелковом оружии. Следовательно, перед нами стоит задача дальнейшего наращивания мощностей. Возможны два способа решения этой задачи. Первый способ — увеличивать мощности исключительно за счет развития кадровой промышленности, т. е. способ, которым мы разрешали задачу до сего времени. Второй способ — закончить реконструкцию кадровой промышленности в 1934 г., в дальнейшем по кадровым заводам ограничиваться самыми минимальными работами, а центр тяжести по созданию дополнительных мощностей перенести на гражданскую промышленность по методу кооперирования.</w:t>
      </w:r>
    </w:p>
    <w:p w14:paraId="145C4123" w14:textId="77777777" w:rsidR="003026DB" w:rsidRPr="00C33834" w:rsidRDefault="003026DB" w:rsidP="00C33834">
      <w:pPr>
        <w:pStyle w:val="rtejustify"/>
        <w:spacing w:before="0" w:after="0"/>
        <w:rPr>
          <w:color w:val="000000" w:themeColor="text1"/>
          <w:sz w:val="16"/>
          <w:szCs w:val="16"/>
        </w:rPr>
      </w:pPr>
      <w:r w:rsidRPr="00C33834">
        <w:rPr>
          <w:color w:val="000000" w:themeColor="text1"/>
          <w:sz w:val="16"/>
          <w:szCs w:val="16"/>
        </w:rPr>
        <w:t>Госплан СССР считает, что если до сего времени мы решали задачу первым способом, что являлось неизбежным и в основном правильным, то сейчас необходимо резко изменить курс. Сейчас, опираясь на большую мощность кадровых военных заводов, необходимо решительно взяться за внедрение производства пулеметных и винтовочных деталей на соответствующих предприятиях гражданской промышленности. Целесообразность именно этого пути подтверждается как соображениями чисто экономического и производственного, так и оборонного порядка. Приспособление гражданских предприятий под военное производство, систематически и планомерно проводимое, обеспечит стране такое количество оружия, какого нельзя получить в одной только даже самой мощной кадровой промышленности. Яркой иллюстрацией этого является Германия периода империалистической войны. На государственных оружейных заводах Германии по плану предполагалось производство винтовок в течение 5 месяцев войны довести до 1200 шт. в день. Когда же выявилась действительная потребность, было мобилизовано 100 гражданских предприятий на изготовление деталей винтовок. Мобилизация 100 частных предприятий целиком оправдала себя: в августе 1915 г. на двенадцатом месяце войны германская промышленность дала месячный выпуск в 250 тыс. винтовок. Еще более показательны результаты постановки производства пулеметов на гражданских заводах. Производство пулеметов перед войной сосредотачивалось на трех госзаводах незначительной мощности. С объявлением войны к производству пулеметов было привлечено свыше 60 гражданских предприятий. Месячное производство с 200 шт. в начале войны было доведено до 2300</w:t>
      </w:r>
      <w:r w:rsidRPr="00C33834">
        <w:rPr>
          <w:color w:val="000000" w:themeColor="text1"/>
          <w:sz w:val="16"/>
          <w:szCs w:val="16"/>
        </w:rPr>
        <w:noBreakHyphen/>
        <w:t>2400 в конце первого года войны и до 14 750 шт. в январе 1918 г. Годовой же выпуск пулеметов в 1917 г. составил свыше 100 тыс. шт., в 1918 г. — около 140 тыс. шт.</w:t>
      </w:r>
    </w:p>
    <w:p w14:paraId="323B8F7E" w14:textId="77777777" w:rsidR="003026DB" w:rsidRPr="00C33834" w:rsidRDefault="003026DB" w:rsidP="00C33834">
      <w:pPr>
        <w:pStyle w:val="rtejustify"/>
        <w:spacing w:before="0" w:after="0"/>
        <w:rPr>
          <w:color w:val="000000" w:themeColor="text1"/>
          <w:sz w:val="16"/>
          <w:szCs w:val="16"/>
        </w:rPr>
      </w:pPr>
      <w:r w:rsidRPr="00C33834">
        <w:rPr>
          <w:color w:val="000000" w:themeColor="text1"/>
          <w:sz w:val="16"/>
          <w:szCs w:val="16"/>
        </w:rPr>
        <w:t>Таковы результаты работы капиталистической промышленности. Наша социалистическая промышленность, в которой имеются самые широкие возможности подготовительной планово-мобилизационной работы, должна и может дать несравненно большие результаты с меньшими затратами времени и средств.</w:t>
      </w:r>
    </w:p>
    <w:p w14:paraId="31FC9BF5" w14:textId="77777777" w:rsidR="003026DB" w:rsidRPr="00C33834" w:rsidRDefault="003026DB" w:rsidP="00C33834">
      <w:pPr>
        <w:pStyle w:val="rtejustify"/>
        <w:spacing w:before="0" w:after="0"/>
        <w:rPr>
          <w:color w:val="000000" w:themeColor="text1"/>
          <w:sz w:val="16"/>
          <w:szCs w:val="16"/>
        </w:rPr>
      </w:pPr>
      <w:r w:rsidRPr="00C33834">
        <w:rPr>
          <w:color w:val="000000" w:themeColor="text1"/>
          <w:sz w:val="16"/>
          <w:szCs w:val="16"/>
        </w:rPr>
        <w:t>Внедрение производства деталей стрелкового оружия на гражданские заводы обойдется значительно дешевле, нежели строительство новых специальных заводов и цехов. Необходимы только тщательный подбор соответствующих предприятий и постановка на них производства деталей, наиболее родственных по технологическому процессу основной продукции предприятия. В таком случае значительная доля оборудования и площадей гражданских предприятий сможет быть использована в военное время под специальное производство, а в мирное время для выпуска нормальной продукции.</w:t>
      </w:r>
    </w:p>
    <w:p w14:paraId="42F7CEE9" w14:textId="77777777" w:rsidR="003026DB" w:rsidRPr="00C33834" w:rsidRDefault="003026DB" w:rsidP="00C33834">
      <w:pPr>
        <w:pStyle w:val="rtejustify"/>
        <w:spacing w:before="0" w:after="0"/>
        <w:rPr>
          <w:color w:val="000000" w:themeColor="text1"/>
          <w:sz w:val="16"/>
          <w:szCs w:val="16"/>
        </w:rPr>
      </w:pPr>
      <w:r w:rsidRPr="00C33834">
        <w:rPr>
          <w:color w:val="000000" w:themeColor="text1"/>
          <w:sz w:val="16"/>
          <w:szCs w:val="16"/>
        </w:rPr>
        <w:t>Дальнейшее увеличение мощностей кадровой промышленности нецелесообразно еще и потому, что оружейные заводы сейчас загружены военными заказами не более, чем на 15</w:t>
      </w:r>
      <w:r w:rsidRPr="00C33834">
        <w:rPr>
          <w:color w:val="000000" w:themeColor="text1"/>
          <w:sz w:val="16"/>
          <w:szCs w:val="16"/>
        </w:rPr>
        <w:noBreakHyphen/>
        <w:t>17% их мощности. Дальнейшее увеличение мощности при вероятной стабильности, и даже возможном снижении военных заказов в мирное время, повлечет дальнейшее уменьшение процента загрузки заводов специальными заказами и приведет таким образом к деквалификации их как кадровых оружейных заводов. Дело в том, что поддержание необходимой мобилизационной готовности военных заводов в условиях недостатка специальных заказов требует постановки на них производства гражданской продукции. Последнее дает возможность заводу сохранить его квалифицированные кадры и поддерживать оборудование и весь производственный процесс на уровне развивающейся техники. Но эта обратная ассимиляция, проведенная в широком масштабе, настолько изменяет структуру оборудования и производственного процесса, что кадровый завод по своему типу приближается к гражданскому приспособленному предприятию.</w:t>
      </w:r>
    </w:p>
    <w:p w14:paraId="37C9905E" w14:textId="77777777" w:rsidR="003026DB" w:rsidRPr="00C33834" w:rsidRDefault="003026DB" w:rsidP="00C33834">
      <w:pPr>
        <w:pStyle w:val="rtejustify"/>
        <w:spacing w:before="0" w:after="0"/>
        <w:rPr>
          <w:color w:val="000000" w:themeColor="text1"/>
          <w:sz w:val="16"/>
          <w:szCs w:val="16"/>
        </w:rPr>
      </w:pPr>
      <w:r w:rsidRPr="00C33834">
        <w:rPr>
          <w:color w:val="000000" w:themeColor="text1"/>
          <w:sz w:val="16"/>
          <w:szCs w:val="16"/>
        </w:rPr>
        <w:lastRenderedPageBreak/>
        <w:t>Все это говорит о том, что мобилизационное развертывание заводов, имеющих неполную общую загрузку и, особенно, незначительную загрузку спецзаказами, представляет несомненно немалые трудности, мало уступающие трудностям освоения отдельных деталей специально отобранными гражданскими заводами и развертывания последних в военный период. Следовательно, целесообразность создания дополнительных мощностей за счет приспособления гражданской промышленности совершенно очевидна как со стороны чисто экономической, так и со стороны военно-мобилизационной. Весь вопрос сводится лишь к тому, сможет ли наша машиностроительная промышленность справиться с задачей массового производства специальных деталей, не уступающих по своим качествам деталям, выпускаемым с военных заводов, и смогут ли наши военно-мобилизационные органы обеспечить четкую и согласованную работу кооперируемых предприятий, в результате которой должно получиться необходимое комплектное количество деталей, взаимозаменяемых и отвечающих всем необходимым условиям.</w:t>
      </w:r>
    </w:p>
    <w:p w14:paraId="4AB44A2D" w14:textId="77777777" w:rsidR="003026DB" w:rsidRPr="00C33834" w:rsidRDefault="003026DB" w:rsidP="00C33834">
      <w:pPr>
        <w:pStyle w:val="rtejustify"/>
        <w:spacing w:before="0" w:after="0"/>
        <w:rPr>
          <w:color w:val="000000" w:themeColor="text1"/>
          <w:sz w:val="16"/>
          <w:szCs w:val="16"/>
        </w:rPr>
      </w:pPr>
      <w:r w:rsidRPr="00C33834">
        <w:rPr>
          <w:color w:val="000000" w:themeColor="text1"/>
          <w:sz w:val="16"/>
          <w:szCs w:val="16"/>
        </w:rPr>
        <w:t>Наше машиностроение сделало колоссальные успехи как в смысле расширения своей производственной базы, так и в смысле изменения структуры и улучшения оборудования, что позволило нашей промышленности освоить ряд новых производств, в том числе и чрезвычайно сложных и точных (пишущие и счетные машины, велосипеды, шарикоподшипники, оптические, аэро-навигационные приборы и т. д.). Советское машиностроение достигло такого уровня, что оно в состоянии изготовлять на своих гражданских предприятиях сложнейшие виды оружия и отдельные его детали. Вся трудность привлечения гражданской промышленности к военному производству сейчас заключается уже не в недостаточности и отставании машиностроения, а в нашем неумении организовать это, используя наши плановые и производственные преимущества и возможности, и в недооценке значения разрешения этой задачи для укрепления обороноспособности.</w:t>
      </w:r>
    </w:p>
    <w:p w14:paraId="018E8CFF" w14:textId="77777777" w:rsidR="003026DB" w:rsidRPr="00C33834" w:rsidRDefault="003026DB" w:rsidP="00C33834">
      <w:pPr>
        <w:pStyle w:val="rtejustify"/>
        <w:spacing w:before="0" w:after="0"/>
        <w:rPr>
          <w:color w:val="000000" w:themeColor="text1"/>
          <w:sz w:val="16"/>
          <w:szCs w:val="16"/>
        </w:rPr>
      </w:pPr>
      <w:r w:rsidRPr="00C33834">
        <w:rPr>
          <w:color w:val="000000" w:themeColor="text1"/>
          <w:sz w:val="16"/>
          <w:szCs w:val="16"/>
        </w:rPr>
        <w:t>НКТП по вопросам кооперирования не имеет установившейся определенной точки зрения; в этом деле до настоящего времени преобладает самотек; заводы, привлекаемые к кооперированному производству, предоставлены, как правило, сами себе. Это особенно наглядно выявил опыт кооперирования Подольского механического завода с Тульским оружейным по производству винтовки. Здесь прежде всего был допущен неправильный подход к самому разрешению вопроса. Вместо того, чтобы заводу дать такое количество специально отобранных деталей, освоение которых было бы посильно для него, НКТП дает Подольскому заводу для освоения сразу 66 деталей, т. е. почти полный комплект винтовки. Вторым серьезнейшим недостатком явилось по существу отсутствие детальных рабочих чертежей. Спущенные Подольскому заводу детальные чертежи, по которым он с мая 1930 г. вел разработку технологического процесса, оказались в значительной мере устаревшими и не отражавшими действительности. Но обнаружено это было только через 1,5 года — в декабре 1931 г., когда Тульский оружейный завод вынужден был заявить, что ряд операций и деталей должны производиться не по детальным чертежам, а по выработкам с лекал. Наконец, отсутствовали определенные взаимоотношения между кооперированными заводами, вследствие чего техническая помощь и контроль со стороны Тульского завода были абсолютно недостаточны. К этим основным недостаткам необходимо прибавить, что ни ГВМУ НКТП, ни объединение «Всесчетшвеймашина» не руководили и не интересовались этим делом. Результатом этого и явилось то положение, что несмотря на затраты свыше 4 млн. руб. и длительную работу на сегодняшний день на Подольском заводе еще нет реальных мощностей.</w:t>
      </w:r>
    </w:p>
    <w:p w14:paraId="54C3D4A6" w14:textId="77777777" w:rsidR="003026DB" w:rsidRPr="00C33834" w:rsidRDefault="003026DB" w:rsidP="00C33834">
      <w:pPr>
        <w:pStyle w:val="rtejustify"/>
        <w:spacing w:before="0" w:after="0"/>
        <w:rPr>
          <w:color w:val="000000" w:themeColor="text1"/>
          <w:sz w:val="16"/>
          <w:szCs w:val="16"/>
        </w:rPr>
      </w:pPr>
      <w:r w:rsidRPr="00C33834">
        <w:rPr>
          <w:color w:val="000000" w:themeColor="text1"/>
          <w:sz w:val="16"/>
          <w:szCs w:val="16"/>
        </w:rPr>
        <w:t>Более удачной оказалась постановка производства некоторых пулеметных деталей на Пресненском механическом заводе № 3 в Москве. Заводу было предложено освоить только 3 детали. Завод при незначительных затратах (30 тыс. руб.) с меньшими техническими силами в течение 8</w:t>
      </w:r>
      <w:r w:rsidRPr="00C33834">
        <w:rPr>
          <w:color w:val="000000" w:themeColor="text1"/>
          <w:sz w:val="16"/>
          <w:szCs w:val="16"/>
        </w:rPr>
        <w:noBreakHyphen/>
        <w:t>10 мес. в основном освоил производство этих деталей.</w:t>
      </w:r>
    </w:p>
    <w:p w14:paraId="77C1BF1E" w14:textId="77777777" w:rsidR="003026DB" w:rsidRPr="00C33834" w:rsidRDefault="003026DB" w:rsidP="00C33834">
      <w:pPr>
        <w:pStyle w:val="rtejustify"/>
        <w:spacing w:before="0" w:after="0"/>
        <w:rPr>
          <w:color w:val="000000" w:themeColor="text1"/>
          <w:sz w:val="16"/>
          <w:szCs w:val="16"/>
        </w:rPr>
      </w:pPr>
      <w:r w:rsidRPr="00C33834">
        <w:rPr>
          <w:color w:val="000000" w:themeColor="text1"/>
          <w:sz w:val="16"/>
          <w:szCs w:val="16"/>
        </w:rPr>
        <w:t>Таким образом, учитывая мощности кадровых заводов и достигнутый уровень советского машиностроения, Госплан СССР считает, что внедрение производства стрелкового оружия в гражданскую промышленность является вполне возможным и наиболее целесообразным способом дальнейшего увеличения мощностей. В первую очередь на гражданских предприятиях необходимо создавать мощности по новым видам стрелкового оружия (автоматическая винтовка, крупнокалиберные и скоростные пулеметы и т. п.) и по деталям, являющимся узким местом на военных заводах. Это обеспечит удовлетворение потребностей в названном оружии без большого расширения военных заводов и без сокращения их мощности по установившимся видам оружия. Освоение производства новых видов оружия должно вестись на кадровых заводах; здесь же создается минимальная производственно-техническая база, обеспечивающая необходимый выпуск соответствующих типов оружия гражданскими заводами.</w:t>
      </w:r>
    </w:p>
    <w:p w14:paraId="5ECDCCE5" w14:textId="77777777" w:rsidR="003026DB" w:rsidRPr="00C33834" w:rsidRDefault="003026DB" w:rsidP="00C33834">
      <w:pPr>
        <w:pStyle w:val="rtejustify"/>
        <w:spacing w:before="0" w:after="0"/>
        <w:rPr>
          <w:color w:val="000000" w:themeColor="text1"/>
          <w:sz w:val="16"/>
          <w:szCs w:val="16"/>
        </w:rPr>
      </w:pPr>
      <w:r w:rsidRPr="00C33834">
        <w:rPr>
          <w:color w:val="000000" w:themeColor="text1"/>
          <w:sz w:val="16"/>
          <w:szCs w:val="16"/>
        </w:rPr>
        <w:t>К разрешению задачи кооперирования надо приступить немедленно. Необходимо уже сейчас начать отбор соответствующего количества гражданских заводов, проработку вопроса о постановке на каждом из них производства определенных деталей и определение системы взаимоотношений гражданских заводов с военными, в особенности в отношении снабжения чертежами и мерительным инструментом.</w:t>
      </w:r>
    </w:p>
    <w:p w14:paraId="183A55B8" w14:textId="77777777" w:rsidR="003026DB" w:rsidRPr="00C33834" w:rsidRDefault="003026DB" w:rsidP="00C33834">
      <w:pPr>
        <w:pStyle w:val="rtejustify"/>
        <w:spacing w:before="0" w:after="0"/>
        <w:rPr>
          <w:color w:val="000000" w:themeColor="text1"/>
          <w:sz w:val="16"/>
          <w:szCs w:val="16"/>
        </w:rPr>
      </w:pPr>
      <w:r w:rsidRPr="00C33834">
        <w:rPr>
          <w:color w:val="000000" w:themeColor="text1"/>
          <w:sz w:val="16"/>
          <w:szCs w:val="16"/>
        </w:rPr>
        <w:t>Для осуществления поставленной задачи необходима целая система организационных и производственных мероприятий, разработку которой необходимо поручить НКТП совместно с НКВМ. В соответствии с этим Госплан СССР просит утвердить прилагаемый проект постановления¹*.</w:t>
      </w:r>
    </w:p>
    <w:p w14:paraId="10F7363C" w14:textId="77777777" w:rsidR="003026DB" w:rsidRPr="00C33834" w:rsidRDefault="003026DB" w:rsidP="00C33834">
      <w:pPr>
        <w:pStyle w:val="ae"/>
        <w:spacing w:before="0" w:after="0"/>
        <w:jc w:val="both"/>
        <w:rPr>
          <w:color w:val="000000" w:themeColor="text1"/>
          <w:sz w:val="16"/>
          <w:szCs w:val="16"/>
        </w:rPr>
      </w:pPr>
      <w:r w:rsidRPr="00C33834">
        <w:rPr>
          <w:rStyle w:val="af0"/>
          <w:i w:val="0"/>
          <w:color w:val="000000" w:themeColor="text1"/>
          <w:sz w:val="16"/>
          <w:szCs w:val="16"/>
        </w:rPr>
        <w:t>Зам. председателя Госплана СССР Трояновский</w:t>
      </w:r>
    </w:p>
    <w:p w14:paraId="76E84CB9" w14:textId="77777777" w:rsidR="003026DB" w:rsidRPr="00C33834" w:rsidRDefault="003026DB"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Примечание</w:t>
      </w:r>
      <w:r w:rsidRPr="00C33834">
        <w:rPr>
          <w:color w:val="000000" w:themeColor="text1"/>
          <w:sz w:val="16"/>
          <w:szCs w:val="16"/>
        </w:rPr>
        <w:t>:</w:t>
      </w:r>
    </w:p>
    <w:p w14:paraId="48D44680" w14:textId="77777777" w:rsidR="003026DB" w:rsidRPr="00C33834" w:rsidRDefault="003026DB" w:rsidP="00C33834">
      <w:pPr>
        <w:pStyle w:val="rtejustify"/>
        <w:spacing w:before="0" w:after="0"/>
        <w:rPr>
          <w:color w:val="000000" w:themeColor="text1"/>
          <w:sz w:val="16"/>
          <w:szCs w:val="16"/>
        </w:rPr>
      </w:pPr>
      <w:r w:rsidRPr="00C33834">
        <w:rPr>
          <w:color w:val="000000" w:themeColor="text1"/>
          <w:sz w:val="16"/>
          <w:szCs w:val="16"/>
        </w:rPr>
        <w:t>¹* Проект постановления не публикуется (см. там же, л. 270).</w:t>
      </w:r>
    </w:p>
    <w:p w14:paraId="12A1688E" w14:textId="77777777" w:rsidR="003026DB" w:rsidRPr="00C33834" w:rsidRDefault="003026DB" w:rsidP="00C33834">
      <w:pPr>
        <w:pStyle w:val="ae"/>
        <w:spacing w:before="0" w:after="0"/>
        <w:jc w:val="both"/>
        <w:rPr>
          <w:color w:val="000000" w:themeColor="text1"/>
          <w:sz w:val="16"/>
          <w:szCs w:val="16"/>
        </w:rPr>
      </w:pPr>
      <w:r w:rsidRPr="00C33834">
        <w:rPr>
          <w:color w:val="000000" w:themeColor="text1"/>
          <w:sz w:val="16"/>
          <w:szCs w:val="16"/>
        </w:rPr>
        <w:t>РГАЭ. Ф. 7297. Оп. 41. Д. 73. Л. 272-271 об. Заверенная копия (15283).</w:t>
      </w:r>
    </w:p>
    <w:p w14:paraId="5534D113" w14:textId="77777777" w:rsidR="003026DB" w:rsidRPr="00C33834" w:rsidRDefault="003026DB" w:rsidP="00C33834">
      <w:pPr>
        <w:autoSpaceDE w:val="0"/>
        <w:autoSpaceDN w:val="0"/>
        <w:adjustRightInd w:val="0"/>
        <w:spacing w:after="0" w:line="240" w:lineRule="auto"/>
        <w:jc w:val="both"/>
        <w:rPr>
          <w:rFonts w:ascii="Times New Roman" w:hAnsi="Times New Roman"/>
          <w:color w:val="000000" w:themeColor="text1"/>
          <w:sz w:val="16"/>
          <w:szCs w:val="16"/>
        </w:rPr>
      </w:pPr>
    </w:p>
    <w:p w14:paraId="6645964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15 октября 1933 г было подготовлено донесение № 50699 </w:t>
      </w:r>
    </w:p>
    <w:p w14:paraId="16A3DDF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Секретарю ЦК ВКП(б)</w:t>
      </w:r>
    </w:p>
    <w:p w14:paraId="278820D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 Сталину</w:t>
      </w:r>
    </w:p>
    <w:p w14:paraId="2C6050C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ДОКЛАДНАЯ ЗАПИСКА ПО ДЕЛУ ЛИКВИДИРОВАННОЙ ГПУ УССР ГЕРМАНСКОЙ ДИВЕРСИОННО-РАЗВЕДОВАТЕЛЬНОЙ ОРГАНИЗАЦИИ (МАРИУПОЛЬ – НИКОЛАЕВ)</w:t>
      </w:r>
    </w:p>
    <w:p w14:paraId="06072A5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ГПУ УССР вскрыта и частично ликвидирована в г.г. Мариуполе и Николаеве диверсионно разведывательная организация немецкой националсоциалистической партии, работавшая под прикрытием фирмы "Контроль К°". Ячейки и резидентуры этой организации вскрыты в оборонных цехах заводов им. Ильича и "Азовстали" (Ма­риуполь), им. Марти, "им. 61", "Плуг и Молот" (Николаев), в Ма­риупольском, Бердянском, Николаевском, Херсонской и Одесском портах и в частях XV дивизии (44 стр. полк, 15 артполк).</w:t>
      </w:r>
    </w:p>
    <w:p w14:paraId="5BEF71B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Организацией руководил представитель фирмы Контроль К°" на Украине Вайнцетель Иосиф бывший австрийский офицер, австрий­ский подданный). Главными резидентами Вайнцетеля по диверсион­но-разведывательной работе являлись:</w:t>
      </w:r>
    </w:p>
    <w:p w14:paraId="0BE96E5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Кришайт Рихард - член австрийской организации нац.-соц. партии, инженер-конструктор завода "Плуг и Молот", австрийский подданный;</w:t>
      </w:r>
    </w:p>
    <w:p w14:paraId="153ACDA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Карлл Густав, бывший офицер германской армии, инженер-конструктор завода им. Марти, германский подданный;</w:t>
      </w:r>
    </w:p>
    <w:p w14:paraId="0BF1706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Штурм Альфред, прибалтийский немец, гражданин СССР, представитель конторы "Контроль К°" в г. Николаеве (арестован и сознался).</w:t>
      </w:r>
    </w:p>
    <w:p w14:paraId="4871808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важнейших секретных материалов, добытых немцами, обраща­ют на себя особое внимание данные об оборонных цехах мариуполь­ских и николаевских заводов ("А. Марти", "Плуг и Молот", "им. 61", "им. Ильича", "Азовсталь"), о строительстве подлодок и спецсудов, рецепты специальной танковой стали марок "М.М." и "М.И.", данные о состоянии XY дивизии и Мариупольского гарнизона и т.д.</w:t>
      </w:r>
    </w:p>
    <w:p w14:paraId="455D5AF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Установлено, что широкая разведывательная работа сопровож­далась подготовкой диверсий на ряде предприятий и частичным осу­ществлением диверсионных актов на заводе "им. Марти". Одновре­менно установлено, что ряд завербованных немцев-колонистов ис­пользовался для создания контрреволюционных низовых повстан­ческих ячеек. Вайнцетелем были завербованы в организацию ксенд­зы - Вагнер, Зисько и Гатенбелер, при участии которых были созда­ны к.-р. повстанческие ячейки в немецких колониях Донбасса, Одесщины и Днепропетровщины. При создании этих ячеек организация использовала старые кадры существовавшего в 1920-24 гг. в г. Ма­риуполе "Союза германцев арийской расы" (ликвидирован в 1924 году).</w:t>
      </w:r>
    </w:p>
    <w:p w14:paraId="29789DD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делу арестовано 28 человек. Большинство арестованных со­знались, в том числе непосредственные помощники Вайнцетеля -Штурм Альфред и патер Вагнер</w:t>
      </w:r>
    </w:p>
    <w:p w14:paraId="134BF33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полного вскрытия диверсионных ячеек организации счи­таем необходимым арестовать австрийских подданных - Вайнцетеля Иосифа и Кришая Рихарда и германского подданного Карлла Густава.</w:t>
      </w:r>
    </w:p>
    <w:p w14:paraId="63BF0C2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председателя ОГПУ Я. Агранов</w:t>
      </w:r>
    </w:p>
    <w:p w14:paraId="334124D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 РФ, ф.З, оп. 58, д. 242,л.89-91 (11462).</w:t>
      </w:r>
    </w:p>
    <w:p w14:paraId="652EC6D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4E8FCAB3" w14:textId="77777777" w:rsidR="003026D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7D601AA0" w14:textId="77777777" w:rsidR="003026DB" w:rsidRPr="00C33834" w:rsidRDefault="003026D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AEA7804" w14:textId="77777777" w:rsidR="003026DB" w:rsidRPr="00C33834" w:rsidRDefault="003026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октября 1933 г. Протокол ПБ № 147 п.71/48: О Турции – ОП. Решено передать через делегацию, в качестве подарка Турецкой республике от правительства СССР, одно звено (3) военных самолетов Р-5 и 1 пассажирский самолет "АНТ-9" (15912).</w:t>
      </w:r>
    </w:p>
    <w:p w14:paraId="400B1016" w14:textId="361CF82F" w:rsidR="003026DB" w:rsidRPr="00C33834" w:rsidRDefault="003026DB" w:rsidP="00C33834">
      <w:pPr>
        <w:spacing w:after="0" w:line="240" w:lineRule="auto"/>
        <w:jc w:val="both"/>
        <w:rPr>
          <w:rFonts w:ascii="Times New Roman" w:hAnsi="Times New Roman"/>
          <w:color w:val="000000" w:themeColor="text1"/>
          <w:sz w:val="16"/>
          <w:szCs w:val="16"/>
        </w:rPr>
      </w:pPr>
    </w:p>
    <w:p w14:paraId="1069EB88" w14:textId="59418F13" w:rsidR="00760051" w:rsidRPr="00C33834" w:rsidRDefault="00760051" w:rsidP="00C33834">
      <w:pPr>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За рубежом:</w:t>
      </w:r>
    </w:p>
    <w:p w14:paraId="4D8AEBF7" w14:textId="77777777" w:rsidR="00760051" w:rsidRPr="00C33834" w:rsidRDefault="00760051" w:rsidP="00C33834">
      <w:pPr>
        <w:spacing w:after="0" w:line="240" w:lineRule="auto"/>
        <w:jc w:val="both"/>
        <w:rPr>
          <w:rFonts w:ascii="Times New Roman" w:hAnsi="Times New Roman"/>
          <w:i/>
          <w:iCs/>
          <w:color w:val="000000" w:themeColor="text1"/>
          <w:sz w:val="16"/>
          <w:szCs w:val="16"/>
        </w:rPr>
      </w:pPr>
    </w:p>
    <w:p w14:paraId="3E3BFFC7" w14:textId="77777777" w:rsidR="00760051" w:rsidRPr="00C33834" w:rsidRDefault="0076005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октября 1933 впервые запускается двигатель Rolls-Royce Merlin (20802).</w:t>
      </w:r>
    </w:p>
    <w:p w14:paraId="1ED03F66" w14:textId="77777777" w:rsidR="00760051" w:rsidRPr="00C33834" w:rsidRDefault="00760051" w:rsidP="00C33834">
      <w:pPr>
        <w:spacing w:after="0" w:line="240" w:lineRule="auto"/>
        <w:jc w:val="both"/>
        <w:rPr>
          <w:rFonts w:ascii="Times New Roman" w:hAnsi="Times New Roman"/>
          <w:color w:val="0070C0"/>
          <w:sz w:val="16"/>
          <w:szCs w:val="16"/>
        </w:rPr>
      </w:pPr>
    </w:p>
    <w:p w14:paraId="037505B8"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B6922A2"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B6282E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октября 1933 был подготовлен Отчет по испытанию самолета Звена З-2. 1-я часть (6777).</w:t>
      </w:r>
    </w:p>
    <w:p w14:paraId="1D45DBC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Ведущий испытания:</w:t>
      </w:r>
    </w:p>
    <w:p w14:paraId="1C0C0ED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 инженер Фролов, Вед. летчик Залевский</w:t>
      </w:r>
    </w:p>
    <w:p w14:paraId="15A15F5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Летчики: Стефановский, Сузи, Кокинаки, Лагутин</w:t>
      </w:r>
    </w:p>
    <w:p w14:paraId="6AD43AC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Предварительные замечания</w:t>
      </w:r>
    </w:p>
    <w:p w14:paraId="6AE0469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Дальнейшее развитие идеи самолета Звена инженера Вахмистрова получило применение в разработанной им же установке на самолете ТБ3 4М17 № 22164 трех И-5 – М22 – два на плоскости и один на фюзеляже, а также двух истребителей Зет, подвешенных под плоскость.</w:t>
      </w:r>
    </w:p>
    <w:p w14:paraId="3900648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всей установки инженера Вахмистрова разбито на три части:</w:t>
      </w:r>
    </w:p>
    <w:p w14:paraId="5F1D2A8A"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верхней установки Звена, т.е. ТБ3 4М17 с одним И5, ТБ3 – 4М17 с двумя И5 и ТБ3 4М17 с тремя И5.</w:t>
      </w:r>
    </w:p>
    <w:p w14:paraId="7CF5E35E"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нижней установки самолета Звена, т.е. ТБ3 4М17 с двумя Зет подвешенными под плоскость, а также ТБ3 4М17 с двумя самолетами Зет и с двумя И5 и ТБ3 с двумя Зет и с тремя И5.</w:t>
      </w:r>
    </w:p>
    <w:p w14:paraId="00209B4B"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приспособления для посадки среднего самолета И5.</w:t>
      </w:r>
    </w:p>
    <w:p w14:paraId="7DF22F6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Настоящий отчет составлен по первой части испытаний, т.е. по верхней установке трех И5 – М22 на ТБ3 4М17.</w:t>
      </w:r>
    </w:p>
    <w:p w14:paraId="4F10CA1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52250C5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Гос. испытания «Звена Вахмистрова» ТБ3-4М17 + И5 М22, ТБ3-4М17 + два И5 М22, ТБ3-4М17 + три И5 М22 имели целью:</w:t>
      </w:r>
    </w:p>
    <w:p w14:paraId="72579D2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определить надежность подъема с самолетов И5-М22 с плоскостей самолета ТБ3-4М17;</w:t>
      </w:r>
    </w:p>
    <w:p w14:paraId="2635C84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влияние на летные данные самолета ТБ3-4М17 установки на него двух и трех самолетов И5 М22.</w:t>
      </w:r>
    </w:p>
    <w:p w14:paraId="7851FCA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7C57565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Гос. испытания З-2 пройдены вполне успешно.</w:t>
      </w:r>
    </w:p>
    <w:p w14:paraId="3D98D54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5616"/>
      </w:tblGrid>
      <w:tr w:rsidR="00F26F01" w:rsidRPr="00C33834" w14:paraId="26F3435C" w14:textId="77777777">
        <w:tc>
          <w:tcPr>
            <w:tcW w:w="3024" w:type="dxa"/>
          </w:tcPr>
          <w:p w14:paraId="2B3AADC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сентября 1933 года</w:t>
            </w:r>
          </w:p>
        </w:tc>
        <w:tc>
          <w:tcPr>
            <w:tcW w:w="5616" w:type="dxa"/>
          </w:tcPr>
          <w:p w14:paraId="052992D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Перелет в Щелково</w:t>
            </w:r>
          </w:p>
        </w:tc>
      </w:tr>
      <w:tr w:rsidR="00F26F01" w:rsidRPr="00C33834" w14:paraId="2E04A1FC" w14:textId="77777777">
        <w:tc>
          <w:tcPr>
            <w:tcW w:w="3024" w:type="dxa"/>
          </w:tcPr>
          <w:p w14:paraId="5D6BE08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сентября 1933 года</w:t>
            </w:r>
          </w:p>
        </w:tc>
        <w:tc>
          <w:tcPr>
            <w:tcW w:w="5616" w:type="dxa"/>
          </w:tcPr>
          <w:p w14:paraId="0E92BA6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Километраж и тарировка САФА самолета ТБ3-4М17</w:t>
            </w:r>
          </w:p>
        </w:tc>
      </w:tr>
      <w:tr w:rsidR="00F26F01" w:rsidRPr="00C33834" w14:paraId="41A23420" w14:textId="77777777">
        <w:tc>
          <w:tcPr>
            <w:tcW w:w="3024" w:type="dxa"/>
          </w:tcPr>
          <w:p w14:paraId="02C7015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сентября 1933 года</w:t>
            </w:r>
          </w:p>
        </w:tc>
        <w:tc>
          <w:tcPr>
            <w:tcW w:w="5616" w:type="dxa"/>
          </w:tcPr>
          <w:p w14:paraId="278C04D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Облет ТБ3 с двумя И5</w:t>
            </w:r>
          </w:p>
        </w:tc>
      </w:tr>
      <w:tr w:rsidR="00F26F01" w:rsidRPr="00C33834" w14:paraId="025FC858" w14:textId="77777777">
        <w:tc>
          <w:tcPr>
            <w:tcW w:w="3024" w:type="dxa"/>
          </w:tcPr>
          <w:p w14:paraId="06B68AD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сентября 1933 года</w:t>
            </w:r>
          </w:p>
        </w:tc>
        <w:tc>
          <w:tcPr>
            <w:tcW w:w="5616" w:type="dxa"/>
          </w:tcPr>
          <w:p w14:paraId="23F8299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Облет ТБ3 с одним И5</w:t>
            </w:r>
          </w:p>
        </w:tc>
      </w:tr>
      <w:tr w:rsidR="00F26F01" w:rsidRPr="00C33834" w14:paraId="5E5F677D" w14:textId="77777777">
        <w:tc>
          <w:tcPr>
            <w:tcW w:w="3024" w:type="dxa"/>
          </w:tcPr>
          <w:p w14:paraId="2F95869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сентября 1933 года</w:t>
            </w:r>
          </w:p>
        </w:tc>
        <w:tc>
          <w:tcPr>
            <w:tcW w:w="5616" w:type="dxa"/>
          </w:tcPr>
          <w:p w14:paraId="16588E7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Облет ТБ3 с тремя И5</w:t>
            </w:r>
          </w:p>
        </w:tc>
      </w:tr>
      <w:tr w:rsidR="00F26F01" w:rsidRPr="00C33834" w14:paraId="093EF6E1" w14:textId="77777777">
        <w:tc>
          <w:tcPr>
            <w:tcW w:w="3024" w:type="dxa"/>
          </w:tcPr>
          <w:p w14:paraId="0D121FF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сентября 1933 года</w:t>
            </w:r>
          </w:p>
        </w:tc>
        <w:tc>
          <w:tcPr>
            <w:tcW w:w="5616" w:type="dxa"/>
          </w:tcPr>
          <w:p w14:paraId="0B60523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F26F01" w:rsidRPr="00C33834" w14:paraId="3BADBDAE" w14:textId="77777777">
        <w:tc>
          <w:tcPr>
            <w:tcW w:w="3024" w:type="dxa"/>
          </w:tcPr>
          <w:p w14:paraId="4F91C29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сентября 1933 года</w:t>
            </w:r>
          </w:p>
        </w:tc>
        <w:tc>
          <w:tcPr>
            <w:tcW w:w="5616" w:type="dxa"/>
          </w:tcPr>
          <w:p w14:paraId="25E4200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горизонтальные скорости по высотам одного ТБ3-4М17 с весом 15725 кг</w:t>
            </w:r>
          </w:p>
        </w:tc>
      </w:tr>
      <w:tr w:rsidR="00F26F01" w:rsidRPr="00C33834" w14:paraId="6E52A127" w14:textId="77777777">
        <w:tc>
          <w:tcPr>
            <w:tcW w:w="3024" w:type="dxa"/>
          </w:tcPr>
          <w:p w14:paraId="13528FD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сентября 1933 года</w:t>
            </w:r>
          </w:p>
        </w:tc>
        <w:tc>
          <w:tcPr>
            <w:tcW w:w="5616" w:type="dxa"/>
          </w:tcPr>
          <w:p w14:paraId="6164AD2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определение горизонтальных скоростей по высотам с одним И5</w:t>
            </w:r>
          </w:p>
        </w:tc>
      </w:tr>
      <w:tr w:rsidR="00F26F01" w:rsidRPr="00C33834" w14:paraId="37B399C0" w14:textId="77777777">
        <w:tc>
          <w:tcPr>
            <w:tcW w:w="3024" w:type="dxa"/>
          </w:tcPr>
          <w:p w14:paraId="72FD510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сентября 1933 года</w:t>
            </w:r>
          </w:p>
        </w:tc>
        <w:tc>
          <w:tcPr>
            <w:tcW w:w="5616" w:type="dxa"/>
          </w:tcPr>
          <w:p w14:paraId="7B1A36C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F26F01" w:rsidRPr="00C33834" w14:paraId="13302AD9" w14:textId="77777777">
        <w:tc>
          <w:tcPr>
            <w:tcW w:w="3024" w:type="dxa"/>
          </w:tcPr>
          <w:p w14:paraId="001E3C8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сентября 1933 года</w:t>
            </w:r>
          </w:p>
        </w:tc>
        <w:tc>
          <w:tcPr>
            <w:tcW w:w="5616" w:type="dxa"/>
          </w:tcPr>
          <w:p w14:paraId="230508D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горизонтальные скорости по высотам с тремя И5</w:t>
            </w:r>
          </w:p>
        </w:tc>
      </w:tr>
      <w:tr w:rsidR="00F26F01" w:rsidRPr="00C33834" w14:paraId="6CBAA7E3" w14:textId="77777777">
        <w:tc>
          <w:tcPr>
            <w:tcW w:w="3024" w:type="dxa"/>
          </w:tcPr>
          <w:p w14:paraId="39E87E6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сентября 1933 года</w:t>
            </w:r>
          </w:p>
        </w:tc>
        <w:tc>
          <w:tcPr>
            <w:tcW w:w="5616" w:type="dxa"/>
          </w:tcPr>
          <w:p w14:paraId="2747134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горизонтальные скорости по высотам с тремя И5</w:t>
            </w:r>
          </w:p>
        </w:tc>
      </w:tr>
      <w:tr w:rsidR="00F26F01" w:rsidRPr="00C33834" w14:paraId="721473DD" w14:textId="77777777">
        <w:tc>
          <w:tcPr>
            <w:tcW w:w="3024" w:type="dxa"/>
          </w:tcPr>
          <w:p w14:paraId="4FC7924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сентября 1933 года</w:t>
            </w:r>
          </w:p>
        </w:tc>
        <w:tc>
          <w:tcPr>
            <w:tcW w:w="5616" w:type="dxa"/>
          </w:tcPr>
          <w:p w14:paraId="3644379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F26F01" w:rsidRPr="00C33834" w14:paraId="59826E3A" w14:textId="77777777">
        <w:tc>
          <w:tcPr>
            <w:tcW w:w="3024" w:type="dxa"/>
          </w:tcPr>
          <w:p w14:paraId="15ADDC5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октября 1933 года</w:t>
            </w:r>
          </w:p>
        </w:tc>
        <w:tc>
          <w:tcPr>
            <w:tcW w:w="5616" w:type="dxa"/>
          </w:tcPr>
          <w:p w14:paraId="49EB0DE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F26F01" w:rsidRPr="00C33834" w14:paraId="61BC2AA9" w14:textId="77777777">
        <w:tc>
          <w:tcPr>
            <w:tcW w:w="3024" w:type="dxa"/>
          </w:tcPr>
          <w:p w14:paraId="7BCB903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октября 1933 года</w:t>
            </w:r>
          </w:p>
        </w:tc>
        <w:tc>
          <w:tcPr>
            <w:tcW w:w="5616" w:type="dxa"/>
          </w:tcPr>
          <w:p w14:paraId="4B67A1E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расход горючего с двумя И5</w:t>
            </w:r>
          </w:p>
        </w:tc>
      </w:tr>
      <w:tr w:rsidR="00F26F01" w:rsidRPr="00C33834" w14:paraId="6AE15A07" w14:textId="77777777">
        <w:tc>
          <w:tcPr>
            <w:tcW w:w="3024" w:type="dxa"/>
          </w:tcPr>
          <w:p w14:paraId="0ABD714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5616" w:type="dxa"/>
          </w:tcPr>
          <w:p w14:paraId="20AEBEF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полетов с налетом 16 час. 23 мин.</w:t>
            </w:r>
          </w:p>
        </w:tc>
      </w:tr>
    </w:tbl>
    <w:p w14:paraId="6247BD3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(6777).</w:t>
      </w:r>
    </w:p>
    <w:p w14:paraId="7533F9B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FFEDE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октября 1933 директор завода 39 потребовал от группы легкой авиации А.С.Я., созданной Летом 1932, покинуть территорию. А.С.Я. обратился в РКИ к Пред. ЦКК ВКП(б) Я.Э.Рудзутаку. Тот пригласил к нему на дачу в район Горок у Николиной Горы. Надо было садиться на заливной лужок на берегу р Москвы перед дачей. Полетели в ближайший выходной. А.С.Я. и механик Демещкевич разложили белое полотнище и развели костер. Около полудня прилетел Пионтковский. Я.Э.Рудзутак вместе с А.С.Я. сели в кабину и Пионтковский продемонстрировал машину в воздухе (3971,6).</w:t>
      </w:r>
    </w:p>
    <w:p w14:paraId="2656535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это было 19 июня 1932</w:t>
      </w:r>
    </w:p>
    <w:p w14:paraId="58C71E32"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9DE40D9"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E6AB920"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F4CB08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октября 1933 г. представители УММ РККА, посетившие завод № 37, докладывали: «Заканчива</w:t>
      </w:r>
      <w:r w:rsidRPr="00C33834">
        <w:rPr>
          <w:rFonts w:ascii="Times New Roman" w:hAnsi="Times New Roman"/>
          <w:color w:val="000000" w:themeColor="text1"/>
          <w:sz w:val="16"/>
          <w:szCs w:val="16"/>
        </w:rPr>
        <w:softHyphen/>
        <w:t>ется сдача первой опытной группы Т-37, всего, вместе с Т-41, 45 машин. К концу года будет, вероятно, не более 800 тан</w:t>
      </w:r>
      <w:r w:rsidRPr="00C33834">
        <w:rPr>
          <w:rFonts w:ascii="Times New Roman" w:hAnsi="Times New Roman"/>
          <w:color w:val="000000" w:themeColor="text1"/>
          <w:sz w:val="16"/>
          <w:szCs w:val="16"/>
        </w:rPr>
        <w:softHyphen/>
        <w:t>ков». Но и их прогноз был оптимистичным — к 1 января 1934 г. завод № 37 сдал всего 126 танков Т-37А и 12 Т-41. 7 ноября 1933 г. первые серийные танки Т-37А вместе с Т-41 были показаны во время парада на Красной площади (10733,155).</w:t>
      </w:r>
    </w:p>
    <w:p w14:paraId="2C1C215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374C89"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A800660"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C816C3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октября 1933 года в НИИ ВВС был подготовлен Отчет о гос. испытаниях самолета ТБ3-4М34 (6635).</w:t>
      </w:r>
    </w:p>
    <w:p w14:paraId="6C213D9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5243B75F"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испытание самолетов ТБ3-4М34 без редукторов (№№ 22203 и 22204).</w:t>
      </w:r>
    </w:p>
    <w:p w14:paraId="0ADE8D4F"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Выбор наилучшего винта из трех представленных ЦАГИ.</w:t>
      </w:r>
    </w:p>
    <w:p w14:paraId="16DFC25B"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Изыскание путей облегчения винтомоторной группы.</w:t>
      </w:r>
    </w:p>
    <w:p w14:paraId="212FC87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41297769"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того, что при испытании трех типов винтов лучшие летные данные самолет ТБ3-4М34 без редуктора получил с винтами Д=3,18; Н=1,88, считать необходимым все самолеты ТБ3-4М34 выпускать с этим типом винтов.</w:t>
      </w:r>
    </w:p>
    <w:p w14:paraId="6ED6C13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p w14:paraId="3FC0806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22203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5959A4F1" w14:textId="77777777">
        <w:tc>
          <w:tcPr>
            <w:tcW w:w="5636" w:type="dxa"/>
          </w:tcPr>
          <w:p w14:paraId="5709D1B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сентября 1933 года</w:t>
            </w:r>
          </w:p>
        </w:tc>
        <w:tc>
          <w:tcPr>
            <w:tcW w:w="5636" w:type="dxa"/>
          </w:tcPr>
          <w:p w14:paraId="2EBE65F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принят от ОЭЛИД ЦАГИ, переслан в Щелково и облетан.</w:t>
            </w:r>
          </w:p>
        </w:tc>
      </w:tr>
      <w:tr w:rsidR="00F26F01" w:rsidRPr="00C33834" w14:paraId="03313C3B" w14:textId="77777777">
        <w:tc>
          <w:tcPr>
            <w:tcW w:w="5636" w:type="dxa"/>
          </w:tcPr>
          <w:p w14:paraId="5F199BF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сентября 1933 года</w:t>
            </w:r>
          </w:p>
        </w:tc>
        <w:tc>
          <w:tcPr>
            <w:tcW w:w="5636" w:type="dxa"/>
          </w:tcPr>
          <w:p w14:paraId="7480906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километраж.</w:t>
            </w:r>
          </w:p>
        </w:tc>
      </w:tr>
      <w:tr w:rsidR="00F26F01" w:rsidRPr="00C33834" w14:paraId="292C1DB1" w14:textId="77777777">
        <w:tc>
          <w:tcPr>
            <w:tcW w:w="5636" w:type="dxa"/>
          </w:tcPr>
          <w:p w14:paraId="12E0518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сентября 1933 года</w:t>
            </w:r>
          </w:p>
        </w:tc>
        <w:tc>
          <w:tcPr>
            <w:tcW w:w="5636" w:type="dxa"/>
          </w:tcPr>
          <w:p w14:paraId="42A403A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w:t>
            </w:r>
          </w:p>
        </w:tc>
      </w:tr>
      <w:tr w:rsidR="00F26F01" w:rsidRPr="00C33834" w14:paraId="69FEE3B2" w14:textId="77777777">
        <w:tc>
          <w:tcPr>
            <w:tcW w:w="5636" w:type="dxa"/>
          </w:tcPr>
          <w:p w14:paraId="1C7BDFD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октября 1933 года</w:t>
            </w:r>
          </w:p>
        </w:tc>
        <w:tc>
          <w:tcPr>
            <w:tcW w:w="5636" w:type="dxa"/>
          </w:tcPr>
          <w:p w14:paraId="57476BC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километраж.</w:t>
            </w:r>
          </w:p>
        </w:tc>
      </w:tr>
      <w:tr w:rsidR="00F26F01" w:rsidRPr="00C33834" w14:paraId="4438D302" w14:textId="77777777">
        <w:tc>
          <w:tcPr>
            <w:tcW w:w="5636" w:type="dxa"/>
          </w:tcPr>
          <w:p w14:paraId="7272102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октября 1933 года</w:t>
            </w:r>
          </w:p>
        </w:tc>
        <w:tc>
          <w:tcPr>
            <w:tcW w:w="5636" w:type="dxa"/>
          </w:tcPr>
          <w:p w14:paraId="1CE2CF5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зубцы.</w:t>
            </w:r>
          </w:p>
        </w:tc>
      </w:tr>
      <w:tr w:rsidR="00F26F01" w:rsidRPr="00C33834" w14:paraId="047FC557" w14:textId="77777777">
        <w:tc>
          <w:tcPr>
            <w:tcW w:w="5636" w:type="dxa"/>
          </w:tcPr>
          <w:p w14:paraId="5303D97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октября 1933 года</w:t>
            </w:r>
          </w:p>
        </w:tc>
        <w:tc>
          <w:tcPr>
            <w:tcW w:w="5636" w:type="dxa"/>
          </w:tcPr>
          <w:p w14:paraId="55BB10C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 трехчасовой 450 км полет по маршруту: Щелково-Коломна-Щелково-Серпухов-Щелково.</w:t>
            </w:r>
          </w:p>
        </w:tc>
      </w:tr>
    </w:tbl>
    <w:p w14:paraId="34C257A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22204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287043F7" w14:textId="77777777">
        <w:tc>
          <w:tcPr>
            <w:tcW w:w="5636" w:type="dxa"/>
          </w:tcPr>
          <w:p w14:paraId="1EAA3CC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сентября 1933 года</w:t>
            </w:r>
          </w:p>
        </w:tc>
        <w:tc>
          <w:tcPr>
            <w:tcW w:w="5636" w:type="dxa"/>
          </w:tcPr>
          <w:p w14:paraId="03E94E5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принят от 22 завода и перегнан в Щелково.</w:t>
            </w:r>
          </w:p>
        </w:tc>
      </w:tr>
      <w:tr w:rsidR="00F26F01" w:rsidRPr="00C33834" w14:paraId="0986CC38" w14:textId="77777777">
        <w:tc>
          <w:tcPr>
            <w:tcW w:w="5636" w:type="dxa"/>
          </w:tcPr>
          <w:p w14:paraId="75EC301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сентября 1933 года</w:t>
            </w:r>
          </w:p>
        </w:tc>
        <w:tc>
          <w:tcPr>
            <w:tcW w:w="5636" w:type="dxa"/>
          </w:tcPr>
          <w:p w14:paraId="00FD1E7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Ознакомительный полет.</w:t>
            </w:r>
          </w:p>
        </w:tc>
      </w:tr>
      <w:tr w:rsidR="00F26F01" w:rsidRPr="00C33834" w14:paraId="5D3A0656" w14:textId="77777777">
        <w:tc>
          <w:tcPr>
            <w:tcW w:w="5636" w:type="dxa"/>
          </w:tcPr>
          <w:p w14:paraId="1355460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сентября 1933 года</w:t>
            </w:r>
          </w:p>
        </w:tc>
        <w:tc>
          <w:tcPr>
            <w:tcW w:w="5636" w:type="dxa"/>
          </w:tcPr>
          <w:p w14:paraId="496C5D0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w:t>
            </w:r>
          </w:p>
        </w:tc>
      </w:tr>
      <w:tr w:rsidR="00F26F01" w:rsidRPr="00C33834" w14:paraId="5B6696E1" w14:textId="77777777">
        <w:tc>
          <w:tcPr>
            <w:tcW w:w="5636" w:type="dxa"/>
          </w:tcPr>
          <w:p w14:paraId="1611EE2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сентября 1933 года</w:t>
            </w:r>
          </w:p>
        </w:tc>
        <w:tc>
          <w:tcPr>
            <w:tcW w:w="5636" w:type="dxa"/>
          </w:tcPr>
          <w:p w14:paraId="48EA310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километраж.</w:t>
            </w:r>
          </w:p>
        </w:tc>
      </w:tr>
      <w:tr w:rsidR="00F26F01" w:rsidRPr="00C33834" w14:paraId="2A3CBA9D" w14:textId="77777777">
        <w:tc>
          <w:tcPr>
            <w:tcW w:w="5636" w:type="dxa"/>
          </w:tcPr>
          <w:p w14:paraId="09B7135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сентября 1933 года</w:t>
            </w:r>
          </w:p>
        </w:tc>
        <w:tc>
          <w:tcPr>
            <w:tcW w:w="5636" w:type="dxa"/>
          </w:tcPr>
          <w:p w14:paraId="4F6D2BF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по зубцам.</w:t>
            </w:r>
          </w:p>
        </w:tc>
      </w:tr>
      <w:tr w:rsidR="00F26F01" w:rsidRPr="00C33834" w14:paraId="19D7226B" w14:textId="77777777">
        <w:tc>
          <w:tcPr>
            <w:tcW w:w="5636" w:type="dxa"/>
          </w:tcPr>
          <w:p w14:paraId="76CFD3A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октября 1933 года</w:t>
            </w:r>
          </w:p>
        </w:tc>
        <w:tc>
          <w:tcPr>
            <w:tcW w:w="5636" w:type="dxa"/>
          </w:tcPr>
          <w:p w14:paraId="1DF6A2F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километраж.</w:t>
            </w:r>
          </w:p>
        </w:tc>
      </w:tr>
      <w:tr w:rsidR="00F26F01" w:rsidRPr="00C33834" w14:paraId="1B35A2AD" w14:textId="77777777">
        <w:tc>
          <w:tcPr>
            <w:tcW w:w="5636" w:type="dxa"/>
          </w:tcPr>
          <w:p w14:paraId="6D50354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октября 1933 года</w:t>
            </w:r>
          </w:p>
        </w:tc>
        <w:tc>
          <w:tcPr>
            <w:tcW w:w="5636" w:type="dxa"/>
          </w:tcPr>
          <w:p w14:paraId="3919509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потолок и зубцы.</w:t>
            </w:r>
          </w:p>
        </w:tc>
      </w:tr>
    </w:tbl>
    <w:p w14:paraId="73AE76F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проведены в 13 дней, из них самолет летал 6 дней (6635).</w:t>
      </w:r>
    </w:p>
    <w:p w14:paraId="071639A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AE420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октября 1933 закончили гос. испытания двух ТБ-3 (АНТ-6) 4М-34Р и они стали эталоном на 1934 (92,432). Мотор был запущен в серию на 24 заводе с ресурсом 100 ч, увеличенном с 30 (80,74).</w:t>
      </w:r>
    </w:p>
    <w:p w14:paraId="0A283DF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 одного (346,27).</w:t>
      </w:r>
    </w:p>
    <w:p w14:paraId="44DE1FB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третьим данным - 6 октября 1933</w:t>
      </w:r>
    </w:p>
    <w:p w14:paraId="1874B54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505A7AC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октября 1933 состоялось заседание комиссии, на которой было признано, что установка импеллеров (так называли ТК) на МК невозможна, так как М34-Р не лезет (1024,58).</w:t>
      </w:r>
    </w:p>
    <w:p w14:paraId="3A24B09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2C9715E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октября 1933 года зам. наркома Рабоче-крестьянской инспекции Беленький писал письмо № 7170/с Молотову</w:t>
      </w:r>
    </w:p>
    <w:p w14:paraId="3B2F12B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проекту постановления комиссии Пятакова о выполнении плана IV квартала по авиации сообщаю свои поправки, которые были на Комиссии отвергнуты.</w:t>
      </w:r>
    </w:p>
    <w:p w14:paraId="17EE806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 1 необходимо усилить формулировку в части заводов не выполнивших программу.</w:t>
      </w:r>
    </w:p>
    <w:p w14:paraId="33C0BB8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разделу II п. 2 об импорте цветных металлов считаю, что нужно поручить НКВТ и НКТПрому проверить размер необходимого импорта, поскольку ни в комиссии, ни в РКИ не имеется баланса цветных металлов на IV квартал, а следовательно нельзя одностороннюю заявку НКТП передавать на импорт. Кроме того, необходимо это увязать с валютным планом на IV квартал и на I квартал 1934 года.</w:t>
      </w:r>
    </w:p>
    <w:p w14:paraId="03E7B25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тому-же разделу п. 5 об отпуске машин и тракторов предлагаю вычеркнуть все количество машин, которые должны быть отпущены из резерва СНК и оставить лишь то количество, которое обязуется отпустить НКТП. Это для заводов явится достаточной помощью.</w:t>
      </w:r>
    </w:p>
    <w:p w14:paraId="6AB099B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тому-же разделу п. 6 насчет паровозов и вагонов считаю невозможным отпуск за счет НКПС. Платформы НКТП 'должен дать этим заводам за свой счет, а вместо паровозов НКТП может изготовить мотовозы, которые с успехом заменят паровозы на зяводском транспорте.</w:t>
      </w:r>
    </w:p>
    <w:p w14:paraId="140564C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 11 б) Как видно случайно пропущено указание, в какой срок нужны эти вагоны и по каким направлениям.</w:t>
      </w:r>
    </w:p>
    <w:p w14:paraId="2DF8370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Имелось ввиду, что эта норма вагонов месячная и в направленни Москвы и частью Ленинграда.</w:t>
      </w:r>
    </w:p>
    <w:p w14:paraId="2664EB3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п.11 а) Считаю, что принимать не - следует.</w:t>
      </w:r>
    </w:p>
    <w:p w14:paraId="08A0F36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smallCaps/>
          <w:color w:val="000000" w:themeColor="text1"/>
          <w:sz w:val="16"/>
          <w:szCs w:val="16"/>
        </w:rPr>
        <w:t xml:space="preserve">зам. </w:t>
      </w:r>
      <w:r w:rsidRPr="00C33834">
        <w:rPr>
          <w:rFonts w:ascii="Times New Roman" w:hAnsi="Times New Roman"/>
          <w:color w:val="000000" w:themeColor="text1"/>
          <w:sz w:val="16"/>
          <w:szCs w:val="16"/>
        </w:rPr>
        <w:t>Народного. Комиссара Беленький (4191, 50).</w:t>
      </w:r>
    </w:p>
    <w:p w14:paraId="21A770E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A2C1E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октября 1933 года зам. наркома тяжелой промышленности Пятаков писал письмо в СТО Молотову</w:t>
      </w:r>
    </w:p>
    <w:p w14:paraId="11F69EE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Направляя проект постановления, принятый Комиссией, выделенной СТО от 9 октября 1933 года по вопросу «Об итогах девятимесячного выполнения авиапромышленностью производственной программы» – сообщаю, что в связи с болезнью М.М. Кагановича, работа комиссии была проведена под моим председательством.</w:t>
      </w:r>
    </w:p>
    <w:p w14:paraId="3D3ADCC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 6 экземпляров (4191, 42).</w:t>
      </w:r>
    </w:p>
    <w:p w14:paraId="1634CED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октября 1933 был подготовлен:</w:t>
      </w:r>
    </w:p>
    <w:p w14:paraId="02EF839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СОВЕТА ТРУДА И ОБОРОНЫ СОЮЗА С. С. Р. (проект)</w:t>
      </w:r>
    </w:p>
    <w:p w14:paraId="39990DC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Москва, Кремль, “__"Октября 1933 г.</w:t>
      </w:r>
    </w:p>
    <w:p w14:paraId="3FB1784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Комиссия Обороны отмечает, что, наряду с заврдами</w:t>
      </w:r>
      <w:r w:rsidRPr="00C33834">
        <w:rPr>
          <w:rFonts w:ascii="Times New Roman" w:hAnsi="Times New Roman"/>
          <w:smallCaps/>
          <w:color w:val="000000" w:themeColor="text1"/>
          <w:sz w:val="16"/>
          <w:szCs w:val="16"/>
        </w:rPr>
        <w:t xml:space="preserve">, </w:t>
      </w:r>
      <w:r w:rsidRPr="00C33834">
        <w:rPr>
          <w:rFonts w:ascii="Times New Roman" w:hAnsi="Times New Roman"/>
          <w:color w:val="000000" w:themeColor="text1"/>
          <w:sz w:val="16"/>
          <w:szCs w:val="16"/>
        </w:rPr>
        <w:t>успешно выполнившимиза 9 м-цев 1333 г. свою производственную программу по основным объектам (завод № 22 - самолет ТБЗ с М17;  завод № 39 - са</w:t>
      </w:r>
      <w:r w:rsidRPr="00C33834">
        <w:rPr>
          <w:rFonts w:ascii="Times New Roman" w:hAnsi="Times New Roman"/>
          <w:color w:val="000000" w:themeColor="text1"/>
          <w:sz w:val="16"/>
          <w:szCs w:val="16"/>
        </w:rPr>
        <w:softHyphen/>
        <w:t>молет ТБ3 с М17; завод № 21 - самолет И5 с М22; завод № 24 - мотор М34, завод № 26 - мотор М17; завод № 23 - У2 с М11), тогда как не справились с поставленным им программными заданием заводы №№ 1, 31 и 29 (И7 с М17, Р6 с М17, Р5-А с М17, АНТ9 и моторы М22 и М11), что создает угрожающее положение по выполнения заданий - не только в отно</w:t>
      </w:r>
      <w:r w:rsidRPr="00C33834">
        <w:rPr>
          <w:rFonts w:ascii="Times New Roman" w:hAnsi="Times New Roman"/>
          <w:color w:val="000000" w:themeColor="text1"/>
          <w:sz w:val="16"/>
          <w:szCs w:val="16"/>
        </w:rPr>
        <w:softHyphen/>
        <w:t>шении данных заводов, но и годовой программы Глававиапрома в целом.</w:t>
      </w:r>
    </w:p>
    <w:p w14:paraId="16606AD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Отметить также явно неудовлетворительную сдачу запасных частей, как к самолетам, так и к моторам (за 9 м. 68,5% и 64%).</w:t>
      </w:r>
    </w:p>
    <w:p w14:paraId="0BEF067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Констатировать, что при заметном улучшении качества основных типов самолетов и моторов (ТБЗ, Р5, И15, У2 и И17), выпускаемая заводами продукция все еще имеет существенные недостатки, осложняющие эксплоатацию и понижающие надежность материальной части в полете, основными из коих являются:</w:t>
      </w:r>
    </w:p>
    <w:p w14:paraId="6BD870C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Конструкция большинства самолетов перетяжелена;</w:t>
      </w:r>
    </w:p>
    <w:p w14:paraId="696A6E4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отмечается массовая течь радиаторов и бензокранов;</w:t>
      </w:r>
    </w:p>
    <w:p w14:paraId="3316B09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быстро появляется люфты в соединениях;</w:t>
      </w:r>
    </w:p>
    <w:p w14:paraId="0880FC7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наблюдаются частые обрывы шпилек и фланцов в цилиндрах моторов М17;</w:t>
      </w:r>
    </w:p>
    <w:p w14:paraId="57629E9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появляется трещина в лапах картеров М34</w:t>
      </w:r>
    </w:p>
    <w:p w14:paraId="7D6A477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 выкрашивание баббита в шатунах того-же мотора;</w:t>
      </w:r>
    </w:p>
    <w:p w14:paraId="714486C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 недостаточное давление масла в моторе М22 на малых оборотах.</w:t>
      </w:r>
    </w:p>
    <w:p w14:paraId="6CF4804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несмотря на двухкратное постановление С.Т.О., до сего времени не введено в серийное производство одно из крупнейших мероприятий по увеличеншз безопасности полета и улучшению эксплоатационных качеств самолетов - тормазное шасси.</w:t>
      </w:r>
    </w:p>
    <w:p w14:paraId="7AEAE05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улучшения качества продукции до сих пор не внедрено производство в массовом порядке - нержавеющей стали и сверхлегкие сплавы: электрон, магний и т.д.).</w:t>
      </w:r>
    </w:p>
    <w:p w14:paraId="1FAE3A4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Вследствие отсутствия эталонов, а также выявившихся в процессе производства конструктивных недостатков, - снять с утвержденной программы по самолетостроению на 1933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F26F01" w:rsidRPr="00C33834" w14:paraId="570ABE71" w14:textId="77777777">
        <w:tc>
          <w:tcPr>
            <w:tcW w:w="3736" w:type="dxa"/>
            <w:tcBorders>
              <w:top w:val="single" w:sz="12" w:space="0" w:color="auto"/>
            </w:tcBorders>
            <w:shd w:val="clear" w:color="auto" w:fill="FFFFFF"/>
          </w:tcPr>
          <w:p w14:paraId="79FDD42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 1</w:t>
            </w:r>
          </w:p>
        </w:tc>
        <w:tc>
          <w:tcPr>
            <w:tcW w:w="3736" w:type="dxa"/>
            <w:tcBorders>
              <w:top w:val="single" w:sz="12" w:space="0" w:color="auto"/>
            </w:tcBorders>
            <w:shd w:val="clear" w:color="auto" w:fill="FFFFFF"/>
          </w:tcPr>
          <w:p w14:paraId="19C10F1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145</w:t>
            </w:r>
          </w:p>
        </w:tc>
        <w:tc>
          <w:tcPr>
            <w:tcW w:w="3736" w:type="dxa"/>
            <w:tcBorders>
              <w:top w:val="single" w:sz="12" w:space="0" w:color="auto"/>
            </w:tcBorders>
            <w:shd w:val="clear" w:color="auto" w:fill="FFFFFF"/>
          </w:tcPr>
          <w:p w14:paraId="1E6D02A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самолетов И7 с М17</w:t>
            </w:r>
          </w:p>
        </w:tc>
      </w:tr>
      <w:tr w:rsidR="00F26F01" w:rsidRPr="00C33834" w14:paraId="11F0E618" w14:textId="77777777">
        <w:tc>
          <w:tcPr>
            <w:tcW w:w="3736" w:type="dxa"/>
            <w:shd w:val="clear" w:color="auto" w:fill="FFFFFF"/>
          </w:tcPr>
          <w:p w14:paraId="5238DAB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 - 22</w:t>
            </w:r>
          </w:p>
        </w:tc>
        <w:tc>
          <w:tcPr>
            <w:tcW w:w="3736" w:type="dxa"/>
            <w:shd w:val="clear" w:color="auto" w:fill="FFFFFF"/>
          </w:tcPr>
          <w:p w14:paraId="6A2BFE1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3736" w:type="dxa"/>
            <w:shd w:val="clear" w:color="auto" w:fill="FFFFFF"/>
          </w:tcPr>
          <w:p w14:paraId="34BEAC9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 с М34</w:t>
            </w:r>
          </w:p>
        </w:tc>
      </w:tr>
      <w:tr w:rsidR="00F26F01" w:rsidRPr="00C33834" w14:paraId="6A1E3BF5" w14:textId="77777777">
        <w:tc>
          <w:tcPr>
            <w:tcW w:w="3736" w:type="dxa"/>
            <w:shd w:val="clear" w:color="auto" w:fill="FFFFFF"/>
          </w:tcPr>
          <w:p w14:paraId="61B7DF2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shd w:val="clear" w:color="auto" w:fill="FFFFFF"/>
          </w:tcPr>
          <w:p w14:paraId="65F8394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3736" w:type="dxa"/>
            <w:shd w:val="clear" w:color="auto" w:fill="FFFFFF"/>
          </w:tcPr>
          <w:p w14:paraId="7EBB14E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 с 6М34</w:t>
            </w:r>
          </w:p>
        </w:tc>
      </w:tr>
      <w:tr w:rsidR="00F26F01" w:rsidRPr="00C33834" w14:paraId="15FDB6D8" w14:textId="77777777">
        <w:tc>
          <w:tcPr>
            <w:tcW w:w="3736" w:type="dxa"/>
            <w:shd w:val="clear" w:color="auto" w:fill="FFFFFF"/>
          </w:tcPr>
          <w:p w14:paraId="24EF160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 - " 31</w:t>
            </w:r>
          </w:p>
        </w:tc>
        <w:tc>
          <w:tcPr>
            <w:tcW w:w="3736" w:type="dxa"/>
            <w:shd w:val="clear" w:color="auto" w:fill="FFFFFF"/>
          </w:tcPr>
          <w:p w14:paraId="032CACD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3736" w:type="dxa"/>
            <w:shd w:val="clear" w:color="auto" w:fill="FFFFFF"/>
          </w:tcPr>
          <w:p w14:paraId="63F0551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 с М34. Весь задел по АНТ9 передать ГУГВФ</w:t>
            </w:r>
          </w:p>
        </w:tc>
      </w:tr>
      <w:tr w:rsidR="00F26F01" w:rsidRPr="00C33834" w14:paraId="6522F19C" w14:textId="77777777">
        <w:tc>
          <w:tcPr>
            <w:tcW w:w="3736" w:type="dxa"/>
            <w:tcBorders>
              <w:bottom w:val="single" w:sz="12" w:space="0" w:color="auto"/>
            </w:tcBorders>
            <w:shd w:val="clear" w:color="auto" w:fill="FFFFFF"/>
          </w:tcPr>
          <w:p w14:paraId="415C324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 - " 18</w:t>
            </w:r>
          </w:p>
        </w:tc>
        <w:tc>
          <w:tcPr>
            <w:tcW w:w="3736" w:type="dxa"/>
            <w:tcBorders>
              <w:bottom w:val="single" w:sz="12" w:space="0" w:color="auto"/>
            </w:tcBorders>
            <w:shd w:val="clear" w:color="auto" w:fill="FFFFFF"/>
          </w:tcPr>
          <w:p w14:paraId="0901449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w:t>
            </w:r>
          </w:p>
        </w:tc>
        <w:tc>
          <w:tcPr>
            <w:tcW w:w="3736" w:type="dxa"/>
            <w:tcBorders>
              <w:bottom w:val="single" w:sz="12" w:space="0" w:color="auto"/>
            </w:tcBorders>
            <w:shd w:val="clear" w:color="auto" w:fill="FFFFFF"/>
          </w:tcPr>
          <w:p w14:paraId="10B0AE7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с М34</w:t>
            </w:r>
          </w:p>
        </w:tc>
      </w:tr>
    </w:tbl>
    <w:p w14:paraId="089BE5B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Предложить НКТП и НКВМ войти в К.О. к 10 Ноября со своими сообщениями о постановке на производство самолета И7 с дюралевым хвостовым оперением.</w:t>
      </w:r>
    </w:p>
    <w:p w14:paraId="5FC82A2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 связи с быстрой модификацией предметов оборудования самолетов...под руководством и ближайшем участии потребителей, - обязанность по размещению заказов на опытные образцы утвержденного оборудования, утверждению образца, размещению заказа на опытную партию и проведению с ней войско</w:t>
      </w:r>
      <w:r w:rsidRPr="00C33834">
        <w:rPr>
          <w:rFonts w:ascii="Times New Roman" w:hAnsi="Times New Roman"/>
          <w:color w:val="000000" w:themeColor="text1"/>
          <w:sz w:val="16"/>
          <w:szCs w:val="16"/>
        </w:rPr>
        <w:softHyphen/>
        <w:t>вых эксплоатационных испытаний, возложить на УВВС.</w:t>
      </w:r>
    </w:p>
    <w:p w14:paraId="1D059BA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Каждый новыйоб"ект внедрять всерийное производство только при наличии всех тактико-технических требований и законченного испы</w:t>
      </w:r>
      <w:r w:rsidRPr="00C33834">
        <w:rPr>
          <w:rFonts w:ascii="Times New Roman" w:hAnsi="Times New Roman"/>
          <w:color w:val="000000" w:themeColor="text1"/>
          <w:sz w:val="16"/>
          <w:szCs w:val="16"/>
        </w:rPr>
        <w:softHyphen/>
        <w:t>тания эталонов.</w:t>
      </w:r>
    </w:p>
    <w:p w14:paraId="7B31BAD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Изъятия из этого правила могут допускаться только при специаль</w:t>
      </w:r>
      <w:r w:rsidRPr="00C33834">
        <w:rPr>
          <w:rFonts w:ascii="Times New Roman" w:hAnsi="Times New Roman"/>
          <w:color w:val="000000" w:themeColor="text1"/>
          <w:sz w:val="16"/>
          <w:szCs w:val="16"/>
        </w:rPr>
        <w:softHyphen/>
        <w:t>ном постановлении Комиссии Обороны в каждом отдельнойм случае.</w:t>
      </w:r>
    </w:p>
    <w:p w14:paraId="3DDAEF5A"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безусловного выполнения авиапромышленностью программы 4-го квартала с покрытием всего недовыполненного за год, обязать:</w:t>
      </w:r>
    </w:p>
    <w:p w14:paraId="131D30B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НКТП (Глававиапром) взять под особое наблюдение работу заво</w:t>
      </w:r>
      <w:r w:rsidRPr="00C33834">
        <w:rPr>
          <w:rFonts w:ascii="Times New Roman" w:hAnsi="Times New Roman"/>
          <w:color w:val="000000" w:themeColor="text1"/>
          <w:sz w:val="16"/>
          <w:szCs w:val="16"/>
        </w:rPr>
        <w:softHyphen/>
        <w:t>дов №№ 31, 1 и 29 и в частности:</w:t>
      </w:r>
    </w:p>
    <w:p w14:paraId="61E3320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По зазову № 31:</w:t>
      </w:r>
    </w:p>
    <w:p w14:paraId="640303F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Нач. ГУАП тов. КОРОЛЕВУ принять на месте все необходимые меры по укреплению завода, обеспечению всеми потребными материалами в целях полного выполнения программы.</w:t>
      </w:r>
    </w:p>
    <w:p w14:paraId="62BB26B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Ввиду прорыва на заводе № 31, возловить на Северо-Кавказский Крайком ВКП(б) непосредственное наблюдение за полным выполнением за</w:t>
      </w:r>
      <w:r w:rsidRPr="00C33834">
        <w:rPr>
          <w:rFonts w:ascii="Times New Roman" w:hAnsi="Times New Roman"/>
          <w:color w:val="000000" w:themeColor="text1"/>
          <w:sz w:val="16"/>
          <w:szCs w:val="16"/>
        </w:rPr>
        <w:softHyphen/>
        <w:t>водом программы, обязав оказать заводу максимальное содействие в этом.</w:t>
      </w:r>
    </w:p>
    <w:p w14:paraId="40CA19F8"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Но заводу № 1:</w:t>
      </w:r>
    </w:p>
    <w:p w14:paraId="24531BD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Тов. КОРОЛЕВУ Г.Е. уделить исключительное внимание заводу, в частности .установить точные календарные српоки окончания и ввода -в эксплоатапизс отдельных цехов и представить таковые к 1 ноября в К.О.</w:t>
      </w:r>
    </w:p>
    <w:p w14:paraId="2360757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 Закончить в </w:t>
      </w:r>
      <w:r w:rsidRPr="00C33834">
        <w:rPr>
          <w:rFonts w:ascii="Times New Roman" w:hAnsi="Times New Roman"/>
          <w:iCs/>
          <w:color w:val="000000" w:themeColor="text1"/>
          <w:sz w:val="16"/>
          <w:szCs w:val="16"/>
        </w:rPr>
        <w:t xml:space="preserve">4-и </w:t>
      </w:r>
      <w:r w:rsidRPr="00C33834">
        <w:rPr>
          <w:rFonts w:ascii="Times New Roman" w:hAnsi="Times New Roman"/>
          <w:color w:val="000000" w:themeColor="text1"/>
          <w:sz w:val="16"/>
          <w:szCs w:val="16"/>
        </w:rPr>
        <w:t>квартале строительство завода, обязав т. ГИНЗБУРГА обеспечить его всеми необходимыми материалами, рабочей силой и руководящим строительным персоналом.</w:t>
      </w:r>
    </w:p>
    <w:p w14:paraId="4686B54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По заводу № 29:</w:t>
      </w:r>
    </w:p>
    <w:p w14:paraId="38E4A82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ГУАП командировать на завод, сроком не менее м-ца, груп</w:t>
      </w:r>
      <w:r w:rsidRPr="00C33834">
        <w:rPr>
          <w:rFonts w:ascii="Times New Roman" w:hAnsi="Times New Roman"/>
          <w:color w:val="000000" w:themeColor="text1"/>
          <w:sz w:val="16"/>
          <w:szCs w:val="16"/>
        </w:rPr>
        <w:softHyphen/>
        <w:t>пу ответственных специалистов и Зам. Нач. ГУАП т. БЕЛЕНКОВИЧА для конкретной производственной помощи заводу.</w:t>
      </w:r>
    </w:p>
    <w:p w14:paraId="3714A23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Обязать ГУАП тов. КОРОЛЕВА и персонально всех директоров за</w:t>
      </w:r>
      <w:r w:rsidRPr="00C33834">
        <w:rPr>
          <w:rFonts w:ascii="Times New Roman" w:hAnsi="Times New Roman"/>
          <w:color w:val="000000" w:themeColor="text1"/>
          <w:sz w:val="16"/>
          <w:szCs w:val="16"/>
        </w:rPr>
        <w:softHyphen/>
        <w:t>водов авиапромышленности обеспечить полное выполнение программы по запчастям.</w:t>
      </w:r>
    </w:p>
    <w:p w14:paraId="2D9FBF9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 Обязать НКТП проверить всю деятельность Научно-Исследователь</w:t>
      </w:r>
      <w:r w:rsidRPr="00C33834">
        <w:rPr>
          <w:rFonts w:ascii="Times New Roman" w:hAnsi="Times New Roman"/>
          <w:color w:val="000000" w:themeColor="text1"/>
          <w:sz w:val="16"/>
          <w:szCs w:val="16"/>
        </w:rPr>
        <w:softHyphen/>
        <w:t>ских учреждений ГУАП (ЦАГИ, ЦИАМ и ВИАМ), в целя выяснения связи с заводами и их технического обслуживания, представив К.О. в месячный срок подробный доклад и проект необходимых мероприятий.</w:t>
      </w:r>
    </w:p>
    <w:p w14:paraId="6486ED9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Отметить недопустимую волокиту, проявленную ЦАГИ в отношении проработки образцов (особенно по ТБ3 с М34) и обязать т. КОРОЛЕВА лично обеспечить надлежащие темпы работы Института в отношении проверки и выпуска образцов - эталонов.</w:t>
      </w:r>
    </w:p>
    <w:p w14:paraId="2756520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1У. Обязать НКТП (ГУАП) немедленно приступить к усовершенствованию аэродромного хозяйств (планировка посадочных площадок, мелиоративные работы, постройка бензохранилищ, механизация обслуживания и т.д.) и представить к 1 ноября в КО исчерпывающую программу по приведению этого хозяйства в порядок...</w:t>
      </w:r>
    </w:p>
    <w:p w14:paraId="35951CD9"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ватманской бумаги 60.000 листов.</w:t>
      </w:r>
    </w:p>
    <w:p w14:paraId="34808FE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У1. В целях своевременной подготовки к 1934г. - обязать НКТП (ГУАП) совместно с НКВоенмором немедленно приступить к проработке всего плана 1934 года и наметить все необходимые ме</w:t>
      </w:r>
      <w:r w:rsidRPr="00C33834">
        <w:rPr>
          <w:rFonts w:ascii="Times New Roman" w:hAnsi="Times New Roman"/>
          <w:color w:val="000000" w:themeColor="text1"/>
          <w:sz w:val="16"/>
          <w:szCs w:val="16"/>
        </w:rPr>
        <w:softHyphen/>
        <w:t>роприятия, обеспечизазцие выполнение программы 1934 года как в части строительства, так и всех видов снабжения и внести в К.О. к 10 Ноября.</w:t>
      </w:r>
    </w:p>
    <w:p w14:paraId="431DF11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Наркомвоенмор в декадный срок уточнить и пред</w:t>
      </w:r>
      <w:r w:rsidRPr="00C33834">
        <w:rPr>
          <w:rFonts w:ascii="Times New Roman" w:hAnsi="Times New Roman"/>
          <w:color w:val="000000" w:themeColor="text1"/>
          <w:sz w:val="16"/>
          <w:szCs w:val="16"/>
        </w:rPr>
        <w:softHyphen/>
        <w:t>ставить свой заказ авиапромышленности на 1934 год (4191,94).</w:t>
      </w:r>
    </w:p>
    <w:p w14:paraId="6EB75E4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A83F2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октября 1933 года начальник 4 сектора 2 отдела УМТС и В ВВС Апухтин.</w:t>
      </w:r>
    </w:p>
    <w:p w14:paraId="508B9D1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Справка по вопросу о заказе объектов Гроховского</w:t>
      </w:r>
    </w:p>
    <w:p w14:paraId="1716B16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1932 года работала особая комиссия в состав которой входил и Гроховский. В результате работы зам. нач. ВВС Наумовым дано было приказание разместить в 1932 году заказ на 2400 грузовых парашютов разных типов и 5000 людских десантных.</w:t>
      </w:r>
    </w:p>
    <w:p w14:paraId="5CA1B1A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Заказ не был в 1932 году реализован, т.к. результаты испытаний и техническая документация начали поступать только во 2 квартале и в основном через НИИ ВВС они были получены в декабре 1932 года.</w:t>
      </w:r>
    </w:p>
    <w:p w14:paraId="42288A8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или марте 1932 года имело место постановление РВС о заказе объектов Гроховского для войсковых испытаний, не дожидаясь результатов предварительных испытаний.</w:t>
      </w:r>
    </w:p>
    <w:p w14:paraId="28579F2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1932 года имело место совещание у нач. Штаба ВВС Меженинова, на котором Межениновым было дано указание о заказе следующих количеств парашютно-десантного имущества: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F26F01" w:rsidRPr="00C33834" w14:paraId="05FBF845" w14:textId="77777777">
        <w:tc>
          <w:tcPr>
            <w:tcW w:w="3757" w:type="dxa"/>
          </w:tcPr>
          <w:p w14:paraId="448299C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Десантн. людских тренировочн.</w:t>
            </w:r>
          </w:p>
        </w:tc>
        <w:tc>
          <w:tcPr>
            <w:tcW w:w="3757" w:type="dxa"/>
          </w:tcPr>
          <w:p w14:paraId="6151461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2500 шт.</w:t>
            </w:r>
          </w:p>
        </w:tc>
      </w:tr>
      <w:tr w:rsidR="00F26F01" w:rsidRPr="00C33834" w14:paraId="552DDB52" w14:textId="77777777">
        <w:tc>
          <w:tcPr>
            <w:tcW w:w="3757" w:type="dxa"/>
          </w:tcPr>
          <w:p w14:paraId="2E701CD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Десантн. людских боевых</w:t>
            </w:r>
          </w:p>
        </w:tc>
        <w:tc>
          <w:tcPr>
            <w:tcW w:w="3757" w:type="dxa"/>
          </w:tcPr>
          <w:p w14:paraId="1E0F8A0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7500 шт.</w:t>
            </w:r>
          </w:p>
        </w:tc>
      </w:tr>
      <w:tr w:rsidR="00F26F01" w:rsidRPr="00C33834" w14:paraId="7BA826CC" w14:textId="77777777">
        <w:tc>
          <w:tcPr>
            <w:tcW w:w="3757" w:type="dxa"/>
          </w:tcPr>
          <w:p w14:paraId="5B43B0E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Для сбрасывания вооружения</w:t>
            </w:r>
          </w:p>
        </w:tc>
        <w:tc>
          <w:tcPr>
            <w:tcW w:w="3757" w:type="dxa"/>
          </w:tcPr>
          <w:p w14:paraId="4EE67F2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 шт.</w:t>
            </w:r>
          </w:p>
        </w:tc>
      </w:tr>
      <w:tr w:rsidR="00F26F01" w:rsidRPr="00C33834" w14:paraId="5B776D27" w14:textId="77777777">
        <w:tc>
          <w:tcPr>
            <w:tcW w:w="3757" w:type="dxa"/>
          </w:tcPr>
          <w:p w14:paraId="7CE54C1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Для сбрасывания термосов</w:t>
            </w:r>
          </w:p>
        </w:tc>
        <w:tc>
          <w:tcPr>
            <w:tcW w:w="3757" w:type="dxa"/>
          </w:tcPr>
          <w:p w14:paraId="03A491B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 шт.</w:t>
            </w:r>
          </w:p>
        </w:tc>
      </w:tr>
      <w:tr w:rsidR="00F26F01" w:rsidRPr="00C33834" w14:paraId="64E375E6" w14:textId="77777777">
        <w:tc>
          <w:tcPr>
            <w:tcW w:w="3757" w:type="dxa"/>
          </w:tcPr>
          <w:p w14:paraId="0FA3502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Для сбрасывания мотоциклов</w:t>
            </w:r>
          </w:p>
        </w:tc>
        <w:tc>
          <w:tcPr>
            <w:tcW w:w="3757" w:type="dxa"/>
          </w:tcPr>
          <w:p w14:paraId="0747B47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 шт.</w:t>
            </w:r>
          </w:p>
        </w:tc>
      </w:tr>
      <w:tr w:rsidR="00F26F01" w:rsidRPr="00C33834" w14:paraId="4389E667" w14:textId="77777777">
        <w:tc>
          <w:tcPr>
            <w:tcW w:w="3757" w:type="dxa"/>
          </w:tcPr>
          <w:p w14:paraId="052EE0A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Для сбрасывания автомоб. и танкет.</w:t>
            </w:r>
          </w:p>
        </w:tc>
        <w:tc>
          <w:tcPr>
            <w:tcW w:w="3757" w:type="dxa"/>
          </w:tcPr>
          <w:p w14:paraId="726C65C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 шт.</w:t>
            </w:r>
          </w:p>
        </w:tc>
      </w:tr>
      <w:tr w:rsidR="00F26F01" w:rsidRPr="00C33834" w14:paraId="5C08FA9F" w14:textId="77777777">
        <w:tc>
          <w:tcPr>
            <w:tcW w:w="3757" w:type="dxa"/>
          </w:tcPr>
          <w:p w14:paraId="1C58C62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Для сбрасывания баков горючего</w:t>
            </w:r>
          </w:p>
        </w:tc>
        <w:tc>
          <w:tcPr>
            <w:tcW w:w="3757" w:type="dxa"/>
          </w:tcPr>
          <w:p w14:paraId="14B76E2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 шт.</w:t>
            </w:r>
          </w:p>
        </w:tc>
      </w:tr>
    </w:tbl>
    <w:p w14:paraId="5F8391A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1932 года по заявкам, составленным на основании указанных выше распоряжений через 5 управление штаба РККА был установлен размер заказа по объектам Гроховского для промышленности на 1933 год. При этом установленое для заказа количество было значительно меньше приводимых выше цифр.</w:t>
      </w:r>
    </w:p>
    <w:p w14:paraId="5577C97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Справка о результатах гос. испытаний объектов ОКПБ ВВС</w:t>
      </w:r>
    </w:p>
    <w:p w14:paraId="6F781E6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испытания с 19 сентября по 5 октября 1932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19"/>
        <w:gridCol w:w="4820"/>
      </w:tblGrid>
      <w:tr w:rsidR="00F26F01" w:rsidRPr="00C33834" w14:paraId="58C20AF9" w14:textId="77777777">
        <w:tc>
          <w:tcPr>
            <w:tcW w:w="4219" w:type="dxa"/>
          </w:tcPr>
          <w:p w14:paraId="6E348A7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 объектов</w:t>
            </w:r>
          </w:p>
        </w:tc>
        <w:tc>
          <w:tcPr>
            <w:tcW w:w="4820" w:type="dxa"/>
          </w:tcPr>
          <w:p w14:paraId="70B1316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Результаты испытаний</w:t>
            </w:r>
          </w:p>
        </w:tc>
      </w:tr>
      <w:tr w:rsidR="00F26F01" w:rsidRPr="00C33834" w14:paraId="5D99DB03" w14:textId="77777777">
        <w:tc>
          <w:tcPr>
            <w:tcW w:w="4219" w:type="dxa"/>
          </w:tcPr>
          <w:p w14:paraId="272BCD5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16-ти местная кабина под ТБ1</w:t>
            </w:r>
          </w:p>
        </w:tc>
        <w:tc>
          <w:tcPr>
            <w:tcW w:w="4820" w:type="dxa"/>
          </w:tcPr>
          <w:p w14:paraId="56718F7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на снабжение ВВС с</w:t>
            </w:r>
          </w:p>
        </w:tc>
      </w:tr>
      <w:tr w:rsidR="00F26F01" w:rsidRPr="00C33834" w14:paraId="682F9021" w14:textId="77777777">
        <w:tc>
          <w:tcPr>
            <w:tcW w:w="4219" w:type="dxa"/>
          </w:tcPr>
          <w:p w14:paraId="7273FBE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69473E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устранением в серийном производстве</w:t>
            </w:r>
          </w:p>
        </w:tc>
      </w:tr>
      <w:tr w:rsidR="00F26F01" w:rsidRPr="00C33834" w14:paraId="17C34199" w14:textId="77777777">
        <w:tc>
          <w:tcPr>
            <w:tcW w:w="4219" w:type="dxa"/>
          </w:tcPr>
          <w:p w14:paraId="03B91DB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FB5427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указанных комиссией дефектов.</w:t>
            </w:r>
          </w:p>
        </w:tc>
      </w:tr>
      <w:tr w:rsidR="00F26F01" w:rsidRPr="00C33834" w14:paraId="6CCBC4B6" w14:textId="77777777">
        <w:tc>
          <w:tcPr>
            <w:tcW w:w="4219" w:type="dxa"/>
          </w:tcPr>
          <w:p w14:paraId="38B83BF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25-ти метровый парашют для грузов до 1000 кг</w:t>
            </w:r>
          </w:p>
        </w:tc>
        <w:tc>
          <w:tcPr>
            <w:tcW w:w="4820" w:type="dxa"/>
          </w:tcPr>
          <w:p w14:paraId="0EE11AB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на снабжение ВВС.</w:t>
            </w:r>
          </w:p>
        </w:tc>
      </w:tr>
      <w:tr w:rsidR="00F26F01" w:rsidRPr="00C33834" w14:paraId="3F831B83" w14:textId="77777777">
        <w:tc>
          <w:tcPr>
            <w:tcW w:w="4219" w:type="dxa"/>
          </w:tcPr>
          <w:p w14:paraId="6046643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30-ти метровый парашют для грузов до 1250 кг</w:t>
            </w:r>
          </w:p>
        </w:tc>
        <w:tc>
          <w:tcPr>
            <w:tcW w:w="4820" w:type="dxa"/>
          </w:tcPr>
          <w:p w14:paraId="077F739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на снабжение и допустить</w:t>
            </w:r>
          </w:p>
        </w:tc>
      </w:tr>
      <w:tr w:rsidR="00F26F01" w:rsidRPr="00C33834" w14:paraId="48545185" w14:textId="77777777">
        <w:tc>
          <w:tcPr>
            <w:tcW w:w="4219" w:type="dxa"/>
          </w:tcPr>
          <w:p w14:paraId="23C3436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14FCFBC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войсковым испытаниям.</w:t>
            </w:r>
          </w:p>
        </w:tc>
      </w:tr>
      <w:tr w:rsidR="00F26F01" w:rsidRPr="00C33834" w14:paraId="530813A2" w14:textId="77777777">
        <w:tc>
          <w:tcPr>
            <w:tcW w:w="4219" w:type="dxa"/>
          </w:tcPr>
          <w:p w14:paraId="65C82CB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Парашютная подвеска автомобиля Форд</w:t>
            </w:r>
          </w:p>
        </w:tc>
        <w:tc>
          <w:tcPr>
            <w:tcW w:w="4820" w:type="dxa"/>
          </w:tcPr>
          <w:p w14:paraId="4B673FD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устранением указанных дефектов</w:t>
            </w:r>
          </w:p>
        </w:tc>
      </w:tr>
      <w:tr w:rsidR="00F26F01" w:rsidRPr="00C33834" w14:paraId="72CB02C1" w14:textId="77777777">
        <w:tc>
          <w:tcPr>
            <w:tcW w:w="4219" w:type="dxa"/>
          </w:tcPr>
          <w:p w14:paraId="77E61E7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522BBBA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на снабжение и передать</w:t>
            </w:r>
          </w:p>
        </w:tc>
      </w:tr>
      <w:tr w:rsidR="00F26F01" w:rsidRPr="00C33834" w14:paraId="7652E3A5" w14:textId="77777777">
        <w:tc>
          <w:tcPr>
            <w:tcW w:w="4219" w:type="dxa"/>
          </w:tcPr>
          <w:p w14:paraId="7135A77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3265614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войсковые испытания.</w:t>
            </w:r>
          </w:p>
        </w:tc>
      </w:tr>
      <w:tr w:rsidR="00F26F01" w:rsidRPr="00C33834" w14:paraId="7CCA1445" w14:textId="77777777">
        <w:tc>
          <w:tcPr>
            <w:tcW w:w="4219" w:type="dxa"/>
          </w:tcPr>
          <w:p w14:paraId="64F429E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Парашютная подвеска полкового орудия</w:t>
            </w:r>
          </w:p>
        </w:tc>
        <w:tc>
          <w:tcPr>
            <w:tcW w:w="4820" w:type="dxa"/>
          </w:tcPr>
          <w:p w14:paraId="05F756D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на снабжение и допустить</w:t>
            </w:r>
          </w:p>
        </w:tc>
      </w:tr>
      <w:tr w:rsidR="00F26F01" w:rsidRPr="00C33834" w14:paraId="122FD505" w14:textId="77777777">
        <w:tc>
          <w:tcPr>
            <w:tcW w:w="4219" w:type="dxa"/>
          </w:tcPr>
          <w:p w14:paraId="6F78896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7E3D569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войсковым испытаниям;</w:t>
            </w:r>
          </w:p>
        </w:tc>
      </w:tr>
      <w:tr w:rsidR="00F26F01" w:rsidRPr="00C33834" w14:paraId="5911BD9D" w14:textId="77777777">
        <w:tc>
          <w:tcPr>
            <w:tcW w:w="4219" w:type="dxa"/>
          </w:tcPr>
          <w:p w14:paraId="500BE58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7371352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проработать вопрос автоматической</w:t>
            </w:r>
          </w:p>
        </w:tc>
      </w:tr>
      <w:tr w:rsidR="00F26F01" w:rsidRPr="00C33834" w14:paraId="785718CF" w14:textId="77777777">
        <w:tc>
          <w:tcPr>
            <w:tcW w:w="4219" w:type="dxa"/>
          </w:tcPr>
          <w:p w14:paraId="18A407C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7CB2BA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отцепки парашютов.</w:t>
            </w:r>
          </w:p>
        </w:tc>
      </w:tr>
      <w:tr w:rsidR="00F26F01" w:rsidRPr="00C33834" w14:paraId="4F8A4800" w14:textId="77777777">
        <w:tc>
          <w:tcPr>
            <w:tcW w:w="4219" w:type="dxa"/>
          </w:tcPr>
          <w:p w14:paraId="405FA74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Парашютная подвеска одиночного мотоцикла</w:t>
            </w:r>
          </w:p>
        </w:tc>
        <w:tc>
          <w:tcPr>
            <w:tcW w:w="4820" w:type="dxa"/>
          </w:tcPr>
          <w:p w14:paraId="30A1F03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A40D7F6" w14:textId="77777777">
        <w:tc>
          <w:tcPr>
            <w:tcW w:w="4219" w:type="dxa"/>
          </w:tcPr>
          <w:p w14:paraId="06F8FAC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Харлей-Давидсон</w:t>
            </w:r>
          </w:p>
        </w:tc>
        <w:tc>
          <w:tcPr>
            <w:tcW w:w="4820" w:type="dxa"/>
          </w:tcPr>
          <w:p w14:paraId="18BA32F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на снабжение ВВС.</w:t>
            </w:r>
          </w:p>
        </w:tc>
      </w:tr>
      <w:tr w:rsidR="00F26F01" w:rsidRPr="00C33834" w14:paraId="70D1FBD7" w14:textId="77777777">
        <w:tc>
          <w:tcPr>
            <w:tcW w:w="4219" w:type="dxa"/>
          </w:tcPr>
          <w:p w14:paraId="64A9C9B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Парашютная подвеска мотоцикла с коляской</w:t>
            </w:r>
          </w:p>
        </w:tc>
        <w:tc>
          <w:tcPr>
            <w:tcW w:w="4820" w:type="dxa"/>
          </w:tcPr>
          <w:p w14:paraId="60AD3B8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на снабжение. Допустить</w:t>
            </w:r>
          </w:p>
        </w:tc>
      </w:tr>
      <w:tr w:rsidR="00F26F01" w:rsidRPr="00C33834" w14:paraId="24D7D384" w14:textId="77777777">
        <w:tc>
          <w:tcPr>
            <w:tcW w:w="4219" w:type="dxa"/>
          </w:tcPr>
          <w:p w14:paraId="42B757B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0EAD2E5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войсковым испытаниям. Желательно</w:t>
            </w:r>
          </w:p>
        </w:tc>
      </w:tr>
      <w:tr w:rsidR="00F26F01" w:rsidRPr="00C33834" w14:paraId="4B4117F8" w14:textId="77777777">
        <w:tc>
          <w:tcPr>
            <w:tcW w:w="4219" w:type="dxa"/>
          </w:tcPr>
          <w:p w14:paraId="06DA37D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7C9DC2A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дальнейшее облегчение установки.</w:t>
            </w:r>
          </w:p>
        </w:tc>
      </w:tr>
      <w:tr w:rsidR="00F26F01" w:rsidRPr="00C33834" w14:paraId="0BDFC5FA" w14:textId="77777777">
        <w:tc>
          <w:tcPr>
            <w:tcW w:w="4219" w:type="dxa"/>
          </w:tcPr>
          <w:p w14:paraId="1B4171D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Парашютная подвеска для танкетки</w:t>
            </w:r>
          </w:p>
        </w:tc>
        <w:tc>
          <w:tcPr>
            <w:tcW w:w="4820" w:type="dxa"/>
          </w:tcPr>
          <w:p w14:paraId="38B827E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4B438B1" w14:textId="77777777">
        <w:tc>
          <w:tcPr>
            <w:tcW w:w="4219" w:type="dxa"/>
          </w:tcPr>
          <w:p w14:paraId="22BAC15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английского образца</w:t>
            </w:r>
          </w:p>
        </w:tc>
        <w:tc>
          <w:tcPr>
            <w:tcW w:w="4820" w:type="dxa"/>
          </w:tcPr>
          <w:p w14:paraId="7198F9C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на снабжение и допустить</w:t>
            </w:r>
          </w:p>
        </w:tc>
      </w:tr>
      <w:tr w:rsidR="00F26F01" w:rsidRPr="00C33834" w14:paraId="04572992" w14:textId="77777777">
        <w:tc>
          <w:tcPr>
            <w:tcW w:w="4219" w:type="dxa"/>
          </w:tcPr>
          <w:p w14:paraId="60EFA4A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48CB05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войсковым испытаниям. Устранить</w:t>
            </w:r>
          </w:p>
        </w:tc>
      </w:tr>
      <w:tr w:rsidR="00F26F01" w:rsidRPr="00C33834" w14:paraId="6B1FEAA8" w14:textId="77777777">
        <w:tc>
          <w:tcPr>
            <w:tcW w:w="4219" w:type="dxa"/>
          </w:tcPr>
          <w:p w14:paraId="1EE27F9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7245642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указанные комиссией дефекты.</w:t>
            </w:r>
          </w:p>
        </w:tc>
      </w:tr>
      <w:tr w:rsidR="00F26F01" w:rsidRPr="00C33834" w14:paraId="26E64349" w14:textId="77777777">
        <w:tc>
          <w:tcPr>
            <w:tcW w:w="4219" w:type="dxa"/>
          </w:tcPr>
          <w:p w14:paraId="427A1BC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187842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Предложить проработать вопрос</w:t>
            </w:r>
          </w:p>
        </w:tc>
      </w:tr>
      <w:tr w:rsidR="00F26F01" w:rsidRPr="00C33834" w14:paraId="78B6A33E" w14:textId="77777777">
        <w:tc>
          <w:tcPr>
            <w:tcW w:w="4219" w:type="dxa"/>
          </w:tcPr>
          <w:p w14:paraId="6AAFFCF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7C8796F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автоматической отцепки парашюта.</w:t>
            </w:r>
          </w:p>
        </w:tc>
      </w:tr>
      <w:tr w:rsidR="00F26F01" w:rsidRPr="00C33834" w14:paraId="7F98AC67" w14:textId="77777777">
        <w:tc>
          <w:tcPr>
            <w:tcW w:w="4219" w:type="dxa"/>
          </w:tcPr>
          <w:p w14:paraId="11A17FE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Малый авиабус под самолет Р-5</w:t>
            </w:r>
          </w:p>
        </w:tc>
        <w:tc>
          <w:tcPr>
            <w:tcW w:w="4820" w:type="dxa"/>
          </w:tcPr>
          <w:p w14:paraId="7BB5916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Допустить на вооружение ВВС и к</w:t>
            </w:r>
          </w:p>
        </w:tc>
      </w:tr>
      <w:tr w:rsidR="00F26F01" w:rsidRPr="00C33834" w14:paraId="4B2BEB77" w14:textId="77777777">
        <w:tc>
          <w:tcPr>
            <w:tcW w:w="4219" w:type="dxa"/>
          </w:tcPr>
          <w:p w14:paraId="1F1AF96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8DEECB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серийной постройке.</w:t>
            </w:r>
          </w:p>
        </w:tc>
      </w:tr>
      <w:tr w:rsidR="00F26F01" w:rsidRPr="00C33834" w14:paraId="0383C95D" w14:textId="77777777">
        <w:tc>
          <w:tcPr>
            <w:tcW w:w="4219" w:type="dxa"/>
          </w:tcPr>
          <w:p w14:paraId="6EF51CE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Авиабусная площадка под самолет ТБ-1</w:t>
            </w:r>
          </w:p>
        </w:tc>
        <w:tc>
          <w:tcPr>
            <w:tcW w:w="4820" w:type="dxa"/>
          </w:tcPr>
          <w:p w14:paraId="4C62C09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на снабжение и допустить</w:t>
            </w:r>
          </w:p>
        </w:tc>
      </w:tr>
      <w:tr w:rsidR="00F26F01" w:rsidRPr="00C33834" w14:paraId="2DE2F338" w14:textId="77777777">
        <w:tc>
          <w:tcPr>
            <w:tcW w:w="4219" w:type="dxa"/>
          </w:tcPr>
          <w:p w14:paraId="71D09A1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AB49C7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войсковым испытаниям.</w:t>
            </w:r>
          </w:p>
        </w:tc>
      </w:tr>
      <w:tr w:rsidR="00F26F01" w:rsidRPr="00C33834" w14:paraId="676FD9FE" w14:textId="77777777">
        <w:tc>
          <w:tcPr>
            <w:tcW w:w="4219" w:type="dxa"/>
          </w:tcPr>
          <w:p w14:paraId="7699867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Раскидыватель телефонного провода</w:t>
            </w:r>
          </w:p>
        </w:tc>
        <w:tc>
          <w:tcPr>
            <w:tcW w:w="4820" w:type="dxa"/>
          </w:tcPr>
          <w:p w14:paraId="7AC80B8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на снабжение и передать на</w:t>
            </w:r>
          </w:p>
        </w:tc>
      </w:tr>
      <w:tr w:rsidR="00F26F01" w:rsidRPr="00C33834" w14:paraId="1C99F106" w14:textId="77777777">
        <w:tc>
          <w:tcPr>
            <w:tcW w:w="4219" w:type="dxa"/>
          </w:tcPr>
          <w:p w14:paraId="490AC0E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3C978A1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широкие войсковые исптыания.</w:t>
            </w:r>
          </w:p>
        </w:tc>
      </w:tr>
      <w:tr w:rsidR="00F26F01" w:rsidRPr="00C33834" w14:paraId="6CF4749B" w14:textId="77777777">
        <w:tc>
          <w:tcPr>
            <w:tcW w:w="4219" w:type="dxa"/>
          </w:tcPr>
          <w:p w14:paraId="58C0240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Мягкий мешок с парашютом</w:t>
            </w:r>
          </w:p>
        </w:tc>
        <w:tc>
          <w:tcPr>
            <w:tcW w:w="4820" w:type="dxa"/>
          </w:tcPr>
          <w:p w14:paraId="5E33313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на снабжение и допустить</w:t>
            </w:r>
          </w:p>
        </w:tc>
      </w:tr>
      <w:tr w:rsidR="00F26F01" w:rsidRPr="00C33834" w14:paraId="2BDAD8C2" w14:textId="77777777">
        <w:tc>
          <w:tcPr>
            <w:tcW w:w="4219" w:type="dxa"/>
          </w:tcPr>
          <w:p w14:paraId="792A45C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5C4040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постройке войсковой серии.</w:t>
            </w:r>
          </w:p>
        </w:tc>
      </w:tr>
      <w:tr w:rsidR="00F26F01" w:rsidRPr="00C33834" w14:paraId="5D2290BA" w14:textId="77777777">
        <w:tc>
          <w:tcPr>
            <w:tcW w:w="4219" w:type="dxa"/>
          </w:tcPr>
          <w:p w14:paraId="05BA530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Круглые цилиндры с парашютами</w:t>
            </w:r>
          </w:p>
        </w:tc>
        <w:tc>
          <w:tcPr>
            <w:tcW w:w="4820" w:type="dxa"/>
          </w:tcPr>
          <w:p w14:paraId="580F46F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на снабжение. Устранить</w:t>
            </w:r>
          </w:p>
        </w:tc>
      </w:tr>
      <w:tr w:rsidR="00F26F01" w:rsidRPr="00C33834" w14:paraId="785DF09A" w14:textId="77777777">
        <w:tc>
          <w:tcPr>
            <w:tcW w:w="4219" w:type="dxa"/>
          </w:tcPr>
          <w:p w14:paraId="12171A5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1B5A759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отмеченные дефекты.</w:t>
            </w:r>
          </w:p>
        </w:tc>
      </w:tr>
      <w:tr w:rsidR="00F26F01" w:rsidRPr="00C33834" w14:paraId="004397D0" w14:textId="77777777">
        <w:tc>
          <w:tcPr>
            <w:tcW w:w="4219" w:type="dxa"/>
          </w:tcPr>
          <w:p w14:paraId="46E4407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Бензиномасляные баки с парашютами</w:t>
            </w:r>
          </w:p>
        </w:tc>
        <w:tc>
          <w:tcPr>
            <w:tcW w:w="4820" w:type="dxa"/>
          </w:tcPr>
          <w:p w14:paraId="3D8A5DF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на снабжение.</w:t>
            </w:r>
          </w:p>
        </w:tc>
      </w:tr>
      <w:tr w:rsidR="00F26F01" w:rsidRPr="00C33834" w14:paraId="4A3DE2E5" w14:textId="77777777">
        <w:tc>
          <w:tcPr>
            <w:tcW w:w="4219" w:type="dxa"/>
          </w:tcPr>
          <w:p w14:paraId="3C23BA3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Клеть для сбрасывания грузов с парашютом</w:t>
            </w:r>
          </w:p>
        </w:tc>
        <w:tc>
          <w:tcPr>
            <w:tcW w:w="4820" w:type="dxa"/>
          </w:tcPr>
          <w:p w14:paraId="41AAA30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на снабжение и передать на</w:t>
            </w:r>
          </w:p>
        </w:tc>
      </w:tr>
      <w:tr w:rsidR="00F26F01" w:rsidRPr="00C33834" w14:paraId="4DE33502" w14:textId="77777777">
        <w:tc>
          <w:tcPr>
            <w:tcW w:w="4219" w:type="dxa"/>
          </w:tcPr>
          <w:p w14:paraId="4336355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11AA509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войсковые исптыания. Устранить</w:t>
            </w:r>
          </w:p>
        </w:tc>
      </w:tr>
      <w:tr w:rsidR="00F26F01" w:rsidRPr="00C33834" w14:paraId="493F1DF7" w14:textId="77777777">
        <w:tc>
          <w:tcPr>
            <w:tcW w:w="4219" w:type="dxa"/>
          </w:tcPr>
          <w:p w14:paraId="20755A6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51190E1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указанные дефекты.</w:t>
            </w:r>
          </w:p>
        </w:tc>
      </w:tr>
      <w:tr w:rsidR="00F26F01" w:rsidRPr="00C33834" w14:paraId="115B52B6" w14:textId="77777777">
        <w:tc>
          <w:tcPr>
            <w:tcW w:w="4219" w:type="dxa"/>
          </w:tcPr>
          <w:p w14:paraId="156D65C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Вышки для тренировки парашютистов</w:t>
            </w:r>
          </w:p>
        </w:tc>
        <w:tc>
          <w:tcPr>
            <w:tcW w:w="4820" w:type="dxa"/>
          </w:tcPr>
          <w:p w14:paraId="20E5222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на снабжение ВВС.</w:t>
            </w:r>
          </w:p>
        </w:tc>
      </w:tr>
      <w:tr w:rsidR="00F26F01" w:rsidRPr="00C33834" w14:paraId="37CE4233" w14:textId="77777777">
        <w:tc>
          <w:tcPr>
            <w:tcW w:w="4219" w:type="dxa"/>
          </w:tcPr>
          <w:p w14:paraId="7780DA3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Ударная агитбомба</w:t>
            </w:r>
          </w:p>
        </w:tc>
        <w:tc>
          <w:tcPr>
            <w:tcW w:w="4820" w:type="dxa"/>
          </w:tcPr>
          <w:p w14:paraId="254088D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на снабжение ВВС и</w:t>
            </w:r>
          </w:p>
        </w:tc>
      </w:tr>
      <w:tr w:rsidR="00F26F01" w:rsidRPr="00C33834" w14:paraId="0127968C" w14:textId="77777777">
        <w:tc>
          <w:tcPr>
            <w:tcW w:w="4219" w:type="dxa"/>
          </w:tcPr>
          <w:p w14:paraId="7ECE6AC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4FE4373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Политуправления.</w:t>
            </w:r>
          </w:p>
        </w:tc>
      </w:tr>
      <w:tr w:rsidR="00F26F01" w:rsidRPr="00C33834" w14:paraId="63C979A1" w14:textId="77777777">
        <w:tc>
          <w:tcPr>
            <w:tcW w:w="4219" w:type="dxa"/>
          </w:tcPr>
          <w:p w14:paraId="66C7309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Вертикальная агит-мина</w:t>
            </w:r>
          </w:p>
        </w:tc>
        <w:tc>
          <w:tcPr>
            <w:tcW w:w="4820" w:type="dxa"/>
          </w:tcPr>
          <w:p w14:paraId="02A0898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Подлежит дальнейшей проработке.</w:t>
            </w:r>
          </w:p>
        </w:tc>
      </w:tr>
      <w:tr w:rsidR="00F26F01" w:rsidRPr="00C33834" w14:paraId="5B96759C" w14:textId="77777777">
        <w:tc>
          <w:tcPr>
            <w:tcW w:w="4219" w:type="dxa"/>
          </w:tcPr>
          <w:p w14:paraId="434BF10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Литературная агит-кассета</w:t>
            </w:r>
          </w:p>
        </w:tc>
        <w:tc>
          <w:tcPr>
            <w:tcW w:w="4820" w:type="dxa"/>
          </w:tcPr>
          <w:p w14:paraId="536B6F3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на снабжение ВВС и</w:t>
            </w:r>
          </w:p>
        </w:tc>
      </w:tr>
      <w:tr w:rsidR="00F26F01" w:rsidRPr="00C33834" w14:paraId="61947EE6" w14:textId="77777777">
        <w:tc>
          <w:tcPr>
            <w:tcW w:w="4219" w:type="dxa"/>
          </w:tcPr>
          <w:p w14:paraId="362AB95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2015060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Политуправления с передачей на</w:t>
            </w:r>
          </w:p>
        </w:tc>
      </w:tr>
      <w:tr w:rsidR="00F26F01" w:rsidRPr="00C33834" w14:paraId="67142CFE" w14:textId="77777777">
        <w:tc>
          <w:tcPr>
            <w:tcW w:w="4219" w:type="dxa"/>
          </w:tcPr>
          <w:p w14:paraId="18D5274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4450B3F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войсковые испытания.</w:t>
            </w:r>
          </w:p>
        </w:tc>
      </w:tr>
      <w:tr w:rsidR="00F26F01" w:rsidRPr="00C33834" w14:paraId="582631AC" w14:textId="77777777">
        <w:tc>
          <w:tcPr>
            <w:tcW w:w="4219" w:type="dxa"/>
          </w:tcPr>
          <w:p w14:paraId="0C0F039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Горизонтальная агит-кассета под ТБ-1</w:t>
            </w:r>
          </w:p>
        </w:tc>
        <w:tc>
          <w:tcPr>
            <w:tcW w:w="4820" w:type="dxa"/>
          </w:tcPr>
          <w:p w14:paraId="3708656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на снабжение ВВС и</w:t>
            </w:r>
          </w:p>
        </w:tc>
      </w:tr>
      <w:tr w:rsidR="00F26F01" w:rsidRPr="00C33834" w14:paraId="61D70015" w14:textId="77777777">
        <w:tc>
          <w:tcPr>
            <w:tcW w:w="4219" w:type="dxa"/>
          </w:tcPr>
          <w:p w14:paraId="4C4C81D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2E1E776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Политуправления и допустить к</w:t>
            </w:r>
          </w:p>
        </w:tc>
      </w:tr>
      <w:tr w:rsidR="00F26F01" w:rsidRPr="00C33834" w14:paraId="7F43BB35" w14:textId="77777777">
        <w:tc>
          <w:tcPr>
            <w:tcW w:w="4219" w:type="dxa"/>
          </w:tcPr>
          <w:p w14:paraId="102B0DC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5EBC779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войсковым испытаниям.</w:t>
            </w:r>
          </w:p>
        </w:tc>
      </w:tr>
      <w:tr w:rsidR="00F26F01" w:rsidRPr="00C33834" w14:paraId="08A5621A" w14:textId="77777777">
        <w:tc>
          <w:tcPr>
            <w:tcW w:w="4219" w:type="dxa"/>
          </w:tcPr>
          <w:p w14:paraId="6471CFA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Раскрывающаяся агитбомба</w:t>
            </w:r>
          </w:p>
        </w:tc>
        <w:tc>
          <w:tcPr>
            <w:tcW w:w="4820" w:type="dxa"/>
          </w:tcPr>
          <w:p w14:paraId="7D38D73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Дала неудовлетворительные результаты.</w:t>
            </w:r>
          </w:p>
        </w:tc>
      </w:tr>
      <w:tr w:rsidR="00F26F01" w:rsidRPr="00C33834" w14:paraId="49D7CD6E" w14:textId="77777777">
        <w:tc>
          <w:tcPr>
            <w:tcW w:w="4219" w:type="dxa"/>
          </w:tcPr>
          <w:p w14:paraId="4BB1428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A513E8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Подлежит дальнейшей проработке.</w:t>
            </w:r>
          </w:p>
        </w:tc>
      </w:tr>
      <w:tr w:rsidR="00F26F01" w:rsidRPr="00C33834" w14:paraId="6D4BC61A" w14:textId="77777777">
        <w:tc>
          <w:tcPr>
            <w:tcW w:w="4219" w:type="dxa"/>
          </w:tcPr>
          <w:p w14:paraId="76F0C46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Санитарная кабина под ТБ-1</w:t>
            </w:r>
          </w:p>
        </w:tc>
        <w:tc>
          <w:tcPr>
            <w:tcW w:w="4820" w:type="dxa"/>
          </w:tcPr>
          <w:p w14:paraId="0DAAD22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на снабжение при условии</w:t>
            </w:r>
          </w:p>
        </w:tc>
      </w:tr>
      <w:tr w:rsidR="00F26F01" w:rsidRPr="00C33834" w14:paraId="224BB0BE" w14:textId="77777777">
        <w:tc>
          <w:tcPr>
            <w:tcW w:w="4219" w:type="dxa"/>
          </w:tcPr>
          <w:p w14:paraId="0EFBC14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B3318C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устранения указанных дефектов и</w:t>
            </w:r>
          </w:p>
        </w:tc>
      </w:tr>
      <w:tr w:rsidR="00F26F01" w:rsidRPr="00C33834" w14:paraId="4CB14820" w14:textId="77777777">
        <w:tc>
          <w:tcPr>
            <w:tcW w:w="4219" w:type="dxa"/>
          </w:tcPr>
          <w:p w14:paraId="4CC8201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348425F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заменой системы крепления.</w:t>
            </w:r>
          </w:p>
        </w:tc>
      </w:tr>
      <w:tr w:rsidR="00F26F01" w:rsidRPr="00C33834" w14:paraId="59B8E303" w14:textId="77777777">
        <w:tc>
          <w:tcPr>
            <w:tcW w:w="4219" w:type="dxa"/>
          </w:tcPr>
          <w:p w14:paraId="4828D3D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Экспериментальная 100 кг мина</w:t>
            </w:r>
          </w:p>
        </w:tc>
        <w:tc>
          <w:tcPr>
            <w:tcW w:w="4820" w:type="dxa"/>
          </w:tcPr>
          <w:p w14:paraId="615374E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Мина в предъявленном виде</w:t>
            </w:r>
          </w:p>
        </w:tc>
      </w:tr>
      <w:tr w:rsidR="00F26F01" w:rsidRPr="00C33834" w14:paraId="09DBC739" w14:textId="77777777">
        <w:tc>
          <w:tcPr>
            <w:tcW w:w="4219" w:type="dxa"/>
          </w:tcPr>
          <w:p w14:paraId="24E9D82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3A16703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практического применения иметь не</w:t>
            </w:r>
          </w:p>
        </w:tc>
      </w:tr>
      <w:tr w:rsidR="00F26F01" w:rsidRPr="00C33834" w14:paraId="2B47B115" w14:textId="77777777">
        <w:tc>
          <w:tcPr>
            <w:tcW w:w="4219" w:type="dxa"/>
          </w:tcPr>
          <w:p w14:paraId="4F7695F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13652BA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может. Необходимы дальнейшие</w:t>
            </w:r>
          </w:p>
        </w:tc>
      </w:tr>
      <w:tr w:rsidR="00F26F01" w:rsidRPr="00C33834" w14:paraId="04182AAC" w14:textId="77777777">
        <w:tc>
          <w:tcPr>
            <w:tcW w:w="4219" w:type="dxa"/>
          </w:tcPr>
          <w:p w14:paraId="7861343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441C132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в этой области.</w:t>
            </w:r>
          </w:p>
        </w:tc>
      </w:tr>
      <w:tr w:rsidR="00F26F01" w:rsidRPr="00C33834" w14:paraId="1A53D2D2" w14:textId="77777777">
        <w:tc>
          <w:tcPr>
            <w:tcW w:w="4219" w:type="dxa"/>
          </w:tcPr>
          <w:p w14:paraId="2E29B7F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12-ти метровый грузовой парашют</w:t>
            </w:r>
          </w:p>
        </w:tc>
        <w:tc>
          <w:tcPr>
            <w:tcW w:w="4820" w:type="dxa"/>
          </w:tcPr>
          <w:p w14:paraId="118444E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 с испытания как уже испытанный</w:t>
            </w:r>
          </w:p>
        </w:tc>
      </w:tr>
      <w:tr w:rsidR="00F26F01" w:rsidRPr="00C33834" w14:paraId="7A0FC5B4" w14:textId="77777777">
        <w:tc>
          <w:tcPr>
            <w:tcW w:w="4219" w:type="dxa"/>
          </w:tcPr>
          <w:p w14:paraId="1CCB7CA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457A25F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НИИ ВВС и принятый на снабжение в</w:t>
            </w:r>
          </w:p>
        </w:tc>
      </w:tr>
      <w:tr w:rsidR="00F26F01" w:rsidRPr="00C33834" w14:paraId="442BF6DA" w14:textId="77777777">
        <w:tc>
          <w:tcPr>
            <w:tcW w:w="4219" w:type="dxa"/>
          </w:tcPr>
          <w:p w14:paraId="4A207B1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5B1EB5A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мае текущего года.</w:t>
            </w:r>
          </w:p>
        </w:tc>
      </w:tr>
      <w:tr w:rsidR="00F26F01" w:rsidRPr="00C33834" w14:paraId="23E3CA18" w14:textId="77777777">
        <w:tc>
          <w:tcPr>
            <w:tcW w:w="4219" w:type="dxa"/>
          </w:tcPr>
          <w:p w14:paraId="65A9D69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20-ти метровый грузовой парашют</w:t>
            </w:r>
          </w:p>
        </w:tc>
        <w:tc>
          <w:tcPr>
            <w:tcW w:w="4820" w:type="dxa"/>
          </w:tcPr>
          <w:p w14:paraId="3F9A776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 с испытания как уже испытанный</w:t>
            </w:r>
          </w:p>
        </w:tc>
      </w:tr>
      <w:tr w:rsidR="00F26F01" w:rsidRPr="00C33834" w14:paraId="652C5DF1" w14:textId="77777777">
        <w:tc>
          <w:tcPr>
            <w:tcW w:w="4219" w:type="dxa"/>
          </w:tcPr>
          <w:p w14:paraId="74CCB11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BB3A0C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НИИ ВВС и принятый на снабжение в</w:t>
            </w:r>
          </w:p>
        </w:tc>
      </w:tr>
      <w:tr w:rsidR="00F26F01" w:rsidRPr="00C33834" w14:paraId="5FE8DCBD" w14:textId="77777777">
        <w:tc>
          <w:tcPr>
            <w:tcW w:w="4219" w:type="dxa"/>
          </w:tcPr>
          <w:p w14:paraId="721CCA6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558EBCA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мае текущего года.</w:t>
            </w:r>
          </w:p>
        </w:tc>
      </w:tr>
      <w:tr w:rsidR="00F26F01" w:rsidRPr="00C33834" w14:paraId="2CC2870C" w14:textId="77777777">
        <w:tc>
          <w:tcPr>
            <w:tcW w:w="4219" w:type="dxa"/>
          </w:tcPr>
          <w:p w14:paraId="036918B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 местная кабина под ТБ-3</w:t>
            </w:r>
          </w:p>
        </w:tc>
        <w:tc>
          <w:tcPr>
            <w:tcW w:w="4820" w:type="dxa"/>
          </w:tcPr>
          <w:p w14:paraId="71E657C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испытана из-за отсутствия ТБ-3.</w:t>
            </w:r>
          </w:p>
        </w:tc>
      </w:tr>
      <w:tr w:rsidR="00F26F01" w:rsidRPr="00C33834" w14:paraId="33D86C3A" w14:textId="77777777">
        <w:tc>
          <w:tcPr>
            <w:tcW w:w="4219" w:type="dxa"/>
          </w:tcPr>
          <w:p w14:paraId="3DC3A6B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 метровый парашют</w:t>
            </w:r>
          </w:p>
        </w:tc>
        <w:tc>
          <w:tcPr>
            <w:tcW w:w="4820" w:type="dxa"/>
          </w:tcPr>
          <w:p w14:paraId="15DF554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испытана из-за отсутствия ТБ-3.</w:t>
            </w:r>
          </w:p>
        </w:tc>
      </w:tr>
      <w:tr w:rsidR="00F26F01" w:rsidRPr="00C33834" w14:paraId="0D65DE52" w14:textId="77777777">
        <w:tc>
          <w:tcPr>
            <w:tcW w:w="4219" w:type="dxa"/>
          </w:tcPr>
          <w:p w14:paraId="10BCAD3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Буксируемый планер</w:t>
            </w:r>
          </w:p>
        </w:tc>
        <w:tc>
          <w:tcPr>
            <w:tcW w:w="4820" w:type="dxa"/>
          </w:tcPr>
          <w:p w14:paraId="314DB6A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 с испытаний из-за повреждений</w:t>
            </w:r>
          </w:p>
        </w:tc>
      </w:tr>
      <w:tr w:rsidR="00F26F01" w:rsidRPr="00C33834" w14:paraId="588D91CD" w14:textId="77777777">
        <w:tc>
          <w:tcPr>
            <w:tcW w:w="4219" w:type="dxa"/>
          </w:tcPr>
          <w:p w14:paraId="180EB09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0699E25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процессе испытаний.</w:t>
            </w:r>
          </w:p>
        </w:tc>
      </w:tr>
      <w:tr w:rsidR="00F26F01" w:rsidRPr="00C33834" w14:paraId="7621904D" w14:textId="77777777">
        <w:tc>
          <w:tcPr>
            <w:tcW w:w="4219" w:type="dxa"/>
          </w:tcPr>
          <w:p w14:paraId="4A1F500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Треугольный конус для воздушной стрельбы</w:t>
            </w:r>
          </w:p>
        </w:tc>
        <w:tc>
          <w:tcPr>
            <w:tcW w:w="4820" w:type="dxa"/>
          </w:tcPr>
          <w:p w14:paraId="2E4DB4E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 с испытания из-за неокончания</w:t>
            </w:r>
          </w:p>
        </w:tc>
      </w:tr>
      <w:tr w:rsidR="00F26F01" w:rsidRPr="00C33834" w14:paraId="583F7A13" w14:textId="77777777">
        <w:tc>
          <w:tcPr>
            <w:tcW w:w="4219" w:type="dxa"/>
          </w:tcPr>
          <w:p w14:paraId="00A9D56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0E6BCA6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проработки.</w:t>
            </w:r>
          </w:p>
        </w:tc>
      </w:tr>
      <w:tr w:rsidR="00F26F01" w:rsidRPr="00C33834" w14:paraId="7AB4082C" w14:textId="77777777">
        <w:tc>
          <w:tcPr>
            <w:tcW w:w="4219" w:type="dxa"/>
          </w:tcPr>
          <w:p w14:paraId="163B0EE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Радио-танк и самолет</w:t>
            </w:r>
          </w:p>
        </w:tc>
        <w:tc>
          <w:tcPr>
            <w:tcW w:w="4820" w:type="dxa"/>
          </w:tcPr>
          <w:p w14:paraId="72B73D3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 с испытания из-за неокончания</w:t>
            </w:r>
          </w:p>
        </w:tc>
      </w:tr>
      <w:tr w:rsidR="00F26F01" w:rsidRPr="00C33834" w14:paraId="0459002D" w14:textId="77777777">
        <w:tc>
          <w:tcPr>
            <w:tcW w:w="4219" w:type="dxa"/>
          </w:tcPr>
          <w:p w14:paraId="67AA6BC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0FF6A65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проработки.</w:t>
            </w:r>
          </w:p>
        </w:tc>
      </w:tr>
      <w:tr w:rsidR="00F26F01" w:rsidRPr="00C33834" w14:paraId="76F1A242" w14:textId="77777777">
        <w:tc>
          <w:tcPr>
            <w:tcW w:w="4219" w:type="dxa"/>
          </w:tcPr>
          <w:p w14:paraId="65686F4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Переливка бензина в воздухе с Р-5 на ТБ1</w:t>
            </w:r>
          </w:p>
        </w:tc>
        <w:tc>
          <w:tcPr>
            <w:tcW w:w="4820" w:type="dxa"/>
          </w:tcPr>
          <w:p w14:paraId="7281C1B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испытано из-за низкой облачности</w:t>
            </w:r>
          </w:p>
        </w:tc>
      </w:tr>
      <w:tr w:rsidR="00F26F01" w:rsidRPr="00C33834" w14:paraId="33C2B04A" w14:textId="77777777">
        <w:tc>
          <w:tcPr>
            <w:tcW w:w="4219" w:type="dxa"/>
          </w:tcPr>
          <w:p w14:paraId="2EEAA5E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7AEB665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сильных ветров.</w:t>
            </w:r>
          </w:p>
        </w:tc>
      </w:tr>
      <w:tr w:rsidR="00F26F01" w:rsidRPr="00C33834" w14:paraId="635CCB0D" w14:textId="77777777">
        <w:tc>
          <w:tcPr>
            <w:tcW w:w="4219" w:type="dxa"/>
          </w:tcPr>
          <w:p w14:paraId="4EF1CAD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Дессантный парашют</w:t>
            </w:r>
          </w:p>
        </w:tc>
        <w:tc>
          <w:tcPr>
            <w:tcW w:w="4820" w:type="dxa"/>
          </w:tcPr>
          <w:p w14:paraId="2CFF90A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 с испытания из-за недоработки</w:t>
            </w:r>
          </w:p>
        </w:tc>
      </w:tr>
      <w:tr w:rsidR="00F26F01" w:rsidRPr="00C33834" w14:paraId="366A8BAB" w14:textId="77777777">
        <w:tc>
          <w:tcPr>
            <w:tcW w:w="4219" w:type="dxa"/>
          </w:tcPr>
          <w:p w14:paraId="79E6AC0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21618CF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конструкции (8853,125-127)</w:t>
            </w:r>
          </w:p>
        </w:tc>
      </w:tr>
    </w:tbl>
    <w:p w14:paraId="307CFD15"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10A196E" w14:textId="77777777" w:rsidR="00760051" w:rsidRPr="00C33834" w:rsidRDefault="0076005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16 октября 1933 г. комиссия под предсе</w:t>
      </w:r>
      <w:r w:rsidRPr="00C33834">
        <w:rPr>
          <w:rFonts w:ascii="Times New Roman" w:hAnsi="Times New Roman"/>
          <w:color w:val="0070C0"/>
          <w:sz w:val="16"/>
          <w:szCs w:val="16"/>
        </w:rPr>
        <w:softHyphen/>
        <w:t>дательством начальника ЦУ ЕГМС СССР про</w:t>
      </w:r>
      <w:r w:rsidRPr="00C33834">
        <w:rPr>
          <w:rFonts w:ascii="Times New Roman" w:hAnsi="Times New Roman"/>
          <w:color w:val="0070C0"/>
          <w:sz w:val="16"/>
          <w:szCs w:val="16"/>
        </w:rPr>
        <w:softHyphen/>
        <w:t>фессора А.Ф. Вангенгейма объявила, что она «на основании анализа всей совокупности дан</w:t>
      </w:r>
      <w:r w:rsidRPr="00C33834">
        <w:rPr>
          <w:rFonts w:ascii="Times New Roman" w:hAnsi="Times New Roman"/>
          <w:color w:val="0070C0"/>
          <w:sz w:val="16"/>
          <w:szCs w:val="16"/>
        </w:rPr>
        <w:softHyphen/>
        <w:t>ных о высоте подъёма — считает установлен</w:t>
      </w:r>
      <w:r w:rsidRPr="00C33834">
        <w:rPr>
          <w:rFonts w:ascii="Times New Roman" w:hAnsi="Times New Roman"/>
          <w:color w:val="0070C0"/>
          <w:sz w:val="16"/>
          <w:szCs w:val="16"/>
        </w:rPr>
        <w:softHyphen/>
        <w:t>ной максимальную высоту подъёма стратостата «СССР-1» 30 сентября 1933 г. в промежутке вре</w:t>
      </w:r>
      <w:r w:rsidRPr="00C33834">
        <w:rPr>
          <w:rFonts w:ascii="Times New Roman" w:hAnsi="Times New Roman"/>
          <w:color w:val="0070C0"/>
          <w:sz w:val="16"/>
          <w:szCs w:val="16"/>
        </w:rPr>
        <w:softHyphen/>
        <w:t>мени между 13 час. и 13 час. 20 мин. в 19 км над уровнем моря».</w:t>
      </w:r>
    </w:p>
    <w:p w14:paraId="3B7E66C1" w14:textId="77777777" w:rsidR="00760051" w:rsidRPr="00C33834" w:rsidRDefault="0076005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Пиккар болезненно воспринял успех «СССР-1» и публично отрицал достижение стратонавтами высоты 19 км, несмотря на то, что её определили не только по запломбированному барометру, но и тригонометрическими измерениями с земли.</w:t>
      </w:r>
    </w:p>
    <w:p w14:paraId="7B38D320" w14:textId="77777777" w:rsidR="00760051" w:rsidRPr="00C33834" w:rsidRDefault="0076005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процессе подготовки к полёту учёные ГГО создали ряд научных приборов и мето</w:t>
      </w:r>
      <w:r w:rsidRPr="00C33834">
        <w:rPr>
          <w:rFonts w:ascii="Times New Roman" w:hAnsi="Times New Roman"/>
          <w:color w:val="0070C0"/>
          <w:sz w:val="16"/>
          <w:szCs w:val="16"/>
        </w:rPr>
        <w:softHyphen/>
        <w:t>дик. А.Б. Вериго разработал методику наблю</w:t>
      </w:r>
      <w:r w:rsidRPr="00C33834">
        <w:rPr>
          <w:rFonts w:ascii="Times New Roman" w:hAnsi="Times New Roman"/>
          <w:color w:val="0070C0"/>
          <w:sz w:val="16"/>
          <w:szCs w:val="16"/>
        </w:rPr>
        <w:softHyphen/>
        <w:t>дения над интенсивностью космических лучей, М.И. Гольцман сконструировал устройство для отбора проб воздуха атмосферы и создал мето</w:t>
      </w:r>
      <w:r w:rsidRPr="00C33834">
        <w:rPr>
          <w:rFonts w:ascii="Times New Roman" w:hAnsi="Times New Roman"/>
          <w:color w:val="0070C0"/>
          <w:sz w:val="16"/>
          <w:szCs w:val="16"/>
        </w:rPr>
        <w:softHyphen/>
        <w:t>дику определения влажности воздуха. П.А. Мол</w:t>
      </w:r>
      <w:r w:rsidRPr="00C33834">
        <w:rPr>
          <w:rFonts w:ascii="Times New Roman" w:hAnsi="Times New Roman"/>
          <w:color w:val="0070C0"/>
          <w:sz w:val="16"/>
          <w:szCs w:val="16"/>
        </w:rPr>
        <w:softHyphen/>
        <w:t>чанов изготовил метеорографы для регистрации температуры, давления и влажности воздуха, а также методику базисных наблюдений за по</w:t>
      </w:r>
      <w:r w:rsidRPr="00C33834">
        <w:rPr>
          <w:rFonts w:ascii="Times New Roman" w:hAnsi="Times New Roman"/>
          <w:color w:val="0070C0"/>
          <w:sz w:val="16"/>
          <w:szCs w:val="16"/>
        </w:rPr>
        <w:softHyphen/>
        <w:t>лётом. С.И. Савинов и В.Г. Третьяков разрабо</w:t>
      </w:r>
      <w:r w:rsidRPr="00C33834">
        <w:rPr>
          <w:rFonts w:ascii="Times New Roman" w:hAnsi="Times New Roman"/>
          <w:color w:val="0070C0"/>
          <w:sz w:val="16"/>
          <w:szCs w:val="16"/>
        </w:rPr>
        <w:softHyphen/>
        <w:t>тали специальные ртутные и легкожидкостные барометры и электрические платиновые термо</w:t>
      </w:r>
      <w:r w:rsidRPr="00C33834">
        <w:rPr>
          <w:rFonts w:ascii="Times New Roman" w:hAnsi="Times New Roman"/>
          <w:color w:val="0070C0"/>
          <w:sz w:val="16"/>
          <w:szCs w:val="16"/>
        </w:rPr>
        <w:softHyphen/>
        <w:t>метры для наблюдения давления и температуры. Н.Н. Калитин и Ю.Д. Янишевский создал мето</w:t>
      </w:r>
      <w:r w:rsidRPr="00C33834">
        <w:rPr>
          <w:rFonts w:ascii="Times New Roman" w:hAnsi="Times New Roman"/>
          <w:color w:val="0070C0"/>
          <w:sz w:val="16"/>
          <w:szCs w:val="16"/>
        </w:rPr>
        <w:softHyphen/>
        <w:t>дику и аппаратуру для наблюдения солнечной и рассеянной радиации, П.Н. Тверской и В.И. Ге</w:t>
      </w:r>
      <w:r w:rsidRPr="00C33834">
        <w:rPr>
          <w:rFonts w:ascii="Times New Roman" w:hAnsi="Times New Roman"/>
          <w:color w:val="0070C0"/>
          <w:sz w:val="16"/>
          <w:szCs w:val="16"/>
        </w:rPr>
        <w:softHyphen/>
        <w:t>расименко — аппаратуру для наблюдения над напряжённостью электрического поля и про</w:t>
      </w:r>
      <w:r w:rsidRPr="00C33834">
        <w:rPr>
          <w:rFonts w:ascii="Times New Roman" w:hAnsi="Times New Roman"/>
          <w:color w:val="0070C0"/>
          <w:sz w:val="16"/>
          <w:szCs w:val="16"/>
        </w:rPr>
        <w:softHyphen/>
        <w:t>водимостью атмосферы. Но большинство этих приборов в полёт не взяли, чтобы не перегрузить аэростат и сосредоточить внимание наблюдате</w:t>
      </w:r>
      <w:r w:rsidRPr="00C33834">
        <w:rPr>
          <w:rFonts w:ascii="Times New Roman" w:hAnsi="Times New Roman"/>
          <w:color w:val="0070C0"/>
          <w:sz w:val="16"/>
          <w:szCs w:val="16"/>
        </w:rPr>
        <w:softHyphen/>
        <w:t>лей на меньшем количестве приборов.</w:t>
      </w:r>
    </w:p>
    <w:p w14:paraId="4E086ABC" w14:textId="77777777" w:rsidR="00760051" w:rsidRPr="00C33834" w:rsidRDefault="0076005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Наблюдения над космическими лучами велись электрометрами Гесса (СССР) и Кольхёрстера (Германия). Их результаты хорошо коррелиро</w:t>
      </w:r>
      <w:r w:rsidRPr="00C33834">
        <w:rPr>
          <w:rFonts w:ascii="Times New Roman" w:hAnsi="Times New Roman"/>
          <w:color w:val="0070C0"/>
          <w:sz w:val="16"/>
          <w:szCs w:val="16"/>
        </w:rPr>
        <w:softHyphen/>
        <w:t>вали с данными, полученными Пиккаром32. От</w:t>
      </w:r>
      <w:r w:rsidRPr="00C33834">
        <w:rPr>
          <w:rFonts w:ascii="Times New Roman" w:hAnsi="Times New Roman"/>
          <w:color w:val="0070C0"/>
          <w:sz w:val="16"/>
          <w:szCs w:val="16"/>
        </w:rPr>
        <w:softHyphen/>
        <w:t>мечался рост интенсивность космического излу</w:t>
      </w:r>
      <w:r w:rsidRPr="00C33834">
        <w:rPr>
          <w:rFonts w:ascii="Times New Roman" w:hAnsi="Times New Roman"/>
          <w:color w:val="0070C0"/>
          <w:sz w:val="16"/>
          <w:szCs w:val="16"/>
        </w:rPr>
        <w:softHyphen/>
        <w:t>чения с высотой (на 17 000 м она почти в 200 раз превышала интенсивность на уровне моря), что ещё раз подтвердило гипотезу внеземного проис</w:t>
      </w:r>
      <w:r w:rsidRPr="00C33834">
        <w:rPr>
          <w:rFonts w:ascii="Times New Roman" w:hAnsi="Times New Roman"/>
          <w:color w:val="0070C0"/>
          <w:sz w:val="16"/>
          <w:szCs w:val="16"/>
        </w:rPr>
        <w:softHyphen/>
        <w:t>хождения космических лучей.</w:t>
      </w:r>
    </w:p>
    <w:p w14:paraId="33F38EBB" w14:textId="77777777" w:rsidR="00760051" w:rsidRPr="00C33834" w:rsidRDefault="0076005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Анализ проб воздуха, взятых приборами кон</w:t>
      </w:r>
      <w:r w:rsidRPr="00C33834">
        <w:rPr>
          <w:rFonts w:ascii="Times New Roman" w:hAnsi="Times New Roman"/>
          <w:color w:val="0070C0"/>
          <w:sz w:val="16"/>
          <w:szCs w:val="16"/>
        </w:rPr>
        <w:softHyphen/>
        <w:t>струкции М.И. Гольцмана, показал, что на вы</w:t>
      </w:r>
      <w:r w:rsidRPr="00C33834">
        <w:rPr>
          <w:rFonts w:ascii="Times New Roman" w:hAnsi="Times New Roman"/>
          <w:color w:val="0070C0"/>
          <w:sz w:val="16"/>
          <w:szCs w:val="16"/>
        </w:rPr>
        <w:softHyphen/>
        <w:t>соте 18000 м его состав мало отличается от при</w:t>
      </w:r>
      <w:r w:rsidRPr="00C33834">
        <w:rPr>
          <w:rFonts w:ascii="Times New Roman" w:hAnsi="Times New Roman"/>
          <w:color w:val="0070C0"/>
          <w:sz w:val="16"/>
          <w:szCs w:val="16"/>
        </w:rPr>
        <w:softHyphen/>
        <w:t>земного (78,13% азота, 20,95% кислорода и 0,92% аргона и инертных газов), что соответствовало результатам, полученным ещё в конце 90-х годов XIX в. Кальете (Франция). Близость состава стра</w:t>
      </w:r>
      <w:r w:rsidRPr="00C33834">
        <w:rPr>
          <w:rFonts w:ascii="Times New Roman" w:hAnsi="Times New Roman"/>
          <w:color w:val="0070C0"/>
          <w:sz w:val="16"/>
          <w:szCs w:val="16"/>
        </w:rPr>
        <w:softHyphen/>
        <w:t>тосферного и тропосферного воздуха означала возможность полётов в стратосфере аэропланов как с двигателями внутреннего сгорания (с ком</w:t>
      </w:r>
      <w:r w:rsidRPr="00C33834">
        <w:rPr>
          <w:rFonts w:ascii="Times New Roman" w:hAnsi="Times New Roman"/>
          <w:color w:val="0070C0"/>
          <w:sz w:val="16"/>
          <w:szCs w:val="16"/>
        </w:rPr>
        <w:softHyphen/>
        <w:t>прессорами), так и с воздушно-реактивными двигателями. Влажность стратосферного воздуха неожиданно оказалась меньше порога чувстви</w:t>
      </w:r>
      <w:r w:rsidRPr="00C33834">
        <w:rPr>
          <w:rFonts w:ascii="Times New Roman" w:hAnsi="Times New Roman"/>
          <w:color w:val="0070C0"/>
          <w:sz w:val="16"/>
          <w:szCs w:val="16"/>
        </w:rPr>
        <w:softHyphen/>
        <w:t>тельности метода её определения. Исследование работы температурных приёмников метеорогра</w:t>
      </w:r>
      <w:r w:rsidRPr="00C33834">
        <w:rPr>
          <w:rFonts w:ascii="Times New Roman" w:hAnsi="Times New Roman"/>
          <w:color w:val="0070C0"/>
          <w:sz w:val="16"/>
          <w:szCs w:val="16"/>
        </w:rPr>
        <w:softHyphen/>
        <w:t>фа позволило определить критерий эффектив</w:t>
      </w:r>
      <w:r w:rsidRPr="00C33834">
        <w:rPr>
          <w:rFonts w:ascii="Times New Roman" w:hAnsi="Times New Roman"/>
          <w:color w:val="0070C0"/>
          <w:sz w:val="16"/>
          <w:szCs w:val="16"/>
        </w:rPr>
        <w:softHyphen/>
        <w:t>ности вентиляционного потока воздуха (20120).</w:t>
      </w:r>
    </w:p>
    <w:p w14:paraId="21B76D02" w14:textId="77777777" w:rsidR="00760051" w:rsidRPr="00C33834" w:rsidRDefault="00760051" w:rsidP="00C33834">
      <w:pPr>
        <w:spacing w:after="0" w:line="240" w:lineRule="auto"/>
        <w:jc w:val="both"/>
        <w:rPr>
          <w:rFonts w:ascii="Times New Roman" w:hAnsi="Times New Roman"/>
          <w:color w:val="0070C0"/>
          <w:sz w:val="16"/>
          <w:szCs w:val="16"/>
        </w:rPr>
      </w:pPr>
    </w:p>
    <w:p w14:paraId="4605DFED" w14:textId="77777777" w:rsidR="00AA4C7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6A6C6402" w14:textId="77777777" w:rsidR="00AA4C72" w:rsidRPr="00C33834" w:rsidRDefault="00AA4C7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B45838E" w14:textId="77777777" w:rsidR="00AA4C72" w:rsidRPr="00C33834" w:rsidRDefault="00AA4C72" w:rsidP="00C33834">
      <w:pPr>
        <w:pStyle w:val="rtejustify"/>
        <w:spacing w:before="0" w:after="0"/>
        <w:rPr>
          <w:color w:val="000000" w:themeColor="text1"/>
          <w:sz w:val="16"/>
          <w:szCs w:val="16"/>
        </w:rPr>
      </w:pPr>
      <w:r w:rsidRPr="00C33834">
        <w:rPr>
          <w:rStyle w:val="af0"/>
          <w:bCs/>
          <w:i w:val="0"/>
          <w:color w:val="000000" w:themeColor="text1"/>
          <w:sz w:val="16"/>
          <w:szCs w:val="16"/>
        </w:rPr>
        <w:t>16 октября 1933 вышел приказ НКТП № 175с.</w:t>
      </w:r>
      <w:r w:rsidRPr="00C33834">
        <w:rPr>
          <w:color w:val="000000" w:themeColor="text1"/>
          <w:sz w:val="16"/>
          <w:szCs w:val="16"/>
        </w:rPr>
        <w:t xml:space="preserve"> Об организации работ по гражданским предприятиям, имеющим узкооборонное значение, со стороны отраслевых главных управлений. (РГАЭ. Ф. 7297. Оп. 38. Д. 38. Л. 114) (15246).</w:t>
      </w:r>
    </w:p>
    <w:p w14:paraId="14D4CED5" w14:textId="77777777" w:rsidR="00AA4C72" w:rsidRPr="00C33834" w:rsidRDefault="00AA4C72" w:rsidP="00C33834">
      <w:pPr>
        <w:pStyle w:val="rtejustify"/>
        <w:spacing w:before="0" w:after="0"/>
        <w:rPr>
          <w:color w:val="000000" w:themeColor="text1"/>
          <w:sz w:val="16"/>
          <w:szCs w:val="16"/>
        </w:rPr>
      </w:pPr>
    </w:p>
    <w:p w14:paraId="430F789A" w14:textId="77777777" w:rsidR="00AA4C72" w:rsidRPr="00C33834" w:rsidRDefault="00AA4C72" w:rsidP="00C33834">
      <w:pPr>
        <w:pStyle w:val="rtejustify"/>
        <w:spacing w:before="0" w:after="0"/>
        <w:rPr>
          <w:color w:val="000000" w:themeColor="text1"/>
          <w:sz w:val="16"/>
          <w:szCs w:val="16"/>
        </w:rPr>
      </w:pPr>
      <w:r w:rsidRPr="00C33834">
        <w:rPr>
          <w:rStyle w:val="af0"/>
          <w:bCs/>
          <w:i w:val="0"/>
          <w:color w:val="000000" w:themeColor="text1"/>
          <w:sz w:val="16"/>
          <w:szCs w:val="16"/>
        </w:rPr>
        <w:t>16 октября 1933 вышел приказ НКТП № 177/сс.</w:t>
      </w:r>
      <w:r w:rsidRPr="00C33834">
        <w:rPr>
          <w:color w:val="000000" w:themeColor="text1"/>
          <w:sz w:val="16"/>
          <w:szCs w:val="16"/>
        </w:rPr>
        <w:t xml:space="preserve"> Об обеспечении внедрения нового технологического процесса по артсистемам 20</w:t>
      </w:r>
      <w:r w:rsidRPr="00C33834">
        <w:rPr>
          <w:color w:val="000000" w:themeColor="text1"/>
          <w:sz w:val="16"/>
          <w:szCs w:val="16"/>
        </w:rPr>
        <w:noBreakHyphen/>
        <w:t>К и 19</w:t>
      </w:r>
      <w:r w:rsidRPr="00C33834">
        <w:rPr>
          <w:color w:val="000000" w:themeColor="text1"/>
          <w:sz w:val="16"/>
          <w:szCs w:val="16"/>
        </w:rPr>
        <w:noBreakHyphen/>
        <w:t>К на заводе № 8. (РГАЭ. Ф. 7297. Оп. 38. Д. 38. Л. 117</w:t>
      </w:r>
      <w:r w:rsidRPr="00C33834">
        <w:rPr>
          <w:color w:val="000000" w:themeColor="text1"/>
          <w:sz w:val="16"/>
          <w:szCs w:val="16"/>
        </w:rPr>
        <w:noBreakHyphen/>
        <w:t>115) (15246).</w:t>
      </w:r>
    </w:p>
    <w:p w14:paraId="439280C4" w14:textId="77777777" w:rsidR="00AA4C72" w:rsidRPr="00C33834" w:rsidRDefault="00AA4C72" w:rsidP="00C33834">
      <w:pPr>
        <w:pStyle w:val="rtejustify"/>
        <w:spacing w:before="0" w:after="0"/>
        <w:rPr>
          <w:color w:val="000000" w:themeColor="text1"/>
          <w:sz w:val="16"/>
          <w:szCs w:val="16"/>
        </w:rPr>
      </w:pPr>
    </w:p>
    <w:p w14:paraId="6662AA5B"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22E4603"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440E2F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октября 1933 в УВВС у Нач. УМТС и В Жарова состоялось совещание по вопросу ТБ-3:</w:t>
      </w:r>
    </w:p>
    <w:p w14:paraId="784F092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p w14:paraId="0B1EC94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техусловий на М-34</w:t>
      </w:r>
    </w:p>
    <w:p w14:paraId="371D685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устранение дефектов</w:t>
      </w:r>
    </w:p>
    <w:p w14:paraId="7E39860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Дополнительно М-17 - 20 шт.</w:t>
      </w:r>
    </w:p>
    <w:p w14:paraId="7FD6ECD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 крыльчатках М-34</w:t>
      </w:r>
    </w:p>
    <w:p w14:paraId="7348E68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Об аэросанях</w:t>
      </w:r>
    </w:p>
    <w:p w14:paraId="4EC0643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По оборудованию для обслуживания ТБ-3 (2264).</w:t>
      </w:r>
    </w:p>
    <w:p w14:paraId="45D275F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36045D9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октября 1933 года был утвержден пом. нач. ГУАП как обязательный со дня опубликования.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F26F01" w:rsidRPr="00C33834" w14:paraId="71075218" w14:textId="77777777">
        <w:tc>
          <w:tcPr>
            <w:tcW w:w="3757" w:type="dxa"/>
          </w:tcPr>
          <w:p w14:paraId="60877A6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НКТП</w:t>
            </w:r>
          </w:p>
        </w:tc>
        <w:tc>
          <w:tcPr>
            <w:tcW w:w="3757" w:type="dxa"/>
          </w:tcPr>
          <w:p w14:paraId="486F36E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Глававиапром</w:t>
            </w:r>
          </w:p>
        </w:tc>
        <w:tc>
          <w:tcPr>
            <w:tcW w:w="3757" w:type="dxa"/>
          </w:tcPr>
          <w:p w14:paraId="6D9B11D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Объединенное бюро стандартизации (ОБСА)</w:t>
            </w:r>
          </w:p>
        </w:tc>
      </w:tr>
      <w:tr w:rsidR="00F26F01" w:rsidRPr="00C33834" w14:paraId="5D7ECD2B" w14:textId="77777777">
        <w:tc>
          <w:tcPr>
            <w:tcW w:w="3757" w:type="dxa"/>
          </w:tcPr>
          <w:p w14:paraId="40E5548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Ведомственный стандарт</w:t>
            </w:r>
          </w:p>
        </w:tc>
        <w:tc>
          <w:tcPr>
            <w:tcW w:w="3757" w:type="dxa"/>
          </w:tcPr>
          <w:p w14:paraId="38E8E25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93EE90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 СТУ</w:t>
            </w:r>
          </w:p>
        </w:tc>
      </w:tr>
      <w:tr w:rsidR="00F26F01" w:rsidRPr="00C33834" w14:paraId="679B2DAF" w14:textId="77777777">
        <w:tc>
          <w:tcPr>
            <w:tcW w:w="3757" w:type="dxa"/>
          </w:tcPr>
          <w:p w14:paraId="6491CEB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И-7 М-17</w:t>
            </w:r>
          </w:p>
        </w:tc>
        <w:tc>
          <w:tcPr>
            <w:tcW w:w="3757" w:type="dxa"/>
          </w:tcPr>
          <w:p w14:paraId="48B482D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00B968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16А (3100)</w:t>
            </w:r>
          </w:p>
        </w:tc>
      </w:tr>
      <w:tr w:rsidR="00F26F01" w:rsidRPr="00C33834" w14:paraId="61E93F8D" w14:textId="77777777">
        <w:tc>
          <w:tcPr>
            <w:tcW w:w="3757" w:type="dxa"/>
          </w:tcPr>
          <w:p w14:paraId="47346E9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w:t>
            </w:r>
          </w:p>
        </w:tc>
        <w:tc>
          <w:tcPr>
            <w:tcW w:w="3757" w:type="dxa"/>
          </w:tcPr>
          <w:p w14:paraId="41834C6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6517ECE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1-е издание</w:t>
            </w:r>
          </w:p>
        </w:tc>
      </w:tr>
    </w:tbl>
    <w:p w14:paraId="4C37DCF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1623BF6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октября 1933 ЦИК и СНК вынесли постановление об обеспечении летно-подъемного состава ГВФ пенсиями за выслугу лет - 20 лет и более (438,658).</w:t>
      </w:r>
    </w:p>
    <w:p w14:paraId="7473831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0E785EE0"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октября, 26 сентября и 16 декабря 1933 г. на НИАП АНИИ с пози</w:t>
      </w:r>
      <w:r w:rsidRPr="00C33834">
        <w:rPr>
          <w:rFonts w:ascii="Times New Roman" w:hAnsi="Times New Roman"/>
          <w:color w:val="000000" w:themeColor="text1"/>
          <w:sz w:val="16"/>
          <w:szCs w:val="16"/>
        </w:rPr>
        <w:softHyphen/>
        <w:t>ции 5600 м под руководством начальника 1 отдела ЛО РНИИ Л.Э.Швар</w:t>
      </w:r>
      <w:r w:rsidRPr="00C33834">
        <w:rPr>
          <w:rFonts w:ascii="Times New Roman" w:hAnsi="Times New Roman"/>
          <w:color w:val="000000" w:themeColor="text1"/>
          <w:sz w:val="16"/>
          <w:szCs w:val="16"/>
        </w:rPr>
        <w:softHyphen/>
        <w:t>ца отстреляли по 20 инертных образцов оперенных ракетных снарядов РС-82 модели 1367, изготовленных в мастерских ЛО РНИИ со стальным оперением размахом 235 мм, «для определения величин их рассеивания на дистанции 4000 м». Сопло боеприпаса с диаметром критического сечения 20,0 мм имело диаметр выходного сечения 45,0 мм. РЗ состоял из 28 шашек рецептуры ПТП габаритами 24/6-57,5 мм. Одна из них - разрезная. По торцам РЗ были расположены воспламенители из 6 г ДРП каж дый. Максимальная величина давления в камере работающего двига</w:t>
      </w:r>
      <w:r w:rsidRPr="00C33834">
        <w:rPr>
          <w:rFonts w:ascii="Times New Roman" w:hAnsi="Times New Roman"/>
          <w:color w:val="000000" w:themeColor="text1"/>
          <w:sz w:val="16"/>
          <w:szCs w:val="16"/>
        </w:rPr>
        <w:softHyphen/>
        <w:t>теля, по данным лабораторных измерений, составляла 300 кг/см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К единой стартовой массе инертные образцы снарядов привели за</w:t>
      </w:r>
      <w:r w:rsidRPr="00C33834">
        <w:rPr>
          <w:rFonts w:ascii="Times New Roman" w:hAnsi="Times New Roman"/>
          <w:color w:val="000000" w:themeColor="text1"/>
          <w:sz w:val="16"/>
          <w:szCs w:val="16"/>
        </w:rPr>
        <w:softHyphen/>
        <w:t>ливкой серы в корпуса БЧ. Выходное отверстие сопла было закрыто деревянной пробкой с отверстием для запальной гальванической трубки. Воспламеняли ее и РЗ, вырабатывая электроток при помощи индуктора. Испытатели отстреливали снаряды из пускового приспособления модели 1292, смонтированного на лафете горной пушки обр.1909 г., с уг</w:t>
      </w:r>
      <w:r w:rsidRPr="00C33834">
        <w:rPr>
          <w:rFonts w:ascii="Times New Roman" w:hAnsi="Times New Roman"/>
          <w:color w:val="000000" w:themeColor="text1"/>
          <w:sz w:val="16"/>
          <w:szCs w:val="16"/>
        </w:rPr>
        <w:softHyphen/>
        <w:t>лом возвышения 17° и 40°. Орудие наводили при помощи артиллерий</w:t>
      </w:r>
      <w:r w:rsidRPr="00C33834">
        <w:rPr>
          <w:rFonts w:ascii="Times New Roman" w:hAnsi="Times New Roman"/>
          <w:color w:val="000000" w:themeColor="text1"/>
          <w:sz w:val="16"/>
          <w:szCs w:val="16"/>
        </w:rPr>
        <w:softHyphen/>
        <w:t>ской панорамы и квадранта. Снаряды ложились довольно кучно. В сен</w:t>
      </w:r>
      <w:r w:rsidRPr="00C33834">
        <w:rPr>
          <w:rFonts w:ascii="Times New Roman" w:hAnsi="Times New Roman"/>
          <w:color w:val="000000" w:themeColor="text1"/>
          <w:sz w:val="16"/>
          <w:szCs w:val="16"/>
        </w:rPr>
        <w:softHyphen/>
        <w:t>тябре по 18 наблюдениям средняя дальность составила 3950 м. Оба от</w:t>
      </w:r>
      <w:r w:rsidRPr="00C33834">
        <w:rPr>
          <w:rFonts w:ascii="Times New Roman" w:hAnsi="Times New Roman"/>
          <w:color w:val="000000" w:themeColor="text1"/>
          <w:sz w:val="16"/>
          <w:szCs w:val="16"/>
        </w:rPr>
        <w:softHyphen/>
        <w:t xml:space="preserve">стрела РС-82 в 1933 г. дали удовлетворительное рассеивание </w:t>
      </w:r>
      <w:r w:rsidRPr="00C33834">
        <w:rPr>
          <w:rFonts w:ascii="Times New Roman" w:hAnsi="Times New Roman"/>
          <w:color w:val="000000" w:themeColor="text1"/>
          <w:sz w:val="16"/>
          <w:szCs w:val="16"/>
        </w:rPr>
        <w:lastRenderedPageBreak/>
        <w:t>по направ</w:t>
      </w:r>
      <w:r w:rsidRPr="00C33834">
        <w:rPr>
          <w:rFonts w:ascii="Times New Roman" w:hAnsi="Times New Roman"/>
          <w:color w:val="000000" w:themeColor="text1"/>
          <w:sz w:val="16"/>
          <w:szCs w:val="16"/>
        </w:rPr>
        <w:softHyphen/>
        <w:t>лению и неудовлетворительное по дальности. Последнее обстоятельство разработчики объяснили непостоянством горения РЗ. Расчетная дальность стрельбы была «с очевидностью подтверждена» на практике. По мнению Л.Э.Шварца, совпадение величин рассеивания в этих двух стрельбах «вызывается вполне определенными причинами, постоянно сопутствующими данному снаряду. Наиболее вероятные из них — разнообразие начальных скоростей и углов вылета. В ближайших опытах роль этих факторов необходимо выявить стрельбой по рамам-мишеням и стрельбами на меткость при различных углах возвышения пускового приспособления». Хотя в октябре 1933 г. произошло объединение ЛенГДЛ и МосГИРД в единый институт РНИИ. Окончательно переез</w:t>
      </w:r>
      <w:r w:rsidRPr="00C33834">
        <w:rPr>
          <w:rFonts w:ascii="Times New Roman" w:hAnsi="Times New Roman"/>
          <w:color w:val="000000" w:themeColor="text1"/>
          <w:sz w:val="16"/>
          <w:szCs w:val="16"/>
        </w:rPr>
        <w:softHyphen/>
        <w:t>жать в Москву ленинградцы не торопились — Центральный Московский артполигон в Софрино не был окончательно готов для работы с ракетны</w:t>
      </w:r>
      <w:r w:rsidRPr="00C33834">
        <w:rPr>
          <w:rFonts w:ascii="Times New Roman" w:hAnsi="Times New Roman"/>
          <w:color w:val="000000" w:themeColor="text1"/>
          <w:sz w:val="16"/>
          <w:szCs w:val="16"/>
        </w:rPr>
        <w:softHyphen/>
        <w:t>ми снарядами. На этот период ГДЛ получила статус Ленинградского от</w:t>
      </w:r>
      <w:r w:rsidRPr="00C33834">
        <w:rPr>
          <w:rFonts w:ascii="Times New Roman" w:hAnsi="Times New Roman"/>
          <w:color w:val="000000" w:themeColor="text1"/>
          <w:sz w:val="16"/>
          <w:szCs w:val="16"/>
        </w:rPr>
        <w:softHyphen/>
        <w:t>деления - ЛО РНИИ. По итогам стрельбы 17 октября руководитель опытов Ф.Н.Пойда сде</w:t>
      </w:r>
      <w:r w:rsidRPr="00C33834">
        <w:rPr>
          <w:rFonts w:ascii="Times New Roman" w:hAnsi="Times New Roman"/>
          <w:color w:val="000000" w:themeColor="text1"/>
          <w:sz w:val="16"/>
          <w:szCs w:val="16"/>
        </w:rPr>
        <w:softHyphen/>
        <w:t>лал вывод: «Результаты данной стрельбы позволяют утверждать с еще большей очевидностью, чем это было до сих пор, что вопреки довольно широко еще распространенным, хотя и ни на чем не основанным воззре</w:t>
      </w:r>
      <w:r w:rsidRPr="00C33834">
        <w:rPr>
          <w:rFonts w:ascii="Times New Roman" w:hAnsi="Times New Roman"/>
          <w:color w:val="000000" w:themeColor="text1"/>
          <w:sz w:val="16"/>
          <w:szCs w:val="16"/>
        </w:rPr>
        <w:softHyphen/>
        <w:t>ниям, реактивные снаряды вполне способны давать вполне удовлетво</w:t>
      </w:r>
      <w:r w:rsidRPr="00C33834">
        <w:rPr>
          <w:rFonts w:ascii="Times New Roman" w:hAnsi="Times New Roman"/>
          <w:color w:val="000000" w:themeColor="text1"/>
          <w:sz w:val="16"/>
          <w:szCs w:val="16"/>
        </w:rPr>
        <w:softHyphen/>
        <w:t>рительную меткость. Дальнейшие опыты по боеприпасам испытанного типа должны быть направлены на определение меткости на всех дистан</w:t>
      </w:r>
      <w:r w:rsidRPr="00C33834">
        <w:rPr>
          <w:rFonts w:ascii="Times New Roman" w:hAnsi="Times New Roman"/>
          <w:color w:val="000000" w:themeColor="text1"/>
          <w:sz w:val="16"/>
          <w:szCs w:val="16"/>
        </w:rPr>
        <w:softHyphen/>
        <w:t>циях, а также к дальнейшему уменьшению оперения для повышения компактности снаряда» (11402).</w:t>
      </w:r>
    </w:p>
    <w:p w14:paraId="3ADC6B4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0D3E18"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813DF61"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D6D831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октября 1933 А.Энштейн эмигрировал из Германии в США и поселился в Принсентоне (2100) - прибыл в Нью Йорк (3481).</w:t>
      </w:r>
    </w:p>
    <w:p w14:paraId="3D4A4CE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66748A4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октября 1933 Альберт Эйнштейн прибыл в США в качестве немецкого беженца (4962).</w:t>
      </w:r>
    </w:p>
    <w:p w14:paraId="1FE9187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5C44D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октября 1933 вышел в свет первый номер журнала «Ньюсуик» (4962).</w:t>
      </w:r>
    </w:p>
    <w:p w14:paraId="0AC94A5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34BBF9"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6D1C2249"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B5C3AC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октября 1933 года началась и к 1 ноября закончилась сборка первого танка Т-35 на ХПЗ (3862).</w:t>
      </w:r>
    </w:p>
    <w:p w14:paraId="4C47289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60EC723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ок</w:t>
      </w:r>
      <w:r w:rsidRPr="00C33834">
        <w:rPr>
          <w:rFonts w:ascii="Times New Roman" w:hAnsi="Times New Roman"/>
          <w:color w:val="000000" w:themeColor="text1"/>
          <w:sz w:val="16"/>
          <w:szCs w:val="16"/>
        </w:rPr>
        <w:softHyphen/>
        <w:t>тября 1933 г. на козлах ХПЗ началась сборка первого серийного танка Т-35А, которая в целом была закончена 1 ноября. Спустя 4 дня военпред ХПЗ подписал документы о при</w:t>
      </w:r>
      <w:r w:rsidRPr="00C33834">
        <w:rPr>
          <w:rFonts w:ascii="Times New Roman" w:hAnsi="Times New Roman"/>
          <w:color w:val="000000" w:themeColor="text1"/>
          <w:sz w:val="16"/>
          <w:szCs w:val="16"/>
        </w:rPr>
        <w:softHyphen/>
        <w:t>емке машины, которая 7 ноября должна была принять учасвовать в параде в столице Украины, городе Харькове. Интерес</w:t>
      </w:r>
      <w:r w:rsidRPr="00C33834">
        <w:rPr>
          <w:rFonts w:ascii="Times New Roman" w:hAnsi="Times New Roman"/>
          <w:color w:val="000000" w:themeColor="text1"/>
          <w:sz w:val="16"/>
          <w:szCs w:val="16"/>
        </w:rPr>
        <w:softHyphen/>
        <w:t>но отметить то, что, возвращаясь после парада, танк вышел из строя. Однако он был замечен представителями СМИ. “Сегодня столица Украины приветствовала новый советский тяжелый танк... Эта мощная пятибашенная машина, воорурженная пулеметами и пушками, станет грозой всем недругам, которые мечтают о нападении на нашу миролюбивую Советскую Родину», - писала в те дни пресса (газета «Ленинское знамя», 7-8 ноября 1933 г.). Тогда же при рассмотрении вопроса отражения возможной агрессии на Украину со стороны Польши в расчетах командования Киевского Военного округа уже фигурировал батальон танков Т-35А. Но испытания первого танка на местности были не столь радужными. Новый танк был недостаточно подвижен и больше находился в ремонте, нежели служил (10733,264).</w:t>
      </w:r>
    </w:p>
    <w:p w14:paraId="69E731A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692195" w14:textId="77777777" w:rsidR="00760051" w:rsidRPr="00C33834" w:rsidRDefault="00760051"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53A032E" w14:textId="77777777" w:rsidR="00760051" w:rsidRPr="00C33834" w:rsidRDefault="0076005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72BDF9A" w14:textId="77777777" w:rsidR="00760051" w:rsidRPr="00C33834" w:rsidRDefault="0076005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18 октября 1933 американский Ford 4-AT-B Trimotor NC4806, летавший над Никарагуа в качестве служебного самолета, врезался в озеро Манагуа с высоты 2 000 футов (610 метров), в результате чего погибли все три человека на борту (20802).</w:t>
      </w:r>
    </w:p>
    <w:p w14:paraId="292DF2BC" w14:textId="77777777" w:rsidR="00760051" w:rsidRPr="00C33834" w:rsidRDefault="00760051" w:rsidP="00C33834">
      <w:pPr>
        <w:spacing w:after="0" w:line="240" w:lineRule="auto"/>
        <w:jc w:val="both"/>
        <w:rPr>
          <w:rFonts w:ascii="Times New Roman" w:hAnsi="Times New Roman"/>
          <w:color w:val="0070C0"/>
          <w:sz w:val="16"/>
          <w:szCs w:val="16"/>
        </w:rPr>
      </w:pPr>
    </w:p>
    <w:p w14:paraId="62C5DD54" w14:textId="77777777" w:rsidR="00760051" w:rsidRPr="00C33834" w:rsidRDefault="0076005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18 октября 1933 состоялся первый полет Grumman XF2F-1, первого одноместного с закрытым кокпитом самолета и прототипа Грумман F2F (20802).</w:t>
      </w:r>
    </w:p>
    <w:p w14:paraId="5BC8C0D9" w14:textId="77777777" w:rsidR="00760051" w:rsidRPr="00C33834" w:rsidRDefault="00760051" w:rsidP="00C33834">
      <w:pPr>
        <w:spacing w:after="0" w:line="240" w:lineRule="auto"/>
        <w:jc w:val="both"/>
        <w:rPr>
          <w:rFonts w:ascii="Times New Roman" w:hAnsi="Times New Roman"/>
          <w:color w:val="0070C0"/>
          <w:sz w:val="16"/>
          <w:szCs w:val="16"/>
        </w:rPr>
      </w:pPr>
    </w:p>
    <w:p w14:paraId="3F9B1CCC" w14:textId="77777777" w:rsidR="00760051" w:rsidRPr="00C33834" w:rsidRDefault="0076005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18 октября 1933 - Первый полет Grumman F2F, первого одноместного самолета Grumman с закрытой кабиной. Это  истребитель палубного и аэродромного базирования.</w:t>
      </w:r>
    </w:p>
    <w:p w14:paraId="3CACA164" w14:textId="77777777" w:rsidR="00760051" w:rsidRPr="00C33834" w:rsidRDefault="0076005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Во время оценочных испытаний он показал максимальную скорость 369 км/час  на высоте 2560 м  и начальную скороподъемность 939 м  в минуту. Однако выявились и недостатки. Так короткий толстый фюзеляж приводил к некоторой неустойчивости по курсу, и самолет затягивало в штопор. После их устранения и внесения некоторых изменений - увеличения фонаря кабины, удлинения размаха верхнего крыла на 0,15 м  и замены первоначального капота плавной формы, разработанного НАСА (NASA), на другой, меньшего диаметра с блистерами сложной формы - 17 мая 1934 г. Флот США разместил серийный заказ на 54 истребителя F2F-1, первый из которых был поставлен 28 января 1935 г. Последняя машина была выведена из эксплуатации в ноябре 1943 г. (22333).</w:t>
      </w:r>
    </w:p>
    <w:p w14:paraId="45B846A7" w14:textId="77777777" w:rsidR="00760051" w:rsidRPr="00C33834" w:rsidRDefault="00760051" w:rsidP="00C33834">
      <w:pPr>
        <w:spacing w:after="0" w:line="240" w:lineRule="auto"/>
        <w:jc w:val="both"/>
        <w:rPr>
          <w:rFonts w:ascii="Times New Roman" w:hAnsi="Times New Roman"/>
          <w:color w:val="0070C0"/>
          <w:sz w:val="16"/>
          <w:szCs w:val="16"/>
        </w:rPr>
      </w:pPr>
    </w:p>
    <w:p w14:paraId="6569976E"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EE35225"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1D3209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 октября по 5 декабря 1933 проходили гос. испытания ТБ-3 (АНТ-6) 22 завода N 22202 с М-34Р в качестве эталона на 34 год (1017,169).</w:t>
      </w:r>
    </w:p>
    <w:p w14:paraId="6B96482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Исполнители:</w:t>
      </w:r>
    </w:p>
    <w:p w14:paraId="7F5BC1D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 Лосюков и Кудрявцев</w:t>
      </w:r>
    </w:p>
    <w:p w14:paraId="7E28005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вл Байдуков (2264,126).</w:t>
      </w:r>
    </w:p>
    <w:p w14:paraId="5FA1DC1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5F85AAD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октября 1933 в ходе гос. испытаний ТБ-3 (АНТ-6) 22 завода N 22202 с 4М-34Р в качестве эталона на 34 год был выполнен тренировочный полет (2264,117).</w:t>
      </w:r>
    </w:p>
    <w:p w14:paraId="25F7A1F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280D72D9" w14:textId="77777777" w:rsidR="00D344E9" w:rsidRPr="00C33834" w:rsidRDefault="00D344E9"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19 октября 1933 г. состоялся единственный полёт нового составного самолёта, который получил название «Звено-З», закончившийся катастрофой </w:t>
      </w:r>
      <w:hyperlink r:id="rId345" w:history="1">
        <w:r w:rsidRPr="00C33834">
          <w:rPr>
            <w:rFonts w:ascii="Times New Roman" w:eastAsia="Times New Roman" w:hAnsi="Times New Roman"/>
            <w:color w:val="000000" w:themeColor="text1"/>
            <w:sz w:val="16"/>
            <w:szCs w:val="16"/>
            <w:lang w:eastAsia="ru-RU"/>
          </w:rPr>
          <w:t>[88]</w:t>
        </w:r>
      </w:hyperlink>
      <w:r w:rsidRPr="00C33834">
        <w:rPr>
          <w:rFonts w:ascii="Times New Roman" w:eastAsia="Times New Roman" w:hAnsi="Times New Roman"/>
          <w:color w:val="000000" w:themeColor="text1"/>
          <w:sz w:val="16"/>
          <w:szCs w:val="16"/>
          <w:lang w:eastAsia="ru-RU"/>
        </w:rPr>
        <w:t xml:space="preserve"> . В кабинах истребителей находились уже знакомый читателю И.Ф. Гроздь и недавно появившийся в НИИ ВВС лётчик А.В. Коротков. ТБ-3, как всегда, пилотировал П.М. Стефановский. Он пишет:</w:t>
      </w:r>
    </w:p>
    <w:p w14:paraId="26FBBAD0" w14:textId="77777777" w:rsidR="00D344E9" w:rsidRPr="00C33834" w:rsidRDefault="00D344E9"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«Когда колеса ТБ-3 отделились от земли, более опытный лётчик Гроздь отдал ручку от себя и застопорил свой самолёт в нужном нижнем положении. Коротков же прозевал момент отрыва и неправильно поставил рули глубины. Собственная подъёмная сила подбросила истребитель в крайнее верхнее положение и прижала его к носителю. Я это почувствовал по поведению ТБ-3. И крепко обругал Короткова.</w:t>
      </w:r>
    </w:p>
    <w:p w14:paraId="223A7815" w14:textId="77777777" w:rsidR="00D344E9" w:rsidRPr="00C33834" w:rsidRDefault="00D344E9"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Возможность такой ошибки предусматривалась при подготовке к полётам. В этом случае мне надлежало набрать две тысячи метров высоты и поднять нос корабля почти до посадочного угла. Поскольку нагрузка на квадратный метр площади крыла у истребителя значительно больше, чем у бомбардировщика, то он должен и скорость потерять раньше, быстрее свалиться на нос.</w:t>
      </w:r>
    </w:p>
    <w:p w14:paraId="381D9226" w14:textId="77777777" w:rsidR="00D344E9" w:rsidRPr="00C33834" w:rsidRDefault="00D344E9"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Одно, правда, в расчёт не принималось: возможность возникновения в такой момент тряски хвостового оперения от слишком сильных возмущений воздуха на больших углах атаки.</w:t>
      </w:r>
    </w:p>
    <w:p w14:paraId="617C9172" w14:textId="77777777" w:rsidR="00D344E9" w:rsidRPr="00C33834" w:rsidRDefault="00D344E9"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Необходимая высота достигнута. ТБ-3 начинает медленно терять скорость: сто сорок, сто двадцать, наконец — сто километров в час. Самолёт вздрогнул.</w:t>
      </w:r>
    </w:p>
    <w:p w14:paraId="02E4B3DC" w14:textId="77777777" w:rsidR="00D344E9" w:rsidRPr="00C33834" w:rsidRDefault="00D344E9"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Ощутив резкий толчок, я с облегчением вздохнул. „Зет“ Короткова опустился в крайнее нижнее положение. Всё в порядке! Плавно увеличиваю скорость бомбардировщика. Коротков сейчас проверит, надежно ли закрылись стопоры, и мы пойдём на рубеж воздушного старта. Начал было подсчитывать оставшееся расстояние, как какая-то неведомая сила швырнула самолёт на левую плоскость. Послышался треск и скрежет. Машинально уменьшаю обороты всех двигателей. Машину ещё сильнее потянуло вниз.</w:t>
      </w:r>
    </w:p>
    <w:p w14:paraId="1AD4B28D" w14:textId="77777777" w:rsidR="00D344E9" w:rsidRPr="00C33834" w:rsidRDefault="00D344E9"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Оцепенение, вызванное неожиданностью случившегося, быстро проходит. Лихорадочно скачут тревожные мысли. Осматриваюсь. Так и есть: самолёт Короткова прилип к плоскости бомбардировщика и разворотил её.</w:t>
      </w:r>
    </w:p>
    <w:p w14:paraId="6CD28478" w14:textId="77777777" w:rsidR="00D344E9" w:rsidRPr="00C33834" w:rsidRDefault="00D344E9"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Скорость снижения неумолимо нарастает. По переговорному устройству спрашиваю Короткова, не ранен ли? Он молчит.</w:t>
      </w:r>
    </w:p>
    <w:p w14:paraId="6330D7BE" w14:textId="77777777" w:rsidR="00D344E9" w:rsidRPr="00C33834" w:rsidRDefault="00D344E9"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Быстро соображаю, что же произошло. Коротков, видимо, преждевременно потянул ручку на себя, боясь снова опоздать, как на взлёте. Неплотно закрывавшийся задний стопор выскочил. „Зет“ сразу же перешел на большой угол атаки. Один крыльевой стопор не выдержал нагрузки и сломался. Возник перекос. Вырвало стопор другого крыла. Истребитель в положении небольшой горки с разворотом врезался в нашу плоскость. Нет у него винта — разлетелся вдребезги.</w:t>
      </w:r>
    </w:p>
    <w:p w14:paraId="63D18071" w14:textId="77777777" w:rsidR="00D344E9" w:rsidRPr="00C33834" w:rsidRDefault="00D344E9"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Анализируя случившееся, продолжаю действовать. Сейчас промедление подобно самоубийству. Даже групповому убийству. Даю газ всем двигателям, плавно, почти до отказа выжимаю правую педаль, отжимаю от себя штурвал.</w:t>
      </w:r>
    </w:p>
    <w:p w14:paraId="773968E2" w14:textId="77777777" w:rsidR="00D344E9" w:rsidRPr="00C33834" w:rsidRDefault="00D344E9"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К „звену“ подстраивается сопровождавший нас связной самолёт Р-5. Лётчик Михаил Александрович Нюхтиков и ведущий инженер Николай Владимирович Флоров руками показывают Короткову на землю. Но лётчик не прыгает. Однако он жив. Догадываюсь об этом по разгневанной жестикуляции Нюхтикова. Не надеется, что ли, Коротков на шёлковый купол парашюта? Или в нём заговорил ложный стыд — этот извечный и страшный враг лётчиков? Вот сядем, я покажу тебе стыд, научу уму-разуму.</w:t>
      </w:r>
    </w:p>
    <w:p w14:paraId="70798D46" w14:textId="77777777" w:rsidR="00D344E9" w:rsidRPr="00C33834" w:rsidRDefault="00D344E9"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Сядем? А как садиться с этими бандурами под плоскостями?</w:t>
      </w:r>
    </w:p>
    <w:p w14:paraId="022DBB48" w14:textId="77777777" w:rsidR="00D344E9" w:rsidRPr="00C33834" w:rsidRDefault="00D344E9"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На такие посадки „звено“ не рассчитано. И другого выхода нет.</w:t>
      </w:r>
    </w:p>
    <w:p w14:paraId="2F766E95" w14:textId="77777777" w:rsidR="00D344E9" w:rsidRPr="00C33834" w:rsidRDefault="00D344E9"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lastRenderedPageBreak/>
        <w:t>„Зет“ Короткова теперь никакой силой не оторвешь от авиаматки.</w:t>
      </w:r>
    </w:p>
    <w:p w14:paraId="6D7D1129" w14:textId="77777777" w:rsidR="00D344E9" w:rsidRPr="00C33834" w:rsidRDefault="00D344E9"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…Разворачиваюсь в сторону аэродрома и аккуратно снижаюсь. Вот и полосатый конус ветроуказателя. Правильно вышел, навстречу ветру. Всё ближе земля. Дотяну ли? Газку, газку ещё чуток. Только бы перетянуть вон через те чёртовы сосны. Они промелькнули под самым самолётом. Едва не зацепился за их макушки. Впереди взлётно-посадочная полоса. Пора выравнивать. Штурвал помалу на себя — и никакого крена, под плоскостями — самолёты. Машина выровнялась. И тут же резко свалилась на правую плоскость. Еле опять выровнял. Шасси коснулись земли. Самолёт побежал по полю. Сели!</w:t>
      </w:r>
    </w:p>
    <w:p w14:paraId="72084A3A" w14:textId="77777777" w:rsidR="00D344E9" w:rsidRPr="00C33834" w:rsidRDefault="00D344E9"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Когда вылезли из кабины, радость нашу как ветром сдуло. Самолёта Короткова под плоскостью не было. Увидели его невдалеке от начала взлётно-посадочной полосы, бежим туда. „Зет“ лежал на спине. Коротков был мертв. На выравнивании подъёмная сила, прижимавшая истребитель к крылу авиаматки, иссякла, и он, перевернувшись, рухнул на землю» </w:t>
      </w:r>
      <w:hyperlink r:id="rId346" w:history="1">
        <w:r w:rsidRPr="00C33834">
          <w:rPr>
            <w:rFonts w:ascii="Times New Roman" w:eastAsia="Times New Roman" w:hAnsi="Times New Roman"/>
            <w:color w:val="000000" w:themeColor="text1"/>
            <w:sz w:val="16"/>
            <w:szCs w:val="16"/>
            <w:lang w:eastAsia="ru-RU"/>
          </w:rPr>
          <w:t>[89]</w:t>
        </w:r>
      </w:hyperlink>
      <w:r w:rsidRPr="00C33834">
        <w:rPr>
          <w:rFonts w:ascii="Times New Roman" w:eastAsia="Times New Roman" w:hAnsi="Times New Roman"/>
          <w:color w:val="000000" w:themeColor="text1"/>
          <w:sz w:val="16"/>
          <w:szCs w:val="16"/>
          <w:lang w:eastAsia="ru-RU"/>
        </w:rPr>
        <w:t xml:space="preserve"> .</w:t>
      </w:r>
    </w:p>
    <w:p w14:paraId="4314887C" w14:textId="77777777" w:rsidR="00D344E9" w:rsidRPr="00C33834" w:rsidRDefault="00D344E9"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После этого случая Гроздь отказался участвовать в дальнейших полётах в составе «Звена», сочтя их слишком опасными. Он погиб в 1935 г. при испытании модифицированного варианта серийного разведчика Р-5. Между тем, ни одного серьёзного происшествия при испытании самолётов-звеньев больше не случилось…</w:t>
      </w:r>
    </w:p>
    <w:p w14:paraId="05C4C8CE" w14:textId="77777777" w:rsidR="00D344E9" w:rsidRPr="00C33834" w:rsidRDefault="00D344E9"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К концу 1933 г. ТБ-3 и поврежденный узел крепления И-Z отремонтировали, в январе 1934 г. планировалось продолжить испытания. Но к этому времени Владимир Сергеевич Вахмистров был захвачен новой идеей — он решил сделать так, чтобы истребители взлетали самостоятельно и подцеплялись к бомбардировщику в полёте. В нужный момент они могли отсоединиться, выполнить задачу и затем вновь сцепиться с ТБ-3 для дозаправки топливом и пополнения боекомплекта. Так появилось «Звено-5» (15489).</w:t>
      </w:r>
    </w:p>
    <w:p w14:paraId="69582C73" w14:textId="77777777" w:rsidR="00D344E9" w:rsidRPr="00C33834" w:rsidRDefault="00D344E9" w:rsidP="00C33834">
      <w:pPr>
        <w:spacing w:after="0" w:line="240" w:lineRule="auto"/>
        <w:jc w:val="both"/>
        <w:rPr>
          <w:rFonts w:ascii="Times New Roman" w:eastAsia="Times New Roman" w:hAnsi="Times New Roman"/>
          <w:color w:val="000000" w:themeColor="text1"/>
          <w:sz w:val="16"/>
          <w:szCs w:val="16"/>
          <w:lang w:eastAsia="ru-RU"/>
        </w:rPr>
      </w:pPr>
    </w:p>
    <w:p w14:paraId="76AE18A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октября 1933 был пятый полет К-7 К.А.К. после восстановления компенсации серворулей поворота. Полет - 7.5 мин., высота - 120 м. Отмечено и устранено колебание рулей и серворулей во время полета и необходимость уменьшения компенсации (2306). Машина получила прозвище “Торгсин” (9086).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F26F01" w:rsidRPr="00C33834" w14:paraId="7A68E023" w14:textId="77777777">
        <w:tc>
          <w:tcPr>
            <w:tcW w:w="1384" w:type="dxa"/>
            <w:tcBorders>
              <w:top w:val="single" w:sz="12" w:space="0" w:color="auto"/>
            </w:tcBorders>
          </w:tcPr>
          <w:p w14:paraId="0FF4DFE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Дата испытания</w:t>
            </w:r>
          </w:p>
        </w:tc>
        <w:tc>
          <w:tcPr>
            <w:tcW w:w="2410" w:type="dxa"/>
            <w:tcBorders>
              <w:top w:val="single" w:sz="12" w:space="0" w:color="auto"/>
            </w:tcBorders>
          </w:tcPr>
          <w:p w14:paraId="403EE9A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489676B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4F56576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3E62DD7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71D7AF3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tc>
      </w:tr>
      <w:tr w:rsidR="00F26F01" w:rsidRPr="00C33834" w14:paraId="635BD087" w14:textId="77777777">
        <w:tc>
          <w:tcPr>
            <w:tcW w:w="1384" w:type="dxa"/>
            <w:tcBorders>
              <w:bottom w:val="single" w:sz="12" w:space="0" w:color="auto"/>
            </w:tcBorders>
          </w:tcPr>
          <w:p w14:paraId="246B89F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октября 1933</w:t>
            </w:r>
          </w:p>
        </w:tc>
        <w:tc>
          <w:tcPr>
            <w:tcW w:w="2410" w:type="dxa"/>
            <w:tcBorders>
              <w:bottom w:val="single" w:sz="12" w:space="0" w:color="auto"/>
            </w:tcBorders>
          </w:tcPr>
          <w:p w14:paraId="4C97935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Пятый полет после восстановления компенсации серворулей поворота с целью проверки их действия</w:t>
            </w:r>
          </w:p>
        </w:tc>
        <w:tc>
          <w:tcPr>
            <w:tcW w:w="1089" w:type="dxa"/>
            <w:tcBorders>
              <w:bottom w:val="single" w:sz="12" w:space="0" w:color="auto"/>
            </w:tcBorders>
          </w:tcPr>
          <w:p w14:paraId="6DFBE0D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Запуск моторов - 0:6</w:t>
            </w:r>
          </w:p>
          <w:p w14:paraId="72EE9F4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моторов - 1:07</w:t>
            </w:r>
          </w:p>
          <w:p w14:paraId="47625A8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- 0:7,5</w:t>
            </w:r>
          </w:p>
        </w:tc>
        <w:tc>
          <w:tcPr>
            <w:tcW w:w="3447" w:type="dxa"/>
            <w:tcBorders>
              <w:bottom w:val="single" w:sz="12" w:space="0" w:color="auto"/>
            </w:tcBorders>
          </w:tcPr>
          <w:p w14:paraId="2337321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120 м</w:t>
            </w:r>
          </w:p>
        </w:tc>
        <w:tc>
          <w:tcPr>
            <w:tcW w:w="1776" w:type="dxa"/>
            <w:tcBorders>
              <w:bottom w:val="single" w:sz="12" w:space="0" w:color="auto"/>
            </w:tcBorders>
          </w:tcPr>
          <w:p w14:paraId="1788DE9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Колебания рулей и серворулей во время полета.</w:t>
            </w:r>
          </w:p>
          <w:p w14:paraId="78D1137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Необходимо уменьшить компенсацию (устранено)</w:t>
            </w:r>
          </w:p>
        </w:tc>
        <w:tc>
          <w:tcPr>
            <w:tcW w:w="1105" w:type="dxa"/>
            <w:tcBorders>
              <w:bottom w:val="single" w:sz="12" w:space="0" w:color="auto"/>
            </w:tcBorders>
          </w:tcPr>
          <w:p w14:paraId="07E47B5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545BBFC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(2306,98).</w:t>
      </w:r>
    </w:p>
    <w:p w14:paraId="5ED9355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4DE05B1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октября 1933 года, при полетах с подкрыльными самолетами "ЗЕТ" на установках на крыльях ТБ-3 трех самолетов И-5 и подвески двух самолетов "ЗЕТ" под крыльями того же ТБ-3, которые были сделаны в НИИ ВВС за лекто 1933, один из них не отцепился, несмотря на все принятые меры и при посадке ТБ-3 с этим подкрыльным самолетом последний был разбит, а сидевший в нем летчик (один из лучших командиров истребительных отрядов Коротков) убит (7439, 206-207).</w:t>
      </w:r>
    </w:p>
    <w:p w14:paraId="33127CC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674ADEAC" w14:textId="77777777" w:rsidR="00562118" w:rsidRPr="00C33834" w:rsidRDefault="00562118"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19 октября 1933 перегруженный гидроплан АИР-6А вылетел из Ейска. Вместе с Письменным на борту находился механик В.П. Кузнецов. 250 км машина летела над сушей, а от Запорожья - над Днепром. За Черкассами совершили посадку на реку между селами Свидовок и Секирно. Общая протяженность маршрута составила 568 км. Рекорд зарегистрировали сперва как всесоюзный, а затем и как мировой: Письменный почти в полтора раза превысил достижение американцев Г Борнтрегера и Э. Стаффорда, зарегистрированное в марте 1936 г. (19099).</w:t>
      </w:r>
    </w:p>
    <w:p w14:paraId="3E4D65A5" w14:textId="77777777" w:rsidR="00562118" w:rsidRPr="00C33834" w:rsidRDefault="00562118" w:rsidP="00C33834">
      <w:pPr>
        <w:pStyle w:val="a8"/>
        <w:jc w:val="both"/>
        <w:rPr>
          <w:rFonts w:ascii="Times New Roman" w:hAnsi="Times New Roman" w:cs="Times New Roman"/>
          <w:color w:val="000000" w:themeColor="text1"/>
        </w:rPr>
      </w:pPr>
    </w:p>
    <w:p w14:paraId="3A4139C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октября 1933 НТОС ГУАП Алмазов письмом N 00280/638с дал указание о необходимости представить на рассмотрение НИИ ВВС конструктивной схемы КАИ-1 в варианте учебного бомбардировщика (2305,83).</w:t>
      </w:r>
    </w:p>
    <w:p w14:paraId="7351F15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29A467F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октября 1933 состоялась демонстрация телемеханического управления самолетом для Гл. инспектора ВВС И.В.Павлова, М.Н.Тухачевского, Я.И.Алксниса, Г.Л.Пятакова. М.Н.Тухачевский нажимал кнопки. 14 ноября участников разработки наградили ОЛ и ОКЗ. Заказали малую партию и сделали в начале 1934 (390,132).</w:t>
      </w:r>
    </w:p>
    <w:p w14:paraId="2335C5D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Известно, что потом Осконбюро получил три ТБ-1 NN 692 - установили командную радиолинию, 772 - летающая бомба, 712 - телемеханический самолет, то есть помимо радиоуправляющих устройств был оборудован системой Р.Чачикяна, позволяющей по радиосигналам с земли или командного пункта проводить взлет, полет по требуемой траектории, заход на посадку, выравнивание и приземление (1220,11).</w:t>
      </w:r>
    </w:p>
    <w:p w14:paraId="60F4027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0C0FEAB3" w14:textId="77777777" w:rsidR="00562118" w:rsidRPr="00C33834" w:rsidRDefault="0056211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октября 1933 г. состоялась успешная демонстрация телемеханического управления самолетом М.Н. Тухачевскому и Я.И. Алкснису. Однако в 1937 г. Остехбюро было реорганизовано. В Ленинграде на улице Комсомола, 1/3, корп. 2 «а» было образовано НИИ-22. В него были переданы все работы по авиации и, соответственно, все самолеты и аэродромы бывшего Остехбюро. В 1939 г. наработки НИИ-22 по телемеханическим системам материализовались в проектах легкого самолета У-2 и бомбардировщика ТБ-1 с дистанционным управлением. Несколько позже в соответствии с постановлением Совета труда и обороны № 42 от 26.01.1940 г. НИИ-22 приступил к разработке телемеханического самолета УТ-2 и командного самолета управления (19543).</w:t>
      </w:r>
    </w:p>
    <w:p w14:paraId="59AB897A" w14:textId="77777777" w:rsidR="00562118" w:rsidRPr="00C33834" w:rsidRDefault="00562118" w:rsidP="00C33834">
      <w:pPr>
        <w:spacing w:after="0" w:line="240" w:lineRule="auto"/>
        <w:jc w:val="both"/>
        <w:rPr>
          <w:rFonts w:ascii="Times New Roman" w:hAnsi="Times New Roman"/>
          <w:color w:val="000000" w:themeColor="text1"/>
          <w:sz w:val="16"/>
          <w:szCs w:val="16"/>
        </w:rPr>
      </w:pPr>
    </w:p>
    <w:p w14:paraId="1F8240FE" w14:textId="77777777" w:rsidR="00FE0782" w:rsidRPr="00C33834" w:rsidRDefault="00FE078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19 октября 1933 г. зампред ОГПУ Яков Агранов сообщил Сталину тревожную информацию, поступившую по телеграфу от полпреда ОГПУ по Северо-Кавказскому краю и Дагестанской АССР Ефима Евдокимова: "14 октября на заводе N 31 в Таганроге при отправке самолета Р-6 обнаружен полный обрыв электропроводов зажигания и освещения. Расследованием установлено, что обрыв совершен электриком Скоробогатовым с диверсионной целью. Скоробогатов - казак, сын кулака. По его показаниям, к диверсионной работе он был привлечен Пилюгиным (сын расстрелянного за контрреволюционную деятельность). По совершении ряда диверсионных актов Пилюгин скрылся" (21336).</w:t>
      </w:r>
    </w:p>
    <w:p w14:paraId="63040313" w14:textId="77777777" w:rsidR="00FE0782" w:rsidRPr="00C33834" w:rsidRDefault="00FE0782" w:rsidP="00C33834">
      <w:pPr>
        <w:spacing w:after="0" w:line="240" w:lineRule="auto"/>
        <w:jc w:val="both"/>
        <w:rPr>
          <w:rFonts w:ascii="Times New Roman" w:hAnsi="Times New Roman"/>
          <w:color w:val="0070C0"/>
          <w:sz w:val="16"/>
          <w:szCs w:val="16"/>
        </w:rPr>
      </w:pPr>
    </w:p>
    <w:p w14:paraId="24C5ECDB" w14:textId="77777777" w:rsidR="00AA4C7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81C57BD" w14:textId="77777777" w:rsidR="00AA4C72" w:rsidRPr="00C33834" w:rsidRDefault="00AA4C7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25EC0C1" w14:textId="77777777" w:rsidR="00AA4C72" w:rsidRPr="00C33834" w:rsidRDefault="00AA4C72" w:rsidP="00C33834">
      <w:pPr>
        <w:pStyle w:val="rtejustify"/>
        <w:spacing w:before="0" w:after="0"/>
        <w:rPr>
          <w:color w:val="000000" w:themeColor="text1"/>
          <w:sz w:val="16"/>
          <w:szCs w:val="16"/>
        </w:rPr>
      </w:pPr>
      <w:r w:rsidRPr="00C33834">
        <w:rPr>
          <w:rStyle w:val="af0"/>
          <w:bCs/>
          <w:i w:val="0"/>
          <w:color w:val="000000" w:themeColor="text1"/>
          <w:sz w:val="16"/>
          <w:szCs w:val="16"/>
        </w:rPr>
        <w:t>19/22 октября 1933 вышел приказ НКТП № 185с.</w:t>
      </w:r>
      <w:r w:rsidRPr="00C33834">
        <w:rPr>
          <w:color w:val="000000" w:themeColor="text1"/>
          <w:sz w:val="16"/>
          <w:szCs w:val="16"/>
        </w:rPr>
        <w:t xml:space="preserve"> Об обеспечении основных договоров НКВМ СССР по артиллерийской программе на 1934 г. чертежами и техническими условиями. (РГАЭ. Ф. 7297. Оп. 38. Д. 37. Л. 318</w:t>
      </w:r>
      <w:r w:rsidRPr="00C33834">
        <w:rPr>
          <w:color w:val="000000" w:themeColor="text1"/>
          <w:sz w:val="16"/>
          <w:szCs w:val="16"/>
        </w:rPr>
        <w:noBreakHyphen/>
        <w:t>316) (15246).</w:t>
      </w:r>
    </w:p>
    <w:p w14:paraId="181596D0" w14:textId="77777777" w:rsidR="00AA4C72" w:rsidRPr="00C33834" w:rsidRDefault="00AA4C72" w:rsidP="00C33834">
      <w:pPr>
        <w:pStyle w:val="rtejustify"/>
        <w:spacing w:before="0" w:after="0"/>
        <w:rPr>
          <w:color w:val="000000" w:themeColor="text1"/>
          <w:sz w:val="16"/>
          <w:szCs w:val="16"/>
        </w:rPr>
      </w:pPr>
    </w:p>
    <w:p w14:paraId="0F477638"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38EEEDA"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D6DF6FD"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октября 1933 вертолет Г.Флорина поднялся на высоту 6 м и продержался в воздухе 6 мин 30 с. Рекордную продолжительность полета - 9 мин 47 с (превышавшую рекорд вертолета д'Асканио на 1 мин 13 с) Роберт Коллин показал 25 ок</w:t>
      </w:r>
      <w:r w:rsidRPr="00C33834">
        <w:rPr>
          <w:rFonts w:ascii="Times New Roman" w:hAnsi="Times New Roman"/>
          <w:color w:val="000000" w:themeColor="text1"/>
          <w:sz w:val="16"/>
          <w:szCs w:val="16"/>
        </w:rPr>
        <w:softHyphen/>
        <w:t>тября. Это достижение было зарегист</w:t>
      </w:r>
      <w:r w:rsidRPr="00C33834">
        <w:rPr>
          <w:rFonts w:ascii="Times New Roman" w:hAnsi="Times New Roman"/>
          <w:color w:val="000000" w:themeColor="text1"/>
          <w:sz w:val="16"/>
          <w:szCs w:val="16"/>
        </w:rPr>
        <w:softHyphen/>
        <w:t>рировано официальными представите</w:t>
      </w:r>
      <w:r w:rsidRPr="00C33834">
        <w:rPr>
          <w:rFonts w:ascii="Times New Roman" w:hAnsi="Times New Roman"/>
          <w:color w:val="000000" w:themeColor="text1"/>
          <w:sz w:val="16"/>
          <w:szCs w:val="16"/>
        </w:rPr>
        <w:softHyphen/>
        <w:t>лями «Аэроклуба», однако в качестве мирового рекорда не утверждено. Отметим попутно, что и этот рекорд значительно уступает рекорду, достигнутому на вертолете ЦАГИ 1 -ЭА (11401).</w:t>
      </w:r>
    </w:p>
    <w:p w14:paraId="5EA920EC"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60F5D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октября 1933 Германия вышла из Лиги наций (2242,2).</w:t>
      </w:r>
    </w:p>
    <w:p w14:paraId="37C43FD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7ED1721E" w14:textId="77777777" w:rsidR="00562118" w:rsidRPr="00C33834" w:rsidRDefault="0056211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октября 1933 Германия вышла из Лиги Наций (18265).</w:t>
      </w:r>
    </w:p>
    <w:p w14:paraId="4413DB64" w14:textId="77777777" w:rsidR="00562118" w:rsidRPr="00C33834" w:rsidRDefault="00562118" w:rsidP="00C33834">
      <w:pPr>
        <w:spacing w:after="0" w:line="240" w:lineRule="auto"/>
        <w:jc w:val="both"/>
        <w:rPr>
          <w:rFonts w:ascii="Times New Roman" w:hAnsi="Times New Roman"/>
          <w:color w:val="000000" w:themeColor="text1"/>
          <w:sz w:val="16"/>
          <w:szCs w:val="16"/>
        </w:rPr>
      </w:pPr>
    </w:p>
    <w:p w14:paraId="48D453C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19 октября 1933 вышла из Лиги Наций. Москва же, сделавшая к тому времени выбор не в пользу нацистской Германии, инициировала подписание в Лондоне в ходе международной экономической конференции Соглашения об определении агрессора с соседними государствами, которое было направлено против Германии. Сталин и его окружение, поняв, что в лице правительства Гитлера они столкнулись со столь же целеустремленными, циничными и беспардонными политиками, как и они сами, всеми силами стремились загнать Германию в политическую изоляцию. Частично это им удалось. Однако опасения Запада относительно политики правительства «национальной концентрации» Гитлера были куда меньшими, нежели почти неприкрытый страх перед возможностью большевизации всего мира. В Берлине это понимали. Поэтому, выбрав курс на достижение двусторонних соглашений и взяв на себя роль «защитного вала» против большевизма (Meinecke Friedrich. Die deutsche Katastrophe. Betrachtungen und Erinnerungen. Wiesbaden 1949. S. 115.), Гитлер умело решал внешнеполитические головоломки последующего периода. </w:t>
      </w:r>
      <w:r w:rsidRPr="00C33834">
        <w:rPr>
          <w:rFonts w:ascii="Times New Roman" w:hAnsi="Times New Roman"/>
          <w:color w:val="000000" w:themeColor="text1"/>
          <w:sz w:val="16"/>
          <w:szCs w:val="16"/>
        </w:rPr>
        <w:lastRenderedPageBreak/>
        <w:t>Здесь были и резкое политическое противостояние Москвы и Берлина и попытки советско-германского сближения, вплоть до восстановления прежних военных связей, однако с «рапалльской политикой» было покончено (11784).</w:t>
      </w:r>
    </w:p>
    <w:p w14:paraId="149F124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358DC401"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AA51E67"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B8C063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октября 1933 года был подготовлен Отчет по использованию самолета ТБ-3 как транспортного для перевозки и сбрасывания парашютного десанта</w:t>
      </w:r>
    </w:p>
    <w:p w14:paraId="55D68F8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Цель и задачи</w:t>
      </w:r>
    </w:p>
    <w:p w14:paraId="234CB59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Использовать самолет ТБ-3 как транспортный для перевозки большого количества парашютистов и сбрасывания таковых в наикратчайший срок. Вышеуказанная задача была решена 9 октября 1933 года в районе дер. Татарово-Крылатское группой парашютистов в количестве 21 чел.</w:t>
      </w:r>
    </w:p>
    <w:p w14:paraId="50E008C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Выводы</w:t>
      </w:r>
    </w:p>
    <w:p w14:paraId="3DBD6B5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ТБ-3 можно вполне использовать без ущерба его боевым и летным качествам для переброски десанта в количестве 34 человек.</w:t>
      </w:r>
    </w:p>
    <w:p w14:paraId="26CCF46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Распределение людей по самолету даст возможность совершенно отказаться от подвесных кабин, но желательно построить дополнительную дверь с левого бока фюзеляжа (3853,165-172).</w:t>
      </w:r>
    </w:p>
    <w:p w14:paraId="1FC7F10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547741F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октября 1933 Нач. ВВС Алкснис подписал Акт утверждения гос. испытаний самолета И-3ет М-22:</w:t>
      </w:r>
    </w:p>
    <w:p w14:paraId="7E2A43B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Заключение НИИ ВВС РККА по Гос. испытаниям самолета И-зет М-22 утверждаю.</w:t>
      </w:r>
    </w:p>
    <w:p w14:paraId="3674E36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Нач. УМТС и Вооружений принять построенные на заводе 39 самолета И-зет по их вооружению и устранению дефектов, указанных на с. 21 сводки испытаний.</w:t>
      </w:r>
    </w:p>
    <w:p w14:paraId="3D43CBB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Нач. Штаба ВВС РККА разработать программу войсковых и тактических испытаний самолетов, сосредоточив их в одной части.</w:t>
      </w:r>
    </w:p>
    <w:p w14:paraId="6CEA1BC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Основной задачей для завода 133 считать передачу на гос. испытания к 1 марта 1934 модифицированного экз. самолета И-зет М-22, удовлетворяющего требованиям, указанным в заключении НИИ ВВС РККА." (2303,70).</w:t>
      </w:r>
    </w:p>
    <w:p w14:paraId="6C381F9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61C07C86" w14:textId="77777777" w:rsidR="00FE0782" w:rsidRPr="00C33834" w:rsidRDefault="00FE078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20 октября 1933 г. при утверждении акта по испытаниям А-4 Начальник ВВС РККА Алкснис приказал начальни</w:t>
      </w:r>
      <w:r w:rsidRPr="00C33834">
        <w:rPr>
          <w:rFonts w:ascii="Times New Roman" w:hAnsi="Times New Roman"/>
          <w:color w:val="0070C0"/>
          <w:sz w:val="16"/>
          <w:szCs w:val="16"/>
        </w:rPr>
        <w:softHyphen/>
        <w:t>ку Управления материально-технического снабжения ВВС принять построенную серию автожиров и распределить ее для эксплуатации в строевые части (20381).</w:t>
      </w:r>
    </w:p>
    <w:p w14:paraId="30760C21" w14:textId="77777777" w:rsidR="00FE0782" w:rsidRPr="00C33834" w:rsidRDefault="00FE0782" w:rsidP="00C33834">
      <w:pPr>
        <w:shd w:val="clear" w:color="auto" w:fill="FFFFFF"/>
        <w:spacing w:after="0" w:line="240" w:lineRule="auto"/>
        <w:jc w:val="both"/>
        <w:rPr>
          <w:rFonts w:ascii="Times New Roman" w:hAnsi="Times New Roman"/>
          <w:color w:val="0070C0"/>
          <w:sz w:val="16"/>
          <w:szCs w:val="16"/>
        </w:rPr>
      </w:pPr>
    </w:p>
    <w:p w14:paraId="401FF72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октября 1933 года начальник НИИ ВВС Зильберт писал письмо N 1/02385с начальнику ВВС.</w:t>
      </w:r>
    </w:p>
    <w:p w14:paraId="2558BE2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Представляю отчет по испытаниям усовершенствования системы ТАВ-15 (ВВС 10/15 года).</w:t>
      </w:r>
    </w:p>
    <w:p w14:paraId="5882A53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были проведены в Финском заливе на самолете ТБ-1 под руководством врид начальника минно-торпедного сектора НИИ ВВС Панова. Всего было произведено 6 сбрасываний из коих 4 болванки и две торпеды с ходом, высот до 3000 м. Результаты изменений подтвердили правильность и своевременность проделанных изменений в системе (3051).</w:t>
      </w:r>
    </w:p>
    <w:p w14:paraId="270A30A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4CF8B362" w14:textId="77777777" w:rsidR="00AA4C7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C068C17" w14:textId="77777777" w:rsidR="00AA4C72" w:rsidRPr="00C33834" w:rsidRDefault="00AA4C7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239583A" w14:textId="77777777" w:rsidR="00AA4C72" w:rsidRPr="00C33834" w:rsidRDefault="00AA4C72" w:rsidP="00C33834">
      <w:pPr>
        <w:spacing w:after="0" w:line="240" w:lineRule="auto"/>
        <w:jc w:val="both"/>
        <w:rPr>
          <w:rStyle w:val="af0"/>
          <w:rFonts w:ascii="Times New Roman" w:hAnsi="Times New Roman"/>
          <w:i w:val="0"/>
          <w:color w:val="000000" w:themeColor="text1"/>
          <w:sz w:val="16"/>
          <w:szCs w:val="16"/>
        </w:rPr>
      </w:pPr>
      <w:r w:rsidRPr="00C33834">
        <w:rPr>
          <w:rStyle w:val="af0"/>
          <w:rFonts w:ascii="Times New Roman" w:hAnsi="Times New Roman"/>
          <w:i w:val="0"/>
          <w:color w:val="000000" w:themeColor="text1"/>
          <w:sz w:val="16"/>
          <w:szCs w:val="16"/>
        </w:rPr>
        <w:t xml:space="preserve">20 октября 1933 г. </w:t>
      </w:r>
      <w:r w:rsidRPr="00C33834">
        <w:rPr>
          <w:rFonts w:ascii="Times New Roman" w:hAnsi="Times New Roman"/>
          <w:color w:val="000000" w:themeColor="text1"/>
          <w:sz w:val="16"/>
          <w:szCs w:val="16"/>
        </w:rPr>
        <w:t>Из справки Главного военно-мобилизационного управления НКТП СССР о состоянии опытных и научно-исследовательских работ в военной промышленности</w:t>
      </w:r>
    </w:p>
    <w:p w14:paraId="0CFA64F1" w14:textId="77777777" w:rsidR="00AA4C72" w:rsidRPr="00C33834" w:rsidRDefault="00AA4C72"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Совершенно секретно.</w:t>
      </w:r>
    </w:p>
    <w:p w14:paraId="7CFF2A0B" w14:textId="77777777" w:rsidR="00AA4C72" w:rsidRPr="00C33834" w:rsidRDefault="00AA4C72" w:rsidP="00C33834">
      <w:pPr>
        <w:pStyle w:val="rtejustify"/>
        <w:spacing w:before="0" w:after="0"/>
        <w:rPr>
          <w:color w:val="000000" w:themeColor="text1"/>
          <w:sz w:val="16"/>
          <w:szCs w:val="16"/>
        </w:rPr>
      </w:pPr>
      <w:r w:rsidRPr="00C33834">
        <w:rPr>
          <w:color w:val="000000" w:themeColor="text1"/>
          <w:sz w:val="16"/>
          <w:szCs w:val="16"/>
        </w:rPr>
        <w:t>Кампания отчетов по выполнению опытных и научно-исследовательских работ оборонного значения, начатая 20 сентября, проведена пока наполовину. Однако в настоящее время представляется возможным сделать оценку общего положения этих работ. Дать оценку теперь же необходимо в виду того, что идет уже составление плана таких работ на 1934 г. При составлении этого плана должны быть учтены все неполадки, которые имели место в работах текущего года.</w:t>
      </w:r>
    </w:p>
    <w:p w14:paraId="63FCE68C" w14:textId="77777777" w:rsidR="00AA4C72" w:rsidRPr="00C33834" w:rsidRDefault="00AA4C72" w:rsidP="00C33834">
      <w:pPr>
        <w:pStyle w:val="rtejustify"/>
        <w:spacing w:before="0" w:after="0"/>
        <w:rPr>
          <w:color w:val="000000" w:themeColor="text1"/>
          <w:sz w:val="16"/>
          <w:szCs w:val="16"/>
        </w:rPr>
      </w:pPr>
      <w:r w:rsidRPr="00C33834">
        <w:rPr>
          <w:color w:val="000000" w:themeColor="text1"/>
          <w:sz w:val="16"/>
          <w:szCs w:val="16"/>
        </w:rPr>
        <w:t>Положение с опытными и научно-исследовательскими работами в 1933 г. надо признать совершенно неудовлетворительным. Основной причиной тому служит значительная дезорганизация этих работ, являющаяся следствием крайне слабого ими руководства. Во многих случаях опытные и научно-исследовательские работы оборонного значения являются прямо беспризорными. Положение с центробежной отливкой, со звуковыми минами, работы по телемеханике, манесмановскому прокату и очень многое другое служат достаточной иллюстрацией верности этого вывода. Также необходимо отметить наблюдаемую разобщенность конструкторов от производства, что приводит к полной неувязке в путях, по которым должны идти теоретические достижения для возможности скорейшего внедрения в практическое использование.</w:t>
      </w:r>
    </w:p>
    <w:p w14:paraId="7825811E" w14:textId="77777777" w:rsidR="00AA4C72" w:rsidRPr="00C33834" w:rsidRDefault="00AA4C72" w:rsidP="00C33834">
      <w:pPr>
        <w:pStyle w:val="rtejustify"/>
        <w:spacing w:before="0" w:after="0"/>
        <w:rPr>
          <w:color w:val="000000" w:themeColor="text1"/>
          <w:sz w:val="16"/>
          <w:szCs w:val="16"/>
        </w:rPr>
      </w:pPr>
      <w:r w:rsidRPr="00C33834">
        <w:rPr>
          <w:color w:val="000000" w:themeColor="text1"/>
          <w:sz w:val="16"/>
          <w:szCs w:val="16"/>
        </w:rPr>
        <w:t>I. Отсутствие руководства</w:t>
      </w:r>
    </w:p>
    <w:p w14:paraId="51D74A31" w14:textId="77777777" w:rsidR="00AA4C72" w:rsidRPr="00C33834" w:rsidRDefault="00AA4C72" w:rsidP="00C33834">
      <w:pPr>
        <w:pStyle w:val="rtejustify"/>
        <w:spacing w:before="0" w:after="0"/>
        <w:rPr>
          <w:color w:val="000000" w:themeColor="text1"/>
          <w:sz w:val="16"/>
          <w:szCs w:val="16"/>
        </w:rPr>
      </w:pPr>
      <w:r w:rsidRPr="00C33834">
        <w:rPr>
          <w:color w:val="000000" w:themeColor="text1"/>
          <w:sz w:val="16"/>
          <w:szCs w:val="16"/>
        </w:rPr>
        <w:t>Прежде всего отсутствует центральное руководство опытными работами в целом. Большинство научно-исследовательских и опытных работ не представляют замкнутой проблемы, а охватывают целый ряд заданий, осуществление которых требует, как правило, участия целого ряда специальностей, следовательно, целого ряда научных дисциплин, разбитых по различным институтам и заводам: металл, аппаратура, порох и т. п. Отсутствие центрального руководства приводит к тому, что одни элементы в своей разработке уходят далеко вперед, например, конструктивная часть орудий (хотя бы лейнеры), а другая оказывается отсталой (металл не соответствует заданию конструкторов), в результате при внедрении в производство приходится менять конструкцию под качество металла, и вся предшествующая работа идет насмарку.</w:t>
      </w:r>
    </w:p>
    <w:p w14:paraId="4B462207" w14:textId="77777777" w:rsidR="00AA4C72" w:rsidRPr="00C33834" w:rsidRDefault="00AA4C72" w:rsidP="00C33834">
      <w:pPr>
        <w:pStyle w:val="rtejustify"/>
        <w:spacing w:before="0" w:after="0"/>
        <w:rPr>
          <w:color w:val="000000" w:themeColor="text1"/>
          <w:sz w:val="16"/>
          <w:szCs w:val="16"/>
        </w:rPr>
      </w:pPr>
      <w:r w:rsidRPr="00C33834">
        <w:rPr>
          <w:color w:val="000000" w:themeColor="text1"/>
          <w:sz w:val="16"/>
          <w:szCs w:val="16"/>
        </w:rPr>
        <w:t>Или такое положение: центробежная отливка снарядов задана заводу МЗМ. Днепропетровский институт металлов по своей инициативе занялся этим делом — аналогичную работу ведет и Снарядный институт. В результате — в то время, как МЗМ на основе предыдущего цикла работ этого рода уже производит в настоящее время отливки стальных снарядов — Харьковский институт металлов продвигается ощупью и после почти годовой работы построил две машины, не лишенные остроумия, но на них пока производит опыты с парафином и свинцом, т. е. проходит вслепую те этапы, которые МЗМ давно преодолел.</w:t>
      </w:r>
    </w:p>
    <w:p w14:paraId="5C94336B" w14:textId="77777777" w:rsidR="00AA4C72" w:rsidRPr="00C33834" w:rsidRDefault="00AA4C72" w:rsidP="00C33834">
      <w:pPr>
        <w:pStyle w:val="rtejustify"/>
        <w:spacing w:before="0" w:after="0"/>
        <w:rPr>
          <w:color w:val="000000" w:themeColor="text1"/>
          <w:sz w:val="16"/>
          <w:szCs w:val="16"/>
        </w:rPr>
      </w:pPr>
      <w:r w:rsidRPr="00C33834">
        <w:rPr>
          <w:color w:val="000000" w:themeColor="text1"/>
          <w:sz w:val="16"/>
          <w:szCs w:val="16"/>
        </w:rPr>
        <w:t>Обстановка дела с центробежным литьем орудий на заводе МЗМ служит наилучшей иллюстрацией беспризорности и безголовья в этом деле. Всего до начала августа заводом отлито 108 122</w:t>
      </w:r>
      <w:r w:rsidRPr="00C33834">
        <w:rPr>
          <w:color w:val="000000" w:themeColor="text1"/>
          <w:sz w:val="16"/>
          <w:szCs w:val="16"/>
        </w:rPr>
        <w:noBreakHyphen/>
        <w:t>мм труб, причем только четыре трубы оказались вполне годными, из них из двух изготовлены тела гаубиц. Все прочие трубы в количестве 104 оказались с глубокими трещинами после вынутия из изложницы. Такие результаты показывают, что завод не организовал правильного изучения процесса центробежного литья и не подвергнул систематическому анализу результатов производившихся плавок, не изучал причины систематических разрывов отлитых орудийных болванок. Только в последнее время, после установления явной нецелесообразности продолжать существовавший метод испытаний, завод приступил к изучению своих неполадок. В августе было произведено изменение метода литья (подогрев изложницы, изменена конструкция литейной воронки и кольца) и усилен контроль над плавкой. В результате этого на следующей же серии в 10 отливок получены были трубы без трещин.</w:t>
      </w:r>
    </w:p>
    <w:p w14:paraId="3C8577A6" w14:textId="77777777" w:rsidR="00AA4C72" w:rsidRPr="00C33834" w:rsidRDefault="00AA4C72" w:rsidP="00C33834">
      <w:pPr>
        <w:pStyle w:val="rtejustify"/>
        <w:spacing w:before="0" w:after="0"/>
        <w:rPr>
          <w:color w:val="000000" w:themeColor="text1"/>
          <w:sz w:val="16"/>
          <w:szCs w:val="16"/>
        </w:rPr>
      </w:pPr>
      <w:r w:rsidRPr="00C33834">
        <w:rPr>
          <w:color w:val="000000" w:themeColor="text1"/>
          <w:sz w:val="16"/>
          <w:szCs w:val="16"/>
        </w:rPr>
        <w:t>Однако и тут завод недостаточно оценил необходимость более глубокого анализа всего процесса: почему все 10 труб вышли в брак при термообработке? Причиной этого брака явилось недостаточное изучение структуры металла после отливки. Оказалось, что в казенной части скапливается нездоровая часть металла на длине около 1</w:t>
      </w:r>
      <w:r w:rsidRPr="00C33834">
        <w:rPr>
          <w:color w:val="000000" w:themeColor="text1"/>
          <w:sz w:val="16"/>
          <w:szCs w:val="16"/>
        </w:rPr>
        <w:noBreakHyphen/>
        <w:t>1,5 калибров болванки, которая подлежит обязательному отбросу. В результате все 10 болванок вышли в брак. При систематическом изучении своих неполадок завод должен был бы обнаружить это явление на первой или второй болванке. После этого завод отлил еще 12 плавок — получил трубы без трещин и в настоящее время подвергает их термической обработке — результаты которой пока не получены. Необходимо также отметить, что завод отлил уже 140 плавок и, имея только четыре гарантированные удачные плавки, 124 бракованных и 12 пока неизвестных, не подверг исследованию ни влияние скоростей вращения, ни влияние угла наклона машины. Последнее обстоятельство тем более требуется поставить заводу в упрек, что международная практика не применяет машин центробежного литья с таким большим наклоном, а в подавляющем большинстве пользуется машинами горизонтального типа. В деле центробежного литья снарядов и орудийных стволов и труб необходимо ввести здоровое организационное начало и твердое руководство.</w:t>
      </w:r>
    </w:p>
    <w:p w14:paraId="674BE4BB" w14:textId="77777777" w:rsidR="00AA4C72" w:rsidRPr="00C33834" w:rsidRDefault="00AA4C72" w:rsidP="00C33834">
      <w:pPr>
        <w:pStyle w:val="rtejustify"/>
        <w:spacing w:before="0" w:after="0"/>
        <w:rPr>
          <w:color w:val="000000" w:themeColor="text1"/>
          <w:sz w:val="16"/>
          <w:szCs w:val="16"/>
        </w:rPr>
      </w:pPr>
      <w:r w:rsidRPr="00C33834">
        <w:rPr>
          <w:color w:val="000000" w:themeColor="text1"/>
          <w:sz w:val="16"/>
          <w:szCs w:val="16"/>
        </w:rPr>
        <w:t>По линии арсенальных работ в текущем году одной из крупных работ было приспособление зарядных ящиков для механической тяги (подрессоривание). В результате работы проведены по всем типам ящиков — но только по их передним ходам — а задние хода остались не подрессоренными, в результате работа не привела ни к какой цели, ни один ящик к мехтяге не приспособлен, т. к. хотя передний ход и подрессорен, но без подрессоренного заднего хода ящик на прицепку к трактору ставить нельзя.</w:t>
      </w:r>
    </w:p>
    <w:p w14:paraId="6592DA6F" w14:textId="77777777" w:rsidR="00AA4C72" w:rsidRPr="00C33834" w:rsidRDefault="00AA4C72" w:rsidP="00C33834">
      <w:pPr>
        <w:pStyle w:val="rtejustify"/>
        <w:spacing w:before="0" w:after="0"/>
        <w:rPr>
          <w:color w:val="000000" w:themeColor="text1"/>
          <w:sz w:val="16"/>
          <w:szCs w:val="16"/>
        </w:rPr>
      </w:pPr>
      <w:r w:rsidRPr="00C33834">
        <w:rPr>
          <w:color w:val="000000" w:themeColor="text1"/>
          <w:sz w:val="16"/>
          <w:szCs w:val="16"/>
        </w:rPr>
        <w:t>По снарядам из томассовой стали работы начаты еще в 1932 г. — Керченский завод отлил 17 плавок, не обследовав ни одной. В текущем году Харьковский институт металлов получил задание на эту работу. Он обследовал эти плавки — все 17 оказались неудовлетворительными. В 1934 г. эту работу придется начинать сначала — потеряно 2 года.</w:t>
      </w:r>
    </w:p>
    <w:p w14:paraId="4DD2C1DE" w14:textId="77777777" w:rsidR="00AA4C72" w:rsidRPr="00C33834" w:rsidRDefault="00AA4C72" w:rsidP="00C33834">
      <w:pPr>
        <w:pStyle w:val="rtejustify"/>
        <w:spacing w:before="0" w:after="0"/>
        <w:rPr>
          <w:color w:val="000000" w:themeColor="text1"/>
          <w:sz w:val="16"/>
          <w:szCs w:val="16"/>
        </w:rPr>
      </w:pPr>
      <w:r w:rsidRPr="00C33834">
        <w:rPr>
          <w:color w:val="000000" w:themeColor="text1"/>
          <w:sz w:val="16"/>
          <w:szCs w:val="16"/>
        </w:rPr>
        <w:t>Электротехнический институт ВЭИ разрабатывает макет (образец) радиостанции на ультракоротких волнах. При этом он разрабатывает вновь образцы всех деталей, несмотря на то, что большинство их по своему назначению не отличается от деталей существующих станций. Руководители этой работы в институте объяснили это тем, что им не удалось достать на заводах детали существующих установок, поэтому они делают эти детали по своему усмотрению.</w:t>
      </w:r>
    </w:p>
    <w:p w14:paraId="296450EB" w14:textId="77777777" w:rsidR="00AA4C72" w:rsidRPr="00C33834" w:rsidRDefault="00AA4C72" w:rsidP="00C33834">
      <w:pPr>
        <w:pStyle w:val="rtejustify"/>
        <w:spacing w:before="0" w:after="0"/>
        <w:rPr>
          <w:color w:val="000000" w:themeColor="text1"/>
          <w:sz w:val="16"/>
          <w:szCs w:val="16"/>
        </w:rPr>
      </w:pPr>
      <w:r w:rsidRPr="00C33834">
        <w:rPr>
          <w:color w:val="000000" w:themeColor="text1"/>
          <w:sz w:val="16"/>
          <w:szCs w:val="16"/>
        </w:rPr>
        <w:t>Таких примеров исключительной несогласованности и дезорганизации руководства можно привести еще много. Все это говорит за то, что дело опытных работ не получает того внимания и не имеет того руководства, которое необходимо. Без этого останется навсегда то положение, что мы добиваемся с большим трудом достигнуть тех результатов, которые за границей уже не считают нужным скрывать за устарелостью.</w:t>
      </w:r>
    </w:p>
    <w:p w14:paraId="08811719" w14:textId="77777777" w:rsidR="00AA4C72" w:rsidRPr="00C33834" w:rsidRDefault="00AA4C72" w:rsidP="00C33834">
      <w:pPr>
        <w:pStyle w:val="rtejustify"/>
        <w:spacing w:before="0" w:after="0"/>
        <w:rPr>
          <w:color w:val="000000" w:themeColor="text1"/>
          <w:sz w:val="16"/>
          <w:szCs w:val="16"/>
        </w:rPr>
      </w:pPr>
      <w:r w:rsidRPr="00C33834">
        <w:rPr>
          <w:color w:val="000000" w:themeColor="text1"/>
          <w:sz w:val="16"/>
          <w:szCs w:val="16"/>
        </w:rPr>
        <w:t>II. Отсутствие плана</w:t>
      </w:r>
    </w:p>
    <w:p w14:paraId="5B5FD7BF" w14:textId="77777777" w:rsidR="00AA4C72" w:rsidRPr="00C33834" w:rsidRDefault="00AA4C72" w:rsidP="00C33834">
      <w:pPr>
        <w:pStyle w:val="rtejustify"/>
        <w:spacing w:before="0" w:after="0"/>
        <w:rPr>
          <w:color w:val="000000" w:themeColor="text1"/>
          <w:sz w:val="16"/>
          <w:szCs w:val="16"/>
        </w:rPr>
      </w:pPr>
      <w:r w:rsidRPr="00C33834">
        <w:rPr>
          <w:color w:val="000000" w:themeColor="text1"/>
          <w:sz w:val="16"/>
          <w:szCs w:val="16"/>
        </w:rPr>
        <w:lastRenderedPageBreak/>
        <w:t>Отсутствие централизованного руководства приводит к тому, что единого плана в проведении опытных работ нет. Список опытных работ содержит до 1 тыс. заданий оборонного значения, распределенных между сотней заводов и научно-исследовательских институтов. В этом нагромождении тем, как правило, нет никакой взаимной связи. Нет твердой целеустановки: что добиваемся мы дать обороне страны за текущий год? Чем усилится боевая мощь Красной армии в результате проделанной работы? Какие, наконец, научные достижения будут поставлены на службу в виде конкретно построенных и переданных на валовое производство систем или приборов?</w:t>
      </w:r>
    </w:p>
    <w:p w14:paraId="06E4A709" w14:textId="77777777" w:rsidR="00AA4C72" w:rsidRPr="00C33834" w:rsidRDefault="00AA4C72" w:rsidP="00C33834">
      <w:pPr>
        <w:pStyle w:val="rtejustify"/>
        <w:spacing w:before="0" w:after="0"/>
        <w:rPr>
          <w:color w:val="000000" w:themeColor="text1"/>
          <w:sz w:val="16"/>
          <w:szCs w:val="16"/>
        </w:rPr>
      </w:pPr>
      <w:r w:rsidRPr="00C33834">
        <w:rPr>
          <w:color w:val="000000" w:themeColor="text1"/>
          <w:sz w:val="16"/>
          <w:szCs w:val="16"/>
        </w:rPr>
        <w:t>Необходимо при составлении плана опытных и научно-исследовательских работ на 1934 г. предварительно утвердить твердые и резко очертанные целевые установки для всего комплекса основных тем, очерчивающих основные задачи в усилении обороны Союза. На основе этих целевых установок должна производиться разработка отдельных тем, долженствующих в своем комплексе в исчерпывающей форме разрешить поставленные задания. Отдельные, оторванные задания могут быть допущены только там, где образовались неувязки благодаря неправильной тематике работ предыдущих лет, где требуется конкретизировать техническое использование ранее полученных отвлеченных разработок или где надо доработать тему для приближения ее к промышленным возможностям¹*.</w:t>
      </w:r>
    </w:p>
    <w:p w14:paraId="0CE8C649" w14:textId="77777777" w:rsidR="00AA4C72" w:rsidRPr="00C33834" w:rsidRDefault="00AA4C72"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Примечание</w:t>
      </w:r>
      <w:r w:rsidRPr="00C33834">
        <w:rPr>
          <w:color w:val="000000" w:themeColor="text1"/>
          <w:sz w:val="16"/>
          <w:szCs w:val="16"/>
        </w:rPr>
        <w:t>:</w:t>
      </w:r>
    </w:p>
    <w:p w14:paraId="590B92F8" w14:textId="77777777" w:rsidR="00AA4C72" w:rsidRPr="00C33834" w:rsidRDefault="00AA4C72" w:rsidP="00C33834">
      <w:pPr>
        <w:pStyle w:val="rtejustify"/>
        <w:spacing w:before="0" w:after="0"/>
        <w:rPr>
          <w:color w:val="000000" w:themeColor="text1"/>
          <w:sz w:val="16"/>
          <w:szCs w:val="16"/>
        </w:rPr>
      </w:pPr>
      <w:r w:rsidRPr="00C33834">
        <w:rPr>
          <w:color w:val="000000" w:themeColor="text1"/>
          <w:sz w:val="16"/>
          <w:szCs w:val="16"/>
        </w:rPr>
        <w:t>¹* Опущен раздел III — «Академичность тем и оторванность их от производства», а также заключительный раздел с предложениями по реорганизации опытных работ на заводах военной промышленности. Часть доклада в деле отсутствует.</w:t>
      </w:r>
    </w:p>
    <w:p w14:paraId="2C1213A1" w14:textId="77777777" w:rsidR="00AA4C72" w:rsidRPr="00C33834" w:rsidRDefault="00AA4C72" w:rsidP="00C33834">
      <w:pPr>
        <w:pStyle w:val="ae"/>
        <w:spacing w:before="0" w:after="0"/>
        <w:jc w:val="both"/>
        <w:rPr>
          <w:color w:val="000000" w:themeColor="text1"/>
          <w:sz w:val="16"/>
          <w:szCs w:val="16"/>
        </w:rPr>
      </w:pPr>
      <w:r w:rsidRPr="00C33834">
        <w:rPr>
          <w:color w:val="000000" w:themeColor="text1"/>
          <w:sz w:val="16"/>
          <w:szCs w:val="16"/>
        </w:rPr>
        <w:t>РГАЭ. Ф. 7297. Оп. 41. Д. 78. Л. 19-14. Копия (15284).</w:t>
      </w:r>
    </w:p>
    <w:p w14:paraId="4C87D1AB" w14:textId="77777777" w:rsidR="00AA4C72" w:rsidRPr="00C33834" w:rsidRDefault="00AA4C7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1836038" w14:textId="77777777" w:rsidR="00AA4C72" w:rsidRPr="00C33834" w:rsidRDefault="00AA4C72" w:rsidP="00C33834">
      <w:pPr>
        <w:pStyle w:val="rtejustify"/>
        <w:spacing w:before="0" w:after="0"/>
        <w:rPr>
          <w:color w:val="000000" w:themeColor="text1"/>
          <w:sz w:val="16"/>
          <w:szCs w:val="16"/>
        </w:rPr>
      </w:pPr>
      <w:r w:rsidRPr="00C33834">
        <w:rPr>
          <w:rStyle w:val="af0"/>
          <w:bCs/>
          <w:i w:val="0"/>
          <w:color w:val="000000" w:themeColor="text1"/>
          <w:sz w:val="16"/>
          <w:szCs w:val="16"/>
        </w:rPr>
        <w:t>20 октября</w:t>
      </w:r>
      <w:r w:rsidRPr="00C33834">
        <w:rPr>
          <w:color w:val="000000" w:themeColor="text1"/>
          <w:sz w:val="16"/>
          <w:szCs w:val="16"/>
        </w:rPr>
        <w:t xml:space="preserve"> 1933. Постановление СТО СССР № 97с/о «О распределении радиостанций военных типов в IV квартале 1933 г.». (ГА РФ. Ф. Р</w:t>
      </w:r>
      <w:r w:rsidRPr="00C33834">
        <w:rPr>
          <w:color w:val="000000" w:themeColor="text1"/>
          <w:sz w:val="16"/>
          <w:szCs w:val="16"/>
        </w:rPr>
        <w:noBreakHyphen/>
        <w:t>8418. Оп. 28. Д. 2. Л. 209) (15460).</w:t>
      </w:r>
    </w:p>
    <w:p w14:paraId="780F08AD" w14:textId="77777777" w:rsidR="00AA4C72" w:rsidRPr="00C33834" w:rsidRDefault="00AA4C72" w:rsidP="00C33834">
      <w:pPr>
        <w:pStyle w:val="rtejustify"/>
        <w:spacing w:before="0" w:after="0"/>
        <w:rPr>
          <w:color w:val="000000" w:themeColor="text1"/>
          <w:sz w:val="16"/>
          <w:szCs w:val="16"/>
        </w:rPr>
      </w:pPr>
    </w:p>
    <w:p w14:paraId="73CCC7DC"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121C3C3C"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03F804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20 и 26 октября 1933. Из протокола заседания Политбюро N148, особая папка, 1933 г.</w:t>
      </w:r>
    </w:p>
    <w:p w14:paraId="7F28B2E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поездке т. Литвинова </w:t>
      </w:r>
    </w:p>
    <w:p w14:paraId="5765227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 Считать целесообразной остановку т. Литвинова в Берлине и не отказываться от беседы с Нейратом или если пожелает Гитлер, то и с ним. </w:t>
      </w:r>
    </w:p>
    <w:p w14:paraId="5DE7E62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В случае, если немцы будут предлагать подписать протокол о том, что все конфликты улажены, идти на это можно при условии, если они публично в той или иной извиняющейся форме выразят сожаление по поводу ряда неправильных действий германских властей в конфликте о журналистах. Если же они протокола требовать не будут, то ограничиться беседой в тоне, дающем им понять, что мы не намерены углублять конфликт и готовы сделать все необходимое для восстановления прежних отношений (11652).</w:t>
      </w:r>
    </w:p>
    <w:p w14:paraId="2475457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41F734F5"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3B77A76"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0E1EA7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21 октября 1933 К-7 сделал семь опытных полетов. Серворули отладили (70,232). По другим данным это был только 6-й полет после уменьшения компенсации серворулей РН. Время полета 0:25. Разбег - 20 сек. - 244 м, пробег - 195 м. Полетный вес 29.5 тон. 1000 м набрали за 9 мин., скорость - 180 км/час. Отмечена слабость обшивки около заднего мотора и в передних лазах шасси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F26F01" w:rsidRPr="00C33834" w14:paraId="27973CFF" w14:textId="77777777">
        <w:tc>
          <w:tcPr>
            <w:tcW w:w="1384" w:type="dxa"/>
            <w:tcBorders>
              <w:top w:val="single" w:sz="12" w:space="0" w:color="auto"/>
            </w:tcBorders>
          </w:tcPr>
          <w:p w14:paraId="25EBC84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Дата испытания</w:t>
            </w:r>
          </w:p>
        </w:tc>
        <w:tc>
          <w:tcPr>
            <w:tcW w:w="2410" w:type="dxa"/>
            <w:tcBorders>
              <w:top w:val="single" w:sz="12" w:space="0" w:color="auto"/>
            </w:tcBorders>
          </w:tcPr>
          <w:p w14:paraId="616EC30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713CB3B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40C75AF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3AF93D0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06A5F43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tc>
      </w:tr>
      <w:tr w:rsidR="00F26F01" w:rsidRPr="00C33834" w14:paraId="713246B0" w14:textId="77777777">
        <w:tc>
          <w:tcPr>
            <w:tcW w:w="1384" w:type="dxa"/>
            <w:tcBorders>
              <w:bottom w:val="single" w:sz="12" w:space="0" w:color="auto"/>
            </w:tcBorders>
          </w:tcPr>
          <w:p w14:paraId="700BDA0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октября 1933</w:t>
            </w:r>
          </w:p>
        </w:tc>
        <w:tc>
          <w:tcPr>
            <w:tcW w:w="2410" w:type="dxa"/>
            <w:tcBorders>
              <w:bottom w:val="single" w:sz="12" w:space="0" w:color="auto"/>
            </w:tcBorders>
          </w:tcPr>
          <w:p w14:paraId="11B72A4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6-й полет после уменьшения компенсации серворулей поворота</w:t>
            </w:r>
          </w:p>
        </w:tc>
        <w:tc>
          <w:tcPr>
            <w:tcW w:w="1089" w:type="dxa"/>
            <w:tcBorders>
              <w:bottom w:val="single" w:sz="12" w:space="0" w:color="auto"/>
            </w:tcBorders>
          </w:tcPr>
          <w:p w14:paraId="3ADD145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Запуск моторов - 0:7</w:t>
            </w:r>
          </w:p>
          <w:p w14:paraId="4E62632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моторов - 2:02</w:t>
            </w:r>
          </w:p>
          <w:p w14:paraId="2F830B0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- 0:25</w:t>
            </w:r>
          </w:p>
        </w:tc>
        <w:tc>
          <w:tcPr>
            <w:tcW w:w="3447" w:type="dxa"/>
            <w:tcBorders>
              <w:bottom w:val="single" w:sz="12" w:space="0" w:color="auto"/>
            </w:tcBorders>
          </w:tcPr>
          <w:p w14:paraId="514A5A3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Разбег - 20 сек., 244 м</w:t>
            </w:r>
          </w:p>
          <w:p w14:paraId="2C74C26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Пробег 195 м</w:t>
            </w:r>
          </w:p>
          <w:p w14:paraId="1653E1D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Полетный вес 29,5 т</w:t>
            </w:r>
          </w:p>
          <w:p w14:paraId="2B0C7DF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1150 м</w:t>
            </w:r>
          </w:p>
          <w:p w14:paraId="1949BD7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Набор 1000 м - 9 мин.</w:t>
            </w:r>
          </w:p>
          <w:p w14:paraId="3CF6F37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Нормальное действие серворулей и рулей поворота</w:t>
            </w:r>
          </w:p>
          <w:p w14:paraId="68E72FF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- 180 км/час</w:t>
            </w:r>
          </w:p>
        </w:tc>
        <w:tc>
          <w:tcPr>
            <w:tcW w:w="1776" w:type="dxa"/>
            <w:tcBorders>
              <w:bottom w:val="single" w:sz="12" w:space="0" w:color="auto"/>
            </w:tcBorders>
          </w:tcPr>
          <w:p w14:paraId="0828DE3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Слабость обшивки около заднего мотора и в передних лазах шасси (устранено)</w:t>
            </w:r>
          </w:p>
        </w:tc>
        <w:tc>
          <w:tcPr>
            <w:tcW w:w="1105" w:type="dxa"/>
            <w:tcBorders>
              <w:bottom w:val="single" w:sz="12" w:space="0" w:color="auto"/>
            </w:tcBorders>
          </w:tcPr>
          <w:p w14:paraId="22E2C87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30CEC1A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(2306,98).</w:t>
      </w:r>
    </w:p>
    <w:p w14:paraId="06E7025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6751E76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21 октября 1933 удалось довести до нормы работу серворулей К-7. Их раскачивание исчезло, а усилия на органах управления находились в приемлемых для пилотов пределах.</w:t>
      </w:r>
    </w:p>
    <w:p w14:paraId="4C27107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 в ноябре один из полетов чуть не закончился аварией. Отказал механизм поворота стабилизатора. На третьем заходе на посадку огромный самолет рухнул на землю с высоты около 9 м, но не разрушился, а подпрыгнул несколько раз и остановился. Машину спасли большие колеса низкого давления, погасившие удар. При осмотре в цепи привода стабилизатора нашли болт, мешавший ее перемещению. Но ОГПУ сочло это случайностью, а не диверсией. Существенных повреждений после падения К-7 не получил; ограничились заменой некоторых приборов и отдельных деталей.</w:t>
      </w:r>
    </w:p>
    <w:p w14:paraId="11AE977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Замеренные на испытаниях скорость и скороподъемность самолета оказались ниже расчетных. Скорость составляла 213 км/ч, практический потолок - 3650 м. Дальность оценивалась в 2000 км. Калинин упорно старался их "дожать" до требований задания. Дату полета над мерной базой несколько раз переносили из-за плохой погоды. Наконец, 21 ноября он состоялся. На борту гиганта находились 20 человек. На полном газу машина прошла первый створ. При высоких оборотах моторов и ранее наблюдался бафтинг хвостовых балок. По показаниям очевидцев, было слышно, как лопнула труба лонжерона левой балки. Ее разошедшиеся концы зажали управление рулем высоты. В 5 км от аэродрома К-7 клюнул носом и пошел к земле под углом около 40 градусов. При ударе сначала разлетелось шасси, затем машина ударилась носом фюзеляжа о землю. Шасси и переднюю гондолу подмяло под крыло. Начался пожар, взорвались бензобаки. Вся полотняная обшивка крыла быстро сгорела. Через несколько минут рядом совершили посадку два самолета сопровождения, подъехали автомобили. Три члена экипажа смогли вылезти сами, еще четверых живых вытащили спасатели, но двое умерли по дороге в больницу. В общей сложности пятнадцать человек, включая командира самолета, погибли.</w:t>
      </w:r>
    </w:p>
    <w:p w14:paraId="71F596F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Расследовавшая катастрофу комиссия под председательством заместителя начальника штаба ВВС В.К. Лаврова пришла к выводу, что основной причиной явилась ранее не запланированная установка седьмого мотора, которая создавала сильное вихреобразование на хвостовом оперении, усугубляемое воздействием вынесенных на длинных балках серворулей и недостаточной жесткостью ферм. В акте записано: "Катастрофа самолета К-7 произошла из-за потери управляемости самолета в продольном направлении, что было вызвано деформацией хвостовой части самолета". Сам же Калинин говорил о диверсии, приведшей к гибели гиганта (12036).</w:t>
      </w:r>
    </w:p>
    <w:p w14:paraId="75AD0FF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0B4A645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октября 1933 Нач. НТОС ГУАП Алмазов писал письмо N 282/645с Нач. 8 сектора НИИ ВВС Ганулину (копия ЦКБ завода 39):</w:t>
      </w:r>
    </w:p>
    <w:p w14:paraId="3FF8A0A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"Настоящим прошу прислать в адрес 5 бригады ЦКБ завода 39 сводку испытаний С-62бис АССО 150 с предкрылками типа МБР-4.</w:t>
      </w:r>
    </w:p>
    <w:p w14:paraId="4037AC8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предкрылки разработаны ЦКБ и в ближайшее время будут установлены на 2-х машинах из серии на заводе 31 для выявления их качеств в эксплуатации." (2305).</w:t>
      </w:r>
    </w:p>
    <w:p w14:paraId="32E1FDE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22D53D83"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ок</w:t>
      </w:r>
      <w:r w:rsidRPr="00C33834">
        <w:rPr>
          <w:rFonts w:ascii="Times New Roman" w:hAnsi="Times New Roman"/>
          <w:color w:val="000000" w:themeColor="text1"/>
          <w:sz w:val="16"/>
          <w:szCs w:val="16"/>
        </w:rPr>
        <w:softHyphen/>
        <w:t>тября 1933 г. из Владивостока вышел паро</w:t>
      </w:r>
      <w:r w:rsidRPr="00C33834">
        <w:rPr>
          <w:rFonts w:ascii="Times New Roman" w:hAnsi="Times New Roman"/>
          <w:color w:val="000000" w:themeColor="text1"/>
          <w:sz w:val="16"/>
          <w:szCs w:val="16"/>
        </w:rPr>
        <w:softHyphen/>
        <w:t>ход «Сергей Киров» с двумя разобранными ТБ-1 из 28-й ТБАБ ОКДВА. В Петропавлов</w:t>
      </w:r>
      <w:r w:rsidRPr="00C33834">
        <w:rPr>
          <w:rFonts w:ascii="Times New Roman" w:hAnsi="Times New Roman"/>
          <w:color w:val="000000" w:themeColor="text1"/>
          <w:sz w:val="16"/>
          <w:szCs w:val="16"/>
        </w:rPr>
        <w:softHyphen/>
        <w:t>ске самолеты перегрузили на судно «Смо</w:t>
      </w:r>
      <w:r w:rsidRPr="00C33834">
        <w:rPr>
          <w:rFonts w:ascii="Times New Roman" w:hAnsi="Times New Roman"/>
          <w:color w:val="000000" w:themeColor="text1"/>
          <w:sz w:val="16"/>
          <w:szCs w:val="16"/>
        </w:rPr>
        <w:softHyphen/>
        <w:t>ленск», следовавшее с грузом угля в бухту Провидения. В конце ноября ТБ-1 выгрузи</w:t>
      </w:r>
      <w:r w:rsidRPr="00C33834">
        <w:rPr>
          <w:rFonts w:ascii="Times New Roman" w:hAnsi="Times New Roman"/>
          <w:color w:val="000000" w:themeColor="text1"/>
          <w:sz w:val="16"/>
          <w:szCs w:val="16"/>
        </w:rPr>
        <w:softHyphen/>
        <w:t>ли на лед, собрали и облетали. Наиболее опытным пилотом в составе этой авиагруп</w:t>
      </w:r>
      <w:r w:rsidRPr="00C33834">
        <w:rPr>
          <w:rFonts w:ascii="Times New Roman" w:hAnsi="Times New Roman"/>
          <w:color w:val="000000" w:themeColor="text1"/>
          <w:sz w:val="16"/>
          <w:szCs w:val="16"/>
        </w:rPr>
        <w:softHyphen/>
        <w:t>пы оказался военный летчик А.В. Ляпидев</w:t>
      </w:r>
      <w:r w:rsidRPr="00C33834">
        <w:rPr>
          <w:rFonts w:ascii="Times New Roman" w:hAnsi="Times New Roman"/>
          <w:color w:val="000000" w:themeColor="text1"/>
          <w:sz w:val="16"/>
          <w:szCs w:val="16"/>
        </w:rPr>
        <w:softHyphen/>
        <w:t>ский, который годом ранее прошел обуче</w:t>
      </w:r>
      <w:r w:rsidRPr="00C33834">
        <w:rPr>
          <w:rFonts w:ascii="Times New Roman" w:hAnsi="Times New Roman"/>
          <w:color w:val="000000" w:themeColor="text1"/>
          <w:sz w:val="16"/>
          <w:szCs w:val="16"/>
        </w:rPr>
        <w:softHyphen/>
        <w:t>ние полетам на ТБ-1 в НИИ ВВС, а затем много летал на этом типе в строевых частях. В декабре начальником спасательной экспедиции назначили опытного полярника Г.Д. Красинского, по мнению которого, по</w:t>
      </w:r>
      <w:r w:rsidRPr="00C33834">
        <w:rPr>
          <w:rFonts w:ascii="Times New Roman" w:hAnsi="Times New Roman"/>
          <w:color w:val="000000" w:themeColor="text1"/>
          <w:sz w:val="16"/>
          <w:szCs w:val="16"/>
        </w:rPr>
        <w:softHyphen/>
        <w:t>ложение «Челюскина» становилось безвы</w:t>
      </w:r>
      <w:r w:rsidRPr="00C33834">
        <w:rPr>
          <w:rFonts w:ascii="Times New Roman" w:hAnsi="Times New Roman"/>
          <w:color w:val="000000" w:themeColor="text1"/>
          <w:sz w:val="16"/>
          <w:szCs w:val="16"/>
        </w:rPr>
        <w:softHyphen/>
        <w:t>ходным, и снимать людей с него следовало в первую очередь. После этого 20 декабря один ТБ-1 перелетел на промежуточную ба</w:t>
      </w:r>
      <w:r w:rsidRPr="00C33834">
        <w:rPr>
          <w:rFonts w:ascii="Times New Roman" w:hAnsi="Times New Roman"/>
          <w:color w:val="000000" w:themeColor="text1"/>
          <w:sz w:val="16"/>
          <w:szCs w:val="16"/>
        </w:rPr>
        <w:softHyphen/>
        <w:t>зу Уэллен на мысе Дежнева. Оттуда в конце декабря Ляпидевский дважды пытался вы</w:t>
      </w:r>
      <w:r w:rsidRPr="00C33834">
        <w:rPr>
          <w:rFonts w:ascii="Times New Roman" w:hAnsi="Times New Roman"/>
          <w:color w:val="000000" w:themeColor="text1"/>
          <w:sz w:val="16"/>
          <w:szCs w:val="16"/>
        </w:rPr>
        <w:softHyphen/>
        <w:t>лететь к терпящему бедствие судну и оба раза из-за плохой работы двигателей воз</w:t>
      </w:r>
      <w:r w:rsidRPr="00C33834">
        <w:rPr>
          <w:rFonts w:ascii="Times New Roman" w:hAnsi="Times New Roman"/>
          <w:color w:val="000000" w:themeColor="text1"/>
          <w:sz w:val="16"/>
          <w:szCs w:val="16"/>
        </w:rPr>
        <w:softHyphen/>
        <w:t>вращался. Затем на самолете иссяк запас сжатого воздуха, и Ляпидевскому пришлось вернуться в бухту Провидения за второй машиной. Она числилась за летчиком Чер</w:t>
      </w:r>
      <w:r w:rsidRPr="00C33834">
        <w:rPr>
          <w:rFonts w:ascii="Times New Roman" w:hAnsi="Times New Roman"/>
          <w:color w:val="000000" w:themeColor="text1"/>
          <w:sz w:val="16"/>
          <w:szCs w:val="16"/>
        </w:rPr>
        <w:softHyphen/>
        <w:t>нявским, однако решили, что полеты про</w:t>
      </w:r>
      <w:r w:rsidRPr="00C33834">
        <w:rPr>
          <w:rFonts w:ascii="Times New Roman" w:hAnsi="Times New Roman"/>
          <w:color w:val="000000" w:themeColor="text1"/>
          <w:sz w:val="16"/>
          <w:szCs w:val="16"/>
        </w:rPr>
        <w:softHyphen/>
        <w:t>должит именно Ляпидевский. Двухнедель</w:t>
      </w:r>
      <w:r w:rsidRPr="00C33834">
        <w:rPr>
          <w:rFonts w:ascii="Times New Roman" w:hAnsi="Times New Roman"/>
          <w:color w:val="000000" w:themeColor="text1"/>
          <w:sz w:val="16"/>
          <w:szCs w:val="16"/>
        </w:rPr>
        <w:softHyphen/>
        <w:t>ное путешествие на собачьей упряжке, а затем обрушившаяся пурга заметно задер</w:t>
      </w:r>
      <w:r w:rsidRPr="00C33834">
        <w:rPr>
          <w:rFonts w:ascii="Times New Roman" w:hAnsi="Times New Roman"/>
          <w:color w:val="000000" w:themeColor="text1"/>
          <w:sz w:val="16"/>
          <w:szCs w:val="16"/>
        </w:rPr>
        <w:softHyphen/>
        <w:t>жали начало спасения людей (11286).</w:t>
      </w:r>
    </w:p>
    <w:p w14:paraId="69A59AD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31F231" w14:textId="77777777" w:rsidR="008A5189" w:rsidRPr="00C33834" w:rsidRDefault="008A518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21 октября 1933 из Владивостока вышел пароход «Сергей Киров», на нем находились два разобранных АНТ-4. Начальником экспедиции уполномоченный Севморпути назначил летчика-наблюдателя Петрова. Ляпидевский стал командиром одного из самолётов, лётчик Конкин — командиром звена и политруководителем. </w:t>
      </w:r>
      <w:r w:rsidRPr="00C33834">
        <w:rPr>
          <w:rFonts w:ascii="Times New Roman" w:hAnsi="Times New Roman"/>
          <w:color w:val="000000" w:themeColor="text1"/>
          <w:sz w:val="16"/>
          <w:szCs w:val="16"/>
        </w:rPr>
        <w:lastRenderedPageBreak/>
        <w:t>В Петропавловске само</w:t>
      </w:r>
      <w:r w:rsidRPr="00C33834">
        <w:rPr>
          <w:rFonts w:ascii="Times New Roman" w:hAnsi="Times New Roman"/>
          <w:color w:val="000000" w:themeColor="text1"/>
          <w:sz w:val="16"/>
          <w:szCs w:val="16"/>
        </w:rPr>
        <w:softHyphen/>
        <w:t>лёты перегрузили на госпитальное судно «Смоленск». Оно должно было доставить в бухту Провидения уголь для стоявших там пароходов «Литке», «Лейтенант Шмидт» и «Свердловск» и затем служить базой для переброски больных с зимующих пароходов (15822).</w:t>
      </w:r>
    </w:p>
    <w:p w14:paraId="4424EB3C" w14:textId="77777777" w:rsidR="008A5189" w:rsidRPr="00C33834" w:rsidRDefault="008A5189" w:rsidP="00C33834">
      <w:pPr>
        <w:spacing w:after="0" w:line="240" w:lineRule="auto"/>
        <w:jc w:val="both"/>
        <w:rPr>
          <w:rFonts w:ascii="Times New Roman" w:hAnsi="Times New Roman"/>
          <w:color w:val="000000" w:themeColor="text1"/>
          <w:sz w:val="16"/>
          <w:szCs w:val="16"/>
        </w:rPr>
      </w:pPr>
    </w:p>
    <w:p w14:paraId="576147CB"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A0C1F45"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E1882D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22 октября по 5 декабря 1933 года проходили гос. испытания эталона самолета ТБ3-4М34Р (редукторного) (6663).</w:t>
      </w:r>
    </w:p>
    <w:p w14:paraId="1D5F633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6F6E264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инженеры Лосюков, Кудрявцев</w:t>
      </w:r>
    </w:p>
    <w:p w14:paraId="6FBF177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летчик Байдуков</w:t>
      </w:r>
    </w:p>
    <w:p w14:paraId="10F4B19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164E851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 самолета с целью выявления преимуществ, которые дает установка на самолете моторов М34Р (редукторных).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1418"/>
        <w:gridCol w:w="1417"/>
        <w:gridCol w:w="1843"/>
        <w:gridCol w:w="2125"/>
      </w:tblGrid>
      <w:tr w:rsidR="00F26F01" w:rsidRPr="00C33834" w14:paraId="100FAF19" w14:textId="77777777">
        <w:tc>
          <w:tcPr>
            <w:tcW w:w="3510" w:type="dxa"/>
          </w:tcPr>
          <w:p w14:paraId="5D55826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4786D3B"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ТБ3-4М34Р</w:t>
            </w:r>
          </w:p>
        </w:tc>
        <w:tc>
          <w:tcPr>
            <w:tcW w:w="1417" w:type="dxa"/>
          </w:tcPr>
          <w:p w14:paraId="0B0332A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w:t>
            </w:r>
          </w:p>
        </w:tc>
        <w:tc>
          <w:tcPr>
            <w:tcW w:w="1843" w:type="dxa"/>
          </w:tcPr>
          <w:p w14:paraId="14BBB9D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w:t>
            </w:r>
          </w:p>
        </w:tc>
        <w:tc>
          <w:tcPr>
            <w:tcW w:w="2125" w:type="dxa"/>
          </w:tcPr>
          <w:p w14:paraId="00D5404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w:t>
            </w:r>
          </w:p>
        </w:tc>
      </w:tr>
      <w:tr w:rsidR="00F26F01" w:rsidRPr="00C33834" w14:paraId="19F7DA59" w14:textId="77777777">
        <w:tc>
          <w:tcPr>
            <w:tcW w:w="3510" w:type="dxa"/>
          </w:tcPr>
          <w:p w14:paraId="44BD1A9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5B2D7C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90CF49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6111068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модифицир.</w:t>
            </w:r>
          </w:p>
        </w:tc>
        <w:tc>
          <w:tcPr>
            <w:tcW w:w="2125" w:type="dxa"/>
          </w:tcPr>
          <w:p w14:paraId="6534143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FB794DA" w14:textId="77777777">
        <w:tc>
          <w:tcPr>
            <w:tcW w:w="3510" w:type="dxa"/>
          </w:tcPr>
          <w:p w14:paraId="5480386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Полетный вес самолета</w:t>
            </w:r>
          </w:p>
        </w:tc>
        <w:tc>
          <w:tcPr>
            <w:tcW w:w="1418" w:type="dxa"/>
          </w:tcPr>
          <w:p w14:paraId="5601EBB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18600</w:t>
            </w:r>
          </w:p>
        </w:tc>
        <w:tc>
          <w:tcPr>
            <w:tcW w:w="1417" w:type="dxa"/>
          </w:tcPr>
          <w:p w14:paraId="22BBB85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18100</w:t>
            </w:r>
          </w:p>
        </w:tc>
        <w:tc>
          <w:tcPr>
            <w:tcW w:w="1843" w:type="dxa"/>
          </w:tcPr>
          <w:p w14:paraId="169B058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17200</w:t>
            </w:r>
          </w:p>
        </w:tc>
        <w:tc>
          <w:tcPr>
            <w:tcW w:w="2125" w:type="dxa"/>
          </w:tcPr>
          <w:p w14:paraId="542F901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17200</w:t>
            </w:r>
          </w:p>
        </w:tc>
      </w:tr>
      <w:tr w:rsidR="00F26F01" w:rsidRPr="00C33834" w14:paraId="5BC7A343" w14:textId="77777777">
        <w:tc>
          <w:tcPr>
            <w:tcW w:w="3510" w:type="dxa"/>
          </w:tcPr>
          <w:p w14:paraId="00D6488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 скорость у земли</w:t>
            </w:r>
          </w:p>
        </w:tc>
        <w:tc>
          <w:tcPr>
            <w:tcW w:w="1418" w:type="dxa"/>
          </w:tcPr>
          <w:p w14:paraId="37A890D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229,0</w:t>
            </w:r>
          </w:p>
        </w:tc>
        <w:tc>
          <w:tcPr>
            <w:tcW w:w="1417" w:type="dxa"/>
          </w:tcPr>
          <w:p w14:paraId="58C9A4B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207,5</w:t>
            </w:r>
          </w:p>
        </w:tc>
        <w:tc>
          <w:tcPr>
            <w:tcW w:w="1843" w:type="dxa"/>
          </w:tcPr>
          <w:p w14:paraId="4AC08AD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215(4)/</w:t>
            </w:r>
          </w:p>
        </w:tc>
        <w:tc>
          <w:tcPr>
            <w:tcW w:w="2125" w:type="dxa"/>
          </w:tcPr>
          <w:p w14:paraId="579A76A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184(1)</w:t>
            </w:r>
          </w:p>
        </w:tc>
      </w:tr>
      <w:tr w:rsidR="00F26F01" w:rsidRPr="00C33834" w14:paraId="0506DA81" w14:textId="77777777">
        <w:tc>
          <w:tcPr>
            <w:tcW w:w="3510" w:type="dxa"/>
          </w:tcPr>
          <w:p w14:paraId="14CF281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A40EF2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822FF2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1A4966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187(1)</w:t>
            </w:r>
          </w:p>
        </w:tc>
        <w:tc>
          <w:tcPr>
            <w:tcW w:w="2125" w:type="dxa"/>
          </w:tcPr>
          <w:p w14:paraId="3229B4B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D94ED93" w14:textId="77777777">
        <w:tc>
          <w:tcPr>
            <w:tcW w:w="3510" w:type="dxa"/>
          </w:tcPr>
          <w:p w14:paraId="72F92A4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 скорость на 3000 м</w:t>
            </w:r>
          </w:p>
        </w:tc>
        <w:tc>
          <w:tcPr>
            <w:tcW w:w="1418" w:type="dxa"/>
          </w:tcPr>
          <w:p w14:paraId="5BD8C8F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211,0</w:t>
            </w:r>
          </w:p>
        </w:tc>
        <w:tc>
          <w:tcPr>
            <w:tcW w:w="1417" w:type="dxa"/>
          </w:tcPr>
          <w:p w14:paraId="26A2119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185</w:t>
            </w:r>
          </w:p>
        </w:tc>
        <w:tc>
          <w:tcPr>
            <w:tcW w:w="1843" w:type="dxa"/>
          </w:tcPr>
          <w:p w14:paraId="32894BE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196</w:t>
            </w:r>
          </w:p>
        </w:tc>
        <w:tc>
          <w:tcPr>
            <w:tcW w:w="2125" w:type="dxa"/>
          </w:tcPr>
          <w:p w14:paraId="5831E7C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177</w:t>
            </w:r>
          </w:p>
        </w:tc>
      </w:tr>
      <w:tr w:rsidR="00F26F01" w:rsidRPr="00C33834" w14:paraId="2275CD1B" w14:textId="77777777">
        <w:tc>
          <w:tcPr>
            <w:tcW w:w="3510" w:type="dxa"/>
          </w:tcPr>
          <w:p w14:paraId="256AC9B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на 1000 м</w:t>
            </w:r>
          </w:p>
        </w:tc>
        <w:tc>
          <w:tcPr>
            <w:tcW w:w="1418" w:type="dxa"/>
          </w:tcPr>
          <w:p w14:paraId="0CC8420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4,1 </w:t>
            </w:r>
          </w:p>
        </w:tc>
        <w:tc>
          <w:tcPr>
            <w:tcW w:w="1417" w:type="dxa"/>
          </w:tcPr>
          <w:p w14:paraId="7998C467"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tc>
        <w:tc>
          <w:tcPr>
            <w:tcW w:w="1843" w:type="dxa"/>
          </w:tcPr>
          <w:p w14:paraId="74B38B6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2125" w:type="dxa"/>
          </w:tcPr>
          <w:p w14:paraId="26F8663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w:t>
            </w:r>
          </w:p>
        </w:tc>
      </w:tr>
      <w:tr w:rsidR="00F26F01" w:rsidRPr="00C33834" w14:paraId="4638A307" w14:textId="77777777">
        <w:tc>
          <w:tcPr>
            <w:tcW w:w="3510" w:type="dxa"/>
          </w:tcPr>
          <w:p w14:paraId="1C4A541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на 3000 м</w:t>
            </w:r>
          </w:p>
        </w:tc>
        <w:tc>
          <w:tcPr>
            <w:tcW w:w="1418" w:type="dxa"/>
          </w:tcPr>
          <w:p w14:paraId="6A888A3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17,6</w:t>
            </w:r>
          </w:p>
        </w:tc>
        <w:tc>
          <w:tcPr>
            <w:tcW w:w="1417" w:type="dxa"/>
          </w:tcPr>
          <w:p w14:paraId="132B18A1"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32,8</w:t>
            </w:r>
          </w:p>
        </w:tc>
        <w:tc>
          <w:tcPr>
            <w:tcW w:w="1843" w:type="dxa"/>
          </w:tcPr>
          <w:p w14:paraId="775C984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29,5</w:t>
            </w:r>
          </w:p>
        </w:tc>
        <w:tc>
          <w:tcPr>
            <w:tcW w:w="2125" w:type="dxa"/>
          </w:tcPr>
          <w:p w14:paraId="3649BF3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42,5</w:t>
            </w:r>
          </w:p>
        </w:tc>
      </w:tr>
      <w:tr w:rsidR="00F26F01" w:rsidRPr="00C33834" w14:paraId="38E2EA11" w14:textId="77777777">
        <w:tc>
          <w:tcPr>
            <w:tcW w:w="3510" w:type="dxa"/>
          </w:tcPr>
          <w:p w14:paraId="05D3106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Практический потолок</w:t>
            </w:r>
          </w:p>
        </w:tc>
        <w:tc>
          <w:tcPr>
            <w:tcW w:w="1418" w:type="dxa"/>
          </w:tcPr>
          <w:p w14:paraId="0D29C0A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4500</w:t>
            </w:r>
          </w:p>
        </w:tc>
        <w:tc>
          <w:tcPr>
            <w:tcW w:w="1417" w:type="dxa"/>
          </w:tcPr>
          <w:p w14:paraId="15D069B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3900</w:t>
            </w:r>
          </w:p>
        </w:tc>
        <w:tc>
          <w:tcPr>
            <w:tcW w:w="1843" w:type="dxa"/>
          </w:tcPr>
          <w:p w14:paraId="77752B6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4800</w:t>
            </w:r>
          </w:p>
        </w:tc>
        <w:tc>
          <w:tcPr>
            <w:tcW w:w="2125" w:type="dxa"/>
          </w:tcPr>
          <w:p w14:paraId="65102ED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3800</w:t>
            </w:r>
          </w:p>
        </w:tc>
      </w:tr>
      <w:tr w:rsidR="00F26F01" w:rsidRPr="00C33834" w14:paraId="045CBC50" w14:textId="77777777">
        <w:tc>
          <w:tcPr>
            <w:tcW w:w="3510" w:type="dxa"/>
          </w:tcPr>
          <w:p w14:paraId="743A6BD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на практический потолок</w:t>
            </w:r>
          </w:p>
        </w:tc>
        <w:tc>
          <w:tcPr>
            <w:tcW w:w="1418" w:type="dxa"/>
          </w:tcPr>
          <w:p w14:paraId="0047CC8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50,6</w:t>
            </w:r>
          </w:p>
        </w:tc>
        <w:tc>
          <w:tcPr>
            <w:tcW w:w="1417" w:type="dxa"/>
          </w:tcPr>
          <w:p w14:paraId="5D7E448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73,4</w:t>
            </w:r>
          </w:p>
        </w:tc>
        <w:tc>
          <w:tcPr>
            <w:tcW w:w="1843" w:type="dxa"/>
          </w:tcPr>
          <w:p w14:paraId="50173DE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82,1</w:t>
            </w:r>
          </w:p>
        </w:tc>
        <w:tc>
          <w:tcPr>
            <w:tcW w:w="2125" w:type="dxa"/>
          </w:tcPr>
          <w:p w14:paraId="26AE3610"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85,5</w:t>
            </w:r>
          </w:p>
        </w:tc>
      </w:tr>
      <w:tr w:rsidR="00F26F01" w:rsidRPr="00C33834" w14:paraId="55AD58D2" w14:textId="77777777">
        <w:tc>
          <w:tcPr>
            <w:tcW w:w="3510" w:type="dxa"/>
          </w:tcPr>
          <w:p w14:paraId="74B0FAE3"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Разбег</w:t>
            </w:r>
          </w:p>
        </w:tc>
        <w:tc>
          <w:tcPr>
            <w:tcW w:w="1418" w:type="dxa"/>
          </w:tcPr>
          <w:p w14:paraId="4495CEA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150-200</w:t>
            </w:r>
          </w:p>
        </w:tc>
        <w:tc>
          <w:tcPr>
            <w:tcW w:w="1417" w:type="dxa"/>
          </w:tcPr>
          <w:p w14:paraId="42259DA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300-490</w:t>
            </w:r>
          </w:p>
        </w:tc>
        <w:tc>
          <w:tcPr>
            <w:tcW w:w="1843" w:type="dxa"/>
          </w:tcPr>
          <w:p w14:paraId="381D15D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2125" w:type="dxa"/>
          </w:tcPr>
          <w:p w14:paraId="4EDB7F3E"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300-450</w:t>
            </w:r>
          </w:p>
        </w:tc>
      </w:tr>
    </w:tbl>
    <w:p w14:paraId="76354E5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p w14:paraId="760A9E6A"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нормальный газ</w:t>
      </w:r>
    </w:p>
    <w:p w14:paraId="106C47D0"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чистый бакинский</w:t>
      </w:r>
    </w:p>
    <w:p w14:paraId="250BC16B"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бензольная смесь</w:t>
      </w:r>
    </w:p>
    <w:p w14:paraId="4F07EAF4"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форсированный газ</w:t>
      </w:r>
    </w:p>
    <w:p w14:paraId="7DCD7E9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13754313" w14:textId="77777777">
        <w:tc>
          <w:tcPr>
            <w:tcW w:w="5636" w:type="dxa"/>
          </w:tcPr>
          <w:p w14:paraId="4F7F1D0F"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октября 1933 года</w:t>
            </w:r>
          </w:p>
        </w:tc>
        <w:tc>
          <w:tcPr>
            <w:tcW w:w="5636" w:type="dxa"/>
          </w:tcPr>
          <w:p w14:paraId="5A8AA1F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принят от ОЭЛИД ЦАГИ, перегнан в Щелково и облетан ведущим летчиком.</w:t>
            </w:r>
          </w:p>
        </w:tc>
      </w:tr>
      <w:tr w:rsidR="00F26F01" w:rsidRPr="00C33834" w14:paraId="168B35A4" w14:textId="77777777">
        <w:tc>
          <w:tcPr>
            <w:tcW w:w="5636" w:type="dxa"/>
          </w:tcPr>
          <w:p w14:paraId="149AF36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октября 1933 года</w:t>
            </w:r>
          </w:p>
        </w:tc>
        <w:tc>
          <w:tcPr>
            <w:tcW w:w="5636" w:type="dxa"/>
          </w:tcPr>
          <w:p w14:paraId="1778F63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 полет на устойчивость и управляемость.</w:t>
            </w:r>
          </w:p>
        </w:tc>
      </w:tr>
      <w:tr w:rsidR="00F26F01" w:rsidRPr="00C33834" w14:paraId="62259FDB" w14:textId="77777777">
        <w:tc>
          <w:tcPr>
            <w:tcW w:w="5636" w:type="dxa"/>
          </w:tcPr>
          <w:p w14:paraId="75957FE2"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октября 1933 года</w:t>
            </w:r>
          </w:p>
        </w:tc>
        <w:tc>
          <w:tcPr>
            <w:tcW w:w="5636" w:type="dxa"/>
          </w:tcPr>
          <w:p w14:paraId="035800D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 полет на километраж.</w:t>
            </w:r>
          </w:p>
        </w:tc>
      </w:tr>
      <w:tr w:rsidR="00F26F01" w:rsidRPr="00C33834" w14:paraId="3FFB055E" w14:textId="77777777">
        <w:tc>
          <w:tcPr>
            <w:tcW w:w="5636" w:type="dxa"/>
          </w:tcPr>
          <w:p w14:paraId="58728DA4"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ноября 1933 года</w:t>
            </w:r>
          </w:p>
        </w:tc>
        <w:tc>
          <w:tcPr>
            <w:tcW w:w="5636" w:type="dxa"/>
          </w:tcPr>
          <w:p w14:paraId="3DB0BACC"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 полет летчиком Кастанаевым на потолок и зубцы.</w:t>
            </w:r>
          </w:p>
        </w:tc>
      </w:tr>
      <w:tr w:rsidR="00F26F01" w:rsidRPr="00C33834" w14:paraId="26460D6C" w14:textId="77777777">
        <w:tc>
          <w:tcPr>
            <w:tcW w:w="5636" w:type="dxa"/>
          </w:tcPr>
          <w:p w14:paraId="1C09B826"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ноября 1933 года</w:t>
            </w:r>
          </w:p>
        </w:tc>
        <w:tc>
          <w:tcPr>
            <w:tcW w:w="5636" w:type="dxa"/>
          </w:tcPr>
          <w:p w14:paraId="3BEA4AD8"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 полет на зубцы у земли (500 м) и устранение девиации.</w:t>
            </w:r>
          </w:p>
        </w:tc>
      </w:tr>
      <w:tr w:rsidR="00F26F01" w:rsidRPr="00C33834" w14:paraId="05F09445" w14:textId="77777777">
        <w:tc>
          <w:tcPr>
            <w:tcW w:w="5636" w:type="dxa"/>
          </w:tcPr>
          <w:p w14:paraId="687DB09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декабря 1933 года</w:t>
            </w:r>
          </w:p>
        </w:tc>
        <w:tc>
          <w:tcPr>
            <w:tcW w:w="5636" w:type="dxa"/>
          </w:tcPr>
          <w:p w14:paraId="38ED62B5"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летит на боевую стрельбу с задней точки.</w:t>
            </w:r>
          </w:p>
        </w:tc>
      </w:tr>
      <w:tr w:rsidR="00F26F01" w:rsidRPr="00C33834" w14:paraId="4B25AF8B" w14:textId="77777777">
        <w:tc>
          <w:tcPr>
            <w:tcW w:w="5636" w:type="dxa"/>
          </w:tcPr>
          <w:p w14:paraId="7974DEB9"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декабря 1933 года</w:t>
            </w:r>
          </w:p>
        </w:tc>
        <w:tc>
          <w:tcPr>
            <w:tcW w:w="5636" w:type="dxa"/>
          </w:tcPr>
          <w:p w14:paraId="1391603D"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Облет. Работа тормозными колесами.</w:t>
            </w:r>
          </w:p>
        </w:tc>
      </w:tr>
    </w:tbl>
    <w:p w14:paraId="7FCC47DA" w14:textId="77777777" w:rsidR="001F72EB" w:rsidRPr="00C33834" w:rsidRDefault="001F72EB"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5AED66A9"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Считать возможным допустить испытанный самолет в качестве эталона первой половины 1934 года с устранением на нем всех выявленных дефектов и выполнением требований, утвержденных начальником ВВС (6663).</w:t>
      </w:r>
    </w:p>
    <w:p w14:paraId="608853F5" w14:textId="77777777" w:rsidR="001F72EB" w:rsidRPr="00C33834" w:rsidRDefault="001F72EB"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09D3C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октября 1933 в ходе гос. испытаний ТБ-3 (АНТ-6) 22 завода N 22202 с 4М-34Р в качестве эталона на 34 год, которые проходили с 18 октября по 5 декабря 1933, был выполнен полет на устойчивость и управляемость с разной комбинацией работающих моторов (2264,117).</w:t>
      </w:r>
    </w:p>
    <w:p w14:paraId="390EDAE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09F0A6B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октября 1933 г. состоялось заседание макетной ко</w:t>
      </w:r>
      <w:r w:rsidRPr="00C33834">
        <w:rPr>
          <w:rFonts w:ascii="Times New Roman" w:hAnsi="Times New Roman"/>
          <w:color w:val="000000" w:themeColor="text1"/>
          <w:sz w:val="16"/>
          <w:szCs w:val="16"/>
        </w:rPr>
        <w:softHyphen/>
        <w:t>миссии по самолету ЦКБ-12 под председательством Н.А.Жемчужина. Первого ноября на заседании научно-технического совета ГУАП в присутствии представителей ВВС состоялось утверждение боевой схемы истребителя. Там же было рекомендовано строить опытный экземп</w:t>
      </w:r>
      <w:r w:rsidRPr="00C33834">
        <w:rPr>
          <w:rFonts w:ascii="Times New Roman" w:hAnsi="Times New Roman"/>
          <w:color w:val="000000" w:themeColor="text1"/>
          <w:sz w:val="16"/>
          <w:szCs w:val="16"/>
        </w:rPr>
        <w:softHyphen/>
        <w:t>ляр ЦКБ-12 с капотом НАКА, а дублер - с кольцом Тауненда «с целью всестороннего сравнения выгод и недостатков, присущих тому и другому типу» (10667).</w:t>
      </w:r>
    </w:p>
    <w:p w14:paraId="70376E7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19951AAE" w14:textId="77777777" w:rsidR="008A5189" w:rsidRPr="00C33834" w:rsidRDefault="008A5189" w:rsidP="00C33834">
      <w:pPr>
        <w:pStyle w:val="rtejustify"/>
        <w:spacing w:before="0" w:after="0"/>
        <w:rPr>
          <w:color w:val="000000" w:themeColor="text1"/>
          <w:sz w:val="16"/>
          <w:szCs w:val="16"/>
        </w:rPr>
      </w:pPr>
      <w:r w:rsidRPr="00C33834">
        <w:rPr>
          <w:rStyle w:val="af0"/>
          <w:bCs/>
          <w:i w:val="0"/>
          <w:color w:val="000000" w:themeColor="text1"/>
          <w:sz w:val="16"/>
          <w:szCs w:val="16"/>
        </w:rPr>
        <w:t>22 октября</w:t>
      </w:r>
      <w:r w:rsidRPr="00C33834">
        <w:rPr>
          <w:color w:val="000000" w:themeColor="text1"/>
          <w:sz w:val="16"/>
          <w:szCs w:val="16"/>
        </w:rPr>
        <w:t xml:space="preserve"> 1933. Постановление СТО СССР № 98сс/о «Об отпуске из спецрезерва алюминия, олова и магнето для обеспечения авиационной и танковой программы в IV квартале 1933 г.» (ГА РФ. Ф. Р</w:t>
      </w:r>
      <w:r w:rsidRPr="00C33834">
        <w:rPr>
          <w:color w:val="000000" w:themeColor="text1"/>
          <w:sz w:val="16"/>
          <w:szCs w:val="16"/>
        </w:rPr>
        <w:noBreakHyphen/>
        <w:t>8418. Оп. 28. Д. 3. Л. 1) (15460).</w:t>
      </w:r>
    </w:p>
    <w:p w14:paraId="082D4414" w14:textId="77777777" w:rsidR="008A5189" w:rsidRPr="00C33834" w:rsidRDefault="008A5189" w:rsidP="00C33834">
      <w:pPr>
        <w:pStyle w:val="rtejustify"/>
        <w:spacing w:before="0" w:after="0"/>
        <w:rPr>
          <w:color w:val="000000" w:themeColor="text1"/>
          <w:sz w:val="16"/>
          <w:szCs w:val="16"/>
        </w:rPr>
      </w:pPr>
    </w:p>
    <w:p w14:paraId="4B9975F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октября 1933 вышло постановление СТО N 98сс/о "Об охране заводов АП" (2282,51).</w:t>
      </w:r>
    </w:p>
    <w:p w14:paraId="594EDE7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41B875DC" w14:textId="77777777" w:rsidR="008A5189" w:rsidRPr="00C33834" w:rsidRDefault="008A5189" w:rsidP="00C33834">
      <w:pPr>
        <w:pStyle w:val="rtejustify"/>
        <w:spacing w:before="0" w:after="0"/>
        <w:rPr>
          <w:color w:val="000000" w:themeColor="text1"/>
          <w:sz w:val="16"/>
          <w:szCs w:val="16"/>
        </w:rPr>
      </w:pPr>
      <w:r w:rsidRPr="00C33834">
        <w:rPr>
          <w:rStyle w:val="af0"/>
          <w:bCs/>
          <w:i w:val="0"/>
          <w:color w:val="000000" w:themeColor="text1"/>
          <w:sz w:val="16"/>
          <w:szCs w:val="16"/>
        </w:rPr>
        <w:t>22 октября</w:t>
      </w:r>
      <w:r w:rsidRPr="00C33834">
        <w:rPr>
          <w:color w:val="000000" w:themeColor="text1"/>
          <w:sz w:val="16"/>
          <w:szCs w:val="16"/>
        </w:rPr>
        <w:t xml:space="preserve"> 1933. Постановление СНК СССР № 28сс/о «Об охране заводов авиационной промышленности». (ГА РФ. Ф. Р</w:t>
      </w:r>
      <w:r w:rsidRPr="00C33834">
        <w:rPr>
          <w:color w:val="000000" w:themeColor="text1"/>
          <w:sz w:val="16"/>
          <w:szCs w:val="16"/>
        </w:rPr>
        <w:noBreakHyphen/>
        <w:t>8418. Оп. 28. Д. 15. Л. 68</w:t>
      </w:r>
      <w:r w:rsidRPr="00C33834">
        <w:rPr>
          <w:color w:val="000000" w:themeColor="text1"/>
          <w:sz w:val="16"/>
          <w:szCs w:val="16"/>
        </w:rPr>
        <w:noBreakHyphen/>
        <w:t>70) (15460).</w:t>
      </w:r>
    </w:p>
    <w:p w14:paraId="5C8E4679" w14:textId="77777777" w:rsidR="008A5189" w:rsidRPr="00C33834" w:rsidRDefault="008A5189" w:rsidP="00C33834">
      <w:pPr>
        <w:pStyle w:val="rtejustify"/>
        <w:spacing w:before="0" w:after="0"/>
        <w:rPr>
          <w:color w:val="000000" w:themeColor="text1"/>
          <w:sz w:val="16"/>
          <w:szCs w:val="16"/>
        </w:rPr>
      </w:pPr>
    </w:p>
    <w:p w14:paraId="593269B8"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E0EA8E8"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372D02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октября 1933 г. вступила в строй Головная лодка "Ленинец" Параллельно с ней строилась и вся серия. На создание пяти лодок было затрачено око</w:t>
      </w:r>
      <w:r w:rsidRPr="00C33834">
        <w:rPr>
          <w:rFonts w:ascii="Times New Roman" w:hAnsi="Times New Roman"/>
          <w:color w:val="000000" w:themeColor="text1"/>
          <w:sz w:val="16"/>
          <w:szCs w:val="16"/>
        </w:rPr>
        <w:softHyphen/>
        <w:t>ло 50 мес., только готовность "Карбонария" задержалась до мая 1935 г. (3898).</w:t>
      </w:r>
    </w:p>
    <w:p w14:paraId="36A85C6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Подводные лодки типа "Ленинец" имели полуторакорпусную конструкцию с булевыми наделками и прямым форштевнем (как на L-55). Прочный корпус (шпация — 750 мм) получил, вместо сложной веретенообразной упрощенную форму в виде сочетания цилиндров с усеченными конусами. Запас плавучести составил 29%. Однако время заполнения расположенных в булях ЦГБ оказа</w:t>
      </w:r>
      <w:r w:rsidRPr="00C33834">
        <w:rPr>
          <w:rFonts w:ascii="Times New Roman" w:hAnsi="Times New Roman"/>
          <w:color w:val="000000" w:themeColor="text1"/>
          <w:sz w:val="16"/>
          <w:szCs w:val="16"/>
        </w:rPr>
        <w:softHyphen/>
        <w:t>лось слишком большим — лодка уходила на глубину в течение поч</w:t>
      </w:r>
      <w:r w:rsidRPr="00C33834">
        <w:rPr>
          <w:rFonts w:ascii="Times New Roman" w:hAnsi="Times New Roman"/>
          <w:color w:val="000000" w:themeColor="text1"/>
          <w:sz w:val="16"/>
          <w:szCs w:val="16"/>
        </w:rPr>
        <w:softHyphen/>
        <w:t>ти 3 мин. Продувание главного балласта в средней и палубнь1х ци</w:t>
      </w:r>
      <w:r w:rsidRPr="00C33834">
        <w:rPr>
          <w:rFonts w:ascii="Times New Roman" w:hAnsi="Times New Roman"/>
          <w:color w:val="000000" w:themeColor="text1"/>
          <w:sz w:val="16"/>
          <w:szCs w:val="16"/>
        </w:rPr>
        <w:softHyphen/>
        <w:t>стернах занимало 70 с и 4 мин 25 с соответственно, откачка балла</w:t>
      </w:r>
      <w:r w:rsidRPr="00C33834">
        <w:rPr>
          <w:rFonts w:ascii="Times New Roman" w:hAnsi="Times New Roman"/>
          <w:color w:val="000000" w:themeColor="text1"/>
          <w:sz w:val="16"/>
          <w:szCs w:val="16"/>
        </w:rPr>
        <w:softHyphen/>
        <w:t>ста помпами Рато — около 2 ч.</w:t>
      </w:r>
    </w:p>
    <w:p w14:paraId="73ECEAD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Четыре сферических (на 6 кгс/см ) и одна плоская (1кгс/см ) переборки подразделяли прочный корпус на шесть отсеков. Вместо кругльхх лазов в переборках были устроены овальные двери, задра</w:t>
      </w:r>
      <w:r w:rsidRPr="00C33834">
        <w:rPr>
          <w:rFonts w:ascii="Times New Roman" w:hAnsi="Times New Roman"/>
          <w:color w:val="000000" w:themeColor="text1"/>
          <w:sz w:val="16"/>
          <w:szCs w:val="16"/>
        </w:rPr>
        <w:softHyphen/>
        <w:t>иваемые на барашки. В трех отсеках-убежищах имелись посты ава</w:t>
      </w:r>
      <w:r w:rsidRPr="00C33834">
        <w:rPr>
          <w:rFonts w:ascii="Times New Roman" w:hAnsi="Times New Roman"/>
          <w:color w:val="000000" w:themeColor="text1"/>
          <w:sz w:val="16"/>
          <w:szCs w:val="16"/>
        </w:rPr>
        <w:softHyphen/>
        <w:t>рийного продувания главного балласта.</w:t>
      </w:r>
    </w:p>
    <w:p w14:paraId="62FB73F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Надводный ход обеспечивался бескомпрессорными дизелями 42-БМ-6 (модернизированный вариант "декабристских"), полный подводный — двухъякорными электродвигателями. Для экономи</w:t>
      </w:r>
      <w:r w:rsidRPr="00C33834">
        <w:rPr>
          <w:rFonts w:ascii="Times New Roman" w:hAnsi="Times New Roman"/>
          <w:color w:val="000000" w:themeColor="text1"/>
          <w:sz w:val="16"/>
          <w:szCs w:val="16"/>
        </w:rPr>
        <w:softHyphen/>
        <w:t>ческого подводного хода имелись отдельные малые электродвига</w:t>
      </w:r>
      <w:r w:rsidRPr="00C33834">
        <w:rPr>
          <w:rFonts w:ascii="Times New Roman" w:hAnsi="Times New Roman"/>
          <w:color w:val="000000" w:themeColor="text1"/>
          <w:sz w:val="16"/>
          <w:szCs w:val="16"/>
        </w:rPr>
        <w:softHyphen/>
        <w:t>тели мощностью по 30 л. с. с текстропной передачей вращения на гребные валы.</w:t>
      </w:r>
    </w:p>
    <w:p w14:paraId="639C5D1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Три группы аккумуляторных батарей (по 112 элементов) раз</w:t>
      </w:r>
      <w:r w:rsidRPr="00C33834">
        <w:rPr>
          <w:rFonts w:ascii="Times New Roman" w:hAnsi="Times New Roman"/>
          <w:color w:val="000000" w:themeColor="text1"/>
          <w:sz w:val="16"/>
          <w:szCs w:val="16"/>
        </w:rPr>
        <w:softHyphen/>
        <w:t>мещались в открытых ямах под деревянным съемным настилом. При номинальном напряжении 220 В батарея обеспечивала 1,3-ч режим разряда большим током.</w:t>
      </w:r>
    </w:p>
    <w:p w14:paraId="00AC021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испытаниях "Ленинец" в надводном положении развил ско</w:t>
      </w:r>
      <w:r w:rsidRPr="00C33834">
        <w:rPr>
          <w:rFonts w:ascii="Times New Roman" w:hAnsi="Times New Roman"/>
          <w:color w:val="000000" w:themeColor="text1"/>
          <w:sz w:val="16"/>
          <w:szCs w:val="16"/>
        </w:rPr>
        <w:softHyphen/>
        <w:t>рость 14,2 уз, в подводном — 8,5 уз, дальность плавания пол</w:t>
      </w:r>
      <w:r w:rsidRPr="00C33834">
        <w:rPr>
          <w:rFonts w:ascii="Times New Roman" w:hAnsi="Times New Roman"/>
          <w:color w:val="000000" w:themeColor="text1"/>
          <w:sz w:val="16"/>
          <w:szCs w:val="16"/>
        </w:rPr>
        <w:softHyphen/>
        <w:t>ным подводным ходом составила 12,7 мили. Время непрерывного пребывания под водой достигало 72 ч, надводная автономность — 28сут.</w:t>
      </w:r>
    </w:p>
    <w:p w14:paraId="61D8F1D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Впервые в отечественном кораблестроении лодки типа "Лени</w:t>
      </w:r>
      <w:r w:rsidRPr="00C33834">
        <w:rPr>
          <w:rFonts w:ascii="Times New Roman" w:hAnsi="Times New Roman"/>
          <w:color w:val="000000" w:themeColor="text1"/>
          <w:sz w:val="16"/>
          <w:szCs w:val="16"/>
        </w:rPr>
        <w:softHyphen/>
        <w:t>нец" получили стальные торпедные аппараты вместо прежних бронзовых. Однако создать предусмотренную заданием систему беспузырной торпедной стрельбы (БТС) для них не удалось. Шесть торпед типа 53-27 хранились в аппаратах, шесть запасных — в I отсеке. Якорные ударно-механические мины типа ПЛТ при массе 840 кг имели 250-кг заряд и могли ставиться из подводного поло</w:t>
      </w:r>
      <w:r w:rsidRPr="00C33834">
        <w:rPr>
          <w:rFonts w:ascii="Times New Roman" w:hAnsi="Times New Roman"/>
          <w:color w:val="000000" w:themeColor="text1"/>
          <w:sz w:val="16"/>
          <w:szCs w:val="16"/>
        </w:rPr>
        <w:softHyphen/>
        <w:t>жения на скоростях до 8 уз на углубление от 4 до 12 м и на глуби</w:t>
      </w:r>
      <w:r w:rsidRPr="00C33834">
        <w:rPr>
          <w:rFonts w:ascii="Times New Roman" w:hAnsi="Times New Roman"/>
          <w:color w:val="000000" w:themeColor="text1"/>
          <w:sz w:val="16"/>
          <w:szCs w:val="16"/>
        </w:rPr>
        <w:softHyphen/>
        <w:t>нах моря до 150 м. Длина каждой мины с якорем 1772 мм</w:t>
      </w:r>
      <w:r w:rsidRPr="00C33834">
        <w:rPr>
          <w:rFonts w:ascii="Times New Roman" w:hAnsi="Times New Roman"/>
          <w:bCs/>
          <w:color w:val="000000" w:themeColor="text1"/>
          <w:sz w:val="16"/>
          <w:szCs w:val="16"/>
        </w:rPr>
        <w:t>,</w:t>
      </w:r>
      <w:r w:rsidRPr="00C33834">
        <w:rPr>
          <w:rFonts w:ascii="Times New Roman" w:hAnsi="Times New Roman"/>
          <w:color w:val="000000" w:themeColor="text1"/>
          <w:sz w:val="16"/>
          <w:szCs w:val="16"/>
        </w:rPr>
        <w:t xml:space="preserve"> диа</w:t>
      </w:r>
      <w:r w:rsidRPr="00C33834">
        <w:rPr>
          <w:rFonts w:ascii="Times New Roman" w:hAnsi="Times New Roman"/>
          <w:color w:val="000000" w:themeColor="text1"/>
          <w:sz w:val="16"/>
          <w:szCs w:val="16"/>
        </w:rPr>
        <w:softHyphen/>
        <w:t>метр 800 мм.</w:t>
      </w:r>
    </w:p>
    <w:p w14:paraId="5AC1A10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Назначенная на лодки II серии артиллерия — 102-мм и 37-мм пушки — имела те же недостатки, что и на "Декабристе", 37-мм ав</w:t>
      </w:r>
      <w:r w:rsidRPr="00C33834">
        <w:rPr>
          <w:rFonts w:ascii="Times New Roman" w:hAnsi="Times New Roman"/>
          <w:color w:val="000000" w:themeColor="text1"/>
          <w:sz w:val="16"/>
          <w:szCs w:val="16"/>
        </w:rPr>
        <w:softHyphen/>
        <w:t>томаты из-за непригодности заменили 45-мм полуавтоматами. При капитальном ремонте 102-мм пушки также уступили место новым 100-мм. Тогда же ГКП перенесен из центрального поста (III отсек) в прочную боевую рубку, что позволило на 2 м увели</w:t>
      </w:r>
      <w:r w:rsidRPr="00C33834">
        <w:rPr>
          <w:rFonts w:ascii="Times New Roman" w:hAnsi="Times New Roman"/>
          <w:color w:val="000000" w:themeColor="text1"/>
          <w:sz w:val="16"/>
          <w:szCs w:val="16"/>
        </w:rPr>
        <w:softHyphen/>
        <w:t>чить перископную глубину погружения.</w:t>
      </w:r>
    </w:p>
    <w:p w14:paraId="514ADD5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недостаткам лодок II серии, помимо длительного погруже</w:t>
      </w:r>
      <w:r w:rsidRPr="00C33834">
        <w:rPr>
          <w:rFonts w:ascii="Times New Roman" w:hAnsi="Times New Roman"/>
          <w:color w:val="000000" w:themeColor="text1"/>
          <w:sz w:val="16"/>
          <w:szCs w:val="16"/>
        </w:rPr>
        <w:softHyphen/>
        <w:t>ния, относились также большая шумность трюмных помп, приво</w:t>
      </w:r>
      <w:r w:rsidRPr="00C33834">
        <w:rPr>
          <w:rFonts w:ascii="Times New Roman" w:hAnsi="Times New Roman"/>
          <w:color w:val="000000" w:themeColor="text1"/>
          <w:sz w:val="16"/>
          <w:szCs w:val="16"/>
        </w:rPr>
        <w:softHyphen/>
        <w:t>дов экономического хода, рулей и перископных лебедок. Не удов</w:t>
      </w:r>
      <w:r w:rsidRPr="00C33834">
        <w:rPr>
          <w:rFonts w:ascii="Times New Roman" w:hAnsi="Times New Roman"/>
          <w:color w:val="000000" w:themeColor="text1"/>
          <w:sz w:val="16"/>
          <w:szCs w:val="16"/>
        </w:rPr>
        <w:softHyphen/>
        <w:t>летворяла подводников и скорость погрузки торпед, когда на каж</w:t>
      </w:r>
      <w:r w:rsidRPr="00C33834">
        <w:rPr>
          <w:rFonts w:ascii="Times New Roman" w:hAnsi="Times New Roman"/>
          <w:color w:val="000000" w:themeColor="text1"/>
          <w:sz w:val="16"/>
          <w:szCs w:val="16"/>
        </w:rPr>
        <w:softHyphen/>
        <w:t>дую торпеду требовалось по 40—45 мин. Но наибольшие нарекания моряков вызвали низкие качества элементов аккумуляторных бата</w:t>
      </w:r>
      <w:r w:rsidRPr="00C33834">
        <w:rPr>
          <w:rFonts w:ascii="Times New Roman" w:hAnsi="Times New Roman"/>
          <w:color w:val="000000" w:themeColor="text1"/>
          <w:sz w:val="16"/>
          <w:szCs w:val="16"/>
        </w:rPr>
        <w:softHyphen/>
        <w:t>рей (завода им. лейтенанта Шмидта) и плохая система вентиляции ям. Это бьшо обнаружено еще на испытаниях лодок "Гарибальдиец" и "Чартист" в 1933 г., и Реввоенсовет морских сил Черного моря справедливо возражал против приемки кораблей с взрывоопасны</w:t>
      </w:r>
      <w:r w:rsidRPr="00C33834">
        <w:rPr>
          <w:rFonts w:ascii="Times New Roman" w:hAnsi="Times New Roman"/>
          <w:color w:val="000000" w:themeColor="text1"/>
          <w:sz w:val="16"/>
          <w:szCs w:val="16"/>
        </w:rPr>
        <w:softHyphen/>
        <w:t>ми батареями. Лодки были приняты по указанию руководства УВМС (3898).</w:t>
      </w:r>
    </w:p>
    <w:p w14:paraId="4019FFA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4070F06C" w14:textId="77777777" w:rsidR="00562118" w:rsidRPr="00C33834" w:rsidRDefault="0056211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22 октября 1933 года Совнарком принял специальное постановление, направленное на улучшение работы граммофонно-пластиночной отрасли промышленности.</w:t>
      </w:r>
    </w:p>
    <w:p w14:paraId="47C441C4" w14:textId="77777777" w:rsidR="00562118" w:rsidRPr="00C33834" w:rsidRDefault="0056211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результате осуществления намеченных постановлением мер, в работе граммофонно-пластиночного производства, которое в конце 1933 года было передано специально созданному Грампласттресту НКЛП, наступил коренной перелом. Начала работать Московская фабрика звукозаписи Грампласттреста, а фабрика грампластинок, получившая теперь название - Апрелевский завод памяти 1905 года (в 1936–1938 гг. производство именовалось Московским заводом памяти 1905 года) - была оснащена новым, совершенным оборудованием и укомплектована высококвалифицированными специалистами. Советская грампластинка поднялась на качественно новую ступень своего технологического совершенства.</w:t>
      </w:r>
    </w:p>
    <w:p w14:paraId="4F1BD092" w14:textId="77777777" w:rsidR="00562118" w:rsidRPr="00C33834" w:rsidRDefault="0056211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Этапы большого пути</w:t>
      </w:r>
    </w:p>
    <w:p w14:paraId="791D5F1B" w14:textId="77777777" w:rsidR="00562118" w:rsidRPr="00C33834" w:rsidRDefault="0056211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1934 году началось строительство еще одного завода грампластинок - в поселке Глухово (в 68 км от Москвы, возле г. Ногинска). Новое предприятие, оснащенное самым совершенным оборудованием и значительно более мощное, чем Апрелевское, получило название Ногинский завод.</w:t>
      </w:r>
    </w:p>
    <w:p w14:paraId="76D6887D" w14:textId="77777777" w:rsidR="00562118" w:rsidRPr="00C33834" w:rsidRDefault="0056211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Строился он быстро, и уже в конце 1935 года смог выпустить 1158 тыс. пластинок. В последующие годы производительность Ногинского завода росла быстрыми темпами.</w:t>
      </w:r>
    </w:p>
    <w:p w14:paraId="1F3F2304" w14:textId="77777777" w:rsidR="00562118" w:rsidRPr="00C33834" w:rsidRDefault="0056211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Для сравнения скажем, что в 1938 году Апрелевский завод выпустил всего 19 294 тыс. дисков.</w:t>
      </w:r>
    </w:p>
    <w:p w14:paraId="542F10D1" w14:textId="77777777" w:rsidR="00562118" w:rsidRPr="00C33834" w:rsidRDefault="0056211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О размахе производства граммофонных пластинок в конце 30-х годов можно судить хотя бы по такому примеру: популярная песенка Роберта из кинофильма "Дети капитана Гранта" была выпущена тиражом более 1 млн. экземпляров.</w:t>
      </w:r>
    </w:p>
    <w:p w14:paraId="2CA4FCE4" w14:textId="77777777" w:rsidR="00562118" w:rsidRPr="00C33834" w:rsidRDefault="0056211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Качество записи постоянно улучшалось, а после открытия в Москве центрального Дома звукозаписи граммофонных пластинок в 1938 г. достигло уровня мировых стандартов.</w:t>
      </w:r>
    </w:p>
    <w:p w14:paraId="50867DEF" w14:textId="77777777" w:rsidR="00562118" w:rsidRPr="00C33834" w:rsidRDefault="00562118"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Среди заводов можно назвать</w:t>
      </w:r>
    </w:p>
    <w:p w14:paraId="529A2220" w14:textId="77777777" w:rsidR="00562118" w:rsidRPr="00C33834" w:rsidRDefault="00562118" w:rsidP="00C33834">
      <w:pPr>
        <w:pStyle w:val="ae"/>
        <w:spacing w:before="0" w:after="0"/>
        <w:jc w:val="both"/>
        <w:rPr>
          <w:color w:val="000000" w:themeColor="text1"/>
          <w:sz w:val="16"/>
          <w:szCs w:val="16"/>
        </w:rPr>
      </w:pPr>
      <w:r w:rsidRPr="00C33834">
        <w:rPr>
          <w:color w:val="000000" w:themeColor="text1"/>
          <w:sz w:val="16"/>
          <w:szCs w:val="16"/>
        </w:rPr>
        <w:t>Апрелевский завод грампластинок памяти 1905 года;</w:t>
      </w:r>
    </w:p>
    <w:p w14:paraId="7E1BF977" w14:textId="77777777" w:rsidR="00562118" w:rsidRPr="00C33834" w:rsidRDefault="00562118" w:rsidP="00C33834">
      <w:pPr>
        <w:pStyle w:val="ae"/>
        <w:spacing w:before="0" w:after="0"/>
        <w:jc w:val="both"/>
        <w:rPr>
          <w:color w:val="000000" w:themeColor="text1"/>
          <w:sz w:val="16"/>
          <w:szCs w:val="16"/>
        </w:rPr>
      </w:pPr>
      <w:r w:rsidRPr="00C33834">
        <w:rPr>
          <w:color w:val="000000" w:themeColor="text1"/>
          <w:sz w:val="16"/>
          <w:szCs w:val="16"/>
        </w:rPr>
        <w:t>Ногинский завод грампластинок;</w:t>
      </w:r>
    </w:p>
    <w:p w14:paraId="123E5440" w14:textId="77777777" w:rsidR="00562118" w:rsidRPr="00C33834" w:rsidRDefault="00562118" w:rsidP="00C33834">
      <w:pPr>
        <w:pStyle w:val="ae"/>
        <w:spacing w:before="0" w:after="0"/>
        <w:jc w:val="both"/>
        <w:rPr>
          <w:color w:val="000000" w:themeColor="text1"/>
          <w:sz w:val="16"/>
          <w:szCs w:val="16"/>
        </w:rPr>
      </w:pPr>
      <w:r w:rsidRPr="00C33834">
        <w:rPr>
          <w:color w:val="000000" w:themeColor="text1"/>
          <w:sz w:val="16"/>
          <w:szCs w:val="16"/>
        </w:rPr>
        <w:t>Экспериментальная фабрика грампластинок Леноблискусства;</w:t>
      </w:r>
    </w:p>
    <w:p w14:paraId="7C32E533" w14:textId="77777777" w:rsidR="00562118" w:rsidRPr="00C33834" w:rsidRDefault="00562118" w:rsidP="00C33834">
      <w:pPr>
        <w:pStyle w:val="ae"/>
        <w:spacing w:before="0" w:after="0"/>
        <w:jc w:val="both"/>
        <w:rPr>
          <w:color w:val="000000" w:themeColor="text1"/>
          <w:sz w:val="16"/>
          <w:szCs w:val="16"/>
        </w:rPr>
      </w:pPr>
      <w:r w:rsidRPr="00C33834">
        <w:rPr>
          <w:color w:val="000000" w:themeColor="text1"/>
          <w:sz w:val="16"/>
          <w:szCs w:val="16"/>
        </w:rPr>
        <w:t>Фабрика грампластинок Ленмузтреста;</w:t>
      </w:r>
    </w:p>
    <w:p w14:paraId="478FE072" w14:textId="77777777" w:rsidR="00562118" w:rsidRPr="00C33834" w:rsidRDefault="00562118" w:rsidP="00C33834">
      <w:pPr>
        <w:pStyle w:val="ae"/>
        <w:spacing w:before="0" w:after="0"/>
        <w:jc w:val="both"/>
        <w:rPr>
          <w:color w:val="000000" w:themeColor="text1"/>
          <w:sz w:val="16"/>
          <w:szCs w:val="16"/>
        </w:rPr>
      </w:pPr>
      <w:r w:rsidRPr="00C33834">
        <w:rPr>
          <w:color w:val="000000" w:themeColor="text1"/>
          <w:sz w:val="16"/>
          <w:szCs w:val="16"/>
        </w:rPr>
        <w:t>Фабрика звукозаписи Всесоюзного Радиокомитета (Москва);</w:t>
      </w:r>
    </w:p>
    <w:p w14:paraId="75A24642" w14:textId="77777777" w:rsidR="00562118" w:rsidRPr="00C33834" w:rsidRDefault="00562118" w:rsidP="00C33834">
      <w:pPr>
        <w:pStyle w:val="ae"/>
        <w:spacing w:before="0" w:after="0"/>
        <w:jc w:val="both"/>
        <w:rPr>
          <w:color w:val="000000" w:themeColor="text1"/>
          <w:sz w:val="16"/>
          <w:szCs w:val="16"/>
        </w:rPr>
      </w:pPr>
      <w:r w:rsidRPr="00C33834">
        <w:rPr>
          <w:color w:val="000000" w:themeColor="text1"/>
          <w:sz w:val="16"/>
          <w:szCs w:val="16"/>
        </w:rPr>
        <w:t>Экспериментальная фабрика грампластинок (Москва);</w:t>
      </w:r>
    </w:p>
    <w:p w14:paraId="6D6E51CD" w14:textId="77777777" w:rsidR="00562118" w:rsidRPr="00C33834" w:rsidRDefault="00562118" w:rsidP="00C33834">
      <w:pPr>
        <w:pStyle w:val="ae"/>
        <w:spacing w:before="0" w:after="0"/>
        <w:jc w:val="both"/>
        <w:rPr>
          <w:color w:val="000000" w:themeColor="text1"/>
          <w:sz w:val="16"/>
          <w:szCs w:val="16"/>
        </w:rPr>
      </w:pPr>
      <w:r w:rsidRPr="00C33834">
        <w:rPr>
          <w:color w:val="000000" w:themeColor="text1"/>
          <w:sz w:val="16"/>
          <w:szCs w:val="16"/>
        </w:rPr>
        <w:t>Артель "Грампластмасс" Леноблрадио Леноблпромсоюза в Красном Селе;</w:t>
      </w:r>
    </w:p>
    <w:p w14:paraId="3C45212E" w14:textId="77777777" w:rsidR="00562118" w:rsidRPr="00C33834" w:rsidRDefault="00562118" w:rsidP="00C33834">
      <w:pPr>
        <w:pStyle w:val="ae"/>
        <w:spacing w:before="0" w:after="0"/>
        <w:jc w:val="both"/>
        <w:rPr>
          <w:color w:val="000000" w:themeColor="text1"/>
          <w:sz w:val="16"/>
          <w:szCs w:val="16"/>
        </w:rPr>
      </w:pPr>
      <w:r w:rsidRPr="00C33834">
        <w:rPr>
          <w:color w:val="000000" w:themeColor="text1"/>
          <w:sz w:val="16"/>
          <w:szCs w:val="16"/>
        </w:rPr>
        <w:t>Фабрика радиоизделий ЛГМП-ПИК (Ленинград);</w:t>
      </w:r>
    </w:p>
    <w:p w14:paraId="4316B75B" w14:textId="77777777" w:rsidR="00562118" w:rsidRPr="00C33834" w:rsidRDefault="00562118" w:rsidP="00C33834">
      <w:pPr>
        <w:pStyle w:val="ae"/>
        <w:spacing w:before="0" w:after="0"/>
        <w:jc w:val="both"/>
        <w:rPr>
          <w:color w:val="000000" w:themeColor="text1"/>
          <w:sz w:val="16"/>
          <w:szCs w:val="16"/>
        </w:rPr>
      </w:pPr>
      <w:r w:rsidRPr="00C33834">
        <w:rPr>
          <w:color w:val="000000" w:themeColor="text1"/>
          <w:sz w:val="16"/>
          <w:szCs w:val="16"/>
        </w:rPr>
        <w:t>Фабрика "Авангард" Учпромкомбината Леноблкужда на ст. Дудергоф Балтийской Ж. Д.;</w:t>
      </w:r>
    </w:p>
    <w:p w14:paraId="5984E923" w14:textId="77777777" w:rsidR="00562118" w:rsidRPr="00C33834" w:rsidRDefault="00562118" w:rsidP="00C33834">
      <w:pPr>
        <w:pStyle w:val="ae"/>
        <w:spacing w:before="0" w:after="0"/>
        <w:jc w:val="both"/>
        <w:rPr>
          <w:color w:val="000000" w:themeColor="text1"/>
          <w:sz w:val="16"/>
          <w:szCs w:val="16"/>
        </w:rPr>
      </w:pPr>
      <w:r w:rsidRPr="00C33834">
        <w:rPr>
          <w:color w:val="000000" w:themeColor="text1"/>
          <w:sz w:val="16"/>
          <w:szCs w:val="16"/>
        </w:rPr>
        <w:t>Цех грампластинок в Институте по обработке дерева (Ленинград);</w:t>
      </w:r>
    </w:p>
    <w:p w14:paraId="5AF0BDB4" w14:textId="77777777" w:rsidR="00562118" w:rsidRPr="00C33834" w:rsidRDefault="00562118" w:rsidP="00C33834">
      <w:pPr>
        <w:pStyle w:val="ae"/>
        <w:spacing w:before="0" w:after="0"/>
        <w:jc w:val="both"/>
        <w:rPr>
          <w:color w:val="000000" w:themeColor="text1"/>
          <w:sz w:val="16"/>
          <w:szCs w:val="16"/>
        </w:rPr>
      </w:pPr>
      <w:r w:rsidRPr="00C33834">
        <w:rPr>
          <w:color w:val="000000" w:themeColor="text1"/>
          <w:sz w:val="16"/>
          <w:szCs w:val="16"/>
        </w:rPr>
        <w:t>Цех грампластинок "ЗЭТ" Ленметбытремпромсоюза;</w:t>
      </w:r>
    </w:p>
    <w:p w14:paraId="60AA81FF" w14:textId="77777777" w:rsidR="00562118" w:rsidRPr="00C33834" w:rsidRDefault="00562118" w:rsidP="00C33834">
      <w:pPr>
        <w:pStyle w:val="ae"/>
        <w:spacing w:before="0" w:after="0"/>
        <w:jc w:val="both"/>
        <w:rPr>
          <w:color w:val="000000" w:themeColor="text1"/>
          <w:sz w:val="16"/>
          <w:szCs w:val="16"/>
        </w:rPr>
      </w:pPr>
      <w:r w:rsidRPr="00C33834">
        <w:rPr>
          <w:color w:val="000000" w:themeColor="text1"/>
          <w:sz w:val="16"/>
          <w:szCs w:val="16"/>
        </w:rPr>
        <w:t>Цех грампластинок "Культпром" Ленкультпромсоюза;</w:t>
      </w:r>
    </w:p>
    <w:p w14:paraId="084A0B27" w14:textId="77777777" w:rsidR="00562118" w:rsidRPr="00C33834" w:rsidRDefault="00562118" w:rsidP="00C33834">
      <w:pPr>
        <w:pStyle w:val="ae"/>
        <w:spacing w:before="0" w:after="0"/>
        <w:jc w:val="both"/>
        <w:rPr>
          <w:color w:val="000000" w:themeColor="text1"/>
          <w:sz w:val="16"/>
          <w:szCs w:val="16"/>
        </w:rPr>
      </w:pPr>
      <w:r w:rsidRPr="00C33834">
        <w:rPr>
          <w:color w:val="000000" w:themeColor="text1"/>
          <w:sz w:val="16"/>
          <w:szCs w:val="16"/>
        </w:rPr>
        <w:t>Цех грампластинок промкооперативной артели им. Дзержинского Укопромсбыта в г. Орджоникидзе (Донбасс);</w:t>
      </w:r>
    </w:p>
    <w:p w14:paraId="1B9A7FC8" w14:textId="77777777" w:rsidR="00562118" w:rsidRPr="00C33834" w:rsidRDefault="00562118" w:rsidP="00C33834">
      <w:pPr>
        <w:pStyle w:val="ae"/>
        <w:spacing w:before="0" w:after="0"/>
        <w:jc w:val="both"/>
        <w:rPr>
          <w:color w:val="000000" w:themeColor="text1"/>
          <w:sz w:val="16"/>
          <w:szCs w:val="16"/>
        </w:rPr>
      </w:pPr>
      <w:r w:rsidRPr="00C33834">
        <w:rPr>
          <w:color w:val="000000" w:themeColor="text1"/>
          <w:sz w:val="16"/>
          <w:szCs w:val="16"/>
        </w:rPr>
        <w:t>Экспериментальная лаборатория грампластинок Ленгоркино;</w:t>
      </w:r>
    </w:p>
    <w:p w14:paraId="1124E05E" w14:textId="77777777" w:rsidR="00562118" w:rsidRPr="00C33834" w:rsidRDefault="00562118" w:rsidP="00C33834">
      <w:pPr>
        <w:pStyle w:val="ae"/>
        <w:spacing w:before="0" w:after="0"/>
        <w:jc w:val="both"/>
        <w:rPr>
          <w:color w:val="000000" w:themeColor="text1"/>
          <w:sz w:val="16"/>
          <w:szCs w:val="16"/>
        </w:rPr>
      </w:pPr>
      <w:r w:rsidRPr="00C33834">
        <w:rPr>
          <w:color w:val="000000" w:themeColor="text1"/>
          <w:sz w:val="16"/>
          <w:szCs w:val="16"/>
        </w:rPr>
        <w:t>Экспериментальный цех Ваковской фабрики граммофонных пластинок.</w:t>
      </w:r>
    </w:p>
    <w:p w14:paraId="4EC03F47" w14:textId="77777777" w:rsidR="00562118" w:rsidRPr="00C33834" w:rsidRDefault="00562118" w:rsidP="00C33834">
      <w:pPr>
        <w:pStyle w:val="ae"/>
        <w:spacing w:before="0" w:after="0"/>
        <w:jc w:val="both"/>
        <w:rPr>
          <w:color w:val="000000" w:themeColor="text1"/>
          <w:sz w:val="16"/>
          <w:szCs w:val="16"/>
        </w:rPr>
      </w:pPr>
      <w:r w:rsidRPr="00C33834">
        <w:rPr>
          <w:color w:val="000000" w:themeColor="text1"/>
          <w:sz w:val="16"/>
          <w:szCs w:val="16"/>
        </w:rPr>
        <w:t>Этим списком, конечно, не исчерпывается перечень предприятий, на которых изготовлялись обычные (твердые) и гибкие диски - шире (19204).</w:t>
      </w:r>
    </w:p>
    <w:p w14:paraId="40486B6C" w14:textId="77777777" w:rsidR="00562118" w:rsidRPr="00C33834" w:rsidRDefault="00562118" w:rsidP="00C33834">
      <w:pPr>
        <w:spacing w:after="0" w:line="240" w:lineRule="auto"/>
        <w:jc w:val="both"/>
        <w:rPr>
          <w:rFonts w:ascii="Times New Roman" w:hAnsi="Times New Roman"/>
          <w:color w:val="000000" w:themeColor="text1"/>
          <w:sz w:val="16"/>
          <w:szCs w:val="16"/>
        </w:rPr>
      </w:pPr>
    </w:p>
    <w:p w14:paraId="354DE5E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22 октября 1933 был прием в состав МСБМ «Л-1» — головной подводной лодки типа «Л» II серии. </w:t>
      </w:r>
    </w:p>
    <w:p w14:paraId="0879965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II серия подводных заградителей типа «Ленинец» из 6 единиц была построена по проекту, разработанному под руководством Б. М. Малинина. Проектированием руководили видные ученые во главе с А. Н. Крыловым. </w:t>
      </w:r>
    </w:p>
    <w:p w14:paraId="3B88CBF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Подводные лодки этой серки успешно участвовали в Великой Отечественной войне. ПЛ «Л-4» ЧФ (командир капитан 3 ранга Е. П. Поляков), совершившая 24 боевых похода и потопившая 6 транспортов и боевых кораблей противника, 23.10 1942 награждена орденом Красного Знамени. Наиболее успешно действовал экипаж ПЛ «Л-3» КБФ (командир капитан 2 ранга П. Д. Грищенко, с 9.3 1943 капитан 3 ранга П. К. Коновалов), совершившей 7 боевых походов продолжительностью 173 суток и одержавшей наибольшее количество побед среди подводных лодок Советского ВМФ. Только по подтвержденным противником данным, она уничтожила 18 судов общим тоннажем более 50 000 т и 7 кораблей, нескольким кораблям нанесла повреждения. 1.3 1943 «Л-3» была удостоена гвардейского звания, члены ее экипажа получили 423 награды, командиру В. К. Коновалову (впоследствии контр-адмирал) было присвоено звание Героя Советского Союза. Рубка «Л-3» в качестве памятника ныне установлена на территории одной из частей ДКБФ (11712).</w:t>
      </w:r>
    </w:p>
    <w:p w14:paraId="0A05861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10F60583"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93E2E4F"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1835D9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октября 1933 г. опытный экземпляр ЦКБ-3 (И-15) Н.Н.П. совершил первый полет, затем успешно прошел летные испытания и в 1934 г. был внедрен в серийное производство (3406).</w:t>
      </w:r>
    </w:p>
    <w:p w14:paraId="57AB7D3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68EEB84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октября 1933 года директор завода N 39 Марголин писал письмо N1196с Алкснису.</w:t>
      </w:r>
    </w:p>
    <w:p w14:paraId="2921A40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Докладываю, что 23 октября 1933 года опытный самолет И-15 совершил первый контрольный полет. 23 октября 1933 года приступлено к заводским испытаниям самолета.</w:t>
      </w:r>
    </w:p>
    <w:p w14:paraId="0A9ED85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полет дает основание ожидать высоких качеств машины в части скороподъемности и маневренности в особенности (3903,26).</w:t>
      </w:r>
    </w:p>
    <w:p w14:paraId="0ADE711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12A5B0B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октября 1933 г. утвердили Заключение по эскизному проекту И-15. В тот же день В.П.Чкалов совершил на истребителе И-15 (ЦКБ-3) первый полет (10667).</w:t>
      </w:r>
    </w:p>
    <w:p w14:paraId="79790DC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34129F6D"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97AF67C"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D4EBD6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октября 1933 г приказом Наркома тяжелой промышленности СССР Серго Орджоникидзе был назначен директор Всесоюзного государственного института телемеханики и связи (ВГИТИС) Федор Федорович Сучков.</w:t>
      </w:r>
    </w:p>
    <w:p w14:paraId="20C3ECE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Инициатором создания ВГИТИС был ученый и изобретатель Александр Федорович Шорин, который обратился с докладом к Серго Орджоникидзе, в котором убедительно доказал необходимость создания института в целях объединения в одном месте научных работников и изобретателей, способных в кратчайшие сроки реализовать свои идеи и задумки в образцы новой интенсивно развивающейся радиотехники, автоматики, электроники, акустики и специальной физики.</w:t>
      </w:r>
    </w:p>
    <w:p w14:paraId="176462B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Одним из родоначальников ВГИТИС явилось Особое техническое бюро (Остехбюро), созданное в августе 1921 г. по указанию Владимира Ильича Ленина для реализации важнейшего изобретения оборонного значения – особого приспособления к морским торпедам, которое существенно повышало эффективность поражения цели. Автор этого изобретения В.М. Бакаури был назначен руководителем Остехбюро, где особое место занимал отдел радиоуправления, телемеханики и электротехники. Наибольшее внимание здесь уделялось разработке радиотелеуправлению средств поражения объектов противника.</w:t>
      </w:r>
    </w:p>
    <w:p w14:paraId="012CBA1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Похожими работами и даже с более эффективными результатами занималась в Ленинграде Центральная лаборатория проводной связи, базой для создания которой послужил Отдел специальной аппаратуры (ОСА) Центральной радиолаборатории (ЦРЛ) завода им. Коминтерна, оснащавший радиоаппаратурой военные корабли и гражданские суда еще со времени изобретения А.С. Попова.</w:t>
      </w:r>
    </w:p>
    <w:p w14:paraId="2BEAC3A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1927 г. ОСА, которым руководил А.Ф. Шорин, проводил по его схеме испытания телеуправляемого торпедного катера. Испытания показали, что для полного решения задач радиоуправления необходимо широкое привлечение специалистов многих отраслей промышленности и науки. Это послужило причиной реорганизации ОСА ЦРЛ в самостоятельное научно-исследовательское предприятие. Так в 1928 г. образовалась Центральная лаборатория проводной связи (ЦЛПС), работу которой возглавил А.Ф. Шорин. Ее “красным директором” был назначен бывший комиссар крейсера «Аврора» А.В. Белышев. Отделом радиоуправления руководил соратник А.Ф. Шорина по ОСА ЦРА Б.А. Смиренин.</w:t>
      </w:r>
    </w:p>
    <w:p w14:paraId="68603D8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базе Остехбюро, ЦЛПС, а также Всесоюзного энергетического института (ВЭИ) в Москве и Нижегородской радиолаборатории (НРЛ) и был сформирован коллектив ВГИТИС.</w:t>
      </w:r>
    </w:p>
    <w:p w14:paraId="4F2525F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Остехбюро и ЦЛПС в институт пришли работать Л.М. Кубецкий, А.И. Мирвис, Ю.А. Шаровский, К.А. Рождественский, В.Я. Соколов, В.М. Ястребилов, Я.М. Щербовский, А.М. Свердлов, Э.Ю. Гутников, А.Г. Иваненко, А.А. Солодовников, Б.А. Смиренин, М.М. Гусаков, М.П. Петелин, И.В. Филиппов, С.Г. Зайцев, М.А. Орышак, К.В. Байдун, Л.В. Масанов, И.Н. Майоров и другие.</w:t>
      </w:r>
    </w:p>
    <w:p w14:paraId="5F2D720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Всесоюзного электротехнического института были переведены целые лаборатории во главе с профессором Б.А. Введенским (в будущем академиком), вместе с ним пришли А.М. Майзельс, В.И. Пейсиков, В.А. Кузовкин, М.Б. Аксенцев, позже пришли Н.Д. Смирнов и В.Т. Тимофеев, из Нижегородской лаборатории Ф.Ф. Сучков, И.С. Шапошников, В.Д. Калмыков и другие.</w:t>
      </w:r>
    </w:p>
    <w:p w14:paraId="6D7D655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дальнейшем институт пополнялся молодыми специалистами – выпускниками высших учебных заведений Москвы, Ленинграда и Горького.</w:t>
      </w:r>
    </w:p>
    <w:p w14:paraId="7EA4B34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окраине Москвы в Дангауэрской слободе был выделен участок и в 1934 г. началось строительство ВГИТИСа. На плечи военного специалиста Ф.Ф. Сучкова легли заботы о строительстве, наборе кадров, все заботы хозяйственника. А.Ф. Шорин, как научный руководитель института, занимался разработкой основных тематических направлений, добивался финансирования проектов и непосредственно участвовал в создании новых образцов военной и гражданской продукции.</w:t>
      </w:r>
    </w:p>
    <w:p w14:paraId="0F7ECFD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Уже в мае 1935 г. началась трудовая биография ВГИТИС. Научный руководитель А.Ф. Шорин, директор Ф.Ф. Сучков, главный инженер Л.П. Косоротов, парторг ЦК ВКП(б) П.И. Куприянов вели огромную работу по мобилизации коллектива на выполнение поставленных перед институтом ответственных задач. С первых дней, когда еще полным ходом шло строительство корпусов нового предприятия, четко был определен фронт научно-технических работ и функциональные основы структурных подразделений.</w:t>
      </w:r>
    </w:p>
    <w:p w14:paraId="0EF90AC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Первые сотрудники размещались на площадках завода «Радиоприбор», пока не был введен в эксплуатацию первый из корпусов – корпус № 2.</w:t>
      </w:r>
    </w:p>
    <w:p w14:paraId="031E742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начальный период научные подразделения института состояли из трех секторов:</w:t>
      </w:r>
    </w:p>
    <w:p w14:paraId="425B583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электрических процессов (СЭП), которые в основном разрабатывали радиоаппаратуру для радиолиний управления объектами; </w:t>
      </w:r>
    </w:p>
    <w:p w14:paraId="4554BBA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электроакустики (СЭА), в котором шли разработки приборов звукометрии, звукозаписи и применение электроакустики в военном деле; </w:t>
      </w:r>
    </w:p>
    <w:p w14:paraId="5EAF0B6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специальной техники (телемеханики) (ССТ), разрабатывавших в основном исполнительные механизмы для телеуправляемых объектов. </w:t>
      </w:r>
    </w:p>
    <w:p w14:paraId="7C55F25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Начальником СЭП был опытный руководитель, соратник А.Ф. Шорина по работе в ОСА ЦРЛ и созданию звукового кино в ЦЛПс Б.А. Смиренин, начальником СЭА – А.И. Бобров, бывший сотрудник ЦЛПС, начальником ССТ – П.П. Темный.</w:t>
      </w:r>
    </w:p>
    <w:p w14:paraId="083EF81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Одной из первых больших работ, выполненных в 1935 г., явилась разработка управляемого по радио автоматического танка Т-26 и его вооружения. Эта работа под шифром «Титан» проводилась сектором телемеханики под руководством Л.Б. Гутникова, бывшего сотрудника Остехбюро. Автоматизировалось не только вождение танка по радио, но и его вооружение: пушка, пулемет, огнемет. Разработка эта вполне соответствовала назначению института и велась на высоком техническом уровне того времени. Конструкторское оформление отличалось блочной компоновкой аппаратуры на танке.</w:t>
      </w:r>
    </w:p>
    <w:p w14:paraId="72BFF67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Первые два года в институте разрабатывалось несколько боевых систем с телемеханическим управлением по проводам и радио, в том числе кассетное устройство для разбрасывания мин с танка, выполненное под руководством Г.Г. Коннова, который также разработал управляемый по проводам пулемет «Шкал». Под руководством В.Е. Кукуева совместно с Г.Г. Коновым был разработан управляемый по радио ручной пулемет «Руп» и управляемый по кабелю пулемет «Максим», выполненный С.Д. Иваненко.</w:t>
      </w:r>
    </w:p>
    <w:p w14:paraId="4960612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те же годы создается система «Квант» для наведения планера-снаряда с самолета на корабль. Руководителем этой разработки был В.Д. Калмыков (в будущем директор института и министр радиопромышленности). Наведение планера-снаряда осуществлялось в лучах трех прожекторов инфракрасных лучей, модулированных разными частотами, и производилось ручным поворотом рамы, укрепленной под самолетом. На раме крепились прожекторы и снаряд. В этой же лаборатории проводилась разработка теплопеленгационного блока «АРГОН» для самонаведения торпедного катера на корабль.</w:t>
      </w:r>
    </w:p>
    <w:p w14:paraId="117C925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секторе электрических процессов широким фронтом шла разработка радиолиний управления для танков и торпедных катеров. Радиолиния управления торпедными катерами с самолета состояла из двух самостоятельных радиоустройств. Одна разрабатывалась в диапазоне дециметровых волн, что по тем временам было технической новинкой, другая – дублирующая на средних волнах. Разработку радиолинии на дециметровых волнах под названием «Альфа» вела группа под руководством В.А. Кузовкина, В.И. Пейсикова и В.И. Ярошенко. Линию на средних волнах под шифром «Штурвал» разрабатывали К.А. Рождественский и Н.И. Иванов.</w:t>
      </w:r>
    </w:p>
    <w:p w14:paraId="7307577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 непосредственным руководством А.Ф. Шорина велись изыскательские работы по созданию командных радиолиний управления фугасными зарядами под шифром «Малютка», которые предназначались для закладки на поле боя или в зданиях и сооружениях. При наступлении противника каждый из фугасов взрывался по своей кодированной команде, передаваемой по радиолинии на средних волнах из командного пункта или штабного подразделения.</w:t>
      </w:r>
    </w:p>
    <w:p w14:paraId="7BB3691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1935-1937 гг. в институте проводились работы и для учебных военных целей. Сюда относятся созданные по идее А.Ф. Шорина электротренажер для обучения летчиков, фотокинопулемет для контроля стрельбы с самолета по воздушным целям и прибор записи разговора летчика с землей. Запись велась на стальные диски или барабаны. Проводились также работы для народного хозяйства страны. К ним относится реализация изобретения А.Ф. Шорина по электромеханической записи звука. Это прибор настольного типа, в котором звук микрофона усиливается и записывается сапфировым резцом на отработанную кинопленку, а воспроизводится обычной патефонной иглой. Прибор этот получил название «Шоринофон». Несколько серий таких приборов были созданы для всех радиостанций страны.</w:t>
      </w:r>
    </w:p>
    <w:p w14:paraId="2CD370B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это время из Германии начали поступать сведения об опытах по записи звука на стальную проволоку или ленту и удачных опытах по записи звука на ферромагнитную пленку. Под руководством А.Ф. Шорина институт в кратчайшие сроки создает свой оригинальный студийный прибор записи звука на ферромагнитную пленку, которому дается название – магнитофон.</w:t>
      </w:r>
    </w:p>
    <w:p w14:paraId="46991DB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Вообще работы, связанные с акустикой продвигались в институте довольно успешно. Так под руководством профессора А.М. Данилевского и инженера М. Евтюхова создаются акустические пеленгационные устройства. Разработанная ими звукометрическая станция «ДЕ» позволяла определять местоположение артиллерии противника и широко применялась в Красной Армии. За эту работу А.М. Данилевский был награжден орденом Ленина.</w:t>
      </w:r>
    </w:p>
    <w:p w14:paraId="7B14BBA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Были начаты исследовательские работы под руководством А.М. Боброва и Е.В. Ковалева по созданию акустического посадочного альтиметра «БК» для самолета. Под руководством В.А. Якименко создается система управления орудийными башнями главного калибра для крейсеров.</w:t>
      </w:r>
    </w:p>
    <w:p w14:paraId="65700A4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1937 г. в институте успешно разрабатывается ряд устройств, в числе которых система «Луна» – самонаведение торпедного катера по инфракрасным лучам на корабль противника (руководитель разработки Г.Г. Коннов). На первом этапе, до введения катера в зону самоуправления наведение осуществлялось по радио с самолета. Несколько позже эта система была улучшена под шифром «Аргон» и успешно использовалась во время войны в Испании.</w:t>
      </w:r>
    </w:p>
    <w:p w14:paraId="16461A9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системы опознавания «свой-чужой» была создана на инфракрасных лучах аппаратура «Фрегат». С корабля-запросчика мощным прожектором с фильтром, пропускавшим только инфракрасные лучи, запрашивался неопознанный корабль. Ответчиком служило оптическое устройство из уголковых призм-отражателей, которые, вращаясь, создавали кодированные ответы. Эта система нашла широкое применение на кораблях и подводных лодках ВМФ.</w:t>
      </w:r>
    </w:p>
    <w:p w14:paraId="1A769E1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первые годы работы института характерным настроением для его сотрудников было состояние творческого энтузиазма, оптимизма, легкости свершений, свойственных молодости. Старшим опытным сотрудникам, в том числе А.Ф. Шорину, было не более 40...45 лет. Все отчетливо осознавали значение радиотелемеханизации и, понимая необходимость скорейшей разработки «всей телемеханики», работали добросовестно, увлеченно, быстро. Для создания аппаратуры и боевой техники требовались особо надежные и точные радиоэлектронные элементы, узлы, детали, а их промышленность выпускала в ограниченном количестве. Но и в этих условиях институт находил выход, восполняя недостающие изделия собственными разработками.</w:t>
      </w:r>
    </w:p>
    <w:p w14:paraId="539BE1F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Наступил 1938 год. Из Англии поступает лабораторное оборудование и измерительная техника. На 26 километре Горьковского шоссе в лесу институт оборудует испытательный полигон, танкодром и аэродром. Закупаются два самолета Р.5, вводится в эксплуатацию в дополнение к корпусу № 2 корпус № 1, затем – корпус № 3. В просторных помещениях размещают прибывшее из Англии оборудование, лаборатории налаживают темпы исследовательских и опытных работ.</w:t>
      </w:r>
    </w:p>
    <w:p w14:paraId="1E39E75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Одним из важных событий института того времени была эпопея с так называемой «трубкой Кубецкого». Руководитель лаборатории вторичного электронного преобразования Кобецкий создает крупное изобретение. Он разрабатывает способ каскадного усиления электрических сигналов в устройстве, напоминающем электронную лампу и фотоэлемент, где первичный сигнал вызывает поток электронов, который, последовательно падая на ряд анодов, выдает на выходе мощный импульс тока. Применение этой трубки взамен громоздких усилителей позволило решать в электрорадиотехнике принципиально новые задачи. Создателя трубки нарком С. Орджоникидзе премирует автомобилем, Кубецкому и его сотрудникам выделяются квартиры в новом жилом доме.</w:t>
      </w:r>
    </w:p>
    <w:p w14:paraId="2E6C466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1938 г. А.Ф. Шорин переходит работать в АН СССР на должность директора института автоматики и телемеханики. Директором ВГИТИС становится Александр Алексеевич Осмер, главным инженером – А.И. Бобров.</w:t>
      </w:r>
    </w:p>
    <w:p w14:paraId="0AD4A7F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институте более четко формируется тематическая направленность работ, специализируются и реорганизуются подразделения. Так, сектор электрических процессов был реорганизован в лабораторию № 3, руководителем которой назначен Константин Васильевич Байдун. Эта лаборатория имела группы: высокочастотных устройств под руководством В.А. Кузовкина; передающих устройств под руководством К.А. Рождественского; приемных устройств под руководством Ф.В. Лукина; специальных устройств под руководством Н.К. Свистова; устройств электропитания аппаратуры под руководством Ф.П. Афониной и другие группы, в том числе конструкторский сектор. Активно развивались лаборатории электровакуумных и оптических устройств, химическая лаборатория и др. Оснащалось оборудованием производство, шла специализация его цехов, среди которых особое место занимал цех № 2, как сборочный, где производились сборка и выпуск аппаратуры.</w:t>
      </w:r>
    </w:p>
    <w:p w14:paraId="1B3BA4F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Развитие в третьей пятилетке торгово-экономических связей с зарубежными странами значительно увеличило торговый оборот СССР. Осуществлялся он в основном через морские порты. Гидрографическое управление морского коммерческого флота обратилось в Наркомат тяжелой промышленности с просьбой подключить НИИ-10, уже известный своими работами для ВМФ, к разработке и созданию навигационных устройств безопасности движения судов. В 1939 г. группа инженеров института под руководством В.Б. Кнунянца при участии А.М. Белова, Л.В. Фридмана, А.В. Наумова и В.В. Романова приступает к разработке системы «Окунь», а также системы «Координатор» для ориентации судов относительно берега.</w:t>
      </w:r>
    </w:p>
    <w:p w14:paraId="5A33639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институте постепенно нарастал объем работ по новым направлениям. Были заложены основы радиолокации, теплопеленгации, гироскопии и синхронных механизмов, приборов управления стрельбой артиллерии, электроакустики и радиотехники во всех областях военного дела. В группе Ф.В. Лукина проводятся работы по созданию приборов обнаружения кораблей с самолета с помощью радиоволн. Под руководством А.П. Морозова разрабатывается устройство системы «Гладиатор» для повышения точности стрельбы зенитной артиллерии.</w:t>
      </w:r>
    </w:p>
    <w:p w14:paraId="0080F1A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Конструктор Н.А. Дарьин предложил радиолокационный высотомер для самолетов. Антенна передатчика самолета излучает на землю энергию в виде прямых импульсов. Одновременно с запуском радиосигнала к земле запускается круговая развертка на электронно-лучевой трубке («ждущая развертка»). Принятые на приемнике отраженные от земли радиоимпульсы поступают на электро-лучевую трубку, где воспроизводятся на экране. По времени запаздывания отраженного импульса относительно прямого, определяется расстояние до земли. Пауза между импульсами соответствует полной развертке луча – минимальной измеряемой высоте самолета.</w:t>
      </w:r>
    </w:p>
    <w:p w14:paraId="6DC42E7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лаборатории В.Д. Калмыкова осуществлялась идея оптической связи и использования инфракрасных лучей для пеленгации объектов на суше и на море. В 1939 г. В.С. Курылевым, Г.И. Судаковым и Г.Г. Конновым создаются оптические телефоны на световых лучах: ОТД-100 – для ближайшей связи и ОТД-200 – на расстоянии до 20 км. Они широко применялись в 1941 г. на фронте для связи между островами в Финском заливе. Для защиты пороховых погребов кораблей от воспламенения и взрыва М.С. Араловым и Г.Г. Конновым создается для ВМФ система «Защита».</w:t>
      </w:r>
    </w:p>
    <w:p w14:paraId="1A36B8E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1939 г. дирекция института принимает решение о развитии направления по использованию инфракрасных лучей. Создается лаборатория теплопеленгации, которую возглавил Н.Д. Смирнов (в будущем д-р техн. наук, профессор). Под его непосредственным руководством по заданию Военно-Морского Флота срочно велась разработка двух вариантов теплопеленгаторов – для установки на кораблях и автомобилях. Испытания автомобильного варианта, которые проходили в 1939 г. в г. Севастополе, дали хорошие результаты. Морской транспорт обнаруживался на расстоянии до 30 км. Этот пеленгатор поступил на вооружение береговых войсковых соединений и долгие годы выпускался серийно. В том же году создается весьма компактный береговой стационарный теплопеленгатор-теплоблок (БТП-39) и корабельный теплопеленгатор, опытный образец которого был установлен на крейсере «Красный Кавказ».</w:t>
      </w:r>
    </w:p>
    <w:p w14:paraId="405FAA0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1940 г. теплоблок БТП-39 совершенствуется, становится более компактным. Один из этих приборов, установленный на Дальнем Востоке, контролировал выход японских и китайских кораблей из реки Сунгури. Второй был установлен на Дунае и регистрировал прохождение подводных лодок и других судов в ночное время в тумане. Еще один БТП-39, установленный у Толбухина маяка в Финском заливе, регистрировал прохождение кораблей всех классов вплоть до торпедных катеров.</w:t>
      </w:r>
    </w:p>
    <w:p w14:paraId="310A353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1940 г. НИИ-10 передан в Наркомат судостроительной промышленности в целях своевременного оснащения радиоэлектронным оборудованием военных и торговых кораблей, при этом приоритет отдается разработкам, относящимся к ВМФ.</w:t>
      </w:r>
    </w:p>
    <w:p w14:paraId="6FA8700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институте нарастала многотемность и направленность разработок. Небольшие КБ при научных лабораториях различались по уровню квалификации конструкторов и опыту их работы. Одни и те же узлы и детали приборов в каждом КБ конструировались по-своему. Большая номенклатура однотипных элементов и узлов аппаратуры становились не под силу производству, создавали неудобства и в работе заводов. Назрела необходимость в создании централизованного конструкторского бюро, и в мае 1940 г. организуется отдел главного конструктора (ОГК), а в его составе Центральное конструкторское бюро (ЦКБ). Главным конструктором института и начальником ОГК назначается В.Д. Калмыков, начальником ЦКБ – Г.Г. Конов.</w:t>
      </w:r>
    </w:p>
    <w:p w14:paraId="2BDF59DF"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Организация ОГК во многом способствовала улучшению конструирования приборов и устройств. В ЦКБ были развернуты работы в более широком масштабе по унификации, нормализации и обеспечению конструкторов справочными материалами. Новый отдел взаимодействовал с лабораториями и производством, приборы конструировались в совместном творческом поиске не только для опытно-конструкторских работ, но и для текущих исследовательских работ и специальной измерительной техники.</w:t>
      </w:r>
    </w:p>
    <w:p w14:paraId="32878DD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период с 1935 по 1941 гг. ВГИТИС – НИИ-10 превратился в известный своими научными и инженерно-техническими работами специализированный институт с широким профилем работ, высоким практическим выходом продукции высокого качества и оригинального изобретательского творческого исполнения. В течение первых шести лет становления в институте выработались приемы освоения технических задач, ход научно-исследовательского поиска и пути инженерного осуществления найденных решений. Лаборатории оснащались новейшей зарубежной измерительной и испытательной электрорадиоаппаратурой. Создание единого конструкторского отдела повысило уровень конструирования и унификации аппаратуры, была улучшена организационная структура и технологический уровень опытного производства. В таком состоянии институт оказался в момент вероломного нападения фашистской Германии на Советский Союз.</w:t>
      </w:r>
    </w:p>
    <w:p w14:paraId="155A269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началом войны планы института были срочно пересмотрены. Были сняты все работы с большим циклом разработки. Институт получал задания на изделия, необходимые фронту, в том числе на срочную разработку рабочих чертежей и ускоренный серийный выпуск аппаратуры радиоуправляемых фугасных зарядов большой мощности «Малютка». В производстве в широком масштабе началось изготовление дистанционных трубок, сконструированных институтом к знаменитым реактивным снарядам «Катюша». В тех же масштабах шло изготовление разновидности таких трубок и для авиационных бомб. Кроме того, в первые месяцы войны был налажен массовый выпуск деталей к стрелковому автомату «ППШ» и к коммулятивному снаряду для танковых пушек, стаканы для снарядов «Катюш» и многое другое. Цехи производства работали круглосуточно.</w:t>
      </w:r>
    </w:p>
    <w:p w14:paraId="3E861C8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Инженерами А.П. Морозовым, В.П. Соломенцевым, Л.В. Голубевым, В.В. Романовым и Ф.Н. Черных срочно завершается, начатая еще в 1939 г. разработка векторно-электрического прибора управления артиллерийским огнем (ВЭПУАЗО). Этот прибор имел большие преимущества перед существовавшим тогда прибором ПУАЗО, т.к. давал все необходимые упрежденные координаты для наводки орудий и обслуживался меньшим боевым расчетом. Прибор был выпущен в начале 1942 г. и 16 октября установлен на четырехорудийной батарее у железнодорожного моста через р .Оку у г .Голутвина. Им управляли разработчики Л.В. Голубев и В.А. Соломенцев. В течение двух лет батарея успешно отражала налеты фашистской авиации и благодаря исключительно точной стрельбе самолеты противника сбивались и не допускались в район моста.</w:t>
      </w:r>
    </w:p>
    <w:p w14:paraId="3A016C6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Командование противовоздушной обороны высоко оценило работу прибора и настояло на его срочном серийном изготовлении. Основные разработчики ВЭПУАЗО В.А. Соломенцев, Л.В. Голубев и А.П. Морозов в 1943 г. были удостоены званий лауреатов Государственной премии СССР.</w:t>
      </w:r>
    </w:p>
    <w:p w14:paraId="63A904A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сентябре 1941 г. принимается решение об эвакуации части сотрудников института в составе лабораторий № 2, 3, 4, 6, КБ, опытного производства и их семей в пригород Сталинграда – поселок Бекетовку. Уполномоченным по эвакуации был назначен начальник фотолаборатории Аркадий Сергеевич Андреев. В поселке сотрудникам института выделили хорошее здание школы, где быстро установили лабораторное оборудование, развернули подразделения опытного производства. Инженеры института приступили к продолжению прерванных работ. Начали проводиться первые изыскания и пробы по применению частотно-модулированных радиоволн дециметрового диапазона для обнаружения самолетов. Совершенствуется аппаратура радиоальтиметра и теплопеленгатора БТП-39; создается аппаратура для прослушивания телефонных разговоров противника по полевым проводам. По заданию обкома партии идет массовый выпуск 20-мм снарядов для авиационных пушек и деталей к гранатам. Под руководством Н.Д. Смирнова разрабатываются сложные детали для наводки орудий и минометов.</w:t>
      </w:r>
    </w:p>
    <w:p w14:paraId="6623AAC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 как в Сталинградском «филиале» не было представителей дирекции института, решили провести общее собрание, на котором главным инженером избрали Николая Николаевича Острякова, секретарем партийной организации – Гая Арменаковича Абрамяна. Начальником отдела технического контроля становится Александр Юльевич Ишлинский (будущий академик АН СССР), его помощником назначается В.И. Ярошенко.</w:t>
      </w:r>
    </w:p>
    <w:p w14:paraId="015C15D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оставшейся части института в Москве также шла напряженная работа по выпуску изделий для фронта. Станки работали круглосуточно. В пять часов утра 16 октября 1941 г. пришло сообщение, что немцы прорвали фронт в районе Химок. Парторг ЦК ВКП(б) Евгений Иванович Зиновьев и директор института Александр Алексеевич Осмер собрали сотрудников и объявили об эвакуации в Свердловск. Прибывших в Свердловск разместили в здании Политехнического института вместе с сотрудниками Ленинградского филиала института (будущий ЦНИИ «Гранит»). Начальник строительного главка наркомата Степан Васильевич Петренко помог наладить производство и устроить людей. Руководителем Свердловского отделения института был назначен инженер Н.В. Рогачевский.</w:t>
      </w:r>
    </w:p>
    <w:p w14:paraId="44BDFE9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Условия труда и быта в Сталинграде и Свердловске были чрезвычайно тяжелыми. Люди работали в две смены по 12 часов, засыпая иногда от усталости прямо за регулировочными столами и станками. Из-за нехватки рук к токарной работе были привлечены подростки, которыми руководил инженер Л.Г. Тигров.</w:t>
      </w:r>
    </w:p>
    <w:p w14:paraId="47DCD6E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производстве и регулировочной лаборатории круглосуточно шел выпуск радиофугасов «Малютка» и аппаратуры к ним. Изготавливались детали для снарядов «Катюш», ручных и противотанковых гранат, комплектующих устройств к стрелковому оружию. Был налажен выпуск аппаратуры «Тракс», разработанный Ленинградским филиалом и предназначенный для кодовой связи командования с нашими самолетами. За установку и наладку этой аппаратуры на самолетах, и участие в боевых операциях инженер В.М. Ястребилов был награжден орденом Красной Звезды.</w:t>
      </w:r>
    </w:p>
    <w:p w14:paraId="7E2C238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1942 г. в г. Свердловск приехали главный инженер института Алексей Иванович Бобров и начальник ОГК В.Д. Калмыков. В Москве осталась лишь необходимая часть сотрудников, занимавшихся выпуском приборов ВЭПУАЗО и группа под руководством К.В. Байдуна, проводивших работы по созданию радиоаппаратуры для обнаружения самолетов с земли.</w:t>
      </w:r>
    </w:p>
    <w:p w14:paraId="7E5B7E7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разгрома немцев под Москвой в столицу возвратился ряд предприятий, в том числе та часть НИИ-10, которая была эвакуирована под Сталинград. В конце мая из Свердловска в Москву возвратился начальник ОГК В.Д. Калмыков и доложил в наркомате о положении дел в институте. Валерия Дмитриевича назначают директором объединенного с ленинградским филиалом предприятия, а его главным инженером становится бывший главный инженер филиала А.И. Мирвис. К концу 1942 г. в Москву вернулись почти все сотрудники, эвакуированные в Свердловск. Организацией эвакуации занимались А.С. Андреев и ленинградцы М.С. Орышак и А.М. Осокин.</w:t>
      </w:r>
    </w:p>
    <w:p w14:paraId="1710148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 энергичным деловым руководством В.Д. Калмыкова полным ходом шло восстановление института, налаживалась работа всех его подразделений, хотя продолжавшаяся война на все накладывала свой отпечаток.</w:t>
      </w:r>
    </w:p>
    <w:p w14:paraId="5EEFF214"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1943 г. численность института сократилась до 714 человек, после объединения с филиалом она возросла, но все равно была много меньше довоенной. В то время в институте работало всего 375 инженерно-технических сотрудников, 484 рабочих, 242 служащих. В составе лабораторий были, в основном, опытные ученые и инженеры, прошедшие школу предвоенных лет. Это они на годы вперед определили творческий почерк института, заложили основы его авторитета.</w:t>
      </w:r>
    </w:p>
    <w:p w14:paraId="3626D93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 концу 1943 г. институт полностью восстанавливает свою деятельность, успешно выполняет большой объем правительственных заказов для фронта. Группа инженеров Л.В. Голубев, В.А. Соломенцев, Л.И. Кошелев, М.И. Зайцев, А.П. Морозов и другие срочно разрабатывают новый вариант векторно-электрического </w:t>
      </w:r>
      <w:r w:rsidRPr="00C33834">
        <w:rPr>
          <w:rFonts w:ascii="Times New Roman" w:hAnsi="Times New Roman"/>
          <w:color w:val="000000" w:themeColor="text1"/>
          <w:sz w:val="16"/>
          <w:szCs w:val="16"/>
        </w:rPr>
        <w:lastRenderedPageBreak/>
        <w:t>прибора управления артиллерийским зенитным огнем (ВЭПУАЗО-2), который должен был работать сопряжено с только что появившимися наземными радиолокационными станциями «Пегматит». С помощью этих приборов, первая партия которых вышла в начале 1944 г., зенитные батареи успешно отбивали налеты фашистской авиации. Основные разработчики устройства «ВЭПУАЗО-2» были удостоены звания лауреатов Государственной премии СССР, в том числе А.П. Морозов, В.А. Соломенцев и Л.В. Голубев вторично.</w:t>
      </w:r>
    </w:p>
    <w:p w14:paraId="0B67AE5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возвращения в Москву часть сотрудников института, по указанию главка, временно переходит на соседний завод, чтобы оказать помощь при освоении серийного выпуска приборов, совместно разработанных институтом и заводом. Здесь они работали до конца 1945 года. На этом же заводе группа инженеров института в составе З.М. Цециора, Н.В. Мариничева и К.Ф. Комарова разработала и внедрила в производство автономную силовую гироскопическую стабилизацию корабельного теплопеленгатора «Солнце», созданного под руководством Н.Д. Смирнова.</w:t>
      </w:r>
    </w:p>
    <w:p w14:paraId="2397B1D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институте ведется разработка устройств полной стабилизации и синхронно-следящих приводов для корабельных теплопеленгаторов. Полностью завершается работа по стабилизации специального зенитного теплопеленгатора «Уран» для крейсеров, создано также устройство «Юкон» для стабилизации 37-мм спаренных зенитных орудий для крейсеров. Часть сотрудников, по мере необходимости, выезжает на корабли для ремонта и восстановления гироскопических приборов, поврежденных при бомбежках. Под руководством А.И. Боброва и Е.В. Ковалева разрабатывается новый более совершенный вариант импульсно-акустического альтиметра БК для «слепой» посадки самолетов и выдерживания высоты полета самолета при прицельном торпедометании. Под руководством В.Б. Кнунянца продолжается прерванная эвакуацией работа по созданию навигационного устройства «Окунь». Первая кабельная трасса «Окунь» была проложена в 1943 г. при входе в бухту г. Владивостока, по ней проводились суда типа «Либерти» с оборудованием и вооружением из США. В этом же году сразу после освобождения Одессы трасса «Окунь» была проложена для прохода в минных полях. Такие же трассы были проложены в г. Мурманске и Белом море. Все эти работы проводились под руководством А.И. Бурмистрова.</w:t>
      </w:r>
    </w:p>
    <w:p w14:paraId="0D8D8EF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 руководством В.С. Григорьева в 1943 г. создаётся и поставляется оборудование для плавучей лаборатории гидрографических измерений на крейсер «Красный вымпел» Тихоокеанского флота. В этом же году под руководством Ф.Н. Малахова создается аппаратура «Рита» для автоматического подрыва бросаемых с эскадренных миноносцев торпед при их прохождении под днищем атакуемого корабля.</w:t>
      </w:r>
    </w:p>
    <w:p w14:paraId="0AB1A29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лаборатории Н.Д. Смирнова разрабатывается усовершенствованный вариант теплопеленгатора БТП. С несколькими такими теплоблоками на Северный фронт выезжал А.П. Корейко. Он установил БТП вдоль береговой линии у г. Мурманска, успешно обслуживал их до конца войны. Ни один вражеский корабль не смог проникнуть к берегам и войти в Белое море. БТП давали точные пеленги и расстояние для береговых батарей. С их помощью было уничтожено 26 кораблей противника.</w:t>
      </w:r>
    </w:p>
    <w:p w14:paraId="5BB7826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Учитывая успех этого теплопеленгатора, лаборатория под руководством Н.Д. Смирнова создает еще более совершенный теплопеленгатор «Тигр» – легкий аппарат, который устанавливался и обслуживался одним человеком и нашел широкое применение в прифронтовой полосе и пограничных регионах.</w:t>
      </w:r>
    </w:p>
    <w:p w14:paraId="2A12737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время войны для снабжения партизанских отрядов вооружением и боеприпасами использовались деревянные планеры, буксируемые самолетом. Буксировка осложнялась тем, что днем случались обстрелы зенитной артиллерией противника, а ночью – пилот планера в облаках не видел самолета-буксировщика. Результат – частые аварии. Лаборатория Н.Д. Смирнова разработала аппаратуру электромагнитной связи между самолетом и планером. С ее применением аварии из-за плохой погоды прекратились.</w:t>
      </w:r>
    </w:p>
    <w:p w14:paraId="20E3C7F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 руководством В.Д. Калмыкова был разработан командирский специальный компас, который позволял ориентироваться на местности, визировать и пеленговать ориентиры, определять время днем и ночью. Таких компасов было изготовлено более 300 штук.</w:t>
      </w:r>
    </w:p>
    <w:p w14:paraId="5D7A0EC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производстве был продолжен выпуск больших партий оптических телефонов ОТД-200, деталей для ракет «Катюша», корпусов и деталей для гранат и деталей к стрелковому оружию «ППШ», усовершенствованной аппаратуры «Малютка».</w:t>
      </w:r>
    </w:p>
    <w:p w14:paraId="2E95411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во всех подразделениях института шла под девизом «Все для фронта, все для победы!». Ведется поиск новых средств вооружения, разрабатывается целый ряд заказов, создается и выпускается в большом количестве разновидность радиофугаса под шифром «Река», предназначенного для партизанских отрядов. Для них же создается крупная серия взрывных устройств «Сюрприз», закладываемых партизанами в столы, сейфы, автомобили противника.</w:t>
      </w:r>
    </w:p>
    <w:p w14:paraId="2EEF82B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 руководством К.В. Байдуна была создана аппаратура управления стрельбой орудиями главного калибра на крейсерах с учетом так называемых всплесков взрывов снарядов при недолетах. Эта аппаратура сопрягалась и с большими оптическими дальномерами.</w:t>
      </w:r>
    </w:p>
    <w:p w14:paraId="3576CBD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Н.Д. Смирновым и В.Т. Родионовым продолжается разработка и создается ряд новейших по схеме и конструкции теплопеленаторов. В их числе теплообнаружитель «Прицел» для обнаружения танков ночью и в тумане, миниатюрный теплоприцел «Шмель» для авиационных пулеметов, чувствительный теплообнаружитель «Леопард» для просмотра ущелий, заливов и рек.</w:t>
      </w:r>
    </w:p>
    <w:p w14:paraId="2977191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это же время изыскиваются возможности для создания средств обнаружения самолетов в любое время суток и при любой погоде. Анализируется опыт Ф.В. Лукина по обнаружению кораблей на море с самолета и опыты В.А. Кузовкина и В.И. Ярошенко по применению частотно-модулированных волн дециметрового диапазона для обнаружения самолетов. Начинает приходить информация о применении радиосредств для обеспечения защиты Лондона от налетов немецкой авиации. Эти средства там называли радарами-радиолокаторами.</w:t>
      </w:r>
    </w:p>
    <w:p w14:paraId="590AC90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Накануне войны численность института составляла приблизительно 2 000 человек. В послевоенные годы, в связи с постоянно растущими объемами работ, она стала быстро увеличиваться. На базе лабораторий № 2, 3, 4, 6 стали создаваться отделы. На основе лаборатории № 3 еще в 1944 г. был образован отдел № 3. Его возглавил К.В. Байдун. В дальнейшем начальником отдела № 3, а позже НИО-3, становились А.С. Гринштейн, Ф.В. Лукин, И.А. Игнатьев, В.И. Ярошенко, В.Ф. Измайлов, Н.С. Щербаков, Л.Б. Масленников. Отдел № 3 был самым крупным в институте, его численность в отдельные годы доходила до 700 человек.</w:t>
      </w:r>
    </w:p>
    <w:p w14:paraId="0DCF999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1946 г. создается отдел № 4, состоящий из четырех лабораторий, начальником которого назначается А.И. Бобров, в дальнейшем эту должность занимали В.А. Кузовкин, С.А. Ноздрин, И.А. Коновалов, А.И. Бурмистров, В.А. Егоров.</w:t>
      </w:r>
    </w:p>
    <w:p w14:paraId="7044139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том же 1946 г. лаборатория № 6 реорганизуется в отдел № 6 с несколькими лабораториями, в том числе с лабораториями по вакуумным устройствам. Начальником отдела № 6 назначается Н.Д. Смирнов, позже отделом № 6 руководил Д.П. Павлов и после прихода в институт большой группы сотрудников из НИИ “Вымпел” – И.Н. Амиантов, затем Д.Я. Ковалевский.</w:t>
      </w:r>
    </w:p>
    <w:p w14:paraId="7EB06A9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1947 г. из лаборатории № 2 образован отдел № 2, который возглавил В.И. Кузнецов (впоследствии академик, дважды Герой Социалистического труда). В 1953 г. на базе отдела № 2 создается внутри института СКБ под руководством В.И. Кузнецова, а в 1956 г. он с группой сотрудников (приблизительно 350 человек), занимавшихся разработкой гироскопических приборов, переходит в другой, только что созданный институт прикладной механики. Начальником отдела № 2 становится В.П. Антонов, затем Б.П. Капелин, М.С. Орышак, А.С. Миронов, С.А. Климов.</w:t>
      </w:r>
    </w:p>
    <w:p w14:paraId="50F6CC1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1961 г. в связи с развитием работ по ударному противокорабельному оружию был создан отдел № 7 по разработкам методов управления крылатыми ракетами и автопилотам. Его начальником был назначен В.Е. Краснов, позднее эту должность занимали Ю.И. Бородин и С.Е. Ермолаев.</w:t>
      </w:r>
    </w:p>
    <w:p w14:paraId="2700A47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Расширение объема работ, углубление специализации привели к необходимости создания отраслевых научно-исследовательских отделов. Собранные из разных отделов специалисты родственных направлений техники могли более эффективно использоваться в отраслевой структуре за счет перераспределения работ, обмена накопленного опыта и широкой унификации принимаемых решений.</w:t>
      </w:r>
    </w:p>
    <w:p w14:paraId="5EB12FDB"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 в 1963 г. появился первый отраслевой отдел антенно-фидерных устройств (отдел № 12). Его начальником был назначен В.И. Пейсиков, позднее отделом руководили С.А. Казбеков, Ф.И. Тезиков, Е.А. Титов, Ф.И. Емельченков, В.А. Балагуровский.</w:t>
      </w:r>
    </w:p>
    <w:p w14:paraId="4E85D63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1966 г. образован отдел № 14 – отдел источников питания. Руководила отделом Ф.П. Афонина, в дальнейшем – К.Г. Агапов, В.С. Бобрышев, Г.Е. Воеводин, В.Н. Панфилов. В 1969 г. создается отдел № 15 – отдел счетно-решающих устройств. Начальником отдела был назначен Н.С. Щербаков, позднее отделом руководили С.М. Соколов, В.П. Холопов, С.А. Гвоздев, В.П. Стручков.</w:t>
      </w:r>
    </w:p>
    <w:p w14:paraId="7F78379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институте установилась определенная технология прохождения заказов. Основными ее этапами являлись эскизный и технический проекты, на стадии которых изготовлялись и проверялись отдельные приборы и устройства. Оба этапа сдавались заказчику.</w:t>
      </w:r>
    </w:p>
    <w:p w14:paraId="41F9E23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основе технического проекта с учетом замечаний и предложений составлялись технические задания на рабочие чертежи конструкторскому отделу. Общие виды конструкторских чертежей также предъявлялись заказчику, и после внесения исправлений шли в опытное производство (ОП).</w:t>
      </w:r>
    </w:p>
    <w:p w14:paraId="2A674426"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Опытные образцы приборов поступали в лаборатории на проверку и регулировку, затем вся аппаратура устанавливалась на стенде, где проводились стендовые испытания. Такая технология позволяла предъявлять аппаратуру на внешние испытания в реальных условиях, что сокращало сроки разработки, давало качественный эффект на последнем этапе – государственных испытаниях.</w:t>
      </w:r>
    </w:p>
    <w:p w14:paraId="56AE312E"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Наряду с созданием радиолокационных станций в институте велись активные работы по разработке измерительной и контрольной аппаратуры. Была создана серия измерительных приборов, основные разработчики которой Г.Г. Гинкин, Е.В. Ковалев, Г.И. Келлер удостоены звания лауреатов Государственной премии СССР.</w:t>
      </w:r>
    </w:p>
    <w:p w14:paraId="73A1A79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институте активно ведется строительство новых корпусов. В 1950 г. заложен фундамент корпуса № 10, который был введен в эксплуатацию в 1953 г., построена проходная. В 1954 г. разбит сквер перед первым корпусом, открылась амбулатория, началось строительство научной испытательной базы на Большой Волге (НИБ “Большая Волга”). В 1957-1960 гг. построен корпус № 11, здание “Шатер”, надстроен пятый этаж корпуса № 10, позволивший существенно улучшить условия труда конструкторов. Значительно расширяется опытное производство, функционируют 15 цехов, позже были созданы цеха по механообработке в Феодосии (цех № 15) и на НИБ “Большая Волга” (цех № 12).</w:t>
      </w:r>
    </w:p>
    <w:p w14:paraId="1BA6818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1957 г. институт начинает оснащаться электронными вычислительными машинами, создается вычислительный центр.</w:t>
      </w:r>
    </w:p>
    <w:p w14:paraId="5DC3EAB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проведения испытаний приобретается самоходная баржа «Торпедо», которая переоборудуется под лабораторно-экспедиционное судно.</w:t>
      </w:r>
    </w:p>
    <w:p w14:paraId="400F493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Щелковском районе была построена складская база «Шевелкино».</w:t>
      </w:r>
    </w:p>
    <w:p w14:paraId="25779BD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Одновременно с развитием технической и производственной базы институт много внимания уделял социальной сфере, заботе о сотрудниках.</w:t>
      </w:r>
    </w:p>
    <w:p w14:paraId="78A1718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1946 г. закладывается фундамент первого жилого дома в Перовом Поле, где затем строится еще три дома. На поле, отведенном институту в 1939 г. на 30-м километре Горьковского шоссе для проведения испытаний аппаратуры, в 1947 г. по инициативе С.А. Андреева начинается строительство пионерского лагеря «Дружба». В 1954 г. построен стадион «Авангард», в 1956 г. введен в эксплуатацию летний детский сад в поселке «Быково».</w:t>
      </w:r>
    </w:p>
    <w:p w14:paraId="648DF2C8"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50-м годам значительно повысился научный уровень разработок института. Расчеты надежности, точности, прочности, эффективности систем и приборов стали обязательными. При увеличивающейся сложности систем упрощалось их обслуживание и тем самым сокращалось число операторов, что достигалось за счет повышения уровня автоматизации. Большое внимание уделялось снижению массы и габаритов аппаратуры путем совершенствования конструкций и миниатюризации применяемых элементов и их унификации.</w:t>
      </w:r>
    </w:p>
    <w:p w14:paraId="34A7C44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1953 г. директором института назначается Михаил Павлович Петелин. С его именем связано наиболее поступательное развитие и становление НИИ-10, как важнейшего головного института страны по радиолокационному вооружению и радиолокационным системам управления ракетным оружием кораблей ВМФ.</w:t>
      </w:r>
    </w:p>
    <w:p w14:paraId="2322185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вузов Ленинграда, Горького, Киева, Харькова и других городов страны в НИИ-10 были направлены молодые специалисты. Для их размещения в корпусе № 9, где сегодня находится медпункт, было организовано общежитие. Там поселили более 80 юношей и девушек. Многие из них впоследствии стали ведущими специалистами, руководителями отделов и лабораторий, главными конструкторами, кандидатами технических наук. В их числе Г.Н. Волгин, В.А. Алешин, А.Г. Стронин, С.А. Казбеков, А.М. Скоробогачев, А.А. Перуанский, В.И. Преснецов, Н.В. Расторопов, С.Н. Гай и др. Развертывание работ по ракетному оружию потребовало несколько изменить тематическую направленность института, разгрузить его от ряда тематических направлений. Гироскопия, как уже говорилось ранее, была передана в институт прикладной механики; радиоразведка и радиопротиводействие во вновь организованный институт связи в г. Таганроге; системы управления корабельной артиллерией – в КБ «Аметист» при заводе «Топаз». Позднее разработка обзорных корабельных РЛС передана в ОКБ завода «Салют». Из института также было выделено направление по координации формирования состава радиоэлектронного вооружения кораблей ВМФ во вновь организованный ЦНИИ «Курс» в Москве.</w:t>
      </w:r>
    </w:p>
    <w:p w14:paraId="6E0D543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1956 г. институт передан в ведение Министерства радиопромышленности. Для успешного проведения испытаний дирекцией было принято решение построить базы в непосредственной близости от районов испытаний, что позволило бы существенно снизить сроки их проведения и обеспечить нормальными жилищными условиями испытательные бригады. Такие базы были созданы. В 1969 г. в г. Феодосии на берегу моря построена научная база «Ай-Петри». Помимо комфортабельной гостиницы был возведен административный корпус, где разместились универсальные ЭВМ, на которых проходила обработка данных испытаний комплексов на Черноморском полигоне, в нескольких километрах от него располагался комплексный стенд и цех № 15. В 1973 г. в г. Севастополе построена производственная база ПБ «Утес», в которой размещались сдаточные бригады, обслуживающие аппаратуру института, установленную на кораблях. В г. Североморске в 1984 г. для этих же целей создана производственная база СИБ «Скала». Таким образом, институт к концу 70-х годов располагал пятью базами, включая НИБ «Большая Волга».</w:t>
      </w:r>
    </w:p>
    <w:p w14:paraId="1064B72C"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1963 г. за большие заслуги в деле создания и производства новых типов ракетного вооружения, а также строительства надводных кораблей, оснащенных этим оружием, и перевооружением кораблей ВМФ, институт был награжден орденом Трудового Красного Знамени, а большая группа его сотрудников – орденами и медалями СССР.</w:t>
      </w:r>
    </w:p>
    <w:p w14:paraId="02D3C9C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1967 г. постановлением ЦК КПСС и СМ СССР институт вновь передан в ведение Министерства судостроительной промышленности СССР и стал называться Всесоюзным научно-исследовательским институтом радиоэлектроники (ВНИИРЭ). 20 сентября 1972 г. приказом Министра судостроительной промышленности институту присвоено наименование Всесоюзный научно-исследовательский институт «Альтаир». К этому времени на корабли ВМФ были поставлены серийно изготовленные ЗРК «Волна», «Шторм», системы управления ударным оружием П-35, «Малахит», управляемые ракетные противолодочные комплексы «Метель», «Муссон», системы обработки радиолокационной информации и целеуказания МРО-400 и МРО-500. Институт приступил к разработке многоканальных зенитных ракетных комплексов «Штиль», «С-300Ф», «Клинок» и РЛСУ «Каштан», обеспечивающих многорубежную противовоздушную оборону кораблей ВМФ. Одновременно новые задачи были поставлены перед разработчиками ударного ракетного оружия – создать сверхзвуковые, низколетящие противокорабельные ракеты, способные прорвать мощную эшелонированную оборону корабельных соединений противника и уничтожить основную ударную силу – авианосцы ВМС США. Эта задача была решена в комплексах «Прогресс» и «Малахит».</w:t>
      </w:r>
    </w:p>
    <w:p w14:paraId="11EFE8DA"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Самоотверженный труд сотрудников института в создании новейших зенитных ракетных комплексов и систем управления ударным ракетным оружием завершился принятием на вооружение ЗРК «Штиль» (1983 г.), ЗРК С-300Ф (1984 г.), позднее ЗРАК «Каштан» (1988 г.), ЗРК «Клинок» (1989 г.), а также комплексов ударного оружия «Прогресс» (1982 г.) и «Москит-Е» (1984 г.).</w:t>
      </w:r>
    </w:p>
    <w:p w14:paraId="3BC4B0B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1989 г. ВНИИ «Альтаир» с вновь строящимся заводом в г. Новодвинске Архангельской области преобразован в НПО «Альтаир», а в 1992 г. НПО получило название Государственное научно-производственное объединение «Альтаир», позже, в 2001 г. – Федеральное государственное унитарное предприятие (ФГУП «НПО «Альтаир»).</w:t>
      </w:r>
    </w:p>
    <w:p w14:paraId="03BC2BD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в течение истекших десятилетий институт выполнил и внедрил в серийное производство более 200 ОКР, принятых на вооружение ВМФ. Шесть разработок удостоены Ленинской премии, свыше 30 – Государственной премии СССР, две – премии Правительства РФ. Наиболее выдающиеся представители института – создатели вооружения флота удостоены почетных званий: три – Героя Социалистического труда (В.И. Ярошенко, Л.Е. Хазанов, В.Н. Малахов); 14 – лауреатов Ленинской премии (из них И.А. Игнатьев, В.А. Букатов, Е.А. Титов – Ленинской и Государственной премий); 10 – дважды лауреатов Государственной премии (в том числе Г.Н. Волгин, В.Т. Родионов, В.А. Кузовкин и др.); 70 – лауреат Государственной премии СССР; свыше 1 100 сотрудников награждены орденами и медалями.</w:t>
      </w:r>
    </w:p>
    <w:p w14:paraId="64EA4B9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2003 г. ФГУП «НПО «Альтаир» акционировалось и вошло в концерн «ПВО «Алмаз-Антей» и теперь называется ОАО «Морской научно-исследовательский институт радиоэлектроники «Альтаир» (ОАО «МНИИРЭ «Альтаир»). В настоящее время «Альтаир» располагает квалифицированными научными и инженерными кадрами, опытным производством, хорошо оборудованными лабораториями, научно-испытательной базой «Большая Волга», имеет хорошие экспортные возможности и способен разрабатывать новые виды вооружения, отвечающие самым современным требованиям (11670).</w:t>
      </w:r>
    </w:p>
    <w:p w14:paraId="0B61D491"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43247ED1" w14:textId="77777777" w:rsidR="008A5189" w:rsidRPr="00C33834" w:rsidRDefault="008A5189" w:rsidP="00C33834">
      <w:pPr>
        <w:pStyle w:val="ae"/>
        <w:spacing w:before="0" w:after="0"/>
        <w:jc w:val="both"/>
        <w:rPr>
          <w:color w:val="000000" w:themeColor="text1"/>
          <w:sz w:val="16"/>
          <w:szCs w:val="16"/>
        </w:rPr>
      </w:pPr>
      <w:r w:rsidRPr="00C33834">
        <w:rPr>
          <w:color w:val="000000" w:themeColor="text1"/>
          <w:sz w:val="16"/>
          <w:szCs w:val="16"/>
        </w:rPr>
        <w:t>23 октября 1933 г. приказом Наркома тяжелой промышленности СССР Серго Орджоникидзе был создан Всесоюзный государственный институт телемеханики и связи (ВГИТИС) (днем основания института считается день назначения директора института - Федора Федоровича Сучкова). Базой для создания ВГИТИС послужила ЦЛПС, которая после переезда основного института в Москву стала его Ленинградским филиалом. Я.И. Эфрусси в своих воспоминаниях так оценил эти работы: «Работа над комплексами А.Ф. Шорина и В.И. Бекаури, как понял я позже, послужила мощным импульсом для развития ряда отраслей науки в нашей стране, способствовала созданию новых видов производства, разработки не существовавших ранее приборов радиотехники и телемеханики. Многое из разработанного для аппаратуры радиотелеуправления нашло применение в проектах ГИРДа – как известно, одно передовое направление в технике неизменно обогащает другое» (15736).</w:t>
      </w:r>
    </w:p>
    <w:p w14:paraId="6A21DDFB" w14:textId="77777777" w:rsidR="008A5189" w:rsidRPr="00C33834" w:rsidRDefault="008A5189" w:rsidP="00C33834">
      <w:pPr>
        <w:pStyle w:val="ae"/>
        <w:spacing w:before="0" w:after="0"/>
        <w:jc w:val="both"/>
        <w:rPr>
          <w:color w:val="000000" w:themeColor="text1"/>
          <w:sz w:val="16"/>
          <w:szCs w:val="16"/>
        </w:rPr>
      </w:pPr>
    </w:p>
    <w:p w14:paraId="304DE005" w14:textId="77777777" w:rsidR="008A5189" w:rsidRPr="00C33834" w:rsidRDefault="008A5189" w:rsidP="00C33834">
      <w:pPr>
        <w:spacing w:after="0" w:line="240" w:lineRule="auto"/>
        <w:jc w:val="both"/>
        <w:rPr>
          <w:rFonts w:ascii="Times New Roman" w:hAnsi="Times New Roman"/>
          <w:color w:val="000000" w:themeColor="text1"/>
          <w:sz w:val="16"/>
          <w:szCs w:val="16"/>
        </w:rPr>
      </w:pPr>
      <w:r w:rsidRPr="00C33834">
        <w:rPr>
          <w:rStyle w:val="ucoz-forum-post"/>
          <w:rFonts w:ascii="Times New Roman" w:eastAsiaTheme="majorEastAsia" w:hAnsi="Times New Roman"/>
          <w:bCs/>
          <w:color w:val="000000" w:themeColor="text1"/>
          <w:sz w:val="16"/>
          <w:szCs w:val="16"/>
        </w:rPr>
        <w:t xml:space="preserve">23 октября </w:t>
      </w:r>
      <w:r w:rsidRPr="00C33834">
        <w:rPr>
          <w:rFonts w:ascii="Times New Roman" w:hAnsi="Times New Roman"/>
          <w:color w:val="000000" w:themeColor="text1"/>
          <w:sz w:val="16"/>
          <w:szCs w:val="16"/>
        </w:rPr>
        <w:t xml:space="preserve">в 1933 году постановлением советского правительства был создан Всесоюзный институт телемеханики и связи (ВГИТИС). С 2002 г. ОАО "Морской научно-исследовательский институт радиоэлектроники "Альтаир" — ведущее предприятие России в области разработки зенитно-ракетного оружия и радиоэлектронного вооружения кораблей ВМФ. Основной задачей было создание новых образцов вооружений для Красной Армии и ВМФ. Первыми его разработками были системы с телемеханическим управлением наземными объектами, летательными аппаратами, теплопеленгаторы, приборы управления артиллерийской стрельбой. В 1942 году институт приступил к разработке радиолокационных систем. Первой была спроектирована радиолокационная станция (РЛС) управления огнем корабельной зенитной артиллерии дециметрового диапазона "Юпитер-1". Вслед за ней в короткие сроки были разработаны "Юпитер-2" (наводка орудий главного и универсального калибра эсминца) и радиолокатор "Марс-3" (наводка орудий береговых батарей). Одновременно со стрельбовыми создаются обзорные общекорабельные РЛС. Первой такой станцией была РЛС "Риф", для малых кораблей, торпедных катеров и тральщиков была разработана РЛС "Зарница", а позже - обзорная РЛС "Ангара", первая в истории института отмеченная Ленинской премией СССР. Развитие вычислительной техники и полупроводниковой элементной базы во второй половине 1950-х годов позволило начать оснащение РЛС системами автоматической обработки информации и целеуказания, что существенно повысило их пропускную способность и надежность в сложной помеховой обстановке. Первая такая система МРО-310А была разработана для РЛС "Ангара-А", затем были созданы системы автоматической обработки информации от РЛС "Восход" и РЛС "Ангара-А" "Байкал-С4" и система "Байкал-Ф". В 50-х годах в институте начались работы над ракетным оружием. Разработка его велась по двум направлениям - зенитного ракетного управляемого оружия (ЗУРО) для обороны кораблей ВМФ и систем управления противокорабельными ракетами (ПКР). За эти работы в 1962 году институт был награжден вторым орденом - Трудового Красного Знамени. Позже институтом были спроектированы многоканальные ЗРК "Штиль", "Риф" "Клинок", позволяющие отбивать атаки ПКР. За успехи в разработке и серийном освоении этих комплексов в 1984 году он был награжден вторым орденом Ленина </w:t>
      </w:r>
    </w:p>
    <w:p w14:paraId="3697E0A1" w14:textId="77777777" w:rsidR="008A5189" w:rsidRPr="00C33834" w:rsidRDefault="008A5189" w:rsidP="00C33834">
      <w:pPr>
        <w:spacing w:after="0" w:line="240" w:lineRule="auto"/>
        <w:jc w:val="both"/>
        <w:rPr>
          <w:rFonts w:ascii="Times New Roman" w:hAnsi="Times New Roman"/>
          <w:color w:val="000000" w:themeColor="text1"/>
          <w:sz w:val="16"/>
          <w:szCs w:val="16"/>
        </w:rPr>
      </w:pPr>
    </w:p>
    <w:p w14:paraId="7B915EE5" w14:textId="77777777" w:rsidR="00585A9A"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12F2724D" w14:textId="77777777" w:rsidR="00585A9A" w:rsidRPr="00C33834" w:rsidRDefault="00585A9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A17B83B" w14:textId="77777777" w:rsidR="00585A9A" w:rsidRPr="00C33834" w:rsidRDefault="00585A9A" w:rsidP="00C33834">
      <w:pPr>
        <w:pStyle w:val="rtejustify"/>
        <w:spacing w:before="0" w:after="0"/>
        <w:rPr>
          <w:color w:val="000000" w:themeColor="text1"/>
          <w:sz w:val="16"/>
          <w:szCs w:val="16"/>
        </w:rPr>
      </w:pPr>
      <w:r w:rsidRPr="00C33834">
        <w:rPr>
          <w:color w:val="000000" w:themeColor="text1"/>
          <w:sz w:val="16"/>
          <w:szCs w:val="16"/>
        </w:rPr>
        <w:t xml:space="preserve">23 октября 1933 г. посол Франции в СССР в беседе с наркомом иностранных дел Литвиновым вновь поставил вопрос о визите Тухачевского во Францию. Литвинов ответил, что «вопрос у нас не обсуждался», и он даже не знает получил ли Тухачевский приглашение от кого-либо. 30 ноября 1933 г. советник посольства Франции передал члену коллегии НКИД Б.С.Стомонякову памятную записку французского посольства, в которой подтверждалось приглашение Тухачевскому и советским летчикам прибыть во Францию с визитом в ответ на визит Кота (ДВП. Т. XVI. С. 555, 859–860). 10 декабря 1933 г. ПБ приняло предложение Кота о посылке советских командиров в школы французской авиации для совершенствования и наметило состав командируемых. Послу во Франции В.СДовгалевскому было поручено сообщить французской стороне о намерении послать весной 1934 г. эскадрилью самолетов в Париж в ответ на визит Кота (РГАСПИ. Ф. 17. Оп. 162. Д. 15. Л. 152). </w:t>
      </w:r>
      <w:r w:rsidRPr="00C33834">
        <w:rPr>
          <w:color w:val="000000" w:themeColor="text1"/>
          <w:sz w:val="16"/>
          <w:szCs w:val="16"/>
        </w:rPr>
        <w:lastRenderedPageBreak/>
        <w:t>Визит советской авиационной делегации во главе с начальником Главного управления гражданского/Воздушного флота Уншлихтом состоялся в августе 1934 г. (ДВП. Т. XVII. М. 1971. С. 811).</w:t>
      </w:r>
    </w:p>
    <w:p w14:paraId="7B039B7A"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Архив: РГАСПИ Ф. 558. Оп. 11. Д. 81. Л. 24. Заверенная машинописная копия; Ф. 81. Оп. 3. Д. 101. Л. 26. Машинописный текст с пометами Кагановича. </w:t>
      </w:r>
    </w:p>
    <w:p w14:paraId="547094D3"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Сталин и Каганович. Переписка. 1931–1936 гг. Москва: (РОССПЭН), 2001 Стр. 351-352 (12310).</w:t>
      </w:r>
    </w:p>
    <w:p w14:paraId="7E0A4614" w14:textId="77777777" w:rsidR="00585A9A" w:rsidRPr="00C33834" w:rsidRDefault="00585A9A" w:rsidP="00C33834">
      <w:pPr>
        <w:spacing w:after="0" w:line="240" w:lineRule="auto"/>
        <w:jc w:val="both"/>
        <w:rPr>
          <w:rFonts w:ascii="Times New Roman" w:hAnsi="Times New Roman"/>
          <w:color w:val="000000" w:themeColor="text1"/>
          <w:sz w:val="16"/>
          <w:szCs w:val="16"/>
          <w:u w:color="002060"/>
        </w:rPr>
      </w:pPr>
    </w:p>
    <w:p w14:paraId="04217C90" w14:textId="77777777" w:rsidR="00FE0782" w:rsidRPr="00C33834" w:rsidRDefault="00FE078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23 октября 1933</w:t>
      </w:r>
    </w:p>
    <w:p w14:paraId="13B45357" w14:textId="77777777" w:rsidR="00FE0782" w:rsidRPr="00C33834" w:rsidRDefault="00FE078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Меморандум посольства КР в СССР о порядке импорта в Китай самолетов, радиоаппаратуры и других материалов, которые могут быть использованы в военных целях, о неправомочности провинциальных властей Китая заключать с иностранными государствами договоры и соглашения об использовании национальной собственности страны (леса, копи и т.д.)</w:t>
      </w:r>
    </w:p>
    <w:p w14:paraId="07EDFED6" w14:textId="77777777" w:rsidR="00FE0782" w:rsidRPr="00C33834" w:rsidRDefault="00FE078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Китайское посольство свидетельствует свое почтение Народному комиссариату по иностранным делам Союза Советских Социалистических Республик и, ссылаясь на свой меморандум от 14 октября 1933 г. ", имеет честь заявить, что упомянутые в последнем оружие и снаряжение, конечно, и естественно, включают также самолеты всех типов, радиоаппаратуру и все другие материалы, которые могут быть использованы в военных целях.</w:t>
      </w:r>
    </w:p>
    <w:p w14:paraId="5055FD21" w14:textId="77777777" w:rsidR="00FE0782" w:rsidRPr="00C33834" w:rsidRDefault="00FE078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Китайское посольство имеет честь также сообщить Народному комиссариату по иностранным делам, что правительство Китайской Республики неоднократно формально извещало правительства тех стран, с которыми Республика имеет договорные отношения, что без предварительного осведомления и согласия китайского правительства никакие провинциальные или местные власти не имеют прав использовать национальную собственность, как то: копи, леса и т.д. как обеспечение иностранных займов или в качестве платежа за товары, купленные за границей; тем меньшим правом они обладают для заклада и продажи их какому-нибудь иностранному государству или лицу.</w:t>
      </w:r>
    </w:p>
    <w:p w14:paraId="0DDCCD55" w14:textId="77777777" w:rsidR="00FE0782" w:rsidRPr="00C33834" w:rsidRDefault="00FE078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Если же в противовес этому подобного рода соглашения оказались заключенными местными властями, эти соглашения будут признаны не имеющими никакого значения и силы.</w:t>
      </w:r>
    </w:p>
    <w:p w14:paraId="6ABDF065" w14:textId="77777777" w:rsidR="00FE0782" w:rsidRPr="00C33834" w:rsidRDefault="00FE078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АВП</w:t>
      </w:r>
      <w:r w:rsidRPr="00C33834">
        <w:rPr>
          <w:rFonts w:ascii="Times New Roman" w:hAnsi="Times New Roman"/>
          <w:color w:val="0070C0"/>
          <w:sz w:val="16"/>
          <w:szCs w:val="16"/>
          <w:lang w:val="en-US"/>
        </w:rPr>
        <w:t xml:space="preserve"> </w:t>
      </w:r>
      <w:r w:rsidRPr="00C33834">
        <w:rPr>
          <w:rFonts w:ascii="Times New Roman" w:hAnsi="Times New Roman"/>
          <w:color w:val="0070C0"/>
          <w:sz w:val="16"/>
          <w:szCs w:val="16"/>
        </w:rPr>
        <w:t>РФ</w:t>
      </w:r>
      <w:r w:rsidRPr="00C33834">
        <w:rPr>
          <w:rFonts w:ascii="Times New Roman" w:hAnsi="Times New Roman"/>
          <w:color w:val="0070C0"/>
          <w:sz w:val="16"/>
          <w:szCs w:val="16"/>
          <w:lang w:val="en-US"/>
        </w:rPr>
        <w:t xml:space="preserve">. </w:t>
      </w:r>
      <w:r w:rsidRPr="00C33834">
        <w:rPr>
          <w:rFonts w:ascii="Times New Roman" w:hAnsi="Times New Roman"/>
          <w:color w:val="0070C0"/>
          <w:sz w:val="16"/>
          <w:szCs w:val="16"/>
        </w:rPr>
        <w:t>Ф</w:t>
      </w:r>
      <w:r w:rsidRPr="00C33834">
        <w:rPr>
          <w:rFonts w:ascii="Times New Roman" w:hAnsi="Times New Roman"/>
          <w:color w:val="0070C0"/>
          <w:sz w:val="16"/>
          <w:szCs w:val="16"/>
          <w:lang w:val="en-US"/>
        </w:rPr>
        <w:t xml:space="preserve">. 100. On. 17. </w:t>
      </w:r>
      <w:r w:rsidRPr="00C33834">
        <w:rPr>
          <w:rFonts w:ascii="Times New Roman" w:hAnsi="Times New Roman"/>
          <w:color w:val="0070C0"/>
          <w:sz w:val="16"/>
          <w:szCs w:val="16"/>
        </w:rPr>
        <w:t>П</w:t>
      </w:r>
      <w:r w:rsidRPr="00C33834">
        <w:rPr>
          <w:rFonts w:ascii="Times New Roman" w:hAnsi="Times New Roman"/>
          <w:color w:val="0070C0"/>
          <w:sz w:val="16"/>
          <w:szCs w:val="16"/>
          <w:lang w:val="en-US"/>
        </w:rPr>
        <w:t xml:space="preserve">. 32. </w:t>
      </w:r>
      <w:r w:rsidRPr="00C33834">
        <w:rPr>
          <w:rFonts w:ascii="Times New Roman" w:hAnsi="Times New Roman"/>
          <w:color w:val="0070C0"/>
          <w:sz w:val="16"/>
          <w:szCs w:val="16"/>
        </w:rPr>
        <w:t>Д</w:t>
      </w:r>
      <w:r w:rsidRPr="00C33834">
        <w:rPr>
          <w:rFonts w:ascii="Times New Roman" w:hAnsi="Times New Roman"/>
          <w:color w:val="0070C0"/>
          <w:sz w:val="16"/>
          <w:szCs w:val="16"/>
          <w:lang w:val="en-US"/>
        </w:rPr>
        <w:t xml:space="preserve">. 12. </w:t>
      </w:r>
      <w:r w:rsidRPr="00C33834">
        <w:rPr>
          <w:rFonts w:ascii="Times New Roman" w:hAnsi="Times New Roman"/>
          <w:color w:val="0070C0"/>
          <w:sz w:val="16"/>
          <w:szCs w:val="16"/>
        </w:rPr>
        <w:t>Л. 89. Копия. Машинописный экз. Перевод с англ. (20871).</w:t>
      </w:r>
    </w:p>
    <w:p w14:paraId="13BC4D94" w14:textId="77777777" w:rsidR="00FE0782" w:rsidRPr="00C33834" w:rsidRDefault="00FE0782" w:rsidP="00C33834">
      <w:pPr>
        <w:spacing w:after="0" w:line="240" w:lineRule="auto"/>
        <w:jc w:val="both"/>
        <w:rPr>
          <w:rFonts w:ascii="Times New Roman" w:hAnsi="Times New Roman"/>
          <w:color w:val="0070C0"/>
          <w:sz w:val="16"/>
          <w:szCs w:val="16"/>
        </w:rPr>
      </w:pPr>
    </w:p>
    <w:p w14:paraId="6B2F6EE4"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15BE03F6"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5AAB3D5"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23 октября 1933 Германия перестала быть членом Лиги наций (2100).</w:t>
      </w:r>
    </w:p>
    <w:p w14:paraId="70C1C672"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54E6FBF9" w14:textId="77777777" w:rsidR="001F72E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C5D6356" w14:textId="77777777" w:rsidR="001F72EB" w:rsidRPr="00C33834" w:rsidRDefault="001F72E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5B8B8F3"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октября 1933 года пятью серийными танками БТ-5 был совершен рекордный тысячекилометровый бе</w:t>
      </w:r>
      <w:r w:rsidRPr="00C33834">
        <w:rPr>
          <w:rFonts w:ascii="Times New Roman" w:hAnsi="Times New Roman"/>
          <w:color w:val="000000" w:themeColor="text1"/>
          <w:sz w:val="16"/>
          <w:szCs w:val="16"/>
        </w:rPr>
        <w:softHyphen/>
        <w:t>зостановочный пробег, совершенный по маршруту Харьков-Москва под руководством ди</w:t>
      </w:r>
      <w:r w:rsidRPr="00C33834">
        <w:rPr>
          <w:rFonts w:ascii="Times New Roman" w:hAnsi="Times New Roman"/>
          <w:color w:val="000000" w:themeColor="text1"/>
          <w:sz w:val="16"/>
          <w:szCs w:val="16"/>
        </w:rPr>
        <w:softHyphen/>
        <w:t>ректора завода Л.С.Владимирова.</w:t>
      </w:r>
    </w:p>
    <w:p w14:paraId="7A9C32E4"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экипажей танков, штатных испытателей и представителей КБ, в нем участвовали начальник производства С.Н.Махонин, инженеры Е.И.Юдин, И.Я. Помогайбо, старший военпред Ю.Л.Бакуревич... И эта всеобщая заинтересованность в судьбе машины лучше всяких слов гово</w:t>
      </w:r>
      <w:r w:rsidRPr="00C33834">
        <w:rPr>
          <w:rFonts w:ascii="Times New Roman" w:hAnsi="Times New Roman"/>
          <w:color w:val="000000" w:themeColor="text1"/>
          <w:sz w:val="16"/>
          <w:szCs w:val="16"/>
        </w:rPr>
        <w:softHyphen/>
        <w:t>рила о царившей здесь атмосфере.</w:t>
      </w:r>
    </w:p>
    <w:p w14:paraId="55595541"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Ворошилов, поручая начальнику УММ РККА Халепскому организа</w:t>
      </w:r>
      <w:r w:rsidRPr="00C33834">
        <w:rPr>
          <w:rFonts w:ascii="Times New Roman" w:hAnsi="Times New Roman"/>
          <w:color w:val="000000" w:themeColor="text1"/>
          <w:sz w:val="16"/>
          <w:szCs w:val="16"/>
        </w:rPr>
        <w:softHyphen/>
        <w:t>цию пробега, в присутствии его участников предупредил:</w:t>
      </w:r>
    </w:p>
    <w:p w14:paraId="5F28855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Вы должны провести свои танки так, чтобы не задеть ни одной кре</w:t>
      </w:r>
      <w:r w:rsidRPr="00C33834">
        <w:rPr>
          <w:rFonts w:ascii="Times New Roman" w:hAnsi="Times New Roman"/>
          <w:color w:val="000000" w:themeColor="text1"/>
          <w:sz w:val="16"/>
          <w:szCs w:val="16"/>
        </w:rPr>
        <w:softHyphen/>
        <w:t>стьянской подводы, чтобы в селениях ни единой курицы не задавить...</w:t>
      </w:r>
    </w:p>
    <w:p w14:paraId="3090359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пробег было отпущено всего 72 часа, а на его подготовку отводилось четыре дня.</w:t>
      </w:r>
    </w:p>
    <w:p w14:paraId="2763E926"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Выслушав рапорты о готовности экипажей и машин к пробегу, Вла</w:t>
      </w:r>
      <w:r w:rsidRPr="00C33834">
        <w:rPr>
          <w:rFonts w:ascii="Times New Roman" w:hAnsi="Times New Roman"/>
          <w:color w:val="000000" w:themeColor="text1"/>
          <w:sz w:val="16"/>
          <w:szCs w:val="16"/>
        </w:rPr>
        <w:softHyphen/>
        <w:t>димиров отдал последние приказания:</w:t>
      </w:r>
    </w:p>
    <w:p w14:paraId="3EF418B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Старт завтра в 6.00. Порядок движения: головная — моя машина, за мной — машина Кузнецова, третьей — машина Юдина, четвертой — ма</w:t>
      </w:r>
      <w:r w:rsidRPr="00C33834">
        <w:rPr>
          <w:rFonts w:ascii="Times New Roman" w:hAnsi="Times New Roman"/>
          <w:color w:val="000000" w:themeColor="text1"/>
          <w:sz w:val="16"/>
          <w:szCs w:val="16"/>
        </w:rPr>
        <w:softHyphen/>
        <w:t>шина Юрченко, замыкает колонну мой заместитель — вице-командор Бакуревич. Скорость движения регулирую я сам. Дистанция между ма</w:t>
      </w:r>
      <w:r w:rsidRPr="00C33834">
        <w:rPr>
          <w:rFonts w:ascii="Times New Roman" w:hAnsi="Times New Roman"/>
          <w:color w:val="000000" w:themeColor="text1"/>
          <w:sz w:val="16"/>
          <w:szCs w:val="16"/>
        </w:rPr>
        <w:softHyphen/>
        <w:t>шинами: при движении через населенный пункт — до 300 метров, вне населенных пунктов — до километра...</w:t>
      </w:r>
    </w:p>
    <w:p w14:paraId="356604DF"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 Москвой, у железнодорожного переезда через шоссе на окраи</w:t>
      </w:r>
      <w:r w:rsidRPr="00C33834">
        <w:rPr>
          <w:rFonts w:ascii="Times New Roman" w:hAnsi="Times New Roman"/>
          <w:color w:val="000000" w:themeColor="text1"/>
          <w:sz w:val="16"/>
          <w:szCs w:val="16"/>
        </w:rPr>
        <w:softHyphen/>
        <w:t>не маленького города, на техническом финише, участников пробега встре</w:t>
      </w:r>
      <w:r w:rsidRPr="00C33834">
        <w:rPr>
          <w:rFonts w:ascii="Times New Roman" w:hAnsi="Times New Roman"/>
          <w:color w:val="000000" w:themeColor="text1"/>
          <w:sz w:val="16"/>
          <w:szCs w:val="16"/>
        </w:rPr>
        <w:softHyphen/>
        <w:t>тил Халепский. Поздравив экипажи, он сел в свою большую машину и сам повел колонну к торжественному финишу в Москве.</w:t>
      </w:r>
    </w:p>
    <w:p w14:paraId="25D59C4E"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далекого южного города до стен Кремля танки БТ-5 прошли слож</w:t>
      </w:r>
      <w:r w:rsidRPr="00C33834">
        <w:rPr>
          <w:rFonts w:ascii="Times New Roman" w:hAnsi="Times New Roman"/>
          <w:color w:val="000000" w:themeColor="text1"/>
          <w:sz w:val="16"/>
          <w:szCs w:val="16"/>
        </w:rPr>
        <w:softHyphen/>
        <w:t>ное испытание. Тысяча километров осталась позади.</w:t>
      </w:r>
    </w:p>
    <w:p w14:paraId="0EDA2625"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Оценку работе Фирсова и КБ дал этот пробег, о котором в газете «Правда» от 20 ноября 1933 года, была помещена статья «Мужество».</w:t>
      </w:r>
    </w:p>
    <w:p w14:paraId="61F609B2"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Но на этом испытания танков БТ-5 в Москве не закончились. Они приняли участие в параде войск Московского гарнизона в день </w:t>
      </w:r>
      <w:r w:rsidRPr="00C33834">
        <w:rPr>
          <w:rFonts w:ascii="Times New Roman" w:hAnsi="Times New Roman"/>
          <w:color w:val="000000" w:themeColor="text1"/>
          <w:sz w:val="16"/>
          <w:szCs w:val="16"/>
          <w:lang w:val="en-US"/>
        </w:rPr>
        <w:t>XVI</w:t>
      </w:r>
      <w:r w:rsidRPr="00C33834">
        <w:rPr>
          <w:rFonts w:ascii="Times New Roman" w:hAnsi="Times New Roman"/>
          <w:color w:val="000000" w:themeColor="text1"/>
          <w:sz w:val="16"/>
          <w:szCs w:val="16"/>
        </w:rPr>
        <w:t xml:space="preserve"> Го</w:t>
      </w:r>
      <w:r w:rsidRPr="00C33834">
        <w:rPr>
          <w:rFonts w:ascii="Times New Roman" w:hAnsi="Times New Roman"/>
          <w:color w:val="000000" w:themeColor="text1"/>
          <w:sz w:val="16"/>
          <w:szCs w:val="16"/>
        </w:rPr>
        <w:softHyphen/>
        <w:t>довщины Октябрьской революции.</w:t>
      </w:r>
    </w:p>
    <w:p w14:paraId="36DECA9B"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РВС СССР за отличные успехи мехвойск РККА, продемонстрирован</w:t>
      </w:r>
      <w:r w:rsidRPr="00C33834">
        <w:rPr>
          <w:rFonts w:ascii="Times New Roman" w:hAnsi="Times New Roman"/>
          <w:color w:val="000000" w:themeColor="text1"/>
          <w:sz w:val="16"/>
          <w:szCs w:val="16"/>
        </w:rPr>
        <w:softHyphen/>
        <w:t>ные на параде войск Московского гарнизона механизированными частя</w:t>
      </w:r>
      <w:r w:rsidRPr="00C33834">
        <w:rPr>
          <w:rFonts w:ascii="Times New Roman" w:hAnsi="Times New Roman"/>
          <w:color w:val="000000" w:themeColor="text1"/>
          <w:sz w:val="16"/>
          <w:szCs w:val="16"/>
        </w:rPr>
        <w:softHyphen/>
        <w:t>ми в составе 415 боевых машин, значительные достижения личного со</w:t>
      </w:r>
      <w:r w:rsidRPr="00C33834">
        <w:rPr>
          <w:rFonts w:ascii="Times New Roman" w:hAnsi="Times New Roman"/>
          <w:color w:val="000000" w:themeColor="text1"/>
          <w:sz w:val="16"/>
          <w:szCs w:val="16"/>
        </w:rPr>
        <w:softHyphen/>
        <w:t>става в деле овладения высокой техникой и искусством вождения в массах боевых машин, помощнику начальника Управления механизации и мо</w:t>
      </w:r>
      <w:r w:rsidRPr="00C33834">
        <w:rPr>
          <w:rFonts w:ascii="Times New Roman" w:hAnsi="Times New Roman"/>
          <w:color w:val="000000" w:themeColor="text1"/>
          <w:sz w:val="16"/>
          <w:szCs w:val="16"/>
        </w:rPr>
        <w:softHyphen/>
        <w:t>тобоевых машин, помощнику начальника Управления механизации и моторизации РККА Г.Г.Бокису была объявлена благодарность. (Приказ РВС СССР №0129 от 11.Х1-1933 г.) (11504)</w:t>
      </w:r>
    </w:p>
    <w:p w14:paraId="1C0F6717" w14:textId="77777777" w:rsidR="001F72EB" w:rsidRPr="00C33834" w:rsidRDefault="001F72EB" w:rsidP="00C33834">
      <w:pPr>
        <w:shd w:val="clear" w:color="auto" w:fill="FFFFFF"/>
        <w:autoSpaceDE w:val="0"/>
        <w:autoSpaceDN w:val="0"/>
        <w:adjustRightInd w:val="0"/>
        <w:spacing w:after="0" w:line="240" w:lineRule="auto"/>
        <w:jc w:val="both"/>
        <w:rPr>
          <w:rFonts w:ascii="Times New Roman" w:hAnsi="Times New Roman"/>
          <w:bCs/>
          <w:color w:val="000000" w:themeColor="text1"/>
          <w:sz w:val="16"/>
          <w:szCs w:val="16"/>
        </w:rPr>
      </w:pPr>
    </w:p>
    <w:p w14:paraId="15F29B79"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24октября 1933 г. 1 час. Была направлена ТЕЛЕГРАММА ЭКУ ОГПУ ШАНИНУ из Харькова</w:t>
      </w:r>
    </w:p>
    <w:p w14:paraId="17433AB0"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22-го октября 21 час в Николаеве в корпусном цехе крытого эл­линга" завода "Марти", где находятся 11-12 подлодок, возник по­жар. Огонь, прорвавшийся из-под деревянного настила, быстро охватил значительную часть здания цеха, уничтожив часть штабелей лесов, электрическую проводку, электрообмотку электрического кра­на, который временно выбыл из строя. Огнем повреждены две под­лодки находящиеся вблизи пожара. По неполным данным, одна лод­ка значительно повреждена, другая незначительно и переделок не потребуется. Принятыми мерами по мобилизации всех пожарных ча­стей города пожар локализован. Деревянный настил цеха обуглил­ся снизу на 30 проц. площади, занимаемой им. Ориентировочно цех работу сумеет продолжать, за исключением места возникновения по­жара, на восстановление потребуется пять дней. Даны указания в проведении максимально тщательного следствия, выявления причин и источника возникновения пожара. В Николаеве аппарат горотдела мобилизован. О результатах расследования сообщим дополнительно. </w:t>
      </w:r>
    </w:p>
    <w:p w14:paraId="092F4197"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Мазо</w:t>
      </w:r>
    </w:p>
    <w:p w14:paraId="74F3F48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 РФ ф 3 оп 58, д.243. л.92 (11462).</w:t>
      </w:r>
    </w:p>
    <w:p w14:paraId="4DF9B5FD" w14:textId="77777777" w:rsidR="001F72EB" w:rsidRPr="00C33834" w:rsidRDefault="001F72EB" w:rsidP="00C33834">
      <w:pPr>
        <w:autoSpaceDE w:val="0"/>
        <w:autoSpaceDN w:val="0"/>
        <w:adjustRightInd w:val="0"/>
        <w:spacing w:after="0" w:line="240" w:lineRule="auto"/>
        <w:jc w:val="both"/>
        <w:rPr>
          <w:rFonts w:ascii="Times New Roman" w:hAnsi="Times New Roman"/>
          <w:color w:val="000000" w:themeColor="text1"/>
          <w:sz w:val="16"/>
          <w:szCs w:val="16"/>
        </w:rPr>
      </w:pPr>
    </w:p>
    <w:p w14:paraId="7FC792FB" w14:textId="77777777" w:rsidR="001E1317"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color w:val="000000" w:themeColor="text1"/>
          <w:sz w:val="16"/>
          <w:szCs w:val="16"/>
        </w:rPr>
        <w:t>Авиапромышленность:</w:t>
      </w:r>
    </w:p>
    <w:p w14:paraId="265EB2DA" w14:textId="77777777" w:rsidR="001E1317" w:rsidRPr="00C33834" w:rsidRDefault="001E1317" w:rsidP="00C33834">
      <w:pPr>
        <w:spacing w:after="0" w:line="240" w:lineRule="auto"/>
        <w:jc w:val="both"/>
        <w:rPr>
          <w:rFonts w:ascii="Times New Roman" w:hAnsi="Times New Roman"/>
          <w:iCs/>
          <w:color w:val="000000" w:themeColor="text1"/>
          <w:sz w:val="16"/>
          <w:szCs w:val="16"/>
        </w:rPr>
      </w:pPr>
    </w:p>
    <w:p w14:paraId="1A001EDA"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25 октября по 20 ноября 1933 в НИИ ВВС проходили гос. испытания модифицированного самолета ТБ3-4М17 № 22243 (6636).</w:t>
      </w:r>
    </w:p>
    <w:p w14:paraId="11AC59E1"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1C00C78F"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Куликов</w:t>
      </w:r>
    </w:p>
    <w:p w14:paraId="64F482FA"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летчик Кастанаев</w:t>
      </w:r>
    </w:p>
    <w:p w14:paraId="13519C58"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3CE7A88C"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Выявить влияние на летные данные самолета ТБ-3 - увеличения площади крыльев, увеличение размаха, установки обтекателей на стыках крыльев, хвостового оперения и тележках шасси и улучшения обтекания других деталей.</w:t>
      </w:r>
    </w:p>
    <w:p w14:paraId="1E39CEC4"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2ABDE8C1" w14:textId="77777777" w:rsidR="001E1317" w:rsidRPr="00C33834" w:rsidRDefault="001E1317" w:rsidP="00C33834">
      <w:pPr>
        <w:numPr>
          <w:ilvl w:val="0"/>
          <w:numId w:val="38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Считать совершенно необходимым внедрить в серийное производство самолетов ТБ3 улучшение конструкции и обтекаемости, выполненные на самолете ТБ3 № 22243.</w:t>
      </w:r>
    </w:p>
    <w:p w14:paraId="52970CC1"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315E1E1F" w14:textId="77777777">
        <w:tc>
          <w:tcPr>
            <w:tcW w:w="5636" w:type="dxa"/>
          </w:tcPr>
          <w:p w14:paraId="07D11D63"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октября 1933 года</w:t>
            </w:r>
          </w:p>
        </w:tc>
        <w:tc>
          <w:tcPr>
            <w:tcW w:w="5636" w:type="dxa"/>
          </w:tcPr>
          <w:p w14:paraId="7C610733"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принят от ЦАГИ на испытания.</w:t>
            </w:r>
          </w:p>
        </w:tc>
      </w:tr>
      <w:tr w:rsidR="00F26F01" w:rsidRPr="00C33834" w14:paraId="7661A29A" w14:textId="77777777">
        <w:tc>
          <w:tcPr>
            <w:tcW w:w="5636" w:type="dxa"/>
          </w:tcPr>
          <w:p w14:paraId="02B66900"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октября 1933 года</w:t>
            </w:r>
          </w:p>
        </w:tc>
        <w:tc>
          <w:tcPr>
            <w:tcW w:w="5636" w:type="dxa"/>
          </w:tcPr>
          <w:p w14:paraId="2AE6E165"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горизонтальных скоростей по мерному километру.</w:t>
            </w:r>
          </w:p>
        </w:tc>
      </w:tr>
      <w:tr w:rsidR="00F26F01" w:rsidRPr="00C33834" w14:paraId="175C1984" w14:textId="77777777">
        <w:tc>
          <w:tcPr>
            <w:tcW w:w="5636" w:type="dxa"/>
          </w:tcPr>
          <w:p w14:paraId="1AA7E6A8"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ноября 1933 года</w:t>
            </w:r>
          </w:p>
        </w:tc>
        <w:tc>
          <w:tcPr>
            <w:tcW w:w="5636" w:type="dxa"/>
          </w:tcPr>
          <w:p w14:paraId="3648867C"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скороподъемности, потолка, горизонтальных скоростей по высотам, полет на зубцы.</w:t>
            </w:r>
          </w:p>
        </w:tc>
      </w:tr>
    </w:tbl>
    <w:p w14:paraId="434BA7F5"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 испытания выполнены за 28 календарных дней, из них полетных дней – 2.</w:t>
      </w:r>
    </w:p>
    <w:p w14:paraId="48773506"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Особенности конструкции самолета, отличающие его от серийных самолетов</w:t>
      </w:r>
    </w:p>
    <w:p w14:paraId="203A0AE9" w14:textId="77777777" w:rsidR="001E1317" w:rsidRPr="00C33834" w:rsidRDefault="001E1317" w:rsidP="00C33834">
      <w:pPr>
        <w:numPr>
          <w:ilvl w:val="0"/>
          <w:numId w:val="38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Увеличена площадь крыльев.</w:t>
      </w:r>
    </w:p>
    <w:p w14:paraId="6DC15D6A" w14:textId="77777777" w:rsidR="001E1317" w:rsidRPr="00C33834" w:rsidRDefault="001E1317" w:rsidP="00C33834">
      <w:pPr>
        <w:numPr>
          <w:ilvl w:val="0"/>
          <w:numId w:val="38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Увеличен размах крыльев.</w:t>
      </w:r>
    </w:p>
    <w:p w14:paraId="2E29A45E" w14:textId="77777777" w:rsidR="001E1317" w:rsidRPr="00C33834" w:rsidRDefault="001E1317" w:rsidP="00C33834">
      <w:pPr>
        <w:numPr>
          <w:ilvl w:val="0"/>
          <w:numId w:val="38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руле направления монтирован управляемый компенсатор типа «Флейтнера».</w:t>
      </w:r>
    </w:p>
    <w:p w14:paraId="0E93838B" w14:textId="77777777" w:rsidR="001E1317" w:rsidRPr="00C33834" w:rsidRDefault="001E1317" w:rsidP="00C33834">
      <w:pPr>
        <w:numPr>
          <w:ilvl w:val="0"/>
          <w:numId w:val="38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Закрыты обтекателями стыки крыла и фюзеляжа.</w:t>
      </w:r>
    </w:p>
    <w:p w14:paraId="4C2A135C" w14:textId="77777777" w:rsidR="001E1317" w:rsidRPr="00C33834" w:rsidRDefault="001E1317" w:rsidP="00C33834">
      <w:pPr>
        <w:numPr>
          <w:ilvl w:val="0"/>
          <w:numId w:val="38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Сняты подножки на правом крыле.</w:t>
      </w:r>
    </w:p>
    <w:p w14:paraId="05357C2E" w14:textId="77777777" w:rsidR="001E1317" w:rsidRPr="00C33834" w:rsidRDefault="001E1317" w:rsidP="00C33834">
      <w:pPr>
        <w:numPr>
          <w:ilvl w:val="0"/>
          <w:numId w:val="386"/>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Закрыты обтекателями стыки киля и стабилизатора с фюзеляжем.</w:t>
      </w:r>
    </w:p>
    <w:p w14:paraId="6FE99653" w14:textId="77777777" w:rsidR="001E1317" w:rsidRPr="00C33834" w:rsidRDefault="001E1317" w:rsidP="00C33834">
      <w:pPr>
        <w:numPr>
          <w:ilvl w:val="0"/>
          <w:numId w:val="387"/>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Закрыты обтекателями стыки капотов моторов с крылом.</w:t>
      </w:r>
    </w:p>
    <w:p w14:paraId="6F38CF08" w14:textId="77777777" w:rsidR="001E1317" w:rsidRPr="00C33834" w:rsidRDefault="001E1317" w:rsidP="00C33834">
      <w:pPr>
        <w:numPr>
          <w:ilvl w:val="0"/>
          <w:numId w:val="388"/>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Переделаны капоты радиаторов – улучшено обтекание их.</w:t>
      </w:r>
    </w:p>
    <w:p w14:paraId="716B60DC" w14:textId="77777777" w:rsidR="001E1317" w:rsidRPr="00C33834" w:rsidRDefault="001E1317" w:rsidP="00C33834">
      <w:pPr>
        <w:numPr>
          <w:ilvl w:val="0"/>
          <w:numId w:val="389"/>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Поставлены обтекатели на тележки колес шасси.</w:t>
      </w:r>
    </w:p>
    <w:p w14:paraId="3F6FDAF9" w14:textId="77777777" w:rsidR="001E1317" w:rsidRPr="00C33834" w:rsidRDefault="001E1317" w:rsidP="00C33834">
      <w:pPr>
        <w:numPr>
          <w:ilvl w:val="0"/>
          <w:numId w:val="39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Поставлены обтекатели на полуоси шасси.</w:t>
      </w:r>
    </w:p>
    <w:p w14:paraId="41305075" w14:textId="77777777" w:rsidR="001E1317" w:rsidRPr="00C33834" w:rsidRDefault="001E1317" w:rsidP="00C33834">
      <w:pPr>
        <w:numPr>
          <w:ilvl w:val="0"/>
          <w:numId w:val="39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Улучшена обтекаемость носовой турели: обрезы сглажены фанерным покрытием.</w:t>
      </w:r>
    </w:p>
    <w:p w14:paraId="758B75B6" w14:textId="77777777" w:rsidR="001E1317" w:rsidRPr="00C33834" w:rsidRDefault="001E1317" w:rsidP="00C33834">
      <w:pPr>
        <w:numPr>
          <w:ilvl w:val="0"/>
          <w:numId w:val="39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Передняя кормовая кабина закрыта наглухо.</w:t>
      </w:r>
    </w:p>
    <w:p w14:paraId="022FC5D3" w14:textId="77777777" w:rsidR="001E1317" w:rsidRPr="00C33834" w:rsidRDefault="001E1317" w:rsidP="00C33834">
      <w:pPr>
        <w:numPr>
          <w:ilvl w:val="0"/>
          <w:numId w:val="39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Сняты каркасы фар и динамо-машины в носке крыла, отверстия заглажены ровными щитками.</w:t>
      </w:r>
    </w:p>
    <w:p w14:paraId="7DC4E91E" w14:textId="77777777" w:rsidR="001E1317" w:rsidRPr="00C33834" w:rsidRDefault="001E1317" w:rsidP="00C33834">
      <w:pPr>
        <w:numPr>
          <w:ilvl w:val="0"/>
          <w:numId w:val="39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Сняты дверцы бомболюков и заменены гладкими щитками.</w:t>
      </w:r>
    </w:p>
    <w:p w14:paraId="06303052" w14:textId="77777777" w:rsidR="001E1317" w:rsidRPr="00C33834" w:rsidRDefault="001E1317" w:rsidP="00C33834">
      <w:pPr>
        <w:numPr>
          <w:ilvl w:val="0"/>
          <w:numId w:val="39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Клапан тяги руля высоты в задней части фюзеляжа переставлен вовнутрь.</w:t>
      </w:r>
    </w:p>
    <w:p w14:paraId="01BA6D1E" w14:textId="77777777" w:rsidR="001E1317" w:rsidRPr="00C33834" w:rsidRDefault="001E1317" w:rsidP="00C33834">
      <w:pPr>
        <w:numPr>
          <w:ilvl w:val="0"/>
          <w:numId w:val="396"/>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Поставлены новые винты конструкции ЦАГИ.</w:t>
      </w:r>
    </w:p>
    <w:p w14:paraId="67F8DBA2" w14:textId="77777777" w:rsidR="001E1317" w:rsidRPr="00C33834" w:rsidRDefault="001E1317" w:rsidP="00C33834">
      <w:pPr>
        <w:numPr>
          <w:ilvl w:val="0"/>
          <w:numId w:val="397"/>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Сняты подкрыльевые башни (6636).</w:t>
      </w:r>
    </w:p>
    <w:p w14:paraId="510EB77C" w14:textId="77777777" w:rsidR="001E1317" w:rsidRPr="00C33834" w:rsidRDefault="001E1317" w:rsidP="00C33834">
      <w:pPr>
        <w:tabs>
          <w:tab w:val="left" w:pos="360"/>
          <w:tab w:val="left" w:pos="11199"/>
        </w:tabs>
        <w:spacing w:after="0" w:line="240" w:lineRule="auto"/>
        <w:jc w:val="both"/>
        <w:rPr>
          <w:rFonts w:ascii="Times New Roman" w:hAnsi="Times New Roman"/>
          <w:color w:val="000000" w:themeColor="text1"/>
          <w:sz w:val="16"/>
          <w:szCs w:val="16"/>
        </w:rPr>
      </w:pPr>
    </w:p>
    <w:p w14:paraId="3CA1F48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октября 1933 состоялся седьмой полет К-7 К.А.К. продолжительностью 32 мин. Разбег - 311 м, пробег - 380 м. Взлет на скорости 205 км/час. Работа РН была нормальной. Заметили и устранили течь водяного радиатора первого правого мотора. Всего к этому времени моторы проработали 21:30 и в полете машина была 2.5 час.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F26F01" w:rsidRPr="00C33834" w14:paraId="3997551C" w14:textId="77777777">
        <w:tc>
          <w:tcPr>
            <w:tcW w:w="1384" w:type="dxa"/>
            <w:tcBorders>
              <w:top w:val="single" w:sz="12" w:space="0" w:color="auto"/>
            </w:tcBorders>
          </w:tcPr>
          <w:p w14:paraId="2C2EA8C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Дата испытания</w:t>
            </w:r>
          </w:p>
        </w:tc>
        <w:tc>
          <w:tcPr>
            <w:tcW w:w="2410" w:type="dxa"/>
            <w:tcBorders>
              <w:top w:val="single" w:sz="12" w:space="0" w:color="auto"/>
            </w:tcBorders>
          </w:tcPr>
          <w:p w14:paraId="150D839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427DA1D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68B60C6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2B074CE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521CE55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tc>
      </w:tr>
      <w:tr w:rsidR="00F26F01" w:rsidRPr="00C33834" w14:paraId="45DF00C8" w14:textId="77777777">
        <w:tc>
          <w:tcPr>
            <w:tcW w:w="1384" w:type="dxa"/>
            <w:tcBorders>
              <w:bottom w:val="single" w:sz="12" w:space="0" w:color="auto"/>
            </w:tcBorders>
          </w:tcPr>
          <w:p w14:paraId="7DA8DB7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октября 1933</w:t>
            </w:r>
          </w:p>
        </w:tc>
        <w:tc>
          <w:tcPr>
            <w:tcW w:w="2410" w:type="dxa"/>
            <w:tcBorders>
              <w:bottom w:val="single" w:sz="12" w:space="0" w:color="auto"/>
            </w:tcBorders>
          </w:tcPr>
          <w:p w14:paraId="51F8BC0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7-й полет</w:t>
            </w:r>
          </w:p>
        </w:tc>
        <w:tc>
          <w:tcPr>
            <w:tcW w:w="1089" w:type="dxa"/>
            <w:tcBorders>
              <w:bottom w:val="single" w:sz="12" w:space="0" w:color="auto"/>
            </w:tcBorders>
          </w:tcPr>
          <w:p w14:paraId="4E5210D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32 мин.</w:t>
            </w:r>
          </w:p>
        </w:tc>
        <w:tc>
          <w:tcPr>
            <w:tcW w:w="3447" w:type="dxa"/>
            <w:tcBorders>
              <w:bottom w:val="single" w:sz="12" w:space="0" w:color="auto"/>
            </w:tcBorders>
          </w:tcPr>
          <w:p w14:paraId="3D5BE53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Разбег - 20 сек., 311 м</w:t>
            </w:r>
          </w:p>
          <w:p w14:paraId="097526C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Пробег - 23,5 сек., 380 м</w:t>
            </w:r>
          </w:p>
          <w:p w14:paraId="6E5E6CA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700 м</w:t>
            </w:r>
          </w:p>
          <w:p w14:paraId="377BF96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хорошо держит прямую при старте.</w:t>
            </w:r>
          </w:p>
          <w:p w14:paraId="2A1B7BB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взлете замерена максимальная скорость - 205 км/час</w:t>
            </w:r>
          </w:p>
          <w:p w14:paraId="7B662E7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руля поворота - нормальная</w:t>
            </w:r>
          </w:p>
        </w:tc>
        <w:tc>
          <w:tcPr>
            <w:tcW w:w="1776" w:type="dxa"/>
            <w:tcBorders>
              <w:bottom w:val="single" w:sz="12" w:space="0" w:color="auto"/>
            </w:tcBorders>
          </w:tcPr>
          <w:p w14:paraId="1A1259C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Течь водорадиатора первого правого мотора (устранено)</w:t>
            </w:r>
          </w:p>
        </w:tc>
        <w:tc>
          <w:tcPr>
            <w:tcW w:w="1105" w:type="dxa"/>
            <w:tcBorders>
              <w:bottom w:val="single" w:sz="12" w:space="0" w:color="auto"/>
            </w:tcBorders>
          </w:tcPr>
          <w:p w14:paraId="4D0B4EE8" w14:textId="77777777" w:rsidR="001E1317" w:rsidRPr="00C33834" w:rsidRDefault="001E1317" w:rsidP="00C33834">
            <w:pPr>
              <w:spacing w:after="0" w:line="240" w:lineRule="auto"/>
              <w:jc w:val="both"/>
              <w:rPr>
                <w:rFonts w:ascii="Times New Roman" w:hAnsi="Times New Roman"/>
                <w:color w:val="000000" w:themeColor="text1"/>
                <w:sz w:val="16"/>
                <w:szCs w:val="16"/>
              </w:rPr>
            </w:pPr>
          </w:p>
        </w:tc>
      </w:tr>
    </w:tbl>
    <w:p w14:paraId="172DE51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(2306,98).</w:t>
      </w:r>
    </w:p>
    <w:p w14:paraId="56BA03BC"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392E2A7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октября 1933 закончились испытания И-14 БМ в ОЭЛИД ЦАГИ и он был вновь отправлен в ЦАГИ, где находился до 14 ноября 1933 (2869,23) ). Летали К.А.Попов и С.А.Корзинщиков. На 5000 м получили 283 км/час и на 6000 м поднимались за 10 мин. Переставили на лыжи и работу окончили лишь 14 ноября 1933 (4020,11).</w:t>
      </w:r>
    </w:p>
    <w:p w14:paraId="3B20425E"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5F9EE4E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25 октября 1933 г. из-за нового неудачного цикла заводских испыта</w:t>
      </w:r>
      <w:r w:rsidRPr="00C33834">
        <w:rPr>
          <w:rFonts w:ascii="Times New Roman" w:hAnsi="Times New Roman"/>
          <w:color w:val="000000" w:themeColor="text1"/>
          <w:sz w:val="16"/>
          <w:szCs w:val="16"/>
        </w:rPr>
        <w:softHyphen/>
        <w:t>ний истребителя И-14 (в итоге еще раз возвращенного на доработку) ВВС начали проявлять повышенное внимание к И-16 (10667).</w:t>
      </w:r>
    </w:p>
    <w:p w14:paraId="6DBFE960"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7668ECF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октября 1933 года постановление № 103сс/о СТО</w:t>
      </w:r>
    </w:p>
    <w:p w14:paraId="325727D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мероприятиях по выполнению авиационной программы 1933 года</w:t>
      </w:r>
    </w:p>
    <w:p w14:paraId="549FCC1A" w14:textId="77777777" w:rsidR="001E1317" w:rsidRPr="00C33834" w:rsidRDefault="001E1317" w:rsidP="00C33834">
      <w:pPr>
        <w:numPr>
          <w:ilvl w:val="0"/>
          <w:numId w:val="39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 отмечает, что наряду с заводами, успешно выполнившими за 9 месяцев 1933 года свою производственную программу по основным объектам (завод № 22 – самолет ТБ-3 м М-17; завод № 39 - самолет ТБ-3 м М-17; завод № 21 – самолет И-5 с М-22; завод № 24 – мотор М-34, завод № 26 – мотор М-17; завод № 23 – У" с М-11), не справились с поставленным им программным заданием заводы №№ 1, 31 и 29 (И7 с М-17, Р6 с М-17, Р5-А с М-17, АНТ-9 и моторы М-22 и М-11), что создает угрожающее положение по выполнению заданий не только в отношении данных заводов, но и годовой программы Глававиапрома в целом.</w:t>
      </w:r>
    </w:p>
    <w:p w14:paraId="1165E45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Отметить также явно неудовлетворительную сдачу запасных частей, как к самолетам, так и к моторам (за 9 месяцев 68,5% и 64%).</w:t>
      </w:r>
    </w:p>
    <w:p w14:paraId="0CF6218C" w14:textId="77777777" w:rsidR="001E1317" w:rsidRPr="00C33834" w:rsidRDefault="001E1317" w:rsidP="00C33834">
      <w:pPr>
        <w:numPr>
          <w:ilvl w:val="0"/>
          <w:numId w:val="39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Констатировать, что при заметном улучшении качества основных типов самолетов и моторов (ТБ3, Р5, И5, У2 и М-17) выпускаемая заводами продукция все же еще имеет существенные недостатки, осложняющие эксплуатацию и понижающие надежность материальной части в полете, основными из коих являются:</w:t>
      </w:r>
    </w:p>
    <w:p w14:paraId="5971AAF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конструкция большинства самолетов перетяжелена;</w:t>
      </w:r>
    </w:p>
    <w:p w14:paraId="78B8748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отмечается массовая течь радиаторов и бензокранов;</w:t>
      </w:r>
    </w:p>
    <w:p w14:paraId="575C7FF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быстро появляются люфты в соединениях;</w:t>
      </w:r>
    </w:p>
    <w:p w14:paraId="12A5334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наблюдаются частые обрывы шпилек и флянцев в целиндрах моторов М-17;</w:t>
      </w:r>
    </w:p>
    <w:p w14:paraId="66AC951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появляются трещины в лапах картеров М-34;</w:t>
      </w:r>
    </w:p>
    <w:p w14:paraId="05DF6D1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 выкрашивание баббита в шатунах того же мотора;</w:t>
      </w:r>
    </w:p>
    <w:p w14:paraId="6768E2D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 недостаточное давление масла в моторе М22 на малых оборотах.</w:t>
      </w:r>
    </w:p>
    <w:p w14:paraId="3DD464D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несмотря на двукратное постановление СТО, до сего времени не введено в серийное производство одно из крупнейших мероприятий по увеличению безопасности полета и улучшению эксплуатационных качеств самолета – тормозное шасси.</w:t>
      </w:r>
    </w:p>
    <w:p w14:paraId="182D988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улучшения качества продукции до сих пор не внедрено производство в массовом порядке нержавеющих сталей и сверхлегких сплавов (электрон, магний и т.д.).</w:t>
      </w:r>
    </w:p>
    <w:p w14:paraId="28410F4B" w14:textId="77777777" w:rsidR="001E1317" w:rsidRPr="00C33834" w:rsidRDefault="001E1317" w:rsidP="00C33834">
      <w:pPr>
        <w:numPr>
          <w:ilvl w:val="0"/>
          <w:numId w:val="40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Вследствие отсутствия эталонов, а также выявившихся в процессе производства конструктивных недостатков, снять с утвержденной программы по самолетостроению на 1933 год:</w:t>
      </w:r>
    </w:p>
    <w:p w14:paraId="62F4761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 1 – 145 самолетов И7 с М-17</w:t>
      </w:r>
    </w:p>
    <w:p w14:paraId="5762C23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 22 – 5 самолетов МИ3 с М-34</w:t>
      </w:r>
    </w:p>
    <w:p w14:paraId="02C0C55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 22 – 3 самолетов ТБ4 с М-34</w:t>
      </w:r>
    </w:p>
    <w:p w14:paraId="385F77E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 31 – 50 самолетов Р6 с М-34. Весь задел по АНТ9 передать ГУГВФ.</w:t>
      </w:r>
    </w:p>
    <w:p w14:paraId="4187452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 18 – 13 самолетов ТБ3 с М-34.</w:t>
      </w:r>
    </w:p>
    <w:p w14:paraId="7D74425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Предложить НКТП и НКВМ войти в СТО к 10 ноября 1933 года со своими соображениями о постановке на производство самолета И7 с дюралевым хвостовым оперением.</w:t>
      </w:r>
    </w:p>
    <w:p w14:paraId="7022737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……………………………………………..(7503, 83-88).</w:t>
      </w:r>
    </w:p>
    <w:p w14:paraId="74B3ED3F"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35A18E7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октября 1933 года постановлением СТО № 103сс/о производство самолетов АНТ-9 было прекращено; весь задел по АНТ-9 передан ГУГВФ; вместо 30 самолетов АНТ-9 ГУГВФ не получило ни одного (4188).</w:t>
      </w:r>
    </w:p>
    <w:p w14:paraId="11E21E9B"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2ABCD177"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октября 1933 года подготовлена выписка из Постановление СТО № 103сс</w:t>
      </w:r>
    </w:p>
    <w:p w14:paraId="28BC7BB4"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мероприятиях по выполнению авиапрограммы 1933 года</w:t>
      </w:r>
    </w:p>
    <w:p w14:paraId="61E26814"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своевременной подготовки к 1934 года, обязать НКТП (ГУАП) совместно с НКВМором немедленно приступить к проработке всего плана 1934 года и наметить все необходимые мероприятия, обеспечивающие выполнение программы 1934 года, как в части строительства, так и всех видов …………… и внести в СТО к 10 ноября 1933 года.</w:t>
      </w:r>
    </w:p>
    <w:p w14:paraId="45BFB03D"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НКВМор в декадный срок уточнить и установить свой заказ авиапромышленности на 1934 год (Переговорил с Королевым. Будут приняты меры к обеспечению программы по линии НКТП. В случае невозможности по отд. Вопросам будет внесено в КО.) (4191, 1).</w:t>
      </w:r>
    </w:p>
    <w:p w14:paraId="65D9005B"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p>
    <w:p w14:paraId="50EF87FC"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октября 1933 года постановление СТО № 103сс/о</w:t>
      </w:r>
    </w:p>
    <w:p w14:paraId="1040C217"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мероприятиях по выполнению авиационной программы 1933 года</w:t>
      </w:r>
    </w:p>
    <w:p w14:paraId="1F62A348" w14:textId="77777777" w:rsidR="001E1317" w:rsidRPr="00C33834" w:rsidRDefault="001E1317" w:rsidP="00C33834">
      <w:pPr>
        <w:numPr>
          <w:ilvl w:val="0"/>
          <w:numId w:val="40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 отмечает, что наряду с заводами, успешно выполнившими за 9 месяцев 1933 года свою производственную программу по основным объектам (завод № 22 – самолет ТБ3 с М-17; завод № 39 – самолет ТБ3 с М-17; завод № 21 – самолет И5 с М-22; завод № 24 – мотор М-34; завод № 26 – мотор М-17; завод № 23 – У2 с М11), не справились с поставленным им программным заданием заводы №№ 1, 31 и 29 (И7 с М-17, Р5 с М-17, Р5-А с М-17, АНТ-9 и моторы М-22 и М-11), что создает угрожающее положение по выполнению заданий не только в отношении данных заводов, но и годовой программы Глававиапрома в целом.</w:t>
      </w:r>
    </w:p>
    <w:p w14:paraId="261EBA1B" w14:textId="77777777" w:rsidR="001E1317" w:rsidRPr="00C33834" w:rsidRDefault="001E1317" w:rsidP="00C33834">
      <w:pPr>
        <w:pStyle w:val="a3"/>
        <w:widowControl/>
        <w:tabs>
          <w:tab w:val="left" w:pos="11199"/>
        </w:tabs>
        <w:rPr>
          <w:color w:val="000000" w:themeColor="text1"/>
          <w:lang w:val="ru-RU"/>
        </w:rPr>
      </w:pPr>
      <w:r w:rsidRPr="00C33834">
        <w:rPr>
          <w:color w:val="000000" w:themeColor="text1"/>
          <w:lang w:val="ru-RU"/>
        </w:rPr>
        <w:t>Отметить также явно неудовлетворительную сдачу запасных частей, как к самолетам, так и к моторам (за 9 месяцев 68,5% и 54%).</w:t>
      </w:r>
    </w:p>
    <w:p w14:paraId="03D65316" w14:textId="77777777" w:rsidR="001E1317" w:rsidRPr="00C33834" w:rsidRDefault="001E1317" w:rsidP="00C33834">
      <w:pPr>
        <w:numPr>
          <w:ilvl w:val="0"/>
          <w:numId w:val="40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Констатировать, что при заметном улучшении качества основных типов самолетов и моторов (ТБ3, Р5, И5, У2 и М-17) выпускаемая заводами продукция все же еще имеет существенные недостатки, осложняющие эксплуатацию и понижающие надежность материальной части в полете, основными из коих являются:</w:t>
      </w:r>
    </w:p>
    <w:p w14:paraId="503E2C16"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а) конструкция большинства самолетов перетяжелена;</w:t>
      </w:r>
    </w:p>
    <w:p w14:paraId="7C2E3190"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отмечается массовая течь радиаторов и бензокранов;</w:t>
      </w:r>
    </w:p>
    <w:p w14:paraId="13305EE5"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быстро появляются люфты в соединениях;</w:t>
      </w:r>
    </w:p>
    <w:p w14:paraId="41B53B27"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наблюдаются частые обрывы шпилек и фланцев в цилиндрах моторов М-17;</w:t>
      </w:r>
    </w:p>
    <w:p w14:paraId="60AB1757"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выкрашивание баббита в шатунах мотора М-34;</w:t>
      </w:r>
    </w:p>
    <w:p w14:paraId="1EAB4C15"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 недостаточное давление масла и мотора М22 на малых оборотах.</w:t>
      </w:r>
    </w:p>
    <w:p w14:paraId="2C92958D"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несмотря на двукратное постановление СТО до сего времени не введено в серийное производство одно из крупнейших мероприятий по увеличению безопасности полета и улучшению эксплуатационных качеств самолетов – тормозное шасси.</w:t>
      </w:r>
    </w:p>
    <w:p w14:paraId="0E80067C"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улучшения качества продукции до сих пор не внедрено: производство в массовом порядке – нержавеющих сталей и сверхлегких сплавов (электрон, магний и т.д.).</w:t>
      </w:r>
    </w:p>
    <w:p w14:paraId="608588BB" w14:textId="77777777" w:rsidR="001E1317" w:rsidRPr="00C33834" w:rsidRDefault="001E1317" w:rsidP="00C33834">
      <w:pPr>
        <w:numPr>
          <w:ilvl w:val="0"/>
          <w:numId w:val="40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Вследствие отсутствия эталонов, а также выявившихся в процессе производства конструктивных недостатков, снять с утвержденной программы по самолетостроению на 1933 год:</w:t>
      </w:r>
    </w:p>
    <w:p w14:paraId="7DDB44EC"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 1 – 145 самолетов И7 с М-17</w:t>
      </w:r>
    </w:p>
    <w:p w14:paraId="5FF00D84"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 22 - 5 самолетов МИ3 с М-34</w:t>
      </w:r>
    </w:p>
    <w:p w14:paraId="17435D7E"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 31 - 50 самолетов Р5 с М-34 (весь задел по АНТ9 передать ГУГВФ).</w:t>
      </w:r>
    </w:p>
    <w:p w14:paraId="0E666AC4"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 22 – 3 самолета ТБ4 с М-34</w:t>
      </w:r>
    </w:p>
    <w:p w14:paraId="0A1A9954"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 18 – 13 самолетов ТБ3 с М-34</w:t>
      </w:r>
    </w:p>
    <w:p w14:paraId="3978E0DE"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Предложить НКТП и НКВМ войти в СТО к 10 ноября 1933 года со своими соображениями о постановке на производство самолета К7 с дюралевым хвостовым оперением.</w:t>
      </w:r>
    </w:p>
    <w:p w14:paraId="6D5764B6" w14:textId="77777777" w:rsidR="001E1317" w:rsidRPr="00C33834" w:rsidRDefault="001E1317" w:rsidP="00C33834">
      <w:pPr>
        <w:numPr>
          <w:ilvl w:val="0"/>
          <w:numId w:val="40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связи с быстрой модификацией предметов оборудования самолетов (фото, электро, радио, аэронавигация) необходимость проведения в этом направлении большой исследовательской и опытной работы под руководством и ближайшем участии потребителей, обязанность по размещению заказов на опытные образцы оборудования, утверждению образца, размещению заказа на опытную партию и проведению с ней войсковых эксплуатационных испытаний возложить на УВВС.</w:t>
      </w:r>
    </w:p>
    <w:p w14:paraId="4CBF7F92" w14:textId="77777777" w:rsidR="001E1317" w:rsidRPr="00C33834" w:rsidRDefault="001E1317" w:rsidP="00C33834">
      <w:pPr>
        <w:numPr>
          <w:ilvl w:val="0"/>
          <w:numId w:val="40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Каждый новый объект внедрять в серийное производство только при наличии всех тактико-технических требований и законченного испытания эталонов.</w:t>
      </w:r>
    </w:p>
    <w:p w14:paraId="698DDBC7"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безусловного выполнения авиапромышленностью программы IV квартала с покрытием всего недовыполненного за год, обязать:</w:t>
      </w:r>
    </w:p>
    <w:p w14:paraId="02355609" w14:textId="77777777" w:rsidR="001E1317" w:rsidRPr="00C33834" w:rsidRDefault="001E1317" w:rsidP="00C33834">
      <w:pPr>
        <w:numPr>
          <w:ilvl w:val="0"/>
          <w:numId w:val="406"/>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НКТП (Глававиапром) взять под особое наблюдение работу заводов №№ 31, 1 и 29 и в частности:</w:t>
      </w:r>
    </w:p>
    <w:p w14:paraId="53324A98" w14:textId="77777777" w:rsidR="001E1317" w:rsidRPr="00C33834" w:rsidRDefault="001E1317" w:rsidP="00C33834">
      <w:pPr>
        <w:pStyle w:val="a3"/>
        <w:widowControl/>
        <w:tabs>
          <w:tab w:val="left" w:pos="11199"/>
        </w:tabs>
        <w:rPr>
          <w:color w:val="000000" w:themeColor="text1"/>
          <w:lang w:val="ru-RU"/>
        </w:rPr>
      </w:pPr>
      <w:r w:rsidRPr="00C33834">
        <w:rPr>
          <w:color w:val="000000" w:themeColor="text1"/>
          <w:lang w:val="ru-RU"/>
        </w:rPr>
        <w:t>По заводу № 31:</w:t>
      </w:r>
    </w:p>
    <w:p w14:paraId="4B649352"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начальнику ГУАП Королеву принять на месте все необходимые меры по укреплению завода, обеспечению всеми потребными материалами в целях полного выполнения программы.</w:t>
      </w:r>
    </w:p>
    <w:p w14:paraId="6C74830F"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 1:</w:t>
      </w:r>
    </w:p>
    <w:p w14:paraId="4CD4C139"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Королеву уделить исключительное внимание заводу, в частности установить точные календарные сроки окончания и ввода в эксплуатацию отдельных цехов и представить к 1 ноября 1933 года в СТО таковые;</w:t>
      </w:r>
    </w:p>
    <w:p w14:paraId="19057B68"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закончить в IV квартале строительство завода, обязав Гинзбурга обеспечить его всеми необходимыми материалами, рабочей силой и руководящим строительным персоналом.</w:t>
      </w:r>
    </w:p>
    <w:p w14:paraId="025BF424"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 29:</w:t>
      </w:r>
    </w:p>
    <w:p w14:paraId="1CB1B4C4"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ГУАП командировать на завод, сроком не менее месяца, группу ответственных специалистов и зам начальника ГУАП Беленковича для конкретной производственной помощи заводу.</w:t>
      </w:r>
    </w:p>
    <w:p w14:paraId="687072B5"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 Обязать ГУАП Королева и персонально всех директоров заводов авиапромышленности обеспечить полное выполнение программы по запчастям.</w:t>
      </w:r>
    </w:p>
    <w:p w14:paraId="3CED80BE"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III. Обязать НКТП проверить всю деятельность научно-исследовательских учреждений ГУАП (ЦАГИ, ЦИАМ и ВИАМ) в целях выяснения связи с заводами и их технического обслуживания, представив СТО в месячный срок подробный доклад и проект необходимых мероприятий.</w:t>
      </w:r>
    </w:p>
    <w:p w14:paraId="7E70BD94"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Отметить недопустимую волокиту, проявленную ЦАГИ в отношении проработки образцов (особенно по ТБ3 с М-34) и обязать …………………………….</w:t>
      </w:r>
    </w:p>
    <w:p w14:paraId="4625DEAF"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IV. Обязать НКТП (ГУАП) немедленно приступить к усовершенствованию аэродромного хозяйства (планировка посадочных площадок, мелиоративные работы, постройка бензохранилищ, механизация обслуживания и т.д.) и представить к 1 ноября 1933 года в СТО исчерпывающую программу по приведению этого хозяйства в порядок.</w:t>
      </w:r>
    </w:p>
    <w:p w14:paraId="35DCCC99"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 Для выполнения программы 1У квартала авиапромышленностью:</w:t>
      </w:r>
    </w:p>
    <w:p w14:paraId="72A1C812"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обязать НКТП (т. Пархоменко):</w:t>
      </w:r>
    </w:p>
    <w:p w14:paraId="4385471C"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выдать Глававиапрому  на 1У кв. фонд на цветные металлы в размере:</w:t>
      </w:r>
    </w:p>
    <w:p w14:paraId="6B05DEA7"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аллюминия чушкового</w:t>
      </w:r>
      <w:r w:rsidRPr="00C33834">
        <w:rPr>
          <w:rFonts w:ascii="Times New Roman" w:hAnsi="Times New Roman"/>
          <w:color w:val="000000" w:themeColor="text1"/>
          <w:sz w:val="16"/>
          <w:szCs w:val="16"/>
        </w:rPr>
        <w:tab/>
        <w:t>1270 т</w:t>
      </w:r>
    </w:p>
    <w:p w14:paraId="5B3B9292"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олова</w:t>
      </w:r>
      <w:r w:rsidRPr="00C33834">
        <w:rPr>
          <w:rFonts w:ascii="Times New Roman" w:hAnsi="Times New Roman"/>
          <w:color w:val="000000" w:themeColor="text1"/>
          <w:sz w:val="16"/>
          <w:szCs w:val="16"/>
        </w:rPr>
        <w:tab/>
        <w:t>76</w:t>
      </w:r>
    </w:p>
    <w:p w14:paraId="1772C614"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свинца чушкового</w:t>
      </w:r>
      <w:r w:rsidRPr="00C33834">
        <w:rPr>
          <w:rFonts w:ascii="Times New Roman" w:hAnsi="Times New Roman"/>
          <w:color w:val="000000" w:themeColor="text1"/>
          <w:sz w:val="16"/>
          <w:szCs w:val="16"/>
        </w:rPr>
        <w:tab/>
        <w:t>50</w:t>
      </w:r>
    </w:p>
    <w:p w14:paraId="2925BB58"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меди</w:t>
      </w:r>
      <w:r w:rsidRPr="00C33834">
        <w:rPr>
          <w:rFonts w:ascii="Times New Roman" w:hAnsi="Times New Roman"/>
          <w:color w:val="000000" w:themeColor="text1"/>
          <w:sz w:val="16"/>
          <w:szCs w:val="16"/>
        </w:rPr>
        <w:tab/>
        <w:t>344</w:t>
      </w:r>
    </w:p>
    <w:p w14:paraId="2790DCC9"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аллюминия листового</w:t>
      </w:r>
      <w:r w:rsidRPr="00C33834">
        <w:rPr>
          <w:rFonts w:ascii="Times New Roman" w:hAnsi="Times New Roman"/>
          <w:color w:val="000000" w:themeColor="text1"/>
          <w:sz w:val="16"/>
          <w:szCs w:val="16"/>
        </w:rPr>
        <w:tab/>
        <w:t>58</w:t>
      </w:r>
    </w:p>
    <w:p w14:paraId="7B72DF3C"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меди листовой</w:t>
      </w:r>
      <w:r w:rsidRPr="00C33834">
        <w:rPr>
          <w:rFonts w:ascii="Times New Roman" w:hAnsi="Times New Roman"/>
          <w:color w:val="000000" w:themeColor="text1"/>
          <w:sz w:val="16"/>
          <w:szCs w:val="16"/>
        </w:rPr>
        <w:tab/>
        <w:t>26</w:t>
      </w:r>
    </w:p>
    <w:p w14:paraId="00EB074C"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латуни прутковой и пкд</w:t>
      </w:r>
      <w:r w:rsidRPr="00C33834">
        <w:rPr>
          <w:rFonts w:ascii="Times New Roman" w:hAnsi="Times New Roman"/>
          <w:color w:val="000000" w:themeColor="text1"/>
          <w:sz w:val="16"/>
          <w:szCs w:val="16"/>
        </w:rPr>
        <w:tab/>
        <w:t>184</w:t>
      </w:r>
    </w:p>
    <w:p w14:paraId="5383A3E2"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свинца листового</w:t>
      </w:r>
      <w:r w:rsidRPr="00C33834">
        <w:rPr>
          <w:rFonts w:ascii="Times New Roman" w:hAnsi="Times New Roman"/>
          <w:color w:val="000000" w:themeColor="text1"/>
          <w:sz w:val="16"/>
          <w:szCs w:val="16"/>
        </w:rPr>
        <w:tab/>
        <w:t>10</w:t>
      </w:r>
    </w:p>
    <w:p w14:paraId="7C32F48F"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труб латунных 98х76</w:t>
      </w:r>
      <w:r w:rsidRPr="00C33834">
        <w:rPr>
          <w:rFonts w:ascii="Times New Roman" w:hAnsi="Times New Roman"/>
          <w:color w:val="000000" w:themeColor="text1"/>
          <w:sz w:val="16"/>
          <w:szCs w:val="16"/>
        </w:rPr>
        <w:tab/>
        <w:t>48</w:t>
      </w:r>
    </w:p>
    <w:p w14:paraId="49DD06FD"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труб и палок из сплава ПТ</w:t>
      </w:r>
      <w:r w:rsidRPr="00C33834">
        <w:rPr>
          <w:rFonts w:ascii="Times New Roman" w:hAnsi="Times New Roman"/>
          <w:color w:val="000000" w:themeColor="text1"/>
          <w:sz w:val="16"/>
          <w:szCs w:val="16"/>
        </w:rPr>
        <w:tab/>
        <w:t>25</w:t>
      </w:r>
    </w:p>
    <w:p w14:paraId="3F61E742"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магния</w:t>
      </w:r>
      <w:r w:rsidRPr="00C33834">
        <w:rPr>
          <w:rFonts w:ascii="Times New Roman" w:hAnsi="Times New Roman"/>
          <w:color w:val="000000" w:themeColor="text1"/>
          <w:sz w:val="16"/>
          <w:szCs w:val="16"/>
        </w:rPr>
        <w:tab/>
        <w:t>40</w:t>
      </w:r>
    </w:p>
    <w:p w14:paraId="29F1B687"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дюралевых полуфабрикатов</w:t>
      </w:r>
      <w:r w:rsidRPr="00C33834">
        <w:rPr>
          <w:rFonts w:ascii="Times New Roman" w:hAnsi="Times New Roman"/>
          <w:color w:val="000000" w:themeColor="text1"/>
          <w:sz w:val="16"/>
          <w:szCs w:val="16"/>
        </w:rPr>
        <w:tab/>
        <w:t>400</w:t>
      </w:r>
    </w:p>
    <w:p w14:paraId="38F433EF"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Увеличить Главцветметобработке фонд на чушковый аллюминий в 1У кв. для выполнениязаказов Глававиапрома на дбраллюминиевые полуфабрикаты заводами им. Ворошилова и № 95 (б. 45) на 400 т</w:t>
      </w:r>
    </w:p>
    <w:p w14:paraId="0B7917F7"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Поручить комиссии тт. Беленького З. (созыв), Пятакова и Розенгольца рассмотреть вопрос об удовлетворении следующей заявки НКТП по импорту цветных металлов в 1У кв. для авиапромышленности, учитывая такие потребности начала 1 кв. 34 г:</w:t>
      </w:r>
    </w:p>
    <w:p w14:paraId="3F9924CA"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олова чушкового</w:t>
      </w:r>
      <w:r w:rsidRPr="00C33834">
        <w:rPr>
          <w:rFonts w:ascii="Times New Roman" w:hAnsi="Times New Roman"/>
          <w:color w:val="000000" w:themeColor="text1"/>
          <w:sz w:val="16"/>
          <w:szCs w:val="16"/>
        </w:rPr>
        <w:tab/>
        <w:t>150 т</w:t>
      </w:r>
    </w:p>
    <w:p w14:paraId="71252CDA"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аллюминия чушкового</w:t>
      </w:r>
      <w:r w:rsidRPr="00C33834">
        <w:rPr>
          <w:rFonts w:ascii="Times New Roman" w:hAnsi="Times New Roman"/>
          <w:color w:val="000000" w:themeColor="text1"/>
          <w:sz w:val="16"/>
          <w:szCs w:val="16"/>
        </w:rPr>
        <w:tab/>
        <w:t>1100</w:t>
      </w:r>
    </w:p>
    <w:p w14:paraId="3A368E5F"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окиси аллюминия</w:t>
      </w:r>
      <w:r w:rsidRPr="00C33834">
        <w:rPr>
          <w:rFonts w:ascii="Times New Roman" w:hAnsi="Times New Roman"/>
          <w:color w:val="000000" w:themeColor="text1"/>
          <w:sz w:val="16"/>
          <w:szCs w:val="16"/>
        </w:rPr>
        <w:tab/>
        <w:t>1500</w:t>
      </w:r>
    </w:p>
    <w:p w14:paraId="5A00B0FF"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криолита</w:t>
      </w:r>
      <w:r w:rsidRPr="00C33834">
        <w:rPr>
          <w:rFonts w:ascii="Times New Roman" w:hAnsi="Times New Roman"/>
          <w:color w:val="000000" w:themeColor="text1"/>
          <w:sz w:val="16"/>
          <w:szCs w:val="16"/>
        </w:rPr>
        <w:tab/>
        <w:t>600</w:t>
      </w:r>
    </w:p>
    <w:p w14:paraId="67930259"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магния</w:t>
      </w:r>
      <w:r w:rsidRPr="00C33834">
        <w:rPr>
          <w:rFonts w:ascii="Times New Roman" w:hAnsi="Times New Roman"/>
          <w:color w:val="000000" w:themeColor="text1"/>
          <w:sz w:val="16"/>
          <w:szCs w:val="16"/>
        </w:rPr>
        <w:tab/>
        <w:t>40</w:t>
      </w:r>
    </w:p>
    <w:p w14:paraId="0DCDF6C3"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меди электролитной</w:t>
      </w:r>
      <w:r w:rsidRPr="00C33834">
        <w:rPr>
          <w:rFonts w:ascii="Times New Roman" w:hAnsi="Times New Roman"/>
          <w:color w:val="000000" w:themeColor="text1"/>
          <w:sz w:val="16"/>
          <w:szCs w:val="16"/>
        </w:rPr>
        <w:tab/>
        <w:t>300</w:t>
      </w:r>
    </w:p>
    <w:p w14:paraId="318055EE"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Обязать Слюхнефтеторг (т. Ганшин) подать в 1У кв. заводам Глававиапрома:</w:t>
      </w:r>
    </w:p>
    <w:p w14:paraId="236D630E"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банзина бакинского экс. П сорта</w:t>
      </w:r>
      <w:r w:rsidRPr="00C33834">
        <w:rPr>
          <w:rFonts w:ascii="Times New Roman" w:hAnsi="Times New Roman"/>
          <w:color w:val="000000" w:themeColor="text1"/>
          <w:sz w:val="16"/>
          <w:szCs w:val="16"/>
        </w:rPr>
        <w:tab/>
        <w:t>3400 т</w:t>
      </w:r>
    </w:p>
    <w:p w14:paraId="367DD086"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грозенского</w:t>
      </w:r>
      <w:r w:rsidRPr="00C33834">
        <w:rPr>
          <w:rFonts w:ascii="Times New Roman" w:hAnsi="Times New Roman"/>
          <w:color w:val="000000" w:themeColor="text1"/>
          <w:sz w:val="16"/>
          <w:szCs w:val="16"/>
        </w:rPr>
        <w:tab/>
        <w:t>1200</w:t>
      </w:r>
    </w:p>
    <w:p w14:paraId="13B5869D"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авиабензина зимнего</w:t>
      </w:r>
      <w:r w:rsidRPr="00C33834">
        <w:rPr>
          <w:rFonts w:ascii="Times New Roman" w:hAnsi="Times New Roman"/>
          <w:color w:val="000000" w:themeColor="text1"/>
          <w:sz w:val="16"/>
          <w:szCs w:val="16"/>
        </w:rPr>
        <w:tab/>
        <w:t>550</w:t>
      </w:r>
    </w:p>
    <w:p w14:paraId="35F9F806"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летнего</w:t>
      </w:r>
      <w:r w:rsidRPr="00C33834">
        <w:rPr>
          <w:rFonts w:ascii="Times New Roman" w:hAnsi="Times New Roman"/>
          <w:color w:val="000000" w:themeColor="text1"/>
          <w:sz w:val="16"/>
          <w:szCs w:val="16"/>
        </w:rPr>
        <w:tab/>
        <w:t>200</w:t>
      </w:r>
    </w:p>
    <w:p w14:paraId="51ACC07E"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Отгрузку производить наравне с УВВС</w:t>
      </w:r>
    </w:p>
    <w:p w14:paraId="6B617218"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Обязать НКТП (т. Пятаков) выдать Глававиапрому недоданные в сентябре, согласно решению СТО от 26 июля и 13 августа 1933:</w:t>
      </w:r>
    </w:p>
    <w:p w14:paraId="1462F822"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тракторов</w:t>
      </w:r>
      <w:r w:rsidRPr="00C33834">
        <w:rPr>
          <w:rFonts w:ascii="Times New Roman" w:hAnsi="Times New Roman"/>
          <w:color w:val="000000" w:themeColor="text1"/>
          <w:sz w:val="16"/>
          <w:szCs w:val="16"/>
        </w:rPr>
        <w:tab/>
        <w:t>5 шт.</w:t>
      </w:r>
    </w:p>
    <w:p w14:paraId="33D5FC1B"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легковых автомашин</w:t>
      </w:r>
      <w:r w:rsidRPr="00C33834">
        <w:rPr>
          <w:rFonts w:ascii="Times New Roman" w:hAnsi="Times New Roman"/>
          <w:color w:val="000000" w:themeColor="text1"/>
          <w:sz w:val="16"/>
          <w:szCs w:val="16"/>
        </w:rPr>
        <w:tab/>
        <w:t>2</w:t>
      </w:r>
    </w:p>
    <w:p w14:paraId="333563C9"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грузовых</w:t>
      </w:r>
      <w:r w:rsidRPr="00C33834">
        <w:rPr>
          <w:rFonts w:ascii="Times New Roman" w:hAnsi="Times New Roman"/>
          <w:color w:val="000000" w:themeColor="text1"/>
          <w:sz w:val="16"/>
          <w:szCs w:val="16"/>
        </w:rPr>
        <w:tab/>
        <w:t>15</w:t>
      </w:r>
    </w:p>
    <w:p w14:paraId="2241F6E7"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автобусов</w:t>
      </w:r>
      <w:r w:rsidRPr="00C33834">
        <w:rPr>
          <w:rFonts w:ascii="Times New Roman" w:hAnsi="Times New Roman"/>
          <w:color w:val="000000" w:themeColor="text1"/>
          <w:sz w:val="16"/>
          <w:szCs w:val="16"/>
        </w:rPr>
        <w:tab/>
        <w:t>4</w:t>
      </w:r>
    </w:p>
    <w:p w14:paraId="57A9D070"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выделить в 1У кв. за свет фондов НКТяжпрома:</w:t>
      </w:r>
    </w:p>
    <w:p w14:paraId="28AE2E55"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грузовых автомашин</w:t>
      </w:r>
      <w:r w:rsidRPr="00C33834">
        <w:rPr>
          <w:rFonts w:ascii="Times New Roman" w:hAnsi="Times New Roman"/>
          <w:color w:val="000000" w:themeColor="text1"/>
          <w:sz w:val="16"/>
          <w:szCs w:val="16"/>
        </w:rPr>
        <w:tab/>
        <w:t>40</w:t>
      </w:r>
    </w:p>
    <w:p w14:paraId="3D343DF5"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легковых автомашин</w:t>
      </w:r>
      <w:r w:rsidRPr="00C33834">
        <w:rPr>
          <w:rFonts w:ascii="Times New Roman" w:hAnsi="Times New Roman"/>
          <w:color w:val="000000" w:themeColor="text1"/>
          <w:sz w:val="16"/>
          <w:szCs w:val="16"/>
        </w:rPr>
        <w:tab/>
        <w:t>10</w:t>
      </w:r>
    </w:p>
    <w:p w14:paraId="1839B9FF"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санитарных</w:t>
      </w:r>
      <w:r w:rsidRPr="00C33834">
        <w:rPr>
          <w:rFonts w:ascii="Times New Roman" w:hAnsi="Times New Roman"/>
          <w:color w:val="000000" w:themeColor="text1"/>
          <w:sz w:val="16"/>
          <w:szCs w:val="16"/>
        </w:rPr>
        <w:tab/>
        <w:t>4</w:t>
      </w:r>
    </w:p>
    <w:p w14:paraId="79A124E1"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автостартеров</w:t>
      </w:r>
      <w:r w:rsidRPr="00C33834">
        <w:rPr>
          <w:rFonts w:ascii="Times New Roman" w:hAnsi="Times New Roman"/>
          <w:color w:val="000000" w:themeColor="text1"/>
          <w:sz w:val="16"/>
          <w:szCs w:val="16"/>
        </w:rPr>
        <w:tab/>
        <w:t>5</w:t>
      </w:r>
    </w:p>
    <w:p w14:paraId="3610C340"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тягачей</w:t>
      </w:r>
      <w:r w:rsidRPr="00C33834">
        <w:rPr>
          <w:rFonts w:ascii="Times New Roman" w:hAnsi="Times New Roman"/>
          <w:color w:val="000000" w:themeColor="text1"/>
          <w:sz w:val="16"/>
          <w:szCs w:val="16"/>
        </w:rPr>
        <w:tab/>
        <w:t>20</w:t>
      </w:r>
    </w:p>
    <w:p w14:paraId="3C1F3D4D"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5) Обязать Главтрансмаш НКТП поставить Глававиапрому в 1У кв. 25 платформ и 2 паровоза или мотовоза</w:t>
      </w:r>
    </w:p>
    <w:p w14:paraId="157F7EA7"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Обязать ВЗО (т. Чернова) отпустить заводам ГУАП с завода АТЭ</w:t>
      </w:r>
    </w:p>
    <w:p w14:paraId="572A91AD"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авиамагнето рабочих типа БС-5</w:t>
      </w:r>
      <w:r w:rsidRPr="00C33834">
        <w:rPr>
          <w:rFonts w:ascii="Times New Roman" w:hAnsi="Times New Roman"/>
          <w:color w:val="000000" w:themeColor="text1"/>
          <w:sz w:val="16"/>
          <w:szCs w:val="16"/>
        </w:rPr>
        <w:tab/>
        <w:t>2100</w:t>
      </w:r>
    </w:p>
    <w:p w14:paraId="17237EDB"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БС-9</w:t>
      </w:r>
      <w:r w:rsidRPr="00C33834">
        <w:rPr>
          <w:rFonts w:ascii="Times New Roman" w:hAnsi="Times New Roman"/>
          <w:color w:val="000000" w:themeColor="text1"/>
          <w:sz w:val="16"/>
          <w:szCs w:val="16"/>
        </w:rPr>
        <w:tab/>
        <w:t>500</w:t>
      </w:r>
    </w:p>
    <w:p w14:paraId="47C64557"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БС-12 правых</w:t>
      </w:r>
      <w:r w:rsidRPr="00C33834">
        <w:rPr>
          <w:rFonts w:ascii="Times New Roman" w:hAnsi="Times New Roman"/>
          <w:color w:val="000000" w:themeColor="text1"/>
          <w:sz w:val="16"/>
          <w:szCs w:val="16"/>
        </w:rPr>
        <w:tab/>
        <w:t>600</w:t>
      </w:r>
    </w:p>
    <w:p w14:paraId="1C5EF3C6"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БС-12 левых</w:t>
      </w:r>
      <w:r w:rsidRPr="00C33834">
        <w:rPr>
          <w:rFonts w:ascii="Times New Roman" w:hAnsi="Times New Roman"/>
          <w:color w:val="000000" w:themeColor="text1"/>
          <w:sz w:val="16"/>
          <w:szCs w:val="16"/>
        </w:rPr>
        <w:tab/>
        <w:t>3638</w:t>
      </w:r>
    </w:p>
    <w:p w14:paraId="01BAAC41"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ПС</w:t>
      </w:r>
      <w:r w:rsidRPr="00C33834">
        <w:rPr>
          <w:rFonts w:ascii="Times New Roman" w:hAnsi="Times New Roman"/>
          <w:color w:val="000000" w:themeColor="text1"/>
          <w:sz w:val="16"/>
          <w:szCs w:val="16"/>
        </w:rPr>
        <w:tab/>
        <w:t>1000</w:t>
      </w:r>
    </w:p>
    <w:p w14:paraId="716EEB5D"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В целях обеспечения производства реверсивных муфт к мотору М-34 передать завод “Спартак” из Ватозапчасть в ведение ГУАП, не снимая с него обязательства по запчастям для автотранспортной промышленности.</w:t>
      </w:r>
    </w:p>
    <w:p w14:paraId="47484001"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Обязать Ивановский облисполком обеспечить бесперебойное снабжение электроэнергией завода № 25</w:t>
      </w:r>
    </w:p>
    <w:p w14:paraId="39CC4273"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По финансированию</w:t>
      </w:r>
    </w:p>
    <w:p w14:paraId="6C1E18AE"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НКФ СССР целиком безоговорочно покрыть утвержденное Правительством ГУАПу годовое финансирование в пополнение оборотных средств в размере 51 млн. руб. и выделить в 1У кв. отстаток от годового назначения в размере 18,3 млн. руб.</w:t>
      </w:r>
    </w:p>
    <w:p w14:paraId="59A5C26C"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По транспорту:</w:t>
      </w:r>
    </w:p>
    <w:p w14:paraId="472082C6"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Предложить НКПС приравнять перевозку грузов для авиазаводов по очередности к военным перевозкам</w:t>
      </w:r>
    </w:p>
    <w:p w14:paraId="4545C217"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Обязать НКПС выделить ГУАПу для перевозок производственных материалов с центрального базового склада (ст. Люберцы, М.Казанская) 800 вагонов и со станции Фили - 400 вагонов</w:t>
      </w:r>
    </w:p>
    <w:p w14:paraId="2033D63B"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Обязать Госзнак поставить Авиапромышленности для прокладок к моторам: бумаги ватманской 45000 листов и полутканной - 50000 листов, а Главбумпрому обеспечить Госзнак целлюлозой соответствующего качества в количестве 15 т.</w:t>
      </w:r>
    </w:p>
    <w:p w14:paraId="7FAE6228"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Обязать Союзбумснабсбыт поставить Глававиапрому александрийской бумаги 80000 листов.</w:t>
      </w:r>
    </w:p>
    <w:p w14:paraId="5FF898BB"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У1 В целях своевременной подготовки к 1934 обязать НКТП (ГУАП) совместно с НКВоенмором немедленно приступить к проработке всего плана 1934 г. и наметить все необходимые мероприятия, обеспечивающие выполнение программы 1934 г., как в части строительства, так и всех видов снабжения, и внести в СТО к 10 ноябряч 1933 г.</w:t>
      </w:r>
    </w:p>
    <w:p w14:paraId="5F08360B"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НКВМор в декадный срок уточнить и представить свой заказ авиапромышленности на 1934 г. (3777,2-7).</w:t>
      </w:r>
    </w:p>
    <w:p w14:paraId="590E245A"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p>
    <w:p w14:paraId="0E95812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октября 1933 вышло постановление СТО N 103сс/о "О мероприятиях по выполнению авиационной программы 1933". В основном о низком качестве (2282,62).</w:t>
      </w:r>
    </w:p>
    <w:p w14:paraId="1888F46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СТО отмечает, что наряду с заводами, успешно выполнившими за 9 месяцев свою производственную программу по основным объектам (22 - ТБ-3 М-17, 39 - ТБ-3 м_17, 21 - И-5 с М-226 24 - М-34, 26 - М-17, 23 - У-2 М-11), не справились с поставленным программным заданием заводы 1, 31 и 29 (И-7 М-17, Р-6 М-17, Р-5А М-17, МТ-9 и М-22 и М-41)...</w:t>
      </w:r>
    </w:p>
    <w:p w14:paraId="5914426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Констатировать, что при заметном улучшении качества основных типов самолетов и моторов (ТБ-3, Р-5, И-5, У-2, М-17) выпускаемая заводами продукция все же еще имеет существенные недостатки, осложняющие эксплуатацию и понижающие надежность матчасти в полете, основными из коих являются:</w:t>
      </w:r>
    </w:p>
    <w:p w14:paraId="7944F58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конструкция большинства самолетов перетяжелена</w:t>
      </w:r>
    </w:p>
    <w:p w14:paraId="658B78F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отмечается массовая течь радиаторов и бензокранов</w:t>
      </w:r>
    </w:p>
    <w:p w14:paraId="32AD1FA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быстро появляются люфты в соединениях...</w:t>
      </w:r>
    </w:p>
    <w:p w14:paraId="36A44E2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Вследствие отсутствия эталонов, а также выявившихся в процессе производства конструктивных недостатков, снять с утвержденной программы по самолетостроению на 1933:</w:t>
      </w:r>
    </w:p>
    <w:p w14:paraId="58569A5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по заводу 1 - 145 И-7 с М-17</w:t>
      </w:r>
    </w:p>
    <w:p w14:paraId="0D6AC3B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по заводу 22 - 5 ДИ-3 с М-34</w:t>
      </w:r>
    </w:p>
    <w:p w14:paraId="53E3C08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по заводу 22 - 3 ТБ-4 с М-34</w:t>
      </w:r>
    </w:p>
    <w:p w14:paraId="635D4AC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по заводу 31 - 60 Р-6 с М-34 - весь задел по АНТ-9 передать ГУГВФ</w:t>
      </w:r>
    </w:p>
    <w:p w14:paraId="0D0B022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по заводу 18 - 13 ТБ-3 с М-34 (2282,63).</w:t>
      </w:r>
    </w:p>
    <w:p w14:paraId="7A5D37D3"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65338E50" w14:textId="77777777" w:rsidR="008A5189" w:rsidRPr="00C33834" w:rsidRDefault="008A5189" w:rsidP="00C33834">
      <w:pPr>
        <w:pStyle w:val="rtejustify"/>
        <w:spacing w:before="0" w:after="0"/>
        <w:rPr>
          <w:color w:val="000000" w:themeColor="text1"/>
          <w:sz w:val="16"/>
          <w:szCs w:val="16"/>
        </w:rPr>
      </w:pPr>
      <w:r w:rsidRPr="00C33834">
        <w:rPr>
          <w:rStyle w:val="af0"/>
          <w:bCs/>
          <w:i w:val="0"/>
          <w:color w:val="000000" w:themeColor="text1"/>
          <w:sz w:val="16"/>
          <w:szCs w:val="16"/>
        </w:rPr>
        <w:t>25 октября</w:t>
      </w:r>
      <w:r w:rsidRPr="00C33834">
        <w:rPr>
          <w:color w:val="000000" w:themeColor="text1"/>
          <w:sz w:val="16"/>
          <w:szCs w:val="16"/>
        </w:rPr>
        <w:t xml:space="preserve"> 1933. Постановление СТО СССР № 103сс/о «О мероприятиях по выполнению авиационной программы 1933 г.». (ГА РФ. Ф. Р</w:t>
      </w:r>
      <w:r w:rsidRPr="00C33834">
        <w:rPr>
          <w:color w:val="000000" w:themeColor="text1"/>
          <w:sz w:val="16"/>
          <w:szCs w:val="16"/>
        </w:rPr>
        <w:noBreakHyphen/>
        <w:t>8418. Оп. 28. Д. 3. Л. 11</w:t>
      </w:r>
      <w:r w:rsidRPr="00C33834">
        <w:rPr>
          <w:color w:val="000000" w:themeColor="text1"/>
          <w:sz w:val="16"/>
          <w:szCs w:val="16"/>
        </w:rPr>
        <w:noBreakHyphen/>
        <w:t>15) (15460).</w:t>
      </w:r>
    </w:p>
    <w:p w14:paraId="05E78C3A" w14:textId="77777777" w:rsidR="008A5189" w:rsidRPr="00C33834" w:rsidRDefault="008A5189" w:rsidP="00C33834">
      <w:pPr>
        <w:pStyle w:val="rtejustify"/>
        <w:spacing w:before="0" w:after="0"/>
        <w:rPr>
          <w:color w:val="000000" w:themeColor="text1"/>
          <w:sz w:val="16"/>
          <w:szCs w:val="16"/>
        </w:rPr>
      </w:pPr>
    </w:p>
    <w:p w14:paraId="1EFB358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октября 1933 года начальник Глававиапрома Королев писал письмо N 12/оп в СТО Базилевичу.</w:t>
      </w:r>
    </w:p>
    <w:p w14:paraId="26417F8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N 1599/ко от 22.10.33 г.</w:t>
      </w:r>
    </w:p>
    <w:p w14:paraId="39C6C8D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развертывании производства гидросамолетов.</w:t>
      </w:r>
    </w:p>
    <w:p w14:paraId="1A14D08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решением СТО от 13.08.с.г. "О форсировании морского гидросамолетостроения" докладываю о следующем.</w:t>
      </w:r>
    </w:p>
    <w:p w14:paraId="2B90A9C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Решено создать мощную производственную базу по гидросамолетостроению в Казани на заводе N 124, расположенном в 10 км от берега Волги.</w:t>
      </w:r>
    </w:p>
    <w:p w14:paraId="67CD1B5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Впредь до создания указанной гидробазы на зав. N 124, внутренней базой будет являться по тяжелым морским машинам типа МК завод N 22, со сборкой производимых этим заводом узлов в Таганроге на зав. N 31 и в Севастополе на зав. N 45 (где будет построен необходимый легкий сборочный цех).</w:t>
      </w:r>
    </w:p>
    <w:p w14:paraId="429FBF3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разворачивания же производства по средним морским машинам типа МБР-2 и МБР-4 используются зав. N 31, 125 и 126. (3099,2).</w:t>
      </w:r>
    </w:p>
    <w:p w14:paraId="05776133"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4FD8883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октября 1933 г. Начальник НИИ ВВС Зильберт утвердил Отчет по дополнительным испытаниям МАВ-1 (ВОМИЗЫ-100).</w:t>
      </w:r>
    </w:p>
    <w:p w14:paraId="40ED8F2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были проведены в период с 24 июля по 9 октября с.г.</w:t>
      </w:r>
    </w:p>
    <w:p w14:paraId="74998C5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Морские испытания с корабля произведены в ладожском озере на глубинах от 5 до 43 морских саженей.</w:t>
      </w:r>
    </w:p>
    <w:p w14:paraId="41AA59F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Воздушные испытания - в Финском заливе в створе Петергоф-лисий нос на глубинах 3 м. саж. и к северу от Толбухина маяка на глубинах 11-12 м. саж. самолетами ТБ-1 и ТБ-3 с сухопутного аэродрома (Комендантского), с высот от 600 до 1000 м.</w:t>
      </w:r>
    </w:p>
    <w:p w14:paraId="3F497F7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Сброшено с самолета 2 раза с бикфордовым шнуром и 7 раз с гидростатической отдачей (3052).</w:t>
      </w:r>
    </w:p>
    <w:p w14:paraId="01ACD1CE"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5DF974D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25-29 октября 1933 на гидроплане Локхид красного цвета в Москву прилетал Линдберг с супругой и садился на Москву реку от Крымского моста (старого) к станции Динамо (238,115).</w:t>
      </w:r>
    </w:p>
    <w:p w14:paraId="460383D8"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0FE5C100" w14:textId="77777777" w:rsidR="001E1317"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C29D412" w14:textId="77777777" w:rsidR="001E1317" w:rsidRPr="00C33834" w:rsidRDefault="001E1317" w:rsidP="00C33834">
      <w:pPr>
        <w:spacing w:after="0" w:line="240" w:lineRule="auto"/>
        <w:jc w:val="both"/>
        <w:rPr>
          <w:rFonts w:ascii="Times New Roman" w:hAnsi="Times New Roman"/>
          <w:iCs/>
          <w:color w:val="000000" w:themeColor="text1"/>
          <w:sz w:val="16"/>
          <w:szCs w:val="16"/>
        </w:rPr>
      </w:pPr>
    </w:p>
    <w:p w14:paraId="6BB9A3C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октября 1933 года вышло Постановление Правительства СССР, в соответствии с которым ХПЗ должен был к 1 января 1934 года изготовить пять танков Т-35А и один Т-35Б (с двигателем М-34) (3862).</w:t>
      </w:r>
    </w:p>
    <w:p w14:paraId="4BCD2990"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18C0678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октября 1933 танковая программа 1933 по выпуску БТ была увеличена до 1000 танков (3880,6).</w:t>
      </w:r>
    </w:p>
    <w:p w14:paraId="2850ADAA"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3A2323C2"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октября 1933 г. итоги испытаний модернизированной танкетки Т-27 подвели начальник полигона Штагин, начальник испытательного отдела Воробьев и начальник первой станции НИАБТП Кульчицкий.</w:t>
      </w:r>
    </w:p>
    <w:p w14:paraId="711F8A83"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конструкцию танкетки Т-27 были внесены следующие изменения:</w:t>
      </w:r>
    </w:p>
    <w:p w14:paraId="6211B6E7"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Гусеница поставлена с разваленными перьями для уменьшения схождения гусеницы.</w:t>
      </w:r>
    </w:p>
    <w:p w14:paraId="5CA2AABC"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Поставлены задние крылья над гусеницами.</w:t>
      </w:r>
    </w:p>
    <w:p w14:paraId="677CE0EF"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Поставлены наколенники для правой ноги механика водителя и для левой пулеметчика, предохраняющие ноги от ушибов об уголки.</w:t>
      </w:r>
    </w:p>
    <w:p w14:paraId="3CCE2D95"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Вместо пружинных амортизаторов подвески радиатора поставлены резиновые пластины.</w:t>
      </w:r>
    </w:p>
    <w:p w14:paraId="4CB7712A"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Снят канал приточного воздуха.</w:t>
      </w:r>
    </w:p>
    <w:p w14:paraId="347D2F67"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 Сделан макет бронировки козырька над радиатором.</w:t>
      </w:r>
    </w:p>
    <w:p w14:paraId="41903F69"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 Сделано новое крепление АКБ с поддоном.</w:t>
      </w:r>
    </w:p>
    <w:p w14:paraId="55DD7370"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 Правый тормозной валик поставлен усиленный, увеличенного диаметра.</w:t>
      </w:r>
    </w:p>
    <w:p w14:paraId="2BA276CA"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Сделаны лючки в крышках лазов у командира наверх и назад, механик водитель имеет один лючок назад.</w:t>
      </w:r>
    </w:p>
    <w:p w14:paraId="12B3FAD4"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Поставлены пружины и сделаны другие петли крышек лазов.</w:t>
      </w:r>
    </w:p>
    <w:p w14:paraId="1DAA4985"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 Поставлен налобник для водителя.</w:t>
      </w:r>
    </w:p>
    <w:p w14:paraId="28D33721"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м. Изменены крышки сальника.</w:t>
      </w:r>
    </w:p>
    <w:p w14:paraId="49F6AF3A"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 Изменено направление для заводной ручки в кронштейне задней подвески мотора. Для удержания заводной рукоятки в горизонтальном положении поставлена пружина.</w:t>
      </w:r>
    </w:p>
    <w:p w14:paraId="17AD0D6E"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Сиденье механика-водителя обшито сзади асбестом, а спереди войлоком.</w:t>
      </w:r>
    </w:p>
    <w:p w14:paraId="64E8E1C4"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Пулеметная установка II образца установлена с прожиганием двух отверстий в лобовом листе, что не делается на других машинах и имеет люфт в боковой плоскости. Удобной и надежной конструкцией является серийный тип Виккерса, поставленный на пулеметную танкетку Т-27.</w:t>
      </w:r>
    </w:p>
    <w:p w14:paraId="552A0DDE"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 Каретка подачи магазинов поставлена сварная без роликов.</w:t>
      </w:r>
    </w:p>
    <w:p w14:paraId="4962EC8B"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Конструктивные изменения, отмеченные в пункте «п», были встречены негативно еще до проведения испытаний, а по пунктам «м», «н» и «р» требовали дополнительных испытаний. По остальным пунктам после завершения испытаний отмечалось:</w:t>
      </w:r>
    </w:p>
    <w:p w14:paraId="731963BD"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Постановка гусеницы с разваленными перьями вопроса ее схождения с катков и ленивца не разрешают. Число спаданий гусеницы, особенно при разворотах, увеличивается по сравнению с серийным траком.</w:t>
      </w:r>
    </w:p>
    <w:p w14:paraId="3014424C"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Причина – частота перьев, благодаря чему снег с беговой поверхности гусениц не выдавливается, а спрессовывается уменьшая тем самым опорную высоту перьев и способствует спаданию.</w:t>
      </w:r>
    </w:p>
    <w:p w14:paraId="1440222C"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Постановка задних крыльев приводит к защите от грязи танкетки, но конструкция оказалась не жизненна, т.к. при первом же соскакивании гусеницы, крылья пришли в негодность, вследствие чего их пришлось снять после пробега 49 км.</w:t>
      </w:r>
    </w:p>
    <w:p w14:paraId="7B6BAD2D"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Постановка наколенников предохраняет правую ногу механика водителя и левую ногу пулеметчика от ушибов об угольник.</w:t>
      </w:r>
    </w:p>
    <w:p w14:paraId="6CDF8437"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Постановка резиновых пластин вместо пружинных амортизаторов показала себя более надежной и целесообразной.</w:t>
      </w:r>
    </w:p>
    <w:p w14:paraId="55E02F56"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и е. Для сравнительных испытаний вместе с серийной машиной. Установка козырька над радиатором дает ухудшение охлаждения двигателя, вследствие чего при первых же испытаниях машины макет пришлось снять.</w:t>
      </w:r>
    </w:p>
    <w:p w14:paraId="1484CBBD"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 Постановка усиленного валика целесообразна и гарантирует лучшую его работу на скручивание.</w:t>
      </w:r>
    </w:p>
    <w:p w14:paraId="4588CECD"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Люки в крышках лазов необходимы для защиты экипажа машины от нападений, применения ручного огнестрельного оружия. Люк назад у механика водителя расположен высоко и с места сидения не видно дороги назад. Крепление барашком верхнего командирского люка не надежно – последний во время движения машины отвертывается и соскакивает.</w:t>
      </w:r>
    </w:p>
    <w:p w14:paraId="2C7270B5"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Постановка пружин у крышек лазов, облегчает открытие последних, но пружины не прочны и лопаются (после 1100 км).</w:t>
      </w:r>
    </w:p>
    <w:p w14:paraId="3D5A8840"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л. Постановка налобника целесообразна и предохраняет голову механика водителя </w:t>
      </w:r>
    </w:p>
    <w:p w14:paraId="5529D771"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Обивка сидений оказалась надежной и вполне удовлетворительна».</w:t>
      </w:r>
    </w:p>
    <w:p w14:paraId="413ADBDF"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испытаниях оценивались также и серийные агрегаты танкетки Т-27. Указывалось, что за весь пробег в двигателе «Форд-АА», наработавшем 250 ч, «значительных поломок и дефектов не обнаружено». Однако слабым местом являлась подвеска переднего конца двигателя, так как амортизационная пружина «не выдерживает наших дорог». Осадка пружины оказалась столь значительной, что для установки заводной рукоятки требовалось снимать задний фланец. «Кроме того лопасти вентилятора при сильных сотрясениях в пути задевают за обшивку». В этой связи испытатели указали на целесообразность постановки резиновых пластин-амортизаторов по аналогии с новыми амортизаторами радиатора. Критике подверглось натяжное устройство ленивца в виде распорного болта, которое гнулось под воздействием сжимающих усилий.</w:t>
      </w:r>
    </w:p>
    <w:p w14:paraId="0A11E157"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на Т-27 №452 прошли испытания три типа ведущих колес: серийные, с наварным зубом и литые с необработанным зубом. Для наварки зуба использовался твердый сплав «Сталинит». При работе ведущих колес с наварными зубьями наблюдался сильный износ (стирание) проушин траков в местах зацепления, что значительно сокращало срок службы гусениц. Вместе с тем, испытания показали одинаковый износ при использовании серийных и литых ведущих колес. «При возможности получения высококачественного безпузырькового литья целесообразно по экономическим соображениям применение ведущих колес, изготовленных из стального литья и не требующих мехобработки зубьев».</w:t>
      </w:r>
    </w:p>
    <w:p w14:paraId="6AFE8C96"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эксплуатации Т-27 выходили из строя в основном элементы ходовой части, что объяснялось «слишком жесткой подвеской и неприспособленностью движителя для работы в наших дорожных условиях». При движении по разбитому шоссе, а также по проселкам требовались частые остановки для крепления гаек и болтов ходовой части, что снижало средние скорости движения машины. Отмечался срез болтов, поломка листов рессор и катков. Выход из строя последних происходил главным образом в результате срыва резиновых бандажей. Были отмечены 54 поломки первого и второго катков и 28 – пятого и шестого катков. Значительный процент повреждений катков передних тележек испытатели объяснили более тяжелыми условиями работы вследствие перегрузок при движении.</w:t>
      </w:r>
    </w:p>
    <w:p w14:paraId="4264495C" w14:textId="77777777" w:rsidR="00585A9A" w:rsidRPr="00C33834" w:rsidRDefault="00585A9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заключению, сделанному по результатам испытаний, изменения по пунктам «в», «г», «д», «з», «и», «л», «н», «о» сочли целесообразными, а по пунктам «а», «б», «е», «ж», «к» – непригодными для установки на машину без дополнительной доработки (12138).</w:t>
      </w:r>
    </w:p>
    <w:p w14:paraId="1C5F136F" w14:textId="77777777" w:rsidR="00585A9A" w:rsidRPr="00C33834" w:rsidRDefault="00585A9A" w:rsidP="00C33834">
      <w:pPr>
        <w:spacing w:after="0" w:line="240" w:lineRule="auto"/>
        <w:jc w:val="both"/>
        <w:rPr>
          <w:rFonts w:ascii="Times New Roman" w:hAnsi="Times New Roman"/>
          <w:color w:val="000000" w:themeColor="text1"/>
          <w:sz w:val="16"/>
          <w:szCs w:val="16"/>
        </w:rPr>
      </w:pPr>
    </w:p>
    <w:p w14:paraId="067947F8" w14:textId="77777777" w:rsidR="008A5189" w:rsidRPr="00C33834" w:rsidRDefault="008A5189" w:rsidP="00C33834">
      <w:pPr>
        <w:pStyle w:val="rtejustify"/>
        <w:spacing w:before="0" w:after="0"/>
        <w:rPr>
          <w:color w:val="000000" w:themeColor="text1"/>
          <w:sz w:val="16"/>
          <w:szCs w:val="16"/>
        </w:rPr>
      </w:pPr>
      <w:r w:rsidRPr="00C33834">
        <w:rPr>
          <w:rStyle w:val="af0"/>
          <w:bCs/>
          <w:i w:val="0"/>
          <w:color w:val="000000" w:themeColor="text1"/>
          <w:sz w:val="16"/>
          <w:szCs w:val="16"/>
        </w:rPr>
        <w:t>25 октября</w:t>
      </w:r>
      <w:r w:rsidRPr="00C33834">
        <w:rPr>
          <w:color w:val="000000" w:themeColor="text1"/>
          <w:sz w:val="16"/>
          <w:szCs w:val="16"/>
        </w:rPr>
        <w:t xml:space="preserve"> 1933. Постановление СТО СССР № 102сс/о «О мероприятиях по выполнению танковой программы 1933 г.». (ГА РФ. Ф. Р</w:t>
      </w:r>
      <w:r w:rsidRPr="00C33834">
        <w:rPr>
          <w:color w:val="000000" w:themeColor="text1"/>
          <w:sz w:val="16"/>
          <w:szCs w:val="16"/>
        </w:rPr>
        <w:noBreakHyphen/>
        <w:t>8418. Оп. 28. Д. 3. Л. 7</w:t>
      </w:r>
      <w:r w:rsidRPr="00C33834">
        <w:rPr>
          <w:color w:val="000000" w:themeColor="text1"/>
          <w:sz w:val="16"/>
          <w:szCs w:val="16"/>
        </w:rPr>
        <w:noBreakHyphen/>
        <w:t>10) (15460).</w:t>
      </w:r>
    </w:p>
    <w:p w14:paraId="75CAA2DF" w14:textId="77777777" w:rsidR="008A5189" w:rsidRPr="00C33834" w:rsidRDefault="008A5189" w:rsidP="00C33834">
      <w:pPr>
        <w:pStyle w:val="rtejustify"/>
        <w:spacing w:before="0" w:after="0"/>
        <w:rPr>
          <w:color w:val="000000" w:themeColor="text1"/>
          <w:sz w:val="16"/>
          <w:szCs w:val="16"/>
        </w:rPr>
      </w:pPr>
    </w:p>
    <w:p w14:paraId="79D74489" w14:textId="77777777" w:rsidR="008A5189" w:rsidRPr="00C33834" w:rsidRDefault="008A5189" w:rsidP="00C33834">
      <w:pPr>
        <w:pStyle w:val="rtejustify"/>
        <w:spacing w:before="0" w:after="0"/>
        <w:rPr>
          <w:color w:val="000000" w:themeColor="text1"/>
          <w:sz w:val="16"/>
          <w:szCs w:val="16"/>
        </w:rPr>
      </w:pPr>
      <w:r w:rsidRPr="00C33834">
        <w:rPr>
          <w:rStyle w:val="af0"/>
          <w:bCs/>
          <w:i w:val="0"/>
          <w:color w:val="000000" w:themeColor="text1"/>
          <w:sz w:val="16"/>
          <w:szCs w:val="16"/>
        </w:rPr>
        <w:t>25 октября</w:t>
      </w:r>
      <w:r w:rsidRPr="00C33834">
        <w:rPr>
          <w:color w:val="000000" w:themeColor="text1"/>
          <w:sz w:val="16"/>
          <w:szCs w:val="16"/>
        </w:rPr>
        <w:t xml:space="preserve"> 1933. Постановление СТО СССР № 99сс/о «Об усилении судовым составом Морских сил РККА». (ГА РФ. Ф. Р</w:t>
      </w:r>
      <w:r w:rsidRPr="00C33834">
        <w:rPr>
          <w:color w:val="000000" w:themeColor="text1"/>
          <w:sz w:val="16"/>
          <w:szCs w:val="16"/>
        </w:rPr>
        <w:noBreakHyphen/>
        <w:t>8418. Оп. 28. Д. 3. Л. 2</w:t>
      </w:r>
      <w:r w:rsidRPr="00C33834">
        <w:rPr>
          <w:color w:val="000000" w:themeColor="text1"/>
          <w:sz w:val="16"/>
          <w:szCs w:val="16"/>
        </w:rPr>
        <w:noBreakHyphen/>
        <w:t>3) (15460).</w:t>
      </w:r>
    </w:p>
    <w:p w14:paraId="526D41F7" w14:textId="77777777" w:rsidR="008A5189" w:rsidRPr="00C33834" w:rsidRDefault="008A5189" w:rsidP="00C33834">
      <w:pPr>
        <w:pStyle w:val="rtejustify"/>
        <w:spacing w:before="0" w:after="0"/>
        <w:rPr>
          <w:color w:val="000000" w:themeColor="text1"/>
          <w:sz w:val="16"/>
          <w:szCs w:val="16"/>
        </w:rPr>
      </w:pPr>
    </w:p>
    <w:p w14:paraId="448886DC" w14:textId="77777777" w:rsidR="008A5189" w:rsidRPr="00C33834" w:rsidRDefault="008A5189" w:rsidP="00C33834">
      <w:pPr>
        <w:pStyle w:val="rtejustify"/>
        <w:spacing w:before="0" w:after="0"/>
        <w:rPr>
          <w:color w:val="000000" w:themeColor="text1"/>
          <w:sz w:val="16"/>
          <w:szCs w:val="16"/>
        </w:rPr>
      </w:pPr>
      <w:r w:rsidRPr="00C33834">
        <w:rPr>
          <w:rStyle w:val="af0"/>
          <w:bCs/>
          <w:i w:val="0"/>
          <w:color w:val="000000" w:themeColor="text1"/>
          <w:sz w:val="16"/>
          <w:szCs w:val="16"/>
        </w:rPr>
        <w:t>25 октября</w:t>
      </w:r>
      <w:r w:rsidRPr="00C33834">
        <w:rPr>
          <w:color w:val="000000" w:themeColor="text1"/>
          <w:sz w:val="16"/>
          <w:szCs w:val="16"/>
        </w:rPr>
        <w:t xml:space="preserve"> 1933. Постановление СТО СССР № 100сс/о «О выделении НКВМору двигателей внутреннего сгорания». (ГА РФ. Ф. Р</w:t>
      </w:r>
      <w:r w:rsidRPr="00C33834">
        <w:rPr>
          <w:color w:val="000000" w:themeColor="text1"/>
          <w:sz w:val="16"/>
          <w:szCs w:val="16"/>
        </w:rPr>
        <w:noBreakHyphen/>
        <w:t>8418. Оп. 28. Д. 3. Л. 4) (15460).</w:t>
      </w:r>
    </w:p>
    <w:p w14:paraId="44AA6F80" w14:textId="77777777" w:rsidR="008A5189" w:rsidRPr="00C33834" w:rsidRDefault="008A5189" w:rsidP="00C33834">
      <w:pPr>
        <w:pStyle w:val="rtejustify"/>
        <w:spacing w:before="0" w:after="0"/>
        <w:rPr>
          <w:color w:val="000000" w:themeColor="text1"/>
          <w:sz w:val="16"/>
          <w:szCs w:val="16"/>
        </w:rPr>
      </w:pPr>
    </w:p>
    <w:p w14:paraId="59846993" w14:textId="77777777" w:rsidR="008A5189" w:rsidRPr="00C33834" w:rsidRDefault="008A5189" w:rsidP="00C33834">
      <w:pPr>
        <w:pStyle w:val="rtejustify"/>
        <w:spacing w:before="0" w:after="0"/>
        <w:rPr>
          <w:color w:val="000000" w:themeColor="text1"/>
          <w:sz w:val="16"/>
          <w:szCs w:val="16"/>
        </w:rPr>
      </w:pPr>
      <w:r w:rsidRPr="00C33834">
        <w:rPr>
          <w:rStyle w:val="af0"/>
          <w:bCs/>
          <w:i w:val="0"/>
          <w:color w:val="000000" w:themeColor="text1"/>
          <w:sz w:val="16"/>
          <w:szCs w:val="16"/>
        </w:rPr>
        <w:t>25 октября</w:t>
      </w:r>
      <w:r w:rsidRPr="00C33834">
        <w:rPr>
          <w:color w:val="000000" w:themeColor="text1"/>
          <w:sz w:val="16"/>
          <w:szCs w:val="16"/>
        </w:rPr>
        <w:t xml:space="preserve"> 1933. Постановление СТО СССР № 101с/о «Об обеспечении Военно-морских сил РККА моторами для катеров». (ГА РФ. Ф. Р</w:t>
      </w:r>
      <w:r w:rsidRPr="00C33834">
        <w:rPr>
          <w:color w:val="000000" w:themeColor="text1"/>
          <w:sz w:val="16"/>
          <w:szCs w:val="16"/>
        </w:rPr>
        <w:noBreakHyphen/>
        <w:t>8418. Оп. 28. Д. 3. Л. 5</w:t>
      </w:r>
      <w:r w:rsidRPr="00C33834">
        <w:rPr>
          <w:color w:val="000000" w:themeColor="text1"/>
          <w:sz w:val="16"/>
          <w:szCs w:val="16"/>
        </w:rPr>
        <w:noBreakHyphen/>
        <w:t>6) (15460).</w:t>
      </w:r>
    </w:p>
    <w:p w14:paraId="47D311B5" w14:textId="77777777" w:rsidR="008A5189" w:rsidRPr="00C33834" w:rsidRDefault="008A5189" w:rsidP="00C33834">
      <w:pPr>
        <w:pStyle w:val="rtejustify"/>
        <w:spacing w:before="0" w:after="0"/>
        <w:rPr>
          <w:color w:val="000000" w:themeColor="text1"/>
          <w:sz w:val="16"/>
          <w:szCs w:val="16"/>
        </w:rPr>
      </w:pPr>
    </w:p>
    <w:p w14:paraId="075B166A" w14:textId="77777777" w:rsidR="001E1317"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4C7782D3"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1FE2B9D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октября 1933 был выпущен циркуляр ОГПУ № 109:</w:t>
      </w:r>
    </w:p>
    <w:p w14:paraId="580010C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планомерного распределения и лучшего использования вновь осуждаемых специалистов ПП ОГПУ должны сообщать в ГУЛАГ ОГПУ о всех высококвалифицированных специалистах как осужденных Тройками ПП к лишению свободы, так и осужденных органами НКЮ, находящихся на территории данного ПП ОГПУ. В сведениях надо указывать фамилию, имя, отчество, кем и когда осужден, статью, срок, специальность, стаж, по-следнее место работы. Сведения высылаются на всех инженеров, техников, профессоров, научных работников, врачей, агрономов, плановиков-экономистов и крупных адмхозработников (директоров, членов правлений объединений и трестов). По получении от ПП ОГПУ сведений, ГУЛАГ ОГПУ будет выдавать индивидуальные наряды на отправление осужденных специалистов в лагеря» (7560).</w:t>
      </w:r>
    </w:p>
    <w:p w14:paraId="15904117"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5A1DDBE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октября 1933 последовал приказ по лагерю за № 362, в котором Фирин распорядился реорганизовать существовавшие в отделениях Дмитлага духовые оркестры в «Специальные освобожденные музкоманды», зачислить в центральный оркестр КВО прибывших из Вишлага заключенных-музыкантов и подготовить «инструкцию о порядке использования духовых оркестров, с установкой на обслуживание трассы в первую очередь» (7560).</w:t>
      </w:r>
    </w:p>
    <w:p w14:paraId="468B2BBA"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6419587B" w14:textId="77777777" w:rsidR="001E1317"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B6465B0" w14:textId="77777777" w:rsidR="001E1317" w:rsidRPr="00C33834" w:rsidRDefault="001E1317" w:rsidP="00C33834">
      <w:pPr>
        <w:spacing w:after="0" w:line="240" w:lineRule="auto"/>
        <w:jc w:val="both"/>
        <w:rPr>
          <w:rFonts w:ascii="Times New Roman" w:hAnsi="Times New Roman"/>
          <w:iCs/>
          <w:color w:val="000000" w:themeColor="text1"/>
          <w:sz w:val="16"/>
          <w:szCs w:val="16"/>
        </w:rPr>
      </w:pPr>
    </w:p>
    <w:p w14:paraId="159DE63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октября 1933 в ходе гос. испытаний ТБ-3 (АНТ-6) 22 завода N 22202 с 4М-34Р в качестве эталона на 34 год, которые проходили с 18 октября по 5 декабря 1933, был выполнен полет на километраж (2264,117).</w:t>
      </w:r>
    </w:p>
    <w:p w14:paraId="65954DDA"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2BD892C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состоянию на 26 октября 1933 г. была подготовлена Сводка о ходе заводских испытаний с-та К-7 директора завода и Председателя комиссии по проведению полетных испытаний К.А.К. т члена комиссии и ответственного секретаря П.С.Ситникова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F26F01" w:rsidRPr="00C33834" w14:paraId="6F0D66D7" w14:textId="77777777">
        <w:tc>
          <w:tcPr>
            <w:tcW w:w="1384" w:type="dxa"/>
            <w:tcBorders>
              <w:top w:val="single" w:sz="12" w:space="0" w:color="auto"/>
            </w:tcBorders>
          </w:tcPr>
          <w:p w14:paraId="2E842D1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Дата испытания</w:t>
            </w:r>
          </w:p>
        </w:tc>
        <w:tc>
          <w:tcPr>
            <w:tcW w:w="2410" w:type="dxa"/>
            <w:tcBorders>
              <w:top w:val="single" w:sz="12" w:space="0" w:color="auto"/>
            </w:tcBorders>
          </w:tcPr>
          <w:p w14:paraId="1FC3BAA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w:t>
            </w:r>
          </w:p>
        </w:tc>
        <w:tc>
          <w:tcPr>
            <w:tcW w:w="1089" w:type="dxa"/>
            <w:tcBorders>
              <w:top w:val="single" w:sz="12" w:space="0" w:color="auto"/>
            </w:tcBorders>
          </w:tcPr>
          <w:p w14:paraId="32DC81F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5071DC4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3B1BA46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2E7F91E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tc>
      </w:tr>
      <w:tr w:rsidR="00F26F01" w:rsidRPr="00C33834" w14:paraId="19FEACDE" w14:textId="77777777">
        <w:tc>
          <w:tcPr>
            <w:tcW w:w="1384" w:type="dxa"/>
          </w:tcPr>
          <w:p w14:paraId="702F461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августа 1933</w:t>
            </w:r>
          </w:p>
        </w:tc>
        <w:tc>
          <w:tcPr>
            <w:tcW w:w="2410" w:type="dxa"/>
          </w:tcPr>
          <w:p w14:paraId="60A076C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Проба мотора</w:t>
            </w:r>
          </w:p>
        </w:tc>
        <w:tc>
          <w:tcPr>
            <w:tcW w:w="1089" w:type="dxa"/>
          </w:tcPr>
          <w:p w14:paraId="06F8D64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w:t>
            </w:r>
          </w:p>
        </w:tc>
        <w:tc>
          <w:tcPr>
            <w:tcW w:w="3447" w:type="dxa"/>
          </w:tcPr>
          <w:p w14:paraId="1342426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7 моторов с-та работали нормально</w:t>
            </w:r>
          </w:p>
        </w:tc>
        <w:tc>
          <w:tcPr>
            <w:tcW w:w="1776" w:type="dxa"/>
          </w:tcPr>
          <w:p w14:paraId="6FFA61F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Поправки к электрическим счетчикам оборотов - 180-200</w:t>
            </w:r>
          </w:p>
        </w:tc>
        <w:tc>
          <w:tcPr>
            <w:tcW w:w="1105" w:type="dxa"/>
          </w:tcPr>
          <w:p w14:paraId="738D979F" w14:textId="77777777" w:rsidR="001E1317" w:rsidRPr="00C33834" w:rsidRDefault="001E1317" w:rsidP="00C33834">
            <w:pPr>
              <w:spacing w:after="0" w:line="240" w:lineRule="auto"/>
              <w:jc w:val="both"/>
              <w:rPr>
                <w:rFonts w:ascii="Times New Roman" w:hAnsi="Times New Roman"/>
                <w:color w:val="000000" w:themeColor="text1"/>
                <w:sz w:val="16"/>
                <w:szCs w:val="16"/>
              </w:rPr>
            </w:pPr>
          </w:p>
        </w:tc>
      </w:tr>
      <w:tr w:rsidR="00F26F01" w:rsidRPr="00C33834" w14:paraId="63B096F9" w14:textId="77777777">
        <w:tc>
          <w:tcPr>
            <w:tcW w:w="1384" w:type="dxa"/>
          </w:tcPr>
          <w:p w14:paraId="5A3A8F1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7 августа 1933</w:t>
            </w:r>
          </w:p>
        </w:tc>
        <w:tc>
          <w:tcPr>
            <w:tcW w:w="2410" w:type="dxa"/>
          </w:tcPr>
          <w:p w14:paraId="139092B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Взвешивание пустого с-та и определение ЦТ</w:t>
            </w:r>
          </w:p>
        </w:tc>
        <w:tc>
          <w:tcPr>
            <w:tcW w:w="1089" w:type="dxa"/>
          </w:tcPr>
          <w:p w14:paraId="2C5A42A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447" w:type="dxa"/>
          </w:tcPr>
          <w:p w14:paraId="1DBB493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конструкции пустого с-та - 22.900 кг. ЦТ расположен на 32,5% макс. аэродинамической хорды</w:t>
            </w:r>
          </w:p>
        </w:tc>
        <w:tc>
          <w:tcPr>
            <w:tcW w:w="1776" w:type="dxa"/>
          </w:tcPr>
          <w:p w14:paraId="34F4D9A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105" w:type="dxa"/>
          </w:tcPr>
          <w:p w14:paraId="304F0CF3" w14:textId="77777777" w:rsidR="001E1317" w:rsidRPr="00C33834" w:rsidRDefault="001E1317" w:rsidP="00C33834">
            <w:pPr>
              <w:spacing w:after="0" w:line="240" w:lineRule="auto"/>
              <w:jc w:val="both"/>
              <w:rPr>
                <w:rFonts w:ascii="Times New Roman" w:hAnsi="Times New Roman"/>
                <w:color w:val="000000" w:themeColor="text1"/>
                <w:sz w:val="16"/>
                <w:szCs w:val="16"/>
              </w:rPr>
            </w:pPr>
          </w:p>
        </w:tc>
      </w:tr>
      <w:tr w:rsidR="00F26F01" w:rsidRPr="00C33834" w14:paraId="2369B8D9" w14:textId="77777777">
        <w:tc>
          <w:tcPr>
            <w:tcW w:w="1384" w:type="dxa"/>
          </w:tcPr>
          <w:p w14:paraId="089CC05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августа 1933</w:t>
            </w:r>
          </w:p>
        </w:tc>
        <w:tc>
          <w:tcPr>
            <w:tcW w:w="2410" w:type="dxa"/>
          </w:tcPr>
          <w:p w14:paraId="008BF3C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Первая рулежка с-та по аэродрому</w:t>
            </w:r>
          </w:p>
        </w:tc>
        <w:tc>
          <w:tcPr>
            <w:tcW w:w="1089" w:type="dxa"/>
          </w:tcPr>
          <w:p w14:paraId="1413937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Запуск моторов: 0:25</w:t>
            </w:r>
          </w:p>
          <w:p w14:paraId="4E0C762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моторов: 1:24</w:t>
            </w:r>
          </w:p>
          <w:p w14:paraId="4F1E61B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Рулежка: 0:49</w:t>
            </w:r>
          </w:p>
        </w:tc>
        <w:tc>
          <w:tcPr>
            <w:tcW w:w="3447" w:type="dxa"/>
          </w:tcPr>
          <w:p w14:paraId="5B96B47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рулежке достаточно работы 2-х моторов на 1000-1200 оборотов, машина разворачивается при даче усиленного газа одному из крайних моторов. Действие тормозов - удовлетворительное. Скррость рулежки - 25 км/час</w:t>
            </w:r>
          </w:p>
        </w:tc>
        <w:tc>
          <w:tcPr>
            <w:tcW w:w="1776" w:type="dxa"/>
          </w:tcPr>
          <w:p w14:paraId="3F95378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Регулировка рукояток управления газом - невполне удовлетворительная. Неудобство их расположения (устранено)</w:t>
            </w:r>
          </w:p>
          <w:p w14:paraId="5A80262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Слабые ограничители отклонений рулей поворота и глубины (устранены)</w:t>
            </w:r>
          </w:p>
        </w:tc>
        <w:tc>
          <w:tcPr>
            <w:tcW w:w="1105" w:type="dxa"/>
          </w:tcPr>
          <w:p w14:paraId="0143DC5E" w14:textId="77777777" w:rsidR="001E1317" w:rsidRPr="00C33834" w:rsidRDefault="001E1317" w:rsidP="00C33834">
            <w:pPr>
              <w:spacing w:after="0" w:line="240" w:lineRule="auto"/>
              <w:jc w:val="both"/>
              <w:rPr>
                <w:rFonts w:ascii="Times New Roman" w:hAnsi="Times New Roman"/>
                <w:color w:val="000000" w:themeColor="text1"/>
                <w:sz w:val="16"/>
                <w:szCs w:val="16"/>
              </w:rPr>
            </w:pPr>
          </w:p>
        </w:tc>
      </w:tr>
      <w:tr w:rsidR="00F26F01" w:rsidRPr="00C33834" w14:paraId="48A18419" w14:textId="77777777">
        <w:tc>
          <w:tcPr>
            <w:tcW w:w="1384" w:type="dxa"/>
          </w:tcPr>
          <w:p w14:paraId="29E5273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августа 1933</w:t>
            </w:r>
          </w:p>
        </w:tc>
        <w:tc>
          <w:tcPr>
            <w:tcW w:w="2410" w:type="dxa"/>
          </w:tcPr>
          <w:p w14:paraId="571F1C4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Вторая рулежка с-та К-7</w:t>
            </w:r>
          </w:p>
        </w:tc>
        <w:tc>
          <w:tcPr>
            <w:tcW w:w="1089" w:type="dxa"/>
          </w:tcPr>
          <w:p w14:paraId="5F8D7C9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Запуск моторов: 0:42</w:t>
            </w:r>
          </w:p>
          <w:p w14:paraId="51F1A17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моторов: 1:58</w:t>
            </w:r>
          </w:p>
          <w:p w14:paraId="3DCB5E2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Рулежка: 0:45</w:t>
            </w:r>
          </w:p>
        </w:tc>
        <w:tc>
          <w:tcPr>
            <w:tcW w:w="3447" w:type="dxa"/>
          </w:tcPr>
          <w:p w14:paraId="3DE8639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разворот с места на 180 гр. - 1:20</w:t>
            </w:r>
          </w:p>
          <w:p w14:paraId="1741C57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полный круг на 360 гр - 1:18, д - 69 м (против часовой)</w:t>
            </w:r>
          </w:p>
          <w:p w14:paraId="51413AC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то же по часовой - 0:59, д. 49 м</w:t>
            </w:r>
          </w:p>
          <w:p w14:paraId="4E77AD6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разворот на 180 гр. - 0:29</w:t>
            </w:r>
          </w:p>
          <w:p w14:paraId="6043C6C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скорость пробежки - 60 км/час</w:t>
            </w:r>
          </w:p>
          <w:p w14:paraId="232D4D8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непродолжительный отрыз от земли (1-2 сек)</w:t>
            </w:r>
          </w:p>
          <w:p w14:paraId="1C052032" w14:textId="77777777" w:rsidR="001E1317" w:rsidRPr="00C33834" w:rsidRDefault="001E1317" w:rsidP="00C33834">
            <w:pPr>
              <w:spacing w:after="0" w:line="240" w:lineRule="auto"/>
              <w:jc w:val="both"/>
              <w:rPr>
                <w:rFonts w:ascii="Times New Roman" w:hAnsi="Times New Roman"/>
                <w:color w:val="000000" w:themeColor="text1"/>
                <w:sz w:val="16"/>
                <w:szCs w:val="16"/>
              </w:rPr>
            </w:pPr>
          </w:p>
        </w:tc>
        <w:tc>
          <w:tcPr>
            <w:tcW w:w="1776" w:type="dxa"/>
          </w:tcPr>
          <w:p w14:paraId="0BB0EF5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Разрыв покрышки и камеры Пальмер левого заднего колеса правого шасси (устранено)</w:t>
            </w:r>
          </w:p>
          <w:p w14:paraId="1DD99F0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Колебания хвостовых ферм и оперения 9устранено)</w:t>
            </w:r>
          </w:p>
        </w:tc>
        <w:tc>
          <w:tcPr>
            <w:tcW w:w="1105" w:type="dxa"/>
          </w:tcPr>
          <w:p w14:paraId="40B70758" w14:textId="77777777" w:rsidR="001E1317" w:rsidRPr="00C33834" w:rsidRDefault="001E1317" w:rsidP="00C33834">
            <w:pPr>
              <w:spacing w:after="0" w:line="240" w:lineRule="auto"/>
              <w:jc w:val="both"/>
              <w:rPr>
                <w:rFonts w:ascii="Times New Roman" w:hAnsi="Times New Roman"/>
                <w:color w:val="000000" w:themeColor="text1"/>
                <w:sz w:val="16"/>
                <w:szCs w:val="16"/>
              </w:rPr>
            </w:pPr>
          </w:p>
        </w:tc>
      </w:tr>
      <w:tr w:rsidR="00F26F01" w:rsidRPr="00C33834" w14:paraId="1CA7FBEA" w14:textId="77777777">
        <w:tc>
          <w:tcPr>
            <w:tcW w:w="1384" w:type="dxa"/>
          </w:tcPr>
          <w:p w14:paraId="775597B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августа 1933</w:t>
            </w:r>
          </w:p>
        </w:tc>
        <w:tc>
          <w:tcPr>
            <w:tcW w:w="2410" w:type="dxa"/>
          </w:tcPr>
          <w:p w14:paraId="29A9F8C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Третья рулежка с-та</w:t>
            </w:r>
          </w:p>
        </w:tc>
        <w:tc>
          <w:tcPr>
            <w:tcW w:w="1089" w:type="dxa"/>
          </w:tcPr>
          <w:p w14:paraId="78B9FE9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Запуск моторов: 1:50</w:t>
            </w:r>
          </w:p>
          <w:p w14:paraId="1268392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Рулежка: 0:10</w:t>
            </w:r>
          </w:p>
        </w:tc>
        <w:tc>
          <w:tcPr>
            <w:tcW w:w="3447" w:type="dxa"/>
          </w:tcPr>
          <w:p w14:paraId="4365487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Исправное состояние вновь установленных колес</w:t>
            </w:r>
          </w:p>
        </w:tc>
        <w:tc>
          <w:tcPr>
            <w:tcW w:w="1776" w:type="dxa"/>
          </w:tcPr>
          <w:p w14:paraId="1F98BE2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Слабость запоров люков передней кромки крыла (устранено)</w:t>
            </w:r>
          </w:p>
        </w:tc>
        <w:tc>
          <w:tcPr>
            <w:tcW w:w="1105" w:type="dxa"/>
          </w:tcPr>
          <w:p w14:paraId="41C4240E" w14:textId="77777777" w:rsidR="001E1317" w:rsidRPr="00C33834" w:rsidRDefault="001E1317" w:rsidP="00C33834">
            <w:pPr>
              <w:spacing w:after="0" w:line="240" w:lineRule="auto"/>
              <w:jc w:val="both"/>
              <w:rPr>
                <w:rFonts w:ascii="Times New Roman" w:hAnsi="Times New Roman"/>
                <w:color w:val="000000" w:themeColor="text1"/>
                <w:sz w:val="16"/>
                <w:szCs w:val="16"/>
              </w:rPr>
            </w:pPr>
          </w:p>
        </w:tc>
      </w:tr>
      <w:tr w:rsidR="00F26F01" w:rsidRPr="00C33834" w14:paraId="1048AB98" w14:textId="77777777">
        <w:tc>
          <w:tcPr>
            <w:tcW w:w="1384" w:type="dxa"/>
          </w:tcPr>
          <w:p w14:paraId="7377F6C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августа 1933</w:t>
            </w:r>
          </w:p>
        </w:tc>
        <w:tc>
          <w:tcPr>
            <w:tcW w:w="2410" w:type="dxa"/>
          </w:tcPr>
          <w:p w14:paraId="5C43280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полет по прямой</w:t>
            </w:r>
          </w:p>
        </w:tc>
        <w:tc>
          <w:tcPr>
            <w:tcW w:w="1089" w:type="dxa"/>
          </w:tcPr>
          <w:p w14:paraId="1763789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Запуск моторов 0:15</w:t>
            </w:r>
          </w:p>
          <w:p w14:paraId="5E1565A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занял несколько секунд</w:t>
            </w:r>
          </w:p>
        </w:tc>
        <w:tc>
          <w:tcPr>
            <w:tcW w:w="3447" w:type="dxa"/>
          </w:tcPr>
          <w:p w14:paraId="75EAD2F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полета 5 м</w:t>
            </w:r>
          </w:p>
          <w:p w14:paraId="4CAB8F1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Посадка на задние колеса с переходом на передние</w:t>
            </w:r>
          </w:p>
          <w:p w14:paraId="6C9D44E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Нормальное действие элеронов и рулей глубины</w:t>
            </w:r>
          </w:p>
          <w:p w14:paraId="6868A90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Управление рулями легкое, нормальная работа тормозов</w:t>
            </w:r>
          </w:p>
          <w:p w14:paraId="122884F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Показания электроческих счетчиков при разбеге - 1380 об/мин</w:t>
            </w:r>
          </w:p>
        </w:tc>
        <w:tc>
          <w:tcPr>
            <w:tcW w:w="1776" w:type="dxa"/>
          </w:tcPr>
          <w:p w14:paraId="378216B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Колебания хвостовой части и необходимость установки боковых подкосов от килей к стабилизатору (устранено)</w:t>
            </w:r>
          </w:p>
        </w:tc>
        <w:tc>
          <w:tcPr>
            <w:tcW w:w="1105" w:type="dxa"/>
          </w:tcPr>
          <w:p w14:paraId="14AEC859" w14:textId="77777777" w:rsidR="001E1317" w:rsidRPr="00C33834" w:rsidRDefault="001E1317" w:rsidP="00C33834">
            <w:pPr>
              <w:spacing w:after="0" w:line="240" w:lineRule="auto"/>
              <w:jc w:val="both"/>
              <w:rPr>
                <w:rFonts w:ascii="Times New Roman" w:hAnsi="Times New Roman"/>
                <w:color w:val="000000" w:themeColor="text1"/>
                <w:sz w:val="16"/>
                <w:szCs w:val="16"/>
              </w:rPr>
            </w:pPr>
          </w:p>
        </w:tc>
      </w:tr>
      <w:tr w:rsidR="00F26F01" w:rsidRPr="00C33834" w14:paraId="5B6C2483" w14:textId="77777777">
        <w:tc>
          <w:tcPr>
            <w:tcW w:w="1384" w:type="dxa"/>
          </w:tcPr>
          <w:p w14:paraId="4EEB8E9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августа 1933</w:t>
            </w:r>
          </w:p>
        </w:tc>
        <w:tc>
          <w:tcPr>
            <w:tcW w:w="2410" w:type="dxa"/>
          </w:tcPr>
          <w:p w14:paraId="3DCAA67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круговой полет с-та К-7. Проба машины, мотора и управления в воздухе</w:t>
            </w:r>
          </w:p>
        </w:tc>
        <w:tc>
          <w:tcPr>
            <w:tcW w:w="1089" w:type="dxa"/>
          </w:tcPr>
          <w:p w14:paraId="22616BD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Запуск моторов 0:05</w:t>
            </w:r>
          </w:p>
          <w:p w14:paraId="0E71EE1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моторов 1:21</w:t>
            </w:r>
          </w:p>
          <w:p w14:paraId="43C6E46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0:14</w:t>
            </w:r>
          </w:p>
        </w:tc>
        <w:tc>
          <w:tcPr>
            <w:tcW w:w="3447" w:type="dxa"/>
          </w:tcPr>
          <w:p w14:paraId="403548A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Разбег 12 гр. 200 м</w:t>
            </w:r>
          </w:p>
          <w:p w14:paraId="573093C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Посадка - нормальная, без торможения</w:t>
            </w:r>
          </w:p>
          <w:p w14:paraId="7DA1BE6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элеровнов - вполне удовлетворительная</w:t>
            </w:r>
          </w:p>
          <w:p w14:paraId="4111C34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стабилизатора - нормальная</w:t>
            </w:r>
          </w:p>
          <w:p w14:paraId="617DDA4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Тенженция машины - легко набирать высоту</w:t>
            </w:r>
          </w:p>
          <w:p w14:paraId="342CB5C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Устойчивость машины во всех плоскостях - нормальная</w:t>
            </w:r>
          </w:p>
        </w:tc>
        <w:tc>
          <w:tcPr>
            <w:tcW w:w="1776" w:type="dxa"/>
          </w:tcPr>
          <w:p w14:paraId="3247870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Эффективности рулей поворота не наблюдалось</w:t>
            </w:r>
          </w:p>
          <w:p w14:paraId="7D135C7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Значительные колебания рулей и серворулей, а также стабилизатора и хвостовых ферм (устранено)</w:t>
            </w:r>
          </w:p>
          <w:p w14:paraId="6AD06F3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Течь водорадиаторов обоих средних моторов (устранено)</w:t>
            </w:r>
          </w:p>
          <w:p w14:paraId="5948882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Температура воды левого 3-го мотора - 105</w:t>
            </w:r>
          </w:p>
          <w:p w14:paraId="4E9BDF9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Разрыв тросса управления правого серворуля (устранено)</w:t>
            </w:r>
          </w:p>
          <w:p w14:paraId="4CDC754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Необходимость удаления компенсации серворулей</w:t>
            </w:r>
          </w:p>
          <w:p w14:paraId="408BCFB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 сильно дымят, особенно при взлете</w:t>
            </w:r>
          </w:p>
        </w:tc>
        <w:tc>
          <w:tcPr>
            <w:tcW w:w="1105" w:type="dxa"/>
          </w:tcPr>
          <w:p w14:paraId="4EACEF7B" w14:textId="77777777" w:rsidR="001E1317" w:rsidRPr="00C33834" w:rsidRDefault="001E1317" w:rsidP="00C33834">
            <w:pPr>
              <w:spacing w:after="0" w:line="240" w:lineRule="auto"/>
              <w:jc w:val="both"/>
              <w:rPr>
                <w:rFonts w:ascii="Times New Roman" w:hAnsi="Times New Roman"/>
                <w:color w:val="000000" w:themeColor="text1"/>
                <w:sz w:val="16"/>
                <w:szCs w:val="16"/>
              </w:rPr>
            </w:pPr>
          </w:p>
        </w:tc>
      </w:tr>
      <w:tr w:rsidR="00F26F01" w:rsidRPr="00C33834" w14:paraId="3DA67D12" w14:textId="77777777">
        <w:tc>
          <w:tcPr>
            <w:tcW w:w="1384" w:type="dxa"/>
          </w:tcPr>
          <w:p w14:paraId="5EC1A5D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сентября 1933</w:t>
            </w:r>
          </w:p>
        </w:tc>
        <w:tc>
          <w:tcPr>
            <w:tcW w:w="2410" w:type="dxa"/>
          </w:tcPr>
          <w:p w14:paraId="4603B9F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пробежки по аэродрому.</w:t>
            </w:r>
          </w:p>
          <w:p w14:paraId="18020D8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Взлет по прямой после удаления компенсации серворулей, изменения крепления троссов, соединения обеих половин стабилизатора в одно целое и установки лонжерона верхнего плана с внутренними подкосами хвостового оперения</w:t>
            </w:r>
          </w:p>
        </w:tc>
        <w:tc>
          <w:tcPr>
            <w:tcW w:w="1089" w:type="dxa"/>
          </w:tcPr>
          <w:p w14:paraId="21CEA56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Запуск моторов - 0:08</w:t>
            </w:r>
          </w:p>
          <w:p w14:paraId="0FAB34D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моторов - 2:13</w:t>
            </w:r>
          </w:p>
        </w:tc>
        <w:tc>
          <w:tcPr>
            <w:tcW w:w="3447" w:type="dxa"/>
          </w:tcPr>
          <w:p w14:paraId="3616AAD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взлетов - 2-3 метра, отрыв от земли - через 12-15 секунд, посадки - нормальные</w:t>
            </w:r>
          </w:p>
          <w:p w14:paraId="1EA5D82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Эффективность действия рулей глубины - нормальная</w:t>
            </w:r>
          </w:p>
          <w:p w14:paraId="5B62DB7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на взлете - 60 км/час</w:t>
            </w:r>
          </w:p>
        </w:tc>
        <w:tc>
          <w:tcPr>
            <w:tcW w:w="1776" w:type="dxa"/>
          </w:tcPr>
          <w:p w14:paraId="7A892E2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Стремление с-та поворачивать при разбеге 9устранено)</w:t>
            </w:r>
          </w:p>
          <w:p w14:paraId="7BBC7F8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\Отсутствие реагирования на рули поворота (устранено)</w:t>
            </w:r>
          </w:p>
          <w:p w14:paraId="09757DD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Течь водяного радиатора второго левого мотора (устранено)</w:t>
            </w:r>
          </w:p>
        </w:tc>
        <w:tc>
          <w:tcPr>
            <w:tcW w:w="1105" w:type="dxa"/>
          </w:tcPr>
          <w:p w14:paraId="7B6A720E" w14:textId="77777777" w:rsidR="001E1317" w:rsidRPr="00C33834" w:rsidRDefault="001E1317" w:rsidP="00C33834">
            <w:pPr>
              <w:spacing w:after="0" w:line="240" w:lineRule="auto"/>
              <w:jc w:val="both"/>
              <w:rPr>
                <w:rFonts w:ascii="Times New Roman" w:hAnsi="Times New Roman"/>
                <w:color w:val="000000" w:themeColor="text1"/>
                <w:sz w:val="16"/>
                <w:szCs w:val="16"/>
              </w:rPr>
            </w:pPr>
          </w:p>
        </w:tc>
      </w:tr>
      <w:tr w:rsidR="00F26F01" w:rsidRPr="00C33834" w14:paraId="05B38DB7" w14:textId="77777777">
        <w:tc>
          <w:tcPr>
            <w:tcW w:w="1384" w:type="dxa"/>
          </w:tcPr>
          <w:p w14:paraId="3718EA4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сентября 1933</w:t>
            </w:r>
          </w:p>
        </w:tc>
        <w:tc>
          <w:tcPr>
            <w:tcW w:w="2410" w:type="dxa"/>
          </w:tcPr>
          <w:p w14:paraId="51E0EF0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Два взлета по прямой</w:t>
            </w:r>
          </w:p>
          <w:p w14:paraId="3D3F9B3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Проверка действия рулей поворота и обтекания деталей оперения</w:t>
            </w:r>
          </w:p>
        </w:tc>
        <w:tc>
          <w:tcPr>
            <w:tcW w:w="1089" w:type="dxa"/>
          </w:tcPr>
          <w:p w14:paraId="4C32707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Запуск моторов - 0:05</w:t>
            </w:r>
          </w:p>
          <w:p w14:paraId="4612274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моторов - 1:28</w:t>
            </w:r>
          </w:p>
        </w:tc>
        <w:tc>
          <w:tcPr>
            <w:tcW w:w="3447" w:type="dxa"/>
          </w:tcPr>
          <w:p w14:paraId="4179ADA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взлетов - 3-4 м.</w:t>
            </w:r>
          </w:p>
          <w:p w14:paraId="7407B7D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Отклонение серворулей и рулей поваорота отвечает движению педалей.</w:t>
            </w:r>
          </w:p>
          <w:p w14:paraId="672544B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Обтекание частей оперения воздушным потоком - нормальное (по флюгерным лентам)</w:t>
            </w:r>
          </w:p>
        </w:tc>
        <w:tc>
          <w:tcPr>
            <w:tcW w:w="1776" w:type="dxa"/>
          </w:tcPr>
          <w:p w14:paraId="1BCB145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Недостаточная эффективность рулей поворота</w:t>
            </w:r>
          </w:p>
        </w:tc>
        <w:tc>
          <w:tcPr>
            <w:tcW w:w="1105" w:type="dxa"/>
          </w:tcPr>
          <w:p w14:paraId="58D886AD" w14:textId="77777777" w:rsidR="001E1317" w:rsidRPr="00C33834" w:rsidRDefault="001E1317" w:rsidP="00C33834">
            <w:pPr>
              <w:spacing w:after="0" w:line="240" w:lineRule="auto"/>
              <w:jc w:val="both"/>
              <w:rPr>
                <w:rFonts w:ascii="Times New Roman" w:hAnsi="Times New Roman"/>
                <w:color w:val="000000" w:themeColor="text1"/>
                <w:sz w:val="16"/>
                <w:szCs w:val="16"/>
              </w:rPr>
            </w:pPr>
          </w:p>
        </w:tc>
      </w:tr>
      <w:tr w:rsidR="00F26F01" w:rsidRPr="00C33834" w14:paraId="250C2ADC" w14:textId="77777777">
        <w:tc>
          <w:tcPr>
            <w:tcW w:w="1384" w:type="dxa"/>
          </w:tcPr>
          <w:p w14:paraId="54506A6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lang w:val="en-US"/>
              </w:rPr>
              <w:t xml:space="preserve">22 </w:t>
            </w:r>
            <w:r w:rsidRPr="00C33834">
              <w:rPr>
                <w:rFonts w:ascii="Times New Roman" w:hAnsi="Times New Roman"/>
                <w:color w:val="000000" w:themeColor="text1"/>
                <w:sz w:val="16"/>
                <w:szCs w:val="16"/>
              </w:rPr>
              <w:t>сентября</w:t>
            </w:r>
            <w:r w:rsidRPr="00C33834">
              <w:rPr>
                <w:rFonts w:ascii="Times New Roman" w:hAnsi="Times New Roman"/>
                <w:color w:val="000000" w:themeColor="text1"/>
                <w:sz w:val="16"/>
                <w:szCs w:val="16"/>
                <w:lang w:val="en-US"/>
              </w:rPr>
              <w:t xml:space="preserve"> 1933</w:t>
            </w:r>
          </w:p>
        </w:tc>
        <w:tc>
          <w:tcPr>
            <w:tcW w:w="2410" w:type="dxa"/>
          </w:tcPr>
          <w:p w14:paraId="2C0F428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Второй круговой полет с целью проверки управляемости машины и наличия колебаний хвостовой части</w:t>
            </w:r>
          </w:p>
        </w:tc>
        <w:tc>
          <w:tcPr>
            <w:tcW w:w="1089" w:type="dxa"/>
          </w:tcPr>
          <w:p w14:paraId="6078A6C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Запуск моторов - 0:08</w:t>
            </w:r>
          </w:p>
          <w:p w14:paraId="0FA25FA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моторов - 2:10</w:t>
            </w:r>
          </w:p>
        </w:tc>
        <w:tc>
          <w:tcPr>
            <w:tcW w:w="3447" w:type="dxa"/>
          </w:tcPr>
          <w:p w14:paraId="633B86B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Отсутствие колебаний хвостовой части, кратковременное появление колебаний (3-4 сек.), устранимое изменением режима заднего мотора</w:t>
            </w:r>
          </w:p>
          <w:p w14:paraId="7DAB210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Нормальная работа элеронов и рулей глубины</w:t>
            </w:r>
          </w:p>
          <w:p w14:paraId="291EAC2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Реагирование с-та на действие ножного управления</w:t>
            </w:r>
          </w:p>
        </w:tc>
        <w:tc>
          <w:tcPr>
            <w:tcW w:w="1776" w:type="dxa"/>
          </w:tcPr>
          <w:p w14:paraId="18BF77B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Недостаточная эффективность рулей поворота на малых скоростях</w:t>
            </w:r>
          </w:p>
        </w:tc>
        <w:tc>
          <w:tcPr>
            <w:tcW w:w="1105" w:type="dxa"/>
          </w:tcPr>
          <w:p w14:paraId="04615525" w14:textId="77777777" w:rsidR="001E1317" w:rsidRPr="00C33834" w:rsidRDefault="001E1317" w:rsidP="00C33834">
            <w:pPr>
              <w:spacing w:after="0" w:line="240" w:lineRule="auto"/>
              <w:jc w:val="both"/>
              <w:rPr>
                <w:rFonts w:ascii="Times New Roman" w:hAnsi="Times New Roman"/>
                <w:color w:val="000000" w:themeColor="text1"/>
                <w:sz w:val="16"/>
                <w:szCs w:val="16"/>
              </w:rPr>
            </w:pPr>
          </w:p>
        </w:tc>
      </w:tr>
      <w:tr w:rsidR="00F26F01" w:rsidRPr="00C33834" w14:paraId="1214F780" w14:textId="77777777">
        <w:tc>
          <w:tcPr>
            <w:tcW w:w="1384" w:type="dxa"/>
          </w:tcPr>
          <w:p w14:paraId="5ED4F929" w14:textId="77777777" w:rsidR="001E1317" w:rsidRPr="00C33834" w:rsidRDefault="001E1317" w:rsidP="00C33834">
            <w:pPr>
              <w:spacing w:after="0" w:line="240" w:lineRule="auto"/>
              <w:jc w:val="both"/>
              <w:rPr>
                <w:rFonts w:ascii="Times New Roman" w:hAnsi="Times New Roman"/>
                <w:color w:val="000000" w:themeColor="text1"/>
                <w:sz w:val="16"/>
                <w:szCs w:val="16"/>
                <w:lang w:val="en-US"/>
              </w:rPr>
            </w:pPr>
            <w:r w:rsidRPr="00C33834">
              <w:rPr>
                <w:rFonts w:ascii="Times New Roman" w:hAnsi="Times New Roman"/>
                <w:color w:val="000000" w:themeColor="text1"/>
                <w:sz w:val="16"/>
                <w:szCs w:val="16"/>
              </w:rPr>
              <w:lastRenderedPageBreak/>
              <w:t>25 сентября 1933</w:t>
            </w:r>
          </w:p>
        </w:tc>
        <w:tc>
          <w:tcPr>
            <w:tcW w:w="2410" w:type="dxa"/>
          </w:tcPr>
          <w:p w14:paraId="2B677F6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Третий полет с целью проверки рулей поворота после увеличения углов их отклонения и изучение вопроса о колебаниях и вибрациях</w:t>
            </w:r>
          </w:p>
        </w:tc>
        <w:tc>
          <w:tcPr>
            <w:tcW w:w="1089" w:type="dxa"/>
          </w:tcPr>
          <w:p w14:paraId="3C9030C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Запуск моторов - 0:10</w:t>
            </w:r>
          </w:p>
          <w:p w14:paraId="02ACBE6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моторов - 1:14</w:t>
            </w:r>
          </w:p>
          <w:p w14:paraId="38123DE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- 0:27</w:t>
            </w:r>
          </w:p>
        </w:tc>
        <w:tc>
          <w:tcPr>
            <w:tcW w:w="3447" w:type="dxa"/>
          </w:tcPr>
          <w:p w14:paraId="2EDDACC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Отрыв от земли на скорости 100 км.</w:t>
            </w:r>
          </w:p>
          <w:p w14:paraId="0939067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полета 300 м, скорость до 170 км/час</w:t>
            </w:r>
          </w:p>
          <w:p w14:paraId="6BB9A5F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Отсутствие колебаний хвостовой части</w:t>
            </w:r>
          </w:p>
          <w:p w14:paraId="4C220C4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на действия рулей реагирует, но недостаточно</w:t>
            </w:r>
          </w:p>
        </w:tc>
        <w:tc>
          <w:tcPr>
            <w:tcW w:w="1776" w:type="dxa"/>
          </w:tcPr>
          <w:p w14:paraId="513D647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Занос с-та при старте влево (устранено)</w:t>
            </w:r>
          </w:p>
          <w:p w14:paraId="3B4337C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Действие рулей с-та - несколько слабее нормального.</w:t>
            </w:r>
          </w:p>
          <w:p w14:paraId="1CC01A1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Мал положительный угол стабилизатора (устранено)</w:t>
            </w:r>
          </w:p>
          <w:p w14:paraId="10B50EA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Течь радиатора третьего правого мотора (устранена)</w:t>
            </w:r>
          </w:p>
          <w:p w14:paraId="0CFF64D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Недостаточны углы отклонения серворулей поворота (устранено)</w:t>
            </w:r>
          </w:p>
        </w:tc>
        <w:tc>
          <w:tcPr>
            <w:tcW w:w="1105" w:type="dxa"/>
          </w:tcPr>
          <w:p w14:paraId="3CCCA64F" w14:textId="77777777" w:rsidR="001E1317" w:rsidRPr="00C33834" w:rsidRDefault="001E1317" w:rsidP="00C33834">
            <w:pPr>
              <w:spacing w:after="0" w:line="240" w:lineRule="auto"/>
              <w:jc w:val="both"/>
              <w:rPr>
                <w:rFonts w:ascii="Times New Roman" w:hAnsi="Times New Roman"/>
                <w:color w:val="000000" w:themeColor="text1"/>
                <w:sz w:val="16"/>
                <w:szCs w:val="16"/>
              </w:rPr>
            </w:pPr>
          </w:p>
        </w:tc>
      </w:tr>
      <w:tr w:rsidR="00F26F01" w:rsidRPr="00C33834" w14:paraId="75416510" w14:textId="77777777">
        <w:tc>
          <w:tcPr>
            <w:tcW w:w="1384" w:type="dxa"/>
          </w:tcPr>
          <w:p w14:paraId="496791F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октября 1933</w:t>
            </w:r>
          </w:p>
        </w:tc>
        <w:tc>
          <w:tcPr>
            <w:tcW w:w="2410" w:type="dxa"/>
          </w:tcPr>
          <w:p w14:paraId="2557678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4-й полет после увеличения углов серворулей поворота и положительного угла стабилизатора</w:t>
            </w:r>
          </w:p>
        </w:tc>
        <w:tc>
          <w:tcPr>
            <w:tcW w:w="1089" w:type="dxa"/>
          </w:tcPr>
          <w:p w14:paraId="252A913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Запуск моторов - 0:10</w:t>
            </w:r>
          </w:p>
          <w:p w14:paraId="6D128EA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моторов - 1:26</w:t>
            </w:r>
          </w:p>
          <w:p w14:paraId="7BF8618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- 0:27</w:t>
            </w:r>
          </w:p>
        </w:tc>
        <w:tc>
          <w:tcPr>
            <w:tcW w:w="3447" w:type="dxa"/>
          </w:tcPr>
          <w:p w14:paraId="02C3753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Разбег 18 сек., высота 370 м</w:t>
            </w:r>
          </w:p>
          <w:p w14:paraId="1F74260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 хорошо выдерживает прямую при старте.</w:t>
            </w:r>
          </w:p>
          <w:p w14:paraId="45E3C81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Пробег - 327 м.</w:t>
            </w:r>
          </w:p>
          <w:p w14:paraId="4E7FFA4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 шел с отпущенным управлением</w:t>
            </w:r>
          </w:p>
          <w:p w14:paraId="1EB0C95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до 190 км/час, максимальное число оборотов по электрическому счетчику - 1450.</w:t>
            </w:r>
          </w:p>
          <w:p w14:paraId="7F29B34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Посадка при положительном угле стабилизатора (не соответствует посадочному)</w:t>
            </w:r>
          </w:p>
          <w:p w14:paraId="7DCF70F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Полетный вес 29 т</w:t>
            </w:r>
          </w:p>
        </w:tc>
        <w:tc>
          <w:tcPr>
            <w:tcW w:w="1776" w:type="dxa"/>
          </w:tcPr>
          <w:p w14:paraId="1A2EEE7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Слабая эффективность рулей поворота.</w:t>
            </w:r>
          </w:p>
          <w:p w14:paraId="157FCAA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Большие нагрузки на ноги пилота.</w:t>
            </w:r>
          </w:p>
          <w:p w14:paraId="628E976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Течь водяного радиатора первого левого мотора (устранено)</w:t>
            </w:r>
          </w:p>
        </w:tc>
        <w:tc>
          <w:tcPr>
            <w:tcW w:w="1105" w:type="dxa"/>
          </w:tcPr>
          <w:p w14:paraId="13531460" w14:textId="77777777" w:rsidR="001E1317" w:rsidRPr="00C33834" w:rsidRDefault="001E1317" w:rsidP="00C33834">
            <w:pPr>
              <w:spacing w:after="0" w:line="240" w:lineRule="auto"/>
              <w:jc w:val="both"/>
              <w:rPr>
                <w:rFonts w:ascii="Times New Roman" w:hAnsi="Times New Roman"/>
                <w:color w:val="000000" w:themeColor="text1"/>
                <w:sz w:val="16"/>
                <w:szCs w:val="16"/>
              </w:rPr>
            </w:pPr>
          </w:p>
        </w:tc>
      </w:tr>
      <w:tr w:rsidR="00F26F01" w:rsidRPr="00C33834" w14:paraId="76B3454B" w14:textId="77777777">
        <w:tc>
          <w:tcPr>
            <w:tcW w:w="1384" w:type="dxa"/>
          </w:tcPr>
          <w:p w14:paraId="68CF0DD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октября 1933</w:t>
            </w:r>
          </w:p>
        </w:tc>
        <w:tc>
          <w:tcPr>
            <w:tcW w:w="2410" w:type="dxa"/>
          </w:tcPr>
          <w:p w14:paraId="6A5415F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Пятый полет после восстановления компенсации серворулей поворота с целью проверки их действия</w:t>
            </w:r>
          </w:p>
        </w:tc>
        <w:tc>
          <w:tcPr>
            <w:tcW w:w="1089" w:type="dxa"/>
          </w:tcPr>
          <w:p w14:paraId="36DBFC3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Запуск моторов - 0:6</w:t>
            </w:r>
          </w:p>
          <w:p w14:paraId="3067FFD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моторов - 1:07</w:t>
            </w:r>
          </w:p>
          <w:p w14:paraId="20CE622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- 0:7,5</w:t>
            </w:r>
          </w:p>
        </w:tc>
        <w:tc>
          <w:tcPr>
            <w:tcW w:w="3447" w:type="dxa"/>
          </w:tcPr>
          <w:p w14:paraId="2898287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120 м</w:t>
            </w:r>
          </w:p>
        </w:tc>
        <w:tc>
          <w:tcPr>
            <w:tcW w:w="1776" w:type="dxa"/>
          </w:tcPr>
          <w:p w14:paraId="705637B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Колебания рулей и серворулей во время полета.</w:t>
            </w:r>
          </w:p>
          <w:p w14:paraId="36A3A44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Необходимо уменьшить компенсацию (устранено)</w:t>
            </w:r>
          </w:p>
        </w:tc>
        <w:tc>
          <w:tcPr>
            <w:tcW w:w="1105" w:type="dxa"/>
          </w:tcPr>
          <w:p w14:paraId="3EE1C79A" w14:textId="77777777" w:rsidR="001E1317" w:rsidRPr="00C33834" w:rsidRDefault="001E1317" w:rsidP="00C33834">
            <w:pPr>
              <w:spacing w:after="0" w:line="240" w:lineRule="auto"/>
              <w:jc w:val="both"/>
              <w:rPr>
                <w:rFonts w:ascii="Times New Roman" w:hAnsi="Times New Roman"/>
                <w:color w:val="000000" w:themeColor="text1"/>
                <w:sz w:val="16"/>
                <w:szCs w:val="16"/>
              </w:rPr>
            </w:pPr>
          </w:p>
        </w:tc>
      </w:tr>
      <w:tr w:rsidR="00F26F01" w:rsidRPr="00C33834" w14:paraId="585E7A49" w14:textId="77777777">
        <w:tc>
          <w:tcPr>
            <w:tcW w:w="1384" w:type="dxa"/>
          </w:tcPr>
          <w:p w14:paraId="5676531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октября 1933</w:t>
            </w:r>
          </w:p>
        </w:tc>
        <w:tc>
          <w:tcPr>
            <w:tcW w:w="2410" w:type="dxa"/>
          </w:tcPr>
          <w:p w14:paraId="145E9B8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6-й полет после уменьшения компенсации серворулей поворота</w:t>
            </w:r>
          </w:p>
        </w:tc>
        <w:tc>
          <w:tcPr>
            <w:tcW w:w="1089" w:type="dxa"/>
          </w:tcPr>
          <w:p w14:paraId="0C80914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Запуск моторов - 0:7</w:t>
            </w:r>
          </w:p>
          <w:p w14:paraId="3B51724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моторов - 2:02</w:t>
            </w:r>
          </w:p>
          <w:p w14:paraId="3E9B18A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- 0:25</w:t>
            </w:r>
          </w:p>
        </w:tc>
        <w:tc>
          <w:tcPr>
            <w:tcW w:w="3447" w:type="dxa"/>
          </w:tcPr>
          <w:p w14:paraId="5F0E150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Разбег - 20 сек., 244 м</w:t>
            </w:r>
          </w:p>
          <w:p w14:paraId="3A49EDF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Пробег 195 м</w:t>
            </w:r>
          </w:p>
          <w:p w14:paraId="413ABB3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Полетный вес 29,5 т</w:t>
            </w:r>
          </w:p>
          <w:p w14:paraId="052D772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1150 м</w:t>
            </w:r>
          </w:p>
          <w:p w14:paraId="3C40561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Набор 1000 м - 9 мин.</w:t>
            </w:r>
          </w:p>
          <w:p w14:paraId="0B33FBD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Нормальное действие серворулей и рулей поворота</w:t>
            </w:r>
          </w:p>
          <w:p w14:paraId="64520DA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- 180 км/час</w:t>
            </w:r>
          </w:p>
        </w:tc>
        <w:tc>
          <w:tcPr>
            <w:tcW w:w="1776" w:type="dxa"/>
          </w:tcPr>
          <w:p w14:paraId="3AE2744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Слабость обшивки около заднего мотора и в передних лазах шасси (устранено)</w:t>
            </w:r>
          </w:p>
        </w:tc>
        <w:tc>
          <w:tcPr>
            <w:tcW w:w="1105" w:type="dxa"/>
          </w:tcPr>
          <w:p w14:paraId="1C93422D" w14:textId="77777777" w:rsidR="001E1317" w:rsidRPr="00C33834" w:rsidRDefault="001E1317" w:rsidP="00C33834">
            <w:pPr>
              <w:spacing w:after="0" w:line="240" w:lineRule="auto"/>
              <w:jc w:val="both"/>
              <w:rPr>
                <w:rFonts w:ascii="Times New Roman" w:hAnsi="Times New Roman"/>
                <w:color w:val="000000" w:themeColor="text1"/>
                <w:sz w:val="16"/>
                <w:szCs w:val="16"/>
              </w:rPr>
            </w:pPr>
          </w:p>
        </w:tc>
      </w:tr>
      <w:tr w:rsidR="00F26F01" w:rsidRPr="00C33834" w14:paraId="547AE9FE" w14:textId="77777777">
        <w:tc>
          <w:tcPr>
            <w:tcW w:w="1384" w:type="dxa"/>
            <w:tcBorders>
              <w:bottom w:val="single" w:sz="12" w:space="0" w:color="auto"/>
            </w:tcBorders>
          </w:tcPr>
          <w:p w14:paraId="3B86165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октября 1933</w:t>
            </w:r>
          </w:p>
        </w:tc>
        <w:tc>
          <w:tcPr>
            <w:tcW w:w="2410" w:type="dxa"/>
            <w:tcBorders>
              <w:bottom w:val="single" w:sz="12" w:space="0" w:color="auto"/>
            </w:tcBorders>
          </w:tcPr>
          <w:p w14:paraId="2214D17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7-й полет</w:t>
            </w:r>
          </w:p>
        </w:tc>
        <w:tc>
          <w:tcPr>
            <w:tcW w:w="1089" w:type="dxa"/>
            <w:tcBorders>
              <w:bottom w:val="single" w:sz="12" w:space="0" w:color="auto"/>
            </w:tcBorders>
          </w:tcPr>
          <w:p w14:paraId="13B3A5D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32 мин.</w:t>
            </w:r>
          </w:p>
        </w:tc>
        <w:tc>
          <w:tcPr>
            <w:tcW w:w="3447" w:type="dxa"/>
            <w:tcBorders>
              <w:bottom w:val="single" w:sz="12" w:space="0" w:color="auto"/>
            </w:tcBorders>
          </w:tcPr>
          <w:p w14:paraId="6DEE992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Разбег - 20 сек., 311 м</w:t>
            </w:r>
          </w:p>
          <w:p w14:paraId="75772C4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Пробег - 23,5 сек., 380 м</w:t>
            </w:r>
          </w:p>
          <w:p w14:paraId="77EADDB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700 м</w:t>
            </w:r>
          </w:p>
          <w:p w14:paraId="084960D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хорошо держит прямую при старте.</w:t>
            </w:r>
          </w:p>
          <w:p w14:paraId="021424F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взлете замерена максимальная скорость - 205 км/час</w:t>
            </w:r>
          </w:p>
          <w:p w14:paraId="59DA046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руля поворота - нормальная</w:t>
            </w:r>
          </w:p>
        </w:tc>
        <w:tc>
          <w:tcPr>
            <w:tcW w:w="1776" w:type="dxa"/>
            <w:tcBorders>
              <w:bottom w:val="single" w:sz="12" w:space="0" w:color="auto"/>
            </w:tcBorders>
          </w:tcPr>
          <w:p w14:paraId="1BE8790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Течь водорадиатора первого правого мотора (устранено)</w:t>
            </w:r>
          </w:p>
        </w:tc>
        <w:tc>
          <w:tcPr>
            <w:tcW w:w="1105" w:type="dxa"/>
            <w:tcBorders>
              <w:bottom w:val="single" w:sz="12" w:space="0" w:color="auto"/>
            </w:tcBorders>
          </w:tcPr>
          <w:p w14:paraId="4077F190" w14:textId="77777777" w:rsidR="001E1317" w:rsidRPr="00C33834" w:rsidRDefault="001E1317" w:rsidP="00C33834">
            <w:pPr>
              <w:spacing w:after="0" w:line="240" w:lineRule="auto"/>
              <w:jc w:val="both"/>
              <w:rPr>
                <w:rFonts w:ascii="Times New Roman" w:hAnsi="Times New Roman"/>
                <w:color w:val="000000" w:themeColor="text1"/>
                <w:sz w:val="16"/>
                <w:szCs w:val="16"/>
              </w:rPr>
            </w:pPr>
          </w:p>
        </w:tc>
      </w:tr>
    </w:tbl>
    <w:p w14:paraId="0A6F967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(2306,98).</w:t>
      </w:r>
    </w:p>
    <w:p w14:paraId="75EBD088"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72ABDCED" w14:textId="77777777" w:rsidR="00F46121"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647631D" w14:textId="77777777" w:rsidR="00F46121" w:rsidRPr="00C33834" w:rsidRDefault="00F46121" w:rsidP="00C33834">
      <w:pPr>
        <w:spacing w:after="0" w:line="240" w:lineRule="auto"/>
        <w:jc w:val="both"/>
        <w:rPr>
          <w:rFonts w:ascii="Times New Roman" w:hAnsi="Times New Roman"/>
          <w:iCs/>
          <w:color w:val="000000" w:themeColor="text1"/>
          <w:sz w:val="16"/>
          <w:szCs w:val="16"/>
        </w:rPr>
      </w:pPr>
    </w:p>
    <w:p w14:paraId="3BB2227B" w14:textId="77777777" w:rsidR="00671E59" w:rsidRPr="00C33834" w:rsidRDefault="00671E59" w:rsidP="00C33834">
      <w:pPr>
        <w:pStyle w:val="rtejustify"/>
        <w:spacing w:before="0" w:after="0"/>
        <w:rPr>
          <w:color w:val="000000" w:themeColor="text1"/>
          <w:sz w:val="16"/>
          <w:szCs w:val="16"/>
        </w:rPr>
      </w:pPr>
      <w:r w:rsidRPr="00C33834">
        <w:rPr>
          <w:rStyle w:val="af0"/>
          <w:bCs/>
          <w:i w:val="0"/>
          <w:color w:val="000000" w:themeColor="text1"/>
          <w:sz w:val="16"/>
          <w:szCs w:val="16"/>
        </w:rPr>
        <w:t>26/27октября 1933 вышел приказ НКТП № 195сс.</w:t>
      </w:r>
      <w:r w:rsidRPr="00C33834">
        <w:rPr>
          <w:color w:val="000000" w:themeColor="text1"/>
          <w:sz w:val="16"/>
          <w:szCs w:val="16"/>
        </w:rPr>
        <w:t xml:space="preserve"> О введении в действие мобплана М</w:t>
      </w:r>
      <w:r w:rsidRPr="00C33834">
        <w:rPr>
          <w:color w:val="000000" w:themeColor="text1"/>
          <w:sz w:val="16"/>
          <w:szCs w:val="16"/>
        </w:rPr>
        <w:noBreakHyphen/>
        <w:t>3 по удовлетворению заявки НКВМ СССР на год войны на предприятиях НКТП СССР. (РГАЭ. Ф. 7297. Оп. 38. Д. 38. Л. 273</w:t>
      </w:r>
      <w:r w:rsidRPr="00C33834">
        <w:rPr>
          <w:color w:val="000000" w:themeColor="text1"/>
          <w:sz w:val="16"/>
          <w:szCs w:val="16"/>
        </w:rPr>
        <w:noBreakHyphen/>
        <w:t>272) (15246).</w:t>
      </w:r>
    </w:p>
    <w:p w14:paraId="3BE1A572" w14:textId="77777777" w:rsidR="00671E59" w:rsidRPr="00C33834" w:rsidRDefault="00671E59" w:rsidP="00C33834">
      <w:pPr>
        <w:pStyle w:val="rtejustify"/>
        <w:spacing w:before="0" w:after="0"/>
        <w:rPr>
          <w:color w:val="000000" w:themeColor="text1"/>
          <w:sz w:val="16"/>
          <w:szCs w:val="16"/>
        </w:rPr>
      </w:pPr>
    </w:p>
    <w:p w14:paraId="5A94DB4E" w14:textId="77777777" w:rsidR="00671E59" w:rsidRPr="00C33834" w:rsidRDefault="00671E59" w:rsidP="00C33834">
      <w:pPr>
        <w:pStyle w:val="rtejustify"/>
        <w:spacing w:before="0" w:after="0"/>
        <w:rPr>
          <w:color w:val="000000" w:themeColor="text1"/>
          <w:sz w:val="16"/>
          <w:szCs w:val="16"/>
        </w:rPr>
      </w:pPr>
      <w:r w:rsidRPr="00C33834">
        <w:rPr>
          <w:rStyle w:val="af0"/>
          <w:bCs/>
          <w:i w:val="0"/>
          <w:color w:val="000000" w:themeColor="text1"/>
          <w:sz w:val="16"/>
          <w:szCs w:val="16"/>
        </w:rPr>
        <w:t>26 октября 1933 вышел приказ НКТП № 197сс.</w:t>
      </w:r>
      <w:r w:rsidRPr="00C33834">
        <w:rPr>
          <w:color w:val="000000" w:themeColor="text1"/>
          <w:sz w:val="16"/>
          <w:szCs w:val="16"/>
        </w:rPr>
        <w:t xml:space="preserve"> О созыве конференции по организации научно-исследовательских работ в области порохов, взрывчатых веществ и снаряжения. (РГАЭ. Ф. 7297. Оп. 38. Д. 38. Л. 160) (15246).</w:t>
      </w:r>
    </w:p>
    <w:p w14:paraId="1BAE37D3" w14:textId="77777777" w:rsidR="00671E59" w:rsidRPr="00C33834" w:rsidRDefault="00671E59" w:rsidP="00C33834">
      <w:pPr>
        <w:pStyle w:val="rtejustify"/>
        <w:spacing w:before="0" w:after="0"/>
        <w:rPr>
          <w:color w:val="000000" w:themeColor="text1"/>
          <w:sz w:val="16"/>
          <w:szCs w:val="16"/>
        </w:rPr>
      </w:pPr>
    </w:p>
    <w:p w14:paraId="05A05021" w14:textId="77777777" w:rsidR="00F46121" w:rsidRPr="00C33834" w:rsidRDefault="00F46121" w:rsidP="00C33834">
      <w:pPr>
        <w:pStyle w:val="rtejustify"/>
        <w:spacing w:before="0" w:after="0"/>
        <w:rPr>
          <w:color w:val="000000" w:themeColor="text1"/>
          <w:sz w:val="16"/>
          <w:szCs w:val="16"/>
        </w:rPr>
      </w:pPr>
      <w:r w:rsidRPr="00C33834">
        <w:rPr>
          <w:rStyle w:val="af0"/>
          <w:bCs/>
          <w:i w:val="0"/>
          <w:color w:val="000000" w:themeColor="text1"/>
          <w:sz w:val="16"/>
          <w:szCs w:val="16"/>
        </w:rPr>
        <w:t>26 октября 1933 вышел приказ НКТП № 190сс.</w:t>
      </w:r>
      <w:r w:rsidRPr="00C33834">
        <w:rPr>
          <w:color w:val="000000" w:themeColor="text1"/>
          <w:sz w:val="16"/>
          <w:szCs w:val="16"/>
        </w:rPr>
        <w:t xml:space="preserve"> О работах по изготовлению дистанционных трубок на заводе «Прогресс» под руководством инженера П. К. Георгиева. (РГАЭ. Ф. 7297. Оп. 38. Д. 38. Л. 145</w:t>
      </w:r>
      <w:r w:rsidRPr="00C33834">
        <w:rPr>
          <w:color w:val="000000" w:themeColor="text1"/>
          <w:sz w:val="16"/>
          <w:szCs w:val="16"/>
        </w:rPr>
        <w:noBreakHyphen/>
        <w:t>144) (15246).</w:t>
      </w:r>
    </w:p>
    <w:p w14:paraId="722EB77C" w14:textId="77777777" w:rsidR="00F46121" w:rsidRPr="00C33834" w:rsidRDefault="00F46121" w:rsidP="00C33834">
      <w:pPr>
        <w:pStyle w:val="rtejustify"/>
        <w:spacing w:before="0" w:after="0"/>
        <w:rPr>
          <w:color w:val="000000" w:themeColor="text1"/>
          <w:sz w:val="16"/>
          <w:szCs w:val="16"/>
        </w:rPr>
      </w:pPr>
    </w:p>
    <w:p w14:paraId="0542046A" w14:textId="77777777" w:rsidR="008A518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50B00D6E" w14:textId="77777777" w:rsidR="008A5189" w:rsidRPr="00C33834" w:rsidRDefault="008A5189" w:rsidP="00C33834">
      <w:pPr>
        <w:spacing w:after="0" w:line="240" w:lineRule="auto"/>
        <w:jc w:val="both"/>
        <w:rPr>
          <w:rFonts w:ascii="Times New Roman" w:hAnsi="Times New Roman"/>
          <w:iCs/>
          <w:color w:val="000000" w:themeColor="text1"/>
          <w:sz w:val="16"/>
          <w:szCs w:val="16"/>
        </w:rPr>
      </w:pPr>
    </w:p>
    <w:p w14:paraId="0D001446" w14:textId="77777777" w:rsidR="008A5189" w:rsidRPr="00C33834" w:rsidRDefault="008A518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26 октября 1933 г. в Анкару с официальным визитом по приглашению турецкого правительства посетила делегация по главе с народным комиссаром по военным и морским делам К.Е. Ворошиловым. Советская делегация присутствовала 29 октября 1933 г. на параде по случаю десятой годовщины Турецкой Республики. Вместе с Мустафой Кемалем Ататюрком, министром национальной обороны Февзи Чакмаком, а также премьер-министром Исметом Иненю К.Е. Ворошилов объехал турецкие войска, принимая парад. Этот факт был беспрецедентным и произвел «ошеломляющее впечатление как на массу зрителей, так и на дипломатический корпус».9 ноября 1933 г. в заявлении представителям печати в Стамбуле К.Е. Ворошилов подчеркнул, что тесные дружественные контакты «позволят с еще большей энергией вести совместную борьбу за мир, борьбу за предотвращение войны со всеми страданиями и разрушениями, которыми она угрожает человечеству». Мустафа Кемаль Ататюрк, открывая сессию меджлиса в 1933 году, так охарактеризовал значение визита: «Это посещение послужило счастливым поводом для демонстрации глубокой искренности взаимоотношений между нашими странами. Нет сомнения, что наша дружба, родившаяся в тяжелые для обеих стран времена и неизменно в течение тринадцати лет выходившая из всех испытаний, является ценным и важным фактором укрепления всеобщего мира». За особые заслуги в установлении и развитии двусторонних связей в середине 30-х годов правительство Турции приняло решение о присвоении одной из улиц г. Измира имени Ворошилова. М.М. Литвинов на сессии ЦИК СССР 29 декабря 1933 года так охарактеризовал уровень контактов с Турцией: «Образцом отношений с иностранными государствами мы считаем наши отношения с великой Турецкой Республикой. В течение свыше десяти лет эти отношения улучшались из года в год, достигнув истинной дружбы… Политика дружбы и взаимного доверия создает почву для плодотворного сотрудничества и на международной арене. Каждая сторона, выдвигая предложение, направленное на упрочение мира, может заранее рассчитывать на поддержку и содействие другой стороны». Советско-турецкая дружба, определенно, переросла обычные дипломатические рамки. Высокий уровень и динамика межправительственных контактов самым позитивным образом сказывались на росте взаимного интереса народов друг к другу, поступательном взаимообогащении культуры, науки и искусства. </w:t>
      </w:r>
    </w:p>
    <w:p w14:paraId="571676B4" w14:textId="77777777" w:rsidR="008A5189" w:rsidRPr="00C33834" w:rsidRDefault="008A5189"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color w:val="000000" w:themeColor="text1"/>
          <w:sz w:val="16"/>
          <w:szCs w:val="16"/>
        </w:rPr>
        <w:t xml:space="preserve">В 1926 г. по инициативе советского «Авиахима» состоялся авиационный перелет Москва – Анкара. В 1930 году Анкара стала одним из этапов т.н. «Большого восточного перелета» из Москвы в Тегеран и Кабул. Примечательно, что в СССР в аэроклубах проходила стажировку и первая турецкая летчица Сабиха Гекчен, а несколько самолетов из турецкого авиационного отряда, находившихся в апреле – мае 1934 г. в Советском Союзе, приняли участие в первомайском параде. Вторая половина тридцатых годов продолжали развиваться в большей степени по линии укрепления торгово-экономического потенциала. В счет советского кредита, предоставлено в 1934 г., Турции было поставлено оборудование для Кайсерийского и Назиллийского текстильных комбинатов, грузовики, автобусы для Анкарского муниципалитета и пр., а также выполнены некоторые военные заказы. Серьезно активизировался обмен техническими кадрами, специалистами и т.п. В 1935 и 1937 гг. были пущены в строй строившиеся при технической поддержке СССР первые в Турции текстильные комбинаты в Кайсери и Назилли. Оба объекта были </w:t>
      </w:r>
      <w:r w:rsidRPr="00C33834">
        <w:rPr>
          <w:rFonts w:ascii="Times New Roman" w:hAnsi="Times New Roman"/>
          <w:color w:val="000000" w:themeColor="text1"/>
          <w:sz w:val="16"/>
          <w:szCs w:val="16"/>
        </w:rPr>
        <w:lastRenderedPageBreak/>
        <w:t>охарактеризованы премьер-министром Турции И. Иненю как «прекрасные произведения советской индустрии - символы вечной дружбы». Между тем, в политических контактах обозначилась определенная сдержанность. Ряд разногласий возник в ходе визита в июле 1935 г. в Москву министра народного хозяйства Турции Баяра, на международной конференции 1936 г. в Монтре и т.п. И хотя в состоявшихся в 1937 г. встречах на высоком уровне (М.М. Литвинов и И. Иненю в Лондоне, визит в Москву министра иностранных дел Т.Р. Араса и министра внутренних дел Ш. Кая) взаимная дружба была обозначена в качестве «стабильного элемента» в турецкой и советской внешней политике, тем не менее, кризис в отношениях стал проявляться все серьезнее. К февралю 1938 г. были закрыты советские консульства в Измире, Карсе, Артвине, Эрзуруме, Трабзоне, а также турецкие консульства в Одессе, Баку, Ленинакане и Ереване. В 1938 г. имело место сокращение внешнеторгового оборота между двумя странами (17262).</w:t>
      </w:r>
    </w:p>
    <w:p w14:paraId="13D4B6DA" w14:textId="77777777" w:rsidR="008A5189" w:rsidRPr="00C33834" w:rsidRDefault="008A5189" w:rsidP="00C33834">
      <w:pPr>
        <w:spacing w:after="0" w:line="240" w:lineRule="auto"/>
        <w:jc w:val="both"/>
        <w:rPr>
          <w:rFonts w:ascii="Times New Roman" w:hAnsi="Times New Roman"/>
          <w:iCs/>
          <w:color w:val="000000" w:themeColor="text1"/>
          <w:sz w:val="16"/>
          <w:szCs w:val="16"/>
        </w:rPr>
      </w:pPr>
    </w:p>
    <w:p w14:paraId="62778C67" w14:textId="77777777" w:rsidR="00562118" w:rsidRPr="00C33834" w:rsidRDefault="0056211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26 октября по 9 ноября 1933 г. в ответ на визит турецкой делегации в Анкаре находилась советская правительственная делегация, во главе с К.Е. Ворошиловым, который вместе с турецкими руководителями объехал войска, принимая парад по случаю десятой годовщины Турецкой Республики. А с 22 апреля по 14 мая 1934 г. в СССР с дружеским визитом находился турецкий авиационный отряд, 3 самолета которого приняли участие в первомайском параде12. Примечательно, что на следующий день, 2 мая 1934 г., представители ВВС Турции во главе с полковником Джелал-беем были приглашены на завтрак в Кремль, где присутствовал И.В. Сталин. На встречу «вождей партии и членов правительства с участниками первомайского парада» прибыло около 2 тыс. чел., представлявших все рода войск Красной Армии (18261).</w:t>
      </w:r>
    </w:p>
    <w:p w14:paraId="1F524900" w14:textId="77777777" w:rsidR="00562118" w:rsidRPr="00C33834" w:rsidRDefault="00562118" w:rsidP="00C33834">
      <w:pPr>
        <w:spacing w:after="0" w:line="240" w:lineRule="auto"/>
        <w:jc w:val="both"/>
        <w:rPr>
          <w:rFonts w:ascii="Times New Roman" w:hAnsi="Times New Roman"/>
          <w:color w:val="000000" w:themeColor="text1"/>
          <w:sz w:val="16"/>
          <w:szCs w:val="16"/>
        </w:rPr>
      </w:pPr>
    </w:p>
    <w:p w14:paraId="32C748F6" w14:textId="77777777" w:rsidR="00562118" w:rsidRPr="00C33834" w:rsidRDefault="0056211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26 октября по 9 ноября 1933 г. в ответ на визит турецкой делегации в Анкаре находилась советская правительственная делегация, во главе с К.Е. Ворошиловым, который вместе с турецкими руководителями объехал войска, принимая парад по случаю десятой годовщины Турецкой Республики (18512).</w:t>
      </w:r>
    </w:p>
    <w:p w14:paraId="2246D58B" w14:textId="77777777" w:rsidR="00562118" w:rsidRPr="00C33834" w:rsidRDefault="00562118" w:rsidP="00C33834">
      <w:pPr>
        <w:spacing w:after="0" w:line="240" w:lineRule="auto"/>
        <w:jc w:val="both"/>
        <w:rPr>
          <w:rFonts w:ascii="Times New Roman" w:hAnsi="Times New Roman"/>
          <w:color w:val="000000" w:themeColor="text1"/>
          <w:sz w:val="16"/>
          <w:szCs w:val="16"/>
        </w:rPr>
      </w:pPr>
    </w:p>
    <w:p w14:paraId="127AF69D" w14:textId="77777777" w:rsidR="001E1317"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2539298" w14:textId="77777777" w:rsidR="001E1317" w:rsidRPr="00C33834" w:rsidRDefault="001E1317" w:rsidP="00C33834">
      <w:pPr>
        <w:spacing w:after="0" w:line="240" w:lineRule="auto"/>
        <w:jc w:val="both"/>
        <w:rPr>
          <w:rFonts w:ascii="Times New Roman" w:hAnsi="Times New Roman"/>
          <w:iCs/>
          <w:color w:val="000000" w:themeColor="text1"/>
          <w:sz w:val="16"/>
          <w:szCs w:val="16"/>
        </w:rPr>
      </w:pPr>
    </w:p>
    <w:p w14:paraId="2B2B957B" w14:textId="77777777" w:rsidR="00F46121" w:rsidRPr="00C33834" w:rsidRDefault="00F4612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октября 1933 г. начальник АНИМИ приказал 130/55-мм пушку как полигональную «с плана снять», а взамен заводу «Большевик» «надлежит нарезать 130/55-мм пушку № 7 углубленной нарезкой по чертежам, выданным на завод… Нарезку закончить к 15.12.1933 г.» (15117).</w:t>
      </w:r>
    </w:p>
    <w:p w14:paraId="4212555E" w14:textId="77777777" w:rsidR="00F46121" w:rsidRPr="00C33834" w:rsidRDefault="00F46121" w:rsidP="00C33834">
      <w:pPr>
        <w:spacing w:after="0" w:line="240" w:lineRule="auto"/>
        <w:jc w:val="both"/>
        <w:rPr>
          <w:rFonts w:ascii="Times New Roman" w:hAnsi="Times New Roman"/>
          <w:color w:val="000000" w:themeColor="text1"/>
          <w:sz w:val="16"/>
          <w:szCs w:val="16"/>
        </w:rPr>
      </w:pPr>
    </w:p>
    <w:p w14:paraId="5461CE2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27-29 октября 1933 состоялся скоростной безостановочный пробег пяти БТ-5 на колесах по маршруту Харьков - Москва. За 57 час. Прошли 995 км. Чистое время движения - 22:53, ср. скорость -35 км/час (3880,36).</w:t>
      </w:r>
    </w:p>
    <w:p w14:paraId="472E107F" w14:textId="4382AD05" w:rsidR="001E1317" w:rsidRPr="00C33834" w:rsidRDefault="001E1317" w:rsidP="00C33834">
      <w:pPr>
        <w:spacing w:after="0" w:line="240" w:lineRule="auto"/>
        <w:jc w:val="both"/>
        <w:rPr>
          <w:rFonts w:ascii="Times New Roman" w:hAnsi="Times New Roman"/>
          <w:color w:val="000000" w:themeColor="text1"/>
          <w:sz w:val="16"/>
          <w:szCs w:val="16"/>
        </w:rPr>
      </w:pPr>
    </w:p>
    <w:p w14:paraId="0734665F" w14:textId="484AF015" w:rsidR="003172F1" w:rsidRPr="00C33834" w:rsidRDefault="003172F1" w:rsidP="00C33834">
      <w:pPr>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Армия:</w:t>
      </w:r>
    </w:p>
    <w:p w14:paraId="64E4C4B6" w14:textId="77777777" w:rsidR="003172F1" w:rsidRPr="00C33834" w:rsidRDefault="003172F1" w:rsidP="00C33834">
      <w:pPr>
        <w:spacing w:after="0" w:line="240" w:lineRule="auto"/>
        <w:jc w:val="both"/>
        <w:rPr>
          <w:rFonts w:ascii="Times New Roman" w:hAnsi="Times New Roman"/>
          <w:i/>
          <w:iCs/>
          <w:color w:val="000000" w:themeColor="text1"/>
          <w:sz w:val="16"/>
          <w:szCs w:val="16"/>
        </w:rPr>
      </w:pPr>
    </w:p>
    <w:p w14:paraId="7DD6CBA2" w14:textId="77777777" w:rsidR="003172F1" w:rsidRPr="00C33834" w:rsidRDefault="003172F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28 октября 1933 опросом членов ПБ</w:t>
      </w:r>
    </w:p>
    <w:p w14:paraId="344F0142" w14:textId="77777777" w:rsidR="003172F1" w:rsidRPr="00C33834" w:rsidRDefault="003172F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106/120.- Предложения т.т. Сталина и Гамарника,</w:t>
      </w:r>
    </w:p>
    <w:p w14:paraId="55F0211C" w14:textId="77777777" w:rsidR="003172F1" w:rsidRPr="00C33834" w:rsidRDefault="003172F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Принять следующее предложение т.т.Сталина и Гамарника:</w:t>
      </w:r>
    </w:p>
    <w:p w14:paraId="78330ABB" w14:textId="77777777" w:rsidR="003172F1" w:rsidRPr="00C33834" w:rsidRDefault="003172F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Для усиления обороны нашего морского побережья на Дальнем Востоке считать необходимым провести сле</w:t>
      </w:r>
      <w:r w:rsidRPr="00C33834">
        <w:rPr>
          <w:rFonts w:ascii="Times New Roman" w:hAnsi="Times New Roman"/>
          <w:color w:val="0070C0"/>
          <w:sz w:val="16"/>
          <w:szCs w:val="16"/>
        </w:rPr>
        <w:softHyphen/>
        <w:t>дующие меры:</w:t>
      </w:r>
    </w:p>
    <w:p w14:paraId="592FA6C9" w14:textId="77777777" w:rsidR="003172F1" w:rsidRPr="00C33834" w:rsidRDefault="003172F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К 1-му мая 1934 года построить и перебросить на Дальний Восток 100 торпедных катеров. Если для этого необходимо импортировать моторы, то пойти на это. При постройке торпедных катеров обязательно до</w:t>
      </w:r>
      <w:r w:rsidRPr="00C33834">
        <w:rPr>
          <w:rFonts w:ascii="Times New Roman" w:hAnsi="Times New Roman"/>
          <w:color w:val="0070C0"/>
          <w:sz w:val="16"/>
          <w:szCs w:val="16"/>
        </w:rPr>
        <w:softHyphen/>
        <w:t>биваться их высокой мореходности-желательно 7-8 бал</w:t>
      </w:r>
      <w:r w:rsidRPr="00C33834">
        <w:rPr>
          <w:rFonts w:ascii="Times New Roman" w:hAnsi="Times New Roman"/>
          <w:color w:val="0070C0"/>
          <w:sz w:val="16"/>
          <w:szCs w:val="16"/>
        </w:rPr>
        <w:softHyphen/>
        <w:t>лов. Если нужна иностранная техпомощь, то пойти на это.</w:t>
      </w:r>
    </w:p>
    <w:p w14:paraId="141E5ACB" w14:textId="77777777" w:rsidR="003172F1" w:rsidRPr="00C33834" w:rsidRDefault="003172F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Отправить в Николаев комиссию в составе т.т.Га</w:t>
      </w:r>
      <w:r w:rsidRPr="00C33834">
        <w:rPr>
          <w:rFonts w:ascii="Times New Roman" w:hAnsi="Times New Roman"/>
          <w:color w:val="0070C0"/>
          <w:sz w:val="16"/>
          <w:szCs w:val="16"/>
        </w:rPr>
        <w:softHyphen/>
        <w:t>марника, Орлова, Муклевича и Павлуновского, которая во что бы то ни стало добилась бы ликвидации недостат</w:t>
      </w:r>
      <w:r w:rsidRPr="00C33834">
        <w:rPr>
          <w:rFonts w:ascii="Times New Roman" w:hAnsi="Times New Roman"/>
          <w:color w:val="0070C0"/>
          <w:sz w:val="16"/>
          <w:szCs w:val="16"/>
        </w:rPr>
        <w:softHyphen/>
        <w:t>ков в "Малютке" и обеспечила сдачу заводом еще в те</w:t>
      </w:r>
      <w:r w:rsidRPr="00C33834">
        <w:rPr>
          <w:rFonts w:ascii="Times New Roman" w:hAnsi="Times New Roman"/>
          <w:color w:val="0070C0"/>
          <w:sz w:val="16"/>
          <w:szCs w:val="16"/>
        </w:rPr>
        <w:softHyphen/>
        <w:t>кущем году 20 подлодок типа "Малютка".</w:t>
      </w:r>
    </w:p>
    <w:p w14:paraId="6B8DD531" w14:textId="77777777" w:rsidR="003172F1" w:rsidRPr="00C33834" w:rsidRDefault="003172F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Поручить т.т.Орджоникидзе и Гамарнику в 2-днев</w:t>
      </w:r>
      <w:r w:rsidRPr="00C33834">
        <w:rPr>
          <w:rFonts w:ascii="Times New Roman" w:hAnsi="Times New Roman"/>
          <w:color w:val="0070C0"/>
          <w:sz w:val="16"/>
          <w:szCs w:val="16"/>
        </w:rPr>
        <w:softHyphen/>
        <w:t>ный срок представить проект конкретных мероприятий по осуществлению пункта 1-го.</w:t>
      </w:r>
    </w:p>
    <w:p w14:paraId="3B38A286" w14:textId="77777777" w:rsidR="003172F1" w:rsidRPr="00C33834" w:rsidRDefault="003172F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Орджоникидзе, Гамарнику-все;</w:t>
      </w:r>
    </w:p>
    <w:p w14:paraId="06BFD3E9" w14:textId="77777777" w:rsidR="003172F1" w:rsidRPr="00C33834" w:rsidRDefault="003172F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Орлову, Муклевичу, Павлуновскому-п.2. (22999).</w:t>
      </w:r>
    </w:p>
    <w:p w14:paraId="08315456" w14:textId="77777777" w:rsidR="003172F1" w:rsidRPr="00C33834" w:rsidRDefault="003172F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ноября 1933 состоялось заседание ПБ и был оформлен протокол № 149 (22999).</w:t>
      </w:r>
    </w:p>
    <w:p w14:paraId="677D0DAE" w14:textId="77777777" w:rsidR="003172F1" w:rsidRPr="00C33834" w:rsidRDefault="003172F1" w:rsidP="00C33834">
      <w:pPr>
        <w:spacing w:after="0" w:line="240" w:lineRule="auto"/>
        <w:jc w:val="both"/>
        <w:rPr>
          <w:rFonts w:ascii="Times New Roman" w:hAnsi="Times New Roman"/>
          <w:color w:val="0070C0"/>
          <w:sz w:val="16"/>
          <w:szCs w:val="16"/>
        </w:rPr>
      </w:pPr>
    </w:p>
    <w:p w14:paraId="68BCEE91" w14:textId="62F0D830" w:rsidR="003172F1" w:rsidRPr="00C33834" w:rsidRDefault="003172F1" w:rsidP="00C33834">
      <w:pPr>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679A833D" w14:textId="77777777" w:rsidR="003172F1" w:rsidRPr="00C33834" w:rsidRDefault="003172F1" w:rsidP="00C33834">
      <w:pPr>
        <w:spacing w:after="0" w:line="240" w:lineRule="auto"/>
        <w:jc w:val="both"/>
        <w:rPr>
          <w:rFonts w:ascii="Times New Roman" w:hAnsi="Times New Roman"/>
          <w:i/>
          <w:iCs/>
          <w:color w:val="000000" w:themeColor="text1"/>
          <w:sz w:val="16"/>
          <w:szCs w:val="16"/>
        </w:rPr>
      </w:pPr>
    </w:p>
    <w:p w14:paraId="768BCCB0" w14:textId="77777777" w:rsidR="003172F1" w:rsidRPr="00C33834" w:rsidRDefault="003172F1"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28 октября 1933 О.Ю. Шмидту пришлось сообщить крайне неутешительную новость, выдержанную, правда, в предельно оптимистическом тоне: «Мы еще не можем рапортовать о победе, но твердо уверены, что победу одержим и задание сквозного плавания по Ледовитому океану, безусловно, выполним».</w:t>
      </w:r>
    </w:p>
    <w:p w14:paraId="6C3860F0" w14:textId="77777777" w:rsidR="003172F1" w:rsidRPr="00C33834" w:rsidRDefault="003172F1"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Но оптимизм удалось сохранить лишь до 5 ноября, т. е. до того дня, когда «Челюскин» все же вошел в Берингов пролив, но так и не смог пройти его. Пароход потерял управление и начал дрейфовать на запад, в Чукотское море. Тогда-то и началось то, что впоследствии назвали челюскинской эпопеей, продолжавшейся сто шестьдесят дней (20467).</w:t>
      </w:r>
    </w:p>
    <w:p w14:paraId="49EBD1B2" w14:textId="77777777" w:rsidR="003172F1" w:rsidRPr="00C33834" w:rsidRDefault="003172F1" w:rsidP="00C33834">
      <w:pPr>
        <w:spacing w:after="0" w:line="240" w:lineRule="auto"/>
        <w:jc w:val="both"/>
        <w:rPr>
          <w:rFonts w:ascii="Times New Roman" w:hAnsi="Times New Roman"/>
          <w:color w:val="0070C0"/>
          <w:sz w:val="16"/>
          <w:szCs w:val="16"/>
        </w:rPr>
      </w:pPr>
    </w:p>
    <w:p w14:paraId="4D3BB4AC" w14:textId="77777777" w:rsidR="001E1317" w:rsidRPr="00C33834" w:rsidRDefault="001A42D5" w:rsidP="00C33834">
      <w:pPr>
        <w:spacing w:after="0" w:line="240" w:lineRule="auto"/>
        <w:jc w:val="both"/>
        <w:rPr>
          <w:rFonts w:ascii="Times New Roman" w:hAnsi="Times New Roman"/>
          <w:iCs/>
          <w:color w:val="000000" w:themeColor="text1"/>
          <w:sz w:val="16"/>
          <w:szCs w:val="16"/>
          <w:lang w:val="en-US"/>
        </w:rPr>
      </w:pPr>
      <w:r w:rsidRPr="00C33834">
        <w:rPr>
          <w:rFonts w:ascii="Times New Roman" w:hAnsi="Times New Roman"/>
          <w:i/>
          <w:iCs/>
          <w:color w:val="000000" w:themeColor="text1"/>
          <w:sz w:val="16"/>
          <w:szCs w:val="16"/>
        </w:rPr>
        <w:t>За</w:t>
      </w:r>
      <w:r w:rsidRPr="00C33834">
        <w:rPr>
          <w:rFonts w:ascii="Times New Roman" w:hAnsi="Times New Roman"/>
          <w:i/>
          <w:iCs/>
          <w:color w:val="000000" w:themeColor="text1"/>
          <w:sz w:val="16"/>
          <w:szCs w:val="16"/>
          <w:lang w:val="en-US"/>
        </w:rPr>
        <w:t xml:space="preserve"> </w:t>
      </w:r>
      <w:r w:rsidRPr="00C33834">
        <w:rPr>
          <w:rFonts w:ascii="Times New Roman" w:hAnsi="Times New Roman"/>
          <w:i/>
          <w:iCs/>
          <w:color w:val="000000" w:themeColor="text1"/>
          <w:sz w:val="16"/>
          <w:szCs w:val="16"/>
        </w:rPr>
        <w:t>рубежом</w:t>
      </w:r>
      <w:r w:rsidRPr="00C33834">
        <w:rPr>
          <w:rFonts w:ascii="Times New Roman" w:hAnsi="Times New Roman"/>
          <w:i/>
          <w:iCs/>
          <w:color w:val="000000" w:themeColor="text1"/>
          <w:sz w:val="16"/>
          <w:szCs w:val="16"/>
          <w:lang w:val="en-US"/>
        </w:rPr>
        <w:t>:</w:t>
      </w:r>
    </w:p>
    <w:p w14:paraId="068F10D7" w14:textId="77777777" w:rsidR="001E1317" w:rsidRPr="00C33834" w:rsidRDefault="001E1317" w:rsidP="00C33834">
      <w:pPr>
        <w:spacing w:after="0" w:line="240" w:lineRule="auto"/>
        <w:jc w:val="both"/>
        <w:rPr>
          <w:rFonts w:ascii="Times New Roman" w:hAnsi="Times New Roman"/>
          <w:iCs/>
          <w:color w:val="000000" w:themeColor="text1"/>
          <w:sz w:val="16"/>
          <w:szCs w:val="16"/>
          <w:lang w:val="en-US"/>
        </w:rPr>
      </w:pPr>
    </w:p>
    <w:p w14:paraId="3985C03A" w14:textId="77777777" w:rsidR="001E1317" w:rsidRPr="00C33834" w:rsidRDefault="001E1317" w:rsidP="00C33834">
      <w:pPr>
        <w:spacing w:after="0" w:line="240" w:lineRule="auto"/>
        <w:jc w:val="both"/>
        <w:rPr>
          <w:rFonts w:ascii="Times New Roman" w:hAnsi="Times New Roman"/>
          <w:color w:val="000000" w:themeColor="text1"/>
          <w:sz w:val="16"/>
          <w:szCs w:val="16"/>
          <w:lang w:val="en-US"/>
        </w:rPr>
      </w:pPr>
      <w:r w:rsidRPr="00C33834">
        <w:rPr>
          <w:rFonts w:ascii="Times New Roman" w:hAnsi="Times New Roman"/>
          <w:color w:val="000000" w:themeColor="text1"/>
          <w:sz w:val="16"/>
          <w:szCs w:val="16"/>
          <w:lang w:val="en-US"/>
        </w:rPr>
        <w:t>October 28, 1933 A contract was issued to Consolidated for the XP3Y-1 flying boat, marking the initiation of Navy sponsored development of the PBY Catalina series of flying boats which were used through and beyond World War II (1090).</w:t>
      </w:r>
    </w:p>
    <w:p w14:paraId="5B2C4CC8" w14:textId="77777777" w:rsidR="001E1317" w:rsidRPr="00C33834" w:rsidRDefault="001E1317" w:rsidP="00C33834">
      <w:pPr>
        <w:spacing w:after="0" w:line="240" w:lineRule="auto"/>
        <w:jc w:val="both"/>
        <w:rPr>
          <w:rFonts w:ascii="Times New Roman" w:hAnsi="Times New Roman"/>
          <w:color w:val="000000" w:themeColor="text1"/>
          <w:sz w:val="16"/>
          <w:szCs w:val="16"/>
          <w:lang w:val="en-US"/>
        </w:rPr>
      </w:pPr>
    </w:p>
    <w:p w14:paraId="4D8A7B1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октября 1933 фирма Консолидейтед получила заказ на лл XP3Y-1 начав работу по созданию серии лл Каталина (1090).</w:t>
      </w:r>
    </w:p>
    <w:p w14:paraId="54A0BA15"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350F8F39"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октября 1933 года пилот пред</w:t>
      </w:r>
      <w:r w:rsidRPr="00C33834">
        <w:rPr>
          <w:rFonts w:ascii="Times New Roman" w:hAnsi="Times New Roman"/>
          <w:color w:val="000000" w:themeColor="text1"/>
          <w:sz w:val="16"/>
          <w:szCs w:val="16"/>
        </w:rPr>
        <w:softHyphen/>
        <w:t>принял попытку превысить рекорд вы</w:t>
      </w:r>
      <w:r w:rsidRPr="00C33834">
        <w:rPr>
          <w:rFonts w:ascii="Times New Roman" w:hAnsi="Times New Roman"/>
          <w:color w:val="000000" w:themeColor="text1"/>
          <w:sz w:val="16"/>
          <w:szCs w:val="16"/>
        </w:rPr>
        <w:softHyphen/>
        <w:t>соты 18 м, принадлежащий д'Асканио на вертолете Г.Флорио, но потерпел неудачу. Вертолет поднял</w:t>
      </w:r>
      <w:r w:rsidRPr="00C33834">
        <w:rPr>
          <w:rFonts w:ascii="Times New Roman" w:hAnsi="Times New Roman"/>
          <w:color w:val="000000" w:themeColor="text1"/>
          <w:sz w:val="16"/>
          <w:szCs w:val="16"/>
        </w:rPr>
        <w:softHyphen/>
        <w:t>ся на высоту 4 м, затем вдруг резко наклонился и упал на землю, от удара была повреждена одна лопасть несу</w:t>
      </w:r>
      <w:r w:rsidRPr="00C33834">
        <w:rPr>
          <w:rFonts w:ascii="Times New Roman" w:hAnsi="Times New Roman"/>
          <w:color w:val="000000" w:themeColor="text1"/>
          <w:sz w:val="16"/>
          <w:szCs w:val="16"/>
        </w:rPr>
        <w:softHyphen/>
        <w:t>щего винта. В этом полете на вертолет с целью демонстрации возможности ведения воздушной съемки была уста</w:t>
      </w:r>
      <w:r w:rsidRPr="00C33834">
        <w:rPr>
          <w:rFonts w:ascii="Times New Roman" w:hAnsi="Times New Roman"/>
          <w:color w:val="000000" w:themeColor="text1"/>
          <w:sz w:val="16"/>
          <w:szCs w:val="16"/>
        </w:rPr>
        <w:softHyphen/>
        <w:t>новлена кинокамера (питавшаяся от ак</w:t>
      </w:r>
      <w:r w:rsidRPr="00C33834">
        <w:rPr>
          <w:rFonts w:ascii="Times New Roman" w:hAnsi="Times New Roman"/>
          <w:color w:val="000000" w:themeColor="text1"/>
          <w:sz w:val="16"/>
          <w:szCs w:val="16"/>
        </w:rPr>
        <w:softHyphen/>
        <w:t>кумуляторной батареи). При аварии она уцелела, и, как отмечал Роберт Коллин, «кадры, снятые в полете, по</w:t>
      </w:r>
      <w:r w:rsidRPr="00C33834">
        <w:rPr>
          <w:rFonts w:ascii="Times New Roman" w:hAnsi="Times New Roman"/>
          <w:color w:val="000000" w:themeColor="text1"/>
          <w:sz w:val="16"/>
          <w:szCs w:val="16"/>
        </w:rPr>
        <w:softHyphen/>
        <w:t>лучились хорошие» (11401).</w:t>
      </w:r>
    </w:p>
    <w:p w14:paraId="30F63E26" w14:textId="77777777" w:rsidR="001E1317" w:rsidRPr="00C33834" w:rsidRDefault="001E1317" w:rsidP="00C33834">
      <w:pPr>
        <w:shd w:val="clear" w:color="auto" w:fill="FFFFFF"/>
        <w:spacing w:after="0" w:line="240" w:lineRule="auto"/>
        <w:jc w:val="both"/>
        <w:rPr>
          <w:rFonts w:ascii="Times New Roman" w:hAnsi="Times New Roman"/>
          <w:bCs/>
          <w:color w:val="000000" w:themeColor="text1"/>
          <w:sz w:val="16"/>
          <w:szCs w:val="16"/>
        </w:rPr>
      </w:pPr>
    </w:p>
    <w:p w14:paraId="71BAF35F" w14:textId="77777777" w:rsidR="001E1317"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C176CDD" w14:textId="77777777" w:rsidR="001E1317" w:rsidRPr="00C33834" w:rsidRDefault="001E1317" w:rsidP="00C33834">
      <w:pPr>
        <w:spacing w:after="0" w:line="240" w:lineRule="auto"/>
        <w:jc w:val="both"/>
        <w:rPr>
          <w:rFonts w:ascii="Times New Roman" w:hAnsi="Times New Roman"/>
          <w:iCs/>
          <w:color w:val="000000" w:themeColor="text1"/>
          <w:sz w:val="16"/>
          <w:szCs w:val="16"/>
        </w:rPr>
      </w:pPr>
    </w:p>
    <w:p w14:paraId="19B81CC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октября 1933 Алмазов писал телеграмму К.А.К. на ХАЗ:</w:t>
      </w:r>
    </w:p>
    <w:p w14:paraId="4733A9A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"Слухи прилета в Москву К-7 сообщите спешной почтой подробно (2306,10).</w:t>
      </w:r>
    </w:p>
    <w:p w14:paraId="24000C1D"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30DD80F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октября 1933 Нач. 7 сектора НИИ ВВС РККА писал на завод 133 Д.П.Г., самолетному тресту, 1 отд. 1 сектора УМТС, нач. ГУАП и Заводу 39 письмо N с/с 001290:</w:t>
      </w:r>
    </w:p>
    <w:p w14:paraId="3CA941B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сем препровождается отчет о гос. испытаниях самолета Зет N 39010 с мотором ЮVI-9A 480/560" (2303,71).</w:t>
      </w:r>
    </w:p>
    <w:p w14:paraId="444A2BD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октября 1933 Нач. ВВС Алкснис подписал Акт утверждения гос. испытаний самолета И-3ет М-22:</w:t>
      </w:r>
    </w:p>
    <w:p w14:paraId="6C7FEF2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Заключение НИИ ВВС РККА по Гос. испытаниям самолета И-зет М-22 утверждаю.</w:t>
      </w:r>
    </w:p>
    <w:p w14:paraId="0307940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Нач. УМТС и Вооружений принять построенные на заводе 39 самолета И-зет по их вооружению и устранению дефектов, указанных на с. 21 сводки испытаний.</w:t>
      </w:r>
    </w:p>
    <w:p w14:paraId="54C67BA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Нач. Штаба ВВС РККА разработать программу войсковых и тактических испытаний самолетов, сосредоточив их в одной части.</w:t>
      </w:r>
    </w:p>
    <w:p w14:paraId="5D8193F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Основной задачей для завода 133 считать передачу на гос. испытания к 1 марта 1934 модифицированного экз. самолета И-зет М-22, удовлетворяющего требованиям, указанным в заключении НИИ ВВС РККА." (2303,70).</w:t>
      </w:r>
    </w:p>
    <w:p w14:paraId="4F16A90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октября 1933 был подписан Отчет по гос. испытаниям самолета Зет N 39020 с мотором ЮVI-9АQ 480/560 нр N 42151 Х-6,9 винт N 40460 Д-2.8 Н-2,1 (2303,69).</w:t>
      </w:r>
    </w:p>
    <w:p w14:paraId="3360194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08B6DCE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 с целью определения вопроса о целесообразности серийной постройки самолета с использованием построенной малой серии.</w:t>
      </w:r>
    </w:p>
    <w:p w14:paraId="6A44C25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полученные данные</w:t>
      </w:r>
    </w:p>
    <w:p w14:paraId="6AE131B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Вес пустого с несъемным оборудованием - 1320 кг</w:t>
      </w:r>
    </w:p>
    <w:p w14:paraId="5C3D21B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Нагрузка - 328</w:t>
      </w:r>
    </w:p>
    <w:p w14:paraId="3042E9B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Полетный вес - 1648</w:t>
      </w:r>
    </w:p>
    <w:p w14:paraId="120C8D2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Макс. гор. скорость у земли - 259 км/час</w:t>
      </w:r>
    </w:p>
    <w:p w14:paraId="068F3D0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Макс. гор. скорость на 3000 м - 248 км/час</w:t>
      </w:r>
    </w:p>
    <w:p w14:paraId="4024E9B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Макс. гор. скорость на 5000 м - 239 км/час</w:t>
      </w:r>
    </w:p>
    <w:p w14:paraId="6326155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Скороподъемность (с форсированным газом) на 3000 м - 6.5 м</w:t>
      </w:r>
    </w:p>
    <w:p w14:paraId="470CEBD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8. Скороподъемность (с форсированным газом) на 5000 м - 14 м.</w:t>
      </w:r>
    </w:p>
    <w:p w14:paraId="55BF828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Практический потолок - 7000 м</w:t>
      </w:r>
    </w:p>
    <w:p w14:paraId="2EFF211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Время одинарного виража на 1000 м - 18.8 с</w:t>
      </w:r>
    </w:p>
    <w:p w14:paraId="0CA5B4C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Время восьмерки на 1000 м - 40 с</w:t>
      </w:r>
    </w:p>
    <w:p w14:paraId="4C159B2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Выводы</w:t>
      </w:r>
    </w:p>
    <w:p w14:paraId="73ECEA1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Констатировать, что для истребителя вооруженного двумя пушками АПК-4 и одним пулеметом ПВ-1 при полной нагрузке 556 кг и невысотном мотором ЮVI полученные данные: скороподъемность, потолок и маневренность являются достаточно удовлетворительными.</w:t>
      </w:r>
    </w:p>
    <w:p w14:paraId="62DE9CB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Максимальная гор. скорость 259 км/час для моноплана с большой нагрузкой на кв. м крыла совершенно недостаточна. Малая скорость в основном объясняется:</w:t>
      </w:r>
    </w:p>
    <w:p w14:paraId="1130446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неудачной конструкцией шасси</w:t>
      </w:r>
    </w:p>
    <w:p w14:paraId="03BCBDF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большим сопротивлением пушек</w:t>
      </w:r>
    </w:p>
    <w:p w14:paraId="7ACFABE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неудобообтекаемой формой фюзеляжа</w:t>
      </w:r>
    </w:p>
    <w:p w14:paraId="0C039A1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Артиллерийское вооружение самолета испытание выдержало. (см. стр. 20 заключения по вооружению).</w:t>
      </w:r>
    </w:p>
    <w:p w14:paraId="013B028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Запас горючего, обеспечивающий тех. дальность 310 км, недостаточен.</w:t>
      </w:r>
    </w:p>
    <w:p w14:paraId="4FDDBCC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Невозможность путем перегрузки самолета увеличить общее количество снарядов выше 14 - недопустимо.</w:t>
      </w:r>
    </w:p>
    <w:p w14:paraId="08A00B2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Невозможность установки рации (за счет перегрузки) на ведущем самолете с тактической точки зрения недопустимо.7. Отсутствие электрооборудования для пушечного самолета является недопустимым.</w:t>
      </w:r>
    </w:p>
    <w:p w14:paraId="7ED92CA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Конструкция самолета после 300-350 выстрелов требует заводского ремонта.</w:t>
      </w:r>
    </w:p>
    <w:p w14:paraId="6C92560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Самолет обладает рядом дефектов (см. стр. 2), наиболее серьезным из которых является невозможность полета при открытом кране обоих баков.</w:t>
      </w:r>
    </w:p>
    <w:p w14:paraId="44FA810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59352F4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Построенные самолеты Зет, вооруженные двумя пушками АПК-4 бис и пулеметом ПВ-1 могут быть приняты на вооружение ВВС РККА для получения летным составом тренировки в артиллерийской стрельбе и отработке тактики применения самолета с обязательным устранением на всех построенных самолетах дефектов, указанных на стр. 2.</w:t>
      </w:r>
    </w:p>
    <w:p w14:paraId="68639E0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Считать целесообразным построенные самолеты И-зет сосредоточить в одной части ВВС с проведением в ней Войсковых испытаний самолета при следующих в основном цель технического и тактического освоения нового оружия (пушки АПК).</w:t>
      </w:r>
    </w:p>
    <w:p w14:paraId="50B2F16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Считать необходимым заводу 133 произвести модификацию самолета И-зет с предъявлением модифицированного экз. на гос. испытания не позднее 1 марта 1934.</w:t>
      </w:r>
    </w:p>
    <w:p w14:paraId="7BE2C07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Модифицированный самолет должен обладать гор. скоростью у земли не ниже 300 км/час.</w:t>
      </w:r>
    </w:p>
    <w:p w14:paraId="44FFB30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За счет перегрузки на модифицированном самолете д.б. предусмотрено:</w:t>
      </w:r>
    </w:p>
    <w:p w14:paraId="2085281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увеличение емкости бензобаков на 60-70 кг</w:t>
      </w:r>
    </w:p>
    <w:p w14:paraId="2F5F7B1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увеличение количества снарядов до 20 шт.</w:t>
      </w:r>
    </w:p>
    <w:p w14:paraId="7D028D9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установка электрооборудования для ночных полетов</w:t>
      </w:r>
    </w:p>
    <w:p w14:paraId="65FF422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сделать легкосъемные установки радио 14-СК для командирских самолетов</w:t>
      </w:r>
    </w:p>
    <w:p w14:paraId="0C98EF7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Прочность конструкции самолета д. допускать производство 1000 выстрелов.</w:t>
      </w:r>
    </w:p>
    <w:p w14:paraId="62285FC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Вес конструкции самолета д.б. не выше 1000 кг (вместо 1092).</w:t>
      </w:r>
    </w:p>
    <w:p w14:paraId="41EF5F8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При модификации самолета д.б. учтено устранение дефектов, указанных на стр. 22-24 сводки. Врид ГИ-М ВВС РККА Горощенко, Ком. бриг. НИИ ВВС Залевский, Зам. нач. 7 Сектора НИИ ВВС РККА Жемчужин" (2303,70).</w:t>
      </w:r>
    </w:p>
    <w:p w14:paraId="1730E97B"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4A79DDF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октября 1933 состоялось заседание у Нач. ГУАП Королева:</w:t>
      </w:r>
    </w:p>
    <w:p w14:paraId="40441A4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Слушали: Доклады о работе НИИ институтов ЦИАМ, ВИАМ и ЦАГИ (Харламов, Петровский Десятников).</w:t>
      </w:r>
    </w:p>
    <w:p w14:paraId="0FAFEFD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Постановили: Комиссии в составе Ермолаева, Алмазова, Харламова, Фельдмана, Петровского, Десятникова, Марголина, Колосова и А.Н.Т. пересмотреть существующее положение о НИИ, план их работы и, на основании этого, разработать предложения и программные задания для будущей работы институтов с точки зрения увязки между собой и промышленностью, взяв упор на углубление технической части работы. Срок окончания работы 20 ноября 1933 (2281,91).</w:t>
      </w:r>
    </w:p>
    <w:p w14:paraId="6B90650A"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1D81265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октября 1933 Харламов подготовил Тезисы доклада о работе ЦАГИ с 1 января по 1 ноября 1933, выступил с ними и 1 ноября 1933 они поступили в ГУАП (N ОП/614с) (2281,37).</w:t>
      </w:r>
    </w:p>
    <w:p w14:paraId="7EA8E597"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307CDA1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октября 1933 года. Тезисы доклада о работе ЦАГИ с 1/I по 1/XI-1933 г. Начальник ЦАГИ Харламов:</w:t>
      </w:r>
    </w:p>
    <w:p w14:paraId="40C6ED6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Задачи ЦАГИ в 1933 г. заключались в проведении:</w:t>
      </w:r>
    </w:p>
    <w:p w14:paraId="2A8F8FB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научно-исследовательских и экспериментальных работ,</w:t>
      </w:r>
    </w:p>
    <w:p w14:paraId="6088675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опытного строительства по самолетам и глиссерам,</w:t>
      </w:r>
    </w:p>
    <w:p w14:paraId="6BF27AD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внедрению в серию испытательных образцов.</w:t>
      </w:r>
    </w:p>
    <w:p w14:paraId="505F169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Тематический план научно-исследовательских работ был построен в соответствии с требованиями опытного строительства, рассмотрен и утвержден Сектором Опытного Строительства ГУАПа.</w:t>
      </w:r>
    </w:p>
    <w:p w14:paraId="6AF3921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опытного строительства ЦАГИ бал разработан на основе постановления СТО от 4/УП-32 и дополнен по указанию Нач. ГУАП и требований РВС.</w:t>
      </w:r>
    </w:p>
    <w:p w14:paraId="1D39B09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Внедрение в серию проходило по указанию Нач. ГУАП или специальных указаний Правительственных органов.</w:t>
      </w:r>
    </w:p>
    <w:p w14:paraId="4938581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Тематический план НИС включал в себя:</w:t>
      </w:r>
    </w:p>
    <w:p w14:paraId="1199206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ЭАО</w:t>
      </w:r>
      <w:r w:rsidRPr="00C33834">
        <w:rPr>
          <w:rFonts w:ascii="Times New Roman" w:hAnsi="Times New Roman"/>
          <w:color w:val="000000" w:themeColor="text1"/>
          <w:sz w:val="16"/>
          <w:szCs w:val="16"/>
        </w:rPr>
        <w:tab/>
        <w:t>66 тем</w:t>
      </w:r>
    </w:p>
    <w:p w14:paraId="3A7D27B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ЭГО</w:t>
      </w:r>
      <w:r w:rsidRPr="00C33834">
        <w:rPr>
          <w:rFonts w:ascii="Times New Roman" w:hAnsi="Times New Roman"/>
          <w:color w:val="000000" w:themeColor="text1"/>
          <w:sz w:val="16"/>
          <w:szCs w:val="16"/>
        </w:rPr>
        <w:tab/>
        <w:t>50</w:t>
      </w:r>
    </w:p>
    <w:p w14:paraId="6E6AAEC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ОПАК</w:t>
      </w:r>
      <w:r w:rsidRPr="00C33834">
        <w:rPr>
          <w:rFonts w:ascii="Times New Roman" w:hAnsi="Times New Roman"/>
          <w:color w:val="000000" w:themeColor="text1"/>
          <w:sz w:val="16"/>
          <w:szCs w:val="16"/>
        </w:rPr>
        <w:tab/>
        <w:t>52</w:t>
      </w:r>
    </w:p>
    <w:p w14:paraId="0DC0648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теор. гр.</w:t>
      </w:r>
      <w:r w:rsidRPr="00C33834">
        <w:rPr>
          <w:rFonts w:ascii="Times New Roman" w:hAnsi="Times New Roman"/>
          <w:color w:val="000000" w:themeColor="text1"/>
          <w:sz w:val="16"/>
          <w:szCs w:val="16"/>
        </w:rPr>
        <w:tab/>
        <w:t>14</w:t>
      </w:r>
    </w:p>
    <w:p w14:paraId="28DCA31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Отд. Эконон. Исслед. </w:t>
      </w:r>
      <w:r w:rsidRPr="00C33834">
        <w:rPr>
          <w:rFonts w:ascii="Times New Roman" w:hAnsi="Times New Roman"/>
          <w:color w:val="000000" w:themeColor="text1"/>
          <w:sz w:val="16"/>
          <w:szCs w:val="16"/>
        </w:rPr>
        <w:tab/>
        <w:t>24</w:t>
      </w:r>
    </w:p>
    <w:p w14:paraId="3368CD3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был ряд тем по исследованиям самолета в натуре.</w:t>
      </w:r>
    </w:p>
    <w:p w14:paraId="5694C0F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Полетные исследования проводились на ЦА, а по гидродинамике - на гидробазне ЦАГИ в Севастополе.</w:t>
      </w:r>
    </w:p>
    <w:p w14:paraId="23BBC0B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Наряду с НИР ЦАГИ проводил контрольные испытания для АЗ, морского ведомства и различных КБ СССР, одновременно удовлетворяя полностью и запросы КО и завода самого ЦАГИ.</w:t>
      </w:r>
    </w:p>
    <w:p w14:paraId="74DCDF0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Важнейшие работы, проведенные НИСом ЦАГИ:</w:t>
      </w:r>
    </w:p>
    <w:p w14:paraId="58660D3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ЭАО</w:t>
      </w:r>
    </w:p>
    <w:p w14:paraId="5E164EB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работа по штопору,</w:t>
      </w:r>
    </w:p>
    <w:p w14:paraId="18D600B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работа по вибрации крыльев,</w:t>
      </w:r>
    </w:p>
    <w:p w14:paraId="64E5741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работа по винтам,</w:t>
      </w:r>
    </w:p>
    <w:p w14:paraId="51A2B45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специальные работы по оборудованию и вооружению самолетов, улучшению их летных качеств,</w:t>
      </w:r>
    </w:p>
    <w:p w14:paraId="69EDA40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Работа по новым измерительным приборам и работа по промышленной аэродинамике, касающаяся разработки вентиляторов низкого, среднего и высокого давления.</w:t>
      </w:r>
    </w:p>
    <w:p w14:paraId="5CBB923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ЭГО</w:t>
      </w:r>
    </w:p>
    <w:p w14:paraId="22E6103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Проблема улучшения качества глиссирующих объектов,</w:t>
      </w:r>
    </w:p>
    <w:p w14:paraId="6F09EB7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Проблема удара при посадке гидросамолета,</w:t>
      </w:r>
    </w:p>
    <w:p w14:paraId="6A9A54D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Проблемы, связанные с проведением контрольных испытаний моделей гидросамолетов, глиссеров и винтов.</w:t>
      </w:r>
    </w:p>
    <w:p w14:paraId="3DB5D9F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ОПАК</w:t>
      </w:r>
    </w:p>
    <w:p w14:paraId="0478412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Составление новых норм прочности,</w:t>
      </w:r>
    </w:p>
    <w:p w14:paraId="1468869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Систематизация материалов по свободнонесущим крыльям с указанием всех методов расчета,</w:t>
      </w:r>
    </w:p>
    <w:p w14:paraId="0900B17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Работа по тонкостенным конструкциям,</w:t>
      </w:r>
    </w:p>
    <w:p w14:paraId="7AA3FA5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Контрольные испытания деталей и конструкций. Выполнено за 2 года 860</w:t>
      </w:r>
    </w:p>
    <w:p w14:paraId="7FC6CD1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ОТГ</w:t>
      </w:r>
    </w:p>
    <w:p w14:paraId="08B6D94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Работа по гидродинамической теории деяствия ... авиационных двигателей,</w:t>
      </w:r>
    </w:p>
    <w:p w14:paraId="69BA3E4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Изучение движения газов при звуковых и сверхзвуковых скоростях,</w:t>
      </w:r>
    </w:p>
    <w:p w14:paraId="28F305B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Изучение движения вязкой жидкости.</w:t>
      </w:r>
    </w:p>
    <w:p w14:paraId="0E2E85D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текущем году работа НИС была премирована НКТП по следующим работам:</w:t>
      </w:r>
    </w:p>
    <w:p w14:paraId="29D0319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 О движении газов в цилиндрах авиадвигателей,</w:t>
      </w:r>
    </w:p>
    <w:p w14:paraId="330C1E9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 движении вязкой жидкости, приближающейся к Пуазельскому,</w:t>
      </w:r>
    </w:p>
    <w:p w14:paraId="72FE566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 расчете центробежных вентиляторов</w:t>
      </w:r>
    </w:p>
    <w:p w14:paraId="2246900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Результаты исследовательских работ 1933 г. внедрения.</w:t>
      </w:r>
    </w:p>
    <w:p w14:paraId="081137B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Хвостовой оперение Р5, И5 - обеспечивающее выход из штопора;</w:t>
      </w:r>
    </w:p>
    <w:p w14:paraId="1792232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Поворотные стойки самолета И5 для выхода из штопора;</w:t>
      </w:r>
    </w:p>
    <w:p w14:paraId="5C5C065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Вибрация крыльев на РД;</w:t>
      </w:r>
    </w:p>
    <w:p w14:paraId="516CB3D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 И5, увеличивающий коэффициент полезного действия на</w:t>
      </w:r>
    </w:p>
    <w:p w14:paraId="523B1BD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Винты к М34; обтекатели колес, увеличивающие скорость на....</w:t>
      </w:r>
    </w:p>
    <w:p w14:paraId="40A7C27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кольцо Тауненда, повышающее скорость на 12 км</w:t>
      </w:r>
    </w:p>
    <w:p w14:paraId="7EDB8A3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целый ряд других работ.</w:t>
      </w:r>
    </w:p>
    <w:p w14:paraId="47527B6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По опытному строительству в плане ЦАГИ стояли нижеследующие машины:</w:t>
      </w:r>
    </w:p>
    <w:p w14:paraId="42542DF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w:t>
      </w:r>
    </w:p>
    <w:p w14:paraId="3273AAD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 ред.</w:t>
      </w:r>
    </w:p>
    <w:p w14:paraId="1A6D61E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 в разн. вариант.</w:t>
      </w:r>
    </w:p>
    <w:p w14:paraId="7151C16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ТБ4-6М34</w:t>
      </w:r>
    </w:p>
    <w:p w14:paraId="6876124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ТБ6; установка МК-6М34 рн;</w:t>
      </w:r>
    </w:p>
    <w:p w14:paraId="14A89AC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МДР3-3М34 рн</w:t>
      </w:r>
    </w:p>
    <w:p w14:paraId="2347258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Ми3-2М34 н</w:t>
      </w:r>
    </w:p>
    <w:p w14:paraId="7B77865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 Бр. Мер.</w:t>
      </w:r>
    </w:p>
    <w:p w14:paraId="3369400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 "Циклон"</w:t>
      </w:r>
    </w:p>
    <w:p w14:paraId="67C900A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РД - М34</w:t>
      </w:r>
    </w:p>
    <w:p w14:paraId="252B4A3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РД - М34 ред.</w:t>
      </w:r>
    </w:p>
    <w:p w14:paraId="08CB966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 ДИП</w:t>
      </w:r>
    </w:p>
    <w:p w14:paraId="055670A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 на поплавках</w:t>
      </w:r>
    </w:p>
    <w:p w14:paraId="602D3C3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"Савойя"-62 - М34</w:t>
      </w:r>
    </w:p>
    <w:p w14:paraId="426CF47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МБР2 - пассажир. вариант</w:t>
      </w:r>
    </w:p>
    <w:p w14:paraId="68EC0A5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Глиссеры - Г5, Г6 и самолеты, переданные с группой С.В.И. на 39 завод.</w:t>
      </w:r>
    </w:p>
    <w:p w14:paraId="4255AEE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разработка образцов вооружения самолетов-бомбардировщиков, стрелкового и химического.</w:t>
      </w:r>
    </w:p>
    <w:p w14:paraId="6C22D09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Разработка оборудования самолетов - электро, радио, аэро-навигационного, фото и вспомогательного.</w:t>
      </w:r>
    </w:p>
    <w:p w14:paraId="0EA83AE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Винты, лыжи, масляные аммортизаторы, тормозные колеса.</w:t>
      </w:r>
    </w:p>
    <w:p w14:paraId="66E9271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автожирам и винтовым аппаратам: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353F6633" w14:textId="77777777">
        <w:tc>
          <w:tcPr>
            <w:tcW w:w="5636" w:type="dxa"/>
          </w:tcPr>
          <w:p w14:paraId="198E199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постройка автожира под мотор </w:t>
            </w:r>
          </w:p>
        </w:tc>
        <w:tc>
          <w:tcPr>
            <w:tcW w:w="5636" w:type="dxa"/>
          </w:tcPr>
          <w:p w14:paraId="7B77929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w:t>
            </w:r>
          </w:p>
        </w:tc>
      </w:tr>
      <w:tr w:rsidR="00F26F01" w:rsidRPr="00C33834" w14:paraId="7878608C" w14:textId="77777777">
        <w:tc>
          <w:tcPr>
            <w:tcW w:w="5636" w:type="dxa"/>
          </w:tcPr>
          <w:p w14:paraId="5C4086F8" w14:textId="77777777" w:rsidR="001E1317" w:rsidRPr="00C33834" w:rsidRDefault="001E1317" w:rsidP="00C33834">
            <w:pPr>
              <w:spacing w:after="0" w:line="240" w:lineRule="auto"/>
              <w:jc w:val="both"/>
              <w:rPr>
                <w:rFonts w:ascii="Times New Roman" w:hAnsi="Times New Roman"/>
                <w:color w:val="000000" w:themeColor="text1"/>
                <w:sz w:val="16"/>
                <w:szCs w:val="16"/>
              </w:rPr>
            </w:pPr>
          </w:p>
        </w:tc>
        <w:tc>
          <w:tcPr>
            <w:tcW w:w="5636" w:type="dxa"/>
          </w:tcPr>
          <w:p w14:paraId="3286CD2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r>
      <w:tr w:rsidR="00F26F01" w:rsidRPr="00C33834" w14:paraId="15541EC4" w14:textId="77777777">
        <w:tc>
          <w:tcPr>
            <w:tcW w:w="5636" w:type="dxa"/>
          </w:tcPr>
          <w:p w14:paraId="3D1CDAD6" w14:textId="77777777" w:rsidR="001E1317" w:rsidRPr="00C33834" w:rsidRDefault="001E1317" w:rsidP="00C33834">
            <w:pPr>
              <w:spacing w:after="0" w:line="240" w:lineRule="auto"/>
              <w:jc w:val="both"/>
              <w:rPr>
                <w:rFonts w:ascii="Times New Roman" w:hAnsi="Times New Roman"/>
                <w:color w:val="000000" w:themeColor="text1"/>
                <w:sz w:val="16"/>
                <w:szCs w:val="16"/>
              </w:rPr>
            </w:pPr>
          </w:p>
        </w:tc>
        <w:tc>
          <w:tcPr>
            <w:tcW w:w="5636" w:type="dxa"/>
          </w:tcPr>
          <w:p w14:paraId="170426E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М26</w:t>
            </w:r>
          </w:p>
        </w:tc>
      </w:tr>
    </w:tbl>
    <w:p w14:paraId="572D124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специальный аппарат под два мотора РОН.</w:t>
      </w:r>
    </w:p>
    <w:p w14:paraId="772410A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результате этих работ ЦАГИ закончил и сдал на гос. испытание</w:t>
      </w:r>
    </w:p>
    <w:p w14:paraId="3D9FBA1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ТБ3 - 4М34</w:t>
      </w:r>
    </w:p>
    <w:p w14:paraId="33B32C6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ТБ3 - 4М34 ред.</w:t>
      </w:r>
    </w:p>
    <w:p w14:paraId="7BBBEED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ТБ3 - 4М17 разн. вариант.</w:t>
      </w:r>
    </w:p>
    <w:p w14:paraId="73C5C1F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ТБ4 - 6М34</w:t>
      </w:r>
    </w:p>
    <w:p w14:paraId="04AFB65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РД - М34</w:t>
      </w:r>
    </w:p>
    <w:p w14:paraId="63F300B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РД - М34 ред.</w:t>
      </w:r>
    </w:p>
    <w:p w14:paraId="7C6E856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Глиссеры Г5</w:t>
      </w:r>
    </w:p>
    <w:p w14:paraId="36FFB67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Савойя 62</w:t>
      </w:r>
    </w:p>
    <w:p w14:paraId="0B0830E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Автожиры 4ЭА</w:t>
      </w:r>
    </w:p>
    <w:p w14:paraId="5447D0F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Автожиры 6ЭА</w:t>
      </w:r>
    </w:p>
    <w:p w14:paraId="6227D05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Тормозн. колеса.</w:t>
      </w:r>
    </w:p>
    <w:p w14:paraId="2C719B0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Выпущены, но не сданы на гос. испытание самолеты:</w:t>
      </w:r>
    </w:p>
    <w:p w14:paraId="1D558FE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МИ3 - 2М34</w:t>
      </w:r>
    </w:p>
    <w:p w14:paraId="767E260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 Бр. Мер.</w:t>
      </w:r>
    </w:p>
    <w:p w14:paraId="60867CB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Специальн. винтовой аппарат с 2-мя моторами РОН.</w:t>
      </w:r>
    </w:p>
    <w:p w14:paraId="226C4B8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Лаборатория с различн. предметами вооружения.</w:t>
      </w:r>
    </w:p>
    <w:p w14:paraId="2F9A775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окончании сдачи самолетов на гос. испытание ЦАГИ имеет определенное запоздание, получившееся вследствие:</w:t>
      </w:r>
    </w:p>
    <w:p w14:paraId="53E0799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позднего получения моторов, каковые получены с запозданием 5 месяцев для ТБ3, ТБ4, МИ3 и РД;</w:t>
      </w:r>
    </w:p>
    <w:p w14:paraId="65A5E99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долгих сроков летных испытаний, вызванных необходимостью доведения нового мотора М34, потребовавшего больших исследовательских работ по винто-моторной группе (винты, радиаторы, подогреватель);</w:t>
      </w:r>
    </w:p>
    <w:p w14:paraId="28FF9EE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внутренних неполадок, заключающихся в плане организации... недостаток транспорта, задержка с материалом и проч.;</w:t>
      </w:r>
    </w:p>
    <w:p w14:paraId="7180A5B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несвоевременного получения технических требований и утверждение макетов от ВВС;</w:t>
      </w:r>
    </w:p>
    <w:p w14:paraId="6F6333F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несвоевременного получения необходимого оборудования - вооружение для И14.</w:t>
      </w:r>
    </w:p>
    <w:p w14:paraId="4BCDE27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ЦАГИ подготовил и сдал в серию конструктивные чертежи машин:</w:t>
      </w:r>
    </w:p>
    <w:p w14:paraId="34752D8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ТБ3 - 4М34</w:t>
      </w:r>
    </w:p>
    <w:p w14:paraId="0E6015B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ТБ3 - 4М34 ред.</w:t>
      </w:r>
    </w:p>
    <w:p w14:paraId="172D00F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ТБ4 - 6М34 военный и пассажир. вариант</w:t>
      </w:r>
    </w:p>
    <w:p w14:paraId="348BD40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ТБ3 - 2М34</w:t>
      </w:r>
    </w:p>
    <w:p w14:paraId="7351325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МБР2 - военный и пассажир. вариант</w:t>
      </w:r>
    </w:p>
    <w:p w14:paraId="0D05C0E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Тб3 - 4М34 по облегчению веса</w:t>
      </w:r>
    </w:p>
    <w:p w14:paraId="30C60A8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 М17 по облегчению веса</w:t>
      </w:r>
    </w:p>
    <w:p w14:paraId="388DAD4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 на поплавках</w:t>
      </w:r>
    </w:p>
    <w:p w14:paraId="2E3CB83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w:t>
      </w:r>
    </w:p>
    <w:p w14:paraId="6A74A7E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Савойя-62 бис</w:t>
      </w:r>
    </w:p>
    <w:p w14:paraId="185ABF3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Глиссер Г5</w:t>
      </w:r>
    </w:p>
    <w:p w14:paraId="6C66301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начата сдача конструктивных чертежей для серийного производства самолетов:</w:t>
      </w:r>
    </w:p>
    <w:p w14:paraId="2750BCE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ТБ3 - 4М34 эталон 34 года</w:t>
      </w:r>
    </w:p>
    <w:p w14:paraId="5F6BA0D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ТБ3 - 4М34 эталон 34 года по перевооружению</w:t>
      </w:r>
    </w:p>
    <w:p w14:paraId="3F06376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РД военный вариант - сдано 75%</w:t>
      </w:r>
    </w:p>
    <w:p w14:paraId="6C88B92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 Райт-Циклон</w:t>
      </w:r>
    </w:p>
    <w:p w14:paraId="54339FE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МК-1 - 6М34</w:t>
      </w:r>
    </w:p>
    <w:p w14:paraId="5B8A244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МДР4 - М34</w:t>
      </w:r>
    </w:p>
    <w:p w14:paraId="5D9E9CF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Автожиром 6ЭА.</w:t>
      </w:r>
    </w:p>
    <w:p w14:paraId="28F7D1F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стрелковому вооружению: шаровая башня, пушка Эрликон, турель пушечная, скорострельная турель 2ДА.</w:t>
      </w:r>
    </w:p>
    <w:p w14:paraId="463FF48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бомбардировочному вооружению: ДОС, Лебедка ДОС, СК - 1-й вариант, Лебедка КД2, Актив, Пассив.</w:t>
      </w:r>
    </w:p>
    <w:p w14:paraId="1E95F26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химическому оборудованию: ДАП-Д300 для ТБ4, ВАП4 для Р5, ВАП-5, ВАП6 без пиротехники, ВАП6 для РД, ДАП-Д100 для Р6, МБР4, С62 бис, ВАП6 без пиротехники для И5.</w:t>
      </w:r>
    </w:p>
    <w:p w14:paraId="79806AA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с помощью ЦАГИ завод N 48 выпустил в серийное производство 10 автожиров 40А конструкции ЦАГИ.</w:t>
      </w:r>
    </w:p>
    <w:p w14:paraId="4E8936D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Помимо этого за 10 месяцев 1933 г. ЗОК ЦАГИ построил 5 экз. автожиров 3ЭА, 5ЭА, 6ЭА, 7ЭА и строит 6 автожир.</w:t>
      </w:r>
    </w:p>
    <w:p w14:paraId="010A387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весь 1933 г. выпущено всего 2 автожира.</w:t>
      </w:r>
    </w:p>
    <w:p w14:paraId="0024FCF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Располагаемые средства ЦАГИ заключались в следующем:</w:t>
      </w:r>
    </w:p>
    <w:p w14:paraId="260900A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Личный состав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3544"/>
      </w:tblGrid>
      <w:tr w:rsidR="00F26F01" w:rsidRPr="00C33834" w14:paraId="5D0A7085" w14:textId="77777777">
        <w:tc>
          <w:tcPr>
            <w:tcW w:w="3794" w:type="dxa"/>
            <w:tcBorders>
              <w:top w:val="single" w:sz="12" w:space="0" w:color="auto"/>
            </w:tcBorders>
          </w:tcPr>
          <w:p w14:paraId="426B984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НИСу</w:t>
            </w:r>
          </w:p>
        </w:tc>
        <w:tc>
          <w:tcPr>
            <w:tcW w:w="3544" w:type="dxa"/>
            <w:tcBorders>
              <w:top w:val="single" w:sz="12" w:space="0" w:color="auto"/>
            </w:tcBorders>
          </w:tcPr>
          <w:p w14:paraId="34BD4B9C" w14:textId="77777777" w:rsidR="001E1317" w:rsidRPr="00C33834" w:rsidRDefault="001E1317" w:rsidP="00C33834">
            <w:pPr>
              <w:spacing w:after="0" w:line="240" w:lineRule="auto"/>
              <w:jc w:val="both"/>
              <w:rPr>
                <w:rFonts w:ascii="Times New Roman" w:hAnsi="Times New Roman"/>
                <w:color w:val="000000" w:themeColor="text1"/>
                <w:sz w:val="16"/>
                <w:szCs w:val="16"/>
              </w:rPr>
            </w:pPr>
          </w:p>
        </w:tc>
      </w:tr>
      <w:tr w:rsidR="00F26F01" w:rsidRPr="00C33834" w14:paraId="15835AE8" w14:textId="77777777">
        <w:tc>
          <w:tcPr>
            <w:tcW w:w="3794" w:type="dxa"/>
          </w:tcPr>
          <w:p w14:paraId="748B77C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1.1-33</w:t>
            </w:r>
          </w:p>
        </w:tc>
        <w:tc>
          <w:tcPr>
            <w:tcW w:w="3544" w:type="dxa"/>
          </w:tcPr>
          <w:p w14:paraId="257F08D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900</w:t>
            </w:r>
          </w:p>
        </w:tc>
      </w:tr>
      <w:tr w:rsidR="00F26F01" w:rsidRPr="00C33834" w14:paraId="1B3493C9" w14:textId="77777777">
        <w:tc>
          <w:tcPr>
            <w:tcW w:w="3794" w:type="dxa"/>
          </w:tcPr>
          <w:p w14:paraId="6B43233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1/Х-33</w:t>
            </w:r>
          </w:p>
        </w:tc>
        <w:tc>
          <w:tcPr>
            <w:tcW w:w="3544" w:type="dxa"/>
          </w:tcPr>
          <w:p w14:paraId="09ABB46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964</w:t>
            </w:r>
          </w:p>
        </w:tc>
      </w:tr>
      <w:tr w:rsidR="00F26F01" w:rsidRPr="00C33834" w14:paraId="099BA8F4" w14:textId="77777777">
        <w:tc>
          <w:tcPr>
            <w:tcW w:w="3794" w:type="dxa"/>
          </w:tcPr>
          <w:p w14:paraId="4B163A9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ОСС</w:t>
            </w:r>
          </w:p>
        </w:tc>
        <w:tc>
          <w:tcPr>
            <w:tcW w:w="3544" w:type="dxa"/>
          </w:tcPr>
          <w:p w14:paraId="2ED3ACDF" w14:textId="77777777" w:rsidR="001E1317" w:rsidRPr="00C33834" w:rsidRDefault="001E1317" w:rsidP="00C33834">
            <w:pPr>
              <w:spacing w:after="0" w:line="240" w:lineRule="auto"/>
              <w:jc w:val="both"/>
              <w:rPr>
                <w:rFonts w:ascii="Times New Roman" w:hAnsi="Times New Roman"/>
                <w:color w:val="000000" w:themeColor="text1"/>
                <w:sz w:val="16"/>
                <w:szCs w:val="16"/>
              </w:rPr>
            </w:pPr>
          </w:p>
        </w:tc>
      </w:tr>
      <w:tr w:rsidR="00F26F01" w:rsidRPr="00C33834" w14:paraId="44785F2D" w14:textId="77777777">
        <w:tc>
          <w:tcPr>
            <w:tcW w:w="3794" w:type="dxa"/>
          </w:tcPr>
          <w:p w14:paraId="33AD462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1/1.-33</w:t>
            </w:r>
          </w:p>
        </w:tc>
        <w:tc>
          <w:tcPr>
            <w:tcW w:w="3544" w:type="dxa"/>
          </w:tcPr>
          <w:p w14:paraId="1967F6E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4089</w:t>
            </w:r>
          </w:p>
        </w:tc>
      </w:tr>
      <w:tr w:rsidR="00F26F01" w:rsidRPr="00C33834" w14:paraId="33208C44" w14:textId="77777777">
        <w:tc>
          <w:tcPr>
            <w:tcW w:w="3794" w:type="dxa"/>
          </w:tcPr>
          <w:p w14:paraId="58E817F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1/Х-33</w:t>
            </w:r>
          </w:p>
        </w:tc>
        <w:tc>
          <w:tcPr>
            <w:tcW w:w="3544" w:type="dxa"/>
          </w:tcPr>
          <w:p w14:paraId="5AEC37A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4729</w:t>
            </w:r>
          </w:p>
        </w:tc>
      </w:tr>
      <w:tr w:rsidR="00F26F01" w:rsidRPr="00C33834" w14:paraId="21A72378" w14:textId="77777777">
        <w:tc>
          <w:tcPr>
            <w:tcW w:w="3794" w:type="dxa"/>
          </w:tcPr>
          <w:p w14:paraId="02B1CAD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СРК и инфо</w:t>
            </w:r>
          </w:p>
        </w:tc>
        <w:tc>
          <w:tcPr>
            <w:tcW w:w="3544" w:type="dxa"/>
          </w:tcPr>
          <w:p w14:paraId="79BEA404" w14:textId="77777777" w:rsidR="001E1317" w:rsidRPr="00C33834" w:rsidRDefault="001E1317" w:rsidP="00C33834">
            <w:pPr>
              <w:spacing w:after="0" w:line="240" w:lineRule="auto"/>
              <w:jc w:val="both"/>
              <w:rPr>
                <w:rFonts w:ascii="Times New Roman" w:hAnsi="Times New Roman"/>
                <w:color w:val="000000" w:themeColor="text1"/>
                <w:sz w:val="16"/>
                <w:szCs w:val="16"/>
              </w:rPr>
            </w:pPr>
          </w:p>
        </w:tc>
      </w:tr>
      <w:tr w:rsidR="00F26F01" w:rsidRPr="00C33834" w14:paraId="197AC0BE" w14:textId="77777777">
        <w:tc>
          <w:tcPr>
            <w:tcW w:w="3794" w:type="dxa"/>
          </w:tcPr>
          <w:p w14:paraId="2408804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1/1-33</w:t>
            </w:r>
          </w:p>
        </w:tc>
        <w:tc>
          <w:tcPr>
            <w:tcW w:w="3544" w:type="dxa"/>
          </w:tcPr>
          <w:p w14:paraId="752EA4F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189</w:t>
            </w:r>
          </w:p>
        </w:tc>
      </w:tr>
      <w:tr w:rsidR="00F26F01" w:rsidRPr="00C33834" w14:paraId="40698ED0" w14:textId="77777777">
        <w:tc>
          <w:tcPr>
            <w:tcW w:w="3794" w:type="dxa"/>
          </w:tcPr>
          <w:p w14:paraId="1540F0F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1/Х-33</w:t>
            </w:r>
          </w:p>
        </w:tc>
        <w:tc>
          <w:tcPr>
            <w:tcW w:w="3544" w:type="dxa"/>
          </w:tcPr>
          <w:p w14:paraId="776A346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108</w:t>
            </w:r>
          </w:p>
        </w:tc>
      </w:tr>
      <w:tr w:rsidR="00F26F01" w:rsidRPr="00C33834" w14:paraId="5D62FFC8" w14:textId="77777777">
        <w:tc>
          <w:tcPr>
            <w:tcW w:w="3794" w:type="dxa"/>
          </w:tcPr>
          <w:p w14:paraId="2C98A65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производственный персонал</w:t>
            </w:r>
          </w:p>
        </w:tc>
        <w:tc>
          <w:tcPr>
            <w:tcW w:w="3544" w:type="dxa"/>
          </w:tcPr>
          <w:p w14:paraId="77323D35" w14:textId="77777777" w:rsidR="001E1317" w:rsidRPr="00C33834" w:rsidRDefault="001E1317" w:rsidP="00C33834">
            <w:pPr>
              <w:spacing w:after="0" w:line="240" w:lineRule="auto"/>
              <w:jc w:val="both"/>
              <w:rPr>
                <w:rFonts w:ascii="Times New Roman" w:hAnsi="Times New Roman"/>
                <w:color w:val="000000" w:themeColor="text1"/>
                <w:sz w:val="16"/>
                <w:szCs w:val="16"/>
              </w:rPr>
            </w:pPr>
          </w:p>
        </w:tc>
      </w:tr>
      <w:tr w:rsidR="00F26F01" w:rsidRPr="00C33834" w14:paraId="385E0998" w14:textId="77777777">
        <w:tc>
          <w:tcPr>
            <w:tcW w:w="3794" w:type="dxa"/>
          </w:tcPr>
          <w:p w14:paraId="39FB7A4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1/1-33</w:t>
            </w:r>
          </w:p>
        </w:tc>
        <w:tc>
          <w:tcPr>
            <w:tcW w:w="3544" w:type="dxa"/>
          </w:tcPr>
          <w:p w14:paraId="7F8F528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5187</w:t>
            </w:r>
          </w:p>
        </w:tc>
      </w:tr>
      <w:tr w:rsidR="00F26F01" w:rsidRPr="00C33834" w14:paraId="589A237B" w14:textId="77777777">
        <w:tc>
          <w:tcPr>
            <w:tcW w:w="3794" w:type="dxa"/>
          </w:tcPr>
          <w:p w14:paraId="0AA2CC2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1/Х-33</w:t>
            </w:r>
          </w:p>
        </w:tc>
        <w:tc>
          <w:tcPr>
            <w:tcW w:w="3544" w:type="dxa"/>
          </w:tcPr>
          <w:p w14:paraId="227E0BD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5987</w:t>
            </w:r>
          </w:p>
        </w:tc>
      </w:tr>
      <w:tr w:rsidR="00F26F01" w:rsidRPr="00C33834" w14:paraId="2A198744" w14:textId="77777777">
        <w:tc>
          <w:tcPr>
            <w:tcW w:w="3794" w:type="dxa"/>
          </w:tcPr>
          <w:p w14:paraId="2C500BB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Обслуживающий персонал</w:t>
            </w:r>
          </w:p>
        </w:tc>
        <w:tc>
          <w:tcPr>
            <w:tcW w:w="3544" w:type="dxa"/>
          </w:tcPr>
          <w:p w14:paraId="15DF1446" w14:textId="77777777" w:rsidR="001E1317" w:rsidRPr="00C33834" w:rsidRDefault="001E1317" w:rsidP="00C33834">
            <w:pPr>
              <w:spacing w:after="0" w:line="240" w:lineRule="auto"/>
              <w:jc w:val="both"/>
              <w:rPr>
                <w:rFonts w:ascii="Times New Roman" w:hAnsi="Times New Roman"/>
                <w:color w:val="000000" w:themeColor="text1"/>
                <w:sz w:val="16"/>
                <w:szCs w:val="16"/>
              </w:rPr>
            </w:pPr>
          </w:p>
        </w:tc>
      </w:tr>
      <w:tr w:rsidR="00F26F01" w:rsidRPr="00C33834" w14:paraId="6F4285CE" w14:textId="77777777">
        <w:tc>
          <w:tcPr>
            <w:tcW w:w="3794" w:type="dxa"/>
          </w:tcPr>
          <w:p w14:paraId="3066FA4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1\1-33</w:t>
            </w:r>
          </w:p>
        </w:tc>
        <w:tc>
          <w:tcPr>
            <w:tcW w:w="3544" w:type="dxa"/>
          </w:tcPr>
          <w:p w14:paraId="799BF63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w:t>
            </w:r>
          </w:p>
        </w:tc>
      </w:tr>
      <w:tr w:rsidR="00F26F01" w:rsidRPr="00C33834" w14:paraId="4CF92281" w14:textId="77777777">
        <w:tc>
          <w:tcPr>
            <w:tcW w:w="3794" w:type="dxa"/>
          </w:tcPr>
          <w:p w14:paraId="6614359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1/Х-33</w:t>
            </w:r>
          </w:p>
        </w:tc>
        <w:tc>
          <w:tcPr>
            <w:tcW w:w="3544" w:type="dxa"/>
          </w:tcPr>
          <w:p w14:paraId="305877D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756</w:t>
            </w:r>
          </w:p>
        </w:tc>
      </w:tr>
      <w:tr w:rsidR="00F26F01" w:rsidRPr="00C33834" w14:paraId="564FF4B5" w14:textId="77777777">
        <w:tc>
          <w:tcPr>
            <w:tcW w:w="3794" w:type="dxa"/>
          </w:tcPr>
          <w:p w14:paraId="0CAD94B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Охрана, ОРС, ФЗУ, ВНК и др.</w:t>
            </w:r>
          </w:p>
        </w:tc>
        <w:tc>
          <w:tcPr>
            <w:tcW w:w="3544" w:type="dxa"/>
          </w:tcPr>
          <w:p w14:paraId="7A2E1E5E" w14:textId="77777777" w:rsidR="001E1317" w:rsidRPr="00C33834" w:rsidRDefault="001E1317" w:rsidP="00C33834">
            <w:pPr>
              <w:spacing w:after="0" w:line="240" w:lineRule="auto"/>
              <w:jc w:val="both"/>
              <w:rPr>
                <w:rFonts w:ascii="Times New Roman" w:hAnsi="Times New Roman"/>
                <w:color w:val="000000" w:themeColor="text1"/>
                <w:sz w:val="16"/>
                <w:szCs w:val="16"/>
              </w:rPr>
            </w:pPr>
          </w:p>
        </w:tc>
      </w:tr>
      <w:tr w:rsidR="00F26F01" w:rsidRPr="00C33834" w14:paraId="56EFEE91" w14:textId="77777777">
        <w:tc>
          <w:tcPr>
            <w:tcW w:w="3794" w:type="dxa"/>
          </w:tcPr>
          <w:p w14:paraId="546BA7A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1/1-33</w:t>
            </w:r>
          </w:p>
        </w:tc>
        <w:tc>
          <w:tcPr>
            <w:tcW w:w="3544" w:type="dxa"/>
          </w:tcPr>
          <w:p w14:paraId="410AD09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1225</w:t>
            </w:r>
          </w:p>
        </w:tc>
      </w:tr>
      <w:tr w:rsidR="00F26F01" w:rsidRPr="00C33834" w14:paraId="278F8030" w14:textId="77777777">
        <w:tc>
          <w:tcPr>
            <w:tcW w:w="3794" w:type="dxa"/>
          </w:tcPr>
          <w:p w14:paraId="4DA00AB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1/Х-33</w:t>
            </w:r>
          </w:p>
        </w:tc>
        <w:tc>
          <w:tcPr>
            <w:tcW w:w="3544" w:type="dxa"/>
          </w:tcPr>
          <w:p w14:paraId="0FC8DB3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882</w:t>
            </w:r>
          </w:p>
        </w:tc>
      </w:tr>
      <w:tr w:rsidR="00F26F01" w:rsidRPr="00C33834" w14:paraId="452969ED" w14:textId="77777777">
        <w:tc>
          <w:tcPr>
            <w:tcW w:w="3794" w:type="dxa"/>
          </w:tcPr>
          <w:p w14:paraId="473580C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по ЦАГИ</w:t>
            </w:r>
          </w:p>
        </w:tc>
        <w:tc>
          <w:tcPr>
            <w:tcW w:w="3544" w:type="dxa"/>
          </w:tcPr>
          <w:p w14:paraId="6A9A8691" w14:textId="77777777" w:rsidR="001E1317" w:rsidRPr="00C33834" w:rsidRDefault="001E1317" w:rsidP="00C33834">
            <w:pPr>
              <w:spacing w:after="0" w:line="240" w:lineRule="auto"/>
              <w:jc w:val="both"/>
              <w:rPr>
                <w:rFonts w:ascii="Times New Roman" w:hAnsi="Times New Roman"/>
                <w:color w:val="000000" w:themeColor="text1"/>
                <w:sz w:val="16"/>
                <w:szCs w:val="16"/>
              </w:rPr>
            </w:pPr>
          </w:p>
        </w:tc>
      </w:tr>
      <w:tr w:rsidR="00F26F01" w:rsidRPr="00C33834" w14:paraId="358B72D6" w14:textId="77777777">
        <w:tc>
          <w:tcPr>
            <w:tcW w:w="3794" w:type="dxa"/>
          </w:tcPr>
          <w:p w14:paraId="60D18F9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1/1-33</w:t>
            </w:r>
          </w:p>
        </w:tc>
        <w:tc>
          <w:tcPr>
            <w:tcW w:w="3544" w:type="dxa"/>
          </w:tcPr>
          <w:p w14:paraId="627ECD0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7576</w:t>
            </w:r>
          </w:p>
        </w:tc>
      </w:tr>
      <w:tr w:rsidR="00F26F01" w:rsidRPr="00C33834" w14:paraId="161C9862" w14:textId="77777777">
        <w:tc>
          <w:tcPr>
            <w:tcW w:w="3794" w:type="dxa"/>
            <w:tcBorders>
              <w:bottom w:val="single" w:sz="12" w:space="0" w:color="auto"/>
            </w:tcBorders>
          </w:tcPr>
          <w:p w14:paraId="41C13C8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на1/Х-33</w:t>
            </w:r>
          </w:p>
        </w:tc>
        <w:tc>
          <w:tcPr>
            <w:tcW w:w="3544" w:type="dxa"/>
            <w:tcBorders>
              <w:bottom w:val="single" w:sz="12" w:space="0" w:color="auto"/>
            </w:tcBorders>
          </w:tcPr>
          <w:p w14:paraId="2D3CF1F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7605</w:t>
            </w:r>
          </w:p>
        </w:tc>
      </w:tr>
    </w:tbl>
    <w:p w14:paraId="620EABC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КО ЦАГИ имеет 1247 чел., из них инженеров 163, техников 223, практ. Работников 284, прочих ИТР 36, чертежников 236, конструкторского персонала 152, рабочих 975, МОП 58, учеников 2.</w:t>
      </w:r>
    </w:p>
    <w:p w14:paraId="67E1231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ЗОК имеет 3205, их них произв. рабочих 1789</w:t>
      </w:r>
    </w:p>
    <w:p w14:paraId="430C513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Затраты рабвремени по КО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F26F01" w:rsidRPr="00C33834" w14:paraId="55B7CFA4" w14:textId="77777777">
        <w:tc>
          <w:tcPr>
            <w:tcW w:w="3757" w:type="dxa"/>
            <w:tcBorders>
              <w:top w:val="single" w:sz="12" w:space="0" w:color="auto"/>
            </w:tcBorders>
          </w:tcPr>
          <w:p w14:paraId="4A93C03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w:t>
            </w:r>
          </w:p>
        </w:tc>
        <w:tc>
          <w:tcPr>
            <w:tcW w:w="3757" w:type="dxa"/>
            <w:tcBorders>
              <w:top w:val="single" w:sz="12" w:space="0" w:color="auto"/>
            </w:tcBorders>
          </w:tcPr>
          <w:p w14:paraId="2141915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553000</w:t>
            </w:r>
          </w:p>
        </w:tc>
        <w:tc>
          <w:tcPr>
            <w:tcW w:w="3757" w:type="dxa"/>
            <w:tcBorders>
              <w:top w:val="single" w:sz="12" w:space="0" w:color="auto"/>
            </w:tcBorders>
          </w:tcPr>
          <w:p w14:paraId="6B707EA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w:t>
            </w:r>
          </w:p>
        </w:tc>
      </w:tr>
      <w:tr w:rsidR="00F26F01" w:rsidRPr="00C33834" w14:paraId="776F6A7B" w14:textId="77777777">
        <w:tc>
          <w:tcPr>
            <w:tcW w:w="3757" w:type="dxa"/>
          </w:tcPr>
          <w:p w14:paraId="07A5B3E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экспериментальные работы</w:t>
            </w:r>
          </w:p>
        </w:tc>
        <w:tc>
          <w:tcPr>
            <w:tcW w:w="3757" w:type="dxa"/>
          </w:tcPr>
          <w:p w14:paraId="7AF358E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49000</w:t>
            </w:r>
          </w:p>
        </w:tc>
        <w:tc>
          <w:tcPr>
            <w:tcW w:w="3757" w:type="dxa"/>
          </w:tcPr>
          <w:p w14:paraId="64A70B7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r>
      <w:tr w:rsidR="00F26F01" w:rsidRPr="00C33834" w14:paraId="3213D28F" w14:textId="77777777">
        <w:tc>
          <w:tcPr>
            <w:tcW w:w="3757" w:type="dxa"/>
          </w:tcPr>
          <w:p w14:paraId="0854EED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w:t>
            </w:r>
          </w:p>
        </w:tc>
        <w:tc>
          <w:tcPr>
            <w:tcW w:w="3757" w:type="dxa"/>
          </w:tcPr>
          <w:p w14:paraId="3D5C69A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148000</w:t>
            </w:r>
          </w:p>
        </w:tc>
        <w:tc>
          <w:tcPr>
            <w:tcW w:w="3757" w:type="dxa"/>
          </w:tcPr>
          <w:p w14:paraId="1D4D1B0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r>
      <w:tr w:rsidR="00F26F01" w:rsidRPr="00C33834" w14:paraId="2116C01B" w14:textId="77777777">
        <w:tc>
          <w:tcPr>
            <w:tcW w:w="3757" w:type="dxa"/>
          </w:tcPr>
          <w:p w14:paraId="3D81960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оборудование</w:t>
            </w:r>
          </w:p>
        </w:tc>
        <w:tc>
          <w:tcPr>
            <w:tcW w:w="3757" w:type="dxa"/>
          </w:tcPr>
          <w:p w14:paraId="2F669CA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46000</w:t>
            </w:r>
          </w:p>
        </w:tc>
        <w:tc>
          <w:tcPr>
            <w:tcW w:w="3757" w:type="dxa"/>
          </w:tcPr>
          <w:p w14:paraId="0E95BA3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w:t>
            </w:r>
          </w:p>
        </w:tc>
      </w:tr>
      <w:tr w:rsidR="00F26F01" w:rsidRPr="00C33834" w14:paraId="570C0522" w14:textId="77777777">
        <w:tc>
          <w:tcPr>
            <w:tcW w:w="3757" w:type="dxa"/>
          </w:tcPr>
          <w:p w14:paraId="00D48EA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757" w:type="dxa"/>
          </w:tcPr>
          <w:p w14:paraId="75712AA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86000</w:t>
            </w:r>
          </w:p>
        </w:tc>
        <w:tc>
          <w:tcPr>
            <w:tcW w:w="3757" w:type="dxa"/>
          </w:tcPr>
          <w:p w14:paraId="117F2DC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tc>
      </w:tr>
      <w:tr w:rsidR="00F26F01" w:rsidRPr="00C33834" w14:paraId="6C754472" w14:textId="77777777">
        <w:tc>
          <w:tcPr>
            <w:tcW w:w="3757" w:type="dxa"/>
          </w:tcPr>
          <w:p w14:paraId="032DBB0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оперение и се-</w:t>
            </w:r>
          </w:p>
        </w:tc>
        <w:tc>
          <w:tcPr>
            <w:tcW w:w="3757" w:type="dxa"/>
          </w:tcPr>
          <w:p w14:paraId="0C6CAE9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85000</w:t>
            </w:r>
          </w:p>
        </w:tc>
        <w:tc>
          <w:tcPr>
            <w:tcW w:w="3757" w:type="dxa"/>
          </w:tcPr>
          <w:p w14:paraId="4071E54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tc>
      </w:tr>
      <w:tr w:rsidR="00F26F01" w:rsidRPr="00C33834" w14:paraId="46D8A5FB" w14:textId="77777777">
        <w:tc>
          <w:tcPr>
            <w:tcW w:w="3757" w:type="dxa"/>
          </w:tcPr>
          <w:p w14:paraId="69CFC9C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винты и лыжи</w:t>
            </w:r>
          </w:p>
        </w:tc>
        <w:tc>
          <w:tcPr>
            <w:tcW w:w="3757" w:type="dxa"/>
          </w:tcPr>
          <w:p w14:paraId="637C43E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17000</w:t>
            </w:r>
          </w:p>
        </w:tc>
        <w:tc>
          <w:tcPr>
            <w:tcW w:w="3757" w:type="dxa"/>
          </w:tcPr>
          <w:p w14:paraId="3145339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r>
      <w:tr w:rsidR="00F26F01" w:rsidRPr="00C33834" w14:paraId="5567A1C1" w14:textId="77777777">
        <w:tc>
          <w:tcPr>
            <w:tcW w:w="3757" w:type="dxa"/>
            <w:tcBorders>
              <w:bottom w:val="single" w:sz="12" w:space="0" w:color="auto"/>
            </w:tcBorders>
          </w:tcPr>
          <w:p w14:paraId="006479A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984000 час.</w:t>
            </w:r>
          </w:p>
        </w:tc>
        <w:tc>
          <w:tcPr>
            <w:tcW w:w="3757" w:type="dxa"/>
            <w:tcBorders>
              <w:bottom w:val="single" w:sz="12" w:space="0" w:color="auto"/>
            </w:tcBorders>
          </w:tcPr>
          <w:p w14:paraId="299B017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3757" w:type="dxa"/>
            <w:tcBorders>
              <w:bottom w:val="single" w:sz="12" w:space="0" w:color="auto"/>
            </w:tcBorders>
          </w:tcPr>
          <w:p w14:paraId="3A93DBE5" w14:textId="77777777" w:rsidR="001E1317" w:rsidRPr="00C33834" w:rsidRDefault="001E1317" w:rsidP="00C33834">
            <w:pPr>
              <w:spacing w:after="0" w:line="240" w:lineRule="auto"/>
              <w:jc w:val="both"/>
              <w:rPr>
                <w:rFonts w:ascii="Times New Roman" w:hAnsi="Times New Roman"/>
                <w:color w:val="000000" w:themeColor="text1"/>
                <w:sz w:val="16"/>
                <w:szCs w:val="16"/>
              </w:rPr>
            </w:pPr>
          </w:p>
        </w:tc>
      </w:tr>
    </w:tbl>
    <w:p w14:paraId="03B5407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этого перечня видно, что лишь половина производственной мощности КО ЦАГИ идет на самолетостроительные работы.</w:t>
      </w:r>
    </w:p>
    <w:p w14:paraId="5B77809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сравнению с прошлям годом ЦАГИ стал значительно больше времени уделять конструированию новых самолетов, ибо в прошлом 1932 году из всего бюджета времени на новые самолеты уходило лишь 30-32% времени.</w:t>
      </w:r>
    </w:p>
    <w:p w14:paraId="128C9C1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Причины неудовлетворительной работы:</w:t>
      </w:r>
    </w:p>
    <w:p w14:paraId="374BD3A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отсутствие достаточного количества площадей производства, что вызывало необходимость располагать строительство самолетов в несколько этажей (один самолет над другим), чем стеснялось движение и снижалась производительность труда,</w:t>
      </w:r>
    </w:p>
    <w:p w14:paraId="730460B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отсутствие достаточного количества оборудования, в особенности точного для прецизионных мастерских и станочного оборудования для работ по вооружению и оборудованию самолетов.</w:t>
      </w:r>
    </w:p>
    <w:p w14:paraId="09FF80F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низкая квалификация рабочего состава ЦАГИ</w:t>
      </w:r>
    </w:p>
    <w:p w14:paraId="2A040D0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неблагоустроенность территории завода и недостаточность производственных помещений КО и завода</w:t>
      </w:r>
    </w:p>
    <w:p w14:paraId="78758CD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недостаточное количество складских помещений для ОЭЛИД (ангары)</w:t>
      </w:r>
    </w:p>
    <w:p w14:paraId="50A88A7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 катастрофическое положение с автотранспортом, каковой в ЦАГИ имеется в совершенно недостаточном количестве</w:t>
      </w:r>
    </w:p>
    <w:p w14:paraId="6CD3DA6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 чрезвычайная стесненность в жилищных площадях, что препятствует комплектование квалифицированными кадрами</w:t>
      </w:r>
    </w:p>
    <w:p w14:paraId="166E9AF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 недостаточность финансирования, препятствующее нормальному росту ЦАГИ</w:t>
      </w:r>
    </w:p>
    <w:p w14:paraId="2C3B4E1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отсутствие летного состава для ОЭЛИД и гидробазы</w:t>
      </w:r>
    </w:p>
    <w:p w14:paraId="7A2FC52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устарелость и недостаточность лабораторного оборудования и специальных устройств в НИС</w:t>
      </w:r>
    </w:p>
    <w:p w14:paraId="15AC8D7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 затруднения с капстроительством, объем которого не соответствует потребностям</w:t>
      </w:r>
    </w:p>
    <w:p w14:paraId="17BAFB2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 недостаточная производственная база ОРС и недостаточное его финансирование, препятствующие хорошему снабжению.</w:t>
      </w:r>
    </w:p>
    <w:p w14:paraId="7B41A52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Ближайшие задачи, над которыми работает ЦАГИ - постройка по заданию Правительства самолетов МДР-4 и МК и сдача их в серию; постройка самолетов "Максим Горький", истребителя И-14 и МИ-3 (2281,37).</w:t>
      </w:r>
    </w:p>
    <w:p w14:paraId="206922BB"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7C6632E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октября 1933 закончились гос. испытания турельных авиационных пулеметов калибра 7,62 мм ШКАС-МК-1933 г. за NN 290, 301, 302, 303 и 310, которые проходили с 14 октября 1933 (3053).</w:t>
      </w:r>
    </w:p>
    <w:p w14:paraId="77BABE7F"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522B098B" w14:textId="77777777" w:rsidR="00562118" w:rsidRPr="00C33834" w:rsidRDefault="00562118"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819F9A1" w14:textId="77777777" w:rsidR="00562118" w:rsidRPr="00C33834" w:rsidRDefault="00562118" w:rsidP="00C33834">
      <w:pPr>
        <w:spacing w:after="0" w:line="240" w:lineRule="auto"/>
        <w:jc w:val="both"/>
        <w:rPr>
          <w:rFonts w:ascii="Times New Roman" w:hAnsi="Times New Roman"/>
          <w:iCs/>
          <w:color w:val="000000" w:themeColor="text1"/>
          <w:sz w:val="16"/>
          <w:szCs w:val="16"/>
        </w:rPr>
      </w:pPr>
    </w:p>
    <w:p w14:paraId="778A710C" w14:textId="77777777" w:rsidR="00562118" w:rsidRPr="00C33834" w:rsidRDefault="0056211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октября 1933. На заводе "Динамо" закончили сборку первых двух троллейбусов "АК". Коллектив рабочих завода постановил назвать троллейбусы этой серии именем Кагановича (18722).</w:t>
      </w:r>
    </w:p>
    <w:p w14:paraId="151FD837" w14:textId="77777777" w:rsidR="00562118" w:rsidRPr="00C33834" w:rsidRDefault="00562118" w:rsidP="00C33834">
      <w:pPr>
        <w:spacing w:after="0" w:line="240" w:lineRule="auto"/>
        <w:jc w:val="both"/>
        <w:rPr>
          <w:rFonts w:ascii="Times New Roman" w:hAnsi="Times New Roman"/>
          <w:color w:val="000000" w:themeColor="text1"/>
          <w:sz w:val="16"/>
          <w:szCs w:val="16"/>
        </w:rPr>
      </w:pPr>
    </w:p>
    <w:p w14:paraId="01B67D64" w14:textId="77777777" w:rsidR="001E1317"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0F51CC6" w14:textId="77777777" w:rsidR="001E1317" w:rsidRPr="00C33834" w:rsidRDefault="001E1317" w:rsidP="00C33834">
      <w:pPr>
        <w:spacing w:after="0" w:line="240" w:lineRule="auto"/>
        <w:jc w:val="both"/>
        <w:rPr>
          <w:rFonts w:ascii="Times New Roman" w:hAnsi="Times New Roman"/>
          <w:iCs/>
          <w:color w:val="000000" w:themeColor="text1"/>
          <w:sz w:val="16"/>
          <w:szCs w:val="16"/>
        </w:rPr>
      </w:pPr>
    </w:p>
    <w:p w14:paraId="665DC1A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октября 1933 Начальник НИИ ВВС Зильберт утвердил Отчет по гос. испытаниям турельных авиационных пулеметов калибра 7,62 мм ШКАС-МК-1933 г. за NN 290, 301, 302, 303 и 310</w:t>
      </w:r>
    </w:p>
    <w:p w14:paraId="35DB1FD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Начато - 14 октября 1933 года</w:t>
      </w:r>
    </w:p>
    <w:p w14:paraId="3260BAA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Окончено 29 октября 1933 года</w:t>
      </w:r>
    </w:p>
    <w:p w14:paraId="43E603D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Выводы и заключение</w:t>
      </w:r>
    </w:p>
    <w:p w14:paraId="6A2F3C0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Предъявленные образцы испытание выдержали (3053).</w:t>
      </w:r>
    </w:p>
    <w:p w14:paraId="311DE2D5"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6293D181" w14:textId="77777777" w:rsidR="001E1317"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BD930AE" w14:textId="77777777" w:rsidR="001E1317" w:rsidRPr="00C33834" w:rsidRDefault="001E1317" w:rsidP="00C33834">
      <w:pPr>
        <w:spacing w:after="0" w:line="240" w:lineRule="auto"/>
        <w:jc w:val="both"/>
        <w:rPr>
          <w:rFonts w:ascii="Times New Roman" w:hAnsi="Times New Roman"/>
          <w:iCs/>
          <w:color w:val="000000" w:themeColor="text1"/>
          <w:sz w:val="16"/>
          <w:szCs w:val="16"/>
        </w:rPr>
      </w:pPr>
    </w:p>
    <w:p w14:paraId="362D75DA"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октября 1933 в Испании создана фашистская партия - Фаланга. (4962).</w:t>
      </w:r>
    </w:p>
    <w:p w14:paraId="090F0297"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p>
    <w:p w14:paraId="455BF38C" w14:textId="77777777" w:rsidR="003172F1" w:rsidRPr="00C33834" w:rsidRDefault="003172F1"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739B26EF" w14:textId="77777777" w:rsidR="003172F1" w:rsidRPr="00C33834" w:rsidRDefault="003172F1" w:rsidP="00C33834">
      <w:pPr>
        <w:spacing w:after="0" w:line="240" w:lineRule="auto"/>
        <w:jc w:val="both"/>
        <w:rPr>
          <w:rFonts w:ascii="Times New Roman" w:hAnsi="Times New Roman"/>
          <w:iCs/>
          <w:color w:val="000000" w:themeColor="text1"/>
          <w:sz w:val="16"/>
          <w:szCs w:val="16"/>
        </w:rPr>
      </w:pPr>
    </w:p>
    <w:p w14:paraId="1ACBB12B" w14:textId="77777777" w:rsidR="003172F1" w:rsidRPr="00C33834" w:rsidRDefault="003172F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30 октября 1933 года — первый полёт многоцелевого военного самолёта Westland PV.7. /Англия/</w:t>
      </w:r>
    </w:p>
    <w:p w14:paraId="13588E33" w14:textId="77777777" w:rsidR="003172F1" w:rsidRPr="00C33834" w:rsidRDefault="003172F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Спецификация G.4/31 британского авиационного министерства описывала требования к многоцелевому самолёту для замены устаревшего Westland Wapiti. Он должен был объединить в себе роли разведчика, лёгкого бомбардировщика, санитарного самолёта и даже торпедоносца. В частном порядке компания Westland Aircraft начала работать над проектом PV.7.</w:t>
      </w:r>
    </w:p>
    <w:p w14:paraId="4753EA42" w14:textId="77777777" w:rsidR="003172F1" w:rsidRPr="00C33834" w:rsidRDefault="003172F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Этот двухместный высокоплан с неубираемым шасси оснащался двигателем Bristol Pegasus IIIM3 (722 л.с.) Максимальная скорость — 278 км/ч, дальность полёта — 620 км. Вооружение состояло из 2 × 7,7-мм пулемётов + 2 × 228-кг бомб или 1 × 500-кг торпеда.</w:t>
      </w:r>
    </w:p>
    <w:p w14:paraId="794EB480" w14:textId="77777777" w:rsidR="003172F1" w:rsidRPr="00C33834" w:rsidRDefault="003172F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Во время заводских испытаний самолёт постоянно дорабатывали. В 1934 году PV.7 передали на внешние испытания. Во время пробного пикирования у самолёта отвалилось крыло. Пилоту, к счастью, удалось спасти. Но единственный построенный PV.7 разбился и проект был закрыт (22300).</w:t>
      </w:r>
    </w:p>
    <w:p w14:paraId="5B6F7A20" w14:textId="77777777" w:rsidR="003172F1" w:rsidRPr="00C33834" w:rsidRDefault="003172F1" w:rsidP="00C33834">
      <w:pPr>
        <w:spacing w:after="0" w:line="240" w:lineRule="auto"/>
        <w:jc w:val="both"/>
        <w:rPr>
          <w:rFonts w:ascii="Times New Roman" w:hAnsi="Times New Roman"/>
          <w:color w:val="0070C0"/>
          <w:sz w:val="16"/>
          <w:szCs w:val="16"/>
        </w:rPr>
      </w:pPr>
    </w:p>
    <w:p w14:paraId="5EACFF8E" w14:textId="77777777" w:rsidR="003172F1" w:rsidRPr="00C33834" w:rsidRDefault="003172F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30 октября 1933, возвращаясь из путешествия по Африке, Couzinet 33 Biarritz терпит крушение в Блейзи-Ба, Франция (20802).</w:t>
      </w:r>
    </w:p>
    <w:p w14:paraId="2DD4D3F0" w14:textId="77777777" w:rsidR="003172F1" w:rsidRPr="00C33834" w:rsidRDefault="003172F1" w:rsidP="00C33834">
      <w:pPr>
        <w:spacing w:after="0" w:line="240" w:lineRule="auto"/>
        <w:jc w:val="both"/>
        <w:rPr>
          <w:rFonts w:ascii="Times New Roman" w:hAnsi="Times New Roman"/>
          <w:color w:val="0070C0"/>
          <w:sz w:val="16"/>
          <w:szCs w:val="16"/>
        </w:rPr>
      </w:pPr>
    </w:p>
    <w:p w14:paraId="58D3607F" w14:textId="77777777" w:rsidR="003172F1" w:rsidRPr="00C33834" w:rsidRDefault="003172F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30 октября 1933 во время авиашоу в Амарилло, штат Техас, два самолета, принадлежащих труппе летающего цирка, сталкиваются над городом, пролетая над лентами, сброшенными третьим самолетом. Четыре человека на борту двух самолетов погибают (20802).</w:t>
      </w:r>
    </w:p>
    <w:p w14:paraId="4029DED3" w14:textId="77777777" w:rsidR="003172F1" w:rsidRPr="00C33834" w:rsidRDefault="003172F1" w:rsidP="00C33834">
      <w:pPr>
        <w:spacing w:after="0" w:line="240" w:lineRule="auto"/>
        <w:jc w:val="both"/>
        <w:rPr>
          <w:rFonts w:ascii="Times New Roman" w:hAnsi="Times New Roman"/>
          <w:color w:val="0070C0"/>
          <w:sz w:val="16"/>
          <w:szCs w:val="16"/>
        </w:rPr>
      </w:pPr>
    </w:p>
    <w:p w14:paraId="1FE31EE5" w14:textId="77777777" w:rsidR="001E1317"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724E7F8" w14:textId="77777777" w:rsidR="001E1317" w:rsidRPr="00C33834" w:rsidRDefault="001E1317" w:rsidP="00C33834">
      <w:pPr>
        <w:spacing w:after="0" w:line="240" w:lineRule="auto"/>
        <w:jc w:val="both"/>
        <w:rPr>
          <w:rFonts w:ascii="Times New Roman" w:hAnsi="Times New Roman"/>
          <w:iCs/>
          <w:color w:val="000000" w:themeColor="text1"/>
          <w:sz w:val="16"/>
          <w:szCs w:val="16"/>
        </w:rPr>
      </w:pPr>
    </w:p>
    <w:p w14:paraId="0DE3F87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октября 1933 Н.М.Харламовым был утвержден генплан первой очереди нового ЦАГИ. Решение о начале работ было принято только в апреле 1935 (80,40).</w:t>
      </w:r>
    </w:p>
    <w:p w14:paraId="7DBF2811"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297121A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октября 1933 вышло постановление СТО N 104 об объединении ГДЛ и ГИРД в РНИИ (1232). На самом деле ГДЛ был Ленинградским отделением РНИИ, а РНИИ был в Москве как институт РККА (5380, 23).</w:t>
      </w:r>
    </w:p>
    <w:p w14:paraId="74246804"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321D6B40" w14:textId="77777777" w:rsidR="006C50AE" w:rsidRPr="00C33834" w:rsidRDefault="006C50A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31 октября 1933 г. выходит постановление № 104 Совета Труда и Обороны «Об организации Реактивного научно-исследовательского института», подтверждающее приказ Реввоенсовета и утверждающее подчинение нового института НКТП СССР. (В то же время, чтобы сохранить возможность воздействовать на работу РНИИ, военно-морской наркомат выделяет для руководящего состава института 46 штатных должностей командного состава РККА.) (22685).</w:t>
      </w:r>
    </w:p>
    <w:p w14:paraId="2DA83F02" w14:textId="77777777" w:rsidR="006C50AE" w:rsidRPr="00C33834" w:rsidRDefault="006C50AE" w:rsidP="00C33834">
      <w:pPr>
        <w:spacing w:after="0" w:line="240" w:lineRule="auto"/>
        <w:jc w:val="both"/>
        <w:rPr>
          <w:rFonts w:ascii="Times New Roman" w:hAnsi="Times New Roman"/>
          <w:color w:val="0070C0"/>
          <w:sz w:val="16"/>
          <w:szCs w:val="16"/>
        </w:rPr>
      </w:pPr>
    </w:p>
    <w:p w14:paraId="33B760A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октября 1933 года постановлением СТО был организован НИИ № 3 на базе двух организаций, именуемых ранее Газодинамической лабораторией управления военных изобретений и Группой изучения реактивного движения при ЦС ОСО. Первая из этих организаций существовала с 1928 года, а вторая с 1931 года. Причем Газодинамическая лаборатория занималась главным образом разработкой ракет использующих для движущей силы энергию пороха, а группа изучения реактивного движения разрабатывала ракеты, используя для них компоненты жидких топлив (бензин, спирт+жидкий кислород). В результате соединения этих двух групп и оформилась тематика института, направленная на разработку ракетных летательных аппаратов на твердом топливе в виде ракетных снарядов и авиабомб с дополнительной скоростью и ракетных летательных аппаратов на жидком топливе в виде стратосферных ракет, воздушных торпед и непосредственно двигателей на жидком топливе и т.п. (3187).</w:t>
      </w:r>
    </w:p>
    <w:p w14:paraId="1D04DD89"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5EB3A0F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октября 1933 принято постановление Совета Труда и Обороны № 104, в котором подтверждался приказ Реввоенсовета! 15 ноября вновь образованный РНИИ передали в ведение Народного комиссариата тяжелой промышленности СССР! Отныне у них свой институт! После подвала на Садово-Спасской помещение института в Лихоборах на окраине Москвы представлялось Королеву царскими хоромами: двухэтажный корпус, к которому примыкал производственный цех. В цеху было полное запустение, по-кладбищенски белели бетонные фундаменты демонтированных машин: здесь размещалась лаборатория дизелей. В корпусе - натоптано, грязь, кучки какого-то домашнего мусора, девушки из ГИРД кричали, что обнаружили клопов. Королев помнил, каким был их подвал на Садовой, пожалуй, еще хуже. Ясно, что снова придется начинать на пустом месте, снова навалятся нескончаемые хозяйственные и организационные заботы. У пионеров науки и техники разные судьбы. Для великого Тихо Браге датский король построил целый научный городок -Ураниборг - столицу Урании, богини астрономии. Менделеев трудился в теплом уюте Петербургского университета. Эрнест Резерфорд обосновался в Кембридже, в прекрасно оборудованной Кавендишской лаборатории. Сергей Королев всю жизнь начинал с нуля: в 1931 году - ГИРД, 1934-м - РНИИ, в 1946-м - Подлипки и Капустин Яр, в 1955-м - Тюратам. Быть пионером - трудно, но во сто крат труднее создавать новое в условиях, мешающих создавать новое. Значит, придется останавливаться. Останавливаться, чтобы следующий шаг был шире (11143).</w:t>
      </w:r>
    </w:p>
    <w:p w14:paraId="2C322507"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1AC35177"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октября 1933 г. в соответствии с Постановлением Совета Труда и Обороны за №104/сс и приказом НКТП от 4 ноября 1933 г. за № 198с. Состоялось официально рождение РНИИ ГУБ НКТП (с 30 декабря 1936 г. -НИИ-3 НКОП, ныне - Федеральный ракетостроительный центр имени академика М.В.Келдыша). Основным направлением деятельно</w:t>
      </w:r>
      <w:r w:rsidRPr="00C33834">
        <w:rPr>
          <w:rFonts w:ascii="Times New Roman" w:hAnsi="Times New Roman"/>
          <w:color w:val="000000" w:themeColor="text1"/>
          <w:sz w:val="16"/>
          <w:szCs w:val="16"/>
        </w:rPr>
        <w:softHyphen/>
        <w:t>сти института была определена «организация и проведение теоретиче</w:t>
      </w:r>
      <w:r w:rsidRPr="00C33834">
        <w:rPr>
          <w:rFonts w:ascii="Times New Roman" w:hAnsi="Times New Roman"/>
          <w:color w:val="000000" w:themeColor="text1"/>
          <w:sz w:val="16"/>
          <w:szCs w:val="16"/>
        </w:rPr>
        <w:softHyphen/>
        <w:t>ских и экспериментально-исследовательских работ в области ракетного движения с целью создания ракетных аппаратов и снарядов, предназна</w:t>
      </w:r>
      <w:r w:rsidRPr="00C33834">
        <w:rPr>
          <w:rFonts w:ascii="Times New Roman" w:hAnsi="Times New Roman"/>
          <w:color w:val="000000" w:themeColor="text1"/>
          <w:sz w:val="16"/>
          <w:szCs w:val="16"/>
        </w:rPr>
        <w:softHyphen/>
        <w:t>ченных для использования в различных областях военной техники и на</w:t>
      </w:r>
      <w:r w:rsidRPr="00C33834">
        <w:rPr>
          <w:rFonts w:ascii="Times New Roman" w:hAnsi="Times New Roman"/>
          <w:color w:val="000000" w:themeColor="text1"/>
          <w:sz w:val="16"/>
          <w:szCs w:val="16"/>
        </w:rPr>
        <w:softHyphen/>
        <w:t>родного хозяйства».</w:t>
      </w:r>
    </w:p>
    <w:p w14:paraId="5219067D"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Утверждают, что в одном из интервью с академиком В.П.Глушко на вопрос, кто, помимо всемирно известных советских ученых, способство</w:t>
      </w:r>
      <w:r w:rsidRPr="00C33834">
        <w:rPr>
          <w:rFonts w:ascii="Times New Roman" w:hAnsi="Times New Roman"/>
          <w:color w:val="000000" w:themeColor="text1"/>
          <w:sz w:val="16"/>
          <w:szCs w:val="16"/>
        </w:rPr>
        <w:softHyphen/>
        <w:t>вал становлению ракетного дела в СССР, тот ответил: «Первым я бы по</w:t>
      </w:r>
      <w:r w:rsidRPr="00C33834">
        <w:rPr>
          <w:rFonts w:ascii="Times New Roman" w:hAnsi="Times New Roman"/>
          <w:color w:val="000000" w:themeColor="text1"/>
          <w:sz w:val="16"/>
          <w:szCs w:val="16"/>
        </w:rPr>
        <w:softHyphen/>
        <w:t>ставил Михаила Николаевича Тухачевского». В своих мемуарах Маршал Советского Союза Г.К.Жуков отзывался о М.Н.Тухачевском, как об ум</w:t>
      </w:r>
      <w:r w:rsidRPr="00C33834">
        <w:rPr>
          <w:rFonts w:ascii="Times New Roman" w:hAnsi="Times New Roman"/>
          <w:color w:val="000000" w:themeColor="text1"/>
          <w:sz w:val="16"/>
          <w:szCs w:val="16"/>
        </w:rPr>
        <w:softHyphen/>
        <w:t>ном, широко образованном профессиональном военном, великолепно разбиравшемся как в области тактики, так и в стратегических вопросах, хорошо понимавшем роль различных видов наших Вооруженных Сил в современных войнах и творчески решавшем любые проблемы.</w:t>
      </w:r>
    </w:p>
    <w:p w14:paraId="251AD575"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Считается, что к 1932 г. ГДЛ располагала уже целым «отделом приме</w:t>
      </w:r>
      <w:r w:rsidRPr="00C33834">
        <w:rPr>
          <w:rFonts w:ascii="Times New Roman" w:hAnsi="Times New Roman"/>
          <w:color w:val="000000" w:themeColor="text1"/>
          <w:sz w:val="16"/>
          <w:szCs w:val="16"/>
        </w:rPr>
        <w:softHyphen/>
        <w:t>нения ракет в авиации», который сначала возглавлял В.И.Худяков. Поз</w:t>
      </w:r>
      <w:r w:rsidRPr="00C33834">
        <w:rPr>
          <w:rFonts w:ascii="Times New Roman" w:hAnsi="Times New Roman"/>
          <w:color w:val="000000" w:themeColor="text1"/>
          <w:sz w:val="16"/>
          <w:szCs w:val="16"/>
        </w:rPr>
        <w:softHyphen/>
        <w:t>же на этом посту его сменил В.И.Дудаков. По структуре ГДЛ сфера дея тельности «авиационного отдела» ограничивалась разработкой самолет</w:t>
      </w:r>
      <w:r w:rsidRPr="00C33834">
        <w:rPr>
          <w:rFonts w:ascii="Times New Roman" w:hAnsi="Times New Roman"/>
          <w:color w:val="000000" w:themeColor="text1"/>
          <w:sz w:val="16"/>
          <w:szCs w:val="16"/>
        </w:rPr>
        <w:softHyphen/>
        <w:t>ных пусковых установок (11402).</w:t>
      </w:r>
    </w:p>
    <w:p w14:paraId="117BC080"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p>
    <w:p w14:paraId="53949D8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октября 1933 вышло правительственное постановление о создании РНИИ (274).</w:t>
      </w:r>
    </w:p>
    <w:p w14:paraId="076D2D2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Нет, оно было 21 сентября, а в этот день был основан РНИИ на основе ленинградской ГДЛ и московского ГИРД (1136,265).</w:t>
      </w:r>
    </w:p>
    <w:p w14:paraId="0268E49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Нет, в этот день РНИИ передали НКТП по постановлению СТО (2990).</w:t>
      </w:r>
    </w:p>
    <w:p w14:paraId="0D173986"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4F067F08" w14:textId="77777777" w:rsidR="00F46121" w:rsidRPr="00C33834" w:rsidRDefault="00F46121" w:rsidP="00C33834">
      <w:pPr>
        <w:pStyle w:val="rtejustify"/>
        <w:spacing w:before="0" w:after="0"/>
        <w:rPr>
          <w:color w:val="000000" w:themeColor="text1"/>
          <w:sz w:val="16"/>
          <w:szCs w:val="16"/>
        </w:rPr>
      </w:pPr>
      <w:r w:rsidRPr="00C33834">
        <w:rPr>
          <w:rStyle w:val="af0"/>
          <w:bCs/>
          <w:i w:val="0"/>
          <w:color w:val="000000" w:themeColor="text1"/>
          <w:sz w:val="16"/>
          <w:szCs w:val="16"/>
        </w:rPr>
        <w:t>31 октября</w:t>
      </w:r>
      <w:r w:rsidRPr="00C33834">
        <w:rPr>
          <w:color w:val="000000" w:themeColor="text1"/>
          <w:sz w:val="16"/>
          <w:szCs w:val="16"/>
        </w:rPr>
        <w:t xml:space="preserve"> 1933. Постановление СТО СССР № 104сс/о «Об организации Реактивного института». (ГА РФ. Ф. Р</w:t>
      </w:r>
      <w:r w:rsidRPr="00C33834">
        <w:rPr>
          <w:color w:val="000000" w:themeColor="text1"/>
          <w:sz w:val="16"/>
          <w:szCs w:val="16"/>
        </w:rPr>
        <w:noBreakHyphen/>
        <w:t>8418. Оп. 28. Д. 3. Л. 17</w:t>
      </w:r>
      <w:r w:rsidRPr="00C33834">
        <w:rPr>
          <w:color w:val="000000" w:themeColor="text1"/>
          <w:sz w:val="16"/>
          <w:szCs w:val="16"/>
        </w:rPr>
        <w:noBreakHyphen/>
        <w:t>18) (15460).</w:t>
      </w:r>
    </w:p>
    <w:p w14:paraId="47442CF7" w14:textId="77777777" w:rsidR="00F46121" w:rsidRPr="00C33834" w:rsidRDefault="00F46121" w:rsidP="00C33834">
      <w:pPr>
        <w:pStyle w:val="rtejustify"/>
        <w:spacing w:before="0" w:after="0"/>
        <w:rPr>
          <w:color w:val="000000" w:themeColor="text1"/>
          <w:sz w:val="16"/>
          <w:szCs w:val="16"/>
        </w:rPr>
      </w:pPr>
    </w:p>
    <w:p w14:paraId="1D7DCCD6" w14:textId="77777777" w:rsidR="00F46121" w:rsidRPr="00C33834" w:rsidRDefault="00F46121" w:rsidP="00C33834">
      <w:pPr>
        <w:spacing w:after="0" w:line="240" w:lineRule="auto"/>
        <w:jc w:val="both"/>
        <w:rPr>
          <w:rFonts w:ascii="Times New Roman" w:hAnsi="Times New Roman"/>
          <w:color w:val="000000" w:themeColor="text1"/>
          <w:sz w:val="16"/>
          <w:szCs w:val="16"/>
        </w:rPr>
      </w:pPr>
      <w:r w:rsidRPr="00C33834">
        <w:rPr>
          <w:rStyle w:val="ucoz-forum-post"/>
          <w:rFonts w:ascii="Times New Roman" w:eastAsiaTheme="majorEastAsia" w:hAnsi="Times New Roman"/>
          <w:bCs/>
          <w:color w:val="000000" w:themeColor="text1"/>
          <w:sz w:val="16"/>
          <w:szCs w:val="16"/>
        </w:rPr>
        <w:t xml:space="preserve">31 октября </w:t>
      </w:r>
      <w:r w:rsidRPr="00C33834">
        <w:rPr>
          <w:rFonts w:ascii="Times New Roman" w:hAnsi="Times New Roman"/>
          <w:color w:val="000000" w:themeColor="text1"/>
          <w:sz w:val="16"/>
          <w:szCs w:val="16"/>
        </w:rPr>
        <w:t>в 1933 году в соответствии с постановлением Совета труда и обороны СССР №104 организован первый в стране научно-исследовательский центр по разработке ракетно-космической техники. Ныне — ФГУП "Исследовательский центр им М.В.Келдыша" (Центр Келдыша) Роскосмоса. Головная научно-исследовательская организация ракетно-космической промышленности в области ракетного двигателестроения и космической энергетики. Крупнейшим достижением Центра довоенного и военного времени стало создание и изготовление первой партии мобильного боевого оружия - легендарной «Катюши». В послевоенное время роботы института во многом способствовали созданию высокоэффективных ракетных двигателей на жидком и твердом топливе современных ракетных и ракетно-космических комплексов. С 1946 года по 1961 год начальником и научным руководителем Центра был академик М.В.Келдыш. В настоящее время в Центре проводится широкий круг теоретических и экспериментальных работ, связанных с созданием жидкостных, твердотопливных, электрических двигателей и космических энергоустановок нового поколения (14816).</w:t>
      </w:r>
    </w:p>
    <w:p w14:paraId="7E27DDB1" w14:textId="77777777" w:rsidR="00F46121" w:rsidRPr="00C33834" w:rsidRDefault="00F46121" w:rsidP="00C33834">
      <w:pPr>
        <w:spacing w:after="0" w:line="240" w:lineRule="auto"/>
        <w:jc w:val="both"/>
        <w:rPr>
          <w:rFonts w:ascii="Times New Roman" w:hAnsi="Times New Roman"/>
          <w:color w:val="000000" w:themeColor="text1"/>
          <w:sz w:val="16"/>
          <w:szCs w:val="16"/>
        </w:rPr>
      </w:pPr>
    </w:p>
    <w:p w14:paraId="5A70D918" w14:textId="77777777" w:rsidR="00562118" w:rsidRPr="00C33834" w:rsidRDefault="0056211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31 октября 1933 года постановлением Совета Труда и обороны (СТО) за № 104 сс и приказом Наркома Тяжелой Промышленности от 4 ноября 1933 года за № 198 сс был организован Научно-Исследовательский Институт № 3 (НИИ № 3) (в действительности Реактивный Научно-исследовательский Институт [Письмо Исх № 552с от 17.08.1935 г. от НАЧАЛЬНИКА РНИИ НАРОДНОМУ КОМИССАРУ ТЯЖЕЛОЙ ПРОМЫШЛЕННОСТИ С С С Р тов. ОРДЖОНИКИДЗЕ. Подлинник. 17.08.1935 г. // Архив ГНЦ ФГУП "Центр Келдыша". Инв. 97. Оп. 1. Ед. хр. по описи 1. Л. 135,139.],[ Письмо Исх. А 705сс от 19.10.1935 г. от ДИРЕКТОРА РНИИ И.КЛЕЙМЕНОВА в Ц К ВКП/б/, ОТДЕЛ Н А У К И тов. Г О Р О Х О В У.  Подлинник. 17.10.1935 г. // Архив ГНЦ ФГУП "Центр Келдыша". Инв. 97. Оп. 1. Ед. хр. по описи 1. Л. 140,141.]) на базе двух организаций, именуемых ранее Газодинамической лабораторией Управления военных изобретений [Письмо Исх. № 24ос от 14.02.1939 г. ДИРЕКТОРА НИИ № 3 СЛОНИМЕРА И ЗАМ.ДИРЕКТОРА НИИ № 3 ВОЕНИНЖЕНЕРА I РАНГА КОСТИКОВА в В.П.К.КОМИТЕТА ОБОРОНЫ ПРИ ВЕРХОВНОМ СОВЕТЕ С.С.С.Р. </w:t>
      </w:r>
      <w:r w:rsidRPr="00C33834">
        <w:rPr>
          <w:rFonts w:ascii="Times New Roman" w:eastAsia="Times New Roman" w:hAnsi="Times New Roman"/>
          <w:color w:val="000000" w:themeColor="text1"/>
          <w:sz w:val="16"/>
          <w:szCs w:val="16"/>
          <w:u w:val="single"/>
          <w:lang w:eastAsia="ru-RU"/>
        </w:rPr>
        <w:t>Тов. МАТВЕЕВУ.</w:t>
      </w:r>
      <w:r w:rsidRPr="00C33834">
        <w:rPr>
          <w:rFonts w:ascii="Times New Roman" w:eastAsia="Times New Roman" w:hAnsi="Times New Roman"/>
          <w:color w:val="000000" w:themeColor="text1"/>
          <w:sz w:val="16"/>
          <w:szCs w:val="16"/>
          <w:lang w:eastAsia="ru-RU"/>
        </w:rPr>
        <w:t> Копия // Архив ГНЦ ФГУП "Центр Келдыша". Инв. 291. Оп. 1. Ед. хр. по описи 14. Л. 53,54,55,64.] (Наркомвоенмор"а [ПОЯСНИТЕЛЬНАЯ ЗАПИСКА К итогам деятельности НИИ № 3 НКОП за 1938г. ДИРЕКТОРА НИИ № 3 Н К О П СЛОНИМЕРА И НАЧАЛЬНИКА ПЛАНОВОГО ОТДЕЛА РОДИНА. Неполностью подписанный подлинник (Подписал только Родин). 28.01.1939 г. // Архив ГНЦ ФГУП "Центр Келдыша". Инв. 225. Оп. 1. Ед. хр. по описи 12. Л. 95,104.), и Московской группой изучения реактивного движения (ГИРД) при ЦС ОСО (ЦС Осовиахима) [Письмо Исх. № 24ос от 14.02.1939 г. ДИРЕКТОРА НИИ № 3 СЛОНИМЕРА И ЗАМ.ДИРЕКТОРА НИИ № 3 ВОЕНИНЖЕНЕРА I РАНГА КОСТИКОВА в В.П.К.КОМИТЕТА ОБОРОНЫ ПРИ ВЕРХОВНОМ СОВЕТЕ С.С.С.Р. </w:t>
      </w:r>
      <w:r w:rsidRPr="00C33834">
        <w:rPr>
          <w:rFonts w:ascii="Times New Roman" w:eastAsia="Times New Roman" w:hAnsi="Times New Roman"/>
          <w:color w:val="000000" w:themeColor="text1"/>
          <w:sz w:val="16"/>
          <w:szCs w:val="16"/>
          <w:u w:val="single"/>
          <w:lang w:eastAsia="ru-RU"/>
        </w:rPr>
        <w:t>Тов. МАТВЕЕВУ.</w:t>
      </w:r>
      <w:r w:rsidRPr="00C33834">
        <w:rPr>
          <w:rFonts w:ascii="Times New Roman" w:eastAsia="Times New Roman" w:hAnsi="Times New Roman"/>
          <w:color w:val="000000" w:themeColor="text1"/>
          <w:sz w:val="16"/>
          <w:szCs w:val="16"/>
          <w:lang w:eastAsia="ru-RU"/>
        </w:rPr>
        <w:t xml:space="preserve"> Копия // Архив ГНЦ ФГУП "Центр Келдыша". Инв. 291. Оп. 1. Ед. хр. по описи 14. Л. 53,54,55,64.],[ ПОЯСНИТЕЛЬНАЯ ЗАПИСКА К итогам деятельности НИИ № 3 НКОП за 1938г. ДИРЕКТОРА НИИ № 3 Н К О П СЛОНИМЕРА И НАЧАЛЬНИКА ПЛАНОВОГО ОТДЕЛА РОДИНА. Неполностью подписанный подлинник (Подписал только Родин). 28.01.1939 г. // Архив ГНЦ ФГУП "Центр Келдыша". Инв. 225. Оп. 1. Ед. хр. по описи 12. Л. 95,104.].  Первая из этих организаций существовала с 1928 года, а вторая с 1931 года. Причем, газодинамическая лаборатория </w:t>
      </w:r>
      <w:r w:rsidRPr="00C33834">
        <w:rPr>
          <w:rFonts w:ascii="Times New Roman" w:eastAsia="Times New Roman" w:hAnsi="Times New Roman"/>
          <w:color w:val="000000" w:themeColor="text1"/>
          <w:sz w:val="16"/>
          <w:szCs w:val="16"/>
          <w:lang w:eastAsia="ru-RU"/>
        </w:rPr>
        <w:lastRenderedPageBreak/>
        <w:t>занималась главным образом разработкой ракет использующих для движущей силы энергию пороха, а группа изучения реактивного движения разрабатывала ракеты, используя для них компоненты жидких топлив (бензин, спирт+жидкий кислород).</w:t>
      </w:r>
    </w:p>
    <w:p w14:paraId="3645490F" w14:textId="77777777" w:rsidR="00562118" w:rsidRPr="00C33834" w:rsidRDefault="0056211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результате соединения этих двух групп и сформировалась тематика института, направленная на разработку ракетных летательных аппаратов на твёрдом топливе, ввиде ракетных снарядов и авиабомб с дополнительной скоростью, и ракетных летательных аппаратов на жидком топливе в виде стратосферных ракет, воздушных торпед и непосредственно двигателей на жидком топливе и т.п.</w:t>
      </w:r>
    </w:p>
    <w:p w14:paraId="1B10880A" w14:textId="77777777" w:rsidR="00562118" w:rsidRPr="00C33834" w:rsidRDefault="0056211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Отмечалось, что наиболее давнюю историю имеют ракетные снаряды, разработка которых началась с 1928 года. С 1928 года по 1935 год отработка устойчивости полёта ракетных снарядов шла по линии использования жироскопического эффекта, т.к. называемый турбо-реактивный снаряд. Едва ли этот принцип в чистом виде имел техническое обоснование столь длительного экспериментирования. Снаряды в таком виде летали абсолютно не сохраняя какую-либо закономерность (19771).</w:t>
      </w:r>
    </w:p>
    <w:p w14:paraId="643F94F6" w14:textId="77777777" w:rsidR="00562118" w:rsidRPr="00C33834" w:rsidRDefault="0056211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6429D72" w14:textId="77777777" w:rsidR="00F46121" w:rsidRPr="00C33834" w:rsidRDefault="00F46121" w:rsidP="00C33834">
      <w:pPr>
        <w:pStyle w:val="ae"/>
        <w:spacing w:before="0" w:after="0"/>
        <w:jc w:val="both"/>
        <w:rPr>
          <w:rStyle w:val="af0"/>
          <w:i w:val="0"/>
          <w:color w:val="000000" w:themeColor="text1"/>
          <w:sz w:val="16"/>
          <w:szCs w:val="16"/>
        </w:rPr>
      </w:pPr>
      <w:r w:rsidRPr="00C33834">
        <w:rPr>
          <w:rStyle w:val="af0"/>
          <w:i w:val="0"/>
          <w:color w:val="000000" w:themeColor="text1"/>
          <w:sz w:val="16"/>
          <w:szCs w:val="16"/>
        </w:rPr>
        <w:t>31 октября 1933 г. </w:t>
      </w:r>
      <w:r w:rsidRPr="00C33834">
        <w:rPr>
          <w:color w:val="000000" w:themeColor="text1"/>
          <w:sz w:val="16"/>
          <w:szCs w:val="16"/>
        </w:rPr>
        <w:t>— Сообщение Полномочного представительства ОГПУ Северо-Кавказского края и Дагестанской АССР в ЦК ВКП(б) о ликвидации диверсионной группы на авиазаводе № 31 г. Таганрога¹*</w:t>
      </w:r>
    </w:p>
    <w:p w14:paraId="749F16D2" w14:textId="77777777" w:rsidR="00F46121" w:rsidRPr="00C33834" w:rsidRDefault="00F46121" w:rsidP="00C33834">
      <w:pPr>
        <w:pStyle w:val="ae"/>
        <w:spacing w:before="0" w:after="0"/>
        <w:jc w:val="both"/>
        <w:rPr>
          <w:color w:val="000000" w:themeColor="text1"/>
          <w:sz w:val="16"/>
          <w:szCs w:val="16"/>
        </w:rPr>
      </w:pPr>
      <w:r w:rsidRPr="00C33834">
        <w:rPr>
          <w:rStyle w:val="af0"/>
          <w:i w:val="0"/>
          <w:color w:val="000000" w:themeColor="text1"/>
          <w:sz w:val="16"/>
          <w:szCs w:val="16"/>
        </w:rPr>
        <w:t>31 октября 1933 г.</w:t>
      </w:r>
    </w:p>
    <w:p w14:paraId="163B7299" w14:textId="77777777" w:rsidR="00F46121" w:rsidRPr="00C33834" w:rsidRDefault="00F46121" w:rsidP="00C33834">
      <w:pPr>
        <w:pStyle w:val="rtejustify"/>
        <w:spacing w:before="0" w:after="0"/>
        <w:rPr>
          <w:color w:val="000000" w:themeColor="text1"/>
          <w:sz w:val="16"/>
          <w:szCs w:val="16"/>
        </w:rPr>
      </w:pPr>
      <w:r w:rsidRPr="00C33834">
        <w:rPr>
          <w:color w:val="000000" w:themeColor="text1"/>
          <w:sz w:val="16"/>
          <w:szCs w:val="16"/>
        </w:rPr>
        <w:t>За последнее время, в процессе агентурного обслуживания завода № 31 в г. Таганроге, неоднократно фиксировались случаи производства недоброкачественной электропроводки на военных самолетах Р</w:t>
      </w:r>
      <w:r w:rsidRPr="00C33834">
        <w:rPr>
          <w:color w:val="000000" w:themeColor="text1"/>
          <w:sz w:val="16"/>
          <w:szCs w:val="16"/>
        </w:rPr>
        <w:noBreakHyphen/>
        <w:t>6, поломок, порчи и хищения аппаратуры и инструментов с самолетов.</w:t>
      </w:r>
    </w:p>
    <w:p w14:paraId="01A81840" w14:textId="77777777" w:rsidR="00F46121" w:rsidRPr="00C33834" w:rsidRDefault="00F46121" w:rsidP="00C33834">
      <w:pPr>
        <w:pStyle w:val="rtejustify"/>
        <w:spacing w:before="0" w:after="0"/>
        <w:rPr>
          <w:color w:val="000000" w:themeColor="text1"/>
          <w:sz w:val="16"/>
          <w:szCs w:val="16"/>
        </w:rPr>
      </w:pPr>
      <w:r w:rsidRPr="00C33834">
        <w:rPr>
          <w:color w:val="000000" w:themeColor="text1"/>
          <w:sz w:val="16"/>
          <w:szCs w:val="16"/>
        </w:rPr>
        <w:t>Агентурными материалами отмечалось наличие на заводе группы лиц, прибывших из школы авиамотористов Шахтинского осоавиахима, тесно связанных между собой и антисоветски настроенных. В порядке дальнейшей агпроработки было установлено, что 13 октября с. г., в конце дня, одним из участников этой группы, электриком Скоробогатовым, произведен обрыв части электропроводов на самолете Р</w:t>
      </w:r>
      <w:r w:rsidRPr="00C33834">
        <w:rPr>
          <w:color w:val="000000" w:themeColor="text1"/>
          <w:sz w:val="16"/>
          <w:szCs w:val="16"/>
        </w:rPr>
        <w:noBreakHyphen/>
        <w:t>6 № 3153, подготовленном к отправке с завода. Скоробогатов был 14</w:t>
      </w:r>
      <w:r w:rsidRPr="00C33834">
        <w:rPr>
          <w:color w:val="000000" w:themeColor="text1"/>
          <w:sz w:val="16"/>
          <w:szCs w:val="16"/>
        </w:rPr>
        <w:noBreakHyphen/>
        <w:t>го числа арестован, и по данному делу было развернуто следствие.</w:t>
      </w:r>
    </w:p>
    <w:p w14:paraId="28B6F95D" w14:textId="77777777" w:rsidR="00F46121" w:rsidRPr="00C33834" w:rsidRDefault="00F46121" w:rsidP="00C33834">
      <w:pPr>
        <w:pStyle w:val="rtejustify"/>
        <w:spacing w:before="0" w:after="0"/>
        <w:rPr>
          <w:color w:val="000000" w:themeColor="text1"/>
          <w:sz w:val="16"/>
          <w:szCs w:val="16"/>
        </w:rPr>
      </w:pPr>
      <w:r w:rsidRPr="00C33834">
        <w:rPr>
          <w:color w:val="000000" w:themeColor="text1"/>
          <w:sz w:val="16"/>
          <w:szCs w:val="16"/>
        </w:rPr>
        <w:t>Скоробогатов, по его показаниям — рождения 1914 г., из семьи кулака, казака станицы Семикаракорской С[еверо-]К[авказского] К[рая], отец его в 1931 г. распродал имущество и, опасаясь высылки, выехал в г. Шахты, где проживал до мая 1933 г., после чего переехал в г. Ростов-на-Дону, где в настоящее время служит в качестве сторожа на «Ростсельмаше». Захар Скоробогатов в мае текущего года в г. Шахтах окончил курсы авиамотористов при Осоавиахиме, после чего в составе слушателей в количестве 25 чел. был командирован на завод № 31. Далее в своих показаниях Скоробогатов Захар указал, что к диверсионной работе он был привлечен в июле месяце т. г. электриком цеха Пилюгиным Федором Сергеевичем, который после совершения целого ряда диверсионных актов, не получив расчета, из Таганрога скрылся. Пилюгин нами арестован. Одновременно была ликвидирована вся группировка, и проходящие по делу в числе 9 чел., арестованы, за исключением Шубина, находящегося сейчас в отпуске. Меры к его аресту приняты. Дальнейшими следственно-агентурными мероприятиями вскрыта диверсионная группировка в составе: Шубина, Пилюгина, Скоробогатова Захара, Ушакова, Данилова, Скоробогатова Бориса, Кириченко, Гладуненко, Ермолова и других. Все указанные лица прибыли на завод по окончании школы авиамотористов Шахтинского осоавиахима. По показаниям арестованных, наиболее активным участником данной группировки являлся Шубин Иван — секретарь комсомольской ячейки цеха МОС. Шубин резко антисоветски настроен и разлагающее действовал на беспартийную молодежь.</w:t>
      </w:r>
    </w:p>
    <w:p w14:paraId="0E891B6A" w14:textId="77777777" w:rsidR="00F46121" w:rsidRPr="00C33834" w:rsidRDefault="00F46121" w:rsidP="00C33834">
      <w:pPr>
        <w:pStyle w:val="rtejustify"/>
        <w:spacing w:before="0" w:after="0"/>
        <w:rPr>
          <w:color w:val="000000" w:themeColor="text1"/>
          <w:sz w:val="16"/>
          <w:szCs w:val="16"/>
        </w:rPr>
      </w:pPr>
      <w:r w:rsidRPr="00C33834">
        <w:rPr>
          <w:color w:val="000000" w:themeColor="text1"/>
          <w:sz w:val="16"/>
          <w:szCs w:val="16"/>
        </w:rPr>
        <w:t>Из числа арестованных Скоробогатов, Пилюгин, Гладуненко, Кириченко, Данилов и Ушаков сознались в принадлежности к вышеуказанной группировке и в непосредственной диверсионной деятельности.</w:t>
      </w:r>
    </w:p>
    <w:p w14:paraId="3CED5A15" w14:textId="77777777" w:rsidR="00F46121" w:rsidRPr="00C33834" w:rsidRDefault="00F46121" w:rsidP="00C33834">
      <w:pPr>
        <w:pStyle w:val="rtejustify"/>
        <w:spacing w:before="0" w:after="0"/>
        <w:rPr>
          <w:color w:val="000000" w:themeColor="text1"/>
          <w:sz w:val="16"/>
          <w:szCs w:val="16"/>
        </w:rPr>
      </w:pPr>
      <w:r w:rsidRPr="00C33834">
        <w:rPr>
          <w:color w:val="000000" w:themeColor="text1"/>
          <w:sz w:val="16"/>
          <w:szCs w:val="16"/>
        </w:rPr>
        <w:t>Конкретная диверсионная деятельность группировки, согласно показаниям обвиняемых характеризуется следующим:</w:t>
      </w:r>
    </w:p>
    <w:p w14:paraId="78A5AC08" w14:textId="77777777" w:rsidR="00F46121" w:rsidRPr="00C33834" w:rsidRDefault="00F46121" w:rsidP="00C33834">
      <w:pPr>
        <w:pStyle w:val="rtejustify"/>
        <w:spacing w:before="0" w:after="0"/>
        <w:rPr>
          <w:color w:val="000000" w:themeColor="text1"/>
          <w:sz w:val="16"/>
          <w:szCs w:val="16"/>
        </w:rPr>
      </w:pPr>
      <w:r w:rsidRPr="00C33834">
        <w:rPr>
          <w:color w:val="000000" w:themeColor="text1"/>
          <w:sz w:val="16"/>
          <w:szCs w:val="16"/>
        </w:rPr>
        <w:t>1. По показаниям Скоробогатова, им при участии Пилюгина созданы условия аварийности на самолетах Р</w:t>
      </w:r>
      <w:r w:rsidRPr="00C33834">
        <w:rPr>
          <w:color w:val="000000" w:themeColor="text1"/>
          <w:sz w:val="16"/>
          <w:szCs w:val="16"/>
        </w:rPr>
        <w:noBreakHyphen/>
        <w:t>6 за №№ 3150, 3151, 3152, уже отправленных в части УВВС. ...²* «В июле месяце текущего года с 8</w:t>
      </w:r>
      <w:r w:rsidRPr="00C33834">
        <w:rPr>
          <w:color w:val="000000" w:themeColor="text1"/>
          <w:sz w:val="16"/>
          <w:szCs w:val="16"/>
        </w:rPr>
        <w:noBreakHyphen/>
        <w:t>го числа в течение 10 дней совместно с Пилюгиным производя электропроводку самолетов Р</w:t>
      </w:r>
      <w:r w:rsidRPr="00C33834">
        <w:rPr>
          <w:color w:val="000000" w:themeColor="text1"/>
          <w:sz w:val="16"/>
          <w:szCs w:val="16"/>
        </w:rPr>
        <w:noBreakHyphen/>
        <w:t>6 за №№ 3150, 3151, 3152, в хвостовых частях всех самолетов проводили частично разорванные провода, собрав их в жгут. Эти самолеты техническим контролем были приняты и, как мне известно, отправлены с завода в воинские части. При эксплуатации в самое ближайшее время может последовать разрыв проводов ...» ...«Производя электропроводку на самолетах Р</w:t>
      </w:r>
      <w:r w:rsidRPr="00C33834">
        <w:rPr>
          <w:color w:val="000000" w:themeColor="text1"/>
          <w:sz w:val="16"/>
          <w:szCs w:val="16"/>
        </w:rPr>
        <w:noBreakHyphen/>
        <w:t>6 Пилюгин заявил мне, что он ставит надорванные провода, обматывая их изоляционной, а затем перкалевой лентой и покрывает их лаком, что делает совершенно незаметным обрыв проводки...» ...«Таким образом, если бы в полете оборвался провод, идущий от пускового магнето, то при отключении мотора в воздухе невозможно было бы его включить, а полный разрыв проводов, идущих от динамо и от аккумулятора лишал бы самолет освещения...»</w:t>
      </w:r>
    </w:p>
    <w:p w14:paraId="06C5B3AF" w14:textId="77777777" w:rsidR="00F46121" w:rsidRPr="00C33834" w:rsidRDefault="00F46121" w:rsidP="00C33834">
      <w:pPr>
        <w:pStyle w:val="rtejustify"/>
        <w:spacing w:before="0" w:after="0"/>
        <w:rPr>
          <w:color w:val="000000" w:themeColor="text1"/>
          <w:sz w:val="16"/>
          <w:szCs w:val="16"/>
        </w:rPr>
      </w:pPr>
      <w:r w:rsidRPr="00C33834">
        <w:rPr>
          <w:color w:val="000000" w:themeColor="text1"/>
          <w:sz w:val="16"/>
          <w:szCs w:val="16"/>
        </w:rPr>
        <w:t>2. Обвиняемый Пилюгин о своей диверсионной деятельности показывает следующее: ...«Мною создавались условия аварийного состояния военных самолетов Р</w:t>
      </w:r>
      <w:r w:rsidRPr="00C33834">
        <w:rPr>
          <w:color w:val="000000" w:themeColor="text1"/>
          <w:sz w:val="16"/>
          <w:szCs w:val="16"/>
        </w:rPr>
        <w:noBreakHyphen/>
        <w:t>6, электрооборудованием которых я занимался. Вместе со Скоробогатовым я проводил электропроводку на самолетах Р</w:t>
      </w:r>
      <w:r w:rsidRPr="00C33834">
        <w:rPr>
          <w:color w:val="000000" w:themeColor="text1"/>
          <w:sz w:val="16"/>
          <w:szCs w:val="16"/>
        </w:rPr>
        <w:noBreakHyphen/>
        <w:t>6 № 3152 и 3153 и кроме того Скоробогатов самостоятельно производил работы на самолетах Р</w:t>
      </w:r>
      <w:r w:rsidRPr="00C33834">
        <w:rPr>
          <w:color w:val="000000" w:themeColor="text1"/>
          <w:sz w:val="16"/>
          <w:szCs w:val="16"/>
        </w:rPr>
        <w:noBreakHyphen/>
        <w:t>6 № 3154 и 3155. Работа была организована таким образом, что провода приходилось сильно натягивать, чтобы пропустить их через отверстие в нервюрах. При натяжке происходила частичная деформация проводов, которые от сотрясения могли оборваться. Кроме того на всех указанных самолетах часть проводки была установлена недоброкачественная, в частности, в хвостовых частях...»</w:t>
      </w:r>
    </w:p>
    <w:p w14:paraId="698AEEF4" w14:textId="77777777" w:rsidR="00F46121" w:rsidRPr="00C33834" w:rsidRDefault="00F46121" w:rsidP="00C33834">
      <w:pPr>
        <w:pStyle w:val="rtejustify"/>
        <w:spacing w:before="0" w:after="0"/>
        <w:rPr>
          <w:color w:val="000000" w:themeColor="text1"/>
          <w:sz w:val="16"/>
          <w:szCs w:val="16"/>
        </w:rPr>
      </w:pPr>
      <w:r w:rsidRPr="00C33834">
        <w:rPr>
          <w:color w:val="000000" w:themeColor="text1"/>
          <w:sz w:val="16"/>
          <w:szCs w:val="16"/>
        </w:rPr>
        <w:t>3. По показаниям обвиняемого Данилова: ...«Шубин, Ермолов и Гладуненко совершенно сознательно неправильно укрепили корытце маслостекателей, затянув болты и не поставив шайб “Гравера”. В результате этого во время нахождения самолета в воздухе болты неизбежно должны открутиться, нарушив деятельность самолета...» ...«На этом же самолете (Р</w:t>
      </w:r>
      <w:r w:rsidRPr="00C33834">
        <w:rPr>
          <w:color w:val="000000" w:themeColor="text1"/>
          <w:sz w:val="16"/>
          <w:szCs w:val="16"/>
        </w:rPr>
        <w:noBreakHyphen/>
        <w:t>6 № 3157) Шубин, Ермолов и Гладуненко явно неправильно произвели работу по калибровке деталей “АМ” благодаря чему в полете мог соскочить хомутик, произведя разрыв в маслопроводе, вызвав в лучшем случае вынужденную посадку, а в худшем — аварию самолета...».</w:t>
      </w:r>
    </w:p>
    <w:p w14:paraId="11FDF131" w14:textId="77777777" w:rsidR="00F46121" w:rsidRPr="00C33834" w:rsidRDefault="00F46121" w:rsidP="00C33834">
      <w:pPr>
        <w:pStyle w:val="rtejustify"/>
        <w:spacing w:before="0" w:after="0"/>
        <w:rPr>
          <w:color w:val="000000" w:themeColor="text1"/>
          <w:sz w:val="16"/>
          <w:szCs w:val="16"/>
        </w:rPr>
      </w:pPr>
      <w:r w:rsidRPr="00C33834">
        <w:rPr>
          <w:color w:val="000000" w:themeColor="text1"/>
          <w:sz w:val="16"/>
          <w:szCs w:val="16"/>
        </w:rPr>
        <w:t>4. Обвиняемый Гладуненко, подтверждая в своих показаниях проведенные диверсионные акты по маслопроводам, говорит следующее:... «На машине Р</w:t>
      </w:r>
      <w:r w:rsidRPr="00C33834">
        <w:rPr>
          <w:color w:val="000000" w:themeColor="text1"/>
          <w:sz w:val="16"/>
          <w:szCs w:val="16"/>
        </w:rPr>
        <w:noBreakHyphen/>
        <w:t>6 № 3157 мною были сделаны следующие дефекты: 1. Неправильно поставлен хомутик крепления маслостекательных трубок. 2. Неправильно поставлена контровка детали “АМ” маслопровода. Несмотря на то, что мне были известны все дефекты и могущие быть последствия от них, я, со своей стороны, не принял надлежащих мер к устранению таковых...».</w:t>
      </w:r>
    </w:p>
    <w:p w14:paraId="561AA384" w14:textId="77777777" w:rsidR="00F46121" w:rsidRPr="00C33834" w:rsidRDefault="00F46121" w:rsidP="00C33834">
      <w:pPr>
        <w:pStyle w:val="rtejustify"/>
        <w:spacing w:before="0" w:after="0"/>
        <w:rPr>
          <w:color w:val="000000" w:themeColor="text1"/>
          <w:sz w:val="16"/>
          <w:szCs w:val="16"/>
        </w:rPr>
      </w:pPr>
      <w:r w:rsidRPr="00C33834">
        <w:rPr>
          <w:color w:val="000000" w:themeColor="text1"/>
          <w:sz w:val="16"/>
          <w:szCs w:val="16"/>
        </w:rPr>
        <w:t>5. Обвиняемый Кириченко, говоря о диверсионной деятельности группы, указывает на приведение в негодность радиаторов:... «В первой половине сентября, работая на самолете Р</w:t>
      </w:r>
      <w:r w:rsidRPr="00C33834">
        <w:rPr>
          <w:color w:val="000000" w:themeColor="text1"/>
          <w:sz w:val="16"/>
          <w:szCs w:val="16"/>
        </w:rPr>
        <w:noBreakHyphen/>
        <w:t>6, Гладуненко и Ермолов подпилили подкосы радиаторов, но чтобы скрыть свои преступления, эти подкосы подложили другим ребятам, работающим на другой машине...».</w:t>
      </w:r>
    </w:p>
    <w:p w14:paraId="56FFDA11" w14:textId="77777777" w:rsidR="00F46121" w:rsidRPr="00C33834" w:rsidRDefault="00F46121" w:rsidP="00C33834">
      <w:pPr>
        <w:pStyle w:val="rtejustify"/>
        <w:spacing w:before="0" w:after="0"/>
        <w:rPr>
          <w:color w:val="000000" w:themeColor="text1"/>
          <w:sz w:val="16"/>
          <w:szCs w:val="16"/>
        </w:rPr>
      </w:pPr>
      <w:r w:rsidRPr="00C33834">
        <w:rPr>
          <w:color w:val="000000" w:themeColor="text1"/>
          <w:sz w:val="16"/>
          <w:szCs w:val="16"/>
        </w:rPr>
        <w:t>Характеризуя спаянность группы Кириченко показывает:... «Среди нас, шахтинцев, с первых дней работы на заводе № 31 образовалось очень тесная группа людей, всегда и во всем друг друга поддерживающих... Близкая связь между собой этих лиц еще началась на шахтинских авиакурсах...».</w:t>
      </w:r>
    </w:p>
    <w:p w14:paraId="305D9338" w14:textId="77777777" w:rsidR="00F46121" w:rsidRPr="00C33834" w:rsidRDefault="00F46121" w:rsidP="00C33834">
      <w:pPr>
        <w:pStyle w:val="rtejustify"/>
        <w:spacing w:before="0" w:after="0"/>
        <w:rPr>
          <w:color w:val="000000" w:themeColor="text1"/>
          <w:sz w:val="16"/>
          <w:szCs w:val="16"/>
        </w:rPr>
      </w:pPr>
      <w:r w:rsidRPr="00C33834">
        <w:rPr>
          <w:color w:val="000000" w:themeColor="text1"/>
          <w:sz w:val="16"/>
          <w:szCs w:val="16"/>
        </w:rPr>
        <w:t>Обвиняемый Пилюгин об этом дает следующие показания:... «О том, что мы занимались систематическим разрушением самолетов и хищением приборов и материалов с самолетов, знала группа следующих лиц: Ушаков, Ермолов, Шубин, Пономарев, Скоробогатовы и Гладуненко, т. к. и они этим занимались, об этом мне хорошо известно...»</w:t>
      </w:r>
    </w:p>
    <w:p w14:paraId="10E5AB68" w14:textId="77777777" w:rsidR="00F46121" w:rsidRPr="00C33834" w:rsidRDefault="00F46121" w:rsidP="00C33834">
      <w:pPr>
        <w:pStyle w:val="rtejustify"/>
        <w:spacing w:before="0" w:after="0"/>
        <w:rPr>
          <w:color w:val="000000" w:themeColor="text1"/>
          <w:sz w:val="16"/>
          <w:szCs w:val="16"/>
        </w:rPr>
      </w:pPr>
      <w:r w:rsidRPr="00C33834">
        <w:rPr>
          <w:color w:val="000000" w:themeColor="text1"/>
          <w:sz w:val="16"/>
          <w:szCs w:val="16"/>
        </w:rPr>
        <w:t>О порче приборов и хищениях на самолетах Пилюгин говорит следующее: ...«В августе месяце с. г., по договоренности со Скоробогатовым, в течение 5 дней мы произвели хищения с самолетов АНТ</w:t>
      </w:r>
      <w:r w:rsidRPr="00C33834">
        <w:rPr>
          <w:color w:val="000000" w:themeColor="text1"/>
          <w:sz w:val="16"/>
          <w:szCs w:val="16"/>
        </w:rPr>
        <w:noBreakHyphen/>
        <w:t>9 двух магнето, трех наволочек, вольтметра, двух ремней, четырех реостатов и различных инструментов и материалов. В это же время на 2</w:t>
      </w:r>
      <w:r w:rsidRPr="00C33834">
        <w:rPr>
          <w:color w:val="000000" w:themeColor="text1"/>
          <w:sz w:val="16"/>
          <w:szCs w:val="16"/>
        </w:rPr>
        <w:noBreakHyphen/>
        <w:t>х самолетах АНТ</w:t>
      </w:r>
      <w:r w:rsidRPr="00C33834">
        <w:rPr>
          <w:color w:val="000000" w:themeColor="text1"/>
          <w:sz w:val="16"/>
          <w:szCs w:val="16"/>
        </w:rPr>
        <w:noBreakHyphen/>
        <w:t>9 мы испортили 2 компаса, вылив из них спирт...»</w:t>
      </w:r>
    </w:p>
    <w:p w14:paraId="55ED6303" w14:textId="77777777" w:rsidR="00F46121" w:rsidRPr="00C33834" w:rsidRDefault="00F46121" w:rsidP="00C33834">
      <w:pPr>
        <w:pStyle w:val="rtejustify"/>
        <w:spacing w:before="0" w:after="0"/>
        <w:rPr>
          <w:color w:val="000000" w:themeColor="text1"/>
          <w:sz w:val="16"/>
          <w:szCs w:val="16"/>
        </w:rPr>
      </w:pPr>
      <w:r w:rsidRPr="00C33834">
        <w:rPr>
          <w:color w:val="000000" w:themeColor="text1"/>
          <w:sz w:val="16"/>
          <w:szCs w:val="16"/>
        </w:rPr>
        <w:t>По заключению ст[аршего] военного представителя УВВС РККА т. Багрова, в течение 1933 г. военной приемкой было обнаружено в самолетах Р</w:t>
      </w:r>
      <w:r w:rsidRPr="00C33834">
        <w:rPr>
          <w:color w:val="000000" w:themeColor="text1"/>
          <w:sz w:val="16"/>
          <w:szCs w:val="16"/>
        </w:rPr>
        <w:noBreakHyphen/>
        <w:t>6 огромное количество производственных дефектов, кои могли повлечь за собой аварии самолетов: а) Самолет Р</w:t>
      </w:r>
      <w:r w:rsidRPr="00C33834">
        <w:rPr>
          <w:color w:val="000000" w:themeColor="text1"/>
          <w:sz w:val="16"/>
          <w:szCs w:val="16"/>
        </w:rPr>
        <w:noBreakHyphen/>
        <w:t>6 № 3145 имел 176 производственных дефектов, б) Самолет № 3147 имел 272 дефекта, в) Самолет № 3149 имел 275 дефектов. По документальным данным военпреда, 9 выпущенных самолетов имели в общей сложности 1621 дефект.</w:t>
      </w:r>
    </w:p>
    <w:p w14:paraId="0EFC46B4" w14:textId="77777777" w:rsidR="00F46121" w:rsidRPr="00C33834" w:rsidRDefault="00F46121" w:rsidP="00C33834">
      <w:pPr>
        <w:pStyle w:val="rtejustify"/>
        <w:spacing w:before="0" w:after="0"/>
        <w:rPr>
          <w:color w:val="000000" w:themeColor="text1"/>
          <w:sz w:val="16"/>
          <w:szCs w:val="16"/>
        </w:rPr>
      </w:pPr>
      <w:r w:rsidRPr="00C33834">
        <w:rPr>
          <w:color w:val="000000" w:themeColor="text1"/>
          <w:sz w:val="16"/>
          <w:szCs w:val="16"/>
        </w:rPr>
        <w:t>14 октября в 9 час. 30 мин. утра на машине Р</w:t>
      </w:r>
      <w:r w:rsidRPr="00C33834">
        <w:rPr>
          <w:color w:val="000000" w:themeColor="text1"/>
          <w:sz w:val="16"/>
          <w:szCs w:val="16"/>
        </w:rPr>
        <w:noBreakHyphen/>
        <w:t>6 № 3153 обнаружено повреждение проводов центроплана, умышленно перекушенных в нескольких местах. По подозрению в совершении этого диверсионного акта арестован электрик Полонский, который, не имея никакого отношения к этому самолету, был замечен до повреждения в башне этого самолета.</w:t>
      </w:r>
    </w:p>
    <w:p w14:paraId="7F312E58" w14:textId="77777777" w:rsidR="00F46121" w:rsidRPr="00C33834" w:rsidRDefault="00F46121" w:rsidP="00C33834">
      <w:pPr>
        <w:pStyle w:val="rtejustify"/>
        <w:spacing w:before="0" w:after="0"/>
        <w:rPr>
          <w:color w:val="000000" w:themeColor="text1"/>
          <w:sz w:val="16"/>
          <w:szCs w:val="16"/>
        </w:rPr>
      </w:pPr>
      <w:r w:rsidRPr="00C33834">
        <w:rPr>
          <w:color w:val="000000" w:themeColor="text1"/>
          <w:sz w:val="16"/>
          <w:szCs w:val="16"/>
        </w:rPr>
        <w:t>На всех самолетах Р</w:t>
      </w:r>
      <w:r w:rsidRPr="00C33834">
        <w:rPr>
          <w:color w:val="000000" w:themeColor="text1"/>
          <w:sz w:val="16"/>
          <w:szCs w:val="16"/>
        </w:rPr>
        <w:noBreakHyphen/>
        <w:t>6, находящихся в данное время на заводе № 31, производится тщательная техническая проверка состояния всей электропроводки и особенно тех самолетов, к монтажу которых имели отношение члены контрреволюционной группировки. Производится уточнение пунктов назначения отправленных самолетов и сообщается по месту нахождения для принятия соответствующих мер. Следствие продолжается.</w:t>
      </w:r>
    </w:p>
    <w:p w14:paraId="1CCBE6B3" w14:textId="77777777" w:rsidR="00F46121" w:rsidRPr="00C33834" w:rsidRDefault="00F46121" w:rsidP="00C33834">
      <w:pPr>
        <w:pStyle w:val="rtejustify"/>
        <w:spacing w:before="0" w:after="0"/>
        <w:rPr>
          <w:color w:val="000000" w:themeColor="text1"/>
          <w:sz w:val="16"/>
          <w:szCs w:val="16"/>
        </w:rPr>
      </w:pPr>
      <w:r w:rsidRPr="00C33834">
        <w:rPr>
          <w:color w:val="000000" w:themeColor="text1"/>
          <w:sz w:val="16"/>
          <w:szCs w:val="16"/>
        </w:rPr>
        <w:t>Прилагаются протоколы: Скоробогатова, Пилюгина, Кириченко, Данилова, Ушакова и заключение ст[аршего] военного представителя УВВС РККА т. Багрова³*.</w:t>
      </w:r>
    </w:p>
    <w:p w14:paraId="555E16E6" w14:textId="77777777" w:rsidR="00F46121" w:rsidRPr="00C33834" w:rsidRDefault="00F46121" w:rsidP="00C33834">
      <w:pPr>
        <w:pStyle w:val="ae"/>
        <w:spacing w:before="0" w:after="0"/>
        <w:jc w:val="both"/>
        <w:rPr>
          <w:color w:val="000000" w:themeColor="text1"/>
          <w:sz w:val="16"/>
          <w:szCs w:val="16"/>
        </w:rPr>
      </w:pPr>
      <w:r w:rsidRPr="00C33834">
        <w:rPr>
          <w:rStyle w:val="af0"/>
          <w:i w:val="0"/>
          <w:color w:val="000000" w:themeColor="text1"/>
          <w:sz w:val="16"/>
          <w:szCs w:val="16"/>
        </w:rPr>
        <w:t>ПП ОГПУ СКК и ДССР Евдокимов</w:t>
      </w:r>
    </w:p>
    <w:p w14:paraId="15A16666" w14:textId="77777777" w:rsidR="00F46121" w:rsidRPr="00C33834" w:rsidRDefault="00F46121"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Примечания</w:t>
      </w:r>
      <w:r w:rsidRPr="00C33834">
        <w:rPr>
          <w:color w:val="000000" w:themeColor="text1"/>
          <w:sz w:val="16"/>
          <w:szCs w:val="16"/>
        </w:rPr>
        <w:t>:</w:t>
      </w:r>
    </w:p>
    <w:p w14:paraId="6BE21FA8" w14:textId="77777777" w:rsidR="00F46121" w:rsidRPr="00C33834" w:rsidRDefault="00F46121" w:rsidP="00C33834">
      <w:pPr>
        <w:pStyle w:val="rtejustify"/>
        <w:spacing w:before="0" w:after="0"/>
        <w:rPr>
          <w:color w:val="000000" w:themeColor="text1"/>
          <w:sz w:val="16"/>
          <w:szCs w:val="16"/>
        </w:rPr>
      </w:pPr>
      <w:r w:rsidRPr="00C33834">
        <w:rPr>
          <w:color w:val="000000" w:themeColor="text1"/>
          <w:sz w:val="16"/>
          <w:szCs w:val="16"/>
        </w:rPr>
        <w:t>¹* Помета: «Для т. Сталина».</w:t>
      </w:r>
    </w:p>
    <w:p w14:paraId="5CE5709B" w14:textId="77777777" w:rsidR="00F46121" w:rsidRPr="00C33834" w:rsidRDefault="00F46121" w:rsidP="00C33834">
      <w:pPr>
        <w:pStyle w:val="rtejustify"/>
        <w:spacing w:before="0" w:after="0"/>
        <w:rPr>
          <w:color w:val="000000" w:themeColor="text1"/>
          <w:sz w:val="16"/>
          <w:szCs w:val="16"/>
        </w:rPr>
      </w:pPr>
      <w:r w:rsidRPr="00C33834">
        <w:rPr>
          <w:color w:val="000000" w:themeColor="text1"/>
          <w:sz w:val="16"/>
          <w:szCs w:val="16"/>
        </w:rPr>
        <w:t>²* Здесь и далее: отточия документа.</w:t>
      </w:r>
    </w:p>
    <w:p w14:paraId="691DDED2" w14:textId="77777777" w:rsidR="00F46121" w:rsidRPr="00C33834" w:rsidRDefault="00F46121" w:rsidP="00C33834">
      <w:pPr>
        <w:pStyle w:val="rtejustify"/>
        <w:spacing w:before="0" w:after="0"/>
        <w:rPr>
          <w:color w:val="000000" w:themeColor="text1"/>
          <w:sz w:val="16"/>
          <w:szCs w:val="16"/>
        </w:rPr>
      </w:pPr>
      <w:r w:rsidRPr="00C33834">
        <w:rPr>
          <w:color w:val="000000" w:themeColor="text1"/>
          <w:sz w:val="16"/>
          <w:szCs w:val="16"/>
        </w:rPr>
        <w:t>³* Приложения не публикуются (см. там же, л. 35</w:t>
      </w:r>
      <w:r w:rsidRPr="00C33834">
        <w:rPr>
          <w:color w:val="000000" w:themeColor="text1"/>
          <w:sz w:val="16"/>
          <w:szCs w:val="16"/>
        </w:rPr>
        <w:noBreakHyphen/>
        <w:t>62).</w:t>
      </w:r>
    </w:p>
    <w:p w14:paraId="39FA0970" w14:textId="77777777" w:rsidR="00F46121" w:rsidRPr="00C33834" w:rsidRDefault="00F46121" w:rsidP="00C33834">
      <w:pPr>
        <w:pStyle w:val="ae"/>
        <w:spacing w:before="0" w:after="0"/>
        <w:jc w:val="both"/>
        <w:rPr>
          <w:color w:val="000000" w:themeColor="text1"/>
          <w:sz w:val="16"/>
          <w:szCs w:val="16"/>
        </w:rPr>
      </w:pPr>
      <w:r w:rsidRPr="00C33834">
        <w:rPr>
          <w:color w:val="000000" w:themeColor="text1"/>
          <w:sz w:val="16"/>
          <w:szCs w:val="16"/>
        </w:rPr>
        <w:t>АП РФ. Ф. 3. Оп. 58. Д. 348. Л. 29-34. Подлинник (15285).</w:t>
      </w:r>
    </w:p>
    <w:p w14:paraId="4848DDC9" w14:textId="77777777" w:rsidR="00F46121" w:rsidRPr="00C33834" w:rsidRDefault="00F46121" w:rsidP="00C33834">
      <w:pPr>
        <w:spacing w:after="0" w:line="240" w:lineRule="auto"/>
        <w:jc w:val="both"/>
        <w:rPr>
          <w:rFonts w:ascii="Times New Roman" w:hAnsi="Times New Roman"/>
          <w:color w:val="000000" w:themeColor="text1"/>
          <w:sz w:val="16"/>
          <w:szCs w:val="16"/>
        </w:rPr>
      </w:pPr>
    </w:p>
    <w:p w14:paraId="33CD676D" w14:textId="77777777" w:rsidR="006C50AE" w:rsidRPr="00C33834" w:rsidRDefault="006C50A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31 октября 1933 Евдокимов прислал в ЦК ВКП(б) для Сталина подробный отчет о ходе следствия по заводу № 31 в Таганроге. Из него следовало, что на заводе N 31 орудует уже не вредительская организация, а "диверсионная группировка".</w:t>
      </w:r>
    </w:p>
    <w:p w14:paraId="6A059590" w14:textId="77777777" w:rsidR="006C50AE" w:rsidRPr="00C33834" w:rsidRDefault="006C50A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xml:space="preserve">"Диверсионная группа" почти поголовно состояла из 19-летних юношей, только что, в мае 1933 г., выпущенных из школы авиамотористов Шахтинского осоавиахима и направленных на завод в Таганрог. Ребята между собой были дружны. 23 октября один из них, Григорий Кириченко, показал, что "среди нас, шахтинцев, с первых дней работы на заводе N 31 образовалась очень тесная группа людей, всегда и во всем друг друга поддерживающих ... Близкая связь между собой этих лиц еще </w:t>
      </w:r>
      <w:r w:rsidRPr="00C33834">
        <w:rPr>
          <w:rFonts w:ascii="Times New Roman" w:hAnsi="Times New Roman"/>
          <w:color w:val="0070C0"/>
          <w:sz w:val="16"/>
          <w:szCs w:val="16"/>
        </w:rPr>
        <w:lastRenderedPageBreak/>
        <w:t>началась на шахтинских авиакурсах". Сблизило молодых людей то, что "еще с гор. Шахты они сторонились других товарищей, часто выпивая вместе". Причем пить предпочитали не за свои деньги. Их товарищ Дмитрий Ушаков рассказал следствию, что в Шахтах "выпивки производили они по поддельным чекам, изготовленным Губиным, впоследствии исключенным из школы. Однажды во время выпивки фальшивки-чеки были расшифрованы, и их милиция арестовала, просидели они в заключении дней 5, все были выпущены, за исключением Губина, оказавшегося социально чуждым (отец - бывший белый офицер), впоследствии осужденного".</w:t>
      </w:r>
    </w:p>
    <w:p w14:paraId="7347B4C3" w14:textId="77777777" w:rsidR="006C50AE" w:rsidRPr="00C33834" w:rsidRDefault="006C50A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Приехав в Таганрог, приятели сначала заскучали, а потом обнаружили на заводе N 31 неплохую возможность для продолжения банкета. Арестованный чекистами 19-летний Федор Пилюгин в своих показаниях 22 октября 1933 г. сначала честно признался, что еще в Шахтах "был в тяжелом материальном положении, выхода из которого я не видел". В Таганроге выход нашелся: "В августе месяце с.г. по договоренности со Скоробогатовым в течение 5 дней мы произвели хищения с самолетов АНТ-9: двух магнето, трех наволочек, вольтметра, двух ремней, четырех реостатов и разных инструментов и материалов. В это же время на двух самолетах АНТ-9 мы испортили два компаса, вылив из них спирт"16. Похищенное частично уходило на закуску, выливаемое выпивалось. Ушаков в отношении главных "диверсантов" был краток: "О Захаре Скоробогатове и Федоре Пилюгине могу сказать только то, что они вместе возвращались с работы и частенько приходили домой пьяными".</w:t>
      </w:r>
    </w:p>
    <w:p w14:paraId="20EE9BEC" w14:textId="77777777" w:rsidR="006C50AE" w:rsidRPr="00C33834" w:rsidRDefault="006C50A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Спирт из компасов приловчились добывать и другие шахтинцы. Валентин Ермолов, сын заведующей баней и член ВКП(б), "часто был пьяный и, как после установлено, он выпивал из компасов спирт, а компаса бросал в ящик, и их приходилось снова наливать спиртом". Получилось, что грозные с виду члены вредительской группы оказались обычными несунами - мелкими расхитителями социалистической собственности. Несущественность нанесенного ими вреда подтвердил и старший военпред УВВС товарищ Багров, привлеченный чекистами в качестве эксперта. Он скрупулезно подсчитал, что Скоробогатов на самолете Р-6 за N 3158 в 11 местах произвел "внутренний разрыв проводников, идущих внутри центроплана к левым боковым огням"18. Но помимо того в каждом из девяти проверенных Р-6, собранных в Таганроге, обнаружилось от 102 до 275 различных дефектов, десятки из которых, по мнению Бугрова, "по необнаружении их, могли вызвать аварийность при эксплуатации" (21336).</w:t>
      </w:r>
    </w:p>
    <w:p w14:paraId="7CE0629B" w14:textId="77777777" w:rsidR="006C50AE" w:rsidRPr="00C33834" w:rsidRDefault="006C50AE" w:rsidP="00C33834">
      <w:pPr>
        <w:spacing w:after="0" w:line="240" w:lineRule="auto"/>
        <w:jc w:val="both"/>
        <w:rPr>
          <w:rFonts w:ascii="Times New Roman" w:hAnsi="Times New Roman"/>
          <w:color w:val="0070C0"/>
          <w:sz w:val="16"/>
          <w:szCs w:val="16"/>
        </w:rPr>
      </w:pPr>
    </w:p>
    <w:p w14:paraId="2E71488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октября 1933 Пом. секр. РВСС Снегов писал письмо N 5397сс в НОТО ГУАП о выполнении постановления РВСС "О развитии авиационной техники на основе виденного на авиационной выставке во Франции и на заводах Германии" от 3 марта (2305,87).</w:t>
      </w:r>
    </w:p>
    <w:p w14:paraId="4AF83B15"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порядке. контроля за выполнением заданий РЗОС, прощу для доклада Народному Комиссару сообщить о хо</w:t>
      </w:r>
      <w:r w:rsidRPr="00C33834">
        <w:rPr>
          <w:rFonts w:ascii="Times New Roman" w:hAnsi="Times New Roman"/>
          <w:color w:val="000000" w:themeColor="text1"/>
          <w:sz w:val="16"/>
          <w:szCs w:val="16"/>
        </w:rPr>
        <w:softHyphen/>
        <w:t>де .выполнения постановления РЗСС от З.Ш-33 г. О развитии авиационной техники на основе виденного на авиационной выставке во Франции и на заводах Герма</w:t>
      </w:r>
      <w:r w:rsidRPr="00C33834">
        <w:rPr>
          <w:rFonts w:ascii="Times New Roman" w:hAnsi="Times New Roman"/>
          <w:color w:val="000000" w:themeColor="text1"/>
          <w:sz w:val="16"/>
          <w:szCs w:val="16"/>
        </w:rPr>
        <w:softHyphen/>
        <w:t>нии в части Вас касающейся,а именно:</w:t>
      </w:r>
    </w:p>
    <w:p w14:paraId="2FFF7EE1"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Просить НКТяжПром:</w:t>
      </w:r>
    </w:p>
    <w:p w14:paraId="77B346F1"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разработать и построить учебный и спортивный самолет и мотор по повшенным требованиям, давая предназначение:</w:t>
      </w:r>
    </w:p>
    <w:p w14:paraId="33B57726"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для первоначального обучения;</w:t>
      </w:r>
    </w:p>
    <w:p w14:paraId="53A8C059"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для тренировки, как на одноместной ма</w:t>
      </w:r>
      <w:r w:rsidRPr="00C33834">
        <w:rPr>
          <w:rFonts w:ascii="Times New Roman" w:hAnsi="Times New Roman"/>
          <w:color w:val="000000" w:themeColor="text1"/>
          <w:sz w:val="16"/>
          <w:szCs w:val="16"/>
        </w:rPr>
        <w:softHyphen/>
        <w:t>шине;</w:t>
      </w:r>
    </w:p>
    <w:p w14:paraId="0BE8047B"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для слепого полета;</w:t>
      </w:r>
    </w:p>
    <w:p w14:paraId="5F00969B"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для ночного полета и полета в строю. Этот же тип для обучения летчикев-наб-. людат елей; щж</w:t>
      </w:r>
      <w:r w:rsidRPr="00C33834">
        <w:rPr>
          <w:rFonts w:ascii="Times New Roman" w:hAnsi="Times New Roman"/>
          <w:iCs/>
          <w:color w:val="000000" w:themeColor="text1"/>
          <w:sz w:val="16"/>
          <w:szCs w:val="16"/>
        </w:rPr>
        <w:t xml:space="preserve">ей </w:t>
      </w:r>
      <w:r w:rsidRPr="00C33834">
        <w:rPr>
          <w:rFonts w:ascii="Times New Roman" w:hAnsi="Times New Roman"/>
          <w:color w:val="000000" w:themeColor="text1"/>
          <w:sz w:val="16"/>
          <w:szCs w:val="16"/>
        </w:rPr>
        <w:t>ам нави гац</w:t>
      </w:r>
      <w:r w:rsidRPr="00C33834">
        <w:rPr>
          <w:rFonts w:ascii="Times New Roman" w:hAnsi="Times New Roman"/>
          <w:smallCaps/>
          <w:color w:val="000000" w:themeColor="text1"/>
          <w:sz w:val="16"/>
          <w:szCs w:val="16"/>
        </w:rPr>
        <w:t xml:space="preserve">ей </w:t>
      </w:r>
      <w:r w:rsidRPr="00C33834">
        <w:rPr>
          <w:rFonts w:ascii="Times New Roman" w:hAnsi="Times New Roman"/>
          <w:color w:val="000000" w:themeColor="text1"/>
          <w:sz w:val="16"/>
          <w:szCs w:val="16"/>
        </w:rPr>
        <w:t>, фото, бом-бардарованию я стрельбе.</w:t>
      </w:r>
    </w:p>
    <w:p w14:paraId="349EB3CB"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Разработать и построить тип тренировочного самолета под мотор 150-200 НР с назначением:</w:t>
      </w:r>
    </w:p>
    <w:p w14:paraId="47643369"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самолет сопровоздения,</w:t>
      </w:r>
    </w:p>
    <w:p w14:paraId="6A15139E"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тренировочный,</w:t>
      </w:r>
    </w:p>
    <w:p w14:paraId="459E7162"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местных сообщений.</w:t>
      </w:r>
    </w:p>
    <w:p w14:paraId="6A70A666"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Провести необходимые исследования и ускорить применение подкрылков, закрылков, двойного крыла, крыла с меняющимся профилем соответственно этому типу самолетов, имея ввиду:</w:t>
      </w:r>
    </w:p>
    <w:p w14:paraId="7EAC832C"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получить наибольший диапазон горизон</w:t>
      </w:r>
      <w:r w:rsidRPr="00C33834">
        <w:rPr>
          <w:rFonts w:ascii="Times New Roman" w:hAnsi="Times New Roman"/>
          <w:color w:val="000000" w:themeColor="text1"/>
          <w:sz w:val="16"/>
          <w:szCs w:val="16"/>
        </w:rPr>
        <w:softHyphen/>
        <w:t>тальных скоростей,</w:t>
      </w:r>
    </w:p>
    <w:p w14:paraId="3B31334F"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увеличить устойчивость при полете с предельными нагрузками;</w:t>
      </w:r>
    </w:p>
    <w:p w14:paraId="698A2F25"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уменьшить посадочные скорости и</w:t>
      </w:r>
    </w:p>
    <w:p w14:paraId="753F8949"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увеличить скороподъемность.</w:t>
      </w:r>
    </w:p>
    <w:p w14:paraId="2182B679"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Считать одной из важнейших задач ближайшего периода получение легкого 2-х местного самолета, универсального в производстве и специализированного по оборудованию для назначения:</w:t>
      </w:r>
    </w:p>
    <w:p w14:paraId="2E9F0AA9"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операивный разведчик,</w:t>
      </w:r>
    </w:p>
    <w:p w14:paraId="2668D2E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двухместный истребитель,</w:t>
      </w:r>
    </w:p>
    <w:p w14:paraId="1E6FDC2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легкий бомбардировщик.</w:t>
      </w:r>
    </w:p>
    <w:p w14:paraId="445CD3A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части применения ЛР, как скоростного почтовика отдельно согласовать вопрос тов. П.И.Б. с Голььцманом и Алснисом.</w:t>
      </w:r>
    </w:p>
    <w:p w14:paraId="382F81B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этими требованиями испытать находящийся в постройке ЛР и только в случае получения неудовлетворительных результатов по ЛР приступить к постройке специального универсального с-та.</w:t>
      </w:r>
    </w:p>
    <w:p w14:paraId="118FDBC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В 1933 г. разрешить вопрос о предупреждении баков и о недопущении течи горючего при пробитии пулей</w:t>
      </w:r>
    </w:p>
    <w:p w14:paraId="56EEADF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Считать необходимым переход на экранирование моторов в 1933 г. Обязать НКТП в 1933 г. установить производство экранированных моторов в серии.</w:t>
      </w:r>
    </w:p>
    <w:p w14:paraId="1D94CCA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Принять к сведению заявление т. П.И.Б., что ГУАП ведет работу по созданию разрезных коленчптых валов мотора М-17. О результатах испытаний заслушать в 1934 г.</w:t>
      </w:r>
    </w:p>
    <w:p w14:paraId="707CCA8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Исследовать вопрос надежности работы моторов воздушного охлаждения с висящими цилиндрами на нашем горючем и смазочном, для чего закупить один мотор в 200 нр у Аргуса. Просить КО отпустить необходимую валюту.</w:t>
      </w:r>
    </w:p>
    <w:p w14:paraId="7E73B54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Ввести в практику ЦАГИ испытание материалов, узлов, деталей, агрегатов и целых конструкций самолетов методами испытаний ДФЛ</w:t>
      </w:r>
    </w:p>
    <w:p w14:paraId="37FD484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УВВС поручить т. Квитко полностью изучить этот опыт по заданиям ГУАПа.</w:t>
      </w:r>
    </w:p>
    <w:p w14:paraId="0ACA47D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Признавая неполноту технический испытаний с-тов ЦАГИ, просить т. П.И.Б. обратить серьезное внимание на организацию технических испытаний (2305,87).</w:t>
      </w:r>
    </w:p>
    <w:p w14:paraId="0D322B71"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58B953F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октября 1933 Постановлением СТО № 104/0 организован РНИИ (ААН, р. 4, оп. 14, № 238, л. 30) (10676).</w:t>
      </w:r>
    </w:p>
    <w:p w14:paraId="58D6C9E6"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430C6BF9" w14:textId="77777777" w:rsidR="001E1317"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E970D1E" w14:textId="77777777" w:rsidR="001E1317" w:rsidRPr="00C33834" w:rsidRDefault="001E1317" w:rsidP="00C33834">
      <w:pPr>
        <w:spacing w:after="0" w:line="240" w:lineRule="auto"/>
        <w:jc w:val="both"/>
        <w:rPr>
          <w:rFonts w:ascii="Times New Roman" w:hAnsi="Times New Roman"/>
          <w:iCs/>
          <w:color w:val="000000" w:themeColor="text1"/>
          <w:sz w:val="16"/>
          <w:szCs w:val="16"/>
        </w:rPr>
      </w:pPr>
    </w:p>
    <w:p w14:paraId="13DF13B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октября 1933 прошли испытания танка БТ-5ПХ, оборудованного в мастерских 5 учебного полка БелВО. Резиновыми уплотнителями обеспечили герметичность, а швы прокрасили суриком. Испытывали на р. Березина и водил ком. 5тп А.Талынь. Танк затонул в 15 м от берега (3880,30).</w:t>
      </w:r>
    </w:p>
    <w:p w14:paraId="70030DF8"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403BC46D" w14:textId="77777777" w:rsidR="00360F52" w:rsidRPr="00C33834" w:rsidRDefault="00360F5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октября 1933 ЗИЛ выпустил первые два советских троллейбусов марки «ЛК» (Лазарь Каганович) (17494).</w:t>
      </w:r>
    </w:p>
    <w:p w14:paraId="4FEB61A3" w14:textId="77777777" w:rsidR="00360F52" w:rsidRPr="00C33834" w:rsidRDefault="00360F52" w:rsidP="00C33834">
      <w:pPr>
        <w:spacing w:after="0" w:line="240" w:lineRule="auto"/>
        <w:jc w:val="both"/>
        <w:rPr>
          <w:rFonts w:ascii="Times New Roman" w:hAnsi="Times New Roman"/>
          <w:color w:val="000000" w:themeColor="text1"/>
          <w:sz w:val="16"/>
          <w:szCs w:val="16"/>
        </w:rPr>
      </w:pPr>
    </w:p>
    <w:p w14:paraId="140D9477" w14:textId="77777777" w:rsidR="001E1317"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6805626F" w14:textId="77777777" w:rsidR="001E1317" w:rsidRPr="00C33834" w:rsidRDefault="001E1317" w:rsidP="00C33834">
      <w:pPr>
        <w:spacing w:after="0" w:line="240" w:lineRule="auto"/>
        <w:jc w:val="both"/>
        <w:rPr>
          <w:rFonts w:ascii="Times New Roman" w:hAnsi="Times New Roman"/>
          <w:iCs/>
          <w:color w:val="000000" w:themeColor="text1"/>
          <w:sz w:val="16"/>
          <w:szCs w:val="16"/>
        </w:rPr>
      </w:pPr>
    </w:p>
    <w:p w14:paraId="319E27E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31 октября 1933 советская пресса опубликовала соответствующее коммюнике, и советские журналисты были допущены на судебный процесс в Ляйпциге («Известия», «Правда», 31 октября 1933 г.). В тот же день на прощальном обеде в связи с завершением работы Дирксена послом в Москве и его отъездом в Токио послом Германии в Японии (на обеде были Крестинский, секретарь Президиума ЦИК СССР А. С. Енукидзе, нарком легкой промышленности И. Е. Любимов, нарком снабжения А. И. Микоян, нарком внешней торговли А. П. Розенгольц, нарком финансов Г. Ф. Гринько, начальник Штаба РККА А. И. Егоров, Тухачевский, сам Дирксен и др. ) состоялась беседа зам. председателя РВС СССР и зам. наркома Тухачевского с поверенным в делах Германии в СССР Твардовским. Тухачевский прямо заявил, что советское правительство не считает возможным продолжать сотрудничество с райхсвером из-за антисоветской направленности германской политики. («Ликвидация станций явилась политическим следствием после того, как в Советском Союзе убедились, что курс германского правительства принимает антисоветскую направленность»). Тухачевский высоко оценил результаты военного сотрудничества, указав, что «райхсвер решающим образом поддержал Красную Армию в ходе ее строительства» и что «в тяжелые времена райхсвер был учителем Красной Армии; такое не забывается и не будет забыто» (ADAP, Ser.C, Bd. 11,1. S. 79-82.). Тухачевский возмущенно отверг слова Твардовского о том, что «советское правительство или Красная Армия для укрепления своей новой дружбы с Францией подкинули французам или полякам материал о германо-советском военном сотрудничестве». Информация, уверял Твардовский, была из «надежных источников» (ADAP, Ser.C, Bd. 11,1. S. 79-82.). Этот же тезис на том же обеде в беседе с Крестинским развивал и Дирксен. Крестинский записал в своем дневнике: «Дирксен сказал мне, что французы, как рафинированные политики, создают между СССР и Германией атмосферу недоверия. Нам французы говорят, что Па-пен рассказал им о существовавших между Красной Армией и рейхсвером отношениях и предлагал французам военный союз против СССР. Немцам же французы рассказывают, что мы передали им все те сведения о состоянии вооружения рейхсвера, которые у нас имелись. Дирксен предостерег поэтому от полного доверия к делаемым нам французами сообщениям» (АВП РФ, ф. 082, on. 16, п. 71, д. 1, л. 343.). Новый посол Германии в СССР Р. Надольный в одном из своих первых визитов к Ворошилову 10 января 1934 г. в ответ на слова наркома, что он рассчитывает на восстановление связей между райхсвером и Красной Армией, заявил, что после того, как РККА показала райхсверу на дверь, германская сторона ожидает соответствующей инициативы со стороны РККА по восстановлению двусторонних военных отношений (ADAP, Ser. </w:t>
      </w:r>
      <w:r w:rsidRPr="00C33834">
        <w:rPr>
          <w:rFonts w:ascii="Times New Roman" w:hAnsi="Times New Roman"/>
          <w:color w:val="000000" w:themeColor="text1"/>
          <w:sz w:val="16"/>
          <w:szCs w:val="16"/>
        </w:rPr>
        <w:lastRenderedPageBreak/>
        <w:t>С, Bd. 11,1. S. 330.). Приведенные факты, таким образом, свидетельствуют о том, что инициатива сворачивания военного сотрудничества принадлежала Москве. Возмущенная же реакция Тухачевского в беседе с Твардовским 31 октября 1933 г., равно как и начальника Штаба РККА Егорова в беседе с тем же Твардовским 12 января 1934г. (Твардовский повторил Егорову версию, изложенную им Тухачевскому. (Ibid. S. 344).) являются, пожалуй, лишним свидетельством того, что в советской системе строгой партийно-государственной иерархии каждому «позволялось» знать лишь столько, сколько ему было «положено». Утверждение Твардовского о том, что Москва, идя на форсированное сближение с Францией и Польшей, подробно информировала французский генштаб о райхсвере и своем сотрудничестве с ним, отвергнуть либо подтвердить пока не представляется возможным. Окончательный ответ скрыт в архивах КГБ, КПСС, т. наз. «президентском архиве». Однако, сопоставляя целый ряд фактов, связанных с Женевской конференцией по разоружению, мы можем придти к выводу о том, что германский дипломат имел все основания полагать, что его версия не ложна (11784).</w:t>
      </w:r>
    </w:p>
    <w:p w14:paraId="1B6E5C48"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73D6FDE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октября 1933 г. Возмущенная же реакция Тухачевского в беседе с Твардовским, равно как и начальника Штаба РККА Егорова в беседе с тем же Твардовским 12 января 1934г. (Твардовский повторил Егорову версию, изложенную им Тухачевскому. (Ibid. S. 344).) являются, пожалуй, лишним свидетельством того, что в советской системе строгой партийно-государственной иерархии каждому «позволялось» знать лишь столько, сколько ему было «положено». Утверждение Твардовского о том, что Москва, идя на форсированное сближение с Францией и Польшей, подробно информировала французский генштаб о райхсвере и своем сотрудничестве с ним, отвергнуть либо подтвердить пока не представляется возможным. Окончательный ответ скрыт в архивах КГБ, КПСС, т. наз. «президентском архиве». Однако, сопоставляя целый ряд фактов, связанных с Женевской конференцией по разоружению, мы можем придти к выводу о том, что германский дипломат имел все основания полагать, что его версия не ложна (11784).</w:t>
      </w:r>
    </w:p>
    <w:p w14:paraId="19D8BA7B"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2A76AF84" w14:textId="77777777" w:rsidR="00562118" w:rsidRPr="00C33834" w:rsidRDefault="0056211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октября 1933 на прощальном обеде в связи с завершением работы Дирксена послом в Москве и его отъездом в Токио послом Германии в Японии (на обеде были Крестинский, секретарь Президиума ЦИК СССР А. С. Енукидзе, нарком легкой промышленности И. Е. Любимов, нарком снабжения А. И. Микоян, нарком внешней торговли А. П. Розенгольц, нарком финансов Г. Ф. Гринько, начальник Штаба РККА А. И. Егоров, Тухачевский, сам Дирксен и др.) состоялась беседа зам. председателя РВС СССР и зам. наркома Тухачевского с поверенным в делах Германии в СССР Твардовским. Тухачевский прямо заявил, что советское правительство не считает возможным продолжать сотрудничество с райхсвером из-за антисоветской направленности германской политики. («Ликвидация станций явилась политическим следствием после того, как в Советском Союзе убедились, что курс германского правительства принимает антисоветскую направленность»). Тухачевский высоко оценил результаты военного сотрудничества, указав, что «райхсвер решающим образом поддержал Красную Армию в ходе ее строительства» и что</w:t>
      </w:r>
    </w:p>
    <w:p w14:paraId="26382296" w14:textId="77777777" w:rsidR="00562118" w:rsidRPr="00C33834" w:rsidRDefault="0056211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тяжелые времена райхсвер был учителем Красной Армии; такое не забывается и не будет забыто».</w:t>
      </w:r>
    </w:p>
    <w:p w14:paraId="5293A0D8" w14:textId="77777777" w:rsidR="00562118" w:rsidRPr="00C33834" w:rsidRDefault="0056211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Тухачевский возмущенно отверг слова Твардовского о том, что «советское правительство или Красная Армия для укрепления своей новой дружбы с Францией подкинули французам или полякам материал о германо-советском военном сотрудничестве». Информация, уверял Твардовский, была из «надежных источников». Этот же тезис на том же обеде в беседе с Крестинским развивал и Дирксен.</w:t>
      </w:r>
    </w:p>
    <w:p w14:paraId="048E5BD5" w14:textId="77777777" w:rsidR="00562118" w:rsidRPr="00C33834" w:rsidRDefault="0056211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Крестинский записал в своем дневнике:</w:t>
      </w:r>
    </w:p>
    <w:p w14:paraId="6465BA4A" w14:textId="77777777" w:rsidR="00562118" w:rsidRPr="00C33834" w:rsidRDefault="0056211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«Дирксен сказал мне, что французы, как рафинированные политики, создают между СССР и Германией атмосферу недоверия. Нам французы говорят, что Папен рассказал им о существовавших между Красной Армией и рейхсвером отношениях и предлагал французам военный союз против СССР. Немцам же французы рассказывают, что мы передали им все те сведения о состоянии вооружения рейхсвера, которые у нас имелись. Дирксен предостерег поэтому от полного доверия к делаемым нам французами сообщениям» (18265).</w:t>
      </w:r>
    </w:p>
    <w:p w14:paraId="2DA8A6C4" w14:textId="77777777" w:rsidR="00562118" w:rsidRPr="00C33834" w:rsidRDefault="00562118" w:rsidP="00C33834">
      <w:pPr>
        <w:spacing w:after="0" w:line="240" w:lineRule="auto"/>
        <w:jc w:val="both"/>
        <w:rPr>
          <w:rFonts w:ascii="Times New Roman" w:hAnsi="Times New Roman"/>
          <w:color w:val="000000" w:themeColor="text1"/>
          <w:sz w:val="16"/>
          <w:szCs w:val="16"/>
        </w:rPr>
      </w:pPr>
    </w:p>
    <w:p w14:paraId="3A1266AC" w14:textId="77777777" w:rsidR="001E1317"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EF9BA89" w14:textId="77777777" w:rsidR="001E1317" w:rsidRPr="00C33834" w:rsidRDefault="001E1317" w:rsidP="00C33834">
      <w:pPr>
        <w:spacing w:after="0" w:line="240" w:lineRule="auto"/>
        <w:jc w:val="both"/>
        <w:rPr>
          <w:rFonts w:ascii="Times New Roman" w:hAnsi="Times New Roman"/>
          <w:iCs/>
          <w:color w:val="000000" w:themeColor="text1"/>
          <w:sz w:val="16"/>
          <w:szCs w:val="16"/>
        </w:rPr>
      </w:pPr>
    </w:p>
    <w:p w14:paraId="7D7602B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октября 1933 начали сборку моторамы дублера И-14, но 13 ноября работу прервали - в производство передали новые чертежи, согласно которым ее удлинили на 75 мм.</w:t>
      </w:r>
    </w:p>
    <w:p w14:paraId="33541F4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3D416C3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11E1705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10A09FB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7D1AFF19"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0FB94BF6" w14:textId="77777777" w:rsidR="001E1317"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52A3C2CE" w14:textId="77777777" w:rsidR="001E1317" w:rsidRPr="00C33834" w:rsidRDefault="001E1317" w:rsidP="00C33834">
      <w:pPr>
        <w:spacing w:after="0" w:line="240" w:lineRule="auto"/>
        <w:jc w:val="both"/>
        <w:rPr>
          <w:rFonts w:ascii="Times New Roman" w:hAnsi="Times New Roman"/>
          <w:iCs/>
          <w:color w:val="000000" w:themeColor="text1"/>
          <w:sz w:val="16"/>
          <w:szCs w:val="16"/>
        </w:rPr>
      </w:pPr>
    </w:p>
    <w:p w14:paraId="6F7539A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концу октября 1933 г. была достигнута договоренность об урегулировании «журналистского конфликта». 31 октября советская пресса опубликовала соответствующее коммюнике, и советские журналисты были допущены на судебный процесс в Ляйпциге («Известия», «Правда», 31 октября 1933 г.). В тот же день на прощальном обеде в связи с завершением работы Дирксена послом в Москве и его отъездом в Токио послом Германии в Японии (на обеде были Крестинский, секретарь Президиума ЦИК СССР А. С. Енукидзе, нарком легкой промышленности И. Е. Любимов, нарком снабжения А. И. Микоян, нарком внешней торговли А. П. Розенгольц, нарком финансов Г. Ф. Гринько, начальник Штаба РККА А. И. Егоров, Тухачевский, сам Дирксен и др. ) состоялась беседа зам. председателя РВС СССР и зам. наркома Тухачевского с поверенным в делах Германии в СССР Твардовским. Тухачевский прямо заявил, что советское правительство не считает возможным продолжать сотрудничество с райхсвером из-за антисоветской направленности германской политики. («Ликвидация станций явилась политическим следствием после того, как в Советском Союзе убедились, что курс германского правительства принимает антисоветскую направленность»). Тухачевский высоко оценил результаты военного сотрудничества, указав, что «райхсвер решающим образом поддержал Красную Армию в ходе ее строительства» и что «в тяжелые времена райхсвер был учителем Красной Армии; такое не забывается и не будет забыто» (ADAP, Ser.C, Bd. 11,1. S. 79-82.). Тухачевский возмущенно отверг слова Твардовского о том, что «советское правительство или Красная Армия для укрепления своей новой дружбы с Францией подкинули французам или полякам материал о германо-советском военном сотрудничестве». Информация, уверял Твардовский, была из «надежных источников» (ADAP, Ser.C, Bd. 11,1. S. 79-82.). Этот же тезис на том же обеде в беседе с Крестинским развивал и Дирксен. Крестинский записал в своем дневнике: «Дирксен сказал мне, что французы, как рафинированные политики, создают между СССР и Германией атмосферу недоверия. Нам французы говорят, что Па-пен рассказал им о существовавших между Красной Армией и рейхсвером отношениях и предлагал французам военный союз против СССР. Немцам же французы рассказывают, что мы передали им все те сведения о состоянии вооружения рейхсвера, которые у нас имелись. Дирксен предостерег поэтому от полного доверия к делаемым нам французами сообщениям» (АВП РФ, ф. 082, on. 16, п. 71, д. 1, л. 343. J{9}ADAP, Ser. С, Bd. 11,1. S. 330.). Новый посол Германии в СССР Р. Надольный в одном из своих первых визитов к Ворошилову 10 января 1934 г. в ответ на слова наркома, что он рассчитывает на восстановление связей между райхсвером и Красной Армией, заявил, что после того, как РККА показала райхсверу на дверь, германская сторона ожидает соответствующей инициативы со стороны РККА по восстановлению двусторонних военных отношений (ADAP, Ser. С, Bd. 11,1. S. 330.). Приведенные факты, таким образом, свидетельствуют о том, что инициатива сворачивания военного сотрудничества принадлежала Москве. Возмущенная же реакция Тухачевского в беседе с Твардовским 31 октября 1933 г., равно как и начальника Штаба РККА Егорова в беседе с тем же Твардовским 12 января 1934г. (Твардовский повторил Егорову версию, изложенную им Тухачевскому. (Ibid. S. 344).) являются, пожалуй, лишним свидетельством того, что в советской системе строгой партийно-государственной иерархии каждому «позволялось» знать лишь столько, сколько ему было «положено». Утверждение Твардовского о том, что Москва, идя на форсированное сближение с Францией и Польшей, подробно информировала французский генштаб о райхсвере и своем сотрудничестве с ним, отвергнуть либо подтвердить пока не представляется возможным. Окончательный ответ скрыт в архивах КГБ, КПСС, т. наз. «президентском архиве». Однако, сопоставляя целый ряд фактов, связанных с Женевской конференцией по разоружению, мы можем придти к выводу о том, что германский дипломат имел все основания полагать, что его версия не ложна (11784).</w:t>
      </w:r>
    </w:p>
    <w:p w14:paraId="7F313C7D"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1EEA879D" w14:textId="77777777" w:rsidR="001E1317"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66163C9" w14:textId="77777777" w:rsidR="001E1317" w:rsidRPr="00C33834" w:rsidRDefault="001E1317" w:rsidP="00C33834">
      <w:pPr>
        <w:spacing w:after="0" w:line="240" w:lineRule="auto"/>
        <w:jc w:val="both"/>
        <w:rPr>
          <w:rFonts w:ascii="Times New Roman" w:hAnsi="Times New Roman"/>
          <w:iCs/>
          <w:color w:val="000000" w:themeColor="text1"/>
          <w:sz w:val="16"/>
          <w:szCs w:val="16"/>
        </w:rPr>
      </w:pPr>
    </w:p>
    <w:p w14:paraId="013DD00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взлет ТБ-1 с ускорителями демонстрировали К.Е.Ворошилову. Было оборудовано три, испытаны в НИИ ВВС и переданы в войска. Был проект и по установке ускорителей на ТБ-3 (АНТ-6), однако не реализовали (449).</w:t>
      </w:r>
    </w:p>
    <w:p w14:paraId="3B61F38F"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37C9811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октябре 1933 на ЦА проводились испытания ТБ-1, управляемого по радио при использовании системы Дедал Остехбюро В.И.Бекаури, отработанной на торпедных катерах, и автопилота АВП-2. Все работало. 14 ноября дали ОЛ и ОКЗ сотрудникам Осконбюро ВОТИ. Стали делать эскадрилью (378,103).</w:t>
      </w:r>
    </w:p>
    <w:p w14:paraId="4869B02F"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1998E5B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закончились испытания опытного ТБ-3 (АНТ-6) с М-34, которые проводились с марта 1933 (437,103).</w:t>
      </w:r>
    </w:p>
    <w:p w14:paraId="19B0C9B7"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2E37221C"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w:t>
      </w:r>
      <w:r w:rsidRPr="00C33834">
        <w:rPr>
          <w:rFonts w:ascii="Times New Roman" w:hAnsi="Times New Roman"/>
          <w:color w:val="000000" w:themeColor="text1"/>
          <w:sz w:val="16"/>
          <w:szCs w:val="16"/>
        </w:rPr>
        <w:softHyphen/>
        <w:t>бре 1933 г. самолет ТБ-3 с мотором М-34 прошел летные госиспыта</w:t>
      </w:r>
      <w:r w:rsidRPr="00C33834">
        <w:rPr>
          <w:rFonts w:ascii="Times New Roman" w:hAnsi="Times New Roman"/>
          <w:color w:val="000000" w:themeColor="text1"/>
          <w:sz w:val="16"/>
          <w:szCs w:val="16"/>
        </w:rPr>
        <w:softHyphen/>
        <w:t>ния, и двигатель был запущен в серию, но уже на заводе № 24 в Москве (Рыбинские производственные мощности были задейство</w:t>
      </w:r>
      <w:r w:rsidRPr="00C33834">
        <w:rPr>
          <w:rFonts w:ascii="Times New Roman" w:hAnsi="Times New Roman"/>
          <w:color w:val="000000" w:themeColor="text1"/>
          <w:sz w:val="16"/>
          <w:szCs w:val="16"/>
        </w:rPr>
        <w:softHyphen/>
        <w:t>ваны на выпуск моторов М-17). Тогда же, в конце 1931 г., было решено назначить Марьямова ди</w:t>
      </w:r>
      <w:r w:rsidRPr="00C33834">
        <w:rPr>
          <w:rFonts w:ascii="Times New Roman" w:hAnsi="Times New Roman"/>
          <w:color w:val="000000" w:themeColor="text1"/>
          <w:sz w:val="16"/>
          <w:szCs w:val="16"/>
        </w:rPr>
        <w:softHyphen/>
        <w:t>ректором завода имени Фрунзе. Умещался тогда завод на крохотной площадке. Прямо перед входом тянулась дорога. Сзади — кладбище с церковью у входа, поч</w:t>
      </w:r>
      <w:r w:rsidRPr="00C33834">
        <w:rPr>
          <w:rFonts w:ascii="Times New Roman" w:hAnsi="Times New Roman"/>
          <w:color w:val="000000" w:themeColor="text1"/>
          <w:sz w:val="16"/>
          <w:szCs w:val="16"/>
        </w:rPr>
        <w:softHyphen/>
        <w:t>ти напротив — застава с биржей извозчиков. А дальше за заводом тя</w:t>
      </w:r>
      <w:r w:rsidRPr="00C33834">
        <w:rPr>
          <w:rFonts w:ascii="Times New Roman" w:hAnsi="Times New Roman"/>
          <w:color w:val="000000" w:themeColor="text1"/>
          <w:sz w:val="16"/>
          <w:szCs w:val="16"/>
        </w:rPr>
        <w:softHyphen/>
        <w:t>нулись плантации цветов. Территория предприятия была обнесена дощатым забором. Для расширения производства потребовалась ко</w:t>
      </w:r>
      <w:r w:rsidRPr="00C33834">
        <w:rPr>
          <w:rFonts w:ascii="Times New Roman" w:hAnsi="Times New Roman"/>
          <w:color w:val="000000" w:themeColor="text1"/>
          <w:sz w:val="16"/>
          <w:szCs w:val="16"/>
        </w:rPr>
        <w:softHyphen/>
        <w:t>ренная реконструкция. На стройке многие тысячи людей работали в три смены. Одновре</w:t>
      </w:r>
      <w:r w:rsidRPr="00C33834">
        <w:rPr>
          <w:rFonts w:ascii="Times New Roman" w:hAnsi="Times New Roman"/>
          <w:color w:val="000000" w:themeColor="text1"/>
          <w:sz w:val="16"/>
          <w:szCs w:val="16"/>
        </w:rPr>
        <w:softHyphen/>
        <w:t>менно строились три корпуса, в том числе корпус механических це</w:t>
      </w:r>
      <w:r w:rsidRPr="00C33834">
        <w:rPr>
          <w:rFonts w:ascii="Times New Roman" w:hAnsi="Times New Roman"/>
          <w:color w:val="000000" w:themeColor="text1"/>
          <w:sz w:val="16"/>
          <w:szCs w:val="16"/>
        </w:rPr>
        <w:softHyphen/>
        <w:t>хов, который и сегодня самый крупный на заводе. Рядом возводился кузнечно-термический цех, а с другой стороны — инструментальный корпус. Все работы велись исключительно вручную. Лопата, кирка, носилки, конная подвода — вот и вся «механизация». Если до реконструкции завода на обеих территориях от силы ра</w:t>
      </w:r>
      <w:r w:rsidRPr="00C33834">
        <w:rPr>
          <w:rFonts w:ascii="Times New Roman" w:hAnsi="Times New Roman"/>
          <w:color w:val="000000" w:themeColor="text1"/>
          <w:sz w:val="16"/>
          <w:szCs w:val="16"/>
        </w:rPr>
        <w:softHyphen/>
        <w:t>ботало около тысячи человек, то после реконструкции численность предполагалось довести до 10 000 работников. Конечно, освоение серийного выпуска нового мощного советского мотора было задачей очень непростой (10781).</w:t>
      </w:r>
    </w:p>
    <w:p w14:paraId="14246198"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p>
    <w:p w14:paraId="52C0BA6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1933-го ЦАГИ совместно с 22-м заводом, предъявил на государственные испытания бомбардировщик ТБ-3 с двигателями М-34, а девять дней спустя - модернизированный ТБ-3 с М-17 (5740,7).</w:t>
      </w:r>
    </w:p>
    <w:p w14:paraId="46BB74AE"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207815B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кончились гос. испытания Z, которые велись с августа 1933. Уже были ДРП АПК-4бис (97,22).</w:t>
      </w:r>
    </w:p>
    <w:p w14:paraId="39E52961"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27712E4E"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года был подготовлен Отчет по гос. испытаниям серийного самолета «ЗЕТ» № 39010 с мотором ЮVI-9 Aq 480/560 НР № 42151 (6783).</w:t>
      </w:r>
    </w:p>
    <w:p w14:paraId="3C0A256D"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6C4A9E30"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И. Холодов</w:t>
      </w:r>
    </w:p>
    <w:p w14:paraId="05A37E3E"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 Сцельников</w:t>
      </w:r>
    </w:p>
    <w:p w14:paraId="6C2ECC17"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5A5877B4"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 с целью определения вопроса о целесообразности постройки самолетов и использования построенной малой серии.</w:t>
      </w:r>
    </w:p>
    <w:p w14:paraId="0EF51D38"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6C6EA53D" w14:textId="77777777" w:rsidR="001E1317" w:rsidRPr="00C33834" w:rsidRDefault="001E1317" w:rsidP="00C33834">
      <w:pPr>
        <w:numPr>
          <w:ilvl w:val="0"/>
          <w:numId w:val="407"/>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Построенные самолеты «ЗЕТ» вооруженные пушами АПК-4 бис и пулеметом ПВ-1 могут быть приняты на вооружение ВВС для получения летным составом тренировки в артиллерийской стрельбе и отработке тактики применения самолета с обязательным устранением на всех построенных самолетах дефектов.</w:t>
      </w:r>
    </w:p>
    <w:p w14:paraId="6BC60254"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p w14:paraId="26544362"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сентября 1933 года – самолет поступил в бригаду НИИ ВВС для прохождения гос. испытаний.</w:t>
      </w:r>
    </w:p>
    <w:p w14:paraId="09A9CB9D"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сентября 1933 года – фактическое начало испытаний.</w:t>
      </w:r>
    </w:p>
    <w:p w14:paraId="51F504AD"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1933 года – фактическое окончание испытаний.</w:t>
      </w:r>
    </w:p>
    <w:p w14:paraId="3FC134FE"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Фактически затрачено на испытание 17 календарных дней, из них:</w:t>
      </w:r>
    </w:p>
    <w:p w14:paraId="721ACD6F"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было проведено в 7 летных дней.</w:t>
      </w:r>
    </w:p>
    <w:p w14:paraId="09482160"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Налетано 16 час. 20 мин. (6783).</w:t>
      </w:r>
    </w:p>
    <w:p w14:paraId="2F3511B4"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p>
    <w:p w14:paraId="21F4F83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В.П.Чкалов испытывал И-15 РЦ 630/715 нр Н.Н.П. и получили скорость 368 км/час на 3000 м (2863,37).</w:t>
      </w:r>
    </w:p>
    <w:p w14:paraId="4DE316F1"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1BF407E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В.П.Чкалов начал испытывать ЦКБ-3 (И-15) (67,10).</w:t>
      </w:r>
    </w:p>
    <w:p w14:paraId="7BDFCF0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Как это не странно, но на хвосте первого ЦКБ-3 судя по фото опять знак пресловутой "ВТ".</w:t>
      </w:r>
    </w:p>
    <w:p w14:paraId="54173762"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19B488A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был построен первый экземпляр И-15 и в октябре-ноябре В.П.Чкалов летал (228,87).</w:t>
      </w:r>
    </w:p>
    <w:p w14:paraId="3DEAAD7B"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6F0E207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построили первый экземпляр самолета И-15, оснащенный мотором «Циклон» американской фирмы Райт. Испытания И-15, проведенные в течение последующих двух месяцев показали, что у военных летчиков появилась возможность получить в свои руки выдающийся истребитель. Самолет обладал великолепной скороподъемностью (на высоту 5 километров забирался за 6 минут) и рекордным временем виража (8 секунд). На высоте 3 километра легко разгонялся до скорости 350 км/ч, что, хотя и не являлось рекордным показателем, но по требованиям тех лет было более чем достаточно. Уже в 1934 г. производство И-15 развернули на двух московских авиазаводах - №1 и №39. Для производства двигателей Райт «Циклон» в Америке закупили завод, который разместили в уральском городе Пермь. Это новое предприятие, получившее наименование «авиазавод №19», начиная с 1935 г. начало выпуск «Райтов» под маркой М-25. Значительная часть М-25 поступала для изготавливаемых в Москве И-15. Внедрение истребителя в ВВС, однако, не встретило единодушного одобрения в их руководстве. Основное неудовольствие вызывал центроплан верхнего крыла, выполненный в виде «чайки», который по мнению многих пилотов не обеспечивал достаточной путевой устойчивости, значительно ухудшал обзор, препятствовал строевым полетам и прицельной стрельбе. Кроме того, И-15 имел низкое качество изготовления, которое усугублялось грубой и зачастую неумелой его эксплуатацией в воинских частях. Одновременно, руководители ВВС отдавали предпочтение скоростным истребителям И-16 - сторонники монопланов в данном случае начисто отвергали необходимость истребителей-бипланов (6592).</w:t>
      </w:r>
    </w:p>
    <w:p w14:paraId="0C00A52A"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0FCD029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начались рулежки, первые подлеты и, естественно, доделки ЦКБ-3 (И-15). Летал испытатель Валерий Чкалов (6593).</w:t>
      </w:r>
    </w:p>
    <w:p w14:paraId="46EA3061"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214ECFE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начались рулежки, первые подлеты и, естественно, доделки первого ЦКБ-3, законченного к осени 1933. Летал испытатель Валерий Чкалов. В ноябре выпал снег, поэтому колеса заменили на лыжи от самолета И-Z. Произошло это 18 ноября, а спустя пять дней случилась первая неприятность (12014).</w:t>
      </w:r>
    </w:p>
    <w:p w14:paraId="678BBD5E"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76ECAC2B" w14:textId="77777777" w:rsidR="00562118" w:rsidRPr="00C33834" w:rsidRDefault="00562118" w:rsidP="00C33834">
      <w:pPr>
        <w:pStyle w:val="27"/>
        <w:shd w:val="clear" w:color="auto" w:fill="auto"/>
        <w:spacing w:after="0" w:line="240" w:lineRule="auto"/>
        <w:ind w:firstLine="0"/>
        <w:rPr>
          <w:rFonts w:ascii="Times New Roman" w:cs="Times New Roman"/>
          <w:color w:val="000000" w:themeColor="text1"/>
          <w:spacing w:val="0"/>
        </w:rPr>
      </w:pPr>
      <w:r w:rsidRPr="00C33834">
        <w:rPr>
          <w:rFonts w:ascii="Times New Roman" w:cs="Times New Roman"/>
          <w:color w:val="000000" w:themeColor="text1"/>
          <w:spacing w:val="0"/>
        </w:rPr>
        <w:t>В октябре 1933 начались рулежки, первые подлеты и, естественно, доделки первого ЦКБ-3. Летал испытатель Валерий Чкалов. В ноябре выпал снег, поэтому колеса заменили на лыжи от самолета И-</w:t>
      </w:r>
      <w:r w:rsidRPr="00C33834">
        <w:rPr>
          <w:rFonts w:ascii="Times New Roman" w:cs="Times New Roman"/>
          <w:color w:val="000000" w:themeColor="text1"/>
          <w:spacing w:val="0"/>
          <w:lang w:val="en-US"/>
        </w:rPr>
        <w:t>Z</w:t>
      </w:r>
      <w:r w:rsidRPr="00C33834">
        <w:rPr>
          <w:rFonts w:ascii="Times New Roman" w:cs="Times New Roman"/>
          <w:color w:val="000000" w:themeColor="text1"/>
          <w:spacing w:val="0"/>
        </w:rPr>
        <w:t>. Произошло это 18 ноября, а спустя пять дней случилась первая неприятность. 23 ноября во время длительного пикирования ЦКБ-3 со скоростью около 400 км/ч сорвалось ушко крепления растяжки левой лыжи. Носок лыжи опустился, и ее развернуло поперек потока. Случай в те време</w:t>
      </w:r>
      <w:r w:rsidRPr="00C33834">
        <w:rPr>
          <w:rFonts w:ascii="Times New Roman" w:cs="Times New Roman"/>
          <w:color w:val="000000" w:themeColor="text1"/>
          <w:spacing w:val="0"/>
        </w:rPr>
        <w:softHyphen/>
        <w:t>на не редкий, но досадный; шансов приземлиться благополучно практически не оставалось, и самолет на посадке перевернул</w:t>
      </w:r>
      <w:r w:rsidRPr="00C33834">
        <w:rPr>
          <w:rFonts w:ascii="Times New Roman" w:cs="Times New Roman"/>
          <w:color w:val="000000" w:themeColor="text1"/>
          <w:spacing w:val="0"/>
        </w:rPr>
        <w:softHyphen/>
        <w:t>ся. Чкалов не пострадал, но первый опытный экземпляр вышел из строя. Позднее его восстановили как самолет для достиже</w:t>
      </w:r>
      <w:r w:rsidRPr="00C33834">
        <w:rPr>
          <w:rFonts w:ascii="Times New Roman" w:cs="Times New Roman"/>
          <w:color w:val="000000" w:themeColor="text1"/>
          <w:spacing w:val="0"/>
        </w:rPr>
        <w:softHyphen/>
        <w:t>ния рекорда высоты (19107).</w:t>
      </w:r>
    </w:p>
    <w:p w14:paraId="7095D279" w14:textId="77777777" w:rsidR="00562118" w:rsidRPr="00C33834" w:rsidRDefault="00562118" w:rsidP="00C33834">
      <w:pPr>
        <w:spacing w:after="0" w:line="240" w:lineRule="auto"/>
        <w:jc w:val="both"/>
        <w:rPr>
          <w:rFonts w:ascii="Times New Roman" w:hAnsi="Times New Roman"/>
          <w:color w:val="000000" w:themeColor="text1"/>
          <w:sz w:val="16"/>
          <w:szCs w:val="16"/>
        </w:rPr>
      </w:pPr>
    </w:p>
    <w:p w14:paraId="3EB858AE"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т.к. для получения формального разрешения на прове</w:t>
      </w:r>
      <w:r w:rsidRPr="00C33834">
        <w:rPr>
          <w:rFonts w:ascii="Times New Roman" w:hAnsi="Times New Roman"/>
          <w:color w:val="000000" w:themeColor="text1"/>
          <w:sz w:val="16"/>
          <w:szCs w:val="16"/>
        </w:rPr>
        <w:softHyphen/>
        <w:t>дение испытаний требовался утвержденный эскизный проект, Николай Николаевич направил в НИИ ВВС третий по счету эскизный проект истреби</w:t>
      </w:r>
      <w:r w:rsidRPr="00C33834">
        <w:rPr>
          <w:rFonts w:ascii="Times New Roman" w:hAnsi="Times New Roman"/>
          <w:color w:val="000000" w:themeColor="text1"/>
          <w:sz w:val="16"/>
          <w:szCs w:val="16"/>
        </w:rPr>
        <w:softHyphen/>
        <w:t>теля. В нем он отразил опыт предшествующих разрабо</w:t>
      </w:r>
      <w:r w:rsidRPr="00C33834">
        <w:rPr>
          <w:rFonts w:ascii="Times New Roman" w:hAnsi="Times New Roman"/>
          <w:color w:val="000000" w:themeColor="text1"/>
          <w:sz w:val="16"/>
          <w:szCs w:val="16"/>
        </w:rPr>
        <w:softHyphen/>
        <w:t>ток, более детально поясняя концепцию самолета:</w:t>
      </w:r>
    </w:p>
    <w:p w14:paraId="412ED444"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Схема коробки крыльев была принята полутора-план как обеспечивающая большую несущую поверх</w:t>
      </w:r>
      <w:r w:rsidRPr="00C33834">
        <w:rPr>
          <w:rFonts w:ascii="Times New Roman" w:hAnsi="Times New Roman"/>
          <w:color w:val="000000" w:themeColor="text1"/>
          <w:sz w:val="16"/>
          <w:szCs w:val="16"/>
        </w:rPr>
        <w:softHyphen/>
        <w:t>ность при минимальных внешних габаритах и удовлетворительное удлинение крыльев, эквивалентно моноплану...</w:t>
      </w:r>
    </w:p>
    <w:p w14:paraId="3C92125D"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Нагрузка на 1 м и на 1 НР была подобрана мини</w:t>
      </w:r>
      <w:r w:rsidRPr="00C33834">
        <w:rPr>
          <w:rFonts w:ascii="Times New Roman" w:hAnsi="Times New Roman"/>
          <w:color w:val="000000" w:themeColor="text1"/>
          <w:sz w:val="16"/>
          <w:szCs w:val="16"/>
        </w:rPr>
        <w:softHyphen/>
        <w:t>мально возможной для получения максимальной мане</w:t>
      </w:r>
      <w:r w:rsidRPr="00C33834">
        <w:rPr>
          <w:rFonts w:ascii="Times New Roman" w:hAnsi="Times New Roman"/>
          <w:color w:val="000000" w:themeColor="text1"/>
          <w:sz w:val="16"/>
          <w:szCs w:val="16"/>
        </w:rPr>
        <w:softHyphen/>
        <w:t>вренности...</w:t>
      </w:r>
    </w:p>
    <w:p w14:paraId="4AD75592"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схеме коробки крыльев мы стремились добиться соединения условий наилучшего обзора и высоких аэ</w:t>
      </w:r>
      <w:r w:rsidRPr="00C33834">
        <w:rPr>
          <w:rFonts w:ascii="Times New Roman" w:hAnsi="Times New Roman"/>
          <w:color w:val="000000" w:themeColor="text1"/>
          <w:sz w:val="16"/>
          <w:szCs w:val="16"/>
        </w:rPr>
        <w:softHyphen/>
        <w:t>родинамических качеств путем уменьшения интерфе</w:t>
      </w:r>
      <w:r w:rsidRPr="00C33834">
        <w:rPr>
          <w:rFonts w:ascii="Times New Roman" w:hAnsi="Times New Roman"/>
          <w:color w:val="000000" w:themeColor="text1"/>
          <w:sz w:val="16"/>
          <w:szCs w:val="16"/>
        </w:rPr>
        <w:softHyphen/>
        <w:t>ренции...».</w:t>
      </w:r>
    </w:p>
    <w:p w14:paraId="41FAAF6F"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Оценки летных характеристик машины были остав</w:t>
      </w:r>
      <w:r w:rsidRPr="00C33834">
        <w:rPr>
          <w:rFonts w:ascii="Times New Roman" w:hAnsi="Times New Roman"/>
          <w:color w:val="000000" w:themeColor="text1"/>
          <w:sz w:val="16"/>
          <w:szCs w:val="16"/>
        </w:rPr>
        <w:softHyphen/>
        <w:t>лены такими же, как и в предыдущем проекте, т.е. зани</w:t>
      </w:r>
      <w:r w:rsidRPr="00C33834">
        <w:rPr>
          <w:rFonts w:ascii="Times New Roman" w:hAnsi="Times New Roman"/>
          <w:color w:val="000000" w:themeColor="text1"/>
          <w:sz w:val="16"/>
          <w:szCs w:val="16"/>
        </w:rPr>
        <w:softHyphen/>
        <w:t>женными, несмотря на то, что продувки уже были завершены.</w:t>
      </w:r>
    </w:p>
    <w:p w14:paraId="492916A8"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Отзыв на проект давал Н.А.Жемчужин, выпускник Военно-воздушной академии им. проф. Н.Е. Жуковско</w:t>
      </w:r>
      <w:r w:rsidRPr="00C33834">
        <w:rPr>
          <w:rFonts w:ascii="Times New Roman" w:hAnsi="Times New Roman"/>
          <w:color w:val="000000" w:themeColor="text1"/>
          <w:sz w:val="16"/>
          <w:szCs w:val="16"/>
        </w:rPr>
        <w:softHyphen/>
        <w:t>го. Итоговый документ гласил:</w:t>
      </w:r>
    </w:p>
    <w:p w14:paraId="485702FF"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отношении максимальной скорости на высоте 5000 м самолет И-15 не выполняет предъявленных к не</w:t>
      </w:r>
      <w:r w:rsidRPr="00C33834">
        <w:rPr>
          <w:rFonts w:ascii="Times New Roman" w:hAnsi="Times New Roman"/>
          <w:color w:val="000000" w:themeColor="text1"/>
          <w:sz w:val="16"/>
          <w:szCs w:val="16"/>
        </w:rPr>
        <w:softHyphen/>
        <w:t>му технических требований и отстает от современных уже построенных заграничных истребителей. Предъяв</w:t>
      </w:r>
      <w:r w:rsidRPr="00C33834">
        <w:rPr>
          <w:rFonts w:ascii="Times New Roman" w:hAnsi="Times New Roman"/>
          <w:color w:val="000000" w:themeColor="text1"/>
          <w:sz w:val="16"/>
          <w:szCs w:val="16"/>
        </w:rPr>
        <w:softHyphen/>
        <w:t>ленные к нему требования в отношении маневренности и скороподъемности выполняются и перекрывают дан</w:t>
      </w:r>
      <w:r w:rsidRPr="00C33834">
        <w:rPr>
          <w:rFonts w:ascii="Times New Roman" w:hAnsi="Times New Roman"/>
          <w:color w:val="000000" w:themeColor="text1"/>
          <w:sz w:val="16"/>
          <w:szCs w:val="16"/>
        </w:rPr>
        <w:softHyphen/>
        <w:t>ные сравниваемых самолетов. Эксплуатационные каче</w:t>
      </w:r>
      <w:r w:rsidRPr="00C33834">
        <w:rPr>
          <w:rFonts w:ascii="Times New Roman" w:hAnsi="Times New Roman"/>
          <w:color w:val="000000" w:themeColor="text1"/>
          <w:sz w:val="16"/>
          <w:szCs w:val="16"/>
        </w:rPr>
        <w:softHyphen/>
        <w:t>ства (удобство обслуживания и доступность ремонта) заводом № 39 при предъявлении проекта не гарантиру</w:t>
      </w:r>
      <w:r w:rsidRPr="00C33834">
        <w:rPr>
          <w:rFonts w:ascii="Times New Roman" w:hAnsi="Times New Roman"/>
          <w:color w:val="000000" w:themeColor="text1"/>
          <w:sz w:val="16"/>
          <w:szCs w:val="16"/>
        </w:rPr>
        <w:softHyphen/>
        <w:t>ется.</w:t>
      </w:r>
    </w:p>
    <w:p w14:paraId="4D1AD3EB"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1940ABB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 самолета И-15 может быть допущен к даль</w:t>
      </w:r>
      <w:r w:rsidRPr="00C33834">
        <w:rPr>
          <w:rFonts w:ascii="Times New Roman" w:hAnsi="Times New Roman"/>
          <w:color w:val="000000" w:themeColor="text1"/>
          <w:sz w:val="16"/>
          <w:szCs w:val="16"/>
        </w:rPr>
        <w:softHyphen/>
        <w:t>нейшей разработке и постройке. ЦКБ завода № 39 надлежит добиться выполнения поставленных эксплуа</w:t>
      </w:r>
      <w:r w:rsidRPr="00C33834">
        <w:rPr>
          <w:rFonts w:ascii="Times New Roman" w:hAnsi="Times New Roman"/>
          <w:color w:val="000000" w:themeColor="text1"/>
          <w:sz w:val="16"/>
          <w:szCs w:val="16"/>
        </w:rPr>
        <w:softHyphen/>
        <w:t>тационных требований и приложить усилия к повыше</w:t>
      </w:r>
      <w:r w:rsidRPr="00C33834">
        <w:rPr>
          <w:rFonts w:ascii="Times New Roman" w:hAnsi="Times New Roman"/>
          <w:color w:val="000000" w:themeColor="text1"/>
          <w:sz w:val="16"/>
          <w:szCs w:val="16"/>
        </w:rPr>
        <w:softHyphen/>
        <w:t>нию запроектированной максимальной скорости без снижения других летных данных самолета, особенно маневренности и скороподъемности» (10667).</w:t>
      </w:r>
    </w:p>
    <w:p w14:paraId="6107B6E2"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7FFFF987"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октябре 1933 г. Николай Николаевич ознакомил с результатами работы над И-17 руководство ВВС. Ожидаемые лет</w:t>
      </w:r>
      <w:r w:rsidRPr="00C33834">
        <w:rPr>
          <w:rFonts w:ascii="Times New Roman" w:hAnsi="Times New Roman"/>
          <w:color w:val="000000" w:themeColor="text1"/>
          <w:sz w:val="16"/>
          <w:szCs w:val="16"/>
        </w:rPr>
        <w:softHyphen/>
        <w:t>ные характеристики предварительных вариантов И-17 несущественно превосходили характеристики И-16 с мо</w:t>
      </w:r>
      <w:r w:rsidRPr="00C33834">
        <w:rPr>
          <w:rFonts w:ascii="Times New Roman" w:hAnsi="Times New Roman"/>
          <w:color w:val="000000" w:themeColor="text1"/>
          <w:sz w:val="16"/>
          <w:szCs w:val="16"/>
        </w:rPr>
        <w:softHyphen/>
        <w:t>тором Райт «Циклон» 5СК-1820 Р-3 и Р-5, поэтому в ВВС довольно прохладно встретили инициативные предло</w:t>
      </w:r>
      <w:r w:rsidRPr="00C33834">
        <w:rPr>
          <w:rFonts w:ascii="Times New Roman" w:hAnsi="Times New Roman"/>
          <w:color w:val="000000" w:themeColor="text1"/>
          <w:sz w:val="16"/>
          <w:szCs w:val="16"/>
        </w:rPr>
        <w:softHyphen/>
        <w:t>жения Поликарпова. Однако мотор-пушка тогда явля</w:t>
      </w:r>
      <w:r w:rsidRPr="00C33834">
        <w:rPr>
          <w:rFonts w:ascii="Times New Roman" w:hAnsi="Times New Roman"/>
          <w:color w:val="000000" w:themeColor="text1"/>
          <w:sz w:val="16"/>
          <w:szCs w:val="16"/>
        </w:rPr>
        <w:softHyphen/>
        <w:t>лась технической новинкой (10667).</w:t>
      </w:r>
    </w:p>
    <w:p w14:paraId="1A14B2CC"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p>
    <w:p w14:paraId="271BEE3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состоялись испытания Сталь-6 Р.Л.Бартини. Полетный вес - 1080 кг, скорость - 420 км/час. Летали А.Б.Юмашев и П.М.Стефановский (438,659).</w:t>
      </w:r>
    </w:p>
    <w:p w14:paraId="758F617D"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189BF59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в СНИИ ГВФ закончились гос. испытания АИР-6 на колесах. Зимой 1932/33 - летали на лыжах (3550,9).</w:t>
      </w:r>
    </w:p>
    <w:p w14:paraId="322A75F5"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21FBFD64" w14:textId="77777777" w:rsidR="00562118" w:rsidRPr="00C33834" w:rsidRDefault="00562118"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В октябре 1933 г завершили государственные испытания АИР-6 в СНИИ ГВФ. Самолет опять подтвердил заявленные конструктором данные и продемонстрировал хорошую устойчивость и управляемость, а также простоту в эксплуатации. Получили максимальную скорость 169 км/ч. В заключении СНИИ ГВФ говорилось: «Простота конструкции, надежная работа мотора, удобная пассажирская кабина типа «лимузин» и сравнительно малая посадочная скорость создали самолету хорошую репутацию. Имея в закрытой кабине два места для пассажиров, самолет является наиболее удобным типом на местных линиях воздушного сообщения для перевозки почты и пассажиров» (19099).</w:t>
      </w:r>
    </w:p>
    <w:p w14:paraId="5B34A072" w14:textId="77777777" w:rsidR="00562118" w:rsidRPr="00C33834" w:rsidRDefault="00562118" w:rsidP="00C33834">
      <w:pPr>
        <w:pStyle w:val="a8"/>
        <w:jc w:val="both"/>
        <w:rPr>
          <w:rFonts w:ascii="Times New Roman" w:hAnsi="Times New Roman" w:cs="Times New Roman"/>
          <w:color w:val="000000" w:themeColor="text1"/>
        </w:rPr>
      </w:pPr>
    </w:p>
    <w:p w14:paraId="0CFC1B52" w14:textId="77777777" w:rsidR="00562118" w:rsidRPr="00C33834" w:rsidRDefault="00562118"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В октябре 1933 АИР-6А прибыл в Школу морских летчиков в Ейске. Первый опытный образец АИР-6 передали авиасекции украинского отделения спортивного общества «Динамо» и перегнали в Харьков (видимо, на колесах). Указывалось, что поплавки к нему приобрели отдельно. На них самолет летал над Днепром.</w:t>
      </w:r>
    </w:p>
    <w:p w14:paraId="3EB0CD77" w14:textId="77777777" w:rsidR="00562118" w:rsidRPr="00C33834" w:rsidRDefault="00562118"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Экипаж летчика Я. В. Письменного (между прочим, майора госбезопасности) намеревался установить мировой рекорд дальности для легких гидросамолетов. На АИР-6А установил и опломбированные контрольные приборы. 19 октября перегруженный гидроплан вылетел из Ейска. Вместе с Письменным на борту находился механик В.П. Кузнецов. 250 км машина летела над сушей, а от Запорожья - над Днепром. За Черкассами совершили посадку на реку между селами Свидовок и Секирно. Общая протяженность маршрута составила 568 км. Рекорд зарегистрировали сперва как всесоюзный, а затем и как мировой: Письменный почти в полтора раза превысил достижение американцев Г Борнтрегера и Э. Стаффорда, зарегистрированное в марте 1936 г. (19099).</w:t>
      </w:r>
    </w:p>
    <w:p w14:paraId="1FC71C4F" w14:textId="77777777" w:rsidR="00562118" w:rsidRPr="00C33834" w:rsidRDefault="00562118" w:rsidP="00C33834">
      <w:pPr>
        <w:pStyle w:val="a8"/>
        <w:jc w:val="both"/>
        <w:rPr>
          <w:rFonts w:ascii="Times New Roman" w:hAnsi="Times New Roman" w:cs="Times New Roman"/>
          <w:color w:val="000000" w:themeColor="text1"/>
        </w:rPr>
      </w:pPr>
    </w:p>
    <w:p w14:paraId="3495C084" w14:textId="77777777" w:rsidR="00F46121" w:rsidRPr="00C33834" w:rsidRDefault="00F4612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1933-го в СНИИ ГВФ закончились государственные испытания АИР-6 на колесах. Зимой 1932-1933 гг. АИР-6 летал на лыжном шасси. Следующей зимой на лыжи поставили второй самолет (15727).</w:t>
      </w:r>
    </w:p>
    <w:p w14:paraId="70075C2B" w14:textId="77777777" w:rsidR="00F46121" w:rsidRPr="00C33834" w:rsidRDefault="00F46121" w:rsidP="00C33834">
      <w:pPr>
        <w:spacing w:after="0" w:line="240" w:lineRule="auto"/>
        <w:jc w:val="both"/>
        <w:rPr>
          <w:rFonts w:ascii="Times New Roman" w:hAnsi="Times New Roman"/>
          <w:color w:val="000000" w:themeColor="text1"/>
          <w:sz w:val="16"/>
          <w:szCs w:val="16"/>
        </w:rPr>
      </w:pPr>
    </w:p>
    <w:p w14:paraId="6567E41E" w14:textId="77777777" w:rsidR="00F46121" w:rsidRPr="00C33834" w:rsidRDefault="00F4612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октябре-декабре 1933 АИР-7 проходил испытания в НИИ ГВФ. Подробных сведений об этом пока найти не удалось. Есть лишь краткое сообщение об этом в газете «Стальной самолет»: «Проверены все аэронавигационные приборы на АИР-7... Сверх плана произведены испытания» (15447).</w:t>
      </w:r>
    </w:p>
    <w:p w14:paraId="5DA72E89" w14:textId="77777777" w:rsidR="00F46121" w:rsidRPr="00C33834" w:rsidRDefault="00F46121" w:rsidP="00C33834">
      <w:pPr>
        <w:spacing w:after="0" w:line="240" w:lineRule="auto"/>
        <w:jc w:val="both"/>
        <w:rPr>
          <w:rFonts w:ascii="Times New Roman" w:hAnsi="Times New Roman"/>
          <w:color w:val="000000" w:themeColor="text1"/>
          <w:sz w:val="16"/>
          <w:szCs w:val="16"/>
        </w:rPr>
      </w:pPr>
    </w:p>
    <w:p w14:paraId="71B11D3A" w14:textId="77777777" w:rsidR="00CE35D9" w:rsidRPr="00C33834" w:rsidRDefault="00CE35D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 ноябре 1933 г. самолет Г-10, оснащенный опытным отечественным двигателем М-23 мощностью 65 л.с., успешно прошел государственные испытания на летно-испыта-тельной станции ВВА им. Н.Е.Жуковского. Кроме ведущего летчика-испытателя Т.Т.Алтынова, в облете самолета приняли участие еще семь летчиков из НИИ ВВС, Военно-Воздушной академии им. Жуковского, Осоавиахима и одного из авиазаводов. В отзывах летчиков отмечалось, что Г-10 может быть использован в качестве спортивно-тренировочного для аэроклубов, школ ВВС и ГВФ.</w:t>
      </w:r>
    </w:p>
    <w:p w14:paraId="32BB23A5" w14:textId="77777777" w:rsidR="00CE35D9" w:rsidRPr="00C33834" w:rsidRDefault="00CE35D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Этот небольшой спортивный высокоплан начал проектироваться уже в МКБ, а его изготовление завершилось в 1933 г. В статье, помещенной в журнале «Самолет» №1 за 1934 г., Грибовский так излагал идею самолета Г-10:</w:t>
      </w:r>
    </w:p>
    <w:p w14:paraId="5053483B" w14:textId="77777777" w:rsidR="00CE35D9" w:rsidRPr="00C33834" w:rsidRDefault="00CE35D9" w:rsidP="00C33834">
      <w:pPr>
        <w:shd w:val="clear" w:color="auto" w:fill="FFFFFF"/>
        <w:spacing w:after="0" w:line="240" w:lineRule="auto"/>
        <w:jc w:val="both"/>
        <w:rPr>
          <w:rFonts w:ascii="Times New Roman" w:hAnsi="Times New Roman"/>
          <w:iCs/>
          <w:color w:val="000000" w:themeColor="text1"/>
          <w:sz w:val="16"/>
          <w:szCs w:val="16"/>
        </w:rPr>
      </w:pPr>
      <w:r w:rsidRPr="00C33834">
        <w:rPr>
          <w:rFonts w:ascii="Times New Roman" w:hAnsi="Times New Roman"/>
          <w:iCs/>
          <w:color w:val="000000" w:themeColor="text1"/>
          <w:sz w:val="16"/>
          <w:szCs w:val="16"/>
        </w:rPr>
        <w:t xml:space="preserve"> «Развитие спортивной авиации, развертывание сети аэроклубов, большое количество летного состава, нуждающегося в постоянной тренировке, вызывает колоссальный расход горючего и капитальные затраты на постройку ангарной площади, задерживает темпы развития спортивной авиации.</w:t>
      </w:r>
    </w:p>
    <w:p w14:paraId="2606F0BA" w14:textId="77777777" w:rsidR="00CE35D9" w:rsidRPr="00C33834" w:rsidRDefault="00CE35D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iCs/>
          <w:color w:val="000000" w:themeColor="text1"/>
          <w:sz w:val="16"/>
          <w:szCs w:val="16"/>
        </w:rPr>
        <w:t>Одним из основных путей сокращения этих расходов является введение в нашу систему дешевого, маломощного, с малыми габаритами самолета, с летной стороны отвечающего всем требованиям тренировщика. Если мы сравним стоимость самолета со 100-сильным мотором и мотором в 65 л.с. мы получим 65% экономии, в то же самое время у нас примерно на 40% сократится расход горючего. Требование на ангарную площадь убавится больше чем на 50%, кроме того, мы получим еще целый ряд эксплуатационных выгод».</w:t>
      </w:r>
    </w:p>
    <w:p w14:paraId="734DDB9F" w14:textId="77777777" w:rsidR="00CE35D9" w:rsidRPr="00C33834" w:rsidRDefault="00CE35D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М-23, однако, разделил судьбу многих опытных изделий и серию не пошел. По этой причине Г-10 длительное время не эксплуатировался и хранился в ангаре.</w:t>
      </w:r>
    </w:p>
    <w:p w14:paraId="0CEF4A9E" w14:textId="77777777" w:rsidR="00CE35D9" w:rsidRPr="00C33834" w:rsidRDefault="00CE35D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1935 г, известный летчик-спортсмен Центрального аэроклуба СССР Н.Д.Федосеев предложил включить самолет в намеченный на сентябрь года круговой перелет спортивных самолетов протяженностью 5500км. (Перелет этот неоднократно будет упоминаться в дальнейшем, в частности, в связи с самолетами Г-15 и Г-20. Поэтому уместно привести его полный маршрут: Москва - Горький - Казань - Сарапул -Пермь - Свердловск - Челябинск -Магнитогорск - Оренбург - Куйбышев - Саратов - Сталинград - Луганск - Сталино - Днепропетровск -Киев - Брянск - Москва).</w:t>
      </w:r>
    </w:p>
    <w:p w14:paraId="530E3995" w14:textId="77777777" w:rsidR="00CE35D9" w:rsidRPr="00C33834" w:rsidRDefault="00CE35D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осуществления своего предложения Федосеев нашел старенький двигатель «Вальтер» мощностью 65л.с, лично перебрал его и установил на самолет.</w:t>
      </w:r>
    </w:p>
    <w:p w14:paraId="63C3ED15" w14:textId="77777777" w:rsidR="00CE35D9" w:rsidRPr="00C33834" w:rsidRDefault="00CE35D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Перелет, как и планировалось, занял 7 дней. Г-10 шел вне конкурса, так как имел мотор меньшей мощности, чем остальные машины, оснащенные серийными М-11. Несмотря на это, Г-10 успешно прошел весь маршрут, практически наравне с другими участниками. Летчик Федосеев за проявленную инициативу и успешный перелет был награжден призом Наркомата обороны СССР - золотыми часами.</w:t>
      </w:r>
    </w:p>
    <w:p w14:paraId="6E6B244E" w14:textId="77777777" w:rsidR="00CE35D9" w:rsidRPr="00C33834" w:rsidRDefault="00CE35D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Отсутствие серийных отечественных моторов мощностью порядка 60 л.с. не позволило внедрить Г-10 в более широкую эксплуатацию, и все ограничилось постройкой единственного экземпляра.</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8"/>
      </w:tblGrid>
      <w:tr w:rsidR="00F26F01" w:rsidRPr="00C33834" w14:paraId="7D63F5FA"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F5CB0D6"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1F8B5D1"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r w:rsidRPr="00C33834">
              <w:rPr>
                <w:rFonts w:ascii="Times New Roman" w:hAnsi="Times New Roman"/>
                <w:color w:val="000000" w:themeColor="text1"/>
                <w:sz w:val="16"/>
                <w:szCs w:val="16"/>
                <w:lang w:val="uk-UA"/>
              </w:rPr>
              <w:t>Г-10</w:t>
            </w:r>
          </w:p>
        </w:tc>
      </w:tr>
      <w:tr w:rsidR="00F26F01" w:rsidRPr="00C33834" w14:paraId="45536450"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EE07CF7"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5270765"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8.40</w:t>
            </w:r>
          </w:p>
        </w:tc>
      </w:tr>
      <w:tr w:rsidR="00F26F01" w:rsidRPr="00C33834" w14:paraId="79ADE1F4"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B3C3ADD"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0AAF60B"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5.60</w:t>
            </w:r>
          </w:p>
        </w:tc>
      </w:tr>
      <w:tr w:rsidR="00F26F01" w:rsidRPr="00C33834" w14:paraId="20ABDBCE"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EC2454E"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DE977F6"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124FB229"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C1C3397"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0F42C2D"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11.00</w:t>
            </w:r>
          </w:p>
        </w:tc>
      </w:tr>
      <w:tr w:rsidR="00F26F01" w:rsidRPr="00C33834" w14:paraId="684DF1A4"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6729362"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48CCAD4"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2B5BBEB8"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13C1D7D"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пустого самолета</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A43F005"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330</w:t>
            </w:r>
          </w:p>
        </w:tc>
      </w:tr>
      <w:tr w:rsidR="00F26F01" w:rsidRPr="00C33834" w14:paraId="1875AE5B"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9B05695"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CF685BD"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505</w:t>
            </w:r>
          </w:p>
        </w:tc>
      </w:tr>
      <w:tr w:rsidR="00F26F01" w:rsidRPr="00C33834" w14:paraId="5FA75D58"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5AE94EC"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59426F5"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 ПД Walter</w:t>
            </w:r>
          </w:p>
        </w:tc>
      </w:tr>
      <w:tr w:rsidR="00F26F01" w:rsidRPr="00C33834" w14:paraId="009C91C5"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2B4D8BA"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EEB36A7"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 × 60</w:t>
            </w:r>
          </w:p>
        </w:tc>
      </w:tr>
      <w:tr w:rsidR="00F26F01" w:rsidRPr="00C33834" w14:paraId="48D3D3C0"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190D1AA"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C828D8"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170</w:t>
            </w:r>
          </w:p>
        </w:tc>
      </w:tr>
      <w:tr w:rsidR="00F26F01" w:rsidRPr="00C33834" w14:paraId="22EFA09A"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16F56ED"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7668456"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138</w:t>
            </w:r>
          </w:p>
        </w:tc>
      </w:tr>
      <w:tr w:rsidR="00F26F01" w:rsidRPr="00C33834" w14:paraId="0126AAA9"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DF0EC41"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Практическая дальность, км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EA45390"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700</w:t>
            </w:r>
          </w:p>
        </w:tc>
      </w:tr>
      <w:tr w:rsidR="00F26F01" w:rsidRPr="00C33834" w14:paraId="52B466CD"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36DC5E0"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54CE9DB"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4</w:t>
            </w:r>
          </w:p>
        </w:tc>
      </w:tr>
      <w:tr w:rsidR="00F26F01" w:rsidRPr="00C33834" w14:paraId="38B62A38"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D8A40E"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B1AA845"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200</w:t>
            </w:r>
          </w:p>
        </w:tc>
      </w:tr>
      <w:tr w:rsidR="00F26F01" w:rsidRPr="00C33834" w14:paraId="0EFC3064"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F7E874D"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4197075"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5200</w:t>
            </w:r>
          </w:p>
        </w:tc>
      </w:tr>
      <w:tr w:rsidR="00F26F01" w:rsidRPr="00C33834" w14:paraId="787FF8C6"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D937C7"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73DCA1F"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2</w:t>
            </w:r>
          </w:p>
        </w:tc>
      </w:tr>
    </w:tbl>
    <w:p w14:paraId="6077CB40" w14:textId="77777777" w:rsidR="00CE35D9" w:rsidRPr="00C33834" w:rsidRDefault="00CE35D9" w:rsidP="00C33834">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(12682).</w:t>
      </w:r>
    </w:p>
    <w:p w14:paraId="6EBD31E3" w14:textId="77777777" w:rsidR="00CE35D9" w:rsidRPr="00C33834" w:rsidRDefault="00CE35D9" w:rsidP="00C33834">
      <w:pPr>
        <w:shd w:val="clear" w:color="auto" w:fill="FFFFFF"/>
        <w:spacing w:after="0" w:line="240" w:lineRule="auto"/>
        <w:jc w:val="both"/>
        <w:rPr>
          <w:rFonts w:ascii="Times New Roman" w:hAnsi="Times New Roman"/>
          <w:color w:val="000000" w:themeColor="text1"/>
          <w:sz w:val="16"/>
          <w:szCs w:val="16"/>
        </w:rPr>
      </w:pPr>
    </w:p>
    <w:p w14:paraId="6B2FB0E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было закончено проектирование МК-1 (2287,52).</w:t>
      </w:r>
    </w:p>
    <w:p w14:paraId="1FA33776"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539368B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техническая документация по МБР-2 была передана на завод №31 По сравнению с опытным образцом "четвертака", в конструкцию серийных машин внесли некоторые изменения. Роговую компенсацию руля поворота заменили на осевую, установили на нём флеттнер, на центроплане сделали узлы для подъёма самолёта из воды краном. Оборонительное стрелковое вооружение состояло из двух спаренных пулемётов ДА-2 калибра 7,62 мм на турелях Тур-6. На шести наружных бомбодержателях самолёт мог нести бомбы общим весом до 500 кг, а также химические выливные приборы ВАП-5 и дымовые ДАП-100. На машине устанавливалась радиостанция 13-СК.</w:t>
      </w:r>
    </w:p>
    <w:p w14:paraId="5925B6F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Доработанный таким образом опытный образец (с двигателем BMW VI) с 10 января по 9 февраля 1934 г. прошёл государственные испытания в Севастополе на базе отдельного морского отряда (ОМО) НИИ ВВС (12003).</w:t>
      </w:r>
    </w:p>
    <w:p w14:paraId="16E9AE5A"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701BDAD1" w14:textId="77777777" w:rsidR="00CA3C9F" w:rsidRPr="00C33834" w:rsidRDefault="00CA3C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 октябре 1933 г. завод № 31 приступил к освоению серийного производства летающих лодок МБР-2, став</w:t>
      </w:r>
      <w:r w:rsidRPr="00C33834">
        <w:rPr>
          <w:rFonts w:ascii="Times New Roman" w:hAnsi="Times New Roman"/>
          <w:color w:val="0070C0"/>
          <w:sz w:val="16"/>
          <w:szCs w:val="16"/>
          <w:lang w:eastAsia="ru-RU" w:bidi="ru-RU"/>
        </w:rPr>
        <w:softHyphen/>
        <w:t>ших этапным самолетом для завода, поэтому в начале 1934 г. строительство МБР-4 было прекращено. Всего в Та</w:t>
      </w:r>
      <w:r w:rsidRPr="00C33834">
        <w:rPr>
          <w:rFonts w:ascii="Times New Roman" w:hAnsi="Times New Roman"/>
          <w:color w:val="0070C0"/>
          <w:sz w:val="16"/>
          <w:szCs w:val="16"/>
          <w:lang w:eastAsia="ru-RU" w:bidi="ru-RU"/>
        </w:rPr>
        <w:softHyphen/>
        <w:t>ганроге построили 51 машину. В ходе серийного производства в МБР-4 вносились не</w:t>
      </w:r>
      <w:r w:rsidRPr="00C33834">
        <w:rPr>
          <w:rFonts w:ascii="Times New Roman" w:hAnsi="Times New Roman"/>
          <w:color w:val="0070C0"/>
          <w:sz w:val="16"/>
          <w:szCs w:val="16"/>
          <w:lang w:eastAsia="ru-RU" w:bidi="ru-RU"/>
        </w:rPr>
        <w:softHyphen/>
        <w:t>большие изменения. На первых десяти лодках стояли тя</w:t>
      </w:r>
      <w:r w:rsidRPr="00C33834">
        <w:rPr>
          <w:rFonts w:ascii="Times New Roman" w:hAnsi="Times New Roman"/>
          <w:color w:val="0070C0"/>
          <w:sz w:val="16"/>
          <w:szCs w:val="16"/>
          <w:lang w:eastAsia="ru-RU" w:bidi="ru-RU"/>
        </w:rPr>
        <w:softHyphen/>
        <w:t>желые аккумуляторы 6АТ5, затем их сменили 6АТ3. С 21-го самолета вместо бензинового насоса «Альвеер» внедрили отечественную помпу Агеева и изменили конст</w:t>
      </w:r>
      <w:r w:rsidRPr="00C33834">
        <w:rPr>
          <w:rFonts w:ascii="Times New Roman" w:hAnsi="Times New Roman"/>
          <w:color w:val="0070C0"/>
          <w:sz w:val="16"/>
          <w:szCs w:val="16"/>
          <w:lang w:eastAsia="ru-RU" w:bidi="ru-RU"/>
        </w:rPr>
        <w:softHyphen/>
        <w:t>рукцию нервюр — в средней части цельное ребро замени</w:t>
      </w:r>
      <w:r w:rsidRPr="00C33834">
        <w:rPr>
          <w:rFonts w:ascii="Times New Roman" w:hAnsi="Times New Roman"/>
          <w:color w:val="0070C0"/>
          <w:sz w:val="16"/>
          <w:szCs w:val="16"/>
          <w:lang w:eastAsia="ru-RU" w:bidi="ru-RU"/>
        </w:rPr>
        <w:softHyphen/>
        <w:t>ли фермой. С 25-й машины (ОЕ-99) стали ставить так на</w:t>
      </w:r>
      <w:r w:rsidRPr="00C33834">
        <w:rPr>
          <w:rFonts w:ascii="Times New Roman" w:hAnsi="Times New Roman"/>
          <w:color w:val="0070C0"/>
          <w:sz w:val="16"/>
          <w:szCs w:val="16"/>
          <w:lang w:eastAsia="ru-RU" w:bidi="ru-RU"/>
        </w:rPr>
        <w:softHyphen/>
        <w:t>зываемые факелы Хольта — посадочные ракеты, крепив</w:t>
      </w:r>
      <w:r w:rsidRPr="00C33834">
        <w:rPr>
          <w:rFonts w:ascii="Times New Roman" w:hAnsi="Times New Roman"/>
          <w:color w:val="0070C0"/>
          <w:sz w:val="16"/>
          <w:szCs w:val="16"/>
          <w:lang w:eastAsia="ru-RU" w:bidi="ru-RU"/>
        </w:rPr>
        <w:softHyphen/>
        <w:t>шиеся в специальных гнездах крыла (в дополнение к фаре), с 26-й механический бомбосбрасыватель Сбр-9 уступил место электрическому СР-ЦАГИ (20325).</w:t>
      </w:r>
    </w:p>
    <w:p w14:paraId="77A68207" w14:textId="77777777" w:rsidR="00CA3C9F" w:rsidRPr="00C33834" w:rsidRDefault="00CA3C9F" w:rsidP="00C33834">
      <w:pPr>
        <w:spacing w:after="0" w:line="240" w:lineRule="auto"/>
        <w:jc w:val="both"/>
        <w:rPr>
          <w:rFonts w:ascii="Times New Roman" w:hAnsi="Times New Roman"/>
          <w:color w:val="0070C0"/>
          <w:sz w:val="16"/>
          <w:szCs w:val="16"/>
          <w:lang w:eastAsia="ru-RU" w:bidi="ru-RU"/>
        </w:rPr>
      </w:pPr>
    </w:p>
    <w:p w14:paraId="1DD26D2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завод №31 приступает к освоению серийного производства летающих лодок МБР-2. По 1933 гг. с 1928 производственные площади предприятия выросли с 14 тысяч до 42 тысяч м и практически полностью были обновлены производственные мощности завода (12044).</w:t>
      </w:r>
    </w:p>
    <w:p w14:paraId="2CB1CBA1"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3BDDB94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в ГУАП было рассмотрено предложение С.В.И. о скоростном &lt;дальнем&gt; бомбардировщике и принято решение о постройке опытного образца &lt;скорее двух&gt; (3646,5).</w:t>
      </w:r>
    </w:p>
    <w:p w14:paraId="4418BD51"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0423A9F1"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когда переговоры еще шли, ГУАП НКТП уже приняло ре</w:t>
      </w:r>
      <w:r w:rsidRPr="00C33834">
        <w:rPr>
          <w:rFonts w:ascii="Times New Roman" w:hAnsi="Times New Roman"/>
          <w:color w:val="000000" w:themeColor="text1"/>
          <w:sz w:val="16"/>
          <w:szCs w:val="16"/>
        </w:rPr>
        <w:softHyphen/>
        <w:t>шение о проектировании под француз</w:t>
      </w:r>
      <w:r w:rsidRPr="00C33834">
        <w:rPr>
          <w:rFonts w:ascii="Times New Roman" w:hAnsi="Times New Roman"/>
          <w:color w:val="000000" w:themeColor="text1"/>
          <w:sz w:val="16"/>
          <w:szCs w:val="16"/>
        </w:rPr>
        <w:softHyphen/>
        <w:t>ские двигатели новых самолетов. В 1934 г. началась приемка во Франции технической документации и двигате</w:t>
      </w:r>
      <w:r w:rsidRPr="00C33834">
        <w:rPr>
          <w:rFonts w:ascii="Times New Roman" w:hAnsi="Times New Roman"/>
          <w:color w:val="000000" w:themeColor="text1"/>
          <w:sz w:val="16"/>
          <w:szCs w:val="16"/>
        </w:rPr>
        <w:softHyphen/>
        <w:t>лей-образцов. Руководил ею А.В. Ка-ширин. В частности, в марте в Москву доставили мотор типа 14Kdsr. Уже в ап</w:t>
      </w:r>
      <w:r w:rsidRPr="00C33834">
        <w:rPr>
          <w:rFonts w:ascii="Times New Roman" w:hAnsi="Times New Roman"/>
          <w:color w:val="000000" w:themeColor="text1"/>
          <w:sz w:val="16"/>
          <w:szCs w:val="16"/>
        </w:rPr>
        <w:softHyphen/>
        <w:t>реле он прошел 100-часовые стендовые испытания в ЦИАМ (10734,3).</w:t>
      </w:r>
    </w:p>
    <w:p w14:paraId="673B2A09"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p>
    <w:p w14:paraId="63C890E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когда переговоры еще шли, ГУАП НКТП уже приняло решение о проектировании под французские двигатели новых самолетов. В 1934 г. началась приемка во Франции технической документации и двигателей-образцов. Руководил ей А. В. Каширин. В частности, в марте в Москву доставили мотор типа 14Kdrs, в апреле прошедший 100-часовые стендовые испытания в ЦИАМ.</w:t>
      </w:r>
    </w:p>
    <w:p w14:paraId="206BF4D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Освоение производства "Гном-Ронов", как и следовало ожидать, поручили заводу №29 в Запорожье. Пока там готовились строить новые моторы, самолетостроители уже проектировали под них самолеты. 14-цилиндровая двухрядная звезда воздушного охлаждения отличалась компактностью, малым весом и экономичностью на крейсерском режиме. Такие моторы могли существенно улучшить показатели проектируемого бомбардировщика, особенно в отношении радиуса действия, и Ильюшин решил их использовать (12021).</w:t>
      </w:r>
    </w:p>
    <w:p w14:paraId="689DA14B"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0241A061"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ГУАП одобрило идею С.В.И и самолет ЛБ-2 решили сделать альтернативой туполевскому СБ. В документах ВВС машина именовалась ББ-2 или иногда СБ-39 ("скоростной бомбардировщик завода №39”). По заданию самолет имел двойное назначение - ближний бомбардировщик и пассажирский. Последний определялся как “магистральный для ночных линий” и должен был отличаться моторами. Вместо “Гном-Ронов” на нем хотели ставить "Райт-Циклон" (у нас именовавшийся М-25). Срок выхода бомбардировщика на государственные испытания установили в мае 1935 г. (впоследствии его сдвинули на 1 ноября). Группа Ильюшина начала перерабатывать документацию под французские моторы. В результате возник проект ЦКБ-26, уже имевший многие основные черты будущего ДБ-3. Главный упор делался на скорость полета. Крыло получило сравнительно небольшое удлинение (около 7), но со значительной нагрузкой - до 140 кг'м2. Для него выбрали тонкий (по тому времени) двояковыпуклый профиль Кларк Y-15. Такой подход обеспечивал бомбардировщику небольшое аэродинамическое сопротивление и тем самым способствовал получению высоких скоростных характеристик. В тоже время такое крыло ухудшало взлетно-посадочные качества. Это решили парировать щитками типа Цап. Многие другие конструктивные решения также были продиктованы стремлением до предела уменьшить аэродинамическое сопротивление: гладкая обшивка, узкий фюзеляж, развитые зализы на стыке фюзеляжа и крыла, убирающееся шасси. В итоге получился компактный, изящный и прочный самолет. Конструкция его была смешанной. ЦКБ-26 имел деревянные фюзеляж и киль при металлическом крыле и горизонтальном оперении (6474).</w:t>
      </w:r>
    </w:p>
    <w:p w14:paraId="2AB24C75" w14:textId="77777777" w:rsidR="001E1317" w:rsidRPr="00C33834" w:rsidRDefault="001E1317" w:rsidP="00C33834">
      <w:pPr>
        <w:tabs>
          <w:tab w:val="left" w:pos="11199"/>
        </w:tabs>
        <w:spacing w:after="0" w:line="240" w:lineRule="auto"/>
        <w:jc w:val="both"/>
        <w:rPr>
          <w:rFonts w:ascii="Times New Roman" w:hAnsi="Times New Roman"/>
          <w:color w:val="000000" w:themeColor="text1"/>
          <w:sz w:val="16"/>
          <w:szCs w:val="16"/>
        </w:rPr>
      </w:pPr>
    </w:p>
    <w:p w14:paraId="152BE63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началась подготовка производства КАИ-1. Прототип решено было строить на базе завода № 124 и в КАИ, что и зафиксировал приказ начальника Авиастроя об учреждении ОКБ для опытного самолетостроения. 15 октября стал днем официального начала работ, в ноябре приступили к строительству самолета. Зимой проводились статические испытания, а с февраля по апрель уже шла сборка машины. 30 апреля 1934 г. КАИ-1 был закончен и 1 мая осуществлен первый полет. Летные испытания закончились 18 августа. Есть информация, что поднимал первую машину начальник авиаотряда КАИ летчик Николаев А.Д. (12049).</w:t>
      </w:r>
    </w:p>
    <w:p w14:paraId="502BC849"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3AAF7F79"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года М-34 проходил государственные летные испытания на бомбардировщике ТБ-3. В 1932 г. начали серийный выпуск нового двигателя на заводе № 24 (Москва), к концу года ВВС получили 64 мотора 2-й серии, признанной годной для опытной эксплуатации. За следующий, 1933 г., выпущено было уже 790 экз. В 1934 г. М-34 демонстрировался в Париже как одно из достижений советской авиации. М-34 выпускался на заводе № 24 в большом количестве модификаций. Авиационные моторы закончили вы</w:t>
      </w:r>
      <w:r w:rsidRPr="00C33834">
        <w:rPr>
          <w:rFonts w:ascii="Times New Roman" w:hAnsi="Times New Roman"/>
          <w:color w:val="000000" w:themeColor="text1"/>
          <w:sz w:val="16"/>
          <w:szCs w:val="16"/>
        </w:rPr>
        <w:softHyphen/>
        <w:t>пускать в 1940 г., далее в небольших количествах делали катерные до конца 1942 г. Производство двигателей для торпедных катеров неодно</w:t>
      </w:r>
      <w:r w:rsidRPr="00C33834">
        <w:rPr>
          <w:rFonts w:ascii="Times New Roman" w:hAnsi="Times New Roman"/>
          <w:color w:val="000000" w:themeColor="text1"/>
          <w:sz w:val="16"/>
          <w:szCs w:val="16"/>
        </w:rPr>
        <w:softHyphen/>
        <w:t>кратно пытались восстановить вплоть до 1946 г., но этому мешала боль</w:t>
      </w:r>
      <w:r w:rsidRPr="00C33834">
        <w:rPr>
          <w:rFonts w:ascii="Times New Roman" w:hAnsi="Times New Roman"/>
          <w:color w:val="000000" w:themeColor="text1"/>
          <w:sz w:val="16"/>
          <w:szCs w:val="16"/>
        </w:rPr>
        <w:softHyphen/>
        <w:t>шая загрузка заводов заказами ВВС. Всего было изготовлено 10 538 экз. Позднее различными мастерскими производилась сборка двигателей из комплектов запасных частей и восстановленных деталей. С 9 августа 1936 г. в ознаменование заслуг Микулина двигатель был переименован в АМ-34. Однако на практике и далее пользовались как старым, так и новым обозначением. Специальные модификации двигателя М-34 применялись на танках, са</w:t>
      </w:r>
      <w:r w:rsidRPr="00C33834">
        <w:rPr>
          <w:rFonts w:ascii="Times New Roman" w:hAnsi="Times New Roman"/>
          <w:color w:val="000000" w:themeColor="text1"/>
          <w:sz w:val="16"/>
          <w:szCs w:val="16"/>
        </w:rPr>
        <w:softHyphen/>
        <w:t>моходных артиллерийских установках, торпедных катерах и речных броне</w:t>
      </w:r>
      <w:r w:rsidRPr="00C33834">
        <w:rPr>
          <w:rFonts w:ascii="Times New Roman" w:hAnsi="Times New Roman"/>
          <w:color w:val="000000" w:themeColor="text1"/>
          <w:sz w:val="16"/>
          <w:szCs w:val="16"/>
        </w:rPr>
        <w:softHyphen/>
        <w:t>катерах.</w:t>
      </w:r>
    </w:p>
    <w:p w14:paraId="79BA0E75"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Характеристики:</w:t>
      </w:r>
    </w:p>
    <w:p w14:paraId="71C9A5F9"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12-цилиндровый, рядный У-образный, четырехтактный, водяного охлаждения;</w:t>
      </w:r>
    </w:p>
    <w:p w14:paraId="5FF12AE1"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мощность и вес в зависимости от модификации;</w:t>
      </w:r>
    </w:p>
    <w:p w14:paraId="4206E975"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степень сжатия 6,0 (у всех массовых модификаций);</w:t>
      </w:r>
    </w:p>
    <w:p w14:paraId="1E3700AD"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диаметр цилиндра/ход поршня 160/190 (у модификации ФРН и более поздних в цилиндрах с прицепными шатунами — 196,7 мм);</w:t>
      </w:r>
    </w:p>
    <w:p w14:paraId="3F21B827"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полный рабочий объем у ранних модификаций 45,82 л, начиная с</w:t>
      </w:r>
    </w:p>
    <w:p w14:paraId="0BA278B4"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ФРН — 46,66 л. М-34 выпускался в следующих модификациях:</w:t>
      </w:r>
    </w:p>
    <w:p w14:paraId="72FD3E45"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М-34, первая серийная модификация двигателя, безредукторная, 750/800 л.с., 608 кг. Первые серии комплектовались импортными карбюраторами «Зенит 90Р», далее отечественными К-34. Эта моди</w:t>
      </w:r>
      <w:r w:rsidRPr="00C33834">
        <w:rPr>
          <w:rFonts w:ascii="Times New Roman" w:hAnsi="Times New Roman"/>
          <w:color w:val="000000" w:themeColor="text1"/>
          <w:sz w:val="16"/>
          <w:szCs w:val="16"/>
        </w:rPr>
        <w:softHyphen/>
        <w:t>фикация выпускалась до конца 1939 г.</w:t>
      </w:r>
    </w:p>
    <w:p w14:paraId="784AD5B3"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Спаренная установка из двух М-34 с работой на один винт, проект для самолета К-7.</w:t>
      </w:r>
    </w:p>
    <w:p w14:paraId="69F51EF3"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М-34Ф, малая серия М-34 с форсированием по оборотам без вне</w:t>
      </w:r>
      <w:r w:rsidRPr="00C33834">
        <w:rPr>
          <w:rFonts w:ascii="Times New Roman" w:hAnsi="Times New Roman"/>
          <w:color w:val="000000" w:themeColor="text1"/>
          <w:sz w:val="16"/>
          <w:szCs w:val="16"/>
        </w:rPr>
        <w:softHyphen/>
        <w:t>сения конструктивных изменений, только за счет регулировки, июнь 1933 г., 750/830 л.с.</w:t>
      </w:r>
    </w:p>
    <w:p w14:paraId="7BB131E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М-34Р. редукторный вариант, вес 677 кг, 750/800 л.с. Опытный об</w:t>
      </w:r>
      <w:r w:rsidRPr="00C33834">
        <w:rPr>
          <w:rFonts w:ascii="Times New Roman" w:hAnsi="Times New Roman"/>
          <w:color w:val="000000" w:themeColor="text1"/>
          <w:sz w:val="16"/>
          <w:szCs w:val="16"/>
        </w:rPr>
        <w:softHyphen/>
        <w:t>разец сделали в ноябре 1932 г. Государственные испытания успешно</w:t>
      </w:r>
    </w:p>
    <w:p w14:paraId="57D4851F"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прошли в марте — мае 1933 г., серийный выпуск начали с конца того же года. 23 мая 1934 г. на повторных стендовых испытаниях получен ресурс в 500 ч. М-34Р в больших количествах выпускался до конца 1939 г.</w:t>
      </w:r>
    </w:p>
    <w:p w14:paraId="0F03C93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М-34РД (он же М-34РСп), двигатель типа М-34Р специального за</w:t>
      </w:r>
      <w:r w:rsidRPr="00C33834">
        <w:rPr>
          <w:rFonts w:ascii="Times New Roman" w:hAnsi="Times New Roman"/>
          <w:color w:val="000000" w:themeColor="text1"/>
          <w:sz w:val="16"/>
          <w:szCs w:val="16"/>
        </w:rPr>
        <w:softHyphen/>
        <w:t>каза для рекордных самолетов АНТ-25 (РД), выпущенный в 1934 г. Сделали 20 комплектов деталей, из которых собрали 15 моторов, а сдали 10. Они отличались новыми всасывающими патрубками, мас</w:t>
      </w:r>
      <w:r w:rsidRPr="00C33834">
        <w:rPr>
          <w:rFonts w:ascii="Times New Roman" w:hAnsi="Times New Roman"/>
          <w:color w:val="000000" w:themeColor="text1"/>
          <w:sz w:val="16"/>
          <w:szCs w:val="16"/>
        </w:rPr>
        <w:softHyphen/>
        <w:t>ляными и водяными насосами, распредвалами, конструкцией хво</w:t>
      </w:r>
      <w:r w:rsidRPr="00C33834">
        <w:rPr>
          <w:rFonts w:ascii="Times New Roman" w:hAnsi="Times New Roman"/>
          <w:color w:val="000000" w:themeColor="text1"/>
          <w:sz w:val="16"/>
          <w:szCs w:val="16"/>
        </w:rPr>
        <w:softHyphen/>
        <w:t>стовика коленвала, наличием второго бензонасоса, а также более качественным изготовлением деталей (по другой технологии), мень</w:t>
      </w:r>
      <w:r w:rsidRPr="00C33834">
        <w:rPr>
          <w:rFonts w:ascii="Times New Roman" w:hAnsi="Times New Roman"/>
          <w:color w:val="000000" w:themeColor="text1"/>
          <w:sz w:val="16"/>
          <w:szCs w:val="16"/>
        </w:rPr>
        <w:softHyphen/>
        <w:t>шими допусками, применением для уплотнений высококачественной резины, тщательной регулировкой и карбюраторами К-34РД. За счет небольшого форсирования по оборотам максимальную мощность по</w:t>
      </w:r>
      <w:r w:rsidRPr="00C33834">
        <w:rPr>
          <w:rFonts w:ascii="Times New Roman" w:hAnsi="Times New Roman"/>
          <w:color w:val="000000" w:themeColor="text1"/>
          <w:sz w:val="16"/>
          <w:szCs w:val="16"/>
        </w:rPr>
        <w:softHyphen/>
        <w:t>высили до 830 л.с. Делались два варианта: со степенями сжатия 6,0 и 6,7. Первоначально для большей надежности их хотели укомплек</w:t>
      </w:r>
      <w:r w:rsidRPr="00C33834">
        <w:rPr>
          <w:rFonts w:ascii="Times New Roman" w:hAnsi="Times New Roman"/>
          <w:color w:val="000000" w:themeColor="text1"/>
          <w:sz w:val="16"/>
          <w:szCs w:val="16"/>
        </w:rPr>
        <w:softHyphen/>
        <w:t>товать импортными агрегатами, но получили запрет ГУАП. Позднее выпустили еще около 50 таких моторов для «представительских» ТБ-3, на которых наносились визиты в столицы европейских госу</w:t>
      </w:r>
      <w:r w:rsidRPr="00C33834">
        <w:rPr>
          <w:rFonts w:ascii="Times New Roman" w:hAnsi="Times New Roman"/>
          <w:color w:val="000000" w:themeColor="text1"/>
          <w:sz w:val="16"/>
          <w:szCs w:val="16"/>
        </w:rPr>
        <w:softHyphen/>
        <w:t>дарств.</w:t>
      </w:r>
    </w:p>
    <w:p w14:paraId="1F4AD304"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М-34Н, безредукторный с ПЦН, проектировался с 1931 г., 750/820 л.с. Первоначально планировали, что мотор пройдет госиспытания к 15 июня 1932 г. Но первый, двухскоростной, нагнетатель, спроекти</w:t>
      </w:r>
      <w:r w:rsidRPr="00C33834">
        <w:rPr>
          <w:rFonts w:ascii="Times New Roman" w:hAnsi="Times New Roman"/>
          <w:color w:val="000000" w:themeColor="text1"/>
          <w:sz w:val="16"/>
          <w:szCs w:val="16"/>
        </w:rPr>
        <w:softHyphen/>
        <w:t>рованный П.И. Орловым, А.А. Микулиным и А.Н. Данилевским, ока</w:t>
      </w:r>
      <w:r w:rsidRPr="00C33834">
        <w:rPr>
          <w:rFonts w:ascii="Times New Roman" w:hAnsi="Times New Roman"/>
          <w:color w:val="000000" w:themeColor="text1"/>
          <w:sz w:val="16"/>
          <w:szCs w:val="16"/>
        </w:rPr>
        <w:softHyphen/>
        <w:t>зался недостаточно надежным. Второй вариант ПЦН, односкоростной, создал Данилевский в ЦИАМ. Государственные испытания на двух опытных экземплярах провели в ноябре 1933 г., серия с сентября 1934 г. Нагнетатель выполнялся в виде отдельного съемного узла и мог монтироваться на моторы других модификаций. Введен карбю</w:t>
      </w:r>
      <w:r w:rsidRPr="00C33834">
        <w:rPr>
          <w:rFonts w:ascii="Times New Roman" w:hAnsi="Times New Roman"/>
          <w:color w:val="000000" w:themeColor="text1"/>
          <w:sz w:val="16"/>
          <w:szCs w:val="16"/>
        </w:rPr>
        <w:softHyphen/>
        <w:t>ратор К-34Б, устанавливавшийся впоследствии на все модификации с ПЦН. Проектировался облегченный вариант (560 кг) с картером из магниевого сплава. В дальнейшем ПЦН хотели сделать отключаемым. В 1934 г. вели переговоры с французскими фирмами «Испано-Сюиза» и «Фарман» о проектировании нового ПЦН для М-34Н. Пытались также приобрести нагнетатели «Рато» (М-34РАТО).</w:t>
      </w:r>
    </w:p>
    <w:p w14:paraId="148E155A"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М-34Н с паротурбинным нагнетателем ПТК; нагнетатель ПТК спро</w:t>
      </w:r>
      <w:r w:rsidRPr="00C33834">
        <w:rPr>
          <w:rFonts w:ascii="Times New Roman" w:hAnsi="Times New Roman"/>
          <w:color w:val="000000" w:themeColor="text1"/>
          <w:sz w:val="16"/>
          <w:szCs w:val="16"/>
        </w:rPr>
        <w:softHyphen/>
        <w:t>ектирован в ХАЙ в 1938 г., доводился в Центральном котлотурбин-ном институте с 1939 г., в 1940 г. двигатель проходил стендовые и летные испытания; серийно не выпускался.</w:t>
      </w:r>
    </w:p>
    <w:p w14:paraId="29D5C975"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М-34Н с нагнетателем</w:t>
      </w:r>
    </w:p>
    <w:p w14:paraId="099E43FB"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М-34РН, редукторный с ПЦН, малая серия, 750/820 л.с., вес 737,5 кг. По плану предполагалось представить опытный образец на госиспытания к 1 декабря 1932 г. Фактически же первый М-34РН начал заводские ис</w:t>
      </w:r>
      <w:r w:rsidRPr="00C33834">
        <w:rPr>
          <w:rFonts w:ascii="Times New Roman" w:hAnsi="Times New Roman"/>
          <w:color w:val="000000" w:themeColor="text1"/>
          <w:sz w:val="16"/>
          <w:szCs w:val="16"/>
        </w:rPr>
        <w:softHyphen/>
        <w:t>пытания 1 мая 1934 г. Его усовершенствованный вариант предъявили на госиспытания в сентябре, но они закончились неудачно — прогорели поршни. Нагнетатель идентичен использовавшемуся в М-34Н. М-34НА, усовершенствованный вариант М-34Н; мелкие изменения отдельных деталей для увеличения ресурса; 750/820 л.с. М-34РА, аналогичный предыдущей модификации вариант М-34Р с редуктором; 750/820 л.с.</w:t>
      </w:r>
    </w:p>
    <w:p w14:paraId="17A2A9A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М-34РНА, редукторный с ПЦН, включал все мелкие усовер</w:t>
      </w:r>
      <w:r w:rsidRPr="00C33834">
        <w:rPr>
          <w:rFonts w:ascii="Times New Roman" w:hAnsi="Times New Roman"/>
          <w:color w:val="000000" w:themeColor="text1"/>
          <w:sz w:val="16"/>
          <w:szCs w:val="16"/>
        </w:rPr>
        <w:softHyphen/>
        <w:t>шенствования, введенные на типах НА и РА, 750/820 л.с., вес 748 кг. Испытывался на ТБ-3 в мае 1935 г., серия с конца 1935 г. У ранних серий М-34РНА клапаны имели масляное охлаждение.</w:t>
      </w:r>
    </w:p>
    <w:p w14:paraId="56546C93"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М-34НБ, усовершенствованный вариант типа НА с ужесточенным картером, облегченным коленвалом с измененным носком, дорабо</w:t>
      </w:r>
      <w:r w:rsidRPr="00C33834">
        <w:rPr>
          <w:rFonts w:ascii="Times New Roman" w:hAnsi="Times New Roman"/>
          <w:color w:val="000000" w:themeColor="text1"/>
          <w:sz w:val="16"/>
          <w:szCs w:val="16"/>
        </w:rPr>
        <w:softHyphen/>
        <w:t>танным ПЦН, 750/820 л.с., вес 638 кг.</w:t>
      </w:r>
    </w:p>
    <w:p w14:paraId="7FD6209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М-34Н2Б с двумя турбонагнетателями ТК-1 и ПЦН от серийного М-34РН. Новые кованые поршни, четыре карбюратора К-4. Степень сжатия 7,0, мощность по документации 760/950 л.с. (реально полу</w:t>
      </w:r>
      <w:r w:rsidRPr="00C33834">
        <w:rPr>
          <w:rFonts w:ascii="Times New Roman" w:hAnsi="Times New Roman"/>
          <w:color w:val="000000" w:themeColor="text1"/>
          <w:sz w:val="16"/>
          <w:szCs w:val="16"/>
        </w:rPr>
        <w:softHyphen/>
        <w:t>чили 789/1033 л.с.), вес сухой без генератора 689 кг. Испытывался в июле — сентябре 1938 г. на опытном самолете РШ; испытания пре</w:t>
      </w:r>
      <w:r w:rsidRPr="00C33834">
        <w:rPr>
          <w:rFonts w:ascii="Times New Roman" w:hAnsi="Times New Roman"/>
          <w:color w:val="000000" w:themeColor="text1"/>
          <w:sz w:val="16"/>
          <w:szCs w:val="16"/>
        </w:rPr>
        <w:softHyphen/>
        <w:t>кращены из-за неоднократного обрыва лопаток турбины. М-34РНБ, аналогичный типу НБ редукторный вариант с облегченным по сравнению с РНА редуктором, 750/820 л.с., вес 725 кг. Существовал также его опытный вариант с двумя турбонагнетателя</w:t>
      </w:r>
      <w:r w:rsidRPr="00C33834">
        <w:rPr>
          <w:rFonts w:ascii="Times New Roman" w:hAnsi="Times New Roman"/>
          <w:color w:val="000000" w:themeColor="text1"/>
          <w:sz w:val="16"/>
          <w:szCs w:val="16"/>
        </w:rPr>
        <w:softHyphen/>
        <w:t>ми ТК-1, спроектированный В.И. Дмитриевским. М-34РНБ серийно выпускался с октября 1935 г. до конца 1939 г. В ноябре 1939 г. ис</w:t>
      </w:r>
      <w:r w:rsidRPr="00C33834">
        <w:rPr>
          <w:rFonts w:ascii="Times New Roman" w:hAnsi="Times New Roman"/>
          <w:color w:val="000000" w:themeColor="text1"/>
          <w:sz w:val="16"/>
          <w:szCs w:val="16"/>
        </w:rPr>
        <w:softHyphen/>
        <w:t>пытывался вариант этого мотора, форсированный до 900/1000 л.с. М-34П, вариант М-34РН с установкой пушки в развале цилиндров со стрельбой через полый вал редуктора. Задание было выдано в августе 1934 г. Информации о постройке опытных образцов нет. Установка из двух М-34, из которых один работал на винт, а вто</w:t>
      </w:r>
      <w:r w:rsidRPr="00C33834">
        <w:rPr>
          <w:rFonts w:ascii="Times New Roman" w:hAnsi="Times New Roman"/>
          <w:color w:val="000000" w:themeColor="text1"/>
          <w:sz w:val="16"/>
          <w:szCs w:val="16"/>
        </w:rPr>
        <w:softHyphen/>
        <w:t>рой вращал мощный нагнетатель. Проектировалась в марте 1934 г. в Военно-воздушной академии для стратосферного самолета. М-34, работавший на топливе с добавкой газообразного водорода, ис</w:t>
      </w:r>
      <w:r w:rsidRPr="00C33834">
        <w:rPr>
          <w:rFonts w:ascii="Times New Roman" w:hAnsi="Times New Roman"/>
          <w:color w:val="000000" w:themeColor="text1"/>
          <w:sz w:val="16"/>
          <w:szCs w:val="16"/>
        </w:rPr>
        <w:softHyphen/>
        <w:t>пытывался в ЦИАМ во второй половине 30-х годов. М-34СО, опытный образец, испытывавшийся в марте 1936 г. со сме</w:t>
      </w:r>
      <w:r w:rsidRPr="00C33834">
        <w:rPr>
          <w:rFonts w:ascii="Times New Roman" w:hAnsi="Times New Roman"/>
          <w:color w:val="000000" w:themeColor="text1"/>
          <w:sz w:val="16"/>
          <w:szCs w:val="16"/>
        </w:rPr>
        <w:softHyphen/>
        <w:t>шанным охлаждением: гильзы — воздухом, головки — этиленглико-лем. На испытаниях получена мощность 1050 л.с. М-34РСО, проект 1937 г., развитие преды</w:t>
      </w:r>
      <w:r w:rsidRPr="00C33834">
        <w:rPr>
          <w:rFonts w:ascii="Times New Roman" w:hAnsi="Times New Roman"/>
          <w:color w:val="000000" w:themeColor="text1"/>
          <w:sz w:val="16"/>
          <w:szCs w:val="16"/>
        </w:rPr>
        <w:softHyphen/>
        <w:t>дущего типа с редуктором, 1050/1200 л.с. М-34НВ, опытный, с непосредственным впрыском топлива, 985 л.с. Система впры</w:t>
      </w:r>
      <w:r w:rsidRPr="00C33834">
        <w:rPr>
          <w:rFonts w:ascii="Times New Roman" w:hAnsi="Times New Roman"/>
          <w:color w:val="000000" w:themeColor="text1"/>
          <w:sz w:val="16"/>
          <w:szCs w:val="16"/>
        </w:rPr>
        <w:softHyphen/>
        <w:t>ска создана С.А. Косбергом и Н.П. Сер-дюковым в ЦИАМ в 1934 г. Двигатель прошел 60-часовые стендовые испытания в 1935 г. и летные испытания на Р-Зет и ТБ-3 в 1937 г. Серийно не выпускался. М-34РНВ, опытный образец, аналогичен предыдущему типу, но оснащался пони</w:t>
      </w:r>
      <w:r w:rsidRPr="00C33834">
        <w:rPr>
          <w:rFonts w:ascii="Times New Roman" w:hAnsi="Times New Roman"/>
          <w:color w:val="000000" w:themeColor="text1"/>
          <w:sz w:val="16"/>
          <w:szCs w:val="16"/>
        </w:rPr>
        <w:softHyphen/>
        <w:t>жающим редуктором. М-34РНВ-ТК (он же М-34НРВ-ТК), опытный, отличался от предыдущего типа установкой турбонагнетателей ТК-1, 700/850 л.с., вес проектный 810 кг, конец 1938 г.</w:t>
      </w:r>
    </w:p>
    <w:p w14:paraId="54ADFF60"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М-34 для привода агрегата центрального наддува АЦН-1, сконструи</w:t>
      </w:r>
      <w:r w:rsidRPr="00C33834">
        <w:rPr>
          <w:rFonts w:ascii="Times New Roman" w:hAnsi="Times New Roman"/>
          <w:color w:val="000000" w:themeColor="text1"/>
          <w:sz w:val="16"/>
          <w:szCs w:val="16"/>
        </w:rPr>
        <w:softHyphen/>
        <w:t>рованного под руководством С.А. Трескина в 1935 г. Проходил лет</w:t>
      </w:r>
      <w:r w:rsidRPr="00C33834">
        <w:rPr>
          <w:rFonts w:ascii="Times New Roman" w:hAnsi="Times New Roman"/>
          <w:color w:val="000000" w:themeColor="text1"/>
          <w:sz w:val="16"/>
          <w:szCs w:val="16"/>
        </w:rPr>
        <w:softHyphen/>
        <w:t>ные испытания на ТБ-3.</w:t>
      </w:r>
    </w:p>
    <w:p w14:paraId="322AE5B6"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М-34ФРН (он же М-34РФН и М-34РНФ), форсированный вариант М-34РН. В январе 1935 г. проходил госиспытания, но был снят из-за неполадок. Выпущена малая серия в 1935 г., доводился до весны 1938 г. По проекту мощность 1050/1200 л.с., фактически 900/1200 л.с. Усилены коленвал, редуктор, картер, введено боковое сочленение ша</w:t>
      </w:r>
      <w:r w:rsidRPr="00C33834">
        <w:rPr>
          <w:rFonts w:ascii="Times New Roman" w:hAnsi="Times New Roman"/>
          <w:color w:val="000000" w:themeColor="text1"/>
          <w:sz w:val="16"/>
          <w:szCs w:val="16"/>
        </w:rPr>
        <w:softHyphen/>
        <w:t>тунов, измененная система смазки, усовершенствованный ПЦН, новый механизм газораспределения, карбюраторы установлены после ПЦН (ранее стоял один карбюратор до ПЦН); рабочий объем 46,66 л, вес 735 кг. В 1937 г. опытный образец М-34ФРН выставлялся на авиаса</w:t>
      </w:r>
      <w:r w:rsidRPr="00C33834">
        <w:rPr>
          <w:rFonts w:ascii="Times New Roman" w:hAnsi="Times New Roman"/>
          <w:color w:val="000000" w:themeColor="text1"/>
          <w:sz w:val="16"/>
          <w:szCs w:val="16"/>
        </w:rPr>
        <w:softHyphen/>
        <w:t>лоне в Париже. В 1938 г. была выпущена небольшая серия М-34ФРН с турбонаддувом (М-34РНФТ, с двумя ТК-1), 1017 л.с./'1200 л.с. (по другим данным — 750/1200 л.с.), вес (проектный) 690 кг (по другим данным — 810 кг). Такие моторы проходили летные испытания на самолете ДБ-А.</w:t>
      </w:r>
    </w:p>
    <w:p w14:paraId="32BB36CF"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М-34ФРНУ, проект форсированного до 900 л.с. М-34РН с удлинен</w:t>
      </w:r>
      <w:r w:rsidRPr="00C33834">
        <w:rPr>
          <w:rFonts w:ascii="Times New Roman" w:hAnsi="Times New Roman"/>
          <w:color w:val="000000" w:themeColor="text1"/>
          <w:sz w:val="16"/>
          <w:szCs w:val="16"/>
        </w:rPr>
        <w:softHyphen/>
        <w:t>ным валом, 1933 г.</w:t>
      </w:r>
    </w:p>
    <w:p w14:paraId="533265CF"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М-34ФРНА, массовая серия на базе типа ФРН с четырьмя карбюра</w:t>
      </w:r>
      <w:r w:rsidRPr="00C33834">
        <w:rPr>
          <w:rFonts w:ascii="Times New Roman" w:hAnsi="Times New Roman"/>
          <w:color w:val="000000" w:themeColor="text1"/>
          <w:sz w:val="16"/>
          <w:szCs w:val="16"/>
        </w:rPr>
        <w:softHyphen/>
        <w:t>торами.</w:t>
      </w:r>
    </w:p>
    <w:p w14:paraId="4F78A26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М-34ФРНБ, массовая серия на базе типа ФРН с шестью карбюрато</w:t>
      </w:r>
      <w:r w:rsidRPr="00C33834">
        <w:rPr>
          <w:rFonts w:ascii="Times New Roman" w:hAnsi="Times New Roman"/>
          <w:color w:val="000000" w:themeColor="text1"/>
          <w:sz w:val="16"/>
          <w:szCs w:val="16"/>
        </w:rPr>
        <w:softHyphen/>
        <w:t>рами. В феврале 1937 г. проходил госиспытания вариант М-34ФРНБ (РФНБ) с карбюратором К-85, усиленным картером и облегченным редуктором, мощностью 1000/1050 л.с. Малой серией также был вы</w:t>
      </w:r>
      <w:r w:rsidRPr="00C33834">
        <w:rPr>
          <w:rFonts w:ascii="Times New Roman" w:hAnsi="Times New Roman"/>
          <w:color w:val="000000" w:themeColor="text1"/>
          <w:sz w:val="16"/>
          <w:szCs w:val="16"/>
        </w:rPr>
        <w:softHyphen/>
        <w:t>пущен вариант, рассчитанный на применение агрегата центрального наддува АЦН-2, созданного в ЦИАМ под руководством К.В. Минк-нера. АЦН-2 приводился в действие дополнительным мотором М-100 и обеспечивал наддув одновременно четырех М-34ФРНБ; мотоуста</w:t>
      </w:r>
      <w:r w:rsidRPr="00C33834">
        <w:rPr>
          <w:rFonts w:ascii="Times New Roman" w:hAnsi="Times New Roman"/>
          <w:color w:val="000000" w:themeColor="text1"/>
          <w:sz w:val="16"/>
          <w:szCs w:val="16"/>
        </w:rPr>
        <w:softHyphen/>
        <w:t>новка из четырех М-34ФРНБ и АЦН-2 испытывалась на опытном образце бомбардировщика ТБ-7 зимой и весной 1938 г. М-34ФРН с испарительным охлаждением; разрабатывался с начала 1935 г. в ЦИАМ Р.И. Бартошем, в 1936 г. изготовлена небольшая серия для опытного истребителя И-21. Двигатель имел повышающий редуктор и нестандартный нижний картер с герметическим сквозным каналом для прохода трубы лонжерона центроплана. В начале 1937 г. совершено несколько полетов на опытном образце И-21. М-34ФРНВ, дальнейшее развитие М-34ФРНБ, 1050/1200 л.с. Спроек</w:t>
      </w:r>
      <w:r w:rsidRPr="00C33834">
        <w:rPr>
          <w:rFonts w:ascii="Times New Roman" w:hAnsi="Times New Roman"/>
          <w:color w:val="000000" w:themeColor="text1"/>
          <w:sz w:val="16"/>
          <w:szCs w:val="16"/>
        </w:rPr>
        <w:softHyphen/>
        <w:t>тирован с тремя вариантами редуктора и двумя типами ПЦН. Впер</w:t>
      </w:r>
      <w:r w:rsidRPr="00C33834">
        <w:rPr>
          <w:rFonts w:ascii="Times New Roman" w:hAnsi="Times New Roman"/>
          <w:color w:val="000000" w:themeColor="text1"/>
          <w:sz w:val="16"/>
          <w:szCs w:val="16"/>
        </w:rPr>
        <w:softHyphen/>
        <w:t>вые выставлен на госиспытания в декабре 1937 г. (с весом 749 кг), но на испытаниях разрушился. По сравнению с М-34ФРНБ имел</w:t>
      </w:r>
    </w:p>
    <w:p w14:paraId="61FAE19E"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измененный картер, бронзовые (с покрытием свинцовистой бронзой, а не баббитом) вкладыши коренных опор с гиперболической расточкой, кожуха над клапанным механизмом из магниевого сплава, иной комплект агрега</w:t>
      </w:r>
      <w:r w:rsidRPr="00C33834">
        <w:rPr>
          <w:rFonts w:ascii="Times New Roman" w:hAnsi="Times New Roman"/>
          <w:color w:val="000000" w:themeColor="text1"/>
          <w:sz w:val="16"/>
          <w:szCs w:val="16"/>
        </w:rPr>
        <w:softHyphen/>
        <w:t>тов, удлиненный носок редуктора, усиленный коленвал с измененной схе</w:t>
      </w:r>
      <w:r w:rsidRPr="00C33834">
        <w:rPr>
          <w:rFonts w:ascii="Times New Roman" w:hAnsi="Times New Roman"/>
          <w:color w:val="000000" w:themeColor="text1"/>
          <w:sz w:val="16"/>
          <w:szCs w:val="16"/>
        </w:rPr>
        <w:softHyphen/>
        <w:t>мой смазки и четыре карбюратора К-4. В апреле 1938 г. был выставлен повторно с усилением ряда деталей (вес поднялся до 763,5 кг при 740 кг по заданию) и удовлетворительно отработал 100 ч. После этого заказали опытную серию из 50 двигателей. Серийное производство М-34ФРНВ велось в 1939-1940 гг. В мае — июне 1938 г. испытывался вариант М-34ФРНВ с непосредственным впрыском топлива (1050/1200 л.с., вес 810 кг). Последняя крупносерийная модификация М-34.</w:t>
      </w:r>
    </w:p>
    <w:p w14:paraId="70AE5DEF"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М-34НФ, опытный вариант с блоками от модификации ФРНВ, допол</w:t>
      </w:r>
      <w:r w:rsidRPr="00C33834">
        <w:rPr>
          <w:rFonts w:ascii="Times New Roman" w:hAnsi="Times New Roman"/>
          <w:color w:val="000000" w:themeColor="text1"/>
          <w:sz w:val="16"/>
          <w:szCs w:val="16"/>
        </w:rPr>
        <w:softHyphen/>
        <w:t>нительными масло- и бензонасосом, форсирован по "оборотам, имел ПЦН и два турбонагнетателя ТК-1. Карбюраторы К-4 установлены после ПЦН. Мощность 787/985 л.с., степень сжатия 7,0, испытывался в 1938-1939 гг. на самолетах Р-Зет и ТБ-3.</w:t>
      </w:r>
    </w:p>
    <w:p w14:paraId="6C569D79"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М-34ФРНВ-ТК, вариант предыдущего типа. Имел два турбонагнетате</w:t>
      </w:r>
      <w:r w:rsidRPr="00C33834">
        <w:rPr>
          <w:rFonts w:ascii="Times New Roman" w:hAnsi="Times New Roman"/>
          <w:color w:val="000000" w:themeColor="text1"/>
          <w:sz w:val="16"/>
          <w:szCs w:val="16"/>
        </w:rPr>
        <w:softHyphen/>
        <w:t>ля ТК-1. Вес по проекту (с турбонагнетателями) 850 кг, 950/1200 л.с. Испытывался в сентябре 1939 г.</w:t>
      </w:r>
    </w:p>
    <w:p w14:paraId="51E40A57"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М-34ФРГН, подробности неизвестны.</w:t>
      </w:r>
    </w:p>
    <w:p w14:paraId="346D8E49"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М-34РБ, в 1938-1939 гг. переделывались из М-34РНБ путем демон</w:t>
      </w:r>
      <w:r w:rsidRPr="00C33834">
        <w:rPr>
          <w:rFonts w:ascii="Times New Roman" w:hAnsi="Times New Roman"/>
          <w:color w:val="000000" w:themeColor="text1"/>
          <w:sz w:val="16"/>
          <w:szCs w:val="16"/>
        </w:rPr>
        <w:softHyphen/>
        <w:t>тажа ПЦН для повышения надежности и увеличения реечрса.</w:t>
      </w:r>
    </w:p>
    <w:p w14:paraId="69F868D3"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М-34РБ</w:t>
      </w:r>
    </w:p>
    <w:p w14:paraId="79DA4C7A"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Катерный мотор ГМ-34 (ГАМ-34)</w:t>
      </w:r>
    </w:p>
    <w:p w14:paraId="46B4DEC1"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ГМ-34, двигатель для торпедных катеров с реверс-редуктором, муф</w:t>
      </w:r>
      <w:r w:rsidRPr="00C33834">
        <w:rPr>
          <w:rFonts w:ascii="Times New Roman" w:hAnsi="Times New Roman"/>
          <w:color w:val="000000" w:themeColor="text1"/>
          <w:sz w:val="16"/>
          <w:szCs w:val="16"/>
        </w:rPr>
        <w:softHyphen/>
        <w:t>той свободного хода, измененными системами охлаждения (забортной водой) и выхлопной. Разрабатывался В.М. Яковлевым с 1932 г. По плану планировалось представить на госиспытания к 1 октября 1932 г.]</w:t>
      </w:r>
    </w:p>
    <w:p w14:paraId="23D26476"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1932 г. пару опытных двигателей установили на торпед</w:t>
      </w:r>
      <w:r w:rsidRPr="00C33834">
        <w:rPr>
          <w:rFonts w:ascii="Times New Roman" w:hAnsi="Times New Roman"/>
          <w:color w:val="000000" w:themeColor="text1"/>
          <w:sz w:val="16"/>
          <w:szCs w:val="16"/>
        </w:rPr>
        <w:softHyphen/>
        <w:t>ный катер. Государственные испытания на нем завершились в августе 1934 г. С того же года мотор выпускался серийно, 750/800 л.с., вес 864 кг (с реверс-муфтой и коллекторами 1000 кг).</w:t>
      </w:r>
    </w:p>
    <w:p w14:paraId="5964CE3E"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ГМ-34Ф, усовершенствованный вариант предыдущего типа. Имел коренные вкладыши из бронзы, коленвал, головки блоков и часть агрегатов от М-34ФРНВ. Степень сжатия 7,3. Строился серийно, 800/1000 л.с., вес 1080 кг. Работал на бензин-спиртовой .смеси.</w:t>
      </w:r>
    </w:p>
    <w:p w14:paraId="0B491664"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ГМ-34ФН, вариант ГМ-34Ф с ПЦН ФН-25 и одним карбюратором К-4. Маслосистема по типу ГАМ-34БС. Степень сжатия 6,0, мощ</w:t>
      </w:r>
      <w:r w:rsidRPr="00C33834">
        <w:rPr>
          <w:rFonts w:ascii="Times New Roman" w:hAnsi="Times New Roman"/>
          <w:color w:val="000000" w:themeColor="text1"/>
          <w:sz w:val="16"/>
          <w:szCs w:val="16"/>
        </w:rPr>
        <w:softHyphen/>
        <w:t>ность 1200 л.с., вес 1110 кг. Работал на бензин-спиртовой смеси. Се</w:t>
      </w:r>
      <w:r w:rsidRPr="00C33834">
        <w:rPr>
          <w:rFonts w:ascii="Times New Roman" w:hAnsi="Times New Roman"/>
          <w:color w:val="000000" w:themeColor="text1"/>
          <w:sz w:val="16"/>
          <w:szCs w:val="16"/>
        </w:rPr>
        <w:softHyphen/>
        <w:t>рийно выпускался с августа 1939 г.</w:t>
      </w:r>
    </w:p>
    <w:p w14:paraId="0DECA318"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ГМ-34БП, вариант для речных бронекатеров с реверс-редуктором, 800 л.с., выпускался серийно.</w:t>
      </w:r>
    </w:p>
    <w:p w14:paraId="4A397C00"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ГМ-34БС, усовершенствованный вариант предыдущего типа, 850 л.с., выпускался серийно до 1943 г. Работал на бензин-спиртовой смеси. Вес 1045 кг.</w:t>
      </w:r>
    </w:p>
    <w:p w14:paraId="1A56F341"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ГМ-34БТ. вариант для танков на базе катерного с измененной си</w:t>
      </w:r>
      <w:r w:rsidRPr="00C33834">
        <w:rPr>
          <w:rFonts w:ascii="Times New Roman" w:hAnsi="Times New Roman"/>
          <w:color w:val="000000" w:themeColor="text1"/>
          <w:sz w:val="16"/>
          <w:szCs w:val="16"/>
        </w:rPr>
        <w:softHyphen/>
        <w:t>стемой охлаждения, вентилятором принудительного обдува, новым редуктором; мощность 850 л.с. Имел электростартер вместо пневмо-пуска. Выпускался малой серией в 1939 г.</w:t>
      </w:r>
    </w:p>
    <w:p w14:paraId="14BEC3A2"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 семейства М-34 (АМ-34) устанавливались на серийных самолетах ТБ-3, КР-6, Р-Зет, АНТ-25 (РД, ДБ-1), МБР-2, МТБ-1, ТБ-7 (Пе-8, первая малая серия), ДБ-А, опытных ЛР, ТШ-3, МИ-ЗД, Т-1 (АНТ-41), ТБ-4, К-7, МГ (АНТ-20), ПС-124, И-21 (ЦКБ-32, с паровым охлаждением), ПИ (не до</w:t>
      </w:r>
      <w:r w:rsidRPr="00C33834">
        <w:rPr>
          <w:rFonts w:ascii="Times New Roman" w:hAnsi="Times New Roman"/>
          <w:color w:val="000000" w:themeColor="text1"/>
          <w:sz w:val="16"/>
          <w:szCs w:val="16"/>
        </w:rPr>
        <w:softHyphen/>
        <w:t>строен), К-13, МК-1, «Сталь-МАИ», МИ-3. Их применение также предусма</w:t>
      </w:r>
      <w:r w:rsidRPr="00C33834">
        <w:rPr>
          <w:rFonts w:ascii="Times New Roman" w:hAnsi="Times New Roman"/>
          <w:color w:val="000000" w:themeColor="text1"/>
          <w:sz w:val="16"/>
          <w:szCs w:val="16"/>
        </w:rPr>
        <w:softHyphen/>
        <w:t>тривалось в проектах ТБ-6, «Сталь-5», АНТ-15, ТШ-Б (АНТ-17 и АНТ-18), ВИТ-2, АНТ-51 (СЗ), бронированного штурмовика Самсонова и Доброволь</w:t>
      </w:r>
      <w:r w:rsidRPr="00C33834">
        <w:rPr>
          <w:rFonts w:ascii="Times New Roman" w:hAnsi="Times New Roman"/>
          <w:color w:val="000000" w:themeColor="text1"/>
          <w:sz w:val="16"/>
          <w:szCs w:val="16"/>
        </w:rPr>
        <w:softHyphen/>
        <w:t>ского на гусеничном ходу (на базе ТШ-2), танка-вертолета Камова.</w:t>
      </w:r>
    </w:p>
    <w:p w14:paraId="7563C81C"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 типа ГМ-34 (ГАМ-34) монтировались на торпедных катерах Г-5 (серийно строились до 1943 г.), Г-6, Г-8, СМ-4 (построено по одному катеру), закладывались в проекты катеров Г-9 и Г-10, а также на речных бронекатерах проектов 1124 и 1125 (массово строились до 1944 г.).</w:t>
      </w:r>
    </w:p>
    <w:p w14:paraId="1000C519"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Танковые моторы ГМ-34БТ (ГАМ-34БТ) устанавливались на опытных танках Т-100 и СМК, проходивших войсковые испытания на фронте во время войны с Финляндией зимой 1940 г., а также опытном самоходном орудии СУ-100у («Игрек», 1940 г.), применявшемся в боях под Москвой зимой 1941 г. (11952)</w:t>
      </w:r>
    </w:p>
    <w:p w14:paraId="08960B5B"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p>
    <w:p w14:paraId="7F3E492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когда переговоры еще шли, ГУАП НКТП уже при</w:t>
      </w:r>
      <w:r w:rsidRPr="00C33834">
        <w:rPr>
          <w:rFonts w:ascii="Times New Roman" w:hAnsi="Times New Roman"/>
          <w:color w:val="000000" w:themeColor="text1"/>
          <w:sz w:val="16"/>
          <w:szCs w:val="16"/>
        </w:rPr>
        <w:softHyphen/>
        <w:t>няло решение о проектировании под французские двигатели новых само</w:t>
      </w:r>
      <w:r w:rsidRPr="00C33834">
        <w:rPr>
          <w:rFonts w:ascii="Times New Roman" w:hAnsi="Times New Roman"/>
          <w:color w:val="000000" w:themeColor="text1"/>
          <w:sz w:val="16"/>
          <w:szCs w:val="16"/>
        </w:rPr>
        <w:softHyphen/>
        <w:t>летов. В 1934 г. началась приемка во Франции технической документации и двигателей-образцов. Руководил ей А.В. Каширин. В частности, в марте в Москву доставили мотор типа 14Кс1г8, в апреле прошедший 100-часовые стендовые испытания в ЦИАМ. Освоение производства «Гном-Ронов», как и следовало ожидать, пору</w:t>
      </w:r>
      <w:r w:rsidRPr="00C33834">
        <w:rPr>
          <w:rFonts w:ascii="Times New Roman" w:hAnsi="Times New Roman"/>
          <w:color w:val="000000" w:themeColor="text1"/>
          <w:sz w:val="16"/>
          <w:szCs w:val="16"/>
        </w:rPr>
        <w:softHyphen/>
        <w:t>чили заводу № 29 в Запорожье. М-75 и М-85 первоначально осваива</w:t>
      </w:r>
      <w:r w:rsidRPr="00C33834">
        <w:rPr>
          <w:rFonts w:ascii="Times New Roman" w:hAnsi="Times New Roman"/>
          <w:color w:val="000000" w:themeColor="text1"/>
          <w:sz w:val="16"/>
          <w:szCs w:val="16"/>
        </w:rPr>
        <w:softHyphen/>
        <w:t>лись параллельно, но довольно быстро второй получил безоговорочный приоритет. Дело в том, что М-75 конкурировал с М-25 (американским «Циклоном»). Они обладали примерно равной мощностью, но М-25 имел преимущество на высоте, а М-75 — у земли. «Циклон» начали осваи</w:t>
      </w:r>
      <w:r w:rsidRPr="00C33834">
        <w:rPr>
          <w:rFonts w:ascii="Times New Roman" w:hAnsi="Times New Roman"/>
          <w:color w:val="000000" w:themeColor="text1"/>
          <w:sz w:val="16"/>
          <w:szCs w:val="16"/>
        </w:rPr>
        <w:softHyphen/>
        <w:t>вать в СССР раньше. Первоначально предполагалось, что выпуск М-75 поможет преодолеть нехватку М-25 в период развертывания массового производства. Их предполагали ставить на часть серийных истребителей И-16. Но выпуск «Циклонов» в Перми быстро нарастал, и необходимость затрачивать силы и средства на освоение производства М-75 довольно быстро отпала (11852).</w:t>
      </w:r>
    </w:p>
    <w:p w14:paraId="1389EFC8"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2DC09A8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на гос. испытания был предъявлен упрощенный нагнетатель на 3500 м для М-34Н (2281,66).</w:t>
      </w:r>
    </w:p>
    <w:p w14:paraId="50F61DB0"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0CDDDC8E" w14:textId="77777777" w:rsidR="00562118" w:rsidRPr="00C33834" w:rsidRDefault="0056211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на первой Всесоюзной дизельной конференции, состоявшейся молодой конструктор А. Д. Чаромский сделал доклад о перспективах авиационного дизелестроения. В нем он отметил, что «при одинаковой степени надежности расчетные сечения нагруженных деталей (картер, вал, головка блока цилиндров, поршень, шатун и др.) у двигателя с воспламенением от сжатия выше, чем у бензинового. При мощности 1 000 л.с. и четырехтактном цикле вес дизеля составляет 1 000 кг, а бензинового двигателя – 700 кг. Однако по расходу топлива бензиновый двигатель никогда не сможет конкурировать с нефтяным (в то время дизели часто работали на сырой нефти и поэтому назывались нефтяными моторами). В связи с этим дизельный двигатель выгоден только при дальних перелетах продолжительностью свыше пяти часов». В своем докладе Алексей Дмитриевич наметил и пути совершенствования рабочего процесса авиадизеля: наддув и применение двухтактного цикла (19149).</w:t>
      </w:r>
    </w:p>
    <w:p w14:paraId="3662F17A" w14:textId="77777777" w:rsidR="00562118" w:rsidRPr="00C33834" w:rsidRDefault="00562118" w:rsidP="00C33834">
      <w:pPr>
        <w:spacing w:after="0" w:line="240" w:lineRule="auto"/>
        <w:jc w:val="both"/>
        <w:rPr>
          <w:rFonts w:ascii="Times New Roman" w:hAnsi="Times New Roman"/>
          <w:color w:val="000000" w:themeColor="text1"/>
          <w:sz w:val="16"/>
          <w:szCs w:val="16"/>
        </w:rPr>
      </w:pPr>
    </w:p>
    <w:p w14:paraId="0CD6B083" w14:textId="77777777" w:rsidR="00F46121" w:rsidRPr="00C33834" w:rsidRDefault="00F4612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Николай Ильич Камов лично передал предложение по «Высотной Торпеде Камова (ВТК) с чертежами заместителю начальника ВВС Меженинову. И дело сдвинулось: по приказу Меженинова начальник НИИ ВВС все же заключил с Камовым договор на разработку его проектов. В результате появились проекты 20-килограммовой модели и 700-килограммового натурного образца. Но, вместо одной модели, Камов умудрился построить пять! (15598).</w:t>
      </w:r>
    </w:p>
    <w:p w14:paraId="233E473E" w14:textId="77777777" w:rsidR="00F46121" w:rsidRPr="00C33834" w:rsidRDefault="00F46121" w:rsidP="00C33834">
      <w:pPr>
        <w:spacing w:after="0" w:line="240" w:lineRule="auto"/>
        <w:jc w:val="both"/>
        <w:rPr>
          <w:rFonts w:ascii="Times New Roman" w:hAnsi="Times New Roman"/>
          <w:color w:val="000000" w:themeColor="text1"/>
          <w:sz w:val="16"/>
          <w:szCs w:val="16"/>
        </w:rPr>
      </w:pPr>
    </w:p>
    <w:p w14:paraId="273FCB1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постановлением СТО и по настоянию М.Н.Тухачевского был создан РНИИ (207,28).</w:t>
      </w:r>
    </w:p>
    <w:p w14:paraId="555F530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это было в сентябре.</w:t>
      </w:r>
    </w:p>
    <w:p w14:paraId="4501F2D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УВМС приняло предложение И.В.Четверикова по СПЛ и стали строить в НИИ ГВФ в двух экземплярах в ОСГА - отделе глиссеров НИИ ГВФ (92,500). 7 ноября 1933 ОСГА-101 И.В.Четверикова была выставлена на Красной площади рядом с моделью аэростата СССР (122,27).</w:t>
      </w:r>
    </w:p>
    <w:p w14:paraId="76CCEE4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ОСГА-101 был построен только весной 1934</w:t>
      </w:r>
    </w:p>
    <w:p w14:paraId="2EDDF60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 как главный инженер - постоянно гадил, К.А.К. т.к. нарушалась его теория предельных размеров. В ГУАП с ним солидаризировались Машкевич, Алмазов нач. НТО, Лобанов. + ХАИ (70,245).</w:t>
      </w:r>
    </w:p>
    <w:p w14:paraId="14345B7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самом деле, это чепуха, так как А.Н.Т. стал ГУ НКАП только в январе 1936 - хотя, может быть, именно в это время.</w:t>
      </w:r>
    </w:p>
    <w:p w14:paraId="37A58D71"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652FFE24" w14:textId="77777777" w:rsidR="001E1317" w:rsidRPr="00C33834" w:rsidRDefault="001E1317" w:rsidP="00C33834">
      <w:pPr>
        <w:pStyle w:val="a8"/>
        <w:widowControl/>
        <w:jc w:val="both"/>
        <w:rPr>
          <w:rFonts w:ascii="Times New Roman" w:hAnsi="Times New Roman" w:cs="Times New Roman"/>
          <w:color w:val="000000" w:themeColor="text1"/>
        </w:rPr>
      </w:pPr>
      <w:r w:rsidRPr="00C33834">
        <w:rPr>
          <w:rFonts w:ascii="Times New Roman" w:hAnsi="Times New Roman" w:cs="Times New Roman"/>
          <w:color w:val="000000" w:themeColor="text1"/>
        </w:rPr>
        <w:t>В октябре 1933 г. на станции Трикотажная пробовались испытывать без двигателя три деревянные модели крылатой ракеты С.П.К. С помощью амортизатора было проведено три пуска макетов КР 06/1. Поскольку автоматов для управления полетом в то время не существовало, то первые опытные пуски ракет 06/1 производились с закрепленными рулями и без автопилотов. Первой советской КР стала «геометрически подобная модель» ракетоплана РП1, получившая название 0694. Крылатая ракета 06 была реализована в двух модификациях: 06/1 и 06/2. Крылатые ракеты 06/3 и 06/4 остались на стадии проектов, так как представляли собой соответственно первоначальные варианты крылатых ракет 216 и 212. В ГИРДе уже был создан спирто-кислородный двигатель 02 для ракетоплана. Этот же двигатель был рекомендован и для ракеты 06. Однако в связи с тем, что разработчики двигателя еще экспериментально не проверили целесообразность выбора именно этого типа двигателя для КР 06, первые испытания были проведены с двигателем 09. Весь 8-й сектор помещался в одной большой комнате главного корпуса РНИИ, на втором этаже. В одном углу комнаты сделали фанерную выгородку для двух письменных столов – Е.С. Щетникова и С.П. Королева. Остальное пространство заполняли два ряда одинаковых столов, за которыми сидели сотрудники: Палло, Засько, Смир нов, Дедов, Косятов, Дрязгов, Кулешов, Матысик, позднее – Раушенбах, всего 14 человек вместе с девушками-чертежницами (11686).</w:t>
      </w:r>
    </w:p>
    <w:p w14:paraId="7D359FF6" w14:textId="77777777" w:rsidR="001E1317" w:rsidRPr="00C33834" w:rsidRDefault="001E1317" w:rsidP="00C33834">
      <w:pPr>
        <w:pStyle w:val="a8"/>
        <w:widowControl/>
        <w:jc w:val="both"/>
        <w:rPr>
          <w:rFonts w:ascii="Times New Roman" w:hAnsi="Times New Roman" w:cs="Times New Roman"/>
          <w:color w:val="000000" w:themeColor="text1"/>
        </w:rPr>
      </w:pPr>
    </w:p>
    <w:p w14:paraId="0D46AE5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завершились гос. испытания ТБ-1 с пороховыми стартовыми ускорителями, сократившими разбег машины массой 7 т с 330 до 80 м (237,168).</w:t>
      </w:r>
    </w:p>
    <w:p w14:paraId="6B9BBAFD"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50616542" w14:textId="77777777" w:rsidR="00562118" w:rsidRPr="00C33834" w:rsidRDefault="0056211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октябре 1933 г. оконча тельные испытания показали, что в результате установки шести ракет (по три на каждое крыло сверху или снизу) длина разбе га самолета ТБ-1 при массе в 7 т уменьшается с 330 до 80 м, а при массе самолета 8 т— с 480 до 110 м. Разбег самолета ТБ-1 сократился почти в четыре раза. Взлеты осуществлял лет чик Н.П. Благин. Такой результат был достигнут при установ ке на крыльях шести реактивных камер, соединенных трубопроводом. Общая масса порохового заряда составляла 60 кг.</w:t>
      </w:r>
    </w:p>
    <w:p w14:paraId="43767DCD" w14:textId="77777777" w:rsidR="00562118" w:rsidRPr="00C33834" w:rsidRDefault="0056211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Средняя сила тяги достигала 10 400 кгс в течение 2 с. В после дующие годы такими реактивными стартовыми установками был оснащен ряд самолетов других типов. Продолжалась также ра бота по усовершенствованию самих стартовых установок и, в частности, по уменьшению их массы. Стартовая установка для самолета ТБ-1, упомянутая выше, была довольно тяжелой. Масса ее составила 470 кг (с учетом массы, необходимой для упрочне ния конструкции самолета) (19586).</w:t>
      </w:r>
    </w:p>
    <w:p w14:paraId="33C4FFBC" w14:textId="77777777" w:rsidR="00562118" w:rsidRPr="00C33834" w:rsidRDefault="00562118"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D1C0636" w14:textId="77777777" w:rsidR="00CA3C9F" w:rsidRPr="00C33834" w:rsidRDefault="00CA3C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октябре 1933 г. летчик Благин (в 1935 погубивший МГ) впервые в мире испытывал самолет с ускорителями взле</w:t>
      </w:r>
      <w:r w:rsidRPr="00C33834">
        <w:rPr>
          <w:rFonts w:ascii="Times New Roman" w:hAnsi="Times New Roman"/>
          <w:color w:val="0070C0"/>
          <w:sz w:val="16"/>
          <w:szCs w:val="16"/>
        </w:rPr>
        <w:softHyphen/>
        <w:t>та конструкции инженера В.И. Дудакова. На самолете ТБ-1 в месте разъема консо</w:t>
      </w:r>
      <w:r w:rsidRPr="00C33834">
        <w:rPr>
          <w:rFonts w:ascii="Times New Roman" w:hAnsi="Times New Roman"/>
          <w:color w:val="0070C0"/>
          <w:sz w:val="16"/>
          <w:szCs w:val="16"/>
        </w:rPr>
        <w:softHyphen/>
        <w:t>лей установили потри стартовых порохо</w:t>
      </w:r>
      <w:r w:rsidRPr="00C33834">
        <w:rPr>
          <w:rFonts w:ascii="Times New Roman" w:hAnsi="Times New Roman"/>
          <w:color w:val="0070C0"/>
          <w:sz w:val="16"/>
          <w:szCs w:val="16"/>
        </w:rPr>
        <w:softHyphen/>
        <w:t>вых ракеты с каждой стороны. Результаты испытаний были признаны весьма удач</w:t>
      </w:r>
      <w:r w:rsidRPr="00C33834">
        <w:rPr>
          <w:rFonts w:ascii="Times New Roman" w:hAnsi="Times New Roman"/>
          <w:color w:val="0070C0"/>
          <w:sz w:val="16"/>
          <w:szCs w:val="16"/>
        </w:rPr>
        <w:softHyphen/>
        <w:t>ными. Возможно, что именно эта работа познакомила, а затем и подружила Н.П. Благина и С.П. Королева(21240).</w:t>
      </w:r>
    </w:p>
    <w:p w14:paraId="072704A3" w14:textId="77777777" w:rsidR="00CA3C9F" w:rsidRPr="00C33834" w:rsidRDefault="00CA3C9F" w:rsidP="00C33834">
      <w:pPr>
        <w:spacing w:after="0" w:line="240" w:lineRule="auto"/>
        <w:jc w:val="both"/>
        <w:rPr>
          <w:rFonts w:ascii="Times New Roman" w:hAnsi="Times New Roman"/>
          <w:color w:val="0070C0"/>
          <w:sz w:val="16"/>
          <w:szCs w:val="16"/>
        </w:rPr>
      </w:pPr>
    </w:p>
    <w:p w14:paraId="7EE98B79" w14:textId="77777777" w:rsidR="00CA3C9F" w:rsidRPr="00C33834" w:rsidRDefault="00CA3C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октябре 1933 г. в НИИ ВВС эксперименты с ТБ-1 (летчик- испытатель Н.Н. Благин, ведущий инженер В.М. Дудаков) наглядно показали значительное сокращение длины разбега. При взлетном весе 6 500 кг разбег сократился почти на 80% и составил всего 55 м вместо 280-ти. Это привело к мысли использовать ускори</w:t>
      </w:r>
      <w:r w:rsidRPr="00C33834">
        <w:rPr>
          <w:rFonts w:ascii="Times New Roman" w:hAnsi="Times New Roman"/>
          <w:color w:val="0070C0"/>
          <w:sz w:val="16"/>
          <w:szCs w:val="16"/>
        </w:rPr>
        <w:softHyphen/>
        <w:t>тели не только для взлета с аэродромов ограниченных размеров, но и для обеспечения взлета в перегрузочном варианте с уве</w:t>
      </w:r>
      <w:r w:rsidRPr="00C33834">
        <w:rPr>
          <w:rFonts w:ascii="Times New Roman" w:hAnsi="Times New Roman"/>
          <w:color w:val="0070C0"/>
          <w:sz w:val="16"/>
          <w:szCs w:val="16"/>
        </w:rPr>
        <w:softHyphen/>
        <w:t>личенной боевой или коммерческой загрузкой в повышении обороноспособности, так и в решении народно-хозяйственных задач.. Кроме того пред</w:t>
      </w:r>
      <w:r w:rsidRPr="00C33834">
        <w:rPr>
          <w:rFonts w:ascii="Times New Roman" w:hAnsi="Times New Roman"/>
          <w:color w:val="0070C0"/>
          <w:sz w:val="16"/>
          <w:szCs w:val="16"/>
        </w:rPr>
        <w:softHyphen/>
        <w:t>полагалось, что ускорители смогут обеспечить взлет сухопутных самолетов на лыжном шасси с раскисших в межсезонье аэродро</w:t>
      </w:r>
      <w:r w:rsidRPr="00C33834">
        <w:rPr>
          <w:rFonts w:ascii="Times New Roman" w:hAnsi="Times New Roman"/>
          <w:color w:val="0070C0"/>
          <w:sz w:val="16"/>
          <w:szCs w:val="16"/>
        </w:rPr>
        <w:softHyphen/>
        <w:t>мов, а летающих лодок - со льда и снега. Тем самым будет достиг</w:t>
      </w:r>
      <w:r w:rsidRPr="00C33834">
        <w:rPr>
          <w:rFonts w:ascii="Times New Roman" w:hAnsi="Times New Roman"/>
          <w:color w:val="0070C0"/>
          <w:sz w:val="16"/>
          <w:szCs w:val="16"/>
        </w:rPr>
        <w:softHyphen/>
        <w:t>нуто круглогодичное использование авиации, что немаловажно как быстро, то нагрузка, воспринимаемая узлами крепления, является практически ударной. Крыло в этих местах необходимо усиливать, что не всегда представляется возможным.</w:t>
      </w:r>
    </w:p>
    <w:p w14:paraId="60988BE1" w14:textId="77777777" w:rsidR="00CA3C9F" w:rsidRPr="00C33834" w:rsidRDefault="00CA3C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Вместе с тем, на основании своей пя</w:t>
      </w:r>
      <w:r w:rsidRPr="00C33834">
        <w:rPr>
          <w:rFonts w:ascii="Times New Roman" w:hAnsi="Times New Roman"/>
          <w:color w:val="0070C0"/>
          <w:sz w:val="16"/>
          <w:szCs w:val="16"/>
        </w:rPr>
        <w:softHyphen/>
        <w:t>тилетней работы РНИИ считал, что уста</w:t>
      </w:r>
      <w:r w:rsidRPr="00C33834">
        <w:rPr>
          <w:rFonts w:ascii="Times New Roman" w:hAnsi="Times New Roman"/>
          <w:color w:val="0070C0"/>
          <w:sz w:val="16"/>
          <w:szCs w:val="16"/>
        </w:rPr>
        <w:softHyphen/>
        <w:t>новка стартовых ракет на готовый самолет сопряжена с рядом трудностей. Согласно расчетам, существенно улучшить взлетные характеристики можно было лишь при ис</w:t>
      </w:r>
      <w:r w:rsidRPr="00C33834">
        <w:rPr>
          <w:rFonts w:ascii="Times New Roman" w:hAnsi="Times New Roman"/>
          <w:color w:val="0070C0"/>
          <w:sz w:val="16"/>
          <w:szCs w:val="16"/>
        </w:rPr>
        <w:softHyphen/>
        <w:t>пользовании мощных ракет, суммарная сила тяги которых составляет величину, соответ</w:t>
      </w:r>
      <w:r w:rsidRPr="00C33834">
        <w:rPr>
          <w:rFonts w:ascii="Times New Roman" w:hAnsi="Times New Roman"/>
          <w:color w:val="0070C0"/>
          <w:sz w:val="16"/>
          <w:szCs w:val="16"/>
        </w:rPr>
        <w:softHyphen/>
        <w:t>ствующую примерно полуторному весу са</w:t>
      </w:r>
      <w:r w:rsidRPr="00C33834">
        <w:rPr>
          <w:rFonts w:ascii="Times New Roman" w:hAnsi="Times New Roman"/>
          <w:color w:val="0070C0"/>
          <w:sz w:val="16"/>
          <w:szCs w:val="16"/>
        </w:rPr>
        <w:softHyphen/>
        <w:t>молета. Но при наличии такой большой тяги весьма существенным становится вопрос о выборе места установки ракет и способа их крепления. Поскольку тяга нарастает очень быстро, то нагрузка, воспринимаемая узлами крепления, становится практически ударной. Крыло в этих местах необходимо усиливать.</w:t>
      </w:r>
    </w:p>
    <w:p w14:paraId="573B185E" w14:textId="77777777" w:rsidR="00CA3C9F" w:rsidRPr="00C33834" w:rsidRDefault="00CA3C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Кроме этого, газовые струи ракет, увлекая спутные массы воз</w:t>
      </w:r>
      <w:r w:rsidRPr="00C33834">
        <w:rPr>
          <w:rFonts w:ascii="Times New Roman" w:hAnsi="Times New Roman"/>
          <w:color w:val="0070C0"/>
          <w:sz w:val="16"/>
          <w:szCs w:val="16"/>
        </w:rPr>
        <w:softHyphen/>
        <w:t>духа, могут оказывать на фюзеляж и оперение воздействие в виде неравномерных давлений, которое может вызвать бафтинг опере</w:t>
      </w:r>
      <w:r w:rsidRPr="00C33834">
        <w:rPr>
          <w:rFonts w:ascii="Times New Roman" w:hAnsi="Times New Roman"/>
          <w:color w:val="0070C0"/>
          <w:sz w:val="16"/>
          <w:szCs w:val="16"/>
        </w:rPr>
        <w:softHyphen/>
        <w:t>ния.</w:t>
      </w:r>
    </w:p>
    <w:p w14:paraId="1122C1FE" w14:textId="77777777" w:rsidR="00CA3C9F" w:rsidRPr="00C33834" w:rsidRDefault="00CA3C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Поэтому в III-м отделе (прежней ГДЛ) РНИИ, полагая за луч</w:t>
      </w:r>
      <w:r w:rsidRPr="00C33834">
        <w:rPr>
          <w:rFonts w:ascii="Times New Roman" w:hAnsi="Times New Roman"/>
          <w:color w:val="0070C0"/>
          <w:sz w:val="16"/>
          <w:szCs w:val="16"/>
        </w:rPr>
        <w:softHyphen/>
        <w:t>шее учитывать возможность установки стартовых ускорите</w:t>
      </w:r>
      <w:r w:rsidRPr="00C33834">
        <w:rPr>
          <w:rFonts w:ascii="Times New Roman" w:hAnsi="Times New Roman"/>
          <w:color w:val="0070C0"/>
          <w:sz w:val="16"/>
          <w:szCs w:val="16"/>
        </w:rPr>
        <w:softHyphen/>
        <w:t>лей заранее, разработали предварительные проекты «дальностного» (Д-1) и «вездеходного» (Д-2) самолетов, поскольку достичь объеди</w:t>
      </w:r>
      <w:r w:rsidRPr="00C33834">
        <w:rPr>
          <w:rFonts w:ascii="Times New Roman" w:hAnsi="Times New Roman"/>
          <w:color w:val="0070C0"/>
          <w:sz w:val="16"/>
          <w:szCs w:val="16"/>
        </w:rPr>
        <w:softHyphen/>
        <w:t>нения этих двух свойств в одном и том же проекте оказалось невоз</w:t>
      </w:r>
      <w:r w:rsidRPr="00C33834">
        <w:rPr>
          <w:rFonts w:ascii="Times New Roman" w:hAnsi="Times New Roman"/>
          <w:color w:val="0070C0"/>
          <w:sz w:val="16"/>
          <w:szCs w:val="16"/>
        </w:rPr>
        <w:softHyphen/>
        <w:t>можным.</w:t>
      </w:r>
    </w:p>
    <w:p w14:paraId="7D78D9B4" w14:textId="77777777" w:rsidR="00CA3C9F" w:rsidRPr="00C33834" w:rsidRDefault="00CA3C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Исходя из названия, Д-1 был задуман самолетом большой даль</w:t>
      </w:r>
      <w:r w:rsidRPr="00C33834">
        <w:rPr>
          <w:rFonts w:ascii="Times New Roman" w:hAnsi="Times New Roman"/>
          <w:color w:val="0070C0"/>
          <w:sz w:val="16"/>
          <w:szCs w:val="16"/>
        </w:rPr>
        <w:softHyphen/>
        <w:t>ности, которая обеспечивалась запасом топлива, составлявшего большую часть полной нагрузки самолета. Он представлял собой моноплан с сигарообразным фюзеляжем, в хвостовой части кото</w:t>
      </w:r>
      <w:r w:rsidRPr="00C33834">
        <w:rPr>
          <w:rFonts w:ascii="Times New Roman" w:hAnsi="Times New Roman"/>
          <w:color w:val="0070C0"/>
          <w:sz w:val="16"/>
          <w:szCs w:val="16"/>
        </w:rPr>
        <w:softHyphen/>
        <w:t>рого, по образцу американских скоростных машин, разместили двух членов экипажа. Всю его среднюю часть занимали баки с топливом, которое размещалось и в трубчатом лонжероне крыла.</w:t>
      </w:r>
    </w:p>
    <w:p w14:paraId="2044C395" w14:textId="77777777" w:rsidR="00CA3C9F" w:rsidRPr="00C33834" w:rsidRDefault="00CA3C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Однолонжеронное крыло с толстым профилем ЦАГИ-890, имев</w:t>
      </w:r>
      <w:r w:rsidRPr="00C33834">
        <w:rPr>
          <w:rFonts w:ascii="Times New Roman" w:hAnsi="Times New Roman"/>
          <w:color w:val="0070C0"/>
          <w:sz w:val="16"/>
          <w:szCs w:val="16"/>
        </w:rPr>
        <w:softHyphen/>
        <w:t>шим малое перемещение центра давления, состояло из центропла</w:t>
      </w:r>
      <w:r w:rsidRPr="00C33834">
        <w:rPr>
          <w:rFonts w:ascii="Times New Roman" w:hAnsi="Times New Roman"/>
          <w:color w:val="0070C0"/>
          <w:sz w:val="16"/>
          <w:szCs w:val="16"/>
        </w:rPr>
        <w:softHyphen/>
        <w:t>на и отъемных консолей, поверх задней кромки которых шли закрыл</w:t>
      </w:r>
      <w:r w:rsidRPr="00C33834">
        <w:rPr>
          <w:rFonts w:ascii="Times New Roman" w:hAnsi="Times New Roman"/>
          <w:color w:val="0070C0"/>
          <w:sz w:val="16"/>
          <w:szCs w:val="16"/>
        </w:rPr>
        <w:softHyphen/>
        <w:t>ки и элероны. Внутри консолей разместили ускорители с четырьмя ракетами и дополнительные баки на 75 кг бензина, расходуемого на запуск, руление и взлет.</w:t>
      </w:r>
    </w:p>
    <w:p w14:paraId="090FE1E8" w14:textId="77777777" w:rsidR="00CA3C9F" w:rsidRPr="00C33834" w:rsidRDefault="00CA3C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Шасси было применено одностоечное, неубирающееся, как на машинах Брегэ.</w:t>
      </w:r>
    </w:p>
    <w:p w14:paraId="415A2C4A" w14:textId="77777777" w:rsidR="00CA3C9F" w:rsidRPr="00C33834" w:rsidRDefault="00CA3C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качестве силовой установки был выбран отечественный зве</w:t>
      </w:r>
      <w:r w:rsidRPr="00C33834">
        <w:rPr>
          <w:rFonts w:ascii="Times New Roman" w:hAnsi="Times New Roman"/>
          <w:color w:val="0070C0"/>
          <w:sz w:val="16"/>
          <w:szCs w:val="16"/>
        </w:rPr>
        <w:softHyphen/>
        <w:t>здообразный двигатель воздушного охлаждения М-48 мощностью 250 л.с., закрытый капотом типа NACA. Винт был деревянный, по</w:t>
      </w:r>
      <w:r w:rsidRPr="00C33834">
        <w:rPr>
          <w:rFonts w:ascii="Times New Roman" w:hAnsi="Times New Roman"/>
          <w:color w:val="0070C0"/>
          <w:sz w:val="16"/>
          <w:szCs w:val="16"/>
        </w:rPr>
        <w:softHyphen/>
        <w:t>стоянного шага, рассчитанный из условия получения максимальной скорости полета. На случай, если в процессе испытаний М-48 выя</w:t>
      </w:r>
      <w:r w:rsidRPr="00C33834">
        <w:rPr>
          <w:rFonts w:ascii="Times New Roman" w:hAnsi="Times New Roman"/>
          <w:color w:val="0070C0"/>
          <w:sz w:val="16"/>
          <w:szCs w:val="16"/>
        </w:rPr>
        <w:softHyphen/>
        <w:t>снится невозможность его продолжительной работы на максималь</w:t>
      </w:r>
      <w:r w:rsidRPr="00C33834">
        <w:rPr>
          <w:rFonts w:ascii="Times New Roman" w:hAnsi="Times New Roman"/>
          <w:color w:val="0070C0"/>
          <w:sz w:val="16"/>
          <w:szCs w:val="16"/>
        </w:rPr>
        <w:softHyphen/>
        <w:t>ной мощности, предусматривалась его замена проектируемым М-51 или одним из уже существующих иностранных двигателей мощно</w:t>
      </w:r>
      <w:r w:rsidRPr="00C33834">
        <w:rPr>
          <w:rFonts w:ascii="Times New Roman" w:hAnsi="Times New Roman"/>
          <w:color w:val="0070C0"/>
          <w:sz w:val="16"/>
          <w:szCs w:val="16"/>
        </w:rPr>
        <w:softHyphen/>
        <w:t>стью 250-300 л.с.1</w:t>
      </w:r>
    </w:p>
    <w:p w14:paraId="3B61F6C3" w14:textId="77777777" w:rsidR="00CA3C9F" w:rsidRPr="00C33834" w:rsidRDefault="00CA3C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Но основной конструктивной особенностью Д-1 являлось умень</w:t>
      </w:r>
      <w:r w:rsidRPr="00C33834">
        <w:rPr>
          <w:rFonts w:ascii="Times New Roman" w:hAnsi="Times New Roman"/>
          <w:color w:val="0070C0"/>
          <w:sz w:val="16"/>
          <w:szCs w:val="16"/>
        </w:rPr>
        <w:softHyphen/>
        <w:t>шение в полете площади крыла посредством отстрела консолей. Этот (ранее никем не применяемый) способ был выбран потому, что существовавшие в то время типы крыльев изменяемой геометрии Бакшеева, Махонина, Перенна, Шмейдера) и др. не удовлетворяли проектировщиков сравнительно малой (3-15%) величиной сокращения площади. Отстрел же консолей «...обеспечивает сколь угодно большое сокращение несущей поверхности и кроме того способст</w:t>
      </w:r>
      <w:r w:rsidRPr="00C33834">
        <w:rPr>
          <w:rFonts w:ascii="Times New Roman" w:hAnsi="Times New Roman"/>
          <w:color w:val="0070C0"/>
          <w:sz w:val="16"/>
          <w:szCs w:val="16"/>
        </w:rPr>
        <w:softHyphen/>
        <w:t>вует уменьшению полетного веса самолета и конструктивно несрав</w:t>
      </w:r>
      <w:r w:rsidRPr="00C33834">
        <w:rPr>
          <w:rFonts w:ascii="Times New Roman" w:hAnsi="Times New Roman"/>
          <w:color w:val="0070C0"/>
          <w:sz w:val="16"/>
          <w:szCs w:val="16"/>
        </w:rPr>
        <w:softHyphen/>
        <w:t>ненно более проще вышеуказанных предложений других авторов».</w:t>
      </w:r>
    </w:p>
    <w:p w14:paraId="3844758D" w14:textId="77777777" w:rsidR="00CA3C9F" w:rsidRPr="00C33834" w:rsidRDefault="00CA3C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Осуществляться он должен над своим аэродромом после набора высоты.</w:t>
      </w:r>
    </w:p>
    <w:p w14:paraId="355E6C7A" w14:textId="77777777" w:rsidR="00CA3C9F" w:rsidRPr="00C33834" w:rsidRDefault="00CA3C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Ракетный агрегат (так в то время именовали стартовый ускори</w:t>
      </w:r>
      <w:r w:rsidRPr="00C33834">
        <w:rPr>
          <w:rFonts w:ascii="Times New Roman" w:hAnsi="Times New Roman"/>
          <w:color w:val="0070C0"/>
          <w:sz w:val="16"/>
          <w:szCs w:val="16"/>
        </w:rPr>
        <w:softHyphen/>
        <w:t>тель), для лучшего размещения внутри консоли, спроектировали в виде «лежачих камер», снаряжаемых двумя ракетами, включавши</w:t>
      </w:r>
      <w:r w:rsidRPr="00C33834">
        <w:rPr>
          <w:rFonts w:ascii="Times New Roman" w:hAnsi="Times New Roman"/>
          <w:color w:val="0070C0"/>
          <w:sz w:val="16"/>
          <w:szCs w:val="16"/>
        </w:rPr>
        <w:softHyphen/>
        <w:t>мися последовательно. Поскольку время его работы должно со</w:t>
      </w:r>
      <w:r w:rsidRPr="00C33834">
        <w:rPr>
          <w:rFonts w:ascii="Times New Roman" w:hAnsi="Times New Roman"/>
          <w:color w:val="0070C0"/>
          <w:sz w:val="16"/>
          <w:szCs w:val="16"/>
        </w:rPr>
        <w:softHyphen/>
        <w:t>ставлять порядка 1-2 сек, то в качестве заряда выбрали пороховые ракеты, значительно более дешевые и простые, нежели жидкостные. При работе их газовые струи должны проходить вдали от хвосто</w:t>
      </w:r>
      <w:r w:rsidRPr="00C33834">
        <w:rPr>
          <w:rFonts w:ascii="Times New Roman" w:hAnsi="Times New Roman"/>
          <w:color w:val="0070C0"/>
          <w:sz w:val="16"/>
          <w:szCs w:val="16"/>
        </w:rPr>
        <w:softHyphen/>
        <w:t>вого оперения, исключая его повреждение. Системы зажигания, синхронизации работы правой и левой групп, а также амортизации первоначального толчка, были аналогичны примененным ранее на переоборудованных самолетах У-1 и ТБ-1 (23028).</w:t>
      </w:r>
    </w:p>
    <w:p w14:paraId="02745E63" w14:textId="77777777" w:rsidR="00CA3C9F" w:rsidRPr="00C33834" w:rsidRDefault="00CA3C9F" w:rsidP="00C33834">
      <w:pPr>
        <w:spacing w:after="0" w:line="240" w:lineRule="auto"/>
        <w:jc w:val="both"/>
        <w:rPr>
          <w:rFonts w:ascii="Times New Roman" w:hAnsi="Times New Roman"/>
          <w:color w:val="0070C0"/>
          <w:sz w:val="16"/>
          <w:szCs w:val="16"/>
          <w:lang w:eastAsia="ru-RU" w:bidi="ru-RU"/>
        </w:rPr>
      </w:pPr>
    </w:p>
    <w:p w14:paraId="2793961B"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октябре 1933 прошли государственные испытания ТБ-1 с ускорителями. Ведущим лётчиком был испытатель НИИ ВВС К.П. Миндер. На одном из полётов по приглашению Алксниса присутствовал нарком по военным и морским делам К.Е. Ворошилов. Результаты увиденного впечатляли — 6-тонная машина отрывалась от земли через 4 секунды после старта. Время работы ускорителей составляло всего 2 секунды, но создаваемая при этом тяга разгоняла машину с ускорением до 15 м/с. Грохоча на всю округу и изрыгая длинные языки пламени, тяжёлые бомбардировщики взлетали легко, как истребители.</w:t>
      </w:r>
    </w:p>
    <w:p w14:paraId="63F2563C"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Результаты государственных испытаний стартовых ускорителей на ТБ-1. </w:t>
      </w:r>
    </w:p>
    <w:p w14:paraId="62E32020"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Выводы по испытаниям гласили:</w:t>
      </w:r>
    </w:p>
    <w:p w14:paraId="3E544DC8"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 Ускорение взлёта самолёта ТБ-1-2М17 с помощью стартовых ракет полностью решено.</w:t>
      </w:r>
    </w:p>
    <w:p w14:paraId="4338C98C"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2. Взлёт самолёта никаких ненормальностей не представляет и для его освоения не требуется длительной тренировки.</w:t>
      </w:r>
    </w:p>
    <w:p w14:paraId="7498DC2B"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3. Действие газов ракет на самолёт требует проверки путём войсковых испытаний с многочисленными взлётами. В период государственных испытаний после взлётов нарушения конструкции самолёта обнаружено не было.</w:t>
      </w:r>
    </w:p>
    <w:p w14:paraId="2743556F"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4. Установка стартовых ракет является чрезмерно тяжёлой, её вес без заряда 409 кг, а с зарядом — 469 кг» </w:t>
      </w:r>
      <w:hyperlink r:id="rId347" w:history="1">
        <w:r w:rsidRPr="00C33834">
          <w:rPr>
            <w:rFonts w:ascii="Times New Roman" w:eastAsia="Times New Roman" w:hAnsi="Times New Roman"/>
            <w:color w:val="000000" w:themeColor="text1"/>
            <w:sz w:val="16"/>
            <w:szCs w:val="16"/>
            <w:lang w:eastAsia="ru-RU"/>
          </w:rPr>
          <w:t>[67]</w:t>
        </w:r>
      </w:hyperlink>
      <w:r w:rsidRPr="00C33834">
        <w:rPr>
          <w:rFonts w:ascii="Times New Roman" w:eastAsia="Times New Roman" w:hAnsi="Times New Roman"/>
          <w:color w:val="000000" w:themeColor="text1"/>
          <w:sz w:val="16"/>
          <w:szCs w:val="16"/>
          <w:lang w:eastAsia="ru-RU"/>
        </w:rPr>
        <w:t xml:space="preserve"> .</w:t>
      </w:r>
    </w:p>
    <w:p w14:paraId="5D3147E2"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Расчёты показывали, что из-за дополнительного сопротивления и веса максимальная скорость машины снизится на 2 %, дальность — на 7 %, потолок — на 550–600 м. Зато тяжёлый самолёт с укорителями был способен взлетать даже с небольшого аэродрома.</w:t>
      </w:r>
    </w:p>
    <w:p w14:paraId="469F8AA8"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Устранить потери в лётных характеристиках можно было с помощью приспособления, сбрасывающего ускорители после взлёта, как это и предлагалось в проекте Дудакова и Константинова. Но прежде решили провести войсковые испытания. Для этого Алкснис поручил заключить с Реактивным научно-исследовательским институтом (РНИИ) в Москве, в который влилась газодинамическая лаборатория, договор на оборудование стартовыми ракетами трёх ТБ-1 и на изготовление 50 стартовых ускорителей. Войсковые испытания наметили провести в 1934 г. во 2-й авиабригаде Балтийского флота, на каждом самолёте предполагалось сделать 50 укороченных взлётов. В том же году должны были начаться опыты по использованию стартовых ракет на 20-тонном четырёхмоторном бомбардировщике ТБ-3 (17489).</w:t>
      </w:r>
    </w:p>
    <w:p w14:paraId="71973BE6" w14:textId="77777777" w:rsidR="002217A6" w:rsidRPr="00C33834" w:rsidRDefault="002217A6" w:rsidP="00C33834">
      <w:pPr>
        <w:spacing w:after="0" w:line="240" w:lineRule="auto"/>
        <w:jc w:val="both"/>
        <w:rPr>
          <w:rFonts w:ascii="Times New Roman" w:eastAsia="Times New Roman" w:hAnsi="Times New Roman"/>
          <w:color w:val="000000" w:themeColor="text1"/>
          <w:sz w:val="16"/>
          <w:szCs w:val="16"/>
          <w:lang w:eastAsia="ru-RU"/>
        </w:rPr>
      </w:pPr>
    </w:p>
    <w:p w14:paraId="37B40011" w14:textId="77777777" w:rsidR="00CA3C9F" w:rsidRPr="00C33834" w:rsidRDefault="00CA3C9F"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shd w:val="clear" w:color="auto" w:fill="FFFFFF"/>
        </w:rPr>
        <w:t>В октябре 1933 года начались испытания опытного образца ТМС (ТБ-1 № 750) с автопилотом АВП-2, сопряженным с приборами управления по радио. Сначала опробовали только автопилот, автоматику подстраховывал сидевший в кабине летчик. На этом самолете совершили перелеты Москва – Клин-Москва и Москва – Одоев – Москва– Загорск– Москва. Заданный курс во время перелетов автопилот выдерживал удовлетворительно, но скорость машины сильно колебалась, а несколько раз пилоту пришлось браться за штурвал и вмешиваться в работу автоматики.</w:t>
      </w:r>
    </w:p>
    <w:p w14:paraId="0F736605" w14:textId="77777777" w:rsidR="00CA3C9F" w:rsidRPr="00C33834" w:rsidRDefault="00CA3C9F" w:rsidP="00C33834">
      <w:pPr>
        <w:spacing w:after="0" w:line="240" w:lineRule="auto"/>
        <w:jc w:val="both"/>
        <w:rPr>
          <w:rFonts w:ascii="Times New Roman" w:hAnsi="Times New Roman"/>
          <w:color w:val="0070C0"/>
          <w:sz w:val="16"/>
          <w:szCs w:val="16"/>
          <w:lang w:eastAsia="ru-RU" w:bidi="ru-RU"/>
        </w:rPr>
      </w:pPr>
      <w:r w:rsidRPr="00C33834">
        <w:rPr>
          <w:rFonts w:ascii="Times New Roman" w:hAnsi="Times New Roman"/>
          <w:color w:val="0070C0"/>
          <w:sz w:val="16"/>
          <w:szCs w:val="16"/>
          <w:shd w:val="clear" w:color="auto" w:fill="FFFFFF"/>
        </w:rPr>
        <w:t>В 1933 году для телемеханического самолета ТБ-1 была создана система «Дедал». Она позволяла после взлета ТМС в ручном режиме с помощью экипажа и последующего переключения на систему осуществлять управление самолетом-снарядом по радио с самолета сопровождения ТБ-1, экипаж же после этого выбрасывался из ТМС с парашютом. Далее самолет-снаряд управлялся по радио с управляющего ТБ-1, и, когда ТМС приближался на определенное расстояние к цели, с управляющей машины выдавался сигнал на его пикирование (22290).</w:t>
      </w:r>
    </w:p>
    <w:p w14:paraId="591D7920" w14:textId="77777777" w:rsidR="00CA3C9F" w:rsidRPr="00C33834" w:rsidRDefault="00CA3C9F" w:rsidP="00C33834">
      <w:pPr>
        <w:spacing w:after="0" w:line="240" w:lineRule="auto"/>
        <w:jc w:val="both"/>
        <w:rPr>
          <w:rFonts w:ascii="Times New Roman" w:hAnsi="Times New Roman"/>
          <w:color w:val="0070C0"/>
          <w:sz w:val="16"/>
          <w:szCs w:val="16"/>
          <w:lang w:eastAsia="ru-RU" w:bidi="ru-RU"/>
        </w:rPr>
      </w:pPr>
    </w:p>
    <w:p w14:paraId="51E1E3D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из Ленинграда ДВ СССР-Н10 вылетел в устье Енисея для выполнения транспортных полетов только Экипаж летающей лодки состоял из командира летчика Рябенко, второго пилота Жихарева, бортмехаников Орлова и Ивашины. Кроме экипажа, на борту находились два пассажира. В районе Матюйсале (у входа в Гыданскую губу) летчики заблудились в тумане, выработали почти все горючее и приводнились вблизи от зимовки Грудицкого. На зимовке бензина не было, имелся только керосин, которым полярники поделились с авиаторами. По воде уже плавали льдины, и тянуть с отлетом было нельзя.</w:t>
      </w:r>
    </w:p>
    <w:p w14:paraId="61EE573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Взлетев на остатках бензина, пилоты переключили питание моторов на керосин. Моторы сильно задымили, но продолжали тянуть самолет. Курс взяли на Гыдо-Ямо, где рассчитывали заправить машину.</w:t>
      </w:r>
    </w:p>
    <w:p w14:paraId="0F93D37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Налетевшая пурга снова сбила пилотов с курса. Когда, минут через 50 видимость улучшилась, под гидропланом расстилался сплошной лед. Почти одновременно моторы начали "чихать" - керосин был на исходе. Заметив небольшую полынью, Рябенко немедленно пошел на посадку. Сели в Гыдоямском заливе, однако точное место посадки было не известно.</w:t>
      </w:r>
    </w:p>
    <w:p w14:paraId="3524157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Две недели экипаж и пассажиры провели на самолете. Погода не улучшалась, стоял густой туман. На 14-й день Жихареву, Ивашине и одному из пассажиров удалось на клиппер- боте добраться до края полыньи. Лед оказался слабым и с трудом выдерживал стоящего человека. Несколько километров (!) Ивашина с товарищами ползком тащил лодку с припасами до твердого льда. Здесь авиаторы разделились: Ивашина отправился обратно на гидроплан; двое других пошли за помощью.</w:t>
      </w:r>
    </w:p>
    <w:p w14:paraId="4458F1B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Тем временем площадь открытой воды все время уменьшалась, самолет обледеневал, осадка его увеличивалась, кончалось продовольствие. Законсервировав подручными средствами оборудование, экипаж высадился на берег.</w:t>
      </w:r>
    </w:p>
    <w:p w14:paraId="233CDD4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Вскоре вернулся 2-й пилот Жихарев с известием, что им удалось найти рыбаков, с помощью которых добрались до Гыдо-Ямо. Здесь был бензин, и на нартах его привезли к месту посадки. Погрузив два бидона на клиппер-бот, Рябенко и Ивашина отправились на самолет. При причаливании острой сосулькой, свисавшей с борта, пробило резиновую лодку. Залив в бак первый бидон, Ивашина неожиданно обнаружил течь из поврежденного бензопровода - первый бидон потратили впустую. Заделав трещину и, взявшись за второй бидон, бортмеханик с удивлением обнаружил в нем вместо бензина масло.</w:t>
      </w:r>
    </w:p>
    <w:p w14:paraId="7100EB2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Переночевав, Рябенко и Ивашина заклеили пробоину на клиппер-боте и вернулись на берег. Обратный путь занял почти весь день.</w:t>
      </w:r>
    </w:p>
    <w:p w14:paraId="4B4AA15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следующий день с четырьмя бидонами авиаторы вернулись к машине. Залили горючее и попробовали запустить моторы, но не удачно. Бензин оказался по качеству хуже керосина, не помог даже прогрев моторов кипятком.</w:t>
      </w:r>
    </w:p>
    <w:p w14:paraId="091B926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Убедившись, что силами экипажа самолет освободить из ледового плена невозможно, отправились за помощью. В начале ноября удалось собрать бригаду из 16 человек, достали инструмент и материалы. С немалыми трудностями удалось вырубить СССР-НЮ изо льда и за 10 суток вытащить его на берег. После этого летчики отправились на рыбацкую зимовку. Регулярно, три раза в месяц Ивашина ходил за 80 км. для осмотра гидроплана.</w:t>
      </w:r>
    </w:p>
    <w:p w14:paraId="01CBEAB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мая 1934 г. снег, лежавший на крыльях "Валя" начал подтаивать и пропитываться водой. Вес его увеличился, и появилась опасность деформации плоскостей. Новый спасательный отряд освободил самолет от снега, а Ивашина начал ремонт повреждений, полученных машиной за зиму. Когда залив освободился ото льда, оказалось, что самолет лежит в 1,5 км от берега - зимой спасатели явно перестарались.</w:t>
      </w:r>
    </w:p>
    <w:p w14:paraId="06F8F11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Решили подвести к лодке воду протекавшей неподалеку речки. Две недели ушло на рытье канала. Еще трое суток Жихарев и Ивашина "по бурлацки" вели самолет по заливу, обходя подводные льдины, и два дня двигались по протоке к реке Юрибей. Здесь низкопробный бензин неожиданно дал вспышку, и летчики смогли дойти до Гыдо-Ямо на моторах. 23 августа экипаж Махоткина доставил сюда дополнительный бензин, после чего самолет перелетел для проведения ремонта в Красноярск (11970).</w:t>
      </w:r>
    </w:p>
    <w:p w14:paraId="1744A039"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3EC3780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на маневрах Балтийского флота испытывались мины МАВ-1 и опробовали идею "динамического бомбометания" перед кораблем, но на практике - оказалось, что спуск на парашюте был таким медленным, что даже линкор успевал отвернуть (561,14).</w:t>
      </w:r>
    </w:p>
    <w:p w14:paraId="6BE05A27"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18EF75C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Рябенко на Дорнье Валь израсходовав бензин сел на N 10 в Гыдаямском заливе. Машина вмерзла в лед, ее вырубили, вытащили на берег, пролежала до августа 1934, а потом завелась и вернулась на базу. Потом в 1937 машина обгорела и ее отремонтировали в Красноярске (2543,14).</w:t>
      </w:r>
    </w:p>
    <w:p w14:paraId="3585B3C0"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654D9488" w14:textId="77777777" w:rsidR="00F46121" w:rsidRPr="00C33834" w:rsidRDefault="00F4612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для вывоза людей с зазимовавших пароходов на Чукотку начали перебра</w:t>
      </w:r>
      <w:r w:rsidRPr="00C33834">
        <w:rPr>
          <w:rFonts w:ascii="Times New Roman" w:hAnsi="Times New Roman"/>
          <w:color w:val="000000" w:themeColor="text1"/>
          <w:sz w:val="16"/>
          <w:szCs w:val="16"/>
        </w:rPr>
        <w:softHyphen/>
        <w:t>сывать небольшую авиагруппу. По рекомендации лётчика Куканова, впоследствии на У-2 вывезшего часть людей с парохода «Север», в нее попал А.В. Ляпидевский. На свое письмо он получил радиограмму от начальника летного сектора Северного мор</w:t>
      </w:r>
      <w:r w:rsidRPr="00C33834">
        <w:rPr>
          <w:rFonts w:ascii="Times New Roman" w:hAnsi="Times New Roman"/>
          <w:color w:val="000000" w:themeColor="text1"/>
          <w:sz w:val="16"/>
          <w:szCs w:val="16"/>
        </w:rPr>
        <w:softHyphen/>
        <w:t>ского пути М.И. Шевелёва: «Ходатайствую перед Уншлихтом, свое соглавие даю». В ок</w:t>
      </w:r>
      <w:r w:rsidRPr="00C33834">
        <w:rPr>
          <w:rFonts w:ascii="Times New Roman" w:hAnsi="Times New Roman"/>
          <w:color w:val="000000" w:themeColor="text1"/>
          <w:sz w:val="16"/>
          <w:szCs w:val="16"/>
        </w:rPr>
        <w:softHyphen/>
        <w:t>тябре 1933 г. Ляпидевский получил от Шевелёва другую радиограмму: «Уншлихт молнирует приказ выехать во Владивосток в распоряжение особого представителя на Дальнем Востоке Пожидаева для выполнения правительственного задания». Речь шла о вывозе людей с трёх пароходв, зазимовавших во льдах (15822).</w:t>
      </w:r>
    </w:p>
    <w:p w14:paraId="6C47FFB1" w14:textId="77777777" w:rsidR="00F46121" w:rsidRPr="00C33834" w:rsidRDefault="00F46121" w:rsidP="00C33834">
      <w:pPr>
        <w:spacing w:after="0" w:line="240" w:lineRule="auto"/>
        <w:jc w:val="both"/>
        <w:rPr>
          <w:rFonts w:ascii="Times New Roman" w:hAnsi="Times New Roman"/>
          <w:color w:val="000000" w:themeColor="text1"/>
          <w:sz w:val="16"/>
          <w:szCs w:val="16"/>
        </w:rPr>
      </w:pPr>
    </w:p>
    <w:p w14:paraId="48CB1C54" w14:textId="77777777" w:rsidR="00CA3C9F" w:rsidRPr="00C33834" w:rsidRDefault="00CA3C9F" w:rsidP="00C33834">
      <w:pPr>
        <w:spacing w:after="0" w:line="240" w:lineRule="auto"/>
        <w:jc w:val="both"/>
        <w:rPr>
          <w:rFonts w:ascii="Times New Roman" w:hAnsi="Times New Roman"/>
          <w:color w:val="0070C0"/>
          <w:sz w:val="16"/>
          <w:szCs w:val="16"/>
          <w:lang w:eastAsia="ru-RU" w:bidi="ru-RU"/>
        </w:rPr>
      </w:pPr>
      <w:r w:rsidRPr="00C33834">
        <w:rPr>
          <w:rFonts w:ascii="Times New Roman" w:hAnsi="Times New Roman"/>
          <w:color w:val="0070C0"/>
          <w:sz w:val="16"/>
          <w:szCs w:val="16"/>
          <w:lang w:eastAsia="ru-RU" w:bidi="ru-RU"/>
        </w:rPr>
        <w:t>В октябре 1933 года, пытаясь заручиться поддержкой военного ведомства, Уншлихт предлагал своему бывшему начальнику – Ворошилову совместно внести проект соответствующей программы (новый шеф советских дирижаблестроителей считал нужным резко активизировать работу: выделить в ближайшие три года 50 млн рублей дополнительных капиталовложений на постройку большой базы, привлечь мощную интехпомощь и обеспечить выпуск не одних лишь опытных образцов, а серий по три - пять аппаратов в каждой) на рассмотрение высшего руководства. Однако Ворошилов, судя по всему, от выступлений воздержался, что лишний раз косвенно подтверждает: считать его горячим сторонником военного применения дирижаблей нет оснований (23192).</w:t>
      </w:r>
    </w:p>
    <w:p w14:paraId="330AA067" w14:textId="77777777" w:rsidR="00CA3C9F" w:rsidRPr="00C33834" w:rsidRDefault="00CA3C9F" w:rsidP="00C33834">
      <w:pPr>
        <w:spacing w:after="0" w:line="240" w:lineRule="auto"/>
        <w:jc w:val="both"/>
        <w:rPr>
          <w:rFonts w:ascii="Times New Roman" w:hAnsi="Times New Roman"/>
          <w:color w:val="0070C0"/>
          <w:sz w:val="16"/>
          <w:szCs w:val="16"/>
          <w:lang w:eastAsia="ru-RU" w:bidi="ru-RU"/>
        </w:rPr>
      </w:pPr>
    </w:p>
    <w:p w14:paraId="212924C9" w14:textId="77777777" w:rsidR="001E1317"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274F3AF" w14:textId="77777777" w:rsidR="001E1317" w:rsidRPr="00C33834" w:rsidRDefault="001E1317" w:rsidP="00C33834">
      <w:pPr>
        <w:spacing w:after="0" w:line="240" w:lineRule="auto"/>
        <w:jc w:val="both"/>
        <w:rPr>
          <w:rFonts w:ascii="Times New Roman" w:hAnsi="Times New Roman"/>
          <w:iCs/>
          <w:color w:val="000000" w:themeColor="text1"/>
          <w:sz w:val="16"/>
          <w:szCs w:val="16"/>
        </w:rPr>
      </w:pPr>
    </w:p>
    <w:p w14:paraId="1BB5510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года 37-мм РК БМ (большой мощности) Курчевского прошло войсковые испытания в Московской Пролетарской стрелковой дивизии. Неудобство при стрельбе и транспортировке РК, малая скорострельность (5-6 выстр/мин. вместо требуемых 10-12), частые отказы и, наконец, неудовлетворительная бронепробиваемость привели к тому, что уже в 1935-1936 гг. РК БМ были сняты с вооружения Красной армии (3861).</w:t>
      </w:r>
    </w:p>
    <w:p w14:paraId="15F31659"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29AD17C5" w14:textId="77777777" w:rsidR="00F46121" w:rsidRPr="00C33834" w:rsidRDefault="00F4612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РК БМ прошло войсковые испытания в Московской Пролетарской стрелковой дивизии. Валовое производство РК было начато в 1932 г. на заводе № 8, где оно получило заводской индекс 14К. В 1932 г, заводу № 8 заказали 325 РК, а завод сдал 44. В 1933 г. заводу № 8 заказали 360 РК, а произведено 48. В 1934 г. ленинградский завод № 7 (ныне ПО «Арсенал», бывший завод им. Фрунзе) получил заказ на 500 РК, а произвел только 70. В 1935 г. заводу № 7 заказали 250 РК, а сдано 17. Хроническое невыполнение заказов было связано с огромным процентом брака и постоянными изменениями, вносимыми Курчевским в конструкцию орудий (15117).</w:t>
      </w:r>
    </w:p>
    <w:p w14:paraId="7075A652" w14:textId="77777777" w:rsidR="00F46121" w:rsidRPr="00C33834" w:rsidRDefault="00F46121" w:rsidP="00C33834">
      <w:pPr>
        <w:spacing w:after="0" w:line="240" w:lineRule="auto"/>
        <w:jc w:val="both"/>
        <w:rPr>
          <w:rFonts w:ascii="Times New Roman" w:hAnsi="Times New Roman"/>
          <w:color w:val="000000" w:themeColor="text1"/>
          <w:sz w:val="16"/>
          <w:szCs w:val="16"/>
        </w:rPr>
      </w:pPr>
    </w:p>
    <w:p w14:paraId="6C7A9C1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РК БМ прошло войсковые испытания в московской Пролетарской стрелковой дивизии.</w:t>
      </w:r>
    </w:p>
    <w:p w14:paraId="36C3D5F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Курчевским были созданы и запущены в производство два 37-мм противотанковых орудия: 37-мм РК малой мощности (ММ) и 37-мм РК большой мощности (БМ). Основное их различие было в весе — 28 кг и 32 кг соответственно, длине ствола — 1220 мм и 1250 мм и лучшей баллистике у 37-мм РК БМ. Устройство же обеих систем одинаково.</w:t>
      </w:r>
    </w:p>
    <w:p w14:paraId="11F4E91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Оба орудия в штатном положении стреляли с треноги. Причем стрелок сидел рядом на земле. В принципе можно стрелять и с плеча, но это было неудобно. Лежа стрелять было нельзя. Система неразборная. На поле боя переносилась вручную.</w:t>
      </w:r>
    </w:p>
    <w:p w14:paraId="7B9F925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Стрельба производилась унитарными патронами с бронебойными снарядами, оснащенными взрывателями МД-4. Гильза была из сгорающей ткани, весом 20,4 г. В основании патрона находилось деревянное донышко весом 8 г. При выстреле донышко раскалывалось, и осколки вылетали через сопло. Пять патронов располагались в надствольном цилиндрическом магазине, еще один — в стволе. Заряжание производилось с дула. Патрон при помощи хитрой механической системы, приводимой в действие рукой стрелка, передвигался вперед по магазину, потом падал в лоток перед стволом и затем механическим досылателем досылался в канал ствола.</w:t>
      </w:r>
    </w:p>
    <w:p w14:paraId="33BEE6A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Такая система заряжания имела ряд принципиальных неустранимых недостатков. Например, полного сгорания гильзы достигнуть не удалось, что приводило в лучшем случае к заклиниванию досылаемого снаряда, а в худшем — к разрыву ствола. Матерчатая гильза рвалась и деформировалась, досылатель ломался и т. д.</w:t>
      </w:r>
    </w:p>
    <w:p w14:paraId="3DA3920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1932–1933 гг. было изготовлено около тридцати РК ММ, которые использовались в войсках для учебных целей (12091).</w:t>
      </w:r>
    </w:p>
    <w:p w14:paraId="4725C59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Валовое производство РК было начато в 1932 г. на заводе № 8, где оно получило заводской индекс 14К. В 1932 г. заводу № 8 заказали 325 РК, а завод сдал 44. В 1933 г. заводу № 8 заказали 360 РК, а произведено 48.</w:t>
      </w:r>
    </w:p>
    <w:p w14:paraId="0F1A5B1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1934 г. ленинградский завод № 7 (ныне ПО «Арсенал», бывший завод им. Фрунзе) получил заказ на 500 РК, а произвел только 70. В 1935 г. заводу № 7 заказали 250 РК, а сдано 17.</w:t>
      </w:r>
    </w:p>
    <w:p w14:paraId="0126744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Хроническое невыполнение заказов было связано с огромным процентом брака и постоянными изменениями, вносимыми Курчевским в конструкцию орудий.</w:t>
      </w:r>
    </w:p>
    <w:p w14:paraId="3B4699B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Противотанковое орудие РК ММ при попадании снаряда под углом 90° на дистанции 50 м пробивало броню толщиной 20 мм, а на дистанции 300 м — толщиной 16 мм. Для РК БМ толщина пробиваемой брони составляла 25 мм и 20 мм соответственно. Причем на дистанции 200–300 м снаряд из РК ММ не пробивал броню насквозь, а выбивал пробку, застревая в броне.</w:t>
      </w:r>
    </w:p>
    <w:p w14:paraId="1E849D0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Неудобство при стрельбе и транспортировке РК, малая скорострельность (5–6 выстрелов в минуту вместо требуемых 10–12), частые отказы и, наконец, неудовлетворительная бронепробиваемость привели к тому, что уже в 1935–1936 гг. РК БМ были сняты с вооружения Красной Армии (12091).</w:t>
      </w:r>
    </w:p>
    <w:p w14:paraId="6088479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1935 г. в КБ завода № 8 была произведена первая модернизация 37-мм РК БМ. Само ружье претерпело лишь незначительные изменения, но зато тренога была заменена на колесный лафет Соколова от 7,62-мм пулемета Максима. Причем ствол РК крепился так же, как и пулемет. Патроны и система заряжания остались без изменений.</w:t>
      </w:r>
    </w:p>
    <w:p w14:paraId="673055D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полевых условиях система разбиралась на ствол с магазином, станок и щит и могла переноситься вручную. Другой вопрос, что ствол носить было неудобно. Один или два номера расчета могли перевозить систему на колесах.</w:t>
      </w:r>
    </w:p>
    <w:p w14:paraId="4459B9A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Забавно, что щит был введен по инерции, так как наводчик стоит на коленях, а другой номер может лежать, но перпендикулярно орудию, то есть от щита проку мало.</w:t>
      </w:r>
    </w:p>
    <w:p w14:paraId="4133028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Данные 37-мм РК на пулеметном станке </w:t>
      </w:r>
    </w:p>
    <w:p w14:paraId="5CF4888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Калибр, мм — 37</w:t>
      </w:r>
    </w:p>
    <w:p w14:paraId="2C265F3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ствола без лотка и воронки, мм — 1250</w:t>
      </w:r>
    </w:p>
    <w:p w14:paraId="571F6EFC"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лотка, мм — 320</w:t>
      </w:r>
    </w:p>
    <w:p w14:paraId="6BF1A79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воронки, мм — 400</w:t>
      </w:r>
    </w:p>
    <w:p w14:paraId="30B82BB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Угол ВН, град — ?25°40?; +18°40?</w:t>
      </w:r>
    </w:p>
    <w:p w14:paraId="24720B1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Угол ГН, град — 69</w:t>
      </w:r>
    </w:p>
    <w:p w14:paraId="46200B4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системы, мм — 2030</w:t>
      </w:r>
    </w:p>
    <w:p w14:paraId="565D9D2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Ширина системы, мм — 615</w:t>
      </w:r>
    </w:p>
    <w:p w14:paraId="6062AC6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системы при угле 0°, мм — 732</w:t>
      </w:r>
    </w:p>
    <w:p w14:paraId="447C869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Ширина хода, мм — 504</w:t>
      </w:r>
    </w:p>
    <w:p w14:paraId="784532C3"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линии огня, мм — 450</w:t>
      </w:r>
    </w:p>
    <w:p w14:paraId="11B95B1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Диаметр колес, мм — 305</w:t>
      </w:r>
    </w:p>
    <w:p w14:paraId="0EE8BC7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качающейся части, кг — 31,5</w:t>
      </w:r>
    </w:p>
    <w:p w14:paraId="119276F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системы в боевом положении, кг — 78,2</w:t>
      </w:r>
    </w:p>
    <w:p w14:paraId="3AEAF73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системы в походном положении с чехлом, кг — 80,0</w:t>
      </w:r>
    </w:p>
    <w:p w14:paraId="631ABAC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Темп стрельбы, выстр/мин: без исправления наводки — 18–26</w:t>
      </w:r>
    </w:p>
    <w:p w14:paraId="137BDD7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исправлением наводки — 11–15 (12091).</w:t>
      </w:r>
    </w:p>
    <w:p w14:paraId="11EC56DB"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32CCD89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октябре 1933 г. 9 ЛМК, изготовленных заводом № 8, проходили войсковые испытания в московской Пролетарской стрелковой дивизии. Дивизия проводила учения с ЛМК (по две мортиры на роту). Результаты испытаний: система неустойчива; скорострельность — 8 выстр/мин вместо предполагаемых 10–12; при дальности 1400 м рассеивание 150 м.</w:t>
      </w:r>
    </w:p>
    <w:p w14:paraId="779EDCB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вооружение ЛМК принята не была и больше не заказывалась.</w:t>
      </w:r>
    </w:p>
    <w:p w14:paraId="2485747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1931 г. Курчевским была спроектирована 76,2-мм легкая мортира (ЛМК). Мортира предназначалась для вооружения стрелковой роты. Ствол мортиры ребристый. Заряжание с дула. Затвора не было. Подъемный и поворотный механизмы винтовые. Колеса сплошные дисковые.</w:t>
      </w:r>
    </w:p>
    <w:p w14:paraId="2ED14D4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Данные легкой мортиры Курчевского </w:t>
      </w:r>
    </w:p>
    <w:p w14:paraId="2E8D523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Калибр, мм — 76,2</w:t>
      </w:r>
    </w:p>
    <w:p w14:paraId="7E96CF4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ствола без воронки, мм/клб — 605/8</w:t>
      </w:r>
    </w:p>
    <w:p w14:paraId="7A9AE0C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воронки (сопла), мм — 550</w:t>
      </w:r>
    </w:p>
    <w:p w14:paraId="22AF558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Угол ВН, град — ?10°; +60°</w:t>
      </w:r>
    </w:p>
    <w:p w14:paraId="3B708D9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Угол ГН, град — 4°30?</w:t>
      </w:r>
    </w:p>
    <w:p w14:paraId="67F464C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системы в боевом и походном (на руках) положении, мм — 750</w:t>
      </w:r>
    </w:p>
    <w:p w14:paraId="25CBAD8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станин (длина станка от оси до края), мм — 900</w:t>
      </w:r>
    </w:p>
    <w:p w14:paraId="11CC7EC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Ширина хода, мм — 510</w:t>
      </w:r>
    </w:p>
    <w:p w14:paraId="6D27E89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Диаметр колеса, мм — 300</w:t>
      </w:r>
    </w:p>
    <w:p w14:paraId="2F11C17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системы в сложенном положении, мм — 490</w:t>
      </w:r>
    </w:p>
    <w:p w14:paraId="5737D47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ствола с воронкой, кг — 21,2</w:t>
      </w:r>
    </w:p>
    <w:p w14:paraId="13DE91B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воронки (сопло), кг — 4,20</w:t>
      </w:r>
    </w:p>
    <w:p w14:paraId="5C8964C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прицела, кг — 1,5</w:t>
      </w:r>
    </w:p>
    <w:p w14:paraId="1DEB5EA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станка, кг — 14,15</w:t>
      </w:r>
    </w:p>
    <w:p w14:paraId="699B60B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системы, кг — 38</w:t>
      </w:r>
    </w:p>
    <w:p w14:paraId="08DA5F32"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Скорострельность, выстр/мин: расчетная — 10–12</w:t>
      </w:r>
    </w:p>
    <w:p w14:paraId="3C82A74E"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практическая — 8</w:t>
      </w:r>
    </w:p>
    <w:p w14:paraId="7B59204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перехода из боевого положения в походное, с — 20–30</w:t>
      </w:r>
    </w:p>
    <w:p w14:paraId="2537D51A"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Собственно, ЛМК и мортирой назвать нельзя. Видимо, Курчевский не знал, что мортира — это орудие, основной задачей которого является стрельба под углом свыше 45°. А ЛМК только по тактико-техническим характеристикам, поданным Курчевским в Артуправление РККА, могла вести стрельбу под углом 60°. Конструктивно ствол опытного образца мог быть опущен до 57°, но действие газовой струи физически не позволяло стрелять под углом больше 43°. Да и тогда действие раскаленных газов было опасно для расчета.</w:t>
      </w:r>
    </w:p>
    <w:p w14:paraId="69F71EC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стрельбе из мортиры использовались опытные легкие снаряды весом от 3,2 до 4 кг. Выстрел унитарный. Заряд 320 г пороха ВЛ помещался в сгорающую гильзу из нитроткани с деревянным поддоном. Длина гильзы 112 мм.</w:t>
      </w:r>
    </w:p>
    <w:p w14:paraId="4864E4C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Максимальное давление в канале составляло 1800 кг/см2.</w:t>
      </w:r>
    </w:p>
    <w:p w14:paraId="61A9856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образец 76-мм легкой мортиры Курчевского был изготовлен на заводе № 8. После заводских испытаний в объеме 100 выстрелов его отправили на полигонные испытания. На НИАП мортира прибыла 12 августа 1931 г. (12091).</w:t>
      </w:r>
    </w:p>
    <w:p w14:paraId="3F6EA0F9"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122235E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в Т-26-4 испытывалась 76 мм пушка ПС-3 П.Сячентова. В конструкции орудийной установки П.Сячинтов предложил технические новшества для отечественного танкостроения: ножной спуск, крепление по походному, «двойная оптика», оригинальный поворотный механизм и т.д., а также предложил разработать для Т-26-4 спаренную установку пулемета и новый широкоугольный оптический прицел. Но УММ отказалось от спарки для орудий калибра выше 45-мм (кстати, этот отказ просуществовал фактически до появления танков СМК, Т-100 и KB), а остальные предложения оставило без внимания. Испытания ПС-3 в танке Т-26-4 привели к многочисленным поломкам танка: деформации погона, посадке рессор, прогибу крыши танка. Танк был выведен из строя и для него требовался заводской ремонт. После исследования повреждений от установки ПС-3 в башне Т-26-4 решили отказаться в пользу «полковушки» обр. 1927/32 гг (6469, 12).</w:t>
      </w:r>
    </w:p>
    <w:p w14:paraId="457B3A75"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237E7C4A"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пушка ПС-3 испытывалась в Т-26-4 В конструкции орудийной установки имелось много техни</w:t>
      </w:r>
      <w:r w:rsidRPr="00C33834">
        <w:rPr>
          <w:rFonts w:ascii="Times New Roman" w:hAnsi="Times New Roman"/>
          <w:color w:val="000000" w:themeColor="text1"/>
          <w:sz w:val="16"/>
          <w:szCs w:val="16"/>
        </w:rPr>
        <w:softHyphen/>
        <w:t>ческих новшеств для отечественного танкостроения: нож</w:t>
      </w:r>
      <w:r w:rsidRPr="00C33834">
        <w:rPr>
          <w:rFonts w:ascii="Times New Roman" w:hAnsi="Times New Roman"/>
          <w:color w:val="000000" w:themeColor="text1"/>
          <w:sz w:val="16"/>
          <w:szCs w:val="16"/>
        </w:rPr>
        <w:softHyphen/>
        <w:t>ной спуск, крепление по-походному, «двойная оптика», подъемный механизм со сдающим звеном и т.д. Кроме то</w:t>
      </w:r>
      <w:r w:rsidRPr="00C33834">
        <w:rPr>
          <w:rFonts w:ascii="Times New Roman" w:hAnsi="Times New Roman"/>
          <w:color w:val="000000" w:themeColor="text1"/>
          <w:sz w:val="16"/>
          <w:szCs w:val="16"/>
        </w:rPr>
        <w:softHyphen/>
        <w:t>го, конструктор орудия П. Сячинтов предложил разрабо</w:t>
      </w:r>
      <w:r w:rsidRPr="00C33834">
        <w:rPr>
          <w:rFonts w:ascii="Times New Roman" w:hAnsi="Times New Roman"/>
          <w:color w:val="000000" w:themeColor="text1"/>
          <w:sz w:val="16"/>
          <w:szCs w:val="16"/>
        </w:rPr>
        <w:softHyphen/>
        <w:t>тать для своей пушки спаренную установку пулемета и но</w:t>
      </w:r>
      <w:r w:rsidRPr="00C33834">
        <w:rPr>
          <w:rFonts w:ascii="Times New Roman" w:hAnsi="Times New Roman"/>
          <w:color w:val="000000" w:themeColor="text1"/>
          <w:sz w:val="16"/>
          <w:szCs w:val="16"/>
        </w:rPr>
        <w:softHyphen/>
        <w:t>вый широкоугольный оптический прицел. Но УММ отка</w:t>
      </w:r>
      <w:r w:rsidRPr="00C33834">
        <w:rPr>
          <w:rFonts w:ascii="Times New Roman" w:hAnsi="Times New Roman"/>
          <w:color w:val="000000" w:themeColor="text1"/>
          <w:sz w:val="16"/>
          <w:szCs w:val="16"/>
        </w:rPr>
        <w:softHyphen/>
        <w:t>залось от спарки для орудий калибра выше 45-мм (кстати, этот отказ просуществовал фактически до появления тан</w:t>
      </w:r>
      <w:r w:rsidRPr="00C33834">
        <w:rPr>
          <w:rFonts w:ascii="Times New Roman" w:hAnsi="Times New Roman"/>
          <w:color w:val="000000" w:themeColor="text1"/>
          <w:sz w:val="16"/>
          <w:szCs w:val="16"/>
        </w:rPr>
        <w:softHyphen/>
        <w:t>ков СМК, Т-100 и КВ), а остальные предложения были оставлены без внимания. Испытания ПС-3 в танке Т-26-4 привели к многочисленным поломкам танка: деформации погона, поломке рессор, прогибу крыши танка. Танк был выведен из строя, и для него требовался большой ремонт. Несмотря на решение о производстве пробной серии танков Т-26-4, долгое время этот заказ не выполнялся, т.к. к изготовленным башням с орудиями УММ в 1933 г. не по</w:t>
      </w:r>
      <w:r w:rsidRPr="00C33834">
        <w:rPr>
          <w:rFonts w:ascii="Times New Roman" w:hAnsi="Times New Roman"/>
          <w:color w:val="000000" w:themeColor="text1"/>
          <w:sz w:val="16"/>
          <w:szCs w:val="16"/>
        </w:rPr>
        <w:softHyphen/>
        <w:t>ставил ходовых частей, а единственный испытанный на НИБТполигоне танк с башней из некондиционной брони простоял сломанным до 1934 г. (10733,336)</w:t>
      </w:r>
    </w:p>
    <w:p w14:paraId="4672D7EF"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p>
    <w:p w14:paraId="3ED2B661"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пушка ПС-3 испытывалась в Т-26-4. В конструкции орудийной установки имелось много технических новшеств для отечественного танкостроения: ножной спуск, крепление по-походному, «двойная оптика», подъемный механизм и т.д. Кроме того, конструктор орудия П.Н. Сячинтов предложил разработать для своей пушки спаренную установку пулемета и новый широкоугольный оптический прицел. Но УММ отказалось от спарки для ору</w:t>
      </w:r>
      <w:r w:rsidRPr="00C33834">
        <w:rPr>
          <w:rFonts w:ascii="Times New Roman" w:hAnsi="Times New Roman"/>
          <w:color w:val="000000" w:themeColor="text1"/>
          <w:sz w:val="16"/>
          <w:szCs w:val="16"/>
        </w:rPr>
        <w:softHyphen/>
        <w:t>дий калибра выше 45 мм, а остальные предложения остави</w:t>
      </w:r>
      <w:r w:rsidRPr="00C33834">
        <w:rPr>
          <w:rFonts w:ascii="Times New Roman" w:hAnsi="Times New Roman"/>
          <w:color w:val="000000" w:themeColor="text1"/>
          <w:sz w:val="16"/>
          <w:szCs w:val="16"/>
        </w:rPr>
        <w:softHyphen/>
        <w:t>ло без внимания. Испытания ПС-3 в танке Т-26-4 привели к многочисленным поломкам танка: деформации погона, по</w:t>
      </w:r>
      <w:r w:rsidRPr="00C33834">
        <w:rPr>
          <w:rFonts w:ascii="Times New Roman" w:hAnsi="Times New Roman"/>
          <w:color w:val="000000" w:themeColor="text1"/>
          <w:sz w:val="16"/>
          <w:szCs w:val="16"/>
        </w:rPr>
        <w:softHyphen/>
        <w:t>садке рессор, прогибу крыши танка. Танк был выведен из строя, и для него требовался большой ремонт. Несмотря на решение о производстве пробной серии танков Т-26-4, долгое время этот заказ не выполнялся, так кай к изготовленным башням с орудиями УММ в 1933 г. не поставил ходовых частей, а единственный танк с башней из некондиционной брони простоял сломанным до 1934 г. (11417).</w:t>
      </w:r>
    </w:p>
    <w:p w14:paraId="34AB76D0"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30F9DFA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прошли повторные испытания телеуправляемых танков ТТ-18 (телеуправляемый танк - индекс, присвоенный в 1934), ТТ-26 и ТТ-27 в специальном отряде N 4 ЛВО. Выбирали для дальнейшего серийного производства. Испытания продолжались 8 дней и были повторены в октябре 1933. ТТ-18, на котором стояла 16 командная аппаратура системы Остехбюро 1932 дальностью до 1.5 км (реально 500-1000 в хорошую погоду), не прошел. Первые проходили с 8 по 19 января 1933 (4243,25).</w:t>
      </w:r>
    </w:p>
    <w:p w14:paraId="7D05FE8D"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6A03753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начались работы по повышению огневой мощи БТ-5. Нач. УИИ РККА к2р И.А.Халепский выдал задание нач. ВАММ би Лебедеву на разработку проекта установки 250 кг танковых торпед (ТК) на БТ-5. Ими планировалось бороться с тяжелыми танками и преодолевать сильно укрепленную оборону, т.к. по мощности они не уступали снаряду калибра 305 мм (3880,14).</w:t>
      </w:r>
    </w:p>
    <w:p w14:paraId="21B47A8D"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23CE3636" w14:textId="77777777" w:rsidR="00F46121" w:rsidRPr="00C33834" w:rsidRDefault="00F4612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октябре 1933 г., после того как начальником УММ РККА командармом 2 ранга И.А. Халепским было выдано задание начальнику ВАММ бригадному инженеру Лебедеву на разработку проекта установки 250-кг </w:t>
      </w:r>
      <w:hyperlink r:id="rId348"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овых торпед (ТТ) на быстроходный </w:t>
      </w:r>
      <w:hyperlink r:id="rId349"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 БТ. За счет установки на </w:t>
      </w:r>
      <w:hyperlink r:id="rId350"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 ракетного вооружения предполагалось решить проблему по борьбе с тяжелыми </w:t>
      </w:r>
      <w:hyperlink r:id="rId351"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ами противника и преодолению сильно укрепленных полос обороны, узлов сопротивления и отдельных ДОТов, начались работы по повышению огневой мощи </w:t>
      </w:r>
      <w:hyperlink r:id="rId352"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а БТ-5. Ведь по мощности фугасного действия 250-кг ракеты не уступали снаряду 305-мм орудия (15628).</w:t>
      </w:r>
    </w:p>
    <w:p w14:paraId="390277EE" w14:textId="77777777" w:rsidR="00F46121" w:rsidRPr="00C33834" w:rsidRDefault="00F46121" w:rsidP="00C33834">
      <w:pPr>
        <w:spacing w:after="0" w:line="240" w:lineRule="auto"/>
        <w:jc w:val="both"/>
        <w:rPr>
          <w:rFonts w:ascii="Times New Roman" w:hAnsi="Times New Roman"/>
          <w:color w:val="000000" w:themeColor="text1"/>
          <w:sz w:val="16"/>
          <w:szCs w:val="16"/>
        </w:rPr>
      </w:pPr>
    </w:p>
    <w:p w14:paraId="2EBFB5C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и ранее в январе-феврале на опытных тактических учениях в ЛВО принимали участие группы телетанков МС-1, Т-27 и Т-26ю Аппаратура Московского отделения Остехбюро оказалась наиболее надежной. В течение полутора часов два танка управлялись с Р-5 без отказов, а машины выполняли сложные маневры по пересеченной местности (9527,199).</w:t>
      </w:r>
    </w:p>
    <w:p w14:paraId="0BADAF13"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2122113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заведующим фотокабинетом склада-мастерской № 37 в Москве В.И.Успенским был предложен фото-танк Т-26Ф, опытный образец которого в конце 1937 был изготовлен. В январе-феврале 1938 прошел полигонные испытания На вооружение не принимался и в серии не был (9527,208).</w:t>
      </w:r>
    </w:p>
    <w:p w14:paraId="32FB565B"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6F2C9FB2" w14:textId="77777777" w:rsidR="00562118" w:rsidRPr="00C33834" w:rsidRDefault="0056211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заведующий фотокинокабинетом склада-мастерской № 37 в Москве В.И.Успенским был предложен проект фото-танка. В конце 1937 его построили. Базовой машиной для разработки фото-танка являлся легкий танк Т-26. Опытный образец машины был изготовлен в конце 1937 г. на складе-мастерской № 37. Он предназначался для кино-фотосъемки полосы обороны противника при проведении разведки. Он позволял производить съемку объектов, маршрута движения и панорамы местности как с места, так и с хода. В январе-феврале 1938 г. танк прошел полигонные испытании. На вооружении и в серийном производстве фото-танк не состоял.</w:t>
      </w:r>
    </w:p>
    <w:p w14:paraId="1DF76A2D" w14:textId="77777777" w:rsidR="00562118" w:rsidRPr="00C33834" w:rsidRDefault="0056211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Машина отличаюсь от линейного танка Т-26 отсутствием пушечного вооружения, был оставлен только 7,62-мм пулемет ДТ с боекомплектом 441 патрон (7 дисков). Для маскировки вместо 45-мм пушки был установлен ее деревянный муляж. Танк имел два специальных отделения: отделение съемки - в башне танка и отделение обработки снимков - в средней части корпуса сзади механика-водителя. Экипаж машины состоял из трех человек.</w:t>
      </w:r>
    </w:p>
    <w:p w14:paraId="37B0F33A" w14:textId="77777777" w:rsidR="00562118" w:rsidRPr="00C33834" w:rsidRDefault="0056211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объектива фотоаппаратуры в левой боковой стенке башни были сделаны два отверстия диаметром 80 мм с закрывавшимися броневыми задвижками, замаскированными снаружи. Левый и правый боковые триплексы были смещены назад - ближе к оператору. Нa крыше башни был оставлен одни входной люк, так как на месте левого входного люка размещался перископ наблюдения. Из-за размещения входных отверстий объективов фотоаппаратуры место крепления поручневой антенны было изменено. В отделении съемки размещались кинофотоаппаратура; перископ, связанный синхронно с кинофотоаппаратурой; радиостанция; 7,62-мм пулемет ДТ с боекомплектом; щиток сигнализации и контроля работы аппаратуры; электродвигатели приводов киноаппаратуры и броневых заслонок тяжелого фотоаппарата; сиденье оператора; измененный механизм поворота башни с электродвигателем и контрольным прибором угла поворота.</w:t>
      </w:r>
    </w:p>
    <w:p w14:paraId="1A6FB85D" w14:textId="77777777" w:rsidR="00562118" w:rsidRPr="00C33834" w:rsidRDefault="0056211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фотоаппарат устанавливался в башне слева с направлением объектива пол углом 45° от оси канала ствола пушки и был подвешен в четырех точках, имевших специальную амортизационную подвеску. С помощью специального тросового механизма можно было изменять углы наклона фотоаппарата к горизонту в секторе +15°.</w:t>
      </w:r>
    </w:p>
    <w:p w14:paraId="4B00756B" w14:textId="77777777" w:rsidR="00562118" w:rsidRPr="00C33834" w:rsidRDefault="0056211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Фотоаппарат представлял собой полуавтомат с двумя конусами, рассчитанными на съемку с экспозицией 1/90, 1/180, 1/375, 1/750, с тремя светофильтрами и двумя объективами "Индустар" Ф-300 и Ф-210. Размер фотопластинок 90x150 мм. Фотоаппарат имел специальную кассету, емкостью 20 фотопластинок. При необходимости негативы могли быть обработаны непосредственно в танке.</w:t>
      </w:r>
    </w:p>
    <w:p w14:paraId="6BA55519" w14:textId="77777777" w:rsidR="00562118" w:rsidRPr="00C33834" w:rsidRDefault="0056211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отделении обработки фотоснимков размешались: навигационный прибор с гироскопическим компасом "Аншютц", увеличитель, проявочный стол, бачки, химикаты для обработки, сушильный шкаф, щиток с приборами и сиденье оператора.</w:t>
      </w:r>
    </w:p>
    <w:p w14:paraId="40BE8802" w14:textId="77777777" w:rsidR="00562118" w:rsidRPr="00C33834" w:rsidRDefault="0056211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Навигационный прибор обеспечивал фиксацию положения танка в момент съемки н направление съемки, а также производил прокладку курса танка на карте масштаба 1:50000. Отметка об изменении курса танка производилась вручную по сигналу от механика-водителя (с помощью светосигнального прибора) по углу указателя гироскопа. Характеристики подвижности танка Т-26ФТ были сохранены на уровне базовой машины (19583).</w:t>
      </w:r>
    </w:p>
    <w:p w14:paraId="68748C2A" w14:textId="77777777" w:rsidR="00562118" w:rsidRPr="00C33834" w:rsidRDefault="00562118" w:rsidP="00C33834">
      <w:pPr>
        <w:spacing w:after="0" w:line="240" w:lineRule="auto"/>
        <w:jc w:val="both"/>
        <w:rPr>
          <w:rFonts w:ascii="Times New Roman" w:hAnsi="Times New Roman"/>
          <w:color w:val="000000" w:themeColor="text1"/>
          <w:sz w:val="16"/>
          <w:szCs w:val="16"/>
        </w:rPr>
      </w:pPr>
    </w:p>
    <w:p w14:paraId="5A32267C" w14:textId="77777777" w:rsidR="00562118" w:rsidRPr="00C33834" w:rsidRDefault="00562118" w:rsidP="00C33834">
      <w:pPr>
        <w:pStyle w:val="ae"/>
        <w:spacing w:before="0" w:after="0"/>
        <w:jc w:val="both"/>
        <w:textAlignment w:val="baseline"/>
        <w:rPr>
          <w:color w:val="000000" w:themeColor="text1"/>
          <w:sz w:val="16"/>
          <w:szCs w:val="16"/>
        </w:rPr>
      </w:pPr>
      <w:r w:rsidRPr="00C33834">
        <w:rPr>
          <w:color w:val="000000" w:themeColor="text1"/>
          <w:sz w:val="16"/>
          <w:szCs w:val="16"/>
        </w:rPr>
        <w:t xml:space="preserve">В октябре 1933 стало ясно, что срок октябрь для </w:t>
      </w:r>
      <w:r w:rsidRPr="00C33834">
        <w:rPr>
          <w:iCs/>
          <w:color w:val="000000" w:themeColor="text1"/>
          <w:sz w:val="16"/>
          <w:szCs w:val="16"/>
          <w:bdr w:val="none" w:sz="0" w:space="0" w:color="auto" w:frame="1"/>
        </w:rPr>
        <w:t xml:space="preserve">«колёсно-гусеничном танке на основе Т-26» </w:t>
      </w:r>
      <w:r w:rsidRPr="00C33834">
        <w:rPr>
          <w:color w:val="000000" w:themeColor="text1"/>
          <w:sz w:val="16"/>
          <w:szCs w:val="16"/>
        </w:rPr>
        <w:t>чересчур оптимистичен. Тогда же машина впервые сменила название, получив индекс Т-46. Помимо чрезвычайной сложности задания, против Т-46 играла перегруженность завода №185 разработками. После того как в 1931-1932 годах звезда московского ГКБ, создавшего Т-18, закатилась, именно Ленинград стал центром разработки танков. Сюда из ГКБ перебрался С.А. Гинзбург, один из идеологов освоения Т-26, — это вызвало конфликт с начальником московского ГКБ С.П. Шукаловым, считавшим, что надо развивать свой танк, а не копировать иностранные образцы. Завод №185 стал настоящим мозговым центром: именно здесь разработали Т-28 и Т-35, существенно доработали Т-26, а также занимались рядом других машин. Обратной стороной медали стало слишком большое количество проектов, что влияло на сроки разработки (18689).</w:t>
      </w:r>
    </w:p>
    <w:p w14:paraId="50FB4D38" w14:textId="77777777" w:rsidR="00562118" w:rsidRPr="00C33834" w:rsidRDefault="00562118" w:rsidP="00C33834">
      <w:pPr>
        <w:pStyle w:val="ae"/>
        <w:spacing w:before="0" w:after="0"/>
        <w:jc w:val="both"/>
        <w:textAlignment w:val="baseline"/>
        <w:rPr>
          <w:color w:val="000000" w:themeColor="text1"/>
          <w:sz w:val="16"/>
          <w:szCs w:val="16"/>
        </w:rPr>
      </w:pPr>
    </w:p>
    <w:p w14:paraId="53CE45F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ГАУ РККА рассмотрел проект комбинированной самоходной системы Большой триплекс, имевшей одинаковый самоходный лафет для 254/220 мм пушки, 305 мм гаубицы и 400 мм мортиры, разработанный заводами Большевик, Спецмаштреста им. Кирова (185) по ТТТ НТУ ГАУ и НТК УММ РККА с использованием более ранних проектов и Чернявского с завода Большевик, а также проекта 305 мм гаубицы КБ ВОАО (9527,263).</w:t>
      </w:r>
    </w:p>
    <w:p w14:paraId="2B5E1E45"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54BC103C"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ГАУ РККА рассмотрел вопрос о ходе эскизного проектирова</w:t>
      </w:r>
      <w:r w:rsidRPr="00C33834">
        <w:rPr>
          <w:rFonts w:ascii="Times New Roman" w:hAnsi="Times New Roman"/>
          <w:color w:val="000000" w:themeColor="text1"/>
          <w:sz w:val="16"/>
          <w:szCs w:val="16"/>
        </w:rPr>
        <w:softHyphen/>
        <w:t>ния комбинированной самоходной установки для «боль</w:t>
      </w:r>
      <w:r w:rsidRPr="00C33834">
        <w:rPr>
          <w:rFonts w:ascii="Times New Roman" w:hAnsi="Times New Roman"/>
          <w:color w:val="000000" w:themeColor="text1"/>
          <w:sz w:val="16"/>
          <w:szCs w:val="16"/>
        </w:rPr>
        <w:softHyphen/>
        <w:t>шого триплекса» в составе 254-мм пушки, 305-мм гаубицы и 400-мм мортиры на едином самоходном лафете (11417).</w:t>
      </w:r>
    </w:p>
    <w:p w14:paraId="4DC7BF76"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p>
    <w:p w14:paraId="030900C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октябре 1933 года в ГАУ рассматривался проект комбинированной самоходной системы «Большой триплекс», представлявшей собой самоходный лафет для 254/220-мм пушки, 305-мм гаубицы и 400-мм мортиры. Проект являлся результатом совместных усилий завода «Большевик» и Опытного завода Спец-маштреста. </w:t>
      </w:r>
    </w:p>
    <w:p w14:paraId="0B6F0C1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заданию, САУ должна была иметь массу 56 — 60 т, но в ходе проектирования эта величина достигла 66 — 76 т. На машинах предполагалось установить двенадцатицилиндровый карбюраторный двигатель М-17 мощностью 500 л.с, агрегаты трансмиссии (главный фрикцион и коробка передач), заимствованные у опытного тяжелого танка Т-35А, и отдельные элементы ходовой части (гусеницы и поддерживающие катки) от тяжелого танка Т-35. Дополнительно требовалось изготовить подвеску и опорные катки. Работы над самоходной установкой, получившей марку СУ-7, затянулись до 1937 года, а затем в ноябре того же года были прекращены, поскольку машина перестала отвечать требованиям войск к самоходной артиллерии этого вида. Опытным заводом Спецмаштреста им.С.М.Кирова (завод № 185) был изготовлен деревянный макет установки в натуральную величину.</w:t>
      </w:r>
    </w:p>
    <w:p w14:paraId="3E2F7A44"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1933 году на том же заводе под руководством П.И.Сячентова началось проектирование самоходной установки для тяжелой артиллерии особого назначения (ТАОН). В июле следующего года опытный образец, получивший индекс СУ-14, был построен. </w:t>
      </w:r>
    </w:p>
    <w:p w14:paraId="3E725E1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Корпус машины изготавливался из катаных броневых листов толщиной 10 — 20 мм, соединявшихся между собой сваркой и клепкой. Впереди слева по ходу машины находилось место механика-водителя. Остальные шесть членов экипажа располагались в кормовой части на трех съемных скамьях. </w:t>
      </w:r>
    </w:p>
    <w:p w14:paraId="44911371"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Вооружение СУ-14 состояло из 203-мм гаубицы Б-4 обр.1931 года с верхним станком, подъемным и поворотным механизмами. Вспомогательное вооружение — три 7,62-мм пулемета ДТ, которые могли размещаться в шести бугельных установках (по три на борт). Кроме того, для одного пулемета ДТ был предусмотрен вертлюг для зенитной стрельбы, расположенный справа в передней части палубы САУ. Возимый боекомплект состоял из восьми, выстрелов раздельного заряжания и 2268 патронов к пулеметам ДТ. Для загрузки боеприпасов (масса снаряда составляла около 114 кг) в кормовой части самоходки имелись две лебедки грузоподъемностью 200 кг. При стрельбе машина опиралась на два сошника, имевших ручной и электрический приводы гидроцилиндров. </w:t>
      </w:r>
    </w:p>
    <w:p w14:paraId="0CA3A38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 СУ-14 устанавливались двигатель М-17 мощностью 500 л.с. и трансмиссия, представлявшая собой конгломерат агрегатов танков Т-28 и Т-35. Главный и бортовые фрикционы с плавающими ленточными тормозами были заимствованы у танка Т-35, а пятискоростная коробка передач и бортовые передачи — у Т-28. </w:t>
      </w:r>
    </w:p>
    <w:p w14:paraId="7CC544D6"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Ходовая часть (применительно к одному борту) состояла из ведущего колеса переднего расположения, направляющего колеса, шести поддерживающих катков, четырех двухкатковых тележек с неразъемными балансирами и подвеской на вертикальных спиральных пружинах. Подвеска имела механизм выключения для ее разгрузки при стрельбе. Узлы ходовой части заимствованы у тяжелого танка Т-35 (11638).</w:t>
      </w:r>
    </w:p>
    <w:p w14:paraId="36EEBAEE"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7F861998"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три об</w:t>
      </w:r>
      <w:r w:rsidRPr="00C33834">
        <w:rPr>
          <w:rFonts w:ascii="Times New Roman" w:hAnsi="Times New Roman"/>
          <w:color w:val="000000" w:themeColor="text1"/>
          <w:sz w:val="16"/>
          <w:szCs w:val="16"/>
        </w:rPr>
        <w:softHyphen/>
        <w:t>разца ПБ-4, которые Ижорский завод изготовил сентябре 1933 года, прошли испытания пробе</w:t>
      </w:r>
      <w:r w:rsidRPr="00C33834">
        <w:rPr>
          <w:rFonts w:ascii="Times New Roman" w:hAnsi="Times New Roman"/>
          <w:color w:val="000000" w:themeColor="text1"/>
          <w:sz w:val="16"/>
          <w:szCs w:val="16"/>
        </w:rPr>
        <w:softHyphen/>
        <w:t>гом и на плаву.</w:t>
      </w:r>
    </w:p>
    <w:p w14:paraId="5690D3F4" w14:textId="77777777" w:rsidR="001E1317" w:rsidRPr="00C33834" w:rsidRDefault="001E1317"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Получив задание на производство БАД-2, работники Ижорского завода столкнулись с проблемой изготовления бронекорпуса машины, который имел очень сложную фор</w:t>
      </w:r>
      <w:r w:rsidRPr="00C33834">
        <w:rPr>
          <w:i w:val="0"/>
          <w:iCs w:val="0"/>
          <w:color w:val="000000" w:themeColor="text1"/>
          <w:spacing w:val="0"/>
          <w:kern w:val="0"/>
          <w:position w:val="0"/>
          <w:sz w:val="16"/>
          <w:szCs w:val="16"/>
          <w:lang w:val="ru-RU"/>
        </w:rPr>
        <w:softHyphen/>
        <w:t>му. Поэтому инженер-конструктор Эммануилов и замести</w:t>
      </w:r>
      <w:r w:rsidRPr="00C33834">
        <w:rPr>
          <w:i w:val="0"/>
          <w:iCs w:val="0"/>
          <w:color w:val="000000" w:themeColor="text1"/>
          <w:spacing w:val="0"/>
          <w:kern w:val="0"/>
          <w:position w:val="0"/>
          <w:sz w:val="16"/>
          <w:szCs w:val="16"/>
          <w:lang w:val="ru-RU"/>
        </w:rPr>
        <w:softHyphen/>
        <w:t>тель начальника КБС Григорьев при активном участии на</w:t>
      </w:r>
      <w:r w:rsidRPr="00C33834">
        <w:rPr>
          <w:i w:val="0"/>
          <w:iCs w:val="0"/>
          <w:color w:val="000000" w:themeColor="text1"/>
          <w:spacing w:val="0"/>
          <w:kern w:val="0"/>
          <w:position w:val="0"/>
          <w:sz w:val="16"/>
          <w:szCs w:val="16"/>
          <w:lang w:val="ru-RU"/>
        </w:rPr>
        <w:softHyphen/>
        <w:t>чальника КБС Померанцева спроектировали новую боевую плавающую машину, получившую обозначение ПБ-4.</w:t>
      </w:r>
    </w:p>
    <w:p w14:paraId="0D201BAC"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Впервые в нашей стране корпус бронеавтомобиля был безрамным и несущим. По конфигурации он почти не от</w:t>
      </w:r>
      <w:r w:rsidRPr="00C33834">
        <w:rPr>
          <w:rFonts w:ascii="Times New Roman" w:hAnsi="Times New Roman"/>
          <w:color w:val="000000" w:themeColor="text1"/>
          <w:sz w:val="16"/>
          <w:szCs w:val="16"/>
        </w:rPr>
        <w:softHyphen/>
        <w:t>личался от корпуса БА-3, за исключением изменения кон</w:t>
      </w:r>
      <w:r w:rsidRPr="00C33834">
        <w:rPr>
          <w:rFonts w:ascii="Times New Roman" w:hAnsi="Times New Roman"/>
          <w:color w:val="000000" w:themeColor="text1"/>
          <w:sz w:val="16"/>
          <w:szCs w:val="16"/>
        </w:rPr>
        <w:softHyphen/>
        <w:t>струкции кормы. Передний и задние мосты монтировались снаружи и приваривались к специальным кронштейнам, карданный вал выводился наружу через специальный саль</w:t>
      </w:r>
      <w:r w:rsidRPr="00C33834">
        <w:rPr>
          <w:rFonts w:ascii="Times New Roman" w:hAnsi="Times New Roman"/>
          <w:color w:val="000000" w:themeColor="text1"/>
          <w:sz w:val="16"/>
          <w:szCs w:val="16"/>
        </w:rPr>
        <w:softHyphen/>
        <w:t>ник в редане днища корпуса.</w:t>
      </w:r>
    </w:p>
    <w:p w14:paraId="23D25BC5"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Башня цилиндрической формы, аналогичная по конст</w:t>
      </w:r>
      <w:r w:rsidRPr="00C33834">
        <w:rPr>
          <w:rFonts w:ascii="Times New Roman" w:hAnsi="Times New Roman"/>
          <w:color w:val="000000" w:themeColor="text1"/>
          <w:sz w:val="16"/>
          <w:szCs w:val="16"/>
        </w:rPr>
        <w:softHyphen/>
        <w:t>рукции БА-3, но без кормовой ниши, располагалась в задней части машины. Для посадки экипажа из 4 человек, раз</w:t>
      </w:r>
      <w:r w:rsidRPr="00C33834">
        <w:rPr>
          <w:rFonts w:ascii="Times New Roman" w:hAnsi="Times New Roman"/>
          <w:color w:val="000000" w:themeColor="text1"/>
          <w:sz w:val="16"/>
          <w:szCs w:val="16"/>
        </w:rPr>
        <w:softHyphen/>
        <w:t>мещавшихся так же, как на БА-3, служили два люка в кры</w:t>
      </w:r>
      <w:r w:rsidRPr="00C33834">
        <w:rPr>
          <w:rFonts w:ascii="Times New Roman" w:hAnsi="Times New Roman"/>
          <w:color w:val="000000" w:themeColor="text1"/>
          <w:sz w:val="16"/>
          <w:szCs w:val="16"/>
        </w:rPr>
        <w:softHyphen/>
        <w:t>ше над отделением управления и два в башне. Доступ к дви</w:t>
      </w:r>
      <w:r w:rsidRPr="00C33834">
        <w:rPr>
          <w:rFonts w:ascii="Times New Roman" w:hAnsi="Times New Roman"/>
          <w:color w:val="000000" w:themeColor="text1"/>
          <w:sz w:val="16"/>
          <w:szCs w:val="16"/>
        </w:rPr>
        <w:softHyphen/>
        <w:t>гателю осуществлялся через откидывающуюся вперед кры</w:t>
      </w:r>
      <w:r w:rsidRPr="00C33834">
        <w:rPr>
          <w:rFonts w:ascii="Times New Roman" w:hAnsi="Times New Roman"/>
          <w:color w:val="000000" w:themeColor="text1"/>
          <w:sz w:val="16"/>
          <w:szCs w:val="16"/>
        </w:rPr>
        <w:softHyphen/>
        <w:t>шу моторного отделения, запираемую 10 хомутиками. Кроме того, в днище корпуса имелись 4 пробки для стока попавшей внутрь воды и 2 лючка для слива масла из карте</w:t>
      </w:r>
      <w:r w:rsidRPr="00C33834">
        <w:rPr>
          <w:rFonts w:ascii="Times New Roman" w:hAnsi="Times New Roman"/>
          <w:color w:val="000000" w:themeColor="text1"/>
          <w:sz w:val="16"/>
          <w:szCs w:val="16"/>
        </w:rPr>
        <w:softHyphen/>
        <w:t>ров двигателя и демультипликатора.</w:t>
      </w:r>
    </w:p>
    <w:p w14:paraId="58175694"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Наблюдение за дорогой водитель вел через лючок со смотровой щелью в лобовом листе корпуса и две смотровые щели в бортах. В башне наблюдение велось через смотро</w:t>
      </w:r>
      <w:r w:rsidRPr="00C33834">
        <w:rPr>
          <w:rFonts w:ascii="Times New Roman" w:hAnsi="Times New Roman"/>
          <w:color w:val="000000" w:themeColor="text1"/>
          <w:sz w:val="16"/>
          <w:szCs w:val="16"/>
        </w:rPr>
        <w:softHyphen/>
        <w:t>вые приборы «Триплекс» в правом и левом бортах.</w:t>
      </w:r>
    </w:p>
    <w:p w14:paraId="12614695"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 броневика состояло из 45-мм танковой пушки 20К и спаренного пулемета ДТ в башне и еще одно</w:t>
      </w:r>
      <w:r w:rsidRPr="00C33834">
        <w:rPr>
          <w:rFonts w:ascii="Times New Roman" w:hAnsi="Times New Roman"/>
          <w:color w:val="000000" w:themeColor="text1"/>
          <w:sz w:val="16"/>
          <w:szCs w:val="16"/>
        </w:rPr>
        <w:softHyphen/>
        <w:t>го ДТ в лобовом листе корпуса. Следует отметить, что из-за отсутствия ниши башня получилась неуравновешенной, поэтому ее поворот на 360 или 180 градусов требовал боль</w:t>
      </w:r>
      <w:r w:rsidRPr="00C33834">
        <w:rPr>
          <w:rFonts w:ascii="Times New Roman" w:hAnsi="Times New Roman"/>
          <w:color w:val="000000" w:themeColor="text1"/>
          <w:sz w:val="16"/>
          <w:szCs w:val="16"/>
        </w:rPr>
        <w:softHyphen/>
        <w:t>шого усилия на маховиках, а при крене 10—11 градусов в сторону приходилось их вращать обеими руками.</w:t>
      </w:r>
    </w:p>
    <w:p w14:paraId="38DD7B4D"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Боекомплект к пушке состоял из 52 снарядов, к пулеме</w:t>
      </w:r>
      <w:r w:rsidRPr="00C33834">
        <w:rPr>
          <w:rFonts w:ascii="Times New Roman" w:hAnsi="Times New Roman"/>
          <w:color w:val="000000" w:themeColor="text1"/>
          <w:sz w:val="16"/>
          <w:szCs w:val="16"/>
        </w:rPr>
        <w:softHyphen/>
        <w:t>там 2268 патронов (36 дисков). Снаряды укладывались по бокам башни (12 штук), справа и слева в корме корпуса (две укладки по 20 штук), пулеметные диски располагались в башне и по бортам боевого отделения.</w:t>
      </w:r>
    </w:p>
    <w:p w14:paraId="23D00327"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ПБ-4 оснащался 40-сильным двигателем ГАЗ-АА, стандартной «газовской» коробкой перемены передач и де</w:t>
      </w:r>
      <w:r w:rsidRPr="00C33834">
        <w:rPr>
          <w:rFonts w:ascii="Times New Roman" w:hAnsi="Times New Roman"/>
          <w:color w:val="000000" w:themeColor="text1"/>
          <w:sz w:val="16"/>
          <w:szCs w:val="16"/>
        </w:rPr>
        <w:softHyphen/>
        <w:t>мультипликатором. Движение на плаву осуществлялось при помощи трехлопастного гребного винта, установлен</w:t>
      </w:r>
      <w:r w:rsidRPr="00C33834">
        <w:rPr>
          <w:rFonts w:ascii="Times New Roman" w:hAnsi="Times New Roman"/>
          <w:color w:val="000000" w:themeColor="text1"/>
          <w:sz w:val="16"/>
          <w:szCs w:val="16"/>
        </w:rPr>
        <w:softHyphen/>
        <w:t>ного на удлиненном червяке дифференциала заднего мос</w:t>
      </w:r>
      <w:r w:rsidRPr="00C33834">
        <w:rPr>
          <w:rFonts w:ascii="Times New Roman" w:hAnsi="Times New Roman"/>
          <w:color w:val="000000" w:themeColor="text1"/>
          <w:sz w:val="16"/>
          <w:szCs w:val="16"/>
        </w:rPr>
        <w:softHyphen/>
        <w:t>та. Как и на БАД-2, винт ПБ-4 был включен постоянно, да</w:t>
      </w:r>
      <w:r w:rsidRPr="00C33834">
        <w:rPr>
          <w:rFonts w:ascii="Times New Roman" w:hAnsi="Times New Roman"/>
          <w:color w:val="000000" w:themeColor="text1"/>
          <w:sz w:val="16"/>
          <w:szCs w:val="16"/>
        </w:rPr>
        <w:softHyphen/>
        <w:t>же на суше. Соответственно в воде вращались колеса зад</w:t>
      </w:r>
      <w:r w:rsidRPr="00C33834">
        <w:rPr>
          <w:rFonts w:ascii="Times New Roman" w:hAnsi="Times New Roman"/>
          <w:color w:val="000000" w:themeColor="text1"/>
          <w:sz w:val="16"/>
          <w:szCs w:val="16"/>
        </w:rPr>
        <w:softHyphen/>
        <w:t>них мостов.</w:t>
      </w:r>
    </w:p>
    <w:p w14:paraId="7E15C243" w14:textId="77777777" w:rsidR="001E1317" w:rsidRPr="00C33834" w:rsidRDefault="001E1317"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Для увеличения водоизмещения по бортам броневика устанавливались деревянные поплавки (а не пробковые, как указывалось в ряде источников), обитые 1 мм железом.</w:t>
      </w:r>
    </w:p>
    <w:p w14:paraId="23CA6F0A"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Бронеавтомобиль комплектовался четырьмя спасательны</w:t>
      </w:r>
      <w:r w:rsidRPr="00C33834">
        <w:rPr>
          <w:rFonts w:ascii="Times New Roman" w:hAnsi="Times New Roman"/>
          <w:color w:val="000000" w:themeColor="text1"/>
          <w:sz w:val="16"/>
          <w:szCs w:val="16"/>
        </w:rPr>
        <w:softHyphen/>
        <w:t>ми пробковыми жилетами, уложенными между снарядны</w:t>
      </w:r>
      <w:r w:rsidRPr="00C33834">
        <w:rPr>
          <w:rFonts w:ascii="Times New Roman" w:hAnsi="Times New Roman"/>
          <w:color w:val="000000" w:themeColor="text1"/>
          <w:sz w:val="16"/>
          <w:szCs w:val="16"/>
        </w:rPr>
        <w:softHyphen/>
        <w:t>ми стеллажами в корме корпуса. Для откачки попавшей внутрь воды справа от водителя крепилась ручная помпа «Альвейер» производительностью 20 литров в минуту.</w:t>
      </w:r>
    </w:p>
    <w:p w14:paraId="28129F49"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Как и все средние советские броневики, ПБ-4 имел вращающиеся запасные колеса и вездеходные цепи «Ове-ролл», уложенные на корме машины. Боевая масса броне</w:t>
      </w:r>
      <w:r w:rsidRPr="00C33834">
        <w:rPr>
          <w:rFonts w:ascii="Times New Roman" w:hAnsi="Times New Roman"/>
          <w:color w:val="000000" w:themeColor="text1"/>
          <w:sz w:val="16"/>
          <w:szCs w:val="16"/>
        </w:rPr>
        <w:softHyphen/>
        <w:t>автомобиля составляла 5285 кг.Несмотря на удовлетворительные результа</w:t>
      </w:r>
      <w:r w:rsidRPr="00C33834">
        <w:rPr>
          <w:rFonts w:ascii="Times New Roman" w:hAnsi="Times New Roman"/>
          <w:color w:val="000000" w:themeColor="text1"/>
          <w:sz w:val="16"/>
          <w:szCs w:val="16"/>
        </w:rPr>
        <w:softHyphen/>
        <w:t>ты, у них выявили большое количество недостатков и недо</w:t>
      </w:r>
      <w:r w:rsidRPr="00C33834">
        <w:rPr>
          <w:rFonts w:ascii="Times New Roman" w:hAnsi="Times New Roman"/>
          <w:color w:val="000000" w:themeColor="text1"/>
          <w:sz w:val="16"/>
          <w:szCs w:val="16"/>
        </w:rPr>
        <w:softHyphen/>
        <w:t xml:space="preserve">работок, в частности </w:t>
      </w:r>
      <w:r w:rsidRPr="00C33834">
        <w:rPr>
          <w:rFonts w:ascii="Times New Roman" w:hAnsi="Times New Roman"/>
          <w:color w:val="000000" w:themeColor="text1"/>
          <w:sz w:val="16"/>
          <w:szCs w:val="16"/>
        </w:rPr>
        <w:lastRenderedPageBreak/>
        <w:t>большое количество трещин в местах сварных швов бронекорпусов. Из-за этого представитель военной приемки на заводе принял броневики только ус</w:t>
      </w:r>
      <w:r w:rsidRPr="00C33834">
        <w:rPr>
          <w:rFonts w:ascii="Times New Roman" w:hAnsi="Times New Roman"/>
          <w:color w:val="000000" w:themeColor="text1"/>
          <w:sz w:val="16"/>
          <w:szCs w:val="16"/>
        </w:rPr>
        <w:softHyphen/>
        <w:t>ловно, а заказчик - УММ РККА - не оплатило их (11284).</w:t>
      </w:r>
    </w:p>
    <w:p w14:paraId="6D758663"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p>
    <w:p w14:paraId="50B1801F"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октября 1933 года танковым производством занимался непосредственно подчинённый НКТП Спецмаштрест, созданный по предложению В. В. Куйбышева. В составе этого первого специализированного отраслевого органа управления танковой промышленностью вошли ХПЗ, завод имени Ворошилова (ранее «Большевик»), 2-й завод ВАТО (позже переименован в завод № 37), завод «Красный Октябрь», Ижорский завод. Во главе Спецмаштреста был поставлен К. А. Нейман (12290).</w:t>
      </w:r>
    </w:p>
    <w:p w14:paraId="448CFE5A" w14:textId="77777777" w:rsidR="00BA29CE" w:rsidRPr="00C33834" w:rsidRDefault="00BA29CE" w:rsidP="00C33834">
      <w:pPr>
        <w:spacing w:after="0" w:line="240" w:lineRule="auto"/>
        <w:jc w:val="both"/>
        <w:rPr>
          <w:rFonts w:ascii="Times New Roman" w:hAnsi="Times New Roman"/>
          <w:color w:val="000000" w:themeColor="text1"/>
          <w:sz w:val="16"/>
          <w:szCs w:val="16"/>
        </w:rPr>
      </w:pPr>
    </w:p>
    <w:p w14:paraId="70069B68"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w:t>
      </w:r>
      <w:r w:rsidRPr="00C33834">
        <w:rPr>
          <w:rFonts w:ascii="Times New Roman" w:hAnsi="Times New Roman"/>
          <w:color w:val="000000" w:themeColor="text1"/>
          <w:sz w:val="16"/>
          <w:szCs w:val="16"/>
        </w:rPr>
        <w:softHyphen/>
        <w:t>ре 1933 года началось проектирование нового автомобиля ГАЗ М-1 (Моло</w:t>
      </w:r>
      <w:r w:rsidRPr="00C33834">
        <w:rPr>
          <w:rFonts w:ascii="Times New Roman" w:hAnsi="Times New Roman"/>
          <w:color w:val="000000" w:themeColor="text1"/>
          <w:sz w:val="16"/>
          <w:szCs w:val="16"/>
        </w:rPr>
        <w:softHyphen/>
        <w:t>тов-1), созданного на основе американского «Форд-40». До</w:t>
      </w:r>
      <w:r w:rsidRPr="00C33834">
        <w:rPr>
          <w:rFonts w:ascii="Times New Roman" w:hAnsi="Times New Roman"/>
          <w:color w:val="000000" w:themeColor="text1"/>
          <w:sz w:val="16"/>
          <w:szCs w:val="16"/>
        </w:rPr>
        <w:softHyphen/>
        <w:t>кументация по последнему была поставлена в СССР фир</w:t>
      </w:r>
      <w:r w:rsidRPr="00C33834">
        <w:rPr>
          <w:rFonts w:ascii="Times New Roman" w:hAnsi="Times New Roman"/>
          <w:color w:val="000000" w:themeColor="text1"/>
          <w:sz w:val="16"/>
          <w:szCs w:val="16"/>
        </w:rPr>
        <w:softHyphen/>
        <w:t>мой «Форд мотор компани» по договору о технической по</w:t>
      </w:r>
      <w:r w:rsidRPr="00C33834">
        <w:rPr>
          <w:rFonts w:ascii="Times New Roman" w:hAnsi="Times New Roman"/>
          <w:color w:val="000000" w:themeColor="text1"/>
          <w:sz w:val="16"/>
          <w:szCs w:val="16"/>
        </w:rPr>
        <w:softHyphen/>
        <w:t>мощи, заключенному в 1929 году. Новая машина, разработанная под руководством главного конструктора Горьковского автозавода А. Липгарта, значительно отлича</w:t>
      </w:r>
      <w:r w:rsidRPr="00C33834">
        <w:rPr>
          <w:rFonts w:ascii="Times New Roman" w:hAnsi="Times New Roman"/>
          <w:color w:val="000000" w:themeColor="text1"/>
          <w:sz w:val="16"/>
          <w:szCs w:val="16"/>
        </w:rPr>
        <w:softHyphen/>
        <w:t>лась от ГАЗ-А. Она имела более мощный двигатель, новую коробку перемены передач, более жесткую раму и т.д. Первые опытные образцы собрали в январе 1934 года, а серийное производство ГАЗ М-1 началось в фе</w:t>
      </w:r>
      <w:r w:rsidRPr="00C33834">
        <w:rPr>
          <w:rFonts w:ascii="Times New Roman" w:hAnsi="Times New Roman"/>
          <w:color w:val="000000" w:themeColor="text1"/>
          <w:sz w:val="16"/>
          <w:szCs w:val="16"/>
        </w:rPr>
        <w:softHyphen/>
        <w:t>врале 1936 года (11284).</w:t>
      </w:r>
    </w:p>
    <w:p w14:paraId="4884E762" w14:textId="77777777" w:rsidR="001E1317" w:rsidRPr="00C33834" w:rsidRDefault="001E1317" w:rsidP="00C33834">
      <w:pPr>
        <w:shd w:val="clear" w:color="auto" w:fill="FFFFFF"/>
        <w:spacing w:after="0" w:line="240" w:lineRule="auto"/>
        <w:jc w:val="both"/>
        <w:rPr>
          <w:rFonts w:ascii="Times New Roman" w:hAnsi="Times New Roman"/>
          <w:color w:val="000000" w:themeColor="text1"/>
          <w:sz w:val="16"/>
          <w:szCs w:val="16"/>
        </w:rPr>
      </w:pPr>
    </w:p>
    <w:p w14:paraId="2DAD6528" w14:textId="77777777" w:rsidR="00F46121" w:rsidRPr="00C33834" w:rsidRDefault="00F4612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октябре 1933 года началось проектирование нового автомобиля, первые опытные образцы собрали в январе </w:t>
      </w:r>
      <w:smartTag w:uri="urn:schemas-microsoft-com:office:smarttags" w:element="metricconverter">
        <w:smartTagPr>
          <w:attr w:name="ProductID" w:val="1945 г"/>
        </w:smartTagPr>
        <w:r w:rsidRPr="00C33834">
          <w:rPr>
            <w:rFonts w:ascii="Times New Roman" w:hAnsi="Times New Roman"/>
            <w:color w:val="000000" w:themeColor="text1"/>
            <w:sz w:val="16"/>
            <w:szCs w:val="16"/>
          </w:rPr>
          <w:t>1934 г</w:t>
        </w:r>
      </w:smartTag>
      <w:r w:rsidRPr="00C33834">
        <w:rPr>
          <w:rFonts w:ascii="Times New Roman" w:hAnsi="Times New Roman"/>
          <w:color w:val="000000" w:themeColor="text1"/>
          <w:sz w:val="16"/>
          <w:szCs w:val="16"/>
        </w:rPr>
        <w:t>., а серийное производство ГАЗ М-1 началось в феврале 1936 года. Серийное производство БА-20 передали на Выксунский завод ДРО в июле 1936 года, и до конца года здесь сумели изготовить 33 линейных броневика и 2 БА-20 с радиостанцией и поручневой антенной на корпусе. Причем одно время выпуск    БА-20 шел параллельно с ФАИ (15218).</w:t>
      </w:r>
    </w:p>
    <w:p w14:paraId="700E7F1A" w14:textId="77777777" w:rsidR="00F46121" w:rsidRPr="00C33834" w:rsidRDefault="00F46121" w:rsidP="00C33834">
      <w:pPr>
        <w:spacing w:after="0" w:line="240" w:lineRule="auto"/>
        <w:jc w:val="both"/>
        <w:rPr>
          <w:rFonts w:ascii="Times New Roman" w:hAnsi="Times New Roman"/>
          <w:color w:val="000000" w:themeColor="text1"/>
          <w:sz w:val="16"/>
          <w:szCs w:val="16"/>
        </w:rPr>
      </w:pPr>
    </w:p>
    <w:p w14:paraId="772F04E6" w14:textId="77777777" w:rsidR="00F46121" w:rsidRPr="00C33834" w:rsidRDefault="00F46121" w:rsidP="00C33834">
      <w:pPr>
        <w:widowControl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октябре 1933 года на ГАЗ начали проектирование нового легкового автомобиля, первые опытные образцы собрали в январе </w:t>
      </w:r>
      <w:smartTag w:uri="urn:schemas-microsoft-com:office:smarttags" w:element="metricconverter">
        <w:smartTagPr>
          <w:attr w:name="ProductID" w:val="1945 г"/>
        </w:smartTagPr>
        <w:r w:rsidRPr="00C33834">
          <w:rPr>
            <w:rFonts w:ascii="Times New Roman" w:hAnsi="Times New Roman"/>
            <w:color w:val="000000" w:themeColor="text1"/>
            <w:sz w:val="16"/>
            <w:szCs w:val="16"/>
          </w:rPr>
          <w:t>1934 г</w:t>
        </w:r>
      </w:smartTag>
      <w:r w:rsidRPr="00C33834">
        <w:rPr>
          <w:rFonts w:ascii="Times New Roman" w:hAnsi="Times New Roman"/>
          <w:color w:val="000000" w:themeColor="text1"/>
          <w:sz w:val="16"/>
          <w:szCs w:val="16"/>
        </w:rPr>
        <w:t xml:space="preserve">., а серийное производство ГАЗ М-1 началось в феврале 1936 года. Автомобиль ГАЗ М-1 (Молотов-1) был создан на базе американского «Форд-40». Документация по последнему была поставлена в СССР фирмой «Форд моторс компани» по договору о технической помощи, заключенному в 1929 году. Новая машина, разработанная под руководством главного конструктора Горьковского автозавода А.А. Липгарта, значительно отличалась от ГАЗ-А. Она имела более мощный двигатель, новую коробку перемены передач, более жесткую раму и т.д.В </w:t>
      </w:r>
      <w:smartTag w:uri="urn:schemas-microsoft-com:office:smarttags" w:element="metricconverter">
        <w:smartTagPr>
          <w:attr w:name="ProductID" w:val="1945 г"/>
        </w:smartTagPr>
        <w:r w:rsidRPr="00C33834">
          <w:rPr>
            <w:rFonts w:ascii="Times New Roman" w:hAnsi="Times New Roman"/>
            <w:color w:val="000000" w:themeColor="text1"/>
            <w:sz w:val="16"/>
            <w:szCs w:val="16"/>
          </w:rPr>
          <w:t>1935 г</w:t>
        </w:r>
      </w:smartTag>
      <w:r w:rsidRPr="00C33834">
        <w:rPr>
          <w:rFonts w:ascii="Times New Roman" w:hAnsi="Times New Roman"/>
          <w:color w:val="000000" w:themeColor="text1"/>
          <w:sz w:val="16"/>
          <w:szCs w:val="16"/>
        </w:rPr>
        <w:t xml:space="preserve"> производство автомобиля ГАЗ-А на Горьковском автозаводе было прекращено (15218).</w:t>
      </w:r>
    </w:p>
    <w:p w14:paraId="61DBE084" w14:textId="77777777" w:rsidR="00F46121" w:rsidRPr="00C33834" w:rsidRDefault="00F46121" w:rsidP="00C33834">
      <w:pPr>
        <w:widowControl w:val="0"/>
        <w:spacing w:after="0" w:line="240" w:lineRule="auto"/>
        <w:jc w:val="both"/>
        <w:rPr>
          <w:rFonts w:ascii="Times New Roman" w:hAnsi="Times New Roman"/>
          <w:color w:val="000000" w:themeColor="text1"/>
          <w:sz w:val="16"/>
          <w:szCs w:val="16"/>
        </w:rPr>
      </w:pPr>
    </w:p>
    <w:p w14:paraId="4B41169F"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1933г. завод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(1939г.)/ /150040 г. Ярославль пр. Октября, 75 тел. 27-40-11) изготовил два шасси для первых троллейбусов ЛК (Лазарь Каганович), выпускашихся на ЗиСе. В 1935г. заводу поручено проектирование и освоение производства троллейбусов с выпуском в 1936г. 250 машин. Осенью 1935г.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25.07.1936г. В 01.1937г.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 (11982).</w:t>
      </w:r>
    </w:p>
    <w:p w14:paraId="1B0DB678"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781DD1DD"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между ГАУ и ЦРЛ был заключен договор, явившийся первым в Советском Союзе юридическим документом, положившим начало планомерным научным исследованиям и опытно-конструкторским работам по радиообнаружению, и первым документом систематического финансирования таких работ (ЦГАСА, ф. 20, оп. 41, ед. хр. 70, л. 72 – 146) (11026).</w:t>
      </w:r>
    </w:p>
    <w:p w14:paraId="2B08F4F0"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2947DAF6" w14:textId="77777777" w:rsidR="00995B13" w:rsidRPr="00C33834" w:rsidRDefault="00995B1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октябре 1933 г. автозавод им. Сталина изготовил кузова для двух троллейбусов, а завод «Динамо» - электрооборудование и электромоторы. Собирали троллейбусы ЛК-1 на СВАРЗе - Сокольническом вагоно-авторемонтном заводе. Первые рейсы троллейбусы совершили в октябре по Ленинградскому шоссе от Тверской заставы до моста через окружную железную дорогу. Троллейбус ЛК-1 мог развивать скорость до 60 км/ч, вмещать 45 пассажиров, у него было 37 сидячих мест. По этим образцам была построена значительная серия машин на заводе АреМЗ под маркой Л К-2.</w:t>
      </w:r>
    </w:p>
    <w:p w14:paraId="44A7E828" w14:textId="77777777" w:rsidR="00995B13" w:rsidRPr="00C33834" w:rsidRDefault="00995B1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НАМИ проработал вопрос о создании конструкции многоместного транспортного средства в помощь трамваю По инициативе Моссовета. В качестве такового конструкторское бюро автоотдела под руководством А.А. Липгарта при участии А.Н. Островцова, П.Ф. Бромлея, Б.М. Фиттермана предложило и разработало троллейбус. По заданию 1-го секретаря МК ВКП (б) Лазаря Кагановича проектируется двухосный троллейбус на базе шасси автобуса Я-6. Машины получили индекс «ЛК» (Лазарь Каганович). На 3-й партийной конференции Октябрьского района г. Москвы делегат конференции, рабочий опытного завода т. Клименко рапортовал: «В подарок XVII съезду ВКП (б) мы выпустили досрочно троллейбус» (22518).</w:t>
      </w:r>
    </w:p>
    <w:p w14:paraId="788229BC" w14:textId="77777777" w:rsidR="00995B13" w:rsidRPr="00C33834" w:rsidRDefault="00995B13" w:rsidP="00C33834">
      <w:pPr>
        <w:spacing w:after="0" w:line="240" w:lineRule="auto"/>
        <w:jc w:val="both"/>
        <w:rPr>
          <w:rFonts w:ascii="Times New Roman" w:hAnsi="Times New Roman"/>
          <w:color w:val="0070C0"/>
          <w:sz w:val="16"/>
          <w:szCs w:val="16"/>
        </w:rPr>
      </w:pPr>
    </w:p>
    <w:p w14:paraId="3487FE05" w14:textId="77777777" w:rsidR="00995B13" w:rsidRPr="00C33834" w:rsidRDefault="00995B1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shd w:val="clear" w:color="auto" w:fill="FFFFFF"/>
        </w:rPr>
        <w:t>В октябре 1933 г.  связи с организацией троллейбусного движения в Головановском переулке (в районе нынешней станции метро "Сокол") был выстроен гараж для обслуживания 4 машин. Вновь поступавшие машины ЛК стояли ночью на улице. В июне 1934 г. на 10-м километре Ленинградского шоссе началось строительство нового гаража-профилактория на 54 машино-места и стоянкой на 84 ед. 10 января 1935 г. сюда были поставлены первые 24 машины ЛК (на инвентаре тогда было 38 машин). Он был достроен только в конце 1938 г. Официально парк открыт 10 мая 1935 г. (по адресу: Ленинградское шоссе, 236а). В начале 1936 г. в парке был 61 троллейбус ЛК, а в июле этого года с Ярославского завода прибыл первый троллейбус ЯТБ-1 (N 101). На 1 января 1937 г. в парке было 89 машин, в т.ч. 60 ЛК и 29 ЯТБ-1. В 1937 г. в парк поступили два английских троллейбуса, а в 1938-39 гг. 10 двухэтажных машин ЯТБ-3. В начале 1941 г. в нем было 239 троллейбусов (главным образом ЯТБ-1, старые машины ЛК, которые эксплуатировались только этим парком, в 19З9-40 гг. были переделаны в грузовые, а во время войны было переоборудовано и большинство ЯТБ-1, которые стали обслуживать Северный речной порт, куда прибывали топливо, продовольствие и другие грузы. В 1945 г. в парке на ходу было только 73 троллейбуса (21510).</w:t>
      </w:r>
    </w:p>
    <w:p w14:paraId="6028CEDF" w14:textId="77777777" w:rsidR="00995B13" w:rsidRPr="00C33834" w:rsidRDefault="00995B13" w:rsidP="00C33834">
      <w:pPr>
        <w:spacing w:after="0" w:line="240" w:lineRule="auto"/>
        <w:jc w:val="both"/>
        <w:rPr>
          <w:rFonts w:ascii="Times New Roman" w:hAnsi="Times New Roman"/>
          <w:color w:val="0070C0"/>
          <w:sz w:val="16"/>
          <w:szCs w:val="16"/>
        </w:rPr>
      </w:pPr>
    </w:p>
    <w:p w14:paraId="215A1F21" w14:textId="77777777" w:rsidR="00995B13" w:rsidRPr="00C33834" w:rsidRDefault="00995B1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октябре 1933 года в рамках работ по первому направлению (работы в области «противосамолетной» радиолокации развернулись в Советском Союзе по двум магистральным направлениям: – создания радиолокационных средств обнаружения летательных аппаратов противника управления огнем зенитных средств (зенитной артиллерии), что подразумевало тактический характер применения таких радиотехнических средств; – создания радиолокационных средств большой дальности для раннего обнаружения самолетов противника, что представляло собой уже задачу оперативно-тактического, а может быть, и стратегического – по меркам того времени – характера.) между ГАУ и ЦРЛ был заключен договор, явившийся, по оценкам отечественных специалистов, первым в Советском Союзе юридическим документом, положившим начало планомерным научным исследованиям и опытно-конструкторским работам по радиообнаружению, и первым документом систематического финансирования таких работ. Работы по данной теме в Центральной радиолаборатории возглавил руководитель группы дециметровых волн этой организации 26-летний инженер Юрий Константинович Коровин (22709).</w:t>
      </w:r>
    </w:p>
    <w:p w14:paraId="1968F774" w14:textId="77777777" w:rsidR="00995B13" w:rsidRPr="00C33834" w:rsidRDefault="00995B13" w:rsidP="00C33834">
      <w:pPr>
        <w:spacing w:after="0" w:line="240" w:lineRule="auto"/>
        <w:jc w:val="both"/>
        <w:rPr>
          <w:rFonts w:ascii="Times New Roman" w:hAnsi="Times New Roman"/>
          <w:color w:val="0070C0"/>
          <w:sz w:val="16"/>
          <w:szCs w:val="16"/>
          <w:lang w:eastAsia="ru-RU" w:bidi="ru-RU"/>
        </w:rPr>
      </w:pPr>
    </w:p>
    <w:p w14:paraId="11A95329"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создано ЦКБТМ (ЦКБ текстильного машиностроения (ЦКБТМ) НКТП, Центральное проектно- экспериментальное бюро легкого машиностроения (ЦПБЛМ) НКМ, ГС НИИ машиностроения для текстильной и легкой промышленности (НИИЛТмаш) НКОМ, НКМВ /г. Москва/). По пр. от 4.09.1937г. переименовано в Центральное проектно-экспериментальное бюро легкого машиностроения. По пр. от 14.05.1939г. реорганизовано в НИИЛТмаш. В 1939-40 г. институт имел статус Государственного Союзного. По пр. от 16.07.1941 г. на базе «Проектобщемаша» и НИИЛТмаша организован НИИ минометного вооружения (НИИ № 1). Предприятие находилось в ведении: НКТП (1933-37г.), НКМ (1937-39г.), НКОМ (1939-41 г.), НКМВ (1941-41 г.).</w:t>
      </w:r>
      <w:r w:rsidRPr="00C33834">
        <w:rPr>
          <w:rFonts w:ascii="Times New Roman" w:hAnsi="Times New Roman"/>
          <w:color w:val="000000" w:themeColor="text1"/>
          <w:sz w:val="16"/>
          <w:szCs w:val="16"/>
          <w:vertAlign w:val="superscript"/>
        </w:rPr>
        <w:t xml:space="preserve">137 </w:t>
      </w:r>
      <w:r w:rsidRPr="00C33834">
        <w:rPr>
          <w:rFonts w:ascii="Times New Roman" w:hAnsi="Times New Roman"/>
          <w:color w:val="000000" w:themeColor="text1"/>
          <w:sz w:val="16"/>
          <w:szCs w:val="16"/>
        </w:rPr>
        <w:t>(11982).</w:t>
      </w:r>
    </w:p>
    <w:p w14:paraId="27E819AC"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0E2DA3CB"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было создано Центральное конструкторское бюро текстильного машиностроения (ЦКБТМ) Приказом Наркомата машиностроения СССР от 4 сентября 1937 г. бюро переименовано в Центральное проектно-экспериментальное бюро легкого машиностроения. Приказом Наркомата общего машиностроения СССР от 14 мая 1939 г. бюро реорганизовано в Научно-исследовательский институт машиностроения для текстильной и легкой промышленности "НИИЛТмаш". В 1939 - 1940 гг. институт назывался Государственный союзный научно-исследовательский институт машиностроения для текстильной и легкой промышленности "НИИЛТмаш". Приказом Наркомата минометного вооружения СССР от 16 июля 1942 г. на базе института и Всесоюзной конторы по проектированию заводов общего машиностроения "Проектобщмаш" создан Научно-исследовательский институт минометного вооружения "НИИ-1". Постановлением Совета Народных Комиссаров СССР от 17 февраля 1946 г. НИИ-1 переименован в Научно-исследовательский институт текстильного и легкого машиностроения "НИИЛтекмаш", а приказом Госкомитета Совета Министров СССР по автоматизации и машиностроению от 4 июня 1959 г. переименован во Всесоюзный научно-исследовательский институт легкого и текстильного машиностроения (ВНИИЛтекмаш) (12102).</w:t>
      </w:r>
    </w:p>
    <w:p w14:paraId="07F16117" w14:textId="77777777" w:rsidR="00F46121" w:rsidRPr="00C33834" w:rsidRDefault="00F46121" w:rsidP="00C33834">
      <w:pPr>
        <w:spacing w:after="0" w:line="240" w:lineRule="auto"/>
        <w:jc w:val="both"/>
        <w:rPr>
          <w:rFonts w:ascii="Times New Roman" w:hAnsi="Times New Roman"/>
          <w:color w:val="000000" w:themeColor="text1"/>
          <w:sz w:val="16"/>
          <w:szCs w:val="16"/>
        </w:rPr>
      </w:pPr>
    </w:p>
    <w:p w14:paraId="522667A0"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по заданию ГАУ в отделе приемных устройств ЦРЛ начаты исследования по обнаружению самолетов с помощью радиоволн. В состав отдела входила военно-морская лаборатория, группа исследователей техники дециметровых волн. 14.02.1934 г. начаты ОКР по радиообнаружению самолетов для обеспечения стрельбы зенитной артиллерии. В 05.1935 г. изготовлена экспериментальная радиоустановка.</w:t>
      </w:r>
    </w:p>
    <w:p w14:paraId="26624EC7"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1934 г. на базе ЦРЛ организован Радиоэкспериментальный институт. В ~1936 г. на базе ЦРЛ созданы ОРПУ КМРС и ИРПА. В 12.1936 г. ИРПА передан в ведение НКОП (при передаче планировалось переименовать его по аналогии с другими институтами в НИИ-20, но это не было сделано), приказом № 148 от 17.04.1937 г. утвержден Устав института. В 07.1937-12.1938 г. ИРПА - в ведении 5ГУ. По Указу Президиума ВС СССР от 17.04.1940 г. передан из 7ГУ НКАП в НКЭП (11982).</w:t>
      </w:r>
    </w:p>
    <w:p w14:paraId="2474E01E"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3A27D892" w14:textId="77777777" w:rsidR="00995B13" w:rsidRPr="00C33834" w:rsidRDefault="00995B1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октябре 1933 г. в Харькове вручную собрали и настроили первые три пленочных фотоаппарата «ФЭД». Планировалось, что завод фотоаппаратов будет независимым предприятием, однако воспитанники коммуны, им. Дзержинского, принимавшие самое деятельное участие в его строительстве, были против и настояли на том, чтобы он оставался в составе коммуны. В этом их самым активным образом поддержал Макаренко. Коммуна продолжала работать, наряду с производством, вполне современным по тем временам, в ее составе действовали школа, рабфак и техникум, которые превращали малолетних бомжей в полноценных членов общества, открывая перед ними настоящую жизнь.</w:t>
      </w:r>
    </w:p>
    <w:p w14:paraId="25AC1CED" w14:textId="77777777" w:rsidR="00995B13" w:rsidRPr="00C33834" w:rsidRDefault="00995B1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Изготовление фотоаппарата — дело тонкое, сравнимое с работой часовщика, причем к механике подключается и оптика со своими специфическими требованиями. И такое производство удалось поставить на поток, организовать по всем правилам науки планирования. Успешное освоение выпуска пленочных фотоаппаратов означало новый этап развития коммуны.</w:t>
      </w:r>
    </w:p>
    <w:p w14:paraId="56DE794D" w14:textId="77777777" w:rsidR="00995B13" w:rsidRPr="00C33834" w:rsidRDefault="00995B1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1935 г. был изготовлен десятитысячный фотоаппарат ФЭД, эта камера успела завоевать симпатии и любителей, и профессионалов. Она работала на земле, в небесах и на море, и в Сибири, и в Средней Азии, и даже на Северном полюсе в экспедиции Папанина был такой фотоаппарат. Росли объемы производства — так, за 1936 г. фотоаппаратов ФЭД было сделано уже 25000 штук. Но техника техникой, а главной задачей коммуны оставалось перевоспитание трудных подростков, и в силу требований времени руководить этим продолжали чекисты — начальниками коммуны были И.П. Судаков, П.К. Тихонов, а с 1936 г. — В.С. Берман (23014).</w:t>
      </w:r>
    </w:p>
    <w:p w14:paraId="2FE06A92" w14:textId="77777777" w:rsidR="00995B13" w:rsidRPr="00C33834" w:rsidRDefault="00995B13" w:rsidP="00C33834">
      <w:pPr>
        <w:spacing w:after="0" w:line="240" w:lineRule="auto"/>
        <w:jc w:val="both"/>
        <w:rPr>
          <w:rFonts w:ascii="Times New Roman" w:hAnsi="Times New Roman"/>
          <w:color w:val="0070C0"/>
          <w:sz w:val="16"/>
          <w:szCs w:val="16"/>
        </w:rPr>
      </w:pPr>
    </w:p>
    <w:p w14:paraId="32C69EBD" w14:textId="77777777" w:rsidR="00F46121" w:rsidRPr="00C33834" w:rsidRDefault="00F4612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октября 1933 года сходненское производство стало филиалом завода «Точизмеритель», снабжающим завод стекольными полуфабрикатами (9353).</w:t>
      </w:r>
    </w:p>
    <w:p w14:paraId="08C48936" w14:textId="77777777" w:rsidR="00F46121" w:rsidRPr="00C33834" w:rsidRDefault="00F46121" w:rsidP="00C33834">
      <w:pPr>
        <w:spacing w:after="0" w:line="240" w:lineRule="auto"/>
        <w:jc w:val="both"/>
        <w:rPr>
          <w:rFonts w:ascii="Times New Roman" w:hAnsi="Times New Roman"/>
          <w:color w:val="000000" w:themeColor="text1"/>
          <w:sz w:val="16"/>
          <w:szCs w:val="16"/>
        </w:rPr>
      </w:pPr>
    </w:p>
    <w:p w14:paraId="76D09A35"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вступила в строй головная лодка "Щука", давшая наименование всей серии и вскоре отнесенная к средним подводным лодкам. Строителем ее бьш инженер М. Л. Ковальский. Почти одновремен</w:t>
      </w:r>
      <w:r w:rsidRPr="00C33834">
        <w:rPr>
          <w:rFonts w:ascii="Times New Roman" w:hAnsi="Times New Roman"/>
          <w:color w:val="000000" w:themeColor="text1"/>
          <w:sz w:val="16"/>
          <w:szCs w:val="16"/>
        </w:rPr>
        <w:softHyphen/>
        <w:t>но были окончены постройкой "Окунь" и "Ерш" (3898).</w:t>
      </w:r>
    </w:p>
    <w:p w14:paraId="3BB8C8EF"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3B013F08" w14:textId="77777777" w:rsidR="001E1317" w:rsidRPr="00C33834" w:rsidRDefault="001E13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 январе 1934 г. на Северной вер</w:t>
      </w:r>
      <w:r w:rsidRPr="00C33834">
        <w:rPr>
          <w:rFonts w:ascii="Times New Roman" w:hAnsi="Times New Roman"/>
          <w:color w:val="000000" w:themeColor="text1"/>
          <w:sz w:val="16"/>
          <w:szCs w:val="16"/>
        </w:rPr>
        <w:softHyphen/>
        <w:t>фи заложили тральщики "Заряд" (Т-201), "Буй" (Т-202), "Патрон" (Т-203) "Фугас" (Т-204), по названию последнего корабля быстроходные тральщики впоследствии стали именовать типом "Фугас". Строите</w:t>
      </w:r>
      <w:r w:rsidRPr="00C33834">
        <w:rPr>
          <w:rFonts w:ascii="Times New Roman" w:hAnsi="Times New Roman"/>
          <w:color w:val="000000" w:themeColor="text1"/>
          <w:sz w:val="16"/>
          <w:szCs w:val="16"/>
        </w:rPr>
        <w:softHyphen/>
        <w:t>лем тральщиков типа "Фугас" на Северной верфи был инженер И. С. Кузовов (3898).</w:t>
      </w:r>
    </w:p>
    <w:p w14:paraId="39DBF750" w14:textId="77777777" w:rsidR="001E1317" w:rsidRPr="00C33834" w:rsidRDefault="001E1317" w:rsidP="00C33834">
      <w:pPr>
        <w:spacing w:after="0" w:line="240" w:lineRule="auto"/>
        <w:jc w:val="both"/>
        <w:rPr>
          <w:rFonts w:ascii="Times New Roman" w:hAnsi="Times New Roman"/>
          <w:color w:val="000000" w:themeColor="text1"/>
          <w:sz w:val="16"/>
          <w:szCs w:val="16"/>
        </w:rPr>
      </w:pPr>
    </w:p>
    <w:p w14:paraId="46AB96FF" w14:textId="77777777" w:rsidR="00570C39" w:rsidRPr="00C33834" w:rsidRDefault="008E43FA"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3FCC93CC"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264EC6D0"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на первых совместных маневрах минно-торпедной авиации и флота, проводив</w:t>
      </w:r>
      <w:r w:rsidRPr="00C33834">
        <w:rPr>
          <w:rFonts w:ascii="Times New Roman" w:hAnsi="Times New Roman"/>
          <w:color w:val="000000" w:themeColor="text1"/>
          <w:sz w:val="16"/>
          <w:szCs w:val="16"/>
        </w:rPr>
        <w:softHyphen/>
        <w:t>шихся на Балтике, летающие лодки С-62Б прикрыли ды</w:t>
      </w:r>
      <w:r w:rsidRPr="00C33834">
        <w:rPr>
          <w:rFonts w:ascii="Times New Roman" w:hAnsi="Times New Roman"/>
          <w:color w:val="000000" w:themeColor="text1"/>
          <w:sz w:val="16"/>
          <w:szCs w:val="16"/>
        </w:rPr>
        <w:softHyphen/>
        <w:t>мом подход к кораблям-целям тор</w:t>
      </w:r>
      <w:r w:rsidRPr="00C33834">
        <w:rPr>
          <w:rFonts w:ascii="Times New Roman" w:hAnsi="Times New Roman"/>
          <w:color w:val="000000" w:themeColor="text1"/>
          <w:sz w:val="16"/>
          <w:szCs w:val="16"/>
        </w:rPr>
        <w:softHyphen/>
        <w:t>педоносцев ТБ-1 (12269).</w:t>
      </w:r>
    </w:p>
    <w:p w14:paraId="372DDAE7" w14:textId="77777777" w:rsidR="00BA29CE" w:rsidRPr="00C33834" w:rsidRDefault="00BA29CE" w:rsidP="00C33834">
      <w:pPr>
        <w:spacing w:after="0" w:line="240" w:lineRule="auto"/>
        <w:jc w:val="both"/>
        <w:rPr>
          <w:rFonts w:ascii="Times New Roman" w:hAnsi="Times New Roman"/>
          <w:color w:val="000000" w:themeColor="text1"/>
          <w:sz w:val="16"/>
          <w:szCs w:val="16"/>
        </w:rPr>
      </w:pPr>
    </w:p>
    <w:p w14:paraId="7533926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на Дальнем Востоке уже сосредоточили ударный «кулак» из трех бригад - 26-й, 28-й и 29-й, имевших в общей сложности 134 ТБ-3. Этому способствовала переброска из европейской части страны целиком 11 -и ТБАБ из Воронежа (на новом месте, в Нерчинске, она стала 29-й). В Воронеже вместо нее в 1934 г. сформировали новую бригаду с прежним номером. Эти силы являлись серьезным сдерживающим фактором для агрессивных устремлений Японии, чьи военные очень уважительно относились к «длинной руке» РККА. Так, оценивая потенциальные потери от удара советских тяжелых бомбардировщиков по району Токио, майор Катаока пришел к выводу, что ущерб превзойдет тот, что нанесло знаменитое землетрясение 1923 г. Противопоставить ТБ-3 японцам тогда было нечего (7668).</w:t>
      </w:r>
    </w:p>
    <w:p w14:paraId="5683717F"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0BA6027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на Дальнем Востоке уже сосредоточили ударный "кулак" из трех бригад - 26-й, 28-й и 29-й, имевших в обшей сложности 134 ТБ-3. Этому способствовала переброска из Европейской части страны целиком 11-й бригады из Воронежа (на новом месте, в Нерчинске, она стала 29-й). В Воронеже вместо нее в 1934 г. сформировали новую бригаду с прежним номером.</w:t>
      </w:r>
    </w:p>
    <w:p w14:paraId="7AB91CD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Эти силы являлись серьезным сдерживающим фактором для агрессивных устремлений Японии, чьи военные очень уважительно относились к "длинной руке" РККА. Так, оценивая потенциальные потери от удара советских тяжелых бомбардировщиков по району Токио, майор Катаока пришел к выводу, что ущерб превзойдет тот, что нанесло знаменитое землетрясение 1923 г. Противопоставить ТБ-3 японцам тогда было нечего. В августе 1933 г. известный японский военный специалист Хирота даже предложил план нанесения упреждающего удара по аэродромам Приморья силами палубной авиации, не считаясь ни с потерями самолетов, ни с возможной гибелью авианосцев.</w:t>
      </w:r>
    </w:p>
    <w:p w14:paraId="2A954CB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Наши штабисты действительно занимались планированием массированных бомбовых ударов по Токио, Осаке и другим городам Страны восходящего солнца. Но зная реальные возможности имеющейся техники и аэродромной сети, эффективность налетов они оценивали существенно ниже, а потери - выше, чем японские коллеги (12024).</w:t>
      </w:r>
    </w:p>
    <w:p w14:paraId="3CADAB47"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6D909A9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на Дальнем Востоке уже сосредоточили ударный "кулак" из трех бригад - 26-й, 28-й и 29-й, имевших в общей сложности 134 ТБ-3. Этому способствовала переброска из Европейской части страны целиком 11-й тбаб из Воронежа (на новом месте, в Нерчинске, она стала 29-й). В Воронеже вместо нее в 1934 г. сформировали новую бригаду с прежним номером.</w:t>
      </w:r>
    </w:p>
    <w:p w14:paraId="5F88280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Эти силы являлись серьезным сдерживающим фактором для агрессивных устремлений Японии, чьи военные очень уважительно относились к "длинной руке" РККА. Так, оценивая потенциальные потери от удара советских тяжелых бомбардировщиков по району Токио, майор Катаока пришел к выводу, что ущерб превзойдет тот, что нанесло знаменитое землетрясение 1923 г. Противопоставить ТБ-3 японцам тогда было нечего. В августе 1933 г. известный японский военный специалист Хирота даже предложил план нанесения упреждающего удара по аэродромам Приморья силами палубной авиации, не считаясь ни с потерями самолетов, ни с возможной гибелью авианосцев.</w:t>
      </w:r>
    </w:p>
    <w:p w14:paraId="0573F71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за год смогли сформировать 17 тяжелобомбардировочных эскадрилий. При этом доля бомбардировочной авиации в ВВС РККА поднялась с 26% до 35%. Хотели же получить гораздо больше - из-за недовыполнения планов в 1933 г. отказались от создания шести тяжелобомбардировочных бригад. По первоначальным наметкам уже к концу того года хотели иметь 864 тяжелых бомбардировщика в сухопутной авиации и 576 - в морской (12036).</w:t>
      </w:r>
    </w:p>
    <w:p w14:paraId="4CDB4529"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12F90FE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Р-5 морской авиации приняли участие в маневрах Балтийского флота. Они поддерживали атаку ТБ-1 с авиационными минами и торпедами (11936).</w:t>
      </w:r>
    </w:p>
    <w:p w14:paraId="77E330B5"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61D0874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Р-5 морской авиации приняли участие в маневрах Балтийского флота. Они поддерживали атаку ТБ-1 с авиационными минами и торпедами. Самолеты были вооружены практическими бомбами и выливны- ми приборами, заправленными водой. Перед ними ставилась задача подавления зенитных средств кораблей. Действия авиации на этих учениях признали не очень удачными - несогласованность по времени привела к большому интервалу между атакой Р-5 и торпедоносцев, а истребители прикрытия вообще не нашли своих "подопечных" (12034).</w:t>
      </w:r>
    </w:p>
    <w:p w14:paraId="17E20AC1"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55C359C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на первых учениях отечественной минно-торпедной авиации была опробована ее тактика.</w:t>
      </w:r>
    </w:p>
    <w:p w14:paraId="425885C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Сброс предполагалось осуществлять группой самолетов из строя залпом по команде ведущего. При этом большое значение придавалось выдерживанию дистанции между машинами в строю. Самолеты должны были лететь фронтом или пеленгом. Дистанцию собирались измерять специальным дальномером конструкции А.Э. Столярского. Для прицеливания при сбросе мин и торпед с парашютами создали прицел СП-123 (принятый на вооружение как ПВТБ-1). А в будущем рассчитывали получить от промышленности телемеханическую (радиоуправляемую) систему, при использовании которой бомбардир само- лета-лидера мог одновременно сбросить все мины, которые несли машины группы.</w:t>
      </w:r>
    </w:p>
    <w:p w14:paraId="5910221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Поскольку при тогдашних средствах аэронавигации определить точное место установки мины было довольно трудно, то заграждения планировалось выставлять в узких проходах, у баз вражеского флота и на коммуникациях в тылу противника. Кроме того, предложена была тактика "динамического вомизомета- ния" - сброса мин на пути движущегося корабля. При этом на поражение его миной не очень рассчитывали. Ставилась задача - сковать маневр корабля, ведущего артиллерийский бой или подвергающегося атаке торпедных катеров. При этом самолету отводилась роль "загонщика". "Маневренное применение ВОМИЗ может совершенно изменить как характер морского боя, так и его исход...", - отмечалось в отчете НИИ ВВС.</w:t>
      </w:r>
    </w:p>
    <w:p w14:paraId="5AF9AD0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Учения (они именовались "опытовыми") проходили на Балтике по специальному постановлению Реввоенсовета, ими лично руководил начальник ВВС РККА Я.И. Алкснис. Самолеты ТБ-1П 121-й эскадрильи применяли торпеды ТАН-12 и мины МАВ-1 (12001).</w:t>
      </w:r>
    </w:p>
    <w:p w14:paraId="37705829"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6BF2FC9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состоялись первые учения с применением торпедоносцев Учения проходили на Балтике по специальному постановлению Реввоенсовета под личным руководством заместителя Наркома по военным и морским делам М.Н. Тухачевского. В своем письменном докладе К.Е. Ворошилову он отмечал:</w:t>
      </w:r>
    </w:p>
    <w:p w14:paraId="63D091E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"На основании постановления Реввоенсовета СССР от 9 июля 1933 г. мною было проведено 8 октября 1933 г. опытное учение Морских сил Балтийского моря с целью определить возможности дальнейшего развития тактики морского боя и увеличения боевой значимости мелких судов, путем применения высотного бомбо- и минометания. низкого и высотного торпедометания, торпедных катеров, телеуправляемых торпед и дымовых завес...</w:t>
      </w:r>
    </w:p>
    <w:p w14:paraId="537955F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Учение состояло из трех эпизодов.</w:t>
      </w:r>
    </w:p>
    <w:p w14:paraId="70E35D1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1-й эпизод учения имел своей задачей разработку частного случая движения линкора в узкости.</w:t>
      </w:r>
    </w:p>
    <w:p w14:paraId="5D7700F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2-й эпизод имел своей задачей: применением новых технических средств поставить свободно маневрирующий линкор в такое положение, когда он не мог бы использовать всей своей артиллерии и когда он подвергался бы одновременной атаке бомбардировщиков, торпедоносцев, торпедных катеров...</w:t>
      </w:r>
    </w:p>
    <w:p w14:paraId="396CD3D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3-й эпизод состоял из опыта с радиоуправляемой торпедой Бекаури (РУТ). Опыт показал изумительную меткость торпеды.</w:t>
      </w:r>
    </w:p>
    <w:p w14:paraId="1F074C8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учение в совокупности заставляет прийти к следующим выводам:</w:t>
      </w:r>
    </w:p>
    <w:p w14:paraId="760F88B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Применение новых технических средств морского и воздушного боя совершенно по-новому ставит вопрос о борьбе с линейным флотом, особенно в условиях относительной близости берега. Быстроходность линкора и мощь его артиллерийского вооружения могут уменьшиться, иногда почти сводиться на нет применением высотного и низкого торпедометания, высотной постановкой мин заграждения, атаками радиоуправляемыми торпедами и торпедными катерами.</w:t>
      </w:r>
    </w:p>
    <w:p w14:paraId="4CFCE51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Основным выводом из этого является необходимость форсированного создания мощного торпедоносного и мино- заградительного воздушного флота, обратив на это дело в первую очередь все сухопутные ТБ-1.</w:t>
      </w:r>
    </w:p>
    <w:p w14:paraId="1CED931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Охранение линейного флота от атак с воздуха должно быть возложено на специальные суда, несущие на себе:</w:t>
      </w:r>
    </w:p>
    <w:p w14:paraId="6130131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ТБ-1П из состава ВВС Морских сил Балтийского моря</w:t>
      </w:r>
    </w:p>
    <w:p w14:paraId="0C588B3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авиацию, могущую в любой момент подняться в воздух для отражения атак противника;</w:t>
      </w:r>
    </w:p>
    <w:p w14:paraId="3BE138C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зенитные орудия...</w:t>
      </w:r>
    </w:p>
    <w:p w14:paraId="4A4C4A4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 отношении материальной части: ...</w:t>
      </w:r>
    </w:p>
    <w:p w14:paraId="6BC9E4F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необходимо сконструировать специальный самолет-торпедоносец..." (12002).</w:t>
      </w:r>
    </w:p>
    <w:p w14:paraId="3B620F3B"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3BEF1E2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была создана Северная военная флотилия, которая стала Северным флотом 11 мая 1937. Стали строить Полярное (359,110).</w:t>
      </w:r>
    </w:p>
    <w:p w14:paraId="5F63ADB4"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0E0BCACE"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756FF056"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62641996" w14:textId="77777777" w:rsidR="00562118" w:rsidRPr="00C33834" w:rsidRDefault="0056211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 Каганович поручил особой комиссии внимательнее присмотреться к деятельности Метростроя и созвал ряд совещаний с руководством этой организации, накоторых обсуждались накопившиеся проблемы. Его приговор был уничтожающ: «То, что сейчас делается, совершенно не годится: без нормирования, без порядка, без дисциплины, без требования дисциплины, без организации»{505}.Несмотря на слабый прогресс в ходе строительства, Каганович настаивал, чтобы до конца 1934 г. завершить первую очередь. Совместно с инженерами Метростроя он в течение недели разработал в Московском комитете партии постановление, призванное внести решающий перелом. Не посягая на конечную цель, Метрострой должен был, однако, включить в постановление все необходимое с точки зрения предприятия. Каганович оказывал давление на Метрострой, но в то же время всячески его поддерживал{506} (18299).</w:t>
      </w:r>
    </w:p>
    <w:p w14:paraId="3536838F" w14:textId="77777777" w:rsidR="00562118" w:rsidRPr="00C33834" w:rsidRDefault="00562118" w:rsidP="00C33834">
      <w:pPr>
        <w:spacing w:after="0" w:line="240" w:lineRule="auto"/>
        <w:jc w:val="both"/>
        <w:rPr>
          <w:rFonts w:ascii="Times New Roman" w:hAnsi="Times New Roman"/>
          <w:color w:val="000000" w:themeColor="text1"/>
          <w:sz w:val="16"/>
          <w:szCs w:val="16"/>
        </w:rPr>
      </w:pPr>
    </w:p>
    <w:p w14:paraId="0761C64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года циркуляром ОГПУ №109 в ГУЛАГ предписывалось сообщать «обо всех высококвалифицированных специалистах, осужденных как Тройками ОГПУ, так и органами НКЮ... В сведениях надо указывать: фамилию, имя, отчество, когда и кем осужден, статью, срок, специальность, стаж, последнее место работы... По получении сведений ГУЛАГ ОГПУ будет выдавать индивидуальные наряды на направление осужденных специалистов в лагеря.». На каждого специалиста составлялось особое дело, а карточка с его личными данными поступала в специальную картотеку при центральном аппарате ГУЛАГа (9052).</w:t>
      </w:r>
    </w:p>
    <w:p w14:paraId="4D00C758"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31EC593B"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327F33D"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7B37C1D0" w14:textId="77777777" w:rsidR="00071F1F" w:rsidRPr="00C33834" w:rsidRDefault="00071F1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октябре 1933 года в США был объявлен конкурс на патрульную летающую лодку. Дуглас XP3D-1 уступил самолету XP3Y-1 фирмы «Консолидейтед», предшественником которого был довольно посредственный моноплан-парасоль P2Y. Главный конструктор «Консолидейтеда» Мак Лэддон учел старые ошибки и на новой «модели 28» заменил громоздкую ферму, поддерживающую крыло, обтекаемым центральным пилоном и легкими подкосами. Первый полет XP3Y-1 состоялся 28 марта 1935 года, а спустя всего несколько недель прототип был передан на государственные испытания. Хотя список замечаний был внушительным, но дальность и грузоподъемность значительно перекрыли заданные и позволили рассматривать летающую лодку не только как разведчик, но и как тяжелый бомбардировщик (22816).</w:t>
      </w:r>
    </w:p>
    <w:p w14:paraId="25134EC3" w14:textId="77777777" w:rsidR="00071F1F" w:rsidRPr="00C33834" w:rsidRDefault="00071F1F" w:rsidP="00C33834">
      <w:pPr>
        <w:spacing w:after="0" w:line="240" w:lineRule="auto"/>
        <w:jc w:val="both"/>
        <w:rPr>
          <w:rFonts w:ascii="Times New Roman" w:hAnsi="Times New Roman"/>
          <w:color w:val="0070C0"/>
          <w:sz w:val="16"/>
          <w:szCs w:val="16"/>
        </w:rPr>
      </w:pPr>
    </w:p>
    <w:p w14:paraId="70C14E9A" w14:textId="77777777" w:rsidR="00071F1F" w:rsidRPr="00C33834" w:rsidRDefault="00071F1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октябре 1933 на самолете Farman F.239 французские авиаторы Жан Региненси и Андре Байи установили три мировых рекорда скорости полета на расстояниях 100 километров (62,1 мили), 500 километров (310,5 миль) и 1000 километров (621 миль) (20802).</w:t>
      </w:r>
    </w:p>
    <w:p w14:paraId="42F159E3" w14:textId="77777777" w:rsidR="00071F1F" w:rsidRPr="00C33834" w:rsidRDefault="00071F1F" w:rsidP="00C33834">
      <w:pPr>
        <w:spacing w:after="0" w:line="240" w:lineRule="auto"/>
        <w:jc w:val="both"/>
        <w:rPr>
          <w:rFonts w:ascii="Times New Roman" w:hAnsi="Times New Roman"/>
          <w:color w:val="0070C0"/>
          <w:sz w:val="16"/>
          <w:szCs w:val="16"/>
        </w:rPr>
      </w:pPr>
    </w:p>
    <w:p w14:paraId="1600D620" w14:textId="77777777" w:rsidR="00071F1F" w:rsidRPr="00C33834" w:rsidRDefault="00071F1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Вилли Мессершмитт в фирме Байрише Флюгцойгверке начал строительство Bf-108 и машина поднялась в воздух в феврале 1934 (3417, 37).</w:t>
      </w:r>
    </w:p>
    <w:p w14:paraId="3923530E" w14:textId="77777777" w:rsidR="00071F1F" w:rsidRPr="00C33834" w:rsidRDefault="00071F1F" w:rsidP="00C33834">
      <w:pPr>
        <w:spacing w:after="0" w:line="240" w:lineRule="auto"/>
        <w:jc w:val="both"/>
        <w:rPr>
          <w:rFonts w:ascii="Times New Roman" w:hAnsi="Times New Roman"/>
          <w:color w:val="000000" w:themeColor="text1"/>
          <w:sz w:val="16"/>
          <w:szCs w:val="16"/>
        </w:rPr>
      </w:pPr>
    </w:p>
    <w:p w14:paraId="3EAB5DF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 1933 года «Мэкон» прилетел в Саннивейл, место своего постоянного базирования, чтобы участвовать в совместных учениях с кораблями в Тихом океане. Во время этого длительного перелета через весь континент, который проходил в тяжелых метеоусловиях, дирижабль продемонстрировал хорошую управляемость и устойчивость. Но маневры показали, что «Мэкон» малопригоден для тактической разведывательной деятельности, так как может быть быстро уничтожен зенитной артиллерией кораблей противника и истребителями с авианосцев. Дирижабельные самолеты имели слабую эффективность, к тому же вследствие оснащения плохо работающей радионавигационной аппаратурой, они не могли удаляться от дирижабля более чем на 40 км из-за опасности потерять с ним визуальный контакт. Успехи и неудачи сменяли друг друга, но постепенно все наладилось. За время пребывания на западе США «Мэкон» получил новый палубный [443] самолет. Двухместный N2Y-1 был признан устаревшим, и его место занял трехместный учебно-спортивный биплан Вако UBF, получивший обозначение XJW-1. В марте 1934 года самолеты прибыли на аэродром Саннивейла и сразу же продемонстрировали свои прекрасные посадочные характеристики. В дальнейшем эти машины использовались в качестве «летающих моторных лодок» для связи дирижабля с землей (11324).</w:t>
      </w:r>
    </w:p>
    <w:p w14:paraId="4F40179B"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7222C992"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B9BDDDA"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659AB8C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октябре-ноябре 1933 самолет В.К.Грибовского Г-10, оснащенный М-23 (65 нр) успешно прошел госиспытания на ЛИС ВВА им. Жуковского. Вли Т.Т.Алтынов. Летало еще 7 л НИИ ВВС, ВВАЮ Осоавиахима (9080).</w:t>
      </w:r>
    </w:p>
    <w:p w14:paraId="7BAEA5AB"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76167DF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октябре-декабре 1933 АИР-7 испытывали в НИИ ВВС (1771,7).</w:t>
      </w:r>
    </w:p>
    <w:p w14:paraId="57EC5044"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1FD01633"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CF05FAC"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7C93055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ноябрю 1933 г. бомбовые кассеты для ТБ4-8М34 были установлены и испытаны на бомбардировщике ТБ-3. На другой такой же машине опробовали элементы стрелкового вооружения (12024).</w:t>
      </w:r>
    </w:p>
    <w:p w14:paraId="2F412C8E"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72571BEC"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2D732DC"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64C6DAC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1933 был закончен проект ДБ-1 М-34 - военного варианта РД - и чертежи были сданы в производство с серией на 39 заводе. Потом хотели передать на 124, но попал на 18 (2287,131).</w:t>
      </w:r>
    </w:p>
    <w:p w14:paraId="3BC4726A"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7A66301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1933 состоялся 8-й полет К-7 К.А.К. с целью пробы стабилизатора при переменной центровке и предварительной пробы скорости, а также полета при неполной мощности при нескольких выключенных моторах продолжительностью 1:34. Прекратили из-за течи радиатора заднего и второго-правого моторов, а также деформации капота заднего мотора</w:t>
      </w:r>
    </w:p>
    <w:p w14:paraId="3D4FA53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Сводка о ходе заводских испытаний с-та К-7 за время на 2 ноября 1933 Зам. Директора з-да и Зам. Пред. Комиссии по проведению испытаний Жиронкин, Член комиссии и отв. секретарь Ситников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F26F01" w:rsidRPr="00C33834" w14:paraId="170DFC65" w14:textId="77777777">
        <w:tc>
          <w:tcPr>
            <w:tcW w:w="1384" w:type="dxa"/>
            <w:tcBorders>
              <w:top w:val="single" w:sz="12" w:space="0" w:color="auto"/>
            </w:tcBorders>
          </w:tcPr>
          <w:p w14:paraId="3381238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Дата испытания</w:t>
            </w:r>
          </w:p>
        </w:tc>
        <w:tc>
          <w:tcPr>
            <w:tcW w:w="2410" w:type="dxa"/>
            <w:tcBorders>
              <w:top w:val="single" w:sz="12" w:space="0" w:color="auto"/>
            </w:tcBorders>
          </w:tcPr>
          <w:p w14:paraId="7C3D3DB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5474CA5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1F82CB5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77BE8AE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Выявленные и устраненные в </w:t>
            </w:r>
            <w:r w:rsidRPr="00C33834">
              <w:rPr>
                <w:rFonts w:ascii="Times New Roman" w:hAnsi="Times New Roman"/>
                <w:color w:val="000000" w:themeColor="text1"/>
                <w:sz w:val="16"/>
                <w:szCs w:val="16"/>
              </w:rPr>
              <w:lastRenderedPageBreak/>
              <w:t>процессе испытаний дефекты</w:t>
            </w:r>
          </w:p>
        </w:tc>
        <w:tc>
          <w:tcPr>
            <w:tcW w:w="1105" w:type="dxa"/>
            <w:tcBorders>
              <w:top w:val="single" w:sz="12" w:space="0" w:color="auto"/>
            </w:tcBorders>
          </w:tcPr>
          <w:p w14:paraId="63E3039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Примечание</w:t>
            </w:r>
          </w:p>
        </w:tc>
      </w:tr>
      <w:tr w:rsidR="00F26F01" w:rsidRPr="00C33834" w14:paraId="1A21D57B" w14:textId="77777777">
        <w:tc>
          <w:tcPr>
            <w:tcW w:w="1384" w:type="dxa"/>
            <w:tcBorders>
              <w:bottom w:val="single" w:sz="12" w:space="0" w:color="auto"/>
            </w:tcBorders>
          </w:tcPr>
          <w:p w14:paraId="0E98732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1933</w:t>
            </w:r>
          </w:p>
        </w:tc>
        <w:tc>
          <w:tcPr>
            <w:tcW w:w="2410" w:type="dxa"/>
            <w:tcBorders>
              <w:bottom w:val="single" w:sz="12" w:space="0" w:color="auto"/>
            </w:tcBorders>
          </w:tcPr>
          <w:p w14:paraId="09875FF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8-й полет с целью пробы стабилизатора при переменной центровке после увеличения углов отклонения его. Проба скорости с-та (предварительная). Полет на неполной мощности, с выключением нескольких моторов</w:t>
            </w:r>
          </w:p>
        </w:tc>
        <w:tc>
          <w:tcPr>
            <w:tcW w:w="1089" w:type="dxa"/>
            <w:tcBorders>
              <w:bottom w:val="single" w:sz="12" w:space="0" w:color="auto"/>
            </w:tcBorders>
          </w:tcPr>
          <w:p w14:paraId="297844D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1:34</w:t>
            </w:r>
          </w:p>
        </w:tc>
        <w:tc>
          <w:tcPr>
            <w:tcW w:w="3447" w:type="dxa"/>
            <w:tcBorders>
              <w:bottom w:val="single" w:sz="12" w:space="0" w:color="auto"/>
            </w:tcBorders>
          </w:tcPr>
          <w:p w14:paraId="05F4DC7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Разбег -23 сек., пробег - 26 сек., скорость после взлета по Сафу 200 км/час. </w:t>
            </w:r>
          </w:p>
          <w:p w14:paraId="1DBAB99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Изменение центровки в полете производилось путем перемещения грузов от 31,5% до 33%. При этом стабилизатор устанавливался на +4. С-т шел на 4-х моторах по горизонтали, причем на средних скоростях начинал несколько снижаться</w:t>
            </w:r>
          </w:p>
        </w:tc>
        <w:tc>
          <w:tcPr>
            <w:tcW w:w="1776" w:type="dxa"/>
            <w:tcBorders>
              <w:bottom w:val="single" w:sz="12" w:space="0" w:color="auto"/>
            </w:tcBorders>
          </w:tcPr>
          <w:p w14:paraId="1F6DBE9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был прекращен из-за течи водяного радиатора заднего и второго правого мотора, а также из-за деформации отдельных участков капота заднего мотора (устранено)</w:t>
            </w:r>
          </w:p>
        </w:tc>
        <w:tc>
          <w:tcPr>
            <w:tcW w:w="1105" w:type="dxa"/>
            <w:tcBorders>
              <w:bottom w:val="single" w:sz="12" w:space="0" w:color="auto"/>
            </w:tcBorders>
          </w:tcPr>
          <w:p w14:paraId="5034F182" w14:textId="77777777" w:rsidR="00570C39" w:rsidRPr="00C33834" w:rsidRDefault="00570C39" w:rsidP="00C33834">
            <w:pPr>
              <w:spacing w:after="0" w:line="240" w:lineRule="auto"/>
              <w:jc w:val="both"/>
              <w:rPr>
                <w:rFonts w:ascii="Times New Roman" w:hAnsi="Times New Roman"/>
                <w:color w:val="000000" w:themeColor="text1"/>
                <w:sz w:val="16"/>
                <w:szCs w:val="16"/>
              </w:rPr>
            </w:pPr>
          </w:p>
        </w:tc>
      </w:tr>
    </w:tbl>
    <w:p w14:paraId="1F078D9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(2306,98).</w:t>
      </w:r>
    </w:p>
    <w:p w14:paraId="7FCF1B96"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47624BDE" w14:textId="77777777" w:rsidR="00570C39" w:rsidRPr="00C33834" w:rsidRDefault="00570C39" w:rsidP="00C33834">
      <w:pPr>
        <w:tabs>
          <w:tab w:val="left" w:pos="36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ноября 1933 успешно прошел испытания АНТ-9, оборудованный калориферным отоплением салона, разработанным СНИИ ГВФ, и до конца года изготовили 17 комплектов (10542,32).</w:t>
      </w:r>
    </w:p>
    <w:p w14:paraId="21055F96" w14:textId="77777777" w:rsidR="00570C39" w:rsidRPr="00C33834" w:rsidRDefault="00570C39" w:rsidP="00C33834">
      <w:pPr>
        <w:tabs>
          <w:tab w:val="left" w:pos="360"/>
        </w:tabs>
        <w:spacing w:after="0" w:line="240" w:lineRule="auto"/>
        <w:jc w:val="both"/>
        <w:rPr>
          <w:rFonts w:ascii="Times New Roman" w:hAnsi="Times New Roman"/>
          <w:color w:val="000000" w:themeColor="text1"/>
          <w:sz w:val="16"/>
          <w:szCs w:val="16"/>
        </w:rPr>
      </w:pPr>
    </w:p>
    <w:p w14:paraId="6630D27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1933 г. на заседании научно-технического совета ГУАП в присутствии представителей ВВС состоялось утверждение боевой схемы истребителя. Там же было рекомендовано строить опытный экземп</w:t>
      </w:r>
      <w:r w:rsidRPr="00C33834">
        <w:rPr>
          <w:rFonts w:ascii="Times New Roman" w:hAnsi="Times New Roman"/>
          <w:color w:val="000000" w:themeColor="text1"/>
          <w:sz w:val="16"/>
          <w:szCs w:val="16"/>
        </w:rPr>
        <w:softHyphen/>
        <w:t>ляр ЦКБ-12 с капотом НАКА, а дублер - с кольцом Тауненда «с целью всестороннего сравнения выгод и недостатков, присущих тому и другому типу» (10667).</w:t>
      </w:r>
    </w:p>
    <w:p w14:paraId="7A06D1F4"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72B17CB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1933 года начальник Отдела опытного строительства НИИ ВВС Примаков писал письмо начальнику 9 сектора</w:t>
      </w:r>
    </w:p>
    <w:p w14:paraId="1E0A7B1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Доношу: прибывшим из ГУАПа со специальным заданием и соответствующими полномочиями зам. начальника ГУАПа Беленковичем отдано было 20 октября категорическое приказание заводу № 29 немедленно приостановить все опытные работы до 1 января 1934 года, включая и госиспытания М-48.</w:t>
      </w:r>
    </w:p>
    <w:p w14:paraId="13209F3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докладе на техсовещании начальников цехов и отделов опытные работы квалифицировались им не как правительственное задание, а «навязчивые идеи», которые сейчас мешают серийной продукции и поэтому он их немедленно прикрывает. Приостановка работ носила чисто погромный характер: сбрасывались неоконченные в обработке детали с настроенных станков, сваливались в общую кучу. С большим трудом удалось доказать необходимость сборки разобранных опытных моторов, так как в противном случае будут приведены в негодность детали. Им же было отдано распоряжение сложить все детали разобранных моторов в ящики, где и хранить до особого распоряжения.</w:t>
      </w:r>
    </w:p>
    <w:p w14:paraId="65879DA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Надо отметить, что характер его доклада носил не руководящий характер, а напоминал расправу: был обруган весь завод в целом и каждый начцеха в отдельности.</w:t>
      </w:r>
    </w:p>
    <w:p w14:paraId="1EB7BF6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уточнения ряда вопросов я был принят Беленковичем, который на мой вопрос, знает ли он, что опытные работы ведутся согласно плана, утвержденного Правительством, заявил, что об утверждении плана опытного строительства Правительством он ничего не знает и что он уверен, что такого плана нет в природе.</w:t>
      </w:r>
    </w:p>
    <w:p w14:paraId="0A367A9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завода Александров тоже заявил, что о плане он слыхал, но не читал его. На мои доводы об устарелости конструкции серийного М-22 и необходимость доводки более совершенного мотора М-58 им было сообщено, что на последнем докладе Правительству, вопрос стоял только о серийной программе, причем Алкснис особенно упирал на М-22, поэтому этот мотор он считает главным и все опытные моторы приостанавливает:</w:t>
      </w:r>
    </w:p>
    <w:p w14:paraId="6709676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Беленковичем был брошен мне упрек, что я с опытными работами бегаю в партийный комитет завода и Горпартком и дан совет, чтобы в будущем я в эти организации не обращался, так как это поможет мне не больше «чем мертвому свечка».</w:t>
      </w:r>
    </w:p>
    <w:p w14:paraId="6ED0492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заключение Беленкович повторил приказание Александрову еще раз о немедленном прекращении опытных работ, запретил ему разговаривать со мной по этому вопросу и в будущем без соответствующего письменного разрешения от ГУАПа не допускать меня ни к каким заводским испытаниям, так как по его мнению я командую заводом.</w:t>
      </w:r>
    </w:p>
    <w:p w14:paraId="4794727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техсовещания, на основе приказа Беленковича, опротестовано ЗПК-том, но принято к исполнению, как не подлежащее обсуждению, по формулировке Беленковича «лучше выполнить плохой приказ, чем обсуждать хороший».</w:t>
      </w:r>
    </w:p>
    <w:p w14:paraId="24F7B90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Мотивировка ЗПК-та, опротестовавшего приказ Беленковича сводится к тому, что опытные работы занимают такой незначительный % оборудования и рабсилы, что ни в какой мере не отражается на серийной продукции, По подсчетам гл. инженера они не превосходят 0,5%.</w:t>
      </w:r>
    </w:p>
    <w:p w14:paraId="4E817F0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Принимая во внимание всю важность опытных работ, ЗПК считает возможным выполнить программу не останавливая опытных работ. Это соображение совершенно правильное, так как опытные моторы уже изготовлены и только иногда потребуется изготовление запчастей, которые могут быть выполнены на трех станках, выделенных для опытных работ. В цехах же ежедневно в каждой смене простаивают не менее 50 станков, так что эти три станка не выводят завод из прорыва.</w:t>
      </w:r>
    </w:p>
    <w:p w14:paraId="58F23E2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данный момент все опытные моторы поставлены на консервацию, работники опытной группы работают по серийной продукции. Работа по опытным моторам резко дискредитирована в глазах работников завода, так как квалифицирована как «Навязчивые идеи» (3530,139).</w:t>
      </w:r>
    </w:p>
    <w:p w14:paraId="6048250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Условия, необходимые для срочного предъявления на госиспытания мотора М-58 на заводе № 29</w:t>
      </w:r>
    </w:p>
    <w:p w14:paraId="4AC07D5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доводки мотора М-58 на заводе № 29 к предъявлению на госиспытания необходимо:</w:t>
      </w:r>
    </w:p>
    <w:p w14:paraId="5595549C" w14:textId="77777777" w:rsidR="00570C39" w:rsidRPr="00C33834" w:rsidRDefault="00570C39" w:rsidP="00C33834">
      <w:pPr>
        <w:numPr>
          <w:ilvl w:val="0"/>
          <w:numId w:val="40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Закрепить всех людей, работавших до закрытия опытных работ в цехе по опытным моторам и Техно-конструкторском отделе на этих работах, для чего всех работников, переключенных с опытных работ на серийные вернуть к опытным работам; находящихся в отпуске или командировках по вопросам серийного производства немедленно возвратить. Всего на опытных работах было около 40 человек (на заводе № 29 около 6000 человек).</w:t>
      </w:r>
    </w:p>
    <w:p w14:paraId="5CDBD4FD" w14:textId="77777777" w:rsidR="00570C39" w:rsidRPr="00C33834" w:rsidRDefault="00570C39" w:rsidP="00C33834">
      <w:pPr>
        <w:numPr>
          <w:ilvl w:val="0"/>
          <w:numId w:val="40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Возвратить Эксплуатационно-опытному бюро все отобранные помещения, приборы и оборудование, немедленно переоборудовав под опытные работы.</w:t>
      </w:r>
    </w:p>
    <w:p w14:paraId="7886D276" w14:textId="77777777" w:rsidR="00570C39" w:rsidRPr="00C33834" w:rsidRDefault="00570C39" w:rsidP="00C33834">
      <w:pPr>
        <w:numPr>
          <w:ilvl w:val="0"/>
          <w:numId w:val="41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Форсировать подачу на завод поковок и материалов необходимых для доводки (поршни, клапаны и др.), поручив под личную ответственность руководителя снабжения завода с доставкой пассажирским поездом.</w:t>
      </w:r>
    </w:p>
    <w:p w14:paraId="6744EFED" w14:textId="77777777" w:rsidR="00570C39" w:rsidRPr="00C33834" w:rsidRDefault="00570C39" w:rsidP="00C33834">
      <w:pPr>
        <w:numPr>
          <w:ilvl w:val="0"/>
          <w:numId w:val="41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Запустить в производство с минимальными сроками выполнения несколько вариантов клапанного механизма клапана, седла клапана, направляющие клапанов, пружины и тарелки клапана, если потребуется, и головки цилиндров.</w:t>
      </w:r>
    </w:p>
    <w:p w14:paraId="5AB5491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Срочно закончить конструктивную разработку нескольких вариантов лопаточного диффузора и подвода смеси нагнетателя, запустив их с укороченными сроками выполнения в производстве.</w:t>
      </w:r>
    </w:p>
    <w:p w14:paraId="77C0CF37" w14:textId="77777777" w:rsidR="00570C39" w:rsidRPr="00C33834" w:rsidRDefault="00570C39" w:rsidP="00C33834">
      <w:pPr>
        <w:numPr>
          <w:ilvl w:val="0"/>
          <w:numId w:val="41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Провести тщательный, средствами техноконтроля задел завода контроль деталей двух изготовленных дополнительно экземпляров мотора, обеспечить пополнение недоделанных и забракованных деталей на этих объектах.</w:t>
      </w:r>
    </w:p>
    <w:p w14:paraId="3ADA5A1B" w14:textId="77777777" w:rsidR="00570C39" w:rsidRPr="00C33834" w:rsidRDefault="00570C39" w:rsidP="00C33834">
      <w:pPr>
        <w:numPr>
          <w:ilvl w:val="0"/>
          <w:numId w:val="41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Прохождение деталей по аварийным заказам обеспечить выполнение в установленные при заказе сроки под личную ответственность начальников цехов, в которых изготовляются эти детали.</w:t>
      </w:r>
    </w:p>
    <w:p w14:paraId="65BF91A7" w14:textId="77777777" w:rsidR="00570C39" w:rsidRPr="00C33834" w:rsidRDefault="00570C39" w:rsidP="00C33834">
      <w:pPr>
        <w:numPr>
          <w:ilvl w:val="0"/>
          <w:numId w:val="41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Руководство производством всех деталей закрепить за начальником Первого механического цеха Сорокиным под его личную ответственность.</w:t>
      </w:r>
    </w:p>
    <w:p w14:paraId="01439754" w14:textId="77777777" w:rsidR="00570C39" w:rsidRPr="00C33834" w:rsidRDefault="00570C39" w:rsidP="00C33834">
      <w:pPr>
        <w:numPr>
          <w:ilvl w:val="0"/>
          <w:numId w:val="41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3-х дневный срок вернуть из Москвы контролера Степанова и дополнительно прислать одного высококвалифицированного по механическому контролю работника из объединения ГУАП.</w:t>
      </w:r>
    </w:p>
    <w:p w14:paraId="191114F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Инженера завода № 24 Луковникова закрепить на работах по мотору М58 до конца доводки. Командировать из ЦИАМа одного опытного инженера и распоряжение завода для испытания М58.</w:t>
      </w:r>
    </w:p>
    <w:p w14:paraId="3F5DD19F" w14:textId="77777777" w:rsidR="00570C39" w:rsidRPr="00C33834" w:rsidRDefault="00570C39" w:rsidP="00C33834">
      <w:pPr>
        <w:numPr>
          <w:ilvl w:val="0"/>
          <w:numId w:val="41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Обеспечить гл. конструктору Назарову единоначалие в проведении испытаний и конструктивных переделок.</w:t>
      </w:r>
    </w:p>
    <w:p w14:paraId="0D3FA535" w14:textId="77777777" w:rsidR="00570C39" w:rsidRPr="00C33834" w:rsidRDefault="00570C39" w:rsidP="00C33834">
      <w:pPr>
        <w:numPr>
          <w:ilvl w:val="0"/>
          <w:numId w:val="41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работы по мотору М58 вести в три смены, обеспечив работников своевременным доброкачественным питанием и необходимым фондом сверхурочных работ.</w:t>
      </w:r>
    </w:p>
    <w:p w14:paraId="5DB1955B" w14:textId="77777777" w:rsidR="00570C39" w:rsidRPr="00C33834" w:rsidRDefault="00570C39" w:rsidP="00C33834">
      <w:pPr>
        <w:numPr>
          <w:ilvl w:val="0"/>
          <w:numId w:val="41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Своевременно обеспечить деньгами опытные заказы и работы.</w:t>
      </w:r>
    </w:p>
    <w:p w14:paraId="00BB9942" w14:textId="77777777" w:rsidR="00570C39" w:rsidRPr="00C33834" w:rsidRDefault="00570C39" w:rsidP="00C33834">
      <w:pPr>
        <w:numPr>
          <w:ilvl w:val="0"/>
          <w:numId w:val="41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двухнедельный срок закончить и переслать на завод № 29 мулинетки мотора М58.</w:t>
      </w:r>
    </w:p>
    <w:p w14:paraId="37F31A3F" w14:textId="77777777" w:rsidR="00570C39" w:rsidRPr="00C33834" w:rsidRDefault="00570C39" w:rsidP="00C33834">
      <w:pPr>
        <w:numPr>
          <w:ilvl w:val="0"/>
          <w:numId w:val="42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Обеспечить внеочередное выполнение внезаводских опытных заказов в предприятиях ГУАПа и НКТяжпрома (3530,140).</w:t>
      </w:r>
    </w:p>
    <w:p w14:paraId="0442AF3E" w14:textId="77777777" w:rsidR="00570C39" w:rsidRPr="00C33834" w:rsidRDefault="00570C39" w:rsidP="00C33834">
      <w:pPr>
        <w:tabs>
          <w:tab w:val="left" w:pos="360"/>
        </w:tabs>
        <w:spacing w:after="0" w:line="240" w:lineRule="auto"/>
        <w:jc w:val="both"/>
        <w:rPr>
          <w:rFonts w:ascii="Times New Roman" w:hAnsi="Times New Roman"/>
          <w:color w:val="000000" w:themeColor="text1"/>
          <w:sz w:val="16"/>
          <w:szCs w:val="16"/>
        </w:rPr>
      </w:pPr>
    </w:p>
    <w:p w14:paraId="2974DFEE" w14:textId="77777777" w:rsidR="00071F1F" w:rsidRPr="00C33834" w:rsidRDefault="00071F1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ноября 1933 состоялось заседание ПБ и был оформлен протокол № 148</w:t>
      </w:r>
    </w:p>
    <w:p w14:paraId="03BF6D87" w14:textId="77777777" w:rsidR="00071F1F" w:rsidRPr="00C33834" w:rsidRDefault="00071F1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 О переговорах с поляками об авиалинии.</w:t>
      </w:r>
    </w:p>
    <w:p w14:paraId="61D99321" w14:textId="77777777" w:rsidR="00071F1F" w:rsidRPr="00C33834" w:rsidRDefault="00071F1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(т.Уншлихт).</w:t>
      </w:r>
    </w:p>
    <w:p w14:paraId="72EE56F1" w14:textId="77777777" w:rsidR="00071F1F" w:rsidRPr="00C33834" w:rsidRDefault="00071F1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Подтвердить прежнюю директиву Политбюро о смешан</w:t>
      </w:r>
      <w:r w:rsidRPr="00C33834">
        <w:rPr>
          <w:rFonts w:ascii="Times New Roman" w:hAnsi="Times New Roman"/>
          <w:color w:val="0070C0"/>
          <w:sz w:val="16"/>
          <w:szCs w:val="16"/>
        </w:rPr>
        <w:softHyphen/>
        <w:t>ном акционерном обществе.</w:t>
      </w:r>
    </w:p>
    <w:p w14:paraId="3C8A425A" w14:textId="77777777" w:rsidR="00071F1F" w:rsidRPr="00C33834" w:rsidRDefault="00071F1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Уншлихту,Крестинскому.</w:t>
      </w:r>
    </w:p>
    <w:p w14:paraId="1F2058A1" w14:textId="77777777" w:rsidR="00071F1F" w:rsidRPr="00C33834" w:rsidRDefault="00071F1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О заказах на станки. (т .Орджоникидзе)</w:t>
      </w:r>
    </w:p>
    <w:p w14:paraId="36F4DB7A" w14:textId="77777777" w:rsidR="00071F1F" w:rsidRPr="00C33834" w:rsidRDefault="00071F1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Поручить НКВТ перенести заказ на станки для завода № 24 в Англию.</w:t>
      </w:r>
    </w:p>
    <w:p w14:paraId="6A9499A1" w14:textId="77777777" w:rsidR="00071F1F" w:rsidRPr="00C33834" w:rsidRDefault="00071F1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Розенгольцу, Орджоникидзе</w:t>
      </w:r>
    </w:p>
    <w:p w14:paraId="61D6AC2C" w14:textId="77777777" w:rsidR="00071F1F" w:rsidRPr="00C33834" w:rsidRDefault="00071F1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 О нефтяном двигателе.</w:t>
      </w:r>
    </w:p>
    <w:p w14:paraId="03980967" w14:textId="77777777" w:rsidR="00071F1F" w:rsidRPr="00C33834" w:rsidRDefault="00071F1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(ПБ от 4.УШ.33г., пр. № 141, п.21/12).</w:t>
      </w:r>
    </w:p>
    <w:p w14:paraId="7AAD59BB" w14:textId="77777777" w:rsidR="00071F1F" w:rsidRPr="00C33834" w:rsidRDefault="00071F1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(т.т.Орджоникидзе,Свистун,Герчиков).</w:t>
      </w:r>
    </w:p>
    <w:p w14:paraId="6758464E" w14:textId="77777777" w:rsidR="00071F1F" w:rsidRPr="00C33834" w:rsidRDefault="00071F1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Принять к сведению сообщение НКТяжпрома о том, что решение ЦК о выпуске к концу года 300 тракторов на нефтя</w:t>
      </w:r>
      <w:r w:rsidRPr="00C33834">
        <w:rPr>
          <w:rFonts w:ascii="Times New Roman" w:hAnsi="Times New Roman"/>
          <w:color w:val="0070C0"/>
          <w:sz w:val="16"/>
          <w:szCs w:val="16"/>
        </w:rPr>
        <w:softHyphen/>
        <w:t>ном двигателе будет выполнено.</w:t>
      </w:r>
    </w:p>
    <w:p w14:paraId="408E036A" w14:textId="77777777" w:rsidR="00071F1F" w:rsidRPr="00C33834" w:rsidRDefault="00071F1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Разрешить НКВТ дополнительно импортировать маслен</w:t>
      </w:r>
      <w:r w:rsidRPr="00C33834">
        <w:rPr>
          <w:rFonts w:ascii="Times New Roman" w:hAnsi="Times New Roman"/>
          <w:color w:val="0070C0"/>
          <w:sz w:val="16"/>
          <w:szCs w:val="16"/>
        </w:rPr>
        <w:softHyphen/>
        <w:t>ки и подшипники на 30 т.р. Поручить НКТП обеспечить их поста</w:t>
      </w:r>
      <w:r w:rsidRPr="00C33834">
        <w:rPr>
          <w:rFonts w:ascii="Times New Roman" w:hAnsi="Times New Roman"/>
          <w:color w:val="0070C0"/>
          <w:sz w:val="16"/>
          <w:szCs w:val="16"/>
        </w:rPr>
        <w:softHyphen/>
        <w:t>новку на нефтяных моторах.</w:t>
      </w:r>
    </w:p>
    <w:p w14:paraId="2325D49F" w14:textId="77777777" w:rsidR="00071F1F" w:rsidRPr="00C33834" w:rsidRDefault="00071F1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т.т.Орджоникидзе-все; Розенгольцу-п.2.</w:t>
      </w:r>
    </w:p>
    <w:p w14:paraId="7D5AACCD" w14:textId="77777777" w:rsidR="00071F1F" w:rsidRPr="00C33834" w:rsidRDefault="00071F1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19.-Об аварии самолета.</w:t>
      </w:r>
    </w:p>
    <w:p w14:paraId="1AA43AE6" w14:textId="77777777" w:rsidR="00071F1F" w:rsidRPr="00C33834" w:rsidRDefault="00071F1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xml:space="preserve">Поручить лично т.Акулову расследовать факт гибели самолета ТБ-3 первого ноября и реэультаты сообщить в ЦК </w:t>
      </w:r>
    </w:p>
    <w:p w14:paraId="297437F0" w14:textId="77777777" w:rsidR="00071F1F" w:rsidRPr="00C33834" w:rsidRDefault="00071F1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Выписка послана: тов .Акулову (22998).</w:t>
      </w:r>
    </w:p>
    <w:p w14:paraId="6A92B65F" w14:textId="77777777" w:rsidR="00071F1F" w:rsidRPr="00C33834" w:rsidRDefault="00071F1F" w:rsidP="00C33834">
      <w:pPr>
        <w:spacing w:after="0" w:line="240" w:lineRule="auto"/>
        <w:jc w:val="both"/>
        <w:rPr>
          <w:rFonts w:ascii="Times New Roman" w:hAnsi="Times New Roman"/>
          <w:color w:val="0070C0"/>
          <w:sz w:val="16"/>
          <w:szCs w:val="16"/>
        </w:rPr>
      </w:pPr>
    </w:p>
    <w:p w14:paraId="0D499FFD"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C8B64CE"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6AA7200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1933 на ХПЗ был выпущен первый серийный Т-35. Выпуск сопровождало специальное бюро, созданное на базе дизельного цеха, под руководством И.С.Бера (9527,156).</w:t>
      </w:r>
    </w:p>
    <w:p w14:paraId="2883B928"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6062F17F"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1933 г. была закончена сборка первого серийного танка Т-35А. Спустя 4 дня военпред ХПЗ подписал документы о при</w:t>
      </w:r>
      <w:r w:rsidRPr="00C33834">
        <w:rPr>
          <w:rFonts w:ascii="Times New Roman" w:hAnsi="Times New Roman"/>
          <w:color w:val="000000" w:themeColor="text1"/>
          <w:sz w:val="16"/>
          <w:szCs w:val="16"/>
        </w:rPr>
        <w:softHyphen/>
        <w:t>емке машины, которая 7 ноября должна была принять учасвовать в параде в столице Украины, городе Харькове. Интерес</w:t>
      </w:r>
      <w:r w:rsidRPr="00C33834">
        <w:rPr>
          <w:rFonts w:ascii="Times New Roman" w:hAnsi="Times New Roman"/>
          <w:color w:val="000000" w:themeColor="text1"/>
          <w:sz w:val="16"/>
          <w:szCs w:val="16"/>
        </w:rPr>
        <w:softHyphen/>
        <w:t>но отметить то, что, возвращаясь после парада, танк вышел из строя. Однако он был замечен представителями СМИ. “Сегодня столица Украины приветствовала новый советский тяжелый танк... Эта мощная пятибашенная машина, воорурженная пулеметами и пушками, станет грозой всем недругам, которые мечтают о нападении на нашу миролюбивую Советскую Родину», - писала в те дни пресса (газета «Ленинское знамя», 7-8 ноября 1933 г.). Тогда же при рассмотрении вопроса отражения возможной агрессии на Украину со стороны Польши в расчетах командования Киевского Военного округа уже фигурировал батальон танков Т-35А. Но испытания первого танка на местности были не столь радужными. Новый танк был недостаточно подвижен и больше находился в ремонте, нежели служил (10733,264).</w:t>
      </w:r>
    </w:p>
    <w:p w14:paraId="4ED7774B"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p>
    <w:p w14:paraId="3B085023" w14:textId="77777777" w:rsidR="00E9595B" w:rsidRPr="00C33834" w:rsidRDefault="00E9595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ноября 1933 года на базе ОКМО организовали опытный завод №185 им. Ворошилова, где директором остался Барыков, а главным конструктором Гинзбург. В дальнейшем Гинзбург являлся главным конструктором всего того, что разрабатывалось на опытном заводе. То есть его роль была примерно такой же, как позже на заводе №183 у Кошкина и на Кировском заводе у Котина. Кстати, Кошкин вполне может считаться учеником Гинзбурга. Он работал под его началом, организуя производственные процессы по Т-29. У Гинзбурга же главной задачей являлся Т-46, который должен был сменить Т-26 в серийном производстве. Оба танка приняли на вооружение Красной Армии 29 февраля 1936 года. При этом за Т-46 Гинзбург получил Знак Почета. Впрочем, больше этот танк доставил неприятностей. Как выяснилось, машина была сложная и сырая. Касалось это, впрочем, и Т-29, который также безуспешно пытались поставить на серийное производство. Ну и в целом результаты работы завода №185 оказались крайне сомнительными. Принятая на вооружение Красной Армии самоходная установка АТ-1 стала жертвой "кривого" орудия ПС-3, посему в серии ее не было. Принятая на вооружение Красной Армии легкая САУ СУ-5 оказалась жертвой производственной чехарды на заводе №174. Посему выпущенная в 1936 году опытная серия из 26 машин (изготовитель - завод №185) стала первой и последней. СУ-14 также приняли на вооружение, но машина также оказалась "сырой". То же самое касалось и принятой на вооружение в 1936 году легкой зенитной САУ СУ-6. Несколько опытных машин - вот и вся серия (19634).</w:t>
      </w:r>
    </w:p>
    <w:p w14:paraId="48F72B07" w14:textId="77777777" w:rsidR="00E9595B" w:rsidRPr="00C33834" w:rsidRDefault="00E9595B" w:rsidP="00C33834">
      <w:pPr>
        <w:shd w:val="clear" w:color="auto" w:fill="FFFFFF"/>
        <w:spacing w:after="0" w:line="240" w:lineRule="auto"/>
        <w:jc w:val="both"/>
        <w:rPr>
          <w:rFonts w:ascii="Times New Roman" w:hAnsi="Times New Roman"/>
          <w:color w:val="000000" w:themeColor="text1"/>
          <w:sz w:val="16"/>
          <w:szCs w:val="16"/>
        </w:rPr>
      </w:pPr>
    </w:p>
    <w:p w14:paraId="4D3A7CFD" w14:textId="77777777" w:rsidR="00E9595B" w:rsidRPr="00C33834" w:rsidRDefault="00E9595B"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К 1 ноября 1933 года на базе ОКМО организовали опытный завод №185 им. Ворошилова, директором которого стал Н.В. Барыков, до того находившийся в руководстве ОКМО (19671).</w:t>
      </w:r>
    </w:p>
    <w:p w14:paraId="57D9E0C2" w14:textId="77777777" w:rsidR="00E9595B" w:rsidRPr="00C33834" w:rsidRDefault="00E9595B" w:rsidP="00C33834">
      <w:pPr>
        <w:pStyle w:val="ae"/>
        <w:shd w:val="clear" w:color="auto" w:fill="FFFFFF"/>
        <w:spacing w:before="0" w:after="0"/>
        <w:jc w:val="both"/>
        <w:textAlignment w:val="baseline"/>
        <w:rPr>
          <w:color w:val="000000" w:themeColor="text1"/>
          <w:sz w:val="16"/>
          <w:szCs w:val="16"/>
        </w:rPr>
      </w:pPr>
    </w:p>
    <w:p w14:paraId="5C904D10"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1933 г. Научно-техническое управление (НТУ) ГАУ и Научно-технический комитет (НТК) УММ РККА выдвинули уточненные тактико-технические требования к артиллерийской и танковой частям проекта. ТТХ артилле</w:t>
      </w:r>
      <w:r w:rsidRPr="00C33834">
        <w:rPr>
          <w:rFonts w:ascii="Times New Roman" w:hAnsi="Times New Roman"/>
          <w:color w:val="000000" w:themeColor="text1"/>
          <w:sz w:val="16"/>
          <w:szCs w:val="16"/>
        </w:rPr>
        <w:softHyphen/>
        <w:t>рийской части проекта первоначально выглядели так:</w:t>
      </w:r>
    </w:p>
    <w:p w14:paraId="26E94FCE"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iCs/>
          <w:color w:val="000000" w:themeColor="text1"/>
          <w:sz w:val="16"/>
          <w:szCs w:val="16"/>
        </w:rPr>
        <w:t>«254--мм пушка большой мощности (БМ). Угол верти</w:t>
      </w:r>
      <w:r w:rsidRPr="00C33834">
        <w:rPr>
          <w:rFonts w:ascii="Times New Roman" w:hAnsi="Times New Roman"/>
          <w:iCs/>
          <w:color w:val="000000" w:themeColor="text1"/>
          <w:sz w:val="16"/>
          <w:szCs w:val="16"/>
        </w:rPr>
        <w:softHyphen/>
        <w:t>кального наведения — от 0° до +42°. Вес фугасной бомбы — 225 кг, начальная скорость бомбы — 692 м/с, дальность стрельбы — 23500м. Вес ствола с затвором 24000 кг.</w:t>
      </w:r>
    </w:p>
    <w:p w14:paraId="5FA76860"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iCs/>
          <w:color w:val="000000" w:themeColor="text1"/>
          <w:sz w:val="16"/>
          <w:szCs w:val="16"/>
        </w:rPr>
        <w:t>305-мм гаубица большой мощности (БМ). Угол вертикаль</w:t>
      </w:r>
      <w:r w:rsidRPr="00C33834">
        <w:rPr>
          <w:rFonts w:ascii="Times New Roman" w:hAnsi="Times New Roman"/>
          <w:iCs/>
          <w:color w:val="000000" w:themeColor="text1"/>
          <w:sz w:val="16"/>
          <w:szCs w:val="16"/>
        </w:rPr>
        <w:softHyphen/>
        <w:t>ного наведения от 0°до +60°, вес фугасной бомбы — 365кг, на</w:t>
      </w:r>
      <w:r w:rsidRPr="00C33834">
        <w:rPr>
          <w:rFonts w:ascii="Times New Roman" w:hAnsi="Times New Roman"/>
          <w:iCs/>
          <w:color w:val="000000" w:themeColor="text1"/>
          <w:sz w:val="16"/>
          <w:szCs w:val="16"/>
        </w:rPr>
        <w:softHyphen/>
        <w:t>чальная скорость бомбы — 360м/с, дальность стрельбы — 12500м, начальная скорость снаряда 600м/с. Полный вес орудия-14100 кг.</w:t>
      </w:r>
    </w:p>
    <w:p w14:paraId="345C2336"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iCs/>
          <w:color w:val="000000" w:themeColor="text1"/>
          <w:sz w:val="16"/>
          <w:szCs w:val="16"/>
        </w:rPr>
        <w:t>400-мм мортира большой мощности. Угол вертикального наведения от +5° до +70°, вес фугасной бомбы — 860кг, началь</w:t>
      </w:r>
      <w:r w:rsidRPr="00C33834">
        <w:rPr>
          <w:rFonts w:ascii="Times New Roman" w:hAnsi="Times New Roman"/>
          <w:iCs/>
          <w:color w:val="000000" w:themeColor="text1"/>
          <w:sz w:val="16"/>
          <w:szCs w:val="16"/>
        </w:rPr>
        <w:softHyphen/>
        <w:t>ная скорость бомбы - 320м/с, дальность стрельбы 10500м, на</w:t>
      </w:r>
      <w:r w:rsidRPr="00C33834">
        <w:rPr>
          <w:rFonts w:ascii="Times New Roman" w:hAnsi="Times New Roman"/>
          <w:iCs/>
          <w:color w:val="000000" w:themeColor="text1"/>
          <w:sz w:val="16"/>
          <w:szCs w:val="16"/>
        </w:rPr>
        <w:softHyphen/>
        <w:t>чальная скорость снаряда 600м/с. Вес орудия — 10000кг».</w:t>
      </w:r>
    </w:p>
    <w:p w14:paraId="4DBF9D84"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Разработку качающейся части «самохода особого на</w:t>
      </w:r>
      <w:r w:rsidRPr="00C33834">
        <w:rPr>
          <w:rFonts w:ascii="Times New Roman" w:hAnsi="Times New Roman"/>
          <w:color w:val="000000" w:themeColor="text1"/>
          <w:sz w:val="16"/>
          <w:szCs w:val="16"/>
        </w:rPr>
        <w:softHyphen/>
        <w:t>значения» поручили заводу «Большевик», а шасси — опыт</w:t>
      </w:r>
      <w:r w:rsidRPr="00C33834">
        <w:rPr>
          <w:rFonts w:ascii="Times New Roman" w:hAnsi="Times New Roman"/>
          <w:color w:val="000000" w:themeColor="text1"/>
          <w:sz w:val="16"/>
          <w:szCs w:val="16"/>
        </w:rPr>
        <w:softHyphen/>
        <w:t>ному заводу Спецмаштреста № 185.</w:t>
      </w:r>
    </w:p>
    <w:p w14:paraId="4B0AB50F"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Однако уже в ходе начавшихся проектных работ требова</w:t>
      </w:r>
      <w:r w:rsidRPr="00C33834">
        <w:rPr>
          <w:rFonts w:ascii="Times New Roman" w:hAnsi="Times New Roman"/>
          <w:color w:val="000000" w:themeColor="text1"/>
          <w:sz w:val="16"/>
          <w:szCs w:val="16"/>
        </w:rPr>
        <w:softHyphen/>
        <w:t>ния к артиллерийской части были изменены. В частности, дальность стрельбы следовало увеличить по крайней мере на треть, а это привело к тому, что ресурс 254-мм пушки с увели</w:t>
      </w:r>
      <w:r w:rsidRPr="00C33834">
        <w:rPr>
          <w:rFonts w:ascii="Times New Roman" w:hAnsi="Times New Roman"/>
          <w:color w:val="000000" w:themeColor="text1"/>
          <w:sz w:val="16"/>
          <w:szCs w:val="16"/>
        </w:rPr>
        <w:softHyphen/>
        <w:t>ченной дальнобойностью оказался бы чрезвычайно мал (не более 100 выстрелов), кроме того, качающиеся части орудий значительно потяжелели. Особенно это касалось пушки, и потому решением ГАУ предписали вести проектирование, ориентируясь на калибр 210-220 мм вместо 254 мм.</w:t>
      </w:r>
    </w:p>
    <w:p w14:paraId="74D0CDB3"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ходе дальнейших обсуждений проекта, ввиду того что дальнобойное орудие калибра 210—220-мм еще не сущест</w:t>
      </w:r>
      <w:r w:rsidRPr="00C33834">
        <w:rPr>
          <w:rFonts w:ascii="Times New Roman" w:hAnsi="Times New Roman"/>
          <w:color w:val="000000" w:themeColor="text1"/>
          <w:sz w:val="16"/>
          <w:szCs w:val="16"/>
        </w:rPr>
        <w:softHyphen/>
        <w:t>вовало даже в расчетах, ГАУ в целях уменьшения веса и уве</w:t>
      </w:r>
      <w:r w:rsidRPr="00C33834">
        <w:rPr>
          <w:rFonts w:ascii="Times New Roman" w:hAnsi="Times New Roman"/>
          <w:color w:val="000000" w:themeColor="text1"/>
          <w:sz w:val="16"/>
          <w:szCs w:val="16"/>
        </w:rPr>
        <w:softHyphen/>
        <w:t>личения живучести стволов предложило заменить само</w:t>
      </w:r>
      <w:r w:rsidRPr="00C33834">
        <w:rPr>
          <w:rFonts w:ascii="Times New Roman" w:hAnsi="Times New Roman"/>
          <w:color w:val="000000" w:themeColor="text1"/>
          <w:sz w:val="16"/>
          <w:szCs w:val="16"/>
        </w:rPr>
        <w:softHyphen/>
        <w:t>ходный триплекс 254/305/400-мм дуплексом 203/305-мм, рассчитанным на применение снарядов с готовыми нареза</w:t>
      </w:r>
      <w:r w:rsidRPr="00C33834">
        <w:rPr>
          <w:rFonts w:ascii="Times New Roman" w:hAnsi="Times New Roman"/>
          <w:color w:val="000000" w:themeColor="text1"/>
          <w:sz w:val="16"/>
          <w:szCs w:val="16"/>
        </w:rPr>
        <w:softHyphen/>
        <w:t>ми. Кроме того, по рекомендации АНИИ было принято ре</w:t>
      </w:r>
      <w:r w:rsidRPr="00C33834">
        <w:rPr>
          <w:rFonts w:ascii="Times New Roman" w:hAnsi="Times New Roman"/>
          <w:color w:val="000000" w:themeColor="text1"/>
          <w:sz w:val="16"/>
          <w:szCs w:val="16"/>
        </w:rPr>
        <w:softHyphen/>
        <w:t>шение для уменьшения массы орудийной части в их конст</w:t>
      </w:r>
      <w:r w:rsidRPr="00C33834">
        <w:rPr>
          <w:rFonts w:ascii="Times New Roman" w:hAnsi="Times New Roman"/>
          <w:color w:val="000000" w:themeColor="text1"/>
          <w:sz w:val="16"/>
          <w:szCs w:val="16"/>
        </w:rPr>
        <w:softHyphen/>
        <w:t>рукции уйти от «двойного отката» (11417).</w:t>
      </w:r>
    </w:p>
    <w:p w14:paraId="09703049"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p>
    <w:p w14:paraId="2FF9157F" w14:textId="77777777" w:rsidR="002C03D8" w:rsidRPr="00C33834" w:rsidRDefault="002C03D8" w:rsidP="00C33834">
      <w:pPr>
        <w:pStyle w:val="rtejustify"/>
        <w:spacing w:before="0" w:after="0"/>
        <w:rPr>
          <w:color w:val="000000" w:themeColor="text1"/>
          <w:sz w:val="16"/>
          <w:szCs w:val="16"/>
        </w:rPr>
      </w:pPr>
      <w:r w:rsidRPr="00C33834">
        <w:rPr>
          <w:rStyle w:val="af0"/>
          <w:bCs/>
          <w:i w:val="0"/>
          <w:color w:val="000000" w:themeColor="text1"/>
          <w:sz w:val="16"/>
          <w:szCs w:val="16"/>
        </w:rPr>
        <w:t>1 ноября</w:t>
      </w:r>
      <w:r w:rsidRPr="00C33834">
        <w:rPr>
          <w:color w:val="000000" w:themeColor="text1"/>
          <w:sz w:val="16"/>
          <w:szCs w:val="16"/>
        </w:rPr>
        <w:t xml:space="preserve"> 1933. Протокол заседания Политбюро ЦК ВКП (б) № 148. </w:t>
      </w:r>
      <w:hyperlink r:id="rId353" w:anchor="showunit&amp;id=88177" w:history="1">
        <w:r w:rsidRPr="00C33834">
          <w:rPr>
            <w:rStyle w:val="a5"/>
            <w:color w:val="000000" w:themeColor="text1"/>
            <w:sz w:val="16"/>
            <w:szCs w:val="16"/>
          </w:rPr>
          <w:t>4. О заказах на станки</w:t>
        </w:r>
      </w:hyperlink>
      <w:r w:rsidRPr="00C33834">
        <w:rPr>
          <w:color w:val="000000" w:themeColor="text1"/>
          <w:sz w:val="16"/>
          <w:szCs w:val="16"/>
        </w:rPr>
        <w:t xml:space="preserve"> (Орджоникидзе) (ПБ от 1 ноября 1933 г.). — ОП. Решено поручить НКВТ перенести заказ на станки для завода № 24 в Англию. </w:t>
      </w:r>
      <w:hyperlink r:id="rId354" w:anchor="showunit&amp;id=88134" w:history="1">
        <w:r w:rsidRPr="00C33834">
          <w:rPr>
            <w:rStyle w:val="a5"/>
            <w:color w:val="000000" w:themeColor="text1"/>
            <w:sz w:val="16"/>
            <w:szCs w:val="16"/>
          </w:rPr>
          <w:t>17. О строительстве Хабаровского нефтеперегонного завода (записка Лаврентьева и Крутова)</w:t>
        </w:r>
      </w:hyperlink>
      <w:r w:rsidRPr="00C33834">
        <w:rPr>
          <w:color w:val="000000" w:themeColor="text1"/>
          <w:sz w:val="16"/>
          <w:szCs w:val="16"/>
        </w:rPr>
        <w:t xml:space="preserve"> (Орджоникидзе, Розенталь, Микоян). — ОП. Решено, для окончательного редактирования постановления создать комиссию в составе Молотова, Кагановича Л. М. и Орджоникидзе. Принять следующие поправки: в) предложить Наркомвнешторгу не позднее 1</w:t>
      </w:r>
      <w:r w:rsidRPr="00C33834">
        <w:rPr>
          <w:color w:val="000000" w:themeColor="text1"/>
          <w:sz w:val="16"/>
          <w:szCs w:val="16"/>
        </w:rPr>
        <w:noBreakHyphen/>
        <w:t>3</w:t>
      </w:r>
      <w:r w:rsidRPr="00C33834">
        <w:rPr>
          <w:color w:val="000000" w:themeColor="text1"/>
          <w:sz w:val="16"/>
          <w:szCs w:val="16"/>
        </w:rPr>
        <w:noBreakHyphen/>
        <w:t>1934 г. купить за границей, за счет неиспользованного кредита на покупку морского флота, три рейдовых буксира по 600</w:t>
      </w:r>
      <w:r w:rsidRPr="00C33834">
        <w:rPr>
          <w:color w:val="000000" w:themeColor="text1"/>
          <w:sz w:val="16"/>
          <w:szCs w:val="16"/>
        </w:rPr>
        <w:noBreakHyphen/>
        <w:t>700 сил каждый, осадкой не более 3,0 м; г) обязать НКТП построить и сдать НКВоду (комплектно) в разобранном виде, не позже 1</w:t>
      </w:r>
      <w:r w:rsidRPr="00C33834">
        <w:rPr>
          <w:color w:val="000000" w:themeColor="text1"/>
          <w:sz w:val="16"/>
          <w:szCs w:val="16"/>
        </w:rPr>
        <w:noBreakHyphen/>
        <w:t>6</w:t>
      </w:r>
      <w:r w:rsidRPr="00C33834">
        <w:rPr>
          <w:color w:val="000000" w:themeColor="text1"/>
          <w:sz w:val="16"/>
          <w:szCs w:val="16"/>
        </w:rPr>
        <w:noBreakHyphen/>
        <w:t xml:space="preserve">1934 г., для переброски на Амур, 5 рейдовых буксиров по 600 сил каждый, и к этому же сроку для обеспечения перевозок нефти в 1935 году забросить в Благовещенск, в разобранном виде, 4 рейдовых баржи по 3500 тонн, 1 речную баржу 4000 тонн и 3 речных баржи по 8000 тонн каждая. </w:t>
      </w:r>
      <w:hyperlink r:id="rId355" w:anchor="showunit&amp;id=88186" w:history="1">
        <w:r w:rsidRPr="00C33834">
          <w:rPr>
            <w:rStyle w:val="a5"/>
            <w:color w:val="000000" w:themeColor="text1"/>
            <w:sz w:val="16"/>
            <w:szCs w:val="16"/>
          </w:rPr>
          <w:t>48/29. Об экспортно-импортном и валютном планах на IV квартал 1933 г.</w:t>
        </w:r>
      </w:hyperlink>
      <w:r w:rsidRPr="00C33834">
        <w:rPr>
          <w:color w:val="000000" w:themeColor="text1"/>
          <w:sz w:val="16"/>
          <w:szCs w:val="16"/>
        </w:rPr>
        <w:t xml:space="preserve"> (ПБ от 20 октября 1933 г.) — ОП. Решено утвердить планы сдачи на экспорт и планы экспорта 4 квартала на Запад, план сдачи для Торгсина, план импорта и валютный план со следующими изменениями: 1) Увеличить сдачу на экспорт апатитовых концентратов в 4 квартале до 38 тысяч тонн; 2) Вопрос о возможности замены экспорта хлопка экспортом в 4 квартале других товаров сверх плана, утвержденного Валютной комиссией, рассмотреть комиссии в следующем составе: Каганович, Микоян, Розенгольц, Беленький, Аркус, Любимов; 3) Увеличить валютный план по пушнине на 4 квартал, сверх утвержденного Валютной комиссией на 1 миллион рублей; 4) Оставить сдачу и экспорт льна в размерах, утвержденных Валютной Комиссией. Комиссии в составе: Беленький, Трояновский, Розенгольц и Любимов проверить правильность заявленных Любимовым расчетов; 5) Установить сдачу на экспорт сахара на страны Востока, включая страны Ближнего Востока, в 25 тысяч тонн и сверх того 5 тысяч тонн на Запад; 6) Уменьшить установленную Валютной комиссией сдачу на экспорт ядра урюкового с 65 тонн до 32 тонн и сдачу на экспорт фисташек со 100 тонн до 50 тонн, обязав Микояна выделить на 24 тысячи рублей товаров сверх плана, утвержденного Валютной комиссией. Возможность дальнейшего уменьшения экспорта ядра урюкового и фисташек установить лишь в случае предварительного согласия Наркомвнешторга на замену товаров; 7) Обязать Микояна выполнить полностью установленные Валютной комиссией планы сдачи на экспорт хмеля в размере 80 тонн и смородины в размере 150 тонн; 8) Внести изменения согласно принятому постановлению Политбюро от 6</w:t>
      </w:r>
      <w:r w:rsidRPr="00C33834">
        <w:rPr>
          <w:color w:val="000000" w:themeColor="text1"/>
          <w:sz w:val="16"/>
          <w:szCs w:val="16"/>
        </w:rPr>
        <w:noBreakHyphen/>
        <w:t>10</w:t>
      </w:r>
      <w:r w:rsidRPr="00C33834">
        <w:rPr>
          <w:color w:val="000000" w:themeColor="text1"/>
          <w:sz w:val="16"/>
          <w:szCs w:val="16"/>
        </w:rPr>
        <w:noBreakHyphen/>
        <w:t>1933 г.: а) обязать НКВнешторг импортировать в 4 квартале для вагоностроительных заводов 4 тысячи тонн швеллеров № 30</w:t>
      </w:r>
      <w:r w:rsidRPr="00C33834">
        <w:rPr>
          <w:color w:val="000000" w:themeColor="text1"/>
          <w:sz w:val="16"/>
          <w:szCs w:val="16"/>
        </w:rPr>
        <w:noBreakHyphen/>
        <w:t>бис и 3000 тонн рессорной стали, сверх годовых контингентов НКТП (потребует 300 тысяч рублей валюты); б) для обеспечения вагоностроения лесоматериалами снять в 4 квартале с экспорта 27 тысяч кубометров хвойных пиломатериалов и 5,5 тысяч кубометров дубовых пиломатериалов (сократить на 484 тысячи рублей поступление валюты). 9) Внести изменения согласно принятому постановлению Политбюро от 9</w:t>
      </w:r>
      <w:r w:rsidRPr="00C33834">
        <w:rPr>
          <w:color w:val="000000" w:themeColor="text1"/>
          <w:sz w:val="16"/>
          <w:szCs w:val="16"/>
        </w:rPr>
        <w:noBreakHyphen/>
        <w:t>10</w:t>
      </w:r>
      <w:r w:rsidRPr="00C33834">
        <w:rPr>
          <w:color w:val="000000" w:themeColor="text1"/>
          <w:sz w:val="16"/>
          <w:szCs w:val="16"/>
        </w:rPr>
        <w:noBreakHyphen/>
        <w:t>1933 г.: а) уменьшить сдачу растительного масла до 10 тысяч тонн; б) уменьшить хлопковые семена в сдаче до 20 тысяч тонн; в) увеличить сдачу жмыхов на 10 тысяч тонн; г) увеличить сдачу зерновых сверх утвержденной Валютной комиссией по плану 4 квартала на 10 миллионов пудов. 10) Комиссии в составе: Беленького, Розенгольца, Пятакова рассмотреть просьбу Наркомтяжпрома об увеличении контингентов по цветным металлам и ферросплавам; 11) Разрешить дополнительную закупку 28 тысяч тонн проката; 12) Разрешить дополнительный импорт качественной стали на 300 тысяч рублей; 13) Разрешить Наркомтяжпрому дополнительный импорт оборудования на 600 тысяч рублей. Комиссии в составе Андреева, Орджоникидзе и Розенгольца определить размеры импорта для Верхнеудинского завода; 14) Разрешить закупку медикаментов для Москвы сверх годового плана на 25 тысяч рублей; 15) Установить, что импорт для «Красного Путиловца» определяется в 600 тысяч рублей в счет имплана 1934 года, включая в это все ранее принятые постановления; 16) Отменить решение Политбюро от 8</w:t>
      </w:r>
      <w:r w:rsidRPr="00C33834">
        <w:rPr>
          <w:color w:val="000000" w:themeColor="text1"/>
          <w:sz w:val="16"/>
          <w:szCs w:val="16"/>
        </w:rPr>
        <w:noBreakHyphen/>
        <w:t>10</w:t>
      </w:r>
      <w:r w:rsidRPr="00C33834">
        <w:rPr>
          <w:color w:val="000000" w:themeColor="text1"/>
          <w:sz w:val="16"/>
          <w:szCs w:val="16"/>
        </w:rPr>
        <w:noBreakHyphen/>
        <w:t xml:space="preserve">1933 г. об увеличении импорта скота из Турции и оставить импорт скота из Турции в прежних размерах, т. е. 100 тысяч голов мелкого и 35 тысяч голов крупного; 17) Разрешить заключение договоров с фирмой «Испано-Сюиза» всего на сумму не свыше 800 тысяч рублей; 18) Наркомвнешторгу внести </w:t>
      </w:r>
      <w:r w:rsidRPr="00C33834">
        <w:rPr>
          <w:color w:val="000000" w:themeColor="text1"/>
          <w:sz w:val="16"/>
          <w:szCs w:val="16"/>
        </w:rPr>
        <w:lastRenderedPageBreak/>
        <w:t xml:space="preserve">в валютный план изменения, вытекающие из принятых решений об изменении экспортных и импортных планов. </w:t>
      </w:r>
      <w:hyperlink r:id="rId356" w:anchor="showunit&amp;id=88196" w:history="1">
        <w:r w:rsidRPr="00C33834">
          <w:rPr>
            <w:rStyle w:val="a5"/>
            <w:color w:val="000000" w:themeColor="text1"/>
            <w:sz w:val="16"/>
            <w:szCs w:val="16"/>
          </w:rPr>
          <w:t>57/37. О цветных металлах для НКТП (ПБ от 22 октября 1933 г.).</w:t>
        </w:r>
      </w:hyperlink>
      <w:r w:rsidRPr="00C33834">
        <w:rPr>
          <w:color w:val="000000" w:themeColor="text1"/>
          <w:sz w:val="16"/>
          <w:szCs w:val="16"/>
        </w:rPr>
        <w:t xml:space="preserve"> — ОП. Решено утвердить постановление СТО о разрешении выдачи из Комитета Резервов для НКТяжпрома по обеспечению неотложных нужд танковой программы 4 квартала – олова 70 тонн, алюминия – 100 тонн и авиационной промышленности – олова 58 тонн, алюминия – 300 тонн, магнето ВС12 – 400. </w:t>
      </w:r>
      <w:hyperlink r:id="rId357" w:anchor="showunit&amp;id=88207" w:history="1">
        <w:r w:rsidRPr="00C33834">
          <w:rPr>
            <w:rStyle w:val="a5"/>
            <w:color w:val="000000" w:themeColor="text1"/>
            <w:sz w:val="16"/>
            <w:szCs w:val="16"/>
          </w:rPr>
          <w:t>67/47. О цветных металлах</w:t>
        </w:r>
      </w:hyperlink>
      <w:r w:rsidRPr="00C33834">
        <w:rPr>
          <w:color w:val="000000" w:themeColor="text1"/>
          <w:sz w:val="16"/>
          <w:szCs w:val="16"/>
        </w:rPr>
        <w:t xml:space="preserve"> (ПБ от 22 октября 1933 г.). — ОП. Решено увеличить импорт цветных металлов и ферросплавов, а также магния и криолита, всего на 2 миллиона рублей сверх плана 4 квартала, утвержденного Валютной комиссией, и сверх годового плана. </w:t>
      </w:r>
      <w:hyperlink r:id="rId358" w:anchor="showunit&amp;id=88235" w:history="1">
        <w:r w:rsidRPr="00C33834">
          <w:rPr>
            <w:rStyle w:val="a5"/>
            <w:color w:val="000000" w:themeColor="text1"/>
            <w:sz w:val="16"/>
            <w:szCs w:val="16"/>
          </w:rPr>
          <w:t>92/72. О концессии «Жесть-Вестен»</w:t>
        </w:r>
      </w:hyperlink>
      <w:r w:rsidRPr="00C33834">
        <w:rPr>
          <w:color w:val="000000" w:themeColor="text1"/>
          <w:sz w:val="16"/>
          <w:szCs w:val="16"/>
        </w:rPr>
        <w:t xml:space="preserve"> (ПБ от 23 октября 1933 г.). — ОП. Решено: 1. Разрешить для концессии «Жесть-Вестен» дополнительный импорт на сумму 20 тысяч рублей на приобретение необходимых химикалий по спецификации, согласованной с НКЛП РСФСР. 2. Ввиду отказа концессионера удовлетворить минимальные требования ЦК Cоюза машиностроителей в части повышения зарплаты и некоторого улучшения бытовых условий труда, и, учитывая, что концессионер выдвинул контртребования, направленные к дальнейшему ухудшению положения рабочих на предприятии, разрешить ЦК Союза машиностроителей вторично предъявить концессии свои требования и, в случае отказа, в трехдневный срок разрешить Профсоюзу объявить на предприятии стачку. 3. Разрешить Главконцесскому и НКЛП РСФСР приступить к переговорам с концессией «Жесть-Вестен» о ликвидации концессии на условиях рассрочки на ряд лет выкупной суммы, предусмотрев при этом выплату концессионеру в ближайшие годы не свыше 150 тысяч рублей валюты ежегодно. </w:t>
      </w:r>
      <w:hyperlink r:id="rId359" w:anchor="showunit&amp;id=88063" w:history="1">
        <w:r w:rsidRPr="00C33834">
          <w:rPr>
            <w:rStyle w:val="a5"/>
            <w:color w:val="000000" w:themeColor="text1"/>
            <w:sz w:val="16"/>
            <w:szCs w:val="16"/>
          </w:rPr>
          <w:t>105/85. Об отпуске средств из резервного фонда СНК СССР</w:t>
        </w:r>
      </w:hyperlink>
      <w:r w:rsidRPr="00C33834">
        <w:rPr>
          <w:color w:val="000000" w:themeColor="text1"/>
          <w:sz w:val="16"/>
          <w:szCs w:val="16"/>
        </w:rPr>
        <w:t xml:space="preserve"> (ПБ от 25 октября 1933 г.). — ОП. Решено утвердить постановление СНК об отпуске НКВМору из резервного фонда СНК 1200 тыс. руб. на строительство Мурманской морской базы. </w:t>
      </w:r>
      <w:hyperlink r:id="rId360" w:anchor="showunit&amp;id=88097" w:history="1">
        <w:r w:rsidRPr="00C33834">
          <w:rPr>
            <w:rStyle w:val="a5"/>
            <w:color w:val="000000" w:themeColor="text1"/>
            <w:sz w:val="16"/>
            <w:szCs w:val="16"/>
          </w:rPr>
          <w:t>136/117. О снабжении рабочих азотно-тукового комбината в Горловке</w:t>
        </w:r>
      </w:hyperlink>
      <w:r w:rsidRPr="00C33834">
        <w:rPr>
          <w:color w:val="000000" w:themeColor="text1"/>
          <w:sz w:val="16"/>
          <w:szCs w:val="16"/>
        </w:rPr>
        <w:t xml:space="preserve"> (ПБ от 28 октября 1933 г.). Решено перевести из списка № 1 в особый список снабжения рабочих действующих цехов азотно-тукового комбината в Горловке, начиная с ноября месяца 1933 года. </w:t>
      </w:r>
      <w:hyperlink r:id="rId361" w:anchor="showunit&amp;id=88129" w:history="1">
        <w:r w:rsidRPr="00C33834">
          <w:rPr>
            <w:rStyle w:val="a5"/>
            <w:color w:val="000000" w:themeColor="text1"/>
            <w:sz w:val="16"/>
            <w:szCs w:val="16"/>
          </w:rPr>
          <w:t>165/146. План развертывания работ по Блявинскому комбинату (Средняя Волга)</w:t>
        </w:r>
      </w:hyperlink>
      <w:r w:rsidRPr="00C33834">
        <w:rPr>
          <w:color w:val="000000" w:themeColor="text1"/>
          <w:sz w:val="16"/>
          <w:szCs w:val="16"/>
        </w:rPr>
        <w:t xml:space="preserve"> (ПБ от 31 октября 1933 г.). Решено передать вопрос на разрешение в СТО (15462).</w:t>
      </w:r>
    </w:p>
    <w:p w14:paraId="01BA6CBA" w14:textId="77777777" w:rsidR="002C03D8" w:rsidRPr="00C33834" w:rsidRDefault="002C03D8" w:rsidP="00C33834">
      <w:pPr>
        <w:pStyle w:val="rtejustify"/>
        <w:spacing w:before="0" w:after="0"/>
        <w:rPr>
          <w:color w:val="000000" w:themeColor="text1"/>
          <w:sz w:val="16"/>
          <w:szCs w:val="16"/>
        </w:rPr>
      </w:pPr>
    </w:p>
    <w:p w14:paraId="67E9C8E6"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1 ноября 1933 года Протокол дополнительных показаний Обвиняемого Шеффера Артура Фридриховича </w:t>
      </w:r>
    </w:p>
    <w:p w14:paraId="0ECD1BA4"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В дополнение к моим предыдущим показаниям о моей шпионской деятельности впользу германской разведки, сообщаю следующее: </w:t>
      </w:r>
    </w:p>
    <w:p w14:paraId="6DAA2543"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Наряду с тем, что мною давались Верману письменные материалы об основных данных производственной программы выпуска продукции по заводу по годам, я также систематически информировал Вермана о ходе выполнения производственной программы по основным объектам производственной деятельности завода, особенно по военному и коммерческому судостроению.</w:t>
      </w:r>
    </w:p>
    <w:p w14:paraId="33646E81"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Эти сведения давались Верману регулярно из квартала в квартал в виде письменных квартальных отчетных данных о выполнении производственной программы по основным объектам поквартально. </w:t>
      </w:r>
    </w:p>
    <w:p w14:paraId="2EF02BBF"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Параллельно с представлением Верману шпионских сведений по заводу А Марти, я также снабжал Вермана аналогичными сведениями и по заводу заводу № 61 в г. Николаеве. </w:t>
      </w:r>
    </w:p>
    <w:p w14:paraId="4ECB12E8"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Конкретно за период моей деловой связи с Верманом я передавал ему письменные материалы по следующим вопросам и объектам: </w:t>
      </w:r>
    </w:p>
    <w:p w14:paraId="5FA123EC"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1)По военному судостроению: Данные об основных размерах, тоннаже скоростях и вооружениях новостроящихся 9 малых подводных лодок типа заказа № 265. </w:t>
      </w:r>
    </w:p>
    <w:p w14:paraId="43EC062D"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2) По коммерческому судостроению: Типы, основные размеры, грузоподъемность строящихся нефтевозов №№ 195, 196, сухогрузов №№ 197, 198, 199, 200 и следующих серий, дальневосточных теплоходов № 207 и 208 и больших лесовозов.</w:t>
      </w:r>
    </w:p>
    <w:p w14:paraId="50B5C656"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3) Подробные письменные данные данные о производственной программе и степени готовности.</w:t>
      </w:r>
    </w:p>
    <w:p w14:paraId="6886B0D9"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Верман не только интересовался вопросами судостроения на ни­колаевских заводах. Он также проявлял большой интерес к общему судостроению, особенно военному, по всему Союзу. В этих целях Вер­ман, наряду с другими источниками, использовал мои служебные командировки по делам завода в Ленинград на совещания в Союзверфи.</w:t>
      </w:r>
    </w:p>
    <w:p w14:paraId="123B6C59"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Первая беседа Вермана со мной по части предоставлений ему све­дений по всесоюзному судостроению относится к сентябрю месяцу 1930 года Я тогда, по вызову правления Союзверфи, должен был выехать вторично в Ленинград для согласования ряда вопросов по конт­рольным цифрам.</w:t>
      </w:r>
    </w:p>
    <w:p w14:paraId="0CB83AF2"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При очередной с Верманом встрече, узнав, что я был в Ленинграде на совещании в Союзверфи по вопросам контрольных цифр завода, где одновременно прорабатывались контрольные цифры других су­достроительных заводов Союза, а также о том, что мне предстоит вто­ричная служебная командировка в Ленинград, Верман просил меня проинформировать его в общих чертах о состоянии судостроения по другим заводам Союза. Я по этому вопросу устно проинформировал Вермана на основании тех отдельных данных, которые сохранились у меняя в памяти при обсуждении контрольных цифр, интересовав­ших Вермана заводов. Верман тогда же предложил мне использовать мои служебные командировки в Ленинград по вопросам планирова­ния, для собирания и представления ему подробных данных о ходе судостроения, главным образом, военного, по другим заводам Союза. Я Верману дал свое согласие.</w:t>
      </w:r>
    </w:p>
    <w:p w14:paraId="12BA1AA0"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Начиная с сентября 1930 г. я, выполняя задания Вермана о предо­ставлении ему шпионских сведений по судостроению Союза, предос­тавлял периодически в распоряжение Вермана письменные материа­лы об основных показателях судостроения на следующих заводах:</w:t>
      </w:r>
    </w:p>
    <w:p w14:paraId="089C3542"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а) "Северная верфь" — им. Марти и Балтийский завод г. Ленинград.</w:t>
      </w:r>
    </w:p>
    <w:p w14:paraId="6BB3E33D"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б) Морской завод — Севастополь.</w:t>
      </w:r>
    </w:p>
    <w:p w14:paraId="6F219930"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 Дальзавод — Владивосток.</w:t>
      </w:r>
    </w:p>
    <w:p w14:paraId="76FEB45B"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Предоставляемые мною Верману сведения составлялись из данных производственных программ указанных заводов, характеризующих типы судов, их количество, объекты работы и сроки сдачи.</w:t>
      </w:r>
    </w:p>
    <w:p w14:paraId="2459F2E2"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Я последовательно передавал Верману подробные сведения о про­изводственной программе этих заводов — на 4-й квартал 1930 года, на 1931-й год, поквартально — за все четыре квартала 1931 года и на 1932 год.</w:t>
      </w:r>
    </w:p>
    <w:p w14:paraId="29C78A44"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Эти сведения я выбирал из материалов планового отдела Союзверфи во время своих служебных командировок в Ленинград по воп­росам утверждения контрольных цифр по нашему заводу в г. Нико­лаеве.</w:t>
      </w:r>
    </w:p>
    <w:p w14:paraId="67101516"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От Вермана я также получал отдельные поручения при моих слу­жебных командировках в Ленинград. Поручения эти следующего порядка:</w:t>
      </w:r>
    </w:p>
    <w:p w14:paraId="6F05EAA5"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При очередной моей поездке в Ленинград в ноябре 1930 г. Верман вручил мне запечатанный пакет и просил передать таковой секрета­рю германского консульства в Ленинграде. Вручая мне пакет, Вер­ман предупредил меня, чтобы я был с пакетом очень осторожен, и тща­тельно его хранил, так как в нем запечатаны важные информацион­ные материалы.</w:t>
      </w:r>
    </w:p>
    <w:p w14:paraId="5107AD3B"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Я это поручение Вермана выполнил. Будучи в Ленинграде я посе­тил германское консульство и вручил пакет Вермана лицу, назвав­шему себя секретарем. Это был мужчина высокого роста, плотного телосложения, блондин, фамилии его не знаю.</w:t>
      </w:r>
    </w:p>
    <w:p w14:paraId="2E8DA2DA"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 течение 1931 г. я, по поручению Вермана, дважды посетил в Ле­нинграде германское консульство, где передавал секретарю консуль­ства пакеты от Вермана. Всего, по поручению Вермана, посетил гер­манское консульство в Ленинграде 3 раза. В первых двух случаях я получил от секретаря консульства обратный пакет для Вермана, кое­му и передавал.</w:t>
      </w:r>
    </w:p>
    <w:p w14:paraId="0AAD46B0"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 начале 1931 г., при очередной поездке в Ленинград в служебную командировку, Верман поручил мне передать письмо, работающему в правлении Союзверфи в Ленинграде инженеру Брунсу Эдуарду Эдуардовичу. Это поручение было мною выполнено, обратного до­кумента от Брунса на имя Вермана я не получил. Характер связи Вер­мана с Брунсом мне неизвестен.</w:t>
      </w:r>
    </w:p>
    <w:p w14:paraId="347D77F9"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 начале 1932 года, когда я подробно информировал Вермана по вопросам производственной программы завода на 1933 г., Верман обратил свое внимание на резкое повышение программы военного судостроения на заводе. Тут же Верман поинтересовался следующим вопросом: до каких пределов может вырасти программа военного су­достроения в военное время и каковы в этом отношении возможности завода. Я Верману сказал, что я этими данными не располагаю, но на заводе такие данные имеются линии составления мобпланов. Вер­ман тогда поинтересовался лицом, ведающим мобработой и могущим быть им, Верманом, использованным для получения сведений по мобплану. Я назвал Верману, работавшего тогда на заводе моим заместителем по планово-экономическому отделу - инженера экономиста Ходаковского Владимира Саввича.</w:t>
      </w:r>
    </w:p>
    <w:p w14:paraId="4C706179"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 мае месяце 1932 г., при одной из моих периодических встреч с Верманом, я поинтересовался результатами принятых Верманом ша­гов для получения сведений по мобплану. Верман мне ответил, что на этот счет у него имеется полная договоренность с Ходаковским, от которого он получает интересующие его сведения.</w:t>
      </w:r>
    </w:p>
    <w:p w14:paraId="0E584CE1"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 августе месяце 1933 года, при очередной встрече и беседе с Вер­маном, последний интересовался местонахождением Ходаковского (Ходаковский в 20 числах июня 1933 г., будучи уволенным из заво­да, выехал из Николаева). Я сообщил Верману, то Ходаковский в настоящее время проживает в Ленинграде и работает на заводе № 6. Когда Верман поинтересовался и спросил меня, что из себя представ­ляет завод № 6, я ему сообщил, что завод № 6 работает на минном вооружении для судостроения и других спецзаказах, являясь заво­дом засекреченным.</w:t>
      </w:r>
    </w:p>
    <w:p w14:paraId="6C8A191F"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Верман, зная о моих периодических посещениях Ленинграда, по­учил мне следующее: при очередном посещении Ленинграда — пови­даться с Ходаковским и просить его о представлении ему (Верману), хотя бы изредка, сведений по заводу.</w:t>
      </w:r>
    </w:p>
    <w:p w14:paraId="08F29BBF"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Я согласился это поручение Вермана выполнить, зная Ходаковс­кого хорошо по совместной и близкой работе на заводе, а также о том, что Ходаковский уже давно поддерживает деловую связь с Вер­маном.</w:t>
      </w:r>
    </w:p>
    <w:p w14:paraId="5E4DAE00"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Будучи в очередной служебной командировке в Ленинграде, в октябре 1933 года, я часто встречал Ходаковского в общежитии Союзверфи. При одной из встреч, я Ходаковскому передал просьбу Вер­мана по части представления ему сведений по заводу № 6. Ходаков­ский при этом немного смутился и заявил, что в ближайшие дни он, по семейным делам, собирается в Николаев и тогда же повидается и поговорит с Верманом.</w:t>
      </w:r>
    </w:p>
    <w:p w14:paraId="65191801"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lastRenderedPageBreak/>
        <w:t>Будучи человеком весьма близким к Верману, связанным с ним на протяжении долгих лет по разведывательной работе в пользу Герма­нии, мне из отдельных бесед с Верманом, особенно за последнее время, в период 1932 г., стало известно, что Верман является резидентом гер­манской разведки на юге России. Разведывательная деятельность Вер­мана не ограничивалась только вопросами существования Никола­евских заводов. Верман проводил также работу по организации сбора для него шпионских сведений и в других городах Украины, главным образом в промышленных центрах.</w:t>
      </w:r>
    </w:p>
    <w:p w14:paraId="0EBACEAF"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 неоднократных беседах с Верманом, особенно за последние годы — 1930-32 гг., по вопросам о росте промышленности на Украине, Верман проявлял значительную осведомленность о состоянии и деятель­ности ряда крупных предприятий, относящихся, главным образом, к Харькову, Мариуполю, Днепропетровску, Севастополю, а также Одессе.</w:t>
      </w:r>
    </w:p>
    <w:p w14:paraId="2F97CDC4"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Конкретно Верман проявлял свою осведомленность по служащим промышленным объектам, по Харьковскому паровозостроительному заводу, Харьковскому электромеханическому, заводу им. Петровс­кого в Днепропетровске, а также металлургическому заводу в Мари­уполе. Из ряда бесед с Верманом, в процессе коих затрагивались эти предприятия, было очевидно, что Верман располагает детальными данными о состоянии и мощности этих предприятий, о ходе выполне­ния производственной программы на них, а также об основных ко­личественных и качественных показателях работы. Верману также было известно о строительстве и работе военного цеха - танкетного на ХНЗ.</w:t>
      </w:r>
    </w:p>
    <w:p w14:paraId="6DBDA8E6"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Верман также был в курсе деятельности Морского завода в Севас­тополе и судостроительного завода имени Марти в Одессе.</w:t>
      </w:r>
    </w:p>
    <w:p w14:paraId="20057173"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О лицах, кои проводили разведывательную работу по указанным предприятиям и представляли Верману сведения помнится, что когда в моих беседах с Верманом заходила речь о Харькове, Верман нео­днократно упоминал, что он ведет переписку с Резниковым Гераси­мом Степановичем, каковой до 1926-27 г.г. работал на заводе им А. Марти в Николаеве, а в настоящее время работает, насколько мне известно, в одном из трестов в Харькове.</w:t>
      </w:r>
    </w:p>
    <w:p w14:paraId="0BDDFFDA"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Все записано с моих слов верно, мною прочитано, в чем и подпи­сываюсь</w:t>
      </w:r>
    </w:p>
    <w:p w14:paraId="5EAD1513"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А. Шеффер </w:t>
      </w:r>
    </w:p>
    <w:p w14:paraId="310E73A9"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Допросил: Уполномоченный ОО Облотдела ГПУ Весеньев</w:t>
      </w:r>
    </w:p>
    <w:p w14:paraId="1277FA9B"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АПРФ. Ф. 3, on 58, д. 243, л. 118-124 (11462).</w:t>
      </w:r>
    </w:p>
    <w:p w14:paraId="1FD5C87A" w14:textId="77777777" w:rsidR="00570C39" w:rsidRPr="00C33834" w:rsidRDefault="00570C39" w:rsidP="00C33834">
      <w:pPr>
        <w:pStyle w:val="af2"/>
        <w:jc w:val="both"/>
        <w:rPr>
          <w:i w:val="0"/>
          <w:iCs w:val="0"/>
          <w:color w:val="000000" w:themeColor="text1"/>
          <w:spacing w:val="0"/>
          <w:kern w:val="0"/>
          <w:position w:val="0"/>
          <w:sz w:val="16"/>
          <w:szCs w:val="16"/>
          <w:lang w:val="ru-RU"/>
        </w:rPr>
      </w:pPr>
    </w:p>
    <w:p w14:paraId="6778C4B0" w14:textId="77777777" w:rsidR="002C03D8"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F1E8202" w14:textId="77777777" w:rsidR="002C03D8" w:rsidRPr="00C33834" w:rsidRDefault="002C03D8" w:rsidP="00C33834">
      <w:pPr>
        <w:spacing w:after="0" w:line="240" w:lineRule="auto"/>
        <w:jc w:val="both"/>
        <w:rPr>
          <w:rFonts w:ascii="Times New Roman" w:hAnsi="Times New Roman"/>
          <w:iCs/>
          <w:color w:val="000000" w:themeColor="text1"/>
          <w:sz w:val="16"/>
          <w:szCs w:val="16"/>
        </w:rPr>
      </w:pPr>
    </w:p>
    <w:p w14:paraId="706E5A0B" w14:textId="77777777" w:rsidR="002C03D8" w:rsidRPr="00C33834" w:rsidRDefault="002C03D8" w:rsidP="00C33834">
      <w:pPr>
        <w:pStyle w:val="rtejustify"/>
        <w:spacing w:before="0" w:after="0"/>
        <w:rPr>
          <w:color w:val="000000" w:themeColor="text1"/>
          <w:sz w:val="16"/>
          <w:szCs w:val="16"/>
        </w:rPr>
      </w:pPr>
      <w:r w:rsidRPr="00C33834">
        <w:rPr>
          <w:rStyle w:val="af0"/>
          <w:bCs/>
          <w:i w:val="0"/>
          <w:color w:val="000000" w:themeColor="text1"/>
          <w:sz w:val="16"/>
          <w:szCs w:val="16"/>
        </w:rPr>
        <w:t>2/5 ноября 1933 вышел приказ НКТП № 199с.</w:t>
      </w:r>
      <w:r w:rsidRPr="00C33834">
        <w:rPr>
          <w:color w:val="000000" w:themeColor="text1"/>
          <w:sz w:val="16"/>
          <w:szCs w:val="16"/>
        </w:rPr>
        <w:t xml:space="preserve"> О реконструкции завода «Красный прогресс». (РГАЭ. Ф. 160. Оп. 38. Д. 38. Л. 160) (15246).</w:t>
      </w:r>
    </w:p>
    <w:p w14:paraId="54815799" w14:textId="77777777" w:rsidR="002C03D8" w:rsidRPr="00C33834" w:rsidRDefault="002C03D8" w:rsidP="00C33834">
      <w:pPr>
        <w:pStyle w:val="rtejustify"/>
        <w:spacing w:before="0" w:after="0"/>
        <w:rPr>
          <w:color w:val="000000" w:themeColor="text1"/>
          <w:sz w:val="16"/>
          <w:szCs w:val="16"/>
        </w:rPr>
      </w:pPr>
    </w:p>
    <w:p w14:paraId="010A6F50" w14:textId="77777777" w:rsidR="00C7670E" w:rsidRPr="00C33834" w:rsidRDefault="00C7670E"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085D04AA" w14:textId="77777777" w:rsidR="00C7670E" w:rsidRPr="00C33834" w:rsidRDefault="00C7670E" w:rsidP="00C33834">
      <w:pPr>
        <w:spacing w:after="0" w:line="240" w:lineRule="auto"/>
        <w:jc w:val="both"/>
        <w:rPr>
          <w:rFonts w:ascii="Times New Roman" w:hAnsi="Times New Roman"/>
          <w:iCs/>
          <w:color w:val="000000" w:themeColor="text1"/>
          <w:sz w:val="16"/>
          <w:szCs w:val="16"/>
        </w:rPr>
      </w:pPr>
    </w:p>
    <w:p w14:paraId="7388B4DD" w14:textId="77777777" w:rsidR="00C7670E" w:rsidRPr="00C33834" w:rsidRDefault="00C767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ноября 1933 как только был провозглашен акт признания СССР, нарком внешней торговли А.П. Розенгольц и замнаркома иностранных дел Н.Н. Крестинский телеграфировали наркому М.М. Литвинову в Вашингтон о необходимости немедленного учреждения торгпредства и назначении торгпреда. -Литвинов обратился в госдепартамент, там отнеслись довольно сдержанно к этому предложению, дав понять, что оно требует времени для изучения. 1 декабря заместитель госсекретаря Филлипс уведомил поверенного в делах Б.Е. Сквирского, что по данному вопросу желательно знать мнение казначея Г. Моргентау и самого президента. Спустя двадцать дней, 26 декабря, Филлипс вручил меморандум Сквирскому, в котором говорилось, что госдепартамент не возражает в принципе против торгового атташе при полпредстве; он может изучать американский рынок, но не будет заниматься торговлей или вступать в сделки с фирмами и располагаться должен не в Вашингтоне, а в Нью-Йорке. Такой ответ вызвал недоумение и предвещал большие трудности в налаживании торговых отношений. В это время в американской печати развернулась оживленная дискуссия по поводу перспектив торговли с СССР. Некоторые авторы подчеркивали его неплатежеспособность. Они утверждали, что советское правительство не в состоянии оплачивать кредиты, у него нет валюты.</w:t>
      </w:r>
    </w:p>
    <w:p w14:paraId="5E8F7616" w14:textId="77777777" w:rsidR="00C7670E" w:rsidRPr="00C33834" w:rsidRDefault="00C7670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1934 г., считал он, СССР будет в состоянии ликвидировать свою задолженность, и США могут поставлять ему продукты питания и сырье. С большими надеждами американские хлопководы и текстильные фабриканты смотрели на советский рынок. Нью-йоркская хлопковая биржа опубликовала доклад о текстильной проблеме в России и возможностях увеличения поставок ей хлопка. Журнал "Анналист" отмечал, что СССР нуждается в значительном количестве американского промышленного оборудования, в том числе для всех видов транспорта: железнодорожного, воздушного, морского, гужевого, для постройки шоссейных дорог. Констатировалось, что потенциальная емкость российского рынка огромна. Его можно использовать, но нужны долгосрочные кредиты (19280).</w:t>
      </w:r>
    </w:p>
    <w:p w14:paraId="40B20C86" w14:textId="21855DDE" w:rsidR="00C7670E" w:rsidRPr="00C33834" w:rsidRDefault="00C7670E" w:rsidP="00C33834">
      <w:pPr>
        <w:spacing w:after="0" w:line="240" w:lineRule="auto"/>
        <w:jc w:val="both"/>
        <w:rPr>
          <w:rFonts w:ascii="Times New Roman" w:hAnsi="Times New Roman"/>
          <w:color w:val="000000" w:themeColor="text1"/>
          <w:sz w:val="16"/>
          <w:szCs w:val="16"/>
        </w:rPr>
      </w:pPr>
    </w:p>
    <w:p w14:paraId="146EDD00" w14:textId="0C674F44" w:rsidR="00622232" w:rsidRPr="00C33834" w:rsidRDefault="0062223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рубежом:</w:t>
      </w:r>
    </w:p>
    <w:p w14:paraId="1A90AE54" w14:textId="77777777" w:rsidR="00622232" w:rsidRPr="00C33834" w:rsidRDefault="00622232" w:rsidP="00C33834">
      <w:pPr>
        <w:spacing w:after="0" w:line="240" w:lineRule="auto"/>
        <w:jc w:val="both"/>
        <w:rPr>
          <w:rFonts w:ascii="Times New Roman" w:hAnsi="Times New Roman"/>
          <w:color w:val="000000" w:themeColor="text1"/>
          <w:sz w:val="16"/>
          <w:szCs w:val="16"/>
        </w:rPr>
      </w:pPr>
    </w:p>
    <w:p w14:paraId="60DE39FB" w14:textId="77777777" w:rsidR="00622232" w:rsidRPr="00C33834" w:rsidRDefault="0062223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ноября 1933 Правительство Колумбии издает указ, возлагающий на Министерство сельского хозяйства и торговли ответственность за регулирование гражданской авиации в Колумбии (20802).</w:t>
      </w:r>
    </w:p>
    <w:p w14:paraId="486338C3" w14:textId="77777777" w:rsidR="00622232" w:rsidRPr="00C33834" w:rsidRDefault="00622232" w:rsidP="00C33834">
      <w:pPr>
        <w:spacing w:after="0" w:line="240" w:lineRule="auto"/>
        <w:jc w:val="both"/>
        <w:rPr>
          <w:rFonts w:ascii="Times New Roman" w:hAnsi="Times New Roman"/>
          <w:color w:val="0070C0"/>
          <w:sz w:val="16"/>
          <w:szCs w:val="16"/>
        </w:rPr>
      </w:pPr>
    </w:p>
    <w:p w14:paraId="0997450D"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B40CB6F"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4FC90E4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ноября 1933 года директор завода Марголин писал письмо N 1337с начальнику УВВС и ГУАП.</w:t>
      </w:r>
    </w:p>
    <w:p w14:paraId="6F35B96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27-го апреля 1932 г. по предложению УВВС и приказу ГУАП заводом N 39 был заключен локальный договор с УВВС на постройку 20 самолетов "Z" с установкой специального вооружения, при чем отпускная цена с ориентировочной стоимостью вооружения была установлена в размере 77593,8 руб. за единицу.</w:t>
      </w:r>
    </w:p>
    <w:p w14:paraId="7B163E5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Первые же заводские испытания выявили необходимость весьма сложных конструктивных изменений, связанных со специальным вооружением, что повело к неизбежным и неоднократным переделкам уже изготовленных самолетов.</w:t>
      </w:r>
    </w:p>
    <w:p w14:paraId="1F628A1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Естественно, что эти, непредусмотренные ранее работы, значительно повысили себестоимость самолетов и на 1-е октября затраты по изготовлению всех самолетов и установке вооружения (на 4 самолетах) выразились в сумме 2398909 руб., т.е. 119945 р. 45 к. на 1 машину.</w:t>
      </w:r>
    </w:p>
    <w:p w14:paraId="225953C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Посколько вся работа по "Z" была сугубо опытной и предвидеть точно их стоимость завод не мог - прошу распоряжения произвести расчет за самолеты "Z" по их действительной себестоимости (2303,37).</w:t>
      </w:r>
    </w:p>
    <w:p w14:paraId="57EFB995"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22AF5D20"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C945FDB"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232E161F"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3 ноября 1933 года железнодорожные установки двинулись в путь через всю страну. За сутки батарея проходила 300—350 километров. Нелегко представить сегодня атмосферу, в которой осуществлялись тогда подобные операции. Завеса секретности, тщательная маскировка, строжайший контроль со стороны НКВД... Со станций следования удалялись посторонние лица, каждый эшелон шел в сопровождении представителей того участка железной дороги, по которому двигался...Уникальная операция по перебазированию первой отечественной батареи железнодорожной артиллерии на побережье Тихого океана была завершена в декабре 1933 года. 17 декабря 6-я железнодорожная батарея в составе трех транспортеров ТМ-1-14 прибыла на дальневосточную станцию Первая Речка (11454).</w:t>
      </w:r>
    </w:p>
    <w:p w14:paraId="3A137AA1" w14:textId="77777777" w:rsidR="00570C39" w:rsidRPr="00C33834" w:rsidRDefault="00570C39" w:rsidP="00C33834">
      <w:pPr>
        <w:pStyle w:val="af2"/>
        <w:jc w:val="both"/>
        <w:rPr>
          <w:i w:val="0"/>
          <w:iCs w:val="0"/>
          <w:color w:val="000000" w:themeColor="text1"/>
          <w:spacing w:val="0"/>
          <w:kern w:val="0"/>
          <w:position w:val="0"/>
          <w:sz w:val="16"/>
          <w:szCs w:val="16"/>
          <w:lang w:val="ru-RU"/>
        </w:rPr>
      </w:pPr>
    </w:p>
    <w:p w14:paraId="18544463" w14:textId="77777777" w:rsidR="002C03D8" w:rsidRPr="00C33834" w:rsidRDefault="002C03D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ноября 1933 г. после ремонта ходовой части первый транспортёр ТМ-1-14 6-й батареи отправился в путь из Ленинграда во Владивосток. С интервалом в сутки за ним отправился второй, а затем и третий. Каждый состав состоял из 22 единиц подвижного состава: вагон-штаб, вагон-клуб, вагоны для личного состава и продовольствия, вагоны с оборудованием и т. д. Скорость движения не более 25 км/ч. За сутки проходили 300-350 км. Разницу в сутки между составами использовали для осмотра пути и мостов. Проблемы возникали при преодолении подъёмов, передвижении по мостам и в тоннелях. Иногда за сутки проходили менее 200 км. Через полтора месяца эшелоны прибыли к месту назначения — станцию Первая Речка в пяти километрах от Владивостока (15132).</w:t>
      </w:r>
    </w:p>
    <w:p w14:paraId="73D051E5" w14:textId="77777777" w:rsidR="002C03D8" w:rsidRPr="00C33834" w:rsidRDefault="002C03D8" w:rsidP="00C33834">
      <w:pPr>
        <w:spacing w:after="0" w:line="240" w:lineRule="auto"/>
        <w:jc w:val="both"/>
        <w:rPr>
          <w:rFonts w:ascii="Times New Roman" w:hAnsi="Times New Roman"/>
          <w:color w:val="000000" w:themeColor="text1"/>
          <w:sz w:val="16"/>
          <w:szCs w:val="16"/>
        </w:rPr>
      </w:pPr>
    </w:p>
    <w:p w14:paraId="19E2A66B"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3 ноября 1933 за № 50762 было подготовлено</w:t>
      </w:r>
    </w:p>
    <w:p w14:paraId="271723D3" w14:textId="77777777" w:rsidR="00570C39" w:rsidRPr="00C33834" w:rsidRDefault="00570C39" w:rsidP="00C33834">
      <w:pPr>
        <w:pStyle w:val="af2"/>
        <w:jc w:val="both"/>
        <w:rPr>
          <w:bCs/>
          <w:i w:val="0"/>
          <w:iCs w:val="0"/>
          <w:color w:val="000000" w:themeColor="text1"/>
          <w:spacing w:val="0"/>
          <w:kern w:val="0"/>
          <w:position w:val="0"/>
          <w:sz w:val="16"/>
          <w:szCs w:val="16"/>
          <w:lang w:val="ru-RU"/>
        </w:rPr>
      </w:pPr>
      <w:r w:rsidRPr="00C33834">
        <w:rPr>
          <w:rStyle w:val="12"/>
          <w:b w:val="0"/>
          <w:bCs w:val="0"/>
          <w:i w:val="0"/>
          <w:iCs w:val="0"/>
          <w:color w:val="000000" w:themeColor="text1"/>
          <w:spacing w:val="0"/>
          <w:kern w:val="0"/>
          <w:position w:val="0"/>
          <w:sz w:val="16"/>
          <w:szCs w:val="16"/>
          <w:lang w:val="ru-RU"/>
        </w:rPr>
        <w:t>СПЕЦСООБЩЕНИЕ</w:t>
      </w:r>
    </w:p>
    <w:p w14:paraId="3DC61E09" w14:textId="77777777" w:rsidR="00570C39" w:rsidRPr="00C33834" w:rsidRDefault="00570C39" w:rsidP="00C33834">
      <w:pPr>
        <w:pStyle w:val="af2"/>
        <w:jc w:val="both"/>
        <w:rPr>
          <w:bCs/>
          <w:i w:val="0"/>
          <w:iCs w:val="0"/>
          <w:color w:val="000000" w:themeColor="text1"/>
          <w:spacing w:val="0"/>
          <w:kern w:val="0"/>
          <w:position w:val="0"/>
          <w:sz w:val="16"/>
          <w:szCs w:val="16"/>
          <w:lang w:val="ru-RU"/>
        </w:rPr>
      </w:pPr>
      <w:r w:rsidRPr="00C33834">
        <w:rPr>
          <w:rStyle w:val="12"/>
          <w:b w:val="0"/>
          <w:bCs w:val="0"/>
          <w:i w:val="0"/>
          <w:iCs w:val="0"/>
          <w:color w:val="000000" w:themeColor="text1"/>
          <w:spacing w:val="0"/>
          <w:kern w:val="0"/>
          <w:position w:val="0"/>
          <w:sz w:val="16"/>
          <w:szCs w:val="16"/>
          <w:lang w:val="ru-RU"/>
        </w:rPr>
        <w:t>Сов. Секретно</w:t>
      </w:r>
    </w:p>
    <w:p w14:paraId="747B0493"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 результате дальнейшего разворачивания следствия по делу гер­манской диверсионно-повстанческой организации, работавшей под прикрытием фирмы "Контроль К°", выявлен чрезвычайно широкий размах диверсионно-повстанческой работы организации.</w:t>
      </w:r>
    </w:p>
    <w:p w14:paraId="2E6B7C48"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Установлено, что пожар, имевший место в закрытом эллинге под­водных лодок завода им. Марти (Николаев), произведен вскрытой организацией во главе с Вайнцетель (представитель фирмы "Конт­роль К°" на Украине, австрийский подданный). Арестованный ин­женер Гуммерт сознался в том, что поджог эллинга он осуществил по поручению инженера Карлл (инженер з-да им. Марти - германс­кий подданный) через заведывающего планового бюро корпусного цеха завода - Горобенко и мастера того же цеха Плохой.</w:t>
      </w:r>
    </w:p>
    <w:p w14:paraId="6C8B99D0"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Показаниями того же Гуммерта устанавливается, что по задани­ям Карлл в ближайшие дни были намечены следующие диверсион­ные акты:</w:t>
      </w:r>
    </w:p>
    <w:p w14:paraId="4298C197"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а) затопление мощного плавучего крана з-да им. Марти (непос­редственное осуществление поручено сдаточному капитану Кожушенко - арестован),</w:t>
      </w:r>
    </w:p>
    <w:p w14:paraId="79478F99"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б) поджог цистерно-строительного цеха завода им. "Марти" (осу­ществление поручалось инженеру НКПС, члену партии Беляеву).</w:t>
      </w:r>
    </w:p>
    <w:p w14:paraId="495CE74E"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lastRenderedPageBreak/>
        <w:t>Таким образом, дальнейшим следствием полностью подтвержда­ются первичные материалы о том, что главным организатором ди­версии является инженер Карлл, тесно связанный с австрийским под­данным Кришайт (инженер з-да им. Марти).</w:t>
      </w:r>
    </w:p>
    <w:p w14:paraId="0C226598"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Одновременно показаниями инженеров Беккер и Мещрякова ус­тановлена широкая и планомерная работа германской разведки по подготовке диверсионных актов на Краммашстрое и Краматорской ГЭС, сопровождавшаяся формированием диверсионных ячеек из немецких кулаков осевших на предприятиях.</w:t>
      </w:r>
    </w:p>
    <w:p w14:paraId="1EA02BEC"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Параллельно с существованием диверсионных ячеек показания­ми арестованных в Донбассе, Днепропетровщине и Одессе установ­лено существование разветвленной повстанческой организации, ох­ватившей Днепропетровщину, Одесщину, Донбасс, Киевщину и СКК, и наличие разветвленной шпионской сети в частях Красной Армии на Украине,</w:t>
      </w:r>
    </w:p>
    <w:p w14:paraId="01C1BCF4"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Приняты меры усиленной охраны завода им. "Мари" и Краммашстроя.</w:t>
      </w:r>
    </w:p>
    <w:p w14:paraId="007A834F"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Установленная широкая диверсионная и шпионская работа на Украине под прикрытием фирмы "Контроль К°" заслуживает особо­го внимания в связи с имеющимися в распоряжении ОГПУ докумен­тальными материалами, разоблачающими "Контроль К°", как при­крытие диверсионной работы германского Генштаба еще во время империалистической войны. Из имеющихся у нас материалов царс­кой контрразведки устанавливается наличие активной шпионской деятельности со стороны тогдашнего представителя "Контроль К°" в Ростове бельгийского подданного Бернгард Сильней (в настоящее время главный представитель "Контроль К°" в Москве), связанного по этой работе с германским подданным Шенк (в настоящее время работает в Московской конторе "Контроль К°").</w:t>
      </w:r>
    </w:p>
    <w:p w14:paraId="770C16AF"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 процессе следствия показаниями сознавшихся в диверсион­ной работе инженеров Ставровского (завод им. "Ильича" в Ма­риуполе), Гуммерта (завод им. Марти в Николаеве), Шеффер (за­вод им. Марти) и служащих фирмы "Контроль К°" Штурм А. (Ни­колаев), Гармер (Одесса) и др установлено, что всей диверсион­ной работой, в том числе и поджогом эллинга подлодок в Нико­лаеве, руководили Вайнцетель, австрийский подданный, управ­ляющий конторой "Контроль К°" в Мариуполе, Карлл, германс­кий подданный инженер з-да им. Марти и Кришайт австрийский подданный, инженер того же завода.</w:t>
      </w:r>
    </w:p>
    <w:p w14:paraId="25CF3620"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В целях полного вскрытия и пресечения диверсионной работы счи­таем необходимым арестовать Вайнцетель Иосифа, Карлл Густава и Кришайта Рихарда. </w:t>
      </w:r>
    </w:p>
    <w:p w14:paraId="195C2858"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Зам. председателя ОГПУ Прокофьев</w:t>
      </w:r>
    </w:p>
    <w:p w14:paraId="7F846CB7"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Разослано: Секретарю ЦК ВКП(б) т.Сталину </w:t>
      </w:r>
    </w:p>
    <w:p w14:paraId="164BA3E4"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Пред. Совнаркома т. Молотову</w:t>
      </w:r>
    </w:p>
    <w:p w14:paraId="6EDB1B98"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Секретарю ЦК ВКП(б) т. Кагановичу</w:t>
      </w:r>
    </w:p>
    <w:p w14:paraId="66BE9824" w14:textId="77777777" w:rsidR="00570C39" w:rsidRPr="00C33834" w:rsidRDefault="00570C39" w:rsidP="00C33834">
      <w:pPr>
        <w:pStyle w:val="af2"/>
        <w:jc w:val="both"/>
        <w:rPr>
          <w:bCs/>
          <w:i w:val="0"/>
          <w:iCs w:val="0"/>
          <w:color w:val="000000" w:themeColor="text1"/>
          <w:spacing w:val="0"/>
          <w:kern w:val="0"/>
          <w:position w:val="0"/>
          <w:sz w:val="16"/>
          <w:szCs w:val="16"/>
          <w:lang w:val="ru-RU"/>
        </w:rPr>
      </w:pPr>
      <w:r w:rsidRPr="00C33834">
        <w:rPr>
          <w:rStyle w:val="12"/>
          <w:b w:val="0"/>
          <w:bCs w:val="0"/>
          <w:i w:val="0"/>
          <w:iCs w:val="0"/>
          <w:color w:val="000000" w:themeColor="text1"/>
          <w:spacing w:val="0"/>
          <w:kern w:val="0"/>
          <w:position w:val="0"/>
          <w:sz w:val="16"/>
          <w:szCs w:val="16"/>
          <w:lang w:val="ru-RU"/>
        </w:rPr>
        <w:t>АП РФ ф 3 оп 58, д. 243, л. 95-97 (11462).</w:t>
      </w:r>
    </w:p>
    <w:p w14:paraId="38DF9C15" w14:textId="77777777" w:rsidR="00570C39" w:rsidRPr="00C33834" w:rsidRDefault="00570C39" w:rsidP="00C33834">
      <w:pPr>
        <w:pStyle w:val="af2"/>
        <w:jc w:val="both"/>
        <w:rPr>
          <w:i w:val="0"/>
          <w:iCs w:val="0"/>
          <w:color w:val="000000" w:themeColor="text1"/>
          <w:spacing w:val="0"/>
          <w:kern w:val="0"/>
          <w:position w:val="0"/>
          <w:sz w:val="16"/>
          <w:szCs w:val="16"/>
          <w:lang w:val="ru-RU"/>
        </w:rPr>
      </w:pPr>
    </w:p>
    <w:p w14:paraId="7573A6E5"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70D69427"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72FE8AD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3 и 15 ноября 1933. Из протокола заседания Политбюро N 149, 1933 г.</w:t>
      </w:r>
    </w:p>
    <w:p w14:paraId="2A21188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мыле </w:t>
      </w:r>
    </w:p>
    <w:p w14:paraId="52B68BF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Прекратить начиная с ноября месяца всякий экспорт мыла, как хозяйственного, так и туалетного. </w:t>
      </w:r>
    </w:p>
    <w:p w14:paraId="40257BC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Всю продукцию мыловаренной промышленности использовать на нужды внутреннего рынка (11652). </w:t>
      </w:r>
    </w:p>
    <w:p w14:paraId="790A0F00"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11EE7C6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3 и 15 ноября 1933. Из протокола заседания Политбюро N 149, 1933 г.</w:t>
      </w:r>
    </w:p>
    <w:p w14:paraId="0527F3C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Из протокола заседания Политбюро N149, 1933 г. </w:t>
      </w:r>
    </w:p>
    <w:p w14:paraId="68C104F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решениях текущих дел по СНК и СТО </w:t>
      </w:r>
    </w:p>
    <w:p w14:paraId="4FE9785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Расширить практику решения текущих дел по Совнаркому и СТО в порядке распоряжений председателя СНК (СТО) или (по его поручению) заместителей председателя СНК (СТО). </w:t>
      </w:r>
    </w:p>
    <w:p w14:paraId="4ABA62F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Распоряжения председателя СНК ежедневно регистрируются Управлением делами СНК (11652).</w:t>
      </w:r>
    </w:p>
    <w:p w14:paraId="6B72A060"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277F6123"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5CBE42AC"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0A109AD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3 и 15 ноября 1933. Из протокола заседания Политбюро N 149, 1933 г.</w:t>
      </w:r>
    </w:p>
    <w:p w14:paraId="3A1152E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Об Эрмитаже </w:t>
      </w:r>
    </w:p>
    <w:p w14:paraId="45A6E44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Прекратить экспорт картин из Эрмитажа и других музеев без согласия комиссии в составе тт. Бубнова, Розенгольца, Стецкого и Ворошилова (11652).</w:t>
      </w:r>
    </w:p>
    <w:p w14:paraId="2E9048A4"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703F950A"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2459C30"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5385CB8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ноября 1933 года был утвержден пом. нач. ГУАП как обязательный со дня опубликования.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F26F01" w:rsidRPr="00C33834" w14:paraId="4F3FA64A" w14:textId="77777777">
        <w:tc>
          <w:tcPr>
            <w:tcW w:w="2254" w:type="dxa"/>
          </w:tcPr>
          <w:p w14:paraId="4EDD0D8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НКТП</w:t>
            </w:r>
          </w:p>
        </w:tc>
        <w:tc>
          <w:tcPr>
            <w:tcW w:w="2254" w:type="dxa"/>
          </w:tcPr>
          <w:p w14:paraId="115D8D1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Глававиапром</w:t>
            </w:r>
          </w:p>
        </w:tc>
        <w:tc>
          <w:tcPr>
            <w:tcW w:w="2254" w:type="dxa"/>
          </w:tcPr>
          <w:p w14:paraId="4CFADEB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Объединенное бюро стандартизации (ОБСА)</w:t>
            </w:r>
          </w:p>
        </w:tc>
      </w:tr>
      <w:tr w:rsidR="00F26F01" w:rsidRPr="00C33834" w14:paraId="4A704D7D" w14:textId="77777777">
        <w:tc>
          <w:tcPr>
            <w:tcW w:w="2254" w:type="dxa"/>
          </w:tcPr>
          <w:p w14:paraId="57DB567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Ведомственный стандарт</w:t>
            </w:r>
          </w:p>
        </w:tc>
        <w:tc>
          <w:tcPr>
            <w:tcW w:w="2254" w:type="dxa"/>
          </w:tcPr>
          <w:p w14:paraId="149147E3" w14:textId="77777777" w:rsidR="00570C39" w:rsidRPr="00C33834" w:rsidRDefault="00570C39" w:rsidP="00C33834">
            <w:pPr>
              <w:spacing w:after="0" w:line="240" w:lineRule="auto"/>
              <w:jc w:val="both"/>
              <w:rPr>
                <w:rFonts w:ascii="Times New Roman" w:hAnsi="Times New Roman"/>
                <w:color w:val="000000" w:themeColor="text1"/>
                <w:sz w:val="16"/>
                <w:szCs w:val="16"/>
              </w:rPr>
            </w:pPr>
          </w:p>
        </w:tc>
        <w:tc>
          <w:tcPr>
            <w:tcW w:w="2254" w:type="dxa"/>
          </w:tcPr>
          <w:p w14:paraId="247F807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 СТУ</w:t>
            </w:r>
          </w:p>
        </w:tc>
      </w:tr>
      <w:tr w:rsidR="00F26F01" w:rsidRPr="00C33834" w14:paraId="27308A5B" w14:textId="77777777">
        <w:tc>
          <w:tcPr>
            <w:tcW w:w="2254" w:type="dxa"/>
          </w:tcPr>
          <w:p w14:paraId="5159A2B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Р-5 М-17 (штурмовик)</w:t>
            </w:r>
          </w:p>
        </w:tc>
        <w:tc>
          <w:tcPr>
            <w:tcW w:w="2254" w:type="dxa"/>
          </w:tcPr>
          <w:p w14:paraId="76C3BB9D" w14:textId="77777777" w:rsidR="00570C39" w:rsidRPr="00C33834" w:rsidRDefault="00570C39" w:rsidP="00C33834">
            <w:pPr>
              <w:spacing w:after="0" w:line="240" w:lineRule="auto"/>
              <w:jc w:val="both"/>
              <w:rPr>
                <w:rFonts w:ascii="Times New Roman" w:hAnsi="Times New Roman"/>
                <w:color w:val="000000" w:themeColor="text1"/>
                <w:sz w:val="16"/>
                <w:szCs w:val="16"/>
              </w:rPr>
            </w:pPr>
          </w:p>
        </w:tc>
        <w:tc>
          <w:tcPr>
            <w:tcW w:w="2254" w:type="dxa"/>
          </w:tcPr>
          <w:p w14:paraId="4E01694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16А</w:t>
            </w:r>
          </w:p>
        </w:tc>
      </w:tr>
      <w:tr w:rsidR="00F26F01" w:rsidRPr="00C33834" w14:paraId="2227AF67" w14:textId="77777777">
        <w:tc>
          <w:tcPr>
            <w:tcW w:w="2254" w:type="dxa"/>
          </w:tcPr>
          <w:p w14:paraId="0C389C6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w:t>
            </w:r>
          </w:p>
        </w:tc>
        <w:tc>
          <w:tcPr>
            <w:tcW w:w="2254" w:type="dxa"/>
          </w:tcPr>
          <w:p w14:paraId="72D5D37E" w14:textId="77777777" w:rsidR="00570C39" w:rsidRPr="00C33834" w:rsidRDefault="00570C39" w:rsidP="00C33834">
            <w:pPr>
              <w:spacing w:after="0" w:line="240" w:lineRule="auto"/>
              <w:jc w:val="both"/>
              <w:rPr>
                <w:rFonts w:ascii="Times New Roman" w:hAnsi="Times New Roman"/>
                <w:color w:val="000000" w:themeColor="text1"/>
                <w:sz w:val="16"/>
                <w:szCs w:val="16"/>
              </w:rPr>
            </w:pPr>
          </w:p>
        </w:tc>
        <w:tc>
          <w:tcPr>
            <w:tcW w:w="2254" w:type="dxa"/>
          </w:tcPr>
          <w:p w14:paraId="101F771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1-е издание (3100)</w:t>
            </w:r>
          </w:p>
        </w:tc>
      </w:tr>
    </w:tbl>
    <w:p w14:paraId="6780CF4B"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539D5805" w14:textId="77777777" w:rsidR="002C03D8" w:rsidRPr="00C33834" w:rsidRDefault="002C03D8" w:rsidP="00C33834">
      <w:pPr>
        <w:pStyle w:val="rtejustify"/>
        <w:spacing w:before="0" w:after="0"/>
        <w:rPr>
          <w:color w:val="000000" w:themeColor="text1"/>
          <w:sz w:val="16"/>
          <w:szCs w:val="16"/>
        </w:rPr>
      </w:pPr>
      <w:r w:rsidRPr="00C33834">
        <w:rPr>
          <w:rStyle w:val="af0"/>
          <w:bCs/>
          <w:i w:val="0"/>
          <w:color w:val="000000" w:themeColor="text1"/>
          <w:sz w:val="16"/>
          <w:szCs w:val="16"/>
        </w:rPr>
        <w:t>4 ноября 1933 вышел приказ НКТП № 198с.</w:t>
      </w:r>
      <w:r w:rsidRPr="00C33834">
        <w:rPr>
          <w:color w:val="000000" w:themeColor="text1"/>
          <w:sz w:val="16"/>
          <w:szCs w:val="16"/>
        </w:rPr>
        <w:t xml:space="preserve"> Об организации Реактивного института. (РГАЭ. Ф. 7297. Оп. 38. Д. 37. Л. 261) (15246).</w:t>
      </w:r>
    </w:p>
    <w:p w14:paraId="5646A79C" w14:textId="77777777" w:rsidR="002C03D8" w:rsidRPr="00C33834" w:rsidRDefault="002C03D8" w:rsidP="00C33834">
      <w:pPr>
        <w:pStyle w:val="rtejustify"/>
        <w:spacing w:before="0" w:after="0"/>
        <w:rPr>
          <w:color w:val="000000" w:themeColor="text1"/>
          <w:sz w:val="16"/>
          <w:szCs w:val="16"/>
        </w:rPr>
      </w:pPr>
    </w:p>
    <w:p w14:paraId="6F98E5CF" w14:textId="77777777" w:rsidR="00C7670E" w:rsidRPr="00C33834" w:rsidRDefault="00C7670E"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4 ноября 1933 года приказом Наркома Тяжелой Промышленности за № 198 сс во исполнение постановления Совета Труда и обороны (СТО) за № 104 сс от 31 октября 1933 года был организован Научно-Исследовательский Институт № 3 (НИИ № 3) (в действительности Реактивный Научно-исследовательский Институт [Письмо Исх № 552с от 17.08.1935 г. от НАЧАЛЬНИКА РНИИ НАРОДНОМУ КОМИССАРУ ТЯЖЕЛОЙ ПРОМЫШЛЕННОСТИ С С С Р тов. ОРДЖОНИКИДЗЕ. Подлинник. 17.08.1935 г. // Архив ГНЦ ФГУП "Центр Келдыша". Инв. 97. Оп. 1. Ед. хр. по описи 1. Л. 135,139.],[ Письмо Исх. А 705сс от 19.10.1935 г. от ДИРЕКТОРА РНИИ И.КЛЕЙМЕНОВА в Ц К ВКП/б/, ОТДЕЛ Н А У К И тов. Г О Р О Х О В У.  Подлинник. 17.10.1935 г. // Архив ГНЦ ФГУП "Центр Келдыша". Инв. 97. Оп. 1. Ед. хр. по описи 1. Л. 140,141.]) на базе двух организаций, именуемых ранее Газодинамической лабораторией Управления военных изобретений [Письмо Исх. № 24ос от 14.02.1939 г. ДИРЕКТОРА НИИ № 3 СЛОНИМЕРА И ЗАМ.ДИРЕКТОРА НИИ № 3 ВОЕНИНЖЕНЕРА I РАНГА КОСТИКОВА в В.П.К.КОМИТЕТА ОБОРОНЫ ПРИ ВЕРХОВНОМ СОВЕТЕ С.С.С.Р. </w:t>
      </w:r>
      <w:r w:rsidRPr="00C33834">
        <w:rPr>
          <w:rFonts w:ascii="Times New Roman" w:eastAsia="Times New Roman" w:hAnsi="Times New Roman"/>
          <w:color w:val="000000" w:themeColor="text1"/>
          <w:sz w:val="16"/>
          <w:szCs w:val="16"/>
          <w:u w:val="single"/>
          <w:lang w:eastAsia="ru-RU"/>
        </w:rPr>
        <w:t>Тов. МАТВЕЕВУ.</w:t>
      </w:r>
      <w:r w:rsidRPr="00C33834">
        <w:rPr>
          <w:rFonts w:ascii="Times New Roman" w:eastAsia="Times New Roman" w:hAnsi="Times New Roman"/>
          <w:color w:val="000000" w:themeColor="text1"/>
          <w:sz w:val="16"/>
          <w:szCs w:val="16"/>
          <w:lang w:eastAsia="ru-RU"/>
        </w:rPr>
        <w:t> Копия // Архив ГНЦ ФГУП "Центр Келдыша". Инв. 291. Оп. 1. Ед. хр. по описи 14. Л. 53,54,55,64.] (Наркомвоенмор"а [ПОЯСНИТЕЛЬНАЯ ЗАПИСКА К итогам деятельности НИИ № 3 НКОП за 1938г. ДИРЕКТОРА НИИ № 3 Н К О П СЛОНИМЕРА И НАЧАЛЬНИКА ПЛАНОВОГО ОТДЕЛА РОДИНА. Неполностью подписанный подлинник (Подписал только Родин). 28.01.1939 г. // Архив ГНЦ ФГУП "Центр Келдыша". Инв. 225. Оп. 1. Ед. хр. по описи 12. Л. 95,104.), и Московской группой изучения реактивного движения (ГИРД) при ЦС ОСО (ЦС Осовиахима) [Письмо Исх. № 24ос от 14.02.1939 г. ДИРЕКТОРА НИИ № 3 СЛОНИМЕРА И ЗАМ.ДИРЕКТОРА НИИ № 3 ВОЕНИНЖЕНЕРА I РАНГА КОСТИКОВА в В.П.К.КОМИТЕТА ОБОРОНЫ ПРИ ВЕРХОВНОМ СОВЕТЕ С.С.С.Р. </w:t>
      </w:r>
      <w:r w:rsidRPr="00C33834">
        <w:rPr>
          <w:rFonts w:ascii="Times New Roman" w:eastAsia="Times New Roman" w:hAnsi="Times New Roman"/>
          <w:color w:val="000000" w:themeColor="text1"/>
          <w:sz w:val="16"/>
          <w:szCs w:val="16"/>
          <w:u w:val="single"/>
          <w:lang w:eastAsia="ru-RU"/>
        </w:rPr>
        <w:t>Тов. МАТВЕЕВУ.</w:t>
      </w:r>
      <w:r w:rsidRPr="00C33834">
        <w:rPr>
          <w:rFonts w:ascii="Times New Roman" w:eastAsia="Times New Roman" w:hAnsi="Times New Roman"/>
          <w:color w:val="000000" w:themeColor="text1"/>
          <w:sz w:val="16"/>
          <w:szCs w:val="16"/>
          <w:lang w:eastAsia="ru-RU"/>
        </w:rPr>
        <w:t> Копия // Архив ГНЦ ФГУП "Центр Келдыша". Инв. 291. Оп. 1. Ед. хр. по описи 14. Л. 53,54,55,64.],[ ПОЯСНИТЕЛЬНАЯ ЗАПИСКА К итогам деятельности НИИ № 3 НКОП за 1938г. ДИРЕКТОРА НИИ № 3 Н К О П СЛОНИМЕРА И НАЧАЛЬНИКА ПЛАНОВОГО ОТДЕЛА РОДИНА. Неполностью подписанный подлинник (Подписал только Родин). 28.01.1939 г. // Архив ГНЦ ФГУП "Центр Келдыша". Инв. 225. Оп. 1. Ед. хр. по описи 12. Л. 95,104.].  Первая из этих организаций существовала с 1928 года, а вторая с 1931 года. Причем, газодинамическая лаборатория занималась главным образом разработкой ракет использующих для движущей силы энергию пороха, а группа изучения реактивного движения разрабатывала ракеты, используя для них компоненты жидких топлив (бензин, спирт+жидкий кислород).</w:t>
      </w:r>
    </w:p>
    <w:p w14:paraId="57B523BE" w14:textId="77777777" w:rsidR="00C7670E" w:rsidRPr="00C33834" w:rsidRDefault="00C7670E"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результате соединения этих двух групп и сформировалась тематика института, направленная на разработку ракетных летательных аппаратов на твёрдом топливе, ввиде ракетных снарядов и авиабомб с дополнительной скоростью, и ракетных летательных аппаратов на жидком топливе в виде стратосферных ракет, воздушных торпед и непосредственно двигателей на жидком топливе и т.п.</w:t>
      </w:r>
    </w:p>
    <w:p w14:paraId="5B291F71" w14:textId="77777777" w:rsidR="00C7670E" w:rsidRPr="00C33834" w:rsidRDefault="00C7670E"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Отмечалось, что наиболее давнюю историю имеют ракетные снаряды, разработка которых началась с 1928 года. С 1928 года по 1935 год отработка устойчивости полёта ракетных снарядов шла по линии использования жироскопического эффекта, т.к. называемый турбо-реактивный снаряд. Едва ли этот принцип в чистом виде имел техническое обоснование столь длительного экспериментирования. Снаряды в таком виде летали абсолютно не сохраняя какую-либо закономерность (19771).</w:t>
      </w:r>
    </w:p>
    <w:p w14:paraId="53A80FB6" w14:textId="77777777" w:rsidR="00C7670E" w:rsidRPr="00C33834" w:rsidRDefault="00C7670E"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16F94E7"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60B04F50"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66DF916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4 ноября 1933 продолжились испытания танка БТ-5ПХ, оборудованного в мастерских 5 учебного полка БелВО. Резиновыми уплотнителями обеспечили герметичность, а швы прокрасили суриком. Испытывали на р. Березина и водил ком. 5тп А.Талынь. На 30 сек. - заглох двигатель, т.к. наткнулись на плот. За 45 мин. - не затонули и потом завелись и вышли сами (3880,30).</w:t>
      </w:r>
    </w:p>
    <w:p w14:paraId="29D9A7A9"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1E01BB50" w14:textId="77777777" w:rsidR="002C03D8" w:rsidRPr="00C33834" w:rsidRDefault="002C03D8" w:rsidP="00C33834">
      <w:pPr>
        <w:pStyle w:val="book"/>
        <w:spacing w:before="0" w:beforeAutospacing="0" w:after="0" w:afterAutospacing="0"/>
        <w:jc w:val="both"/>
        <w:rPr>
          <w:color w:val="000000" w:themeColor="text1"/>
          <w:sz w:val="16"/>
          <w:szCs w:val="16"/>
        </w:rPr>
      </w:pPr>
      <w:r w:rsidRPr="00C33834">
        <w:rPr>
          <w:color w:val="000000" w:themeColor="text1"/>
          <w:sz w:val="16"/>
          <w:szCs w:val="16"/>
        </w:rPr>
        <w:t>4 ноября 1933 г. был заложен легкий крейсер «Нюрнберг» и вступил в строй 2 ноября 1935 г. С ноября 1944 г. крейсер находился в Копенгагене, где обеспечивал оборону датских проливов. Там он и капитулировал 9 мая 1945 г. В августе 1945 г. его под контролем союзников перевели в Вильгельмсгафен и поставили в сухой док. В этом доке и произошел прием крейсера советским экипажем. 5 ноября 1945 г. корабль был зачислен в списки ВМФ СССР с назначением в состав Балтийского флота. Немецкий экипаж под командованием капитана 1-го ранга Гельмута Гесслера в Вильгельмсгафене с 16 декабря 1945 г. по 2 января 1946 г. передал крейсер советской комиссии под руководством вице-адмирала Ю.Ф. Ралля и личному составу. В тот же день крейсер вместе с другими пятью немецкими кораблями, переданными СССР (эсминец Z-15, миноносцы, Т-33 и Т-107, посыльное судно «Blitz» и корабль-цель «Hessen»), вышли в море и 5 января прибыли в Лиепаю. Там «Нюрнберга» покинули его немецкий командир и остававшиеся на борту немецкие специалисты. 15 февраля 1946 г. крейсер «Нюрнберг» под названием «Адмирал Макаров» был включен в состав 8-го (Северобалтийского) флота. Прибытие «Макарова» оказалось весьма кстати. 17 октября 1945 г. подорвался на минах у Кронштадта и надолго вышел из строя «Киров» — единственный крейсер 8-го флота. В 1949—1950 гг. по проекту ЦКБ-17 крейсер «Адмирал Макаров» прошел частичную модернизацию и ремонт. В ходе модернизации все немецкие зенитные автоматы, кроме двух счетверенных 2-см автоматов (на базе Flak 38), были заменены десятью спаренными 37-мм автоматами В-11 отечественного производства. В дополнение к германским РЛС Fu Мо-25 и Fu Мо-63 «Макаров» в начале 50-х годов получил РЛС артиллерийской наводки «Редан-2», работавшую в дециметровом диапазоне. Позже германские РЛС были заменены отечественными аналогами «Гюйс-2» и «Риф» (15225).</w:t>
      </w:r>
    </w:p>
    <w:p w14:paraId="437BB963" w14:textId="2FBAF5A9" w:rsidR="002C03D8" w:rsidRPr="00C33834" w:rsidRDefault="002C03D8" w:rsidP="00C33834">
      <w:pPr>
        <w:pStyle w:val="book"/>
        <w:spacing w:before="0" w:beforeAutospacing="0" w:after="0" w:afterAutospacing="0"/>
        <w:jc w:val="both"/>
        <w:rPr>
          <w:color w:val="000000" w:themeColor="text1"/>
          <w:sz w:val="16"/>
          <w:szCs w:val="16"/>
        </w:rPr>
      </w:pPr>
    </w:p>
    <w:p w14:paraId="326F2E76" w14:textId="4E260F49" w:rsidR="00622232" w:rsidRPr="00C33834" w:rsidRDefault="00622232" w:rsidP="00C33834">
      <w:pPr>
        <w:pStyle w:val="book"/>
        <w:spacing w:before="0" w:beforeAutospacing="0" w:after="0" w:afterAutospacing="0"/>
        <w:jc w:val="both"/>
        <w:rPr>
          <w:i/>
          <w:iCs/>
          <w:color w:val="000000" w:themeColor="text1"/>
          <w:sz w:val="16"/>
          <w:szCs w:val="16"/>
        </w:rPr>
      </w:pPr>
      <w:r w:rsidRPr="00C33834">
        <w:rPr>
          <w:i/>
          <w:iCs/>
          <w:color w:val="000000" w:themeColor="text1"/>
          <w:sz w:val="16"/>
          <w:szCs w:val="16"/>
        </w:rPr>
        <w:t>За рубежом:</w:t>
      </w:r>
    </w:p>
    <w:p w14:paraId="79D963A7" w14:textId="77777777" w:rsidR="00622232" w:rsidRPr="00C33834" w:rsidRDefault="00622232" w:rsidP="00C33834">
      <w:pPr>
        <w:pStyle w:val="book"/>
        <w:spacing w:before="0" w:beforeAutospacing="0" w:after="0" w:afterAutospacing="0"/>
        <w:jc w:val="both"/>
        <w:rPr>
          <w:i/>
          <w:iCs/>
          <w:color w:val="000000" w:themeColor="text1"/>
          <w:sz w:val="16"/>
          <w:szCs w:val="16"/>
        </w:rPr>
      </w:pPr>
    </w:p>
    <w:p w14:paraId="575C21FA" w14:textId="77777777" w:rsidR="00622232" w:rsidRPr="00C33834" w:rsidRDefault="0062223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ноября 1933 учреждена бразильская авиакомпания VASP (20802).</w:t>
      </w:r>
    </w:p>
    <w:p w14:paraId="04905289" w14:textId="77777777" w:rsidR="00622232" w:rsidRPr="00C33834" w:rsidRDefault="00622232" w:rsidP="00C33834">
      <w:pPr>
        <w:spacing w:after="0" w:line="240" w:lineRule="auto"/>
        <w:jc w:val="both"/>
        <w:rPr>
          <w:rFonts w:ascii="Times New Roman" w:hAnsi="Times New Roman"/>
          <w:color w:val="0070C0"/>
          <w:sz w:val="16"/>
          <w:szCs w:val="16"/>
        </w:rPr>
      </w:pPr>
    </w:p>
    <w:p w14:paraId="7C83F62F"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D886680"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24D13F6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ноября 1933 началась постройка АНТ-38 (ВСБ), но с первого полугодия 1936 работы А.А.А. не велись (514).</w:t>
      </w:r>
    </w:p>
    <w:p w14:paraId="0A7A127C"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0823DE2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ноября 1933 на заседании Комиссии с участием Алксниса рассматривался военный вариант ТБ-4 8М-34Р и выводы были положительными (2287,130).</w:t>
      </w:r>
    </w:p>
    <w:p w14:paraId="630DBC4E"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20FDE32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ноября 1933 г. авторитетная комиссия во главе с начальником ВВС Я.И. Алкснисом рассмотрела новый проект ТБ и одобрила его. От АНТ-16 военные решили отказаться и сделать ставку на боевой вариант АНТ-20. Эту существовавшую только в проекте машину было предписано считать эталоном будущего серийного ТБ-4. Таким образом, под обозначением ТБ-4 в разное время фактически фигурировали два разных, хотя и схожих, самолета. Предполагалось, что серийное производство гигантских бомбардировщиков АНТ-20 будет развернуто на заводе № 18 в Воронеже, где тогда делали ТБ-3.</w:t>
      </w:r>
    </w:p>
    <w:p w14:paraId="46FF97A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отчете о выполнении плана опытного самолетостроения за первый квартал 1934 г. этот самолет именовался "ТБ4-8М34 (головной серийный), он же "Максим Горький".</w:t>
      </w:r>
    </w:p>
    <w:p w14:paraId="56697E4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Алкснис своей резолюцией требовал от военного АНТ-20 скорости 240 км/ч на высоте 4000 м, практического потолка 6000 м и дальности 1500 км при нормальном взлетном весе и 4000 км с перегрузкой (в обоих случаях при несении 4000 кг бомб). Эти цифры почти совпадали с заданными для агитсамолета, но такие показатели вряд ли можно было получить при сравнительно небольших конструктивных отличиях от АНТ-16, если учесть реальные данные последнего.</w:t>
      </w:r>
    </w:p>
    <w:p w14:paraId="281EC58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Разработанный в ЦАГИ проект бомбардировщика по расчетам должен был дать гораздо более скромные цифры: скорость 215 км/ч, потолок 4180 м, дальность при нормальном весе - 1300 км. Самолет должен был нести оборонительное вооружение из четырех (позднее - двух) пушечных и семи пулеметных установок.</w:t>
      </w:r>
    </w:p>
    <w:p w14:paraId="3F8DCF4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Туполев первоначально предлагал сохранить на АНТ-20 вооружение, разработанное для ТБ-4бис. Оно, в частности, включало электрифицированную носовую башню с 20-мм пушкой "Эрликон", четырех турелей Тур-5 (каждая со спаренным пулеметом ДА- 2), опускающейся вниз башни с ДА-2 и кинжальной установки с одним ДА. Задняя пушечная и передняя пулеметная установки выполнялись перекатными с борта на борт. Часть требований по вооружению действительно сначала были просто переписана, но позже это вызвало недовольство военных, которые уже ориентировались на отечественные 20-мм пушки LUBAK и новые пулеметы Ш К АС. В качестве альтернативы пушкам предлагались крупнокалиберные (12,7- мм) пулеметы ДК и ШВАК (эта пушка сначала создавалась как пулемет, и лишь потом калибр изменили). Требования пришлось доработать.</w:t>
      </w:r>
    </w:p>
    <w:p w14:paraId="3E557F7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Нормальная бомбовая нагрузка определялась в 4000 кг при перегрузочной в 8000 кг за счет уменьшения запаса горючего. По сравнению с АНТ-16 фюзеляж расширили и переделали бомбоотсеки, убрав продольную балку по оси самолета, так что стала возможной внутренняя подвеска бомб калибра 1000 и 2000 кг (последних на вооружении, впрочем, еще не было). Но основными все же считались боеприпасы по 100 кг и 250 кг, размещавшиеся в вертикальных кассетах. Сброс бомб осуществлялся электричеством.</w:t>
      </w:r>
    </w:p>
    <w:p w14:paraId="71085D5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Кассеты были к ноябрю 1933 г. установлены и испытаны на бомбардировщике ТБ-3. На другой такой же машине опробовали элементы стрелкового вооружения (12024).</w:t>
      </w:r>
    </w:p>
    <w:p w14:paraId="68F27DCB"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39D0B9D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ноября 1933 г. авторитетная комиссия во главе с Я.И. Алкснисом рассмотрела новый проект и одобрила его. От АНТ-16 военные решили отказаться и сделать ставку на боевой вариант АНТ-20. Эту существовавшую только в проекте машину было предписано считать эталоном будущего серийного ТБ-4. Таким образом, под этим обозначением в разное время фактически фигурировали два разных, хотя и схожих, самолета. Предполагалось, что серийное производство гигантских бомбардировщиков будет развернуто на заводе № 18 в Воронеже, где тогда делали ТБ-3.</w:t>
      </w:r>
    </w:p>
    <w:p w14:paraId="1775AEC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Алкснис своей резолюцией требовал от военного АНТ- 20 скорости 240 км/ч на высоте 4000 м, практического потолка 6000 м и дальности 1500 км при нормальном взлетном весе и 4000 км с перегрузкой (в обоих случаях при несении 4000 кг бомб). Эти цифры почти совпадали с заданными для агитсамолета, но такие показатели вряд ли можно было получить при сравнительно небольших конструктивных отличиях от АНТ-16, если учесть реальные данные последнего.</w:t>
      </w:r>
    </w:p>
    <w:p w14:paraId="18BE6A4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Разработанный в ЦАГИ проект бомбардировщика по расчетам должен был дать гораздо более скромные цифры: скорость 215 км/ч, потолок 4180 м, дальность при нормальном весе - 1300 км. Самолет должен был нести оборонительное вооружение из четырех (позднее - двух) пушечных и семи пулеметных установок. Туполев первоначально предлагал сохранить на АНТ-20 вооружение, разработанное для ТБ-4бис. Оно, в частности, включало электрифицированную носовую башню с 20-мм пушкой "Эрликон", четырех турелей Тур-5 (каждая со спаренным пулеметом ДА-2), опускающейся вниз башни с ДА-2 и кинжальной установки с одним ДА. Задняя пушечная и передняя пулеметная установки выполнялись перекатными с борта на борт. Но это вызвало недовольство военных, которые уже ориентировались на отечественные 20-мм пушки и новые пулеметы ШКАС. В качестве альтернативы пушкам предлагались крупнокалиберные (12,7-мм) пулеметы ДК.</w:t>
      </w:r>
    </w:p>
    <w:p w14:paraId="5BFED2F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технических требованиях к военному варианту МГ, утвержденных 20 декабря 1933 г., учли многие недостатки ТБ-4. Например, большое внимание уделили верхней мотоустановке. Памятуя о мучениях с ее эксплуатацией, военные потребовали ввести на крыле площадки и гнезда для установки подъемного крана и грузовой стрелы, необходимых для монтажа и демонтажа двигателей и радиатора. Стрела должна была быть сконструирована именно к данному типу самолета и поставляться вместе с ним. Также к бомбардировщику должны был придаваться комплект лестниц для осмотра верхней мотоустановки и хвостового оперения. На самой мотоустановке необходимо было сделать откидные площадки обслуживания.</w:t>
      </w:r>
    </w:p>
    <w:p w14:paraId="59EF628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Категорически требовали избавиться от течи водяных радиаторов. Но, видимо, не надеясь, что это реально, заодно и предусмотрели в комплектации переносные бачки- термосы с ручными насосами для пополнения запаса воды в системе в полете. Механик, ходящий по коридору внутри крыла, должен был следить за уровнем в расширительном бачке и при необходимости подливать из термоса теплую воду.</w:t>
      </w:r>
    </w:p>
    <w:p w14:paraId="4FA2F1D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заправки самолета бензином и маслом жестко ограничивалось. "...30 минут и ни одной минутой больше", - так и записано. Это тогда, когда обыкновенный аэродромный бензозаправщик являлся редкостью! В то же время предлагалось уложиться с подвеской бомб. Требовалось наличие для этого электролебедок и дублирующих их ручных.</w:t>
      </w:r>
    </w:p>
    <w:p w14:paraId="39248C1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Туполеву многие требования военных очень не понравились. В частности, "30 минут и ни минуты больше" он счел сроком совершенно нереальным. По его мнению, после внесения ряда усовершенствований можно было прийти к часу, и лишь после получения опыта эксплуатации добиваться дальнейшего сокращения времени (12036).</w:t>
      </w:r>
    </w:p>
    <w:p w14:paraId="4A1E1C2D"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002BC67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ноября 1933 года начальник 7 сектора НИИ ВВС подготовил:</w:t>
      </w:r>
    </w:p>
    <w:p w14:paraId="2A68733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Объяснительная записка к плану опытного строительства сухопутных самолетов ВВС на 1934-35 год</w:t>
      </w:r>
    </w:p>
    <w:p w14:paraId="04196F4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5ECF050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плане опытного строительства помещен один самолет общецелевого назначения (Р8-М34 ФРН).</w:t>
      </w:r>
    </w:p>
    <w:p w14:paraId="46FFEE2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Опытные самолеты</w:t>
      </w:r>
    </w:p>
    <w:p w14:paraId="635F17A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ТБ7-4М34 ФРН - самолет является основным в плане опытного строительства. По своему назначению и основной схеме он должен быть аналогичен ТБ3-4М34, но обладать стальной конструкцией и отражать все современные достижения авиационной техники с тем, чтобы начиная с 1937 года выйти в замену самолета ТБ3-4М34.</w:t>
      </w:r>
    </w:p>
    <w:p w14:paraId="521ADC7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ТБ6-6М34 - самолет старого плана. Несмотря на большой интерес этого самолета он является менее актуальным, чем ТБ7, что должно быть отражено в очередности этих самолетов.</w:t>
      </w:r>
    </w:p>
    <w:p w14:paraId="6B89DFE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Д1-10М34 ФРН – указанный самолет помещен в план условно, так как его реализация допустима лишь после решения ВВА вопроса передачи от моторов. Вопрос передач является крайне актуальным и должен быть решен в обязательном порядке.</w:t>
      </w:r>
    </w:p>
    <w:p w14:paraId="235EC296"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ДБ2-2РЦ – самолет является модификацией самолета РД. Установка двух моторов Райт-Циклон почти не увеличит полетный вес самолета, но зато значительно улучшит взлетные свойства, которые являются слабым местом самолета ДБ1 (военного варианта РД-М34).</w:t>
      </w:r>
    </w:p>
    <w:p w14:paraId="055BB41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СБ1-М34 РН – самолет является военным вариантом аппарата проектируемым МАИ. По техническим данным является средним между скоростным и дальним бомбардировщиком.</w:t>
      </w:r>
    </w:p>
    <w:p w14:paraId="2A1951D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СБ2-2РЦ – самолет должен повторить в основном схему скоростных американских бомбардировщиков (Глен-Мартин и др.). В этом типе ввиду основного упора на скорость вооружение ограничивается всего лишь двумя огневыми точками.</w:t>
      </w:r>
    </w:p>
    <w:p w14:paraId="286488E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К1-2 Испано – самолет старого плана с заменой 2-х моторов М32 моторами Испано и соответствующим повышением летных данных.</w:t>
      </w:r>
    </w:p>
    <w:p w14:paraId="33E4044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К2-2М34 ФРН – самолет должен решить вопрос о возможности применения мотора М34 на двухмоторных Крейсерах бомбардировщиках. Мощность винтомоторной группы по-видимому позволит решить вопрос о совмещении этого типа с 15-ти местным пассажирским самолетом. По общему направлению работ ХАЗОС такой тип самолета ему наиболее соответствует.</w:t>
      </w:r>
    </w:p>
    <w:p w14:paraId="4D8581F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КП1-4 Испано – указанный самолет является первым Крейсерским пушечным аппаратом обеспечивающим развитие Крейсерской авиации в направлении указанном зам. наркома Военмора Тухачевским. Две батареи по три пушки АПК в данном случае обеспечивают стрельбу только вперед с основной наводкой самолетом и доводкой механизмами.</w:t>
      </w:r>
    </w:p>
    <w:p w14:paraId="15D6EC7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И16-М22 и И-17 Испано – оба истребителя, являясь типами истребителей скоростных должны решить вопрос повышения скоростей Советской истребительной авиации до современного уровня.</w:t>
      </w:r>
    </w:p>
    <w:p w14:paraId="7139887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И18 Испано или РЦ – указанный самолет должен отразить в себе все достижения и выводы, которые мы получим от самолетов И14, И15, И16, И17.</w:t>
      </w:r>
    </w:p>
    <w:p w14:paraId="4735EA4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ИП2-Испано – указанный самолет являясь развитием ИП1 (модификации И-ЗЕТ) должен дать образец скоростного пушечного истребителя.</w:t>
      </w:r>
    </w:p>
    <w:p w14:paraId="7A6A12C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ИП3-М34 Н – самолет должен решить вопрос возможности применения мотора М34 для тяжелых скоростных истребителей вооруженных пушками и параллельно осветить целесообразность схемы одноместного истребителя с толкающим винтом.</w:t>
      </w:r>
    </w:p>
    <w:p w14:paraId="525FBD8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ДИ6-РЦ – самолет старого плана. Летные данные взяты из утвержденного начальником ВВС эскизного проекта.</w:t>
      </w:r>
    </w:p>
    <w:p w14:paraId="3DF6BE7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ДИ7-Испано – самолет должен решить проблему создания скоростного двухместного истребителя.</w:t>
      </w:r>
    </w:p>
    <w:p w14:paraId="3DF657B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ДИП2-М34 Н – самолет старого плана.</w:t>
      </w:r>
    </w:p>
    <w:p w14:paraId="2E90CC7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МИ4- 2 Испано – самолет является дальнейшим развитием МИ3 с установкой более подходящих для многоместного истребителя моторов. Кроме того на этом самолете ЦАГИ должно освоить применение нержавеющей стали.</w:t>
      </w:r>
    </w:p>
    <w:p w14:paraId="040002A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Р8-М34 ФРН – указанный самолет должен ответить на вопрос возможности создания многоцелевого самолета аналогичного по своему назначению самолету Р5-М17.</w:t>
      </w:r>
    </w:p>
    <w:p w14:paraId="0F71FD2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СР1-РЦ – самолет должен решить проблему создания фоторазведчика не вооруженного, но обладающего скоростями превышающими скорость одноместных истребителей.</w:t>
      </w:r>
    </w:p>
    <w:p w14:paraId="2309CE7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ТШ3-М34 – самолет старого плана.</w:t>
      </w:r>
    </w:p>
    <w:p w14:paraId="4A43348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ЛШ1-М22, ЛШ2-РЦ – эти самолеты являются модификациями И16 и ДИ6 и преследуют задачу решения вопроса применения и выгод получаемых от маневренных легких штурмовиков.</w:t>
      </w:r>
    </w:p>
    <w:p w14:paraId="0F43E65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Х1-2м34 РН – самолет старого плана. Строится по схеме летающего крыла.</w:t>
      </w:r>
    </w:p>
    <w:p w14:paraId="3AE80DF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ВС2-2М22 – самолет старого плана. Строится по схеме летающего крыла.</w:t>
      </w:r>
    </w:p>
    <w:p w14:paraId="736B9FD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П3-М49 - самолет старого плана с заменой не доведенного мотора М52 более реальным мотором М49.</w:t>
      </w:r>
    </w:p>
    <w:p w14:paraId="02DF7A96"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УБП-2М11 – самолет должен решить задачу обеспечения учебно-боевой подготовки в тяжелых бригадах ВВС.</w:t>
      </w:r>
    </w:p>
    <w:p w14:paraId="526E75A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У3-М48 - самолет старого плана.</w:t>
      </w:r>
    </w:p>
    <w:p w14:paraId="72A3709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Т1-М34 Р - самолет должен решить задачу создания специального транспортного самолета аналогичного ряду Западноевропейских (Юнкерс 52 и др.).</w:t>
      </w:r>
    </w:p>
    <w:p w14:paraId="032420B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Доводки</w:t>
      </w:r>
    </w:p>
    <w:p w14:paraId="1C06B7E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указанном разделе стоит:</w:t>
      </w:r>
    </w:p>
    <w:p w14:paraId="48CA336C" w14:textId="77777777" w:rsidR="00570C39" w:rsidRPr="00C33834" w:rsidRDefault="00570C39" w:rsidP="00C33834">
      <w:pPr>
        <w:numPr>
          <w:ilvl w:val="0"/>
          <w:numId w:val="42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ряд самолетов проходящих в настоящее время заводские испытания.</w:t>
      </w:r>
    </w:p>
    <w:p w14:paraId="1023958C" w14:textId="77777777" w:rsidR="00570C39" w:rsidRPr="00C33834" w:rsidRDefault="00570C39" w:rsidP="00C33834">
      <w:pPr>
        <w:numPr>
          <w:ilvl w:val="0"/>
          <w:numId w:val="42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Ряд самолетов с мотором М34 Н и М34 ФРН. Помещение этих уже построенных самолетов в план объясняется тем, что выпуск моторов М34-Н и М-34 ФРН потребуют ряда изменений винтомоторной группы и специальной доводки самолетов.</w:t>
      </w:r>
    </w:p>
    <w:p w14:paraId="402CD12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Винтовые и аппараты особых форм</w:t>
      </w:r>
    </w:p>
    <w:p w14:paraId="125FE4D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Автожиры С1-М11 и Р1-М22 объекты старого плана.</w:t>
      </w:r>
    </w:p>
    <w:p w14:paraId="03D9C2C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 с управляемой головкой и М1-Райт-Циклон. Решение вопроса с управляемой головкой ротора позволит отказаться от крыльев и частично от оперения, что с одной стороны обеспечит проходимость Автожира при перевозке его по дорогам, свойства необходимого для Автожира связи, с другой стороны управляемая головка уменьшит длину разбега при взлете. Как показывают предварительные расчеты ЦАГИ переход к двухлопастному ротору сможет сделать реальным выпуск Автожира истребителя обладающего максимальной скоростью 350 км/час при посадочной 60 км/час и хорошей маневренности.</w:t>
      </w:r>
    </w:p>
    <w:p w14:paraId="5411FD2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Геликоптер с двумя Кертис Конкверрорами. Аппарат является дальнейшим развитием Геликоптеров ЦАГИ. Поскольку Геликоптер является экспериментальной конструкцией для него допустимо установка моторов Кертис Конкверрор имеющихся в Союзе и удобных в силу своего малого веса.</w:t>
      </w:r>
    </w:p>
    <w:p w14:paraId="51295EC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Летательный аппарат Х. Большие работы ведущиеся за границей в области летательных аппаратов с вращающимися крыльями делает необходимым включение аппарата такого типа в план опытного строительства.</w:t>
      </w:r>
    </w:p>
    <w:p w14:paraId="3B25556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Экспериментальный</w:t>
      </w:r>
    </w:p>
    <w:p w14:paraId="22492B5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Стратосферный – ввиду не выхода в 1934 году мотора пригодного для достижения стратосферы (высот порядка 15-20000 м) должен быть специально проработан вопрос об использовании в качестве самолета с герметической кабиной или начатого постройкой стратосферного варианта самолета РД (на 39 заводе) или постройка специального более легкого самолета.</w:t>
      </w:r>
    </w:p>
    <w:p w14:paraId="6C10EF9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 разрезными крыльями. Является категорически необходимым провести широкий эксперимент на специальном самолете с мотором М11 различных вариантов разрезных крыльев (закрылков, цапов и проч.) соединенный с различным элеронным управлением для определения дальнейших путей развития опытного самолетостроения.</w:t>
      </w:r>
    </w:p>
    <w:p w14:paraId="60C544A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 раздвижными крыльями. Самолет старого плана (УЗБИС).</w:t>
      </w:r>
    </w:p>
    <w:p w14:paraId="0AE7CD2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Летающее крыло 2М11. Переход к многомоторным летающим крыльям.</w:t>
      </w:r>
    </w:p>
    <w:p w14:paraId="79B62F2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Летающее крыло. Освоение ЦАГИ схемы летающего крыла.</w:t>
      </w:r>
    </w:p>
    <w:p w14:paraId="5D3AD64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Пикирующий самолет. Изучение торможения самолета пред отвесном пикировании путем различных приспособлений. Этот тип является переходным к созданию отвесно-пикирующего бомбардировщика.</w:t>
      </w:r>
    </w:p>
    <w:p w14:paraId="353B8B8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Электронный самолет – самолет для освоения в самолетостроении электрона. Относительно небольшое число экспериментальных самолетов объясняется тем, что ряд конструкций носящих по существу экспериментальный характер осуществляются в разделе опытных самолетов (Х1 ВС2) (6791, 29-35).</w:t>
      </w:r>
    </w:p>
    <w:p w14:paraId="4863BDA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p w14:paraId="356FE88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ноября 1933 года начальник 7 сектора НИИ ВВС подготовил:</w:t>
      </w:r>
    </w:p>
    <w:p w14:paraId="2137EDE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Замечания к плану опытного строительства сухопутных самолетов РККА на 1934-35 гг.</w:t>
      </w:r>
    </w:p>
    <w:p w14:paraId="79AEFB4D" w14:textId="77777777" w:rsidR="00570C39" w:rsidRPr="00C33834" w:rsidRDefault="00570C39" w:rsidP="00C33834">
      <w:pPr>
        <w:numPr>
          <w:ilvl w:val="0"/>
          <w:numId w:val="42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типажу все самолеты плана предварительно согласованы с промышленностью в лице Марголина, Туполева и Машкевича. Неясным является МИ4, хотя имеются все данные за то, что Туполев примет самолет к постройке.</w:t>
      </w:r>
    </w:p>
    <w:p w14:paraId="48EBBC3F" w14:textId="77777777" w:rsidR="00570C39" w:rsidRPr="00C33834" w:rsidRDefault="00570C39" w:rsidP="00C33834">
      <w:pPr>
        <w:numPr>
          <w:ilvl w:val="0"/>
          <w:numId w:val="42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Сроки по экспериментальным самолетам не проставлены, ввиду того, что их более рационально проставить при согласовании плана с промышленностью</w:t>
      </w:r>
    </w:p>
    <w:p w14:paraId="16A19FB8" w14:textId="77777777" w:rsidR="00570C39" w:rsidRPr="00C33834" w:rsidRDefault="00570C39" w:rsidP="00C33834">
      <w:pPr>
        <w:numPr>
          <w:ilvl w:val="0"/>
          <w:numId w:val="42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Самсонова и Добровольского в план пока не включен ввиду необходимости согласовать этот вопрос с морским сектором и малой вероятности того, что завод № 39 возьмется реализовывать проект.</w:t>
      </w:r>
    </w:p>
    <w:p w14:paraId="51791FB9" w14:textId="77777777" w:rsidR="00570C39" w:rsidRPr="00C33834" w:rsidRDefault="00570C39" w:rsidP="00C33834">
      <w:pPr>
        <w:numPr>
          <w:ilvl w:val="0"/>
          <w:numId w:val="426"/>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переговорах с ГУГВФом о едином плане опытного строительства считал бы необходимым внести в план ГУГВФа следующий самолет: по ХАИ – скоростной пассажирский под мотор РЦ (улучшение и модификация ХАИ-1).</w:t>
      </w:r>
    </w:p>
    <w:p w14:paraId="2EC2D9C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Путилову: скоростной пассажирский под мотор М34 или Испано.</w:t>
      </w:r>
    </w:p>
    <w:p w14:paraId="042A159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ООК ЦАГИ: пассажирский автожир под мотор М22.</w:t>
      </w:r>
    </w:p>
    <w:p w14:paraId="5D8A26D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Кроме того было бы желательно разместить в одной из организаций ГУГВФ самолет с 2-мя моторами М49 с военным применением в его качестве войскового самолета, поскольку экспериментальность самолета ВС2 ставит под сомнение его внедрение в серию не считая того, что для войскового самолета мощность 2-х моторов М22 слишком велика (6791, 36).</w:t>
      </w:r>
    </w:p>
    <w:p w14:paraId="180073F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строительства сухопутных самолетов ВВС на 1934-35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168"/>
        <w:gridCol w:w="958"/>
        <w:gridCol w:w="992"/>
        <w:gridCol w:w="851"/>
        <w:gridCol w:w="1276"/>
        <w:gridCol w:w="1561"/>
      </w:tblGrid>
      <w:tr w:rsidR="00F26F01" w:rsidRPr="00C33834" w14:paraId="0D7BB4FB" w14:textId="77777777">
        <w:tc>
          <w:tcPr>
            <w:tcW w:w="1384" w:type="dxa"/>
          </w:tcPr>
          <w:p w14:paraId="646DF2F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Литерное обозначен.</w:t>
            </w:r>
          </w:p>
        </w:tc>
        <w:tc>
          <w:tcPr>
            <w:tcW w:w="2410" w:type="dxa"/>
          </w:tcPr>
          <w:p w14:paraId="690DFF6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Военное назначен.</w:t>
            </w:r>
          </w:p>
        </w:tc>
        <w:tc>
          <w:tcPr>
            <w:tcW w:w="1168" w:type="dxa"/>
          </w:tcPr>
          <w:p w14:paraId="590D372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Граждан. назначен.</w:t>
            </w:r>
          </w:p>
        </w:tc>
        <w:tc>
          <w:tcPr>
            <w:tcW w:w="958" w:type="dxa"/>
          </w:tcPr>
          <w:p w14:paraId="6B09368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высота</w:t>
            </w:r>
          </w:p>
        </w:tc>
        <w:tc>
          <w:tcPr>
            <w:tcW w:w="992" w:type="dxa"/>
          </w:tcPr>
          <w:p w14:paraId="5B7E63D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w:t>
            </w:r>
          </w:p>
        </w:tc>
        <w:tc>
          <w:tcPr>
            <w:tcW w:w="851" w:type="dxa"/>
          </w:tcPr>
          <w:p w14:paraId="1AC9E86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Материал</w:t>
            </w:r>
          </w:p>
        </w:tc>
        <w:tc>
          <w:tcPr>
            <w:tcW w:w="1276" w:type="dxa"/>
          </w:tcPr>
          <w:p w14:paraId="4EE4BBF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 орг-ция</w:t>
            </w:r>
          </w:p>
        </w:tc>
        <w:tc>
          <w:tcPr>
            <w:tcW w:w="1561" w:type="dxa"/>
          </w:tcPr>
          <w:p w14:paraId="380AB2D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w:t>
            </w:r>
          </w:p>
        </w:tc>
      </w:tr>
    </w:tbl>
    <w:p w14:paraId="5DDAB09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Опытные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559"/>
        <w:gridCol w:w="851"/>
        <w:gridCol w:w="935"/>
        <w:gridCol w:w="907"/>
        <w:gridCol w:w="1113"/>
        <w:gridCol w:w="1441"/>
      </w:tblGrid>
      <w:tr w:rsidR="00F26F01" w:rsidRPr="00C33834" w14:paraId="435708D2" w14:textId="77777777">
        <w:tc>
          <w:tcPr>
            <w:tcW w:w="1384" w:type="dxa"/>
          </w:tcPr>
          <w:p w14:paraId="29B6500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ТБ7-4М34 ФРН</w:t>
            </w:r>
          </w:p>
        </w:tc>
        <w:tc>
          <w:tcPr>
            <w:tcW w:w="2410" w:type="dxa"/>
          </w:tcPr>
          <w:p w14:paraId="5229D47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бомбардировщик</w:t>
            </w:r>
          </w:p>
        </w:tc>
        <w:tc>
          <w:tcPr>
            <w:tcW w:w="1559" w:type="dxa"/>
          </w:tcPr>
          <w:p w14:paraId="29C8DFF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Пассажирский 20-25 местный</w:t>
            </w:r>
          </w:p>
        </w:tc>
        <w:tc>
          <w:tcPr>
            <w:tcW w:w="851" w:type="dxa"/>
          </w:tcPr>
          <w:p w14:paraId="1A445DB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280-300/ 5000</w:t>
            </w:r>
          </w:p>
        </w:tc>
        <w:tc>
          <w:tcPr>
            <w:tcW w:w="935" w:type="dxa"/>
          </w:tcPr>
          <w:p w14:paraId="4BCD3483"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4000 кг бомб</w:t>
            </w:r>
          </w:p>
          <w:p w14:paraId="1A64746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4-5 лег. Пул., 1 пушка или 1 тяж. пул. </w:t>
            </w:r>
          </w:p>
        </w:tc>
        <w:tc>
          <w:tcPr>
            <w:tcW w:w="907" w:type="dxa"/>
          </w:tcPr>
          <w:p w14:paraId="1AD2AC6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Сталь</w:t>
            </w:r>
          </w:p>
        </w:tc>
        <w:tc>
          <w:tcPr>
            <w:tcW w:w="1113" w:type="dxa"/>
          </w:tcPr>
          <w:p w14:paraId="1F2D81A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tc>
        <w:tc>
          <w:tcPr>
            <w:tcW w:w="1441" w:type="dxa"/>
          </w:tcPr>
          <w:p w14:paraId="2FD2C186"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1935 года</w:t>
            </w:r>
          </w:p>
        </w:tc>
      </w:tr>
      <w:tr w:rsidR="00F26F01" w:rsidRPr="00C33834" w14:paraId="53AE0C7E" w14:textId="77777777">
        <w:tc>
          <w:tcPr>
            <w:tcW w:w="1384" w:type="dxa"/>
          </w:tcPr>
          <w:p w14:paraId="7CFA43A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ТБ6-6М44</w:t>
            </w:r>
          </w:p>
        </w:tc>
        <w:tc>
          <w:tcPr>
            <w:tcW w:w="2410" w:type="dxa"/>
          </w:tcPr>
          <w:p w14:paraId="2801E53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бомбардировщик</w:t>
            </w:r>
          </w:p>
        </w:tc>
        <w:tc>
          <w:tcPr>
            <w:tcW w:w="1559" w:type="dxa"/>
          </w:tcPr>
          <w:p w14:paraId="6BC415F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Пассажирский</w:t>
            </w:r>
          </w:p>
        </w:tc>
        <w:tc>
          <w:tcPr>
            <w:tcW w:w="851" w:type="dxa"/>
          </w:tcPr>
          <w:p w14:paraId="5C8BCFDE"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250/5000</w:t>
            </w:r>
          </w:p>
        </w:tc>
        <w:tc>
          <w:tcPr>
            <w:tcW w:w="935" w:type="dxa"/>
          </w:tcPr>
          <w:p w14:paraId="7AB24C64"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22000 кг бомб</w:t>
            </w:r>
          </w:p>
          <w:p w14:paraId="252982E1"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4 пушки, 3 тяж. пул., 4-6 лег. пул.</w:t>
            </w:r>
          </w:p>
        </w:tc>
        <w:tc>
          <w:tcPr>
            <w:tcW w:w="907" w:type="dxa"/>
          </w:tcPr>
          <w:p w14:paraId="448EB09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Сталь</w:t>
            </w:r>
          </w:p>
        </w:tc>
        <w:tc>
          <w:tcPr>
            <w:tcW w:w="1113" w:type="dxa"/>
          </w:tcPr>
          <w:p w14:paraId="3119ECF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tc>
        <w:tc>
          <w:tcPr>
            <w:tcW w:w="1441" w:type="dxa"/>
          </w:tcPr>
          <w:p w14:paraId="4AA5BF7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1935 года</w:t>
            </w:r>
          </w:p>
        </w:tc>
      </w:tr>
      <w:tr w:rsidR="00F26F01" w:rsidRPr="00C33834" w14:paraId="5B40A043" w14:textId="77777777">
        <w:tc>
          <w:tcPr>
            <w:tcW w:w="1384" w:type="dxa"/>
          </w:tcPr>
          <w:p w14:paraId="572231B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Д1-10М34 ФРН</w:t>
            </w:r>
          </w:p>
        </w:tc>
        <w:tc>
          <w:tcPr>
            <w:tcW w:w="2410" w:type="dxa"/>
          </w:tcPr>
          <w:p w14:paraId="55D906B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Десантный и тяжелый бомбардировщик</w:t>
            </w:r>
          </w:p>
        </w:tc>
        <w:tc>
          <w:tcPr>
            <w:tcW w:w="1559" w:type="dxa"/>
          </w:tcPr>
          <w:p w14:paraId="01E2F21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Пассажирский 180-200 чел. и грузовой</w:t>
            </w:r>
          </w:p>
        </w:tc>
        <w:tc>
          <w:tcPr>
            <w:tcW w:w="851" w:type="dxa"/>
          </w:tcPr>
          <w:p w14:paraId="7A6E603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210/3000</w:t>
            </w:r>
          </w:p>
        </w:tc>
        <w:tc>
          <w:tcPr>
            <w:tcW w:w="935" w:type="dxa"/>
          </w:tcPr>
          <w:p w14:paraId="776E8549"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25000 кг бомб</w:t>
            </w:r>
          </w:p>
          <w:p w14:paraId="65FC27CB"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3 пушки, 4 тяж. пул., 10 лег. пул.</w:t>
            </w:r>
          </w:p>
        </w:tc>
        <w:tc>
          <w:tcPr>
            <w:tcW w:w="907" w:type="dxa"/>
          </w:tcPr>
          <w:p w14:paraId="158F94B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Сталь </w:t>
            </w:r>
          </w:p>
        </w:tc>
        <w:tc>
          <w:tcPr>
            <w:tcW w:w="1113" w:type="dxa"/>
          </w:tcPr>
          <w:p w14:paraId="40487DD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ВВА</w:t>
            </w:r>
          </w:p>
        </w:tc>
        <w:tc>
          <w:tcPr>
            <w:tcW w:w="1441" w:type="dxa"/>
          </w:tcPr>
          <w:p w14:paraId="38100FF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r>
      <w:tr w:rsidR="00F26F01" w:rsidRPr="00C33834" w14:paraId="14DC82EC" w14:textId="77777777">
        <w:tc>
          <w:tcPr>
            <w:tcW w:w="1384" w:type="dxa"/>
          </w:tcPr>
          <w:p w14:paraId="5951130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ДБ2-2РЦ</w:t>
            </w:r>
          </w:p>
        </w:tc>
        <w:tc>
          <w:tcPr>
            <w:tcW w:w="2410" w:type="dxa"/>
          </w:tcPr>
          <w:p w14:paraId="165350C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Дальний бомбардировщик</w:t>
            </w:r>
          </w:p>
        </w:tc>
        <w:tc>
          <w:tcPr>
            <w:tcW w:w="1559" w:type="dxa"/>
          </w:tcPr>
          <w:p w14:paraId="154EB15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51" w:type="dxa"/>
          </w:tcPr>
          <w:p w14:paraId="06F648A6"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280/3000</w:t>
            </w:r>
          </w:p>
        </w:tc>
        <w:tc>
          <w:tcPr>
            <w:tcW w:w="935" w:type="dxa"/>
          </w:tcPr>
          <w:p w14:paraId="314DCD51"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1000-1500 кг бомб</w:t>
            </w:r>
          </w:p>
          <w:p w14:paraId="10CA5B12"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3 лег. пул.</w:t>
            </w:r>
          </w:p>
        </w:tc>
        <w:tc>
          <w:tcPr>
            <w:tcW w:w="907" w:type="dxa"/>
          </w:tcPr>
          <w:p w14:paraId="3E146F5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Дюраль</w:t>
            </w:r>
          </w:p>
          <w:p w14:paraId="30FF75F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Сталь</w:t>
            </w:r>
          </w:p>
        </w:tc>
        <w:tc>
          <w:tcPr>
            <w:tcW w:w="1113" w:type="dxa"/>
          </w:tcPr>
          <w:p w14:paraId="535CF15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tc>
        <w:tc>
          <w:tcPr>
            <w:tcW w:w="1441" w:type="dxa"/>
          </w:tcPr>
          <w:p w14:paraId="2FA2D54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1934 года</w:t>
            </w:r>
          </w:p>
        </w:tc>
      </w:tr>
      <w:tr w:rsidR="00F26F01" w:rsidRPr="00C33834" w14:paraId="233CD1EB" w14:textId="77777777">
        <w:tc>
          <w:tcPr>
            <w:tcW w:w="1384" w:type="dxa"/>
          </w:tcPr>
          <w:p w14:paraId="6A975CD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СБ1-М34РН</w:t>
            </w:r>
          </w:p>
        </w:tc>
        <w:tc>
          <w:tcPr>
            <w:tcW w:w="2410" w:type="dxa"/>
          </w:tcPr>
          <w:p w14:paraId="4BD0A9E6"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Скоростной бомбардировщик</w:t>
            </w:r>
          </w:p>
        </w:tc>
        <w:tc>
          <w:tcPr>
            <w:tcW w:w="1559" w:type="dxa"/>
          </w:tcPr>
          <w:p w14:paraId="1F12AC9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Почтовый</w:t>
            </w:r>
          </w:p>
        </w:tc>
        <w:tc>
          <w:tcPr>
            <w:tcW w:w="851" w:type="dxa"/>
          </w:tcPr>
          <w:p w14:paraId="2A73834E"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350/4000</w:t>
            </w:r>
          </w:p>
        </w:tc>
        <w:tc>
          <w:tcPr>
            <w:tcW w:w="935" w:type="dxa"/>
          </w:tcPr>
          <w:p w14:paraId="2C812380"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300 кг бомб</w:t>
            </w:r>
          </w:p>
          <w:p w14:paraId="713BA902"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2 лег. пул.</w:t>
            </w:r>
          </w:p>
        </w:tc>
        <w:tc>
          <w:tcPr>
            <w:tcW w:w="907" w:type="dxa"/>
          </w:tcPr>
          <w:p w14:paraId="18CFA4D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Нержав. сталь </w:t>
            </w:r>
          </w:p>
        </w:tc>
        <w:tc>
          <w:tcPr>
            <w:tcW w:w="1113" w:type="dxa"/>
          </w:tcPr>
          <w:p w14:paraId="70F2BFC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МАИ</w:t>
            </w:r>
          </w:p>
        </w:tc>
        <w:tc>
          <w:tcPr>
            <w:tcW w:w="1441" w:type="dxa"/>
          </w:tcPr>
          <w:p w14:paraId="2BB393E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1935 года</w:t>
            </w:r>
          </w:p>
        </w:tc>
      </w:tr>
      <w:tr w:rsidR="00F26F01" w:rsidRPr="00C33834" w14:paraId="5C0A014B" w14:textId="77777777">
        <w:tc>
          <w:tcPr>
            <w:tcW w:w="1384" w:type="dxa"/>
          </w:tcPr>
          <w:p w14:paraId="6F4DDA2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СБ2-2РЦ</w:t>
            </w:r>
          </w:p>
        </w:tc>
        <w:tc>
          <w:tcPr>
            <w:tcW w:w="2410" w:type="dxa"/>
          </w:tcPr>
          <w:p w14:paraId="18B78D7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Скоростной бомбардировщик</w:t>
            </w:r>
          </w:p>
        </w:tc>
        <w:tc>
          <w:tcPr>
            <w:tcW w:w="1559" w:type="dxa"/>
          </w:tcPr>
          <w:p w14:paraId="54BC0DF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Пассажирский 10-12 местный</w:t>
            </w:r>
          </w:p>
        </w:tc>
        <w:tc>
          <w:tcPr>
            <w:tcW w:w="851" w:type="dxa"/>
          </w:tcPr>
          <w:p w14:paraId="4D6F90F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340-350/ 4000</w:t>
            </w:r>
          </w:p>
        </w:tc>
        <w:tc>
          <w:tcPr>
            <w:tcW w:w="935" w:type="dxa"/>
          </w:tcPr>
          <w:p w14:paraId="4C1A5430"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1000 кг бомб</w:t>
            </w:r>
          </w:p>
          <w:p w14:paraId="291C8F34"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4 лег. пул.</w:t>
            </w:r>
          </w:p>
        </w:tc>
        <w:tc>
          <w:tcPr>
            <w:tcW w:w="907" w:type="dxa"/>
          </w:tcPr>
          <w:p w14:paraId="47AE889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Дюраль или сталь</w:t>
            </w:r>
          </w:p>
        </w:tc>
        <w:tc>
          <w:tcPr>
            <w:tcW w:w="1113" w:type="dxa"/>
          </w:tcPr>
          <w:p w14:paraId="0DBB0CB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tc>
        <w:tc>
          <w:tcPr>
            <w:tcW w:w="1441" w:type="dxa"/>
          </w:tcPr>
          <w:p w14:paraId="5BE42FC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апреля 1935 года</w:t>
            </w:r>
          </w:p>
        </w:tc>
      </w:tr>
      <w:tr w:rsidR="00F26F01" w:rsidRPr="00C33834" w14:paraId="4A037074" w14:textId="77777777">
        <w:tc>
          <w:tcPr>
            <w:tcW w:w="1384" w:type="dxa"/>
          </w:tcPr>
          <w:p w14:paraId="06E07AD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К1-2Ис. YBRS</w:t>
            </w:r>
          </w:p>
        </w:tc>
        <w:tc>
          <w:tcPr>
            <w:tcW w:w="2410" w:type="dxa"/>
          </w:tcPr>
          <w:p w14:paraId="6CD4F606"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Крейсер и бомбардировщик</w:t>
            </w:r>
          </w:p>
        </w:tc>
        <w:tc>
          <w:tcPr>
            <w:tcW w:w="1559" w:type="dxa"/>
          </w:tcPr>
          <w:p w14:paraId="40EF2A4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51" w:type="dxa"/>
          </w:tcPr>
          <w:p w14:paraId="3236E25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320-330/ 5000</w:t>
            </w:r>
          </w:p>
        </w:tc>
        <w:tc>
          <w:tcPr>
            <w:tcW w:w="935" w:type="dxa"/>
          </w:tcPr>
          <w:p w14:paraId="7E9685BC"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1000 кг бомб</w:t>
            </w:r>
          </w:p>
          <w:p w14:paraId="6F9584D7"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3-4 лег. пул., 1 пушка</w:t>
            </w:r>
          </w:p>
        </w:tc>
        <w:tc>
          <w:tcPr>
            <w:tcW w:w="907" w:type="dxa"/>
          </w:tcPr>
          <w:p w14:paraId="56161C9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Дюраль</w:t>
            </w:r>
          </w:p>
        </w:tc>
        <w:tc>
          <w:tcPr>
            <w:tcW w:w="1113" w:type="dxa"/>
          </w:tcPr>
          <w:p w14:paraId="2952FF9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tc>
        <w:tc>
          <w:tcPr>
            <w:tcW w:w="1441" w:type="dxa"/>
          </w:tcPr>
          <w:p w14:paraId="7024ACB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1934 года</w:t>
            </w:r>
          </w:p>
        </w:tc>
      </w:tr>
      <w:tr w:rsidR="00F26F01" w:rsidRPr="00C33834" w14:paraId="0CEB4816" w14:textId="77777777">
        <w:tc>
          <w:tcPr>
            <w:tcW w:w="1384" w:type="dxa"/>
          </w:tcPr>
          <w:p w14:paraId="00FDE8F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К2-2М34 ФРН</w:t>
            </w:r>
          </w:p>
        </w:tc>
        <w:tc>
          <w:tcPr>
            <w:tcW w:w="2410" w:type="dxa"/>
          </w:tcPr>
          <w:p w14:paraId="27DFD30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Крейсер и бомбардировщик</w:t>
            </w:r>
          </w:p>
        </w:tc>
        <w:tc>
          <w:tcPr>
            <w:tcW w:w="1559" w:type="dxa"/>
          </w:tcPr>
          <w:p w14:paraId="50AF985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Пассажирский 15 местный</w:t>
            </w:r>
          </w:p>
        </w:tc>
        <w:tc>
          <w:tcPr>
            <w:tcW w:w="851" w:type="dxa"/>
          </w:tcPr>
          <w:p w14:paraId="7B7372E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300/5000</w:t>
            </w:r>
          </w:p>
        </w:tc>
        <w:tc>
          <w:tcPr>
            <w:tcW w:w="935" w:type="dxa"/>
          </w:tcPr>
          <w:p w14:paraId="170B88F8"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1000 кг бомб</w:t>
            </w:r>
          </w:p>
          <w:p w14:paraId="30925A8D"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4-5 лег. пул., 1 пушка</w:t>
            </w:r>
          </w:p>
        </w:tc>
        <w:tc>
          <w:tcPr>
            <w:tcW w:w="907" w:type="dxa"/>
          </w:tcPr>
          <w:p w14:paraId="79A89F7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Сталь</w:t>
            </w:r>
          </w:p>
        </w:tc>
        <w:tc>
          <w:tcPr>
            <w:tcW w:w="1113" w:type="dxa"/>
          </w:tcPr>
          <w:p w14:paraId="54FBC7E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ХАЗОС</w:t>
            </w:r>
          </w:p>
        </w:tc>
        <w:tc>
          <w:tcPr>
            <w:tcW w:w="1441" w:type="dxa"/>
          </w:tcPr>
          <w:p w14:paraId="5A30604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1935 года</w:t>
            </w:r>
          </w:p>
        </w:tc>
      </w:tr>
      <w:tr w:rsidR="00F26F01" w:rsidRPr="00C33834" w14:paraId="59E1F61C" w14:textId="77777777">
        <w:tc>
          <w:tcPr>
            <w:tcW w:w="1384" w:type="dxa"/>
          </w:tcPr>
          <w:p w14:paraId="39392CD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КП1-4 Испано YBRS</w:t>
            </w:r>
          </w:p>
        </w:tc>
        <w:tc>
          <w:tcPr>
            <w:tcW w:w="2410" w:type="dxa"/>
          </w:tcPr>
          <w:p w14:paraId="617AEEF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Крейсер пушечный</w:t>
            </w:r>
          </w:p>
        </w:tc>
        <w:tc>
          <w:tcPr>
            <w:tcW w:w="1559" w:type="dxa"/>
          </w:tcPr>
          <w:p w14:paraId="442DEA3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51" w:type="dxa"/>
          </w:tcPr>
          <w:p w14:paraId="307F4F8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300-330/ 5000</w:t>
            </w:r>
          </w:p>
        </w:tc>
        <w:tc>
          <w:tcPr>
            <w:tcW w:w="935" w:type="dxa"/>
          </w:tcPr>
          <w:p w14:paraId="1F1B623D"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6 АПК кал. 65-76</w:t>
            </w:r>
          </w:p>
          <w:p w14:paraId="7894705C"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2 пушки 20-25 мм</w:t>
            </w:r>
          </w:p>
        </w:tc>
        <w:tc>
          <w:tcPr>
            <w:tcW w:w="907" w:type="dxa"/>
          </w:tcPr>
          <w:p w14:paraId="71A76E1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Сталь</w:t>
            </w:r>
          </w:p>
          <w:p w14:paraId="3F3714C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Дюраль</w:t>
            </w:r>
          </w:p>
        </w:tc>
        <w:tc>
          <w:tcPr>
            <w:tcW w:w="1113" w:type="dxa"/>
          </w:tcPr>
          <w:p w14:paraId="3F25584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w:t>
            </w:r>
          </w:p>
          <w:p w14:paraId="16B8A64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39</w:t>
            </w:r>
          </w:p>
        </w:tc>
        <w:tc>
          <w:tcPr>
            <w:tcW w:w="1441" w:type="dxa"/>
          </w:tcPr>
          <w:p w14:paraId="44CF259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r>
      <w:tr w:rsidR="00F26F01" w:rsidRPr="00C33834" w14:paraId="2FA0ED72" w14:textId="77777777">
        <w:tc>
          <w:tcPr>
            <w:tcW w:w="1384" w:type="dxa"/>
          </w:tcPr>
          <w:p w14:paraId="4CAB6B5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И16-М22 Второй вариант самолета строится под Райт-Циклон</w:t>
            </w:r>
          </w:p>
        </w:tc>
        <w:tc>
          <w:tcPr>
            <w:tcW w:w="2410" w:type="dxa"/>
          </w:tcPr>
          <w:p w14:paraId="6742846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Одноместный истребитель</w:t>
            </w:r>
          </w:p>
        </w:tc>
        <w:tc>
          <w:tcPr>
            <w:tcW w:w="1559" w:type="dxa"/>
          </w:tcPr>
          <w:p w14:paraId="7DDF724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51" w:type="dxa"/>
          </w:tcPr>
          <w:p w14:paraId="002F495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300/5000</w:t>
            </w:r>
          </w:p>
        </w:tc>
        <w:tc>
          <w:tcPr>
            <w:tcW w:w="935" w:type="dxa"/>
          </w:tcPr>
          <w:p w14:paraId="311C34F1"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2 лег. пул.</w:t>
            </w:r>
          </w:p>
        </w:tc>
        <w:tc>
          <w:tcPr>
            <w:tcW w:w="907" w:type="dxa"/>
          </w:tcPr>
          <w:p w14:paraId="2227C1D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Дерево Сталь</w:t>
            </w:r>
          </w:p>
        </w:tc>
        <w:tc>
          <w:tcPr>
            <w:tcW w:w="1113" w:type="dxa"/>
          </w:tcPr>
          <w:p w14:paraId="6A44377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w:t>
            </w:r>
          </w:p>
          <w:p w14:paraId="56117CD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39</w:t>
            </w:r>
          </w:p>
        </w:tc>
        <w:tc>
          <w:tcPr>
            <w:tcW w:w="1441" w:type="dxa"/>
          </w:tcPr>
          <w:p w14:paraId="77EF3A6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1934 года</w:t>
            </w:r>
          </w:p>
        </w:tc>
      </w:tr>
      <w:tr w:rsidR="00F26F01" w:rsidRPr="00C33834" w14:paraId="0D9AF5E5" w14:textId="77777777">
        <w:tc>
          <w:tcPr>
            <w:tcW w:w="1384" w:type="dxa"/>
          </w:tcPr>
          <w:p w14:paraId="4BC1E87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И-17 Испано YBRS</w:t>
            </w:r>
          </w:p>
          <w:p w14:paraId="6900AE1E"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Второй вариант самолета строится под М17</w:t>
            </w:r>
          </w:p>
        </w:tc>
        <w:tc>
          <w:tcPr>
            <w:tcW w:w="2410" w:type="dxa"/>
          </w:tcPr>
          <w:p w14:paraId="5A24A34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Одноместный истребитель</w:t>
            </w:r>
          </w:p>
        </w:tc>
        <w:tc>
          <w:tcPr>
            <w:tcW w:w="1559" w:type="dxa"/>
          </w:tcPr>
          <w:p w14:paraId="4A9856E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51" w:type="dxa"/>
          </w:tcPr>
          <w:p w14:paraId="514A7E4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425/5000</w:t>
            </w:r>
          </w:p>
        </w:tc>
        <w:tc>
          <w:tcPr>
            <w:tcW w:w="935" w:type="dxa"/>
          </w:tcPr>
          <w:p w14:paraId="31DC84DA"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2 лег. пул.</w:t>
            </w:r>
          </w:p>
        </w:tc>
        <w:tc>
          <w:tcPr>
            <w:tcW w:w="907" w:type="dxa"/>
          </w:tcPr>
          <w:p w14:paraId="73E1651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Дерево Сталь</w:t>
            </w:r>
          </w:p>
        </w:tc>
        <w:tc>
          <w:tcPr>
            <w:tcW w:w="1113" w:type="dxa"/>
          </w:tcPr>
          <w:p w14:paraId="28F0825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w:t>
            </w:r>
          </w:p>
          <w:p w14:paraId="2DC53306"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39</w:t>
            </w:r>
          </w:p>
        </w:tc>
        <w:tc>
          <w:tcPr>
            <w:tcW w:w="1441" w:type="dxa"/>
          </w:tcPr>
          <w:p w14:paraId="01434AD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1934 года</w:t>
            </w:r>
          </w:p>
        </w:tc>
      </w:tr>
      <w:tr w:rsidR="00F26F01" w:rsidRPr="00C33834" w14:paraId="35D08325" w14:textId="77777777">
        <w:tc>
          <w:tcPr>
            <w:tcW w:w="1384" w:type="dxa"/>
          </w:tcPr>
          <w:p w14:paraId="0CD8193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И18 Испано YBRS или Р.Ц.</w:t>
            </w:r>
          </w:p>
        </w:tc>
        <w:tc>
          <w:tcPr>
            <w:tcW w:w="2410" w:type="dxa"/>
          </w:tcPr>
          <w:p w14:paraId="594C8C8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Одноместный истребитель</w:t>
            </w:r>
          </w:p>
        </w:tc>
        <w:tc>
          <w:tcPr>
            <w:tcW w:w="1559" w:type="dxa"/>
          </w:tcPr>
          <w:p w14:paraId="68B870B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Летные данные устанавливаются после испытаний самолетов И14, И15, И16, И17</w:t>
            </w:r>
          </w:p>
        </w:tc>
        <w:tc>
          <w:tcPr>
            <w:tcW w:w="851" w:type="dxa"/>
          </w:tcPr>
          <w:p w14:paraId="06CA330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935" w:type="dxa"/>
          </w:tcPr>
          <w:p w14:paraId="1614F6CE" w14:textId="77777777" w:rsidR="00570C39" w:rsidRPr="00C33834" w:rsidRDefault="00570C39" w:rsidP="00C33834">
            <w:pPr>
              <w:pStyle w:val="31"/>
              <w:widowControl/>
              <w:tabs>
                <w:tab w:val="left" w:pos="11199"/>
              </w:tabs>
              <w:jc w:val="both"/>
              <w:rPr>
                <w:color w:val="000000" w:themeColor="text1"/>
              </w:rPr>
            </w:pPr>
          </w:p>
        </w:tc>
        <w:tc>
          <w:tcPr>
            <w:tcW w:w="907" w:type="dxa"/>
          </w:tcPr>
          <w:p w14:paraId="3D4CED1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1113" w:type="dxa"/>
          </w:tcPr>
          <w:p w14:paraId="4B30644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w:t>
            </w:r>
          </w:p>
          <w:p w14:paraId="1A84826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39</w:t>
            </w:r>
          </w:p>
        </w:tc>
        <w:tc>
          <w:tcPr>
            <w:tcW w:w="1441" w:type="dxa"/>
          </w:tcPr>
          <w:p w14:paraId="688AF47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1935 года</w:t>
            </w:r>
          </w:p>
        </w:tc>
      </w:tr>
      <w:tr w:rsidR="00F26F01" w:rsidRPr="00C33834" w14:paraId="646EA32D" w14:textId="77777777">
        <w:tc>
          <w:tcPr>
            <w:tcW w:w="1384" w:type="dxa"/>
          </w:tcPr>
          <w:p w14:paraId="1B43F21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ИП2 Испано YBRS</w:t>
            </w:r>
          </w:p>
        </w:tc>
        <w:tc>
          <w:tcPr>
            <w:tcW w:w="2410" w:type="dxa"/>
          </w:tcPr>
          <w:p w14:paraId="18AB396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Одноместный пушечный истребитель</w:t>
            </w:r>
          </w:p>
        </w:tc>
        <w:tc>
          <w:tcPr>
            <w:tcW w:w="1559" w:type="dxa"/>
          </w:tcPr>
          <w:p w14:paraId="7BC68846"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51" w:type="dxa"/>
          </w:tcPr>
          <w:p w14:paraId="0A66CD6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350-370/ 5000</w:t>
            </w:r>
          </w:p>
        </w:tc>
        <w:tc>
          <w:tcPr>
            <w:tcW w:w="935" w:type="dxa"/>
          </w:tcPr>
          <w:p w14:paraId="24E3D34C"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2 пушки АПК</w:t>
            </w:r>
          </w:p>
        </w:tc>
        <w:tc>
          <w:tcPr>
            <w:tcW w:w="907" w:type="dxa"/>
          </w:tcPr>
          <w:p w14:paraId="532DD86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Смешан.</w:t>
            </w:r>
          </w:p>
        </w:tc>
        <w:tc>
          <w:tcPr>
            <w:tcW w:w="1113" w:type="dxa"/>
          </w:tcPr>
          <w:p w14:paraId="20D31646"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w:t>
            </w:r>
          </w:p>
          <w:p w14:paraId="5D0A39C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39</w:t>
            </w:r>
          </w:p>
        </w:tc>
        <w:tc>
          <w:tcPr>
            <w:tcW w:w="1441" w:type="dxa"/>
          </w:tcPr>
          <w:p w14:paraId="6C57193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1934 года</w:t>
            </w:r>
          </w:p>
        </w:tc>
      </w:tr>
      <w:tr w:rsidR="00F26F01" w:rsidRPr="00C33834" w14:paraId="2A575BAE" w14:textId="77777777">
        <w:tc>
          <w:tcPr>
            <w:tcW w:w="1384" w:type="dxa"/>
          </w:tcPr>
          <w:p w14:paraId="0376D3B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ИП3-М34Н</w:t>
            </w:r>
          </w:p>
        </w:tc>
        <w:tc>
          <w:tcPr>
            <w:tcW w:w="2410" w:type="dxa"/>
          </w:tcPr>
          <w:p w14:paraId="00A3AE5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Одноместный пушечный истребитель</w:t>
            </w:r>
          </w:p>
        </w:tc>
        <w:tc>
          <w:tcPr>
            <w:tcW w:w="1559" w:type="dxa"/>
          </w:tcPr>
          <w:p w14:paraId="22647B0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Постройка на Ленинградских заводах</w:t>
            </w:r>
          </w:p>
        </w:tc>
        <w:tc>
          <w:tcPr>
            <w:tcW w:w="851" w:type="dxa"/>
          </w:tcPr>
          <w:p w14:paraId="03CF93B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400/4000</w:t>
            </w:r>
          </w:p>
        </w:tc>
        <w:tc>
          <w:tcPr>
            <w:tcW w:w="935" w:type="dxa"/>
          </w:tcPr>
          <w:p w14:paraId="4D624A87"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2 ракет. пушки, 1 лег. пул.</w:t>
            </w:r>
          </w:p>
        </w:tc>
        <w:tc>
          <w:tcPr>
            <w:tcW w:w="907" w:type="dxa"/>
          </w:tcPr>
          <w:p w14:paraId="4ED1EEF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Сталь</w:t>
            </w:r>
          </w:p>
        </w:tc>
        <w:tc>
          <w:tcPr>
            <w:tcW w:w="1113" w:type="dxa"/>
          </w:tcPr>
          <w:p w14:paraId="66C9CB6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КБ11 У.В.И.</w:t>
            </w:r>
          </w:p>
        </w:tc>
        <w:tc>
          <w:tcPr>
            <w:tcW w:w="1441" w:type="dxa"/>
          </w:tcPr>
          <w:p w14:paraId="668C2AE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1934 года</w:t>
            </w:r>
          </w:p>
        </w:tc>
      </w:tr>
      <w:tr w:rsidR="00F26F01" w:rsidRPr="00C33834" w14:paraId="284FECEA" w14:textId="77777777">
        <w:tc>
          <w:tcPr>
            <w:tcW w:w="1384" w:type="dxa"/>
          </w:tcPr>
          <w:p w14:paraId="7464E1A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ДИ-6 РЦ</w:t>
            </w:r>
          </w:p>
        </w:tc>
        <w:tc>
          <w:tcPr>
            <w:tcW w:w="2410" w:type="dxa"/>
          </w:tcPr>
          <w:p w14:paraId="5D327DE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Двухместный истребитель</w:t>
            </w:r>
          </w:p>
        </w:tc>
        <w:tc>
          <w:tcPr>
            <w:tcW w:w="1559" w:type="dxa"/>
          </w:tcPr>
          <w:p w14:paraId="751572B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51" w:type="dxa"/>
          </w:tcPr>
          <w:p w14:paraId="52DEC83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315/5000</w:t>
            </w:r>
          </w:p>
        </w:tc>
        <w:tc>
          <w:tcPr>
            <w:tcW w:w="935" w:type="dxa"/>
          </w:tcPr>
          <w:p w14:paraId="47B4025B"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40 кг бомб</w:t>
            </w:r>
          </w:p>
          <w:p w14:paraId="5FCB3A1E"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3 лег. пул.</w:t>
            </w:r>
          </w:p>
        </w:tc>
        <w:tc>
          <w:tcPr>
            <w:tcW w:w="907" w:type="dxa"/>
          </w:tcPr>
          <w:p w14:paraId="128181A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Сталь и дерево</w:t>
            </w:r>
          </w:p>
        </w:tc>
        <w:tc>
          <w:tcPr>
            <w:tcW w:w="1113" w:type="dxa"/>
          </w:tcPr>
          <w:p w14:paraId="0D583EC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w:t>
            </w:r>
          </w:p>
          <w:p w14:paraId="0D6C76D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39</w:t>
            </w:r>
          </w:p>
        </w:tc>
        <w:tc>
          <w:tcPr>
            <w:tcW w:w="1441" w:type="dxa"/>
          </w:tcPr>
          <w:p w14:paraId="1516D75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апреля 1934 года</w:t>
            </w:r>
          </w:p>
        </w:tc>
      </w:tr>
      <w:tr w:rsidR="00F26F01" w:rsidRPr="00C33834" w14:paraId="37C31B96" w14:textId="77777777">
        <w:tc>
          <w:tcPr>
            <w:tcW w:w="1384" w:type="dxa"/>
          </w:tcPr>
          <w:p w14:paraId="1D408B5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ДИ-7 Испано YBRS</w:t>
            </w:r>
          </w:p>
        </w:tc>
        <w:tc>
          <w:tcPr>
            <w:tcW w:w="2410" w:type="dxa"/>
          </w:tcPr>
          <w:p w14:paraId="502EB3F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Двухместный истребитель</w:t>
            </w:r>
          </w:p>
        </w:tc>
        <w:tc>
          <w:tcPr>
            <w:tcW w:w="1559" w:type="dxa"/>
          </w:tcPr>
          <w:p w14:paraId="2ABAF46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51" w:type="dxa"/>
          </w:tcPr>
          <w:p w14:paraId="613E0B6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375-400/ 5000</w:t>
            </w:r>
          </w:p>
        </w:tc>
        <w:tc>
          <w:tcPr>
            <w:tcW w:w="935" w:type="dxa"/>
          </w:tcPr>
          <w:p w14:paraId="24491470"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40 кг бомб</w:t>
            </w:r>
          </w:p>
          <w:p w14:paraId="22A1DD3D"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3 лег. пул.</w:t>
            </w:r>
          </w:p>
        </w:tc>
        <w:tc>
          <w:tcPr>
            <w:tcW w:w="907" w:type="dxa"/>
          </w:tcPr>
          <w:p w14:paraId="36B12AC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Смешан.</w:t>
            </w:r>
          </w:p>
        </w:tc>
        <w:tc>
          <w:tcPr>
            <w:tcW w:w="1113" w:type="dxa"/>
          </w:tcPr>
          <w:p w14:paraId="45C1ED6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w:t>
            </w:r>
          </w:p>
          <w:p w14:paraId="3BBE5B1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39</w:t>
            </w:r>
          </w:p>
        </w:tc>
        <w:tc>
          <w:tcPr>
            <w:tcW w:w="1441" w:type="dxa"/>
          </w:tcPr>
          <w:p w14:paraId="10B9822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1934 года</w:t>
            </w:r>
          </w:p>
        </w:tc>
      </w:tr>
      <w:tr w:rsidR="00F26F01" w:rsidRPr="00C33834" w14:paraId="26D2E290" w14:textId="77777777">
        <w:tc>
          <w:tcPr>
            <w:tcW w:w="1384" w:type="dxa"/>
          </w:tcPr>
          <w:p w14:paraId="5306284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ДИП-2М34Н</w:t>
            </w:r>
          </w:p>
        </w:tc>
        <w:tc>
          <w:tcPr>
            <w:tcW w:w="2410" w:type="dxa"/>
          </w:tcPr>
          <w:p w14:paraId="2E43FD0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Двухместный истребитель пушечный</w:t>
            </w:r>
          </w:p>
        </w:tc>
        <w:tc>
          <w:tcPr>
            <w:tcW w:w="1559" w:type="dxa"/>
          </w:tcPr>
          <w:p w14:paraId="014E5866"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51" w:type="dxa"/>
          </w:tcPr>
          <w:p w14:paraId="35A201A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325/5000</w:t>
            </w:r>
          </w:p>
        </w:tc>
        <w:tc>
          <w:tcPr>
            <w:tcW w:w="935" w:type="dxa"/>
          </w:tcPr>
          <w:p w14:paraId="2325E073"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2 лег. пул., 1 пушка АПК</w:t>
            </w:r>
          </w:p>
        </w:tc>
        <w:tc>
          <w:tcPr>
            <w:tcW w:w="907" w:type="dxa"/>
          </w:tcPr>
          <w:p w14:paraId="7F2061F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Дюраль</w:t>
            </w:r>
          </w:p>
        </w:tc>
        <w:tc>
          <w:tcPr>
            <w:tcW w:w="1113" w:type="dxa"/>
          </w:tcPr>
          <w:p w14:paraId="185BE1F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tc>
        <w:tc>
          <w:tcPr>
            <w:tcW w:w="1441" w:type="dxa"/>
          </w:tcPr>
          <w:p w14:paraId="17F82C9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1934 года</w:t>
            </w:r>
          </w:p>
        </w:tc>
      </w:tr>
      <w:tr w:rsidR="00F26F01" w:rsidRPr="00C33834" w14:paraId="3DD027F2" w14:textId="77777777">
        <w:tc>
          <w:tcPr>
            <w:tcW w:w="1384" w:type="dxa"/>
          </w:tcPr>
          <w:p w14:paraId="034A7C0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Р8-М34 ФРН</w:t>
            </w:r>
          </w:p>
        </w:tc>
        <w:tc>
          <w:tcPr>
            <w:tcW w:w="2410" w:type="dxa"/>
          </w:tcPr>
          <w:p w14:paraId="5B8466C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Разведчик он же легкий бомбардировщик</w:t>
            </w:r>
          </w:p>
        </w:tc>
        <w:tc>
          <w:tcPr>
            <w:tcW w:w="1559" w:type="dxa"/>
          </w:tcPr>
          <w:p w14:paraId="01683C3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Почтовый</w:t>
            </w:r>
          </w:p>
        </w:tc>
        <w:tc>
          <w:tcPr>
            <w:tcW w:w="851" w:type="dxa"/>
          </w:tcPr>
          <w:p w14:paraId="16DAB28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300/5000</w:t>
            </w:r>
          </w:p>
        </w:tc>
        <w:tc>
          <w:tcPr>
            <w:tcW w:w="935" w:type="dxa"/>
          </w:tcPr>
          <w:p w14:paraId="5EFF560F"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800 кг бомб</w:t>
            </w:r>
          </w:p>
          <w:p w14:paraId="04955635"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2 лег. пул.</w:t>
            </w:r>
          </w:p>
        </w:tc>
        <w:tc>
          <w:tcPr>
            <w:tcW w:w="907" w:type="dxa"/>
          </w:tcPr>
          <w:p w14:paraId="7018D57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Смешан.</w:t>
            </w:r>
          </w:p>
        </w:tc>
        <w:tc>
          <w:tcPr>
            <w:tcW w:w="1113" w:type="dxa"/>
          </w:tcPr>
          <w:p w14:paraId="03C2288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w:t>
            </w:r>
          </w:p>
          <w:p w14:paraId="4A986A2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39</w:t>
            </w:r>
          </w:p>
        </w:tc>
        <w:tc>
          <w:tcPr>
            <w:tcW w:w="1441" w:type="dxa"/>
          </w:tcPr>
          <w:p w14:paraId="542C2D3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1935 года</w:t>
            </w:r>
          </w:p>
        </w:tc>
      </w:tr>
      <w:tr w:rsidR="00F26F01" w:rsidRPr="00C33834" w14:paraId="42C54EE7" w14:textId="77777777">
        <w:tc>
          <w:tcPr>
            <w:tcW w:w="1384" w:type="dxa"/>
          </w:tcPr>
          <w:p w14:paraId="75993DE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МИ4-2 Испано YBRS </w:t>
            </w:r>
          </w:p>
        </w:tc>
        <w:tc>
          <w:tcPr>
            <w:tcW w:w="2410" w:type="dxa"/>
          </w:tcPr>
          <w:p w14:paraId="12E8188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Многоместный истребитель</w:t>
            </w:r>
          </w:p>
        </w:tc>
        <w:tc>
          <w:tcPr>
            <w:tcW w:w="1559" w:type="dxa"/>
          </w:tcPr>
          <w:p w14:paraId="6D022F56"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51" w:type="dxa"/>
          </w:tcPr>
          <w:p w14:paraId="07DEE1D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350-360/ 5000</w:t>
            </w:r>
          </w:p>
        </w:tc>
        <w:tc>
          <w:tcPr>
            <w:tcW w:w="935" w:type="dxa"/>
          </w:tcPr>
          <w:p w14:paraId="0C8AC8A7"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100 кг бомб</w:t>
            </w:r>
          </w:p>
          <w:p w14:paraId="43407673"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lastRenderedPageBreak/>
              <w:t>2 пушки, 2 лег. пул.</w:t>
            </w:r>
          </w:p>
        </w:tc>
        <w:tc>
          <w:tcPr>
            <w:tcW w:w="907" w:type="dxa"/>
          </w:tcPr>
          <w:p w14:paraId="1B0CF41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Нержав. сталь</w:t>
            </w:r>
          </w:p>
        </w:tc>
        <w:tc>
          <w:tcPr>
            <w:tcW w:w="1113" w:type="dxa"/>
          </w:tcPr>
          <w:p w14:paraId="5AFC054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tc>
        <w:tc>
          <w:tcPr>
            <w:tcW w:w="1441" w:type="dxa"/>
          </w:tcPr>
          <w:p w14:paraId="1163F54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1935 года</w:t>
            </w:r>
          </w:p>
        </w:tc>
      </w:tr>
      <w:tr w:rsidR="00F26F01" w:rsidRPr="00C33834" w14:paraId="30E45FBE" w14:textId="77777777">
        <w:tc>
          <w:tcPr>
            <w:tcW w:w="1384" w:type="dxa"/>
          </w:tcPr>
          <w:p w14:paraId="2670D0E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СР-РЦ</w:t>
            </w:r>
          </w:p>
        </w:tc>
        <w:tc>
          <w:tcPr>
            <w:tcW w:w="2410" w:type="dxa"/>
          </w:tcPr>
          <w:p w14:paraId="510B17B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Скоростной фоторазведчик</w:t>
            </w:r>
          </w:p>
        </w:tc>
        <w:tc>
          <w:tcPr>
            <w:tcW w:w="1559" w:type="dxa"/>
          </w:tcPr>
          <w:p w14:paraId="3199B39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Экспресс курьер</w:t>
            </w:r>
          </w:p>
        </w:tc>
        <w:tc>
          <w:tcPr>
            <w:tcW w:w="851" w:type="dxa"/>
          </w:tcPr>
          <w:p w14:paraId="708BF8E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450/4000</w:t>
            </w:r>
          </w:p>
        </w:tc>
        <w:tc>
          <w:tcPr>
            <w:tcW w:w="935" w:type="dxa"/>
          </w:tcPr>
          <w:p w14:paraId="44D8AD94"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 xml:space="preserve">Вооружен. нет </w:t>
            </w:r>
          </w:p>
        </w:tc>
        <w:tc>
          <w:tcPr>
            <w:tcW w:w="907" w:type="dxa"/>
          </w:tcPr>
          <w:p w14:paraId="4787E3C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Дерево</w:t>
            </w:r>
          </w:p>
          <w:p w14:paraId="4339268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1113" w:type="dxa"/>
          </w:tcPr>
          <w:p w14:paraId="0288B4F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ХАИ</w:t>
            </w:r>
          </w:p>
        </w:tc>
        <w:tc>
          <w:tcPr>
            <w:tcW w:w="1441" w:type="dxa"/>
          </w:tcPr>
          <w:p w14:paraId="5193DF2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1934 года</w:t>
            </w:r>
          </w:p>
        </w:tc>
      </w:tr>
      <w:tr w:rsidR="00F26F01" w:rsidRPr="00C33834" w14:paraId="3B3D795C" w14:textId="77777777">
        <w:tc>
          <w:tcPr>
            <w:tcW w:w="1384" w:type="dxa"/>
          </w:tcPr>
          <w:p w14:paraId="4439C99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ТШ3-М34</w:t>
            </w:r>
          </w:p>
        </w:tc>
        <w:tc>
          <w:tcPr>
            <w:tcW w:w="2410" w:type="dxa"/>
          </w:tcPr>
          <w:p w14:paraId="77F6E62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бронированный штурмовик</w:t>
            </w:r>
          </w:p>
        </w:tc>
        <w:tc>
          <w:tcPr>
            <w:tcW w:w="1559" w:type="dxa"/>
          </w:tcPr>
          <w:p w14:paraId="55E8CA5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Пассажирский</w:t>
            </w:r>
          </w:p>
          <w:p w14:paraId="5EA6AFB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(требует замены фюзеляжа)</w:t>
            </w:r>
          </w:p>
        </w:tc>
        <w:tc>
          <w:tcPr>
            <w:tcW w:w="851" w:type="dxa"/>
          </w:tcPr>
          <w:p w14:paraId="3BB0BA7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250/0</w:t>
            </w:r>
          </w:p>
        </w:tc>
        <w:tc>
          <w:tcPr>
            <w:tcW w:w="935" w:type="dxa"/>
          </w:tcPr>
          <w:p w14:paraId="05EECBD7"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400 кг бомб</w:t>
            </w:r>
          </w:p>
          <w:p w14:paraId="350EB1B3"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11 лег. пул.</w:t>
            </w:r>
          </w:p>
        </w:tc>
        <w:tc>
          <w:tcPr>
            <w:tcW w:w="907" w:type="dxa"/>
          </w:tcPr>
          <w:p w14:paraId="0FC3FB8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Сталь</w:t>
            </w:r>
          </w:p>
          <w:p w14:paraId="6C94C87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Дюраль</w:t>
            </w:r>
          </w:p>
        </w:tc>
        <w:tc>
          <w:tcPr>
            <w:tcW w:w="1113" w:type="dxa"/>
          </w:tcPr>
          <w:p w14:paraId="22DBBBC6"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w:t>
            </w:r>
          </w:p>
          <w:p w14:paraId="62BF717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39</w:t>
            </w:r>
          </w:p>
        </w:tc>
        <w:tc>
          <w:tcPr>
            <w:tcW w:w="1441" w:type="dxa"/>
          </w:tcPr>
          <w:p w14:paraId="657100E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1934 года</w:t>
            </w:r>
          </w:p>
        </w:tc>
      </w:tr>
      <w:tr w:rsidR="00F26F01" w:rsidRPr="00C33834" w14:paraId="7D18F928" w14:textId="77777777">
        <w:tc>
          <w:tcPr>
            <w:tcW w:w="1384" w:type="dxa"/>
          </w:tcPr>
          <w:p w14:paraId="4065A28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ЛШ1-М22</w:t>
            </w:r>
          </w:p>
        </w:tc>
        <w:tc>
          <w:tcPr>
            <w:tcW w:w="2410" w:type="dxa"/>
          </w:tcPr>
          <w:p w14:paraId="1618E24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Легкий штурмовик (вариант с самолета И16)</w:t>
            </w:r>
          </w:p>
        </w:tc>
        <w:tc>
          <w:tcPr>
            <w:tcW w:w="1559" w:type="dxa"/>
          </w:tcPr>
          <w:p w14:paraId="53AE3B8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51" w:type="dxa"/>
          </w:tcPr>
          <w:p w14:paraId="5E2D78B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330/0</w:t>
            </w:r>
          </w:p>
        </w:tc>
        <w:tc>
          <w:tcPr>
            <w:tcW w:w="935" w:type="dxa"/>
          </w:tcPr>
          <w:p w14:paraId="117BD3F4"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4 лег. пул.</w:t>
            </w:r>
          </w:p>
        </w:tc>
        <w:tc>
          <w:tcPr>
            <w:tcW w:w="907" w:type="dxa"/>
          </w:tcPr>
          <w:p w14:paraId="567EED3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Сталь</w:t>
            </w:r>
          </w:p>
          <w:p w14:paraId="5E5F2BF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Дерево</w:t>
            </w:r>
          </w:p>
        </w:tc>
        <w:tc>
          <w:tcPr>
            <w:tcW w:w="1113" w:type="dxa"/>
          </w:tcPr>
          <w:p w14:paraId="0425E25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w:t>
            </w:r>
          </w:p>
          <w:p w14:paraId="3C6A08D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39</w:t>
            </w:r>
          </w:p>
        </w:tc>
        <w:tc>
          <w:tcPr>
            <w:tcW w:w="1441" w:type="dxa"/>
          </w:tcPr>
          <w:p w14:paraId="4AE2E286"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1934 года</w:t>
            </w:r>
          </w:p>
        </w:tc>
      </w:tr>
      <w:tr w:rsidR="00F26F01" w:rsidRPr="00C33834" w14:paraId="2BCD81C1" w14:textId="77777777">
        <w:tc>
          <w:tcPr>
            <w:tcW w:w="1384" w:type="dxa"/>
          </w:tcPr>
          <w:p w14:paraId="421B628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ЛШ2-РЦ</w:t>
            </w:r>
          </w:p>
        </w:tc>
        <w:tc>
          <w:tcPr>
            <w:tcW w:w="2410" w:type="dxa"/>
          </w:tcPr>
          <w:p w14:paraId="2F9EA2C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Легкий штурмовик (вариант с самолета ДИ6)</w:t>
            </w:r>
          </w:p>
        </w:tc>
        <w:tc>
          <w:tcPr>
            <w:tcW w:w="1559" w:type="dxa"/>
          </w:tcPr>
          <w:p w14:paraId="73D7F48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51" w:type="dxa"/>
          </w:tcPr>
          <w:p w14:paraId="3ECBB98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290/0</w:t>
            </w:r>
          </w:p>
        </w:tc>
        <w:tc>
          <w:tcPr>
            <w:tcW w:w="935" w:type="dxa"/>
          </w:tcPr>
          <w:p w14:paraId="28994098"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80 кг бомб</w:t>
            </w:r>
          </w:p>
          <w:p w14:paraId="1A4FC4D0"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5 лег. пул.</w:t>
            </w:r>
          </w:p>
        </w:tc>
        <w:tc>
          <w:tcPr>
            <w:tcW w:w="907" w:type="dxa"/>
          </w:tcPr>
          <w:p w14:paraId="013E1EE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Сталь</w:t>
            </w:r>
          </w:p>
          <w:p w14:paraId="473363D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Дерево</w:t>
            </w:r>
          </w:p>
        </w:tc>
        <w:tc>
          <w:tcPr>
            <w:tcW w:w="1113" w:type="dxa"/>
          </w:tcPr>
          <w:p w14:paraId="198B3C7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w:t>
            </w:r>
          </w:p>
          <w:p w14:paraId="0D9AF64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39</w:t>
            </w:r>
          </w:p>
        </w:tc>
        <w:tc>
          <w:tcPr>
            <w:tcW w:w="1441" w:type="dxa"/>
          </w:tcPr>
          <w:p w14:paraId="0CE7986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1934 года</w:t>
            </w:r>
          </w:p>
        </w:tc>
      </w:tr>
      <w:tr w:rsidR="00F26F01" w:rsidRPr="00C33834" w14:paraId="3A3F0041" w14:textId="77777777">
        <w:tc>
          <w:tcPr>
            <w:tcW w:w="1384" w:type="dxa"/>
          </w:tcPr>
          <w:p w14:paraId="05F78BA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Х1-2М34РН</w:t>
            </w:r>
          </w:p>
        </w:tc>
        <w:tc>
          <w:tcPr>
            <w:tcW w:w="2410" w:type="dxa"/>
          </w:tcPr>
          <w:p w14:paraId="04B5448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Химический боевик</w:t>
            </w:r>
          </w:p>
        </w:tc>
        <w:tc>
          <w:tcPr>
            <w:tcW w:w="1559" w:type="dxa"/>
          </w:tcPr>
          <w:p w14:paraId="3912FE7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Пассажирский 12-14 чел., грузовой</w:t>
            </w:r>
          </w:p>
        </w:tc>
        <w:tc>
          <w:tcPr>
            <w:tcW w:w="851" w:type="dxa"/>
          </w:tcPr>
          <w:p w14:paraId="28B89B4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250/3000</w:t>
            </w:r>
          </w:p>
        </w:tc>
        <w:tc>
          <w:tcPr>
            <w:tcW w:w="935" w:type="dxa"/>
          </w:tcPr>
          <w:p w14:paraId="4D2AE025"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Химгруз 2500 кг, 3 лег. пул.</w:t>
            </w:r>
          </w:p>
        </w:tc>
        <w:tc>
          <w:tcPr>
            <w:tcW w:w="907" w:type="dxa"/>
          </w:tcPr>
          <w:p w14:paraId="00E5B8F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Сталь</w:t>
            </w:r>
          </w:p>
        </w:tc>
        <w:tc>
          <w:tcPr>
            <w:tcW w:w="1113" w:type="dxa"/>
          </w:tcPr>
          <w:p w14:paraId="07F6C20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81 ГУГВФ</w:t>
            </w:r>
          </w:p>
        </w:tc>
        <w:tc>
          <w:tcPr>
            <w:tcW w:w="1441" w:type="dxa"/>
          </w:tcPr>
          <w:p w14:paraId="207EC45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1934 года</w:t>
            </w:r>
          </w:p>
        </w:tc>
      </w:tr>
      <w:tr w:rsidR="00F26F01" w:rsidRPr="00C33834" w14:paraId="598A98A9" w14:textId="77777777">
        <w:tc>
          <w:tcPr>
            <w:tcW w:w="1384" w:type="dxa"/>
          </w:tcPr>
          <w:p w14:paraId="1DF99A1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ВС2-2М22</w:t>
            </w:r>
          </w:p>
        </w:tc>
        <w:tc>
          <w:tcPr>
            <w:tcW w:w="2410" w:type="dxa"/>
          </w:tcPr>
          <w:p w14:paraId="0B9A1A4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Войсковой самолет</w:t>
            </w:r>
          </w:p>
        </w:tc>
        <w:tc>
          <w:tcPr>
            <w:tcW w:w="1559" w:type="dxa"/>
          </w:tcPr>
          <w:p w14:paraId="31EE3A0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Пассажирский 11 местный</w:t>
            </w:r>
          </w:p>
        </w:tc>
        <w:tc>
          <w:tcPr>
            <w:tcW w:w="851" w:type="dxa"/>
          </w:tcPr>
          <w:p w14:paraId="1B34250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290/3000</w:t>
            </w:r>
          </w:p>
        </w:tc>
        <w:tc>
          <w:tcPr>
            <w:tcW w:w="935" w:type="dxa"/>
          </w:tcPr>
          <w:p w14:paraId="3A7CA61A"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500 кг бомб, 4 лег. пул.</w:t>
            </w:r>
          </w:p>
        </w:tc>
        <w:tc>
          <w:tcPr>
            <w:tcW w:w="907" w:type="dxa"/>
          </w:tcPr>
          <w:p w14:paraId="5AFD0E4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Сталь</w:t>
            </w:r>
          </w:p>
        </w:tc>
        <w:tc>
          <w:tcPr>
            <w:tcW w:w="1113" w:type="dxa"/>
          </w:tcPr>
          <w:p w14:paraId="3918D98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ХАЗОС</w:t>
            </w:r>
          </w:p>
        </w:tc>
        <w:tc>
          <w:tcPr>
            <w:tcW w:w="1441" w:type="dxa"/>
          </w:tcPr>
          <w:p w14:paraId="095D40C6"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1934 года</w:t>
            </w:r>
          </w:p>
        </w:tc>
      </w:tr>
      <w:tr w:rsidR="00F26F01" w:rsidRPr="00C33834" w14:paraId="182DC6BD" w14:textId="77777777">
        <w:tc>
          <w:tcPr>
            <w:tcW w:w="1384" w:type="dxa"/>
          </w:tcPr>
          <w:p w14:paraId="350F761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П3-М49</w:t>
            </w:r>
          </w:p>
        </w:tc>
        <w:tc>
          <w:tcPr>
            <w:tcW w:w="2410" w:type="dxa"/>
          </w:tcPr>
          <w:p w14:paraId="2D32435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Переходный самолет</w:t>
            </w:r>
          </w:p>
        </w:tc>
        <w:tc>
          <w:tcPr>
            <w:tcW w:w="1559" w:type="dxa"/>
          </w:tcPr>
          <w:p w14:paraId="7C4F666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Учебный для школ ГВФ и ОСО</w:t>
            </w:r>
          </w:p>
        </w:tc>
        <w:tc>
          <w:tcPr>
            <w:tcW w:w="851" w:type="dxa"/>
          </w:tcPr>
          <w:p w14:paraId="0D179366"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250/3000</w:t>
            </w:r>
          </w:p>
        </w:tc>
        <w:tc>
          <w:tcPr>
            <w:tcW w:w="935" w:type="dxa"/>
          </w:tcPr>
          <w:p w14:paraId="5C7E62C8"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120-150 кг бомб</w:t>
            </w:r>
          </w:p>
          <w:p w14:paraId="77A06B5E"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2 лег. пул.</w:t>
            </w:r>
          </w:p>
        </w:tc>
        <w:tc>
          <w:tcPr>
            <w:tcW w:w="907" w:type="dxa"/>
          </w:tcPr>
          <w:p w14:paraId="6043F7B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Дерево</w:t>
            </w:r>
          </w:p>
        </w:tc>
        <w:tc>
          <w:tcPr>
            <w:tcW w:w="1113" w:type="dxa"/>
          </w:tcPr>
          <w:p w14:paraId="2A844B4E"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НИИ ГУГВФ</w:t>
            </w:r>
          </w:p>
        </w:tc>
        <w:tc>
          <w:tcPr>
            <w:tcW w:w="1441" w:type="dxa"/>
          </w:tcPr>
          <w:p w14:paraId="3049BEE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1934 года</w:t>
            </w:r>
          </w:p>
        </w:tc>
      </w:tr>
      <w:tr w:rsidR="00F26F01" w:rsidRPr="00C33834" w14:paraId="7437A963" w14:textId="77777777">
        <w:tc>
          <w:tcPr>
            <w:tcW w:w="1384" w:type="dxa"/>
          </w:tcPr>
          <w:p w14:paraId="2F2E0F3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Убп-2м11</w:t>
            </w:r>
          </w:p>
        </w:tc>
        <w:tc>
          <w:tcPr>
            <w:tcW w:w="2410" w:type="dxa"/>
          </w:tcPr>
          <w:p w14:paraId="150965B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для боевой подготовки в тяжелых бригадах</w:t>
            </w:r>
          </w:p>
        </w:tc>
        <w:tc>
          <w:tcPr>
            <w:tcW w:w="1559" w:type="dxa"/>
          </w:tcPr>
          <w:p w14:paraId="248F65E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Пассажирский на 3-х пассажиров</w:t>
            </w:r>
          </w:p>
        </w:tc>
        <w:tc>
          <w:tcPr>
            <w:tcW w:w="851" w:type="dxa"/>
          </w:tcPr>
          <w:p w14:paraId="2C44717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210-230/ 0</w:t>
            </w:r>
          </w:p>
        </w:tc>
        <w:tc>
          <w:tcPr>
            <w:tcW w:w="935" w:type="dxa"/>
          </w:tcPr>
          <w:p w14:paraId="58C2687A"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100 кг бомб</w:t>
            </w:r>
          </w:p>
          <w:p w14:paraId="352F06A2"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1-2 лег. пул.</w:t>
            </w:r>
          </w:p>
        </w:tc>
        <w:tc>
          <w:tcPr>
            <w:tcW w:w="907" w:type="dxa"/>
          </w:tcPr>
          <w:p w14:paraId="681E476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Дерево</w:t>
            </w:r>
          </w:p>
        </w:tc>
        <w:tc>
          <w:tcPr>
            <w:tcW w:w="1113" w:type="dxa"/>
          </w:tcPr>
          <w:p w14:paraId="6CA6DA8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КАИ</w:t>
            </w:r>
          </w:p>
        </w:tc>
        <w:tc>
          <w:tcPr>
            <w:tcW w:w="1441" w:type="dxa"/>
          </w:tcPr>
          <w:p w14:paraId="5819E37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1934 года</w:t>
            </w:r>
          </w:p>
        </w:tc>
      </w:tr>
      <w:tr w:rsidR="00F26F01" w:rsidRPr="00C33834" w14:paraId="59F80263" w14:textId="77777777">
        <w:tc>
          <w:tcPr>
            <w:tcW w:w="1384" w:type="dxa"/>
          </w:tcPr>
          <w:p w14:paraId="166A296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У3-М48</w:t>
            </w:r>
          </w:p>
        </w:tc>
        <w:tc>
          <w:tcPr>
            <w:tcW w:w="2410" w:type="dxa"/>
          </w:tcPr>
          <w:p w14:paraId="01C3711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Учебный, для боевой подготовки, для связи</w:t>
            </w:r>
          </w:p>
        </w:tc>
        <w:tc>
          <w:tcPr>
            <w:tcW w:w="1559" w:type="dxa"/>
          </w:tcPr>
          <w:p w14:paraId="41D6784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Учебный для школ. Санитарный для 2 раненых. Спортивный. Исполкомовский для 2-х пассажиров.</w:t>
            </w:r>
          </w:p>
        </w:tc>
        <w:tc>
          <w:tcPr>
            <w:tcW w:w="851" w:type="dxa"/>
          </w:tcPr>
          <w:p w14:paraId="5BD18F2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935" w:type="dxa"/>
          </w:tcPr>
          <w:p w14:paraId="116E3EC3"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45 кг</w:t>
            </w:r>
          </w:p>
          <w:p w14:paraId="4D6A8605"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2 лег. пул.</w:t>
            </w:r>
          </w:p>
        </w:tc>
        <w:tc>
          <w:tcPr>
            <w:tcW w:w="907" w:type="dxa"/>
          </w:tcPr>
          <w:p w14:paraId="0AA45D1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Дерево </w:t>
            </w:r>
          </w:p>
        </w:tc>
        <w:tc>
          <w:tcPr>
            <w:tcW w:w="1113" w:type="dxa"/>
          </w:tcPr>
          <w:p w14:paraId="5E93E4B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w:t>
            </w:r>
          </w:p>
          <w:p w14:paraId="6ABA248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23</w:t>
            </w:r>
          </w:p>
        </w:tc>
        <w:tc>
          <w:tcPr>
            <w:tcW w:w="1441" w:type="dxa"/>
          </w:tcPr>
          <w:p w14:paraId="02177BE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1934 года</w:t>
            </w:r>
          </w:p>
        </w:tc>
      </w:tr>
    </w:tbl>
    <w:p w14:paraId="1A806AC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Доводки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417"/>
        <w:gridCol w:w="807"/>
        <w:gridCol w:w="894"/>
        <w:gridCol w:w="984"/>
        <w:gridCol w:w="1207"/>
        <w:gridCol w:w="1496"/>
      </w:tblGrid>
      <w:tr w:rsidR="00F26F01" w:rsidRPr="00C33834" w14:paraId="7AA53856" w14:textId="77777777">
        <w:tc>
          <w:tcPr>
            <w:tcW w:w="1384" w:type="dxa"/>
          </w:tcPr>
          <w:p w14:paraId="4B8D4AD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 ФРН</w:t>
            </w:r>
          </w:p>
        </w:tc>
        <w:tc>
          <w:tcPr>
            <w:tcW w:w="2410" w:type="dxa"/>
          </w:tcPr>
          <w:p w14:paraId="067C8E7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бомбардировщик</w:t>
            </w:r>
          </w:p>
        </w:tc>
        <w:tc>
          <w:tcPr>
            <w:tcW w:w="1417" w:type="dxa"/>
          </w:tcPr>
          <w:p w14:paraId="73734BB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07" w:type="dxa"/>
          </w:tcPr>
          <w:p w14:paraId="292BAFE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260/4000</w:t>
            </w:r>
          </w:p>
        </w:tc>
        <w:tc>
          <w:tcPr>
            <w:tcW w:w="894" w:type="dxa"/>
          </w:tcPr>
          <w:p w14:paraId="0C08DCDC"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41 кг</w:t>
            </w:r>
          </w:p>
          <w:p w14:paraId="4B0D9B85"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5 лег. пул.</w:t>
            </w:r>
          </w:p>
        </w:tc>
        <w:tc>
          <w:tcPr>
            <w:tcW w:w="984" w:type="dxa"/>
          </w:tcPr>
          <w:p w14:paraId="64140E9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Дюраль</w:t>
            </w:r>
          </w:p>
        </w:tc>
        <w:tc>
          <w:tcPr>
            <w:tcW w:w="1207" w:type="dxa"/>
          </w:tcPr>
          <w:p w14:paraId="708179F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 и завод № 22</w:t>
            </w:r>
          </w:p>
        </w:tc>
        <w:tc>
          <w:tcPr>
            <w:tcW w:w="1496" w:type="dxa"/>
          </w:tcPr>
          <w:p w14:paraId="32301BB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июля 1934 года</w:t>
            </w:r>
          </w:p>
        </w:tc>
      </w:tr>
      <w:tr w:rsidR="00F26F01" w:rsidRPr="00C33834" w14:paraId="20A10EEC" w14:textId="77777777">
        <w:tc>
          <w:tcPr>
            <w:tcW w:w="1384" w:type="dxa"/>
          </w:tcPr>
          <w:p w14:paraId="2F6F462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ТБ4-6М34 РН</w:t>
            </w:r>
          </w:p>
        </w:tc>
        <w:tc>
          <w:tcPr>
            <w:tcW w:w="2410" w:type="dxa"/>
          </w:tcPr>
          <w:p w14:paraId="5AE363BE"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бомбардировщик</w:t>
            </w:r>
          </w:p>
        </w:tc>
        <w:tc>
          <w:tcPr>
            <w:tcW w:w="1417" w:type="dxa"/>
          </w:tcPr>
          <w:p w14:paraId="6076497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Пассажирский</w:t>
            </w:r>
          </w:p>
        </w:tc>
        <w:tc>
          <w:tcPr>
            <w:tcW w:w="807" w:type="dxa"/>
          </w:tcPr>
          <w:p w14:paraId="34EE159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240/4000</w:t>
            </w:r>
          </w:p>
        </w:tc>
        <w:tc>
          <w:tcPr>
            <w:tcW w:w="894" w:type="dxa"/>
          </w:tcPr>
          <w:p w14:paraId="2CBFA2F1"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10000 кг</w:t>
            </w:r>
          </w:p>
          <w:p w14:paraId="4EDAC3E7"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11 лег. пул., 2 пушки</w:t>
            </w:r>
          </w:p>
        </w:tc>
        <w:tc>
          <w:tcPr>
            <w:tcW w:w="984" w:type="dxa"/>
          </w:tcPr>
          <w:p w14:paraId="399A524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Дюраль</w:t>
            </w:r>
          </w:p>
        </w:tc>
        <w:tc>
          <w:tcPr>
            <w:tcW w:w="1207" w:type="dxa"/>
          </w:tcPr>
          <w:p w14:paraId="7053541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 и завод № 22</w:t>
            </w:r>
          </w:p>
        </w:tc>
        <w:tc>
          <w:tcPr>
            <w:tcW w:w="1496" w:type="dxa"/>
          </w:tcPr>
          <w:p w14:paraId="47CD0E0E"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1934 года</w:t>
            </w:r>
          </w:p>
        </w:tc>
      </w:tr>
      <w:tr w:rsidR="00F26F01" w:rsidRPr="00C33834" w14:paraId="1F2E6A46" w14:textId="77777777">
        <w:tc>
          <w:tcPr>
            <w:tcW w:w="1384" w:type="dxa"/>
          </w:tcPr>
          <w:p w14:paraId="5DC6336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К7-7М34 РН</w:t>
            </w:r>
          </w:p>
        </w:tc>
        <w:tc>
          <w:tcPr>
            <w:tcW w:w="2410" w:type="dxa"/>
          </w:tcPr>
          <w:p w14:paraId="17AF9F36"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бомбардировщик</w:t>
            </w:r>
          </w:p>
        </w:tc>
        <w:tc>
          <w:tcPr>
            <w:tcW w:w="1417" w:type="dxa"/>
          </w:tcPr>
          <w:p w14:paraId="477BA07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Пассажирский</w:t>
            </w:r>
          </w:p>
        </w:tc>
        <w:tc>
          <w:tcPr>
            <w:tcW w:w="807" w:type="dxa"/>
          </w:tcPr>
          <w:p w14:paraId="6CC740B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215/3000</w:t>
            </w:r>
          </w:p>
        </w:tc>
        <w:tc>
          <w:tcPr>
            <w:tcW w:w="894" w:type="dxa"/>
          </w:tcPr>
          <w:p w14:paraId="330A2CEE"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13000 кг</w:t>
            </w:r>
          </w:p>
          <w:p w14:paraId="286A83E6"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3 пушки, 13 лег. пул.</w:t>
            </w:r>
          </w:p>
        </w:tc>
        <w:tc>
          <w:tcPr>
            <w:tcW w:w="984" w:type="dxa"/>
          </w:tcPr>
          <w:p w14:paraId="1952D57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Сталь</w:t>
            </w:r>
          </w:p>
        </w:tc>
        <w:tc>
          <w:tcPr>
            <w:tcW w:w="1207" w:type="dxa"/>
          </w:tcPr>
          <w:p w14:paraId="19D2FD16"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ХАЗОС</w:t>
            </w:r>
          </w:p>
        </w:tc>
        <w:tc>
          <w:tcPr>
            <w:tcW w:w="1496" w:type="dxa"/>
          </w:tcPr>
          <w:p w14:paraId="4E43EED6"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октября 1934 года</w:t>
            </w:r>
          </w:p>
        </w:tc>
      </w:tr>
      <w:tr w:rsidR="00F26F01" w:rsidRPr="00C33834" w14:paraId="3F741994" w14:textId="77777777">
        <w:tc>
          <w:tcPr>
            <w:tcW w:w="1384" w:type="dxa"/>
          </w:tcPr>
          <w:p w14:paraId="52AFD3C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ДБ1-М34Р</w:t>
            </w:r>
          </w:p>
        </w:tc>
        <w:tc>
          <w:tcPr>
            <w:tcW w:w="2410" w:type="dxa"/>
          </w:tcPr>
          <w:p w14:paraId="3E5D272E"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Дальний бомбардировщик (военный вариант самолета РД)</w:t>
            </w:r>
          </w:p>
        </w:tc>
        <w:tc>
          <w:tcPr>
            <w:tcW w:w="1417" w:type="dxa"/>
          </w:tcPr>
          <w:p w14:paraId="16B4E30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07" w:type="dxa"/>
          </w:tcPr>
          <w:p w14:paraId="34768326"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200/3000</w:t>
            </w:r>
          </w:p>
        </w:tc>
        <w:tc>
          <w:tcPr>
            <w:tcW w:w="894" w:type="dxa"/>
          </w:tcPr>
          <w:p w14:paraId="41920918"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 xml:space="preserve">2 лег. пул. </w:t>
            </w:r>
          </w:p>
        </w:tc>
        <w:tc>
          <w:tcPr>
            <w:tcW w:w="984" w:type="dxa"/>
          </w:tcPr>
          <w:p w14:paraId="1A73B1B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Дюраль</w:t>
            </w:r>
          </w:p>
        </w:tc>
        <w:tc>
          <w:tcPr>
            <w:tcW w:w="1207" w:type="dxa"/>
          </w:tcPr>
          <w:p w14:paraId="637584B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tc>
        <w:tc>
          <w:tcPr>
            <w:tcW w:w="1496" w:type="dxa"/>
          </w:tcPr>
          <w:p w14:paraId="2E70FBAE"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1934 года</w:t>
            </w:r>
          </w:p>
        </w:tc>
      </w:tr>
      <w:tr w:rsidR="00F26F01" w:rsidRPr="00C33834" w14:paraId="1E716356" w14:textId="77777777">
        <w:tc>
          <w:tcPr>
            <w:tcW w:w="1384" w:type="dxa"/>
          </w:tcPr>
          <w:p w14:paraId="640614A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Бристоль Меркур</w:t>
            </w:r>
          </w:p>
        </w:tc>
        <w:tc>
          <w:tcPr>
            <w:tcW w:w="2410" w:type="dxa"/>
          </w:tcPr>
          <w:p w14:paraId="585385B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Одноместный истребитель</w:t>
            </w:r>
          </w:p>
        </w:tc>
        <w:tc>
          <w:tcPr>
            <w:tcW w:w="1417" w:type="dxa"/>
          </w:tcPr>
          <w:p w14:paraId="173C992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Дублер строится под мотор РЦ</w:t>
            </w:r>
          </w:p>
        </w:tc>
        <w:tc>
          <w:tcPr>
            <w:tcW w:w="807" w:type="dxa"/>
          </w:tcPr>
          <w:p w14:paraId="0ACCAD2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375/5000</w:t>
            </w:r>
          </w:p>
        </w:tc>
        <w:tc>
          <w:tcPr>
            <w:tcW w:w="894" w:type="dxa"/>
          </w:tcPr>
          <w:p w14:paraId="691AD920"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2 пушки АПК</w:t>
            </w:r>
          </w:p>
        </w:tc>
        <w:tc>
          <w:tcPr>
            <w:tcW w:w="984" w:type="dxa"/>
          </w:tcPr>
          <w:p w14:paraId="4608906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Дюраль</w:t>
            </w:r>
          </w:p>
        </w:tc>
        <w:tc>
          <w:tcPr>
            <w:tcW w:w="1207" w:type="dxa"/>
          </w:tcPr>
          <w:p w14:paraId="5199330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tc>
        <w:tc>
          <w:tcPr>
            <w:tcW w:w="1496" w:type="dxa"/>
          </w:tcPr>
          <w:p w14:paraId="7D46C14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1933 года</w:t>
            </w:r>
          </w:p>
        </w:tc>
      </w:tr>
      <w:tr w:rsidR="00F26F01" w:rsidRPr="00C33834" w14:paraId="0436C29D" w14:textId="77777777">
        <w:tc>
          <w:tcPr>
            <w:tcW w:w="1384" w:type="dxa"/>
          </w:tcPr>
          <w:p w14:paraId="7EFCAA0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И15-РЦ</w:t>
            </w:r>
          </w:p>
        </w:tc>
        <w:tc>
          <w:tcPr>
            <w:tcW w:w="2410" w:type="dxa"/>
          </w:tcPr>
          <w:p w14:paraId="3E142CA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Одноместный истребитель</w:t>
            </w:r>
          </w:p>
        </w:tc>
        <w:tc>
          <w:tcPr>
            <w:tcW w:w="1417" w:type="dxa"/>
          </w:tcPr>
          <w:p w14:paraId="2701050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07" w:type="dxa"/>
          </w:tcPr>
          <w:p w14:paraId="6D2A2CD6"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340/5000</w:t>
            </w:r>
          </w:p>
        </w:tc>
        <w:tc>
          <w:tcPr>
            <w:tcW w:w="894" w:type="dxa"/>
          </w:tcPr>
          <w:p w14:paraId="06070B67"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4 лег. пул.</w:t>
            </w:r>
          </w:p>
        </w:tc>
        <w:tc>
          <w:tcPr>
            <w:tcW w:w="984" w:type="dxa"/>
          </w:tcPr>
          <w:p w14:paraId="574D130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Сталь</w:t>
            </w:r>
          </w:p>
          <w:p w14:paraId="42E0F97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Дерево</w:t>
            </w:r>
          </w:p>
        </w:tc>
        <w:tc>
          <w:tcPr>
            <w:tcW w:w="1207" w:type="dxa"/>
          </w:tcPr>
          <w:p w14:paraId="4BCF545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w:t>
            </w:r>
          </w:p>
          <w:p w14:paraId="6BE2C4E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39</w:t>
            </w:r>
          </w:p>
        </w:tc>
        <w:tc>
          <w:tcPr>
            <w:tcW w:w="1496" w:type="dxa"/>
          </w:tcPr>
          <w:p w14:paraId="75A98A9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1933 года</w:t>
            </w:r>
          </w:p>
        </w:tc>
      </w:tr>
      <w:tr w:rsidR="00F26F01" w:rsidRPr="00C33834" w14:paraId="541E229F" w14:textId="77777777">
        <w:tc>
          <w:tcPr>
            <w:tcW w:w="1384" w:type="dxa"/>
          </w:tcPr>
          <w:p w14:paraId="43D4A8F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ИП1-М22</w:t>
            </w:r>
          </w:p>
        </w:tc>
        <w:tc>
          <w:tcPr>
            <w:tcW w:w="2410" w:type="dxa"/>
          </w:tcPr>
          <w:p w14:paraId="50632B2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Одноместный пушечный истребитель</w:t>
            </w:r>
          </w:p>
        </w:tc>
        <w:tc>
          <w:tcPr>
            <w:tcW w:w="1417" w:type="dxa"/>
          </w:tcPr>
          <w:p w14:paraId="077C4B9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07" w:type="dxa"/>
          </w:tcPr>
          <w:p w14:paraId="466BDAE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894" w:type="dxa"/>
          </w:tcPr>
          <w:p w14:paraId="32BAD3D3"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2 пушки АПК</w:t>
            </w:r>
          </w:p>
        </w:tc>
        <w:tc>
          <w:tcPr>
            <w:tcW w:w="984" w:type="dxa"/>
          </w:tcPr>
          <w:p w14:paraId="445D06B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Дюраль</w:t>
            </w:r>
          </w:p>
          <w:p w14:paraId="3FD6814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Сталь</w:t>
            </w:r>
          </w:p>
        </w:tc>
        <w:tc>
          <w:tcPr>
            <w:tcW w:w="1207" w:type="dxa"/>
          </w:tcPr>
          <w:p w14:paraId="232962F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w:t>
            </w:r>
          </w:p>
          <w:p w14:paraId="05C795F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39</w:t>
            </w:r>
          </w:p>
        </w:tc>
        <w:tc>
          <w:tcPr>
            <w:tcW w:w="1496" w:type="dxa"/>
          </w:tcPr>
          <w:p w14:paraId="54D03F6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1934 года</w:t>
            </w:r>
          </w:p>
        </w:tc>
      </w:tr>
      <w:tr w:rsidR="00F26F01" w:rsidRPr="00C33834" w14:paraId="6C045C0D" w14:textId="77777777">
        <w:tc>
          <w:tcPr>
            <w:tcW w:w="1384" w:type="dxa"/>
          </w:tcPr>
          <w:p w14:paraId="2323086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МИ3-2М34Н</w:t>
            </w:r>
          </w:p>
        </w:tc>
        <w:tc>
          <w:tcPr>
            <w:tcW w:w="2410" w:type="dxa"/>
          </w:tcPr>
          <w:p w14:paraId="12070F3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Многоместный истребитель</w:t>
            </w:r>
          </w:p>
        </w:tc>
        <w:tc>
          <w:tcPr>
            <w:tcW w:w="1417" w:type="dxa"/>
          </w:tcPr>
          <w:p w14:paraId="33DEC396"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МИ3-2М34 представл. на гос. испытания к 1 января 1934 года</w:t>
            </w:r>
          </w:p>
        </w:tc>
        <w:tc>
          <w:tcPr>
            <w:tcW w:w="807" w:type="dxa"/>
          </w:tcPr>
          <w:p w14:paraId="040223D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300/5000</w:t>
            </w:r>
          </w:p>
        </w:tc>
        <w:tc>
          <w:tcPr>
            <w:tcW w:w="894" w:type="dxa"/>
          </w:tcPr>
          <w:p w14:paraId="6125BA7B"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Лег. и тяж. пул.</w:t>
            </w:r>
          </w:p>
        </w:tc>
        <w:tc>
          <w:tcPr>
            <w:tcW w:w="984" w:type="dxa"/>
          </w:tcPr>
          <w:p w14:paraId="7F6FF68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Дюраль</w:t>
            </w:r>
          </w:p>
        </w:tc>
        <w:tc>
          <w:tcPr>
            <w:tcW w:w="1207" w:type="dxa"/>
          </w:tcPr>
          <w:p w14:paraId="055227F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tc>
        <w:tc>
          <w:tcPr>
            <w:tcW w:w="1496" w:type="dxa"/>
          </w:tcPr>
          <w:p w14:paraId="3BD4C13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1934 года</w:t>
            </w:r>
          </w:p>
        </w:tc>
      </w:tr>
      <w:tr w:rsidR="00F26F01" w:rsidRPr="00C33834" w14:paraId="5A364AFD" w14:textId="77777777">
        <w:tc>
          <w:tcPr>
            <w:tcW w:w="1384" w:type="dxa"/>
          </w:tcPr>
          <w:p w14:paraId="7E4C441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ЛР-М34 Н</w:t>
            </w:r>
          </w:p>
        </w:tc>
        <w:tc>
          <w:tcPr>
            <w:tcW w:w="2410" w:type="dxa"/>
          </w:tcPr>
          <w:p w14:paraId="4EDD6A2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Легкий разведчик</w:t>
            </w:r>
          </w:p>
        </w:tc>
        <w:tc>
          <w:tcPr>
            <w:tcW w:w="1417" w:type="dxa"/>
          </w:tcPr>
          <w:p w14:paraId="1F3DD90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ЛР-М34 представляется на госисп. 15 декабря 1933 года.</w:t>
            </w:r>
          </w:p>
        </w:tc>
        <w:tc>
          <w:tcPr>
            <w:tcW w:w="807" w:type="dxa"/>
          </w:tcPr>
          <w:p w14:paraId="22BC5F6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300/4000</w:t>
            </w:r>
          </w:p>
        </w:tc>
        <w:tc>
          <w:tcPr>
            <w:tcW w:w="894" w:type="dxa"/>
          </w:tcPr>
          <w:p w14:paraId="2FA4B52E"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2 лег. пул.</w:t>
            </w:r>
          </w:p>
        </w:tc>
        <w:tc>
          <w:tcPr>
            <w:tcW w:w="984" w:type="dxa"/>
          </w:tcPr>
          <w:p w14:paraId="5CC7797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Сталь</w:t>
            </w:r>
          </w:p>
          <w:p w14:paraId="6B8C405E"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Дерево</w:t>
            </w:r>
          </w:p>
        </w:tc>
        <w:tc>
          <w:tcPr>
            <w:tcW w:w="1207" w:type="dxa"/>
          </w:tcPr>
          <w:p w14:paraId="7E8E4A6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w:t>
            </w:r>
          </w:p>
          <w:p w14:paraId="33CA80EE"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39</w:t>
            </w:r>
          </w:p>
        </w:tc>
        <w:tc>
          <w:tcPr>
            <w:tcW w:w="1496" w:type="dxa"/>
          </w:tcPr>
          <w:p w14:paraId="7AC106FE"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1934 года</w:t>
            </w:r>
          </w:p>
        </w:tc>
      </w:tr>
      <w:tr w:rsidR="00F26F01" w:rsidRPr="00C33834" w14:paraId="1F979312" w14:textId="77777777">
        <w:tc>
          <w:tcPr>
            <w:tcW w:w="1384" w:type="dxa"/>
          </w:tcPr>
          <w:p w14:paraId="6FE7AA8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ЛБ-М22</w:t>
            </w:r>
          </w:p>
        </w:tc>
        <w:tc>
          <w:tcPr>
            <w:tcW w:w="2410" w:type="dxa"/>
          </w:tcPr>
          <w:p w14:paraId="25868026"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Легкий бомбардировщик (военный вариант ХАИ)</w:t>
            </w:r>
          </w:p>
        </w:tc>
        <w:tc>
          <w:tcPr>
            <w:tcW w:w="1417" w:type="dxa"/>
          </w:tcPr>
          <w:p w14:paraId="33EEE9C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07" w:type="dxa"/>
          </w:tcPr>
          <w:p w14:paraId="6F8B451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280/0</w:t>
            </w:r>
          </w:p>
        </w:tc>
        <w:tc>
          <w:tcPr>
            <w:tcW w:w="894" w:type="dxa"/>
          </w:tcPr>
          <w:p w14:paraId="4CE58BD8"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400 кг</w:t>
            </w:r>
          </w:p>
          <w:p w14:paraId="1D32C240"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2 лег. пул.</w:t>
            </w:r>
          </w:p>
        </w:tc>
        <w:tc>
          <w:tcPr>
            <w:tcW w:w="984" w:type="dxa"/>
          </w:tcPr>
          <w:p w14:paraId="3F52D07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Дерево</w:t>
            </w:r>
          </w:p>
        </w:tc>
        <w:tc>
          <w:tcPr>
            <w:tcW w:w="1207" w:type="dxa"/>
          </w:tcPr>
          <w:p w14:paraId="671530F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ХАИ</w:t>
            </w:r>
          </w:p>
        </w:tc>
        <w:tc>
          <w:tcPr>
            <w:tcW w:w="1496" w:type="dxa"/>
          </w:tcPr>
          <w:p w14:paraId="330345C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марта 1934 года</w:t>
            </w:r>
          </w:p>
        </w:tc>
      </w:tr>
    </w:tbl>
    <w:p w14:paraId="14F1D57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Винтовые аппараты</w:t>
      </w:r>
    </w:p>
    <w:p w14:paraId="1C97B58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Особых форм</w:t>
      </w:r>
    </w:p>
    <w:p w14:paraId="031B36A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168"/>
        <w:gridCol w:w="798"/>
        <w:gridCol w:w="798"/>
        <w:gridCol w:w="798"/>
        <w:gridCol w:w="1541"/>
        <w:gridCol w:w="1701"/>
      </w:tblGrid>
      <w:tr w:rsidR="00F26F01" w:rsidRPr="00C33834" w14:paraId="29189B03" w14:textId="77777777">
        <w:tc>
          <w:tcPr>
            <w:tcW w:w="1384" w:type="dxa"/>
          </w:tcPr>
          <w:p w14:paraId="460CC39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 С1-М11</w:t>
            </w:r>
          </w:p>
        </w:tc>
        <w:tc>
          <w:tcPr>
            <w:tcW w:w="2410" w:type="dxa"/>
          </w:tcPr>
          <w:p w14:paraId="72B85BA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связи сопровождения</w:t>
            </w:r>
          </w:p>
        </w:tc>
        <w:tc>
          <w:tcPr>
            <w:tcW w:w="1168" w:type="dxa"/>
          </w:tcPr>
          <w:p w14:paraId="25A1512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туризма. Исполкомовский.</w:t>
            </w:r>
          </w:p>
        </w:tc>
        <w:tc>
          <w:tcPr>
            <w:tcW w:w="798" w:type="dxa"/>
          </w:tcPr>
          <w:p w14:paraId="38B2978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w:t>
            </w:r>
          </w:p>
        </w:tc>
        <w:tc>
          <w:tcPr>
            <w:tcW w:w="798" w:type="dxa"/>
          </w:tcPr>
          <w:p w14:paraId="366C4B38"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1 лег. пул.</w:t>
            </w:r>
          </w:p>
        </w:tc>
        <w:tc>
          <w:tcPr>
            <w:tcW w:w="798" w:type="dxa"/>
          </w:tcPr>
          <w:p w14:paraId="738E851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Смешан.</w:t>
            </w:r>
          </w:p>
        </w:tc>
        <w:tc>
          <w:tcPr>
            <w:tcW w:w="1541" w:type="dxa"/>
          </w:tcPr>
          <w:p w14:paraId="3D95F80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ООК ЦАГИ</w:t>
            </w:r>
          </w:p>
        </w:tc>
        <w:tc>
          <w:tcPr>
            <w:tcW w:w="1701" w:type="dxa"/>
          </w:tcPr>
          <w:p w14:paraId="3D59623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января 1934 года</w:t>
            </w:r>
          </w:p>
        </w:tc>
      </w:tr>
      <w:tr w:rsidR="00F26F01" w:rsidRPr="00C33834" w14:paraId="0C2B7121" w14:textId="77777777">
        <w:tc>
          <w:tcPr>
            <w:tcW w:w="1384" w:type="dxa"/>
          </w:tcPr>
          <w:p w14:paraId="2FFF982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 Р1-М22</w:t>
            </w:r>
          </w:p>
        </w:tc>
        <w:tc>
          <w:tcPr>
            <w:tcW w:w="2410" w:type="dxa"/>
          </w:tcPr>
          <w:p w14:paraId="7B7E119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Разведчик</w:t>
            </w:r>
          </w:p>
        </w:tc>
        <w:tc>
          <w:tcPr>
            <w:tcW w:w="1168" w:type="dxa"/>
          </w:tcPr>
          <w:p w14:paraId="2E760236"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798" w:type="dxa"/>
          </w:tcPr>
          <w:p w14:paraId="003F8D3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215/0</w:t>
            </w:r>
          </w:p>
        </w:tc>
        <w:tc>
          <w:tcPr>
            <w:tcW w:w="798" w:type="dxa"/>
          </w:tcPr>
          <w:p w14:paraId="21182D6D"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2 лег. пул.</w:t>
            </w:r>
          </w:p>
        </w:tc>
        <w:tc>
          <w:tcPr>
            <w:tcW w:w="798" w:type="dxa"/>
          </w:tcPr>
          <w:p w14:paraId="379370E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Смешан.</w:t>
            </w:r>
          </w:p>
        </w:tc>
        <w:tc>
          <w:tcPr>
            <w:tcW w:w="1541" w:type="dxa"/>
          </w:tcPr>
          <w:p w14:paraId="2E5F795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ООК ЦАГИ</w:t>
            </w:r>
          </w:p>
        </w:tc>
        <w:tc>
          <w:tcPr>
            <w:tcW w:w="1701" w:type="dxa"/>
          </w:tcPr>
          <w:p w14:paraId="1FBF625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февраля 1934 года</w:t>
            </w:r>
          </w:p>
        </w:tc>
      </w:tr>
    </w:tbl>
    <w:p w14:paraId="799FBF3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Экспериментальные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224"/>
        <w:gridCol w:w="836"/>
        <w:gridCol w:w="836"/>
        <w:gridCol w:w="836"/>
        <w:gridCol w:w="1513"/>
        <w:gridCol w:w="1558"/>
      </w:tblGrid>
      <w:tr w:rsidR="00F26F01" w:rsidRPr="00C33834" w14:paraId="43E62931" w14:textId="77777777">
        <w:tc>
          <w:tcPr>
            <w:tcW w:w="1384" w:type="dxa"/>
          </w:tcPr>
          <w:p w14:paraId="0076FAE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 с управляемой головкой ротора</w:t>
            </w:r>
          </w:p>
        </w:tc>
        <w:tc>
          <w:tcPr>
            <w:tcW w:w="2410" w:type="dxa"/>
          </w:tcPr>
          <w:p w14:paraId="6F84D8B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эксперимента – для выяснения возможности отказа от крыльев и оперения</w:t>
            </w:r>
          </w:p>
        </w:tc>
        <w:tc>
          <w:tcPr>
            <w:tcW w:w="1224" w:type="dxa"/>
          </w:tcPr>
          <w:p w14:paraId="567AF26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36" w:type="dxa"/>
          </w:tcPr>
          <w:p w14:paraId="45B1F31E"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36" w:type="dxa"/>
          </w:tcPr>
          <w:p w14:paraId="56C8AB5A" w14:textId="77777777" w:rsidR="00570C39" w:rsidRPr="00C33834" w:rsidRDefault="00570C39" w:rsidP="00C33834">
            <w:pPr>
              <w:pStyle w:val="31"/>
              <w:widowControl/>
              <w:tabs>
                <w:tab w:val="left" w:pos="11199"/>
              </w:tabs>
              <w:jc w:val="both"/>
              <w:rPr>
                <w:color w:val="000000" w:themeColor="text1"/>
              </w:rPr>
            </w:pPr>
          </w:p>
        </w:tc>
        <w:tc>
          <w:tcPr>
            <w:tcW w:w="836" w:type="dxa"/>
          </w:tcPr>
          <w:p w14:paraId="6B62734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1513" w:type="dxa"/>
          </w:tcPr>
          <w:p w14:paraId="3AED9E5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ООК ЦАГИ</w:t>
            </w:r>
          </w:p>
        </w:tc>
        <w:tc>
          <w:tcPr>
            <w:tcW w:w="1558" w:type="dxa"/>
          </w:tcPr>
          <w:p w14:paraId="48DF91B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июня 1934 года</w:t>
            </w:r>
          </w:p>
        </w:tc>
      </w:tr>
      <w:tr w:rsidR="00F26F01" w:rsidRPr="00C33834" w14:paraId="58C61C79" w14:textId="77777777">
        <w:tc>
          <w:tcPr>
            <w:tcW w:w="1384" w:type="dxa"/>
          </w:tcPr>
          <w:p w14:paraId="6FC7257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 И1-РЦ</w:t>
            </w:r>
          </w:p>
        </w:tc>
        <w:tc>
          <w:tcPr>
            <w:tcW w:w="2410" w:type="dxa"/>
          </w:tcPr>
          <w:p w14:paraId="45F589A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Экспериментал. Одноместный истребитель с 2-х лопастным ротором и управляемой головкой ротора</w:t>
            </w:r>
          </w:p>
        </w:tc>
        <w:tc>
          <w:tcPr>
            <w:tcW w:w="1224" w:type="dxa"/>
          </w:tcPr>
          <w:p w14:paraId="77AE4DF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36" w:type="dxa"/>
          </w:tcPr>
          <w:p w14:paraId="74F2D4F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350/3000</w:t>
            </w:r>
          </w:p>
        </w:tc>
        <w:tc>
          <w:tcPr>
            <w:tcW w:w="836" w:type="dxa"/>
          </w:tcPr>
          <w:p w14:paraId="22E059CD" w14:textId="77777777" w:rsidR="00570C39" w:rsidRPr="00C33834" w:rsidRDefault="00570C39" w:rsidP="00C33834">
            <w:pPr>
              <w:pStyle w:val="31"/>
              <w:widowControl/>
              <w:tabs>
                <w:tab w:val="left" w:pos="11199"/>
              </w:tabs>
              <w:jc w:val="both"/>
              <w:rPr>
                <w:color w:val="000000" w:themeColor="text1"/>
              </w:rPr>
            </w:pPr>
            <w:r w:rsidRPr="00C33834">
              <w:rPr>
                <w:color w:val="000000" w:themeColor="text1"/>
              </w:rPr>
              <w:t>2 пул.</w:t>
            </w:r>
          </w:p>
        </w:tc>
        <w:tc>
          <w:tcPr>
            <w:tcW w:w="836" w:type="dxa"/>
          </w:tcPr>
          <w:p w14:paraId="13E1DA2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1513" w:type="dxa"/>
          </w:tcPr>
          <w:p w14:paraId="5A79D07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ООК ЦАГИ</w:t>
            </w:r>
          </w:p>
        </w:tc>
        <w:tc>
          <w:tcPr>
            <w:tcW w:w="1558" w:type="dxa"/>
          </w:tcPr>
          <w:p w14:paraId="0E406DE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мая 1935 года</w:t>
            </w:r>
          </w:p>
        </w:tc>
      </w:tr>
      <w:tr w:rsidR="00F26F01" w:rsidRPr="00C33834" w14:paraId="4DE4AC78" w14:textId="77777777">
        <w:tc>
          <w:tcPr>
            <w:tcW w:w="1384" w:type="dxa"/>
          </w:tcPr>
          <w:p w14:paraId="433F461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Геликоптер с Кертис Конкверор.</w:t>
            </w:r>
          </w:p>
        </w:tc>
        <w:tc>
          <w:tcPr>
            <w:tcW w:w="2410" w:type="dxa"/>
          </w:tcPr>
          <w:p w14:paraId="6D6FDA8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Переход к более мощному и совершенному геликоптеру</w:t>
            </w:r>
          </w:p>
        </w:tc>
        <w:tc>
          <w:tcPr>
            <w:tcW w:w="1224" w:type="dxa"/>
          </w:tcPr>
          <w:p w14:paraId="771F83D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36" w:type="dxa"/>
          </w:tcPr>
          <w:p w14:paraId="0F12F49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36" w:type="dxa"/>
          </w:tcPr>
          <w:p w14:paraId="653DA143" w14:textId="77777777" w:rsidR="00570C39" w:rsidRPr="00C33834" w:rsidRDefault="00570C39" w:rsidP="00C33834">
            <w:pPr>
              <w:pStyle w:val="31"/>
              <w:widowControl/>
              <w:tabs>
                <w:tab w:val="left" w:pos="11199"/>
              </w:tabs>
              <w:jc w:val="both"/>
              <w:rPr>
                <w:color w:val="000000" w:themeColor="text1"/>
              </w:rPr>
            </w:pPr>
          </w:p>
        </w:tc>
        <w:tc>
          <w:tcPr>
            <w:tcW w:w="836" w:type="dxa"/>
          </w:tcPr>
          <w:p w14:paraId="08607CD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1513" w:type="dxa"/>
          </w:tcPr>
          <w:p w14:paraId="78A1A3A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ООК ЦАГИ</w:t>
            </w:r>
          </w:p>
        </w:tc>
        <w:tc>
          <w:tcPr>
            <w:tcW w:w="1558" w:type="dxa"/>
          </w:tcPr>
          <w:p w14:paraId="6C1071A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апреля 1935 года</w:t>
            </w:r>
          </w:p>
        </w:tc>
      </w:tr>
      <w:tr w:rsidR="00F26F01" w:rsidRPr="00C33834" w14:paraId="5090D58B" w14:textId="77777777">
        <w:tc>
          <w:tcPr>
            <w:tcW w:w="1384" w:type="dxa"/>
          </w:tcPr>
          <w:p w14:paraId="58B9563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Летательный аппарат Х</w:t>
            </w:r>
          </w:p>
        </w:tc>
        <w:tc>
          <w:tcPr>
            <w:tcW w:w="2410" w:type="dxa"/>
          </w:tcPr>
          <w:p w14:paraId="592DD8B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Создание летательного аппарата с вращающимися крыльями</w:t>
            </w:r>
          </w:p>
        </w:tc>
        <w:tc>
          <w:tcPr>
            <w:tcW w:w="1224" w:type="dxa"/>
          </w:tcPr>
          <w:p w14:paraId="4EDFE90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36" w:type="dxa"/>
          </w:tcPr>
          <w:p w14:paraId="7EFB97BE"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36" w:type="dxa"/>
          </w:tcPr>
          <w:p w14:paraId="14F94AF0" w14:textId="77777777" w:rsidR="00570C39" w:rsidRPr="00C33834" w:rsidRDefault="00570C39" w:rsidP="00C33834">
            <w:pPr>
              <w:pStyle w:val="31"/>
              <w:widowControl/>
              <w:tabs>
                <w:tab w:val="left" w:pos="11199"/>
              </w:tabs>
              <w:jc w:val="both"/>
              <w:rPr>
                <w:color w:val="000000" w:themeColor="text1"/>
              </w:rPr>
            </w:pPr>
          </w:p>
        </w:tc>
        <w:tc>
          <w:tcPr>
            <w:tcW w:w="836" w:type="dxa"/>
          </w:tcPr>
          <w:p w14:paraId="3ABC96D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1513" w:type="dxa"/>
          </w:tcPr>
          <w:p w14:paraId="6FF415D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w:t>
            </w:r>
          </w:p>
          <w:p w14:paraId="01F6C17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39</w:t>
            </w:r>
          </w:p>
        </w:tc>
        <w:tc>
          <w:tcPr>
            <w:tcW w:w="1558" w:type="dxa"/>
          </w:tcPr>
          <w:p w14:paraId="7269669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сентября 1934 года</w:t>
            </w:r>
          </w:p>
        </w:tc>
      </w:tr>
    </w:tbl>
    <w:p w14:paraId="5F5D12A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Экспериментальные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2439"/>
        <w:gridCol w:w="1218"/>
        <w:gridCol w:w="833"/>
        <w:gridCol w:w="833"/>
        <w:gridCol w:w="833"/>
        <w:gridCol w:w="1499"/>
        <w:gridCol w:w="1560"/>
      </w:tblGrid>
      <w:tr w:rsidR="00F26F01" w:rsidRPr="00C33834" w14:paraId="21408362" w14:textId="77777777">
        <w:tc>
          <w:tcPr>
            <w:tcW w:w="1384" w:type="dxa"/>
          </w:tcPr>
          <w:p w14:paraId="10A0A23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Стратосферн.</w:t>
            </w:r>
          </w:p>
        </w:tc>
        <w:tc>
          <w:tcPr>
            <w:tcW w:w="2439" w:type="dxa"/>
          </w:tcPr>
          <w:p w14:paraId="7D7C489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Установление мирового рекорда высоты. Изучение стратосферы.</w:t>
            </w:r>
          </w:p>
        </w:tc>
        <w:tc>
          <w:tcPr>
            <w:tcW w:w="1218" w:type="dxa"/>
          </w:tcPr>
          <w:p w14:paraId="23F9813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33" w:type="dxa"/>
          </w:tcPr>
          <w:p w14:paraId="35DE722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33" w:type="dxa"/>
          </w:tcPr>
          <w:p w14:paraId="31CDCF82" w14:textId="77777777" w:rsidR="00570C39" w:rsidRPr="00C33834" w:rsidRDefault="00570C39" w:rsidP="00C33834">
            <w:pPr>
              <w:pStyle w:val="31"/>
              <w:widowControl/>
              <w:tabs>
                <w:tab w:val="left" w:pos="11199"/>
              </w:tabs>
              <w:jc w:val="both"/>
              <w:rPr>
                <w:color w:val="000000" w:themeColor="text1"/>
              </w:rPr>
            </w:pPr>
          </w:p>
        </w:tc>
        <w:tc>
          <w:tcPr>
            <w:tcW w:w="833" w:type="dxa"/>
          </w:tcPr>
          <w:p w14:paraId="3F9E6E7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1499" w:type="dxa"/>
          </w:tcPr>
          <w:p w14:paraId="3BFFB214"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w:t>
            </w:r>
          </w:p>
          <w:p w14:paraId="5B5F789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39</w:t>
            </w:r>
          </w:p>
        </w:tc>
        <w:tc>
          <w:tcPr>
            <w:tcW w:w="1560" w:type="dxa"/>
          </w:tcPr>
          <w:p w14:paraId="78A3069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r>
      <w:tr w:rsidR="00F26F01" w:rsidRPr="00C33834" w14:paraId="2506D96B" w14:textId="77777777">
        <w:tc>
          <w:tcPr>
            <w:tcW w:w="1384" w:type="dxa"/>
          </w:tcPr>
          <w:p w14:paraId="42FD06D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 разрезными крыльями</w:t>
            </w:r>
          </w:p>
        </w:tc>
        <w:tc>
          <w:tcPr>
            <w:tcW w:w="2439" w:type="dxa"/>
          </w:tcPr>
          <w:p w14:paraId="7FFB4CF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Методическое изучение разрезных крыльев и различных типов управления самолетом на 2-х самолетах с мотором М11, снабженных несколькими вариантами крыльев</w:t>
            </w:r>
          </w:p>
        </w:tc>
        <w:tc>
          <w:tcPr>
            <w:tcW w:w="1218" w:type="dxa"/>
          </w:tcPr>
          <w:p w14:paraId="66C3FBF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33" w:type="dxa"/>
          </w:tcPr>
          <w:p w14:paraId="07A7008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33" w:type="dxa"/>
          </w:tcPr>
          <w:p w14:paraId="2CCC69A1" w14:textId="77777777" w:rsidR="00570C39" w:rsidRPr="00C33834" w:rsidRDefault="00570C39" w:rsidP="00C33834">
            <w:pPr>
              <w:pStyle w:val="31"/>
              <w:widowControl/>
              <w:tabs>
                <w:tab w:val="left" w:pos="11199"/>
              </w:tabs>
              <w:jc w:val="both"/>
              <w:rPr>
                <w:color w:val="000000" w:themeColor="text1"/>
              </w:rPr>
            </w:pPr>
          </w:p>
        </w:tc>
        <w:tc>
          <w:tcPr>
            <w:tcW w:w="833" w:type="dxa"/>
          </w:tcPr>
          <w:p w14:paraId="38FD018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1499" w:type="dxa"/>
          </w:tcPr>
          <w:p w14:paraId="5D2F9EA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w:t>
            </w:r>
          </w:p>
          <w:p w14:paraId="06E6895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39</w:t>
            </w:r>
          </w:p>
        </w:tc>
        <w:tc>
          <w:tcPr>
            <w:tcW w:w="1560" w:type="dxa"/>
          </w:tcPr>
          <w:p w14:paraId="552FC78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r>
      <w:tr w:rsidR="00F26F01" w:rsidRPr="00C33834" w14:paraId="1800E125" w14:textId="77777777">
        <w:tc>
          <w:tcPr>
            <w:tcW w:w="1384" w:type="dxa"/>
          </w:tcPr>
          <w:p w14:paraId="12CFA10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 раздвижными крыльями</w:t>
            </w:r>
          </w:p>
        </w:tc>
        <w:tc>
          <w:tcPr>
            <w:tcW w:w="2439" w:type="dxa"/>
          </w:tcPr>
          <w:p w14:paraId="426099F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Изучение уменьшения посадочной скорости путем увеличения площади крыла</w:t>
            </w:r>
          </w:p>
        </w:tc>
        <w:tc>
          <w:tcPr>
            <w:tcW w:w="1218" w:type="dxa"/>
          </w:tcPr>
          <w:p w14:paraId="0EFFD3E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33" w:type="dxa"/>
          </w:tcPr>
          <w:p w14:paraId="077114B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33" w:type="dxa"/>
          </w:tcPr>
          <w:p w14:paraId="18349B7B" w14:textId="77777777" w:rsidR="00570C39" w:rsidRPr="00C33834" w:rsidRDefault="00570C39" w:rsidP="00C33834">
            <w:pPr>
              <w:pStyle w:val="31"/>
              <w:widowControl/>
              <w:tabs>
                <w:tab w:val="left" w:pos="11199"/>
              </w:tabs>
              <w:jc w:val="both"/>
              <w:rPr>
                <w:color w:val="000000" w:themeColor="text1"/>
              </w:rPr>
            </w:pPr>
          </w:p>
        </w:tc>
        <w:tc>
          <w:tcPr>
            <w:tcW w:w="833" w:type="dxa"/>
          </w:tcPr>
          <w:p w14:paraId="353D7FD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1499" w:type="dxa"/>
          </w:tcPr>
          <w:p w14:paraId="135E6A3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НИАИ ГУГВФ</w:t>
            </w:r>
          </w:p>
        </w:tc>
        <w:tc>
          <w:tcPr>
            <w:tcW w:w="1560" w:type="dxa"/>
          </w:tcPr>
          <w:p w14:paraId="281DBDA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r>
      <w:tr w:rsidR="00F26F01" w:rsidRPr="00C33834" w14:paraId="3F7E03C7" w14:textId="77777777">
        <w:tc>
          <w:tcPr>
            <w:tcW w:w="1384" w:type="dxa"/>
          </w:tcPr>
          <w:p w14:paraId="74CA147E"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Летающее крыло – 2М11</w:t>
            </w:r>
          </w:p>
        </w:tc>
        <w:tc>
          <w:tcPr>
            <w:tcW w:w="2439" w:type="dxa"/>
          </w:tcPr>
          <w:p w14:paraId="07810DA1"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Переход к многоместным летающим крыльям</w:t>
            </w:r>
          </w:p>
        </w:tc>
        <w:tc>
          <w:tcPr>
            <w:tcW w:w="1218" w:type="dxa"/>
          </w:tcPr>
          <w:p w14:paraId="7CF483A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33" w:type="dxa"/>
          </w:tcPr>
          <w:p w14:paraId="4B6C417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33" w:type="dxa"/>
          </w:tcPr>
          <w:p w14:paraId="13174B85" w14:textId="77777777" w:rsidR="00570C39" w:rsidRPr="00C33834" w:rsidRDefault="00570C39" w:rsidP="00C33834">
            <w:pPr>
              <w:pStyle w:val="31"/>
              <w:widowControl/>
              <w:tabs>
                <w:tab w:val="left" w:pos="11199"/>
              </w:tabs>
              <w:jc w:val="both"/>
              <w:rPr>
                <w:color w:val="000000" w:themeColor="text1"/>
              </w:rPr>
            </w:pPr>
          </w:p>
        </w:tc>
        <w:tc>
          <w:tcPr>
            <w:tcW w:w="833" w:type="dxa"/>
          </w:tcPr>
          <w:p w14:paraId="7FB8DB0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1499" w:type="dxa"/>
          </w:tcPr>
          <w:p w14:paraId="71B7476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w:t>
            </w:r>
          </w:p>
          <w:p w14:paraId="1F3A11C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39</w:t>
            </w:r>
          </w:p>
        </w:tc>
        <w:tc>
          <w:tcPr>
            <w:tcW w:w="1560" w:type="dxa"/>
          </w:tcPr>
          <w:p w14:paraId="11C7F7E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r>
      <w:tr w:rsidR="00F26F01" w:rsidRPr="00C33834" w14:paraId="03C6C23B" w14:textId="77777777">
        <w:tc>
          <w:tcPr>
            <w:tcW w:w="1384" w:type="dxa"/>
          </w:tcPr>
          <w:p w14:paraId="6063BF3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Летающее крыло</w:t>
            </w:r>
          </w:p>
        </w:tc>
        <w:tc>
          <w:tcPr>
            <w:tcW w:w="2439" w:type="dxa"/>
          </w:tcPr>
          <w:p w14:paraId="6DAC47B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Освоение ЦАГИ схемы летающего крыла</w:t>
            </w:r>
          </w:p>
        </w:tc>
        <w:tc>
          <w:tcPr>
            <w:tcW w:w="1218" w:type="dxa"/>
          </w:tcPr>
          <w:p w14:paraId="05495A42"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33" w:type="dxa"/>
          </w:tcPr>
          <w:p w14:paraId="6A1850C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33" w:type="dxa"/>
          </w:tcPr>
          <w:p w14:paraId="41E06C24" w14:textId="77777777" w:rsidR="00570C39" w:rsidRPr="00C33834" w:rsidRDefault="00570C39" w:rsidP="00C33834">
            <w:pPr>
              <w:pStyle w:val="31"/>
              <w:widowControl/>
              <w:tabs>
                <w:tab w:val="left" w:pos="11199"/>
              </w:tabs>
              <w:jc w:val="both"/>
              <w:rPr>
                <w:color w:val="000000" w:themeColor="text1"/>
              </w:rPr>
            </w:pPr>
          </w:p>
        </w:tc>
        <w:tc>
          <w:tcPr>
            <w:tcW w:w="833" w:type="dxa"/>
          </w:tcPr>
          <w:p w14:paraId="59A1663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1499" w:type="dxa"/>
          </w:tcPr>
          <w:p w14:paraId="1FDBFEBD"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tc>
        <w:tc>
          <w:tcPr>
            <w:tcW w:w="1560" w:type="dxa"/>
          </w:tcPr>
          <w:p w14:paraId="55C86490"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r>
      <w:tr w:rsidR="00F26F01" w:rsidRPr="00C33834" w14:paraId="47677660" w14:textId="77777777">
        <w:tc>
          <w:tcPr>
            <w:tcW w:w="1384" w:type="dxa"/>
          </w:tcPr>
          <w:p w14:paraId="7B1603B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Пикирующ. самолет</w:t>
            </w:r>
          </w:p>
        </w:tc>
        <w:tc>
          <w:tcPr>
            <w:tcW w:w="2439" w:type="dxa"/>
          </w:tcPr>
          <w:p w14:paraId="1699326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 мотором М11. Изучение торможения самолета при отвесном пикировании</w:t>
            </w:r>
          </w:p>
        </w:tc>
        <w:tc>
          <w:tcPr>
            <w:tcW w:w="1218" w:type="dxa"/>
          </w:tcPr>
          <w:p w14:paraId="0E2ECEB8"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33" w:type="dxa"/>
          </w:tcPr>
          <w:p w14:paraId="34BD18A6"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33" w:type="dxa"/>
          </w:tcPr>
          <w:p w14:paraId="55676DCC" w14:textId="77777777" w:rsidR="00570C39" w:rsidRPr="00C33834" w:rsidRDefault="00570C39" w:rsidP="00C33834">
            <w:pPr>
              <w:pStyle w:val="31"/>
              <w:widowControl/>
              <w:tabs>
                <w:tab w:val="left" w:pos="11199"/>
              </w:tabs>
              <w:jc w:val="both"/>
              <w:rPr>
                <w:color w:val="000000" w:themeColor="text1"/>
              </w:rPr>
            </w:pPr>
          </w:p>
        </w:tc>
        <w:tc>
          <w:tcPr>
            <w:tcW w:w="833" w:type="dxa"/>
          </w:tcPr>
          <w:p w14:paraId="7BEC0E9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1499" w:type="dxa"/>
          </w:tcPr>
          <w:p w14:paraId="29F97F4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ВВА</w:t>
            </w:r>
          </w:p>
        </w:tc>
        <w:tc>
          <w:tcPr>
            <w:tcW w:w="1560" w:type="dxa"/>
          </w:tcPr>
          <w:p w14:paraId="639432A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r>
      <w:tr w:rsidR="00F26F01" w:rsidRPr="00C33834" w14:paraId="7536D12B" w14:textId="77777777">
        <w:tc>
          <w:tcPr>
            <w:tcW w:w="1384" w:type="dxa"/>
          </w:tcPr>
          <w:p w14:paraId="67350E9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Электронный самолет</w:t>
            </w:r>
          </w:p>
        </w:tc>
        <w:tc>
          <w:tcPr>
            <w:tcW w:w="2439" w:type="dxa"/>
          </w:tcPr>
          <w:p w14:paraId="797D051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Освоение электрона как материала в самолетостроен.</w:t>
            </w:r>
          </w:p>
        </w:tc>
        <w:tc>
          <w:tcPr>
            <w:tcW w:w="1218" w:type="dxa"/>
          </w:tcPr>
          <w:p w14:paraId="4C399F45"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33" w:type="dxa"/>
          </w:tcPr>
          <w:p w14:paraId="599FF866"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833" w:type="dxa"/>
          </w:tcPr>
          <w:p w14:paraId="69095531" w14:textId="77777777" w:rsidR="00570C39" w:rsidRPr="00C33834" w:rsidRDefault="00570C39" w:rsidP="00C33834">
            <w:pPr>
              <w:pStyle w:val="31"/>
              <w:widowControl/>
              <w:tabs>
                <w:tab w:val="left" w:pos="11199"/>
              </w:tabs>
              <w:jc w:val="both"/>
              <w:rPr>
                <w:color w:val="000000" w:themeColor="text1"/>
              </w:rPr>
            </w:pPr>
          </w:p>
        </w:tc>
        <w:tc>
          <w:tcPr>
            <w:tcW w:w="833" w:type="dxa"/>
          </w:tcPr>
          <w:p w14:paraId="26162779"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c>
          <w:tcPr>
            <w:tcW w:w="1499" w:type="dxa"/>
          </w:tcPr>
          <w:p w14:paraId="3AF50B4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МАИ</w:t>
            </w:r>
          </w:p>
        </w:tc>
        <w:tc>
          <w:tcPr>
            <w:tcW w:w="1560" w:type="dxa"/>
          </w:tcPr>
          <w:p w14:paraId="65BF413E"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tc>
      </w:tr>
    </w:tbl>
    <w:p w14:paraId="5303632B"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(6791).</w:t>
      </w:r>
    </w:p>
    <w:p w14:paraId="44004EE6"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p w14:paraId="5ADFA51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ноября 1933 т. Федосеенко, который проявил особую заботу о сохранении оболочки стратостата Осоавиахим-1, донес т. Эйдеману, в каком виде и где хранится оболочка, и еще раз подчеркивал, что газонепроницаемость ее может быть нарушена. Приводя данные о погоде в декабре, он просил назначить полет на потолок 20.000 м, просил также собрать совещание специалистов для установления наиболее благоприятного времени и мест полета (11611).</w:t>
      </w:r>
    </w:p>
    <w:p w14:paraId="50CC835F"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p>
    <w:p w14:paraId="50D8B990" w14:textId="77777777" w:rsidR="002C03D8" w:rsidRPr="00C33834" w:rsidRDefault="002C03D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ноября 1933 после первого полета дирижабля В-6 КБ в декабре внесло изменения в чертежи, были составлены фактические весовые данные корабля, оформлен материал для Госкомиссии, и готовность работ на 1 января 1935 г. определена в 100%. Выяснилась необходимость внесения изменений в бензо-магистрали и постановка винтов непосредственно на вал мотора без дополнительного вала. По дирижаблю В-10 в конце 3-го квартала на совещании у заместителя начальника Дирижаблестроя Флаксермана было вынесено решение - работы приостановить. Если до 1934 г. в течение 3-х лет проблеме жесткого дирижаблестроения почти не уделялось внимания, то за 1934 г. силами молодых советских специалистов - инженерами выпуска 19321933 гг. проделана глубокая серьезная работа по жесткому дирижаблю ДЖ-1 объемом 100 000 м 3. Группа в составе 20 человек изучила весь имеющийся материал, разработала техническое задание и технические условия, сделала около 40 основных расчетов и выполнила 4 комплекта рабочих чертежей по опытным конструкциям (около 108 чертежей) [14, л. 41]. С 1 сентября началось внесение изменений в проект дирижабля В-7 для подготовки рабочих чертежей – к форсированию работ по постройке дирижабля В-7 бис. К концу года задание было в целом выполнено бригадой инженера Храбковского − по модернизации В-7 было спущено около 2000 чертежей [14, л. 40-42 об] (15797).</w:t>
      </w:r>
    </w:p>
    <w:p w14:paraId="2553B24A" w14:textId="77777777" w:rsidR="002C03D8" w:rsidRPr="00C33834" w:rsidRDefault="002C03D8" w:rsidP="00C33834">
      <w:pPr>
        <w:spacing w:after="0" w:line="240" w:lineRule="auto"/>
        <w:jc w:val="both"/>
        <w:rPr>
          <w:rFonts w:ascii="Times New Roman" w:hAnsi="Times New Roman"/>
          <w:color w:val="000000" w:themeColor="text1"/>
          <w:sz w:val="16"/>
          <w:szCs w:val="16"/>
        </w:rPr>
      </w:pPr>
    </w:p>
    <w:p w14:paraId="16EB86B8" w14:textId="77777777" w:rsidR="00896E83" w:rsidRPr="00C33834" w:rsidRDefault="00896E8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ноября 1933 г. испытание мины «Вомиза-250» при сбрасывании с высоты 10-20 метров (18667).</w:t>
      </w:r>
    </w:p>
    <w:p w14:paraId="649BFF68" w14:textId="77777777" w:rsidR="00896E83" w:rsidRPr="00C33834" w:rsidRDefault="00896E83" w:rsidP="00C33834">
      <w:pPr>
        <w:spacing w:after="0" w:line="240" w:lineRule="auto"/>
        <w:jc w:val="both"/>
        <w:rPr>
          <w:rFonts w:ascii="Times New Roman" w:hAnsi="Times New Roman"/>
          <w:color w:val="000000" w:themeColor="text1"/>
          <w:sz w:val="16"/>
          <w:szCs w:val="16"/>
        </w:rPr>
      </w:pPr>
    </w:p>
    <w:p w14:paraId="4FA22C52"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ноября 1933 г. состоялась стрельбами на НИАП АНИИ с позиции 5600 м сна</w:t>
      </w:r>
      <w:r w:rsidRPr="00C33834">
        <w:rPr>
          <w:rFonts w:ascii="Times New Roman" w:hAnsi="Times New Roman"/>
          <w:color w:val="000000" w:themeColor="text1"/>
          <w:sz w:val="16"/>
          <w:szCs w:val="16"/>
        </w:rPr>
        <w:softHyphen/>
        <w:t>рядами РС-132 модели 1401 с оперением из четырех стальных крыльев размахом 400 мм при углах возвышения 15° руководил начальник 1 отде</w:t>
      </w:r>
      <w:r w:rsidRPr="00C33834">
        <w:rPr>
          <w:rFonts w:ascii="Times New Roman" w:hAnsi="Times New Roman"/>
          <w:color w:val="000000" w:themeColor="text1"/>
          <w:sz w:val="16"/>
          <w:szCs w:val="16"/>
        </w:rPr>
        <w:softHyphen/>
        <w:t>ла ЛО РНИИ Л.Э.Шварц. К этим опытам в мастерских ЛО РНИИ изго</w:t>
      </w:r>
      <w:r w:rsidRPr="00C33834">
        <w:rPr>
          <w:rFonts w:ascii="Times New Roman" w:hAnsi="Times New Roman"/>
          <w:color w:val="000000" w:themeColor="text1"/>
          <w:sz w:val="16"/>
          <w:szCs w:val="16"/>
        </w:rPr>
        <w:softHyphen/>
        <w:t>товили 15 снарядов. От РС-132 моделей 1273 и 1374 они отличались уве</w:t>
      </w:r>
      <w:r w:rsidRPr="00C33834">
        <w:rPr>
          <w:rFonts w:ascii="Times New Roman" w:hAnsi="Times New Roman"/>
          <w:color w:val="000000" w:themeColor="text1"/>
          <w:sz w:val="16"/>
          <w:szCs w:val="16"/>
        </w:rPr>
        <w:softHyphen/>
        <w:t>личенной на 60 мм длиной ракетного двигателя. Цель стрельбы - опреде</w:t>
      </w:r>
      <w:r w:rsidRPr="00C33834">
        <w:rPr>
          <w:rFonts w:ascii="Times New Roman" w:hAnsi="Times New Roman"/>
          <w:color w:val="000000" w:themeColor="text1"/>
          <w:sz w:val="16"/>
          <w:szCs w:val="16"/>
        </w:rPr>
        <w:softHyphen/>
        <w:t>лить степень возрастания скорости и влияние длины боеприпаса на его устойчивость на траектории и точность стрельбы. Оперение — идентич</w:t>
      </w:r>
      <w:r w:rsidRPr="00C33834">
        <w:rPr>
          <w:rFonts w:ascii="Times New Roman" w:hAnsi="Times New Roman"/>
          <w:color w:val="000000" w:themeColor="text1"/>
          <w:sz w:val="16"/>
          <w:szCs w:val="16"/>
        </w:rPr>
        <w:softHyphen/>
        <w:t>но снарядам модели 1273, однако качество изготовления РС-132 модели 1401 было выше, чем у прототипов. РЗ состоял из 35 шашек габаритами 40/8-57,5 мм. По торцам его были расположены воспламенители из 12 г ДРП каждый. Диаметр критического сечения сопла - 29,3 мм, диаметр выходного сечения - 75,0 мм. Величины рассеивания РС-132 модели 1401 оказались сопостави</w:t>
      </w:r>
      <w:r w:rsidRPr="00C33834">
        <w:rPr>
          <w:rFonts w:ascii="Times New Roman" w:hAnsi="Times New Roman"/>
          <w:color w:val="000000" w:themeColor="text1"/>
          <w:sz w:val="16"/>
          <w:szCs w:val="16"/>
        </w:rPr>
        <w:softHyphen/>
        <w:t>мыми с боеприпасами меньших габаритов и менее скоростных. Поэто</w:t>
      </w:r>
      <w:r w:rsidRPr="00C33834">
        <w:rPr>
          <w:rFonts w:ascii="Times New Roman" w:hAnsi="Times New Roman"/>
          <w:color w:val="000000" w:themeColor="text1"/>
          <w:sz w:val="16"/>
          <w:szCs w:val="16"/>
        </w:rPr>
        <w:softHyphen/>
        <w:t>му в дальнейших опытах предпочтение отдали снарядам этой модели, обладавшими скоростью, на 25% большей, чем предыдущие образцы. Неудовлетворительную величину рассеивания по боковому направле</w:t>
      </w:r>
      <w:r w:rsidRPr="00C33834">
        <w:rPr>
          <w:rFonts w:ascii="Times New Roman" w:hAnsi="Times New Roman"/>
          <w:color w:val="000000" w:themeColor="text1"/>
          <w:sz w:val="16"/>
          <w:szCs w:val="16"/>
        </w:rPr>
        <w:softHyphen/>
        <w:t>нию испытатели объяснили «неточностью центровки снаряда в напра</w:t>
      </w:r>
      <w:r w:rsidRPr="00C33834">
        <w:rPr>
          <w:rFonts w:ascii="Times New Roman" w:hAnsi="Times New Roman"/>
          <w:color w:val="000000" w:themeColor="text1"/>
          <w:sz w:val="16"/>
          <w:szCs w:val="16"/>
        </w:rPr>
        <w:softHyphen/>
        <w:t>вляющих» (11402).</w:t>
      </w:r>
    </w:p>
    <w:p w14:paraId="1B8B2314"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p>
    <w:p w14:paraId="19F65BB2" w14:textId="77777777" w:rsidR="00685DD7" w:rsidRPr="00C33834" w:rsidRDefault="00685DD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ноября 1933 г. испытание мины «Вомиза-250» при сбрасывании с высоты 10-20 метров (22288).</w:t>
      </w:r>
    </w:p>
    <w:p w14:paraId="1B287FC7" w14:textId="77777777" w:rsidR="00685DD7" w:rsidRPr="00C33834" w:rsidRDefault="00685DD7" w:rsidP="00C33834">
      <w:pPr>
        <w:spacing w:after="0" w:line="240" w:lineRule="auto"/>
        <w:jc w:val="both"/>
        <w:rPr>
          <w:rFonts w:ascii="Times New Roman" w:hAnsi="Times New Roman"/>
          <w:color w:val="0070C0"/>
          <w:sz w:val="16"/>
          <w:szCs w:val="16"/>
        </w:rPr>
      </w:pPr>
    </w:p>
    <w:p w14:paraId="43CD6F36"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B304641"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46040B12" w14:textId="77777777" w:rsidR="002C03D8" w:rsidRPr="00C33834" w:rsidRDefault="002C03D8" w:rsidP="00C33834">
      <w:pPr>
        <w:pStyle w:val="rtejustify"/>
        <w:spacing w:before="0" w:after="0"/>
        <w:rPr>
          <w:color w:val="000000" w:themeColor="text1"/>
          <w:sz w:val="16"/>
          <w:szCs w:val="16"/>
        </w:rPr>
      </w:pPr>
      <w:r w:rsidRPr="00C33834">
        <w:rPr>
          <w:rStyle w:val="af0"/>
          <w:bCs/>
          <w:i w:val="0"/>
          <w:color w:val="000000" w:themeColor="text1"/>
          <w:sz w:val="16"/>
          <w:szCs w:val="16"/>
        </w:rPr>
        <w:t>5 ноября</w:t>
      </w:r>
      <w:r w:rsidRPr="00C33834">
        <w:rPr>
          <w:color w:val="000000" w:themeColor="text1"/>
          <w:sz w:val="16"/>
          <w:szCs w:val="16"/>
        </w:rPr>
        <w:t xml:space="preserve"> 1933. Постановление СТО СССР № 105сс/о «О производстве крупнокалиберных морских снарядов». (ГА РФ. Ф. Р</w:t>
      </w:r>
      <w:r w:rsidRPr="00C33834">
        <w:rPr>
          <w:color w:val="000000" w:themeColor="text1"/>
          <w:sz w:val="16"/>
          <w:szCs w:val="16"/>
        </w:rPr>
        <w:noBreakHyphen/>
        <w:t>8418. Оп. 28. Д. 3. Л. 19</w:t>
      </w:r>
      <w:r w:rsidRPr="00C33834">
        <w:rPr>
          <w:color w:val="000000" w:themeColor="text1"/>
          <w:sz w:val="16"/>
          <w:szCs w:val="16"/>
        </w:rPr>
        <w:noBreakHyphen/>
        <w:t>21) (15460).</w:t>
      </w:r>
    </w:p>
    <w:p w14:paraId="24299B1D" w14:textId="77777777" w:rsidR="002C03D8" w:rsidRPr="00C33834" w:rsidRDefault="002C03D8" w:rsidP="00C33834">
      <w:pPr>
        <w:pStyle w:val="rtejustify"/>
        <w:spacing w:before="0" w:after="0"/>
        <w:rPr>
          <w:color w:val="000000" w:themeColor="text1"/>
          <w:sz w:val="16"/>
          <w:szCs w:val="16"/>
        </w:rPr>
      </w:pPr>
    </w:p>
    <w:p w14:paraId="6B307EC0"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ноября 1933 военпред ХПЗ подписал документы о при</w:t>
      </w:r>
      <w:r w:rsidRPr="00C33834">
        <w:rPr>
          <w:rFonts w:ascii="Times New Roman" w:hAnsi="Times New Roman"/>
          <w:color w:val="000000" w:themeColor="text1"/>
          <w:sz w:val="16"/>
          <w:szCs w:val="16"/>
        </w:rPr>
        <w:softHyphen/>
        <w:t>емке танка Т-35А, которая 7 ноября должна была принять учасвовать в параде в столице Украины, городе Харькове. Интерес</w:t>
      </w:r>
      <w:r w:rsidRPr="00C33834">
        <w:rPr>
          <w:rFonts w:ascii="Times New Roman" w:hAnsi="Times New Roman"/>
          <w:color w:val="000000" w:themeColor="text1"/>
          <w:sz w:val="16"/>
          <w:szCs w:val="16"/>
        </w:rPr>
        <w:softHyphen/>
        <w:t>но отметить то, что, возвращаясь после парада, танк вышел из строя. Однако он был замечен представителями СМИ. “Сегодня столица Украины приветствовала новый советский тяжелый танк... Эта мощная пятибашенная машина, воорурженная пулеметами и пушками, станет грозой всем недругам, которые мечтают о нападении на нашу миролюбивую Советскую Родину», - писала в те дни пресса (газета «Ленинское знамя», 7-8 ноября 1933 г.). Тогда же при рассмотрении вопроса отражения возможной агрессии на Украину со стороны Польши в расчетах командования Киевского Военного округа уже фигурировал батальон танков Т-35А. Но испытания первого танка на местности были не столь радужными. Новый танк был недостаточно подвижен и больше находился в ремонте, нежели служил (10733,264).</w:t>
      </w:r>
    </w:p>
    <w:p w14:paraId="3E7B7613"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p>
    <w:p w14:paraId="216D8727" w14:textId="77777777" w:rsidR="00896E83" w:rsidRPr="00C33834" w:rsidRDefault="00896E8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ноября 1933. Испытание первого отечественного троллейбуса ЛК-1 ("Лазарь Каганович"). Он был построен на базе грузового автомобиля, двери открывал кондуктор вручную (18722).</w:t>
      </w:r>
    </w:p>
    <w:p w14:paraId="01E6AB41" w14:textId="77777777" w:rsidR="00896E83" w:rsidRPr="00C33834" w:rsidRDefault="00896E83" w:rsidP="00C33834">
      <w:pPr>
        <w:spacing w:after="0" w:line="240" w:lineRule="auto"/>
        <w:jc w:val="both"/>
        <w:rPr>
          <w:rFonts w:ascii="Times New Roman" w:hAnsi="Times New Roman"/>
          <w:color w:val="000000" w:themeColor="text1"/>
          <w:sz w:val="16"/>
          <w:szCs w:val="16"/>
        </w:rPr>
      </w:pPr>
    </w:p>
    <w:p w14:paraId="1BA51465" w14:textId="77777777" w:rsidR="00685DD7" w:rsidRPr="00C33834" w:rsidRDefault="00685DD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ноября 1933 года состоялся испытательный рейс первого советского троллейбуса ЛК-1 («Лазарь Каганович»), созданного на заводе «Динамо». С этого дня в Москве началось регулярное движение троллейбусов (21177).</w:t>
      </w:r>
    </w:p>
    <w:p w14:paraId="270C2AE1" w14:textId="77777777" w:rsidR="00685DD7" w:rsidRPr="00C33834" w:rsidRDefault="00685DD7" w:rsidP="00C33834">
      <w:pPr>
        <w:spacing w:after="0" w:line="240" w:lineRule="auto"/>
        <w:jc w:val="both"/>
        <w:rPr>
          <w:rFonts w:ascii="Times New Roman" w:hAnsi="Times New Roman"/>
          <w:color w:val="0070C0"/>
          <w:sz w:val="16"/>
          <w:szCs w:val="16"/>
        </w:rPr>
      </w:pPr>
    </w:p>
    <w:p w14:paraId="0944860D" w14:textId="77777777" w:rsidR="00FE71E3" w:rsidRPr="00C33834" w:rsidRDefault="00FE71E3"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5 ноября 1933 г. Политбюро утвердило разработанный комиссией под руководством Я.Б.Гамарника график постройки и сдачи 20 подлодок типа «М» в 1933 г., после исправления на них «выявленных на испытаниях конструктивных дефектов» (Там же. Ф. 17. On. 162. Д. 15. Л. 130). См. также: Дмитриев В.И. Советское подводное кораблестроение. М., 1990 (17281).</w:t>
      </w:r>
    </w:p>
    <w:p w14:paraId="24D7655C" w14:textId="77777777" w:rsidR="00FE71E3" w:rsidRPr="00C33834" w:rsidRDefault="00FE71E3" w:rsidP="00C33834">
      <w:pPr>
        <w:shd w:val="clear" w:color="auto" w:fill="FFFFFF"/>
        <w:spacing w:after="0" w:line="240" w:lineRule="auto"/>
        <w:jc w:val="both"/>
        <w:rPr>
          <w:rFonts w:ascii="Times New Roman" w:hAnsi="Times New Roman"/>
          <w:color w:val="000000" w:themeColor="text1"/>
          <w:sz w:val="16"/>
          <w:szCs w:val="16"/>
        </w:rPr>
      </w:pPr>
    </w:p>
    <w:p w14:paraId="5CFFC5B2" w14:textId="77777777" w:rsidR="00622232" w:rsidRPr="00C33834" w:rsidRDefault="0062223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ноября 1933 опросом членов ПБ</w:t>
      </w:r>
    </w:p>
    <w:p w14:paraId="5B501986" w14:textId="77777777" w:rsidR="00622232" w:rsidRPr="00C33834" w:rsidRDefault="0062223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36/22.- Доклад т. Гамарника о постройке подлодок типа "Малютка",</w:t>
      </w:r>
    </w:p>
    <w:p w14:paraId="2AF01E0C" w14:textId="77777777" w:rsidR="00622232" w:rsidRPr="00C33834" w:rsidRDefault="0062223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Утвердить разработанный комиссией т. Гамарника совместно с директорами заводов им.Марти и им.*61" график постройки и сдачи 20 подлодок типа "М" в 1933г.</w:t>
      </w:r>
    </w:p>
    <w:p w14:paraId="58BD6935" w14:textId="77777777" w:rsidR="00622232" w:rsidRPr="00C33834" w:rsidRDefault="0062223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Произвести на всех подлодках типа "М" до их сдачи НКВМору намеченные комиссией т. Гамарника исправ</w:t>
      </w:r>
      <w:r w:rsidRPr="00C33834">
        <w:rPr>
          <w:rFonts w:ascii="Times New Roman" w:hAnsi="Times New Roman"/>
          <w:color w:val="0070C0"/>
          <w:sz w:val="16"/>
          <w:szCs w:val="16"/>
        </w:rPr>
        <w:softHyphen/>
        <w:t>ления, выявленных на испытаниях конструктивных дефек</w:t>
      </w:r>
      <w:r w:rsidRPr="00C33834">
        <w:rPr>
          <w:rFonts w:ascii="Times New Roman" w:hAnsi="Times New Roman"/>
          <w:color w:val="0070C0"/>
          <w:sz w:val="16"/>
          <w:szCs w:val="16"/>
        </w:rPr>
        <w:softHyphen/>
        <w:t>тов, безусловно добившись полного обеспечения подлодок от всплытия при двухторпедном залпе.а также увеличе</w:t>
      </w:r>
      <w:r w:rsidRPr="00C33834">
        <w:rPr>
          <w:rFonts w:ascii="Times New Roman" w:hAnsi="Times New Roman"/>
          <w:color w:val="0070C0"/>
          <w:sz w:val="16"/>
          <w:szCs w:val="16"/>
        </w:rPr>
        <w:softHyphen/>
        <w:t>ния подводной скорости хода до 6-6,5 узлов.</w:t>
      </w:r>
    </w:p>
    <w:p w14:paraId="7579EE97" w14:textId="77777777" w:rsidR="00622232" w:rsidRPr="00C33834" w:rsidRDefault="0062223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3. Отправить на Д.В. первые три подлодки 1-го де</w:t>
      </w:r>
      <w:r w:rsidRPr="00C33834">
        <w:rPr>
          <w:rFonts w:ascii="Times New Roman" w:hAnsi="Times New Roman"/>
          <w:color w:val="0070C0"/>
          <w:sz w:val="16"/>
          <w:szCs w:val="16"/>
        </w:rPr>
        <w:softHyphen/>
        <w:t>кабря 1933 г. и следующие три подлодки 15-го декабря 1933 г. с установкой на них, в виде исключения, аппара</w:t>
      </w:r>
      <w:r w:rsidRPr="00C33834">
        <w:rPr>
          <w:rFonts w:ascii="Times New Roman" w:hAnsi="Times New Roman"/>
          <w:color w:val="0070C0"/>
          <w:sz w:val="16"/>
          <w:szCs w:val="16"/>
        </w:rPr>
        <w:softHyphen/>
        <w:t>туры .гарантирующей подлодку от всплытия при выстреле одной торпедой. Оборудование этих шести подлодок ап</w:t>
      </w:r>
      <w:r w:rsidRPr="00C33834">
        <w:rPr>
          <w:rFonts w:ascii="Times New Roman" w:hAnsi="Times New Roman"/>
          <w:color w:val="0070C0"/>
          <w:sz w:val="16"/>
          <w:szCs w:val="16"/>
        </w:rPr>
        <w:softHyphen/>
        <w:t>паратурой .обеспечивающей подлодку от всплытия при двухторпедном залпе.произвести на Д.В.</w:t>
      </w:r>
    </w:p>
    <w:p w14:paraId="61C31CFA" w14:textId="77777777" w:rsidR="00622232" w:rsidRPr="00C33834" w:rsidRDefault="0062223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Принимая во внимание неудовлетворительное со</w:t>
      </w:r>
      <w:r w:rsidRPr="00C33834">
        <w:rPr>
          <w:rFonts w:ascii="Times New Roman" w:hAnsi="Times New Roman"/>
          <w:color w:val="0070C0"/>
          <w:sz w:val="16"/>
          <w:szCs w:val="16"/>
        </w:rPr>
        <w:softHyphen/>
        <w:t>стояние зав. им. Марти и зав. им."61".предложить т. Орд</w:t>
      </w:r>
      <w:r w:rsidRPr="00C33834">
        <w:rPr>
          <w:rFonts w:ascii="Times New Roman" w:hAnsi="Times New Roman"/>
          <w:color w:val="0070C0"/>
          <w:sz w:val="16"/>
          <w:szCs w:val="16"/>
        </w:rPr>
        <w:softHyphen/>
        <w:t>жоникидзе в двухдекадный срок разработать и доложить ЦК ВКП(б) мероприятия.обеспечивающие выполнение про</w:t>
      </w:r>
      <w:r w:rsidRPr="00C33834">
        <w:rPr>
          <w:rFonts w:ascii="Times New Roman" w:hAnsi="Times New Roman"/>
          <w:color w:val="0070C0"/>
          <w:sz w:val="16"/>
          <w:szCs w:val="16"/>
        </w:rPr>
        <w:softHyphen/>
        <w:t>граммы военно-морского судостроения в 1934 г. на этих заводах.</w:t>
      </w:r>
    </w:p>
    <w:p w14:paraId="153B820F" w14:textId="77777777" w:rsidR="00622232" w:rsidRPr="00C33834" w:rsidRDefault="0062223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5.Назначить на завод им. Марти ответственного сек</w:t>
      </w:r>
      <w:r w:rsidRPr="00C33834">
        <w:rPr>
          <w:rFonts w:ascii="Times New Roman" w:hAnsi="Times New Roman"/>
          <w:color w:val="0070C0"/>
          <w:sz w:val="16"/>
          <w:szCs w:val="16"/>
        </w:rPr>
        <w:softHyphen/>
        <w:t>ретаря парторга ЦК; тов. Ежову представить кандидата на эту должность.</w:t>
      </w:r>
    </w:p>
    <w:p w14:paraId="26F927C2" w14:textId="77777777" w:rsidR="00622232" w:rsidRPr="00C33834" w:rsidRDefault="0062223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Молотову, Гамарнику, Орджоникидзе</w:t>
      </w:r>
    </w:p>
    <w:p w14:paraId="3F76FAB1" w14:textId="77777777" w:rsidR="00622232" w:rsidRPr="00C33834" w:rsidRDefault="0062223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40/26.- Вопросы Комиссии Обороны.</w:t>
      </w:r>
    </w:p>
    <w:p w14:paraId="527C4180" w14:textId="77777777" w:rsidR="00622232" w:rsidRPr="00C33834" w:rsidRDefault="0062223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Утвердить постановление СТО:</w:t>
      </w:r>
    </w:p>
    <w:p w14:paraId="03E9A63E" w14:textId="77777777" w:rsidR="00622232" w:rsidRPr="00C33834" w:rsidRDefault="0062223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О выдаче из Комитета Резервов промышленности для производства тяжелых бронебойных снарядов Ютонн импортного ферро-марганца и 20 тонн огневого ни келя</w:t>
      </w:r>
    </w:p>
    <w:p w14:paraId="359B4ABA" w14:textId="77777777" w:rsidR="00622232" w:rsidRPr="00C33834" w:rsidRDefault="0062223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Об импорте для НКТП в 1933 г. за счет контин</w:t>
      </w:r>
      <w:r w:rsidRPr="00C33834">
        <w:rPr>
          <w:rFonts w:ascii="Times New Roman" w:hAnsi="Times New Roman"/>
          <w:color w:val="0070C0"/>
          <w:sz w:val="16"/>
          <w:szCs w:val="16"/>
        </w:rPr>
        <w:softHyphen/>
        <w:t>гентов НКТП в размере 2 т.р. для закупки огнеупор</w:t>
      </w:r>
      <w:r w:rsidRPr="00C33834">
        <w:rPr>
          <w:rFonts w:ascii="Times New Roman" w:hAnsi="Times New Roman"/>
          <w:color w:val="0070C0"/>
          <w:sz w:val="16"/>
          <w:szCs w:val="16"/>
        </w:rPr>
        <w:softHyphen/>
        <w:t>ных стаканов и пробок для ковшей кислых мартеновские печей для разливки снарядной стали.</w:t>
      </w:r>
    </w:p>
    <w:p w14:paraId="218E8FDF" w14:textId="77777777" w:rsidR="00622232" w:rsidRPr="00C33834" w:rsidRDefault="0062223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Базилевичу, Орджоникидзе-все;</w:t>
      </w:r>
    </w:p>
    <w:p w14:paraId="753230BB" w14:textId="77777777" w:rsidR="00622232" w:rsidRPr="00C33834" w:rsidRDefault="0062223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Розенгольцу-п.2.</w:t>
      </w:r>
    </w:p>
    <w:p w14:paraId="21846428" w14:textId="77777777" w:rsidR="00622232" w:rsidRPr="00C33834" w:rsidRDefault="0062223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ноября 1933 состоялось заседание ПБ и был оформлен протокол № 149 (22999).</w:t>
      </w:r>
    </w:p>
    <w:p w14:paraId="6F030D7F" w14:textId="77777777" w:rsidR="00622232" w:rsidRPr="00C33834" w:rsidRDefault="00622232" w:rsidP="00C33834">
      <w:pPr>
        <w:spacing w:after="0" w:line="240" w:lineRule="auto"/>
        <w:jc w:val="both"/>
        <w:rPr>
          <w:rFonts w:ascii="Times New Roman" w:hAnsi="Times New Roman"/>
          <w:color w:val="0070C0"/>
          <w:sz w:val="16"/>
          <w:szCs w:val="16"/>
        </w:rPr>
      </w:pPr>
    </w:p>
    <w:p w14:paraId="76585393" w14:textId="77777777" w:rsidR="002C03D8" w:rsidRPr="00C33834" w:rsidRDefault="002C03D8" w:rsidP="00C33834">
      <w:pPr>
        <w:pStyle w:val="rtejustify"/>
        <w:spacing w:before="0" w:after="0"/>
        <w:rPr>
          <w:color w:val="000000" w:themeColor="text1"/>
          <w:sz w:val="16"/>
          <w:szCs w:val="16"/>
        </w:rPr>
      </w:pPr>
      <w:r w:rsidRPr="00C33834">
        <w:rPr>
          <w:rStyle w:val="af0"/>
          <w:bCs/>
          <w:i w:val="0"/>
          <w:color w:val="000000" w:themeColor="text1"/>
          <w:sz w:val="16"/>
          <w:szCs w:val="16"/>
        </w:rPr>
        <w:t>5 ноября 1933 вышел приказ НКТП № 202сс.</w:t>
      </w:r>
      <w:r w:rsidRPr="00C33834">
        <w:rPr>
          <w:color w:val="000000" w:themeColor="text1"/>
          <w:sz w:val="16"/>
          <w:szCs w:val="16"/>
        </w:rPr>
        <w:t xml:space="preserve"> О строительстве на заводе им. Марти 100 торпедных катеров типа “5Г”. (РГАЭ. Ф. 2097. Оп. 38. Д. 38. Л. 172</w:t>
      </w:r>
      <w:r w:rsidRPr="00C33834">
        <w:rPr>
          <w:color w:val="000000" w:themeColor="text1"/>
          <w:sz w:val="16"/>
          <w:szCs w:val="16"/>
        </w:rPr>
        <w:noBreakHyphen/>
        <w:t>171 об.) (15246).</w:t>
      </w:r>
    </w:p>
    <w:p w14:paraId="358B2534" w14:textId="77777777" w:rsidR="002C03D8" w:rsidRPr="00C33834" w:rsidRDefault="002C03D8" w:rsidP="00C33834">
      <w:pPr>
        <w:pStyle w:val="rtejustify"/>
        <w:spacing w:before="0" w:after="0"/>
        <w:rPr>
          <w:color w:val="000000" w:themeColor="text1"/>
          <w:sz w:val="16"/>
          <w:szCs w:val="16"/>
        </w:rPr>
      </w:pPr>
    </w:p>
    <w:p w14:paraId="361F0240" w14:textId="77777777" w:rsidR="002C03D8"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5EA61A3B" w14:textId="77777777" w:rsidR="002C03D8" w:rsidRPr="00C33834" w:rsidRDefault="002C03D8" w:rsidP="00C33834">
      <w:pPr>
        <w:spacing w:after="0" w:line="240" w:lineRule="auto"/>
        <w:jc w:val="both"/>
        <w:rPr>
          <w:rFonts w:ascii="Times New Roman" w:hAnsi="Times New Roman"/>
          <w:color w:val="000000" w:themeColor="text1"/>
          <w:sz w:val="16"/>
          <w:szCs w:val="16"/>
        </w:rPr>
      </w:pPr>
    </w:p>
    <w:p w14:paraId="25492021" w14:textId="77777777" w:rsidR="002C03D8" w:rsidRPr="00C33834" w:rsidRDefault="002C03D8"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5 ноября</w:t>
      </w:r>
      <w:r w:rsidRPr="00C33834">
        <w:rPr>
          <w:rFonts w:ascii="Times New Roman" w:hAnsi="Times New Roman"/>
          <w:color w:val="000000" w:themeColor="text1"/>
          <w:sz w:val="16"/>
          <w:szCs w:val="16"/>
        </w:rPr>
        <w:t xml:space="preserve"> в 1933 году испытательный рейс совершает первый советский троллейбус «ЛК-1» ("Лазарь Каганович"), созданный на заводе "Динамо". С этого дня в Москве начинается регулярное движение троллейбусов (14821).</w:t>
      </w:r>
    </w:p>
    <w:p w14:paraId="01624B8A" w14:textId="77777777" w:rsidR="002C03D8" w:rsidRPr="00C33834" w:rsidRDefault="002C03D8" w:rsidP="00C33834">
      <w:pPr>
        <w:spacing w:after="0" w:line="240" w:lineRule="auto"/>
        <w:jc w:val="both"/>
        <w:rPr>
          <w:rFonts w:ascii="Times New Roman" w:hAnsi="Times New Roman"/>
          <w:color w:val="000000" w:themeColor="text1"/>
          <w:sz w:val="16"/>
          <w:szCs w:val="16"/>
        </w:rPr>
      </w:pPr>
    </w:p>
    <w:p w14:paraId="32F88D6E" w14:textId="77777777" w:rsidR="002C03D8" w:rsidRPr="00C33834" w:rsidRDefault="002C03D8"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5 ноября</w:t>
      </w:r>
      <w:r w:rsidRPr="00C33834">
        <w:rPr>
          <w:rFonts w:ascii="Times New Roman" w:hAnsi="Times New Roman"/>
          <w:color w:val="000000" w:themeColor="text1"/>
          <w:sz w:val="16"/>
          <w:szCs w:val="16"/>
        </w:rPr>
        <w:t xml:space="preserve"> в 1933 году пароход «Челюскин», заканчивая свой переход по Северному морскому пути, был затерт льдами в Беринговом проливе у острова Диомид и отброшен на север в Чукотское море. Начался его беспримерный ледовый дрейф. Ледорез «Литке», который вышел на помощь, не смог подойти ближе 20 миль и 17 ноября повернул назад (14821).</w:t>
      </w:r>
    </w:p>
    <w:p w14:paraId="04567375" w14:textId="77777777" w:rsidR="002C03D8" w:rsidRPr="00C33834" w:rsidRDefault="002C03D8" w:rsidP="00C33834">
      <w:pPr>
        <w:spacing w:after="0" w:line="240" w:lineRule="auto"/>
        <w:jc w:val="both"/>
        <w:rPr>
          <w:rFonts w:ascii="Times New Roman" w:hAnsi="Times New Roman"/>
          <w:color w:val="000000" w:themeColor="text1"/>
          <w:sz w:val="16"/>
          <w:szCs w:val="16"/>
        </w:rPr>
      </w:pPr>
    </w:p>
    <w:p w14:paraId="0397FADB"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87F46E2"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45CF51D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ноября 1933 года начальник ГУАП Алмазов писал письмо директору N 27/680с директору завода N 39 Марголину.</w:t>
      </w:r>
    </w:p>
    <w:p w14:paraId="3D82649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акте утверждения гос. испытаний сам. И-ЗЕТ N 39010 нач. ВВС Алкснис считает основной задачей завода передачу на гос. испытания к 1/III-34 г. модифицированного экземпляра.</w:t>
      </w:r>
    </w:p>
    <w:p w14:paraId="4E5AC2E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Модифицированным самолетом считается образец, удовлетворяющий п.п. 4, 5, 6, 7 и 8 заключения НИИ ВВС (стр. 2 отчета).</w:t>
      </w:r>
    </w:p>
    <w:p w14:paraId="0AF34ED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Прошу не позднее 10/XI с.г. сообщить в какой мере возможно удовлетворение требований ВВС к 1/III-34 г. как со стороны изменения конструкции (облегчение на 92 кг, новое шасси, спрятать пушки в крыло и пр.), так и в отношении устранения дефектов и изготовлении нового образца (2303,28).</w:t>
      </w:r>
    </w:p>
    <w:p w14:paraId="33254A4E"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38A059E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ноября 1933 состоялся первый старт ракеты РНИИ-Объект 13 М.К.Тихонравова. Достигли высоты 150 м (1136,57).</w:t>
      </w:r>
    </w:p>
    <w:p w14:paraId="7AA56B92"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371CC7E3"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662D0F14"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69A8544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ноября 1933 г. на Бал</w:t>
      </w:r>
      <w:r w:rsidRPr="00C33834">
        <w:rPr>
          <w:rFonts w:ascii="Times New Roman" w:hAnsi="Times New Roman"/>
          <w:color w:val="000000" w:themeColor="text1"/>
          <w:sz w:val="16"/>
          <w:szCs w:val="16"/>
        </w:rPr>
        <w:softHyphen/>
        <w:t>тийском заводе бьша заложена Головная лодка — "Треска" (Щ-307), спущена на воду 1 августа 1934 г. и в августе следующего года вступила в состав Балтийского флота. Для этого же флота Балтийский завод построил лодку "Пикша" (Щ-306), а завод "Красное Сормово" — лодки "Дельфин" (Щ-309), "Белуха" (Щ-310) и "Кумжа" (Щ-311). Пять лодок - "Зубатка" (Щ-121), "Сайда" (Щ-122), "Угорь" (Щ-123), "Палтус" (Щ-124), и "Максун" (Щ-125), заложенные в декабре 1933 г., предназначались для Тихого океана. Две из них строились на Балтийском заводе, три на ленинградском заводе им. А. Марти, а собирались и сдавались все на Дальзаводе во Владиво</w:t>
      </w:r>
      <w:r w:rsidRPr="00C33834">
        <w:rPr>
          <w:rFonts w:ascii="Times New Roman" w:hAnsi="Times New Roman"/>
          <w:color w:val="000000" w:themeColor="text1"/>
          <w:sz w:val="16"/>
          <w:szCs w:val="16"/>
        </w:rPr>
        <w:softHyphen/>
        <w:t>стоке. Для Черноморского флота завод им. 61 Коммунара в Николае</w:t>
      </w:r>
      <w:r w:rsidRPr="00C33834">
        <w:rPr>
          <w:rFonts w:ascii="Times New Roman" w:hAnsi="Times New Roman"/>
          <w:color w:val="000000" w:themeColor="text1"/>
          <w:sz w:val="16"/>
          <w:szCs w:val="16"/>
        </w:rPr>
        <w:softHyphen/>
        <w:t>ве самостоятельно построил еще три лодки — Щ-205, Щ-206 и Щ-207. Последняя тихоокеанская лодка Щ-124 вступила в строй в но</w:t>
      </w:r>
      <w:r w:rsidRPr="00C33834">
        <w:rPr>
          <w:rFonts w:ascii="Times New Roman" w:hAnsi="Times New Roman"/>
          <w:color w:val="000000" w:themeColor="text1"/>
          <w:sz w:val="16"/>
          <w:szCs w:val="16"/>
        </w:rPr>
        <w:softHyphen/>
        <w:t>ябре 1935 г., а последняя черноморская Щ-207 — в декабре 1936 г. Таким образом, строительство всей серии заняло 37 мес., для От-дельнь1х же лодок сроки постройки составили от 16,5 мес. (Щ-121) до 34,5 мес. (Щ-207). Первая цифра свидетельствует о значитель</w:t>
      </w:r>
      <w:r w:rsidRPr="00C33834">
        <w:rPr>
          <w:rFonts w:ascii="Times New Roman" w:hAnsi="Times New Roman"/>
          <w:color w:val="000000" w:themeColor="text1"/>
          <w:sz w:val="16"/>
          <w:szCs w:val="16"/>
        </w:rPr>
        <w:softHyphen/>
        <w:t>ных достижениях в организации серийной постройки лодок, вто</w:t>
      </w:r>
      <w:r w:rsidRPr="00C33834">
        <w:rPr>
          <w:rFonts w:ascii="Times New Roman" w:hAnsi="Times New Roman"/>
          <w:color w:val="000000" w:themeColor="text1"/>
          <w:sz w:val="16"/>
          <w:szCs w:val="16"/>
        </w:rPr>
        <w:softHyphen/>
        <w:t>рая — о трудностях в новом деле на николаевском заводе им. 61 Коммунара.</w:t>
      </w:r>
    </w:p>
    <w:p w14:paraId="79B5CB6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головной лодки показали, что для улучшения надводной маневренности необходимы новые более мощные двигатели. Скорость "Трески" в подводном положении составила 12,3 уз. В то же время смещением в корму верхней части перебор</w:t>
      </w:r>
      <w:r w:rsidRPr="00C33834">
        <w:rPr>
          <w:rFonts w:ascii="Times New Roman" w:hAnsi="Times New Roman"/>
          <w:color w:val="000000" w:themeColor="text1"/>
          <w:sz w:val="16"/>
          <w:szCs w:val="16"/>
        </w:rPr>
        <w:softHyphen/>
        <w:t>ки между II и III отсеками удалось обеспечить лучшие условия хранения запасных торпед во II отсеке (на V и Убис сериях они хранились без боевь1х зарядных отделений). Прочность переборки на 37 и 45 щпангоутах, ограничивавших центральный пост, довели до 6 кгс/см (на предыдущих лодках 2 кгс/см ). ЦГБ № 3 и № 4 были приспособлены для хранения топлива, зубчатую передачу на валы от электродвигателей экономического хода заменили на ре</w:t>
      </w:r>
      <w:r w:rsidRPr="00C33834">
        <w:rPr>
          <w:rFonts w:ascii="Times New Roman" w:hAnsi="Times New Roman"/>
          <w:color w:val="000000" w:themeColor="text1"/>
          <w:sz w:val="16"/>
          <w:szCs w:val="16"/>
        </w:rPr>
        <w:softHyphen/>
        <w:t>менную, торпедопогрузочное устройство было переделано, что обеспечило сокращение времени погрузки торпед с 30 до 12 ч, а вместо турбовоздуходувок "Броун—Бовери" для продувания ЦГБ были впервые приспособлены дизели (в режиме компрессора). Все указанные улучшения позднее были внедрены при капитальном ремонте и на лодках III, V и Убис серий (3898).</w:t>
      </w:r>
    </w:p>
    <w:p w14:paraId="4E485328"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47AAF661" w14:textId="77777777" w:rsidR="002C03D8" w:rsidRPr="00C33834" w:rsidRDefault="002C03D8" w:rsidP="00C33834">
      <w:pPr>
        <w:pStyle w:val="rtejustify"/>
        <w:spacing w:before="0" w:after="0"/>
        <w:rPr>
          <w:color w:val="000000" w:themeColor="text1"/>
          <w:sz w:val="16"/>
          <w:szCs w:val="16"/>
        </w:rPr>
      </w:pPr>
      <w:r w:rsidRPr="00C33834">
        <w:rPr>
          <w:color w:val="000000" w:themeColor="text1"/>
          <w:sz w:val="16"/>
          <w:szCs w:val="16"/>
        </w:rPr>
        <w:t>6 ноября 1933 г. головная лодка серии средней лодки VIII серии (позже V</w:t>
      </w:r>
      <w:r w:rsidRPr="00C33834">
        <w:rPr>
          <w:color w:val="000000" w:themeColor="text1"/>
          <w:sz w:val="16"/>
          <w:szCs w:val="16"/>
        </w:rPr>
        <w:noBreakHyphen/>
        <w:t>бис II серии) «Треска» была заложена на Балтийском заводе, спущена на воду 1 августа 1934 г. Строительство велось также на заводе «Красное Сормово». Последняя лодка, предназначенная для тихоокеанского флота, вступила в строй в ноябре 1935 г., а последняя черноморская — в декабре 1936 г. В ходе эксплуатации подводные лодки типа «Щука» всех серий (43 лодки) показали себя достаточно надежными кораблями (15280).</w:t>
      </w:r>
    </w:p>
    <w:p w14:paraId="04BAC0B5" w14:textId="77777777" w:rsidR="002C03D8" w:rsidRPr="00C33834" w:rsidRDefault="002C03D8" w:rsidP="00C33834">
      <w:pPr>
        <w:pStyle w:val="rtejustify"/>
        <w:spacing w:before="0" w:after="0"/>
        <w:rPr>
          <w:color w:val="000000" w:themeColor="text1"/>
          <w:sz w:val="16"/>
          <w:szCs w:val="16"/>
        </w:rPr>
      </w:pPr>
    </w:p>
    <w:p w14:paraId="0B7F8E96" w14:textId="77777777" w:rsidR="00BA29CE" w:rsidRPr="00C33834" w:rsidRDefault="00BA29CE" w:rsidP="00C33834">
      <w:pPr>
        <w:pStyle w:val="ae"/>
        <w:shd w:val="clear" w:color="auto" w:fill="FFFFFF"/>
        <w:spacing w:before="0" w:after="0"/>
        <w:jc w:val="both"/>
        <w:rPr>
          <w:color w:val="000000" w:themeColor="text1"/>
          <w:sz w:val="16"/>
          <w:szCs w:val="16"/>
        </w:rPr>
      </w:pPr>
      <w:r w:rsidRPr="00C33834">
        <w:rPr>
          <w:color w:val="000000" w:themeColor="text1"/>
          <w:sz w:val="16"/>
          <w:szCs w:val="16"/>
        </w:rPr>
        <w:t>6 ноября 1933 года, накануне ноябрьских праздников (прежде их называли «октябрьскими»), заложили три новых лодки V-бис 2 серии «Дельфин» («Щ-309»), «Белуха» («Щ-310») и «Кумжа» («Щ-311»). Строителями их были назначены И. И. Федоров, А. В. Кукин (М. И. Лернер) и И. Г. Губенко.</w:t>
      </w:r>
    </w:p>
    <w:p w14:paraId="378DD820" w14:textId="77777777" w:rsidR="00BA29CE" w:rsidRPr="00C33834" w:rsidRDefault="00BA29CE" w:rsidP="00C33834">
      <w:pPr>
        <w:pStyle w:val="ae"/>
        <w:shd w:val="clear" w:color="auto" w:fill="FFFFFF"/>
        <w:spacing w:before="0" w:after="0"/>
        <w:jc w:val="both"/>
        <w:rPr>
          <w:color w:val="000000" w:themeColor="text1"/>
          <w:sz w:val="16"/>
          <w:szCs w:val="16"/>
        </w:rPr>
      </w:pPr>
      <w:r w:rsidRPr="00C33834">
        <w:rPr>
          <w:color w:val="000000" w:themeColor="text1"/>
          <w:sz w:val="16"/>
          <w:szCs w:val="16"/>
        </w:rPr>
        <w:t>К 1934 году заметно изменились в лучшую сторону условия работы на стапелях. Заботами нового директора завода М. А. Суркова в судояме была построена металлическая эстакада, оснащенная двумя башенными кранами грузоподъемностью по 10 тонн, увеличилось число железнодорожных кранов. Произошло воссоединение судоверфи с заводом. Производственные мастерские судоверфи были реорганизованы в цехи. Организован судомонтажный цех.</w:t>
      </w:r>
    </w:p>
    <w:p w14:paraId="57A90FFA" w14:textId="77777777" w:rsidR="00BA29CE" w:rsidRPr="00C33834" w:rsidRDefault="00BA29CE" w:rsidP="00C33834">
      <w:pPr>
        <w:pStyle w:val="ae"/>
        <w:shd w:val="clear" w:color="auto" w:fill="FFFFFF"/>
        <w:spacing w:before="0" w:after="0"/>
        <w:jc w:val="both"/>
        <w:rPr>
          <w:color w:val="000000" w:themeColor="text1"/>
          <w:sz w:val="16"/>
          <w:szCs w:val="16"/>
        </w:rPr>
      </w:pPr>
      <w:r w:rsidRPr="00C33834">
        <w:rPr>
          <w:color w:val="000000" w:themeColor="text1"/>
          <w:sz w:val="16"/>
          <w:szCs w:val="16"/>
        </w:rPr>
        <w:t>К руководству цехами пришли инженеры. Был создан институт инженеров — строителей судов и кораблей, которым на время сдаточных испытаний давались права уполномоченных директора завода. Сменились и другие руководители завода. По воспоминаниям М. И. Лернера, перешагнувшего Дарьинскую проходную завода в августе 1928 года, «… прибывший из Луганска Михаил Архипович Сурков — человек исключительных организаторских способностей, пригласил из Таганрога инженера Василия Трофимовича Садченко и из Киева — главного инженера судоверфи Г. В. Широкорада».</w:t>
      </w:r>
    </w:p>
    <w:p w14:paraId="0BD6C72F" w14:textId="77777777" w:rsidR="00BA29CE" w:rsidRPr="00C33834" w:rsidRDefault="00BA29CE" w:rsidP="00C33834">
      <w:pPr>
        <w:pStyle w:val="ae"/>
        <w:shd w:val="clear" w:color="auto" w:fill="FFFFFF"/>
        <w:spacing w:before="0" w:after="0"/>
        <w:jc w:val="both"/>
        <w:rPr>
          <w:color w:val="000000" w:themeColor="text1"/>
          <w:sz w:val="16"/>
          <w:szCs w:val="16"/>
        </w:rPr>
      </w:pPr>
      <w:r w:rsidRPr="00C33834">
        <w:rPr>
          <w:color w:val="000000" w:themeColor="text1"/>
          <w:sz w:val="16"/>
          <w:szCs w:val="16"/>
        </w:rPr>
        <w:t>Называть подводные лодки «рыбьими» именами было не ново. Первые два названия («Дельфин» и «Белуха») были понятны всем. А вот «Кумжа» — это слово даже для того времени не всем было известно. Кумжа — лосось-таймень, рыба из семейства лососевых. В «Красной книге» по Нижегородской области она отнесена к категории «ноль» как исчезнувшая в водоемах Волжского бассейна. И описывается так: «Имеет вальковатое тело, покрытое мелкой чешуей, длина тела — до 1 метра, вес — до 50 килограммов, окраска серебристая, спина темная, на боках многочисленные Х-образные черные метки… ».</w:t>
      </w:r>
    </w:p>
    <w:p w14:paraId="49A415FD" w14:textId="77777777" w:rsidR="00BA29CE" w:rsidRPr="00C33834" w:rsidRDefault="00BA29CE" w:rsidP="00C33834">
      <w:pPr>
        <w:pStyle w:val="ae"/>
        <w:shd w:val="clear" w:color="auto" w:fill="FFFFFF"/>
        <w:spacing w:before="0" w:after="0"/>
        <w:jc w:val="both"/>
        <w:rPr>
          <w:color w:val="000000" w:themeColor="text1"/>
          <w:sz w:val="16"/>
          <w:szCs w:val="16"/>
        </w:rPr>
      </w:pPr>
      <w:r w:rsidRPr="00C33834">
        <w:rPr>
          <w:color w:val="000000" w:themeColor="text1"/>
          <w:sz w:val="16"/>
          <w:szCs w:val="16"/>
        </w:rPr>
        <w:t>Судьбы трех подлодок, заложенных в 1933 году, были различными. Если первая ПЛ «Щ-309» «Дельфин» строилась быстрее двух других и всплыла весной 1934 года во время паводка, а через полтора года — 14 ноября 1935 года — была сдана заказчику, то две другие достраивались еще год на стапелях и только в весенний паводок — 10 апреля 1935 года — всплыли, и то не сразу.</w:t>
      </w:r>
    </w:p>
    <w:p w14:paraId="36EC626D" w14:textId="77777777" w:rsidR="00BA29CE" w:rsidRPr="00C33834" w:rsidRDefault="00BA29CE" w:rsidP="00C33834">
      <w:pPr>
        <w:pStyle w:val="ae"/>
        <w:shd w:val="clear" w:color="auto" w:fill="FFFFFF"/>
        <w:spacing w:before="0" w:after="0"/>
        <w:jc w:val="both"/>
        <w:rPr>
          <w:color w:val="000000" w:themeColor="text1"/>
          <w:sz w:val="16"/>
          <w:szCs w:val="16"/>
        </w:rPr>
      </w:pPr>
      <w:r w:rsidRPr="00C33834">
        <w:rPr>
          <w:color w:val="000000" w:themeColor="text1"/>
          <w:sz w:val="16"/>
          <w:szCs w:val="16"/>
        </w:rPr>
        <w:t>Вот как об этом рассказывает М. И. Лернер в своих воспоминаниях: «… паводок оказался низким. При его уровне суда с кильблоков всплыть не могли». Были рассмотрены три варианта их снятия с кильблоков: подъем с помощью дополнительной плавучести эпроновских понтонов; с помощью конструктивных приспособлений в виде консолей укрепленных к плавучему доку (В. М. Коричев, С. Н. Якимовский и А. П. Овчинников); или за счет подъема уровня воды в судояме с помощью накачки ее из Волги насосами. Но ничего этого не потребовалось. На рассвете одного из дней вода прибыла, и лодки всплыли».</w:t>
      </w:r>
    </w:p>
    <w:p w14:paraId="2588CF6F" w14:textId="77777777" w:rsidR="00BA29CE" w:rsidRPr="00C33834" w:rsidRDefault="00BA29CE" w:rsidP="00C33834">
      <w:pPr>
        <w:pStyle w:val="ae"/>
        <w:shd w:val="clear" w:color="auto" w:fill="FFFFFF"/>
        <w:spacing w:before="0" w:after="0"/>
        <w:jc w:val="both"/>
        <w:rPr>
          <w:color w:val="000000" w:themeColor="text1"/>
          <w:sz w:val="16"/>
          <w:szCs w:val="16"/>
        </w:rPr>
      </w:pPr>
      <w:r w:rsidRPr="00C33834">
        <w:rPr>
          <w:color w:val="000000" w:themeColor="text1"/>
          <w:sz w:val="16"/>
          <w:szCs w:val="16"/>
        </w:rPr>
        <w:t>В затоне завода лодки продолжали достраиваться еще целый год. Весной 1936 года они были отправлены в доках в Кронштадт, где и были сданы флоту в августе 1936 года. Командирами этих лодок на момент сдачи были Д. Ф. Блок («Щ-310») и А. Г. Лопухин («Щ-311») (12191).</w:t>
      </w:r>
    </w:p>
    <w:p w14:paraId="0C8A9504" w14:textId="77777777" w:rsidR="00BA29CE" w:rsidRPr="00C33834" w:rsidRDefault="00BA29CE" w:rsidP="00C33834">
      <w:pPr>
        <w:pStyle w:val="ae"/>
        <w:shd w:val="clear" w:color="auto" w:fill="FFFFFF"/>
        <w:spacing w:before="0" w:after="0"/>
        <w:jc w:val="both"/>
        <w:rPr>
          <w:color w:val="000000" w:themeColor="text1"/>
          <w:sz w:val="16"/>
          <w:szCs w:val="16"/>
        </w:rPr>
      </w:pPr>
    </w:p>
    <w:p w14:paraId="3B837D11"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E61BB02"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289B561C" w14:textId="77777777" w:rsidR="00685DD7" w:rsidRPr="00C33834" w:rsidRDefault="00685DD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начале ноября 1933 г. НИИ ВВС РККА направил в КОСОС и ЗОК письмо: «НИИ ВВС РККА командирует инженера т. Ильинского для ознакомления с самоле</w:t>
      </w:r>
      <w:r w:rsidRPr="00C33834">
        <w:rPr>
          <w:rFonts w:ascii="Times New Roman" w:hAnsi="Times New Roman"/>
          <w:color w:val="0070C0"/>
          <w:sz w:val="16"/>
          <w:szCs w:val="16"/>
        </w:rPr>
        <w:softHyphen/>
        <w:t>том «Максим Горький» в разрезе примене</w:t>
      </w:r>
      <w:r w:rsidRPr="00C33834">
        <w:rPr>
          <w:rFonts w:ascii="Times New Roman" w:hAnsi="Times New Roman"/>
          <w:color w:val="0070C0"/>
          <w:sz w:val="16"/>
          <w:szCs w:val="16"/>
        </w:rPr>
        <w:softHyphen/>
        <w:t>ния его для военно-десантных операций. НИИ ВВС просит дать необходимые сведе</w:t>
      </w:r>
      <w:r w:rsidRPr="00C33834">
        <w:rPr>
          <w:rFonts w:ascii="Times New Roman" w:hAnsi="Times New Roman"/>
          <w:color w:val="0070C0"/>
          <w:sz w:val="16"/>
          <w:szCs w:val="16"/>
        </w:rPr>
        <w:softHyphen/>
        <w:t>ния по центровке, весу, грузоподъемности, а также дать общие виды, аэродинамические расчеты и расчеты на прочность по указа</w:t>
      </w:r>
      <w:r w:rsidRPr="00C33834">
        <w:rPr>
          <w:rFonts w:ascii="Times New Roman" w:hAnsi="Times New Roman"/>
          <w:color w:val="0070C0"/>
          <w:sz w:val="16"/>
          <w:szCs w:val="16"/>
        </w:rPr>
        <w:softHyphen/>
        <w:t>нию данного товарища.</w:t>
      </w:r>
    </w:p>
    <w:p w14:paraId="6A433999" w14:textId="77777777" w:rsidR="00685DD7" w:rsidRPr="00C33834" w:rsidRDefault="00685DD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Данные материалы необходимы для вы</w:t>
      </w:r>
      <w:r w:rsidRPr="00C33834">
        <w:rPr>
          <w:rFonts w:ascii="Times New Roman" w:hAnsi="Times New Roman"/>
          <w:color w:val="0070C0"/>
          <w:sz w:val="16"/>
          <w:szCs w:val="16"/>
        </w:rPr>
        <w:softHyphen/>
        <w:t>полнения срочных заданий. Тов. Ильинский к секретной работе допущен.</w:t>
      </w:r>
    </w:p>
    <w:p w14:paraId="3005A316" w14:textId="77777777" w:rsidR="00685DD7" w:rsidRPr="00C33834" w:rsidRDefault="00685DD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Начальник НИИ ВВС РККА</w:t>
      </w:r>
      <w:r w:rsidRPr="00C33834">
        <w:rPr>
          <w:rFonts w:ascii="Times New Roman" w:hAnsi="Times New Roman"/>
          <w:color w:val="0070C0"/>
          <w:sz w:val="16"/>
          <w:szCs w:val="16"/>
        </w:rPr>
        <w:tab/>
        <w:t>Зильберт</w:t>
      </w:r>
    </w:p>
    <w:p w14:paraId="634E4A2C" w14:textId="77777777" w:rsidR="00685DD7" w:rsidRPr="00C33834" w:rsidRDefault="00685DD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Начальник Штаба НИИ ВВС РККА</w:t>
      </w:r>
      <w:r w:rsidRPr="00C33834">
        <w:rPr>
          <w:rFonts w:ascii="Times New Roman" w:hAnsi="Times New Roman"/>
          <w:color w:val="0070C0"/>
          <w:sz w:val="16"/>
          <w:szCs w:val="16"/>
        </w:rPr>
        <w:tab/>
        <w:t>Трунов».</w:t>
      </w:r>
    </w:p>
    <w:p w14:paraId="4D806941" w14:textId="77777777" w:rsidR="00685DD7" w:rsidRPr="00C33834" w:rsidRDefault="00685DD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Начальник ЦАГИ Харламов нало</w:t>
      </w:r>
      <w:r w:rsidRPr="00C33834">
        <w:rPr>
          <w:rFonts w:ascii="Times New Roman" w:hAnsi="Times New Roman"/>
          <w:color w:val="0070C0"/>
          <w:sz w:val="16"/>
          <w:szCs w:val="16"/>
        </w:rPr>
        <w:softHyphen/>
        <w:t>жил на письмо резолюцию: «Архангель</w:t>
      </w:r>
      <w:r w:rsidRPr="00C33834">
        <w:rPr>
          <w:rFonts w:ascii="Times New Roman" w:hAnsi="Times New Roman"/>
          <w:color w:val="0070C0"/>
          <w:sz w:val="16"/>
          <w:szCs w:val="16"/>
        </w:rPr>
        <w:softHyphen/>
        <w:t>скому. Выдать необходимые материалы. 1/ХП-ЗЗ г.» (21240).</w:t>
      </w:r>
    </w:p>
    <w:p w14:paraId="5252B256" w14:textId="77777777" w:rsidR="00685DD7" w:rsidRPr="00C33834" w:rsidRDefault="00685DD7" w:rsidP="00C33834">
      <w:pPr>
        <w:spacing w:after="0" w:line="240" w:lineRule="auto"/>
        <w:jc w:val="both"/>
        <w:rPr>
          <w:rFonts w:ascii="Times New Roman" w:hAnsi="Times New Roman"/>
          <w:color w:val="0070C0"/>
          <w:sz w:val="16"/>
          <w:szCs w:val="16"/>
        </w:rPr>
      </w:pPr>
    </w:p>
    <w:p w14:paraId="465020A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ноября 1933 удалось собрать бригаду из 16 человек, достали инструмент и материалы. С немалыми трудностями удалось вырубить СССР-Н10 изо льда и за 10 суток вытащить его на берег. После этого летчики отправились на рыбацкую зимовку. Регулярно, три раза в месяц Ивашина ходил за 80 км. для осмотра гидроплана.</w:t>
      </w:r>
    </w:p>
    <w:p w14:paraId="0B019A3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мая 1934 г. снег, лежавший на крыльях "Валя" начал подтаивать и пропитываться водой. Вес его увеличился, и появилась опасность деформации плоскостей. Новый спасательный отряд освободил самолет от снега, а Ивашина начал ремонт повреждений, полученных машиной за зиму. Когда залив освободился ото льда, оказалось, что самолет лежит в 1,5 км от берега - зимой спасатели явно перестарались.</w:t>
      </w:r>
    </w:p>
    <w:p w14:paraId="5785C08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Решили подвести к лодке воду протекавшей неподалеку речки. Две недели ушло на рытье канала. Еще трое суток Жихарев и Ивашина "по бурлацки" вели самолет по заливу, обходя подводные льдины, и два дня двигались по протоке к реке Юрибей. Здесь низкопробный бензин неожиданно дал вспышку, и летчики смогли дойти до Гыдо-Ямо на моторах. 23 августа экипаж Махоткина доставил сюда дополнительный бензин, после чего самолет перелетел для проведения ремонта в Красноярск (11970).</w:t>
      </w:r>
    </w:p>
    <w:p w14:paraId="41384D71"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27FFC3B1"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ноября 1933 прошли государственные испытания М-52, которые первоначально планировались на ок</w:t>
      </w:r>
      <w:r w:rsidRPr="00C33834">
        <w:rPr>
          <w:rFonts w:ascii="Times New Roman" w:hAnsi="Times New Roman"/>
          <w:color w:val="000000" w:themeColor="text1"/>
          <w:sz w:val="16"/>
          <w:szCs w:val="16"/>
        </w:rPr>
        <w:softHyphen/>
        <w:t>тябрь 1932 г., но в срок не уложи</w:t>
      </w:r>
      <w:r w:rsidRPr="00C33834">
        <w:rPr>
          <w:rFonts w:ascii="Times New Roman" w:hAnsi="Times New Roman"/>
          <w:color w:val="000000" w:themeColor="text1"/>
          <w:sz w:val="16"/>
          <w:szCs w:val="16"/>
        </w:rPr>
        <w:softHyphen/>
        <w:t>лись - первый опытный образец по</w:t>
      </w:r>
      <w:r w:rsidRPr="00C33834">
        <w:rPr>
          <w:rFonts w:ascii="Times New Roman" w:hAnsi="Times New Roman"/>
          <w:color w:val="000000" w:themeColor="text1"/>
          <w:sz w:val="16"/>
          <w:szCs w:val="16"/>
        </w:rPr>
        <w:softHyphen/>
        <w:t>ставили на станок, получив 480 л.с. Но проработал мотор недолго. После разрушения нижнего картера спроектировали новый его вариант, менее унифици</w:t>
      </w:r>
      <w:r w:rsidRPr="00C33834">
        <w:rPr>
          <w:rFonts w:ascii="Times New Roman" w:hAnsi="Times New Roman"/>
          <w:color w:val="000000" w:themeColor="text1"/>
          <w:sz w:val="16"/>
          <w:szCs w:val="16"/>
        </w:rPr>
        <w:softHyphen/>
        <w:t>рованный с М-34, облегченный и с отъемным носком. Изменения внесли также в коленчатый вал. Блок М-52 полностью взя</w:t>
      </w:r>
      <w:r w:rsidRPr="00C33834">
        <w:rPr>
          <w:rFonts w:ascii="Times New Roman" w:hAnsi="Times New Roman"/>
          <w:color w:val="000000" w:themeColor="text1"/>
          <w:sz w:val="16"/>
          <w:szCs w:val="16"/>
        </w:rPr>
        <w:softHyphen/>
        <w:t>ли от М-34, остальные детали и узлы постарались максимально с ним уни</w:t>
      </w:r>
      <w:r w:rsidRPr="00C33834">
        <w:rPr>
          <w:rFonts w:ascii="Times New Roman" w:hAnsi="Times New Roman"/>
          <w:color w:val="000000" w:themeColor="text1"/>
          <w:sz w:val="16"/>
          <w:szCs w:val="16"/>
        </w:rPr>
        <w:softHyphen/>
        <w:t>фицировать. Эскизно прорабатывался высотный вариант М-52 с дополнительным кислородным питанием. Тем временем испытания продолжили, но вскоре УВВС поте</w:t>
      </w:r>
      <w:r w:rsidRPr="00C33834">
        <w:rPr>
          <w:rFonts w:ascii="Times New Roman" w:hAnsi="Times New Roman"/>
          <w:color w:val="000000" w:themeColor="text1"/>
          <w:sz w:val="16"/>
          <w:szCs w:val="16"/>
        </w:rPr>
        <w:softHyphen/>
        <w:t>ряло интерес к М-52 и тему закрыли. Блоки от М-34 использовали так</w:t>
      </w:r>
      <w:r w:rsidRPr="00C33834">
        <w:rPr>
          <w:rFonts w:ascii="Times New Roman" w:hAnsi="Times New Roman"/>
          <w:color w:val="000000" w:themeColor="text1"/>
          <w:sz w:val="16"/>
          <w:szCs w:val="16"/>
        </w:rPr>
        <w:softHyphen/>
        <w:t>же в двух из трех спроектированных вариантов мощного двигателя М-35. Один был 18-цилиндровым УУ-образ-ным (три блока, стоящие через 80° друг от друга), другой - 24-цилиндровым Х-образным (четыре блока). М-55 представлял собой перевер</w:t>
      </w:r>
      <w:r w:rsidRPr="00C33834">
        <w:rPr>
          <w:rFonts w:ascii="Times New Roman" w:hAnsi="Times New Roman"/>
          <w:color w:val="000000" w:themeColor="text1"/>
          <w:sz w:val="16"/>
          <w:szCs w:val="16"/>
        </w:rPr>
        <w:softHyphen/>
        <w:t>нутый (головками вниз) вариант М-34. Проведение его заводских испыта</w:t>
      </w:r>
      <w:r w:rsidRPr="00C33834">
        <w:rPr>
          <w:rFonts w:ascii="Times New Roman" w:hAnsi="Times New Roman"/>
          <w:color w:val="000000" w:themeColor="text1"/>
          <w:sz w:val="16"/>
          <w:szCs w:val="16"/>
        </w:rPr>
        <w:softHyphen/>
        <w:t>ний планировалось на август-октябрь 1933 г. Но работу по нему прекра</w:t>
      </w:r>
      <w:r w:rsidRPr="00C33834">
        <w:rPr>
          <w:rFonts w:ascii="Times New Roman" w:hAnsi="Times New Roman"/>
          <w:color w:val="000000" w:themeColor="text1"/>
          <w:sz w:val="16"/>
          <w:szCs w:val="16"/>
        </w:rPr>
        <w:softHyphen/>
        <w:t>тили в 1932 г., поскольку сочли, что эта схема не даст существенных пре</w:t>
      </w:r>
      <w:r w:rsidRPr="00C33834">
        <w:rPr>
          <w:rFonts w:ascii="Times New Roman" w:hAnsi="Times New Roman"/>
          <w:color w:val="000000" w:themeColor="text1"/>
          <w:sz w:val="16"/>
          <w:szCs w:val="16"/>
        </w:rPr>
        <w:softHyphen/>
        <w:t>имуществ. Опытные образцы М-55 не изготовлялись. Все эти боковые ответвления эво</w:t>
      </w:r>
      <w:r w:rsidRPr="00C33834">
        <w:rPr>
          <w:rFonts w:ascii="Times New Roman" w:hAnsi="Times New Roman"/>
          <w:color w:val="000000" w:themeColor="text1"/>
          <w:sz w:val="16"/>
          <w:szCs w:val="16"/>
        </w:rPr>
        <w:softHyphen/>
        <w:t>люции двигателя оказались бесплод</w:t>
      </w:r>
      <w:r w:rsidRPr="00C33834">
        <w:rPr>
          <w:rFonts w:ascii="Times New Roman" w:hAnsi="Times New Roman"/>
          <w:color w:val="000000" w:themeColor="text1"/>
          <w:sz w:val="16"/>
          <w:szCs w:val="16"/>
        </w:rPr>
        <w:softHyphen/>
        <w:t>ными. Зато сам М-34 постоянно со</w:t>
      </w:r>
      <w:r w:rsidRPr="00C33834">
        <w:rPr>
          <w:rFonts w:ascii="Times New Roman" w:hAnsi="Times New Roman"/>
          <w:color w:val="000000" w:themeColor="text1"/>
          <w:sz w:val="16"/>
          <w:szCs w:val="16"/>
        </w:rPr>
        <w:softHyphen/>
        <w:t>вершенствовался. Первым его вари</w:t>
      </w:r>
      <w:r w:rsidRPr="00C33834">
        <w:rPr>
          <w:rFonts w:ascii="Times New Roman" w:hAnsi="Times New Roman"/>
          <w:color w:val="000000" w:themeColor="text1"/>
          <w:sz w:val="16"/>
          <w:szCs w:val="16"/>
        </w:rPr>
        <w:softHyphen/>
        <w:t>антом стал М-34Ф, выпущенный ма</w:t>
      </w:r>
      <w:r w:rsidRPr="00C33834">
        <w:rPr>
          <w:rFonts w:ascii="Times New Roman" w:hAnsi="Times New Roman"/>
          <w:color w:val="000000" w:themeColor="text1"/>
          <w:sz w:val="16"/>
          <w:szCs w:val="16"/>
        </w:rPr>
        <w:softHyphen/>
        <w:t>лой серией в июне 1933 г. Мотор форсировали по оборотам без вне</w:t>
      </w:r>
      <w:r w:rsidRPr="00C33834">
        <w:rPr>
          <w:rFonts w:ascii="Times New Roman" w:hAnsi="Times New Roman"/>
          <w:color w:val="000000" w:themeColor="text1"/>
          <w:sz w:val="16"/>
          <w:szCs w:val="16"/>
        </w:rPr>
        <w:softHyphen/>
        <w:t>сения существенных конструктивных изменений только за счет регулиров</w:t>
      </w:r>
      <w:r w:rsidRPr="00C33834">
        <w:rPr>
          <w:rFonts w:ascii="Times New Roman" w:hAnsi="Times New Roman"/>
          <w:color w:val="000000" w:themeColor="text1"/>
          <w:sz w:val="16"/>
          <w:szCs w:val="16"/>
        </w:rPr>
        <w:softHyphen/>
        <w:t>ки, получив на максимальных обо</w:t>
      </w:r>
      <w:r w:rsidRPr="00C33834">
        <w:rPr>
          <w:rFonts w:ascii="Times New Roman" w:hAnsi="Times New Roman"/>
          <w:color w:val="000000" w:themeColor="text1"/>
          <w:sz w:val="16"/>
          <w:szCs w:val="16"/>
        </w:rPr>
        <w:softHyphen/>
        <w:t>ротах 830 л.с. В плане УВВС стоял и форсированный до 900 л.с. вариант М-34, именовавшийся М-54. Но он существовал, только в строчках до</w:t>
      </w:r>
      <w:r w:rsidRPr="00C33834">
        <w:rPr>
          <w:rFonts w:ascii="Times New Roman" w:hAnsi="Times New Roman"/>
          <w:color w:val="000000" w:themeColor="text1"/>
          <w:sz w:val="16"/>
          <w:szCs w:val="16"/>
        </w:rPr>
        <w:softHyphen/>
        <w:t>кументов, также как имевший такую же мощность М-34ФРНУ. К более позднему типу ФРН он никакого от</w:t>
      </w:r>
      <w:r w:rsidRPr="00C33834">
        <w:rPr>
          <w:rFonts w:ascii="Times New Roman" w:hAnsi="Times New Roman"/>
          <w:color w:val="000000" w:themeColor="text1"/>
          <w:sz w:val="16"/>
          <w:szCs w:val="16"/>
        </w:rPr>
        <w:softHyphen/>
        <w:t>ношения не имел - предусматрива</w:t>
      </w:r>
      <w:r w:rsidRPr="00C33834">
        <w:rPr>
          <w:rFonts w:ascii="Times New Roman" w:hAnsi="Times New Roman"/>
          <w:color w:val="000000" w:themeColor="text1"/>
          <w:sz w:val="16"/>
          <w:szCs w:val="16"/>
        </w:rPr>
        <w:softHyphen/>
        <w:t>лось, что это будет развитие М-34Ф с редуктором, выключаемым нагне</w:t>
      </w:r>
      <w:r w:rsidRPr="00C33834">
        <w:rPr>
          <w:rFonts w:ascii="Times New Roman" w:hAnsi="Times New Roman"/>
          <w:color w:val="000000" w:themeColor="text1"/>
          <w:sz w:val="16"/>
          <w:szCs w:val="16"/>
        </w:rPr>
        <w:softHyphen/>
        <w:t>тателем и удлиненным валом. Фактически только один серийный самолет оснащался М-34 - тяжелый бомбардировщик ТБ-3. Хлопот с этим было много: пришлось менять мото</w:t>
      </w:r>
      <w:r w:rsidRPr="00C33834">
        <w:rPr>
          <w:rFonts w:ascii="Times New Roman" w:hAnsi="Times New Roman"/>
          <w:color w:val="000000" w:themeColor="text1"/>
          <w:sz w:val="16"/>
          <w:szCs w:val="16"/>
        </w:rPr>
        <w:softHyphen/>
        <w:t>рамы, радиаторы и многое другое. А результат оказался почти нулевым. Практически весь прирост мощнос</w:t>
      </w:r>
      <w:r w:rsidRPr="00C33834">
        <w:rPr>
          <w:rFonts w:ascii="Times New Roman" w:hAnsi="Times New Roman"/>
          <w:color w:val="000000" w:themeColor="text1"/>
          <w:sz w:val="16"/>
          <w:szCs w:val="16"/>
        </w:rPr>
        <w:softHyphen/>
        <w:t>ти «съел» увеличившийся вес мото</w:t>
      </w:r>
      <w:r w:rsidRPr="00C33834">
        <w:rPr>
          <w:rFonts w:ascii="Times New Roman" w:hAnsi="Times New Roman"/>
          <w:color w:val="000000" w:themeColor="text1"/>
          <w:sz w:val="16"/>
          <w:szCs w:val="16"/>
        </w:rPr>
        <w:softHyphen/>
        <w:t>установки. УВВС потребовало установить на М-34 редуктор. Он должен был по</w:t>
      </w:r>
      <w:r w:rsidRPr="00C33834">
        <w:rPr>
          <w:rFonts w:ascii="Times New Roman" w:hAnsi="Times New Roman"/>
          <w:color w:val="000000" w:themeColor="text1"/>
          <w:sz w:val="16"/>
          <w:szCs w:val="16"/>
        </w:rPr>
        <w:softHyphen/>
        <w:t>высить эффективность работы про</w:t>
      </w:r>
      <w:r w:rsidRPr="00C33834">
        <w:rPr>
          <w:rFonts w:ascii="Times New Roman" w:hAnsi="Times New Roman"/>
          <w:color w:val="000000" w:themeColor="text1"/>
          <w:sz w:val="16"/>
          <w:szCs w:val="16"/>
        </w:rPr>
        <w:softHyphen/>
        <w:t>пеллера на тихоходном самолете. В результате появился М-34Р. Носок картера стал отъемным, в нем разместили простенький редуктор-«гитару» из двух шестерен. Он под</w:t>
      </w:r>
      <w:r w:rsidRPr="00C33834">
        <w:rPr>
          <w:rFonts w:ascii="Times New Roman" w:hAnsi="Times New Roman"/>
          <w:color w:val="000000" w:themeColor="text1"/>
          <w:sz w:val="16"/>
          <w:szCs w:val="16"/>
        </w:rPr>
        <w:softHyphen/>
        <w:t>нял вес двигателя примерно на 70 кг. Как отметили специалисты НИИ ВВС, это было примерно в полтора раза больше, чем у иностранных конст</w:t>
      </w:r>
      <w:r w:rsidRPr="00C33834">
        <w:rPr>
          <w:rFonts w:ascii="Times New Roman" w:hAnsi="Times New Roman"/>
          <w:color w:val="000000" w:themeColor="text1"/>
          <w:sz w:val="16"/>
          <w:szCs w:val="16"/>
        </w:rPr>
        <w:softHyphen/>
        <w:t>рукций с той же мощностью. Первый опытный образец М-34Р завершили 6 ноября 1932 г.; всего их сделали семь. Полгода продолжались завод</w:t>
      </w:r>
      <w:r w:rsidRPr="00C33834">
        <w:rPr>
          <w:rFonts w:ascii="Times New Roman" w:hAnsi="Times New Roman"/>
          <w:color w:val="000000" w:themeColor="text1"/>
          <w:sz w:val="16"/>
          <w:szCs w:val="16"/>
        </w:rPr>
        <w:softHyphen/>
        <w:t>ские испытания и доводка, а в апре</w:t>
      </w:r>
      <w:r w:rsidRPr="00C33834">
        <w:rPr>
          <w:rFonts w:ascii="Times New Roman" w:hAnsi="Times New Roman"/>
          <w:color w:val="000000" w:themeColor="text1"/>
          <w:sz w:val="16"/>
          <w:szCs w:val="16"/>
        </w:rPr>
        <w:softHyphen/>
        <w:t>ле-мае 1933 г. прошли государствен</w:t>
      </w:r>
      <w:r w:rsidRPr="00C33834">
        <w:rPr>
          <w:rFonts w:ascii="Times New Roman" w:hAnsi="Times New Roman"/>
          <w:color w:val="000000" w:themeColor="text1"/>
          <w:sz w:val="16"/>
          <w:szCs w:val="16"/>
        </w:rPr>
        <w:softHyphen/>
        <w:t>ные испытания на стенде. Один из двух участвовавших в них двигателей сломался (полетела вертикальная передача к распределительному валу). Но правила испытаний разре</w:t>
      </w:r>
      <w:r w:rsidRPr="00C33834">
        <w:rPr>
          <w:rFonts w:ascii="Times New Roman" w:hAnsi="Times New Roman"/>
          <w:color w:val="000000" w:themeColor="text1"/>
          <w:sz w:val="16"/>
          <w:szCs w:val="16"/>
        </w:rPr>
        <w:softHyphen/>
        <w:t>шали замену и вторую попытку. В итоге — «удовлетворительно» (11848).</w:t>
      </w:r>
    </w:p>
    <w:p w14:paraId="1A031666"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p>
    <w:p w14:paraId="037F0A45"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BB9A9EC"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5CB886B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7 ноября 1933 в прессе была большая шумиха по поводу К-7 (70,233).</w:t>
      </w:r>
    </w:p>
    <w:p w14:paraId="2E142AD7"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56BC3B3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ноября 1933 ОСГА-101 И.В.Четверикова была выставлена на Красной площади рядом с моделью аэростата СССР (122,27).</w:t>
      </w:r>
    </w:p>
    <w:p w14:paraId="0E38A74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самолет был выпущен весной 1934 (1076,901).</w:t>
      </w:r>
    </w:p>
    <w:p w14:paraId="2E759FF7"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70E30614" w14:textId="77777777" w:rsidR="00D8045E" w:rsidRPr="00C33834" w:rsidRDefault="00D8045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 ноября 1933 первый в Советском Союзе аэровокзальный комплекс, который однажды станет Беларусью, открывается в Минске в Белорусской Советской Социалистической Республике (20802).</w:t>
      </w:r>
    </w:p>
    <w:p w14:paraId="506D1AF6" w14:textId="77777777" w:rsidR="00D8045E" w:rsidRPr="00C33834" w:rsidRDefault="00D8045E" w:rsidP="00C33834">
      <w:pPr>
        <w:spacing w:after="0" w:line="240" w:lineRule="auto"/>
        <w:jc w:val="both"/>
        <w:rPr>
          <w:rFonts w:ascii="Times New Roman" w:hAnsi="Times New Roman"/>
          <w:color w:val="0070C0"/>
          <w:sz w:val="16"/>
          <w:szCs w:val="16"/>
        </w:rPr>
      </w:pPr>
    </w:p>
    <w:p w14:paraId="71868C69"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1C59580"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240524F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ноября 1933 первый танк Т-35, собранный в Харькове, после предварительной обкатки принял участие в праздничном параде в Харькове (в то время столица Украины). В этот же день оба прототипа - Т-35-1 и Т-35-2 были показаны на параде в Москве (3862).</w:t>
      </w:r>
    </w:p>
    <w:p w14:paraId="746907C6"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7C5C3F85"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ноября 1935 Т-35А принял учасвовать в параде в столице Украины, городе Харькове. Интерес</w:t>
      </w:r>
      <w:r w:rsidRPr="00C33834">
        <w:rPr>
          <w:rFonts w:ascii="Times New Roman" w:hAnsi="Times New Roman"/>
          <w:color w:val="000000" w:themeColor="text1"/>
          <w:sz w:val="16"/>
          <w:szCs w:val="16"/>
        </w:rPr>
        <w:softHyphen/>
        <w:t>но отметить то, что, возвращаясь после парада, танк вышел из строя. Однако он был замечен представителями СМИ. “Сегодня столица Украины приветствовала новый советский тяжелый танк... Эта мощная пятибашенная машина, воорурженная пулеметами и пушками, станет грозой всем недругам, которые мечтают о нападении на нашу миролюбивую Советскую Родину», - писала в те дни пресса (газета «Ленинское знамя», 7-8 ноября 1933 г.). Тогда же при рассмотрении вопроса отражения возможной агрессии на Украину со стороны Польши в расчетах командования Киевского Военного округа уже фигурировал батальон танков Т-35А. Но испытания первого танка на местности были не столь радужными. Новый танк был недостаточно подвижен и больше находился в ремонте, нежели служил (10733,264).</w:t>
      </w:r>
    </w:p>
    <w:p w14:paraId="79FDD69C"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p>
    <w:p w14:paraId="1A1F244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ноября 1933 на параде в Харькове продемонстрировали БТ-32 - танк Кристи М.1932 и эти 15 км зачли в испытания (3879,37).</w:t>
      </w:r>
    </w:p>
    <w:p w14:paraId="37BF3FD0"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3EFFD2BF"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ноября 1933 г. первые серийные танки Т-37А вместе с Т-41 были показаны во время парада на Красной площади (10733,155).</w:t>
      </w:r>
    </w:p>
    <w:p w14:paraId="7744CE76"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p>
    <w:p w14:paraId="25B18658"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7 ноября 1933 г. на ЧТЗ выпустили тысячный трактор С-60. Всего за 1933 г. изготовили 1650 машин, за 1934 г. — 10100, за 1935 г. - 20450, за 1936 г. - 29059, до 31 марта 1937 г. - 8002 (в марте - 2810) (12258).</w:t>
      </w:r>
    </w:p>
    <w:p w14:paraId="267BB304" w14:textId="77777777" w:rsidR="00BA29CE" w:rsidRPr="00C33834" w:rsidRDefault="00BA29CE" w:rsidP="00C33834">
      <w:pPr>
        <w:spacing w:after="0" w:line="240" w:lineRule="auto"/>
        <w:jc w:val="both"/>
        <w:rPr>
          <w:rFonts w:ascii="Times New Roman" w:hAnsi="Times New Roman"/>
          <w:color w:val="000000" w:themeColor="text1"/>
          <w:sz w:val="16"/>
          <w:szCs w:val="16"/>
        </w:rPr>
      </w:pPr>
    </w:p>
    <w:p w14:paraId="728F5A25"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7 ноября 1933 г. была подготовлена </w:t>
      </w:r>
      <w:r w:rsidRPr="00C33834">
        <w:rPr>
          <w:rStyle w:val="12"/>
          <w:b w:val="0"/>
          <w:bCs w:val="0"/>
          <w:i w:val="0"/>
          <w:iCs w:val="0"/>
          <w:color w:val="000000" w:themeColor="text1"/>
          <w:spacing w:val="0"/>
          <w:kern w:val="0"/>
          <w:position w:val="0"/>
          <w:sz w:val="16"/>
          <w:szCs w:val="16"/>
          <w:lang w:val="ru-RU"/>
        </w:rPr>
        <w:t xml:space="preserve">ДОКЛАДНАЯ ЗАПИСКА </w:t>
      </w:r>
      <w:r w:rsidRPr="00C33834">
        <w:rPr>
          <w:i w:val="0"/>
          <w:iCs w:val="0"/>
          <w:color w:val="000000" w:themeColor="text1"/>
          <w:spacing w:val="0"/>
          <w:kern w:val="0"/>
          <w:position w:val="0"/>
          <w:sz w:val="16"/>
          <w:szCs w:val="16"/>
          <w:lang w:val="ru-RU"/>
        </w:rPr>
        <w:t>№ 50798</w:t>
      </w:r>
    </w:p>
    <w:p w14:paraId="00823867"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Секретарю ЦК ВКП(б) </w:t>
      </w:r>
    </w:p>
    <w:p w14:paraId="1EBA7DBE"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Тов. Сталину</w:t>
      </w:r>
    </w:p>
    <w:p w14:paraId="7376AFF2"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rStyle w:val="12"/>
          <w:b w:val="0"/>
          <w:bCs w:val="0"/>
          <w:i w:val="0"/>
          <w:iCs w:val="0"/>
          <w:color w:val="000000" w:themeColor="text1"/>
          <w:spacing w:val="0"/>
          <w:kern w:val="0"/>
          <w:position w:val="0"/>
          <w:sz w:val="16"/>
          <w:szCs w:val="16"/>
          <w:lang w:val="ru-RU"/>
        </w:rPr>
        <w:t>Совершенно секретно</w:t>
      </w:r>
    </w:p>
    <w:p w14:paraId="2B48DF06"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Общество с ограниченной ответственностью под названием "Контроль К°" ведет на территории СССР работу по контролю веса, фрах­та и качества экспортируемых нами заграницу товаров (хлеб, уголь, нефть и т д.). В соответствии с характером операции "Контроль-К°" организовало свои конторы во всех портах Черного, Азовского и Балтийского морей (Одесса, Херсон, Николаев, Мариуполь, Бердянск, Новороссийск, Ленинград).</w:t>
      </w:r>
    </w:p>
    <w:p w14:paraId="25A0AE0A"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Документами царской контрразведки устанавливалось, что ряд служащих фирмы "Гольдштик, Гейнце и К</w:t>
      </w:r>
      <w:r w:rsidRPr="00C33834">
        <w:rPr>
          <w:i w:val="0"/>
          <w:iCs w:val="0"/>
          <w:color w:val="000000" w:themeColor="text1"/>
          <w:spacing w:val="0"/>
          <w:kern w:val="0"/>
          <w:position w:val="0"/>
          <w:sz w:val="16"/>
          <w:szCs w:val="16"/>
          <w:vertAlign w:val="superscript"/>
          <w:lang w:val="ru-RU"/>
        </w:rPr>
        <w:t>с</w:t>
      </w:r>
      <w:r w:rsidRPr="00C33834">
        <w:rPr>
          <w:i w:val="0"/>
          <w:iCs w:val="0"/>
          <w:color w:val="000000" w:themeColor="text1"/>
          <w:spacing w:val="0"/>
          <w:kern w:val="0"/>
          <w:position w:val="0"/>
          <w:sz w:val="16"/>
          <w:szCs w:val="16"/>
          <w:lang w:val="ru-RU"/>
        </w:rPr>
        <w:t>", функции и значитель­ная часть личного состава, которой после революции перешли в "Контроль К°", использовались германским генеральным штабом для ак­тивной разведывательной работы.</w:t>
      </w:r>
    </w:p>
    <w:p w14:paraId="20418CB4"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 порядке агентурной проверки деятельности и связей управляю­щего конторой "Контроль К°" в гор Мариуполе австрийского под­данного доктора химии Вайнтцетеля И М. было установлено, что на заводах "Марти" и № 61, минных погребах и огнескладах в ropoде Николаеве, на заводах "Ильича" и "Азовстали" в городе Мариуполе создана широкая разведывательная сеть.</w:t>
      </w:r>
    </w:p>
    <w:p w14:paraId="0DBF8B6B"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22-го октября был подожжен эллинг судостроительного завода им. "Марти" в Николаеве и происшедшим поджогом выведены из строя две подводные лодки, предназначенные для отправки на Дальний Восток.</w:t>
      </w:r>
    </w:p>
    <w:p w14:paraId="085439ED"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lastRenderedPageBreak/>
        <w:t>Арестованный по подозрению в совершении поджога начальник производственного отдела завода инженер Гуммерт Ю А. (советский гражданин) показал, что поджог эллинга произведен им по зада­нию немецких инженеров Карлла Г.В. и Кришайта Рихарда (герман­ский подданный), завербовавших его для разведывательной и ди­версионной работы.</w:t>
      </w:r>
    </w:p>
    <w:p w14:paraId="223EF977"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Непосредственными выполнителями акта являлись инженер Горовенко и мастера Плохим и Ивановский (оба ранее исключены из ря­дов ВКП(б) Поджог был произведен путем короткого замыкания тока под полом эллинга, который предварительно в соответствующем мес­те мастером Плохим был облит воспламеняющимся веществом ("Кузбаслак") Предполагалось, что огонь охватит площадь, где находится большой бак с "Кузбаслаком" и вызовет взрыв, в результате которо­го будут приведены в негодность остальные подводные лодки, нахо­дящиеся в эллинге. Дувший с моря ветер способствовал быстрому распространению огня и гибели двух подводных лодок.</w:t>
      </w:r>
    </w:p>
    <w:p w14:paraId="64F4FED4"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После осуществления поджога намечалось выполнение еще ряда диверсионных актов - подорвать главный плавучий кран, разрушить энергетическое хозяйство завода - вывести, таким образом, на дли­тельный срок завод "Марти". Одновременно должны были быть взор­ваны минный погреб и огнесклады в гор Николаеве</w:t>
      </w:r>
    </w:p>
    <w:p w14:paraId="25E0F87D"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Группа диверсантов, на коих было возложено выполнение дивер­сии, арестованы и сознались.</w:t>
      </w:r>
    </w:p>
    <w:p w14:paraId="42A99559"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Следствием установлено, что организаторы диверсионной рабо­ты германские инженеры Карлл и Кришайт были связаны с указан­ным выше Вайнцетелем И.М., управляющим конторой "Контроль К°" в Мариуполе.</w:t>
      </w:r>
    </w:p>
    <w:p w14:paraId="7ED34B2C"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Дальнейшие аресты служащих завода им. Марти, связанных по делу "Контроль К°" с немецкими специалистами Карлл и Кришайтом, - начальника отдела технико-экономического планирования Шеффера Артура (гр, СССР), консультанта по котлостроению Фоге­ля Отто (гр. СССР) и начальника отдела калькуляции, инженера Коз­ловского вскрыли широкую диверсионно-разведывательную работу, ведущуюся представителем фирмы "Контроль К°" Вайнцетелем (ав­стрийский подданный, арестован) через немецких специалистов Верман (германский подданный, арестован), сознался в диверсионно-раз­ведывательной работе), Кришайт (австрийский подданный, аресто­ван, сознался в диверсионно-разведывательной работе) и Карлл (гер­манский подданный, арестован).</w:t>
      </w:r>
    </w:p>
    <w:p w14:paraId="0AF7E102"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Произведенная ликвидация остальных связей Вайнцетеля по су­достроительному заводу им. Марти и по заводу им. Ильича полностью подтвердила как разведывательную деятельность последнего, так и подготовку им диверсионных кадров.</w:t>
      </w:r>
    </w:p>
    <w:p w14:paraId="627FAD51"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Арестованный начальник парового хозяйства завода "Ильича" румынский подданный Танку Э.Г. показал, что в круг его обязанно­стей входило не только собирание данных об оборонной продукции завода, но и осуществление диверсионных актов. По заданиям Вай­нцетеля, он должен был вывести из строя паровое хозяйство завода, обслуживающее все агрегаты и состоящие из 5-ти котельных установок и разрушить новую электростанцию, оснащенную 6-ю котель­ными установками с 3-мя турбинами, каждая мощностью в 6200 квт.</w:t>
      </w:r>
    </w:p>
    <w:p w14:paraId="5728E0FA"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Арестованный инженер-химик того же завода Ставровский (советский гражданин) показал, что он разновременно передал Вайнцетелю самые подробные сведения о производительной мощности за­вода, о выработке новой специальной броневой стали, так называе­мой двухслойной марки "МИ", способом получения которой особен­но интересовалась германская разведка</w:t>
      </w:r>
    </w:p>
    <w:p w14:paraId="564BCDE1"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Всей суммой полученных материалов устанавливается, что Вайнцетель распространил свою разведывательную деятельность на все Черноморское побережье, организовав сеть ячеек, выявленных к на­стоящему времени, и во главе которых стояли в г Одессе - предста­витель п/х К° "Дейтш-Левант Линие" - Мевес (германский поддан­ный) и его помощник, представитель ''Контроль К°" Герме (сов граж­данин, арестован, сознался в диверсионно-разведывательной рабо­те), в Севастополе на морском]заводе, вНовороссийске - Вайнцетель Карл (австрийский подданный) и его ближайший помощник Щеглов (гр. СССР).</w:t>
      </w:r>
    </w:p>
    <w:p w14:paraId="352622A1"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Агентурой Вайнцетеля являлись работающие на заводах немец­кие специалисты, старослужащие различных немецких фирм, в част­ности фирмы 'Тольдштик, Гейнце и К°", имевшей до войны отделе­ния почти во всех портовых городах Черного и Азовского морей, лю­теранское духовенство и выходцы из немецких колоний, бежавших от раскулачивания, и устроившиеся в качестве рабочих на различ­ных промышленных предприятиях, фабриках и новостройках.</w:t>
      </w:r>
    </w:p>
    <w:p w14:paraId="130B57ED"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Центр диверсионно-разведывательной работы, как установлено материалами следствия и агентуры, возглавлялся представителем фирмы "Контроль К°" в СССР бельгийским подданным Бернард С.К.</w:t>
      </w:r>
    </w:p>
    <w:p w14:paraId="3538E5FB"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Арестованный сотрудник московской конторы "Контроль К°", бывший белый офицер и германский шпион со времен мировой вой­ны Гаман Г.А. (сов гражданин), подтвердил, что под прикрытием фирмы осуществляется активная диверсионная деятельность герман­ской разведки, начало которой положено германским генштабом еще во время империалистической войны.</w:t>
      </w:r>
    </w:p>
    <w:p w14:paraId="62DBA194"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Для характеристики активности вскрытой диверсионно-шпионской организации заслуживает внимания имевший место 28-го октяб­ря 1933 г. случай расправы с сотрудницей германской разведки Михельсон Г К , работавшей в качестве машинистки в "Контроль К°".</w:t>
      </w:r>
    </w:p>
    <w:p w14:paraId="1ED28AFA"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Гаман показал, что, будучи связан с ней непосредственно по раз­ведывательной линии, он заметил, что после арестов, произведенных нашими органами среди сотрудников "Контроль К°" на Украине, Михельсон начала нервничать и проявлять тенденции к тому, чтобы разоблачить перед ОГПУ известные ей факты диверсионно-разведы­вательной работы Для предотвращения этого Гаман выбросил Ми­хельсон под встречный поезд между станциями Плющево и Вишняки, Казанской ж д (Михельсон погибла).</w:t>
      </w:r>
    </w:p>
    <w:p w14:paraId="0E2A54FE"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 целях развертывания следствия и проверки первичных показа­ний мою были командированы на Украину начальник Особого от­дела тов. Гай" и зам начальника ЭКУ тон Шанин. Проведенная ими агентурно-следственная работа полностью подтвердила имею­щиеся данные о диверсионной деятельности '' К°".</w:t>
      </w:r>
    </w:p>
    <w:p w14:paraId="090B4248"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Для ликвидации диверсионной работы немецкой разведки считал бы необходимым произвести арест представителя фирмы "Контроль К°" Бернард С К , бельгийского подданного, Вайнцетеля Карла, ав­стрийского подданного, управляющего отделением той-же фирмы в гор. Новороссийске и представителя п/х К "Дейтш-Левант Линие" Мевеса (германский подданный) в Одессе. </w:t>
      </w:r>
    </w:p>
    <w:p w14:paraId="0FFA8BDE"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Зам. пред. ОГПУ Ягода</w:t>
      </w:r>
    </w:p>
    <w:p w14:paraId="19D4709C" w14:textId="77777777" w:rsidR="00570C39" w:rsidRPr="00C33834" w:rsidRDefault="00570C39" w:rsidP="00C33834">
      <w:pPr>
        <w:pStyle w:val="af2"/>
        <w:jc w:val="both"/>
        <w:rPr>
          <w:bCs/>
          <w:i w:val="0"/>
          <w:iCs w:val="0"/>
          <w:color w:val="000000" w:themeColor="text1"/>
          <w:spacing w:val="0"/>
          <w:kern w:val="0"/>
          <w:position w:val="0"/>
          <w:sz w:val="16"/>
          <w:szCs w:val="16"/>
          <w:lang w:val="ru-RU"/>
        </w:rPr>
      </w:pPr>
      <w:r w:rsidRPr="00C33834">
        <w:rPr>
          <w:rStyle w:val="12"/>
          <w:b w:val="0"/>
          <w:bCs w:val="0"/>
          <w:i w:val="0"/>
          <w:iCs w:val="0"/>
          <w:color w:val="000000" w:themeColor="text1"/>
          <w:spacing w:val="0"/>
          <w:kern w:val="0"/>
          <w:position w:val="0"/>
          <w:sz w:val="16"/>
          <w:szCs w:val="16"/>
          <w:lang w:val="ru-RU"/>
        </w:rPr>
        <w:t>АП РФ, ф. 3, оп. 58, д. 243, л. 196-200 (11462).</w:t>
      </w:r>
    </w:p>
    <w:p w14:paraId="05F0C38D" w14:textId="77777777" w:rsidR="00570C39" w:rsidRPr="00C33834" w:rsidRDefault="00570C39" w:rsidP="00C33834">
      <w:pPr>
        <w:pStyle w:val="af2"/>
        <w:jc w:val="both"/>
        <w:rPr>
          <w:i w:val="0"/>
          <w:iCs w:val="0"/>
          <w:color w:val="000000" w:themeColor="text1"/>
          <w:spacing w:val="0"/>
          <w:kern w:val="0"/>
          <w:position w:val="0"/>
          <w:sz w:val="16"/>
          <w:szCs w:val="16"/>
          <w:lang w:val="ru-RU"/>
        </w:rPr>
      </w:pPr>
    </w:p>
    <w:p w14:paraId="008AB884" w14:textId="77777777" w:rsidR="002C03D8"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64D54D95" w14:textId="77777777" w:rsidR="002C03D8" w:rsidRPr="00C33834" w:rsidRDefault="002C03D8" w:rsidP="00C33834">
      <w:pPr>
        <w:spacing w:after="0" w:line="240" w:lineRule="auto"/>
        <w:jc w:val="both"/>
        <w:rPr>
          <w:rFonts w:ascii="Times New Roman" w:hAnsi="Times New Roman"/>
          <w:color w:val="000000" w:themeColor="text1"/>
          <w:sz w:val="16"/>
          <w:szCs w:val="16"/>
        </w:rPr>
      </w:pPr>
    </w:p>
    <w:p w14:paraId="660E3EB8" w14:textId="77777777" w:rsidR="002C03D8" w:rsidRPr="00C33834" w:rsidRDefault="002C03D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ноября 1933 г. начальник научной экспедиции на парохо</w:t>
      </w:r>
      <w:r w:rsidRPr="00C33834">
        <w:rPr>
          <w:rFonts w:ascii="Times New Roman" w:hAnsi="Times New Roman"/>
          <w:color w:val="000000" w:themeColor="text1"/>
          <w:sz w:val="16"/>
          <w:szCs w:val="16"/>
        </w:rPr>
        <w:softHyphen/>
        <w:t>де «Челюскин» О.Ю. Шмидт радировал в Москву, что они находятся в Беринговом про</w:t>
      </w:r>
      <w:r w:rsidRPr="00C33834">
        <w:rPr>
          <w:rFonts w:ascii="Times New Roman" w:hAnsi="Times New Roman"/>
          <w:color w:val="000000" w:themeColor="text1"/>
          <w:sz w:val="16"/>
          <w:szCs w:val="16"/>
        </w:rPr>
        <w:softHyphen/>
        <w:t>ливе у острова Диомида, всего лишь в двух милях от чистой воды. Прошло несколько дней напряженного ожидания, но надеждам не суждено было оправ</w:t>
      </w:r>
      <w:r w:rsidRPr="00C33834">
        <w:rPr>
          <w:rFonts w:ascii="Times New Roman" w:hAnsi="Times New Roman"/>
          <w:color w:val="000000" w:themeColor="text1"/>
          <w:sz w:val="16"/>
          <w:szCs w:val="16"/>
        </w:rPr>
        <w:softHyphen/>
        <w:t>даться. Начавшимся штормом льды понесло в обратном направлении.</w:t>
      </w:r>
    </w:p>
    <w:p w14:paraId="4B890C3C" w14:textId="77777777" w:rsidR="002C03D8" w:rsidRPr="00C33834" w:rsidRDefault="002C03D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Чукчи снова видели «Челюскин» в районе мыса Сердце-Камень, милях в 10—15 от берега. Он был беспомощен, льды тащили судно на восток. Охотники тогда говорили, что, если бы пароход мог проломить кромку и приблизиться к берегу, дальше свобод</w:t>
      </w:r>
      <w:r w:rsidRPr="00C33834">
        <w:rPr>
          <w:rFonts w:ascii="Times New Roman" w:hAnsi="Times New Roman"/>
          <w:color w:val="000000" w:themeColor="text1"/>
          <w:sz w:val="16"/>
          <w:szCs w:val="16"/>
        </w:rPr>
        <w:softHyphen/>
        <w:t>ный путь был бы ему обеспечен. На помощь зазимовавшим пароходам из бухты Про</w:t>
      </w:r>
      <w:r w:rsidRPr="00C33834">
        <w:rPr>
          <w:rFonts w:ascii="Times New Roman" w:hAnsi="Times New Roman"/>
          <w:color w:val="000000" w:themeColor="text1"/>
          <w:sz w:val="16"/>
          <w:szCs w:val="16"/>
        </w:rPr>
        <w:softHyphen/>
        <w:t>видения вышел ледорез «Литке», но пробиться к «Челюскину» он не смог.</w:t>
      </w:r>
    </w:p>
    <w:p w14:paraId="63A72925" w14:textId="77777777" w:rsidR="002C03D8" w:rsidRPr="00C33834" w:rsidRDefault="002C03D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1928 г. для решения задачи освоение бескрайних просторов Севера и Чукотки под руководством бывшего главкома ВС РККА С.С. Каменева создали Арктическую правительственную комиссию. Построенный в 1933 г. в Дании по заказу СССР «Челюскин» предназначал</w:t>
      </w:r>
      <w:r w:rsidRPr="00C33834">
        <w:rPr>
          <w:rFonts w:ascii="Times New Roman" w:hAnsi="Times New Roman"/>
          <w:color w:val="000000" w:themeColor="text1"/>
          <w:sz w:val="16"/>
          <w:szCs w:val="16"/>
        </w:rPr>
        <w:softHyphen/>
        <w:t>ся для коммерческих плаваний в Арктике, хотя и не был ледоколом.</w:t>
      </w:r>
    </w:p>
    <w:p w14:paraId="1EE257FF" w14:textId="77777777" w:rsidR="002C03D8" w:rsidRPr="00C33834" w:rsidRDefault="002C03D8" w:rsidP="00C33834">
      <w:pPr>
        <w:pStyle w:val="45"/>
        <w:framePr w:h="196" w:vSpace="134" w:wrap="around" w:vAnchor="text" w:hAnchor="margin" w:x="7893" w:y="1695"/>
        <w:shd w:val="clear" w:color="auto" w:fill="auto"/>
        <w:spacing w:before="0" w:line="240" w:lineRule="auto"/>
        <w:jc w:val="both"/>
        <w:rPr>
          <w:rFonts w:ascii="Times New Roman" w:cs="Times New Roman"/>
          <w:color w:val="000000" w:themeColor="text1"/>
          <w:sz w:val="16"/>
          <w:szCs w:val="16"/>
        </w:rPr>
      </w:pPr>
      <w:r w:rsidRPr="00C33834">
        <w:rPr>
          <w:rFonts w:ascii="Times New Roman" w:cs="Times New Roman"/>
          <w:color w:val="000000" w:themeColor="text1"/>
          <w:sz w:val="16"/>
          <w:szCs w:val="16"/>
        </w:rPr>
        <w:t>93</w:t>
      </w:r>
    </w:p>
    <w:p w14:paraId="6C568629" w14:textId="77777777" w:rsidR="002C03D8" w:rsidRPr="00C33834" w:rsidRDefault="002C03D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Судоходство в районе побережья Чукотки год от года становилось все оживлённей. Если в 1920-х годах туда лишь изредка заходили американские шхуны и пароходы «Ставрополь» и «Колыма» из Владивостока, то в 1931 г. на Чукотку пришло 6 парохо</w:t>
      </w:r>
      <w:r w:rsidRPr="00C33834">
        <w:rPr>
          <w:rFonts w:ascii="Times New Roman" w:hAnsi="Times New Roman"/>
          <w:color w:val="000000" w:themeColor="text1"/>
          <w:sz w:val="16"/>
          <w:szCs w:val="16"/>
        </w:rPr>
        <w:softHyphen/>
        <w:t>дов, в 1932 г. — 12, а в 1933 — не менее 20. В том году там сложилась особенно тя</w:t>
      </w:r>
      <w:r w:rsidRPr="00C33834">
        <w:rPr>
          <w:rFonts w:ascii="Times New Roman" w:hAnsi="Times New Roman"/>
          <w:color w:val="000000" w:themeColor="text1"/>
          <w:sz w:val="16"/>
          <w:szCs w:val="16"/>
        </w:rPr>
        <w:softHyphen/>
        <w:t>желая ледовая обстановка. Из ледового плена не смогли выбраться и зазимовали три парохода, среди них «Челюскин». Жители посёлка Уэллен видели, как вмерзший во льды «Челюскин» дрейфовал в Берингов пролив (15822).</w:t>
      </w:r>
    </w:p>
    <w:p w14:paraId="4E65B965" w14:textId="77777777" w:rsidR="002C03D8" w:rsidRPr="00C33834" w:rsidRDefault="002C03D8" w:rsidP="00C33834">
      <w:pPr>
        <w:spacing w:after="0" w:line="240" w:lineRule="auto"/>
        <w:jc w:val="both"/>
        <w:rPr>
          <w:rFonts w:ascii="Times New Roman" w:hAnsi="Times New Roman"/>
          <w:color w:val="000000" w:themeColor="text1"/>
          <w:sz w:val="16"/>
          <w:szCs w:val="16"/>
        </w:rPr>
      </w:pPr>
    </w:p>
    <w:p w14:paraId="2F86441D"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CEFE001"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29716D8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ноября 1933 нач. РАУ РККА Н.А.Ефимов писал И.В.С. претензии к мобилизационной работе в промышленности. В 1931 было три плана: С-30, скорректированный С-30 и МВ-10. Была только малая база, основывающаяся на кадровых заводах, а большой базы - не было и в случае войны мобилизация сорвется. В ноябре 1933 начали разработку нового плана МП-33, по которому в случае войны в 1933 д. б. б. произведены 15800 танков, 15000 танкеток и бронемашин, 2650 разведчиков, 2020 бомбардировщиков, 2460 истребителей, 8730 учебных машин (1566,117).</w:t>
      </w:r>
    </w:p>
    <w:p w14:paraId="7F84258A"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0BA11A3E"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E7880C9"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2FF164B4"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ноября 1933 начальцик РАУ РККА Н.А.ЕФИМОВ в записке к И.В.Сталину о отметив при этом крайнюю узость подготавливаемой к мобилизационному развертыванию военно-промышленной базы: «Несколько месяцев назад руководители мобилизации промышленности представили в Комиссию Обороны свой доклад, который говорит не о мобилизации, а о существующих и проверенных заказами мирного времени мощностях заводов. Это неверно. Успех мобилизации промышленности зависит не только от подготовленной в мирное время «малой базы», куда входят «кадровые» военные заводы, но и от технической эдготовки «большой базы». Сегодняшнее состояние мобилизационной работы в тяжелой промышленности сорвет нам промышленную мобилизацию в случае войны» (ГАРФ 8418, оп. 8, д. 157, л. 30) (1566,117).</w:t>
      </w:r>
    </w:p>
    <w:p w14:paraId="5AB12462"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p>
    <w:p w14:paraId="58CD9905"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lastRenderedPageBreak/>
        <w:t>За рубежом:</w:t>
      </w:r>
    </w:p>
    <w:p w14:paraId="6274315A"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1E96300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ноября 1933 в Афганистане после убийства Мухаммеда Надир-шаха падишахом стал Мухаммед Захир-шах (2443,408).</w:t>
      </w:r>
    </w:p>
    <w:p w14:paraId="02BE1AD9"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5218AC2E"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7924725"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61C0062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ноября 1933 Дир. КАИ С.Гудзик и Нач. КБ и Ицкович писали письмо N 90 в НТОС ГУАП Алмазову на вх. 00280/638с от 19 октября 1933:</w:t>
      </w:r>
    </w:p>
    <w:p w14:paraId="1EB9948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"Ваше указание о необходимости представить на рассмотрение НИИ ВВС конструктивной схемы КАИ-1 в варианте учебного бомбардировщика принимаем к исполнению. Задержка в представлении этой схемы происходит из-за отсутствия у нас габаритных размеров требуемого оборудования.</w:t>
      </w:r>
    </w:p>
    <w:p w14:paraId="508326D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отношении расположения л в пассажирском варианте, так же как и в варианте уч. бомбардировщика нами по получению Вашего отношения проработан также и этот вопрос. При чем оказалось, что никаких осложнений в конструкцию это требование не вносит и потому м.б. удовлетоворено.</w:t>
      </w:r>
    </w:p>
    <w:p w14:paraId="52765B0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Однако мы считали бы целесообразным в пассажирском варианте сохранить первоначальную схему с устройством легко переносимого управления впереди для переднего расположения л. Нами такая возможность предусмотрена, полагая, что окончательное решение по этому вопросу примет макетная комиссия.</w:t>
      </w:r>
    </w:p>
    <w:p w14:paraId="218FE41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отношении распоряжения о представлении НИИ ВВС конструктивной схемы мы полагаем, что если до 10 ноября нам не удастся получить точных габаритов оборудования, мы примем их ориентировочно и в таком виде представим схему." (2305,83).</w:t>
      </w:r>
    </w:p>
    <w:p w14:paraId="282EA63E"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20AC6879"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130BC88"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3BE8C1C0"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9 ноября 1933 первый автомобиль Я-5, оснащенный дизелем «Коджу» вышел из ворот завода. На нем были две дополнительные фары на кабине и светящаяся надпись – «ЯГАЗ-дизель». В середине ноября из Ярославля в Москву отправилась колонна грузовиков – участников первого «дизельного» пробега по маршруту Ярославль–Москва–Ярославль. Впереди шли два грузовика с дизелями «Коджу», изготовленные к ноябрьским праздникам. Их испытывали вместе с дизелями MAN, MVM, AEC и Deutz, и «Коджу» выдержали первое серьезное испытание. Участники пробега докладывали: «Всю дорогу не было аварий. А из четырех иностранных дизелей три выбыли из строя» (21328).</w:t>
      </w:r>
    </w:p>
    <w:p w14:paraId="6B5DB8B1" w14:textId="77777777" w:rsidR="001B7C90" w:rsidRPr="00C33834" w:rsidRDefault="001B7C90" w:rsidP="00C33834">
      <w:pPr>
        <w:spacing w:after="0" w:line="240" w:lineRule="auto"/>
        <w:jc w:val="both"/>
        <w:rPr>
          <w:rFonts w:ascii="Times New Roman" w:hAnsi="Times New Roman"/>
          <w:color w:val="0070C0"/>
          <w:sz w:val="16"/>
          <w:szCs w:val="16"/>
        </w:rPr>
      </w:pPr>
    </w:p>
    <w:p w14:paraId="05834542"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9 ноября 1933 первый автомобиль Я-5 с двигателем Коджу вышел из ворот завода. Он имел две до</w:t>
      </w:r>
      <w:r w:rsidRPr="00C33834">
        <w:rPr>
          <w:rFonts w:ascii="Times New Roman" w:hAnsi="Times New Roman"/>
          <w:color w:val="0070C0"/>
          <w:sz w:val="16"/>
          <w:szCs w:val="16"/>
        </w:rPr>
        <w:softHyphen/>
        <w:t>полнительные фары на кабине и светящуюся над</w:t>
      </w:r>
      <w:r w:rsidRPr="00C33834">
        <w:rPr>
          <w:rFonts w:ascii="Times New Roman" w:hAnsi="Times New Roman"/>
          <w:color w:val="0070C0"/>
          <w:sz w:val="16"/>
          <w:szCs w:val="16"/>
        </w:rPr>
        <w:softHyphen/>
        <w:t>пись «ЯГАЗ-дизель» (22518).</w:t>
      </w:r>
    </w:p>
    <w:p w14:paraId="18049845" w14:textId="77777777" w:rsidR="001B7C90" w:rsidRPr="00C33834" w:rsidRDefault="001B7C90" w:rsidP="00C33834">
      <w:pPr>
        <w:spacing w:after="0" w:line="240" w:lineRule="auto"/>
        <w:jc w:val="both"/>
        <w:rPr>
          <w:rFonts w:ascii="Times New Roman" w:hAnsi="Times New Roman"/>
          <w:color w:val="0070C0"/>
          <w:sz w:val="16"/>
          <w:szCs w:val="16"/>
        </w:rPr>
      </w:pPr>
    </w:p>
    <w:p w14:paraId="15BD6754"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9 ноября 1933 было подготовлено донесение № 5с</w:t>
      </w:r>
    </w:p>
    <w:p w14:paraId="1E31C4A7"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Тов. Сталину </w:t>
      </w:r>
    </w:p>
    <w:p w14:paraId="76520AEA"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Тов. Молотову </w:t>
      </w:r>
    </w:p>
    <w:p w14:paraId="4479A174"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По материалам ОГПУ, служащие фирмы "Контроль-К°" (по техническому обслуживанию нашего хлебного экспорта) являлись агентурой германской разведки, причем в эту работу были втянуты по­чти все служащие фирмы советские граждане.</w:t>
      </w:r>
    </w:p>
    <w:p w14:paraId="0933AF18"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Пока арестовано 10 человек советских граждан - служащих этой фирмы в портах.</w:t>
      </w:r>
    </w:p>
    <w:p w14:paraId="1ED0D7EE"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После арестов генеральный представитель фирмы в Москве Бернгард обратился к Председателю Экспортхлеба т. Киссину с запросом о причинах ареста их служащих, указывая, что эти аресты дезорга­низовали работу фирмы в портах и она лишена будет возможности выполнять свои функции ("Контроль К°") удостоверяет количество погруженного товара на пароходы, гарантирует выгрузку этого же количества в портах назначения, по поручению инофирм принимает в наших портах нефть, пек и другие товары, а также гарантирует сохранность товара в СССР по вариантным операциям с инофирма­ми - против этих гарантий инобанки авансом выплачивают нам сто­имость товара).</w:t>
      </w:r>
    </w:p>
    <w:p w14:paraId="4CF87F61"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Тов. Киссин заявил, что обратился с запросом в Прокуратуру и только после этого сумеет информировать Бернгарда об этом деле.</w:t>
      </w:r>
    </w:p>
    <w:p w14:paraId="743B95BC"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Бернгард сносится по этому делу со своим генеральным правлени­ем в Женеве, и не исключена возможность дальнейшего нажима фир­мы посредством затягивания выдачи гарантийных свидетельств, что может создать нам некоторые трудности.</w:t>
      </w:r>
    </w:p>
    <w:p w14:paraId="2CEC43E9"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По согласованию с ОГПУ (т Прокофьевым) считаю целесообразным поручить Киссину вызвать Бернгарда и заявить ему, что по по­лученным им от прокуратуры сведениям установлено, что некоторые служащие фирмы занимались антигосударственной деятельностью. Это доказано их собственным показанием и признанием Следствие показывает, что к этому делу имеют отношение также отдельные слу­жащие - иноподданные Прокуратура не выдвигает обвинения про­тив фирмы, как таковой, но считает, что имеет место использование имени и аппарата фирмы. Бернгард должен сделать из этого нужные выводы в отношении комплектования аппарата.</w:t>
      </w:r>
    </w:p>
    <w:p w14:paraId="7EF609CC"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Далее Киссин должен будет рекомендовать Бернгарду немедленно восстановить аппарат и не прерывать оперативных функций.</w:t>
      </w:r>
    </w:p>
    <w:p w14:paraId="3FE2D43D"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Прошу Вашего согласия А Розенгольц</w:t>
      </w:r>
    </w:p>
    <w:p w14:paraId="7BF50F2F" w14:textId="77777777" w:rsidR="00570C39" w:rsidRPr="00C33834" w:rsidRDefault="00570C39" w:rsidP="00C33834">
      <w:pPr>
        <w:pStyle w:val="af2"/>
        <w:jc w:val="both"/>
        <w:rPr>
          <w:rStyle w:val="12"/>
          <w:b w:val="0"/>
          <w:bCs w:val="0"/>
          <w:i w:val="0"/>
          <w:iCs w:val="0"/>
          <w:color w:val="000000" w:themeColor="text1"/>
          <w:spacing w:val="0"/>
          <w:kern w:val="0"/>
          <w:position w:val="0"/>
          <w:sz w:val="16"/>
          <w:szCs w:val="16"/>
          <w:lang w:val="ru-RU"/>
        </w:rPr>
      </w:pPr>
      <w:r w:rsidRPr="00C33834">
        <w:rPr>
          <w:rStyle w:val="12"/>
          <w:b w:val="0"/>
          <w:bCs w:val="0"/>
          <w:i w:val="0"/>
          <w:iCs w:val="0"/>
          <w:color w:val="000000" w:themeColor="text1"/>
          <w:spacing w:val="0"/>
          <w:kern w:val="0"/>
          <w:position w:val="0"/>
          <w:sz w:val="16"/>
          <w:szCs w:val="16"/>
          <w:lang w:val="ru-RU"/>
        </w:rPr>
        <w:t>АП РФ ф. 3 оп 58, д. 243, л. 98-99 (11462).</w:t>
      </w:r>
    </w:p>
    <w:p w14:paraId="035474EA" w14:textId="77777777" w:rsidR="00570C39" w:rsidRPr="00C33834" w:rsidRDefault="00570C39" w:rsidP="00C33834">
      <w:pPr>
        <w:pStyle w:val="af2"/>
        <w:jc w:val="both"/>
        <w:rPr>
          <w:bCs/>
          <w:i w:val="0"/>
          <w:iCs w:val="0"/>
          <w:color w:val="000000" w:themeColor="text1"/>
          <w:spacing w:val="0"/>
          <w:kern w:val="0"/>
          <w:position w:val="0"/>
          <w:sz w:val="16"/>
          <w:szCs w:val="16"/>
          <w:lang w:val="ru-RU"/>
        </w:rPr>
      </w:pPr>
    </w:p>
    <w:p w14:paraId="5A15EBC7" w14:textId="77777777" w:rsidR="002C03D8" w:rsidRPr="00C33834" w:rsidRDefault="002C03D8" w:rsidP="00C33834">
      <w:pPr>
        <w:pStyle w:val="rtejustify"/>
        <w:spacing w:before="0" w:after="0"/>
        <w:rPr>
          <w:color w:val="000000" w:themeColor="text1"/>
          <w:sz w:val="16"/>
          <w:szCs w:val="16"/>
        </w:rPr>
      </w:pPr>
      <w:r w:rsidRPr="00C33834">
        <w:rPr>
          <w:rStyle w:val="af0"/>
          <w:bCs/>
          <w:i w:val="0"/>
          <w:color w:val="000000" w:themeColor="text1"/>
          <w:sz w:val="16"/>
          <w:szCs w:val="16"/>
        </w:rPr>
        <w:t>9 ноября 1933 вышел приказ НКТП № 205с.</w:t>
      </w:r>
      <w:r w:rsidRPr="00C33834">
        <w:rPr>
          <w:color w:val="000000" w:themeColor="text1"/>
          <w:sz w:val="16"/>
          <w:szCs w:val="16"/>
        </w:rPr>
        <w:t xml:space="preserve"> О порядке сношений с германским посольством и другими организациями по экономическим вопросам всех предприятий НКТП СССР. (РГАЭ. Ф. 7297. Оп. 38. Д. 38. Л. 168) (15246).</w:t>
      </w:r>
    </w:p>
    <w:p w14:paraId="16032909" w14:textId="77777777" w:rsidR="002C03D8" w:rsidRPr="00C33834" w:rsidRDefault="002C03D8" w:rsidP="00C33834">
      <w:pPr>
        <w:pStyle w:val="rtejustify"/>
        <w:spacing w:before="0" w:after="0"/>
        <w:rPr>
          <w:color w:val="000000" w:themeColor="text1"/>
          <w:sz w:val="16"/>
          <w:szCs w:val="16"/>
        </w:rPr>
      </w:pPr>
    </w:p>
    <w:p w14:paraId="4219C2D1"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9 ноября 1933 опросом членов ПБ</w:t>
      </w:r>
    </w:p>
    <w:p w14:paraId="7153B20D"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51/37.- О постройке 100 торпедных катеров для ДВ,</w:t>
      </w:r>
    </w:p>
    <w:p w14:paraId="32E28CAB"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Обязать НКТП СССР, под личную ответственность т.Орджоникидзе.построить и перебросить на ДВ к 1.У.34Г. 100 торпедных катеров типа Г-5.</w:t>
      </w:r>
    </w:p>
    <w:p w14:paraId="383B3DFC"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Установить следующий календарный план сдачи торпедных катеров заводом им.Марти (ГУСП):</w:t>
      </w:r>
    </w:p>
    <w:p w14:paraId="53C5B96C"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ноябре 1933 г.</w:t>
      </w:r>
      <w:r w:rsidRPr="00C33834">
        <w:rPr>
          <w:rFonts w:ascii="Times New Roman" w:hAnsi="Times New Roman"/>
          <w:color w:val="0070C0"/>
          <w:sz w:val="16"/>
          <w:szCs w:val="16"/>
        </w:rPr>
        <w:tab/>
        <w:t>1</w:t>
      </w:r>
      <w:r w:rsidRPr="00C33834">
        <w:rPr>
          <w:rFonts w:ascii="Times New Roman" w:hAnsi="Times New Roman"/>
          <w:color w:val="0070C0"/>
          <w:sz w:val="16"/>
          <w:szCs w:val="16"/>
        </w:rPr>
        <w:tab/>
        <w:t>катер.</w:t>
      </w:r>
    </w:p>
    <w:p w14:paraId="63674C02"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fldChar w:fldCharType="begin"/>
      </w:r>
      <w:r w:rsidRPr="00C33834">
        <w:rPr>
          <w:rFonts w:ascii="Times New Roman" w:hAnsi="Times New Roman"/>
          <w:color w:val="0070C0"/>
          <w:sz w:val="16"/>
          <w:szCs w:val="16"/>
        </w:rPr>
        <w:instrText xml:space="preserve"> TOC \o "1-5" \h \z </w:instrText>
      </w:r>
      <w:r w:rsidRPr="00C33834">
        <w:rPr>
          <w:rFonts w:ascii="Times New Roman" w:hAnsi="Times New Roman"/>
          <w:color w:val="0070C0"/>
          <w:sz w:val="16"/>
          <w:szCs w:val="16"/>
        </w:rPr>
        <w:fldChar w:fldCharType="separate"/>
      </w:r>
      <w:r w:rsidRPr="00C33834">
        <w:rPr>
          <w:rFonts w:ascii="Times New Roman" w:hAnsi="Times New Roman"/>
          <w:color w:val="0070C0"/>
          <w:sz w:val="16"/>
          <w:szCs w:val="16"/>
        </w:rPr>
        <w:t>" декабре "</w:t>
      </w:r>
      <w:r w:rsidRPr="00C33834">
        <w:rPr>
          <w:rFonts w:ascii="Times New Roman" w:hAnsi="Times New Roman"/>
          <w:color w:val="0070C0"/>
          <w:sz w:val="16"/>
          <w:szCs w:val="16"/>
        </w:rPr>
        <w:tab/>
        <w:t>7</w:t>
      </w:r>
    </w:p>
    <w:p w14:paraId="0CDBD886"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январе 1934 г.</w:t>
      </w:r>
      <w:r w:rsidRPr="00C33834">
        <w:rPr>
          <w:rFonts w:ascii="Times New Roman" w:hAnsi="Times New Roman"/>
          <w:color w:val="0070C0"/>
          <w:sz w:val="16"/>
          <w:szCs w:val="16"/>
        </w:rPr>
        <w:tab/>
        <w:t>18</w:t>
      </w:r>
      <w:r w:rsidRPr="00C33834">
        <w:rPr>
          <w:rFonts w:ascii="Times New Roman" w:hAnsi="Times New Roman"/>
          <w:color w:val="0070C0"/>
          <w:sz w:val="16"/>
          <w:szCs w:val="16"/>
        </w:rPr>
        <w:tab/>
        <w:t>"</w:t>
      </w:r>
    </w:p>
    <w:p w14:paraId="690E4074"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феврале "</w:t>
      </w:r>
      <w:r w:rsidRPr="00C33834">
        <w:rPr>
          <w:rFonts w:ascii="Times New Roman" w:hAnsi="Times New Roman"/>
          <w:color w:val="0070C0"/>
          <w:sz w:val="16"/>
          <w:szCs w:val="16"/>
        </w:rPr>
        <w:tab/>
        <w:t>25</w:t>
      </w:r>
      <w:r w:rsidRPr="00C33834">
        <w:rPr>
          <w:rFonts w:ascii="Times New Roman" w:hAnsi="Times New Roman"/>
          <w:color w:val="0070C0"/>
          <w:sz w:val="16"/>
          <w:szCs w:val="16"/>
        </w:rPr>
        <w:tab/>
        <w:t>"</w:t>
      </w:r>
    </w:p>
    <w:p w14:paraId="62CB8FAF"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марте "</w:t>
      </w:r>
      <w:r w:rsidRPr="00C33834">
        <w:rPr>
          <w:rFonts w:ascii="Times New Roman" w:hAnsi="Times New Roman"/>
          <w:color w:val="0070C0"/>
          <w:sz w:val="16"/>
          <w:szCs w:val="16"/>
        </w:rPr>
        <w:tab/>
      </w:r>
      <w:r w:rsidRPr="00C33834">
        <w:rPr>
          <w:rFonts w:ascii="Times New Roman" w:hAnsi="Times New Roman"/>
          <w:color w:val="0070C0"/>
          <w:sz w:val="16"/>
          <w:szCs w:val="16"/>
        </w:rPr>
        <w:tab/>
        <w:t>30</w:t>
      </w:r>
      <w:r w:rsidRPr="00C33834">
        <w:rPr>
          <w:rFonts w:ascii="Times New Roman" w:hAnsi="Times New Roman"/>
          <w:color w:val="0070C0"/>
          <w:sz w:val="16"/>
          <w:szCs w:val="16"/>
        </w:rPr>
        <w:tab/>
        <w:t>"</w:t>
      </w:r>
    </w:p>
    <w:p w14:paraId="36541BD8"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 20 апреля"</w:t>
      </w:r>
      <w:r w:rsidRPr="00C33834">
        <w:rPr>
          <w:rFonts w:ascii="Times New Roman" w:hAnsi="Times New Roman"/>
          <w:color w:val="0070C0"/>
          <w:sz w:val="16"/>
          <w:szCs w:val="16"/>
        </w:rPr>
        <w:tab/>
        <w:t>19</w:t>
      </w:r>
      <w:r w:rsidRPr="00C33834">
        <w:rPr>
          <w:rFonts w:ascii="Times New Roman" w:hAnsi="Times New Roman"/>
          <w:color w:val="0070C0"/>
          <w:sz w:val="16"/>
          <w:szCs w:val="16"/>
        </w:rPr>
        <w:tab/>
        <w:t>"</w:t>
      </w:r>
      <w:r w:rsidRPr="00C33834">
        <w:rPr>
          <w:rFonts w:ascii="Times New Roman" w:hAnsi="Times New Roman"/>
          <w:color w:val="0070C0"/>
          <w:sz w:val="16"/>
          <w:szCs w:val="16"/>
        </w:rPr>
        <w:fldChar w:fldCharType="end"/>
      </w:r>
    </w:p>
    <w:p w14:paraId="53BCFD31"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Исходя из срока сдачи торпедных катеров, обя</w:t>
      </w:r>
      <w:r w:rsidRPr="00C33834">
        <w:rPr>
          <w:rFonts w:ascii="Times New Roman" w:hAnsi="Times New Roman"/>
          <w:color w:val="0070C0"/>
          <w:sz w:val="16"/>
          <w:szCs w:val="16"/>
        </w:rPr>
        <w:softHyphen/>
        <w:t>зать ГУАП.под личную ответственность тов. Королева И Директора Завола 24 т. Марьямова подать на завод им. Марти 200 моторов в следующие сроки:</w:t>
      </w:r>
    </w:p>
    <w:p w14:paraId="144A24D5"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мотора М-34</w:t>
      </w:r>
      <w:r w:rsidRPr="00C33834">
        <w:rPr>
          <w:rFonts w:ascii="Times New Roman" w:hAnsi="Times New Roman"/>
          <w:color w:val="0070C0"/>
          <w:sz w:val="16"/>
          <w:szCs w:val="16"/>
        </w:rPr>
        <w:tab/>
        <w:t>- 18 ноября 1933 г.</w:t>
      </w:r>
    </w:p>
    <w:p w14:paraId="7B73C5A9"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w:t>
      </w:r>
      <w:r w:rsidRPr="00C33834">
        <w:rPr>
          <w:rFonts w:ascii="Times New Roman" w:hAnsi="Times New Roman"/>
          <w:color w:val="0070C0"/>
          <w:sz w:val="16"/>
          <w:szCs w:val="16"/>
        </w:rPr>
        <w:tab/>
        <w:t>"</w:t>
      </w:r>
      <w:r w:rsidRPr="00C33834">
        <w:rPr>
          <w:rFonts w:ascii="Times New Roman" w:hAnsi="Times New Roman"/>
          <w:color w:val="0070C0"/>
          <w:sz w:val="16"/>
          <w:szCs w:val="16"/>
        </w:rPr>
        <w:tab/>
        <w:t>- к 1 декабря 1933 г.</w:t>
      </w:r>
    </w:p>
    <w:p w14:paraId="2372CCC6"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30</w:t>
      </w:r>
      <w:r w:rsidRPr="00C33834">
        <w:rPr>
          <w:rFonts w:ascii="Times New Roman" w:hAnsi="Times New Roman"/>
          <w:color w:val="0070C0"/>
          <w:sz w:val="16"/>
          <w:szCs w:val="16"/>
        </w:rPr>
        <w:tab/>
        <w:t>"</w:t>
      </w:r>
      <w:r w:rsidRPr="00C33834">
        <w:rPr>
          <w:rFonts w:ascii="Times New Roman" w:hAnsi="Times New Roman"/>
          <w:color w:val="0070C0"/>
          <w:sz w:val="16"/>
          <w:szCs w:val="16"/>
        </w:rPr>
        <w:tab/>
        <w:t>- в декабре 1933 г. по 10 шт.в декаду.</w:t>
      </w:r>
    </w:p>
    <w:p w14:paraId="06267C75"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ГМ-34</w:t>
      </w:r>
      <w:r w:rsidRPr="00C33834">
        <w:rPr>
          <w:rFonts w:ascii="Times New Roman" w:hAnsi="Times New Roman"/>
          <w:color w:val="0070C0"/>
          <w:sz w:val="16"/>
          <w:szCs w:val="16"/>
        </w:rPr>
        <w:tab/>
        <w:t>без реверса</w:t>
      </w:r>
      <w:r w:rsidRPr="00C33834">
        <w:rPr>
          <w:rFonts w:ascii="Times New Roman" w:hAnsi="Times New Roman"/>
          <w:color w:val="0070C0"/>
          <w:sz w:val="16"/>
          <w:szCs w:val="16"/>
        </w:rPr>
        <w:tab/>
        <w:t>к 1 декабря 1933 г.</w:t>
      </w:r>
    </w:p>
    <w:p w14:paraId="0D8154A5"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16</w:t>
      </w:r>
      <w:r w:rsidRPr="00C33834">
        <w:rPr>
          <w:rFonts w:ascii="Times New Roman" w:hAnsi="Times New Roman"/>
          <w:color w:val="0070C0"/>
          <w:sz w:val="16"/>
          <w:szCs w:val="16"/>
        </w:rPr>
        <w:tab/>
        <w:t>"</w:t>
      </w:r>
      <w:r w:rsidRPr="00C33834">
        <w:rPr>
          <w:rFonts w:ascii="Times New Roman" w:hAnsi="Times New Roman"/>
          <w:color w:val="0070C0"/>
          <w:sz w:val="16"/>
          <w:szCs w:val="16"/>
        </w:rPr>
        <w:tab/>
      </w:r>
      <w:r w:rsidRPr="00C33834">
        <w:rPr>
          <w:rFonts w:ascii="Times New Roman" w:hAnsi="Times New Roman"/>
          <w:color w:val="0070C0"/>
          <w:sz w:val="16"/>
          <w:szCs w:val="16"/>
        </w:rPr>
        <w:tab/>
        <w:t>в декабре 1933 г.</w:t>
      </w:r>
    </w:p>
    <w:p w14:paraId="35990400"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60</w:t>
      </w:r>
      <w:r w:rsidRPr="00C33834">
        <w:rPr>
          <w:rFonts w:ascii="Times New Roman" w:hAnsi="Times New Roman"/>
          <w:color w:val="0070C0"/>
          <w:sz w:val="16"/>
          <w:szCs w:val="16"/>
        </w:rPr>
        <w:tab/>
        <w:t>"</w:t>
      </w:r>
      <w:r w:rsidRPr="00C33834">
        <w:rPr>
          <w:rFonts w:ascii="Times New Roman" w:hAnsi="Times New Roman"/>
          <w:color w:val="0070C0"/>
          <w:sz w:val="16"/>
          <w:szCs w:val="16"/>
        </w:rPr>
        <w:tab/>
      </w:r>
      <w:r w:rsidRPr="00C33834">
        <w:rPr>
          <w:rFonts w:ascii="Times New Roman" w:hAnsi="Times New Roman"/>
          <w:color w:val="0070C0"/>
          <w:sz w:val="16"/>
          <w:szCs w:val="16"/>
        </w:rPr>
        <w:tab/>
        <w:t>в январе 1934 г. по 20</w:t>
      </w:r>
      <w:r w:rsidRPr="00C33834">
        <w:rPr>
          <w:rFonts w:ascii="Times New Roman" w:hAnsi="Times New Roman"/>
          <w:color w:val="0070C0"/>
          <w:sz w:val="16"/>
          <w:szCs w:val="16"/>
        </w:rPr>
        <w:tab/>
        <w:t>шт. в декаду</w:t>
      </w:r>
    </w:p>
    <w:p w14:paraId="4A3B4778"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60</w:t>
      </w:r>
      <w:r w:rsidRPr="00C33834">
        <w:rPr>
          <w:rFonts w:ascii="Times New Roman" w:hAnsi="Times New Roman"/>
          <w:color w:val="0070C0"/>
          <w:sz w:val="16"/>
          <w:szCs w:val="16"/>
        </w:rPr>
        <w:tab/>
        <w:t>"</w:t>
      </w:r>
      <w:r w:rsidRPr="00C33834">
        <w:rPr>
          <w:rFonts w:ascii="Times New Roman" w:hAnsi="Times New Roman"/>
          <w:color w:val="0070C0"/>
          <w:sz w:val="16"/>
          <w:szCs w:val="16"/>
        </w:rPr>
        <w:tab/>
      </w:r>
      <w:r w:rsidRPr="00C33834">
        <w:rPr>
          <w:rFonts w:ascii="Times New Roman" w:hAnsi="Times New Roman"/>
          <w:color w:val="0070C0"/>
          <w:sz w:val="16"/>
          <w:szCs w:val="16"/>
        </w:rPr>
        <w:tab/>
        <w:t>в феврале 1934 г.по 20шт. в декаду.</w:t>
      </w:r>
    </w:p>
    <w:p w14:paraId="5F31ADC5"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20</w:t>
      </w:r>
      <w:r w:rsidRPr="00C33834">
        <w:rPr>
          <w:rFonts w:ascii="Times New Roman" w:hAnsi="Times New Roman"/>
          <w:color w:val="0070C0"/>
          <w:sz w:val="16"/>
          <w:szCs w:val="16"/>
        </w:rPr>
        <w:tab/>
        <w:t>"</w:t>
      </w:r>
      <w:r w:rsidRPr="00C33834">
        <w:rPr>
          <w:rFonts w:ascii="Times New Roman" w:hAnsi="Times New Roman"/>
          <w:color w:val="0070C0"/>
          <w:sz w:val="16"/>
          <w:szCs w:val="16"/>
        </w:rPr>
        <w:tab/>
      </w:r>
      <w:r w:rsidRPr="00C33834">
        <w:rPr>
          <w:rFonts w:ascii="Times New Roman" w:hAnsi="Times New Roman"/>
          <w:color w:val="0070C0"/>
          <w:sz w:val="16"/>
          <w:szCs w:val="16"/>
        </w:rPr>
        <w:tab/>
        <w:t>к 15 марта 1934 года.</w:t>
      </w:r>
    </w:p>
    <w:p w14:paraId="0FE43CFB"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В виде временной меры, для ускорения введения ка</w:t>
      </w:r>
      <w:r w:rsidRPr="00C33834">
        <w:rPr>
          <w:rFonts w:ascii="Times New Roman" w:hAnsi="Times New Roman"/>
          <w:color w:val="0070C0"/>
          <w:sz w:val="16"/>
          <w:szCs w:val="16"/>
        </w:rPr>
        <w:softHyphen/>
        <w:t>теров в строй, поставить на 20 катеров авиационные мо</w:t>
      </w:r>
      <w:r w:rsidRPr="00C33834">
        <w:rPr>
          <w:rFonts w:ascii="Times New Roman" w:hAnsi="Times New Roman"/>
          <w:color w:val="0070C0"/>
          <w:sz w:val="16"/>
          <w:szCs w:val="16"/>
        </w:rPr>
        <w:softHyphen/>
        <w:t>торы М-34, а на все остальные торпедные катера - мото</w:t>
      </w:r>
      <w:r w:rsidRPr="00C33834">
        <w:rPr>
          <w:rFonts w:ascii="Times New Roman" w:hAnsi="Times New Roman"/>
          <w:color w:val="0070C0"/>
          <w:sz w:val="16"/>
          <w:szCs w:val="16"/>
        </w:rPr>
        <w:softHyphen/>
        <w:t>ры ГМ-34 без реверсов с тем, чтобы после изготовления моторов ГМ-34 с реверсами заменить ими 40 моторов без реверсов поставленные на первых 20-ти катерах и уста</w:t>
      </w:r>
      <w:r w:rsidRPr="00C33834">
        <w:rPr>
          <w:rFonts w:ascii="Times New Roman" w:hAnsi="Times New Roman"/>
          <w:color w:val="0070C0"/>
          <w:sz w:val="16"/>
          <w:szCs w:val="16"/>
        </w:rPr>
        <w:softHyphen/>
        <w:t>новить реверсы на остальных 160 моторах ГМ-34.</w:t>
      </w:r>
    </w:p>
    <w:p w14:paraId="42041790"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Обязать ГУСП (т.Кондратьева) и НКВМор (т.Орлова):</w:t>
      </w:r>
    </w:p>
    <w:p w14:paraId="3208D9DD"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закончить испытания катера с мотором ГМ-34 с реверсом к 15 ноября 1933 года;</w:t>
      </w:r>
    </w:p>
    <w:p w14:paraId="189AB201"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установить 2 мотора М-34 на торпедном катере к 1 декабря 1933 г. и закончить его испытание к 15 декабря;</w:t>
      </w:r>
    </w:p>
    <w:p w14:paraId="01AB851E"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смонтировать к 10 декабря на одном катере 2 мо</w:t>
      </w:r>
      <w:r w:rsidRPr="00C33834">
        <w:rPr>
          <w:rFonts w:ascii="Times New Roman" w:hAnsi="Times New Roman"/>
          <w:color w:val="0070C0"/>
          <w:sz w:val="16"/>
          <w:szCs w:val="16"/>
        </w:rPr>
        <w:softHyphen/>
        <w:t>тора ГМ-34 без реверса и испытать его не позднее 20 декабря.</w:t>
      </w:r>
    </w:p>
    <w:p w14:paraId="2C1E7E95"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Начальнику ГУАП тов. Королеву в кратчайший срок поставить серийное производство реверсивных муфт для моторов ГМ-34 на заводе "Спартак* с началом выпуска не позднее 1 апреля 1934 года.</w:t>
      </w:r>
    </w:p>
    <w:p w14:paraId="28EAD3D4"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 Возложить на ГУАП (т.т.Макаровского и Колосова) ответственность за переделку и приспособление моторов М-34 для надежной работы в условиях торпедного катера.</w:t>
      </w:r>
    </w:p>
    <w:p w14:paraId="53CD3140"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8. НКВМору организовать приемный аппарат на заводе М 24 для приемки моторов, предназначенных для кате</w:t>
      </w:r>
      <w:r w:rsidRPr="00C33834">
        <w:rPr>
          <w:rFonts w:ascii="Times New Roman" w:hAnsi="Times New Roman"/>
          <w:color w:val="0070C0"/>
          <w:sz w:val="16"/>
          <w:szCs w:val="16"/>
        </w:rPr>
        <w:softHyphen/>
        <w:t>ров, а также усилить приемный аппарат на заводе им.Мар</w:t>
      </w:r>
      <w:r w:rsidRPr="00C33834">
        <w:rPr>
          <w:rFonts w:ascii="Times New Roman" w:hAnsi="Times New Roman"/>
          <w:color w:val="0070C0"/>
          <w:sz w:val="16"/>
          <w:szCs w:val="16"/>
        </w:rPr>
        <w:softHyphen/>
        <w:t>ти в Ленинграде.</w:t>
      </w:r>
    </w:p>
    <w:p w14:paraId="01E737CD"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9. Определить всю программу выпуска моторов ГМ-34 для Военно-Морских Сил РККА на 1934 год в 350 моторов.</w:t>
      </w:r>
    </w:p>
    <w:p w14:paraId="1E5454E5"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НКТП СССР совместно с НКВМором в декадный срок установить план выпуска всех моторов, в соответствии с программой строительства кораблей.</w:t>
      </w:r>
    </w:p>
    <w:p w14:paraId="2449891F"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Молотову (К.О.), Орджоникидзе, Гамарнику.</w:t>
      </w:r>
    </w:p>
    <w:p w14:paraId="341E3005"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ноября 1933 состоялось заседание ПБ и был оформлен протокол № 149 (22999).</w:t>
      </w:r>
    </w:p>
    <w:p w14:paraId="05250DC8" w14:textId="77777777" w:rsidR="001B7C90" w:rsidRPr="00C33834" w:rsidRDefault="001B7C90" w:rsidP="00C33834">
      <w:pPr>
        <w:spacing w:after="0" w:line="240" w:lineRule="auto"/>
        <w:jc w:val="both"/>
        <w:rPr>
          <w:rFonts w:ascii="Times New Roman" w:hAnsi="Times New Roman"/>
          <w:color w:val="0070C0"/>
          <w:sz w:val="16"/>
          <w:szCs w:val="16"/>
        </w:rPr>
      </w:pPr>
    </w:p>
    <w:p w14:paraId="1249EC6E"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8FFE73E"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4C57009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ноября 1933 состоялось совещание техкомиссии по РД и решили РД-1 переделать под редукторный мотор (1102).</w:t>
      </w:r>
    </w:p>
    <w:p w14:paraId="40BEEDEF"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77BAC96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ноября 1933 года начальник 7 сектора Жемчужин писал письмо N 2/01461 начальнику штаба ВВС в сопровождение Отчета о гос. испытаниях самолета ТБ3-4М34</w:t>
      </w:r>
    </w:p>
    <w:p w14:paraId="53CE787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32F0890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испытание самолетов ТБ3-4М34 без редукторов (NN 22203 и 22204).</w:t>
      </w:r>
    </w:p>
    <w:p w14:paraId="50C4DD6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Выбор наилучшего винта из трех представленных ЦАГИ.</w:t>
      </w:r>
    </w:p>
    <w:p w14:paraId="2B6EA3C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Изыскание путей облегчений винтомоторной группы.</w:t>
      </w:r>
    </w:p>
    <w:p w14:paraId="4E8E616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473AE71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значительно лучших летных данных самолета ТБ3-4М34 без редуктора с винтами Д=3,18 Н=1,88 (С Тб4-6М34) считать необходимым все самолеты ТБ3-4М34 выпускать с этим типом винтов.</w:t>
      </w:r>
    </w:p>
    <w:p w14:paraId="39C0F65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начаты 28 сентября 1933 года.</w:t>
      </w:r>
    </w:p>
    <w:p w14:paraId="3AB720E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проведены за 13 дней (3903,147-200).</w:t>
      </w:r>
    </w:p>
    <w:p w14:paraId="1E76FC37"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55B694D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10 по 15 ноября 1933 в Харькове был туман, аварийная посадка К-7 при падении с высоты 8 м была где-то между 8 и 9 ноября 1933. Якобы в цепи управления углом установки стабилизатора нашли забитый болт (70,236).</w:t>
      </w:r>
    </w:p>
    <w:p w14:paraId="58789AD3"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25D87CA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ноября 1933 состоялся 9-й полет К-7 К.А.К. с увеличенной нагрузкой (30.5 т) с экипажем 20 чел продолжительностью 30 мин. Прекратили из-за течи радиатора заднего мотора</w:t>
      </w:r>
    </w:p>
    <w:p w14:paraId="7D31D62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Сводка о ходе заводских испытаний с-та К-7 за время с 2-го по 12 ноября 1933 Зам. Пред. Комиссии по проведению испытаний, Член комиссии и отв. секретарь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F26F01" w:rsidRPr="00C33834" w14:paraId="76F2B337" w14:textId="77777777">
        <w:tc>
          <w:tcPr>
            <w:tcW w:w="1384" w:type="dxa"/>
            <w:tcBorders>
              <w:top w:val="single" w:sz="12" w:space="0" w:color="auto"/>
            </w:tcBorders>
          </w:tcPr>
          <w:p w14:paraId="7BF1495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Дата испытания</w:t>
            </w:r>
          </w:p>
        </w:tc>
        <w:tc>
          <w:tcPr>
            <w:tcW w:w="2410" w:type="dxa"/>
            <w:tcBorders>
              <w:top w:val="single" w:sz="12" w:space="0" w:color="auto"/>
            </w:tcBorders>
          </w:tcPr>
          <w:p w14:paraId="7297913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3BAA68C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13839CD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3B250DE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1792D49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tc>
      </w:tr>
      <w:tr w:rsidR="00F26F01" w:rsidRPr="00C33834" w14:paraId="5F75A38A" w14:textId="77777777">
        <w:tc>
          <w:tcPr>
            <w:tcW w:w="1384" w:type="dxa"/>
            <w:tcBorders>
              <w:bottom w:val="single" w:sz="12" w:space="0" w:color="auto"/>
            </w:tcBorders>
          </w:tcPr>
          <w:p w14:paraId="57D249A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ноября 1933</w:t>
            </w:r>
          </w:p>
        </w:tc>
        <w:tc>
          <w:tcPr>
            <w:tcW w:w="2410" w:type="dxa"/>
            <w:tcBorders>
              <w:bottom w:val="single" w:sz="12" w:space="0" w:color="auto"/>
            </w:tcBorders>
          </w:tcPr>
          <w:p w14:paraId="3961661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с увеличенной нагрузкой до 30,5 т при начальной центровке 32,5%</w:t>
            </w:r>
          </w:p>
          <w:p w14:paraId="6895431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по отчету - девятый</w:t>
            </w:r>
          </w:p>
          <w:p w14:paraId="413B839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Экипаж с-та - 20 чел.</w:t>
            </w:r>
          </w:p>
        </w:tc>
        <w:tc>
          <w:tcPr>
            <w:tcW w:w="1089" w:type="dxa"/>
            <w:tcBorders>
              <w:bottom w:val="single" w:sz="12" w:space="0" w:color="auto"/>
            </w:tcBorders>
          </w:tcPr>
          <w:p w14:paraId="23337D6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мин.</w:t>
            </w:r>
          </w:p>
        </w:tc>
        <w:tc>
          <w:tcPr>
            <w:tcW w:w="3447" w:type="dxa"/>
            <w:tcBorders>
              <w:bottom w:val="single" w:sz="12" w:space="0" w:color="auto"/>
            </w:tcBorders>
          </w:tcPr>
          <w:p w14:paraId="095F0B4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Разбег -22 сек., 352 м</w:t>
            </w:r>
          </w:p>
          <w:p w14:paraId="1E40460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Пробег без тормозов - 49 сек.,07 м</w:t>
            </w:r>
          </w:p>
          <w:p w14:paraId="22CAA2C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по альтиметру 1200 м, по барографу - 1500 м, при центровке 32,5%</w:t>
            </w:r>
          </w:p>
          <w:p w14:paraId="52D477C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Угол стабилизатора в полете +3,5</w:t>
            </w:r>
          </w:p>
          <w:p w14:paraId="3C03D6F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приземления - 80 км/час</w:t>
            </w:r>
          </w:p>
        </w:tc>
        <w:tc>
          <w:tcPr>
            <w:tcW w:w="1776" w:type="dxa"/>
            <w:tcBorders>
              <w:bottom w:val="single" w:sz="12" w:space="0" w:color="auto"/>
            </w:tcBorders>
          </w:tcPr>
          <w:p w14:paraId="7A59F0F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прекращен из-за течи водяного радиатора заднего мотора</w:t>
            </w:r>
          </w:p>
        </w:tc>
        <w:tc>
          <w:tcPr>
            <w:tcW w:w="1105" w:type="dxa"/>
            <w:tcBorders>
              <w:bottom w:val="single" w:sz="12" w:space="0" w:color="auto"/>
            </w:tcBorders>
          </w:tcPr>
          <w:p w14:paraId="677DC82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следующему полету радиатор исправлен</w:t>
            </w:r>
          </w:p>
        </w:tc>
      </w:tr>
    </w:tbl>
    <w:p w14:paraId="3F0FD7A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(2306,109).</w:t>
      </w:r>
    </w:p>
    <w:p w14:paraId="5DCFDD94"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0A74696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C 10 по 15 ноября 1933 в Севастополе проходили заводские испытаниям гидросамолета Р-5а N 6763 с М-17 серии ВВ Е=6.0 N 65454 - головного самолета серийного выпуска 1933 (2264,185).</w:t>
      </w:r>
    </w:p>
    <w:p w14:paraId="2EFC912D"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2A5A2F6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ноября 1933 года вышел приказ начальника ВВС за N 0011с о проведении испытаний на Люберецком аэродроме и хим. полигоне в Кузьминках 14-ти систем АПК-4бис и 7-ми самолетов ЗЕТ, вооруженных авиационными пушками инженера Курчевского "АПК-4бис" калибра 76,2 мм (3538).</w:t>
      </w:r>
    </w:p>
    <w:p w14:paraId="60D899BE"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708EF16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ноября 1933 Нач. ВВС Алкснис писал письмо N 001346сс Нач. ГУАП, Нач. ГУГВФ (копия нач. НИИ ВВС):</w:t>
      </w:r>
    </w:p>
    <w:p w14:paraId="36CEEA8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14 и 15 ноября для Пленума РВС СССР проводится демонстрация новых объектов авиатехники.</w:t>
      </w:r>
    </w:p>
    <w:p w14:paraId="3B084A9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плану, рассмотренному тов. Тухачевским, в число объектов включены самолеты РД, И-14, И-15 и Сталь 6.</w:t>
      </w:r>
    </w:p>
    <w:p w14:paraId="4822148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Прошу Ваших указаний ЦАГИ и Самолетному НИИ ГУГВФ о подготовке указанных объектов к демонстрации в ближайший срок, который намечен на 15 ноября.</w:t>
      </w:r>
    </w:p>
    <w:p w14:paraId="5E7AC6E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Сосредоточение на аэродроме Люберцы ориентировочно намечено на 14 ноября." (2306,86).</w:t>
      </w:r>
    </w:p>
    <w:p w14:paraId="272C69ED"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6DE867C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ноября 1933 года N 35/001875 были направлены Тактические требования на объекты плана работ 1934 года парашютно-десантного отдела НИИ ВВС</w:t>
      </w:r>
    </w:p>
    <w:p w14:paraId="07E371A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w:t>
      </w:r>
    </w:p>
    <w:p w14:paraId="3B8CCEE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Усовершенствованный парашют людской.</w:t>
      </w:r>
    </w:p>
    <w:p w14:paraId="23E9E0E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выполнения 15 мая 1934 года</w:t>
      </w:r>
    </w:p>
    <w:p w14:paraId="5E65390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Боевой парашют не должен стеснять боевую деятельность членов экипажа самолета. Он должен быть дешев при массовом производстве (на 30% дешевле состоящего на снаряжении). В уложенном состоянии занимать на 20% меньше объема, чем парашют Ирвина. Должен быть по возможности универсален, т.е. годиться для всех лиц экипажа, иметь стандартные детали.</w:t>
      </w:r>
    </w:p>
    <w:p w14:paraId="6C4AD10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0D4319C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Управляемый парашют.</w:t>
      </w:r>
    </w:p>
    <w:p w14:paraId="6240750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выполнения 1 июня 1934 года</w:t>
      </w:r>
    </w:p>
    <w:p w14:paraId="5DD58A6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Объект может быть совмещен с объектом N 1.</w:t>
      </w:r>
    </w:p>
    <w:p w14:paraId="642C09A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Высотный парашют.</w:t>
      </w:r>
    </w:p>
    <w:p w14:paraId="087B434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выполнения 15 июня 1934 года</w:t>
      </w:r>
    </w:p>
    <w:p w14:paraId="7BCFEA8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Объект может быть совмещен с объектами N 2 и N 1.</w:t>
      </w:r>
    </w:p>
    <w:p w14:paraId="7266308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Быстрая отцепка парашюта после приземления.</w:t>
      </w:r>
    </w:p>
    <w:p w14:paraId="5560E7C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выполнения 15 мая 1934 года</w:t>
      </w:r>
    </w:p>
    <w:p w14:paraId="01A8F92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Торможение при приземлении в сильный ветер (деталь дес. парашюта объект N 9).</w:t>
      </w:r>
    </w:p>
    <w:p w14:paraId="4A6A9BD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выполнения 1 июля 1934 года</w:t>
      </w:r>
    </w:p>
    <w:p w14:paraId="76EA598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высоты над землей (деталь дес. парашюта объект N 9).</w:t>
      </w:r>
    </w:p>
    <w:p w14:paraId="177A93F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выполнения 1 июля 1934 года</w:t>
      </w:r>
    </w:p>
    <w:p w14:paraId="548A926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 - для прыжков ночью, в туман, дым. Желательно совмещение с объектом N 5.</w:t>
      </w:r>
    </w:p>
    <w:p w14:paraId="631EDA3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Парашют для скоростных самолетов.</w:t>
      </w:r>
    </w:p>
    <w:p w14:paraId="31A78D8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выполнения 1 декабря 1934 года</w:t>
      </w:r>
    </w:p>
    <w:p w14:paraId="03ECA04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Парашют должен удовлетворять всем условиям к объекту N 1, кроме веса и скорости в момент раскрытия.</w:t>
      </w:r>
    </w:p>
    <w:p w14:paraId="27CD746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Метод срыва человека на малой высоте.</w:t>
      </w:r>
    </w:p>
    <w:p w14:paraId="0FF828A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выполнения 1 августа 1933 года</w:t>
      </w:r>
    </w:p>
    <w:p w14:paraId="3E3C6B3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Десантный парашют людской</w:t>
      </w:r>
    </w:p>
    <w:p w14:paraId="2EE9903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выполнения 1 мая 1933 года</w:t>
      </w:r>
    </w:p>
    <w:p w14:paraId="514F790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Способ быстрой порчи парашютов</w:t>
      </w:r>
    </w:p>
    <w:p w14:paraId="70E21D7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выполнения 1 апреля 1934 года</w:t>
      </w:r>
    </w:p>
    <w:p w14:paraId="2D90381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Полное уничтожение парашюта и ранца с применением огня в течение 5 мин.</w:t>
      </w:r>
    </w:p>
    <w:p w14:paraId="10C5961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Порча материала купола, не прибегая к огню, до степени невозможности использования его противником.</w:t>
      </w:r>
    </w:p>
    <w:p w14:paraId="071AC26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Оба способа должны быть безопасны для парашютиста, весить не более 200 кг.</w:t>
      </w:r>
    </w:p>
    <w:p w14:paraId="289F993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Усовершенствование бензобака (1932 год).</w:t>
      </w:r>
    </w:p>
    <w:p w14:paraId="0DC4CF1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выполнения 1 апреля 1934 года</w:t>
      </w:r>
    </w:p>
    <w:p w14:paraId="524A24A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Бензобак должен быть приспособлен как для сбрасывания на парашюте, так и для перевозки без сбрасывания. Емкость бензобака должна быть рассчитана как на емкости самолетных баков, так и баков автомобилей, танков и танкеток, состоящих на вооружении РККА. В то же время эти емкости, веса и габариты должны быть увязаны с десантными возможностями самолетов, состоящих на вооружении.</w:t>
      </w:r>
    </w:p>
    <w:p w14:paraId="016C554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Баки при подвеске снаружи должны иметь обтекатели.</w:t>
      </w:r>
    </w:p>
    <w:p w14:paraId="3410A3B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Термос. Требования как к бензобаку _</w:t>
      </w:r>
    </w:p>
    <w:p w14:paraId="7D65874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Стандартная емкость - из расчета на подразделения частей ОН по раскладке. Термос должен быть приспособлен для доставки супов, щей, каши, кипятка (чая), молока.</w:t>
      </w:r>
    </w:p>
    <w:p w14:paraId="3B03DEC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Мягкая тара. Мягкий мешок (круглый цилиндр, овальный цилиндр).</w:t>
      </w:r>
    </w:p>
    <w:p w14:paraId="1E85BBF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выполнения 1 апреля 1934 года</w:t>
      </w:r>
    </w:p>
    <w:p w14:paraId="0B89373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Унифицировать и стандартизовать эти объекты. Стандартизация мягкой тары производится в зависимости от вооружения и снаряжения подразделений ОН.</w:t>
      </w:r>
    </w:p>
    <w:p w14:paraId="2A1736A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Улучшить обтекаемость настолько, чтобы самолет Р-5 с подвешенными подцепками теряли не более 10% скорости и 5% потолка.</w:t>
      </w:r>
    </w:p>
    <w:p w14:paraId="57998FE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Упаковка тары силами 2-3 человек должна требовать не более 10 мин. Любым предусмотренным грузом.</w:t>
      </w:r>
    </w:p>
    <w:p w14:paraId="39331AF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Подцепка (укладка) и отцепка 2 чел. должна продолжаться не более 2 мин.</w:t>
      </w:r>
    </w:p>
    <w:p w14:paraId="789F35F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Тара для предметов, не терпящих резких ударов (картонажный и пневматический мешок).</w:t>
      </w:r>
    </w:p>
    <w:p w14:paraId="0EE6780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Унифицировать тару. Те же требования как к объекту N 12 _</w:t>
      </w:r>
    </w:p>
    <w:p w14:paraId="3A97BE5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Подвеска мотоцикла б.к.</w:t>
      </w:r>
    </w:p>
    <w:p w14:paraId="6A6F18D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выполнения 1 апреля 1934 года</w:t>
      </w:r>
    </w:p>
    <w:p w14:paraId="4318607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Устройство должно быть пригодно для парашютного и посадочного десанта.</w:t>
      </w:r>
    </w:p>
    <w:p w14:paraId="1938D0A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должна годиться для всех типов самолетов от Р-5 и более мощных.</w:t>
      </w:r>
    </w:p>
    <w:p w14:paraId="33AA5FD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подцепки и отцепки (если установка без парашюта) не более 2 мин.</w:t>
      </w:r>
    </w:p>
    <w:p w14:paraId="2A2B1FD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Автоматическая отцепка парашюта.</w:t>
      </w:r>
    </w:p>
    <w:p w14:paraId="537103B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Подвеска мотоцикла с коляской.</w:t>
      </w:r>
    </w:p>
    <w:p w14:paraId="31A8A5C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выполнения 1 апреля 1934 года</w:t>
      </w:r>
    </w:p>
    <w:p w14:paraId="2DEC876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 же требования, что к объекту N 15 _</w:t>
      </w:r>
    </w:p>
    <w:p w14:paraId="6613588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Подвеска Форда под ТБ1, ТБ3, Р-6</w:t>
      </w:r>
    </w:p>
    <w:p w14:paraId="0F38124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выполнения 1 мая 1934 года</w:t>
      </w:r>
    </w:p>
    <w:p w14:paraId="7522027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Обтекатели согласно общих технических условий.</w:t>
      </w:r>
    </w:p>
    <w:p w14:paraId="34C54C7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подвески Форда с парашютом при 4 чел. команды - не более 8 мин.</w:t>
      </w:r>
    </w:p>
    <w:p w14:paraId="10129AB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подвески Форда без парашютом при 4 чел. команды - не более 4 мин.</w:t>
      </w:r>
    </w:p>
    <w:p w14:paraId="34C533A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отцепки не более 2 мин.</w:t>
      </w:r>
    </w:p>
    <w:p w14:paraId="0C5B156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Усиление амортизации Форда должно позволять снижение на 2 колеса. Установка должна исключать приземление на одно колесо. Автоматическая отцепка парашюта.</w:t>
      </w:r>
    </w:p>
    <w:p w14:paraId="1D5045A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Подвеска орудия.</w:t>
      </w:r>
    </w:p>
    <w:p w14:paraId="2B8C73C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 же требования, что и к объекту N 17. Кроме того требуется унификация подвески автомобиля и орудия.</w:t>
      </w:r>
    </w:p>
    <w:p w14:paraId="464272E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Подвеска танкетки.</w:t>
      </w:r>
    </w:p>
    <w:p w14:paraId="7E3F116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Унифицирование подвески с подвесками N 17 и N 18. Остальные требования те же, за исключением вопроса о колесах.</w:t>
      </w:r>
    </w:p>
    <w:p w14:paraId="548BCEE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Жесткая подвесная тара под Р-5, Р-6, ТБ-1, ТБ-3.</w:t>
      </w:r>
    </w:p>
    <w:p w14:paraId="128D1AC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Требования как к объектам N 13. Под ТБ-3 тара должна вмещать снаряжение, продовольствие и т.п. везомого ТБ-3 подразделения ОН.</w:t>
      </w:r>
    </w:p>
    <w:p w14:paraId="4A4A351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Приспособления на самолетах, состоящих на вооружении, а также на опытных самолетах для быстрого оставления их в случае аварии всеми лицами экипажа.</w:t>
      </w:r>
    </w:p>
    <w:p w14:paraId="1BE38E8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Приспособление на тех же самолетах для возможности небольших исправлений механизма сбрасывания бомб (грузов), шасси, хвостового рулевого оперения, элеронов.</w:t>
      </w:r>
    </w:p>
    <w:p w14:paraId="03E0468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Планеры</w:t>
      </w:r>
    </w:p>
    <w:p w14:paraId="4DFDC52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Учебный планер (2-х местный) для буксировки самолетом.</w:t>
      </w:r>
    </w:p>
    <w:p w14:paraId="1B81B13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окончания 1 мая 1934 года</w:t>
      </w:r>
    </w:p>
    <w:p w14:paraId="5978D72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Планер должен быть сконструирован с соблюдением всех существующих требований к планерам, допускать буксировку за У-2 и Р-5 на высоту до 1200 м (У-2) и 2500 м (Р-5).</w:t>
      </w:r>
    </w:p>
    <w:p w14:paraId="0BE3189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Оба члена экипажа должны быть снабжены парашютами. Подцепка планера должна требовать не более 3 мин.</w:t>
      </w:r>
    </w:p>
    <w:p w14:paraId="2233F4E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Прочность планера должна быть достаточна для буксировочного полета и также для свободного полета с выполнением высшего пилотажа (обязательные фигуры: пикирование, штопор, петля, боевой разворот). Буксирное приспособление не должно портить аэродинамические качества У-2 и Р-5. Легка отцепка в воздухе без потери буксирного троса.</w:t>
      </w:r>
    </w:p>
    <w:p w14:paraId="3E47592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материалы должны быть отечественного производства. Конструкция планера и буксир. Приспособления должны быть легки для массового производства и дешевы. Отцепка производится и планером и буксировщиком.</w:t>
      </w:r>
    </w:p>
    <w:p w14:paraId="5232E93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 должно быть колесное, хорошо обтекаемое.</w:t>
      </w:r>
    </w:p>
    <w:p w14:paraId="062A56A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Буксировка нескольких планеров (от 2 до 4 вкл.) одним самолетом.</w:t>
      </w:r>
    </w:p>
    <w:p w14:paraId="214AEC7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выполнения 1 августа 1934 года</w:t>
      </w:r>
    </w:p>
    <w:p w14:paraId="525E094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Планеры 2-х местные (объект N 23) для буксировочного самолета Р-5. Планеры одноместные (2 планера) - У-2 и планеры многоместные - буксировочный самолет Р-6 (2 планера 18 м).</w:t>
      </w:r>
    </w:p>
    <w:p w14:paraId="7C972BF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Буксировка должна происходить на высотах для У-2 до 1200 м (при 2-х планерах), для Р-5 - 2000 м (для 4-х планеров), для Р-6 не ниже 1500 м (для 2-хпланеров на 18 человек).</w:t>
      </w:r>
    </w:p>
    <w:p w14:paraId="4E7F1CB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Отцепка должна позволять отцепление одного, двух, трех и всех четырех планеров.</w:t>
      </w:r>
    </w:p>
    <w:p w14:paraId="7D7C8A5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Подцепка всех 4-х планеров должна брать не более 8 минут.</w:t>
      </w:r>
    </w:p>
    <w:p w14:paraId="2DD415D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Буксировочный трос при отцепке не должен теряться.</w:t>
      </w:r>
    </w:p>
    <w:p w14:paraId="3C573BE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Остальные требования как к объекту N 23 _</w:t>
      </w:r>
    </w:p>
    <w:p w14:paraId="79A2532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Подхватывание буксируемого планера с земли самолетом-буксиром в полете.</w:t>
      </w:r>
    </w:p>
    <w:p w14:paraId="635DD70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выполнения 1 октября 1934 года</w:t>
      </w:r>
    </w:p>
    <w:p w14:paraId="220E7D1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Приспособление должно быть одинаково по конструктивной идее как для подхватывания 1, 2-х, 6-ти, так и 18-ти местных и др. многоместных планеров.</w:t>
      </w:r>
    </w:p>
    <w:p w14:paraId="20E082A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1934 год отработать автоматическую сцепку для У-2 и Р-5.</w:t>
      </w:r>
    </w:p>
    <w:p w14:paraId="600181E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Способ сцепки не должен требовать значительных переделок букс. планеров или самолетов буксиров. Удар при сцепке не должен требовать особой конструкции планеров.</w:t>
      </w:r>
    </w:p>
    <w:p w14:paraId="34E18C6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Стандартные крепления (подцепки) для основных средств передвижения, вооружения и снаряжения частей ОН.</w:t>
      </w:r>
    </w:p>
    <w:p w14:paraId="4BD5280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выполнения 1 июня 1934 года</w:t>
      </w:r>
    </w:p>
    <w:p w14:paraId="4B6EA7F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Радиостанция 6 ПК</w:t>
      </w:r>
    </w:p>
    <w:p w14:paraId="6F2E3A0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Орудия ДРП</w:t>
      </w:r>
    </w:p>
    <w:p w14:paraId="5B75A23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Орудия пех. 76 мм 1927 г.</w:t>
      </w:r>
    </w:p>
    <w:p w14:paraId="4ADE143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Станковые пулеметы</w:t>
      </w:r>
    </w:p>
    <w:p w14:paraId="44BB61B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Снарядные ящики</w:t>
      </w:r>
    </w:p>
    <w:p w14:paraId="639FB4F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Патронные ящики</w:t>
      </w:r>
    </w:p>
    <w:p w14:paraId="00EE56A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Автомат. ружья</w:t>
      </w:r>
    </w:p>
    <w:p w14:paraId="527E0B5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Противотанковые ружья</w:t>
      </w:r>
    </w:p>
    <w:p w14:paraId="48870DC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 подрывное и др. имущество</w:t>
      </w:r>
    </w:p>
    <w:p w14:paraId="0028A7E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Химвещества</w:t>
      </w:r>
    </w:p>
    <w:p w14:paraId="32BDC7C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Мотоциклы без коляски</w:t>
      </w:r>
    </w:p>
    <w:p w14:paraId="35A69B2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Мотоциклы с коляской</w:t>
      </w:r>
    </w:p>
    <w:p w14:paraId="539AF85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Грузовики 1,5 т</w:t>
      </w:r>
    </w:p>
    <w:p w14:paraId="7B350A6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Легковые автомобили Форд</w:t>
      </w:r>
    </w:p>
    <w:p w14:paraId="3CDCD62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Бензо и маслобидоны</w:t>
      </w:r>
    </w:p>
    <w:p w14:paraId="7F0F793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Предметы продовольствия и вещ. снабжения</w:t>
      </w:r>
    </w:p>
    <w:p w14:paraId="0FA9386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Лодки моторные</w:t>
      </w:r>
    </w:p>
    <w:p w14:paraId="69E5749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Танкетка Т-27</w:t>
      </w:r>
    </w:p>
    <w:p w14:paraId="22B6FFB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Танк 37 А</w:t>
      </w:r>
    </w:p>
    <w:p w14:paraId="617D5CD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Броневик Д12 и Д13</w:t>
      </w:r>
    </w:p>
    <w:p w14:paraId="2160390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БХМ-1</w:t>
      </w:r>
    </w:p>
    <w:p w14:paraId="03791BA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 и запчасти к автотранспорту</w:t>
      </w:r>
    </w:p>
    <w:p w14:paraId="5826F2D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Разработать единую систему креплений (подцепок), укладок перечисленной матчасти, стандартизованную в отношении материалов, размеров, веса и габаритов.</w:t>
      </w:r>
    </w:p>
    <w:p w14:paraId="69400BA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Крепления (подцепки) для размещения внутри самолета и вне его для беспосадочного и посадочного десанта.</w:t>
      </w:r>
    </w:p>
    <w:p w14:paraId="590B2FA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Выработать требования к спец. транспортно-десантному самолету на основании разработанной системы креплений.</w:t>
      </w:r>
    </w:p>
    <w:p w14:paraId="1D2FDF6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прикрепления (подвеска, подцепка) не должно превышать при данном составе команды укладчиков подцепщиков 5 мин. Для малых грузов (до 100 кг) и 10 мин. Для грузов тяжелых.</w:t>
      </w:r>
    </w:p>
    <w:p w14:paraId="509B368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системе погрузки и крепления ВД грузов должны быть разработаны и механические средства погрузки, выделенные в настоящих техтребованиях как объекты N 27 и N 28.</w:t>
      </w:r>
    </w:p>
    <w:p w14:paraId="6D88DD3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Система креплений должна исходить из существующих самолетов (включая ТБ-4) и для них разработать комплекты грузов и креплений их по подразделениям частей ОН (взвод, рота, батальон, полк) со спецификацией боевого и не боевого груза, согласованной с УБП РККА и начальником ВДС ВВС.</w:t>
      </w:r>
    </w:p>
    <w:p w14:paraId="369C96C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объекты, подвешиваемые снаружи самолета должны иметь обтекатели или иметь хорошо обтекаемые формы. Модели самолетов с такими наружными подцепками должны продуваться в аэродинамической трубе. Подцепки не должны ухудшать летных качеств самолетов.</w:t>
      </w:r>
    </w:p>
    <w:p w14:paraId="3051F2F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Оборонительное вооружение самолета должно сохраняться полностью..</w:t>
      </w:r>
    </w:p>
    <w:p w14:paraId="52E1D16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прочности объекты и их подцепки должны отвечать общим требованиям на самолетные конструкции, однако перегрузки берутся минимальные для данного типа самолета, считая, что самолет подвергается лишь перегрузкам, возникающим в нормальном полете и при посадке.</w:t>
      </w:r>
    </w:p>
    <w:p w14:paraId="3C2C468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Средства механизации ВДС.</w:t>
      </w:r>
    </w:p>
    <w:p w14:paraId="099B3DA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Погрузочная аэродромная автоплатформа.</w:t>
      </w:r>
    </w:p>
    <w:p w14:paraId="239A075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выполнения 1 октября 1934 года</w:t>
      </w:r>
    </w:p>
    <w:p w14:paraId="67195BB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Универсальная автоплатформа, пригодная для подвоза к самолету всех тяжелых грузов ВД весом до 4 тонн включительно.</w:t>
      </w:r>
    </w:p>
    <w:p w14:paraId="52E1638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движения по аэродрому - не менее 25 км/час.</w:t>
      </w:r>
    </w:p>
    <w:p w14:paraId="2BB36A1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подъема груза - до 3 м/сек.</w:t>
      </w:r>
    </w:p>
    <w:p w14:paraId="1CFAA5F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Автоплатформа должна иметь складную грузовую стрелку для поднятия грузов весом до 2 т.</w:t>
      </w:r>
    </w:p>
    <w:p w14:paraId="56BEB16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Погрузочно-разгрузочные устройства на самолете</w:t>
      </w:r>
    </w:p>
    <w:p w14:paraId="6CA7A13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Устройство должно быть в 2-х вариантах:</w:t>
      </w:r>
    </w:p>
    <w:p w14:paraId="75E19A8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спец. десантного (и транспортного) самолета и</w:t>
      </w:r>
    </w:p>
    <w:p w14:paraId="6AF2AA3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тяжелых самолетов, приспособленных для ВД целей (ТБ3, ТБ4, К-7, АНТ-14).</w:t>
      </w:r>
    </w:p>
    <w:p w14:paraId="7A7943E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Устройство не должно портить аэродинамических и боевых качеств самолета. Должно позволять выгрузку из самолета матчасти с единичным весом до 2-х т и погрузку в него таких грузов.</w:t>
      </w:r>
    </w:p>
    <w:p w14:paraId="192F67E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подъема груза до 2 м/сек. Подъемный механизм должен представлять собой также лебедку, поднимающую и опускающую внешне подцепляемые грузы весом до 4-х тонн включ (3853,143-153).</w:t>
      </w:r>
    </w:p>
    <w:p w14:paraId="4AB231E2"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3130759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ноября 1933 года тактические требования на объекты плана работ 1934 года Парашютно-десантного отдела НИИ были рассмотрены на тактическом совещании в НИИ. Совещание полностью согласилось с представленным Нач. НИИ ВВС Татарченко проектом, внеся в него лишь совершенно незначительные изменения (3853).</w:t>
      </w:r>
    </w:p>
    <w:p w14:paraId="2B1B9DBC"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5D7F0F8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ноября 1933 была направлена выписка из протокола КО СССР:</w:t>
      </w:r>
    </w:p>
    <w:p w14:paraId="6E82E2B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потсройке 100 торпедных катеров для ДВ</w:t>
      </w:r>
    </w:p>
    <w:p w14:paraId="2E4157C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Обязать ГУАП под личную ответственность т. Королева и директора завода № 24 Марьямова подать на завод им. Марти 200 моторов в следующие сроки:</w:t>
      </w:r>
    </w:p>
    <w:p w14:paraId="1BD2707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М-34</w:t>
      </w:r>
      <w:r w:rsidRPr="00C33834">
        <w:rPr>
          <w:rFonts w:ascii="Times New Roman" w:hAnsi="Times New Roman"/>
          <w:color w:val="000000" w:themeColor="text1"/>
          <w:sz w:val="16"/>
          <w:szCs w:val="16"/>
        </w:rPr>
        <w:tab/>
        <w:t>18 ноября 1933</w:t>
      </w:r>
    </w:p>
    <w:p w14:paraId="7330B3D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r w:rsidRPr="00C33834">
        <w:rPr>
          <w:rFonts w:ascii="Times New Roman" w:hAnsi="Times New Roman"/>
          <w:color w:val="000000" w:themeColor="text1"/>
          <w:sz w:val="16"/>
          <w:szCs w:val="16"/>
        </w:rPr>
        <w:tab/>
        <w:t>к 1 декабря 1933</w:t>
      </w:r>
    </w:p>
    <w:p w14:paraId="2E70CEB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r w:rsidRPr="00C33834">
        <w:rPr>
          <w:rFonts w:ascii="Times New Roman" w:hAnsi="Times New Roman"/>
          <w:color w:val="000000" w:themeColor="text1"/>
          <w:sz w:val="16"/>
          <w:szCs w:val="16"/>
        </w:rPr>
        <w:tab/>
        <w:t>в декабре 1933 по 10 шт. в декады</w:t>
      </w:r>
    </w:p>
    <w:p w14:paraId="38B753E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ГМ-34 без реверса</w:t>
      </w:r>
      <w:r w:rsidRPr="00C33834">
        <w:rPr>
          <w:rFonts w:ascii="Times New Roman" w:hAnsi="Times New Roman"/>
          <w:color w:val="000000" w:themeColor="text1"/>
          <w:sz w:val="16"/>
          <w:szCs w:val="16"/>
        </w:rPr>
        <w:tab/>
        <w:t>к 1 декабря 1933</w:t>
      </w:r>
    </w:p>
    <w:p w14:paraId="6C1B278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w:t>
      </w:r>
      <w:r w:rsidRPr="00C33834">
        <w:rPr>
          <w:rFonts w:ascii="Times New Roman" w:hAnsi="Times New Roman"/>
          <w:color w:val="000000" w:themeColor="text1"/>
          <w:sz w:val="16"/>
          <w:szCs w:val="16"/>
        </w:rPr>
        <w:tab/>
        <w:t>в декабре</w:t>
      </w:r>
    </w:p>
    <w:p w14:paraId="68C73E2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r w:rsidRPr="00C33834">
        <w:rPr>
          <w:rFonts w:ascii="Times New Roman" w:hAnsi="Times New Roman"/>
          <w:color w:val="000000" w:themeColor="text1"/>
          <w:sz w:val="16"/>
          <w:szCs w:val="16"/>
        </w:rPr>
        <w:tab/>
        <w:t>в январе по 20 шт. в декаду</w:t>
      </w:r>
    </w:p>
    <w:p w14:paraId="3EA74FB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r w:rsidRPr="00C33834">
        <w:rPr>
          <w:rFonts w:ascii="Times New Roman" w:hAnsi="Times New Roman"/>
          <w:color w:val="000000" w:themeColor="text1"/>
          <w:sz w:val="16"/>
          <w:szCs w:val="16"/>
        </w:rPr>
        <w:tab/>
        <w:t>в феврале по 20 шт. в декаду</w:t>
      </w:r>
    </w:p>
    <w:p w14:paraId="33AA874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r w:rsidRPr="00C33834">
        <w:rPr>
          <w:rFonts w:ascii="Times New Roman" w:hAnsi="Times New Roman"/>
          <w:color w:val="000000" w:themeColor="text1"/>
          <w:sz w:val="16"/>
          <w:szCs w:val="16"/>
        </w:rPr>
        <w:tab/>
        <w:t>к 15 марта</w:t>
      </w:r>
    </w:p>
    <w:p w14:paraId="3015BB6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 виде временной мере для ускорения введения катеров в строй, поставить на 20 катеров авиационные моторы М-34, а на все остальные ГМ-34 без реверса с тем, чтобы после изготовления катеров ГМ-34 с реверсами заменить ими40 моторов без реверсов, поставленных на первых 20 катеров, и установить реверсы на остальных 160 моторов ГМ-34...</w:t>
      </w:r>
    </w:p>
    <w:p w14:paraId="4CC2AF1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Определить всю программу выпуска моторов ГМ-34 вля ВМС РККА на 1934 - 350 моторов.</w:t>
      </w:r>
    </w:p>
    <w:p w14:paraId="63C2DA7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НКТП СССР совместно с НКВВМором в декадный срок установить план выпуска всех моторов в соответствиит с программой строительства кораблей (2228).</w:t>
      </w:r>
    </w:p>
    <w:p w14:paraId="454314E4"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398541A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ноября 1933 года начальник ВВС Алкснис писал письмо № 3992/с в СТО Базилевичу</w:t>
      </w:r>
    </w:p>
    <w:p w14:paraId="483365F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сем препровождаю докладную записку начальнику Отдела опытного строительства НИИ ВВС Примакова о незаконных распоряжениях зам. начальника ГУАпа Беленковича, снявшего мотор М58 с опытного строительства и докладную записку гл. инженера-механика ВВС Аузана и гл. конструктора мотора М58 Назарова о тех мероприятиях, которые могли бы обеспечить выпуск мотора М-58 на госиспытания примерно через месяц.</w:t>
      </w:r>
    </w:p>
    <w:p w14:paraId="76DAF86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этом сообщаю, что одновременно с этим мною копия этой же докладной записки с соответствующим ходатайством об отмене распоряжения Беленковича направлена Наркомтяжпрому Орджониикдзе и Наркомвоенмору Ворошилову.</w:t>
      </w:r>
    </w:p>
    <w:p w14:paraId="4978CBE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Прошу Вашего соответствующего вмешательства в это дело в порядке контроля за исполнением постановления Правительства о плане опытного строительства.</w:t>
      </w:r>
    </w:p>
    <w:p w14:paraId="3A325AC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 упомянутое (3530,138).</w:t>
      </w:r>
    </w:p>
    <w:p w14:paraId="38D0FDD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1933 года начальник Отдела опытного строительства НИИ ВВС Примаков писал письмо начальнику 9 сектора</w:t>
      </w:r>
    </w:p>
    <w:p w14:paraId="44A7563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Доношу: прибывшим из ГУАПа со специальным заданием и соответствующими полномочиями зам. начальника ГУАПа Беленковичем отдано было 20 октября категорическое приказание заводу № 29 немедленно приостановить все опытные работы до 1 января 1934 года, включая и госиспытания М-48.</w:t>
      </w:r>
    </w:p>
    <w:p w14:paraId="62A30A1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докладе на техсовещании начальников цехов и отделов опытные работы квалифицировались им не как правительственное задание, а «навязчивые идеи», которые сейчас мешают серийной продукции и поэтому он их немедленно прикрывает. Приостановка работ носила чисто погромный характер: сбрасывались неоконченные в обработке детали с настроенных станков, сваливались в общую кучу. С большим трудом удалось доказать необходимость сборки разобранных опытных моторов, так как в противном случае будут приведены в негодность детали. Им же было отдано распоряжение сложить все детали разобранных моторов в ящики, где и хранить до особого распоряжения.</w:t>
      </w:r>
    </w:p>
    <w:p w14:paraId="23C60DB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Надо отметить, что характер его доклада носил не руководящий характер, а напоминал расправу: был обруган весь завод в целом и каждый начцеха в отдельности.</w:t>
      </w:r>
    </w:p>
    <w:p w14:paraId="0008C94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уточнения ряда вопросов я был принят Беленковичем, который на мой вопрос, знает ли он, что опытные работы ведутся согласно плана, утвержденного Правительством, заявил, что об утверждении плана опытного строительства Правительством он ничего не знает и что он уверен, что такого плана нет в природе.</w:t>
      </w:r>
    </w:p>
    <w:p w14:paraId="6C1F3BB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завода Александров тоже заявил, что о плане он слыхал, но не читал его. На мои доводы об устарелости конструкции серийного М-22 и необходимость доводки более совершенного мотора М-58 им было сообщено, что на последнем докладе Правительству, вопрос стоял только о серийной программе, причем Алкснис особенно упирал на М-22, поэтому этот мотор он считает главным и все опытные моторы приостанавливает:</w:t>
      </w:r>
    </w:p>
    <w:p w14:paraId="0542531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Беленковичем был брошен мне упрек, что я с опытными работами бегаю в партийный комитет завода и Горпартком и дан совет, чтобы в будущем я в эти организации не обращался, так как это поможет мне не больше «чем мертвому свечка».</w:t>
      </w:r>
    </w:p>
    <w:p w14:paraId="5C7A73C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заключение Беленкович повторил приказание Александрову еще раз о немедленном прекращении опытных работ, запретил ему разговаривать со мной по этому вопросу и в будущем без соответствующего письменного разрешения от ГУАПа не допускать меня ни к каким заводским испытаниям, так как по его мнению я командую заводом.</w:t>
      </w:r>
    </w:p>
    <w:p w14:paraId="60B915C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техсовещания, на основе приказа Беленковича, опротестовано ЗПК-том, но принято к исполнению, как не подлежащее обсуждению, по формулировке Беленковича «лучше выполнить плохой приказ, чем обсуждать хороший».</w:t>
      </w:r>
    </w:p>
    <w:p w14:paraId="3786384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Мотивировка ЗПК-та, опротестовавшего приказ Беленковича сводится к тому, что опытные работы занимают такой незначительный % оборудования и рабсилы, что ни в какой мере не отражается на серийной продукции, По подсчетам гл. инженера они не превосходят 0,5%.</w:t>
      </w:r>
    </w:p>
    <w:p w14:paraId="33290D3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Принимая во внимание всю важность опытных работ, ЗПК считает возможным выполнить программу не останавливая опытных работ. Это соображение совершенно правильное, так как опытные моторы уже изготовлены и только иногда потребуется изготовление запчастей, которые могут быть выполнены на трех станках, выделенных для опытных работ. В цехах же ежедневно в каждой смене простаивают не менее 50 станков, так что эти три станка не выводят завод из прорыва.</w:t>
      </w:r>
    </w:p>
    <w:p w14:paraId="48EC337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данный момент все опытные моторы поставлены на консервацию, работники опытной группы работают по серийной продукции. Работа по опытным моторам резко дискредитирована в глазах работников завода, так как квалифицирована как «Навязчивые идеи» (3530,139).</w:t>
      </w:r>
    </w:p>
    <w:p w14:paraId="287F698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Условия, необходимые для срочного предъявления на госиспытания мотора М-58 на заводе № 29</w:t>
      </w:r>
    </w:p>
    <w:p w14:paraId="3B00E95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доводки мотора М-58 на заводе № 29 к предъявлению на госиспытания необходимо:</w:t>
      </w:r>
    </w:p>
    <w:p w14:paraId="2D0575E5" w14:textId="77777777" w:rsidR="00570C39" w:rsidRPr="00C33834" w:rsidRDefault="00570C39" w:rsidP="00C33834">
      <w:pPr>
        <w:numPr>
          <w:ilvl w:val="0"/>
          <w:numId w:val="42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Закрепить всех людей, работавших до закрытия опытных работ в цехе по опытным моторам и Техно-конструкторском отделе на этих работах, для чего всех работников, переключенных с опытных работ на серийные вернуть к опытным работам; находящихся в отпуске или командировках по вопросам серийного производства немедленно возвратить. Всего на опытных работах было около 40 человек (на заводе № 29 около 6000 человек).</w:t>
      </w:r>
    </w:p>
    <w:p w14:paraId="45889541" w14:textId="77777777" w:rsidR="00570C39" w:rsidRPr="00C33834" w:rsidRDefault="00570C39" w:rsidP="00C33834">
      <w:pPr>
        <w:numPr>
          <w:ilvl w:val="0"/>
          <w:numId w:val="42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Возвратить Эксплуатационно-опытному бюро все отобранные помещения, приборы и оборудование, немедленно переоборудовав под опытные работы.</w:t>
      </w:r>
    </w:p>
    <w:p w14:paraId="23D2A7E5" w14:textId="77777777" w:rsidR="00570C39" w:rsidRPr="00C33834" w:rsidRDefault="00570C39" w:rsidP="00C33834">
      <w:pPr>
        <w:numPr>
          <w:ilvl w:val="0"/>
          <w:numId w:val="42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Форсировать подачу на завод поковок и материалов необходимых для доводки (поршни, клапаны и др.), поручив под личную ответственность руководителя снабжения завода с доставкой пассажирским поездом.</w:t>
      </w:r>
    </w:p>
    <w:p w14:paraId="637FC864" w14:textId="77777777" w:rsidR="00570C39" w:rsidRPr="00C33834" w:rsidRDefault="00570C39" w:rsidP="00C33834">
      <w:pPr>
        <w:numPr>
          <w:ilvl w:val="0"/>
          <w:numId w:val="430"/>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Запустить в производство с минимальными сроками выполнения несколько вариантов клапанного механизма клапана, седла клапана, направляющие клапанов, пружины и тарелки клапана, если потребуется, и головки цилиндров.</w:t>
      </w:r>
    </w:p>
    <w:p w14:paraId="38379A1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Срочно закончить конструктивную разработку нескольких вариантов лопаточного диффузора и подвода смеси нагнетателя, запустив их с укороченными сроками выполнения в производстве.</w:t>
      </w:r>
    </w:p>
    <w:p w14:paraId="4820390E" w14:textId="77777777" w:rsidR="00570C39" w:rsidRPr="00C33834" w:rsidRDefault="00570C39" w:rsidP="00C33834">
      <w:pPr>
        <w:numPr>
          <w:ilvl w:val="0"/>
          <w:numId w:val="431"/>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Провести тщательный, средствами техноконтроля задел завода контроль деталей двух изготовленных дополнительно экземпляров мотора, обеспечить пополнение недоделанных и забракованных деталей на этих объектах.</w:t>
      </w:r>
    </w:p>
    <w:p w14:paraId="1739A4DB" w14:textId="77777777" w:rsidR="00570C39" w:rsidRPr="00C33834" w:rsidRDefault="00570C39" w:rsidP="00C33834">
      <w:pPr>
        <w:numPr>
          <w:ilvl w:val="0"/>
          <w:numId w:val="432"/>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Прохождение деталей по аварийным заказам обеспечить выполнение в установленные при заказе сроки под личную ответственность начальников цехов, в которых изготовляются эти детали.</w:t>
      </w:r>
    </w:p>
    <w:p w14:paraId="19762613" w14:textId="77777777" w:rsidR="00570C39" w:rsidRPr="00C33834" w:rsidRDefault="00570C39" w:rsidP="00C33834">
      <w:pPr>
        <w:numPr>
          <w:ilvl w:val="0"/>
          <w:numId w:val="433"/>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Руководство производством всех деталей закрепить за начальником Первого механического цеха Сорокиным под его личную ответственность.</w:t>
      </w:r>
    </w:p>
    <w:p w14:paraId="649F6970" w14:textId="77777777" w:rsidR="00570C39" w:rsidRPr="00C33834" w:rsidRDefault="00570C39" w:rsidP="00C33834">
      <w:pPr>
        <w:numPr>
          <w:ilvl w:val="0"/>
          <w:numId w:val="434"/>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3-х дневный срок вернуть из Москвы контролера Степанова и дополнительно прислать одного высококвалифицированного по механическому контролю работника из объединения ГУАП.</w:t>
      </w:r>
    </w:p>
    <w:p w14:paraId="529CD2E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Инженера завода № 24 Луковникова закрепить на работах по мотору М58 до конца доводки. Командировать из ЦИАМа одного опытного инженера и распоряжение завода для испытания М58.</w:t>
      </w:r>
    </w:p>
    <w:p w14:paraId="6554440E" w14:textId="77777777" w:rsidR="00570C39" w:rsidRPr="00C33834" w:rsidRDefault="00570C39" w:rsidP="00C33834">
      <w:pPr>
        <w:numPr>
          <w:ilvl w:val="0"/>
          <w:numId w:val="435"/>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Обеспечить гл. конструктору Назарову единоначалие в проведении испытаний и конструктивных переделок.</w:t>
      </w:r>
    </w:p>
    <w:p w14:paraId="6CC3C040" w14:textId="77777777" w:rsidR="00570C39" w:rsidRPr="00C33834" w:rsidRDefault="00570C39" w:rsidP="00C33834">
      <w:pPr>
        <w:numPr>
          <w:ilvl w:val="0"/>
          <w:numId w:val="436"/>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работы по мотору М58 вести в три смены, обеспечив работников своевременным доброкачественным питанием и необходимым фондом сверхурочных работ.</w:t>
      </w:r>
    </w:p>
    <w:p w14:paraId="2CB3380F" w14:textId="77777777" w:rsidR="00570C39" w:rsidRPr="00C33834" w:rsidRDefault="00570C39" w:rsidP="00C33834">
      <w:pPr>
        <w:numPr>
          <w:ilvl w:val="0"/>
          <w:numId w:val="437"/>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Своевременно обеспечить деньгами опытные заказы и работы.</w:t>
      </w:r>
    </w:p>
    <w:p w14:paraId="727A64FF" w14:textId="77777777" w:rsidR="00570C39" w:rsidRPr="00C33834" w:rsidRDefault="00570C39" w:rsidP="00C33834">
      <w:pPr>
        <w:numPr>
          <w:ilvl w:val="0"/>
          <w:numId w:val="438"/>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двухнедельный срок закончить и переслать на завод № 29 мулинетки мотора М58.</w:t>
      </w:r>
    </w:p>
    <w:p w14:paraId="5C818AC3" w14:textId="77777777" w:rsidR="00570C39" w:rsidRPr="00C33834" w:rsidRDefault="00570C39" w:rsidP="00C33834">
      <w:pPr>
        <w:numPr>
          <w:ilvl w:val="0"/>
          <w:numId w:val="439"/>
        </w:numPr>
        <w:tabs>
          <w:tab w:val="left" w:pos="360"/>
        </w:tabs>
        <w:spacing w:after="0" w:line="240" w:lineRule="auto"/>
        <w:ind w:left="0" w:firstLine="0"/>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Обеспечить внеочередное выполнение внезаводских опытных заказов в предприятиях ГУАПа и НКТяжпрома (3530,140).</w:t>
      </w:r>
    </w:p>
    <w:p w14:paraId="70B54C0E" w14:textId="77777777" w:rsidR="00570C39" w:rsidRPr="00C33834" w:rsidRDefault="00570C39" w:rsidP="00C33834">
      <w:pPr>
        <w:tabs>
          <w:tab w:val="left" w:pos="360"/>
        </w:tabs>
        <w:spacing w:after="0" w:line="240" w:lineRule="auto"/>
        <w:jc w:val="both"/>
        <w:rPr>
          <w:rFonts w:ascii="Times New Roman" w:hAnsi="Times New Roman"/>
          <w:color w:val="000000" w:themeColor="text1"/>
          <w:sz w:val="16"/>
          <w:szCs w:val="16"/>
        </w:rPr>
      </w:pPr>
    </w:p>
    <w:p w14:paraId="7633A088"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5A26D87"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3350B214"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10 ноября 1933 г. было утверждено положении о народном комиссариате тяжелой промышленности (НКТП) СССР, в котором отмечалось, что НКТП руководит исполнением утвержденных правительством планов -производственных, финансовых, капитального строительства и т.д. А в положении о Главном управлении металлургической промышленности (ГУМП) от 28.06.1933 г. было записано, что он "является составной частью НКТП и сосредотачивает в себе выполнение функции последнего по планированию и техническому руководству в отраслях промышленности черной металлургии, железно-рудной, коксохимической и огнеупоров"; "все относящиеся к перечисленным выше отраслям промышленности, вопросы получают окончательное разрешение и оформление в ГУМП". </w:t>
      </w:r>
    </w:p>
    <w:p w14:paraId="39CC8188"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При этом предполагалось, что руководство наркоматов и главков честно проводит политику, определенную для него высшими органами. Цели, которые оно преследует, не отличаются принципиально от целей правительства, а между ними не могут возникнуть серьезные конфликты. Таким образом, теоретически советская система должна была работать подобно часовому механизму, где все части подогнаны друг к другу, что обеспечивает точность работы. Однако на практике происходили серьезные сбои: сроки составления планов часто срывались, отдельные части планов оказывались не согласованными между собой, наконец, зачастую планы просто не выполнялись. Наркоматы и главки нередко противодействовали и тормозили выполнение решений центра, своего начальства. </w:t>
      </w:r>
    </w:p>
    <w:p w14:paraId="75921731"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 xml:space="preserve">Причина неавтоматического исполнения приказов и распоряжений вышестоящих органов заключалась в том, что реальные интересы центра и руководства хозяйственных наркоматов и главков часто не совпадали. Асимметрия информации о реальном положении дел позволяла руководству наркоматов и главков находить модели поведения, формально соблюдающие интересы центра, но в тоже время обеспечивающие выполнение их собственных интересов. </w:t>
      </w:r>
    </w:p>
    <w:p w14:paraId="0090BC60"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Реальные интересы руководителей наркоматов и главков заключались не в слепом следовании приказам начальства, а в стремлении обеспечить надежность своего положения, понизить неопределенность своего будущего. Этого можно было достичь несколькими путями: за счет усиления влияния своего ведомства, увеличения его независимости от вышестоящих организаций, демонстрацией эффективности своей работы (хотя бы и формальной) и т.д. (11592).</w:t>
      </w:r>
    </w:p>
    <w:p w14:paraId="4B974EDE" w14:textId="77777777" w:rsidR="00570C39" w:rsidRPr="00C33834" w:rsidRDefault="00570C39" w:rsidP="00C33834">
      <w:pPr>
        <w:pStyle w:val="af2"/>
        <w:jc w:val="both"/>
        <w:rPr>
          <w:i w:val="0"/>
          <w:iCs w:val="0"/>
          <w:color w:val="000000" w:themeColor="text1"/>
          <w:spacing w:val="0"/>
          <w:kern w:val="0"/>
          <w:position w:val="0"/>
          <w:sz w:val="16"/>
          <w:szCs w:val="16"/>
          <w:lang w:val="ru-RU"/>
        </w:rPr>
      </w:pPr>
    </w:p>
    <w:p w14:paraId="06B989FF" w14:textId="77777777" w:rsidR="00CE750F" w:rsidRPr="00C33834" w:rsidRDefault="00CE750F" w:rsidP="00C33834">
      <w:pPr>
        <w:spacing w:after="0" w:line="240" w:lineRule="auto"/>
        <w:jc w:val="both"/>
        <w:rPr>
          <w:rFonts w:ascii="Times New Roman" w:hAnsi="Times New Roman"/>
          <w:color w:val="000000" w:themeColor="text1"/>
          <w:sz w:val="16"/>
          <w:szCs w:val="16"/>
        </w:rPr>
      </w:pPr>
      <w:r w:rsidRPr="00C33834">
        <w:rPr>
          <w:rStyle w:val="ucoz-forum-post"/>
          <w:rFonts w:ascii="Times New Roman" w:hAnsi="Times New Roman"/>
          <w:bCs/>
          <w:color w:val="000000" w:themeColor="text1"/>
          <w:sz w:val="16"/>
          <w:szCs w:val="16"/>
        </w:rPr>
        <w:t xml:space="preserve">10 ноября </w:t>
      </w:r>
      <w:r w:rsidRPr="00C33834">
        <w:rPr>
          <w:rFonts w:ascii="Times New Roman" w:hAnsi="Times New Roman"/>
          <w:color w:val="000000" w:themeColor="text1"/>
          <w:sz w:val="16"/>
          <w:szCs w:val="16"/>
        </w:rPr>
        <w:t>в 1933 году образовано ФГУП "Государственный научно-исследовательский институт приборостроения" (14826).</w:t>
      </w:r>
    </w:p>
    <w:p w14:paraId="16EFB76F" w14:textId="77777777" w:rsidR="00CE750F" w:rsidRPr="00C33834" w:rsidRDefault="00CE750F" w:rsidP="00C33834">
      <w:pPr>
        <w:spacing w:after="0" w:line="240" w:lineRule="auto"/>
        <w:jc w:val="both"/>
        <w:rPr>
          <w:rFonts w:ascii="Times New Roman" w:hAnsi="Times New Roman"/>
          <w:color w:val="000000" w:themeColor="text1"/>
          <w:sz w:val="16"/>
          <w:szCs w:val="16"/>
        </w:rPr>
      </w:pPr>
    </w:p>
    <w:p w14:paraId="055CCEDB" w14:textId="77777777" w:rsidR="00CE750F" w:rsidRPr="00C33834" w:rsidRDefault="00CE750F" w:rsidP="00C33834">
      <w:pPr>
        <w:pStyle w:val="rtejustify"/>
        <w:spacing w:before="0" w:after="0"/>
        <w:rPr>
          <w:color w:val="000000" w:themeColor="text1"/>
          <w:sz w:val="16"/>
          <w:szCs w:val="16"/>
        </w:rPr>
      </w:pPr>
      <w:r w:rsidRPr="00C33834">
        <w:rPr>
          <w:rStyle w:val="af0"/>
          <w:bCs/>
          <w:i w:val="0"/>
          <w:color w:val="000000" w:themeColor="text1"/>
          <w:sz w:val="16"/>
          <w:szCs w:val="16"/>
        </w:rPr>
        <w:t>10 ноября</w:t>
      </w:r>
      <w:r w:rsidRPr="00C33834">
        <w:rPr>
          <w:color w:val="000000" w:themeColor="text1"/>
          <w:sz w:val="16"/>
          <w:szCs w:val="16"/>
        </w:rPr>
        <w:t xml:space="preserve"> 1933. Постановление СНК СССР № 30сс/о «О капитальных затратах на узкооборонное строительство НКТП на IV кв. 1933 г.». (ГА РФ. Ф. Р</w:t>
      </w:r>
      <w:r w:rsidRPr="00C33834">
        <w:rPr>
          <w:color w:val="000000" w:themeColor="text1"/>
          <w:sz w:val="16"/>
          <w:szCs w:val="16"/>
        </w:rPr>
        <w:noBreakHyphen/>
        <w:t>8418. Оп. 28. Д. 15. Л. 71) (15460).</w:t>
      </w:r>
    </w:p>
    <w:p w14:paraId="54785D82" w14:textId="77777777" w:rsidR="00CE750F" w:rsidRPr="00C33834" w:rsidRDefault="00CE750F" w:rsidP="00C33834">
      <w:pPr>
        <w:pStyle w:val="rtejustify"/>
        <w:spacing w:before="0" w:after="0"/>
        <w:rPr>
          <w:color w:val="000000" w:themeColor="text1"/>
          <w:sz w:val="16"/>
          <w:szCs w:val="16"/>
        </w:rPr>
      </w:pPr>
    </w:p>
    <w:p w14:paraId="28A815AD" w14:textId="77777777" w:rsidR="00CE750F" w:rsidRPr="00C33834" w:rsidRDefault="00CE750F" w:rsidP="00C33834">
      <w:pPr>
        <w:pStyle w:val="rtejustify"/>
        <w:spacing w:before="0" w:after="0"/>
        <w:rPr>
          <w:color w:val="000000" w:themeColor="text1"/>
          <w:sz w:val="16"/>
          <w:szCs w:val="16"/>
        </w:rPr>
      </w:pPr>
      <w:r w:rsidRPr="00C33834">
        <w:rPr>
          <w:rStyle w:val="af0"/>
          <w:bCs/>
          <w:i w:val="0"/>
          <w:color w:val="000000" w:themeColor="text1"/>
          <w:sz w:val="16"/>
          <w:szCs w:val="16"/>
        </w:rPr>
        <w:t>10 ноября</w:t>
      </w:r>
      <w:r w:rsidRPr="00C33834">
        <w:rPr>
          <w:color w:val="000000" w:themeColor="text1"/>
          <w:sz w:val="16"/>
          <w:szCs w:val="16"/>
        </w:rPr>
        <w:t xml:space="preserve"> 1933. Постановление СТО СССР № 106сс/о «О сроках сдачи и отправки на ДВ подлодок типа “Малютка”».(ГА РФ. Ф. Р</w:t>
      </w:r>
      <w:r w:rsidRPr="00C33834">
        <w:rPr>
          <w:color w:val="000000" w:themeColor="text1"/>
          <w:sz w:val="16"/>
          <w:szCs w:val="16"/>
        </w:rPr>
        <w:noBreakHyphen/>
        <w:t>8418. Оп. 28. Д. 3. Л. 22</w:t>
      </w:r>
      <w:r w:rsidRPr="00C33834">
        <w:rPr>
          <w:color w:val="000000" w:themeColor="text1"/>
          <w:sz w:val="16"/>
          <w:szCs w:val="16"/>
        </w:rPr>
        <w:noBreakHyphen/>
        <w:t>24) (15460).</w:t>
      </w:r>
    </w:p>
    <w:p w14:paraId="53545255" w14:textId="77777777" w:rsidR="00CE750F" w:rsidRPr="00C33834" w:rsidRDefault="00CE750F" w:rsidP="00C33834">
      <w:pPr>
        <w:pStyle w:val="rtejustify"/>
        <w:spacing w:before="0" w:after="0"/>
        <w:rPr>
          <w:color w:val="000000" w:themeColor="text1"/>
          <w:sz w:val="16"/>
          <w:szCs w:val="16"/>
        </w:rPr>
      </w:pPr>
    </w:p>
    <w:p w14:paraId="64E76177" w14:textId="77777777" w:rsidR="00CE750F" w:rsidRPr="00C33834" w:rsidRDefault="00CE750F" w:rsidP="00C33834">
      <w:pPr>
        <w:pStyle w:val="rtejustify"/>
        <w:spacing w:before="0" w:after="0"/>
        <w:rPr>
          <w:color w:val="000000" w:themeColor="text1"/>
          <w:sz w:val="16"/>
          <w:szCs w:val="16"/>
        </w:rPr>
      </w:pPr>
      <w:r w:rsidRPr="00C33834">
        <w:rPr>
          <w:rStyle w:val="af0"/>
          <w:bCs/>
          <w:i w:val="0"/>
          <w:color w:val="000000" w:themeColor="text1"/>
          <w:sz w:val="16"/>
          <w:szCs w:val="16"/>
        </w:rPr>
        <w:t>10 ноября</w:t>
      </w:r>
      <w:r w:rsidRPr="00C33834">
        <w:rPr>
          <w:color w:val="000000" w:themeColor="text1"/>
          <w:sz w:val="16"/>
          <w:szCs w:val="16"/>
        </w:rPr>
        <w:t xml:space="preserve"> 1933. Постановление СТО СССР № 107сс/о «О постройке 100 торпедных катеров для Дальнего Востока». (ГА РФ. Ф. Р</w:t>
      </w:r>
      <w:r w:rsidRPr="00C33834">
        <w:rPr>
          <w:color w:val="000000" w:themeColor="text1"/>
          <w:sz w:val="16"/>
          <w:szCs w:val="16"/>
        </w:rPr>
        <w:noBreakHyphen/>
        <w:t>8418. Оп. 28. Д. 3. Л. 25</w:t>
      </w:r>
      <w:r w:rsidRPr="00C33834">
        <w:rPr>
          <w:color w:val="000000" w:themeColor="text1"/>
          <w:sz w:val="16"/>
          <w:szCs w:val="16"/>
        </w:rPr>
        <w:noBreakHyphen/>
        <w:t>26) (15460).</w:t>
      </w:r>
    </w:p>
    <w:p w14:paraId="1B93033A" w14:textId="77777777" w:rsidR="00CE750F" w:rsidRPr="00C33834" w:rsidRDefault="00CE750F" w:rsidP="00C33834">
      <w:pPr>
        <w:pStyle w:val="rtejustify"/>
        <w:spacing w:before="0" w:after="0"/>
        <w:rPr>
          <w:color w:val="000000" w:themeColor="text1"/>
          <w:sz w:val="16"/>
          <w:szCs w:val="16"/>
        </w:rPr>
      </w:pPr>
    </w:p>
    <w:p w14:paraId="71EF783F" w14:textId="77777777" w:rsidR="00CE750F" w:rsidRPr="00C33834" w:rsidRDefault="00CE750F" w:rsidP="00C33834">
      <w:pPr>
        <w:pStyle w:val="rtejustify"/>
        <w:spacing w:before="0" w:after="0"/>
        <w:rPr>
          <w:color w:val="000000" w:themeColor="text1"/>
          <w:sz w:val="16"/>
          <w:szCs w:val="16"/>
        </w:rPr>
      </w:pPr>
      <w:r w:rsidRPr="00C33834">
        <w:rPr>
          <w:rStyle w:val="af0"/>
          <w:bCs/>
          <w:i w:val="0"/>
          <w:color w:val="000000" w:themeColor="text1"/>
          <w:sz w:val="16"/>
          <w:szCs w:val="16"/>
        </w:rPr>
        <w:t>10 ноября</w:t>
      </w:r>
      <w:r w:rsidRPr="00C33834">
        <w:rPr>
          <w:color w:val="000000" w:themeColor="text1"/>
          <w:sz w:val="16"/>
          <w:szCs w:val="16"/>
        </w:rPr>
        <w:t xml:space="preserve"> 1933. Постановление СТО СССР № 109сс/о «О форсировании строительства сторожевых судов на Дальнем Востоке». (ГА РФ. Ф. Р</w:t>
      </w:r>
      <w:r w:rsidRPr="00C33834">
        <w:rPr>
          <w:color w:val="000000" w:themeColor="text1"/>
          <w:sz w:val="16"/>
          <w:szCs w:val="16"/>
        </w:rPr>
        <w:noBreakHyphen/>
        <w:t>8418. Оп. 28. Д. 3. Л. 28</w:t>
      </w:r>
      <w:r w:rsidRPr="00C33834">
        <w:rPr>
          <w:color w:val="000000" w:themeColor="text1"/>
          <w:sz w:val="16"/>
          <w:szCs w:val="16"/>
        </w:rPr>
        <w:noBreakHyphen/>
        <w:t>29) (15460).</w:t>
      </w:r>
    </w:p>
    <w:p w14:paraId="0AE5013A" w14:textId="77777777" w:rsidR="00CE750F" w:rsidRPr="00C33834" w:rsidRDefault="00CE750F" w:rsidP="00C33834">
      <w:pPr>
        <w:pStyle w:val="rtejustify"/>
        <w:spacing w:before="0" w:after="0"/>
        <w:rPr>
          <w:color w:val="000000" w:themeColor="text1"/>
          <w:sz w:val="16"/>
          <w:szCs w:val="16"/>
        </w:rPr>
      </w:pPr>
    </w:p>
    <w:p w14:paraId="0E6CB6C2"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7BABFC27"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0FF54F8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ноября 1933-го приказом ОГПУ № 00361 были объявлены «Типовые штаты для исправительно-трудовых лагерей ОГПУ», вводимые в действие задним числом с 1 ноября с отменой всех прежних штатов ИТЛ; для Управлений Дмитлага, Белбалтлага, Бамлага и Ухтпечлага, Вайгачской экспедиции и Саровского особого карантинного лагеря теперь устанавливались свои особые штаты, отделения же и лагпунты этих лагерей реорганизовались в общем порядке. Из объяснительной записки, приложенной к этому приказу, видно, сколь разветвленной и плохо управляемой стала система лагерей:</w:t>
      </w:r>
    </w:p>
    <w:p w14:paraId="50F9463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«Вследствие увеличения или уменьшения контингента заключенных, а также и переброски из одного лагеря в другой, в системе исправительно-трудовых лагерей ОГПУ происходят частые дислокационные изменения, связанные с ликвидацией существующих или организацией новых лагерных единиц.</w:t>
      </w:r>
    </w:p>
    <w:p w14:paraId="060760B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 как штатная потребность аппаратов лагерей, за исключением некоторых должностей, находится в прямой зависимости от численности заключенных, то при разработке проекта штатов тех или иных лагерей в основу, как правило, обычно кладется контингент заключенных, числящихся в этих лагерях на день проработки штатов или запроектированный на ближайший отрезок времени.</w:t>
      </w:r>
    </w:p>
    <w:p w14:paraId="6416BAF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Практика показывает, что нередко, только что утвержденный штат уже не соответствует действительному положению вещей, т. к. на время проработки этого штата и прохождения его по инстанциям, контингент заключенных данных лагерей уже успел измениться или произошли те или иные дислокационные изменения. Это несоответствие между утвержденными штатами лагерей и их дислокацией и контингентами заключенных крайне нежелательно отражается, как на финансовой стороне дела, вызывая излишние расходы по содержанию вовремя не сокращенного аппарата, так и на самой работе лагерей из-за невозможности свое-временного </w:t>
      </w:r>
      <w:r w:rsidRPr="00C33834">
        <w:rPr>
          <w:rFonts w:ascii="Times New Roman" w:hAnsi="Times New Roman"/>
          <w:color w:val="000000" w:themeColor="text1"/>
          <w:sz w:val="16"/>
          <w:szCs w:val="16"/>
        </w:rPr>
        <w:lastRenderedPageBreak/>
        <w:t>пополнения аппарата при увеличении работ. Вышеуказанное обстоятельство вызывает необходимость уточнения существующей структуры аппарата лагерей и установления такой системы, чтобы, при организации новых или при переформировании существующих лагерных единиц, была возможность заранее преподать по какому основному штату следует организоваться или переформироваться. Для установления такой системы необходим переход к типовым штатам.</w:t>
      </w:r>
    </w:p>
    <w:p w14:paraId="570FE8E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разработке типовых штатов в основу положен нижеследующий расчет:</w:t>
      </w:r>
    </w:p>
    <w:p w14:paraId="1865D45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управления, объединяющие лагеря с общим количеством з/к:</w:t>
      </w:r>
    </w:p>
    <w:p w14:paraId="158F9D7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от 50.000 и выше организуются по штату 1-й категории</w:t>
      </w:r>
    </w:p>
    <w:p w14:paraId="4199B1B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от 30.000 до 50.000 организуются по штату 2-й категории</w:t>
      </w:r>
    </w:p>
    <w:p w14:paraId="40442D4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от 15.000 до 30.000 организуются по штату 3-й категории</w:t>
      </w:r>
    </w:p>
    <w:p w14:paraId="128A98B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отделения (лагеря) с количеством з/к:</w:t>
      </w:r>
    </w:p>
    <w:p w14:paraId="6A10C79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от 10.000 до 15.000 организуются по штату 1-й категории</w:t>
      </w:r>
    </w:p>
    <w:p w14:paraId="20C4FCE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от 5.000 до 10.000 организуются по штату 2-й категории</w:t>
      </w:r>
    </w:p>
    <w:p w14:paraId="402669E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от 3.000 до 5.000 организуются по штату 3-й категории</w:t>
      </w:r>
    </w:p>
    <w:p w14:paraId="1CBAA4A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лагерные пункты с количеством з/к:</w:t>
      </w:r>
    </w:p>
    <w:p w14:paraId="3F4B88A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от 1.500 до 2.000 организуются по штату 1-й категории</w:t>
      </w:r>
    </w:p>
    <w:p w14:paraId="4FC6AE1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от 650 до 1.500 организуются по штату 2-й категории</w:t>
      </w:r>
    </w:p>
    <w:p w14:paraId="1412458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от 250 до 650 организуются по штату 3-й категории</w:t>
      </w:r>
    </w:p>
    <w:p w14:paraId="1C0258B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внесения ясности в организационную структуру лагерей и установления единообразия в ее наименованиях, необходимо, чтобы все исправительно-трудовые лагеря строились по нижеследующему принципу:</w:t>
      </w:r>
    </w:p>
    <w:p w14:paraId="2111091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Как правило, низовой административно-производственной лагерной единицей должен быть лагпункт. Под наименованием лагпункта следует понимать стационарное лагерное размещение заключенных, сконцентрированных на небольшой территории, для выполнения определенной производственной задачи, рассчитанной на длительный период времени.</w:t>
      </w:r>
    </w:p>
    <w:p w14:paraId="2596973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Количество заключенных в лагпункте может быть различно, но не менее 250 и не превышать 1.500-2.000 чел.</w:t>
      </w:r>
    </w:p>
    <w:p w14:paraId="1D32F27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зависимости от расположения и производственных задач лагпункты могут подразделяться на подлагпункты.</w:t>
      </w:r>
    </w:p>
    <w:p w14:paraId="468D8E6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тех случаях, когда лагпункты организуются для временных, преимущественно, сезонных работ, они носят название временных лагпунктов (взамен наименования, так называемых командировок).</w:t>
      </w:r>
    </w:p>
    <w:p w14:paraId="3F9C31C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Как правило, лагерные пункты должны входить в состав того или иного отделения (лагеря). В зависимости от расположения и производственной деятельности, некоторые лагпункты могут быть организованы на правах отдельной лагерной единицы с непосредственным подчинением Управлению местными лагерями ОГПУ. Эти отдельные лагпункты организуются в том случае, когда заключенные по производственным или иным соображениям концентрируются в таких пунктах, расположение или производственное назначение которых исключает возможность подчинения их отделению (лагерю).</w:t>
      </w:r>
    </w:p>
    <w:p w14:paraId="662F440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Из совокупности нескольких лагпунктов, но не менее как из трех, организуется отделение (лагерь), количество заключенных в отделении ориентировочно, должно быть не менее 3.000 человек и не превышать 10.000-15.000 человек.</w:t>
      </w:r>
    </w:p>
    <w:p w14:paraId="3E5200C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Отделения (лагерь) также, как и лагпункт, могут быть отдельные. Отдельный лагерь организуется для выполнения определенной, преимущественно, ударной производственной задачи и подчиняется непосредственно Главному управлению лагерей ОГПУ (Прорвинский, Балахнинский и Вайгачский лагерь).</w:t>
      </w:r>
    </w:p>
    <w:p w14:paraId="6AF5E27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Структура аппарата Управлений лагерей должна состоять из следующих основных отделов:</w:t>
      </w:r>
    </w:p>
    <w:p w14:paraId="75FE8E5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общеадминистративного</w:t>
      </w:r>
    </w:p>
    <w:p w14:paraId="41A814B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учетно-распределительного</w:t>
      </w:r>
    </w:p>
    <w:p w14:paraId="682ED03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третьего отдела</w:t>
      </w:r>
    </w:p>
    <w:p w14:paraId="66F5FEB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культурно-воспитательного</w:t>
      </w:r>
    </w:p>
    <w:p w14:paraId="063938D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снабжения</w:t>
      </w:r>
    </w:p>
    <w:p w14:paraId="5C46C78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санитарного</w:t>
      </w:r>
    </w:p>
    <w:p w14:paraId="2261790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финансового</w:t>
      </w:r>
    </w:p>
    <w:p w14:paraId="106E075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контрольно-планового</w:t>
      </w:r>
    </w:p>
    <w:p w14:paraId="681BAA9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производственно-технического</w:t>
      </w:r>
    </w:p>
    <w:p w14:paraId="086BEF2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этим в отделениях (лагерях) должны быть части с аналогичными наименованиями» (7560).</w:t>
      </w:r>
    </w:p>
    <w:p w14:paraId="2FC23031"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47BF81C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ноября 1933 года приказом ОГПУ №00361 объявлены «Типовые штаты для исправительно-трудовых лагерей ОГПУ», вводимые в действие задним числом с 1 ноября с отменой всех прежних штатов ИТЛ (8983).</w:t>
      </w:r>
    </w:p>
    <w:p w14:paraId="18E33937"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6016BF1B"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3AE5DA0"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334AB5C4" w14:textId="77777777" w:rsidR="00CE750F" w:rsidRPr="00C33834" w:rsidRDefault="00CE750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ноября 1933 руководство СНИИ ГВФ рапортовало правительству:</w:t>
      </w:r>
    </w:p>
    <w:p w14:paraId="542BF698" w14:textId="77777777" w:rsidR="00CE750F" w:rsidRPr="00C33834" w:rsidRDefault="00CE750F" w:rsidP="00C33834">
      <w:pPr>
        <w:pStyle w:val="45"/>
        <w:shd w:val="clear" w:color="auto" w:fill="auto"/>
        <w:spacing w:before="0" w:line="240" w:lineRule="auto"/>
        <w:jc w:val="both"/>
        <w:rPr>
          <w:rFonts w:ascii="Times New Roman" w:cs="Times New Roman"/>
          <w:color w:val="000000" w:themeColor="text1"/>
          <w:sz w:val="16"/>
          <w:szCs w:val="16"/>
        </w:rPr>
      </w:pPr>
      <w:r w:rsidRPr="00C33834">
        <w:rPr>
          <w:rFonts w:ascii="Times New Roman" w:cs="Times New Roman"/>
          <w:color w:val="000000" w:themeColor="text1"/>
          <w:sz w:val="16"/>
          <w:szCs w:val="16"/>
        </w:rPr>
        <w:t>«В разрешении задачи, поставленной партией и правительством, в совершенстве ов</w:t>
      </w:r>
      <w:r w:rsidRPr="00C33834">
        <w:rPr>
          <w:rFonts w:ascii="Times New Roman" w:cs="Times New Roman"/>
          <w:color w:val="000000" w:themeColor="text1"/>
          <w:sz w:val="16"/>
          <w:szCs w:val="16"/>
        </w:rPr>
        <w:softHyphen/>
        <w:t>ладеть высокой техникой самолётостроения, чтобы в кратчайший срок догнать и перегнать передовые в техническом отношении капиталистические страны, Самолётостроительным научно-исследовательским институтом Гражданского воздушного флота сделан новый шаг. К 16-й годовщине Великой Пролетарской Революции, на основе осуществления 6-ти исто</w:t>
      </w:r>
      <w:r w:rsidRPr="00C33834">
        <w:rPr>
          <w:rFonts w:ascii="Times New Roman" w:cs="Times New Roman"/>
          <w:color w:val="000000" w:themeColor="text1"/>
          <w:sz w:val="16"/>
          <w:szCs w:val="16"/>
        </w:rPr>
        <w:softHyphen/>
        <w:t>рических условий тов. Сталина, в беспощадной борьбе под руководством парторганизации с оппортунизмом и техническим консерватизмом, выпущен цельностальной самолёт «Сталь-6» с рядом смелых технических нововведений конструкции инженера-коммуниста т. Бартини.</w:t>
      </w:r>
    </w:p>
    <w:p w14:paraId="35A00F9E" w14:textId="77777777" w:rsidR="00CE750F" w:rsidRPr="00C33834" w:rsidRDefault="00CE750F" w:rsidP="00C33834">
      <w:pPr>
        <w:pStyle w:val="45"/>
        <w:shd w:val="clear" w:color="auto" w:fill="auto"/>
        <w:spacing w:before="0" w:line="240" w:lineRule="auto"/>
        <w:jc w:val="both"/>
        <w:rPr>
          <w:rFonts w:ascii="Times New Roman" w:cs="Times New Roman"/>
          <w:color w:val="000000" w:themeColor="text1"/>
          <w:sz w:val="16"/>
          <w:szCs w:val="16"/>
        </w:rPr>
      </w:pPr>
      <w:r w:rsidRPr="00C33834">
        <w:rPr>
          <w:rFonts w:ascii="Times New Roman" w:cs="Times New Roman"/>
          <w:color w:val="000000" w:themeColor="text1"/>
          <w:sz w:val="16"/>
          <w:szCs w:val="16"/>
        </w:rPr>
        <w:t xml:space="preserve">...В процессе заводских испытаний, проводившихся краснознамённым лётчиком </w:t>
      </w:r>
      <w:r w:rsidRPr="00C33834">
        <w:rPr>
          <w:rStyle w:val="40pt"/>
          <w:rFonts w:ascii="Times New Roman" w:hAnsi="Times New Roman" w:cs="Times New Roman"/>
          <w:b w:val="0"/>
          <w:color w:val="000000" w:themeColor="text1"/>
          <w:spacing w:val="0"/>
          <w:sz w:val="16"/>
          <w:szCs w:val="16"/>
        </w:rPr>
        <w:t>т.</w:t>
      </w:r>
      <w:r w:rsidRPr="00C33834">
        <w:rPr>
          <w:rFonts w:ascii="Times New Roman" w:cs="Times New Roman"/>
          <w:color w:val="000000" w:themeColor="text1"/>
          <w:sz w:val="16"/>
          <w:szCs w:val="16"/>
        </w:rPr>
        <w:t xml:space="preserve"> Юмашевым «Сталь-6» совершил 16 полётов, целиком оправдавших применение тех</w:t>
      </w:r>
      <w:r w:rsidRPr="00C33834">
        <w:rPr>
          <w:rFonts w:ascii="Times New Roman" w:cs="Times New Roman"/>
          <w:color w:val="000000" w:themeColor="text1"/>
          <w:sz w:val="16"/>
          <w:szCs w:val="16"/>
        </w:rPr>
        <w:softHyphen/>
        <w:t>нических нововведений и показавших высокие лётные качества самолёта. Достигнутая скорость 400 клм. в час, не являясь максимальной для этого самолёта, ставит всесоюзный рекорд» (15844).</w:t>
      </w:r>
    </w:p>
    <w:p w14:paraId="5883F78A" w14:textId="77777777" w:rsidR="00CE750F" w:rsidRPr="00C33834" w:rsidRDefault="00CE750F" w:rsidP="00C33834">
      <w:pPr>
        <w:pStyle w:val="45"/>
        <w:shd w:val="clear" w:color="auto" w:fill="auto"/>
        <w:spacing w:before="0" w:line="240" w:lineRule="auto"/>
        <w:jc w:val="both"/>
        <w:rPr>
          <w:rFonts w:ascii="Times New Roman" w:cs="Times New Roman"/>
          <w:color w:val="000000" w:themeColor="text1"/>
          <w:sz w:val="16"/>
          <w:szCs w:val="16"/>
        </w:rPr>
      </w:pPr>
    </w:p>
    <w:p w14:paraId="59BC4C7D" w14:textId="77777777" w:rsidR="00902BA3" w:rsidRPr="00C33834" w:rsidRDefault="00902BA3"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11 ноября 1933 руководство СНИИ ГВФ рапортовало правительству:</w:t>
      </w:r>
    </w:p>
    <w:p w14:paraId="27CF2BB5" w14:textId="77777777" w:rsidR="00902BA3" w:rsidRPr="00C33834" w:rsidRDefault="00902BA3"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разрешении задачи, поставленной партией и правительством, в совершенстве овладеть высокой техникой самолётостроения, чтобы в кратчайший срок догнать и перегнать передовые в техническом отношении капиталистические страны, Самолётостроительным научно-исследовательским институтом Гражданского воздушного флота сделан новый шаг. К 16-й годовщине Великой Пролетарской Революции, на основе осуществления 6-ти исторических условий тов. Сталина, в беспощадной борьбе под руководством парторганизации с оппортунизмом и техническим консерватизмом, выпущен цельностальной самолёт „Сталь-6“ с рядом смелых технических нововведений конструкции инженера-коммуниста т. Бартини.</w:t>
      </w:r>
    </w:p>
    <w:p w14:paraId="51CC7F7E" w14:textId="77777777" w:rsidR="00902BA3" w:rsidRPr="00C33834" w:rsidRDefault="00902BA3"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…В процессе заводских испытаний, проводившихся краснознамённым лётчиком т. Юмашевым, „Сталь-6“ совершил 16 полётов, целиком оправдавших применение технических нововведений и показавших высокие лётные качества самолёта. Достигнутая скорость 400 клм. в час, не являясь максимальной для этого самолёта, ставит всесоюзный рекорд» </w:t>
      </w:r>
      <w:hyperlink r:id="rId362" w:history="1">
        <w:r w:rsidRPr="00C33834">
          <w:rPr>
            <w:rFonts w:ascii="Times New Roman" w:eastAsia="Times New Roman" w:hAnsi="Times New Roman"/>
            <w:color w:val="000000" w:themeColor="text1"/>
            <w:sz w:val="16"/>
            <w:szCs w:val="16"/>
            <w:lang w:eastAsia="ru-RU"/>
          </w:rPr>
          <w:t>[117]</w:t>
        </w:r>
      </w:hyperlink>
      <w:r w:rsidRPr="00C33834">
        <w:rPr>
          <w:rFonts w:ascii="Times New Roman" w:eastAsia="Times New Roman" w:hAnsi="Times New Roman"/>
          <w:color w:val="000000" w:themeColor="text1"/>
          <w:sz w:val="16"/>
          <w:szCs w:val="16"/>
          <w:lang w:eastAsia="ru-RU"/>
        </w:rPr>
        <w:t xml:space="preserve"> .</w:t>
      </w:r>
    </w:p>
    <w:p w14:paraId="2D43DC37" w14:textId="77777777" w:rsidR="00902BA3" w:rsidRPr="00C33834" w:rsidRDefault="00902BA3"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В этом отчёте в ряде случаев желаемое выдается за действительное. Во-первых, самолёт не являлся цельностальным, так как фюзеляж имел фанерную обшивку. Во-вторых, ничего не сказано о негерметичности системы парового охлаждения, проявившейся уже в первом полёте: «самолёт сделал круг над аэродромом и, окутанный облаком пара, поспешно приземлился», — вспоминал лётчик-испытатель НИИ ВВС П.М. Стефановский </w:t>
      </w:r>
      <w:hyperlink r:id="rId363" w:history="1">
        <w:r w:rsidRPr="00C33834">
          <w:rPr>
            <w:rFonts w:ascii="Times New Roman" w:eastAsia="Times New Roman" w:hAnsi="Times New Roman"/>
            <w:color w:val="000000" w:themeColor="text1"/>
            <w:sz w:val="16"/>
            <w:szCs w:val="16"/>
            <w:lang w:eastAsia="ru-RU"/>
          </w:rPr>
          <w:t>[118]</w:t>
        </w:r>
      </w:hyperlink>
      <w:r w:rsidRPr="00C33834">
        <w:rPr>
          <w:rFonts w:ascii="Times New Roman" w:eastAsia="Times New Roman" w:hAnsi="Times New Roman"/>
          <w:color w:val="000000" w:themeColor="text1"/>
          <w:sz w:val="16"/>
          <w:szCs w:val="16"/>
          <w:lang w:eastAsia="ru-RU"/>
        </w:rPr>
        <w:t xml:space="preserve"> . Но писать о недостатках в парадных рапортах не полагалось (17489).</w:t>
      </w:r>
    </w:p>
    <w:p w14:paraId="1F6402D9" w14:textId="77777777" w:rsidR="00902BA3" w:rsidRPr="00C33834" w:rsidRDefault="00902BA3" w:rsidP="00C33834">
      <w:pPr>
        <w:spacing w:after="0" w:line="240" w:lineRule="auto"/>
        <w:jc w:val="both"/>
        <w:rPr>
          <w:rFonts w:ascii="Times New Roman" w:eastAsia="Times New Roman" w:hAnsi="Times New Roman"/>
          <w:color w:val="000000" w:themeColor="text1"/>
          <w:sz w:val="16"/>
          <w:szCs w:val="16"/>
          <w:lang w:eastAsia="ru-RU"/>
        </w:rPr>
      </w:pPr>
    </w:p>
    <w:p w14:paraId="5ACE02A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11-16-26 ноября 1933 г. на совещаниях у нач. УМТС и В ВВС Жарова, происходившем по уточнению технических требований к эталонам самолетов на 1934 г., возникли разногласия как по срокам выпуска самолетов, так и отдельных технических требований к ним (2264,51).</w:t>
      </w:r>
    </w:p>
    <w:p w14:paraId="2C48362E"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69534C1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ноября 1933 года начальник штаба НИИ ВВС Трунов писал письмо N 001351сс.</w:t>
      </w:r>
    </w:p>
    <w:p w14:paraId="3B99FB5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Справка о постройке самолета К7-7М34</w:t>
      </w:r>
    </w:p>
    <w:p w14:paraId="1D4C50A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был начат проектированием с 1930 года.</w:t>
      </w:r>
    </w:p>
    <w:p w14:paraId="13BE45C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раз тактико-технические требования к самолету были предъявлены в феврале 1932 года. Ввиду ряда изменений в конструкции вторичные тактико-технические требования с некоторыми изменениями были даны в декабре 1932 года.</w:t>
      </w:r>
    </w:p>
    <w:p w14:paraId="058683A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началу 1932 года проект был 80% переделан, так что проектирование с первого квартала 1932 года началось почти заново. Завод первоначальный проект забраковал.</w:t>
      </w:r>
    </w:p>
    <w:p w14:paraId="1474B02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до сих пор на гос. испытания не предъявлен. Первые полеты сделаны в августе 1933 года. Сейчас производится доводка самолета и заводские испытания.</w:t>
      </w:r>
    </w:p>
    <w:p w14:paraId="5B95800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Постановлением РВС первоначальный срок готовности самолета был установлен III-IV квартал 1932 года. На совещании в НТС ВАО (протокол от 12 марта 1931 года NN 163/2098) Калинин заявил, что срок готовности даже 1 января 1932 года является для него приемлемым.</w:t>
      </w:r>
    </w:p>
    <w:p w14:paraId="115DACE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по плану опытного строительства, утвержденному СТО от 4 июля 1932 года был установлен 1 мая 1933 года (выход на аэродром).</w:t>
      </w:r>
    </w:p>
    <w:p w14:paraId="51BE759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по постановлению РВС от 17 июня 1933 года N 3022сс 1 августа 1933 года (3903,129).</w:t>
      </w:r>
    </w:p>
    <w:p w14:paraId="12B184F0"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3F459A5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ноября 1933 года начальник ВДС ВВС Татарченко писал письмо начальнику управления боевой подготовки ВВС.</w:t>
      </w:r>
    </w:p>
    <w:p w14:paraId="6C3DF8E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Вчера 10 ноября 1933 года тактические требования на объекты плана работ 1934 года Парашютно-десантного отдела НИИ были рассмотрены на тактическом совещании в НИИ.</w:t>
      </w:r>
    </w:p>
    <w:p w14:paraId="2083A4B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Совещание полностью согласилось с представленным мною проектом, внеся в него лишь совершенно незначительные изменения.</w:t>
      </w:r>
    </w:p>
    <w:p w14:paraId="7551F93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Гроховский не выдвинул пока ни одного объекта. Обещает это сделать к 15 декабря 1933 года. Тактические (и технические) требования под эти объекты, естественно, можно составить лишь после того, как будут сформулированы основные существенные признаки объектов никому сейчас не известных.</w:t>
      </w:r>
    </w:p>
    <w:p w14:paraId="64D351F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Перечисленные объекты составляют лишь часть ВД объектов, которые необходимо создать для развития преимущественно парашютных десантов.</w:t>
      </w:r>
    </w:p>
    <w:p w14:paraId="19FBF1D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развития посадочного и планерного десанта необходимо работать над транспортными самолетами и буксируемыми планерами с привлечением более квалифицированного коллектива, чем имеется у Гроховского.</w:t>
      </w:r>
    </w:p>
    <w:p w14:paraId="717A2DD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Имеются сведения о буксируемом планере ЦАГИ, о работе НИИ ГВФ, в Осоавиахиме, группы Можаева. Никакого организованного согласования этих конструкторских работ с требованиями воздушно-десантного дела нет (3853,155-156).</w:t>
      </w:r>
    </w:p>
    <w:p w14:paraId="773D24F5"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7FBFD073"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ноября 1933 г. испытание мины «Вомиза-100»  при сбрасывании с высоты 15-20 метров (18667).</w:t>
      </w:r>
    </w:p>
    <w:p w14:paraId="7CACB8F2" w14:textId="77777777" w:rsidR="00B81B17" w:rsidRPr="00C33834" w:rsidRDefault="00B81B17" w:rsidP="00C33834">
      <w:pPr>
        <w:spacing w:after="0" w:line="240" w:lineRule="auto"/>
        <w:jc w:val="both"/>
        <w:rPr>
          <w:rFonts w:ascii="Times New Roman" w:hAnsi="Times New Roman"/>
          <w:color w:val="000000" w:themeColor="text1"/>
          <w:sz w:val="16"/>
          <w:szCs w:val="16"/>
        </w:rPr>
      </w:pPr>
    </w:p>
    <w:p w14:paraId="09400EC8"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983D3A9"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515C05C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ноября 1933 в окрестностях Харькова закончились испытания БТ-32 - такое название получил танк Кристи М.1932, которые проходили с 4 сентября. Опять было множество проблем с ходовой при движении на гусеницах, в частности не прошли катки с пневматиками (3879,37).</w:t>
      </w:r>
    </w:p>
    <w:p w14:paraId="5255DDF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сентября во время первого выезда и 30-км пробега ХПЗ-Безлюдовка-ХПЗ гребни траков нашли на пневматические покрышки катков и повредили их</w:t>
      </w:r>
    </w:p>
    <w:p w14:paraId="4331E5B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сентября во время второго выезда в р-не Липцы на 35-м км движения повторился дефект 4 сентября, а также вышла из строя полуось бортовой полуоси</w:t>
      </w:r>
    </w:p>
    <w:p w14:paraId="6C4656C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третьем пробеге на 18 км вновь произошло повреждение покрышек</w:t>
      </w:r>
    </w:p>
    <w:p w14:paraId="617CCE9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сентября удовлетворительно прошел 75-км пробег. Из-за отсутствия пневматиков пришлось поставить катки от БТ-5 и оригинала Кристи</w:t>
      </w:r>
    </w:p>
    <w:p w14:paraId="0C0E41B6"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19FBA83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ноября 1933 был последний шестой выезд и сломалось ведущее колесо гусеничного хода (3879,38).</w:t>
      </w:r>
    </w:p>
    <w:p w14:paraId="6670987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Пришли к выводу, что взять - нечего (3879,38).</w:t>
      </w:r>
    </w:p>
    <w:p w14:paraId="08973687"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0FC2AC11" w14:textId="77777777" w:rsidR="001B7C90" w:rsidRPr="00C33834" w:rsidRDefault="001B7C9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 11 по 18 ноября 1933 состоялся первый полет Couzinet 101 (20802).</w:t>
      </w:r>
    </w:p>
    <w:p w14:paraId="3A4FC11F" w14:textId="77777777" w:rsidR="001B7C90" w:rsidRPr="00C33834" w:rsidRDefault="001B7C90" w:rsidP="00C33834">
      <w:pPr>
        <w:spacing w:after="0" w:line="240" w:lineRule="auto"/>
        <w:jc w:val="both"/>
        <w:rPr>
          <w:rFonts w:ascii="Times New Roman" w:hAnsi="Times New Roman"/>
          <w:color w:val="0070C0"/>
          <w:sz w:val="16"/>
          <w:szCs w:val="16"/>
        </w:rPr>
      </w:pPr>
    </w:p>
    <w:p w14:paraId="2C138C38" w14:textId="77777777" w:rsidR="00CE750F"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4F71C82" w14:textId="77777777" w:rsidR="00CE750F" w:rsidRPr="00C33834" w:rsidRDefault="00CE750F" w:rsidP="00C33834">
      <w:pPr>
        <w:spacing w:after="0" w:line="240" w:lineRule="auto"/>
        <w:jc w:val="both"/>
        <w:rPr>
          <w:rFonts w:ascii="Times New Roman" w:hAnsi="Times New Roman"/>
          <w:iCs/>
          <w:color w:val="000000" w:themeColor="text1"/>
          <w:sz w:val="16"/>
          <w:szCs w:val="16"/>
        </w:rPr>
      </w:pPr>
    </w:p>
    <w:p w14:paraId="170D6ABD" w14:textId="77777777" w:rsidR="00CE750F" w:rsidRPr="00C33834" w:rsidRDefault="00CE750F" w:rsidP="00C33834">
      <w:pPr>
        <w:pStyle w:val="rtejustify"/>
        <w:spacing w:before="0" w:after="0"/>
        <w:rPr>
          <w:color w:val="000000" w:themeColor="text1"/>
          <w:sz w:val="16"/>
          <w:szCs w:val="16"/>
        </w:rPr>
      </w:pPr>
      <w:r w:rsidRPr="00C33834">
        <w:rPr>
          <w:rStyle w:val="af0"/>
          <w:bCs/>
          <w:i w:val="0"/>
          <w:color w:val="000000" w:themeColor="text1"/>
          <w:sz w:val="16"/>
          <w:szCs w:val="16"/>
        </w:rPr>
        <w:t>12 ноября</w:t>
      </w:r>
      <w:r w:rsidRPr="00C33834">
        <w:rPr>
          <w:color w:val="000000" w:themeColor="text1"/>
          <w:sz w:val="16"/>
          <w:szCs w:val="16"/>
        </w:rPr>
        <w:t xml:space="preserve"> 1933. Постановление СТО СССР № 110сс/о «О постройке и поставке цистерн, насосов и шлангов для оперативных аэродромов». (ГА РФ. Ф. Р</w:t>
      </w:r>
      <w:r w:rsidRPr="00C33834">
        <w:rPr>
          <w:color w:val="000000" w:themeColor="text1"/>
          <w:sz w:val="16"/>
          <w:szCs w:val="16"/>
        </w:rPr>
        <w:noBreakHyphen/>
        <w:t>8418. Оп. 28. Д. 3. Л. 30) (15460).</w:t>
      </w:r>
    </w:p>
    <w:p w14:paraId="78C4A162" w14:textId="77777777" w:rsidR="00CE750F" w:rsidRPr="00C33834" w:rsidRDefault="00CE750F" w:rsidP="00C33834">
      <w:pPr>
        <w:pStyle w:val="rtejustify"/>
        <w:spacing w:before="0" w:after="0"/>
        <w:rPr>
          <w:color w:val="000000" w:themeColor="text1"/>
          <w:sz w:val="16"/>
          <w:szCs w:val="16"/>
        </w:rPr>
      </w:pPr>
    </w:p>
    <w:p w14:paraId="2A702CCE" w14:textId="77777777" w:rsidR="00CE750F"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C73AC96" w14:textId="77777777" w:rsidR="00CE750F" w:rsidRPr="00C33834" w:rsidRDefault="00CE750F" w:rsidP="00C33834">
      <w:pPr>
        <w:spacing w:after="0" w:line="240" w:lineRule="auto"/>
        <w:jc w:val="both"/>
        <w:rPr>
          <w:rFonts w:ascii="Times New Roman" w:hAnsi="Times New Roman"/>
          <w:iCs/>
          <w:color w:val="000000" w:themeColor="text1"/>
          <w:sz w:val="16"/>
          <w:szCs w:val="16"/>
        </w:rPr>
      </w:pPr>
    </w:p>
    <w:p w14:paraId="6CB0B07C" w14:textId="77777777" w:rsidR="00CE750F" w:rsidRPr="00C33834" w:rsidRDefault="00CE750F" w:rsidP="00C33834">
      <w:pPr>
        <w:pStyle w:val="rtejustify"/>
        <w:spacing w:before="0" w:after="0"/>
        <w:rPr>
          <w:color w:val="000000" w:themeColor="text1"/>
          <w:sz w:val="16"/>
          <w:szCs w:val="16"/>
        </w:rPr>
      </w:pPr>
      <w:r w:rsidRPr="00C33834">
        <w:rPr>
          <w:rStyle w:val="af0"/>
          <w:bCs/>
          <w:i w:val="0"/>
          <w:color w:val="000000" w:themeColor="text1"/>
          <w:sz w:val="16"/>
          <w:szCs w:val="16"/>
        </w:rPr>
        <w:t>12/13 ноября 1933 вышел приказ НКТП № 209с.</w:t>
      </w:r>
      <w:r w:rsidRPr="00C33834">
        <w:rPr>
          <w:color w:val="000000" w:themeColor="text1"/>
          <w:sz w:val="16"/>
          <w:szCs w:val="16"/>
        </w:rPr>
        <w:t xml:space="preserve"> О мероприятиях по обеспечению выполнения оборонной программы 1933 г. заводом «Двигатель». (РГАЭ. Ф. 7297. Оп. 38. Д. 37. Л. 254</w:t>
      </w:r>
      <w:r w:rsidRPr="00C33834">
        <w:rPr>
          <w:color w:val="000000" w:themeColor="text1"/>
          <w:sz w:val="16"/>
          <w:szCs w:val="16"/>
        </w:rPr>
        <w:noBreakHyphen/>
        <w:t>252) (15246).</w:t>
      </w:r>
    </w:p>
    <w:p w14:paraId="516F7583" w14:textId="77777777" w:rsidR="00CE750F" w:rsidRPr="00C33834" w:rsidRDefault="00CE750F" w:rsidP="00C33834">
      <w:pPr>
        <w:pStyle w:val="rtejustify"/>
        <w:spacing w:before="0" w:after="0"/>
        <w:rPr>
          <w:color w:val="000000" w:themeColor="text1"/>
          <w:sz w:val="16"/>
          <w:szCs w:val="16"/>
        </w:rPr>
      </w:pPr>
    </w:p>
    <w:p w14:paraId="3BFC1528" w14:textId="77777777" w:rsidR="00CE750F" w:rsidRPr="00C33834" w:rsidRDefault="00CE750F" w:rsidP="00C33834">
      <w:pPr>
        <w:pStyle w:val="rtejustify"/>
        <w:spacing w:before="0" w:after="0"/>
        <w:rPr>
          <w:color w:val="000000" w:themeColor="text1"/>
          <w:sz w:val="16"/>
          <w:szCs w:val="16"/>
        </w:rPr>
      </w:pPr>
      <w:r w:rsidRPr="00C33834">
        <w:rPr>
          <w:rStyle w:val="af0"/>
          <w:bCs/>
          <w:i w:val="0"/>
          <w:color w:val="000000" w:themeColor="text1"/>
          <w:sz w:val="16"/>
          <w:szCs w:val="16"/>
        </w:rPr>
        <w:t>12 ноября</w:t>
      </w:r>
      <w:r w:rsidRPr="00C33834">
        <w:rPr>
          <w:color w:val="000000" w:themeColor="text1"/>
          <w:sz w:val="16"/>
          <w:szCs w:val="16"/>
        </w:rPr>
        <w:t xml:space="preserve"> 1933. Постановление СТО СССР № 111сс/о «О строительстве бензоемкостей на Дальнем Востоке и Восточной Сибири». (ГА РФ. Ф. Р</w:t>
      </w:r>
      <w:r w:rsidRPr="00C33834">
        <w:rPr>
          <w:color w:val="000000" w:themeColor="text1"/>
          <w:sz w:val="16"/>
          <w:szCs w:val="16"/>
        </w:rPr>
        <w:noBreakHyphen/>
        <w:t>8418. Оп. 28. Д. 3. Л. 31</w:t>
      </w:r>
      <w:r w:rsidRPr="00C33834">
        <w:rPr>
          <w:color w:val="000000" w:themeColor="text1"/>
          <w:sz w:val="16"/>
          <w:szCs w:val="16"/>
        </w:rPr>
        <w:noBreakHyphen/>
        <w:t>36) (15460).</w:t>
      </w:r>
    </w:p>
    <w:p w14:paraId="50C46EF4" w14:textId="77777777" w:rsidR="00CE750F" w:rsidRPr="00C33834" w:rsidRDefault="00CE750F" w:rsidP="00C33834">
      <w:pPr>
        <w:pStyle w:val="rtejustify"/>
        <w:spacing w:before="0" w:after="0"/>
        <w:rPr>
          <w:color w:val="000000" w:themeColor="text1"/>
          <w:sz w:val="16"/>
          <w:szCs w:val="16"/>
        </w:rPr>
      </w:pPr>
    </w:p>
    <w:p w14:paraId="18BE9532"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12 ноября 1933 опросом членов ПБ</w:t>
      </w:r>
    </w:p>
    <w:p w14:paraId="626E4CF2"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30/12.- О покупке в Америке сторожевых судов</w:t>
      </w:r>
    </w:p>
    <w:p w14:paraId="3C8AB914"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Поручить т. Литвинову выяснить у министра финан</w:t>
      </w:r>
      <w:r w:rsidRPr="00C33834">
        <w:rPr>
          <w:rFonts w:ascii="Times New Roman" w:hAnsi="Times New Roman"/>
          <w:color w:val="0070C0"/>
          <w:sz w:val="16"/>
          <w:szCs w:val="16"/>
        </w:rPr>
        <w:softHyphen/>
        <w:t>сов Моргентау количество сторожевых судов, тоннаж каждого из них, скорость и вооруженность ,а также, на каких условиях правительство САСШ согласилось бы продать нам все эти суда или часть их.</w:t>
      </w:r>
    </w:p>
    <w:p w14:paraId="30EB13F3"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Выписка послана:тов.Крестинскому.</w:t>
      </w:r>
    </w:p>
    <w:p w14:paraId="45692965"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47/29.- Вопрос т.Гамарника..</w:t>
      </w:r>
    </w:p>
    <w:p w14:paraId="6E65D28B"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Считать необходимым закупить за границей 50 штук наиболее современных морских моторов авиа</w:t>
      </w:r>
      <w:r w:rsidRPr="00C33834">
        <w:rPr>
          <w:rFonts w:ascii="Times New Roman" w:hAnsi="Times New Roman"/>
          <w:color w:val="0070C0"/>
          <w:sz w:val="16"/>
          <w:szCs w:val="16"/>
        </w:rPr>
        <w:softHyphen/>
        <w:t>ционного типа (с реверсивными установками) для торпедных катеров.</w:t>
      </w:r>
    </w:p>
    <w:p w14:paraId="534B09F1"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НКТП совместно с НКВМ и НКВТ выяснить и доло</w:t>
      </w:r>
      <w:r w:rsidRPr="00C33834">
        <w:rPr>
          <w:rFonts w:ascii="Times New Roman" w:hAnsi="Times New Roman"/>
          <w:color w:val="0070C0"/>
          <w:sz w:val="16"/>
          <w:szCs w:val="16"/>
        </w:rPr>
        <w:softHyphen/>
        <w:t>жить Политбюро не позднее 1.XII.33г. у каких фирм можно реализовать указанный заказ,стоимость,крат</w:t>
      </w:r>
      <w:r w:rsidRPr="00C33834">
        <w:rPr>
          <w:rFonts w:ascii="Times New Roman" w:hAnsi="Times New Roman"/>
          <w:color w:val="0070C0"/>
          <w:sz w:val="16"/>
          <w:szCs w:val="16"/>
        </w:rPr>
        <w:softHyphen/>
        <w:t>чайшие сроки получения и основные технические дан</w:t>
      </w:r>
      <w:r w:rsidRPr="00C33834">
        <w:rPr>
          <w:rFonts w:ascii="Times New Roman" w:hAnsi="Times New Roman"/>
          <w:color w:val="0070C0"/>
          <w:sz w:val="16"/>
          <w:szCs w:val="16"/>
        </w:rPr>
        <w:softHyphen/>
        <w:t>ные моторов.</w:t>
      </w:r>
    </w:p>
    <w:p w14:paraId="00C94EAD"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Молотову (К.О.), Ворошилову, Орджоникидзе. Розенгольцу.</w:t>
      </w:r>
    </w:p>
    <w:p w14:paraId="45DBFA72"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декабря 1933 состоялось заседание ПБ и был оформлен протокол № 150 (23000).</w:t>
      </w:r>
    </w:p>
    <w:p w14:paraId="2323B8B7" w14:textId="77777777" w:rsidR="00D91041" w:rsidRPr="00C33834" w:rsidRDefault="00D91041" w:rsidP="00C33834">
      <w:pPr>
        <w:spacing w:after="0" w:line="240" w:lineRule="auto"/>
        <w:jc w:val="both"/>
        <w:rPr>
          <w:rFonts w:ascii="Times New Roman" w:hAnsi="Times New Roman"/>
          <w:color w:val="0070C0"/>
          <w:sz w:val="16"/>
          <w:szCs w:val="16"/>
        </w:rPr>
      </w:pPr>
    </w:p>
    <w:p w14:paraId="1AE1752A"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6587CA9"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1BB3464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ноября 1933 на парламентских выборах в Германии фашисты получили 92% мест (3481).</w:t>
      </w:r>
    </w:p>
    <w:p w14:paraId="479BADF7"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3A6DC1F6"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ноября 1933 на референдуме в Германии 95% населения одобрило политику Гитлера (4962).</w:t>
      </w:r>
    </w:p>
    <w:p w14:paraId="1FB6BD0E"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p w14:paraId="407F8EE3" w14:textId="77777777" w:rsidR="00CE750F" w:rsidRPr="00C33834" w:rsidRDefault="00CE750F" w:rsidP="00C33834">
      <w:pPr>
        <w:spacing w:after="0" w:line="240" w:lineRule="auto"/>
        <w:jc w:val="both"/>
        <w:rPr>
          <w:rFonts w:ascii="Times New Roman" w:hAnsi="Times New Roman"/>
          <w:color w:val="000000" w:themeColor="text1"/>
          <w:sz w:val="16"/>
          <w:szCs w:val="16"/>
        </w:rPr>
      </w:pPr>
      <w:r w:rsidRPr="00C33834">
        <w:rPr>
          <w:rStyle w:val="ucoz-forum-post"/>
          <w:rFonts w:ascii="Times New Roman" w:hAnsi="Times New Roman"/>
          <w:bCs/>
          <w:color w:val="000000" w:themeColor="text1"/>
          <w:sz w:val="16"/>
          <w:szCs w:val="16"/>
        </w:rPr>
        <w:t xml:space="preserve">12 ноября </w:t>
      </w:r>
      <w:r w:rsidRPr="00C33834">
        <w:rPr>
          <w:rFonts w:ascii="Times New Roman" w:hAnsi="Times New Roman"/>
          <w:color w:val="000000" w:themeColor="text1"/>
          <w:sz w:val="16"/>
          <w:szCs w:val="16"/>
        </w:rPr>
        <w:t>в 1933 году на парламенских выборах в Германии 92 процента голосов отдано за список кандидатов от нацистской партии (96 процентов мест в парламенте) (14828).</w:t>
      </w:r>
    </w:p>
    <w:p w14:paraId="78997B45" w14:textId="77777777" w:rsidR="00CE750F" w:rsidRPr="00C33834" w:rsidRDefault="00CE750F" w:rsidP="00C33834">
      <w:pPr>
        <w:spacing w:after="0" w:line="240" w:lineRule="auto"/>
        <w:jc w:val="both"/>
        <w:rPr>
          <w:rFonts w:ascii="Times New Roman" w:hAnsi="Times New Roman"/>
          <w:color w:val="000000" w:themeColor="text1"/>
          <w:sz w:val="16"/>
          <w:szCs w:val="16"/>
        </w:rPr>
      </w:pPr>
    </w:p>
    <w:p w14:paraId="331AF9FB" w14:textId="77777777" w:rsidR="00362C4F" w:rsidRPr="00C33834" w:rsidRDefault="00362C4F"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12 ноября 1933 года в референдуме участвовали 96 процентов зарегистрированных избирателей; 95 процентов этого числа одобрили решение об уходе из Женевы. На выборах в рейхстаг за список нацистской партии (в него вошли также Гинденбург и шестеро ненацистов) отдали свои голоса 92 процента избирателей. Даже в концлагере Дахау 2154 заключенных из 2242 проголосовали за правительство, по вине которого они там оказались! Правда, во многих населенных пунктах раздавались угрозы в адрес тех, кто уклонялся от голосования или кто голосовал "неправильно"; были случаи, когда избиратели боялись, что власти узнают, кто из них голосовал против режима, и подвергнут их наказаниям. Но даже с этой оговоркой итоги голосования (а их-то, во всяком случае, подводили честно) свидетельствовали о потрясающем успехе Адольфа Гитлера. Не оставалось сомнений, что вызов, брошенный им внешнему миру, поддержало подавляющее большинство немецкого народа (17283).</w:t>
      </w:r>
    </w:p>
    <w:p w14:paraId="2CF4EC06" w14:textId="77777777" w:rsidR="00362C4F" w:rsidRPr="00C33834" w:rsidRDefault="00362C4F" w:rsidP="00C33834">
      <w:pPr>
        <w:spacing w:after="0" w:line="240" w:lineRule="auto"/>
        <w:jc w:val="both"/>
        <w:rPr>
          <w:rFonts w:ascii="Times New Roman" w:hAnsi="Times New Roman"/>
          <w:color w:val="000000" w:themeColor="text1"/>
          <w:sz w:val="16"/>
          <w:szCs w:val="16"/>
        </w:rPr>
      </w:pPr>
    </w:p>
    <w:p w14:paraId="4B0F73DA" w14:textId="77777777" w:rsidR="00CE750F" w:rsidRPr="00C33834" w:rsidRDefault="00CE750F" w:rsidP="00C33834">
      <w:pPr>
        <w:spacing w:after="0" w:line="240" w:lineRule="auto"/>
        <w:jc w:val="both"/>
        <w:rPr>
          <w:rFonts w:ascii="Times New Roman" w:hAnsi="Times New Roman"/>
          <w:color w:val="000000" w:themeColor="text1"/>
          <w:sz w:val="16"/>
          <w:szCs w:val="16"/>
        </w:rPr>
      </w:pPr>
      <w:r w:rsidRPr="00C33834">
        <w:rPr>
          <w:rStyle w:val="ucoz-forum-post"/>
          <w:rFonts w:ascii="Times New Roman" w:hAnsi="Times New Roman"/>
          <w:bCs/>
          <w:color w:val="000000" w:themeColor="text1"/>
          <w:sz w:val="16"/>
          <w:szCs w:val="16"/>
        </w:rPr>
        <w:t xml:space="preserve">12 ноября </w:t>
      </w:r>
      <w:r w:rsidRPr="00C33834">
        <w:rPr>
          <w:rFonts w:ascii="Times New Roman" w:hAnsi="Times New Roman"/>
          <w:color w:val="000000" w:themeColor="text1"/>
          <w:sz w:val="16"/>
          <w:szCs w:val="16"/>
        </w:rPr>
        <w:t>в 1933 году доктор Роберт Кеннет Вильсон представил сегодня общественности фотографию предполагаемого лох-несского чудовища, нечто вроде морского змея с маленькой головой на длинной шее, напоминающее известные изображения древнего динозавра плезиозавра. Исследования показали, что фото подлинное, и мир поверил в то, что загадочный зверь из шотландского озера вполне реален. В 1994 году все встало на свои места. Перед смертью Мармадьюк Ветерелл, прославившийся в том же 1933 году находкой якобы следов Несси, оказавшихся позднее следами бегемота, сделал сенсационное признание. Он рассказал, что после провала затеи со следами у него появилась идея сотворить новую мистификацию. Помогали ему пасынок Кристиан Спелинг, сын Ян и два друга, Роберт Кеннет Вильсон и Морис Чемберс. "Подлинные" голова и шея чудовища были смастерены из подручных средств и укреплены на миниатюрной подводной лодке, управлявшейся с берега (14828).</w:t>
      </w:r>
    </w:p>
    <w:p w14:paraId="2ADC4B96" w14:textId="77777777" w:rsidR="00CE750F" w:rsidRPr="00C33834" w:rsidRDefault="00CE750F" w:rsidP="00C33834">
      <w:pPr>
        <w:spacing w:after="0" w:line="240" w:lineRule="auto"/>
        <w:jc w:val="both"/>
        <w:rPr>
          <w:rFonts w:ascii="Times New Roman" w:hAnsi="Times New Roman"/>
          <w:color w:val="000000" w:themeColor="text1"/>
          <w:sz w:val="16"/>
          <w:szCs w:val="16"/>
        </w:rPr>
      </w:pPr>
    </w:p>
    <w:p w14:paraId="604C87B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ноября 1933 была сделана первая фотография Лох-Несского чудовища (3481).</w:t>
      </w:r>
    </w:p>
    <w:p w14:paraId="72FF6998"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4B82DE8F"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6A0F4FA"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17E323A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ноября 1933 прервали сборку моторамы дублера И-14 - в производство передали новые чертежи, согласно которым ее удлинили на 75 мм.</w:t>
      </w:r>
    </w:p>
    <w:p w14:paraId="7FDB182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Первая моторама, которую собирали с конца октября 1933,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133983C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20804DF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753BE82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1646F252"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3ACB03E3"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ноября 1933 года был заключен договор на строительство гидросамолета СПЛ-М11 между НИИ Аэрофлота и УВС (6813).</w:t>
      </w:r>
    </w:p>
    <w:p w14:paraId="1960FBF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p w14:paraId="38AF578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ноября 1933 вышел приказ ГУАП N 22/431:</w:t>
      </w:r>
    </w:p>
    <w:p w14:paraId="39BC8D6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133 со всем его имуществом и личным составом с сего числа влить в завод 39". Нач. ГУАП Королев (2289,42).</w:t>
      </w:r>
    </w:p>
    <w:p w14:paraId="1188D82C"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49D9D538" w14:textId="77777777" w:rsidR="00CE750F" w:rsidRPr="00C33834" w:rsidRDefault="00CE750F"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13-го ноября 1933 года за подписью Г.Н. Королева выходит приказ по ГУАП за № 22/431, согласно которому завод № 133 со всем имуществом и личным составом вливается в завод № 39. При этом на директора завода № 39 Марголина возлагается исполнение всех обязательств, исполняемых заводом № 133, а бывший его директор Фрадкин назначается заместителем директора по заводу № 39 (15223).</w:t>
      </w:r>
    </w:p>
    <w:p w14:paraId="44D598E4" w14:textId="77777777" w:rsidR="00CE750F" w:rsidRPr="00C33834" w:rsidRDefault="00CE750F" w:rsidP="00C33834">
      <w:pPr>
        <w:shd w:val="clear" w:color="auto" w:fill="FFFFFF"/>
        <w:spacing w:after="0" w:line="240" w:lineRule="auto"/>
        <w:jc w:val="both"/>
        <w:rPr>
          <w:rFonts w:ascii="Times New Roman" w:hAnsi="Times New Roman"/>
          <w:color w:val="000000" w:themeColor="text1"/>
          <w:sz w:val="16"/>
          <w:szCs w:val="16"/>
        </w:rPr>
      </w:pPr>
    </w:p>
    <w:p w14:paraId="51572A9C"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13-го ноября 1933 года за подписью Г.Н. Королева выходит приказ по ГУАП за № 22/431, согласно которому завод № 133 со всем имуществом и личным составом вливается в завод № 39. При этом на директора завода № 39 Марголина возлагается исполнение всех обязательств, исполняемых заводом № 133, а бывший его директор Фрадкин назначается за-местителем директора по заводу № 39 (18293).</w:t>
      </w:r>
    </w:p>
    <w:p w14:paraId="180A7CF7" w14:textId="77777777" w:rsidR="00B81B17" w:rsidRPr="00C33834" w:rsidRDefault="00B81B17" w:rsidP="00C33834">
      <w:pPr>
        <w:spacing w:after="0" w:line="240" w:lineRule="auto"/>
        <w:jc w:val="both"/>
        <w:rPr>
          <w:rFonts w:ascii="Times New Roman" w:hAnsi="Times New Roman"/>
          <w:color w:val="000000" w:themeColor="text1"/>
          <w:sz w:val="16"/>
          <w:szCs w:val="16"/>
        </w:rPr>
      </w:pPr>
    </w:p>
    <w:p w14:paraId="6568BE7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ноября 1933 Нач. ЦОУ завода 132 (завода 1 ВВС) Вирджили писал письмо N 161с в НТОС ГУАП Алмазову:</w:t>
      </w:r>
    </w:p>
    <w:p w14:paraId="7E60821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дополнение к нашему письму N 155с от 4 ноября 1933 сообщаем, что ОКБ завода 132 разрабатывает следующие объекты:</w:t>
      </w:r>
    </w:p>
    <w:p w14:paraId="576AE36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p w14:paraId="3AA1B70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Геликоптер-амфибия, который по своей конструкции является пассажирской сухопутно-морской машиной, снабженный 3 моторами нашей конструкции. имеет в основе вертикальный подъем и спуск (и сохраняет подъем и спуск аналогично самолету при этом подъемная сила его увеличивается). Может висеть в воздухе на одной точке не передвигаясь.</w:t>
      </w:r>
    </w:p>
    <w:p w14:paraId="68F6BF7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случае порчи моторов парашютировать на землю избегая при этом аварии. Благодаря особой компоновке шасси и поплавков он имеет полную возможность подъема как с земли, так и с воды и свободный выход на берег. вес пустой машины - 3500 кг, полетный вес - 5500 кг.</w:t>
      </w:r>
    </w:p>
    <w:p w14:paraId="5D1BF5B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Второй вариант Геликоптера-амфибии сохраняет все свойства первого варианта, с уменьшением веса и увеличением грузоподъемности</w:t>
      </w:r>
    </w:p>
    <w:p w14:paraId="14AF7F1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w:t>
      </w:r>
    </w:p>
    <w:p w14:paraId="2BABAC56"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Механический регулятор: для поддержания постоянного числа оборотов динамо-машины /4500 обор. в минуту/ при работе мотора внутреннего сгорания от 920 до 1850 оборотов в минуту. Мощ</w:t>
      </w:r>
      <w:r w:rsidRPr="00C33834">
        <w:rPr>
          <w:rFonts w:ascii="Times New Roman" w:hAnsi="Times New Roman"/>
          <w:color w:val="000000" w:themeColor="text1"/>
          <w:sz w:val="16"/>
          <w:szCs w:val="16"/>
        </w:rPr>
        <w:softHyphen/>
        <w:t>ность механического регулятора расчитана на 1 киловат. Механический регулятор в основном приспо сабливается нами для радио установок и получении электросвета на самолетах, а также может быть использован для таких же целей на танках, катерах и других машинах.</w:t>
      </w:r>
    </w:p>
    <w:p w14:paraId="73FF394E"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Механический регулятор соединяется с авиационное мотором /М-17/ через фрикционную муфту включения, жестко установленную непосредст</w:t>
      </w:r>
      <w:r w:rsidRPr="00C33834">
        <w:rPr>
          <w:rFonts w:ascii="Times New Roman" w:hAnsi="Times New Roman"/>
          <w:color w:val="000000" w:themeColor="text1"/>
          <w:sz w:val="16"/>
          <w:szCs w:val="16"/>
        </w:rPr>
        <w:softHyphen/>
        <w:t>венно на моторе. Фрикционная муфта обеспечивает плавность включения механического регулятора и позволяет включать и выключать механический регулятор по мере надобности. Вращение на механи</w:t>
      </w:r>
      <w:r w:rsidRPr="00C33834">
        <w:rPr>
          <w:rFonts w:ascii="Times New Roman" w:hAnsi="Times New Roman"/>
          <w:color w:val="000000" w:themeColor="text1"/>
          <w:sz w:val="16"/>
          <w:szCs w:val="16"/>
        </w:rPr>
        <w:softHyphen/>
        <w:t>ческий регулятор передается гибким валом или непосредстве иным жестким соединением.</w:t>
      </w:r>
    </w:p>
    <w:p w14:paraId="21464BE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Весь механический регулятор заключен в литой корпус, что предохраняет его от загрязнений и порчи. Механический регулятор смонтирован на общей подставке с динамо-машиной, соединение с последней осуществлено через эластичную муфту, которая позволяет иметь небольшой перекос или несовпадение центров динамо-машины и механически го регулятора.</w:t>
      </w:r>
    </w:p>
    <w:p w14:paraId="20DB1D1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Авиационный мотор: предназначается для установки на разрабатываемый геликоптер-амфибию. По условиям работы это будет звездный мотор с водяным охлаждением (2305,71).</w:t>
      </w:r>
    </w:p>
    <w:p w14:paraId="10F8917E"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2AF24BD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ноября 1933 проходили полигонные (государственные) испытания торпеды высокого торпедометания образца 1912 года (ТАВ-12), которые проходили с 24 июня 1933. Краткий результат испытаний: Гос. испытания ТАВ-12 выдержала. Наименование образца - ТАВ-12 (торпеда авиационная высотная образца 1912 года) (3053).</w:t>
      </w:r>
    </w:p>
    <w:p w14:paraId="2C54525F"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39E8C321"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192A0CE"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612FD42D"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Не позднее 13 ноября 1933 г. Из доклада представителя фирмы "Дженерал Моторс Корпорэйшн" Е.М. Ван Воорхиса директорам фирмы о возможностях предоставления кредитов и технической помощи СССР </w:t>
      </w:r>
    </w:p>
    <w:p w14:paraId="02EBBE48"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Я пытался отнестись к России без всяких предубеждений. Я наблюдаю там много вещей, заслуживающих восхищения, много неудач и некоторые вещи, о которых всякий здравомыслящий человек не может не сожалеть. С другой стороны, я убежден и (если у меня будет время и место, которые я не буду занимать здесь этим), думается, я смогу убедить почти всякого, что советское правительство является устойчивым и остается таковым, независимо от эволюции к более либеральной политике и организации, которая, возможно, постепенно будет совершаться (и действительно совершается все это время). </w:t>
      </w:r>
    </w:p>
    <w:p w14:paraId="28EF9445"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Я также убежден, что в своей финансовой политике советское правительство достигло величайших успехов, и рассматриваю соглашение с Германией об отсрочке части платежей, которое было заключено в этом году — очень ловкой коммерческой сделкой - хотя не особенно этичной и не вызванной недостатком средств. Наконец, я убежден, что Советский Союз, как только мир несколько оправится от теперешней экономической депрессии, будет одним из крупнейших мировых автомобильных рынков. Это свое убеждение я основываю на колоссальной потребности в автотранспорте, которая уже в настоящее время существует, а также и на том, что, по моему мнению, советская промышленность явно неспособна расти с такой быстротой, чтобы не отставать от спроса. </w:t>
      </w:r>
    </w:p>
    <w:p w14:paraId="0A17D2D2"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прошлых моих письмах я указал на причины, почему, по моему мнению, советское правительство откладывало утверждение второй пятилетки в течение почти всего 1933 г. Чтобы восполнить этот мой доклад, я вкратце суммирую эти причины следующим образом: </w:t>
      </w:r>
    </w:p>
    <w:p w14:paraId="4EFF6BCC"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 Недостаток продовольствия последних нескольких лет достиг своего апогея к концу 1932 г. В начале настоящего года советское правительство было принуждено сконцентрировать все свои усилия на разрешении этой жизненной проблемы2. Промышленность была поневоле отодвинута на второй план, а утверждение второй пятилетки было отложено в то время, как правительство посвятило свое время и мысли на то, чтобы добиться успеха весеннего сева в зерновых областях. Недостаток пищи был самой настоятельной проблемой, отодвинувшей на задний план все остальные. </w:t>
      </w:r>
    </w:p>
    <w:p w14:paraId="37D76313"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 Советский Союз подверг сильному испытанию свой кредит в течение 1932 г., вследствие необходимости закончить первую пятилетку с максимальным успехом; и это несмотря на быстро падающий экспорт и падение мировых цен на товары. Советская структура кредитов была, кроме того, подвергнута испытанию натянутыми отношениями с Японией на Дальнем Востоке, где наблюдался недостаток в достаточном количестве военных припасов. Значительная часть необходимых военных припасов должна была быть закуплена за границей и вследствие этой крайней необходимости, значительная часть денег была истрачена, которая не была предусмотрена в прошлогоднем бюджете . Более того, производство разных советских фабрик, которые уже находились в действии, было переключено на производство военного снаряжения, и в результате много предметов, не предусмотренных в бюджете, должны были быть закуплены за границей. </w:t>
      </w:r>
    </w:p>
    <w:p w14:paraId="5D00B44E"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Затруднительное положение с кредитом делало необходимым перед тем, как принять решение относительно нового претенциозного плана второй пятилетки3, тщательное изучение возможных доходов и минимальных расходов. </w:t>
      </w:r>
    </w:p>
    <w:p w14:paraId="7F11FD75"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Денонсирование со стороны Великобритании англо-советского торгового соглашения и затем эмбарго и контрэмбарго4 между этими двумя странами. Ввиду того, что Великобритания была одним из крупнейших покупателей советских экспортных товаров, такое положение дела затрудняло советскому правительству заранее определить свои доходы от экспорта, что в значительной мере предопределило бы, какое новое строительство могло или не могло быть включено во вторую пятилетку. </w:t>
      </w:r>
    </w:p>
    <w:p w14:paraId="70356BA2"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г) Лондонская экономическая конференция5. Хотя и не ожидая многого от конференции в виде прямых результатов, советское правительство ожидало и действительно провело и завершило в Лондоне некоторые переговоры на стороне, результаты коих, разумеется, имели прямое отношение к экспорту. И опять в связи с этим возникает неуверенность в отношении доходов. </w:t>
      </w:r>
    </w:p>
    <w:p w14:paraId="4C6F290D"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xml:space="preserve">д) Торговые соглашения с Италией6 и Францией и имеющее меньшее значение соглашение с Балтийскими государствами7, которые возникли в результате Лондонской конференции. В то время, как соглашения были подписаны, вопрос о квотах, по-видимому, еще не получил своего окончательного разрешения и очень мало товара было фактически обменено. Опять возникает неуверенность в отношении доходов. </w:t>
      </w:r>
    </w:p>
    <w:p w14:paraId="5F86B3A8"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е) Возможность признания со стороны Америки и займа со стороны американского правительства. Опять вопрос о доходах. </w:t>
      </w:r>
    </w:p>
    <w:p w14:paraId="4DA72F5D"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ж) Ввиду того, что первая пятилетка закончилась со значительным успехом, не было непосредственной необходимости для советского правительства развивать исключительную энергию в течение первого года второй пятилетки. Другими словами, правительство могло позволить себе роскошь отдохнуть на время, пока оно будет в состоянии более точно определить доходы по смете. </w:t>
      </w:r>
    </w:p>
    <w:p w14:paraId="21D0DBE1"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Я полагаю, что пройдет по крайней мере два года, пока мы, или кто-нибудь другой, будем продавать значительное количество автомобильной продукции в Советской России. Советское правительство, как и все другие страны, сильно пострадало от мировой депрессии, с последующим уменьшением международной торговли и падением мировых цен. Хотя советское правительство до сих пор прекрасно успевало в отношении финансов, оно несомненно нуждается в деньгах и должно будет проявлять чрезвычайную осторожность в течение ближайшего года или около года, пока общее количество его экспортов будет восстановлено по более высоким ценам на товары. Тот факт, что данные, полученные от советской таможни, показывают, что в течение первых восьми месяцев настоящего года всего лишь 456 автомобилей и грузовиков были ввезены в Советский Союз из всех стран всего мира, производящих автомобили и грузовики, а также тот факт, что та предполагаемая цифра, которая, по моим сведениям, определена для ввоза будущего года, значительно ниже тысячи единиц, как будто подтверждают мое убеждение относительно ограниченных возможностей в смысле размера ввоза на ближайшее будущее. </w:t>
      </w:r>
    </w:p>
    <w:p w14:paraId="648FF917"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Ограничение размера импорта из Америки </w:t>
      </w:r>
    </w:p>
    <w:p w14:paraId="0253C399"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Я считаю установленным, что и Советский Союз и Соединенные Штаты заинтересованы в развитии такого торгового соглашения, которое могло бы иметь ценность на длительный срок. Всякое соглашение, основанное исключительно на временных выгодах, несомненно нежелательно и, возможно, повлечет за собой в будущем дурные последствия. Для тех немногих американцев, которые довольно близко знакомы с русским экономическим положением, наиболее заслуживающим уважение явлением в современной советской системе является управление советским правительством своими внешними финансовыми делами. В этом мире мировых банковых банкротств, чрезвычайно распространенных нарушений договоров и отказов от платежей, инфляции и чрезмерных правительственных расходов советский лозунг "Мы не будем покупать, если мы не уверены в том, что сможем уплатить за то, что мы покупаем" - является, во всяком случае, отрадным явлением. Вступить в какие-либо договорные отношения с Соединенными Штатами, отношения, которые нарушали бы этот основной принцип, было бы, безусловно, пагубно, поскольку это касается доверия к желанию и возможности для Советов платить свои долги. </w:t>
      </w:r>
    </w:p>
    <w:p w14:paraId="628368B2"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По-моему, за дипломатическим признанием Соединенными Штатами Советского Союза, вероятно, последуют предложения значительных кредитов советскому правительству со стороны крупных промышленных организаций в Соединенных Штатах. </w:t>
      </w:r>
    </w:p>
    <w:p w14:paraId="665463A2"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Принять эти кредиты при теперешнем положении дел было бы пагубно для советского правительства, и будет нарушен принцип, который я упомянул. Как мы все знаем, торговый баланс между Соединенными Штатами и Советским </w:t>
      </w:r>
    </w:p>
    <w:p w14:paraId="4E7F2F11"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Союзом, несмотря на то, что советское правительство закупает в Америке только самые что ни на есть необходимые для него товары, все лее является неблагоприятным для СССР. Это, разумеется, означает, что американцы не покупают советского сырья и что поэтому СССР не может вывести такой кредитный баланс в Америке, который дал бы возможность заплатить за такие частные кредиты, которые, возможно, будут даны в результате дипломатического признания. Лично я не верю, что за признанием последует значительное увеличение американских закупок в Советском Союзе. </w:t>
      </w:r>
    </w:p>
    <w:p w14:paraId="003D8AA1"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Американская промышленность потратила много лет на развитие надежных источников сырья, и я не верю, что одно лишь дипломатическое признание без дальнейших действий побудило бы американские промышленные организации переменить источники, откуда они получают сырье в настоящее время и обратиться взамен к Советскому Союзу. Задача, кроме того, осложняется тем, что большая часть сырья, производимая в Советском Союзе, также производится в Америке. Имея в виду непосредственные выгоды, Советский Союз, может быть, согласится на крупные частные американские кредиты согласно предложениям, которые ему сделают, но, как я уже сказал, отсутствие обеспечения средств для уплаты, т.е. отсутствие более крупных американских закупок в СССР, повлечет потерю доверия к Советскому Союзу со стороны американских деловых людей, имеющих действительное значение и знакомых с положением. Можно аргументировать, что торговые балансы Советского Союза в других странах могут быть использованы на предмет удовлетворения американских частных кредитов, когда наступит срок платежа, но по-моему, разрыв международных кредитных отношений вместе с ограничениями обмена и условия взаимности, содержащиеся в советских торговых договорах с другими странами, сделают невозможным отвлечение из этих других стран более чем ничтожной суммы, которая могла бы пойти в уплату американских частных кредитов. </w:t>
      </w:r>
    </w:p>
    <w:p w14:paraId="53FBE1BC"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Как альтернатива, можно сказать, невозможного положения, которое я только что обрисовал, существует, разумеется, возможность займов Советскому Союзу со стороны Реконструктивной финансовой корпорации или какой-либо иной формы государственной гарантии, данной американским правительством в отношении частных кредитов. </w:t>
      </w:r>
    </w:p>
    <w:p w14:paraId="010FB953"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Любая из этих альтернатив представляется мне лишь как отсрочка злосчастного дня. Хотя вполне возможно, что советское правительство в состоянии выплатить эти правительственные или квазиправительственные кредиты, когда настанет срок платежа, что, возможно, не случится с частными кредитами, которые я только что обсуждал, все же наступит день - если советско-американские отношения будут продолжаться на солидной основе, - когда за эти кредиты должна будет быть произведена оплата. Если не было сделано никакого обеспечения в отношении увеличенных закупок советского сырья Америкой, я не вижу, в каком отношении советское правительство будет в лучшем положении материально - разве только в отношении времени, - чем имея частные кредиты. Третьей и единственно дельной альтернативой, по-моему, является двойная система, согласно которой американское правительство гарантирует известный процент американских частных кредитов, данных Советскому Союзу и, кроме того, устанавливает какое-либо учреждение, которое даст возможность Советскому Союзу выполнить свои обязательства в отношении Америки единственным осуществимым путем, т.е. при помощи большого потребления советского сырья Америкой. Будет ли такое учреждение в виде правительственного департамента, или же оно будет организовано частным банком в Америке, субсидированным правительством, не имеет большого значения. Важно, чтобы это учреждение, какова бы ни была его форма, изучило бы тщательно американскую промышленность с целью удостовериться, где именно может быть использовано советское сырье. Пользуясь своим стратегическим положением как инстанция, гарантирующая американские частные кредиты Советской России, американское правительство через это учреждение могло бы действовать как получатель советского сырья, доставленного в уплату гарантированных кредитов, и наблюдать за тем, чтобы это сырье было использовано разными американскими отраслями промышленности, которые используют соответствующий тип сырья. Будет ли такое учреждение физически принимать сырье и действовать как распределитель или же оно только будет направлять и указывать, где такое сырье может быть использовано, опять-та- ки не имеет большого значения. </w:t>
      </w:r>
    </w:p>
    <w:p w14:paraId="534566B7"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Я желал бы повторить одно обстоятельство, о котором я упоминал в предыдущих отчетах, а именно, что советская индустриализация сделала большие успехи. В то время как в прошлом году советская автопромышленность закупала все свое электрическое оборудование и большую часть подшипников, измерителей скоростей, колес и прочее в Германии, она теперь почти все сама производит. Ее единственные закупки за границей обусловлены лишь срочными заказами, которые не могут быть выполнены в срок в СССР, и эти закупки сведены до минимума. Продажа Америкой автомобилей и грузовиков в СССР имеет главным образом следующие возможности (после того как улучшится мировая экономическая конъюнктура) - вполне оборудованные единицы, которые займут место прорыва между максимальной продукцией советской автопромышленности, с одной стороны, и минимальными нуждами развивающейся страны - с другой. </w:t>
      </w:r>
    </w:p>
    <w:p w14:paraId="288251DA"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И это является очень важным обстоятельством. Развитие советской автопромышленности намного опередило ее соседнюю транспортную промышленность, именно - железные дороги. В этом году были неполадки на железных дорогах, аварии и недостаточная производительность замечались всюду. При увеличении числа фабрик и увеличении выпуска промышленной продукции (не говоря уже о земледелии) железные дороги становятся все менее и менее удовлетворительными, и теперь, когда сельскохозяйственная проблема протекает довольно успешно, правительство прилагает все усилия к тому, чтобы наладить железнодорожное строитель-ство. По мнению высококомпетентных лиц, неизбежным результатом этого будет то, что, принимая во внимание ограниченность средств, суммы, ассигнованные на автопромышленность, в течение примерно ближайшего года на новые заводы и машины не будут столь велики, как было бы при обычных условиях, так как должны будут пойти на железнодорожный транспорт. </w:t>
      </w:r>
    </w:p>
    <w:p w14:paraId="2A8ACF32"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 означает, что темпы развития автопромышленности будут несколько задержаны и что, когда нормальные условия восстановятся — в результате мирового улучшения, — разница между тем, что советская автопромышленность в состоянии произвести, и минимальной потребностью будет ощущаться более остро.</w:t>
      </w:r>
    </w:p>
    <w:p w14:paraId="2A3B7114"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Как я уже упомянул в этом отчете, я доверяю руководству советского правительства своими внешними финансовыми делами . Может быть желательным здесь дать несколько оснований, почему я пришел к такому выводу. Первая пятилетка, которая потребовала введения совершенно новой промышленной программы, привела к тому, что размер закупок за границей намного превысил советский экспорт. И германские и неофициальные русские авторитеты сообщают, что излишек в значительной мере покрывается резервами, накопившимися вследствие конфискации всего правительственного имущества и почти всего частного имущества старого режима. После окончания пятилетнего плана, который включал открытие фабрик и предприятий всевозможного рода, советское правительство было принуждено снизить темпы. Необходимость в этом была подчеркнута фактом, что мировая депрессия становилась все острее, а в результате ее общее количество советского экспорта угрожающе снизилось и, как сопутствующее явление, произошло резкое снижение мировых цен на все товары, включая те, которые экспортировал Советский Союз. </w:t>
      </w:r>
    </w:p>
    <w:p w14:paraId="456DE3C8"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Способ, при помощи которого советское правительство реагировало на эти предостерегающие сигналы, особенно если сравнить их с тем, как правительства других великих наций отказались или оказались неспособными снизить расходы и все более и более погружаются в долги, заставляет меня чувствовать искреннее уважение к советскому управлению финансами. Ввиду того, что этот вопрос советского финансового управления имеет ближайшее касательство к американскому отношению </w:t>
      </w:r>
      <w:r w:rsidRPr="00C33834">
        <w:rPr>
          <w:rFonts w:ascii="Times New Roman" w:hAnsi="Times New Roman"/>
          <w:color w:val="000000" w:themeColor="text1"/>
          <w:sz w:val="16"/>
          <w:szCs w:val="16"/>
        </w:rPr>
        <w:lastRenderedPageBreak/>
        <w:t xml:space="preserve">к кредитам, я полагаю желательным привести здесь статистические данные (в золотых рублях. Золотой рубль стоил до настоящего года примерно 52 ц. Соединенных Штатов. Ныне он стоит 80 ц.).Год </w:t>
      </w:r>
    </w:p>
    <w:p w14:paraId="23C84F7E"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Экспорт Импорт1929 1930 </w:t>
      </w:r>
    </w:p>
    <w:p w14:paraId="569E5476"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1931 </w:t>
      </w:r>
    </w:p>
    <w:p w14:paraId="131B1BD8"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1932 </w:t>
      </w:r>
    </w:p>
    <w:p w14:paraId="1207F34E"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1933 (первые 8 месяцев) </w:t>
      </w:r>
    </w:p>
    <w:p w14:paraId="560DB5E6"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923 701 ООО 830 632 ООО </w:t>
      </w:r>
    </w:p>
    <w:p w14:paraId="67082C18"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1 036 371 000 1 058 825 000 </w:t>
      </w:r>
    </w:p>
    <w:p w14:paraId="3F907201"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811 210 000 1 105 034 000 </w:t>
      </w:r>
    </w:p>
    <w:p w14:paraId="23726FAD"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563 884 000 698 693 000 </w:t>
      </w:r>
    </w:p>
    <w:p w14:paraId="7832F51E"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315 846 000 246 754 000 </w:t>
      </w:r>
    </w:p>
    <w:p w14:paraId="55F285B8"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Из вышеизложенного резюме можно усмотреть, что неблагоприятные торговые балансы, которые существовали в течение трех последних лет, были обращены в благоприятный торговый баланс первых 8 месяцев 1933 г. </w:t>
      </w:r>
    </w:p>
    <w:p w14:paraId="5400CD91"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моим наблюдениям разных заводов — по крайней мере, поскольку это касается автопромышленности и тракторной промышленности, — это сокращение не повлекло за собой какого-либо уменьшения текущего производства. Наоборот, улучшения в способах и технике повлекли за собой постепенно увеличивающийся темп производства в течение 1933 г. Таким образом, очевидно, что сокращение это идет за счет новых планов. Мне сообщали, что вторая пятилетка учитывает эту необходимость сокращения нового строительства и в особенности той части плана, которая относится к автопромышленности и тракторной промышленности. Другими словами, сокращение всякого рода импорта в 1933 г. не является нечто* случайным или преходящим, а частью определенно установленной политики, полностью в соответствии с политикой финансового контроля, который привел к тому, что в течение 13 лет Советский Союз точно и пунктуально выполнял все свои обязательства, за исключением платежей Германии в 1933 г., которые были частично отсрочены.</w:t>
      </w:r>
    </w:p>
    <w:p w14:paraId="3DDB18D4"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Поверхностный обзор этого отчета мог бы навести на мысль, что, по моему представлению, мы ("Дженерал Моторс Корпорэйшн") не должны были бы вступать ни в какие-либо сделки с Советским Союзом, предусматривающие кредиты. Но это безусловно не так. Хотя вопрос о возможностях для СССР установить достаточный торговый баланс в Америке, чтобы произвести уплату за американские кредиты, действительно трудно будет разрешить, все же я уверен, что найдутся какие-либо пути, которые дадут возможность обмена товаров, что, в свою очередь, даст возможность уплатить за американские кредиты. </w:t>
      </w:r>
    </w:p>
    <w:p w14:paraId="19545F19"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При таких условиях, а также если советское правительство в состоянии гарантировать уплату из других источников, "Дженерал Моторс Корпорэйшн", как одна из крупнейших единиц американской промышленной системы и одна из лучше всех осведомленных, поскольку касается русского положения дел, будет первой из тех, которые выступят с предложением своих услуг и своей продукции. Я сообщил ответственным лицам советского правительства, что "Дженерал Моторс Корпорэйшн" согласна дать кредиты, что мы также можем оказать техническую помощь и что вследствие широких разветвлений наших производственных организаций мы находимся в таком положении, что можем снабжать лучшей и более разнообразной продукцией, подходящей к советским условиям, чем какая-либо иная [фирма] из существующих промышленных предприятий. </w:t>
      </w:r>
    </w:p>
    <w:p w14:paraId="54D11301"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РГАЭ. Ф. 7733. On. 1. Д. 8845. Л. 15-20. Копия (12152)).</w:t>
      </w:r>
    </w:p>
    <w:p w14:paraId="73D2EDCB" w14:textId="77777777" w:rsidR="00BA29CE" w:rsidRPr="00C33834" w:rsidRDefault="00BA29CE" w:rsidP="00C33834">
      <w:pPr>
        <w:spacing w:after="0" w:line="240" w:lineRule="auto"/>
        <w:jc w:val="both"/>
        <w:rPr>
          <w:rFonts w:ascii="Times New Roman" w:hAnsi="Times New Roman"/>
          <w:color w:val="000000" w:themeColor="text1"/>
          <w:sz w:val="16"/>
          <w:szCs w:val="16"/>
        </w:rPr>
      </w:pPr>
    </w:p>
    <w:p w14:paraId="7DF97C2E"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ноября 1933 нарком внешней торговли А.П. Розенгольц получил от "Картер Продактс Инкорпорейшн" письмо о желании компании установить торговые отношения между двумя странами; Россия могла бы поставлять лес, а Чикаго и Детройт сталь. Было предложено, чтобы фирма представляла интересы России в штате Мичиган. 27 ноября эта компания вновь обратилась с письмом к Розенгольцу о налаживании торговых отношений. По словам бывшего сенатора С. Брукхардта, советское руководство аккуратно выплачивало Америке задолженность по заказам. За все годы они составили 590 млн долл. Не оплачен был всего 21 млн долл. Задолженность СССР всем странам составляла 370 млн долл. Безусловно, он был кредитоспособен. Ежегодная добыча золота в СССР, по имеющимся у сенатора сведениям, оценивалась в 60 млн долл. Характерно заявление сотрудников министерства торговли США от 18 ноября 1933 г. о том, что Россия может со временем явиться серьезным конкурентом в области торговли нефтью, пшеницей, лесом и пушниной. В будущем она может стать крупным конкурентом по хлопку, меди, стали, а также промышленным изделиям. Это было явным преувеличением. В действительности у Советского Союза были ограниченные возможности для торговли с США (см. табл. 1). В довоенные годы русский экспорт в США был невелик. На две трети он складывался из кожевенного сырья, шерсти и лекарственных трав. Причем такая крупная статья экспорта, как пушнина, попадала в США после обработки, окраски и выделки на европейских предприятиях. В советское же время положение существенно изменилось. Индустриализация страны, создание новых производств, строительство крупных промышленных предприятий потребовало широкого ввоза оборудования из США, закупок машин, станков, СССР являлся одним из важных рынков сбыта как европейских, так и американских промышленных товаров (18280).</w:t>
      </w:r>
    </w:p>
    <w:p w14:paraId="671DDF3A" w14:textId="77777777" w:rsidR="00B81B17" w:rsidRPr="00C33834" w:rsidRDefault="00B81B17" w:rsidP="00C33834">
      <w:pPr>
        <w:spacing w:after="0" w:line="240" w:lineRule="auto"/>
        <w:jc w:val="both"/>
        <w:rPr>
          <w:rFonts w:ascii="Times New Roman" w:hAnsi="Times New Roman"/>
          <w:color w:val="000000" w:themeColor="text1"/>
          <w:sz w:val="16"/>
          <w:szCs w:val="16"/>
        </w:rPr>
      </w:pPr>
    </w:p>
    <w:p w14:paraId="0009B148"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ноября 1933 г. "Дженерал Моторс Корпорейшн"Е.М. Ван Воорхис составил доклад на имя руководства компании, который начинался словами: "Я пытался отнестись к России без всяких предубеждений". Он встречался со многими официальными и неофициальными лицами, руководителями предприятий. В целом у него сложилось благоприятное впечатление о стране. Ван Воорхис отмечал устойчивое положение правительства, в финансовой политике оно достигло серьезных успехов. Советский Союз явится "одним из крупнейших мировых автомобильных рынков". Он подчеркивал, что СССР и США были заинтересованы в налаживании торговли, расширение которой возможно при предоставлении американцами кредита. "Лично я не верю, — отмечал он, — что за признанием последует значительное увеличение американских закупок в Советском Союзе". Предприятия США не очень нуждаются в сырье, производимом в России. Рассчитывать на получение займа и кредитов трудно. "Дженерал Моторс Корпорейшн" готово было предоставить СССР кредиты и оказать техническую помощь (18280).</w:t>
      </w:r>
    </w:p>
    <w:p w14:paraId="0EE2B847" w14:textId="77777777" w:rsidR="00B81B17" w:rsidRPr="00C33834" w:rsidRDefault="00B81B17" w:rsidP="00C33834">
      <w:pPr>
        <w:spacing w:after="0" w:line="240" w:lineRule="auto"/>
        <w:jc w:val="both"/>
        <w:rPr>
          <w:rFonts w:ascii="Times New Roman" w:hAnsi="Times New Roman"/>
          <w:color w:val="000000" w:themeColor="text1"/>
          <w:sz w:val="16"/>
          <w:szCs w:val="16"/>
        </w:rPr>
      </w:pPr>
    </w:p>
    <w:p w14:paraId="2AC43A36"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13 ноября 1933 г. Письмо бывшего директора Особенной канцелярии по кредитной части Приморского правительства10 профессора С.А. Андреева наркому финансов СССР Г.Ф. Гринько о расходовании американских кредитов представителями Временного правительства в США 21 ноября 1933 г. </w:t>
      </w:r>
    </w:p>
    <w:p w14:paraId="44F9F683"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Америке находится немало лиц, бывших официальными представителями царской России, Временного правительства, Колчака, на руках у которых остались значительные суммы инвалюты. </w:t>
      </w:r>
    </w:p>
    <w:p w14:paraId="4472DF80"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связи с установлением нормальных дипломатических отношений с Америкой наступила реальная возможность потребовать от всех упо- мянутых представителей отчетов и передачу оставшихся сумм нашим консульствам или финансовым представителям. </w:t>
      </w:r>
    </w:p>
    <w:p w14:paraId="05F4F829"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качестве бывшего директора Особенной канцелярии по кредитной части (во Владивостоке в 1920 г.), где сосредоточивались расчеты с заграничными финансовыми агентами различных правительств, начиная с царского времени, считаю своей обязанностью оказать посильную помощь в выявлении упомянутых выше представителей и оставшихся у них сумм. </w:t>
      </w:r>
    </w:p>
    <w:p w14:paraId="21E0FB63"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Насколько я помню, за финансовым представителем Временного правительства, Колчака гр-ном Угетом11, фамилия коего на днях промелькнула в газетах, числилась громадная задолженность в инвалюте, исчисляемая десятками миллионов золотых рублей. Не только, однако, об Угете, но и о ряде еще лиц можно установить точную сумму задолженности по архиву Особенной канцелярии по кредитной части. Этот архив в 1925 г., насколько я знаю, оставался во Владивостоке в отделении "Дальбанка". С того времени судьба его и местонахождение мне неизвестны. В настоящее время архив Особенной канцелярии по кредитной части необходимо разыскать и распорядиться о доставке его в Москву с тем, чтобы в срочном порядке выявить задолженность бывших представителей царской России, Временного правительства, Колчака. </w:t>
      </w:r>
    </w:p>
    <w:p w14:paraId="4F18CB2C"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Как в розыске архива Особенной канцелярии по кредитной части, так и в разборе его дел я могу быть полезным, поэтому в настоящее время выражаю готовность оказать Вам всяческую помощь в этом деле. Впрочем, весьма возможно, что Вы уже располагаете всеми сведениями о задолженности упомянутых различных представителей, в таком случае прошу извинить меня за отвлечение Вас от В[аших] дел, сделанное, как Вы видите, из лучших побуждений. </w:t>
      </w:r>
    </w:p>
    <w:p w14:paraId="05373865"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Уважающий Вас профессор С.А. Андреев, бывший директор Особенной канцелярии по кредитной части и управляющий финансами Приморского правительства. </w:t>
      </w:r>
    </w:p>
    <w:p w14:paraId="327B3343"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[P.S.] Председателем Совета управляющих этого правительства был т. Никифоров, ныне заместитель наркома снабжения РСФСР. </w:t>
      </w:r>
    </w:p>
    <w:p w14:paraId="3B6A7080"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РГАЭ. Ф. 7733. On. 37. Д. 2410. Л. 31-31об. Подлинник (13152).</w:t>
      </w:r>
    </w:p>
    <w:p w14:paraId="7D6AAC32" w14:textId="77777777" w:rsidR="00BA29CE" w:rsidRPr="00C33834" w:rsidRDefault="00BA29CE" w:rsidP="00C33834">
      <w:pPr>
        <w:spacing w:after="0" w:line="240" w:lineRule="auto"/>
        <w:jc w:val="both"/>
        <w:rPr>
          <w:rFonts w:ascii="Times New Roman" w:hAnsi="Times New Roman"/>
          <w:color w:val="000000" w:themeColor="text1"/>
          <w:sz w:val="16"/>
          <w:szCs w:val="16"/>
        </w:rPr>
      </w:pPr>
    </w:p>
    <w:p w14:paraId="005D083B"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13-27 ноября 1933 г. Письма фирмы "Картер Продактс Инкорпорэйшн" наркому внешней торговли СССР А.П. Розенгольцу о предоставлении фирме статуса торгового представителя СССР* </w:t>
      </w:r>
    </w:p>
    <w:p w14:paraId="0C1181E6"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Милостивый государь, я беру на себя смелость адресовать это письмо лично Вам, потому что я считаю, что это дело весьма важно и вполне оправдывает такой поступок. Я надеюсь, что Вы сочтете мой поступок правильным и примете во внимание это письмо. </w:t>
      </w:r>
    </w:p>
    <w:p w14:paraId="16B10C75"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Я обменялся письмами с Амторгом9 в Нью-Йорке относительно нижеизложенного дела, но по каким-то причинам результаты были неудовлетворительные. Может быть, мои предложения не входили в их планы, или они задерживали дело до окончательного признания США Вашей страны. </w:t>
      </w:r>
    </w:p>
    <w:p w14:paraId="21379354"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Я хочу быть представителем Вашей страны в округе Мичиган и был бы рад рассмотреть любое предложение, которое Вы сделаете в отношении назначения нас такими представителями. Наша компания имеет организацию для продаж в этом штате и на прилегающей территории в течение нескольких лет. Автор сего и другие в нашей организации основательно знакомы с писчебумажными , мебельными заводами, автомобильными заводами и другими производственными предприятиями. У нас прекрасные связи вследствие личных знакомств. </w:t>
      </w:r>
    </w:p>
    <w:p w14:paraId="6C1BB5E6"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xml:space="preserve">Писчебумажные фабрики в одном только этом штате ввозят на несколько миллионов долларов балансов из Скандинавских стран и Канады. Я не вижу никаких причин, почему Ваша страна не может поставлять этот продукт и при нашем содействии получить значительную часть этой торговли. Я уверен, что мы могли бы заручиться этим делом на несколько миллионов долларов только по этому продукту, при условии, конечно, что все остальные условия - качество, сорт, цена и т.д. - будут одинаковы. Нет никаких причин, почему мы не могли бы взять большую часть всего этого дела на этом базисе, без каких-либо жертв в отношении цен. Таким образом, мы избежали бы всяких подозрений в отношении снижения цен и демпинга . </w:t>
      </w:r>
    </w:p>
    <w:p w14:paraId="7E1E1979"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Мои личные связи в течение прошлых десяти лет в лесной и мебельной промышленности дают мне уверенность, что мы могли бы достичь удовлетворительных результатов в продаже бревен и невыделанного леса. Мы не знаем, будете ли Вы в состоянии поставлять отделанный лес, определенные размеры или фанеру, но если это так, то в на- шем штате имеется для него огромный рынок, а также и на прилегающей территории. </w:t>
      </w:r>
    </w:p>
    <w:p w14:paraId="63C4222D"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Что касается железной и стальной промышленности, то в Чикаго и в районе Детройта находится достаточно домен и возможно, что мы могли бы получить там заказы на специальные руды, которые ввозятся регулярно. </w:t>
      </w:r>
    </w:p>
    <w:p w14:paraId="766015D9"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Несколько месяцев тому назад у Вас был представитель в Чикаго, который, наверное, имел исключительное право продажи всех русских продуктов на весь наш средний Запад. Однако что-то случилось, и договоренность с этим человеком была порвана. Насколько мне известно, у Вас нет активного представительства в этой части страны, и я думаю, что Вы теряете большие возможности в отношении торговли и создания кредита в долларах в этой стране. </w:t>
      </w:r>
    </w:p>
    <w:p w14:paraId="5F332F8C"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Я хотел бы также еще указать на то, что наш средний Запад вообще слишком большая территория для того, чтобы обрабатывать его одному человеку или организации. Я уверен, что моя собственная организация - одна из самых способных, которые Вы можете только найти для соответствующего представительства, но я не хотел бы взять такую огромную территорию. Я предпочел бы меньшую территорию, как штат Мичиган и, возможно, окружающий район, потому что мы сделаем больше, как для Вас, так и для самих себя, посредством основательного и соответствующего охвата такой территории. Мы готовы это сделать и уверяем Вас в нашей активной и искренней помощи Вам во всех отношениях. Мы уверены, что мы можем далее заверить Вас, что мы достигнем удовлетворительного оборота в указанных выше продуктах. </w:t>
      </w:r>
    </w:p>
    <w:p w14:paraId="49B408AB"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Вам также следует иметь в виду, что эти продукты фактически все не подлежат пошлине, за исключением отделанного леса, и они не конкурируют серьезно с американскими и поэтому они не возбудят сопротивления и антагонизма, которые, возможно, возникли бы при попытке импортировать другие конкурирующие русские продукты. </w:t>
      </w:r>
    </w:p>
    <w:p w14:paraId="1ABD56CC"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заключение должны сказать, что мы не хотим действовать через голову Амторга, который, как мы понимаем, является Вашим агентом в Америке. Однако мы уверены, что это дело настолько важное, что мы берем на себя смелость обратить на него Ваше личное внимание. Конечно, мы действуем также в личных интересах, так как мы думаем, что совместная работа выгодна как нам, так и Вашей стране. Я охотно сообщу Вам всякие добавочные сведения или статистические данные, которые могут Вам понадобиться. Я с удовольствием встречусь с любым Вашим представителем для личной беседы в любое удобное время. </w:t>
      </w:r>
    </w:p>
    <w:p w14:paraId="6CB79F4E"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Теперь, когда определенные дипломатические сношения будут возобновлены, мы считаем, что это самое благоприятное время для назначения активных представителей для продажи в этой стране, [таких] как мы. </w:t>
      </w:r>
    </w:p>
    <w:p w14:paraId="5B677350"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прошлом Вы теряли много выгодных дел, но мы не видим причин, почему Вам продолжать это в дальнейшем. </w:t>
      </w:r>
    </w:p>
    <w:p w14:paraId="2ABFA732"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совершенным почтением "Картер Продактс К°" РГАЭ. Ф. 413. On. 13. Д. 546. Л. 1-2. Копия (12152).</w:t>
      </w:r>
    </w:p>
    <w:p w14:paraId="157DE88E" w14:textId="77777777" w:rsidR="00BA29CE" w:rsidRPr="00C33834" w:rsidRDefault="00BA29CE" w:rsidP="00C33834">
      <w:pPr>
        <w:spacing w:after="0" w:line="240" w:lineRule="auto"/>
        <w:jc w:val="both"/>
        <w:rPr>
          <w:rFonts w:ascii="Times New Roman" w:hAnsi="Times New Roman"/>
          <w:color w:val="000000" w:themeColor="text1"/>
          <w:sz w:val="16"/>
          <w:szCs w:val="16"/>
        </w:rPr>
      </w:pPr>
    </w:p>
    <w:p w14:paraId="0A8CB325"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13 ноября 1933 опросом членов ПБ</w:t>
      </w:r>
    </w:p>
    <w:p w14:paraId="52C150EE"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76/61.- О строительствe Хабаровского нефтеперегонного завода (ПБ от 1.Х1.33г., пр.№ 148,п. 17).</w:t>
      </w:r>
    </w:p>
    <w:p w14:paraId="5D4AA708"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Принять к сведению, заявление НКТП т. Орджоникид</w:t>
      </w:r>
      <w:r w:rsidRPr="00C33834">
        <w:rPr>
          <w:rFonts w:ascii="Times New Roman" w:hAnsi="Times New Roman"/>
          <w:color w:val="0070C0"/>
          <w:sz w:val="16"/>
          <w:szCs w:val="16"/>
        </w:rPr>
        <w:softHyphen/>
        <w:t>зе, что:</w:t>
      </w:r>
    </w:p>
    <w:p w14:paraId="13F6BF51"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Работы по расширению нефтепровода Оха-Москальво на о. Сахалине выполнены и перекачка 160 т.т. нефти в навигацию 1934 г. обеспечена.</w:t>
      </w:r>
    </w:p>
    <w:p w14:paraId="7C163EFE"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промфинплан Сахалиннефти на 1934 г. включены средства с расчетом дальнейшего расширения нефтепро</w:t>
      </w:r>
      <w:r w:rsidRPr="00C33834">
        <w:rPr>
          <w:rFonts w:ascii="Times New Roman" w:hAnsi="Times New Roman"/>
          <w:color w:val="0070C0"/>
          <w:sz w:val="16"/>
          <w:szCs w:val="16"/>
        </w:rPr>
        <w:softHyphen/>
        <w:t>вода для перекачки 400 т.т. в 1935 г.</w:t>
      </w:r>
    </w:p>
    <w:p w14:paraId="7C7B9BCB"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Фонд на металл для 12-ти резервуаров емкостью по 10.000 тонн выделен полностью в 1У-м квартале с.г. К заготовке резервуаров приступлено.</w:t>
      </w:r>
    </w:p>
    <w:p w14:paraId="2D14AEF6"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Расширение хабаровского нефтеперегонного за</w:t>
      </w:r>
      <w:r w:rsidRPr="00C33834">
        <w:rPr>
          <w:rFonts w:ascii="Times New Roman" w:hAnsi="Times New Roman"/>
          <w:color w:val="0070C0"/>
          <w:sz w:val="16"/>
          <w:szCs w:val="16"/>
        </w:rPr>
        <w:softHyphen/>
        <w:t>вода до 400.000 тонн включено в план капитального строительства треста "Нефтезаводы" со сроком окон</w:t>
      </w:r>
      <w:r w:rsidRPr="00C33834">
        <w:rPr>
          <w:rFonts w:ascii="Times New Roman" w:hAnsi="Times New Roman"/>
          <w:color w:val="0070C0"/>
          <w:sz w:val="16"/>
          <w:szCs w:val="16"/>
        </w:rPr>
        <w:softHyphen/>
        <w:t>чания строительства к началу навигации 1935 г.</w:t>
      </w:r>
    </w:p>
    <w:p w14:paraId="0D88E2B8"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Обязать Наркомвод (т.Янсон):</w:t>
      </w:r>
    </w:p>
    <w:p w14:paraId="576E6E08"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К началу навигации 1934 г. построить нефтяную пристань в Хабаровске и причалы в Москальво и в Нико</w:t>
      </w:r>
      <w:r w:rsidRPr="00C33834">
        <w:rPr>
          <w:rFonts w:ascii="Times New Roman" w:hAnsi="Times New Roman"/>
          <w:color w:val="0070C0"/>
          <w:sz w:val="16"/>
          <w:szCs w:val="16"/>
        </w:rPr>
        <w:softHyphen/>
        <w:t>лаевске на Амуре, обеспечивающие налив и слив нефти 160 т.т. в 1934 г. и 400 т.т. в 1935 г.</w:t>
      </w:r>
    </w:p>
    <w:p w14:paraId="428003CB"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Обеспечить окончание сборки в Благовещенске к 1.У1.34 г. двух рейдовых барж № 2 и 3 по 3.500 тонн и 4-х речных барж по 4.000 тонн каждая.</w:t>
      </w:r>
    </w:p>
    <w:p w14:paraId="441E6940"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Провести организованную посылку на Благове</w:t>
      </w:r>
      <w:r w:rsidRPr="00C33834">
        <w:rPr>
          <w:rFonts w:ascii="Times New Roman" w:hAnsi="Times New Roman"/>
          <w:color w:val="0070C0"/>
          <w:sz w:val="16"/>
          <w:szCs w:val="16"/>
        </w:rPr>
        <w:softHyphen/>
        <w:t>щенскую судоверфь 350 котельщиков немедленно и 250 ко</w:t>
      </w:r>
      <w:r w:rsidRPr="00C33834">
        <w:rPr>
          <w:rFonts w:ascii="Times New Roman" w:hAnsi="Times New Roman"/>
          <w:color w:val="0070C0"/>
          <w:sz w:val="16"/>
          <w:szCs w:val="16"/>
        </w:rPr>
        <w:softHyphen/>
        <w:t>тельщиков к 1.1.1934 года.</w:t>
      </w:r>
    </w:p>
    <w:p w14:paraId="5DB8824E"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Изыскать и направить в ДВК морским путем 5 мощ</w:t>
      </w:r>
      <w:r w:rsidRPr="00C33834">
        <w:rPr>
          <w:rFonts w:ascii="Times New Roman" w:hAnsi="Times New Roman"/>
          <w:color w:val="0070C0"/>
          <w:sz w:val="16"/>
          <w:szCs w:val="16"/>
        </w:rPr>
        <w:softHyphen/>
        <w:t>ных рейдовых буксиров с осадкой не больше 3-х метров для перевозки в навигацию 1934 года 160 тыс.тонн нефти.</w:t>
      </w:r>
    </w:p>
    <w:p w14:paraId="0A6BE42C"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.Обеспечить поступление в Благовещенск не поз</w:t>
      </w:r>
      <w:r w:rsidRPr="00C33834">
        <w:rPr>
          <w:rFonts w:ascii="Times New Roman" w:hAnsi="Times New Roman"/>
          <w:color w:val="0070C0"/>
          <w:sz w:val="16"/>
          <w:szCs w:val="16"/>
        </w:rPr>
        <w:softHyphen/>
        <w:t>же начала июня 1934 года в разобранном виде 5-ти рейдовых буксиров по 600 сил каждый и к этому сроку для обеспечения перевозок нефти в 1935 г. забросить в Благовещенск в разобранном видне 4 рейдоынх баржи</w:t>
      </w:r>
    </w:p>
    <w:p w14:paraId="681D2CCC"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 3500 тонн. 1 речную баржу 4000 тонн и 3 речных баржи по 8000 т.каждая.</w:t>
      </w:r>
    </w:p>
    <w:p w14:paraId="424C6C85"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Обеспечить перевозку разобранных в Батуме 4-х резервуаров в Николаевск на Амуре к маю мес. 1934 г.</w:t>
      </w:r>
    </w:p>
    <w:p w14:paraId="08EBFF10"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Обязать Наркомснаб СССР (т.Микояна) включить на 1У-й квартал 1933 г. и на 1934 г. Хабаровское строи</w:t>
      </w:r>
      <w:r w:rsidRPr="00C33834">
        <w:rPr>
          <w:rFonts w:ascii="Times New Roman" w:hAnsi="Times New Roman"/>
          <w:color w:val="0070C0"/>
          <w:sz w:val="16"/>
          <w:szCs w:val="16"/>
        </w:rPr>
        <w:softHyphen/>
        <w:t>тельство на снабжение в список предприятий, получаю</w:t>
      </w:r>
      <w:r w:rsidRPr="00C33834">
        <w:rPr>
          <w:rFonts w:ascii="Times New Roman" w:hAnsi="Times New Roman"/>
          <w:color w:val="0070C0"/>
          <w:sz w:val="16"/>
          <w:szCs w:val="16"/>
        </w:rPr>
        <w:softHyphen/>
        <w:t>щих мясо и жиры для индивидуального и общественного питания.</w:t>
      </w:r>
    </w:p>
    <w:p w14:paraId="60A4CCFF"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 Обязать НКПС до конца строительства Хабаров</w:t>
      </w:r>
      <w:r w:rsidRPr="00C33834">
        <w:rPr>
          <w:rFonts w:ascii="Times New Roman" w:hAnsi="Times New Roman"/>
          <w:color w:val="0070C0"/>
          <w:sz w:val="16"/>
          <w:szCs w:val="16"/>
        </w:rPr>
        <w:softHyphen/>
        <w:t>ского завода обеспечить подвижным составом переброску всех необходимых строительству грузов и взять под особое наблюдение продвижение этих грузов по желез</w:t>
      </w:r>
      <w:r w:rsidRPr="00C33834">
        <w:rPr>
          <w:rFonts w:ascii="Times New Roman" w:hAnsi="Times New Roman"/>
          <w:color w:val="0070C0"/>
          <w:sz w:val="16"/>
          <w:szCs w:val="16"/>
        </w:rPr>
        <w:softHyphen/>
        <w:t>ным дорогам.</w:t>
      </w:r>
    </w:p>
    <w:p w14:paraId="2D5937B7"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Орджоникидзе, Гамарнику, Мирошни</w:t>
      </w:r>
      <w:r w:rsidRPr="00C33834">
        <w:rPr>
          <w:rFonts w:ascii="Times New Roman" w:hAnsi="Times New Roman"/>
          <w:color w:val="0070C0"/>
          <w:sz w:val="16"/>
          <w:szCs w:val="16"/>
        </w:rPr>
        <w:softHyphen/>
        <w:t>кову, Далькрайкому-шифром-все; Янсону- п.6, Микояну-п.в, Андре еву-п.г.</w:t>
      </w:r>
    </w:p>
    <w:p w14:paraId="52BB4298"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77/62.- Вопросы Комиссии Обороны.</w:t>
      </w:r>
    </w:p>
    <w:p w14:paraId="74F69642"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Утвердить постановление СТО о выделении НКТПрому в ноябре мес.1933 г. из резервного фонда СНК - 3.000.000 р. для проведения подготовительных работ по строительству бензоемкостей на Д.Востоке и В.Си</w:t>
      </w:r>
      <w:r w:rsidRPr="00C33834">
        <w:rPr>
          <w:rFonts w:ascii="Times New Roman" w:hAnsi="Times New Roman"/>
          <w:color w:val="0070C0"/>
          <w:sz w:val="16"/>
          <w:szCs w:val="16"/>
        </w:rPr>
        <w:softHyphen/>
        <w:t>бири.</w:t>
      </w:r>
    </w:p>
    <w:p w14:paraId="32EF6866"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т.т.Базилевичу,Мирошникову.</w:t>
      </w:r>
    </w:p>
    <w:p w14:paraId="2584E5CD" w14:textId="77777777" w:rsidR="00D91041" w:rsidRPr="00C33834" w:rsidRDefault="00D91041"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ноября 1933 состоялось заседание ПБ и был оформлен протокол № 149 (22999).</w:t>
      </w:r>
    </w:p>
    <w:p w14:paraId="7670ADA8" w14:textId="77777777" w:rsidR="00D91041" w:rsidRPr="00C33834" w:rsidRDefault="00D91041" w:rsidP="00C33834">
      <w:pPr>
        <w:spacing w:after="0" w:line="240" w:lineRule="auto"/>
        <w:jc w:val="both"/>
        <w:rPr>
          <w:rFonts w:ascii="Times New Roman" w:hAnsi="Times New Roman"/>
          <w:color w:val="0070C0"/>
          <w:sz w:val="16"/>
          <w:szCs w:val="16"/>
        </w:rPr>
      </w:pPr>
    </w:p>
    <w:p w14:paraId="1A4F5CB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ноября 1933 г. приказом НКТП было создано специальное управление строительством опытовых бассейнов при НИСС (с 1936 г. — НИИ-4), получившее на</w:t>
      </w:r>
      <w:r w:rsidRPr="00C33834">
        <w:rPr>
          <w:rFonts w:ascii="Times New Roman" w:hAnsi="Times New Roman"/>
          <w:color w:val="000000" w:themeColor="text1"/>
          <w:sz w:val="16"/>
          <w:szCs w:val="16"/>
        </w:rPr>
        <w:softHyphen/>
        <w:t>звание "Судбасстрой". С 1935 г. к проектированию новых бассейнов и сопутствующих объектов приступил ГСПИ-2. Проектирование было сложной инженерной задачей, поскольку длина основного (глубоководного) бассейна вдвое превышала длину самого большо</w:t>
      </w:r>
      <w:r w:rsidRPr="00C33834">
        <w:rPr>
          <w:rFonts w:ascii="Times New Roman" w:hAnsi="Times New Roman"/>
          <w:color w:val="000000" w:themeColor="text1"/>
          <w:sz w:val="16"/>
          <w:szCs w:val="16"/>
        </w:rPr>
        <w:softHyphen/>
        <w:t>го опытового бассейна аналогичного назначения, имевшегося в те годы за рубежом, а требования режимов испытаний обуславливали необходимость обеспечения высокой точности профиля путей для буксировочного устройства (3898).</w:t>
      </w:r>
    </w:p>
    <w:p w14:paraId="71A3A241"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2D947B0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ноября 1933 г. по приказу НКТП при НИСС создано специальное управление строительством опытовых бассейнов «Судбасстрой»</w:t>
      </w:r>
      <w:r w:rsidRPr="00C33834">
        <w:rPr>
          <w:rFonts w:ascii="Times New Roman" w:hAnsi="Times New Roman"/>
          <w:color w:val="000000" w:themeColor="text1"/>
          <w:sz w:val="16"/>
          <w:szCs w:val="16"/>
          <w:vertAlign w:val="superscript"/>
        </w:rPr>
        <w:t>115</w:t>
      </w:r>
      <w:r w:rsidRPr="00C33834">
        <w:rPr>
          <w:rFonts w:ascii="Times New Roman" w:hAnsi="Times New Roman"/>
          <w:color w:val="000000" w:themeColor="text1"/>
          <w:sz w:val="16"/>
          <w:szCs w:val="16"/>
        </w:rPr>
        <w:t xml:space="preserve"> для проектирования и строительства комплекса опытовых бассейнов и экспериментальных установок для НИВК на Средней Рогатке. Далее оно преобразовано в самостоятельный НИИС. По пр. НКОП № Обсс от 30.12.1936г. НИИС переименован в НИИ № 4.</w:t>
      </w:r>
    </w:p>
    <w:p w14:paraId="34413056" w14:textId="77777777" w:rsidR="00570C39" w:rsidRPr="00C33834" w:rsidRDefault="00570C39" w:rsidP="00C33834">
      <w:pPr>
        <w:spacing w:after="0" w:line="240" w:lineRule="auto"/>
        <w:jc w:val="both"/>
        <w:rPr>
          <w:rFonts w:ascii="Times New Roman" w:hAnsi="Times New Roman"/>
          <w:color w:val="000000" w:themeColor="text1"/>
          <w:sz w:val="16"/>
          <w:szCs w:val="16"/>
          <w:vertAlign w:val="superscript"/>
        </w:rPr>
      </w:pPr>
      <w:r w:rsidRPr="00C33834">
        <w:rPr>
          <w:rFonts w:ascii="Times New Roman" w:hAnsi="Times New Roman"/>
          <w:color w:val="000000" w:themeColor="text1"/>
          <w:sz w:val="16"/>
          <w:szCs w:val="16"/>
        </w:rPr>
        <w:t>Приказом НКОП № 0014 от 1.02.1937г. на 1937г. запланировано начало строительства «Судбасстроя». В 12.1938г. строительство «Судбасстроя» - в ведении 2ГУ НКОП, в 02.1939г. передано из 2ГУ в ведение 1ГУ НКСП.</w:t>
      </w:r>
      <w:r w:rsidRPr="00C33834">
        <w:rPr>
          <w:rFonts w:ascii="Times New Roman" w:hAnsi="Times New Roman"/>
          <w:color w:val="000000" w:themeColor="text1"/>
          <w:sz w:val="16"/>
          <w:szCs w:val="16"/>
          <w:vertAlign w:val="superscript"/>
        </w:rPr>
        <w:t>139</w:t>
      </w:r>
    </w:p>
    <w:p w14:paraId="43E816D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 № 196сс от 4.06.1938г. НИИ-4 вошел в состав вновь созданного ЦНИИ-45 НКОП.</w:t>
      </w:r>
    </w:p>
    <w:p w14:paraId="39C096B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(06.1938г.)- Шатель (11982).</w:t>
      </w:r>
    </w:p>
    <w:p w14:paraId="2C6299D6"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5DB478CA"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F8AB340"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370B7E3C"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ноября 1933 американский летчик Дж. Эйнджел открыл водопад Сальто-Анхель (Венесуэла) - самый высокий водопад в мире (4962).</w:t>
      </w:r>
    </w:p>
    <w:p w14:paraId="4EF6917F"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p w14:paraId="64389CD6"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AE5A691"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0733E6F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ноября 1933 закончились доработки И-14 БМ в ЦАГИ, где он находился с 25 октября и 16 ноября машина была вновь отправлена в ОЭЛИД ЦАГИ (2869,23). Переставили с колес на лыжи, которые не убирались и ниши закрыли листами дюраля (4020,11). Испытания первой машины окончились 13 декабря 1933 (4020,11).</w:t>
      </w:r>
    </w:p>
    <w:p w14:paraId="6D2F4C24"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4A8901C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ноября 1933 старания производственников увенчались успехом и шасси И-14 стало работать без замечаний. В ходе летного эксперимента это подтвердили испытатели, и 16 ноября 1933 г. самолет передали в ОЭЛИД по акту №32. Эту дату следует считать началом полномасштабных испытаний И -14 (12037).</w:t>
      </w:r>
    </w:p>
    <w:p w14:paraId="05171814"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62035B6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ноября 1933 был подписан договор со строившимся в Иркутске 125 заводом о производстве установочной партии в 5 И-14 (4020,14).</w:t>
      </w:r>
    </w:p>
    <w:p w14:paraId="35D58735"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5BB0D677" w14:textId="77777777" w:rsidR="00CE750F" w:rsidRPr="00C33834" w:rsidRDefault="00CE750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14-15 ноября 1933 для пленума РВС на аэродроме Люберцы состоялась демонстрация новых объектов авиатехники и демонстрировали РД, И-14, И-15 и Сталь-6 (2305,80).</w:t>
      </w:r>
    </w:p>
    <w:p w14:paraId="2A2087BF" w14:textId="77777777" w:rsidR="00CE750F" w:rsidRPr="00C33834" w:rsidRDefault="00CE750F" w:rsidP="00C33834">
      <w:pPr>
        <w:spacing w:after="0" w:line="240" w:lineRule="auto"/>
        <w:jc w:val="both"/>
        <w:rPr>
          <w:rFonts w:ascii="Times New Roman" w:hAnsi="Times New Roman"/>
          <w:color w:val="000000" w:themeColor="text1"/>
          <w:sz w:val="16"/>
          <w:szCs w:val="16"/>
        </w:rPr>
      </w:pPr>
    </w:p>
    <w:p w14:paraId="3D046F2C" w14:textId="77777777" w:rsidR="00CE750F" w:rsidRPr="00C33834" w:rsidRDefault="00CE750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14-15 ноября 1933 «Сталь-6» показали на аэродроме в Люберцах участникам пленума Революционно</w:t>
      </w:r>
      <w:r w:rsidRPr="00C33834">
        <w:rPr>
          <w:rFonts w:ascii="Times New Roman" w:hAnsi="Times New Roman"/>
          <w:color w:val="000000" w:themeColor="text1"/>
          <w:sz w:val="16"/>
          <w:szCs w:val="16"/>
        </w:rPr>
        <w:softHyphen/>
        <w:t>го военного совета. Рядом с необычной машиной стояли другие новинки авиапрома - истребители И-14, И-15, самолёт «Рекорд дальности» (АНТ-25) (15844).</w:t>
      </w:r>
    </w:p>
    <w:p w14:paraId="6E29BB15" w14:textId="77777777" w:rsidR="00CE750F" w:rsidRPr="00C33834" w:rsidRDefault="00CE750F" w:rsidP="00C33834">
      <w:pPr>
        <w:spacing w:after="0" w:line="240" w:lineRule="auto"/>
        <w:jc w:val="both"/>
        <w:rPr>
          <w:rFonts w:ascii="Times New Roman" w:hAnsi="Times New Roman"/>
          <w:color w:val="000000" w:themeColor="text1"/>
          <w:sz w:val="16"/>
          <w:szCs w:val="16"/>
        </w:rPr>
      </w:pPr>
    </w:p>
    <w:p w14:paraId="51FAF523" w14:textId="77777777" w:rsidR="009F4E71" w:rsidRPr="00C33834" w:rsidRDefault="009F4E71"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14-15 ноября 1933 «Сталь-6» показали на аэродроме в Люберцах участникам пленума Революционного военного совета. Рядом с необычной машиной стояли другие новинки — истребители И-14, И-15, самолёт «Рекорд дальности» (АНТ-25) (17489).</w:t>
      </w:r>
    </w:p>
    <w:p w14:paraId="239B17C2" w14:textId="77777777" w:rsidR="009F4E71" w:rsidRPr="00C33834" w:rsidRDefault="009F4E71" w:rsidP="00C33834">
      <w:pPr>
        <w:spacing w:after="0" w:line="240" w:lineRule="auto"/>
        <w:jc w:val="both"/>
        <w:rPr>
          <w:rFonts w:ascii="Times New Roman" w:eastAsia="Times New Roman" w:hAnsi="Times New Roman"/>
          <w:color w:val="000000" w:themeColor="text1"/>
          <w:sz w:val="16"/>
          <w:szCs w:val="16"/>
          <w:lang w:eastAsia="ru-RU"/>
        </w:rPr>
      </w:pPr>
    </w:p>
    <w:p w14:paraId="0FEB315D" w14:textId="77777777" w:rsidR="00CE750F"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CD185FD" w14:textId="77777777" w:rsidR="00CE750F" w:rsidRPr="00C33834" w:rsidRDefault="00CE750F" w:rsidP="00C33834">
      <w:pPr>
        <w:spacing w:after="0" w:line="240" w:lineRule="auto"/>
        <w:jc w:val="both"/>
        <w:rPr>
          <w:rFonts w:ascii="Times New Roman" w:hAnsi="Times New Roman"/>
          <w:iCs/>
          <w:color w:val="000000" w:themeColor="text1"/>
          <w:sz w:val="16"/>
          <w:szCs w:val="16"/>
        </w:rPr>
      </w:pPr>
    </w:p>
    <w:p w14:paraId="1D0E2682" w14:textId="77777777" w:rsidR="00CE750F" w:rsidRPr="00C33834" w:rsidRDefault="00CE750F"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14 ноября</w:t>
      </w:r>
      <w:r w:rsidRPr="00C33834">
        <w:rPr>
          <w:rFonts w:ascii="Times New Roman" w:hAnsi="Times New Roman"/>
          <w:color w:val="000000" w:themeColor="text1"/>
          <w:sz w:val="16"/>
          <w:szCs w:val="16"/>
        </w:rPr>
        <w:t xml:space="preserve"> в 1933 году состоялся первый полет опытного самолета «Potez 54» (Франция) (14830).</w:t>
      </w:r>
    </w:p>
    <w:p w14:paraId="42E81CC6" w14:textId="77777777" w:rsidR="00CE750F" w:rsidRPr="00C33834" w:rsidRDefault="00CE750F" w:rsidP="00C33834">
      <w:pPr>
        <w:spacing w:after="0" w:line="240" w:lineRule="auto"/>
        <w:jc w:val="both"/>
        <w:rPr>
          <w:rFonts w:ascii="Times New Roman" w:hAnsi="Times New Roman"/>
          <w:color w:val="000000" w:themeColor="text1"/>
          <w:sz w:val="16"/>
          <w:szCs w:val="16"/>
        </w:rPr>
      </w:pPr>
    </w:p>
    <w:p w14:paraId="25151344"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14 ноября 1933 состоялся первый полет Potez 54, прототипа Potez 540 (20802).</w:t>
      </w:r>
    </w:p>
    <w:p w14:paraId="3490ED33" w14:textId="77777777" w:rsidR="00C335AB" w:rsidRPr="00C33834" w:rsidRDefault="00C335AB" w:rsidP="00C33834">
      <w:pPr>
        <w:spacing w:after="0" w:line="240" w:lineRule="auto"/>
        <w:jc w:val="both"/>
        <w:rPr>
          <w:rFonts w:ascii="Times New Roman" w:hAnsi="Times New Roman"/>
          <w:color w:val="0070C0"/>
          <w:sz w:val="16"/>
          <w:szCs w:val="16"/>
        </w:rPr>
      </w:pPr>
    </w:p>
    <w:p w14:paraId="36E87AAB"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14 ноября 1933 года опытный Потез 540.01 был обле</w:t>
      </w:r>
      <w:r w:rsidRPr="00C33834">
        <w:rPr>
          <w:rFonts w:ascii="Times New Roman" w:hAnsi="Times New Roman"/>
          <w:color w:val="0070C0"/>
          <w:sz w:val="16"/>
          <w:szCs w:val="16"/>
        </w:rPr>
        <w:softHyphen/>
        <w:t>тан. Первый этап испытаний, проводившихся пилота</w:t>
      </w:r>
      <w:r w:rsidRPr="00C33834">
        <w:rPr>
          <w:rFonts w:ascii="Times New Roman" w:hAnsi="Times New Roman"/>
          <w:color w:val="0070C0"/>
          <w:sz w:val="16"/>
          <w:szCs w:val="16"/>
        </w:rPr>
        <w:softHyphen/>
        <w:t>ми фирмы, прошел успешно, и маши</w:t>
      </w:r>
      <w:r w:rsidRPr="00C33834">
        <w:rPr>
          <w:rFonts w:ascii="Times New Roman" w:hAnsi="Times New Roman"/>
          <w:color w:val="0070C0"/>
          <w:sz w:val="16"/>
          <w:szCs w:val="16"/>
        </w:rPr>
        <w:softHyphen/>
        <w:t>на была включена в список №1 при</w:t>
      </w:r>
      <w:r w:rsidRPr="00C33834">
        <w:rPr>
          <w:rFonts w:ascii="Times New Roman" w:hAnsi="Times New Roman"/>
          <w:color w:val="0070C0"/>
          <w:sz w:val="16"/>
          <w:szCs w:val="16"/>
        </w:rPr>
        <w:softHyphen/>
        <w:t>оритетных боевых самолетов. Военное министерство оплатило постройку первого прототипа, а также выдало фирме заказ на два дополнительных опытных экземпляра и 40 серийных, с перспективой постройки еще 200 бом</w:t>
      </w:r>
      <w:r w:rsidRPr="00C33834">
        <w:rPr>
          <w:rFonts w:ascii="Times New Roman" w:hAnsi="Times New Roman"/>
          <w:color w:val="0070C0"/>
          <w:sz w:val="16"/>
          <w:szCs w:val="16"/>
        </w:rPr>
        <w:softHyphen/>
        <w:t>бардировщиков этого типа.</w:t>
      </w:r>
    </w:p>
    <w:p w14:paraId="0FB6D45B"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Но в это время правительство ушло в отставку, а новый министр авиа</w:t>
      </w:r>
      <w:r w:rsidRPr="00C33834">
        <w:rPr>
          <w:rFonts w:ascii="Times New Roman" w:hAnsi="Times New Roman"/>
          <w:color w:val="0070C0"/>
          <w:sz w:val="16"/>
          <w:szCs w:val="16"/>
        </w:rPr>
        <w:softHyphen/>
        <w:t>ции, социалист Пьер Кот (Pierre Cot), имел свои взгляды на развитие ВВС. Военная авиация получала больше самостоятельности, а акценты в ее де</w:t>
      </w:r>
      <w:r w:rsidRPr="00C33834">
        <w:rPr>
          <w:rFonts w:ascii="Times New Roman" w:hAnsi="Times New Roman"/>
          <w:color w:val="0070C0"/>
          <w:sz w:val="16"/>
          <w:szCs w:val="16"/>
        </w:rPr>
        <w:softHyphen/>
        <w:t>ятельности смещались в сторону более активных наступательных стратегий, предусматривающих не только удары по позициям войск противника, но и налеты на его тыловые объекты. В ре</w:t>
      </w:r>
      <w:r w:rsidRPr="00C33834">
        <w:rPr>
          <w:rFonts w:ascii="Times New Roman" w:hAnsi="Times New Roman"/>
          <w:color w:val="0070C0"/>
          <w:sz w:val="16"/>
          <w:szCs w:val="16"/>
        </w:rPr>
        <w:softHyphen/>
        <w:t>зультате появился новый класс боевых самолетов - Multiplace de Combat или многоместный боевой самолет.</w:t>
      </w:r>
    </w:p>
    <w:p w14:paraId="73FD5F8D"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От фирмы «Потез» потребовали увеличить дальность без бомб до 1200 км. Такое расстояние самолет преодо</w:t>
      </w:r>
      <w:r w:rsidRPr="00C33834">
        <w:rPr>
          <w:rFonts w:ascii="Times New Roman" w:hAnsi="Times New Roman"/>
          <w:color w:val="0070C0"/>
          <w:sz w:val="16"/>
          <w:szCs w:val="16"/>
        </w:rPr>
        <w:softHyphen/>
        <w:t>левал более шести часов, и военные захотели ввести в экипаж второго пилота. Вместо обычных двухлопас</w:t>
      </w:r>
      <w:r w:rsidRPr="00C33834">
        <w:rPr>
          <w:rFonts w:ascii="Times New Roman" w:hAnsi="Times New Roman"/>
          <w:color w:val="0070C0"/>
          <w:sz w:val="16"/>
          <w:szCs w:val="16"/>
        </w:rPr>
        <w:softHyphen/>
        <w:t>тных деревянных воздушных винтов установили новинку - металлические трехлопастные винты изменяемого шага, которые работали с максималь</w:t>
      </w:r>
      <w:r w:rsidRPr="00C33834">
        <w:rPr>
          <w:rFonts w:ascii="Times New Roman" w:hAnsi="Times New Roman"/>
          <w:color w:val="0070C0"/>
          <w:sz w:val="16"/>
          <w:szCs w:val="16"/>
        </w:rPr>
        <w:softHyphen/>
        <w:t>ным КПД и на взлете, и на большой скорости.</w:t>
      </w:r>
    </w:p>
    <w:p w14:paraId="5A47A2C6"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После устранения дефектов и замены оригинального двухкилево</w:t>
      </w:r>
      <w:r w:rsidRPr="00C33834">
        <w:rPr>
          <w:rFonts w:ascii="Times New Roman" w:hAnsi="Times New Roman"/>
          <w:color w:val="0070C0"/>
          <w:sz w:val="16"/>
          <w:szCs w:val="16"/>
        </w:rPr>
        <w:softHyphen/>
        <w:t>го оперения обычным, а также пере</w:t>
      </w:r>
      <w:r w:rsidRPr="00C33834">
        <w:rPr>
          <w:rFonts w:ascii="Times New Roman" w:hAnsi="Times New Roman"/>
          <w:color w:val="0070C0"/>
          <w:sz w:val="16"/>
          <w:szCs w:val="16"/>
        </w:rPr>
        <w:softHyphen/>
        <w:t>делки стрелковых точек под новые 7,5 мм пулеметы «Дарн» машина пошла в серийное производство под названием Потез 540М5. Всего для ВВС и Авиа</w:t>
      </w:r>
      <w:r w:rsidRPr="00C33834">
        <w:rPr>
          <w:rFonts w:ascii="Times New Roman" w:hAnsi="Times New Roman"/>
          <w:color w:val="0070C0"/>
          <w:sz w:val="16"/>
          <w:szCs w:val="16"/>
        </w:rPr>
        <w:softHyphen/>
        <w:t>ции ВМС Франции в 1935, 1936 и 1937 годах было построено соответственно 64, 116 и 40 самолетов этой модифика</w:t>
      </w:r>
      <w:r w:rsidRPr="00C33834">
        <w:rPr>
          <w:rFonts w:ascii="Times New Roman" w:hAnsi="Times New Roman"/>
          <w:color w:val="0070C0"/>
          <w:sz w:val="16"/>
          <w:szCs w:val="16"/>
        </w:rPr>
        <w:softHyphen/>
        <w:t>ции.</w:t>
      </w:r>
    </w:p>
    <w:p w14:paraId="093C7E31"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 1934 году были построены две опытных модификации Потеза 54, отличающиеся силовой установкой. На «модель 541» поставили звездооб</w:t>
      </w:r>
      <w:r w:rsidRPr="00C33834">
        <w:rPr>
          <w:rFonts w:ascii="Times New Roman" w:hAnsi="Times New Roman"/>
          <w:color w:val="0070C0"/>
          <w:sz w:val="16"/>
          <w:szCs w:val="16"/>
          <w:lang w:eastAsia="ru-RU" w:bidi="ru-RU"/>
        </w:rPr>
        <w:softHyphen/>
        <w:t xml:space="preserve">разные «Гном-Рон» </w:t>
      </w:r>
      <w:r w:rsidRPr="00C33834">
        <w:rPr>
          <w:rFonts w:ascii="Times New Roman" w:hAnsi="Times New Roman"/>
          <w:color w:val="0070C0"/>
          <w:sz w:val="16"/>
          <w:szCs w:val="16"/>
          <w:lang w:val="en-US" w:bidi="en-US"/>
        </w:rPr>
        <w:t>GR</w:t>
      </w:r>
      <w:r w:rsidRPr="00C33834">
        <w:rPr>
          <w:rFonts w:ascii="Times New Roman" w:hAnsi="Times New Roman"/>
          <w:color w:val="0070C0"/>
          <w:sz w:val="16"/>
          <w:szCs w:val="16"/>
          <w:lang w:bidi="en-US"/>
        </w:rPr>
        <w:t>14</w:t>
      </w:r>
      <w:r w:rsidRPr="00C33834">
        <w:rPr>
          <w:rFonts w:ascii="Times New Roman" w:hAnsi="Times New Roman"/>
          <w:color w:val="0070C0"/>
          <w:sz w:val="16"/>
          <w:szCs w:val="16"/>
          <w:lang w:val="en-US" w:bidi="en-US"/>
        </w:rPr>
        <w:t>Kdrs</w:t>
      </w:r>
      <w:r w:rsidRPr="00C33834">
        <w:rPr>
          <w:rFonts w:ascii="Times New Roman" w:hAnsi="Times New Roman"/>
          <w:color w:val="0070C0"/>
          <w:sz w:val="16"/>
          <w:szCs w:val="16"/>
          <w:lang w:bidi="en-US"/>
        </w:rPr>
        <w:t xml:space="preserve"> </w:t>
      </w:r>
      <w:r w:rsidRPr="00C33834">
        <w:rPr>
          <w:rFonts w:ascii="Times New Roman" w:hAnsi="Times New Roman"/>
          <w:color w:val="0070C0"/>
          <w:sz w:val="16"/>
          <w:szCs w:val="16"/>
          <w:lang w:eastAsia="ru-RU" w:bidi="ru-RU"/>
        </w:rPr>
        <w:t>по 860 л.с., а на «модель 542» - рядные Лорэн «Петрель» по 720 л.с. Второй вариант оказался лучше, и в 1936 году по зака</w:t>
      </w:r>
      <w:r w:rsidRPr="00C33834">
        <w:rPr>
          <w:rFonts w:ascii="Times New Roman" w:hAnsi="Times New Roman"/>
          <w:color w:val="0070C0"/>
          <w:sz w:val="16"/>
          <w:szCs w:val="16"/>
          <w:lang w:eastAsia="ru-RU" w:bidi="ru-RU"/>
        </w:rPr>
        <w:softHyphen/>
        <w:t>зу ВВС Франции было построено 39 таких машин и еще 24 - в следующем году. Для действий в колониях было построено 36 самолетов Потез 542ТОЕ с упрощенным оборудованием и воо</w:t>
      </w:r>
      <w:r w:rsidRPr="00C33834">
        <w:rPr>
          <w:rFonts w:ascii="Times New Roman" w:hAnsi="Times New Roman"/>
          <w:color w:val="0070C0"/>
          <w:sz w:val="16"/>
          <w:szCs w:val="16"/>
          <w:lang w:eastAsia="ru-RU" w:bidi="ru-RU"/>
        </w:rPr>
        <w:softHyphen/>
        <w:t>ружением. А «541-й» приглянулся Ру</w:t>
      </w:r>
      <w:r w:rsidRPr="00C33834">
        <w:rPr>
          <w:rFonts w:ascii="Times New Roman" w:hAnsi="Times New Roman"/>
          <w:color w:val="0070C0"/>
          <w:sz w:val="16"/>
          <w:szCs w:val="16"/>
          <w:lang w:eastAsia="ru-RU" w:bidi="ru-RU"/>
        </w:rPr>
        <w:softHyphen/>
        <w:t>мынии, которая заказала 10 самолетов этого типа, правда, реально получила лишь восемь</w:t>
      </w:r>
      <w:r w:rsidRPr="00C33834">
        <w:rPr>
          <w:rFonts w:ascii="Times New Roman" w:hAnsi="Times New Roman"/>
          <w:color w:val="0070C0"/>
          <w:sz w:val="16"/>
          <w:szCs w:val="16"/>
        </w:rPr>
        <w:t xml:space="preserve"> (22797).</w:t>
      </w:r>
    </w:p>
    <w:p w14:paraId="70C1E5BB" w14:textId="77777777" w:rsidR="00C335AB" w:rsidRPr="00C33834" w:rsidRDefault="00C335AB" w:rsidP="00C33834">
      <w:pPr>
        <w:spacing w:after="0" w:line="240" w:lineRule="auto"/>
        <w:jc w:val="both"/>
        <w:rPr>
          <w:rFonts w:ascii="Times New Roman" w:hAnsi="Times New Roman"/>
          <w:color w:val="0070C0"/>
          <w:sz w:val="16"/>
          <w:szCs w:val="16"/>
        </w:rPr>
      </w:pPr>
    </w:p>
    <w:p w14:paraId="5DA49FB6"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F8FE369"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1E13E1E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ноября 1933 закончилось проектирование МДР-4 3М-34РН, которое началось в мае 1933 (2287,128).</w:t>
      </w:r>
    </w:p>
    <w:p w14:paraId="7BCE1B94"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2D04F39A" w14:textId="77777777" w:rsidR="00CE750F" w:rsidRPr="00C33834" w:rsidRDefault="00CE750F" w:rsidP="00C33834">
      <w:pPr>
        <w:pStyle w:val="rtejustify"/>
        <w:spacing w:before="0" w:after="0"/>
        <w:rPr>
          <w:color w:val="000000" w:themeColor="text1"/>
          <w:sz w:val="16"/>
          <w:szCs w:val="16"/>
        </w:rPr>
      </w:pPr>
      <w:r w:rsidRPr="00C33834">
        <w:rPr>
          <w:rStyle w:val="af0"/>
          <w:bCs/>
          <w:i w:val="0"/>
          <w:color w:val="000000" w:themeColor="text1"/>
          <w:sz w:val="16"/>
          <w:szCs w:val="16"/>
        </w:rPr>
        <w:t>15 ноября</w:t>
      </w:r>
      <w:r w:rsidRPr="00C33834">
        <w:rPr>
          <w:color w:val="000000" w:themeColor="text1"/>
          <w:sz w:val="16"/>
          <w:szCs w:val="16"/>
        </w:rPr>
        <w:t xml:space="preserve"> 1933. Постановление СНК СССР № 2484/583с «О постройке морского гидросамолета». (РГАЭ. Ф. 8328. Оп. 1. Д. 687. Л. 18) (15460).</w:t>
      </w:r>
    </w:p>
    <w:p w14:paraId="32023815" w14:textId="77777777" w:rsidR="00CE750F" w:rsidRPr="00C33834" w:rsidRDefault="00CE750F" w:rsidP="00C33834">
      <w:pPr>
        <w:pStyle w:val="rtejustify"/>
        <w:spacing w:before="0" w:after="0"/>
        <w:rPr>
          <w:color w:val="000000" w:themeColor="text1"/>
          <w:sz w:val="16"/>
          <w:szCs w:val="16"/>
        </w:rPr>
      </w:pPr>
    </w:p>
    <w:p w14:paraId="1A2E4F0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ноября 1933 года МК ВКП(б ) был рассмотрен вопрос о постройке плотины на Москва реке в районе с. Михайловского для развития гидросамолетостроения, проект был готов, но недостаточность финансирования задерживало строительство плотины (4188,57-58).</w:t>
      </w:r>
    </w:p>
    <w:p w14:paraId="7D9996E0"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083E147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ноября 1933 РНИИ был передан в систему НКТП (377,100).</w:t>
      </w:r>
    </w:p>
    <w:p w14:paraId="50A34A08"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235BEEF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15 ноября 1933 т. Эйдеманом и Ильиным были разрешены работы по усовершенствованию и оборудованию стратостата: в том числе предусматривалась постановка новых строп, облегчения сети для гондолы, оснастка оболочки новым такелажем, монтаж гондолы. На заседании консультационного совета в Ленинграде т. Федосеенко доложил о всех работах и просил установить место старта, т. к. Эйдеман не возражал, если будет вылет не из Москвы. Т. Дмитриеву было предложено детально проработать старт зимой, д-ру Бресткину все вопросы об обеспеченности полета продолжительностью на 6 часов. Главная Геофизическая обсерватория 17 ноября сообщила, что благоприятные условия для полета в стратосферу можно ожидать в период 20-24 декабря и около 20-21 января, а также конец января. </w:t>
      </w:r>
    </w:p>
    <w:p w14:paraId="18EB86A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в декабре не состоялся вследствие неполного оборудования приборами и неготовности всех деталей к окончательному монтажу стратостата к полету. За этот период т. Федосеенко и Васенко освоились с органами управления и закончили основные работы по подготовке к монтажу. Тов. Усыскин в меньшей степени готовился к полету и считал свой полет излишним, т. к. выяснилось, что камера Вильсона для наблюдения за космическими лучами в зимних условиях не будет пригодна и заменялась приборами Гесслера. Все инструкции по обращению с приборами были переданы составу экипажа. Практическое их освоение проводилось распоряжением и под наблюдением т. Федосеенко, контроль подготовки осуществлялся спорадически по инициативе отдельных специалистов (11611).</w:t>
      </w:r>
    </w:p>
    <w:p w14:paraId="1E9A4183"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1DEFD04B"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ноября 1933 г. предста</w:t>
      </w:r>
      <w:r w:rsidRPr="00C33834">
        <w:rPr>
          <w:rFonts w:ascii="Times New Roman" w:hAnsi="Times New Roman"/>
          <w:color w:val="0070C0"/>
          <w:sz w:val="16"/>
          <w:szCs w:val="16"/>
        </w:rPr>
        <w:softHyphen/>
        <w:t>вители «Дирижаблестроя», НИИ ВВС и УВВС рассмотрели и утвердили эскизный проект мо</w:t>
      </w:r>
      <w:r w:rsidRPr="00C33834">
        <w:rPr>
          <w:rFonts w:ascii="Times New Roman" w:hAnsi="Times New Roman"/>
          <w:color w:val="0070C0"/>
          <w:sz w:val="16"/>
          <w:szCs w:val="16"/>
        </w:rPr>
        <w:softHyphen/>
        <w:t>торизованного аэростата «С-1-С» («С-2»). Обо</w:t>
      </w:r>
      <w:r w:rsidRPr="00C33834">
        <w:rPr>
          <w:rFonts w:ascii="Times New Roman" w:hAnsi="Times New Roman"/>
          <w:color w:val="0070C0"/>
          <w:sz w:val="16"/>
          <w:szCs w:val="16"/>
        </w:rPr>
        <w:softHyphen/>
        <w:t>лочка выполнялась по образцу оболочки «С-1». Гондола — цельносварная, обтекаемая, длиной 3,3 м, высотой 1,4 м и шириной 0,8 м. Исходя из опыта испытаний «С-1» прочность оперения увеличили вдвое. По сравнению с «С-1» общий вес аэростата уменьшился приблизительно на 100 кг. Предполагалось доработать шахту для пу</w:t>
      </w:r>
      <w:r w:rsidRPr="00C33834">
        <w:rPr>
          <w:rFonts w:ascii="Times New Roman" w:hAnsi="Times New Roman"/>
          <w:color w:val="0070C0"/>
          <w:sz w:val="16"/>
          <w:szCs w:val="16"/>
        </w:rPr>
        <w:softHyphen/>
        <w:t>лемётного гнезда. На этом же совещании приня</w:t>
      </w:r>
      <w:r w:rsidRPr="00C33834">
        <w:rPr>
          <w:rFonts w:ascii="Times New Roman" w:hAnsi="Times New Roman"/>
          <w:color w:val="0070C0"/>
          <w:sz w:val="16"/>
          <w:szCs w:val="16"/>
        </w:rPr>
        <w:softHyphen/>
        <w:t>ли решение запустить моторизованный аэростат в серию. В ЦАГИ построили гондолу и оперение нового моторизованного аэростата.</w:t>
      </w:r>
    </w:p>
    <w:p w14:paraId="14168166"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Данных по дальнейшей работе над аэростатом «С-2» в архивах обнаружить не удалось. Извест</w:t>
      </w:r>
      <w:r w:rsidRPr="00C33834">
        <w:rPr>
          <w:rFonts w:ascii="Times New Roman" w:hAnsi="Times New Roman"/>
          <w:color w:val="0070C0"/>
          <w:sz w:val="16"/>
          <w:szCs w:val="16"/>
        </w:rPr>
        <w:softHyphen/>
        <w:t>но только, что работы над моторизованными аэростатами в СССР продолжались. В 1938 г. ди</w:t>
      </w:r>
      <w:r w:rsidRPr="00C33834">
        <w:rPr>
          <w:rFonts w:ascii="Times New Roman" w:hAnsi="Times New Roman"/>
          <w:color w:val="0070C0"/>
          <w:sz w:val="16"/>
          <w:szCs w:val="16"/>
        </w:rPr>
        <w:softHyphen/>
        <w:t>ректор завода № 207 НКАП Шитенев запросил в Управлении 31 октября 1933 г. в Большом конференц-зале АН СССР состоялось организованное Всесоюзной конферен</w:t>
      </w:r>
      <w:r w:rsidRPr="00C33834">
        <w:rPr>
          <w:rFonts w:ascii="Times New Roman" w:hAnsi="Times New Roman"/>
          <w:color w:val="0070C0"/>
          <w:sz w:val="16"/>
          <w:szCs w:val="16"/>
        </w:rPr>
        <w:softHyphen/>
        <w:t>ции по изучению стратосферы совместно с Ле</w:t>
      </w:r>
      <w:r w:rsidRPr="00C33834">
        <w:rPr>
          <w:rFonts w:ascii="Times New Roman" w:hAnsi="Times New Roman"/>
          <w:color w:val="0070C0"/>
          <w:sz w:val="16"/>
          <w:szCs w:val="16"/>
        </w:rPr>
        <w:softHyphen/>
        <w:t>нинградским областным советом Осоавиахима общегородское научное собрание, посвящённое итогам первого советского полёта в стратосферу. На совещании выяснилось отсутствие в стране «объёдиненного авторитетного советского науч</w:t>
      </w:r>
      <w:r w:rsidRPr="00C33834">
        <w:rPr>
          <w:rFonts w:ascii="Times New Roman" w:hAnsi="Times New Roman"/>
          <w:color w:val="0070C0"/>
          <w:sz w:val="16"/>
          <w:szCs w:val="16"/>
        </w:rPr>
        <w:softHyphen/>
        <w:t>ного центра, который в плановом порядке и ком</w:t>
      </w:r>
      <w:r w:rsidRPr="00C33834">
        <w:rPr>
          <w:rFonts w:ascii="Times New Roman" w:hAnsi="Times New Roman"/>
          <w:color w:val="0070C0"/>
          <w:sz w:val="16"/>
          <w:szCs w:val="16"/>
        </w:rPr>
        <w:softHyphen/>
        <w:t>плексным методом мог бы ставить и разрешать актуальные специальные научные, технические, народнохозяйственные и оборонные проблемы изучения и овладения стратосферой». Учёные обратилась в Президиум АН СССР с докладной запиской о созыве весной 1934 г. Всесоюзной конференции по изучению стратосферы (20120).</w:t>
      </w:r>
    </w:p>
    <w:p w14:paraId="3E6EE9B7" w14:textId="77777777" w:rsidR="00C335AB" w:rsidRPr="00C33834" w:rsidRDefault="00C335AB" w:rsidP="00C33834">
      <w:pPr>
        <w:spacing w:after="0" w:line="240" w:lineRule="auto"/>
        <w:jc w:val="both"/>
        <w:rPr>
          <w:rFonts w:ascii="Times New Roman" w:hAnsi="Times New Roman"/>
          <w:color w:val="0070C0"/>
          <w:sz w:val="16"/>
          <w:szCs w:val="16"/>
        </w:rPr>
      </w:pPr>
    </w:p>
    <w:p w14:paraId="1ED00DF1" w14:textId="77777777" w:rsidR="00CE750F"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EB397BD" w14:textId="77777777" w:rsidR="00CE750F" w:rsidRPr="00C33834" w:rsidRDefault="00CE750F" w:rsidP="00C33834">
      <w:pPr>
        <w:spacing w:after="0" w:line="240" w:lineRule="auto"/>
        <w:jc w:val="both"/>
        <w:rPr>
          <w:rFonts w:ascii="Times New Roman" w:hAnsi="Times New Roman"/>
          <w:iCs/>
          <w:color w:val="000000" w:themeColor="text1"/>
          <w:sz w:val="16"/>
          <w:szCs w:val="16"/>
        </w:rPr>
      </w:pPr>
    </w:p>
    <w:p w14:paraId="3AD1088C" w14:textId="77777777" w:rsidR="00CE750F" w:rsidRPr="00C33834" w:rsidRDefault="00CE750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ноября 1933 была пущена первая домна на Запорожстали (1348,200).</w:t>
      </w:r>
    </w:p>
    <w:p w14:paraId="0041C95E" w14:textId="77777777" w:rsidR="00CE750F" w:rsidRPr="00C33834" w:rsidRDefault="00CE750F" w:rsidP="00C33834">
      <w:pPr>
        <w:spacing w:after="0" w:line="240" w:lineRule="auto"/>
        <w:jc w:val="both"/>
        <w:rPr>
          <w:rFonts w:ascii="Times New Roman" w:hAnsi="Times New Roman"/>
          <w:color w:val="000000" w:themeColor="text1"/>
          <w:sz w:val="16"/>
          <w:szCs w:val="16"/>
        </w:rPr>
      </w:pPr>
    </w:p>
    <w:p w14:paraId="76D6BAD7" w14:textId="77777777" w:rsidR="00CE750F" w:rsidRPr="00C33834" w:rsidRDefault="00CE750F"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 xml:space="preserve">15 ноября </w:t>
      </w:r>
      <w:r w:rsidRPr="00C33834">
        <w:rPr>
          <w:rFonts w:ascii="Times New Roman" w:hAnsi="Times New Roman"/>
          <w:color w:val="000000" w:themeColor="text1"/>
          <w:sz w:val="16"/>
          <w:szCs w:val="16"/>
        </w:rPr>
        <w:t>в 1933 году состоялся пуск первой очереди Запорожского металлургического завода (ныне — ОАО "Запорожский металлургический комбинат "Запорожсталь", Украина) (14831).</w:t>
      </w:r>
    </w:p>
    <w:p w14:paraId="26CAC3F1" w14:textId="77777777" w:rsidR="00CE750F" w:rsidRPr="00C33834" w:rsidRDefault="00CE750F" w:rsidP="00C33834">
      <w:pPr>
        <w:spacing w:after="0" w:line="240" w:lineRule="auto"/>
        <w:jc w:val="both"/>
        <w:rPr>
          <w:rFonts w:ascii="Times New Roman" w:hAnsi="Times New Roman"/>
          <w:color w:val="000000" w:themeColor="text1"/>
          <w:sz w:val="16"/>
          <w:szCs w:val="16"/>
        </w:rPr>
      </w:pPr>
    </w:p>
    <w:p w14:paraId="2510F1DD"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ноября 1933 в 5 часов утра из Ярославля в Мос</w:t>
      </w:r>
      <w:r w:rsidRPr="00C33834">
        <w:rPr>
          <w:rFonts w:ascii="Times New Roman" w:hAnsi="Times New Roman"/>
          <w:color w:val="0070C0"/>
          <w:sz w:val="16"/>
          <w:szCs w:val="16"/>
        </w:rPr>
        <w:softHyphen/>
        <w:t>кву отправилась колонна грузовиков - участников первого дизельного пробега по маршруту Ярос</w:t>
      </w:r>
      <w:r w:rsidRPr="00C33834">
        <w:rPr>
          <w:rFonts w:ascii="Times New Roman" w:hAnsi="Times New Roman"/>
          <w:color w:val="0070C0"/>
          <w:sz w:val="16"/>
          <w:szCs w:val="16"/>
        </w:rPr>
        <w:softHyphen/>
        <w:t>лавль - Москва - Ярославль. Впереди шли два гру</w:t>
      </w:r>
      <w:r w:rsidRPr="00C33834">
        <w:rPr>
          <w:rFonts w:ascii="Times New Roman" w:hAnsi="Times New Roman"/>
          <w:color w:val="0070C0"/>
          <w:sz w:val="16"/>
          <w:szCs w:val="16"/>
        </w:rPr>
        <w:softHyphen/>
        <w:t>зовика с дизелями Коджу, изготовленные к но</w:t>
      </w:r>
      <w:r w:rsidRPr="00C33834">
        <w:rPr>
          <w:rFonts w:ascii="Times New Roman" w:hAnsi="Times New Roman"/>
          <w:color w:val="0070C0"/>
          <w:sz w:val="16"/>
          <w:szCs w:val="16"/>
        </w:rPr>
        <w:softHyphen/>
        <w:t>ябрьским праздникам. Двигатели Коджу испытыва</w:t>
      </w:r>
      <w:r w:rsidRPr="00C33834">
        <w:rPr>
          <w:rFonts w:ascii="Times New Roman" w:hAnsi="Times New Roman"/>
          <w:color w:val="0070C0"/>
          <w:sz w:val="16"/>
          <w:szCs w:val="16"/>
        </w:rPr>
        <w:softHyphen/>
        <w:t>лись вместе с дизелями MAH, МВМ, АЕС и Дейтц. Дизели Коджу первое серьезное испытание выдер</w:t>
      </w:r>
      <w:r w:rsidRPr="00C33834">
        <w:rPr>
          <w:rFonts w:ascii="Times New Roman" w:hAnsi="Times New Roman"/>
          <w:color w:val="0070C0"/>
          <w:sz w:val="16"/>
          <w:szCs w:val="16"/>
        </w:rPr>
        <w:softHyphen/>
        <w:t>жали. Участники пробега докладывали: «Всю дорогу не было аварий. А из четырех иностранных дизелей три выбыли из строя» (22518).</w:t>
      </w:r>
    </w:p>
    <w:p w14:paraId="161B6AFA" w14:textId="77777777" w:rsidR="00C335AB" w:rsidRPr="00C33834" w:rsidRDefault="00C335AB" w:rsidP="00C33834">
      <w:pPr>
        <w:spacing w:after="0" w:line="240" w:lineRule="auto"/>
        <w:jc w:val="both"/>
        <w:rPr>
          <w:rFonts w:ascii="Times New Roman" w:hAnsi="Times New Roman"/>
          <w:color w:val="0070C0"/>
          <w:sz w:val="16"/>
          <w:szCs w:val="16"/>
        </w:rPr>
      </w:pPr>
    </w:p>
    <w:p w14:paraId="7BEF81FE"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ноября 1933 в Москве начали возить пассажиров троллейбусы, которые получили название «Лазарь Каганович» (ЛК), в честь секретаря московского ЦК ВКП(б) Л. Кагановича. Курировал троллейбусную тему заместитель секретаря Никита Сергеевич Хрущев, который и предложил название.</w:t>
      </w:r>
    </w:p>
    <w:p w14:paraId="2E5AEC5A"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Кузов троллейбуса, разработанный известным инженером И. Германом, представлял собой деревянный каркас из дубовых стоек и брусков, скрепленных между собой металлическими уголками. Снаружи троллейбус обшивался листовым металлом, а внутри — фанерой, которая обклеивалась дерматином. Кузов устанавливался на раму сварной и клепанной конструкции из прокатных швеллеров. Кабина водителя имела отдельные двери с левой стороны и была отделена от салона перегородкой. Пассажирских дверей, которые открывались механически, было двое: передними одностворчатыми дверьми управлял водитель, а задними двухстворчатыми — кондуктор или пассажиры. В салоне троллейбуса могло разместиться 36 пассажиров на мягких сиденьях и 10 могло ехать стоя. Освещение и отопление салона питалось от 550 В. В холодное время года салон отапливался четырьмя 500-ваттными электропечами, установленными под пассажирскими сидениями. В целом уровень комфорта для пассажиров был куда более высоким, чем в автобусах, а тем более трамваях, того времени (22735).</w:t>
      </w:r>
    </w:p>
    <w:p w14:paraId="712A14EE" w14:textId="77777777" w:rsidR="00C335AB" w:rsidRPr="00C33834" w:rsidRDefault="00C335AB" w:rsidP="00C33834">
      <w:pPr>
        <w:spacing w:after="0" w:line="240" w:lineRule="auto"/>
        <w:jc w:val="both"/>
        <w:rPr>
          <w:rFonts w:ascii="Times New Roman" w:hAnsi="Times New Roman"/>
          <w:color w:val="0070C0"/>
          <w:sz w:val="16"/>
          <w:szCs w:val="16"/>
        </w:rPr>
      </w:pPr>
    </w:p>
    <w:p w14:paraId="34E3BB6F"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ноября 1933 состоялось заседание ПБ и был оформлен протокол № 149</w:t>
      </w:r>
    </w:p>
    <w:p w14:paraId="1F9A5729"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 немцах (т. Акулов)</w:t>
      </w:r>
    </w:p>
    <w:p w14:paraId="7F0E7E75"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Выслать арестованных немецких шпионов за пре</w:t>
      </w:r>
      <w:r w:rsidRPr="00C33834">
        <w:rPr>
          <w:rFonts w:ascii="Times New Roman" w:hAnsi="Times New Roman"/>
          <w:color w:val="0070C0"/>
          <w:sz w:val="16"/>
          <w:szCs w:val="16"/>
        </w:rPr>
        <w:softHyphen/>
        <w:t>делы СССР.</w:t>
      </w:r>
    </w:p>
    <w:p w14:paraId="6A16420B"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Акулову, Менжинскому.</w:t>
      </w:r>
    </w:p>
    <w:p w14:paraId="72F07D6E"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ноября 1933 опросом членов ПБ</w:t>
      </w:r>
    </w:p>
    <w:p w14:paraId="0F08D236"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36/22.- Доклад т. Гамарника о постройке подлодок типа "Малютка",</w:t>
      </w:r>
    </w:p>
    <w:p w14:paraId="60750ECC"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Утвердить разработанный комиссией т. Гамарника совместно с директорами заводов им.Марти и им.*61" график постройки и сдачи 20 подлодок типа "М" в 1933г.</w:t>
      </w:r>
    </w:p>
    <w:p w14:paraId="05C59642"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Произвести на всех подлодках типа "М" до их сдачи НКВМору намеченные комиссией т. Гамарника исправ</w:t>
      </w:r>
      <w:r w:rsidRPr="00C33834">
        <w:rPr>
          <w:rFonts w:ascii="Times New Roman" w:hAnsi="Times New Roman"/>
          <w:color w:val="0070C0"/>
          <w:sz w:val="16"/>
          <w:szCs w:val="16"/>
        </w:rPr>
        <w:softHyphen/>
        <w:t>ления, выявленных на испытаниях конструктивных дефек</w:t>
      </w:r>
      <w:r w:rsidRPr="00C33834">
        <w:rPr>
          <w:rFonts w:ascii="Times New Roman" w:hAnsi="Times New Roman"/>
          <w:color w:val="0070C0"/>
          <w:sz w:val="16"/>
          <w:szCs w:val="16"/>
        </w:rPr>
        <w:softHyphen/>
        <w:t>тов, безусловно добившись полного обеспечения подлодок от всплытия при двухторпедном залпе.а также увеличе</w:t>
      </w:r>
      <w:r w:rsidRPr="00C33834">
        <w:rPr>
          <w:rFonts w:ascii="Times New Roman" w:hAnsi="Times New Roman"/>
          <w:color w:val="0070C0"/>
          <w:sz w:val="16"/>
          <w:szCs w:val="16"/>
        </w:rPr>
        <w:softHyphen/>
        <w:t>ния подводной скорости хода до 6-6,5 узлов.</w:t>
      </w:r>
    </w:p>
    <w:p w14:paraId="082215E8"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Отправить на Д.В. первые три подлодки 1-го де</w:t>
      </w:r>
      <w:r w:rsidRPr="00C33834">
        <w:rPr>
          <w:rFonts w:ascii="Times New Roman" w:hAnsi="Times New Roman"/>
          <w:color w:val="0070C0"/>
          <w:sz w:val="16"/>
          <w:szCs w:val="16"/>
        </w:rPr>
        <w:softHyphen/>
        <w:t>кабря 1933 г. и следующие три подлодки 15-го декабря 1933 г. с установкой на них, в виде исключения, аппара</w:t>
      </w:r>
      <w:r w:rsidRPr="00C33834">
        <w:rPr>
          <w:rFonts w:ascii="Times New Roman" w:hAnsi="Times New Roman"/>
          <w:color w:val="0070C0"/>
          <w:sz w:val="16"/>
          <w:szCs w:val="16"/>
        </w:rPr>
        <w:softHyphen/>
        <w:t>туры .гарантирующей подлодку от всплытия при выстреле одной торпедой. Оборудование этих шести подлодок ап</w:t>
      </w:r>
      <w:r w:rsidRPr="00C33834">
        <w:rPr>
          <w:rFonts w:ascii="Times New Roman" w:hAnsi="Times New Roman"/>
          <w:color w:val="0070C0"/>
          <w:sz w:val="16"/>
          <w:szCs w:val="16"/>
        </w:rPr>
        <w:softHyphen/>
        <w:t>паратурой .обеспечивающей подлодку от всплытия при двухторпедном залпе.произвести на Д.В.</w:t>
      </w:r>
    </w:p>
    <w:p w14:paraId="1EAF140A"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Принимая во внимание неудовлетворительное со</w:t>
      </w:r>
      <w:r w:rsidRPr="00C33834">
        <w:rPr>
          <w:rFonts w:ascii="Times New Roman" w:hAnsi="Times New Roman"/>
          <w:color w:val="0070C0"/>
          <w:sz w:val="16"/>
          <w:szCs w:val="16"/>
        </w:rPr>
        <w:softHyphen/>
        <w:t>стояние зав. им. Марти и зав. им."61".предложить т. Орд</w:t>
      </w:r>
      <w:r w:rsidRPr="00C33834">
        <w:rPr>
          <w:rFonts w:ascii="Times New Roman" w:hAnsi="Times New Roman"/>
          <w:color w:val="0070C0"/>
          <w:sz w:val="16"/>
          <w:szCs w:val="16"/>
        </w:rPr>
        <w:softHyphen/>
        <w:t>жоникидзе в двухдекадный срок разработать и доложить ЦК ВКП(б) мероприятия.обеспечивающие выполнение про</w:t>
      </w:r>
      <w:r w:rsidRPr="00C33834">
        <w:rPr>
          <w:rFonts w:ascii="Times New Roman" w:hAnsi="Times New Roman"/>
          <w:color w:val="0070C0"/>
          <w:sz w:val="16"/>
          <w:szCs w:val="16"/>
        </w:rPr>
        <w:softHyphen/>
        <w:t>граммы военно-морского судостроения в 1934 г. на этих заводах.</w:t>
      </w:r>
    </w:p>
    <w:p w14:paraId="3DA0844C"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5.Назначить на завод им. Марти ответственного сек</w:t>
      </w:r>
      <w:r w:rsidRPr="00C33834">
        <w:rPr>
          <w:rFonts w:ascii="Times New Roman" w:hAnsi="Times New Roman"/>
          <w:color w:val="0070C0"/>
          <w:sz w:val="16"/>
          <w:szCs w:val="16"/>
        </w:rPr>
        <w:softHyphen/>
        <w:t>ретаря парторга ЦК; тов. Ежову представить кандидата на эту должность.</w:t>
      </w:r>
    </w:p>
    <w:p w14:paraId="52002815"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Молотову, Гамарнику, Орджоникидзе</w:t>
      </w:r>
    </w:p>
    <w:p w14:paraId="6B0E8A9D"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40/26.- Вопросы Комиссии Обороны.</w:t>
      </w:r>
    </w:p>
    <w:p w14:paraId="27E892D6"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Утвердить постановление СТО:</w:t>
      </w:r>
    </w:p>
    <w:p w14:paraId="2055E181"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О выдаче из Комитета Резервов промышленности для производства тяжелых бронебойных снарядов Ютонн импортного ферро-марганца и 20 тонн огневого ни келя</w:t>
      </w:r>
    </w:p>
    <w:p w14:paraId="19B8C976"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Об импорте для НКТП в 1933 г. за счет контин</w:t>
      </w:r>
      <w:r w:rsidRPr="00C33834">
        <w:rPr>
          <w:rFonts w:ascii="Times New Roman" w:hAnsi="Times New Roman"/>
          <w:color w:val="0070C0"/>
          <w:sz w:val="16"/>
          <w:szCs w:val="16"/>
        </w:rPr>
        <w:softHyphen/>
        <w:t>гентов НКТП в размере 2 т.р. для закупки огнеупор</w:t>
      </w:r>
      <w:r w:rsidRPr="00C33834">
        <w:rPr>
          <w:rFonts w:ascii="Times New Roman" w:hAnsi="Times New Roman"/>
          <w:color w:val="0070C0"/>
          <w:sz w:val="16"/>
          <w:szCs w:val="16"/>
        </w:rPr>
        <w:softHyphen/>
        <w:t>ных стаканов и пробок для ковшей кислых мартеновские печей для разливки снарядной стали.</w:t>
      </w:r>
    </w:p>
    <w:p w14:paraId="6115852A"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Базилевичу, Орджоникидзе-все;</w:t>
      </w:r>
    </w:p>
    <w:p w14:paraId="11A2792C"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Розенгольцу-п.2.</w:t>
      </w:r>
    </w:p>
    <w:p w14:paraId="210F4974"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9 ноября 1933 опросом членов ПБ</w:t>
      </w:r>
    </w:p>
    <w:p w14:paraId="6281B105"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51/37.- О постройке 100 торпедных катеров для ДВ,</w:t>
      </w:r>
    </w:p>
    <w:p w14:paraId="2470EA67"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Обязать НКТП СССР, под личную ответственность т.Орджоникидзе.построить и перебросить на ДВ к 1.У.34Г. 100 торпедных катеров типа Г-5.</w:t>
      </w:r>
    </w:p>
    <w:p w14:paraId="1ADD463D"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Установить следующий календарный план сдачи торпедных катеров заводом им.Марти (ГУСП):</w:t>
      </w:r>
    </w:p>
    <w:p w14:paraId="35DC5D50"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ноябре 1933 г.</w:t>
      </w:r>
      <w:r w:rsidRPr="00C33834">
        <w:rPr>
          <w:rFonts w:ascii="Times New Roman" w:hAnsi="Times New Roman"/>
          <w:color w:val="0070C0"/>
          <w:sz w:val="16"/>
          <w:szCs w:val="16"/>
        </w:rPr>
        <w:tab/>
        <w:t>1</w:t>
      </w:r>
      <w:r w:rsidRPr="00C33834">
        <w:rPr>
          <w:rFonts w:ascii="Times New Roman" w:hAnsi="Times New Roman"/>
          <w:color w:val="0070C0"/>
          <w:sz w:val="16"/>
          <w:szCs w:val="16"/>
        </w:rPr>
        <w:tab/>
        <w:t>катер.</w:t>
      </w:r>
    </w:p>
    <w:p w14:paraId="61F4A705"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fldChar w:fldCharType="begin"/>
      </w:r>
      <w:r w:rsidRPr="00C33834">
        <w:rPr>
          <w:rFonts w:ascii="Times New Roman" w:hAnsi="Times New Roman"/>
          <w:color w:val="0070C0"/>
          <w:sz w:val="16"/>
          <w:szCs w:val="16"/>
        </w:rPr>
        <w:instrText xml:space="preserve"> TOC \o "1-5" \h \z </w:instrText>
      </w:r>
      <w:r w:rsidRPr="00C33834">
        <w:rPr>
          <w:rFonts w:ascii="Times New Roman" w:hAnsi="Times New Roman"/>
          <w:color w:val="0070C0"/>
          <w:sz w:val="16"/>
          <w:szCs w:val="16"/>
        </w:rPr>
        <w:fldChar w:fldCharType="separate"/>
      </w:r>
      <w:r w:rsidRPr="00C33834">
        <w:rPr>
          <w:rFonts w:ascii="Times New Roman" w:hAnsi="Times New Roman"/>
          <w:color w:val="0070C0"/>
          <w:sz w:val="16"/>
          <w:szCs w:val="16"/>
        </w:rPr>
        <w:t>" декабре "</w:t>
      </w:r>
      <w:r w:rsidRPr="00C33834">
        <w:rPr>
          <w:rFonts w:ascii="Times New Roman" w:hAnsi="Times New Roman"/>
          <w:color w:val="0070C0"/>
          <w:sz w:val="16"/>
          <w:szCs w:val="16"/>
        </w:rPr>
        <w:tab/>
        <w:t>7</w:t>
      </w:r>
    </w:p>
    <w:p w14:paraId="01B8464F"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январе 1934 г.</w:t>
      </w:r>
      <w:r w:rsidRPr="00C33834">
        <w:rPr>
          <w:rFonts w:ascii="Times New Roman" w:hAnsi="Times New Roman"/>
          <w:color w:val="0070C0"/>
          <w:sz w:val="16"/>
          <w:szCs w:val="16"/>
        </w:rPr>
        <w:tab/>
        <w:t>18</w:t>
      </w:r>
      <w:r w:rsidRPr="00C33834">
        <w:rPr>
          <w:rFonts w:ascii="Times New Roman" w:hAnsi="Times New Roman"/>
          <w:color w:val="0070C0"/>
          <w:sz w:val="16"/>
          <w:szCs w:val="16"/>
        </w:rPr>
        <w:tab/>
        <w:t>"</w:t>
      </w:r>
    </w:p>
    <w:p w14:paraId="156DEFDC"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феврале "</w:t>
      </w:r>
      <w:r w:rsidRPr="00C33834">
        <w:rPr>
          <w:rFonts w:ascii="Times New Roman" w:hAnsi="Times New Roman"/>
          <w:color w:val="0070C0"/>
          <w:sz w:val="16"/>
          <w:szCs w:val="16"/>
        </w:rPr>
        <w:tab/>
        <w:t>25</w:t>
      </w:r>
      <w:r w:rsidRPr="00C33834">
        <w:rPr>
          <w:rFonts w:ascii="Times New Roman" w:hAnsi="Times New Roman"/>
          <w:color w:val="0070C0"/>
          <w:sz w:val="16"/>
          <w:szCs w:val="16"/>
        </w:rPr>
        <w:tab/>
        <w:t>"</w:t>
      </w:r>
    </w:p>
    <w:p w14:paraId="35979661"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марте "</w:t>
      </w:r>
      <w:r w:rsidRPr="00C33834">
        <w:rPr>
          <w:rFonts w:ascii="Times New Roman" w:hAnsi="Times New Roman"/>
          <w:color w:val="0070C0"/>
          <w:sz w:val="16"/>
          <w:szCs w:val="16"/>
        </w:rPr>
        <w:tab/>
      </w:r>
      <w:r w:rsidRPr="00C33834">
        <w:rPr>
          <w:rFonts w:ascii="Times New Roman" w:hAnsi="Times New Roman"/>
          <w:color w:val="0070C0"/>
          <w:sz w:val="16"/>
          <w:szCs w:val="16"/>
        </w:rPr>
        <w:tab/>
        <w:t>30</w:t>
      </w:r>
      <w:r w:rsidRPr="00C33834">
        <w:rPr>
          <w:rFonts w:ascii="Times New Roman" w:hAnsi="Times New Roman"/>
          <w:color w:val="0070C0"/>
          <w:sz w:val="16"/>
          <w:szCs w:val="16"/>
        </w:rPr>
        <w:tab/>
        <w:t>"</w:t>
      </w:r>
    </w:p>
    <w:p w14:paraId="1370CE59"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 20 апреля"</w:t>
      </w:r>
      <w:r w:rsidRPr="00C33834">
        <w:rPr>
          <w:rFonts w:ascii="Times New Roman" w:hAnsi="Times New Roman"/>
          <w:color w:val="0070C0"/>
          <w:sz w:val="16"/>
          <w:szCs w:val="16"/>
        </w:rPr>
        <w:tab/>
        <w:t>19</w:t>
      </w:r>
      <w:r w:rsidRPr="00C33834">
        <w:rPr>
          <w:rFonts w:ascii="Times New Roman" w:hAnsi="Times New Roman"/>
          <w:color w:val="0070C0"/>
          <w:sz w:val="16"/>
          <w:szCs w:val="16"/>
        </w:rPr>
        <w:tab/>
        <w:t>"</w:t>
      </w:r>
      <w:r w:rsidRPr="00C33834">
        <w:rPr>
          <w:rFonts w:ascii="Times New Roman" w:hAnsi="Times New Roman"/>
          <w:color w:val="0070C0"/>
          <w:sz w:val="16"/>
          <w:szCs w:val="16"/>
        </w:rPr>
        <w:fldChar w:fldCharType="end"/>
      </w:r>
    </w:p>
    <w:p w14:paraId="69A8EE44"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Исходя из срока сдачи торпедных катеров, обя</w:t>
      </w:r>
      <w:r w:rsidRPr="00C33834">
        <w:rPr>
          <w:rFonts w:ascii="Times New Roman" w:hAnsi="Times New Roman"/>
          <w:color w:val="0070C0"/>
          <w:sz w:val="16"/>
          <w:szCs w:val="16"/>
        </w:rPr>
        <w:softHyphen/>
        <w:t>зать ГУАП.под личную ответственность тов. Королева И Директора Завола 24 т. Марьямова подать на завод им. Марти 200 моторов в следующие сроки:</w:t>
      </w:r>
    </w:p>
    <w:p w14:paraId="10C9A0EA"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мотора М-34</w:t>
      </w:r>
      <w:r w:rsidRPr="00C33834">
        <w:rPr>
          <w:rFonts w:ascii="Times New Roman" w:hAnsi="Times New Roman"/>
          <w:color w:val="0070C0"/>
          <w:sz w:val="16"/>
          <w:szCs w:val="16"/>
        </w:rPr>
        <w:tab/>
        <w:t>- 18 ноября 1933 г.</w:t>
      </w:r>
    </w:p>
    <w:p w14:paraId="222EEE4D"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w:t>
      </w:r>
      <w:r w:rsidRPr="00C33834">
        <w:rPr>
          <w:rFonts w:ascii="Times New Roman" w:hAnsi="Times New Roman"/>
          <w:color w:val="0070C0"/>
          <w:sz w:val="16"/>
          <w:szCs w:val="16"/>
        </w:rPr>
        <w:tab/>
        <w:t>"</w:t>
      </w:r>
      <w:r w:rsidRPr="00C33834">
        <w:rPr>
          <w:rFonts w:ascii="Times New Roman" w:hAnsi="Times New Roman"/>
          <w:color w:val="0070C0"/>
          <w:sz w:val="16"/>
          <w:szCs w:val="16"/>
        </w:rPr>
        <w:tab/>
        <w:t>- к 1 декабря 1933 г.</w:t>
      </w:r>
    </w:p>
    <w:p w14:paraId="7D78C9C6"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30</w:t>
      </w:r>
      <w:r w:rsidRPr="00C33834">
        <w:rPr>
          <w:rFonts w:ascii="Times New Roman" w:hAnsi="Times New Roman"/>
          <w:color w:val="0070C0"/>
          <w:sz w:val="16"/>
          <w:szCs w:val="16"/>
        </w:rPr>
        <w:tab/>
        <w:t>"</w:t>
      </w:r>
      <w:r w:rsidRPr="00C33834">
        <w:rPr>
          <w:rFonts w:ascii="Times New Roman" w:hAnsi="Times New Roman"/>
          <w:color w:val="0070C0"/>
          <w:sz w:val="16"/>
          <w:szCs w:val="16"/>
        </w:rPr>
        <w:tab/>
        <w:t>- в декабре 1933 г. по 10 шт.в декаду.</w:t>
      </w:r>
    </w:p>
    <w:p w14:paraId="1DE1ADEA"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ГМ-34</w:t>
      </w:r>
      <w:r w:rsidRPr="00C33834">
        <w:rPr>
          <w:rFonts w:ascii="Times New Roman" w:hAnsi="Times New Roman"/>
          <w:color w:val="0070C0"/>
          <w:sz w:val="16"/>
          <w:szCs w:val="16"/>
        </w:rPr>
        <w:tab/>
        <w:t>без реверса</w:t>
      </w:r>
      <w:r w:rsidRPr="00C33834">
        <w:rPr>
          <w:rFonts w:ascii="Times New Roman" w:hAnsi="Times New Roman"/>
          <w:color w:val="0070C0"/>
          <w:sz w:val="16"/>
          <w:szCs w:val="16"/>
        </w:rPr>
        <w:tab/>
        <w:t>к 1 декабря 1933 г.</w:t>
      </w:r>
    </w:p>
    <w:p w14:paraId="75D99C95"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16</w:t>
      </w:r>
      <w:r w:rsidRPr="00C33834">
        <w:rPr>
          <w:rFonts w:ascii="Times New Roman" w:hAnsi="Times New Roman"/>
          <w:color w:val="0070C0"/>
          <w:sz w:val="16"/>
          <w:szCs w:val="16"/>
        </w:rPr>
        <w:tab/>
        <w:t>"</w:t>
      </w:r>
      <w:r w:rsidRPr="00C33834">
        <w:rPr>
          <w:rFonts w:ascii="Times New Roman" w:hAnsi="Times New Roman"/>
          <w:color w:val="0070C0"/>
          <w:sz w:val="16"/>
          <w:szCs w:val="16"/>
        </w:rPr>
        <w:tab/>
      </w:r>
      <w:r w:rsidRPr="00C33834">
        <w:rPr>
          <w:rFonts w:ascii="Times New Roman" w:hAnsi="Times New Roman"/>
          <w:color w:val="0070C0"/>
          <w:sz w:val="16"/>
          <w:szCs w:val="16"/>
        </w:rPr>
        <w:tab/>
        <w:t>в декабре 1933 г.</w:t>
      </w:r>
    </w:p>
    <w:p w14:paraId="3858F145"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60</w:t>
      </w:r>
      <w:r w:rsidRPr="00C33834">
        <w:rPr>
          <w:rFonts w:ascii="Times New Roman" w:hAnsi="Times New Roman"/>
          <w:color w:val="0070C0"/>
          <w:sz w:val="16"/>
          <w:szCs w:val="16"/>
        </w:rPr>
        <w:tab/>
        <w:t>"</w:t>
      </w:r>
      <w:r w:rsidRPr="00C33834">
        <w:rPr>
          <w:rFonts w:ascii="Times New Roman" w:hAnsi="Times New Roman"/>
          <w:color w:val="0070C0"/>
          <w:sz w:val="16"/>
          <w:szCs w:val="16"/>
        </w:rPr>
        <w:tab/>
      </w:r>
      <w:r w:rsidRPr="00C33834">
        <w:rPr>
          <w:rFonts w:ascii="Times New Roman" w:hAnsi="Times New Roman"/>
          <w:color w:val="0070C0"/>
          <w:sz w:val="16"/>
          <w:szCs w:val="16"/>
        </w:rPr>
        <w:tab/>
        <w:t>в январе 1934 г. по 20</w:t>
      </w:r>
      <w:r w:rsidRPr="00C33834">
        <w:rPr>
          <w:rFonts w:ascii="Times New Roman" w:hAnsi="Times New Roman"/>
          <w:color w:val="0070C0"/>
          <w:sz w:val="16"/>
          <w:szCs w:val="16"/>
        </w:rPr>
        <w:tab/>
        <w:t>шт. в декаду</w:t>
      </w:r>
    </w:p>
    <w:p w14:paraId="472CC8B2"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60</w:t>
      </w:r>
      <w:r w:rsidRPr="00C33834">
        <w:rPr>
          <w:rFonts w:ascii="Times New Roman" w:hAnsi="Times New Roman"/>
          <w:color w:val="0070C0"/>
          <w:sz w:val="16"/>
          <w:szCs w:val="16"/>
        </w:rPr>
        <w:tab/>
        <w:t>"</w:t>
      </w:r>
      <w:r w:rsidRPr="00C33834">
        <w:rPr>
          <w:rFonts w:ascii="Times New Roman" w:hAnsi="Times New Roman"/>
          <w:color w:val="0070C0"/>
          <w:sz w:val="16"/>
          <w:szCs w:val="16"/>
        </w:rPr>
        <w:tab/>
      </w:r>
      <w:r w:rsidRPr="00C33834">
        <w:rPr>
          <w:rFonts w:ascii="Times New Roman" w:hAnsi="Times New Roman"/>
          <w:color w:val="0070C0"/>
          <w:sz w:val="16"/>
          <w:szCs w:val="16"/>
        </w:rPr>
        <w:tab/>
        <w:t>в феврале 1934 г.по 20шт. в декаду.</w:t>
      </w:r>
    </w:p>
    <w:p w14:paraId="1C1C2C55"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20</w:t>
      </w:r>
      <w:r w:rsidRPr="00C33834">
        <w:rPr>
          <w:rFonts w:ascii="Times New Roman" w:hAnsi="Times New Roman"/>
          <w:color w:val="0070C0"/>
          <w:sz w:val="16"/>
          <w:szCs w:val="16"/>
        </w:rPr>
        <w:tab/>
        <w:t>"</w:t>
      </w:r>
      <w:r w:rsidRPr="00C33834">
        <w:rPr>
          <w:rFonts w:ascii="Times New Roman" w:hAnsi="Times New Roman"/>
          <w:color w:val="0070C0"/>
          <w:sz w:val="16"/>
          <w:szCs w:val="16"/>
        </w:rPr>
        <w:tab/>
      </w:r>
      <w:r w:rsidRPr="00C33834">
        <w:rPr>
          <w:rFonts w:ascii="Times New Roman" w:hAnsi="Times New Roman"/>
          <w:color w:val="0070C0"/>
          <w:sz w:val="16"/>
          <w:szCs w:val="16"/>
        </w:rPr>
        <w:tab/>
        <w:t>к 15 марта 1934 года.</w:t>
      </w:r>
    </w:p>
    <w:p w14:paraId="7FDD8048"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В виде временной меры, для ускорения введения ка</w:t>
      </w:r>
      <w:r w:rsidRPr="00C33834">
        <w:rPr>
          <w:rFonts w:ascii="Times New Roman" w:hAnsi="Times New Roman"/>
          <w:color w:val="0070C0"/>
          <w:sz w:val="16"/>
          <w:szCs w:val="16"/>
        </w:rPr>
        <w:softHyphen/>
        <w:t>теров в строй, поставить на 20 катеров авиационные мо</w:t>
      </w:r>
      <w:r w:rsidRPr="00C33834">
        <w:rPr>
          <w:rFonts w:ascii="Times New Roman" w:hAnsi="Times New Roman"/>
          <w:color w:val="0070C0"/>
          <w:sz w:val="16"/>
          <w:szCs w:val="16"/>
        </w:rPr>
        <w:softHyphen/>
        <w:t>торы М-34, а на все остальные торпедные катера - мото</w:t>
      </w:r>
      <w:r w:rsidRPr="00C33834">
        <w:rPr>
          <w:rFonts w:ascii="Times New Roman" w:hAnsi="Times New Roman"/>
          <w:color w:val="0070C0"/>
          <w:sz w:val="16"/>
          <w:szCs w:val="16"/>
        </w:rPr>
        <w:softHyphen/>
        <w:t>ры ГМ-34 без реверсов с тем, чтобы после изготовления моторов ГМ-34 с реверсами заменить ими 40 моторов без реверсов поставленные на первых 20-ти катерах и уста</w:t>
      </w:r>
      <w:r w:rsidRPr="00C33834">
        <w:rPr>
          <w:rFonts w:ascii="Times New Roman" w:hAnsi="Times New Roman"/>
          <w:color w:val="0070C0"/>
          <w:sz w:val="16"/>
          <w:szCs w:val="16"/>
        </w:rPr>
        <w:softHyphen/>
        <w:t>новить реверсы на остальных 160 моторах ГМ-34.</w:t>
      </w:r>
    </w:p>
    <w:p w14:paraId="6F8F4E54"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Обязать ГУСП (т.Кондратьева) и НКВМор (т.Орлова):</w:t>
      </w:r>
    </w:p>
    <w:p w14:paraId="67BCD63D"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закончить испытания катера с мотором ГМ-34 с реверсом к 15 ноября 1933 года;</w:t>
      </w:r>
    </w:p>
    <w:p w14:paraId="5273C763"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установить 2 мотора М-34 на торпедном катере к 1 декабря 1933 г. и закончить его испытание к 15 декабря;</w:t>
      </w:r>
    </w:p>
    <w:p w14:paraId="3EB50A04"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смонтировать к 10 декабря на одном катере 2 мо</w:t>
      </w:r>
      <w:r w:rsidRPr="00C33834">
        <w:rPr>
          <w:rFonts w:ascii="Times New Roman" w:hAnsi="Times New Roman"/>
          <w:color w:val="0070C0"/>
          <w:sz w:val="16"/>
          <w:szCs w:val="16"/>
        </w:rPr>
        <w:softHyphen/>
        <w:t>тора ГМ-34 без реверса и испытать его не позднее 20 декабря.</w:t>
      </w:r>
    </w:p>
    <w:p w14:paraId="424E0841"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Начальнику ГУАП тов. Королеву в кратчайший срок поставить серийное производство реверсивных муфт для моторов ГМ-34 на заводе "Спартак* с началом выпуска не позднее 1 апреля 1934 года.</w:t>
      </w:r>
    </w:p>
    <w:p w14:paraId="469F866C"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 Возложить на ГУАП (т.т.Макаровского и Колосова) ответственность за переделку и приспособление моторов М-34 для надежной работы в условиях торпедного катера.</w:t>
      </w:r>
    </w:p>
    <w:p w14:paraId="70F4AAC8"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8. НКВМору организовать приемный аппарат на заводе М 24 для приемки моторов, предназначенных для кате</w:t>
      </w:r>
      <w:r w:rsidRPr="00C33834">
        <w:rPr>
          <w:rFonts w:ascii="Times New Roman" w:hAnsi="Times New Roman"/>
          <w:color w:val="0070C0"/>
          <w:sz w:val="16"/>
          <w:szCs w:val="16"/>
        </w:rPr>
        <w:softHyphen/>
        <w:t>ров, а также усилить приемный аппарат на заводе им.Мар</w:t>
      </w:r>
      <w:r w:rsidRPr="00C33834">
        <w:rPr>
          <w:rFonts w:ascii="Times New Roman" w:hAnsi="Times New Roman"/>
          <w:color w:val="0070C0"/>
          <w:sz w:val="16"/>
          <w:szCs w:val="16"/>
        </w:rPr>
        <w:softHyphen/>
        <w:t>ти в Ленинграде.</w:t>
      </w:r>
    </w:p>
    <w:p w14:paraId="7548BAC8"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9. Определить всю программу выпуска моторов ГМ-34 для Военно-Морских Сил РККА на 1934 год в 350 моторов.</w:t>
      </w:r>
    </w:p>
    <w:p w14:paraId="02327BE1"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НКТП СССР совместно с НКВМором в декадный срок установить план выпуска всех моторов, в соответствии с программой строительства кораблей.</w:t>
      </w:r>
    </w:p>
    <w:p w14:paraId="65C70588"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Молотову (К.О.), Орджоникидзе, Гамарнику.</w:t>
      </w:r>
    </w:p>
    <w:p w14:paraId="1F2C255A"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13 ноября 1933 опросом членов ПБ</w:t>
      </w:r>
    </w:p>
    <w:p w14:paraId="7BA1AA3C"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76/61.- О строительствe Хабаровского нефтеперегонного завода (ПБ от 1.Х1.33г., пр.№ 148,п. 17).</w:t>
      </w:r>
    </w:p>
    <w:p w14:paraId="040CB703"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Принять к сведению, заявление НКТП т. Орджоникид</w:t>
      </w:r>
      <w:r w:rsidRPr="00C33834">
        <w:rPr>
          <w:rFonts w:ascii="Times New Roman" w:hAnsi="Times New Roman"/>
          <w:color w:val="0070C0"/>
          <w:sz w:val="16"/>
          <w:szCs w:val="16"/>
        </w:rPr>
        <w:softHyphen/>
        <w:t>зе, что:</w:t>
      </w:r>
    </w:p>
    <w:p w14:paraId="76D5A143"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Работы по расширению нефтепровода Оха-Москальво на о. Сахалине выполнены и перекачка 160 т.т. нефти в навигацию 1934 г. обеспечена.</w:t>
      </w:r>
    </w:p>
    <w:p w14:paraId="7C9889DD"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промфинплан Сахалиннефти на 1934 г. включены средства с расчетом дальнейшего расширения нефтепро</w:t>
      </w:r>
      <w:r w:rsidRPr="00C33834">
        <w:rPr>
          <w:rFonts w:ascii="Times New Roman" w:hAnsi="Times New Roman"/>
          <w:color w:val="0070C0"/>
          <w:sz w:val="16"/>
          <w:szCs w:val="16"/>
        </w:rPr>
        <w:softHyphen/>
        <w:t>вода для перекачки 400 т.т. в 1935 г.</w:t>
      </w:r>
    </w:p>
    <w:p w14:paraId="02EDCD50"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Фонд на металл для 12-ти резервуаров емкостью по 10.000 тонн выделен полностью в 1У-м квартале с.г. К заготовке резервуаров приступлено.</w:t>
      </w:r>
    </w:p>
    <w:p w14:paraId="77EA2A6F"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Расширение хабаровского нефтеперегонного за</w:t>
      </w:r>
      <w:r w:rsidRPr="00C33834">
        <w:rPr>
          <w:rFonts w:ascii="Times New Roman" w:hAnsi="Times New Roman"/>
          <w:color w:val="0070C0"/>
          <w:sz w:val="16"/>
          <w:szCs w:val="16"/>
        </w:rPr>
        <w:softHyphen/>
        <w:t>вода до 400.000 тонн включено в план капитального строительства треста "Нефтезаводы" со сроком окон</w:t>
      </w:r>
      <w:r w:rsidRPr="00C33834">
        <w:rPr>
          <w:rFonts w:ascii="Times New Roman" w:hAnsi="Times New Roman"/>
          <w:color w:val="0070C0"/>
          <w:sz w:val="16"/>
          <w:szCs w:val="16"/>
        </w:rPr>
        <w:softHyphen/>
        <w:t>чания строительства к началу навигации 1935 г.</w:t>
      </w:r>
    </w:p>
    <w:p w14:paraId="6D6AE341"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Обязать Наркомвод (т.Янсон):</w:t>
      </w:r>
    </w:p>
    <w:p w14:paraId="389D19FE"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К началу навигации 1934 г. построить нефтяную пристань в Хабаровске и причалы в Москальво и в Нико</w:t>
      </w:r>
      <w:r w:rsidRPr="00C33834">
        <w:rPr>
          <w:rFonts w:ascii="Times New Roman" w:hAnsi="Times New Roman"/>
          <w:color w:val="0070C0"/>
          <w:sz w:val="16"/>
          <w:szCs w:val="16"/>
        </w:rPr>
        <w:softHyphen/>
        <w:t>лаевске на Амуре, обеспечивающие налив и слив нефти 160 т.т. в 1934 г. и 400 т.т. в 1935 г.</w:t>
      </w:r>
    </w:p>
    <w:p w14:paraId="7DFAF5F8"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Обеспечить окончание сборки в Благовещенске к 1.У1.34 г. двух рейдовых барж № 2 и 3 по 3.500 тонн и 4-х речных барж по 4.000 тонн каждая.</w:t>
      </w:r>
    </w:p>
    <w:p w14:paraId="1FBB1CFD"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Провести организованную посылку на Благове</w:t>
      </w:r>
      <w:r w:rsidRPr="00C33834">
        <w:rPr>
          <w:rFonts w:ascii="Times New Roman" w:hAnsi="Times New Roman"/>
          <w:color w:val="0070C0"/>
          <w:sz w:val="16"/>
          <w:szCs w:val="16"/>
        </w:rPr>
        <w:softHyphen/>
        <w:t>щенскую судоверфь 350 котельщиков немедленно и 250 ко</w:t>
      </w:r>
      <w:r w:rsidRPr="00C33834">
        <w:rPr>
          <w:rFonts w:ascii="Times New Roman" w:hAnsi="Times New Roman"/>
          <w:color w:val="0070C0"/>
          <w:sz w:val="16"/>
          <w:szCs w:val="16"/>
        </w:rPr>
        <w:softHyphen/>
        <w:t>тельщиков к 1.1.1934 года.</w:t>
      </w:r>
    </w:p>
    <w:p w14:paraId="6853CCFB"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Изыскать и направить в ДВК морским путем 5 мощ</w:t>
      </w:r>
      <w:r w:rsidRPr="00C33834">
        <w:rPr>
          <w:rFonts w:ascii="Times New Roman" w:hAnsi="Times New Roman"/>
          <w:color w:val="0070C0"/>
          <w:sz w:val="16"/>
          <w:szCs w:val="16"/>
        </w:rPr>
        <w:softHyphen/>
        <w:t>ных рейдовых буксиров с осадкой не больше 3-х метров для перевозки в навигацию 1934 года 160 тыс.тонн нефти.</w:t>
      </w:r>
    </w:p>
    <w:p w14:paraId="71EBA66D"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.Обеспечить поступление в Благовещенск не поз</w:t>
      </w:r>
      <w:r w:rsidRPr="00C33834">
        <w:rPr>
          <w:rFonts w:ascii="Times New Roman" w:hAnsi="Times New Roman"/>
          <w:color w:val="0070C0"/>
          <w:sz w:val="16"/>
          <w:szCs w:val="16"/>
        </w:rPr>
        <w:softHyphen/>
        <w:t>же начала июня 1934 года в разобранном виде 5-ти рейдовых буксиров по 600 сил каждый и к этому сроку для обеспечения перевозок нефти в 1935 г. забросить в Благовещенск в разобранном видне 4 рейдоынх баржи</w:t>
      </w:r>
    </w:p>
    <w:p w14:paraId="785C9D5A"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по 3500 тонн. 1 речную баржу 4000 тонн и 3 речных баржи по 8000 т.каждая.</w:t>
      </w:r>
    </w:p>
    <w:p w14:paraId="140D8C58"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Обеспечить перевозку разобранных в Батуме 4-х резервуаров в Николаевск на Амуре к маю мес. 1934 г.</w:t>
      </w:r>
    </w:p>
    <w:p w14:paraId="66CDCF2D"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0бязать Наркомснаб СССР (т.Микояна) включить на 1У-й квартал 1933 г. и на 1934 г. Хабаровское строи</w:t>
      </w:r>
      <w:r w:rsidRPr="00C33834">
        <w:rPr>
          <w:rFonts w:ascii="Times New Roman" w:hAnsi="Times New Roman"/>
          <w:color w:val="0070C0"/>
          <w:sz w:val="16"/>
          <w:szCs w:val="16"/>
        </w:rPr>
        <w:softHyphen/>
        <w:t>тельство на снабжение в список предприятий, получаю</w:t>
      </w:r>
      <w:r w:rsidRPr="00C33834">
        <w:rPr>
          <w:rFonts w:ascii="Times New Roman" w:hAnsi="Times New Roman"/>
          <w:color w:val="0070C0"/>
          <w:sz w:val="16"/>
          <w:szCs w:val="16"/>
        </w:rPr>
        <w:softHyphen/>
        <w:t>щих мясо и жиры для индивидуального и общественного питания.</w:t>
      </w:r>
    </w:p>
    <w:p w14:paraId="0091EEEF"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 0бязать НКПС до конца строительства Хабаров</w:t>
      </w:r>
      <w:r w:rsidRPr="00C33834">
        <w:rPr>
          <w:rFonts w:ascii="Times New Roman" w:hAnsi="Times New Roman"/>
          <w:color w:val="0070C0"/>
          <w:sz w:val="16"/>
          <w:szCs w:val="16"/>
        </w:rPr>
        <w:softHyphen/>
        <w:t>ского завода обеспечить подвижным составом переброску всех необходимых строительству грузов и взять под особое наблюдение продвижение этих грузов по желез</w:t>
      </w:r>
      <w:r w:rsidRPr="00C33834">
        <w:rPr>
          <w:rFonts w:ascii="Times New Roman" w:hAnsi="Times New Roman"/>
          <w:color w:val="0070C0"/>
          <w:sz w:val="16"/>
          <w:szCs w:val="16"/>
        </w:rPr>
        <w:softHyphen/>
        <w:t>ным дорогам.</w:t>
      </w:r>
    </w:p>
    <w:p w14:paraId="7987E46B"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Орджоникидзе, Гамарнику, Мирошни</w:t>
      </w:r>
      <w:r w:rsidRPr="00C33834">
        <w:rPr>
          <w:rFonts w:ascii="Times New Roman" w:hAnsi="Times New Roman"/>
          <w:color w:val="0070C0"/>
          <w:sz w:val="16"/>
          <w:szCs w:val="16"/>
        </w:rPr>
        <w:softHyphen/>
        <w:t>кову, Далькрайкому-шифром-все; Янсону- п.6, Микояну-п.в, Андре еву-п.г.</w:t>
      </w:r>
    </w:p>
    <w:p w14:paraId="6D52D368"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77/62.- Вопросы Комиссии Обороны.</w:t>
      </w:r>
    </w:p>
    <w:p w14:paraId="1D852FCC"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Утвердить постановление СТО о выделении НКТПрому в ноябре мес.1933 г. из резервного фонда СНК - 3.000.000 р. для проведения подготовительных работ по строительству бензоемкостей на Д.Востоке и В.Си</w:t>
      </w:r>
      <w:r w:rsidRPr="00C33834">
        <w:rPr>
          <w:rFonts w:ascii="Times New Roman" w:hAnsi="Times New Roman"/>
          <w:color w:val="0070C0"/>
          <w:sz w:val="16"/>
          <w:szCs w:val="16"/>
        </w:rPr>
        <w:softHyphen/>
        <w:t>бири.</w:t>
      </w:r>
    </w:p>
    <w:p w14:paraId="1987780F"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т.т.Базилевичу,Мирошникову.</w:t>
      </w:r>
    </w:p>
    <w:p w14:paraId="7D158DD8"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15 ноября 1933 опросом членов ПБ</w:t>
      </w:r>
    </w:p>
    <w:p w14:paraId="3EEF92BA"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100/86.- О воздушной линии Краков-Харьков.</w:t>
      </w:r>
    </w:p>
    <w:p w14:paraId="07DCBBC5"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Предложение поляков об организации воздушной линии Краков-Харьков отклонить.</w:t>
      </w:r>
    </w:p>
    <w:p w14:paraId="3A1C3202"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Уншлихту, Крестинскому.</w:t>
      </w:r>
    </w:p>
    <w:p w14:paraId="66B74E77"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28 ноября 1933 опросом членов ПБ</w:t>
      </w:r>
    </w:p>
    <w:p w14:paraId="214A1FF9"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106/120.- Предложения т.т. Сталина и Гамарника,</w:t>
      </w:r>
    </w:p>
    <w:p w14:paraId="33B946C9"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Принять следующее предложение т.т.Сталина и Гамарника:</w:t>
      </w:r>
    </w:p>
    <w:p w14:paraId="65DD50C1"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Для усиления обороны нашего морского побережья на Дальнем Востоке считать необходимым провести сле</w:t>
      </w:r>
      <w:r w:rsidRPr="00C33834">
        <w:rPr>
          <w:rFonts w:ascii="Times New Roman" w:hAnsi="Times New Roman"/>
          <w:color w:val="0070C0"/>
          <w:sz w:val="16"/>
          <w:szCs w:val="16"/>
        </w:rPr>
        <w:softHyphen/>
        <w:t>дующие меры:</w:t>
      </w:r>
    </w:p>
    <w:p w14:paraId="766FDDBE"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К 1-му мая 1934 года построить и перебросить на Дальний Восток 100 торпедных катеров. Если для этого необходимо импортировать моторы, то пойти на это. При постройке торпедных катеров обязательно до</w:t>
      </w:r>
      <w:r w:rsidRPr="00C33834">
        <w:rPr>
          <w:rFonts w:ascii="Times New Roman" w:hAnsi="Times New Roman"/>
          <w:color w:val="0070C0"/>
          <w:sz w:val="16"/>
          <w:szCs w:val="16"/>
        </w:rPr>
        <w:softHyphen/>
        <w:t>биваться их высокой мореходности-желательно 7-8 бал</w:t>
      </w:r>
      <w:r w:rsidRPr="00C33834">
        <w:rPr>
          <w:rFonts w:ascii="Times New Roman" w:hAnsi="Times New Roman"/>
          <w:color w:val="0070C0"/>
          <w:sz w:val="16"/>
          <w:szCs w:val="16"/>
        </w:rPr>
        <w:softHyphen/>
        <w:t>лов. Если нужна иностранная техпомощь, то пойти на это.</w:t>
      </w:r>
    </w:p>
    <w:p w14:paraId="3C9AB5DD"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Отправить в Николаев комиссию в составе т.т.Га</w:t>
      </w:r>
      <w:r w:rsidRPr="00C33834">
        <w:rPr>
          <w:rFonts w:ascii="Times New Roman" w:hAnsi="Times New Roman"/>
          <w:color w:val="0070C0"/>
          <w:sz w:val="16"/>
          <w:szCs w:val="16"/>
        </w:rPr>
        <w:softHyphen/>
        <w:t>марника, Орлова, Муклевича и Павлуновского, которая во что бы то ни стало добилась бы ликвидации недостат</w:t>
      </w:r>
      <w:r w:rsidRPr="00C33834">
        <w:rPr>
          <w:rFonts w:ascii="Times New Roman" w:hAnsi="Times New Roman"/>
          <w:color w:val="0070C0"/>
          <w:sz w:val="16"/>
          <w:szCs w:val="16"/>
        </w:rPr>
        <w:softHyphen/>
        <w:t>ков в "Малютке" и обеспечила сдачу заводом еще в те</w:t>
      </w:r>
      <w:r w:rsidRPr="00C33834">
        <w:rPr>
          <w:rFonts w:ascii="Times New Roman" w:hAnsi="Times New Roman"/>
          <w:color w:val="0070C0"/>
          <w:sz w:val="16"/>
          <w:szCs w:val="16"/>
        </w:rPr>
        <w:softHyphen/>
        <w:t>кущем году 20 подлодок типа "Малютка".</w:t>
      </w:r>
    </w:p>
    <w:p w14:paraId="163FB23C"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Поручить т.т.Орджоникидзе и Гамарнику в 2-днев</w:t>
      </w:r>
      <w:r w:rsidRPr="00C33834">
        <w:rPr>
          <w:rFonts w:ascii="Times New Roman" w:hAnsi="Times New Roman"/>
          <w:color w:val="0070C0"/>
          <w:sz w:val="16"/>
          <w:szCs w:val="16"/>
        </w:rPr>
        <w:softHyphen/>
        <w:t>ный срок представить проект конкретных мероприятий по осуществлению пункта 1-го.</w:t>
      </w:r>
    </w:p>
    <w:p w14:paraId="24A55E32"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Орджоникидзе, Гамарнику-все;</w:t>
      </w:r>
    </w:p>
    <w:p w14:paraId="771B790E" w14:textId="77777777" w:rsidR="00C335AB" w:rsidRPr="00C33834" w:rsidRDefault="00C335A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Орлову, Муклевичу, Павлуновскому-п.2. (22999).</w:t>
      </w:r>
    </w:p>
    <w:p w14:paraId="74000691" w14:textId="77777777" w:rsidR="00C335AB" w:rsidRPr="00C33834" w:rsidRDefault="00C335AB" w:rsidP="00C33834">
      <w:pPr>
        <w:spacing w:after="0" w:line="240" w:lineRule="auto"/>
        <w:jc w:val="both"/>
        <w:rPr>
          <w:rFonts w:ascii="Times New Roman" w:hAnsi="Times New Roman"/>
          <w:color w:val="0070C0"/>
          <w:sz w:val="16"/>
          <w:szCs w:val="16"/>
        </w:rPr>
      </w:pPr>
    </w:p>
    <w:p w14:paraId="4BCBC3C0" w14:textId="77777777" w:rsidR="00CE750F" w:rsidRPr="00C33834" w:rsidRDefault="00CE750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ноября 1933 г. Протокол ПБ № 149 п.51/37: Вопрос НКТП и НКВМ. О постройке 100 торпедных катеров для ДВ – ОП. Решено: 1. Обязать НКТП СССР, под личную ответственность Орджоникидзе, построить и перебросить на Дальний Восток к 1-5-1934 100 торпедных катеров типа Г-5. 2. Установить календарный план сдачи торпедных катеров заводом имени Марти (ГУСП) на ноябрь-декабрь 1933 г. и январь-апрель 1934 г. 3.Обязать ГУАП, исходя из срока сдачи торпедных катеров, под личную ответственность Королева и директора завода № 24 Марьямова, подать на завод имени Марти 200 моторов в соответствии с установленными датами. 4. Поставить на 20 катеров (в виде временной меры для ускорения введения катеров в строй) авиационные моторы М-34, на все остальные торпедные катера - моторы ГМ-34 без реверсов; заменить после изготовления моторов ГМ-34 с реверсами 40 моторов без реверсов, поставленные на первых 20 катерах; установить реверсы на остальных 160 моторах ГМ-34. 5. Обязать ГУСП (Кондратьева) и НКВМор (Орлова): а) закончить испытания катера с мотором ГМ-34 с реверсом к 15-11-1933; б) установить 2 мотора М-34 на торпедном катере к 1-12-1933 и закончить его испытание к 15-12-1933; в) смонтировать к 10-12-1933 на одном катере 2 мотора ГМ-34 без реверса и испытать его не позднее 20-12-1933. 6. Обязать начальника ГУАП Королева начать в кратчайший срок серийное производство реверсивных муфт для моторов ГМ-34 на заводе "Спартак" с началом выпуска не позднее 1-4-1934. 7. Возложить на ГУАП (Макаровского и Колосова) ответственность за переделку и приспособление моторов М-34 для надежной работы в условиях торпедного катера. 8. Обязать НКВМ, организовать приемный аппарат на заводе № 24 для приемки моторов, предназначенных для катеров, а также усилить приемный аппарат на заводе имени Марти в Ленинграде. 9. Определить всю программу выпуска моторов ГМ-34 для военно-морских сил РККА на 1934 год в 350 моторов. НКТП СССР совместно с НКВМ установить в декадный срок план выпуска всех моторов, в соответствии с программой строительства кораблей (15950).</w:t>
      </w:r>
    </w:p>
    <w:p w14:paraId="6321765D" w14:textId="77777777" w:rsidR="00CE750F" w:rsidRPr="00C33834" w:rsidRDefault="00CE750F" w:rsidP="00C33834">
      <w:pPr>
        <w:spacing w:after="0" w:line="240" w:lineRule="auto"/>
        <w:jc w:val="both"/>
        <w:rPr>
          <w:rFonts w:ascii="Times New Roman" w:hAnsi="Times New Roman"/>
          <w:color w:val="000000" w:themeColor="text1"/>
          <w:sz w:val="16"/>
          <w:szCs w:val="16"/>
        </w:rPr>
      </w:pPr>
    </w:p>
    <w:p w14:paraId="15C6B0EB" w14:textId="77777777" w:rsidR="00CE750F" w:rsidRPr="00C33834" w:rsidRDefault="00CE750F" w:rsidP="00C33834">
      <w:pPr>
        <w:pStyle w:val="rtejustify"/>
        <w:spacing w:before="0" w:after="0"/>
        <w:rPr>
          <w:color w:val="000000" w:themeColor="text1"/>
          <w:sz w:val="16"/>
          <w:szCs w:val="16"/>
        </w:rPr>
      </w:pPr>
      <w:r w:rsidRPr="00C33834">
        <w:rPr>
          <w:rStyle w:val="af0"/>
          <w:bCs/>
          <w:i w:val="0"/>
          <w:color w:val="000000" w:themeColor="text1"/>
          <w:sz w:val="16"/>
          <w:szCs w:val="16"/>
        </w:rPr>
        <w:t>15 ноября</w:t>
      </w:r>
      <w:r w:rsidRPr="00C33834">
        <w:rPr>
          <w:color w:val="000000" w:themeColor="text1"/>
          <w:sz w:val="16"/>
          <w:szCs w:val="16"/>
        </w:rPr>
        <w:t xml:space="preserve"> 1933. Протокол заседания Политбюро ЦК ВКП (б) № 149. </w:t>
      </w:r>
      <w:hyperlink r:id="rId364" w:anchor="showunit&amp;id=88295" w:history="1">
        <w:r w:rsidRPr="00C33834">
          <w:rPr>
            <w:rStyle w:val="a5"/>
            <w:color w:val="000000" w:themeColor="text1"/>
            <w:sz w:val="16"/>
            <w:szCs w:val="16"/>
          </w:rPr>
          <w:t>5. О Магнитогорском заводе</w:t>
        </w:r>
      </w:hyperlink>
      <w:r w:rsidRPr="00C33834">
        <w:rPr>
          <w:color w:val="000000" w:themeColor="text1"/>
          <w:sz w:val="16"/>
          <w:szCs w:val="16"/>
        </w:rPr>
        <w:t xml:space="preserve"> (Звенягин, Орджоникидзе, Гуревич) (ПБ от 15 ноября 1933 г.). Решено: Передать проект постановления о Магнитогорском металлургическом комбинате на окончательное редактирование комиссии в составе Рудзутака, Завенягина, Межлаука В., Гуревича, Комарова и Постникова. Созыв комиссии поручен Рудзутаку. </w:t>
      </w:r>
      <w:hyperlink r:id="rId365" w:anchor="showunit&amp;id=88280" w:history="1">
        <w:r w:rsidRPr="00C33834">
          <w:rPr>
            <w:rStyle w:val="a5"/>
            <w:color w:val="000000" w:themeColor="text1"/>
            <w:sz w:val="16"/>
            <w:szCs w:val="16"/>
          </w:rPr>
          <w:t>36/22. Доклад Гамарника (о постройке подлодок типа «Малютка»)</w:t>
        </w:r>
      </w:hyperlink>
      <w:r w:rsidRPr="00C33834">
        <w:rPr>
          <w:color w:val="000000" w:themeColor="text1"/>
          <w:sz w:val="16"/>
          <w:szCs w:val="16"/>
        </w:rPr>
        <w:t xml:space="preserve"> (ПБ от 5 ноября 1933 г.). — ОП. Решено: 1. Утвердить разработанный комиссией Гамарника совместно с директорами заводов имени Марти и имени "61" график постройки и сдачи 20 подлодок типа “М” в 1933 году. 2. Произвести на всех подлодках типа “М” исправления конструктивных дефектов, выявленные на испытаниях. 3. Отправить 1</w:t>
      </w:r>
      <w:r w:rsidRPr="00C33834">
        <w:rPr>
          <w:color w:val="000000" w:themeColor="text1"/>
          <w:sz w:val="16"/>
          <w:szCs w:val="16"/>
        </w:rPr>
        <w:noBreakHyphen/>
        <w:t>12</w:t>
      </w:r>
      <w:r w:rsidRPr="00C33834">
        <w:rPr>
          <w:color w:val="000000" w:themeColor="text1"/>
          <w:sz w:val="16"/>
          <w:szCs w:val="16"/>
        </w:rPr>
        <w:noBreakHyphen/>
        <w:t>1933 на Дальний Восток первые три подлодки, 15</w:t>
      </w:r>
      <w:r w:rsidRPr="00C33834">
        <w:rPr>
          <w:color w:val="000000" w:themeColor="text1"/>
          <w:sz w:val="16"/>
          <w:szCs w:val="16"/>
        </w:rPr>
        <w:noBreakHyphen/>
        <w:t>12</w:t>
      </w:r>
      <w:r w:rsidRPr="00C33834">
        <w:rPr>
          <w:color w:val="000000" w:themeColor="text1"/>
          <w:sz w:val="16"/>
          <w:szCs w:val="16"/>
        </w:rPr>
        <w:noBreakHyphen/>
        <w:t>1933 — следующие три подлодки, с установкой на них аппаратуры, гарантирующей подлодку от всплытия при выстреле одной торпеды. Произвести оборудование этих шести подлодок аппаратурой, обеспечивающей подлодку от всплытия при двухторпедном залпе, на Дальнем Востоке. 4. Предложить Орджоникидзе, в виду неудовлетворительного состояния заводов имени Марти и имени “61”, в 2</w:t>
      </w:r>
      <w:r w:rsidRPr="00C33834">
        <w:rPr>
          <w:color w:val="000000" w:themeColor="text1"/>
          <w:sz w:val="16"/>
          <w:szCs w:val="16"/>
        </w:rPr>
        <w:noBreakHyphen/>
        <w:t xml:space="preserve">недельный срок разработать и доложить ЦК ВКП(б) мероприятия, обеспечивающие выполнение программы военно-морского судостроения в 1934 году на этих заводах. 5. Назначить на завод имени Марти ответственного секретаря парторга ЦК; предложить Ежову, представить кандидата на эту должность. </w:t>
      </w:r>
      <w:hyperlink r:id="rId366" w:anchor="showunit&amp;id=88285" w:history="1">
        <w:r w:rsidRPr="00C33834">
          <w:rPr>
            <w:rStyle w:val="a5"/>
            <w:color w:val="000000" w:themeColor="text1"/>
            <w:sz w:val="16"/>
            <w:szCs w:val="16"/>
          </w:rPr>
          <w:t>40/26. Вопросы КО</w:t>
        </w:r>
      </w:hyperlink>
      <w:r w:rsidRPr="00C33834">
        <w:rPr>
          <w:color w:val="000000" w:themeColor="text1"/>
          <w:sz w:val="16"/>
          <w:szCs w:val="16"/>
        </w:rPr>
        <w:t xml:space="preserve"> (ПБ от 5 ноября 1933 г.). — ОП. Решено: Утвердить постановление СТО: 1) о выдаче из Комитета резервов промышленности для производства тяжелых бронебойных снарядов 10 тонн импортного ферромарганца и 20 тонн огневого никеля. 2) об импорте для НКТП в 1933 году, за счет контингентов НКТП, для закупки огнеупорных стаканов и пробок для ковшей кислых мартеновских печей для разливки снарядной стали. </w:t>
      </w:r>
      <w:hyperlink r:id="rId367" w:anchor="showunit&amp;id=88287" w:history="1">
        <w:r w:rsidRPr="00C33834">
          <w:rPr>
            <w:rStyle w:val="a5"/>
            <w:color w:val="000000" w:themeColor="text1"/>
            <w:sz w:val="16"/>
            <w:szCs w:val="16"/>
          </w:rPr>
          <w:t>42/28. О награждении работников авиационной промышленности НКТП</w:t>
        </w:r>
      </w:hyperlink>
      <w:r w:rsidRPr="00C33834">
        <w:rPr>
          <w:color w:val="000000" w:themeColor="text1"/>
          <w:sz w:val="16"/>
          <w:szCs w:val="16"/>
        </w:rPr>
        <w:t xml:space="preserve"> (ПБ от 6 ноября 1933 г.). Решено: Утвердить список работников системы НКТП к наградам за выдающуюся работу по конструированию и выпуску автоматов для авиационной промышленности. </w:t>
      </w:r>
      <w:hyperlink r:id="rId368" w:anchor="showunit&amp;id=88297" w:history="1">
        <w:r w:rsidRPr="00C33834">
          <w:rPr>
            <w:rStyle w:val="a5"/>
            <w:color w:val="000000" w:themeColor="text1"/>
            <w:sz w:val="16"/>
            <w:szCs w:val="16"/>
          </w:rPr>
          <w:t>51/37. Вопрос НКТП и НКВМ (о постройке торпедных катеров для ДВ)</w:t>
        </w:r>
      </w:hyperlink>
      <w:r w:rsidRPr="00C33834">
        <w:rPr>
          <w:color w:val="000000" w:themeColor="text1"/>
          <w:sz w:val="16"/>
          <w:szCs w:val="16"/>
        </w:rPr>
        <w:t xml:space="preserve"> (ПБ от 9 ноября 1933 г.). — ОП. Решено: 1. Обязать НКТП СССР, под личную ответственность Орджоникидзе, построить и перебросить на Дальний Восток к 1</w:t>
      </w:r>
      <w:r w:rsidRPr="00C33834">
        <w:rPr>
          <w:color w:val="000000" w:themeColor="text1"/>
          <w:sz w:val="16"/>
          <w:szCs w:val="16"/>
        </w:rPr>
        <w:noBreakHyphen/>
        <w:t>5</w:t>
      </w:r>
      <w:r w:rsidRPr="00C33834">
        <w:rPr>
          <w:color w:val="000000" w:themeColor="text1"/>
          <w:sz w:val="16"/>
          <w:szCs w:val="16"/>
        </w:rPr>
        <w:noBreakHyphen/>
        <w:t>1934 100 торпедных катеров типа Г</w:t>
      </w:r>
      <w:r w:rsidRPr="00C33834">
        <w:rPr>
          <w:color w:val="000000" w:themeColor="text1"/>
          <w:sz w:val="16"/>
          <w:szCs w:val="16"/>
        </w:rPr>
        <w:noBreakHyphen/>
        <w:t>5. 2. Установить календарный план сдачи торпедных катеров заводом имени Марти (ГУСП) на ноябрь-декабрь 1933 г. и январь-апрель 1934 г. 3. Обязать ГУАП, исходя из срока сдачи торпедных катеров, под личную ответственность Королева и директора завода № 24 Марьямова, подать на завод имени Марти 200 моторов в соответствии с установленными датами. 4. Поставить на 20 катеров (в виде временной меры для ускорения введения катеров в строй) авиационные моторы М</w:t>
      </w:r>
      <w:r w:rsidRPr="00C33834">
        <w:rPr>
          <w:color w:val="000000" w:themeColor="text1"/>
          <w:sz w:val="16"/>
          <w:szCs w:val="16"/>
        </w:rPr>
        <w:noBreakHyphen/>
        <w:t>34, на все остальные торпедные катера — моторы ГМ</w:t>
      </w:r>
      <w:r w:rsidRPr="00C33834">
        <w:rPr>
          <w:color w:val="000000" w:themeColor="text1"/>
          <w:sz w:val="16"/>
          <w:szCs w:val="16"/>
        </w:rPr>
        <w:noBreakHyphen/>
        <w:t>34 без реверсов; заменить после изготовления моторов ГМ</w:t>
      </w:r>
      <w:r w:rsidRPr="00C33834">
        <w:rPr>
          <w:color w:val="000000" w:themeColor="text1"/>
          <w:sz w:val="16"/>
          <w:szCs w:val="16"/>
        </w:rPr>
        <w:noBreakHyphen/>
        <w:t>34 с реверсами 40 моторов без реверсов, поставленные на первых 20 катерах; установить реверсы на остальных 160 моторах ГМ</w:t>
      </w:r>
      <w:r w:rsidRPr="00C33834">
        <w:rPr>
          <w:color w:val="000000" w:themeColor="text1"/>
          <w:sz w:val="16"/>
          <w:szCs w:val="16"/>
        </w:rPr>
        <w:noBreakHyphen/>
        <w:t>34. 5. Обязать ГУСП (Кондратьева) и НКВМор (Орлова): а) закончить испытания катера с мотором ГМ</w:t>
      </w:r>
      <w:r w:rsidRPr="00C33834">
        <w:rPr>
          <w:color w:val="000000" w:themeColor="text1"/>
          <w:sz w:val="16"/>
          <w:szCs w:val="16"/>
        </w:rPr>
        <w:noBreakHyphen/>
        <w:t>34 с реверсом к 15</w:t>
      </w:r>
      <w:r w:rsidRPr="00C33834">
        <w:rPr>
          <w:color w:val="000000" w:themeColor="text1"/>
          <w:sz w:val="16"/>
          <w:szCs w:val="16"/>
        </w:rPr>
        <w:noBreakHyphen/>
        <w:t>11</w:t>
      </w:r>
      <w:r w:rsidRPr="00C33834">
        <w:rPr>
          <w:color w:val="000000" w:themeColor="text1"/>
          <w:sz w:val="16"/>
          <w:szCs w:val="16"/>
        </w:rPr>
        <w:noBreakHyphen/>
        <w:t>1933; б) установить 2 мотора М</w:t>
      </w:r>
      <w:r w:rsidRPr="00C33834">
        <w:rPr>
          <w:color w:val="000000" w:themeColor="text1"/>
          <w:sz w:val="16"/>
          <w:szCs w:val="16"/>
        </w:rPr>
        <w:noBreakHyphen/>
        <w:t>34 на торпедном катере к 1</w:t>
      </w:r>
      <w:r w:rsidRPr="00C33834">
        <w:rPr>
          <w:color w:val="000000" w:themeColor="text1"/>
          <w:sz w:val="16"/>
          <w:szCs w:val="16"/>
        </w:rPr>
        <w:noBreakHyphen/>
        <w:t>12</w:t>
      </w:r>
      <w:r w:rsidRPr="00C33834">
        <w:rPr>
          <w:color w:val="000000" w:themeColor="text1"/>
          <w:sz w:val="16"/>
          <w:szCs w:val="16"/>
        </w:rPr>
        <w:noBreakHyphen/>
        <w:t>1933 и закончить его испытание к 15</w:t>
      </w:r>
      <w:r w:rsidRPr="00C33834">
        <w:rPr>
          <w:color w:val="000000" w:themeColor="text1"/>
          <w:sz w:val="16"/>
          <w:szCs w:val="16"/>
        </w:rPr>
        <w:noBreakHyphen/>
        <w:t>12</w:t>
      </w:r>
      <w:r w:rsidRPr="00C33834">
        <w:rPr>
          <w:color w:val="000000" w:themeColor="text1"/>
          <w:sz w:val="16"/>
          <w:szCs w:val="16"/>
        </w:rPr>
        <w:noBreakHyphen/>
        <w:t>1933; в) смонтировать к 10</w:t>
      </w:r>
      <w:r w:rsidRPr="00C33834">
        <w:rPr>
          <w:color w:val="000000" w:themeColor="text1"/>
          <w:sz w:val="16"/>
          <w:szCs w:val="16"/>
        </w:rPr>
        <w:noBreakHyphen/>
        <w:t>12</w:t>
      </w:r>
      <w:r w:rsidRPr="00C33834">
        <w:rPr>
          <w:color w:val="000000" w:themeColor="text1"/>
          <w:sz w:val="16"/>
          <w:szCs w:val="16"/>
        </w:rPr>
        <w:noBreakHyphen/>
        <w:t>1933 на одном катере 2 мотора ГМ</w:t>
      </w:r>
      <w:r w:rsidRPr="00C33834">
        <w:rPr>
          <w:color w:val="000000" w:themeColor="text1"/>
          <w:sz w:val="16"/>
          <w:szCs w:val="16"/>
        </w:rPr>
        <w:noBreakHyphen/>
        <w:t>34 без реверса и испытать его не позднее 20</w:t>
      </w:r>
      <w:r w:rsidRPr="00C33834">
        <w:rPr>
          <w:color w:val="000000" w:themeColor="text1"/>
          <w:sz w:val="16"/>
          <w:szCs w:val="16"/>
        </w:rPr>
        <w:noBreakHyphen/>
        <w:t>12</w:t>
      </w:r>
      <w:r w:rsidRPr="00C33834">
        <w:rPr>
          <w:color w:val="000000" w:themeColor="text1"/>
          <w:sz w:val="16"/>
          <w:szCs w:val="16"/>
        </w:rPr>
        <w:noBreakHyphen/>
        <w:t>1933. 6. Обязать начальника ГУАП Королева начать в кратчайший срок серийное производство реверсивных муфт для моторов ГМ</w:t>
      </w:r>
      <w:r w:rsidRPr="00C33834">
        <w:rPr>
          <w:color w:val="000000" w:themeColor="text1"/>
          <w:sz w:val="16"/>
          <w:szCs w:val="16"/>
        </w:rPr>
        <w:noBreakHyphen/>
        <w:t>34 на заводе “Спартак” с началом выпуска не позднее 1</w:t>
      </w:r>
      <w:r w:rsidRPr="00C33834">
        <w:rPr>
          <w:color w:val="000000" w:themeColor="text1"/>
          <w:sz w:val="16"/>
          <w:szCs w:val="16"/>
        </w:rPr>
        <w:noBreakHyphen/>
        <w:t>4</w:t>
      </w:r>
      <w:r w:rsidRPr="00C33834">
        <w:rPr>
          <w:color w:val="000000" w:themeColor="text1"/>
          <w:sz w:val="16"/>
          <w:szCs w:val="16"/>
        </w:rPr>
        <w:noBreakHyphen/>
        <w:t>1934. 7. Возложить на ГУАП (Макаровского и Колосова) ответственность за переделку и приспособление моторов М</w:t>
      </w:r>
      <w:r w:rsidRPr="00C33834">
        <w:rPr>
          <w:color w:val="000000" w:themeColor="text1"/>
          <w:sz w:val="16"/>
          <w:szCs w:val="16"/>
        </w:rPr>
        <w:noBreakHyphen/>
        <w:t>34 для надежной работы в условиях торпедного катера. 8. Обязать НКВМ, организовать приемный аппарат на заводе № 24 для приемки моторов, предназначенных для катеров, а также усилить приемный аппарат на заводе имени Марти в Ленинграде. 9. Определить всю программу выпуска моторов ГМ</w:t>
      </w:r>
      <w:r w:rsidRPr="00C33834">
        <w:rPr>
          <w:color w:val="000000" w:themeColor="text1"/>
          <w:sz w:val="16"/>
          <w:szCs w:val="16"/>
        </w:rPr>
        <w:noBreakHyphen/>
        <w:t xml:space="preserve">34 для военно-морских сил РККА на 1934 год в 350 моторов. НКТП СССР совместно с НКВМ установить в декадный срок план выпуска всех моторов, в соответствии с программой строительства кораблей. </w:t>
      </w:r>
      <w:hyperlink r:id="rId369" w:anchor="showunit&amp;id=88309" w:history="1">
        <w:r w:rsidRPr="00C33834">
          <w:rPr>
            <w:rStyle w:val="a5"/>
            <w:color w:val="000000" w:themeColor="text1"/>
            <w:sz w:val="16"/>
            <w:szCs w:val="16"/>
          </w:rPr>
          <w:t>62/47. О морском сотрудничестве с Францией</w:t>
        </w:r>
      </w:hyperlink>
      <w:r w:rsidRPr="00C33834">
        <w:rPr>
          <w:color w:val="000000" w:themeColor="text1"/>
          <w:sz w:val="16"/>
          <w:szCs w:val="16"/>
        </w:rPr>
        <w:t xml:space="preserve"> (ПБ от 11 ноября 1933 г.). — ОП. Решено: Сообщить французскому послу о нашем согласии принять у себя на предложенных им условиях французского морского офицера и сопровождающего его инженера-кораблестроителя. Информировать французского посла о нашей готовности к переговорам с французским правительством о сроке и порядке поездки во Францию советской морской комиссии. </w:t>
      </w:r>
      <w:hyperlink r:id="rId370" w:anchor="showunit&amp;id=88324" w:history="1">
        <w:r w:rsidRPr="00C33834">
          <w:rPr>
            <w:rStyle w:val="a5"/>
            <w:color w:val="000000" w:themeColor="text1"/>
            <w:sz w:val="16"/>
            <w:szCs w:val="16"/>
          </w:rPr>
          <w:t>76/61. О строительстве Хабаровского нефтеперегонного завода</w:t>
        </w:r>
      </w:hyperlink>
      <w:r w:rsidRPr="00C33834">
        <w:rPr>
          <w:color w:val="000000" w:themeColor="text1"/>
          <w:sz w:val="16"/>
          <w:szCs w:val="16"/>
        </w:rPr>
        <w:t xml:space="preserve"> (ПБ от 1 ноября 1933 г., пр. № 148, п. 17), (ПБ от 13  ноября 1933 г.). — ОП. Решено: а) Принять к сведению заявление НКТП Орджоникидзе: 1. О выполнении работы по расширению нефтепровода Оха — Москальво на острове Сахалин и об обеспечении перекачки 160 тысячи тонн нефти в навигацию 1934 года. О включении в промфинплан Сахалиннефти средств с расчетом дальнейшего расширения нефтепровода для перекачки 400 тысяч тонн нефти в 1935 году. 2. О полном выделении в 4 квартале 1933 года фонда на металл для 12 резервуаров емкостью 10 тысяч тонн. О приступлении к заготовке резервуаров. 3. О включении в план капитального строительства треста “Нефтезаводы” расширение Хабаровского нефтеперегонного завода до 400 тысяч тонн со сроком окончания строительства к началу навигации 1935 года. б) Обязать Наркомвод (Янсона): 1. Построить к началу навигации 1934 года нефтяную пристань в Хабаровске и причалы в Москальво и в Николаевске-на-Амуре, обеспечивающие налив и слив нефти в 160 тысяч тонн в 1934 году и 400 тысяч тонн в 1935 году. 2. Обеспечить окончание сборки в Благовещенске к 1</w:t>
      </w:r>
      <w:r w:rsidRPr="00C33834">
        <w:rPr>
          <w:color w:val="000000" w:themeColor="text1"/>
          <w:sz w:val="16"/>
          <w:szCs w:val="16"/>
        </w:rPr>
        <w:noBreakHyphen/>
        <w:t>4</w:t>
      </w:r>
      <w:r w:rsidRPr="00C33834">
        <w:rPr>
          <w:color w:val="000000" w:themeColor="text1"/>
          <w:sz w:val="16"/>
          <w:szCs w:val="16"/>
        </w:rPr>
        <w:noBreakHyphen/>
        <w:t>1934 двух рейдовых барж №№ 2 и 3 по 3500 тонн и четырех речных барж по 4000 тонн каждая. 3. Провести организованную посылку на Благовещенскую судоверфь 350 котельщиков немедленно и 250 котельщиков к 1</w:t>
      </w:r>
      <w:r w:rsidRPr="00C33834">
        <w:rPr>
          <w:color w:val="000000" w:themeColor="text1"/>
          <w:sz w:val="16"/>
          <w:szCs w:val="16"/>
        </w:rPr>
        <w:noBreakHyphen/>
        <w:t>1</w:t>
      </w:r>
      <w:r w:rsidRPr="00C33834">
        <w:rPr>
          <w:color w:val="000000" w:themeColor="text1"/>
          <w:sz w:val="16"/>
          <w:szCs w:val="16"/>
        </w:rPr>
        <w:noBreakHyphen/>
        <w:t xml:space="preserve">1934. 4. Изыскать и направить в ДВК морским путем 5 мощных рейдовых буксиров с осадкой не больше 3 метров для перевозки в навигацию 1934 года 160 тысячи тонн нефти. 5. Обеспечить поступление в Благовещенск на позднее июня 1934 года в разобранном виде 5 рейдовых буксиров по 600 сил каждый, а также 4 рейдовых барж по 3500 тонн, 1 речной баржи в 4000 тонн и 3 речных барж по 8000 тонн каждая для обеспечений перевозок нефти в 1935 году. 6. Обеспечить перевозку разобранных в Батуме четырех резервуаров в Николаевск-на-Амуре к маю 1934 года. в) Обязать Наркомснаб (Микояна) включить на 4 квартал 1933 года и на 1934 год Хабаровское </w:t>
      </w:r>
      <w:r w:rsidRPr="00C33834">
        <w:rPr>
          <w:color w:val="000000" w:themeColor="text1"/>
          <w:sz w:val="16"/>
          <w:szCs w:val="16"/>
        </w:rPr>
        <w:lastRenderedPageBreak/>
        <w:t xml:space="preserve">строительство на снабжение в список предприятий, получающих мясо и жиры для индивидуального и общественного питания. г) Обязать НКПС до конца строительства Хабаровского завода обеспечить подвижным составом переброску всех необходимых строительству грузов по железным дорогам. </w:t>
      </w:r>
      <w:hyperlink r:id="rId371" w:anchor="showunit&amp;id=88325" w:history="1">
        <w:r w:rsidRPr="00C33834">
          <w:rPr>
            <w:rStyle w:val="a5"/>
            <w:color w:val="000000" w:themeColor="text1"/>
            <w:sz w:val="16"/>
            <w:szCs w:val="16"/>
          </w:rPr>
          <w:t>77/62. Вопрос КО</w:t>
        </w:r>
      </w:hyperlink>
      <w:r w:rsidRPr="00C33834">
        <w:rPr>
          <w:color w:val="000000" w:themeColor="text1"/>
          <w:sz w:val="16"/>
          <w:szCs w:val="16"/>
        </w:rPr>
        <w:t xml:space="preserve"> (ПБ от 13 ноября 1933 г.). — ОП. Решено: Утвердить постановление СТО о выделении НКТП в ноябре 1933 года из резервного фонда СНК трех миллионов рублей для проведения подготовительных работ по строительству бензоемкостей на Дальнем Востоке и в Восточной Сибири. </w:t>
      </w:r>
      <w:hyperlink r:id="rId372" w:anchor="showunit&amp;id=88326" w:history="1">
        <w:r w:rsidRPr="00C33834">
          <w:rPr>
            <w:rStyle w:val="a5"/>
            <w:color w:val="000000" w:themeColor="text1"/>
            <w:sz w:val="16"/>
            <w:szCs w:val="16"/>
          </w:rPr>
          <w:t>78/63. Об оборудовании для Верхнеудинского завода</w:t>
        </w:r>
      </w:hyperlink>
      <w:r w:rsidRPr="00C33834">
        <w:rPr>
          <w:color w:val="000000" w:themeColor="text1"/>
          <w:sz w:val="16"/>
          <w:szCs w:val="16"/>
        </w:rPr>
        <w:t xml:space="preserve"> (ПБ от 13 ноября 1933 г.). — ОП. Решено: Поручить Наркомвнешторгу закупить в 4 квартале 1933 года оборудование для Верхнеудинского паровозовагоноремонтного завода на сумму 480 тысяч рублей с отнесением этой суммы за счет импортных контингентов НКПС в 1934 году. </w:t>
      </w:r>
      <w:hyperlink r:id="rId373" w:anchor="showunit&amp;id=88338" w:history="1">
        <w:r w:rsidRPr="00C33834">
          <w:rPr>
            <w:rStyle w:val="a5"/>
            <w:color w:val="000000" w:themeColor="text1"/>
            <w:sz w:val="16"/>
            <w:szCs w:val="16"/>
          </w:rPr>
          <w:t>89/75. О развитии радиопромышленности и радиофикации во II пятилетке</w:t>
        </w:r>
      </w:hyperlink>
      <w:r w:rsidRPr="00C33834">
        <w:rPr>
          <w:color w:val="000000" w:themeColor="text1"/>
          <w:sz w:val="16"/>
          <w:szCs w:val="16"/>
        </w:rPr>
        <w:t xml:space="preserve"> (ПБ от 14 ноября 1933 г.). Решено: Рассмотреть вопрос при обсуждении 2 пятилетнего плана. </w:t>
      </w:r>
      <w:hyperlink r:id="rId374" w:anchor="showunit&amp;id=88247" w:history="1">
        <w:r w:rsidRPr="00C33834">
          <w:rPr>
            <w:rStyle w:val="a5"/>
            <w:color w:val="000000" w:themeColor="text1"/>
            <w:sz w:val="16"/>
            <w:szCs w:val="16"/>
          </w:rPr>
          <w:t>102/88. О награждении организаторов и строителей завода «Шарикоподшипник», группы азотных заводов и Хибинских апатитов.</w:t>
        </w:r>
      </w:hyperlink>
      <w:r w:rsidRPr="00C33834">
        <w:rPr>
          <w:color w:val="000000" w:themeColor="text1"/>
          <w:sz w:val="16"/>
          <w:szCs w:val="16"/>
        </w:rPr>
        <w:t xml:space="preserve"> — ОП. Решено: Поручить комиссии по наградам рассмотреть предложения о награждении орденами организаторов и строителей заводов: 1) “Шарикоподшипник”, 2) Березняки, 3) Чернореченский, 4) Бобрики, 5) Горловский, 6) Хибинские апатиты. Включить в список награждаемых по всем указанным заводам не более 60 человек. </w:t>
      </w:r>
      <w:hyperlink r:id="rId375" w:anchor="showunit&amp;id=88251" w:history="1">
        <w:r w:rsidRPr="00C33834">
          <w:rPr>
            <w:rStyle w:val="a5"/>
            <w:color w:val="000000" w:themeColor="text1"/>
            <w:sz w:val="16"/>
            <w:szCs w:val="16"/>
          </w:rPr>
          <w:t>106/120. Предложения Сталина и Гамарника (об усилении обороны морского побережья на Дальнем Востоке)</w:t>
        </w:r>
      </w:hyperlink>
      <w:r w:rsidRPr="00C33834">
        <w:rPr>
          <w:color w:val="000000" w:themeColor="text1"/>
          <w:sz w:val="16"/>
          <w:szCs w:val="16"/>
        </w:rPr>
        <w:t xml:space="preserve"> (ПБ от 28 октября 1933 г., пр. № 149, п. 120). — ОП. Решено: Принять предложения Сталина и Гамарника: а) Считать необходимым провести для усиления обороны нашего морского побережья следующие меры: 1) Построить и перебросить к 1</w:t>
      </w:r>
      <w:r w:rsidRPr="00C33834">
        <w:rPr>
          <w:color w:val="000000" w:themeColor="text1"/>
          <w:sz w:val="16"/>
          <w:szCs w:val="16"/>
        </w:rPr>
        <w:noBreakHyphen/>
        <w:t>5</w:t>
      </w:r>
      <w:r w:rsidRPr="00C33834">
        <w:rPr>
          <w:color w:val="000000" w:themeColor="text1"/>
          <w:sz w:val="16"/>
          <w:szCs w:val="16"/>
        </w:rPr>
        <w:noBreakHyphen/>
        <w:t>1934 на Дальний Восток 100 торпедных катеров. Импортировать при необходимости моторы для этих катеров. Добиваться при постройке торпедных катеров их высокой мореходности, желательно 7</w:t>
      </w:r>
      <w:r w:rsidRPr="00C33834">
        <w:rPr>
          <w:color w:val="000000" w:themeColor="text1"/>
          <w:sz w:val="16"/>
          <w:szCs w:val="16"/>
        </w:rPr>
        <w:noBreakHyphen/>
        <w:t>8 баллов. Привлечь в случае необходимости иностранную техпомощь. 2) Отправить в Николаев комиссию в составе Гамарника, Орлова, Муклевича и Павлуновского. Рекомендовать комиссии добиваться ликвидации недостатков в “Малютке” и обеспечения сдачи заводом в текущем году еще 20 подлодок типа “Малютка”. б) Поручить Орджоникидзе и Гамарнику в 2</w:t>
      </w:r>
      <w:r w:rsidRPr="00C33834">
        <w:rPr>
          <w:color w:val="000000" w:themeColor="text1"/>
          <w:sz w:val="16"/>
          <w:szCs w:val="16"/>
        </w:rPr>
        <w:noBreakHyphen/>
        <w:t>дневный срок представить проект конкретных мероприятий по осуществлению пункта 1 (15462).</w:t>
      </w:r>
    </w:p>
    <w:p w14:paraId="027DE6C4" w14:textId="77777777" w:rsidR="00CE750F" w:rsidRPr="00C33834" w:rsidRDefault="00CE750F" w:rsidP="00C33834">
      <w:pPr>
        <w:pStyle w:val="rtejustify"/>
        <w:spacing w:before="0" w:after="0"/>
        <w:rPr>
          <w:color w:val="000000" w:themeColor="text1"/>
          <w:sz w:val="16"/>
          <w:szCs w:val="16"/>
        </w:rPr>
      </w:pPr>
    </w:p>
    <w:p w14:paraId="330A93F1" w14:textId="77777777" w:rsidR="00CE750F" w:rsidRPr="00C33834" w:rsidRDefault="00CE750F"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color w:val="000000" w:themeColor="text1"/>
          <w:sz w:val="16"/>
          <w:szCs w:val="16"/>
        </w:rPr>
        <w:t>15 ноября 1933 г. Протокол ПБ № 149 п.36/22: Доклад Гамарника о постройке подлодок типа "Малютка" – ОП. Решено: 1. Утвердить разработанный комиссией Гамарника совместно с директорами заводов имени Марти и имени "61" график постройки и сдачи 20 подлодок типа "М" в 1933 году. 2. Произвести на всех подлодках типа "М" исправления конструктивных дефектов, выявленные на испытаниях. 3. Отправить 1-12-1933 на Дальний Восток первые три подлодки, 15-12-1933 - следующие три подлодки, с установкой на них аппаратуры, гарантирующей подлодку от всплытия при выстреле одной торпеды. Произвести оборудование этих шести подлодок аппаратурой, обеспечивающей подлодку от всплытия при двухторпедном залпе, на Дальнем Востоке. 4. Предложить Орджоникидзе, в виду неудовлетворительного состояния заводов имени Марти и имени "61", в 2-недельный срок разработать и доложить ЦК ВКП(б) мероприятия, обеспечивающие выполнение программы военно-морского судостроения в 1934 году на этих заводах. 5. Назначить на завод имени Марти ответственного секретаря парторга ЦК; предложить Ежову, представить кандидата на эту должность (15884).</w:t>
      </w:r>
    </w:p>
    <w:p w14:paraId="37DA5ADF" w14:textId="77777777" w:rsidR="00CE750F" w:rsidRPr="00C33834" w:rsidRDefault="00CE750F" w:rsidP="00C33834">
      <w:pPr>
        <w:spacing w:after="0" w:line="240" w:lineRule="auto"/>
        <w:jc w:val="both"/>
        <w:rPr>
          <w:rFonts w:ascii="Times New Roman" w:hAnsi="Times New Roman"/>
          <w:iCs/>
          <w:color w:val="000000" w:themeColor="text1"/>
          <w:sz w:val="16"/>
          <w:szCs w:val="16"/>
        </w:rPr>
      </w:pPr>
    </w:p>
    <w:p w14:paraId="4EDCF115" w14:textId="77777777" w:rsidR="00CE750F" w:rsidRPr="00C33834" w:rsidRDefault="00CE750F"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color w:val="000000" w:themeColor="text1"/>
          <w:sz w:val="16"/>
          <w:szCs w:val="16"/>
        </w:rPr>
        <w:t>15 ноября 1933 г. Протокол ПБ № 149 п.106/120: Предложения Сталина и Гамарника – ОП. Решено: Принять предложения Сталина и Гамарника: а) Считать необходимым провести для усиления обороны нашего морского побережья следующие меры: 1) Построить и перебросить к 1-5-1934 на Дальний Восток 100 торпедных катеров. Импортировать при необходимости моторы для этих катеров. Добиваться при постройке торпедных катеров их высокой мореходности, желательно 7-8 баллов. Привлечь в случае необходимости иностранную техпомощь. 2) Отправить в Николаев комиссию в составе Гамарника, Орлова, Муклевича и Павлуновского. Рекомендовать комиссии добиваться ликвидации недостатков в "Малютке" и обеспечения сдачи заводом в текущем году еще 20 подлодок типа "Малютка". б) Поручить Орджоникидзе и Гамарнику в 2-дневный срок представить проект конкретных мероприятий по осуществлению пункта 1 (15885).</w:t>
      </w:r>
    </w:p>
    <w:p w14:paraId="0D1984D4" w14:textId="77777777" w:rsidR="00CE750F" w:rsidRPr="00C33834" w:rsidRDefault="00CE750F" w:rsidP="00C33834">
      <w:pPr>
        <w:spacing w:after="0" w:line="240" w:lineRule="auto"/>
        <w:jc w:val="both"/>
        <w:rPr>
          <w:rFonts w:ascii="Times New Roman" w:hAnsi="Times New Roman"/>
          <w:iCs/>
          <w:color w:val="000000" w:themeColor="text1"/>
          <w:sz w:val="16"/>
          <w:szCs w:val="16"/>
        </w:rPr>
      </w:pPr>
    </w:p>
    <w:p w14:paraId="27097675"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ноября 1933</w:t>
      </w:r>
    </w:p>
    <w:p w14:paraId="31123E3F"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Протокол № 149 заседания Политбюро ЦК ВКП(б) от 15 ноября 1933 года</w:t>
      </w:r>
    </w:p>
    <w:p w14:paraId="23EAC544"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Заседание Политбюро ЦК ВКП(б) от 15</w:t>
      </w:r>
      <w:r w:rsidRPr="00C33834">
        <w:rPr>
          <w:rFonts w:ascii="Times New Roman" w:hAnsi="Times New Roman"/>
          <w:color w:val="000000" w:themeColor="text1"/>
          <w:sz w:val="16"/>
          <w:szCs w:val="16"/>
        </w:rPr>
        <w:noBreakHyphen/>
        <w:t>го ноября 1933 года.</w:t>
      </w:r>
    </w:p>
    <w:p w14:paraId="009E7509"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51/37: О постройке 100 торпедных катеров для Дальнего Востока</w:t>
      </w:r>
    </w:p>
    <w:p w14:paraId="59FC77A4"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 особая папка.</w:t>
      </w:r>
    </w:p>
    <w:p w14:paraId="4586B036"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Обязать НКТП СССР, под личную ответственность т. Орджоникидзе, построить и перебросить на Дальний Восток к 1.V.1934 г. 100 торпедных катеров типа Г</w:t>
      </w:r>
      <w:r w:rsidRPr="00C33834">
        <w:rPr>
          <w:rFonts w:ascii="Times New Roman" w:hAnsi="Times New Roman"/>
          <w:color w:val="000000" w:themeColor="text1"/>
          <w:sz w:val="16"/>
          <w:szCs w:val="16"/>
        </w:rPr>
        <w:noBreakHyphen/>
        <w:t>5.</w:t>
      </w:r>
    </w:p>
    <w:p w14:paraId="5B22E08E"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Установить следующий календарный план сдачи торпедных катеров заводом им. Марти (ГУСП):</w:t>
      </w:r>
    </w:p>
    <w:p w14:paraId="640D98BA"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г.     1 катер.</w:t>
      </w:r>
    </w:p>
    <w:p w14:paraId="78A8FC0C"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г.    7 катер.</w:t>
      </w:r>
    </w:p>
    <w:p w14:paraId="05DA4875"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январе 1934 г.    18 катер.</w:t>
      </w:r>
    </w:p>
    <w:p w14:paraId="221A59CB"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1934 г.   25 катер.</w:t>
      </w:r>
    </w:p>
    <w:p w14:paraId="67F37771"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1934 г.     30 катер.</w:t>
      </w:r>
    </w:p>
    <w:p w14:paraId="023A1AD2"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20 апреля 1934 г. 19 катер.</w:t>
      </w:r>
    </w:p>
    <w:p w14:paraId="0A23ABEE"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Исходя из срока сдачи торпедных катеров, обязать ГУАП, под личную ответственность тов. Королева и директора завода № 24 т. Марьямова, подать на завод им. Марти 200 моторов в следующие сроки:</w:t>
      </w:r>
    </w:p>
    <w:p w14:paraId="15878170"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мотора М-34 — 18 ноября 1933 г.</w:t>
      </w:r>
    </w:p>
    <w:p w14:paraId="0A7D6419"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моторов М-34 — к 1 декабря 1933 г.</w:t>
      </w:r>
    </w:p>
    <w:p w14:paraId="0775C314"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моторов М-34 — в декабре 1933 г. по 10 шт. в декаду.</w:t>
      </w:r>
    </w:p>
    <w:p w14:paraId="4BC983A2"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мотора ГМ-34 без реверса — к 1 декабря 1933 г.</w:t>
      </w:r>
    </w:p>
    <w:p w14:paraId="0CCBCA3D"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моторов ГМ-34 без реверса — в декабре 1933 г.</w:t>
      </w:r>
    </w:p>
    <w:p w14:paraId="011A4302"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 моторов ГМ-34 без реверса — в январе 1934 г. по 20 шт. в декаду.</w:t>
      </w:r>
    </w:p>
    <w:p w14:paraId="678943B8"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 моторов ГМ-34 без реверса — в феврале 1934 г. по 20 шт. в декаду.</w:t>
      </w:r>
    </w:p>
    <w:p w14:paraId="17F7D931"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моторов ГМ-34 без реверса — к 15 марта 1934 года.</w:t>
      </w:r>
    </w:p>
    <w:p w14:paraId="1A53E899"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 виде временной меры, для ускорения введения катеров в строй, поставить на 20 катеров авиационные моторы М</w:t>
      </w:r>
      <w:r w:rsidRPr="00C33834">
        <w:rPr>
          <w:rFonts w:ascii="Times New Roman" w:hAnsi="Times New Roman"/>
          <w:color w:val="000000" w:themeColor="text1"/>
          <w:sz w:val="16"/>
          <w:szCs w:val="16"/>
        </w:rPr>
        <w:noBreakHyphen/>
        <w:t>34, а на все остальные торпедные катера — моторы ГМ</w:t>
      </w:r>
      <w:r w:rsidRPr="00C33834">
        <w:rPr>
          <w:rFonts w:ascii="Times New Roman" w:hAnsi="Times New Roman"/>
          <w:color w:val="000000" w:themeColor="text1"/>
          <w:sz w:val="16"/>
          <w:szCs w:val="16"/>
        </w:rPr>
        <w:noBreakHyphen/>
        <w:t>34 без реверсов с тем, чтобы после изготовления моторов ГМ</w:t>
      </w:r>
      <w:r w:rsidRPr="00C33834">
        <w:rPr>
          <w:rFonts w:ascii="Times New Roman" w:hAnsi="Times New Roman"/>
          <w:color w:val="000000" w:themeColor="text1"/>
          <w:sz w:val="16"/>
          <w:szCs w:val="16"/>
        </w:rPr>
        <w:noBreakHyphen/>
        <w:t>34 с реверсами заменить ими 40 моторов без реверсов поставленные на первых 20</w:t>
      </w:r>
      <w:r w:rsidRPr="00C33834">
        <w:rPr>
          <w:rFonts w:ascii="Times New Roman" w:hAnsi="Times New Roman"/>
          <w:color w:val="000000" w:themeColor="text1"/>
          <w:sz w:val="16"/>
          <w:szCs w:val="16"/>
        </w:rPr>
        <w:noBreakHyphen/>
        <w:t>ти катерах и установить реверсы на остальных 160 моторах ГМ</w:t>
      </w:r>
      <w:r w:rsidRPr="00C33834">
        <w:rPr>
          <w:rFonts w:ascii="Times New Roman" w:hAnsi="Times New Roman"/>
          <w:color w:val="000000" w:themeColor="text1"/>
          <w:sz w:val="16"/>
          <w:szCs w:val="16"/>
        </w:rPr>
        <w:noBreakHyphen/>
        <w:t>34.</w:t>
      </w:r>
    </w:p>
    <w:p w14:paraId="200EE71D"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Обязать ГУСП (т. Кондратьева) и НКВМор (т. Орлова):</w:t>
      </w:r>
    </w:p>
    <w:p w14:paraId="76C4F97B"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закончить испытания катера с мотором ГМ</w:t>
      </w:r>
      <w:r w:rsidRPr="00C33834">
        <w:rPr>
          <w:rFonts w:ascii="Times New Roman" w:hAnsi="Times New Roman"/>
          <w:color w:val="000000" w:themeColor="text1"/>
          <w:sz w:val="16"/>
          <w:szCs w:val="16"/>
        </w:rPr>
        <w:noBreakHyphen/>
        <w:t>34 с реверсом к 15 ноября 1933 года;</w:t>
      </w:r>
    </w:p>
    <w:p w14:paraId="7DA3DB7E"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установить 2 мотора М</w:t>
      </w:r>
      <w:r w:rsidRPr="00C33834">
        <w:rPr>
          <w:rFonts w:ascii="Times New Roman" w:hAnsi="Times New Roman"/>
          <w:color w:val="000000" w:themeColor="text1"/>
          <w:sz w:val="16"/>
          <w:szCs w:val="16"/>
        </w:rPr>
        <w:noBreakHyphen/>
        <w:t>34 на торпедном катере к 1 декабря 1933 г. и закончить его испытание к 15 декабря;</w:t>
      </w:r>
    </w:p>
    <w:p w14:paraId="12285BB3"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смонтировать к 10 декабря на одном катере 2 мотора ГМ</w:t>
      </w:r>
      <w:r w:rsidRPr="00C33834">
        <w:rPr>
          <w:rFonts w:ascii="Times New Roman" w:hAnsi="Times New Roman"/>
          <w:color w:val="000000" w:themeColor="text1"/>
          <w:sz w:val="16"/>
          <w:szCs w:val="16"/>
        </w:rPr>
        <w:noBreakHyphen/>
        <w:t>34 без реверса и испытать его не позднее 20 декабря.</w:t>
      </w:r>
    </w:p>
    <w:p w14:paraId="31529D4C"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Начальнику ГУАП тов. Королеву в кратчайший срок поставить серийное производство реверсивных муфт для моторов ГМ</w:t>
      </w:r>
      <w:r w:rsidRPr="00C33834">
        <w:rPr>
          <w:rFonts w:ascii="Times New Roman" w:hAnsi="Times New Roman"/>
          <w:color w:val="000000" w:themeColor="text1"/>
          <w:sz w:val="16"/>
          <w:szCs w:val="16"/>
        </w:rPr>
        <w:noBreakHyphen/>
        <w:t>34 на заводе “Спартак” с началом выпуска не позднее 1 апреля 1934 года.</w:t>
      </w:r>
    </w:p>
    <w:p w14:paraId="49693A16"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Возложить на ГУАП (т.т. Макаровского и Колосова) ответственность за переделку и приспособление моторов М</w:t>
      </w:r>
      <w:r w:rsidRPr="00C33834">
        <w:rPr>
          <w:rFonts w:ascii="Times New Roman" w:hAnsi="Times New Roman"/>
          <w:color w:val="000000" w:themeColor="text1"/>
          <w:sz w:val="16"/>
          <w:szCs w:val="16"/>
        </w:rPr>
        <w:noBreakHyphen/>
        <w:t>34 для надежной работы в условиях торпедного катера.</w:t>
      </w:r>
    </w:p>
    <w:p w14:paraId="64E630C9"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НКВМору организовать приемный аппарат на заводе № 24 для приемки моторов, предназначенных для катеров, а также усилить приемный аппарат на заводе им. Марти в Ленинграде.</w:t>
      </w:r>
    </w:p>
    <w:p w14:paraId="6DEA8434"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Определить всю программу выпуска моторов ГМ</w:t>
      </w:r>
      <w:r w:rsidRPr="00C33834">
        <w:rPr>
          <w:rFonts w:ascii="Times New Roman" w:hAnsi="Times New Roman"/>
          <w:color w:val="000000" w:themeColor="text1"/>
          <w:sz w:val="16"/>
          <w:szCs w:val="16"/>
        </w:rPr>
        <w:noBreakHyphen/>
        <w:t>34 для Военно-Морских Сил РККА на 1934 год в 350 моторов.</w:t>
      </w:r>
    </w:p>
    <w:p w14:paraId="58DEC263"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НКТП СССР совместно с НКВМором в декадный срок установить план выпуска всех моторов, в соответствии с программой строительства кораблей.</w:t>
      </w:r>
    </w:p>
    <w:p w14:paraId="74D447C6"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Выписки посланы:</w:t>
      </w:r>
    </w:p>
    <w:p w14:paraId="0ED261C8"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Молотову (К. О.), Орджоникидзе, Гамарнику.</w:t>
      </w:r>
    </w:p>
    <w:p w14:paraId="37FDEA08"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(18146).</w:t>
      </w:r>
    </w:p>
    <w:p w14:paraId="23080D79" w14:textId="77777777" w:rsidR="00B81B17" w:rsidRPr="00C33834" w:rsidRDefault="00B81B17" w:rsidP="00C33834">
      <w:pPr>
        <w:spacing w:after="0" w:line="240" w:lineRule="auto"/>
        <w:jc w:val="both"/>
        <w:rPr>
          <w:rFonts w:ascii="Times New Roman" w:hAnsi="Times New Roman"/>
          <w:color w:val="000000" w:themeColor="text1"/>
          <w:sz w:val="16"/>
          <w:szCs w:val="16"/>
        </w:rPr>
      </w:pPr>
    </w:p>
    <w:p w14:paraId="06F9A943"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32DF1BB3"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343669E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ноября 1933 в Москве была открыта первая троллейбусная линия (3481).</w:t>
      </w:r>
    </w:p>
    <w:p w14:paraId="2688E45C"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6CAD6E6B" w14:textId="77777777" w:rsidR="00CE750F" w:rsidRPr="00C33834" w:rsidRDefault="00CE750F"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 xml:space="preserve">15 ноября </w:t>
      </w:r>
      <w:r w:rsidRPr="00C33834">
        <w:rPr>
          <w:rFonts w:ascii="Times New Roman" w:hAnsi="Times New Roman"/>
          <w:color w:val="000000" w:themeColor="text1"/>
          <w:sz w:val="16"/>
          <w:szCs w:val="16"/>
        </w:rPr>
        <w:t xml:space="preserve">в 1933 году в Москве началось регулярное движение троллейбусов. В 11 утра из гаража в селе Всехсвятском (впоследствии 1-й Троллейбусный парк в Головановском переулке) вышел в рейс один из двух изготовленных к тому времени троллейбусов марки ЛК-1 (ЛК — инициалы тогдашнего «хозяина» Москвы, первого секретаря Московского комитета партии Лазаря Кагановича). Он поехал по первой линии — от Белорусско-Балтийского вокзала по Ленинградскому и Волоколамскому шоссе до моста Окружной железной дороги.Все они были отечественного производства, именовались в честь инициатора создания троллейбуса 1-го секретаря московского комитета партии Лазаря Кагановича "ЛК" и выпускались кооперативно. У этих троллейбусов были ясене-дубовые корпуса, обшитые </w:t>
      </w:r>
      <w:r w:rsidRPr="00C33834">
        <w:rPr>
          <w:rFonts w:ascii="Times New Roman" w:hAnsi="Times New Roman"/>
          <w:color w:val="000000" w:themeColor="text1"/>
          <w:sz w:val="16"/>
          <w:szCs w:val="16"/>
        </w:rPr>
        <w:lastRenderedPageBreak/>
        <w:t>снаружи металлическими листами и внутри - фанерой, с двумя входами, узенькими и крутыми подножками. Из 55-ти пассажиров 37 могли путешествовать на сиденьях, покрытых кожзаменителем. Окна были с зеркальными стеклами, 9 из которых можно было поднимать. 3 электрических калорифера обогревали салон (по проекту, на самом деле устанавливались они крайне редко), 4 вентилятора освежали в жаркую погоду, по вечерам освещали 10 лампочек. Заднюю двустворчатую входную дверь открывали сами пассажиры, переднюю одностворчатую выходную - водитель или кондуктор. Шарниры на штангах позволяли троллейбусу отклоняться на 2 метра в любую сторону от проводов. Один из первых водителей московского троллейбуса вспоминал: "...трудно было на них работать. Тормоза ненадежные, двери открывались вручную, рулевое колесо целую смену могли крутить только физически сильные люди. Ветровые стекла крепились на барашках, салон зимой не отапливался". Управлять троллейбусом было тяжело, водителю позволялось делать не более 3-х - 4-х рейсов в смену (14831).</w:t>
      </w:r>
    </w:p>
    <w:p w14:paraId="5471E645" w14:textId="77777777" w:rsidR="00CE750F" w:rsidRPr="00C33834" w:rsidRDefault="00CE750F" w:rsidP="00C33834">
      <w:pPr>
        <w:spacing w:after="0" w:line="240" w:lineRule="auto"/>
        <w:jc w:val="both"/>
        <w:rPr>
          <w:rFonts w:ascii="Times New Roman" w:hAnsi="Times New Roman"/>
          <w:color w:val="000000" w:themeColor="text1"/>
          <w:sz w:val="16"/>
          <w:szCs w:val="16"/>
        </w:rPr>
      </w:pPr>
    </w:p>
    <w:p w14:paraId="309BD862"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ноября 1933 в Москве в 11 утра из гаража в селе Всехсвятском (впоследствии 1-й Троллейбусный парк в Головановском переулке) вышел в рейс один из двух изготовленных к тому времени троллейбусов, на которых красовался индекс ЛК-1 (ЛК - инициалы тогдашнего "хозяина" Москвы, первого секретаря Московского комитета партии Лазаря Кагановича). Он поехал по первой линии - от Белорусско-Балтийского вокзала по Ленинградскому и Волоколамскому шоссе до моста Окружной железной дороги. К концу 1934 года по столице курсировали уже 11 троллейбусов, и к маршруту № 1 добавился маршрут № 2: Площадь Революции - Дорогомиловская застава. У этих троллейбусов были ясене-дубовые корпуса, обшитые снаружи металлическими листами и внутри - фанерой, с двумя входами, узенькими и крутыми подножками. Из 55-ти пассажиров 37 могли путешествовать на сиденьях, покрытых кожзаменителем. Окна были с зеркальными стеклами, 9 из которых можно было поднимать. 3 электрических калорифера обогревали салон (по проекту, на самом деле устанавливались они крайне редко), 4 вентилятора освежали в жаркую погоду, по вечерам освещали 10 лампочек. Заднюю двустворчатую входную дверь открывали сами пассажиры, переднюю одностворчатую выходную - водитель или кондуктор. Шарниры на штангах позволяли троллейбусу отклоняться на 2 метра в любую сторону от проводов. Один из первых водителей московского троллейбуса вспоминал: "...трудно было на них работать. Тормоза ненадежные, двери открывались вручную, рулевое колесо целую смену могли крутить только физически сильные люди. Ветровые стекла крепились на барашках, салон зимой не отапливался..." Управлять троллейбусом было тяжело, водителю позволялось делать не более 3-х - 4-х рейсов в смену. Троллейбусы были синего цвета с кремово-желтой полосой сверху и ярко-желтой внизу. К началу XXI столетия московская троллейбусная сеть стала самой протяженной в мире. В Ленинграде троллейбусы начали обслуживать пассажиров на регулярной основе 21 октября 1936 года (19622).</w:t>
      </w:r>
    </w:p>
    <w:p w14:paraId="65C8EFFB" w14:textId="77777777" w:rsidR="00B81B17" w:rsidRPr="00C33834" w:rsidRDefault="00B81B17" w:rsidP="00C33834">
      <w:pPr>
        <w:spacing w:after="0" w:line="240" w:lineRule="auto"/>
        <w:jc w:val="both"/>
        <w:rPr>
          <w:rFonts w:ascii="Times New Roman" w:hAnsi="Times New Roman"/>
          <w:color w:val="000000" w:themeColor="text1"/>
          <w:sz w:val="16"/>
          <w:szCs w:val="16"/>
        </w:rPr>
      </w:pPr>
    </w:p>
    <w:p w14:paraId="68AB5BDA" w14:textId="77777777" w:rsidR="00CE750F" w:rsidRPr="00C33834" w:rsidRDefault="00CE750F" w:rsidP="00C33834">
      <w:pPr>
        <w:spacing w:after="0" w:line="240" w:lineRule="auto"/>
        <w:jc w:val="both"/>
        <w:rPr>
          <w:rFonts w:ascii="Times New Roman" w:hAnsi="Times New Roman"/>
          <w:bCs/>
          <w:color w:val="000000" w:themeColor="text1"/>
          <w:sz w:val="16"/>
          <w:szCs w:val="16"/>
        </w:rPr>
      </w:pPr>
      <w:r w:rsidRPr="00C33834">
        <w:rPr>
          <w:rFonts w:ascii="Times New Roman" w:hAnsi="Times New Roman"/>
          <w:bCs/>
          <w:color w:val="000000" w:themeColor="text1"/>
          <w:sz w:val="16"/>
          <w:szCs w:val="16"/>
        </w:rPr>
        <w:t xml:space="preserve">15 ноября </w:t>
      </w:r>
      <w:r w:rsidRPr="00C33834">
        <w:rPr>
          <w:rFonts w:ascii="Times New Roman" w:hAnsi="Times New Roman"/>
          <w:color w:val="000000" w:themeColor="text1"/>
          <w:sz w:val="16"/>
          <w:szCs w:val="16"/>
        </w:rPr>
        <w:t>в 1933 году Политбюро ЦК ВКП(б) принимает постановление о порядке продажи художественных ценностей за границу. Оно требует "прекратить экспорт картин из Эрмитажа и других музеев без согласия комиссии в составе тт. Бубнова, Розенгольца, Стецкого и Ворошилова"</w:t>
      </w:r>
    </w:p>
    <w:p w14:paraId="10EFBB13" w14:textId="77777777" w:rsidR="00CE750F" w:rsidRPr="00C33834" w:rsidRDefault="00CE750F" w:rsidP="00C33834">
      <w:pPr>
        <w:spacing w:after="0" w:line="240" w:lineRule="auto"/>
        <w:jc w:val="both"/>
        <w:rPr>
          <w:rFonts w:ascii="Times New Roman" w:hAnsi="Times New Roman"/>
          <w:color w:val="000000" w:themeColor="text1"/>
          <w:sz w:val="16"/>
          <w:szCs w:val="16"/>
        </w:rPr>
      </w:pPr>
    </w:p>
    <w:p w14:paraId="57E88B90"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15 ноября 1933 была подготовлена записка ЦК ВКП (б) № П 149/3с</w:t>
      </w:r>
    </w:p>
    <w:p w14:paraId="0F3EEDFB"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Т.т. Акулову, Менжинскому</w:t>
      </w:r>
    </w:p>
    <w:p w14:paraId="7C3C616A"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rStyle w:val="12"/>
          <w:b w:val="0"/>
          <w:bCs w:val="0"/>
          <w:i w:val="0"/>
          <w:iCs w:val="0"/>
          <w:color w:val="000000" w:themeColor="text1"/>
          <w:spacing w:val="0"/>
          <w:kern w:val="0"/>
          <w:position w:val="0"/>
          <w:sz w:val="16"/>
          <w:szCs w:val="16"/>
          <w:lang w:val="ru-RU"/>
        </w:rPr>
        <w:t>Строго секретно</w:t>
      </w:r>
    </w:p>
    <w:p w14:paraId="3372184B"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Выписка из протокола №149 заседания Политбюро ЦК от 15 X1 1933 г.</w:t>
      </w:r>
    </w:p>
    <w:p w14:paraId="3B1AC798"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3 - О немцах (т. Акулов)</w:t>
      </w:r>
    </w:p>
    <w:p w14:paraId="0D67DD9A"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Выслать арестованных немецких шпионов за пределы СССР.</w:t>
      </w:r>
    </w:p>
    <w:p w14:paraId="64AD0614" w14:textId="77777777" w:rsidR="00570C39" w:rsidRPr="00C33834" w:rsidRDefault="00570C39" w:rsidP="00C33834">
      <w:pPr>
        <w:pStyle w:val="af2"/>
        <w:jc w:val="both"/>
        <w:rPr>
          <w:i w:val="0"/>
          <w:iCs w:val="0"/>
          <w:color w:val="000000" w:themeColor="text1"/>
          <w:spacing w:val="0"/>
          <w:kern w:val="0"/>
          <w:position w:val="0"/>
          <w:sz w:val="16"/>
          <w:szCs w:val="16"/>
          <w:lang w:val="ru-RU"/>
        </w:rPr>
      </w:pPr>
      <w:r w:rsidRPr="00C33834">
        <w:rPr>
          <w:i w:val="0"/>
          <w:iCs w:val="0"/>
          <w:color w:val="000000" w:themeColor="text1"/>
          <w:spacing w:val="0"/>
          <w:kern w:val="0"/>
          <w:position w:val="0"/>
          <w:sz w:val="16"/>
          <w:szCs w:val="16"/>
          <w:lang w:val="ru-RU"/>
        </w:rPr>
        <w:t>Секретарь ЦК.</w:t>
      </w:r>
    </w:p>
    <w:p w14:paraId="5CCF22C0" w14:textId="77777777" w:rsidR="00570C39" w:rsidRPr="00C33834" w:rsidRDefault="00570C39" w:rsidP="00C33834">
      <w:pPr>
        <w:pStyle w:val="af2"/>
        <w:jc w:val="both"/>
        <w:rPr>
          <w:rStyle w:val="12"/>
          <w:b w:val="0"/>
          <w:bCs w:val="0"/>
          <w:i w:val="0"/>
          <w:iCs w:val="0"/>
          <w:color w:val="000000" w:themeColor="text1"/>
          <w:spacing w:val="0"/>
          <w:kern w:val="0"/>
          <w:position w:val="0"/>
          <w:sz w:val="16"/>
          <w:szCs w:val="16"/>
          <w:lang w:val="ru-RU"/>
        </w:rPr>
      </w:pPr>
      <w:r w:rsidRPr="00C33834">
        <w:rPr>
          <w:rStyle w:val="12"/>
          <w:b w:val="0"/>
          <w:bCs w:val="0"/>
          <w:i w:val="0"/>
          <w:iCs w:val="0"/>
          <w:color w:val="000000" w:themeColor="text1"/>
          <w:spacing w:val="0"/>
          <w:kern w:val="0"/>
          <w:position w:val="0"/>
          <w:sz w:val="16"/>
          <w:szCs w:val="16"/>
          <w:lang w:val="ru-RU"/>
        </w:rPr>
        <w:t>АП РФ ф. 3, оп 58, д. 243, л.195 (11462).</w:t>
      </w:r>
    </w:p>
    <w:p w14:paraId="117518C3" w14:textId="77777777" w:rsidR="00570C39" w:rsidRPr="00C33834" w:rsidRDefault="00570C39" w:rsidP="00C33834">
      <w:pPr>
        <w:pStyle w:val="af2"/>
        <w:jc w:val="both"/>
        <w:rPr>
          <w:i w:val="0"/>
          <w:iCs w:val="0"/>
          <w:color w:val="000000" w:themeColor="text1"/>
          <w:spacing w:val="0"/>
          <w:kern w:val="0"/>
          <w:position w:val="0"/>
          <w:sz w:val="16"/>
          <w:szCs w:val="16"/>
          <w:lang w:val="ru-RU"/>
        </w:rPr>
      </w:pPr>
    </w:p>
    <w:p w14:paraId="4DD2A4EC" w14:textId="77777777" w:rsidR="00F50F6D" w:rsidRPr="00C33834" w:rsidRDefault="00F50F6D"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50DDA43" w14:textId="77777777" w:rsidR="00F50F6D" w:rsidRPr="00C33834" w:rsidRDefault="00F50F6D" w:rsidP="00C33834">
      <w:pPr>
        <w:spacing w:after="0" w:line="240" w:lineRule="auto"/>
        <w:jc w:val="both"/>
        <w:rPr>
          <w:rFonts w:ascii="Times New Roman" w:hAnsi="Times New Roman"/>
          <w:iCs/>
          <w:color w:val="000000" w:themeColor="text1"/>
          <w:sz w:val="16"/>
          <w:szCs w:val="16"/>
        </w:rPr>
      </w:pPr>
    </w:p>
    <w:p w14:paraId="4CFEF45D" w14:textId="77777777" w:rsidR="00F50F6D" w:rsidRPr="00C33834" w:rsidRDefault="00F50F6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середине ноября 1933 из Ярославля в Москву отправилась колонна грузовиков – участников первого «дизельного» пробега по маршруту Ярославль–Москва–Ярославль. Впереди шли два грузовика с дизелями «Коджу», изготовленные к ноябрьским праздникам. Их испытывали вместе с дизелями MAN, MVM, AEC и Deutz, и «Коджу» выдержали первое серьезное испытание. Участники пробега докладывали: «Всю дорогу не было аварий. А из четырех иностранных дизелей три выбыли из строя» (21328).</w:t>
      </w:r>
    </w:p>
    <w:p w14:paraId="6BF18154" w14:textId="77777777" w:rsidR="00F50F6D" w:rsidRPr="00C33834" w:rsidRDefault="00F50F6D" w:rsidP="00C33834">
      <w:pPr>
        <w:spacing w:after="0" w:line="240" w:lineRule="auto"/>
        <w:jc w:val="both"/>
        <w:rPr>
          <w:rFonts w:ascii="Times New Roman" w:hAnsi="Times New Roman"/>
          <w:color w:val="0070C0"/>
          <w:sz w:val="16"/>
          <w:szCs w:val="16"/>
        </w:rPr>
      </w:pPr>
    </w:p>
    <w:p w14:paraId="5443B1BA"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40611F3"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37EB67E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ноября 1933 И-14 БМ вновь поступил в ОЭЛИД ЦАГИ (2869,23).</w:t>
      </w:r>
    </w:p>
    <w:p w14:paraId="5CFDCD7A"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0FC0A2E1"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ноября 1933 г. начался новый, более удачный этап заводских испытаний И-14. Завершалось строительство истребителей И-15 и И-16. Несмотря на то, что ни один из упомянутых типов самолетов государственных ис</w:t>
      </w:r>
      <w:r w:rsidRPr="00C33834">
        <w:rPr>
          <w:rFonts w:ascii="Times New Roman" w:hAnsi="Times New Roman"/>
          <w:color w:val="000000" w:themeColor="text1"/>
          <w:sz w:val="16"/>
          <w:szCs w:val="16"/>
        </w:rPr>
        <w:softHyphen/>
        <w:t>пытаний еще не проходил, 25 ноября 1933 г. состоялось специальное заседание по вопросу внедрения в серий</w:t>
      </w:r>
      <w:r w:rsidRPr="00C33834">
        <w:rPr>
          <w:rFonts w:ascii="Times New Roman" w:hAnsi="Times New Roman"/>
          <w:color w:val="000000" w:themeColor="text1"/>
          <w:sz w:val="16"/>
          <w:szCs w:val="16"/>
        </w:rPr>
        <w:softHyphen/>
        <w:t>ное производство этих истребителей:</w:t>
      </w:r>
    </w:p>
    <w:p w14:paraId="6C35583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Внедрение в производство И-14, И-15, И-16 при</w:t>
      </w:r>
      <w:r w:rsidRPr="00C33834">
        <w:rPr>
          <w:rFonts w:ascii="Times New Roman" w:hAnsi="Times New Roman"/>
          <w:color w:val="000000" w:themeColor="text1"/>
          <w:sz w:val="16"/>
          <w:szCs w:val="16"/>
        </w:rPr>
        <w:softHyphen/>
        <w:t>знать возможным (10667).</w:t>
      </w:r>
    </w:p>
    <w:p w14:paraId="55873FCD"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Производство И-16 в 1934 г. поставить на заводе № 39 с тем, что первая партия в первом полугодии 1934 г. строится на заводе № 39, а во втором полугодии на заво</w:t>
      </w:r>
      <w:r w:rsidRPr="00C33834">
        <w:rPr>
          <w:rFonts w:ascii="Times New Roman" w:hAnsi="Times New Roman"/>
          <w:color w:val="000000" w:themeColor="text1"/>
          <w:sz w:val="16"/>
          <w:szCs w:val="16"/>
        </w:rPr>
        <w:softHyphen/>
        <w:t>де № 1 с соответствующим снятием с этого завода произ</w:t>
      </w:r>
      <w:r w:rsidRPr="00C33834">
        <w:rPr>
          <w:rFonts w:ascii="Times New Roman" w:hAnsi="Times New Roman"/>
          <w:color w:val="000000" w:themeColor="text1"/>
          <w:sz w:val="16"/>
          <w:szCs w:val="16"/>
        </w:rPr>
        <w:softHyphen/>
        <w:t>водства И-7...</w:t>
      </w:r>
    </w:p>
    <w:p w14:paraId="40A79049"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Подготовку И-14 вести на заводе № 21 и по полу</w:t>
      </w:r>
      <w:r w:rsidRPr="00C33834">
        <w:rPr>
          <w:rFonts w:ascii="Times New Roman" w:hAnsi="Times New Roman"/>
          <w:color w:val="000000" w:themeColor="text1"/>
          <w:sz w:val="16"/>
          <w:szCs w:val="16"/>
        </w:rPr>
        <w:softHyphen/>
        <w:t>чении эталона ставить на производство в 1934 г. со сня</w:t>
      </w:r>
      <w:r w:rsidRPr="00C33834">
        <w:rPr>
          <w:rFonts w:ascii="Times New Roman" w:hAnsi="Times New Roman"/>
          <w:color w:val="000000" w:themeColor="text1"/>
          <w:sz w:val="16"/>
          <w:szCs w:val="16"/>
        </w:rPr>
        <w:softHyphen/>
        <w:t>тием с производства соответствующего количества И-5.</w:t>
      </w:r>
    </w:p>
    <w:p w14:paraId="7757212D"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При осуществлении указанной наметки считать возможным изготовить в 1934 г. ориентировочно 100 самолетов И-16 с мотором М-22, 25 самолетов И-15 и 50 -И-14.</w:t>
      </w:r>
    </w:p>
    <w:p w14:paraId="64A0A153"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Отметить, что И-14 и И-15 моторами своего про</w:t>
      </w:r>
      <w:r w:rsidRPr="00C33834">
        <w:rPr>
          <w:rFonts w:ascii="Times New Roman" w:hAnsi="Times New Roman"/>
          <w:color w:val="000000" w:themeColor="text1"/>
          <w:sz w:val="16"/>
          <w:szCs w:val="16"/>
        </w:rPr>
        <w:softHyphen/>
        <w:t>изводства в 1934 г. обеспечены не будут.</w:t>
      </w:r>
    </w:p>
    <w:p w14:paraId="0159CF3D"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Поручить тт. Ермолаеву, Туполеву, Марголину и Дубенскому в течение 26/Х1 разработать проект поста</w:t>
      </w:r>
      <w:r w:rsidRPr="00C33834">
        <w:rPr>
          <w:rFonts w:ascii="Times New Roman" w:hAnsi="Times New Roman"/>
          <w:color w:val="000000" w:themeColor="text1"/>
          <w:sz w:val="16"/>
          <w:szCs w:val="16"/>
        </w:rPr>
        <w:softHyphen/>
        <w:t>новления СТО по этому типу производства».</w:t>
      </w:r>
    </w:p>
    <w:p w14:paraId="6D7001B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Несмотря на принятые резолюции, 5 декабря 1933 г. по указанию главка на завод № 21 были отправлены чер</w:t>
      </w:r>
      <w:r w:rsidRPr="00C33834">
        <w:rPr>
          <w:rFonts w:ascii="Times New Roman" w:hAnsi="Times New Roman"/>
          <w:color w:val="000000" w:themeColor="text1"/>
          <w:sz w:val="16"/>
          <w:szCs w:val="16"/>
        </w:rPr>
        <w:softHyphen/>
        <w:t>тежи И-16 с М-22 «только для ознакомления, но не для серийной продукции - 55 штук» (10667).</w:t>
      </w:r>
    </w:p>
    <w:p w14:paraId="7CFED046"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5689107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ноября 1933 г. самолет И-14 передали в ОЭЛИД по акту №32. Эту дату следует считать началом полномасштабных испытаний И -14 (12037).</w:t>
      </w:r>
    </w:p>
    <w:p w14:paraId="634A0CAF"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2AD572C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11-16-26 ноября 1933 г. на совещаниях у нач. УМТС и В ВВС Жарова, происходившем по уточнению технических требований к эталонам самолетов на 1934 г., возникли разногласия как по срокам выпуска самолетов, так и отдельных технических требований к ним (2264,51).</w:t>
      </w:r>
    </w:p>
    <w:p w14:paraId="59A1615C"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1F20E62F" w14:textId="77777777" w:rsidR="00CE750F" w:rsidRPr="00C33834" w:rsidRDefault="00CE750F" w:rsidP="00C33834">
      <w:pPr>
        <w:pStyle w:val="rtejustify"/>
        <w:spacing w:before="0" w:after="0"/>
        <w:rPr>
          <w:color w:val="000000" w:themeColor="text1"/>
          <w:sz w:val="16"/>
          <w:szCs w:val="16"/>
        </w:rPr>
      </w:pPr>
      <w:r w:rsidRPr="00C33834">
        <w:rPr>
          <w:rStyle w:val="af0"/>
          <w:bCs/>
          <w:i w:val="0"/>
          <w:color w:val="000000" w:themeColor="text1"/>
          <w:sz w:val="16"/>
          <w:szCs w:val="16"/>
        </w:rPr>
        <w:t>16</w:t>
      </w:r>
      <w:r w:rsidRPr="00C33834">
        <w:rPr>
          <w:rStyle w:val="af0"/>
          <w:bCs/>
          <w:i w:val="0"/>
          <w:color w:val="000000" w:themeColor="text1"/>
          <w:sz w:val="16"/>
          <w:szCs w:val="16"/>
        </w:rPr>
        <w:noBreakHyphen/>
        <w:t>18 ноября</w:t>
      </w:r>
      <w:r w:rsidRPr="00C33834">
        <w:rPr>
          <w:color w:val="000000" w:themeColor="text1"/>
          <w:sz w:val="16"/>
          <w:szCs w:val="16"/>
        </w:rPr>
        <w:t xml:space="preserve"> 1933 вышел приказ РВСС №°15. 2. — 4) Сообщение о подписании председателем РВСС постановлений РВСС «О минно-торпедном вооружении ВВС РККА» от 9 июля 1933 г.; 9) «Об исполнительной смете НКВМ на 1933 г.» от 15 июля 1933 г.; 10) «О ходе выполнения плана опытного самолето- и моторостроения и вооружения авиации от 17 июля 1933 г.; 11) О системе артиллерийского вооружения РККА на II пятилетку» от 5 августа 1933 г.; 15) «О принятии на вооружение ВМС РККА аппаратуры ВУ сист[емы] Остехбюро для управления торпедными катерами» от 17 июля 1933 г. (РГВА. Ф. 4. Оп. 18. Д. 23. Л. 231</w:t>
      </w:r>
      <w:r w:rsidRPr="00C33834">
        <w:rPr>
          <w:color w:val="000000" w:themeColor="text1"/>
          <w:sz w:val="16"/>
          <w:szCs w:val="16"/>
        </w:rPr>
        <w:noBreakHyphen/>
        <w:t>232) (15461).</w:t>
      </w:r>
    </w:p>
    <w:p w14:paraId="4C2B51CB" w14:textId="77777777" w:rsidR="00CE750F" w:rsidRPr="00C33834" w:rsidRDefault="00CE750F" w:rsidP="00C33834">
      <w:pPr>
        <w:pStyle w:val="rtejustify"/>
        <w:spacing w:before="0" w:after="0"/>
        <w:rPr>
          <w:color w:val="000000" w:themeColor="text1"/>
          <w:sz w:val="16"/>
          <w:szCs w:val="16"/>
        </w:rPr>
      </w:pPr>
    </w:p>
    <w:p w14:paraId="34EDC5D8" w14:textId="77777777" w:rsidR="00CE750F"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0CBB4EE" w14:textId="77777777" w:rsidR="00CE750F" w:rsidRPr="00C33834" w:rsidRDefault="00CE750F" w:rsidP="00C33834">
      <w:pPr>
        <w:spacing w:after="0" w:line="240" w:lineRule="auto"/>
        <w:jc w:val="both"/>
        <w:rPr>
          <w:rFonts w:ascii="Times New Roman" w:hAnsi="Times New Roman"/>
          <w:iCs/>
          <w:color w:val="000000" w:themeColor="text1"/>
          <w:sz w:val="16"/>
          <w:szCs w:val="16"/>
        </w:rPr>
      </w:pPr>
    </w:p>
    <w:p w14:paraId="41E8D08C" w14:textId="77777777" w:rsidR="00366092" w:rsidRPr="00C33834" w:rsidRDefault="00366092"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ноября 1933 произведена первая плавка чугуна на «Запорожстали» (4962).</w:t>
      </w:r>
    </w:p>
    <w:p w14:paraId="1B956CA5" w14:textId="77777777" w:rsidR="00366092" w:rsidRPr="00C33834" w:rsidRDefault="00366092" w:rsidP="00C33834">
      <w:pPr>
        <w:tabs>
          <w:tab w:val="left" w:pos="11199"/>
        </w:tabs>
        <w:spacing w:after="0" w:line="240" w:lineRule="auto"/>
        <w:jc w:val="both"/>
        <w:rPr>
          <w:rFonts w:ascii="Times New Roman" w:hAnsi="Times New Roman"/>
          <w:color w:val="000000" w:themeColor="text1"/>
          <w:sz w:val="16"/>
          <w:szCs w:val="16"/>
        </w:rPr>
      </w:pPr>
    </w:p>
    <w:p w14:paraId="61D3C734" w14:textId="77777777" w:rsidR="00130484" w:rsidRPr="00C33834" w:rsidRDefault="0013048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16 ноября 1933 - ввод в действие металлургического завода "Запорожсталь" им. С. Орджоникидзе (21177).</w:t>
      </w:r>
    </w:p>
    <w:p w14:paraId="148DF2B8" w14:textId="77777777" w:rsidR="00130484" w:rsidRPr="00C33834" w:rsidRDefault="00130484" w:rsidP="00C33834">
      <w:pPr>
        <w:spacing w:after="0" w:line="240" w:lineRule="auto"/>
        <w:jc w:val="both"/>
        <w:rPr>
          <w:rFonts w:ascii="Times New Roman" w:hAnsi="Times New Roman"/>
          <w:color w:val="0070C0"/>
          <w:sz w:val="16"/>
          <w:szCs w:val="16"/>
        </w:rPr>
      </w:pPr>
    </w:p>
    <w:p w14:paraId="4E75AAFD" w14:textId="77777777" w:rsidR="00CE750F" w:rsidRPr="00C33834" w:rsidRDefault="00CE750F" w:rsidP="00C33834">
      <w:pPr>
        <w:pStyle w:val="rtejustify"/>
        <w:spacing w:before="0" w:after="0"/>
        <w:rPr>
          <w:color w:val="000000" w:themeColor="text1"/>
          <w:sz w:val="16"/>
          <w:szCs w:val="16"/>
        </w:rPr>
      </w:pPr>
      <w:r w:rsidRPr="00C33834">
        <w:rPr>
          <w:rStyle w:val="af0"/>
          <w:bCs/>
          <w:i w:val="0"/>
          <w:color w:val="000000" w:themeColor="text1"/>
          <w:sz w:val="16"/>
          <w:szCs w:val="16"/>
        </w:rPr>
        <w:t>16/27 ноября 1933 вышел приказ НКТП № 222с.</w:t>
      </w:r>
      <w:r w:rsidRPr="00C33834">
        <w:rPr>
          <w:color w:val="000000" w:themeColor="text1"/>
          <w:sz w:val="16"/>
          <w:szCs w:val="16"/>
        </w:rPr>
        <w:t xml:space="preserve"> О мерах по обеспечению бесперебойного хода строительства подводных лодок V серии на Дальнем Востоке. (РГАЭ. Ф. 7297. Оп. 38. Д. 38. Л. 197) (15246).</w:t>
      </w:r>
    </w:p>
    <w:p w14:paraId="132D9CD5" w14:textId="77777777" w:rsidR="00CE750F" w:rsidRPr="00C33834" w:rsidRDefault="00CE750F" w:rsidP="00C33834">
      <w:pPr>
        <w:pStyle w:val="rtejustify"/>
        <w:spacing w:before="0" w:after="0"/>
        <w:rPr>
          <w:color w:val="000000" w:themeColor="text1"/>
          <w:sz w:val="16"/>
          <w:szCs w:val="16"/>
        </w:rPr>
      </w:pPr>
    </w:p>
    <w:p w14:paraId="57E64097"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3748B6F3"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7B9F56C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ноября 1933 приказом ОГПУ № 0123 контингент заключенных по Севвостлагу (Дальстрой) на 1934-1935 годы устанавливался в 50 000 человек (7560).</w:t>
      </w:r>
    </w:p>
    <w:p w14:paraId="2AD1DE1A"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50424703"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19AB2771"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5614DC5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16 ноября 1933 были установлены дипотношения СССР с США (1348,242), а по другим данным - восстановлены (3908,340).</w:t>
      </w:r>
    </w:p>
    <w:p w14:paraId="7956AC1B"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0D157D3A"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ноября 1933 были восстановлены дипломатические отношения с Соединенными Штатами Америки. 17 ноября США заявляют о признании СССР и восстанавливают с ним торговые отношения (4962).</w:t>
      </w:r>
    </w:p>
    <w:p w14:paraId="0C71BF77" w14:textId="77777777" w:rsidR="00570C39" w:rsidRPr="00C33834" w:rsidRDefault="00570C39" w:rsidP="00C33834">
      <w:pPr>
        <w:tabs>
          <w:tab w:val="left" w:pos="11199"/>
        </w:tabs>
        <w:spacing w:after="0" w:line="240" w:lineRule="auto"/>
        <w:jc w:val="both"/>
        <w:rPr>
          <w:rFonts w:ascii="Times New Roman" w:hAnsi="Times New Roman"/>
          <w:color w:val="000000" w:themeColor="text1"/>
          <w:sz w:val="16"/>
          <w:szCs w:val="16"/>
        </w:rPr>
      </w:pPr>
    </w:p>
    <w:p w14:paraId="02CADDD9"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 xml:space="preserve">16 ноября </w:t>
      </w:r>
      <w:r w:rsidRPr="00C33834">
        <w:rPr>
          <w:rFonts w:ascii="Times New Roman" w:hAnsi="Times New Roman"/>
          <w:color w:val="000000" w:themeColor="text1"/>
          <w:sz w:val="16"/>
          <w:szCs w:val="16"/>
        </w:rPr>
        <w:t>в 1933 году установлены дипломатические отношения между СССР и США. В декабре 1991 г. Российская Федерация была признана правопреемницей СССР. По этому случаю в Овальном кабинете Белого дома крупнейший американский магнат-миллиардер Арманд Хаммер в присутствии наркома иностранных дел СССР Максима Литвинова преподнес президенту США Франклину Рузвельту «модель» великой русской реки Волги. Этот сувенир из платины, золота, серебра и бриллиантов был изготовлен в 1913 году в мастерской Карла Фаберже (14832).</w:t>
      </w:r>
    </w:p>
    <w:p w14:paraId="3BAD885A" w14:textId="77777777" w:rsidR="00366092" w:rsidRPr="00C33834" w:rsidRDefault="00366092" w:rsidP="00C33834">
      <w:pPr>
        <w:spacing w:after="0" w:line="240" w:lineRule="auto"/>
        <w:jc w:val="both"/>
        <w:rPr>
          <w:rFonts w:ascii="Times New Roman" w:hAnsi="Times New Roman"/>
          <w:color w:val="000000" w:themeColor="text1"/>
          <w:sz w:val="16"/>
          <w:szCs w:val="16"/>
        </w:rPr>
      </w:pPr>
    </w:p>
    <w:p w14:paraId="0B54B938"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16 ноября 1933 г. Ноты президента США Ф. Рузвельта и наркома иностранных дел СССР М.М. Литвинова об установлении дипломатических отношений между СССР и США </w:t>
      </w:r>
    </w:p>
    <w:p w14:paraId="4C525FA0"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Нота президента США Ф. Рузвельта </w:t>
      </w:r>
    </w:p>
    <w:p w14:paraId="0F2B6581"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Белый дом, Вашингтон </w:t>
      </w:r>
    </w:p>
    <w:p w14:paraId="0EE1BA51"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Уважаемый господин Литвинов, я крайне счастлив уведомить Вас, что в качестве результата наших переговоров правительство Соединенных Штатов решило установить нормальные дипломатические отношения с правительством Союза Советских Социалистических Республик и обменяться послами. </w:t>
      </w:r>
    </w:p>
    <w:p w14:paraId="04B56E9A"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Я верю, что установленным ныне между нашими народами отношениям удастся навсегда остаться нормальными и дружественными и что нашим нациям отныне удастся сотрудничать для своей взаимной пользы и для ограждения всеобщего мира. </w:t>
      </w:r>
    </w:p>
    <w:p w14:paraId="3F60ADC3"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Я остаюсь, уважаемый господин Литвинов, весьма искренне Ваш </w:t>
      </w:r>
    </w:p>
    <w:p w14:paraId="7AF6E4EF"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Франклин Д. Рузвельт </w:t>
      </w:r>
    </w:p>
    <w:p w14:paraId="6CB98F85"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Документы внешней политики СССР. М., 1970. Т. XVI. С. 641. </w:t>
      </w:r>
    </w:p>
    <w:p w14:paraId="25C3D455"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Нота наркома иностранных дел СССР М.М. Литвинова </w:t>
      </w:r>
    </w:p>
    <w:p w14:paraId="64B593D3"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Вашингтон </w:t>
      </w:r>
    </w:p>
    <w:p w14:paraId="24F4E26A"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Уважаемый господин президент, я крайне счастлив уведомить Вас, что правительство Союза Советских Социалистических Республик радо установить нормальные дипломатические отношения с правительством Соединенных Штатов и обменяться послами. </w:t>
      </w:r>
    </w:p>
    <w:p w14:paraId="619ED166"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Я также разделяю надежду, что установленным ныне между нашими народами отношениям удастся навсегда остаться нормальными и дружественными и что нашим нациям отныне удастся сотрудничать для своей взаимной пользы и для ограждения всеобщего мира. </w:t>
      </w:r>
    </w:p>
    <w:p w14:paraId="24D42E8B"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Я остаюсь, уважаемый господин президент, весьма искренне Ваш Максим Литвинов, народный комиссар по иностранным делам Союза Советских Социалистических Республик </w:t>
      </w:r>
    </w:p>
    <w:p w14:paraId="7B0A40F7"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Документы внешней политики СССР. М. 1970. Т. XVI. С. 641 (12152).</w:t>
      </w:r>
    </w:p>
    <w:p w14:paraId="536B45F4" w14:textId="77777777" w:rsidR="00BA29CE" w:rsidRPr="00C33834" w:rsidRDefault="00BA29CE" w:rsidP="00C33834">
      <w:pPr>
        <w:spacing w:after="0" w:line="240" w:lineRule="auto"/>
        <w:jc w:val="both"/>
        <w:rPr>
          <w:rFonts w:ascii="Times New Roman" w:hAnsi="Times New Roman"/>
          <w:color w:val="000000" w:themeColor="text1"/>
          <w:sz w:val="16"/>
          <w:szCs w:val="16"/>
        </w:rPr>
      </w:pPr>
    </w:p>
    <w:p w14:paraId="55679627"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1F84152"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2BEE908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ноября 1933 Президент Бразилии получил диктаторские полномочия (3481).</w:t>
      </w:r>
    </w:p>
    <w:p w14:paraId="7A2B4530"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690A317B" w14:textId="77777777" w:rsidR="00570C39" w:rsidRPr="00C33834" w:rsidRDefault="001A42D5" w:rsidP="00C33834">
      <w:pPr>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7191D04"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297AFA6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ноября 1933 Нач. ЦАГИ Харламов направил Нач. ГУАП Королеву докладную записку о направлении работ ЦАГИ (2281,81).</w:t>
      </w:r>
    </w:p>
    <w:p w14:paraId="6DE5BE26"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21BCAB7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ноября 1933 ЦИАМ направил в ГУАП Краткую докладную записку о деятельности Института Авиационного Моторостроения за период ноябрь 1930 - ноябрь 1933 (2281,68).</w:t>
      </w:r>
    </w:p>
    <w:p w14:paraId="5E0BEBF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Направления работ ЦАГИ</w:t>
      </w:r>
    </w:p>
    <w:p w14:paraId="0A696CB5"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Пути развития ЦАГИ и результаты его ра</w:t>
      </w:r>
      <w:r w:rsidRPr="00C33834">
        <w:rPr>
          <w:rFonts w:ascii="Times New Roman" w:hAnsi="Times New Roman"/>
          <w:color w:val="000000" w:themeColor="text1"/>
          <w:sz w:val="16"/>
          <w:szCs w:val="16"/>
        </w:rPr>
        <w:softHyphen/>
        <w:t>бот существенно выделяют его среди других Ин</w:t>
      </w:r>
      <w:r w:rsidRPr="00C33834">
        <w:rPr>
          <w:rFonts w:ascii="Times New Roman" w:hAnsi="Times New Roman"/>
          <w:color w:val="000000" w:themeColor="text1"/>
          <w:sz w:val="16"/>
          <w:szCs w:val="16"/>
        </w:rPr>
        <w:softHyphen/>
        <w:t>ститутов Советского Союза. ЦАГИ начал свою работу при полном отсутствии авиационной промышленности в стране; сверх того, в отличие от других видов нашей промышленности, авиацион</w:t>
      </w:r>
      <w:r w:rsidRPr="00C33834">
        <w:rPr>
          <w:rFonts w:ascii="Times New Roman" w:hAnsi="Times New Roman"/>
          <w:color w:val="000000" w:themeColor="text1"/>
          <w:sz w:val="16"/>
          <w:szCs w:val="16"/>
        </w:rPr>
        <w:softHyphen/>
        <w:t>ная промышленность при своем развертывании никогда не прибегала к широкой иностранной технической помощи.Таким образом, в своем развитии ЦАГИ не мог ни воспользоваться опы</w:t>
      </w:r>
      <w:r w:rsidRPr="00C33834">
        <w:rPr>
          <w:rFonts w:ascii="Times New Roman" w:hAnsi="Times New Roman"/>
          <w:color w:val="000000" w:themeColor="text1"/>
          <w:sz w:val="16"/>
          <w:szCs w:val="16"/>
        </w:rPr>
        <w:softHyphen/>
        <w:t>том, накапливаемом в промышленности, ни ис</w:t>
      </w:r>
      <w:r w:rsidRPr="00C33834">
        <w:rPr>
          <w:rFonts w:ascii="Times New Roman" w:hAnsi="Times New Roman"/>
          <w:color w:val="000000" w:themeColor="text1"/>
          <w:sz w:val="16"/>
          <w:szCs w:val="16"/>
        </w:rPr>
        <w:softHyphen/>
        <w:t>пользовать иностранную техническую помощь. Несмотря на это, работа ЦАГИ привела к созданию машин, на выполнении которых росла придеятельном участии Института, авиационная промышленнссть Советского Союза, и по насто</w:t>
      </w:r>
      <w:r w:rsidRPr="00C33834">
        <w:rPr>
          <w:rFonts w:ascii="Times New Roman" w:hAnsi="Times New Roman"/>
          <w:color w:val="000000" w:themeColor="text1"/>
          <w:sz w:val="16"/>
          <w:szCs w:val="16"/>
        </w:rPr>
        <w:softHyphen/>
        <w:t>ящее время питающаяся, главным образом, об</w:t>
      </w:r>
      <w:r w:rsidRPr="00C33834">
        <w:rPr>
          <w:rFonts w:ascii="Times New Roman" w:hAnsi="Times New Roman"/>
          <w:color w:val="000000" w:themeColor="text1"/>
          <w:sz w:val="16"/>
          <w:szCs w:val="16"/>
        </w:rPr>
        <w:softHyphen/>
        <w:t>разцами, создаваемыми ЦАГИ.Таким образом, путь развития авиационной промышленности и путь развития ЦАГИ оказались тесно связанными друг с другом, и в истории развития авиационной промышленности Советского Союза работы ЦАГИ, как один из важнейших факторов роста нашей авиационной промышленности, не могут не быть отмеченными.</w:t>
      </w:r>
    </w:p>
    <w:p w14:paraId="097C11C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Такое -большое значение работы Института в деле развития авиационной промылленности Советского Союза не было случайным.Оно явилось результатом верной организации работ Института, обеспечившей как возможность успеха, так и быстроту темпов. Самым сущест</w:t>
      </w:r>
      <w:r w:rsidRPr="00C33834">
        <w:rPr>
          <w:rFonts w:ascii="Times New Roman" w:hAnsi="Times New Roman"/>
          <w:color w:val="000000" w:themeColor="text1"/>
          <w:sz w:val="16"/>
          <w:szCs w:val="16"/>
        </w:rPr>
        <w:softHyphen/>
        <w:t>венным в организации Института было то, что ЦАГИ все время рос, как комплексный Инсти</w:t>
      </w:r>
      <w:r w:rsidRPr="00C33834">
        <w:rPr>
          <w:rFonts w:ascii="Times New Roman" w:hAnsi="Times New Roman"/>
          <w:color w:val="000000" w:themeColor="text1"/>
          <w:sz w:val="16"/>
          <w:szCs w:val="16"/>
        </w:rPr>
        <w:softHyphen/>
        <w:t>тут, в котором научно-исследовательская ра</w:t>
      </w:r>
      <w:r w:rsidRPr="00C33834">
        <w:rPr>
          <w:rFonts w:ascii="Times New Roman" w:hAnsi="Times New Roman"/>
          <w:color w:val="000000" w:themeColor="text1"/>
          <w:sz w:val="16"/>
          <w:szCs w:val="16"/>
        </w:rPr>
        <w:softHyphen/>
        <w:t>бота не была отделена от опытного строитель</w:t>
      </w:r>
      <w:r w:rsidRPr="00C33834">
        <w:rPr>
          <w:rFonts w:ascii="Times New Roman" w:hAnsi="Times New Roman"/>
          <w:color w:val="000000" w:themeColor="text1"/>
          <w:sz w:val="16"/>
          <w:szCs w:val="16"/>
        </w:rPr>
        <w:softHyphen/>
        <w:t>ства.Таким образом, с одной стороны научно-исследовательская работа не вырождалась в отвлеченно-академическую работу, а всегда имела цель и возможность непосредственного применения ее к реальным объектам;с другой стороны опытное строительство всегда имело возможность опираться и влиять на научно-исследовательскую работу. В этой связи и взаимном оплодотворении опытного строитель</w:t>
      </w:r>
      <w:r w:rsidRPr="00C33834">
        <w:rPr>
          <w:rFonts w:ascii="Times New Roman" w:hAnsi="Times New Roman"/>
          <w:color w:val="000000" w:themeColor="text1"/>
          <w:sz w:val="16"/>
          <w:szCs w:val="16"/>
        </w:rPr>
        <w:softHyphen/>
        <w:t>ства и научно-исследовательской работы и лежит вся сила ЦАГИ.Такая комплексность на</w:t>
      </w:r>
      <w:r w:rsidRPr="00C33834">
        <w:rPr>
          <w:rFonts w:ascii="Times New Roman" w:hAnsi="Times New Roman"/>
          <w:color w:val="000000" w:themeColor="text1"/>
          <w:sz w:val="16"/>
          <w:szCs w:val="16"/>
        </w:rPr>
        <w:softHyphen/>
        <w:t>иболее отвечает существу авиационной промышленности, опирающейся на сложнейшие научно-технические проблемы, и прогрессирующей бысрее всех других видов промышленности, так что каждый новый тип машины является в то-же время и решением новых научно-технических задач. Если заграницей нет такой мощной комплексной организации, как ЦАГИ, несмотря на ее целесообразность, то это об"ясняется капиталистическимстроем с его распыленным хозяйством и конкуренцией частных фирм; на это обстоятельстве обращали внимание и многочис</w:t>
      </w:r>
      <w:r w:rsidRPr="00C33834">
        <w:rPr>
          <w:rFonts w:ascii="Times New Roman" w:hAnsi="Times New Roman"/>
          <w:color w:val="000000" w:themeColor="text1"/>
          <w:sz w:val="16"/>
          <w:szCs w:val="16"/>
        </w:rPr>
        <w:softHyphen/>
        <w:t>ленные иностранные представители, посещавшие ЦАГИ.</w:t>
      </w:r>
    </w:p>
    <w:p w14:paraId="77C2D7B5"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время своего существования Институтом был поставлен и разрешен целый ряд важнейших задач, имеющих большое значение для развития авиационной промышленности и дела укрепления воздушной и морской обороны нашей страны. Все металлическое самолетостроение в Советской Союзе обязано своим возникновением ЦАГИ, ко</w:t>
      </w:r>
      <w:r w:rsidRPr="00C33834">
        <w:rPr>
          <w:rFonts w:ascii="Times New Roman" w:hAnsi="Times New Roman"/>
          <w:color w:val="000000" w:themeColor="text1"/>
          <w:sz w:val="16"/>
          <w:szCs w:val="16"/>
        </w:rPr>
        <w:softHyphen/>
        <w:t>торой разрешил эту задачу не только с конс</w:t>
      </w:r>
      <w:r w:rsidRPr="00C33834">
        <w:rPr>
          <w:rFonts w:ascii="Times New Roman" w:hAnsi="Times New Roman"/>
          <w:color w:val="000000" w:themeColor="text1"/>
          <w:sz w:val="16"/>
          <w:szCs w:val="16"/>
        </w:rPr>
        <w:softHyphen/>
        <w:t>труктивной точки зрения, но и оказал решаю</w:t>
      </w:r>
      <w:r w:rsidRPr="00C33834">
        <w:rPr>
          <w:rFonts w:ascii="Times New Roman" w:hAnsi="Times New Roman"/>
          <w:color w:val="000000" w:themeColor="text1"/>
          <w:sz w:val="16"/>
          <w:szCs w:val="16"/>
        </w:rPr>
        <w:softHyphen/>
        <w:t>щее влияние на подготовку соответствующей металлургической базы. Внедрение глиссеров в морскую оборону Советского Союза также исхо</w:t>
      </w:r>
      <w:r w:rsidRPr="00C33834">
        <w:rPr>
          <w:rFonts w:ascii="Times New Roman" w:hAnsi="Times New Roman"/>
          <w:color w:val="000000" w:themeColor="text1"/>
          <w:sz w:val="16"/>
          <w:szCs w:val="16"/>
        </w:rPr>
        <w:softHyphen/>
        <w:t xml:space="preserve">дит из ЦАГИ. </w:t>
      </w:r>
      <w:r w:rsidRPr="00C33834">
        <w:rPr>
          <w:rFonts w:ascii="Times New Roman" w:hAnsi="Times New Roman"/>
          <w:smallCaps/>
          <w:color w:val="000000" w:themeColor="text1"/>
          <w:sz w:val="16"/>
          <w:szCs w:val="16"/>
        </w:rPr>
        <w:t xml:space="preserve">большинство </w:t>
      </w:r>
      <w:r w:rsidRPr="00C33834">
        <w:rPr>
          <w:rFonts w:ascii="Times New Roman" w:hAnsi="Times New Roman"/>
          <w:color w:val="000000" w:themeColor="text1"/>
          <w:sz w:val="16"/>
          <w:szCs w:val="16"/>
        </w:rPr>
        <w:t>машин, находящихся в настоящее время на снабжении военно-воздуш</w:t>
      </w:r>
      <w:r w:rsidRPr="00C33834">
        <w:rPr>
          <w:rFonts w:ascii="Times New Roman" w:hAnsi="Times New Roman"/>
          <w:color w:val="000000" w:themeColor="text1"/>
          <w:sz w:val="16"/>
          <w:szCs w:val="16"/>
        </w:rPr>
        <w:softHyphen/>
        <w:t>ного флота, являются конструкциями ЦАГИ. Г В результате работ Института в ЦАГИ создались модные кадры квалифицированных работников как по научно-исследовательскому сектору, так и по сектору опытного строительству, способные разрешать ставимые перед ними задачи. По мощности своих квалифицированных кадров ЦАГИ стоит на первом месте среди других Институтов Советского Союза. ЦАГИ имеет даже большее, чем созданные им квалифицированные кадры: ЦА.ГИ имеет созданные им школы. Школы аэродинамиков и школы конструкторов пред</w:t>
      </w:r>
      <w:r w:rsidRPr="00C33834">
        <w:rPr>
          <w:rFonts w:ascii="Times New Roman" w:hAnsi="Times New Roman"/>
          <w:color w:val="000000" w:themeColor="text1"/>
          <w:sz w:val="16"/>
          <w:szCs w:val="16"/>
        </w:rPr>
        <w:softHyphen/>
        <w:t>ставляют одно из существеннейших достижений ЦАГИ в деле развития авиации в Советском Союзе.</w:t>
      </w:r>
    </w:p>
    <w:p w14:paraId="08DA217C"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Необходимо отметить также и созданное ЦАГИ оборудование, которое до последних лет было самым мощным в мире и лишь за послед</w:t>
      </w:r>
      <w:r w:rsidRPr="00C33834">
        <w:rPr>
          <w:rFonts w:ascii="Times New Roman" w:hAnsi="Times New Roman"/>
          <w:color w:val="000000" w:themeColor="text1"/>
          <w:sz w:val="16"/>
          <w:szCs w:val="16"/>
        </w:rPr>
        <w:softHyphen/>
        <w:t>ние годы потеряло первое место, уступив его Америке и Англии. Завоевание вновь первого места является существенно необходимым для выполнения директивы "догнать и перегнать в технико-экономическом отношении передовые капиталистические страны". С окончанием стро</w:t>
      </w:r>
      <w:r w:rsidRPr="00C33834">
        <w:rPr>
          <w:rFonts w:ascii="Times New Roman" w:hAnsi="Times New Roman"/>
          <w:color w:val="000000" w:themeColor="text1"/>
          <w:sz w:val="16"/>
          <w:szCs w:val="16"/>
        </w:rPr>
        <w:softHyphen/>
        <w:t>ительства на Раменскон участке это первое место в мире, несомненно, будет вновь заво</w:t>
      </w:r>
      <w:r w:rsidRPr="00C33834">
        <w:rPr>
          <w:rFonts w:ascii="Times New Roman" w:hAnsi="Times New Roman"/>
          <w:color w:val="000000" w:themeColor="text1"/>
          <w:sz w:val="16"/>
          <w:szCs w:val="16"/>
        </w:rPr>
        <w:softHyphen/>
        <w:t>евано Институтом.</w:t>
      </w:r>
    </w:p>
    <w:p w14:paraId="334346B9"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опыт протекшей работы ЦАГИ подтверждает правильность организацион</w:t>
      </w:r>
      <w:r w:rsidRPr="00C33834">
        <w:rPr>
          <w:rFonts w:ascii="Times New Roman" w:hAnsi="Times New Roman"/>
          <w:color w:val="000000" w:themeColor="text1"/>
          <w:sz w:val="16"/>
          <w:szCs w:val="16"/>
        </w:rPr>
        <w:softHyphen/>
        <w:t>ных форм института, при которых научно-ис</w:t>
      </w:r>
      <w:r w:rsidRPr="00C33834">
        <w:rPr>
          <w:rFonts w:ascii="Times New Roman" w:hAnsi="Times New Roman"/>
          <w:color w:val="000000" w:themeColor="text1"/>
          <w:sz w:val="16"/>
          <w:szCs w:val="16"/>
        </w:rPr>
        <w:softHyphen/>
        <w:t>следовательская работа и опытное строительс</w:t>
      </w:r>
      <w:r w:rsidRPr="00C33834">
        <w:rPr>
          <w:rFonts w:ascii="Times New Roman" w:hAnsi="Times New Roman"/>
          <w:color w:val="000000" w:themeColor="text1"/>
          <w:sz w:val="16"/>
          <w:szCs w:val="16"/>
        </w:rPr>
        <w:softHyphen/>
        <w:t>тво составляли единое целое. Эта организацион</w:t>
      </w:r>
      <w:r w:rsidRPr="00C33834">
        <w:rPr>
          <w:rFonts w:ascii="Times New Roman" w:hAnsi="Times New Roman"/>
          <w:color w:val="000000" w:themeColor="text1"/>
          <w:sz w:val="16"/>
          <w:szCs w:val="16"/>
        </w:rPr>
        <w:softHyphen/>
        <w:t>ная форма Института должна сохраниться и впредь.Требования Советского Союза к авиации таковы, что заводам авиапромышленности при</w:t>
      </w:r>
      <w:r w:rsidRPr="00C33834">
        <w:rPr>
          <w:rFonts w:ascii="Times New Roman" w:hAnsi="Times New Roman"/>
          <w:color w:val="000000" w:themeColor="text1"/>
          <w:sz w:val="16"/>
          <w:szCs w:val="16"/>
        </w:rPr>
        <w:softHyphen/>
        <w:t>ходится иметь дело даже не с серийной, а ско</w:t>
      </w:r>
      <w:r w:rsidRPr="00C33834">
        <w:rPr>
          <w:rFonts w:ascii="Times New Roman" w:hAnsi="Times New Roman"/>
          <w:color w:val="000000" w:themeColor="text1"/>
          <w:sz w:val="16"/>
          <w:szCs w:val="16"/>
        </w:rPr>
        <w:softHyphen/>
        <w:t>рее с массовой продукцией. Это является их ос</w:t>
      </w:r>
      <w:r w:rsidRPr="00C33834">
        <w:rPr>
          <w:rFonts w:ascii="Times New Roman" w:hAnsi="Times New Roman"/>
          <w:color w:val="000000" w:themeColor="text1"/>
          <w:sz w:val="16"/>
          <w:szCs w:val="16"/>
        </w:rPr>
        <w:softHyphen/>
        <w:t>новной задачей и налагает особый отпечаток на их Работу. Задачи опытного строительства, т.е. задачи создания новых в научно-техническом отношении экземпляров, хотя и опирающихся весь опыт предыдущей работы, непрерывное усовершенствование каждого типа находящейся в серийном производстве машины должно быть вменено в обязанность серийных заводов.Отсюда следует, что опытное и эксперименталь</w:t>
      </w:r>
      <w:r w:rsidRPr="00C33834">
        <w:rPr>
          <w:rFonts w:ascii="Times New Roman" w:hAnsi="Times New Roman"/>
          <w:color w:val="000000" w:themeColor="text1"/>
          <w:sz w:val="16"/>
          <w:szCs w:val="16"/>
        </w:rPr>
        <w:softHyphen/>
        <w:t>ное строительство есть дело Института, серийное же производствои планомерная модернизация находящихся в серийном производстве машин есть задача серийных заводов.</w:t>
      </w:r>
    </w:p>
    <w:p w14:paraId="36FCF548"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Исходя из опыта всей предыдущей работы -ЦАГИ, учитывая ее положительные стороны и недостатки , можно наметить следующие пути дальнейшей работы ЦАГИ.</w:t>
      </w:r>
    </w:p>
    <w:p w14:paraId="215AAF5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I. ЦАГИ продолжает работать как комплексный Институт, занимающийся научно-исследовательскими проблемами и опытным и экспериментальным строительством, внедряя свои опытные машины в серийное производство и доводя их до эталонов. Внедрение опытной машины в серию можно проводить следующим образом. После постройки опытной машины на заводе она </w:t>
      </w:r>
      <w:r w:rsidRPr="00C33834">
        <w:rPr>
          <w:rFonts w:ascii="Times New Roman" w:hAnsi="Times New Roman"/>
          <w:smallCaps/>
          <w:color w:val="000000" w:themeColor="text1"/>
          <w:sz w:val="16"/>
          <w:szCs w:val="16"/>
        </w:rPr>
        <w:t xml:space="preserve">проходит </w:t>
      </w:r>
      <w:r w:rsidRPr="00C33834">
        <w:rPr>
          <w:rFonts w:ascii="Times New Roman" w:hAnsi="Times New Roman"/>
          <w:color w:val="000000" w:themeColor="text1"/>
          <w:sz w:val="16"/>
          <w:szCs w:val="16"/>
        </w:rPr>
        <w:t xml:space="preserve">заводские испытания, на основе которых проводятся доводки машины. Затем машина проходит государственные испытания и вновь подвергается доводкам. Наконец, после контрольных окончательных испытаний машина, как эталон, передается серийному заводу с чертежами, </w:t>
      </w:r>
      <w:r w:rsidRPr="00C33834">
        <w:rPr>
          <w:rFonts w:ascii="Times New Roman" w:hAnsi="Times New Roman"/>
          <w:color w:val="000000" w:themeColor="text1"/>
          <w:sz w:val="16"/>
          <w:szCs w:val="16"/>
        </w:rPr>
        <w:lastRenderedPageBreak/>
        <w:t>соответствующими это</w:t>
      </w:r>
      <w:r w:rsidRPr="00C33834">
        <w:rPr>
          <w:rFonts w:ascii="Times New Roman" w:hAnsi="Times New Roman"/>
          <w:color w:val="000000" w:themeColor="text1"/>
          <w:sz w:val="16"/>
          <w:szCs w:val="16"/>
        </w:rPr>
        <w:softHyphen/>
        <w:t>му эталону.Такой путь наиболее приятен для завода, так как он не влечет за собой никаких существенных изменений в передан</w:t>
      </w:r>
      <w:r w:rsidRPr="00C33834">
        <w:rPr>
          <w:rFonts w:ascii="Times New Roman" w:hAnsi="Times New Roman"/>
          <w:color w:val="000000" w:themeColor="text1"/>
          <w:sz w:val="16"/>
          <w:szCs w:val="16"/>
        </w:rPr>
        <w:softHyphen/>
        <w:t>ном заводу материале, и заводу остается лишь копировать переданный эталон, по крайней мере, в первой серии выпускаемых заво</w:t>
      </w:r>
      <w:r w:rsidRPr="00C33834">
        <w:rPr>
          <w:rFonts w:ascii="Times New Roman" w:hAnsi="Times New Roman"/>
          <w:color w:val="000000" w:themeColor="text1"/>
          <w:sz w:val="16"/>
          <w:szCs w:val="16"/>
        </w:rPr>
        <w:softHyphen/>
        <w:t>дом машин .Однако, этот путь очень долог, особенно в применении к большим машинам. По отношению к ряду машин ЦАГИ Правительство приняло другой более короткий путь. Серий</w:t>
      </w:r>
      <w:r w:rsidRPr="00C33834">
        <w:rPr>
          <w:rFonts w:ascii="Times New Roman" w:hAnsi="Times New Roman"/>
          <w:color w:val="000000" w:themeColor="text1"/>
          <w:sz w:val="16"/>
          <w:szCs w:val="16"/>
        </w:rPr>
        <w:softHyphen/>
        <w:t>ный завод получает чертежи машины и подго</w:t>
      </w:r>
      <w:r w:rsidRPr="00C33834">
        <w:rPr>
          <w:rFonts w:ascii="Times New Roman" w:hAnsi="Times New Roman"/>
          <w:color w:val="000000" w:themeColor="text1"/>
          <w:sz w:val="16"/>
          <w:szCs w:val="16"/>
        </w:rPr>
        <w:softHyphen/>
        <w:t>тавливает производство еще в то время, когда машина строится на опытном заводе ЦАГИ. В этом случае доведение опытной машины до эталона проходит после передачи серийному заводу чертежей, и потому серийному заводу приходитоя вносить некоторые изменения в конструкцию машины и в подготовку процес</w:t>
      </w:r>
      <w:r w:rsidRPr="00C33834">
        <w:rPr>
          <w:rFonts w:ascii="Times New Roman" w:hAnsi="Times New Roman"/>
          <w:color w:val="000000" w:themeColor="text1"/>
          <w:sz w:val="16"/>
          <w:szCs w:val="16"/>
        </w:rPr>
        <w:softHyphen/>
        <w:t>са производства. Заводы должны ясно это понимать и быть готовыми достаточно четко проводить эту работу. Затруднения, возни</w:t>
      </w:r>
      <w:r w:rsidRPr="00C33834">
        <w:rPr>
          <w:rFonts w:ascii="Times New Roman" w:hAnsi="Times New Roman"/>
          <w:color w:val="000000" w:themeColor="text1"/>
          <w:sz w:val="16"/>
          <w:szCs w:val="16"/>
        </w:rPr>
        <w:softHyphen/>
        <w:t>кающие при этом для серийных заводов, с лихвой окупаются более быстрыми теппани внедрения опытных машин в серию. Очевидно, что последний порядок внедрения опытннх ма</w:t>
      </w:r>
      <w:r w:rsidRPr="00C33834">
        <w:rPr>
          <w:rFonts w:ascii="Times New Roman" w:hAnsi="Times New Roman"/>
          <w:color w:val="000000" w:themeColor="text1"/>
          <w:sz w:val="16"/>
          <w:szCs w:val="16"/>
        </w:rPr>
        <w:softHyphen/>
        <w:t>шин в серию требует наличия на серийных за</w:t>
      </w:r>
      <w:r w:rsidRPr="00C33834">
        <w:rPr>
          <w:rFonts w:ascii="Times New Roman" w:hAnsi="Times New Roman"/>
          <w:color w:val="000000" w:themeColor="text1"/>
          <w:sz w:val="16"/>
          <w:szCs w:val="16"/>
        </w:rPr>
        <w:softHyphen/>
        <w:t>водах конструкторских бюро. Необходимость организации конструкторских бюро на серийных заводах вытекает еще в большей степени из следующего, уже упомянутого выше, положения.</w:t>
      </w:r>
    </w:p>
    <w:p w14:paraId="2F054A77"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Совершенно ненормально, что каждая серийная машина не подвергается у нас плано</w:t>
      </w:r>
      <w:r w:rsidRPr="00C33834">
        <w:rPr>
          <w:rFonts w:ascii="Times New Roman" w:hAnsi="Times New Roman"/>
          <w:color w:val="000000" w:themeColor="text1"/>
          <w:sz w:val="16"/>
          <w:szCs w:val="16"/>
        </w:rPr>
        <w:softHyphen/>
        <w:t>мерным и непрерывным дальнейшим улучшениям как на основе эксплотационного опыта, так и развития авиационной науки и техники. Такая планомерная модернизация серийной маанны может надолго сохранить в производстве тип машины и довести этот тип до большого совер</w:t>
      </w:r>
      <w:r w:rsidRPr="00C33834">
        <w:rPr>
          <w:rFonts w:ascii="Times New Roman" w:hAnsi="Times New Roman"/>
          <w:color w:val="000000" w:themeColor="text1"/>
          <w:sz w:val="16"/>
          <w:szCs w:val="16"/>
        </w:rPr>
        <w:softHyphen/>
        <w:t>шенства. Опыт работы ЦАГИ над машиною И-5 подтверждает правильность такого пути. Эта задача должна быть поставлена, как основная, перед конструкторскими бюро серийных, заводов. Конечно, подобного рода работа или участие в такой работе, проводимой на серийных заводах, не может быть снята полностью с ЦАГИ, так как в неко</w:t>
      </w:r>
      <w:r w:rsidRPr="00C33834">
        <w:rPr>
          <w:rFonts w:ascii="Times New Roman" w:hAnsi="Times New Roman"/>
          <w:color w:val="000000" w:themeColor="text1"/>
          <w:sz w:val="16"/>
          <w:szCs w:val="16"/>
        </w:rPr>
        <w:softHyphen/>
        <w:t xml:space="preserve">торых случаях решение </w:t>
      </w:r>
      <w:r w:rsidRPr="00C33834">
        <w:rPr>
          <w:rFonts w:ascii="Times New Roman" w:hAnsi="Times New Roman"/>
          <w:smallCaps/>
          <w:color w:val="000000" w:themeColor="text1"/>
          <w:sz w:val="16"/>
          <w:szCs w:val="16"/>
        </w:rPr>
        <w:t xml:space="preserve">вопросов </w:t>
      </w:r>
      <w:r w:rsidRPr="00C33834">
        <w:rPr>
          <w:rFonts w:ascii="Times New Roman" w:hAnsi="Times New Roman"/>
          <w:color w:val="000000" w:themeColor="text1"/>
          <w:sz w:val="16"/>
          <w:szCs w:val="16"/>
        </w:rPr>
        <w:t>будет требо</w:t>
      </w:r>
      <w:r w:rsidRPr="00C33834">
        <w:rPr>
          <w:rFonts w:ascii="Times New Roman" w:hAnsi="Times New Roman"/>
          <w:color w:val="000000" w:themeColor="text1"/>
          <w:sz w:val="16"/>
          <w:szCs w:val="16"/>
        </w:rPr>
        <w:softHyphen/>
        <w:t>вать особых знаний и опыта, который по нас</w:t>
      </w:r>
      <w:r w:rsidRPr="00C33834">
        <w:rPr>
          <w:rFonts w:ascii="Times New Roman" w:hAnsi="Times New Roman"/>
          <w:color w:val="000000" w:themeColor="text1"/>
          <w:sz w:val="16"/>
          <w:szCs w:val="16"/>
        </w:rPr>
        <w:softHyphen/>
        <w:t>тоящее время имеется лишь у ЦАГИ.</w:t>
      </w:r>
    </w:p>
    <w:p w14:paraId="790670FF"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Работа конструкторских бюро на се</w:t>
      </w:r>
      <w:r w:rsidRPr="00C33834">
        <w:rPr>
          <w:rFonts w:ascii="Times New Roman" w:hAnsi="Times New Roman"/>
          <w:color w:val="000000" w:themeColor="text1"/>
          <w:sz w:val="16"/>
          <w:szCs w:val="16"/>
        </w:rPr>
        <w:softHyphen/>
        <w:t>рийных заводах по модернизации и улучшению находящихся на снабжении машин будет обяза</w:t>
      </w:r>
      <w:r w:rsidRPr="00C33834">
        <w:rPr>
          <w:rFonts w:ascii="Times New Roman" w:hAnsi="Times New Roman"/>
          <w:color w:val="000000" w:themeColor="text1"/>
          <w:sz w:val="16"/>
          <w:szCs w:val="16"/>
        </w:rPr>
        <w:softHyphen/>
        <w:t>тельно требовать выполнения контрольных экспериментов по вопросам прочности, механи</w:t>
      </w:r>
      <w:r w:rsidRPr="00C33834">
        <w:rPr>
          <w:rFonts w:ascii="Times New Roman" w:hAnsi="Times New Roman"/>
          <w:color w:val="000000" w:themeColor="text1"/>
          <w:sz w:val="16"/>
          <w:szCs w:val="16"/>
        </w:rPr>
        <w:softHyphen/>
        <w:t>ческих свойств материалов, а также, в более углубленных случаях, и по аэродинамике.Поэтому, на серийных заводах должны быть развер</w:t>
      </w:r>
      <w:r w:rsidRPr="00C33834">
        <w:rPr>
          <w:rFonts w:ascii="Times New Roman" w:hAnsi="Times New Roman"/>
          <w:color w:val="000000" w:themeColor="text1"/>
          <w:sz w:val="16"/>
          <w:szCs w:val="16"/>
        </w:rPr>
        <w:softHyphen/>
        <w:t>нуты соответствующие лаборатории. Особое вни</w:t>
      </w:r>
      <w:r w:rsidRPr="00C33834">
        <w:rPr>
          <w:rFonts w:ascii="Times New Roman" w:hAnsi="Times New Roman"/>
          <w:color w:val="000000" w:themeColor="text1"/>
          <w:sz w:val="16"/>
          <w:szCs w:val="16"/>
        </w:rPr>
        <w:softHyphen/>
        <w:t>мание долкно быть проявлено при организации аэродинамических лабораторий. Так как иссле</w:t>
      </w:r>
      <w:r w:rsidRPr="00C33834">
        <w:rPr>
          <w:rFonts w:ascii="Times New Roman" w:hAnsi="Times New Roman"/>
          <w:color w:val="000000" w:themeColor="text1"/>
          <w:sz w:val="16"/>
          <w:szCs w:val="16"/>
        </w:rPr>
        <w:softHyphen/>
        <w:t>дования ЦАГИ показали, что результаты испы</w:t>
      </w:r>
      <w:r w:rsidRPr="00C33834">
        <w:rPr>
          <w:rFonts w:ascii="Times New Roman" w:hAnsi="Times New Roman"/>
          <w:color w:val="000000" w:themeColor="text1"/>
          <w:sz w:val="16"/>
          <w:szCs w:val="16"/>
        </w:rPr>
        <w:softHyphen/>
        <w:t>таний в разных аэро-динамических трубах сильно меиду собой разнятся, то аэродинами</w:t>
      </w:r>
      <w:r w:rsidRPr="00C33834">
        <w:rPr>
          <w:rFonts w:ascii="Times New Roman" w:hAnsi="Times New Roman"/>
          <w:color w:val="000000" w:themeColor="text1"/>
          <w:sz w:val="16"/>
          <w:szCs w:val="16"/>
        </w:rPr>
        <w:softHyphen/>
        <w:t>ческие лаборатории серийных заводов долины быть снабжены стандартными трубами со стан</w:t>
      </w:r>
      <w:r w:rsidRPr="00C33834">
        <w:rPr>
          <w:rFonts w:ascii="Times New Roman" w:hAnsi="Times New Roman"/>
          <w:color w:val="000000" w:themeColor="text1"/>
          <w:sz w:val="16"/>
          <w:szCs w:val="16"/>
        </w:rPr>
        <w:softHyphen/>
        <w:t>дартным оборудованием. Необходимо здесь отме</w:t>
      </w:r>
      <w:r w:rsidRPr="00C33834">
        <w:rPr>
          <w:rFonts w:ascii="Times New Roman" w:hAnsi="Times New Roman"/>
          <w:color w:val="000000" w:themeColor="text1"/>
          <w:sz w:val="16"/>
          <w:szCs w:val="16"/>
        </w:rPr>
        <w:softHyphen/>
        <w:t>тить, что развертывание лабораторий на серий</w:t>
      </w:r>
      <w:r w:rsidRPr="00C33834">
        <w:rPr>
          <w:rFonts w:ascii="Times New Roman" w:hAnsi="Times New Roman"/>
          <w:color w:val="000000" w:themeColor="text1"/>
          <w:sz w:val="16"/>
          <w:szCs w:val="16"/>
        </w:rPr>
        <w:softHyphen/>
        <w:t>ных заводах будет иметь и большое значение в мобилизационном отношении.На ЦАГИ должна быть возложена обязанность дать спесификации оборудования таких лабораторий, чертежи стандартных аэродинамических труб и соответствующую аппаратуру, а также оказать содей</w:t>
      </w:r>
      <w:r w:rsidRPr="00C33834">
        <w:rPr>
          <w:rFonts w:ascii="Times New Roman" w:hAnsi="Times New Roman"/>
          <w:color w:val="000000" w:themeColor="text1"/>
          <w:sz w:val="16"/>
          <w:szCs w:val="16"/>
        </w:rPr>
        <w:softHyphen/>
        <w:t>ствие в подготовке кадров и дальнейшей рабо</w:t>
      </w:r>
      <w:r w:rsidRPr="00C33834">
        <w:rPr>
          <w:rFonts w:ascii="Times New Roman" w:hAnsi="Times New Roman"/>
          <w:color w:val="000000" w:themeColor="text1"/>
          <w:sz w:val="16"/>
          <w:szCs w:val="16"/>
        </w:rPr>
        <w:softHyphen/>
        <w:t>те этих лабораторий. Организация таких лабо</w:t>
      </w:r>
      <w:r w:rsidRPr="00C33834">
        <w:rPr>
          <w:rFonts w:ascii="Times New Roman" w:hAnsi="Times New Roman"/>
          <w:color w:val="000000" w:themeColor="text1"/>
          <w:sz w:val="16"/>
          <w:szCs w:val="16"/>
        </w:rPr>
        <w:softHyphen/>
        <w:t>раторий будет иметь существенное значение и для ЦАГИ, так как освободит ЦАГИ от боль</w:t>
      </w:r>
      <w:r w:rsidRPr="00C33834">
        <w:rPr>
          <w:rFonts w:ascii="Times New Roman" w:hAnsi="Times New Roman"/>
          <w:color w:val="000000" w:themeColor="text1"/>
          <w:sz w:val="16"/>
          <w:szCs w:val="16"/>
        </w:rPr>
        <w:softHyphen/>
        <w:t>шого количества мелких контрольных испытаний и даст большее время для разрешения принципи</w:t>
      </w:r>
      <w:r w:rsidRPr="00C33834">
        <w:rPr>
          <w:rFonts w:ascii="Times New Roman" w:hAnsi="Times New Roman"/>
          <w:color w:val="000000" w:themeColor="text1"/>
          <w:sz w:val="16"/>
          <w:szCs w:val="16"/>
        </w:rPr>
        <w:softHyphen/>
        <w:t xml:space="preserve">альных </w:t>
      </w:r>
      <w:r w:rsidRPr="00C33834">
        <w:rPr>
          <w:rFonts w:ascii="Times New Roman" w:hAnsi="Times New Roman"/>
          <w:smallCaps/>
          <w:color w:val="000000" w:themeColor="text1"/>
          <w:sz w:val="16"/>
          <w:szCs w:val="16"/>
        </w:rPr>
        <w:t xml:space="preserve">вопросОВ. </w:t>
      </w:r>
      <w:r w:rsidRPr="00C33834">
        <w:rPr>
          <w:rFonts w:ascii="Times New Roman" w:hAnsi="Times New Roman"/>
          <w:color w:val="000000" w:themeColor="text1"/>
          <w:sz w:val="16"/>
          <w:szCs w:val="16"/>
        </w:rPr>
        <w:t>Конечно, если конструкторские бюро серийных заводов в своих рабо</w:t>
      </w:r>
      <w:r w:rsidRPr="00C33834">
        <w:rPr>
          <w:rFonts w:ascii="Times New Roman" w:hAnsi="Times New Roman"/>
          <w:color w:val="000000" w:themeColor="text1"/>
          <w:sz w:val="16"/>
          <w:szCs w:val="16"/>
        </w:rPr>
        <w:softHyphen/>
        <w:t>тах встретятся с необходимостью экспериментального разрешения более глубоких задач, то, по прежнему, к этому делу должны быть прив</w:t>
      </w:r>
      <w:r w:rsidRPr="00C33834">
        <w:rPr>
          <w:rFonts w:ascii="Times New Roman" w:hAnsi="Times New Roman"/>
          <w:color w:val="000000" w:themeColor="text1"/>
          <w:sz w:val="16"/>
          <w:szCs w:val="16"/>
        </w:rPr>
        <w:softHyphen/>
        <w:t xml:space="preserve">ечены лаборатории ЦАГИ. Стандартные аэродинамические лаборатории в первую очередь уже с 1934 года надо организовать на заводе № 39 и Харьковском авиационном заводе. </w:t>
      </w:r>
      <w:r w:rsidRPr="00C33834">
        <w:rPr>
          <w:rFonts w:ascii="Times New Roman" w:hAnsi="Times New Roman"/>
          <w:smallCaps/>
          <w:color w:val="000000" w:themeColor="text1"/>
          <w:sz w:val="16"/>
          <w:szCs w:val="16"/>
        </w:rPr>
        <w:t xml:space="preserve">при </w:t>
      </w:r>
      <w:r w:rsidRPr="00C33834">
        <w:rPr>
          <w:rFonts w:ascii="Times New Roman" w:hAnsi="Times New Roman"/>
          <w:color w:val="000000" w:themeColor="text1"/>
          <w:sz w:val="16"/>
          <w:szCs w:val="16"/>
        </w:rPr>
        <w:t>проводимой модификации машин необходимо обращать внимание на самое тщательное выполнение требований стандартизации их деталей и частей.</w:t>
      </w:r>
    </w:p>
    <w:p w14:paraId="0729E891"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Хотя ЦАГИ и получил указание о наблюдении за качеством самолетов ЦАГИ в их эксплоатации, однако это дело до сих пор в ЦАГИ не организовано. Необходима немедленная организация этого дела в ЦАГИ с тем, чтобы эксплоатационный опыт учитывался при проекти</w:t>
      </w:r>
      <w:r w:rsidRPr="00C33834">
        <w:rPr>
          <w:rFonts w:ascii="Times New Roman" w:hAnsi="Times New Roman"/>
          <w:color w:val="000000" w:themeColor="text1"/>
          <w:sz w:val="16"/>
          <w:szCs w:val="16"/>
        </w:rPr>
        <w:softHyphen/>
        <w:t>ровании в ЦАГИ новых опытных машин, а также передавался серийным заводам, строящим маши-ЦАГИ, в целях использования его при моди</w:t>
      </w:r>
      <w:r w:rsidRPr="00C33834">
        <w:rPr>
          <w:rFonts w:ascii="Times New Roman" w:hAnsi="Times New Roman"/>
          <w:color w:val="000000" w:themeColor="text1"/>
          <w:sz w:val="16"/>
          <w:szCs w:val="16"/>
        </w:rPr>
        <w:softHyphen/>
        <w:t>фикациях машин.</w:t>
      </w:r>
    </w:p>
    <w:p w14:paraId="6DCBB4F3"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На основе изложенного, а также приказа по Главному Управлению Авиационной Промышленности за № 20/366 от 13 июля 1932 г., можно следующим образом определить функции ЦАГИ и серийных заводов.</w:t>
      </w:r>
    </w:p>
    <w:p w14:paraId="3AE9C9E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ЦАГИ следует возложить:</w:t>
      </w:r>
    </w:p>
    <w:p w14:paraId="35F3BE65"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разработку новьх типов самолетов, оборудования и вооружения по утвержденному плану;</w:t>
      </w:r>
    </w:p>
    <w:p w14:paraId="62DBFEDB"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испьггание, полное согласование и утверждение новьх типов самолетов, доводку их до эталлона для первой серии;</w:t>
      </w:r>
    </w:p>
    <w:p w14:paraId="2CCD136B"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передачу серийным заводам конструктивных чертежей новых самолетов;</w:t>
      </w:r>
    </w:p>
    <w:p w14:paraId="526EAD03"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передачу серийньм заводам эталонов новвы типов самолетов.</w:t>
      </w:r>
    </w:p>
    <w:p w14:paraId="7AF02E51"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передачу измененных чертежей и эталонов серийной машины, если модификации маиины бьли выполнены ЦАГИ;</w:t>
      </w:r>
    </w:p>
    <w:p w14:paraId="6B2DDEA5"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 испытание и полное согласование эталонов серийных машин на каждый новый опарационный период их серийной построойки, если изменения в машины бьли внесено ЦАГИ;</w:t>
      </w:r>
    </w:p>
    <w:p w14:paraId="59C35EA5"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 техническое наблюдение и консультацию по вновь внедряемым в производство машинам и равно и по изменениям, предложенным серийными заводами в конструкцию серийных самолетов;</w:t>
      </w:r>
    </w:p>
    <w:p w14:paraId="3712BFC7"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 техническую помоць и консультацию по лабораторным работам серийных заводов в областях, касающихся компетенции ЦАГИ;</w:t>
      </w:r>
    </w:p>
    <w:p w14:paraId="6553F4FB"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постоянное наблюдение за качеством самолетов ЦАГИ в эксплоатации их дальнейшей модификации и стандартизацией деталей в процессе дальнейшей серийной постройки.</w:t>
      </w:r>
    </w:p>
    <w:p w14:paraId="60EA2A2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Задачу серийных заводов следует поставить:</w:t>
      </w:r>
    </w:p>
    <w:p w14:paraId="12602CB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подготовку производства к внедрению в серию новых видов самолетов ЦАГИ по утвержденным эталонам под техническим 'наблюдением ЦАГИ;</w:t>
      </w:r>
    </w:p>
    <w:p w14:paraId="0EA0C08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разработку изменений в чертежах под наблюдением ЦАГИ первой серии, если они переданы в производство еще до утверждения эталона;</w:t>
      </w:r>
    </w:p>
    <w:p w14:paraId="4805BBAD"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систематическое удешевление, улучшение и модернизацию на основе эксплотационного опыта, а также новых тактико-техничеоких данных, с учетом требований стандартизации;</w:t>
      </w:r>
    </w:p>
    <w:p w14:paraId="1EFDB923"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испытание и полное согласование эталонов серийных машин, если модификации их проводились серийным заводом.</w:t>
      </w:r>
    </w:p>
    <w:p w14:paraId="06B42CAA"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производство соответствующих контрольных испытаний в своих лабораториях, связанных о задачами улучшения качества машин.</w:t>
      </w:r>
    </w:p>
    <w:p w14:paraId="49222B08"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ЦАГИ в области построения экспериментальных машин не могут быть признаны достаточными. Соответствующая бригада ЦАГИ, которая начала заниматься этими вопросами и во главе которой стоял инж.ЧИЖЕВСКИЙ, перешла на завод № 39. Необходимо усилить эту работу в ЦАГИ, освободив Конструкторский Отдел и опытный завод от большинства работ, связанных о модификациями серийных машин; эти последние работы, как было указано выше, могут быть вменены в обязанность серийных заводов.</w:t>
      </w:r>
    </w:p>
    <w:p w14:paraId="3ED9B15E"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Наибольшие задержки в работе ЦАГИ, как особенно работа по ТБ3-М34, зависят от винтомоторной труппы. Причина этого лежит в том, что с выделением работы по моторам в специальный Институт, ЦИАМ, из ЦАГИ оказались вырванными работы по винтомоторной группе .Необходимо восстановление этих работ в системе ЦАГИ (2281,80).</w:t>
      </w:r>
    </w:p>
    <w:p w14:paraId="4076265C"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0FAA6EA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ноября 1933 ВИАМ направил в ГУАП Доклад о современном состоянии и перспективах развития ВИАМа (2281,52).</w:t>
      </w:r>
    </w:p>
    <w:p w14:paraId="18634D8A"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о к л а д</w:t>
      </w:r>
    </w:p>
    <w:p w14:paraId="34A2774F"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современном состоянии и перспективах развития ВИАМа</w:t>
      </w:r>
    </w:p>
    <w:p w14:paraId="57C7D2D0"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Современное состояние ВИАМ"а.</w:t>
      </w:r>
    </w:p>
    <w:p w14:paraId="27EF497C"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ВИАМ имеет три научно-технических Отдела, а именно:</w:t>
      </w:r>
    </w:p>
    <w:p w14:paraId="21E2DE4F"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отдел по изучению металлов,</w:t>
      </w:r>
    </w:p>
    <w:p w14:paraId="17774263"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отдел по изучению авиалеса,</w:t>
      </w:r>
    </w:p>
    <w:p w14:paraId="553A8098"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отдел по изучению химических матерлалов.</w:t>
      </w:r>
    </w:p>
    <w:p w14:paraId="40641CA3"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Эти отделы разделяются на лаборатирии и оперативные группы.Так в составе отдела металлов ииеется 8 лабораторий и 6 оперативных групп; в составе отдела авиалеса - 4 лаборатории и 4 группыб а составе химико-технологического отдела - 7 лабораторий.</w:t>
      </w:r>
    </w:p>
    <w:p w14:paraId="5BAB75C0"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в институте имеется: отдел научной информации, включающий в себя библиотеку и издательство, отдел главного механика с маастерскими для изготовления образцов и мелких приборов, отдел снабжения, плановый отдел и отдел учета и отчетности.</w:t>
      </w:r>
    </w:p>
    <w:p w14:paraId="5BD12D1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в институте состоит: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1559"/>
      </w:tblGrid>
      <w:tr w:rsidR="00F26F01" w:rsidRPr="00C33834" w14:paraId="19F6286B" w14:textId="77777777">
        <w:tc>
          <w:tcPr>
            <w:tcW w:w="1526" w:type="dxa"/>
            <w:tcBorders>
              <w:top w:val="single" w:sz="12" w:space="0" w:color="auto"/>
            </w:tcBorders>
          </w:tcPr>
          <w:p w14:paraId="02BC1CE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инженеров</w:t>
            </w:r>
          </w:p>
        </w:tc>
        <w:tc>
          <w:tcPr>
            <w:tcW w:w="1559" w:type="dxa"/>
            <w:tcBorders>
              <w:top w:val="single" w:sz="12" w:space="0" w:color="auto"/>
            </w:tcBorders>
          </w:tcPr>
          <w:p w14:paraId="05AEB22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w:t>
            </w:r>
          </w:p>
        </w:tc>
      </w:tr>
      <w:tr w:rsidR="00F26F01" w:rsidRPr="00C33834" w14:paraId="4B5ECBF7" w14:textId="77777777">
        <w:tc>
          <w:tcPr>
            <w:tcW w:w="1526" w:type="dxa"/>
          </w:tcPr>
          <w:p w14:paraId="1379409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техников</w:t>
            </w:r>
          </w:p>
        </w:tc>
        <w:tc>
          <w:tcPr>
            <w:tcW w:w="1559" w:type="dxa"/>
          </w:tcPr>
          <w:p w14:paraId="2DAFC67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126</w:t>
            </w:r>
          </w:p>
        </w:tc>
      </w:tr>
      <w:tr w:rsidR="00F26F01" w:rsidRPr="00C33834" w14:paraId="141F4893" w14:textId="77777777">
        <w:tc>
          <w:tcPr>
            <w:tcW w:w="1526" w:type="dxa"/>
          </w:tcPr>
          <w:p w14:paraId="0EC3B26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лаборантов</w:t>
            </w:r>
          </w:p>
        </w:tc>
        <w:tc>
          <w:tcPr>
            <w:tcW w:w="1559" w:type="dxa"/>
          </w:tcPr>
          <w:p w14:paraId="04A0490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w:t>
            </w:r>
          </w:p>
        </w:tc>
      </w:tr>
      <w:tr w:rsidR="00F26F01" w:rsidRPr="00C33834" w14:paraId="206CBB15" w14:textId="77777777">
        <w:tc>
          <w:tcPr>
            <w:tcW w:w="1526" w:type="dxa"/>
          </w:tcPr>
          <w:p w14:paraId="0F2FE28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препараторов</w:t>
            </w:r>
          </w:p>
        </w:tc>
        <w:tc>
          <w:tcPr>
            <w:tcW w:w="1559" w:type="dxa"/>
          </w:tcPr>
          <w:p w14:paraId="3B11440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r>
      <w:tr w:rsidR="00F26F01" w:rsidRPr="00C33834" w14:paraId="033CECC7" w14:textId="77777777">
        <w:tc>
          <w:tcPr>
            <w:tcW w:w="1526" w:type="dxa"/>
          </w:tcPr>
          <w:p w14:paraId="0651E0F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экономистов</w:t>
            </w:r>
          </w:p>
        </w:tc>
        <w:tc>
          <w:tcPr>
            <w:tcW w:w="1559" w:type="dxa"/>
          </w:tcPr>
          <w:p w14:paraId="0E30DA8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r>
      <w:tr w:rsidR="00F26F01" w:rsidRPr="00C33834" w14:paraId="07FEE5F2" w14:textId="77777777">
        <w:tc>
          <w:tcPr>
            <w:tcW w:w="1526" w:type="dxa"/>
          </w:tcPr>
          <w:p w14:paraId="53543F7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чертежников</w:t>
            </w:r>
          </w:p>
        </w:tc>
        <w:tc>
          <w:tcPr>
            <w:tcW w:w="1559" w:type="dxa"/>
          </w:tcPr>
          <w:p w14:paraId="6212D83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w:t>
            </w:r>
          </w:p>
        </w:tc>
      </w:tr>
      <w:tr w:rsidR="00F26F01" w:rsidRPr="00C33834" w14:paraId="4BB19888" w14:textId="77777777">
        <w:tc>
          <w:tcPr>
            <w:tcW w:w="1526" w:type="dxa"/>
          </w:tcPr>
          <w:p w14:paraId="58C82E7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прочих ИТР</w:t>
            </w:r>
          </w:p>
        </w:tc>
        <w:tc>
          <w:tcPr>
            <w:tcW w:w="1559" w:type="dxa"/>
          </w:tcPr>
          <w:p w14:paraId="12AB2B8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r>
      <w:tr w:rsidR="00F26F01" w:rsidRPr="00C33834" w14:paraId="4CA5F501" w14:textId="77777777">
        <w:tc>
          <w:tcPr>
            <w:tcW w:w="1526" w:type="dxa"/>
          </w:tcPr>
          <w:p w14:paraId="773585F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КСК</w:t>
            </w:r>
          </w:p>
        </w:tc>
        <w:tc>
          <w:tcPr>
            <w:tcW w:w="1559" w:type="dxa"/>
          </w:tcPr>
          <w:p w14:paraId="5B61A93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101</w:t>
            </w:r>
          </w:p>
        </w:tc>
      </w:tr>
      <w:tr w:rsidR="00F26F01" w:rsidRPr="00C33834" w14:paraId="022940F1" w14:textId="77777777">
        <w:tc>
          <w:tcPr>
            <w:tcW w:w="1526" w:type="dxa"/>
          </w:tcPr>
          <w:p w14:paraId="15B5068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МСП</w:t>
            </w:r>
          </w:p>
        </w:tc>
        <w:tc>
          <w:tcPr>
            <w:tcW w:w="1559" w:type="dxa"/>
          </w:tcPr>
          <w:p w14:paraId="5CC8106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w:t>
            </w:r>
          </w:p>
        </w:tc>
      </w:tr>
      <w:tr w:rsidR="00F26F01" w:rsidRPr="00C33834" w14:paraId="7C84E77E" w14:textId="77777777">
        <w:tc>
          <w:tcPr>
            <w:tcW w:w="1526" w:type="dxa"/>
            <w:tcBorders>
              <w:bottom w:val="single" w:sz="12" w:space="0" w:color="auto"/>
            </w:tcBorders>
          </w:tcPr>
          <w:p w14:paraId="03AD200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рабочих</w:t>
            </w:r>
          </w:p>
        </w:tc>
        <w:tc>
          <w:tcPr>
            <w:tcW w:w="1559" w:type="dxa"/>
            <w:tcBorders>
              <w:bottom w:val="single" w:sz="12" w:space="0" w:color="auto"/>
            </w:tcBorders>
          </w:tcPr>
          <w:p w14:paraId="23B1F15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137</w:t>
            </w:r>
          </w:p>
        </w:tc>
      </w:tr>
    </w:tbl>
    <w:p w14:paraId="11B1CD9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К числу руководящего состава надо отнести ? человек инженеров высокой квалификации, имеющих большой опыт и достаточно известных в авиационной промышленности. Остальные инженеры д.б. отнесены к категории молодых специалистов... (2281).</w:t>
      </w:r>
    </w:p>
    <w:p w14:paraId="6D29D36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Что касается оборудования вышеупомянутых лабораторий, то за небольшими исключениями оно должно быть признано недостаточным. Нет оборудования для лабораторий пласт-масс, нет оборудования для мастерских, недостает отдельных приборов для других лабораторийМеры к приобретению всего оборудования как со стороны ВИАМа, так и со стороны ГУАП, приняты. Одним из главных препятствий к развитию института является отсутствие собственного опытного завода. Вследствии этого институт вынужден производить свои опытные работы на заводах серийного и массового производства, что отнимает чрезвычайно много времени на организацию этих работ и не дает нужного эффекта.</w:t>
      </w:r>
    </w:p>
    <w:p w14:paraId="78A1032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Нконец, фактором, лимитирующим работу института, выступает недостаток помещений. Институт располагает всего ? мт2 помещений, которые к тому же располагаются на трех территориях (ЦАГИ, ЦИАМ, и Маросейка, 12). Ввиду этого, институт не может ни развернуть новых лабораторий, ни надлежащих мастерских, ни создать более или менее культурные условия работы для научных сотрудников.</w:t>
      </w:r>
    </w:p>
    <w:p w14:paraId="54036B2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П.Характер работы ВИАМ</w:t>
      </w:r>
    </w:p>
    <w:p w14:paraId="22328B9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ВИАМа разделяется на две части: научно-исследовательскую и практическую. Научно-исследовательская работа заключалась в лабораторных исследованиях, имеющих своей целью: 1/ изыскание новых авиационных материалов; 2/ улучшение существующих материалов; 3/ выработку рациональных методов применения и использования материалов в самолето- и моторостроении.</w:t>
      </w:r>
    </w:p>
    <w:p w14:paraId="0822D4B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Практическая деятельность института заключается в обслуживании промышленности и делится на две категории работ. Из них первая заключается в организации производства новых авиационных материалов на заводах-поставщиках, а вторая - в в организации новых технологических процессов на заводах авиационной промышленности.</w:t>
      </w:r>
    </w:p>
    <w:p w14:paraId="3B47195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Институт ведет обширную консультационную работу, котрая выражается в повседневных контрольных исследованиях самых разнообразных материалов и даче заключений по всем вопросам, которые ставиятся заводами и ГУАПом.</w:t>
      </w:r>
    </w:p>
    <w:p w14:paraId="31A3120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Научно-исследовательские работы печатаются в трудах института в виде монографий и сборников. Работы по обслуживанию промышленности оформляются в виде докладов, ТУ и производственных инструкций.</w:t>
      </w:r>
    </w:p>
    <w:p w14:paraId="57F7ECC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 Результаты работы ВИАМ</w:t>
      </w:r>
    </w:p>
    <w:p w14:paraId="5D42DA9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ВИАМ существует полтора года. Часть этого времени была затрачена Институтом на организацию работы; довольно много времени ушло на обучение моложых специалистов. Тем не менее Институтом выполнены и переданы промышленности следующие работы:</w:t>
      </w:r>
    </w:p>
    <w:p w14:paraId="68C8C65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Организовано производство листовой хромо-молибденовой стали на заводе Серп и молот в Москве. Эта сталиь ранее ввозилась из-за границы, на что тратились большие суммы валюты;</w:t>
      </w:r>
    </w:p>
    <w:p w14:paraId="796D0E1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Организовано производство листовой кремне-хромо-марганцевой стали (хромансиль) на заводе Серп и молот в Москве. Эта сталь не содержит в себе импортных присадок, имеет хорошие механические свойства, хорошо сваривается и будет основным материалом самолетостроения.</w:t>
      </w:r>
    </w:p>
    <w:p w14:paraId="67C3053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Организовано совместно с заволорм им. Ворошилова производство супералькледа с титаном, который должен будет заменить старый альклед. Новый матиериал дает возможность снизить собственный вес самолета на 15%.</w:t>
      </w:r>
    </w:p>
    <w:p w14:paraId="3FACD08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Организован процесс азотизации моторных деталей на заводе № 26 в Рыбинске.</w:t>
      </w:r>
    </w:p>
    <w:p w14:paraId="63C7821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Организовано производство моторных деталей из хромистых сталей взамен хромоникилевой (заводы 24, 26, 29, ЦИАМ и ЦАГИ)</w:t>
      </w:r>
    </w:p>
    <w:p w14:paraId="77D659A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Организовано производство штампованых поршнейиз алюминиевых сплавов на заводе № 26 в Рыбинске</w:t>
      </w:r>
    </w:p>
    <w:p w14:paraId="753B8AA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Изготовлен и испытан в полете литой полый винт из аллюминиевого сплава, вполне заменяющий кованные металлические винты и не требущий для производства ни штампов ни молотов.</w:t>
      </w:r>
    </w:p>
    <w:p w14:paraId="0843211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Оказана помощь в организации производства штампованных алюминиевых пропеллеров на заводах НКТП</w:t>
      </w:r>
    </w:p>
    <w:p w14:paraId="1258D23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Организовано производство гофрированной фанеры на Парф... фанерном заводе. Изготовлены пробные партии материалакоторые поставлены на опытные самолеты ЦАГИ, НИИ ГВФ и завода № 81</w:t>
      </w:r>
    </w:p>
    <w:p w14:paraId="7485223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Разработана и испытана в эксплоатации краска для электрона.</w:t>
      </w:r>
    </w:p>
    <w:p w14:paraId="327E14C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Выработан метод производства фибры больших толщин для специальных целей военного ведомства.</w:t>
      </w:r>
    </w:p>
    <w:p w14:paraId="29EF37A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Разработаны порошкообразные водоупорные клеи из казеина.</w:t>
      </w:r>
    </w:p>
    <w:p w14:paraId="5937186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Заменено импортное красное дерево лиственицей в подводной обшивке гидросамолетов (завода № 23 и 21).</w:t>
      </w:r>
    </w:p>
    <w:p w14:paraId="31B0D2C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Установлен стандартный тип камер для сушки авиадревесины.</w:t>
      </w:r>
    </w:p>
    <w:p w14:paraId="6792290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Произведено обследование лесов Дальневосточного края и подробно изучены физико-механические свойства древесных пород этого края.</w:t>
      </w:r>
    </w:p>
    <w:p w14:paraId="6D3DC9F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Разработан ряд новых методов изготовления деревянных пропеллеров, которные в водятся на производстве завода № 28.</w:t>
      </w:r>
    </w:p>
    <w:p w14:paraId="767AC8D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выполнено большое количество лабораторных исследований по всем вопросам авиационного материаловедения, произведены многочисленные контрольные испытания, экспертизы и проч.</w:t>
      </w:r>
    </w:p>
    <w:p w14:paraId="5F771F4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1У. Недостатки в работе ВИАМ</w:t>
      </w:r>
    </w:p>
    <w:p w14:paraId="77F8559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ВИАМ имеет два органических недостатка, которые являются следствием существующего положения: во-первых - ВИАМ слишком мал по сравнению с задачами, которые выдвигает АП. Поэтому ВИАМ не успевает обслуживать АЗ. Например, располагая сравнительно малой сварочной лабораторией, ВИАМ мог переводить с газовой сварки на электрическую только один завод. Другие заводы должны были дожидаться своей очереди. Тоже было с организацией хромирования инструмента, с введением рациональных методов склеивания самолетных деталей и т.д. Это положение, несмотря на все старания ВИАМ добросовестно обслуживать заводы, давало повод к обвинению института в отрыве от промышленности. Устранить этот недостаток чрезвычайно трудно, т.к. рост запросов АЗ опережает рост института, а сильно развивающаяся техника выдвигает все новые требования.</w:t>
      </w:r>
    </w:p>
    <w:p w14:paraId="0CF8576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Вторым недостатком выступает лабораторный характер всех его работ. Отсутствие собственного опытного завода лишает Институт возможности доводить свои работы до создания заводской технологии (2281).</w:t>
      </w:r>
    </w:p>
    <w:p w14:paraId="2E3EB4DC"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36AD219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ноября 1933 Нач. НИИ ВВС Зильберту было направлено письмо N 282/704с:</w:t>
      </w:r>
    </w:p>
    <w:p w14:paraId="2AEF0E4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заводе 1 ВВС РККА тов. Вирджили разрабатываются следующие объекты:</w:t>
      </w:r>
    </w:p>
    <w:p w14:paraId="3004756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Геликоптер-амфибия</w:t>
      </w:r>
    </w:p>
    <w:p w14:paraId="361859D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Механический регулятор для поддержания постоянного числа оборотов динамо-машины (4500 об./мин.).</w:t>
      </w:r>
    </w:p>
    <w:p w14:paraId="5F3C59A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Механический винт с изменяющимся углом атаки в воздухе</w:t>
      </w:r>
    </w:p>
    <w:p w14:paraId="2947A0B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Авиамотор для Геликоптера-амфибии...(2305,85).</w:t>
      </w:r>
    </w:p>
    <w:p w14:paraId="3BECCEBD"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06C40F1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ноября 1933 была подготовлена справка Состояние опытного моторостроения на 15 ноября 1933 года.</w:t>
      </w:r>
    </w:p>
    <w:p w14:paraId="2A83A47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М-34Н (нагнетат.).</w:t>
      </w:r>
    </w:p>
    <w:p w14:paraId="1748810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Прошел удовлетворительно повторные гос. испытания. Предложено усилить крышку улитки, которая будет испытываться отдельно на М-34Н.</w:t>
      </w:r>
    </w:p>
    <w:p w14:paraId="5389EA2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РН.</w:t>
      </w:r>
    </w:p>
    <w:p w14:paraId="6CE92F3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был своевременно подготовлен к гос. испыт., но не был предъявлен, вследствие дефектов нагнетателя, выявившихся на зав. испытаниях последнего. Запущены 2 варианта усиленного нагнетателя со сроком выхода в конце ноября с.г. К 1/I-34 г. мотор М-34РН будет предъявлен на гос. испыт. с усиленным нагнет.</w:t>
      </w:r>
    </w:p>
    <w:p w14:paraId="48C42DC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ФР (форсиров.).</w:t>
      </w:r>
    </w:p>
    <w:p w14:paraId="291D60D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Проведена экспериментальная работа по форсированию серийного мотора М-34 на основании которой выявлена необходимость усиления ряда деталей (картер, передачи и т.п.). Усиленные детали запущены в производство. Вероятный срок предъявления на гос. испытания 1/V-34 г.</w:t>
      </w:r>
    </w:p>
    <w:p w14:paraId="67191CB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ФРН (Н=3500).</w:t>
      </w:r>
    </w:p>
    <w:p w14:paraId="496FF8B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полностью связаны с М-34 ФР. Ожидаемый срок выхода на гос. испытания - 1/VII-34 г.</w:t>
      </w:r>
    </w:p>
    <w:p w14:paraId="67A65D7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ФРН (Н=5000 и винтом перемен. шага).</w:t>
      </w:r>
    </w:p>
    <w:p w14:paraId="745BE91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Заканчиваются конструкторские работы по нагнетателю. Винт переменного шага запущен в производство. Мотор будет предъявлен на гос. испытания 1/XI-34 г.</w:t>
      </w:r>
    </w:p>
    <w:p w14:paraId="050A92F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М-34ФРН (Н=5000, винтом перем. шага и удлин. вал.).</w:t>
      </w:r>
    </w:p>
    <w:p w14:paraId="01B4E5C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Ведутся конструкторские работы по компоновке мотора и разрабатываются рабочие чертежи удлиненного вала; поковки удлинен. вала заказаны. Ход работ зависит от результатов испытания М-34 РФН. Ожидаемый срок выхода на гос7 испытания 1/XI-34 г.</w:t>
      </w:r>
    </w:p>
    <w:p w14:paraId="13DFA0D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Э (электр. картер).</w:t>
      </w:r>
    </w:p>
    <w:p w14:paraId="05293B2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97-м часу гос. испытаний произошла авария картера - лопнула перегородка. Производится подготовка к повторным гос. испытаниям с усиленным картером.</w:t>
      </w:r>
    </w:p>
    <w:p w14:paraId="19CE639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однорядный.</w:t>
      </w:r>
    </w:p>
    <w:p w14:paraId="1DCF625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вышел из сборки 27/IX, прошел обкатку и встал на заводские испытания. В производстве находится новый вариант с усиленным картером, облегченными деталями и новыми агрегатами. Вероятный срок предъявления на гос. испытания - 1/VIII-34 г. (2287,140).</w:t>
      </w:r>
    </w:p>
    <w:p w14:paraId="37FC45D9"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КРАТКАЯ ДОКЛАДНАЯ ЗАПИСКА</w:t>
      </w:r>
    </w:p>
    <w:p w14:paraId="6410700B"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деятельности института Авиационного Моторостроения за период ноябрь 1930 г. - по ноябрь 1933 года.</w:t>
      </w:r>
    </w:p>
    <w:p w14:paraId="65A74A82"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Центральной институт Авиационного моторостроения был создан в ноябре 1930 года. Вся организация института была проведена за отчетный период времени. Ниже приведенные таблицы дают представление о ходе развитая института.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F26F01" w:rsidRPr="00C33834" w14:paraId="7B10AB00" w14:textId="77777777">
        <w:tc>
          <w:tcPr>
            <w:tcW w:w="2242" w:type="dxa"/>
            <w:tcBorders>
              <w:top w:val="single" w:sz="12" w:space="0" w:color="auto"/>
            </w:tcBorders>
            <w:shd w:val="clear" w:color="auto" w:fill="FFFFFF"/>
          </w:tcPr>
          <w:p w14:paraId="5DE2485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Прирост оборудовакия Опытного завода ЦИАМ</w:t>
            </w:r>
          </w:p>
        </w:tc>
        <w:tc>
          <w:tcPr>
            <w:tcW w:w="2242" w:type="dxa"/>
            <w:tcBorders>
              <w:top w:val="single" w:sz="12" w:space="0" w:color="auto"/>
            </w:tcBorders>
            <w:shd w:val="clear" w:color="auto" w:fill="FFFFFF"/>
          </w:tcPr>
          <w:p w14:paraId="4CFF5AF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1/1-31 г.</w:t>
            </w:r>
          </w:p>
        </w:tc>
        <w:tc>
          <w:tcPr>
            <w:tcW w:w="2242" w:type="dxa"/>
            <w:tcBorders>
              <w:top w:val="single" w:sz="12" w:space="0" w:color="auto"/>
            </w:tcBorders>
            <w:shd w:val="clear" w:color="auto" w:fill="FFFFFF"/>
          </w:tcPr>
          <w:p w14:paraId="7B51E2F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 1/I 1932 </w:t>
            </w:r>
          </w:p>
        </w:tc>
        <w:tc>
          <w:tcPr>
            <w:tcW w:w="2242" w:type="dxa"/>
            <w:tcBorders>
              <w:top w:val="single" w:sz="12" w:space="0" w:color="auto"/>
            </w:tcBorders>
            <w:shd w:val="clear" w:color="auto" w:fill="FFFFFF"/>
          </w:tcPr>
          <w:p w14:paraId="0F7CF5C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1/Х-ЗЗг.</w:t>
            </w:r>
          </w:p>
        </w:tc>
        <w:tc>
          <w:tcPr>
            <w:tcW w:w="2242" w:type="dxa"/>
            <w:tcBorders>
              <w:top w:val="single" w:sz="12" w:space="0" w:color="auto"/>
            </w:tcBorders>
            <w:shd w:val="clear" w:color="auto" w:fill="FFFFFF"/>
          </w:tcPr>
          <w:p w14:paraId="47ED70E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8/Х-33 г.</w:t>
            </w:r>
          </w:p>
        </w:tc>
      </w:tr>
      <w:tr w:rsidR="00F26F01" w:rsidRPr="00C33834" w14:paraId="6542A063" w14:textId="77777777">
        <w:tc>
          <w:tcPr>
            <w:tcW w:w="2242" w:type="dxa"/>
            <w:shd w:val="clear" w:color="auto" w:fill="FFFFFF"/>
          </w:tcPr>
          <w:p w14:paraId="497D067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Станочного оборудования</w:t>
            </w:r>
          </w:p>
        </w:tc>
        <w:tc>
          <w:tcPr>
            <w:tcW w:w="2242" w:type="dxa"/>
            <w:shd w:val="clear" w:color="auto" w:fill="FFFFFF"/>
          </w:tcPr>
          <w:p w14:paraId="5C6E4A5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tc>
        <w:tc>
          <w:tcPr>
            <w:tcW w:w="2242" w:type="dxa"/>
            <w:shd w:val="clear" w:color="auto" w:fill="FFFFFF"/>
          </w:tcPr>
          <w:p w14:paraId="0E25D0A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158</w:t>
            </w:r>
          </w:p>
        </w:tc>
        <w:tc>
          <w:tcPr>
            <w:tcW w:w="2242" w:type="dxa"/>
            <w:shd w:val="clear" w:color="auto" w:fill="FFFFFF"/>
          </w:tcPr>
          <w:p w14:paraId="5BC27E9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244</w:t>
            </w:r>
          </w:p>
        </w:tc>
        <w:tc>
          <w:tcPr>
            <w:tcW w:w="2242" w:type="dxa"/>
            <w:shd w:val="clear" w:color="auto" w:fill="FFFFFF"/>
          </w:tcPr>
          <w:p w14:paraId="4F7F649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265</w:t>
            </w:r>
          </w:p>
        </w:tc>
      </w:tr>
      <w:tr w:rsidR="00F26F01" w:rsidRPr="00C33834" w14:paraId="71ABF82C" w14:textId="77777777">
        <w:tc>
          <w:tcPr>
            <w:tcW w:w="2242" w:type="dxa"/>
            <w:shd w:val="clear" w:color="auto" w:fill="FFFFFF"/>
          </w:tcPr>
          <w:p w14:paraId="480FE44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Рост зданий ЦИАМ</w:t>
            </w:r>
          </w:p>
        </w:tc>
        <w:tc>
          <w:tcPr>
            <w:tcW w:w="2242" w:type="dxa"/>
            <w:shd w:val="clear" w:color="auto" w:fill="FFFFFF"/>
          </w:tcPr>
          <w:p w14:paraId="24B4A034" w14:textId="77777777" w:rsidR="00570C39" w:rsidRPr="00C33834" w:rsidRDefault="00570C39" w:rsidP="00C33834">
            <w:pPr>
              <w:spacing w:after="0" w:line="240" w:lineRule="auto"/>
              <w:jc w:val="both"/>
              <w:rPr>
                <w:rFonts w:ascii="Times New Roman" w:hAnsi="Times New Roman"/>
                <w:color w:val="000000" w:themeColor="text1"/>
                <w:sz w:val="16"/>
                <w:szCs w:val="16"/>
              </w:rPr>
            </w:pPr>
          </w:p>
        </w:tc>
        <w:tc>
          <w:tcPr>
            <w:tcW w:w="2242" w:type="dxa"/>
            <w:shd w:val="clear" w:color="auto" w:fill="FFFFFF"/>
          </w:tcPr>
          <w:p w14:paraId="4072B7C4" w14:textId="77777777" w:rsidR="00570C39" w:rsidRPr="00C33834" w:rsidRDefault="00570C39" w:rsidP="00C33834">
            <w:pPr>
              <w:spacing w:after="0" w:line="240" w:lineRule="auto"/>
              <w:jc w:val="both"/>
              <w:rPr>
                <w:rFonts w:ascii="Times New Roman" w:hAnsi="Times New Roman"/>
                <w:color w:val="000000" w:themeColor="text1"/>
                <w:sz w:val="16"/>
                <w:szCs w:val="16"/>
              </w:rPr>
            </w:pPr>
          </w:p>
        </w:tc>
        <w:tc>
          <w:tcPr>
            <w:tcW w:w="2242" w:type="dxa"/>
            <w:shd w:val="clear" w:color="auto" w:fill="FFFFFF"/>
          </w:tcPr>
          <w:p w14:paraId="0C00C1FB" w14:textId="77777777" w:rsidR="00570C39" w:rsidRPr="00C33834" w:rsidRDefault="00570C39" w:rsidP="00C33834">
            <w:pPr>
              <w:spacing w:after="0" w:line="240" w:lineRule="auto"/>
              <w:jc w:val="both"/>
              <w:rPr>
                <w:rFonts w:ascii="Times New Roman" w:hAnsi="Times New Roman"/>
                <w:color w:val="000000" w:themeColor="text1"/>
                <w:sz w:val="16"/>
                <w:szCs w:val="16"/>
              </w:rPr>
            </w:pPr>
          </w:p>
        </w:tc>
        <w:tc>
          <w:tcPr>
            <w:tcW w:w="2242" w:type="dxa"/>
            <w:shd w:val="clear" w:color="auto" w:fill="FFFFFF"/>
          </w:tcPr>
          <w:p w14:paraId="141E839E" w14:textId="77777777" w:rsidR="00570C39" w:rsidRPr="00C33834" w:rsidRDefault="00570C39" w:rsidP="00C33834">
            <w:pPr>
              <w:spacing w:after="0" w:line="240" w:lineRule="auto"/>
              <w:jc w:val="both"/>
              <w:rPr>
                <w:rFonts w:ascii="Times New Roman" w:hAnsi="Times New Roman"/>
                <w:color w:val="000000" w:themeColor="text1"/>
                <w:sz w:val="16"/>
                <w:szCs w:val="16"/>
              </w:rPr>
            </w:pPr>
          </w:p>
        </w:tc>
      </w:tr>
      <w:tr w:rsidR="00F26F01" w:rsidRPr="00C33834" w14:paraId="43453CAE" w14:textId="77777777">
        <w:tc>
          <w:tcPr>
            <w:tcW w:w="2242" w:type="dxa"/>
            <w:shd w:val="clear" w:color="auto" w:fill="FFFFFF"/>
          </w:tcPr>
          <w:p w14:paraId="6D5C9D8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мтр</w:t>
            </w:r>
          </w:p>
        </w:tc>
        <w:tc>
          <w:tcPr>
            <w:tcW w:w="2242" w:type="dxa"/>
            <w:shd w:val="clear" w:color="auto" w:fill="FFFFFF"/>
          </w:tcPr>
          <w:p w14:paraId="15143377" w14:textId="77777777" w:rsidR="00570C39" w:rsidRPr="00C33834" w:rsidRDefault="00570C39" w:rsidP="00C33834">
            <w:pPr>
              <w:spacing w:after="0" w:line="240" w:lineRule="auto"/>
              <w:jc w:val="both"/>
              <w:rPr>
                <w:rFonts w:ascii="Times New Roman" w:hAnsi="Times New Roman"/>
                <w:color w:val="000000" w:themeColor="text1"/>
                <w:sz w:val="16"/>
                <w:szCs w:val="16"/>
              </w:rPr>
            </w:pPr>
          </w:p>
        </w:tc>
        <w:tc>
          <w:tcPr>
            <w:tcW w:w="2242" w:type="dxa"/>
            <w:shd w:val="clear" w:color="auto" w:fill="FFFFFF"/>
          </w:tcPr>
          <w:p w14:paraId="4307139A" w14:textId="77777777" w:rsidR="00570C39" w:rsidRPr="00C33834" w:rsidRDefault="00570C39" w:rsidP="00C33834">
            <w:pPr>
              <w:spacing w:after="0" w:line="240" w:lineRule="auto"/>
              <w:jc w:val="both"/>
              <w:rPr>
                <w:rFonts w:ascii="Times New Roman" w:hAnsi="Times New Roman"/>
                <w:color w:val="000000" w:themeColor="text1"/>
                <w:sz w:val="16"/>
                <w:szCs w:val="16"/>
              </w:rPr>
            </w:pPr>
          </w:p>
        </w:tc>
        <w:tc>
          <w:tcPr>
            <w:tcW w:w="2242" w:type="dxa"/>
            <w:shd w:val="clear" w:color="auto" w:fill="FFFFFF"/>
          </w:tcPr>
          <w:p w14:paraId="0187DDB4" w14:textId="77777777" w:rsidR="00570C39" w:rsidRPr="00C33834" w:rsidRDefault="00570C39" w:rsidP="00C33834">
            <w:pPr>
              <w:spacing w:after="0" w:line="240" w:lineRule="auto"/>
              <w:jc w:val="both"/>
              <w:rPr>
                <w:rFonts w:ascii="Times New Roman" w:hAnsi="Times New Roman"/>
                <w:color w:val="000000" w:themeColor="text1"/>
                <w:sz w:val="16"/>
                <w:szCs w:val="16"/>
              </w:rPr>
            </w:pPr>
          </w:p>
        </w:tc>
        <w:tc>
          <w:tcPr>
            <w:tcW w:w="2242" w:type="dxa"/>
            <w:shd w:val="clear" w:color="auto" w:fill="FFFFFF"/>
          </w:tcPr>
          <w:p w14:paraId="5451054D" w14:textId="77777777" w:rsidR="00570C39" w:rsidRPr="00C33834" w:rsidRDefault="00570C39" w:rsidP="00C33834">
            <w:pPr>
              <w:spacing w:after="0" w:line="240" w:lineRule="auto"/>
              <w:jc w:val="both"/>
              <w:rPr>
                <w:rFonts w:ascii="Times New Roman" w:hAnsi="Times New Roman"/>
                <w:color w:val="000000" w:themeColor="text1"/>
                <w:sz w:val="16"/>
                <w:szCs w:val="16"/>
              </w:rPr>
            </w:pPr>
          </w:p>
        </w:tc>
      </w:tr>
      <w:tr w:rsidR="00F26F01" w:rsidRPr="00C33834" w14:paraId="45BBD13E" w14:textId="77777777">
        <w:tc>
          <w:tcPr>
            <w:tcW w:w="2242" w:type="dxa"/>
            <w:shd w:val="clear" w:color="auto" w:fill="FFFFFF"/>
          </w:tcPr>
          <w:p w14:paraId="5235BF1E" w14:textId="77777777" w:rsidR="00570C39" w:rsidRPr="00C33834" w:rsidRDefault="00570C39" w:rsidP="00C33834">
            <w:pPr>
              <w:spacing w:after="0" w:line="240" w:lineRule="auto"/>
              <w:jc w:val="both"/>
              <w:rPr>
                <w:rFonts w:ascii="Times New Roman" w:hAnsi="Times New Roman"/>
                <w:color w:val="000000" w:themeColor="text1"/>
                <w:sz w:val="16"/>
                <w:szCs w:val="16"/>
              </w:rPr>
            </w:pPr>
          </w:p>
        </w:tc>
        <w:tc>
          <w:tcPr>
            <w:tcW w:w="2242" w:type="dxa"/>
            <w:shd w:val="clear" w:color="auto" w:fill="FFFFFF"/>
          </w:tcPr>
          <w:p w14:paraId="72F1CEE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 мтр3.</w:t>
            </w:r>
          </w:p>
        </w:tc>
        <w:tc>
          <w:tcPr>
            <w:tcW w:w="2242" w:type="dxa"/>
            <w:shd w:val="clear" w:color="auto" w:fill="FFFFFF"/>
          </w:tcPr>
          <w:p w14:paraId="419BF23A" w14:textId="77777777" w:rsidR="00570C39" w:rsidRPr="00C33834" w:rsidRDefault="00570C39" w:rsidP="00C33834">
            <w:pPr>
              <w:spacing w:after="0" w:line="240" w:lineRule="auto"/>
              <w:jc w:val="both"/>
              <w:rPr>
                <w:rFonts w:ascii="Times New Roman" w:hAnsi="Times New Roman"/>
                <w:color w:val="000000" w:themeColor="text1"/>
                <w:sz w:val="16"/>
                <w:szCs w:val="16"/>
                <w:vertAlign w:val="superscript"/>
              </w:rPr>
            </w:pPr>
            <w:r w:rsidRPr="00C33834">
              <w:rPr>
                <w:rFonts w:ascii="Times New Roman" w:hAnsi="Times New Roman"/>
                <w:color w:val="000000" w:themeColor="text1"/>
                <w:sz w:val="16"/>
                <w:szCs w:val="16"/>
              </w:rPr>
              <w:t>1932 г. мтр</w:t>
            </w:r>
            <w:r w:rsidRPr="00C33834">
              <w:rPr>
                <w:rFonts w:ascii="Times New Roman" w:hAnsi="Times New Roman"/>
                <w:color w:val="000000" w:themeColor="text1"/>
                <w:sz w:val="16"/>
                <w:szCs w:val="16"/>
                <w:vertAlign w:val="superscript"/>
              </w:rPr>
              <w:t>3</w:t>
            </w:r>
          </w:p>
        </w:tc>
        <w:tc>
          <w:tcPr>
            <w:tcW w:w="2242" w:type="dxa"/>
            <w:shd w:val="clear" w:color="auto" w:fill="FFFFFF"/>
          </w:tcPr>
          <w:p w14:paraId="16A8616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 год мтр</w:t>
            </w:r>
            <w:r w:rsidRPr="00C33834">
              <w:rPr>
                <w:rFonts w:ascii="Times New Roman" w:hAnsi="Times New Roman"/>
                <w:color w:val="000000" w:themeColor="text1"/>
                <w:sz w:val="16"/>
                <w:szCs w:val="16"/>
                <w:vertAlign w:val="superscript"/>
              </w:rPr>
              <w:t>3</w:t>
            </w:r>
          </w:p>
        </w:tc>
        <w:tc>
          <w:tcPr>
            <w:tcW w:w="2242" w:type="dxa"/>
            <w:shd w:val="clear" w:color="auto" w:fill="FFFFFF"/>
          </w:tcPr>
          <w:p w14:paraId="54AE81F1" w14:textId="77777777" w:rsidR="00570C39" w:rsidRPr="00C33834" w:rsidRDefault="00570C39" w:rsidP="00C33834">
            <w:pPr>
              <w:spacing w:after="0" w:line="240" w:lineRule="auto"/>
              <w:jc w:val="both"/>
              <w:rPr>
                <w:rFonts w:ascii="Times New Roman" w:hAnsi="Times New Roman"/>
                <w:color w:val="000000" w:themeColor="text1"/>
                <w:sz w:val="16"/>
                <w:szCs w:val="16"/>
              </w:rPr>
            </w:pPr>
          </w:p>
        </w:tc>
      </w:tr>
      <w:tr w:rsidR="00F26F01" w:rsidRPr="00C33834" w14:paraId="6E487F86" w14:textId="77777777">
        <w:tc>
          <w:tcPr>
            <w:tcW w:w="2242" w:type="dxa"/>
            <w:shd w:val="clear" w:color="auto" w:fill="FFFFFF"/>
          </w:tcPr>
          <w:p w14:paraId="5157176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опытный завод</w:t>
            </w:r>
          </w:p>
        </w:tc>
        <w:tc>
          <w:tcPr>
            <w:tcW w:w="2242" w:type="dxa"/>
            <w:shd w:val="clear" w:color="auto" w:fill="FFFFFF"/>
          </w:tcPr>
          <w:p w14:paraId="152AC3F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29450</w:t>
            </w:r>
          </w:p>
        </w:tc>
        <w:tc>
          <w:tcPr>
            <w:tcW w:w="2242" w:type="dxa"/>
            <w:shd w:val="clear" w:color="auto" w:fill="FFFFFF"/>
          </w:tcPr>
          <w:p w14:paraId="24AD590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75100</w:t>
            </w:r>
          </w:p>
        </w:tc>
        <w:tc>
          <w:tcPr>
            <w:tcW w:w="2242" w:type="dxa"/>
            <w:shd w:val="clear" w:color="auto" w:fill="FFFFFF"/>
          </w:tcPr>
          <w:p w14:paraId="293D9AD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75100</w:t>
            </w:r>
          </w:p>
        </w:tc>
        <w:tc>
          <w:tcPr>
            <w:tcW w:w="2242" w:type="dxa"/>
            <w:shd w:val="clear" w:color="auto" w:fill="FFFFFF"/>
          </w:tcPr>
          <w:p w14:paraId="3B6A0B83" w14:textId="77777777" w:rsidR="00570C39" w:rsidRPr="00C33834" w:rsidRDefault="00570C39" w:rsidP="00C33834">
            <w:pPr>
              <w:spacing w:after="0" w:line="240" w:lineRule="auto"/>
              <w:jc w:val="both"/>
              <w:rPr>
                <w:rFonts w:ascii="Times New Roman" w:hAnsi="Times New Roman"/>
                <w:color w:val="000000" w:themeColor="text1"/>
                <w:sz w:val="16"/>
                <w:szCs w:val="16"/>
              </w:rPr>
            </w:pPr>
          </w:p>
        </w:tc>
      </w:tr>
      <w:tr w:rsidR="00F26F01" w:rsidRPr="00C33834" w14:paraId="5997666E" w14:textId="77777777">
        <w:tc>
          <w:tcPr>
            <w:tcW w:w="2242" w:type="dxa"/>
            <w:shd w:val="clear" w:color="auto" w:fill="FFFFFF"/>
          </w:tcPr>
          <w:p w14:paraId="6E5116D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испытательная станция</w:t>
            </w:r>
          </w:p>
        </w:tc>
        <w:tc>
          <w:tcPr>
            <w:tcW w:w="2242" w:type="dxa"/>
            <w:shd w:val="clear" w:color="auto" w:fill="FFFFFF"/>
          </w:tcPr>
          <w:p w14:paraId="37E603F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14300</w:t>
            </w:r>
          </w:p>
        </w:tc>
        <w:tc>
          <w:tcPr>
            <w:tcW w:w="2242" w:type="dxa"/>
            <w:shd w:val="clear" w:color="auto" w:fill="FFFFFF"/>
          </w:tcPr>
          <w:p w14:paraId="0E329D5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29400</w:t>
            </w:r>
          </w:p>
        </w:tc>
        <w:tc>
          <w:tcPr>
            <w:tcW w:w="2242" w:type="dxa"/>
            <w:shd w:val="clear" w:color="auto" w:fill="FFFFFF"/>
          </w:tcPr>
          <w:p w14:paraId="46CB6D3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29400</w:t>
            </w:r>
          </w:p>
        </w:tc>
        <w:tc>
          <w:tcPr>
            <w:tcW w:w="2242" w:type="dxa"/>
            <w:shd w:val="clear" w:color="auto" w:fill="FFFFFF"/>
          </w:tcPr>
          <w:p w14:paraId="052AE4C7" w14:textId="77777777" w:rsidR="00570C39" w:rsidRPr="00C33834" w:rsidRDefault="00570C39" w:rsidP="00C33834">
            <w:pPr>
              <w:spacing w:after="0" w:line="240" w:lineRule="auto"/>
              <w:jc w:val="both"/>
              <w:rPr>
                <w:rFonts w:ascii="Times New Roman" w:hAnsi="Times New Roman"/>
                <w:color w:val="000000" w:themeColor="text1"/>
                <w:sz w:val="16"/>
                <w:szCs w:val="16"/>
              </w:rPr>
            </w:pPr>
          </w:p>
        </w:tc>
      </w:tr>
      <w:tr w:rsidR="00F26F01" w:rsidRPr="00C33834" w14:paraId="4496B696" w14:textId="77777777">
        <w:tc>
          <w:tcPr>
            <w:tcW w:w="2242" w:type="dxa"/>
            <w:shd w:val="clear" w:color="auto" w:fill="FFFFFF"/>
          </w:tcPr>
          <w:p w14:paraId="2041766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опытная площадь</w:t>
            </w:r>
          </w:p>
        </w:tc>
        <w:tc>
          <w:tcPr>
            <w:tcW w:w="2242" w:type="dxa"/>
            <w:shd w:val="clear" w:color="auto" w:fill="FFFFFF"/>
          </w:tcPr>
          <w:p w14:paraId="0A67611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2242" w:type="dxa"/>
            <w:shd w:val="clear" w:color="auto" w:fill="FFFFFF"/>
          </w:tcPr>
          <w:p w14:paraId="3B03D6B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29300</w:t>
            </w:r>
          </w:p>
        </w:tc>
        <w:tc>
          <w:tcPr>
            <w:tcW w:w="2242" w:type="dxa"/>
            <w:shd w:val="clear" w:color="auto" w:fill="FFFFFF"/>
          </w:tcPr>
          <w:p w14:paraId="1D5108E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60585</w:t>
            </w:r>
          </w:p>
        </w:tc>
        <w:tc>
          <w:tcPr>
            <w:tcW w:w="2242" w:type="dxa"/>
            <w:shd w:val="clear" w:color="auto" w:fill="FFFFFF"/>
          </w:tcPr>
          <w:p w14:paraId="48CEE792" w14:textId="77777777" w:rsidR="00570C39" w:rsidRPr="00C33834" w:rsidRDefault="00570C39" w:rsidP="00C33834">
            <w:pPr>
              <w:spacing w:after="0" w:line="240" w:lineRule="auto"/>
              <w:jc w:val="both"/>
              <w:rPr>
                <w:rFonts w:ascii="Times New Roman" w:hAnsi="Times New Roman"/>
                <w:color w:val="000000" w:themeColor="text1"/>
                <w:sz w:val="16"/>
                <w:szCs w:val="16"/>
              </w:rPr>
            </w:pPr>
          </w:p>
        </w:tc>
      </w:tr>
      <w:tr w:rsidR="00F26F01" w:rsidRPr="00C33834" w14:paraId="764884AA" w14:textId="77777777">
        <w:tc>
          <w:tcPr>
            <w:tcW w:w="2242" w:type="dxa"/>
            <w:shd w:val="clear" w:color="auto" w:fill="FFFFFF"/>
          </w:tcPr>
          <w:p w14:paraId="64E77D9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Рост кадров ЦИАМ</w:t>
            </w:r>
          </w:p>
        </w:tc>
        <w:tc>
          <w:tcPr>
            <w:tcW w:w="2242" w:type="dxa"/>
            <w:shd w:val="clear" w:color="auto" w:fill="FFFFFF"/>
          </w:tcPr>
          <w:p w14:paraId="1FC9252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1/1-31</w:t>
            </w:r>
          </w:p>
        </w:tc>
        <w:tc>
          <w:tcPr>
            <w:tcW w:w="2242" w:type="dxa"/>
            <w:shd w:val="clear" w:color="auto" w:fill="FFFFFF"/>
          </w:tcPr>
          <w:p w14:paraId="02A31E3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1/1 32</w:t>
            </w:r>
          </w:p>
        </w:tc>
        <w:tc>
          <w:tcPr>
            <w:tcW w:w="2242" w:type="dxa"/>
            <w:shd w:val="clear" w:color="auto" w:fill="FFFFFF"/>
          </w:tcPr>
          <w:p w14:paraId="46CADDA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1.1.-33</w:t>
            </w:r>
          </w:p>
        </w:tc>
        <w:tc>
          <w:tcPr>
            <w:tcW w:w="2242" w:type="dxa"/>
            <w:shd w:val="clear" w:color="auto" w:fill="FFFFFF"/>
          </w:tcPr>
          <w:p w14:paraId="6FA70A7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1/9-33</w:t>
            </w:r>
          </w:p>
        </w:tc>
      </w:tr>
      <w:tr w:rsidR="00F26F01" w:rsidRPr="00C33834" w14:paraId="7B1C07EB" w14:textId="77777777">
        <w:tc>
          <w:tcPr>
            <w:tcW w:w="2242" w:type="dxa"/>
            <w:shd w:val="clear" w:color="auto" w:fill="FFFFFF"/>
          </w:tcPr>
          <w:p w14:paraId="5716521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2242" w:type="dxa"/>
            <w:shd w:val="clear" w:color="auto" w:fill="FFFFFF"/>
          </w:tcPr>
          <w:p w14:paraId="0E57F83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231</w:t>
            </w:r>
          </w:p>
        </w:tc>
        <w:tc>
          <w:tcPr>
            <w:tcW w:w="2242" w:type="dxa"/>
            <w:shd w:val="clear" w:color="auto" w:fill="FFFFFF"/>
          </w:tcPr>
          <w:p w14:paraId="5FDA819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2019</w:t>
            </w:r>
          </w:p>
        </w:tc>
        <w:tc>
          <w:tcPr>
            <w:tcW w:w="2242" w:type="dxa"/>
            <w:shd w:val="clear" w:color="auto" w:fill="FFFFFF"/>
          </w:tcPr>
          <w:p w14:paraId="5CA96FD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3759</w:t>
            </w:r>
          </w:p>
        </w:tc>
        <w:tc>
          <w:tcPr>
            <w:tcW w:w="2242" w:type="dxa"/>
            <w:shd w:val="clear" w:color="auto" w:fill="FFFFFF"/>
          </w:tcPr>
          <w:p w14:paraId="6B35697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3384</w:t>
            </w:r>
          </w:p>
        </w:tc>
      </w:tr>
      <w:tr w:rsidR="00F26F01" w:rsidRPr="00C33834" w14:paraId="59A3F32E" w14:textId="77777777">
        <w:tc>
          <w:tcPr>
            <w:tcW w:w="2242" w:type="dxa"/>
            <w:shd w:val="clear" w:color="auto" w:fill="FFFFFF"/>
          </w:tcPr>
          <w:p w14:paraId="7D68AEC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т.ч. рабочих</w:t>
            </w:r>
          </w:p>
        </w:tc>
        <w:tc>
          <w:tcPr>
            <w:tcW w:w="2242" w:type="dxa"/>
            <w:shd w:val="clear" w:color="auto" w:fill="FFFFFF"/>
          </w:tcPr>
          <w:p w14:paraId="3406754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tc>
        <w:tc>
          <w:tcPr>
            <w:tcW w:w="2242" w:type="dxa"/>
            <w:shd w:val="clear" w:color="auto" w:fill="FFFFFF"/>
          </w:tcPr>
          <w:p w14:paraId="76CE8619"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903</w:t>
            </w:r>
          </w:p>
        </w:tc>
        <w:tc>
          <w:tcPr>
            <w:tcW w:w="2242" w:type="dxa"/>
            <w:shd w:val="clear" w:color="auto" w:fill="FFFFFF"/>
          </w:tcPr>
          <w:p w14:paraId="6BFB74B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1608</w:t>
            </w:r>
          </w:p>
        </w:tc>
        <w:tc>
          <w:tcPr>
            <w:tcW w:w="2242" w:type="dxa"/>
            <w:shd w:val="clear" w:color="auto" w:fill="FFFFFF"/>
          </w:tcPr>
          <w:p w14:paraId="28B8EE8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1685</w:t>
            </w:r>
          </w:p>
        </w:tc>
      </w:tr>
      <w:tr w:rsidR="00F26F01" w:rsidRPr="00C33834" w14:paraId="0C530BC2" w14:textId="77777777">
        <w:tc>
          <w:tcPr>
            <w:tcW w:w="2242" w:type="dxa"/>
            <w:shd w:val="clear" w:color="auto" w:fill="FFFFFF"/>
          </w:tcPr>
          <w:p w14:paraId="01B51DC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квалифи.</w:t>
            </w:r>
          </w:p>
        </w:tc>
        <w:tc>
          <w:tcPr>
            <w:tcW w:w="2242" w:type="dxa"/>
            <w:shd w:val="clear" w:color="auto" w:fill="FFFFFF"/>
          </w:tcPr>
          <w:p w14:paraId="1C433A2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2242" w:type="dxa"/>
            <w:shd w:val="clear" w:color="auto" w:fill="FFFFFF"/>
          </w:tcPr>
          <w:p w14:paraId="5A199C44"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493</w:t>
            </w:r>
          </w:p>
        </w:tc>
        <w:tc>
          <w:tcPr>
            <w:tcW w:w="2242" w:type="dxa"/>
            <w:shd w:val="clear" w:color="auto" w:fill="FFFFFF"/>
          </w:tcPr>
          <w:p w14:paraId="238CC7D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918</w:t>
            </w:r>
          </w:p>
        </w:tc>
        <w:tc>
          <w:tcPr>
            <w:tcW w:w="2242" w:type="dxa"/>
            <w:shd w:val="clear" w:color="auto" w:fill="FFFFFF"/>
          </w:tcPr>
          <w:p w14:paraId="6ADBC64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1312</w:t>
            </w:r>
          </w:p>
        </w:tc>
      </w:tr>
      <w:tr w:rsidR="00F26F01" w:rsidRPr="00C33834" w14:paraId="4AB53524" w14:textId="77777777">
        <w:tc>
          <w:tcPr>
            <w:tcW w:w="2242" w:type="dxa"/>
            <w:shd w:val="clear" w:color="auto" w:fill="FFFFFF"/>
          </w:tcPr>
          <w:p w14:paraId="68F6C32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ИТР</w:t>
            </w:r>
          </w:p>
        </w:tc>
        <w:tc>
          <w:tcPr>
            <w:tcW w:w="2242" w:type="dxa"/>
            <w:shd w:val="clear" w:color="auto" w:fill="FFFFFF"/>
          </w:tcPr>
          <w:p w14:paraId="5DA9996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139</w:t>
            </w:r>
          </w:p>
        </w:tc>
        <w:tc>
          <w:tcPr>
            <w:tcW w:w="2242" w:type="dxa"/>
            <w:shd w:val="clear" w:color="auto" w:fill="FFFFFF"/>
          </w:tcPr>
          <w:p w14:paraId="4E6F671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492</w:t>
            </w:r>
          </w:p>
        </w:tc>
        <w:tc>
          <w:tcPr>
            <w:tcW w:w="2242" w:type="dxa"/>
            <w:shd w:val="clear" w:color="auto" w:fill="FFFFFF"/>
          </w:tcPr>
          <w:p w14:paraId="22D22F8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1125</w:t>
            </w:r>
          </w:p>
        </w:tc>
        <w:tc>
          <w:tcPr>
            <w:tcW w:w="2242" w:type="dxa"/>
            <w:shd w:val="clear" w:color="auto" w:fill="FFFFFF"/>
          </w:tcPr>
          <w:p w14:paraId="7475150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971</w:t>
            </w:r>
          </w:p>
        </w:tc>
      </w:tr>
      <w:tr w:rsidR="00F26F01" w:rsidRPr="00C33834" w14:paraId="15230CD1" w14:textId="77777777">
        <w:tc>
          <w:tcPr>
            <w:tcW w:w="2242" w:type="dxa"/>
            <w:tcBorders>
              <w:bottom w:val="single" w:sz="12" w:space="0" w:color="auto"/>
            </w:tcBorders>
            <w:shd w:val="clear" w:color="auto" w:fill="FFFFFF"/>
          </w:tcPr>
          <w:p w14:paraId="24C48085"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т.ч. инж.</w:t>
            </w:r>
          </w:p>
        </w:tc>
        <w:tc>
          <w:tcPr>
            <w:tcW w:w="2242" w:type="dxa"/>
            <w:tcBorders>
              <w:bottom w:val="single" w:sz="12" w:space="0" w:color="auto"/>
            </w:tcBorders>
            <w:shd w:val="clear" w:color="auto" w:fill="FFFFFF"/>
          </w:tcPr>
          <w:p w14:paraId="21832B0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w:t>
            </w:r>
          </w:p>
        </w:tc>
        <w:tc>
          <w:tcPr>
            <w:tcW w:w="2242" w:type="dxa"/>
            <w:tcBorders>
              <w:bottom w:val="single" w:sz="12" w:space="0" w:color="auto"/>
            </w:tcBorders>
            <w:shd w:val="clear" w:color="auto" w:fill="FFFFFF"/>
          </w:tcPr>
          <w:p w14:paraId="4015CA8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246</w:t>
            </w:r>
          </w:p>
        </w:tc>
        <w:tc>
          <w:tcPr>
            <w:tcW w:w="2242" w:type="dxa"/>
            <w:tcBorders>
              <w:bottom w:val="single" w:sz="12" w:space="0" w:color="auto"/>
            </w:tcBorders>
            <w:shd w:val="clear" w:color="auto" w:fill="FFFFFF"/>
          </w:tcPr>
          <w:p w14:paraId="1F06D4D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367</w:t>
            </w:r>
          </w:p>
        </w:tc>
        <w:tc>
          <w:tcPr>
            <w:tcW w:w="2242" w:type="dxa"/>
            <w:tcBorders>
              <w:bottom w:val="single" w:sz="12" w:space="0" w:color="auto"/>
            </w:tcBorders>
            <w:shd w:val="clear" w:color="auto" w:fill="FFFFFF"/>
          </w:tcPr>
          <w:p w14:paraId="641F058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383</w:t>
            </w:r>
          </w:p>
        </w:tc>
      </w:tr>
    </w:tbl>
    <w:p w14:paraId="7CAF776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Учитывая условия раооты института в настоящий момент необходимо отметить, что опытный завод Института является в данное время организацией, которая имеет в основном все необходимое и достаточное для организации производства сложных образцов авиамоторов.В отношении кадров нститут располагает большим количеством инженерно-технических работниковно имеет в их числе сравнительно небольшое...</w:t>
      </w:r>
    </w:p>
    <w:p w14:paraId="72859811"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его исследовательские и конструкторские кадры выросли уже на работе в самом Институте. Неосходимо отметить, что технический рост кадров за последние годы весьма заметен. Однако, уровень этих молодых кадров значительно отстает от конструкторских кадров самолетостроения. Все же давая общую оценку конструкторских организаций института необходимо сказать, что они несомненно способны решать сложные задачи, которые выдвигаются в области моторостроения в нашей авиации.</w:t>
      </w:r>
    </w:p>
    <w:p w14:paraId="0A27AD9A"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Основной задачей, поставленной перед институтом правительством, является создание новых типов авиационных моторов, предусмотренных правительственным планом опытного строительства.</w:t>
      </w:r>
    </w:p>
    <w:p w14:paraId="2F3BB64D"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Весь план опытного строительства по авиационним моторам, разработанннй в 1930 году, утвержденный правительством и дополненный в последующие годы с 1931 года был возложен на Институт Авиационного Моторостроения.</w:t>
      </w:r>
    </w:p>
    <w:p w14:paraId="20CD7B25"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Выполняя этот план институт сделал следующее:</w:t>
      </w:r>
    </w:p>
    <w:p w14:paraId="05FA05C0"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М-34 - мотор в 750 л. с. для тяжелых самолетов. Первый мотор был закончен производством и поставлен на станок 1/У-31 г.</w:t>
      </w:r>
    </w:p>
    <w:p w14:paraId="63BB38EA"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гос. испытания мотор был пред'явлен 2/УШ-31 г. и прошел их удовлетворительно, после чего проведена передача мотора в серийное производство и связанная с этим работа по переделкам чертежей мотора, которая была закончена полностью в феврале 1932 года.</w:t>
      </w:r>
    </w:p>
    <w:p w14:paraId="2083629E"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года работа по внедрению, в которой институт принимал непосредственное участие, закончилась сдачей первой серии военному ведомству.</w:t>
      </w:r>
    </w:p>
    <w:p w14:paraId="6B6B19AB"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начала 1933 года мотор выпускается с серийного завода нормальным порядком.</w:t>
      </w:r>
    </w:p>
    <w:p w14:paraId="06C49FE6"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М-34Р - /Мотор К-34 с редуктором/.</w:t>
      </w:r>
    </w:p>
    <w:p w14:paraId="4036E7E3"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Закончив проектирование в августе 1931 года Институт построил на своем опытномзаводе, провел заводские испктания и необходимые переделки и пред'явил в апреле 1933 года мотор на гос. испытания, закончившиеся 2-го мая, после чего мотор был передан в серийное производство. К настоящему моменту эакончены предварительные испытания моторов М-34 и М-34Р на самолете ТБ-3, дающие следующие результаты по сравнению с мотором М=17 на том же самолете: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F26F01" w:rsidRPr="00C33834" w14:paraId="0C6CDEFA" w14:textId="77777777">
        <w:tc>
          <w:tcPr>
            <w:tcW w:w="3736" w:type="dxa"/>
            <w:tcBorders>
              <w:top w:val="single" w:sz="12" w:space="0" w:color="auto"/>
            </w:tcBorders>
            <w:shd w:val="clear" w:color="auto" w:fill="FFFFFF"/>
          </w:tcPr>
          <w:p w14:paraId="156AC53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Скосость/земли</w:t>
            </w:r>
          </w:p>
        </w:tc>
        <w:tc>
          <w:tcPr>
            <w:tcW w:w="3736" w:type="dxa"/>
            <w:tcBorders>
              <w:top w:val="single" w:sz="12" w:space="0" w:color="auto"/>
            </w:tcBorders>
            <w:shd w:val="clear" w:color="auto" w:fill="FFFFFF"/>
          </w:tcPr>
          <w:p w14:paraId="3C1B6E1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3736" w:type="dxa"/>
            <w:tcBorders>
              <w:top w:val="single" w:sz="12" w:space="0" w:color="auto"/>
            </w:tcBorders>
            <w:shd w:val="clear" w:color="auto" w:fill="FFFFFF"/>
          </w:tcPr>
          <w:p w14:paraId="035C7122"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198 клм/час</w:t>
            </w:r>
          </w:p>
        </w:tc>
      </w:tr>
      <w:tr w:rsidR="00F26F01" w:rsidRPr="00C33834" w14:paraId="14739C09" w14:textId="77777777">
        <w:tc>
          <w:tcPr>
            <w:tcW w:w="3736" w:type="dxa"/>
            <w:shd w:val="clear" w:color="auto" w:fill="FFFFFF"/>
          </w:tcPr>
          <w:p w14:paraId="47B2C415" w14:textId="77777777" w:rsidR="00570C39" w:rsidRPr="00C33834" w:rsidRDefault="00570C39" w:rsidP="00C33834">
            <w:pPr>
              <w:spacing w:after="0" w:line="240" w:lineRule="auto"/>
              <w:jc w:val="both"/>
              <w:rPr>
                <w:rFonts w:ascii="Times New Roman" w:hAnsi="Times New Roman"/>
                <w:smallCaps/>
                <w:color w:val="000000" w:themeColor="text1"/>
                <w:sz w:val="16"/>
                <w:szCs w:val="16"/>
              </w:rPr>
            </w:pPr>
          </w:p>
        </w:tc>
        <w:tc>
          <w:tcPr>
            <w:tcW w:w="3736" w:type="dxa"/>
            <w:shd w:val="clear" w:color="auto" w:fill="FFFFFF"/>
          </w:tcPr>
          <w:p w14:paraId="30193A5D" w14:textId="77777777" w:rsidR="00570C39" w:rsidRPr="00C33834" w:rsidRDefault="00570C39" w:rsidP="00C33834">
            <w:pPr>
              <w:spacing w:after="0" w:line="240" w:lineRule="auto"/>
              <w:jc w:val="both"/>
              <w:rPr>
                <w:rFonts w:ascii="Times New Roman" w:hAnsi="Times New Roman"/>
                <w:smallCaps/>
                <w:color w:val="000000" w:themeColor="text1"/>
                <w:sz w:val="16"/>
                <w:szCs w:val="16"/>
              </w:rPr>
            </w:pPr>
            <w:r w:rsidRPr="00C33834">
              <w:rPr>
                <w:rFonts w:ascii="Times New Roman" w:hAnsi="Times New Roman"/>
                <w:smallCaps/>
                <w:color w:val="000000" w:themeColor="text1"/>
                <w:sz w:val="16"/>
                <w:szCs w:val="16"/>
              </w:rPr>
              <w:t>М-34</w:t>
            </w:r>
          </w:p>
        </w:tc>
        <w:tc>
          <w:tcPr>
            <w:tcW w:w="3736" w:type="dxa"/>
            <w:shd w:val="clear" w:color="auto" w:fill="FFFFFF"/>
          </w:tcPr>
          <w:p w14:paraId="52E0C85E" w14:textId="77777777" w:rsidR="00570C39" w:rsidRPr="00C33834" w:rsidRDefault="00570C39" w:rsidP="00C33834">
            <w:pPr>
              <w:spacing w:after="0" w:line="240" w:lineRule="auto"/>
              <w:jc w:val="both"/>
              <w:rPr>
                <w:rFonts w:ascii="Times New Roman" w:hAnsi="Times New Roman"/>
                <w:smallCaps/>
                <w:color w:val="000000" w:themeColor="text1"/>
                <w:sz w:val="16"/>
                <w:szCs w:val="16"/>
              </w:rPr>
            </w:pPr>
            <w:r w:rsidRPr="00C33834">
              <w:rPr>
                <w:rFonts w:ascii="Times New Roman" w:hAnsi="Times New Roman"/>
                <w:smallCaps/>
                <w:color w:val="000000" w:themeColor="text1"/>
                <w:sz w:val="16"/>
                <w:szCs w:val="16"/>
              </w:rPr>
              <w:t>207</w:t>
            </w:r>
          </w:p>
        </w:tc>
      </w:tr>
      <w:tr w:rsidR="00F26F01" w:rsidRPr="00C33834" w14:paraId="70E79D2C" w14:textId="77777777">
        <w:tc>
          <w:tcPr>
            <w:tcW w:w="3736" w:type="dxa"/>
            <w:shd w:val="clear" w:color="auto" w:fill="FFFFFF"/>
          </w:tcPr>
          <w:p w14:paraId="3235CF99" w14:textId="77777777" w:rsidR="00570C39" w:rsidRPr="00C33834" w:rsidRDefault="00570C39" w:rsidP="00C33834">
            <w:pPr>
              <w:spacing w:after="0" w:line="240" w:lineRule="auto"/>
              <w:jc w:val="both"/>
              <w:rPr>
                <w:rFonts w:ascii="Times New Roman" w:hAnsi="Times New Roman"/>
                <w:smallCaps/>
                <w:color w:val="000000" w:themeColor="text1"/>
                <w:sz w:val="16"/>
                <w:szCs w:val="16"/>
              </w:rPr>
            </w:pPr>
          </w:p>
        </w:tc>
        <w:tc>
          <w:tcPr>
            <w:tcW w:w="3736" w:type="dxa"/>
            <w:shd w:val="clear" w:color="auto" w:fill="FFFFFF"/>
          </w:tcPr>
          <w:p w14:paraId="556A019D" w14:textId="77777777" w:rsidR="00570C39" w:rsidRPr="00C33834" w:rsidRDefault="00570C39" w:rsidP="00C33834">
            <w:pPr>
              <w:spacing w:after="0" w:line="240" w:lineRule="auto"/>
              <w:jc w:val="both"/>
              <w:rPr>
                <w:rFonts w:ascii="Times New Roman" w:hAnsi="Times New Roman"/>
                <w:smallCaps/>
                <w:color w:val="000000" w:themeColor="text1"/>
                <w:sz w:val="16"/>
                <w:szCs w:val="16"/>
              </w:rPr>
            </w:pPr>
            <w:r w:rsidRPr="00C33834">
              <w:rPr>
                <w:rFonts w:ascii="Times New Roman" w:hAnsi="Times New Roman"/>
                <w:smallCaps/>
                <w:color w:val="000000" w:themeColor="text1"/>
                <w:sz w:val="16"/>
                <w:szCs w:val="16"/>
              </w:rPr>
              <w:t>М-34Р</w:t>
            </w:r>
          </w:p>
        </w:tc>
        <w:tc>
          <w:tcPr>
            <w:tcW w:w="3736" w:type="dxa"/>
            <w:shd w:val="clear" w:color="auto" w:fill="FFFFFF"/>
          </w:tcPr>
          <w:p w14:paraId="5ECCC67D" w14:textId="77777777" w:rsidR="00570C39" w:rsidRPr="00C33834" w:rsidRDefault="00570C39" w:rsidP="00C33834">
            <w:pPr>
              <w:spacing w:after="0" w:line="240" w:lineRule="auto"/>
              <w:jc w:val="both"/>
              <w:rPr>
                <w:rFonts w:ascii="Times New Roman" w:hAnsi="Times New Roman"/>
                <w:smallCaps/>
                <w:color w:val="000000" w:themeColor="text1"/>
                <w:sz w:val="16"/>
                <w:szCs w:val="16"/>
              </w:rPr>
            </w:pPr>
            <w:r w:rsidRPr="00C33834">
              <w:rPr>
                <w:rFonts w:ascii="Times New Roman" w:hAnsi="Times New Roman"/>
                <w:smallCaps/>
                <w:color w:val="000000" w:themeColor="text1"/>
                <w:sz w:val="16"/>
                <w:szCs w:val="16"/>
              </w:rPr>
              <w:t>231</w:t>
            </w:r>
          </w:p>
        </w:tc>
      </w:tr>
      <w:tr w:rsidR="00F26F01" w:rsidRPr="00C33834" w14:paraId="7088571F" w14:textId="77777777">
        <w:tc>
          <w:tcPr>
            <w:tcW w:w="3736" w:type="dxa"/>
            <w:shd w:val="clear" w:color="auto" w:fill="FFFFFF"/>
          </w:tcPr>
          <w:p w14:paraId="0085932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на высоте 3000 м</w:t>
            </w:r>
          </w:p>
        </w:tc>
        <w:tc>
          <w:tcPr>
            <w:tcW w:w="3736" w:type="dxa"/>
            <w:shd w:val="clear" w:color="auto" w:fill="FFFFFF"/>
          </w:tcPr>
          <w:p w14:paraId="1F6BF84C"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3736" w:type="dxa"/>
            <w:shd w:val="clear" w:color="auto" w:fill="FFFFFF"/>
          </w:tcPr>
          <w:p w14:paraId="0C213203"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177</w:t>
            </w:r>
          </w:p>
        </w:tc>
      </w:tr>
      <w:tr w:rsidR="00F26F01" w:rsidRPr="00C33834" w14:paraId="45C53DCF" w14:textId="77777777">
        <w:tc>
          <w:tcPr>
            <w:tcW w:w="3736" w:type="dxa"/>
            <w:shd w:val="clear" w:color="auto" w:fill="FFFFFF"/>
          </w:tcPr>
          <w:p w14:paraId="39832108" w14:textId="77777777" w:rsidR="00570C39" w:rsidRPr="00C33834" w:rsidRDefault="00570C39" w:rsidP="00C33834">
            <w:pPr>
              <w:spacing w:after="0" w:line="240" w:lineRule="auto"/>
              <w:jc w:val="both"/>
              <w:rPr>
                <w:rFonts w:ascii="Times New Roman" w:hAnsi="Times New Roman"/>
                <w:color w:val="000000" w:themeColor="text1"/>
                <w:sz w:val="16"/>
                <w:szCs w:val="16"/>
              </w:rPr>
            </w:pPr>
          </w:p>
        </w:tc>
        <w:tc>
          <w:tcPr>
            <w:tcW w:w="3736" w:type="dxa"/>
            <w:shd w:val="clear" w:color="auto" w:fill="FFFFFF"/>
          </w:tcPr>
          <w:p w14:paraId="76970D3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3736" w:type="dxa"/>
            <w:shd w:val="clear" w:color="auto" w:fill="FFFFFF"/>
          </w:tcPr>
          <w:p w14:paraId="1BE1F01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185</w:t>
            </w:r>
          </w:p>
        </w:tc>
      </w:tr>
      <w:tr w:rsidR="00F26F01" w:rsidRPr="00C33834" w14:paraId="5A73B300" w14:textId="77777777">
        <w:tc>
          <w:tcPr>
            <w:tcW w:w="3736" w:type="dxa"/>
            <w:shd w:val="clear" w:color="auto" w:fill="FFFFFF"/>
          </w:tcPr>
          <w:p w14:paraId="3AE10DA9" w14:textId="77777777" w:rsidR="00570C39" w:rsidRPr="00C33834" w:rsidRDefault="00570C39" w:rsidP="00C33834">
            <w:pPr>
              <w:spacing w:after="0" w:line="240" w:lineRule="auto"/>
              <w:jc w:val="both"/>
              <w:rPr>
                <w:rFonts w:ascii="Times New Roman" w:hAnsi="Times New Roman"/>
                <w:color w:val="000000" w:themeColor="text1"/>
                <w:sz w:val="16"/>
                <w:szCs w:val="16"/>
              </w:rPr>
            </w:pPr>
          </w:p>
        </w:tc>
        <w:tc>
          <w:tcPr>
            <w:tcW w:w="3736" w:type="dxa"/>
            <w:shd w:val="clear" w:color="auto" w:fill="FFFFFF"/>
          </w:tcPr>
          <w:p w14:paraId="66D5CF9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М-34Р</w:t>
            </w:r>
          </w:p>
        </w:tc>
        <w:tc>
          <w:tcPr>
            <w:tcW w:w="3736" w:type="dxa"/>
            <w:shd w:val="clear" w:color="auto" w:fill="FFFFFF"/>
          </w:tcPr>
          <w:p w14:paraId="338A4487"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213</w:t>
            </w:r>
          </w:p>
        </w:tc>
      </w:tr>
      <w:tr w:rsidR="00F26F01" w:rsidRPr="00C33834" w14:paraId="3C789576" w14:textId="77777777">
        <w:tc>
          <w:tcPr>
            <w:tcW w:w="3736" w:type="dxa"/>
            <w:shd w:val="clear" w:color="auto" w:fill="FFFFFF"/>
          </w:tcPr>
          <w:p w14:paraId="23A6FD8A"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на 3000 м</w:t>
            </w:r>
          </w:p>
        </w:tc>
        <w:tc>
          <w:tcPr>
            <w:tcW w:w="3736" w:type="dxa"/>
            <w:shd w:val="clear" w:color="auto" w:fill="FFFFFF"/>
          </w:tcPr>
          <w:p w14:paraId="5859583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3736" w:type="dxa"/>
            <w:shd w:val="clear" w:color="auto" w:fill="FFFFFF"/>
          </w:tcPr>
          <w:p w14:paraId="769B3CC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42.5</w:t>
            </w:r>
          </w:p>
        </w:tc>
      </w:tr>
      <w:tr w:rsidR="00F26F01" w:rsidRPr="00C33834" w14:paraId="7048BD88" w14:textId="77777777">
        <w:tc>
          <w:tcPr>
            <w:tcW w:w="3736" w:type="dxa"/>
            <w:shd w:val="clear" w:color="auto" w:fill="FFFFFF"/>
          </w:tcPr>
          <w:p w14:paraId="790A959F" w14:textId="77777777" w:rsidR="00570C39" w:rsidRPr="00C33834" w:rsidRDefault="00570C39" w:rsidP="00C33834">
            <w:pPr>
              <w:spacing w:after="0" w:line="240" w:lineRule="auto"/>
              <w:jc w:val="both"/>
              <w:rPr>
                <w:rFonts w:ascii="Times New Roman" w:hAnsi="Times New Roman"/>
                <w:color w:val="000000" w:themeColor="text1"/>
                <w:sz w:val="16"/>
                <w:szCs w:val="16"/>
              </w:rPr>
            </w:pPr>
          </w:p>
        </w:tc>
        <w:tc>
          <w:tcPr>
            <w:tcW w:w="3736" w:type="dxa"/>
            <w:shd w:val="clear" w:color="auto" w:fill="FFFFFF"/>
          </w:tcPr>
          <w:p w14:paraId="261AF916"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3736" w:type="dxa"/>
            <w:shd w:val="clear" w:color="auto" w:fill="FFFFFF"/>
          </w:tcPr>
          <w:p w14:paraId="73D29270"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32,8</w:t>
            </w:r>
          </w:p>
        </w:tc>
      </w:tr>
      <w:tr w:rsidR="00F26F01" w:rsidRPr="00C33834" w14:paraId="5AF17CF8" w14:textId="77777777">
        <w:tc>
          <w:tcPr>
            <w:tcW w:w="3736" w:type="dxa"/>
            <w:shd w:val="clear" w:color="auto" w:fill="FFFFFF"/>
          </w:tcPr>
          <w:p w14:paraId="319C0B82" w14:textId="77777777" w:rsidR="00570C39" w:rsidRPr="00C33834" w:rsidRDefault="00570C39" w:rsidP="00C33834">
            <w:pPr>
              <w:spacing w:after="0" w:line="240" w:lineRule="auto"/>
              <w:jc w:val="both"/>
              <w:rPr>
                <w:rFonts w:ascii="Times New Roman" w:hAnsi="Times New Roman"/>
                <w:color w:val="000000" w:themeColor="text1"/>
                <w:sz w:val="16"/>
                <w:szCs w:val="16"/>
              </w:rPr>
            </w:pPr>
          </w:p>
        </w:tc>
        <w:tc>
          <w:tcPr>
            <w:tcW w:w="3736" w:type="dxa"/>
            <w:shd w:val="clear" w:color="auto" w:fill="FFFFFF"/>
          </w:tcPr>
          <w:p w14:paraId="4A7252D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М-34Р</w:t>
            </w:r>
          </w:p>
        </w:tc>
        <w:tc>
          <w:tcPr>
            <w:tcW w:w="3736" w:type="dxa"/>
            <w:shd w:val="clear" w:color="auto" w:fill="FFFFFF"/>
          </w:tcPr>
          <w:p w14:paraId="1EE1E3EB"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18,81</w:t>
            </w:r>
          </w:p>
        </w:tc>
      </w:tr>
      <w:tr w:rsidR="00F26F01" w:rsidRPr="00C33834" w14:paraId="5CD6EB4E" w14:textId="77777777">
        <w:tc>
          <w:tcPr>
            <w:tcW w:w="3736" w:type="dxa"/>
            <w:shd w:val="clear" w:color="auto" w:fill="FFFFFF"/>
          </w:tcPr>
          <w:p w14:paraId="7D5424AF"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3736" w:type="dxa"/>
            <w:shd w:val="clear" w:color="auto" w:fill="FFFFFF"/>
          </w:tcPr>
          <w:p w14:paraId="201051A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3736" w:type="dxa"/>
            <w:shd w:val="clear" w:color="auto" w:fill="FFFFFF"/>
          </w:tcPr>
          <w:p w14:paraId="2D1A165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3800</w:t>
            </w:r>
          </w:p>
        </w:tc>
      </w:tr>
      <w:tr w:rsidR="00F26F01" w:rsidRPr="00C33834" w14:paraId="519C9BB1" w14:textId="77777777">
        <w:tc>
          <w:tcPr>
            <w:tcW w:w="3736" w:type="dxa"/>
            <w:shd w:val="clear" w:color="auto" w:fill="FFFFFF"/>
          </w:tcPr>
          <w:p w14:paraId="3C0DECEC" w14:textId="77777777" w:rsidR="00570C39" w:rsidRPr="00C33834" w:rsidRDefault="00570C39" w:rsidP="00C33834">
            <w:pPr>
              <w:spacing w:after="0" w:line="240" w:lineRule="auto"/>
              <w:jc w:val="both"/>
              <w:rPr>
                <w:rFonts w:ascii="Times New Roman" w:hAnsi="Times New Roman"/>
                <w:color w:val="000000" w:themeColor="text1"/>
                <w:sz w:val="16"/>
                <w:szCs w:val="16"/>
              </w:rPr>
            </w:pPr>
          </w:p>
        </w:tc>
        <w:tc>
          <w:tcPr>
            <w:tcW w:w="3736" w:type="dxa"/>
            <w:shd w:val="clear" w:color="auto" w:fill="FFFFFF"/>
          </w:tcPr>
          <w:p w14:paraId="7D46EE8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3736" w:type="dxa"/>
            <w:shd w:val="clear" w:color="auto" w:fill="FFFFFF"/>
          </w:tcPr>
          <w:p w14:paraId="253A88BE"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3900</w:t>
            </w:r>
          </w:p>
        </w:tc>
      </w:tr>
      <w:tr w:rsidR="00F26F01" w:rsidRPr="00C33834" w14:paraId="0D39DC43" w14:textId="77777777">
        <w:tc>
          <w:tcPr>
            <w:tcW w:w="3736" w:type="dxa"/>
            <w:tcBorders>
              <w:bottom w:val="single" w:sz="12" w:space="0" w:color="auto"/>
            </w:tcBorders>
            <w:shd w:val="clear" w:color="auto" w:fill="FFFFFF"/>
          </w:tcPr>
          <w:p w14:paraId="000DB7C3" w14:textId="77777777" w:rsidR="00570C39" w:rsidRPr="00C33834" w:rsidRDefault="00570C39" w:rsidP="00C33834">
            <w:pPr>
              <w:spacing w:after="0" w:line="240" w:lineRule="auto"/>
              <w:jc w:val="both"/>
              <w:rPr>
                <w:rFonts w:ascii="Times New Roman" w:hAnsi="Times New Roman"/>
                <w:color w:val="000000" w:themeColor="text1"/>
                <w:sz w:val="16"/>
                <w:szCs w:val="16"/>
              </w:rPr>
            </w:pPr>
          </w:p>
        </w:tc>
        <w:tc>
          <w:tcPr>
            <w:tcW w:w="3736" w:type="dxa"/>
            <w:tcBorders>
              <w:bottom w:val="single" w:sz="12" w:space="0" w:color="auto"/>
            </w:tcBorders>
            <w:shd w:val="clear" w:color="auto" w:fill="FFFFFF"/>
          </w:tcPr>
          <w:p w14:paraId="294F5AE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М-34Р</w:t>
            </w:r>
          </w:p>
        </w:tc>
        <w:tc>
          <w:tcPr>
            <w:tcW w:w="3736" w:type="dxa"/>
            <w:tcBorders>
              <w:bottom w:val="single" w:sz="12" w:space="0" w:color="auto"/>
            </w:tcBorders>
            <w:shd w:val="clear" w:color="auto" w:fill="FFFFFF"/>
          </w:tcPr>
          <w:p w14:paraId="645E359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4600</w:t>
            </w:r>
          </w:p>
        </w:tc>
      </w:tr>
    </w:tbl>
    <w:p w14:paraId="7FC3AEFB"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мотора на самолете РД показывают, что с упомянутым мотором при общем весе 10 тн самолет имеет дальность 10600 км..СекретяыД Отд. Ц. п. д. В 1933 году институт в виду запоздания с развертыванием серийного производства на заводе №24 в целях обеспетения испытания опытных самолетов и самолета на рекордный полет изготовил и сдал на самолеты 9 моторов.</w:t>
      </w:r>
    </w:p>
    <w:p w14:paraId="111CDFAD"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ГМ-34 - /мотор в 750 л. с. для глиссеров/. Чертежи этого мотора были изготовлены в декабре 1930 г.</w:t>
      </w:r>
    </w:p>
    <w:p w14:paraId="1BBDB981"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первую очередь изготовлены 2 реверсивных муфты, которые в августе 1932 пошли на заводские испытания и были переданы в эксплоатацию на катере Г-5 с мотомом АССО, где и работают по настоящее время.</w:t>
      </w:r>
    </w:p>
    <w:p w14:paraId="5882528B"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ГМ-34 в первом экземпляре был изготовлен в ноябре 1932 г. и в настоящее время следующие два мотора провохят госиспытания на катерах.</w:t>
      </w:r>
    </w:p>
    <w:p w14:paraId="1AA57FAE"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на основании заводских испытаний, сдан в серийное производство.</w:t>
      </w:r>
    </w:p>
    <w:p w14:paraId="5A20003D"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М-34Н - /мотор м-34 с нагнетателем/.</w:t>
      </w:r>
    </w:p>
    <w:p w14:paraId="18B60FAF"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Требования планом высотности 5.000 мтр. заставили институт взяться в 1930 г. за сложного нагнетателя с двумя ступенями скоростей.</w:t>
      </w:r>
    </w:p>
    <w:p w14:paraId="1B847927"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Нагнетатель был закончен проектированием в апреле 1931 года и построен в феврале 1932.</w:t>
      </w:r>
    </w:p>
    <w:p w14:paraId="44289912"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связи с выявившимися большими техническими сложностями, грозившими затяжкой доводки на неопределенный срок, Институтом с ведома и разрешания РВС, был запроектирован в январе 1933 нагнетатель невыключающийся с высотностью 3500 мтр, который и был построен и поставлен на заводские испытания в мае 1933 года.</w:t>
      </w:r>
    </w:p>
    <w:p w14:paraId="64852173"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с этим нагнетателем был предъявлен на гос.испытания в октябре 1933.</w:t>
      </w:r>
    </w:p>
    <w:p w14:paraId="626137C7"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Встретившиеся в процессе доводки этого мотора большие технические трудности в основном преодлоленв и мотор подготовлен к серийному производству.</w:t>
      </w:r>
    </w:p>
    <w:p w14:paraId="46A5C8ED"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КАРБЮРАТОР 92 КДЗ /карбюратор для мотора М-34 взамен импортного 90Р/.</w:t>
      </w:r>
    </w:p>
    <w:p w14:paraId="6119FAB2"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карбюратора Институт закончил в марте 1932 года.</w:t>
      </w:r>
    </w:p>
    <w:p w14:paraId="3CB36D42"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изготовлению на заводе № 33 опытных образцов и необходимой доводки, карбюратор успешно прошел гносиспытания и внедрен при непосредственном участии Института в июне 1933 в серийное производство на заводе № 33. Он представляет собой отвечающий всем современным требованиям агрегат по качеству работы, не уступающий заграничным.</w:t>
      </w:r>
    </w:p>
    <w:p w14:paraId="4A735AB6"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моторы М-34 выпускаются ныне с этими карпбюраторами.</w:t>
      </w:r>
    </w:p>
    <w:p w14:paraId="466BDADF"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М-52 /однорядный мотор в 400 нр для гражданской авиации/</w:t>
      </w:r>
    </w:p>
    <w:p w14:paraId="32B88649"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Был спроектирован в марте 1932 года и с января 1933 находится в процессе доводки. В связи с неудовлетворительной конструкцией картера и вытекающими их этого крупными переделками выпуск его переносится на 1934 г.</w:t>
      </w:r>
    </w:p>
    <w:p w14:paraId="6C048039"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М-32 /мотор в 600 л.с. и высотностью в 4000 мтр. для истребителя/.</w:t>
      </w:r>
    </w:p>
    <w:p w14:paraId="03B80585"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Закончен проектированием в марте 1932, сделан на опытном заводе института и поступил на испытания в октябре 1932 г....</w:t>
      </w:r>
    </w:p>
    <w:p w14:paraId="45B867B4"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М-48 /мотро в 600 л.с. воздузного охлаждения с высотноностью 4000 мтр. для истребителя/.</w:t>
      </w:r>
    </w:p>
    <w:p w14:paraId="4E6F3A8F"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был передан институту в 1931 году от авода №24 в виде эскихной компановки. В институте он был разработан в рабочих чертежах. В марте м-це 1931 года изготовлен в первом образце, к 1932 года прошел ряд испытаний.</w:t>
      </w:r>
    </w:p>
    <w:p w14:paraId="1C265572"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связи с неудовлетворительной работой головки в настоящее время работа перешла в стадию изысканий конструкции головки цилиндра и работы в целом по мотору в целом приостановлены.</w:t>
      </w:r>
    </w:p>
    <w:p w14:paraId="05A8B38F"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М-44 и АН-1 - /первый мощностыо в 2000 нр и второй - нефтя</w:t>
      </w:r>
      <w:r w:rsidRPr="00C33834">
        <w:rPr>
          <w:rFonts w:ascii="Times New Roman" w:hAnsi="Times New Roman"/>
          <w:color w:val="000000" w:themeColor="text1"/>
          <w:sz w:val="16"/>
          <w:szCs w:val="16"/>
        </w:rPr>
        <w:softHyphen/>
        <w:t>ной мотор в 750 нр/.</w:t>
      </w:r>
    </w:p>
    <w:p w14:paraId="33FD30D1"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Поектированию обоих этих моторов предшествовала длительная экспериментальная работа на одноцилиндровых установках с целью термодинамических исследований работы этих моторов. На основе результатов в конце испытаний, оба эти мотора запроектированы и к 1 октября закончены постройкой.</w:t>
      </w:r>
    </w:p>
    <w:p w14:paraId="1346A0CA"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 РД-8 и СП-2 - /мощные нефтяные моторы/.</w:t>
      </w:r>
    </w:p>
    <w:p w14:paraId="17931737"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Сверх плана по заданию правительства институтом {оперативно с заводами № 24 и № 2б изготовлены два новых мощных мотора на тяжелом топливе, которые предстоит доводить в институте.</w:t>
      </w:r>
    </w:p>
    <w:p w14:paraId="00EE4471"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М-23 /мотор в 75 л.с. для авиаеток/</w:t>
      </w:r>
    </w:p>
    <w:p w14:paraId="4FC46403"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спроектирован в НАМИ, ЦИАМом доведен, модифицирован и внедрен на серийное производство в ФЗУ завода № 24.</w:t>
      </w:r>
    </w:p>
    <w:p w14:paraId="3C3DB370"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перечисленннх основных работ института проделан ряд других работ, как-то:</w:t>
      </w:r>
    </w:p>
    <w:p w14:paraId="2619A7A8"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Освоено электронное литье картеров мотора М-34, что дает облегчение на 40 кг.</w:t>
      </w:r>
    </w:p>
    <w:p w14:paraId="414194F3"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Изготовлены подшиники из свинцовистой бронзы для мотора М-11.</w:t>
      </w:r>
    </w:p>
    <w:p w14:paraId="0BFBFB9B"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конструкции и производстве освоены топливные насосы для быстроходных дизелей, являвшиеся предметом монополии заграничных фирм последнего времени и ряд других менее существенных .работ.</w:t>
      </w:r>
    </w:p>
    <w:p w14:paraId="5CF02E2B"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с 1931 года по ноябрь 1933 года институтом:</w:t>
      </w:r>
    </w:p>
    <w:p w14:paraId="0527FEB1"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Спроектировано, построено и сдано всерийное производство 5 новых об"ектов, включая М-34, ГМ-34, М-34Р, карбюратор 92 КДЗ, М-23.</w:t>
      </w:r>
    </w:p>
    <w:p w14:paraId="6A628252"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Находятся в стади подготовки к передаче в серийное производстве 2 об"екта М-34Н и подшипник свинц. бронзы для М-11.</w:t>
      </w:r>
    </w:p>
    <w:p w14:paraId="602E8291"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Находится в периоде заводских испытаний /доводка/ М-32,М-38 и М-52.</w:t>
      </w:r>
    </w:p>
    <w:p w14:paraId="7353DB66"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Закончены производством первые экземпляры и поступили на заводские испытания 4 объекта: М-44, АН-1, ФеД-8, СП-2.</w:t>
      </w:r>
    </w:p>
    <w:p w14:paraId="7314D961"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всех этих мочоров освоены на самолете и катере 5 об"ктов: М-34, М-34Р, М-23 карб. .92 КДЗ и отд. реверс.</w:t>
      </w:r>
    </w:p>
    <w:p w14:paraId="01E44BDD"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Находятся в стадии освоения ГМ-34.</w:t>
      </w:r>
    </w:p>
    <w:p w14:paraId="2E3F06DF"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Подготовляется к полетному испытанию М-34Н - 1</w:t>
      </w:r>
    </w:p>
    <w:p w14:paraId="42F76B96"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ЭКСПЕРИМЕНТАЛЬНЫЕ РАБОТЫ</w:t>
      </w:r>
    </w:p>
    <w:p w14:paraId="28E72A6B"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вспериментально теоретические работы, проводимые в институте связаны с работами по моторам плана и имели в основном подчиненное текущим планам значение.</w:t>
      </w:r>
    </w:p>
    <w:p w14:paraId="475304F1"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Экспериментальных работ по заданиям ГУАП, серийных заводов, ЦАГИ, выполнено за 1932 год 14.</w:t>
      </w:r>
    </w:p>
    <w:p w14:paraId="56F1629F"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ноябрь 1933 года 18.</w:t>
      </w:r>
    </w:p>
    <w:p w14:paraId="05615C23"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число этих работ входят специальные испытания М-17 с целью устранения дефектов. Испытания М-34 с целью специальной регулировки на рекордный полет, испытания по изысканию масляных радиаторов для ТБ-3, испытание топлив и масел, испытание продукции заводов ГУАП и т.д.</w:t>
      </w:r>
    </w:p>
    <w:p w14:paraId="03184D30"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СВЯЗЬ С СЕРИЙНЫМИ ЗАВОДАМИ.</w:t>
      </w:r>
    </w:p>
    <w:p w14:paraId="5655CCD4"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Посколько основным содержанием работы Института за период 1931-33 гг являлось выполнение плана по опытному моторостроению, естественно, что в основном связь с серийным производством выливалась в совместную работу по внедрению в серийное производство дальнейшую совместную работу над совершенствованием мотора.</w:t>
      </w:r>
    </w:p>
    <w:p w14:paraId="349FC92B"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своих взаимоотношениях с серийными заводами Институт проводил, следующие принципы:</w:t>
      </w:r>
    </w:p>
    <w:p w14:paraId="70F55388"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При внедрении в серийное производство опытныхобъектов Институт непосредственной органичесвой связи с заводом непосредственно учавуя в его раооте помогает заводу освоить новый об'ект, представляя заводу как неооходимне для этой цели кадры, так и экспериментальные производственные ресурсы до момента готовности серийного эталона.</w:t>
      </w:r>
    </w:p>
    <w:p w14:paraId="0E926B3D"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 процессе серийного производства работа по усовершенствованию мотора, его модификациям не требующим коренных переделок, облегчение мотора, повышение его наденности, подготовка текуших эталонов является правом и обязанностью опытно-конструкторсних отделов заводов.</w:t>
      </w:r>
    </w:p>
    <w:p w14:paraId="2228CD1E"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этой части институт на основе изучения мотора лишь ставит перед заводом задачи по совершенствованию моторов, подготовляя их надлежащим образом у себя, а также помогая заводу своей нонсультацией, участвуя в обсуждении встающих в процессе работы вопросов и дополняя своими рессурсами задания завода.</w:t>
      </w:r>
    </w:p>
    <w:p w14:paraId="1251B618"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обязанности института лежит работа по тем модификациям моторов, которые треоуют коренных изменений и проработки принцитпиально важных конструкций или технологических процессов в качестве новых вв производства для завода.</w:t>
      </w:r>
    </w:p>
    <w:p w14:paraId="63C3610D" w14:textId="77777777" w:rsidR="00570C39" w:rsidRPr="00C33834" w:rsidRDefault="00570C3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по мотору М-34 сложилась из следующих этапов:</w:t>
      </w:r>
    </w:p>
    <w:p w14:paraId="596F219D"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Доработка чертежей опытного мотора применительно к условиям а завода №24. Работа была проведена в основном в Институте с участием работников завода (2281,68).</w:t>
      </w:r>
    </w:p>
    <w:p w14:paraId="17696179" w14:textId="77777777" w:rsidR="00570C39" w:rsidRPr="00C33834" w:rsidRDefault="00570C39" w:rsidP="00C33834">
      <w:pPr>
        <w:spacing w:after="0" w:line="240" w:lineRule="auto"/>
        <w:jc w:val="both"/>
        <w:rPr>
          <w:rFonts w:ascii="Times New Roman" w:hAnsi="Times New Roman"/>
          <w:color w:val="000000" w:themeColor="text1"/>
          <w:sz w:val="16"/>
          <w:szCs w:val="16"/>
        </w:rPr>
      </w:pPr>
    </w:p>
    <w:p w14:paraId="40CD25D7" w14:textId="77777777" w:rsidR="00366092" w:rsidRPr="00C33834" w:rsidRDefault="00366092" w:rsidP="00C33834">
      <w:pPr>
        <w:spacing w:after="0" w:line="240" w:lineRule="auto"/>
        <w:jc w:val="both"/>
        <w:rPr>
          <w:rStyle w:val="af0"/>
          <w:rFonts w:ascii="Times New Roman" w:hAnsi="Times New Roman"/>
          <w:i w:val="0"/>
          <w:color w:val="000000" w:themeColor="text1"/>
          <w:sz w:val="16"/>
          <w:szCs w:val="16"/>
        </w:rPr>
      </w:pPr>
      <w:r w:rsidRPr="00C33834">
        <w:rPr>
          <w:rStyle w:val="af0"/>
          <w:rFonts w:ascii="Times New Roman" w:hAnsi="Times New Roman"/>
          <w:i w:val="0"/>
          <w:color w:val="000000" w:themeColor="text1"/>
          <w:sz w:val="16"/>
          <w:szCs w:val="16"/>
        </w:rPr>
        <w:t xml:space="preserve">17 ноября 1933 г. </w:t>
      </w:r>
      <w:r w:rsidRPr="00C33834">
        <w:rPr>
          <w:rFonts w:ascii="Times New Roman" w:hAnsi="Times New Roman"/>
          <w:color w:val="000000" w:themeColor="text1"/>
          <w:sz w:val="16"/>
          <w:szCs w:val="16"/>
        </w:rPr>
        <w:t>Доклад Центрального института авиационного моторостроения во Всесоюзное объединение авиационной промышленности о деятельности института с ноября 1930 г. по ноябрь 1933 г.</w:t>
      </w:r>
    </w:p>
    <w:p w14:paraId="19317C81"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Секретно.</w:t>
      </w:r>
    </w:p>
    <w:p w14:paraId="1A821AB6"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t>Центральный институт авиационного моторостроения был создан в ноябре 1930 г. Вся организация института была проведена за отчетный период времени. Нижеприведенные таблицы дают представление о ходе развития института.</w:t>
      </w:r>
    </w:p>
    <w:p w14:paraId="0C47744A" w14:textId="77777777" w:rsidR="00366092" w:rsidRPr="00C33834" w:rsidRDefault="00366092" w:rsidP="00C33834">
      <w:pPr>
        <w:pStyle w:val="ae"/>
        <w:spacing w:before="0" w:after="0"/>
        <w:jc w:val="both"/>
        <w:rPr>
          <w:color w:val="000000" w:themeColor="text1"/>
          <w:sz w:val="16"/>
          <w:szCs w:val="16"/>
        </w:rPr>
      </w:pPr>
      <w:r w:rsidRPr="00C33834">
        <w:rPr>
          <w:rStyle w:val="a7"/>
          <w:rFonts w:eastAsiaTheme="majorEastAsia"/>
          <w:b w:val="0"/>
          <w:color w:val="000000" w:themeColor="text1"/>
          <w:sz w:val="16"/>
          <w:szCs w:val="16"/>
        </w:rPr>
        <w:t>Рост оборудования Опытного завода ЦИАМ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74"/>
        <w:gridCol w:w="2082"/>
        <w:gridCol w:w="2082"/>
        <w:gridCol w:w="2082"/>
        <w:gridCol w:w="2202"/>
      </w:tblGrid>
      <w:tr w:rsidR="00F26F01" w:rsidRPr="00C33834" w14:paraId="31971C02"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44E8E4"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73A88"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D6D17"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EE498"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481DF"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8 октября 1933 г.</w:t>
            </w:r>
          </w:p>
        </w:tc>
      </w:tr>
      <w:tr w:rsidR="00F26F01" w:rsidRPr="00C33834" w14:paraId="1D08CA6F"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1A43F5"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по опытному заводу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DCF91"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0C50A"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158</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408E4"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60133"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265</w:t>
            </w:r>
          </w:p>
        </w:tc>
      </w:tr>
    </w:tbl>
    <w:p w14:paraId="754AD40C" w14:textId="77777777" w:rsidR="00366092" w:rsidRPr="00C33834" w:rsidRDefault="00366092" w:rsidP="00C33834">
      <w:pPr>
        <w:pStyle w:val="ae"/>
        <w:spacing w:before="0" w:after="0"/>
        <w:jc w:val="both"/>
        <w:rPr>
          <w:color w:val="000000" w:themeColor="text1"/>
          <w:sz w:val="16"/>
          <w:szCs w:val="16"/>
        </w:rPr>
      </w:pPr>
      <w:r w:rsidRPr="00C33834">
        <w:rPr>
          <w:rStyle w:val="a7"/>
          <w:rFonts w:eastAsiaTheme="majorEastAsia"/>
          <w:b w:val="0"/>
          <w:color w:val="000000" w:themeColor="text1"/>
          <w:sz w:val="16"/>
          <w:szCs w:val="16"/>
        </w:rPr>
        <w:t>Рост зданий ЦИАМ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53"/>
        <w:gridCol w:w="2223"/>
        <w:gridCol w:w="2223"/>
        <w:gridCol w:w="2223"/>
      </w:tblGrid>
      <w:tr w:rsidR="00F26F01" w:rsidRPr="00C33834" w14:paraId="6EBD81CB"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B5B463"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626B0"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 г. (м³)</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6F6EA"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 (м³)</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B6C10"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 г. (м³)</w:t>
            </w:r>
          </w:p>
        </w:tc>
      </w:tr>
      <w:tr w:rsidR="00F26F01" w:rsidRPr="00C33834" w14:paraId="1B1FEAD5"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293CBB"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BD909"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1CE90"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75 100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E4F2A"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75 100</w:t>
            </w:r>
          </w:p>
        </w:tc>
      </w:tr>
      <w:tr w:rsidR="00F26F01" w:rsidRPr="00C33834" w14:paraId="4A64B6C2"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80A86C"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Испытательная станция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A162C"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14EC8"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81C5B"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29 400</w:t>
            </w:r>
          </w:p>
        </w:tc>
      </w:tr>
      <w:tr w:rsidR="00F26F01" w:rsidRPr="00C33834" w14:paraId="2CCF93A1"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C4194E"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Жилплощадь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20B7D3C"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02D9B"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25FBC"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60 585</w:t>
            </w:r>
          </w:p>
        </w:tc>
      </w:tr>
    </w:tbl>
    <w:p w14:paraId="325F4348" w14:textId="77777777" w:rsidR="00366092" w:rsidRPr="00C33834" w:rsidRDefault="00366092" w:rsidP="00C33834">
      <w:pPr>
        <w:pStyle w:val="ae"/>
        <w:spacing w:before="0" w:after="0"/>
        <w:jc w:val="both"/>
        <w:rPr>
          <w:color w:val="000000" w:themeColor="text1"/>
          <w:sz w:val="16"/>
          <w:szCs w:val="16"/>
        </w:rPr>
      </w:pPr>
      <w:r w:rsidRPr="00C33834">
        <w:rPr>
          <w:rStyle w:val="a7"/>
          <w:rFonts w:eastAsiaTheme="majorEastAsia"/>
          <w:b w:val="0"/>
          <w:color w:val="000000" w:themeColor="text1"/>
          <w:sz w:val="16"/>
          <w:szCs w:val="16"/>
        </w:rPr>
        <w:t>Рост кадров ЦИАМ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69"/>
        <w:gridCol w:w="1982"/>
        <w:gridCol w:w="1983"/>
        <w:gridCol w:w="1983"/>
        <w:gridCol w:w="2005"/>
      </w:tblGrid>
      <w:tr w:rsidR="00F26F01" w:rsidRPr="00C33834" w14:paraId="4B5ACB96"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A4F90D"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31DAC"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620EE"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A354E"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января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BF24A"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ноября 1933 г.</w:t>
            </w:r>
          </w:p>
        </w:tc>
      </w:tr>
      <w:tr w:rsidR="00F26F01" w:rsidRPr="00C33834" w14:paraId="4C726550"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411700"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C4F36"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7C055"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A3E12"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BED10"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3384</w:t>
            </w:r>
          </w:p>
        </w:tc>
      </w:tr>
      <w:tr w:rsidR="00F26F01" w:rsidRPr="00C33834" w14:paraId="5CC1A48C"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A59A7B"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45A84"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16121"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80D78"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9B6AC"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4AB10935"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D27451"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рабочих,</w:t>
            </w:r>
          </w:p>
          <w:p w14:paraId="23C4F8A8"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том числе квалифицированных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40578"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p w14:paraId="21D2AE87"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E3408"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903</w:t>
            </w:r>
          </w:p>
          <w:p w14:paraId="469ED938"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009AA"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1608</w:t>
            </w:r>
          </w:p>
          <w:p w14:paraId="377FB42C"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FC7AA"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1685</w:t>
            </w:r>
          </w:p>
          <w:p w14:paraId="790B89C3"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1312</w:t>
            </w:r>
          </w:p>
        </w:tc>
      </w:tr>
      <w:tr w:rsidR="00F26F01" w:rsidRPr="00C33834" w14:paraId="390B8E9E"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BB0A67"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ИТР,</w:t>
            </w:r>
          </w:p>
          <w:p w14:paraId="168AC439"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том числе инженеры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67806"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139</w:t>
            </w:r>
          </w:p>
          <w:p w14:paraId="7B877CA8"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62A40"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492</w:t>
            </w:r>
          </w:p>
          <w:p w14:paraId="284F9E69"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CEEB9"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1125</w:t>
            </w:r>
          </w:p>
          <w:p w14:paraId="00DEFB1D"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43B17"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971</w:t>
            </w:r>
          </w:p>
          <w:p w14:paraId="0B6B93A3"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383</w:t>
            </w:r>
          </w:p>
        </w:tc>
      </w:tr>
      <w:tr w:rsidR="00F26F01" w:rsidRPr="00C33834" w14:paraId="0EA4D4D6"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6B1907"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КСХ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BCE21"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F7E63"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070DB"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798</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67A0A"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556</w:t>
            </w:r>
          </w:p>
        </w:tc>
      </w:tr>
      <w:tr w:rsidR="00F26F01" w:rsidRPr="00C33834" w14:paraId="02821920"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85CB50"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МОП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5B764"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976C8"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EAF73"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D8B9F"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172</w:t>
            </w:r>
          </w:p>
        </w:tc>
      </w:tr>
    </w:tbl>
    <w:p w14:paraId="540A833E"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t>Оценивая условия работы института в настоящий момент, необходимо сказать, что Опытный завод института является в настоящее время организацией, которая имеет в основном все необходимое и достаточное для выполнения в производстве сложных образцов авиамотора. В отношении кадров институт располагает большим количеством инженерно-технических работников, но имеет в их числе сравнительно небольшое количество старых опытных инженеров. Основные его исследовательские и конструкторские кадры выросли уже на работе в самом институте. Необходимо отметить, что технический рост кадров за последние годы весьма заметен. Однако уровень опыта этих молодых кадров значительно отстает от конструкторских кадров самолетостроения. Все же, давая общую оценку конструкторских организаций института, необходимо сказать, что они несомненно способны решать сложные задачи, которые выдвигаются в области моторостроения в нашей авиации.</w:t>
      </w:r>
    </w:p>
    <w:p w14:paraId="3259B838"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t>Основной задачей, поставленной перед институтом правительством, является создание новых типов авиационных моторов, предусмотренных правительственным планом опытного строительства. Весь план опытного строительства по авиационным моторам, разработанный в 1930 г., утвержденный правительством и дополненный в последующие годы, с 1931 г. был возложен на Институт авиационного моторостроения. Выполняя этот план, институт сделал следующее:</w:t>
      </w:r>
    </w:p>
    <w:p w14:paraId="36FD0CE4" w14:textId="77777777" w:rsidR="00366092" w:rsidRPr="00C33834" w:rsidRDefault="00366092" w:rsidP="00C33834">
      <w:pPr>
        <w:pStyle w:val="rtejustify"/>
        <w:spacing w:before="0" w:after="0"/>
        <w:rPr>
          <w:color w:val="000000" w:themeColor="text1"/>
          <w:sz w:val="16"/>
          <w:szCs w:val="16"/>
        </w:rPr>
      </w:pPr>
      <w:r w:rsidRPr="00C33834">
        <w:rPr>
          <w:rStyle w:val="af0"/>
          <w:bCs/>
          <w:i w:val="0"/>
          <w:color w:val="000000" w:themeColor="text1"/>
          <w:sz w:val="16"/>
          <w:szCs w:val="16"/>
        </w:rPr>
        <w:t>Мотор М</w:t>
      </w:r>
      <w:r w:rsidRPr="00C33834">
        <w:rPr>
          <w:rStyle w:val="af0"/>
          <w:bCs/>
          <w:i w:val="0"/>
          <w:color w:val="000000" w:themeColor="text1"/>
          <w:sz w:val="16"/>
          <w:szCs w:val="16"/>
        </w:rPr>
        <w:noBreakHyphen/>
        <w:t>34</w:t>
      </w:r>
      <w:r w:rsidRPr="00C33834">
        <w:rPr>
          <w:color w:val="000000" w:themeColor="text1"/>
          <w:sz w:val="16"/>
          <w:szCs w:val="16"/>
        </w:rPr>
        <w:t xml:space="preserve"> — мотор в 750 л. с. для тяжелых самолетов. Первый мотор был закончен производством и поставлен на станок 1 мая 1931 г. На гос. испытания мотор был предъявлен 2 августа 1931 г. и прошел их удовлетворительно, после чего проведена передача мотора в серийное производство и связанная с этим работа по </w:t>
      </w:r>
      <w:r w:rsidRPr="00C33834">
        <w:rPr>
          <w:color w:val="000000" w:themeColor="text1"/>
          <w:sz w:val="16"/>
          <w:szCs w:val="16"/>
        </w:rPr>
        <w:lastRenderedPageBreak/>
        <w:t>переделке чертежей мотора, которая была закончена полностью в феврале 1932 г. В ноябре 1933 г. работа по внедрению, в которой институт принимал непосредственное участие, закончилась сдачей первой серии военному ведомству. С начала 1933 г. мотор выпускается с серийного завода нормальным порядком.</w:t>
      </w:r>
    </w:p>
    <w:p w14:paraId="24E46AC9" w14:textId="77777777" w:rsidR="00366092" w:rsidRPr="00C33834" w:rsidRDefault="00366092" w:rsidP="00C33834">
      <w:pPr>
        <w:pStyle w:val="rtejustify"/>
        <w:spacing w:before="0" w:after="0"/>
        <w:rPr>
          <w:color w:val="000000" w:themeColor="text1"/>
          <w:sz w:val="16"/>
          <w:szCs w:val="16"/>
        </w:rPr>
      </w:pPr>
      <w:r w:rsidRPr="00C33834">
        <w:rPr>
          <w:rStyle w:val="af0"/>
          <w:bCs/>
          <w:i w:val="0"/>
          <w:color w:val="000000" w:themeColor="text1"/>
          <w:sz w:val="16"/>
          <w:szCs w:val="16"/>
        </w:rPr>
        <w:t>Мотор М</w:t>
      </w:r>
      <w:r w:rsidRPr="00C33834">
        <w:rPr>
          <w:rStyle w:val="af0"/>
          <w:bCs/>
          <w:i w:val="0"/>
          <w:color w:val="000000" w:themeColor="text1"/>
          <w:sz w:val="16"/>
          <w:szCs w:val="16"/>
        </w:rPr>
        <w:noBreakHyphen/>
        <w:t>34Р</w:t>
      </w:r>
      <w:r w:rsidRPr="00C33834">
        <w:rPr>
          <w:color w:val="000000" w:themeColor="text1"/>
          <w:sz w:val="16"/>
          <w:szCs w:val="16"/>
        </w:rPr>
        <w:t xml:space="preserve"> (Мотор М</w:t>
      </w:r>
      <w:r w:rsidRPr="00C33834">
        <w:rPr>
          <w:color w:val="000000" w:themeColor="text1"/>
          <w:sz w:val="16"/>
          <w:szCs w:val="16"/>
        </w:rPr>
        <w:noBreakHyphen/>
        <w:t>34 с редуктором). Закончив проектирование в августе 1931 г., институт построил на своем Опытном заводе, провел заводские испытания и необходимые переделки и предъявил в апреле 1933 г. мотор на гос. испытания, закончившиеся 2 мая, после чего мотор был передан в серийное производство. К настоящему моменту закончены предварительные испытания мотора М</w:t>
      </w:r>
      <w:r w:rsidRPr="00C33834">
        <w:rPr>
          <w:color w:val="000000" w:themeColor="text1"/>
          <w:sz w:val="16"/>
          <w:szCs w:val="16"/>
        </w:rPr>
        <w:noBreakHyphen/>
        <w:t>34 и М</w:t>
      </w:r>
      <w:r w:rsidRPr="00C33834">
        <w:rPr>
          <w:color w:val="000000" w:themeColor="text1"/>
          <w:sz w:val="16"/>
          <w:szCs w:val="16"/>
        </w:rPr>
        <w:noBreakHyphen/>
        <w:t>34Р на самолете ТБ</w:t>
      </w:r>
      <w:r w:rsidRPr="00C33834">
        <w:rPr>
          <w:color w:val="000000" w:themeColor="text1"/>
          <w:sz w:val="16"/>
          <w:szCs w:val="16"/>
        </w:rPr>
        <w:noBreakHyphen/>
        <w:t>3, дающие следующие результаты по сравнению с мотором М</w:t>
      </w:r>
      <w:r w:rsidRPr="00C33834">
        <w:rPr>
          <w:color w:val="000000" w:themeColor="text1"/>
          <w:sz w:val="16"/>
          <w:szCs w:val="16"/>
        </w:rPr>
        <w:noBreakHyphen/>
        <w:t>17 на том же самолете (по данным ЦАГИ):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293"/>
        <w:gridCol w:w="1425"/>
        <w:gridCol w:w="2604"/>
      </w:tblGrid>
      <w:tr w:rsidR="00F26F01" w:rsidRPr="00C33834" w14:paraId="135D9A1F" w14:textId="77777777" w:rsidTr="007C00E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9E16055"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у земли: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98961"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w:t>
            </w:r>
            <w:r w:rsidRPr="00C33834">
              <w:rPr>
                <w:rFonts w:ascii="Times New Roman" w:hAnsi="Times New Roman"/>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80250"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198 км в час</w:t>
            </w:r>
          </w:p>
        </w:tc>
      </w:tr>
      <w:tr w:rsidR="00F26F01" w:rsidRPr="00C33834" w14:paraId="7CAC06AC" w14:textId="77777777" w:rsidTr="007C00E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8EE4FB0" w14:textId="77777777" w:rsidR="00366092" w:rsidRPr="00C33834" w:rsidRDefault="00366092"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73BDCC"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w:t>
            </w:r>
            <w:r w:rsidRPr="00C33834">
              <w:rPr>
                <w:rFonts w:ascii="Times New Roman" w:hAnsi="Times New Roman"/>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5110E"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207 км в час</w:t>
            </w:r>
          </w:p>
        </w:tc>
      </w:tr>
      <w:tr w:rsidR="00F26F01" w:rsidRPr="00C33834" w14:paraId="0A608099" w14:textId="77777777" w:rsidTr="007C00E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E88E45A" w14:textId="77777777" w:rsidR="00366092" w:rsidRPr="00C33834" w:rsidRDefault="00366092"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AD31E1"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F4ED7"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231 км в час</w:t>
            </w:r>
          </w:p>
        </w:tc>
      </w:tr>
      <w:tr w:rsidR="00F26F01" w:rsidRPr="00C33834" w14:paraId="0ED051AC" w14:textId="77777777" w:rsidTr="007C00E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332360A"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на высоте 3 тыс.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FE9E9"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D660A"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177 км в час</w:t>
            </w:r>
          </w:p>
        </w:tc>
      </w:tr>
      <w:tr w:rsidR="00F26F01" w:rsidRPr="00C33834" w14:paraId="0CE5A71C" w14:textId="77777777" w:rsidTr="007C00E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8D9E443" w14:textId="77777777" w:rsidR="00366092" w:rsidRPr="00C33834" w:rsidRDefault="00366092"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16C1B3"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19DF6"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185 км в час</w:t>
            </w:r>
          </w:p>
        </w:tc>
      </w:tr>
      <w:tr w:rsidR="00F26F01" w:rsidRPr="00C33834" w14:paraId="04E1B85C" w14:textId="77777777" w:rsidTr="007C00E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1488E40" w14:textId="77777777" w:rsidR="00366092" w:rsidRPr="00C33834" w:rsidRDefault="00366092"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86061E"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570B6"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213 км в час</w:t>
            </w:r>
          </w:p>
        </w:tc>
      </w:tr>
      <w:tr w:rsidR="00F26F01" w:rsidRPr="00C33834" w14:paraId="4091A77C" w14:textId="77777777" w:rsidTr="007C00E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26A4469"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на высоту 3 тыс.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F69AE"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w:t>
            </w:r>
            <w:r w:rsidRPr="00C33834">
              <w:rPr>
                <w:rFonts w:ascii="Times New Roman" w:hAnsi="Times New Roman"/>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60384"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42,5 мин.</w:t>
            </w:r>
          </w:p>
        </w:tc>
      </w:tr>
      <w:tr w:rsidR="00F26F01" w:rsidRPr="00C33834" w14:paraId="04638345" w14:textId="77777777" w:rsidTr="007C00E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ED3134B" w14:textId="77777777" w:rsidR="00366092" w:rsidRPr="00C33834" w:rsidRDefault="00366092"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97F684"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w:t>
            </w:r>
            <w:r w:rsidRPr="00C33834">
              <w:rPr>
                <w:rFonts w:ascii="Times New Roman" w:hAnsi="Times New Roman"/>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AD910BA"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32,8 мин.</w:t>
            </w:r>
          </w:p>
        </w:tc>
      </w:tr>
      <w:tr w:rsidR="00F26F01" w:rsidRPr="00C33834" w14:paraId="5BFEA008" w14:textId="77777777" w:rsidTr="007C00E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8AF9D6B" w14:textId="77777777" w:rsidR="00366092" w:rsidRPr="00C33834" w:rsidRDefault="00366092"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370A49"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w:t>
            </w:r>
            <w:r w:rsidRPr="00C33834">
              <w:rPr>
                <w:rFonts w:ascii="Times New Roman" w:hAnsi="Times New Roman"/>
                <w:color w:val="000000" w:themeColor="text1"/>
                <w:sz w:val="16"/>
                <w:szCs w:val="16"/>
              </w:rPr>
              <w:noBreakHyphen/>
              <w:t>34Р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24219"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18,81 мин.</w:t>
            </w:r>
          </w:p>
        </w:tc>
      </w:tr>
      <w:tr w:rsidR="00F26F01" w:rsidRPr="00C33834" w14:paraId="23BA6EF2" w14:textId="77777777" w:rsidTr="007C00E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24E42C6"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4870A"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w:t>
            </w:r>
            <w:r w:rsidRPr="00C33834">
              <w:rPr>
                <w:rFonts w:ascii="Times New Roman" w:hAnsi="Times New Roman"/>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D4DB1"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3800 м</w:t>
            </w:r>
          </w:p>
        </w:tc>
      </w:tr>
      <w:tr w:rsidR="00F26F01" w:rsidRPr="00C33834" w14:paraId="6B4201DF" w14:textId="77777777" w:rsidTr="007C00E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23F0644" w14:textId="77777777" w:rsidR="00366092" w:rsidRPr="00C33834" w:rsidRDefault="00366092"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E03C11"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w:t>
            </w:r>
            <w:r w:rsidRPr="00C33834">
              <w:rPr>
                <w:rFonts w:ascii="Times New Roman" w:hAnsi="Times New Roman"/>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D1816"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3900 м</w:t>
            </w:r>
          </w:p>
        </w:tc>
      </w:tr>
      <w:tr w:rsidR="00F26F01" w:rsidRPr="00C33834" w14:paraId="30F62EF9" w14:textId="77777777" w:rsidTr="007C00E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E4EA7D8" w14:textId="77777777" w:rsidR="00366092" w:rsidRPr="00C33834" w:rsidRDefault="00366092" w:rsidP="00C3383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89EF99"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w:t>
            </w:r>
            <w:r w:rsidRPr="00C33834">
              <w:rPr>
                <w:rFonts w:ascii="Times New Roman" w:hAnsi="Times New Roman"/>
                <w:color w:val="000000" w:themeColor="text1"/>
                <w:sz w:val="16"/>
                <w:szCs w:val="16"/>
              </w:rPr>
              <w:noBreakHyphen/>
              <w:t>34Р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98A29"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4600 м</w:t>
            </w:r>
          </w:p>
        </w:tc>
      </w:tr>
    </w:tbl>
    <w:p w14:paraId="6F74C565"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t>Испытания мотора на самолете РД показывают, что самолет с этим мотором при общем весе в 10 т имеет дальность 10 600 км. В 1933 г. институт ввиду запоздания с развертыванием серийного производства на заводе № 24 в целях обеспечения испытания опытных самолетов и самолета на рекордный полет изготовил и сдал на самолеты 9 моторов.</w:t>
      </w:r>
    </w:p>
    <w:p w14:paraId="6DC5A3B5" w14:textId="77777777" w:rsidR="00366092" w:rsidRPr="00C33834" w:rsidRDefault="00366092" w:rsidP="00C33834">
      <w:pPr>
        <w:pStyle w:val="rtejustify"/>
        <w:spacing w:before="0" w:after="0"/>
        <w:rPr>
          <w:color w:val="000000" w:themeColor="text1"/>
          <w:sz w:val="16"/>
          <w:szCs w:val="16"/>
        </w:rPr>
      </w:pPr>
      <w:r w:rsidRPr="00C33834">
        <w:rPr>
          <w:rStyle w:val="af0"/>
          <w:bCs/>
          <w:i w:val="0"/>
          <w:color w:val="000000" w:themeColor="text1"/>
          <w:sz w:val="16"/>
          <w:szCs w:val="16"/>
        </w:rPr>
        <w:t>Мотор ГМ</w:t>
      </w:r>
      <w:r w:rsidRPr="00C33834">
        <w:rPr>
          <w:rStyle w:val="af0"/>
          <w:bCs/>
          <w:i w:val="0"/>
          <w:color w:val="000000" w:themeColor="text1"/>
          <w:sz w:val="16"/>
          <w:szCs w:val="16"/>
        </w:rPr>
        <w:noBreakHyphen/>
        <w:t>34</w:t>
      </w:r>
      <w:r w:rsidRPr="00C33834">
        <w:rPr>
          <w:color w:val="000000" w:themeColor="text1"/>
          <w:sz w:val="16"/>
          <w:szCs w:val="16"/>
        </w:rPr>
        <w:t xml:space="preserve"> (мотор в 750 л. с. для глиссеров). Чертежи этого мотора были изготовлены в декабре 1930 г. В первую очередь изготовлены две реверсивных муфты, которые в августе 1932 г. прошли заводские испытания и были переданы в эксплуатацию на катере Г</w:t>
      </w:r>
      <w:r w:rsidRPr="00C33834">
        <w:rPr>
          <w:color w:val="000000" w:themeColor="text1"/>
          <w:sz w:val="16"/>
          <w:szCs w:val="16"/>
        </w:rPr>
        <w:noBreakHyphen/>
        <w:t>5 с мотором АССО, где и работают по настоящее время. Мотор ГМ</w:t>
      </w:r>
      <w:r w:rsidRPr="00C33834">
        <w:rPr>
          <w:color w:val="000000" w:themeColor="text1"/>
          <w:sz w:val="16"/>
          <w:szCs w:val="16"/>
        </w:rPr>
        <w:noBreakHyphen/>
        <w:t>34 в первом экземпляре был изготовлен в ноябре 1932 г., и в настоящее время следующие два мотора проходят гос. испытания на катерах. Мотор на основании результатов заводских испытаний сдан в серийное производство.</w:t>
      </w:r>
    </w:p>
    <w:p w14:paraId="522645DF" w14:textId="77777777" w:rsidR="00366092" w:rsidRPr="00C33834" w:rsidRDefault="00366092" w:rsidP="00C33834">
      <w:pPr>
        <w:pStyle w:val="rtejustify"/>
        <w:spacing w:before="0" w:after="0"/>
        <w:rPr>
          <w:color w:val="000000" w:themeColor="text1"/>
          <w:sz w:val="16"/>
          <w:szCs w:val="16"/>
        </w:rPr>
      </w:pPr>
      <w:r w:rsidRPr="00C33834">
        <w:rPr>
          <w:rStyle w:val="af0"/>
          <w:bCs/>
          <w:i w:val="0"/>
          <w:color w:val="000000" w:themeColor="text1"/>
          <w:sz w:val="16"/>
          <w:szCs w:val="16"/>
        </w:rPr>
        <w:t>Мотор М</w:t>
      </w:r>
      <w:r w:rsidRPr="00C33834">
        <w:rPr>
          <w:rStyle w:val="af0"/>
          <w:bCs/>
          <w:i w:val="0"/>
          <w:color w:val="000000" w:themeColor="text1"/>
          <w:sz w:val="16"/>
          <w:szCs w:val="16"/>
        </w:rPr>
        <w:noBreakHyphen/>
        <w:t>34Н</w:t>
      </w:r>
      <w:r w:rsidRPr="00C33834">
        <w:rPr>
          <w:color w:val="000000" w:themeColor="text1"/>
          <w:sz w:val="16"/>
          <w:szCs w:val="16"/>
        </w:rPr>
        <w:t xml:space="preserve"> (мотор М</w:t>
      </w:r>
      <w:r w:rsidRPr="00C33834">
        <w:rPr>
          <w:color w:val="000000" w:themeColor="text1"/>
          <w:sz w:val="16"/>
          <w:szCs w:val="16"/>
        </w:rPr>
        <w:noBreakHyphen/>
        <w:t>34 с нагнетателем). Требования плана высотности в 5 тыс. м заставили институт взяться в 1930 г. за проектирование сложного нагнетателя с двумя ступенями скоростей. Нагнетатель был окончен запроектированием в апреле 1931 г., построен в феврале 1932 г. В связи с выявившимися большими техническими трудностями, грозившими затяжкой доводки на неопределенный срок, институтом с ведома и разрешения РВС был запроектирован к январю 1933 г. нагнетатель невыключающийся с высотностью 3500 м, который и был построен и поставлен на заводские испытания в мае 1933 г. Мотор с этим нагнетателем был предъявлен на гос. испытания в октябре 1933 г. Встретившиеся в процессе доводки этого мотора большие технические затруднения в основном преодолены, и мотор подготовляется к серийному производству.</w:t>
      </w:r>
    </w:p>
    <w:p w14:paraId="2153643D" w14:textId="77777777" w:rsidR="00366092" w:rsidRPr="00C33834" w:rsidRDefault="00366092" w:rsidP="00C33834">
      <w:pPr>
        <w:pStyle w:val="rtejustify"/>
        <w:spacing w:before="0" w:after="0"/>
        <w:rPr>
          <w:color w:val="000000" w:themeColor="text1"/>
          <w:sz w:val="16"/>
          <w:szCs w:val="16"/>
        </w:rPr>
      </w:pPr>
      <w:r w:rsidRPr="00C33834">
        <w:rPr>
          <w:rStyle w:val="af0"/>
          <w:bCs/>
          <w:i w:val="0"/>
          <w:color w:val="000000" w:themeColor="text1"/>
          <w:sz w:val="16"/>
          <w:szCs w:val="16"/>
        </w:rPr>
        <w:t>Карбюратор 92 КДЗ</w:t>
      </w:r>
      <w:r w:rsidRPr="00C33834">
        <w:rPr>
          <w:color w:val="000000" w:themeColor="text1"/>
          <w:sz w:val="16"/>
          <w:szCs w:val="16"/>
        </w:rPr>
        <w:t xml:space="preserve"> (карбюратор для мотора М</w:t>
      </w:r>
      <w:r w:rsidRPr="00C33834">
        <w:rPr>
          <w:color w:val="000000" w:themeColor="text1"/>
          <w:sz w:val="16"/>
          <w:szCs w:val="16"/>
        </w:rPr>
        <w:noBreakHyphen/>
        <w:t>34 взамен импортного 90Р). Проектирование карбюратора институт закончил в марте 1933 г. По изготовлении на заводе № 33 опытных образцов и необходимой доводки, карбюратор успешно прошел гос. испытания и внедрен при непосредственном участии института в июне 1933 г. в серийное производство на заводе № 33. Он представляет из себя отвечающий всем современным требованиям агрегат, по качеству работы не уступающий заграничным. Все моторы М</w:t>
      </w:r>
      <w:r w:rsidRPr="00C33834">
        <w:rPr>
          <w:color w:val="000000" w:themeColor="text1"/>
          <w:sz w:val="16"/>
          <w:szCs w:val="16"/>
        </w:rPr>
        <w:noBreakHyphen/>
        <w:t>34 ныне выпускаются с этими карбюраторами.</w:t>
      </w:r>
    </w:p>
    <w:p w14:paraId="1739450A" w14:textId="77777777" w:rsidR="00366092" w:rsidRPr="00C33834" w:rsidRDefault="00366092" w:rsidP="00C33834">
      <w:pPr>
        <w:pStyle w:val="rtejustify"/>
        <w:spacing w:before="0" w:after="0"/>
        <w:rPr>
          <w:color w:val="000000" w:themeColor="text1"/>
          <w:sz w:val="16"/>
          <w:szCs w:val="16"/>
        </w:rPr>
      </w:pPr>
      <w:r w:rsidRPr="00C33834">
        <w:rPr>
          <w:rStyle w:val="af0"/>
          <w:bCs/>
          <w:i w:val="0"/>
          <w:color w:val="000000" w:themeColor="text1"/>
          <w:sz w:val="16"/>
          <w:szCs w:val="16"/>
        </w:rPr>
        <w:t>Мотор М</w:t>
      </w:r>
      <w:r w:rsidRPr="00C33834">
        <w:rPr>
          <w:rStyle w:val="af0"/>
          <w:bCs/>
          <w:i w:val="0"/>
          <w:color w:val="000000" w:themeColor="text1"/>
          <w:sz w:val="16"/>
          <w:szCs w:val="16"/>
        </w:rPr>
        <w:noBreakHyphen/>
        <w:t>52</w:t>
      </w:r>
      <w:r w:rsidRPr="00C33834">
        <w:rPr>
          <w:color w:val="000000" w:themeColor="text1"/>
          <w:sz w:val="16"/>
          <w:szCs w:val="16"/>
        </w:rPr>
        <w:t xml:space="preserve"> (однорядный мотор в 400 л. с. для гражданской авиации). Запроектирован в марте 1932 г. и с января 1933 г. находится в процессе доводки. В связи с неудачной конструкцией картера и вытекающими отсюда крупными переделками выпуск его переносится на 1934 г.</w:t>
      </w:r>
    </w:p>
    <w:p w14:paraId="0B1A520C" w14:textId="77777777" w:rsidR="00366092" w:rsidRPr="00C33834" w:rsidRDefault="00366092" w:rsidP="00C33834">
      <w:pPr>
        <w:pStyle w:val="rtejustify"/>
        <w:spacing w:before="0" w:after="0"/>
        <w:rPr>
          <w:color w:val="000000" w:themeColor="text1"/>
          <w:sz w:val="16"/>
          <w:szCs w:val="16"/>
        </w:rPr>
      </w:pPr>
      <w:r w:rsidRPr="00C33834">
        <w:rPr>
          <w:rStyle w:val="af0"/>
          <w:bCs/>
          <w:i w:val="0"/>
          <w:color w:val="000000" w:themeColor="text1"/>
          <w:sz w:val="16"/>
          <w:szCs w:val="16"/>
        </w:rPr>
        <w:t>Мотор М</w:t>
      </w:r>
      <w:r w:rsidRPr="00C33834">
        <w:rPr>
          <w:rStyle w:val="af0"/>
          <w:bCs/>
          <w:i w:val="0"/>
          <w:color w:val="000000" w:themeColor="text1"/>
          <w:sz w:val="16"/>
          <w:szCs w:val="16"/>
        </w:rPr>
        <w:noBreakHyphen/>
        <w:t>32</w:t>
      </w:r>
      <w:r w:rsidRPr="00C33834">
        <w:rPr>
          <w:color w:val="000000" w:themeColor="text1"/>
          <w:sz w:val="16"/>
          <w:szCs w:val="16"/>
        </w:rPr>
        <w:t xml:space="preserve"> (мотор в 600 л. с. и высотностью в 4 тыс. м для истребителя). Окончен проектированием в марте 1932 г., сделан на Опытном заводе института и поступил на испытания в октябре 1932 г. Проходит стадию доводки и конструктивных переделок.</w:t>
      </w:r>
    </w:p>
    <w:p w14:paraId="0BCA5FCB" w14:textId="77777777" w:rsidR="00366092" w:rsidRPr="00C33834" w:rsidRDefault="00366092" w:rsidP="00C33834">
      <w:pPr>
        <w:pStyle w:val="rtejustify"/>
        <w:spacing w:before="0" w:after="0"/>
        <w:rPr>
          <w:color w:val="000000" w:themeColor="text1"/>
          <w:sz w:val="16"/>
          <w:szCs w:val="16"/>
        </w:rPr>
      </w:pPr>
      <w:r w:rsidRPr="00C33834">
        <w:rPr>
          <w:rStyle w:val="af0"/>
          <w:bCs/>
          <w:i w:val="0"/>
          <w:color w:val="000000" w:themeColor="text1"/>
          <w:sz w:val="16"/>
          <w:szCs w:val="16"/>
        </w:rPr>
        <w:t>Мотор М</w:t>
      </w:r>
      <w:r w:rsidRPr="00C33834">
        <w:rPr>
          <w:rStyle w:val="af0"/>
          <w:bCs/>
          <w:i w:val="0"/>
          <w:color w:val="000000" w:themeColor="text1"/>
          <w:sz w:val="16"/>
          <w:szCs w:val="16"/>
        </w:rPr>
        <w:noBreakHyphen/>
        <w:t>38</w:t>
      </w:r>
      <w:r w:rsidRPr="00C33834">
        <w:rPr>
          <w:color w:val="000000" w:themeColor="text1"/>
          <w:sz w:val="16"/>
          <w:szCs w:val="16"/>
        </w:rPr>
        <w:t xml:space="preserve"> (мотор в 600 л. с. воздушного охлаждения с высотностью в 4 тыс. м для истребителя). Мотор был передан институту в 1931 г. от завода № 24 в виде эскизной компоновки. В институте он был разработан в рабочих чертежах. В марте месяце 1931 г. изготовлен в первом образце, к маю 1932 г. прошел ряд испытаний. В связи с неудовлетворительной работой головки в настоящее время работа перешла в стадию изысканий конструкции головки цилиндра и работы по мотору в целом приостановлены.</w:t>
      </w:r>
    </w:p>
    <w:p w14:paraId="6DC9A285" w14:textId="77777777" w:rsidR="00366092" w:rsidRPr="00C33834" w:rsidRDefault="00366092" w:rsidP="00C33834">
      <w:pPr>
        <w:pStyle w:val="rtejustify"/>
        <w:spacing w:before="0" w:after="0"/>
        <w:rPr>
          <w:color w:val="000000" w:themeColor="text1"/>
          <w:sz w:val="16"/>
          <w:szCs w:val="16"/>
        </w:rPr>
      </w:pPr>
      <w:r w:rsidRPr="00C33834">
        <w:rPr>
          <w:rStyle w:val="af0"/>
          <w:bCs/>
          <w:i w:val="0"/>
          <w:color w:val="000000" w:themeColor="text1"/>
          <w:sz w:val="16"/>
          <w:szCs w:val="16"/>
        </w:rPr>
        <w:t>Мотор М</w:t>
      </w:r>
      <w:r w:rsidRPr="00C33834">
        <w:rPr>
          <w:rStyle w:val="af0"/>
          <w:bCs/>
          <w:i w:val="0"/>
          <w:color w:val="000000" w:themeColor="text1"/>
          <w:sz w:val="16"/>
          <w:szCs w:val="16"/>
        </w:rPr>
        <w:noBreakHyphen/>
        <w:t>44 и АН</w:t>
      </w:r>
      <w:r w:rsidRPr="00C33834">
        <w:rPr>
          <w:rStyle w:val="af0"/>
          <w:bCs/>
          <w:i w:val="0"/>
          <w:color w:val="000000" w:themeColor="text1"/>
          <w:sz w:val="16"/>
          <w:szCs w:val="16"/>
        </w:rPr>
        <w:noBreakHyphen/>
      </w:r>
      <w:r w:rsidRPr="00C33834">
        <w:rPr>
          <w:color w:val="000000" w:themeColor="text1"/>
          <w:sz w:val="16"/>
          <w:szCs w:val="16"/>
        </w:rPr>
        <w:t>1 (первый мощностью в 2 тыс. НР и второй — нефтяной мотор в 750 НР). Проектированию обоих этих моторов предшествовала длительная экспериментальная работа на одноцилиндровых установках с целью термодинамических исследований работы этих моторов. На основе результатов в конце испытаний оба этих мотора запроектированы и к 1 октября закончены постройкой.</w:t>
      </w:r>
    </w:p>
    <w:p w14:paraId="6B6CB5DC" w14:textId="77777777" w:rsidR="00366092" w:rsidRPr="00C33834" w:rsidRDefault="00366092" w:rsidP="00C33834">
      <w:pPr>
        <w:pStyle w:val="rtejustify"/>
        <w:spacing w:before="0" w:after="0"/>
        <w:rPr>
          <w:color w:val="000000" w:themeColor="text1"/>
          <w:sz w:val="16"/>
          <w:szCs w:val="16"/>
        </w:rPr>
      </w:pPr>
      <w:r w:rsidRPr="00C33834">
        <w:rPr>
          <w:rStyle w:val="af0"/>
          <w:bCs/>
          <w:i w:val="0"/>
          <w:color w:val="000000" w:themeColor="text1"/>
          <w:sz w:val="16"/>
          <w:szCs w:val="16"/>
        </w:rPr>
        <w:t>ФЭД</w:t>
      </w:r>
      <w:r w:rsidRPr="00C33834">
        <w:rPr>
          <w:rStyle w:val="af0"/>
          <w:bCs/>
          <w:i w:val="0"/>
          <w:color w:val="000000" w:themeColor="text1"/>
          <w:sz w:val="16"/>
          <w:szCs w:val="16"/>
        </w:rPr>
        <w:noBreakHyphen/>
        <w:t>8 и СП</w:t>
      </w:r>
      <w:r w:rsidRPr="00C33834">
        <w:rPr>
          <w:rStyle w:val="af0"/>
          <w:bCs/>
          <w:i w:val="0"/>
          <w:color w:val="000000" w:themeColor="text1"/>
          <w:sz w:val="16"/>
          <w:szCs w:val="16"/>
        </w:rPr>
        <w:noBreakHyphen/>
        <w:t>2</w:t>
      </w:r>
      <w:r w:rsidRPr="00C33834">
        <w:rPr>
          <w:color w:val="000000" w:themeColor="text1"/>
          <w:sz w:val="16"/>
          <w:szCs w:val="16"/>
        </w:rPr>
        <w:t xml:space="preserve"> (мощные нефтяные моторы). Сверх плана по заданию правительства институтом кооперативно с заводами № 24 и № 26 изготовлены два новых мощных мотора на тяжелом топливе, которые предстоит доводить в институте.</w:t>
      </w:r>
    </w:p>
    <w:p w14:paraId="4489A857" w14:textId="77777777" w:rsidR="00366092" w:rsidRPr="00C33834" w:rsidRDefault="00366092" w:rsidP="00C33834">
      <w:pPr>
        <w:pStyle w:val="rtejustify"/>
        <w:spacing w:before="0" w:after="0"/>
        <w:rPr>
          <w:color w:val="000000" w:themeColor="text1"/>
          <w:sz w:val="16"/>
          <w:szCs w:val="16"/>
        </w:rPr>
      </w:pPr>
      <w:r w:rsidRPr="00C33834">
        <w:rPr>
          <w:rStyle w:val="af0"/>
          <w:bCs/>
          <w:i w:val="0"/>
          <w:color w:val="000000" w:themeColor="text1"/>
          <w:sz w:val="16"/>
          <w:szCs w:val="16"/>
        </w:rPr>
        <w:t>Мотор М</w:t>
      </w:r>
      <w:r w:rsidRPr="00C33834">
        <w:rPr>
          <w:rStyle w:val="af0"/>
          <w:bCs/>
          <w:i w:val="0"/>
          <w:color w:val="000000" w:themeColor="text1"/>
          <w:sz w:val="16"/>
          <w:szCs w:val="16"/>
        </w:rPr>
        <w:noBreakHyphen/>
        <w:t xml:space="preserve">23 </w:t>
      </w:r>
      <w:r w:rsidRPr="00C33834">
        <w:rPr>
          <w:color w:val="000000" w:themeColor="text1"/>
          <w:sz w:val="16"/>
          <w:szCs w:val="16"/>
        </w:rPr>
        <w:t>(мотор в 75 л. с. для авиеток). Мотор спроектирован в НАМИ¹*, ЦИАМом доведен, модифицирован и внедрен на серийное производство в ФЗУ завода № 24.</w:t>
      </w:r>
    </w:p>
    <w:p w14:paraId="700BEF57"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t>Кроме перечисленных основных работ института проделан ряд других работ, как то: 1) освоено электронное литье картеров мотора М</w:t>
      </w:r>
      <w:r w:rsidRPr="00C33834">
        <w:rPr>
          <w:color w:val="000000" w:themeColor="text1"/>
          <w:sz w:val="16"/>
          <w:szCs w:val="16"/>
        </w:rPr>
        <w:noBreakHyphen/>
        <w:t>34, что дает облегчение мотора на 40 кг; 2) изготовлены подшипники из свинцовистой бронзы для мотора М</w:t>
      </w:r>
      <w:r w:rsidRPr="00C33834">
        <w:rPr>
          <w:color w:val="000000" w:themeColor="text1"/>
          <w:sz w:val="16"/>
          <w:szCs w:val="16"/>
        </w:rPr>
        <w:noBreakHyphen/>
        <w:t>11; 3) в конструкции и производстве освоены топливные насосы для быстроходных дизелей, являвшиеся предметом монополии заграничных фирм до последнего времени, и ряд других менее существенных работ.</w:t>
      </w:r>
    </w:p>
    <w:p w14:paraId="14E9BF5D"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t>Таким образом с 1931 г. по ноябрь 1933 г. институтом: 1) спроектировано, построено и сдано в серийное производство 5 новых объектов М</w:t>
      </w:r>
      <w:r w:rsidRPr="00C33834">
        <w:rPr>
          <w:color w:val="000000" w:themeColor="text1"/>
          <w:sz w:val="16"/>
          <w:szCs w:val="16"/>
        </w:rPr>
        <w:noBreakHyphen/>
        <w:t>34, ГМ</w:t>
      </w:r>
      <w:r w:rsidRPr="00C33834">
        <w:rPr>
          <w:color w:val="000000" w:themeColor="text1"/>
          <w:sz w:val="16"/>
          <w:szCs w:val="16"/>
        </w:rPr>
        <w:noBreakHyphen/>
        <w:t>34, М</w:t>
      </w:r>
      <w:r w:rsidRPr="00C33834">
        <w:rPr>
          <w:color w:val="000000" w:themeColor="text1"/>
          <w:sz w:val="16"/>
          <w:szCs w:val="16"/>
        </w:rPr>
        <w:noBreakHyphen/>
        <w:t>34Р, карбюратор 92 КДЗ, М</w:t>
      </w:r>
      <w:r w:rsidRPr="00C33834">
        <w:rPr>
          <w:color w:val="000000" w:themeColor="text1"/>
          <w:sz w:val="16"/>
          <w:szCs w:val="16"/>
        </w:rPr>
        <w:noBreakHyphen/>
        <w:t>23; 2) находятся в стадии подготовки к передаче в серийное производство 2 объекта М</w:t>
      </w:r>
      <w:r w:rsidRPr="00C33834">
        <w:rPr>
          <w:color w:val="000000" w:themeColor="text1"/>
          <w:sz w:val="16"/>
          <w:szCs w:val="16"/>
        </w:rPr>
        <w:noBreakHyphen/>
        <w:t>34Н и подшипник свинц[овистой] бронзы для М</w:t>
      </w:r>
      <w:r w:rsidRPr="00C33834">
        <w:rPr>
          <w:color w:val="000000" w:themeColor="text1"/>
          <w:sz w:val="16"/>
          <w:szCs w:val="16"/>
        </w:rPr>
        <w:noBreakHyphen/>
        <w:t>11; 3) находится в периоде заводских испытаний (доводка) М</w:t>
      </w:r>
      <w:r w:rsidRPr="00C33834">
        <w:rPr>
          <w:color w:val="000000" w:themeColor="text1"/>
          <w:sz w:val="16"/>
          <w:szCs w:val="16"/>
        </w:rPr>
        <w:noBreakHyphen/>
        <w:t>32, М</w:t>
      </w:r>
      <w:r w:rsidRPr="00C33834">
        <w:rPr>
          <w:color w:val="000000" w:themeColor="text1"/>
          <w:sz w:val="16"/>
          <w:szCs w:val="16"/>
        </w:rPr>
        <w:noBreakHyphen/>
        <w:t>38 и М</w:t>
      </w:r>
      <w:r w:rsidRPr="00C33834">
        <w:rPr>
          <w:color w:val="000000" w:themeColor="text1"/>
          <w:sz w:val="16"/>
          <w:szCs w:val="16"/>
        </w:rPr>
        <w:noBreakHyphen/>
        <w:t>52; 4) закончены производством первые экземпляры и поступили на заводские испытания 4 объекта: М</w:t>
      </w:r>
      <w:r w:rsidRPr="00C33834">
        <w:rPr>
          <w:color w:val="000000" w:themeColor="text1"/>
          <w:sz w:val="16"/>
          <w:szCs w:val="16"/>
        </w:rPr>
        <w:noBreakHyphen/>
        <w:t>44, АН</w:t>
      </w:r>
      <w:r w:rsidRPr="00C33834">
        <w:rPr>
          <w:color w:val="000000" w:themeColor="text1"/>
          <w:sz w:val="16"/>
          <w:szCs w:val="16"/>
        </w:rPr>
        <w:noBreakHyphen/>
        <w:t>1, ФЭД</w:t>
      </w:r>
      <w:r w:rsidRPr="00C33834">
        <w:rPr>
          <w:color w:val="000000" w:themeColor="text1"/>
          <w:sz w:val="16"/>
          <w:szCs w:val="16"/>
        </w:rPr>
        <w:noBreakHyphen/>
        <w:t>8, СП</w:t>
      </w:r>
      <w:r w:rsidRPr="00C33834">
        <w:rPr>
          <w:color w:val="000000" w:themeColor="text1"/>
          <w:sz w:val="16"/>
          <w:szCs w:val="16"/>
        </w:rPr>
        <w:noBreakHyphen/>
        <w:t>2.</w:t>
      </w:r>
    </w:p>
    <w:p w14:paraId="665F15D8"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t>Из всех этих моторов освоены на самолете и катере 5 объектов М</w:t>
      </w:r>
      <w:r w:rsidRPr="00C33834">
        <w:rPr>
          <w:color w:val="000000" w:themeColor="text1"/>
          <w:sz w:val="16"/>
          <w:szCs w:val="16"/>
        </w:rPr>
        <w:noBreakHyphen/>
        <w:t>34, М</w:t>
      </w:r>
      <w:r w:rsidRPr="00C33834">
        <w:rPr>
          <w:color w:val="000000" w:themeColor="text1"/>
          <w:sz w:val="16"/>
          <w:szCs w:val="16"/>
        </w:rPr>
        <w:noBreakHyphen/>
        <w:t>34Р, М</w:t>
      </w:r>
      <w:r w:rsidRPr="00C33834">
        <w:rPr>
          <w:color w:val="000000" w:themeColor="text1"/>
          <w:sz w:val="16"/>
          <w:szCs w:val="16"/>
        </w:rPr>
        <w:noBreakHyphen/>
        <w:t>23, карбюратор 92 КДЗ и отд[ельный] реверс. Находятся в стадии освоения ГМ</w:t>
      </w:r>
      <w:r w:rsidRPr="00C33834">
        <w:rPr>
          <w:color w:val="000000" w:themeColor="text1"/>
          <w:sz w:val="16"/>
          <w:szCs w:val="16"/>
        </w:rPr>
        <w:noBreakHyphen/>
        <w:t>34. Подготовляется к полетному испытанию М</w:t>
      </w:r>
      <w:r w:rsidRPr="00C33834">
        <w:rPr>
          <w:color w:val="000000" w:themeColor="text1"/>
          <w:sz w:val="16"/>
          <w:szCs w:val="16"/>
        </w:rPr>
        <w:noBreakHyphen/>
        <w:t>34Н</w:t>
      </w:r>
      <w:r w:rsidRPr="00C33834">
        <w:rPr>
          <w:color w:val="000000" w:themeColor="text1"/>
          <w:sz w:val="16"/>
          <w:szCs w:val="16"/>
        </w:rPr>
        <w:noBreakHyphen/>
        <w:t>1.</w:t>
      </w:r>
    </w:p>
    <w:p w14:paraId="68D5EF1C"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t>Экспериментальные работы</w:t>
      </w:r>
    </w:p>
    <w:p w14:paraId="7242F7BC"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t>Экспериментально-теоретические работы, проводимые в институте, были связаны с работами по моторам плана и имели в основном подчиненное текущим работам значение. Экспериментальных работ по заданиям ГУ АП, серийных заводов, ЦАГИ выполнено за 1932 г. — 14, по ноябрь 1933 г. — 18. В число этих работ входят специальные испытания М</w:t>
      </w:r>
      <w:r w:rsidRPr="00C33834">
        <w:rPr>
          <w:color w:val="000000" w:themeColor="text1"/>
          <w:sz w:val="16"/>
          <w:szCs w:val="16"/>
        </w:rPr>
        <w:noBreakHyphen/>
        <w:t>17 с целью устранения дефектов. Испытания М</w:t>
      </w:r>
      <w:r w:rsidRPr="00C33834">
        <w:rPr>
          <w:color w:val="000000" w:themeColor="text1"/>
          <w:sz w:val="16"/>
          <w:szCs w:val="16"/>
        </w:rPr>
        <w:noBreakHyphen/>
        <w:t>34 с целью специальной регулировки на рекордный полет, испытания по изысканию масляных радиаторов для ТБ</w:t>
      </w:r>
      <w:r w:rsidRPr="00C33834">
        <w:rPr>
          <w:color w:val="000000" w:themeColor="text1"/>
          <w:sz w:val="16"/>
          <w:szCs w:val="16"/>
        </w:rPr>
        <w:noBreakHyphen/>
        <w:t>3, испытание топлив и масел, испытание продукции ГУ АП и т. д.</w:t>
      </w:r>
    </w:p>
    <w:p w14:paraId="0E26DD16"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t>Связь с серийными заводами</w:t>
      </w:r>
    </w:p>
    <w:p w14:paraId="03FC5D27"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t>Поскольку основным содержанием работы института за период 1931</w:t>
      </w:r>
      <w:r w:rsidRPr="00C33834">
        <w:rPr>
          <w:color w:val="000000" w:themeColor="text1"/>
          <w:sz w:val="16"/>
          <w:szCs w:val="16"/>
        </w:rPr>
        <w:noBreakHyphen/>
        <w:t>1933 гг. являлось выполнение плана по опытному моторостроению, то естественно, что в основном связь с серийным производством вылилась в совместную работу по внедрению в серийное производство и дальнейшую совместную работу над совершенствованием мотора. В своих взаимоотношениях с серийными заводами институт проводил следующие принципы:</w:t>
      </w:r>
    </w:p>
    <w:p w14:paraId="038E5193"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t>1) При внедрении в серийное производство опытных объектов институт путем непосредственной органической связи с заводом, непосредственно участвуя в его работе, помогает заводу освоить новый объект, представляя заводу как необходимые для этой цели кадры, так и экспериментальные и производственные ресурсы до момента готовности серийного эталона.</w:t>
      </w:r>
    </w:p>
    <w:p w14:paraId="05DC34EB"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t>2) В процессе серийного производства работа по усовершенствованию мотора, его модификациям, не требующим коренных переделок, облегчение веса мотора, повышение его надежности, подготовка текущих эталонов является правом и обязанностью опытно-конструкторских отделов заводов. В этой части институт на основе изучения мотора лишь ставит перед заводом задачи по совершенствованию моторов, подготовляя их надлежащим образом у себя, а также помогая заводу своей консультацией, участвуя в обсуждении встающих в процессе работы вопросов и выполняя своими ресурсами задания завода.</w:t>
      </w:r>
    </w:p>
    <w:p w14:paraId="6BE6DDE8"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t>3) На обязанности института лежит работа по тем модификациям мотора, которые требуют коренных изменений и проработки принципиально новых конструкций или технологических процессов в качестве новых объектов производства для завода.</w:t>
      </w:r>
    </w:p>
    <w:p w14:paraId="12DBF283" w14:textId="77777777" w:rsidR="00366092" w:rsidRPr="00C33834" w:rsidRDefault="00366092" w:rsidP="00C33834">
      <w:pPr>
        <w:pStyle w:val="rtejustify"/>
        <w:spacing w:before="0" w:after="0"/>
        <w:rPr>
          <w:color w:val="000000" w:themeColor="text1"/>
          <w:sz w:val="16"/>
          <w:szCs w:val="16"/>
        </w:rPr>
      </w:pPr>
      <w:r w:rsidRPr="00C33834">
        <w:rPr>
          <w:rStyle w:val="af0"/>
          <w:bCs/>
          <w:i w:val="0"/>
          <w:color w:val="000000" w:themeColor="text1"/>
          <w:sz w:val="16"/>
          <w:szCs w:val="16"/>
        </w:rPr>
        <w:t>Завод № 24</w:t>
      </w:r>
      <w:r w:rsidRPr="00C33834">
        <w:rPr>
          <w:color w:val="000000" w:themeColor="text1"/>
          <w:sz w:val="16"/>
          <w:szCs w:val="16"/>
        </w:rPr>
        <w:t>. Работа по мотору М</w:t>
      </w:r>
      <w:r w:rsidRPr="00C33834">
        <w:rPr>
          <w:color w:val="000000" w:themeColor="text1"/>
          <w:sz w:val="16"/>
          <w:szCs w:val="16"/>
        </w:rPr>
        <w:noBreakHyphen/>
        <w:t>34 сложилась из следующих этапов:</w:t>
      </w:r>
    </w:p>
    <w:p w14:paraId="1AF34E5B"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t>1) Проработка чертежей опытного мотора применительно к условиям производства завода № 24. Работа была проведена в основном в институте с участием работников завода.</w:t>
      </w:r>
    </w:p>
    <w:p w14:paraId="0311A678"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t>2) Работа по выпуску первых серийных образцов на заводе. От института на завод были командированы конструкторы института, обеспечившие необходимые конструктивные переделки и инструктаж.</w:t>
      </w:r>
    </w:p>
    <w:p w14:paraId="572BFFEA"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lastRenderedPageBreak/>
        <w:t>3) Период доводки мотора и устранения дефектов на заводе. Командирована специальная бригада во главе с главным инженером института и конструктором мотора, которые на заводе были назначены: первый — заместителем технического директора по доводке мотора с подчинением конструк[торов] опытного отдела и второй — главным конструктором завода, что дало возможность в процессе доводки мотора наиболее гибко координировать как конструкторские, так и экспериментальные работы завода и института. Такого рода совместная работа и организация дала возможность справиться с серьезнейшими затруднениями путем устранения дефектов и, с другой стороны, позволила институту настолько глубоко ознакомиться с производственными особенностями завода и установить необходимую связь для дальнейшей работы, что при передаче в серийное производство моторов М</w:t>
      </w:r>
      <w:r w:rsidRPr="00C33834">
        <w:rPr>
          <w:color w:val="000000" w:themeColor="text1"/>
          <w:sz w:val="16"/>
          <w:szCs w:val="16"/>
        </w:rPr>
        <w:noBreakHyphen/>
        <w:t>34Р и ГМ</w:t>
      </w:r>
      <w:r w:rsidRPr="00C33834">
        <w:rPr>
          <w:color w:val="000000" w:themeColor="text1"/>
          <w:sz w:val="16"/>
          <w:szCs w:val="16"/>
        </w:rPr>
        <w:noBreakHyphen/>
        <w:t>34 никаких сколь-либо серьезных препятствий со стороны завода в отношении чертежей, технических условий не было, и передача потребовала минимальных сроков.</w:t>
      </w:r>
    </w:p>
    <w:p w14:paraId="4E05A84C"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t>Работа по совершенствованию мотора в 1933 г. проходила в тесном контакте завода и института при использовании заводом конструкторских и экспериментальных возможностей института, и наоборот, институт при своей дальнейшей проектной работе пользовался широко консультацией завода и свои экспериментальные работы связывал с работами опытного отдела завода.</w:t>
      </w:r>
    </w:p>
    <w:p w14:paraId="4A1658DB" w14:textId="77777777" w:rsidR="00366092" w:rsidRPr="00C33834" w:rsidRDefault="00366092" w:rsidP="00C33834">
      <w:pPr>
        <w:pStyle w:val="rtejustify"/>
        <w:spacing w:before="0" w:after="0"/>
        <w:rPr>
          <w:color w:val="000000" w:themeColor="text1"/>
          <w:sz w:val="16"/>
          <w:szCs w:val="16"/>
        </w:rPr>
      </w:pPr>
      <w:r w:rsidRPr="00C33834">
        <w:rPr>
          <w:rStyle w:val="af0"/>
          <w:bCs/>
          <w:i w:val="0"/>
          <w:color w:val="000000" w:themeColor="text1"/>
          <w:sz w:val="16"/>
          <w:szCs w:val="16"/>
        </w:rPr>
        <w:t>Завод № 26</w:t>
      </w:r>
      <w:r w:rsidRPr="00C33834">
        <w:rPr>
          <w:color w:val="000000" w:themeColor="text1"/>
          <w:sz w:val="16"/>
          <w:szCs w:val="16"/>
        </w:rPr>
        <w:t>. Связь института с заводами, изготовляющими объекты по иностранным лицензиям, была меньшей. По заводу № 26 в течение 1932 г. была проведена работа по изучению причин дефектов мотора М</w:t>
      </w:r>
      <w:r w:rsidRPr="00C33834">
        <w:rPr>
          <w:color w:val="000000" w:themeColor="text1"/>
          <w:sz w:val="16"/>
          <w:szCs w:val="16"/>
        </w:rPr>
        <w:noBreakHyphen/>
        <w:t>17, сделаны переделки конструкции. Испытание и проверка как в институте, так и на заводе показали, что они дали значительное увеличение надежности мотора. Но отсутствие тесной связи с заводом, что объясняется главным образом отсутствием на заводе сколь-либо серьезной конструкторской организации, могущей непосредственно на заводе влиять на внедрение изменений в серию, привела к тому, что до сего времени вся сумма усовершенствования в жизнь не проведена. Видя в слабости опытной конструкторской организации завода главную причину трудности совместной работы, институт помогает заводу за счет своих кадров укреплять эту организацию.</w:t>
      </w:r>
    </w:p>
    <w:p w14:paraId="565B9CF4" w14:textId="77777777" w:rsidR="00366092" w:rsidRPr="00C33834" w:rsidRDefault="00366092" w:rsidP="00C33834">
      <w:pPr>
        <w:pStyle w:val="rtejustify"/>
        <w:spacing w:before="0" w:after="0"/>
        <w:rPr>
          <w:color w:val="000000" w:themeColor="text1"/>
          <w:sz w:val="16"/>
          <w:szCs w:val="16"/>
        </w:rPr>
      </w:pPr>
      <w:r w:rsidRPr="00C33834">
        <w:rPr>
          <w:rStyle w:val="af0"/>
          <w:bCs/>
          <w:i w:val="0"/>
          <w:color w:val="000000" w:themeColor="text1"/>
          <w:sz w:val="16"/>
          <w:szCs w:val="16"/>
        </w:rPr>
        <w:t>Завод № 29</w:t>
      </w:r>
      <w:r w:rsidRPr="00C33834">
        <w:rPr>
          <w:color w:val="000000" w:themeColor="text1"/>
          <w:sz w:val="16"/>
          <w:szCs w:val="16"/>
        </w:rPr>
        <w:t>. Связь с этим заводом нужно считать эпизодической. За последние месяцы институт обслуживает завод и его опытные работы своей экспериментальной и производственной базой в части нагнетателей и редуктора и подготавливает к мотору М</w:t>
      </w:r>
      <w:r w:rsidRPr="00C33834">
        <w:rPr>
          <w:color w:val="000000" w:themeColor="text1"/>
          <w:sz w:val="16"/>
          <w:szCs w:val="16"/>
        </w:rPr>
        <w:noBreakHyphen/>
        <w:t>11 на свинцовистую бронзу²*.</w:t>
      </w:r>
    </w:p>
    <w:p w14:paraId="13A11CDA"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t>Основной своей задачей на будущее институт считает выполнение плана правительства по опытному строительству и работу над дальнейшим совершенствованием сданных в производство и эксплуатацию моторов. Из этих задач первоочередными институт считает работу: 1) над моторами семьи М</w:t>
      </w:r>
      <w:r w:rsidRPr="00C33834">
        <w:rPr>
          <w:color w:val="000000" w:themeColor="text1"/>
          <w:sz w:val="16"/>
          <w:szCs w:val="16"/>
        </w:rPr>
        <w:noBreakHyphen/>
        <w:t>34, обеспечивающими тяжелое самолетостроение, а также очень обширный класс и других воздушных и морских судов; 2) работа над истребительным мотором; 3) работа над мотором тяжелого топлива.</w:t>
      </w:r>
    </w:p>
    <w:p w14:paraId="26DC935D"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t>Учитывая недостаточно удовлетворительную работу в прошлом по повышению надежности мотора и по общему его облагораживанию институт ставит своей задачей: 1) добиться комплектного выпуска моторов, т. е. предъявления на гос. испытание мотора, снабженного всеми необходимыми надежно действующими, удобными в эксплуатации вспомогательными агрегатами и устройствами вплоть до подогревателей воздуха, пылеочистителей, глушителей и т. д.; 2) добиться сдачи на серийное производство моторов без каких бы то ни было дефектов на государственных испытаниях; 3) довести надежность выпускаемых моторов до уровня заграничных моторов.</w:t>
      </w:r>
    </w:p>
    <w:p w14:paraId="770E2B27"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t>Для обеспечения этой задачи институт: 1. Создал спецбригаду агрегатов, которая должна заниматься изучением и разработкой агрегатов мотора (самопуски глушит[елей] и т. д.). 2. Усилил карбюраторную группу, которая занимается изучением и созданием карбюраторов и бензиновых помп. 3. Принимает меры по усилению отдела заводских лабораторий, ослабленного выделением работников и оборудования в ВИАМ³*, и ставит перед ним задачи повышения качества изделий за счет улучшения материалов, улучшения методов технологической обработки и внешней отделки. 4. Принимает меры к усилению лаборатории специальных приборов с тем, чтобы сосредоточить в ней работы по электрическому оборудованию мотора, которые до настоящего времени были безнадзорными, и установить самую тесную связь с АТЭ электрозавода. Привлечь необходимых для этой цели специалистов.</w:t>
      </w:r>
    </w:p>
    <w:p w14:paraId="759A653C"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t>Опыт работы по установке мотора М</w:t>
      </w:r>
      <w:r w:rsidRPr="00C33834">
        <w:rPr>
          <w:color w:val="000000" w:themeColor="text1"/>
          <w:sz w:val="16"/>
          <w:szCs w:val="16"/>
        </w:rPr>
        <w:noBreakHyphen/>
        <w:t>34 на самолет показал, что ни ЦИАМ, ни ЦАГИ не были подготовлены в достаточной степени к разрешению сложных задач, встающих при оборудовании мощной винтомоторной установки на самолете. В настоящее время институт организовал специальную группу по винтомоторным установкам при исп[ытательном] отделе, обеспечив ее квалифицированными работниками. Но учитывая, что эта область работы, являясь чрезвычайно тесно переплетенной с работой по самолету и считая, что большая часть затруднений в прошлой работе проистекала от неудовлетворительной организации совместной работы ЦАГИ, ЦИАМ, заводов 22, 24 и от отсутствия должного руководства, планирования и контроля выполнения, институт считает совершенно необходимым в будущем обеспечить со стороны НТО ГУАП руководство и обеспечение точного выполнения инструкции о распределении обязанностей между институтами, изложенной в свое время НТО ГУАП при его письме за № ОП/96/301 от 1 июня всем организациям, но к сожалению не выполняющееся надлежащим образом.</w:t>
      </w:r>
    </w:p>
    <w:p w14:paraId="3F2AA88E"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t>В прошлой работе институт уделял недостаточное внимание вопросам эксплуатации моторов. В связи с тем, что в ближайший период времени моторы института входят в эксплуатацию, институт ставит своей задачей организацию изучения эксплуатации и с этой целью организует в соответствующих конструкторских группах эксплуатационные бригады, которые должны обеспечивать изучение поведения моторов в разнообразных условиях эксплуатации, изучать их дефекты, собирать и систематизировать требования эксплуатационников и на основе этого разрабатывать мероприятия по улучшению эксплуатационных качеств мотора, а также инструктировать на месте работников эксплуатации по вопросам правильного обращения с моторами.</w:t>
      </w:r>
    </w:p>
    <w:p w14:paraId="62912FDE"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t>В части совместной работы института с заводами институт намечает на основе изложенных выше положений, подтвержденных успешной практикой работ с заводом № 24 и № 33, вести дальнейшую работу совместно с опытно-конструкторским отделом завода по совершенствованию мотора, подготовлять, планомерно внедрять в производство мотор М</w:t>
      </w:r>
      <w:r w:rsidRPr="00C33834">
        <w:rPr>
          <w:color w:val="000000" w:themeColor="text1"/>
          <w:sz w:val="16"/>
          <w:szCs w:val="16"/>
        </w:rPr>
        <w:noBreakHyphen/>
        <w:t>34Ф в его модификациях, разрабатываемых институтом на основе правительственного плана опытного строительства.</w:t>
      </w:r>
    </w:p>
    <w:p w14:paraId="76E64125"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t>В отношении остальных заводов институт ставит своей задачей всемерное содействие в организации и укреплении опытных конструкторских отделов и на базе их совместную работу над совершенствованием объектов производства, используя для этой цели институтскую экспериментальную базу. В этих целях институт выделил уже для завода № 26 одного старшего конструктора для руководства конструкторским отделом и ведет работу на своих установках по испытанию агрегатов для завода № 29.</w:t>
      </w:r>
    </w:p>
    <w:p w14:paraId="7A5E1F0D" w14:textId="77777777" w:rsidR="00366092" w:rsidRPr="00C33834" w:rsidRDefault="00366092" w:rsidP="00C33834">
      <w:pPr>
        <w:pStyle w:val="ae"/>
        <w:spacing w:before="0" w:after="0"/>
        <w:jc w:val="both"/>
        <w:rPr>
          <w:color w:val="000000" w:themeColor="text1"/>
          <w:sz w:val="16"/>
          <w:szCs w:val="16"/>
        </w:rPr>
      </w:pPr>
      <w:r w:rsidRPr="00C33834">
        <w:rPr>
          <w:rStyle w:val="af0"/>
          <w:i w:val="0"/>
          <w:color w:val="000000" w:themeColor="text1"/>
          <w:sz w:val="16"/>
          <w:szCs w:val="16"/>
        </w:rPr>
        <w:t>Начальник института Е. Петровский</w:t>
      </w:r>
    </w:p>
    <w:p w14:paraId="07DA243F" w14:textId="77777777" w:rsidR="00366092" w:rsidRPr="00C33834" w:rsidRDefault="00366092"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Примечания</w:t>
      </w:r>
      <w:r w:rsidRPr="00C33834">
        <w:rPr>
          <w:color w:val="000000" w:themeColor="text1"/>
          <w:sz w:val="16"/>
          <w:szCs w:val="16"/>
        </w:rPr>
        <w:t>:</w:t>
      </w:r>
    </w:p>
    <w:p w14:paraId="56AD355D"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t>¹* </w:t>
      </w:r>
      <w:r w:rsidRPr="00C33834">
        <w:rPr>
          <w:rStyle w:val="af0"/>
          <w:bCs/>
          <w:i w:val="0"/>
          <w:color w:val="000000" w:themeColor="text1"/>
          <w:sz w:val="16"/>
          <w:szCs w:val="16"/>
        </w:rPr>
        <w:t>Научный автомоторный институт (НАМИ)</w:t>
      </w:r>
      <w:r w:rsidRPr="00C33834">
        <w:rPr>
          <w:color w:val="000000" w:themeColor="text1"/>
          <w:sz w:val="16"/>
          <w:szCs w:val="16"/>
        </w:rPr>
        <w:t xml:space="preserve"> был организован в Москве в 1918 г., первоначально как Научная автомобильная лаборатория при ВСНХ. Решением коллегии ВСНХ от 14 марта 1921 г. лаборатория преобразована в Научный автомоторный институт. НАМИ разрабатывал вопросы конструирования автомобилей и осуществлял их испытания. В нем разрабатывались вопросы теории, расчета и конструкции автомобилей и их агрегатов, осуществлялись расчетно-исследовательские работы по автомобильным двигателям, испытания автомобильной техники, создание типов двигателей для автомобилей повышенной проходимости, исследования новых конструкционных материалов, создание испытательного оборудования и приборов для исследовательских работ в автомобилестроении. В 1930 г. часть института, связанная с дизелестроением, выделилась в Научно-исследовательский дизельный институт, а часть, связанная с авиамоторостроением — в Центральный институт авиационного моторостроения (ЦИАМ). Постановлением ВСНХ СССР от 7 февраля 1931 г. НАМИ преобразован в Научный автотракторный институт (HATH). После ряда реорганизаций и смены подведомственности в феврале 1946 г. HATH преобразован в Государственный научно-исследовательский автомобильный и автомоторный институт (НАМИ). (Филиал РГАНТД. Ф. Р</w:t>
      </w:r>
      <w:r w:rsidRPr="00C33834">
        <w:rPr>
          <w:color w:val="000000" w:themeColor="text1"/>
          <w:sz w:val="16"/>
          <w:szCs w:val="16"/>
        </w:rPr>
        <w:noBreakHyphen/>
        <w:t>351).</w:t>
      </w:r>
    </w:p>
    <w:p w14:paraId="4DE51EA1"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t>²* Так в тексте.</w:t>
      </w:r>
    </w:p>
    <w:p w14:paraId="69D4EB44" w14:textId="77777777" w:rsidR="00366092" w:rsidRPr="00C33834" w:rsidRDefault="00366092" w:rsidP="00C33834">
      <w:pPr>
        <w:pStyle w:val="rtejustify"/>
        <w:spacing w:before="0" w:after="0"/>
        <w:rPr>
          <w:color w:val="000000" w:themeColor="text1"/>
          <w:sz w:val="16"/>
          <w:szCs w:val="16"/>
        </w:rPr>
      </w:pPr>
      <w:r w:rsidRPr="00C33834">
        <w:rPr>
          <w:color w:val="000000" w:themeColor="text1"/>
          <w:sz w:val="16"/>
          <w:szCs w:val="16"/>
        </w:rPr>
        <w:t>³* </w:t>
      </w:r>
      <w:r w:rsidRPr="00C33834">
        <w:rPr>
          <w:rStyle w:val="af0"/>
          <w:bCs/>
          <w:i w:val="0"/>
          <w:color w:val="000000" w:themeColor="text1"/>
          <w:sz w:val="16"/>
          <w:szCs w:val="16"/>
        </w:rPr>
        <w:t>Всесоюзный научно-исследовательский институт авиационных материалов (ВИАМ)</w:t>
      </w:r>
      <w:r w:rsidRPr="00C33834">
        <w:rPr>
          <w:color w:val="000000" w:themeColor="text1"/>
          <w:sz w:val="16"/>
          <w:szCs w:val="16"/>
        </w:rPr>
        <w:t xml:space="preserve"> был создан приказом Наркомата тяжелой промышленности СССР от 28 июня 1932 г. на базе Отдела авиационных материалов Центрального аэрогидродинамического института им. Жуковского. ВИАМ находился в ведении Наркомата тяжелой промышленности до 1936 г., с 1936 по 1939 гг. — в ведении Наркомата оборонной промышленности СССР. Институт занимался разработкой, изысканиями и изучением авиационных материалов и внедрением их в производство, разработкой технологических процессов производства. (Филиал РГАНТД. Ф. Р</w:t>
      </w:r>
      <w:r w:rsidRPr="00C33834">
        <w:rPr>
          <w:color w:val="000000" w:themeColor="text1"/>
          <w:sz w:val="16"/>
          <w:szCs w:val="16"/>
        </w:rPr>
        <w:noBreakHyphen/>
        <w:t>124.)</w:t>
      </w:r>
    </w:p>
    <w:p w14:paraId="2852754F" w14:textId="77777777" w:rsidR="00366092" w:rsidRPr="00C33834" w:rsidRDefault="00366092" w:rsidP="00C33834">
      <w:pPr>
        <w:pStyle w:val="ae"/>
        <w:spacing w:before="0" w:after="0"/>
        <w:jc w:val="both"/>
        <w:rPr>
          <w:color w:val="000000" w:themeColor="text1"/>
          <w:sz w:val="16"/>
          <w:szCs w:val="16"/>
        </w:rPr>
      </w:pPr>
      <w:r w:rsidRPr="00C33834">
        <w:rPr>
          <w:color w:val="000000" w:themeColor="text1"/>
          <w:sz w:val="16"/>
          <w:szCs w:val="16"/>
        </w:rPr>
        <w:t>РГАЭ. Ф. 8328. Оп. 1. Д. 670. Л. 68-61. Заверенная копия (15286).</w:t>
      </w:r>
    </w:p>
    <w:p w14:paraId="7E6B16DC" w14:textId="77777777" w:rsidR="00366092" w:rsidRPr="00C33834" w:rsidRDefault="00366092" w:rsidP="00C33834">
      <w:pPr>
        <w:spacing w:after="0" w:line="240" w:lineRule="auto"/>
        <w:jc w:val="both"/>
        <w:rPr>
          <w:rFonts w:ascii="Times New Roman" w:hAnsi="Times New Roman"/>
          <w:color w:val="000000" w:themeColor="text1"/>
          <w:sz w:val="16"/>
          <w:szCs w:val="16"/>
        </w:rPr>
      </w:pPr>
    </w:p>
    <w:p w14:paraId="6D58FAD8" w14:textId="77777777" w:rsidR="00570C39" w:rsidRPr="00C33834" w:rsidRDefault="00570C3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ноября 1933 Геофизическая обсерватория сообщила, что благоприятные условия для полета в стратосферу можно ожидать в период 20-24 декабря и около 20-21 января, а также конец января. Полет в декабре не состоялся вследствие неполного оборудования приборами и неготовности всех деталей к окончательному монтажу стратостата к полету. За этот период т. Федосеенко и Васенко освоились с органами управления и закончили основные работы по подготовке к монтажу. Тов. Усыскин в меньшей степени готовился к полету и считал свой полет излишним, т. к. выяснилось, что камера Вильсона для наблюдения за космическими лучами в зимних условиях не будет пригодна и заменялась приборами Гесслера. Все инструкции по обращению с приборами были переданы составу экипажа. Практическое их освоение проводилось распоряжением и под наблюдением т. Федосеенко, контроль подготовки осуществлялся спорадически по инициативе отдельных специалистов (11611).</w:t>
      </w:r>
    </w:p>
    <w:p w14:paraId="099C134E" w14:textId="77777777" w:rsidR="00570C39" w:rsidRPr="00C33834" w:rsidRDefault="00570C39" w:rsidP="00C33834">
      <w:pPr>
        <w:spacing w:after="0" w:line="240" w:lineRule="auto"/>
        <w:jc w:val="both"/>
        <w:rPr>
          <w:rFonts w:ascii="Times New Roman" w:hAnsi="Times New Roman"/>
          <w:iCs/>
          <w:color w:val="000000" w:themeColor="text1"/>
          <w:sz w:val="16"/>
          <w:szCs w:val="16"/>
        </w:rPr>
      </w:pPr>
    </w:p>
    <w:p w14:paraId="439D3AED"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1EA7AA8"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B70295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17 ноября 1933 года первым был спущен на воду лидер «Ленинград», который долгое время достраивался на плаву. Со­шедший на воду корабль представлял собой лишь корпус, в котором только в 1935 го­ду погрузили и смонтировали главную энергетическую установку, отдельные системы и вспомогательные механизмы. Вооружение, системы управления артил­лерийской и торпедной стрельбой для нового лидера еще только разрабатывались или проходили испытания. Осенью 1936 года после завершения монтажа вооружения, оборудования и си­стем у достроечной стенки завода и прове­дения швартовных (сентябрь 1934—август 1935 года) и заводских ходовых (сентябрь 1935—октябрь 1 936 года) испытаний лидер «Ленинград» в октябре 1936 года предъ­явили Постоянной государственной комис­сии по </w:t>
      </w:r>
      <w:r w:rsidRPr="00C33834">
        <w:rPr>
          <w:rFonts w:ascii="Times New Roman" w:hAnsi="Times New Roman"/>
          <w:color w:val="000000" w:themeColor="text1"/>
          <w:sz w:val="16"/>
          <w:szCs w:val="16"/>
        </w:rPr>
        <w:lastRenderedPageBreak/>
        <w:t>приему построенных и капитально от­ремонтированных кораблей под председа­тельством флагмана 1 ранга А.К.Векмана. На заводских ходовых испытаниях 25 авгу­ста 1 936 года при водоизмещении 241 1 т и мощности ГЭУ 61 500 л.с. корабль легко развил скорость хода, превысившую про­ектную, а при спецификационной мощнос­ти 66 000 л.с. достиг 41 уз; однако при та­кой скорости возник дифферент на корму до 1,5 м. При форсировании котлов и даль­нейшем повышении мощности ГЭУ скорость лидера достигла 42 уз, однако дифферент возрос до 2 м. Для его уменьшения приняли решение набрать в носовую цистерну око­ло 35 т забортной воды. После этого диф­ферент уменьшился, а скорость возросла еще на 0,5 уз. Это был значительный успех молодой советской промышленности. На официальных приемо-сдаточных (то есть государственных) испытаниях 5 нояб­ря 1936 года «Ленинград» при водоизме­щении 2225 т и мощности 67 250 л.с. на мерной линии Гогланд—Родшер (длиной 9,65 мили) при глубине 55—67 м и волне­нии моря 1 —2 балла к общей радости за­водских инженеров, рабочих и экипажа до­стиг рекордной по тем временам скорос­ти — 43 уз, что на 3 уз превышало спецификационную. При дальнейшем форсировании котлов мощность ГЭУ могла увеличиться еще на 4—5 тыс. л.с. В период испытаний командиром лиде­ра был капитан 2 ранга Ф.Т.Тарасов. Минером на лидере в то время служил Н.И.Иль­ин, в 1939 году ставший заместителем на­чальника НИМТИ РККФ. Однако, при испытаниях первенца оте­чественного крупного кораблестроения вы­явились и дефекты, вызванные отсутствием опыта. Прежде всего, выяснилось, что на режиме полного хода верхняя палуба в кор­мовой оконечности корабля погружалась в воду (при дифференте на корму до 2,8м), а носовая оконечность опасно выходила из воды, что создавало аварийную ситуацию и не позволяло эффективно действовать си­стемам вооружения. На режиме крейсерс­кого (до 30 уз) хода лидера его поворотли­вость была хуже, чем на старых минонос­цах, на полном ходу — такая же, как у них на малых ходах; на среднем ходу корабль управлялся с большим трудом. С целью уменьшения массы ГТЗА попы­тались применить сварные редукторы. Од­нако такая облегченная конструкция оказа­лась ненадежной, и, когда при ходовых ис­пытаниях в 1 936 году сварная конструкция редуктора разрушилась, ее заменили литой, большей массы. И все же, несмотря на недоработки, на ходовых испытаниях лидера «Ленинград» энергетическая установка сравнительно лег­ко развила мощность 67 250 л.с. даже при умеренной форсировке главных котлов и ненапряженной работе вспомогательных механизмов. Как показала впоследствии эксплуата­ция ГЭУ лидера, применение перегретого пара давлением 27 кгс/см2 привело к рез­кому усилению кислородной коррозии кот­лов и лопаток турбин, обострило проблему эксплуатации котлов (особенно пароперег­ревателей) при длительном бездействии. Вместе с тем, из-за незавершенности отработки конструкции и процесса горения пришлось ввести ограничения нагрузки кот­лов по топливу. Это было вызвано неустой­чивой циркуляцией воды при полной форсировке котлов с включением всех 28 форсу­нок для быстрого развития полной скорости, что приводило к пережогу и выходу из строя трубок котла. Следует отметить, что освое­ние паросиловой энергетической установки при эксплуатации первых сторожевых ко­раблей, вошедших в состав ВМФ в 1930— 1931 годах, явилось хорошей школой и для личного состава лидеров: машинисты-турбинисты и котельные машинисты стороже­виков впоследствии быстро освоили новые турбины и котлы на кораблях проекта 1.</w:t>
      </w:r>
    </w:p>
    <w:p w14:paraId="38EFC6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установки на корабль артилле­рии главного калибра, проводились ее кон­трольные отстрелы на один борт. Испыта­ния показали, что конструкция корпуса ко­рабля настолько слаба, что стрелять всей артиллерией одновременно невозможно. Выяснилось, что опасные напряжения в рай­оне стыковки носовой оконечности со сред­ней частью корпуса создавали риск его пе­релома в случае динамического роста этих напряжений, вызванных, например, подры­вом на мине, попаданием снаряда или даже сильным штормом. Возникла необходимость в подкреплении корпуса. Артиллерийского вооружения калибром 76,2 мм, 45 мм и пулеметов к моменту сдачи корабля флоту, на нем еще не было. Остойчивость корабля оказалась лишь чуть выше минимальной, а запас плавучести настолько мал, что лю­бое повреждение подводной части могло закончиться катастрофой. Дальность плава­ния полным ходом превышала проектную, но экономическим ходом оказалась ниже.</w:t>
      </w:r>
    </w:p>
    <w:p w14:paraId="61A5CF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Высокая скорость преподнесла и свои сюрпризы. Когда после первого этапа хо­довых испытаний лидер поставили в док, обнаружилось, что все три гребных винта опасно деформировались. Края лопастей были изъедены кавернами шириной до 15 мм и глубиной до 20—25 мм. Так, советские су­достроители и моряки впервые столкнулись с явлением кавитации. Лабораторные иссле­дования, проводившиеся параллельно с улучшением конструкции, показали, что при превышении барьера 36-узловой скорости гребные винты конструкции, разработанной специалистами НИИВК, разрушаются. При анализе этого явления ученые-гидромеханики, в первую очередь Э.Э.Пампель, глубоко изучивший его в работе «Выявление кавита­ции гребных винтов по данным испытаний плавающих кораблей» (1932 год), пришли к заключению, что избежать разрушения винтов возможно за счет изменения профи­ля лопастей и конструкции выхода валов из корпуса, а также обводов кормовой око­нечности.</w:t>
      </w:r>
    </w:p>
    <w:p w14:paraId="310E07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Вторым неприятным сюрпризом оказа­лась повышенная вибрация кормовой око­нечности и средней части корпуса на ходах выше 35 уз, что ограничивало применение вооружения и особенно — оптики. Устране­ние кавитации и повышенной вибрации по­требовало многих лет дополнительных ис­следований ученых.</w:t>
      </w:r>
    </w:p>
    <w:p w14:paraId="024A32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Председатель государственной прием­ной комиссии флагман 1 ранга А.К.Векман в заключительном протоколе и докладе при представлении приемного акта на утверж­дение начальнику МС РККА флагману фло­та 1 ранга В.М.Орлову отметил высокие бо­евые и эксплуатационные качества лидера «Ленинград»: «корабль этот получился впол­не современным с хорошими ходовыми и мореходными качествами... Особо надо отметить получение 43-х узловой скорости вместо 40 уз по спецификации, причем ее надо признать не предельной, так как воз­можна еще форсировка котлов и увеличе­ние числа оборотов...». Вместе с тем, ко­миссия указала и на некоторые конструк­тивные недостатки корабля, выявленные при испытаниях: в частности, отмечались отсут­ствие броневых укрытий мостика от атак штурмовой авиации, недостаточная мощ­ность огня зенитных орудий и невозможность стрельбы обоих зенитных орудий 34-К на один борт, что существенно снижало про­тивовоздушную оборону лидера при нале­тах авиации противника на малых высотах. Кроме того, «наряду с высокой техникой приборов управления артиллерийским ог­нем для главного калибра, отмечается от­сутствие сколь-нибудь удовлетворительных приборов управления зенитным огнем».</w:t>
      </w:r>
    </w:p>
    <w:p w14:paraId="73767B0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официальной сдачи лидера «Ле­нинград» флоту 5 декабря 1936 года — в день принятия Сталинской конституции, ко­рабль до июля 1938 года (!) простоял у до­строечной стенки завода № 190 — по гаран­тийным обязательствам устранялось значи­тельное количество дефектов, обнаружен­ных при первых выходах в море.</w:t>
      </w:r>
    </w:p>
    <w:p w14:paraId="235A4A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Когда «Ленинград» находился в доке Кронштадтского морского завода, группа сотрудников Ленинградского физико-техни­ческого института (ЛФТИ) в августе 1937 го­да провела ряд опытов по измерению маг­нитного поля такого крупного корабля, как лидер. С помощью изготовленной к тому времени аппаратуры, на основе разрабо­танных ЛФТИ принципов размагничивания, были измерены магнитные поля под днищем, на разном расстоянии от него, в большом количестве точек вдоль корабля и в шпангоутных плоскостях. Одновременно на корабль были наложены витки кабеля и из них осуще­ствлены различного вида обмотки на раз­ных уровнях по высоте борта.</w:t>
      </w:r>
    </w:p>
    <w:p w14:paraId="59E45A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Результаты этих экспериментов, прово­дившихся впервые в мировой практике, ока­зались обнадеживающими и, с учетом развития зарубежных индукционных и магнит­ных противокорабельных средств, очень актуальными. 1 7 февраля 1938 года при­казом наркома ВМФ была создана комис­сия по проведению испытаний специального устройства для борьбы с неконтактными минами и торпедами, разработанного ЛФТИ.</w:t>
      </w:r>
    </w:p>
    <w:p w14:paraId="287C7C6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Весной того же года руководству ВМФ было доложено об успешных экспериментах с размагничиванием, проведенных на лидере «Ленинград».</w:t>
      </w:r>
    </w:p>
    <w:p w14:paraId="4ABE81D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материалам этих измерений был разработан проект системы ЛФТИ для ли­деров. В целом система выполняла задачу размагничивания корабля. В качестве недо­статков проекта НТК ВМФ отметил то, что системой не предусматривалась возмож­ность компенсации курсовых изменений магнитных полей кораблей, а обмотки, защи­щенные металлическими кожухами, про­кладывались снаружи корпусов. Однако исправление отмеченных недостатков производилось уже позже, в 1940-х годах, ког­да системы размагничивания срочно уста­навливались на других кораблях (11866).</w:t>
      </w:r>
    </w:p>
    <w:p w14:paraId="09890F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A2FB908" w14:textId="77777777" w:rsidR="00366092" w:rsidRPr="00C33834" w:rsidRDefault="00366092" w:rsidP="00C33834">
      <w:pPr>
        <w:pStyle w:val="rtejustify"/>
        <w:spacing w:before="0" w:after="0"/>
        <w:rPr>
          <w:color w:val="000000" w:themeColor="text1"/>
          <w:sz w:val="16"/>
          <w:szCs w:val="16"/>
        </w:rPr>
      </w:pPr>
      <w:r w:rsidRPr="00C33834">
        <w:rPr>
          <w:rStyle w:val="af0"/>
          <w:bCs/>
          <w:i w:val="0"/>
          <w:color w:val="000000" w:themeColor="text1"/>
          <w:sz w:val="16"/>
          <w:szCs w:val="16"/>
        </w:rPr>
        <w:t>17 ноября</w:t>
      </w:r>
      <w:r w:rsidRPr="00C33834">
        <w:rPr>
          <w:rStyle w:val="af0"/>
          <w:rFonts w:eastAsiaTheme="majorEastAsia"/>
          <w:bCs/>
          <w:i w:val="0"/>
          <w:color w:val="000000" w:themeColor="text1"/>
          <w:sz w:val="16"/>
          <w:szCs w:val="16"/>
        </w:rPr>
        <w:t xml:space="preserve"> 1933</w:t>
      </w:r>
      <w:r w:rsidRPr="00C33834">
        <w:rPr>
          <w:color w:val="000000" w:themeColor="text1"/>
          <w:sz w:val="16"/>
          <w:szCs w:val="16"/>
        </w:rPr>
        <w:t>. Постановление РВСС «1. Принять на вооружение ВМС РККА аппаратуры ВУ системы Остехбюро для управления торпедными катерами; 2) предложить начальнику Остехбюро Бекаури внести вытекающие из предложений комиссии исправления в аппаратуру и в чертежах; 3) войти в правительство с ходатайством о немедленной постановке производства аппаратуры системы ОТВ». (РГВА. Ф. 4. Оп. 18. Д. 23. Л. 337) (15461).</w:t>
      </w:r>
    </w:p>
    <w:p w14:paraId="43DA6363" w14:textId="77777777" w:rsidR="00366092" w:rsidRPr="00C33834" w:rsidRDefault="00366092" w:rsidP="00C33834">
      <w:pPr>
        <w:pStyle w:val="rtejustify"/>
        <w:spacing w:before="0" w:after="0"/>
        <w:rPr>
          <w:color w:val="000000" w:themeColor="text1"/>
          <w:sz w:val="16"/>
          <w:szCs w:val="16"/>
        </w:rPr>
      </w:pPr>
    </w:p>
    <w:p w14:paraId="2C23B3FE" w14:textId="77777777" w:rsidR="00366092" w:rsidRPr="00C33834" w:rsidRDefault="00366092" w:rsidP="00C33834">
      <w:pPr>
        <w:pStyle w:val="rtejustify"/>
        <w:spacing w:before="0" w:after="0"/>
        <w:rPr>
          <w:color w:val="000000" w:themeColor="text1"/>
          <w:sz w:val="16"/>
          <w:szCs w:val="16"/>
        </w:rPr>
      </w:pPr>
      <w:r w:rsidRPr="00C33834">
        <w:rPr>
          <w:rStyle w:val="af0"/>
          <w:bCs/>
          <w:i w:val="0"/>
          <w:color w:val="000000" w:themeColor="text1"/>
          <w:sz w:val="16"/>
          <w:szCs w:val="16"/>
        </w:rPr>
        <w:t>17/19 ноября 1933 вышел приказ НКТП №217сс.</w:t>
      </w:r>
      <w:r w:rsidRPr="00C33834">
        <w:rPr>
          <w:color w:val="000000" w:themeColor="text1"/>
          <w:sz w:val="16"/>
          <w:szCs w:val="16"/>
        </w:rPr>
        <w:t xml:space="preserve"> О строительстве нефтебензохранилищ в Дальневосточном и в Восточносибирском краях. (РГАЭ. Ф. 7297. Оп. 38. Д. 38. Л. 188</w:t>
      </w:r>
      <w:r w:rsidRPr="00C33834">
        <w:rPr>
          <w:color w:val="000000" w:themeColor="text1"/>
          <w:sz w:val="16"/>
          <w:szCs w:val="16"/>
        </w:rPr>
        <w:noBreakHyphen/>
        <w:t>184) (15246).</w:t>
      </w:r>
    </w:p>
    <w:p w14:paraId="70BCE7BE" w14:textId="77777777" w:rsidR="00366092" w:rsidRPr="00C33834" w:rsidRDefault="00366092" w:rsidP="00C33834">
      <w:pPr>
        <w:pStyle w:val="rtejustify"/>
        <w:spacing w:before="0" w:after="0"/>
        <w:rPr>
          <w:color w:val="000000" w:themeColor="text1"/>
          <w:sz w:val="16"/>
          <w:szCs w:val="16"/>
        </w:rPr>
      </w:pPr>
    </w:p>
    <w:p w14:paraId="1A136760"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75719162"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0E34FB2" w14:textId="77777777" w:rsidR="00B81B17" w:rsidRPr="00C33834" w:rsidRDefault="00B81B17"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ноября 1933. Газета "Вечерняя Москва" сообщала: "По распоряжению наркома снабжения тов. Микояна в Москве организован трест "Гастроном", в который вошли все коммерческие магазины Мостропа... "Гастроному" передается магазин Инснаба на улице Горького" (18722).</w:t>
      </w:r>
    </w:p>
    <w:p w14:paraId="4B751324" w14:textId="77777777" w:rsidR="00B81B17" w:rsidRPr="00C33834" w:rsidRDefault="00B81B17" w:rsidP="00C33834">
      <w:pPr>
        <w:spacing w:after="0" w:line="240" w:lineRule="auto"/>
        <w:jc w:val="both"/>
        <w:rPr>
          <w:rFonts w:ascii="Times New Roman" w:hAnsi="Times New Roman"/>
          <w:color w:val="000000" w:themeColor="text1"/>
          <w:sz w:val="16"/>
          <w:szCs w:val="16"/>
        </w:rPr>
      </w:pPr>
    </w:p>
    <w:p w14:paraId="656C1DB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ноября 1933 основан Харьковский русский драматический театр имени Пушкина (4962).</w:t>
      </w:r>
    </w:p>
    <w:p w14:paraId="7FBE2823"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16BB4E"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2C1C6B17"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9451D55"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ноября США заявляют о признании СССР и восстанавливают с ним торговые отношения (4962).</w:t>
      </w:r>
    </w:p>
    <w:p w14:paraId="4B8326C3"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72DB5D"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Style w:val="ucoz-forum-post"/>
          <w:rFonts w:ascii="Times New Roman" w:hAnsi="Times New Roman"/>
          <w:bCs/>
          <w:color w:val="000000" w:themeColor="text1"/>
          <w:sz w:val="16"/>
          <w:szCs w:val="16"/>
        </w:rPr>
        <w:t xml:space="preserve">17 ноября </w:t>
      </w:r>
      <w:r w:rsidRPr="00C33834">
        <w:rPr>
          <w:rFonts w:ascii="Times New Roman" w:hAnsi="Times New Roman"/>
          <w:color w:val="000000" w:themeColor="text1"/>
          <w:sz w:val="16"/>
          <w:szCs w:val="16"/>
        </w:rPr>
        <w:t>в 1933 году состоялся первый радиоразговор между Москвой и Вашингтоном. В телеграмме из столицы США сообщалось: «Только что закончился первый разговор по радио между СССР и США. Литвинов говорил из Белого дома со своей женой в Москве. Трансляция была безупречна. Литвинов передал приветствие президента и миссис Рузвельт». Разговор между двумя городами транслировался всеми радиостанциями СССР (14833).</w:t>
      </w:r>
    </w:p>
    <w:p w14:paraId="2E562E11" w14:textId="77777777" w:rsidR="00366092" w:rsidRPr="00C33834" w:rsidRDefault="00366092" w:rsidP="00C33834">
      <w:pPr>
        <w:spacing w:after="0" w:line="240" w:lineRule="auto"/>
        <w:jc w:val="both"/>
        <w:rPr>
          <w:rFonts w:ascii="Times New Roman" w:hAnsi="Times New Roman"/>
          <w:color w:val="000000" w:themeColor="text1"/>
          <w:sz w:val="16"/>
          <w:szCs w:val="16"/>
        </w:rPr>
      </w:pPr>
    </w:p>
    <w:p w14:paraId="3B320D41"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A335C1B"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F613F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lang w:val="en-US"/>
        </w:rPr>
      </w:pPr>
      <w:r w:rsidRPr="00C33834">
        <w:rPr>
          <w:rFonts w:ascii="Times New Roman" w:hAnsi="Times New Roman"/>
          <w:color w:val="000000" w:themeColor="text1"/>
          <w:sz w:val="16"/>
          <w:szCs w:val="16"/>
          <w:lang w:val="en-US"/>
        </w:rPr>
        <w:t>November 17, 1933 The sum of $7,500,000 was allotted to the Navy from funds provided under the National Industrial Recovery Act of 16 June 1933, for the procurement of new aircraft and equipment, thereby permitting the Bureau of Aeronautics to maintain its 1,000-plane program, to equip operating aircraft with modern navigation instruments and radios, and to make other improvements in naval aircraft and their accessories which were not possible under the annual appropriation (1090).</w:t>
      </w:r>
    </w:p>
    <w:p w14:paraId="00D71D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lang w:val="en-US"/>
        </w:rPr>
      </w:pPr>
    </w:p>
    <w:p w14:paraId="57A25A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ноября 1933 ВМФ США получил 7.5 млн. долл. в рамках программы восстановления промышленности на закупку новых самолетов и оборудования, позволив сохранить программу по производству 1000 самолетов (1090).</w:t>
      </w:r>
    </w:p>
    <w:p w14:paraId="0A7383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C7F2564"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4CA1977"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83F9D2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ноября 1933 выпал снег и на ЦКБ-3 (И-15) колеса заменили на лыжи от самолета И-Z (6593).</w:t>
      </w:r>
    </w:p>
    <w:p w14:paraId="1B7DDB5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6541BC1" w14:textId="77777777" w:rsidR="00B81B17" w:rsidRPr="00C33834" w:rsidRDefault="00B81B17" w:rsidP="00C33834">
      <w:pPr>
        <w:pStyle w:val="27"/>
        <w:shd w:val="clear" w:color="auto" w:fill="auto"/>
        <w:spacing w:after="0" w:line="240" w:lineRule="auto"/>
        <w:ind w:firstLine="0"/>
        <w:rPr>
          <w:rFonts w:ascii="Times New Roman" w:cs="Times New Roman"/>
          <w:color w:val="000000" w:themeColor="text1"/>
          <w:spacing w:val="0"/>
        </w:rPr>
      </w:pPr>
      <w:r w:rsidRPr="00C33834">
        <w:rPr>
          <w:rFonts w:ascii="Times New Roman" w:cs="Times New Roman"/>
          <w:color w:val="000000" w:themeColor="text1"/>
          <w:spacing w:val="0"/>
        </w:rPr>
        <w:t>18 ноября 1933 колеса на первом ЦКБ-3 заменили на лыжи от самолета И-</w:t>
      </w:r>
      <w:r w:rsidRPr="00C33834">
        <w:rPr>
          <w:rFonts w:ascii="Times New Roman" w:cs="Times New Roman"/>
          <w:color w:val="000000" w:themeColor="text1"/>
          <w:spacing w:val="0"/>
          <w:lang w:val="en-US"/>
        </w:rPr>
        <w:t>Z</w:t>
      </w:r>
      <w:r w:rsidRPr="00C33834">
        <w:rPr>
          <w:rFonts w:ascii="Times New Roman" w:cs="Times New Roman"/>
          <w:color w:val="000000" w:themeColor="text1"/>
          <w:spacing w:val="0"/>
        </w:rPr>
        <w:t>, а спустя пять дней случилась первая неприятность. 23 ноября во время длительного пикирования ЦКБ-3 со скоростью около 400 км/ч сорвалось ушко крепления растяжки левой лыжи. Носок лыжи опустился, и ее развернуло поперек потока. Случай в те време</w:t>
      </w:r>
      <w:r w:rsidRPr="00C33834">
        <w:rPr>
          <w:rFonts w:ascii="Times New Roman" w:cs="Times New Roman"/>
          <w:color w:val="000000" w:themeColor="text1"/>
          <w:spacing w:val="0"/>
        </w:rPr>
        <w:softHyphen/>
        <w:t>на не редкий, но досадный; шансов приземлиться благополучно практически не оставалось, и самолет на посадке перевернул</w:t>
      </w:r>
      <w:r w:rsidRPr="00C33834">
        <w:rPr>
          <w:rFonts w:ascii="Times New Roman" w:cs="Times New Roman"/>
          <w:color w:val="000000" w:themeColor="text1"/>
          <w:spacing w:val="0"/>
        </w:rPr>
        <w:softHyphen/>
        <w:t>ся. Чкалов не пострадал, но первый опытный экземпляр вышел из строя. Позднее его восстановили как самолет для достиже</w:t>
      </w:r>
      <w:r w:rsidRPr="00C33834">
        <w:rPr>
          <w:rFonts w:ascii="Times New Roman" w:cs="Times New Roman"/>
          <w:color w:val="000000" w:themeColor="text1"/>
          <w:spacing w:val="0"/>
        </w:rPr>
        <w:softHyphen/>
        <w:t>ния рекорда высоты (19107).</w:t>
      </w:r>
    </w:p>
    <w:p w14:paraId="23B986B8" w14:textId="77777777" w:rsidR="00B81B17" w:rsidRPr="00C33834" w:rsidRDefault="00B81B17" w:rsidP="00C33834">
      <w:pPr>
        <w:spacing w:after="0" w:line="240" w:lineRule="auto"/>
        <w:jc w:val="both"/>
        <w:rPr>
          <w:rFonts w:ascii="Times New Roman" w:hAnsi="Times New Roman"/>
          <w:color w:val="000000" w:themeColor="text1"/>
          <w:sz w:val="16"/>
          <w:szCs w:val="16"/>
        </w:rPr>
      </w:pPr>
    </w:p>
    <w:p w14:paraId="1F71FE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ноября 1933, т.к</w:t>
      </w:r>
      <w:r w:rsidR="00B81B17"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rPr>
        <w:t xml:space="preserve"> выпал снег, на ЦКБ-3 колеса заменили на лыжи от самолета И-Z, а спустя пять дней случилась первая неприятность (12014).</w:t>
      </w:r>
    </w:p>
    <w:p w14:paraId="734C0D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7A43DD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ноября 1933 была создана МосГИРД (2528).</w:t>
      </w:r>
    </w:p>
    <w:p w14:paraId="02E53DF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F86226A"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18 ноября</w:t>
      </w:r>
      <w:r w:rsidRPr="00C33834">
        <w:rPr>
          <w:rFonts w:ascii="Times New Roman" w:hAnsi="Times New Roman"/>
          <w:color w:val="000000" w:themeColor="text1"/>
          <w:sz w:val="16"/>
          <w:szCs w:val="16"/>
        </w:rPr>
        <w:t xml:space="preserve"> в 1933 году при ЦС Осоавиахима создана МосГИРД (группа изучения реактивного движения) (14834).</w:t>
      </w:r>
    </w:p>
    <w:p w14:paraId="47E30A83" w14:textId="77777777" w:rsidR="00366092" w:rsidRPr="00C33834" w:rsidRDefault="00366092" w:rsidP="00C33834">
      <w:pPr>
        <w:spacing w:after="0" w:line="240" w:lineRule="auto"/>
        <w:jc w:val="both"/>
        <w:rPr>
          <w:rFonts w:ascii="Times New Roman" w:hAnsi="Times New Roman"/>
          <w:color w:val="000000" w:themeColor="text1"/>
          <w:sz w:val="16"/>
          <w:szCs w:val="16"/>
        </w:rPr>
      </w:pPr>
    </w:p>
    <w:p w14:paraId="6C171170"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C04EB53"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3C4AFE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ноября 1933 г. строившийся на открытом наклонном стапеле головной лидер Ленинград был спущен на воду, однако изготовление и уста</w:t>
      </w:r>
      <w:r w:rsidRPr="00C33834">
        <w:rPr>
          <w:rFonts w:ascii="Times New Roman" w:hAnsi="Times New Roman"/>
          <w:color w:val="000000" w:themeColor="text1"/>
          <w:sz w:val="16"/>
          <w:szCs w:val="16"/>
        </w:rPr>
        <w:softHyphen/>
        <w:t>новка главных механизмов и вооружения затянулись еще на два года. На заводских испытаниях в 1935 г. "Ленинград" показал ско</w:t>
      </w:r>
      <w:r w:rsidRPr="00C33834">
        <w:rPr>
          <w:rFonts w:ascii="Times New Roman" w:hAnsi="Times New Roman"/>
          <w:color w:val="000000" w:themeColor="text1"/>
          <w:sz w:val="16"/>
          <w:szCs w:val="16"/>
        </w:rPr>
        <w:softHyphen/>
        <w:t>рость около 41,3 уз., которая руководством Главморпрома спра</w:t>
      </w:r>
      <w:r w:rsidRPr="00C33834">
        <w:rPr>
          <w:rFonts w:ascii="Times New Roman" w:hAnsi="Times New Roman"/>
          <w:color w:val="000000" w:themeColor="text1"/>
          <w:sz w:val="16"/>
          <w:szCs w:val="16"/>
        </w:rPr>
        <w:softHyphen/>
        <w:t>ведливо оценивалась как большое достижение проектировщиков и Северной верфи, построившей сам корабль и изготовившей турби</w:t>
      </w:r>
      <w:r w:rsidRPr="00C33834">
        <w:rPr>
          <w:rFonts w:ascii="Times New Roman" w:hAnsi="Times New Roman"/>
          <w:color w:val="000000" w:themeColor="text1"/>
          <w:sz w:val="16"/>
          <w:szCs w:val="16"/>
        </w:rPr>
        <w:softHyphen/>
        <w:t>ны и котлы для него. В следующем году на одном из пробегов на мерной миле "Ленинград" при водоизмещении 2225 т (нормальное по проекту) и мощности турбин 67 250 л. с. развил скорость 43 уз. После продолжительных испытаний он был принят госкомиссией под председательством А. К. Векмана и вступил в состав Бал</w:t>
      </w:r>
      <w:r w:rsidRPr="00C33834">
        <w:rPr>
          <w:rFonts w:ascii="Times New Roman" w:hAnsi="Times New Roman"/>
          <w:color w:val="000000" w:themeColor="text1"/>
          <w:sz w:val="16"/>
          <w:szCs w:val="16"/>
        </w:rPr>
        <w:softHyphen/>
        <w:t>тийского флота 5 декабря 1936 г. Стоимость постройки лидера пр. 1 составила 12 млн руб. (3898)</w:t>
      </w:r>
    </w:p>
    <w:p w14:paraId="5B9C5E0C"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8D0D066" w14:textId="77777777" w:rsidR="009F4E71" w:rsidRPr="00C33834" w:rsidRDefault="009F4E7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ноября 1933 г. на заводе № 190 (им. А. А. Жданова) в Ленинграде Лидер “Ленинград”спущен на воду и 5 декабря 1936 г. вступил в строй в составе Балтийского флота. До июля  1938 г. он фактически достраивался на плаву. 31 июля 1939 г. “Ленинград” поставили на капитальный ремонт, так как во время похода на скорости 18 узлов у котла № 2 стали лопаться трубки. В ходе ремонта на лидере сменили 732 трубки — старые оказались дефектными и недобросовестно смонтированными. В ноябре 1939 г. “Ленинград” был включен в состав группы кораблей эскадры Балтийского флота. Всего со времени окончания Финской войны и до 22 июня 1941 г. лидер 9 раз вставал в док из-за различных дефектов: для клепки расползавшихся листов подводной части корпуса, смены котлов и изъеденных кавитацией гребных винтов. Накануне Великой Отечественной войны лидер “Ленинград” дислоцировался в Таллине (17786).</w:t>
      </w:r>
    </w:p>
    <w:p w14:paraId="1DD78AF6" w14:textId="77777777" w:rsidR="009F4E71" w:rsidRPr="00C33834" w:rsidRDefault="009F4E71" w:rsidP="00C33834">
      <w:pPr>
        <w:spacing w:after="0" w:line="240" w:lineRule="auto"/>
        <w:jc w:val="both"/>
        <w:rPr>
          <w:rFonts w:ascii="Times New Roman" w:eastAsia="Times New Roman" w:hAnsi="Times New Roman"/>
          <w:color w:val="000000" w:themeColor="text1"/>
          <w:sz w:val="16"/>
          <w:szCs w:val="16"/>
          <w:lang w:eastAsia="ru-RU"/>
        </w:rPr>
      </w:pPr>
    </w:p>
    <w:p w14:paraId="70FAB1CB"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5C839BF3"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002A600"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ноября 1933 пленум ЦК КП(б)У постановил, что главной опасностью является украинский национализм (4962).</w:t>
      </w:r>
    </w:p>
    <w:p w14:paraId="40A716FB"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2971E0"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2027E4A"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4B37D2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ноября 1933 г. ВВС запросили дополнительные материалы по самолету И-15, включая реальные оценки мак</w:t>
      </w:r>
      <w:r w:rsidRPr="00C33834">
        <w:rPr>
          <w:rFonts w:ascii="Times New Roman" w:hAnsi="Times New Roman"/>
          <w:color w:val="000000" w:themeColor="text1"/>
          <w:sz w:val="16"/>
          <w:szCs w:val="16"/>
        </w:rPr>
        <w:softHyphen/>
        <w:t>симальных скоростей с различными вариантами мотора Райт «Циклон». По указанию Поликарпова оперативно выполнили необходимые расчеты под двигатели Райт «Циклон» SGR-1820 различных модификаций, в том числе самолета с исходным Р-3, с высотным Р-5 без ре</w:t>
      </w:r>
      <w:r w:rsidRPr="00C33834">
        <w:rPr>
          <w:rFonts w:ascii="Times New Roman" w:hAnsi="Times New Roman"/>
          <w:color w:val="000000" w:themeColor="text1"/>
          <w:sz w:val="16"/>
          <w:szCs w:val="16"/>
        </w:rPr>
        <w:softHyphen/>
        <w:t>дуктора и с редуктором, и результаты исследований бы</w:t>
      </w:r>
      <w:r w:rsidRPr="00C33834">
        <w:rPr>
          <w:rFonts w:ascii="Times New Roman" w:hAnsi="Times New Roman"/>
          <w:color w:val="000000" w:themeColor="text1"/>
          <w:sz w:val="16"/>
          <w:szCs w:val="16"/>
        </w:rPr>
        <w:softHyphen/>
        <w:t>ли оперативно высланы в НИИ ВВС. Они убедили руководство ВВС в соответствии характеристик ЦКБ-3 техническим требованиям (10667).</w:t>
      </w:r>
    </w:p>
    <w:p w14:paraId="64D60C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29F04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ноября 1933 к вход. N 48/ок прилагалась программа выпуска самолетов и авиамоторов на военное время в 1934, 1935, 1936:</w:t>
      </w:r>
    </w:p>
    <w:p w14:paraId="296D31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 Авиация</w:t>
      </w:r>
    </w:p>
    <w:p w14:paraId="5D1BCB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Утвердить объем выпуска продукции в военное время на 1934, 1935, 1936 в следующих количествах: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tblGrid>
      <w:tr w:rsidR="00F26F01" w:rsidRPr="00C33834" w14:paraId="3DA1AEB6" w14:textId="77777777">
        <w:tc>
          <w:tcPr>
            <w:tcW w:w="1878" w:type="dxa"/>
          </w:tcPr>
          <w:p w14:paraId="0E6587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w:t>
            </w:r>
          </w:p>
        </w:tc>
        <w:tc>
          <w:tcPr>
            <w:tcW w:w="1878" w:type="dxa"/>
          </w:tcPr>
          <w:p w14:paraId="680778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w:t>
            </w:r>
          </w:p>
        </w:tc>
        <w:tc>
          <w:tcPr>
            <w:tcW w:w="1878" w:type="dxa"/>
          </w:tcPr>
          <w:p w14:paraId="019DB55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1934</w:t>
            </w:r>
          </w:p>
        </w:tc>
        <w:tc>
          <w:tcPr>
            <w:tcW w:w="1878" w:type="dxa"/>
          </w:tcPr>
          <w:p w14:paraId="1A42FF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1935</w:t>
            </w:r>
          </w:p>
        </w:tc>
        <w:tc>
          <w:tcPr>
            <w:tcW w:w="1878" w:type="dxa"/>
          </w:tcPr>
          <w:p w14:paraId="17589D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1936</w:t>
            </w:r>
          </w:p>
        </w:tc>
      </w:tr>
      <w:tr w:rsidR="00F26F01" w:rsidRPr="00C33834" w14:paraId="62463076" w14:textId="77777777">
        <w:tc>
          <w:tcPr>
            <w:tcW w:w="1878" w:type="dxa"/>
          </w:tcPr>
          <w:p w14:paraId="7EB854F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09F9B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Разведчики</w:t>
            </w:r>
          </w:p>
        </w:tc>
        <w:tc>
          <w:tcPr>
            <w:tcW w:w="1878" w:type="dxa"/>
          </w:tcPr>
          <w:p w14:paraId="0618E5E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439A1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1F36A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3A57A7F" w14:textId="77777777">
        <w:tc>
          <w:tcPr>
            <w:tcW w:w="1878" w:type="dxa"/>
          </w:tcPr>
          <w:p w14:paraId="39BDFFF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878" w:type="dxa"/>
          </w:tcPr>
          <w:p w14:paraId="4911DCE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w:t>
            </w:r>
          </w:p>
        </w:tc>
        <w:tc>
          <w:tcPr>
            <w:tcW w:w="1878" w:type="dxa"/>
          </w:tcPr>
          <w:p w14:paraId="4D5393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2350</w:t>
            </w:r>
          </w:p>
        </w:tc>
        <w:tc>
          <w:tcPr>
            <w:tcW w:w="1878" w:type="dxa"/>
          </w:tcPr>
          <w:p w14:paraId="1A49E2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2500</w:t>
            </w:r>
          </w:p>
        </w:tc>
        <w:tc>
          <w:tcPr>
            <w:tcW w:w="1878" w:type="dxa"/>
          </w:tcPr>
          <w:p w14:paraId="1F8EC8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3200</w:t>
            </w:r>
          </w:p>
        </w:tc>
      </w:tr>
      <w:tr w:rsidR="00F26F01" w:rsidRPr="00C33834" w14:paraId="4DA7F449" w14:textId="77777777">
        <w:tc>
          <w:tcPr>
            <w:tcW w:w="1878" w:type="dxa"/>
          </w:tcPr>
          <w:p w14:paraId="3E5930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w:t>
            </w:r>
          </w:p>
        </w:tc>
        <w:tc>
          <w:tcPr>
            <w:tcW w:w="1878" w:type="dxa"/>
          </w:tcPr>
          <w:p w14:paraId="7EB5F4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w:t>
            </w:r>
          </w:p>
        </w:tc>
        <w:tc>
          <w:tcPr>
            <w:tcW w:w="1878" w:type="dxa"/>
          </w:tcPr>
          <w:p w14:paraId="257CF8A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1878" w:type="dxa"/>
          </w:tcPr>
          <w:p w14:paraId="465BB7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1878" w:type="dxa"/>
          </w:tcPr>
          <w:p w14:paraId="478ED5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r>
      <w:tr w:rsidR="00F26F01" w:rsidRPr="00C33834" w14:paraId="4ADFD242" w14:textId="77777777">
        <w:tc>
          <w:tcPr>
            <w:tcW w:w="1878" w:type="dxa"/>
          </w:tcPr>
          <w:p w14:paraId="3F53755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1878" w:type="dxa"/>
          </w:tcPr>
          <w:p w14:paraId="7FC8E5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w:t>
            </w:r>
          </w:p>
        </w:tc>
        <w:tc>
          <w:tcPr>
            <w:tcW w:w="1878" w:type="dxa"/>
          </w:tcPr>
          <w:p w14:paraId="590896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270</w:t>
            </w:r>
          </w:p>
        </w:tc>
        <w:tc>
          <w:tcPr>
            <w:tcW w:w="1878" w:type="dxa"/>
          </w:tcPr>
          <w:p w14:paraId="399366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878" w:type="dxa"/>
          </w:tcPr>
          <w:p w14:paraId="66CC68D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r>
      <w:tr w:rsidR="00F26F01" w:rsidRPr="00C33834" w14:paraId="720470BF" w14:textId="77777777">
        <w:tc>
          <w:tcPr>
            <w:tcW w:w="1878" w:type="dxa"/>
          </w:tcPr>
          <w:p w14:paraId="0791FE0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6CA1F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1328CD4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2650</w:t>
            </w:r>
          </w:p>
        </w:tc>
        <w:tc>
          <w:tcPr>
            <w:tcW w:w="1878" w:type="dxa"/>
          </w:tcPr>
          <w:p w14:paraId="1F58A0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1878" w:type="dxa"/>
          </w:tcPr>
          <w:p w14:paraId="260391F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r>
      <w:tr w:rsidR="00F26F01" w:rsidRPr="00C33834" w14:paraId="0E523209" w14:textId="77777777">
        <w:tc>
          <w:tcPr>
            <w:tcW w:w="1878" w:type="dxa"/>
          </w:tcPr>
          <w:p w14:paraId="2F66476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1CED3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Бомбардировщики</w:t>
            </w:r>
          </w:p>
        </w:tc>
        <w:tc>
          <w:tcPr>
            <w:tcW w:w="1878" w:type="dxa"/>
          </w:tcPr>
          <w:p w14:paraId="769F2F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53DE6F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175E0E2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37E476F" w14:textId="77777777">
        <w:tc>
          <w:tcPr>
            <w:tcW w:w="1878" w:type="dxa"/>
          </w:tcPr>
          <w:p w14:paraId="02562F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878" w:type="dxa"/>
          </w:tcPr>
          <w:p w14:paraId="3F655B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w:t>
            </w:r>
          </w:p>
        </w:tc>
        <w:tc>
          <w:tcPr>
            <w:tcW w:w="1878" w:type="dxa"/>
          </w:tcPr>
          <w:p w14:paraId="2E7D02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w:t>
            </w:r>
          </w:p>
        </w:tc>
        <w:tc>
          <w:tcPr>
            <w:tcW w:w="1878" w:type="dxa"/>
          </w:tcPr>
          <w:p w14:paraId="0CD7E87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1800</w:t>
            </w:r>
          </w:p>
        </w:tc>
        <w:tc>
          <w:tcPr>
            <w:tcW w:w="1878" w:type="dxa"/>
          </w:tcPr>
          <w:p w14:paraId="51FDDF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1800</w:t>
            </w:r>
          </w:p>
        </w:tc>
      </w:tr>
      <w:tr w:rsidR="00F26F01" w:rsidRPr="00C33834" w14:paraId="31453D00" w14:textId="77777777">
        <w:tc>
          <w:tcPr>
            <w:tcW w:w="1878" w:type="dxa"/>
          </w:tcPr>
          <w:p w14:paraId="6E87300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1878" w:type="dxa"/>
          </w:tcPr>
          <w:p w14:paraId="5349AF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1878" w:type="dxa"/>
          </w:tcPr>
          <w:p w14:paraId="4CED9E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tc>
        <w:tc>
          <w:tcPr>
            <w:tcW w:w="1878" w:type="dxa"/>
          </w:tcPr>
          <w:p w14:paraId="52EE80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878" w:type="dxa"/>
          </w:tcPr>
          <w:p w14:paraId="22C9C2D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5282BF9A" w14:textId="77777777">
        <w:tc>
          <w:tcPr>
            <w:tcW w:w="1878" w:type="dxa"/>
          </w:tcPr>
          <w:p w14:paraId="484202F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1878" w:type="dxa"/>
          </w:tcPr>
          <w:p w14:paraId="2779838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w:t>
            </w:r>
          </w:p>
        </w:tc>
        <w:tc>
          <w:tcPr>
            <w:tcW w:w="1878" w:type="dxa"/>
          </w:tcPr>
          <w:p w14:paraId="7BB756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1878" w:type="dxa"/>
          </w:tcPr>
          <w:p w14:paraId="437CE2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c>
          <w:tcPr>
            <w:tcW w:w="1878" w:type="dxa"/>
          </w:tcPr>
          <w:p w14:paraId="28FED01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r>
      <w:tr w:rsidR="00F26F01" w:rsidRPr="00C33834" w14:paraId="2A663DE8" w14:textId="77777777">
        <w:tc>
          <w:tcPr>
            <w:tcW w:w="1878" w:type="dxa"/>
          </w:tcPr>
          <w:p w14:paraId="7CFD535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1878" w:type="dxa"/>
          </w:tcPr>
          <w:p w14:paraId="1D72BC4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1878" w:type="dxa"/>
          </w:tcPr>
          <w:p w14:paraId="55AE6F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220</w:t>
            </w:r>
          </w:p>
        </w:tc>
        <w:tc>
          <w:tcPr>
            <w:tcW w:w="1878" w:type="dxa"/>
          </w:tcPr>
          <w:p w14:paraId="200A7E6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1878" w:type="dxa"/>
          </w:tcPr>
          <w:p w14:paraId="4DA0BC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1400</w:t>
            </w:r>
          </w:p>
        </w:tc>
      </w:tr>
      <w:tr w:rsidR="00F26F01" w:rsidRPr="00C33834" w14:paraId="1F392831" w14:textId="77777777">
        <w:tc>
          <w:tcPr>
            <w:tcW w:w="1878" w:type="dxa"/>
          </w:tcPr>
          <w:p w14:paraId="2F61C1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w:t>
            </w:r>
          </w:p>
        </w:tc>
        <w:tc>
          <w:tcPr>
            <w:tcW w:w="1878" w:type="dxa"/>
          </w:tcPr>
          <w:p w14:paraId="543ACC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1878" w:type="dxa"/>
          </w:tcPr>
          <w:p w14:paraId="6EBBAF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1878" w:type="dxa"/>
          </w:tcPr>
          <w:p w14:paraId="315A46F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1878" w:type="dxa"/>
          </w:tcPr>
          <w:p w14:paraId="6F620A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r>
      <w:tr w:rsidR="00F26F01" w:rsidRPr="00C33834" w14:paraId="4BF0FE81" w14:textId="77777777">
        <w:tc>
          <w:tcPr>
            <w:tcW w:w="1878" w:type="dxa"/>
          </w:tcPr>
          <w:p w14:paraId="6EC79E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126</w:t>
            </w:r>
          </w:p>
        </w:tc>
        <w:tc>
          <w:tcPr>
            <w:tcW w:w="1878" w:type="dxa"/>
          </w:tcPr>
          <w:p w14:paraId="7B07C9D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1878" w:type="dxa"/>
          </w:tcPr>
          <w:p w14:paraId="74D72B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878" w:type="dxa"/>
          </w:tcPr>
          <w:p w14:paraId="7D9A71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1878" w:type="dxa"/>
          </w:tcPr>
          <w:p w14:paraId="28EDF5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r>
      <w:tr w:rsidR="00F26F01" w:rsidRPr="00C33834" w14:paraId="7091EB53" w14:textId="77777777">
        <w:tc>
          <w:tcPr>
            <w:tcW w:w="1878" w:type="dxa"/>
          </w:tcPr>
          <w:p w14:paraId="776079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124</w:t>
            </w:r>
          </w:p>
        </w:tc>
        <w:tc>
          <w:tcPr>
            <w:tcW w:w="1878" w:type="dxa"/>
          </w:tcPr>
          <w:p w14:paraId="4B13876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1878" w:type="dxa"/>
          </w:tcPr>
          <w:p w14:paraId="473F79D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878" w:type="dxa"/>
          </w:tcPr>
          <w:p w14:paraId="69317E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1878" w:type="dxa"/>
          </w:tcPr>
          <w:p w14:paraId="2AE00E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w:t>
            </w:r>
          </w:p>
        </w:tc>
      </w:tr>
      <w:tr w:rsidR="00F26F01" w:rsidRPr="00C33834" w14:paraId="507EEEEE" w14:textId="77777777">
        <w:tc>
          <w:tcPr>
            <w:tcW w:w="1878" w:type="dxa"/>
          </w:tcPr>
          <w:p w14:paraId="28FDCE4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BE069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5B409F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1020</w:t>
            </w:r>
          </w:p>
        </w:tc>
        <w:tc>
          <w:tcPr>
            <w:tcW w:w="1878" w:type="dxa"/>
          </w:tcPr>
          <w:p w14:paraId="593C67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2800</w:t>
            </w:r>
          </w:p>
        </w:tc>
        <w:tc>
          <w:tcPr>
            <w:tcW w:w="1878" w:type="dxa"/>
          </w:tcPr>
          <w:p w14:paraId="7D58BE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3720</w:t>
            </w:r>
          </w:p>
        </w:tc>
      </w:tr>
      <w:tr w:rsidR="00F26F01" w:rsidRPr="00C33834" w14:paraId="305985FA" w14:textId="77777777">
        <w:tc>
          <w:tcPr>
            <w:tcW w:w="1878" w:type="dxa"/>
          </w:tcPr>
          <w:p w14:paraId="30A0F8F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A7B6F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Истребители</w:t>
            </w:r>
          </w:p>
        </w:tc>
        <w:tc>
          <w:tcPr>
            <w:tcW w:w="1878" w:type="dxa"/>
          </w:tcPr>
          <w:p w14:paraId="5C837A4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AF7A3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9467D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0420FEB" w14:textId="77777777">
        <w:tc>
          <w:tcPr>
            <w:tcW w:w="1878" w:type="dxa"/>
          </w:tcPr>
          <w:p w14:paraId="757586F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1878" w:type="dxa"/>
          </w:tcPr>
          <w:p w14:paraId="38C850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w:t>
            </w:r>
          </w:p>
        </w:tc>
        <w:tc>
          <w:tcPr>
            <w:tcW w:w="1878" w:type="dxa"/>
          </w:tcPr>
          <w:p w14:paraId="77B5FE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550</w:t>
            </w:r>
          </w:p>
        </w:tc>
        <w:tc>
          <w:tcPr>
            <w:tcW w:w="1878" w:type="dxa"/>
          </w:tcPr>
          <w:p w14:paraId="1BF6A3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1878" w:type="dxa"/>
          </w:tcPr>
          <w:p w14:paraId="5FE99D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r>
      <w:tr w:rsidR="00F26F01" w:rsidRPr="00C33834" w14:paraId="519B09B3" w14:textId="77777777">
        <w:tc>
          <w:tcPr>
            <w:tcW w:w="1878" w:type="dxa"/>
          </w:tcPr>
          <w:p w14:paraId="21696D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1878" w:type="dxa"/>
          </w:tcPr>
          <w:p w14:paraId="649244D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w:t>
            </w:r>
          </w:p>
        </w:tc>
        <w:tc>
          <w:tcPr>
            <w:tcW w:w="1878" w:type="dxa"/>
          </w:tcPr>
          <w:p w14:paraId="5A68A6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310</w:t>
            </w:r>
          </w:p>
        </w:tc>
        <w:tc>
          <w:tcPr>
            <w:tcW w:w="1878" w:type="dxa"/>
          </w:tcPr>
          <w:p w14:paraId="7BD1229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1878" w:type="dxa"/>
          </w:tcPr>
          <w:p w14:paraId="212989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r>
      <w:tr w:rsidR="00F26F01" w:rsidRPr="00C33834" w14:paraId="7C109E39" w14:textId="77777777">
        <w:tc>
          <w:tcPr>
            <w:tcW w:w="1878" w:type="dxa"/>
          </w:tcPr>
          <w:p w14:paraId="43D0022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1878" w:type="dxa"/>
          </w:tcPr>
          <w:p w14:paraId="1DEE67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w:t>
            </w:r>
          </w:p>
        </w:tc>
        <w:tc>
          <w:tcPr>
            <w:tcW w:w="1878" w:type="dxa"/>
          </w:tcPr>
          <w:p w14:paraId="5DFC1C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1600</w:t>
            </w:r>
          </w:p>
        </w:tc>
        <w:tc>
          <w:tcPr>
            <w:tcW w:w="1878" w:type="dxa"/>
          </w:tcPr>
          <w:p w14:paraId="2BDC60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2900</w:t>
            </w:r>
          </w:p>
        </w:tc>
        <w:tc>
          <w:tcPr>
            <w:tcW w:w="1878" w:type="dxa"/>
          </w:tcPr>
          <w:p w14:paraId="407FA60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3600</w:t>
            </w:r>
          </w:p>
        </w:tc>
      </w:tr>
      <w:tr w:rsidR="00F26F01" w:rsidRPr="00C33834" w14:paraId="21CC3F06" w14:textId="77777777">
        <w:tc>
          <w:tcPr>
            <w:tcW w:w="1878" w:type="dxa"/>
          </w:tcPr>
          <w:p w14:paraId="2492E87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2EC1B1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6D7BA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2460</w:t>
            </w:r>
          </w:p>
        </w:tc>
        <w:tc>
          <w:tcPr>
            <w:tcW w:w="1878" w:type="dxa"/>
          </w:tcPr>
          <w:p w14:paraId="3D2A65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4300</w:t>
            </w:r>
          </w:p>
        </w:tc>
        <w:tc>
          <w:tcPr>
            <w:tcW w:w="1878" w:type="dxa"/>
          </w:tcPr>
          <w:p w14:paraId="1E724B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r>
      <w:tr w:rsidR="00F26F01" w:rsidRPr="00C33834" w14:paraId="2A25ED30" w14:textId="77777777">
        <w:tc>
          <w:tcPr>
            <w:tcW w:w="1878" w:type="dxa"/>
          </w:tcPr>
          <w:p w14:paraId="339A93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C1403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Учебные</w:t>
            </w:r>
          </w:p>
        </w:tc>
        <w:tc>
          <w:tcPr>
            <w:tcW w:w="1878" w:type="dxa"/>
          </w:tcPr>
          <w:p w14:paraId="36D7C9A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F5FD8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AFA94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3BA11AC" w14:textId="77777777">
        <w:tc>
          <w:tcPr>
            <w:tcW w:w="1878" w:type="dxa"/>
          </w:tcPr>
          <w:p w14:paraId="0C0923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c>
          <w:tcPr>
            <w:tcW w:w="1878" w:type="dxa"/>
          </w:tcPr>
          <w:p w14:paraId="55A4CAC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w:t>
            </w:r>
          </w:p>
        </w:tc>
        <w:tc>
          <w:tcPr>
            <w:tcW w:w="1878" w:type="dxa"/>
          </w:tcPr>
          <w:p w14:paraId="2E0350B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1600</w:t>
            </w:r>
          </w:p>
        </w:tc>
        <w:tc>
          <w:tcPr>
            <w:tcW w:w="1878" w:type="dxa"/>
          </w:tcPr>
          <w:p w14:paraId="503C46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1600</w:t>
            </w:r>
          </w:p>
        </w:tc>
        <w:tc>
          <w:tcPr>
            <w:tcW w:w="1878" w:type="dxa"/>
          </w:tcPr>
          <w:p w14:paraId="337B13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1600</w:t>
            </w:r>
          </w:p>
        </w:tc>
      </w:tr>
      <w:tr w:rsidR="00F26F01" w:rsidRPr="00C33834" w14:paraId="3AF03971" w14:textId="77777777">
        <w:tc>
          <w:tcPr>
            <w:tcW w:w="1878" w:type="dxa"/>
          </w:tcPr>
          <w:p w14:paraId="6444C1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CC54F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1878" w:type="dxa"/>
          </w:tcPr>
          <w:p w14:paraId="7874831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8730</w:t>
            </w:r>
          </w:p>
        </w:tc>
        <w:tc>
          <w:tcPr>
            <w:tcW w:w="1878" w:type="dxa"/>
          </w:tcPr>
          <w:p w14:paraId="28D6369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11700</w:t>
            </w:r>
          </w:p>
        </w:tc>
        <w:tc>
          <w:tcPr>
            <w:tcW w:w="1878" w:type="dxa"/>
          </w:tcPr>
          <w:p w14:paraId="3CF916E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14330</w:t>
            </w:r>
          </w:p>
        </w:tc>
      </w:tr>
      <w:tr w:rsidR="00F26F01" w:rsidRPr="00C33834" w14:paraId="0A85EBEE" w14:textId="77777777">
        <w:tc>
          <w:tcPr>
            <w:tcW w:w="1878" w:type="dxa"/>
          </w:tcPr>
          <w:p w14:paraId="2CD86D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5E4423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w:t>
            </w:r>
          </w:p>
        </w:tc>
        <w:tc>
          <w:tcPr>
            <w:tcW w:w="1878" w:type="dxa"/>
          </w:tcPr>
          <w:p w14:paraId="20CCE52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F80440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6BF0D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7B76D06" w14:textId="77777777">
        <w:tc>
          <w:tcPr>
            <w:tcW w:w="1878" w:type="dxa"/>
          </w:tcPr>
          <w:p w14:paraId="4EB8D11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w:t>
            </w:r>
          </w:p>
        </w:tc>
        <w:tc>
          <w:tcPr>
            <w:tcW w:w="1878" w:type="dxa"/>
          </w:tcPr>
          <w:p w14:paraId="233A52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1878" w:type="dxa"/>
          </w:tcPr>
          <w:p w14:paraId="0F6B59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7500</w:t>
            </w:r>
          </w:p>
        </w:tc>
        <w:tc>
          <w:tcPr>
            <w:tcW w:w="1878" w:type="dxa"/>
          </w:tcPr>
          <w:p w14:paraId="2464B2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9450</w:t>
            </w:r>
          </w:p>
        </w:tc>
        <w:tc>
          <w:tcPr>
            <w:tcW w:w="1878" w:type="dxa"/>
          </w:tcPr>
          <w:p w14:paraId="462D6C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10000</w:t>
            </w:r>
          </w:p>
        </w:tc>
      </w:tr>
      <w:tr w:rsidR="00F26F01" w:rsidRPr="00C33834" w14:paraId="1E16A463" w14:textId="77777777">
        <w:tc>
          <w:tcPr>
            <w:tcW w:w="1878" w:type="dxa"/>
          </w:tcPr>
          <w:p w14:paraId="32DE653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1878" w:type="dxa"/>
          </w:tcPr>
          <w:p w14:paraId="18DE71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1878" w:type="dxa"/>
          </w:tcPr>
          <w:p w14:paraId="28B18EF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3700</w:t>
            </w:r>
          </w:p>
        </w:tc>
        <w:tc>
          <w:tcPr>
            <w:tcW w:w="1878" w:type="dxa"/>
          </w:tcPr>
          <w:p w14:paraId="3EC6F1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6500</w:t>
            </w:r>
          </w:p>
        </w:tc>
        <w:tc>
          <w:tcPr>
            <w:tcW w:w="1878" w:type="dxa"/>
          </w:tcPr>
          <w:p w14:paraId="71351F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11200</w:t>
            </w:r>
          </w:p>
        </w:tc>
      </w:tr>
      <w:tr w:rsidR="00F26F01" w:rsidRPr="00C33834" w14:paraId="419C89B2" w14:textId="77777777">
        <w:tc>
          <w:tcPr>
            <w:tcW w:w="1878" w:type="dxa"/>
          </w:tcPr>
          <w:p w14:paraId="65AD22F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w:t>
            </w:r>
          </w:p>
        </w:tc>
        <w:tc>
          <w:tcPr>
            <w:tcW w:w="1878" w:type="dxa"/>
          </w:tcPr>
          <w:p w14:paraId="3E2400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878" w:type="dxa"/>
          </w:tcPr>
          <w:p w14:paraId="0626B38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tc>
        <w:tc>
          <w:tcPr>
            <w:tcW w:w="1878" w:type="dxa"/>
          </w:tcPr>
          <w:p w14:paraId="15C145D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2800</w:t>
            </w:r>
          </w:p>
        </w:tc>
        <w:tc>
          <w:tcPr>
            <w:tcW w:w="1878" w:type="dxa"/>
          </w:tcPr>
          <w:p w14:paraId="32A010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4400</w:t>
            </w:r>
          </w:p>
        </w:tc>
      </w:tr>
      <w:tr w:rsidR="00F26F01" w:rsidRPr="00C33834" w14:paraId="0F76693D" w14:textId="77777777">
        <w:tc>
          <w:tcPr>
            <w:tcW w:w="1878" w:type="dxa"/>
          </w:tcPr>
          <w:p w14:paraId="2D5B43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1878" w:type="dxa"/>
          </w:tcPr>
          <w:p w14:paraId="214172F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878" w:type="dxa"/>
          </w:tcPr>
          <w:p w14:paraId="66E50D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w:t>
            </w:r>
          </w:p>
        </w:tc>
        <w:tc>
          <w:tcPr>
            <w:tcW w:w="1878" w:type="dxa"/>
          </w:tcPr>
          <w:p w14:paraId="7C44E80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w:t>
            </w:r>
          </w:p>
        </w:tc>
        <w:tc>
          <w:tcPr>
            <w:tcW w:w="1878" w:type="dxa"/>
          </w:tcPr>
          <w:p w14:paraId="7A865B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w:t>
            </w:r>
          </w:p>
        </w:tc>
      </w:tr>
      <w:tr w:rsidR="00F26F01" w:rsidRPr="00C33834" w14:paraId="0EB93A10" w14:textId="77777777">
        <w:tc>
          <w:tcPr>
            <w:tcW w:w="1878" w:type="dxa"/>
          </w:tcPr>
          <w:p w14:paraId="4CB007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1878" w:type="dxa"/>
          </w:tcPr>
          <w:p w14:paraId="182537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w:t>
            </w:r>
          </w:p>
        </w:tc>
        <w:tc>
          <w:tcPr>
            <w:tcW w:w="1878" w:type="dxa"/>
          </w:tcPr>
          <w:p w14:paraId="66D877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c>
          <w:tcPr>
            <w:tcW w:w="1878" w:type="dxa"/>
          </w:tcPr>
          <w:p w14:paraId="1973E0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2400</w:t>
            </w:r>
          </w:p>
        </w:tc>
        <w:tc>
          <w:tcPr>
            <w:tcW w:w="1878" w:type="dxa"/>
          </w:tcPr>
          <w:p w14:paraId="0D83A7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2400</w:t>
            </w:r>
          </w:p>
        </w:tc>
      </w:tr>
      <w:tr w:rsidR="00F26F01" w:rsidRPr="00C33834" w14:paraId="704E42F0" w14:textId="77777777">
        <w:tc>
          <w:tcPr>
            <w:tcW w:w="1878" w:type="dxa"/>
          </w:tcPr>
          <w:p w14:paraId="72F53B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4E62C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1878" w:type="dxa"/>
          </w:tcPr>
          <w:p w14:paraId="4D42090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15150</w:t>
            </w:r>
          </w:p>
        </w:tc>
        <w:tc>
          <w:tcPr>
            <w:tcW w:w="1878" w:type="dxa"/>
          </w:tcPr>
          <w:p w14:paraId="7960AEA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22350</w:t>
            </w:r>
          </w:p>
        </w:tc>
        <w:tc>
          <w:tcPr>
            <w:tcW w:w="1878" w:type="dxa"/>
          </w:tcPr>
          <w:p w14:paraId="0D18179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29200</w:t>
            </w:r>
          </w:p>
        </w:tc>
      </w:tr>
    </w:tbl>
    <w:p w14:paraId="056AE2C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намеченных к выпуску в 1934 моторов М-34 700 шт. идут на неавиационные цели - танки, гидролодки и т.п. (2282,55).</w:t>
      </w:r>
    </w:p>
    <w:p w14:paraId="708AD43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8FC3FB6" w14:textId="77777777" w:rsidR="00335E69" w:rsidRPr="00C33834" w:rsidRDefault="00335E6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ноября 1933</w:t>
      </w:r>
    </w:p>
    <w:p w14:paraId="2024FB2A" w14:textId="77777777" w:rsidR="00335E69" w:rsidRPr="00C33834" w:rsidRDefault="00335E6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Записка ЦКК-НКРКИ на имя председателя СНК и СТО В.М. Молотова «О поставке заводом № 26 Глававиапрома военведу некондиционных авиамоторов» от 19.11.1933 (18627).</w:t>
      </w:r>
    </w:p>
    <w:p w14:paraId="45C45020" w14:textId="77777777" w:rsidR="00335E69" w:rsidRPr="00C33834" w:rsidRDefault="00335E69" w:rsidP="00C33834">
      <w:pPr>
        <w:spacing w:after="0" w:line="240" w:lineRule="auto"/>
        <w:jc w:val="both"/>
        <w:rPr>
          <w:rFonts w:ascii="Times New Roman" w:hAnsi="Times New Roman"/>
          <w:color w:val="000000" w:themeColor="text1"/>
          <w:sz w:val="16"/>
          <w:szCs w:val="16"/>
        </w:rPr>
      </w:pPr>
    </w:p>
    <w:p w14:paraId="1742BB9C" w14:textId="77777777" w:rsidR="0036609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6241D4B" w14:textId="77777777" w:rsidR="00366092" w:rsidRPr="00C33834" w:rsidRDefault="0036609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284CD57" w14:textId="77777777" w:rsidR="00366092" w:rsidRPr="00C33834" w:rsidRDefault="00366092" w:rsidP="00C33834">
      <w:pPr>
        <w:pStyle w:val="rtejustify"/>
        <w:spacing w:before="0" w:after="0"/>
        <w:rPr>
          <w:color w:val="000000" w:themeColor="text1"/>
          <w:sz w:val="16"/>
          <w:szCs w:val="16"/>
        </w:rPr>
      </w:pPr>
      <w:r w:rsidRPr="00C33834">
        <w:rPr>
          <w:rStyle w:val="af0"/>
          <w:bCs/>
          <w:i w:val="0"/>
          <w:color w:val="000000" w:themeColor="text1"/>
          <w:sz w:val="16"/>
          <w:szCs w:val="16"/>
        </w:rPr>
        <w:t>19 ноября</w:t>
      </w:r>
      <w:r w:rsidRPr="00C33834">
        <w:rPr>
          <w:color w:val="000000" w:themeColor="text1"/>
          <w:sz w:val="16"/>
          <w:szCs w:val="16"/>
        </w:rPr>
        <w:t xml:space="preserve"> 1933. Постановление СТО СССР № 113сс/о «О выполнении заказов НКВМ на боеприпасы». (ГА РФ. Ф. Р</w:t>
      </w:r>
      <w:r w:rsidRPr="00C33834">
        <w:rPr>
          <w:color w:val="000000" w:themeColor="text1"/>
          <w:sz w:val="16"/>
          <w:szCs w:val="16"/>
        </w:rPr>
        <w:noBreakHyphen/>
        <w:t>8418. Оп. 28. Д. 3. Л. 38</w:t>
      </w:r>
      <w:r w:rsidRPr="00C33834">
        <w:rPr>
          <w:color w:val="000000" w:themeColor="text1"/>
          <w:sz w:val="16"/>
          <w:szCs w:val="16"/>
        </w:rPr>
        <w:noBreakHyphen/>
        <w:t>56) (15460).</w:t>
      </w:r>
    </w:p>
    <w:p w14:paraId="1BC66FA1" w14:textId="77777777" w:rsidR="00366092" w:rsidRPr="00C33834" w:rsidRDefault="00366092" w:rsidP="00C33834">
      <w:pPr>
        <w:pStyle w:val="rtejustify"/>
        <w:spacing w:before="0" w:after="0"/>
        <w:rPr>
          <w:color w:val="000000" w:themeColor="text1"/>
          <w:sz w:val="16"/>
          <w:szCs w:val="16"/>
        </w:rPr>
      </w:pPr>
    </w:p>
    <w:p w14:paraId="26B531FB" w14:textId="77777777" w:rsidR="000723F3" w:rsidRPr="00C33834" w:rsidRDefault="000723F3" w:rsidP="00C33834">
      <w:pPr>
        <w:pStyle w:val="ae"/>
        <w:shd w:val="clear" w:color="auto" w:fill="FFFFFF"/>
        <w:spacing w:before="0" w:after="0"/>
        <w:jc w:val="both"/>
        <w:rPr>
          <w:color w:val="000000" w:themeColor="text1"/>
          <w:sz w:val="16"/>
          <w:szCs w:val="16"/>
        </w:rPr>
      </w:pPr>
      <w:r w:rsidRPr="00C33834">
        <w:rPr>
          <w:color w:val="000000" w:themeColor="text1"/>
          <w:sz w:val="16"/>
          <w:szCs w:val="16"/>
        </w:rPr>
        <w:t>19 ноября 1933 года опытный завод получил задачу изготовить для вышеперечисленных танков коробки передач, бортовые передачи и другие элементы трансмиссии. Многие детали изготавливались на заводе «Красный Путиловец», позже ставший Кировским заводом. Между ОКМО и АТБ ЭКУ ОГПУ началась плотная переписка</w:t>
      </w:r>
      <w:r w:rsidRPr="00C33834">
        <w:rPr>
          <w:iCs/>
          <w:color w:val="000000" w:themeColor="text1"/>
          <w:sz w:val="16"/>
          <w:szCs w:val="16"/>
        </w:rPr>
        <w:t xml:space="preserve"> (17708).</w:t>
      </w:r>
    </w:p>
    <w:p w14:paraId="104B3065" w14:textId="77777777" w:rsidR="000723F3" w:rsidRPr="00C33834" w:rsidRDefault="000723F3" w:rsidP="00C33834">
      <w:pPr>
        <w:spacing w:after="0" w:line="240" w:lineRule="auto"/>
        <w:jc w:val="both"/>
        <w:rPr>
          <w:rFonts w:ascii="Times New Roman" w:eastAsia="Times New Roman" w:hAnsi="Times New Roman"/>
          <w:color w:val="000000" w:themeColor="text1"/>
          <w:sz w:val="16"/>
          <w:szCs w:val="16"/>
          <w:lang w:eastAsia="ru-RU"/>
        </w:rPr>
      </w:pPr>
    </w:p>
    <w:p w14:paraId="2F8C4DBC" w14:textId="77777777" w:rsidR="00335E69" w:rsidRPr="00C33834" w:rsidRDefault="00335E69"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348F043B" w14:textId="77777777" w:rsidR="00335E69" w:rsidRPr="00C33834" w:rsidRDefault="00335E6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DA22A97" w14:textId="77777777" w:rsidR="00335E69" w:rsidRPr="00C33834" w:rsidRDefault="00335E6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ноября 1933 г. в газете "Нью-Йорк Тайме" была опубликована большая статья о перспективах торговли с Советским Союзом и о валютной проблеме в отношениях двух государств. Автор статьи Эдвин Джеймс отмечал, что в 1930 г. США экспортировали в СССР товаров на сумму 111 млн долл. И это при отсутствии дипломатических отношений. Теперь наступили более обнадеживающие условия. Однако США, не заинтересованные в импорте советских товаров, не собирались закупать у России пшеницу, нефть, марганец, икру, водку. В то же время автор констатировал, что Германия, Англия и Италия пытаются сбалансировать торговлю с ней и нужно это учитывать. 25 ноября автор передовицы газеты "Джорналоф Коммерс" писал, что контингент и количество товаров, которые США получат из СССР, довольно ограничены, в то время как имелись большие возможности для американского экспорта в СССР (18280).</w:t>
      </w:r>
    </w:p>
    <w:p w14:paraId="0148D6EC" w14:textId="77777777" w:rsidR="00335E69" w:rsidRPr="00C33834" w:rsidRDefault="00335E69" w:rsidP="00C33834">
      <w:pPr>
        <w:spacing w:after="0" w:line="240" w:lineRule="auto"/>
        <w:jc w:val="both"/>
        <w:rPr>
          <w:rFonts w:ascii="Times New Roman" w:hAnsi="Times New Roman"/>
          <w:color w:val="000000" w:themeColor="text1"/>
          <w:sz w:val="16"/>
          <w:szCs w:val="16"/>
        </w:rPr>
      </w:pPr>
    </w:p>
    <w:p w14:paraId="6269DD25"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1255C43D"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F5617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ноября 1933 на парламентских выборах в Испании наибольшее число мест получили правые (СЭДА) (3481).</w:t>
      </w:r>
    </w:p>
    <w:p w14:paraId="24CC899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5C6F7C3"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D1BDD7D"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10CE298"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ноября 1933 в НИИ ВВС закончились гос. испытания модифицированного самолета ТБ3-4М17 № 22243, которые проходили с 25 октября по (6636).</w:t>
      </w:r>
    </w:p>
    <w:p w14:paraId="265DC76C"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76B84AC7"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Куликов</w:t>
      </w:r>
    </w:p>
    <w:p w14:paraId="1719BE9D"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летчик Кастанаев</w:t>
      </w:r>
    </w:p>
    <w:p w14:paraId="51B24C80"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402D9E92"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Выявить влияние на летные данные самолета ТБ-3 - увеличения площади крыльев, увеличение размаха, установки обтекателей на стыках крыльев, хвостового оперения и тележках шасси и улучшения обтекания других деталей.</w:t>
      </w:r>
    </w:p>
    <w:p w14:paraId="3129193D"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10B9F69B"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Считать совершенно необходимым внедрить в серийное производство самолетов ТБ3 улучшение конструкции и обтекаемости, выполненные на самолете ТБ3 № 22243.</w:t>
      </w:r>
    </w:p>
    <w:p w14:paraId="493649B0"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35C3F8D9" w14:textId="77777777">
        <w:tc>
          <w:tcPr>
            <w:tcW w:w="5636" w:type="dxa"/>
          </w:tcPr>
          <w:p w14:paraId="42B5B350"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октября 1933 года</w:t>
            </w:r>
          </w:p>
        </w:tc>
        <w:tc>
          <w:tcPr>
            <w:tcW w:w="5636" w:type="dxa"/>
          </w:tcPr>
          <w:p w14:paraId="4FACDDC0"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принят от ЦАГИ на испытания.</w:t>
            </w:r>
          </w:p>
        </w:tc>
      </w:tr>
      <w:tr w:rsidR="00F26F01" w:rsidRPr="00C33834" w14:paraId="04DBBA8E" w14:textId="77777777">
        <w:tc>
          <w:tcPr>
            <w:tcW w:w="5636" w:type="dxa"/>
          </w:tcPr>
          <w:p w14:paraId="3A2E7E77"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октября 1933 года</w:t>
            </w:r>
          </w:p>
        </w:tc>
        <w:tc>
          <w:tcPr>
            <w:tcW w:w="5636" w:type="dxa"/>
          </w:tcPr>
          <w:p w14:paraId="24B668B5"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горизонтальных скоростей по мерному километру.</w:t>
            </w:r>
          </w:p>
        </w:tc>
      </w:tr>
      <w:tr w:rsidR="00F26F01" w:rsidRPr="00C33834" w14:paraId="17F95096" w14:textId="77777777">
        <w:tc>
          <w:tcPr>
            <w:tcW w:w="5636" w:type="dxa"/>
          </w:tcPr>
          <w:p w14:paraId="7C90820B"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ноября 1933 года</w:t>
            </w:r>
          </w:p>
        </w:tc>
        <w:tc>
          <w:tcPr>
            <w:tcW w:w="5636" w:type="dxa"/>
          </w:tcPr>
          <w:p w14:paraId="4ED9E37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скороподъемности, потолка, горизонтальных скоростей по высотам, полет на зубцы.</w:t>
            </w:r>
          </w:p>
        </w:tc>
      </w:tr>
    </w:tbl>
    <w:p w14:paraId="52954EFA"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 испытания выполнены за 28 календарных дней, из них полетных дней – 2.</w:t>
      </w:r>
    </w:p>
    <w:p w14:paraId="4503A769"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Особенности конструкции самолета, отличающие его от серийных самолетов</w:t>
      </w:r>
    </w:p>
    <w:p w14:paraId="383A31C6"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Увеличена площадь крыльев.</w:t>
      </w:r>
    </w:p>
    <w:p w14:paraId="2B944F79"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Увеличен размах крыльев.</w:t>
      </w:r>
    </w:p>
    <w:p w14:paraId="73B9A6ED"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руле направления монтирован управляемый компенсатор типа «Флейтнера».</w:t>
      </w:r>
    </w:p>
    <w:p w14:paraId="3445C75D"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Закрыты обтекателями стыки крыла и фюзеляжа.</w:t>
      </w:r>
    </w:p>
    <w:p w14:paraId="73FDF899"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Сняты подножки на правом крыле.</w:t>
      </w:r>
    </w:p>
    <w:p w14:paraId="71370029"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Закрыты обтекателями стыки киля и стабилизатора с фюзеляжем.</w:t>
      </w:r>
    </w:p>
    <w:p w14:paraId="660E2B64"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Закрыты обтекателями стыки капотов моторов с крылом.</w:t>
      </w:r>
    </w:p>
    <w:p w14:paraId="48A376F7"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Переделаны капоты радиаторов – улучшено обтекание их.</w:t>
      </w:r>
    </w:p>
    <w:p w14:paraId="4217C130"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Поставлены обтекатели на тележки колес шасси.</w:t>
      </w:r>
    </w:p>
    <w:p w14:paraId="245B3803"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Поставлены обтекатели на полуоси шасси.</w:t>
      </w:r>
    </w:p>
    <w:p w14:paraId="5A80A24E"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Улучшена обтекаемость носовой турели: обрезы сглажены фанерным покрытием.</w:t>
      </w:r>
    </w:p>
    <w:p w14:paraId="13DF74AA"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Передняя кормовая кабина закрыта наглухо.</w:t>
      </w:r>
    </w:p>
    <w:p w14:paraId="7E8B4790"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Сняты каркасы фар и динамо-машины в носке крыла, отверстия заглажены ровными щитками.</w:t>
      </w:r>
    </w:p>
    <w:p w14:paraId="40456D27"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Сняты дверцы бомболюков и заменены гладкими щитками.</w:t>
      </w:r>
    </w:p>
    <w:p w14:paraId="4279452A"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Клапан тяги руля высоты в задней части фюзеляжа переставлен вовнутрь.</w:t>
      </w:r>
    </w:p>
    <w:p w14:paraId="415F277C"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Поставлены новые винты конструкции ЦАГИ.</w:t>
      </w:r>
    </w:p>
    <w:p w14:paraId="7A7AA7F8"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Сняты подкрыльевые башни (6636).</w:t>
      </w:r>
    </w:p>
    <w:p w14:paraId="4E8AD2D3"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C6BAB3"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20 ноября</w:t>
      </w:r>
      <w:r w:rsidRPr="00C33834">
        <w:rPr>
          <w:rFonts w:ascii="Times New Roman" w:hAnsi="Times New Roman"/>
          <w:color w:val="000000" w:themeColor="text1"/>
          <w:sz w:val="16"/>
          <w:szCs w:val="16"/>
        </w:rPr>
        <w:t xml:space="preserve"> в 1933 году около Харькова, Украина, СССР, из-за структурного повреждения разбивается «Калинин К-7». Из 20 человек на борту погибает 15 (14836).</w:t>
      </w:r>
    </w:p>
    <w:p w14:paraId="68F53AE5" w14:textId="77777777" w:rsidR="00366092" w:rsidRPr="00C33834" w:rsidRDefault="00366092" w:rsidP="00C33834">
      <w:pPr>
        <w:spacing w:after="0" w:line="240" w:lineRule="auto"/>
        <w:jc w:val="both"/>
        <w:rPr>
          <w:rFonts w:ascii="Times New Roman" w:hAnsi="Times New Roman"/>
          <w:color w:val="000000" w:themeColor="text1"/>
          <w:sz w:val="16"/>
          <w:szCs w:val="16"/>
        </w:rPr>
      </w:pPr>
    </w:p>
    <w:p w14:paraId="22E1432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ноября 1933 после гос. испытаний, которые проходили в сентябре-ноябре 1933, экипаж л Иванова впервые успешно дозаправил ТБ-3 в воздухе от другого ТБ-3 (1854,11).</w:t>
      </w:r>
    </w:p>
    <w:p w14:paraId="36DAE2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6424B31" w14:textId="77777777" w:rsidR="009F4E71" w:rsidRPr="00C33834" w:rsidRDefault="009F4E71"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20 ноября 1933 удалось провести две успешные дозаправки в воздухе ТБ-3. При этом самолёты выполняли одновременный разворот на 180 градусов, не прекращая перелива топлива </w:t>
      </w:r>
      <w:hyperlink r:id="rId376" w:history="1">
        <w:r w:rsidRPr="00C33834">
          <w:rPr>
            <w:rFonts w:ascii="Times New Roman" w:eastAsia="Times New Roman" w:hAnsi="Times New Roman"/>
            <w:color w:val="000000" w:themeColor="text1"/>
            <w:sz w:val="16"/>
            <w:szCs w:val="16"/>
            <w:lang w:eastAsia="ru-RU"/>
          </w:rPr>
          <w:t>[57]</w:t>
        </w:r>
      </w:hyperlink>
      <w:r w:rsidRPr="00C33834">
        <w:rPr>
          <w:rFonts w:ascii="Times New Roman" w:eastAsia="Times New Roman" w:hAnsi="Times New Roman"/>
          <w:color w:val="000000" w:themeColor="text1"/>
          <w:sz w:val="16"/>
          <w:szCs w:val="16"/>
          <w:lang w:eastAsia="ru-RU"/>
        </w:rPr>
        <w:t xml:space="preserve"> .</w:t>
      </w:r>
    </w:p>
    <w:p w14:paraId="384B5D62" w14:textId="77777777" w:rsidR="009F4E71" w:rsidRPr="00C33834" w:rsidRDefault="009F4E71"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На следующий год были намечены войсковые испытания. С этой целью планировалось подготовить двенадцать Р-5 с добавочными баками в фюзеляже и усовершенствованной аппаратурой для дозаправки (необходимо было уменьшить усилия при наматывании шланга на барабан самолёта-заправщика).</w:t>
      </w:r>
    </w:p>
    <w:p w14:paraId="3E4A567D" w14:textId="77777777" w:rsidR="009F4E71" w:rsidRPr="00C33834" w:rsidRDefault="009F4E71"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Но вскоре стало понятно, что использование одномоторного самолёта для дозаправки четырёхмоторного бомбардировщика лишено практического смысла: даже с дополнительным баком Р-5 мог передать не больше 1000 л бензина, что составляло всего около 15 % ёмкости топливных баков ТБ-3. Другое дело, если использовать тяжёлый бомбардировщик не в качестве заправляемого, а как заправщик. Этим и занялась группа Запанованного, работающая теперь в составе военного КБ-1.</w:t>
      </w:r>
    </w:p>
    <w:p w14:paraId="44E4C3BD" w14:textId="77777777" w:rsidR="009F4E71" w:rsidRPr="00C33834" w:rsidRDefault="009F4E71"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Год ушел на проект переделки бомбардировщика в топливозаправщик. В 1935 г. в НИИ ВВС начали работы по установке топливного оборудования на ТБ-3. Внутри фюзеляжа разместили барабан с намотанным на него шлангом.</w:t>
      </w:r>
    </w:p>
    <w:p w14:paraId="17360AB2" w14:textId="77777777" w:rsidR="009F4E71" w:rsidRPr="00C33834" w:rsidRDefault="009F4E71"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Шланг выпускался и втягивался ручной лебедкой через люк в полу, бензин к нему поступал от баков в крыле. Снаружи шланг подкрепили стальными тросами, служащими также для предотвращения опасности возникновения искры из-за разности электрических потенциалов самолётов в момент заправки. В магистраль слива был вмонтирован полуавтоматический клапан, открывавший и закрывавший перетекание топлива. Насоса не было, как и в прежних экспериментах топливо должно выливаться за счёт большей высоты полёта заправщика. Вес заправочного агрегата АЗ-21 равнялся 59 кг.</w:t>
      </w:r>
    </w:p>
    <w:p w14:paraId="0F450AC3" w14:textId="77777777" w:rsidR="009F4E71" w:rsidRPr="00C33834" w:rsidRDefault="009F4E71"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lastRenderedPageBreak/>
        <w:t>На этот раз планировалось заправлять истребители, чтобы уравнять их дальность с дальностью бомбардировщика, который им предстояло охранять. Для опытов один биплан И-5 и один моноплан И-16 оснастили заливными горловинами с устройствами АЗ-22, выталкивающими шланг после заправки и перекрывающими бензопровод к топливному баку истребителя.</w:t>
      </w:r>
    </w:p>
    <w:p w14:paraId="66BA81E0" w14:textId="77777777" w:rsidR="009F4E71" w:rsidRPr="00C33834" w:rsidRDefault="009F4E71"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«Сначала надо было проверить, — пишет Котельников, — сможет ли пилот истребителя поймать наконечник шланга. Ведь в полёте у него будут заняты обе руки: одной надо держать ручку управления, выдерживая положение под заправщиком, другой — сектор газа, выравнивая скорости. Оставалось только рискнуть, на время отпустив одну из ручек. В первых полётах в январе 1936 г. И-5 пилотировал капитан Соколов. Он тренировался, ловя фал, выпускавшийся из люка в днище фюзеляжа бомбардировщика. Последним управляли капитан Курбан и старший лейтенант Брагин. Задача оказалась нелёгкой, надолго бросить сектор газа не удавалось. Отпустить же ручку на не очень устойчивом И-5 и вовсе было невозможно. Тем не менее пять раз Соколов успешно ловил „грузовую грушу“ на фале. С 11 февраля на И-5 стал летать испытатель С.П. Супрун. Однако старый биплан использовали только для тренировки, хотя он и имел оборудование для перелива (17489).</w:t>
      </w:r>
    </w:p>
    <w:p w14:paraId="1C156091" w14:textId="77777777" w:rsidR="009F4E71" w:rsidRPr="00C33834" w:rsidRDefault="009F4E71" w:rsidP="00C33834">
      <w:pPr>
        <w:spacing w:after="0" w:line="240" w:lineRule="auto"/>
        <w:jc w:val="both"/>
        <w:rPr>
          <w:rFonts w:ascii="Times New Roman" w:eastAsia="Times New Roman" w:hAnsi="Times New Roman"/>
          <w:color w:val="000000" w:themeColor="text1"/>
          <w:sz w:val="16"/>
          <w:szCs w:val="16"/>
          <w:lang w:eastAsia="ru-RU"/>
        </w:rPr>
      </w:pPr>
    </w:p>
    <w:p w14:paraId="179A3122" w14:textId="77777777" w:rsidR="00130484" w:rsidRPr="00C33834" w:rsidRDefault="0013048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20 ноября 1933 была проведена первая успешная дозаправка в воздухе ТБ-3 с горловиной для дозаправки перед верхними фюзеляжными турелями, и. В качестве танкера использовался Р-5 первой серии, на котором были установлены лебедки с бронированным (т.е. имеющим защитную металлическую оплетку) шлангом, который стабилизировался тяжелой «грузовой грушей» на конце Затем в дополнение к одномоторным Р-5 были сделаны и самолеты-заправщики на базе ТБ-1 и ТБ-3.</w:t>
      </w:r>
    </w:p>
    <w:p w14:paraId="115B9443" w14:textId="77777777" w:rsidR="00130484" w:rsidRPr="00C33834" w:rsidRDefault="0013048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Опыты продолжались до 1936 г., главной причиной их прекращения было появление в СССР нового класса стратегических самолетов — скоростных и высотных дальних бомбардировщиков. Двухмоторный самолет ДБ-3 с дальностью полета 4000 км мог бомбить основные цели в Германии и Японии и без дозаправки в воздухе. Но в годы Отечественной войны о ней пришлось вспомнить (23013).</w:t>
      </w:r>
    </w:p>
    <w:p w14:paraId="01537695" w14:textId="77777777" w:rsidR="00130484" w:rsidRPr="00C33834" w:rsidRDefault="00130484" w:rsidP="00C33834">
      <w:pPr>
        <w:spacing w:after="0" w:line="240" w:lineRule="auto"/>
        <w:jc w:val="both"/>
        <w:rPr>
          <w:rFonts w:ascii="Times New Roman" w:hAnsi="Times New Roman"/>
          <w:color w:val="0070C0"/>
          <w:sz w:val="16"/>
          <w:szCs w:val="16"/>
        </w:rPr>
      </w:pPr>
    </w:p>
    <w:p w14:paraId="7B266D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ноября 1933 экипаж летчика Иванова впервые успешно дозаправил свой ТБ-3 с Р-5, который выступал в качестве танкера. С Р-5 ручной лебедкой выпускался бронированный шланг, на конце которого висела -грузовая груша» - попросту увесистая гиря. Дозаправлялся ТБ-3 с моторами М-17. Приемная горловина на бомбардировщике размещалась на фюзеляже перед турелями Тур-5, от нее шла разводка к крыльевым бакам. Бензин с танкера поступал самотеком - заправщик просто шел несколько выше заправляемого самолета. Доработку Р-5 и ТБ-3 осуществлял завод №39. «Грузовую грушу» ловили сразу два стрелка - один не мог удержать бьющийся на ветру шланг. Впоследствии бомбардировщик Туполева сам стал танкером. С него заправлялись в полете истребители И-5, а затем и куда более скоростные И-16. На ТБ-3Р монтировался комплект АЗ-21 весом 59,3 кг, на истребителе - АЗ-22 (примная горловина и автоматический отсекающий клапан). Всего переоборудовали два ТБ-3Р (9807).</w:t>
      </w:r>
    </w:p>
    <w:p w14:paraId="0C4849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C396E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ноября 1933 экипаж летчика Иванова впервые успешно дозаправил свой ТБ-3. Дозаправлялся самолет одной из ранних серий с моторами М-17. Приемная горловина на бомбардировщике размещалась на фюзеляже перед турелями Тур-5, от нее шла разводка к крыльевым бакам. Доработку ТБ-3 осуществлял завод № 39. Но для него бензин, сливавшийся с переоборудованного разведчика, был "каплей в море". Альтернативно рассматривали другие типы самолетов. На роль "бензиноносца" примеряли ТБ-1, пассажирские трехмоторный АНТ-9 и пятимоторный АНТ-14. Проект переделки АНТ-9 в танкер разрабатывался в Осконбюро ВВС, руководимом П.И. Гроховским. В эту организацию влилась группа Запанованного, которая фактически и вела конструирование. Параллельно там же делали проект доработки ТБ-1. По АНТ-14 сделали только самые прикидочные расчеты; эта машина предназначалась для снабжения горючим в воздухе шестимоторного бомбардировщика ТБ-4. В проекте самолета Г-1 (Д-1) предусматривался вариант "танкера сопровождения". Последний должен был лететь в составе соединения, подпитывая бензином тяжелые бомбовозы и сопровождающие их "крейсера". Г-1 мог дозаправить в одном вылете, например, две с половиной эскадрильи "крейсеров" Р-6 - три десятка машин. По-видимому, на "танкере" предусматривалась не одна, а две линии заправки с одинаковым оборудованием. Но все это остаюсь лишь в проектах. Вариант заправщика предлагал и B.C. Вахмистров для своей "авиаматки" - огромного "летающего крыла", прорисованного автором в эскизах.</w:t>
      </w:r>
    </w:p>
    <w:p w14:paraId="52598F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Несколько дальше ушли с превращением в танкер бомбардировщика ТБ-3. Его грузоподъемность и габариты позволяли взять немало дополнительного горючего. Группа Запанованного, которая при передаче Осконбюро Нарком- тяжпрому перешла в состав военного КБ-1, выполнила один за другим несколько подобных проектов. С каждым разом оборудование становилось легче и надежнее. Но в связи с крайней дефицитностью ТБ-3 до реализации дело дошло лишь в 1935 г. В НИИ ВВС переоборудовали два самолета - № 22610 и № 22464, оба с моторами М-34Р. Шланг-дюрит был намотан на барабан, располагавшийся в хвостовой части фюзеляжа. Он выпускался и втягивался ручной лебедкой через люк в полу за кабиной радиста. Шланг снаружи армировался стальными тросами - как для повышения прочности, так и для выравнивания потенциалов. Бензин для перелива браш из средних центропланных баков. Между 3-м и 4-м шпангоутами Ф-3 бомбардировщика находился полуавтомат перелива, открывавший и закрывавший магистраль. Насоса не было; топливо, как и ранее, переливалось под воздействием собственного веса. Общий вес комплекта АЗ-21 на ТБ-3 равнялся 59,32 кг.</w:t>
      </w:r>
    </w:p>
    <w:p w14:paraId="50D9F84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Конструкцию КБ-1 одобрили. Отчет НИИ ВВС рекомендовал изготовить серию комплектов для дозаправки. Ознакомившийся с отчетом начальник ВВС РККА Я.И. Алк- снис наложил резолюцию: "Провести войсковые испытания на трех ТБ-3". Но никаких следов дальнейших работ по дозаправке в довоенный период мне найти не удалось. Что было этому причиной? Возможно, быстрый рост скоростей самолетов. Все эксперименты с системами Запано- ванного велись на скоростях не более 200 км/ч, шланг ловили руками из открытых кабин. При больших скоростях это стало невозможно, кроме того, кабины закрыли фонарями, стрелковые установки - экранами (12036).</w:t>
      </w:r>
    </w:p>
    <w:p w14:paraId="5517583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BA049A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ноября 1933 года был утвержден пом. нач. ГУАП как временный.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F26F01" w:rsidRPr="00C33834" w14:paraId="613503CA" w14:textId="77777777">
        <w:tc>
          <w:tcPr>
            <w:tcW w:w="3757" w:type="dxa"/>
          </w:tcPr>
          <w:p w14:paraId="4F36D9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НКТП</w:t>
            </w:r>
          </w:p>
        </w:tc>
        <w:tc>
          <w:tcPr>
            <w:tcW w:w="3757" w:type="dxa"/>
          </w:tcPr>
          <w:p w14:paraId="063456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Глававиапром</w:t>
            </w:r>
          </w:p>
        </w:tc>
        <w:tc>
          <w:tcPr>
            <w:tcW w:w="3757" w:type="dxa"/>
          </w:tcPr>
          <w:p w14:paraId="20E736F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Объединенное бюро стандартизации (ОБСА)</w:t>
            </w:r>
          </w:p>
        </w:tc>
      </w:tr>
      <w:tr w:rsidR="00F26F01" w:rsidRPr="00C33834" w14:paraId="175E63BB" w14:textId="77777777">
        <w:tc>
          <w:tcPr>
            <w:tcW w:w="3757" w:type="dxa"/>
          </w:tcPr>
          <w:p w14:paraId="49DF369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Авиационный стандарт</w:t>
            </w:r>
          </w:p>
        </w:tc>
        <w:tc>
          <w:tcPr>
            <w:tcW w:w="3757" w:type="dxa"/>
          </w:tcPr>
          <w:p w14:paraId="133E59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 СТУ</w:t>
            </w:r>
          </w:p>
        </w:tc>
        <w:tc>
          <w:tcPr>
            <w:tcW w:w="3757" w:type="dxa"/>
          </w:tcPr>
          <w:p w14:paraId="5A0546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FC997B2" w14:textId="77777777">
        <w:tc>
          <w:tcPr>
            <w:tcW w:w="3757" w:type="dxa"/>
          </w:tcPr>
          <w:p w14:paraId="1B24B71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ХАИ 1М-22</w:t>
            </w:r>
          </w:p>
        </w:tc>
        <w:tc>
          <w:tcPr>
            <w:tcW w:w="3757" w:type="dxa"/>
          </w:tcPr>
          <w:p w14:paraId="6A90524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w:t>
            </w:r>
          </w:p>
        </w:tc>
        <w:tc>
          <w:tcPr>
            <w:tcW w:w="3757" w:type="dxa"/>
          </w:tcPr>
          <w:p w14:paraId="3DB2649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4590B0D" w14:textId="77777777">
        <w:tc>
          <w:tcPr>
            <w:tcW w:w="3757" w:type="dxa"/>
          </w:tcPr>
          <w:p w14:paraId="73CD73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w:t>
            </w:r>
          </w:p>
        </w:tc>
        <w:tc>
          <w:tcPr>
            <w:tcW w:w="3757" w:type="dxa"/>
          </w:tcPr>
          <w:p w14:paraId="2BCBA4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3E8160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1-е издание (3100)</w:t>
            </w:r>
          </w:p>
        </w:tc>
      </w:tr>
    </w:tbl>
    <w:p w14:paraId="67099C5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ноября 1933 года был подготовлен Отчет по гос. испытаниям ж/д торпед ЖДТ-1 и ЖДТ-3 системы Бродского, изготовленных КБ N 5 УВИ НВ РККА, предназначаемые для поражения ж/д составов, бронепоездов и мостов при воздушно-десантных операциях</w:t>
      </w:r>
    </w:p>
    <w:p w14:paraId="76C036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Земные испытания начались - 2 октября 1933 года</w:t>
      </w:r>
    </w:p>
    <w:p w14:paraId="46F619D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Земные испытания закончились - 15 октября 1933 года</w:t>
      </w:r>
    </w:p>
    <w:p w14:paraId="6A4955B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Подготовка к воздушным испытаниям велась непрерывно до 15 ноября</w:t>
      </w:r>
    </w:p>
    <w:p w14:paraId="1A6B4C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Место испытаний - предварительных земных и воздушных в Москве</w:t>
      </w:r>
    </w:p>
    <w:p w14:paraId="2168EC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Земных испытаний - в Ильино на научно-испытательном ж/д полигоне</w:t>
      </w:r>
    </w:p>
    <w:p w14:paraId="513858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799C9A0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Выявить возможность применения указанных торпед ЖДТ-1 (ЖДТ-3) при десантных операциях для разрушения ж/д составов, бронепоездов, путей и мостов, в частности:</w:t>
      </w:r>
    </w:p>
    <w:p w14:paraId="07CE08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Удобство подвески торпед под самолетом (с использованием существующих держателей на самолете).</w:t>
      </w:r>
    </w:p>
    <w:p w14:paraId="061FC6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Установку на ж/д полотно после падения и потребное число обслуживающего персонала.</w:t>
      </w:r>
    </w:p>
    <w:p w14:paraId="0C19DB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Техническое устройство торпед (действие механизмов).</w:t>
      </w:r>
    </w:p>
    <w:p w14:paraId="570E0AD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Устойчивость торпед в пути (при разных закруглениях профиля пути).</w:t>
      </w:r>
    </w:p>
    <w:p w14:paraId="50C399E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Среднюю скорость передвижения торпеды по ж/д полотну и ее максимальный радиус действия.</w:t>
      </w:r>
    </w:p>
    <w:p w14:paraId="7AF3EF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 Характер разрушительного действия торпеды (ЖДТ-3).</w:t>
      </w:r>
    </w:p>
    <w:p w14:paraId="7B3EF2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Полученные результаты должны дать возможность судить о целесообразности производства войсковых испытаний и дать конструктивные изменения, которые должны быть внесены в этом случае.</w:t>
      </w:r>
    </w:p>
    <w:p w14:paraId="38E34D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Выводы</w:t>
      </w:r>
    </w:p>
    <w:p w14:paraId="032B3C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ЖДТ-1 и ЖДТ-3 испытания выдержали. Необходимо произвести войсковые испытания (3853).</w:t>
      </w:r>
    </w:p>
    <w:p w14:paraId="2CBE0F9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267DF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ноября 1933 года врио начальника СНИИ Рафаэлянц писал письмо № 61021 начальнику ГУГУВФ Уншлихту (через начальника НТУ Грозу)</w:t>
      </w:r>
    </w:p>
    <w:p w14:paraId="35EAC1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Докладная записка</w:t>
      </w:r>
    </w:p>
    <w:p w14:paraId="0A02D6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СНИИ организован осенью 1930 года, направление и характер своей деятельности получил на 1-й Всесоюзной конференции работников ГВФ в феврале 1931 года.</w:t>
      </w:r>
    </w:p>
    <w:p w14:paraId="29F0F0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1B481F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СНИИ состоит из отделов:</w:t>
      </w:r>
    </w:p>
    <w:p w14:paraId="38E184D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Эксплуатационно-технического</w:t>
      </w:r>
    </w:p>
    <w:p w14:paraId="3EB16D5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Опытного самолетостроения</w:t>
      </w:r>
    </w:p>
    <w:p w14:paraId="37BB8E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Строительства глиссеров и аэросаней</w:t>
      </w:r>
    </w:p>
    <w:p w14:paraId="31444E9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Вспомогательные</w:t>
      </w:r>
    </w:p>
    <w:p w14:paraId="24883C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работы выполненные уже и ведущиеся СНИИ:</w:t>
      </w:r>
    </w:p>
    <w:p w14:paraId="197DD4A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Произведены испытания и дана оценка и конструктивный материал по самолетам К-4, К-5, К-8, К-10, АНТ-9 с 3-мя М-26, АНТ-9 с 2-мя М-17, С-2, С-3, АИР-4, АИР-6, НИАИ-1, НИАИ-4, АНТ-14 и др. Переоборудован самолет АНТ-9 под 2 М-17 и введен в серию в связи со снятием мотора М-26 со снабжения.</w:t>
      </w:r>
    </w:p>
    <w:p w14:paraId="0B52CD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Сконструированы и изготовлены и пущены в воздух самолеты: С-2, С-6, ОСГА-101, сконструировано механизированное крыло на АИР-4, построен ИТ-9. Выполняется ДАР, Щ-5, Геликожир и проектируются С-7 и Гидро № 1.</w:t>
      </w:r>
    </w:p>
    <w:p w14:paraId="02A742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65A563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Предложения:</w:t>
      </w:r>
    </w:p>
    <w:p w14:paraId="14F62F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Следует создать единый эксплуатационный институт ГВФ наподобие НИИ ВВС в составе отделов самолетного, моторного, спецслужб, аэродромного и наземного оборудования.</w:t>
      </w:r>
    </w:p>
    <w:p w14:paraId="4386FE6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НИИ должен быть единый летный отряд ……………………</w:t>
      </w:r>
    </w:p>
    <w:p w14:paraId="2CDBAFE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Опытное строительство самолетов и моторов должно быть выведено отдельно и связано с производственной базой (например завод № 81 или № 82) (7738, 119-117).</w:t>
      </w:r>
    </w:p>
    <w:p w14:paraId="02F736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0F21487" w14:textId="77777777" w:rsidR="00366092" w:rsidRPr="00C33834" w:rsidRDefault="00366092" w:rsidP="00C33834">
      <w:pPr>
        <w:pStyle w:val="rtejustify"/>
        <w:spacing w:before="0" w:after="0"/>
        <w:rPr>
          <w:color w:val="000000" w:themeColor="text1"/>
          <w:sz w:val="16"/>
          <w:szCs w:val="16"/>
        </w:rPr>
      </w:pPr>
      <w:r w:rsidRPr="00C33834">
        <w:rPr>
          <w:rStyle w:val="af0"/>
          <w:bCs/>
          <w:i w:val="0"/>
          <w:color w:val="000000" w:themeColor="text1"/>
          <w:sz w:val="16"/>
          <w:szCs w:val="16"/>
        </w:rPr>
        <w:t>20 ноября</w:t>
      </w:r>
      <w:r w:rsidRPr="00C33834">
        <w:rPr>
          <w:color w:val="000000" w:themeColor="text1"/>
          <w:sz w:val="16"/>
          <w:szCs w:val="16"/>
        </w:rPr>
        <w:t xml:space="preserve"> 1933. Постановление СТО СССР № 114сс/о «О закупке морских моторов авиационного типа». (ГА РФ. Ф. Р</w:t>
      </w:r>
      <w:r w:rsidRPr="00C33834">
        <w:rPr>
          <w:color w:val="000000" w:themeColor="text1"/>
          <w:sz w:val="16"/>
          <w:szCs w:val="16"/>
        </w:rPr>
        <w:noBreakHyphen/>
        <w:t>8418. Оп. 28. Д. 3. Л. 57) (15460).</w:t>
      </w:r>
    </w:p>
    <w:p w14:paraId="420A64F3" w14:textId="77777777" w:rsidR="00366092" w:rsidRPr="00C33834" w:rsidRDefault="00366092" w:rsidP="00C33834">
      <w:pPr>
        <w:pStyle w:val="rtejustify"/>
        <w:spacing w:before="0" w:after="0"/>
        <w:rPr>
          <w:color w:val="000000" w:themeColor="text1"/>
          <w:sz w:val="16"/>
          <w:szCs w:val="16"/>
        </w:rPr>
      </w:pPr>
    </w:p>
    <w:p w14:paraId="23CF89F5" w14:textId="77777777" w:rsidR="00366092" w:rsidRPr="00C33834" w:rsidRDefault="00366092" w:rsidP="00C33834">
      <w:pPr>
        <w:pStyle w:val="rtejustify"/>
        <w:spacing w:before="0" w:after="0"/>
        <w:rPr>
          <w:color w:val="000000" w:themeColor="text1"/>
          <w:sz w:val="16"/>
          <w:szCs w:val="16"/>
        </w:rPr>
      </w:pPr>
      <w:r w:rsidRPr="00C33834">
        <w:rPr>
          <w:rStyle w:val="af0"/>
          <w:bCs/>
          <w:i w:val="0"/>
          <w:color w:val="000000" w:themeColor="text1"/>
          <w:sz w:val="16"/>
          <w:szCs w:val="16"/>
        </w:rPr>
        <w:t>20 ноября 1933 вышел приказ НКТП № 219с.</w:t>
      </w:r>
      <w:r w:rsidRPr="00C33834">
        <w:rPr>
          <w:color w:val="000000" w:themeColor="text1"/>
          <w:sz w:val="16"/>
          <w:szCs w:val="16"/>
        </w:rPr>
        <w:t xml:space="preserve"> О мерах по обеспечению основных договоров на 1934 г. с НКВМ СССР по снарядам и авиабомбам чертежами и техническими условиями. (РГАЭ. Ф. 7297. Оп. 38. Д. 38. Л. 192</w:t>
      </w:r>
      <w:r w:rsidRPr="00C33834">
        <w:rPr>
          <w:color w:val="000000" w:themeColor="text1"/>
          <w:sz w:val="16"/>
          <w:szCs w:val="16"/>
        </w:rPr>
        <w:noBreakHyphen/>
        <w:t>191) (15246).</w:t>
      </w:r>
    </w:p>
    <w:p w14:paraId="6BEC4103" w14:textId="77777777" w:rsidR="00366092" w:rsidRPr="00C33834" w:rsidRDefault="00366092" w:rsidP="00C33834">
      <w:pPr>
        <w:pStyle w:val="rtejustify"/>
        <w:spacing w:before="0" w:after="0"/>
        <w:rPr>
          <w:color w:val="000000" w:themeColor="text1"/>
          <w:sz w:val="16"/>
          <w:szCs w:val="16"/>
        </w:rPr>
      </w:pPr>
    </w:p>
    <w:p w14:paraId="6186F5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ноября 1933 г. приказом Наркомата тяжелой промышленности СССР был создан Всесоюзный научно-исследовательский институт газа и искусственного жидкого топлива (ВНИГИ) Министерства нефтяной промышленности СССР, г. Москва, 1933 - 1954. Всесоюзный научно-исследовательский институт газа и искусственного жидкого топлива (ВНИГИ). Приказом Министерства нефтяной промышленности СССР от 15 ноября 1954 г. ВНИГИ был объединен с ВНИИТнефть и ЦИАТИМ (12102).</w:t>
      </w:r>
    </w:p>
    <w:p w14:paraId="11756DDE" w14:textId="77777777" w:rsidR="00366092" w:rsidRPr="00C33834" w:rsidRDefault="0036609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1049073"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7266B77"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7F565F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20 ноября по 15 декабря 1933 года в ходе испытаний на НИАП из 100-мм зенитной пушки было сделано 13 выстрелов (всего с начала испытаний 25) лафето-пробным снарядом чертежа 4472 весом 15,6 кг. Заряд нормальный 5,№ кг 23/1 НГВ + 80 гр. воспламенителя. При этом были получены: начальная скорость 875882 м/с и длина отката 570-620 мм. На испытаниях подъемный механизм сдавал при угле возвышения 0 на 13-16 и при угле +45 +60 на 57. Отмечена плохая работа полуавтоматики и противооткатных устройств. Досылатель переделывали два раза, но удовлетворительной работы его достигнуть не удалось. После этих испытаний Б-14 была отправлена на завод "Большевик" для исправления полуавтоматики и противооткатных устройств (3861).</w:t>
      </w:r>
    </w:p>
    <w:p w14:paraId="4C563F6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3CB1781" w14:textId="77777777" w:rsidR="0036609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41517579" w14:textId="77777777" w:rsidR="00366092" w:rsidRPr="00C33834" w:rsidRDefault="0036609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D1472FA"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20 ноября</w:t>
      </w:r>
      <w:r w:rsidRPr="00C33834">
        <w:rPr>
          <w:rFonts w:ascii="Times New Roman" w:hAnsi="Times New Roman"/>
          <w:color w:val="000000" w:themeColor="text1"/>
          <w:sz w:val="16"/>
          <w:szCs w:val="16"/>
        </w:rPr>
        <w:t xml:space="preserve"> в 1933 году председатель ЦИК СССР М.И.Калинин в связи с установлением дипломатических отношений между СССР и США обратился по радио к американскому народу (14836).</w:t>
      </w:r>
    </w:p>
    <w:p w14:paraId="448BE0B9" w14:textId="77777777" w:rsidR="00366092" w:rsidRPr="00C33834" w:rsidRDefault="00366092" w:rsidP="00C33834">
      <w:pPr>
        <w:spacing w:after="0" w:line="240" w:lineRule="auto"/>
        <w:jc w:val="both"/>
        <w:rPr>
          <w:rFonts w:ascii="Times New Roman" w:hAnsi="Times New Roman"/>
          <w:color w:val="000000" w:themeColor="text1"/>
          <w:sz w:val="16"/>
          <w:szCs w:val="16"/>
        </w:rPr>
      </w:pPr>
    </w:p>
    <w:p w14:paraId="4538F572"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52CE0E5"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48C6648" w14:textId="77777777" w:rsidR="00C50515" w:rsidRPr="00C33834" w:rsidRDefault="00C5051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20 ноября 1933, поднявшись из Akron муниципального аэропорта в городе Акрон, штат Огайо , США ВМС капитан - лейтенант Томас GW Settle и Корпус морской пехоты США майор Честер Л. Fordney установил новый официальный мировой рекорд высоты для полета человека в шаре "Век прогресса», достигнув 61 237 футов (18 665 метров) перед приземлением возле Бриджитона, штат Нью-Джерси. Высота на 993 фута (303 метра) ниже, чем у советского аэростата СССР-1 в сентябре, но Международная авиационная федерация (FAI) не признала советский рекорд, потому что Советский Союз не является страной-членом FAI (20802).</w:t>
      </w:r>
    </w:p>
    <w:p w14:paraId="393C9DB1" w14:textId="77777777" w:rsidR="00C50515" w:rsidRPr="00C33834" w:rsidRDefault="00C50515" w:rsidP="00C33834">
      <w:pPr>
        <w:spacing w:after="0" w:line="240" w:lineRule="auto"/>
        <w:jc w:val="both"/>
        <w:rPr>
          <w:rFonts w:ascii="Times New Roman" w:hAnsi="Times New Roman"/>
          <w:color w:val="0070C0"/>
          <w:sz w:val="16"/>
          <w:szCs w:val="16"/>
        </w:rPr>
      </w:pPr>
    </w:p>
    <w:p w14:paraId="15BC79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20 ноября 1933 по 6 января 1934 было восстание 19 Гоминдановской армии в провинции Фунцзянь (2443,408).</w:t>
      </w:r>
    </w:p>
    <w:p w14:paraId="7A9961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9377B4D"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0822433"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BB369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ноября 1933 был назначен 10 полет К-7 и хотели измерить скорость. Была суббота и К.А.К. поехал с О.Вишней на охоту, а руководил зам. - А.Я.Щербаков. Якобы К.А.К. запретил полеты, но без него приехал представитель Главка и потребовал повторного полета на мерный километр, так как по скорости и скороподъемности не дотягивали. С воздуха все снимал К-5 и был еще один К-5, пилотируемый В.О.Борисовым с А.Я.Щербаковым на борту. Взлетели в 14:35. На третьем проходе, когда дали пол газам, клюнул носом и под углом 30-40 гр. на максимальной скорости врезался в землю, так как из-за разрыва нижнего лонжерона левой хвостовой фермы заклинило управление. При ударе подпрыгнул и проскочив 50 м загорелся (70,237).</w:t>
      </w:r>
    </w:p>
    <w:p w14:paraId="5CD8D8D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602C8C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ноября 1933 состоялся полет К-7 над мерной базой, который несколько раз переносили из-за плохой погоды. На борту гиганта находились 20 человек. На полном газу машина прошла первый створ. При высоких оборотах моторов и ранее наблюдался бафтинг хвостовых балок. По показаниям очевидцев, было слышно, как лопнула труба лонжерона левой балки. Ее разошедшиеся концы зажали управление рулем высоты. В 5 км от аэродрома К-7 клюнул носом и пошел к земле под углом около 40 градусов. При ударе сначала разлетелось шасси, затем машина ударилась носом фюзеляжа о землю. Шасси и переднюю гондолу подмяло под крыло. Начался пожар, взорвались бензобаки. Вся полотняная обшивка крыла быстро сгорела. Через несколько минут рядом совершили посадку два самолета сопровождения, подъехали автомобили. Три члена экипажа смогли вылезти сами, еще четверых живых вытащили спасатели, но двое умерли по дороге в больницу. В общей сложности пятнадцать человек, включая командира самолета, погибли.</w:t>
      </w:r>
    </w:p>
    <w:p w14:paraId="33DD67F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Расследовавшая катастрофу комиссия под председательством заместителя начальника штаба ВВС В.К. Лаврова пришла к выводу, что основной причиной явилась ранее не запланированная установка седьмого мотора, которая создавала сильное вихреобразование на хвостовом оперении, усугубляемое воздействием вынесенных на длинных балках серворулей и недостаточной жесткостью ферм. В акте записано: "Катастрофа самолета К-7 произошла из-за потери управляемости самолета в продольном направлении, что было вызвано деформацией хвостовой части самолета". Сам же Калинин говорил о диверсии, приведшей к гибели гиганта (12036).</w:t>
      </w:r>
    </w:p>
    <w:p w14:paraId="4FEB2B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BFA5299"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 xml:space="preserve">21 ноября </w:t>
      </w:r>
      <w:r w:rsidRPr="00C33834">
        <w:rPr>
          <w:rFonts w:ascii="Times New Roman" w:hAnsi="Times New Roman"/>
          <w:color w:val="000000" w:themeColor="text1"/>
          <w:sz w:val="16"/>
          <w:szCs w:val="16"/>
        </w:rPr>
        <w:t>в 1933 году около Харькова из-за структурного повреждения разбивается «Калинин К-7». Из 20 человек на борту погибает 15 (14836).</w:t>
      </w:r>
    </w:p>
    <w:p w14:paraId="1D3F7600" w14:textId="77777777" w:rsidR="00366092" w:rsidRPr="00C33834" w:rsidRDefault="00366092" w:rsidP="00C33834">
      <w:pPr>
        <w:spacing w:after="0" w:line="240" w:lineRule="auto"/>
        <w:jc w:val="both"/>
        <w:rPr>
          <w:rFonts w:ascii="Times New Roman" w:hAnsi="Times New Roman"/>
          <w:color w:val="000000" w:themeColor="text1"/>
          <w:sz w:val="16"/>
          <w:szCs w:val="16"/>
        </w:rPr>
      </w:pPr>
    </w:p>
    <w:p w14:paraId="269E9D3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ноября 1933 г., через месяц после окончания заводских Г-5, УВМС передало ЦАГИ тактико-технические требование и заказ на разработку эскизного проекта нового катера. По водоизмещению он должен был занять промежуточное место между Г-5 и Г-6. Моряки же требовали от Туполева в первую очередь улучшить мореходнбсть катера и усилить артиллерийское вооружение. Новый катер получи индекс Г-8 (10675).</w:t>
      </w:r>
    </w:p>
    <w:p w14:paraId="2E0312B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F0C87F"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ноября 1933 г., через месяц после окончания заводских испытаний Г-5, УВМС передало ЦАГИ тактико-технические требования и заказ на разработку эскизного проекта нового катера. По водоизмещению он должен был занять промежуточное место между Г-5 и Г-6. Моряки же требовали от Туполева в первую очередь улучшить мореходность катера и усилить его артиллерийское вооружение. Новый катер получил индекс Г-8.</w:t>
      </w:r>
    </w:p>
    <w:p w14:paraId="1E4892D2"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Туполев и Некрасов решили повысить мореходные качества катера не за счет увеличения его линейных размеров, а за счет изменения обводов корпуса и увеличения удельной нагрузки на редан. Повышение мореходности осуществлялось путем увеличения килеватости днища ходовой части до 13°, что должно было обеспечить работоспособность катера при более высоких баллах состояния моря и более спокойный ход. Большую устойчивость на ходу катера должно было дать увеличение отношения длины к ширине катера. Повышение килеватости снизило гидродинамическое качество катера, что потребовало увеличения мощности моторов для получения необходимых скоростей. На катере установили 4 мотора ГАМ-34, по два мотора на вал.</w:t>
      </w:r>
    </w:p>
    <w:p w14:paraId="61353E3B"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ПВО катера должна была состоять из двух 12,7-мм пулеметов ШВАК, размещенных: один в носовой части катера впереди моторного отсека, а второй в средней части рубки. Кроме того, в хвостовой части рубки устанавливался пулемет ШКАС.</w:t>
      </w:r>
    </w:p>
    <w:p w14:paraId="52A14343"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Позже решили 12,7-мм пулеметы заменить на 20-мм автоматические пушки ТТТВАК. Сделать это было легко, поскольку основное различие их заключалось в калибре трубы. Торпедное вооружение по сравнению с Г-5 не изменялось — те же две 533-мм торпеды в желобковых торпедных аппаратах.</w:t>
      </w:r>
    </w:p>
    <w:p w14:paraId="0F9E356A"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Нормальное водоизмещение катера составляло 23,5 т.</w:t>
      </w:r>
    </w:p>
    <w:p w14:paraId="4373CF57"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Строительство катера Г-8 началось в ЦАГИ 25 марта 1936 г., а 1 сентября 1937 г. его по железной дороге отправили в Севастополь. С 14 января 1938 г. по 14 августа 1939 г: катер прошел заводские испытания, а с 20 августа 1939 г. по 23 августа 1940 г. — государственные испытания.</w:t>
      </w:r>
    </w:p>
    <w:p w14:paraId="4CE62069"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Приемная комиссия в заключительном приемо-сдаточном акте от 23 августа 1940 г. указала, что мореходность катера Г-8 при состоянии моря до 5 баллов включительно и при скорости до 48 узлов вполне удовлетворительная; прочность катера удовлетворительная; скорость катера — при водоизмещении 29 т 48 узлов, а при водоизмещении 25,7 т 52 узла — является удовлетворительной.</w:t>
      </w:r>
    </w:p>
    <w:p w14:paraId="337633E3" w14:textId="77777777" w:rsidR="00366092" w:rsidRPr="00C33834" w:rsidRDefault="0036609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октября 1940 г. торпедный катер Г-8 был включен в состав Черноморского флота. В 1942—1943 гг. он активно участвовал в боевых действиях. Вместо 20-мм пушек ШВАК катер в 1943 г. вооружили тремя 12,7-мм пулеметами ДШК. В 1942 г. он участвовал не менее чем в трех операциях по поиску вражеских кораблей, но все они закончились безрезультатно. А в ночь на 21 мая 1943 г. при попытке доставить боеприпасы на Малую землю Г-8 был атакован тремя германскими торпедными катерами, но его спасли сторожевые катера № 0016, 032 и 0141 (15117).</w:t>
      </w:r>
    </w:p>
    <w:p w14:paraId="58B159D7" w14:textId="77777777" w:rsidR="00366092" w:rsidRPr="00C33834" w:rsidRDefault="00366092" w:rsidP="00C33834">
      <w:pPr>
        <w:spacing w:after="0" w:line="240" w:lineRule="auto"/>
        <w:jc w:val="both"/>
        <w:rPr>
          <w:rFonts w:ascii="Times New Roman" w:hAnsi="Times New Roman"/>
          <w:color w:val="000000" w:themeColor="text1"/>
          <w:sz w:val="16"/>
          <w:szCs w:val="16"/>
        </w:rPr>
      </w:pPr>
    </w:p>
    <w:p w14:paraId="26D066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ноября 1933 Нач. НОТО ГУАП Алмазов писал Пом. секр. РВСС Снегову письмо N 282/712с на вх. N 5397сс от 31 октября 1933 о выполнении постановления РВСС "О развитии авиационной техники на основе виденного на авиационной выставке во Франции и на заводах Германии" от 3 марта (2305,87):</w:t>
      </w:r>
    </w:p>
    <w:p w14:paraId="240463D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нем была информация о выполнении заданий, поставленных в постановлении:</w:t>
      </w:r>
    </w:p>
    <w:p w14:paraId="5777371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Просить НКТП</w:t>
      </w:r>
    </w:p>
    <w:p w14:paraId="1389ADE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разработать и построить учебный и спортивный самолет и мотор по повышенным требованиям</w:t>
      </w:r>
    </w:p>
    <w:p w14:paraId="23E209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а) для первоначального обучения</w:t>
      </w:r>
    </w:p>
    <w:p w14:paraId="319475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б) для тренировки как на одноместной машине</w:t>
      </w:r>
    </w:p>
    <w:p w14:paraId="276235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в) для слепого полета</w:t>
      </w:r>
    </w:p>
    <w:p w14:paraId="7DADF3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г) для ночного полета и полета в строю (для обучения л-наблюдателей, приемам навигации, фото, бомбометанию, стрельбе</w:t>
      </w:r>
    </w:p>
    <w:p w14:paraId="155FE70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разработать и построить тип тренировочного истребителя под мощность 150-200 нр</w:t>
      </w:r>
    </w:p>
    <w:p w14:paraId="1B2EAF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а) самолет сопровождения</w:t>
      </w:r>
    </w:p>
    <w:p w14:paraId="692167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б) тренировочный</w:t>
      </w:r>
    </w:p>
    <w:p w14:paraId="419DD19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в) местных линий</w:t>
      </w:r>
    </w:p>
    <w:p w14:paraId="5E7E28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Сообщаю, что по п. 2 а и б:</w:t>
      </w:r>
    </w:p>
    <w:p w14:paraId="28D477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заводом 23 проектируется самолет У-3 М-48. Эскизный проект рассматривается НИИ ВВС. Срок выхода самолета на заводские испытания по плану - 1 июня 1934</w:t>
      </w:r>
    </w:p>
    <w:p w14:paraId="79EB34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ЦКБ завода 39 проектирует самолет ЦКБ-9 под М-48</w:t>
      </w:r>
    </w:p>
    <w:p w14:paraId="4F4855E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КАИ проектируется двухмоторный пассажирский под 2хМ-11, в военном варианте предназначенный для тренировки на многомоторных самолетах.</w:t>
      </w:r>
    </w:p>
    <w:p w14:paraId="251554D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провести необходимые исследования и ускорить применение: подкрылков, закрылков, двойного крыла, крыла с меняющимся профилем..., имея в виду:</w:t>
      </w:r>
    </w:p>
    <w:p w14:paraId="3E63A91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а) получить наибольший диапазон гор. скоростей</w:t>
      </w:r>
    </w:p>
    <w:p w14:paraId="105AEF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б) увеличить устойчивость при полете с предельными нагрузками</w:t>
      </w:r>
    </w:p>
    <w:p w14:paraId="0B9E718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в) уменьшить посадочные скорости</w:t>
      </w:r>
    </w:p>
    <w:p w14:paraId="5874E8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г) увеличить скороподъемность</w:t>
      </w:r>
    </w:p>
    <w:p w14:paraId="1803C9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 3</w:t>
      </w:r>
    </w:p>
    <w:p w14:paraId="64645AC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проводятся исследовательские работы в ЭАО ЦАГИ</w:t>
      </w:r>
    </w:p>
    <w:p w14:paraId="78FBA4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ЦАГИ ставятся на МИ-3 щитки типа Нортроп</w:t>
      </w:r>
    </w:p>
    <w:p w14:paraId="68E7F6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Заводом 23 на учебной машине проектируется установка щитков Нортроп</w:t>
      </w:r>
    </w:p>
    <w:p w14:paraId="25E1CA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То же самое на ХАИ-1 в ХАИ</w:t>
      </w:r>
    </w:p>
    <w:p w14:paraId="622C50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Считать одной из важнейших задач ближайшего периода получение легкого двухместного самолета, универсального в производстве и специализированного по оборудованию для назначения:</w:t>
      </w:r>
    </w:p>
    <w:p w14:paraId="5929E6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а) оперативный разведчик</w:t>
      </w:r>
    </w:p>
    <w:p w14:paraId="377F51A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б) двухместный истребитель</w:t>
      </w:r>
    </w:p>
    <w:p w14:paraId="2A6C02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в) ЛБ</w:t>
      </w:r>
    </w:p>
    <w:p w14:paraId="0CA047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ab/>
        <w:t>г) в части применения ЛР, как скоростного почтовика отдельно согласовать вопрос П.И.Б. с Гольцманом и Алкснисом</w:t>
      </w:r>
    </w:p>
    <w:p w14:paraId="7BED17B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этими требованиями испытать находящийся в постройке ЛР и только в случае получения неудовлетворительного результата по ЛР приступить к постройке специального универсального самолета.</w:t>
      </w:r>
    </w:p>
    <w:p w14:paraId="51B3C39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 4 в</w:t>
      </w:r>
    </w:p>
    <w:p w14:paraId="78623D5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ЛР как скоростной почтовый не соответствует требованиям ГУ ГВФ, поэтому предполагается ХАИ унифицировать СР М-34 в скоростной почтовик</w:t>
      </w:r>
    </w:p>
    <w:p w14:paraId="6BD8C8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В 1933 разрешить вопрос о предупреждении баков от пожаров и недопуска течи горючего при пробитии пулей.</w:t>
      </w:r>
    </w:p>
    <w:p w14:paraId="76889F0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 5</w:t>
      </w:r>
    </w:p>
    <w:p w14:paraId="7249381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ЦАГИ заключил договор с МТУ на эту работу. К настоящему моменту изготовлен образец с различными вариантами стенок и 10 ноября начаты испытания</w:t>
      </w:r>
    </w:p>
    <w:p w14:paraId="7DF9A9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Считать необходимым переход на экранирование моторов в 1933. Обязать НКТП в 1933 установить производство экранированных моторов в серии (2305,87).</w:t>
      </w:r>
    </w:p>
    <w:p w14:paraId="6DF75A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 6</w:t>
      </w:r>
    </w:p>
    <w:p w14:paraId="4547B1C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1933 проведено испытание на заводе 26 экранированной системы зажигания М-17, выполненной заводом АТЭ.</w:t>
      </w:r>
    </w:p>
    <w:p w14:paraId="6A7B99D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проведены с участием представителей УВВС и УММ РККА и АТЭ</w:t>
      </w:r>
    </w:p>
    <w:p w14:paraId="22C903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августе-сентябре испытание экранированной системы зажигания проведено в НИИ ВВС на самолете.</w:t>
      </w:r>
    </w:p>
    <w:p w14:paraId="14991DA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УВВС на моторы М-17 и М-34 экранированная система будет ставится с середины 1934.</w:t>
      </w:r>
    </w:p>
    <w:p w14:paraId="511327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мотору М-22 проводится конструктивная разработка экранированной системы электрозаводом, но ввиду затруднений, вызываемых конструкцией самого мотора, испытания не закончены.</w:t>
      </w:r>
    </w:p>
    <w:p w14:paraId="66D944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по экранированию проводятся заводом АТЭ электрокомбината при непосредственном участи ЦИАМ и НИИ ВВС (2305,90).</w:t>
      </w:r>
    </w:p>
    <w:p w14:paraId="381620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 7</w:t>
      </w:r>
    </w:p>
    <w:p w14:paraId="43E9381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разрезного вала Хирта дали отрицательные результаты. Помимо этого ЦИАМом дано заключение о производственной невыгодности и чрезвычайной трудности надежной подгонки чертежей вала в серийном изготовлении.</w:t>
      </w:r>
    </w:p>
    <w:p w14:paraId="6519E50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 8</w:t>
      </w:r>
    </w:p>
    <w:p w14:paraId="2D7353F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 покупки и испытания мотора Аргус в 200 нр находится в ведении ВВС РККА</w:t>
      </w:r>
    </w:p>
    <w:p w14:paraId="3C692D8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 9</w:t>
      </w:r>
    </w:p>
    <w:p w14:paraId="2A057F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 ЦАГИ ведутся подготовительные работы. Задание т. Квитко дано, но от него до сих пор никакого ответа нет.</w:t>
      </w:r>
    </w:p>
    <w:p w14:paraId="300B2F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Заявка на покупку некоторых заграничных париборов снята ГУАПом из-за нехватки валюты</w:t>
      </w:r>
    </w:p>
    <w:p w14:paraId="3831C15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Технические испытания в ЦАГИ углубляются и организация их видоизменяется (2305,87).</w:t>
      </w:r>
    </w:p>
    <w:p w14:paraId="67D3F6B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9AD5DFE" w14:textId="77777777" w:rsidR="00335E69" w:rsidRPr="00C33834" w:rsidRDefault="00335E69"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1AFBAEFE" w14:textId="77777777" w:rsidR="00335E69" w:rsidRPr="00C33834" w:rsidRDefault="00335E69" w:rsidP="00C33834">
      <w:pPr>
        <w:autoSpaceDE w:val="0"/>
        <w:autoSpaceDN w:val="0"/>
        <w:adjustRightInd w:val="0"/>
        <w:spacing w:after="0" w:line="240" w:lineRule="auto"/>
        <w:jc w:val="both"/>
        <w:rPr>
          <w:rFonts w:ascii="Times New Roman" w:hAnsi="Times New Roman"/>
          <w:color w:val="000000" w:themeColor="text1"/>
          <w:sz w:val="16"/>
          <w:szCs w:val="16"/>
        </w:rPr>
      </w:pPr>
    </w:p>
    <w:p w14:paraId="44751852" w14:textId="77777777" w:rsidR="00335E69" w:rsidRPr="00C33834" w:rsidRDefault="00335E6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ноября 1933. Газета "Вечерняя Москва" сообщала: "Вчера на площади Ногина началась разборка части Китайгородской стены... Несмотря на то, что Китайгородская стена существует несколько столетий, она оказалась очень крепкой и с трудом поддается разборке" (18722).</w:t>
      </w:r>
    </w:p>
    <w:p w14:paraId="5B32D7A8" w14:textId="77777777" w:rsidR="00335E69" w:rsidRPr="00C33834" w:rsidRDefault="00335E69" w:rsidP="00C33834">
      <w:pPr>
        <w:spacing w:after="0" w:line="240" w:lineRule="auto"/>
        <w:jc w:val="both"/>
        <w:rPr>
          <w:rFonts w:ascii="Times New Roman" w:hAnsi="Times New Roman"/>
          <w:color w:val="000000" w:themeColor="text1"/>
          <w:sz w:val="16"/>
          <w:szCs w:val="16"/>
        </w:rPr>
      </w:pPr>
    </w:p>
    <w:p w14:paraId="48882804" w14:textId="77777777" w:rsidR="00335E69" w:rsidRPr="00C33834" w:rsidRDefault="00335E69"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2A73EF15" w14:textId="77777777" w:rsidR="00335E69" w:rsidRPr="00C33834" w:rsidRDefault="00335E6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CA7B300" w14:textId="77777777" w:rsidR="00335E69" w:rsidRPr="00C33834" w:rsidRDefault="00335E6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ноября 1933 г. для поощрения развития торговли с Соединенными Штатами советское правительство установило льготный корабельный сбор для американских судов и отменило повышенные пошлины на изделия, продукцию и товары, ввозимые в порты СССР. В ответ администрация США в январе 1934 г. упразднила сбор с советских судов, в 16 раз превышавший обычный. Был снят запрет на ввоз из северных районов СССР леса, золота, апатитов, асбеста и других товаров. Американские власти отказались от антидемпинговых пошлин на советские спички. Предпринятые меры благоприятствовали деловым контактам между двумя странами. У ряда американских компаний появились надежды на расширение торговли с СССР. Они помнили официальное заявление Литвинова на международной экономической конференции о готовности советского правительства сделать заказ на 500 млн долл. Это было в определенной мере пропагандистское заявление. Большинство участников конференции так и восприняли его. Но представители некоторых фирм США отнеслись к нему серьезно, учитывая огромную емкость российского рынка (18280).</w:t>
      </w:r>
    </w:p>
    <w:p w14:paraId="088ACD96" w14:textId="77777777" w:rsidR="00335E69" w:rsidRPr="00C33834" w:rsidRDefault="00335E69" w:rsidP="00C33834">
      <w:pPr>
        <w:spacing w:after="0" w:line="240" w:lineRule="auto"/>
        <w:jc w:val="both"/>
        <w:rPr>
          <w:rFonts w:ascii="Times New Roman" w:hAnsi="Times New Roman"/>
          <w:color w:val="000000" w:themeColor="text1"/>
          <w:sz w:val="16"/>
          <w:szCs w:val="16"/>
        </w:rPr>
      </w:pPr>
    </w:p>
    <w:p w14:paraId="4FFDAB03"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lastRenderedPageBreak/>
        <w:t>Авиапромышленность:</w:t>
      </w:r>
    </w:p>
    <w:p w14:paraId="519682C8"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62413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ноября 1933 хоронили 15 из 20, которые были в К-7 К.А.К. (70,240).</w:t>
      </w:r>
    </w:p>
    <w:p w14:paraId="0114296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D84D5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и 22 ноября 1933 в ходе гос. испытаний ТБ-3 (АНТ-6) 22 завода N 22202 с 4М-34Р в качестве эталона на 34 год, которые проходили с 18 октября по 5 декабря 1933, были выполнены полеты на потолок, зубцы и скорости по высотам (2264,117).</w:t>
      </w:r>
    </w:p>
    <w:p w14:paraId="6BEFC5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87A6A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ноября 1933 СТО принял решение о запуске в серию И-16. В это время Н.Н.П. добился одного двигателя РЦ Ф-2 (невысотный вариант) и принимает решение строить опытный экземпляр с этим двигателем (1808,4).</w:t>
      </w:r>
    </w:p>
    <w:p w14:paraId="3B4E8DC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FA1128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ноября 1933 г. Совет Труда и Обороны СССР (СТО) принимает решение о запуске нового истребителя в серийное производство иод обозначением И -16.</w:t>
      </w:r>
    </w:p>
    <w:p w14:paraId="714FE68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описываемому периоду переговоры о приобретении первой партии двигателей Райт "Циклон" в основном завершились, поступление их предполагалось в ближайшие месяцы. Поэтому и надежда обеспечить опытный ЦКБ-12 американским двигателем оставалась (12015).</w:t>
      </w:r>
    </w:p>
    <w:p w14:paraId="214CD3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B6A9B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ноября 1933 года. Предъявление N 2807с был предъявлен для серийного испытания самолета Р-6 2-М17 за N 3161 постройки завода 31. Испытание в воздухе производил летчик-сдатчик завода Номан. Серия состоит из 35 самолетов с N 3161 по 3195 включительно (3313,1-18).</w:t>
      </w:r>
    </w:p>
    <w:p w14:paraId="63D9F2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B4A3742"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ноября 1933 г. начальник УВВС Я.И. Алкснис потребовал от промышленности выпустить малую серию из дюжи-ны таких бомбардировщиков-торпедо- носцев. Для переделки в его опытный образец он был готов отдать с Чёрного моря Р-ба № 2202.</w:t>
      </w:r>
    </w:p>
    <w:p w14:paraId="2936B6CB"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Проведя предварительные расчёты, конструкторы убедились, что за счёт сня-тия части оборудования самолет, уста-новленный на поплавки, сможет (хотя и в перегрузку) поднять торпеду весом 850 кг. Решили пожертвовать фотоаппа-ратом, радиостанцией с генератором и кое-чем из электрооборудования. Бал-ки бомбодержателей тоже снимались. Дальность при этом получалась почти вдвое большая, чем у одномоторного Р-5Т (830 км против 430 км). Предложе-ния были доложены Управлению ВВС. Ответ последовал с телеграфной крат-костью: «Начальник ВВС РККА приказал переделать самолёт Р-6 в торпедоносец и произвести испытания. О результатах донести».</w:t>
      </w:r>
    </w:p>
    <w:p w14:paraId="330F5F17"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Самолёт № 2202 подвергся переделке в опытный образец модернизированного поплавкового торпедоносца. Из ЦАГИ пожаловались, что машину сдали в нелётном состоянии, требующую капи-тального ремонта. На испытания дора-ботанный гидроплан, именовавшийся КР-ба или КР-6П, вывели в апреле 1934 г. Первоначально торпедного моста («пло-щадки») на самолёте не было. Его уста-новили в июле, после чего машина стала именоваться КР-ба-Т. Торпеда ТАН-12 висела под фюзеляжем на держателях конструкции ленинградского Остехбюро; замки открывались механическим сбра-сывателем с помощью тросиков (12264).</w:t>
      </w:r>
    </w:p>
    <w:p w14:paraId="6FBFCAEC" w14:textId="77777777" w:rsidR="00BA29CE" w:rsidRPr="00C33834" w:rsidRDefault="00BA29CE" w:rsidP="00C33834">
      <w:pPr>
        <w:spacing w:after="0" w:line="240" w:lineRule="auto"/>
        <w:jc w:val="both"/>
        <w:rPr>
          <w:rFonts w:ascii="Times New Roman" w:hAnsi="Times New Roman"/>
          <w:color w:val="000000" w:themeColor="text1"/>
          <w:sz w:val="16"/>
          <w:szCs w:val="16"/>
        </w:rPr>
      </w:pPr>
    </w:p>
    <w:p w14:paraId="2BD8AA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ноября 1933 г. заместитель начальника ГУАП направил письмо уже директору завода № 39, где в то время находилась бригада Поликарпова, в котором предписывалось договорится с заводом № 1 о совмест</w:t>
      </w:r>
      <w:r w:rsidRPr="00C33834">
        <w:rPr>
          <w:rFonts w:ascii="Times New Roman" w:hAnsi="Times New Roman"/>
          <w:color w:val="000000" w:themeColor="text1"/>
          <w:sz w:val="16"/>
          <w:szCs w:val="16"/>
        </w:rPr>
        <w:softHyphen/>
        <w:t>ной разработке подфюзеляжных баков для Р-5. В 1933 г. завод № 1 само</w:t>
      </w:r>
      <w:r w:rsidRPr="00C33834">
        <w:rPr>
          <w:rFonts w:ascii="Times New Roman" w:hAnsi="Times New Roman"/>
          <w:color w:val="000000" w:themeColor="text1"/>
          <w:sz w:val="16"/>
          <w:szCs w:val="16"/>
        </w:rPr>
        <w:softHyphen/>
        <w:t>стоятельно разработал и поставил в центроплане бак увеличенного объема. Его размеры не были согласова</w:t>
      </w:r>
      <w:r w:rsidRPr="00C33834">
        <w:rPr>
          <w:rFonts w:ascii="Times New Roman" w:hAnsi="Times New Roman"/>
          <w:color w:val="000000" w:themeColor="text1"/>
          <w:sz w:val="16"/>
          <w:szCs w:val="16"/>
        </w:rPr>
        <w:softHyphen/>
        <w:t>ны с аэродинамикой самолета, так как выбирались по наитию, без проведения необходимых аэродинамичес</w:t>
      </w:r>
      <w:r w:rsidRPr="00C33834">
        <w:rPr>
          <w:rFonts w:ascii="Times New Roman" w:hAnsi="Times New Roman"/>
          <w:color w:val="000000" w:themeColor="text1"/>
          <w:sz w:val="16"/>
          <w:szCs w:val="16"/>
        </w:rPr>
        <w:softHyphen/>
        <w:t>ких исследований. В итоге сопротивление возросло, уве</w:t>
      </w:r>
      <w:r w:rsidRPr="00C33834">
        <w:rPr>
          <w:rFonts w:ascii="Times New Roman" w:hAnsi="Times New Roman"/>
          <w:color w:val="000000" w:themeColor="text1"/>
          <w:sz w:val="16"/>
          <w:szCs w:val="16"/>
        </w:rPr>
        <w:softHyphen/>
        <w:t>личился расход топлива на километр пути. Однако вместо критического анализа полученного результата в НИИ ВВС решили отказаться от увеличенного центро-планного бака и использовать подвесной бак под фюзе</w:t>
      </w:r>
      <w:r w:rsidRPr="00C33834">
        <w:rPr>
          <w:rFonts w:ascii="Times New Roman" w:hAnsi="Times New Roman"/>
          <w:color w:val="000000" w:themeColor="text1"/>
          <w:sz w:val="16"/>
          <w:szCs w:val="16"/>
        </w:rPr>
        <w:softHyphen/>
        <w:t>ляжем (10667).</w:t>
      </w:r>
    </w:p>
    <w:p w14:paraId="320691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1065B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ноября 1933 года гл. инженер механик ВВС РККА Аузан писал письмо № сс001420 в СНК Галактионову</w:t>
      </w:r>
    </w:p>
    <w:p w14:paraId="2C000A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настоящему времени, согласно постановления СТО о постройке паровой турбины для авиации в ХАИ заканчивается рабочий проект установки на 6000 л.с., отдельные детали установки размещены для изготовления по заводам, имеется обеспеченность со стороны НКТП в отношение размещения на изготовления и остальных деталей установки, а так же разрешен вопрос об отпуске средств на приобретение необходимой импортной аппаратуры.</w:t>
      </w:r>
    </w:p>
    <w:p w14:paraId="189AE8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Однако, срок предъявления установки на испытание к 1 января 1934 года выдержан не будет.</w:t>
      </w:r>
    </w:p>
    <w:p w14:paraId="09E2F2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проектированию установки в 15000 л.с. приступлено частично и срок предъявления последней на испытание к 1 апреля 1934 года тем более выдержан не будет (3530,137).</w:t>
      </w:r>
    </w:p>
    <w:p w14:paraId="62855C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145D88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ноября 1933 вышло постановление СТО N 188сс "НКТП закупить аппаратуру и в частности 150 металлических винтов с переменным в полете шагом к моторам для самолетов истребителей (3120).</w:t>
      </w:r>
    </w:p>
    <w:p w14:paraId="5F9155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599D0C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22 ноября по декабрь 1933 состоялись государственные испытания. Испытания АНТ-5 привели начальство буквально в восторг — катер с торпедами развивал скорость 58 узлов, а без торпед — 65, 3 узла. Завод им. Марти, начиная с V серии (первые четыре серии — это катера Ш-4) перешел на производство Г-5 (так назывались серийные катера АНТ-5). Позже Г-5 стали делать и на заводе № 532 в Керчи, а с началом войны завод № 532 эвакуировали в Тюмень, и там на заводе № 639 также приступили к строительству катеров типа Г-5. Всего был по 321 серийный катер Г-5 девяти серий (с VI по ХП, включая 11бис) (10675).</w:t>
      </w:r>
    </w:p>
    <w:p w14:paraId="58EBCCF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231C09" w14:textId="77777777" w:rsidR="0036609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2F76C3A" w14:textId="77777777" w:rsidR="00366092" w:rsidRPr="00C33834" w:rsidRDefault="0036609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8FF9036" w14:textId="77777777" w:rsidR="00366092" w:rsidRPr="00C33834" w:rsidRDefault="00366092" w:rsidP="00C33834">
      <w:pPr>
        <w:pStyle w:val="rtejustify"/>
        <w:spacing w:before="0" w:after="0"/>
        <w:rPr>
          <w:color w:val="000000" w:themeColor="text1"/>
          <w:sz w:val="16"/>
          <w:szCs w:val="16"/>
        </w:rPr>
      </w:pPr>
      <w:r w:rsidRPr="00C33834">
        <w:rPr>
          <w:rStyle w:val="af0"/>
          <w:bCs/>
          <w:i w:val="0"/>
          <w:color w:val="000000" w:themeColor="text1"/>
          <w:sz w:val="16"/>
          <w:szCs w:val="16"/>
        </w:rPr>
        <w:t>22 ноября 1933 вышел приказ НКТП № 221сс.</w:t>
      </w:r>
      <w:r w:rsidRPr="00C33834">
        <w:rPr>
          <w:color w:val="000000" w:themeColor="text1"/>
          <w:sz w:val="16"/>
          <w:szCs w:val="16"/>
        </w:rPr>
        <w:t xml:space="preserve"> О прекращении строительства Кемеровского комбината и передаче дальнейшего строительства «Сибметаллстрою» с приданием статуса предприятия оборонного значения. (РГАЭ. Ф. 7297. Оп. 38. Д. 37. Л. 341</w:t>
      </w:r>
      <w:r w:rsidRPr="00C33834">
        <w:rPr>
          <w:color w:val="000000" w:themeColor="text1"/>
          <w:sz w:val="16"/>
          <w:szCs w:val="16"/>
        </w:rPr>
        <w:noBreakHyphen/>
        <w:t>340) (15246).</w:t>
      </w:r>
    </w:p>
    <w:p w14:paraId="2F4C48BA" w14:textId="77777777" w:rsidR="00366092" w:rsidRPr="00C33834" w:rsidRDefault="00366092" w:rsidP="00C33834">
      <w:pPr>
        <w:pStyle w:val="rtejustify"/>
        <w:spacing w:before="0" w:after="0"/>
        <w:rPr>
          <w:color w:val="000000" w:themeColor="text1"/>
          <w:sz w:val="16"/>
          <w:szCs w:val="16"/>
        </w:rPr>
      </w:pPr>
    </w:p>
    <w:p w14:paraId="1C8EE1A3"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3072EA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3984AF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ноября 1933 вышла Резолюция Объединенного Пленума ЦК и ЦКК КП(б)У о культурной работе на селе (10687). В результате голода 1932-1933 гг в СССР погибло 6 млн.человек, в т.ч. на Украине 4 млн, в Казахстане - 1 млн, в Центрально-Черноземной области и на Северном Кавказе - 1 млн.человек. Харьков за год потерял 120 тыс.своих жителей, Краснодар - 40 тыс., Ставрополь - 20 тыс (10687).</w:t>
      </w:r>
    </w:p>
    <w:p w14:paraId="44819B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B2E1A87"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72BC87EE"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5B79BF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ноября 1933 К.Шате стал Премьер-министром Франции (3481).</w:t>
      </w:r>
    </w:p>
    <w:p w14:paraId="2FE718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FAED0DA"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08F2260"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E2674E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Заводские испытания И-15 начались проводились в ноябре 1933 (222,25). 23 ноября 1933 при длительном пикировании под углом 75 гр. оторвалось крепление лыжи и при посадке машина перевернулась (228,88).</w:t>
      </w:r>
    </w:p>
    <w:p w14:paraId="746056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EE27C5F"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ноября 1933 г. во время длительного пикирования ЦКБ-3 со скоростью около 400 км/ч сорвалось ушко крепления растяжки левой лыжи на мотораме. Носок лыжи опустился, и её развернуло поперёк потока. Случай в те времена нередкий, но досадный; шансов приземлиться благополучно практически не было, и самолёт на посадке перевернулся. Чкалов не пострадал, но первый опытный экземпляр оказался разбит. Позднее его восстановили для достижения рекорда высоты (12261).</w:t>
      </w:r>
    </w:p>
    <w:p w14:paraId="41CA15EA" w14:textId="77777777" w:rsidR="00BA29CE" w:rsidRPr="00C33834" w:rsidRDefault="00BA29CE" w:rsidP="00C33834">
      <w:pPr>
        <w:spacing w:after="0" w:line="240" w:lineRule="auto"/>
        <w:jc w:val="both"/>
        <w:rPr>
          <w:rFonts w:ascii="Times New Roman" w:hAnsi="Times New Roman"/>
          <w:color w:val="000000" w:themeColor="text1"/>
          <w:sz w:val="16"/>
          <w:szCs w:val="16"/>
        </w:rPr>
      </w:pPr>
    </w:p>
    <w:p w14:paraId="00B77DD7" w14:textId="77777777" w:rsidR="00335E69" w:rsidRPr="00C33834" w:rsidRDefault="00335E69" w:rsidP="00C33834">
      <w:pPr>
        <w:pStyle w:val="27"/>
        <w:shd w:val="clear" w:color="auto" w:fill="auto"/>
        <w:spacing w:after="0" w:line="240" w:lineRule="auto"/>
        <w:ind w:firstLine="0"/>
        <w:rPr>
          <w:rFonts w:ascii="Times New Roman" w:cs="Times New Roman"/>
          <w:color w:val="000000" w:themeColor="text1"/>
          <w:spacing w:val="0"/>
        </w:rPr>
      </w:pPr>
      <w:r w:rsidRPr="00C33834">
        <w:rPr>
          <w:rFonts w:ascii="Times New Roman" w:cs="Times New Roman"/>
          <w:color w:val="000000" w:themeColor="text1"/>
          <w:spacing w:val="0"/>
        </w:rPr>
        <w:t>23 ноября 1933 во время длительного пикирования ЦКБ-3 со скоростью около 400 км/ч сорвалось ушко крепления растяжки левой лыжи. Носок лыжи опустился, и ее развернуло поперек потока. Случай в те време</w:t>
      </w:r>
      <w:r w:rsidRPr="00C33834">
        <w:rPr>
          <w:rFonts w:ascii="Times New Roman" w:cs="Times New Roman"/>
          <w:color w:val="000000" w:themeColor="text1"/>
          <w:spacing w:val="0"/>
        </w:rPr>
        <w:softHyphen/>
        <w:t>на не редкий, но досадный; шансов приземлиться благополучно практически не оставалось, и самолет на посадке перевернул</w:t>
      </w:r>
      <w:r w:rsidRPr="00C33834">
        <w:rPr>
          <w:rFonts w:ascii="Times New Roman" w:cs="Times New Roman"/>
          <w:color w:val="000000" w:themeColor="text1"/>
          <w:spacing w:val="0"/>
        </w:rPr>
        <w:softHyphen/>
        <w:t>ся. Чкалов не пострадал, но первый опытный экземпляр вышел из строя. Позднее его восстановили как самолет для достиже</w:t>
      </w:r>
      <w:r w:rsidRPr="00C33834">
        <w:rPr>
          <w:rFonts w:ascii="Times New Roman" w:cs="Times New Roman"/>
          <w:color w:val="000000" w:themeColor="text1"/>
          <w:spacing w:val="0"/>
        </w:rPr>
        <w:softHyphen/>
        <w:t>ния рекорда высоты (19107).</w:t>
      </w:r>
    </w:p>
    <w:p w14:paraId="1A634DB1" w14:textId="77777777" w:rsidR="00335E69" w:rsidRPr="00C33834" w:rsidRDefault="00335E69" w:rsidP="00C33834">
      <w:pPr>
        <w:spacing w:after="0" w:line="240" w:lineRule="auto"/>
        <w:jc w:val="both"/>
        <w:rPr>
          <w:rFonts w:ascii="Times New Roman" w:hAnsi="Times New Roman"/>
          <w:color w:val="000000" w:themeColor="text1"/>
          <w:sz w:val="16"/>
          <w:szCs w:val="16"/>
        </w:rPr>
      </w:pPr>
    </w:p>
    <w:p w14:paraId="6EA835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23 ноября 1933 г. были назначены демонстрационные полеты. Участники проходившего в те дни Пленума Реввоенсовета республики и партийные руководители пожелали ознакомиться с достижениями родной авиационной промышленности. В тот день первым в полет ушел легкий разведчик ЛР конструкции С.А.Кочеригина. Следующим в воздух на ЦКБ-3 поднялся Валерий Чкалов.</w:t>
      </w:r>
    </w:p>
    <w:p w14:paraId="4620F46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время длительного пикирования со скоростью около 400 км/ч сорвалось ушко крепления растяжки левой лыжи на мотораме. Носок лыжи опустился и ее развернуло поперек потока. Случай в те времена не редкий, но досадный, шансов благополучно приземлиться практически не имелось. Самолет на посадке перевернулся, Чкалов не пострадал, но машина была разбита (6593).</w:t>
      </w:r>
    </w:p>
    <w:p w14:paraId="794DB41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503B76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ноября 1933 г. после завершения заводских испытаний первого экземпляра И-15 самолет решили проде</w:t>
      </w:r>
      <w:r w:rsidRPr="00C33834">
        <w:rPr>
          <w:rFonts w:ascii="Times New Roman" w:hAnsi="Times New Roman"/>
          <w:color w:val="000000" w:themeColor="text1"/>
          <w:sz w:val="16"/>
          <w:szCs w:val="16"/>
        </w:rPr>
        <w:softHyphen/>
        <w:t>монстрировать руководителям Вооруженных Сил, собравшимся на заседание Пленума Реввоенсовета. Сре</w:t>
      </w:r>
      <w:r w:rsidRPr="00C33834">
        <w:rPr>
          <w:rFonts w:ascii="Times New Roman" w:hAnsi="Times New Roman"/>
          <w:color w:val="000000" w:themeColor="text1"/>
          <w:sz w:val="16"/>
          <w:szCs w:val="16"/>
        </w:rPr>
        <w:softHyphen/>
        <w:t>ди них присутствовал и начальник ВВС Я.И.Алкснис. После осмотра машины на земле В.П.Чкалов поднял ЦКБ-3 в воздух. Выполнив каскад фигур высшего пило</w:t>
      </w:r>
      <w:r w:rsidRPr="00C33834">
        <w:rPr>
          <w:rFonts w:ascii="Times New Roman" w:hAnsi="Times New Roman"/>
          <w:color w:val="000000" w:themeColor="text1"/>
          <w:sz w:val="16"/>
          <w:szCs w:val="16"/>
        </w:rPr>
        <w:softHyphen/>
        <w:t>тажа на высоте 1300 метров, летчик перевел самолет в крутое пикирование (угол пикирования достигал 75°). На скорости свыше 400 км/ч, не выдержав нагрузки, оборвались ушки переднего крепления левой лыжи на мотораме. Чкалов, сразу определив характер поврежде</w:t>
      </w:r>
      <w:r w:rsidRPr="00C33834">
        <w:rPr>
          <w:rFonts w:ascii="Times New Roman" w:hAnsi="Times New Roman"/>
          <w:color w:val="000000" w:themeColor="text1"/>
          <w:sz w:val="16"/>
          <w:szCs w:val="16"/>
        </w:rPr>
        <w:softHyphen/>
        <w:t>ния, на высоте 400 м вывел машину из пикирования, круто набрал высоту, перекрыл подачу топлива из бака, выработал остаток бензина из системы питания, выклю</w:t>
      </w:r>
      <w:r w:rsidRPr="00C33834">
        <w:rPr>
          <w:rFonts w:ascii="Times New Roman" w:hAnsi="Times New Roman"/>
          <w:color w:val="000000" w:themeColor="text1"/>
          <w:sz w:val="16"/>
          <w:szCs w:val="16"/>
        </w:rPr>
        <w:softHyphen/>
        <w:t>чил мотор и пошел на посадку. После выравнивания у самой земли на скорости 65-75 км/ч машина спарашютировала, завалившись на левое крыло. ЦКБ-3 коснулся земли носком левой лыжи (при этом сломалась полуось шасси), и самолет перевернулся. Машина получила сильные повреждения, летчик же остался невредим. Авария не повлияла на общую положительную оценку самолета и, несмотря на то, что государственные испытания еще не проводили, руководство авиапромы</w:t>
      </w:r>
      <w:r w:rsidRPr="00C33834">
        <w:rPr>
          <w:rFonts w:ascii="Times New Roman" w:hAnsi="Times New Roman"/>
          <w:color w:val="000000" w:themeColor="text1"/>
          <w:sz w:val="16"/>
          <w:szCs w:val="16"/>
        </w:rPr>
        <w:softHyphen/>
        <w:t>шленности приняло решение о развертывании работ по организации серийной постройки И-15 на заводе № 1. В протоколе заседания под председательством начальника Глававиапрома Королева от 25 ноября 1933 г. написано: «...3) Первую партию И-15 в 1934 г. построить на заводе № 39 с тем, что в 1935 г. производство этой машины пе</w:t>
      </w:r>
      <w:r w:rsidRPr="00C33834">
        <w:rPr>
          <w:rFonts w:ascii="Times New Roman" w:hAnsi="Times New Roman"/>
          <w:color w:val="000000" w:themeColor="text1"/>
          <w:sz w:val="16"/>
          <w:szCs w:val="16"/>
        </w:rPr>
        <w:softHyphen/>
        <w:t>редать на завод № 1.... 5) При осуществлении указанной наметки считать возможным изготовить в 1934 г. ори</w:t>
      </w:r>
      <w:r w:rsidRPr="00C33834">
        <w:rPr>
          <w:rFonts w:ascii="Times New Roman" w:hAnsi="Times New Roman"/>
          <w:color w:val="000000" w:themeColor="text1"/>
          <w:sz w:val="16"/>
          <w:szCs w:val="16"/>
        </w:rPr>
        <w:softHyphen/>
        <w:t>ентировочно... 25 самолетов И-15... 6) Отметить, что... И-15 моторами своего производства в 1934 г. обеспече</w:t>
      </w:r>
      <w:r w:rsidRPr="00C33834">
        <w:rPr>
          <w:rFonts w:ascii="Times New Roman" w:hAnsi="Times New Roman"/>
          <w:color w:val="000000" w:themeColor="text1"/>
          <w:sz w:val="16"/>
          <w:szCs w:val="16"/>
        </w:rPr>
        <w:softHyphen/>
        <w:t>ны не будут». 10 декабря 1933 г. началась пересылка чер</w:t>
      </w:r>
      <w:r w:rsidRPr="00C33834">
        <w:rPr>
          <w:rFonts w:ascii="Times New Roman" w:hAnsi="Times New Roman"/>
          <w:color w:val="000000" w:themeColor="text1"/>
          <w:sz w:val="16"/>
          <w:szCs w:val="16"/>
        </w:rPr>
        <w:softHyphen/>
        <w:t>тежей и другой документации с завода № 39 на завод № 1 для ознакомления и изготовления оснастки и приспо</w:t>
      </w:r>
      <w:r w:rsidRPr="00C33834">
        <w:rPr>
          <w:rFonts w:ascii="Times New Roman" w:hAnsi="Times New Roman"/>
          <w:color w:val="000000" w:themeColor="text1"/>
          <w:sz w:val="16"/>
          <w:szCs w:val="16"/>
        </w:rPr>
        <w:softHyphen/>
        <w:t>соблений (10667).</w:t>
      </w:r>
    </w:p>
    <w:p w14:paraId="6AA0598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96E80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ноября 1933 г. во время длительного пикирования ЦКБ-3 со скоростью около 400 км/ч сорвалось ушко крепления растяжки левой лыжи на мотораме. Носок лыжи опустился, и ее развернуло поперек потока. Случай в те времена не редкий, но досадный; шансов приземлиться благополучно практически не имелось, и самолет на посадке перевернулся. Чкалов не пострадал, но первый опытный экземпляр оказался разбит. Позднее его восстановили как самолет для достижения рекорда высоты (12014).</w:t>
      </w:r>
    </w:p>
    <w:p w14:paraId="4C5054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7C06A2B" w14:textId="77777777" w:rsidR="00CF699A" w:rsidRPr="00C33834" w:rsidRDefault="00CF699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23 ноября 1933 г. по инициативе ГУ ВВС самолет ВС-2 К-12 был включен в Постановление СТО № 119сс, которое предусматривало строительство его головной (т.е. установочной) серии из трех экз. на ХАЗОС со сроком передачи на ГИ, сдвинутым на 01.09.34 г. Однако ГУАП настоял на исключении самолета из его серийной программы на том основании, что самолет можно считать только экспериментальным и вопрос о его серийном производстве можно рассматривать только после завершения испытаний. Кроме того, в начале 1934 г. строительство самолета было передано опытному производству завода № 18 (г. Воронеж).   Постановлением СТО №№ С-39сс «О плане опытного строительства самолетов и моторов на 1936-1936 гг.» от 16.04.35 г. был введен в действие новый) «План опытного моторо- и самолетостроения ВВС РККА на 1935-36 гг.», которым срок сдачи самолета на 01.10.35 г.   В начале 1935 г. был забракован натурный макет самолета (см. ниже). В это же время Калинин ходатайствовал о выделении двух импортных моторов Гном-Рон 14К «Мистраль-Мажор», которыми можно было бы заменить недостаточно мощные М-22 (23157).</w:t>
      </w:r>
    </w:p>
    <w:p w14:paraId="1BB5B197" w14:textId="77777777" w:rsidR="00CF699A" w:rsidRPr="00C33834" w:rsidRDefault="00CF699A" w:rsidP="00C33834">
      <w:pPr>
        <w:spacing w:after="0" w:line="240" w:lineRule="auto"/>
        <w:jc w:val="both"/>
        <w:rPr>
          <w:rFonts w:ascii="Times New Roman" w:hAnsi="Times New Roman"/>
          <w:color w:val="0070C0"/>
          <w:sz w:val="16"/>
          <w:szCs w:val="16"/>
        </w:rPr>
      </w:pPr>
    </w:p>
    <w:p w14:paraId="40D5B4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ноября 1933 г. в НИИ ВВС закончились государственные испытания системы дозаправки в полете с Р-5, которые проходили с 14 сентября 1933 г. Всего было выполнено 24 полета с общим налетом 17 часов 13 минут. Летали Иващенко, Шавкин, Никитин. В Акте по госиспытаниям указывалось, что «приспо</w:t>
      </w:r>
      <w:r w:rsidRPr="00C33834">
        <w:rPr>
          <w:rFonts w:ascii="Times New Roman" w:hAnsi="Times New Roman"/>
          <w:color w:val="000000" w:themeColor="text1"/>
          <w:sz w:val="16"/>
          <w:szCs w:val="16"/>
        </w:rPr>
        <w:softHyphen/>
        <w:t>собление для переливки горючего из самолета Р-5 в са</w:t>
      </w:r>
      <w:r w:rsidRPr="00C33834">
        <w:rPr>
          <w:rFonts w:ascii="Times New Roman" w:hAnsi="Times New Roman"/>
          <w:color w:val="000000" w:themeColor="text1"/>
          <w:sz w:val="16"/>
          <w:szCs w:val="16"/>
        </w:rPr>
        <w:softHyphen/>
        <w:t>молет ТБ-3 государственные испытания выдержало», что для дозаправки не имеют значения направление вет</w:t>
      </w:r>
      <w:r w:rsidRPr="00C33834">
        <w:rPr>
          <w:rFonts w:ascii="Times New Roman" w:hAnsi="Times New Roman"/>
          <w:color w:val="000000" w:themeColor="text1"/>
          <w:sz w:val="16"/>
          <w:szCs w:val="16"/>
        </w:rPr>
        <w:softHyphen/>
        <w:t>ра и высота полета, что конструкция аппаратуры позво</w:t>
      </w:r>
      <w:r w:rsidRPr="00C33834">
        <w:rPr>
          <w:rFonts w:ascii="Times New Roman" w:hAnsi="Times New Roman"/>
          <w:color w:val="000000" w:themeColor="text1"/>
          <w:sz w:val="16"/>
          <w:szCs w:val="16"/>
        </w:rPr>
        <w:softHyphen/>
        <w:t>ляет производить дозаправку ТБ-3 в воздухе. Благодаря этому можно увеличить дальность полета с заданной бомбовой нагрузкой, либо увеличить бомбовую нагруз</w:t>
      </w:r>
      <w:r w:rsidRPr="00C33834">
        <w:rPr>
          <w:rFonts w:ascii="Times New Roman" w:hAnsi="Times New Roman"/>
          <w:color w:val="000000" w:themeColor="text1"/>
          <w:sz w:val="16"/>
          <w:szCs w:val="16"/>
        </w:rPr>
        <w:softHyphen/>
        <w:t>ку при заданной дальности. В качестве основного недо</w:t>
      </w:r>
      <w:r w:rsidRPr="00C33834">
        <w:rPr>
          <w:rFonts w:ascii="Times New Roman" w:hAnsi="Times New Roman"/>
          <w:color w:val="000000" w:themeColor="text1"/>
          <w:sz w:val="16"/>
          <w:szCs w:val="16"/>
        </w:rPr>
        <w:softHyphen/>
        <w:t>статка отмечалось, что сматывание шланга вручную после заливки на самолете Р-5 затруднено, в особеннос</w:t>
      </w:r>
      <w:r w:rsidRPr="00C33834">
        <w:rPr>
          <w:rFonts w:ascii="Times New Roman" w:hAnsi="Times New Roman"/>
          <w:color w:val="000000" w:themeColor="text1"/>
          <w:sz w:val="16"/>
          <w:szCs w:val="16"/>
        </w:rPr>
        <w:softHyphen/>
        <w:t>ти в зимних условиях. Доработка системы позволяла ус</w:t>
      </w:r>
      <w:r w:rsidRPr="00C33834">
        <w:rPr>
          <w:rFonts w:ascii="Times New Roman" w:hAnsi="Times New Roman"/>
          <w:color w:val="000000" w:themeColor="text1"/>
          <w:sz w:val="16"/>
          <w:szCs w:val="16"/>
        </w:rPr>
        <w:softHyphen/>
        <w:t>транить этот дефект. Однако в дальнейшем к идее дозаправки самолетов в воздухе командование ВВС ста</w:t>
      </w:r>
      <w:r w:rsidRPr="00C33834">
        <w:rPr>
          <w:rFonts w:ascii="Times New Roman" w:hAnsi="Times New Roman"/>
          <w:color w:val="000000" w:themeColor="text1"/>
          <w:sz w:val="16"/>
          <w:szCs w:val="16"/>
        </w:rPr>
        <w:softHyphen/>
        <w:t>ло относиться более сдержанно, практического исполь</w:t>
      </w:r>
      <w:r w:rsidRPr="00C33834">
        <w:rPr>
          <w:rFonts w:ascii="Times New Roman" w:hAnsi="Times New Roman"/>
          <w:color w:val="000000" w:themeColor="text1"/>
          <w:sz w:val="16"/>
          <w:szCs w:val="16"/>
        </w:rPr>
        <w:softHyphen/>
        <w:t>зования в те годы она не получила (10667).</w:t>
      </w:r>
    </w:p>
    <w:p w14:paraId="6185ED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9F9BB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ноября 1933 закончились гос. испытания опытной переливки горючего в воздухе из самолета Р-5 М-17 в самолет ТБ-3-4М17, которые проходили с 14 сентября 1933.</w:t>
      </w:r>
    </w:p>
    <w:p w14:paraId="2CA406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2B9533A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инженер-летчик Белозеров</w:t>
      </w:r>
    </w:p>
    <w:p w14:paraId="15EAFF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Летчики - Миндер, Каверин</w:t>
      </w:r>
    </w:p>
    <w:p w14:paraId="734D6B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7C3204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проверить возможность переливки горючего в воздухе во время полета из самолета Р-5 М-17 в самолет ТБ-3 4М-17.</w:t>
      </w:r>
    </w:p>
    <w:p w14:paraId="25D5B6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Установить практическую целесообразность внедрения таковой в строевые части.</w:t>
      </w:r>
    </w:p>
    <w:p w14:paraId="12D8EC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26E7BC5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приспособление для переливки горючего из самолета Р-5 М-17 в самолет ТБ-3 4М-17 гос. испытания выдержало.</w:t>
      </w:r>
    </w:p>
    <w:p w14:paraId="2331A7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проведения гос. испытаний по переливке в воздухе горючего из самолета Р5-М17 в самолет ТБ-3 4М-17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8060"/>
      </w:tblGrid>
      <w:tr w:rsidR="00F26F01" w:rsidRPr="00C33834" w14:paraId="75EE3C70" w14:textId="77777777">
        <w:tc>
          <w:tcPr>
            <w:tcW w:w="2254" w:type="dxa"/>
          </w:tcPr>
          <w:p w14:paraId="42E1AB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сентября 1933 года</w:t>
            </w:r>
          </w:p>
        </w:tc>
        <w:tc>
          <w:tcPr>
            <w:tcW w:w="8060" w:type="dxa"/>
          </w:tcPr>
          <w:p w14:paraId="668420E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Перегонка самолета ТБ-3 завода N 39 в Щелково - 50 мин.</w:t>
            </w:r>
          </w:p>
        </w:tc>
      </w:tr>
      <w:tr w:rsidR="00F26F01" w:rsidRPr="00C33834" w14:paraId="65C820C3" w14:textId="77777777">
        <w:tc>
          <w:tcPr>
            <w:tcW w:w="2254" w:type="dxa"/>
          </w:tcPr>
          <w:p w14:paraId="4F9199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сентября 1933 года</w:t>
            </w:r>
          </w:p>
        </w:tc>
        <w:tc>
          <w:tcPr>
            <w:tcW w:w="8060" w:type="dxa"/>
          </w:tcPr>
          <w:p w14:paraId="1FC1B8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Вывозные полеты командира эскадрильи Иванова</w:t>
            </w:r>
          </w:p>
        </w:tc>
      </w:tr>
      <w:tr w:rsidR="00F26F01" w:rsidRPr="00C33834" w14:paraId="27A3CD77" w14:textId="77777777">
        <w:tc>
          <w:tcPr>
            <w:tcW w:w="2254" w:type="dxa"/>
          </w:tcPr>
          <w:p w14:paraId="499DBA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4318C0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час. 28 мин.</w:t>
            </w:r>
          </w:p>
        </w:tc>
      </w:tr>
      <w:tr w:rsidR="00F26F01" w:rsidRPr="00C33834" w14:paraId="0FC6E7CD" w14:textId="77777777">
        <w:tc>
          <w:tcPr>
            <w:tcW w:w="2254" w:type="dxa"/>
          </w:tcPr>
          <w:p w14:paraId="520E1F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сентября 1933 года</w:t>
            </w:r>
          </w:p>
        </w:tc>
        <w:tc>
          <w:tcPr>
            <w:tcW w:w="8060" w:type="dxa"/>
          </w:tcPr>
          <w:p w14:paraId="02D3BB5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Вывозные полеты командира эскадрильи Иванова</w:t>
            </w:r>
          </w:p>
        </w:tc>
      </w:tr>
      <w:tr w:rsidR="00F26F01" w:rsidRPr="00C33834" w14:paraId="74D629E9" w14:textId="77777777">
        <w:tc>
          <w:tcPr>
            <w:tcW w:w="2254" w:type="dxa"/>
          </w:tcPr>
          <w:p w14:paraId="5CB76C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03BFEC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час. 25 мин.</w:t>
            </w:r>
          </w:p>
        </w:tc>
      </w:tr>
      <w:tr w:rsidR="00F26F01" w:rsidRPr="00C33834" w14:paraId="6773478D" w14:textId="77777777">
        <w:tc>
          <w:tcPr>
            <w:tcW w:w="2254" w:type="dxa"/>
          </w:tcPr>
          <w:p w14:paraId="5712BC5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04D12B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Самостоятельная тренировка Иванова - 34 мин.</w:t>
            </w:r>
          </w:p>
        </w:tc>
      </w:tr>
      <w:tr w:rsidR="00F26F01" w:rsidRPr="00C33834" w14:paraId="27ACA098" w14:textId="77777777">
        <w:tc>
          <w:tcPr>
            <w:tcW w:w="2254" w:type="dxa"/>
          </w:tcPr>
          <w:p w14:paraId="4C8CC80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сентября 1933 года</w:t>
            </w:r>
          </w:p>
        </w:tc>
        <w:tc>
          <w:tcPr>
            <w:tcW w:w="8060" w:type="dxa"/>
          </w:tcPr>
          <w:p w14:paraId="4FE1E2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Подхватывание шлангов - не выполнено - 2 часа.</w:t>
            </w:r>
          </w:p>
        </w:tc>
      </w:tr>
      <w:tr w:rsidR="00F26F01" w:rsidRPr="00C33834" w14:paraId="2665DD63" w14:textId="77777777">
        <w:tc>
          <w:tcPr>
            <w:tcW w:w="2254" w:type="dxa"/>
          </w:tcPr>
          <w:p w14:paraId="2499BF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октября 1933 года</w:t>
            </w:r>
          </w:p>
        </w:tc>
        <w:tc>
          <w:tcPr>
            <w:tcW w:w="8060" w:type="dxa"/>
          </w:tcPr>
          <w:p w14:paraId="3948515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Подхватывание шлангов - не выполнено - 1 час. 8 мин.</w:t>
            </w:r>
          </w:p>
        </w:tc>
      </w:tr>
      <w:tr w:rsidR="00F26F01" w:rsidRPr="00C33834" w14:paraId="1EB02B3C" w14:textId="77777777">
        <w:tc>
          <w:tcPr>
            <w:tcW w:w="2254" w:type="dxa"/>
          </w:tcPr>
          <w:p w14:paraId="2CEAE3D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октября 1933 года</w:t>
            </w:r>
          </w:p>
        </w:tc>
        <w:tc>
          <w:tcPr>
            <w:tcW w:w="8060" w:type="dxa"/>
          </w:tcPr>
          <w:p w14:paraId="4A32ECB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Подхватывание шлангов - не выполнено - 58 мин.</w:t>
            </w:r>
          </w:p>
        </w:tc>
      </w:tr>
      <w:tr w:rsidR="00F26F01" w:rsidRPr="00C33834" w14:paraId="3BC665EA" w14:textId="77777777">
        <w:tc>
          <w:tcPr>
            <w:tcW w:w="2254" w:type="dxa"/>
          </w:tcPr>
          <w:p w14:paraId="67774ED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октября 1933 года</w:t>
            </w:r>
          </w:p>
        </w:tc>
        <w:tc>
          <w:tcPr>
            <w:tcW w:w="8060" w:type="dxa"/>
          </w:tcPr>
          <w:p w14:paraId="6718C1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Подхватывание веревки длиной 60 м - не выполнено</w:t>
            </w:r>
          </w:p>
        </w:tc>
      </w:tr>
      <w:tr w:rsidR="00F26F01" w:rsidRPr="00C33834" w14:paraId="3BC1B696" w14:textId="77777777">
        <w:tc>
          <w:tcPr>
            <w:tcW w:w="2254" w:type="dxa"/>
          </w:tcPr>
          <w:p w14:paraId="4540891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57D905D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час. 17 мин.</w:t>
            </w:r>
          </w:p>
        </w:tc>
      </w:tr>
      <w:tr w:rsidR="00F26F01" w:rsidRPr="00C33834" w14:paraId="3F40424A" w14:textId="77777777">
        <w:tc>
          <w:tcPr>
            <w:tcW w:w="2254" w:type="dxa"/>
          </w:tcPr>
          <w:p w14:paraId="11867C2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октября 1933 года</w:t>
            </w:r>
          </w:p>
        </w:tc>
        <w:tc>
          <w:tcPr>
            <w:tcW w:w="8060" w:type="dxa"/>
          </w:tcPr>
          <w:p w14:paraId="6F55879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Подхватывание веревки длиной 60 м - выполнено.</w:t>
            </w:r>
          </w:p>
        </w:tc>
      </w:tr>
      <w:tr w:rsidR="00F26F01" w:rsidRPr="00C33834" w14:paraId="29E47671" w14:textId="77777777">
        <w:tc>
          <w:tcPr>
            <w:tcW w:w="2254" w:type="dxa"/>
          </w:tcPr>
          <w:p w14:paraId="1F3BE9D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58860E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час. 28 мин.</w:t>
            </w:r>
          </w:p>
        </w:tc>
      </w:tr>
      <w:tr w:rsidR="00F26F01" w:rsidRPr="00C33834" w14:paraId="6626FB65" w14:textId="77777777">
        <w:tc>
          <w:tcPr>
            <w:tcW w:w="2254" w:type="dxa"/>
          </w:tcPr>
          <w:p w14:paraId="3CA096C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октября 1933 года</w:t>
            </w:r>
          </w:p>
        </w:tc>
        <w:tc>
          <w:tcPr>
            <w:tcW w:w="8060" w:type="dxa"/>
          </w:tcPr>
          <w:p w14:paraId="77C546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Подхватывание шланга длиной 50 м. Не выполнено из-за</w:t>
            </w:r>
          </w:p>
        </w:tc>
      </w:tr>
      <w:tr w:rsidR="00F26F01" w:rsidRPr="00C33834" w14:paraId="5A4888FB" w14:textId="77777777">
        <w:tc>
          <w:tcPr>
            <w:tcW w:w="2254" w:type="dxa"/>
          </w:tcPr>
          <w:p w14:paraId="0087429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60132A3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того, что конец шланга болтался. - 1 час. 30 мин.</w:t>
            </w:r>
          </w:p>
        </w:tc>
      </w:tr>
      <w:tr w:rsidR="00F26F01" w:rsidRPr="00C33834" w14:paraId="4004EA5E" w14:textId="77777777">
        <w:tc>
          <w:tcPr>
            <w:tcW w:w="2254" w:type="dxa"/>
          </w:tcPr>
          <w:p w14:paraId="2BBBDF2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8060" w:type="dxa"/>
          </w:tcPr>
          <w:p w14:paraId="616D7A9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час. 38 мин.</w:t>
            </w:r>
          </w:p>
        </w:tc>
      </w:tr>
    </w:tbl>
    <w:p w14:paraId="179FE72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Новый состав экипажа (ведущий летчик Миндер)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8060"/>
      </w:tblGrid>
      <w:tr w:rsidR="00F26F01" w:rsidRPr="00C33834" w14:paraId="32A83024" w14:textId="77777777">
        <w:tc>
          <w:tcPr>
            <w:tcW w:w="2254" w:type="dxa"/>
          </w:tcPr>
          <w:p w14:paraId="6C727B5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ноября 1933 года</w:t>
            </w:r>
          </w:p>
        </w:tc>
        <w:tc>
          <w:tcPr>
            <w:tcW w:w="8060" w:type="dxa"/>
          </w:tcPr>
          <w:p w14:paraId="7EF25B5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Тренировочный полет, хождение парой в строю</w:t>
            </w:r>
          </w:p>
        </w:tc>
      </w:tr>
      <w:tr w:rsidR="00F26F01" w:rsidRPr="00C33834" w14:paraId="7B05CD98" w14:textId="77777777">
        <w:tc>
          <w:tcPr>
            <w:tcW w:w="2254" w:type="dxa"/>
          </w:tcPr>
          <w:p w14:paraId="794BACD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6731C2A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кильватора с принижением второго самолета и подхватывание</w:t>
            </w:r>
          </w:p>
        </w:tc>
      </w:tr>
      <w:tr w:rsidR="00F26F01" w:rsidRPr="00C33834" w14:paraId="670A8754" w14:textId="77777777">
        <w:tc>
          <w:tcPr>
            <w:tcW w:w="2254" w:type="dxa"/>
          </w:tcPr>
          <w:p w14:paraId="28AD38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1853EF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летнабами самолета ТБ-3 веревки длиной 35 м, вместо</w:t>
            </w:r>
          </w:p>
        </w:tc>
      </w:tr>
      <w:tr w:rsidR="00F26F01" w:rsidRPr="00C33834" w14:paraId="302F1AED" w14:textId="77777777">
        <w:tc>
          <w:tcPr>
            <w:tcW w:w="2254" w:type="dxa"/>
          </w:tcPr>
          <w:p w14:paraId="19F68B6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224E48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шланга - 55 мин.</w:t>
            </w:r>
          </w:p>
        </w:tc>
      </w:tr>
      <w:tr w:rsidR="00F26F01" w:rsidRPr="00C33834" w14:paraId="6178EA3A" w14:textId="77777777">
        <w:tc>
          <w:tcPr>
            <w:tcW w:w="2254" w:type="dxa"/>
          </w:tcPr>
          <w:p w14:paraId="1A28C7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ноября 1933 года</w:t>
            </w:r>
          </w:p>
        </w:tc>
        <w:tc>
          <w:tcPr>
            <w:tcW w:w="8060" w:type="dxa"/>
          </w:tcPr>
          <w:p w14:paraId="2984A9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Тренировочный полет, хождение парой в строю</w:t>
            </w:r>
          </w:p>
        </w:tc>
      </w:tr>
      <w:tr w:rsidR="00F26F01" w:rsidRPr="00C33834" w14:paraId="7F6E3989" w14:textId="77777777">
        <w:tc>
          <w:tcPr>
            <w:tcW w:w="2254" w:type="dxa"/>
          </w:tcPr>
          <w:p w14:paraId="76BEA52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0AD3EE6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кильватора с принижением второго самолета и подхватывание</w:t>
            </w:r>
          </w:p>
        </w:tc>
      </w:tr>
      <w:tr w:rsidR="00F26F01" w:rsidRPr="00C33834" w14:paraId="52A8928B" w14:textId="77777777">
        <w:tc>
          <w:tcPr>
            <w:tcW w:w="2254" w:type="dxa"/>
          </w:tcPr>
          <w:p w14:paraId="42A2459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66547F6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летнабами самолета ТБ-3 шланга длиной 35 м, вместо</w:t>
            </w:r>
          </w:p>
        </w:tc>
      </w:tr>
      <w:tr w:rsidR="00F26F01" w:rsidRPr="00C33834" w14:paraId="6FC50080" w14:textId="77777777">
        <w:tc>
          <w:tcPr>
            <w:tcW w:w="2254" w:type="dxa"/>
          </w:tcPr>
          <w:p w14:paraId="280ACF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41C9A4D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шланга - 55 мин. В первый полет шланг болтался и из-за</w:t>
            </w:r>
          </w:p>
        </w:tc>
      </w:tr>
      <w:tr w:rsidR="00F26F01" w:rsidRPr="00C33834" w14:paraId="1AF68970" w14:textId="77777777">
        <w:tc>
          <w:tcPr>
            <w:tcW w:w="2254" w:type="dxa"/>
          </w:tcPr>
          <w:p w14:paraId="73B124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6DC4337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этого задание не было выполнено. Во второй полет</w:t>
            </w:r>
          </w:p>
        </w:tc>
      </w:tr>
      <w:tr w:rsidR="00F26F01" w:rsidRPr="00C33834" w14:paraId="2789F0D2" w14:textId="77777777">
        <w:tc>
          <w:tcPr>
            <w:tcW w:w="2254" w:type="dxa"/>
          </w:tcPr>
          <w:p w14:paraId="7F034C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3C9126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утяжеления груза задание выполнено. - 1 час. 15 мин.</w:t>
            </w:r>
          </w:p>
        </w:tc>
      </w:tr>
      <w:tr w:rsidR="00F26F01" w:rsidRPr="00C33834" w14:paraId="2D7D6F86" w14:textId="77777777">
        <w:tc>
          <w:tcPr>
            <w:tcW w:w="2254" w:type="dxa"/>
          </w:tcPr>
          <w:p w14:paraId="71E86F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ноября 1933 года</w:t>
            </w:r>
          </w:p>
        </w:tc>
        <w:tc>
          <w:tcPr>
            <w:tcW w:w="8060" w:type="dxa"/>
          </w:tcPr>
          <w:p w14:paraId="7CFDBE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для переливки горючего в воздухе. Из-за низкой</w:t>
            </w:r>
          </w:p>
        </w:tc>
      </w:tr>
      <w:tr w:rsidR="00F26F01" w:rsidRPr="00C33834" w14:paraId="491D4452" w14:textId="77777777">
        <w:tc>
          <w:tcPr>
            <w:tcW w:w="2254" w:type="dxa"/>
          </w:tcPr>
          <w:p w14:paraId="402C2A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7976440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облачности и нового состава экипажа самолета Р-5</w:t>
            </w:r>
          </w:p>
        </w:tc>
      </w:tr>
      <w:tr w:rsidR="00F26F01" w:rsidRPr="00C33834" w14:paraId="197BC549" w14:textId="77777777">
        <w:tc>
          <w:tcPr>
            <w:tcW w:w="2254" w:type="dxa"/>
          </w:tcPr>
          <w:p w14:paraId="02D2CE0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6C371D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переливка отставлена - 55 мин.</w:t>
            </w:r>
          </w:p>
        </w:tc>
      </w:tr>
      <w:tr w:rsidR="00F26F01" w:rsidRPr="00C33834" w14:paraId="4CA55977" w14:textId="77777777">
        <w:tc>
          <w:tcPr>
            <w:tcW w:w="2254" w:type="dxa"/>
          </w:tcPr>
          <w:p w14:paraId="3C4C36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ноября 1933 года</w:t>
            </w:r>
          </w:p>
        </w:tc>
        <w:tc>
          <w:tcPr>
            <w:tcW w:w="8060" w:type="dxa"/>
          </w:tcPr>
          <w:p w14:paraId="52DEE9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для переливки горючего в воздухе. Первый раз</w:t>
            </w:r>
          </w:p>
        </w:tc>
      </w:tr>
      <w:tr w:rsidR="00F26F01" w:rsidRPr="00C33834" w14:paraId="34BC8EE9" w14:textId="77777777">
        <w:tc>
          <w:tcPr>
            <w:tcW w:w="2254" w:type="dxa"/>
          </w:tcPr>
          <w:p w14:paraId="7E66017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2A525C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переливка одного нижнего бака. Второй - переливка</w:t>
            </w:r>
          </w:p>
        </w:tc>
      </w:tr>
      <w:tr w:rsidR="00F26F01" w:rsidRPr="00C33834" w14:paraId="40581C25" w14:textId="77777777">
        <w:tc>
          <w:tcPr>
            <w:tcW w:w="2254" w:type="dxa"/>
          </w:tcPr>
          <w:p w14:paraId="40C348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1EC9D7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нижнего подфюзеляжного бака и заднего фюзеляжного</w:t>
            </w:r>
          </w:p>
        </w:tc>
      </w:tr>
      <w:tr w:rsidR="00F26F01" w:rsidRPr="00C33834" w14:paraId="3E45D8FA" w14:textId="77777777">
        <w:tc>
          <w:tcPr>
            <w:tcW w:w="2254" w:type="dxa"/>
          </w:tcPr>
          <w:p w14:paraId="0F3C9FF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23D1AF7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(главного) - 1 час. 30 мин.</w:t>
            </w:r>
          </w:p>
        </w:tc>
      </w:tr>
      <w:tr w:rsidR="00F26F01" w:rsidRPr="00C33834" w14:paraId="685A8E52" w14:textId="77777777">
        <w:tc>
          <w:tcPr>
            <w:tcW w:w="2254" w:type="dxa"/>
          </w:tcPr>
          <w:p w14:paraId="18A1B9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Всего:</w:t>
            </w:r>
          </w:p>
        </w:tc>
        <w:tc>
          <w:tcPr>
            <w:tcW w:w="8060" w:type="dxa"/>
          </w:tcPr>
          <w:p w14:paraId="0F5FC6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7512D6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Проведено всего 24 полета общей продолжительностью - 17 час. 13 мин. (3916).</w:t>
      </w:r>
    </w:p>
    <w:p w14:paraId="6EBDB5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EDED3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ноября 1933 вышло Постановление СТО N 119сс о программе авиапромышленности на 1934 (2266,164).</w:t>
      </w:r>
    </w:p>
    <w:p w14:paraId="4554921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8753E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ноября 1933 года начальник НИИ авиадвигателей Ангелов писал:</w:t>
      </w:r>
    </w:p>
    <w:p w14:paraId="24EC36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НИИ авиадвигателей существует с августа 1932 года.</w:t>
      </w:r>
    </w:p>
    <w:p w14:paraId="14FB6E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0CD1FA8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Отдел особых двигателей</w:t>
      </w:r>
    </w:p>
    <w:p w14:paraId="6E83F2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Отдел работает над созданием паровой турбины мощностью 3000 л.с. Эта проблема должна решить развитие тяжелой и сверхтяжелой авиации. Турбина находится в стадии изготовления в основном на Ленинградских заводах.</w:t>
      </w:r>
    </w:p>
    <w:p w14:paraId="570AE2D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…………………….(7738, 137-134).</w:t>
      </w:r>
    </w:p>
    <w:p w14:paraId="57ADE27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4D5F9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ноября 1933 состоялось совещание у зам. нач. ГУАП Макаровского по производственной программе завода 19 и по подготовке внедрения мотора Циклон (2292,307).</w:t>
      </w:r>
    </w:p>
    <w:p w14:paraId="5FD355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98555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ноября 1933 вышло постановление СТО по НИИ и опытным работам в АП (2281,92).</w:t>
      </w:r>
    </w:p>
    <w:p w14:paraId="1B24EC2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28404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ноября 1933 был подготовлен проект Постановления СТО по НИ и ОР в АП (2281,92).</w:t>
      </w:r>
    </w:p>
    <w:p w14:paraId="4D9F6B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СТО по НИР и ОР в Авиапромышленности (проект)</w:t>
      </w:r>
    </w:p>
    <w:p w14:paraId="77DDEF0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улучшения постановки дела опытного и эксперимен</w:t>
      </w:r>
      <w:r w:rsidRPr="00C33834">
        <w:rPr>
          <w:rFonts w:ascii="Times New Roman" w:hAnsi="Times New Roman"/>
          <w:color w:val="000000" w:themeColor="text1"/>
          <w:sz w:val="16"/>
          <w:szCs w:val="16"/>
        </w:rPr>
        <w:softHyphen/>
        <w:t>тального строительсгва, ускорения темпо в внедрения опытных машин в серию, обеспечения усовершенствования находящихся в серийном производстве машин и укрепления взаимной связи научно-всследовательсках, опытных организаций и промьшленности, - СТО ПОСТАНОВЛЯЕТ:</w:t>
      </w:r>
    </w:p>
    <w:p w14:paraId="1827230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Считать институты авиационной промышленности самостоятельными комплексными организациями, ведущими опытное и экспериментальное строительство и занимающмися связанными о ними научно-исследовательскими проблемами.</w:t>
      </w:r>
    </w:p>
    <w:p w14:paraId="307699D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Предложить ГУАП обеспечить дальнейшее укрепление и развитие указанные организаций.</w:t>
      </w:r>
    </w:p>
    <w:p w14:paraId="50F84A4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Вовложить на научно-исследовательские и опытные органи</w:t>
      </w:r>
      <w:r w:rsidRPr="00C33834">
        <w:rPr>
          <w:rFonts w:ascii="Times New Roman" w:hAnsi="Times New Roman"/>
          <w:color w:val="000000" w:themeColor="text1"/>
          <w:sz w:val="16"/>
          <w:szCs w:val="16"/>
        </w:rPr>
        <w:softHyphen/>
        <w:t>зации разработку ноыых опытных и экспериментальных моторов и самолетов, их агрегатов, оборудования и вооружения по плану, утвержденному Правительством.</w:t>
      </w:r>
    </w:p>
    <w:p w14:paraId="6045A38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Централизовать в ВИАМ'е все вопросы авиационного материаловедения, для чего передать под его руководство соответ</w:t>
      </w:r>
      <w:r w:rsidRPr="00C33834">
        <w:rPr>
          <w:rFonts w:ascii="Times New Roman" w:hAnsi="Times New Roman"/>
          <w:color w:val="000000" w:themeColor="text1"/>
          <w:sz w:val="16"/>
          <w:szCs w:val="16"/>
        </w:rPr>
        <w:softHyphen/>
        <w:t>ствующие лаборатории заводов ГУАП'а.</w:t>
      </w:r>
    </w:p>
    <w:p w14:paraId="6AA0A02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ВИАМ возложить:</w:t>
      </w:r>
    </w:p>
    <w:p w14:paraId="2F2C038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изыскание новых авиационных материалов;</w:t>
      </w:r>
    </w:p>
    <w:p w14:paraId="468F4CD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улучшение соответствующих материалов;</w:t>
      </w:r>
    </w:p>
    <w:p w14:paraId="0282EFC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выработку рациональных методов применения в исполь</w:t>
      </w:r>
      <w:r w:rsidRPr="00C33834">
        <w:rPr>
          <w:rFonts w:ascii="Times New Roman" w:hAnsi="Times New Roman"/>
          <w:color w:val="000000" w:themeColor="text1"/>
          <w:sz w:val="16"/>
          <w:szCs w:val="16"/>
        </w:rPr>
        <w:softHyphen/>
        <w:t>зования материалов в самолето и моторостроении;</w:t>
      </w:r>
    </w:p>
    <w:p w14:paraId="743576D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организацию производства новых авиацввнных материалов на заводах-поставщиках;</w:t>
      </w:r>
    </w:p>
    <w:p w14:paraId="421BFB6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организацию новых технологических процессов как отечественных, так и лацензионных материалов на заводах авиапромышленности.</w:t>
      </w:r>
    </w:p>
    <w:p w14:paraId="4687A5B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Расшярить работу в ВИАМ"е по созданию новых материалов для самолетов и моторов из отечественного сырья, а также по созданию и укрепления баз по авиационным материалам и полуфабрикатам, для чего организовать при ВИАМ"е собствен</w:t>
      </w:r>
      <w:r w:rsidRPr="00C33834">
        <w:rPr>
          <w:rFonts w:ascii="Times New Roman" w:hAnsi="Times New Roman"/>
          <w:color w:val="000000" w:themeColor="text1"/>
          <w:sz w:val="16"/>
          <w:szCs w:val="16"/>
        </w:rPr>
        <w:softHyphen/>
        <w:t>ный опытньй завод.</w:t>
      </w:r>
    </w:p>
    <w:p w14:paraId="5CECF90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Предоставить ВИАМ'у право иметь на заводах авиапромы</w:t>
      </w:r>
      <w:r w:rsidRPr="00C33834">
        <w:rPr>
          <w:rFonts w:ascii="Times New Roman" w:hAnsi="Times New Roman"/>
          <w:color w:val="000000" w:themeColor="text1"/>
          <w:sz w:val="16"/>
          <w:szCs w:val="16"/>
        </w:rPr>
        <w:softHyphen/>
        <w:t>шленности и на заводах "Электросталь", им. ЛЕНИНА /в Днепропетровске/, им. ВОРОШИЛОВА /в Ленинграде/, и "Серп м молот" /в Москве/ свои бригады, при помощи которых Инсти</w:t>
      </w:r>
      <w:r w:rsidRPr="00C33834">
        <w:rPr>
          <w:rFonts w:ascii="Times New Roman" w:hAnsi="Times New Roman"/>
          <w:color w:val="000000" w:themeColor="text1"/>
          <w:sz w:val="16"/>
          <w:szCs w:val="16"/>
        </w:rPr>
        <w:softHyphen/>
        <w:t>тут должен наблюдать за технологическими процессами заво</w:t>
      </w:r>
      <w:r w:rsidRPr="00C33834">
        <w:rPr>
          <w:rFonts w:ascii="Times New Roman" w:hAnsi="Times New Roman"/>
          <w:color w:val="000000" w:themeColor="text1"/>
          <w:sz w:val="16"/>
          <w:szCs w:val="16"/>
        </w:rPr>
        <w:softHyphen/>
        <w:t>дов по линии работ ВИАМ'а , и в случае надобности - оказы</w:t>
      </w:r>
      <w:r w:rsidRPr="00C33834">
        <w:rPr>
          <w:rFonts w:ascii="Times New Roman" w:hAnsi="Times New Roman"/>
          <w:color w:val="000000" w:themeColor="text1"/>
          <w:sz w:val="16"/>
          <w:szCs w:val="16"/>
        </w:rPr>
        <w:softHyphen/>
        <w:t>вать заводам техническую помощь.</w:t>
      </w:r>
    </w:p>
    <w:p w14:paraId="0A1B61E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Укрепить и раавернутъ на самолетных и моторных заводах конотрукторские бюро, в обязанности которых ыходит:</w:t>
      </w:r>
    </w:p>
    <w:p w14:paraId="5788CB1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улучшение находящихся в серийном производстве и, по согласованию с опыгными организациями, модерннизацию</w:t>
      </w:r>
    </w:p>
    <w:p w14:paraId="35E507B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пред"явление текущих эталлонов этих машин;</w:t>
      </w:r>
    </w:p>
    <w:p w14:paraId="2E655B0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внедрение в серию совместно с опытным органи новых типов машин.</w:t>
      </w:r>
    </w:p>
    <w:p w14:paraId="016134A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Организовать при серийных заводах отдельные производственные цеха для выполнения работ конструкторских бюро заводов и в соответствии с задачами, поставленными перед конструкторокаыа бюро, расширить лаборатории, заводов</w:t>
      </w:r>
    </w:p>
    <w:p w14:paraId="092E4EE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Усилить институтам и серийным заводам наблюдение за качеством малин и материалов, находящихся в эксплоатации, создав для этого специальные эксалоатационные группы.</w:t>
      </w:r>
    </w:p>
    <w:p w14:paraId="5095B20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Раширить об'ем работ опытных организаций в области построения экспериментальных машин и их агрегатов дляускорения темпов перспективного развития советской авиации</w:t>
      </w:r>
    </w:p>
    <w:p w14:paraId="19DBD8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Обязать Наркомтяжпром на заводах-поставщиках выполнять заказы институтов, в первую очередь и оказывать, по мере надобности, немедленную техническую помощь.</w:t>
      </w:r>
    </w:p>
    <w:p w14:paraId="220D84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Для лучшей организации внедрения в серийное строительство опьггных самолетов и моторов выделять опытным организациям на серийные заводы отдельного ответственного руководителя по каждой машине на время с момента передачи опытных организаций заводам до выпуска первой серии.</w:t>
      </w:r>
    </w:p>
    <w:p w14:paraId="7BAAF3A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Для ускорения темпов внедрения работ научно-исследовательских и опытных организаций в серийное производство организовать временную посылку заводских работников в эти организации.</w:t>
      </w:r>
    </w:p>
    <w:p w14:paraId="6851F3B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В целях укрепления взаимной связи между опытными и научно-исследовательскими организациями авиапромышленности, вменить им в обязанность создание единых оперативных планов работ по каждой машине.</w:t>
      </w:r>
    </w:p>
    <w:p w14:paraId="2B0031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Обратить особое внимание НИИ и опытных организаций на укрепление и усиление работ по винто-моторной группе.</w:t>
      </w:r>
    </w:p>
    <w:p w14:paraId="416EB9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Усилить оперативное руководство ГУАПа по координации работ НИ и ОО промышленности (2181,92).</w:t>
      </w:r>
    </w:p>
    <w:p w14:paraId="4FCF150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66689D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ноября 1933 Нач. ВВС писал письмо в СТО (копия нач. ГУАП Королеву):</w:t>
      </w:r>
    </w:p>
    <w:p w14:paraId="36C3680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представленному проекту постановления СТО о производстве гидросамолетов я имею нижеследующие дополнения и изменения:</w:t>
      </w:r>
    </w:p>
    <w:p w14:paraId="0179D93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 1 - Настаиваю на сдаче в 1934 по крайней мере 12 МДР-4 на вооружение хотя бы одной эскадрильи и никак не могу согласиться на доведение только 6 самолетов этого типа до состояния техготовности, т.е. до состояния задела, без всякой сдачи и даже предъявления их НКВМ, как это предполагает проект.</w:t>
      </w:r>
    </w:p>
    <w:p w14:paraId="3A8EC7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 2 - Настаиваю на сдаче заводом 22 по 1934 хотя бы 6 самолетов типа Морской Крейсер для освоения их в зимних условиях 1934-35 и своевременной отработки эталона 9образца) на 1935 и возражаю против предложения Королева о доведении этих самолетов только до техготовности.</w:t>
      </w:r>
    </w:p>
    <w:p w14:paraId="127D06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 4 - исключительное значение постановки производства гидросамолетов на заводе 125 в Иркутске заставляет меня настаивать на выпуске и сдаче НКВМ в 1934 на этом заводе не менее 10-12 машин для вооружения хотя бы одной эскадрильи.</w:t>
      </w:r>
    </w:p>
    <w:p w14:paraId="617DEE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Соответственно с этим необходимо уже сейчас принять меры к завершению строительства и оборудованию завода и подготовки...</w:t>
      </w:r>
    </w:p>
    <w:p w14:paraId="372472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...теперь и в возрастающий в будущем году между мощностями самолетных и моторных заводов, считаю необходимым пункт этот дополнить:</w:t>
      </w:r>
    </w:p>
    <w:p w14:paraId="0C3B1A2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НКТП не позже 15 января 1934 представить в СНК план наращивания производственных мощностей моторостроительных заводов до полной ликвидации разрыва между самолетными и моторными заводами с перечнем необходимых конкретных мероприятий для этой цели.”</w:t>
      </w:r>
    </w:p>
    <w:p w14:paraId="526827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остальном проект постановления с моей стороны возражений не встречает (2266,233).</w:t>
      </w:r>
    </w:p>
    <w:p w14:paraId="00BCB2A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СТО (проект)</w:t>
      </w:r>
    </w:p>
    <w:p w14:paraId="621F4D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развертывании производства гидросамолетов</w:t>
      </w:r>
    </w:p>
    <w:p w14:paraId="65FD1D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развитие постановления от 13 августа 1933 г. о форсировании морского гидросамолетостроения СТО ПОСТАНОВЛЯЕТ:</w:t>
      </w:r>
    </w:p>
    <w:p w14:paraId="3A6615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Обязать НКТП и персонально Нач. ГУАП т. Королева Г.К. поставить на заводе № 31 в г. Таганроге производство гидросамолетов типа МБР-2 и МДР-4 и выполнить в 1934 г. и сдать 250 шт. первых и довести в том же году до состояния технической готовности 6 шт. вторых.</w:t>
      </w:r>
    </w:p>
    <w:p w14:paraId="794A5D2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1935 г. ориентировочно назначить сдачу МДР-2 300 шт. и сдачу МДР-4 50 шт. и на 1936 г. назначить сдачу МБР-2 400 шт. и МДР-4 - 100 шт.</w:t>
      </w:r>
    </w:p>
    <w:p w14:paraId="34E50C7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Обязать НКТП и персонально Нач. ГУАП т. Королева организовать в дополнение к производству завода № 31 временную внутренюю базу по тяжелым гидросамолетам типа МК на заводе № 22 в Москве с тем, чтобы сборка этих самолетов могла быть произведена в Таганроге на заводе № 31, в Севастополе на заводе № 45 или смежных площадках и на одной из гидробаз на ДВ, по согласованию с НКВМ.</w:t>
      </w:r>
    </w:p>
    <w:p w14:paraId="521B32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Ориентировочную программу заводу № 22 по тяжелым гидросамолетам типа МК услановить следующую: на 1934 г. 5 самолетов по технической готовности, на 1935 - 50 самолетов по сдаче и на 1936 г. - до 100.</w:t>
      </w:r>
    </w:p>
    <w:p w14:paraId="7868793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3. Нехависимо от развития названных баз морского самолетостроения, обязать Нач. ГУАП т. Королева организовать вторую внутреннюю базу тяжелого гидросамолетостроения на заводе № 124 в г. Казань, обеспечивая дальнейшее строительство названного завода таким образом, чтобы уже в 1934 г. на отстроенных площадях началось бы постройка гидросамолетов, однако, с таким расчетом, что в дальнейшем завод № 124 является в основном базой по тяжелым сухопутным и морским самолетам.</w:t>
      </w:r>
    </w:p>
    <w:p w14:paraId="5AFF4C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 соответствии с постановлением СТО от 13 августа 1933 г. обязать Нач. ГУАП т. Королева организовать с 1 кв. 1934 г. на заводе № 125 в г. Иркутске производство гидросамолетов типа МДР-4 и выполнить в 1934 по технической готовности 3 машины.</w:t>
      </w:r>
    </w:p>
    <w:p w14:paraId="0F1B78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Обязать Нач. ГУАП т. Королева вести развитие на заводе № 126, находящемся ныне в начальной стадии чистого строительства, таким образом, чтобы постановка производства иорских гидросамолетов на названном заводе началась не позднее 1936 г.</w:t>
      </w:r>
    </w:p>
    <w:p w14:paraId="2BEF77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Обязать НКВМ немедленно приступить к постройке морских аэродромов и береговых сооружений для хранения тяжелых морских самолетов (МДР-4 и МК).</w:t>
      </w:r>
    </w:p>
    <w:p w14:paraId="1CBA01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НКТП своевременно обеспечить по заказам НКВМора эти сооружения соответствующим оборудованием.</w:t>
      </w:r>
    </w:p>
    <w:p w14:paraId="26CA4E8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Ввиду имеющегосы уже разрыва между самолетостроительными и моторостроительными заводами...(2266,232).</w:t>
      </w:r>
    </w:p>
    <w:p w14:paraId="3A32FD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1392E5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ноября 1933 года был подготовлен краткий отчет о работе московских НИИ за первое полугодие 1933 года</w:t>
      </w:r>
    </w:p>
    <w:p w14:paraId="19B33D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0C541A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СНИИ</w:t>
      </w:r>
    </w:p>
    <w:p w14:paraId="1184E737"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Были произведены испытания самолета АНТ-9 с моторами М-17 (работа закончена 10 февраля 1933 года).</w:t>
      </w:r>
    </w:p>
    <w:p w14:paraId="32A6D2A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Этот тип переконструированного самолета дал хорошие результаты, принят в эксплуатацию и внедрен в серийное производство.</w:t>
      </w:r>
    </w:p>
    <w:p w14:paraId="44EBB71E"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Закончены испытания самолета АИР-4 – в марте 1933 года, которые дали положительные результаты.</w:t>
      </w:r>
    </w:p>
    <w:p w14:paraId="21DCD610"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Произведены и закончены эксплуатационные испытания самолета Сталь-2, все выявленные недостатки были указаны заводу № 82 с целью их устранения.</w:t>
      </w:r>
    </w:p>
    <w:p w14:paraId="300CE753"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Была произведена подготовка самолета П-5 для перелета Водопьянова, в связи с чем были переделаны баки, устроена кабина и отопление. Самолет пошел в перелет.</w:t>
      </w:r>
    </w:p>
    <w:p w14:paraId="7A1327E0"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Институт принимал участие в производстве и испытании самолета Сталь-3. Кроме того принималось участие в испытаниях скоростного почтово-пассажирского самолета ХАИ-1.</w:t>
      </w:r>
    </w:p>
    <w:p w14:paraId="4BEDBC94"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самолету Сталь-6 велись конструктивные переработки и доработки отдельных деталей.</w:t>
      </w:r>
    </w:p>
    <w:p w14:paraId="7A684B82"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Разработана конструкция механизированного крыла для самолета АИР-6. Испытания дали настолько хорошие результаты, что механизированные крылья вводятся и на другие типы самолетов (7738, 133-128).</w:t>
      </w:r>
    </w:p>
    <w:p w14:paraId="0E25C0F3"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967F48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ноября 1933 г. десятью снаря</w:t>
      </w:r>
      <w:r w:rsidRPr="00C33834">
        <w:rPr>
          <w:rFonts w:ascii="Times New Roman" w:hAnsi="Times New Roman"/>
          <w:color w:val="000000" w:themeColor="text1"/>
          <w:sz w:val="16"/>
          <w:szCs w:val="16"/>
        </w:rPr>
        <w:softHyphen/>
        <w:t>дами той же модели 1374, изго</w:t>
      </w:r>
      <w:r w:rsidRPr="00C33834">
        <w:rPr>
          <w:rFonts w:ascii="Times New Roman" w:hAnsi="Times New Roman"/>
          <w:color w:val="000000" w:themeColor="text1"/>
          <w:sz w:val="16"/>
          <w:szCs w:val="16"/>
        </w:rPr>
        <w:softHyphen/>
        <w:t>товленными тщательнее снарядов модели 561/1273 подтвердили, что качество изготовления снарядов при повышении давления в камере двигателя оказывает влияние на меткость. Для нее в опытной механической мастерской АНИИ изготовили 20 боеприпасов. Качество их признали неудовлетво</w:t>
      </w:r>
      <w:r w:rsidRPr="00C33834">
        <w:rPr>
          <w:rFonts w:ascii="Times New Roman" w:hAnsi="Times New Roman"/>
          <w:color w:val="000000" w:themeColor="text1"/>
          <w:sz w:val="16"/>
          <w:szCs w:val="16"/>
        </w:rPr>
        <w:softHyphen/>
        <w:t>рительным. В частности, «БЧ и сопла располагались эксцентрично отно</w:t>
      </w:r>
      <w:r w:rsidRPr="00C33834">
        <w:rPr>
          <w:rFonts w:ascii="Times New Roman" w:hAnsi="Times New Roman"/>
          <w:color w:val="000000" w:themeColor="text1"/>
          <w:sz w:val="16"/>
          <w:szCs w:val="16"/>
        </w:rPr>
        <w:softHyphen/>
        <w:t>сительно двигателя. У некоторых боеприпасов эксцентриситет сопла до</w:t>
      </w:r>
      <w:r w:rsidRPr="00C33834">
        <w:rPr>
          <w:rFonts w:ascii="Times New Roman" w:hAnsi="Times New Roman"/>
          <w:color w:val="000000" w:themeColor="text1"/>
          <w:sz w:val="16"/>
          <w:szCs w:val="16"/>
        </w:rPr>
        <w:softHyphen/>
        <w:t>ходил до 6 мм». Несмотря на невозможность устранения этих дефектов, снаряды все же допустили к стрельбе «для накопления опытного матери</w:t>
      </w:r>
      <w:r w:rsidRPr="00C33834">
        <w:rPr>
          <w:rFonts w:ascii="Times New Roman" w:hAnsi="Times New Roman"/>
          <w:color w:val="000000" w:themeColor="text1"/>
          <w:sz w:val="16"/>
          <w:szCs w:val="16"/>
        </w:rPr>
        <w:softHyphen/>
        <w:t>ала, чтобы проверить, насколько влияет качество изготовления узлов РС на результат стрельбы». БЧ инертных снарядов были залиты серой. РЗ состоял из 28 шашек пороха рецептуры ПТП габаритами 40/8-57,5 мм. Одна из шашек — раз</w:t>
      </w:r>
      <w:r w:rsidRPr="00C33834">
        <w:rPr>
          <w:rFonts w:ascii="Times New Roman" w:hAnsi="Times New Roman"/>
          <w:color w:val="000000" w:themeColor="text1"/>
          <w:sz w:val="16"/>
          <w:szCs w:val="16"/>
        </w:rPr>
        <w:softHyphen/>
        <w:t>резная. По торцам РЗ располагались два воспламенителя из 12 г ДРП ка</w:t>
      </w:r>
      <w:r w:rsidRPr="00C33834">
        <w:rPr>
          <w:rFonts w:ascii="Times New Roman" w:hAnsi="Times New Roman"/>
          <w:color w:val="000000" w:themeColor="text1"/>
          <w:sz w:val="16"/>
          <w:szCs w:val="16"/>
        </w:rPr>
        <w:softHyphen/>
        <w:t>ждый. Диаметр критического сечения сопла - 26,0 мм. Стрельбу на НИ</w:t>
      </w:r>
      <w:r w:rsidRPr="00C33834">
        <w:rPr>
          <w:rFonts w:ascii="Times New Roman" w:hAnsi="Times New Roman"/>
          <w:color w:val="000000" w:themeColor="text1"/>
          <w:sz w:val="16"/>
          <w:szCs w:val="16"/>
        </w:rPr>
        <w:softHyphen/>
        <w:t>АП вели с углами возвышения 21°. Руководил опытами Ф.Н.Пойда в присутствии ВРИД начальника 1 отдела Л.Э.Шварца. Протяженность директрисы составляла 5600 м.</w:t>
      </w:r>
    </w:p>
    <w:p w14:paraId="041CDF7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Выводы: «ухудшение характеристик точности, по сравнению с бое-припасом с шестью крыльями оперения того же размаха, особенно за</w:t>
      </w:r>
      <w:r w:rsidRPr="00C33834">
        <w:rPr>
          <w:rFonts w:ascii="Times New Roman" w:hAnsi="Times New Roman"/>
          <w:color w:val="000000" w:themeColor="text1"/>
          <w:sz w:val="16"/>
          <w:szCs w:val="16"/>
        </w:rPr>
        <w:softHyphen/>
        <w:t>метно в отклонениях по дальности. Отмеченное неудовлетворительное качество боеприпасов не позволило связать повышенное рассеивание РС с уменьшением площади оперения».</w:t>
      </w:r>
    </w:p>
    <w:p w14:paraId="62B5E52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аналогичной схеме дорабатывали и РС-82. Боеприпасы модели 546/1276 изготавливали на заводе №67, но вместо стабилизатора из 16 лопастей установили оперение из четырех крыльев. Стрельба ими на меткость состоялась на НИАП 31 августа 1933 г. при углах возвышения пусковой 17° (11402).</w:t>
      </w:r>
    </w:p>
    <w:p w14:paraId="7725960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F8C070" w14:textId="77777777" w:rsidR="002E2083" w:rsidRPr="00C33834" w:rsidRDefault="001A42D5" w:rsidP="00C3383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CFB705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5108E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ноября 1933 г. было подготовлено донесение № 50822</w:t>
      </w:r>
    </w:p>
    <w:p w14:paraId="174A8FA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СЕКРЕТАРЮ ЦК ВКП (Б)</w:t>
      </w:r>
    </w:p>
    <w:p w14:paraId="2274AF9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 Сталину</w:t>
      </w:r>
    </w:p>
    <w:p w14:paraId="7180EB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iCs/>
          <w:color w:val="000000" w:themeColor="text1"/>
          <w:sz w:val="16"/>
          <w:szCs w:val="16"/>
        </w:rPr>
        <w:t>Резолюция Сталина: Результаты сообщить</w:t>
      </w:r>
    </w:p>
    <w:p w14:paraId="79E111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октября с. г. на заводе “Электроприбор” в г. Ленинграде была обнаружена пропажа секретного чертежа – схемы управления артиллерийским огнем береговой обороны.</w:t>
      </w:r>
    </w:p>
    <w:p w14:paraId="4A79573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Негласным исследованием этого факта, ОГПУ было установлено, что чертеж присвоен заводским инженером Зильберберг Лев Яковлевичем.</w:t>
      </w:r>
    </w:p>
    <w:p w14:paraId="2C14842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ноября последний был арестован и на квартире у него обнаружены 3 секретных чертежа, военных заказов, находящихся в производстве на заводе “Электроприбор”.</w:t>
      </w:r>
    </w:p>
    <w:p w14:paraId="2A1F4AA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Следствием установлено; инж. Зильберберг проживая в 1921-23 гг. в г. Аккермане (Бессарабия) был завербован Румынской разведкой (сигуранцей) в лице сотрудника разведки Керлера, при содействии некоего гр. Капелюшника, также тайного агента разведки.</w:t>
      </w:r>
    </w:p>
    <w:p w14:paraId="0D7EB0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1923 г. Зильберберг был нелегально переброшен на территорию СССР для ведения, по заданию разведки шпионской работы, где выдал себя за политэмигранта.</w:t>
      </w:r>
    </w:p>
    <w:p w14:paraId="503D20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того же года Зильберберг, по заданию разведки вступил добровольно в РККА и был зачислен в 6-й полк связи в г. Киеве. Затем, будучи демобилизованным, пробрался во СТУЗ и по окончании его в 1931 г. переехал в г. Ленинград, где и поступил на завод “Электроприбор” в качестве инженера.</w:t>
      </w:r>
    </w:p>
    <w:p w14:paraId="540A57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1931 г. Зильберберг установил связь с упомянутым тайным агентом Румынской разведки Капелюшником, также перебравшимся в СССР и устроившимся инженером на военный радиозавод им. “Коминтерн” в Ленинграде.</w:t>
      </w:r>
    </w:p>
    <w:p w14:paraId="2BBCF20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проведения разведывательной работы по военным заказам на заводе “Электроприбор” Зильбербергом был завербован инж. Военно-морской части завода Дмитриев В.М., который в течение свыше года снабжал Зильберберга секретными чертежами, схемами и подробными сведениями о количестве и назначении заказов военно-морской части завода “Электроприбор”.</w:t>
      </w:r>
    </w:p>
    <w:p w14:paraId="0A9D4E4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Шпионские сведения и материалы Зильбербергом передавались Капелюшнику, который за это платил деньги.</w:t>
      </w:r>
    </w:p>
    <w:p w14:paraId="4FD1F1C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 Капелюшник Ю.И. – Зав. Спец. Конструкторск. Бюро Радиозавод им. “Коминтерн” и инж. Дмитриев Б.М – сотрудник Военно-морской части завода “Электроприбор” – арестованы.</w:t>
      </w:r>
    </w:p>
    <w:p w14:paraId="443571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Следствие по делу продолжается.</w:t>
      </w:r>
    </w:p>
    <w:p w14:paraId="5154FD8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Председателя ОГПУ Ягода</w:t>
      </w:r>
    </w:p>
    <w:p w14:paraId="448E64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 ЭКУ ОГПУ Миронов</w:t>
      </w:r>
    </w:p>
    <w:p w14:paraId="25A42227" w14:textId="77777777" w:rsidR="002E2083" w:rsidRPr="00C33834" w:rsidRDefault="002E2083" w:rsidP="00C33834">
      <w:pPr>
        <w:autoSpaceDE w:val="0"/>
        <w:autoSpaceDN w:val="0"/>
        <w:adjustRightInd w:val="0"/>
        <w:spacing w:after="0" w:line="240" w:lineRule="auto"/>
        <w:jc w:val="both"/>
        <w:rPr>
          <w:rFonts w:ascii="Times New Roman" w:hAnsi="Times New Roman"/>
          <w:bCs/>
          <w:color w:val="000000" w:themeColor="text1"/>
          <w:sz w:val="16"/>
          <w:szCs w:val="16"/>
        </w:rPr>
      </w:pPr>
      <w:r w:rsidRPr="00C33834">
        <w:rPr>
          <w:rFonts w:ascii="Times New Roman" w:hAnsi="Times New Roman"/>
          <w:color w:val="000000" w:themeColor="text1"/>
          <w:sz w:val="16"/>
          <w:szCs w:val="16"/>
        </w:rPr>
        <w:t>АП РФ, ф.3, оп.58, д.243, л.201-202 (11462).</w:t>
      </w:r>
    </w:p>
    <w:p w14:paraId="24BEF5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CE6466E" w14:textId="77777777" w:rsidR="00AD36C0" w:rsidRPr="00C33834" w:rsidRDefault="00AD36C0"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1928A72E" w14:textId="77777777" w:rsidR="00AD36C0" w:rsidRPr="00C33834" w:rsidRDefault="00AD36C0"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516AECA" w14:textId="77777777" w:rsidR="00AD36C0" w:rsidRPr="00C33834" w:rsidRDefault="00AD36C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23 ноября 1933 г. в Англии было утверждено тактико-техническое задание R.2/33. Согласно ему, предусматривалось создание четырехмоторного многоцелевого гидроплана с дальностью полета 2 593 км (1 400 морских миль) и рабочим потолком 4 572 м (15 000 футов). Вооружение должно состоять из бомб, а также четырех оборонительных установок с 7,69-мм пулеметами (требовалось также предусмотреть возможность замены пулеметов в носовой установке 37-мм пушкой).</w:t>
      </w:r>
    </w:p>
    <w:p w14:paraId="223C4198" w14:textId="77777777" w:rsidR="00AD36C0" w:rsidRPr="00C33834" w:rsidRDefault="00AD36C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Свои предложения по спецификации R.2/33 представили пять фирм. Наибольшую активность проявила «Супермарин», предложившая сразу три проекта — монопланы «модель 232» и «модель 239» с двигателями «Роллс-Ройс» «Госхоук» и «Мерлин», соответственно, а также биплан «модель 238» с моторами «Бристоль» «Персеус». Но все эти проекты, равно как и предложения фирм «Блэкборн» и «Фэйри», были отклонены. Успех сопутствовал «Сандерс-Ро» и «Шорт Бразерс». Эти фирмы получили контракты на строительство прототипов своих самолетов А.33 и S.25, получивших регистрационные номера К4773 и К4774, соответственно. В ноябре 1936 г., еще до начала испытаний, фирмы получили следующие заказы на первые серийные партии самолетов (по 11 машин). Тогда же S.25 официально получил наименование «Сандерленд» (22736).</w:t>
      </w:r>
    </w:p>
    <w:p w14:paraId="7CAD1F42" w14:textId="77777777" w:rsidR="00AD36C0" w:rsidRPr="00C33834" w:rsidRDefault="00AD36C0" w:rsidP="00C33834">
      <w:pPr>
        <w:spacing w:after="0" w:line="240" w:lineRule="auto"/>
        <w:jc w:val="both"/>
        <w:rPr>
          <w:rFonts w:ascii="Times New Roman" w:hAnsi="Times New Roman"/>
          <w:color w:val="0070C0"/>
          <w:sz w:val="16"/>
          <w:szCs w:val="16"/>
        </w:rPr>
      </w:pPr>
    </w:p>
    <w:p w14:paraId="4CE3E0F0"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D393106"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61AAB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ноября 1933 года Алкснис писал письмо N35/001911 начальнику НИИ ВВС Зильберту.</w:t>
      </w:r>
    </w:p>
    <w:p w14:paraId="7827365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возможности перевозить на самолете ТБ3 до 35-40 чел. с парашютами и более 50 чел. без парашютов исключить из плана работ Отдела ОН кабины под самолет ТБ3 (3853,158).</w:t>
      </w:r>
    </w:p>
    <w:p w14:paraId="135DA8D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8D07799" w14:textId="77777777" w:rsidR="00AD36C0" w:rsidRPr="00C33834" w:rsidRDefault="00AD36C0"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lastRenderedPageBreak/>
        <w:t>За рубежом:</w:t>
      </w:r>
    </w:p>
    <w:p w14:paraId="3088F995" w14:textId="77777777" w:rsidR="00AD36C0" w:rsidRPr="00C33834" w:rsidRDefault="00AD36C0"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F088926" w14:textId="77777777" w:rsidR="00AD36C0" w:rsidRPr="00C33834" w:rsidRDefault="00AD36C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24 ноября 1932 - Совершил первый полёт авиалайнер De Havilland DH-84 Dragon. Хотя его схема - деревянный биплан, в те годы уже считалась устаревшей, самолёт оказался удачным. Он эксплуатировался на линиях до середины 1950-х. Несколько экземпляров сохранились до сих пор (22482).</w:t>
      </w:r>
    </w:p>
    <w:p w14:paraId="4582451B" w14:textId="77777777" w:rsidR="00AD36C0" w:rsidRPr="00C33834" w:rsidRDefault="00AD36C0" w:rsidP="00C33834">
      <w:pPr>
        <w:spacing w:after="0" w:line="240" w:lineRule="auto"/>
        <w:jc w:val="both"/>
        <w:rPr>
          <w:rFonts w:ascii="Times New Roman" w:hAnsi="Times New Roman"/>
          <w:color w:val="0070C0"/>
          <w:sz w:val="16"/>
          <w:szCs w:val="16"/>
        </w:rPr>
      </w:pPr>
    </w:p>
    <w:p w14:paraId="5C95AFC8" w14:textId="77777777" w:rsidR="00AD36C0" w:rsidRPr="00C33834" w:rsidRDefault="00AD36C0"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ноября 1933 нациcты приняли закон, позволяющий помещать в концлагеря нищих, бездомных, алкоголиков и безработных (1798).</w:t>
      </w:r>
    </w:p>
    <w:p w14:paraId="75857753" w14:textId="77777777" w:rsidR="00AD36C0" w:rsidRPr="00C33834" w:rsidRDefault="00AD36C0" w:rsidP="00C33834">
      <w:pPr>
        <w:autoSpaceDE w:val="0"/>
        <w:autoSpaceDN w:val="0"/>
        <w:adjustRightInd w:val="0"/>
        <w:spacing w:after="0" w:line="240" w:lineRule="auto"/>
        <w:jc w:val="both"/>
        <w:rPr>
          <w:rFonts w:ascii="Times New Roman" w:hAnsi="Times New Roman"/>
          <w:color w:val="000000" w:themeColor="text1"/>
          <w:sz w:val="16"/>
          <w:szCs w:val="16"/>
        </w:rPr>
      </w:pPr>
    </w:p>
    <w:p w14:paraId="03D69C1B"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B2F7027"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5EE78C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ноября 1933 состоялось заседание у нач. ГУАП Королева (протокол 159) - был направлен с письмом N Н-34о/с 26 ноября 1936:</w:t>
      </w:r>
    </w:p>
    <w:p w14:paraId="689C911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Постановили:</w:t>
      </w:r>
    </w:p>
    <w:p w14:paraId="5976B9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Внедрение в производстве И-14, 15 и 16 признать возможным.</w:t>
      </w:r>
    </w:p>
    <w:p w14:paraId="3AABF3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Производство И-16 в 1934 поставить на заводе 39 с тем, чтобы первая партия в первом полугодии 1934 строится на заводе 39, а во втором полугодии на заводе 1 с соответствующим снятием с этого завода И-7.</w:t>
      </w:r>
    </w:p>
    <w:p w14:paraId="71A0E0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Первую партию И-15 в 1934 построить на заводе 39 с тем, что в 1935 производство этой машины передать на завод 21.</w:t>
      </w:r>
    </w:p>
    <w:p w14:paraId="43D19C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Подготовить И-14 вести на заводе 21 и по получении эталона ставить на производство в 1934 со снятием с производства соответствующего количества И-15.</w:t>
      </w:r>
    </w:p>
    <w:p w14:paraId="5B6A69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При осуществлении указанной наметки - считать возможным изготовить в 1934 ориентировочно 100 И-16 с М-22, 25 И-15 и 50 И-14.</w:t>
      </w:r>
    </w:p>
    <w:p w14:paraId="1C5FED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Отметить, что И-14 и 15 моторами своего производства в 1934 обеспечены не будут.</w:t>
      </w:r>
    </w:p>
    <w:p w14:paraId="2737CE0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Поручить ии. Ермолаеву, А.Н.Т., Марголину и Дубинскому в течение 26 ноября разработать проект постановления СТО по этому типу производства." (2303,38).</w:t>
      </w:r>
    </w:p>
    <w:p w14:paraId="22E6D09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BDCC4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ноября 1933 г. начальник Глававиапрома Королев собрал совещание по поводу внедрения самолетов И-14, И-15 и И-16 в серийное производство. Три постановляющих пункта относились к И-14. "Подготовку И-14 вести на заводе №21 (в Нижнем Новгороде. - Прим. авт.) и по получении эталона ставить на производство в 1934 г. со снятием с производства соответствующего количества И-5.... При осуществлении указанной наметки считать возможным изготовить в 1934 г. ... 50 И-14. Отметить, что И-14... в 1934 г. моторами своего производства обеспечены не будут".</w:t>
      </w:r>
    </w:p>
    <w:p w14:paraId="2F6219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Своим заместителям Ермолаеву, Туполеву, Марголину и Дубинскому начальник главка поручал к 26 ноября 1933 г. разработать проект постановления Совета Труда и Обороны поданному вопросу (12037).</w:t>
      </w:r>
    </w:p>
    <w:p w14:paraId="61888B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E5902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ноября 1933 вышло постановление Правительства по И-14, И-15 и И-16 (2292,316).</w:t>
      </w:r>
    </w:p>
    <w:p w14:paraId="47C0D9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C57E7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ноября 1933 на ЗОК завершили сборку лонжеронов дублера И-14, нервюры собрали лишь 11 декабря 1933 г., поскольку их дважды переделывали - первый раз при отказе от гофрированной обшивки, второй раз - когда решили установить посадочный щиток. Чертежи на щиток с его приводом поступили к 14 декабря, сборку завершили 13 января следующего - 1934 г.</w:t>
      </w:r>
    </w:p>
    <w:p w14:paraId="6362227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Чертежи на каркас были изъяты из производства по причине перехода на гладкую обшивку, а новые чертежи завод получил лишь 25 ноября 1933 г. Каркас был собран быстро - к 17 декабря, после чего приступили к его обшивке, которую завершили 7 января 1934 г.</w:t>
      </w:r>
    </w:p>
    <w:p w14:paraId="46D008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Консоли крыла были собраны 13 января 1934 г. </w:t>
      </w:r>
    </w:p>
    <w:p w14:paraId="35DAE4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Центроплан был готов полностью 8 января 1934 г. Оперение собрали раньше - к середине декабря 1933 г., 22 декабря собрали элероны, которые из-за изменения обшивки застряли в производстве на целый месяц.</w:t>
      </w:r>
    </w:p>
    <w:p w14:paraId="29796EB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3298D2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2BBFDED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7AD4EA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552D39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430A9A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8D82B5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ноября 1933 г. в протоколе заседания под председательством начальника Глававиапрома Королева написано: «...3) Первую партию И-15 в 1934 г. построить на заводе № 39 с тем, что в 1935 г. производство этой машины пе</w:t>
      </w:r>
      <w:r w:rsidRPr="00C33834">
        <w:rPr>
          <w:rFonts w:ascii="Times New Roman" w:hAnsi="Times New Roman"/>
          <w:color w:val="000000" w:themeColor="text1"/>
          <w:sz w:val="16"/>
          <w:szCs w:val="16"/>
        </w:rPr>
        <w:softHyphen/>
        <w:t>редать на завод № 1.... 5) При осуществлении указанной наметки считать возможным изготовить в 1934 г. ори</w:t>
      </w:r>
      <w:r w:rsidRPr="00C33834">
        <w:rPr>
          <w:rFonts w:ascii="Times New Roman" w:hAnsi="Times New Roman"/>
          <w:color w:val="000000" w:themeColor="text1"/>
          <w:sz w:val="16"/>
          <w:szCs w:val="16"/>
        </w:rPr>
        <w:softHyphen/>
        <w:t>ентировочно... 25 самолетов И-15... 6) Отметить, что... И-15 моторами своего производства в 1934 г. обеспече</w:t>
      </w:r>
      <w:r w:rsidRPr="00C33834">
        <w:rPr>
          <w:rFonts w:ascii="Times New Roman" w:hAnsi="Times New Roman"/>
          <w:color w:val="000000" w:themeColor="text1"/>
          <w:sz w:val="16"/>
          <w:szCs w:val="16"/>
        </w:rPr>
        <w:softHyphen/>
        <w:t>ны не будут». 10 декабря 1933 г. началась пересылка чер</w:t>
      </w:r>
      <w:r w:rsidRPr="00C33834">
        <w:rPr>
          <w:rFonts w:ascii="Times New Roman" w:hAnsi="Times New Roman"/>
          <w:color w:val="000000" w:themeColor="text1"/>
          <w:sz w:val="16"/>
          <w:szCs w:val="16"/>
        </w:rPr>
        <w:softHyphen/>
        <w:t>тежей и другой документации с завода № 39 на завод № 1 для ознакомления и изготовления оснастки и приспо</w:t>
      </w:r>
      <w:r w:rsidRPr="00C33834">
        <w:rPr>
          <w:rFonts w:ascii="Times New Roman" w:hAnsi="Times New Roman"/>
          <w:color w:val="000000" w:themeColor="text1"/>
          <w:sz w:val="16"/>
          <w:szCs w:val="16"/>
        </w:rPr>
        <w:softHyphen/>
        <w:t>соблений (10667).</w:t>
      </w:r>
    </w:p>
    <w:p w14:paraId="6803050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E4399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ноября 1933 г. состоялось специальное заседание по вопросу внедрения в серий</w:t>
      </w:r>
      <w:r w:rsidRPr="00C33834">
        <w:rPr>
          <w:rFonts w:ascii="Times New Roman" w:hAnsi="Times New Roman"/>
          <w:color w:val="000000" w:themeColor="text1"/>
          <w:sz w:val="16"/>
          <w:szCs w:val="16"/>
        </w:rPr>
        <w:softHyphen/>
        <w:t>ное производство этих истребителей:</w:t>
      </w:r>
    </w:p>
    <w:p w14:paraId="0C81B5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Внедрение в производство И-14, И-15, И-16 при</w:t>
      </w:r>
      <w:r w:rsidRPr="00C33834">
        <w:rPr>
          <w:rFonts w:ascii="Times New Roman" w:hAnsi="Times New Roman"/>
          <w:color w:val="000000" w:themeColor="text1"/>
          <w:sz w:val="16"/>
          <w:szCs w:val="16"/>
        </w:rPr>
        <w:softHyphen/>
        <w:t>знать возможным (10667).</w:t>
      </w:r>
    </w:p>
    <w:p w14:paraId="6719646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Производство И-16 в 1934 г. поставить на заводе № 39 с тем, что первая партия в первом полугодии 1934 г. строится на заводе № 39, а во втором полугодии на заво</w:t>
      </w:r>
      <w:r w:rsidRPr="00C33834">
        <w:rPr>
          <w:rFonts w:ascii="Times New Roman" w:hAnsi="Times New Roman"/>
          <w:color w:val="000000" w:themeColor="text1"/>
          <w:sz w:val="16"/>
          <w:szCs w:val="16"/>
        </w:rPr>
        <w:softHyphen/>
        <w:t>де № 1 с соответствующим снятием с этого завода произ</w:t>
      </w:r>
      <w:r w:rsidRPr="00C33834">
        <w:rPr>
          <w:rFonts w:ascii="Times New Roman" w:hAnsi="Times New Roman"/>
          <w:color w:val="000000" w:themeColor="text1"/>
          <w:sz w:val="16"/>
          <w:szCs w:val="16"/>
        </w:rPr>
        <w:softHyphen/>
        <w:t>водства И-7...</w:t>
      </w:r>
    </w:p>
    <w:p w14:paraId="542D5C1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Подготовку И-14 вести на заводе № 21 и по полу</w:t>
      </w:r>
      <w:r w:rsidRPr="00C33834">
        <w:rPr>
          <w:rFonts w:ascii="Times New Roman" w:hAnsi="Times New Roman"/>
          <w:color w:val="000000" w:themeColor="text1"/>
          <w:sz w:val="16"/>
          <w:szCs w:val="16"/>
        </w:rPr>
        <w:softHyphen/>
        <w:t>чении эталона ставить на производство в 1934 г. со сня</w:t>
      </w:r>
      <w:r w:rsidRPr="00C33834">
        <w:rPr>
          <w:rFonts w:ascii="Times New Roman" w:hAnsi="Times New Roman"/>
          <w:color w:val="000000" w:themeColor="text1"/>
          <w:sz w:val="16"/>
          <w:szCs w:val="16"/>
        </w:rPr>
        <w:softHyphen/>
        <w:t>тием с производства соответствующего количества И-5.</w:t>
      </w:r>
    </w:p>
    <w:p w14:paraId="6B31EF2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При осуществлении указанной наметки считать возможным изготовить в 1934 г. ориентировочно 100 самолетов И-16 с мотором М-22, 25 самолетов И-15 и 50 -И-14.</w:t>
      </w:r>
    </w:p>
    <w:p w14:paraId="75B0E2D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Отметить, что И-14 и И-15 моторами своего про</w:t>
      </w:r>
      <w:r w:rsidRPr="00C33834">
        <w:rPr>
          <w:rFonts w:ascii="Times New Roman" w:hAnsi="Times New Roman"/>
          <w:color w:val="000000" w:themeColor="text1"/>
          <w:sz w:val="16"/>
          <w:szCs w:val="16"/>
        </w:rPr>
        <w:softHyphen/>
        <w:t>изводства в 1934 г. обеспечены не будут.</w:t>
      </w:r>
    </w:p>
    <w:p w14:paraId="1DFA4D8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Поручить тт. Ермолаеву, Туполеву, Марголину и Дубенскому в течение 26/Х1 разработать проект поста</w:t>
      </w:r>
      <w:r w:rsidRPr="00C33834">
        <w:rPr>
          <w:rFonts w:ascii="Times New Roman" w:hAnsi="Times New Roman"/>
          <w:color w:val="000000" w:themeColor="text1"/>
          <w:sz w:val="16"/>
          <w:szCs w:val="16"/>
        </w:rPr>
        <w:softHyphen/>
        <w:t>новления СТО по этому типу производства».</w:t>
      </w:r>
    </w:p>
    <w:p w14:paraId="267E348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Несмотря на принятые резолюции, 5 декабря 1933 г. по указанию главка на завод № 21 были отправлены чер</w:t>
      </w:r>
      <w:r w:rsidRPr="00C33834">
        <w:rPr>
          <w:rFonts w:ascii="Times New Roman" w:hAnsi="Times New Roman"/>
          <w:color w:val="000000" w:themeColor="text1"/>
          <w:sz w:val="16"/>
          <w:szCs w:val="16"/>
        </w:rPr>
        <w:softHyphen/>
        <w:t>тежи И-16 с М-22 «только для ознакомления, но не для серийной продукции - 55 штук» (10667).</w:t>
      </w:r>
    </w:p>
    <w:p w14:paraId="52B0EC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864B768" w14:textId="77777777" w:rsidR="004345CC" w:rsidRPr="00C33834" w:rsidRDefault="004345CC" w:rsidP="00C33834">
      <w:pPr>
        <w:pStyle w:val="rtejustify"/>
        <w:spacing w:before="0" w:after="0"/>
        <w:rPr>
          <w:color w:val="000000" w:themeColor="text1"/>
          <w:sz w:val="16"/>
          <w:szCs w:val="16"/>
        </w:rPr>
      </w:pPr>
      <w:r w:rsidRPr="00C33834">
        <w:rPr>
          <w:rStyle w:val="af0"/>
          <w:bCs/>
          <w:i w:val="0"/>
          <w:color w:val="000000" w:themeColor="text1"/>
          <w:sz w:val="16"/>
          <w:szCs w:val="16"/>
        </w:rPr>
        <w:t>25 ноября</w:t>
      </w:r>
      <w:r w:rsidRPr="00C33834">
        <w:rPr>
          <w:color w:val="000000" w:themeColor="text1"/>
          <w:sz w:val="16"/>
          <w:szCs w:val="16"/>
        </w:rPr>
        <w:t xml:space="preserve"> 1933. Постановление СТО СССР № 118сс/о «О производстве новых типов самолетов-истребителей». (ГА РФ. Ф. Р</w:t>
      </w:r>
      <w:r w:rsidRPr="00C33834">
        <w:rPr>
          <w:color w:val="000000" w:themeColor="text1"/>
          <w:sz w:val="16"/>
          <w:szCs w:val="16"/>
        </w:rPr>
        <w:noBreakHyphen/>
        <w:t>8418. Оп. 28. Д. 3. Л. 65</w:t>
      </w:r>
      <w:r w:rsidRPr="00C33834">
        <w:rPr>
          <w:color w:val="000000" w:themeColor="text1"/>
          <w:sz w:val="16"/>
          <w:szCs w:val="16"/>
        </w:rPr>
        <w:noBreakHyphen/>
        <w:t>67) (15460).</w:t>
      </w:r>
    </w:p>
    <w:p w14:paraId="7ADCEE4A" w14:textId="77777777" w:rsidR="004345CC" w:rsidRPr="00C33834" w:rsidRDefault="004345CC" w:rsidP="00C33834">
      <w:pPr>
        <w:pStyle w:val="rtejustify"/>
        <w:spacing w:before="0" w:after="0"/>
        <w:rPr>
          <w:color w:val="000000" w:themeColor="text1"/>
          <w:sz w:val="16"/>
          <w:szCs w:val="16"/>
        </w:rPr>
      </w:pPr>
    </w:p>
    <w:p w14:paraId="08AE811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ноября 1933 были готовы чертежи Параболы Черановского с М-11 и переданы в производство (2287,17).</w:t>
      </w:r>
    </w:p>
    <w:p w14:paraId="299B6B6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A754283"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ноября 1933 года начальник секретного отдела ГУГВФ Кузьмин писал письмо № 575/328с в СТО</w:t>
      </w:r>
    </w:p>
    <w:p w14:paraId="0F85767B"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поручению начальника ГУГВФ Уншлихта секретный отдел просит Вас в срочном порядке выслать решение СТО от 25 октября 1933 года по вопросу передачи задела производства самолетов АНТ-9 с 31 завода Аэрофлоту (4191, 161).</w:t>
      </w:r>
    </w:p>
    <w:p w14:paraId="0E1F0CD3"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3BC0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ноября 1933 года начальник НТУ Гроза писал начальнику Аэрофлота Уншлихту</w:t>
      </w:r>
    </w:p>
    <w:p w14:paraId="075CD99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Вашему приказанию представляю докладную записку – соображения и мероприятия по НИИ, входящим в систему НТУ Аэрофлота.</w:t>
      </w:r>
    </w:p>
    <w:p w14:paraId="101436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1930 года в ГВФ (Добролет, Упрвоздухпуть) совершенно отсутствовали научно-технические, научно-исследовательские и эксплуатационно-технические организации.</w:t>
      </w:r>
    </w:p>
    <w:p w14:paraId="72821C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конца 1930 года (ноябрь) мною было приступлено к организации НИИ ГВФ на базе маленькой ячейки – группы инженера Путилова по стальному самолетостроению.</w:t>
      </w:r>
    </w:p>
    <w:p w14:paraId="048D62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мысли командования НИИ ГВФ должен был составлять комплексный институт опытного, экспериментального строительства самолетов, исключительно из нержавеющей стали и одновременно иметь ряд отделов (самолетный, моторный, радио, электро и др.) по эксплуатации.</w:t>
      </w:r>
    </w:p>
    <w:p w14:paraId="3EFB36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Уже к концу 1931 года такой институт был сформирован, причем в этом же году был выпущен первый цельно-стальной самолет электросварной конструкции Сталь-2 ………………………..</w:t>
      </w:r>
    </w:p>
    <w:p w14:paraId="4663DFA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Отраслевые институты: самолетный, авиадвигателей и специальных служб – под руководством НТУ при Гл. управлении ГВФ. Кроме этих трех институтов в системе Аэрофлота существуют:</w:t>
      </w:r>
    </w:p>
    <w:p w14:paraId="008793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НИИ сельхозавиации</w:t>
      </w:r>
    </w:p>
    <w:p w14:paraId="6C430D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НИИ при Ленинградском учебном комбинате (на базе постоянных и переменных кадров учебного комбината), решающий в основном задачи земного оборудования</w:t>
      </w:r>
    </w:p>
    <w:p w14:paraId="635FE0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Украинский научно-исследовательский дизельный институт (как филиал моторного института), ведущий работы по двигателям на тяжелом топливе</w:t>
      </w:r>
    </w:p>
    <w:p w14:paraId="702391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Киевский НИИ по двигателям внутреннего сгорания (как филиал моторного института), решающий в основном задачи по двигателям на тяжелом топливе малых мощностей и двигателей для глиссеров и аэросаней.</w:t>
      </w:r>
    </w:p>
    <w:p w14:paraId="1F8E73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37019AC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Необходимо:</w:t>
      </w:r>
    </w:p>
    <w:p w14:paraId="539B4B56"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Сохранить систему основных отраслевых (по материальной части – самолеты, моторы и сп. сл.) институтов ГВФ.</w:t>
      </w:r>
    </w:p>
    <w:p w14:paraId="07A5FEEF"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Предрешить слияние и унификацию деятельности трех институтов – Московского, Харьковского и Киевского в едином институте авиадвигателей.</w:t>
      </w:r>
    </w:p>
    <w:p w14:paraId="0631BE64"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Реорганизовать НИАИ при Ленинградском учебном комбинате в НИИ аэродромных сооружений и земного оборудования.</w:t>
      </w:r>
    </w:p>
    <w:p w14:paraId="3D61B235"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Сохранить и развить НИИ с/х авиации.</w:t>
      </w:r>
    </w:p>
    <w:p w14:paraId="67FE77B7"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Создать НИИ по воздухоплаванию (на базе ячейки НИ в Гражданстрое).</w:t>
      </w:r>
    </w:p>
    <w:p w14:paraId="284386DE"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Вывести из самолетного НИИ работы по ОСГА или создать самолетный институт по агрегатам – глиссерам и аэросаням, которые крайне нужны Аэрофлоту.</w:t>
      </w:r>
    </w:p>
    <w:p w14:paraId="4199AE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3FD73C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заключение необходимо сказать, что опыт последнего года работы НИИ подтверждает целесообразность разделения НИИ ГВФ на отраслевые институты.</w:t>
      </w:r>
    </w:p>
    <w:p w14:paraId="3F2C01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………………….(7738, 144-139).</w:t>
      </w:r>
    </w:p>
    <w:p w14:paraId="163721F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C1E3CFE"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ноября 1933 был произведен запуск первой советской ракеты с жидкостно-реактивным двигателем "ЖРД-Х".</w:t>
      </w:r>
    </w:p>
    <w:p w14:paraId="0F16D4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9EA137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ноября 1933 был осуществлен пуск жидкостной ракеты ГИРД-Х, которую начал разрабатывать еще Ф.А.Цандер в январе 1933 (388,67).</w:t>
      </w:r>
    </w:p>
    <w:p w14:paraId="23F8B60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76C44F9" w14:textId="77777777" w:rsidR="004345CC" w:rsidRPr="00C33834" w:rsidRDefault="004345CC" w:rsidP="00C33834">
      <w:pPr>
        <w:spacing w:after="0" w:line="240" w:lineRule="auto"/>
        <w:jc w:val="both"/>
        <w:rPr>
          <w:rFonts w:ascii="Times New Roman" w:hAnsi="Times New Roman"/>
          <w:color w:val="000000" w:themeColor="text1"/>
          <w:sz w:val="16"/>
          <w:szCs w:val="16"/>
        </w:rPr>
      </w:pPr>
      <w:r w:rsidRPr="00C33834">
        <w:rPr>
          <w:rStyle w:val="ucoz-forum-post"/>
          <w:rFonts w:ascii="Times New Roman" w:hAnsi="Times New Roman"/>
          <w:bCs/>
          <w:color w:val="000000" w:themeColor="text1"/>
          <w:sz w:val="16"/>
          <w:szCs w:val="16"/>
        </w:rPr>
        <w:t xml:space="preserve">25 ноября </w:t>
      </w:r>
      <w:r w:rsidRPr="00C33834">
        <w:rPr>
          <w:rFonts w:ascii="Times New Roman" w:hAnsi="Times New Roman"/>
          <w:color w:val="000000" w:themeColor="text1"/>
          <w:sz w:val="16"/>
          <w:szCs w:val="16"/>
        </w:rPr>
        <w:t>в 1933 году запуск под Москвой на полигоне Нахабино первой советской экспериментальной ракеты с жидкостнореактивным двигателем "ЖРДХ" конструкции Фридриха Артуровича Цандера. Ракета создана в Группе изучения реактивного движения под руководством С.П.Королева (14840).</w:t>
      </w:r>
    </w:p>
    <w:p w14:paraId="2F9EC5CC" w14:textId="77777777" w:rsidR="004345CC" w:rsidRPr="00C33834" w:rsidRDefault="004345CC" w:rsidP="00C33834">
      <w:pPr>
        <w:spacing w:after="0" w:line="240" w:lineRule="auto"/>
        <w:jc w:val="both"/>
        <w:rPr>
          <w:rFonts w:ascii="Times New Roman" w:hAnsi="Times New Roman"/>
          <w:color w:val="000000" w:themeColor="text1"/>
          <w:sz w:val="16"/>
          <w:szCs w:val="16"/>
        </w:rPr>
      </w:pPr>
    </w:p>
    <w:p w14:paraId="7916E5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ноября 1933 года начальник ВНИИСХА Ушаков писал</w:t>
      </w:r>
    </w:p>
    <w:p w14:paraId="7E71F04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Институт перешел в систему Аэрофлота в середине 1933 года ……………….(7738, 138).</w:t>
      </w:r>
    </w:p>
    <w:p w14:paraId="741C80E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48B04E7" w14:textId="77777777" w:rsidR="004345C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6447CEAF" w14:textId="77777777" w:rsidR="004345CC" w:rsidRPr="00C33834" w:rsidRDefault="004345C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1D0F554" w14:textId="77777777" w:rsidR="004345CC" w:rsidRPr="00C33834" w:rsidRDefault="004345CC" w:rsidP="00C33834">
      <w:pPr>
        <w:pStyle w:val="rtejustify"/>
        <w:spacing w:before="0" w:after="0"/>
        <w:rPr>
          <w:color w:val="000000" w:themeColor="text1"/>
          <w:sz w:val="16"/>
          <w:szCs w:val="16"/>
        </w:rPr>
      </w:pPr>
      <w:r w:rsidRPr="00C33834">
        <w:rPr>
          <w:rStyle w:val="af0"/>
          <w:bCs/>
          <w:i w:val="0"/>
          <w:color w:val="000000" w:themeColor="text1"/>
          <w:sz w:val="16"/>
          <w:szCs w:val="16"/>
        </w:rPr>
        <w:t>25 ноября</w:t>
      </w:r>
      <w:r w:rsidRPr="00C33834">
        <w:rPr>
          <w:color w:val="000000" w:themeColor="text1"/>
          <w:sz w:val="16"/>
          <w:szCs w:val="16"/>
        </w:rPr>
        <w:t xml:space="preserve"> 1933. Постановление СТО СССР № 115сс/о «Об обеспечении оборудованием в ОКДВА мастерских по ремонту транспортных и боевых машин». (ГА РФ. Ф. Р</w:t>
      </w:r>
      <w:r w:rsidRPr="00C33834">
        <w:rPr>
          <w:color w:val="000000" w:themeColor="text1"/>
          <w:sz w:val="16"/>
          <w:szCs w:val="16"/>
        </w:rPr>
        <w:noBreakHyphen/>
        <w:t>8418. Оп. 28. Д. 3. Л. 58</w:t>
      </w:r>
      <w:r w:rsidRPr="00C33834">
        <w:rPr>
          <w:color w:val="000000" w:themeColor="text1"/>
          <w:sz w:val="16"/>
          <w:szCs w:val="16"/>
        </w:rPr>
        <w:noBreakHyphen/>
        <w:t>59) (15460).</w:t>
      </w:r>
    </w:p>
    <w:p w14:paraId="3860649E" w14:textId="77777777" w:rsidR="004345CC" w:rsidRPr="00C33834" w:rsidRDefault="004345CC" w:rsidP="00C33834">
      <w:pPr>
        <w:pStyle w:val="rtejustify"/>
        <w:spacing w:before="0" w:after="0"/>
        <w:rPr>
          <w:color w:val="000000" w:themeColor="text1"/>
          <w:sz w:val="16"/>
          <w:szCs w:val="16"/>
        </w:rPr>
      </w:pPr>
    </w:p>
    <w:p w14:paraId="6500D7B7" w14:textId="77777777" w:rsidR="004345CC" w:rsidRPr="00C33834" w:rsidRDefault="004345CC" w:rsidP="00C33834">
      <w:pPr>
        <w:pStyle w:val="rtejustify"/>
        <w:spacing w:before="0" w:after="0"/>
        <w:rPr>
          <w:color w:val="000000" w:themeColor="text1"/>
          <w:sz w:val="16"/>
          <w:szCs w:val="16"/>
        </w:rPr>
      </w:pPr>
      <w:r w:rsidRPr="00C33834">
        <w:rPr>
          <w:rStyle w:val="af0"/>
          <w:bCs/>
          <w:i w:val="0"/>
          <w:color w:val="000000" w:themeColor="text1"/>
          <w:sz w:val="16"/>
          <w:szCs w:val="16"/>
        </w:rPr>
        <w:t>25 ноября</w:t>
      </w:r>
      <w:r w:rsidRPr="00C33834">
        <w:rPr>
          <w:color w:val="000000" w:themeColor="text1"/>
          <w:sz w:val="16"/>
          <w:szCs w:val="16"/>
        </w:rPr>
        <w:t xml:space="preserve"> 1933. Постановление СТО СССР № 117сс/о «Об организации приемки военной продукции». (ГА РФ. Ф. Р</w:t>
      </w:r>
      <w:r w:rsidRPr="00C33834">
        <w:rPr>
          <w:color w:val="000000" w:themeColor="text1"/>
          <w:sz w:val="16"/>
          <w:szCs w:val="16"/>
        </w:rPr>
        <w:noBreakHyphen/>
        <w:t>8418. Оп. 28. Д. 3. Л. 61</w:t>
      </w:r>
      <w:r w:rsidRPr="00C33834">
        <w:rPr>
          <w:color w:val="000000" w:themeColor="text1"/>
          <w:sz w:val="16"/>
          <w:szCs w:val="16"/>
        </w:rPr>
        <w:noBreakHyphen/>
        <w:t>64) (15460).</w:t>
      </w:r>
    </w:p>
    <w:p w14:paraId="6C606AE8" w14:textId="77777777" w:rsidR="004345CC" w:rsidRPr="00C33834" w:rsidRDefault="004345CC" w:rsidP="00C33834">
      <w:pPr>
        <w:pStyle w:val="rtejustify"/>
        <w:spacing w:before="0" w:after="0"/>
        <w:rPr>
          <w:color w:val="000000" w:themeColor="text1"/>
          <w:sz w:val="16"/>
          <w:szCs w:val="16"/>
        </w:rPr>
      </w:pPr>
    </w:p>
    <w:p w14:paraId="49F247E8" w14:textId="77777777" w:rsidR="004345CC" w:rsidRPr="00C33834" w:rsidRDefault="004345CC" w:rsidP="00C33834">
      <w:pPr>
        <w:pStyle w:val="rtejustify"/>
        <w:spacing w:before="0" w:after="0"/>
        <w:rPr>
          <w:color w:val="000000" w:themeColor="text1"/>
          <w:sz w:val="16"/>
          <w:szCs w:val="16"/>
        </w:rPr>
      </w:pPr>
      <w:r w:rsidRPr="00C33834">
        <w:rPr>
          <w:rStyle w:val="af0"/>
          <w:bCs/>
          <w:i w:val="0"/>
          <w:color w:val="000000" w:themeColor="text1"/>
          <w:sz w:val="16"/>
          <w:szCs w:val="16"/>
        </w:rPr>
        <w:t>25 ноября</w:t>
      </w:r>
      <w:r w:rsidRPr="00C33834">
        <w:rPr>
          <w:color w:val="000000" w:themeColor="text1"/>
          <w:sz w:val="16"/>
          <w:szCs w:val="16"/>
        </w:rPr>
        <w:t xml:space="preserve"> 1933. Постановление СТО СССР № 119сс/о «О плане заказов НКВМора на 1934 г. по вооружению и боевой технике». (ГА РФ. Ф. Р</w:t>
      </w:r>
      <w:r w:rsidRPr="00C33834">
        <w:rPr>
          <w:color w:val="000000" w:themeColor="text1"/>
          <w:sz w:val="16"/>
          <w:szCs w:val="16"/>
        </w:rPr>
        <w:noBreakHyphen/>
        <w:t>8418. Оп. 28. Д. 3. Л. 71</w:t>
      </w:r>
      <w:r w:rsidRPr="00C33834">
        <w:rPr>
          <w:color w:val="000000" w:themeColor="text1"/>
          <w:sz w:val="16"/>
          <w:szCs w:val="16"/>
        </w:rPr>
        <w:noBreakHyphen/>
        <w:t>82) (15460).</w:t>
      </w:r>
    </w:p>
    <w:p w14:paraId="6EBD7269" w14:textId="77777777" w:rsidR="004345CC" w:rsidRPr="00C33834" w:rsidRDefault="004345CC" w:rsidP="00C33834">
      <w:pPr>
        <w:pStyle w:val="rtejustify"/>
        <w:spacing w:before="0" w:after="0"/>
        <w:rPr>
          <w:color w:val="000000" w:themeColor="text1"/>
          <w:sz w:val="16"/>
          <w:szCs w:val="16"/>
        </w:rPr>
      </w:pPr>
    </w:p>
    <w:p w14:paraId="74DB0BE5"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126443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B8A1A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ноября 1933 приказом ГУЛАГа № 190 «О прекращении передачи по радио впереди текста наименования лагерей ОГПУ» предписывалось: «При передаче радиограмм, в целях конспирации принадлежности к лагерям ОГПУ,...прекратить впереди текста передавать наименование и адрес лагеря, пользуясь только установленными позывными» (7560).</w:t>
      </w:r>
    </w:p>
    <w:p w14:paraId="6C1A9F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4627D66"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1718E71"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C725D7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ноября 1933 состоялось совещание у начальника ВВС Я.И.Алксниса по вопросу обсуждения гос. испытаний ТБ-3 (АНТ-6) 6хМ-36 (1077,179).</w:t>
      </w:r>
    </w:p>
    <w:p w14:paraId="2A7884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C9185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ноября ЗОК приступил к сборке фюзеляжа дублера И-14.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25CD42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4E7186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745126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6847B37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21BCCC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30B7A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11-16-26 ноября 1933 г. на совещаниях у нач. УМТС и В ВВС Жарова, происходившем по уточнению технических требований к эталонам самолетов на 1934 г., возникли разногласия как по срокам выпуска самолетов, так и отдельных технических требований к ним (2264,51).</w:t>
      </w:r>
    </w:p>
    <w:p w14:paraId="4A7689C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Разногласия по эталонам самолетов на 1934 год между ГУАП"ом и УВВС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417"/>
        <w:gridCol w:w="1378"/>
        <w:gridCol w:w="1882"/>
        <w:gridCol w:w="1985"/>
        <w:gridCol w:w="2268"/>
      </w:tblGrid>
      <w:tr w:rsidR="00F26F01" w:rsidRPr="00C33834" w14:paraId="1F85C64A" w14:textId="77777777">
        <w:tc>
          <w:tcPr>
            <w:tcW w:w="1668" w:type="dxa"/>
          </w:tcPr>
          <w:p w14:paraId="4090179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 самолета</w:t>
            </w:r>
          </w:p>
        </w:tc>
        <w:tc>
          <w:tcPr>
            <w:tcW w:w="1417" w:type="dxa"/>
          </w:tcPr>
          <w:p w14:paraId="72E5F1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Сроки выпуска эталонов</w:t>
            </w:r>
          </w:p>
        </w:tc>
        <w:tc>
          <w:tcPr>
            <w:tcW w:w="1378" w:type="dxa"/>
          </w:tcPr>
          <w:p w14:paraId="7A712F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32D9F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Вопросы</w:t>
            </w:r>
          </w:p>
        </w:tc>
        <w:tc>
          <w:tcPr>
            <w:tcW w:w="1985" w:type="dxa"/>
          </w:tcPr>
          <w:p w14:paraId="683DC3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Требования УВВС</w:t>
            </w:r>
          </w:p>
        </w:tc>
        <w:tc>
          <w:tcPr>
            <w:tcW w:w="2268" w:type="dxa"/>
          </w:tcPr>
          <w:p w14:paraId="247B0B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Предложение ГУАП"а</w:t>
            </w:r>
          </w:p>
        </w:tc>
      </w:tr>
      <w:tr w:rsidR="00F26F01" w:rsidRPr="00C33834" w14:paraId="3FA6ADFB" w14:textId="77777777">
        <w:tc>
          <w:tcPr>
            <w:tcW w:w="1668" w:type="dxa"/>
          </w:tcPr>
          <w:p w14:paraId="6A14BF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8F1479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самолета на 1934 год</w:t>
            </w:r>
          </w:p>
        </w:tc>
        <w:tc>
          <w:tcPr>
            <w:tcW w:w="1378" w:type="dxa"/>
          </w:tcPr>
          <w:p w14:paraId="1B5409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1F897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8D6B5A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00374D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6F13E70" w14:textId="77777777">
        <w:tc>
          <w:tcPr>
            <w:tcW w:w="1668" w:type="dxa"/>
          </w:tcPr>
          <w:p w14:paraId="786D476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35936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полугод.</w:t>
            </w:r>
          </w:p>
        </w:tc>
        <w:tc>
          <w:tcPr>
            <w:tcW w:w="1378" w:type="dxa"/>
          </w:tcPr>
          <w:p w14:paraId="60953E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 полугод.</w:t>
            </w:r>
          </w:p>
        </w:tc>
        <w:tc>
          <w:tcPr>
            <w:tcW w:w="1882" w:type="dxa"/>
          </w:tcPr>
          <w:p w14:paraId="5881544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48AB80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8C3B4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9371D7E" w14:textId="77777777">
        <w:tc>
          <w:tcPr>
            <w:tcW w:w="1668" w:type="dxa"/>
          </w:tcPr>
          <w:p w14:paraId="7FF52CA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Р5-М17 разведчик</w:t>
            </w:r>
          </w:p>
        </w:tc>
        <w:tc>
          <w:tcPr>
            <w:tcW w:w="1417" w:type="dxa"/>
          </w:tcPr>
          <w:p w14:paraId="7BBEAD9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остается</w:t>
            </w:r>
          </w:p>
        </w:tc>
        <w:tc>
          <w:tcPr>
            <w:tcW w:w="1378" w:type="dxa"/>
          </w:tcPr>
          <w:p w14:paraId="5D16C9E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Выход</w:t>
            </w:r>
          </w:p>
        </w:tc>
        <w:tc>
          <w:tcPr>
            <w:tcW w:w="1882" w:type="dxa"/>
          </w:tcPr>
          <w:p w14:paraId="4E4D995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20044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Р5-М17</w:t>
            </w:r>
          </w:p>
        </w:tc>
        <w:tc>
          <w:tcPr>
            <w:tcW w:w="2268" w:type="dxa"/>
          </w:tcPr>
          <w:p w14:paraId="2F62B7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1CF5CA4" w14:textId="77777777">
        <w:tc>
          <w:tcPr>
            <w:tcW w:w="1668" w:type="dxa"/>
          </w:tcPr>
          <w:p w14:paraId="52736A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лег. бомбард.</w:t>
            </w:r>
          </w:p>
        </w:tc>
        <w:tc>
          <w:tcPr>
            <w:tcW w:w="1417" w:type="dxa"/>
          </w:tcPr>
          <w:p w14:paraId="30CA8B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Доведен.</w:t>
            </w:r>
          </w:p>
        </w:tc>
        <w:tc>
          <w:tcPr>
            <w:tcW w:w="1378" w:type="dxa"/>
          </w:tcPr>
          <w:p w14:paraId="655081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 На</w:t>
            </w:r>
          </w:p>
        </w:tc>
        <w:tc>
          <w:tcPr>
            <w:tcW w:w="1882" w:type="dxa"/>
          </w:tcPr>
          <w:p w14:paraId="5C8C2B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Увеличение скорост.</w:t>
            </w:r>
          </w:p>
        </w:tc>
        <w:tc>
          <w:tcPr>
            <w:tcW w:w="1985" w:type="dxa"/>
          </w:tcPr>
          <w:p w14:paraId="08607E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Увеличить максим. скор.</w:t>
            </w:r>
          </w:p>
        </w:tc>
        <w:tc>
          <w:tcPr>
            <w:tcW w:w="2268" w:type="dxa"/>
          </w:tcPr>
          <w:p w14:paraId="78ECDC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Требование увеличения</w:t>
            </w:r>
          </w:p>
        </w:tc>
      </w:tr>
      <w:tr w:rsidR="00F26F01" w:rsidRPr="00C33834" w14:paraId="46AFC7DE" w14:textId="77777777">
        <w:tc>
          <w:tcPr>
            <w:tcW w:w="1668" w:type="dxa"/>
          </w:tcPr>
          <w:p w14:paraId="7B21CC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штурмовик</w:t>
            </w:r>
          </w:p>
        </w:tc>
        <w:tc>
          <w:tcPr>
            <w:tcW w:w="1417" w:type="dxa"/>
          </w:tcPr>
          <w:p w14:paraId="5AB045C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w:t>
            </w:r>
          </w:p>
        </w:tc>
        <w:tc>
          <w:tcPr>
            <w:tcW w:w="1378" w:type="dxa"/>
          </w:tcPr>
          <w:p w14:paraId="37721BD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госиспытан.</w:t>
            </w:r>
          </w:p>
        </w:tc>
        <w:tc>
          <w:tcPr>
            <w:tcW w:w="1882" w:type="dxa"/>
          </w:tcPr>
          <w:p w14:paraId="2FA2EF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8CCFC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самолета на 15 км</w:t>
            </w:r>
          </w:p>
        </w:tc>
        <w:tc>
          <w:tcPr>
            <w:tcW w:w="2268" w:type="dxa"/>
          </w:tcPr>
          <w:p w14:paraId="0AFA7D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скорости счит. </w:t>
            </w:r>
          </w:p>
        </w:tc>
      </w:tr>
      <w:tr w:rsidR="00F26F01" w:rsidRPr="00C33834" w14:paraId="6BC9D008" w14:textId="77777777">
        <w:tc>
          <w:tcPr>
            <w:tcW w:w="1668" w:type="dxa"/>
          </w:tcPr>
          <w:p w14:paraId="60935F3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оп. об. штур.</w:t>
            </w:r>
          </w:p>
        </w:tc>
        <w:tc>
          <w:tcPr>
            <w:tcW w:w="1417" w:type="dxa"/>
          </w:tcPr>
          <w:p w14:paraId="10B8E3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 г.</w:t>
            </w:r>
          </w:p>
        </w:tc>
        <w:tc>
          <w:tcPr>
            <w:tcW w:w="1378" w:type="dxa"/>
          </w:tcPr>
          <w:p w14:paraId="2007FE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1.02</w:t>
            </w:r>
          </w:p>
        </w:tc>
        <w:tc>
          <w:tcPr>
            <w:tcW w:w="1882" w:type="dxa"/>
          </w:tcPr>
          <w:p w14:paraId="6DA807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622B77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8889B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ориентиров. Эффект по</w:t>
            </w:r>
          </w:p>
        </w:tc>
      </w:tr>
      <w:tr w:rsidR="00F26F01" w:rsidRPr="00C33834" w14:paraId="44CF7382" w14:textId="77777777">
        <w:tc>
          <w:tcPr>
            <w:tcW w:w="1668" w:type="dxa"/>
          </w:tcPr>
          <w:p w14:paraId="383EB0F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8183A3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347E30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80B83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CD2957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5BCBD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увеличению скорости от</w:t>
            </w:r>
          </w:p>
        </w:tc>
      </w:tr>
      <w:tr w:rsidR="00F26F01" w:rsidRPr="00C33834" w14:paraId="25CC748B" w14:textId="77777777">
        <w:tc>
          <w:tcPr>
            <w:tcW w:w="1668" w:type="dxa"/>
          </w:tcPr>
          <w:p w14:paraId="658F1B7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E1D8AE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E65D41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3868E4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C0E54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CD155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установки обтекател. зал.</w:t>
            </w:r>
          </w:p>
        </w:tc>
      </w:tr>
      <w:tr w:rsidR="00F26F01" w:rsidRPr="00C33834" w14:paraId="222DC53C" w14:textId="77777777">
        <w:tc>
          <w:tcPr>
            <w:tcW w:w="1668" w:type="dxa"/>
          </w:tcPr>
          <w:p w14:paraId="2F9FBC4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E07E4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FE694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BDD6B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8784A6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9CC002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пр. выявиться после</w:t>
            </w:r>
          </w:p>
        </w:tc>
      </w:tr>
      <w:tr w:rsidR="00F26F01" w:rsidRPr="00C33834" w14:paraId="554C8096" w14:textId="77777777">
        <w:tc>
          <w:tcPr>
            <w:tcW w:w="1668" w:type="dxa"/>
          </w:tcPr>
          <w:p w14:paraId="50F461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A3F93D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416AE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53C4A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5032F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65065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эталонов с-тов.</w:t>
            </w:r>
          </w:p>
        </w:tc>
      </w:tr>
      <w:tr w:rsidR="00F26F01" w:rsidRPr="00C33834" w14:paraId="42CD8823" w14:textId="77777777">
        <w:tc>
          <w:tcPr>
            <w:tcW w:w="1668" w:type="dxa"/>
          </w:tcPr>
          <w:p w14:paraId="72EDED5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CB7A75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C9C2C1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E546CF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Снижение веса с-та.</w:t>
            </w:r>
          </w:p>
        </w:tc>
        <w:tc>
          <w:tcPr>
            <w:tcW w:w="1985" w:type="dxa"/>
          </w:tcPr>
          <w:p w14:paraId="77E5D85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Снизить вес конструкции</w:t>
            </w:r>
          </w:p>
        </w:tc>
        <w:tc>
          <w:tcPr>
            <w:tcW w:w="2268" w:type="dxa"/>
          </w:tcPr>
          <w:p w14:paraId="47A93E7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N 1 дает ориентиров.</w:t>
            </w:r>
          </w:p>
        </w:tc>
      </w:tr>
      <w:tr w:rsidR="00F26F01" w:rsidRPr="00C33834" w14:paraId="28E8135D" w14:textId="77777777">
        <w:tc>
          <w:tcPr>
            <w:tcW w:w="1668" w:type="dxa"/>
          </w:tcPr>
          <w:p w14:paraId="61EC6F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685D65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77D40F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B3230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F851A9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 на 200 кг за счет</w:t>
            </w:r>
          </w:p>
        </w:tc>
        <w:tc>
          <w:tcPr>
            <w:tcW w:w="2268" w:type="dxa"/>
          </w:tcPr>
          <w:p w14:paraId="005A728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снижение веса сам. на</w:t>
            </w:r>
          </w:p>
        </w:tc>
      </w:tr>
      <w:tr w:rsidR="00F26F01" w:rsidRPr="00C33834" w14:paraId="22FE3155" w14:textId="77777777">
        <w:tc>
          <w:tcPr>
            <w:tcW w:w="1668" w:type="dxa"/>
          </w:tcPr>
          <w:p w14:paraId="6A3B8F5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9F7839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77809A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1BA8FFB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D66806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применен. новых матер.</w:t>
            </w:r>
          </w:p>
        </w:tc>
        <w:tc>
          <w:tcPr>
            <w:tcW w:w="2268" w:type="dxa"/>
          </w:tcPr>
          <w:p w14:paraId="2059758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80-85 кг частично за счет</w:t>
            </w:r>
          </w:p>
        </w:tc>
      </w:tr>
      <w:tr w:rsidR="00F26F01" w:rsidRPr="00C33834" w14:paraId="767F589E" w14:textId="77777777">
        <w:tc>
          <w:tcPr>
            <w:tcW w:w="1668" w:type="dxa"/>
          </w:tcPr>
          <w:p w14:paraId="0CB73E5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CDEFC0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17848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E91992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2ADB2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изменен. конструкции и</w:t>
            </w:r>
          </w:p>
        </w:tc>
        <w:tc>
          <w:tcPr>
            <w:tcW w:w="2268" w:type="dxa"/>
          </w:tcPr>
          <w:p w14:paraId="0CA6CFD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замены материалов и</w:t>
            </w:r>
          </w:p>
        </w:tc>
      </w:tr>
      <w:tr w:rsidR="00F26F01" w:rsidRPr="00C33834" w14:paraId="1B9C0BCB" w14:textId="77777777">
        <w:tc>
          <w:tcPr>
            <w:tcW w:w="1668" w:type="dxa"/>
          </w:tcPr>
          <w:p w14:paraId="0E77A1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E7ABD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5CD84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186C8C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75532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w:t>
            </w:r>
          </w:p>
        </w:tc>
        <w:tc>
          <w:tcPr>
            <w:tcW w:w="2268" w:type="dxa"/>
          </w:tcPr>
          <w:p w14:paraId="3A70FC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пересмотра конструкции.</w:t>
            </w:r>
          </w:p>
        </w:tc>
      </w:tr>
      <w:tr w:rsidR="00F26F01" w:rsidRPr="00C33834" w14:paraId="65E3245A" w14:textId="77777777">
        <w:tc>
          <w:tcPr>
            <w:tcW w:w="1668" w:type="dxa"/>
          </w:tcPr>
          <w:p w14:paraId="4C7D22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7987B6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FC2B2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B4F45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Изготовить капоты из</w:t>
            </w:r>
          </w:p>
        </w:tc>
        <w:tc>
          <w:tcPr>
            <w:tcW w:w="1985" w:type="dxa"/>
          </w:tcPr>
          <w:p w14:paraId="0B3338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Изготовить капоты из</w:t>
            </w:r>
          </w:p>
        </w:tc>
        <w:tc>
          <w:tcPr>
            <w:tcW w:w="2268" w:type="dxa"/>
          </w:tcPr>
          <w:p w14:paraId="46F9529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отсутствия пр-ва</w:t>
            </w:r>
          </w:p>
        </w:tc>
      </w:tr>
      <w:tr w:rsidR="00F26F01" w:rsidRPr="00C33834" w14:paraId="20C65DC0" w14:textId="77777777">
        <w:tc>
          <w:tcPr>
            <w:tcW w:w="1668" w:type="dxa"/>
          </w:tcPr>
          <w:p w14:paraId="55F6904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F0A9A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4CCD0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0613E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электрона.</w:t>
            </w:r>
          </w:p>
        </w:tc>
        <w:tc>
          <w:tcPr>
            <w:tcW w:w="1985" w:type="dxa"/>
          </w:tcPr>
          <w:p w14:paraId="6DA949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электрона снижение веса</w:t>
            </w:r>
          </w:p>
        </w:tc>
        <w:tc>
          <w:tcPr>
            <w:tcW w:w="2268" w:type="dxa"/>
          </w:tcPr>
          <w:p w14:paraId="127154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электрона в Союзе капоты</w:t>
            </w:r>
          </w:p>
        </w:tc>
      </w:tr>
      <w:tr w:rsidR="00F26F01" w:rsidRPr="00C33834" w14:paraId="04F5E88E" w14:textId="77777777">
        <w:tc>
          <w:tcPr>
            <w:tcW w:w="1668" w:type="dxa"/>
          </w:tcPr>
          <w:p w14:paraId="75075A2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61973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970519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4F7A7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BD97EA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15-20 кг.</w:t>
            </w:r>
          </w:p>
        </w:tc>
        <w:tc>
          <w:tcPr>
            <w:tcW w:w="2268" w:type="dxa"/>
          </w:tcPr>
          <w:p w14:paraId="01DC8C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будут изготовлять по</w:t>
            </w:r>
          </w:p>
        </w:tc>
      </w:tr>
      <w:tr w:rsidR="00F26F01" w:rsidRPr="00C33834" w14:paraId="567F70D9" w14:textId="77777777">
        <w:tc>
          <w:tcPr>
            <w:tcW w:w="1668" w:type="dxa"/>
          </w:tcPr>
          <w:p w14:paraId="68E73F8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A7D8B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D5FAFD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AEA6C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E5630E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BA00F8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прежнему (из алюминия).</w:t>
            </w:r>
          </w:p>
        </w:tc>
      </w:tr>
      <w:tr w:rsidR="00F26F01" w:rsidRPr="00C33834" w14:paraId="5E036AAD" w14:textId="77777777">
        <w:tc>
          <w:tcPr>
            <w:tcW w:w="1668" w:type="dxa"/>
          </w:tcPr>
          <w:p w14:paraId="72191C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1-й серийн.</w:t>
            </w:r>
          </w:p>
        </w:tc>
        <w:tc>
          <w:tcPr>
            <w:tcW w:w="1417" w:type="dxa"/>
          </w:tcPr>
          <w:p w14:paraId="4862B6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DFFBF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77519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270DB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EA2FE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22BFB89" w14:textId="77777777">
        <w:tc>
          <w:tcPr>
            <w:tcW w:w="1668" w:type="dxa"/>
          </w:tcPr>
          <w:p w14:paraId="4420555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Р5а-М17 сам. 1934 г.</w:t>
            </w:r>
          </w:p>
        </w:tc>
        <w:tc>
          <w:tcPr>
            <w:tcW w:w="1417" w:type="dxa"/>
          </w:tcPr>
          <w:p w14:paraId="277723C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0A3769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A09194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 же требования, что</w:t>
            </w:r>
          </w:p>
        </w:tc>
        <w:tc>
          <w:tcPr>
            <w:tcW w:w="1985" w:type="dxa"/>
          </w:tcPr>
          <w:p w14:paraId="0A1CA3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Производить</w:t>
            </w:r>
          </w:p>
        </w:tc>
        <w:tc>
          <w:tcPr>
            <w:tcW w:w="2268" w:type="dxa"/>
          </w:tcPr>
          <w:p w14:paraId="07C2AB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Специального эталона не</w:t>
            </w:r>
          </w:p>
        </w:tc>
      </w:tr>
      <w:tr w:rsidR="00F26F01" w:rsidRPr="00C33834" w14:paraId="65A97EA6" w14:textId="77777777">
        <w:tc>
          <w:tcPr>
            <w:tcW w:w="1668" w:type="dxa"/>
          </w:tcPr>
          <w:p w14:paraId="7C5D9BD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поплавках</w:t>
            </w:r>
          </w:p>
        </w:tc>
        <w:tc>
          <w:tcPr>
            <w:tcW w:w="1417" w:type="dxa"/>
          </w:tcPr>
          <w:p w14:paraId="2E30AEF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CB44EF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C45ED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к сам. Р5-М7.</w:t>
            </w:r>
          </w:p>
        </w:tc>
        <w:tc>
          <w:tcPr>
            <w:tcW w:w="1985" w:type="dxa"/>
          </w:tcPr>
          <w:p w14:paraId="31A453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шаопирование стальных</w:t>
            </w:r>
          </w:p>
        </w:tc>
        <w:tc>
          <w:tcPr>
            <w:tcW w:w="2268" w:type="dxa"/>
          </w:tcPr>
          <w:p w14:paraId="082099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строить, таковым принят</w:t>
            </w:r>
          </w:p>
        </w:tc>
      </w:tr>
      <w:tr w:rsidR="00F26F01" w:rsidRPr="00C33834" w14:paraId="2D53DCF1" w14:textId="77777777">
        <w:tc>
          <w:tcPr>
            <w:tcW w:w="1668" w:type="dxa"/>
          </w:tcPr>
          <w:p w14:paraId="326C80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790FC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02860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7FDD5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FFDB3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узлов с 1-го серийного</w:t>
            </w:r>
          </w:p>
        </w:tc>
        <w:tc>
          <w:tcPr>
            <w:tcW w:w="2268" w:type="dxa"/>
          </w:tcPr>
          <w:p w14:paraId="32DB979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1-й серийный самол.</w:t>
            </w:r>
          </w:p>
        </w:tc>
      </w:tr>
      <w:tr w:rsidR="00F26F01" w:rsidRPr="00C33834" w14:paraId="61BE615B" w14:textId="77777777">
        <w:tc>
          <w:tcPr>
            <w:tcW w:w="1668" w:type="dxa"/>
          </w:tcPr>
          <w:p w14:paraId="054FD5E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2CDDC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E8876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42668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072C0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самолета (предохранение</w:t>
            </w:r>
          </w:p>
        </w:tc>
        <w:tc>
          <w:tcPr>
            <w:tcW w:w="2268" w:type="dxa"/>
          </w:tcPr>
          <w:p w14:paraId="7D5FDD6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продукции 1934 г., на</w:t>
            </w:r>
          </w:p>
        </w:tc>
      </w:tr>
      <w:tr w:rsidR="00F26F01" w:rsidRPr="00C33834" w14:paraId="79F35294" w14:textId="77777777">
        <w:tc>
          <w:tcPr>
            <w:tcW w:w="1668" w:type="dxa"/>
          </w:tcPr>
          <w:p w14:paraId="5FA9DA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22746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7C301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F12E4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2DC0C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коррозии).</w:t>
            </w:r>
          </w:p>
        </w:tc>
        <w:tc>
          <w:tcPr>
            <w:tcW w:w="2268" w:type="dxa"/>
          </w:tcPr>
          <w:p w14:paraId="7EE6DE8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котором осуществить</w:t>
            </w:r>
          </w:p>
        </w:tc>
      </w:tr>
      <w:tr w:rsidR="00F26F01" w:rsidRPr="00C33834" w14:paraId="52D8FE0C" w14:textId="77777777">
        <w:tc>
          <w:tcPr>
            <w:tcW w:w="1668" w:type="dxa"/>
          </w:tcPr>
          <w:p w14:paraId="06B3F5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0EC3A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18BA1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4C077A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6BB4A0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A142B9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техтребования НИИ,</w:t>
            </w:r>
          </w:p>
        </w:tc>
      </w:tr>
      <w:tr w:rsidR="00F26F01" w:rsidRPr="00C33834" w14:paraId="4E14F662" w14:textId="77777777">
        <w:tc>
          <w:tcPr>
            <w:tcW w:w="1668" w:type="dxa"/>
          </w:tcPr>
          <w:p w14:paraId="6996E30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C9181F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553431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E5277D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4CCD065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07831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протокола от</w:t>
            </w:r>
          </w:p>
        </w:tc>
      </w:tr>
      <w:tr w:rsidR="00F26F01" w:rsidRPr="00C33834" w14:paraId="66B34707" w14:textId="77777777">
        <w:tc>
          <w:tcPr>
            <w:tcW w:w="1668" w:type="dxa"/>
          </w:tcPr>
          <w:p w14:paraId="153CE20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BB8B5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5805E97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5DA7A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98F26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3C0636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26.11.33 г. у Жарова.</w:t>
            </w:r>
          </w:p>
        </w:tc>
      </w:tr>
      <w:tr w:rsidR="00F26F01" w:rsidRPr="00C33834" w14:paraId="466E0A59" w14:textId="77777777">
        <w:tc>
          <w:tcPr>
            <w:tcW w:w="1668" w:type="dxa"/>
          </w:tcPr>
          <w:p w14:paraId="06B8D0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B14593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56B0C3F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65BB5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7575AD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D45B6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Зав. предлагает</w:t>
            </w:r>
          </w:p>
        </w:tc>
      </w:tr>
      <w:tr w:rsidR="00F26F01" w:rsidRPr="00C33834" w14:paraId="7E4F2DCB" w14:textId="77777777">
        <w:tc>
          <w:tcPr>
            <w:tcW w:w="1668" w:type="dxa"/>
          </w:tcPr>
          <w:p w14:paraId="068FC2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41D4F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36F5C9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2404B7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79C3E6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0126F9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шаопирование узлов</w:t>
            </w:r>
          </w:p>
        </w:tc>
      </w:tr>
      <w:tr w:rsidR="00F26F01" w:rsidRPr="00C33834" w14:paraId="7D4A811A" w14:textId="77777777">
        <w:tc>
          <w:tcPr>
            <w:tcW w:w="1668" w:type="dxa"/>
          </w:tcPr>
          <w:p w14:paraId="3E9CCB5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030C4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A00BF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9BA8D9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64D6607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F3EF5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начать с 51 серийного сам.,</w:t>
            </w:r>
          </w:p>
        </w:tc>
      </w:tr>
      <w:tr w:rsidR="00F26F01" w:rsidRPr="00C33834" w14:paraId="2F536122" w14:textId="77777777">
        <w:tc>
          <w:tcPr>
            <w:tcW w:w="1668" w:type="dxa"/>
          </w:tcPr>
          <w:p w14:paraId="2E47BC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122F6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5498B9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17DB2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E45B3A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309858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неподготовленности</w:t>
            </w:r>
          </w:p>
        </w:tc>
      </w:tr>
      <w:tr w:rsidR="00F26F01" w:rsidRPr="00C33834" w14:paraId="7B7FE44E" w14:textId="77777777">
        <w:tc>
          <w:tcPr>
            <w:tcW w:w="1668" w:type="dxa"/>
          </w:tcPr>
          <w:p w14:paraId="2CC222D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EBEF1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E4F87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C09BE1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CCEBC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23161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производства.</w:t>
            </w:r>
          </w:p>
        </w:tc>
      </w:tr>
      <w:tr w:rsidR="00F26F01" w:rsidRPr="00C33834" w14:paraId="6D558C4C" w14:textId="77777777">
        <w:tc>
          <w:tcPr>
            <w:tcW w:w="1668" w:type="dxa"/>
          </w:tcPr>
          <w:p w14:paraId="746671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И7-М17</w:t>
            </w:r>
          </w:p>
        </w:tc>
        <w:tc>
          <w:tcPr>
            <w:tcW w:w="1417" w:type="dxa"/>
          </w:tcPr>
          <w:p w14:paraId="1911D5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5C2EA7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15.03</w:t>
            </w:r>
          </w:p>
        </w:tc>
        <w:tc>
          <w:tcPr>
            <w:tcW w:w="1882" w:type="dxa"/>
          </w:tcPr>
          <w:p w14:paraId="04D817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Постройка эталона на</w:t>
            </w:r>
          </w:p>
        </w:tc>
        <w:tc>
          <w:tcPr>
            <w:tcW w:w="1985" w:type="dxa"/>
          </w:tcPr>
          <w:p w14:paraId="7113B6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Построить новый эталон</w:t>
            </w:r>
          </w:p>
        </w:tc>
        <w:tc>
          <w:tcPr>
            <w:tcW w:w="2268" w:type="dxa"/>
          </w:tcPr>
          <w:p w14:paraId="1C43BA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 на 1934 г. не</w:t>
            </w:r>
          </w:p>
        </w:tc>
      </w:tr>
      <w:tr w:rsidR="00F26F01" w:rsidRPr="00C33834" w14:paraId="42EBE3B2" w14:textId="77777777">
        <w:tc>
          <w:tcPr>
            <w:tcW w:w="1668" w:type="dxa"/>
          </w:tcPr>
          <w:p w14:paraId="05F41F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16438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7CD3DC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1934 г.</w:t>
            </w:r>
          </w:p>
        </w:tc>
        <w:tc>
          <w:tcPr>
            <w:tcW w:w="1882" w:type="dxa"/>
          </w:tcPr>
          <w:p w14:paraId="66B626A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4F57C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 с выполнением всех</w:t>
            </w:r>
          </w:p>
        </w:tc>
        <w:tc>
          <w:tcPr>
            <w:tcW w:w="2268" w:type="dxa"/>
          </w:tcPr>
          <w:p w14:paraId="08BFD8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строить, закончить</w:t>
            </w:r>
          </w:p>
        </w:tc>
      </w:tr>
      <w:tr w:rsidR="00F26F01" w:rsidRPr="00C33834" w14:paraId="176D8FB3" w14:textId="77777777">
        <w:tc>
          <w:tcPr>
            <w:tcW w:w="1668" w:type="dxa"/>
          </w:tcPr>
          <w:p w14:paraId="6E8AED3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2BC4B9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CAD11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696DAF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45C06D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техтребований и</w:t>
            </w:r>
          </w:p>
        </w:tc>
        <w:tc>
          <w:tcPr>
            <w:tcW w:w="2268" w:type="dxa"/>
          </w:tcPr>
          <w:p w14:paraId="797EFA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изготовление сам. по</w:t>
            </w:r>
          </w:p>
        </w:tc>
      </w:tr>
      <w:tr w:rsidR="00F26F01" w:rsidRPr="00C33834" w14:paraId="13062FFA" w14:textId="77777777">
        <w:tc>
          <w:tcPr>
            <w:tcW w:w="1668" w:type="dxa"/>
          </w:tcPr>
          <w:p w14:paraId="612E76A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E8AE0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0D178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F017B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6E86F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постройка по нем серийн.</w:t>
            </w:r>
          </w:p>
        </w:tc>
        <w:tc>
          <w:tcPr>
            <w:tcW w:w="2268" w:type="dxa"/>
          </w:tcPr>
          <w:p w14:paraId="0E1D3EF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эталону 1933 г. с дюралев.</w:t>
            </w:r>
          </w:p>
        </w:tc>
      </w:tr>
      <w:tr w:rsidR="00F26F01" w:rsidRPr="00C33834" w14:paraId="507E5A4D" w14:textId="77777777">
        <w:tc>
          <w:tcPr>
            <w:tcW w:w="1668" w:type="dxa"/>
          </w:tcPr>
          <w:p w14:paraId="6F6B48E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1D8EA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799EE6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0043D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DB3D4E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самолетов.</w:t>
            </w:r>
          </w:p>
        </w:tc>
        <w:tc>
          <w:tcPr>
            <w:tcW w:w="2268" w:type="dxa"/>
          </w:tcPr>
          <w:p w14:paraId="16FBAF3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оперением.</w:t>
            </w:r>
          </w:p>
        </w:tc>
      </w:tr>
      <w:tr w:rsidR="00F26F01" w:rsidRPr="00C33834" w14:paraId="785DF89D" w14:textId="77777777">
        <w:tc>
          <w:tcPr>
            <w:tcW w:w="1668" w:type="dxa"/>
          </w:tcPr>
          <w:p w14:paraId="1A5B1D1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47771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5515C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D598C5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6F6968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И5-М22</w:t>
            </w:r>
          </w:p>
        </w:tc>
        <w:tc>
          <w:tcPr>
            <w:tcW w:w="2268" w:type="dxa"/>
          </w:tcPr>
          <w:p w14:paraId="39D340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424DC2E" w14:textId="77777777">
        <w:tc>
          <w:tcPr>
            <w:tcW w:w="1668" w:type="dxa"/>
          </w:tcPr>
          <w:p w14:paraId="48178CE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И5-М22</w:t>
            </w:r>
          </w:p>
        </w:tc>
        <w:tc>
          <w:tcPr>
            <w:tcW w:w="1417" w:type="dxa"/>
          </w:tcPr>
          <w:p w14:paraId="4A8478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эталону</w:t>
            </w:r>
          </w:p>
        </w:tc>
        <w:tc>
          <w:tcPr>
            <w:tcW w:w="1378" w:type="dxa"/>
          </w:tcPr>
          <w:p w14:paraId="5716054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15.03</w:t>
            </w:r>
          </w:p>
        </w:tc>
        <w:tc>
          <w:tcPr>
            <w:tcW w:w="1882" w:type="dxa"/>
          </w:tcPr>
          <w:p w14:paraId="02D611E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Снижение веса.</w:t>
            </w:r>
          </w:p>
        </w:tc>
        <w:tc>
          <w:tcPr>
            <w:tcW w:w="1985" w:type="dxa"/>
          </w:tcPr>
          <w:p w14:paraId="69795D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Устранить дефект.</w:t>
            </w:r>
          </w:p>
        </w:tc>
        <w:tc>
          <w:tcPr>
            <w:tcW w:w="2268" w:type="dxa"/>
          </w:tcPr>
          <w:p w14:paraId="7004D3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дефекты по акту</w:t>
            </w:r>
          </w:p>
        </w:tc>
      </w:tr>
      <w:tr w:rsidR="00F26F01" w:rsidRPr="00C33834" w14:paraId="0CD5CF1E" w14:textId="77777777">
        <w:tc>
          <w:tcPr>
            <w:tcW w:w="1668" w:type="dxa"/>
          </w:tcPr>
          <w:p w14:paraId="151F8A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621AB7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4BC00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1033</w:t>
            </w:r>
          </w:p>
        </w:tc>
        <w:tc>
          <w:tcPr>
            <w:tcW w:w="1882" w:type="dxa"/>
          </w:tcPr>
          <w:p w14:paraId="3B7482D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FCD20F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Снизить вес конструкц.</w:t>
            </w:r>
          </w:p>
        </w:tc>
        <w:tc>
          <w:tcPr>
            <w:tcW w:w="2268" w:type="dxa"/>
          </w:tcPr>
          <w:p w14:paraId="7B7684E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НИИ будут</w:t>
            </w:r>
          </w:p>
        </w:tc>
      </w:tr>
      <w:tr w:rsidR="00F26F01" w:rsidRPr="00C33834" w14:paraId="75954188" w14:textId="77777777">
        <w:tc>
          <w:tcPr>
            <w:tcW w:w="1668" w:type="dxa"/>
          </w:tcPr>
          <w:p w14:paraId="017757B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A6DBD1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3EFBBD2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30.12.33</w:t>
            </w:r>
          </w:p>
        </w:tc>
        <w:tc>
          <w:tcPr>
            <w:tcW w:w="1882" w:type="dxa"/>
          </w:tcPr>
          <w:p w14:paraId="5A943D0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3F661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 на 105 кг.</w:t>
            </w:r>
          </w:p>
        </w:tc>
        <w:tc>
          <w:tcPr>
            <w:tcW w:w="2268" w:type="dxa"/>
          </w:tcPr>
          <w:p w14:paraId="1DF9072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устранены.</w:t>
            </w:r>
          </w:p>
        </w:tc>
      </w:tr>
      <w:tr w:rsidR="00F26F01" w:rsidRPr="00C33834" w14:paraId="5BDB8C79" w14:textId="77777777">
        <w:tc>
          <w:tcPr>
            <w:tcW w:w="1668" w:type="dxa"/>
          </w:tcPr>
          <w:p w14:paraId="79FFE5B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91D235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DE22D9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N 21310</w:t>
            </w:r>
          </w:p>
        </w:tc>
        <w:tc>
          <w:tcPr>
            <w:tcW w:w="1882" w:type="dxa"/>
          </w:tcPr>
          <w:p w14:paraId="08FC5B1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43F5BA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DAB9E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принимает как</w:t>
            </w:r>
          </w:p>
        </w:tc>
      </w:tr>
      <w:tr w:rsidR="00F26F01" w:rsidRPr="00C33834" w14:paraId="390616AF" w14:textId="77777777">
        <w:tc>
          <w:tcPr>
            <w:tcW w:w="1668" w:type="dxa"/>
          </w:tcPr>
          <w:p w14:paraId="10A8F4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CC3EC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35DAB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B92110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DA5240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364B1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обязательство снижение</w:t>
            </w:r>
          </w:p>
        </w:tc>
      </w:tr>
      <w:tr w:rsidR="00F26F01" w:rsidRPr="00C33834" w14:paraId="00E1AD59" w14:textId="77777777">
        <w:tc>
          <w:tcPr>
            <w:tcW w:w="1668" w:type="dxa"/>
          </w:tcPr>
          <w:p w14:paraId="39A1122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3429FE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5DFC9E0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F4684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F6075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293F31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веса, на 50 кг по отношен.</w:t>
            </w:r>
          </w:p>
        </w:tc>
      </w:tr>
      <w:tr w:rsidR="00F26F01" w:rsidRPr="00C33834" w14:paraId="6EF964ED" w14:textId="77777777">
        <w:tc>
          <w:tcPr>
            <w:tcW w:w="1668" w:type="dxa"/>
          </w:tcPr>
          <w:p w14:paraId="6CC3E9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2E97B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245C1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91073E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73C14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6F4F8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эталону 1932 г.</w:t>
            </w:r>
          </w:p>
        </w:tc>
      </w:tr>
      <w:tr w:rsidR="00F26F01" w:rsidRPr="00C33834" w14:paraId="7BE72E8A" w14:textId="77777777">
        <w:tc>
          <w:tcPr>
            <w:tcW w:w="1668" w:type="dxa"/>
          </w:tcPr>
          <w:p w14:paraId="70A1C8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9954E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001F3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5E6623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251C79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662EB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У2-М11</w:t>
            </w:r>
          </w:p>
        </w:tc>
      </w:tr>
      <w:tr w:rsidR="00F26F01" w:rsidRPr="00C33834" w14:paraId="37145F44" w14:textId="77777777">
        <w:tc>
          <w:tcPr>
            <w:tcW w:w="1668" w:type="dxa"/>
          </w:tcPr>
          <w:p w14:paraId="6EF16A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У2-М11</w:t>
            </w:r>
          </w:p>
        </w:tc>
        <w:tc>
          <w:tcPr>
            <w:tcW w:w="1417" w:type="dxa"/>
          </w:tcPr>
          <w:p w14:paraId="3E9D1D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C8D8E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10.01.34</w:t>
            </w:r>
          </w:p>
        </w:tc>
        <w:tc>
          <w:tcPr>
            <w:tcW w:w="1882" w:type="dxa"/>
          </w:tcPr>
          <w:p w14:paraId="4DA856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4E0E0E4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Разногласий нет.</w:t>
            </w:r>
          </w:p>
        </w:tc>
        <w:tc>
          <w:tcPr>
            <w:tcW w:w="2268" w:type="dxa"/>
          </w:tcPr>
          <w:p w14:paraId="0C47BC6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9AFE282" w14:textId="77777777">
        <w:tc>
          <w:tcPr>
            <w:tcW w:w="1668" w:type="dxa"/>
          </w:tcPr>
          <w:p w14:paraId="239779F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АП-М11</w:t>
            </w:r>
          </w:p>
        </w:tc>
        <w:tc>
          <w:tcPr>
            <w:tcW w:w="1417" w:type="dxa"/>
          </w:tcPr>
          <w:p w14:paraId="052FA0E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эталону</w:t>
            </w:r>
          </w:p>
        </w:tc>
        <w:tc>
          <w:tcPr>
            <w:tcW w:w="1378" w:type="dxa"/>
          </w:tcPr>
          <w:p w14:paraId="0F3D588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F7AD2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65E636D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2268" w:type="dxa"/>
          </w:tcPr>
          <w:p w14:paraId="4BD3DC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18D595B9" w14:textId="77777777">
        <w:tc>
          <w:tcPr>
            <w:tcW w:w="1668" w:type="dxa"/>
          </w:tcPr>
          <w:p w14:paraId="0B9161E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364C79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 г.</w:t>
            </w:r>
          </w:p>
        </w:tc>
        <w:tc>
          <w:tcPr>
            <w:tcW w:w="1378" w:type="dxa"/>
          </w:tcPr>
          <w:p w14:paraId="2C4A817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1558B3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9CBC1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8D044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62A0127" w14:textId="77777777">
        <w:tc>
          <w:tcPr>
            <w:tcW w:w="1668" w:type="dxa"/>
          </w:tcPr>
          <w:p w14:paraId="54DDA65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К5-М22</w:t>
            </w:r>
          </w:p>
        </w:tc>
        <w:tc>
          <w:tcPr>
            <w:tcW w:w="1417" w:type="dxa"/>
          </w:tcPr>
          <w:p w14:paraId="5642F9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27214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D81CA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74B2B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9E2A03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B5FE449" w14:textId="77777777">
        <w:tc>
          <w:tcPr>
            <w:tcW w:w="1668" w:type="dxa"/>
          </w:tcPr>
          <w:p w14:paraId="047B097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К5-М22</w:t>
            </w:r>
          </w:p>
        </w:tc>
        <w:tc>
          <w:tcPr>
            <w:tcW w:w="1417" w:type="dxa"/>
          </w:tcPr>
          <w:p w14:paraId="7F26DA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эталону</w:t>
            </w:r>
          </w:p>
        </w:tc>
        <w:tc>
          <w:tcPr>
            <w:tcW w:w="1378" w:type="dxa"/>
          </w:tcPr>
          <w:p w14:paraId="10AB338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12E4E7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299FB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Разногласий с ГУГВФ нет.</w:t>
            </w:r>
          </w:p>
        </w:tc>
        <w:tc>
          <w:tcPr>
            <w:tcW w:w="2268" w:type="dxa"/>
          </w:tcPr>
          <w:p w14:paraId="186164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A9A47AB" w14:textId="77777777">
        <w:tc>
          <w:tcPr>
            <w:tcW w:w="1668" w:type="dxa"/>
          </w:tcPr>
          <w:p w14:paraId="58C5C18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59D24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 г.</w:t>
            </w:r>
          </w:p>
        </w:tc>
        <w:tc>
          <w:tcPr>
            <w:tcW w:w="1378" w:type="dxa"/>
          </w:tcPr>
          <w:p w14:paraId="688BCDD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66422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A8C2BD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E7BB34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C3F9671" w14:textId="77777777">
        <w:tc>
          <w:tcPr>
            <w:tcW w:w="1668" w:type="dxa"/>
          </w:tcPr>
          <w:p w14:paraId="0BBC5B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41DFB8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доведен</w:t>
            </w:r>
          </w:p>
        </w:tc>
        <w:tc>
          <w:tcPr>
            <w:tcW w:w="1378" w:type="dxa"/>
          </w:tcPr>
          <w:p w14:paraId="1D47C27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4FB0C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E1554A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35D45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ECCB89F" w14:textId="77777777">
        <w:tc>
          <w:tcPr>
            <w:tcW w:w="1668" w:type="dxa"/>
          </w:tcPr>
          <w:p w14:paraId="7E7B32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ТБ3-4М34Р</w:t>
            </w:r>
          </w:p>
        </w:tc>
        <w:tc>
          <w:tcPr>
            <w:tcW w:w="1417" w:type="dxa"/>
          </w:tcPr>
          <w:p w14:paraId="57420E3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C27603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УВВС 1.03</w:t>
            </w:r>
          </w:p>
        </w:tc>
        <w:tc>
          <w:tcPr>
            <w:tcW w:w="1882" w:type="dxa"/>
          </w:tcPr>
          <w:p w14:paraId="2DA305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Расширение фюзеляжа.</w:t>
            </w:r>
          </w:p>
        </w:tc>
        <w:tc>
          <w:tcPr>
            <w:tcW w:w="1985" w:type="dxa"/>
          </w:tcPr>
          <w:p w14:paraId="62238C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замене Ф.З. новой</w:t>
            </w:r>
          </w:p>
        </w:tc>
        <w:tc>
          <w:tcPr>
            <w:tcW w:w="2268" w:type="dxa"/>
          </w:tcPr>
          <w:p w14:paraId="08DC84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Особое мнение зав. N 22</w:t>
            </w:r>
          </w:p>
        </w:tc>
      </w:tr>
      <w:tr w:rsidR="00F26F01" w:rsidRPr="00C33834" w14:paraId="2AE94A1F" w14:textId="77777777">
        <w:tc>
          <w:tcPr>
            <w:tcW w:w="1668" w:type="dxa"/>
          </w:tcPr>
          <w:p w14:paraId="5ED3712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0A879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A5A38A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23BA0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47FAB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уширенной конструкции с</w:t>
            </w:r>
          </w:p>
        </w:tc>
        <w:tc>
          <w:tcPr>
            <w:tcW w:w="2268" w:type="dxa"/>
          </w:tcPr>
          <w:p w14:paraId="30EA63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требования отказаться</w:t>
            </w:r>
          </w:p>
        </w:tc>
      </w:tr>
      <w:tr w:rsidR="00F26F01" w:rsidRPr="00C33834" w14:paraId="049761AE" w14:textId="77777777">
        <w:tc>
          <w:tcPr>
            <w:tcW w:w="1668" w:type="dxa"/>
          </w:tcPr>
          <w:p w14:paraId="52CD41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744AB7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072F31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4E45A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6769F8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новым размещением</w:t>
            </w:r>
          </w:p>
        </w:tc>
        <w:tc>
          <w:tcPr>
            <w:tcW w:w="2268" w:type="dxa"/>
          </w:tcPr>
          <w:p w14:paraId="678216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Ф.З. старой конструкции</w:t>
            </w:r>
          </w:p>
        </w:tc>
      </w:tr>
      <w:tr w:rsidR="00F26F01" w:rsidRPr="00C33834" w14:paraId="672D9CE7" w14:textId="77777777">
        <w:tc>
          <w:tcPr>
            <w:tcW w:w="1668" w:type="dxa"/>
          </w:tcPr>
          <w:p w14:paraId="3E8B0F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7DC94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43252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9A2FE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CF7F60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огневых точек.</w:t>
            </w:r>
          </w:p>
        </w:tc>
        <w:tc>
          <w:tcPr>
            <w:tcW w:w="2268" w:type="dxa"/>
          </w:tcPr>
          <w:p w14:paraId="4FA77B2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 введение нового Ф.З.</w:t>
            </w:r>
          </w:p>
        </w:tc>
      </w:tr>
      <w:tr w:rsidR="00F26F01" w:rsidRPr="00C33834" w14:paraId="7FAB945F" w14:textId="77777777">
        <w:tc>
          <w:tcPr>
            <w:tcW w:w="1668" w:type="dxa"/>
          </w:tcPr>
          <w:p w14:paraId="5BE93A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D69147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343878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ГУАП 1.07</w:t>
            </w:r>
          </w:p>
        </w:tc>
        <w:tc>
          <w:tcPr>
            <w:tcW w:w="1882" w:type="dxa"/>
          </w:tcPr>
          <w:p w14:paraId="30B22B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E2919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9C0AC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связано с большим объем.</w:t>
            </w:r>
          </w:p>
        </w:tc>
      </w:tr>
      <w:tr w:rsidR="00F26F01" w:rsidRPr="00C33834" w14:paraId="3D1CA69C" w14:textId="77777777">
        <w:tc>
          <w:tcPr>
            <w:tcW w:w="1668" w:type="dxa"/>
          </w:tcPr>
          <w:p w14:paraId="7467F2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2C857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AC0AC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CA65A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4D7B85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2C7FC0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 уч. наличия только</w:t>
            </w:r>
          </w:p>
        </w:tc>
      </w:tr>
      <w:tr w:rsidR="00F26F01" w:rsidRPr="00C33834" w14:paraId="653F9CD9" w14:textId="77777777">
        <w:tc>
          <w:tcPr>
            <w:tcW w:w="1668" w:type="dxa"/>
          </w:tcPr>
          <w:p w14:paraId="0F3071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07103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AA464D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FBD7EE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3B9FB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0F2FF7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конструкт. при отсутствии</w:t>
            </w:r>
          </w:p>
        </w:tc>
      </w:tr>
      <w:tr w:rsidR="00F26F01" w:rsidRPr="00C33834" w14:paraId="3C919824" w14:textId="77777777">
        <w:tc>
          <w:tcPr>
            <w:tcW w:w="1668" w:type="dxa"/>
          </w:tcPr>
          <w:p w14:paraId="54710D2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01215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0DE905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155327A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224FC4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FEFC6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черт. на приспособления,</w:t>
            </w:r>
          </w:p>
        </w:tc>
      </w:tr>
      <w:tr w:rsidR="00F26F01" w:rsidRPr="00C33834" w14:paraId="4BD4FEA5" w14:textId="77777777">
        <w:tc>
          <w:tcPr>
            <w:tcW w:w="1668" w:type="dxa"/>
          </w:tcPr>
          <w:p w14:paraId="38866BF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7E939E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960065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3E0689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3191DA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59478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также самих приспособл.</w:t>
            </w:r>
          </w:p>
        </w:tc>
      </w:tr>
      <w:tr w:rsidR="00F26F01" w:rsidRPr="00C33834" w14:paraId="3414C27B" w14:textId="77777777">
        <w:tc>
          <w:tcPr>
            <w:tcW w:w="1668" w:type="dxa"/>
          </w:tcPr>
          <w:p w14:paraId="4539D4E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6A9C7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A60500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BEA5F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 замене костыля на</w:t>
            </w:r>
          </w:p>
        </w:tc>
        <w:tc>
          <w:tcPr>
            <w:tcW w:w="1985" w:type="dxa"/>
          </w:tcPr>
          <w:p w14:paraId="1957E3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Установить взамен</w:t>
            </w:r>
          </w:p>
        </w:tc>
        <w:tc>
          <w:tcPr>
            <w:tcW w:w="2268" w:type="dxa"/>
          </w:tcPr>
          <w:p w14:paraId="5BD2766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требований отказаться</w:t>
            </w:r>
          </w:p>
        </w:tc>
      </w:tr>
      <w:tr w:rsidR="00F26F01" w:rsidRPr="00C33834" w14:paraId="7E277A64" w14:textId="77777777">
        <w:tc>
          <w:tcPr>
            <w:tcW w:w="1668" w:type="dxa"/>
          </w:tcPr>
          <w:p w14:paraId="1B75AE9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CB7C2C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0B72F2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E9962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колесо.</w:t>
            </w:r>
          </w:p>
        </w:tc>
        <w:tc>
          <w:tcPr>
            <w:tcW w:w="1985" w:type="dxa"/>
          </w:tcPr>
          <w:p w14:paraId="2D5C3FF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костыля колесо улуч.</w:t>
            </w:r>
          </w:p>
        </w:tc>
        <w:tc>
          <w:tcPr>
            <w:tcW w:w="2268" w:type="dxa"/>
          </w:tcPr>
          <w:p w14:paraId="470DF9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 принятия такового</w:t>
            </w:r>
          </w:p>
        </w:tc>
      </w:tr>
      <w:tr w:rsidR="00F26F01" w:rsidRPr="00C33834" w14:paraId="06BDF099" w14:textId="77777777">
        <w:tc>
          <w:tcPr>
            <w:tcW w:w="1668" w:type="dxa"/>
          </w:tcPr>
          <w:p w14:paraId="4B8F4D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38DEB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691C1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0C210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4FFC27B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эксплоатации сам.</w:t>
            </w:r>
          </w:p>
        </w:tc>
        <w:tc>
          <w:tcPr>
            <w:tcW w:w="2268" w:type="dxa"/>
          </w:tcPr>
          <w:p w14:paraId="178C91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влечет за собой большой</w:t>
            </w:r>
          </w:p>
        </w:tc>
      </w:tr>
      <w:tr w:rsidR="00F26F01" w:rsidRPr="00C33834" w14:paraId="2D4101A8" w14:textId="77777777">
        <w:tc>
          <w:tcPr>
            <w:tcW w:w="1668" w:type="dxa"/>
          </w:tcPr>
          <w:p w14:paraId="3FC3C1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3D0D9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E40400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1E5FD8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F3AFBF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4E195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объем работ по переделке</w:t>
            </w:r>
          </w:p>
        </w:tc>
      </w:tr>
      <w:tr w:rsidR="00F26F01" w:rsidRPr="00C33834" w14:paraId="701FFF67" w14:textId="77777777">
        <w:tc>
          <w:tcPr>
            <w:tcW w:w="1668" w:type="dxa"/>
          </w:tcPr>
          <w:p w14:paraId="31E9671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224CE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390463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860DF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771BDA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1846B9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хвостовой части.</w:t>
            </w:r>
          </w:p>
        </w:tc>
      </w:tr>
      <w:tr w:rsidR="00F26F01" w:rsidRPr="00C33834" w14:paraId="5AE2C593" w14:textId="77777777">
        <w:tc>
          <w:tcPr>
            <w:tcW w:w="1668" w:type="dxa"/>
          </w:tcPr>
          <w:p w14:paraId="16960F2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5D0F5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C6567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944D14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 О сроках выхода </w:t>
            </w:r>
          </w:p>
        </w:tc>
        <w:tc>
          <w:tcPr>
            <w:tcW w:w="1985" w:type="dxa"/>
          </w:tcPr>
          <w:p w14:paraId="501D18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Представить на госисп.</w:t>
            </w:r>
          </w:p>
        </w:tc>
        <w:tc>
          <w:tcPr>
            <w:tcW w:w="2268" w:type="dxa"/>
          </w:tcPr>
          <w:p w14:paraId="074AC7E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 с расширенным</w:t>
            </w:r>
          </w:p>
        </w:tc>
      </w:tr>
      <w:tr w:rsidR="00F26F01" w:rsidRPr="00C33834" w14:paraId="4AD19227" w14:textId="77777777">
        <w:tc>
          <w:tcPr>
            <w:tcW w:w="1668" w:type="dxa"/>
          </w:tcPr>
          <w:p w14:paraId="48C273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6C804A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266FC3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3E7A93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эталона.</w:t>
            </w:r>
          </w:p>
        </w:tc>
        <w:tc>
          <w:tcPr>
            <w:tcW w:w="1985" w:type="dxa"/>
          </w:tcPr>
          <w:p w14:paraId="49549DB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 с новым</w:t>
            </w:r>
          </w:p>
        </w:tc>
        <w:tc>
          <w:tcPr>
            <w:tcW w:w="2268" w:type="dxa"/>
          </w:tcPr>
          <w:p w14:paraId="4E3463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фюзеляжем строить.</w:t>
            </w:r>
          </w:p>
        </w:tc>
      </w:tr>
      <w:tr w:rsidR="00F26F01" w:rsidRPr="00C33834" w14:paraId="693CE065" w14:textId="77777777">
        <w:tc>
          <w:tcPr>
            <w:tcW w:w="1668" w:type="dxa"/>
          </w:tcPr>
          <w:p w14:paraId="64E0C9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EA1B2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3C5C82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40D2C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486AE0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фюзеляжем к 1.05.</w:t>
            </w:r>
          </w:p>
        </w:tc>
        <w:tc>
          <w:tcPr>
            <w:tcW w:w="2268" w:type="dxa"/>
          </w:tcPr>
          <w:p w14:paraId="4724C8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 старым фюзеляжем к</w:t>
            </w:r>
          </w:p>
        </w:tc>
      </w:tr>
      <w:tr w:rsidR="00F26F01" w:rsidRPr="00C33834" w14:paraId="53194F9E" w14:textId="77777777">
        <w:tc>
          <w:tcPr>
            <w:tcW w:w="1668" w:type="dxa"/>
          </w:tcPr>
          <w:p w14:paraId="5F797AA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2632B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178E3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5C43B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6435C4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 старым фюзеляжем</w:t>
            </w:r>
          </w:p>
        </w:tc>
        <w:tc>
          <w:tcPr>
            <w:tcW w:w="2268" w:type="dxa"/>
          </w:tcPr>
          <w:p w14:paraId="7DAF8F4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1.07</w:t>
            </w:r>
          </w:p>
        </w:tc>
      </w:tr>
      <w:tr w:rsidR="00F26F01" w:rsidRPr="00C33834" w14:paraId="0A0543E1" w14:textId="77777777">
        <w:tc>
          <w:tcPr>
            <w:tcW w:w="1668" w:type="dxa"/>
          </w:tcPr>
          <w:p w14:paraId="0D1047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49C708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096C4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2ED6B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939D3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1.03</w:t>
            </w:r>
          </w:p>
        </w:tc>
        <w:tc>
          <w:tcPr>
            <w:tcW w:w="2268" w:type="dxa"/>
          </w:tcPr>
          <w:p w14:paraId="5A83B6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BD33A6E" w14:textId="77777777">
        <w:tc>
          <w:tcPr>
            <w:tcW w:w="1668" w:type="dxa"/>
          </w:tcPr>
          <w:p w14:paraId="0709C7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w:t>
            </w:r>
          </w:p>
        </w:tc>
        <w:tc>
          <w:tcPr>
            <w:tcW w:w="1417" w:type="dxa"/>
          </w:tcPr>
          <w:p w14:paraId="1D35C09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эталону</w:t>
            </w:r>
          </w:p>
        </w:tc>
        <w:tc>
          <w:tcPr>
            <w:tcW w:w="1378" w:type="dxa"/>
          </w:tcPr>
          <w:p w14:paraId="322A99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 г.</w:t>
            </w:r>
          </w:p>
        </w:tc>
        <w:tc>
          <w:tcPr>
            <w:tcW w:w="1882" w:type="dxa"/>
          </w:tcPr>
          <w:p w14:paraId="274BECD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6CAE26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Разногласий нет.</w:t>
            </w:r>
          </w:p>
        </w:tc>
        <w:tc>
          <w:tcPr>
            <w:tcW w:w="2268" w:type="dxa"/>
          </w:tcPr>
          <w:p w14:paraId="505D71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Устраняются дефекты</w:t>
            </w:r>
          </w:p>
        </w:tc>
      </w:tr>
      <w:tr w:rsidR="00F26F01" w:rsidRPr="00C33834" w14:paraId="6E4D5024" w14:textId="77777777">
        <w:tc>
          <w:tcPr>
            <w:tcW w:w="1668" w:type="dxa"/>
          </w:tcPr>
          <w:p w14:paraId="61755D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E9226D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77E9BA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CB07ED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9FE469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AE6AB7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обнар. на эталоне.</w:t>
            </w:r>
          </w:p>
        </w:tc>
      </w:tr>
      <w:tr w:rsidR="00F26F01" w:rsidRPr="00C33834" w14:paraId="17EDCB35" w14:textId="77777777">
        <w:tc>
          <w:tcPr>
            <w:tcW w:w="1668" w:type="dxa"/>
          </w:tcPr>
          <w:p w14:paraId="270879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B31B55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D06F1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E7315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01649A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21482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Улучш.: обтекаемость с-та</w:t>
            </w:r>
          </w:p>
        </w:tc>
      </w:tr>
      <w:tr w:rsidR="00F26F01" w:rsidRPr="00C33834" w14:paraId="3352C0B9" w14:textId="77777777">
        <w:tc>
          <w:tcPr>
            <w:tcW w:w="1668" w:type="dxa"/>
          </w:tcPr>
          <w:p w14:paraId="18996C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Р6-2М17</w:t>
            </w:r>
          </w:p>
        </w:tc>
        <w:tc>
          <w:tcPr>
            <w:tcW w:w="1417" w:type="dxa"/>
          </w:tcPr>
          <w:p w14:paraId="50F27ED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1F8605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0957E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2359A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D7096B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264E990" w14:textId="77777777">
        <w:tc>
          <w:tcPr>
            <w:tcW w:w="1668" w:type="dxa"/>
          </w:tcPr>
          <w:p w14:paraId="08B855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Р6-2М17</w:t>
            </w:r>
          </w:p>
        </w:tc>
        <w:tc>
          <w:tcPr>
            <w:tcW w:w="1417" w:type="dxa"/>
          </w:tcPr>
          <w:p w14:paraId="22BB608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эталону</w:t>
            </w:r>
          </w:p>
        </w:tc>
        <w:tc>
          <w:tcPr>
            <w:tcW w:w="1378" w:type="dxa"/>
          </w:tcPr>
          <w:p w14:paraId="0972177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w:t>
            </w:r>
          </w:p>
        </w:tc>
        <w:tc>
          <w:tcPr>
            <w:tcW w:w="1882" w:type="dxa"/>
          </w:tcPr>
          <w:p w14:paraId="78FB31E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Увеличение скорости</w:t>
            </w:r>
          </w:p>
        </w:tc>
        <w:tc>
          <w:tcPr>
            <w:tcW w:w="1985" w:type="dxa"/>
          </w:tcPr>
          <w:p w14:paraId="57B761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 целью доведения</w:t>
            </w:r>
          </w:p>
        </w:tc>
        <w:tc>
          <w:tcPr>
            <w:tcW w:w="2268" w:type="dxa"/>
          </w:tcPr>
          <w:p w14:paraId="3120CC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Цифру 260 км/час</w:t>
            </w:r>
          </w:p>
        </w:tc>
      </w:tr>
      <w:tr w:rsidR="00F26F01" w:rsidRPr="00C33834" w14:paraId="46484515" w14:textId="77777777">
        <w:tc>
          <w:tcPr>
            <w:tcW w:w="1668" w:type="dxa"/>
          </w:tcPr>
          <w:p w14:paraId="046129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E812A4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 г.</w:t>
            </w:r>
          </w:p>
        </w:tc>
        <w:tc>
          <w:tcPr>
            <w:tcW w:w="1378" w:type="dxa"/>
          </w:tcPr>
          <w:p w14:paraId="5C40A4E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7036F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9E4568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горизонтальн. скорости</w:t>
            </w:r>
          </w:p>
        </w:tc>
        <w:tc>
          <w:tcPr>
            <w:tcW w:w="2268" w:type="dxa"/>
          </w:tcPr>
          <w:p w14:paraId="67D736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считать ориентировочной.</w:t>
            </w:r>
          </w:p>
        </w:tc>
      </w:tr>
      <w:tr w:rsidR="00F26F01" w:rsidRPr="00C33834" w14:paraId="67016A9B" w14:textId="77777777">
        <w:tc>
          <w:tcPr>
            <w:tcW w:w="1668" w:type="dxa"/>
          </w:tcPr>
          <w:p w14:paraId="5D8F13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4F337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1ACDC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F8FC6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9C535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260 км/час.</w:t>
            </w:r>
          </w:p>
        </w:tc>
        <w:tc>
          <w:tcPr>
            <w:tcW w:w="2268" w:type="dxa"/>
          </w:tcPr>
          <w:p w14:paraId="5DA391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A799BD8" w14:textId="77777777">
        <w:tc>
          <w:tcPr>
            <w:tcW w:w="1668" w:type="dxa"/>
          </w:tcPr>
          <w:p w14:paraId="3C639AF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43BF93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BD3F7B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DD2E7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Снижение веса</w:t>
            </w:r>
          </w:p>
        </w:tc>
        <w:tc>
          <w:tcPr>
            <w:tcW w:w="1985" w:type="dxa"/>
          </w:tcPr>
          <w:p w14:paraId="0F0105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Снизить вес самолета</w:t>
            </w:r>
          </w:p>
        </w:tc>
        <w:tc>
          <w:tcPr>
            <w:tcW w:w="2268" w:type="dxa"/>
          </w:tcPr>
          <w:p w14:paraId="3536983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Снижение веса на 170 кг</w:t>
            </w:r>
          </w:p>
        </w:tc>
      </w:tr>
      <w:tr w:rsidR="00F26F01" w:rsidRPr="00C33834" w14:paraId="3D26DDB5" w14:textId="77777777">
        <w:tc>
          <w:tcPr>
            <w:tcW w:w="1668" w:type="dxa"/>
          </w:tcPr>
          <w:p w14:paraId="765C739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3CBB5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8FA53B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66B12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4B8B70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170 кг за счет</w:t>
            </w:r>
          </w:p>
        </w:tc>
        <w:tc>
          <w:tcPr>
            <w:tcW w:w="2268" w:type="dxa"/>
          </w:tcPr>
          <w:p w14:paraId="0D52D0F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считать ориентировочной, </w:t>
            </w:r>
          </w:p>
        </w:tc>
      </w:tr>
      <w:tr w:rsidR="00F26F01" w:rsidRPr="00C33834" w14:paraId="3E6B4C19" w14:textId="77777777">
        <w:tc>
          <w:tcPr>
            <w:tcW w:w="1668" w:type="dxa"/>
          </w:tcPr>
          <w:p w14:paraId="171444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F8230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088EA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F8B3C6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B99D0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применения хромомолиб.</w:t>
            </w:r>
          </w:p>
        </w:tc>
        <w:tc>
          <w:tcPr>
            <w:tcW w:w="2268" w:type="dxa"/>
          </w:tcPr>
          <w:p w14:paraId="56EC32F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отсутств. возможности</w:t>
            </w:r>
          </w:p>
        </w:tc>
      </w:tr>
      <w:tr w:rsidR="00F26F01" w:rsidRPr="00C33834" w14:paraId="5EEECCC7" w14:textId="77777777">
        <w:tc>
          <w:tcPr>
            <w:tcW w:w="1668" w:type="dxa"/>
          </w:tcPr>
          <w:p w14:paraId="355341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5FC5E1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DB196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0D955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CB847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труб, электрона и</w:t>
            </w:r>
          </w:p>
        </w:tc>
        <w:tc>
          <w:tcPr>
            <w:tcW w:w="2268" w:type="dxa"/>
          </w:tcPr>
          <w:p w14:paraId="6492630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получения: хромолибден.</w:t>
            </w:r>
          </w:p>
        </w:tc>
      </w:tr>
      <w:tr w:rsidR="00F26F01" w:rsidRPr="00C33834" w14:paraId="3A67BDC3" w14:textId="77777777">
        <w:tc>
          <w:tcPr>
            <w:tcW w:w="1668" w:type="dxa"/>
          </w:tcPr>
          <w:p w14:paraId="0A32CD1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9F249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3EFA165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1B3861A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D06E6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изменения конструкции</w:t>
            </w:r>
          </w:p>
        </w:tc>
        <w:tc>
          <w:tcPr>
            <w:tcW w:w="2268" w:type="dxa"/>
          </w:tcPr>
          <w:p w14:paraId="6CD1744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труб, электрона и пр.</w:t>
            </w:r>
          </w:p>
        </w:tc>
      </w:tr>
      <w:tr w:rsidR="00F26F01" w:rsidRPr="00C33834" w14:paraId="6682A8A4" w14:textId="77777777">
        <w:tc>
          <w:tcPr>
            <w:tcW w:w="1668" w:type="dxa"/>
          </w:tcPr>
          <w:p w14:paraId="38E7AB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A9F705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1A55E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028E9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C8E749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деталей.</w:t>
            </w:r>
          </w:p>
        </w:tc>
        <w:tc>
          <w:tcPr>
            <w:tcW w:w="2268" w:type="dxa"/>
          </w:tcPr>
          <w:p w14:paraId="401AFDA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F1E6813" w14:textId="77777777">
        <w:tc>
          <w:tcPr>
            <w:tcW w:w="1668" w:type="dxa"/>
          </w:tcPr>
          <w:p w14:paraId="3D8C90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49A8C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806B6F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4A678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Выполнение на эталоне</w:t>
            </w:r>
          </w:p>
        </w:tc>
        <w:tc>
          <w:tcPr>
            <w:tcW w:w="1985" w:type="dxa"/>
          </w:tcPr>
          <w:p w14:paraId="417149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Выполнить на эталоне</w:t>
            </w:r>
          </w:p>
        </w:tc>
        <w:tc>
          <w:tcPr>
            <w:tcW w:w="2268" w:type="dxa"/>
          </w:tcPr>
          <w:p w14:paraId="3226A1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Цифру 260 км/час</w:t>
            </w:r>
          </w:p>
        </w:tc>
      </w:tr>
      <w:tr w:rsidR="00F26F01" w:rsidRPr="00C33834" w14:paraId="0829AFFB" w14:textId="77777777">
        <w:tc>
          <w:tcPr>
            <w:tcW w:w="1668" w:type="dxa"/>
          </w:tcPr>
          <w:p w14:paraId="1C8B61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A1988E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30A6BB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771EBF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всех техтребований.</w:t>
            </w:r>
          </w:p>
        </w:tc>
        <w:tc>
          <w:tcPr>
            <w:tcW w:w="1985" w:type="dxa"/>
          </w:tcPr>
          <w:p w14:paraId="38763D9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1934 г. все техтребования</w:t>
            </w:r>
          </w:p>
        </w:tc>
        <w:tc>
          <w:tcPr>
            <w:tcW w:w="2268" w:type="dxa"/>
          </w:tcPr>
          <w:p w14:paraId="2B26BC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считает ориентировочной.</w:t>
            </w:r>
          </w:p>
        </w:tc>
      </w:tr>
      <w:tr w:rsidR="00F26F01" w:rsidRPr="00C33834" w14:paraId="739BC69E" w14:textId="77777777">
        <w:tc>
          <w:tcPr>
            <w:tcW w:w="1668" w:type="dxa"/>
          </w:tcPr>
          <w:p w14:paraId="4250DD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34647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A20E8D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B9214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E2FA84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 как в прежнем своем</w:t>
            </w:r>
          </w:p>
        </w:tc>
        <w:tc>
          <w:tcPr>
            <w:tcW w:w="2268" w:type="dxa"/>
          </w:tcPr>
          <w:p w14:paraId="45589D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Снижение веса на 170 кг</w:t>
            </w:r>
          </w:p>
        </w:tc>
      </w:tr>
      <w:tr w:rsidR="00F26F01" w:rsidRPr="00C33834" w14:paraId="198E934F" w14:textId="77777777">
        <w:tc>
          <w:tcPr>
            <w:tcW w:w="1668" w:type="dxa"/>
          </w:tcPr>
          <w:p w14:paraId="3A1F96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8E93C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56D4D1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D7BF2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713C60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виде сам. Р6 не имеет</w:t>
            </w:r>
          </w:p>
        </w:tc>
        <w:tc>
          <w:tcPr>
            <w:tcW w:w="2268" w:type="dxa"/>
          </w:tcPr>
          <w:p w14:paraId="2CA037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ориентировочной, за</w:t>
            </w:r>
          </w:p>
        </w:tc>
      </w:tr>
      <w:tr w:rsidR="00F26F01" w:rsidRPr="00C33834" w14:paraId="30C2BC31" w14:textId="77777777">
        <w:tc>
          <w:tcPr>
            <w:tcW w:w="1668" w:type="dxa"/>
          </w:tcPr>
          <w:p w14:paraId="0DB5FC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995CA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278863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4C2D71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41C2234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тактического лица, из них</w:t>
            </w:r>
          </w:p>
        </w:tc>
        <w:tc>
          <w:tcPr>
            <w:tcW w:w="2268" w:type="dxa"/>
          </w:tcPr>
          <w:p w14:paraId="4FD1700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отсутств. возможности</w:t>
            </w:r>
          </w:p>
        </w:tc>
      </w:tr>
      <w:tr w:rsidR="00F26F01" w:rsidRPr="00C33834" w14:paraId="4614C15E" w14:textId="77777777">
        <w:tc>
          <w:tcPr>
            <w:tcW w:w="1668" w:type="dxa"/>
          </w:tcPr>
          <w:p w14:paraId="39BA77D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19578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E316D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931B0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241162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w:t>
            </w:r>
          </w:p>
        </w:tc>
        <w:tc>
          <w:tcPr>
            <w:tcW w:w="2268" w:type="dxa"/>
          </w:tcPr>
          <w:p w14:paraId="05FC960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получения: хромомолибд.</w:t>
            </w:r>
          </w:p>
        </w:tc>
      </w:tr>
      <w:tr w:rsidR="00F26F01" w:rsidRPr="00C33834" w14:paraId="2693ED05" w14:textId="77777777">
        <w:tc>
          <w:tcPr>
            <w:tcW w:w="1668" w:type="dxa"/>
          </w:tcPr>
          <w:p w14:paraId="254B14C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C690A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74B68D2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1A51B9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4C4B32A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установить вместо</w:t>
            </w:r>
          </w:p>
        </w:tc>
        <w:tc>
          <w:tcPr>
            <w:tcW w:w="2268" w:type="dxa"/>
          </w:tcPr>
          <w:p w14:paraId="7BE1F5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труб, электрона и пр.</w:t>
            </w:r>
          </w:p>
        </w:tc>
      </w:tr>
      <w:tr w:rsidR="00F26F01" w:rsidRPr="00C33834" w14:paraId="736635C3" w14:textId="77777777">
        <w:tc>
          <w:tcPr>
            <w:tcW w:w="1668" w:type="dxa"/>
          </w:tcPr>
          <w:p w14:paraId="13F8913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1E8A2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4AA5F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7203E7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B088B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закрылков клапана </w:t>
            </w:r>
          </w:p>
        </w:tc>
        <w:tc>
          <w:tcPr>
            <w:tcW w:w="2268" w:type="dxa"/>
          </w:tcPr>
          <w:p w14:paraId="71D42A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эталону 2-й пол. 34 г.</w:t>
            </w:r>
          </w:p>
        </w:tc>
      </w:tr>
      <w:tr w:rsidR="00F26F01" w:rsidRPr="00C33834" w14:paraId="0C510440" w14:textId="77777777">
        <w:tc>
          <w:tcPr>
            <w:tcW w:w="1668" w:type="dxa"/>
          </w:tcPr>
          <w:p w14:paraId="332969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6C366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1345E7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117B31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53E99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"НОРТРОП";</w:t>
            </w:r>
          </w:p>
        </w:tc>
        <w:tc>
          <w:tcPr>
            <w:tcW w:w="2268" w:type="dxa"/>
          </w:tcPr>
          <w:p w14:paraId="3D9B5D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 Р6 по котор.будут...</w:t>
            </w:r>
          </w:p>
        </w:tc>
      </w:tr>
      <w:tr w:rsidR="00F26F01" w:rsidRPr="00C33834" w14:paraId="188A1F66" w14:textId="77777777">
        <w:tc>
          <w:tcPr>
            <w:tcW w:w="1668" w:type="dxa"/>
          </w:tcPr>
          <w:p w14:paraId="1B1CBA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826FEB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B07A1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EC2197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7580F2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поставить металлич.</w:t>
            </w:r>
          </w:p>
        </w:tc>
        <w:tc>
          <w:tcPr>
            <w:tcW w:w="2268" w:type="dxa"/>
          </w:tcPr>
          <w:p w14:paraId="0849F6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техтребования....</w:t>
            </w:r>
          </w:p>
        </w:tc>
      </w:tr>
      <w:tr w:rsidR="00F26F01" w:rsidRPr="00C33834" w14:paraId="50FD48F4" w14:textId="77777777">
        <w:tc>
          <w:tcPr>
            <w:tcW w:w="1668" w:type="dxa"/>
          </w:tcPr>
          <w:p w14:paraId="05E354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D3C513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E04B9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64D033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38068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винты;</w:t>
            </w:r>
          </w:p>
        </w:tc>
        <w:tc>
          <w:tcPr>
            <w:tcW w:w="2268" w:type="dxa"/>
          </w:tcPr>
          <w:p w14:paraId="603AF60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C8D3BE7" w14:textId="77777777">
        <w:tc>
          <w:tcPr>
            <w:tcW w:w="1668" w:type="dxa"/>
          </w:tcPr>
          <w:p w14:paraId="1FE48D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E10D3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6813D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72FE23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3062D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установить шасси с</w:t>
            </w:r>
          </w:p>
        </w:tc>
        <w:tc>
          <w:tcPr>
            <w:tcW w:w="2268" w:type="dxa"/>
          </w:tcPr>
          <w:p w14:paraId="4EFA1F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6EB38EF" w14:textId="77777777">
        <w:tc>
          <w:tcPr>
            <w:tcW w:w="1668" w:type="dxa"/>
          </w:tcPr>
          <w:p w14:paraId="013FF77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E0575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277F2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EA109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30538E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масляной пневматической</w:t>
            </w:r>
          </w:p>
        </w:tc>
        <w:tc>
          <w:tcPr>
            <w:tcW w:w="2268" w:type="dxa"/>
          </w:tcPr>
          <w:p w14:paraId="4A659A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5DDF1F4" w14:textId="77777777">
        <w:tc>
          <w:tcPr>
            <w:tcW w:w="1668" w:type="dxa"/>
          </w:tcPr>
          <w:p w14:paraId="78F406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49B3F7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2DF2D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16DA82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7C394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аммортизац.;</w:t>
            </w:r>
          </w:p>
        </w:tc>
        <w:tc>
          <w:tcPr>
            <w:tcW w:w="2268" w:type="dxa"/>
          </w:tcPr>
          <w:p w14:paraId="05234A1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3304F55" w14:textId="77777777">
        <w:tc>
          <w:tcPr>
            <w:tcW w:w="1668" w:type="dxa"/>
          </w:tcPr>
          <w:p w14:paraId="1E97EDD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58B2C0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7254F8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D69BED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CCB508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элероны делать разрезн.;</w:t>
            </w:r>
          </w:p>
        </w:tc>
        <w:tc>
          <w:tcPr>
            <w:tcW w:w="2268" w:type="dxa"/>
          </w:tcPr>
          <w:p w14:paraId="3EDCAEF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3A2C0EC" w14:textId="77777777">
        <w:tc>
          <w:tcPr>
            <w:tcW w:w="1668" w:type="dxa"/>
          </w:tcPr>
          <w:p w14:paraId="5F604C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C6064D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90A2A6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609B3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D37CF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установить тормозные</w:t>
            </w:r>
          </w:p>
        </w:tc>
        <w:tc>
          <w:tcPr>
            <w:tcW w:w="2268" w:type="dxa"/>
          </w:tcPr>
          <w:p w14:paraId="6114BCF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48EA2DD" w14:textId="77777777">
        <w:tc>
          <w:tcPr>
            <w:tcW w:w="1668" w:type="dxa"/>
          </w:tcPr>
          <w:p w14:paraId="45D0127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A6185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A56B4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1B62360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1C0389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колеса;</w:t>
            </w:r>
          </w:p>
        </w:tc>
        <w:tc>
          <w:tcPr>
            <w:tcW w:w="2268" w:type="dxa"/>
          </w:tcPr>
          <w:p w14:paraId="66479E3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E266C18" w14:textId="77777777">
        <w:tc>
          <w:tcPr>
            <w:tcW w:w="1668" w:type="dxa"/>
          </w:tcPr>
          <w:p w14:paraId="4F0AD9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E3A1B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63009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BF1C9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45C6AF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 установить на руле</w:t>
            </w:r>
          </w:p>
        </w:tc>
        <w:tc>
          <w:tcPr>
            <w:tcW w:w="2268" w:type="dxa"/>
          </w:tcPr>
          <w:p w14:paraId="7242F7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B462591" w14:textId="77777777">
        <w:tc>
          <w:tcPr>
            <w:tcW w:w="1668" w:type="dxa"/>
          </w:tcPr>
          <w:p w14:paraId="730DA0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CC68E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853C34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077F5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509873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направления компенсаторы</w:t>
            </w:r>
          </w:p>
        </w:tc>
        <w:tc>
          <w:tcPr>
            <w:tcW w:w="2268" w:type="dxa"/>
          </w:tcPr>
          <w:p w14:paraId="09966F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D618C86" w14:textId="77777777">
        <w:tc>
          <w:tcPr>
            <w:tcW w:w="1668" w:type="dxa"/>
          </w:tcPr>
          <w:p w14:paraId="7D1C2B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CCF08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D7D87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3C40F1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382E9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типа "Флейтнер".</w:t>
            </w:r>
          </w:p>
        </w:tc>
        <w:tc>
          <w:tcPr>
            <w:tcW w:w="2268" w:type="dxa"/>
          </w:tcPr>
          <w:p w14:paraId="205023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ECC928D" w14:textId="77777777">
        <w:tc>
          <w:tcPr>
            <w:tcW w:w="1668" w:type="dxa"/>
          </w:tcPr>
          <w:p w14:paraId="6258C61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Р6-2М17</w:t>
            </w:r>
          </w:p>
        </w:tc>
        <w:tc>
          <w:tcPr>
            <w:tcW w:w="1417" w:type="dxa"/>
          </w:tcPr>
          <w:p w14:paraId="02B4899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31058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5299C3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85B9C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D902A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744911A" w14:textId="77777777">
        <w:tc>
          <w:tcPr>
            <w:tcW w:w="1668" w:type="dxa"/>
          </w:tcPr>
          <w:p w14:paraId="091F29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Р6а-2М17</w:t>
            </w:r>
          </w:p>
        </w:tc>
        <w:tc>
          <w:tcPr>
            <w:tcW w:w="1417" w:type="dxa"/>
          </w:tcPr>
          <w:p w14:paraId="0B78AA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эталону</w:t>
            </w:r>
          </w:p>
        </w:tc>
        <w:tc>
          <w:tcPr>
            <w:tcW w:w="1378" w:type="dxa"/>
          </w:tcPr>
          <w:p w14:paraId="2F294BD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1.04</w:t>
            </w:r>
          </w:p>
        </w:tc>
        <w:tc>
          <w:tcPr>
            <w:tcW w:w="1882" w:type="dxa"/>
          </w:tcPr>
          <w:p w14:paraId="5E4F86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 на поплавках 1.01.34 г.</w:t>
            </w:r>
          </w:p>
        </w:tc>
        <w:tc>
          <w:tcPr>
            <w:tcW w:w="1985" w:type="dxa"/>
          </w:tcPr>
          <w:p w14:paraId="2BE589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FCF1AD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9A0AEA1" w14:textId="77777777">
        <w:tc>
          <w:tcPr>
            <w:tcW w:w="1668" w:type="dxa"/>
          </w:tcPr>
          <w:p w14:paraId="4C7F6FB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FEE383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 г....</w:t>
            </w:r>
          </w:p>
        </w:tc>
        <w:tc>
          <w:tcPr>
            <w:tcW w:w="1378" w:type="dxa"/>
          </w:tcPr>
          <w:p w14:paraId="00F07E2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524CA5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F73C8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7D6E1C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6A61757" w14:textId="77777777">
        <w:tc>
          <w:tcPr>
            <w:tcW w:w="1668" w:type="dxa"/>
          </w:tcPr>
          <w:p w14:paraId="6458271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МБР2-М17</w:t>
            </w:r>
          </w:p>
        </w:tc>
        <w:tc>
          <w:tcPr>
            <w:tcW w:w="1417" w:type="dxa"/>
          </w:tcPr>
          <w:p w14:paraId="24E1481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7197A2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139444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6CFE14F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A771D2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46FA0FD" w14:textId="77777777">
        <w:tc>
          <w:tcPr>
            <w:tcW w:w="1668" w:type="dxa"/>
          </w:tcPr>
          <w:p w14:paraId="5CDA4A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МБР2-М17</w:t>
            </w:r>
          </w:p>
        </w:tc>
        <w:tc>
          <w:tcPr>
            <w:tcW w:w="1417" w:type="dxa"/>
          </w:tcPr>
          <w:p w14:paraId="3D7A77A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E4C91D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1.01.34 г.</w:t>
            </w:r>
          </w:p>
        </w:tc>
        <w:tc>
          <w:tcPr>
            <w:tcW w:w="1882" w:type="dxa"/>
          </w:tcPr>
          <w:p w14:paraId="7A84A97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Постройка эталона на</w:t>
            </w:r>
          </w:p>
        </w:tc>
        <w:tc>
          <w:tcPr>
            <w:tcW w:w="1985" w:type="dxa"/>
          </w:tcPr>
          <w:p w14:paraId="4E6646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Построить на 2-ую полов.</w:t>
            </w:r>
          </w:p>
        </w:tc>
        <w:tc>
          <w:tcPr>
            <w:tcW w:w="2268" w:type="dxa"/>
          </w:tcPr>
          <w:p w14:paraId="44B6D0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сам. МБР2-М17 в 19...</w:t>
            </w:r>
          </w:p>
        </w:tc>
      </w:tr>
      <w:tr w:rsidR="00F26F01" w:rsidRPr="00C33834" w14:paraId="55B6DF85" w14:textId="77777777">
        <w:tc>
          <w:tcPr>
            <w:tcW w:w="1668" w:type="dxa"/>
          </w:tcPr>
          <w:p w14:paraId="397FC9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6577C3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544B15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753C6A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2-ую половину 1934 г.</w:t>
            </w:r>
          </w:p>
        </w:tc>
        <w:tc>
          <w:tcPr>
            <w:tcW w:w="1985" w:type="dxa"/>
          </w:tcPr>
          <w:p w14:paraId="33F88D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1934 г. новый эталон и по</w:t>
            </w:r>
          </w:p>
        </w:tc>
        <w:tc>
          <w:tcPr>
            <w:tcW w:w="2268" w:type="dxa"/>
          </w:tcPr>
          <w:p w14:paraId="6160B2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строить по образцу....</w:t>
            </w:r>
          </w:p>
        </w:tc>
      </w:tr>
      <w:tr w:rsidR="00F26F01" w:rsidRPr="00C33834" w14:paraId="52A072EC" w14:textId="77777777">
        <w:tc>
          <w:tcPr>
            <w:tcW w:w="1668" w:type="dxa"/>
          </w:tcPr>
          <w:p w14:paraId="63A9D4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5537EA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F2E89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7558D5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81BF19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нем у выпуск серийных </w:t>
            </w:r>
          </w:p>
        </w:tc>
        <w:tc>
          <w:tcPr>
            <w:tcW w:w="2268" w:type="dxa"/>
          </w:tcPr>
          <w:p w14:paraId="430FDD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устранением дефектов и</w:t>
            </w:r>
          </w:p>
        </w:tc>
      </w:tr>
      <w:tr w:rsidR="00F26F01" w:rsidRPr="00C33834" w14:paraId="3CA5DFC6" w14:textId="77777777">
        <w:tc>
          <w:tcPr>
            <w:tcW w:w="1668" w:type="dxa"/>
          </w:tcPr>
          <w:p w14:paraId="7065A5D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6982EB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74484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A8DF6E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345BA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w:t>
            </w:r>
          </w:p>
        </w:tc>
        <w:tc>
          <w:tcPr>
            <w:tcW w:w="2268" w:type="dxa"/>
          </w:tcPr>
          <w:p w14:paraId="5515B3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построить эталон на 1935 г.</w:t>
            </w:r>
          </w:p>
        </w:tc>
      </w:tr>
      <w:tr w:rsidR="00F26F01" w:rsidRPr="00C33834" w14:paraId="6C29C04D" w14:textId="77777777">
        <w:tc>
          <w:tcPr>
            <w:tcW w:w="1668" w:type="dxa"/>
          </w:tcPr>
          <w:p w14:paraId="42868EF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АШ-М11</w:t>
            </w:r>
          </w:p>
        </w:tc>
        <w:tc>
          <w:tcPr>
            <w:tcW w:w="1417" w:type="dxa"/>
          </w:tcPr>
          <w:p w14:paraId="3F2854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93EB5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5C4D0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A770E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466F09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D7D70E7" w14:textId="77777777">
        <w:tc>
          <w:tcPr>
            <w:tcW w:w="1668" w:type="dxa"/>
          </w:tcPr>
          <w:p w14:paraId="18C341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АШ-М11</w:t>
            </w:r>
          </w:p>
        </w:tc>
        <w:tc>
          <w:tcPr>
            <w:tcW w:w="1417" w:type="dxa"/>
          </w:tcPr>
          <w:p w14:paraId="15A881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7C8140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588A80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Разногласий нет.</w:t>
            </w:r>
          </w:p>
        </w:tc>
        <w:tc>
          <w:tcPr>
            <w:tcW w:w="1985" w:type="dxa"/>
          </w:tcPr>
          <w:p w14:paraId="66A3546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2EB07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 не строить за</w:t>
            </w:r>
          </w:p>
        </w:tc>
      </w:tr>
      <w:tr w:rsidR="00F26F01" w:rsidRPr="00C33834" w14:paraId="2A52CA0A" w14:textId="77777777">
        <w:tc>
          <w:tcPr>
            <w:tcW w:w="1668" w:type="dxa"/>
          </w:tcPr>
          <w:p w14:paraId="406127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A3C2F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1EE944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8BC422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4943FA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FF5F8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таковой принять 1-й</w:t>
            </w:r>
          </w:p>
        </w:tc>
      </w:tr>
      <w:tr w:rsidR="00F26F01" w:rsidRPr="00C33834" w14:paraId="15B47150" w14:textId="77777777">
        <w:tc>
          <w:tcPr>
            <w:tcW w:w="1668" w:type="dxa"/>
          </w:tcPr>
          <w:p w14:paraId="451DA16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CC58F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22421E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1F36666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50347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9CA6C9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серийный самолет выпуска</w:t>
            </w:r>
          </w:p>
        </w:tc>
      </w:tr>
      <w:tr w:rsidR="00F26F01" w:rsidRPr="00C33834" w14:paraId="2CB9E2FA" w14:textId="77777777">
        <w:tc>
          <w:tcPr>
            <w:tcW w:w="1668" w:type="dxa"/>
          </w:tcPr>
          <w:p w14:paraId="466BD4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1B461E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701BC1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3D40C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8E9CC8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C5750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1934 г. (2264)</w:t>
            </w:r>
          </w:p>
        </w:tc>
      </w:tr>
    </w:tbl>
    <w:p w14:paraId="72455B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9DAC0E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ноября 1933 Нач. ГУАП Королев сделал представление N 15оп в КО по вопросам предложений о постановке морского самолетостроения (2266,228).</w:t>
      </w:r>
    </w:p>
    <w:p w14:paraId="0828569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E8E701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ноября 1933 года были представлены предложения по постановке производства гидросамолетов МК и о развертывании производства всех гидросамолетов, были включены в повестку КО и решением КО от 28 ноября 1933 года рассмотрение их отложено (4188).</w:t>
      </w:r>
    </w:p>
    <w:p w14:paraId="096EF3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0862A95"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61C5299"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79981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ноября 1933 г. пушка ПС-3 была установлена в башне танка Т-26-4, имеющей рамку от Т-28, путем наделок. Испытания велись главным образом на прочность и выявили небольшой погиб броневых листов крыши, при ведении огня Но после усиления конструкции башни испытания завершились успешно. Всего в башнях танка Т-26-4 было установлено 2 пушки ПС-3, но ввиду прекращения выпуска танков Т-26-4, дальнейшие опыты были направлены на установку ПС-3 в безбашенные САУ (6208, 42).</w:t>
      </w:r>
    </w:p>
    <w:p w14:paraId="570874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A7A28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ноября 1933 зам. пред. Леноблисполкома П.М.Зернов писал В.М.М. "С момента возникновения в СССР мобилизационной работы и по сей день промышленность ни разу не имела реального мобплана, по которому предприятия могли бы развернуть работу в случае объявления войны. В прошлом мы имели бумажные мобпланы (П, С, С-30), не основывающиеся на реальных мощностях и освоении производства..." (1566,117).</w:t>
      </w:r>
    </w:p>
    <w:p w14:paraId="3B69C0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30C0D3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ноября 1933 г. в записке заместителя председателя Ленинградского облис</w:t>
      </w:r>
      <w:r w:rsidRPr="00C33834">
        <w:rPr>
          <w:rFonts w:ascii="Times New Roman" w:hAnsi="Times New Roman"/>
          <w:color w:val="000000" w:themeColor="text1"/>
          <w:sz w:val="16"/>
          <w:szCs w:val="16"/>
        </w:rPr>
        <w:softHyphen/>
        <w:t>полкома П.М.Зернова В.В.Молотову от по по</w:t>
      </w:r>
      <w:r w:rsidRPr="00C33834">
        <w:rPr>
          <w:rFonts w:ascii="Times New Roman" w:hAnsi="Times New Roman"/>
          <w:color w:val="000000" w:themeColor="text1"/>
          <w:sz w:val="16"/>
          <w:szCs w:val="16"/>
        </w:rPr>
        <w:softHyphen/>
        <w:t>воду выполнимости мобпланов, например, говорится следующее:</w:t>
      </w:r>
    </w:p>
    <w:p w14:paraId="6064528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момента возникновения в СССР мобилизационной работы и по сей день промышленность ни разу не имела реального мо</w:t>
      </w:r>
      <w:r w:rsidRPr="00C33834">
        <w:rPr>
          <w:rFonts w:ascii="Times New Roman" w:hAnsi="Times New Roman"/>
          <w:color w:val="000000" w:themeColor="text1"/>
          <w:sz w:val="16"/>
          <w:szCs w:val="16"/>
        </w:rPr>
        <w:softHyphen/>
        <w:t>билизационного плана, по которому предприятия могли бы раз</w:t>
      </w:r>
      <w:r w:rsidRPr="00C33834">
        <w:rPr>
          <w:rFonts w:ascii="Times New Roman" w:hAnsi="Times New Roman"/>
          <w:color w:val="000000" w:themeColor="text1"/>
          <w:sz w:val="16"/>
          <w:szCs w:val="16"/>
        </w:rPr>
        <w:softHyphen/>
        <w:t>вернуть работу в случае объявления войны. В прошлом мы имели бумажные мобилизационные планы («П», «С», «С-30»), не осно</w:t>
      </w:r>
      <w:r w:rsidRPr="00C33834">
        <w:rPr>
          <w:rFonts w:ascii="Times New Roman" w:hAnsi="Times New Roman"/>
          <w:color w:val="000000" w:themeColor="text1"/>
          <w:sz w:val="16"/>
          <w:szCs w:val="16"/>
        </w:rPr>
        <w:softHyphen/>
        <w:t>вывающиеся на реальных мощностях и освоении производства. Значительный объем текущих военных заказов в 1931-1933 гг. позволил промышленности освоить производство большинства изделий, входящих в мобилизационное задание. Однако органи</w:t>
      </w:r>
      <w:r w:rsidRPr="00C33834">
        <w:rPr>
          <w:rFonts w:ascii="Times New Roman" w:hAnsi="Times New Roman"/>
          <w:color w:val="000000" w:themeColor="text1"/>
          <w:sz w:val="16"/>
          <w:szCs w:val="16"/>
        </w:rPr>
        <w:softHyphen/>
        <w:t>зация мобилизационной работы была поставлена так, что несмотря на наличие текущих военных заказов промышленность до сих вор не смогла создать реального мобилизационного плана и фак</w:t>
      </w:r>
      <w:r w:rsidRPr="00C33834">
        <w:rPr>
          <w:rFonts w:ascii="Times New Roman" w:hAnsi="Times New Roman"/>
          <w:color w:val="000000" w:themeColor="text1"/>
          <w:sz w:val="16"/>
          <w:szCs w:val="16"/>
        </w:rPr>
        <w:softHyphen/>
        <w:t>тически его не имеет.</w:t>
      </w:r>
    </w:p>
    <w:p w14:paraId="03BE9A1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1931 г. в промышленности одновременно действовали три 'мобилизационных плана: «С-30», скорректированный «С-30» и г «МВ-10». В 1932 г. в тяжелой промышленности действовал моб-план «МВ-10». Система выдачи мобилизационных заданий и не</w:t>
      </w:r>
      <w:r w:rsidRPr="00C33834">
        <w:rPr>
          <w:rFonts w:ascii="Times New Roman" w:hAnsi="Times New Roman"/>
          <w:color w:val="000000" w:themeColor="text1"/>
          <w:sz w:val="16"/>
          <w:szCs w:val="16"/>
        </w:rPr>
        <w:softHyphen/>
        <w:t>достатки методологии привели к тому, что по «МВ-10» система снабжения оказалась нереальной» (ГАРФ ф. 8418, оп. 8, д. 147, л. 37) (1566,117).</w:t>
      </w:r>
    </w:p>
    <w:p w14:paraId="422A8C7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5CAEB0"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7FA68BD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350E6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ноября 1933 приказом № 433 Санотделу Дмитлага предписывалось немедленно приступить к организации специальных сангородков «в целях скорейшего восстановления сил и здоровья тех групп лагерников, которые по каким-либо причинам представляют собою неполноценную рабсилу». В IV отделении Дмитлага на Оревском пункте создавался сангородок на 1500 человек («с дальнейшим развитием до 2500 чел.») во главе с начальником санчасти V отделения А. Я. Долгобородовым, в VIII отделении на 4 (Рахмановском) лагпункте - на 600 человек (врио начальника - врач Рахмановского лазарета С. Я. Колядко), в XII отделении на Андреевском лагпункте - на 500 человек во главе с начальником санчасти этого отделения Добронравовым. Указывалось, что «сангородки VIII и XII отделений обслуживают только эти отделения. Оревский городок считать городком управления ДМИТЛАГа ОГПУ» (7560).</w:t>
      </w:r>
    </w:p>
    <w:p w14:paraId="41AC17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21F122E" w14:textId="77777777" w:rsidR="004345CC"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D0926D4" w14:textId="77777777" w:rsidR="004345CC" w:rsidRPr="00C33834" w:rsidRDefault="004345C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3239517" w14:textId="77777777" w:rsidR="004345CC" w:rsidRPr="00C33834" w:rsidRDefault="004345CC" w:rsidP="00C33834">
      <w:pPr>
        <w:pStyle w:val="rtejustify"/>
        <w:spacing w:before="0" w:after="0"/>
        <w:rPr>
          <w:color w:val="000000" w:themeColor="text1"/>
          <w:sz w:val="16"/>
          <w:szCs w:val="16"/>
        </w:rPr>
      </w:pPr>
      <w:r w:rsidRPr="00C33834">
        <w:rPr>
          <w:rStyle w:val="af0"/>
          <w:bCs/>
          <w:i w:val="0"/>
          <w:color w:val="000000" w:themeColor="text1"/>
          <w:sz w:val="16"/>
          <w:szCs w:val="16"/>
        </w:rPr>
        <w:t>27 ноября 1933 вышел приказ НКТП № 223с.</w:t>
      </w:r>
      <w:r w:rsidRPr="00C33834">
        <w:rPr>
          <w:color w:val="000000" w:themeColor="text1"/>
          <w:sz w:val="16"/>
          <w:szCs w:val="16"/>
        </w:rPr>
        <w:t xml:space="preserve"> О снабжении заводов ГУАП черными металлами. (РГАЭ. Ф. 7297. Оп. 38. Д. 38. Л. 212</w:t>
      </w:r>
      <w:r w:rsidRPr="00C33834">
        <w:rPr>
          <w:color w:val="000000" w:themeColor="text1"/>
          <w:sz w:val="16"/>
          <w:szCs w:val="16"/>
        </w:rPr>
        <w:noBreakHyphen/>
        <w:t>206) (15246).</w:t>
      </w:r>
    </w:p>
    <w:p w14:paraId="671B90DC" w14:textId="77777777" w:rsidR="004345CC" w:rsidRPr="00C33834" w:rsidRDefault="004345CC" w:rsidP="00C33834">
      <w:pPr>
        <w:pStyle w:val="rtejustify"/>
        <w:spacing w:before="0" w:after="0"/>
        <w:rPr>
          <w:color w:val="000000" w:themeColor="text1"/>
          <w:sz w:val="16"/>
          <w:szCs w:val="16"/>
        </w:rPr>
      </w:pPr>
    </w:p>
    <w:p w14:paraId="27912B47"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7361717"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1208E18" w14:textId="77777777" w:rsidR="004345CC" w:rsidRPr="00C33834" w:rsidRDefault="004345CC" w:rsidP="00C33834">
      <w:pPr>
        <w:pStyle w:val="rtejustify"/>
        <w:spacing w:before="0" w:after="0"/>
        <w:rPr>
          <w:color w:val="000000" w:themeColor="text1"/>
          <w:sz w:val="16"/>
          <w:szCs w:val="16"/>
        </w:rPr>
      </w:pPr>
      <w:r w:rsidRPr="00C33834">
        <w:rPr>
          <w:rStyle w:val="af0"/>
          <w:bCs/>
          <w:i w:val="0"/>
          <w:color w:val="000000" w:themeColor="text1"/>
          <w:sz w:val="16"/>
          <w:szCs w:val="16"/>
        </w:rPr>
        <w:t>27/28 ноября 1933 вышел приказ НКТП № 225сс.</w:t>
      </w:r>
      <w:r w:rsidRPr="00C33834">
        <w:rPr>
          <w:color w:val="000000" w:themeColor="text1"/>
          <w:sz w:val="16"/>
          <w:szCs w:val="16"/>
        </w:rPr>
        <w:t xml:space="preserve"> О развертывании производства компрессоров к торпедным аппаратам для военного судостроения в 1933</w:t>
      </w:r>
      <w:r w:rsidRPr="00C33834">
        <w:rPr>
          <w:color w:val="000000" w:themeColor="text1"/>
          <w:sz w:val="16"/>
          <w:szCs w:val="16"/>
        </w:rPr>
        <w:noBreakHyphen/>
        <w:t>1934 гг. (РГАЭ. Ф. 7297. Оп. 38. Д. 38. Л. 204) (15246).</w:t>
      </w:r>
    </w:p>
    <w:p w14:paraId="18F8062A" w14:textId="77777777" w:rsidR="004345CC" w:rsidRPr="00C33834" w:rsidRDefault="004345CC" w:rsidP="00C33834">
      <w:pPr>
        <w:pStyle w:val="rtejustify"/>
        <w:spacing w:before="0" w:after="0"/>
        <w:rPr>
          <w:color w:val="000000" w:themeColor="text1"/>
          <w:sz w:val="16"/>
          <w:szCs w:val="16"/>
        </w:rPr>
      </w:pPr>
    </w:p>
    <w:p w14:paraId="7E112BC2"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ноября 1933 г. Письма фирмы "Картер Продактс Инкорпорэйшн" наркому внешней торговли СССР А.П. Розенгольцу о предоставлении фирме статуса торгового представителя СССР*</w:t>
      </w:r>
    </w:p>
    <w:p w14:paraId="73C89BA6"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xml:space="preserve">Милостивый государь, со времени нашего письма от 13 ноября взаимное признание США и Советской России благополучно счастливо завершилось. Разрешите нам высказать наши поздравления. </w:t>
      </w:r>
    </w:p>
    <w:p w14:paraId="720817FA"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Признание заставляет нас еще больше желать договориться с Вами о представительстве Вашей страны в штате Мичиган. Для Вашего сведения сообщаем, что сейчас находится в пути из Скандинавских стран в Америку древесная масса (для выделки бумаги) стоимостью не свыше 1,5 млн долл., которая представляет собою только часть ежегодного импорта только в наш штат. Мы вполне уверены, что при передаче нам древесной массы, балансов, строевого леса, лесных продуктов и т.п. мы сможем развить дело до вполне удовлетворительных размеров - нескольких миллионов долларов в год. </w:t>
      </w:r>
    </w:p>
    <w:p w14:paraId="3B8CC895"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Мы просим немедленного и серьезного рассмотрения Вами этого дела. Наша организация занимается продажей в этот штат в течение последних 10 лет, имея дела с такими крупными компаниями, как "Дженерал Моторс", "Форд", "Крайслер", со всеми мебельными фабриками, писчебумажными фабриками и т.д. </w:t>
      </w:r>
    </w:p>
    <w:p w14:paraId="22F7D239"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Теперь, после признания, мы уверены на основании нашего знакомства с ведением дела крупными американскими фирмами и на основании нашего опыта, что для Вас будет более выгодно выбрать живых активных представителей, как мы, для определенных районов или штатов. Мы уверены, что это даст Вам большой торговый оборот, чем какой-либо другой способ ведения дела. </w:t>
      </w:r>
    </w:p>
    <w:p w14:paraId="1848A33C"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Мы готовы работать с Вами и приложить все старания к тому, чтобы достичь крупного оборота продаж русских продуктов. </w:t>
      </w:r>
    </w:p>
    <w:p w14:paraId="35AAF60F"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надежде получить от Вас ответ, остаемся с совершенным почтением </w:t>
      </w:r>
    </w:p>
    <w:p w14:paraId="7AAE7F4D"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"Картер Продакшен К°" </w:t>
      </w:r>
    </w:p>
    <w:p w14:paraId="1356B5B8"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РГАЭ. Ф. 413. On. 13. Д. 546. Л. 4. Копия (12152). </w:t>
      </w:r>
    </w:p>
    <w:p w14:paraId="00861A5B" w14:textId="77777777" w:rsidR="00BA29CE" w:rsidRPr="00C33834" w:rsidRDefault="00BA29CE" w:rsidP="00C33834">
      <w:pPr>
        <w:spacing w:after="0" w:line="240" w:lineRule="auto"/>
        <w:jc w:val="both"/>
        <w:rPr>
          <w:rFonts w:ascii="Times New Roman" w:hAnsi="Times New Roman"/>
          <w:color w:val="000000" w:themeColor="text1"/>
          <w:sz w:val="16"/>
          <w:szCs w:val="16"/>
        </w:rPr>
      </w:pPr>
    </w:p>
    <w:p w14:paraId="33ADC59D" w14:textId="77777777" w:rsidR="00BA29CE" w:rsidRPr="00C33834" w:rsidRDefault="00BA29CE"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Cs/>
          <w:color w:val="000000" w:themeColor="text1"/>
          <w:sz w:val="16"/>
          <w:szCs w:val="16"/>
        </w:rPr>
        <w:t>Жизнь и внутреняя политика:</w:t>
      </w:r>
    </w:p>
    <w:p w14:paraId="2C82E67D" w14:textId="77777777" w:rsidR="00BA29CE" w:rsidRPr="00C33834" w:rsidRDefault="00BA29C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4D10F35" w14:textId="77777777" w:rsidR="00BA29CE" w:rsidRPr="00C33834" w:rsidRDefault="00BA29CE"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ноября 1933 приказом № 434 начальникам отделов управления лагеря и начальникам его отделений и отдельных лагпунктов вменялось в обязанность лично следить за помещаемыми в лагерной газете «Перековка» заметками, вскрывающими «всякого рода отрицательные явления», и в трехдневный срок сообщать Фирину «о принятых по существу заметки мерах». Приказ доводился до сведения всех лагерников (7560).</w:t>
      </w:r>
    </w:p>
    <w:p w14:paraId="53413284" w14:textId="77777777" w:rsidR="00BA29CE" w:rsidRPr="00C33834" w:rsidRDefault="00BA29CE" w:rsidP="00C33834">
      <w:pPr>
        <w:autoSpaceDE w:val="0"/>
        <w:autoSpaceDN w:val="0"/>
        <w:adjustRightInd w:val="0"/>
        <w:spacing w:after="0" w:line="240" w:lineRule="auto"/>
        <w:jc w:val="both"/>
        <w:rPr>
          <w:rFonts w:ascii="Times New Roman" w:hAnsi="Times New Roman"/>
          <w:color w:val="000000" w:themeColor="text1"/>
          <w:sz w:val="16"/>
          <w:szCs w:val="16"/>
        </w:rPr>
      </w:pPr>
    </w:p>
    <w:p w14:paraId="073BD460"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D4F1D93"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F2E5A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ноября 1933 вышло постановление СТО N 118сс/о "О производстве новых типов самолетов-истребителей":</w:t>
      </w:r>
    </w:p>
    <w:p w14:paraId="305E78D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изжития отставания истребительной авиации, СТО постановляет:</w:t>
      </w:r>
    </w:p>
    <w:p w14:paraId="334E88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Обязать НКТП, под персональную ответственность Нач. ГУАП т. Королева -</w:t>
      </w:r>
    </w:p>
    <w:p w14:paraId="66C7350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сдать на гос. испытания НКВМ:</w:t>
      </w:r>
    </w:p>
    <w:p w14:paraId="034AAF4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опытный образец И-15 под РЦ с вооружением 4 пулеметами ПВ-1 не позже 15 декабря 1933. По предъявлении на гос. испытания НКВМ обязан в 5 дневный срок дать окончательное техзаключение для пуска самолета в серийное производство.</w:t>
      </w:r>
    </w:p>
    <w:p w14:paraId="633401A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опытный образец И-14 под РЦ с вооружением пулеметами, с последующим переводом на вооружение 2 АПК 37 мм и 1 пулеметом - сдать на гос. испытания не позже 5 февраля 1934.</w:t>
      </w:r>
    </w:p>
    <w:p w14:paraId="5D3128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НКВМ совместно с ГУАП закончить испытания в 20 дневный срок.эв) опытный образец И-16 под М-22 с вооружением 2 пулеметами ШКАС сдать на гос. сипытания не позже 15 февраля 1934. Техническое заключение НКВМ дать в 10 дневный срок.</w:t>
      </w:r>
    </w:p>
    <w:p w14:paraId="41EAF75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Поставить производство И-15 под РЦ на заводе 1 с расчетом выпуска и сдачи НКВМ не менее 150 шт. в 1934, из них 15 в мае, 15 в июне и по 30 ежемесячно до конца года.</w:t>
      </w:r>
    </w:p>
    <w:p w14:paraId="6E1F73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Поставить производство И-14 под РЦ на заводе 21 со сдачей не менее 20 шт. в 1934, из них первые 10 не позже августа.</w:t>
      </w:r>
    </w:p>
    <w:p w14:paraId="479977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 случае удовлетворительных результатов гос. испытаний, внедрить И-16 в серийное производство на заводе 21, в 1934 сдать НКВМ не менее 130 шт, из них на позже 1 июня 10, а остальные - начиная с июня по 20 шт. ежемесячно.</w:t>
      </w:r>
    </w:p>
    <w:p w14:paraId="658847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Немедленно приступить к проектированию и постройке опытных образцов одноместного и двухместного и под ИС по ТУ НКВМ с расчетом выпустить опытные образцы этих самолетов не позже 1 июля 1934 на заводские испытания.</w:t>
      </w:r>
    </w:p>
    <w:p w14:paraId="38251F1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1. Для обеспечения указанных истребителей моторами разрешить НКТП произвести закупку моторов РЦ и ИС согласно прилагаемой ведомости.</w:t>
      </w:r>
    </w:p>
    <w:p w14:paraId="032734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Отпустить для этой цели НКТП в 1934 валюту в размере 1025 тыс. согласно смете, представленной НКТП (см. приложение).</w:t>
      </w:r>
    </w:p>
    <w:p w14:paraId="121565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В счет той же суммы НКТП закупить аппаратуру и, в частности, 450 металлических винтов с переменным шагом к моторам для самолетов-истребителей.</w:t>
      </w:r>
    </w:p>
    <w:p w14:paraId="59E55F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Обязать НКТП изготовать в 1934 100 шт. авиапушек Курчевского (АПК-37) для установки их на истребителях И-14 со сроком поставки первых 30 шт. не позже августа 1934." (2282,70).</w:t>
      </w:r>
    </w:p>
    <w:p w14:paraId="4F9E4DE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71EACD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ноября 1933 года вышло постановление № 118сс/о СТО</w:t>
      </w:r>
    </w:p>
    <w:p w14:paraId="3ED8C65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производстве новых типов самолетов-истребителей</w:t>
      </w:r>
    </w:p>
    <w:p w14:paraId="1D3DA71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изжития отставания истребительной авиации, СТО постановляет:</w:t>
      </w:r>
    </w:p>
    <w:p w14:paraId="6140BD27"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НКТПром, под персональную ответственность начальника ГУАП Королева:</w:t>
      </w:r>
    </w:p>
    <w:p w14:paraId="0BA57529"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Сдать на госиспытание НКВМору:</w:t>
      </w:r>
    </w:p>
    <w:p w14:paraId="658C60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Опытный образец самолета И-15 под мотор Райт-Циклон с вооружением 4 пулеметами ПВ-1 не позже 15 декабря 1933 года. По предъявлении на госиспытания НКВМ обязан в 5-ти дневный срок дать окончательное техническое заключение для пуска самолета в серийное производство.</w:t>
      </w:r>
    </w:p>
    <w:p w14:paraId="5555D7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Опытный образец И-14 под мотор Райт-Циклон с вооружением пулеметами, с последующим переводом на вооружение 2 пушками АПК 37 мм и 1 пулеметом, сдать на госиспытания не позже 5 февраля 1934 года.</w:t>
      </w:r>
    </w:p>
    <w:p w14:paraId="5930E96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НКВМору совместно с ГУАПом закончить испытания в 20-ти дневный срок.</w:t>
      </w:r>
    </w:p>
    <w:p w14:paraId="4477051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Опытный образец И-16 под мотор М-22 с вооружением 2 пулеметами ШКАС сдать на госиспытания не позже 15 января 1934 года; техническое заключение НКВМ дать в 10-ти дневный срок.</w:t>
      </w:r>
    </w:p>
    <w:p w14:paraId="250BE4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Дублер того же самолета И-16 под мотор Райт-Циклон с вооружением 2 пулеметами ШКАС сдать на госиспытания не позже 15 февраля 1934 года; техническое заключение НКВМору дать в 10-ти дневный срок.</w:t>
      </w:r>
    </w:p>
    <w:p w14:paraId="543E8158"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Поставить производство самолета И-15 под мотор Райт-Циклон на заводе № 1 с расчетом выпуска и сдачи НКВМору не менее 150 штук в 1934 году, из них – 15 в мае, 15 – в июне и далее по 20 штук ежемесячно с конца года.</w:t>
      </w:r>
    </w:p>
    <w:p w14:paraId="7CF500BB"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Поставить производство самолета И-14 под мотор Райт-Циклон на заводе № 21 со сдачей не менее 20 штук в 1934 году, из них – первые 10 дать не позже августа 1934 года.</w:t>
      </w:r>
    </w:p>
    <w:p w14:paraId="5E29F81F"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случае удовлетворительных результатов госиспытаний, внедрить самолет И-16 в серийное производство на заводе № 21; в 1934 году сдать НКВМору не менее 130 штук, из них – не позже 1 июня 1934 года – 10 штук, а остальные – начиная с июня по 20 штук ежемесячно.</w:t>
      </w:r>
    </w:p>
    <w:p w14:paraId="0B20B693"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Немедленно приступить к проектированию и постройке опытных образцов одноместного и двухместного истребителей под мотор Испано-Сюиза по техническим условиям НКВМора с расчетом выпустить опытные образцы этих самолетов не позже 1 июля 1934 года на заводские испытания.</w:t>
      </w:r>
    </w:p>
    <w:p w14:paraId="0108DB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 1. Для обеспечения указанных истребителей моторами разрешить НКТяжпрому произвести закупку моторов Райт-Циклон и Испано-Сюиза согласно прилагаемой ведомости.</w:t>
      </w:r>
    </w:p>
    <w:p w14:paraId="4BE51C5E"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Отпустить для этой цели НКТПрому в 1934 году валюту в размере 6028 25 тысяч рублей согласно сметы, представленной НКТПромом (см. приложение).</w:t>
      </w:r>
    </w:p>
    <w:p w14:paraId="2F7E1446"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счет той же суммы НКТПрому закупить аппаратуру и, в частности, 150 металлических винтов с переменным шагом к мотору для самолетов-истребителей.</w:t>
      </w:r>
    </w:p>
    <w:p w14:paraId="12DC83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III. Обязать НКТПром изготовить в 1934 году 100 штук автоматических авиационных пушек Курчевского (АПК 37 мм) для установки их на истребителях И-14, со сроком поставки первых 30 штук не позже августа 1934 года (4170, 14-15).</w:t>
      </w:r>
    </w:p>
    <w:p w14:paraId="30A880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B6973ED" w14:textId="77777777" w:rsidR="004345CC" w:rsidRPr="00C33834" w:rsidRDefault="004345C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ноября 1933 г., ещё до завершения заводских испытаний первого экземпляра И-14 Совет Труда и Обороны своим постановлением «О производстве новых типов са</w:t>
      </w:r>
      <w:r w:rsidRPr="00C33834">
        <w:rPr>
          <w:rFonts w:ascii="Times New Roman" w:hAnsi="Times New Roman"/>
          <w:color w:val="000000" w:themeColor="text1"/>
          <w:sz w:val="16"/>
          <w:szCs w:val="16"/>
        </w:rPr>
        <w:softHyphen/>
        <w:t>молётов-истребителей», обязал НКТП и персонально начальника ГУАП Г.Н. Королева:</w:t>
      </w:r>
    </w:p>
    <w:p w14:paraId="27913B44" w14:textId="77777777" w:rsidR="004345CC" w:rsidRPr="00C33834" w:rsidRDefault="004345C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Сдать на госиспытания НКВМору:</w:t>
      </w:r>
    </w:p>
    <w:p w14:paraId="099B7653" w14:textId="77777777" w:rsidR="004345CC" w:rsidRPr="00C33834" w:rsidRDefault="004345C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опытный образец И-14 под мотор РЦ с вооружением пулемётами, с последующим переводом на вооружение 2 пушками АПК 37 мм и 1 пулемётом, — сдать на госиспыта</w:t>
      </w:r>
      <w:r w:rsidRPr="00C33834">
        <w:rPr>
          <w:rFonts w:ascii="Times New Roman" w:hAnsi="Times New Roman"/>
          <w:color w:val="000000" w:themeColor="text1"/>
          <w:sz w:val="16"/>
          <w:szCs w:val="16"/>
        </w:rPr>
        <w:softHyphen/>
        <w:t>ния не позже 3 февраля 1934 года.</w:t>
      </w:r>
    </w:p>
    <w:p w14:paraId="2C1700BB" w14:textId="77777777" w:rsidR="004345CC" w:rsidRPr="00C33834" w:rsidRDefault="004345C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НКВМору совместно с ГУАПом закончить испытания в 20-ти дневный срок;</w:t>
      </w:r>
    </w:p>
    <w:p w14:paraId="0983D0B7" w14:textId="77777777" w:rsidR="004345CC" w:rsidRPr="00C33834" w:rsidRDefault="004345C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Поставить производство самолёта И-14 под мотор РЦ на заводе № 21 со сдачей не менее 20 штук в 1934 году, из них — первые 10 сдать не позже августа 1934 года.</w:t>
      </w:r>
    </w:p>
    <w:p w14:paraId="20EABA99" w14:textId="77777777" w:rsidR="004345CC" w:rsidRPr="00C33834" w:rsidRDefault="004345C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w:t>
      </w:r>
      <w:r w:rsidRPr="00C33834">
        <w:rPr>
          <w:rFonts w:ascii="Times New Roman" w:hAnsi="Times New Roman"/>
          <w:color w:val="000000" w:themeColor="text1"/>
          <w:sz w:val="16"/>
          <w:szCs w:val="16"/>
          <w:lang w:val="en-US"/>
        </w:rPr>
        <w:t>Ill</w:t>
      </w:r>
      <w:r w:rsidRPr="00C33834">
        <w:rPr>
          <w:rFonts w:ascii="Times New Roman" w:hAnsi="Times New Roman"/>
          <w:color w:val="000000" w:themeColor="text1"/>
          <w:sz w:val="16"/>
          <w:szCs w:val="16"/>
        </w:rPr>
        <w:t xml:space="preserve"> Обязать НКТПром изготовить в 1934 году 100 штук автоматических авиационных пушек Курчевского (АПК 37мм) для установки их на истребители И-14, со сроком по</w:t>
      </w:r>
      <w:r w:rsidRPr="00C33834">
        <w:rPr>
          <w:rFonts w:ascii="Times New Roman" w:hAnsi="Times New Roman"/>
          <w:color w:val="000000" w:themeColor="text1"/>
          <w:sz w:val="16"/>
          <w:szCs w:val="16"/>
        </w:rPr>
        <w:softHyphen/>
        <w:t>ставки первых 30 штук не позже августа 1934 года» (15823).</w:t>
      </w:r>
    </w:p>
    <w:p w14:paraId="6805494F" w14:textId="77777777" w:rsidR="004345CC" w:rsidRPr="00C33834" w:rsidRDefault="004345CC" w:rsidP="00C33834">
      <w:pPr>
        <w:spacing w:after="0" w:line="240" w:lineRule="auto"/>
        <w:jc w:val="both"/>
        <w:rPr>
          <w:rFonts w:ascii="Times New Roman" w:hAnsi="Times New Roman"/>
          <w:color w:val="000000" w:themeColor="text1"/>
          <w:sz w:val="16"/>
          <w:szCs w:val="16"/>
        </w:rPr>
      </w:pPr>
    </w:p>
    <w:p w14:paraId="2DDA51B6" w14:textId="77777777" w:rsidR="0015074C" w:rsidRPr="00C33834" w:rsidRDefault="0015074C"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28 ноября 1933 года еще до завершения заводских испытаний первого экземпляра самолета И-14 Совет Труда и Обороны своим постановлением «О производстве новых типов самолетов-истребителей» обязал НКТП и персонально начальника ГУАП Г. Н. Королева:</w:t>
      </w:r>
    </w:p>
    <w:p w14:paraId="2B7D902E" w14:textId="77777777" w:rsidR="0015074C" w:rsidRPr="00C33834" w:rsidRDefault="0015074C"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«…1. Сдать на госиспытания НКВМору:</w:t>
      </w:r>
    </w:p>
    <w:p w14:paraId="0B10FF1E" w14:textId="77777777" w:rsidR="0015074C" w:rsidRPr="00C33834" w:rsidRDefault="0015074C"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…б) опытный образец И-14 под мотор РЦ с вооружением пулеметами, с последующим переводом на вооружение 2 пушками АПК 37мм и 1 пулеметом, – сдать на госиспытания не позже 3 февраля 1934 года.</w:t>
      </w:r>
    </w:p>
    <w:p w14:paraId="2617E38A" w14:textId="77777777" w:rsidR="0015074C" w:rsidRPr="00C33834" w:rsidRDefault="0015074C"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НКВМору совместно с ГУАПом закончить испытания в 20-ти дневный срок;</w:t>
      </w:r>
    </w:p>
    <w:p w14:paraId="7D80DD1A" w14:textId="77777777" w:rsidR="0015074C" w:rsidRPr="00C33834" w:rsidRDefault="0015074C"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 3. Поставить производство самолета И-14 под мотор РЦ на заводе №21 со сдачей не менее 20 штук в 1934 году, из них – первые 10 сдать не позже августа 1934 года.</w:t>
      </w:r>
    </w:p>
    <w:p w14:paraId="53AF2295" w14:textId="77777777" w:rsidR="0015074C" w:rsidRPr="00C33834" w:rsidRDefault="0015074C" w:rsidP="00C33834">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C33834">
        <w:rPr>
          <w:rStyle w:val="af0"/>
          <w:i w:val="0"/>
          <w:color w:val="000000" w:themeColor="text1"/>
          <w:sz w:val="16"/>
          <w:szCs w:val="16"/>
          <w:bdr w:val="none" w:sz="0" w:space="0" w:color="auto" w:frame="1"/>
        </w:rPr>
        <w:t>… III Обязать НКТПром изготовить в 1934 году 100 штук автоматических авиационных пушек Курчевского (АПК 37мм) для установки их на истребители И-14, со сроком поставки первых 30 штук не позже августа 1934 года» (19177).</w:t>
      </w:r>
    </w:p>
    <w:p w14:paraId="00CE9CF4" w14:textId="77777777" w:rsidR="0015074C" w:rsidRPr="00C33834" w:rsidRDefault="0015074C" w:rsidP="00C33834">
      <w:pPr>
        <w:pStyle w:val="ae"/>
        <w:shd w:val="clear" w:color="auto" w:fill="FFFFFF"/>
        <w:spacing w:before="0" w:after="0"/>
        <w:jc w:val="both"/>
        <w:textAlignment w:val="baseline"/>
        <w:rPr>
          <w:color w:val="000000" w:themeColor="text1"/>
          <w:sz w:val="16"/>
          <w:szCs w:val="16"/>
        </w:rPr>
      </w:pPr>
    </w:p>
    <w:p w14:paraId="1167E2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ноября 1933 с.г. постановлением Совета Груда и Обороны (СТО)  о производстве морской и истребительной авиации на заводе №125</w:t>
      </w:r>
    </w:p>
    <w:p w14:paraId="596B37F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декабря 1933 г. начальник ГУАП Королев издает приказ: "В соответствии с...  приказываю:</w:t>
      </w:r>
    </w:p>
    <w:p w14:paraId="014F67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Директору завода 125 тов. Ирьянову немедленно приступить к подготовке производства самолета И-14, определив производственную программу на 1934 г. ... в 17 штук и одновременно вести работу по постановке производства самолета МДР-4, ориентируясь на выпуск в 1935 г.</w:t>
      </w:r>
    </w:p>
    <w:p w14:paraId="5E4AE39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Разработку чертежей и технологических процессов, чертежей приспособлений по обоим самолетам вести в Москве. Заводу №31 (в Таганроге.- прим. авт.) немедленно включиться в работу по МДР-4, для чего выслать соответствующих работников в технический отдел завода 125.</w:t>
      </w:r>
    </w:p>
    <w:p w14:paraId="7A0A31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Заводу №21 вести подготовку производства по И -14 с включением своих работников в технический отдел завода 125 с тем, чтобы чертежи,... были использованы для обоих заводов</w:t>
      </w:r>
    </w:p>
    <w:p w14:paraId="7420E85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Директору ЦАГИ тов. Харламову в 15-дневный срок передать на завод полный комплект чертежей И-14 и выделить для постоянного и непосредственного руководства по увязке чертежей ответственного работника ЦАГИ.</w:t>
      </w:r>
    </w:p>
    <w:p w14:paraId="2D7EC6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Техническому директору завода 125 т. Хомскому, директору завода 21 т. Мирошниченко и директору ЦАГИ т. Харламову заключить соглашение на сдачу чертежей и организацию технической помощи со стороны ЦАГИ обоим заводам но внедрению машины.</w:t>
      </w:r>
    </w:p>
    <w:p w14:paraId="7393BA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Для укомплектования руководящим персоналом производственной части завода... директору завода №22 тов. Миткевич (директором 22-го завода парторг ЦК BK1I6 Ольга Миткевич стала после гибели С.П.Горбунова в авиационной катастрофе в сентябре 1933 г.) откомандировать техника Васильева (пом. нач. КОСТР) для занятия должности начальника конструкторского отдела завода № 125, директору завода №31 - откомандировать инженера Безухова и техника Потапова. Откомандирование произвести в 2-х дневный срок. Об исполнении доложить лично мне (формулировка для наших дней просто потрясающая, тем более, что она касалась одного инженера и двух техников)</w:t>
      </w:r>
    </w:p>
    <w:p w14:paraId="0564ECE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Отделу кадров ГУАПа форсировать комплектование техническим персоналом, согласно плана подготовки производства... ускорить разверстку по действующим заводам авиапромышленности таблицы перебрасываемых на завод № 125 рабочих...</w:t>
      </w:r>
    </w:p>
    <w:p w14:paraId="0BE212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...ускорить достройку дома...переданного распоряжением моего заместителя тов. Кацва 125 заводу. В указанном доме разместить рабочих завода 125, прибывающих для повышения квалификации из Иркутска...</w:t>
      </w:r>
    </w:p>
    <w:p w14:paraId="7AEA6A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...урегулировать вопрос с помещением, занимаемым Конструкторским Отделом завода 125, обеспечив его нормальными условиями для работ, для чего пересмотреть потребность в площадях всех учреждений ГУАПа, помещающихся на Маросейке, 12" (12037).</w:t>
      </w:r>
    </w:p>
    <w:p w14:paraId="0E0FBD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CDBE9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ноября 1933 года - выписка из протокола № 15 КО</w:t>
      </w:r>
    </w:p>
    <w:p w14:paraId="6B89CA9B"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самолетах-истребителях.</w:t>
      </w:r>
    </w:p>
    <w:p w14:paraId="202E7F71"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НКТП (Королева) в декадный срок представить на утверждение КО предложения о типе, количестве и сроках производства самолетов-истребителей на Иркутском заводе № 125 в 1934 году (4170, 19).</w:t>
      </w:r>
    </w:p>
    <w:p w14:paraId="32DBD184"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60189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ноября 1933 года - выписка из протокола № 15 КО</w:t>
      </w:r>
    </w:p>
    <w:p w14:paraId="73F27D60"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самолетах-истребителях.</w:t>
      </w:r>
    </w:p>
    <w:p w14:paraId="38C0AFAE"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Утвердить представленный НКВМ проект постановления о постройке опытных образцов новых типов самолетов-истребителей (см. приложение № 1 – пост. СТО № 118сс/о).</w:t>
      </w:r>
    </w:p>
    <w:p w14:paraId="53207DF3"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НКТП (Королева) в декадный срок представить на утверждение КО предложения о типе, количестве и сроках производства самолетов-истребителей на Иркутском заводе № 125 в 1934 году.</w:t>
      </w:r>
    </w:p>
    <w:p w14:paraId="208CC805"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заказов НКВМора на 1934 год.</w:t>
      </w:r>
    </w:p>
    <w:p w14:paraId="53E21B24"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Утвердить представленный НКВМором план заказов по боевой технике и вооружению на 1934 год на общую сумму 2160 млн. рублей (см. приложение № 2 – пост. СТО № 119 сс/о).</w:t>
      </w:r>
    </w:p>
    <w:p w14:paraId="24381E2E"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Принять к сведению, что программа заказов НКВМора будет разбита НКТПромом поквартально.</w:t>
      </w:r>
    </w:p>
    <w:p w14:paraId="17EA85FB"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Комитет резервов при СТО за счет своих средств дополнительно вложить в мобзапас 5 тысяч тонн порохов и 3 тысячи тонн тротила.</w:t>
      </w:r>
    </w:p>
    <w:p w14:paraId="1B22BBA9"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системе артиллерийского вооружения и постановке на производство нового образца 76 мм пушки (с наложением на лафет 122 мм гаубицы).</w:t>
      </w:r>
    </w:p>
    <w:p w14:paraId="1E861531"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поручить Ворошилову и Орджоникидзе рассмотреть представленную НКВМором систему артвооружения и в 2-х декадный срок дать КО свои предложения.</w:t>
      </w:r>
    </w:p>
    <w:p w14:paraId="18E7C7A1"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 же разработать предложения по 76 мм пушке с наложением на лафет 122 мм гаубицы.</w:t>
      </w:r>
    </w:p>
    <w:p w14:paraId="0EE22244"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 интехпомощи по постройке подлодки типа Е1.</w:t>
      </w:r>
    </w:p>
    <w:p w14:paraId="144935B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Предложить НКТП (Орджоникидзе) продолжить выполнение договора на техпомощь по постройке подлодки типа Е1 с фирмой "Дэшимаг", уплатив очередной денежный взнос по договору в размере 20 тысяч долларов.</w:t>
      </w:r>
    </w:p>
    <w:p w14:paraId="579E6A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представления фирмой общего проекта подлодки в январе 1934 года рассмотреть вопрос вновь.</w:t>
      </w:r>
    </w:p>
    <w:p w14:paraId="737B9758"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приобретении интехпомощи по постройке крейсеров.</w:t>
      </w:r>
    </w:p>
    <w:p w14:paraId="6769FB95"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Предложить НКТП (Орджоникидзе) немедленно вызвать в СССР представителей итальянской фирмы Ансальдо для переговоров о заключении договора на техпомощь по постройке крейсеров и покупке мехустановок для одного крейсера.</w:t>
      </w:r>
    </w:p>
    <w:p w14:paraId="67E583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Окончательные результаты переговоров доложить КО.2. первый крейсер строить в Ленинграде; место постройки второго крейсера установить особо (4170, 20).</w:t>
      </w:r>
    </w:p>
    <w:p w14:paraId="6AF7A5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983132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ноября 1933 года постановление СТО</w:t>
      </w:r>
    </w:p>
    <w:p w14:paraId="7483752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производстве новых типов одноместных истребителей</w:t>
      </w:r>
    </w:p>
    <w:p w14:paraId="7231F77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изжития отставания нашей истребительной авиации СТО постановляет:</w:t>
      </w:r>
    </w:p>
    <w:p w14:paraId="01EE6C37"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НКТяжпром, под персональную ответственность начальника ГУАП Королева:</w:t>
      </w:r>
    </w:p>
    <w:p w14:paraId="32BA3C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Сдать на госиспытание НКВМору опытный образец самолета И-15 под мотор Райт-Циклон с вооружением 4 пулемета ПВ-1 – не позже 15 декабря 1933 года;</w:t>
      </w:r>
    </w:p>
    <w:p w14:paraId="2DAD99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опытный образец И-14 под мотор Райт-Циклон с вооружением 2 пушки АПК 37 мм и 1 пулемет – не позже 1 февраля 1934 года;</w:t>
      </w:r>
    </w:p>
    <w:p w14:paraId="77DF6FD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опытный образец И-16 под мотор М-22 с вооружением 2 пулемета ШКАС – не позже 15 января 1934 года и</w:t>
      </w:r>
    </w:p>
    <w:p w14:paraId="51D3A7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дублер этого же самолета И-16 под мотор Райт-Циклон с вооружением 2 пулемета ШКАС – не позже 15 февраля 1934 года.</w:t>
      </w:r>
    </w:p>
    <w:p w14:paraId="3FD6BC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Поставить производство самолета И-15 под мотор Райт-Циклон на заводе № 1 с расчетом выпуска и сдачи НКВМору не менее 150 штук в 1934 году, причем 15 в мае, 15 в июне и далее по 20 штук ежемесячно до конца года.</w:t>
      </w:r>
    </w:p>
    <w:p w14:paraId="2C0B49B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Поставить производство самолета И-14 под мотор Райт-Циклон на заводе № 21 со сдачей не менее 20 штук в 1934 году, из коих первые 10 не позднее августа.</w:t>
      </w:r>
    </w:p>
    <w:p w14:paraId="481857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В случае удовлетворительных результатов госиспытаний, внедрить самолет И-16 в серийное производство на заводе № 21; в 1934 году сдать НКВМору не менее 130 штук, из коих не позже 1 июня – 10 штук, а остальные – начиная с июля по 20 штук ежемесячно.</w:t>
      </w:r>
    </w:p>
    <w:p w14:paraId="68EAA81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Немедленно приступить к проектированию и постройке опытного образца одноместного и двухместного истребителя под мотор Испано-Сюиза по техусловиям НКВМора с расчетом выпустить опытные образцы этих машин не позже августа на госиспытания.</w:t>
      </w:r>
    </w:p>
    <w:p w14:paraId="0D3FE15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 Обязать НКТяжпром закупить:</w:t>
      </w:r>
    </w:p>
    <w:p w14:paraId="66B5602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В САСШ 150 готовых высотных моторов Райт-Циклон мощностью 625-650 л.с., на 100 моторов полный комплект запчастей для сборки в СССР и на 100 моторов наиболее трудно производимых деталей.</w:t>
      </w:r>
    </w:p>
    <w:p w14:paraId="5737DC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этим же моторам закупить 150 металлических винтов с переменным шагом для истребительных самолетов.</w:t>
      </w:r>
    </w:p>
    <w:p w14:paraId="15052E9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б) Во Франции 30 готовых высотных моторов Испано-Сюиза 750-850 л.с., на 50 моторов полный комплект запчастей для сборки в СССР и на 50 моторов наиболее трудно производимых деталей.</w:t>
      </w:r>
    </w:p>
    <w:p w14:paraId="02D924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НКТяжпрому предусмотреть в своей смете для указанных целей 6 млн. рублей (4350 тысяч в САСШ и 1650 тысяч во Франции).</w:t>
      </w:r>
    </w:p>
    <w:p w14:paraId="5F62030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III. Обязать НКТяжпром изготовить в 1934 году 100 штук автоматических авиапушек Курчевского (АПК 37 мм) для установки их на истребителях И-14, со сроком поставки первых 30 штук не позже августа 1934 года.</w:t>
      </w:r>
    </w:p>
    <w:p w14:paraId="4E1B04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IV. Обязать НКТяжпром создать в 1934 году прочную базу для производства в Союзе металлических винтов (обычных и с переменным шагом) до размеров, удовлетворяющих полностью потребность воздушного флота в металлических винтах, организовать производство хромомолибденовых труб и других высокосортных сталей для самолето- и моторостроения.</w:t>
      </w:r>
    </w:p>
    <w:p w14:paraId="7D7A35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Конкретные предложения для осуществления этого представить СТО в месячный срок (7439, 39-40).</w:t>
      </w:r>
    </w:p>
    <w:p w14:paraId="54688B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9B3ED5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ноября 1933 года постановление № 118сс/о СТО</w:t>
      </w:r>
    </w:p>
    <w:p w14:paraId="16A53EE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производстве новых типов самолетов-истребителей</w:t>
      </w:r>
    </w:p>
    <w:p w14:paraId="5C6B20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изжития отставания истребительной авиации СТО постановляет:</w:t>
      </w:r>
    </w:p>
    <w:p w14:paraId="14C5D167"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НКТПром, под персональную ответственность начальника ГУАП Королева:</w:t>
      </w:r>
    </w:p>
    <w:p w14:paraId="03FF1DAF"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Сдать на госиспытания НКВМору:</w:t>
      </w:r>
    </w:p>
    <w:p w14:paraId="6D227E1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Опытный образец самолета И-15 под мотор Райт-Циклон с вооружением 4 пулеметами ПВ-1 не позже 15 декабря 1933 года. По предъявлении на госиспытания НКВМ обязан в 5-ти дневный срок дать окончательное техзаключение для пуска самолета в серийное производство.</w:t>
      </w:r>
    </w:p>
    <w:p w14:paraId="5F4B348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Опытный образец самолета И-14 под мотор Райт-Циклон с вооружением пулеметами, с последующимпереводом на вооружение 2 пушками АПК 37 мм и 1 пулеметом – сдать на госиспытания не позже 5 февраля 1934 года.</w:t>
      </w:r>
    </w:p>
    <w:p w14:paraId="632C18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НКВМору совместно с ГУАПом закончить испытания в 20-ти дневный срок.</w:t>
      </w:r>
    </w:p>
    <w:p w14:paraId="2DB3176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Опытный образец самолета И-16 под мотор М-22 с вооружением 2 пулеметами ШКАС сдать на госиспытания не позже 15 января 1934 года; техзаключение НКВМ дать в 10-ти дневный срок и</w:t>
      </w:r>
    </w:p>
    <w:p w14:paraId="4A9658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Дублер того же самолета И-16 под мотор Райт-Циклон с вооружением 2 пулеметами ШКАС сдать на госиспытания не позже 15 февраля 1934 года; техзаключение НКВМ дать в 10-ти дневный срок.</w:t>
      </w:r>
    </w:p>
    <w:p w14:paraId="04D5123C"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Поставить производство самолета И-15 под мотор Райт-Циклон на заводе № 1 с расчетом выпуска и сдачи НКВМору не менее 150 штук в 1934 году, из них – 15 в мае, 15 – в июне и далее по 20 штук ежемесячно до конца года.</w:t>
      </w:r>
    </w:p>
    <w:p w14:paraId="7D294768"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Поставить производство самолета И-14 под мотор Райт-Циклон на заводе № 21 со сдачей не менее 20 штук в 1934 году, из них первые 10 сдать не позже августа 1934 года.</w:t>
      </w:r>
    </w:p>
    <w:p w14:paraId="33A56927"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случае удовлетворительных результатов госиспытаний внедрить самолет И-16 в серийное производство на заводе № 21; в 1934 году сдать НКВМору не менее 130 штук, из них не позже 1 июня 1934 года – 10 штук, а остальные – начиная с июня по 20 штук ежемесячно.</w:t>
      </w:r>
    </w:p>
    <w:p w14:paraId="6BBFC71F"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Немедленно приступить к проектированию и постройке опытных образцов одноместного и двухместного истребителей под мотор Испано-Сюиза по техусловиям НКВМора с расчетом выпустить опытные образцы этих самолетов не позже 1 июля 1934 года на заводские испытания.</w:t>
      </w:r>
    </w:p>
    <w:p w14:paraId="3746D4D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 1. Для обеспечения указанных истребителей моторами разрешить НКТяжпрому произвести закупку моторов Райт-Циклон и Испано-Сюиза …………………</w:t>
      </w:r>
    </w:p>
    <w:p w14:paraId="335F26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III. Обязать НКТПром изготовить в 1934 году 100 шт. автоматических авиапушек Курчевского (АПК 37 мм) для установки их на истребителях И-14, со сроком поставки первых 30 штук не позже августа 1934 года (7503, 89-90).</w:t>
      </w:r>
    </w:p>
    <w:p w14:paraId="645F536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A7C811A"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28 ноября 1933 г.</w:t>
      </w:r>
    </w:p>
    <w:p w14:paraId="2571AE6B"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ПОСТАНОВЛЕНИЕ № 118СС СОВЕТА ТРУДА И ОБОРОНЫ</w:t>
      </w:r>
    </w:p>
    <w:p w14:paraId="153D0EE6"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28 ноября 1933 г.</w:t>
      </w:r>
      <w:r w:rsidRPr="00C33834">
        <w:rPr>
          <w:rFonts w:ascii="Times New Roman" w:hAnsi="Times New Roman"/>
          <w:color w:val="0070C0"/>
          <w:sz w:val="16"/>
          <w:szCs w:val="16"/>
        </w:rPr>
        <w:tab/>
        <w:t>Москва, Кремль</w:t>
      </w:r>
    </w:p>
    <w:p w14:paraId="627140BB"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целях изжития отставания истребительной авиации СОВЕТ ТРУДА И ОБОРОНЫ постановляет:</w:t>
      </w:r>
    </w:p>
    <w:p w14:paraId="2DCD2219"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Обязать НКТПром под персональную ответственность начальника ГУ АП т. КОРОЛЕВА.</w:t>
      </w:r>
    </w:p>
    <w:p w14:paraId="31A1DC98"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Сдать на госиспытания НКВМору:</w:t>
      </w:r>
    </w:p>
    <w:p w14:paraId="29987FF2"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 опытный образец самолета И-15 под мотор «Райт-Циклон» с вооружением 4 пулемета ПВ-1 не позже 15.12.33 г. По предъявлении на госиспытания НКВМ обязан в 5-дневный срок дать окончательное техническое заключение для пуска самолета в серийное производство;</w:t>
      </w:r>
    </w:p>
    <w:p w14:paraId="5A7140C0"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 опытный образец И-14 под мотор «Райт-Циклон» с вооружением пулеметами с последующим переводом на вооружение 2 пушками АПК 37 мм и 1 пулеметом - сдать на госиспытание не позже 5 февраля 34 г.</w:t>
      </w:r>
    </w:p>
    <w:p w14:paraId="45CDFDC9"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НКВМору совместно с ГУАП'ом закончить испытания в 20-ти дневный срок.</w:t>
      </w:r>
    </w:p>
    <w:p w14:paraId="0A8DE16A"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опытный образец И-16 под мотор М-22 с вооружением 2 пулеметами ШКАС сдать на госиспытания не позже 15 января 34 г.; техническое заключение НКВМору дать в 10-ти дневный срок.</w:t>
      </w:r>
    </w:p>
    <w:p w14:paraId="000D4760"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 дублер того же самолета И-16 под мотор «Райт-Циклон» с вооружением 2 пулемета ШКАС сдать на госиспытания не позже 15 февраля 34 г; техническое заключение НКВМору дать в 10-ти дневный срок.</w:t>
      </w:r>
    </w:p>
    <w:p w14:paraId="1877D344"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Поставить производство самолета И-15 под мотор «Райт-Циклон» на заводе №1 с расчетом выпуска и сдачи НКВМору не менее 150 шт. в 1934 г., из них 15 в мае, 15 в июне и далее по 20 шт. ежемесячно до конца года.</w:t>
      </w:r>
    </w:p>
    <w:p w14:paraId="47F0A3AF"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Поставить производство И-14 под мотор «Райт-Циклон» на заводе №21 со сдачей не менее 20 шт[ук] в 1934 г, из них первые 10 сдать не позже августа 1934 г.</w:t>
      </w:r>
    </w:p>
    <w:p w14:paraId="75C438BF"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В случае удовлетворительных результатов госиспытаний внедрить самолет И-16 в серийное производство на заводе № 21; в 1934 г. сдать НКВМору не менее 130 шт[ук], из них не позже 1.6.34 г. - 10 шт[ук], остальные, начиная с июня, по 20 шт. ежемесячно.</w:t>
      </w:r>
    </w:p>
    <w:p w14:paraId="03C1ECA7"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Немедленно приступить к проектированию и постройке опытных образцов одноместного и двухместного истребителей под мотор ИспаноСюиза по техническим условиям НКВМора с расчетом выпустить опытные образцы этих самолетов не позже 1.7.34 г. на заводские испытания.</w:t>
      </w:r>
    </w:p>
    <w:p w14:paraId="41A0807C"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w:t>
      </w:r>
    </w:p>
    <w:p w14:paraId="456DE944"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Для обеспечения указанных истребителей моторами разрешить НКТяжпрому произвести закупку моторов Райт-Циклон и Испано-Сюиза согласно прилагаемой ведомости.</w:t>
      </w:r>
    </w:p>
    <w:p w14:paraId="249AB5D7"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Отпустить для этой цели НКТПрому в 1934 г. валюту в размере 6025 тыс. руб...</w:t>
      </w:r>
    </w:p>
    <w:p w14:paraId="5E3EAE4E"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В счет той же суммы НКТПрому закупить аппаратуру и, в частности, 150 металлических винтов с переменным шагом к моторам для самолетов -истребителей.</w:t>
      </w:r>
    </w:p>
    <w:p w14:paraId="25B1BED4"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III. Обязать НКТПром изготовить в 1934 г. 100 шт[ук] автоматических авиационных пушек Курчевского (АПК 37 мм) для установки их на истребителях И-14 со сроками поставки первых 30 штук не позже августа 1934 г.</w:t>
      </w:r>
    </w:p>
    <w:p w14:paraId="2EF29259"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Председатель</w:t>
      </w:r>
    </w:p>
    <w:p w14:paraId="2AE5372D"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Совета Труда и Обороны</w:t>
      </w:r>
      <w:r w:rsidRPr="00C33834">
        <w:rPr>
          <w:rFonts w:ascii="Times New Roman" w:hAnsi="Times New Roman"/>
          <w:color w:val="0070C0"/>
          <w:sz w:val="16"/>
          <w:szCs w:val="16"/>
        </w:rPr>
        <w:tab/>
        <w:t>(В. Молотов/Скрябин)</w:t>
      </w:r>
    </w:p>
    <w:p w14:paraId="368280D5"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За секретаря</w:t>
      </w:r>
    </w:p>
    <w:p w14:paraId="479529CB"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Совета Труда и Обороны</w:t>
      </w:r>
      <w:r w:rsidRPr="00C33834">
        <w:rPr>
          <w:rFonts w:ascii="Times New Roman" w:hAnsi="Times New Roman"/>
          <w:color w:val="0070C0"/>
          <w:sz w:val="16"/>
          <w:szCs w:val="16"/>
        </w:rPr>
        <w:tab/>
        <w:t>(Базилевич)</w:t>
      </w:r>
    </w:p>
    <w:p w14:paraId="40713659"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Российский государственный архив экономики</w:t>
      </w:r>
    </w:p>
    <w:p w14:paraId="523ED9DC"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(РГАЭ). Ф. 8328. Оп. 2. Д. 669. ЛЛ. 69-70. Предоставлено</w:t>
      </w:r>
    </w:p>
    <w:p w14:paraId="5038AB7B"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В.П. Ивановым.</w:t>
      </w:r>
    </w:p>
    <w:p w14:paraId="2917705E"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xml:space="preserve">В 1999 году журнал «Исторический архив» поместил подборку документов </w:t>
      </w:r>
    </w:p>
    <w:p w14:paraId="033E8218"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 истории отечественной авиации из Центрального архива</w:t>
      </w:r>
    </w:p>
    <w:p w14:paraId="10119230"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Нижегородской области, подготовленную нижегородским архивистом</w:t>
      </w:r>
    </w:p>
    <w:p w14:paraId="0D21E926" w14:textId="77777777" w:rsidR="00CE54DF" w:rsidRPr="00C33834" w:rsidRDefault="00CE54D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В.Ю. Альбовым. Она публикуется ниже с незначительными сокращениями (20968).</w:t>
      </w:r>
    </w:p>
    <w:p w14:paraId="68FA19A3" w14:textId="77777777" w:rsidR="00CE54DF" w:rsidRPr="00C33834" w:rsidRDefault="00CE54DF" w:rsidP="00C33834">
      <w:pPr>
        <w:spacing w:after="0" w:line="240" w:lineRule="auto"/>
        <w:jc w:val="both"/>
        <w:rPr>
          <w:rFonts w:ascii="Times New Roman" w:hAnsi="Times New Roman"/>
          <w:color w:val="0070C0"/>
          <w:sz w:val="16"/>
          <w:szCs w:val="16"/>
        </w:rPr>
      </w:pPr>
    </w:p>
    <w:p w14:paraId="380F1E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ноября 1933 вышло постановление СТО N 119сс/о "О плане заказов НКВМ на 1934 по вооружению и боевой технике":</w:t>
      </w:r>
    </w:p>
    <w:p w14:paraId="3720B21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"Ведомость заказа боевой техники на 1934 по основной номенклатуре: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tblGrid>
      <w:tr w:rsidR="00F26F01" w:rsidRPr="00C33834" w14:paraId="07294575" w14:textId="77777777">
        <w:tc>
          <w:tcPr>
            <w:tcW w:w="1878" w:type="dxa"/>
          </w:tcPr>
          <w:p w14:paraId="7C5D35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w:t>
            </w:r>
          </w:p>
        </w:tc>
        <w:tc>
          <w:tcPr>
            <w:tcW w:w="1878" w:type="dxa"/>
          </w:tcPr>
          <w:p w14:paraId="1ED7C0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Заказ 1933</w:t>
            </w:r>
          </w:p>
        </w:tc>
        <w:tc>
          <w:tcPr>
            <w:tcW w:w="1878" w:type="dxa"/>
          </w:tcPr>
          <w:p w14:paraId="5607E0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Заказ 1934</w:t>
            </w:r>
          </w:p>
        </w:tc>
      </w:tr>
      <w:tr w:rsidR="00F26F01" w:rsidRPr="00C33834" w14:paraId="61046E6B" w14:textId="77777777">
        <w:tc>
          <w:tcPr>
            <w:tcW w:w="1878" w:type="dxa"/>
          </w:tcPr>
          <w:p w14:paraId="555A4AB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По авиации</w:t>
            </w:r>
          </w:p>
        </w:tc>
        <w:tc>
          <w:tcPr>
            <w:tcW w:w="1878" w:type="dxa"/>
          </w:tcPr>
          <w:p w14:paraId="03F1CE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E94E4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35C66B7" w14:textId="77777777">
        <w:tc>
          <w:tcPr>
            <w:tcW w:w="1878" w:type="dxa"/>
          </w:tcPr>
          <w:p w14:paraId="020CE7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4М-34Р</w:t>
            </w:r>
          </w:p>
        </w:tc>
        <w:tc>
          <w:tcPr>
            <w:tcW w:w="1878" w:type="dxa"/>
          </w:tcPr>
          <w:p w14:paraId="442175E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1878" w:type="dxa"/>
          </w:tcPr>
          <w:p w14:paraId="52B5CBE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w:t>
            </w:r>
          </w:p>
        </w:tc>
      </w:tr>
      <w:tr w:rsidR="00F26F01" w:rsidRPr="00C33834" w14:paraId="13FF7D3E" w14:textId="77777777">
        <w:tc>
          <w:tcPr>
            <w:tcW w:w="1878" w:type="dxa"/>
          </w:tcPr>
          <w:p w14:paraId="2ADD2F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4М-34РН</w:t>
            </w:r>
          </w:p>
        </w:tc>
        <w:tc>
          <w:tcPr>
            <w:tcW w:w="1878" w:type="dxa"/>
          </w:tcPr>
          <w:p w14:paraId="026F7F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878" w:type="dxa"/>
          </w:tcPr>
          <w:p w14:paraId="0A705F2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1AD24471" w14:textId="77777777">
        <w:tc>
          <w:tcPr>
            <w:tcW w:w="1878" w:type="dxa"/>
          </w:tcPr>
          <w:p w14:paraId="4B7479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ЛБ и Р Р-5 М-17</w:t>
            </w:r>
          </w:p>
        </w:tc>
        <w:tc>
          <w:tcPr>
            <w:tcW w:w="1878" w:type="dxa"/>
          </w:tcPr>
          <w:p w14:paraId="4E6E805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1600</w:t>
            </w:r>
          </w:p>
        </w:tc>
        <w:tc>
          <w:tcPr>
            <w:tcW w:w="1878" w:type="dxa"/>
          </w:tcPr>
          <w:p w14:paraId="003F635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w:t>
            </w:r>
          </w:p>
        </w:tc>
      </w:tr>
      <w:tr w:rsidR="00F26F01" w:rsidRPr="00C33834" w14:paraId="7297AE0B" w14:textId="77777777">
        <w:tc>
          <w:tcPr>
            <w:tcW w:w="1878" w:type="dxa"/>
          </w:tcPr>
          <w:p w14:paraId="0F985C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Ш Р-5 М-17</w:t>
            </w:r>
          </w:p>
        </w:tc>
        <w:tc>
          <w:tcPr>
            <w:tcW w:w="1878" w:type="dxa"/>
          </w:tcPr>
          <w:p w14:paraId="630E2FA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878" w:type="dxa"/>
          </w:tcPr>
          <w:p w14:paraId="324741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r>
      <w:tr w:rsidR="00F26F01" w:rsidRPr="00C33834" w14:paraId="3DAB5C86" w14:textId="77777777">
        <w:tc>
          <w:tcPr>
            <w:tcW w:w="1878" w:type="dxa"/>
          </w:tcPr>
          <w:p w14:paraId="3FFCD4C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 М-22</w:t>
            </w:r>
          </w:p>
        </w:tc>
        <w:tc>
          <w:tcPr>
            <w:tcW w:w="1878" w:type="dxa"/>
          </w:tcPr>
          <w:p w14:paraId="617BCF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tc>
        <w:tc>
          <w:tcPr>
            <w:tcW w:w="1878" w:type="dxa"/>
          </w:tcPr>
          <w:p w14:paraId="65C124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360</w:t>
            </w:r>
          </w:p>
        </w:tc>
      </w:tr>
      <w:tr w:rsidR="00F26F01" w:rsidRPr="00C33834" w14:paraId="5F14FB12" w14:textId="77777777">
        <w:tc>
          <w:tcPr>
            <w:tcW w:w="1878" w:type="dxa"/>
          </w:tcPr>
          <w:p w14:paraId="72094F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 М-17</w:t>
            </w:r>
          </w:p>
        </w:tc>
        <w:tc>
          <w:tcPr>
            <w:tcW w:w="1878" w:type="dxa"/>
          </w:tcPr>
          <w:p w14:paraId="6A47647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FE6AA0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r>
      <w:tr w:rsidR="00F26F01" w:rsidRPr="00C33834" w14:paraId="01C85039" w14:textId="77777777">
        <w:tc>
          <w:tcPr>
            <w:tcW w:w="1878" w:type="dxa"/>
          </w:tcPr>
          <w:p w14:paraId="42F0D46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 2М-17</w:t>
            </w:r>
          </w:p>
        </w:tc>
        <w:tc>
          <w:tcPr>
            <w:tcW w:w="1878" w:type="dxa"/>
          </w:tcPr>
          <w:p w14:paraId="2C115EB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1878" w:type="dxa"/>
          </w:tcPr>
          <w:p w14:paraId="316B70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r>
      <w:tr w:rsidR="00F26F01" w:rsidRPr="00C33834" w14:paraId="4CEB6FD9" w14:textId="77777777">
        <w:tc>
          <w:tcPr>
            <w:tcW w:w="1878" w:type="dxa"/>
          </w:tcPr>
          <w:p w14:paraId="7CBA4D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МБР-2 М-17</w:t>
            </w:r>
          </w:p>
        </w:tc>
        <w:tc>
          <w:tcPr>
            <w:tcW w:w="1878" w:type="dxa"/>
          </w:tcPr>
          <w:p w14:paraId="122DF49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878" w:type="dxa"/>
          </w:tcPr>
          <w:p w14:paraId="080BEF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r>
      <w:tr w:rsidR="00F26F01" w:rsidRPr="00C33834" w14:paraId="32062286" w14:textId="77777777">
        <w:tc>
          <w:tcPr>
            <w:tcW w:w="1878" w:type="dxa"/>
          </w:tcPr>
          <w:p w14:paraId="7F2EAB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Р-5а (морской)</w:t>
            </w:r>
          </w:p>
        </w:tc>
        <w:tc>
          <w:tcPr>
            <w:tcW w:w="1878" w:type="dxa"/>
          </w:tcPr>
          <w:p w14:paraId="3C6BB0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878" w:type="dxa"/>
          </w:tcPr>
          <w:p w14:paraId="0A56765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r>
      <w:tr w:rsidR="00F26F01" w:rsidRPr="00C33834" w14:paraId="5C54BD21" w14:textId="77777777">
        <w:tc>
          <w:tcPr>
            <w:tcW w:w="1878" w:type="dxa"/>
          </w:tcPr>
          <w:p w14:paraId="306736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МБР-4</w:t>
            </w:r>
          </w:p>
        </w:tc>
        <w:tc>
          <w:tcPr>
            <w:tcW w:w="1878" w:type="dxa"/>
          </w:tcPr>
          <w:p w14:paraId="029E47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w:t>
            </w:r>
          </w:p>
        </w:tc>
        <w:tc>
          <w:tcPr>
            <w:tcW w:w="1878" w:type="dxa"/>
          </w:tcPr>
          <w:p w14:paraId="0D2194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4738F071" w14:textId="77777777">
        <w:tc>
          <w:tcPr>
            <w:tcW w:w="1878" w:type="dxa"/>
          </w:tcPr>
          <w:p w14:paraId="39E885F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Р-6а 2М-17</w:t>
            </w:r>
          </w:p>
        </w:tc>
        <w:tc>
          <w:tcPr>
            <w:tcW w:w="1878" w:type="dxa"/>
          </w:tcPr>
          <w:p w14:paraId="2868A1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878" w:type="dxa"/>
          </w:tcPr>
          <w:p w14:paraId="50F7A31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w:t>
            </w:r>
          </w:p>
        </w:tc>
      </w:tr>
      <w:tr w:rsidR="00F26F01" w:rsidRPr="00C33834" w14:paraId="718E0062" w14:textId="77777777">
        <w:tc>
          <w:tcPr>
            <w:tcW w:w="1878" w:type="dxa"/>
          </w:tcPr>
          <w:p w14:paraId="6E6CEA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ХАИ М-22</w:t>
            </w:r>
          </w:p>
        </w:tc>
        <w:tc>
          <w:tcPr>
            <w:tcW w:w="1878" w:type="dxa"/>
          </w:tcPr>
          <w:p w14:paraId="63648DB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878" w:type="dxa"/>
          </w:tcPr>
          <w:p w14:paraId="239DA3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r>
      <w:tr w:rsidR="00F26F01" w:rsidRPr="00C33834" w14:paraId="096DC8C6" w14:textId="77777777">
        <w:tc>
          <w:tcPr>
            <w:tcW w:w="1878" w:type="dxa"/>
          </w:tcPr>
          <w:p w14:paraId="6FB199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 М-11</w:t>
            </w:r>
          </w:p>
        </w:tc>
        <w:tc>
          <w:tcPr>
            <w:tcW w:w="1878" w:type="dxa"/>
          </w:tcPr>
          <w:p w14:paraId="0B6529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w:t>
            </w:r>
          </w:p>
        </w:tc>
        <w:tc>
          <w:tcPr>
            <w:tcW w:w="1878" w:type="dxa"/>
          </w:tcPr>
          <w:p w14:paraId="42F9EFB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650</w:t>
            </w:r>
          </w:p>
        </w:tc>
      </w:tr>
      <w:tr w:rsidR="00F26F01" w:rsidRPr="00C33834" w14:paraId="4D3E970C" w14:textId="77777777">
        <w:tc>
          <w:tcPr>
            <w:tcW w:w="1878" w:type="dxa"/>
          </w:tcPr>
          <w:p w14:paraId="53BC1B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АШ М-11</w:t>
            </w:r>
          </w:p>
        </w:tc>
        <w:tc>
          <w:tcPr>
            <w:tcW w:w="1878" w:type="dxa"/>
          </w:tcPr>
          <w:p w14:paraId="72774F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878" w:type="dxa"/>
          </w:tcPr>
          <w:p w14:paraId="663D00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tc>
      </w:tr>
      <w:tr w:rsidR="00F26F01" w:rsidRPr="00C33834" w14:paraId="35B29F92" w14:textId="77777777">
        <w:tc>
          <w:tcPr>
            <w:tcW w:w="1878" w:type="dxa"/>
          </w:tcPr>
          <w:p w14:paraId="7535895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1878" w:type="dxa"/>
          </w:tcPr>
          <w:p w14:paraId="21E3A5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3580</w:t>
            </w:r>
          </w:p>
        </w:tc>
        <w:tc>
          <w:tcPr>
            <w:tcW w:w="1878" w:type="dxa"/>
          </w:tcPr>
          <w:p w14:paraId="3541BB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3125</w:t>
            </w:r>
          </w:p>
        </w:tc>
      </w:tr>
      <w:tr w:rsidR="00F26F01" w:rsidRPr="00C33834" w14:paraId="7CC5671C" w14:textId="77777777">
        <w:tc>
          <w:tcPr>
            <w:tcW w:w="1878" w:type="dxa"/>
          </w:tcPr>
          <w:p w14:paraId="20A06B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Головные серии</w:t>
            </w:r>
          </w:p>
        </w:tc>
        <w:tc>
          <w:tcPr>
            <w:tcW w:w="1878" w:type="dxa"/>
          </w:tcPr>
          <w:p w14:paraId="4546D2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8FBBE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4A92EAB" w14:textId="77777777">
        <w:tc>
          <w:tcPr>
            <w:tcW w:w="1878" w:type="dxa"/>
          </w:tcPr>
          <w:p w14:paraId="3C11A5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 8М-34РН</w:t>
            </w:r>
          </w:p>
        </w:tc>
        <w:tc>
          <w:tcPr>
            <w:tcW w:w="1878" w:type="dxa"/>
          </w:tcPr>
          <w:p w14:paraId="0C0B6F6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1878" w:type="dxa"/>
          </w:tcPr>
          <w:p w14:paraId="2DBD5D1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r>
      <w:tr w:rsidR="00F26F01" w:rsidRPr="00C33834" w14:paraId="02C6A3DA" w14:textId="77777777">
        <w:tc>
          <w:tcPr>
            <w:tcW w:w="1878" w:type="dxa"/>
          </w:tcPr>
          <w:p w14:paraId="797044D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ЛР М-34</w:t>
            </w:r>
          </w:p>
        </w:tc>
        <w:tc>
          <w:tcPr>
            <w:tcW w:w="1878" w:type="dxa"/>
          </w:tcPr>
          <w:p w14:paraId="630EBD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878" w:type="dxa"/>
          </w:tcPr>
          <w:p w14:paraId="479A3A9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r>
      <w:tr w:rsidR="00F26F01" w:rsidRPr="00C33834" w14:paraId="69DF3755" w14:textId="77777777">
        <w:tc>
          <w:tcPr>
            <w:tcW w:w="1878" w:type="dxa"/>
          </w:tcPr>
          <w:p w14:paraId="198892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СКР М-22</w:t>
            </w:r>
          </w:p>
        </w:tc>
        <w:tc>
          <w:tcPr>
            <w:tcW w:w="1878" w:type="dxa"/>
          </w:tcPr>
          <w:p w14:paraId="27643E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878" w:type="dxa"/>
          </w:tcPr>
          <w:p w14:paraId="4BCBF0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r>
      <w:tr w:rsidR="00F26F01" w:rsidRPr="00C33834" w14:paraId="66450C2D" w14:textId="77777777">
        <w:tc>
          <w:tcPr>
            <w:tcW w:w="1878" w:type="dxa"/>
          </w:tcPr>
          <w:p w14:paraId="335AAC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 2М-22</w:t>
            </w:r>
          </w:p>
        </w:tc>
        <w:tc>
          <w:tcPr>
            <w:tcW w:w="1878" w:type="dxa"/>
          </w:tcPr>
          <w:p w14:paraId="3891839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878" w:type="dxa"/>
          </w:tcPr>
          <w:p w14:paraId="4172A5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r>
      <w:tr w:rsidR="00F26F01" w:rsidRPr="00C33834" w14:paraId="6E12CC34" w14:textId="77777777">
        <w:tc>
          <w:tcPr>
            <w:tcW w:w="1878" w:type="dxa"/>
          </w:tcPr>
          <w:p w14:paraId="01F0F5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РД М-34</w:t>
            </w:r>
          </w:p>
        </w:tc>
        <w:tc>
          <w:tcPr>
            <w:tcW w:w="1878" w:type="dxa"/>
          </w:tcPr>
          <w:p w14:paraId="1416C4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878" w:type="dxa"/>
          </w:tcPr>
          <w:p w14:paraId="486F3A0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tc>
      </w:tr>
      <w:tr w:rsidR="00F26F01" w:rsidRPr="00C33834" w14:paraId="45A03EBF" w14:textId="77777777">
        <w:tc>
          <w:tcPr>
            <w:tcW w:w="1878" w:type="dxa"/>
          </w:tcPr>
          <w:p w14:paraId="6230CB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ТШ-3 М-34</w:t>
            </w:r>
          </w:p>
        </w:tc>
        <w:tc>
          <w:tcPr>
            <w:tcW w:w="1878" w:type="dxa"/>
          </w:tcPr>
          <w:p w14:paraId="050244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878" w:type="dxa"/>
          </w:tcPr>
          <w:p w14:paraId="4316329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r>
      <w:tr w:rsidR="00F26F01" w:rsidRPr="00C33834" w14:paraId="0DEF10AD" w14:textId="77777777">
        <w:tc>
          <w:tcPr>
            <w:tcW w:w="1878" w:type="dxa"/>
          </w:tcPr>
          <w:p w14:paraId="2F9408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И-15 РЦ</w:t>
            </w:r>
          </w:p>
        </w:tc>
        <w:tc>
          <w:tcPr>
            <w:tcW w:w="1878" w:type="dxa"/>
          </w:tcPr>
          <w:p w14:paraId="5D14B5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878" w:type="dxa"/>
          </w:tcPr>
          <w:p w14:paraId="7E90A3F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r>
      <w:tr w:rsidR="00F26F01" w:rsidRPr="00C33834" w14:paraId="67AB68E8" w14:textId="77777777">
        <w:tc>
          <w:tcPr>
            <w:tcW w:w="1878" w:type="dxa"/>
          </w:tcPr>
          <w:p w14:paraId="275F7D8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И-16 М-22</w:t>
            </w:r>
          </w:p>
        </w:tc>
        <w:tc>
          <w:tcPr>
            <w:tcW w:w="1878" w:type="dxa"/>
          </w:tcPr>
          <w:p w14:paraId="155EDB1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878" w:type="dxa"/>
          </w:tcPr>
          <w:p w14:paraId="7306D1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tc>
      </w:tr>
      <w:tr w:rsidR="00F26F01" w:rsidRPr="00C33834" w14:paraId="17B4E3AF" w14:textId="77777777">
        <w:tc>
          <w:tcPr>
            <w:tcW w:w="1878" w:type="dxa"/>
          </w:tcPr>
          <w:p w14:paraId="35E4786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РЦ</w:t>
            </w:r>
          </w:p>
        </w:tc>
        <w:tc>
          <w:tcPr>
            <w:tcW w:w="1878" w:type="dxa"/>
          </w:tcPr>
          <w:p w14:paraId="18EBE5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878" w:type="dxa"/>
          </w:tcPr>
          <w:p w14:paraId="2CCB8B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r>
      <w:tr w:rsidR="00F26F01" w:rsidRPr="00C33834" w14:paraId="52A0F02F" w14:textId="77777777">
        <w:tc>
          <w:tcPr>
            <w:tcW w:w="1878" w:type="dxa"/>
          </w:tcPr>
          <w:p w14:paraId="118F6D0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Изет М-22</w:t>
            </w:r>
          </w:p>
        </w:tc>
        <w:tc>
          <w:tcPr>
            <w:tcW w:w="1878" w:type="dxa"/>
          </w:tcPr>
          <w:p w14:paraId="465708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878" w:type="dxa"/>
          </w:tcPr>
          <w:p w14:paraId="13FC56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r>
      <w:tr w:rsidR="00F26F01" w:rsidRPr="00C33834" w14:paraId="556C8B3F" w14:textId="77777777">
        <w:tc>
          <w:tcPr>
            <w:tcW w:w="1878" w:type="dxa"/>
          </w:tcPr>
          <w:p w14:paraId="032B2C9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 2М-34</w:t>
            </w:r>
          </w:p>
        </w:tc>
        <w:tc>
          <w:tcPr>
            <w:tcW w:w="1878" w:type="dxa"/>
          </w:tcPr>
          <w:p w14:paraId="2A5A7D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tc>
        <w:tc>
          <w:tcPr>
            <w:tcW w:w="1878" w:type="dxa"/>
          </w:tcPr>
          <w:p w14:paraId="6C99700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r>
      <w:tr w:rsidR="00F26F01" w:rsidRPr="00C33834" w14:paraId="747524C9" w14:textId="77777777">
        <w:tc>
          <w:tcPr>
            <w:tcW w:w="1878" w:type="dxa"/>
          </w:tcPr>
          <w:p w14:paraId="4026D8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МДР-4 3М-34</w:t>
            </w:r>
          </w:p>
        </w:tc>
        <w:tc>
          <w:tcPr>
            <w:tcW w:w="1878" w:type="dxa"/>
          </w:tcPr>
          <w:p w14:paraId="2D549C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878" w:type="dxa"/>
          </w:tcPr>
          <w:p w14:paraId="21FFFC0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r>
      <w:tr w:rsidR="00F26F01" w:rsidRPr="00C33834" w14:paraId="4EE4A22D" w14:textId="77777777">
        <w:tc>
          <w:tcPr>
            <w:tcW w:w="1878" w:type="dxa"/>
          </w:tcPr>
          <w:p w14:paraId="4D11175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МК 6М-34</w:t>
            </w:r>
          </w:p>
        </w:tc>
        <w:tc>
          <w:tcPr>
            <w:tcW w:w="1878" w:type="dxa"/>
          </w:tcPr>
          <w:p w14:paraId="23B993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15EDA2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r>
      <w:tr w:rsidR="00F26F01" w:rsidRPr="00C33834" w14:paraId="20F570FE" w14:textId="77777777">
        <w:tc>
          <w:tcPr>
            <w:tcW w:w="1878" w:type="dxa"/>
          </w:tcPr>
          <w:p w14:paraId="342E6A2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1878" w:type="dxa"/>
          </w:tcPr>
          <w:p w14:paraId="73ABDAF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tc>
        <w:tc>
          <w:tcPr>
            <w:tcW w:w="1878" w:type="dxa"/>
          </w:tcPr>
          <w:p w14:paraId="22FB62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420</w:t>
            </w:r>
          </w:p>
        </w:tc>
      </w:tr>
      <w:tr w:rsidR="00F26F01" w:rsidRPr="00C33834" w14:paraId="6CB0DA4F" w14:textId="77777777">
        <w:tc>
          <w:tcPr>
            <w:tcW w:w="1878" w:type="dxa"/>
          </w:tcPr>
          <w:p w14:paraId="02FC932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1878" w:type="dxa"/>
          </w:tcPr>
          <w:p w14:paraId="2EA5C83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3615</w:t>
            </w:r>
          </w:p>
        </w:tc>
        <w:tc>
          <w:tcPr>
            <w:tcW w:w="1878" w:type="dxa"/>
          </w:tcPr>
          <w:p w14:paraId="28FF7ED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3545</w:t>
            </w:r>
          </w:p>
        </w:tc>
      </w:tr>
      <w:tr w:rsidR="00F26F01" w:rsidRPr="00C33834" w14:paraId="5C2EA31B" w14:textId="77777777">
        <w:tc>
          <w:tcPr>
            <w:tcW w:w="1878" w:type="dxa"/>
          </w:tcPr>
          <w:p w14:paraId="57B4065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1878" w:type="dxa"/>
          </w:tcPr>
          <w:p w14:paraId="30649C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3300</w:t>
            </w:r>
          </w:p>
        </w:tc>
        <w:tc>
          <w:tcPr>
            <w:tcW w:w="1878" w:type="dxa"/>
          </w:tcPr>
          <w:p w14:paraId="1EC3E4D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r>
      <w:tr w:rsidR="00F26F01" w:rsidRPr="00C33834" w14:paraId="0FF3FA21" w14:textId="77777777">
        <w:tc>
          <w:tcPr>
            <w:tcW w:w="1878" w:type="dxa"/>
          </w:tcPr>
          <w:p w14:paraId="043439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1878" w:type="dxa"/>
          </w:tcPr>
          <w:p w14:paraId="629FCB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770</w:t>
            </w:r>
          </w:p>
        </w:tc>
        <w:tc>
          <w:tcPr>
            <w:tcW w:w="1878" w:type="dxa"/>
          </w:tcPr>
          <w:p w14:paraId="274B54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1114</w:t>
            </w:r>
          </w:p>
        </w:tc>
      </w:tr>
      <w:tr w:rsidR="00F26F01" w:rsidRPr="00C33834" w14:paraId="54FEDDF5" w14:textId="77777777">
        <w:tc>
          <w:tcPr>
            <w:tcW w:w="1878" w:type="dxa"/>
          </w:tcPr>
          <w:p w14:paraId="1DCF6D8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М-22</w:t>
            </w:r>
          </w:p>
        </w:tc>
        <w:tc>
          <w:tcPr>
            <w:tcW w:w="1878" w:type="dxa"/>
          </w:tcPr>
          <w:p w14:paraId="39A8931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w:t>
            </w:r>
          </w:p>
        </w:tc>
        <w:tc>
          <w:tcPr>
            <w:tcW w:w="1878" w:type="dxa"/>
          </w:tcPr>
          <w:p w14:paraId="132030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961</w:t>
            </w:r>
          </w:p>
        </w:tc>
      </w:tr>
      <w:tr w:rsidR="00F26F01" w:rsidRPr="00C33834" w14:paraId="1D2DDC66" w14:textId="77777777">
        <w:tc>
          <w:tcPr>
            <w:tcW w:w="1878" w:type="dxa"/>
          </w:tcPr>
          <w:p w14:paraId="5095D3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М-11</w:t>
            </w:r>
          </w:p>
        </w:tc>
        <w:tc>
          <w:tcPr>
            <w:tcW w:w="1878" w:type="dxa"/>
          </w:tcPr>
          <w:p w14:paraId="1EEA2F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1190</w:t>
            </w:r>
          </w:p>
        </w:tc>
        <w:tc>
          <w:tcPr>
            <w:tcW w:w="1878" w:type="dxa"/>
          </w:tcPr>
          <w:p w14:paraId="19318E5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1525</w:t>
            </w:r>
          </w:p>
        </w:tc>
      </w:tr>
      <w:tr w:rsidR="00F26F01" w:rsidRPr="00C33834" w14:paraId="787EFD5A" w14:textId="77777777">
        <w:tc>
          <w:tcPr>
            <w:tcW w:w="1878" w:type="dxa"/>
          </w:tcPr>
          <w:p w14:paraId="036CEB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1878" w:type="dxa"/>
          </w:tcPr>
          <w:p w14:paraId="0486168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5710</w:t>
            </w:r>
          </w:p>
        </w:tc>
        <w:tc>
          <w:tcPr>
            <w:tcW w:w="1878" w:type="dxa"/>
          </w:tcPr>
          <w:p w14:paraId="271C01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7600</w:t>
            </w:r>
          </w:p>
        </w:tc>
      </w:tr>
    </w:tbl>
    <w:p w14:paraId="3ACA4FA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(2282,72).</w:t>
      </w:r>
    </w:p>
    <w:p w14:paraId="7E5E40C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0E842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ноября 1933 вышло постановление СТО "О производстве морской и истребительной авиации на заводе 125" (2290,64).</w:t>
      </w:r>
    </w:p>
    <w:p w14:paraId="6952B0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4558D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ноября 1933 года решением КО рассмотрение предложений по гидроавиации (предложения по постановке производства гидросамолетов МК и о развертывании производства всех гидросамолетов, были включены в повестку КО), было отложено и (4188).</w:t>
      </w:r>
    </w:p>
    <w:p w14:paraId="011021B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2E9E0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ноября 1933 года КО своим постановлением № 119/сс обязывает НКТяжпром в 1934 году поставить НКВМору 195 ТБ-3, из коих 95 под М-34 с редуктором (до постановки производства нагнетателей), а остальные 100 ТБ-3 и с редуктором и с нагнетателем (4267,15-17).</w:t>
      </w:r>
    </w:p>
    <w:p w14:paraId="414D5D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0062A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ноября 1933 г. вышло постановление Совета труда и обороны, в котором говорилось о 150 готовых моторах, 100 комплектах деталей и приобретении наиболее сложных в изготовлении деталей еще на 100 двигателей — все на общую сумму 4 350 000 рублей. В конце декабря 1933 г. первый «Циклон» отправили в СССР. Примерно в это же время конструкторы фирмы «Райт» подготовили чертежи метрического варианта мотора, построили опытный образец и в январе 1934 г. поставили его на стенд. В апреле он завершил 100-часовые испытания в США. Для освоения производства американских моторов выделили новый за</w:t>
      </w:r>
      <w:r w:rsidRPr="00C33834">
        <w:rPr>
          <w:rFonts w:ascii="Times New Roman" w:hAnsi="Times New Roman"/>
          <w:color w:val="000000" w:themeColor="text1"/>
          <w:sz w:val="16"/>
          <w:szCs w:val="16"/>
        </w:rPr>
        <w:softHyphen/>
        <w:t>вод № 19 в Перми. Постановление Совета труда и обороны от 15 декабря 1933 г. предписывало ему к концу 1934 г. собрать первые 50 моторов из покупных деталей. Но «Циклон» уже не являлся новинкой. Осознавая это, Совет труда и обороны в марте 1934 г. распорядился организовать на заводе конструкторский отдел, который занялся бы совершенствованием американского двигателя в отношении мощности, высотности, надежности и уменьшения расхода горючего и масла. Главным конструктором завода № 19 назначили А.Д. Швецова (11852).</w:t>
      </w:r>
    </w:p>
    <w:p w14:paraId="17903C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3685E1B" w14:textId="77777777" w:rsidR="0015074C" w:rsidRPr="00C33834" w:rsidRDefault="0015074C" w:rsidP="00C33834">
      <w:pPr>
        <w:spacing w:after="0" w:line="240" w:lineRule="auto"/>
        <w:jc w:val="both"/>
        <w:rPr>
          <w:rFonts w:ascii="Times New Roman" w:hAnsi="Times New Roman"/>
          <w:color w:val="000000" w:themeColor="text1"/>
          <w:sz w:val="16"/>
          <w:szCs w:val="16"/>
          <w:shd w:val="clear" w:color="auto" w:fill="FFFFFF"/>
        </w:rPr>
      </w:pPr>
      <w:r w:rsidRPr="00C33834">
        <w:rPr>
          <w:rFonts w:ascii="Times New Roman" w:hAnsi="Times New Roman"/>
          <w:color w:val="000000" w:themeColor="text1"/>
          <w:sz w:val="16"/>
          <w:szCs w:val="16"/>
        </w:rPr>
        <w:t>28 ноября 1933 г. в постановлении Совета труда и обороны от говорилось о закупке в США 150 готовых моторов, 100 комплектов деталей (метрических) и о приобретении наиболее сложных в изготовлении деталей еще на 100 двигателей всё на общую сумму 4350000 рублей. В конце декабря 1933 г. первый "Циклон" отправили в СССР. В январе 1934 г. фирма построила первый метрический мотор и установила его на стенд. В апреле он завершил 100-часовые испытания в США. По указанию Правительства в двух километрах от южной окраины г. Перми было начато строительство одного из самых мощных в те годы авиамоторных заводов №19. Завод получил самое совершенное и высокопроизводительное оборудование. Постановление Совета труда и обороны от 15 декабря 1933 г. предписывало предприятию к концу 1934 г. собрать первые 50 моторов из закупленных деталей. В марте 1934 г. на заводе был образован конструкторский отдел. Главным конструктором назначили А.Д. Швецова.</w:t>
      </w:r>
    </w:p>
    <w:p w14:paraId="25EEECA1" w14:textId="77777777" w:rsidR="0015074C" w:rsidRPr="00C33834" w:rsidRDefault="001507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Директором предприятия стал И.И. Побережский (19534).</w:t>
      </w:r>
    </w:p>
    <w:p w14:paraId="59F8A684" w14:textId="77777777" w:rsidR="0015074C" w:rsidRPr="00C33834" w:rsidRDefault="0015074C" w:rsidP="00C33834">
      <w:pPr>
        <w:spacing w:after="0" w:line="240" w:lineRule="auto"/>
        <w:jc w:val="both"/>
        <w:rPr>
          <w:rFonts w:ascii="Times New Roman" w:hAnsi="Times New Roman"/>
          <w:color w:val="000000" w:themeColor="text1"/>
          <w:sz w:val="16"/>
          <w:szCs w:val="16"/>
        </w:rPr>
      </w:pPr>
    </w:p>
    <w:p w14:paraId="3319017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ноября 1933 Совет труда и обороны предписал купить 30 готовых двигателей Испано, 50 в виде комплектов деталей и агрегатов и еще на 50 моторов приобрести наиболее сложные в произ</w:t>
      </w:r>
      <w:r w:rsidRPr="00C33834">
        <w:rPr>
          <w:rFonts w:ascii="Times New Roman" w:hAnsi="Times New Roman"/>
          <w:color w:val="000000" w:themeColor="text1"/>
          <w:sz w:val="16"/>
          <w:szCs w:val="16"/>
        </w:rPr>
        <w:softHyphen/>
        <w:t>водстве части. На все это выделили 1 млн 650 тыс. рублей. 15 декабря Комитет обороны потребовал ускорить переговоры, ссылаясь на срочную нужду в современных двигателях, особенно для истребителей. Во Францию командировали комиссию, председателем которой назначили В.Я. Климова. Члены комиссии изучили двигатель и потребовали от фирмы подтвердить заявленные характеристики длительными 100-часовыми испыта</w:t>
      </w:r>
      <w:r w:rsidRPr="00C33834">
        <w:rPr>
          <w:rFonts w:ascii="Times New Roman" w:hAnsi="Times New Roman"/>
          <w:color w:val="000000" w:themeColor="text1"/>
          <w:sz w:val="16"/>
          <w:szCs w:val="16"/>
        </w:rPr>
        <w:softHyphen/>
        <w:t>ниями. Представители «Испано-Сюизы» согласились на это неохотно. Они вы</w:t>
      </w:r>
      <w:r w:rsidRPr="00C33834">
        <w:rPr>
          <w:rFonts w:ascii="Times New Roman" w:hAnsi="Times New Roman"/>
          <w:color w:val="000000" w:themeColor="text1"/>
          <w:sz w:val="16"/>
          <w:szCs w:val="16"/>
        </w:rPr>
        <w:softHyphen/>
        <w:t>брали один двигатель типа 12УЬгз из партии в 20 моторов, изготовленных в соответствии с требованиями французских ВВС. Испытания начались в январе 1934 г. На 11-м часу у мотора разрушился по кривошипной шейке коленчатый вал. Затем встретились с возникновением трещин в рубашке блока. Фирма начала поспешно доводить двигатель. Ввели противовесы на щеках коленвала, усилили крышки шатунов, блоки и картер, увеличили диаметр вала редуктора. Часть этих усовершенствований была прорабо</w:t>
      </w:r>
      <w:r w:rsidRPr="00C33834">
        <w:rPr>
          <w:rFonts w:ascii="Times New Roman" w:hAnsi="Times New Roman"/>
          <w:color w:val="000000" w:themeColor="text1"/>
          <w:sz w:val="16"/>
          <w:szCs w:val="16"/>
        </w:rPr>
        <w:softHyphen/>
        <w:t>тана ранее применительно к образцам для лицензионного производства в Чехословакии. Вес при этом возрос до 475 кг. В таком виде двигатель вновь поставили на испытательный стенд. На этот раз они шли более удачно, хотя длительная работа на максимальной мощности неизбежно приводила к неполадкам. Испытания завершились в марте 1934 г. Из Москвы торопили с приобретением лицензии. Начальник УВВС коман</w:t>
      </w:r>
      <w:r w:rsidRPr="00C33834">
        <w:rPr>
          <w:rFonts w:ascii="Times New Roman" w:hAnsi="Times New Roman"/>
          <w:color w:val="000000" w:themeColor="text1"/>
          <w:sz w:val="16"/>
          <w:szCs w:val="16"/>
        </w:rPr>
        <w:softHyphen/>
        <w:t>дарм Я.И. Алкснис требовал заключить договор еще до окончания испытаний. 24 января 1934 г. оформили первый заказ на восемь стандартных моторов без внесения последних изменений. Два из них отгрузили из Франции 28 января, а еще шесть — 27 февраля. Из числа купленных шесть моторов были типа 12УЪг§ и два — 12Усгз (под 20-мм пушку Испано 89). В итоге входивший в комиссию военинженер М.А. Левин предложил взять мотор в первоначальном виде, но ограничить его мощность номи</w:t>
      </w:r>
      <w:r w:rsidRPr="00C33834">
        <w:rPr>
          <w:rFonts w:ascii="Times New Roman" w:hAnsi="Times New Roman"/>
          <w:color w:val="000000" w:themeColor="text1"/>
          <w:sz w:val="16"/>
          <w:szCs w:val="16"/>
        </w:rPr>
        <w:softHyphen/>
        <w:t>налом — 750 л.с. Даже при этом он превосходил по удельной мощности и высотным характеристикам все двигатели советского производства. По</w:t>
      </w:r>
      <w:r w:rsidRPr="00C33834">
        <w:rPr>
          <w:rFonts w:ascii="Times New Roman" w:hAnsi="Times New Roman"/>
          <w:color w:val="000000" w:themeColor="text1"/>
          <w:sz w:val="16"/>
          <w:szCs w:val="16"/>
        </w:rPr>
        <w:softHyphen/>
        <w:t>вторные испытания показали, что в этом случае ресурс «Испано-Сюизы» достаточно велик. 14 июня 1934 г. наконец-то подписали соглашение с фир</w:t>
      </w:r>
      <w:r w:rsidRPr="00C33834">
        <w:rPr>
          <w:rFonts w:ascii="Times New Roman" w:hAnsi="Times New Roman"/>
          <w:color w:val="000000" w:themeColor="text1"/>
          <w:sz w:val="16"/>
          <w:szCs w:val="16"/>
        </w:rPr>
        <w:softHyphen/>
        <w:t>мой о помощи в организации производства в СССР. Им предусматривалось, что она предоставит документацию, образцы двигателей, ознакомит совет</w:t>
      </w:r>
      <w:r w:rsidRPr="00C33834">
        <w:rPr>
          <w:rFonts w:ascii="Times New Roman" w:hAnsi="Times New Roman"/>
          <w:color w:val="000000" w:themeColor="text1"/>
          <w:sz w:val="16"/>
          <w:szCs w:val="16"/>
        </w:rPr>
        <w:softHyphen/>
        <w:t>ских специалистов с применяемой технологией. Срок договора заканчивался 26 марта 1938 г. До этого времени фирма должна была сообщать советской стороне обо всех изменениях, вносимых в серийные двигатели. Освоение производства французского мотора, получившего советское обозначение М-100, планировали сначала на заводе № 24 в Москве, а затем перенесли на завод № 26 в Рыбинске, где до этого изготовляли дви</w:t>
      </w:r>
      <w:r w:rsidRPr="00C33834">
        <w:rPr>
          <w:rFonts w:ascii="Times New Roman" w:hAnsi="Times New Roman"/>
          <w:color w:val="000000" w:themeColor="text1"/>
          <w:sz w:val="16"/>
          <w:szCs w:val="16"/>
        </w:rPr>
        <w:softHyphen/>
        <w:t>гатели М-17. По первоначальным планам завод № 26 должен был перей</w:t>
      </w:r>
      <w:r w:rsidRPr="00C33834">
        <w:rPr>
          <w:rFonts w:ascii="Times New Roman" w:hAnsi="Times New Roman"/>
          <w:color w:val="000000" w:themeColor="text1"/>
          <w:sz w:val="16"/>
          <w:szCs w:val="16"/>
        </w:rPr>
        <w:softHyphen/>
        <w:t xml:space="preserve">ти на выпуск двигателей У-1800 «Конкверор» по лицензии «Кэртис-Райт корпорейшн». Для этого в США специально подготовили документацию и опытные образцы моторов в метрической системе. Технология специально разрабатывалась под оборудование завода в Рыбинске. Но о «Конквероре» приказано было забыть. </w:t>
      </w:r>
      <w:r w:rsidRPr="00C33834">
        <w:rPr>
          <w:rFonts w:ascii="Times New Roman" w:hAnsi="Times New Roman"/>
          <w:color w:val="000000" w:themeColor="text1"/>
          <w:sz w:val="16"/>
          <w:szCs w:val="16"/>
        </w:rPr>
        <w:lastRenderedPageBreak/>
        <w:t>Постановлением Совета труда и обороны предписывалось уже до конца 1934 г. собрать 15 моторов из французских деталей, в следующем году выпустить не менее 600 двигателей. Оно же требовало создания кон</w:t>
      </w:r>
      <w:r w:rsidRPr="00C33834">
        <w:rPr>
          <w:rFonts w:ascii="Times New Roman" w:hAnsi="Times New Roman"/>
          <w:color w:val="000000" w:themeColor="text1"/>
          <w:sz w:val="16"/>
          <w:szCs w:val="16"/>
        </w:rPr>
        <w:softHyphen/>
        <w:t>структорского отдела, который занялся бы совершенствованием «Испано-Сюизы» в плане повышения мощности, высотности, надежности и умень</w:t>
      </w:r>
      <w:r w:rsidRPr="00C33834">
        <w:rPr>
          <w:rFonts w:ascii="Times New Roman" w:hAnsi="Times New Roman"/>
          <w:color w:val="000000" w:themeColor="text1"/>
          <w:sz w:val="16"/>
          <w:szCs w:val="16"/>
        </w:rPr>
        <w:softHyphen/>
        <w:t>шения расхода горючего и масла. В июле 1934 г. конструкторский отдел завода № 26 был создан. Главным конструктором назначили Климова. До</w:t>
      </w:r>
      <w:r w:rsidRPr="00C33834">
        <w:rPr>
          <w:rFonts w:ascii="Times New Roman" w:hAnsi="Times New Roman"/>
          <w:color w:val="000000" w:themeColor="text1"/>
          <w:sz w:val="16"/>
          <w:szCs w:val="16"/>
        </w:rPr>
        <w:softHyphen/>
        <w:t>кументация от фирмы поступила с опозданием против сроков договора, что вызвало задержку с началом производства. Советское торгпредство взыскало с фирмы «Испано-Сюиза» неустойку — 2 600 000 франков. Под руководством Климова документацию переделали под советские стандарты, подобрали отечественные аналоги применявшихся французской фирмой материалов. В 1935 г. из цехов завода в Рыбинске вышли первые М-100, аналогичные французской модификации 12УЬг§. М-100 устанавливались на знаменитый бомбардировщик СБ, созданный под руководством А.Н. Туполева. Их выпускали в больших количествах, поставляли на экспорт в Китай и Испанию. В боевых операциях М-100 доказал свою надежность. Однако ранние моторы советского производ</w:t>
      </w:r>
      <w:r w:rsidRPr="00C33834">
        <w:rPr>
          <w:rFonts w:ascii="Times New Roman" w:hAnsi="Times New Roman"/>
          <w:color w:val="000000" w:themeColor="text1"/>
          <w:sz w:val="16"/>
          <w:szCs w:val="16"/>
        </w:rPr>
        <w:softHyphen/>
        <w:t>ства оказались тяжелее французских и развивали меньшую мощность. Но М-100 оказался неплохо приспособлен к дальнейшему совершенство</w:t>
      </w:r>
      <w:r w:rsidRPr="00C33834">
        <w:rPr>
          <w:rFonts w:ascii="Times New Roman" w:hAnsi="Times New Roman"/>
          <w:color w:val="000000" w:themeColor="text1"/>
          <w:sz w:val="16"/>
          <w:szCs w:val="16"/>
        </w:rPr>
        <w:softHyphen/>
        <w:t>ванию. В итоге этот двигатель стал родоначальником большого семейства советских поршневых авиамоторов, спроектированных под руководством Климова. Все они сохраняли характерные размеры и те или иные конструктивные черты «Испано-Сюизы». Сначала Кли</w:t>
      </w:r>
      <w:r w:rsidRPr="00C33834">
        <w:rPr>
          <w:rFonts w:ascii="Times New Roman" w:hAnsi="Times New Roman"/>
          <w:color w:val="000000" w:themeColor="text1"/>
          <w:sz w:val="16"/>
          <w:szCs w:val="16"/>
        </w:rPr>
        <w:softHyphen/>
        <w:t>мов лишь незначительно усовершенство</w:t>
      </w:r>
      <w:r w:rsidRPr="00C33834">
        <w:rPr>
          <w:rFonts w:ascii="Times New Roman" w:hAnsi="Times New Roman"/>
          <w:color w:val="000000" w:themeColor="text1"/>
          <w:sz w:val="16"/>
          <w:szCs w:val="16"/>
        </w:rPr>
        <w:softHyphen/>
        <w:t>вал французский оригинал. Появились модификации М-100А и М-100АУ. Затем конструкция двигателя начала меняться более существенно. Эволюция потомков «Испано-Сюизы» не была прямолиней</w:t>
      </w:r>
      <w:r w:rsidRPr="00C33834">
        <w:rPr>
          <w:rFonts w:ascii="Times New Roman" w:hAnsi="Times New Roman"/>
          <w:color w:val="000000" w:themeColor="text1"/>
          <w:sz w:val="16"/>
          <w:szCs w:val="16"/>
        </w:rPr>
        <w:softHyphen/>
        <w:t>ной. В ней появлялись и тупиковые вет</w:t>
      </w:r>
      <w:r w:rsidRPr="00C33834">
        <w:rPr>
          <w:rFonts w:ascii="Times New Roman" w:hAnsi="Times New Roman"/>
          <w:color w:val="000000" w:themeColor="text1"/>
          <w:sz w:val="16"/>
          <w:szCs w:val="16"/>
        </w:rPr>
        <w:softHyphen/>
        <w:t>ви, не приведшие к внедрению отдель</w:t>
      </w:r>
      <w:r w:rsidRPr="00C33834">
        <w:rPr>
          <w:rFonts w:ascii="Times New Roman" w:hAnsi="Times New Roman"/>
          <w:color w:val="000000" w:themeColor="text1"/>
          <w:sz w:val="16"/>
          <w:szCs w:val="16"/>
        </w:rPr>
        <w:softHyphen/>
        <w:t>ных типов в серию. Первым удачным мотором, созданным Климовым на базе «Испано-Сюизы», стал М-103, давший прирост мощности более 100 л.с. Даль</w:t>
      </w:r>
      <w:r w:rsidRPr="00C33834">
        <w:rPr>
          <w:rFonts w:ascii="Times New Roman" w:hAnsi="Times New Roman"/>
          <w:color w:val="000000" w:themeColor="text1"/>
          <w:sz w:val="16"/>
          <w:szCs w:val="16"/>
        </w:rPr>
        <w:softHyphen/>
        <w:t>нейшим развитием М-103 был М-104. Цифровые обозначения всех моторов этого семейства начинались с «100». В начале Второй мировой войны кон</w:t>
      </w:r>
      <w:r w:rsidRPr="00C33834">
        <w:rPr>
          <w:rFonts w:ascii="Times New Roman" w:hAnsi="Times New Roman"/>
          <w:color w:val="000000" w:themeColor="text1"/>
          <w:sz w:val="16"/>
          <w:szCs w:val="16"/>
        </w:rPr>
        <w:softHyphen/>
        <w:t>структорское бюро вело разработку двух перспективных двигателей — М-105 и М-106, Второй из них доводился очень Долго и был выпущен лишь небольшой начала проектирования. М-105 же стал самым массовым двигателем совет</w:t>
      </w:r>
      <w:r w:rsidRPr="00C33834">
        <w:rPr>
          <w:rFonts w:ascii="Times New Roman" w:hAnsi="Times New Roman"/>
          <w:color w:val="000000" w:themeColor="text1"/>
          <w:sz w:val="16"/>
          <w:szCs w:val="16"/>
        </w:rPr>
        <w:softHyphen/>
        <w:t>ских ВВС периода войны. Он выпускался четырьмя заводами до 1947 г. и неоднократно модернизировался. В последней модификации, М-105ПФ-2 взлетную мощность довели до 1290 л.с. Моторы Климова стояли на самых массовых в годы войны истребителях А.С. Яковлева (Як-1, Як-3, Як-7 и Як-9),^ истребителях ЛаГГ-3, пикирующих бомбардировщиках Пе-2. В кон</w:t>
      </w:r>
      <w:r w:rsidRPr="00C33834">
        <w:rPr>
          <w:rFonts w:ascii="Times New Roman" w:hAnsi="Times New Roman"/>
          <w:color w:val="000000" w:themeColor="text1"/>
          <w:sz w:val="16"/>
          <w:szCs w:val="16"/>
        </w:rPr>
        <w:softHyphen/>
        <w:t>це войны и в послевоенные годы эти двигатели поставлялись в Польшу, Чехословакию, Болгарию, Югославию, Китай и Северную Корею. В ознаменование заслуг Климова в марте 1944 г. его включили в круг конструкторов-моторостроителей, получивших право обозначать свои тво</w:t>
      </w:r>
      <w:r w:rsidRPr="00C33834">
        <w:rPr>
          <w:rFonts w:ascii="Times New Roman" w:hAnsi="Times New Roman"/>
          <w:color w:val="000000" w:themeColor="text1"/>
          <w:sz w:val="16"/>
          <w:szCs w:val="16"/>
        </w:rPr>
        <w:softHyphen/>
        <w:t>рения личными инициалами. Теперь наименования моторов этого кон</w:t>
      </w:r>
      <w:r w:rsidRPr="00C33834">
        <w:rPr>
          <w:rFonts w:ascii="Times New Roman" w:hAnsi="Times New Roman"/>
          <w:color w:val="000000" w:themeColor="text1"/>
          <w:sz w:val="16"/>
          <w:szCs w:val="16"/>
        </w:rPr>
        <w:softHyphen/>
        <w:t>структора начинались с букв «ВК» — «Владимир Климов». После этого М-105 превратился в ВК-105. Все последующие двигатели Климова так</w:t>
      </w:r>
      <w:r w:rsidRPr="00C33834">
        <w:rPr>
          <w:rFonts w:ascii="Times New Roman" w:hAnsi="Times New Roman"/>
          <w:color w:val="000000" w:themeColor="text1"/>
          <w:sz w:val="16"/>
          <w:szCs w:val="16"/>
        </w:rPr>
        <w:softHyphen/>
        <w:t>же получили подобные обозначения. Более ранние конструкции (М-103. М-104), к тому времени еще эксплуатировавшиеся в военной и граждан</w:t>
      </w:r>
      <w:r w:rsidRPr="00C33834">
        <w:rPr>
          <w:rFonts w:ascii="Times New Roman" w:hAnsi="Times New Roman"/>
          <w:color w:val="000000" w:themeColor="text1"/>
          <w:sz w:val="16"/>
          <w:szCs w:val="16"/>
        </w:rPr>
        <w:softHyphen/>
        <w:t>ской авиации, сохранили старые наименования. Более поздние поршневые двигатели Климова, ВК-107, ВК-108 и ВК-109, уже не стали столь массовыми, хотя М-107 выпускался в до</w:t>
      </w:r>
      <w:r w:rsidRPr="00C33834">
        <w:rPr>
          <w:rFonts w:ascii="Times New Roman" w:hAnsi="Times New Roman"/>
          <w:color w:val="000000" w:themeColor="text1"/>
          <w:sz w:val="16"/>
          <w:szCs w:val="16"/>
        </w:rPr>
        <w:softHyphen/>
        <w:t>вольно больших количествах и устанавливался на серийных истребителях Як-3 и Як-9. Оснащенные им самолеты участвовали в боевых операциях в конце Великой Отечественной войны и сохранялись на вооружении до начала 50-х годов. Они также поставлялись на экспорт и применялись в войне в Корее (11852).</w:t>
      </w:r>
    </w:p>
    <w:p w14:paraId="615A71E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D05074"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ноября 1933 г. в постановлении СТО от говорится о 150 двигателях, 100 полных комплектах и деталях ещё на 100 моторов Райт Р-1820 «Циклон» (12261).</w:t>
      </w:r>
    </w:p>
    <w:p w14:paraId="03AB726C" w14:textId="77777777" w:rsidR="00BA29CE" w:rsidRPr="00C33834" w:rsidRDefault="00BA29CE" w:rsidP="00C33834">
      <w:pPr>
        <w:spacing w:after="0" w:line="240" w:lineRule="auto"/>
        <w:jc w:val="both"/>
        <w:rPr>
          <w:rFonts w:ascii="Times New Roman" w:hAnsi="Times New Roman"/>
          <w:color w:val="000000" w:themeColor="text1"/>
          <w:sz w:val="16"/>
          <w:szCs w:val="16"/>
        </w:rPr>
      </w:pPr>
    </w:p>
    <w:p w14:paraId="63514B82" w14:textId="77777777" w:rsidR="004345CC" w:rsidRPr="00C33834" w:rsidRDefault="004345C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28 ноября 1933 г. </w:t>
      </w:r>
      <w:r w:rsidRPr="00C33834">
        <w:rPr>
          <w:rStyle w:val="a7"/>
          <w:rFonts w:ascii="Times New Roman" w:hAnsi="Times New Roman"/>
          <w:b w:val="0"/>
          <w:bCs w:val="0"/>
          <w:color w:val="000000" w:themeColor="text1"/>
          <w:sz w:val="16"/>
          <w:szCs w:val="16"/>
        </w:rPr>
        <w:t>Приказ Наркомтяжпрома № 1011 об освоении производства полуосей и осевых труб для авиационной промышленности из мартеновской хромомолибденосой стали</w:t>
      </w:r>
    </w:p>
    <w:p w14:paraId="40CAB5DC"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Осевые трубы к легким самолетам и гнутые полуоси к тяжелым изготовлялись из хромоникелевой стали исключительно в Швеции, которая по очень высокой цене поставляла их нам.</w:t>
      </w:r>
    </w:p>
    <w:p w14:paraId="3BAF8786"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настоянию авиационной промышленности завод им. Ленина совместно с заводом им. К. Либкнехта в 1932 г. приступили к освоению производства полуосей и осевых труб из мартеновской хромомолибденовой стали.</w:t>
      </w:r>
    </w:p>
    <w:p w14:paraId="57EEE7E9"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Особую сложность и трудность освоения представляло производство полуосей для тяжелых самолетов. В связи с использованием к концу первого полугодия 1933 г. запаса импортных полуосей коллегией НКТП было твердо предложено тресту «Трубосталь» и заводам им. Ленина и им. К. Либкнехта начать поставку ГУАПу полуосей с июля с.г.</w:t>
      </w:r>
    </w:p>
    <w:p w14:paraId="0343B362"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 непосредственным руководством треста «Трубосталь» (тов. Рогачевского) и завода им. Ленина (тов. Майстренко), большевистской настойчивостью заводских парторганизаций и усилиями инженерно-технических работников завода им. Ленина и Глававиапрома с привлечением работников завода им. К. Либкнехта трудности освоения производства полуосей были преодолены, и заводом им. Ленина два месяца производится регулярная поставка их авиапромышленности.</w:t>
      </w:r>
    </w:p>
    <w:p w14:paraId="574572FE"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Также обеспечена дальнейшая поставка ежемесячно по 120 штук полуосей.</w:t>
      </w:r>
    </w:p>
    <w:p w14:paraId="1E59638D"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Отмечая достигнутые успехи в деле освобождения от импорта (в абсолютной сумме за 1933 и 1934 гг. на 1 млн. руб.) и поднятия обороноспособности нашей страны, объявляю благодарность и приказываю премировать нижеследующих работников:</w:t>
      </w:r>
    </w:p>
    <w:p w14:paraId="664CEA91"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управляющего трестом «Трубосталь» тов. Рогачевского</w:t>
      </w:r>
    </w:p>
    <w:p w14:paraId="2FCFAE6B"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директора завода им. Ленина тов. Майстренко</w:t>
      </w:r>
    </w:p>
    <w:p w14:paraId="4D630E5F"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инженера завода им. Ленина тов. Кожевникова</w:t>
      </w:r>
    </w:p>
    <w:p w14:paraId="6C2B21A2"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инженера завода им. Ленина тов. Колповского</w:t>
      </w:r>
    </w:p>
    <w:p w14:paraId="4DB63CDC"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инженера завода им. Ленина тов. Курицкого</w:t>
      </w:r>
    </w:p>
    <w:p w14:paraId="6349AB3F"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инженера завода им. Ленина тов. Трубченко</w:t>
      </w:r>
    </w:p>
    <w:p w14:paraId="1C3B7C3C"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инженера завода им. К. Либкнехта тов. Киреева</w:t>
      </w:r>
    </w:p>
    <w:p w14:paraId="3119D64D"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начальника группы черных металлов ГУАП тов. Ивахненко</w:t>
      </w:r>
    </w:p>
    <w:p w14:paraId="473F0CE8"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инспектора военной инспекции обл. НК РКИ тов. Васивелицкого</w:t>
      </w:r>
    </w:p>
    <w:p w14:paraId="58DEFE51"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инспектора Южного района техприемки тов. Шпинева</w:t>
      </w:r>
    </w:p>
    <w:p w14:paraId="7DCF41B0"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Также премировать остальных работников, принимающих участие в изготовлении полуосей по заводам и ГУАП.</w:t>
      </w:r>
    </w:p>
    <w:p w14:paraId="1317FC18"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Народный комиссар тяжелой промышленности</w:t>
      </w:r>
    </w:p>
    <w:p w14:paraId="1A2EE1A3"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Орджоникидзе</w:t>
      </w:r>
    </w:p>
    <w:p w14:paraId="1392F78B" w14:textId="77777777" w:rsidR="00BA29CE" w:rsidRPr="00C33834" w:rsidRDefault="00BA29CE"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ЦГАНХ СССР, ф. 7297, on. 1, д. 23, лл. 34-35. Ротат. экз. (12356).</w:t>
      </w:r>
    </w:p>
    <w:p w14:paraId="082F545C" w14:textId="77777777" w:rsidR="004345CC" w:rsidRPr="00C33834" w:rsidRDefault="004345CC" w:rsidP="00C33834">
      <w:pPr>
        <w:autoSpaceDE w:val="0"/>
        <w:autoSpaceDN w:val="0"/>
        <w:adjustRightInd w:val="0"/>
        <w:spacing w:after="0" w:line="240" w:lineRule="auto"/>
        <w:jc w:val="both"/>
        <w:rPr>
          <w:rFonts w:ascii="Times New Roman" w:hAnsi="Times New Roman"/>
          <w:color w:val="000000" w:themeColor="text1"/>
          <w:sz w:val="16"/>
          <w:szCs w:val="16"/>
        </w:rPr>
      </w:pPr>
    </w:p>
    <w:p w14:paraId="1AC3FE21" w14:textId="77777777" w:rsidR="004345CC" w:rsidRPr="00C33834" w:rsidRDefault="004345C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ноября 1933 г. вышел Приказ Наркомтяжпрома № 1011 об освоении производства полуосей и осевых труб для авиационной промышленности из мартеновской хромомолибденосой стали.</w:t>
      </w:r>
    </w:p>
    <w:p w14:paraId="6BF8EE02" w14:textId="77777777" w:rsidR="004345CC" w:rsidRPr="00C33834" w:rsidRDefault="004345C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Осевые трубы к легким самолетам и гнутые полуоси к тяжелым изготовлялись из хромоникелевой стали исключительно в Швеции, которая по очень высокой цене поставляла их нам. </w:t>
      </w:r>
    </w:p>
    <w:p w14:paraId="47CFC181" w14:textId="77777777" w:rsidR="004345CC" w:rsidRPr="00C33834" w:rsidRDefault="004345C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 настоянию авиационной промышленности завод им. Ленина совместно с заводом им. К. Либкнехта в 1932 г. приступили к освоению производства полуосей и осевых труб из мартеновской хромомолибденовой стали. </w:t>
      </w:r>
    </w:p>
    <w:p w14:paraId="083F5898" w14:textId="77777777" w:rsidR="004345CC" w:rsidRPr="00C33834" w:rsidRDefault="004345C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Особую сложность и трудность освоения представляло производство полуосей для тяжелых самолетов. В связи с использованием к концу первого полугодия 1933 г. запаса импортных полуосей коллегией НКТП было твердо предложено тресту «Трубосталь» и заводам им. Ленина и им. К. Либкнехта начать поставку ГУАПу полуосей с июля с.г. </w:t>
      </w:r>
    </w:p>
    <w:p w14:paraId="013673D3" w14:textId="77777777" w:rsidR="004345CC" w:rsidRPr="00C33834" w:rsidRDefault="004345C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Под непосредственным руководством треста «Трубосталь» (тов. Рогачевского) и завода им. Ленина (тов. Майстренко), большевистской настойчивостью заводских парторганизаций и усилиями инженерно-технических работников завода им. Ленина и Глававиапрома с привлечением работников завода им. К. Либкнехта трудности освоения производства полуосей были преодолены, и заводом им. Ленина два месяца производится регулярная поставка их авиапромышленности. </w:t>
      </w:r>
    </w:p>
    <w:p w14:paraId="21060666" w14:textId="77777777" w:rsidR="004345CC" w:rsidRPr="00C33834" w:rsidRDefault="004345C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Также обеспечена дальнейшая поставка ежемесячно по 120 штук полуосей. </w:t>
      </w:r>
    </w:p>
    <w:p w14:paraId="7F3038FD" w14:textId="77777777" w:rsidR="004345CC" w:rsidRPr="00C33834" w:rsidRDefault="004345C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Отмечая достигнутые успехи в деле освобождения от импорта (в абсолютной сумме за 1933 и 1934 гг. на 1 млн. руб.) и поднятия обороноспособности нашей страны, объявляю благодарность и приказываю премировать нижеследующих работников: </w:t>
      </w:r>
    </w:p>
    <w:p w14:paraId="7807479E" w14:textId="77777777" w:rsidR="004345CC" w:rsidRPr="00C33834" w:rsidRDefault="004345C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управляющего трестом «Трубосталь» тов. Рогачевского </w:t>
      </w:r>
    </w:p>
    <w:p w14:paraId="4A536AD0" w14:textId="77777777" w:rsidR="004345CC" w:rsidRPr="00C33834" w:rsidRDefault="004345C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директора завода им. Ленина тов. Майстренко </w:t>
      </w:r>
    </w:p>
    <w:p w14:paraId="7D35957C" w14:textId="77777777" w:rsidR="004345CC" w:rsidRPr="00C33834" w:rsidRDefault="004345C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 инженера завода им. Ленина тов. Кожевникова </w:t>
      </w:r>
    </w:p>
    <w:p w14:paraId="0BB4B3C8" w14:textId="77777777" w:rsidR="004345CC" w:rsidRPr="00C33834" w:rsidRDefault="004345C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4) инженера завода им. Ленина тов. Колповского </w:t>
      </w:r>
    </w:p>
    <w:p w14:paraId="2E61AB57" w14:textId="77777777" w:rsidR="004345CC" w:rsidRPr="00C33834" w:rsidRDefault="004345C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5) инженера завода им. Ленина тов. Курицкого </w:t>
      </w:r>
    </w:p>
    <w:p w14:paraId="73F6FE78" w14:textId="77777777" w:rsidR="004345CC" w:rsidRPr="00C33834" w:rsidRDefault="004345C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6) инженера завода им. Ленина тов. Трубченко </w:t>
      </w:r>
    </w:p>
    <w:p w14:paraId="658D47F0" w14:textId="77777777" w:rsidR="004345CC" w:rsidRPr="00C33834" w:rsidRDefault="004345C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7) инженера завода им. К. Либкнехта тов. Киреева </w:t>
      </w:r>
    </w:p>
    <w:p w14:paraId="780DB640" w14:textId="77777777" w:rsidR="004345CC" w:rsidRPr="00C33834" w:rsidRDefault="004345C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8) начальника группы черных металлов ГУАП тов. Ивахненко </w:t>
      </w:r>
    </w:p>
    <w:p w14:paraId="41159CF3" w14:textId="77777777" w:rsidR="004345CC" w:rsidRPr="00C33834" w:rsidRDefault="004345C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9) инспектора военной инспекции обл. НК РКИ тов. Васивелицкого </w:t>
      </w:r>
    </w:p>
    <w:p w14:paraId="7532FF19" w14:textId="77777777" w:rsidR="004345CC" w:rsidRPr="00C33834" w:rsidRDefault="004345C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10) инспектора Южного района техприемки тов. Шпинева </w:t>
      </w:r>
    </w:p>
    <w:p w14:paraId="407166B5" w14:textId="77777777" w:rsidR="004345CC" w:rsidRPr="00C33834" w:rsidRDefault="004345C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Также премировать остальных работников, принимающих участие в изготовлении полуосей по заводам и ГУАП. </w:t>
      </w:r>
    </w:p>
    <w:p w14:paraId="597DF4B6" w14:textId="77777777" w:rsidR="004345CC" w:rsidRPr="00C33834" w:rsidRDefault="004345C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Народный комиссар тяжелой промышленности </w:t>
      </w:r>
    </w:p>
    <w:p w14:paraId="5021C47B" w14:textId="77777777" w:rsidR="004345CC" w:rsidRPr="00C33834" w:rsidRDefault="004345C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xml:space="preserve">С. Орджоникидзе </w:t>
      </w:r>
    </w:p>
    <w:p w14:paraId="3A7B7EC5" w14:textId="77777777" w:rsidR="004345CC" w:rsidRPr="00C33834" w:rsidRDefault="004345CC"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ЦГАНХ СССР, ф. 7297, on. 1, д. 23, лл. 34—35. Ротат. экз. (12053).</w:t>
      </w:r>
    </w:p>
    <w:p w14:paraId="2EBB2E79" w14:textId="77777777" w:rsidR="004345CC" w:rsidRPr="00C33834" w:rsidRDefault="004345CC" w:rsidP="00C33834">
      <w:pPr>
        <w:autoSpaceDE w:val="0"/>
        <w:autoSpaceDN w:val="0"/>
        <w:adjustRightInd w:val="0"/>
        <w:spacing w:after="0" w:line="240" w:lineRule="auto"/>
        <w:jc w:val="both"/>
        <w:rPr>
          <w:rFonts w:ascii="Times New Roman" w:hAnsi="Times New Roman"/>
          <w:color w:val="000000" w:themeColor="text1"/>
          <w:sz w:val="16"/>
          <w:szCs w:val="16"/>
        </w:rPr>
      </w:pPr>
    </w:p>
    <w:p w14:paraId="5DF2A8CE" w14:textId="77777777" w:rsidR="0015074C" w:rsidRPr="00C33834" w:rsidRDefault="001507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ноября 1933 г. вышел Приказ Наркомтяжпрома № 1011 об освоении производства полуосей и осевых труб для авиационной промышленности из мартеновской хромомолибденосой стали Осевые трубы к легким самолетам и гнутые полуоси к тяжелым изготовлялись из хромоникелевой стали исключительно в Швеции, которая по очень высокой цене поставляла их нам. По настоянию авиационной промышленности завод им. Ленина совместно с заводом им. К. Либкнехта в 1932 г. приступили к освоению производства полуосей и осевых труб из мартеновской хромомолибденовой стали. Особую сложность и трудность освоения представляло производство полуосей для тяжелых самолетов. В связи с использованием к концу первого полугодия 1933 г. запаса импортных полуосей коллегией НКТП было твердо предложено тресту «Трубосталь» и заводам им. Ленина и им. К. Либкнехта начать поставку ГУАПу полуосей с июля с.г. Под непосредственным руководством треста «Трубосталь» (тов. Рогачевского) и завода им. Ленина (тов. Майстренко), большевистской настойчивостью заводских парторганизаций и усилиями инженерно-технических работников завода им. Ленина и Глававиапрома с привлечением работников завода им. К. Либкнехта трудности освоения производства полуосей были преодолены, и заводом им. Ленина два месяца производится регулярная поставка их авиапромышленности. Также обеспечена дальнейшая поставка ежемесячно по 120 штук полуосей.</w:t>
      </w:r>
    </w:p>
    <w:p w14:paraId="4142C04D" w14:textId="77777777" w:rsidR="0015074C" w:rsidRPr="00C33834" w:rsidRDefault="001507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w:t>
      </w:r>
    </w:p>
    <w:p w14:paraId="38D81F2B" w14:textId="77777777" w:rsidR="0015074C" w:rsidRPr="00C33834" w:rsidRDefault="001507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Отмечая достигнутые успехи в деле освобождения от импорта (в абсолютной сумме за 1933 и 1934 гг. на 1 млн. руб.) и поднятия обороноспособности нашей страны, объявляю благодарность и приказываю премировать нижеследующих работников: 1) управляющего трестом «Трубосталь» тов. Рогачевского 2) директора завода им. Ленина тов. Майстренко 3) инженера завода им. Ленина тов. Кожевникова 4) инженера завода им. Ленина тов. Колповского 5) инженера завода им. Ленина тов. Курицкого 6) инженера завода им. Ленина тов. Трубченко 7) инженера завода им. К. Либкнехта тов. Киреева 8) начальника группы черных металлов ГУАП тов. Ивахненко 9) инспектора военной инспекции обл. НК РКИ тов. Васивелицкого 10) инспектора Южного района техприемки тов. Шпинева Также премировать остальных работников, принимающих участие в изготовлении полуосей по заводам и ГУАП. Народный комиссар тяжелой промышленности С. Орджоникидзе ЦГАНХ СССР, ф. 7297, on. 1, д. 23, лл. 34—35. Ротат. экз. (18300).</w:t>
      </w:r>
    </w:p>
    <w:p w14:paraId="56307C40" w14:textId="77777777" w:rsidR="0015074C" w:rsidRPr="00C33834" w:rsidRDefault="0015074C" w:rsidP="00C33834">
      <w:pPr>
        <w:spacing w:after="0" w:line="240" w:lineRule="auto"/>
        <w:jc w:val="both"/>
        <w:rPr>
          <w:rFonts w:ascii="Times New Roman" w:hAnsi="Times New Roman"/>
          <w:color w:val="000000" w:themeColor="text1"/>
          <w:sz w:val="16"/>
          <w:szCs w:val="16"/>
        </w:rPr>
      </w:pPr>
    </w:p>
    <w:p w14:paraId="1D1B95F8"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6550217"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63E12A2" w14:textId="77777777" w:rsidR="0015074C" w:rsidRPr="00C33834" w:rsidRDefault="001507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ноября 1933</w:t>
      </w:r>
    </w:p>
    <w:p w14:paraId="565DA85E" w14:textId="77777777" w:rsidR="0015074C" w:rsidRPr="00C33834" w:rsidRDefault="0015074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 СТО № 117сс «Об организации приемки военной продукции» от 28.11.1933 (18627).</w:t>
      </w:r>
    </w:p>
    <w:p w14:paraId="6210FDFB" w14:textId="77777777" w:rsidR="0015074C" w:rsidRPr="00C33834" w:rsidRDefault="0015074C" w:rsidP="00C33834">
      <w:pPr>
        <w:spacing w:after="0" w:line="240" w:lineRule="auto"/>
        <w:jc w:val="both"/>
        <w:rPr>
          <w:rFonts w:ascii="Times New Roman" w:hAnsi="Times New Roman"/>
          <w:color w:val="000000" w:themeColor="text1"/>
          <w:sz w:val="16"/>
          <w:szCs w:val="16"/>
        </w:rPr>
      </w:pPr>
    </w:p>
    <w:p w14:paraId="40EC6C3C" w14:textId="77777777" w:rsidR="004345CC" w:rsidRPr="00C33834" w:rsidRDefault="004345CC" w:rsidP="00C33834">
      <w:pPr>
        <w:pStyle w:val="rtejustify"/>
        <w:spacing w:before="0" w:after="0"/>
        <w:rPr>
          <w:color w:val="000000" w:themeColor="text1"/>
          <w:sz w:val="16"/>
          <w:szCs w:val="16"/>
        </w:rPr>
      </w:pPr>
      <w:r w:rsidRPr="00C33834">
        <w:rPr>
          <w:rStyle w:val="af0"/>
          <w:bCs/>
          <w:i w:val="0"/>
          <w:color w:val="000000" w:themeColor="text1"/>
          <w:sz w:val="16"/>
          <w:szCs w:val="16"/>
        </w:rPr>
        <w:t>28 ноября</w:t>
      </w:r>
      <w:r w:rsidRPr="00C33834">
        <w:rPr>
          <w:color w:val="000000" w:themeColor="text1"/>
          <w:sz w:val="16"/>
          <w:szCs w:val="16"/>
        </w:rPr>
        <w:t xml:space="preserve"> 1933. Постановление СТО СССР № 120сс/о «О строительстве новых пороховых заводов». (ГА РФ. Ф. Р</w:t>
      </w:r>
      <w:r w:rsidRPr="00C33834">
        <w:rPr>
          <w:color w:val="000000" w:themeColor="text1"/>
          <w:sz w:val="16"/>
          <w:szCs w:val="16"/>
        </w:rPr>
        <w:noBreakHyphen/>
        <w:t>8418. Оп. 28. Д. 3. Л. 83</w:t>
      </w:r>
      <w:r w:rsidRPr="00C33834">
        <w:rPr>
          <w:color w:val="000000" w:themeColor="text1"/>
          <w:sz w:val="16"/>
          <w:szCs w:val="16"/>
        </w:rPr>
        <w:noBreakHyphen/>
        <w:t>84) (15460).</w:t>
      </w:r>
    </w:p>
    <w:p w14:paraId="490122C5" w14:textId="77777777" w:rsidR="004345CC" w:rsidRPr="00C33834" w:rsidRDefault="004345CC" w:rsidP="00C33834">
      <w:pPr>
        <w:pStyle w:val="rtejustify"/>
        <w:spacing w:before="0" w:after="0"/>
        <w:rPr>
          <w:color w:val="000000" w:themeColor="text1"/>
          <w:sz w:val="16"/>
          <w:szCs w:val="16"/>
        </w:rPr>
      </w:pPr>
    </w:p>
    <w:p w14:paraId="4B9FCBC3" w14:textId="77777777" w:rsidR="004345CC" w:rsidRPr="00C33834" w:rsidRDefault="004345CC" w:rsidP="00C33834">
      <w:pPr>
        <w:spacing w:after="0" w:line="240" w:lineRule="auto"/>
        <w:jc w:val="both"/>
        <w:rPr>
          <w:rFonts w:ascii="Times New Roman" w:hAnsi="Times New Roman"/>
          <w:color w:val="000000" w:themeColor="text1"/>
          <w:sz w:val="16"/>
          <w:szCs w:val="16"/>
        </w:rPr>
      </w:pPr>
      <w:r w:rsidRPr="00C33834">
        <w:rPr>
          <w:rStyle w:val="ucoz-forum-post"/>
          <w:rFonts w:ascii="Times New Roman" w:hAnsi="Times New Roman"/>
          <w:bCs/>
          <w:color w:val="000000" w:themeColor="text1"/>
          <w:sz w:val="16"/>
          <w:szCs w:val="16"/>
        </w:rPr>
        <w:t xml:space="preserve">28 ноября </w:t>
      </w:r>
      <w:r w:rsidRPr="00C33834">
        <w:rPr>
          <w:rFonts w:ascii="Times New Roman" w:hAnsi="Times New Roman"/>
          <w:color w:val="000000" w:themeColor="text1"/>
          <w:sz w:val="16"/>
          <w:szCs w:val="16"/>
        </w:rPr>
        <w:t>в 1933 году образовано ФГУП "Каменский химический комбинат" - крупнейшее предприятие на юге России по выпуску химической продукции, товаров бытовой химии, плёночных поливинилхлоридных покрытий. Первую продукцию комбинат выпустил в 1936 году и сегодня она широко известна в России и за её пределами. В те трудные, напряжённые годы первых пятилеток комбинат стал в строй действующих предприятий химической отрасли для решения задач общесоюзного значения (14843).</w:t>
      </w:r>
    </w:p>
    <w:p w14:paraId="4C58DCC5" w14:textId="77777777" w:rsidR="004345CC" w:rsidRPr="00C33834" w:rsidRDefault="004345CC" w:rsidP="00C33834">
      <w:pPr>
        <w:spacing w:after="0" w:line="240" w:lineRule="auto"/>
        <w:jc w:val="both"/>
        <w:rPr>
          <w:rFonts w:ascii="Times New Roman" w:hAnsi="Times New Roman"/>
          <w:color w:val="000000" w:themeColor="text1"/>
          <w:sz w:val="16"/>
          <w:szCs w:val="16"/>
        </w:rPr>
      </w:pPr>
    </w:p>
    <w:p w14:paraId="081A3E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ноября 1933 вышло постановление СТО и приняли решение о строительстве комбинатов № 100 и № 101 (5485,346).</w:t>
      </w:r>
    </w:p>
    <w:p w14:paraId="71E5DC4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A41A20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ноября 1933 г. Пост. СТО № 120 было утверждено строительство комбината (Комбинат № 101 НКТП, НКОП, НКБ, Каменский химкомбинат «Россия», ФГУП «Каменский химический комбинат» Росбоеприпаса, ФКП «Комбинат «Каменский» /347801  г. Каменск-Шахтинский Ростовской обл. ул. Сапрыкина, 8 тел. 20-148/), которое начато в 1934 г. В этом году построены кирпичный и известковый заводы, столярный цех, слесарные мастерские, участок связи, электростанция. В 03.1935 г. сданы водное хозяйство, транспортный и электроцех. В 07.1936 г. сдан в эксплуатацию ремонтно-механический завод (РМЗ), освоен выпуск первичных редукторов, шахтных аппаратов, разгружателей, промышленных вентиляторов, сферических днищ. Приказом № 0021 от 3.02.1937 г. заводу предписано к 1.01.1938 г. ввести в эксплуатацию 1-ю линию комбината, создать мощности по выпуску пироксилинового пороха - 12,5 тыс. т в год. «В связи с неудовлетворительными темпами работ» 13/20.01.1938 г. вышел приказ № 10с провести обследование строительства комбината. В 1938 г. введены в строй эфирное производство, ТЭЦ, теплосеть, 3-е производство; в 1939 г.- цех денитрации кислот, 5-е производство. Всего за 5 лет введено в строй 11 цехов. Затем пущено пироксилиновое производство. Проектная мощность на 1.07.1941 г.- 15500 т пороха в год, перед эвакуацией: пороха-16 тыс. т, пироксилина- 24 тыс. т.</w:t>
      </w:r>
    </w:p>
    <w:p w14:paraId="62F1025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 СТО № 2139-425сс от 21.12.1936 г. и пр. НКОП № 05с от 29.12.1936 г. строительство комбината № 101 передано из Порохового треста Главазота НКТП в ведение ГУ военно-химической промышленности НКОП, в 02.1937 г. - в ведении 6ГУ. В соответствии с пост. СНК № 1960-390сс от 5.11.1936 г. и пр. № 068 от 2.04.1937 г. завод переведен в группу особо режимных предприятий. По пр. № 0089 от 20.04.1937 г. передан из 6ГУ в новое 11ГУ. В 02.1939 г. комбинат № 101 11ГУ НКОП передан в ведение 11ГУ НКБ.</w:t>
      </w:r>
      <w:r w:rsidRPr="00C33834">
        <w:rPr>
          <w:rFonts w:ascii="Times New Roman" w:hAnsi="Times New Roman"/>
          <w:color w:val="000000" w:themeColor="text1"/>
          <w:sz w:val="16"/>
          <w:szCs w:val="16"/>
          <w:vertAlign w:val="superscript"/>
        </w:rPr>
        <w:t>Ш</w:t>
      </w:r>
    </w:p>
    <w:p w14:paraId="52F4893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 ГКО № 777 от 13.10.1941 г. основная часть комбината № 101 ЗГУ (11 эшелонов, 610 вагонов, 1717 ед. оборудования) 10-14.10.1941 г. была эвакуирована: производство пироксилинового пороха и эфира (377 ед. оборудования, 101 чел.) - в Кемерово на комбинат № 392; часть производства пироксилина - в Соликамск на завод № 577; вторая часть производства пироксилина и РМЗ (382 ед. оборудования, 47 чел.) - в Молотов на завод № 98; производство олеума (138 ед. оборудования, 41 чел.) - в Реж на завод № 576; 802 ед. различного оборудования (в т.ч. кислородный завод) - в Красноярск на завод № 580. На оставшемся оборудовании в 12.1941 г. организовано производство суррогатных ВВ и противотанковых мин в деревянных корпусах, действовавшее до середины июля 1942 г. В 04-07.1942 г. прошла вторая эвакуация в Казань, Пермь, Стерлитамак, Краснокамск.</w:t>
      </w:r>
    </w:p>
    <w:p w14:paraId="0A41F91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02.1943 г. после освобождения Каменска от противника началось восстановление комбината. В 08.1943- 09.1944 г. комбинат № 101 - в ведении 9ГУ НКБ. Сначала были введены в строй цеха водо-, электро- и теплоснабжения, железнодорожное хозяйство. В 1944 г. химкомбинат выпустил первую продукцию- мины и заряды из импортного пороха ОД, пороха для авиаснарядов. В 03.1946 г. начат выпуск сельскохозяйственного оборудования, ТНП. В этом же году восстановлены цеха серной кислоты, тары, телефонная станция, ЦЗЛ. В 1948-49г, вступило в строй 10 цехов, начато строительство комплекса по производству нитроглицериновых порохов. В 1954 г. вступило встрой спиртоэфирное производство. В 1957 г. освоено производство карбоксиметилцеллюлозы (КМЦ), нитролаков и эмалей, люминесцентных светильников, бризольного полотна, эфира канифоли, спирта высшей очистки, молочных цистерн. Изготовлены первые круговые аппараты для непрерывной нитрации целлюлозы. В 1960 г. освоен выпуск мипоры; начато строительство цеха по переработке золы для извлечения германия, введен в строй цех глинозема. В 1965 г. вступило в строй производство полимеров. В 1974 г. создана служба АСУ, организован ИВЦ, участок производства масляной клеенки. Организован строительный цех. В 1975 г. организован участок по выпуску клея «Бустилат». В 1982 г. освоен выпуск клеенки ПВХ, в 1990-93г,- шпатлевки «Шпакрил», вспененного линолеума, цветных эмалей, зарядов для горнодобывающей промышленности, мастики, электроплит, шлангов высокого давления, тормозной жидкости, фенолспирта, одеколонов, шампуней, моющих средств.</w:t>
      </w:r>
    </w:p>
    <w:p w14:paraId="1FFE0B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второй половине 1970-х  г. начато освоение производства крубногабаритных зарядов для МБР «Тополь», для этого созданы специализированные комплексы.</w:t>
      </w:r>
    </w:p>
    <w:p w14:paraId="70044CE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2004 г. химкомбинат входил в состав Росбоеприпаса, по Указу Президента РФ № 1009 от 4.08.2004 г. вошел в число стратегических оборонных предприятий. По Указу Президента РФ в 02.2006 г. на базе ФГУП «Каменский химкомбинат» создано два предприятия: ФКП «Комбинат «Каменский» и ФГУП «Химкомбинат «Каменский».</w:t>
      </w:r>
    </w:p>
    <w:p w14:paraId="70083C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Численность персонала (1939 г.)- 1294 чел. (рабочих), (1940 г.)- 2916 чел. (рабочих), (09.1941 г.)- 3663 чел., (11.1943 г.)-522 чел.</w:t>
      </w:r>
    </w:p>
    <w:p w14:paraId="0718EA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(7.06.1937 г.-)- И.А. Баварский, (07.1939-ВОВ)- В.Л. Ивченков, (1945-55 г.)- А.А. Кириллович, (1955 г.-)- Б.Д. Сапрыгин.</w:t>
      </w:r>
      <w:r w:rsidRPr="00C33834">
        <w:rPr>
          <w:rFonts w:ascii="Times New Roman" w:hAnsi="Times New Roman"/>
          <w:color w:val="000000" w:themeColor="text1"/>
          <w:sz w:val="16"/>
          <w:szCs w:val="16"/>
          <w:vertAlign w:val="superscript"/>
        </w:rPr>
        <w:t>101</w:t>
      </w:r>
      <w:r w:rsidRPr="00C33834">
        <w:rPr>
          <w:rFonts w:ascii="Times New Roman" w:hAnsi="Times New Roman"/>
          <w:color w:val="000000" w:themeColor="text1"/>
          <w:sz w:val="16"/>
          <w:szCs w:val="16"/>
        </w:rPr>
        <w:t xml:space="preserve"> Гендиректор (-2007 г.)- С.А. Поваров.</w:t>
      </w:r>
    </w:p>
    <w:p w14:paraId="61DFEE4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строительства (01.1934 г.-)- С.П. Ананьев, начальник строительства (11.03.1937 г.-)- Л.О. Мицмахер. Зам. директора (8.05-11.07.1937 г.)- М.М. Чернулич. Помощник директора по найму и увольнению (14.08.1938 г.-)- А.П. Новожилов.</w:t>
      </w:r>
    </w:p>
    <w:p w14:paraId="66C4B6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начальника строительства (-10.06.1937 г.)- Ф.А. Сулим-Грандовский (снят).</w:t>
      </w:r>
    </w:p>
    <w:p w14:paraId="2396E92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(9.08.1938 г.-)- Н.С. Навальнев, (2006 г.)-  Г. Мельник.</w:t>
      </w:r>
    </w:p>
    <w:p w14:paraId="6F7C80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строительства (-10.06.1937 г.)-  Г.Д. Саломонович (снят) (11982).</w:t>
      </w:r>
    </w:p>
    <w:p w14:paraId="165698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3160F90" w14:textId="77777777" w:rsidR="004345CC" w:rsidRPr="00C33834" w:rsidRDefault="004345CC" w:rsidP="00C33834">
      <w:pPr>
        <w:pStyle w:val="rtejustify"/>
        <w:spacing w:before="0" w:after="0"/>
        <w:rPr>
          <w:color w:val="000000" w:themeColor="text1"/>
          <w:sz w:val="16"/>
          <w:szCs w:val="16"/>
        </w:rPr>
      </w:pPr>
      <w:r w:rsidRPr="00C33834">
        <w:rPr>
          <w:rStyle w:val="af0"/>
          <w:bCs/>
          <w:i w:val="0"/>
          <w:color w:val="000000" w:themeColor="text1"/>
          <w:sz w:val="16"/>
          <w:szCs w:val="16"/>
        </w:rPr>
        <w:t>28 ноября 1933 вышел приказ НКТП № 224с.</w:t>
      </w:r>
      <w:r w:rsidRPr="00C33834">
        <w:rPr>
          <w:color w:val="000000" w:themeColor="text1"/>
          <w:sz w:val="16"/>
          <w:szCs w:val="16"/>
        </w:rPr>
        <w:t xml:space="preserve"> О видах работ на электромеханических заводах по программе военного судостроения. (РГАЭ. Ф. 7297. Оп. 38. Д. 38. Л. 203) (15246).</w:t>
      </w:r>
    </w:p>
    <w:p w14:paraId="505FD34A" w14:textId="77777777" w:rsidR="004345CC" w:rsidRPr="00C33834" w:rsidRDefault="004345CC" w:rsidP="00C33834">
      <w:pPr>
        <w:pStyle w:val="rtejustify"/>
        <w:spacing w:before="0" w:after="0"/>
        <w:rPr>
          <w:color w:val="000000" w:themeColor="text1"/>
          <w:sz w:val="16"/>
          <w:szCs w:val="16"/>
        </w:rPr>
      </w:pPr>
    </w:p>
    <w:p w14:paraId="07399EC5" w14:textId="77777777" w:rsidR="00335E69" w:rsidRPr="00C33834" w:rsidRDefault="00335E6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28 ноября 1933 года вышло Постановление Комитета обороны (КО) Совета народных комиссаров (СНК) СССР «Об иностранной технической помощи по постройке подводной лодки типа ―Е-1‖». Данным постановлением указывалось НКТП С. Г. Орджоникидзе продолжить выполнение договора на техническую помощь по </w:t>
      </w:r>
      <w:r w:rsidRPr="00C33834">
        <w:rPr>
          <w:rFonts w:ascii="Times New Roman" w:hAnsi="Times New Roman"/>
          <w:color w:val="000000" w:themeColor="text1"/>
          <w:sz w:val="16"/>
          <w:szCs w:val="16"/>
        </w:rPr>
        <w:lastRenderedPageBreak/>
        <w:t>постройке подводной лодки типа «Е-1» с фирмой «Дешимаг», уплатив очередной денежный взнос по договору в размере 20 тысяч долларов США [Там же, д. 498, л. 202].</w:t>
      </w:r>
    </w:p>
    <w:p w14:paraId="488C99B9" w14:textId="77777777" w:rsidR="00335E69" w:rsidRPr="00C33834" w:rsidRDefault="00335E6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Помимо технической помощи по постройке подводной лодки типа «Е-1», фирма «Дешимаг» предложила проект и помощь в строительстве подводной лодки типа «Н». Вместе с тем, разработка чертежей проекта «E-2», обозначенного теперь как тип «Н» (немецкая), или серия IX, была закончена специалистами СКБ к началу</w:t>
      </w:r>
      <w:hyperlink r:id="rId377" w:history="1">
        <w:r w:rsidRPr="00C33834">
          <w:rPr>
            <w:rStyle w:val="a5"/>
            <w:rFonts w:ascii="Times New Roman" w:hAnsi="Times New Roman"/>
            <w:color w:val="000000" w:themeColor="text1"/>
            <w:sz w:val="16"/>
            <w:szCs w:val="16"/>
          </w:rPr>
          <w:t> 1935 года </w:t>
        </w:r>
      </w:hyperlink>
      <w:hyperlink r:id="rId378" w:history="1">
        <w:r w:rsidRPr="00C33834">
          <w:rPr>
            <w:rStyle w:val="a5"/>
            <w:rFonts w:ascii="Times New Roman" w:hAnsi="Times New Roman"/>
            <w:color w:val="000000" w:themeColor="text1"/>
            <w:sz w:val="16"/>
            <w:szCs w:val="16"/>
          </w:rPr>
          <w:t>(20 октября </w:t>
        </w:r>
      </w:hyperlink>
      <w:hyperlink r:id="rId379" w:history="1">
        <w:r w:rsidRPr="00C33834">
          <w:rPr>
            <w:rStyle w:val="a5"/>
            <w:rFonts w:ascii="Times New Roman" w:hAnsi="Times New Roman"/>
            <w:color w:val="000000" w:themeColor="text1"/>
            <w:sz w:val="16"/>
            <w:szCs w:val="16"/>
          </w:rPr>
          <w:t>1937 года </w:t>
        </w:r>
      </w:hyperlink>
      <w:r w:rsidRPr="00C33834">
        <w:rPr>
          <w:rFonts w:ascii="Times New Roman" w:hAnsi="Times New Roman"/>
          <w:color w:val="000000" w:themeColor="text1"/>
          <w:sz w:val="16"/>
          <w:szCs w:val="16"/>
        </w:rPr>
        <w:t>тип «Н» переименовали в тип «С» – средняя) [1, с. 5].</w:t>
      </w:r>
      <w:hyperlink r:id="rId380" w:history="1">
        <w:r w:rsidRPr="00C33834">
          <w:rPr>
            <w:rStyle w:val="a5"/>
            <w:rFonts w:ascii="Times New Roman" w:hAnsi="Times New Roman"/>
            <w:color w:val="000000" w:themeColor="text1"/>
            <w:sz w:val="16"/>
            <w:szCs w:val="16"/>
          </w:rPr>
          <w:t> 4 август</w:t>
        </w:r>
      </w:hyperlink>
      <w:hyperlink r:id="rId381" w:history="1">
        <w:r w:rsidRPr="00C33834">
          <w:rPr>
            <w:rStyle w:val="a5"/>
            <w:rFonts w:ascii="Times New Roman" w:hAnsi="Times New Roman"/>
            <w:color w:val="000000" w:themeColor="text1"/>
            <w:sz w:val="16"/>
            <w:szCs w:val="16"/>
          </w:rPr>
          <w:t>а 1934 го</w:t>
        </w:r>
      </w:hyperlink>
      <w:hyperlink r:id="rId382" w:history="1">
        <w:r w:rsidRPr="00C33834">
          <w:rPr>
            <w:rStyle w:val="a5"/>
            <w:rFonts w:ascii="Times New Roman" w:hAnsi="Times New Roman"/>
            <w:color w:val="000000" w:themeColor="text1"/>
            <w:sz w:val="16"/>
            <w:szCs w:val="16"/>
          </w:rPr>
          <w:t>да </w:t>
        </w:r>
      </w:hyperlink>
      <w:r w:rsidRPr="00C33834">
        <w:rPr>
          <w:rFonts w:ascii="Times New Roman" w:hAnsi="Times New Roman"/>
          <w:color w:val="000000" w:themeColor="text1"/>
          <w:sz w:val="16"/>
          <w:szCs w:val="16"/>
        </w:rPr>
        <w:t>члены</w:t>
      </w:r>
      <w:hyperlink r:id="rId383" w:history="1">
        <w:r w:rsidRPr="00C33834">
          <w:rPr>
            <w:rStyle w:val="a5"/>
            <w:rFonts w:ascii="Times New Roman" w:hAnsi="Times New Roman"/>
            <w:color w:val="000000" w:themeColor="text1"/>
            <w:sz w:val="16"/>
            <w:szCs w:val="16"/>
          </w:rPr>
          <w:t>Политбюро </w:t>
        </w:r>
      </w:hyperlink>
      <w:r w:rsidRPr="00C33834">
        <w:rPr>
          <w:rFonts w:ascii="Times New Roman" w:hAnsi="Times New Roman"/>
          <w:color w:val="000000" w:themeColor="text1"/>
          <w:sz w:val="16"/>
          <w:szCs w:val="16"/>
        </w:rPr>
        <w:t>ЦК ВКП(б) приняли решение о серийной постройке средних подводных лодок серии IX и постепенной замены ими подводных лодок</w:t>
      </w:r>
      <w:hyperlink r:id="rId384" w:history="1">
        <w:r w:rsidRPr="00C33834">
          <w:rPr>
            <w:rStyle w:val="a5"/>
            <w:rFonts w:ascii="Times New Roman" w:hAnsi="Times New Roman"/>
            <w:color w:val="000000" w:themeColor="text1"/>
            <w:sz w:val="16"/>
            <w:szCs w:val="16"/>
          </w:rPr>
          <w:t> типа «Щука».</w:t>
        </w:r>
      </w:hyperlink>
      <w:r w:rsidRPr="00C33834">
        <w:rPr>
          <w:rFonts w:ascii="Times New Roman" w:hAnsi="Times New Roman"/>
          <w:color w:val="000000" w:themeColor="text1"/>
          <w:sz w:val="16"/>
          <w:szCs w:val="16"/>
        </w:rPr>
        <w:t> Субмарины серии IX строились на</w:t>
      </w:r>
      <w:hyperlink r:id="rId385" w:history="1">
        <w:r w:rsidRPr="00C33834">
          <w:rPr>
            <w:rStyle w:val="a5"/>
            <w:rFonts w:ascii="Times New Roman" w:hAnsi="Times New Roman"/>
            <w:color w:val="000000" w:themeColor="text1"/>
            <w:sz w:val="16"/>
            <w:szCs w:val="16"/>
          </w:rPr>
          <w:t> Балтийском </w:t>
        </w:r>
      </w:hyperlink>
      <w:hyperlink r:id="rId386" w:history="1">
        <w:r w:rsidRPr="00C33834">
          <w:rPr>
            <w:rStyle w:val="a5"/>
            <w:rFonts w:ascii="Times New Roman" w:hAnsi="Times New Roman"/>
            <w:color w:val="000000" w:themeColor="text1"/>
            <w:sz w:val="16"/>
            <w:szCs w:val="16"/>
          </w:rPr>
          <w:t>заводе.</w:t>
        </w:r>
      </w:hyperlink>
      <w:r w:rsidRPr="00C33834">
        <w:rPr>
          <w:rFonts w:ascii="Times New Roman" w:hAnsi="Times New Roman"/>
          <w:color w:val="000000" w:themeColor="text1"/>
          <w:sz w:val="16"/>
          <w:szCs w:val="16"/>
        </w:rPr>
        <w:t> Первая партия состояла из трѐх лодок: «Н-1», «Н-2» и «Н-3». При их постройке использовалось большое количество импортного оборудования, а по результатам испытаний предполагалось принять решение о дальнейшем строительстве. После начала серийного строительства серии IX проект был полностью переработан с целью полного перехода на советское оборудование и с учѐтом замечаний к головным лодкам [Там же, с. 11]. Доработанный проект получил обозначение IX-бис (18262).</w:t>
      </w:r>
    </w:p>
    <w:p w14:paraId="54F223D9" w14:textId="77777777" w:rsidR="00335E69" w:rsidRPr="00C33834" w:rsidRDefault="00335E69" w:rsidP="00C33834">
      <w:pPr>
        <w:spacing w:after="0" w:line="240" w:lineRule="auto"/>
        <w:jc w:val="both"/>
        <w:rPr>
          <w:rFonts w:ascii="Times New Roman" w:hAnsi="Times New Roman"/>
          <w:color w:val="000000" w:themeColor="text1"/>
          <w:sz w:val="16"/>
          <w:szCs w:val="16"/>
        </w:rPr>
      </w:pPr>
    </w:p>
    <w:p w14:paraId="68562D45"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D13B06B"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763D8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ноября 1933 состоялось заседание у нач. ГУАП Королева (протокол 162):</w:t>
      </w:r>
    </w:p>
    <w:p w14:paraId="1C74B7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Слушали: О реализации постановления Правительства по И-14, И-15 и И-16 от 25 ноября 1933.</w:t>
      </w:r>
    </w:p>
    <w:p w14:paraId="44BD355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Постановили:</w:t>
      </w:r>
    </w:p>
    <w:p w14:paraId="29B4A8C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И-15 - завод 39 изготовляет в 1934 25 самолетов И-15, причем 10 из них к 1 мая 1934.</w:t>
      </w:r>
    </w:p>
    <w:p w14:paraId="12BB56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1 изготовляет в 1934 125 И-15 с выпуском первой головной серии в количестве 5 шт. в мае с последующим увеличением до конца года.</w:t>
      </w:r>
    </w:p>
    <w:p w14:paraId="37F9CF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И-16 - завод 39 изготовляет в 1934 - 50 самолетов.</w:t>
      </w:r>
    </w:p>
    <w:p w14:paraId="059247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21 изготовляет в 1934 - 80 самолетов, причем по заводу 21 10 самолетов должно быть изготовлено к 1 мая с последующим увеличением выпуска этих машин до конца года.</w:t>
      </w:r>
    </w:p>
    <w:p w14:paraId="57DDA3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И-14. Сдать И-14 на гос. испытания 5 февраля и через 20 дней оформить через гос. испытания по ТУ.</w:t>
      </w:r>
    </w:p>
    <w:p w14:paraId="6CD2F75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этого типа в количестве 20 шт. в 1934 поставить на заводе 21, с выпуском первой партии в августе 1934. Королев (2292,316).</w:t>
      </w:r>
    </w:p>
    <w:p w14:paraId="7466C82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6193F0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ноября 1933 закончились гос. испытания АПК-4 с перезаряжанием системы Легчакова, установленных парой на самолете "Z" N 39004, которые шли с 19 января 1933.</w:t>
      </w:r>
    </w:p>
    <w:p w14:paraId="3193FF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Место испытаний - Щелковский аэродром и Ногинский полигон (стрельба). В ходе испытаний представилась возможность производить стрельбу над Щелковским аэродромом.</w:t>
      </w:r>
    </w:p>
    <w:p w14:paraId="15ABA9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Лагутин.</w:t>
      </w:r>
    </w:p>
    <w:p w14:paraId="75992E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109B0B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Выявить эксплуатационные особенности АПК-4 с перезаряжанием сист. Легчакова при стрельбе в воздухе.</w:t>
      </w:r>
    </w:p>
    <w:p w14:paraId="271C81E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Установить работу автоматики системы при различных эволюциях самолета.</w:t>
      </w:r>
    </w:p>
    <w:p w14:paraId="0BB07D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Определить влияние стрельбы на мат. часть самолета.</w:t>
      </w:r>
    </w:p>
    <w:p w14:paraId="0CD4C1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Выявить преимущества в системе перезаряжания Легчакова перед другими самолетами.</w:t>
      </w:r>
    </w:p>
    <w:p w14:paraId="590C95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 Испытания проводились в основном по той же программе, что и система Курчевского в целях сравнения этих систем.</w:t>
      </w:r>
    </w:p>
    <w:p w14:paraId="52CBD2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704FBD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отработки система может быть передана на войсковые испытания (3083).</w:t>
      </w:r>
    </w:p>
    <w:p w14:paraId="3E35DA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30983C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ноября 1933 года. Гл. конструктор Д.П.Григорович подготовил Объяснительную записку по рекордному самолету "Э-МАИ-2" с мотором М34-750/830 л.с.</w:t>
      </w:r>
    </w:p>
    <w:p w14:paraId="0F105C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Рекордный самолет Э-МАИ-2-М34 представляет собою одномоторный двухместный моноплан с низкорасположенным свободнонесущим крылом металлической конструкции из нержавеющей стали "Энерж 6". Самолет снабжен мотором советской конструкции "М34" мощностью 750/830 л.с.</w:t>
      </w:r>
    </w:p>
    <w:p w14:paraId="01AB2F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 самолета:</w:t>
      </w:r>
    </w:p>
    <w:p w14:paraId="1F531F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Установление рекорда дальности полета самолета советской конструкции с советским мотором на основе покрытия большой дальности полета при минимальном времени пребывания в воздухе с одновременным освоением в производстве и испытании новых элементов конструкции из нержавеющей стали по принципу применения электросварки.</w:t>
      </w:r>
    </w:p>
    <w:p w14:paraId="52F23A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Общий вид самолета представлен в трех проекциях на рис. 1 (см. альбом).</w:t>
      </w:r>
    </w:p>
    <w:p w14:paraId="31AD33D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Крыло</w:t>
      </w:r>
    </w:p>
    <w:p w14:paraId="5CAACB3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самолета однолонжеронной конструкции, трапецеидальной формы в плане. Оно состоит из двух разъемных по ширине частей - носка вместе с лонжероном и хвостовика вместе с стрингерами, нервюрами и баками в количестве 5, из них два с каждой стороны бака помещаются по бокам фюзеляжа, средний в части крыла находящийся в фюзеляже. Общий вид крыла см. рис. 2.</w:t>
      </w:r>
    </w:p>
    <w:p w14:paraId="1F4316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Элероны крыла дюралевой конструкции с полотняной обшивкой неглубокие большого размера, состоящие каждый из 2-х половинок и имеют внутреннюю компенсацию.</w:t>
      </w:r>
    </w:p>
    <w:p w14:paraId="6BCED9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Конструкция носка крыла являясь основной силовой единицей крыла состоит кроме основного лонжерона крыла из дополнительных стрингеров и нервюр различной длины, весь этот остов обшивается листовой сталью толщиной 0,2 м на сварке (см. рис. 3,4 и 5).</w:t>
      </w:r>
    </w:p>
    <w:p w14:paraId="797B80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Набор хвостовиков составляют один усиленный стрингер-лонжерон, средний стрингер и задний ободок и 18 нервюр по 9 с каждой стороны (силовые схемы нервюр см. рис. 6). Весь остов хвостовиков обшивается полотном.</w:t>
      </w:r>
    </w:p>
    <w:p w14:paraId="11F90AF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размаху крыло составляется из центральной части и двух консолей (см. общую схему крыла).</w:t>
      </w:r>
    </w:p>
    <w:p w14:paraId="1A25833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Фюзеляж</w:t>
      </w:r>
    </w:p>
    <w:p w14:paraId="2C2789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овального сечения типа полумонокок, состоит из четырех основных профилированных стрингеров-лонжеронов. 10 нормальных стрингеров и набора поперечных шпангоутов (остов фюзеляжа см. рис. 7 и 8).</w:t>
      </w:r>
    </w:p>
    <w:p w14:paraId="03CA60C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Фюзеляж целиком стальной конструкции из нержавеющей стали и с таковым же покрытием из различных листов толщиной 0,20-0,30 мм.</w:t>
      </w:r>
    </w:p>
    <w:p w14:paraId="05EE9E8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своей длине он состоит из двух частей, отъемных одна от другой - передней и задней.</w:t>
      </w:r>
    </w:p>
    <w:p w14:paraId="2E44C0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передней части фюзеляжа расположены две оборудованные должным образом для дальних перелетов кабины, причем в случае надобности за счет перегрузки может быть дооборудована кабина для третьего лица.</w:t>
      </w:r>
    </w:p>
    <w:p w14:paraId="1E8B0A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Вверху над кабинами пилотов помещается общий застекленный фонарь с откидными дверками для влезания экипажа. В месте помещенья третьего места в боковых стенках, фюзеляжа вделаны иллюминаторы....</w:t>
      </w:r>
    </w:p>
    <w:p w14:paraId="571615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Сиденья-кресла имеют откидные спинки и оборудованы таким образом, чтобы предоставить возможность экипажу отдыхать в полете общий боковой вид фюзеляжа с возмещением фюзеляжа (см. рис. 9).</w:t>
      </w:r>
    </w:p>
    <w:p w14:paraId="053BAD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Управление</w:t>
      </w:r>
    </w:p>
    <w:p w14:paraId="5D76E8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ручное штурвальное двойное с приспособлением для включения для отдыха и ножное с откидными регулирующимися ножными педалями.</w:t>
      </w:r>
    </w:p>
    <w:p w14:paraId="35B52DC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Управление к рулю высоты и элеронами жесткого типа к рулю направления и стабилизатора смешанного типа.</w:t>
      </w:r>
    </w:p>
    <w:p w14:paraId="02AA370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Схемы управления самолетом представлены на рис. 10 и 11.</w:t>
      </w:r>
    </w:p>
    <w:p w14:paraId="570E24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w:t>
      </w:r>
    </w:p>
    <w:p w14:paraId="54AA29C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типа убирающегося во внутрь крыла самолета во время полета полностью, помощью механических приводов и тяг из кабины пилота (положение шасси в крыле см. рис. N 2).</w:t>
      </w:r>
    </w:p>
    <w:p w14:paraId="1F10A3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Конструкция шасси состоит из полуоси, амортизационной ноги с каждой стороны и наклонной трубы служащей осью вращения шасси при убирании его в крыло.</w:t>
      </w:r>
    </w:p>
    <w:p w14:paraId="5C55F1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Костыль ориентирующийся из стальных труб с олео-пневматической амортизацией.</w:t>
      </w:r>
    </w:p>
    <w:p w14:paraId="681EB99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Хвостовое оперение</w:t>
      </w:r>
    </w:p>
    <w:p w14:paraId="7DC33D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дюралевой конструкции с полотняной обшивкой. Рули высоты и поворотов с внутренней компенсацией. Стабилизатор управляемый в полете, осуществляемый штурвалом, расположенный в передней пилотской кабине непосредственно сбоку у сидения первого пилота.</w:t>
      </w:r>
    </w:p>
    <w:p w14:paraId="46223C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Винтомоторная группа</w:t>
      </w:r>
    </w:p>
    <w:p w14:paraId="2A6EC0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самолете как было указано выше устанавливается мотор с водяным охлаждением V образного типа М34-750/830 л.с. с тянущим винтом и редуктором.</w:t>
      </w:r>
    </w:p>
    <w:p w14:paraId="75DC4A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Моторная установка съемная, выполнена из стальных сварных хромомолибденовых труб. Радиатор для воды сотового типа и вписывается своей овальной формой по габариту в мидель фюзеляжа, устанавливается жестко к мотоустановке.</w:t>
      </w:r>
    </w:p>
    <w:p w14:paraId="1F1703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Охлаждение воды в радиаторе регулируется жалюзи, управляемыми из кабины пилота.</w:t>
      </w:r>
    </w:p>
    <w:p w14:paraId="50E0E8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Все оборудование, приборы и управление мотором сосредоточены в кабинах обоих пилотов.</w:t>
      </w:r>
    </w:p>
    <w:p w14:paraId="5F4EEC9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Бензиновые баки, как было указано выше, помещаются в крыле, кроме того имеется в фюзеляже у огнеупорной перегородки расходный бензиновый бак емкостью 100 литров. Схема питания горючим такова, что обеспечивает подачу горючего при различных комбинациях открытия баков - как порознь, так и всех баков одновременно. Схема питания горючим см. рис. 12.</w:t>
      </w:r>
    </w:p>
    <w:p w14:paraId="71D63B1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Масляных баков один. Для охлаждения масла циркулирующего в системе смазки имеется водомасляный радиатор (он же бачок), помещаемый в носке центральной части крыла.</w:t>
      </w:r>
    </w:p>
    <w:p w14:paraId="42A58E9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 деревянный, двухлопастной, диаметром 4,2 м.</w:t>
      </w:r>
    </w:p>
    <w:p w14:paraId="645CEBC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самолете установлен самопуск-баллон со сжатым воздухом, под сидением первого пилота. Кроме того на втулке винта монтируется..... для запуска мотора автостартером.</w:t>
      </w:r>
    </w:p>
    <w:p w14:paraId="5BCE54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 капотируется удобообтекаемым капотом из листового дюраля, монтируемом на особом дюралевом каркасе. Капоты имеют откидывающиеся части для необходимости осмотра мотора и его агрегатов.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6E9178F5" w14:textId="77777777">
        <w:tc>
          <w:tcPr>
            <w:tcW w:w="5636" w:type="dxa"/>
          </w:tcPr>
          <w:p w14:paraId="15808A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Размеры самолета</w:t>
            </w:r>
          </w:p>
        </w:tc>
        <w:tc>
          <w:tcPr>
            <w:tcW w:w="5636" w:type="dxa"/>
          </w:tcPr>
          <w:p w14:paraId="7F5EAFF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EF8DEED" w14:textId="77777777">
        <w:tc>
          <w:tcPr>
            <w:tcW w:w="5636" w:type="dxa"/>
          </w:tcPr>
          <w:p w14:paraId="5DDA54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Размах крыла</w:t>
            </w:r>
          </w:p>
        </w:tc>
        <w:tc>
          <w:tcPr>
            <w:tcW w:w="5636" w:type="dxa"/>
          </w:tcPr>
          <w:p w14:paraId="1BE0ED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м</w:t>
            </w:r>
          </w:p>
        </w:tc>
      </w:tr>
      <w:tr w:rsidR="00F26F01" w:rsidRPr="00C33834" w14:paraId="1F72D215" w14:textId="77777777">
        <w:tc>
          <w:tcPr>
            <w:tcW w:w="5636" w:type="dxa"/>
          </w:tcPr>
          <w:p w14:paraId="4C8CE7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Ширина крыла max</w:t>
            </w:r>
          </w:p>
        </w:tc>
        <w:tc>
          <w:tcPr>
            <w:tcW w:w="5636" w:type="dxa"/>
          </w:tcPr>
          <w:p w14:paraId="5492D1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3,60 м</w:t>
            </w:r>
          </w:p>
        </w:tc>
      </w:tr>
      <w:tr w:rsidR="00F26F01" w:rsidRPr="00C33834" w14:paraId="5F5503EE" w14:textId="77777777">
        <w:tc>
          <w:tcPr>
            <w:tcW w:w="5636" w:type="dxa"/>
          </w:tcPr>
          <w:p w14:paraId="12F221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крыльев</w:t>
            </w:r>
          </w:p>
        </w:tc>
        <w:tc>
          <w:tcPr>
            <w:tcW w:w="5636" w:type="dxa"/>
          </w:tcPr>
          <w:p w14:paraId="6E08B6A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40,5 м кв.</w:t>
            </w:r>
          </w:p>
        </w:tc>
      </w:tr>
      <w:tr w:rsidR="00F26F01" w:rsidRPr="00C33834" w14:paraId="21DDD798" w14:textId="77777777">
        <w:tc>
          <w:tcPr>
            <w:tcW w:w="5636" w:type="dxa"/>
          </w:tcPr>
          <w:p w14:paraId="5B84AF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Общая длина самолета</w:t>
            </w:r>
          </w:p>
        </w:tc>
        <w:tc>
          <w:tcPr>
            <w:tcW w:w="5636" w:type="dxa"/>
          </w:tcPr>
          <w:p w14:paraId="0C54877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11,3 м</w:t>
            </w:r>
          </w:p>
        </w:tc>
      </w:tr>
      <w:tr w:rsidR="00F26F01" w:rsidRPr="00C33834" w14:paraId="01295DD9" w14:textId="77777777">
        <w:tc>
          <w:tcPr>
            <w:tcW w:w="5636" w:type="dxa"/>
          </w:tcPr>
          <w:p w14:paraId="56A4A3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самолета</w:t>
            </w:r>
          </w:p>
        </w:tc>
        <w:tc>
          <w:tcPr>
            <w:tcW w:w="5636" w:type="dxa"/>
          </w:tcPr>
          <w:p w14:paraId="0517E7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4,03 м</w:t>
            </w:r>
          </w:p>
        </w:tc>
      </w:tr>
      <w:tr w:rsidR="00F26F01" w:rsidRPr="00C33834" w14:paraId="12F29C5D" w14:textId="77777777">
        <w:tc>
          <w:tcPr>
            <w:tcW w:w="5636" w:type="dxa"/>
          </w:tcPr>
          <w:p w14:paraId="2B01EC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элеронов</w:t>
            </w:r>
          </w:p>
        </w:tc>
        <w:tc>
          <w:tcPr>
            <w:tcW w:w="5636" w:type="dxa"/>
          </w:tcPr>
          <w:p w14:paraId="03E568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3,04 м кв.</w:t>
            </w:r>
          </w:p>
        </w:tc>
      </w:tr>
      <w:tr w:rsidR="00F26F01" w:rsidRPr="00C33834" w14:paraId="56ADA9E7" w14:textId="77777777">
        <w:tc>
          <w:tcPr>
            <w:tcW w:w="5636" w:type="dxa"/>
          </w:tcPr>
          <w:p w14:paraId="00655E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стабилизатора</w:t>
            </w:r>
          </w:p>
        </w:tc>
        <w:tc>
          <w:tcPr>
            <w:tcW w:w="5636" w:type="dxa"/>
          </w:tcPr>
          <w:p w14:paraId="4BF0244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3,15 м кв.</w:t>
            </w:r>
          </w:p>
        </w:tc>
      </w:tr>
      <w:tr w:rsidR="00F26F01" w:rsidRPr="00C33834" w14:paraId="680EB846" w14:textId="77777777">
        <w:tc>
          <w:tcPr>
            <w:tcW w:w="5636" w:type="dxa"/>
          </w:tcPr>
          <w:p w14:paraId="5F5BE0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рулей высоты</w:t>
            </w:r>
          </w:p>
        </w:tc>
        <w:tc>
          <w:tcPr>
            <w:tcW w:w="5636" w:type="dxa"/>
          </w:tcPr>
          <w:p w14:paraId="62B22A5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2,35 м кв.</w:t>
            </w:r>
          </w:p>
        </w:tc>
      </w:tr>
      <w:tr w:rsidR="00F26F01" w:rsidRPr="00C33834" w14:paraId="235B8F66" w14:textId="77777777">
        <w:tc>
          <w:tcPr>
            <w:tcW w:w="5636" w:type="dxa"/>
          </w:tcPr>
          <w:p w14:paraId="17C034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киля + руля управл.</w:t>
            </w:r>
          </w:p>
        </w:tc>
        <w:tc>
          <w:tcPr>
            <w:tcW w:w="5636" w:type="dxa"/>
          </w:tcPr>
          <w:p w14:paraId="43AB72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2,88 м кв.</w:t>
            </w:r>
          </w:p>
        </w:tc>
      </w:tr>
      <w:tr w:rsidR="00F26F01" w:rsidRPr="00C33834" w14:paraId="6EDAAF55" w14:textId="77777777">
        <w:tc>
          <w:tcPr>
            <w:tcW w:w="5636" w:type="dxa"/>
          </w:tcPr>
          <w:p w14:paraId="0A98FE2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Ширина хода колес</w:t>
            </w:r>
          </w:p>
        </w:tc>
        <w:tc>
          <w:tcPr>
            <w:tcW w:w="5636" w:type="dxa"/>
          </w:tcPr>
          <w:p w14:paraId="2A5A8CD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w:t>
            </w:r>
          </w:p>
        </w:tc>
      </w:tr>
      <w:tr w:rsidR="00F26F01" w:rsidRPr="00C33834" w14:paraId="79316C89" w14:textId="77777777">
        <w:tc>
          <w:tcPr>
            <w:tcW w:w="5636" w:type="dxa"/>
          </w:tcPr>
          <w:p w14:paraId="568540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Весовые данные</w:t>
            </w:r>
          </w:p>
        </w:tc>
        <w:tc>
          <w:tcPr>
            <w:tcW w:w="5636" w:type="dxa"/>
          </w:tcPr>
          <w:p w14:paraId="5113A1C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602EAD8" w14:textId="77777777">
        <w:tc>
          <w:tcPr>
            <w:tcW w:w="5636" w:type="dxa"/>
          </w:tcPr>
          <w:p w14:paraId="781DB4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пустого самолета</w:t>
            </w:r>
          </w:p>
        </w:tc>
        <w:tc>
          <w:tcPr>
            <w:tcW w:w="5636" w:type="dxa"/>
          </w:tcPr>
          <w:p w14:paraId="26A3D3D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2410 кг</w:t>
            </w:r>
          </w:p>
        </w:tc>
      </w:tr>
      <w:tr w:rsidR="00F26F01" w:rsidRPr="00C33834" w14:paraId="20B68F5F" w14:textId="77777777">
        <w:tc>
          <w:tcPr>
            <w:tcW w:w="5636" w:type="dxa"/>
          </w:tcPr>
          <w:p w14:paraId="68F857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Полная нагрузка</w:t>
            </w:r>
          </w:p>
        </w:tc>
        <w:tc>
          <w:tcPr>
            <w:tcW w:w="5636" w:type="dxa"/>
          </w:tcPr>
          <w:p w14:paraId="1A3FE81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1485 кг</w:t>
            </w:r>
          </w:p>
        </w:tc>
      </w:tr>
      <w:tr w:rsidR="00F26F01" w:rsidRPr="00C33834" w14:paraId="0A119EC0" w14:textId="77777777">
        <w:tc>
          <w:tcPr>
            <w:tcW w:w="5636" w:type="dxa"/>
          </w:tcPr>
          <w:p w14:paraId="16A6F6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Экипаж с парашютом 2 чел.</w:t>
            </w:r>
          </w:p>
        </w:tc>
        <w:tc>
          <w:tcPr>
            <w:tcW w:w="5636" w:type="dxa"/>
          </w:tcPr>
          <w:p w14:paraId="1E38F4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176 кг</w:t>
            </w:r>
          </w:p>
        </w:tc>
      </w:tr>
      <w:tr w:rsidR="00F26F01" w:rsidRPr="00C33834" w14:paraId="3EFA4777" w14:textId="77777777">
        <w:tc>
          <w:tcPr>
            <w:tcW w:w="5636" w:type="dxa"/>
          </w:tcPr>
          <w:p w14:paraId="6103E60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Аэронавигац. Оборудование</w:t>
            </w:r>
          </w:p>
        </w:tc>
        <w:tc>
          <w:tcPr>
            <w:tcW w:w="5636" w:type="dxa"/>
          </w:tcPr>
          <w:p w14:paraId="6D9D19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кг</w:t>
            </w:r>
          </w:p>
        </w:tc>
      </w:tr>
      <w:tr w:rsidR="00F26F01" w:rsidRPr="00C33834" w14:paraId="35A5FE30" w14:textId="77777777">
        <w:tc>
          <w:tcPr>
            <w:tcW w:w="5636" w:type="dxa"/>
          </w:tcPr>
          <w:p w14:paraId="22946A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Вспомогательное оборудование</w:t>
            </w:r>
          </w:p>
        </w:tc>
        <w:tc>
          <w:tcPr>
            <w:tcW w:w="5636" w:type="dxa"/>
          </w:tcPr>
          <w:p w14:paraId="32BA71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002C782" w14:textId="77777777">
        <w:tc>
          <w:tcPr>
            <w:tcW w:w="5636" w:type="dxa"/>
          </w:tcPr>
          <w:p w14:paraId="3C1542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продовольствие</w:t>
            </w:r>
          </w:p>
        </w:tc>
        <w:tc>
          <w:tcPr>
            <w:tcW w:w="5636" w:type="dxa"/>
          </w:tcPr>
          <w:p w14:paraId="16B6DB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 кг</w:t>
            </w:r>
          </w:p>
        </w:tc>
      </w:tr>
      <w:tr w:rsidR="00F26F01" w:rsidRPr="00C33834" w14:paraId="65BE7A70" w14:textId="77777777">
        <w:tc>
          <w:tcPr>
            <w:tcW w:w="5636" w:type="dxa"/>
          </w:tcPr>
          <w:p w14:paraId="05AC73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Электрооборудование дневное и</w:t>
            </w:r>
          </w:p>
        </w:tc>
        <w:tc>
          <w:tcPr>
            <w:tcW w:w="5636" w:type="dxa"/>
          </w:tcPr>
          <w:p w14:paraId="43CE8B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486E0E4" w14:textId="77777777">
        <w:tc>
          <w:tcPr>
            <w:tcW w:w="5636" w:type="dxa"/>
          </w:tcPr>
          <w:p w14:paraId="576BFE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ночное</w:t>
            </w:r>
          </w:p>
        </w:tc>
        <w:tc>
          <w:tcPr>
            <w:tcW w:w="5636" w:type="dxa"/>
          </w:tcPr>
          <w:p w14:paraId="651A7E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 кг</w:t>
            </w:r>
          </w:p>
        </w:tc>
      </w:tr>
      <w:tr w:rsidR="00F26F01" w:rsidRPr="00C33834" w14:paraId="4D5C482B" w14:textId="77777777">
        <w:tc>
          <w:tcPr>
            <w:tcW w:w="5636" w:type="dxa"/>
          </w:tcPr>
          <w:p w14:paraId="056E66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Радиооборудование</w:t>
            </w:r>
          </w:p>
        </w:tc>
        <w:tc>
          <w:tcPr>
            <w:tcW w:w="5636" w:type="dxa"/>
          </w:tcPr>
          <w:p w14:paraId="774C83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 кг</w:t>
            </w:r>
          </w:p>
        </w:tc>
      </w:tr>
      <w:tr w:rsidR="00F26F01" w:rsidRPr="00C33834" w14:paraId="532DD985" w14:textId="77777777">
        <w:tc>
          <w:tcPr>
            <w:tcW w:w="5636" w:type="dxa"/>
          </w:tcPr>
          <w:p w14:paraId="68496E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Багаж</w:t>
            </w:r>
          </w:p>
        </w:tc>
        <w:tc>
          <w:tcPr>
            <w:tcW w:w="5636" w:type="dxa"/>
          </w:tcPr>
          <w:p w14:paraId="64274F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кг</w:t>
            </w:r>
          </w:p>
        </w:tc>
      </w:tr>
      <w:tr w:rsidR="00F26F01" w:rsidRPr="00C33834" w14:paraId="30C9C73C" w14:textId="77777777">
        <w:tc>
          <w:tcPr>
            <w:tcW w:w="5636" w:type="dxa"/>
          </w:tcPr>
          <w:p w14:paraId="20FE9FE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5636" w:type="dxa"/>
          </w:tcPr>
          <w:p w14:paraId="634A346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385 кг</w:t>
            </w:r>
          </w:p>
        </w:tc>
      </w:tr>
      <w:tr w:rsidR="00F26F01" w:rsidRPr="00C33834" w14:paraId="54747E93" w14:textId="77777777">
        <w:tc>
          <w:tcPr>
            <w:tcW w:w="5636" w:type="dxa"/>
          </w:tcPr>
          <w:p w14:paraId="47ED24E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Горючее нормальный запас</w:t>
            </w:r>
          </w:p>
        </w:tc>
        <w:tc>
          <w:tcPr>
            <w:tcW w:w="5636" w:type="dxa"/>
          </w:tcPr>
          <w:p w14:paraId="6FACD50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 кг</w:t>
            </w:r>
          </w:p>
        </w:tc>
      </w:tr>
      <w:tr w:rsidR="00F26F01" w:rsidRPr="00C33834" w14:paraId="7160FAFD" w14:textId="77777777">
        <w:tc>
          <w:tcPr>
            <w:tcW w:w="5636" w:type="dxa"/>
          </w:tcPr>
          <w:p w14:paraId="1428A6F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Масло</w:t>
            </w:r>
          </w:p>
        </w:tc>
        <w:tc>
          <w:tcPr>
            <w:tcW w:w="5636" w:type="dxa"/>
          </w:tcPr>
          <w:p w14:paraId="769947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 кг</w:t>
            </w:r>
          </w:p>
        </w:tc>
      </w:tr>
      <w:tr w:rsidR="00F26F01" w:rsidRPr="00C33834" w14:paraId="18A48F8B" w14:textId="77777777">
        <w:tc>
          <w:tcPr>
            <w:tcW w:w="5636" w:type="dxa"/>
          </w:tcPr>
          <w:p w14:paraId="3089AF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5636" w:type="dxa"/>
          </w:tcPr>
          <w:p w14:paraId="2D0E4CC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1100 кг</w:t>
            </w:r>
          </w:p>
        </w:tc>
      </w:tr>
      <w:tr w:rsidR="00F26F01" w:rsidRPr="00C33834" w14:paraId="7CD9C5A6" w14:textId="77777777">
        <w:tc>
          <w:tcPr>
            <w:tcW w:w="5636" w:type="dxa"/>
          </w:tcPr>
          <w:p w14:paraId="7C2376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Полетный вес нормальный</w:t>
            </w:r>
          </w:p>
        </w:tc>
        <w:tc>
          <w:tcPr>
            <w:tcW w:w="5636" w:type="dxa"/>
          </w:tcPr>
          <w:p w14:paraId="77907B5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3895 кг</w:t>
            </w:r>
          </w:p>
        </w:tc>
      </w:tr>
      <w:tr w:rsidR="00F26F01" w:rsidRPr="00C33834" w14:paraId="4544F0EE" w14:textId="77777777">
        <w:tc>
          <w:tcPr>
            <w:tcW w:w="5636" w:type="dxa"/>
          </w:tcPr>
          <w:p w14:paraId="49805EE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Полетный вес с перегрузкой</w:t>
            </w:r>
          </w:p>
        </w:tc>
        <w:tc>
          <w:tcPr>
            <w:tcW w:w="5636" w:type="dxa"/>
          </w:tcPr>
          <w:p w14:paraId="5CC67A0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4600 кг</w:t>
            </w:r>
          </w:p>
        </w:tc>
      </w:tr>
      <w:tr w:rsidR="00F26F01" w:rsidRPr="00C33834" w14:paraId="488C88EE" w14:textId="77777777">
        <w:tc>
          <w:tcPr>
            <w:tcW w:w="5636" w:type="dxa"/>
          </w:tcPr>
          <w:p w14:paraId="00DBBA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Нагрузка на м кв. Норм.</w:t>
            </w:r>
          </w:p>
        </w:tc>
        <w:tc>
          <w:tcPr>
            <w:tcW w:w="5636" w:type="dxa"/>
          </w:tcPr>
          <w:p w14:paraId="0897F4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 кг</w:t>
            </w:r>
          </w:p>
        </w:tc>
      </w:tr>
      <w:tr w:rsidR="00F26F01" w:rsidRPr="00C33834" w14:paraId="0C11F487" w14:textId="77777777">
        <w:tc>
          <w:tcPr>
            <w:tcW w:w="5636" w:type="dxa"/>
          </w:tcPr>
          <w:p w14:paraId="526DE60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Нагрузка на м кв. с перегр.</w:t>
            </w:r>
          </w:p>
        </w:tc>
        <w:tc>
          <w:tcPr>
            <w:tcW w:w="5636" w:type="dxa"/>
          </w:tcPr>
          <w:p w14:paraId="5D1F126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112 кг</w:t>
            </w:r>
          </w:p>
        </w:tc>
      </w:tr>
      <w:tr w:rsidR="00F26F01" w:rsidRPr="00C33834" w14:paraId="6F5305EA" w14:textId="77777777">
        <w:tc>
          <w:tcPr>
            <w:tcW w:w="5636" w:type="dxa"/>
          </w:tcPr>
          <w:p w14:paraId="27DEA3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Летные данные самолета.</w:t>
            </w:r>
          </w:p>
        </w:tc>
        <w:tc>
          <w:tcPr>
            <w:tcW w:w="5636" w:type="dxa"/>
          </w:tcPr>
          <w:p w14:paraId="2328CD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6806E24" w14:textId="77777777">
        <w:tc>
          <w:tcPr>
            <w:tcW w:w="5636" w:type="dxa"/>
          </w:tcPr>
          <w:p w14:paraId="5F16DD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Максимальная </w:t>
            </w:r>
          </w:p>
        </w:tc>
        <w:tc>
          <w:tcPr>
            <w:tcW w:w="5636" w:type="dxa"/>
          </w:tcPr>
          <w:p w14:paraId="0B390BA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76F265B" w14:textId="77777777">
        <w:tc>
          <w:tcPr>
            <w:tcW w:w="5636" w:type="dxa"/>
          </w:tcPr>
          <w:p w14:paraId="280E33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горизонтальная скорость </w:t>
            </w:r>
          </w:p>
        </w:tc>
        <w:tc>
          <w:tcPr>
            <w:tcW w:w="5636" w:type="dxa"/>
          </w:tcPr>
          <w:p w14:paraId="43DD2F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330-350 км/час </w:t>
            </w:r>
          </w:p>
        </w:tc>
      </w:tr>
      <w:tr w:rsidR="00F26F01" w:rsidRPr="00C33834" w14:paraId="6CE8D23F" w14:textId="77777777">
        <w:tc>
          <w:tcPr>
            <w:tcW w:w="5636" w:type="dxa"/>
          </w:tcPr>
          <w:p w14:paraId="1E1F38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убранным шасси)*</w:t>
            </w:r>
          </w:p>
        </w:tc>
        <w:tc>
          <w:tcPr>
            <w:tcW w:w="5636" w:type="dxa"/>
          </w:tcPr>
          <w:p w14:paraId="2EC8EA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FCE0BBA" w14:textId="77777777">
        <w:tc>
          <w:tcPr>
            <w:tcW w:w="5636" w:type="dxa"/>
          </w:tcPr>
          <w:p w14:paraId="3AD6A0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Крейсерская скорость</w:t>
            </w:r>
          </w:p>
        </w:tc>
        <w:tc>
          <w:tcPr>
            <w:tcW w:w="5636" w:type="dxa"/>
          </w:tcPr>
          <w:p w14:paraId="56D4E1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290-300 км/час</w:t>
            </w:r>
          </w:p>
        </w:tc>
      </w:tr>
      <w:tr w:rsidR="00F26F01" w:rsidRPr="00C33834" w14:paraId="6099D9F9" w14:textId="77777777">
        <w:tc>
          <w:tcPr>
            <w:tcW w:w="5636" w:type="dxa"/>
          </w:tcPr>
          <w:p w14:paraId="5EA4BCC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Посадочная скорость</w:t>
            </w:r>
          </w:p>
        </w:tc>
        <w:tc>
          <w:tcPr>
            <w:tcW w:w="5636" w:type="dxa"/>
          </w:tcPr>
          <w:p w14:paraId="70EA1E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 км/час</w:t>
            </w:r>
          </w:p>
        </w:tc>
      </w:tr>
      <w:tr w:rsidR="00F26F01" w:rsidRPr="00C33834" w14:paraId="49175CAD" w14:textId="77777777">
        <w:tc>
          <w:tcPr>
            <w:tcW w:w="5636" w:type="dxa"/>
          </w:tcPr>
          <w:p w14:paraId="094C09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на 3000 м</w:t>
            </w:r>
          </w:p>
        </w:tc>
        <w:tc>
          <w:tcPr>
            <w:tcW w:w="5636" w:type="dxa"/>
          </w:tcPr>
          <w:p w14:paraId="4514C6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мин.</w:t>
            </w:r>
          </w:p>
        </w:tc>
      </w:tr>
      <w:tr w:rsidR="00F26F01" w:rsidRPr="00C33834" w14:paraId="102EA9A5" w14:textId="77777777">
        <w:tc>
          <w:tcPr>
            <w:tcW w:w="5636" w:type="dxa"/>
          </w:tcPr>
          <w:p w14:paraId="204B33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на 5000 м</w:t>
            </w:r>
          </w:p>
        </w:tc>
        <w:tc>
          <w:tcPr>
            <w:tcW w:w="5636" w:type="dxa"/>
          </w:tcPr>
          <w:p w14:paraId="0009B9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мин.</w:t>
            </w:r>
          </w:p>
        </w:tc>
      </w:tr>
      <w:tr w:rsidR="00F26F01" w:rsidRPr="00C33834" w14:paraId="4F106823" w14:textId="77777777">
        <w:tc>
          <w:tcPr>
            <w:tcW w:w="5636" w:type="dxa"/>
          </w:tcPr>
          <w:p w14:paraId="692ECB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5636" w:type="dxa"/>
          </w:tcPr>
          <w:p w14:paraId="43487DD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 м</w:t>
            </w:r>
          </w:p>
        </w:tc>
      </w:tr>
      <w:tr w:rsidR="00F26F01" w:rsidRPr="00C33834" w14:paraId="33300F6F" w14:textId="77777777">
        <w:tc>
          <w:tcPr>
            <w:tcW w:w="5636" w:type="dxa"/>
          </w:tcPr>
          <w:p w14:paraId="4377E80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полета нормальная</w:t>
            </w:r>
          </w:p>
        </w:tc>
        <w:tc>
          <w:tcPr>
            <w:tcW w:w="5636" w:type="dxa"/>
          </w:tcPr>
          <w:p w14:paraId="6A0DEC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3250 км</w:t>
            </w:r>
          </w:p>
        </w:tc>
      </w:tr>
      <w:tr w:rsidR="00F26F01" w:rsidRPr="00C33834" w14:paraId="52B5431C" w14:textId="77777777">
        <w:tc>
          <w:tcPr>
            <w:tcW w:w="5636" w:type="dxa"/>
          </w:tcPr>
          <w:p w14:paraId="55CCE2A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полета с перегруз.</w:t>
            </w:r>
          </w:p>
        </w:tc>
        <w:tc>
          <w:tcPr>
            <w:tcW w:w="5636" w:type="dxa"/>
          </w:tcPr>
          <w:p w14:paraId="301FE5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 км</w:t>
            </w:r>
          </w:p>
        </w:tc>
      </w:tr>
    </w:tbl>
    <w:p w14:paraId="0EDC659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Приложение: аэродинамический расчет, определение положения центра тяжести самолета, альбом деталей и чертежи NN 2-12, итого 11 шт.</w:t>
      </w:r>
    </w:p>
    <w:p w14:paraId="3830F75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Объяснительная записка к военному варианту самолета "Э-МАИ-2-М34".</w:t>
      </w:r>
    </w:p>
    <w:p w14:paraId="498E918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Военный вариант самолета Э-МАИ-2 рассматривается как вариант переделки рекордного гражданского самолета для военных целей, применительно к техническим требованиям НИИ ВВС от июля 1933 г.</w:t>
      </w:r>
    </w:p>
    <w:p w14:paraId="7D71298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основном этот военный вариант имеет целью выполнение нижеследующих заданий:</w:t>
      </w:r>
    </w:p>
    <w:p w14:paraId="7953F3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разрушение укреплений полевого типа и поражение мото-мехбрончастей, артиллерии и живых сил противника;</w:t>
      </w:r>
    </w:p>
    <w:p w14:paraId="24B8B5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разрушение объектов в тылу противника: база, аэродромы, артсклады и парки, легкие ж/д сооружения;</w:t>
      </w:r>
    </w:p>
    <w:p w14:paraId="5D1E88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разрушение речных переправ.</w:t>
      </w:r>
    </w:p>
    <w:p w14:paraId="77707A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Общий вид военных вариантов представлен на рис. 13 и 14.</w:t>
      </w:r>
    </w:p>
    <w:p w14:paraId="3123D0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конструктивном отношении и схемы последние сохраняются нетронутыми во всех своих силовых и прочих элементах конструкции.</w:t>
      </w:r>
    </w:p>
    <w:p w14:paraId="4603C4F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самолете предусматривается возможность и конструктивно могут быть разрешены:</w:t>
      </w:r>
    </w:p>
    <w:p w14:paraId="19A78C6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установки одного пулемета Шкас для стрельбы через винт;</w:t>
      </w:r>
    </w:p>
    <w:p w14:paraId="4BC2E5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установки и размещение для него прицелов, проводов управления огнем и ящиков с 1000 патронами;</w:t>
      </w:r>
    </w:p>
    <w:p w14:paraId="0EEC1A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приспособление в верхней части фонаря фюзеляжа турель с пулеметом Шкас для стрельбы назад;</w:t>
      </w:r>
    </w:p>
    <w:p w14:paraId="12CCEB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обеспечение питания этого пулемета патронами в звеньях 1500 шт.;</w:t>
      </w:r>
    </w:p>
    <w:p w14:paraId="5A656E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возможность подвески в крыльях бомб калибра 50, 82, 100 м до 500 кг с соответствующей установкой держателей, замков и сбрасывателей;</w:t>
      </w:r>
    </w:p>
    <w:p w14:paraId="0041046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возможность установки дымовых приборов ДАП;</w:t>
      </w:r>
    </w:p>
    <w:p w14:paraId="59538D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возможность установки прицелов Герц и обеспечение подхода к нему.</w:t>
      </w:r>
    </w:p>
    <w:p w14:paraId="7556580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Размеры самолета:</w:t>
      </w:r>
    </w:p>
    <w:p w14:paraId="0C7BF0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 же, что и у гражданского варианта.</w:t>
      </w:r>
    </w:p>
    <w:p w14:paraId="09D527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Весовые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40F6B741" w14:textId="77777777">
        <w:tc>
          <w:tcPr>
            <w:tcW w:w="5636" w:type="dxa"/>
          </w:tcPr>
          <w:p w14:paraId="51586C8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пустого самолета</w:t>
            </w:r>
          </w:p>
        </w:tc>
        <w:tc>
          <w:tcPr>
            <w:tcW w:w="5636" w:type="dxa"/>
          </w:tcPr>
          <w:p w14:paraId="484959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2344</w:t>
            </w:r>
          </w:p>
        </w:tc>
      </w:tr>
      <w:tr w:rsidR="00F26F01" w:rsidRPr="00C33834" w14:paraId="5F0301C2" w14:textId="77777777">
        <w:tc>
          <w:tcPr>
            <w:tcW w:w="5636" w:type="dxa"/>
          </w:tcPr>
          <w:p w14:paraId="53E10A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Полная нормальная нагрузка</w:t>
            </w:r>
          </w:p>
        </w:tc>
        <w:tc>
          <w:tcPr>
            <w:tcW w:w="5636" w:type="dxa"/>
          </w:tcPr>
          <w:p w14:paraId="7B574B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1482</w:t>
            </w:r>
          </w:p>
        </w:tc>
      </w:tr>
      <w:tr w:rsidR="00F26F01" w:rsidRPr="00C33834" w14:paraId="30416A64" w14:textId="77777777">
        <w:tc>
          <w:tcPr>
            <w:tcW w:w="5636" w:type="dxa"/>
          </w:tcPr>
          <w:p w14:paraId="1167620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состоит из:</w:t>
            </w:r>
          </w:p>
        </w:tc>
        <w:tc>
          <w:tcPr>
            <w:tcW w:w="5636" w:type="dxa"/>
          </w:tcPr>
          <w:p w14:paraId="46290F6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DB2901F" w14:textId="77777777">
        <w:tc>
          <w:tcPr>
            <w:tcW w:w="5636" w:type="dxa"/>
          </w:tcPr>
          <w:p w14:paraId="589B551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Экипажа 2 чел.</w:t>
            </w:r>
          </w:p>
        </w:tc>
        <w:tc>
          <w:tcPr>
            <w:tcW w:w="5636" w:type="dxa"/>
          </w:tcPr>
          <w:p w14:paraId="5A1C609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 кг</w:t>
            </w:r>
          </w:p>
        </w:tc>
      </w:tr>
      <w:tr w:rsidR="00F26F01" w:rsidRPr="00C33834" w14:paraId="39C571A6" w14:textId="77777777">
        <w:tc>
          <w:tcPr>
            <w:tcW w:w="5636" w:type="dxa"/>
          </w:tcPr>
          <w:p w14:paraId="164FB4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Стрелковое вооружение</w:t>
            </w:r>
          </w:p>
        </w:tc>
        <w:tc>
          <w:tcPr>
            <w:tcW w:w="5636" w:type="dxa"/>
          </w:tcPr>
          <w:p w14:paraId="0ABE18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143 кг</w:t>
            </w:r>
          </w:p>
        </w:tc>
      </w:tr>
      <w:tr w:rsidR="00F26F01" w:rsidRPr="00C33834" w14:paraId="2F33B1C2" w14:textId="77777777">
        <w:tc>
          <w:tcPr>
            <w:tcW w:w="5636" w:type="dxa"/>
          </w:tcPr>
          <w:p w14:paraId="66A5CE1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Бомбардировочное вооружение</w:t>
            </w:r>
          </w:p>
        </w:tc>
        <w:tc>
          <w:tcPr>
            <w:tcW w:w="5636" w:type="dxa"/>
          </w:tcPr>
          <w:p w14:paraId="01E0FC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330 кг</w:t>
            </w:r>
          </w:p>
        </w:tc>
      </w:tr>
      <w:tr w:rsidR="00F26F01" w:rsidRPr="00C33834" w14:paraId="33D344EE" w14:textId="77777777">
        <w:tc>
          <w:tcPr>
            <w:tcW w:w="5636" w:type="dxa"/>
          </w:tcPr>
          <w:p w14:paraId="6D372A2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Электрооборудование</w:t>
            </w:r>
          </w:p>
        </w:tc>
        <w:tc>
          <w:tcPr>
            <w:tcW w:w="5636" w:type="dxa"/>
          </w:tcPr>
          <w:p w14:paraId="785A1B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кг</w:t>
            </w:r>
          </w:p>
        </w:tc>
      </w:tr>
      <w:tr w:rsidR="00F26F01" w:rsidRPr="00C33834" w14:paraId="5165B644" w14:textId="77777777">
        <w:tc>
          <w:tcPr>
            <w:tcW w:w="5636" w:type="dxa"/>
          </w:tcPr>
          <w:p w14:paraId="4B08359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Аэронавигационное оборуд.</w:t>
            </w:r>
          </w:p>
        </w:tc>
        <w:tc>
          <w:tcPr>
            <w:tcW w:w="5636" w:type="dxa"/>
          </w:tcPr>
          <w:p w14:paraId="14FD384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кг</w:t>
            </w:r>
          </w:p>
        </w:tc>
      </w:tr>
      <w:tr w:rsidR="00F26F01" w:rsidRPr="00C33834" w14:paraId="004537AA" w14:textId="77777777">
        <w:tc>
          <w:tcPr>
            <w:tcW w:w="5636" w:type="dxa"/>
          </w:tcPr>
          <w:p w14:paraId="460E35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Радиооборудование</w:t>
            </w:r>
          </w:p>
        </w:tc>
        <w:tc>
          <w:tcPr>
            <w:tcW w:w="5636" w:type="dxa"/>
          </w:tcPr>
          <w:p w14:paraId="2A32F7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кг</w:t>
            </w:r>
          </w:p>
        </w:tc>
      </w:tr>
      <w:tr w:rsidR="00F26F01" w:rsidRPr="00C33834" w14:paraId="066BE285" w14:textId="77777777">
        <w:tc>
          <w:tcPr>
            <w:tcW w:w="5636" w:type="dxa"/>
          </w:tcPr>
          <w:p w14:paraId="7A7512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Вспомогательное оборудов.</w:t>
            </w:r>
          </w:p>
        </w:tc>
        <w:tc>
          <w:tcPr>
            <w:tcW w:w="5636" w:type="dxa"/>
          </w:tcPr>
          <w:p w14:paraId="78483D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 кг</w:t>
            </w:r>
          </w:p>
        </w:tc>
      </w:tr>
      <w:tr w:rsidR="00F26F01" w:rsidRPr="00C33834" w14:paraId="1C37FF08" w14:textId="77777777">
        <w:tc>
          <w:tcPr>
            <w:tcW w:w="5636" w:type="dxa"/>
          </w:tcPr>
          <w:p w14:paraId="73DDB06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5636" w:type="dxa"/>
          </w:tcPr>
          <w:p w14:paraId="1AC540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712 кг</w:t>
            </w:r>
          </w:p>
        </w:tc>
      </w:tr>
      <w:tr w:rsidR="00F26F01" w:rsidRPr="00C33834" w14:paraId="3066CA91" w14:textId="77777777">
        <w:tc>
          <w:tcPr>
            <w:tcW w:w="5636" w:type="dxa"/>
          </w:tcPr>
          <w:p w14:paraId="2B3F9F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Горючее</w:t>
            </w:r>
          </w:p>
        </w:tc>
        <w:tc>
          <w:tcPr>
            <w:tcW w:w="5636" w:type="dxa"/>
          </w:tcPr>
          <w:p w14:paraId="42D640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 кг</w:t>
            </w:r>
          </w:p>
        </w:tc>
      </w:tr>
      <w:tr w:rsidR="00F26F01" w:rsidRPr="00C33834" w14:paraId="40853648" w14:textId="77777777">
        <w:tc>
          <w:tcPr>
            <w:tcW w:w="5636" w:type="dxa"/>
          </w:tcPr>
          <w:p w14:paraId="7275E65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Масло</w:t>
            </w:r>
          </w:p>
        </w:tc>
        <w:tc>
          <w:tcPr>
            <w:tcW w:w="5636" w:type="dxa"/>
          </w:tcPr>
          <w:p w14:paraId="3012139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 кг</w:t>
            </w:r>
          </w:p>
        </w:tc>
      </w:tr>
      <w:tr w:rsidR="00F26F01" w:rsidRPr="00C33834" w14:paraId="77A249D2" w14:textId="77777777">
        <w:tc>
          <w:tcPr>
            <w:tcW w:w="5636" w:type="dxa"/>
          </w:tcPr>
          <w:p w14:paraId="518040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Полетный вес</w:t>
            </w:r>
          </w:p>
        </w:tc>
        <w:tc>
          <w:tcPr>
            <w:tcW w:w="5636" w:type="dxa"/>
          </w:tcPr>
          <w:p w14:paraId="4028C8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3826 кг</w:t>
            </w:r>
          </w:p>
        </w:tc>
      </w:tr>
    </w:tbl>
    <w:p w14:paraId="27F6E88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Летные данные самолета</w:t>
      </w:r>
    </w:p>
    <w:p w14:paraId="4642C0B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весе 4018 кг с бомбами)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2317B573" w14:textId="77777777">
        <w:tc>
          <w:tcPr>
            <w:tcW w:w="5636" w:type="dxa"/>
          </w:tcPr>
          <w:p w14:paraId="09E8A9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 горизонтальная</w:t>
            </w:r>
          </w:p>
        </w:tc>
        <w:tc>
          <w:tcPr>
            <w:tcW w:w="5636" w:type="dxa"/>
          </w:tcPr>
          <w:p w14:paraId="3DB3502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85C786E" w14:textId="77777777">
        <w:tc>
          <w:tcPr>
            <w:tcW w:w="5636" w:type="dxa"/>
          </w:tcPr>
          <w:p w14:paraId="5F98D43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у земли</w:t>
            </w:r>
          </w:p>
        </w:tc>
        <w:tc>
          <w:tcPr>
            <w:tcW w:w="5636" w:type="dxa"/>
          </w:tcPr>
          <w:p w14:paraId="051241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270-290 км/час*</w:t>
            </w:r>
          </w:p>
        </w:tc>
      </w:tr>
      <w:tr w:rsidR="00F26F01" w:rsidRPr="00C33834" w14:paraId="0C12505A" w14:textId="77777777">
        <w:tc>
          <w:tcPr>
            <w:tcW w:w="5636" w:type="dxa"/>
          </w:tcPr>
          <w:p w14:paraId="7E84D6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Крейсерская скорость</w:t>
            </w:r>
          </w:p>
        </w:tc>
        <w:tc>
          <w:tcPr>
            <w:tcW w:w="5636" w:type="dxa"/>
          </w:tcPr>
          <w:p w14:paraId="491A2BE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240-250 км/час</w:t>
            </w:r>
          </w:p>
        </w:tc>
      </w:tr>
      <w:tr w:rsidR="00F26F01" w:rsidRPr="00C33834" w14:paraId="38DCA477" w14:textId="77777777">
        <w:tc>
          <w:tcPr>
            <w:tcW w:w="5636" w:type="dxa"/>
          </w:tcPr>
          <w:p w14:paraId="35A1389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на 3000 м</w:t>
            </w:r>
          </w:p>
        </w:tc>
        <w:tc>
          <w:tcPr>
            <w:tcW w:w="5636" w:type="dxa"/>
          </w:tcPr>
          <w:p w14:paraId="050556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245-255 км/час</w:t>
            </w:r>
          </w:p>
        </w:tc>
      </w:tr>
      <w:tr w:rsidR="00F26F01" w:rsidRPr="00C33834" w14:paraId="28544831" w14:textId="77777777">
        <w:tc>
          <w:tcPr>
            <w:tcW w:w="5636" w:type="dxa"/>
          </w:tcPr>
          <w:p w14:paraId="039E37F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на 5000 м</w:t>
            </w:r>
          </w:p>
        </w:tc>
        <w:tc>
          <w:tcPr>
            <w:tcW w:w="5636" w:type="dxa"/>
          </w:tcPr>
          <w:p w14:paraId="67D66E5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235-245 км/час</w:t>
            </w:r>
          </w:p>
        </w:tc>
      </w:tr>
      <w:tr w:rsidR="00F26F01" w:rsidRPr="00C33834" w14:paraId="3D3E9684" w14:textId="77777777">
        <w:tc>
          <w:tcPr>
            <w:tcW w:w="5636" w:type="dxa"/>
          </w:tcPr>
          <w:p w14:paraId="44623CF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Посадочная скорост</w:t>
            </w:r>
          </w:p>
        </w:tc>
        <w:tc>
          <w:tcPr>
            <w:tcW w:w="5636" w:type="dxa"/>
          </w:tcPr>
          <w:p w14:paraId="07C8CBC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98 км/час</w:t>
            </w:r>
          </w:p>
        </w:tc>
      </w:tr>
      <w:tr w:rsidR="00F26F01" w:rsidRPr="00C33834" w14:paraId="26B748AB" w14:textId="77777777">
        <w:tc>
          <w:tcPr>
            <w:tcW w:w="5636" w:type="dxa"/>
          </w:tcPr>
          <w:p w14:paraId="25211E2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w:t>
            </w:r>
          </w:p>
        </w:tc>
        <w:tc>
          <w:tcPr>
            <w:tcW w:w="5636" w:type="dxa"/>
          </w:tcPr>
          <w:p w14:paraId="028E43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6000-6200 м</w:t>
            </w:r>
          </w:p>
        </w:tc>
      </w:tr>
      <w:tr w:rsidR="00F26F01" w:rsidRPr="00C33834" w14:paraId="0202304C" w14:textId="77777777">
        <w:tc>
          <w:tcPr>
            <w:tcW w:w="5636" w:type="dxa"/>
          </w:tcPr>
          <w:p w14:paraId="606B8E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на 3000 м</w:t>
            </w:r>
          </w:p>
        </w:tc>
        <w:tc>
          <w:tcPr>
            <w:tcW w:w="5636" w:type="dxa"/>
          </w:tcPr>
          <w:p w14:paraId="1937855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10-12 мин.</w:t>
            </w:r>
          </w:p>
        </w:tc>
      </w:tr>
      <w:tr w:rsidR="00F26F01" w:rsidRPr="00C33834" w14:paraId="382CA8D3" w14:textId="77777777">
        <w:tc>
          <w:tcPr>
            <w:tcW w:w="5636" w:type="dxa"/>
          </w:tcPr>
          <w:p w14:paraId="29038C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на 5000 м</w:t>
            </w:r>
          </w:p>
        </w:tc>
        <w:tc>
          <w:tcPr>
            <w:tcW w:w="5636" w:type="dxa"/>
          </w:tcPr>
          <w:p w14:paraId="0822C00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25-27 мин.</w:t>
            </w:r>
          </w:p>
        </w:tc>
      </w:tr>
      <w:tr w:rsidR="00F26F01" w:rsidRPr="00C33834" w14:paraId="3B0FDD5A" w14:textId="77777777">
        <w:tc>
          <w:tcPr>
            <w:tcW w:w="5636" w:type="dxa"/>
          </w:tcPr>
          <w:p w14:paraId="245584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полета</w:t>
            </w:r>
          </w:p>
        </w:tc>
        <w:tc>
          <w:tcPr>
            <w:tcW w:w="5636" w:type="dxa"/>
          </w:tcPr>
          <w:p w14:paraId="7FD8CB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1500-1800</w:t>
            </w:r>
          </w:p>
        </w:tc>
      </w:tr>
    </w:tbl>
    <w:p w14:paraId="6AABAA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Приложения: Аэродинамический расчет, определение положения центра тяжести самолета, 2 схемы самолета NN 13 и 14 (2226,41).</w:t>
      </w:r>
    </w:p>
    <w:p w14:paraId="56A68A5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E15DD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ноября 1933 года начальник Глававиапрома Королев подписал:</w:t>
      </w:r>
    </w:p>
    <w:p w14:paraId="37D13D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Справка</w:t>
      </w:r>
    </w:p>
    <w:p w14:paraId="713774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расчетах стоимости моторов, приобретаемых в САСШ у фирмы "Кертис-Райт" доллар принят округленно в 2 рубля золотом, исходя из тех соображений, что курсовая цена доллара при покупке в кредит Наркомфином принята в 1 рубль 94 копейки. Сверх того добавлены 3% в обеспечение накладных расходов, поскольку цены на моторы фирма назвала ориентировочно (4170, 26).</w:t>
      </w:r>
    </w:p>
    <w:p w14:paraId="7771D9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5BB0265" w14:textId="77777777" w:rsidR="00170D88" w:rsidRPr="00C33834" w:rsidRDefault="00170D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ноября 1933 Ляпидев</w:t>
      </w:r>
      <w:r w:rsidRPr="00C33834">
        <w:rPr>
          <w:rFonts w:ascii="Times New Roman" w:hAnsi="Times New Roman"/>
          <w:color w:val="000000" w:themeColor="text1"/>
          <w:sz w:val="16"/>
          <w:szCs w:val="16"/>
        </w:rPr>
        <w:softHyphen/>
        <w:t>ский опробовал в воздухе первый самолёт АНТ-4, сел на лед вблизи парохода. Выявились не</w:t>
      </w:r>
      <w:r w:rsidRPr="00C33834">
        <w:rPr>
          <w:rFonts w:ascii="Times New Roman" w:hAnsi="Times New Roman"/>
          <w:color w:val="000000" w:themeColor="text1"/>
          <w:sz w:val="16"/>
          <w:szCs w:val="16"/>
        </w:rPr>
        <w:softHyphen/>
        <w:t>которые дефекты, механики принялись их устранять. Ляпидевский был самым опытным лётчиком, в 1932 г. он стажировался на АНТ-4 в НИИ ВВС. Конкин на АНТ-4 не летал, на ходу обучаясь во время опробования второго самолёта. Всего сделали семь посадок.</w:t>
      </w:r>
    </w:p>
    <w:p w14:paraId="5257DBB2" w14:textId="77777777" w:rsidR="00170D88" w:rsidRPr="00C33834" w:rsidRDefault="00170D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прибытии начальником экспедиции назначили Г.Д. Красинского, опытного поляр</w:t>
      </w:r>
      <w:r w:rsidRPr="00C33834">
        <w:rPr>
          <w:rFonts w:ascii="Times New Roman" w:hAnsi="Times New Roman"/>
          <w:color w:val="000000" w:themeColor="text1"/>
          <w:sz w:val="16"/>
          <w:szCs w:val="16"/>
        </w:rPr>
        <w:softHyphen/>
        <w:t>ника, прекрасно знавшего ледовую обстановку. В 1927-1929 гг. он участвовал в трёх дальних перелетах по Восточной Сибири и Чукотке. Ляпидевский вспоминал, что имен</w:t>
      </w:r>
      <w:r w:rsidRPr="00C33834">
        <w:rPr>
          <w:rFonts w:ascii="Times New Roman" w:hAnsi="Times New Roman"/>
          <w:color w:val="000000" w:themeColor="text1"/>
          <w:sz w:val="16"/>
          <w:szCs w:val="16"/>
        </w:rPr>
        <w:softHyphen/>
        <w:t>но Красинский первый сказал ему, «что «Челюскин», пожалуй, из льдов не выберется — потонет» и предложил снимать людей с «Челюскина» в первую очередь.</w:t>
      </w:r>
    </w:p>
    <w:p w14:paraId="0F9410F0" w14:textId="77777777" w:rsidR="00170D88" w:rsidRPr="00C33834" w:rsidRDefault="00170D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Сложность обстановки усугублялась полярной ночью. До судна в один конец требо</w:t>
      </w:r>
      <w:r w:rsidRPr="00C33834">
        <w:rPr>
          <w:rFonts w:ascii="Times New Roman" w:hAnsi="Times New Roman"/>
          <w:color w:val="000000" w:themeColor="text1"/>
          <w:sz w:val="16"/>
          <w:szCs w:val="16"/>
        </w:rPr>
        <w:softHyphen/>
        <w:t>валось около семи лётных часов, а бывали дни, когда солнце вообще не всходило. Получив разрешение Шмидта, попытались лететь к «Челюскину», несмотря на то, что там была площадка всего 600</w:t>
      </w:r>
      <w:r w:rsidRPr="00C33834">
        <w:rPr>
          <w:rFonts w:ascii="Times New Roman" w:hAnsi="Times New Roman"/>
          <w:color w:val="000000" w:themeColor="text1"/>
          <w:sz w:val="16"/>
          <w:szCs w:val="16"/>
          <w:vertAlign w:val="superscript"/>
        </w:rPr>
        <w:t>х</w:t>
      </w:r>
      <w:r w:rsidRPr="00C33834">
        <w:rPr>
          <w:rFonts w:ascii="Times New Roman" w:hAnsi="Times New Roman"/>
          <w:color w:val="000000" w:themeColor="text1"/>
          <w:sz w:val="16"/>
          <w:szCs w:val="16"/>
        </w:rPr>
        <w:t>50 м, а для АНТ-4 требовалась как минимум в три раза шире. Промежуточной базой должно было стать селение Уэллен на мысе Дежнева. Перелететь туда смогли только 20 декабря, хотя неоднократно вылетали, но возвра</w:t>
      </w:r>
      <w:r w:rsidRPr="00C33834">
        <w:rPr>
          <w:rFonts w:ascii="Times New Roman" w:hAnsi="Times New Roman"/>
          <w:color w:val="000000" w:themeColor="text1"/>
          <w:sz w:val="16"/>
          <w:szCs w:val="16"/>
        </w:rPr>
        <w:softHyphen/>
        <w:t>щались из-за ненадежной работы моторов. Несколько раз полярного дня не хватало, чтобы успеть запустить и прогреть оба мотора (15822).</w:t>
      </w:r>
    </w:p>
    <w:p w14:paraId="3E5A6F6D" w14:textId="77777777" w:rsidR="00170D88" w:rsidRPr="00C33834" w:rsidRDefault="00170D88" w:rsidP="00C33834">
      <w:pPr>
        <w:spacing w:after="0" w:line="240" w:lineRule="auto"/>
        <w:jc w:val="both"/>
        <w:rPr>
          <w:rFonts w:ascii="Times New Roman" w:hAnsi="Times New Roman"/>
          <w:color w:val="000000" w:themeColor="text1"/>
          <w:sz w:val="16"/>
          <w:szCs w:val="16"/>
        </w:rPr>
      </w:pPr>
    </w:p>
    <w:p w14:paraId="2E7170D4"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10252C0"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12D7281" w14:textId="77777777" w:rsidR="00170D88" w:rsidRPr="00C33834" w:rsidRDefault="00170D88" w:rsidP="00C33834">
      <w:pPr>
        <w:pStyle w:val="rtejustify"/>
        <w:spacing w:before="0" w:after="0"/>
        <w:rPr>
          <w:color w:val="000000" w:themeColor="text1"/>
          <w:sz w:val="16"/>
          <w:szCs w:val="16"/>
        </w:rPr>
      </w:pPr>
      <w:r w:rsidRPr="00C33834">
        <w:rPr>
          <w:rStyle w:val="af0"/>
          <w:bCs/>
          <w:i w:val="0"/>
          <w:color w:val="000000" w:themeColor="text1"/>
          <w:sz w:val="16"/>
          <w:szCs w:val="16"/>
        </w:rPr>
        <w:t>29 ноября — 3 декабря 1933 вышел приказ НКТП № 226сс.</w:t>
      </w:r>
      <w:r w:rsidRPr="00C33834">
        <w:rPr>
          <w:color w:val="000000" w:themeColor="text1"/>
          <w:sz w:val="16"/>
          <w:szCs w:val="16"/>
        </w:rPr>
        <w:t xml:space="preserve"> Об организации Броневого совета в составе НКТП СССР. (РГАЭ. Ф. 7297. Оп. 38. Д. 38. Л. 213) (15246).</w:t>
      </w:r>
    </w:p>
    <w:p w14:paraId="278EA824" w14:textId="77777777" w:rsidR="00170D88" w:rsidRPr="00C33834" w:rsidRDefault="00170D88" w:rsidP="00C33834">
      <w:pPr>
        <w:pStyle w:val="rtejustify"/>
        <w:spacing w:before="0" w:after="0"/>
        <w:rPr>
          <w:color w:val="000000" w:themeColor="text1"/>
          <w:sz w:val="16"/>
          <w:szCs w:val="16"/>
        </w:rPr>
      </w:pPr>
    </w:p>
    <w:p w14:paraId="26D5286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ноября 1933 г. была ТЕЛЕГРАММА № 888 СПЕЦСООБЩЕНИЕ № 237 из Ленинграда</w:t>
      </w:r>
    </w:p>
    <w:p w14:paraId="5A7C8BAD" w14:textId="77777777" w:rsidR="002E2083" w:rsidRPr="00C33834" w:rsidRDefault="002E2083" w:rsidP="00C33834">
      <w:pPr>
        <w:autoSpaceDE w:val="0"/>
        <w:autoSpaceDN w:val="0"/>
        <w:adjustRightInd w:val="0"/>
        <w:spacing w:after="0" w:line="240" w:lineRule="auto"/>
        <w:jc w:val="both"/>
        <w:rPr>
          <w:rFonts w:ascii="Times New Roman" w:hAnsi="Times New Roman"/>
          <w:bCs/>
          <w:color w:val="000000" w:themeColor="text1"/>
          <w:sz w:val="16"/>
          <w:szCs w:val="16"/>
        </w:rPr>
      </w:pPr>
      <w:r w:rsidRPr="00C33834">
        <w:rPr>
          <w:rFonts w:ascii="Times New Roman" w:hAnsi="Times New Roman"/>
          <w:color w:val="000000" w:themeColor="text1"/>
          <w:sz w:val="16"/>
          <w:szCs w:val="16"/>
        </w:rPr>
        <w:t>Москва – Зам. Пред. Ягода; Нач. ЭКУ ОГПУ Миронов</w:t>
      </w:r>
    </w:p>
    <w:p w14:paraId="770760E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(Доложено Сталину) </w:t>
      </w:r>
    </w:p>
    <w:p w14:paraId="711CB3A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процессе следствия по делу ликвидированный Экономическим Отделом ПП ОГПУ в ЛВО польско-румынской шпионской агентуры на Ленинградских военных заводах, в дополнение к ранее посланным в ЭКУ ОГПУ показаниям инженера Зильберберга, переброшенного для разведывательных целей румынской и действовавшего в Ленинграде по указаниям инженера Особого Конструкторского Бюро завода им. “Коминтерна” – Капелюшкника, на 27 ноября с. г. добыто ряд новых показаний, устанавливающих, что шпионской сеткой, кроме Военно-Морской Части завода “Электроприбор”, были охвачены: совершенно секретное производство завода им. “Коминтерна” и “Электроморстрой” (производящий монтаж подводных лодок).</w:t>
      </w:r>
    </w:p>
    <w:p w14:paraId="75255A7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Зильбербергом, для разведывательной работы в пользу Поьши был завербован инженер-практик Военно-Морской Части завода “Электроприбор” – Дмитриев, который показал, что он в свою очередь извлек для разведывательной работы Зав. архивом Военно-Морской Части Аксенова.</w:t>
      </w:r>
    </w:p>
    <w:p w14:paraId="350BB19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Дмитриев показал:</w:t>
      </w:r>
    </w:p>
    <w:p w14:paraId="1CA8B0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...”Начиная с октября 1932 г. до последнего времени, я систематически получал от Аксенова И.И. материалы по военным заказам Военно-Морской Части и передавал их Зельбербергу Л.Я.</w:t>
      </w:r>
    </w:p>
    <w:p w14:paraId="0E7B31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за этот период я передал Л.Я. Зильбербергу сведения и чертями (синьки) по следующим объектами:</w:t>
      </w:r>
    </w:p>
    <w:p w14:paraId="2737DF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Приборы управления огнем зенитной артиллерии, 2) Гиропилот, 3) Гирокомпас, 4) Горигоризонт, 5) Прибор управления артиллерийским огнем береговой обороны, с указанием назначения их по отдельным заказам и 6) комплект чертежей по заказу “Вышка”.</w:t>
      </w:r>
    </w:p>
    <w:p w14:paraId="2597D2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все эти материалы я получил от Зильберберга 6000 рублей в разное время, из которых 3000 рублей передал Аксенову И.И., а остальные оставил для себя”.</w:t>
      </w:r>
    </w:p>
    <w:p w14:paraId="4C6FCB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Дмитриевым, кроме Аксенова, для сбора сведений о военных заказах, были завербованы: механик 2-го сборочного цеха – Бодний, исключенный из партии за принадлежность к троцкистской оппозиции, давший сведения о состоянии и количестве заказа особо секретного прибора и техник Планово-распределительного отдела Военно-Морской Части – Константинов, по освещению особо секретных заказов “Вышка”.</w:t>
      </w:r>
    </w:p>
    <w:p w14:paraId="77D17C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на Военно-Морской Части завода “Электроприбор” имелась шпионская сетка, в количестве 4-х человек, располагавшая сведениями о состоянии всех военных заказов, возглавляемая и оплачиваемая Зильбербергом.</w:t>
      </w:r>
    </w:p>
    <w:p w14:paraId="3A9578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Показаниями Дмитриева устанавливается, что в июле месяце 1933 г. к нему обратился инженер “Электроморстроя” Тимофеев с просьбой дать ему сведения о количестве и состоянии заказов Военно-Морской Части “Электроприбор”.</w:t>
      </w:r>
    </w:p>
    <w:p w14:paraId="132E63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этому вопросу Дмитриев в своих показаниях пишет:</w:t>
      </w:r>
    </w:p>
    <w:p w14:paraId="75A18EB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 конце июля начале августа, приготовив в письменном виде сведения о состоянии заказов по Военно-Морской Части и их количестве, я свез их на службу к Тимофееву Е.С. (пр. 25 октября – недалеко от улицы Герцена), где и передал ему. Здесь получил от него 2500 рублей”.</w:t>
      </w:r>
    </w:p>
    <w:p w14:paraId="51ED233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производстве обыска на квартире Капеоюшника был обнаружен ряд чертежей, в том числе детали заказов “Электроморстоя”.</w:t>
      </w:r>
    </w:p>
    <w:p w14:paraId="116C4D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в день ареста Зильберберга у него обнаружены три чертежа приборов электрического управления артиллерийским огнем.</w:t>
      </w:r>
    </w:p>
    <w:p w14:paraId="02DA3F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Обнаруженные при обыске чертежи приобщены к делу, как вещественное доказательство.</w:t>
      </w:r>
    </w:p>
    <w:p w14:paraId="09CA62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делу арестовано 4 человека.</w:t>
      </w:r>
    </w:p>
    <w:p w14:paraId="344156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Намечены дальнейшие аресты.</w:t>
      </w:r>
    </w:p>
    <w:p w14:paraId="49B050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ПП ОГПУ в ЛВО Медведь</w:t>
      </w:r>
    </w:p>
    <w:p w14:paraId="0C179D9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 ЭКО ПП Зверев</w:t>
      </w:r>
    </w:p>
    <w:p w14:paraId="0105DA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 РФ, ф.3, оп.58, д.243, лл.204-206 (11462).</w:t>
      </w:r>
    </w:p>
    <w:p w14:paraId="58A35F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E8798B2" w14:textId="77777777" w:rsidR="00054834" w:rsidRPr="00C33834" w:rsidRDefault="00054834"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2F9A4F5" w14:textId="77777777" w:rsidR="00054834" w:rsidRPr="00C33834" w:rsidRDefault="0005483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E39F8A3" w14:textId="77777777" w:rsidR="00054834" w:rsidRPr="00C33834" w:rsidRDefault="00054834" w:rsidP="00C33834">
      <w:pPr>
        <w:pStyle w:val="ae"/>
        <w:spacing w:before="0" w:after="0"/>
        <w:jc w:val="both"/>
        <w:textAlignment w:val="baseline"/>
        <w:rPr>
          <w:color w:val="000000" w:themeColor="text1"/>
          <w:sz w:val="16"/>
          <w:szCs w:val="16"/>
        </w:rPr>
      </w:pPr>
      <w:r w:rsidRPr="00C33834">
        <w:rPr>
          <w:color w:val="000000" w:themeColor="text1"/>
          <w:sz w:val="16"/>
          <w:szCs w:val="16"/>
        </w:rPr>
        <w:t>К 30 ноября 1933 года был готов Эскизный проект Т-46, причём машина отличалась от изначального техзадания.</w:t>
      </w:r>
    </w:p>
    <w:p w14:paraId="51045072" w14:textId="77777777" w:rsidR="00054834" w:rsidRPr="00C33834" w:rsidRDefault="00054834" w:rsidP="00C33834">
      <w:pPr>
        <w:pStyle w:val="ae"/>
        <w:spacing w:before="0" w:after="0"/>
        <w:jc w:val="both"/>
        <w:textAlignment w:val="baseline"/>
        <w:rPr>
          <w:color w:val="000000" w:themeColor="text1"/>
          <w:sz w:val="16"/>
          <w:szCs w:val="16"/>
        </w:rPr>
      </w:pPr>
      <w:r w:rsidRPr="00C33834">
        <w:rPr>
          <w:color w:val="000000" w:themeColor="text1"/>
          <w:sz w:val="16"/>
          <w:szCs w:val="16"/>
        </w:rPr>
        <w:t>Ведущим инженером новой машины стал М.В. Симский, также очень большой вклад в работу над ней внёс М.П. Зигель. Руководство осуществляли заместитель главного конструктора завода №185 О.М. Иванов и главный конструктор С.А. Гинзбург.</w:t>
      </w:r>
    </w:p>
    <w:p w14:paraId="2D8EFDFB" w14:textId="77777777" w:rsidR="00054834" w:rsidRPr="00C33834" w:rsidRDefault="00054834" w:rsidP="00C33834">
      <w:pPr>
        <w:pStyle w:val="ae"/>
        <w:spacing w:before="0" w:after="0"/>
        <w:jc w:val="both"/>
        <w:textAlignment w:val="baseline"/>
        <w:rPr>
          <w:color w:val="000000" w:themeColor="text1"/>
          <w:sz w:val="16"/>
          <w:szCs w:val="16"/>
        </w:rPr>
      </w:pPr>
      <w:r w:rsidRPr="00C33834">
        <w:rPr>
          <w:color w:val="000000" w:themeColor="text1"/>
          <w:sz w:val="16"/>
          <w:szCs w:val="16"/>
        </w:rPr>
        <w:t xml:space="preserve">Ещё на стадии эскизного проектирования от Т-26 почти ничего не осталось, лишь форма корпуса и башни отдалённо напоминали изначальную машину. Согласно </w:t>
      </w:r>
      <w:r w:rsidRPr="00C33834">
        <w:rPr>
          <w:color w:val="000000" w:themeColor="text1"/>
          <w:sz w:val="16"/>
          <w:szCs w:val="16"/>
        </w:rPr>
        <w:lastRenderedPageBreak/>
        <w:t>расчётам, боевая масса составляла 11 т, при этом машина по габаритам и массе получилась равнозначной БТ-5. Фактически завод №185 создавал танк, который теоретически мог заменить не только Т-26, но и БТ-5 (впрочем, реально Т-46 планировался только как замена Т-26).</w:t>
      </w:r>
    </w:p>
    <w:p w14:paraId="61B2547B" w14:textId="77777777" w:rsidR="00054834" w:rsidRPr="00C33834" w:rsidRDefault="00054834" w:rsidP="00C33834">
      <w:pPr>
        <w:pStyle w:val="ae"/>
        <w:spacing w:before="0" w:after="0"/>
        <w:jc w:val="both"/>
        <w:textAlignment w:val="baseline"/>
        <w:rPr>
          <w:color w:val="000000" w:themeColor="text1"/>
          <w:sz w:val="16"/>
          <w:szCs w:val="16"/>
        </w:rPr>
      </w:pPr>
      <w:r w:rsidRPr="00C33834">
        <w:rPr>
          <w:color w:val="000000" w:themeColor="text1"/>
          <w:sz w:val="16"/>
          <w:szCs w:val="16"/>
        </w:rPr>
        <w:t>В качестве силовой установки предполагался 300-сильный двигатель воздушного охлаждения МТ-5, также разрабатывавшийся силами КБ завода №185. Ожидалось, что на гусеницах максимальная скорость составит 50 км/ч, а на колёсном ходу — 75 км/ч, что даже больше, чем у БТ-5. В связи с переходом на колёсно-гусеничный ход полностью переделали ходовую часть. Танк получал блокированную пружинную подвеску, при этом пружины размещались внутри корпуса. Опорные катки напоминали БТ, но несколько отличались по конструкции. Существенная разница заключалась в том, что у Т-46 ведущими являлись две пары катков, а привод шёл через систему карданов, а не через гитару, как на БТ. Кроме того, управляемыми на колёсном ходу были первые две пары опорных катков. Крайне необычным оказалось и вооружение. Основным вооружением стала 45-мм танковая пушка, но оговаривалось, что танк может получить 76-мм полковую пушку (КТ-28) либо 76-мм танковую пушку ПС-3. С правой стороны ставился огнемёт КС-2, а с пушкой был спарен пулемёт ДТ. По этой причине башню Т-46 по сравнению с Т-26 увеличили в размерах.</w:t>
      </w:r>
    </w:p>
    <w:p w14:paraId="115FEBC5" w14:textId="77777777" w:rsidR="00054834" w:rsidRPr="00C33834" w:rsidRDefault="00054834" w:rsidP="00C33834">
      <w:pPr>
        <w:pStyle w:val="ae"/>
        <w:spacing w:before="0" w:after="0"/>
        <w:jc w:val="both"/>
        <w:textAlignment w:val="baseline"/>
        <w:rPr>
          <w:color w:val="000000" w:themeColor="text1"/>
          <w:sz w:val="16"/>
          <w:szCs w:val="16"/>
        </w:rPr>
      </w:pPr>
      <w:r w:rsidRPr="00C33834">
        <w:rPr>
          <w:color w:val="000000" w:themeColor="text1"/>
          <w:sz w:val="16"/>
          <w:szCs w:val="16"/>
        </w:rPr>
        <w:t>На бумаге получался крайне интересный танк, аналогов которому в мире на тот момент не существовало. Другое дело, что для начала требовалось этот танк не только построить, но и утвердить эскизный проект. 6 декабря 1933 года на заводе №185 прошло совещание, на котором присутствовали Гинзбург, Симский и районный инженер УММ РККА по опытным работам К.К. Сиркен, имевший большой опыт по проектированию танков и САУ. В ходе совещания был составлен список из 30 пунктов доработки проекта Т-46. Также отдельно рассматривалась коробка передач, отличавшаяся весьма непростой конструкцией. Бурная переписка возникла по поводу опорных катков. Дело в том, что трак шириной 280 мм оказался слишком узким для обеспечения нормальной работы резиновых бандажей опорных катков. Имелись проблемы и по изготовлению опытного образца двигателя МТ-5. 23 июля 1934 года пришло письмо от начальника 2-го отдела 3-го управления УММ РККА Павловского, где имелось ещё больше замечаний — 115 (первоначально 119). Всё это, разумеется, отнюдь не ускоряло работу. Ко всему прочему массу проблем создавали заводы-смежники, которые систематически затягивали сроки изготовления отдельных узлов и агрегатов машины.</w:t>
      </w:r>
    </w:p>
    <w:p w14:paraId="27E4AC6D" w14:textId="77777777" w:rsidR="00054834" w:rsidRPr="00C33834" w:rsidRDefault="00054834" w:rsidP="00C33834">
      <w:pPr>
        <w:pStyle w:val="ae"/>
        <w:spacing w:before="0" w:after="0"/>
        <w:jc w:val="both"/>
        <w:textAlignment w:val="baseline"/>
        <w:rPr>
          <w:color w:val="000000" w:themeColor="text1"/>
          <w:sz w:val="16"/>
          <w:szCs w:val="16"/>
        </w:rPr>
      </w:pPr>
      <w:r w:rsidRPr="00C33834">
        <w:rPr>
          <w:color w:val="000000" w:themeColor="text1"/>
          <w:sz w:val="16"/>
          <w:szCs w:val="16"/>
        </w:rPr>
        <w:t>Параллельно с исправлением вносимых замечаний менялся и внешний облик машины. Первоначально Т-46 имел башню с крышей выпуклой формы, как на опытных Т-35. В начале сентября 1934 года Ижорский завод предложил заменить её на плоскую крышу, что упрощало изготовление. Ещё одной интересной разработкой стало создание специального обтекаемого «обвеса», который продувался в аэродинамической трубе. Данная работа проводилась в рамках создания версии Т-46, способного развивать максимальную скорость 100 км/ч. Продувку проводили в Военно-воздушной академии имени Жуковского. Дальше продувок модели дело не продвинулось, тем не менее сам по себе опыт создания обтекателей для танка выглядит крайне интересно (18689).</w:t>
      </w:r>
    </w:p>
    <w:p w14:paraId="0AB78C7F" w14:textId="77777777" w:rsidR="00054834" w:rsidRPr="00C33834" w:rsidRDefault="00054834" w:rsidP="00C33834">
      <w:pPr>
        <w:pStyle w:val="ae"/>
        <w:spacing w:before="0" w:after="0"/>
        <w:jc w:val="both"/>
        <w:textAlignment w:val="baseline"/>
        <w:rPr>
          <w:color w:val="000000" w:themeColor="text1"/>
          <w:sz w:val="16"/>
          <w:szCs w:val="16"/>
        </w:rPr>
      </w:pPr>
    </w:p>
    <w:p w14:paraId="3E958EC5" w14:textId="77777777" w:rsidR="00054834" w:rsidRPr="00C33834" w:rsidRDefault="00054834"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0A9302F9" w14:textId="77777777" w:rsidR="00054834" w:rsidRPr="00C33834" w:rsidRDefault="0005483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4E5B10C" w14:textId="77777777" w:rsidR="0018342B" w:rsidRPr="00C33834" w:rsidRDefault="0018342B" w:rsidP="00C33834">
      <w:pPr>
        <w:pStyle w:val="rtejustify"/>
        <w:spacing w:before="0" w:after="0"/>
        <w:rPr>
          <w:color w:val="000000" w:themeColor="text1"/>
          <w:sz w:val="16"/>
          <w:szCs w:val="16"/>
        </w:rPr>
      </w:pPr>
      <w:r w:rsidRPr="00C33834">
        <w:rPr>
          <w:color w:val="000000" w:themeColor="text1"/>
          <w:sz w:val="16"/>
          <w:szCs w:val="16"/>
        </w:rPr>
        <w:t>30 ноября 1933 г. советник посольства Франции передал члену коллегии НКИД Б.С.Стомонякову памятную записку французского посольства, в которой подтверждалось приглашение Тухачевскому и советским летчикам прибыть во Францию с визитом в ответ на визит Кота (ДВП. Т. XVI. С. 555, 859–860). 10 декабря 1933 г. ПБ приняло предложение Кота о посылке советских командиров в школы французской авиации для совершенствования и наметило состав командируемых. Послу во Франции В.СДовгалевскому было поручено сообщить французской стороне о намерении послать весной 1934 г. эскадрилью самолетов в Париж в ответ на визит Кота (РГАСПИ. Ф. 17. Оп. 162. Д. 15. Л. 152). Визит советской авиационной делегации во главе с начальником Главного управления гражданского/Воздушного флота Уншлихтом состоялся в августе 1934 г. (ДВП. Т. XVII. М. 1971. С. 811).</w:t>
      </w:r>
    </w:p>
    <w:p w14:paraId="3AC5E1B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Архив: РГАСПИ Ф. 558. Оп. 11. Д. 81. Л. 24. Заверенная машинописная копия; Ф. 81. Оп. 3. Д. 101. Л. 26. Машинописный текст с пометами Кагановича. </w:t>
      </w:r>
    </w:p>
    <w:p w14:paraId="5471FB5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Сталин и Каганович. Переписка. 1931–1936 гг. Москва: (РОССПЭН), 2001 Стр. 351-352 (12310).</w:t>
      </w:r>
    </w:p>
    <w:p w14:paraId="33C3C665" w14:textId="2E5761C5" w:rsidR="0018342B" w:rsidRPr="00C33834" w:rsidRDefault="0018342B" w:rsidP="00C33834">
      <w:pPr>
        <w:spacing w:after="0" w:line="240" w:lineRule="auto"/>
        <w:jc w:val="both"/>
        <w:rPr>
          <w:rFonts w:ascii="Times New Roman" w:hAnsi="Times New Roman"/>
          <w:color w:val="000000" w:themeColor="text1"/>
          <w:sz w:val="16"/>
          <w:szCs w:val="16"/>
          <w:u w:color="002060"/>
        </w:rPr>
      </w:pPr>
    </w:p>
    <w:p w14:paraId="694E815B" w14:textId="79AD00EF" w:rsidR="008B6A65" w:rsidRPr="00C33834" w:rsidRDefault="008B6A65" w:rsidP="00C33834">
      <w:pPr>
        <w:spacing w:after="0" w:line="240" w:lineRule="auto"/>
        <w:jc w:val="both"/>
        <w:rPr>
          <w:rFonts w:ascii="Times New Roman" w:hAnsi="Times New Roman"/>
          <w:i/>
          <w:iCs/>
          <w:color w:val="000000" w:themeColor="text1"/>
          <w:sz w:val="16"/>
          <w:szCs w:val="16"/>
          <w:u w:color="002060"/>
        </w:rPr>
      </w:pPr>
      <w:r w:rsidRPr="00C33834">
        <w:rPr>
          <w:rFonts w:ascii="Times New Roman" w:hAnsi="Times New Roman"/>
          <w:i/>
          <w:iCs/>
          <w:color w:val="000000" w:themeColor="text1"/>
          <w:sz w:val="16"/>
          <w:szCs w:val="16"/>
          <w:u w:color="002060"/>
        </w:rPr>
        <w:t>За рубежом:</w:t>
      </w:r>
    </w:p>
    <w:p w14:paraId="4652D000" w14:textId="77777777" w:rsidR="008B6A65" w:rsidRPr="00C33834" w:rsidRDefault="008B6A65" w:rsidP="00C33834">
      <w:pPr>
        <w:spacing w:after="0" w:line="240" w:lineRule="auto"/>
        <w:jc w:val="both"/>
        <w:rPr>
          <w:rFonts w:ascii="Times New Roman" w:hAnsi="Times New Roman"/>
          <w:i/>
          <w:iCs/>
          <w:color w:val="000000" w:themeColor="text1"/>
          <w:sz w:val="16"/>
          <w:szCs w:val="16"/>
          <w:u w:color="002060"/>
        </w:rPr>
      </w:pPr>
    </w:p>
    <w:p w14:paraId="406AC108" w14:textId="77777777" w:rsidR="008B6A65" w:rsidRPr="00C33834" w:rsidRDefault="008B6A6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30 ноября 1933 года — первый полёт многоцелевой летающей лодки Short S.18 Knuckleduster (она же Short R.24/31). /Англия/</w:t>
      </w:r>
    </w:p>
    <w:p w14:paraId="5A7C3489" w14:textId="77777777" w:rsidR="008B6A65" w:rsidRPr="00C33834" w:rsidRDefault="008B6A6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1931 году британское авиационное министерство в рамках спецификации R.24/31 на патрульную летающую лодку открытого моря заказало постройку прототипов трём компаниям, в том числе и Short Brothers. Под управлением конструктора Артура Гужа (Arthur Gouge) началась работа над проектом S.18 Knuckleduster.</w:t>
      </w:r>
    </w:p>
    <w:p w14:paraId="69F8436F" w14:textId="77777777" w:rsidR="008B6A65" w:rsidRPr="00C33834" w:rsidRDefault="008B6A6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Это была цельнометаллическая летающая лодка-высокоплан с крылом типа «чайка». Оснащалась 2 × двигателями Rolls-Royce Goshawk VIII (578 км/ч) Крейсерская скорость — 206 км/ч, дальность полёта — 1670 км. Вооружение — 3 × 7,7-мм пулемётами Lewis + до 230 кг бомб.</w:t>
      </w:r>
    </w:p>
    <w:p w14:paraId="743FE717" w14:textId="77777777" w:rsidR="008B6A65" w:rsidRPr="00C33834" w:rsidRDefault="008B6A6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Во время испытаний обнаружилась проблемы с двигателями. Также самолёт признали не соответствующим спецификации по максимальной скорости и дальности полета. Проект был закрыт. Единственный построенный S.18 Knuckleduster летал как учебный самолёт до 1938 года, после чего стал учебным пособием (22300).</w:t>
      </w:r>
    </w:p>
    <w:p w14:paraId="52916187" w14:textId="77777777" w:rsidR="008B6A65" w:rsidRPr="00C33834" w:rsidRDefault="008B6A65" w:rsidP="00C33834">
      <w:pPr>
        <w:spacing w:after="0" w:line="240" w:lineRule="auto"/>
        <w:jc w:val="both"/>
        <w:rPr>
          <w:rFonts w:ascii="Times New Roman" w:hAnsi="Times New Roman"/>
          <w:color w:val="0070C0"/>
          <w:sz w:val="16"/>
          <w:szCs w:val="16"/>
        </w:rPr>
      </w:pPr>
    </w:p>
    <w:p w14:paraId="789ED459"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0455B5D"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FCEAA2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ноября 1933 Р.Л.Бартини получил задание на новый истребитель - персонально от Г.К.Орджоникидзе - Сталь-8. Строился на 240 в отгороженном цехе (174,3).</w:t>
      </w:r>
    </w:p>
    <w:p w14:paraId="366313F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2025CAD" w14:textId="77777777" w:rsidR="00170D88" w:rsidRPr="00C33834" w:rsidRDefault="00170D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ноября 1933 года Бартини, персонально от наркома тяжелой промышленности получил задание на истребитель. Истребитель, называвшийся «Сталь-8» (шифр ВВС — И-240), строился особняком в отгороженном цехе завода № 240. По аэродинамической компоновке он был почти идентичен «Стали-6», отличаясь более крупными размерами в связи с использованием нового французского мотора «Испано-Сюиза» 12 мощностью 860 л. с. и цельнометаллической конструкцией. Технология производства во многом была отработана на предыдущем типе. Разумеется, по требованию военных на «Стали-8» появился фонарь для головы летчика, выступающий над фюзеляжем. При неподвижном двугранном козырьке крышка фонаря могла быть сдвинута вперед и за счет сквозного потока воздуха под ней не имела тенденции к самопроизвольному «захлопыванию» в полете (чем отличались все фонари, сдвигаемые вперед). Только летчик мог задвинуть прозрачный колпак назад при закрытии кабины. «Хитрый» фонарь отработали на полноразмерном макете, а масштабная модель (1:5) проходила продувки в аэродинамической трубе Академии воздушного флота им. Н. Е. Жуковского.</w:t>
      </w:r>
    </w:p>
    <w:p w14:paraId="7FAA202D" w14:textId="77777777" w:rsidR="00170D88" w:rsidRPr="00C33834" w:rsidRDefault="00170D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Истребитель был вооружен двумя синхронными пулеметами ШКАС, установленными на моторе с патронными ящиками над нишей колеса. Водяной радиатор — в крыле, как у прототипа, а масляный радиатор был устроен в корневой зоне крыла под правым зализом стыка с фюзеляжем. Внешними формами истребитель Бартини создает впечатление, что он был разработан не в 1934 году, а лет пять-десять спустя. Настолько совершенной была его аэродинамика. «Сталь-8» и по расчетным данным вполне соответствовал периоду второй мировой войны. На высоте 3000 м его максимальная скорость должна была составлять 630 км/ч, практический потолок — 9000 м при взлетном весе в полторы тонны.</w:t>
      </w:r>
    </w:p>
    <w:p w14:paraId="3CA15B8E" w14:textId="77777777" w:rsidR="00170D88" w:rsidRPr="00C33834" w:rsidRDefault="00170D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Эти цифры вполне оправданы, если учесть, что самолет был выполнен очень чисто, с минимальными отклонениями от теоретических контуров, значительно меньшими, чем в серийном производстве. «Сталь-8» был первым в СССР цельнометаллическим самолетом на роликовой и точечной сварке. Фюзеляж — монокок с пустотелыми листовыми профилями П-образного сечения. Крыло двухлонжеронное с задней стенкой. Лонжероны и нервюры — сварные трубчатые фермы. Обшивка крыла — альтмаг, внутренняя — толщиной 0,8 мм, наружная — 0,5 мм. По всему размаху конденсатора к задней стенке крыла навешивались четыре секции элеронов, которые на взлете, посадке и при виражах выполняли бы функцию закрылков. Управление элеронами и рулями поворота — тросовое. Руль высоты отклонялся в ответ на движения ручки пилота посредством жестких трубчатых тяг. В цепи продольного канала управления был устроен механизм изменения угла отклонения руля высоты в зависимости от скорости полета.</w:t>
      </w:r>
    </w:p>
    <w:p w14:paraId="15421E25" w14:textId="77777777" w:rsidR="00170D88" w:rsidRPr="00C33834" w:rsidRDefault="00170D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Два бензобака емкостью 175 л, сваренные из электрона, были размещены в корневых зонах консолей крыла. Чечевицеобразный маслобак, также сварной конструкции, своей верхней стороной вписывался в наружный контур фюзеляжа перед кабиной. В полете, особенно на больших скоростях, маслобак также охлаждается потоком.</w:t>
      </w:r>
    </w:p>
    <w:p w14:paraId="248B36D4" w14:textId="77777777" w:rsidR="00170D88" w:rsidRPr="00C33834" w:rsidRDefault="00170D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Бартини не пользовался распространенными профилями для крыльев и хвостового оперения. Его высоконесущие профили были в полтора-два раза более эффективными по аэродинамическому качеству и значительно устойчивее по срывным характеристикам при больших значениях углов атаки. В совершенстве владея математическим аппаратом, Роберт Людвигович применял его для аналитического определения дужек профилей! Если многие специалисты составляли очертания крыльевого профиля графическими сопряжениями отрезков кривых (как правило, эллипсов или парабол), то Бартини находил линии, соответствующие таким зависимостям, что на стыке двух сопряженных кривых их функции не терпели бы разрыва вплоть до производных второго порядка.</w:t>
      </w:r>
    </w:p>
    <w:p w14:paraId="0BC31E23" w14:textId="77777777" w:rsidR="00170D88" w:rsidRPr="00C33834" w:rsidRDefault="00170D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И-240 закончен не был, и его постройка прекратилась в конце 1934 года примерно на 60% стадии готовности (15555).</w:t>
      </w:r>
    </w:p>
    <w:p w14:paraId="5767E441" w14:textId="77777777" w:rsidR="00170D88" w:rsidRPr="00C33834" w:rsidRDefault="00170D88" w:rsidP="00C33834">
      <w:pPr>
        <w:spacing w:after="0" w:line="240" w:lineRule="auto"/>
        <w:jc w:val="both"/>
        <w:rPr>
          <w:rFonts w:ascii="Times New Roman" w:hAnsi="Times New Roman"/>
          <w:color w:val="000000" w:themeColor="text1"/>
          <w:sz w:val="16"/>
          <w:szCs w:val="16"/>
        </w:rPr>
      </w:pPr>
    </w:p>
    <w:p w14:paraId="47AC6CA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ноября 1933 ТБ-1 выгрузи</w:t>
      </w:r>
      <w:r w:rsidRPr="00C33834">
        <w:rPr>
          <w:rFonts w:ascii="Times New Roman" w:hAnsi="Times New Roman"/>
          <w:color w:val="000000" w:themeColor="text1"/>
          <w:sz w:val="16"/>
          <w:szCs w:val="16"/>
        </w:rPr>
        <w:softHyphen/>
        <w:t>ли на лед, собрали и облетали. Наиболее опытным пилотом в составе этой авиагруп</w:t>
      </w:r>
      <w:r w:rsidRPr="00C33834">
        <w:rPr>
          <w:rFonts w:ascii="Times New Roman" w:hAnsi="Times New Roman"/>
          <w:color w:val="000000" w:themeColor="text1"/>
          <w:sz w:val="16"/>
          <w:szCs w:val="16"/>
        </w:rPr>
        <w:softHyphen/>
        <w:t>пы оказался военный летчик А.В. Ляпидев</w:t>
      </w:r>
      <w:r w:rsidRPr="00C33834">
        <w:rPr>
          <w:rFonts w:ascii="Times New Roman" w:hAnsi="Times New Roman"/>
          <w:color w:val="000000" w:themeColor="text1"/>
          <w:sz w:val="16"/>
          <w:szCs w:val="16"/>
        </w:rPr>
        <w:softHyphen/>
        <w:t>ский, который годом ранее прошел обуче</w:t>
      </w:r>
      <w:r w:rsidRPr="00C33834">
        <w:rPr>
          <w:rFonts w:ascii="Times New Roman" w:hAnsi="Times New Roman"/>
          <w:color w:val="000000" w:themeColor="text1"/>
          <w:sz w:val="16"/>
          <w:szCs w:val="16"/>
        </w:rPr>
        <w:softHyphen/>
        <w:t>ние полетам на ТБ-1 в НИИ ВВС, а затем много летал на этом типе в строевых частях. В декабре начальником спасательной экспедиции назначили опытного полярника Г.Д. Красинского, по мнению которого, по</w:t>
      </w:r>
      <w:r w:rsidRPr="00C33834">
        <w:rPr>
          <w:rFonts w:ascii="Times New Roman" w:hAnsi="Times New Roman"/>
          <w:color w:val="000000" w:themeColor="text1"/>
          <w:sz w:val="16"/>
          <w:szCs w:val="16"/>
        </w:rPr>
        <w:softHyphen/>
        <w:t>ложение «Челюскина» становилось безвы</w:t>
      </w:r>
      <w:r w:rsidRPr="00C33834">
        <w:rPr>
          <w:rFonts w:ascii="Times New Roman" w:hAnsi="Times New Roman"/>
          <w:color w:val="000000" w:themeColor="text1"/>
          <w:sz w:val="16"/>
          <w:szCs w:val="16"/>
        </w:rPr>
        <w:softHyphen/>
        <w:t>ходным, и снимать людей с него следовало в первую очередь. После этого 20 декабря один ТБ-1 перелетел на промежуточную ба</w:t>
      </w:r>
      <w:r w:rsidRPr="00C33834">
        <w:rPr>
          <w:rFonts w:ascii="Times New Roman" w:hAnsi="Times New Roman"/>
          <w:color w:val="000000" w:themeColor="text1"/>
          <w:sz w:val="16"/>
          <w:szCs w:val="16"/>
        </w:rPr>
        <w:softHyphen/>
        <w:t>зу Уэллен на мысе Дежнева. Оттуда в конце декабря Ляпидевский дважды пытался вы</w:t>
      </w:r>
      <w:r w:rsidRPr="00C33834">
        <w:rPr>
          <w:rFonts w:ascii="Times New Roman" w:hAnsi="Times New Roman"/>
          <w:color w:val="000000" w:themeColor="text1"/>
          <w:sz w:val="16"/>
          <w:szCs w:val="16"/>
        </w:rPr>
        <w:softHyphen/>
        <w:t>лететь к терпящему бедствие судну и оба раза из-за плохой работы двигателей воз</w:t>
      </w:r>
      <w:r w:rsidRPr="00C33834">
        <w:rPr>
          <w:rFonts w:ascii="Times New Roman" w:hAnsi="Times New Roman"/>
          <w:color w:val="000000" w:themeColor="text1"/>
          <w:sz w:val="16"/>
          <w:szCs w:val="16"/>
        </w:rPr>
        <w:softHyphen/>
        <w:t>вращался. Затем на самолете иссяк запас сжатого воздуха, и Ляпидевскому пришлось вернуться в бухту Провидения за второй машиной. Она числилась за летчиком Чер</w:t>
      </w:r>
      <w:r w:rsidRPr="00C33834">
        <w:rPr>
          <w:rFonts w:ascii="Times New Roman" w:hAnsi="Times New Roman"/>
          <w:color w:val="000000" w:themeColor="text1"/>
          <w:sz w:val="16"/>
          <w:szCs w:val="16"/>
        </w:rPr>
        <w:softHyphen/>
        <w:t>нявским, однако решили, что полеты про</w:t>
      </w:r>
      <w:r w:rsidRPr="00C33834">
        <w:rPr>
          <w:rFonts w:ascii="Times New Roman" w:hAnsi="Times New Roman"/>
          <w:color w:val="000000" w:themeColor="text1"/>
          <w:sz w:val="16"/>
          <w:szCs w:val="16"/>
        </w:rPr>
        <w:softHyphen/>
        <w:t>должит именно Ляпидевский. Двухнедель</w:t>
      </w:r>
      <w:r w:rsidRPr="00C33834">
        <w:rPr>
          <w:rFonts w:ascii="Times New Roman" w:hAnsi="Times New Roman"/>
          <w:color w:val="000000" w:themeColor="text1"/>
          <w:sz w:val="16"/>
          <w:szCs w:val="16"/>
        </w:rPr>
        <w:softHyphen/>
        <w:t>ное путешествие на собачьей упряжке, а затем обрушившаяся пурга заметно задер</w:t>
      </w:r>
      <w:r w:rsidRPr="00C33834">
        <w:rPr>
          <w:rFonts w:ascii="Times New Roman" w:hAnsi="Times New Roman"/>
          <w:color w:val="000000" w:themeColor="text1"/>
          <w:sz w:val="16"/>
          <w:szCs w:val="16"/>
        </w:rPr>
        <w:softHyphen/>
        <w:t>жали начало спасения людей (11286).</w:t>
      </w:r>
    </w:p>
    <w:p w14:paraId="3CD110B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7C2D34" w14:textId="77777777" w:rsidR="00170D88" w:rsidRPr="00C33834" w:rsidRDefault="00170D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концу ноября 1933 самолёты АНТ-4 выгрузили на лед, собрали и облетали. 29 числа Ляпидев</w:t>
      </w:r>
      <w:r w:rsidRPr="00C33834">
        <w:rPr>
          <w:rFonts w:ascii="Times New Roman" w:hAnsi="Times New Roman"/>
          <w:color w:val="000000" w:themeColor="text1"/>
          <w:sz w:val="16"/>
          <w:szCs w:val="16"/>
        </w:rPr>
        <w:softHyphen/>
        <w:t>ский опробовал в воздухе первый самолёт, сел на лед вблизи парохода. Выявились не</w:t>
      </w:r>
      <w:r w:rsidRPr="00C33834">
        <w:rPr>
          <w:rFonts w:ascii="Times New Roman" w:hAnsi="Times New Roman"/>
          <w:color w:val="000000" w:themeColor="text1"/>
          <w:sz w:val="16"/>
          <w:szCs w:val="16"/>
        </w:rPr>
        <w:softHyphen/>
        <w:t>которые дефекты, механики принялись их устранять. Ляпидевский был самым опытным лётчиком, в 1932 г. он стажировался на АНТ-4 в НИИ ВВС. Конкин на АНТ-4 не летал, на ходу обучаясь во время опробования второго самолёта. Всего сделали семь посадок.</w:t>
      </w:r>
    </w:p>
    <w:p w14:paraId="25DEF81D" w14:textId="77777777" w:rsidR="00170D88" w:rsidRPr="00C33834" w:rsidRDefault="00170D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прибытии начальником экспедиции назначили Г.Д. Красинского, опытного поляр</w:t>
      </w:r>
      <w:r w:rsidRPr="00C33834">
        <w:rPr>
          <w:rFonts w:ascii="Times New Roman" w:hAnsi="Times New Roman"/>
          <w:color w:val="000000" w:themeColor="text1"/>
          <w:sz w:val="16"/>
          <w:szCs w:val="16"/>
        </w:rPr>
        <w:softHyphen/>
        <w:t>ника, прекрасно знавшего ледовую обстановку. В 1927-1929 гг. он участвовал в трёх дальних перелетах по Восточной Сибири и Чукотке. Ляпидевский вспоминал, что имен</w:t>
      </w:r>
      <w:r w:rsidRPr="00C33834">
        <w:rPr>
          <w:rFonts w:ascii="Times New Roman" w:hAnsi="Times New Roman"/>
          <w:color w:val="000000" w:themeColor="text1"/>
          <w:sz w:val="16"/>
          <w:szCs w:val="16"/>
        </w:rPr>
        <w:softHyphen/>
        <w:t>но Красинский первый сказал ему, «что «Челюскин», пожалуй, из льдов не выберется — потонет» и предложил снимать людей с «Челюскина» в первую очередь.</w:t>
      </w:r>
    </w:p>
    <w:p w14:paraId="75E12A4D" w14:textId="77777777" w:rsidR="00170D88" w:rsidRPr="00C33834" w:rsidRDefault="00170D8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Сложность обстановки усугублялась полярной ночью. До судна в один конец требо</w:t>
      </w:r>
      <w:r w:rsidRPr="00C33834">
        <w:rPr>
          <w:rFonts w:ascii="Times New Roman" w:hAnsi="Times New Roman"/>
          <w:color w:val="000000" w:themeColor="text1"/>
          <w:sz w:val="16"/>
          <w:szCs w:val="16"/>
        </w:rPr>
        <w:softHyphen/>
        <w:t>валось около семи лётных часов, а бывали дни, когда солнце вообще не всходило. Получив разрешение Шмидта, попытались лететь к «Челюскину», несмотря на то, что там была площадка всего 600</w:t>
      </w:r>
      <w:r w:rsidRPr="00C33834">
        <w:rPr>
          <w:rFonts w:ascii="Times New Roman" w:hAnsi="Times New Roman"/>
          <w:color w:val="000000" w:themeColor="text1"/>
          <w:sz w:val="16"/>
          <w:szCs w:val="16"/>
          <w:vertAlign w:val="superscript"/>
        </w:rPr>
        <w:t>х</w:t>
      </w:r>
      <w:r w:rsidRPr="00C33834">
        <w:rPr>
          <w:rFonts w:ascii="Times New Roman" w:hAnsi="Times New Roman"/>
          <w:color w:val="000000" w:themeColor="text1"/>
          <w:sz w:val="16"/>
          <w:szCs w:val="16"/>
        </w:rPr>
        <w:t>50 м, а для АНТ-4 требовалась как минимум в три раза шире. Промежуточной базой должно было стать селение Уэллен на мысе Дежнева. Перелететь туда смогли только 20 декабря, хотя неоднократно вылетали, но возвра</w:t>
      </w:r>
      <w:r w:rsidRPr="00C33834">
        <w:rPr>
          <w:rFonts w:ascii="Times New Roman" w:hAnsi="Times New Roman"/>
          <w:color w:val="000000" w:themeColor="text1"/>
          <w:sz w:val="16"/>
          <w:szCs w:val="16"/>
        </w:rPr>
        <w:softHyphen/>
        <w:t>щались из-за ненадежной работы моторов. Несколько раз полярного дня не хватало, чтобы успеть запустить и прогреть оба мотора (15822).</w:t>
      </w:r>
    </w:p>
    <w:p w14:paraId="5A20CDE6" w14:textId="77777777" w:rsidR="00170D88" w:rsidRPr="00C33834" w:rsidRDefault="00170D88" w:rsidP="00C33834">
      <w:pPr>
        <w:spacing w:after="0" w:line="240" w:lineRule="auto"/>
        <w:jc w:val="both"/>
        <w:rPr>
          <w:rFonts w:ascii="Times New Roman" w:hAnsi="Times New Roman"/>
          <w:color w:val="000000" w:themeColor="text1"/>
          <w:sz w:val="16"/>
          <w:szCs w:val="16"/>
        </w:rPr>
      </w:pPr>
    </w:p>
    <w:p w14:paraId="3787C932"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F3E586E"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5D368E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(м.б. 1936?) на ДВ было 86 ТБ-3 после того, как из европейской части перебросили 41, 42 и 43 ТБАЭ (1854,14).</w:t>
      </w:r>
    </w:p>
    <w:p w14:paraId="5A6D146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5B4982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в НИИ ВВС, при участии ведущего инженера Куликова и ведущего летчика-испытателя Н.Кастанаева завершились испытания модифицированного ТБ-3-4М-17. На машине с крылом увеличенного размаха до 41,85 м и площадью 235,1 м2 поставили зализы крыльев и хвостового оперения в местах их стыка с фюзеляжем и обтекатели на шасси. Сняли выдвижные крыльевые пулеметные установки. В результате возросли максимальная скорость у земли на 20 км/ч, а на высоте 3000 м - на 10 км/ч, практический потолок - на 800 м. Но для конца 1933-го этого было уже недостаточно (5740,7).</w:t>
      </w:r>
    </w:p>
    <w:p w14:paraId="1C3CBBE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10129D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года одна из первых групп советских летчиков в составе трех экипажей самолетов Р-5 направилась в Китай На маленькой приграничной станции Аягуз экипажам пришлось самим откапывать из снега занесенные непрекращающейся метелью ящики с упакованными самолетами, а затем и собирать их. Когда летчики были готовы к перелету в столицу провинции город Урумчи, там начался мятеж. Стало известно, что войска генерала Ма Чжуина окружили Урумчи и штурмуют городские крепостные стены, за которыми укрылся дружественный нам дубань (правитель) Синьцзяна Шэн Шицай. Другу следовало помочь (5016).</w:t>
      </w:r>
    </w:p>
    <w:p w14:paraId="04AEFB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7EB2C1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первые три экипажа на Р-5 попали в Китай (1366,15).</w:t>
      </w:r>
    </w:p>
    <w:p w14:paraId="240718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F454A1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руководство ВВС, заинтересованное в новом военном самолете, через НИИ ВВС командировало в ЦАГИ инженера для выяснения возможностей использования МГ для военно-транспортных и бомбардировочных операций. Предполагали ставить шаровую башню с пушкой Эрликон, ТУР-5 под спарку ДА, перекатную турель под Эрликон, кинжальную установку ДА и хвостовую турель ТУР-6 под спарку ДА и по две предкрыльевые и закрыльевые башни под спарки ШКАС. Бомб - 20 т на внутренней и наружной подвесках (7425, 18).</w:t>
      </w:r>
    </w:p>
    <w:p w14:paraId="603813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25773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у начальника УВВС Алксниса состоялось совещание по результатам испытаний ТБ-4 (АНТ-16). В протоколе говорилось:</w:t>
      </w:r>
    </w:p>
    <w:p w14:paraId="4FFB4ED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“...опытный самолет в серию не запускать, в виду неудовлетворения ТТТ, в качестве эталона принять военный вариант с-та МГ с восемью моторами М-34. Опытный самолет АНТ-16 передать ЦАГИ для совместных с НИИ испытаний, для выяснения вопросов, связанных с постройкой МГ...” (7388, 9).</w:t>
      </w:r>
    </w:p>
    <w:p w14:paraId="770C4A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D9E52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во время демонстрационных полетов И-15 РЦ 1-й экз. оборвалось ушко лыжного предохранителя и при посадке машина потерпела аварию (капот) (2287,131).</w:t>
      </w:r>
    </w:p>
    <w:p w14:paraId="2DDEEC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C2354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решался вопрос о серийном выпуске И-14 на 21 заводе с 1934 (3110,20).</w:t>
      </w:r>
    </w:p>
    <w:p w14:paraId="5266B0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7D7D939" w14:textId="77777777" w:rsidR="008B6A65" w:rsidRPr="00C33834" w:rsidRDefault="008B6A6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ноябре 1933 года планировалась подготовка к запуску на 21 заводе самолета И-14 конструкции П.О. Сухого со снятием с производства И-5. Но, несмотря на принятые резолюции, по указанию главка на завод были отправлены чертежи скоростного истребителя И-16 конструкторского бюро Поликарпова. Производство самолета разворачивалось на заводах № 39 в Москве и № 21 в Н. Новгороде. Первым к работе приступил московский завод, откуда в Н. Новгород были переданы чертежи. К этому времени завод №21 одновременно занимался отработкой ХАИ-1, завершал производство истребителя И-5 и занимался спаркой УТ типа 6. На заводе № 39 серия истребителей И-16 была небольшой, и нижегородский завод в дальнейшем стал ведущим по этой машине. Завод начал осваивать самолет в 1934 году (21100).</w:t>
      </w:r>
    </w:p>
    <w:p w14:paraId="1EB5349A" w14:textId="77777777" w:rsidR="008B6A65" w:rsidRPr="00C33834" w:rsidRDefault="008B6A65" w:rsidP="00C33834">
      <w:pPr>
        <w:spacing w:after="0" w:line="240" w:lineRule="auto"/>
        <w:jc w:val="both"/>
        <w:rPr>
          <w:rFonts w:ascii="Times New Roman" w:hAnsi="Times New Roman"/>
          <w:color w:val="0070C0"/>
          <w:sz w:val="16"/>
          <w:szCs w:val="16"/>
        </w:rPr>
      </w:pPr>
    </w:p>
    <w:p w14:paraId="48928DA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приняли решение о запуске в серию И-14 (АНТ-31 П.О.С.) на 21 заводе (1454,26) и даже заключили договор на 50 машин. Позже в план 1934 зажили 30, но не стали ломать производство И-5 (4020,14).</w:t>
      </w:r>
    </w:p>
    <w:p w14:paraId="3950AA2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69CE21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г. решался вопрос о запуске в серию за заводе № 21 истребителя И-14, позднее последовало решение о строитель-стве ХАИ-1. Однако оба самолета стали для Горького лишь частным эпизодом. В соот</w:t>
      </w:r>
      <w:r w:rsidRPr="00C33834">
        <w:rPr>
          <w:rFonts w:ascii="Times New Roman" w:hAnsi="Times New Roman"/>
          <w:color w:val="000000" w:themeColor="text1"/>
          <w:sz w:val="16"/>
          <w:szCs w:val="16"/>
        </w:rPr>
        <w:softHyphen/>
        <w:t>ветствии с приказом ГУАП за № 1106-со от 11 июня 1934 г. завод №21 получил новое зада</w:t>
      </w:r>
      <w:r w:rsidRPr="00C33834">
        <w:rPr>
          <w:rFonts w:ascii="Times New Roman" w:hAnsi="Times New Roman"/>
          <w:color w:val="000000" w:themeColor="text1"/>
          <w:sz w:val="16"/>
          <w:szCs w:val="16"/>
        </w:rPr>
        <w:softHyphen/>
        <w:t>ние — внедрить в крупносерийное производ</w:t>
      </w:r>
      <w:r w:rsidRPr="00C33834">
        <w:rPr>
          <w:rFonts w:ascii="Times New Roman" w:hAnsi="Times New Roman"/>
          <w:color w:val="000000" w:themeColor="text1"/>
          <w:sz w:val="16"/>
          <w:szCs w:val="16"/>
        </w:rPr>
        <w:softHyphen/>
        <w:t>ство истребитель-моноплан И-16 конструк</w:t>
      </w:r>
      <w:r w:rsidRPr="00C33834">
        <w:rPr>
          <w:rFonts w:ascii="Times New Roman" w:hAnsi="Times New Roman"/>
          <w:color w:val="000000" w:themeColor="text1"/>
          <w:sz w:val="16"/>
          <w:szCs w:val="16"/>
        </w:rPr>
        <w:softHyphen/>
        <w:t>ции Поликарпова. Выпуск ХАИ-1 после из</w:t>
      </w:r>
      <w:r w:rsidRPr="00C33834">
        <w:rPr>
          <w:rFonts w:ascii="Times New Roman" w:hAnsi="Times New Roman"/>
          <w:color w:val="000000" w:themeColor="text1"/>
          <w:sz w:val="16"/>
          <w:szCs w:val="16"/>
        </w:rPr>
        <w:softHyphen/>
        <w:t>готовления трех экземпляров перенесли на завод №43 в Киеве, а задание на изготовление И-14 передали иркутскому заводу №125. С появлением И-16 на 21-м заводе ввели нуме</w:t>
      </w:r>
      <w:r w:rsidRPr="00C33834">
        <w:rPr>
          <w:rFonts w:ascii="Times New Roman" w:hAnsi="Times New Roman"/>
          <w:color w:val="000000" w:themeColor="text1"/>
          <w:sz w:val="16"/>
          <w:szCs w:val="16"/>
        </w:rPr>
        <w:softHyphen/>
        <w:t>рацию строящихся самолетов по типам. Так И-5 стал типом №1, И-14 типом №2, ХАИ-1 типом №3, а И-16 типом №4. Впрочем, ука</w:t>
      </w:r>
      <w:r w:rsidRPr="00C33834">
        <w:rPr>
          <w:rFonts w:ascii="Times New Roman" w:hAnsi="Times New Roman"/>
          <w:color w:val="000000" w:themeColor="text1"/>
          <w:sz w:val="16"/>
          <w:szCs w:val="16"/>
        </w:rPr>
        <w:softHyphen/>
        <w:t>зывать тип самолета поначалу забывал и. На</w:t>
      </w:r>
      <w:r w:rsidRPr="00C33834">
        <w:rPr>
          <w:rFonts w:ascii="Times New Roman" w:hAnsi="Times New Roman"/>
          <w:color w:val="000000" w:themeColor="text1"/>
          <w:sz w:val="16"/>
          <w:szCs w:val="16"/>
        </w:rPr>
        <w:softHyphen/>
        <w:t>пример, в сводной ведомости упоминается И-5 №121633 - головной самолет 19-й серии (12295).</w:t>
      </w:r>
    </w:p>
    <w:p w14:paraId="2B99E46C" w14:textId="77777777" w:rsidR="0018342B" w:rsidRPr="00C33834" w:rsidRDefault="0018342B" w:rsidP="00C33834">
      <w:pPr>
        <w:spacing w:after="0" w:line="240" w:lineRule="auto"/>
        <w:jc w:val="both"/>
        <w:rPr>
          <w:rFonts w:ascii="Times New Roman" w:hAnsi="Times New Roman"/>
          <w:color w:val="000000" w:themeColor="text1"/>
          <w:sz w:val="16"/>
          <w:szCs w:val="16"/>
        </w:rPr>
      </w:pPr>
    </w:p>
    <w:p w14:paraId="49DCBDD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военные осмотрели деревянный макет самолета (будущего И-16) (1808,4).</w:t>
      </w:r>
    </w:p>
    <w:p w14:paraId="346B49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2EFAB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состоялся осмотр деревянного макета ЦКБ-12. Военные сделали вывод, что проектируемый истребитель полностью соответствует предъявленным к нему требованиям - особенно по части максимальной скорости (12015).</w:t>
      </w:r>
    </w:p>
    <w:p w14:paraId="0F8EC06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2789F5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еще до завершения постройки опытных экземпляров на совещании у начальника Глававиапрома Г.Н.Королькова обсуждался вопрос о внедрении И-16 в серию и хотели в 1934 сделать по 100 на 1 и 39 (228,98).</w:t>
      </w:r>
    </w:p>
    <w:p w14:paraId="1885979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8160EC4"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на Люберецком аэродроме и химполигоне в Кузьминках испытывали семь И-ЗЕТ с 14 АПК-14бис. Эскадрилья Новока - л Климов, Губанов, Бурылин, Катичев, Родин. Отмечали, что можно стрелять тоько с горизонтального полета и при пикировании до 30 гр., кабрировании и крене до 25-30 гр. Начали стрельбу стержневой шрапнелью черт. 2-633, а затем - осколочной гранатой. Темп - 21 выстрел/минуту.</w:t>
      </w:r>
    </w:p>
    <w:p w14:paraId="61415FE6"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Комиссия решила, что И-ЗЕТ испытания выдержал и после устранеия недостатков м.б. допущена на войсковые испытания (3996, 93).</w:t>
      </w:r>
    </w:p>
    <w:p w14:paraId="2408ED92"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58ECC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г. на Люберецком аэродроме и химическом полигоне в Кузьминках испытывалось семь самолетов И-7 с 14 пушками АПК-4бис. Их испытывала эскадрилья Новака — летчики Климов, Губанов, Бурылин, Катичев и Родин. Отмечалось, что при данной установке АПК стрелять возможно только в горизонтальной плоскости, при пикировании до угла 30°, при кабрировании в крене 25–30°. Первоначально стрельбы велись стержневой шрапнелью чертежа 2–633, а затем — осколочной гранатой. Темп стрельбы без задержек составил 21 выстр/мин. Комиссия сочла, что система АПК-4бис на самолете И-7 испытания выдержала и что при устранении прилагаемого перечня недостатков может быть допущена на войсковые испытания.</w:t>
      </w:r>
    </w:p>
    <w:p w14:paraId="5257DC7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к 1934 г. авиазавод № 39 выпустил вместе с опытным самолетом 22 И-7. С начала года проведение стрельб и испытаний было продолжено в Переславле-Залесском. Возглавил испытания Томас Павлович Сузи. Командиром отряда И-7 был летчик Кузьма Александрович Катичев. Летать начали зимой 1934 г. Стреляли по конусам, которые таскали разведчики Р-5. Все затянулось более чем на год. По сути, это были уже не войсковые испытания, а строевая служба, в ходе которой отрабатывались способы применения, ведения огня по воздушным и наземным целям.</w:t>
      </w:r>
    </w:p>
    <w:p w14:paraId="0FB08DB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1934–1935 гг. харьковский завод № 135 и московский завод № 39 выпустили 72 истребителя И-7 (12091).</w:t>
      </w:r>
    </w:p>
    <w:p w14:paraId="033904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D6093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ноябре 1933 при составлении плана работ на 1934 год Плановым отделом завода по указанию директора Марголина, самолет ЦКБ-9 был отнесен на 1935 год из-за отсутствия мотора М-48, а самолет ЦКБ-2 на декабрь 1934 года, как не дающий при тех высотных моторах, которые мы имеем на сегодня, рекордной высоты. Я в это </w:t>
      </w:r>
      <w:r w:rsidRPr="00C33834">
        <w:rPr>
          <w:rFonts w:ascii="Times New Roman" w:hAnsi="Times New Roman"/>
          <w:color w:val="000000" w:themeColor="text1"/>
          <w:sz w:val="16"/>
          <w:szCs w:val="16"/>
        </w:rPr>
        <w:lastRenderedPageBreak/>
        <w:t>время возвратился из отпуска и стоило больших трудов отстоять сроки, указанные в вышеприведенной таблице, так как у Чижевского имелись сведения, что мотор М-48 будет дан в марте 1934 года (что и подтвердилось), а в июле 1934 года должен быть получен мотор М-34 с турбокомпрессором РАТО, дающим высотность 7-8000 м. Кроме того, в отношении ЦКБ-2 можно сказать, что даже при постановке простого мотора М-34, при котором потолок самолета будет около 7000 м и этой высоты достаточно для того, чтобы изучать работу летчика в герметически закрытой кабине, а следовательно подготовить самолет для полета в стратосферу (7508, 54-58).</w:t>
      </w:r>
    </w:p>
    <w:p w14:paraId="3CF70A0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C47D1DB" w14:textId="77777777" w:rsidR="000723F3" w:rsidRPr="00C33834" w:rsidRDefault="000723F3"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ноябре 1933 г. в НИИ ВВС утвердили проект ВС-2 Калинина, но в варианте без расположенных над крылом рулей высоты и элеронов. Окончательный облик проект ВС-2 приобрел в конце 1933 г.  (17489).</w:t>
      </w:r>
    </w:p>
    <w:p w14:paraId="1A4AA450" w14:textId="77777777" w:rsidR="000723F3" w:rsidRPr="00C33834" w:rsidRDefault="000723F3" w:rsidP="00C33834">
      <w:pPr>
        <w:spacing w:after="0" w:line="240" w:lineRule="auto"/>
        <w:jc w:val="both"/>
        <w:rPr>
          <w:rFonts w:ascii="Times New Roman" w:eastAsia="Times New Roman" w:hAnsi="Times New Roman"/>
          <w:color w:val="000000" w:themeColor="text1"/>
          <w:sz w:val="16"/>
          <w:szCs w:val="16"/>
          <w:lang w:eastAsia="ru-RU"/>
        </w:rPr>
      </w:pPr>
    </w:p>
    <w:p w14:paraId="3C8E5E50"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ВВС снова был поставлен вопрос в Правительстве о неудовлетворительных темпах подготовки производства новых современных типов самолетов истребителей, в результате чего специальное решение КО (см. постановление № 118сс от 28 ноября 1933 года) обязало НКТПром, под персональную ответственность начальника ГУАП Королева, изготовить 300 новых современных истребителей И-14, И-15, И-16, определив заводы и помесячные выпуски этих самолетов с производства. В виду того, что внутри страны производства истребительных моторов не было, Правительство одновременно с этим отпустило 6 млн. рублей специально на закупку истребительных моторов Райт-Циклон воздушного охлаждения и Испано-Сюиза водяного охлаждения (7439, 14).</w:t>
      </w:r>
    </w:p>
    <w:p w14:paraId="3CC50751"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DB689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в Москве закончили гос. испытания САМ-5 цельнометаллического А.С.Москалева, первые облеты которого начались 12 августа 1933 начались на Воронежском аэродроме (2889,154).</w:t>
      </w:r>
    </w:p>
    <w:p w14:paraId="0ECA280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C6F30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приступили к строительству самолета КАИ-1. Зимой проводились статические испытания, а с февраля по апрель уже шла сборка машины. 30 апреля 1934 г. КАИ-1 был закончен и 1 мая осуществлен первый полет. Летные испытания закончились 18 августа. Есть информация, что поднимал первую машину начальник авиаотряда КАИ летчик Николаев А.Д. (12049).</w:t>
      </w:r>
    </w:p>
    <w:p w14:paraId="509CA8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D850860" w14:textId="77777777" w:rsidR="008B6A65" w:rsidRPr="00C33834" w:rsidRDefault="008B6A65" w:rsidP="00C33834">
      <w:pPr>
        <w:spacing w:after="0" w:line="240" w:lineRule="auto"/>
        <w:jc w:val="both"/>
        <w:rPr>
          <w:rFonts w:ascii="Times New Roman" w:hAnsi="Times New Roman"/>
          <w:color w:val="0070C0"/>
          <w:sz w:val="16"/>
          <w:szCs w:val="16"/>
          <w:lang w:eastAsia="ru-RU" w:bidi="ru-RU"/>
        </w:rPr>
      </w:pPr>
      <w:r w:rsidRPr="00C33834">
        <w:rPr>
          <w:rFonts w:ascii="Times New Roman" w:hAnsi="Times New Roman"/>
          <w:color w:val="0070C0"/>
          <w:sz w:val="16"/>
          <w:szCs w:val="16"/>
          <w:lang w:eastAsia="ru-RU" w:bidi="ru-RU"/>
        </w:rPr>
        <w:t>В ноябре 1933 г. из ГУАП поступило указание «ввиду значительного снижения данных самолета МБР-4-М-34 по сравнению с мотором АССО (результаты заводских испытаний) и отсутствия перспектив на использование этого самолета... все опыт</w:t>
      </w:r>
      <w:r w:rsidRPr="00C33834">
        <w:rPr>
          <w:rFonts w:ascii="Times New Roman" w:hAnsi="Times New Roman"/>
          <w:color w:val="0070C0"/>
          <w:sz w:val="16"/>
          <w:szCs w:val="16"/>
          <w:lang w:eastAsia="ru-RU" w:bidi="ru-RU"/>
        </w:rPr>
        <w:softHyphen/>
        <w:t>ные работы по самолету МБР-4-М-34 прекратить» (20335).</w:t>
      </w:r>
    </w:p>
    <w:p w14:paraId="239F4203" w14:textId="77777777" w:rsidR="008B6A65" w:rsidRPr="00C33834" w:rsidRDefault="008B6A65" w:rsidP="00C33834">
      <w:pPr>
        <w:spacing w:after="0" w:line="240" w:lineRule="auto"/>
        <w:jc w:val="both"/>
        <w:rPr>
          <w:rFonts w:ascii="Times New Roman" w:hAnsi="Times New Roman"/>
          <w:color w:val="0070C0"/>
          <w:sz w:val="16"/>
          <w:szCs w:val="16"/>
        </w:rPr>
      </w:pPr>
    </w:p>
    <w:p w14:paraId="24FC0F02" w14:textId="77777777" w:rsidR="000723F3" w:rsidRPr="00C33834" w:rsidRDefault="000723F3"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В ноябре 1933 г. на ТБ-1 с автопилотом АВП-2 испытали прибор «Дедал». </w:t>
      </w:r>
    </w:p>
    <w:p w14:paraId="74D88003" w14:textId="77777777" w:rsidR="000723F3" w:rsidRPr="00C33834" w:rsidRDefault="000723F3"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Прибор «Дедал», который позволял по радио управлять с земли или с самолёта другим самолётом, оборудованным приёмником сигналов и автопилотом. «Дедал» мог передавать 16 команд, по которым изменялись курс, крен, тангаж, скорость и высота полёта, осуществлялись несложные манёвры. Сигналы были тональными, для чего передатчик имел тональный шифратор, а приёмник — тональный дешифратор. Приёмник и передатчик очень точно настраивались в резонанс, и работа их отличалась высокой стабильностью </w:t>
      </w:r>
      <w:hyperlink r:id="rId387" w:history="1">
        <w:r w:rsidRPr="00C33834">
          <w:rPr>
            <w:rFonts w:ascii="Times New Roman" w:eastAsia="Times New Roman" w:hAnsi="Times New Roman"/>
            <w:color w:val="000000" w:themeColor="text1"/>
            <w:sz w:val="16"/>
            <w:szCs w:val="16"/>
            <w:lang w:eastAsia="ru-RU"/>
          </w:rPr>
          <w:t>[218]</w:t>
        </w:r>
      </w:hyperlink>
      <w:r w:rsidRPr="00C33834">
        <w:rPr>
          <w:rFonts w:ascii="Times New Roman" w:eastAsia="Times New Roman" w:hAnsi="Times New Roman"/>
          <w:color w:val="000000" w:themeColor="text1"/>
          <w:sz w:val="16"/>
          <w:szCs w:val="16"/>
          <w:lang w:eastAsia="ru-RU"/>
        </w:rPr>
        <w:t>. Дальность передачи сигнала составляла около 25 км, максимальная задержка реакции срабатывания — 4 секунды. При проектировании «Дедала» в Остехбюро опирались на опыт постройки управляемых по радио торпедных катеров.</w:t>
      </w:r>
    </w:p>
    <w:p w14:paraId="30B3ED73" w14:textId="77777777" w:rsidR="000723F3" w:rsidRPr="00C33834" w:rsidRDefault="000723F3"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При нажатии кнопок на установленном на борту аппарате «Дедал» самолёт чётко выполнял команды. После полёта находившийся на бомбардировщике контролёр доложил, что во время исполнения команд никто к рулям не прикасался и что работа автоматики с точки зрения пилотов была нормальная. После испытаний была заказана опытная партия АВП-2 и «Дедалов» для последующих экспериментов, а разработчики аппаратуры (7 человек) награждены орденами Ленина и «Красная Звезда» </w:t>
      </w:r>
      <w:hyperlink r:id="rId388" w:history="1">
        <w:r w:rsidRPr="00C33834">
          <w:rPr>
            <w:rFonts w:ascii="Times New Roman" w:eastAsia="Times New Roman" w:hAnsi="Times New Roman"/>
            <w:color w:val="000000" w:themeColor="text1"/>
            <w:sz w:val="16"/>
            <w:szCs w:val="16"/>
            <w:lang w:eastAsia="ru-RU"/>
          </w:rPr>
          <w:t>[219]</w:t>
        </w:r>
      </w:hyperlink>
      <w:r w:rsidRPr="00C33834">
        <w:rPr>
          <w:rFonts w:ascii="Times New Roman" w:hAnsi="Times New Roman"/>
          <w:color w:val="000000" w:themeColor="text1"/>
          <w:sz w:val="16"/>
          <w:szCs w:val="16"/>
        </w:rPr>
        <w:t xml:space="preserve"> (17489)</w:t>
      </w:r>
      <w:r w:rsidRPr="00C33834">
        <w:rPr>
          <w:rFonts w:ascii="Times New Roman" w:eastAsia="Times New Roman" w:hAnsi="Times New Roman"/>
          <w:color w:val="000000" w:themeColor="text1"/>
          <w:sz w:val="16"/>
          <w:szCs w:val="16"/>
          <w:lang w:eastAsia="ru-RU"/>
        </w:rPr>
        <w:t>.</w:t>
      </w:r>
    </w:p>
    <w:p w14:paraId="01A92016" w14:textId="77777777" w:rsidR="000723F3" w:rsidRPr="00C33834" w:rsidRDefault="000723F3" w:rsidP="00C33834">
      <w:pPr>
        <w:spacing w:after="0" w:line="240" w:lineRule="auto"/>
        <w:jc w:val="both"/>
        <w:rPr>
          <w:rFonts w:ascii="Times New Roman" w:eastAsia="Times New Roman" w:hAnsi="Times New Roman"/>
          <w:color w:val="000000" w:themeColor="text1"/>
          <w:sz w:val="16"/>
          <w:szCs w:val="16"/>
          <w:lang w:eastAsia="ru-RU"/>
        </w:rPr>
      </w:pPr>
    </w:p>
    <w:p w14:paraId="7E7817CA" w14:textId="77777777" w:rsidR="008B6A65" w:rsidRPr="00C33834" w:rsidRDefault="008B6A6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ноябре 1933 г. в Москве на ТБ-1 с автопилотом АВП-2 прошёл государственные испытания прибор Дедал. При нажатии кнопок на установленном на борту «Дедале» самолёт чётко выполнял команды. После полёта находившийся на бомбардировщике контролёр доложил, что во время исполнения команд никто к рулям не прикасался и что работа автоматики с точки зрения пилотов была нормальная. После испытаний была заказана опытная партия АВП-2 и «Дедалов» для последующих экспериментов, а разработчики аппаратуры награждены орденами Ленина и «Красная Звезда».</w:t>
      </w:r>
    </w:p>
    <w:p w14:paraId="60358B87" w14:textId="77777777" w:rsidR="008B6A65" w:rsidRPr="00C33834" w:rsidRDefault="008B6A6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Прибор «Дедал» был разработан в Особом техническом бюро под руководством академика В.Ф. Миткевича и позволял по радио управлять с земли или с самолёта другим самолётом, оборудованным приёмником сигналов и автопилотом. «Дедал» мог передавать 16 команд, по которым изменялись курс, крен, тангаж, скорость и высота полёта, осуществлялись несложные манёвры. Сигналы была тональными, для чего передатчик имел тональный шифратор, а приёмник – тональный дешифратор. Приёмник и передатчик очень точно настраивались в резонанс, и работа их отличалась высокой стабильностью. Дальность передачи сигнала составляла около 25 км, максимальная задержка реакции срабатывания – 4 секунды. При проектировании «Дедала» в Остехбюро опирались на опыт постройки управляемых по радио торпедных катеров (22673).</w:t>
      </w:r>
    </w:p>
    <w:p w14:paraId="0136B0A9" w14:textId="77777777" w:rsidR="008B6A65" w:rsidRPr="00C33834" w:rsidRDefault="008B6A65" w:rsidP="00C33834">
      <w:pPr>
        <w:spacing w:after="0" w:line="240" w:lineRule="auto"/>
        <w:jc w:val="both"/>
        <w:rPr>
          <w:rFonts w:ascii="Times New Roman" w:hAnsi="Times New Roman"/>
          <w:color w:val="0070C0"/>
          <w:sz w:val="16"/>
          <w:szCs w:val="16"/>
        </w:rPr>
      </w:pPr>
    </w:p>
    <w:p w14:paraId="50408E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один из оставшихся 4-х Фарман-Голиафов 62 (ФГ-62) входил в 6 разведывательную эскадрилью в Гатчине и машина эксплуатировалась по крайней мере до начала 1934 (3200,19).</w:t>
      </w:r>
    </w:p>
    <w:p w14:paraId="579A8E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F4BD8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w:t>
      </w:r>
      <w:r w:rsidRPr="00C33834">
        <w:rPr>
          <w:rFonts w:ascii="Times New Roman" w:hAnsi="Times New Roman"/>
          <w:color w:val="000000" w:themeColor="text1"/>
          <w:sz w:val="16"/>
          <w:szCs w:val="16"/>
        </w:rPr>
        <w:softHyphen/>
        <w:t>бре 1933 г. в ВВС было уже 1036. По состоянию на 22 июня 1941 г. только в авиации флота находилось 390 У-2 (10667).</w:t>
      </w:r>
    </w:p>
    <w:p w14:paraId="7BC9865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D32BA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года существовавшая с 1927 года мебельная фабрика № 1 Треста «Союзмебель» НК леса в Москве на основании Постановления Экономсовета была переименована в завод № 161. В июне 1940 года, на основании Постановления Правительства от 5 июля 1940 года № 1169-456с, завод № 161 из системы НК леса был передан в систему НКАП для производства авиасвечей и магнето.</w:t>
      </w:r>
    </w:p>
    <w:p w14:paraId="1E3146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ОКБ-161 было организовано в 1940 году при заводе № 161 НКАП в Москве. В октябре 1941 года завод № 161 эвакуировался из Москвы в Уфу и разместился на территории бывш. авторемонтного завода, расположенного на ул. Аксакова, 95.</w:t>
      </w:r>
    </w:p>
    <w:p w14:paraId="63764E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период работы ОКБ-161 с 1940 по 1949 гг. разработаны изделия системы зажигания для поршневых авиамоторов отечественного производства – слюдяные свечи, экранирующие угольники и контактные устройства. В 1943 году, в I квартале ОКБ освоило керамическую изоляцию. С 1943 по 1945 гг. проделана работа по увеличению сроков службы находящихся в эксплуатации авиасвечей. С 1945 г. ОКБ обеспечивало выпуск свечей, контактных устройств и угольников для реактивных двигателей. В 1947 и 1948 гг. освоило керамические свечи для авиадвигателей и пусковой подогреватель ПП-20 для облегчения запуска реактивных двигателей в зимних условиях. С 1950/51 гг. работа ОКБ проводится в двух направлениях:</w:t>
      </w:r>
    </w:p>
    <w:p w14:paraId="4CB58776"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Разработка новых конструкций систем зажигания (пусковые катушки, свечи, угольники, контактные устройства и др.).</w:t>
      </w:r>
    </w:p>
    <w:p w14:paraId="6B1A8551"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Разработка агрегатов автоматического запуска для реактивных двигателей типа АП-2, АП-12, АП-12М, АП-2С и др. В 1952 году, согласно приказа МАП № 322 от 25 марта 1952 года, на ОКБ возложено руководство тремя заводами по электроагрегатам: завод № 85, завод № 132, завод № 161.</w:t>
      </w:r>
    </w:p>
    <w:p w14:paraId="737971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Работой ОКБ руководили гл. конструкторы:</w:t>
      </w:r>
    </w:p>
    <w:p w14:paraId="14FABC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Воронков – с 1940 по 1943 гг.</w:t>
      </w:r>
    </w:p>
    <w:p w14:paraId="72101F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Чекунов – с 1943 по 1951 гг.</w:t>
      </w:r>
    </w:p>
    <w:p w14:paraId="6F82E54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Дмитриев – с 1951 по 1956 гг.</w:t>
      </w:r>
    </w:p>
    <w:p w14:paraId="0BA27BF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Богомолов – с 1956 г. (9387).</w:t>
      </w:r>
    </w:p>
    <w:p w14:paraId="737B26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66E85DA" w14:textId="77777777" w:rsidR="00206636" w:rsidRPr="00C33834" w:rsidRDefault="0020663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г. катер АНТ-5 прошел заводские испытания в Севастополе, которые начались в апреле, а с 22 ноября по декабрь — государственные испытания. Испытания АНТ-5 привели начальство буквально в восторг — катер с торпедами развивал скорость 58 узлов, а без торпед — 65,3 узла. О таких скоростях не могли и мечтать катера других стран.</w:t>
      </w:r>
    </w:p>
    <w:p w14:paraId="6911D5BC" w14:textId="77777777" w:rsidR="00206636" w:rsidRPr="00C33834" w:rsidRDefault="0020663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им. Марта, начиная с V серии (первые четыре серии — это катера Ш-4), перешел на производство Г-5 (так назывались серийные катера АНТ-5). Позже Г-5 стали строить и на заводе № 532 в Керчи, а с началом войны завод № 532 эвакуировали в Тюмень, и там на заводе № 639 также приступили к строительству катеров типа Г-5. Всего был построен 321 серийный катер Г-5 девяти серий (с VI по XII, включая Х1бис).</w:t>
      </w:r>
    </w:p>
    <w:p w14:paraId="6C416975" w14:textId="77777777" w:rsidR="00206636" w:rsidRPr="00C33834" w:rsidRDefault="0020663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Торпедное вооружение у всех серий было одинаково: две 533-мм торпеды в желобковых аппаратах. А вот пулеметное вооружение постоянно менялось. Так, катера VI—IX серий имели по два 7,62-мм авиационных пулемета ДА. Следующие серии имели по два 7,62-мм авиационных пулеметов ШКАС, отличавшихся большей скорострельностью.</w:t>
      </w:r>
    </w:p>
    <w:p w14:paraId="24779761" w14:textId="77777777" w:rsidR="00206636" w:rsidRPr="00C33834" w:rsidRDefault="0020663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1941 г. катера стали оснащать одним-двумя 12,7-мм пулеметами ДШК. Кроме того, силами флотских умельцев были созданы импровизированные ординарные и спаренные 20-мм установки авиационных пушек ШВАК.</w:t>
      </w:r>
    </w:p>
    <w:p w14:paraId="1AF7310B" w14:textId="77777777" w:rsidR="00206636" w:rsidRPr="00C33834" w:rsidRDefault="0020663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Водоизмещение катеров Г-5 колебалось от 14,91 т (VI серии) до 19,94 т (XI серии). Большинство катеров имело по два отечественных бензиновых двигателя ГАМ-34БП и БС мощностью 850 л. с. каждый. 25 катеров IX серии были оснащены итальянскими двигателями «Изотто-Фраскини» А 550—1000. 40 катеров серии Х1бис </w:t>
      </w:r>
      <w:r w:rsidRPr="00C33834">
        <w:rPr>
          <w:rFonts w:ascii="Times New Roman" w:hAnsi="Times New Roman"/>
          <w:color w:val="000000" w:themeColor="text1"/>
          <w:sz w:val="16"/>
          <w:szCs w:val="16"/>
        </w:rPr>
        <w:lastRenderedPageBreak/>
        <w:t>оснащены форсированными двигателями ГАМ-34Ф мощностью по 1000 л. с. А в ходе войны катера снабжались двумя американскими двигателями «Паккард» мощностью по 1150 л.с.</w:t>
      </w:r>
    </w:p>
    <w:p w14:paraId="18212D71" w14:textId="77777777" w:rsidR="00206636" w:rsidRPr="00C33834" w:rsidRDefault="0020663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хода катеров составляла от 45 до 52 узлов. А стоимость постройки — от 475 тыс. руб. (первые серии) до 620 тыс. руб. (начиная с XI серии).</w:t>
      </w:r>
    </w:p>
    <w:p w14:paraId="4BD9159A" w14:textId="77777777" w:rsidR="00206636" w:rsidRPr="00C33834" w:rsidRDefault="0020663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Как работали эти двигатели ГАМ-34, пусть даже теоретически, можно понять из следующего документа: «Правила ухода и обслуживания катера Г-5». Полный ход достигался при 1900 об./мин. двигателя. Но работать при скорости 1900 об/мин. можно было не более 20 мин., а при скорости 1800 об/мин. — не более 1 часа. Причем полный ход можно было развивать только в боевых условиях. А «пользоваться самым полным ходом при 1800—1900 об/мин. в условиях боевой подготовки запрещается».</w:t>
      </w:r>
    </w:p>
    <w:p w14:paraId="621E8EB5" w14:textId="77777777" w:rsidR="00206636" w:rsidRPr="00C33834" w:rsidRDefault="0020663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24, изготавливавший двигатели ГАМ-34, давал им гарантию лишь на 150 часов работы двигателя, далее должна была производиться полная переборка двигателя и ремонт (15117).</w:t>
      </w:r>
    </w:p>
    <w:p w14:paraId="4955A6D2" w14:textId="77777777" w:rsidR="00206636" w:rsidRPr="00C33834" w:rsidRDefault="00206636" w:rsidP="00C33834">
      <w:pPr>
        <w:spacing w:after="0" w:line="240" w:lineRule="auto"/>
        <w:jc w:val="both"/>
        <w:rPr>
          <w:rFonts w:ascii="Times New Roman" w:hAnsi="Times New Roman"/>
          <w:color w:val="000000" w:themeColor="text1"/>
          <w:sz w:val="16"/>
          <w:szCs w:val="16"/>
        </w:rPr>
      </w:pPr>
    </w:p>
    <w:p w14:paraId="75EDA3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Ноябрь 1933г Проведены первые официальные стендовые испытания двигателя ОРМ-50 тягой 150кг с химическим зажиганием для ракеты 05 конструкции МосГИРД. Двигатель затем прошел стендовые испытания в составе ракеты и работал при пуске ракеты 05 с полигона ГИРД в Нахабино под Москвой (11330).</w:t>
      </w:r>
    </w:p>
    <w:p w14:paraId="38B1BD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5B8E88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г. ДАП-100 пытались сделать уни</w:t>
      </w:r>
      <w:r w:rsidRPr="00C33834">
        <w:rPr>
          <w:rFonts w:ascii="Times New Roman" w:hAnsi="Times New Roman"/>
          <w:color w:val="000000" w:themeColor="text1"/>
          <w:sz w:val="16"/>
          <w:szCs w:val="16"/>
        </w:rPr>
        <w:softHyphen/>
        <w:t>версальным прибором - заправить его горючей жидкостью и попробовать поливать ей мишени с Р-5. Неизве</w:t>
      </w:r>
      <w:r w:rsidRPr="00C33834">
        <w:rPr>
          <w:rFonts w:ascii="Times New Roman" w:hAnsi="Times New Roman"/>
          <w:color w:val="000000" w:themeColor="text1"/>
          <w:sz w:val="16"/>
          <w:szCs w:val="16"/>
        </w:rPr>
        <w:softHyphen/>
        <w:t>стно, было ли это сделано в дей</w:t>
      </w:r>
      <w:r w:rsidRPr="00C33834">
        <w:rPr>
          <w:rFonts w:ascii="Times New Roman" w:hAnsi="Times New Roman"/>
          <w:color w:val="000000" w:themeColor="text1"/>
          <w:sz w:val="16"/>
          <w:szCs w:val="16"/>
        </w:rPr>
        <w:softHyphen/>
        <w:t>ствительности (12269).</w:t>
      </w:r>
    </w:p>
    <w:p w14:paraId="71BC5E0C" w14:textId="77777777" w:rsidR="0018342B" w:rsidRPr="00C33834" w:rsidRDefault="0018342B" w:rsidP="00C33834">
      <w:pPr>
        <w:spacing w:after="0" w:line="240" w:lineRule="auto"/>
        <w:jc w:val="both"/>
        <w:rPr>
          <w:rFonts w:ascii="Times New Roman" w:hAnsi="Times New Roman"/>
          <w:color w:val="000000" w:themeColor="text1"/>
          <w:sz w:val="16"/>
          <w:szCs w:val="16"/>
        </w:rPr>
      </w:pPr>
    </w:p>
    <w:p w14:paraId="6270F3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г. неудачно закончились испытания по сбрасыванию мин ВОМИЗ-100 и ВОМИЗ-250 с малой высоты без парашютов. Испытания закончились неудачей, но е том же году на вооружение была принята мина ВОМИЗ-250 (МАВ-2) для постановки с самолета ТБ-3 с большой высоты (12002).</w:t>
      </w:r>
    </w:p>
    <w:p w14:paraId="223E8E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37B3594" w14:textId="77777777" w:rsidR="008B6A65" w:rsidRPr="00C33834" w:rsidRDefault="008B6A6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 ноябре 1933 новый начальник Аэрофлота Уншлихт вновь воззвал к Совнаркому, прося выделить недостающие для стройки эллинга транспорт, механизмы, стройматериалы и вагоны, помочь рабсилой, привлечь к работам другие ведомства, и лишь при этом условии обещал сдать объект к 1 июня 1934 года. Госплан возражал против такой чрезвычайщины, резонно замечая, что дирижабельная база ничем не отличается от других крупных московских строек. В результате Совнарком от новых решений воздержался, предоставив Уншлихту разбираться с проблемой самостоятельно.</w:t>
      </w:r>
    </w:p>
    <w:p w14:paraId="68C35065" w14:textId="77777777" w:rsidR="008B6A65" w:rsidRPr="00C33834" w:rsidRDefault="008B6A6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Эллинг к началу 1934 года довели до 68 %-й готовности, а в августе сдали, хотя и не без недоделок, - весь процесс его переезда на Долгопрудную занял около трёх лет.</w:t>
      </w:r>
    </w:p>
    <w:p w14:paraId="27F02688" w14:textId="77777777" w:rsidR="008B6A65" w:rsidRPr="00C33834" w:rsidRDefault="008B6A65" w:rsidP="00C33834">
      <w:pPr>
        <w:spacing w:after="0" w:line="240" w:lineRule="auto"/>
        <w:jc w:val="both"/>
        <w:rPr>
          <w:rFonts w:ascii="Times New Roman" w:hAnsi="Times New Roman"/>
          <w:color w:val="0070C0"/>
          <w:sz w:val="16"/>
          <w:szCs w:val="16"/>
          <w:lang w:eastAsia="ru-RU" w:bidi="ru-RU"/>
        </w:rPr>
      </w:pPr>
      <w:r w:rsidRPr="00C33834">
        <w:rPr>
          <w:rFonts w:ascii="Times New Roman" w:hAnsi="Times New Roman"/>
          <w:color w:val="0070C0"/>
          <w:sz w:val="16"/>
          <w:szCs w:val="16"/>
          <w:lang w:eastAsia="ru-RU" w:bidi="ru-RU"/>
        </w:rPr>
        <w:t>Первый металлический дом для дирижаблей оказался прочным и простоял десятилетия. Он остался в одиночестве в 1970-е годы, когда все его более поздние собратья были разобраны. Прошёл через запустение 1990-х, чуть было не рухнул, но устоял (23192).</w:t>
      </w:r>
    </w:p>
    <w:p w14:paraId="43030234" w14:textId="77777777" w:rsidR="008B6A65" w:rsidRPr="00C33834" w:rsidRDefault="008B6A65" w:rsidP="00C33834">
      <w:pPr>
        <w:spacing w:after="0" w:line="240" w:lineRule="auto"/>
        <w:jc w:val="both"/>
        <w:rPr>
          <w:rFonts w:ascii="Times New Roman" w:hAnsi="Times New Roman"/>
          <w:color w:val="000000"/>
          <w:sz w:val="16"/>
          <w:szCs w:val="16"/>
          <w:lang w:eastAsia="ru-RU" w:bidi="ru-RU"/>
        </w:rPr>
      </w:pPr>
    </w:p>
    <w:p w14:paraId="54E3FA46"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9054524"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A3A5DA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г. Наркомтяжпром приступил к разработке нового плана — «МП-33», ко-должен был обеспечить в случае войны указанные ниже таблице, размеры подачи военной продукции.</w:t>
      </w:r>
    </w:p>
    <w:p w14:paraId="5C26C46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Мобилизационная заявка НКО СССР на 1933 г.</w:t>
      </w:r>
    </w:p>
    <w:tbl>
      <w:tblPr>
        <w:tblW w:w="0" w:type="auto"/>
        <w:tblLayout w:type="fixed"/>
        <w:tblLook w:val="0000" w:firstRow="0" w:lastRow="0" w:firstColumn="0" w:lastColumn="0" w:noHBand="0" w:noVBand="0"/>
      </w:tblPr>
      <w:tblGrid>
        <w:gridCol w:w="3168"/>
        <w:gridCol w:w="3168"/>
      </w:tblGrid>
      <w:tr w:rsidR="00F26F01" w:rsidRPr="00C33834" w14:paraId="07F10F15" w14:textId="77777777">
        <w:tc>
          <w:tcPr>
            <w:tcW w:w="3168" w:type="dxa"/>
            <w:tcBorders>
              <w:top w:val="single" w:sz="12" w:space="0" w:color="auto"/>
              <w:left w:val="single" w:sz="12" w:space="0" w:color="auto"/>
              <w:bottom w:val="single" w:sz="6" w:space="0" w:color="auto"/>
              <w:right w:val="single" w:sz="6" w:space="0" w:color="auto"/>
            </w:tcBorders>
          </w:tcPr>
          <w:p w14:paraId="56487D6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Винтовки обр. 1891 г.</w:t>
            </w:r>
          </w:p>
        </w:tc>
        <w:tc>
          <w:tcPr>
            <w:tcW w:w="3168" w:type="dxa"/>
            <w:tcBorders>
              <w:top w:val="single" w:sz="12" w:space="0" w:color="auto"/>
              <w:left w:val="single" w:sz="6" w:space="0" w:color="auto"/>
              <w:bottom w:val="single" w:sz="6" w:space="0" w:color="auto"/>
              <w:right w:val="single" w:sz="12" w:space="0" w:color="auto"/>
            </w:tcBorders>
          </w:tcPr>
          <w:p w14:paraId="35FEB84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2 000 000 шт.</w:t>
            </w:r>
          </w:p>
        </w:tc>
      </w:tr>
      <w:tr w:rsidR="00F26F01" w:rsidRPr="00C33834" w14:paraId="5016DD9C" w14:textId="77777777">
        <w:tc>
          <w:tcPr>
            <w:tcW w:w="3168" w:type="dxa"/>
            <w:tcBorders>
              <w:top w:val="single" w:sz="6" w:space="0" w:color="auto"/>
              <w:left w:val="single" w:sz="12" w:space="0" w:color="auto"/>
              <w:bottom w:val="single" w:sz="6" w:space="0" w:color="auto"/>
              <w:right w:val="single" w:sz="6" w:space="0" w:color="auto"/>
            </w:tcBorders>
          </w:tcPr>
          <w:p w14:paraId="45DC597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Пулеметы всех систем</w:t>
            </w:r>
          </w:p>
        </w:tc>
        <w:tc>
          <w:tcPr>
            <w:tcW w:w="3168" w:type="dxa"/>
            <w:tcBorders>
              <w:top w:val="single" w:sz="6" w:space="0" w:color="auto"/>
              <w:left w:val="single" w:sz="6" w:space="0" w:color="auto"/>
              <w:bottom w:val="single" w:sz="6" w:space="0" w:color="auto"/>
              <w:right w:val="single" w:sz="12" w:space="0" w:color="auto"/>
            </w:tcBorders>
          </w:tcPr>
          <w:p w14:paraId="3160227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120 000 шт.</w:t>
            </w:r>
          </w:p>
        </w:tc>
      </w:tr>
      <w:tr w:rsidR="00F26F01" w:rsidRPr="00C33834" w14:paraId="3EA6C359" w14:textId="77777777">
        <w:tc>
          <w:tcPr>
            <w:tcW w:w="3168" w:type="dxa"/>
            <w:tcBorders>
              <w:top w:val="single" w:sz="6" w:space="0" w:color="auto"/>
              <w:left w:val="single" w:sz="12" w:space="0" w:color="auto"/>
              <w:bottom w:val="single" w:sz="6" w:space="0" w:color="auto"/>
              <w:right w:val="single" w:sz="6" w:space="0" w:color="auto"/>
            </w:tcBorders>
          </w:tcPr>
          <w:p w14:paraId="1840943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Винтовочные патроны</w:t>
            </w:r>
          </w:p>
        </w:tc>
        <w:tc>
          <w:tcPr>
            <w:tcW w:w="3168" w:type="dxa"/>
            <w:tcBorders>
              <w:top w:val="single" w:sz="6" w:space="0" w:color="auto"/>
              <w:left w:val="single" w:sz="6" w:space="0" w:color="auto"/>
              <w:bottom w:val="single" w:sz="6" w:space="0" w:color="auto"/>
              <w:right w:val="single" w:sz="12" w:space="0" w:color="auto"/>
            </w:tcBorders>
          </w:tcPr>
          <w:p w14:paraId="00830D6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3 000 000 000 шт.</w:t>
            </w:r>
          </w:p>
        </w:tc>
      </w:tr>
      <w:tr w:rsidR="00F26F01" w:rsidRPr="00C33834" w14:paraId="6A7FFDA1" w14:textId="77777777">
        <w:tc>
          <w:tcPr>
            <w:tcW w:w="3168" w:type="dxa"/>
            <w:tcBorders>
              <w:top w:val="single" w:sz="6" w:space="0" w:color="auto"/>
              <w:left w:val="single" w:sz="12" w:space="0" w:color="auto"/>
              <w:bottom w:val="single" w:sz="6" w:space="0" w:color="auto"/>
              <w:right w:val="single" w:sz="6" w:space="0" w:color="auto"/>
            </w:tcBorders>
          </w:tcPr>
          <w:p w14:paraId="1EA1026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Артвыстрел ^</w:t>
            </w:r>
          </w:p>
        </w:tc>
        <w:tc>
          <w:tcPr>
            <w:tcW w:w="3168" w:type="dxa"/>
            <w:tcBorders>
              <w:top w:val="single" w:sz="6" w:space="0" w:color="auto"/>
              <w:left w:val="single" w:sz="6" w:space="0" w:color="auto"/>
              <w:bottom w:val="single" w:sz="6" w:space="0" w:color="auto"/>
              <w:right w:val="single" w:sz="12" w:space="0" w:color="auto"/>
            </w:tcBorders>
          </w:tcPr>
          <w:p w14:paraId="21E5086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60 000 000 шт.</w:t>
            </w:r>
          </w:p>
        </w:tc>
      </w:tr>
      <w:tr w:rsidR="00F26F01" w:rsidRPr="00C33834" w14:paraId="622BE62E" w14:textId="77777777">
        <w:tc>
          <w:tcPr>
            <w:tcW w:w="3168" w:type="dxa"/>
            <w:tcBorders>
              <w:top w:val="single" w:sz="6" w:space="0" w:color="auto"/>
              <w:left w:val="single" w:sz="12" w:space="0" w:color="auto"/>
              <w:bottom w:val="single" w:sz="6" w:space="0" w:color="auto"/>
              <w:right w:val="single" w:sz="6" w:space="0" w:color="auto"/>
            </w:tcBorders>
          </w:tcPr>
          <w:p w14:paraId="4B31FBC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Авиационные бомбы</w:t>
            </w:r>
          </w:p>
        </w:tc>
        <w:tc>
          <w:tcPr>
            <w:tcW w:w="3168" w:type="dxa"/>
            <w:tcBorders>
              <w:top w:val="single" w:sz="6" w:space="0" w:color="auto"/>
              <w:left w:val="single" w:sz="6" w:space="0" w:color="auto"/>
              <w:bottom w:val="single" w:sz="6" w:space="0" w:color="auto"/>
              <w:right w:val="single" w:sz="12" w:space="0" w:color="auto"/>
            </w:tcBorders>
          </w:tcPr>
          <w:p w14:paraId="5793F50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150 000 шт.</w:t>
            </w:r>
          </w:p>
        </w:tc>
      </w:tr>
      <w:tr w:rsidR="00F26F01" w:rsidRPr="00C33834" w14:paraId="26CE4D46" w14:textId="77777777">
        <w:tc>
          <w:tcPr>
            <w:tcW w:w="3168" w:type="dxa"/>
            <w:tcBorders>
              <w:top w:val="single" w:sz="6" w:space="0" w:color="auto"/>
              <w:left w:val="single" w:sz="12" w:space="0" w:color="auto"/>
              <w:bottom w:val="single" w:sz="6" w:space="0" w:color="auto"/>
              <w:right w:val="single" w:sz="6" w:space="0" w:color="auto"/>
            </w:tcBorders>
          </w:tcPr>
          <w:p w14:paraId="492A6E5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Торпеды *</w:t>
            </w:r>
          </w:p>
        </w:tc>
        <w:tc>
          <w:tcPr>
            <w:tcW w:w="3168" w:type="dxa"/>
            <w:tcBorders>
              <w:top w:val="single" w:sz="6" w:space="0" w:color="auto"/>
              <w:left w:val="single" w:sz="6" w:space="0" w:color="auto"/>
              <w:bottom w:val="single" w:sz="6" w:space="0" w:color="auto"/>
              <w:right w:val="single" w:sz="12" w:space="0" w:color="auto"/>
            </w:tcBorders>
          </w:tcPr>
          <w:p w14:paraId="7BD7F49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2 500 шт.</w:t>
            </w:r>
          </w:p>
        </w:tc>
      </w:tr>
      <w:tr w:rsidR="00F26F01" w:rsidRPr="00C33834" w14:paraId="0ABA3E59" w14:textId="77777777">
        <w:tc>
          <w:tcPr>
            <w:tcW w:w="3168" w:type="dxa"/>
            <w:tcBorders>
              <w:top w:val="single" w:sz="6" w:space="0" w:color="auto"/>
              <w:left w:val="single" w:sz="12" w:space="0" w:color="auto"/>
              <w:bottom w:val="single" w:sz="6" w:space="0" w:color="auto"/>
              <w:right w:val="single" w:sz="6" w:space="0" w:color="auto"/>
            </w:tcBorders>
          </w:tcPr>
          <w:p w14:paraId="53772DC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Мины</w:t>
            </w:r>
          </w:p>
        </w:tc>
        <w:tc>
          <w:tcPr>
            <w:tcW w:w="3168" w:type="dxa"/>
            <w:tcBorders>
              <w:top w:val="single" w:sz="6" w:space="0" w:color="auto"/>
              <w:left w:val="single" w:sz="6" w:space="0" w:color="auto"/>
              <w:bottom w:val="single" w:sz="6" w:space="0" w:color="auto"/>
              <w:right w:val="single" w:sz="12" w:space="0" w:color="auto"/>
            </w:tcBorders>
          </w:tcPr>
          <w:p w14:paraId="1E24F43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25 000 шт.</w:t>
            </w:r>
          </w:p>
        </w:tc>
      </w:tr>
      <w:tr w:rsidR="00F26F01" w:rsidRPr="00C33834" w14:paraId="3DE9B7EC" w14:textId="77777777">
        <w:tc>
          <w:tcPr>
            <w:tcW w:w="3168" w:type="dxa"/>
            <w:tcBorders>
              <w:top w:val="single" w:sz="6" w:space="0" w:color="auto"/>
              <w:left w:val="single" w:sz="12" w:space="0" w:color="auto"/>
              <w:bottom w:val="single" w:sz="6" w:space="0" w:color="auto"/>
              <w:right w:val="single" w:sz="6" w:space="0" w:color="auto"/>
            </w:tcBorders>
          </w:tcPr>
          <w:p w14:paraId="25F697A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Артиллерийские системы В том числе:</w:t>
            </w:r>
          </w:p>
        </w:tc>
        <w:tc>
          <w:tcPr>
            <w:tcW w:w="3168" w:type="dxa"/>
            <w:tcBorders>
              <w:top w:val="single" w:sz="6" w:space="0" w:color="auto"/>
              <w:left w:val="single" w:sz="6" w:space="0" w:color="auto"/>
              <w:bottom w:val="single" w:sz="6" w:space="0" w:color="auto"/>
              <w:right w:val="single" w:sz="12" w:space="0" w:color="auto"/>
            </w:tcBorders>
          </w:tcPr>
          <w:p w14:paraId="00259C4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24 410 шт.</w:t>
            </w:r>
          </w:p>
        </w:tc>
      </w:tr>
      <w:tr w:rsidR="00F26F01" w:rsidRPr="00C33834" w14:paraId="160673FD" w14:textId="77777777">
        <w:tc>
          <w:tcPr>
            <w:tcW w:w="3168" w:type="dxa"/>
            <w:tcBorders>
              <w:top w:val="single" w:sz="6" w:space="0" w:color="auto"/>
              <w:left w:val="single" w:sz="12" w:space="0" w:color="auto"/>
              <w:bottom w:val="single" w:sz="6" w:space="0" w:color="auto"/>
              <w:right w:val="single" w:sz="6" w:space="0" w:color="auto"/>
            </w:tcBorders>
          </w:tcPr>
          <w:p w14:paraId="4A41A7E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мелкокалиберные </w:t>
            </w:r>
          </w:p>
        </w:tc>
        <w:tc>
          <w:tcPr>
            <w:tcW w:w="3168" w:type="dxa"/>
            <w:tcBorders>
              <w:top w:val="single" w:sz="6" w:space="0" w:color="auto"/>
              <w:left w:val="single" w:sz="6" w:space="0" w:color="auto"/>
              <w:bottom w:val="single" w:sz="6" w:space="0" w:color="auto"/>
              <w:right w:val="single" w:sz="12" w:space="0" w:color="auto"/>
            </w:tcBorders>
          </w:tcPr>
          <w:p w14:paraId="53D463D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15 180 шт.</w:t>
            </w:r>
          </w:p>
        </w:tc>
      </w:tr>
      <w:tr w:rsidR="00F26F01" w:rsidRPr="00C33834" w14:paraId="5E24A53A" w14:textId="77777777">
        <w:tc>
          <w:tcPr>
            <w:tcW w:w="3168" w:type="dxa"/>
            <w:tcBorders>
              <w:top w:val="single" w:sz="6" w:space="0" w:color="auto"/>
              <w:left w:val="single" w:sz="12" w:space="0" w:color="auto"/>
              <w:bottom w:val="single" w:sz="6" w:space="0" w:color="auto"/>
              <w:right w:val="single" w:sz="6" w:space="0" w:color="auto"/>
            </w:tcBorders>
          </w:tcPr>
          <w:p w14:paraId="109C7EB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среднекалиберные</w:t>
            </w:r>
          </w:p>
        </w:tc>
        <w:tc>
          <w:tcPr>
            <w:tcW w:w="3168" w:type="dxa"/>
            <w:tcBorders>
              <w:top w:val="single" w:sz="6" w:space="0" w:color="auto"/>
              <w:left w:val="single" w:sz="6" w:space="0" w:color="auto"/>
              <w:bottom w:val="single" w:sz="6" w:space="0" w:color="auto"/>
              <w:right w:val="single" w:sz="12" w:space="0" w:color="auto"/>
            </w:tcBorders>
          </w:tcPr>
          <w:p w14:paraId="5EB4EE3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6 220 шт.</w:t>
            </w:r>
          </w:p>
        </w:tc>
      </w:tr>
      <w:tr w:rsidR="00F26F01" w:rsidRPr="00C33834" w14:paraId="3A5D54D1" w14:textId="77777777">
        <w:tc>
          <w:tcPr>
            <w:tcW w:w="3168" w:type="dxa"/>
            <w:tcBorders>
              <w:top w:val="single" w:sz="6" w:space="0" w:color="auto"/>
              <w:left w:val="single" w:sz="12" w:space="0" w:color="auto"/>
              <w:bottom w:val="single" w:sz="6" w:space="0" w:color="auto"/>
              <w:right w:val="single" w:sz="6" w:space="0" w:color="auto"/>
            </w:tcBorders>
          </w:tcPr>
          <w:p w14:paraId="3EE380B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крупнокалиберные</w:t>
            </w:r>
          </w:p>
        </w:tc>
        <w:tc>
          <w:tcPr>
            <w:tcW w:w="3168" w:type="dxa"/>
            <w:tcBorders>
              <w:top w:val="single" w:sz="6" w:space="0" w:color="auto"/>
              <w:left w:val="single" w:sz="6" w:space="0" w:color="auto"/>
              <w:bottom w:val="single" w:sz="6" w:space="0" w:color="auto"/>
              <w:right w:val="single" w:sz="12" w:space="0" w:color="auto"/>
            </w:tcBorders>
          </w:tcPr>
          <w:p w14:paraId="38CD630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1 940 шт.</w:t>
            </w:r>
          </w:p>
        </w:tc>
      </w:tr>
      <w:tr w:rsidR="00F26F01" w:rsidRPr="00C33834" w14:paraId="1FE381BA" w14:textId="77777777">
        <w:tc>
          <w:tcPr>
            <w:tcW w:w="3168" w:type="dxa"/>
            <w:tcBorders>
              <w:top w:val="single" w:sz="6" w:space="0" w:color="auto"/>
              <w:left w:val="single" w:sz="12" w:space="0" w:color="auto"/>
              <w:bottom w:val="single" w:sz="6" w:space="0" w:color="auto"/>
              <w:right w:val="single" w:sz="6" w:space="0" w:color="auto"/>
            </w:tcBorders>
          </w:tcPr>
          <w:p w14:paraId="298BBC2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зенитные</w:t>
            </w:r>
          </w:p>
        </w:tc>
        <w:tc>
          <w:tcPr>
            <w:tcW w:w="3168" w:type="dxa"/>
            <w:tcBorders>
              <w:top w:val="single" w:sz="6" w:space="0" w:color="auto"/>
              <w:left w:val="single" w:sz="6" w:space="0" w:color="auto"/>
              <w:bottom w:val="single" w:sz="6" w:space="0" w:color="auto"/>
              <w:right w:val="single" w:sz="12" w:space="0" w:color="auto"/>
            </w:tcBorders>
          </w:tcPr>
          <w:p w14:paraId="70BD0E8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1 070 шт.</w:t>
            </w:r>
          </w:p>
        </w:tc>
      </w:tr>
      <w:tr w:rsidR="00F26F01" w:rsidRPr="00C33834" w14:paraId="2A6F90F4" w14:textId="77777777">
        <w:tc>
          <w:tcPr>
            <w:tcW w:w="3168" w:type="dxa"/>
            <w:tcBorders>
              <w:top w:val="single" w:sz="6" w:space="0" w:color="auto"/>
              <w:left w:val="single" w:sz="12" w:space="0" w:color="auto"/>
              <w:bottom w:val="single" w:sz="6" w:space="0" w:color="auto"/>
              <w:right w:val="single" w:sz="6" w:space="0" w:color="auto"/>
            </w:tcBorders>
          </w:tcPr>
          <w:p w14:paraId="75F47C0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Танки</w:t>
            </w:r>
          </w:p>
        </w:tc>
        <w:tc>
          <w:tcPr>
            <w:tcW w:w="3168" w:type="dxa"/>
            <w:tcBorders>
              <w:top w:val="single" w:sz="6" w:space="0" w:color="auto"/>
              <w:left w:val="single" w:sz="6" w:space="0" w:color="auto"/>
              <w:bottom w:val="single" w:sz="6" w:space="0" w:color="auto"/>
              <w:right w:val="single" w:sz="12" w:space="0" w:color="auto"/>
            </w:tcBorders>
          </w:tcPr>
          <w:p w14:paraId="3F47395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15 800 шт.</w:t>
            </w:r>
          </w:p>
        </w:tc>
      </w:tr>
      <w:tr w:rsidR="00F26F01" w:rsidRPr="00C33834" w14:paraId="0D9AF18E" w14:textId="77777777">
        <w:tc>
          <w:tcPr>
            <w:tcW w:w="3168" w:type="dxa"/>
            <w:tcBorders>
              <w:top w:val="single" w:sz="6" w:space="0" w:color="auto"/>
              <w:left w:val="single" w:sz="12" w:space="0" w:color="auto"/>
              <w:bottom w:val="single" w:sz="6" w:space="0" w:color="auto"/>
              <w:right w:val="single" w:sz="6" w:space="0" w:color="auto"/>
            </w:tcBorders>
          </w:tcPr>
          <w:p w14:paraId="1518AC0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Танкетки и бронемашины</w:t>
            </w:r>
          </w:p>
        </w:tc>
        <w:tc>
          <w:tcPr>
            <w:tcW w:w="3168" w:type="dxa"/>
            <w:tcBorders>
              <w:top w:val="single" w:sz="6" w:space="0" w:color="auto"/>
              <w:left w:val="single" w:sz="6" w:space="0" w:color="auto"/>
              <w:bottom w:val="single" w:sz="6" w:space="0" w:color="auto"/>
              <w:right w:val="single" w:sz="12" w:space="0" w:color="auto"/>
            </w:tcBorders>
          </w:tcPr>
          <w:p w14:paraId="6E8C0B5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15 000 шт.</w:t>
            </w:r>
          </w:p>
        </w:tc>
      </w:tr>
      <w:tr w:rsidR="00F26F01" w:rsidRPr="00C33834" w14:paraId="73B47BEE" w14:textId="77777777">
        <w:tc>
          <w:tcPr>
            <w:tcW w:w="3168" w:type="dxa"/>
            <w:tcBorders>
              <w:top w:val="single" w:sz="6" w:space="0" w:color="auto"/>
              <w:left w:val="single" w:sz="12" w:space="0" w:color="auto"/>
              <w:bottom w:val="single" w:sz="6" w:space="0" w:color="auto"/>
              <w:right w:val="single" w:sz="6" w:space="0" w:color="auto"/>
            </w:tcBorders>
          </w:tcPr>
          <w:p w14:paraId="0C3180D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Самолеты разведчики</w:t>
            </w:r>
          </w:p>
        </w:tc>
        <w:tc>
          <w:tcPr>
            <w:tcW w:w="3168" w:type="dxa"/>
            <w:tcBorders>
              <w:top w:val="single" w:sz="6" w:space="0" w:color="auto"/>
              <w:left w:val="single" w:sz="6" w:space="0" w:color="auto"/>
              <w:bottom w:val="single" w:sz="6" w:space="0" w:color="auto"/>
              <w:right w:val="single" w:sz="12" w:space="0" w:color="auto"/>
            </w:tcBorders>
          </w:tcPr>
          <w:p w14:paraId="6229ABE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2 650 шт.</w:t>
            </w:r>
          </w:p>
        </w:tc>
      </w:tr>
      <w:tr w:rsidR="00F26F01" w:rsidRPr="00C33834" w14:paraId="6BA994DF" w14:textId="77777777">
        <w:tc>
          <w:tcPr>
            <w:tcW w:w="3168" w:type="dxa"/>
            <w:tcBorders>
              <w:top w:val="single" w:sz="6" w:space="0" w:color="auto"/>
              <w:left w:val="single" w:sz="12" w:space="0" w:color="auto"/>
              <w:bottom w:val="single" w:sz="6" w:space="0" w:color="auto"/>
              <w:right w:val="single" w:sz="6" w:space="0" w:color="auto"/>
            </w:tcBorders>
          </w:tcPr>
          <w:p w14:paraId="6E03507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Самолеты бомбардировщики</w:t>
            </w:r>
          </w:p>
        </w:tc>
        <w:tc>
          <w:tcPr>
            <w:tcW w:w="3168" w:type="dxa"/>
            <w:tcBorders>
              <w:top w:val="single" w:sz="6" w:space="0" w:color="auto"/>
              <w:left w:val="single" w:sz="6" w:space="0" w:color="auto"/>
              <w:bottom w:val="single" w:sz="6" w:space="0" w:color="auto"/>
              <w:right w:val="single" w:sz="12" w:space="0" w:color="auto"/>
            </w:tcBorders>
          </w:tcPr>
          <w:p w14:paraId="1032105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2 020 шт.</w:t>
            </w:r>
          </w:p>
        </w:tc>
      </w:tr>
      <w:tr w:rsidR="00F26F01" w:rsidRPr="00C33834" w14:paraId="020AB9D8" w14:textId="77777777">
        <w:tc>
          <w:tcPr>
            <w:tcW w:w="3168" w:type="dxa"/>
            <w:tcBorders>
              <w:top w:val="single" w:sz="6" w:space="0" w:color="auto"/>
              <w:left w:val="single" w:sz="12" w:space="0" w:color="auto"/>
              <w:bottom w:val="single" w:sz="6" w:space="0" w:color="auto"/>
              <w:right w:val="single" w:sz="6" w:space="0" w:color="auto"/>
            </w:tcBorders>
          </w:tcPr>
          <w:p w14:paraId="63C122D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Самолеты истребители</w:t>
            </w:r>
          </w:p>
        </w:tc>
        <w:tc>
          <w:tcPr>
            <w:tcW w:w="3168" w:type="dxa"/>
            <w:tcBorders>
              <w:top w:val="single" w:sz="6" w:space="0" w:color="auto"/>
              <w:left w:val="single" w:sz="6" w:space="0" w:color="auto"/>
              <w:bottom w:val="single" w:sz="6" w:space="0" w:color="auto"/>
              <w:right w:val="single" w:sz="12" w:space="0" w:color="auto"/>
            </w:tcBorders>
          </w:tcPr>
          <w:p w14:paraId="0362D82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2 460 шт.</w:t>
            </w:r>
          </w:p>
        </w:tc>
      </w:tr>
      <w:tr w:rsidR="00F26F01" w:rsidRPr="00C33834" w14:paraId="079BB52E" w14:textId="77777777">
        <w:tc>
          <w:tcPr>
            <w:tcW w:w="3168" w:type="dxa"/>
            <w:tcBorders>
              <w:top w:val="single" w:sz="6" w:space="0" w:color="auto"/>
              <w:left w:val="single" w:sz="12" w:space="0" w:color="auto"/>
              <w:bottom w:val="single" w:sz="6" w:space="0" w:color="auto"/>
              <w:right w:val="single" w:sz="6" w:space="0" w:color="auto"/>
            </w:tcBorders>
          </w:tcPr>
          <w:p w14:paraId="708841F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Учебные самолеты</w:t>
            </w:r>
          </w:p>
        </w:tc>
        <w:tc>
          <w:tcPr>
            <w:tcW w:w="3168" w:type="dxa"/>
            <w:tcBorders>
              <w:top w:val="single" w:sz="6" w:space="0" w:color="auto"/>
              <w:left w:val="single" w:sz="6" w:space="0" w:color="auto"/>
              <w:bottom w:val="single" w:sz="6" w:space="0" w:color="auto"/>
              <w:right w:val="single" w:sz="12" w:space="0" w:color="auto"/>
            </w:tcBorders>
          </w:tcPr>
          <w:p w14:paraId="3658CC2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8 730 шт.</w:t>
            </w:r>
          </w:p>
        </w:tc>
      </w:tr>
      <w:tr w:rsidR="00F26F01" w:rsidRPr="00C33834" w14:paraId="178E99C0" w14:textId="77777777">
        <w:tc>
          <w:tcPr>
            <w:tcW w:w="3168" w:type="dxa"/>
            <w:tcBorders>
              <w:top w:val="single" w:sz="6" w:space="0" w:color="auto"/>
              <w:left w:val="single" w:sz="12" w:space="0" w:color="auto"/>
              <w:bottom w:val="single" w:sz="12" w:space="0" w:color="auto"/>
              <w:right w:val="single" w:sz="6" w:space="0" w:color="auto"/>
            </w:tcBorders>
          </w:tcPr>
          <w:p w14:paraId="7B82591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Авиамоторы____________</w:t>
            </w:r>
          </w:p>
        </w:tc>
        <w:tc>
          <w:tcPr>
            <w:tcW w:w="3168" w:type="dxa"/>
            <w:tcBorders>
              <w:top w:val="single" w:sz="6" w:space="0" w:color="auto"/>
              <w:left w:val="single" w:sz="6" w:space="0" w:color="auto"/>
              <w:bottom w:val="single" w:sz="12" w:space="0" w:color="auto"/>
              <w:right w:val="single" w:sz="12" w:space="0" w:color="auto"/>
            </w:tcBorders>
          </w:tcPr>
          <w:p w14:paraId="52A1783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15 150 шт.</w:t>
            </w:r>
          </w:p>
        </w:tc>
      </w:tr>
    </w:tbl>
    <w:p w14:paraId="54AD093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Источник: РГАЭ ф.7297, оп.38, д.1, л.88-102 (1566,117).</w:t>
      </w:r>
    </w:p>
    <w:p w14:paraId="0D47016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0DD3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вышло решение СТО о строительстве Комбината № 100 и Главхимпром НКТП выдал соответствующее задание Гипроспецхиму (5484,346).</w:t>
      </w:r>
    </w:p>
    <w:p w14:paraId="4580D52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A7DE46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В.М.М. как пред. КО ответил отказом на предложение НКО К.Е.В. о закупке сверхлегкого быстроходного колесно-гусеничного танка Кристи М.1932 (из-за неудовлетворительных результатов испытаний) (3879,38).</w:t>
      </w:r>
    </w:p>
    <w:p w14:paraId="4AB015D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042AB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в опытный танк БТ-2 вместо Либерти поставили дизель БД-2 ХПЗ и начались заводские испытания. Работал устойчиво, но сильно дымил, танк трясло из-за неуравновешенности двигателя (3879,40).</w:t>
      </w:r>
    </w:p>
    <w:p w14:paraId="78B84C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15C59D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г. дизель БД-1 был установлен вместо авиамотора «Либерти» в танк БТ-2. В ходе испытаний было обнаружено большое число недоработок как в конструкции двигателя, так и в системах его питания и охлаждения. Но поскольку по основным размерам дизель БД хорошо вписывался в МТО танков БТ, ПТ-1 и Т-28, было принято решение о продолжении работ над указанным дизе</w:t>
      </w:r>
      <w:r w:rsidRPr="00C33834">
        <w:rPr>
          <w:rFonts w:ascii="Times New Roman" w:hAnsi="Times New Roman"/>
          <w:color w:val="000000" w:themeColor="text1"/>
          <w:sz w:val="16"/>
          <w:szCs w:val="16"/>
        </w:rPr>
        <w:softHyphen/>
        <w:t>лем для доведения его до требований УММ с целью исполь</w:t>
      </w:r>
      <w:r w:rsidRPr="00C33834">
        <w:rPr>
          <w:rFonts w:ascii="Times New Roman" w:hAnsi="Times New Roman"/>
          <w:color w:val="000000" w:themeColor="text1"/>
          <w:sz w:val="16"/>
          <w:szCs w:val="16"/>
        </w:rPr>
        <w:softHyphen/>
        <w:t>зования в указанных танках. Никаких «белых пятен» в конструкции дизель-мотора обнаружено не было, и потому все считали, что через два-три года новые серийные «пламенные сердца» найдут свое место в новых боевых машинах. По принятии системы танкостроения на 2-ю пятилетку наряду с ХПЗ разработкой дизельных двигателей занялся также ОКМО завода им. Ворошилова, а позднее — Опытного завода Спецмаштреста им. С.М. Кирова. Здесь превалировало здравое решение о разработке «линейки» — семейства из четырех двигателей для всех тре</w:t>
      </w:r>
      <w:r w:rsidRPr="00C33834">
        <w:rPr>
          <w:rFonts w:ascii="Times New Roman" w:hAnsi="Times New Roman"/>
          <w:color w:val="000000" w:themeColor="text1"/>
          <w:sz w:val="16"/>
          <w:szCs w:val="16"/>
        </w:rPr>
        <w:softHyphen/>
        <w:t>буемых танков массой от 10 до 50 т и в перспективе до 75 т. По опыту эксплуатации имевшихся танков это должны бы</w:t>
      </w:r>
      <w:r w:rsidRPr="00C33834">
        <w:rPr>
          <w:rFonts w:ascii="Times New Roman" w:hAnsi="Times New Roman"/>
          <w:color w:val="000000" w:themeColor="text1"/>
          <w:sz w:val="16"/>
          <w:szCs w:val="16"/>
        </w:rPr>
        <w:softHyphen/>
        <w:t>ли быть четырехтактные дизель-моторы воздушного охлаждения мощностью от 150 до 800 л.с. Но главной проблемой дизельного двигателя был топ</w:t>
      </w:r>
      <w:r w:rsidRPr="00C33834">
        <w:rPr>
          <w:rFonts w:ascii="Times New Roman" w:hAnsi="Times New Roman"/>
          <w:color w:val="000000" w:themeColor="text1"/>
          <w:sz w:val="16"/>
          <w:szCs w:val="16"/>
        </w:rPr>
        <w:softHyphen/>
        <w:t>ливный насос, а поскольку основные конструкционные уз</w:t>
      </w:r>
      <w:r w:rsidRPr="00C33834">
        <w:rPr>
          <w:rFonts w:ascii="Times New Roman" w:hAnsi="Times New Roman"/>
          <w:color w:val="000000" w:themeColor="text1"/>
          <w:sz w:val="16"/>
          <w:szCs w:val="16"/>
        </w:rPr>
        <w:softHyphen/>
        <w:t>лы дизеля и бензомотора были подобны, то было принято решение о разработке в едином конструктиве как дизельного, так и бензинового двигателя. Предполагалось, что ра</w:t>
      </w:r>
      <w:r w:rsidRPr="00C33834">
        <w:rPr>
          <w:rFonts w:ascii="Times New Roman" w:hAnsi="Times New Roman"/>
          <w:color w:val="000000" w:themeColor="text1"/>
          <w:sz w:val="16"/>
          <w:szCs w:val="16"/>
        </w:rPr>
        <w:softHyphen/>
        <w:t>боты над дизелем продлятся несколько лет, в течение кото</w:t>
      </w:r>
      <w:r w:rsidRPr="00C33834">
        <w:rPr>
          <w:rFonts w:ascii="Times New Roman" w:hAnsi="Times New Roman"/>
          <w:color w:val="000000" w:themeColor="text1"/>
          <w:sz w:val="16"/>
          <w:szCs w:val="16"/>
        </w:rPr>
        <w:softHyphen/>
        <w:t>рых конструкцию танка можно будет отрабатывать на спе</w:t>
      </w:r>
      <w:r w:rsidRPr="00C33834">
        <w:rPr>
          <w:rFonts w:ascii="Times New Roman" w:hAnsi="Times New Roman"/>
          <w:color w:val="000000" w:themeColor="text1"/>
          <w:sz w:val="16"/>
          <w:szCs w:val="16"/>
        </w:rPr>
        <w:softHyphen/>
        <w:t>циальном бензомоторе, в создании которых у двигателис-тов уже был определенный опыт. Таким образом, в 1933 г. для будущего Т-26А началась разработка дизельного ДМТ-4 (ДТ-4) и карбюраторного МТ-4 мощностью 200 л.с. (180-210 л.с.), а для Т-28А -дизельного ДМТ-1 и карбюраторного МТ-1 мощностью 500 л.с. (480-520 л.с.). Однако дизельмотор стал для СССР того времени хай-теком такого порядка, что казался не под силу нашей про</w:t>
      </w:r>
      <w:r w:rsidRPr="00C33834">
        <w:rPr>
          <w:rFonts w:ascii="Times New Roman" w:hAnsi="Times New Roman"/>
          <w:color w:val="000000" w:themeColor="text1"/>
          <w:sz w:val="16"/>
          <w:szCs w:val="16"/>
        </w:rPr>
        <w:softHyphen/>
        <w:t>мышленности. Практически ни один дизельный двигатель, отработанный в одном экземпляре, в течение 1933-1938 гг. так и не был освоен даже в самой малой серии (10733,289).</w:t>
      </w:r>
    </w:p>
    <w:p w14:paraId="5EEE762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36833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ноябре 1933 г. начались пробные пробеги первого советского танка с дизель-мотором - БТ-5 с БД-2. Они проводились на заводском дворе: "сырой" двигатель не позволял вывезти машину на полигон, и каждый пробег оканчивался возвращением в заводской цех. Дизель в танке работал устойчиво, но сильно дымил и вибрировал по причине неуравновешенности, что вызывало у танкистов, помимо неприятных ощущений, трудности с управлением. По результатам стендовых испытаний и обкатки начали разработку улучшенной конструкции, которая должна была пойти в серию в качестве установочной. Для повышения коэффициента наполнения цилиндров и достижения заданной мощности перешли на четырехклапанную систему, установив по два впускных и выпускных клапана на каждом цилиндре. Всего с апреля 1933 г. по октябрь 1934 г. в конструкцию дизеля внесли 1150 изменений. На этом этапе к работе над БД-2 подключился молодой конструктор Иван Яковлевич </w:t>
      </w:r>
      <w:r w:rsidRPr="00C33834">
        <w:rPr>
          <w:rFonts w:ascii="Times New Roman" w:hAnsi="Times New Roman"/>
          <w:color w:val="000000" w:themeColor="text1"/>
          <w:sz w:val="16"/>
          <w:szCs w:val="16"/>
        </w:rPr>
        <w:lastRenderedPageBreak/>
        <w:t>Трашутин (будущий главный конструктор Кировского завода). Он вернулся из учебной командировки в США, куда был направлен для освоения "современных методов расчета узлов и деталей ДВС". За время пребывания в Массачусетском технологическом институте он защитил диссертацию, получив ученую степень магистра (9021).</w:t>
      </w:r>
    </w:p>
    <w:p w14:paraId="2F559E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2A662B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ноябре 1933 г. вместо авиационного мотора «Либерти» в опытный танк БТ-2 был установлен быстроходный дизель БД-2 № 1 (этот опытный танк еще назывался БДТ-1). Ведущим инженером машины был Н.А. Кучеренко. Эксплуатационная мощность БД-2, установленного в танке БТ-2, составляла 360 л.с. (265 кВт). Пробные пробеговые испытания танка с новым двигателем по территории завода были «первыми шагами» нового типа танкового двигателя - дизель-мотора. Дизель в танке работал устойчиво, но сильно дымил. Танк трясло, сказывалась неуравновешенность двигателя. Вибрация вызывала неприятные ощущения у танкистов. На этих и последующих испытаниях было выявлено много недостатков. Ряд конструктивных решений необходимо было пересмотреть, отдельные детали и узлы требовали доработки. В 1934 г. в доводку дизеля активно включился И.Я. Трашутин, возвратившийся из США после стажировки. После испытаний на стенде и в танке опытного образца дизеля БД-2, конструкторы приступили к разработке улучшенной конструкции двигателя первой серии. КБ дизельного отдела завода, в целом, довольно малочисленное, в период 1932 - 1937 гг. вело большой объем работ по созданию одновременно нескольких модификаций быстроходного дизеля, имея в виду обеспечение различных транспортных машин дизелями одного семейства типа БД-2. Кроме того, весной 1933 г. в НАТИ под руководством и.о. директора инженера Зелинского велись проектные работы по установке в танк БТ-2 опытного быстроходного бескомпрессорного дизеля Д-300 конструкции ОКМО. В 1934 г. в КБ по быстроходным дизелям прибыло новое пополнение специалистов. В дизельном отделе завода было организовано три КБ, разрабатывающих до десятка модификаций дизеля БД-2 (танковых, судовых, тракторных, авиационных). Для разработки серийной технологии изготовления и оснастки в ноябре 1935 г. было создано технологическое бюро по БД-2, в котором, правда, уже на БТ-5, были продолжены объектовые испытания двигателей первой серии. По результатам испытаний первой серии и замечаниям специалистов ЦИАМ конструкторы выпустили техническую документацию дизеля БД-2 второй серии. Для повышения надежности и технологичности предусматривалось изготовление коленчатых валов, шатунов, поршней из штампованных заготовок. Однако очередные стендовые испытания, проведенные в январе - марте 1937 г., снова выявили дефекты. С середины 1937 г. усовершенствованный дизель получил наименование В-2. Первые Государственные испытания В-2 состоялись в апреле - мае 1938 г. К концу 1938 г. заводом были изготовлены первые 50 дизелей. В январе 1939 г. из состава завода № 183 (бывший ХПЗ) был образован новый дизельный завод, который позже был переименован в Государственный союзный завод № 75. В 1939 г. решением ГКО дизель В-2 был принят на вооружение РККА.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 </w:t>
      </w:r>
    </w:p>
    <w:p w14:paraId="4425B4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57E67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ноябре 1933 г. вместо авиационного мотора «Либерти» в опытный танк БТ-2 был установлен быстроходный дизель БД-2 № 1. Пробные пробеговые испытания танка с новым двигателем по территории завода были «первыми шагами» нового типа танкового двигателя - дизель-мотора. </w:t>
      </w:r>
    </w:p>
    <w:p w14:paraId="0D5AAC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Дизель в танке работал устойчиво, но сильно дымил. На этих и последующих испытаниях было выявлено много недостатков. После проведения большого объема конструкторских работ большую часть из них удалось устранить. С середины 1937 г. усовершенствованный дизель получил наименование В-2. Первые Государственные испытания В-2 состоялись в апреле - мае 1938 г. К концу 1938 г. заводом были изготовлены первые 50 дизелей.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w:t>
      </w:r>
    </w:p>
    <w:p w14:paraId="6A9E9E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225C79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в Спецотделе НАТИ на базе двухбашенного Т-26 был разработан новый проект танка подводного хождения. В июне 1934 опытный образец прошел испытания и был отправлен на доработку на склад № 37 (9527,230).</w:t>
      </w:r>
    </w:p>
    <w:p w14:paraId="5E67812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3D30BC3" w14:textId="77777777" w:rsidR="000723F3" w:rsidRPr="00C33834" w:rsidRDefault="000723F3" w:rsidP="00C33834">
      <w:pPr>
        <w:pStyle w:val="ae"/>
        <w:shd w:val="clear" w:color="auto" w:fill="FFFFFF"/>
        <w:spacing w:before="0" w:after="0"/>
        <w:jc w:val="both"/>
        <w:rPr>
          <w:color w:val="000000" w:themeColor="text1"/>
          <w:sz w:val="16"/>
          <w:szCs w:val="16"/>
        </w:rPr>
      </w:pPr>
      <w:r w:rsidRPr="00C33834">
        <w:rPr>
          <w:color w:val="000000" w:themeColor="text1"/>
          <w:sz w:val="16"/>
          <w:szCs w:val="16"/>
        </w:rPr>
        <w:t>С ноября 1933 года к работе по теме Т-29 начинает привлекаться ОКМО. 19 ноября 1933 года опытный завод получил задачу изготовить для вышеперечисленных танков коробки передач, бортовые передачи и другие элементы трансмиссии. Многие детали изготавливались на заводе «Красный Путиловец», позже ставший Кировским заводом. Между ОКМО и АТБ ЭКУ ОГПУ началась плотная переписка</w:t>
      </w:r>
      <w:r w:rsidRPr="00C33834">
        <w:rPr>
          <w:iCs/>
          <w:color w:val="000000" w:themeColor="text1"/>
          <w:sz w:val="16"/>
          <w:szCs w:val="16"/>
        </w:rPr>
        <w:t xml:space="preserve"> (17708).</w:t>
      </w:r>
    </w:p>
    <w:p w14:paraId="12771A13" w14:textId="77777777" w:rsidR="000723F3" w:rsidRPr="00C33834" w:rsidRDefault="000723F3" w:rsidP="00C33834">
      <w:pPr>
        <w:spacing w:after="0" w:line="240" w:lineRule="auto"/>
        <w:jc w:val="both"/>
        <w:rPr>
          <w:rFonts w:ascii="Times New Roman" w:eastAsia="Times New Roman" w:hAnsi="Times New Roman"/>
          <w:color w:val="000000" w:themeColor="text1"/>
          <w:sz w:val="16"/>
          <w:szCs w:val="16"/>
          <w:lang w:eastAsia="ru-RU"/>
        </w:rPr>
      </w:pPr>
    </w:p>
    <w:p w14:paraId="7E3003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г. на заводе № 183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  г. Нижний Тагил/ /622007(51) был собран первый Т-35А. Пост. Главного Военного Совета СССР о 8.06.1939 г. производство Т-35 было прекращено (11982).</w:t>
      </w:r>
    </w:p>
    <w:p w14:paraId="12FF38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41D9AC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г. задание на проектирование зенитной САУ на шасси танка Т-26 получил конструкторский отдел самоходной артиллерии завода № 185. Даже предваритель</w:t>
      </w:r>
      <w:r w:rsidRPr="00C33834">
        <w:rPr>
          <w:rFonts w:ascii="Times New Roman" w:hAnsi="Times New Roman"/>
          <w:color w:val="000000" w:themeColor="text1"/>
          <w:sz w:val="16"/>
          <w:szCs w:val="16"/>
        </w:rPr>
        <w:softHyphen/>
        <w:t>ные прикидки показали, что шасси необходимо удлинять. Но тем не менее до февраля 1934 г. ГАУ и УММ не соглаша</w:t>
      </w:r>
      <w:r w:rsidRPr="00C33834">
        <w:rPr>
          <w:rFonts w:ascii="Times New Roman" w:hAnsi="Times New Roman"/>
          <w:color w:val="000000" w:themeColor="text1"/>
          <w:sz w:val="16"/>
          <w:szCs w:val="16"/>
        </w:rPr>
        <w:softHyphen/>
        <w:t>лись с проведением переделок ходовой части танка Т-26.</w:t>
      </w:r>
    </w:p>
    <w:p w14:paraId="5EC7D8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1934 г. проект был в целом одобрен, но задание скорректировано для применения орудия в боевых порядках войск против вражеских танков. В июне 1934 г. в танковом КБ завода начались работы по проектированию и изготовле</w:t>
      </w:r>
      <w:r w:rsidRPr="00C33834">
        <w:rPr>
          <w:rFonts w:ascii="Times New Roman" w:hAnsi="Times New Roman"/>
          <w:color w:val="000000" w:themeColor="text1"/>
          <w:sz w:val="16"/>
          <w:szCs w:val="16"/>
        </w:rPr>
        <w:softHyphen/>
        <w:t>нию удлиненного шасси Т-26 для самоходной артиллерии.</w:t>
      </w:r>
    </w:p>
    <w:p w14:paraId="33DACA8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Руководитель проекта шасси С.А. Гинзбург предложил рас</w:t>
      </w:r>
      <w:r w:rsidRPr="00C33834">
        <w:rPr>
          <w:rFonts w:ascii="Times New Roman" w:hAnsi="Times New Roman"/>
          <w:color w:val="000000" w:themeColor="text1"/>
          <w:sz w:val="16"/>
          <w:szCs w:val="16"/>
        </w:rPr>
        <w:softHyphen/>
        <w:t>смотреть данное шасси не только как носитель 76,2-мм зе</w:t>
      </w:r>
      <w:r w:rsidRPr="00C33834">
        <w:rPr>
          <w:rFonts w:ascii="Times New Roman" w:hAnsi="Times New Roman"/>
          <w:color w:val="000000" w:themeColor="text1"/>
          <w:sz w:val="16"/>
          <w:szCs w:val="16"/>
        </w:rPr>
        <w:softHyphen/>
        <w:t>нитной пушки ЗК, но также 106,7-мм тяжелой дивизионной пушки обр. 1910/30 гг., 152-мм гаубицы обр. 1909/30, а также для создания забронированного транспортера пехоты. Но эти предложения были оставлены без внимания.</w:t>
      </w:r>
    </w:p>
    <w:p w14:paraId="6B9783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Компоновкой зенитной САУ занимался Л. Троянов под общим руководством П.Н. Сячинтова. Машина представля</w:t>
      </w:r>
      <w:r w:rsidRPr="00C33834">
        <w:rPr>
          <w:rFonts w:ascii="Times New Roman" w:hAnsi="Times New Roman"/>
          <w:color w:val="000000" w:themeColor="text1"/>
          <w:sz w:val="16"/>
          <w:szCs w:val="16"/>
        </w:rPr>
        <w:softHyphen/>
        <w:t>ла собой открытую самоходную установку, построенную с широким использованием узлов и агрегатов танка Т-26, от которого были заимствованы двигатель, главный фрикцион, сочленения карданного вала, коробка перемены передач, бортовые фрикционы, тормоза и бортовые передачи. Кор</w:t>
      </w:r>
      <w:r w:rsidRPr="00C33834">
        <w:rPr>
          <w:rFonts w:ascii="Times New Roman" w:hAnsi="Times New Roman"/>
          <w:color w:val="000000" w:themeColor="text1"/>
          <w:sz w:val="16"/>
          <w:szCs w:val="16"/>
        </w:rPr>
        <w:softHyphen/>
        <w:t>пус склепывался из 6—8-мм листов броневой стали. Он был шире и длиннее по сравнению с Т-26. Для необходимой же</w:t>
      </w:r>
      <w:r w:rsidRPr="00C33834">
        <w:rPr>
          <w:rFonts w:ascii="Times New Roman" w:hAnsi="Times New Roman"/>
          <w:color w:val="000000" w:themeColor="text1"/>
          <w:sz w:val="16"/>
          <w:szCs w:val="16"/>
        </w:rPr>
        <w:softHyphen/>
        <w:t>сткости его усиливали тремя поперечными перегородками, между которыми находились складные сиденья расчета. На крыше корпуса, дополнительно укрепленной угольниками, на болтах крепилась тумба 76-мм зенитной пушки ЗК.</w:t>
      </w:r>
    </w:p>
    <w:p w14:paraId="2EA5D17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ходовую часть Т-26 было добавлено по одному опор</w:t>
      </w:r>
      <w:r w:rsidRPr="00C33834">
        <w:rPr>
          <w:rFonts w:ascii="Times New Roman" w:hAnsi="Times New Roman"/>
          <w:color w:val="000000" w:themeColor="text1"/>
          <w:sz w:val="16"/>
          <w:szCs w:val="16"/>
        </w:rPr>
        <w:softHyphen/>
        <w:t>ному катку (на каждый борт), подрессоренному спиральной пружиной. Для уменьшения нагрузок на подвеску при стрельбе на каждом борту был установлен специальный ги</w:t>
      </w:r>
      <w:r w:rsidRPr="00C33834">
        <w:rPr>
          <w:rFonts w:ascii="Times New Roman" w:hAnsi="Times New Roman"/>
          <w:color w:val="000000" w:themeColor="text1"/>
          <w:sz w:val="16"/>
          <w:szCs w:val="16"/>
        </w:rPr>
        <w:softHyphen/>
        <w:t>дравлический выключатель, разгружавший рессоры и пере</w:t>
      </w:r>
      <w:r w:rsidRPr="00C33834">
        <w:rPr>
          <w:rFonts w:ascii="Times New Roman" w:hAnsi="Times New Roman"/>
          <w:color w:val="000000" w:themeColor="text1"/>
          <w:sz w:val="16"/>
          <w:szCs w:val="16"/>
        </w:rPr>
        <w:softHyphen/>
        <w:t>дававший нагрузку непосредственно на опорные катки.</w:t>
      </w:r>
    </w:p>
    <w:p w14:paraId="2A607F3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боков машины на петлях крепились откидные борта из 6-мм брони, защищавшие экипаж от обстрела во время мар</w:t>
      </w:r>
      <w:r w:rsidRPr="00C33834">
        <w:rPr>
          <w:rFonts w:ascii="Times New Roman" w:hAnsi="Times New Roman"/>
          <w:color w:val="000000" w:themeColor="text1"/>
          <w:sz w:val="16"/>
          <w:szCs w:val="16"/>
        </w:rPr>
        <w:softHyphen/>
        <w:t>ша. Перед стрельбой борта откидывались и удерживались специальными упорами. Лобовой и кормовой листы тоже от</w:t>
      </w:r>
      <w:r w:rsidRPr="00C33834">
        <w:rPr>
          <w:rFonts w:ascii="Times New Roman" w:hAnsi="Times New Roman"/>
          <w:color w:val="000000" w:themeColor="text1"/>
          <w:sz w:val="16"/>
          <w:szCs w:val="16"/>
        </w:rPr>
        <w:softHyphen/>
        <w:t>кидывались, причем передний опускался внутрь и закрывал собой люки сидений командира и механика-водителя. Люки сидений расчета закрывались крышками на петлях. Таким образом, в боевом положении, при откидывании всех бортов и крышек, получалась довольно большая площадка, которая позволяла работать расчету 76,2-мм орудия.</w:t>
      </w:r>
    </w:p>
    <w:p w14:paraId="52FC5BE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Масса самоходной установки, получившей индекс СУ-6, в боевом положении составляла 11,1 т, максимальная ско</w:t>
      </w:r>
      <w:r w:rsidRPr="00C33834">
        <w:rPr>
          <w:rFonts w:ascii="Times New Roman" w:hAnsi="Times New Roman"/>
          <w:color w:val="000000" w:themeColor="text1"/>
          <w:sz w:val="16"/>
          <w:szCs w:val="16"/>
        </w:rPr>
        <w:softHyphen/>
        <w:t>рость по шоссе достигала 28 км/ч, запас хода — 130 км. Помимо 76,2-мм зенитной пушки вооружение машины было до</w:t>
      </w:r>
      <w:r w:rsidRPr="00C33834">
        <w:rPr>
          <w:rFonts w:ascii="Times New Roman" w:hAnsi="Times New Roman"/>
          <w:color w:val="000000" w:themeColor="text1"/>
          <w:sz w:val="16"/>
          <w:szCs w:val="16"/>
        </w:rPr>
        <w:softHyphen/>
        <w:t>полнено двумя 7,62-мм пулеметами ДТ, установленными в переднем и заднем бортах в шаровых установках (11417).</w:t>
      </w:r>
    </w:p>
    <w:p w14:paraId="365EBCB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7A3508" w14:textId="77777777" w:rsidR="001C5008" w:rsidRPr="00C33834" w:rsidRDefault="001C500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Проведенные в ноябре 1933 года испытания бронедрезины, которой к этому времени присвоили новый индекс ДТ-45 (дрезина тяжелая с 45-мм пушкой, хотя иногда в документах встречается и старое обозначение Д-37), показали хорошие результаты. Правда, отмечалась теснота корпуса, затруднявшая работу экипажа, плохая вентиляция, особенно при стрельбе из орудия, а также частый перегрев двигателя из-за недостаточного охлаждения. Несмотря на недостатки, в конце 1933 года УММ РККА рассматривало вопрос об организации серийного производства ДТ-45, но вскоре от этой идеи отказались, и она осталась в единственном экземпляре. Она использовалась в отдельном полку бронепоездов для учебных целей до середины 1938 года (18626).</w:t>
      </w:r>
    </w:p>
    <w:p w14:paraId="4A516679" w14:textId="77777777" w:rsidR="001C5008" w:rsidRPr="00C33834" w:rsidRDefault="001C5008" w:rsidP="00C33834">
      <w:pPr>
        <w:spacing w:after="0" w:line="240" w:lineRule="auto"/>
        <w:jc w:val="both"/>
        <w:rPr>
          <w:rFonts w:ascii="Times New Roman" w:hAnsi="Times New Roman"/>
          <w:color w:val="000000" w:themeColor="text1"/>
          <w:sz w:val="16"/>
          <w:szCs w:val="16"/>
        </w:rPr>
      </w:pPr>
    </w:p>
    <w:p w14:paraId="7848ED57" w14:textId="77777777" w:rsidR="008B6A65" w:rsidRPr="00C33834" w:rsidRDefault="008B6A6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ноябре 1933 года прошли испытания бронедрезины ДТ-45 (дрезина тяжелая с 45-мм пушкой), которые дали неплохие результаты, хотя и не обошлось без замечаний — плохая вентиляция, особенно во время стрельбы из орудия, частый перегрев двигателя. Рассматривался вопрос об организации серийного производства Д-45, но в результате от этого отказались. Дело в том, что к этому времени в СССР было налажено производство железнодорожных моторных дрезин серии «У», а также мотовозов серии «М» (в СССР «слабосильные и легкие локомотивы» с двигателем внутреннего сгорания мощностью менее 300 л. с. называли мотовозами). Естественно, что бронедрезины на уже освоенной промышленностью базе выпускать было гораздо дешевле и проще (22743).</w:t>
      </w:r>
    </w:p>
    <w:p w14:paraId="20C62489" w14:textId="77777777" w:rsidR="008B6A65" w:rsidRPr="00C33834" w:rsidRDefault="008B6A65" w:rsidP="00C33834">
      <w:pPr>
        <w:spacing w:after="0" w:line="240" w:lineRule="auto"/>
        <w:jc w:val="both"/>
        <w:rPr>
          <w:rFonts w:ascii="Times New Roman" w:hAnsi="Times New Roman"/>
          <w:color w:val="0070C0"/>
          <w:sz w:val="16"/>
          <w:szCs w:val="16"/>
        </w:rPr>
      </w:pPr>
    </w:p>
    <w:p w14:paraId="2FD4FF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на ЯГАЗ изготовлены, собраны и испытаны два образца опытного дизельного двигателя с непосредственным впрыском топлива "Коджу" мощностью 87 л.с. Изготовлены шасси для троллейбусов ЛК-1, выпускаемых в г. Москве. ЯГАЗ №3 входит в подчинение Главного управления тракторной и автомобильной промышленности (ГУТАП) Народного комиссариата тяжелой промышленности (11246).</w:t>
      </w:r>
    </w:p>
    <w:p w14:paraId="1958FA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EBE90E0" w14:textId="77777777" w:rsidR="008B6A65" w:rsidRPr="00C33834" w:rsidRDefault="008B6A6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ноябре 1933 г. на Ярославском автозаводе изготовили первые два опытных двигателя «Коджу». Это были шестицилиндровые четырехтактные дизели рабочим объемом 9,96 л, развивающие мощность 90 л.с. при 1600 мин-1. Они имели алюминиевые блоки с вставными стальными гильзами и чугунные головки, алюминиевые крышки головок и масляные магистрали в виде подвешенных внутри картера труб (21328).</w:t>
      </w:r>
    </w:p>
    <w:p w14:paraId="6FC8E1CD" w14:textId="77777777" w:rsidR="008B6A65" w:rsidRPr="00C33834" w:rsidRDefault="008B6A65" w:rsidP="00C33834">
      <w:pPr>
        <w:spacing w:after="0" w:line="240" w:lineRule="auto"/>
        <w:jc w:val="both"/>
        <w:rPr>
          <w:rFonts w:ascii="Times New Roman" w:hAnsi="Times New Roman"/>
          <w:color w:val="0070C0"/>
          <w:sz w:val="16"/>
          <w:szCs w:val="16"/>
        </w:rPr>
      </w:pPr>
    </w:p>
    <w:p w14:paraId="088B5C34" w14:textId="77777777" w:rsidR="008B6A65" w:rsidRPr="00C33834" w:rsidRDefault="008B6A6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ноябре 1933 на Ярославском автозаводе изго</w:t>
      </w:r>
      <w:r w:rsidRPr="00C33834">
        <w:rPr>
          <w:rFonts w:ascii="Times New Roman" w:hAnsi="Times New Roman"/>
          <w:color w:val="0070C0"/>
          <w:sz w:val="16"/>
          <w:szCs w:val="16"/>
        </w:rPr>
        <w:softHyphen/>
        <w:t>товлены два опытных двигателя Коджу конструк</w:t>
      </w:r>
      <w:r w:rsidRPr="00C33834">
        <w:rPr>
          <w:rFonts w:ascii="Times New Roman" w:hAnsi="Times New Roman"/>
          <w:color w:val="0070C0"/>
          <w:sz w:val="16"/>
          <w:szCs w:val="16"/>
        </w:rPr>
        <w:softHyphen/>
        <w:t>ции Н.Р. Брилинга. Это были шестицилиндровые 4-тактные дизели литражом 9,96 л, развивающие 90 л.с. при 1600 об./мин. Они имели алюминиевые блоки со вставными стальными гильзами и чугун</w:t>
      </w:r>
      <w:r w:rsidRPr="00C33834">
        <w:rPr>
          <w:rFonts w:ascii="Times New Roman" w:hAnsi="Times New Roman"/>
          <w:color w:val="0070C0"/>
          <w:sz w:val="16"/>
          <w:szCs w:val="16"/>
        </w:rPr>
        <w:softHyphen/>
        <w:t>ные головки, алюминиевые крышки головок и масля</w:t>
      </w:r>
      <w:r w:rsidRPr="00C33834">
        <w:rPr>
          <w:rFonts w:ascii="Times New Roman" w:hAnsi="Times New Roman"/>
          <w:color w:val="0070C0"/>
          <w:sz w:val="16"/>
          <w:szCs w:val="16"/>
        </w:rPr>
        <w:softHyphen/>
        <w:t>ные магистрали в виде подвешенных внутри карте</w:t>
      </w:r>
      <w:r w:rsidRPr="00C33834">
        <w:rPr>
          <w:rFonts w:ascii="Times New Roman" w:hAnsi="Times New Roman"/>
          <w:color w:val="0070C0"/>
          <w:sz w:val="16"/>
          <w:szCs w:val="16"/>
        </w:rPr>
        <w:softHyphen/>
        <w:t>ра труб.</w:t>
      </w:r>
    </w:p>
    <w:p w14:paraId="655CEB90" w14:textId="77777777" w:rsidR="008B6A65" w:rsidRPr="00C33834" w:rsidRDefault="008B6A6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Два первых собранных дизеля Коджу устано</w:t>
      </w:r>
      <w:r w:rsidRPr="00C33834">
        <w:rPr>
          <w:rFonts w:ascii="Times New Roman" w:hAnsi="Times New Roman"/>
          <w:color w:val="0070C0"/>
          <w:sz w:val="16"/>
          <w:szCs w:val="16"/>
        </w:rPr>
        <w:softHyphen/>
        <w:t>вили на грузовые автомобили Я-5. 9 ноября первый автомобиль вышел из ворот завода. Он имел две до</w:t>
      </w:r>
      <w:r w:rsidRPr="00C33834">
        <w:rPr>
          <w:rFonts w:ascii="Times New Roman" w:hAnsi="Times New Roman"/>
          <w:color w:val="0070C0"/>
          <w:sz w:val="16"/>
          <w:szCs w:val="16"/>
        </w:rPr>
        <w:softHyphen/>
        <w:t>полнительные фары на кабине и светящуюся над</w:t>
      </w:r>
      <w:r w:rsidRPr="00C33834">
        <w:rPr>
          <w:rFonts w:ascii="Times New Roman" w:hAnsi="Times New Roman"/>
          <w:color w:val="0070C0"/>
          <w:sz w:val="16"/>
          <w:szCs w:val="16"/>
        </w:rPr>
        <w:softHyphen/>
        <w:t>пись «ЯГАЗ-дизель»  (22518).</w:t>
      </w:r>
    </w:p>
    <w:p w14:paraId="38C5E7C0" w14:textId="77777777" w:rsidR="008B6A65" w:rsidRPr="00C33834" w:rsidRDefault="008B6A65" w:rsidP="00C33834">
      <w:pPr>
        <w:spacing w:after="0" w:line="240" w:lineRule="auto"/>
        <w:jc w:val="both"/>
        <w:rPr>
          <w:rFonts w:ascii="Times New Roman" w:hAnsi="Times New Roman"/>
          <w:color w:val="0070C0"/>
          <w:sz w:val="16"/>
          <w:szCs w:val="16"/>
        </w:rPr>
      </w:pPr>
    </w:p>
    <w:p w14:paraId="0593C52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г. на за</w:t>
      </w:r>
      <w:r w:rsidRPr="00C33834">
        <w:rPr>
          <w:rFonts w:ascii="Times New Roman" w:hAnsi="Times New Roman"/>
          <w:color w:val="000000" w:themeColor="text1"/>
          <w:sz w:val="16"/>
          <w:szCs w:val="16"/>
        </w:rPr>
        <w:softHyphen/>
        <w:t>воде им. Марти в Ленинграде пару опытных двигателей ГМ-34 уста</w:t>
      </w:r>
      <w:r w:rsidRPr="00C33834">
        <w:rPr>
          <w:rFonts w:ascii="Times New Roman" w:hAnsi="Times New Roman"/>
          <w:color w:val="000000" w:themeColor="text1"/>
          <w:sz w:val="16"/>
          <w:szCs w:val="16"/>
        </w:rPr>
        <w:softHyphen/>
        <w:t>новили на головной торпедный катер типа Г-5. Один ГМ-34 был левого исполнения, другой - правого. 5 декабря катер при</w:t>
      </w:r>
      <w:r w:rsidRPr="00C33834">
        <w:rPr>
          <w:rFonts w:ascii="Times New Roman" w:hAnsi="Times New Roman"/>
          <w:color w:val="000000" w:themeColor="text1"/>
          <w:sz w:val="16"/>
          <w:szCs w:val="16"/>
        </w:rPr>
        <w:softHyphen/>
        <w:t>был на Черное море, а 12 декабря уже вышел в море. Государственные испытания на нем завершились в августе 1934 г. Параллельно весь 1933 г. мотор работал на стенде в ЦИАМ. С 1934 г. он выпускался се</w:t>
      </w:r>
      <w:r w:rsidRPr="00C33834">
        <w:rPr>
          <w:rFonts w:ascii="Times New Roman" w:hAnsi="Times New Roman"/>
          <w:color w:val="000000" w:themeColor="text1"/>
          <w:sz w:val="16"/>
          <w:szCs w:val="16"/>
        </w:rPr>
        <w:softHyphen/>
        <w:t>рийно, к 1 июля изготовили 21 ка</w:t>
      </w:r>
      <w:r w:rsidRPr="00C33834">
        <w:rPr>
          <w:rFonts w:ascii="Times New Roman" w:hAnsi="Times New Roman"/>
          <w:color w:val="000000" w:themeColor="text1"/>
          <w:sz w:val="16"/>
          <w:szCs w:val="16"/>
        </w:rPr>
        <w:softHyphen/>
        <w:t>терный двигатель, а к концу года -156. Мощность была та же, что у авиационного М-34, а вес суще</w:t>
      </w:r>
      <w:r w:rsidRPr="00C33834">
        <w:rPr>
          <w:rFonts w:ascii="Times New Roman" w:hAnsi="Times New Roman"/>
          <w:color w:val="000000" w:themeColor="text1"/>
          <w:sz w:val="16"/>
          <w:szCs w:val="16"/>
        </w:rPr>
        <w:softHyphen/>
        <w:t>ственно больше, 864 кг, а с реверс-муфтой и коллекторами - 1000 кг. Катерный вариант совершенство</w:t>
      </w:r>
      <w:r w:rsidRPr="00C33834">
        <w:rPr>
          <w:rFonts w:ascii="Times New Roman" w:hAnsi="Times New Roman"/>
          <w:color w:val="000000" w:themeColor="text1"/>
          <w:sz w:val="16"/>
          <w:szCs w:val="16"/>
        </w:rPr>
        <w:softHyphen/>
        <w:t>вался параллельно с авиационным. Так, ГМ-34Ф имел коренные вклады</w:t>
      </w:r>
      <w:r w:rsidRPr="00C33834">
        <w:rPr>
          <w:rFonts w:ascii="Times New Roman" w:hAnsi="Times New Roman"/>
          <w:color w:val="000000" w:themeColor="text1"/>
          <w:sz w:val="16"/>
          <w:szCs w:val="16"/>
        </w:rPr>
        <w:softHyphen/>
        <w:t>ши из бронзы, коленчатый вал, го</w:t>
      </w:r>
      <w:r w:rsidRPr="00C33834">
        <w:rPr>
          <w:rFonts w:ascii="Times New Roman" w:hAnsi="Times New Roman"/>
          <w:color w:val="000000" w:themeColor="text1"/>
          <w:sz w:val="16"/>
          <w:szCs w:val="16"/>
        </w:rPr>
        <w:softHyphen/>
        <w:t>ловки блоков и часть агрегатов от М-34ФРНВ. Степень сжатия у него равнялась 7,3. Он был на 80 кг тя</w:t>
      </w:r>
      <w:r w:rsidRPr="00C33834">
        <w:rPr>
          <w:rFonts w:ascii="Times New Roman" w:hAnsi="Times New Roman"/>
          <w:color w:val="000000" w:themeColor="text1"/>
          <w:sz w:val="16"/>
          <w:szCs w:val="16"/>
        </w:rPr>
        <w:softHyphen/>
        <w:t>желее ГМ-34, но зато максимально выдавал 1000 л.с. Интересно, что для него предусматривалась работа как на чистом бензине, так и на бензи-но-спиртовой смеси. Но очень сомни</w:t>
      </w:r>
      <w:r w:rsidRPr="00C33834">
        <w:rPr>
          <w:rFonts w:ascii="Times New Roman" w:hAnsi="Times New Roman"/>
          <w:color w:val="000000" w:themeColor="text1"/>
          <w:sz w:val="16"/>
          <w:szCs w:val="16"/>
        </w:rPr>
        <w:softHyphen/>
        <w:t>тельно, чтобы эта смесь использова</w:t>
      </w:r>
      <w:r w:rsidRPr="00C33834">
        <w:rPr>
          <w:rFonts w:ascii="Times New Roman" w:hAnsi="Times New Roman"/>
          <w:color w:val="000000" w:themeColor="text1"/>
          <w:sz w:val="16"/>
          <w:szCs w:val="16"/>
        </w:rPr>
        <w:softHyphen/>
        <w:t>лась для серий-ных двигателей на флотах. Первые два ГМ-34Ф выпус</w:t>
      </w:r>
      <w:r w:rsidRPr="00C33834">
        <w:rPr>
          <w:rFonts w:ascii="Times New Roman" w:hAnsi="Times New Roman"/>
          <w:color w:val="000000" w:themeColor="text1"/>
          <w:sz w:val="16"/>
          <w:szCs w:val="16"/>
        </w:rPr>
        <w:softHyphen/>
        <w:t>тили в 1936 г. С конца 1936 г. работали над форсированием за счет применения наддува. С августа 1939 г. в серию пошел ГМ-34ФН с нагнетателем ФН-25, одним карбюратором К-4 и усо</w:t>
      </w:r>
      <w:r w:rsidRPr="00C33834">
        <w:rPr>
          <w:rFonts w:ascii="Times New Roman" w:hAnsi="Times New Roman"/>
          <w:color w:val="000000" w:themeColor="text1"/>
          <w:sz w:val="16"/>
          <w:szCs w:val="16"/>
        </w:rPr>
        <w:softHyphen/>
        <w:t>вершенствованной маслосистемой. Степень сжатия у него опять понизи</w:t>
      </w:r>
      <w:r w:rsidRPr="00C33834">
        <w:rPr>
          <w:rFonts w:ascii="Times New Roman" w:hAnsi="Times New Roman"/>
          <w:color w:val="000000" w:themeColor="text1"/>
          <w:sz w:val="16"/>
          <w:szCs w:val="16"/>
        </w:rPr>
        <w:softHyphen/>
        <w:t>ли до 6,0, чтобы использовать низ</w:t>
      </w:r>
      <w:r w:rsidRPr="00C33834">
        <w:rPr>
          <w:rFonts w:ascii="Times New Roman" w:hAnsi="Times New Roman"/>
          <w:color w:val="000000" w:themeColor="text1"/>
          <w:sz w:val="16"/>
          <w:szCs w:val="16"/>
        </w:rPr>
        <w:softHyphen/>
        <w:t>кокачественное топливо, но мощ</w:t>
      </w:r>
      <w:r w:rsidRPr="00C33834">
        <w:rPr>
          <w:rFonts w:ascii="Times New Roman" w:hAnsi="Times New Roman"/>
          <w:color w:val="000000" w:themeColor="text1"/>
          <w:sz w:val="16"/>
          <w:szCs w:val="16"/>
        </w:rPr>
        <w:softHyphen/>
        <w:t>ность довели до 1200 л.с. Вес при этом увеличился незначительно - до 1110 кг. Существовал и дефорсированный мотор ГМ-34БП для речных броне</w:t>
      </w:r>
      <w:r w:rsidRPr="00C33834">
        <w:rPr>
          <w:rFonts w:ascii="Times New Roman" w:hAnsi="Times New Roman"/>
          <w:color w:val="000000" w:themeColor="text1"/>
          <w:sz w:val="16"/>
          <w:szCs w:val="16"/>
        </w:rPr>
        <w:softHyphen/>
        <w:t>катеров мощностью 800 л.с. Он тоже выпускался серийно. В войну его сменил ГМ-34БС, развивавший 850 л.с. Эти двигатели ставились на катерах проектов 1124 и 1125, стро</w:t>
      </w:r>
      <w:r w:rsidRPr="00C33834">
        <w:rPr>
          <w:rFonts w:ascii="Times New Roman" w:hAnsi="Times New Roman"/>
          <w:color w:val="000000" w:themeColor="text1"/>
          <w:sz w:val="16"/>
          <w:szCs w:val="16"/>
        </w:rPr>
        <w:softHyphen/>
        <w:t>ившихся до 1944 г. На основе катерного варианта был разработан ГМ-34БТ мощнос</w:t>
      </w:r>
      <w:r w:rsidRPr="00C33834">
        <w:rPr>
          <w:rFonts w:ascii="Times New Roman" w:hAnsi="Times New Roman"/>
          <w:color w:val="000000" w:themeColor="text1"/>
          <w:sz w:val="16"/>
          <w:szCs w:val="16"/>
        </w:rPr>
        <w:softHyphen/>
        <w:t>тью 850 л.с. для танков с изменен</w:t>
      </w:r>
      <w:r w:rsidRPr="00C33834">
        <w:rPr>
          <w:rFonts w:ascii="Times New Roman" w:hAnsi="Times New Roman"/>
          <w:color w:val="000000" w:themeColor="text1"/>
          <w:sz w:val="16"/>
          <w:szCs w:val="16"/>
        </w:rPr>
        <w:softHyphen/>
        <w:t>ной системой охлаждения, вентиля</w:t>
      </w:r>
      <w:r w:rsidRPr="00C33834">
        <w:rPr>
          <w:rFonts w:ascii="Times New Roman" w:hAnsi="Times New Roman"/>
          <w:color w:val="000000" w:themeColor="text1"/>
          <w:sz w:val="16"/>
          <w:szCs w:val="16"/>
        </w:rPr>
        <w:softHyphen/>
        <w:t>тором принудительного обдува. Он имел электростартер вместо пневмопуска. ГМ-34БТ выпустили ма</w:t>
      </w:r>
      <w:r w:rsidRPr="00C33834">
        <w:rPr>
          <w:rFonts w:ascii="Times New Roman" w:hAnsi="Times New Roman"/>
          <w:color w:val="000000" w:themeColor="text1"/>
          <w:sz w:val="16"/>
          <w:szCs w:val="16"/>
        </w:rPr>
        <w:softHyphen/>
        <w:t>лой серией в 1939 г. Такие моторы устанавливались на опытных танках Т-100 и СМК, проходивших войсковые испы</w:t>
      </w:r>
      <w:r w:rsidRPr="00C33834">
        <w:rPr>
          <w:rFonts w:ascii="Times New Roman" w:hAnsi="Times New Roman"/>
          <w:color w:val="000000" w:themeColor="text1"/>
          <w:sz w:val="16"/>
          <w:szCs w:val="16"/>
        </w:rPr>
        <w:softHyphen/>
        <w:t>тания на фронте во время войны с Финляндией зимой 1940 г., а также опытном са</w:t>
      </w:r>
      <w:r w:rsidRPr="00C33834">
        <w:rPr>
          <w:rFonts w:ascii="Times New Roman" w:hAnsi="Times New Roman"/>
          <w:color w:val="000000" w:themeColor="text1"/>
          <w:sz w:val="16"/>
          <w:szCs w:val="16"/>
        </w:rPr>
        <w:softHyphen/>
        <w:t>моходном орудии СУ-100у («Игрек», 1940 г.), применяв</w:t>
      </w:r>
      <w:r w:rsidRPr="00C33834">
        <w:rPr>
          <w:rFonts w:ascii="Times New Roman" w:hAnsi="Times New Roman"/>
          <w:color w:val="000000" w:themeColor="text1"/>
          <w:sz w:val="16"/>
          <w:szCs w:val="16"/>
        </w:rPr>
        <w:softHyphen/>
        <w:t>шемся в боях под Москвой зимой 1941 г. (11848).</w:t>
      </w:r>
    </w:p>
    <w:p w14:paraId="10FE909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FE495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года на заводе им. Серго Орджоникидзе была закончена разработка и начались испытания радиостанции. Таким образом, к 1935 году были созданы все необходимые условия для крупносерийного выпуска первого в стране современного, массового и недорого радиоприемника "СИ-235". Этот приемник без преувеличения можно назвать назвать одной из главных вех на пути массовой радиофикации нашей страны. Собранный по схеме прямого усиления на очень современных по тем временам экранированных радиолампах, он имел целый ряд совершенно оригинальных технических, схемных и конструктивных особенностей: встроенный электродинамический громкоговоритель мощностью 2 ватта, регулируемую положительную обратную связь по высокой частоте, нониусную шкалу и другие. И за два года было выпущено 172 тыс. штук (12239).</w:t>
      </w:r>
    </w:p>
    <w:p w14:paraId="064FC5C7" w14:textId="77777777" w:rsidR="0018342B" w:rsidRPr="00C33834" w:rsidRDefault="0018342B" w:rsidP="00C33834">
      <w:pPr>
        <w:spacing w:after="0" w:line="240" w:lineRule="auto"/>
        <w:jc w:val="both"/>
        <w:rPr>
          <w:rFonts w:ascii="Times New Roman" w:hAnsi="Times New Roman"/>
          <w:color w:val="000000" w:themeColor="text1"/>
          <w:sz w:val="16"/>
          <w:szCs w:val="16"/>
        </w:rPr>
      </w:pPr>
    </w:p>
    <w:p w14:paraId="3D6327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г. в программу судостроения были внесены некоторые изме</w:t>
      </w:r>
      <w:r w:rsidRPr="00C33834">
        <w:rPr>
          <w:rFonts w:ascii="Times New Roman" w:hAnsi="Times New Roman"/>
          <w:color w:val="000000" w:themeColor="text1"/>
          <w:sz w:val="16"/>
          <w:szCs w:val="16"/>
        </w:rPr>
        <w:softHyphen/>
        <w:t>нения, связанные с уточнением количества подводных лодок и над</w:t>
      </w:r>
      <w:r w:rsidRPr="00C33834">
        <w:rPr>
          <w:rFonts w:ascii="Times New Roman" w:hAnsi="Times New Roman"/>
          <w:color w:val="000000" w:themeColor="text1"/>
          <w:sz w:val="16"/>
          <w:szCs w:val="16"/>
        </w:rPr>
        <w:softHyphen/>
        <w:t>водных кораблей, вступающих в строй в 1933—1937 гг. (т. е. в тече</w:t>
      </w:r>
      <w:r w:rsidRPr="00C33834">
        <w:rPr>
          <w:rFonts w:ascii="Times New Roman" w:hAnsi="Times New Roman"/>
          <w:color w:val="000000" w:themeColor="text1"/>
          <w:sz w:val="16"/>
          <w:szCs w:val="16"/>
        </w:rPr>
        <w:softHyphen/>
        <w:t>ние пяти лет). В процессе согласования программы с промышленностью Главное управление морского судостроения (Гламорпром) сокра</w:t>
      </w:r>
      <w:r w:rsidRPr="00C33834">
        <w:rPr>
          <w:rFonts w:ascii="Times New Roman" w:hAnsi="Times New Roman"/>
          <w:color w:val="000000" w:themeColor="text1"/>
          <w:sz w:val="16"/>
          <w:szCs w:val="16"/>
        </w:rPr>
        <w:softHyphen/>
        <w:t>тило количество сдаваемых в 1933—1937 гг. подводных лодок до 246 и не приняло к постройке речные мониторы и бронекатера. Поэтому к реализации программы было решено привлечь заводы Главречпрома "Красное Сормово" и Коломенский, на которых раз</w:t>
      </w:r>
      <w:r w:rsidRPr="00C33834">
        <w:rPr>
          <w:rFonts w:ascii="Times New Roman" w:hAnsi="Times New Roman"/>
          <w:color w:val="000000" w:themeColor="text1"/>
          <w:sz w:val="16"/>
          <w:szCs w:val="16"/>
        </w:rPr>
        <w:softHyphen/>
        <w:t>местили постройку 33 средних подводных лодок, а на заводах "Ле</w:t>
      </w:r>
      <w:r w:rsidRPr="00C33834">
        <w:rPr>
          <w:rFonts w:ascii="Times New Roman" w:hAnsi="Times New Roman"/>
          <w:color w:val="000000" w:themeColor="text1"/>
          <w:sz w:val="16"/>
          <w:szCs w:val="16"/>
        </w:rPr>
        <w:softHyphen/>
        <w:t>нинская кузница" в Киеве и им. А. М. Горького в Зеленодольске бьыа намечена постройка мониторов и бронекатеров.</w:t>
      </w:r>
    </w:p>
    <w:p w14:paraId="1FFCB7C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Главморпром смог также отстоять сокращение количества сда-ваемьгх кораблей некоторых других классов, однако взамен предло</w:t>
      </w:r>
      <w:r w:rsidRPr="00C33834">
        <w:rPr>
          <w:rFonts w:ascii="Times New Roman" w:hAnsi="Times New Roman"/>
          <w:color w:val="000000" w:themeColor="text1"/>
          <w:sz w:val="16"/>
          <w:szCs w:val="16"/>
        </w:rPr>
        <w:softHyphen/>
        <w:t>жил построить за пять лет 450 торпедных катеров, что доводило общее количество включенных в программу боевьгх единиц до 837. Удельный вес подводного судостроения по программе составлял почти 60% (в денежном выражении, в ценах 1927/28 г.). Общий объем производства судостроительных заводов Главморпрома в 1937 г. предполагалось довести до 983,2 млн руб., в 3,3 раза боль</w:t>
      </w:r>
      <w:r w:rsidRPr="00C33834">
        <w:rPr>
          <w:rFonts w:ascii="Times New Roman" w:hAnsi="Times New Roman"/>
          <w:color w:val="000000" w:themeColor="text1"/>
          <w:sz w:val="16"/>
          <w:szCs w:val="16"/>
        </w:rPr>
        <w:softHyphen/>
        <w:t>ше, чем в 1933 г. Доля военного судостроения в общем объеме про</w:t>
      </w:r>
      <w:r w:rsidRPr="00C33834">
        <w:rPr>
          <w:rFonts w:ascii="Times New Roman" w:hAnsi="Times New Roman"/>
          <w:color w:val="000000" w:themeColor="text1"/>
          <w:sz w:val="16"/>
          <w:szCs w:val="16"/>
        </w:rPr>
        <w:softHyphen/>
        <w:t>изводства морского судостроения предполагалась свыше 60%. Приемность стапельных кранов, а для погрузки на спущенные на воду суда у достроенных набережных надпалубных конструкций, меха</w:t>
      </w:r>
      <w:r w:rsidRPr="00C33834">
        <w:rPr>
          <w:rFonts w:ascii="Times New Roman" w:hAnsi="Times New Roman"/>
          <w:color w:val="000000" w:themeColor="text1"/>
          <w:sz w:val="16"/>
          <w:szCs w:val="16"/>
        </w:rPr>
        <w:softHyphen/>
        <w:t>низмов и оборудования на заводах использовались плавучие кра</w:t>
      </w:r>
      <w:r w:rsidRPr="00C33834">
        <w:rPr>
          <w:rFonts w:ascii="Times New Roman" w:hAnsi="Times New Roman"/>
          <w:color w:val="000000" w:themeColor="text1"/>
          <w:sz w:val="16"/>
          <w:szCs w:val="16"/>
        </w:rPr>
        <w:softHyphen/>
        <w:t>ны. Хаотичность застройки территории заводов затрудняла орга</w:t>
      </w:r>
      <w:r w:rsidRPr="00C33834">
        <w:rPr>
          <w:rFonts w:ascii="Times New Roman" w:hAnsi="Times New Roman"/>
          <w:color w:val="000000" w:themeColor="text1"/>
          <w:sz w:val="16"/>
          <w:szCs w:val="16"/>
        </w:rPr>
        <w:softHyphen/>
        <w:t>низацию технологических потоков (3898).</w:t>
      </w:r>
    </w:p>
    <w:p w14:paraId="3D222D9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разработке первого пятилетнего плана на техническое пе</w:t>
      </w:r>
      <w:r w:rsidRPr="00C33834">
        <w:rPr>
          <w:rFonts w:ascii="Times New Roman" w:hAnsi="Times New Roman"/>
          <w:color w:val="000000" w:themeColor="text1"/>
          <w:sz w:val="16"/>
          <w:szCs w:val="16"/>
        </w:rPr>
        <w:softHyphen/>
        <w:t>ревооружение и реконструкцию судостроительных заводов предус</w:t>
      </w:r>
      <w:r w:rsidRPr="00C33834">
        <w:rPr>
          <w:rFonts w:ascii="Times New Roman" w:hAnsi="Times New Roman"/>
          <w:color w:val="000000" w:themeColor="text1"/>
          <w:sz w:val="16"/>
          <w:szCs w:val="16"/>
        </w:rPr>
        <w:softHyphen/>
        <w:t>матривалось выделение средств в размере около 100 млн руб. (в це</w:t>
      </w:r>
      <w:r w:rsidRPr="00C33834">
        <w:rPr>
          <w:rFonts w:ascii="Times New Roman" w:hAnsi="Times New Roman"/>
          <w:color w:val="000000" w:themeColor="text1"/>
          <w:sz w:val="16"/>
          <w:szCs w:val="16"/>
        </w:rPr>
        <w:softHyphen/>
        <w:t>нах, принятых при разработке плана), что было недостаточно для реализации всех мероприятий, намечаемых проектами реконструк</w:t>
      </w:r>
      <w:r w:rsidRPr="00C33834">
        <w:rPr>
          <w:rFonts w:ascii="Times New Roman" w:hAnsi="Times New Roman"/>
          <w:color w:val="000000" w:themeColor="text1"/>
          <w:sz w:val="16"/>
          <w:szCs w:val="16"/>
        </w:rPr>
        <w:softHyphen/>
        <w:t>ции. А эти мероприятия предусматривали:</w:t>
      </w:r>
    </w:p>
    <w:p w14:paraId="633D03A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полный ремонт и реконструкцию стапелей с одновремен</w:t>
      </w:r>
      <w:r w:rsidRPr="00C33834">
        <w:rPr>
          <w:rFonts w:ascii="Times New Roman" w:hAnsi="Times New Roman"/>
          <w:color w:val="000000" w:themeColor="text1"/>
          <w:sz w:val="16"/>
          <w:szCs w:val="16"/>
        </w:rPr>
        <w:softHyphen/>
        <w:t>ным обновлением кранового оборудования;</w:t>
      </w:r>
    </w:p>
    <w:p w14:paraId="36C2F8A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восстановление и удлинение достроечных набережных с ус</w:t>
      </w:r>
      <w:r w:rsidRPr="00C33834">
        <w:rPr>
          <w:rFonts w:ascii="Times New Roman" w:hAnsi="Times New Roman"/>
          <w:color w:val="000000" w:themeColor="text1"/>
          <w:sz w:val="16"/>
          <w:szCs w:val="16"/>
        </w:rPr>
        <w:softHyphen/>
        <w:t>тановкой на них новых портальных кранов;</w:t>
      </w:r>
    </w:p>
    <w:p w14:paraId="70CA4C0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замену устаревшего оборудования корпуснь1х цехов новым, более производительным электрифицированным оборудованием;</w:t>
      </w:r>
    </w:p>
    <w:p w14:paraId="1BD474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развитие механообрабатывающих и заготовительных (ли-тейньхх, кузнечных, штамповочных) производств и энергетических хозяйств;</w:t>
      </w:r>
    </w:p>
    <w:p w14:paraId="408DD91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улучшение условий труда рабочих и служащих. Но даже эти ограниченные капиталовложения начали выде</w:t>
      </w:r>
      <w:r w:rsidRPr="00C33834">
        <w:rPr>
          <w:rFonts w:ascii="Times New Roman" w:hAnsi="Times New Roman"/>
          <w:color w:val="000000" w:themeColor="text1"/>
          <w:sz w:val="16"/>
          <w:szCs w:val="16"/>
        </w:rPr>
        <w:softHyphen/>
        <w:t>ляться только в 30-х гг., а за первые три года пятилетки (до 1 янва</w:t>
      </w:r>
      <w:r w:rsidRPr="00C33834">
        <w:rPr>
          <w:rFonts w:ascii="Times New Roman" w:hAnsi="Times New Roman"/>
          <w:color w:val="000000" w:themeColor="text1"/>
          <w:sz w:val="16"/>
          <w:szCs w:val="16"/>
        </w:rPr>
        <w:softHyphen/>
        <w:t>ря 1931 г.) на реконструкцию заводов было израсходовано немно</w:t>
      </w:r>
      <w:r w:rsidRPr="00C33834">
        <w:rPr>
          <w:rFonts w:ascii="Times New Roman" w:hAnsi="Times New Roman"/>
          <w:color w:val="000000" w:themeColor="text1"/>
          <w:sz w:val="16"/>
          <w:szCs w:val="16"/>
        </w:rPr>
        <w:softHyphen/>
        <w:t>гим более 14% намеченной на пятилетку суммы (3898).</w:t>
      </w:r>
    </w:p>
    <w:p w14:paraId="1CCED819" w14:textId="590AB802"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B42083C" w14:textId="185B875A" w:rsidR="008B6A65" w:rsidRPr="00C33834" w:rsidRDefault="008B6A65" w:rsidP="00C33834">
      <w:pPr>
        <w:autoSpaceDE w:val="0"/>
        <w:autoSpaceDN w:val="0"/>
        <w:adjustRightInd w:val="0"/>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Армия:</w:t>
      </w:r>
    </w:p>
    <w:p w14:paraId="3A40D59E" w14:textId="77777777" w:rsidR="008B6A65" w:rsidRPr="00C33834" w:rsidRDefault="008B6A65" w:rsidP="00C33834">
      <w:pPr>
        <w:autoSpaceDE w:val="0"/>
        <w:autoSpaceDN w:val="0"/>
        <w:adjustRightInd w:val="0"/>
        <w:spacing w:after="0" w:line="240" w:lineRule="auto"/>
        <w:jc w:val="both"/>
        <w:rPr>
          <w:rFonts w:ascii="Times New Roman" w:hAnsi="Times New Roman"/>
          <w:i/>
          <w:iCs/>
          <w:color w:val="000000" w:themeColor="text1"/>
          <w:sz w:val="16"/>
          <w:szCs w:val="16"/>
        </w:rPr>
      </w:pPr>
    </w:p>
    <w:p w14:paraId="5242AA3D" w14:textId="77777777" w:rsidR="008B6A65" w:rsidRPr="00C33834" w:rsidRDefault="008B6A65" w:rsidP="00C33834">
      <w:pPr>
        <w:shd w:val="clear" w:color="auto" w:fill="FFFFFF"/>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ноябре 1933 г. Советский Союз перебросил на территорию Синьцзяна, так называемую «Алтайскую добровольческую армию», сформированную из командиров и красноармейцев 13-го Алма-атинского и 10-го Ташкентского полков ОГПУ, усиленных несколькими бронемашинами.2 В армии имелись так же самолеты Р - 5 (4 штуки), У-2 с авиабомбами, авиабензином, маслами и запчастями. К тому же армия была оснащена артиллерией, ручными и станковыми пулеметами, винтовками, имела большое количество патронов и гранат3 . Личный состав был строго проинструктирован относительно сохранения тайны своего пребывания в провинции. Офицеры и солдаты в нестандартных ситуациях были обязаны отрицать свою принадлежность к СССР, и давали подписку на 50 лет о неразглашении деталей действий в Синьцзяне. Содержание армии, прибывшей для оказания помощи Шен Шицаю, полностью ложилось на советское правительство, однако с последующей компенсацией всех затрат китайской стороной. Следует отметить, что вопросы, связанные с переброской «Алтайской добровольческой армии» на территорию Синьцзяна, а также ее дальнейшие действия были согласованы не только с провинциальным, но и с центральным правительством Китая (20122).</w:t>
      </w:r>
    </w:p>
    <w:p w14:paraId="6289BC53" w14:textId="77777777" w:rsidR="008B6A65" w:rsidRPr="00C33834" w:rsidRDefault="008B6A65" w:rsidP="00C33834">
      <w:pPr>
        <w:shd w:val="clear" w:color="auto" w:fill="FFFFFF"/>
        <w:spacing w:after="0" w:line="240" w:lineRule="auto"/>
        <w:jc w:val="both"/>
        <w:rPr>
          <w:rFonts w:ascii="Times New Roman" w:hAnsi="Times New Roman"/>
          <w:color w:val="0070C0"/>
          <w:sz w:val="16"/>
          <w:szCs w:val="16"/>
        </w:rPr>
      </w:pPr>
    </w:p>
    <w:p w14:paraId="4644F127"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5DE4363D"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701B0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года Постановлением СНК СССР утверждено "Положение об уполномоченном СНК СССР по охране военных тайн в печати и об отделах военной цензуры", согласно которому руководство делом охраны военных тайн в печати на территории всей страны осуществлял уполномоченный СНК СССР по охране военных тайн в печати, который одновременно являлся начальником Главлита (8983).</w:t>
      </w:r>
    </w:p>
    <w:p w14:paraId="36DE1A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1A15EEB" w14:textId="77777777" w:rsidR="0020663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26C31F29" w14:textId="77777777" w:rsidR="00206636" w:rsidRPr="00C33834" w:rsidRDefault="0020663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68F2DCE" w14:textId="77777777" w:rsidR="00206636" w:rsidRPr="00C33834" w:rsidRDefault="0020663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г. на территорию Синьцзяна вошли советские войска, их действия считались Особой операцией Главного Управления пограничной охраны ОГПУ, Опера- цей руководил сначала начальник погранвойск М.П. Фриновский, затем его сменил И.К. Кручинкин. СССР также финансировал участие в боях на стороне местной власти белогвардейских воинских частей. В этой операции принимала участие авиация — три самолта Р-5 с советскими эки</w:t>
      </w:r>
      <w:r w:rsidRPr="00C33834">
        <w:rPr>
          <w:rFonts w:ascii="Times New Roman" w:hAnsi="Times New Roman"/>
          <w:color w:val="000000" w:themeColor="text1"/>
          <w:sz w:val="16"/>
          <w:szCs w:val="16"/>
        </w:rPr>
        <w:softHyphen/>
        <w:t>пажами из группы Ф.П. Полынина, бомбившими повстанцев. Дипломатия закончилась, но это уже другая история... (15802).</w:t>
      </w:r>
    </w:p>
    <w:p w14:paraId="5DDD08DF" w14:textId="77777777" w:rsidR="00206636" w:rsidRPr="00C33834" w:rsidRDefault="00206636" w:rsidP="00C33834">
      <w:pPr>
        <w:spacing w:after="0" w:line="240" w:lineRule="auto"/>
        <w:jc w:val="both"/>
        <w:rPr>
          <w:rFonts w:ascii="Times New Roman" w:hAnsi="Times New Roman"/>
          <w:color w:val="000000" w:themeColor="text1"/>
          <w:sz w:val="16"/>
          <w:szCs w:val="16"/>
        </w:rPr>
      </w:pPr>
    </w:p>
    <w:p w14:paraId="03AA2AB8"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2358C97"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D05D749" w14:textId="77777777" w:rsidR="00E23E3F" w:rsidRPr="00C33834" w:rsidRDefault="00E23E3F" w:rsidP="00C33834">
      <w:pPr>
        <w:shd w:val="clear" w:color="auto" w:fill="FFFFFF"/>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xml:space="preserve">В ноябре 1933 года сразу после сдачи в эксплуатацию гидросамолета-биплана «Сарафанд» Министерство авиации издало спецификацию R.2/33 на летающую лодку с такой же дальностью и грузоподъемностью, но с приемлемой ценой и четырьмя моторами вместо шести у «Сарафанда». «Саро» представил свой А. 33 в 1938 году, но испытания «не задались», и он в следующем году разбился. Но даже если бы этого не случилось, у А. 33 шансов все равно было мало — его опередил </w:t>
      </w:r>
      <w:bookmarkStart w:id="53" w:name="_Hlk92543636"/>
      <w:r w:rsidRPr="00C33834">
        <w:rPr>
          <w:rFonts w:ascii="Times New Roman" w:hAnsi="Times New Roman"/>
          <w:color w:val="0070C0"/>
          <w:sz w:val="16"/>
          <w:szCs w:val="16"/>
        </w:rPr>
        <w:t>Шорт S. 25, совершивший первый полет 16 октября 1937 года (22816).</w:t>
      </w:r>
      <w:bookmarkEnd w:id="53"/>
    </w:p>
    <w:p w14:paraId="0420D507" w14:textId="77777777" w:rsidR="00E23E3F" w:rsidRPr="00C33834" w:rsidRDefault="00E23E3F" w:rsidP="00C33834">
      <w:pPr>
        <w:shd w:val="clear" w:color="auto" w:fill="FFFFFF"/>
        <w:spacing w:after="0" w:line="240" w:lineRule="auto"/>
        <w:jc w:val="both"/>
        <w:rPr>
          <w:rFonts w:ascii="Times New Roman" w:hAnsi="Times New Roman"/>
          <w:color w:val="0070C0"/>
          <w:sz w:val="16"/>
          <w:szCs w:val="16"/>
        </w:rPr>
      </w:pPr>
    </w:p>
    <w:p w14:paraId="4B5F5C1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года была завершена постройка вертолета “Жироплан”. Создание и испытания вертолета субсидировались в соответствии с условиями контракта, согласно которым вертолет должен был обладать маневренностью в полете по квадрату со стороной 500 м, дости</w:t>
      </w:r>
      <w:r w:rsidRPr="00C33834">
        <w:rPr>
          <w:rFonts w:ascii="Times New Roman" w:hAnsi="Times New Roman"/>
          <w:color w:val="000000" w:themeColor="text1"/>
          <w:sz w:val="16"/>
          <w:szCs w:val="16"/>
        </w:rPr>
        <w:softHyphen/>
        <w:t>гать высоты 100 м, скорости 100 км/ч и продолжительности полета на режи</w:t>
      </w:r>
      <w:r w:rsidRPr="00C33834">
        <w:rPr>
          <w:rFonts w:ascii="Times New Roman" w:hAnsi="Times New Roman"/>
          <w:color w:val="000000" w:themeColor="text1"/>
          <w:sz w:val="16"/>
          <w:szCs w:val="16"/>
        </w:rPr>
        <w:softHyphen/>
        <w:t>ме висения 1 0 мин. Его раз</w:t>
      </w:r>
      <w:r w:rsidRPr="00C33834">
        <w:rPr>
          <w:rFonts w:ascii="Times New Roman" w:hAnsi="Times New Roman"/>
          <w:color w:val="000000" w:themeColor="text1"/>
          <w:sz w:val="16"/>
          <w:szCs w:val="16"/>
        </w:rPr>
        <w:softHyphen/>
        <w:t>работал и построил известный авиа</w:t>
      </w:r>
      <w:r w:rsidRPr="00C33834">
        <w:rPr>
          <w:rFonts w:ascii="Times New Roman" w:hAnsi="Times New Roman"/>
          <w:color w:val="000000" w:themeColor="text1"/>
          <w:sz w:val="16"/>
          <w:szCs w:val="16"/>
        </w:rPr>
        <w:softHyphen/>
        <w:t>конструктор Луи Бреге совместно с молодым инженером фирмы «Бреге» Рене Дораном и при участии выпуск</w:t>
      </w:r>
      <w:r w:rsidRPr="00C33834">
        <w:rPr>
          <w:rFonts w:ascii="Times New Roman" w:hAnsi="Times New Roman"/>
          <w:color w:val="000000" w:themeColor="text1"/>
          <w:sz w:val="16"/>
          <w:szCs w:val="16"/>
        </w:rPr>
        <w:softHyphen/>
        <w:t>ника авиационной школы Мориса Клайсса. Подобно своим французским собратьям, вертолет получил название «Жироплан». Он имел фюзеляж фер-менной конструкции, двухлопастные не</w:t>
      </w:r>
      <w:r w:rsidRPr="00C33834">
        <w:rPr>
          <w:rFonts w:ascii="Times New Roman" w:hAnsi="Times New Roman"/>
          <w:color w:val="000000" w:themeColor="text1"/>
          <w:sz w:val="16"/>
          <w:szCs w:val="16"/>
        </w:rPr>
        <w:softHyphen/>
        <w:t>сущие винты диаметром 15,87 м, че-тырехопорное шасси с широко раз</w:t>
      </w:r>
      <w:r w:rsidRPr="00C33834">
        <w:rPr>
          <w:rFonts w:ascii="Times New Roman" w:hAnsi="Times New Roman"/>
          <w:color w:val="000000" w:themeColor="text1"/>
          <w:sz w:val="16"/>
          <w:szCs w:val="16"/>
        </w:rPr>
        <w:softHyphen/>
        <w:t>несенными ферменными главными опо</w:t>
      </w:r>
      <w:r w:rsidRPr="00C33834">
        <w:rPr>
          <w:rFonts w:ascii="Times New Roman" w:hAnsi="Times New Roman"/>
          <w:color w:val="000000" w:themeColor="text1"/>
          <w:sz w:val="16"/>
          <w:szCs w:val="16"/>
        </w:rPr>
        <w:softHyphen/>
        <w:t>рами, хвостовое и предохранительное носовое колеса. В носовой части вертолета был установлен авиационный ПД «Испано-Сюиза» мощностью 300 л.с. Вертолет оснащался горизонтальным и вертикальным оперением. Регулято</w:t>
      </w:r>
      <w:r w:rsidRPr="00C33834">
        <w:rPr>
          <w:rFonts w:ascii="Times New Roman" w:hAnsi="Times New Roman"/>
          <w:color w:val="000000" w:themeColor="text1"/>
          <w:sz w:val="16"/>
          <w:szCs w:val="16"/>
        </w:rPr>
        <w:softHyphen/>
        <w:t>ры шага уменьшали угол установки цельнометаллических лопастей при взмахе (11401).</w:t>
      </w:r>
    </w:p>
    <w:p w14:paraId="245CB30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4CD0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ноябре 1933 г. в Сирии ранее избранный парламент распускается, а конституция отменяется. Вновь вводится колониальная форма правления. Однако это лишь способствовало усилению национально-освободительной борьбы. Вооруженные выступления в сельской местности сочетаются с массовыми демонстрациями и забастовками в городах (3871).</w:t>
      </w:r>
    </w:p>
    <w:p w14:paraId="04F18B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1884696"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408C10F"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EE32A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состоянию на 1 декабря 1933 была следующая численность истребителей по типам, состоявшим на вооружении: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1024"/>
        <w:gridCol w:w="1024"/>
      </w:tblGrid>
      <w:tr w:rsidR="00F26F01" w:rsidRPr="00C33834" w14:paraId="6C78EF2A" w14:textId="77777777">
        <w:tc>
          <w:tcPr>
            <w:tcW w:w="1024" w:type="dxa"/>
          </w:tcPr>
          <w:p w14:paraId="6BEBDA7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Дата</w:t>
            </w:r>
          </w:p>
        </w:tc>
        <w:tc>
          <w:tcPr>
            <w:tcW w:w="1024" w:type="dxa"/>
          </w:tcPr>
          <w:p w14:paraId="52291B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И-2/2бис</w:t>
            </w:r>
          </w:p>
        </w:tc>
        <w:tc>
          <w:tcPr>
            <w:tcW w:w="1024" w:type="dxa"/>
          </w:tcPr>
          <w:p w14:paraId="0E1CDBE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И-3</w:t>
            </w:r>
          </w:p>
        </w:tc>
        <w:tc>
          <w:tcPr>
            <w:tcW w:w="1024" w:type="dxa"/>
          </w:tcPr>
          <w:p w14:paraId="042CB8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И-4</w:t>
            </w:r>
          </w:p>
        </w:tc>
        <w:tc>
          <w:tcPr>
            <w:tcW w:w="1024" w:type="dxa"/>
          </w:tcPr>
          <w:p w14:paraId="42A1B9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w:t>
            </w:r>
          </w:p>
        </w:tc>
        <w:tc>
          <w:tcPr>
            <w:tcW w:w="1024" w:type="dxa"/>
          </w:tcPr>
          <w:p w14:paraId="51622D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И-6</w:t>
            </w:r>
          </w:p>
        </w:tc>
        <w:tc>
          <w:tcPr>
            <w:tcW w:w="1024" w:type="dxa"/>
          </w:tcPr>
          <w:p w14:paraId="3E8748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w:t>
            </w:r>
          </w:p>
        </w:tc>
        <w:tc>
          <w:tcPr>
            <w:tcW w:w="1024" w:type="dxa"/>
          </w:tcPr>
          <w:p w14:paraId="66FC5F0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Фоккер DVII</w:t>
            </w:r>
          </w:p>
        </w:tc>
        <w:tc>
          <w:tcPr>
            <w:tcW w:w="1024" w:type="dxa"/>
          </w:tcPr>
          <w:p w14:paraId="7AD585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Фоккер DXI</w:t>
            </w:r>
          </w:p>
        </w:tc>
      </w:tr>
      <w:tr w:rsidR="00F26F01" w:rsidRPr="00C33834" w14:paraId="6BE2455F" w14:textId="77777777">
        <w:tc>
          <w:tcPr>
            <w:tcW w:w="1024" w:type="dxa"/>
          </w:tcPr>
          <w:p w14:paraId="767C04F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011030</w:t>
            </w:r>
          </w:p>
        </w:tc>
        <w:tc>
          <w:tcPr>
            <w:tcW w:w="1024" w:type="dxa"/>
          </w:tcPr>
          <w:p w14:paraId="0ED8129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107</w:t>
            </w:r>
          </w:p>
        </w:tc>
        <w:tc>
          <w:tcPr>
            <w:tcW w:w="1024" w:type="dxa"/>
          </w:tcPr>
          <w:p w14:paraId="124DD2A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252</w:t>
            </w:r>
          </w:p>
        </w:tc>
        <w:tc>
          <w:tcPr>
            <w:tcW w:w="1024" w:type="dxa"/>
          </w:tcPr>
          <w:p w14:paraId="4E96C8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159</w:t>
            </w:r>
          </w:p>
        </w:tc>
        <w:tc>
          <w:tcPr>
            <w:tcW w:w="1024" w:type="dxa"/>
          </w:tcPr>
          <w:p w14:paraId="099F57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024" w:type="dxa"/>
          </w:tcPr>
          <w:p w14:paraId="40F31B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24" w:type="dxa"/>
          </w:tcPr>
          <w:p w14:paraId="4977C7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24" w:type="dxa"/>
          </w:tcPr>
          <w:p w14:paraId="132E70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w:t>
            </w:r>
          </w:p>
        </w:tc>
        <w:tc>
          <w:tcPr>
            <w:tcW w:w="1024" w:type="dxa"/>
          </w:tcPr>
          <w:p w14:paraId="7796B6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4E1FBCE5" w14:textId="77777777">
        <w:tc>
          <w:tcPr>
            <w:tcW w:w="1024" w:type="dxa"/>
          </w:tcPr>
          <w:p w14:paraId="628C476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011031</w:t>
            </w:r>
          </w:p>
        </w:tc>
        <w:tc>
          <w:tcPr>
            <w:tcW w:w="1024" w:type="dxa"/>
          </w:tcPr>
          <w:p w14:paraId="3A9CC2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77</w:t>
            </w:r>
          </w:p>
        </w:tc>
        <w:tc>
          <w:tcPr>
            <w:tcW w:w="1024" w:type="dxa"/>
          </w:tcPr>
          <w:p w14:paraId="2ACECD9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282</w:t>
            </w:r>
          </w:p>
        </w:tc>
        <w:tc>
          <w:tcPr>
            <w:tcW w:w="1024" w:type="dxa"/>
          </w:tcPr>
          <w:p w14:paraId="5AB2D1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159</w:t>
            </w:r>
          </w:p>
        </w:tc>
        <w:tc>
          <w:tcPr>
            <w:tcW w:w="1024" w:type="dxa"/>
          </w:tcPr>
          <w:p w14:paraId="190A074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w:t>
            </w:r>
          </w:p>
        </w:tc>
        <w:tc>
          <w:tcPr>
            <w:tcW w:w="1024" w:type="dxa"/>
          </w:tcPr>
          <w:p w14:paraId="30C72EA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24" w:type="dxa"/>
          </w:tcPr>
          <w:p w14:paraId="6455850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24" w:type="dxa"/>
          </w:tcPr>
          <w:p w14:paraId="3FDE09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w:t>
            </w:r>
          </w:p>
        </w:tc>
        <w:tc>
          <w:tcPr>
            <w:tcW w:w="1024" w:type="dxa"/>
          </w:tcPr>
          <w:p w14:paraId="440D526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1F4FCF6" w14:textId="77777777">
        <w:tc>
          <w:tcPr>
            <w:tcW w:w="1024" w:type="dxa"/>
          </w:tcPr>
          <w:p w14:paraId="329E77D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010132</w:t>
            </w:r>
          </w:p>
        </w:tc>
        <w:tc>
          <w:tcPr>
            <w:tcW w:w="1024" w:type="dxa"/>
          </w:tcPr>
          <w:p w14:paraId="0468DE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w:t>
            </w:r>
          </w:p>
        </w:tc>
        <w:tc>
          <w:tcPr>
            <w:tcW w:w="1024" w:type="dxa"/>
          </w:tcPr>
          <w:p w14:paraId="461F76F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297</w:t>
            </w:r>
          </w:p>
        </w:tc>
        <w:tc>
          <w:tcPr>
            <w:tcW w:w="1024" w:type="dxa"/>
          </w:tcPr>
          <w:p w14:paraId="402340F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164</w:t>
            </w:r>
          </w:p>
        </w:tc>
        <w:tc>
          <w:tcPr>
            <w:tcW w:w="1024" w:type="dxa"/>
          </w:tcPr>
          <w:p w14:paraId="2380F5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w:t>
            </w:r>
          </w:p>
        </w:tc>
        <w:tc>
          <w:tcPr>
            <w:tcW w:w="1024" w:type="dxa"/>
          </w:tcPr>
          <w:p w14:paraId="254EE7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1024" w:type="dxa"/>
          </w:tcPr>
          <w:p w14:paraId="5F0F69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1024" w:type="dxa"/>
          </w:tcPr>
          <w:p w14:paraId="6D57D73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w:t>
            </w:r>
          </w:p>
        </w:tc>
        <w:tc>
          <w:tcPr>
            <w:tcW w:w="1024" w:type="dxa"/>
          </w:tcPr>
          <w:p w14:paraId="5DE840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r>
      <w:tr w:rsidR="00F26F01" w:rsidRPr="00C33834" w14:paraId="09F9EF82" w14:textId="77777777">
        <w:tc>
          <w:tcPr>
            <w:tcW w:w="1024" w:type="dxa"/>
          </w:tcPr>
          <w:p w14:paraId="1E9947E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010133</w:t>
            </w:r>
          </w:p>
        </w:tc>
        <w:tc>
          <w:tcPr>
            <w:tcW w:w="1024" w:type="dxa"/>
          </w:tcPr>
          <w:p w14:paraId="796931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w:t>
            </w:r>
          </w:p>
        </w:tc>
        <w:tc>
          <w:tcPr>
            <w:tcW w:w="1024" w:type="dxa"/>
          </w:tcPr>
          <w:p w14:paraId="53A7819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249</w:t>
            </w:r>
          </w:p>
        </w:tc>
        <w:tc>
          <w:tcPr>
            <w:tcW w:w="1024" w:type="dxa"/>
          </w:tcPr>
          <w:p w14:paraId="5C23B0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w:t>
            </w:r>
          </w:p>
        </w:tc>
        <w:tc>
          <w:tcPr>
            <w:tcW w:w="1024" w:type="dxa"/>
          </w:tcPr>
          <w:p w14:paraId="603380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143</w:t>
            </w:r>
          </w:p>
        </w:tc>
        <w:tc>
          <w:tcPr>
            <w:tcW w:w="1024" w:type="dxa"/>
          </w:tcPr>
          <w:p w14:paraId="32CA902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024" w:type="dxa"/>
          </w:tcPr>
          <w:p w14:paraId="2009F2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1024" w:type="dxa"/>
          </w:tcPr>
          <w:p w14:paraId="389B99E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w:t>
            </w:r>
          </w:p>
        </w:tc>
        <w:tc>
          <w:tcPr>
            <w:tcW w:w="1024" w:type="dxa"/>
          </w:tcPr>
          <w:p w14:paraId="446C4E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r>
      <w:tr w:rsidR="00F26F01" w:rsidRPr="00C33834" w14:paraId="3FE368FF" w14:textId="77777777">
        <w:tc>
          <w:tcPr>
            <w:tcW w:w="1024" w:type="dxa"/>
          </w:tcPr>
          <w:p w14:paraId="546611F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011233</w:t>
            </w:r>
          </w:p>
        </w:tc>
        <w:tc>
          <w:tcPr>
            <w:tcW w:w="1024" w:type="dxa"/>
          </w:tcPr>
          <w:p w14:paraId="6ACBEB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w:t>
            </w:r>
          </w:p>
        </w:tc>
        <w:tc>
          <w:tcPr>
            <w:tcW w:w="1024" w:type="dxa"/>
          </w:tcPr>
          <w:p w14:paraId="2C2989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239</w:t>
            </w:r>
          </w:p>
        </w:tc>
        <w:tc>
          <w:tcPr>
            <w:tcW w:w="1024" w:type="dxa"/>
          </w:tcPr>
          <w:p w14:paraId="508BE0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156</w:t>
            </w:r>
          </w:p>
        </w:tc>
        <w:tc>
          <w:tcPr>
            <w:tcW w:w="1024" w:type="dxa"/>
          </w:tcPr>
          <w:p w14:paraId="21276D7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343</w:t>
            </w:r>
          </w:p>
        </w:tc>
        <w:tc>
          <w:tcPr>
            <w:tcW w:w="1024" w:type="dxa"/>
          </w:tcPr>
          <w:p w14:paraId="009F43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024" w:type="dxa"/>
          </w:tcPr>
          <w:p w14:paraId="78DEF4B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w:t>
            </w:r>
          </w:p>
        </w:tc>
        <w:tc>
          <w:tcPr>
            <w:tcW w:w="1024" w:type="dxa"/>
          </w:tcPr>
          <w:p w14:paraId="1C6020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c>
          <w:tcPr>
            <w:tcW w:w="1024" w:type="dxa"/>
          </w:tcPr>
          <w:p w14:paraId="2EC1122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(3410,18)</w:t>
            </w:r>
          </w:p>
        </w:tc>
      </w:tr>
    </w:tbl>
    <w:p w14:paraId="123FC2E6"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2728FB5" w14:textId="77777777" w:rsidR="00C921FE" w:rsidRPr="00C33834" w:rsidRDefault="00C921F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декабря 1933 опросом членов ПБ</w:t>
      </w:r>
    </w:p>
    <w:p w14:paraId="7FFFC986" w14:textId="77777777" w:rsidR="00C921FE" w:rsidRPr="00C33834" w:rsidRDefault="00C921F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107/88.- Вопрос К.О.</w:t>
      </w:r>
    </w:p>
    <w:p w14:paraId="12E3116C" w14:textId="77777777" w:rsidR="00C921FE" w:rsidRPr="00C33834" w:rsidRDefault="00C921F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Утвердить постановление СТО об отпуске НКТП в 1934 году валюты в размере 6.025 тыс. руб. для закуп</w:t>
      </w:r>
      <w:r w:rsidRPr="00C33834">
        <w:rPr>
          <w:rFonts w:ascii="Times New Roman" w:hAnsi="Times New Roman"/>
          <w:color w:val="0070C0"/>
          <w:sz w:val="16"/>
          <w:szCs w:val="16"/>
        </w:rPr>
        <w:softHyphen/>
        <w:t>ки моторов Райт-Циклон и Испано-Сюизо.</w:t>
      </w:r>
    </w:p>
    <w:p w14:paraId="2C200A77" w14:textId="77777777" w:rsidR="00C921FE" w:rsidRPr="00C33834" w:rsidRDefault="00C921F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Базилевичу, Розонгольцу, Ворошилову, Орджоникидзе.</w:t>
      </w:r>
    </w:p>
    <w:p w14:paraId="643E53D7" w14:textId="77777777" w:rsidR="00C921FE" w:rsidRPr="00C33834" w:rsidRDefault="00C921FE"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декабря 1933 состоялось заседание ПБ и был оформлен протокол № 150 (23000).</w:t>
      </w:r>
    </w:p>
    <w:p w14:paraId="46234C6D" w14:textId="77777777" w:rsidR="00C921FE" w:rsidRPr="00C33834" w:rsidRDefault="00C921FE" w:rsidP="00C33834">
      <w:pPr>
        <w:spacing w:after="0" w:line="240" w:lineRule="auto"/>
        <w:jc w:val="both"/>
        <w:rPr>
          <w:rFonts w:ascii="Times New Roman" w:hAnsi="Times New Roman"/>
          <w:color w:val="0070C0"/>
          <w:sz w:val="16"/>
          <w:szCs w:val="16"/>
        </w:rPr>
      </w:pPr>
    </w:p>
    <w:p w14:paraId="3324B73D" w14:textId="77777777" w:rsidR="0018342B"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2967627" w14:textId="77777777" w:rsidR="0018342B" w:rsidRPr="00C33834" w:rsidRDefault="0018342B"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13F8B9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ранее 1 декабря 1933 г. Справка ИНО НКТП о привлечении иностранной технической помощи в тяжелую промышленность СССР</w:t>
      </w:r>
    </w:p>
    <w:p w14:paraId="7DDAD60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Секретно. </w:t>
      </w:r>
    </w:p>
    <w:p w14:paraId="4F51B0E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Привлечение иностранной технической помощи и освоение иностранной техники шло одновременно различными методами, из которых основными являются: договора техпомощи с инофирмами, привлечение иноспециалистов на индивидуальных условиях и командировка наших кадров заграницу на техучебу.</w:t>
      </w:r>
    </w:p>
    <w:p w14:paraId="0BFC2B3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Договора техпомощи с инофирмами</w:t>
      </w:r>
    </w:p>
    <w:p w14:paraId="6412B7A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за время с 1923 года по 1.XII.1933 г. заключено договоров на техническую помощь с инофирмами — 170, из них прекратило свое действие — 130 и осталось в действии на 1.XII.1933 г. — 40.</w:t>
      </w:r>
    </w:p>
    <w:p w14:paraId="3D1C068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отдельным годам количество заключенных договоров распределяется следующим образом:</w:t>
      </w:r>
    </w:p>
    <w:p w14:paraId="7733AE8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1923 г. заключено ..... —  1 договор</w:t>
      </w:r>
    </w:p>
    <w:p w14:paraId="14BC4FE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1925 г. заключено ..... —  6 договоров</w:t>
      </w:r>
    </w:p>
    <w:p w14:paraId="17534F4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1926 г. заключено ..... —  5 договоров</w:t>
      </w:r>
    </w:p>
    <w:p w14:paraId="72152D4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1927 г. заключено ..... — 17 договоров</w:t>
      </w:r>
    </w:p>
    <w:p w14:paraId="31762E5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1928 г. заключено ..... — 15 договоров</w:t>
      </w:r>
    </w:p>
    <w:p w14:paraId="1DDCB91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1929 г. заключено ..... — 48 договоров</w:t>
      </w:r>
    </w:p>
    <w:p w14:paraId="37B4858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1930 г. заключено ..... — 59 договоров</w:t>
      </w:r>
    </w:p>
    <w:p w14:paraId="2372BF3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1931 г. заключено ..... — 10 договоров</w:t>
      </w:r>
    </w:p>
    <w:p w14:paraId="041F806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1932 г. заключено ..... —  5 договоров</w:t>
      </w:r>
    </w:p>
    <w:p w14:paraId="478D787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заключено ..... —  4 договора</w:t>
      </w:r>
    </w:p>
    <w:p w14:paraId="1954061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отраслям промышленности эти договора распределяются следующим образом:</w:t>
      </w:r>
    </w:p>
    <w:p w14:paraId="4779658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пп  Наименование промышленности   Количество</w:t>
      </w:r>
    </w:p>
    <w:p w14:paraId="1739FF4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договоров</w:t>
      </w:r>
    </w:p>
    <w:p w14:paraId="270443CE" w14:textId="77777777" w:rsidR="0018342B" w:rsidRPr="00C33834" w:rsidRDefault="0018342B" w:rsidP="00C33834">
      <w:pPr>
        <w:spacing w:after="0" w:line="240" w:lineRule="auto"/>
        <w:jc w:val="both"/>
        <w:rPr>
          <w:rFonts w:ascii="Times New Roman" w:hAnsi="Times New Roman"/>
          <w:color w:val="000000" w:themeColor="text1"/>
          <w:sz w:val="16"/>
          <w:szCs w:val="16"/>
        </w:rPr>
      </w:pPr>
    </w:p>
    <w:p w14:paraId="69AA01F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1.  Машиностроение ................... 42</w:t>
      </w:r>
    </w:p>
    <w:p w14:paraId="3A1A293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2.  Черная металлургия ............... 17</w:t>
      </w:r>
    </w:p>
    <w:p w14:paraId="18AAE2B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3.  Цветная металлургия .............. 10</w:t>
      </w:r>
    </w:p>
    <w:p w14:paraId="6EC85CD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4.  Электропромышленность ............ 12</w:t>
      </w:r>
    </w:p>
    <w:p w14:paraId="179FC16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5.  Энергетика .......................  6</w:t>
      </w:r>
    </w:p>
    <w:p w14:paraId="66CBB04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6.  Горно-топливная промышленность ... 21</w:t>
      </w:r>
    </w:p>
    <w:p w14:paraId="2F36C3E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7.  Химическая промышленность ........ 28</w:t>
      </w:r>
    </w:p>
    <w:p w14:paraId="63053CA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8.  Резиновая промышленность .........  3</w:t>
      </w:r>
    </w:p>
    <w:p w14:paraId="5AF5533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9.  Строительная промышленность ......  6</w:t>
      </w:r>
    </w:p>
    <w:p w14:paraId="1086892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10.  Искусственного волокна ...........  4</w:t>
      </w:r>
    </w:p>
    <w:p w14:paraId="14484FA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11.  Военная промышленность ........... 12</w:t>
      </w:r>
    </w:p>
    <w:p w14:paraId="35253D4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12.  Разные ........................... 10</w:t>
      </w:r>
    </w:p>
    <w:p w14:paraId="70AD4ED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___________________________________________</w:t>
      </w:r>
    </w:p>
    <w:p w14:paraId="43B6A43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ВСЕГО ............................170</w:t>
      </w:r>
    </w:p>
    <w:p w14:paraId="50C598A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странам эти договора распределяются так:</w:t>
      </w:r>
    </w:p>
    <w:p w14:paraId="477F43D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Наименование    Количество</w:t>
      </w:r>
    </w:p>
    <w:p w14:paraId="785AA03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пп  страны          договоров</w:t>
      </w:r>
    </w:p>
    <w:p w14:paraId="47C23E25" w14:textId="77777777" w:rsidR="0018342B" w:rsidRPr="00C33834" w:rsidRDefault="0018342B" w:rsidP="00C33834">
      <w:pPr>
        <w:spacing w:after="0" w:line="240" w:lineRule="auto"/>
        <w:jc w:val="both"/>
        <w:rPr>
          <w:rFonts w:ascii="Times New Roman" w:hAnsi="Times New Roman"/>
          <w:color w:val="000000" w:themeColor="text1"/>
          <w:sz w:val="16"/>
          <w:szCs w:val="16"/>
        </w:rPr>
      </w:pPr>
    </w:p>
    <w:p w14:paraId="01D6E03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1. Германия .......   73</w:t>
      </w:r>
    </w:p>
    <w:p w14:paraId="2B638DF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2. САСШ ...........   59</w:t>
      </w:r>
    </w:p>
    <w:p w14:paraId="254A389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3. Франция ........   11</w:t>
      </w:r>
    </w:p>
    <w:p w14:paraId="2B69CD0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4. Швеция .........    9</w:t>
      </w:r>
    </w:p>
    <w:p w14:paraId="14EA522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5. Италия .........    7</w:t>
      </w:r>
    </w:p>
    <w:p w14:paraId="7C5EF4F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6. Англия .........    5</w:t>
      </w:r>
    </w:p>
    <w:p w14:paraId="61E799A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7. Другие страны ..    6</w:t>
      </w:r>
    </w:p>
    <w:p w14:paraId="0CFEFFF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_________________________</w:t>
      </w:r>
    </w:p>
    <w:p w14:paraId="2DAEDEE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ВСЕГО .........   170</w:t>
      </w:r>
    </w:p>
    <w:p w14:paraId="28AA2FE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Количество действующих договоров по годам:</w:t>
      </w:r>
    </w:p>
    <w:p w14:paraId="23FC0DD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1.I.1924 г. действовал .....  1</w:t>
      </w:r>
    </w:p>
    <w:p w14:paraId="17AC3DB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На   1.I.1925 г. действовал .....  1</w:t>
      </w:r>
    </w:p>
    <w:p w14:paraId="45C9317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1.I.1926 г. действовали ....  5</w:t>
      </w:r>
    </w:p>
    <w:p w14:paraId="527B3F6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1.I.1927 г. действовали .... 10</w:t>
      </w:r>
    </w:p>
    <w:p w14:paraId="5D3B38F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1.I.1928 г. действовали .... 25</w:t>
      </w:r>
    </w:p>
    <w:p w14:paraId="4405359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1.I.1929 г. действовали .... 42</w:t>
      </w:r>
    </w:p>
    <w:p w14:paraId="16E4F3B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1.I.1930 г. действовали .... 75</w:t>
      </w:r>
    </w:p>
    <w:p w14:paraId="6866668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1.I.1931 г. действовали ....124</w:t>
      </w:r>
    </w:p>
    <w:p w14:paraId="3B77577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1.I.1932 г. действовали .... 74</w:t>
      </w:r>
    </w:p>
    <w:p w14:paraId="6C62C8E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1.I.1933 г. действовали .... 48</w:t>
      </w:r>
    </w:p>
    <w:p w14:paraId="24C1C52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Нa 1.XII.1933 г. действовали .... 40</w:t>
      </w:r>
    </w:p>
    <w:p w14:paraId="38B5E3A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приведенных данных видно, что наибольшее количество договоров было заключено и действовало в 1929 г., в 1930 г. и в 1931 г., после чего наступило значительное сокращение, которое продолжается и на 1.XII.1933 г.</w:t>
      </w:r>
    </w:p>
    <w:p w14:paraId="34EB602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Если взять динамику количество договоров и их стоимость за последние 4 года, то получим следующую таблицу:</w:t>
      </w:r>
    </w:p>
    <w:tbl>
      <w:tblPr>
        <w:tblW w:w="0" w:type="auto"/>
        <w:tblLayout w:type="fixed"/>
        <w:tblCellMar>
          <w:left w:w="0" w:type="dxa"/>
          <w:right w:w="0" w:type="dxa"/>
        </w:tblCellMar>
        <w:tblLook w:val="0000" w:firstRow="0" w:lastRow="0" w:firstColumn="0" w:lastColumn="0" w:noHBand="0" w:noVBand="0"/>
      </w:tblPr>
      <w:tblGrid>
        <w:gridCol w:w="2129"/>
        <w:gridCol w:w="887"/>
        <w:gridCol w:w="887"/>
        <w:gridCol w:w="887"/>
        <w:gridCol w:w="887"/>
        <w:gridCol w:w="887"/>
        <w:gridCol w:w="887"/>
        <w:gridCol w:w="953"/>
        <w:gridCol w:w="953"/>
      </w:tblGrid>
      <w:tr w:rsidR="00F26F01" w:rsidRPr="00C33834" w14:paraId="550DCF77" w14:textId="77777777" w:rsidTr="00CE35D9">
        <w:tc>
          <w:tcPr>
            <w:tcW w:w="2129" w:type="dxa"/>
            <w:tcBorders>
              <w:top w:val="none" w:sz="6" w:space="0" w:color="auto"/>
              <w:left w:val="none" w:sz="6" w:space="0" w:color="auto"/>
              <w:bottom w:val="none" w:sz="6" w:space="0" w:color="auto"/>
              <w:right w:val="none" w:sz="6" w:space="0" w:color="auto"/>
            </w:tcBorders>
          </w:tcPr>
          <w:p w14:paraId="44D3790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Отрасли промышленности</w:t>
            </w:r>
          </w:p>
        </w:tc>
        <w:tc>
          <w:tcPr>
            <w:tcW w:w="887" w:type="dxa"/>
            <w:gridSpan w:val="2"/>
            <w:tcBorders>
              <w:top w:val="none" w:sz="6" w:space="0" w:color="auto"/>
              <w:left w:val="none" w:sz="6" w:space="0" w:color="auto"/>
              <w:bottom w:val="none" w:sz="6" w:space="0" w:color="auto"/>
              <w:right w:val="none" w:sz="6" w:space="0" w:color="auto"/>
            </w:tcBorders>
          </w:tcPr>
          <w:p w14:paraId="7FD6CD5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состоянию на 1.I.1931 г.</w:t>
            </w:r>
          </w:p>
        </w:tc>
        <w:tc>
          <w:tcPr>
            <w:tcW w:w="887" w:type="dxa"/>
            <w:gridSpan w:val="2"/>
            <w:tcBorders>
              <w:top w:val="none" w:sz="6" w:space="0" w:color="auto"/>
              <w:left w:val="none" w:sz="6" w:space="0" w:color="auto"/>
              <w:bottom w:val="none" w:sz="6" w:space="0" w:color="auto"/>
              <w:right w:val="none" w:sz="6" w:space="0" w:color="auto"/>
            </w:tcBorders>
          </w:tcPr>
          <w:p w14:paraId="6E91887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состоянию на 1.I.1932 г.</w:t>
            </w:r>
          </w:p>
        </w:tc>
        <w:tc>
          <w:tcPr>
            <w:tcW w:w="887" w:type="dxa"/>
            <w:gridSpan w:val="2"/>
            <w:tcBorders>
              <w:top w:val="none" w:sz="6" w:space="0" w:color="auto"/>
              <w:left w:val="none" w:sz="6" w:space="0" w:color="auto"/>
              <w:bottom w:val="none" w:sz="6" w:space="0" w:color="auto"/>
              <w:right w:val="none" w:sz="6" w:space="0" w:color="auto"/>
            </w:tcBorders>
          </w:tcPr>
          <w:p w14:paraId="602CCD5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состоянию на 1.I.1933 г.</w:t>
            </w:r>
          </w:p>
        </w:tc>
        <w:tc>
          <w:tcPr>
            <w:tcW w:w="953" w:type="dxa"/>
            <w:gridSpan w:val="2"/>
            <w:tcBorders>
              <w:top w:val="none" w:sz="6" w:space="0" w:color="auto"/>
              <w:left w:val="none" w:sz="6" w:space="0" w:color="auto"/>
              <w:bottom w:val="none" w:sz="6" w:space="0" w:color="auto"/>
              <w:right w:val="none" w:sz="6" w:space="0" w:color="auto"/>
            </w:tcBorders>
          </w:tcPr>
          <w:p w14:paraId="31CE5E8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состоянию на 1.XII.1933 г.</w:t>
            </w:r>
          </w:p>
        </w:tc>
      </w:tr>
      <w:tr w:rsidR="00F26F01" w:rsidRPr="00C33834" w14:paraId="00BFED12" w14:textId="77777777" w:rsidTr="00CE35D9">
        <w:tc>
          <w:tcPr>
            <w:tcW w:w="2129" w:type="dxa"/>
            <w:tcBorders>
              <w:top w:val="none" w:sz="6" w:space="0" w:color="auto"/>
              <w:left w:val="none" w:sz="6" w:space="0" w:color="auto"/>
              <w:bottom w:val="none" w:sz="6" w:space="0" w:color="auto"/>
              <w:right w:val="none" w:sz="6" w:space="0" w:color="auto"/>
            </w:tcBorders>
          </w:tcPr>
          <w:p w14:paraId="0DDCE153"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887" w:type="dxa"/>
            <w:tcBorders>
              <w:top w:val="none" w:sz="6" w:space="0" w:color="auto"/>
              <w:left w:val="none" w:sz="6" w:space="0" w:color="auto"/>
              <w:bottom w:val="none" w:sz="6" w:space="0" w:color="auto"/>
              <w:right w:val="none" w:sz="6" w:space="0" w:color="auto"/>
            </w:tcBorders>
          </w:tcPr>
          <w:p w14:paraId="6DBCDF8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Кол?во</w:t>
            </w:r>
          </w:p>
        </w:tc>
        <w:tc>
          <w:tcPr>
            <w:tcW w:w="887" w:type="dxa"/>
            <w:tcBorders>
              <w:top w:val="none" w:sz="6" w:space="0" w:color="auto"/>
              <w:left w:val="none" w:sz="6" w:space="0" w:color="auto"/>
              <w:bottom w:val="none" w:sz="6" w:space="0" w:color="auto"/>
              <w:right w:val="none" w:sz="6" w:space="0" w:color="auto"/>
            </w:tcBorders>
          </w:tcPr>
          <w:p w14:paraId="01D7341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Стоим. </w:t>
            </w:r>
          </w:p>
          <w:p w14:paraId="37F6940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руб.</w:t>
            </w:r>
          </w:p>
        </w:tc>
        <w:tc>
          <w:tcPr>
            <w:tcW w:w="887" w:type="dxa"/>
            <w:tcBorders>
              <w:top w:val="none" w:sz="6" w:space="0" w:color="auto"/>
              <w:left w:val="none" w:sz="6" w:space="0" w:color="auto"/>
              <w:bottom w:val="none" w:sz="6" w:space="0" w:color="auto"/>
              <w:right w:val="none" w:sz="6" w:space="0" w:color="auto"/>
            </w:tcBorders>
          </w:tcPr>
          <w:p w14:paraId="0998939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Кол?во</w:t>
            </w:r>
          </w:p>
        </w:tc>
        <w:tc>
          <w:tcPr>
            <w:tcW w:w="887" w:type="dxa"/>
            <w:tcBorders>
              <w:top w:val="none" w:sz="6" w:space="0" w:color="auto"/>
              <w:left w:val="none" w:sz="6" w:space="0" w:color="auto"/>
              <w:bottom w:val="none" w:sz="6" w:space="0" w:color="auto"/>
              <w:right w:val="none" w:sz="6" w:space="0" w:color="auto"/>
            </w:tcBorders>
          </w:tcPr>
          <w:p w14:paraId="3D625B8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Стоим. </w:t>
            </w:r>
          </w:p>
          <w:p w14:paraId="015D02F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руб.</w:t>
            </w:r>
          </w:p>
        </w:tc>
        <w:tc>
          <w:tcPr>
            <w:tcW w:w="887" w:type="dxa"/>
            <w:tcBorders>
              <w:top w:val="none" w:sz="6" w:space="0" w:color="auto"/>
              <w:left w:val="none" w:sz="6" w:space="0" w:color="auto"/>
              <w:bottom w:val="none" w:sz="6" w:space="0" w:color="auto"/>
              <w:right w:val="none" w:sz="6" w:space="0" w:color="auto"/>
            </w:tcBorders>
          </w:tcPr>
          <w:p w14:paraId="6847597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Кол?во</w:t>
            </w:r>
          </w:p>
        </w:tc>
        <w:tc>
          <w:tcPr>
            <w:tcW w:w="887" w:type="dxa"/>
            <w:tcBorders>
              <w:top w:val="none" w:sz="6" w:space="0" w:color="auto"/>
              <w:left w:val="none" w:sz="6" w:space="0" w:color="auto"/>
              <w:bottom w:val="none" w:sz="6" w:space="0" w:color="auto"/>
              <w:right w:val="none" w:sz="6" w:space="0" w:color="auto"/>
            </w:tcBorders>
          </w:tcPr>
          <w:p w14:paraId="143F98E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Стоим. </w:t>
            </w:r>
          </w:p>
          <w:p w14:paraId="66DA7C9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руб.</w:t>
            </w:r>
          </w:p>
        </w:tc>
        <w:tc>
          <w:tcPr>
            <w:tcW w:w="953" w:type="dxa"/>
            <w:tcBorders>
              <w:top w:val="none" w:sz="6" w:space="0" w:color="auto"/>
              <w:left w:val="none" w:sz="6" w:space="0" w:color="auto"/>
              <w:bottom w:val="none" w:sz="6" w:space="0" w:color="auto"/>
              <w:right w:val="none" w:sz="6" w:space="0" w:color="auto"/>
            </w:tcBorders>
          </w:tcPr>
          <w:p w14:paraId="66EB559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Кол?во</w:t>
            </w:r>
          </w:p>
        </w:tc>
        <w:tc>
          <w:tcPr>
            <w:tcW w:w="953" w:type="dxa"/>
            <w:tcBorders>
              <w:top w:val="none" w:sz="6" w:space="0" w:color="auto"/>
              <w:left w:val="none" w:sz="6" w:space="0" w:color="auto"/>
              <w:bottom w:val="none" w:sz="6" w:space="0" w:color="auto"/>
              <w:right w:val="none" w:sz="6" w:space="0" w:color="auto"/>
            </w:tcBorders>
          </w:tcPr>
          <w:p w14:paraId="6D3EA74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Стоим. </w:t>
            </w:r>
          </w:p>
          <w:p w14:paraId="17A3C4C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тыс. руб.</w:t>
            </w:r>
          </w:p>
        </w:tc>
      </w:tr>
      <w:tr w:rsidR="00F26F01" w:rsidRPr="00C33834" w14:paraId="4061F818" w14:textId="77777777" w:rsidTr="00CE35D9">
        <w:tc>
          <w:tcPr>
            <w:tcW w:w="2129" w:type="dxa"/>
            <w:tcBorders>
              <w:top w:val="none" w:sz="6" w:space="0" w:color="auto"/>
              <w:left w:val="none" w:sz="6" w:space="0" w:color="auto"/>
              <w:bottom w:val="none" w:sz="6" w:space="0" w:color="auto"/>
              <w:right w:val="none" w:sz="6" w:space="0" w:color="auto"/>
            </w:tcBorders>
          </w:tcPr>
          <w:p w14:paraId="5DF66D8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Машиностроение</w:t>
            </w:r>
          </w:p>
        </w:tc>
        <w:tc>
          <w:tcPr>
            <w:tcW w:w="887" w:type="dxa"/>
            <w:tcBorders>
              <w:top w:val="none" w:sz="6" w:space="0" w:color="auto"/>
              <w:left w:val="none" w:sz="6" w:space="0" w:color="auto"/>
              <w:bottom w:val="none" w:sz="6" w:space="0" w:color="auto"/>
              <w:right w:val="none" w:sz="6" w:space="0" w:color="auto"/>
            </w:tcBorders>
          </w:tcPr>
          <w:p w14:paraId="51D5CC4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887" w:type="dxa"/>
            <w:tcBorders>
              <w:top w:val="none" w:sz="6" w:space="0" w:color="auto"/>
              <w:left w:val="none" w:sz="6" w:space="0" w:color="auto"/>
              <w:bottom w:val="none" w:sz="6" w:space="0" w:color="auto"/>
              <w:right w:val="none" w:sz="6" w:space="0" w:color="auto"/>
            </w:tcBorders>
          </w:tcPr>
          <w:p w14:paraId="1209E5F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19250</w:t>
            </w:r>
          </w:p>
        </w:tc>
        <w:tc>
          <w:tcPr>
            <w:tcW w:w="887" w:type="dxa"/>
            <w:tcBorders>
              <w:top w:val="none" w:sz="6" w:space="0" w:color="auto"/>
              <w:left w:val="none" w:sz="6" w:space="0" w:color="auto"/>
              <w:bottom w:val="none" w:sz="6" w:space="0" w:color="auto"/>
              <w:right w:val="none" w:sz="6" w:space="0" w:color="auto"/>
            </w:tcBorders>
          </w:tcPr>
          <w:p w14:paraId="20C7A3A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887" w:type="dxa"/>
            <w:tcBorders>
              <w:top w:val="none" w:sz="6" w:space="0" w:color="auto"/>
              <w:left w:val="none" w:sz="6" w:space="0" w:color="auto"/>
              <w:bottom w:val="none" w:sz="6" w:space="0" w:color="auto"/>
              <w:right w:val="none" w:sz="6" w:space="0" w:color="auto"/>
            </w:tcBorders>
          </w:tcPr>
          <w:p w14:paraId="25DDE14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13500</w:t>
            </w:r>
          </w:p>
        </w:tc>
        <w:tc>
          <w:tcPr>
            <w:tcW w:w="887" w:type="dxa"/>
            <w:tcBorders>
              <w:top w:val="none" w:sz="6" w:space="0" w:color="auto"/>
              <w:left w:val="none" w:sz="6" w:space="0" w:color="auto"/>
              <w:bottom w:val="none" w:sz="6" w:space="0" w:color="auto"/>
              <w:right w:val="none" w:sz="6" w:space="0" w:color="auto"/>
            </w:tcBorders>
          </w:tcPr>
          <w:p w14:paraId="4C17858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887" w:type="dxa"/>
            <w:tcBorders>
              <w:top w:val="none" w:sz="6" w:space="0" w:color="auto"/>
              <w:left w:val="none" w:sz="6" w:space="0" w:color="auto"/>
              <w:bottom w:val="none" w:sz="6" w:space="0" w:color="auto"/>
              <w:right w:val="none" w:sz="6" w:space="0" w:color="auto"/>
            </w:tcBorders>
          </w:tcPr>
          <w:p w14:paraId="3D6A831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8710</w:t>
            </w:r>
          </w:p>
        </w:tc>
        <w:tc>
          <w:tcPr>
            <w:tcW w:w="953" w:type="dxa"/>
            <w:tcBorders>
              <w:top w:val="none" w:sz="6" w:space="0" w:color="auto"/>
              <w:left w:val="none" w:sz="6" w:space="0" w:color="auto"/>
              <w:bottom w:val="none" w:sz="6" w:space="0" w:color="auto"/>
              <w:right w:val="none" w:sz="6" w:space="0" w:color="auto"/>
            </w:tcBorders>
          </w:tcPr>
          <w:p w14:paraId="3A346E5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953" w:type="dxa"/>
            <w:tcBorders>
              <w:top w:val="none" w:sz="6" w:space="0" w:color="auto"/>
              <w:left w:val="none" w:sz="6" w:space="0" w:color="auto"/>
              <w:bottom w:val="none" w:sz="6" w:space="0" w:color="auto"/>
              <w:right w:val="none" w:sz="6" w:space="0" w:color="auto"/>
            </w:tcBorders>
          </w:tcPr>
          <w:p w14:paraId="0879B6A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7190</w:t>
            </w:r>
          </w:p>
        </w:tc>
      </w:tr>
      <w:tr w:rsidR="00F26F01" w:rsidRPr="00C33834" w14:paraId="725033B0" w14:textId="77777777" w:rsidTr="00CE35D9">
        <w:tc>
          <w:tcPr>
            <w:tcW w:w="2129" w:type="dxa"/>
            <w:tcBorders>
              <w:top w:val="none" w:sz="6" w:space="0" w:color="auto"/>
              <w:left w:val="none" w:sz="6" w:space="0" w:color="auto"/>
              <w:bottom w:val="none" w:sz="6" w:space="0" w:color="auto"/>
              <w:right w:val="none" w:sz="6" w:space="0" w:color="auto"/>
            </w:tcBorders>
          </w:tcPr>
          <w:p w14:paraId="0977841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Черная металлургия</w:t>
            </w:r>
          </w:p>
        </w:tc>
        <w:tc>
          <w:tcPr>
            <w:tcW w:w="887" w:type="dxa"/>
            <w:tcBorders>
              <w:top w:val="none" w:sz="6" w:space="0" w:color="auto"/>
              <w:left w:val="none" w:sz="6" w:space="0" w:color="auto"/>
              <w:bottom w:val="none" w:sz="6" w:space="0" w:color="auto"/>
              <w:right w:val="none" w:sz="6" w:space="0" w:color="auto"/>
            </w:tcBorders>
          </w:tcPr>
          <w:p w14:paraId="49142CB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tc>
        <w:tc>
          <w:tcPr>
            <w:tcW w:w="887" w:type="dxa"/>
            <w:tcBorders>
              <w:top w:val="none" w:sz="6" w:space="0" w:color="auto"/>
              <w:left w:val="none" w:sz="6" w:space="0" w:color="auto"/>
              <w:bottom w:val="none" w:sz="6" w:space="0" w:color="auto"/>
              <w:right w:val="none" w:sz="6" w:space="0" w:color="auto"/>
            </w:tcBorders>
          </w:tcPr>
          <w:p w14:paraId="2605578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11200</w:t>
            </w:r>
          </w:p>
        </w:tc>
        <w:tc>
          <w:tcPr>
            <w:tcW w:w="887" w:type="dxa"/>
            <w:tcBorders>
              <w:top w:val="none" w:sz="6" w:space="0" w:color="auto"/>
              <w:left w:val="none" w:sz="6" w:space="0" w:color="auto"/>
              <w:bottom w:val="none" w:sz="6" w:space="0" w:color="auto"/>
              <w:right w:val="none" w:sz="6" w:space="0" w:color="auto"/>
            </w:tcBorders>
          </w:tcPr>
          <w:p w14:paraId="35FCB6F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887" w:type="dxa"/>
            <w:tcBorders>
              <w:top w:val="none" w:sz="6" w:space="0" w:color="auto"/>
              <w:left w:val="none" w:sz="6" w:space="0" w:color="auto"/>
              <w:bottom w:val="none" w:sz="6" w:space="0" w:color="auto"/>
              <w:right w:val="none" w:sz="6" w:space="0" w:color="auto"/>
            </w:tcBorders>
          </w:tcPr>
          <w:p w14:paraId="3B039CB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8100</w:t>
            </w:r>
          </w:p>
        </w:tc>
        <w:tc>
          <w:tcPr>
            <w:tcW w:w="887" w:type="dxa"/>
            <w:tcBorders>
              <w:top w:val="none" w:sz="6" w:space="0" w:color="auto"/>
              <w:left w:val="none" w:sz="6" w:space="0" w:color="auto"/>
              <w:bottom w:val="none" w:sz="6" w:space="0" w:color="auto"/>
              <w:right w:val="none" w:sz="6" w:space="0" w:color="auto"/>
            </w:tcBorders>
          </w:tcPr>
          <w:p w14:paraId="149FC57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887" w:type="dxa"/>
            <w:tcBorders>
              <w:top w:val="none" w:sz="6" w:space="0" w:color="auto"/>
              <w:left w:val="none" w:sz="6" w:space="0" w:color="auto"/>
              <w:bottom w:val="none" w:sz="6" w:space="0" w:color="auto"/>
              <w:right w:val="none" w:sz="6" w:space="0" w:color="auto"/>
            </w:tcBorders>
          </w:tcPr>
          <w:p w14:paraId="506632E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4950</w:t>
            </w:r>
          </w:p>
        </w:tc>
        <w:tc>
          <w:tcPr>
            <w:tcW w:w="953" w:type="dxa"/>
            <w:tcBorders>
              <w:top w:val="none" w:sz="6" w:space="0" w:color="auto"/>
              <w:left w:val="none" w:sz="6" w:space="0" w:color="auto"/>
              <w:bottom w:val="none" w:sz="6" w:space="0" w:color="auto"/>
              <w:right w:val="none" w:sz="6" w:space="0" w:color="auto"/>
            </w:tcBorders>
          </w:tcPr>
          <w:p w14:paraId="7BBC94B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953" w:type="dxa"/>
            <w:tcBorders>
              <w:top w:val="none" w:sz="6" w:space="0" w:color="auto"/>
              <w:left w:val="none" w:sz="6" w:space="0" w:color="auto"/>
              <w:bottom w:val="none" w:sz="6" w:space="0" w:color="auto"/>
              <w:right w:val="none" w:sz="6" w:space="0" w:color="auto"/>
            </w:tcBorders>
          </w:tcPr>
          <w:p w14:paraId="0CA35DC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3800</w:t>
            </w:r>
          </w:p>
        </w:tc>
      </w:tr>
      <w:tr w:rsidR="00F26F01" w:rsidRPr="00C33834" w14:paraId="40630BDE" w14:textId="77777777" w:rsidTr="00CE35D9">
        <w:tc>
          <w:tcPr>
            <w:tcW w:w="2129" w:type="dxa"/>
            <w:tcBorders>
              <w:top w:val="none" w:sz="6" w:space="0" w:color="auto"/>
              <w:left w:val="none" w:sz="6" w:space="0" w:color="auto"/>
              <w:bottom w:val="none" w:sz="6" w:space="0" w:color="auto"/>
              <w:right w:val="none" w:sz="6" w:space="0" w:color="auto"/>
            </w:tcBorders>
          </w:tcPr>
          <w:p w14:paraId="09DBD5D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Цветная металлургия</w:t>
            </w:r>
          </w:p>
        </w:tc>
        <w:tc>
          <w:tcPr>
            <w:tcW w:w="887" w:type="dxa"/>
            <w:tcBorders>
              <w:top w:val="none" w:sz="6" w:space="0" w:color="auto"/>
              <w:left w:val="none" w:sz="6" w:space="0" w:color="auto"/>
              <w:bottom w:val="none" w:sz="6" w:space="0" w:color="auto"/>
              <w:right w:val="none" w:sz="6" w:space="0" w:color="auto"/>
            </w:tcBorders>
          </w:tcPr>
          <w:p w14:paraId="51A71FA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887" w:type="dxa"/>
            <w:tcBorders>
              <w:top w:val="none" w:sz="6" w:space="0" w:color="auto"/>
              <w:left w:val="none" w:sz="6" w:space="0" w:color="auto"/>
              <w:bottom w:val="none" w:sz="6" w:space="0" w:color="auto"/>
              <w:right w:val="none" w:sz="6" w:space="0" w:color="auto"/>
            </w:tcBorders>
          </w:tcPr>
          <w:p w14:paraId="13750F6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3150</w:t>
            </w:r>
          </w:p>
        </w:tc>
        <w:tc>
          <w:tcPr>
            <w:tcW w:w="887" w:type="dxa"/>
            <w:tcBorders>
              <w:top w:val="none" w:sz="6" w:space="0" w:color="auto"/>
              <w:left w:val="none" w:sz="6" w:space="0" w:color="auto"/>
              <w:bottom w:val="none" w:sz="6" w:space="0" w:color="auto"/>
              <w:right w:val="none" w:sz="6" w:space="0" w:color="auto"/>
            </w:tcBorders>
          </w:tcPr>
          <w:p w14:paraId="0CDC807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887" w:type="dxa"/>
            <w:tcBorders>
              <w:top w:val="none" w:sz="6" w:space="0" w:color="auto"/>
              <w:left w:val="none" w:sz="6" w:space="0" w:color="auto"/>
              <w:bottom w:val="none" w:sz="6" w:space="0" w:color="auto"/>
              <w:right w:val="none" w:sz="6" w:space="0" w:color="auto"/>
            </w:tcBorders>
          </w:tcPr>
          <w:p w14:paraId="023928D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tc>
        <w:tc>
          <w:tcPr>
            <w:tcW w:w="887" w:type="dxa"/>
            <w:tcBorders>
              <w:top w:val="none" w:sz="6" w:space="0" w:color="auto"/>
              <w:left w:val="none" w:sz="6" w:space="0" w:color="auto"/>
              <w:bottom w:val="none" w:sz="6" w:space="0" w:color="auto"/>
              <w:right w:val="none" w:sz="6" w:space="0" w:color="auto"/>
            </w:tcBorders>
          </w:tcPr>
          <w:p w14:paraId="65E101F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887" w:type="dxa"/>
            <w:tcBorders>
              <w:top w:val="none" w:sz="6" w:space="0" w:color="auto"/>
              <w:left w:val="none" w:sz="6" w:space="0" w:color="auto"/>
              <w:bottom w:val="none" w:sz="6" w:space="0" w:color="auto"/>
              <w:right w:val="none" w:sz="6" w:space="0" w:color="auto"/>
            </w:tcBorders>
          </w:tcPr>
          <w:p w14:paraId="0414771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2800</w:t>
            </w:r>
          </w:p>
        </w:tc>
        <w:tc>
          <w:tcPr>
            <w:tcW w:w="953" w:type="dxa"/>
            <w:tcBorders>
              <w:top w:val="none" w:sz="6" w:space="0" w:color="auto"/>
              <w:left w:val="none" w:sz="6" w:space="0" w:color="auto"/>
              <w:bottom w:val="none" w:sz="6" w:space="0" w:color="auto"/>
              <w:right w:val="none" w:sz="6" w:space="0" w:color="auto"/>
            </w:tcBorders>
          </w:tcPr>
          <w:p w14:paraId="20294D2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953" w:type="dxa"/>
            <w:tcBorders>
              <w:top w:val="none" w:sz="6" w:space="0" w:color="auto"/>
              <w:left w:val="none" w:sz="6" w:space="0" w:color="auto"/>
              <w:bottom w:val="none" w:sz="6" w:space="0" w:color="auto"/>
              <w:right w:val="none" w:sz="6" w:space="0" w:color="auto"/>
            </w:tcBorders>
          </w:tcPr>
          <w:p w14:paraId="6B809F1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2800</w:t>
            </w:r>
          </w:p>
        </w:tc>
      </w:tr>
      <w:tr w:rsidR="00F26F01" w:rsidRPr="00C33834" w14:paraId="524F430A" w14:textId="77777777" w:rsidTr="00CE35D9">
        <w:tc>
          <w:tcPr>
            <w:tcW w:w="2129" w:type="dxa"/>
            <w:tcBorders>
              <w:top w:val="none" w:sz="6" w:space="0" w:color="auto"/>
              <w:left w:val="none" w:sz="6" w:space="0" w:color="auto"/>
              <w:bottom w:val="none" w:sz="6" w:space="0" w:color="auto"/>
              <w:right w:val="none" w:sz="6" w:space="0" w:color="auto"/>
            </w:tcBorders>
          </w:tcPr>
          <w:p w14:paraId="32CB229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Горно-топливная</w:t>
            </w:r>
          </w:p>
        </w:tc>
        <w:tc>
          <w:tcPr>
            <w:tcW w:w="887" w:type="dxa"/>
            <w:tcBorders>
              <w:top w:val="none" w:sz="6" w:space="0" w:color="auto"/>
              <w:left w:val="none" w:sz="6" w:space="0" w:color="auto"/>
              <w:bottom w:val="none" w:sz="6" w:space="0" w:color="auto"/>
              <w:right w:val="none" w:sz="6" w:space="0" w:color="auto"/>
            </w:tcBorders>
          </w:tcPr>
          <w:p w14:paraId="35FA8D4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c>
          <w:tcPr>
            <w:tcW w:w="887" w:type="dxa"/>
            <w:tcBorders>
              <w:top w:val="none" w:sz="6" w:space="0" w:color="auto"/>
              <w:left w:val="none" w:sz="6" w:space="0" w:color="auto"/>
              <w:bottom w:val="none" w:sz="6" w:space="0" w:color="auto"/>
              <w:right w:val="none" w:sz="6" w:space="0" w:color="auto"/>
            </w:tcBorders>
          </w:tcPr>
          <w:p w14:paraId="680B1D9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7200</w:t>
            </w:r>
          </w:p>
        </w:tc>
        <w:tc>
          <w:tcPr>
            <w:tcW w:w="887" w:type="dxa"/>
            <w:tcBorders>
              <w:top w:val="none" w:sz="6" w:space="0" w:color="auto"/>
              <w:left w:val="none" w:sz="6" w:space="0" w:color="auto"/>
              <w:bottom w:val="none" w:sz="6" w:space="0" w:color="auto"/>
              <w:right w:val="none" w:sz="6" w:space="0" w:color="auto"/>
            </w:tcBorders>
          </w:tcPr>
          <w:p w14:paraId="0D7AC4D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887" w:type="dxa"/>
            <w:tcBorders>
              <w:top w:val="none" w:sz="6" w:space="0" w:color="auto"/>
              <w:left w:val="none" w:sz="6" w:space="0" w:color="auto"/>
              <w:bottom w:val="none" w:sz="6" w:space="0" w:color="auto"/>
              <w:right w:val="none" w:sz="6" w:space="0" w:color="auto"/>
            </w:tcBorders>
          </w:tcPr>
          <w:p w14:paraId="39DDE1D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c>
          <w:tcPr>
            <w:tcW w:w="887" w:type="dxa"/>
            <w:tcBorders>
              <w:top w:val="none" w:sz="6" w:space="0" w:color="auto"/>
              <w:left w:val="none" w:sz="6" w:space="0" w:color="auto"/>
              <w:bottom w:val="none" w:sz="6" w:space="0" w:color="auto"/>
              <w:right w:val="none" w:sz="6" w:space="0" w:color="auto"/>
            </w:tcBorders>
          </w:tcPr>
          <w:p w14:paraId="102DD35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887" w:type="dxa"/>
            <w:tcBorders>
              <w:top w:val="none" w:sz="6" w:space="0" w:color="auto"/>
              <w:left w:val="none" w:sz="6" w:space="0" w:color="auto"/>
              <w:bottom w:val="none" w:sz="6" w:space="0" w:color="auto"/>
              <w:right w:val="none" w:sz="6" w:space="0" w:color="auto"/>
            </w:tcBorders>
          </w:tcPr>
          <w:p w14:paraId="491283F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953" w:type="dxa"/>
            <w:tcBorders>
              <w:top w:val="none" w:sz="6" w:space="0" w:color="auto"/>
              <w:left w:val="none" w:sz="6" w:space="0" w:color="auto"/>
              <w:bottom w:val="none" w:sz="6" w:space="0" w:color="auto"/>
              <w:right w:val="none" w:sz="6" w:space="0" w:color="auto"/>
            </w:tcBorders>
          </w:tcPr>
          <w:p w14:paraId="665D1A6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953" w:type="dxa"/>
            <w:tcBorders>
              <w:top w:val="none" w:sz="6" w:space="0" w:color="auto"/>
              <w:left w:val="none" w:sz="6" w:space="0" w:color="auto"/>
              <w:bottom w:val="none" w:sz="6" w:space="0" w:color="auto"/>
              <w:right w:val="none" w:sz="6" w:space="0" w:color="auto"/>
            </w:tcBorders>
          </w:tcPr>
          <w:p w14:paraId="1CCBD24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r>
      <w:tr w:rsidR="00F26F01" w:rsidRPr="00C33834" w14:paraId="6FFB9378" w14:textId="77777777" w:rsidTr="00CE35D9">
        <w:tc>
          <w:tcPr>
            <w:tcW w:w="2129" w:type="dxa"/>
            <w:tcBorders>
              <w:top w:val="none" w:sz="6" w:space="0" w:color="auto"/>
              <w:left w:val="none" w:sz="6" w:space="0" w:color="auto"/>
              <w:bottom w:val="none" w:sz="6" w:space="0" w:color="auto"/>
              <w:right w:val="none" w:sz="6" w:space="0" w:color="auto"/>
            </w:tcBorders>
          </w:tcPr>
          <w:p w14:paraId="45CBAE8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Электропромышленность</w:t>
            </w:r>
          </w:p>
        </w:tc>
        <w:tc>
          <w:tcPr>
            <w:tcW w:w="887" w:type="dxa"/>
            <w:tcBorders>
              <w:top w:val="none" w:sz="6" w:space="0" w:color="auto"/>
              <w:left w:val="none" w:sz="6" w:space="0" w:color="auto"/>
              <w:bottom w:val="none" w:sz="6" w:space="0" w:color="auto"/>
              <w:right w:val="none" w:sz="6" w:space="0" w:color="auto"/>
            </w:tcBorders>
          </w:tcPr>
          <w:p w14:paraId="31F326F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c>
          <w:tcPr>
            <w:tcW w:w="887" w:type="dxa"/>
            <w:tcBorders>
              <w:top w:val="none" w:sz="6" w:space="0" w:color="auto"/>
              <w:left w:val="none" w:sz="6" w:space="0" w:color="auto"/>
              <w:bottom w:val="none" w:sz="6" w:space="0" w:color="auto"/>
              <w:right w:val="none" w:sz="6" w:space="0" w:color="auto"/>
            </w:tcBorders>
          </w:tcPr>
          <w:p w14:paraId="582BAFB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16150</w:t>
            </w:r>
          </w:p>
        </w:tc>
        <w:tc>
          <w:tcPr>
            <w:tcW w:w="887" w:type="dxa"/>
            <w:tcBorders>
              <w:top w:val="none" w:sz="6" w:space="0" w:color="auto"/>
              <w:left w:val="none" w:sz="6" w:space="0" w:color="auto"/>
              <w:bottom w:val="none" w:sz="6" w:space="0" w:color="auto"/>
              <w:right w:val="none" w:sz="6" w:space="0" w:color="auto"/>
            </w:tcBorders>
          </w:tcPr>
          <w:p w14:paraId="1F0110B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tc>
        <w:tc>
          <w:tcPr>
            <w:tcW w:w="887" w:type="dxa"/>
            <w:tcBorders>
              <w:top w:val="none" w:sz="6" w:space="0" w:color="auto"/>
              <w:left w:val="none" w:sz="6" w:space="0" w:color="auto"/>
              <w:bottom w:val="none" w:sz="6" w:space="0" w:color="auto"/>
              <w:right w:val="none" w:sz="6" w:space="0" w:color="auto"/>
            </w:tcBorders>
          </w:tcPr>
          <w:p w14:paraId="06EA30E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12030</w:t>
            </w:r>
          </w:p>
        </w:tc>
        <w:tc>
          <w:tcPr>
            <w:tcW w:w="887" w:type="dxa"/>
            <w:tcBorders>
              <w:top w:val="none" w:sz="6" w:space="0" w:color="auto"/>
              <w:left w:val="none" w:sz="6" w:space="0" w:color="auto"/>
              <w:bottom w:val="none" w:sz="6" w:space="0" w:color="auto"/>
              <w:right w:val="none" w:sz="6" w:space="0" w:color="auto"/>
            </w:tcBorders>
          </w:tcPr>
          <w:p w14:paraId="6162657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c>
          <w:tcPr>
            <w:tcW w:w="887" w:type="dxa"/>
            <w:tcBorders>
              <w:top w:val="none" w:sz="6" w:space="0" w:color="auto"/>
              <w:left w:val="none" w:sz="6" w:space="0" w:color="auto"/>
              <w:bottom w:val="none" w:sz="6" w:space="0" w:color="auto"/>
              <w:right w:val="none" w:sz="6" w:space="0" w:color="auto"/>
            </w:tcBorders>
          </w:tcPr>
          <w:p w14:paraId="16DB100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4450</w:t>
            </w:r>
          </w:p>
        </w:tc>
        <w:tc>
          <w:tcPr>
            <w:tcW w:w="953" w:type="dxa"/>
            <w:tcBorders>
              <w:top w:val="none" w:sz="6" w:space="0" w:color="auto"/>
              <w:left w:val="none" w:sz="6" w:space="0" w:color="auto"/>
              <w:bottom w:val="none" w:sz="6" w:space="0" w:color="auto"/>
              <w:right w:val="none" w:sz="6" w:space="0" w:color="auto"/>
            </w:tcBorders>
          </w:tcPr>
          <w:p w14:paraId="6D036E5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953" w:type="dxa"/>
            <w:tcBorders>
              <w:top w:val="none" w:sz="6" w:space="0" w:color="auto"/>
              <w:left w:val="none" w:sz="6" w:space="0" w:color="auto"/>
              <w:bottom w:val="none" w:sz="6" w:space="0" w:color="auto"/>
              <w:right w:val="none" w:sz="6" w:space="0" w:color="auto"/>
            </w:tcBorders>
          </w:tcPr>
          <w:p w14:paraId="37AC81C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3700</w:t>
            </w:r>
          </w:p>
        </w:tc>
      </w:tr>
      <w:tr w:rsidR="00F26F01" w:rsidRPr="00C33834" w14:paraId="323E0D89" w14:textId="77777777" w:rsidTr="00CE35D9">
        <w:tc>
          <w:tcPr>
            <w:tcW w:w="2129" w:type="dxa"/>
            <w:tcBorders>
              <w:top w:val="none" w:sz="6" w:space="0" w:color="auto"/>
              <w:left w:val="none" w:sz="6" w:space="0" w:color="auto"/>
              <w:bottom w:val="none" w:sz="6" w:space="0" w:color="auto"/>
              <w:right w:val="none" w:sz="6" w:space="0" w:color="auto"/>
            </w:tcBorders>
          </w:tcPr>
          <w:p w14:paraId="21555D2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Энергетика</w:t>
            </w:r>
          </w:p>
        </w:tc>
        <w:tc>
          <w:tcPr>
            <w:tcW w:w="887" w:type="dxa"/>
            <w:tcBorders>
              <w:top w:val="none" w:sz="6" w:space="0" w:color="auto"/>
              <w:left w:val="none" w:sz="6" w:space="0" w:color="auto"/>
              <w:bottom w:val="none" w:sz="6" w:space="0" w:color="auto"/>
              <w:right w:val="none" w:sz="6" w:space="0" w:color="auto"/>
            </w:tcBorders>
          </w:tcPr>
          <w:p w14:paraId="62E4677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887" w:type="dxa"/>
            <w:tcBorders>
              <w:top w:val="none" w:sz="6" w:space="0" w:color="auto"/>
              <w:left w:val="none" w:sz="6" w:space="0" w:color="auto"/>
              <w:bottom w:val="none" w:sz="6" w:space="0" w:color="auto"/>
              <w:right w:val="none" w:sz="6" w:space="0" w:color="auto"/>
            </w:tcBorders>
          </w:tcPr>
          <w:p w14:paraId="6F62B53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5750</w:t>
            </w:r>
          </w:p>
        </w:tc>
        <w:tc>
          <w:tcPr>
            <w:tcW w:w="887" w:type="dxa"/>
            <w:tcBorders>
              <w:top w:val="none" w:sz="6" w:space="0" w:color="auto"/>
              <w:left w:val="none" w:sz="6" w:space="0" w:color="auto"/>
              <w:bottom w:val="none" w:sz="6" w:space="0" w:color="auto"/>
              <w:right w:val="none" w:sz="6" w:space="0" w:color="auto"/>
            </w:tcBorders>
          </w:tcPr>
          <w:p w14:paraId="38D00A6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887" w:type="dxa"/>
            <w:tcBorders>
              <w:top w:val="none" w:sz="6" w:space="0" w:color="auto"/>
              <w:left w:val="none" w:sz="6" w:space="0" w:color="auto"/>
              <w:bottom w:val="none" w:sz="6" w:space="0" w:color="auto"/>
              <w:right w:val="none" w:sz="6" w:space="0" w:color="auto"/>
            </w:tcBorders>
          </w:tcPr>
          <w:p w14:paraId="202AF2A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tc>
        <w:tc>
          <w:tcPr>
            <w:tcW w:w="887" w:type="dxa"/>
            <w:tcBorders>
              <w:top w:val="none" w:sz="6" w:space="0" w:color="auto"/>
              <w:left w:val="none" w:sz="6" w:space="0" w:color="auto"/>
              <w:bottom w:val="none" w:sz="6" w:space="0" w:color="auto"/>
              <w:right w:val="none" w:sz="6" w:space="0" w:color="auto"/>
            </w:tcBorders>
          </w:tcPr>
          <w:p w14:paraId="2AAB81C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887" w:type="dxa"/>
            <w:tcBorders>
              <w:top w:val="none" w:sz="6" w:space="0" w:color="auto"/>
              <w:left w:val="none" w:sz="6" w:space="0" w:color="auto"/>
              <w:bottom w:val="none" w:sz="6" w:space="0" w:color="auto"/>
              <w:right w:val="none" w:sz="6" w:space="0" w:color="auto"/>
            </w:tcBorders>
          </w:tcPr>
          <w:p w14:paraId="109D8C7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tc>
        <w:tc>
          <w:tcPr>
            <w:tcW w:w="953" w:type="dxa"/>
            <w:tcBorders>
              <w:top w:val="none" w:sz="6" w:space="0" w:color="auto"/>
              <w:left w:val="none" w:sz="6" w:space="0" w:color="auto"/>
              <w:bottom w:val="none" w:sz="6" w:space="0" w:color="auto"/>
              <w:right w:val="none" w:sz="6" w:space="0" w:color="auto"/>
            </w:tcBorders>
          </w:tcPr>
          <w:p w14:paraId="0722E31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953" w:type="dxa"/>
            <w:tcBorders>
              <w:top w:val="none" w:sz="6" w:space="0" w:color="auto"/>
              <w:left w:val="none" w:sz="6" w:space="0" w:color="auto"/>
              <w:bottom w:val="none" w:sz="6" w:space="0" w:color="auto"/>
              <w:right w:val="none" w:sz="6" w:space="0" w:color="auto"/>
            </w:tcBorders>
          </w:tcPr>
          <w:p w14:paraId="606F8B4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tc>
      </w:tr>
      <w:tr w:rsidR="00F26F01" w:rsidRPr="00C33834" w14:paraId="760D140D" w14:textId="77777777" w:rsidTr="00CE35D9">
        <w:tc>
          <w:tcPr>
            <w:tcW w:w="2129" w:type="dxa"/>
            <w:tcBorders>
              <w:top w:val="none" w:sz="6" w:space="0" w:color="auto"/>
              <w:left w:val="none" w:sz="6" w:space="0" w:color="auto"/>
              <w:bottom w:val="none" w:sz="6" w:space="0" w:color="auto"/>
              <w:right w:val="none" w:sz="6" w:space="0" w:color="auto"/>
            </w:tcBorders>
          </w:tcPr>
          <w:p w14:paraId="119A213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Химическая промышленность</w:t>
            </w:r>
          </w:p>
        </w:tc>
        <w:tc>
          <w:tcPr>
            <w:tcW w:w="887" w:type="dxa"/>
            <w:tcBorders>
              <w:top w:val="none" w:sz="6" w:space="0" w:color="auto"/>
              <w:left w:val="none" w:sz="6" w:space="0" w:color="auto"/>
              <w:bottom w:val="none" w:sz="6" w:space="0" w:color="auto"/>
              <w:right w:val="none" w:sz="6" w:space="0" w:color="auto"/>
            </w:tcBorders>
          </w:tcPr>
          <w:p w14:paraId="60F898F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887" w:type="dxa"/>
            <w:tcBorders>
              <w:top w:val="none" w:sz="6" w:space="0" w:color="auto"/>
              <w:left w:val="none" w:sz="6" w:space="0" w:color="auto"/>
              <w:bottom w:val="none" w:sz="6" w:space="0" w:color="auto"/>
              <w:right w:val="none" w:sz="6" w:space="0" w:color="auto"/>
            </w:tcBorders>
          </w:tcPr>
          <w:p w14:paraId="3C1103B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2560</w:t>
            </w:r>
          </w:p>
        </w:tc>
        <w:tc>
          <w:tcPr>
            <w:tcW w:w="887" w:type="dxa"/>
            <w:tcBorders>
              <w:top w:val="none" w:sz="6" w:space="0" w:color="auto"/>
              <w:left w:val="none" w:sz="6" w:space="0" w:color="auto"/>
              <w:bottom w:val="none" w:sz="6" w:space="0" w:color="auto"/>
              <w:right w:val="none" w:sz="6" w:space="0" w:color="auto"/>
            </w:tcBorders>
          </w:tcPr>
          <w:p w14:paraId="73C9327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w:t>
            </w:r>
          </w:p>
        </w:tc>
        <w:tc>
          <w:tcPr>
            <w:tcW w:w="887" w:type="dxa"/>
            <w:tcBorders>
              <w:top w:val="none" w:sz="6" w:space="0" w:color="auto"/>
              <w:left w:val="none" w:sz="6" w:space="0" w:color="auto"/>
              <w:bottom w:val="none" w:sz="6" w:space="0" w:color="auto"/>
              <w:right w:val="none" w:sz="6" w:space="0" w:color="auto"/>
            </w:tcBorders>
          </w:tcPr>
          <w:p w14:paraId="08A2D48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2400</w:t>
            </w:r>
          </w:p>
        </w:tc>
        <w:tc>
          <w:tcPr>
            <w:tcW w:w="887" w:type="dxa"/>
            <w:tcBorders>
              <w:top w:val="none" w:sz="6" w:space="0" w:color="auto"/>
              <w:left w:val="none" w:sz="6" w:space="0" w:color="auto"/>
              <w:bottom w:val="none" w:sz="6" w:space="0" w:color="auto"/>
              <w:right w:val="none" w:sz="6" w:space="0" w:color="auto"/>
            </w:tcBorders>
          </w:tcPr>
          <w:p w14:paraId="69C0274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w:t>
            </w:r>
          </w:p>
        </w:tc>
        <w:tc>
          <w:tcPr>
            <w:tcW w:w="887" w:type="dxa"/>
            <w:tcBorders>
              <w:top w:val="none" w:sz="6" w:space="0" w:color="auto"/>
              <w:left w:val="none" w:sz="6" w:space="0" w:color="auto"/>
              <w:bottom w:val="none" w:sz="6" w:space="0" w:color="auto"/>
              <w:right w:val="none" w:sz="6" w:space="0" w:color="auto"/>
            </w:tcBorders>
          </w:tcPr>
          <w:p w14:paraId="0BAF4EF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2500</w:t>
            </w:r>
          </w:p>
        </w:tc>
        <w:tc>
          <w:tcPr>
            <w:tcW w:w="953" w:type="dxa"/>
            <w:tcBorders>
              <w:top w:val="none" w:sz="6" w:space="0" w:color="auto"/>
              <w:left w:val="none" w:sz="6" w:space="0" w:color="auto"/>
              <w:bottom w:val="none" w:sz="6" w:space="0" w:color="auto"/>
              <w:right w:val="none" w:sz="6" w:space="0" w:color="auto"/>
            </w:tcBorders>
          </w:tcPr>
          <w:p w14:paraId="5F745B5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tc>
        <w:tc>
          <w:tcPr>
            <w:tcW w:w="953" w:type="dxa"/>
            <w:tcBorders>
              <w:top w:val="none" w:sz="6" w:space="0" w:color="auto"/>
              <w:left w:val="none" w:sz="6" w:space="0" w:color="auto"/>
              <w:bottom w:val="none" w:sz="6" w:space="0" w:color="auto"/>
              <w:right w:val="none" w:sz="6" w:space="0" w:color="auto"/>
            </w:tcBorders>
          </w:tcPr>
          <w:p w14:paraId="0DE06EF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tc>
      </w:tr>
      <w:tr w:rsidR="00F26F01" w:rsidRPr="00C33834" w14:paraId="7BEF7489" w14:textId="77777777" w:rsidTr="00CE35D9">
        <w:tc>
          <w:tcPr>
            <w:tcW w:w="2129" w:type="dxa"/>
            <w:tcBorders>
              <w:top w:val="none" w:sz="6" w:space="0" w:color="auto"/>
              <w:left w:val="none" w:sz="6" w:space="0" w:color="auto"/>
              <w:bottom w:val="none" w:sz="6" w:space="0" w:color="auto"/>
              <w:right w:val="none" w:sz="6" w:space="0" w:color="auto"/>
            </w:tcBorders>
          </w:tcPr>
          <w:p w14:paraId="6EC7244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Резиновая промышленность</w:t>
            </w:r>
          </w:p>
        </w:tc>
        <w:tc>
          <w:tcPr>
            <w:tcW w:w="887" w:type="dxa"/>
            <w:tcBorders>
              <w:top w:val="none" w:sz="6" w:space="0" w:color="auto"/>
              <w:left w:val="none" w:sz="6" w:space="0" w:color="auto"/>
              <w:bottom w:val="none" w:sz="6" w:space="0" w:color="auto"/>
              <w:right w:val="none" w:sz="6" w:space="0" w:color="auto"/>
            </w:tcBorders>
          </w:tcPr>
          <w:p w14:paraId="68C7341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887" w:type="dxa"/>
            <w:tcBorders>
              <w:top w:val="none" w:sz="6" w:space="0" w:color="auto"/>
              <w:left w:val="none" w:sz="6" w:space="0" w:color="auto"/>
              <w:bottom w:val="none" w:sz="6" w:space="0" w:color="auto"/>
              <w:right w:val="none" w:sz="6" w:space="0" w:color="auto"/>
            </w:tcBorders>
          </w:tcPr>
          <w:p w14:paraId="3D2766F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tc>
        <w:tc>
          <w:tcPr>
            <w:tcW w:w="887" w:type="dxa"/>
            <w:tcBorders>
              <w:top w:val="none" w:sz="6" w:space="0" w:color="auto"/>
              <w:left w:val="none" w:sz="6" w:space="0" w:color="auto"/>
              <w:bottom w:val="none" w:sz="6" w:space="0" w:color="auto"/>
              <w:right w:val="none" w:sz="6" w:space="0" w:color="auto"/>
            </w:tcBorders>
          </w:tcPr>
          <w:p w14:paraId="2BA7276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887" w:type="dxa"/>
            <w:tcBorders>
              <w:top w:val="none" w:sz="6" w:space="0" w:color="auto"/>
              <w:left w:val="none" w:sz="6" w:space="0" w:color="auto"/>
              <w:bottom w:val="none" w:sz="6" w:space="0" w:color="auto"/>
              <w:right w:val="none" w:sz="6" w:space="0" w:color="auto"/>
            </w:tcBorders>
          </w:tcPr>
          <w:p w14:paraId="469F109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887" w:type="dxa"/>
            <w:tcBorders>
              <w:top w:val="none" w:sz="6" w:space="0" w:color="auto"/>
              <w:left w:val="none" w:sz="6" w:space="0" w:color="auto"/>
              <w:bottom w:val="none" w:sz="6" w:space="0" w:color="auto"/>
              <w:right w:val="none" w:sz="6" w:space="0" w:color="auto"/>
            </w:tcBorders>
          </w:tcPr>
          <w:p w14:paraId="5F4CC5A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887" w:type="dxa"/>
            <w:tcBorders>
              <w:top w:val="none" w:sz="6" w:space="0" w:color="auto"/>
              <w:left w:val="none" w:sz="6" w:space="0" w:color="auto"/>
              <w:bottom w:val="none" w:sz="6" w:space="0" w:color="auto"/>
              <w:right w:val="none" w:sz="6" w:space="0" w:color="auto"/>
            </w:tcBorders>
          </w:tcPr>
          <w:p w14:paraId="1F476C1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953" w:type="dxa"/>
            <w:tcBorders>
              <w:top w:val="none" w:sz="6" w:space="0" w:color="auto"/>
              <w:left w:val="none" w:sz="6" w:space="0" w:color="auto"/>
              <w:bottom w:val="none" w:sz="6" w:space="0" w:color="auto"/>
              <w:right w:val="none" w:sz="6" w:space="0" w:color="auto"/>
            </w:tcBorders>
          </w:tcPr>
          <w:p w14:paraId="120B633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53" w:type="dxa"/>
            <w:tcBorders>
              <w:top w:val="none" w:sz="6" w:space="0" w:color="auto"/>
              <w:left w:val="none" w:sz="6" w:space="0" w:color="auto"/>
              <w:bottom w:val="none" w:sz="6" w:space="0" w:color="auto"/>
              <w:right w:val="none" w:sz="6" w:space="0" w:color="auto"/>
            </w:tcBorders>
          </w:tcPr>
          <w:p w14:paraId="59E9DDD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10D31603" w14:textId="77777777" w:rsidTr="00CE35D9">
        <w:tc>
          <w:tcPr>
            <w:tcW w:w="2129" w:type="dxa"/>
            <w:tcBorders>
              <w:top w:val="none" w:sz="6" w:space="0" w:color="auto"/>
              <w:left w:val="none" w:sz="6" w:space="0" w:color="auto"/>
              <w:bottom w:val="none" w:sz="6" w:space="0" w:color="auto"/>
              <w:right w:val="none" w:sz="6" w:space="0" w:color="auto"/>
            </w:tcBorders>
          </w:tcPr>
          <w:p w14:paraId="2C56B54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Искусственное волокно</w:t>
            </w:r>
          </w:p>
        </w:tc>
        <w:tc>
          <w:tcPr>
            <w:tcW w:w="887" w:type="dxa"/>
            <w:tcBorders>
              <w:top w:val="none" w:sz="6" w:space="0" w:color="auto"/>
              <w:left w:val="none" w:sz="6" w:space="0" w:color="auto"/>
              <w:bottom w:val="none" w:sz="6" w:space="0" w:color="auto"/>
              <w:right w:val="none" w:sz="6" w:space="0" w:color="auto"/>
            </w:tcBorders>
          </w:tcPr>
          <w:p w14:paraId="1574B12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887" w:type="dxa"/>
            <w:tcBorders>
              <w:top w:val="none" w:sz="6" w:space="0" w:color="auto"/>
              <w:left w:val="none" w:sz="6" w:space="0" w:color="auto"/>
              <w:bottom w:val="none" w:sz="6" w:space="0" w:color="auto"/>
              <w:right w:val="none" w:sz="6" w:space="0" w:color="auto"/>
            </w:tcBorders>
          </w:tcPr>
          <w:p w14:paraId="38BD92B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887" w:type="dxa"/>
            <w:tcBorders>
              <w:top w:val="none" w:sz="6" w:space="0" w:color="auto"/>
              <w:left w:val="none" w:sz="6" w:space="0" w:color="auto"/>
              <w:bottom w:val="none" w:sz="6" w:space="0" w:color="auto"/>
              <w:right w:val="none" w:sz="6" w:space="0" w:color="auto"/>
            </w:tcBorders>
          </w:tcPr>
          <w:p w14:paraId="5BB1627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887" w:type="dxa"/>
            <w:tcBorders>
              <w:top w:val="none" w:sz="6" w:space="0" w:color="auto"/>
              <w:left w:val="none" w:sz="6" w:space="0" w:color="auto"/>
              <w:bottom w:val="none" w:sz="6" w:space="0" w:color="auto"/>
              <w:right w:val="none" w:sz="6" w:space="0" w:color="auto"/>
            </w:tcBorders>
          </w:tcPr>
          <w:p w14:paraId="3F1C85F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w:t>
            </w:r>
          </w:p>
        </w:tc>
        <w:tc>
          <w:tcPr>
            <w:tcW w:w="887" w:type="dxa"/>
            <w:tcBorders>
              <w:top w:val="none" w:sz="6" w:space="0" w:color="auto"/>
              <w:left w:val="none" w:sz="6" w:space="0" w:color="auto"/>
              <w:bottom w:val="none" w:sz="6" w:space="0" w:color="auto"/>
              <w:right w:val="none" w:sz="6" w:space="0" w:color="auto"/>
            </w:tcBorders>
          </w:tcPr>
          <w:p w14:paraId="444B464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16D479A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53" w:type="dxa"/>
            <w:tcBorders>
              <w:top w:val="none" w:sz="6" w:space="0" w:color="auto"/>
              <w:left w:val="none" w:sz="6" w:space="0" w:color="auto"/>
              <w:bottom w:val="none" w:sz="6" w:space="0" w:color="auto"/>
              <w:right w:val="none" w:sz="6" w:space="0" w:color="auto"/>
            </w:tcBorders>
          </w:tcPr>
          <w:p w14:paraId="704AA27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53" w:type="dxa"/>
            <w:tcBorders>
              <w:top w:val="none" w:sz="6" w:space="0" w:color="auto"/>
              <w:left w:val="none" w:sz="6" w:space="0" w:color="auto"/>
              <w:bottom w:val="none" w:sz="6" w:space="0" w:color="auto"/>
              <w:right w:val="none" w:sz="6" w:space="0" w:color="auto"/>
            </w:tcBorders>
          </w:tcPr>
          <w:p w14:paraId="7A46FFD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72AAE9E9" w14:textId="77777777" w:rsidTr="00CE35D9">
        <w:tc>
          <w:tcPr>
            <w:tcW w:w="2129" w:type="dxa"/>
            <w:tcBorders>
              <w:top w:val="none" w:sz="6" w:space="0" w:color="auto"/>
              <w:left w:val="none" w:sz="6" w:space="0" w:color="auto"/>
              <w:bottom w:val="none" w:sz="6" w:space="0" w:color="auto"/>
              <w:right w:val="none" w:sz="6" w:space="0" w:color="auto"/>
            </w:tcBorders>
          </w:tcPr>
          <w:p w14:paraId="0D00184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Военная промышленность</w:t>
            </w:r>
          </w:p>
        </w:tc>
        <w:tc>
          <w:tcPr>
            <w:tcW w:w="887" w:type="dxa"/>
            <w:tcBorders>
              <w:top w:val="none" w:sz="6" w:space="0" w:color="auto"/>
              <w:left w:val="none" w:sz="6" w:space="0" w:color="auto"/>
              <w:bottom w:val="none" w:sz="6" w:space="0" w:color="auto"/>
              <w:right w:val="none" w:sz="6" w:space="0" w:color="auto"/>
            </w:tcBorders>
          </w:tcPr>
          <w:p w14:paraId="57B0358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tc>
        <w:tc>
          <w:tcPr>
            <w:tcW w:w="887" w:type="dxa"/>
            <w:tcBorders>
              <w:top w:val="none" w:sz="6" w:space="0" w:color="auto"/>
              <w:left w:val="none" w:sz="6" w:space="0" w:color="auto"/>
              <w:bottom w:val="none" w:sz="6" w:space="0" w:color="auto"/>
              <w:right w:val="none" w:sz="6" w:space="0" w:color="auto"/>
            </w:tcBorders>
          </w:tcPr>
          <w:p w14:paraId="1E0379A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4440</w:t>
            </w:r>
          </w:p>
        </w:tc>
        <w:tc>
          <w:tcPr>
            <w:tcW w:w="887" w:type="dxa"/>
            <w:tcBorders>
              <w:top w:val="none" w:sz="6" w:space="0" w:color="auto"/>
              <w:left w:val="none" w:sz="6" w:space="0" w:color="auto"/>
              <w:bottom w:val="none" w:sz="6" w:space="0" w:color="auto"/>
              <w:right w:val="none" w:sz="6" w:space="0" w:color="auto"/>
            </w:tcBorders>
          </w:tcPr>
          <w:p w14:paraId="065ED92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887" w:type="dxa"/>
            <w:tcBorders>
              <w:top w:val="none" w:sz="6" w:space="0" w:color="auto"/>
              <w:left w:val="none" w:sz="6" w:space="0" w:color="auto"/>
              <w:bottom w:val="none" w:sz="6" w:space="0" w:color="auto"/>
              <w:right w:val="none" w:sz="6" w:space="0" w:color="auto"/>
            </w:tcBorders>
          </w:tcPr>
          <w:p w14:paraId="7FBE878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3500</w:t>
            </w:r>
          </w:p>
        </w:tc>
        <w:tc>
          <w:tcPr>
            <w:tcW w:w="887" w:type="dxa"/>
            <w:tcBorders>
              <w:top w:val="none" w:sz="6" w:space="0" w:color="auto"/>
              <w:left w:val="none" w:sz="6" w:space="0" w:color="auto"/>
              <w:bottom w:val="none" w:sz="6" w:space="0" w:color="auto"/>
              <w:right w:val="none" w:sz="6" w:space="0" w:color="auto"/>
            </w:tcBorders>
          </w:tcPr>
          <w:p w14:paraId="4B636E9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887" w:type="dxa"/>
            <w:tcBorders>
              <w:top w:val="none" w:sz="6" w:space="0" w:color="auto"/>
              <w:left w:val="none" w:sz="6" w:space="0" w:color="auto"/>
              <w:bottom w:val="none" w:sz="6" w:space="0" w:color="auto"/>
              <w:right w:val="none" w:sz="6" w:space="0" w:color="auto"/>
            </w:tcBorders>
          </w:tcPr>
          <w:p w14:paraId="4096513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2150</w:t>
            </w:r>
          </w:p>
        </w:tc>
        <w:tc>
          <w:tcPr>
            <w:tcW w:w="953" w:type="dxa"/>
            <w:tcBorders>
              <w:top w:val="none" w:sz="6" w:space="0" w:color="auto"/>
              <w:left w:val="none" w:sz="6" w:space="0" w:color="auto"/>
              <w:bottom w:val="none" w:sz="6" w:space="0" w:color="auto"/>
              <w:right w:val="none" w:sz="6" w:space="0" w:color="auto"/>
            </w:tcBorders>
          </w:tcPr>
          <w:p w14:paraId="61B6E4A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953" w:type="dxa"/>
            <w:tcBorders>
              <w:top w:val="none" w:sz="6" w:space="0" w:color="auto"/>
              <w:left w:val="none" w:sz="6" w:space="0" w:color="auto"/>
              <w:bottom w:val="none" w:sz="6" w:space="0" w:color="auto"/>
              <w:right w:val="none" w:sz="6" w:space="0" w:color="auto"/>
            </w:tcBorders>
          </w:tcPr>
          <w:p w14:paraId="406EB88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3700</w:t>
            </w:r>
          </w:p>
        </w:tc>
      </w:tr>
      <w:tr w:rsidR="00F26F01" w:rsidRPr="00C33834" w14:paraId="1915FD13" w14:textId="77777777" w:rsidTr="00CE35D9">
        <w:tc>
          <w:tcPr>
            <w:tcW w:w="2129" w:type="dxa"/>
            <w:tcBorders>
              <w:top w:val="none" w:sz="6" w:space="0" w:color="auto"/>
              <w:left w:val="none" w:sz="6" w:space="0" w:color="auto"/>
              <w:bottom w:val="none" w:sz="6" w:space="0" w:color="auto"/>
              <w:right w:val="none" w:sz="6" w:space="0" w:color="auto"/>
            </w:tcBorders>
          </w:tcPr>
          <w:p w14:paraId="21DC970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Строительная промышленность</w:t>
            </w:r>
          </w:p>
        </w:tc>
        <w:tc>
          <w:tcPr>
            <w:tcW w:w="887" w:type="dxa"/>
            <w:tcBorders>
              <w:top w:val="none" w:sz="6" w:space="0" w:color="auto"/>
              <w:left w:val="none" w:sz="6" w:space="0" w:color="auto"/>
              <w:bottom w:val="none" w:sz="6" w:space="0" w:color="auto"/>
              <w:right w:val="none" w:sz="6" w:space="0" w:color="auto"/>
            </w:tcBorders>
          </w:tcPr>
          <w:p w14:paraId="269B3D2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887" w:type="dxa"/>
            <w:tcBorders>
              <w:top w:val="none" w:sz="6" w:space="0" w:color="auto"/>
              <w:left w:val="none" w:sz="6" w:space="0" w:color="auto"/>
              <w:bottom w:val="none" w:sz="6" w:space="0" w:color="auto"/>
              <w:right w:val="none" w:sz="6" w:space="0" w:color="auto"/>
            </w:tcBorders>
          </w:tcPr>
          <w:p w14:paraId="2C8648A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4940</w:t>
            </w:r>
          </w:p>
        </w:tc>
        <w:tc>
          <w:tcPr>
            <w:tcW w:w="887" w:type="dxa"/>
            <w:tcBorders>
              <w:top w:val="none" w:sz="6" w:space="0" w:color="auto"/>
              <w:left w:val="none" w:sz="6" w:space="0" w:color="auto"/>
              <w:bottom w:val="none" w:sz="6" w:space="0" w:color="auto"/>
              <w:right w:val="none" w:sz="6" w:space="0" w:color="auto"/>
            </w:tcBorders>
          </w:tcPr>
          <w:p w14:paraId="369D103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887" w:type="dxa"/>
            <w:tcBorders>
              <w:top w:val="none" w:sz="6" w:space="0" w:color="auto"/>
              <w:left w:val="none" w:sz="6" w:space="0" w:color="auto"/>
              <w:bottom w:val="none" w:sz="6" w:space="0" w:color="auto"/>
              <w:right w:val="none" w:sz="6" w:space="0" w:color="auto"/>
            </w:tcBorders>
          </w:tcPr>
          <w:p w14:paraId="4283217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887" w:type="dxa"/>
            <w:tcBorders>
              <w:top w:val="none" w:sz="6" w:space="0" w:color="auto"/>
              <w:left w:val="none" w:sz="6" w:space="0" w:color="auto"/>
              <w:bottom w:val="none" w:sz="6" w:space="0" w:color="auto"/>
              <w:right w:val="none" w:sz="6" w:space="0" w:color="auto"/>
            </w:tcBorders>
          </w:tcPr>
          <w:p w14:paraId="3BA86B4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887" w:type="dxa"/>
            <w:tcBorders>
              <w:top w:val="none" w:sz="6" w:space="0" w:color="auto"/>
              <w:left w:val="none" w:sz="6" w:space="0" w:color="auto"/>
              <w:bottom w:val="none" w:sz="6" w:space="0" w:color="auto"/>
              <w:right w:val="none" w:sz="6" w:space="0" w:color="auto"/>
            </w:tcBorders>
          </w:tcPr>
          <w:p w14:paraId="4728B62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395</w:t>
            </w:r>
          </w:p>
        </w:tc>
        <w:tc>
          <w:tcPr>
            <w:tcW w:w="953" w:type="dxa"/>
            <w:tcBorders>
              <w:top w:val="none" w:sz="6" w:space="0" w:color="auto"/>
              <w:left w:val="none" w:sz="6" w:space="0" w:color="auto"/>
              <w:bottom w:val="none" w:sz="6" w:space="0" w:color="auto"/>
              <w:right w:val="none" w:sz="6" w:space="0" w:color="auto"/>
            </w:tcBorders>
          </w:tcPr>
          <w:p w14:paraId="7FE189F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953" w:type="dxa"/>
            <w:tcBorders>
              <w:top w:val="none" w:sz="6" w:space="0" w:color="auto"/>
              <w:left w:val="none" w:sz="6" w:space="0" w:color="auto"/>
              <w:bottom w:val="none" w:sz="6" w:space="0" w:color="auto"/>
              <w:right w:val="none" w:sz="6" w:space="0" w:color="auto"/>
            </w:tcBorders>
          </w:tcPr>
          <w:p w14:paraId="0A772D6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225</w:t>
            </w:r>
          </w:p>
        </w:tc>
      </w:tr>
      <w:tr w:rsidR="00F26F01" w:rsidRPr="00C33834" w14:paraId="11F54E6E" w14:textId="77777777" w:rsidTr="00CE35D9">
        <w:tc>
          <w:tcPr>
            <w:tcW w:w="2129" w:type="dxa"/>
            <w:tcBorders>
              <w:top w:val="none" w:sz="6" w:space="0" w:color="auto"/>
              <w:left w:val="none" w:sz="6" w:space="0" w:color="auto"/>
              <w:bottom w:val="none" w:sz="6" w:space="0" w:color="auto"/>
              <w:right w:val="none" w:sz="6" w:space="0" w:color="auto"/>
            </w:tcBorders>
          </w:tcPr>
          <w:p w14:paraId="7B9A72E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Текстильная</w:t>
            </w:r>
          </w:p>
        </w:tc>
        <w:tc>
          <w:tcPr>
            <w:tcW w:w="887" w:type="dxa"/>
            <w:tcBorders>
              <w:top w:val="none" w:sz="6" w:space="0" w:color="auto"/>
              <w:left w:val="none" w:sz="6" w:space="0" w:color="auto"/>
              <w:bottom w:val="none" w:sz="6" w:space="0" w:color="auto"/>
              <w:right w:val="none" w:sz="6" w:space="0" w:color="auto"/>
            </w:tcBorders>
          </w:tcPr>
          <w:p w14:paraId="6F37002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887" w:type="dxa"/>
            <w:tcBorders>
              <w:top w:val="none" w:sz="6" w:space="0" w:color="auto"/>
              <w:left w:val="none" w:sz="6" w:space="0" w:color="auto"/>
              <w:bottom w:val="none" w:sz="6" w:space="0" w:color="auto"/>
              <w:right w:val="none" w:sz="6" w:space="0" w:color="auto"/>
            </w:tcBorders>
          </w:tcPr>
          <w:p w14:paraId="2C0EACB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887" w:type="dxa"/>
            <w:tcBorders>
              <w:top w:val="none" w:sz="6" w:space="0" w:color="auto"/>
              <w:left w:val="none" w:sz="6" w:space="0" w:color="auto"/>
              <w:bottom w:val="none" w:sz="6" w:space="0" w:color="auto"/>
              <w:right w:val="none" w:sz="6" w:space="0" w:color="auto"/>
            </w:tcBorders>
          </w:tcPr>
          <w:p w14:paraId="4A04D7C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36D5B07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3EDFF5F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30ECB13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53" w:type="dxa"/>
            <w:tcBorders>
              <w:top w:val="none" w:sz="6" w:space="0" w:color="auto"/>
              <w:left w:val="none" w:sz="6" w:space="0" w:color="auto"/>
              <w:bottom w:val="none" w:sz="6" w:space="0" w:color="auto"/>
              <w:right w:val="none" w:sz="6" w:space="0" w:color="auto"/>
            </w:tcBorders>
          </w:tcPr>
          <w:p w14:paraId="03568D2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53" w:type="dxa"/>
            <w:tcBorders>
              <w:top w:val="none" w:sz="6" w:space="0" w:color="auto"/>
              <w:left w:val="none" w:sz="6" w:space="0" w:color="auto"/>
              <w:bottom w:val="none" w:sz="6" w:space="0" w:color="auto"/>
              <w:right w:val="none" w:sz="6" w:space="0" w:color="auto"/>
            </w:tcBorders>
          </w:tcPr>
          <w:p w14:paraId="2A72D22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45270090" w14:textId="77777777" w:rsidTr="00CE35D9">
        <w:tc>
          <w:tcPr>
            <w:tcW w:w="2129" w:type="dxa"/>
            <w:tcBorders>
              <w:top w:val="none" w:sz="6" w:space="0" w:color="auto"/>
              <w:left w:val="none" w:sz="6" w:space="0" w:color="auto"/>
              <w:bottom w:val="none" w:sz="6" w:space="0" w:color="auto"/>
              <w:right w:val="none" w:sz="6" w:space="0" w:color="auto"/>
            </w:tcBorders>
          </w:tcPr>
          <w:p w14:paraId="0ACE9C2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Кинопромышленность</w:t>
            </w:r>
          </w:p>
        </w:tc>
        <w:tc>
          <w:tcPr>
            <w:tcW w:w="887" w:type="dxa"/>
            <w:tcBorders>
              <w:top w:val="none" w:sz="6" w:space="0" w:color="auto"/>
              <w:left w:val="none" w:sz="6" w:space="0" w:color="auto"/>
              <w:bottom w:val="none" w:sz="6" w:space="0" w:color="auto"/>
              <w:right w:val="none" w:sz="6" w:space="0" w:color="auto"/>
            </w:tcBorders>
          </w:tcPr>
          <w:p w14:paraId="3348E42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887" w:type="dxa"/>
            <w:tcBorders>
              <w:top w:val="none" w:sz="6" w:space="0" w:color="auto"/>
              <w:left w:val="none" w:sz="6" w:space="0" w:color="auto"/>
              <w:bottom w:val="none" w:sz="6" w:space="0" w:color="auto"/>
              <w:right w:val="none" w:sz="6" w:space="0" w:color="auto"/>
            </w:tcBorders>
          </w:tcPr>
          <w:p w14:paraId="0E6656B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940</w:t>
            </w:r>
          </w:p>
        </w:tc>
        <w:tc>
          <w:tcPr>
            <w:tcW w:w="887" w:type="dxa"/>
            <w:tcBorders>
              <w:top w:val="none" w:sz="6" w:space="0" w:color="auto"/>
              <w:left w:val="none" w:sz="6" w:space="0" w:color="auto"/>
              <w:bottom w:val="none" w:sz="6" w:space="0" w:color="auto"/>
              <w:right w:val="none" w:sz="6" w:space="0" w:color="auto"/>
            </w:tcBorders>
          </w:tcPr>
          <w:p w14:paraId="0718443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48FE37F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5BB4EE5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47287EF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53" w:type="dxa"/>
            <w:tcBorders>
              <w:top w:val="none" w:sz="6" w:space="0" w:color="auto"/>
              <w:left w:val="none" w:sz="6" w:space="0" w:color="auto"/>
              <w:bottom w:val="none" w:sz="6" w:space="0" w:color="auto"/>
              <w:right w:val="none" w:sz="6" w:space="0" w:color="auto"/>
            </w:tcBorders>
          </w:tcPr>
          <w:p w14:paraId="779C5B4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53" w:type="dxa"/>
            <w:tcBorders>
              <w:top w:val="none" w:sz="6" w:space="0" w:color="auto"/>
              <w:left w:val="none" w:sz="6" w:space="0" w:color="auto"/>
              <w:bottom w:val="none" w:sz="6" w:space="0" w:color="auto"/>
              <w:right w:val="none" w:sz="6" w:space="0" w:color="auto"/>
            </w:tcBorders>
          </w:tcPr>
          <w:p w14:paraId="44672C9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4D4AB25" w14:textId="77777777" w:rsidTr="00CE35D9">
        <w:tc>
          <w:tcPr>
            <w:tcW w:w="2129" w:type="dxa"/>
            <w:tcBorders>
              <w:top w:val="none" w:sz="6" w:space="0" w:color="auto"/>
              <w:left w:val="none" w:sz="6" w:space="0" w:color="auto"/>
              <w:bottom w:val="none" w:sz="6" w:space="0" w:color="auto"/>
              <w:right w:val="none" w:sz="6" w:space="0" w:color="auto"/>
            </w:tcBorders>
          </w:tcPr>
          <w:p w14:paraId="044D6E6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Разные</w:t>
            </w:r>
          </w:p>
        </w:tc>
        <w:tc>
          <w:tcPr>
            <w:tcW w:w="887" w:type="dxa"/>
            <w:tcBorders>
              <w:top w:val="none" w:sz="6" w:space="0" w:color="auto"/>
              <w:left w:val="none" w:sz="6" w:space="0" w:color="auto"/>
              <w:bottom w:val="none" w:sz="6" w:space="0" w:color="auto"/>
              <w:right w:val="none" w:sz="6" w:space="0" w:color="auto"/>
            </w:tcBorders>
          </w:tcPr>
          <w:p w14:paraId="29903F7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887" w:type="dxa"/>
            <w:tcBorders>
              <w:top w:val="none" w:sz="6" w:space="0" w:color="auto"/>
              <w:left w:val="none" w:sz="6" w:space="0" w:color="auto"/>
              <w:bottom w:val="none" w:sz="6" w:space="0" w:color="auto"/>
              <w:right w:val="none" w:sz="6" w:space="0" w:color="auto"/>
            </w:tcBorders>
          </w:tcPr>
          <w:p w14:paraId="1DDF122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887" w:type="dxa"/>
            <w:tcBorders>
              <w:top w:val="none" w:sz="6" w:space="0" w:color="auto"/>
              <w:left w:val="none" w:sz="6" w:space="0" w:color="auto"/>
              <w:bottom w:val="none" w:sz="6" w:space="0" w:color="auto"/>
              <w:right w:val="none" w:sz="6" w:space="0" w:color="auto"/>
            </w:tcBorders>
          </w:tcPr>
          <w:p w14:paraId="11C8CAF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5F1F73A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54A45BD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4063BA8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53" w:type="dxa"/>
            <w:tcBorders>
              <w:top w:val="none" w:sz="6" w:space="0" w:color="auto"/>
              <w:left w:val="none" w:sz="6" w:space="0" w:color="auto"/>
              <w:bottom w:val="none" w:sz="6" w:space="0" w:color="auto"/>
              <w:right w:val="none" w:sz="6" w:space="0" w:color="auto"/>
            </w:tcBorders>
          </w:tcPr>
          <w:p w14:paraId="4CF7466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953" w:type="dxa"/>
            <w:tcBorders>
              <w:top w:val="none" w:sz="6" w:space="0" w:color="auto"/>
              <w:left w:val="none" w:sz="6" w:space="0" w:color="auto"/>
              <w:bottom w:val="none" w:sz="6" w:space="0" w:color="auto"/>
              <w:right w:val="none" w:sz="6" w:space="0" w:color="auto"/>
            </w:tcBorders>
          </w:tcPr>
          <w:p w14:paraId="4553A45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473F64D5" w14:textId="77777777" w:rsidTr="00CE35D9">
        <w:tc>
          <w:tcPr>
            <w:tcW w:w="2129" w:type="dxa"/>
            <w:tcBorders>
              <w:top w:val="none" w:sz="6" w:space="0" w:color="auto"/>
              <w:left w:val="none" w:sz="6" w:space="0" w:color="auto"/>
              <w:bottom w:val="none" w:sz="6" w:space="0" w:color="auto"/>
              <w:right w:val="none" w:sz="6" w:space="0" w:color="auto"/>
            </w:tcBorders>
          </w:tcPr>
          <w:p w14:paraId="5DB688D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887" w:type="dxa"/>
            <w:tcBorders>
              <w:top w:val="none" w:sz="6" w:space="0" w:color="auto"/>
              <w:left w:val="none" w:sz="6" w:space="0" w:color="auto"/>
              <w:bottom w:val="none" w:sz="6" w:space="0" w:color="auto"/>
              <w:right w:val="none" w:sz="6" w:space="0" w:color="auto"/>
            </w:tcBorders>
          </w:tcPr>
          <w:p w14:paraId="3EACE7F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124</w:t>
            </w:r>
          </w:p>
        </w:tc>
        <w:tc>
          <w:tcPr>
            <w:tcW w:w="887" w:type="dxa"/>
            <w:tcBorders>
              <w:top w:val="none" w:sz="6" w:space="0" w:color="auto"/>
              <w:left w:val="none" w:sz="6" w:space="0" w:color="auto"/>
              <w:bottom w:val="none" w:sz="6" w:space="0" w:color="auto"/>
              <w:right w:val="none" w:sz="6" w:space="0" w:color="auto"/>
            </w:tcBorders>
          </w:tcPr>
          <w:p w14:paraId="0A4ACCB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77330</w:t>
            </w:r>
          </w:p>
        </w:tc>
        <w:tc>
          <w:tcPr>
            <w:tcW w:w="887" w:type="dxa"/>
            <w:tcBorders>
              <w:top w:val="none" w:sz="6" w:space="0" w:color="auto"/>
              <w:left w:val="none" w:sz="6" w:space="0" w:color="auto"/>
              <w:bottom w:val="none" w:sz="6" w:space="0" w:color="auto"/>
              <w:right w:val="none" w:sz="6" w:space="0" w:color="auto"/>
            </w:tcBorders>
          </w:tcPr>
          <w:p w14:paraId="729D2D5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w:t>
            </w:r>
          </w:p>
        </w:tc>
        <w:tc>
          <w:tcPr>
            <w:tcW w:w="887" w:type="dxa"/>
            <w:tcBorders>
              <w:top w:val="none" w:sz="6" w:space="0" w:color="auto"/>
              <w:left w:val="none" w:sz="6" w:space="0" w:color="auto"/>
              <w:bottom w:val="none" w:sz="6" w:space="0" w:color="auto"/>
              <w:right w:val="none" w:sz="6" w:space="0" w:color="auto"/>
            </w:tcBorders>
          </w:tcPr>
          <w:p w14:paraId="12E296F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49500</w:t>
            </w:r>
          </w:p>
        </w:tc>
        <w:tc>
          <w:tcPr>
            <w:tcW w:w="887" w:type="dxa"/>
            <w:tcBorders>
              <w:top w:val="none" w:sz="6" w:space="0" w:color="auto"/>
              <w:left w:val="none" w:sz="6" w:space="0" w:color="auto"/>
              <w:bottom w:val="none" w:sz="6" w:space="0" w:color="auto"/>
              <w:right w:val="none" w:sz="6" w:space="0" w:color="auto"/>
            </w:tcBorders>
          </w:tcPr>
          <w:p w14:paraId="19C73CF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w:t>
            </w:r>
          </w:p>
        </w:tc>
        <w:tc>
          <w:tcPr>
            <w:tcW w:w="887" w:type="dxa"/>
            <w:tcBorders>
              <w:top w:val="none" w:sz="6" w:space="0" w:color="auto"/>
              <w:left w:val="none" w:sz="6" w:space="0" w:color="auto"/>
              <w:bottom w:val="none" w:sz="6" w:space="0" w:color="auto"/>
              <w:right w:val="none" w:sz="6" w:space="0" w:color="auto"/>
            </w:tcBorders>
          </w:tcPr>
          <w:p w14:paraId="0B7A3CB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26855</w:t>
            </w:r>
          </w:p>
        </w:tc>
        <w:tc>
          <w:tcPr>
            <w:tcW w:w="953" w:type="dxa"/>
            <w:tcBorders>
              <w:top w:val="none" w:sz="6" w:space="0" w:color="auto"/>
              <w:left w:val="none" w:sz="6" w:space="0" w:color="auto"/>
              <w:bottom w:val="none" w:sz="6" w:space="0" w:color="auto"/>
              <w:right w:val="none" w:sz="6" w:space="0" w:color="auto"/>
            </w:tcBorders>
          </w:tcPr>
          <w:p w14:paraId="6B77739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953" w:type="dxa"/>
            <w:tcBorders>
              <w:top w:val="none" w:sz="6" w:space="0" w:color="auto"/>
              <w:left w:val="none" w:sz="6" w:space="0" w:color="auto"/>
              <w:bottom w:val="none" w:sz="6" w:space="0" w:color="auto"/>
              <w:right w:val="none" w:sz="6" w:space="0" w:color="auto"/>
            </w:tcBorders>
          </w:tcPr>
          <w:p w14:paraId="609B775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24190</w:t>
            </w:r>
          </w:p>
        </w:tc>
      </w:tr>
    </w:tbl>
    <w:p w14:paraId="660C19B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из этой таблицы видно, что наряду с сокращением количества действующих договоров снижается и их стоимость: с 77330 тыс. руб. на 1.I.1931 г. до 26855 тыс. на 1.I.1933 г. и 24190 тыс. на 1.XII.1933 г.</w:t>
      </w:r>
    </w:p>
    <w:p w14:paraId="79446A1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своему внутреннему содержанию привлечение иностранного опыта может быть разбито на следующие 4 основных этапа: 1?й этап — проектирование отдельных предприятий, 2?й этап — строительство этих предприятий и организация производства, 3?й этап — интенсивное изучение методов производства и технологических процессов и, наконец, 4?й этап, переходящий на 2-ю пятилетку, — наладка и освоение новых производств на наших предприятиях.</w:t>
      </w:r>
    </w:p>
    <w:p w14:paraId="50A7971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Резкое снижение количества действующих договоров за последние 3 года объясняется следующими причинами:</w:t>
      </w:r>
    </w:p>
    <w:p w14:paraId="485BAB1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Ростом отечественной техники и созданием собственных квалифицированных кадров, что дало нам возможность не продлевать на дальнейшие сроки те договора, которые в течение отчетного периода заканчивали нормальные сроки своего действия.</w:t>
      </w:r>
    </w:p>
    <w:p w14:paraId="7FC050F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Тщательное практическое обследование в 1932 и 33 гг. на предприятиях состояния использования действовавших договоров установило необходимость досрочного расторжения значительного количества дорогостоящих в валюте договоров, заключенных до 1931 г. вследствие или малой их эффективности (Гумбольдт, Ман-Ридингер, Кебер, Саутвестерн, Келлен, Штраубэ, Пасбург и Блок и др.), или заведомо недобросовестного отношения к выполнению договоров со стороны самих фирм (Бьютаст, Фрейлих и Клюпфель, Карборундум, Дейтц, Гибс и др.).</w:t>
      </w:r>
    </w:p>
    <w:p w14:paraId="0FF0423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Ряд дорогостоящих договоров, также заключенных до 1931 г., срок действия коих заканчивался во 2?й пятилетке, подлежали досрочному расторжению в силу того, что сроки действия договоров не были в достаточной степени увязаны со сроками и планами строительства новых заводов и предприятий (Стюарт, Робертс и Шеффер, С.К.Ф., Аллен-Гарсиа и др.).</w:t>
      </w:r>
    </w:p>
    <w:p w14:paraId="0F283FE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Ряд договоров был досрочно прекращен также вследствие несоответствия фирм и невозможности выполнения ими нужного нам объема техсодействия (Макки, Нитрит, Когорн и т. д.). Ряд фирм оказались авантюристическими, что вызвало также досрочное расторжение договоров (Стик-Обур, Макдональд, Брандт, Рюккайзер и др.).</w:t>
      </w:r>
    </w:p>
    <w:p w14:paraId="1627215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В ряде случаев пришлось досрочно отказаться от дорогостоящих услуг инофирм вследствие невозможности целесообразно и своевременно использовать их технический опыт и данные ввиду ограниченности наших производственных возможностей (Дженераль-Электрик, Дейч-Верфь).</w:t>
      </w:r>
    </w:p>
    <w:p w14:paraId="7636931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Некоторые договора были досрочно расторгнуты вследствие их относительно быстрого полного освоения и наших собственных достижений, которые перекрывали опыт и возможности инофирм (Казале, Борзиг, Крупп-Грузонверк, Ирвинг, Фольмар, Любек, Эрхард-Земмер, Суари-де-Страсбург Тесафи).</w:t>
      </w:r>
    </w:p>
    <w:p w14:paraId="26B6CC8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Нижепомещаемая таблица дает сводку досрочно расторгнутых за отчетный период договоров, причем видно, что это расторжение дало нам возможность реально сэкономить (уменьшить наши валютные обязательства, которые мы должны были выполнить по договорам техпомощи) свыше 16000000 золотых рублей. Нужно также отметить, что эту работу, благодаря тщательной подготовке, удалось проделать без единого крупного процесса заграницей, во враждебных к нам, как правило, третейских судах.</w:t>
      </w:r>
    </w:p>
    <w:p w14:paraId="4DD2115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Проделанная работа по сокращению договоров техпомощи имела громадное значение также в том смысле, что прекратив связь с перечисленными фирмами, она заставила работников тяжелой промышленности самостоятельно и успешно изыскивать разрешение технических проблем и создавать свои конструкторские кадры, в особенности по новым производствам. Это имеет особое значение для тех отраслей промышленности, предприятия которых были построены в американских масштабах, а техсодействие и оборудование мы получили от европейских фирм, которые сами не имели опыта постройки и наладки производства в предприятиях такого масштаба.</w:t>
      </w:r>
    </w:p>
    <w:tbl>
      <w:tblPr>
        <w:tblW w:w="0" w:type="auto"/>
        <w:tblLayout w:type="fixed"/>
        <w:tblCellMar>
          <w:left w:w="0" w:type="dxa"/>
          <w:right w:w="0" w:type="dxa"/>
        </w:tblCellMar>
        <w:tblLook w:val="0000" w:firstRow="0" w:lastRow="0" w:firstColumn="0" w:lastColumn="0" w:noHBand="0" w:noVBand="0"/>
      </w:tblPr>
      <w:tblGrid>
        <w:gridCol w:w="1007"/>
        <w:gridCol w:w="1502"/>
        <w:gridCol w:w="1078"/>
        <w:gridCol w:w="1219"/>
        <w:gridCol w:w="989"/>
        <w:gridCol w:w="636"/>
        <w:gridCol w:w="636"/>
        <w:gridCol w:w="353"/>
      </w:tblGrid>
      <w:tr w:rsidR="00F26F01" w:rsidRPr="00C33834" w14:paraId="293B3D12" w14:textId="77777777" w:rsidTr="003628CD">
        <w:tc>
          <w:tcPr>
            <w:tcW w:w="1007" w:type="dxa"/>
            <w:tcBorders>
              <w:top w:val="single" w:sz="4" w:space="0" w:color="auto"/>
              <w:left w:val="single" w:sz="4" w:space="0" w:color="auto"/>
              <w:bottom w:val="single" w:sz="4" w:space="0" w:color="auto"/>
              <w:right w:val="single" w:sz="4" w:space="0" w:color="auto"/>
            </w:tcBorders>
          </w:tcPr>
          <w:p w14:paraId="0EF11C5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Организация</w:t>
            </w:r>
          </w:p>
        </w:tc>
        <w:tc>
          <w:tcPr>
            <w:tcW w:w="1502" w:type="dxa"/>
            <w:tcBorders>
              <w:top w:val="single" w:sz="4" w:space="0" w:color="auto"/>
              <w:left w:val="single" w:sz="4" w:space="0" w:color="auto"/>
              <w:bottom w:val="single" w:sz="4" w:space="0" w:color="auto"/>
              <w:right w:val="single" w:sz="4" w:space="0" w:color="auto"/>
            </w:tcBorders>
          </w:tcPr>
          <w:p w14:paraId="52D808B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Фирма</w:t>
            </w:r>
          </w:p>
        </w:tc>
        <w:tc>
          <w:tcPr>
            <w:tcW w:w="1078" w:type="dxa"/>
            <w:tcBorders>
              <w:top w:val="single" w:sz="4" w:space="0" w:color="auto"/>
              <w:left w:val="single" w:sz="4" w:space="0" w:color="auto"/>
              <w:bottom w:val="single" w:sz="4" w:space="0" w:color="auto"/>
              <w:right w:val="single" w:sz="4" w:space="0" w:color="auto"/>
            </w:tcBorders>
          </w:tcPr>
          <w:p w14:paraId="44D45F8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Когда заключен</w:t>
            </w:r>
          </w:p>
        </w:tc>
        <w:tc>
          <w:tcPr>
            <w:tcW w:w="1219" w:type="dxa"/>
            <w:tcBorders>
              <w:top w:val="single" w:sz="4" w:space="0" w:color="auto"/>
              <w:left w:val="single" w:sz="4" w:space="0" w:color="auto"/>
              <w:bottom w:val="single" w:sz="4" w:space="0" w:color="auto"/>
              <w:right w:val="single" w:sz="4" w:space="0" w:color="auto"/>
            </w:tcBorders>
          </w:tcPr>
          <w:p w14:paraId="2260A2B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Когда расторгнут</w:t>
            </w:r>
          </w:p>
        </w:tc>
        <w:tc>
          <w:tcPr>
            <w:tcW w:w="989" w:type="dxa"/>
            <w:gridSpan w:val="4"/>
            <w:tcBorders>
              <w:top w:val="single" w:sz="4" w:space="0" w:color="auto"/>
              <w:left w:val="single" w:sz="4" w:space="0" w:color="auto"/>
              <w:bottom w:val="single" w:sz="4" w:space="0" w:color="auto"/>
              <w:right w:val="single" w:sz="4" w:space="0" w:color="auto"/>
            </w:tcBorders>
          </w:tcPr>
          <w:p w14:paraId="704F31E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Экономия в тыс. руб.</w:t>
            </w:r>
          </w:p>
        </w:tc>
      </w:tr>
      <w:tr w:rsidR="00F26F01" w:rsidRPr="00C33834" w14:paraId="6BF7DC94" w14:textId="77777777" w:rsidTr="003628CD">
        <w:tc>
          <w:tcPr>
            <w:tcW w:w="1007" w:type="dxa"/>
            <w:tcBorders>
              <w:top w:val="single" w:sz="4" w:space="0" w:color="auto"/>
              <w:left w:val="single" w:sz="4" w:space="0" w:color="auto"/>
              <w:bottom w:val="single" w:sz="4" w:space="0" w:color="auto"/>
              <w:right w:val="single" w:sz="4" w:space="0" w:color="auto"/>
            </w:tcBorders>
          </w:tcPr>
          <w:p w14:paraId="60A2ABA3"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1502" w:type="dxa"/>
            <w:tcBorders>
              <w:top w:val="single" w:sz="4" w:space="0" w:color="auto"/>
              <w:left w:val="single" w:sz="4" w:space="0" w:color="auto"/>
              <w:bottom w:val="single" w:sz="4" w:space="0" w:color="auto"/>
              <w:right w:val="single" w:sz="4" w:space="0" w:color="auto"/>
            </w:tcBorders>
          </w:tcPr>
          <w:p w14:paraId="5B9F6CB9"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1078" w:type="dxa"/>
            <w:tcBorders>
              <w:top w:val="single" w:sz="4" w:space="0" w:color="auto"/>
              <w:left w:val="single" w:sz="4" w:space="0" w:color="auto"/>
              <w:bottom w:val="single" w:sz="4" w:space="0" w:color="auto"/>
              <w:right w:val="single" w:sz="4" w:space="0" w:color="auto"/>
            </w:tcBorders>
          </w:tcPr>
          <w:p w14:paraId="0E1ACD40"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1219" w:type="dxa"/>
            <w:tcBorders>
              <w:top w:val="single" w:sz="4" w:space="0" w:color="auto"/>
              <w:left w:val="single" w:sz="4" w:space="0" w:color="auto"/>
              <w:bottom w:val="single" w:sz="4" w:space="0" w:color="auto"/>
              <w:right w:val="single" w:sz="4" w:space="0" w:color="auto"/>
            </w:tcBorders>
          </w:tcPr>
          <w:p w14:paraId="3540D423"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989" w:type="dxa"/>
            <w:tcBorders>
              <w:top w:val="single" w:sz="4" w:space="0" w:color="auto"/>
              <w:left w:val="single" w:sz="4" w:space="0" w:color="auto"/>
              <w:bottom w:val="single" w:sz="4" w:space="0" w:color="auto"/>
              <w:right w:val="single" w:sz="4" w:space="0" w:color="auto"/>
            </w:tcBorders>
          </w:tcPr>
          <w:p w14:paraId="13170BE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1.I.1932 г.</w:t>
            </w:r>
          </w:p>
        </w:tc>
        <w:tc>
          <w:tcPr>
            <w:tcW w:w="636" w:type="dxa"/>
            <w:tcBorders>
              <w:top w:val="single" w:sz="4" w:space="0" w:color="auto"/>
              <w:left w:val="single" w:sz="4" w:space="0" w:color="auto"/>
              <w:bottom w:val="single" w:sz="4" w:space="0" w:color="auto"/>
              <w:right w:val="single" w:sz="4" w:space="0" w:color="auto"/>
            </w:tcBorders>
          </w:tcPr>
          <w:p w14:paraId="763121F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1932 г.</w:t>
            </w:r>
          </w:p>
        </w:tc>
        <w:tc>
          <w:tcPr>
            <w:tcW w:w="636" w:type="dxa"/>
            <w:tcBorders>
              <w:top w:val="single" w:sz="4" w:space="0" w:color="auto"/>
              <w:left w:val="single" w:sz="4" w:space="0" w:color="auto"/>
              <w:bottom w:val="single" w:sz="4" w:space="0" w:color="auto"/>
              <w:right w:val="single" w:sz="4" w:space="0" w:color="auto"/>
            </w:tcBorders>
          </w:tcPr>
          <w:p w14:paraId="55F0FAA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w:t>
            </w:r>
          </w:p>
        </w:tc>
        <w:tc>
          <w:tcPr>
            <w:tcW w:w="353" w:type="dxa"/>
            <w:tcBorders>
              <w:top w:val="single" w:sz="4" w:space="0" w:color="auto"/>
              <w:left w:val="single" w:sz="4" w:space="0" w:color="auto"/>
              <w:bottom w:val="single" w:sz="4" w:space="0" w:color="auto"/>
              <w:right w:val="single" w:sz="4" w:space="0" w:color="auto"/>
            </w:tcBorders>
          </w:tcPr>
          <w:p w14:paraId="18CC2D7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r>
      <w:tr w:rsidR="00F26F01" w:rsidRPr="00C33834" w14:paraId="0975663F" w14:textId="77777777" w:rsidTr="003628CD">
        <w:tc>
          <w:tcPr>
            <w:tcW w:w="1007" w:type="dxa"/>
            <w:tcBorders>
              <w:top w:val="single" w:sz="4" w:space="0" w:color="auto"/>
              <w:left w:val="single" w:sz="4" w:space="0" w:color="auto"/>
              <w:bottom w:val="single" w:sz="4" w:space="0" w:color="auto"/>
              <w:right w:val="single" w:sz="4" w:space="0" w:color="auto"/>
            </w:tcBorders>
          </w:tcPr>
          <w:p w14:paraId="1ED6112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502" w:type="dxa"/>
            <w:tcBorders>
              <w:top w:val="single" w:sz="4" w:space="0" w:color="auto"/>
              <w:left w:val="single" w:sz="4" w:space="0" w:color="auto"/>
              <w:bottom w:val="single" w:sz="4" w:space="0" w:color="auto"/>
              <w:right w:val="single" w:sz="4" w:space="0" w:color="auto"/>
            </w:tcBorders>
          </w:tcPr>
          <w:p w14:paraId="155BE01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1078" w:type="dxa"/>
            <w:tcBorders>
              <w:top w:val="single" w:sz="4" w:space="0" w:color="auto"/>
              <w:left w:val="single" w:sz="4" w:space="0" w:color="auto"/>
              <w:bottom w:val="single" w:sz="4" w:space="0" w:color="auto"/>
              <w:right w:val="single" w:sz="4" w:space="0" w:color="auto"/>
            </w:tcBorders>
          </w:tcPr>
          <w:p w14:paraId="00B1195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1219" w:type="dxa"/>
            <w:tcBorders>
              <w:top w:val="single" w:sz="4" w:space="0" w:color="auto"/>
              <w:left w:val="single" w:sz="4" w:space="0" w:color="auto"/>
              <w:bottom w:val="single" w:sz="4" w:space="0" w:color="auto"/>
              <w:right w:val="single" w:sz="4" w:space="0" w:color="auto"/>
            </w:tcBorders>
          </w:tcPr>
          <w:p w14:paraId="2526EF6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989" w:type="dxa"/>
            <w:tcBorders>
              <w:top w:val="single" w:sz="4" w:space="0" w:color="auto"/>
              <w:left w:val="single" w:sz="4" w:space="0" w:color="auto"/>
              <w:bottom w:val="single" w:sz="4" w:space="0" w:color="auto"/>
              <w:right w:val="single" w:sz="4" w:space="0" w:color="auto"/>
            </w:tcBorders>
          </w:tcPr>
          <w:p w14:paraId="61BB54D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636" w:type="dxa"/>
            <w:tcBorders>
              <w:top w:val="single" w:sz="4" w:space="0" w:color="auto"/>
              <w:left w:val="single" w:sz="4" w:space="0" w:color="auto"/>
              <w:bottom w:val="single" w:sz="4" w:space="0" w:color="auto"/>
              <w:right w:val="single" w:sz="4" w:space="0" w:color="auto"/>
            </w:tcBorders>
          </w:tcPr>
          <w:p w14:paraId="6AB22B8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636" w:type="dxa"/>
            <w:tcBorders>
              <w:top w:val="single" w:sz="4" w:space="0" w:color="auto"/>
              <w:left w:val="single" w:sz="4" w:space="0" w:color="auto"/>
              <w:bottom w:val="single" w:sz="4" w:space="0" w:color="auto"/>
              <w:right w:val="single" w:sz="4" w:space="0" w:color="auto"/>
            </w:tcBorders>
          </w:tcPr>
          <w:p w14:paraId="503BFE5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c>
          <w:tcPr>
            <w:tcW w:w="353" w:type="dxa"/>
            <w:tcBorders>
              <w:top w:val="single" w:sz="4" w:space="0" w:color="auto"/>
              <w:left w:val="single" w:sz="4" w:space="0" w:color="auto"/>
              <w:bottom w:val="single" w:sz="4" w:space="0" w:color="auto"/>
              <w:right w:val="single" w:sz="4" w:space="0" w:color="auto"/>
            </w:tcBorders>
          </w:tcPr>
          <w:p w14:paraId="2898D02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r>
      <w:tr w:rsidR="00F26F01" w:rsidRPr="00C33834" w14:paraId="4764F4A9" w14:textId="77777777" w:rsidTr="003628CD">
        <w:tc>
          <w:tcPr>
            <w:tcW w:w="1007" w:type="dxa"/>
            <w:tcBorders>
              <w:top w:val="single" w:sz="4" w:space="0" w:color="auto"/>
              <w:left w:val="single" w:sz="4" w:space="0" w:color="auto"/>
              <w:bottom w:val="single" w:sz="4" w:space="0" w:color="auto"/>
              <w:right w:val="single" w:sz="4" w:space="0" w:color="auto"/>
            </w:tcBorders>
          </w:tcPr>
          <w:p w14:paraId="77E033B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ВОМТ</w:t>
            </w:r>
          </w:p>
        </w:tc>
        <w:tc>
          <w:tcPr>
            <w:tcW w:w="1502" w:type="dxa"/>
            <w:tcBorders>
              <w:top w:val="single" w:sz="4" w:space="0" w:color="auto"/>
              <w:left w:val="single" w:sz="4" w:space="0" w:color="auto"/>
              <w:bottom w:val="single" w:sz="4" w:space="0" w:color="auto"/>
              <w:right w:val="single" w:sz="4" w:space="0" w:color="auto"/>
            </w:tcBorders>
          </w:tcPr>
          <w:p w14:paraId="6F2CA92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Гумбольд</w:t>
            </w:r>
          </w:p>
        </w:tc>
        <w:tc>
          <w:tcPr>
            <w:tcW w:w="1078" w:type="dxa"/>
            <w:tcBorders>
              <w:top w:val="single" w:sz="4" w:space="0" w:color="auto"/>
              <w:left w:val="single" w:sz="4" w:space="0" w:color="auto"/>
              <w:bottom w:val="single" w:sz="4" w:space="0" w:color="auto"/>
              <w:right w:val="single" w:sz="4" w:space="0" w:color="auto"/>
            </w:tcBorders>
          </w:tcPr>
          <w:p w14:paraId="1F6132E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6EEB832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5C12DC2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5A93FF7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210</w:t>
            </w:r>
          </w:p>
        </w:tc>
        <w:tc>
          <w:tcPr>
            <w:tcW w:w="636" w:type="dxa"/>
            <w:tcBorders>
              <w:top w:val="single" w:sz="4" w:space="0" w:color="auto"/>
              <w:left w:val="single" w:sz="4" w:space="0" w:color="auto"/>
              <w:bottom w:val="single" w:sz="4" w:space="0" w:color="auto"/>
              <w:right w:val="single" w:sz="4" w:space="0" w:color="auto"/>
            </w:tcBorders>
          </w:tcPr>
          <w:p w14:paraId="7ABC160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1CA6D5C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210</w:t>
            </w:r>
          </w:p>
        </w:tc>
      </w:tr>
      <w:tr w:rsidR="00F26F01" w:rsidRPr="00C33834" w14:paraId="40CAC30A" w14:textId="77777777" w:rsidTr="003628CD">
        <w:tc>
          <w:tcPr>
            <w:tcW w:w="1007" w:type="dxa"/>
            <w:tcBorders>
              <w:top w:val="single" w:sz="4" w:space="0" w:color="auto"/>
              <w:left w:val="single" w:sz="4" w:space="0" w:color="auto"/>
              <w:bottom w:val="single" w:sz="4" w:space="0" w:color="auto"/>
              <w:right w:val="single" w:sz="4" w:space="0" w:color="auto"/>
            </w:tcBorders>
          </w:tcPr>
          <w:p w14:paraId="070AD36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ВАТО</w:t>
            </w:r>
          </w:p>
        </w:tc>
        <w:tc>
          <w:tcPr>
            <w:tcW w:w="1502" w:type="dxa"/>
            <w:tcBorders>
              <w:top w:val="single" w:sz="4" w:space="0" w:color="auto"/>
              <w:left w:val="single" w:sz="4" w:space="0" w:color="auto"/>
              <w:bottom w:val="single" w:sz="4" w:space="0" w:color="auto"/>
              <w:right w:val="single" w:sz="4" w:space="0" w:color="auto"/>
            </w:tcBorders>
          </w:tcPr>
          <w:p w14:paraId="455D18B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С.К.Ф.</w:t>
            </w:r>
          </w:p>
        </w:tc>
        <w:tc>
          <w:tcPr>
            <w:tcW w:w="1078" w:type="dxa"/>
            <w:tcBorders>
              <w:top w:val="single" w:sz="4" w:space="0" w:color="auto"/>
              <w:left w:val="single" w:sz="4" w:space="0" w:color="auto"/>
              <w:bottom w:val="single" w:sz="4" w:space="0" w:color="auto"/>
              <w:right w:val="single" w:sz="4" w:space="0" w:color="auto"/>
            </w:tcBorders>
          </w:tcPr>
          <w:p w14:paraId="1F8A1FD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10F347A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6010AA6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7A654DD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540</w:t>
            </w:r>
          </w:p>
        </w:tc>
        <w:tc>
          <w:tcPr>
            <w:tcW w:w="636" w:type="dxa"/>
            <w:tcBorders>
              <w:top w:val="single" w:sz="4" w:space="0" w:color="auto"/>
              <w:left w:val="single" w:sz="4" w:space="0" w:color="auto"/>
              <w:bottom w:val="single" w:sz="4" w:space="0" w:color="auto"/>
              <w:right w:val="single" w:sz="4" w:space="0" w:color="auto"/>
            </w:tcBorders>
          </w:tcPr>
          <w:p w14:paraId="1B67FB9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7F2B723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540</w:t>
            </w:r>
          </w:p>
        </w:tc>
      </w:tr>
      <w:tr w:rsidR="00F26F01" w:rsidRPr="00C33834" w14:paraId="5AE8AE19" w14:textId="77777777" w:rsidTr="003628CD">
        <w:tc>
          <w:tcPr>
            <w:tcW w:w="1007" w:type="dxa"/>
            <w:tcBorders>
              <w:top w:val="single" w:sz="4" w:space="0" w:color="auto"/>
              <w:left w:val="single" w:sz="4" w:space="0" w:color="auto"/>
              <w:bottom w:val="single" w:sz="4" w:space="0" w:color="auto"/>
              <w:right w:val="single" w:sz="4" w:space="0" w:color="auto"/>
            </w:tcBorders>
          </w:tcPr>
          <w:p w14:paraId="3DA91CB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Уголь</w:t>
            </w:r>
          </w:p>
        </w:tc>
        <w:tc>
          <w:tcPr>
            <w:tcW w:w="1502" w:type="dxa"/>
            <w:tcBorders>
              <w:top w:val="single" w:sz="4" w:space="0" w:color="auto"/>
              <w:left w:val="single" w:sz="4" w:space="0" w:color="auto"/>
              <w:bottom w:val="single" w:sz="4" w:space="0" w:color="auto"/>
              <w:right w:val="single" w:sz="4" w:space="0" w:color="auto"/>
            </w:tcBorders>
          </w:tcPr>
          <w:p w14:paraId="1BBE85C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Фрейлих</w:t>
            </w:r>
          </w:p>
        </w:tc>
        <w:tc>
          <w:tcPr>
            <w:tcW w:w="1078" w:type="dxa"/>
            <w:tcBorders>
              <w:top w:val="single" w:sz="4" w:space="0" w:color="auto"/>
              <w:left w:val="single" w:sz="4" w:space="0" w:color="auto"/>
              <w:bottom w:val="single" w:sz="4" w:space="0" w:color="auto"/>
              <w:right w:val="single" w:sz="4" w:space="0" w:color="auto"/>
            </w:tcBorders>
          </w:tcPr>
          <w:p w14:paraId="771EBDB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7162006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57B7771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w:t>
            </w:r>
          </w:p>
        </w:tc>
        <w:tc>
          <w:tcPr>
            <w:tcW w:w="636" w:type="dxa"/>
            <w:tcBorders>
              <w:top w:val="single" w:sz="4" w:space="0" w:color="auto"/>
              <w:left w:val="single" w:sz="4" w:space="0" w:color="auto"/>
              <w:bottom w:val="single" w:sz="4" w:space="0" w:color="auto"/>
              <w:right w:val="single" w:sz="4" w:space="0" w:color="auto"/>
            </w:tcBorders>
          </w:tcPr>
          <w:p w14:paraId="345FB1C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5634CB2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4262948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w:t>
            </w:r>
          </w:p>
        </w:tc>
      </w:tr>
      <w:tr w:rsidR="00F26F01" w:rsidRPr="00C33834" w14:paraId="27DD6784" w14:textId="77777777" w:rsidTr="003628CD">
        <w:tc>
          <w:tcPr>
            <w:tcW w:w="1007" w:type="dxa"/>
            <w:tcBorders>
              <w:top w:val="single" w:sz="4" w:space="0" w:color="auto"/>
              <w:left w:val="single" w:sz="4" w:space="0" w:color="auto"/>
              <w:bottom w:val="single" w:sz="4" w:space="0" w:color="auto"/>
              <w:right w:val="single" w:sz="4" w:space="0" w:color="auto"/>
            </w:tcBorders>
          </w:tcPr>
          <w:p w14:paraId="2B6BD19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Цветметзол</w:t>
            </w:r>
          </w:p>
        </w:tc>
        <w:tc>
          <w:tcPr>
            <w:tcW w:w="1502" w:type="dxa"/>
            <w:tcBorders>
              <w:top w:val="single" w:sz="4" w:space="0" w:color="auto"/>
              <w:left w:val="single" w:sz="4" w:space="0" w:color="auto"/>
              <w:bottom w:val="single" w:sz="4" w:space="0" w:color="auto"/>
              <w:right w:val="single" w:sz="4" w:space="0" w:color="auto"/>
            </w:tcBorders>
          </w:tcPr>
          <w:p w14:paraId="625580C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Саутвестерн</w:t>
            </w:r>
          </w:p>
        </w:tc>
        <w:tc>
          <w:tcPr>
            <w:tcW w:w="1078" w:type="dxa"/>
            <w:tcBorders>
              <w:top w:val="single" w:sz="4" w:space="0" w:color="auto"/>
              <w:left w:val="single" w:sz="4" w:space="0" w:color="auto"/>
              <w:bottom w:val="single" w:sz="4" w:space="0" w:color="auto"/>
              <w:right w:val="single" w:sz="4" w:space="0" w:color="auto"/>
            </w:tcBorders>
          </w:tcPr>
          <w:p w14:paraId="0539243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7C2FED8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55B77AA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7AE93E3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636" w:type="dxa"/>
            <w:tcBorders>
              <w:top w:val="single" w:sz="4" w:space="0" w:color="auto"/>
              <w:left w:val="single" w:sz="4" w:space="0" w:color="auto"/>
              <w:bottom w:val="single" w:sz="4" w:space="0" w:color="auto"/>
              <w:right w:val="single" w:sz="4" w:space="0" w:color="auto"/>
            </w:tcBorders>
          </w:tcPr>
          <w:p w14:paraId="6103E2B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6D1DB60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r>
      <w:tr w:rsidR="00F26F01" w:rsidRPr="00C33834" w14:paraId="269925B3" w14:textId="77777777" w:rsidTr="003628CD">
        <w:tc>
          <w:tcPr>
            <w:tcW w:w="1007" w:type="dxa"/>
            <w:tcBorders>
              <w:top w:val="single" w:sz="4" w:space="0" w:color="auto"/>
              <w:left w:val="single" w:sz="4" w:space="0" w:color="auto"/>
              <w:bottom w:val="single" w:sz="4" w:space="0" w:color="auto"/>
              <w:right w:val="single" w:sz="4" w:space="0" w:color="auto"/>
            </w:tcBorders>
          </w:tcPr>
          <w:p w14:paraId="73D8EA5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ВЭСО</w:t>
            </w:r>
          </w:p>
        </w:tc>
        <w:tc>
          <w:tcPr>
            <w:tcW w:w="1502" w:type="dxa"/>
            <w:tcBorders>
              <w:top w:val="single" w:sz="4" w:space="0" w:color="auto"/>
              <w:left w:val="single" w:sz="4" w:space="0" w:color="auto"/>
              <w:bottom w:val="single" w:sz="4" w:space="0" w:color="auto"/>
              <w:right w:val="single" w:sz="4" w:space="0" w:color="auto"/>
            </w:tcBorders>
          </w:tcPr>
          <w:p w14:paraId="63A254E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Телефункен</w:t>
            </w:r>
          </w:p>
        </w:tc>
        <w:tc>
          <w:tcPr>
            <w:tcW w:w="1078" w:type="dxa"/>
            <w:tcBorders>
              <w:top w:val="single" w:sz="4" w:space="0" w:color="auto"/>
              <w:left w:val="single" w:sz="4" w:space="0" w:color="auto"/>
              <w:bottom w:val="single" w:sz="4" w:space="0" w:color="auto"/>
              <w:right w:val="single" w:sz="4" w:space="0" w:color="auto"/>
            </w:tcBorders>
          </w:tcPr>
          <w:p w14:paraId="65A031B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1927</w:t>
            </w:r>
          </w:p>
        </w:tc>
        <w:tc>
          <w:tcPr>
            <w:tcW w:w="1219" w:type="dxa"/>
            <w:tcBorders>
              <w:top w:val="single" w:sz="4" w:space="0" w:color="auto"/>
              <w:left w:val="single" w:sz="4" w:space="0" w:color="auto"/>
              <w:bottom w:val="single" w:sz="4" w:space="0" w:color="auto"/>
              <w:right w:val="single" w:sz="4" w:space="0" w:color="auto"/>
            </w:tcBorders>
          </w:tcPr>
          <w:p w14:paraId="4D9FB60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0317437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636" w:type="dxa"/>
            <w:tcBorders>
              <w:top w:val="single" w:sz="4" w:space="0" w:color="auto"/>
              <w:left w:val="single" w:sz="4" w:space="0" w:color="auto"/>
              <w:bottom w:val="single" w:sz="4" w:space="0" w:color="auto"/>
              <w:right w:val="single" w:sz="4" w:space="0" w:color="auto"/>
            </w:tcBorders>
          </w:tcPr>
          <w:p w14:paraId="2E84486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23D99FC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6ED2C33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r>
      <w:tr w:rsidR="00F26F01" w:rsidRPr="00C33834" w14:paraId="07E991B2" w14:textId="77777777" w:rsidTr="003628CD">
        <w:tc>
          <w:tcPr>
            <w:tcW w:w="1007" w:type="dxa"/>
            <w:tcBorders>
              <w:top w:val="single" w:sz="4" w:space="0" w:color="auto"/>
              <w:left w:val="single" w:sz="4" w:space="0" w:color="auto"/>
              <w:bottom w:val="single" w:sz="4" w:space="0" w:color="auto"/>
              <w:right w:val="single" w:sz="4" w:space="0" w:color="auto"/>
            </w:tcBorders>
          </w:tcPr>
          <w:p w14:paraId="5C48076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Локомотив</w:t>
            </w:r>
          </w:p>
        </w:tc>
        <w:tc>
          <w:tcPr>
            <w:tcW w:w="1502" w:type="dxa"/>
            <w:tcBorders>
              <w:top w:val="single" w:sz="4" w:space="0" w:color="auto"/>
              <w:left w:val="single" w:sz="4" w:space="0" w:color="auto"/>
              <w:bottom w:val="single" w:sz="4" w:space="0" w:color="auto"/>
              <w:right w:val="single" w:sz="4" w:space="0" w:color="auto"/>
            </w:tcBorders>
          </w:tcPr>
          <w:p w14:paraId="5250461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ДАЦ</w:t>
            </w:r>
          </w:p>
        </w:tc>
        <w:tc>
          <w:tcPr>
            <w:tcW w:w="1078" w:type="dxa"/>
            <w:tcBorders>
              <w:top w:val="single" w:sz="4" w:space="0" w:color="auto"/>
              <w:left w:val="single" w:sz="4" w:space="0" w:color="auto"/>
              <w:bottom w:val="single" w:sz="4" w:space="0" w:color="auto"/>
              <w:right w:val="single" w:sz="4" w:space="0" w:color="auto"/>
            </w:tcBorders>
          </w:tcPr>
          <w:p w14:paraId="6C9ECEF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2377441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317CA03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151C3B9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w:t>
            </w:r>
          </w:p>
        </w:tc>
        <w:tc>
          <w:tcPr>
            <w:tcW w:w="636" w:type="dxa"/>
            <w:tcBorders>
              <w:top w:val="single" w:sz="4" w:space="0" w:color="auto"/>
              <w:left w:val="single" w:sz="4" w:space="0" w:color="auto"/>
              <w:bottom w:val="single" w:sz="4" w:space="0" w:color="auto"/>
              <w:right w:val="single" w:sz="4" w:space="0" w:color="auto"/>
            </w:tcBorders>
          </w:tcPr>
          <w:p w14:paraId="7727249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33B37DB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w:t>
            </w:r>
          </w:p>
        </w:tc>
      </w:tr>
      <w:tr w:rsidR="00F26F01" w:rsidRPr="00C33834" w14:paraId="252A4558" w14:textId="77777777" w:rsidTr="003628CD">
        <w:tc>
          <w:tcPr>
            <w:tcW w:w="1007" w:type="dxa"/>
            <w:tcBorders>
              <w:top w:val="single" w:sz="4" w:space="0" w:color="auto"/>
              <w:left w:val="single" w:sz="4" w:space="0" w:color="auto"/>
              <w:bottom w:val="single" w:sz="4" w:space="0" w:color="auto"/>
              <w:right w:val="single" w:sz="4" w:space="0" w:color="auto"/>
            </w:tcBorders>
          </w:tcPr>
          <w:p w14:paraId="26871B7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Уголь</w:t>
            </w:r>
          </w:p>
        </w:tc>
        <w:tc>
          <w:tcPr>
            <w:tcW w:w="1502" w:type="dxa"/>
            <w:tcBorders>
              <w:top w:val="single" w:sz="4" w:space="0" w:color="auto"/>
              <w:left w:val="single" w:sz="4" w:space="0" w:color="auto"/>
              <w:bottom w:val="single" w:sz="4" w:space="0" w:color="auto"/>
              <w:right w:val="single" w:sz="4" w:space="0" w:color="auto"/>
            </w:tcBorders>
          </w:tcPr>
          <w:p w14:paraId="2834F70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Аллен-Гарсиа</w:t>
            </w:r>
          </w:p>
        </w:tc>
        <w:tc>
          <w:tcPr>
            <w:tcW w:w="1078" w:type="dxa"/>
            <w:tcBorders>
              <w:top w:val="single" w:sz="4" w:space="0" w:color="auto"/>
              <w:left w:val="single" w:sz="4" w:space="0" w:color="auto"/>
              <w:bottom w:val="single" w:sz="4" w:space="0" w:color="auto"/>
              <w:right w:val="single" w:sz="4" w:space="0" w:color="auto"/>
            </w:tcBorders>
          </w:tcPr>
          <w:p w14:paraId="12F6734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13B0740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7360349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535</w:t>
            </w:r>
          </w:p>
        </w:tc>
        <w:tc>
          <w:tcPr>
            <w:tcW w:w="636" w:type="dxa"/>
            <w:tcBorders>
              <w:top w:val="single" w:sz="4" w:space="0" w:color="auto"/>
              <w:left w:val="single" w:sz="4" w:space="0" w:color="auto"/>
              <w:bottom w:val="single" w:sz="4" w:space="0" w:color="auto"/>
              <w:right w:val="single" w:sz="4" w:space="0" w:color="auto"/>
            </w:tcBorders>
          </w:tcPr>
          <w:p w14:paraId="4CCD7A7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01DFEE5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06C7418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535</w:t>
            </w:r>
          </w:p>
        </w:tc>
      </w:tr>
      <w:tr w:rsidR="00F26F01" w:rsidRPr="00C33834" w14:paraId="6A4A9489" w14:textId="77777777" w:rsidTr="003628CD">
        <w:tc>
          <w:tcPr>
            <w:tcW w:w="1007" w:type="dxa"/>
            <w:tcBorders>
              <w:top w:val="single" w:sz="4" w:space="0" w:color="auto"/>
              <w:left w:val="single" w:sz="4" w:space="0" w:color="auto"/>
              <w:bottom w:val="single" w:sz="4" w:space="0" w:color="auto"/>
              <w:right w:val="single" w:sz="4" w:space="0" w:color="auto"/>
            </w:tcBorders>
          </w:tcPr>
          <w:p w14:paraId="61B3154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Уголь</w:t>
            </w:r>
          </w:p>
        </w:tc>
        <w:tc>
          <w:tcPr>
            <w:tcW w:w="1502" w:type="dxa"/>
            <w:tcBorders>
              <w:top w:val="single" w:sz="4" w:space="0" w:color="auto"/>
              <w:left w:val="single" w:sz="4" w:space="0" w:color="auto"/>
              <w:bottom w:val="single" w:sz="4" w:space="0" w:color="auto"/>
              <w:right w:val="single" w:sz="4" w:space="0" w:color="auto"/>
            </w:tcBorders>
          </w:tcPr>
          <w:p w14:paraId="2E43367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Стюарт (Зд.)</w:t>
            </w:r>
          </w:p>
        </w:tc>
        <w:tc>
          <w:tcPr>
            <w:tcW w:w="1078" w:type="dxa"/>
            <w:tcBorders>
              <w:top w:val="single" w:sz="4" w:space="0" w:color="auto"/>
              <w:left w:val="single" w:sz="4" w:space="0" w:color="auto"/>
              <w:bottom w:val="single" w:sz="4" w:space="0" w:color="auto"/>
              <w:right w:val="single" w:sz="4" w:space="0" w:color="auto"/>
            </w:tcBorders>
          </w:tcPr>
          <w:p w14:paraId="638D5F4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w:t>
            </w:r>
          </w:p>
        </w:tc>
        <w:tc>
          <w:tcPr>
            <w:tcW w:w="1219" w:type="dxa"/>
            <w:tcBorders>
              <w:top w:val="single" w:sz="4" w:space="0" w:color="auto"/>
              <w:left w:val="single" w:sz="4" w:space="0" w:color="auto"/>
              <w:bottom w:val="single" w:sz="4" w:space="0" w:color="auto"/>
              <w:right w:val="single" w:sz="4" w:space="0" w:color="auto"/>
            </w:tcBorders>
          </w:tcPr>
          <w:p w14:paraId="418CFDC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58F0DD7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2B6BEE3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w:t>
            </w:r>
          </w:p>
        </w:tc>
        <w:tc>
          <w:tcPr>
            <w:tcW w:w="636" w:type="dxa"/>
            <w:tcBorders>
              <w:top w:val="single" w:sz="4" w:space="0" w:color="auto"/>
              <w:left w:val="single" w:sz="4" w:space="0" w:color="auto"/>
              <w:bottom w:val="single" w:sz="4" w:space="0" w:color="auto"/>
              <w:right w:val="single" w:sz="4" w:space="0" w:color="auto"/>
            </w:tcBorders>
          </w:tcPr>
          <w:p w14:paraId="669EE70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791308E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w:t>
            </w:r>
          </w:p>
        </w:tc>
      </w:tr>
      <w:tr w:rsidR="00F26F01" w:rsidRPr="00C33834" w14:paraId="5F6EAD80" w14:textId="77777777" w:rsidTr="003628CD">
        <w:tc>
          <w:tcPr>
            <w:tcW w:w="1007" w:type="dxa"/>
            <w:tcBorders>
              <w:top w:val="single" w:sz="4" w:space="0" w:color="auto"/>
              <w:left w:val="single" w:sz="4" w:space="0" w:color="auto"/>
              <w:bottom w:val="single" w:sz="4" w:space="0" w:color="auto"/>
              <w:right w:val="single" w:sz="4" w:space="0" w:color="auto"/>
            </w:tcBorders>
          </w:tcPr>
          <w:p w14:paraId="4A31323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ВЭО</w:t>
            </w:r>
          </w:p>
        </w:tc>
        <w:tc>
          <w:tcPr>
            <w:tcW w:w="1502" w:type="dxa"/>
            <w:tcBorders>
              <w:top w:val="single" w:sz="4" w:space="0" w:color="auto"/>
              <w:left w:val="single" w:sz="4" w:space="0" w:color="auto"/>
              <w:bottom w:val="single" w:sz="4" w:space="0" w:color="auto"/>
              <w:right w:val="single" w:sz="4" w:space="0" w:color="auto"/>
            </w:tcBorders>
          </w:tcPr>
          <w:p w14:paraId="5C5F8D9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Дженераль-Эл[ектрик]</w:t>
            </w:r>
          </w:p>
        </w:tc>
        <w:tc>
          <w:tcPr>
            <w:tcW w:w="1078" w:type="dxa"/>
            <w:tcBorders>
              <w:top w:val="single" w:sz="4" w:space="0" w:color="auto"/>
              <w:left w:val="single" w:sz="4" w:space="0" w:color="auto"/>
              <w:bottom w:val="single" w:sz="4" w:space="0" w:color="auto"/>
              <w:right w:val="single" w:sz="4" w:space="0" w:color="auto"/>
            </w:tcBorders>
          </w:tcPr>
          <w:p w14:paraId="58C8BDF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282D79B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73A31D0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539E3EB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8400</w:t>
            </w:r>
          </w:p>
        </w:tc>
        <w:tc>
          <w:tcPr>
            <w:tcW w:w="636" w:type="dxa"/>
            <w:tcBorders>
              <w:top w:val="single" w:sz="4" w:space="0" w:color="auto"/>
              <w:left w:val="single" w:sz="4" w:space="0" w:color="auto"/>
              <w:bottom w:val="single" w:sz="4" w:space="0" w:color="auto"/>
              <w:right w:val="single" w:sz="4" w:space="0" w:color="auto"/>
            </w:tcBorders>
          </w:tcPr>
          <w:p w14:paraId="78D88E9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26E2A20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8400</w:t>
            </w:r>
          </w:p>
        </w:tc>
      </w:tr>
      <w:tr w:rsidR="00F26F01" w:rsidRPr="00C33834" w14:paraId="711ADEB6" w14:textId="77777777" w:rsidTr="003628CD">
        <w:tc>
          <w:tcPr>
            <w:tcW w:w="1007" w:type="dxa"/>
            <w:tcBorders>
              <w:top w:val="single" w:sz="4" w:space="0" w:color="auto"/>
              <w:left w:val="single" w:sz="4" w:space="0" w:color="auto"/>
              <w:bottom w:val="single" w:sz="4" w:space="0" w:color="auto"/>
              <w:right w:val="single" w:sz="4" w:space="0" w:color="auto"/>
            </w:tcBorders>
          </w:tcPr>
          <w:p w14:paraId="3402E1D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Стромстрой</w:t>
            </w:r>
          </w:p>
        </w:tc>
        <w:tc>
          <w:tcPr>
            <w:tcW w:w="1502" w:type="dxa"/>
            <w:tcBorders>
              <w:top w:val="single" w:sz="4" w:space="0" w:color="auto"/>
              <w:left w:val="single" w:sz="4" w:space="0" w:color="auto"/>
              <w:bottom w:val="single" w:sz="4" w:space="0" w:color="auto"/>
              <w:right w:val="single" w:sz="4" w:space="0" w:color="auto"/>
            </w:tcBorders>
          </w:tcPr>
          <w:p w14:paraId="6D9FB75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Макдональд</w:t>
            </w:r>
          </w:p>
        </w:tc>
        <w:tc>
          <w:tcPr>
            <w:tcW w:w="1078" w:type="dxa"/>
            <w:tcBorders>
              <w:top w:val="single" w:sz="4" w:space="0" w:color="auto"/>
              <w:left w:val="single" w:sz="4" w:space="0" w:color="auto"/>
              <w:bottom w:val="single" w:sz="4" w:space="0" w:color="auto"/>
              <w:right w:val="single" w:sz="4" w:space="0" w:color="auto"/>
            </w:tcBorders>
          </w:tcPr>
          <w:p w14:paraId="234A9A6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0012CBB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6C1E2B4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w:t>
            </w:r>
          </w:p>
        </w:tc>
        <w:tc>
          <w:tcPr>
            <w:tcW w:w="636" w:type="dxa"/>
            <w:tcBorders>
              <w:top w:val="single" w:sz="4" w:space="0" w:color="auto"/>
              <w:left w:val="single" w:sz="4" w:space="0" w:color="auto"/>
              <w:bottom w:val="single" w:sz="4" w:space="0" w:color="auto"/>
              <w:right w:val="single" w:sz="4" w:space="0" w:color="auto"/>
            </w:tcBorders>
          </w:tcPr>
          <w:p w14:paraId="5C704AE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5AF6088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2BB2455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w:t>
            </w:r>
          </w:p>
        </w:tc>
      </w:tr>
      <w:tr w:rsidR="00F26F01" w:rsidRPr="00C33834" w14:paraId="711A285C" w14:textId="77777777" w:rsidTr="003628CD">
        <w:tc>
          <w:tcPr>
            <w:tcW w:w="1007" w:type="dxa"/>
            <w:tcBorders>
              <w:top w:val="single" w:sz="4" w:space="0" w:color="auto"/>
              <w:left w:val="single" w:sz="4" w:space="0" w:color="auto"/>
              <w:bottom w:val="single" w:sz="4" w:space="0" w:color="auto"/>
              <w:right w:val="single" w:sz="4" w:space="0" w:color="auto"/>
            </w:tcBorders>
          </w:tcPr>
          <w:p w14:paraId="2EDEF09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ВАТО</w:t>
            </w:r>
          </w:p>
        </w:tc>
        <w:tc>
          <w:tcPr>
            <w:tcW w:w="1502" w:type="dxa"/>
            <w:tcBorders>
              <w:top w:val="single" w:sz="4" w:space="0" w:color="auto"/>
              <w:left w:val="single" w:sz="4" w:space="0" w:color="auto"/>
              <w:bottom w:val="single" w:sz="4" w:space="0" w:color="auto"/>
              <w:right w:val="single" w:sz="4" w:space="0" w:color="auto"/>
            </w:tcBorders>
          </w:tcPr>
          <w:p w14:paraId="39C0B01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Брандт</w:t>
            </w:r>
          </w:p>
        </w:tc>
        <w:tc>
          <w:tcPr>
            <w:tcW w:w="1078" w:type="dxa"/>
            <w:tcBorders>
              <w:top w:val="single" w:sz="4" w:space="0" w:color="auto"/>
              <w:left w:val="single" w:sz="4" w:space="0" w:color="auto"/>
              <w:bottom w:val="single" w:sz="4" w:space="0" w:color="auto"/>
              <w:right w:val="single" w:sz="4" w:space="0" w:color="auto"/>
            </w:tcBorders>
          </w:tcPr>
          <w:p w14:paraId="3030370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44BBC4C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72782FA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145</w:t>
            </w:r>
          </w:p>
        </w:tc>
        <w:tc>
          <w:tcPr>
            <w:tcW w:w="636" w:type="dxa"/>
            <w:tcBorders>
              <w:top w:val="single" w:sz="4" w:space="0" w:color="auto"/>
              <w:left w:val="single" w:sz="4" w:space="0" w:color="auto"/>
              <w:bottom w:val="single" w:sz="4" w:space="0" w:color="auto"/>
              <w:right w:val="single" w:sz="4" w:space="0" w:color="auto"/>
            </w:tcBorders>
          </w:tcPr>
          <w:p w14:paraId="07C9DA9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65D3852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7EA73E9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145</w:t>
            </w:r>
          </w:p>
        </w:tc>
      </w:tr>
      <w:tr w:rsidR="00F26F01" w:rsidRPr="00C33834" w14:paraId="0C4DBA5C" w14:textId="77777777" w:rsidTr="003628CD">
        <w:tc>
          <w:tcPr>
            <w:tcW w:w="1007" w:type="dxa"/>
            <w:tcBorders>
              <w:top w:val="single" w:sz="4" w:space="0" w:color="auto"/>
              <w:left w:val="single" w:sz="4" w:space="0" w:color="auto"/>
              <w:bottom w:val="single" w:sz="4" w:space="0" w:color="auto"/>
              <w:right w:val="single" w:sz="4" w:space="0" w:color="auto"/>
            </w:tcBorders>
          </w:tcPr>
          <w:p w14:paraId="138B401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ВОМТ</w:t>
            </w:r>
          </w:p>
        </w:tc>
        <w:tc>
          <w:tcPr>
            <w:tcW w:w="1502" w:type="dxa"/>
            <w:tcBorders>
              <w:top w:val="single" w:sz="4" w:space="0" w:color="auto"/>
              <w:left w:val="single" w:sz="4" w:space="0" w:color="auto"/>
              <w:bottom w:val="single" w:sz="4" w:space="0" w:color="auto"/>
              <w:right w:val="single" w:sz="4" w:space="0" w:color="auto"/>
            </w:tcBorders>
          </w:tcPr>
          <w:p w14:paraId="6026972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Пасбург и Блок</w:t>
            </w:r>
          </w:p>
        </w:tc>
        <w:tc>
          <w:tcPr>
            <w:tcW w:w="1078" w:type="dxa"/>
            <w:tcBorders>
              <w:top w:val="single" w:sz="4" w:space="0" w:color="auto"/>
              <w:left w:val="single" w:sz="4" w:space="0" w:color="auto"/>
              <w:bottom w:val="single" w:sz="4" w:space="0" w:color="auto"/>
              <w:right w:val="single" w:sz="4" w:space="0" w:color="auto"/>
            </w:tcBorders>
          </w:tcPr>
          <w:p w14:paraId="4380D8F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410FEE2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1B30C62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636" w:type="dxa"/>
            <w:tcBorders>
              <w:top w:val="single" w:sz="4" w:space="0" w:color="auto"/>
              <w:left w:val="single" w:sz="4" w:space="0" w:color="auto"/>
              <w:bottom w:val="single" w:sz="4" w:space="0" w:color="auto"/>
              <w:right w:val="single" w:sz="4" w:space="0" w:color="auto"/>
            </w:tcBorders>
          </w:tcPr>
          <w:p w14:paraId="392FB56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764E9FA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414EEFA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r>
      <w:tr w:rsidR="00F26F01" w:rsidRPr="00C33834" w14:paraId="642B1EE4" w14:textId="77777777" w:rsidTr="003628CD">
        <w:tc>
          <w:tcPr>
            <w:tcW w:w="1007" w:type="dxa"/>
            <w:tcBorders>
              <w:top w:val="single" w:sz="4" w:space="0" w:color="auto"/>
              <w:left w:val="single" w:sz="4" w:space="0" w:color="auto"/>
              <w:bottom w:val="single" w:sz="4" w:space="0" w:color="auto"/>
              <w:right w:val="single" w:sz="4" w:space="0" w:color="auto"/>
            </w:tcBorders>
          </w:tcPr>
          <w:p w14:paraId="1CF30E3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Цветметзолото</w:t>
            </w:r>
          </w:p>
        </w:tc>
        <w:tc>
          <w:tcPr>
            <w:tcW w:w="1502" w:type="dxa"/>
            <w:tcBorders>
              <w:top w:val="single" w:sz="4" w:space="0" w:color="auto"/>
              <w:left w:val="single" w:sz="4" w:space="0" w:color="auto"/>
              <w:bottom w:val="single" w:sz="4" w:space="0" w:color="auto"/>
              <w:right w:val="single" w:sz="4" w:space="0" w:color="auto"/>
            </w:tcBorders>
          </w:tcPr>
          <w:p w14:paraId="3375806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Штраубэ</w:t>
            </w:r>
          </w:p>
        </w:tc>
        <w:tc>
          <w:tcPr>
            <w:tcW w:w="1078" w:type="dxa"/>
            <w:tcBorders>
              <w:top w:val="single" w:sz="4" w:space="0" w:color="auto"/>
              <w:left w:val="single" w:sz="4" w:space="0" w:color="auto"/>
              <w:bottom w:val="single" w:sz="4" w:space="0" w:color="auto"/>
              <w:right w:val="single" w:sz="4" w:space="0" w:color="auto"/>
            </w:tcBorders>
          </w:tcPr>
          <w:p w14:paraId="3DCB547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3C73644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1930</w:t>
            </w:r>
          </w:p>
        </w:tc>
        <w:tc>
          <w:tcPr>
            <w:tcW w:w="989" w:type="dxa"/>
            <w:tcBorders>
              <w:top w:val="single" w:sz="4" w:space="0" w:color="auto"/>
              <w:left w:val="single" w:sz="4" w:space="0" w:color="auto"/>
              <w:bottom w:val="single" w:sz="4" w:space="0" w:color="auto"/>
              <w:right w:val="single" w:sz="4" w:space="0" w:color="auto"/>
            </w:tcBorders>
          </w:tcPr>
          <w:p w14:paraId="31DA702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tc>
        <w:tc>
          <w:tcPr>
            <w:tcW w:w="636" w:type="dxa"/>
            <w:tcBorders>
              <w:top w:val="single" w:sz="4" w:space="0" w:color="auto"/>
              <w:left w:val="single" w:sz="4" w:space="0" w:color="auto"/>
              <w:bottom w:val="single" w:sz="4" w:space="0" w:color="auto"/>
              <w:right w:val="single" w:sz="4" w:space="0" w:color="auto"/>
            </w:tcBorders>
          </w:tcPr>
          <w:p w14:paraId="240D4DC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2D6D9B5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60EC4BF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tc>
      </w:tr>
      <w:tr w:rsidR="00F26F01" w:rsidRPr="00C33834" w14:paraId="3185BAB4" w14:textId="77777777" w:rsidTr="003628CD">
        <w:tc>
          <w:tcPr>
            <w:tcW w:w="1007" w:type="dxa"/>
            <w:tcBorders>
              <w:top w:val="single" w:sz="4" w:space="0" w:color="auto"/>
              <w:left w:val="single" w:sz="4" w:space="0" w:color="auto"/>
              <w:bottom w:val="single" w:sz="4" w:space="0" w:color="auto"/>
              <w:right w:val="single" w:sz="4" w:space="0" w:color="auto"/>
            </w:tcBorders>
          </w:tcPr>
          <w:p w14:paraId="654CFAB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Союзстрой</w:t>
            </w:r>
          </w:p>
        </w:tc>
        <w:tc>
          <w:tcPr>
            <w:tcW w:w="1502" w:type="dxa"/>
            <w:tcBorders>
              <w:top w:val="single" w:sz="4" w:space="0" w:color="auto"/>
              <w:left w:val="single" w:sz="4" w:space="0" w:color="auto"/>
              <w:bottom w:val="single" w:sz="4" w:space="0" w:color="auto"/>
              <w:right w:val="single" w:sz="4" w:space="0" w:color="auto"/>
            </w:tcBorders>
          </w:tcPr>
          <w:p w14:paraId="553A981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Келлен</w:t>
            </w:r>
          </w:p>
        </w:tc>
        <w:tc>
          <w:tcPr>
            <w:tcW w:w="1078" w:type="dxa"/>
            <w:tcBorders>
              <w:top w:val="single" w:sz="4" w:space="0" w:color="auto"/>
              <w:left w:val="single" w:sz="4" w:space="0" w:color="auto"/>
              <w:bottom w:val="single" w:sz="4" w:space="0" w:color="auto"/>
              <w:right w:val="single" w:sz="4" w:space="0" w:color="auto"/>
            </w:tcBorders>
          </w:tcPr>
          <w:p w14:paraId="43EA90B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18BF745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03DEBA4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w:t>
            </w:r>
          </w:p>
        </w:tc>
        <w:tc>
          <w:tcPr>
            <w:tcW w:w="636" w:type="dxa"/>
            <w:tcBorders>
              <w:top w:val="single" w:sz="4" w:space="0" w:color="auto"/>
              <w:left w:val="single" w:sz="4" w:space="0" w:color="auto"/>
              <w:bottom w:val="single" w:sz="4" w:space="0" w:color="auto"/>
              <w:right w:val="single" w:sz="4" w:space="0" w:color="auto"/>
            </w:tcBorders>
          </w:tcPr>
          <w:p w14:paraId="129CB74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2130840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5D44BFF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w:t>
            </w:r>
          </w:p>
        </w:tc>
      </w:tr>
      <w:tr w:rsidR="00F26F01" w:rsidRPr="00C33834" w14:paraId="66AEBD8E" w14:textId="77777777" w:rsidTr="003628CD">
        <w:tc>
          <w:tcPr>
            <w:tcW w:w="1007" w:type="dxa"/>
            <w:tcBorders>
              <w:top w:val="single" w:sz="4" w:space="0" w:color="auto"/>
              <w:left w:val="single" w:sz="4" w:space="0" w:color="auto"/>
              <w:bottom w:val="single" w:sz="4" w:space="0" w:color="auto"/>
              <w:right w:val="single" w:sz="4" w:space="0" w:color="auto"/>
            </w:tcBorders>
          </w:tcPr>
          <w:p w14:paraId="72585FE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Уголь</w:t>
            </w:r>
          </w:p>
        </w:tc>
        <w:tc>
          <w:tcPr>
            <w:tcW w:w="1502" w:type="dxa"/>
            <w:tcBorders>
              <w:top w:val="single" w:sz="4" w:space="0" w:color="auto"/>
              <w:left w:val="single" w:sz="4" w:space="0" w:color="auto"/>
              <w:bottom w:val="single" w:sz="4" w:space="0" w:color="auto"/>
              <w:right w:val="single" w:sz="4" w:space="0" w:color="auto"/>
            </w:tcBorders>
          </w:tcPr>
          <w:p w14:paraId="4364434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Робертс и Шеффер</w:t>
            </w:r>
          </w:p>
        </w:tc>
        <w:tc>
          <w:tcPr>
            <w:tcW w:w="1078" w:type="dxa"/>
            <w:tcBorders>
              <w:top w:val="single" w:sz="4" w:space="0" w:color="auto"/>
              <w:left w:val="single" w:sz="4" w:space="0" w:color="auto"/>
              <w:bottom w:val="single" w:sz="4" w:space="0" w:color="auto"/>
              <w:right w:val="single" w:sz="4" w:space="0" w:color="auto"/>
            </w:tcBorders>
          </w:tcPr>
          <w:p w14:paraId="7876390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6A76EF3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6FC45FB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5B98823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138</w:t>
            </w:r>
          </w:p>
        </w:tc>
        <w:tc>
          <w:tcPr>
            <w:tcW w:w="636" w:type="dxa"/>
            <w:tcBorders>
              <w:top w:val="single" w:sz="4" w:space="0" w:color="auto"/>
              <w:left w:val="single" w:sz="4" w:space="0" w:color="auto"/>
              <w:bottom w:val="single" w:sz="4" w:space="0" w:color="auto"/>
              <w:right w:val="single" w:sz="4" w:space="0" w:color="auto"/>
            </w:tcBorders>
          </w:tcPr>
          <w:p w14:paraId="04C83B5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10995DC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138</w:t>
            </w:r>
          </w:p>
        </w:tc>
      </w:tr>
      <w:tr w:rsidR="00F26F01" w:rsidRPr="00C33834" w14:paraId="4C62A8E4" w14:textId="77777777" w:rsidTr="003628CD">
        <w:tc>
          <w:tcPr>
            <w:tcW w:w="1007" w:type="dxa"/>
            <w:tcBorders>
              <w:top w:val="single" w:sz="4" w:space="0" w:color="auto"/>
              <w:left w:val="single" w:sz="4" w:space="0" w:color="auto"/>
              <w:bottom w:val="single" w:sz="4" w:space="0" w:color="auto"/>
              <w:right w:val="single" w:sz="4" w:space="0" w:color="auto"/>
            </w:tcBorders>
          </w:tcPr>
          <w:p w14:paraId="58AAE7D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Магнитострой</w:t>
            </w:r>
          </w:p>
        </w:tc>
        <w:tc>
          <w:tcPr>
            <w:tcW w:w="1502" w:type="dxa"/>
            <w:tcBorders>
              <w:top w:val="single" w:sz="4" w:space="0" w:color="auto"/>
              <w:left w:val="single" w:sz="4" w:space="0" w:color="auto"/>
              <w:bottom w:val="single" w:sz="4" w:space="0" w:color="auto"/>
              <w:right w:val="single" w:sz="4" w:space="0" w:color="auto"/>
            </w:tcBorders>
          </w:tcPr>
          <w:p w14:paraId="2F8E367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Макки</w:t>
            </w:r>
          </w:p>
        </w:tc>
        <w:tc>
          <w:tcPr>
            <w:tcW w:w="1078" w:type="dxa"/>
            <w:tcBorders>
              <w:top w:val="single" w:sz="4" w:space="0" w:color="auto"/>
              <w:left w:val="single" w:sz="4" w:space="0" w:color="auto"/>
              <w:bottom w:val="single" w:sz="4" w:space="0" w:color="auto"/>
              <w:right w:val="single" w:sz="4" w:space="0" w:color="auto"/>
            </w:tcBorders>
          </w:tcPr>
          <w:p w14:paraId="7DCB847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03A6776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24400CC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4836FE0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730</w:t>
            </w:r>
          </w:p>
        </w:tc>
        <w:tc>
          <w:tcPr>
            <w:tcW w:w="636" w:type="dxa"/>
            <w:tcBorders>
              <w:top w:val="single" w:sz="4" w:space="0" w:color="auto"/>
              <w:left w:val="single" w:sz="4" w:space="0" w:color="auto"/>
              <w:bottom w:val="single" w:sz="4" w:space="0" w:color="auto"/>
              <w:right w:val="single" w:sz="4" w:space="0" w:color="auto"/>
            </w:tcBorders>
          </w:tcPr>
          <w:p w14:paraId="00BBC37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3E47325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730</w:t>
            </w:r>
          </w:p>
        </w:tc>
      </w:tr>
      <w:tr w:rsidR="00F26F01" w:rsidRPr="00C33834" w14:paraId="6B2BE646" w14:textId="77777777" w:rsidTr="003628CD">
        <w:tc>
          <w:tcPr>
            <w:tcW w:w="1007" w:type="dxa"/>
            <w:tcBorders>
              <w:top w:val="single" w:sz="4" w:space="0" w:color="auto"/>
              <w:left w:val="single" w:sz="4" w:space="0" w:color="auto"/>
              <w:bottom w:val="single" w:sz="4" w:space="0" w:color="auto"/>
              <w:right w:val="single" w:sz="4" w:space="0" w:color="auto"/>
            </w:tcBorders>
          </w:tcPr>
          <w:p w14:paraId="7FF6191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Оргаметалл</w:t>
            </w:r>
          </w:p>
        </w:tc>
        <w:tc>
          <w:tcPr>
            <w:tcW w:w="1502" w:type="dxa"/>
            <w:tcBorders>
              <w:top w:val="single" w:sz="4" w:space="0" w:color="auto"/>
              <w:left w:val="single" w:sz="4" w:space="0" w:color="auto"/>
              <w:bottom w:val="single" w:sz="4" w:space="0" w:color="auto"/>
              <w:right w:val="single" w:sz="4" w:space="0" w:color="auto"/>
            </w:tcBorders>
          </w:tcPr>
          <w:p w14:paraId="1F2DF85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Дейч-Верфь</w:t>
            </w:r>
          </w:p>
        </w:tc>
        <w:tc>
          <w:tcPr>
            <w:tcW w:w="1078" w:type="dxa"/>
            <w:tcBorders>
              <w:top w:val="single" w:sz="4" w:space="0" w:color="auto"/>
              <w:left w:val="single" w:sz="4" w:space="0" w:color="auto"/>
              <w:bottom w:val="single" w:sz="4" w:space="0" w:color="auto"/>
              <w:right w:val="single" w:sz="4" w:space="0" w:color="auto"/>
            </w:tcBorders>
          </w:tcPr>
          <w:p w14:paraId="419C67F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w:t>
            </w:r>
          </w:p>
        </w:tc>
        <w:tc>
          <w:tcPr>
            <w:tcW w:w="1219" w:type="dxa"/>
            <w:tcBorders>
              <w:top w:val="single" w:sz="4" w:space="0" w:color="auto"/>
              <w:left w:val="single" w:sz="4" w:space="0" w:color="auto"/>
              <w:bottom w:val="single" w:sz="4" w:space="0" w:color="auto"/>
              <w:right w:val="single" w:sz="4" w:space="0" w:color="auto"/>
            </w:tcBorders>
          </w:tcPr>
          <w:p w14:paraId="284E149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56791A8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7EFCA5C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636" w:type="dxa"/>
            <w:tcBorders>
              <w:top w:val="single" w:sz="4" w:space="0" w:color="auto"/>
              <w:left w:val="single" w:sz="4" w:space="0" w:color="auto"/>
              <w:bottom w:val="single" w:sz="4" w:space="0" w:color="auto"/>
              <w:right w:val="single" w:sz="4" w:space="0" w:color="auto"/>
            </w:tcBorders>
          </w:tcPr>
          <w:p w14:paraId="3D70CE9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2BB21DB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r>
      <w:tr w:rsidR="00F26F01" w:rsidRPr="00C33834" w14:paraId="6458FABC" w14:textId="77777777" w:rsidTr="003628CD">
        <w:tc>
          <w:tcPr>
            <w:tcW w:w="1007" w:type="dxa"/>
            <w:tcBorders>
              <w:top w:val="single" w:sz="4" w:space="0" w:color="auto"/>
              <w:left w:val="single" w:sz="4" w:space="0" w:color="auto"/>
              <w:bottom w:val="single" w:sz="4" w:space="0" w:color="auto"/>
              <w:right w:val="single" w:sz="4" w:space="0" w:color="auto"/>
            </w:tcBorders>
          </w:tcPr>
          <w:p w14:paraId="0E2E0CF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Инструмобъед.</w:t>
            </w:r>
          </w:p>
        </w:tc>
        <w:tc>
          <w:tcPr>
            <w:tcW w:w="1502" w:type="dxa"/>
            <w:tcBorders>
              <w:top w:val="single" w:sz="4" w:space="0" w:color="auto"/>
              <w:left w:val="single" w:sz="4" w:space="0" w:color="auto"/>
              <w:bottom w:val="single" w:sz="4" w:space="0" w:color="auto"/>
              <w:right w:val="single" w:sz="4" w:space="0" w:color="auto"/>
            </w:tcBorders>
          </w:tcPr>
          <w:p w14:paraId="17B4D54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Карборундум</w:t>
            </w:r>
          </w:p>
        </w:tc>
        <w:tc>
          <w:tcPr>
            <w:tcW w:w="1078" w:type="dxa"/>
            <w:tcBorders>
              <w:top w:val="single" w:sz="4" w:space="0" w:color="auto"/>
              <w:left w:val="single" w:sz="4" w:space="0" w:color="auto"/>
              <w:bottom w:val="single" w:sz="4" w:space="0" w:color="auto"/>
              <w:right w:val="single" w:sz="4" w:space="0" w:color="auto"/>
            </w:tcBorders>
          </w:tcPr>
          <w:p w14:paraId="0F669AF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1928</w:t>
            </w:r>
          </w:p>
        </w:tc>
        <w:tc>
          <w:tcPr>
            <w:tcW w:w="1219" w:type="dxa"/>
            <w:tcBorders>
              <w:top w:val="single" w:sz="4" w:space="0" w:color="auto"/>
              <w:left w:val="single" w:sz="4" w:space="0" w:color="auto"/>
              <w:bottom w:val="single" w:sz="4" w:space="0" w:color="auto"/>
              <w:right w:val="single" w:sz="4" w:space="0" w:color="auto"/>
            </w:tcBorders>
          </w:tcPr>
          <w:p w14:paraId="6E54134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2A7570C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76753DD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tc>
        <w:tc>
          <w:tcPr>
            <w:tcW w:w="636" w:type="dxa"/>
            <w:tcBorders>
              <w:top w:val="single" w:sz="4" w:space="0" w:color="auto"/>
              <w:left w:val="single" w:sz="4" w:space="0" w:color="auto"/>
              <w:bottom w:val="single" w:sz="4" w:space="0" w:color="auto"/>
              <w:right w:val="single" w:sz="4" w:space="0" w:color="auto"/>
            </w:tcBorders>
          </w:tcPr>
          <w:p w14:paraId="0AD1507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1B09DC6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tc>
      </w:tr>
      <w:tr w:rsidR="00F26F01" w:rsidRPr="00C33834" w14:paraId="3A556558" w14:textId="77777777" w:rsidTr="003628CD">
        <w:tc>
          <w:tcPr>
            <w:tcW w:w="1007" w:type="dxa"/>
            <w:tcBorders>
              <w:top w:val="single" w:sz="4" w:space="0" w:color="auto"/>
              <w:left w:val="single" w:sz="4" w:space="0" w:color="auto"/>
              <w:bottom w:val="single" w:sz="4" w:space="0" w:color="auto"/>
              <w:right w:val="single" w:sz="4" w:space="0" w:color="auto"/>
            </w:tcBorders>
          </w:tcPr>
          <w:p w14:paraId="4497FBA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Насоскомпр.</w:t>
            </w:r>
          </w:p>
        </w:tc>
        <w:tc>
          <w:tcPr>
            <w:tcW w:w="1502" w:type="dxa"/>
            <w:tcBorders>
              <w:top w:val="single" w:sz="4" w:space="0" w:color="auto"/>
              <w:left w:val="single" w:sz="4" w:space="0" w:color="auto"/>
              <w:bottom w:val="single" w:sz="4" w:space="0" w:color="auto"/>
              <w:right w:val="single" w:sz="4" w:space="0" w:color="auto"/>
            </w:tcBorders>
          </w:tcPr>
          <w:p w14:paraId="159E0B1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Ман-Ридингер</w:t>
            </w:r>
          </w:p>
        </w:tc>
        <w:tc>
          <w:tcPr>
            <w:tcW w:w="1078" w:type="dxa"/>
            <w:tcBorders>
              <w:top w:val="single" w:sz="4" w:space="0" w:color="auto"/>
              <w:left w:val="single" w:sz="4" w:space="0" w:color="auto"/>
              <w:bottom w:val="single" w:sz="4" w:space="0" w:color="auto"/>
              <w:right w:val="single" w:sz="4" w:space="0" w:color="auto"/>
            </w:tcBorders>
          </w:tcPr>
          <w:p w14:paraId="6B1C278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1927</w:t>
            </w:r>
          </w:p>
        </w:tc>
        <w:tc>
          <w:tcPr>
            <w:tcW w:w="1219" w:type="dxa"/>
            <w:tcBorders>
              <w:top w:val="single" w:sz="4" w:space="0" w:color="auto"/>
              <w:left w:val="single" w:sz="4" w:space="0" w:color="auto"/>
              <w:bottom w:val="single" w:sz="4" w:space="0" w:color="auto"/>
              <w:right w:val="single" w:sz="4" w:space="0" w:color="auto"/>
            </w:tcBorders>
          </w:tcPr>
          <w:p w14:paraId="32254C6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5BF09D5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38D062C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263</w:t>
            </w:r>
          </w:p>
        </w:tc>
        <w:tc>
          <w:tcPr>
            <w:tcW w:w="636" w:type="dxa"/>
            <w:tcBorders>
              <w:top w:val="single" w:sz="4" w:space="0" w:color="auto"/>
              <w:left w:val="single" w:sz="4" w:space="0" w:color="auto"/>
              <w:bottom w:val="single" w:sz="4" w:space="0" w:color="auto"/>
              <w:right w:val="single" w:sz="4" w:space="0" w:color="auto"/>
            </w:tcBorders>
          </w:tcPr>
          <w:p w14:paraId="2D6B30A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0436833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263</w:t>
            </w:r>
          </w:p>
        </w:tc>
      </w:tr>
      <w:tr w:rsidR="00F26F01" w:rsidRPr="00C33834" w14:paraId="0664D779" w14:textId="77777777" w:rsidTr="003628CD">
        <w:tc>
          <w:tcPr>
            <w:tcW w:w="1007" w:type="dxa"/>
            <w:tcBorders>
              <w:top w:val="single" w:sz="4" w:space="0" w:color="auto"/>
              <w:left w:val="single" w:sz="4" w:space="0" w:color="auto"/>
              <w:bottom w:val="single" w:sz="4" w:space="0" w:color="auto"/>
              <w:right w:val="single" w:sz="4" w:space="0" w:color="auto"/>
            </w:tcBorders>
          </w:tcPr>
          <w:p w14:paraId="791DC4E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Союзсредмаш</w:t>
            </w:r>
          </w:p>
        </w:tc>
        <w:tc>
          <w:tcPr>
            <w:tcW w:w="1502" w:type="dxa"/>
            <w:tcBorders>
              <w:top w:val="single" w:sz="4" w:space="0" w:color="auto"/>
              <w:left w:val="single" w:sz="4" w:space="0" w:color="auto"/>
              <w:bottom w:val="single" w:sz="4" w:space="0" w:color="auto"/>
              <w:right w:val="single" w:sz="4" w:space="0" w:color="auto"/>
            </w:tcBorders>
          </w:tcPr>
          <w:p w14:paraId="0618776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Кеббер</w:t>
            </w:r>
          </w:p>
        </w:tc>
        <w:tc>
          <w:tcPr>
            <w:tcW w:w="1078" w:type="dxa"/>
            <w:tcBorders>
              <w:top w:val="single" w:sz="4" w:space="0" w:color="auto"/>
              <w:left w:val="single" w:sz="4" w:space="0" w:color="auto"/>
              <w:bottom w:val="single" w:sz="4" w:space="0" w:color="auto"/>
              <w:right w:val="single" w:sz="4" w:space="0" w:color="auto"/>
            </w:tcBorders>
          </w:tcPr>
          <w:p w14:paraId="73A9E3B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1927</w:t>
            </w:r>
          </w:p>
        </w:tc>
        <w:tc>
          <w:tcPr>
            <w:tcW w:w="1219" w:type="dxa"/>
            <w:tcBorders>
              <w:top w:val="single" w:sz="4" w:space="0" w:color="auto"/>
              <w:left w:val="single" w:sz="4" w:space="0" w:color="auto"/>
              <w:bottom w:val="single" w:sz="4" w:space="0" w:color="auto"/>
              <w:right w:val="single" w:sz="4" w:space="0" w:color="auto"/>
            </w:tcBorders>
          </w:tcPr>
          <w:p w14:paraId="5791C4E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0E3B176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0BFD833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636" w:type="dxa"/>
            <w:tcBorders>
              <w:top w:val="single" w:sz="4" w:space="0" w:color="auto"/>
              <w:left w:val="single" w:sz="4" w:space="0" w:color="auto"/>
              <w:bottom w:val="single" w:sz="4" w:space="0" w:color="auto"/>
              <w:right w:val="single" w:sz="4" w:space="0" w:color="auto"/>
            </w:tcBorders>
          </w:tcPr>
          <w:p w14:paraId="179FA2A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6230D4E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r>
      <w:tr w:rsidR="00F26F01" w:rsidRPr="00C33834" w14:paraId="5DA0A696" w14:textId="77777777" w:rsidTr="003628CD">
        <w:tc>
          <w:tcPr>
            <w:tcW w:w="1007" w:type="dxa"/>
            <w:tcBorders>
              <w:top w:val="single" w:sz="4" w:space="0" w:color="auto"/>
              <w:left w:val="single" w:sz="4" w:space="0" w:color="auto"/>
              <w:bottom w:val="single" w:sz="4" w:space="0" w:color="auto"/>
              <w:right w:val="single" w:sz="4" w:space="0" w:color="auto"/>
            </w:tcBorders>
          </w:tcPr>
          <w:p w14:paraId="65AAF4D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Всехимпром</w:t>
            </w:r>
          </w:p>
        </w:tc>
        <w:tc>
          <w:tcPr>
            <w:tcW w:w="1502" w:type="dxa"/>
            <w:tcBorders>
              <w:top w:val="single" w:sz="4" w:space="0" w:color="auto"/>
              <w:left w:val="single" w:sz="4" w:space="0" w:color="auto"/>
              <w:bottom w:val="single" w:sz="4" w:space="0" w:color="auto"/>
              <w:right w:val="single" w:sz="4" w:space="0" w:color="auto"/>
            </w:tcBorders>
          </w:tcPr>
          <w:p w14:paraId="6A803C5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Казале</w:t>
            </w:r>
          </w:p>
        </w:tc>
        <w:tc>
          <w:tcPr>
            <w:tcW w:w="1078" w:type="dxa"/>
            <w:tcBorders>
              <w:top w:val="single" w:sz="4" w:space="0" w:color="auto"/>
              <w:left w:val="single" w:sz="4" w:space="0" w:color="auto"/>
              <w:bottom w:val="single" w:sz="4" w:space="0" w:color="auto"/>
              <w:right w:val="single" w:sz="4" w:space="0" w:color="auto"/>
            </w:tcBorders>
          </w:tcPr>
          <w:p w14:paraId="5498AE9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1925</w:t>
            </w:r>
          </w:p>
        </w:tc>
        <w:tc>
          <w:tcPr>
            <w:tcW w:w="1219" w:type="dxa"/>
            <w:tcBorders>
              <w:top w:val="single" w:sz="4" w:space="0" w:color="auto"/>
              <w:left w:val="single" w:sz="4" w:space="0" w:color="auto"/>
              <w:bottom w:val="single" w:sz="4" w:space="0" w:color="auto"/>
              <w:right w:val="single" w:sz="4" w:space="0" w:color="auto"/>
            </w:tcBorders>
          </w:tcPr>
          <w:p w14:paraId="006E21B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1C10E51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4F317B3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c>
          <w:tcPr>
            <w:tcW w:w="636" w:type="dxa"/>
            <w:tcBorders>
              <w:top w:val="single" w:sz="4" w:space="0" w:color="auto"/>
              <w:left w:val="single" w:sz="4" w:space="0" w:color="auto"/>
              <w:bottom w:val="single" w:sz="4" w:space="0" w:color="auto"/>
              <w:right w:val="single" w:sz="4" w:space="0" w:color="auto"/>
            </w:tcBorders>
          </w:tcPr>
          <w:p w14:paraId="385207B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3DFE3E1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w:t>
            </w:r>
          </w:p>
        </w:tc>
      </w:tr>
      <w:tr w:rsidR="00F26F01" w:rsidRPr="00C33834" w14:paraId="277A8A8F" w14:textId="77777777" w:rsidTr="003628CD">
        <w:tc>
          <w:tcPr>
            <w:tcW w:w="1007" w:type="dxa"/>
            <w:tcBorders>
              <w:top w:val="single" w:sz="4" w:space="0" w:color="auto"/>
              <w:left w:val="single" w:sz="4" w:space="0" w:color="auto"/>
              <w:bottom w:val="single" w:sz="4" w:space="0" w:color="auto"/>
              <w:right w:val="single" w:sz="4" w:space="0" w:color="auto"/>
            </w:tcBorders>
          </w:tcPr>
          <w:p w14:paraId="7723A51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Оруд. объед.</w:t>
            </w:r>
          </w:p>
        </w:tc>
        <w:tc>
          <w:tcPr>
            <w:tcW w:w="1502" w:type="dxa"/>
            <w:tcBorders>
              <w:top w:val="single" w:sz="4" w:space="0" w:color="auto"/>
              <w:left w:val="single" w:sz="4" w:space="0" w:color="auto"/>
              <w:bottom w:val="single" w:sz="4" w:space="0" w:color="auto"/>
              <w:right w:val="single" w:sz="4" w:space="0" w:color="auto"/>
            </w:tcBorders>
          </w:tcPr>
          <w:p w14:paraId="2D81C3C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Бьютаст</w:t>
            </w:r>
          </w:p>
        </w:tc>
        <w:tc>
          <w:tcPr>
            <w:tcW w:w="1078" w:type="dxa"/>
            <w:tcBorders>
              <w:top w:val="single" w:sz="4" w:space="0" w:color="auto"/>
              <w:left w:val="single" w:sz="4" w:space="0" w:color="auto"/>
              <w:bottom w:val="single" w:sz="4" w:space="0" w:color="auto"/>
              <w:right w:val="single" w:sz="4" w:space="0" w:color="auto"/>
            </w:tcBorders>
          </w:tcPr>
          <w:p w14:paraId="664010A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42CB46A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0B6193A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3969A57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w:t>
            </w:r>
          </w:p>
        </w:tc>
        <w:tc>
          <w:tcPr>
            <w:tcW w:w="636" w:type="dxa"/>
            <w:tcBorders>
              <w:top w:val="single" w:sz="4" w:space="0" w:color="auto"/>
              <w:left w:val="single" w:sz="4" w:space="0" w:color="auto"/>
              <w:bottom w:val="single" w:sz="4" w:space="0" w:color="auto"/>
              <w:right w:val="single" w:sz="4" w:space="0" w:color="auto"/>
            </w:tcBorders>
          </w:tcPr>
          <w:p w14:paraId="24FC8FA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081EFA7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w:t>
            </w:r>
          </w:p>
        </w:tc>
      </w:tr>
      <w:tr w:rsidR="00F26F01" w:rsidRPr="00C33834" w14:paraId="428D677A" w14:textId="77777777" w:rsidTr="003628CD">
        <w:tc>
          <w:tcPr>
            <w:tcW w:w="1007" w:type="dxa"/>
            <w:tcBorders>
              <w:top w:val="single" w:sz="4" w:space="0" w:color="auto"/>
              <w:left w:val="single" w:sz="4" w:space="0" w:color="auto"/>
              <w:bottom w:val="single" w:sz="4" w:space="0" w:color="auto"/>
              <w:right w:val="single" w:sz="4" w:space="0" w:color="auto"/>
            </w:tcBorders>
          </w:tcPr>
          <w:p w14:paraId="23224AB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ВОИВ</w:t>
            </w:r>
          </w:p>
        </w:tc>
        <w:tc>
          <w:tcPr>
            <w:tcW w:w="1502" w:type="dxa"/>
            <w:tcBorders>
              <w:top w:val="single" w:sz="4" w:space="0" w:color="auto"/>
              <w:left w:val="single" w:sz="4" w:space="0" w:color="auto"/>
              <w:bottom w:val="single" w:sz="4" w:space="0" w:color="auto"/>
              <w:right w:val="single" w:sz="4" w:space="0" w:color="auto"/>
            </w:tcBorders>
          </w:tcPr>
          <w:p w14:paraId="759851B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Когорн</w:t>
            </w:r>
          </w:p>
        </w:tc>
        <w:tc>
          <w:tcPr>
            <w:tcW w:w="1078" w:type="dxa"/>
            <w:tcBorders>
              <w:top w:val="single" w:sz="4" w:space="0" w:color="auto"/>
              <w:left w:val="single" w:sz="4" w:space="0" w:color="auto"/>
              <w:bottom w:val="single" w:sz="4" w:space="0" w:color="auto"/>
              <w:right w:val="single" w:sz="4" w:space="0" w:color="auto"/>
            </w:tcBorders>
          </w:tcPr>
          <w:p w14:paraId="6F8415D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3947188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7785904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59FD7A7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c>
          <w:tcPr>
            <w:tcW w:w="636" w:type="dxa"/>
            <w:tcBorders>
              <w:top w:val="single" w:sz="4" w:space="0" w:color="auto"/>
              <w:left w:val="single" w:sz="4" w:space="0" w:color="auto"/>
              <w:bottom w:val="single" w:sz="4" w:space="0" w:color="auto"/>
              <w:right w:val="single" w:sz="4" w:space="0" w:color="auto"/>
            </w:tcBorders>
          </w:tcPr>
          <w:p w14:paraId="6C51075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7B929C9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r>
      <w:tr w:rsidR="00F26F01" w:rsidRPr="00C33834" w14:paraId="0A378217" w14:textId="77777777" w:rsidTr="003628CD">
        <w:tc>
          <w:tcPr>
            <w:tcW w:w="1007" w:type="dxa"/>
            <w:tcBorders>
              <w:top w:val="single" w:sz="4" w:space="0" w:color="auto"/>
              <w:left w:val="single" w:sz="4" w:space="0" w:color="auto"/>
              <w:bottom w:val="single" w:sz="4" w:space="0" w:color="auto"/>
              <w:right w:val="single" w:sz="4" w:space="0" w:color="auto"/>
            </w:tcBorders>
          </w:tcPr>
          <w:p w14:paraId="45C7967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Локомотив</w:t>
            </w:r>
          </w:p>
        </w:tc>
        <w:tc>
          <w:tcPr>
            <w:tcW w:w="1502" w:type="dxa"/>
            <w:tcBorders>
              <w:top w:val="single" w:sz="4" w:space="0" w:color="auto"/>
              <w:left w:val="single" w:sz="4" w:space="0" w:color="auto"/>
              <w:bottom w:val="single" w:sz="4" w:space="0" w:color="auto"/>
              <w:right w:val="single" w:sz="4" w:space="0" w:color="auto"/>
            </w:tcBorders>
          </w:tcPr>
          <w:p w14:paraId="14E39F8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Борзиг</w:t>
            </w:r>
          </w:p>
        </w:tc>
        <w:tc>
          <w:tcPr>
            <w:tcW w:w="1078" w:type="dxa"/>
            <w:tcBorders>
              <w:top w:val="single" w:sz="4" w:space="0" w:color="auto"/>
              <w:left w:val="single" w:sz="4" w:space="0" w:color="auto"/>
              <w:bottom w:val="single" w:sz="4" w:space="0" w:color="auto"/>
              <w:right w:val="single" w:sz="4" w:space="0" w:color="auto"/>
            </w:tcBorders>
          </w:tcPr>
          <w:p w14:paraId="7B6BF18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1926</w:t>
            </w:r>
          </w:p>
        </w:tc>
        <w:tc>
          <w:tcPr>
            <w:tcW w:w="1219" w:type="dxa"/>
            <w:tcBorders>
              <w:top w:val="single" w:sz="4" w:space="0" w:color="auto"/>
              <w:left w:val="single" w:sz="4" w:space="0" w:color="auto"/>
              <w:bottom w:val="single" w:sz="4" w:space="0" w:color="auto"/>
              <w:right w:val="single" w:sz="4" w:space="0" w:color="auto"/>
            </w:tcBorders>
          </w:tcPr>
          <w:p w14:paraId="771CDE8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29925DE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6F2A286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w:t>
            </w:r>
          </w:p>
        </w:tc>
        <w:tc>
          <w:tcPr>
            <w:tcW w:w="636" w:type="dxa"/>
            <w:tcBorders>
              <w:top w:val="single" w:sz="4" w:space="0" w:color="auto"/>
              <w:left w:val="single" w:sz="4" w:space="0" w:color="auto"/>
              <w:bottom w:val="single" w:sz="4" w:space="0" w:color="auto"/>
              <w:right w:val="single" w:sz="4" w:space="0" w:color="auto"/>
            </w:tcBorders>
          </w:tcPr>
          <w:p w14:paraId="3F5E144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173C954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w:t>
            </w:r>
          </w:p>
        </w:tc>
      </w:tr>
      <w:tr w:rsidR="00F26F01" w:rsidRPr="00C33834" w14:paraId="3D0F5762" w14:textId="77777777" w:rsidTr="003628CD">
        <w:tc>
          <w:tcPr>
            <w:tcW w:w="1007" w:type="dxa"/>
            <w:tcBorders>
              <w:top w:val="single" w:sz="4" w:space="0" w:color="auto"/>
              <w:left w:val="single" w:sz="4" w:space="0" w:color="auto"/>
              <w:bottom w:val="single" w:sz="4" w:space="0" w:color="auto"/>
              <w:right w:val="single" w:sz="4" w:space="0" w:color="auto"/>
            </w:tcBorders>
          </w:tcPr>
          <w:p w14:paraId="0E864FC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Кузнецкстрой</w:t>
            </w:r>
          </w:p>
        </w:tc>
        <w:tc>
          <w:tcPr>
            <w:tcW w:w="1502" w:type="dxa"/>
            <w:tcBorders>
              <w:top w:val="single" w:sz="4" w:space="0" w:color="auto"/>
              <w:left w:val="single" w:sz="4" w:space="0" w:color="auto"/>
              <w:bottom w:val="single" w:sz="4" w:space="0" w:color="auto"/>
              <w:right w:val="single" w:sz="4" w:space="0" w:color="auto"/>
            </w:tcBorders>
          </w:tcPr>
          <w:p w14:paraId="51B01BB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ФРЕЙН</w:t>
            </w:r>
          </w:p>
        </w:tc>
        <w:tc>
          <w:tcPr>
            <w:tcW w:w="1078" w:type="dxa"/>
            <w:tcBorders>
              <w:top w:val="single" w:sz="4" w:space="0" w:color="auto"/>
              <w:left w:val="single" w:sz="4" w:space="0" w:color="auto"/>
              <w:bottom w:val="single" w:sz="4" w:space="0" w:color="auto"/>
              <w:right w:val="single" w:sz="4" w:space="0" w:color="auto"/>
            </w:tcBorders>
          </w:tcPr>
          <w:p w14:paraId="6C24878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506F775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w:t>
            </w:r>
          </w:p>
        </w:tc>
        <w:tc>
          <w:tcPr>
            <w:tcW w:w="989" w:type="dxa"/>
            <w:tcBorders>
              <w:top w:val="single" w:sz="4" w:space="0" w:color="auto"/>
              <w:left w:val="single" w:sz="4" w:space="0" w:color="auto"/>
              <w:bottom w:val="single" w:sz="4" w:space="0" w:color="auto"/>
              <w:right w:val="single" w:sz="4" w:space="0" w:color="auto"/>
            </w:tcBorders>
          </w:tcPr>
          <w:p w14:paraId="5F4335C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3072EAF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43ACA6C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275</w:t>
            </w:r>
          </w:p>
        </w:tc>
        <w:tc>
          <w:tcPr>
            <w:tcW w:w="353" w:type="dxa"/>
            <w:tcBorders>
              <w:top w:val="single" w:sz="4" w:space="0" w:color="auto"/>
              <w:left w:val="single" w:sz="4" w:space="0" w:color="auto"/>
              <w:bottom w:val="single" w:sz="4" w:space="0" w:color="auto"/>
              <w:right w:val="single" w:sz="4" w:space="0" w:color="auto"/>
            </w:tcBorders>
          </w:tcPr>
          <w:p w14:paraId="5186D7B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275</w:t>
            </w:r>
          </w:p>
        </w:tc>
      </w:tr>
      <w:tr w:rsidR="00F26F01" w:rsidRPr="00C33834" w14:paraId="758D9309" w14:textId="77777777" w:rsidTr="003628CD">
        <w:tc>
          <w:tcPr>
            <w:tcW w:w="1007" w:type="dxa"/>
            <w:tcBorders>
              <w:top w:val="single" w:sz="4" w:space="0" w:color="auto"/>
              <w:left w:val="single" w:sz="4" w:space="0" w:color="auto"/>
              <w:bottom w:val="single" w:sz="4" w:space="0" w:color="auto"/>
              <w:right w:val="single" w:sz="4" w:space="0" w:color="auto"/>
            </w:tcBorders>
          </w:tcPr>
          <w:p w14:paraId="10982FC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Всехимпром</w:t>
            </w:r>
          </w:p>
        </w:tc>
        <w:tc>
          <w:tcPr>
            <w:tcW w:w="1502" w:type="dxa"/>
            <w:tcBorders>
              <w:top w:val="single" w:sz="4" w:space="0" w:color="auto"/>
              <w:left w:val="single" w:sz="4" w:space="0" w:color="auto"/>
              <w:bottom w:val="single" w:sz="4" w:space="0" w:color="auto"/>
              <w:right w:val="single" w:sz="4" w:space="0" w:color="auto"/>
            </w:tcBorders>
          </w:tcPr>
          <w:p w14:paraId="396CE13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ГИББС</w:t>
            </w:r>
          </w:p>
        </w:tc>
        <w:tc>
          <w:tcPr>
            <w:tcW w:w="1078" w:type="dxa"/>
            <w:tcBorders>
              <w:top w:val="single" w:sz="4" w:space="0" w:color="auto"/>
              <w:left w:val="single" w:sz="4" w:space="0" w:color="auto"/>
              <w:bottom w:val="single" w:sz="4" w:space="0" w:color="auto"/>
              <w:right w:val="single" w:sz="4" w:space="0" w:color="auto"/>
            </w:tcBorders>
          </w:tcPr>
          <w:p w14:paraId="21080C1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1928</w:t>
            </w:r>
          </w:p>
        </w:tc>
        <w:tc>
          <w:tcPr>
            <w:tcW w:w="1219" w:type="dxa"/>
            <w:tcBorders>
              <w:top w:val="single" w:sz="4" w:space="0" w:color="auto"/>
              <w:left w:val="single" w:sz="4" w:space="0" w:color="auto"/>
              <w:bottom w:val="single" w:sz="4" w:space="0" w:color="auto"/>
              <w:right w:val="single" w:sz="4" w:space="0" w:color="auto"/>
            </w:tcBorders>
          </w:tcPr>
          <w:p w14:paraId="4CC4886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2AB28EA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c>
          <w:tcPr>
            <w:tcW w:w="636" w:type="dxa"/>
            <w:tcBorders>
              <w:top w:val="single" w:sz="4" w:space="0" w:color="auto"/>
              <w:left w:val="single" w:sz="4" w:space="0" w:color="auto"/>
              <w:bottom w:val="single" w:sz="4" w:space="0" w:color="auto"/>
              <w:right w:val="single" w:sz="4" w:space="0" w:color="auto"/>
            </w:tcBorders>
          </w:tcPr>
          <w:p w14:paraId="1F18247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7C3CBE9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4169091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r>
      <w:tr w:rsidR="00F26F01" w:rsidRPr="00C33834" w14:paraId="78D64F82" w14:textId="77777777" w:rsidTr="003628CD">
        <w:tc>
          <w:tcPr>
            <w:tcW w:w="1007" w:type="dxa"/>
            <w:tcBorders>
              <w:top w:val="single" w:sz="4" w:space="0" w:color="auto"/>
              <w:left w:val="single" w:sz="4" w:space="0" w:color="auto"/>
              <w:bottom w:val="single" w:sz="4" w:space="0" w:color="auto"/>
              <w:right w:val="single" w:sz="4" w:space="0" w:color="auto"/>
            </w:tcBorders>
          </w:tcPr>
          <w:p w14:paraId="534EB38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Всехимпром</w:t>
            </w:r>
          </w:p>
        </w:tc>
        <w:tc>
          <w:tcPr>
            <w:tcW w:w="1502" w:type="dxa"/>
            <w:tcBorders>
              <w:top w:val="single" w:sz="4" w:space="0" w:color="auto"/>
              <w:left w:val="single" w:sz="4" w:space="0" w:color="auto"/>
              <w:bottom w:val="single" w:sz="4" w:space="0" w:color="auto"/>
              <w:right w:val="single" w:sz="4" w:space="0" w:color="auto"/>
            </w:tcBorders>
          </w:tcPr>
          <w:p w14:paraId="0D496A2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Нитрит</w:t>
            </w:r>
          </w:p>
        </w:tc>
        <w:tc>
          <w:tcPr>
            <w:tcW w:w="1078" w:type="dxa"/>
            <w:tcBorders>
              <w:top w:val="single" w:sz="4" w:space="0" w:color="auto"/>
              <w:left w:val="single" w:sz="4" w:space="0" w:color="auto"/>
              <w:bottom w:val="single" w:sz="4" w:space="0" w:color="auto"/>
              <w:right w:val="single" w:sz="4" w:space="0" w:color="auto"/>
            </w:tcBorders>
          </w:tcPr>
          <w:p w14:paraId="547A318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1927</w:t>
            </w:r>
          </w:p>
        </w:tc>
        <w:tc>
          <w:tcPr>
            <w:tcW w:w="1219" w:type="dxa"/>
            <w:tcBorders>
              <w:top w:val="single" w:sz="4" w:space="0" w:color="auto"/>
              <w:left w:val="single" w:sz="4" w:space="0" w:color="auto"/>
              <w:bottom w:val="single" w:sz="4" w:space="0" w:color="auto"/>
              <w:right w:val="single" w:sz="4" w:space="0" w:color="auto"/>
            </w:tcBorders>
          </w:tcPr>
          <w:p w14:paraId="6ECB26A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0297360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636" w:type="dxa"/>
            <w:tcBorders>
              <w:top w:val="single" w:sz="4" w:space="0" w:color="auto"/>
              <w:left w:val="single" w:sz="4" w:space="0" w:color="auto"/>
              <w:bottom w:val="single" w:sz="4" w:space="0" w:color="auto"/>
              <w:right w:val="single" w:sz="4" w:space="0" w:color="auto"/>
            </w:tcBorders>
          </w:tcPr>
          <w:p w14:paraId="7E0178F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1989CF2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56DD0A0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r>
      <w:tr w:rsidR="00F26F01" w:rsidRPr="00C33834" w14:paraId="01F38C9E" w14:textId="77777777" w:rsidTr="003628CD">
        <w:tc>
          <w:tcPr>
            <w:tcW w:w="1007" w:type="dxa"/>
            <w:tcBorders>
              <w:top w:val="single" w:sz="4" w:space="0" w:color="auto"/>
              <w:left w:val="single" w:sz="4" w:space="0" w:color="auto"/>
              <w:bottom w:val="single" w:sz="4" w:space="0" w:color="auto"/>
              <w:right w:val="single" w:sz="4" w:space="0" w:color="auto"/>
            </w:tcBorders>
          </w:tcPr>
          <w:p w14:paraId="50B52B6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Цветметзолото</w:t>
            </w:r>
          </w:p>
        </w:tc>
        <w:tc>
          <w:tcPr>
            <w:tcW w:w="1502" w:type="dxa"/>
            <w:tcBorders>
              <w:top w:val="single" w:sz="4" w:space="0" w:color="auto"/>
              <w:left w:val="single" w:sz="4" w:space="0" w:color="auto"/>
              <w:bottom w:val="single" w:sz="4" w:space="0" w:color="auto"/>
              <w:right w:val="single" w:sz="4" w:space="0" w:color="auto"/>
            </w:tcBorders>
          </w:tcPr>
          <w:p w14:paraId="515008E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Сименс-Гальске</w:t>
            </w:r>
          </w:p>
        </w:tc>
        <w:tc>
          <w:tcPr>
            <w:tcW w:w="1078" w:type="dxa"/>
            <w:tcBorders>
              <w:top w:val="single" w:sz="4" w:space="0" w:color="auto"/>
              <w:left w:val="single" w:sz="4" w:space="0" w:color="auto"/>
              <w:bottom w:val="single" w:sz="4" w:space="0" w:color="auto"/>
              <w:right w:val="single" w:sz="4" w:space="0" w:color="auto"/>
            </w:tcBorders>
          </w:tcPr>
          <w:p w14:paraId="06718B7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4D00F58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38D821F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c>
          <w:tcPr>
            <w:tcW w:w="636" w:type="dxa"/>
            <w:tcBorders>
              <w:top w:val="single" w:sz="4" w:space="0" w:color="auto"/>
              <w:left w:val="single" w:sz="4" w:space="0" w:color="auto"/>
              <w:bottom w:val="single" w:sz="4" w:space="0" w:color="auto"/>
              <w:right w:val="single" w:sz="4" w:space="0" w:color="auto"/>
            </w:tcBorders>
          </w:tcPr>
          <w:p w14:paraId="569B1BF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178C2DB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77C2A9A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r>
      <w:tr w:rsidR="00F26F01" w:rsidRPr="00C33834" w14:paraId="260983C3" w14:textId="77777777" w:rsidTr="003628CD">
        <w:tc>
          <w:tcPr>
            <w:tcW w:w="1007" w:type="dxa"/>
            <w:tcBorders>
              <w:top w:val="single" w:sz="4" w:space="0" w:color="auto"/>
              <w:left w:val="single" w:sz="4" w:space="0" w:color="auto"/>
              <w:bottom w:val="single" w:sz="4" w:space="0" w:color="auto"/>
              <w:right w:val="single" w:sz="4" w:space="0" w:color="auto"/>
            </w:tcBorders>
          </w:tcPr>
          <w:p w14:paraId="7766432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Лен. Текстиль</w:t>
            </w:r>
          </w:p>
        </w:tc>
        <w:tc>
          <w:tcPr>
            <w:tcW w:w="1502" w:type="dxa"/>
            <w:tcBorders>
              <w:top w:val="single" w:sz="4" w:space="0" w:color="auto"/>
              <w:left w:val="single" w:sz="4" w:space="0" w:color="auto"/>
              <w:bottom w:val="single" w:sz="4" w:space="0" w:color="auto"/>
              <w:right w:val="single" w:sz="4" w:space="0" w:color="auto"/>
            </w:tcBorders>
          </w:tcPr>
          <w:p w14:paraId="292BA43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Суари</w:t>
            </w:r>
          </w:p>
        </w:tc>
        <w:tc>
          <w:tcPr>
            <w:tcW w:w="1078" w:type="dxa"/>
            <w:tcBorders>
              <w:top w:val="single" w:sz="4" w:space="0" w:color="auto"/>
              <w:left w:val="single" w:sz="4" w:space="0" w:color="auto"/>
              <w:bottom w:val="single" w:sz="4" w:space="0" w:color="auto"/>
              <w:right w:val="single" w:sz="4" w:space="0" w:color="auto"/>
            </w:tcBorders>
          </w:tcPr>
          <w:p w14:paraId="0A468EA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4FDB152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22C832E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tc>
        <w:tc>
          <w:tcPr>
            <w:tcW w:w="636" w:type="dxa"/>
            <w:tcBorders>
              <w:top w:val="single" w:sz="4" w:space="0" w:color="auto"/>
              <w:left w:val="single" w:sz="4" w:space="0" w:color="auto"/>
              <w:bottom w:val="single" w:sz="4" w:space="0" w:color="auto"/>
              <w:right w:val="single" w:sz="4" w:space="0" w:color="auto"/>
            </w:tcBorders>
          </w:tcPr>
          <w:p w14:paraId="755542F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62F724B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3E49889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w:t>
            </w:r>
          </w:p>
        </w:tc>
      </w:tr>
      <w:tr w:rsidR="00F26F01" w:rsidRPr="00C33834" w14:paraId="0BDCB740" w14:textId="77777777" w:rsidTr="003628CD">
        <w:tc>
          <w:tcPr>
            <w:tcW w:w="1007" w:type="dxa"/>
            <w:tcBorders>
              <w:top w:val="single" w:sz="4" w:space="0" w:color="auto"/>
              <w:left w:val="single" w:sz="4" w:space="0" w:color="auto"/>
              <w:bottom w:val="single" w:sz="4" w:space="0" w:color="auto"/>
              <w:right w:val="single" w:sz="4" w:space="0" w:color="auto"/>
            </w:tcBorders>
          </w:tcPr>
          <w:p w14:paraId="56109C3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Союзасбест</w:t>
            </w:r>
          </w:p>
        </w:tc>
        <w:tc>
          <w:tcPr>
            <w:tcW w:w="1502" w:type="dxa"/>
            <w:tcBorders>
              <w:top w:val="single" w:sz="4" w:space="0" w:color="auto"/>
              <w:left w:val="single" w:sz="4" w:space="0" w:color="auto"/>
              <w:bottom w:val="single" w:sz="4" w:space="0" w:color="auto"/>
              <w:right w:val="single" w:sz="4" w:space="0" w:color="auto"/>
            </w:tcBorders>
          </w:tcPr>
          <w:p w14:paraId="5644E12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Рюккайзер</w:t>
            </w:r>
          </w:p>
        </w:tc>
        <w:tc>
          <w:tcPr>
            <w:tcW w:w="1078" w:type="dxa"/>
            <w:tcBorders>
              <w:top w:val="single" w:sz="4" w:space="0" w:color="auto"/>
              <w:left w:val="single" w:sz="4" w:space="0" w:color="auto"/>
              <w:bottom w:val="single" w:sz="4" w:space="0" w:color="auto"/>
              <w:right w:val="single" w:sz="4" w:space="0" w:color="auto"/>
            </w:tcBorders>
          </w:tcPr>
          <w:p w14:paraId="2B7EC82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39D2178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4BDC695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w:t>
            </w:r>
          </w:p>
        </w:tc>
        <w:tc>
          <w:tcPr>
            <w:tcW w:w="636" w:type="dxa"/>
            <w:tcBorders>
              <w:top w:val="single" w:sz="4" w:space="0" w:color="auto"/>
              <w:left w:val="single" w:sz="4" w:space="0" w:color="auto"/>
              <w:bottom w:val="single" w:sz="4" w:space="0" w:color="auto"/>
              <w:right w:val="single" w:sz="4" w:space="0" w:color="auto"/>
            </w:tcBorders>
          </w:tcPr>
          <w:p w14:paraId="61C1C7E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621FDE6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7BA5348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w:t>
            </w:r>
          </w:p>
        </w:tc>
      </w:tr>
      <w:tr w:rsidR="00F26F01" w:rsidRPr="00C33834" w14:paraId="1ACA1426" w14:textId="77777777" w:rsidTr="003628CD">
        <w:tc>
          <w:tcPr>
            <w:tcW w:w="1007" w:type="dxa"/>
            <w:tcBorders>
              <w:top w:val="single" w:sz="4" w:space="0" w:color="auto"/>
              <w:left w:val="single" w:sz="4" w:space="0" w:color="auto"/>
              <w:bottom w:val="single" w:sz="4" w:space="0" w:color="auto"/>
              <w:right w:val="single" w:sz="4" w:space="0" w:color="auto"/>
            </w:tcBorders>
          </w:tcPr>
          <w:p w14:paraId="2D6EB92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Швейпром</w:t>
            </w:r>
          </w:p>
        </w:tc>
        <w:tc>
          <w:tcPr>
            <w:tcW w:w="1502" w:type="dxa"/>
            <w:tcBorders>
              <w:top w:val="single" w:sz="4" w:space="0" w:color="auto"/>
              <w:left w:val="single" w:sz="4" w:space="0" w:color="auto"/>
              <w:bottom w:val="single" w:sz="4" w:space="0" w:color="auto"/>
              <w:right w:val="single" w:sz="4" w:space="0" w:color="auto"/>
            </w:tcBorders>
          </w:tcPr>
          <w:p w14:paraId="0BC157F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Ирвинг</w:t>
            </w:r>
          </w:p>
        </w:tc>
        <w:tc>
          <w:tcPr>
            <w:tcW w:w="1078" w:type="dxa"/>
            <w:tcBorders>
              <w:top w:val="single" w:sz="4" w:space="0" w:color="auto"/>
              <w:left w:val="single" w:sz="4" w:space="0" w:color="auto"/>
              <w:bottom w:val="single" w:sz="4" w:space="0" w:color="auto"/>
              <w:right w:val="single" w:sz="4" w:space="0" w:color="auto"/>
            </w:tcBorders>
          </w:tcPr>
          <w:p w14:paraId="1358A04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4A09C62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74043B8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636" w:type="dxa"/>
            <w:tcBorders>
              <w:top w:val="single" w:sz="4" w:space="0" w:color="auto"/>
              <w:left w:val="single" w:sz="4" w:space="0" w:color="auto"/>
              <w:bottom w:val="single" w:sz="4" w:space="0" w:color="auto"/>
              <w:right w:val="single" w:sz="4" w:space="0" w:color="auto"/>
            </w:tcBorders>
          </w:tcPr>
          <w:p w14:paraId="616DB1E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484F5D9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27C7105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r>
      <w:tr w:rsidR="00F26F01" w:rsidRPr="00C33834" w14:paraId="7FAD889D" w14:textId="77777777" w:rsidTr="003628CD">
        <w:tc>
          <w:tcPr>
            <w:tcW w:w="1007" w:type="dxa"/>
            <w:tcBorders>
              <w:top w:val="single" w:sz="4" w:space="0" w:color="auto"/>
              <w:left w:val="single" w:sz="4" w:space="0" w:color="auto"/>
              <w:bottom w:val="single" w:sz="4" w:space="0" w:color="auto"/>
              <w:right w:val="single" w:sz="4" w:space="0" w:color="auto"/>
            </w:tcBorders>
          </w:tcPr>
          <w:p w14:paraId="5573C10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Вохимтрест</w:t>
            </w:r>
          </w:p>
        </w:tc>
        <w:tc>
          <w:tcPr>
            <w:tcW w:w="1502" w:type="dxa"/>
            <w:tcBorders>
              <w:top w:val="single" w:sz="4" w:space="0" w:color="auto"/>
              <w:left w:val="single" w:sz="4" w:space="0" w:color="auto"/>
              <w:bottom w:val="single" w:sz="4" w:space="0" w:color="auto"/>
              <w:right w:val="single" w:sz="4" w:space="0" w:color="auto"/>
            </w:tcBorders>
          </w:tcPr>
          <w:p w14:paraId="54C137D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Стик-Обур</w:t>
            </w:r>
          </w:p>
        </w:tc>
        <w:tc>
          <w:tcPr>
            <w:tcW w:w="1078" w:type="dxa"/>
            <w:tcBorders>
              <w:top w:val="single" w:sz="4" w:space="0" w:color="auto"/>
              <w:left w:val="single" w:sz="4" w:space="0" w:color="auto"/>
              <w:bottom w:val="single" w:sz="4" w:space="0" w:color="auto"/>
              <w:right w:val="single" w:sz="4" w:space="0" w:color="auto"/>
            </w:tcBorders>
          </w:tcPr>
          <w:p w14:paraId="1387BDC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59871A4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2F082A7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6751660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w:t>
            </w:r>
          </w:p>
        </w:tc>
        <w:tc>
          <w:tcPr>
            <w:tcW w:w="636" w:type="dxa"/>
            <w:tcBorders>
              <w:top w:val="single" w:sz="4" w:space="0" w:color="auto"/>
              <w:left w:val="single" w:sz="4" w:space="0" w:color="auto"/>
              <w:bottom w:val="single" w:sz="4" w:space="0" w:color="auto"/>
              <w:right w:val="single" w:sz="4" w:space="0" w:color="auto"/>
            </w:tcBorders>
          </w:tcPr>
          <w:p w14:paraId="38C3013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2C1368F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w:t>
            </w:r>
          </w:p>
        </w:tc>
      </w:tr>
      <w:tr w:rsidR="00F26F01" w:rsidRPr="00C33834" w14:paraId="0C996B4C" w14:textId="77777777" w:rsidTr="003628CD">
        <w:tc>
          <w:tcPr>
            <w:tcW w:w="1007" w:type="dxa"/>
            <w:tcBorders>
              <w:top w:val="single" w:sz="4" w:space="0" w:color="auto"/>
              <w:left w:val="single" w:sz="4" w:space="0" w:color="auto"/>
              <w:bottom w:val="single" w:sz="4" w:space="0" w:color="auto"/>
              <w:right w:val="single" w:sz="4" w:space="0" w:color="auto"/>
            </w:tcBorders>
          </w:tcPr>
          <w:p w14:paraId="3F5EEF8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Оруд. объед.</w:t>
            </w:r>
          </w:p>
        </w:tc>
        <w:tc>
          <w:tcPr>
            <w:tcW w:w="1502" w:type="dxa"/>
            <w:tcBorders>
              <w:top w:val="single" w:sz="4" w:space="0" w:color="auto"/>
              <w:left w:val="single" w:sz="4" w:space="0" w:color="auto"/>
              <w:bottom w:val="single" w:sz="4" w:space="0" w:color="auto"/>
              <w:right w:val="single" w:sz="4" w:space="0" w:color="auto"/>
            </w:tcBorders>
          </w:tcPr>
          <w:p w14:paraId="3818486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Фольмар</w:t>
            </w:r>
          </w:p>
        </w:tc>
        <w:tc>
          <w:tcPr>
            <w:tcW w:w="1078" w:type="dxa"/>
            <w:tcBorders>
              <w:top w:val="single" w:sz="4" w:space="0" w:color="auto"/>
              <w:left w:val="single" w:sz="4" w:space="0" w:color="auto"/>
              <w:bottom w:val="single" w:sz="4" w:space="0" w:color="auto"/>
              <w:right w:val="single" w:sz="4" w:space="0" w:color="auto"/>
            </w:tcBorders>
          </w:tcPr>
          <w:p w14:paraId="169DF43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44AE3A7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6B06D82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00A01F7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636" w:type="dxa"/>
            <w:tcBorders>
              <w:top w:val="single" w:sz="4" w:space="0" w:color="auto"/>
              <w:left w:val="single" w:sz="4" w:space="0" w:color="auto"/>
              <w:bottom w:val="single" w:sz="4" w:space="0" w:color="auto"/>
              <w:right w:val="single" w:sz="4" w:space="0" w:color="auto"/>
            </w:tcBorders>
          </w:tcPr>
          <w:p w14:paraId="19E438C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6363F42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r>
      <w:tr w:rsidR="00F26F01" w:rsidRPr="00C33834" w14:paraId="1E5D2F7C" w14:textId="77777777" w:rsidTr="003628CD">
        <w:tc>
          <w:tcPr>
            <w:tcW w:w="1007" w:type="dxa"/>
            <w:tcBorders>
              <w:top w:val="single" w:sz="4" w:space="0" w:color="auto"/>
              <w:left w:val="single" w:sz="4" w:space="0" w:color="auto"/>
              <w:bottom w:val="single" w:sz="4" w:space="0" w:color="auto"/>
              <w:right w:val="single" w:sz="4" w:space="0" w:color="auto"/>
            </w:tcBorders>
          </w:tcPr>
          <w:p w14:paraId="74B6018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ВЭСО</w:t>
            </w:r>
          </w:p>
        </w:tc>
        <w:tc>
          <w:tcPr>
            <w:tcW w:w="1502" w:type="dxa"/>
            <w:tcBorders>
              <w:top w:val="single" w:sz="4" w:space="0" w:color="auto"/>
              <w:left w:val="single" w:sz="4" w:space="0" w:color="auto"/>
              <w:bottom w:val="single" w:sz="4" w:space="0" w:color="auto"/>
              <w:right w:val="single" w:sz="4" w:space="0" w:color="auto"/>
            </w:tcBorders>
          </w:tcPr>
          <w:p w14:paraId="056647E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Тесафи</w:t>
            </w:r>
          </w:p>
        </w:tc>
        <w:tc>
          <w:tcPr>
            <w:tcW w:w="1078" w:type="dxa"/>
            <w:tcBorders>
              <w:top w:val="single" w:sz="4" w:space="0" w:color="auto"/>
              <w:left w:val="single" w:sz="4" w:space="0" w:color="auto"/>
              <w:bottom w:val="single" w:sz="4" w:space="0" w:color="auto"/>
              <w:right w:val="single" w:sz="4" w:space="0" w:color="auto"/>
            </w:tcBorders>
          </w:tcPr>
          <w:p w14:paraId="3FE04B7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1ABD08E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w:t>
            </w:r>
          </w:p>
        </w:tc>
        <w:tc>
          <w:tcPr>
            <w:tcW w:w="989" w:type="dxa"/>
            <w:tcBorders>
              <w:top w:val="single" w:sz="4" w:space="0" w:color="auto"/>
              <w:left w:val="single" w:sz="4" w:space="0" w:color="auto"/>
              <w:bottom w:val="single" w:sz="4" w:space="0" w:color="auto"/>
              <w:right w:val="single" w:sz="4" w:space="0" w:color="auto"/>
            </w:tcBorders>
          </w:tcPr>
          <w:p w14:paraId="610C320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2BE73C4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60FF9F6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tc>
        <w:tc>
          <w:tcPr>
            <w:tcW w:w="353" w:type="dxa"/>
            <w:tcBorders>
              <w:top w:val="single" w:sz="4" w:space="0" w:color="auto"/>
              <w:left w:val="single" w:sz="4" w:space="0" w:color="auto"/>
              <w:bottom w:val="single" w:sz="4" w:space="0" w:color="auto"/>
              <w:right w:val="single" w:sz="4" w:space="0" w:color="auto"/>
            </w:tcBorders>
          </w:tcPr>
          <w:p w14:paraId="4992C35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tc>
      </w:tr>
      <w:tr w:rsidR="00F26F01" w:rsidRPr="00C33834" w14:paraId="737C055F" w14:textId="77777777" w:rsidTr="003628CD">
        <w:tc>
          <w:tcPr>
            <w:tcW w:w="1007" w:type="dxa"/>
            <w:tcBorders>
              <w:top w:val="single" w:sz="4" w:space="0" w:color="auto"/>
              <w:left w:val="single" w:sz="4" w:space="0" w:color="auto"/>
              <w:bottom w:val="single" w:sz="4" w:space="0" w:color="auto"/>
              <w:right w:val="single" w:sz="4" w:space="0" w:color="auto"/>
            </w:tcBorders>
          </w:tcPr>
          <w:p w14:paraId="77F36F1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ВЭО</w:t>
            </w:r>
          </w:p>
        </w:tc>
        <w:tc>
          <w:tcPr>
            <w:tcW w:w="1502" w:type="dxa"/>
            <w:tcBorders>
              <w:top w:val="single" w:sz="4" w:space="0" w:color="auto"/>
              <w:left w:val="single" w:sz="4" w:space="0" w:color="auto"/>
              <w:bottom w:val="single" w:sz="4" w:space="0" w:color="auto"/>
              <w:right w:val="single" w:sz="4" w:space="0" w:color="auto"/>
            </w:tcBorders>
          </w:tcPr>
          <w:p w14:paraId="50F9339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Любек</w:t>
            </w:r>
          </w:p>
        </w:tc>
        <w:tc>
          <w:tcPr>
            <w:tcW w:w="1078" w:type="dxa"/>
            <w:tcBorders>
              <w:top w:val="single" w:sz="4" w:space="0" w:color="auto"/>
              <w:left w:val="single" w:sz="4" w:space="0" w:color="auto"/>
              <w:bottom w:val="single" w:sz="4" w:space="0" w:color="auto"/>
              <w:right w:val="single" w:sz="4" w:space="0" w:color="auto"/>
            </w:tcBorders>
          </w:tcPr>
          <w:p w14:paraId="033D4CA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61B15A0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w:t>
            </w:r>
          </w:p>
        </w:tc>
        <w:tc>
          <w:tcPr>
            <w:tcW w:w="989" w:type="dxa"/>
            <w:tcBorders>
              <w:top w:val="single" w:sz="4" w:space="0" w:color="auto"/>
              <w:left w:val="single" w:sz="4" w:space="0" w:color="auto"/>
              <w:bottom w:val="single" w:sz="4" w:space="0" w:color="auto"/>
              <w:right w:val="single" w:sz="4" w:space="0" w:color="auto"/>
            </w:tcBorders>
          </w:tcPr>
          <w:p w14:paraId="6BD6EE4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2F80B5D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77CD106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c>
          <w:tcPr>
            <w:tcW w:w="353" w:type="dxa"/>
            <w:tcBorders>
              <w:top w:val="single" w:sz="4" w:space="0" w:color="auto"/>
              <w:left w:val="single" w:sz="4" w:space="0" w:color="auto"/>
              <w:bottom w:val="single" w:sz="4" w:space="0" w:color="auto"/>
              <w:right w:val="single" w:sz="4" w:space="0" w:color="auto"/>
            </w:tcBorders>
          </w:tcPr>
          <w:p w14:paraId="10FA758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r>
      <w:tr w:rsidR="00F26F01" w:rsidRPr="00C33834" w14:paraId="6C7A6BB6" w14:textId="77777777" w:rsidTr="003628CD">
        <w:tc>
          <w:tcPr>
            <w:tcW w:w="1007" w:type="dxa"/>
            <w:tcBorders>
              <w:top w:val="single" w:sz="4" w:space="0" w:color="auto"/>
              <w:left w:val="single" w:sz="4" w:space="0" w:color="auto"/>
              <w:bottom w:val="single" w:sz="4" w:space="0" w:color="auto"/>
              <w:right w:val="single" w:sz="4" w:space="0" w:color="auto"/>
            </w:tcBorders>
          </w:tcPr>
          <w:p w14:paraId="77E7105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ВОМТ</w:t>
            </w:r>
          </w:p>
        </w:tc>
        <w:tc>
          <w:tcPr>
            <w:tcW w:w="1502" w:type="dxa"/>
            <w:tcBorders>
              <w:top w:val="single" w:sz="4" w:space="0" w:color="auto"/>
              <w:left w:val="single" w:sz="4" w:space="0" w:color="auto"/>
              <w:bottom w:val="single" w:sz="4" w:space="0" w:color="auto"/>
              <w:right w:val="single" w:sz="4" w:space="0" w:color="auto"/>
            </w:tcBorders>
          </w:tcPr>
          <w:p w14:paraId="766A92C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Эрхардт</w:t>
            </w:r>
          </w:p>
        </w:tc>
        <w:tc>
          <w:tcPr>
            <w:tcW w:w="1078" w:type="dxa"/>
            <w:tcBorders>
              <w:top w:val="single" w:sz="4" w:space="0" w:color="auto"/>
              <w:left w:val="single" w:sz="4" w:space="0" w:color="auto"/>
              <w:bottom w:val="single" w:sz="4" w:space="0" w:color="auto"/>
              <w:right w:val="single" w:sz="4" w:space="0" w:color="auto"/>
            </w:tcBorders>
          </w:tcPr>
          <w:p w14:paraId="718DA68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623B22F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w:t>
            </w:r>
          </w:p>
        </w:tc>
        <w:tc>
          <w:tcPr>
            <w:tcW w:w="989" w:type="dxa"/>
            <w:tcBorders>
              <w:top w:val="single" w:sz="4" w:space="0" w:color="auto"/>
              <w:left w:val="single" w:sz="4" w:space="0" w:color="auto"/>
              <w:bottom w:val="single" w:sz="4" w:space="0" w:color="auto"/>
              <w:right w:val="single" w:sz="4" w:space="0" w:color="auto"/>
            </w:tcBorders>
          </w:tcPr>
          <w:p w14:paraId="11BA7E4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3A8A79D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6D716BC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w:t>
            </w:r>
          </w:p>
        </w:tc>
        <w:tc>
          <w:tcPr>
            <w:tcW w:w="353" w:type="dxa"/>
            <w:tcBorders>
              <w:top w:val="single" w:sz="4" w:space="0" w:color="auto"/>
              <w:left w:val="single" w:sz="4" w:space="0" w:color="auto"/>
              <w:bottom w:val="single" w:sz="4" w:space="0" w:color="auto"/>
              <w:right w:val="single" w:sz="4" w:space="0" w:color="auto"/>
            </w:tcBorders>
          </w:tcPr>
          <w:p w14:paraId="3341558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w:t>
            </w:r>
          </w:p>
        </w:tc>
      </w:tr>
      <w:tr w:rsidR="00F26F01" w:rsidRPr="00C33834" w14:paraId="3F44D0F5" w14:textId="77777777" w:rsidTr="003628CD">
        <w:tc>
          <w:tcPr>
            <w:tcW w:w="1007" w:type="dxa"/>
            <w:tcBorders>
              <w:top w:val="single" w:sz="4" w:space="0" w:color="auto"/>
              <w:left w:val="single" w:sz="4" w:space="0" w:color="auto"/>
              <w:bottom w:val="single" w:sz="4" w:space="0" w:color="auto"/>
              <w:right w:val="single" w:sz="4" w:space="0" w:color="auto"/>
            </w:tcBorders>
          </w:tcPr>
          <w:p w14:paraId="2F831F4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ВОМТ</w:t>
            </w:r>
          </w:p>
        </w:tc>
        <w:tc>
          <w:tcPr>
            <w:tcW w:w="1502" w:type="dxa"/>
            <w:tcBorders>
              <w:top w:val="single" w:sz="4" w:space="0" w:color="auto"/>
              <w:left w:val="single" w:sz="4" w:space="0" w:color="auto"/>
              <w:bottom w:val="single" w:sz="4" w:space="0" w:color="auto"/>
              <w:right w:val="single" w:sz="4" w:space="0" w:color="auto"/>
            </w:tcBorders>
          </w:tcPr>
          <w:p w14:paraId="5452B71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Крупп-Груз.</w:t>
            </w:r>
          </w:p>
        </w:tc>
        <w:tc>
          <w:tcPr>
            <w:tcW w:w="1078" w:type="dxa"/>
            <w:tcBorders>
              <w:top w:val="single" w:sz="4" w:space="0" w:color="auto"/>
              <w:left w:val="single" w:sz="4" w:space="0" w:color="auto"/>
              <w:bottom w:val="single" w:sz="4" w:space="0" w:color="auto"/>
              <w:right w:val="single" w:sz="4" w:space="0" w:color="auto"/>
            </w:tcBorders>
          </w:tcPr>
          <w:p w14:paraId="0446A2D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24E2799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w:t>
            </w:r>
          </w:p>
        </w:tc>
        <w:tc>
          <w:tcPr>
            <w:tcW w:w="989" w:type="dxa"/>
            <w:tcBorders>
              <w:top w:val="single" w:sz="4" w:space="0" w:color="auto"/>
              <w:left w:val="single" w:sz="4" w:space="0" w:color="auto"/>
              <w:bottom w:val="single" w:sz="4" w:space="0" w:color="auto"/>
              <w:right w:val="single" w:sz="4" w:space="0" w:color="auto"/>
            </w:tcBorders>
          </w:tcPr>
          <w:p w14:paraId="1F5E402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7DD03D3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38CA068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w:t>
            </w:r>
          </w:p>
        </w:tc>
        <w:tc>
          <w:tcPr>
            <w:tcW w:w="353" w:type="dxa"/>
            <w:tcBorders>
              <w:top w:val="single" w:sz="4" w:space="0" w:color="auto"/>
              <w:left w:val="single" w:sz="4" w:space="0" w:color="auto"/>
              <w:bottom w:val="single" w:sz="4" w:space="0" w:color="auto"/>
              <w:right w:val="single" w:sz="4" w:space="0" w:color="auto"/>
            </w:tcBorders>
          </w:tcPr>
          <w:p w14:paraId="396A54D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w:t>
            </w:r>
          </w:p>
        </w:tc>
      </w:tr>
      <w:tr w:rsidR="00F26F01" w:rsidRPr="00C33834" w14:paraId="2619B68E" w14:textId="77777777" w:rsidTr="003628CD">
        <w:tc>
          <w:tcPr>
            <w:tcW w:w="1007" w:type="dxa"/>
            <w:gridSpan w:val="4"/>
            <w:tcBorders>
              <w:top w:val="single" w:sz="4" w:space="0" w:color="auto"/>
              <w:left w:val="single" w:sz="4" w:space="0" w:color="auto"/>
              <w:bottom w:val="single" w:sz="4" w:space="0" w:color="auto"/>
              <w:right w:val="single" w:sz="4" w:space="0" w:color="auto"/>
            </w:tcBorders>
          </w:tcPr>
          <w:p w14:paraId="4E112A9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РАСТОРГНУТО 37 ДОГОВОРОВ</w:t>
            </w:r>
          </w:p>
        </w:tc>
        <w:tc>
          <w:tcPr>
            <w:tcW w:w="989" w:type="dxa"/>
            <w:tcBorders>
              <w:top w:val="single" w:sz="4" w:space="0" w:color="auto"/>
              <w:left w:val="single" w:sz="4" w:space="0" w:color="auto"/>
              <w:bottom w:val="single" w:sz="4" w:space="0" w:color="auto"/>
              <w:right w:val="single" w:sz="4" w:space="0" w:color="auto"/>
            </w:tcBorders>
          </w:tcPr>
          <w:p w14:paraId="039B7F5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3494</w:t>
            </w:r>
          </w:p>
        </w:tc>
        <w:tc>
          <w:tcPr>
            <w:tcW w:w="636" w:type="dxa"/>
            <w:tcBorders>
              <w:top w:val="single" w:sz="4" w:space="0" w:color="auto"/>
              <w:left w:val="single" w:sz="4" w:space="0" w:color="auto"/>
              <w:bottom w:val="single" w:sz="4" w:space="0" w:color="auto"/>
              <w:right w:val="single" w:sz="4" w:space="0" w:color="auto"/>
            </w:tcBorders>
          </w:tcPr>
          <w:p w14:paraId="7F70944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12090</w:t>
            </w:r>
          </w:p>
        </w:tc>
        <w:tc>
          <w:tcPr>
            <w:tcW w:w="636" w:type="dxa"/>
            <w:tcBorders>
              <w:top w:val="single" w:sz="4" w:space="0" w:color="auto"/>
              <w:left w:val="single" w:sz="4" w:space="0" w:color="auto"/>
              <w:bottom w:val="single" w:sz="4" w:space="0" w:color="auto"/>
              <w:right w:val="single" w:sz="4" w:space="0" w:color="auto"/>
            </w:tcBorders>
          </w:tcPr>
          <w:p w14:paraId="1CF45A2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528</w:t>
            </w:r>
          </w:p>
        </w:tc>
        <w:tc>
          <w:tcPr>
            <w:tcW w:w="353" w:type="dxa"/>
            <w:tcBorders>
              <w:top w:val="single" w:sz="4" w:space="0" w:color="auto"/>
              <w:left w:val="single" w:sz="4" w:space="0" w:color="auto"/>
              <w:bottom w:val="single" w:sz="4" w:space="0" w:color="auto"/>
              <w:right w:val="single" w:sz="4" w:space="0" w:color="auto"/>
            </w:tcBorders>
          </w:tcPr>
          <w:p w14:paraId="6534652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16112</w:t>
            </w:r>
          </w:p>
        </w:tc>
      </w:tr>
    </w:tbl>
    <w:p w14:paraId="437D253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 Договора, отмеченные (*) расторгнуты односторонне, т. е. фирмам заявлено о прекращении договоров и все платежи задержаны. По этим договорам валютная экономия взята в размере 50% задержанных сумм, учитывая возможность выплаты некоторых компенсационных сумм.</w:t>
      </w:r>
    </w:p>
    <w:p w14:paraId="3308F78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Следующие цифры дают представление об общих валютных затратах на договора технической помощи:</w:t>
      </w:r>
    </w:p>
    <w:p w14:paraId="7A0D0CB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стоимость всех заключенных 170 договоров около 93 миллионов руб., из этой суммы на 1.XII.1933 г. уплачено около 65 млн. руб., достигнута экономия благодаря досрочному прекращению договоров около 16 млн. руб. и предстоит, следовательно, уплатить в 1934 г. и последующих около 12 млн. руб.</w:t>
      </w:r>
    </w:p>
    <w:p w14:paraId="61ADF9C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 Командировки заграницу на техучебу</w:t>
      </w:r>
    </w:p>
    <w:p w14:paraId="6A537EA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Практика последних лет показала, что для быстрой и полной наладки и освоения новых для нас производств наиболее эффективное использование технического опыта иностранных фирм происходит главным образом путем посылки на заграничные предприятия наших инженеров, мастеров и высококвалифицированных рабочих для практической работы на длительный срок (3?4 месяца) непосредственно в цехах, лабораториях и научно-исследовательских учреждениях инофирм. Наши работники, повышая свою квалификацию, в то же время «получают» на месте те важные для нас материалы и данные, которые инофирмы сознательно от нас скрывают.</w:t>
      </w:r>
    </w:p>
    <w:p w14:paraId="202FFF6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Практически работая на налаженных заграничных предприятиях и в лабораториях, наши работники гораздо быстрее осваивают технологические процессы и методы работы, что не удается обычно быстро и полно получить от инструкторов и специалистов фирм во время их работы на наших предприятиях.</w:t>
      </w:r>
    </w:p>
    <w:p w14:paraId="6C65E79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сожалению, тяжелая промышленность по независящим от нее причинам этот «канал» использовала в недостаточной степени, так как соответствующие инстанции при рассмотрении наших годовых планов резко урезывали количество командируемых на техучебу, так например: в 1932 г. мы имели право послать 1325 человек, разрешено было 309 человек. В 1933 г. мы имели право послать 1127 чел. разрешено также только 309 чел.</w:t>
      </w:r>
    </w:p>
    <w:p w14:paraId="1C7339A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Характерно то обстоятельство, что высшая директивная инстанция утвердила нам такие годовые валютные лимиты по инотехпомощи, которые давали возможность в достаточной степени использовать наше право на посылку заграницу для практической техучебы, не испрашивая при этом дополнительных ассигнований. Естественно, что такая искусственная урезка годовых планов загранкомандировок на техучебу, при условии валютных затрат на многие десятки миллионов зол. рублей по договорам техсодействия и на сотни миллионов рублей на заграничное оборудование, наносит государству большой материальный вред и тормозит своевременную и полную наладку и освоение ряда новых, важных отраслей промышленности в особенности военного и оборонного значения.</w:t>
      </w:r>
    </w:p>
    <w:p w14:paraId="0B78217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Разбивка командировок по отраслям промышленности</w:t>
      </w:r>
    </w:p>
    <w:p w14:paraId="1AA8FC5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Черная и цветная металлургия ................................457 (17,7%)</w:t>
      </w:r>
    </w:p>
    <w:p w14:paraId="5FE495B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Машиностроение:а) электро б) авто в) общее машиностроение ..1129 (43,0%)   </w:t>
      </w:r>
    </w:p>
    <w:p w14:paraId="5F4FF1E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Химическая промышленность ...................................206  (8,4%)</w:t>
      </w:r>
    </w:p>
    <w:p w14:paraId="1900311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Военная промышленность ......................................191  (8,1%)</w:t>
      </w:r>
    </w:p>
    <w:p w14:paraId="37690B9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Прочие (уголь, нефть, точная индустрия, слабый ток и т. д.) .589 (22,8%)</w:t>
      </w:r>
    </w:p>
    <w:p w14:paraId="53EE627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_______________________________________________________________________</w:t>
      </w:r>
    </w:p>
    <w:p w14:paraId="7B445B6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.....................................................2572  (100%)</w:t>
      </w:r>
    </w:p>
    <w:p w14:paraId="0874498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Допущенные вышеуказанные ошибки по линии загранкомандировок в предыдущие годы должны быть немедленно исправлены. Необходимо указать, что даже утвержденные и резко сокращенные валютные ассигнования по инотехпомощи в 1934 году дают возможность послать заграницу на техучебу до 900 человек.</w:t>
      </w:r>
    </w:p>
    <w:p w14:paraId="70358D4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Сведения о заграничных командировках по линии Наркомтяжпрома за время с 29/30 г. по 30.XI.33 г.</w:t>
      </w:r>
    </w:p>
    <w:tbl>
      <w:tblPr>
        <w:tblW w:w="0" w:type="auto"/>
        <w:tblLayout w:type="fixed"/>
        <w:tblCellMar>
          <w:left w:w="0" w:type="dxa"/>
          <w:right w:w="0" w:type="dxa"/>
        </w:tblCellMar>
        <w:tblLook w:val="0000" w:firstRow="0" w:lastRow="0" w:firstColumn="0" w:lastColumn="0" w:noHBand="0" w:noVBand="0"/>
      </w:tblPr>
      <w:tblGrid>
        <w:gridCol w:w="1367"/>
        <w:gridCol w:w="1797"/>
        <w:gridCol w:w="516"/>
        <w:gridCol w:w="344"/>
        <w:gridCol w:w="602"/>
        <w:gridCol w:w="688"/>
        <w:gridCol w:w="688"/>
        <w:gridCol w:w="688"/>
        <w:gridCol w:w="731"/>
        <w:gridCol w:w="731"/>
        <w:gridCol w:w="516"/>
        <w:gridCol w:w="688"/>
      </w:tblGrid>
      <w:tr w:rsidR="00F26F01" w:rsidRPr="00C33834" w14:paraId="0024441C" w14:textId="77777777" w:rsidTr="00CE35D9">
        <w:tc>
          <w:tcPr>
            <w:tcW w:w="1367" w:type="dxa"/>
            <w:tcBorders>
              <w:top w:val="none" w:sz="6" w:space="0" w:color="auto"/>
              <w:left w:val="none" w:sz="6" w:space="0" w:color="auto"/>
              <w:bottom w:val="none" w:sz="6" w:space="0" w:color="auto"/>
              <w:right w:val="none" w:sz="6" w:space="0" w:color="auto"/>
            </w:tcBorders>
          </w:tcPr>
          <w:p w14:paraId="517A5A8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какие годы</w:t>
            </w:r>
          </w:p>
        </w:tc>
        <w:tc>
          <w:tcPr>
            <w:tcW w:w="1797" w:type="dxa"/>
            <w:tcBorders>
              <w:top w:val="none" w:sz="6" w:space="0" w:color="auto"/>
              <w:left w:val="none" w:sz="6" w:space="0" w:color="auto"/>
              <w:bottom w:val="none" w:sz="6" w:space="0" w:color="auto"/>
              <w:right w:val="none" w:sz="6" w:space="0" w:color="auto"/>
            </w:tcBorders>
          </w:tcPr>
          <w:p w14:paraId="5DEEBBD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команди­ровано</w:t>
            </w:r>
          </w:p>
        </w:tc>
        <w:tc>
          <w:tcPr>
            <w:tcW w:w="516" w:type="dxa"/>
            <w:gridSpan w:val="2"/>
            <w:tcBorders>
              <w:top w:val="none" w:sz="6" w:space="0" w:color="auto"/>
              <w:left w:val="none" w:sz="6" w:space="0" w:color="auto"/>
              <w:bottom w:val="none" w:sz="6" w:space="0" w:color="auto"/>
              <w:right w:val="none" w:sz="6" w:space="0" w:color="auto"/>
            </w:tcBorders>
          </w:tcPr>
          <w:p w14:paraId="2AA8EAB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Страны</w:t>
            </w:r>
          </w:p>
        </w:tc>
        <w:tc>
          <w:tcPr>
            <w:tcW w:w="602" w:type="dxa"/>
            <w:gridSpan w:val="6"/>
            <w:tcBorders>
              <w:top w:val="none" w:sz="6" w:space="0" w:color="auto"/>
              <w:left w:val="none" w:sz="6" w:space="0" w:color="auto"/>
              <w:bottom w:val="none" w:sz="6" w:space="0" w:color="auto"/>
              <w:right w:val="none" w:sz="6" w:space="0" w:color="auto"/>
            </w:tcBorders>
          </w:tcPr>
          <w:p w14:paraId="2D405BF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Состав командированных</w:t>
            </w:r>
          </w:p>
        </w:tc>
        <w:tc>
          <w:tcPr>
            <w:tcW w:w="516" w:type="dxa"/>
            <w:gridSpan w:val="2"/>
            <w:tcBorders>
              <w:top w:val="none" w:sz="6" w:space="0" w:color="auto"/>
              <w:left w:val="none" w:sz="6" w:space="0" w:color="auto"/>
              <w:bottom w:val="none" w:sz="6" w:space="0" w:color="auto"/>
              <w:right w:val="none" w:sz="6" w:space="0" w:color="auto"/>
            </w:tcBorders>
          </w:tcPr>
          <w:p w14:paraId="19161B5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r>
      <w:tr w:rsidR="00F26F01" w:rsidRPr="00C33834" w14:paraId="4D61C113" w14:textId="77777777" w:rsidTr="00CE35D9">
        <w:tc>
          <w:tcPr>
            <w:tcW w:w="1367" w:type="dxa"/>
            <w:tcBorders>
              <w:top w:val="none" w:sz="6" w:space="0" w:color="auto"/>
              <w:left w:val="none" w:sz="6" w:space="0" w:color="auto"/>
              <w:bottom w:val="none" w:sz="6" w:space="0" w:color="auto"/>
              <w:right w:val="none" w:sz="6" w:space="0" w:color="auto"/>
            </w:tcBorders>
          </w:tcPr>
          <w:p w14:paraId="0A5595AE"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1797" w:type="dxa"/>
            <w:tcBorders>
              <w:top w:val="none" w:sz="6" w:space="0" w:color="auto"/>
              <w:left w:val="none" w:sz="6" w:space="0" w:color="auto"/>
              <w:bottom w:val="none" w:sz="6" w:space="0" w:color="auto"/>
              <w:right w:val="none" w:sz="6" w:space="0" w:color="auto"/>
            </w:tcBorders>
          </w:tcPr>
          <w:p w14:paraId="105BEDD6"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516" w:type="dxa"/>
            <w:tcBorders>
              <w:top w:val="none" w:sz="6" w:space="0" w:color="auto"/>
              <w:left w:val="none" w:sz="6" w:space="0" w:color="auto"/>
              <w:bottom w:val="none" w:sz="6" w:space="0" w:color="auto"/>
              <w:right w:val="none" w:sz="6" w:space="0" w:color="auto"/>
            </w:tcBorders>
          </w:tcPr>
          <w:p w14:paraId="31BFE06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Европы</w:t>
            </w:r>
          </w:p>
        </w:tc>
        <w:tc>
          <w:tcPr>
            <w:tcW w:w="344" w:type="dxa"/>
            <w:tcBorders>
              <w:top w:val="none" w:sz="6" w:space="0" w:color="auto"/>
              <w:left w:val="none" w:sz="6" w:space="0" w:color="auto"/>
              <w:bottom w:val="none" w:sz="6" w:space="0" w:color="auto"/>
              <w:right w:val="none" w:sz="6" w:space="0" w:color="auto"/>
            </w:tcBorders>
          </w:tcPr>
          <w:p w14:paraId="290FDC4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САСШ</w:t>
            </w:r>
          </w:p>
        </w:tc>
        <w:tc>
          <w:tcPr>
            <w:tcW w:w="602" w:type="dxa"/>
            <w:gridSpan w:val="2"/>
            <w:tcBorders>
              <w:top w:val="none" w:sz="6" w:space="0" w:color="auto"/>
              <w:left w:val="none" w:sz="6" w:space="0" w:color="auto"/>
              <w:bottom w:val="none" w:sz="6" w:space="0" w:color="auto"/>
              <w:right w:val="none" w:sz="6" w:space="0" w:color="auto"/>
            </w:tcBorders>
          </w:tcPr>
          <w:p w14:paraId="6082EC6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 и техники</w:t>
            </w:r>
          </w:p>
        </w:tc>
        <w:tc>
          <w:tcPr>
            <w:tcW w:w="688" w:type="dxa"/>
            <w:gridSpan w:val="2"/>
            <w:tcBorders>
              <w:top w:val="none" w:sz="6" w:space="0" w:color="auto"/>
              <w:left w:val="none" w:sz="6" w:space="0" w:color="auto"/>
              <w:bottom w:val="none" w:sz="6" w:space="0" w:color="auto"/>
              <w:right w:val="none" w:sz="6" w:space="0" w:color="auto"/>
            </w:tcBorders>
          </w:tcPr>
          <w:p w14:paraId="19B4ABC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мастера, рабочие</w:t>
            </w:r>
          </w:p>
        </w:tc>
        <w:tc>
          <w:tcPr>
            <w:tcW w:w="731" w:type="dxa"/>
            <w:gridSpan w:val="2"/>
            <w:tcBorders>
              <w:top w:val="none" w:sz="6" w:space="0" w:color="auto"/>
              <w:left w:val="none" w:sz="6" w:space="0" w:color="auto"/>
              <w:bottom w:val="none" w:sz="6" w:space="0" w:color="auto"/>
              <w:right w:val="none" w:sz="6" w:space="0" w:color="auto"/>
            </w:tcBorders>
          </w:tcPr>
          <w:p w14:paraId="432F172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хозяйств­[енники]</w:t>
            </w:r>
          </w:p>
        </w:tc>
        <w:tc>
          <w:tcPr>
            <w:tcW w:w="516" w:type="dxa"/>
            <w:tcBorders>
              <w:top w:val="none" w:sz="6" w:space="0" w:color="auto"/>
              <w:left w:val="none" w:sz="6" w:space="0" w:color="auto"/>
              <w:bottom w:val="none" w:sz="6" w:space="0" w:color="auto"/>
              <w:right w:val="none" w:sz="6" w:space="0" w:color="auto"/>
            </w:tcBorders>
          </w:tcPr>
          <w:p w14:paraId="009945C3"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688" w:type="dxa"/>
            <w:tcBorders>
              <w:top w:val="none" w:sz="6" w:space="0" w:color="auto"/>
              <w:left w:val="none" w:sz="6" w:space="0" w:color="auto"/>
              <w:bottom w:val="none" w:sz="6" w:space="0" w:color="auto"/>
              <w:right w:val="none" w:sz="6" w:space="0" w:color="auto"/>
            </w:tcBorders>
          </w:tcPr>
          <w:p w14:paraId="1315FB98"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r>
      <w:tr w:rsidR="00F26F01" w:rsidRPr="00C33834" w14:paraId="5452F723" w14:textId="77777777" w:rsidTr="00CE35D9">
        <w:tc>
          <w:tcPr>
            <w:tcW w:w="1367" w:type="dxa"/>
            <w:tcBorders>
              <w:top w:val="none" w:sz="6" w:space="0" w:color="auto"/>
              <w:left w:val="none" w:sz="6" w:space="0" w:color="auto"/>
              <w:bottom w:val="none" w:sz="6" w:space="0" w:color="auto"/>
              <w:right w:val="none" w:sz="6" w:space="0" w:color="auto"/>
            </w:tcBorders>
          </w:tcPr>
          <w:p w14:paraId="3A38C67D"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1797" w:type="dxa"/>
            <w:tcBorders>
              <w:top w:val="none" w:sz="6" w:space="0" w:color="auto"/>
              <w:left w:val="none" w:sz="6" w:space="0" w:color="auto"/>
              <w:bottom w:val="none" w:sz="6" w:space="0" w:color="auto"/>
              <w:right w:val="none" w:sz="6" w:space="0" w:color="auto"/>
            </w:tcBorders>
          </w:tcPr>
          <w:p w14:paraId="2F237DA2"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516" w:type="dxa"/>
            <w:tcBorders>
              <w:top w:val="none" w:sz="6" w:space="0" w:color="auto"/>
              <w:left w:val="none" w:sz="6" w:space="0" w:color="auto"/>
              <w:bottom w:val="none" w:sz="6" w:space="0" w:color="auto"/>
              <w:right w:val="none" w:sz="6" w:space="0" w:color="auto"/>
            </w:tcBorders>
          </w:tcPr>
          <w:p w14:paraId="7F97699E"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344" w:type="dxa"/>
            <w:tcBorders>
              <w:top w:val="none" w:sz="6" w:space="0" w:color="auto"/>
              <w:left w:val="none" w:sz="6" w:space="0" w:color="auto"/>
              <w:bottom w:val="none" w:sz="6" w:space="0" w:color="auto"/>
              <w:right w:val="none" w:sz="6" w:space="0" w:color="auto"/>
            </w:tcBorders>
          </w:tcPr>
          <w:p w14:paraId="6EBBD452"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602" w:type="dxa"/>
            <w:tcBorders>
              <w:top w:val="none" w:sz="6" w:space="0" w:color="auto"/>
              <w:left w:val="none" w:sz="6" w:space="0" w:color="auto"/>
              <w:bottom w:val="none" w:sz="6" w:space="0" w:color="auto"/>
              <w:right w:val="none" w:sz="6" w:space="0" w:color="auto"/>
            </w:tcBorders>
          </w:tcPr>
          <w:p w14:paraId="36CD4CC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ВКП(б)</w:t>
            </w:r>
          </w:p>
        </w:tc>
        <w:tc>
          <w:tcPr>
            <w:tcW w:w="688" w:type="dxa"/>
            <w:tcBorders>
              <w:top w:val="none" w:sz="6" w:space="0" w:color="auto"/>
              <w:left w:val="none" w:sz="6" w:space="0" w:color="auto"/>
              <w:bottom w:val="none" w:sz="6" w:space="0" w:color="auto"/>
              <w:right w:val="none" w:sz="6" w:space="0" w:color="auto"/>
            </w:tcBorders>
          </w:tcPr>
          <w:p w14:paraId="7D07DD1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беспарт.</w:t>
            </w:r>
          </w:p>
        </w:tc>
        <w:tc>
          <w:tcPr>
            <w:tcW w:w="688" w:type="dxa"/>
            <w:tcBorders>
              <w:top w:val="none" w:sz="6" w:space="0" w:color="auto"/>
              <w:left w:val="none" w:sz="6" w:space="0" w:color="auto"/>
              <w:bottom w:val="none" w:sz="6" w:space="0" w:color="auto"/>
              <w:right w:val="none" w:sz="6" w:space="0" w:color="auto"/>
            </w:tcBorders>
          </w:tcPr>
          <w:p w14:paraId="31B990E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ВКП(б)</w:t>
            </w:r>
          </w:p>
        </w:tc>
        <w:tc>
          <w:tcPr>
            <w:tcW w:w="688" w:type="dxa"/>
            <w:tcBorders>
              <w:top w:val="none" w:sz="6" w:space="0" w:color="auto"/>
              <w:left w:val="none" w:sz="6" w:space="0" w:color="auto"/>
              <w:bottom w:val="none" w:sz="6" w:space="0" w:color="auto"/>
              <w:right w:val="none" w:sz="6" w:space="0" w:color="auto"/>
            </w:tcBorders>
          </w:tcPr>
          <w:p w14:paraId="36F9985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беспарт.</w:t>
            </w:r>
          </w:p>
        </w:tc>
        <w:tc>
          <w:tcPr>
            <w:tcW w:w="731" w:type="dxa"/>
            <w:tcBorders>
              <w:top w:val="none" w:sz="6" w:space="0" w:color="auto"/>
              <w:left w:val="none" w:sz="6" w:space="0" w:color="auto"/>
              <w:bottom w:val="none" w:sz="6" w:space="0" w:color="auto"/>
              <w:right w:val="none" w:sz="6" w:space="0" w:color="auto"/>
            </w:tcBorders>
          </w:tcPr>
          <w:p w14:paraId="2056C71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ВКП(б)</w:t>
            </w:r>
          </w:p>
        </w:tc>
        <w:tc>
          <w:tcPr>
            <w:tcW w:w="731" w:type="dxa"/>
            <w:tcBorders>
              <w:top w:val="none" w:sz="6" w:space="0" w:color="auto"/>
              <w:left w:val="none" w:sz="6" w:space="0" w:color="auto"/>
              <w:bottom w:val="none" w:sz="6" w:space="0" w:color="auto"/>
              <w:right w:val="none" w:sz="6" w:space="0" w:color="auto"/>
            </w:tcBorders>
          </w:tcPr>
          <w:p w14:paraId="3C212DC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беспарт.</w:t>
            </w:r>
          </w:p>
        </w:tc>
        <w:tc>
          <w:tcPr>
            <w:tcW w:w="516" w:type="dxa"/>
            <w:tcBorders>
              <w:top w:val="none" w:sz="6" w:space="0" w:color="auto"/>
              <w:left w:val="none" w:sz="6" w:space="0" w:color="auto"/>
              <w:bottom w:val="none" w:sz="6" w:space="0" w:color="auto"/>
              <w:right w:val="none" w:sz="6" w:space="0" w:color="auto"/>
            </w:tcBorders>
          </w:tcPr>
          <w:p w14:paraId="5FE6E6E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ВКП(б)</w:t>
            </w:r>
          </w:p>
        </w:tc>
        <w:tc>
          <w:tcPr>
            <w:tcW w:w="688" w:type="dxa"/>
            <w:tcBorders>
              <w:top w:val="none" w:sz="6" w:space="0" w:color="auto"/>
              <w:left w:val="none" w:sz="6" w:space="0" w:color="auto"/>
              <w:bottom w:val="none" w:sz="6" w:space="0" w:color="auto"/>
              <w:right w:val="none" w:sz="6" w:space="0" w:color="auto"/>
            </w:tcBorders>
          </w:tcPr>
          <w:p w14:paraId="3834955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беспарт.</w:t>
            </w:r>
          </w:p>
        </w:tc>
      </w:tr>
      <w:tr w:rsidR="00F26F01" w:rsidRPr="00C33834" w14:paraId="48CFFCC6" w14:textId="77777777" w:rsidTr="00CE35D9">
        <w:tc>
          <w:tcPr>
            <w:tcW w:w="1367" w:type="dxa"/>
            <w:tcBorders>
              <w:top w:val="none" w:sz="6" w:space="0" w:color="auto"/>
              <w:left w:val="none" w:sz="6" w:space="0" w:color="auto"/>
              <w:bottom w:val="none" w:sz="6" w:space="0" w:color="auto"/>
              <w:right w:val="none" w:sz="6" w:space="0" w:color="auto"/>
            </w:tcBorders>
          </w:tcPr>
          <w:p w14:paraId="0DDFD83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1797" w:type="dxa"/>
            <w:tcBorders>
              <w:top w:val="none" w:sz="6" w:space="0" w:color="auto"/>
              <w:left w:val="none" w:sz="6" w:space="0" w:color="auto"/>
              <w:bottom w:val="none" w:sz="6" w:space="0" w:color="auto"/>
              <w:right w:val="none" w:sz="6" w:space="0" w:color="auto"/>
            </w:tcBorders>
          </w:tcPr>
          <w:p w14:paraId="5F75F83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516" w:type="dxa"/>
            <w:tcBorders>
              <w:top w:val="none" w:sz="6" w:space="0" w:color="auto"/>
              <w:left w:val="none" w:sz="6" w:space="0" w:color="auto"/>
              <w:bottom w:val="none" w:sz="6" w:space="0" w:color="auto"/>
              <w:right w:val="none" w:sz="6" w:space="0" w:color="auto"/>
            </w:tcBorders>
          </w:tcPr>
          <w:p w14:paraId="4BC1229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344" w:type="dxa"/>
            <w:tcBorders>
              <w:top w:val="none" w:sz="6" w:space="0" w:color="auto"/>
              <w:left w:val="none" w:sz="6" w:space="0" w:color="auto"/>
              <w:bottom w:val="none" w:sz="6" w:space="0" w:color="auto"/>
              <w:right w:val="none" w:sz="6" w:space="0" w:color="auto"/>
            </w:tcBorders>
          </w:tcPr>
          <w:p w14:paraId="4B58B9F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602" w:type="dxa"/>
            <w:tcBorders>
              <w:top w:val="none" w:sz="6" w:space="0" w:color="auto"/>
              <w:left w:val="none" w:sz="6" w:space="0" w:color="auto"/>
              <w:bottom w:val="none" w:sz="6" w:space="0" w:color="auto"/>
              <w:right w:val="none" w:sz="6" w:space="0" w:color="auto"/>
            </w:tcBorders>
          </w:tcPr>
          <w:p w14:paraId="25E2508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688" w:type="dxa"/>
            <w:tcBorders>
              <w:top w:val="none" w:sz="6" w:space="0" w:color="auto"/>
              <w:left w:val="none" w:sz="6" w:space="0" w:color="auto"/>
              <w:bottom w:val="none" w:sz="6" w:space="0" w:color="auto"/>
              <w:right w:val="none" w:sz="6" w:space="0" w:color="auto"/>
            </w:tcBorders>
          </w:tcPr>
          <w:p w14:paraId="76374BA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688" w:type="dxa"/>
            <w:tcBorders>
              <w:top w:val="none" w:sz="6" w:space="0" w:color="auto"/>
              <w:left w:val="none" w:sz="6" w:space="0" w:color="auto"/>
              <w:bottom w:val="none" w:sz="6" w:space="0" w:color="auto"/>
              <w:right w:val="none" w:sz="6" w:space="0" w:color="auto"/>
            </w:tcBorders>
          </w:tcPr>
          <w:p w14:paraId="425E9AB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c>
          <w:tcPr>
            <w:tcW w:w="688" w:type="dxa"/>
            <w:tcBorders>
              <w:top w:val="none" w:sz="6" w:space="0" w:color="auto"/>
              <w:left w:val="none" w:sz="6" w:space="0" w:color="auto"/>
              <w:bottom w:val="none" w:sz="6" w:space="0" w:color="auto"/>
              <w:right w:val="none" w:sz="6" w:space="0" w:color="auto"/>
            </w:tcBorders>
          </w:tcPr>
          <w:p w14:paraId="42613B5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731" w:type="dxa"/>
            <w:tcBorders>
              <w:top w:val="none" w:sz="6" w:space="0" w:color="auto"/>
              <w:left w:val="none" w:sz="6" w:space="0" w:color="auto"/>
              <w:bottom w:val="none" w:sz="6" w:space="0" w:color="auto"/>
              <w:right w:val="none" w:sz="6" w:space="0" w:color="auto"/>
            </w:tcBorders>
          </w:tcPr>
          <w:p w14:paraId="272F281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tc>
        <w:tc>
          <w:tcPr>
            <w:tcW w:w="731" w:type="dxa"/>
            <w:tcBorders>
              <w:top w:val="none" w:sz="6" w:space="0" w:color="auto"/>
              <w:left w:val="none" w:sz="6" w:space="0" w:color="auto"/>
              <w:bottom w:val="none" w:sz="6" w:space="0" w:color="auto"/>
              <w:right w:val="none" w:sz="6" w:space="0" w:color="auto"/>
            </w:tcBorders>
          </w:tcPr>
          <w:p w14:paraId="5720E06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516" w:type="dxa"/>
            <w:tcBorders>
              <w:top w:val="none" w:sz="6" w:space="0" w:color="auto"/>
              <w:left w:val="none" w:sz="6" w:space="0" w:color="auto"/>
              <w:bottom w:val="none" w:sz="6" w:space="0" w:color="auto"/>
              <w:right w:val="none" w:sz="6" w:space="0" w:color="auto"/>
            </w:tcBorders>
          </w:tcPr>
          <w:p w14:paraId="234CB8A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w:t>
            </w:r>
          </w:p>
        </w:tc>
        <w:tc>
          <w:tcPr>
            <w:tcW w:w="688" w:type="dxa"/>
            <w:tcBorders>
              <w:top w:val="none" w:sz="6" w:space="0" w:color="auto"/>
              <w:left w:val="none" w:sz="6" w:space="0" w:color="auto"/>
              <w:bottom w:val="none" w:sz="6" w:space="0" w:color="auto"/>
              <w:right w:val="none" w:sz="6" w:space="0" w:color="auto"/>
            </w:tcBorders>
          </w:tcPr>
          <w:p w14:paraId="515519E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r>
      <w:tr w:rsidR="00F26F01" w:rsidRPr="00C33834" w14:paraId="745A1C3C" w14:textId="77777777" w:rsidTr="00CE35D9">
        <w:tc>
          <w:tcPr>
            <w:tcW w:w="1367" w:type="dxa"/>
            <w:tcBorders>
              <w:top w:val="none" w:sz="6" w:space="0" w:color="auto"/>
              <w:left w:val="none" w:sz="6" w:space="0" w:color="auto"/>
              <w:bottom w:val="none" w:sz="6" w:space="0" w:color="auto"/>
              <w:right w:val="none" w:sz="6" w:space="0" w:color="auto"/>
            </w:tcBorders>
          </w:tcPr>
          <w:p w14:paraId="6E211ECE"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1797" w:type="dxa"/>
            <w:tcBorders>
              <w:top w:val="none" w:sz="6" w:space="0" w:color="auto"/>
              <w:left w:val="none" w:sz="6" w:space="0" w:color="auto"/>
              <w:bottom w:val="none" w:sz="6" w:space="0" w:color="auto"/>
              <w:right w:val="none" w:sz="6" w:space="0" w:color="auto"/>
            </w:tcBorders>
          </w:tcPr>
          <w:p w14:paraId="07A7ADBD"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516" w:type="dxa"/>
            <w:tcBorders>
              <w:top w:val="none" w:sz="6" w:space="0" w:color="auto"/>
              <w:left w:val="none" w:sz="6" w:space="0" w:color="auto"/>
              <w:bottom w:val="none" w:sz="6" w:space="0" w:color="auto"/>
              <w:right w:val="none" w:sz="6" w:space="0" w:color="auto"/>
            </w:tcBorders>
          </w:tcPr>
          <w:p w14:paraId="46C0EA86"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344" w:type="dxa"/>
            <w:tcBorders>
              <w:top w:val="none" w:sz="6" w:space="0" w:color="auto"/>
              <w:left w:val="none" w:sz="6" w:space="0" w:color="auto"/>
              <w:bottom w:val="none" w:sz="6" w:space="0" w:color="auto"/>
              <w:right w:val="none" w:sz="6" w:space="0" w:color="auto"/>
            </w:tcBorders>
          </w:tcPr>
          <w:p w14:paraId="71F1FFBA"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602" w:type="dxa"/>
            <w:gridSpan w:val="2"/>
            <w:tcBorders>
              <w:top w:val="none" w:sz="6" w:space="0" w:color="auto"/>
              <w:left w:val="none" w:sz="6" w:space="0" w:color="auto"/>
              <w:bottom w:val="none" w:sz="6" w:space="0" w:color="auto"/>
              <w:right w:val="none" w:sz="6" w:space="0" w:color="auto"/>
            </w:tcBorders>
          </w:tcPr>
          <w:p w14:paraId="6BEC75B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923</w:t>
            </w:r>
          </w:p>
        </w:tc>
        <w:tc>
          <w:tcPr>
            <w:tcW w:w="688" w:type="dxa"/>
            <w:gridSpan w:val="2"/>
            <w:tcBorders>
              <w:top w:val="none" w:sz="6" w:space="0" w:color="auto"/>
              <w:left w:val="none" w:sz="6" w:space="0" w:color="auto"/>
              <w:bottom w:val="none" w:sz="6" w:space="0" w:color="auto"/>
              <w:right w:val="none" w:sz="6" w:space="0" w:color="auto"/>
            </w:tcBorders>
          </w:tcPr>
          <w:p w14:paraId="696D8E2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344</w:t>
            </w:r>
          </w:p>
        </w:tc>
        <w:tc>
          <w:tcPr>
            <w:tcW w:w="731" w:type="dxa"/>
            <w:gridSpan w:val="2"/>
            <w:tcBorders>
              <w:top w:val="none" w:sz="6" w:space="0" w:color="auto"/>
              <w:left w:val="none" w:sz="6" w:space="0" w:color="auto"/>
              <w:bottom w:val="none" w:sz="6" w:space="0" w:color="auto"/>
              <w:right w:val="none" w:sz="6" w:space="0" w:color="auto"/>
            </w:tcBorders>
          </w:tcPr>
          <w:p w14:paraId="2AF44F4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123</w:t>
            </w:r>
          </w:p>
        </w:tc>
        <w:tc>
          <w:tcPr>
            <w:tcW w:w="516" w:type="dxa"/>
            <w:tcBorders>
              <w:top w:val="none" w:sz="6" w:space="0" w:color="auto"/>
              <w:left w:val="none" w:sz="6" w:space="0" w:color="auto"/>
              <w:bottom w:val="none" w:sz="6" w:space="0" w:color="auto"/>
              <w:right w:val="none" w:sz="6" w:space="0" w:color="auto"/>
            </w:tcBorders>
          </w:tcPr>
          <w:p w14:paraId="79933FF2"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688" w:type="dxa"/>
            <w:tcBorders>
              <w:top w:val="none" w:sz="6" w:space="0" w:color="auto"/>
              <w:left w:val="none" w:sz="6" w:space="0" w:color="auto"/>
              <w:bottom w:val="none" w:sz="6" w:space="0" w:color="auto"/>
              <w:right w:val="none" w:sz="6" w:space="0" w:color="auto"/>
            </w:tcBorders>
          </w:tcPr>
          <w:p w14:paraId="2109143D"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r>
      <w:tr w:rsidR="00F26F01" w:rsidRPr="00C33834" w14:paraId="27B0E832" w14:textId="77777777" w:rsidTr="00CE35D9">
        <w:tc>
          <w:tcPr>
            <w:tcW w:w="1367" w:type="dxa"/>
            <w:tcBorders>
              <w:top w:val="none" w:sz="6" w:space="0" w:color="auto"/>
              <w:left w:val="none" w:sz="6" w:space="0" w:color="auto"/>
              <w:bottom w:val="none" w:sz="6" w:space="0" w:color="auto"/>
              <w:right w:val="none" w:sz="6" w:space="0" w:color="auto"/>
            </w:tcBorders>
          </w:tcPr>
          <w:p w14:paraId="3FFA0CD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1930</w:t>
            </w:r>
          </w:p>
        </w:tc>
        <w:tc>
          <w:tcPr>
            <w:tcW w:w="1797" w:type="dxa"/>
            <w:tcBorders>
              <w:top w:val="none" w:sz="6" w:space="0" w:color="auto"/>
              <w:left w:val="none" w:sz="6" w:space="0" w:color="auto"/>
              <w:bottom w:val="none" w:sz="6" w:space="0" w:color="auto"/>
              <w:right w:val="none" w:sz="6" w:space="0" w:color="auto"/>
            </w:tcBorders>
          </w:tcPr>
          <w:p w14:paraId="76CBE62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1390</w:t>
            </w:r>
          </w:p>
        </w:tc>
        <w:tc>
          <w:tcPr>
            <w:tcW w:w="516" w:type="dxa"/>
            <w:tcBorders>
              <w:top w:val="none" w:sz="6" w:space="0" w:color="auto"/>
              <w:left w:val="none" w:sz="6" w:space="0" w:color="auto"/>
              <w:bottom w:val="none" w:sz="6" w:space="0" w:color="auto"/>
              <w:right w:val="none" w:sz="6" w:space="0" w:color="auto"/>
            </w:tcBorders>
          </w:tcPr>
          <w:p w14:paraId="07485F2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752</w:t>
            </w:r>
          </w:p>
        </w:tc>
        <w:tc>
          <w:tcPr>
            <w:tcW w:w="344" w:type="dxa"/>
            <w:tcBorders>
              <w:top w:val="none" w:sz="6" w:space="0" w:color="auto"/>
              <w:left w:val="none" w:sz="6" w:space="0" w:color="auto"/>
              <w:bottom w:val="none" w:sz="6" w:space="0" w:color="auto"/>
              <w:right w:val="none" w:sz="6" w:space="0" w:color="auto"/>
            </w:tcBorders>
          </w:tcPr>
          <w:p w14:paraId="7E7702A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638</w:t>
            </w:r>
          </w:p>
        </w:tc>
        <w:tc>
          <w:tcPr>
            <w:tcW w:w="602" w:type="dxa"/>
            <w:tcBorders>
              <w:top w:val="none" w:sz="6" w:space="0" w:color="auto"/>
              <w:left w:val="none" w:sz="6" w:space="0" w:color="auto"/>
              <w:bottom w:val="none" w:sz="6" w:space="0" w:color="auto"/>
              <w:right w:val="none" w:sz="6" w:space="0" w:color="auto"/>
            </w:tcBorders>
          </w:tcPr>
          <w:p w14:paraId="36ADB64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289</w:t>
            </w:r>
          </w:p>
        </w:tc>
        <w:tc>
          <w:tcPr>
            <w:tcW w:w="688" w:type="dxa"/>
            <w:tcBorders>
              <w:top w:val="none" w:sz="6" w:space="0" w:color="auto"/>
              <w:left w:val="none" w:sz="6" w:space="0" w:color="auto"/>
              <w:bottom w:val="none" w:sz="6" w:space="0" w:color="auto"/>
              <w:right w:val="none" w:sz="6" w:space="0" w:color="auto"/>
            </w:tcBorders>
          </w:tcPr>
          <w:p w14:paraId="4137AF1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634</w:t>
            </w:r>
          </w:p>
        </w:tc>
        <w:tc>
          <w:tcPr>
            <w:tcW w:w="688" w:type="dxa"/>
            <w:tcBorders>
              <w:top w:val="none" w:sz="6" w:space="0" w:color="auto"/>
              <w:left w:val="none" w:sz="6" w:space="0" w:color="auto"/>
              <w:bottom w:val="none" w:sz="6" w:space="0" w:color="auto"/>
              <w:right w:val="none" w:sz="6" w:space="0" w:color="auto"/>
            </w:tcBorders>
          </w:tcPr>
          <w:p w14:paraId="10440C2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261</w:t>
            </w:r>
          </w:p>
        </w:tc>
        <w:tc>
          <w:tcPr>
            <w:tcW w:w="688" w:type="dxa"/>
            <w:tcBorders>
              <w:top w:val="none" w:sz="6" w:space="0" w:color="auto"/>
              <w:left w:val="none" w:sz="6" w:space="0" w:color="auto"/>
              <w:bottom w:val="none" w:sz="6" w:space="0" w:color="auto"/>
              <w:right w:val="none" w:sz="6" w:space="0" w:color="auto"/>
            </w:tcBorders>
          </w:tcPr>
          <w:p w14:paraId="1D91DF2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83</w:t>
            </w:r>
          </w:p>
        </w:tc>
        <w:tc>
          <w:tcPr>
            <w:tcW w:w="731" w:type="dxa"/>
            <w:tcBorders>
              <w:top w:val="none" w:sz="6" w:space="0" w:color="auto"/>
              <w:left w:val="none" w:sz="6" w:space="0" w:color="auto"/>
              <w:bottom w:val="none" w:sz="6" w:space="0" w:color="auto"/>
              <w:right w:val="none" w:sz="6" w:space="0" w:color="auto"/>
            </w:tcBorders>
          </w:tcPr>
          <w:p w14:paraId="002A7F2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110</w:t>
            </w:r>
          </w:p>
        </w:tc>
        <w:tc>
          <w:tcPr>
            <w:tcW w:w="731" w:type="dxa"/>
            <w:tcBorders>
              <w:top w:val="none" w:sz="6" w:space="0" w:color="auto"/>
              <w:left w:val="none" w:sz="6" w:space="0" w:color="auto"/>
              <w:bottom w:val="none" w:sz="6" w:space="0" w:color="auto"/>
              <w:right w:val="none" w:sz="6" w:space="0" w:color="auto"/>
            </w:tcBorders>
          </w:tcPr>
          <w:p w14:paraId="795C1C6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w:t>
            </w:r>
          </w:p>
        </w:tc>
        <w:tc>
          <w:tcPr>
            <w:tcW w:w="516" w:type="dxa"/>
            <w:tcBorders>
              <w:top w:val="none" w:sz="6" w:space="0" w:color="auto"/>
              <w:left w:val="none" w:sz="6" w:space="0" w:color="auto"/>
              <w:bottom w:val="none" w:sz="6" w:space="0" w:color="auto"/>
              <w:right w:val="none" w:sz="6" w:space="0" w:color="auto"/>
            </w:tcBorders>
          </w:tcPr>
          <w:p w14:paraId="5DB9BE0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660</w:t>
            </w:r>
          </w:p>
        </w:tc>
        <w:tc>
          <w:tcPr>
            <w:tcW w:w="688" w:type="dxa"/>
            <w:tcBorders>
              <w:top w:val="none" w:sz="6" w:space="0" w:color="auto"/>
              <w:left w:val="none" w:sz="6" w:space="0" w:color="auto"/>
              <w:bottom w:val="none" w:sz="6" w:space="0" w:color="auto"/>
              <w:right w:val="none" w:sz="6" w:space="0" w:color="auto"/>
            </w:tcBorders>
          </w:tcPr>
          <w:p w14:paraId="39BD213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730</w:t>
            </w:r>
          </w:p>
        </w:tc>
      </w:tr>
      <w:tr w:rsidR="00F26F01" w:rsidRPr="00C33834" w14:paraId="1D7B2781" w14:textId="77777777" w:rsidTr="00CE35D9">
        <w:tc>
          <w:tcPr>
            <w:tcW w:w="1367" w:type="dxa"/>
            <w:tcBorders>
              <w:top w:val="none" w:sz="6" w:space="0" w:color="auto"/>
              <w:left w:val="none" w:sz="6" w:space="0" w:color="auto"/>
              <w:bottom w:val="none" w:sz="6" w:space="0" w:color="auto"/>
              <w:right w:val="none" w:sz="6" w:space="0" w:color="auto"/>
            </w:tcBorders>
          </w:tcPr>
          <w:p w14:paraId="48C8812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w:t>
            </w:r>
          </w:p>
        </w:tc>
        <w:tc>
          <w:tcPr>
            <w:tcW w:w="1797" w:type="dxa"/>
            <w:tcBorders>
              <w:top w:val="none" w:sz="6" w:space="0" w:color="auto"/>
              <w:left w:val="none" w:sz="6" w:space="0" w:color="auto"/>
              <w:bottom w:val="none" w:sz="6" w:space="0" w:color="auto"/>
              <w:right w:val="none" w:sz="6" w:space="0" w:color="auto"/>
            </w:tcBorders>
          </w:tcPr>
          <w:p w14:paraId="4F0ECD5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516" w:type="dxa"/>
            <w:tcBorders>
              <w:top w:val="none" w:sz="6" w:space="0" w:color="auto"/>
              <w:left w:val="none" w:sz="6" w:space="0" w:color="auto"/>
              <w:bottom w:val="none" w:sz="6" w:space="0" w:color="auto"/>
              <w:right w:val="none" w:sz="6" w:space="0" w:color="auto"/>
            </w:tcBorders>
          </w:tcPr>
          <w:p w14:paraId="05E77FB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w:t>
            </w:r>
          </w:p>
        </w:tc>
        <w:tc>
          <w:tcPr>
            <w:tcW w:w="344" w:type="dxa"/>
            <w:tcBorders>
              <w:top w:val="none" w:sz="6" w:space="0" w:color="auto"/>
              <w:left w:val="none" w:sz="6" w:space="0" w:color="auto"/>
              <w:bottom w:val="none" w:sz="6" w:space="0" w:color="auto"/>
              <w:right w:val="none" w:sz="6" w:space="0" w:color="auto"/>
            </w:tcBorders>
          </w:tcPr>
          <w:p w14:paraId="1D1B101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w:t>
            </w:r>
          </w:p>
        </w:tc>
        <w:tc>
          <w:tcPr>
            <w:tcW w:w="602" w:type="dxa"/>
            <w:tcBorders>
              <w:top w:val="none" w:sz="6" w:space="0" w:color="auto"/>
              <w:left w:val="none" w:sz="6" w:space="0" w:color="auto"/>
              <w:bottom w:val="none" w:sz="6" w:space="0" w:color="auto"/>
              <w:right w:val="none" w:sz="6" w:space="0" w:color="auto"/>
            </w:tcBorders>
          </w:tcPr>
          <w:p w14:paraId="3244BA7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31,3</w:t>
            </w:r>
          </w:p>
        </w:tc>
        <w:tc>
          <w:tcPr>
            <w:tcW w:w="688" w:type="dxa"/>
            <w:tcBorders>
              <w:top w:val="none" w:sz="6" w:space="0" w:color="auto"/>
              <w:left w:val="none" w:sz="6" w:space="0" w:color="auto"/>
              <w:bottom w:val="none" w:sz="6" w:space="0" w:color="auto"/>
              <w:right w:val="none" w:sz="6" w:space="0" w:color="auto"/>
            </w:tcBorders>
          </w:tcPr>
          <w:p w14:paraId="11B3247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68,7</w:t>
            </w:r>
          </w:p>
        </w:tc>
        <w:tc>
          <w:tcPr>
            <w:tcW w:w="688" w:type="dxa"/>
            <w:tcBorders>
              <w:top w:val="none" w:sz="6" w:space="0" w:color="auto"/>
              <w:left w:val="none" w:sz="6" w:space="0" w:color="auto"/>
              <w:bottom w:val="none" w:sz="6" w:space="0" w:color="auto"/>
              <w:right w:val="none" w:sz="6" w:space="0" w:color="auto"/>
            </w:tcBorders>
          </w:tcPr>
          <w:p w14:paraId="208B38B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p>
        </w:tc>
        <w:tc>
          <w:tcPr>
            <w:tcW w:w="688" w:type="dxa"/>
            <w:tcBorders>
              <w:top w:val="none" w:sz="6" w:space="0" w:color="auto"/>
              <w:left w:val="none" w:sz="6" w:space="0" w:color="auto"/>
              <w:bottom w:val="none" w:sz="6" w:space="0" w:color="auto"/>
              <w:right w:val="none" w:sz="6" w:space="0" w:color="auto"/>
            </w:tcBorders>
          </w:tcPr>
          <w:p w14:paraId="180B502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731" w:type="dxa"/>
            <w:tcBorders>
              <w:top w:val="none" w:sz="6" w:space="0" w:color="auto"/>
              <w:left w:val="none" w:sz="6" w:space="0" w:color="auto"/>
              <w:bottom w:val="none" w:sz="6" w:space="0" w:color="auto"/>
              <w:right w:val="none" w:sz="6" w:space="0" w:color="auto"/>
            </w:tcBorders>
          </w:tcPr>
          <w:p w14:paraId="050F685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89,5</w:t>
            </w:r>
          </w:p>
        </w:tc>
        <w:tc>
          <w:tcPr>
            <w:tcW w:w="731" w:type="dxa"/>
            <w:tcBorders>
              <w:top w:val="none" w:sz="6" w:space="0" w:color="auto"/>
              <w:left w:val="none" w:sz="6" w:space="0" w:color="auto"/>
              <w:bottom w:val="none" w:sz="6" w:space="0" w:color="auto"/>
              <w:right w:val="none" w:sz="6" w:space="0" w:color="auto"/>
            </w:tcBorders>
          </w:tcPr>
          <w:p w14:paraId="3B22F94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w:t>
            </w:r>
          </w:p>
        </w:tc>
        <w:tc>
          <w:tcPr>
            <w:tcW w:w="516" w:type="dxa"/>
            <w:tcBorders>
              <w:top w:val="none" w:sz="6" w:space="0" w:color="auto"/>
              <w:left w:val="none" w:sz="6" w:space="0" w:color="auto"/>
              <w:bottom w:val="none" w:sz="6" w:space="0" w:color="auto"/>
              <w:right w:val="none" w:sz="6" w:space="0" w:color="auto"/>
            </w:tcBorders>
          </w:tcPr>
          <w:p w14:paraId="47C29FB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w:t>
            </w:r>
          </w:p>
        </w:tc>
        <w:tc>
          <w:tcPr>
            <w:tcW w:w="688" w:type="dxa"/>
            <w:tcBorders>
              <w:top w:val="none" w:sz="6" w:space="0" w:color="auto"/>
              <w:left w:val="none" w:sz="6" w:space="0" w:color="auto"/>
              <w:bottom w:val="none" w:sz="6" w:space="0" w:color="auto"/>
              <w:right w:val="none" w:sz="6" w:space="0" w:color="auto"/>
            </w:tcBorders>
          </w:tcPr>
          <w:p w14:paraId="107617C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w:t>
            </w:r>
          </w:p>
        </w:tc>
      </w:tr>
      <w:tr w:rsidR="00F26F01" w:rsidRPr="00C33834" w14:paraId="702728CE" w14:textId="77777777" w:rsidTr="00CE35D9">
        <w:tc>
          <w:tcPr>
            <w:tcW w:w="1367" w:type="dxa"/>
            <w:tcBorders>
              <w:top w:val="none" w:sz="6" w:space="0" w:color="auto"/>
              <w:left w:val="none" w:sz="6" w:space="0" w:color="auto"/>
              <w:bottom w:val="none" w:sz="6" w:space="0" w:color="auto"/>
              <w:right w:val="none" w:sz="6" w:space="0" w:color="auto"/>
            </w:tcBorders>
          </w:tcPr>
          <w:p w14:paraId="18A73D28"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1797" w:type="dxa"/>
            <w:tcBorders>
              <w:top w:val="none" w:sz="6" w:space="0" w:color="auto"/>
              <w:left w:val="none" w:sz="6" w:space="0" w:color="auto"/>
              <w:bottom w:val="none" w:sz="6" w:space="0" w:color="auto"/>
              <w:right w:val="none" w:sz="6" w:space="0" w:color="auto"/>
            </w:tcBorders>
          </w:tcPr>
          <w:p w14:paraId="62E1F155"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516" w:type="dxa"/>
            <w:tcBorders>
              <w:top w:val="none" w:sz="6" w:space="0" w:color="auto"/>
              <w:left w:val="none" w:sz="6" w:space="0" w:color="auto"/>
              <w:bottom w:val="none" w:sz="6" w:space="0" w:color="auto"/>
              <w:right w:val="none" w:sz="6" w:space="0" w:color="auto"/>
            </w:tcBorders>
          </w:tcPr>
          <w:p w14:paraId="10F446DD"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344" w:type="dxa"/>
            <w:tcBorders>
              <w:top w:val="none" w:sz="6" w:space="0" w:color="auto"/>
              <w:left w:val="none" w:sz="6" w:space="0" w:color="auto"/>
              <w:bottom w:val="none" w:sz="6" w:space="0" w:color="auto"/>
              <w:right w:val="none" w:sz="6" w:space="0" w:color="auto"/>
            </w:tcBorders>
          </w:tcPr>
          <w:p w14:paraId="064F3EDE"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602" w:type="dxa"/>
            <w:gridSpan w:val="2"/>
            <w:tcBorders>
              <w:top w:val="none" w:sz="6" w:space="0" w:color="auto"/>
              <w:left w:val="none" w:sz="6" w:space="0" w:color="auto"/>
              <w:bottom w:val="none" w:sz="6" w:space="0" w:color="auto"/>
              <w:right w:val="none" w:sz="6" w:space="0" w:color="auto"/>
            </w:tcBorders>
          </w:tcPr>
          <w:p w14:paraId="292B6F1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235</w:t>
            </w:r>
          </w:p>
        </w:tc>
        <w:tc>
          <w:tcPr>
            <w:tcW w:w="688" w:type="dxa"/>
            <w:gridSpan w:val="2"/>
            <w:tcBorders>
              <w:top w:val="none" w:sz="6" w:space="0" w:color="auto"/>
              <w:left w:val="none" w:sz="6" w:space="0" w:color="auto"/>
              <w:bottom w:val="none" w:sz="6" w:space="0" w:color="auto"/>
              <w:right w:val="none" w:sz="6" w:space="0" w:color="auto"/>
            </w:tcBorders>
          </w:tcPr>
          <w:p w14:paraId="02509D4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195</w:t>
            </w:r>
          </w:p>
        </w:tc>
        <w:tc>
          <w:tcPr>
            <w:tcW w:w="731" w:type="dxa"/>
            <w:gridSpan w:val="2"/>
            <w:tcBorders>
              <w:top w:val="none" w:sz="6" w:space="0" w:color="auto"/>
              <w:left w:val="none" w:sz="6" w:space="0" w:color="auto"/>
              <w:bottom w:val="none" w:sz="6" w:space="0" w:color="auto"/>
              <w:right w:val="none" w:sz="6" w:space="0" w:color="auto"/>
            </w:tcBorders>
          </w:tcPr>
          <w:p w14:paraId="69AF0FF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w:t>
            </w:r>
          </w:p>
        </w:tc>
        <w:tc>
          <w:tcPr>
            <w:tcW w:w="516" w:type="dxa"/>
            <w:tcBorders>
              <w:top w:val="none" w:sz="6" w:space="0" w:color="auto"/>
              <w:left w:val="none" w:sz="6" w:space="0" w:color="auto"/>
              <w:bottom w:val="none" w:sz="6" w:space="0" w:color="auto"/>
              <w:right w:val="none" w:sz="6" w:space="0" w:color="auto"/>
            </w:tcBorders>
          </w:tcPr>
          <w:p w14:paraId="7C04B978"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688" w:type="dxa"/>
            <w:tcBorders>
              <w:top w:val="none" w:sz="6" w:space="0" w:color="auto"/>
              <w:left w:val="none" w:sz="6" w:space="0" w:color="auto"/>
              <w:bottom w:val="none" w:sz="6" w:space="0" w:color="auto"/>
              <w:right w:val="none" w:sz="6" w:space="0" w:color="auto"/>
            </w:tcBorders>
          </w:tcPr>
          <w:p w14:paraId="5C4C24A8"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r>
      <w:tr w:rsidR="00F26F01" w:rsidRPr="00C33834" w14:paraId="2FBC3CCB" w14:textId="77777777" w:rsidTr="00CE35D9">
        <w:tc>
          <w:tcPr>
            <w:tcW w:w="1367" w:type="dxa"/>
            <w:tcBorders>
              <w:top w:val="none" w:sz="6" w:space="0" w:color="auto"/>
              <w:left w:val="none" w:sz="6" w:space="0" w:color="auto"/>
              <w:bottom w:val="none" w:sz="6" w:space="0" w:color="auto"/>
              <w:right w:val="none" w:sz="6" w:space="0" w:color="auto"/>
            </w:tcBorders>
          </w:tcPr>
          <w:p w14:paraId="295556A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w:t>
            </w:r>
          </w:p>
        </w:tc>
        <w:tc>
          <w:tcPr>
            <w:tcW w:w="1797" w:type="dxa"/>
            <w:tcBorders>
              <w:top w:val="none" w:sz="6" w:space="0" w:color="auto"/>
              <w:left w:val="none" w:sz="6" w:space="0" w:color="auto"/>
              <w:bottom w:val="none" w:sz="6" w:space="0" w:color="auto"/>
              <w:right w:val="none" w:sz="6" w:space="0" w:color="auto"/>
            </w:tcBorders>
          </w:tcPr>
          <w:p w14:paraId="49E938A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485</w:t>
            </w:r>
          </w:p>
        </w:tc>
        <w:tc>
          <w:tcPr>
            <w:tcW w:w="516" w:type="dxa"/>
            <w:tcBorders>
              <w:top w:val="none" w:sz="6" w:space="0" w:color="auto"/>
              <w:left w:val="none" w:sz="6" w:space="0" w:color="auto"/>
              <w:bottom w:val="none" w:sz="6" w:space="0" w:color="auto"/>
              <w:right w:val="none" w:sz="6" w:space="0" w:color="auto"/>
            </w:tcBorders>
          </w:tcPr>
          <w:p w14:paraId="132E3FA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327</w:t>
            </w:r>
          </w:p>
        </w:tc>
        <w:tc>
          <w:tcPr>
            <w:tcW w:w="344" w:type="dxa"/>
            <w:tcBorders>
              <w:top w:val="none" w:sz="6" w:space="0" w:color="auto"/>
              <w:left w:val="none" w:sz="6" w:space="0" w:color="auto"/>
              <w:bottom w:val="none" w:sz="6" w:space="0" w:color="auto"/>
              <w:right w:val="none" w:sz="6" w:space="0" w:color="auto"/>
            </w:tcBorders>
          </w:tcPr>
          <w:p w14:paraId="704D726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158</w:t>
            </w:r>
          </w:p>
        </w:tc>
        <w:tc>
          <w:tcPr>
            <w:tcW w:w="602" w:type="dxa"/>
            <w:tcBorders>
              <w:top w:val="none" w:sz="6" w:space="0" w:color="auto"/>
              <w:left w:val="none" w:sz="6" w:space="0" w:color="auto"/>
              <w:bottom w:val="none" w:sz="6" w:space="0" w:color="auto"/>
              <w:right w:val="none" w:sz="6" w:space="0" w:color="auto"/>
            </w:tcBorders>
          </w:tcPr>
          <w:p w14:paraId="662A360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171</w:t>
            </w:r>
          </w:p>
        </w:tc>
        <w:tc>
          <w:tcPr>
            <w:tcW w:w="688" w:type="dxa"/>
            <w:tcBorders>
              <w:top w:val="none" w:sz="6" w:space="0" w:color="auto"/>
              <w:left w:val="none" w:sz="6" w:space="0" w:color="auto"/>
              <w:bottom w:val="none" w:sz="6" w:space="0" w:color="auto"/>
              <w:right w:val="none" w:sz="6" w:space="0" w:color="auto"/>
            </w:tcBorders>
          </w:tcPr>
          <w:p w14:paraId="7C6874C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w:t>
            </w:r>
          </w:p>
        </w:tc>
        <w:tc>
          <w:tcPr>
            <w:tcW w:w="688" w:type="dxa"/>
            <w:tcBorders>
              <w:top w:val="none" w:sz="6" w:space="0" w:color="auto"/>
              <w:left w:val="none" w:sz="6" w:space="0" w:color="auto"/>
              <w:bottom w:val="none" w:sz="6" w:space="0" w:color="auto"/>
              <w:right w:val="none" w:sz="6" w:space="0" w:color="auto"/>
            </w:tcBorders>
          </w:tcPr>
          <w:p w14:paraId="4E53D66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180</w:t>
            </w:r>
          </w:p>
        </w:tc>
        <w:tc>
          <w:tcPr>
            <w:tcW w:w="688" w:type="dxa"/>
            <w:tcBorders>
              <w:top w:val="none" w:sz="6" w:space="0" w:color="auto"/>
              <w:left w:val="none" w:sz="6" w:space="0" w:color="auto"/>
              <w:bottom w:val="none" w:sz="6" w:space="0" w:color="auto"/>
              <w:right w:val="none" w:sz="6" w:space="0" w:color="auto"/>
            </w:tcBorders>
          </w:tcPr>
          <w:p w14:paraId="0154C93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731" w:type="dxa"/>
            <w:tcBorders>
              <w:top w:val="none" w:sz="6" w:space="0" w:color="auto"/>
              <w:left w:val="none" w:sz="6" w:space="0" w:color="auto"/>
              <w:bottom w:val="none" w:sz="6" w:space="0" w:color="auto"/>
              <w:right w:val="none" w:sz="6" w:space="0" w:color="auto"/>
            </w:tcBorders>
          </w:tcPr>
          <w:p w14:paraId="2CB82BB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51</w:t>
            </w:r>
          </w:p>
        </w:tc>
        <w:tc>
          <w:tcPr>
            <w:tcW w:w="731" w:type="dxa"/>
            <w:tcBorders>
              <w:top w:val="none" w:sz="6" w:space="0" w:color="auto"/>
              <w:left w:val="none" w:sz="6" w:space="0" w:color="auto"/>
              <w:bottom w:val="none" w:sz="6" w:space="0" w:color="auto"/>
              <w:right w:val="none" w:sz="6" w:space="0" w:color="auto"/>
            </w:tcBorders>
          </w:tcPr>
          <w:p w14:paraId="30727C3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516" w:type="dxa"/>
            <w:tcBorders>
              <w:top w:val="none" w:sz="6" w:space="0" w:color="auto"/>
              <w:left w:val="none" w:sz="6" w:space="0" w:color="auto"/>
              <w:bottom w:val="none" w:sz="6" w:space="0" w:color="auto"/>
              <w:right w:val="none" w:sz="6" w:space="0" w:color="auto"/>
            </w:tcBorders>
          </w:tcPr>
          <w:p w14:paraId="3314938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402</w:t>
            </w:r>
          </w:p>
        </w:tc>
        <w:tc>
          <w:tcPr>
            <w:tcW w:w="688" w:type="dxa"/>
            <w:tcBorders>
              <w:top w:val="none" w:sz="6" w:space="0" w:color="auto"/>
              <w:left w:val="none" w:sz="6" w:space="0" w:color="auto"/>
              <w:bottom w:val="none" w:sz="6" w:space="0" w:color="auto"/>
              <w:right w:val="none" w:sz="6" w:space="0" w:color="auto"/>
            </w:tcBorders>
          </w:tcPr>
          <w:p w14:paraId="376B703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83</w:t>
            </w:r>
          </w:p>
        </w:tc>
      </w:tr>
      <w:tr w:rsidR="00F26F01" w:rsidRPr="00C33834" w14:paraId="37ADBAB2" w14:textId="77777777" w:rsidTr="00CE35D9">
        <w:tc>
          <w:tcPr>
            <w:tcW w:w="1367" w:type="dxa"/>
            <w:tcBorders>
              <w:top w:val="none" w:sz="6" w:space="0" w:color="auto"/>
              <w:left w:val="none" w:sz="6" w:space="0" w:color="auto"/>
              <w:bottom w:val="none" w:sz="6" w:space="0" w:color="auto"/>
              <w:right w:val="none" w:sz="6" w:space="0" w:color="auto"/>
            </w:tcBorders>
          </w:tcPr>
          <w:p w14:paraId="6374F4E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w:t>
            </w:r>
          </w:p>
        </w:tc>
        <w:tc>
          <w:tcPr>
            <w:tcW w:w="1797" w:type="dxa"/>
            <w:tcBorders>
              <w:top w:val="none" w:sz="6" w:space="0" w:color="auto"/>
              <w:left w:val="none" w:sz="6" w:space="0" w:color="auto"/>
              <w:bottom w:val="none" w:sz="6" w:space="0" w:color="auto"/>
              <w:right w:val="none" w:sz="6" w:space="0" w:color="auto"/>
            </w:tcBorders>
          </w:tcPr>
          <w:p w14:paraId="18E38AB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516" w:type="dxa"/>
            <w:tcBorders>
              <w:top w:val="none" w:sz="6" w:space="0" w:color="auto"/>
              <w:left w:val="none" w:sz="6" w:space="0" w:color="auto"/>
              <w:bottom w:val="none" w:sz="6" w:space="0" w:color="auto"/>
              <w:right w:val="none" w:sz="6" w:space="0" w:color="auto"/>
            </w:tcBorders>
          </w:tcPr>
          <w:p w14:paraId="6C4CAD8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w:t>
            </w:r>
          </w:p>
        </w:tc>
        <w:tc>
          <w:tcPr>
            <w:tcW w:w="344" w:type="dxa"/>
            <w:tcBorders>
              <w:top w:val="none" w:sz="6" w:space="0" w:color="auto"/>
              <w:left w:val="none" w:sz="6" w:space="0" w:color="auto"/>
              <w:bottom w:val="none" w:sz="6" w:space="0" w:color="auto"/>
              <w:right w:val="none" w:sz="6" w:space="0" w:color="auto"/>
            </w:tcBorders>
          </w:tcPr>
          <w:p w14:paraId="54A9C5D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w:t>
            </w:r>
          </w:p>
        </w:tc>
        <w:tc>
          <w:tcPr>
            <w:tcW w:w="602" w:type="dxa"/>
            <w:tcBorders>
              <w:top w:val="none" w:sz="6" w:space="0" w:color="auto"/>
              <w:left w:val="none" w:sz="6" w:space="0" w:color="auto"/>
              <w:bottom w:val="none" w:sz="6" w:space="0" w:color="auto"/>
              <w:right w:val="none" w:sz="6" w:space="0" w:color="auto"/>
            </w:tcBorders>
          </w:tcPr>
          <w:p w14:paraId="1018CDE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73,3</w:t>
            </w:r>
          </w:p>
        </w:tc>
        <w:tc>
          <w:tcPr>
            <w:tcW w:w="688" w:type="dxa"/>
            <w:tcBorders>
              <w:top w:val="none" w:sz="6" w:space="0" w:color="auto"/>
              <w:left w:val="none" w:sz="6" w:space="0" w:color="auto"/>
              <w:bottom w:val="none" w:sz="6" w:space="0" w:color="auto"/>
              <w:right w:val="none" w:sz="6" w:space="0" w:color="auto"/>
            </w:tcBorders>
          </w:tcPr>
          <w:p w14:paraId="22A02B9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26,7</w:t>
            </w:r>
          </w:p>
        </w:tc>
        <w:tc>
          <w:tcPr>
            <w:tcW w:w="688" w:type="dxa"/>
            <w:tcBorders>
              <w:top w:val="none" w:sz="6" w:space="0" w:color="auto"/>
              <w:left w:val="none" w:sz="6" w:space="0" w:color="auto"/>
              <w:bottom w:val="none" w:sz="6" w:space="0" w:color="auto"/>
              <w:right w:val="none" w:sz="6" w:space="0" w:color="auto"/>
            </w:tcBorders>
          </w:tcPr>
          <w:p w14:paraId="75B48EA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92,3</w:t>
            </w:r>
          </w:p>
        </w:tc>
        <w:tc>
          <w:tcPr>
            <w:tcW w:w="688" w:type="dxa"/>
            <w:tcBorders>
              <w:top w:val="none" w:sz="6" w:space="0" w:color="auto"/>
              <w:left w:val="none" w:sz="6" w:space="0" w:color="auto"/>
              <w:bottom w:val="none" w:sz="6" w:space="0" w:color="auto"/>
              <w:right w:val="none" w:sz="6" w:space="0" w:color="auto"/>
            </w:tcBorders>
          </w:tcPr>
          <w:p w14:paraId="2AD0835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7,7</w:t>
            </w:r>
          </w:p>
        </w:tc>
        <w:tc>
          <w:tcPr>
            <w:tcW w:w="731" w:type="dxa"/>
            <w:tcBorders>
              <w:top w:val="none" w:sz="6" w:space="0" w:color="auto"/>
              <w:left w:val="none" w:sz="6" w:space="0" w:color="auto"/>
              <w:bottom w:val="none" w:sz="6" w:space="0" w:color="auto"/>
              <w:right w:val="none" w:sz="6" w:space="0" w:color="auto"/>
            </w:tcBorders>
          </w:tcPr>
          <w:p w14:paraId="1C4C6EB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92,7</w:t>
            </w:r>
          </w:p>
        </w:tc>
        <w:tc>
          <w:tcPr>
            <w:tcW w:w="731" w:type="dxa"/>
            <w:tcBorders>
              <w:top w:val="none" w:sz="6" w:space="0" w:color="auto"/>
              <w:left w:val="none" w:sz="6" w:space="0" w:color="auto"/>
              <w:bottom w:val="none" w:sz="6" w:space="0" w:color="auto"/>
              <w:right w:val="none" w:sz="6" w:space="0" w:color="auto"/>
            </w:tcBorders>
          </w:tcPr>
          <w:p w14:paraId="3B40137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w:t>
            </w:r>
          </w:p>
        </w:tc>
        <w:tc>
          <w:tcPr>
            <w:tcW w:w="516" w:type="dxa"/>
            <w:tcBorders>
              <w:top w:val="none" w:sz="6" w:space="0" w:color="auto"/>
              <w:left w:val="none" w:sz="6" w:space="0" w:color="auto"/>
              <w:bottom w:val="none" w:sz="6" w:space="0" w:color="auto"/>
              <w:right w:val="none" w:sz="6" w:space="0" w:color="auto"/>
            </w:tcBorders>
          </w:tcPr>
          <w:p w14:paraId="24384DF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82</w:t>
            </w:r>
          </w:p>
        </w:tc>
        <w:tc>
          <w:tcPr>
            <w:tcW w:w="688" w:type="dxa"/>
            <w:tcBorders>
              <w:top w:val="none" w:sz="6" w:space="0" w:color="auto"/>
              <w:left w:val="none" w:sz="6" w:space="0" w:color="auto"/>
              <w:bottom w:val="none" w:sz="6" w:space="0" w:color="auto"/>
              <w:right w:val="none" w:sz="6" w:space="0" w:color="auto"/>
            </w:tcBorders>
          </w:tcPr>
          <w:p w14:paraId="1F1304D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r>
      <w:tr w:rsidR="00F26F01" w:rsidRPr="00C33834" w14:paraId="414CECCA" w14:textId="77777777" w:rsidTr="00CE35D9">
        <w:tc>
          <w:tcPr>
            <w:tcW w:w="1367" w:type="dxa"/>
            <w:tcBorders>
              <w:top w:val="none" w:sz="6" w:space="0" w:color="auto"/>
              <w:left w:val="none" w:sz="6" w:space="0" w:color="auto"/>
              <w:bottom w:val="none" w:sz="6" w:space="0" w:color="auto"/>
              <w:right w:val="none" w:sz="6" w:space="0" w:color="auto"/>
            </w:tcBorders>
          </w:tcPr>
          <w:p w14:paraId="1EE00B8B"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1797" w:type="dxa"/>
            <w:tcBorders>
              <w:top w:val="none" w:sz="6" w:space="0" w:color="auto"/>
              <w:left w:val="none" w:sz="6" w:space="0" w:color="auto"/>
              <w:bottom w:val="none" w:sz="6" w:space="0" w:color="auto"/>
              <w:right w:val="none" w:sz="6" w:space="0" w:color="auto"/>
            </w:tcBorders>
          </w:tcPr>
          <w:p w14:paraId="142794E9"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516" w:type="dxa"/>
            <w:tcBorders>
              <w:top w:val="none" w:sz="6" w:space="0" w:color="auto"/>
              <w:left w:val="none" w:sz="6" w:space="0" w:color="auto"/>
              <w:bottom w:val="none" w:sz="6" w:space="0" w:color="auto"/>
              <w:right w:val="none" w:sz="6" w:space="0" w:color="auto"/>
            </w:tcBorders>
          </w:tcPr>
          <w:p w14:paraId="4D887813"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344" w:type="dxa"/>
            <w:tcBorders>
              <w:top w:val="none" w:sz="6" w:space="0" w:color="auto"/>
              <w:left w:val="none" w:sz="6" w:space="0" w:color="auto"/>
              <w:bottom w:val="none" w:sz="6" w:space="0" w:color="auto"/>
              <w:right w:val="none" w:sz="6" w:space="0" w:color="auto"/>
            </w:tcBorders>
          </w:tcPr>
          <w:p w14:paraId="07734B0B"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602" w:type="dxa"/>
            <w:gridSpan w:val="2"/>
            <w:tcBorders>
              <w:top w:val="none" w:sz="6" w:space="0" w:color="auto"/>
              <w:left w:val="none" w:sz="6" w:space="0" w:color="auto"/>
              <w:bottom w:val="none" w:sz="6" w:space="0" w:color="auto"/>
              <w:right w:val="none" w:sz="6" w:space="0" w:color="auto"/>
            </w:tcBorders>
          </w:tcPr>
          <w:p w14:paraId="6D12AC2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w:t>
            </w:r>
          </w:p>
        </w:tc>
        <w:tc>
          <w:tcPr>
            <w:tcW w:w="688" w:type="dxa"/>
            <w:gridSpan w:val="2"/>
            <w:tcBorders>
              <w:top w:val="none" w:sz="6" w:space="0" w:color="auto"/>
              <w:left w:val="none" w:sz="6" w:space="0" w:color="auto"/>
              <w:bottom w:val="none" w:sz="6" w:space="0" w:color="auto"/>
              <w:right w:val="none" w:sz="6" w:space="0" w:color="auto"/>
            </w:tcBorders>
          </w:tcPr>
          <w:p w14:paraId="0064299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w:t>
            </w:r>
          </w:p>
        </w:tc>
        <w:tc>
          <w:tcPr>
            <w:tcW w:w="731" w:type="dxa"/>
            <w:gridSpan w:val="2"/>
            <w:tcBorders>
              <w:top w:val="none" w:sz="6" w:space="0" w:color="auto"/>
              <w:left w:val="none" w:sz="6" w:space="0" w:color="auto"/>
              <w:bottom w:val="none" w:sz="6" w:space="0" w:color="auto"/>
              <w:right w:val="none" w:sz="6" w:space="0" w:color="auto"/>
            </w:tcBorders>
          </w:tcPr>
          <w:p w14:paraId="1D9D623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c>
          <w:tcPr>
            <w:tcW w:w="516" w:type="dxa"/>
            <w:tcBorders>
              <w:top w:val="none" w:sz="6" w:space="0" w:color="auto"/>
              <w:left w:val="none" w:sz="6" w:space="0" w:color="auto"/>
              <w:bottom w:val="none" w:sz="6" w:space="0" w:color="auto"/>
              <w:right w:val="none" w:sz="6" w:space="0" w:color="auto"/>
            </w:tcBorders>
          </w:tcPr>
          <w:p w14:paraId="39CD032A"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688" w:type="dxa"/>
            <w:tcBorders>
              <w:top w:val="none" w:sz="6" w:space="0" w:color="auto"/>
              <w:left w:val="none" w:sz="6" w:space="0" w:color="auto"/>
              <w:bottom w:val="none" w:sz="6" w:space="0" w:color="auto"/>
              <w:right w:val="none" w:sz="6" w:space="0" w:color="auto"/>
            </w:tcBorders>
          </w:tcPr>
          <w:p w14:paraId="08FF32CF"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r>
      <w:tr w:rsidR="00F26F01" w:rsidRPr="00C33834" w14:paraId="65AFF83F" w14:textId="77777777" w:rsidTr="00CE35D9">
        <w:tc>
          <w:tcPr>
            <w:tcW w:w="1367" w:type="dxa"/>
            <w:tcBorders>
              <w:top w:val="none" w:sz="6" w:space="0" w:color="auto"/>
              <w:left w:val="none" w:sz="6" w:space="0" w:color="auto"/>
              <w:bottom w:val="none" w:sz="6" w:space="0" w:color="auto"/>
              <w:right w:val="none" w:sz="6" w:space="0" w:color="auto"/>
            </w:tcBorders>
          </w:tcPr>
          <w:p w14:paraId="3F24E71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c>
          <w:tcPr>
            <w:tcW w:w="1797" w:type="dxa"/>
            <w:tcBorders>
              <w:top w:val="none" w:sz="6" w:space="0" w:color="auto"/>
              <w:left w:val="none" w:sz="6" w:space="0" w:color="auto"/>
              <w:bottom w:val="none" w:sz="6" w:space="0" w:color="auto"/>
              <w:right w:val="none" w:sz="6" w:space="0" w:color="auto"/>
            </w:tcBorders>
          </w:tcPr>
          <w:p w14:paraId="05C116F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312</w:t>
            </w:r>
          </w:p>
        </w:tc>
        <w:tc>
          <w:tcPr>
            <w:tcW w:w="516" w:type="dxa"/>
            <w:tcBorders>
              <w:top w:val="none" w:sz="6" w:space="0" w:color="auto"/>
              <w:left w:val="none" w:sz="6" w:space="0" w:color="auto"/>
              <w:bottom w:val="none" w:sz="6" w:space="0" w:color="auto"/>
              <w:right w:val="none" w:sz="6" w:space="0" w:color="auto"/>
            </w:tcBorders>
          </w:tcPr>
          <w:p w14:paraId="5B9A1C5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291</w:t>
            </w:r>
          </w:p>
        </w:tc>
        <w:tc>
          <w:tcPr>
            <w:tcW w:w="344" w:type="dxa"/>
            <w:tcBorders>
              <w:top w:val="none" w:sz="6" w:space="0" w:color="auto"/>
              <w:left w:val="none" w:sz="6" w:space="0" w:color="auto"/>
              <w:bottom w:val="none" w:sz="6" w:space="0" w:color="auto"/>
              <w:right w:val="none" w:sz="6" w:space="0" w:color="auto"/>
            </w:tcBorders>
          </w:tcPr>
          <w:p w14:paraId="423E8BC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602" w:type="dxa"/>
            <w:tcBorders>
              <w:top w:val="none" w:sz="6" w:space="0" w:color="auto"/>
              <w:left w:val="none" w:sz="6" w:space="0" w:color="auto"/>
              <w:bottom w:val="none" w:sz="6" w:space="0" w:color="auto"/>
              <w:right w:val="none" w:sz="6" w:space="0" w:color="auto"/>
            </w:tcBorders>
          </w:tcPr>
          <w:p w14:paraId="7484238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132</w:t>
            </w:r>
          </w:p>
        </w:tc>
        <w:tc>
          <w:tcPr>
            <w:tcW w:w="688" w:type="dxa"/>
            <w:tcBorders>
              <w:top w:val="none" w:sz="6" w:space="0" w:color="auto"/>
              <w:left w:val="none" w:sz="6" w:space="0" w:color="auto"/>
              <w:bottom w:val="none" w:sz="6" w:space="0" w:color="auto"/>
              <w:right w:val="none" w:sz="6" w:space="0" w:color="auto"/>
            </w:tcBorders>
          </w:tcPr>
          <w:p w14:paraId="0C540FF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83</w:t>
            </w:r>
          </w:p>
        </w:tc>
        <w:tc>
          <w:tcPr>
            <w:tcW w:w="688" w:type="dxa"/>
            <w:tcBorders>
              <w:top w:val="none" w:sz="6" w:space="0" w:color="auto"/>
              <w:left w:val="none" w:sz="6" w:space="0" w:color="auto"/>
              <w:bottom w:val="none" w:sz="6" w:space="0" w:color="auto"/>
              <w:right w:val="none" w:sz="6" w:space="0" w:color="auto"/>
            </w:tcBorders>
          </w:tcPr>
          <w:p w14:paraId="0FF6593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w:t>
            </w:r>
          </w:p>
        </w:tc>
        <w:tc>
          <w:tcPr>
            <w:tcW w:w="688" w:type="dxa"/>
            <w:tcBorders>
              <w:top w:val="none" w:sz="6" w:space="0" w:color="auto"/>
              <w:left w:val="none" w:sz="6" w:space="0" w:color="auto"/>
              <w:bottom w:val="none" w:sz="6" w:space="0" w:color="auto"/>
              <w:right w:val="none" w:sz="6" w:space="0" w:color="auto"/>
            </w:tcBorders>
          </w:tcPr>
          <w:p w14:paraId="78C979E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c>
          <w:tcPr>
            <w:tcW w:w="731" w:type="dxa"/>
            <w:tcBorders>
              <w:top w:val="none" w:sz="6" w:space="0" w:color="auto"/>
              <w:left w:val="none" w:sz="6" w:space="0" w:color="auto"/>
              <w:bottom w:val="none" w:sz="6" w:space="0" w:color="auto"/>
              <w:right w:val="none" w:sz="6" w:space="0" w:color="auto"/>
            </w:tcBorders>
          </w:tcPr>
          <w:p w14:paraId="64578F5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731" w:type="dxa"/>
            <w:tcBorders>
              <w:top w:val="none" w:sz="6" w:space="0" w:color="auto"/>
              <w:left w:val="none" w:sz="6" w:space="0" w:color="auto"/>
              <w:bottom w:val="none" w:sz="6" w:space="0" w:color="auto"/>
              <w:right w:val="none" w:sz="6" w:space="0" w:color="auto"/>
            </w:tcBorders>
          </w:tcPr>
          <w:p w14:paraId="0E226AB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516" w:type="dxa"/>
            <w:tcBorders>
              <w:top w:val="none" w:sz="6" w:space="0" w:color="auto"/>
              <w:left w:val="none" w:sz="6" w:space="0" w:color="auto"/>
              <w:bottom w:val="none" w:sz="6" w:space="0" w:color="auto"/>
              <w:right w:val="none" w:sz="6" w:space="0" w:color="auto"/>
            </w:tcBorders>
          </w:tcPr>
          <w:p w14:paraId="59641F0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222</w:t>
            </w:r>
          </w:p>
        </w:tc>
        <w:tc>
          <w:tcPr>
            <w:tcW w:w="688" w:type="dxa"/>
            <w:tcBorders>
              <w:top w:val="none" w:sz="6" w:space="0" w:color="auto"/>
              <w:left w:val="none" w:sz="6" w:space="0" w:color="auto"/>
              <w:bottom w:val="none" w:sz="6" w:space="0" w:color="auto"/>
              <w:right w:val="none" w:sz="6" w:space="0" w:color="auto"/>
            </w:tcBorders>
          </w:tcPr>
          <w:p w14:paraId="7108479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w:t>
            </w:r>
          </w:p>
        </w:tc>
      </w:tr>
      <w:tr w:rsidR="00F26F01" w:rsidRPr="00C33834" w14:paraId="642171F1" w14:textId="77777777" w:rsidTr="00CE35D9">
        <w:tc>
          <w:tcPr>
            <w:tcW w:w="1367" w:type="dxa"/>
            <w:tcBorders>
              <w:top w:val="none" w:sz="6" w:space="0" w:color="auto"/>
              <w:left w:val="none" w:sz="6" w:space="0" w:color="auto"/>
              <w:bottom w:val="none" w:sz="6" w:space="0" w:color="auto"/>
              <w:right w:val="none" w:sz="6" w:space="0" w:color="auto"/>
            </w:tcBorders>
          </w:tcPr>
          <w:p w14:paraId="2AD37B4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w:t>
            </w:r>
          </w:p>
        </w:tc>
        <w:tc>
          <w:tcPr>
            <w:tcW w:w="1797" w:type="dxa"/>
            <w:tcBorders>
              <w:top w:val="none" w:sz="6" w:space="0" w:color="auto"/>
              <w:left w:val="none" w:sz="6" w:space="0" w:color="auto"/>
              <w:bottom w:val="none" w:sz="6" w:space="0" w:color="auto"/>
              <w:right w:val="none" w:sz="6" w:space="0" w:color="auto"/>
            </w:tcBorders>
          </w:tcPr>
          <w:p w14:paraId="0E2E20D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516" w:type="dxa"/>
            <w:tcBorders>
              <w:top w:val="none" w:sz="6" w:space="0" w:color="auto"/>
              <w:left w:val="none" w:sz="6" w:space="0" w:color="auto"/>
              <w:bottom w:val="none" w:sz="6" w:space="0" w:color="auto"/>
              <w:right w:val="none" w:sz="6" w:space="0" w:color="auto"/>
            </w:tcBorders>
          </w:tcPr>
          <w:p w14:paraId="1AAE0F0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93</w:t>
            </w:r>
          </w:p>
        </w:tc>
        <w:tc>
          <w:tcPr>
            <w:tcW w:w="344" w:type="dxa"/>
            <w:tcBorders>
              <w:top w:val="none" w:sz="6" w:space="0" w:color="auto"/>
              <w:left w:val="none" w:sz="6" w:space="0" w:color="auto"/>
              <w:bottom w:val="none" w:sz="6" w:space="0" w:color="auto"/>
              <w:right w:val="none" w:sz="6" w:space="0" w:color="auto"/>
            </w:tcBorders>
          </w:tcPr>
          <w:p w14:paraId="22843BB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c>
          <w:tcPr>
            <w:tcW w:w="602" w:type="dxa"/>
            <w:tcBorders>
              <w:top w:val="none" w:sz="6" w:space="0" w:color="auto"/>
              <w:left w:val="none" w:sz="6" w:space="0" w:color="auto"/>
              <w:bottom w:val="none" w:sz="6" w:space="0" w:color="auto"/>
              <w:right w:val="none" w:sz="6" w:space="0" w:color="auto"/>
            </w:tcBorders>
          </w:tcPr>
          <w:p w14:paraId="45F4AF9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61,4</w:t>
            </w:r>
          </w:p>
        </w:tc>
        <w:tc>
          <w:tcPr>
            <w:tcW w:w="688" w:type="dxa"/>
            <w:tcBorders>
              <w:top w:val="none" w:sz="6" w:space="0" w:color="auto"/>
              <w:left w:val="none" w:sz="6" w:space="0" w:color="auto"/>
              <w:bottom w:val="none" w:sz="6" w:space="0" w:color="auto"/>
              <w:right w:val="none" w:sz="6" w:space="0" w:color="auto"/>
            </w:tcBorders>
          </w:tcPr>
          <w:p w14:paraId="5700AC8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38,6</w:t>
            </w:r>
          </w:p>
        </w:tc>
        <w:tc>
          <w:tcPr>
            <w:tcW w:w="688" w:type="dxa"/>
            <w:tcBorders>
              <w:top w:val="none" w:sz="6" w:space="0" w:color="auto"/>
              <w:left w:val="none" w:sz="6" w:space="0" w:color="auto"/>
              <w:bottom w:val="none" w:sz="6" w:space="0" w:color="auto"/>
              <w:right w:val="none" w:sz="6" w:space="0" w:color="auto"/>
            </w:tcBorders>
          </w:tcPr>
          <w:p w14:paraId="4FE6FF1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91,8</w:t>
            </w:r>
          </w:p>
        </w:tc>
        <w:tc>
          <w:tcPr>
            <w:tcW w:w="688" w:type="dxa"/>
            <w:tcBorders>
              <w:top w:val="none" w:sz="6" w:space="0" w:color="auto"/>
              <w:left w:val="none" w:sz="6" w:space="0" w:color="auto"/>
              <w:bottom w:val="none" w:sz="6" w:space="0" w:color="auto"/>
              <w:right w:val="none" w:sz="6" w:space="0" w:color="auto"/>
            </w:tcBorders>
          </w:tcPr>
          <w:p w14:paraId="6BD43B7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8,2</w:t>
            </w:r>
          </w:p>
        </w:tc>
        <w:tc>
          <w:tcPr>
            <w:tcW w:w="731" w:type="dxa"/>
            <w:tcBorders>
              <w:top w:val="none" w:sz="6" w:space="0" w:color="auto"/>
              <w:left w:val="none" w:sz="6" w:space="0" w:color="auto"/>
              <w:bottom w:val="none" w:sz="6" w:space="0" w:color="auto"/>
              <w:right w:val="none" w:sz="6" w:space="0" w:color="auto"/>
            </w:tcBorders>
          </w:tcPr>
          <w:p w14:paraId="47F9391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31" w:type="dxa"/>
            <w:tcBorders>
              <w:top w:val="none" w:sz="6" w:space="0" w:color="auto"/>
              <w:left w:val="none" w:sz="6" w:space="0" w:color="auto"/>
              <w:bottom w:val="none" w:sz="6" w:space="0" w:color="auto"/>
              <w:right w:val="none" w:sz="6" w:space="0" w:color="auto"/>
            </w:tcBorders>
          </w:tcPr>
          <w:p w14:paraId="3F0FF58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516" w:type="dxa"/>
            <w:tcBorders>
              <w:top w:val="none" w:sz="6" w:space="0" w:color="auto"/>
              <w:left w:val="none" w:sz="6" w:space="0" w:color="auto"/>
              <w:bottom w:val="none" w:sz="6" w:space="0" w:color="auto"/>
              <w:right w:val="none" w:sz="6" w:space="0" w:color="auto"/>
            </w:tcBorders>
          </w:tcPr>
          <w:p w14:paraId="624A410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71</w:t>
            </w:r>
          </w:p>
        </w:tc>
        <w:tc>
          <w:tcPr>
            <w:tcW w:w="688" w:type="dxa"/>
            <w:tcBorders>
              <w:top w:val="none" w:sz="6" w:space="0" w:color="auto"/>
              <w:left w:val="none" w:sz="6" w:space="0" w:color="auto"/>
              <w:bottom w:val="none" w:sz="6" w:space="0" w:color="auto"/>
              <w:right w:val="none" w:sz="6" w:space="0" w:color="auto"/>
            </w:tcBorders>
          </w:tcPr>
          <w:p w14:paraId="55ACE03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r>
      <w:tr w:rsidR="00F26F01" w:rsidRPr="00C33834" w14:paraId="514DFB5A" w14:textId="77777777" w:rsidTr="00CE35D9">
        <w:tc>
          <w:tcPr>
            <w:tcW w:w="1367" w:type="dxa"/>
            <w:tcBorders>
              <w:top w:val="none" w:sz="6" w:space="0" w:color="auto"/>
              <w:left w:val="none" w:sz="6" w:space="0" w:color="auto"/>
              <w:bottom w:val="none" w:sz="6" w:space="0" w:color="auto"/>
              <w:right w:val="none" w:sz="6" w:space="0" w:color="auto"/>
            </w:tcBorders>
          </w:tcPr>
          <w:p w14:paraId="721D28F4"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1797" w:type="dxa"/>
            <w:tcBorders>
              <w:top w:val="none" w:sz="6" w:space="0" w:color="auto"/>
              <w:left w:val="none" w:sz="6" w:space="0" w:color="auto"/>
              <w:bottom w:val="none" w:sz="6" w:space="0" w:color="auto"/>
              <w:right w:val="none" w:sz="6" w:space="0" w:color="auto"/>
            </w:tcBorders>
          </w:tcPr>
          <w:p w14:paraId="63B902E3"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516" w:type="dxa"/>
            <w:tcBorders>
              <w:top w:val="none" w:sz="6" w:space="0" w:color="auto"/>
              <w:left w:val="none" w:sz="6" w:space="0" w:color="auto"/>
              <w:bottom w:val="none" w:sz="6" w:space="0" w:color="auto"/>
              <w:right w:val="none" w:sz="6" w:space="0" w:color="auto"/>
            </w:tcBorders>
          </w:tcPr>
          <w:p w14:paraId="4BB0AE2F"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344" w:type="dxa"/>
            <w:tcBorders>
              <w:top w:val="none" w:sz="6" w:space="0" w:color="auto"/>
              <w:left w:val="none" w:sz="6" w:space="0" w:color="auto"/>
              <w:bottom w:val="none" w:sz="6" w:space="0" w:color="auto"/>
              <w:right w:val="none" w:sz="6" w:space="0" w:color="auto"/>
            </w:tcBorders>
          </w:tcPr>
          <w:p w14:paraId="5417143E"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602" w:type="dxa"/>
            <w:gridSpan w:val="2"/>
            <w:tcBorders>
              <w:top w:val="none" w:sz="6" w:space="0" w:color="auto"/>
              <w:left w:val="none" w:sz="6" w:space="0" w:color="auto"/>
              <w:bottom w:val="none" w:sz="6" w:space="0" w:color="auto"/>
              <w:right w:val="none" w:sz="6" w:space="0" w:color="auto"/>
            </w:tcBorders>
          </w:tcPr>
          <w:p w14:paraId="1470803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272</w:t>
            </w:r>
          </w:p>
        </w:tc>
        <w:tc>
          <w:tcPr>
            <w:tcW w:w="688" w:type="dxa"/>
            <w:gridSpan w:val="2"/>
            <w:tcBorders>
              <w:top w:val="none" w:sz="6" w:space="0" w:color="auto"/>
              <w:left w:val="none" w:sz="6" w:space="0" w:color="auto"/>
              <w:bottom w:val="none" w:sz="6" w:space="0" w:color="auto"/>
              <w:right w:val="none" w:sz="6" w:space="0" w:color="auto"/>
            </w:tcBorders>
          </w:tcPr>
          <w:p w14:paraId="3AF2A05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93</w:t>
            </w:r>
          </w:p>
        </w:tc>
        <w:tc>
          <w:tcPr>
            <w:tcW w:w="731" w:type="dxa"/>
            <w:gridSpan w:val="2"/>
            <w:tcBorders>
              <w:top w:val="none" w:sz="6" w:space="0" w:color="auto"/>
              <w:left w:val="none" w:sz="6" w:space="0" w:color="auto"/>
              <w:bottom w:val="none" w:sz="6" w:space="0" w:color="auto"/>
              <w:right w:val="none" w:sz="6" w:space="0" w:color="auto"/>
            </w:tcBorders>
          </w:tcPr>
          <w:p w14:paraId="08FDB02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516" w:type="dxa"/>
            <w:tcBorders>
              <w:top w:val="none" w:sz="6" w:space="0" w:color="auto"/>
              <w:left w:val="none" w:sz="6" w:space="0" w:color="auto"/>
              <w:bottom w:val="none" w:sz="6" w:space="0" w:color="auto"/>
              <w:right w:val="none" w:sz="6" w:space="0" w:color="auto"/>
            </w:tcBorders>
          </w:tcPr>
          <w:p w14:paraId="075A8DE6"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688" w:type="dxa"/>
            <w:tcBorders>
              <w:top w:val="none" w:sz="6" w:space="0" w:color="auto"/>
              <w:left w:val="none" w:sz="6" w:space="0" w:color="auto"/>
              <w:bottom w:val="none" w:sz="6" w:space="0" w:color="auto"/>
              <w:right w:val="none" w:sz="6" w:space="0" w:color="auto"/>
            </w:tcBorders>
          </w:tcPr>
          <w:p w14:paraId="380274F7"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r>
      <w:tr w:rsidR="00F26F01" w:rsidRPr="00C33834" w14:paraId="357F3433" w14:textId="77777777" w:rsidTr="00CE35D9">
        <w:tc>
          <w:tcPr>
            <w:tcW w:w="1367" w:type="dxa"/>
            <w:tcBorders>
              <w:top w:val="none" w:sz="6" w:space="0" w:color="auto"/>
              <w:left w:val="none" w:sz="6" w:space="0" w:color="auto"/>
              <w:bottom w:val="none" w:sz="6" w:space="0" w:color="auto"/>
              <w:right w:val="none" w:sz="6" w:space="0" w:color="auto"/>
            </w:tcBorders>
          </w:tcPr>
          <w:p w14:paraId="37B07A7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11 мес. 1933</w:t>
            </w:r>
          </w:p>
        </w:tc>
        <w:tc>
          <w:tcPr>
            <w:tcW w:w="1797" w:type="dxa"/>
            <w:tcBorders>
              <w:top w:val="none" w:sz="6" w:space="0" w:color="auto"/>
              <w:left w:val="none" w:sz="6" w:space="0" w:color="auto"/>
              <w:bottom w:val="none" w:sz="6" w:space="0" w:color="auto"/>
              <w:right w:val="none" w:sz="6" w:space="0" w:color="auto"/>
            </w:tcBorders>
          </w:tcPr>
          <w:p w14:paraId="08563D9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385</w:t>
            </w:r>
          </w:p>
        </w:tc>
        <w:tc>
          <w:tcPr>
            <w:tcW w:w="516" w:type="dxa"/>
            <w:tcBorders>
              <w:top w:val="none" w:sz="6" w:space="0" w:color="auto"/>
              <w:left w:val="none" w:sz="6" w:space="0" w:color="auto"/>
              <w:bottom w:val="none" w:sz="6" w:space="0" w:color="auto"/>
              <w:right w:val="none" w:sz="6" w:space="0" w:color="auto"/>
            </w:tcBorders>
          </w:tcPr>
          <w:p w14:paraId="6F85529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282</w:t>
            </w:r>
          </w:p>
        </w:tc>
        <w:tc>
          <w:tcPr>
            <w:tcW w:w="344" w:type="dxa"/>
            <w:tcBorders>
              <w:top w:val="none" w:sz="6" w:space="0" w:color="auto"/>
              <w:left w:val="none" w:sz="6" w:space="0" w:color="auto"/>
              <w:bottom w:val="none" w:sz="6" w:space="0" w:color="auto"/>
              <w:right w:val="none" w:sz="6" w:space="0" w:color="auto"/>
            </w:tcBorders>
          </w:tcPr>
          <w:p w14:paraId="68BF814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103</w:t>
            </w:r>
          </w:p>
        </w:tc>
        <w:tc>
          <w:tcPr>
            <w:tcW w:w="602" w:type="dxa"/>
            <w:tcBorders>
              <w:top w:val="none" w:sz="6" w:space="0" w:color="auto"/>
              <w:left w:val="none" w:sz="6" w:space="0" w:color="auto"/>
              <w:bottom w:val="none" w:sz="6" w:space="0" w:color="auto"/>
              <w:right w:val="none" w:sz="6" w:space="0" w:color="auto"/>
            </w:tcBorders>
          </w:tcPr>
          <w:p w14:paraId="15CEEFF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w:t>
            </w:r>
          </w:p>
        </w:tc>
        <w:tc>
          <w:tcPr>
            <w:tcW w:w="688" w:type="dxa"/>
            <w:tcBorders>
              <w:top w:val="none" w:sz="6" w:space="0" w:color="auto"/>
              <w:left w:val="none" w:sz="6" w:space="0" w:color="auto"/>
              <w:bottom w:val="none" w:sz="6" w:space="0" w:color="auto"/>
              <w:right w:val="none" w:sz="6" w:space="0" w:color="auto"/>
            </w:tcBorders>
          </w:tcPr>
          <w:p w14:paraId="3ED782A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97</w:t>
            </w:r>
          </w:p>
        </w:tc>
        <w:tc>
          <w:tcPr>
            <w:tcW w:w="688" w:type="dxa"/>
            <w:tcBorders>
              <w:top w:val="none" w:sz="6" w:space="0" w:color="auto"/>
              <w:left w:val="none" w:sz="6" w:space="0" w:color="auto"/>
              <w:bottom w:val="none" w:sz="6" w:space="0" w:color="auto"/>
              <w:right w:val="none" w:sz="6" w:space="0" w:color="auto"/>
            </w:tcBorders>
          </w:tcPr>
          <w:p w14:paraId="6CBD4BC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w:t>
            </w:r>
          </w:p>
        </w:tc>
        <w:tc>
          <w:tcPr>
            <w:tcW w:w="688" w:type="dxa"/>
            <w:tcBorders>
              <w:top w:val="none" w:sz="6" w:space="0" w:color="auto"/>
              <w:left w:val="none" w:sz="6" w:space="0" w:color="auto"/>
              <w:bottom w:val="none" w:sz="6" w:space="0" w:color="auto"/>
              <w:right w:val="none" w:sz="6" w:space="0" w:color="auto"/>
            </w:tcBorders>
          </w:tcPr>
          <w:p w14:paraId="3510700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731" w:type="dxa"/>
            <w:tcBorders>
              <w:top w:val="none" w:sz="6" w:space="0" w:color="auto"/>
              <w:left w:val="none" w:sz="6" w:space="0" w:color="auto"/>
              <w:bottom w:val="none" w:sz="6" w:space="0" w:color="auto"/>
              <w:right w:val="none" w:sz="6" w:space="0" w:color="auto"/>
            </w:tcBorders>
          </w:tcPr>
          <w:p w14:paraId="52A67D8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731" w:type="dxa"/>
            <w:tcBorders>
              <w:top w:val="none" w:sz="6" w:space="0" w:color="auto"/>
              <w:left w:val="none" w:sz="6" w:space="0" w:color="auto"/>
              <w:bottom w:val="none" w:sz="6" w:space="0" w:color="auto"/>
              <w:right w:val="none" w:sz="6" w:space="0" w:color="auto"/>
            </w:tcBorders>
          </w:tcPr>
          <w:p w14:paraId="5829AA3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516" w:type="dxa"/>
            <w:tcBorders>
              <w:top w:val="none" w:sz="6" w:space="0" w:color="auto"/>
              <w:left w:val="none" w:sz="6" w:space="0" w:color="auto"/>
              <w:bottom w:val="none" w:sz="6" w:space="0" w:color="auto"/>
              <w:right w:val="none" w:sz="6" w:space="0" w:color="auto"/>
            </w:tcBorders>
          </w:tcPr>
          <w:p w14:paraId="5173A61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w:t>
            </w:r>
          </w:p>
        </w:tc>
        <w:tc>
          <w:tcPr>
            <w:tcW w:w="688" w:type="dxa"/>
            <w:tcBorders>
              <w:top w:val="none" w:sz="6" w:space="0" w:color="auto"/>
              <w:left w:val="none" w:sz="6" w:space="0" w:color="auto"/>
              <w:bottom w:val="none" w:sz="6" w:space="0" w:color="auto"/>
              <w:right w:val="none" w:sz="6" w:space="0" w:color="auto"/>
            </w:tcBorders>
          </w:tcPr>
          <w:p w14:paraId="5CB8B83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105</w:t>
            </w:r>
          </w:p>
        </w:tc>
      </w:tr>
      <w:tr w:rsidR="00F26F01" w:rsidRPr="00C33834" w14:paraId="0BE3EB0F" w14:textId="77777777" w:rsidTr="00CE35D9">
        <w:tc>
          <w:tcPr>
            <w:tcW w:w="1367" w:type="dxa"/>
            <w:tcBorders>
              <w:top w:val="none" w:sz="6" w:space="0" w:color="auto"/>
              <w:left w:val="none" w:sz="6" w:space="0" w:color="auto"/>
              <w:bottom w:val="none" w:sz="6" w:space="0" w:color="auto"/>
              <w:right w:val="none" w:sz="6" w:space="0" w:color="auto"/>
            </w:tcBorders>
          </w:tcPr>
          <w:p w14:paraId="6C0260C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w:t>
            </w:r>
          </w:p>
        </w:tc>
        <w:tc>
          <w:tcPr>
            <w:tcW w:w="1797" w:type="dxa"/>
            <w:tcBorders>
              <w:top w:val="none" w:sz="6" w:space="0" w:color="auto"/>
              <w:left w:val="none" w:sz="6" w:space="0" w:color="auto"/>
              <w:bottom w:val="none" w:sz="6" w:space="0" w:color="auto"/>
              <w:right w:val="none" w:sz="6" w:space="0" w:color="auto"/>
            </w:tcBorders>
          </w:tcPr>
          <w:p w14:paraId="3248248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516" w:type="dxa"/>
            <w:tcBorders>
              <w:top w:val="none" w:sz="6" w:space="0" w:color="auto"/>
              <w:left w:val="none" w:sz="6" w:space="0" w:color="auto"/>
              <w:bottom w:val="none" w:sz="6" w:space="0" w:color="auto"/>
              <w:right w:val="none" w:sz="6" w:space="0" w:color="auto"/>
            </w:tcBorders>
          </w:tcPr>
          <w:p w14:paraId="14AE7F0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w:t>
            </w:r>
          </w:p>
        </w:tc>
        <w:tc>
          <w:tcPr>
            <w:tcW w:w="344" w:type="dxa"/>
            <w:tcBorders>
              <w:top w:val="none" w:sz="6" w:space="0" w:color="auto"/>
              <w:left w:val="none" w:sz="6" w:space="0" w:color="auto"/>
              <w:bottom w:val="none" w:sz="6" w:space="0" w:color="auto"/>
              <w:right w:val="none" w:sz="6" w:space="0" w:color="auto"/>
            </w:tcBorders>
          </w:tcPr>
          <w:p w14:paraId="054CE30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w:t>
            </w:r>
          </w:p>
        </w:tc>
        <w:tc>
          <w:tcPr>
            <w:tcW w:w="602" w:type="dxa"/>
            <w:tcBorders>
              <w:top w:val="none" w:sz="6" w:space="0" w:color="auto"/>
              <w:left w:val="none" w:sz="6" w:space="0" w:color="auto"/>
              <w:bottom w:val="none" w:sz="6" w:space="0" w:color="auto"/>
              <w:right w:val="none" w:sz="6" w:space="0" w:color="auto"/>
            </w:tcBorders>
          </w:tcPr>
          <w:p w14:paraId="71AF2E9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64,3</w:t>
            </w:r>
          </w:p>
        </w:tc>
        <w:tc>
          <w:tcPr>
            <w:tcW w:w="688" w:type="dxa"/>
            <w:tcBorders>
              <w:top w:val="none" w:sz="6" w:space="0" w:color="auto"/>
              <w:left w:val="none" w:sz="6" w:space="0" w:color="auto"/>
              <w:bottom w:val="none" w:sz="6" w:space="0" w:color="auto"/>
              <w:right w:val="none" w:sz="6" w:space="0" w:color="auto"/>
            </w:tcBorders>
          </w:tcPr>
          <w:p w14:paraId="689AE13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35,7</w:t>
            </w:r>
          </w:p>
        </w:tc>
        <w:tc>
          <w:tcPr>
            <w:tcW w:w="688" w:type="dxa"/>
            <w:tcBorders>
              <w:top w:val="none" w:sz="6" w:space="0" w:color="auto"/>
              <w:left w:val="none" w:sz="6" w:space="0" w:color="auto"/>
              <w:bottom w:val="none" w:sz="6" w:space="0" w:color="auto"/>
              <w:right w:val="none" w:sz="6" w:space="0" w:color="auto"/>
            </w:tcBorders>
          </w:tcPr>
          <w:p w14:paraId="18BE17B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91,4</w:t>
            </w:r>
          </w:p>
        </w:tc>
        <w:tc>
          <w:tcPr>
            <w:tcW w:w="688" w:type="dxa"/>
            <w:tcBorders>
              <w:top w:val="none" w:sz="6" w:space="0" w:color="auto"/>
              <w:left w:val="none" w:sz="6" w:space="0" w:color="auto"/>
              <w:bottom w:val="none" w:sz="6" w:space="0" w:color="auto"/>
              <w:right w:val="none" w:sz="6" w:space="0" w:color="auto"/>
            </w:tcBorders>
          </w:tcPr>
          <w:p w14:paraId="4FA0146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w:t>
            </w:r>
          </w:p>
        </w:tc>
        <w:tc>
          <w:tcPr>
            <w:tcW w:w="731" w:type="dxa"/>
            <w:tcBorders>
              <w:top w:val="none" w:sz="6" w:space="0" w:color="auto"/>
              <w:left w:val="none" w:sz="6" w:space="0" w:color="auto"/>
              <w:bottom w:val="none" w:sz="6" w:space="0" w:color="auto"/>
              <w:right w:val="none" w:sz="6" w:space="0" w:color="auto"/>
            </w:tcBorders>
          </w:tcPr>
          <w:p w14:paraId="4B3AABB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731" w:type="dxa"/>
            <w:tcBorders>
              <w:top w:val="none" w:sz="6" w:space="0" w:color="auto"/>
              <w:left w:val="none" w:sz="6" w:space="0" w:color="auto"/>
              <w:bottom w:val="none" w:sz="6" w:space="0" w:color="auto"/>
              <w:right w:val="none" w:sz="6" w:space="0" w:color="auto"/>
            </w:tcBorders>
          </w:tcPr>
          <w:p w14:paraId="24DAB3E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516" w:type="dxa"/>
            <w:tcBorders>
              <w:top w:val="none" w:sz="6" w:space="0" w:color="auto"/>
              <w:left w:val="none" w:sz="6" w:space="0" w:color="auto"/>
              <w:bottom w:val="none" w:sz="6" w:space="0" w:color="auto"/>
              <w:right w:val="none" w:sz="6" w:space="0" w:color="auto"/>
            </w:tcBorders>
          </w:tcPr>
          <w:p w14:paraId="753524C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w:t>
            </w:r>
          </w:p>
        </w:tc>
        <w:tc>
          <w:tcPr>
            <w:tcW w:w="688" w:type="dxa"/>
            <w:tcBorders>
              <w:top w:val="none" w:sz="6" w:space="0" w:color="auto"/>
              <w:left w:val="none" w:sz="6" w:space="0" w:color="auto"/>
              <w:bottom w:val="none" w:sz="6" w:space="0" w:color="auto"/>
              <w:right w:val="none" w:sz="6" w:space="0" w:color="auto"/>
            </w:tcBorders>
          </w:tcPr>
          <w:p w14:paraId="12D18B9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w:t>
            </w:r>
          </w:p>
        </w:tc>
      </w:tr>
      <w:tr w:rsidR="00F26F01" w:rsidRPr="00C33834" w14:paraId="011228DE" w14:textId="77777777" w:rsidTr="00CE35D9">
        <w:tc>
          <w:tcPr>
            <w:tcW w:w="1367" w:type="dxa"/>
            <w:tcBorders>
              <w:top w:val="none" w:sz="6" w:space="0" w:color="auto"/>
              <w:left w:val="none" w:sz="6" w:space="0" w:color="auto"/>
              <w:bottom w:val="none" w:sz="6" w:space="0" w:color="auto"/>
              <w:right w:val="none" w:sz="6" w:space="0" w:color="auto"/>
            </w:tcBorders>
          </w:tcPr>
          <w:p w14:paraId="41BD4676"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1797" w:type="dxa"/>
            <w:tcBorders>
              <w:top w:val="none" w:sz="6" w:space="0" w:color="auto"/>
              <w:left w:val="none" w:sz="6" w:space="0" w:color="auto"/>
              <w:bottom w:val="none" w:sz="6" w:space="0" w:color="auto"/>
              <w:right w:val="none" w:sz="6" w:space="0" w:color="auto"/>
            </w:tcBorders>
          </w:tcPr>
          <w:p w14:paraId="1544F68F"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516" w:type="dxa"/>
            <w:tcBorders>
              <w:top w:val="none" w:sz="6" w:space="0" w:color="auto"/>
              <w:left w:val="none" w:sz="6" w:space="0" w:color="auto"/>
              <w:bottom w:val="none" w:sz="6" w:space="0" w:color="auto"/>
              <w:right w:val="none" w:sz="6" w:space="0" w:color="auto"/>
            </w:tcBorders>
          </w:tcPr>
          <w:p w14:paraId="11B38FB0"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344" w:type="dxa"/>
            <w:tcBorders>
              <w:top w:val="none" w:sz="6" w:space="0" w:color="auto"/>
              <w:left w:val="none" w:sz="6" w:space="0" w:color="auto"/>
              <w:bottom w:val="none" w:sz="6" w:space="0" w:color="auto"/>
              <w:right w:val="none" w:sz="6" w:space="0" w:color="auto"/>
            </w:tcBorders>
          </w:tcPr>
          <w:p w14:paraId="309C0E35"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602" w:type="dxa"/>
            <w:gridSpan w:val="2"/>
            <w:tcBorders>
              <w:top w:val="none" w:sz="6" w:space="0" w:color="auto"/>
              <w:left w:val="none" w:sz="6" w:space="0" w:color="auto"/>
              <w:bottom w:val="none" w:sz="6" w:space="0" w:color="auto"/>
              <w:right w:val="none" w:sz="6" w:space="0" w:color="auto"/>
            </w:tcBorders>
          </w:tcPr>
          <w:p w14:paraId="6DD9D4B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1645</w:t>
            </w:r>
          </w:p>
        </w:tc>
        <w:tc>
          <w:tcPr>
            <w:tcW w:w="688" w:type="dxa"/>
            <w:gridSpan w:val="2"/>
            <w:tcBorders>
              <w:top w:val="none" w:sz="6" w:space="0" w:color="auto"/>
              <w:left w:val="none" w:sz="6" w:space="0" w:color="auto"/>
              <w:bottom w:val="none" w:sz="6" w:space="0" w:color="auto"/>
              <w:right w:val="none" w:sz="6" w:space="0" w:color="auto"/>
            </w:tcBorders>
          </w:tcPr>
          <w:p w14:paraId="58C2DCB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706</w:t>
            </w:r>
          </w:p>
        </w:tc>
        <w:tc>
          <w:tcPr>
            <w:tcW w:w="731" w:type="dxa"/>
            <w:gridSpan w:val="2"/>
            <w:tcBorders>
              <w:top w:val="none" w:sz="6" w:space="0" w:color="auto"/>
              <w:left w:val="none" w:sz="6" w:space="0" w:color="auto"/>
              <w:bottom w:val="none" w:sz="6" w:space="0" w:color="auto"/>
              <w:right w:val="none" w:sz="6" w:space="0" w:color="auto"/>
            </w:tcBorders>
          </w:tcPr>
          <w:p w14:paraId="469AC0D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221</w:t>
            </w:r>
          </w:p>
        </w:tc>
        <w:tc>
          <w:tcPr>
            <w:tcW w:w="516" w:type="dxa"/>
            <w:tcBorders>
              <w:top w:val="none" w:sz="6" w:space="0" w:color="auto"/>
              <w:left w:val="none" w:sz="6" w:space="0" w:color="auto"/>
              <w:bottom w:val="none" w:sz="6" w:space="0" w:color="auto"/>
              <w:right w:val="none" w:sz="6" w:space="0" w:color="auto"/>
            </w:tcBorders>
          </w:tcPr>
          <w:p w14:paraId="39E48F7C"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c>
          <w:tcPr>
            <w:tcW w:w="688" w:type="dxa"/>
            <w:tcBorders>
              <w:top w:val="none" w:sz="6" w:space="0" w:color="auto"/>
              <w:left w:val="none" w:sz="6" w:space="0" w:color="auto"/>
              <w:bottom w:val="none" w:sz="6" w:space="0" w:color="auto"/>
              <w:right w:val="none" w:sz="6" w:space="0" w:color="auto"/>
            </w:tcBorders>
          </w:tcPr>
          <w:p w14:paraId="1061554D" w14:textId="77777777" w:rsidR="0018342B" w:rsidRPr="00C33834" w:rsidRDefault="0018342B" w:rsidP="00C33834">
            <w:pPr>
              <w:spacing w:after="0" w:line="240" w:lineRule="auto"/>
              <w:jc w:val="both"/>
              <w:rPr>
                <w:rFonts w:ascii="Times New Roman" w:hAnsi="Times New Roman"/>
                <w:color w:val="000000" w:themeColor="text1"/>
                <w:sz w:val="16"/>
                <w:szCs w:val="16"/>
              </w:rPr>
            </w:pPr>
          </w:p>
        </w:tc>
      </w:tr>
      <w:tr w:rsidR="00F26F01" w:rsidRPr="00C33834" w14:paraId="1C42C7B8" w14:textId="77777777" w:rsidTr="00CE35D9">
        <w:tc>
          <w:tcPr>
            <w:tcW w:w="1367" w:type="dxa"/>
            <w:tcBorders>
              <w:top w:val="none" w:sz="6" w:space="0" w:color="auto"/>
              <w:left w:val="none" w:sz="6" w:space="0" w:color="auto"/>
              <w:bottom w:val="none" w:sz="6" w:space="0" w:color="auto"/>
              <w:right w:val="none" w:sz="6" w:space="0" w:color="auto"/>
            </w:tcBorders>
          </w:tcPr>
          <w:p w14:paraId="30B6817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1797" w:type="dxa"/>
            <w:tcBorders>
              <w:top w:val="none" w:sz="6" w:space="0" w:color="auto"/>
              <w:left w:val="none" w:sz="6" w:space="0" w:color="auto"/>
              <w:bottom w:val="none" w:sz="6" w:space="0" w:color="auto"/>
              <w:right w:val="none" w:sz="6" w:space="0" w:color="auto"/>
            </w:tcBorders>
          </w:tcPr>
          <w:p w14:paraId="6491DAF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2572</w:t>
            </w:r>
          </w:p>
        </w:tc>
        <w:tc>
          <w:tcPr>
            <w:tcW w:w="516" w:type="dxa"/>
            <w:tcBorders>
              <w:top w:val="none" w:sz="6" w:space="0" w:color="auto"/>
              <w:left w:val="none" w:sz="6" w:space="0" w:color="auto"/>
              <w:bottom w:val="none" w:sz="6" w:space="0" w:color="auto"/>
              <w:right w:val="none" w:sz="6" w:space="0" w:color="auto"/>
            </w:tcBorders>
          </w:tcPr>
          <w:p w14:paraId="4A8A438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1652</w:t>
            </w:r>
          </w:p>
        </w:tc>
        <w:tc>
          <w:tcPr>
            <w:tcW w:w="344" w:type="dxa"/>
            <w:tcBorders>
              <w:top w:val="none" w:sz="6" w:space="0" w:color="auto"/>
              <w:left w:val="none" w:sz="6" w:space="0" w:color="auto"/>
              <w:bottom w:val="none" w:sz="6" w:space="0" w:color="auto"/>
              <w:right w:val="none" w:sz="6" w:space="0" w:color="auto"/>
            </w:tcBorders>
          </w:tcPr>
          <w:p w14:paraId="354D9C1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920</w:t>
            </w:r>
          </w:p>
        </w:tc>
        <w:tc>
          <w:tcPr>
            <w:tcW w:w="602" w:type="dxa"/>
            <w:tcBorders>
              <w:top w:val="none" w:sz="6" w:space="0" w:color="auto"/>
              <w:left w:val="none" w:sz="6" w:space="0" w:color="auto"/>
              <w:bottom w:val="none" w:sz="6" w:space="0" w:color="auto"/>
              <w:right w:val="none" w:sz="6" w:space="0" w:color="auto"/>
            </w:tcBorders>
          </w:tcPr>
          <w:p w14:paraId="7D68DB9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767</w:t>
            </w:r>
          </w:p>
        </w:tc>
        <w:tc>
          <w:tcPr>
            <w:tcW w:w="688" w:type="dxa"/>
            <w:tcBorders>
              <w:top w:val="none" w:sz="6" w:space="0" w:color="auto"/>
              <w:left w:val="none" w:sz="6" w:space="0" w:color="auto"/>
              <w:bottom w:val="none" w:sz="6" w:space="0" w:color="auto"/>
              <w:right w:val="none" w:sz="6" w:space="0" w:color="auto"/>
            </w:tcBorders>
          </w:tcPr>
          <w:p w14:paraId="3ABE130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878</w:t>
            </w:r>
          </w:p>
        </w:tc>
        <w:tc>
          <w:tcPr>
            <w:tcW w:w="688" w:type="dxa"/>
            <w:tcBorders>
              <w:top w:val="none" w:sz="6" w:space="0" w:color="auto"/>
              <w:left w:val="none" w:sz="6" w:space="0" w:color="auto"/>
              <w:bottom w:val="none" w:sz="6" w:space="0" w:color="auto"/>
              <w:right w:val="none" w:sz="6" w:space="0" w:color="auto"/>
            </w:tcBorders>
          </w:tcPr>
          <w:p w14:paraId="28EC596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594</w:t>
            </w:r>
          </w:p>
        </w:tc>
        <w:tc>
          <w:tcPr>
            <w:tcW w:w="688" w:type="dxa"/>
            <w:tcBorders>
              <w:top w:val="none" w:sz="6" w:space="0" w:color="auto"/>
              <w:left w:val="none" w:sz="6" w:space="0" w:color="auto"/>
              <w:bottom w:val="none" w:sz="6" w:space="0" w:color="auto"/>
              <w:right w:val="none" w:sz="6" w:space="0" w:color="auto"/>
            </w:tcBorders>
          </w:tcPr>
          <w:p w14:paraId="0E2E427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112</w:t>
            </w:r>
          </w:p>
        </w:tc>
        <w:tc>
          <w:tcPr>
            <w:tcW w:w="731" w:type="dxa"/>
            <w:tcBorders>
              <w:top w:val="none" w:sz="6" w:space="0" w:color="auto"/>
              <w:left w:val="none" w:sz="6" w:space="0" w:color="auto"/>
              <w:bottom w:val="none" w:sz="6" w:space="0" w:color="auto"/>
              <w:right w:val="none" w:sz="6" w:space="0" w:color="auto"/>
            </w:tcBorders>
          </w:tcPr>
          <w:p w14:paraId="1FB8DA1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203</w:t>
            </w:r>
          </w:p>
        </w:tc>
        <w:tc>
          <w:tcPr>
            <w:tcW w:w="731" w:type="dxa"/>
            <w:tcBorders>
              <w:top w:val="none" w:sz="6" w:space="0" w:color="auto"/>
              <w:left w:val="none" w:sz="6" w:space="0" w:color="auto"/>
              <w:bottom w:val="none" w:sz="6" w:space="0" w:color="auto"/>
              <w:right w:val="none" w:sz="6" w:space="0" w:color="auto"/>
            </w:tcBorders>
          </w:tcPr>
          <w:p w14:paraId="1192D4A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516" w:type="dxa"/>
            <w:tcBorders>
              <w:top w:val="none" w:sz="6" w:space="0" w:color="auto"/>
              <w:left w:val="none" w:sz="6" w:space="0" w:color="auto"/>
              <w:bottom w:val="none" w:sz="6" w:space="0" w:color="auto"/>
              <w:right w:val="none" w:sz="6" w:space="0" w:color="auto"/>
            </w:tcBorders>
          </w:tcPr>
          <w:p w14:paraId="48F41A8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1564</w:t>
            </w:r>
          </w:p>
        </w:tc>
        <w:tc>
          <w:tcPr>
            <w:tcW w:w="688" w:type="dxa"/>
            <w:tcBorders>
              <w:top w:val="none" w:sz="6" w:space="0" w:color="auto"/>
              <w:left w:val="none" w:sz="6" w:space="0" w:color="auto"/>
              <w:bottom w:val="none" w:sz="6" w:space="0" w:color="auto"/>
              <w:right w:val="none" w:sz="6" w:space="0" w:color="auto"/>
            </w:tcBorders>
          </w:tcPr>
          <w:p w14:paraId="57A97D8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1008</w:t>
            </w:r>
          </w:p>
        </w:tc>
      </w:tr>
      <w:tr w:rsidR="00F26F01" w:rsidRPr="00C33834" w14:paraId="3F5B57BB" w14:textId="77777777" w:rsidTr="00CE35D9">
        <w:tc>
          <w:tcPr>
            <w:tcW w:w="1367" w:type="dxa"/>
            <w:tcBorders>
              <w:top w:val="none" w:sz="6" w:space="0" w:color="auto"/>
              <w:left w:val="none" w:sz="6" w:space="0" w:color="auto"/>
              <w:bottom w:val="none" w:sz="6" w:space="0" w:color="auto"/>
              <w:right w:val="none" w:sz="6" w:space="0" w:color="auto"/>
            </w:tcBorders>
          </w:tcPr>
          <w:p w14:paraId="48F49F7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w:t>
            </w:r>
          </w:p>
        </w:tc>
        <w:tc>
          <w:tcPr>
            <w:tcW w:w="1797" w:type="dxa"/>
            <w:tcBorders>
              <w:top w:val="none" w:sz="6" w:space="0" w:color="auto"/>
              <w:left w:val="none" w:sz="6" w:space="0" w:color="auto"/>
              <w:bottom w:val="none" w:sz="6" w:space="0" w:color="auto"/>
              <w:right w:val="none" w:sz="6" w:space="0" w:color="auto"/>
            </w:tcBorders>
          </w:tcPr>
          <w:p w14:paraId="6B97100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516" w:type="dxa"/>
            <w:tcBorders>
              <w:top w:val="none" w:sz="6" w:space="0" w:color="auto"/>
              <w:left w:val="none" w:sz="6" w:space="0" w:color="auto"/>
              <w:bottom w:val="none" w:sz="6" w:space="0" w:color="auto"/>
              <w:right w:val="none" w:sz="6" w:space="0" w:color="auto"/>
            </w:tcBorders>
          </w:tcPr>
          <w:p w14:paraId="1D4E5D9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64,2</w:t>
            </w:r>
          </w:p>
        </w:tc>
        <w:tc>
          <w:tcPr>
            <w:tcW w:w="344" w:type="dxa"/>
            <w:tcBorders>
              <w:top w:val="none" w:sz="6" w:space="0" w:color="auto"/>
              <w:left w:val="none" w:sz="6" w:space="0" w:color="auto"/>
              <w:bottom w:val="none" w:sz="6" w:space="0" w:color="auto"/>
              <w:right w:val="none" w:sz="6" w:space="0" w:color="auto"/>
            </w:tcBorders>
          </w:tcPr>
          <w:p w14:paraId="626958A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35,8</w:t>
            </w:r>
          </w:p>
        </w:tc>
        <w:tc>
          <w:tcPr>
            <w:tcW w:w="602" w:type="dxa"/>
            <w:tcBorders>
              <w:top w:val="none" w:sz="6" w:space="0" w:color="auto"/>
              <w:left w:val="none" w:sz="6" w:space="0" w:color="auto"/>
              <w:bottom w:val="none" w:sz="6" w:space="0" w:color="auto"/>
              <w:right w:val="none" w:sz="6" w:space="0" w:color="auto"/>
            </w:tcBorders>
          </w:tcPr>
          <w:p w14:paraId="7E7BB11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46,6</w:t>
            </w:r>
          </w:p>
        </w:tc>
        <w:tc>
          <w:tcPr>
            <w:tcW w:w="688" w:type="dxa"/>
            <w:tcBorders>
              <w:top w:val="none" w:sz="6" w:space="0" w:color="auto"/>
              <w:left w:val="none" w:sz="6" w:space="0" w:color="auto"/>
              <w:bottom w:val="none" w:sz="6" w:space="0" w:color="auto"/>
              <w:right w:val="none" w:sz="6" w:space="0" w:color="auto"/>
            </w:tcBorders>
          </w:tcPr>
          <w:p w14:paraId="6A46EF0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53,4</w:t>
            </w:r>
          </w:p>
        </w:tc>
        <w:tc>
          <w:tcPr>
            <w:tcW w:w="688" w:type="dxa"/>
            <w:tcBorders>
              <w:top w:val="none" w:sz="6" w:space="0" w:color="auto"/>
              <w:left w:val="none" w:sz="6" w:space="0" w:color="auto"/>
              <w:bottom w:val="none" w:sz="6" w:space="0" w:color="auto"/>
              <w:right w:val="none" w:sz="6" w:space="0" w:color="auto"/>
            </w:tcBorders>
          </w:tcPr>
          <w:p w14:paraId="3E4C56E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84,1</w:t>
            </w:r>
          </w:p>
        </w:tc>
        <w:tc>
          <w:tcPr>
            <w:tcW w:w="688" w:type="dxa"/>
            <w:tcBorders>
              <w:top w:val="none" w:sz="6" w:space="0" w:color="auto"/>
              <w:left w:val="none" w:sz="6" w:space="0" w:color="auto"/>
              <w:bottom w:val="none" w:sz="6" w:space="0" w:color="auto"/>
              <w:right w:val="none" w:sz="6" w:space="0" w:color="auto"/>
            </w:tcBorders>
          </w:tcPr>
          <w:p w14:paraId="11AFA03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15,9</w:t>
            </w:r>
          </w:p>
        </w:tc>
        <w:tc>
          <w:tcPr>
            <w:tcW w:w="731" w:type="dxa"/>
            <w:tcBorders>
              <w:top w:val="none" w:sz="6" w:space="0" w:color="auto"/>
              <w:left w:val="none" w:sz="6" w:space="0" w:color="auto"/>
              <w:bottom w:val="none" w:sz="6" w:space="0" w:color="auto"/>
              <w:right w:val="none" w:sz="6" w:space="0" w:color="auto"/>
            </w:tcBorders>
          </w:tcPr>
          <w:p w14:paraId="19A1F07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91,8</w:t>
            </w:r>
          </w:p>
        </w:tc>
        <w:tc>
          <w:tcPr>
            <w:tcW w:w="731" w:type="dxa"/>
            <w:tcBorders>
              <w:top w:val="none" w:sz="6" w:space="0" w:color="auto"/>
              <w:left w:val="none" w:sz="6" w:space="0" w:color="auto"/>
              <w:bottom w:val="none" w:sz="6" w:space="0" w:color="auto"/>
              <w:right w:val="none" w:sz="6" w:space="0" w:color="auto"/>
            </w:tcBorders>
          </w:tcPr>
          <w:p w14:paraId="7493C01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8,2</w:t>
            </w:r>
          </w:p>
        </w:tc>
        <w:tc>
          <w:tcPr>
            <w:tcW w:w="516" w:type="dxa"/>
            <w:tcBorders>
              <w:top w:val="none" w:sz="6" w:space="0" w:color="auto"/>
              <w:left w:val="none" w:sz="6" w:space="0" w:color="auto"/>
              <w:bottom w:val="none" w:sz="6" w:space="0" w:color="auto"/>
              <w:right w:val="none" w:sz="6" w:space="0" w:color="auto"/>
            </w:tcBorders>
          </w:tcPr>
          <w:p w14:paraId="633CA2D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60,5</w:t>
            </w:r>
          </w:p>
        </w:tc>
        <w:tc>
          <w:tcPr>
            <w:tcW w:w="688" w:type="dxa"/>
            <w:tcBorders>
              <w:top w:val="none" w:sz="6" w:space="0" w:color="auto"/>
              <w:left w:val="none" w:sz="6" w:space="0" w:color="auto"/>
              <w:bottom w:val="none" w:sz="6" w:space="0" w:color="auto"/>
              <w:right w:val="none" w:sz="6" w:space="0" w:color="auto"/>
            </w:tcBorders>
          </w:tcPr>
          <w:p w14:paraId="284021B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39,5</w:t>
            </w:r>
          </w:p>
        </w:tc>
      </w:tr>
    </w:tbl>
    <w:p w14:paraId="2E41756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Наиболее эффективные результаты загранкомандировок на практике сказались в черной металлургии (в особенности по наладке и освоению высококачественных сталей), военной промышленности, электротехнической, тяжелого и общего машиностроения, в частности автомобильной и тракторной (последняя не имела формальных договоров техсодействия с инофирмами), шарикоподшипниковой, отчасти в химической и топливной.</w:t>
      </w:r>
    </w:p>
    <w:p w14:paraId="2040D8E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III. Иностранные кадры, работающие в тяжелой промышленности на индивидуальных условиях</w:t>
      </w:r>
    </w:p>
    <w:p w14:paraId="72CE583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Динамика и распределение</w:t>
      </w:r>
    </w:p>
    <w:p w14:paraId="711AC2D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Наряду с привлечением техсодействия через иностранные фирмы по дорогостоящим договорам, тяжелая промышленность привлекла из-за границы иностранных инженеров, техников, мастеров и квалифицированных рабочих на индивидуальных условиях оплаты.</w:t>
      </w:r>
    </w:p>
    <w:p w14:paraId="2AB2A1C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Широкое развитие реконструктивных работ и строительства мощных предприятий сопровождалось в течение I?й пятилетки ростом количества иностранных рабочих и специалистов:</w:t>
      </w:r>
    </w:p>
    <w:p w14:paraId="21F5351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[По состоянию на] Иноработников Инженеров  Рабочих</w:t>
      </w:r>
    </w:p>
    <w:p w14:paraId="5703BA5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и техников</w:t>
      </w:r>
    </w:p>
    <w:p w14:paraId="4510211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1.I.1929 г.          400        400 </w:t>
      </w:r>
    </w:p>
    <w:p w14:paraId="16D1B9B6" w14:textId="77777777" w:rsidR="0018342B" w:rsidRPr="00C33834" w:rsidRDefault="0018342B" w:rsidP="00C33834">
      <w:pPr>
        <w:spacing w:after="0" w:line="240" w:lineRule="auto"/>
        <w:jc w:val="both"/>
        <w:rPr>
          <w:rFonts w:ascii="Times New Roman" w:hAnsi="Times New Roman"/>
          <w:color w:val="000000" w:themeColor="text1"/>
          <w:sz w:val="16"/>
          <w:szCs w:val="16"/>
          <w:lang w:val="pl-PL"/>
        </w:rPr>
      </w:pPr>
      <w:r w:rsidRPr="00C33834">
        <w:rPr>
          <w:rFonts w:ascii="Times New Roman" w:hAnsi="Times New Roman"/>
          <w:color w:val="000000" w:themeColor="text1"/>
          <w:sz w:val="16"/>
          <w:szCs w:val="16"/>
        </w:rPr>
        <w:t xml:space="preserve">    1.I.1930 г.         </w:t>
      </w:r>
      <w:r w:rsidRPr="00C33834">
        <w:rPr>
          <w:rFonts w:ascii="Times New Roman" w:hAnsi="Times New Roman"/>
          <w:color w:val="000000" w:themeColor="text1"/>
          <w:sz w:val="16"/>
          <w:szCs w:val="16"/>
          <w:lang w:val="pl-PL"/>
        </w:rPr>
        <w:t>1112        600       512</w:t>
      </w:r>
    </w:p>
    <w:p w14:paraId="06CE2C80" w14:textId="77777777" w:rsidR="0018342B" w:rsidRPr="00C33834" w:rsidRDefault="0018342B" w:rsidP="00C33834">
      <w:pPr>
        <w:spacing w:after="0" w:line="240" w:lineRule="auto"/>
        <w:jc w:val="both"/>
        <w:rPr>
          <w:rFonts w:ascii="Times New Roman" w:hAnsi="Times New Roman"/>
          <w:color w:val="000000" w:themeColor="text1"/>
          <w:sz w:val="16"/>
          <w:szCs w:val="16"/>
          <w:lang w:val="pl-PL"/>
        </w:rPr>
      </w:pPr>
      <w:r w:rsidRPr="00C33834">
        <w:rPr>
          <w:rFonts w:ascii="Times New Roman" w:hAnsi="Times New Roman"/>
          <w:color w:val="000000" w:themeColor="text1"/>
          <w:sz w:val="16"/>
          <w:szCs w:val="16"/>
          <w:lang w:val="pl-PL"/>
        </w:rPr>
        <w:t xml:space="preserve">    1.I.1931 </w:t>
      </w:r>
      <w:r w:rsidRPr="00C33834">
        <w:rPr>
          <w:rFonts w:ascii="Times New Roman" w:hAnsi="Times New Roman"/>
          <w:color w:val="000000" w:themeColor="text1"/>
          <w:sz w:val="16"/>
          <w:szCs w:val="16"/>
        </w:rPr>
        <w:t>г</w:t>
      </w:r>
      <w:r w:rsidRPr="00C33834">
        <w:rPr>
          <w:rFonts w:ascii="Times New Roman" w:hAnsi="Times New Roman"/>
          <w:color w:val="000000" w:themeColor="text1"/>
          <w:sz w:val="16"/>
          <w:szCs w:val="16"/>
          <w:lang w:val="pl-PL"/>
        </w:rPr>
        <w:t>.         2898       1631      1267</w:t>
      </w:r>
    </w:p>
    <w:p w14:paraId="2E8DD283" w14:textId="77777777" w:rsidR="0018342B" w:rsidRPr="00C33834" w:rsidRDefault="0018342B" w:rsidP="00C33834">
      <w:pPr>
        <w:spacing w:after="0" w:line="240" w:lineRule="auto"/>
        <w:jc w:val="both"/>
        <w:rPr>
          <w:rFonts w:ascii="Times New Roman" w:hAnsi="Times New Roman"/>
          <w:color w:val="000000" w:themeColor="text1"/>
          <w:sz w:val="16"/>
          <w:szCs w:val="16"/>
          <w:lang w:val="pl-PL"/>
        </w:rPr>
      </w:pPr>
      <w:r w:rsidRPr="00C33834">
        <w:rPr>
          <w:rFonts w:ascii="Times New Roman" w:hAnsi="Times New Roman"/>
          <w:color w:val="000000" w:themeColor="text1"/>
          <w:sz w:val="16"/>
          <w:szCs w:val="16"/>
          <w:lang w:val="pl-PL"/>
        </w:rPr>
        <w:t xml:space="preserve">    1.I.1932 </w:t>
      </w:r>
      <w:r w:rsidRPr="00C33834">
        <w:rPr>
          <w:rFonts w:ascii="Times New Roman" w:hAnsi="Times New Roman"/>
          <w:color w:val="000000" w:themeColor="text1"/>
          <w:sz w:val="16"/>
          <w:szCs w:val="16"/>
        </w:rPr>
        <w:t>г</w:t>
      </w:r>
      <w:r w:rsidRPr="00C33834">
        <w:rPr>
          <w:rFonts w:ascii="Times New Roman" w:hAnsi="Times New Roman"/>
          <w:color w:val="000000" w:themeColor="text1"/>
          <w:sz w:val="16"/>
          <w:szCs w:val="16"/>
          <w:lang w:val="pl-PL"/>
        </w:rPr>
        <w:t>.         6058       2050      4008</w:t>
      </w:r>
    </w:p>
    <w:p w14:paraId="11D1C548" w14:textId="77777777" w:rsidR="0018342B" w:rsidRPr="00C33834" w:rsidRDefault="0018342B" w:rsidP="00C33834">
      <w:pPr>
        <w:spacing w:after="0" w:line="240" w:lineRule="auto"/>
        <w:jc w:val="both"/>
        <w:rPr>
          <w:rFonts w:ascii="Times New Roman" w:hAnsi="Times New Roman"/>
          <w:color w:val="000000" w:themeColor="text1"/>
          <w:sz w:val="16"/>
          <w:szCs w:val="16"/>
          <w:lang w:val="pl-PL"/>
        </w:rPr>
      </w:pPr>
      <w:r w:rsidRPr="00C33834">
        <w:rPr>
          <w:rFonts w:ascii="Times New Roman" w:hAnsi="Times New Roman"/>
          <w:color w:val="000000" w:themeColor="text1"/>
          <w:sz w:val="16"/>
          <w:szCs w:val="16"/>
          <w:lang w:val="pl-PL"/>
        </w:rPr>
        <w:t xml:space="preserve">    1.I.1933 </w:t>
      </w:r>
      <w:r w:rsidRPr="00C33834">
        <w:rPr>
          <w:rFonts w:ascii="Times New Roman" w:hAnsi="Times New Roman"/>
          <w:color w:val="000000" w:themeColor="text1"/>
          <w:sz w:val="16"/>
          <w:szCs w:val="16"/>
        </w:rPr>
        <w:t>г</w:t>
      </w:r>
      <w:r w:rsidRPr="00C33834">
        <w:rPr>
          <w:rFonts w:ascii="Times New Roman" w:hAnsi="Times New Roman"/>
          <w:color w:val="000000" w:themeColor="text1"/>
          <w:sz w:val="16"/>
          <w:szCs w:val="16"/>
          <w:lang w:val="pl-PL"/>
        </w:rPr>
        <w:t>.         6550       2429      4131</w:t>
      </w:r>
    </w:p>
    <w:p w14:paraId="378A1EE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lang w:val="pl-PL"/>
        </w:rPr>
        <w:t xml:space="preserve">  1.VII.1933 </w:t>
      </w:r>
      <w:r w:rsidRPr="00C33834">
        <w:rPr>
          <w:rFonts w:ascii="Times New Roman" w:hAnsi="Times New Roman"/>
          <w:color w:val="000000" w:themeColor="text1"/>
          <w:sz w:val="16"/>
          <w:szCs w:val="16"/>
        </w:rPr>
        <w:t>г</w:t>
      </w:r>
      <w:r w:rsidRPr="00C33834">
        <w:rPr>
          <w:rFonts w:ascii="Times New Roman" w:hAnsi="Times New Roman"/>
          <w:color w:val="000000" w:themeColor="text1"/>
          <w:sz w:val="16"/>
          <w:szCs w:val="16"/>
          <w:lang w:val="pl-PL"/>
        </w:rPr>
        <w:t xml:space="preserve">.         </w:t>
      </w:r>
      <w:r w:rsidRPr="00C33834">
        <w:rPr>
          <w:rFonts w:ascii="Times New Roman" w:hAnsi="Times New Roman"/>
          <w:color w:val="000000" w:themeColor="text1"/>
          <w:sz w:val="16"/>
          <w:szCs w:val="16"/>
        </w:rPr>
        <w:t>5601       1989      3612</w:t>
      </w:r>
    </w:p>
    <w:p w14:paraId="48CFF27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Основная масса иноработников направлена в ведущие отрасли тяжелой промышленности:</w:t>
      </w:r>
    </w:p>
    <w:p w14:paraId="6C95665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все машиностроение насчитывает ... — 2888 чел.</w:t>
      </w:r>
    </w:p>
    <w:p w14:paraId="3A8410C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черная и цветная металлургия ..... —  675 чел.</w:t>
      </w:r>
    </w:p>
    <w:p w14:paraId="7783FE1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угольная промышленность .......... — 1291 чел.</w:t>
      </w:r>
    </w:p>
    <w:p w14:paraId="1DB80F8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химическая (включая Коксохим) .... —  233 чел.</w:t>
      </w:r>
    </w:p>
    <w:p w14:paraId="3939617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 строительная промышленность ...... —  357 чел.</w:t>
      </w:r>
    </w:p>
    <w:p w14:paraId="695D433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Значительное количество иноработников сконцентрировано на сравнительно небольшом количестве предприятий. Только на 16 предприятиях работают 2500 иноработников (40%).</w:t>
      </w:r>
    </w:p>
    <w:p w14:paraId="39E849C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1929 года иноработники использовались главным образом в качестве консультантов по вопросам, связанным с восстановлением старых фабрик и заводов.</w:t>
      </w:r>
    </w:p>
    <w:p w14:paraId="1F643FD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1930 года иноспециалисты и квалифицированные рабочие начали привлекаться для руководства и участия в проектировании, а также для осуществления строительных работ, с применением в них достижений передовой иностранной техники, а с пуском новых и капитально реконструируемых предприятий (1931-1932 гг.), освоение которых тормозилось из-за отсутствия достаточных квалифицированных кадров, потребовалось усиление, и иноработники стали привлекаться в подавляющей массе для непосредственной работы на производстве в качестве технических руководителей, начальников цехов, сменных инженеров, мастеров, инструкторов-бригадиров и наладчиков.</w:t>
      </w:r>
    </w:p>
    <w:p w14:paraId="63F243C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всего наличного количества иноработников по состоянию на 1.VII.1933 г. занято:</w:t>
      </w:r>
    </w:p>
    <w:p w14:paraId="601EB18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на действующих заводах и новостройках — 1627 чел.(81,7%)</w:t>
      </w:r>
    </w:p>
    <w:p w14:paraId="148DADD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в проектирующих организациях          —  136 чел. (7,0%)</w:t>
      </w:r>
    </w:p>
    <w:p w14:paraId="1A53A9A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 производственных отделах управлений,</w:t>
      </w:r>
    </w:p>
    <w:p w14:paraId="169FAE7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объединений и трестов                 —  122 чел. (6,0%)</w:t>
      </w:r>
    </w:p>
    <w:p w14:paraId="06F462A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в научно-исследовательских институтах —  104 чел. (5,3%)</w:t>
      </w:r>
    </w:p>
    <w:p w14:paraId="6878365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Производственное лицо иноспециалистов</w:t>
      </w:r>
    </w:p>
    <w:p w14:paraId="66CA8E5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Разработав учетные данные на 1574 иностранных специалиста, мы установили, что 35% имеют практический стаж от 10 до 20 лет, 25% имеют стаж свыше 20 лет, 27% со стажем от 5 до 10 лет и только 13% имеют стаж до 5 лет, что относится к молодым специалистам, работающим на условиях н/общего?* колдоговора.</w:t>
      </w:r>
    </w:p>
    <w:p w14:paraId="03C453F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образованию 41% с высшим техническим образованием, 44% со средним техническим образованием и 15% с низшим, что относится к мастерам-практикам.</w:t>
      </w:r>
    </w:p>
    <w:p w14:paraId="1DD4E2F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Валютные затраты на оплату иноработников и мероприятия по их снижению</w:t>
      </w:r>
    </w:p>
    <w:p w14:paraId="0B143A8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Динамика валютных расходов на оплату иноработников характеризуется следующими данными:</w:t>
      </w:r>
    </w:p>
    <w:p w14:paraId="22173A1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1928/29 гг. израсходовано .......... 1040000 руб.</w:t>
      </w:r>
    </w:p>
    <w:p w14:paraId="701C82C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1930 г. (5 кварт.) израсходовано ... 7000000 руб.</w:t>
      </w:r>
    </w:p>
    <w:p w14:paraId="10D136BA"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1931 г. израсходовано .............. 6530000 руб.</w:t>
      </w:r>
    </w:p>
    <w:p w14:paraId="452D46E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1932 г. израсходовано .............. 2830000 руб.</w:t>
      </w:r>
    </w:p>
    <w:p w14:paraId="7506C544"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будет израсходовано ........  860000 руб.</w:t>
      </w:r>
    </w:p>
    <w:p w14:paraId="1FCAB35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Резкое падение валютных затрат на оплату иноработников в 32 и 33 гг. при одновременном росте самого количества, а — главное — качества иноработников объясняется оперативными мероприятиями ИНО НКТП как по досрочному переводу части инвалютных специалистов на безвалютную оплату, так и резкому досрочному снижению предусмотренной в договорах инвалютной оплаты. В значительной части это также относится за счет досрочного освобождения дорогостоящих специалистов, эффективность работы коих была недостаточна.</w:t>
      </w:r>
    </w:p>
    <w:p w14:paraId="3E500C1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Высокая оплата значительной части иноспециалистов обуславливалась тем, что они были приглашены на длительные сроки в период капиталистического подъема или в самом начале экономического кризиса, а также неорганизованностью самого набора иноработников, который производился хозяйственниками непосредственно заграницей. Оплата эта ни в какой мере не соответствовала конъюнктуре рынков труда к началу 1932 г.</w:t>
      </w:r>
    </w:p>
    <w:p w14:paraId="1FEDB51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результате этого крупные суммы в инвалюте (миллионы рублей) тратились непроизводительно.</w:t>
      </w:r>
    </w:p>
    <w:p w14:paraId="7D49E7A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устранения этого вредного явления с конца 1931 г. нами был предпринят досрочный пересмотр договоров со всеми инвалютными специалистами, который позволил:</w:t>
      </w:r>
    </w:p>
    <w:p w14:paraId="174A0FB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Ликвидировать ряд кабальных дорогостоящих для нас договоров с иноспециалистами и перезаключить их на резко сниженные условия оплаты.</w:t>
      </w:r>
    </w:p>
    <w:p w14:paraId="0F49FC7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Значительное количество высокооплачиваемых в валюте иноспециалистов перевести на условия полной безвалютной их оплаты.</w:t>
      </w:r>
    </w:p>
    <w:p w14:paraId="2466DC9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Очистить промышленность от лжеспециалистов и авантюристического элемента, высокооплачиваемых в инвалюте.</w:t>
      </w:r>
    </w:p>
    <w:p w14:paraId="1929364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Эти мероприятия привели к нижеследующим результатам:</w:t>
      </w:r>
    </w:p>
    <w:p w14:paraId="5D149FE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в 1931 г. валютные расходы по иноспециалистам составляли 6530000 руб.; в 1932 г. эти расходы были снижены до 2830 тыс. руб., т. е. в 2,3 раза; в 1933 г. валютные расходы имели дальнейшее снижение до 860000 руб., т. е. по сравнению с 1932 г. они сокращены в 3,3 раза, а по сравнению с 1931 г. в 7,6 раза.</w:t>
      </w:r>
    </w:p>
    <w:p w14:paraId="7B46634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Количество инвалютных специалистов к 1.I.34 г. составляет 325 человек вместо 1450 чел. на 1.I.32 г. и 395 — на 1.I.33 г.</w:t>
      </w:r>
    </w:p>
    <w:p w14:paraId="565AEA1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Инвалютные расходы с 450 тыс. руб. в январе 1932 г. снизились до 100 тыс. руб. в январе 1933 г., т. е. больше чем в 4 раза, а к концу 1933 г. они составляют 45 тыс. руб. в месяц, т. е. уменьшились по сравнению с началом 32 г. в 10 раз.</w:t>
      </w:r>
    </w:p>
    <w:p w14:paraId="78D34BC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Средняя инвалютная оплата одного специалиста к концу 1933 г. уменьшилась больше чем на 90% по сравнению с началом 32 г. (январь 1932 г. — 219 руб., январь 1933 г. — 41 руб., конец 1933 г. — до 23 руб.).</w:t>
      </w:r>
    </w:p>
    <w:p w14:paraId="5D0FA9F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Наряду со снижением инвалютных расходов по индивидуальным договорам с иноспециалистами мы достигли большой валютной экономии за счет использования индивидуальных иноработников на ряде участков, где оказывали техническую помощь досрочно расторгнутые, дорогостоящие договора с инофирмами.</w:t>
      </w:r>
    </w:p>
    <w:p w14:paraId="3CF89FC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Эффективность работы инокадров</w:t>
      </w:r>
    </w:p>
    <w:p w14:paraId="29168BD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течение 1932 и 1933 гг. нашими силами и участием в бригадах ЦКК-НК РКИ было практически обследовано свыше 120 предприятий, новостроек, проектирующих и хозяйственных организаций на предмет выявления делового и политического лица инокадров, состояние их использования, жилья и культурно-бытовых условий и на предмет исправления на месте обнаруженных недочетов.</w:t>
      </w:r>
    </w:p>
    <w:p w14:paraId="60FF2B7D"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Данные, полученные в результате произведенных обследований, нижеследующие:</w:t>
      </w:r>
    </w:p>
    <w:p w14:paraId="383454B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при активном участии значительного количества ценных иностранных специалистов и высококвалифицированных рабочих были построены и пущены в ход крупнейшие предприятия (Сталинградский и Харьковский тракторные заводы, Горьковский и Московский автозаводы, Кузнецкстрой, Магнитострой, Краммашкомбинат, Уралмашзавод, Запорожсталь и т. д., и т. д.).</w:t>
      </w:r>
    </w:p>
    <w:p w14:paraId="4AA1F4E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Поставлено новое производство на ряде предприятий (электроламповое производство, высокомощных и высоковольтных трансформаторов, высококачественных сталей, ряда видов химической аппаратуры, шахтных механизмов, электросчетчиков, медицинских и прочих термометров и т. д. и т. д.).</w:t>
      </w:r>
    </w:p>
    <w:p w14:paraId="423DEDC8"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Чрезвычайно трудно представить эффективность работы инокадров на наших предприятиях в суммарном денежном выражении, так как не во всех случаях она поддается точному учету и оценке в рублях. До настоящего времени отсутствует кем-либо разработанная методология такого учета. Однако, даже краткий прилагаемый перечень примеров эффективности работы иностранных инженеров и рабочих дают право сделать вывод о том, что при правильном использовании инокадров (не говоря уж о тех случаях, когда иноработники работают на безвалютных условиях), даже производимые на них затраты в инвалюте с избытком себя </w:t>
      </w:r>
      <w:r w:rsidRPr="00C33834">
        <w:rPr>
          <w:rFonts w:ascii="Times New Roman" w:hAnsi="Times New Roman"/>
          <w:color w:val="000000" w:themeColor="text1"/>
          <w:sz w:val="16"/>
          <w:szCs w:val="16"/>
        </w:rPr>
        <w:lastRenderedPageBreak/>
        <w:t>оправдывают и дают возможность сберечь значительные суммы, как в соввалюте (улучшение методов работы, удешевление и ускорение производственных и строительных процессов, повышение производительности труда и качества продукции, экономия материала и, главное, сохранение жизни оборудования и т. д.), так и в инвалюте (сокращение импорта и освобождение от иностранной зависимости).</w:t>
      </w:r>
    </w:p>
    <w:p w14:paraId="5CD7E8A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Основная масса инорабочих сконцентрирована сравнительно на небольшом количестве предприятий (ЧТЗ, ХТЗ, СТЗ, ГАЗ, Электрозавод, Электроаппарат, Ростовсельмаш, Сарсельмаш, Краммашзавод, нескольких механизированных шахтах Кузбасса и Донбасса), т. е. на предприятиях, оборудованных новейшими станками и установками, в большинстве случаев неизвестными нашим рабочим.</w:t>
      </w:r>
    </w:p>
    <w:p w14:paraId="6204FDB9"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Правильное использование иноработников на этих предприятиях обеспечивает нормальную работу дорогих агрегатов и дает возможность обучить и подготовить наших рабочих уменью работать на новых для них сложных импортных механизмах.</w:t>
      </w:r>
    </w:p>
    <w:p w14:paraId="74867EB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этих случаях, в особенности это относится к металлообработке, где требуется исключительная точность в обработке деталей, производительность труда инорабочих значительно выше достижений наших рабочих, давая несравнимо более высокие образцы по качеству и обработке деталей (точность до 1000 долей мм). Инорабочие в ряде случаев и в количественном выполнении норм дают более высокие показатели, чем наши рабочие, о чем свидетельствуют прилагаемые к настоящей справке ряд примеров.</w:t>
      </w:r>
    </w:p>
    <w:p w14:paraId="66B9256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Прилагаемый краткий перечень примеров и результаты работы инофирм на наших предприятиях по договорам техсодействия в свою очередь показывают эффективность затрат в этой области.</w:t>
      </w:r>
    </w:p>
    <w:p w14:paraId="67DBB28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Приложения: Краткий перечень примеров эффективности работы интехпомощи и отрицательных явлений в этой области?*.</w:t>
      </w:r>
    </w:p>
    <w:p w14:paraId="725C0ED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Член коллегии НКТП Сушков </w:t>
      </w:r>
    </w:p>
    <w:p w14:paraId="50B3858F"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Зам. нач. ИНО НКТП Владимиров </w:t>
      </w:r>
    </w:p>
    <w:p w14:paraId="1217A53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Примечания:</w:t>
      </w:r>
    </w:p>
    <w:p w14:paraId="302A799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Датируется по содержанию.</w:t>
      </w:r>
    </w:p>
    <w:p w14:paraId="68874F5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Так в документе.</w:t>
      </w:r>
    </w:p>
    <w:p w14:paraId="29FB093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Приложения не публикуются. См. РГАЭ. Ф. 7297. Оп.38. Д. 289. Л. 75-93.</w:t>
      </w:r>
    </w:p>
    <w:p w14:paraId="1E9CF8DE"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РГАЭ. Ф. 7297. Оп. 38. Д. 289. Л. 65-74. Подлинник. Подписи — автографы (12175).</w:t>
      </w:r>
    </w:p>
    <w:p w14:paraId="0704227C" w14:textId="77777777" w:rsidR="0018342B" w:rsidRPr="00C33834" w:rsidRDefault="0018342B" w:rsidP="00C33834">
      <w:pPr>
        <w:spacing w:after="0" w:line="240" w:lineRule="auto"/>
        <w:jc w:val="both"/>
        <w:rPr>
          <w:rFonts w:ascii="Times New Roman" w:hAnsi="Times New Roman"/>
          <w:color w:val="000000" w:themeColor="text1"/>
          <w:sz w:val="16"/>
          <w:szCs w:val="16"/>
        </w:rPr>
      </w:pPr>
    </w:p>
    <w:p w14:paraId="44ABAD9D" w14:textId="77777777" w:rsidR="002E2083"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09302D37"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8434DE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декабря 1933 строевые части ВВС располагали 55 Р-6. За 1933 г. завод № 31 выпустил уже 50 самолетов, частично использовав задел, привезенный из Москвы (в частности, центропланы). Наиболее мощная группировка их образовалась на Дальнем Востоке. Двумя полнокровными эскадрильями обладали ВВС ОКДВА и еще одна принадлежала Морским силам Дальнего Востока (МСДВ), предшествовавшим Тихоокеанскому флоту.</w:t>
      </w:r>
    </w:p>
    <w:p w14:paraId="691076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Авиация бурно развивалась, и Р-6, задуманный в 1926 г., все больше отставал от требований времени. Существовали два пути решения проблемы: создать новый самолет подобного назначения или модернизировать старый. В ЦАГИ шли в обоих направлениях.</w:t>
      </w:r>
    </w:p>
    <w:p w14:paraId="37946AB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Поскольку Р-6 в качестве многоместного истребителя оказался явно неподходящим, эту функцию попытались вычленить отдельно, создавая специализированные машины. Первой из них стал МИ-3, разрабатывавшийся в АГОС с марта 1932 г. (12036).</w:t>
      </w:r>
    </w:p>
    <w:p w14:paraId="53CE81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43FDE3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декабря в ВВС насчитывалось уже 1898 Р-5 (12034).</w:t>
      </w:r>
    </w:p>
    <w:p w14:paraId="113BD5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F67E4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декабря 1933 насчитывалось 343 И-5, то есть около 40% всего тогдашнего парка истребительной авиации. Они заменили в строю большую часть И-3. Основными районами дислокации И-5 оставались Ленинградский и Украинский военные округа и Забайкалье. В 1933 г. к ним добавился Дальний Восток (28-я эскадрилья в Воздвиженке и 32-я в Хабаровске). В составе ВВС ОКДВА в Забайкалье и на Дальнем Востоке в конце года находилось 137 И-5. Машины последних серий с кольцевыми капотами оказались более уязвимы для холода, чем старые с отдельными обтекателями цилиндров. Начали И-5 появляться также в Белоруссии и Подмосковье.</w:t>
      </w:r>
    </w:p>
    <w:p w14:paraId="0FC0767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Массовая эксплуатация вызвала увеличение числа различных аварий и катастроф. При этом сказывались как недостатки самой машины, так и ошибки лётного состава. Встречались случаи пожаров в воздухе из-за обрыва бензопроводов. В 1-й эскадрилье у пилота Скоро- богатова отлетела часть полотна с крыла, машина сорвалась в штопор. Лётчик выпрыгнул, но парашют не раскрылся... В 26-й эскадрилье у лётчика Андреева на пикировании оборвались амортизаторы лыж. Лыжи встали торчком. Но мастерство помогло Андрееву сесть без больших повреждений. Пилот Власов из 117-й эскадрильи на рулении, несмотря на сопровождение техником, ухитрился врезаться в стоявшую на поле бочку с бензином. Металлический винт высек искру, начался пожар. Пламя перекинулось на самолёт, руливший сзади. Истребитель Власова пришлось списать, на второй машине сгорело полотно на оперении и фюзеляже. Итог - 10 суток ареста Власову, получившему небольшие ожоги, и 20 суток - технику Кабакову, руководившему рулением.</w:t>
      </w:r>
    </w:p>
    <w:p w14:paraId="658D9A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Качество истребителей оставалось невысоким, что вызывало определённые опасения у лётного состава. В сводке ОГПУ о настроениях военнослужащих мне встретилась фраза, подслушанная осведомителем в 251-й бригаде: "...мат- часть сыплется - эти новые машины плохо сделаны" (11997).</w:t>
      </w:r>
    </w:p>
    <w:p w14:paraId="0474E5A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39BE21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 декабря 1933 г. строевые части располагали 55 Р-6. Наиболее мощная группировка их образовалась на Дальнем Востоке. Двумя полнокровными эскад-рильями располагали ВВС ОКДВА, ещё одна принадлежала Морским силам Даль-него Востока (МСДВ), предшествовавшим Тихоокеанскому флоту (12264).</w:t>
      </w:r>
    </w:p>
    <w:p w14:paraId="5E3E11DB" w14:textId="77777777" w:rsidR="0018342B" w:rsidRPr="00C33834" w:rsidRDefault="0018342B" w:rsidP="00C33834">
      <w:pPr>
        <w:spacing w:after="0" w:line="240" w:lineRule="auto"/>
        <w:jc w:val="both"/>
        <w:rPr>
          <w:rFonts w:ascii="Times New Roman" w:hAnsi="Times New Roman"/>
          <w:color w:val="000000" w:themeColor="text1"/>
          <w:sz w:val="16"/>
          <w:szCs w:val="16"/>
        </w:rPr>
      </w:pPr>
    </w:p>
    <w:p w14:paraId="0E3FD58E"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41F057A4"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C5F0B1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1 и 7 декабря 1933. Из протокола заседания Политбюро N 150, особая папка, 1933 г.</w:t>
      </w:r>
    </w:p>
    <w:p w14:paraId="253A3D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Вопрос т. Розенгольца </w:t>
      </w:r>
    </w:p>
    <w:p w14:paraId="46650B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т. Бубнова выдать Наркомвнешторгу рукопись библии "Синайский кодекс" и разрешить НКВТ продать ее (11652).</w:t>
      </w:r>
    </w:p>
    <w:p w14:paraId="2D8844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FCB8456"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1933 г. Телеграмма временного поверенного в делах СССР в США Б. Е. Сквирского в Наркомат иностранных дел СССР о создании советского торгпредства в Вашингтоне.</w:t>
      </w:r>
    </w:p>
    <w:p w14:paraId="1DA0BCB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 вопросу о назначении торгпреда Филлипс заявил, что целый ряд стран просили дипломатического статуса для их торговых представителей в Нью-Йорке, но американское правительство им в этом всегда отказывало. Поэтому необходимо подробно ознакомиться с поставленным мною вопросом. На мое указание, что СССР нельзя сравнивать с другими странами ввиду наличия монополии внешней торговли и что у нас имеются торгпреды и торгпредства во всех странах, с которыми состоим в нормальных отношениях, Филлипс ответил, что, конечно, это верно и нам, вероятно, дадут это право и в CACШ, но что окончательный ответ он сможет дать мне лишь через несколько дней. Я хотел переговорить по тому же вопросу с Моргентау Младшим, чтобы тот снесся с президентом, но его нет в Вашингтоне, и он вернется лишь через 2-3 дня. </w:t>
      </w:r>
    </w:p>
    <w:p w14:paraId="3A73D042"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Сквирский </w:t>
      </w:r>
    </w:p>
    <w:p w14:paraId="0809346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Документы внешней политики СССР. М., 1970. Т. XVI. С. 699 (12152). </w:t>
      </w:r>
    </w:p>
    <w:p w14:paraId="642CA870" w14:textId="77777777" w:rsidR="0018342B" w:rsidRPr="00C33834" w:rsidRDefault="0018342B" w:rsidP="00C33834">
      <w:pPr>
        <w:spacing w:after="0" w:line="240" w:lineRule="auto"/>
        <w:jc w:val="both"/>
        <w:rPr>
          <w:rFonts w:ascii="Times New Roman" w:hAnsi="Times New Roman"/>
          <w:color w:val="000000" w:themeColor="text1"/>
          <w:sz w:val="16"/>
          <w:szCs w:val="16"/>
        </w:rPr>
      </w:pPr>
    </w:p>
    <w:p w14:paraId="2046BA0A"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545BD3F2"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0522743" w14:textId="77777777" w:rsidR="00201255" w:rsidRPr="00C33834" w:rsidRDefault="0020125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декабря 1933 Indian National Airways открывает первое ежедневное сообщение в Индии между Калькуттой и Даккой (20802).</w:t>
      </w:r>
    </w:p>
    <w:p w14:paraId="1AB9280F" w14:textId="77777777" w:rsidR="00201255" w:rsidRPr="00C33834" w:rsidRDefault="00201255" w:rsidP="00C33834">
      <w:pPr>
        <w:spacing w:after="0" w:line="240" w:lineRule="auto"/>
        <w:jc w:val="both"/>
        <w:rPr>
          <w:rFonts w:ascii="Times New Roman" w:hAnsi="Times New Roman"/>
          <w:color w:val="0070C0"/>
          <w:sz w:val="16"/>
          <w:szCs w:val="16"/>
        </w:rPr>
      </w:pPr>
    </w:p>
    <w:p w14:paraId="61DEBB3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1933 нацистские штурмовые отряды были легализованы (2100).</w:t>
      </w:r>
    </w:p>
    <w:p w14:paraId="38C1E2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10FFD4D"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декабря 1933 в Германии принят закон, объявивший нацистскую партию частью государства (4962).</w:t>
      </w:r>
    </w:p>
    <w:p w14:paraId="5D75119E"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31BF66"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288B206"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12287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декабря 1933 года гл. инженер-механик ВВС Аузан, командир бригады НИИ ВВС Залевский, начальник 7 сектора НИИ ВВС Жемчужин.</w:t>
      </w:r>
    </w:p>
    <w:p w14:paraId="14BC60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19C648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Считать невозможным допустить испытанный самолет (ТБ-3 4М-34Р) в качестве эталона первой половины 1934 г. с устранением на нем всех выявленных дефектов и выполнением требований, утвержденных начальником ВВС.</w:t>
      </w:r>
    </w:p>
    <w:p w14:paraId="66D845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Считать необходимым ЦАГИ теперь же приступить к подбору винта, обеспечивающего в горизонтальном полете у земли не более 1900 об/мин.</w:t>
      </w:r>
    </w:p>
    <w:p w14:paraId="120205E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3. При наличии задела винтов Д=4,4; Н=3,225 считать возможным их использование на с-тах с установкой защелки, обеспечивающей в горизонтальном полете у земле не более 1900 об/мин.</w:t>
      </w:r>
    </w:p>
    <w:p w14:paraId="72A9469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Считать необходимым усиление конструкции самолета, позволяющее увеличение перегрузок до 22-23 тн. (2264,120).</w:t>
      </w:r>
    </w:p>
    <w:p w14:paraId="6305AFE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C39E87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декабря 1933 года Гл. инженер вооруж. ВВС Коннэрт утвердил Сводный отчет об испытаниях 14-ти систем АПК-4бис и 7-ми самолетов ЗЕТ, вооруженных авиационными пушками инженера Курчевского "АПК-4бис" калибра 76,2 мм</w:t>
      </w:r>
    </w:p>
    <w:p w14:paraId="049701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производились на основании приказа начальника ВВС от 10 ноября 1933 года за N 0011с на Люберецком аэродроме и хим. полигоне в Кузьминках.</w:t>
      </w:r>
    </w:p>
    <w:p w14:paraId="301CC7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5B15848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Определить влияния стрельбы на данный самолет и его жизнеспособность.</w:t>
      </w:r>
    </w:p>
    <w:p w14:paraId="6389D6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Проверка работы автоматики систем на самолете в условиях полета.</w:t>
      </w:r>
    </w:p>
    <w:p w14:paraId="39E6AF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Установить безотказность работы систем АПК-4 бис при стрельбе в воздухе.</w:t>
      </w:r>
    </w:p>
    <w:p w14:paraId="61E5EE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Выводы</w:t>
      </w:r>
    </w:p>
    <w:p w14:paraId="4CF98E8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Несмотря на имеющиеся дефекты, считать, что системы испытания прошли и могут быть допущены на войсковые испытания (3541,1-25).</w:t>
      </w:r>
    </w:p>
    <w:p w14:paraId="1CDE190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F72F3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декабря 1933 года Начальник и военком НИИ ВВС Зильберт утвердил Отчет</w:t>
      </w:r>
    </w:p>
    <w:p w14:paraId="47FA9D9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гос. испытаниям опытной переливки горючего в воздухе из самолета Р-5 М-17 в самолет ТБ-3-4М17</w:t>
      </w:r>
    </w:p>
    <w:p w14:paraId="747CAC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Начато 14 сентября 1933 года</w:t>
      </w:r>
    </w:p>
    <w:p w14:paraId="6DE26FA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Окончено 23 ноября 1933 года</w:t>
      </w:r>
    </w:p>
    <w:p w14:paraId="22E150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38E49B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инженер-летчик Белозеров</w:t>
      </w:r>
    </w:p>
    <w:p w14:paraId="35272E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Летчики - Миндер, Каверин</w:t>
      </w:r>
    </w:p>
    <w:p w14:paraId="3B3631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29143F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проверить возможность переливки горючего в воздухе во время полета из самолета Р-5 М-17 в самолет ТБ-3 4М-17.</w:t>
      </w:r>
    </w:p>
    <w:p w14:paraId="08D318D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Установить практическую целесообразность внедрения таковой в строевые части.</w:t>
      </w:r>
    </w:p>
    <w:p w14:paraId="256C9F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532E43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приспособление для переливки горючего из самолета Р-5 М-17 в самолет ТБ-3 4М-17 гос. испытания выдержало.</w:t>
      </w:r>
    </w:p>
    <w:p w14:paraId="30F03D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проведения гос. испытаний по переливке в воздухе горючего из самолета Р5-М17 в самолет ТБ-3 4М-17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5225"/>
      </w:tblGrid>
      <w:tr w:rsidR="00F26F01" w:rsidRPr="00C33834" w14:paraId="415E7218" w14:textId="77777777">
        <w:tc>
          <w:tcPr>
            <w:tcW w:w="2254" w:type="dxa"/>
          </w:tcPr>
          <w:p w14:paraId="0B829A5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сентября 1933 года</w:t>
            </w:r>
          </w:p>
        </w:tc>
        <w:tc>
          <w:tcPr>
            <w:tcW w:w="5225" w:type="dxa"/>
          </w:tcPr>
          <w:p w14:paraId="2C68890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Перегонка самолета ТБ-3 завода N 39 в Щелково - 50 мин.</w:t>
            </w:r>
          </w:p>
        </w:tc>
      </w:tr>
      <w:tr w:rsidR="00F26F01" w:rsidRPr="00C33834" w14:paraId="4F3AFE40" w14:textId="77777777">
        <w:tc>
          <w:tcPr>
            <w:tcW w:w="2254" w:type="dxa"/>
          </w:tcPr>
          <w:p w14:paraId="5F4BC9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сентября 1933 года</w:t>
            </w:r>
          </w:p>
        </w:tc>
        <w:tc>
          <w:tcPr>
            <w:tcW w:w="5225" w:type="dxa"/>
          </w:tcPr>
          <w:p w14:paraId="79766CD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Вывозные полеты командира эскадрильи Иванова</w:t>
            </w:r>
          </w:p>
        </w:tc>
      </w:tr>
      <w:tr w:rsidR="00F26F01" w:rsidRPr="00C33834" w14:paraId="5618FE6F" w14:textId="77777777">
        <w:tc>
          <w:tcPr>
            <w:tcW w:w="2254" w:type="dxa"/>
          </w:tcPr>
          <w:p w14:paraId="2538BE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0CE8B2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час. 28 мин.</w:t>
            </w:r>
          </w:p>
        </w:tc>
      </w:tr>
      <w:tr w:rsidR="00F26F01" w:rsidRPr="00C33834" w14:paraId="684D7050" w14:textId="77777777">
        <w:tc>
          <w:tcPr>
            <w:tcW w:w="2254" w:type="dxa"/>
          </w:tcPr>
          <w:p w14:paraId="17E5DA8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сентября 1933 года</w:t>
            </w:r>
          </w:p>
        </w:tc>
        <w:tc>
          <w:tcPr>
            <w:tcW w:w="5225" w:type="dxa"/>
          </w:tcPr>
          <w:p w14:paraId="67FCCCE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Вывозные полеты командира эскадрильи Иванова</w:t>
            </w:r>
          </w:p>
        </w:tc>
      </w:tr>
      <w:tr w:rsidR="00F26F01" w:rsidRPr="00C33834" w14:paraId="44067E7B" w14:textId="77777777">
        <w:tc>
          <w:tcPr>
            <w:tcW w:w="2254" w:type="dxa"/>
          </w:tcPr>
          <w:p w14:paraId="7DDAA85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487823E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час. 25 мин.</w:t>
            </w:r>
          </w:p>
        </w:tc>
      </w:tr>
      <w:tr w:rsidR="00F26F01" w:rsidRPr="00C33834" w14:paraId="55E70D22" w14:textId="77777777">
        <w:tc>
          <w:tcPr>
            <w:tcW w:w="2254" w:type="dxa"/>
          </w:tcPr>
          <w:p w14:paraId="482F10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509A98D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Самостоятельная тренировка Иванова - 34 мин.</w:t>
            </w:r>
          </w:p>
        </w:tc>
      </w:tr>
      <w:tr w:rsidR="00F26F01" w:rsidRPr="00C33834" w14:paraId="4773DD88" w14:textId="77777777">
        <w:tc>
          <w:tcPr>
            <w:tcW w:w="2254" w:type="dxa"/>
          </w:tcPr>
          <w:p w14:paraId="1BEFA9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сентября 1933 года</w:t>
            </w:r>
          </w:p>
        </w:tc>
        <w:tc>
          <w:tcPr>
            <w:tcW w:w="5225" w:type="dxa"/>
          </w:tcPr>
          <w:p w14:paraId="544DCB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Подхватывание шлангов - не выполнено - 2 часа.</w:t>
            </w:r>
          </w:p>
        </w:tc>
      </w:tr>
      <w:tr w:rsidR="00F26F01" w:rsidRPr="00C33834" w14:paraId="6046333D" w14:textId="77777777">
        <w:tc>
          <w:tcPr>
            <w:tcW w:w="2254" w:type="dxa"/>
          </w:tcPr>
          <w:p w14:paraId="430697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октября 1933 года</w:t>
            </w:r>
          </w:p>
        </w:tc>
        <w:tc>
          <w:tcPr>
            <w:tcW w:w="5225" w:type="dxa"/>
          </w:tcPr>
          <w:p w14:paraId="6EEEF5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Подхватывание шлангов - не выполнено - 1 час. 8 мин.</w:t>
            </w:r>
          </w:p>
        </w:tc>
      </w:tr>
      <w:tr w:rsidR="00F26F01" w:rsidRPr="00C33834" w14:paraId="208AA612" w14:textId="77777777">
        <w:tc>
          <w:tcPr>
            <w:tcW w:w="2254" w:type="dxa"/>
          </w:tcPr>
          <w:p w14:paraId="00288D1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октября 1933 года</w:t>
            </w:r>
          </w:p>
        </w:tc>
        <w:tc>
          <w:tcPr>
            <w:tcW w:w="5225" w:type="dxa"/>
          </w:tcPr>
          <w:p w14:paraId="2EB994B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Подхватывание шлангов - не выполнено - 58 мин.</w:t>
            </w:r>
          </w:p>
        </w:tc>
      </w:tr>
      <w:tr w:rsidR="00F26F01" w:rsidRPr="00C33834" w14:paraId="6A7EBAE8" w14:textId="77777777">
        <w:tc>
          <w:tcPr>
            <w:tcW w:w="2254" w:type="dxa"/>
          </w:tcPr>
          <w:p w14:paraId="0211B8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октября 1933 года</w:t>
            </w:r>
          </w:p>
        </w:tc>
        <w:tc>
          <w:tcPr>
            <w:tcW w:w="5225" w:type="dxa"/>
          </w:tcPr>
          <w:p w14:paraId="7CEEA6B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Подхватывание веревки длиной 60 м - не выполнено</w:t>
            </w:r>
          </w:p>
        </w:tc>
      </w:tr>
      <w:tr w:rsidR="00F26F01" w:rsidRPr="00C33834" w14:paraId="3558EFF4" w14:textId="77777777">
        <w:tc>
          <w:tcPr>
            <w:tcW w:w="2254" w:type="dxa"/>
          </w:tcPr>
          <w:p w14:paraId="1AD553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0501E9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час. 17 мин.</w:t>
            </w:r>
          </w:p>
        </w:tc>
      </w:tr>
      <w:tr w:rsidR="00F26F01" w:rsidRPr="00C33834" w14:paraId="071332FC" w14:textId="77777777">
        <w:tc>
          <w:tcPr>
            <w:tcW w:w="2254" w:type="dxa"/>
          </w:tcPr>
          <w:p w14:paraId="2FFA25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октября 1933 года</w:t>
            </w:r>
          </w:p>
        </w:tc>
        <w:tc>
          <w:tcPr>
            <w:tcW w:w="5225" w:type="dxa"/>
          </w:tcPr>
          <w:p w14:paraId="2A6F33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Подхватывание веревки длиной 60 м - выполнено.</w:t>
            </w:r>
          </w:p>
        </w:tc>
      </w:tr>
      <w:tr w:rsidR="00F26F01" w:rsidRPr="00C33834" w14:paraId="27F44349" w14:textId="77777777">
        <w:tc>
          <w:tcPr>
            <w:tcW w:w="2254" w:type="dxa"/>
          </w:tcPr>
          <w:p w14:paraId="0697B5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050B92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час. 28 мин.</w:t>
            </w:r>
          </w:p>
        </w:tc>
      </w:tr>
      <w:tr w:rsidR="00F26F01" w:rsidRPr="00C33834" w14:paraId="151E7A7D" w14:textId="77777777">
        <w:tc>
          <w:tcPr>
            <w:tcW w:w="2254" w:type="dxa"/>
          </w:tcPr>
          <w:p w14:paraId="60C607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октября 1933 года</w:t>
            </w:r>
          </w:p>
        </w:tc>
        <w:tc>
          <w:tcPr>
            <w:tcW w:w="5225" w:type="dxa"/>
          </w:tcPr>
          <w:p w14:paraId="2809A5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Подхватывание шланга длиной 50 м. Не выполнено из-за</w:t>
            </w:r>
          </w:p>
        </w:tc>
      </w:tr>
      <w:tr w:rsidR="00F26F01" w:rsidRPr="00C33834" w14:paraId="399AAB04" w14:textId="77777777">
        <w:tc>
          <w:tcPr>
            <w:tcW w:w="2254" w:type="dxa"/>
          </w:tcPr>
          <w:p w14:paraId="4D4DCB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3C7A44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того, что конец шланга болтался. - 1 час. 30 мин.</w:t>
            </w:r>
          </w:p>
        </w:tc>
      </w:tr>
      <w:tr w:rsidR="00F26F01" w:rsidRPr="00C33834" w14:paraId="4C684C52" w14:textId="77777777">
        <w:tc>
          <w:tcPr>
            <w:tcW w:w="2254" w:type="dxa"/>
          </w:tcPr>
          <w:p w14:paraId="7D9F940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5225" w:type="dxa"/>
          </w:tcPr>
          <w:p w14:paraId="6DFE35F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час. 38 мин.</w:t>
            </w:r>
          </w:p>
        </w:tc>
      </w:tr>
    </w:tbl>
    <w:p w14:paraId="5844C3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Новый состав экипажа (ведущий летчик Миндер)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5225"/>
      </w:tblGrid>
      <w:tr w:rsidR="00F26F01" w:rsidRPr="00C33834" w14:paraId="7506ACB1" w14:textId="77777777">
        <w:tc>
          <w:tcPr>
            <w:tcW w:w="2254" w:type="dxa"/>
          </w:tcPr>
          <w:p w14:paraId="61138E2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ноября 1933 года</w:t>
            </w:r>
          </w:p>
        </w:tc>
        <w:tc>
          <w:tcPr>
            <w:tcW w:w="5225" w:type="dxa"/>
          </w:tcPr>
          <w:p w14:paraId="464235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Тренировочный полет, хождение парой в строю</w:t>
            </w:r>
          </w:p>
        </w:tc>
      </w:tr>
      <w:tr w:rsidR="00F26F01" w:rsidRPr="00C33834" w14:paraId="7744F72D" w14:textId="77777777">
        <w:tc>
          <w:tcPr>
            <w:tcW w:w="2254" w:type="dxa"/>
          </w:tcPr>
          <w:p w14:paraId="1C1BF61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77BBB6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кильватера с принижением второго самолета и подхватывание</w:t>
            </w:r>
          </w:p>
        </w:tc>
      </w:tr>
      <w:tr w:rsidR="00F26F01" w:rsidRPr="00C33834" w14:paraId="7E235733" w14:textId="77777777">
        <w:tc>
          <w:tcPr>
            <w:tcW w:w="2254" w:type="dxa"/>
          </w:tcPr>
          <w:p w14:paraId="2BCB785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37D4EA0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летнабами самолета ТБ-3 веревки длиной 35 м, вместо</w:t>
            </w:r>
          </w:p>
        </w:tc>
      </w:tr>
      <w:tr w:rsidR="00F26F01" w:rsidRPr="00C33834" w14:paraId="41149147" w14:textId="77777777">
        <w:tc>
          <w:tcPr>
            <w:tcW w:w="2254" w:type="dxa"/>
          </w:tcPr>
          <w:p w14:paraId="2CD52A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08B920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шланга - 55 мин.</w:t>
            </w:r>
          </w:p>
        </w:tc>
      </w:tr>
      <w:tr w:rsidR="00F26F01" w:rsidRPr="00C33834" w14:paraId="487855A0" w14:textId="77777777">
        <w:tc>
          <w:tcPr>
            <w:tcW w:w="2254" w:type="dxa"/>
          </w:tcPr>
          <w:p w14:paraId="4D1621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ноября 1933 года</w:t>
            </w:r>
          </w:p>
        </w:tc>
        <w:tc>
          <w:tcPr>
            <w:tcW w:w="5225" w:type="dxa"/>
          </w:tcPr>
          <w:p w14:paraId="6509EA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Тренировочный полет, хождение парой в строю</w:t>
            </w:r>
          </w:p>
        </w:tc>
      </w:tr>
      <w:tr w:rsidR="00F26F01" w:rsidRPr="00C33834" w14:paraId="0CC3FC96" w14:textId="77777777">
        <w:tc>
          <w:tcPr>
            <w:tcW w:w="2254" w:type="dxa"/>
          </w:tcPr>
          <w:p w14:paraId="4B79C79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19EBF9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кильватера с принижением второго самолета и подхватывание</w:t>
            </w:r>
          </w:p>
        </w:tc>
      </w:tr>
      <w:tr w:rsidR="00F26F01" w:rsidRPr="00C33834" w14:paraId="4046F560" w14:textId="77777777">
        <w:tc>
          <w:tcPr>
            <w:tcW w:w="2254" w:type="dxa"/>
          </w:tcPr>
          <w:p w14:paraId="55BDBE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6B51E8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летнабами самолета ТБ-3 шланга длиной 35 м, вместо</w:t>
            </w:r>
          </w:p>
        </w:tc>
      </w:tr>
      <w:tr w:rsidR="00F26F01" w:rsidRPr="00C33834" w14:paraId="09C6E978" w14:textId="77777777">
        <w:tc>
          <w:tcPr>
            <w:tcW w:w="2254" w:type="dxa"/>
          </w:tcPr>
          <w:p w14:paraId="7D404AE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268650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шланга - 55 мин. В первый полет шланг болтался и из-за</w:t>
            </w:r>
          </w:p>
        </w:tc>
      </w:tr>
      <w:tr w:rsidR="00F26F01" w:rsidRPr="00C33834" w14:paraId="35701B5D" w14:textId="77777777">
        <w:tc>
          <w:tcPr>
            <w:tcW w:w="2254" w:type="dxa"/>
          </w:tcPr>
          <w:p w14:paraId="2EF74B9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601C36D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этого задание не было выполнено. Во второй полет</w:t>
            </w:r>
          </w:p>
        </w:tc>
      </w:tr>
      <w:tr w:rsidR="00F26F01" w:rsidRPr="00C33834" w14:paraId="3B2A793E" w14:textId="77777777">
        <w:tc>
          <w:tcPr>
            <w:tcW w:w="2254" w:type="dxa"/>
          </w:tcPr>
          <w:p w14:paraId="28D6890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49541E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утяжеления груза задание выполнено. - 1 час. 15 мин.</w:t>
            </w:r>
          </w:p>
        </w:tc>
      </w:tr>
      <w:tr w:rsidR="00F26F01" w:rsidRPr="00C33834" w14:paraId="4DC66497" w14:textId="77777777">
        <w:tc>
          <w:tcPr>
            <w:tcW w:w="2254" w:type="dxa"/>
          </w:tcPr>
          <w:p w14:paraId="677A0C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ноября 1933 года</w:t>
            </w:r>
          </w:p>
        </w:tc>
        <w:tc>
          <w:tcPr>
            <w:tcW w:w="5225" w:type="dxa"/>
          </w:tcPr>
          <w:p w14:paraId="50404C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для переливки горючего в воздухе. Из-за низкой</w:t>
            </w:r>
          </w:p>
        </w:tc>
      </w:tr>
      <w:tr w:rsidR="00F26F01" w:rsidRPr="00C33834" w14:paraId="51ED0B1A" w14:textId="77777777">
        <w:tc>
          <w:tcPr>
            <w:tcW w:w="2254" w:type="dxa"/>
          </w:tcPr>
          <w:p w14:paraId="4F0DCFB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5FE792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облачности и нового состава экипажа самолета Р-5</w:t>
            </w:r>
          </w:p>
        </w:tc>
      </w:tr>
      <w:tr w:rsidR="00F26F01" w:rsidRPr="00C33834" w14:paraId="5582B07C" w14:textId="77777777">
        <w:tc>
          <w:tcPr>
            <w:tcW w:w="2254" w:type="dxa"/>
          </w:tcPr>
          <w:p w14:paraId="0DCFB7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74CF732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переливка отставлена - 55 мин.</w:t>
            </w:r>
          </w:p>
        </w:tc>
      </w:tr>
      <w:tr w:rsidR="00F26F01" w:rsidRPr="00C33834" w14:paraId="0B16838B" w14:textId="77777777">
        <w:tc>
          <w:tcPr>
            <w:tcW w:w="2254" w:type="dxa"/>
          </w:tcPr>
          <w:p w14:paraId="11B959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ноября 1933 года</w:t>
            </w:r>
          </w:p>
        </w:tc>
        <w:tc>
          <w:tcPr>
            <w:tcW w:w="5225" w:type="dxa"/>
          </w:tcPr>
          <w:p w14:paraId="0EB684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для переливки горючего в воздухе. Первый раз</w:t>
            </w:r>
          </w:p>
        </w:tc>
      </w:tr>
      <w:tr w:rsidR="00F26F01" w:rsidRPr="00C33834" w14:paraId="4DC7BB98" w14:textId="77777777">
        <w:tc>
          <w:tcPr>
            <w:tcW w:w="2254" w:type="dxa"/>
          </w:tcPr>
          <w:p w14:paraId="79C1203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00FEE5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переливка одного нижнего бака. Второй - переливка</w:t>
            </w:r>
          </w:p>
        </w:tc>
      </w:tr>
      <w:tr w:rsidR="00F26F01" w:rsidRPr="00C33834" w14:paraId="01F10B5B" w14:textId="77777777">
        <w:tc>
          <w:tcPr>
            <w:tcW w:w="2254" w:type="dxa"/>
          </w:tcPr>
          <w:p w14:paraId="027491C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4D0989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нижнего подфюзеляжного бака и заднего фюзеляжного</w:t>
            </w:r>
          </w:p>
        </w:tc>
      </w:tr>
      <w:tr w:rsidR="00F26F01" w:rsidRPr="00C33834" w14:paraId="2C0424A2" w14:textId="77777777">
        <w:tc>
          <w:tcPr>
            <w:tcW w:w="2254" w:type="dxa"/>
          </w:tcPr>
          <w:p w14:paraId="174D58D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0D55B4C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(главного) - 1 час. 30 мин.</w:t>
            </w:r>
          </w:p>
        </w:tc>
      </w:tr>
      <w:tr w:rsidR="00F26F01" w:rsidRPr="00C33834" w14:paraId="0CFA6EF9" w14:textId="77777777">
        <w:tc>
          <w:tcPr>
            <w:tcW w:w="2254" w:type="dxa"/>
          </w:tcPr>
          <w:p w14:paraId="35FE30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5225" w:type="dxa"/>
          </w:tcPr>
          <w:p w14:paraId="739743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7E7FFF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Проведено всего 24 полета общей продолжительностью - 17 час. 13 мин. (3916).</w:t>
      </w:r>
    </w:p>
    <w:p w14:paraId="0F844D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19A7FFF" w14:textId="77777777" w:rsidR="00206636" w:rsidRPr="00C33834" w:rsidRDefault="0020663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декабря 1933 г. </w:t>
      </w:r>
      <w:r w:rsidRPr="00C33834">
        <w:rPr>
          <w:rStyle w:val="a7"/>
          <w:rFonts w:ascii="Times New Roman" w:hAnsi="Times New Roman"/>
          <w:b w:val="0"/>
          <w:bCs w:val="0"/>
          <w:color w:val="000000" w:themeColor="text1"/>
          <w:sz w:val="16"/>
          <w:szCs w:val="16"/>
        </w:rPr>
        <w:t>Приказ Наркомтяжпрома № 1022 об освоении производства из пластической массы деталей приборов зажигания для авиационной и автотракторной промышленности</w:t>
      </w:r>
    </w:p>
    <w:p w14:paraId="7F2D4515"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«Карболит» объединения «Союзхимпластмасс» за период май - октябрь освоил производство всех деталей приборов зажигания и магнето не только качественно, но и количественно, проделав большую работу по внедрению в производство новых образцов изделий для авиационной и автотракторной промышленности, ввозимых ранее из-за границы, что дало возможность освободиться полностью по деталям приборов зажигания от импорта и ликвидировать прорыв, лимитировавший работу авиационной и автотракторной промышленности.</w:t>
      </w:r>
    </w:p>
    <w:p w14:paraId="06C0229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Особо следует отметить постановку производства клемм зажигания, до самого последнего времени ввозившихся из-за границы, и деталей шаровых наконечников, кои напряженными усилиями работников объединения «Союзхимпластмасс» и завода «Карболит» в течение минимального срока были освоены производством и сданы промышленности.</w:t>
      </w:r>
    </w:p>
    <w:p w14:paraId="13FC3E0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Отмечая достижения завода «Карболит», объявляю благодарность ИТР и рабочим завода «Карболит» и объединения «Союзхимпластмасс» и особую благодарность:</w:t>
      </w:r>
    </w:p>
    <w:p w14:paraId="4EE50C81"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 Акиту Р.П.- управляющему объединения «Союзхимпластмасс»</w:t>
      </w:r>
    </w:p>
    <w:p w14:paraId="441D88E7"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 Артабатскому П.Н.- заместителю управляющего</w:t>
      </w:r>
    </w:p>
    <w:p w14:paraId="3C19F02B"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 Левину Г.Я.- директору завода «Карболит»</w:t>
      </w:r>
    </w:p>
    <w:p w14:paraId="4A1F6AD3"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 Петрову А. К- - техническому директору и приказываю премировать завод «Карболит» одной легковой и одной грузовой автомашиной, а также выделить в распоряжение управляющего объединением «Союзхимпластмасс» тов. Акита спецфонд в 25 тыс. руб. для премирования ИТР и рабочих завода и работников объединения, проявивших себя на этой работе.</w:t>
      </w:r>
    </w:p>
    <w:p w14:paraId="32520C40"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Нарком тяжелой промышленности С. Орджоникидзе</w:t>
      </w:r>
    </w:p>
    <w:p w14:paraId="10ACC6CC" w14:textId="77777777" w:rsidR="0018342B" w:rsidRPr="00C33834" w:rsidRDefault="0018342B"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ЦГАНХ СССР, ф. 7297, on. 1, д. 23, л. 64. Заверенная копия (12356).</w:t>
      </w:r>
    </w:p>
    <w:p w14:paraId="4F5347E4" w14:textId="77777777" w:rsidR="00206636" w:rsidRPr="00C33834" w:rsidRDefault="00206636" w:rsidP="00C33834">
      <w:pPr>
        <w:autoSpaceDE w:val="0"/>
        <w:autoSpaceDN w:val="0"/>
        <w:adjustRightInd w:val="0"/>
        <w:spacing w:after="0" w:line="240" w:lineRule="auto"/>
        <w:jc w:val="both"/>
        <w:rPr>
          <w:rFonts w:ascii="Times New Roman" w:hAnsi="Times New Roman"/>
          <w:color w:val="000000" w:themeColor="text1"/>
          <w:sz w:val="16"/>
          <w:szCs w:val="16"/>
        </w:rPr>
      </w:pPr>
    </w:p>
    <w:p w14:paraId="48F9D0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декабря 1933 года гл. инженер вооружения ВВС Коннэрт писал письмо N 1/002693с начальнику УМТС и В. ВВС.</w:t>
      </w:r>
    </w:p>
    <w:p w14:paraId="32B1E4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сем препровождаю копию отчета по дополнительным испытаниям МАВ-1 (ВОМИЗЫ-100), утвержденный начальником ВВС Алкснис, как эталон 1934 г.</w:t>
      </w:r>
    </w:p>
    <w:p w14:paraId="6D8554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Утверждаю:</w:t>
      </w:r>
    </w:p>
    <w:p w14:paraId="2F06C3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НИИ ВВС Зильберт 25.10.1933 г.</w:t>
      </w:r>
    </w:p>
    <w:p w14:paraId="3179B2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Отчет по дополнительным испытаниям МАВ-1 (ВОМИЗЫ-100).</w:t>
      </w:r>
    </w:p>
    <w:p w14:paraId="24C81B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были проведены в период с 24 июля по 9 октября с.г.</w:t>
      </w:r>
    </w:p>
    <w:p w14:paraId="2BD394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Морские испытания с корабля произведены в ладожском озере на глубинах от 5 до 43 морских саженей.</w:t>
      </w:r>
    </w:p>
    <w:p w14:paraId="6EFAA9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Воздушные испытания - в Финском заливе в створе Петергоф-лисий нос на глубинах 3 м. саж. и к северу от Толбухина маяка на глубинах 11-12 м. саж. самолетами ТБ-1 и ТБ-3 с сухопутного аэродрома (Комендантского), с высот от 600 до 1000 м.</w:t>
      </w:r>
    </w:p>
    <w:p w14:paraId="2140B8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Сброшено с самолета 2 раза с бикфордовым шнуром и 7 раз с гидростатической отдачей (3052).</w:t>
      </w:r>
    </w:p>
    <w:p w14:paraId="4AF293E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7213F30"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18203B5"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3D506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декабря 1933 г. вышел Приказ Наркомтяжпрома № 1022 об освоении производства из пластической массы деталей приборов зажигания для авиационной и автотракторной промышленности </w:t>
      </w:r>
    </w:p>
    <w:p w14:paraId="7E665A5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Завод «Карболит» объединения «Союзхимпластмасс» за период май — октябрь освоил производство всех деталей приборов зажигания и магнето не только качественно, но и количественно, проделав большую работу по внедрению в производство новых образцов изделий для авиационной и автотракторной промышленности, ввозимых ранее из-за границы, что дало возможность освободиться полностью по деталям приборов зажигания от импорта и ликвидировать прорыв, лимитировавший работу авиационной и автотракторной промышленности. </w:t>
      </w:r>
    </w:p>
    <w:p w14:paraId="37A4F4F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Особо следует отметить постановку производства клемм зажигания, до самого последнего времени ввозившихся из-за границы, и деталей шаровых наконечников, кои напряженными усилиями работников объединения «Союзхимпластмасс» и завода «Карболит» в течение минимального срока были освоены производством и сданы промышленности. </w:t>
      </w:r>
    </w:p>
    <w:p w14:paraId="4E5703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Отмечая достижения завода «Карболит», объявляю благодарность ИТР и рабочим завода «Карболит» и объединения «Союзхимпластмасс» и особую благодарность: </w:t>
      </w:r>
    </w:p>
    <w:p w14:paraId="7B282FB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тов. Акиту Р.П.— управляющему объединения «Союзхимпластмасс» </w:t>
      </w:r>
    </w:p>
    <w:p w14:paraId="4FBB7D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тов. Артабатскому П.Н.— заместителю управляющего </w:t>
      </w:r>
    </w:p>
    <w:p w14:paraId="66BC72B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тов. Левину Г.Я.— директору завода «Карболит» </w:t>
      </w:r>
    </w:p>
    <w:p w14:paraId="6689CFD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тов. Петрову А. К- — техническому директору и приказываю премировать завод «Карболит» одной легковой и одной грузовой автомашиной, а также выделить в распоряжение управляющего объединением «Союзхимпластмасс» тов. Акита спецфонд в 25 тыс. руб. для премирования ИТР и рабочих завода и работников объединения, проявивших себя на этой работе. </w:t>
      </w:r>
    </w:p>
    <w:p w14:paraId="4FF8350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Нарком тяжелой промышленности С. Орджоникидзе </w:t>
      </w:r>
    </w:p>
    <w:p w14:paraId="0016AB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ЦГАНХ СССР, ф. 7297, on. 1, д. 23, л. 64. Заверенная копия (12053).</w:t>
      </w:r>
    </w:p>
    <w:p w14:paraId="00B3A2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6706DFF" w14:textId="77777777" w:rsidR="001C5008" w:rsidRPr="00C33834" w:rsidRDefault="001C500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декабря 1933 г. вышел Приказ Наркомтяжпрома № 1022 об освоении производства из пластической массы деталей приборов зажигания для авиационной и автотракторной промышленности 2 декабря 1933 г. Завод «Карболит» объединения «Союзхимпластмасс» за период май — октябрь освоил производство всех деталей приборов зажигания и магнето не только качественно, но и количественно, проделав большую работу по внедрению в производство новых образцов изделий для авиационной и автотракторной промышленности, ввозимых ранее из-за границы, что дало возможность освободиться полностью по деталям приборов зажигания от импорта и ликвидировать прорыв, лимитировавший работу авиационной и автотракторной промышленности. Особо следует отметить постановку производства клемм зажигания, до самого последнего времени ввозившихся из-за границы, и деталей шаровых наконечников, кои напряженными усилиями работников объединения «Союзхимпластмасс» и завода «Карболит» в течение минимального срока были освоены производством и сданы промышленности.</w:t>
      </w:r>
    </w:p>
    <w:p w14:paraId="22387E30" w14:textId="77777777" w:rsidR="001C5008" w:rsidRPr="00C33834" w:rsidRDefault="001C500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Отмечая достижения завода «Карболит», объявляю благодарность ИТР и рабочим завода «Карболит» и объединения «Союзхимпластмасс» и особую благодарность: тов. Акиту Р.П.— управляющему объединения «Союзхимпластмасс» тов. Артабатскому П.Н.— заместителю управляющего тов. Левину Г.Я.— директору завода «Карболит» тов. Петрову А. К- — техническому директору и приказываю премировать завод «Карболит» одной легковой и одной грузовой автомашиной, а также выделить в распоряжение управляющего объединением «Союзхимпластмасс» тов. Акита спецфонд в 25 тыс. руб. для премирования ИТР и рабочих завода и работников объединения, проявивших себя на этой работе. Нарком тяжелой промышленности С. Орджоникидзе ЦГАНХ СССР, ф. 7297, on. 1, д. 23, л. 64. Заверенная копия (18300).</w:t>
      </w:r>
    </w:p>
    <w:p w14:paraId="6C4DBBF5" w14:textId="77777777" w:rsidR="001C5008" w:rsidRPr="00C33834" w:rsidRDefault="001C5008" w:rsidP="00C33834">
      <w:pPr>
        <w:spacing w:after="0" w:line="240" w:lineRule="auto"/>
        <w:jc w:val="both"/>
        <w:rPr>
          <w:rFonts w:ascii="Times New Roman" w:hAnsi="Times New Roman"/>
          <w:color w:val="000000" w:themeColor="text1"/>
          <w:sz w:val="16"/>
          <w:szCs w:val="16"/>
        </w:rPr>
      </w:pPr>
    </w:p>
    <w:p w14:paraId="7D309741"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4C279A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66918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декабря 1933 «на почве невыхода лагерников вследствие морозов на работу» телефонограммой Фирина устанавливался «временный порядок, при котором работы могут быть прекращены только при морозе в 30 градусов Цельсия для всей лагерной массы и 25 градусов для нацменов. Даже и в случае таких морозов работы можно приостанавливать только с разрешения Начальника Строительства и моего... Еще раз Начальникам Отделений и Начальникам лагпунктов лично проверить наличие жировых и прочих средств против обмораживания, установив в первую очередь снабжение этими средства лагерников, работающих на трассе» (7560).</w:t>
      </w:r>
    </w:p>
    <w:p w14:paraId="28D677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6A00ED8"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5665821"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24F8D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декабря 1933 в ходе гос. испытаний ТБ-3 (АНТ-6) 22 завода N 22202 с 4М-34Р в качестве эталона на 34 год, которые проходили с 18 октября по 5 декабря 1933, был выполнен полет по обстрелу задней турели (2264,117).</w:t>
      </w:r>
    </w:p>
    <w:p w14:paraId="00F18B9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D8485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декабря 1933 года был утвержден пом. нач. ГУАП как обязательный со дня опубликования.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F26F01" w:rsidRPr="00C33834" w14:paraId="7D1F80D2" w14:textId="77777777">
        <w:tc>
          <w:tcPr>
            <w:tcW w:w="3757" w:type="dxa"/>
          </w:tcPr>
          <w:p w14:paraId="700A3B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НКТП</w:t>
            </w:r>
          </w:p>
        </w:tc>
        <w:tc>
          <w:tcPr>
            <w:tcW w:w="3757" w:type="dxa"/>
          </w:tcPr>
          <w:p w14:paraId="539AC05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Глававиапром</w:t>
            </w:r>
          </w:p>
        </w:tc>
        <w:tc>
          <w:tcPr>
            <w:tcW w:w="3757" w:type="dxa"/>
          </w:tcPr>
          <w:p w14:paraId="72D1FE8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Объединенное бюро стандартизации (ОБСА)</w:t>
            </w:r>
          </w:p>
        </w:tc>
      </w:tr>
      <w:tr w:rsidR="00F26F01" w:rsidRPr="00C33834" w14:paraId="0190D613" w14:textId="77777777">
        <w:tc>
          <w:tcPr>
            <w:tcW w:w="3757" w:type="dxa"/>
          </w:tcPr>
          <w:p w14:paraId="3C9E06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Авиационный стандарт</w:t>
            </w:r>
          </w:p>
        </w:tc>
        <w:tc>
          <w:tcPr>
            <w:tcW w:w="3757" w:type="dxa"/>
          </w:tcPr>
          <w:p w14:paraId="156F33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660C51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 СТУ</w:t>
            </w:r>
          </w:p>
        </w:tc>
      </w:tr>
      <w:tr w:rsidR="00F26F01" w:rsidRPr="00C33834" w14:paraId="1BE56B97" w14:textId="77777777">
        <w:tc>
          <w:tcPr>
            <w:tcW w:w="3757" w:type="dxa"/>
          </w:tcPr>
          <w:p w14:paraId="2C7159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Р-6 2М-17</w:t>
            </w:r>
          </w:p>
        </w:tc>
        <w:tc>
          <w:tcPr>
            <w:tcW w:w="3757" w:type="dxa"/>
          </w:tcPr>
          <w:p w14:paraId="1375837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1E4018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w:t>
            </w:r>
          </w:p>
        </w:tc>
      </w:tr>
      <w:tr w:rsidR="00F26F01" w:rsidRPr="00C33834" w14:paraId="5B11D649" w14:textId="77777777">
        <w:tc>
          <w:tcPr>
            <w:tcW w:w="3757" w:type="dxa"/>
          </w:tcPr>
          <w:p w14:paraId="4B5D48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w:t>
            </w:r>
          </w:p>
        </w:tc>
        <w:tc>
          <w:tcPr>
            <w:tcW w:w="3757" w:type="dxa"/>
          </w:tcPr>
          <w:p w14:paraId="54BEA0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30201D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1-е издание (3100)</w:t>
            </w:r>
          </w:p>
        </w:tc>
      </w:tr>
    </w:tbl>
    <w:p w14:paraId="5656A6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534EF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декабря 1933 состоялось совещание у А.Н.Т. об испытании М-34 для установки на ТБ-3 (АНТ-6) (1077,129).</w:t>
      </w:r>
    </w:p>
    <w:p w14:paraId="6AD4937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82AC64C"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C06521D"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988E9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декабря 1933 г. на НИАП с завода № 92 прибыла подрессоренная 76-мм система обр. 1930 г., разработанная на Мотовихихинском заводе под руководством Сидоренко (3861).</w:t>
      </w:r>
    </w:p>
    <w:p w14:paraId="547DE0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C1EFF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декабря 1933 г. на НИАП с завода № 92 прибыла подрессоренная система обр. 1930 г. модернизации 76-мм пушки обр. 1902/30 г. длиной в 40 калибров. Пушка имела подрессоривание в виде одной поперечной пластинчатой рессоры. Люлька укорочена, введен дульный тормоз. Вес системы в боевом положении немного увеличился - до 1306кг (5746, 44).</w:t>
      </w:r>
    </w:p>
    <w:p w14:paraId="4C3777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6E45591" w14:textId="77777777" w:rsidR="00206636" w:rsidRPr="00C33834" w:rsidRDefault="00206636" w:rsidP="00C33834">
      <w:pPr>
        <w:pStyle w:val="rtejustify"/>
        <w:spacing w:before="0" w:after="0"/>
        <w:rPr>
          <w:color w:val="000000" w:themeColor="text1"/>
          <w:sz w:val="16"/>
          <w:szCs w:val="16"/>
        </w:rPr>
      </w:pPr>
      <w:r w:rsidRPr="00C33834">
        <w:rPr>
          <w:rStyle w:val="af0"/>
          <w:bCs/>
          <w:i w:val="0"/>
          <w:color w:val="000000" w:themeColor="text1"/>
          <w:sz w:val="16"/>
          <w:szCs w:val="16"/>
        </w:rPr>
        <w:t>3 декабря</w:t>
      </w:r>
      <w:r w:rsidRPr="00C33834">
        <w:rPr>
          <w:color w:val="000000" w:themeColor="text1"/>
          <w:sz w:val="16"/>
          <w:szCs w:val="16"/>
        </w:rPr>
        <w:t xml:space="preserve"> 1933. Постановление СТО СССР № 123сс/о «Об обеспечении программы IV квартала 1933 г. по порохам и взрыввеществам». (ГА РФ. Ф. Р</w:t>
      </w:r>
      <w:r w:rsidRPr="00C33834">
        <w:rPr>
          <w:color w:val="000000" w:themeColor="text1"/>
          <w:sz w:val="16"/>
          <w:szCs w:val="16"/>
        </w:rPr>
        <w:noBreakHyphen/>
        <w:t>8418. Оп. 28. Д. 3. Л. 87) (15460).</w:t>
      </w:r>
    </w:p>
    <w:p w14:paraId="00B34916" w14:textId="77777777" w:rsidR="00206636" w:rsidRPr="00C33834" w:rsidRDefault="00206636" w:rsidP="00C33834">
      <w:pPr>
        <w:pStyle w:val="rtejustify"/>
        <w:spacing w:before="0" w:after="0"/>
        <w:rPr>
          <w:color w:val="000000" w:themeColor="text1"/>
          <w:sz w:val="16"/>
          <w:szCs w:val="16"/>
        </w:rPr>
      </w:pPr>
    </w:p>
    <w:p w14:paraId="79078750" w14:textId="77777777" w:rsidR="00206636" w:rsidRPr="00C33834" w:rsidRDefault="00206636" w:rsidP="00C33834">
      <w:pPr>
        <w:spacing w:after="0" w:line="240" w:lineRule="auto"/>
        <w:jc w:val="both"/>
        <w:rPr>
          <w:rFonts w:ascii="Times New Roman" w:hAnsi="Times New Roman"/>
          <w:color w:val="000000" w:themeColor="text1"/>
          <w:sz w:val="16"/>
          <w:szCs w:val="16"/>
        </w:rPr>
      </w:pPr>
      <w:r w:rsidRPr="00C33834">
        <w:rPr>
          <w:rStyle w:val="ucoz-forum-post"/>
          <w:rFonts w:ascii="Times New Roman" w:hAnsi="Times New Roman"/>
          <w:bCs/>
          <w:color w:val="000000" w:themeColor="text1"/>
          <w:sz w:val="16"/>
          <w:szCs w:val="16"/>
        </w:rPr>
        <w:t xml:space="preserve">3 декабря </w:t>
      </w:r>
      <w:r w:rsidRPr="00C33834">
        <w:rPr>
          <w:rFonts w:ascii="Times New Roman" w:hAnsi="Times New Roman"/>
          <w:color w:val="000000" w:themeColor="text1"/>
          <w:sz w:val="16"/>
          <w:szCs w:val="16"/>
        </w:rPr>
        <w:t>в 1933 году основано ФГУП "Чапаевский опытный завод измерительных приборов" ("ЧОЗИП") - оборонное предприятие по сборке и испытаниям артиллерийских боеприпасов (14849).</w:t>
      </w:r>
    </w:p>
    <w:p w14:paraId="30DEFC5B" w14:textId="77777777" w:rsidR="00206636" w:rsidRPr="00C33834" w:rsidRDefault="00206636" w:rsidP="00C33834">
      <w:pPr>
        <w:spacing w:after="0" w:line="240" w:lineRule="auto"/>
        <w:jc w:val="both"/>
        <w:rPr>
          <w:rFonts w:ascii="Times New Roman" w:hAnsi="Times New Roman"/>
          <w:color w:val="000000" w:themeColor="text1"/>
          <w:sz w:val="16"/>
          <w:szCs w:val="16"/>
        </w:rPr>
      </w:pPr>
    </w:p>
    <w:p w14:paraId="7583EA79"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60C725BB"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2FF67DA"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3 декабря 1933 русский пароход «Челюскин», скованный льдами начал дрейф (4962).</w:t>
      </w:r>
    </w:p>
    <w:p w14:paraId="2B3FE5C5"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5E8CA9"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F46FDEB"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18808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3-26 декабря 1933 года в Монтевидео, незадолго до седьмой Панамериканской конференции Аргентина выступила с предложением о подписании Южноамериканского военного договора. В случае возникновения регионального конфликта аргентинский проект предусматривал сотрудничество стран-участниц в интересах мира и предупреждения военной или дипломатической интервенции. К моменту открытия седьмой Панамериканской конференции (в Монтевидео, 1933 г.) договор был уже подписан Аргентиной, Бразилией, Чили, Мексикой, Парагваем и Уругваем. США также присоединились к договору. Однако этого могло оказаться недостаточно, поскольку США стремились удержать инициативу в своих руках. В дальнейшем этот договор постигла судьба многих латиноамериканских инициатив - он был забыт.</w:t>
      </w:r>
    </w:p>
    <w:p w14:paraId="7AA7A3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конференции в Монтевидео глава американской делегации К.Хэлл заявил об отказе США от одностороннего вмешательства в латиноамериканские дела, выдвинув взамен идею "коллективной охраны" порядка и безопасности.</w:t>
      </w:r>
    </w:p>
    <w:p w14:paraId="0C37FB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рамках "политики добрососедства" Вашингтон вывел свои войска из Никарагуа (1933) и Гаити (1934), отменил поправку Платта в отношении Кубы (1934). По новому договору с Панамой (1936) Соединенные Штаты отказались от "права на поддержание порядка" и передали право на сбор таможенных пошлин в зоне канала правительству Панамской республики, сохранив за собой общий контроль над каналом, каким он был с 1903 г (3871).</w:t>
      </w:r>
    </w:p>
    <w:p w14:paraId="5AAAF40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B60FA8C"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278C1AD"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CC215B8" w14:textId="77777777" w:rsidR="00201255" w:rsidRPr="00C33834" w:rsidRDefault="0020125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К 4 декабря 1933 из 271 запланированного на 1932 год самолета заводом № 21 У ВВС РККА было сдано всего 3. Удостоверения на них были выданы военпредами соответственно:</w:t>
      </w:r>
    </w:p>
    <w:p w14:paraId="7CC7FC25" w14:textId="77777777" w:rsidR="00201255" w:rsidRPr="00C33834" w:rsidRDefault="00201255" w:rsidP="00C33834">
      <w:pPr>
        <w:widowControl w:val="0"/>
        <w:tabs>
          <w:tab w:val="left" w:pos="1490"/>
        </w:tabs>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на самолет 2101</w:t>
      </w:r>
      <w:r w:rsidRPr="00C33834">
        <w:rPr>
          <w:rFonts w:ascii="Times New Roman" w:hAnsi="Times New Roman"/>
          <w:color w:val="0070C0"/>
          <w:sz w:val="16"/>
          <w:szCs w:val="16"/>
          <w:lang w:bidi="en-US"/>
        </w:rPr>
        <w:t xml:space="preserve"> </w:t>
      </w:r>
      <w:r w:rsidRPr="00C33834">
        <w:rPr>
          <w:rFonts w:ascii="Times New Roman" w:hAnsi="Times New Roman"/>
          <w:color w:val="0070C0"/>
          <w:sz w:val="16"/>
          <w:szCs w:val="16"/>
          <w:lang w:eastAsia="ru-RU" w:bidi="ru-RU"/>
        </w:rPr>
        <w:t xml:space="preserve">- </w:t>
      </w:r>
      <w:r w:rsidRPr="00C33834">
        <w:rPr>
          <w:rFonts w:ascii="Times New Roman" w:hAnsi="Times New Roman"/>
          <w:color w:val="0070C0"/>
          <w:sz w:val="16"/>
          <w:szCs w:val="16"/>
          <w:lang w:bidi="en-US"/>
        </w:rPr>
        <w:t xml:space="preserve">15.10.1932 </w:t>
      </w:r>
      <w:r w:rsidRPr="00C33834">
        <w:rPr>
          <w:rFonts w:ascii="Times New Roman" w:hAnsi="Times New Roman"/>
          <w:color w:val="0070C0"/>
          <w:sz w:val="16"/>
          <w:szCs w:val="16"/>
          <w:lang w:eastAsia="ru-RU" w:bidi="ru-RU"/>
        </w:rPr>
        <w:t>г.;</w:t>
      </w:r>
    </w:p>
    <w:p w14:paraId="1F212283" w14:textId="77777777" w:rsidR="00201255" w:rsidRPr="00C33834" w:rsidRDefault="00201255" w:rsidP="00C33834">
      <w:pPr>
        <w:spacing w:after="0" w:line="240" w:lineRule="auto"/>
        <w:jc w:val="both"/>
        <w:rPr>
          <w:rFonts w:ascii="Times New Roman" w:hAnsi="Times New Roman"/>
          <w:color w:val="0070C0"/>
          <w:sz w:val="16"/>
          <w:szCs w:val="16"/>
          <w:lang w:eastAsia="ru-RU" w:bidi="ru-RU"/>
        </w:rPr>
      </w:pPr>
      <w:r w:rsidRPr="00C33834">
        <w:rPr>
          <w:rFonts w:ascii="Times New Roman" w:hAnsi="Times New Roman"/>
          <w:noProof/>
          <w:color w:val="0070C0"/>
          <w:sz w:val="16"/>
          <w:szCs w:val="16"/>
        </w:rPr>
        <w:drawing>
          <wp:anchor distT="0" distB="965200" distL="1708150" distR="114300" simplePos="0" relativeHeight="251659264" behindDoc="0" locked="0" layoutInCell="1" allowOverlap="1" wp14:anchorId="6153FAF0" wp14:editId="6DCEC39E">
            <wp:simplePos x="0" y="0"/>
            <wp:positionH relativeFrom="page">
              <wp:posOffset>16313785</wp:posOffset>
            </wp:positionH>
            <wp:positionV relativeFrom="margin">
              <wp:posOffset>19259550</wp:posOffset>
            </wp:positionV>
            <wp:extent cx="6165850" cy="8350250"/>
            <wp:effectExtent l="0" t="0" r="0" b="0"/>
            <wp:wrapSquare wrapText="bothSides"/>
            <wp:docPr id="150" name="Shape 150"/>
            <wp:cNvGraphicFramePr/>
            <a:graphic xmlns:a="http://schemas.openxmlformats.org/drawingml/2006/main">
              <a:graphicData uri="http://schemas.openxmlformats.org/drawingml/2006/picture">
                <pic:pic xmlns:pic="http://schemas.openxmlformats.org/drawingml/2006/picture">
                  <pic:nvPicPr>
                    <pic:cNvPr id="151" name="Picture box 151"/>
                    <pic:cNvPicPr/>
                  </pic:nvPicPr>
                  <pic:blipFill>
                    <a:blip r:embed="rId389"/>
                    <a:stretch/>
                  </pic:blipFill>
                  <pic:spPr>
                    <a:xfrm>
                      <a:off x="0" y="0"/>
                      <a:ext cx="6165850" cy="8350250"/>
                    </a:xfrm>
                    <a:prstGeom prst="rect">
                      <a:avLst/>
                    </a:prstGeom>
                  </pic:spPr>
                </pic:pic>
              </a:graphicData>
            </a:graphic>
          </wp:anchor>
        </w:drawing>
      </w:r>
      <w:r w:rsidRPr="00C33834">
        <w:rPr>
          <w:rFonts w:ascii="Times New Roman" w:hAnsi="Times New Roman"/>
          <w:noProof/>
          <w:color w:val="0070C0"/>
          <w:sz w:val="16"/>
          <w:szCs w:val="16"/>
        </w:rPr>
        <mc:AlternateContent>
          <mc:Choice Requires="wps">
            <w:drawing>
              <wp:anchor distT="0" distB="0" distL="0" distR="0" simplePos="0" relativeHeight="251660288" behindDoc="0" locked="0" layoutInCell="1" allowOverlap="1" wp14:anchorId="30337CF6" wp14:editId="424DA6E2">
                <wp:simplePos x="0" y="0"/>
                <wp:positionH relativeFrom="page">
                  <wp:posOffset>14719935</wp:posOffset>
                </wp:positionH>
                <wp:positionV relativeFrom="margin">
                  <wp:posOffset>27622500</wp:posOffset>
                </wp:positionV>
                <wp:extent cx="7378700" cy="952500"/>
                <wp:effectExtent l="0" t="0" r="0" b="0"/>
                <wp:wrapNone/>
                <wp:docPr id="152" name="Shape 152"/>
                <wp:cNvGraphicFramePr/>
                <a:graphic xmlns:a="http://schemas.openxmlformats.org/drawingml/2006/main">
                  <a:graphicData uri="http://schemas.microsoft.com/office/word/2010/wordprocessingShape">
                    <wps:wsp>
                      <wps:cNvSpPr txBox="1"/>
                      <wps:spPr>
                        <a:xfrm>
                          <a:off x="0" y="0"/>
                          <a:ext cx="7378700" cy="952500"/>
                        </a:xfrm>
                        <a:prstGeom prst="rect">
                          <a:avLst/>
                        </a:prstGeom>
                        <a:noFill/>
                      </wps:spPr>
                      <wps:txbx>
                        <w:txbxContent>
                          <w:p w14:paraId="67A4269B" w14:textId="77777777" w:rsidR="00201255" w:rsidRDefault="00201255" w:rsidP="00201255">
                            <w:pPr>
                              <w:pStyle w:val="aff9"/>
                              <w:spacing w:line="259" w:lineRule="auto"/>
                              <w:jc w:val="center"/>
                            </w:pPr>
                            <w:r>
                              <w:rPr>
                                <w:color w:val="000000"/>
                                <w:lang w:eastAsia="ru-RU" w:bidi="ru-RU"/>
                              </w:rPr>
                              <w:t>Старший военпред Гэвриил Васильевич! Жуков</w:t>
                            </w:r>
                          </w:p>
                        </w:txbxContent>
                      </wps:txbx>
                      <wps:bodyPr lIns="0" tIns="0" rIns="0" bIns="0"/>
                    </wps:wsp>
                  </a:graphicData>
                </a:graphic>
              </wp:anchor>
            </w:drawing>
          </mc:Choice>
          <mc:Fallback>
            <w:pict>
              <v:shapetype w14:anchorId="30337CF6" id="_x0000_t202" coordsize="21600,21600" o:spt="202" path="m,l,21600r21600,l21600,xe">
                <v:stroke joinstyle="miter"/>
                <v:path gradientshapeok="t" o:connecttype="rect"/>
              </v:shapetype>
              <v:shape id="Shape 152" o:spid="_x0000_s1026" type="#_x0000_t202" style="position:absolute;left:0;text-align:left;margin-left:1159.05pt;margin-top:2175pt;width:581pt;height:75pt;z-index:251660288;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3I8bQEAANoCAAAOAAAAZHJzL2Uyb0RvYy54bWysUlFLwzAQfhf8DyHvrt1kbpa1AxkTQVSY&#10;/oA0TdZCkgtJXLt/76VrN9E38eX65S757rvvulp3WpGDcL4Bk9PpJKVEGA5VY/Y5/Xjf3iwp8YGZ&#10;iikwIqdH4em6uL5atTYTM6hBVcIRJDE+a21O6xBsliSe10IzPwErDBYlOM0CHt0+qRxrkV2rZJam&#10;d0kLrrIOuPAes5tTkRY9v5SCh1cpvQhE5RS1hT66PpYxJsWKZXvHbN3wQQb7gwrNGoNNz1QbFhj5&#10;dM0vKt1wBx5kmHDQCUjZcNHPgNNM0x/T7GpmRT8LmuPt2Sb/f7T85bCzb46E7gE6XGA0pLU+85iM&#10;83TS6fhFpQTraOHxbJvoAuGYXNwulosUSxxr9/PZHDHSJJfX1vnwKECTCHLqcC29W+zw7MPp6ngl&#10;NjOwbZSK+YuUiEJXdoO+EqojylZPBs2Iix2BG0E5gJEGDew1DcuOG/p+7ptdfsniCwAA//8DAFBL&#10;AwQUAAYACAAAACEAZ1fRkeIAAAAPAQAADwAAAGRycy9kb3ducmV2LnhtbEyPwU7DMBBE70j8g7VI&#10;3KidplQhxKkqBCekijQcODqxm1iN1yF22/D3bE9w3NnRzJtiM7uBnc0UrEcJyUIAM9h6bbGT8Fm/&#10;PWTAQlSo1eDRSPgxATbl7U2hcu0vWJnzPnaMQjDkSkIf45hzHtreOBUWfjRIv4OfnIp0Th3Xk7pQ&#10;uBv4Uog1d8oiNfRqNC+9aY/7k5Ow/cLq1X7vmo/qUNm6fhL4vj5KeX83b5+BRTPHPzNc8QkdSmJq&#10;/Al1YIOEZZpkCXklrNJHQbPIk64yQVpDGkkCeFnw/zvKXwAAAP//AwBQSwECLQAUAAYACAAAACEA&#10;toM4kv4AAADhAQAAEwAAAAAAAAAAAAAAAAAAAAAAW0NvbnRlbnRfVHlwZXNdLnhtbFBLAQItABQA&#10;BgAIAAAAIQA4/SH/1gAAAJQBAAALAAAAAAAAAAAAAAAAAC8BAABfcmVscy8ucmVsc1BLAQItABQA&#10;BgAIAAAAIQDHU3I8bQEAANoCAAAOAAAAAAAAAAAAAAAAAC4CAABkcnMvZTJvRG9jLnhtbFBLAQIt&#10;ABQABgAIAAAAIQBnV9GR4gAAAA8BAAAPAAAAAAAAAAAAAAAAAMcDAABkcnMvZG93bnJldi54bWxQ&#10;SwUGAAAAAAQABADzAAAA1gQAAAAA&#10;" filled="f" stroked="f">
                <v:textbox inset="0,0,0,0">
                  <w:txbxContent>
                    <w:p w14:paraId="67A4269B" w14:textId="77777777" w:rsidR="00201255" w:rsidRDefault="00201255" w:rsidP="00201255">
                      <w:pPr>
                        <w:pStyle w:val="aff9"/>
                        <w:spacing w:line="259" w:lineRule="auto"/>
                        <w:jc w:val="center"/>
                      </w:pPr>
                      <w:r>
                        <w:rPr>
                          <w:color w:val="000000"/>
                          <w:lang w:eastAsia="ru-RU" w:bidi="ru-RU"/>
                        </w:rPr>
                        <w:t xml:space="preserve">Старший военпред </w:t>
                      </w:r>
                      <w:proofErr w:type="spellStart"/>
                      <w:r>
                        <w:rPr>
                          <w:color w:val="000000"/>
                          <w:lang w:eastAsia="ru-RU" w:bidi="ru-RU"/>
                        </w:rPr>
                        <w:t>Гэвриил</w:t>
                      </w:r>
                      <w:proofErr w:type="spellEnd"/>
                      <w:r>
                        <w:rPr>
                          <w:color w:val="000000"/>
                          <w:lang w:eastAsia="ru-RU" w:bidi="ru-RU"/>
                        </w:rPr>
                        <w:t xml:space="preserve"> Васильевич! Жуков</w:t>
                      </w:r>
                    </w:p>
                  </w:txbxContent>
                </v:textbox>
                <w10:wrap anchorx="page" anchory="margin"/>
              </v:shape>
            </w:pict>
          </mc:Fallback>
        </mc:AlternateContent>
      </w:r>
      <w:r w:rsidRPr="00C33834">
        <w:rPr>
          <w:rFonts w:ascii="Times New Roman" w:hAnsi="Times New Roman"/>
          <w:color w:val="0070C0"/>
          <w:sz w:val="16"/>
          <w:szCs w:val="16"/>
          <w:lang w:eastAsia="ru-RU" w:bidi="ru-RU"/>
        </w:rPr>
        <w:t>на самолет 2102 - 5.</w:t>
      </w:r>
      <w:r w:rsidRPr="00C33834">
        <w:rPr>
          <w:rFonts w:ascii="Times New Roman" w:hAnsi="Times New Roman"/>
          <w:color w:val="0070C0"/>
          <w:sz w:val="16"/>
          <w:szCs w:val="16"/>
          <w:lang w:bidi="en-US"/>
        </w:rPr>
        <w:t>11.1</w:t>
      </w:r>
      <w:r w:rsidRPr="00C33834">
        <w:rPr>
          <w:rFonts w:ascii="Times New Roman" w:hAnsi="Times New Roman"/>
          <w:color w:val="0070C0"/>
          <w:sz w:val="16"/>
          <w:szCs w:val="16"/>
          <w:lang w:eastAsia="ru-RU" w:bidi="ru-RU"/>
        </w:rPr>
        <w:t>932 г.;</w:t>
      </w:r>
    </w:p>
    <w:p w14:paraId="5535B3DC" w14:textId="77777777" w:rsidR="00201255" w:rsidRPr="00C33834" w:rsidRDefault="00201255" w:rsidP="00C33834">
      <w:pPr>
        <w:spacing w:after="0" w:line="240" w:lineRule="auto"/>
        <w:jc w:val="both"/>
        <w:rPr>
          <w:rFonts w:ascii="Times New Roman" w:hAnsi="Times New Roman"/>
          <w:color w:val="0070C0"/>
          <w:sz w:val="16"/>
          <w:szCs w:val="16"/>
          <w:lang w:eastAsia="ru-RU" w:bidi="ru-RU"/>
        </w:rPr>
      </w:pPr>
      <w:r w:rsidRPr="00C33834">
        <w:rPr>
          <w:rFonts w:ascii="Times New Roman" w:hAnsi="Times New Roman"/>
          <w:color w:val="0070C0"/>
          <w:sz w:val="16"/>
          <w:szCs w:val="16"/>
          <w:lang w:eastAsia="ru-RU" w:bidi="ru-RU"/>
        </w:rPr>
        <w:t>на самолет 2103 - 4.1.1933</w:t>
      </w:r>
    </w:p>
    <w:p w14:paraId="0841E893" w14:textId="77777777" w:rsidR="00201255" w:rsidRPr="00C33834" w:rsidRDefault="0020125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Ряд источников говорит о 10 самолетах И-5, выпущенных заводом №21 в 1932 году. Но скорее всего это количество самолетов, выведенных из сборки на аэродром. А военпредами было принято и У ВВС оплачено всего три самолета, что подтверждается архивными документами</w:t>
      </w:r>
    </w:p>
    <w:p w14:paraId="63840739" w14:textId="77777777" w:rsidR="00201255" w:rsidRPr="00C33834" w:rsidRDefault="0020125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Военное представительство на заводе почти весь 1932 год существовало только в одном лице - старшем военпреде Гаврииле Васильевиче Жукове.</w:t>
      </w:r>
    </w:p>
    <w:p w14:paraId="5B15FBE8" w14:textId="77777777" w:rsidR="00201255" w:rsidRPr="00C33834" w:rsidRDefault="00201255" w:rsidP="00C33834">
      <w:pPr>
        <w:spacing w:after="0" w:line="240" w:lineRule="auto"/>
        <w:jc w:val="both"/>
        <w:rPr>
          <w:rFonts w:ascii="Times New Roman" w:hAnsi="Times New Roman"/>
          <w:color w:val="0070C0"/>
          <w:sz w:val="16"/>
          <w:szCs w:val="16"/>
          <w:lang w:eastAsia="ru-RU" w:bidi="ru-RU"/>
        </w:rPr>
      </w:pPr>
      <w:r w:rsidRPr="00C33834">
        <w:rPr>
          <w:rFonts w:ascii="Times New Roman" w:hAnsi="Times New Roman"/>
          <w:color w:val="0070C0"/>
          <w:sz w:val="16"/>
          <w:szCs w:val="16"/>
          <w:lang w:eastAsia="ru-RU" w:bidi="ru-RU"/>
        </w:rPr>
        <w:t xml:space="preserve">В конце </w:t>
      </w:r>
      <w:r w:rsidRPr="00C33834">
        <w:rPr>
          <w:rFonts w:ascii="Times New Roman" w:hAnsi="Times New Roman"/>
          <w:color w:val="0070C0"/>
          <w:sz w:val="16"/>
          <w:szCs w:val="16"/>
          <w:lang w:val="en-US" w:bidi="en-US"/>
        </w:rPr>
        <w:t>I</w:t>
      </w:r>
      <w:r w:rsidRPr="00C33834">
        <w:rPr>
          <w:rFonts w:ascii="Times New Roman" w:hAnsi="Times New Roman"/>
          <w:color w:val="0070C0"/>
          <w:sz w:val="16"/>
          <w:szCs w:val="16"/>
          <w:lang w:bidi="en-US"/>
        </w:rPr>
        <w:t xml:space="preserve">932 </w:t>
      </w:r>
      <w:r w:rsidRPr="00C33834">
        <w:rPr>
          <w:rFonts w:ascii="Times New Roman" w:hAnsi="Times New Roman"/>
          <w:color w:val="0070C0"/>
          <w:sz w:val="16"/>
          <w:szCs w:val="16"/>
          <w:lang w:eastAsia="ru-RU" w:bidi="ru-RU"/>
        </w:rPr>
        <w:t xml:space="preserve">года штаты военной приемки были увеличены и военпреды стали контролировать все цеха, в том числе и сборочный вместе с аэродромом. Старшим группы военпредов в сборке был назначен Иван Адамович Кабане. </w:t>
      </w:r>
    </w:p>
    <w:p w14:paraId="756DEA31" w14:textId="77777777" w:rsidR="00201255" w:rsidRPr="00C33834" w:rsidRDefault="0020125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 xml:space="preserve">В конце </w:t>
      </w:r>
      <w:r w:rsidRPr="00C33834">
        <w:rPr>
          <w:rFonts w:ascii="Times New Roman" w:hAnsi="Times New Roman"/>
          <w:color w:val="0070C0"/>
          <w:sz w:val="16"/>
          <w:szCs w:val="16"/>
          <w:lang w:val="en-US" w:bidi="en-US"/>
        </w:rPr>
        <w:t>I</w:t>
      </w:r>
      <w:r w:rsidRPr="00C33834">
        <w:rPr>
          <w:rFonts w:ascii="Times New Roman" w:hAnsi="Times New Roman"/>
          <w:color w:val="0070C0"/>
          <w:sz w:val="16"/>
          <w:szCs w:val="16"/>
          <w:lang w:bidi="en-US"/>
        </w:rPr>
        <w:t xml:space="preserve">932 </w:t>
      </w:r>
      <w:r w:rsidRPr="00C33834">
        <w:rPr>
          <w:rFonts w:ascii="Times New Roman" w:hAnsi="Times New Roman"/>
          <w:color w:val="0070C0"/>
          <w:sz w:val="16"/>
          <w:szCs w:val="16"/>
          <w:lang w:eastAsia="ru-RU" w:bidi="ru-RU"/>
        </w:rPr>
        <w:t>года после провала заводом годового плана по выпуску самолетов начальник сборочного цеха Н.В. Красненьков как не справившийся со своей работой был снят с должности, и цех возглавил начальник аэродромной мастерской А.П. Ефремов (21100).</w:t>
      </w:r>
    </w:p>
    <w:p w14:paraId="14BE3DC2" w14:textId="77777777" w:rsidR="00201255" w:rsidRPr="00C33834" w:rsidRDefault="00201255" w:rsidP="00C33834">
      <w:pPr>
        <w:spacing w:after="0" w:line="240" w:lineRule="auto"/>
        <w:jc w:val="both"/>
        <w:rPr>
          <w:rFonts w:ascii="Times New Roman" w:hAnsi="Times New Roman"/>
          <w:color w:val="0070C0"/>
          <w:sz w:val="16"/>
          <w:szCs w:val="16"/>
        </w:rPr>
      </w:pPr>
    </w:p>
    <w:p w14:paraId="6DAAC43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декабря 1933 года начальник и военком НИИ ВВС Зильберт писал письмо N 001493 начальнику ВВС Алкснис.</w:t>
      </w:r>
    </w:p>
    <w:p w14:paraId="4B365EE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Возложенное на НИИ Вашим приказанием от 27.11.с.г. за N 41/00123 окончание испытаний РРАБ"ов к 5.12.33 г. к установленному сроку выполнено не будет, т.к. неблагоприятные метеорологические условия в ноябре не позволили форсировать испытания.</w:t>
      </w:r>
    </w:p>
    <w:p w14:paraId="7FE49F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будет закончена 13.12.с.г. (3048,23).</w:t>
      </w:r>
    </w:p>
    <w:p w14:paraId="00B6F10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54A10BC"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0570B8B2"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06A2CB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декабря 1933 появился приказ ОГПУ № 00381 «О расформировании Соловецких исправительно-трудовых лагерей ОГПУ», предписавший:</w:t>
      </w:r>
    </w:p>
    <w:p w14:paraId="144204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 Соловецкие исправительно-трудовые лагеря с 01.11.33 считать расформированными с передачей всего личного состава заключенных, аппарата и имущества этих лагерей Белбалткомбинату ОГПУ.</w:t>
      </w:r>
    </w:p>
    <w:p w14:paraId="43B2BA3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2. Начальнику Белбалтлага организовать на островах «Соловки» специальное отделение (лагерь) с содержанием в последнем контингентов по особой инструкции» (спустя три года это специальное отделение будет преобразовано в Соловецкую тюрьму особого назначения ГУГБ НКВД СССР, начальником которой будет назначен старший майор госбезопасности И. А. Апетер) (7560).</w:t>
      </w:r>
    </w:p>
    <w:p w14:paraId="3A9E16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DCCAD79" w14:textId="77777777" w:rsidR="0020663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1027E3EF" w14:textId="77777777" w:rsidR="00206636" w:rsidRPr="00C33834" w:rsidRDefault="0020663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E14A791" w14:textId="77777777" w:rsidR="00201255" w:rsidRPr="00C33834" w:rsidRDefault="0020125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декабря 1933 года — первый полёт лёгкого многоцелевого самолёта RWD-9. /Польша/</w:t>
      </w:r>
    </w:p>
    <w:p w14:paraId="496D23DE" w14:textId="77777777" w:rsidR="00201255" w:rsidRPr="00C33834" w:rsidRDefault="0020125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1932 году авиационные соревнования Challenge International de Tourisme выиграл польский самолёт RWD-6. Желая развить успех, команда RWD приступила к новому проекту. Для Challenge International de Tourisme 1934 года конструкторы Станислав Рогальский (Stanislaw Rogalski), Станислав Вигура (Stanislaw Wigura) и Ежи Джевецкий (Jerzy Drzewiecki) разработали самолёт RWD-9.</w:t>
      </w:r>
    </w:p>
    <w:p w14:paraId="7B05CC58" w14:textId="77777777" w:rsidR="00201255" w:rsidRPr="00C33834" w:rsidRDefault="0020125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RWD-9 представлял собой высокоплан с возможностью короткого взлёта и посадки. В отличие от RWD-6, был четырёхместным, а не двухместным. Оснащался двигателями Polish-Skoda Works GR.760 или Walter Bora. Максимальная скорость — до 281 км/ч, дальность полёта — 800 км.</w:t>
      </w:r>
    </w:p>
    <w:p w14:paraId="287D3DDD" w14:textId="77777777" w:rsidR="00201255" w:rsidRPr="00C33834" w:rsidRDefault="0020125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Всего построили 9 самолётов RWD-9. 6 из них использовались польской командой во время Challenge International de Tourisme 1934. В итоге, именно RWD-9 заняли первые 2 места, обогнав немецкие Messerschmitt Bf 108 и Fieseler Fi 97 (22300).</w:t>
      </w:r>
    </w:p>
    <w:p w14:paraId="67BAFE5B" w14:textId="77777777" w:rsidR="00201255" w:rsidRPr="00C33834" w:rsidRDefault="00201255" w:rsidP="00C33834">
      <w:pPr>
        <w:spacing w:after="0" w:line="240" w:lineRule="auto"/>
        <w:jc w:val="both"/>
        <w:rPr>
          <w:rFonts w:ascii="Times New Roman" w:hAnsi="Times New Roman"/>
          <w:color w:val="0070C0"/>
          <w:sz w:val="16"/>
          <w:szCs w:val="16"/>
        </w:rPr>
      </w:pPr>
    </w:p>
    <w:p w14:paraId="65600DA8" w14:textId="77777777" w:rsidR="00206636" w:rsidRPr="00C33834" w:rsidRDefault="00206636" w:rsidP="00C33834">
      <w:pPr>
        <w:spacing w:after="0" w:line="240" w:lineRule="auto"/>
        <w:jc w:val="both"/>
        <w:rPr>
          <w:rFonts w:ascii="Times New Roman" w:hAnsi="Times New Roman"/>
          <w:color w:val="000000" w:themeColor="text1"/>
          <w:sz w:val="16"/>
          <w:szCs w:val="16"/>
        </w:rPr>
      </w:pPr>
      <w:r w:rsidRPr="00C33834">
        <w:rPr>
          <w:rStyle w:val="ucoz-forum-post"/>
          <w:rFonts w:ascii="Times New Roman" w:hAnsi="Times New Roman"/>
          <w:bCs/>
          <w:color w:val="000000" w:themeColor="text1"/>
          <w:sz w:val="16"/>
          <w:szCs w:val="16"/>
        </w:rPr>
        <w:t xml:space="preserve">4 декабря </w:t>
      </w:r>
      <w:r w:rsidRPr="00C33834">
        <w:rPr>
          <w:rFonts w:ascii="Times New Roman" w:hAnsi="Times New Roman"/>
          <w:color w:val="000000" w:themeColor="text1"/>
          <w:sz w:val="16"/>
          <w:szCs w:val="16"/>
        </w:rPr>
        <w:t>в 1933 году упал в воду и разрушился американский дирижабль "Акрон" (самая страшная катастрофа дирижабля, 73 человека погибли) (14850).</w:t>
      </w:r>
    </w:p>
    <w:p w14:paraId="30F8CAF6" w14:textId="77777777" w:rsidR="00206636" w:rsidRPr="00C33834" w:rsidRDefault="00206636" w:rsidP="00C33834">
      <w:pPr>
        <w:spacing w:after="0" w:line="240" w:lineRule="auto"/>
        <w:jc w:val="both"/>
        <w:rPr>
          <w:rFonts w:ascii="Times New Roman" w:hAnsi="Times New Roman"/>
          <w:color w:val="000000" w:themeColor="text1"/>
          <w:sz w:val="16"/>
          <w:szCs w:val="16"/>
        </w:rPr>
      </w:pPr>
    </w:p>
    <w:p w14:paraId="538F0C8B"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1E10DC8"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1DA90F8"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декабря 1933 года закончились гос. испытания эталона самолета ТБ3-4М34Р (редукторного), которые проходили с 22 октября 1933 (6663).</w:t>
      </w:r>
    </w:p>
    <w:p w14:paraId="58F82F5E"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443E089B"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инженеры Лосюков, Кудрявцев</w:t>
      </w:r>
    </w:p>
    <w:p w14:paraId="1ADD0BE3"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летчик Байдуков</w:t>
      </w:r>
    </w:p>
    <w:p w14:paraId="2D1DB452"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679B71B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 самолета с целью выявления преимуществ, которые дает установка на самолете моторов М34Р (редукторных).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354"/>
        <w:gridCol w:w="1626"/>
        <w:gridCol w:w="1567"/>
        <w:gridCol w:w="1547"/>
      </w:tblGrid>
      <w:tr w:rsidR="00F26F01" w:rsidRPr="00C33834" w14:paraId="0732C9BE" w14:textId="77777777">
        <w:tc>
          <w:tcPr>
            <w:tcW w:w="3652" w:type="dxa"/>
          </w:tcPr>
          <w:p w14:paraId="5167A2EC"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Pr>
          <w:p w14:paraId="0FE21F37"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ТБ3-4М34Р</w:t>
            </w:r>
          </w:p>
        </w:tc>
        <w:tc>
          <w:tcPr>
            <w:tcW w:w="1626" w:type="dxa"/>
          </w:tcPr>
          <w:p w14:paraId="70D42E89"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w:t>
            </w:r>
          </w:p>
        </w:tc>
        <w:tc>
          <w:tcPr>
            <w:tcW w:w="1567" w:type="dxa"/>
          </w:tcPr>
          <w:p w14:paraId="170A2865"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w:t>
            </w:r>
          </w:p>
        </w:tc>
        <w:tc>
          <w:tcPr>
            <w:tcW w:w="1547" w:type="dxa"/>
          </w:tcPr>
          <w:p w14:paraId="7BBC7072"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w:t>
            </w:r>
          </w:p>
        </w:tc>
      </w:tr>
      <w:tr w:rsidR="00F26F01" w:rsidRPr="00C33834" w14:paraId="35B082FC" w14:textId="77777777">
        <w:tc>
          <w:tcPr>
            <w:tcW w:w="3652" w:type="dxa"/>
          </w:tcPr>
          <w:p w14:paraId="4272291B"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Pr>
          <w:p w14:paraId="309FDBA8"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26" w:type="dxa"/>
          </w:tcPr>
          <w:p w14:paraId="7FBA969E"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567" w:type="dxa"/>
          </w:tcPr>
          <w:p w14:paraId="34311C64"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модифицир.</w:t>
            </w:r>
          </w:p>
        </w:tc>
        <w:tc>
          <w:tcPr>
            <w:tcW w:w="1547" w:type="dxa"/>
          </w:tcPr>
          <w:p w14:paraId="5B1AFEDE"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8E7515C" w14:textId="77777777">
        <w:tc>
          <w:tcPr>
            <w:tcW w:w="3652" w:type="dxa"/>
          </w:tcPr>
          <w:p w14:paraId="4F9DCC72"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Полетный вес самолета</w:t>
            </w:r>
          </w:p>
        </w:tc>
        <w:tc>
          <w:tcPr>
            <w:tcW w:w="1354" w:type="dxa"/>
          </w:tcPr>
          <w:p w14:paraId="73B91584"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18600</w:t>
            </w:r>
          </w:p>
        </w:tc>
        <w:tc>
          <w:tcPr>
            <w:tcW w:w="1626" w:type="dxa"/>
          </w:tcPr>
          <w:p w14:paraId="1E7B5C92"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18100</w:t>
            </w:r>
          </w:p>
        </w:tc>
        <w:tc>
          <w:tcPr>
            <w:tcW w:w="1567" w:type="dxa"/>
          </w:tcPr>
          <w:p w14:paraId="7D9B0B00"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17200</w:t>
            </w:r>
          </w:p>
        </w:tc>
        <w:tc>
          <w:tcPr>
            <w:tcW w:w="1547" w:type="dxa"/>
          </w:tcPr>
          <w:p w14:paraId="40020785"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17200</w:t>
            </w:r>
          </w:p>
        </w:tc>
      </w:tr>
      <w:tr w:rsidR="00F26F01" w:rsidRPr="00C33834" w14:paraId="27D38351" w14:textId="77777777">
        <w:tc>
          <w:tcPr>
            <w:tcW w:w="3652" w:type="dxa"/>
          </w:tcPr>
          <w:p w14:paraId="4D28FA4E"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 скорость у земли</w:t>
            </w:r>
          </w:p>
        </w:tc>
        <w:tc>
          <w:tcPr>
            <w:tcW w:w="1354" w:type="dxa"/>
          </w:tcPr>
          <w:p w14:paraId="381771E8"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229,0</w:t>
            </w:r>
          </w:p>
        </w:tc>
        <w:tc>
          <w:tcPr>
            <w:tcW w:w="1626" w:type="dxa"/>
          </w:tcPr>
          <w:p w14:paraId="76799683"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207,5</w:t>
            </w:r>
          </w:p>
        </w:tc>
        <w:tc>
          <w:tcPr>
            <w:tcW w:w="1567" w:type="dxa"/>
          </w:tcPr>
          <w:p w14:paraId="31901980"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215(4)/</w:t>
            </w:r>
          </w:p>
        </w:tc>
        <w:tc>
          <w:tcPr>
            <w:tcW w:w="1547" w:type="dxa"/>
          </w:tcPr>
          <w:p w14:paraId="002F0B5C"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184(1)</w:t>
            </w:r>
          </w:p>
        </w:tc>
      </w:tr>
      <w:tr w:rsidR="00F26F01" w:rsidRPr="00C33834" w14:paraId="1C4AD7EC" w14:textId="77777777">
        <w:tc>
          <w:tcPr>
            <w:tcW w:w="3652" w:type="dxa"/>
          </w:tcPr>
          <w:p w14:paraId="78618B6C"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Pr>
          <w:p w14:paraId="512EA405"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26" w:type="dxa"/>
          </w:tcPr>
          <w:p w14:paraId="05574257"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567" w:type="dxa"/>
          </w:tcPr>
          <w:p w14:paraId="7F98B401"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187(1)</w:t>
            </w:r>
          </w:p>
        </w:tc>
        <w:tc>
          <w:tcPr>
            <w:tcW w:w="1547" w:type="dxa"/>
          </w:tcPr>
          <w:p w14:paraId="203E979B"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214AF7D" w14:textId="77777777">
        <w:tc>
          <w:tcPr>
            <w:tcW w:w="3652" w:type="dxa"/>
          </w:tcPr>
          <w:p w14:paraId="7E4A3E90"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 скорость на 3000 м</w:t>
            </w:r>
          </w:p>
        </w:tc>
        <w:tc>
          <w:tcPr>
            <w:tcW w:w="1354" w:type="dxa"/>
          </w:tcPr>
          <w:p w14:paraId="014F259C"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211,0</w:t>
            </w:r>
          </w:p>
        </w:tc>
        <w:tc>
          <w:tcPr>
            <w:tcW w:w="1626" w:type="dxa"/>
          </w:tcPr>
          <w:p w14:paraId="5462788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185</w:t>
            </w:r>
          </w:p>
        </w:tc>
        <w:tc>
          <w:tcPr>
            <w:tcW w:w="1567" w:type="dxa"/>
          </w:tcPr>
          <w:p w14:paraId="60B7EA34"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196</w:t>
            </w:r>
          </w:p>
        </w:tc>
        <w:tc>
          <w:tcPr>
            <w:tcW w:w="1547" w:type="dxa"/>
          </w:tcPr>
          <w:p w14:paraId="0AA0B38C"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177</w:t>
            </w:r>
          </w:p>
        </w:tc>
      </w:tr>
      <w:tr w:rsidR="00F26F01" w:rsidRPr="00C33834" w14:paraId="321CCBB1" w14:textId="77777777">
        <w:tc>
          <w:tcPr>
            <w:tcW w:w="3652" w:type="dxa"/>
          </w:tcPr>
          <w:p w14:paraId="7E9D3FF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на 1000 м</w:t>
            </w:r>
          </w:p>
        </w:tc>
        <w:tc>
          <w:tcPr>
            <w:tcW w:w="1354" w:type="dxa"/>
          </w:tcPr>
          <w:p w14:paraId="71AD27EC"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4,1 </w:t>
            </w:r>
          </w:p>
        </w:tc>
        <w:tc>
          <w:tcPr>
            <w:tcW w:w="1626" w:type="dxa"/>
          </w:tcPr>
          <w:p w14:paraId="1AE1868B"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tc>
        <w:tc>
          <w:tcPr>
            <w:tcW w:w="1567" w:type="dxa"/>
          </w:tcPr>
          <w:p w14:paraId="58F33512"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547" w:type="dxa"/>
          </w:tcPr>
          <w:p w14:paraId="0547E4A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w:t>
            </w:r>
          </w:p>
        </w:tc>
      </w:tr>
      <w:tr w:rsidR="00F26F01" w:rsidRPr="00C33834" w14:paraId="5AC00872" w14:textId="77777777">
        <w:tc>
          <w:tcPr>
            <w:tcW w:w="3652" w:type="dxa"/>
          </w:tcPr>
          <w:p w14:paraId="15BF0F08"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на 3000 м</w:t>
            </w:r>
          </w:p>
        </w:tc>
        <w:tc>
          <w:tcPr>
            <w:tcW w:w="1354" w:type="dxa"/>
          </w:tcPr>
          <w:p w14:paraId="5DB0758E"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17,6</w:t>
            </w:r>
          </w:p>
        </w:tc>
        <w:tc>
          <w:tcPr>
            <w:tcW w:w="1626" w:type="dxa"/>
          </w:tcPr>
          <w:p w14:paraId="559AA5A5"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32,8</w:t>
            </w:r>
          </w:p>
        </w:tc>
        <w:tc>
          <w:tcPr>
            <w:tcW w:w="1567" w:type="dxa"/>
          </w:tcPr>
          <w:p w14:paraId="28D19BB6"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29,5</w:t>
            </w:r>
          </w:p>
        </w:tc>
        <w:tc>
          <w:tcPr>
            <w:tcW w:w="1547" w:type="dxa"/>
          </w:tcPr>
          <w:p w14:paraId="0C4F56C2"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42,5</w:t>
            </w:r>
          </w:p>
        </w:tc>
      </w:tr>
      <w:tr w:rsidR="00F26F01" w:rsidRPr="00C33834" w14:paraId="626AB457" w14:textId="77777777">
        <w:tc>
          <w:tcPr>
            <w:tcW w:w="3652" w:type="dxa"/>
          </w:tcPr>
          <w:p w14:paraId="1410F18E"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Практический потолок</w:t>
            </w:r>
          </w:p>
        </w:tc>
        <w:tc>
          <w:tcPr>
            <w:tcW w:w="1354" w:type="dxa"/>
          </w:tcPr>
          <w:p w14:paraId="690F9CE4"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4500</w:t>
            </w:r>
          </w:p>
        </w:tc>
        <w:tc>
          <w:tcPr>
            <w:tcW w:w="1626" w:type="dxa"/>
          </w:tcPr>
          <w:p w14:paraId="1702BB89"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3900</w:t>
            </w:r>
          </w:p>
        </w:tc>
        <w:tc>
          <w:tcPr>
            <w:tcW w:w="1567" w:type="dxa"/>
          </w:tcPr>
          <w:p w14:paraId="5EE12F0A"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4800</w:t>
            </w:r>
          </w:p>
        </w:tc>
        <w:tc>
          <w:tcPr>
            <w:tcW w:w="1547" w:type="dxa"/>
          </w:tcPr>
          <w:p w14:paraId="7FD67C47"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3800</w:t>
            </w:r>
          </w:p>
        </w:tc>
      </w:tr>
      <w:tr w:rsidR="00F26F01" w:rsidRPr="00C33834" w14:paraId="45D23403" w14:textId="77777777">
        <w:tc>
          <w:tcPr>
            <w:tcW w:w="3652" w:type="dxa"/>
          </w:tcPr>
          <w:p w14:paraId="329553E2"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на практический потолок</w:t>
            </w:r>
          </w:p>
        </w:tc>
        <w:tc>
          <w:tcPr>
            <w:tcW w:w="1354" w:type="dxa"/>
          </w:tcPr>
          <w:p w14:paraId="25BFDC9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50,6</w:t>
            </w:r>
          </w:p>
        </w:tc>
        <w:tc>
          <w:tcPr>
            <w:tcW w:w="1626" w:type="dxa"/>
          </w:tcPr>
          <w:p w14:paraId="4C7F793B"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73,4</w:t>
            </w:r>
          </w:p>
        </w:tc>
        <w:tc>
          <w:tcPr>
            <w:tcW w:w="1567" w:type="dxa"/>
          </w:tcPr>
          <w:p w14:paraId="515AB27C"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82,1</w:t>
            </w:r>
          </w:p>
        </w:tc>
        <w:tc>
          <w:tcPr>
            <w:tcW w:w="1547" w:type="dxa"/>
          </w:tcPr>
          <w:p w14:paraId="1F7E2806"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85,5</w:t>
            </w:r>
          </w:p>
        </w:tc>
      </w:tr>
      <w:tr w:rsidR="00F26F01" w:rsidRPr="00C33834" w14:paraId="5FD4B77E" w14:textId="77777777">
        <w:tc>
          <w:tcPr>
            <w:tcW w:w="3652" w:type="dxa"/>
          </w:tcPr>
          <w:p w14:paraId="2C223C05"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Разбег</w:t>
            </w:r>
          </w:p>
        </w:tc>
        <w:tc>
          <w:tcPr>
            <w:tcW w:w="1354" w:type="dxa"/>
          </w:tcPr>
          <w:p w14:paraId="386558FE"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150-200</w:t>
            </w:r>
          </w:p>
        </w:tc>
        <w:tc>
          <w:tcPr>
            <w:tcW w:w="1626" w:type="dxa"/>
          </w:tcPr>
          <w:p w14:paraId="2313E590"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300-490</w:t>
            </w:r>
          </w:p>
        </w:tc>
        <w:tc>
          <w:tcPr>
            <w:tcW w:w="1567" w:type="dxa"/>
          </w:tcPr>
          <w:p w14:paraId="4D5A7E42"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47" w:type="dxa"/>
          </w:tcPr>
          <w:p w14:paraId="23AA859E"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300-450</w:t>
            </w:r>
          </w:p>
        </w:tc>
      </w:tr>
    </w:tbl>
    <w:p w14:paraId="7E904658"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p w14:paraId="7FE79B8C"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нормальный газ</w:t>
      </w:r>
    </w:p>
    <w:p w14:paraId="7347342E"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чистый бакинский</w:t>
      </w:r>
    </w:p>
    <w:p w14:paraId="0DA9BF53"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бензольная смесь</w:t>
      </w:r>
    </w:p>
    <w:p w14:paraId="441D9B4F"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форсированный газ</w:t>
      </w:r>
    </w:p>
    <w:p w14:paraId="3EDBFC77"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7FA230FA" w14:textId="77777777">
        <w:tc>
          <w:tcPr>
            <w:tcW w:w="5636" w:type="dxa"/>
          </w:tcPr>
          <w:p w14:paraId="1871481C"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19 октября 1933 года</w:t>
            </w:r>
          </w:p>
        </w:tc>
        <w:tc>
          <w:tcPr>
            <w:tcW w:w="5636" w:type="dxa"/>
          </w:tcPr>
          <w:p w14:paraId="4CE81CB5"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принят от ОЭЛИД ЦАГИ, перегнан в Щелково и облетан ведущим летчиком.</w:t>
            </w:r>
          </w:p>
        </w:tc>
      </w:tr>
      <w:tr w:rsidR="00F26F01" w:rsidRPr="00C33834" w14:paraId="13541622" w14:textId="77777777">
        <w:tc>
          <w:tcPr>
            <w:tcW w:w="5636" w:type="dxa"/>
          </w:tcPr>
          <w:p w14:paraId="0C3DF63D"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октября 1933 года</w:t>
            </w:r>
          </w:p>
        </w:tc>
        <w:tc>
          <w:tcPr>
            <w:tcW w:w="5636" w:type="dxa"/>
          </w:tcPr>
          <w:p w14:paraId="401C28C0"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 полет на устойчивость и управляемость.</w:t>
            </w:r>
          </w:p>
        </w:tc>
      </w:tr>
      <w:tr w:rsidR="00F26F01" w:rsidRPr="00C33834" w14:paraId="2ABFFA4E" w14:textId="77777777">
        <w:tc>
          <w:tcPr>
            <w:tcW w:w="5636" w:type="dxa"/>
          </w:tcPr>
          <w:p w14:paraId="1BE1DBAA"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октября 1933 года</w:t>
            </w:r>
          </w:p>
        </w:tc>
        <w:tc>
          <w:tcPr>
            <w:tcW w:w="5636" w:type="dxa"/>
          </w:tcPr>
          <w:p w14:paraId="42B4BCE8"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 полет на километраж.</w:t>
            </w:r>
          </w:p>
        </w:tc>
      </w:tr>
      <w:tr w:rsidR="00F26F01" w:rsidRPr="00C33834" w14:paraId="4EC5B201" w14:textId="77777777">
        <w:tc>
          <w:tcPr>
            <w:tcW w:w="5636" w:type="dxa"/>
          </w:tcPr>
          <w:p w14:paraId="21F25D00"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ноября 1933 года</w:t>
            </w:r>
          </w:p>
        </w:tc>
        <w:tc>
          <w:tcPr>
            <w:tcW w:w="5636" w:type="dxa"/>
          </w:tcPr>
          <w:p w14:paraId="69E69A98"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 полет летчиком Кастанаевым на потолок и зубцы.</w:t>
            </w:r>
          </w:p>
        </w:tc>
      </w:tr>
      <w:tr w:rsidR="00F26F01" w:rsidRPr="00C33834" w14:paraId="766736A2" w14:textId="77777777">
        <w:tc>
          <w:tcPr>
            <w:tcW w:w="5636" w:type="dxa"/>
          </w:tcPr>
          <w:p w14:paraId="114AA2B6"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ноября 1933 года</w:t>
            </w:r>
          </w:p>
        </w:tc>
        <w:tc>
          <w:tcPr>
            <w:tcW w:w="5636" w:type="dxa"/>
          </w:tcPr>
          <w:p w14:paraId="7750EB7E"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 полет на зубцы у земли (500 м) и устранение девиации.</w:t>
            </w:r>
          </w:p>
        </w:tc>
      </w:tr>
      <w:tr w:rsidR="00F26F01" w:rsidRPr="00C33834" w14:paraId="3E28DE57" w14:textId="77777777">
        <w:tc>
          <w:tcPr>
            <w:tcW w:w="5636" w:type="dxa"/>
          </w:tcPr>
          <w:p w14:paraId="70A7DA69"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декабря 1933 года</w:t>
            </w:r>
          </w:p>
        </w:tc>
        <w:tc>
          <w:tcPr>
            <w:tcW w:w="5636" w:type="dxa"/>
          </w:tcPr>
          <w:p w14:paraId="7272EE32"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летит на боевую стрельбу с задней точки.</w:t>
            </w:r>
          </w:p>
        </w:tc>
      </w:tr>
      <w:tr w:rsidR="00F26F01" w:rsidRPr="00C33834" w14:paraId="01FFBFB8" w14:textId="77777777">
        <w:tc>
          <w:tcPr>
            <w:tcW w:w="5636" w:type="dxa"/>
          </w:tcPr>
          <w:p w14:paraId="40E671EB"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декабря 1933 года</w:t>
            </w:r>
          </w:p>
        </w:tc>
        <w:tc>
          <w:tcPr>
            <w:tcW w:w="5636" w:type="dxa"/>
          </w:tcPr>
          <w:p w14:paraId="63AD14B1"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Облет. Работа тормозными колесами.</w:t>
            </w:r>
          </w:p>
        </w:tc>
      </w:tr>
    </w:tbl>
    <w:p w14:paraId="4B6A9B28"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53CF38E8"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Считать возможным допустить испытанный самолет в качестве эталона первой половины 1934 года с устранением на нем всех выявленных дефектов и выполнением требований, утвержденных начальником ВВС (6663).</w:t>
      </w:r>
    </w:p>
    <w:p w14:paraId="4FC6F1EC"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3BDC2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декабря 1933 в ходе гос. испытаний ТБ-3 (АНТ-6) 22 завода N 22202 с 4М-34Р в качестве эталона на 34 год, которые проходили с 18 октября по 5 декабря 1933, были выполнены облеты другими пилотами (2264,117).</w:t>
      </w:r>
    </w:p>
    <w:p w14:paraId="797A845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C33B6D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декабря 1933 закончились гос. испытания ТБ-3 (АНТ-6) с М-34 22 завода N 22202 - эталона на 1934, которые начались 19 октября 1933 (1017,169).</w:t>
      </w:r>
    </w:p>
    <w:p w14:paraId="16FA9A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6FFF105" w14:textId="77777777" w:rsidR="00206636" w:rsidRPr="00C33834" w:rsidRDefault="0020663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декабря 1933 г. Протокол ПБ № 150 п.47/29: Вопрос Гамарника - ОП. Решено: Считать необходимым закупить за границей 50 штук наиболее современных морских моторов авиационного типа (с реверсивными установками) для торпедных катеров. НКТП совместно с НКВМ и НКВТ выяснить и доложить Политбюро не позднее 1-12-1933, у каких фирм можно реализовать указанный заказ, стоимость, кратчайшие сроки получения и основные технические данные моторов (15949).</w:t>
      </w:r>
    </w:p>
    <w:p w14:paraId="43CE187E" w14:textId="77777777" w:rsidR="00206636" w:rsidRPr="00C33834" w:rsidRDefault="00206636" w:rsidP="00C33834">
      <w:pPr>
        <w:spacing w:after="0" w:line="240" w:lineRule="auto"/>
        <w:jc w:val="both"/>
        <w:rPr>
          <w:rFonts w:ascii="Times New Roman" w:hAnsi="Times New Roman"/>
          <w:color w:val="000000" w:themeColor="text1"/>
          <w:sz w:val="16"/>
          <w:szCs w:val="16"/>
        </w:rPr>
      </w:pPr>
    </w:p>
    <w:p w14:paraId="548E8525" w14:textId="77777777" w:rsidR="00206636" w:rsidRPr="00C33834" w:rsidRDefault="0020663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декабря 1933 головной торпедный катер типа Г-5 с 2хГМ-34 (один ГМ-34 левого исполнения, другой - правого) при</w:t>
      </w:r>
      <w:r w:rsidRPr="00C33834">
        <w:rPr>
          <w:rFonts w:ascii="Times New Roman" w:hAnsi="Times New Roman"/>
          <w:color w:val="000000" w:themeColor="text1"/>
          <w:sz w:val="16"/>
          <w:szCs w:val="16"/>
        </w:rPr>
        <w:softHyphen/>
        <w:t>был с завода им. Марти на Черное море, а 12 декабря уже вышел в море. Государственные испытания на нем завершились в августе 1934 г. Параллельно весь 1933 г. мотор работал на стенде в ЦИАМ. С 1934 г. он выпускался се</w:t>
      </w:r>
      <w:r w:rsidRPr="00C33834">
        <w:rPr>
          <w:rFonts w:ascii="Times New Roman" w:hAnsi="Times New Roman"/>
          <w:color w:val="000000" w:themeColor="text1"/>
          <w:sz w:val="16"/>
          <w:szCs w:val="16"/>
        </w:rPr>
        <w:softHyphen/>
        <w:t>рийно, к 1 июля изготовили 21 ка</w:t>
      </w:r>
      <w:r w:rsidRPr="00C33834">
        <w:rPr>
          <w:rFonts w:ascii="Times New Roman" w:hAnsi="Times New Roman"/>
          <w:color w:val="000000" w:themeColor="text1"/>
          <w:sz w:val="16"/>
          <w:szCs w:val="16"/>
        </w:rPr>
        <w:softHyphen/>
        <w:t>терный двигатель, а к концу года -156. Мощность была та же, что у авиационного М-34, а вес суще</w:t>
      </w:r>
      <w:r w:rsidRPr="00C33834">
        <w:rPr>
          <w:rFonts w:ascii="Times New Roman" w:hAnsi="Times New Roman"/>
          <w:color w:val="000000" w:themeColor="text1"/>
          <w:sz w:val="16"/>
          <w:szCs w:val="16"/>
        </w:rPr>
        <w:softHyphen/>
        <w:t>ственно больше, 864 кг, а с реверс-муфтой и коллекторами - 1000 кг. Катерный вариант совершенство</w:t>
      </w:r>
      <w:r w:rsidRPr="00C33834">
        <w:rPr>
          <w:rFonts w:ascii="Times New Roman" w:hAnsi="Times New Roman"/>
          <w:color w:val="000000" w:themeColor="text1"/>
          <w:sz w:val="16"/>
          <w:szCs w:val="16"/>
        </w:rPr>
        <w:softHyphen/>
        <w:t>вался параллельно с авиационным. Так, ГМ-34Ф имел коренные вклады</w:t>
      </w:r>
      <w:r w:rsidRPr="00C33834">
        <w:rPr>
          <w:rFonts w:ascii="Times New Roman" w:hAnsi="Times New Roman"/>
          <w:color w:val="000000" w:themeColor="text1"/>
          <w:sz w:val="16"/>
          <w:szCs w:val="16"/>
        </w:rPr>
        <w:softHyphen/>
        <w:t>ши из бронзы, коленчатый вал, го</w:t>
      </w:r>
      <w:r w:rsidRPr="00C33834">
        <w:rPr>
          <w:rFonts w:ascii="Times New Roman" w:hAnsi="Times New Roman"/>
          <w:color w:val="000000" w:themeColor="text1"/>
          <w:sz w:val="16"/>
          <w:szCs w:val="16"/>
        </w:rPr>
        <w:softHyphen/>
        <w:t>ловки блоков и часть агрегатов от М-34ФРНВ. Степень сжатия у него равнялась 7,3. Он был на 80 кг тя</w:t>
      </w:r>
      <w:r w:rsidRPr="00C33834">
        <w:rPr>
          <w:rFonts w:ascii="Times New Roman" w:hAnsi="Times New Roman"/>
          <w:color w:val="000000" w:themeColor="text1"/>
          <w:sz w:val="16"/>
          <w:szCs w:val="16"/>
        </w:rPr>
        <w:softHyphen/>
        <w:t>желее ГМ-34, но зато максимально выдавал 1000 л.с. Интересно, что для него предусматривалась работа как на чистом бензине, так и на бензи-но-спиртовой смеси. Но очень сомни</w:t>
      </w:r>
      <w:r w:rsidRPr="00C33834">
        <w:rPr>
          <w:rFonts w:ascii="Times New Roman" w:hAnsi="Times New Roman"/>
          <w:color w:val="000000" w:themeColor="text1"/>
          <w:sz w:val="16"/>
          <w:szCs w:val="16"/>
        </w:rPr>
        <w:softHyphen/>
        <w:t>тельно, чтобы эта смесь использова</w:t>
      </w:r>
      <w:r w:rsidRPr="00C33834">
        <w:rPr>
          <w:rFonts w:ascii="Times New Roman" w:hAnsi="Times New Roman"/>
          <w:color w:val="000000" w:themeColor="text1"/>
          <w:sz w:val="16"/>
          <w:szCs w:val="16"/>
        </w:rPr>
        <w:softHyphen/>
        <w:t>лась для серий-ных двигателей на флотах. Первые два ГМ-34Ф выпус</w:t>
      </w:r>
      <w:r w:rsidRPr="00C33834">
        <w:rPr>
          <w:rFonts w:ascii="Times New Roman" w:hAnsi="Times New Roman"/>
          <w:color w:val="000000" w:themeColor="text1"/>
          <w:sz w:val="16"/>
          <w:szCs w:val="16"/>
        </w:rPr>
        <w:softHyphen/>
        <w:t>тили в 1936 г. С конца 1936 г. работали над форсированием за счет применения наддува. С августа 1939 г. в серию пошел ГМ-34ФН с нагнетателем ФН-25, одним карбюратором К-4 и усо</w:t>
      </w:r>
      <w:r w:rsidRPr="00C33834">
        <w:rPr>
          <w:rFonts w:ascii="Times New Roman" w:hAnsi="Times New Roman"/>
          <w:color w:val="000000" w:themeColor="text1"/>
          <w:sz w:val="16"/>
          <w:szCs w:val="16"/>
        </w:rPr>
        <w:softHyphen/>
        <w:t>вершенствованной маслосистемой. Степень сжатия у него опять понизи</w:t>
      </w:r>
      <w:r w:rsidRPr="00C33834">
        <w:rPr>
          <w:rFonts w:ascii="Times New Roman" w:hAnsi="Times New Roman"/>
          <w:color w:val="000000" w:themeColor="text1"/>
          <w:sz w:val="16"/>
          <w:szCs w:val="16"/>
        </w:rPr>
        <w:softHyphen/>
        <w:t>ли до 6,0, чтобы использовать низ</w:t>
      </w:r>
      <w:r w:rsidRPr="00C33834">
        <w:rPr>
          <w:rFonts w:ascii="Times New Roman" w:hAnsi="Times New Roman"/>
          <w:color w:val="000000" w:themeColor="text1"/>
          <w:sz w:val="16"/>
          <w:szCs w:val="16"/>
        </w:rPr>
        <w:softHyphen/>
        <w:t>кокачественное топливо, но мощ</w:t>
      </w:r>
      <w:r w:rsidRPr="00C33834">
        <w:rPr>
          <w:rFonts w:ascii="Times New Roman" w:hAnsi="Times New Roman"/>
          <w:color w:val="000000" w:themeColor="text1"/>
          <w:sz w:val="16"/>
          <w:szCs w:val="16"/>
        </w:rPr>
        <w:softHyphen/>
        <w:t>ность довели до 1200 л.с. Вес при этом увеличился незначительно - до 1110 кг. Существовал и дефорсированный мотор ГМ-34БП для речных броне</w:t>
      </w:r>
      <w:r w:rsidRPr="00C33834">
        <w:rPr>
          <w:rFonts w:ascii="Times New Roman" w:hAnsi="Times New Roman"/>
          <w:color w:val="000000" w:themeColor="text1"/>
          <w:sz w:val="16"/>
          <w:szCs w:val="16"/>
        </w:rPr>
        <w:softHyphen/>
        <w:t>катеров мощностью 800 л.с. Он тоже выпускался серийно. В войну его сменил ГМ-34БС, развивавший 850 л.с. Эти двигатели ставились на катерах проектов 1124 и 1125, стро</w:t>
      </w:r>
      <w:r w:rsidRPr="00C33834">
        <w:rPr>
          <w:rFonts w:ascii="Times New Roman" w:hAnsi="Times New Roman"/>
          <w:color w:val="000000" w:themeColor="text1"/>
          <w:sz w:val="16"/>
          <w:szCs w:val="16"/>
        </w:rPr>
        <w:softHyphen/>
        <w:t>ившихся до 1944 г. На основе катерного варианта был разработан ГМ-34БТ мощнос</w:t>
      </w:r>
      <w:r w:rsidRPr="00C33834">
        <w:rPr>
          <w:rFonts w:ascii="Times New Roman" w:hAnsi="Times New Roman"/>
          <w:color w:val="000000" w:themeColor="text1"/>
          <w:sz w:val="16"/>
          <w:szCs w:val="16"/>
        </w:rPr>
        <w:softHyphen/>
        <w:t>тью 850 л.с. для танков с изменен</w:t>
      </w:r>
      <w:r w:rsidRPr="00C33834">
        <w:rPr>
          <w:rFonts w:ascii="Times New Roman" w:hAnsi="Times New Roman"/>
          <w:color w:val="000000" w:themeColor="text1"/>
          <w:sz w:val="16"/>
          <w:szCs w:val="16"/>
        </w:rPr>
        <w:softHyphen/>
        <w:t>ной системой охлаждения, вентиля</w:t>
      </w:r>
      <w:r w:rsidRPr="00C33834">
        <w:rPr>
          <w:rFonts w:ascii="Times New Roman" w:hAnsi="Times New Roman"/>
          <w:color w:val="000000" w:themeColor="text1"/>
          <w:sz w:val="16"/>
          <w:szCs w:val="16"/>
        </w:rPr>
        <w:softHyphen/>
        <w:t>тором принудительного обдува. Он имел электростартер вместо пневмопуска. ГМ-34БТ выпустили ма</w:t>
      </w:r>
      <w:r w:rsidRPr="00C33834">
        <w:rPr>
          <w:rFonts w:ascii="Times New Roman" w:hAnsi="Times New Roman"/>
          <w:color w:val="000000" w:themeColor="text1"/>
          <w:sz w:val="16"/>
          <w:szCs w:val="16"/>
        </w:rPr>
        <w:softHyphen/>
        <w:t>лой серией в 1939 г. Такие моторы устанавливались на опытных танках Т-100 и СМК, проходивших войсковые испы</w:t>
      </w:r>
      <w:r w:rsidRPr="00C33834">
        <w:rPr>
          <w:rFonts w:ascii="Times New Roman" w:hAnsi="Times New Roman"/>
          <w:color w:val="000000" w:themeColor="text1"/>
          <w:sz w:val="16"/>
          <w:szCs w:val="16"/>
        </w:rPr>
        <w:softHyphen/>
        <w:t>тания на фронте во время войны с Финляндией зимой 1940 г., а также опытном са</w:t>
      </w:r>
      <w:r w:rsidRPr="00C33834">
        <w:rPr>
          <w:rFonts w:ascii="Times New Roman" w:hAnsi="Times New Roman"/>
          <w:color w:val="000000" w:themeColor="text1"/>
          <w:sz w:val="16"/>
          <w:szCs w:val="16"/>
        </w:rPr>
        <w:softHyphen/>
        <w:t>моходном орудии СУ-100у («Игрек», 1940 г.), применяв</w:t>
      </w:r>
      <w:r w:rsidRPr="00C33834">
        <w:rPr>
          <w:rFonts w:ascii="Times New Roman" w:hAnsi="Times New Roman"/>
          <w:color w:val="000000" w:themeColor="text1"/>
          <w:sz w:val="16"/>
          <w:szCs w:val="16"/>
        </w:rPr>
        <w:softHyphen/>
        <w:t>шемся в боях под Москвой зимой 1941 г. (11848).</w:t>
      </w:r>
    </w:p>
    <w:p w14:paraId="7A96C171" w14:textId="77777777" w:rsidR="00206636" w:rsidRPr="00C33834" w:rsidRDefault="0020663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880690"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1707530"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24C991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декабря 1933 г. механические мастерские треста «Союзхиммонтаж», являвшиеся ремонтной базой соседнего химзавода были преобразованы в завод «Химаппаратура».</w:t>
      </w:r>
    </w:p>
    <w:p w14:paraId="4F99DB8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1937 г. завод передан в ведение НКМ и переименован в Щелковский Государственный завод холодильного оборудования. С 1937 г. начато освоение производства холодильных установок, поршневых насосов, эфиризаторов. После начала П-й Мировой войны заводу был поручен выпуск 82-мм осколочных мин. В конце 1941 г. завод Холодильного оборудования был передан в ведение НКМВ. Суточный план завода по выпуску мин увеличен до 12 тыс. шт. В соответствии с пост, правительства № 837-430сс от 3.06.1942 г. и приказом НКМВ № 250с от 7.07.1942 г. завод Холодилного оборудования НКМВ переименован в завод № 725 в ведении 1ГУ (Завод № 725 НКМВ, Завод «Химаппаратура», Щелковский Государственный завод холодильного оборудования НКМВ, Щелковский завод малых гидротурбин ММиП, Щелковский насосный завод, ОАО «ЭНА» /г. Щелково Московской обл. «Турбина»/ /141101  г. Щелково Московской обл. ул. Заводская, 14/).</w:t>
      </w:r>
    </w:p>
    <w:p w14:paraId="5C8696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войны заводу поручено освоение производства гидротурбин малой мощности. В 07.1946 г. завод № 725 переименован в Щелковский завод малых гидротурбин, в 1947-48 г. - в ведении Главхиммаша ММиП.</w:t>
      </w:r>
    </w:p>
    <w:p w14:paraId="324EEE7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составе завода цехи: основные: гидротурбинный, электромоторный, ширпотреба, литейный, кузнечно- прессовый; вспомогательные: инструментальный.</w:t>
      </w:r>
    </w:p>
    <w:p w14:paraId="191E5A7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1950 г. начато производство насосов. В 06.1956 г. завод переименован в Щелковский насосный завод. Специализировался на выпуске центробежных насосов. В 1960-е  г. завод реконструирован, расширены производственные площади.</w:t>
      </w:r>
    </w:p>
    <w:p w14:paraId="3C8152E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9.10.1992 г. завод преобразован в ОАО «ЭНА».</w:t>
      </w:r>
    </w:p>
    <w:p w14:paraId="485679A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Количество оборудования: (1939 г.)- 89 ед., (1946 г.)- 230 ед., (1947 г.)- 313 ед.</w:t>
      </w:r>
    </w:p>
    <w:p w14:paraId="3885E0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территории (1947 г.)- 7,1 га; застройки (1947 г.)- 9471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производственная (1939 г.)- 3390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(1946 г.)- 5975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(1947 г.)- 6308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w:t>
      </w:r>
    </w:p>
    <w:p w14:paraId="0308FA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Численность персонала: (1939 г.)- 527 чел., (1946 г.)- 651 чел., (1947 г.)- 644 чел.</w:t>
      </w:r>
    </w:p>
    <w:p w14:paraId="0A83CB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(06.1942 г.)- Быков, (1948 г.)-  Г.А. Седов, (16.03.1987 г.-)- Ю.В. Гусев. Гендиректор (1992 г.-)- Ю.В. Гусев.</w:t>
      </w:r>
    </w:p>
    <w:p w14:paraId="7D28A55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(1948 г.)- А.А. Демин.</w:t>
      </w:r>
    </w:p>
    <w:p w14:paraId="1B5C5C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iCs/>
          <w:color w:val="000000" w:themeColor="text1"/>
          <w:sz w:val="16"/>
          <w:szCs w:val="16"/>
        </w:rPr>
        <w:t>Производство:</w:t>
      </w:r>
      <w:r w:rsidRPr="00C33834">
        <w:rPr>
          <w:rFonts w:ascii="Times New Roman" w:hAnsi="Times New Roman"/>
          <w:color w:val="000000" w:themeColor="text1"/>
          <w:sz w:val="16"/>
          <w:szCs w:val="16"/>
        </w:rPr>
        <w:t xml:space="preserve"> поршневые насосы «ДН» (193 7-); полуавтоматы ФОРА (1937-); корпуса 82-мм мин (1942); турбины: В059, ГТ2, ВТЗ, ВТ2; электродвигатели, печь «Чудо» (1947) (11982).</w:t>
      </w:r>
    </w:p>
    <w:p w14:paraId="416123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6A6541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5 декабря 1933 г. Постановлением Наркомата тяжелой промышленности СССР Завод "Химметалл", созданный 29 июня 1927 г. был создан Завод "Химметалл" на основании положения о Государственных промышленных трестах, был переименован в Центральный экспериментальный завод пластических масс им. Фрунзе. Решением Совета Народных Комиссаров СССР от 21 июля 1937 г. переименован в Государственный союзный Московский экспериментальный завод пластических масс (МЭЗ) им. Фрунзе. Приказом Наркомата химической промышленности СССР от 7 апреля 1943 г. на базе завода был организован НИИЭЗ им. Фрунзе. Приказом Министерства химической промышленности СССР от 6 декабря 1952 г. завод выделен из состава института, который был переименован в Научно-исследовательский институт пластических масс (НИИПМ) (12102). </w:t>
      </w:r>
    </w:p>
    <w:p w14:paraId="75F41B0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0BD588C" w14:textId="77777777" w:rsidR="004F4BE1" w:rsidRPr="00C33834" w:rsidRDefault="004F4BE1" w:rsidP="00C33834">
      <w:pPr>
        <w:pStyle w:val="rtejustify"/>
        <w:spacing w:before="0" w:after="0"/>
        <w:rPr>
          <w:color w:val="000000" w:themeColor="text1"/>
          <w:sz w:val="16"/>
          <w:szCs w:val="16"/>
        </w:rPr>
      </w:pPr>
      <w:r w:rsidRPr="00C33834">
        <w:rPr>
          <w:rStyle w:val="af0"/>
          <w:bCs/>
          <w:i w:val="0"/>
          <w:color w:val="000000" w:themeColor="text1"/>
          <w:sz w:val="16"/>
          <w:szCs w:val="16"/>
        </w:rPr>
        <w:t>5 декабря</w:t>
      </w:r>
      <w:r w:rsidRPr="00C33834">
        <w:rPr>
          <w:color w:val="000000" w:themeColor="text1"/>
          <w:sz w:val="16"/>
          <w:szCs w:val="16"/>
        </w:rPr>
        <w:t xml:space="preserve"> 1933. Протокол заседания Политбюро ЦК ВКП (б) № 150. </w:t>
      </w:r>
      <w:hyperlink r:id="rId390" w:anchor="showunit&amp;id=88462" w:history="1">
        <w:r w:rsidRPr="00C33834">
          <w:rPr>
            <w:rStyle w:val="a5"/>
            <w:color w:val="000000" w:themeColor="text1"/>
            <w:sz w:val="16"/>
            <w:szCs w:val="16"/>
          </w:rPr>
          <w:t>4. О паровозах серии «ЭМ»</w:t>
        </w:r>
      </w:hyperlink>
      <w:r w:rsidRPr="00C33834">
        <w:rPr>
          <w:color w:val="000000" w:themeColor="text1"/>
          <w:sz w:val="16"/>
          <w:szCs w:val="16"/>
        </w:rPr>
        <w:t xml:space="preserve"> (Кишкин, Ягода, Орджоникидзе, Андреев, Рудзутак). Решено: Поручить комиссии в составе Ворошилова (председатель), Орджоникидзе и Андреева с привлечением специалистов-техников и практиков, непосредственно работающих по паровозам, и с вызовом всех заинтересованных лиц — проверить пригодность конструкции паровоза серии "ЭМ", установить необходимость его улучшения или замены другим типом паровоза и внести в Политбюро конкретные предложения. Той же комиссии обсудить вопрос о целесообразности и сроках перехода на производство паровоза “декапот”. </w:t>
      </w:r>
      <w:hyperlink r:id="rId391" w:anchor="showunit&amp;id=88473" w:history="1">
        <w:r w:rsidRPr="00C33834">
          <w:rPr>
            <w:rStyle w:val="a5"/>
            <w:color w:val="000000" w:themeColor="text1"/>
            <w:sz w:val="16"/>
            <w:szCs w:val="16"/>
          </w:rPr>
          <w:t>5. О реконструкции и строительстве автозаводов</w:t>
        </w:r>
      </w:hyperlink>
      <w:r w:rsidRPr="00C33834">
        <w:rPr>
          <w:color w:val="000000" w:themeColor="text1"/>
          <w:sz w:val="16"/>
          <w:szCs w:val="16"/>
        </w:rPr>
        <w:t xml:space="preserve"> (ПБ от 19 августа 1933 г., пр. № 144, п. 47/26</w:t>
      </w:r>
      <w:r w:rsidRPr="00C33834">
        <w:rPr>
          <w:color w:val="000000" w:themeColor="text1"/>
          <w:sz w:val="16"/>
          <w:szCs w:val="16"/>
        </w:rPr>
        <w:noBreakHyphen/>
        <w:t xml:space="preserve">4). Решено отложить до следующего заседания по просьбе Пахомова и Прамнека. </w:t>
      </w:r>
      <w:hyperlink r:id="rId392" w:anchor="showunit&amp;id=88452" w:history="1">
        <w:r w:rsidRPr="00C33834">
          <w:rPr>
            <w:rStyle w:val="a5"/>
            <w:color w:val="000000" w:themeColor="text1"/>
            <w:sz w:val="16"/>
            <w:szCs w:val="16"/>
          </w:rPr>
          <w:t>30/12. О закупке в Америке сторожевых судов.</w:t>
        </w:r>
      </w:hyperlink>
      <w:r w:rsidRPr="00C33834">
        <w:rPr>
          <w:color w:val="000000" w:themeColor="text1"/>
          <w:sz w:val="16"/>
          <w:szCs w:val="16"/>
        </w:rPr>
        <w:t xml:space="preserve"> (ПБ от 19 ноября 1933 г.). — ОП. Решено поручить Литвинову выяснить у министра финансов Моргентау количество сторожевых судов, тоннаж каждого из них, скорость и вооруженность, а также, на каких условиях правительство САСШ согласилось бы продать нам все эти суда или часть их. </w:t>
      </w:r>
      <w:hyperlink r:id="rId393" w:anchor="showunit&amp;id=88470" w:history="1">
        <w:r w:rsidRPr="00C33834">
          <w:rPr>
            <w:rStyle w:val="a5"/>
            <w:color w:val="000000" w:themeColor="text1"/>
            <w:sz w:val="16"/>
            <w:szCs w:val="16"/>
          </w:rPr>
          <w:t>47/29. Вопрос Гамарника (о закупках за границей морских моторов)</w:t>
        </w:r>
      </w:hyperlink>
      <w:r w:rsidRPr="00C33834">
        <w:rPr>
          <w:color w:val="000000" w:themeColor="text1"/>
          <w:sz w:val="16"/>
          <w:szCs w:val="16"/>
        </w:rPr>
        <w:t xml:space="preserve"> (ПБ от 19 ноября 1933 г.). — ОП. Решено: Считать необходимым закупить за границей 50 штук наиболее современных морских моторов авиационного типа (с реверсивными установками) для торпедных катеров. НКТП совместно с НКВМ и НКВТ выяснить и доложить Политбюро не позднее 1</w:t>
      </w:r>
      <w:r w:rsidRPr="00C33834">
        <w:rPr>
          <w:color w:val="000000" w:themeColor="text1"/>
          <w:sz w:val="16"/>
          <w:szCs w:val="16"/>
        </w:rPr>
        <w:noBreakHyphen/>
        <w:t>12</w:t>
      </w:r>
      <w:r w:rsidRPr="00C33834">
        <w:rPr>
          <w:color w:val="000000" w:themeColor="text1"/>
          <w:sz w:val="16"/>
          <w:szCs w:val="16"/>
        </w:rPr>
        <w:noBreakHyphen/>
        <w:t xml:space="preserve">1933, у каких фирм можно реализовать указанный заказ, стоимость, кратчайшие сроки получения и основные технические данные моторов. </w:t>
      </w:r>
      <w:hyperlink r:id="rId394" w:anchor="showunit&amp;id=88481" w:history="1">
        <w:r w:rsidRPr="00C33834">
          <w:rPr>
            <w:rStyle w:val="a5"/>
            <w:color w:val="000000" w:themeColor="text1"/>
            <w:sz w:val="16"/>
            <w:szCs w:val="16"/>
          </w:rPr>
          <w:t>57/38. О Магнитогорском металлургическом заводе</w:t>
        </w:r>
      </w:hyperlink>
      <w:r w:rsidRPr="00C33834">
        <w:rPr>
          <w:color w:val="000000" w:themeColor="text1"/>
          <w:sz w:val="16"/>
          <w:szCs w:val="16"/>
        </w:rPr>
        <w:t xml:space="preserve"> (ПБ от 15 ноября 1933 г., пр. № 149, п. 5), (ПБ от 21 ноября 1933 г.). Решено утвердить предложения комиссии ПБ (см. приложение). </w:t>
      </w:r>
      <w:hyperlink r:id="rId395" w:anchor="showunit&amp;id=88366" w:history="1">
        <w:r w:rsidRPr="00C33834">
          <w:rPr>
            <w:rStyle w:val="a5"/>
            <w:color w:val="000000" w:themeColor="text1"/>
            <w:sz w:val="16"/>
            <w:szCs w:val="16"/>
          </w:rPr>
          <w:t>107/88. Вопрос КО</w:t>
        </w:r>
      </w:hyperlink>
      <w:r w:rsidRPr="00C33834">
        <w:rPr>
          <w:color w:val="000000" w:themeColor="text1"/>
          <w:sz w:val="16"/>
          <w:szCs w:val="16"/>
        </w:rPr>
        <w:t xml:space="preserve"> (ПБ от 1 декабря 1933 г.). — ОП. Решено утвердить постановление СТО об отпуске НКТП в 1934 г. валюты в размере 6025 тыс. руб. для закупки моторов «Райт-Циклон» и «Испано-Сюиза». </w:t>
      </w:r>
      <w:hyperlink r:id="rId396" w:anchor="showunit&amp;id=88368" w:history="1">
        <w:r w:rsidRPr="00C33834">
          <w:rPr>
            <w:rStyle w:val="a5"/>
            <w:color w:val="000000" w:themeColor="text1"/>
            <w:sz w:val="16"/>
            <w:szCs w:val="16"/>
          </w:rPr>
          <w:t>109/90. Вопросы НКВМ (кадры)</w:t>
        </w:r>
      </w:hyperlink>
      <w:r w:rsidRPr="00C33834">
        <w:rPr>
          <w:color w:val="000000" w:themeColor="text1"/>
          <w:sz w:val="16"/>
          <w:szCs w:val="16"/>
        </w:rPr>
        <w:t xml:space="preserve"> (ПБ от 1 декабря 1933 г.). Решено утвердить следующие перемещения и назначения по НКВМ: 1) Командующего войсками CABО Дыбенко П. Е. перевести командующим войсками ПРИВО. 2) Помощника командующего войсками MBО Великанова М. Д. назначить командующим войсками САВО. 3) Командующего Забайкальской группы войск Горбачева Б. С перевести помощником командующего войсками MBО. 4) Заместителя начальника УММ РККА Грязнова И. К. назначить командующим Забайкальской группы войск. 5) Командующего Кавказской краснознаменной армией Смолина И. И. назначить </w:t>
      </w:r>
      <w:r w:rsidRPr="00C33834">
        <w:rPr>
          <w:color w:val="000000" w:themeColor="text1"/>
          <w:sz w:val="16"/>
          <w:szCs w:val="16"/>
        </w:rPr>
        <w:lastRenderedPageBreak/>
        <w:t xml:space="preserve">начальником Военной электротехнической Академии РККА. 6) Командующего войсками СИБВО Левандовского М. К. перевести командующим Кавказской краснознаменной армии. 7) Помощника командующего войсками СИБВО Гайлита Я. П. назначить командующим войсками СИБВО. 8) Члена РВС СКВО Кожевникова С. Н. освободить от занимаемой должности в связи с командированием его на учебу в Особую группу Военной академии РККА. 9) Члена РВС ККА Шифреса А. Л. перевести членом РВС СКВО. </w:t>
      </w:r>
      <w:hyperlink r:id="rId397" w:anchor="showunit&amp;id=88395" w:history="1">
        <w:r w:rsidRPr="00C33834">
          <w:rPr>
            <w:rStyle w:val="a5"/>
            <w:color w:val="000000" w:themeColor="text1"/>
            <w:sz w:val="16"/>
            <w:szCs w:val="16"/>
          </w:rPr>
          <w:t>133/115. О военно-морском судостроении в 1934 г.</w:t>
        </w:r>
      </w:hyperlink>
      <w:r w:rsidRPr="00C33834">
        <w:rPr>
          <w:color w:val="000000" w:themeColor="text1"/>
          <w:sz w:val="16"/>
          <w:szCs w:val="16"/>
        </w:rPr>
        <w:t xml:space="preserve"> (ПБ от 5 ноября 1933 г., п. № 149, п. 36/22</w:t>
      </w:r>
      <w:r w:rsidRPr="00C33834">
        <w:rPr>
          <w:color w:val="000000" w:themeColor="text1"/>
          <w:sz w:val="16"/>
          <w:szCs w:val="16"/>
        </w:rPr>
        <w:noBreakHyphen/>
        <w:t>4). Решено вопрос снять (15462).</w:t>
      </w:r>
    </w:p>
    <w:p w14:paraId="6AFAC281" w14:textId="77777777" w:rsidR="004F4BE1" w:rsidRPr="00C33834" w:rsidRDefault="004F4BE1" w:rsidP="00C33834">
      <w:pPr>
        <w:pStyle w:val="rtejustify"/>
        <w:spacing w:before="0" w:after="0"/>
        <w:rPr>
          <w:color w:val="000000" w:themeColor="text1"/>
          <w:sz w:val="16"/>
          <w:szCs w:val="16"/>
        </w:rPr>
      </w:pPr>
    </w:p>
    <w:p w14:paraId="3104D24A"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21042B70"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80337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декабря 1933 был отменен сухой закон в США (3481).</w:t>
      </w:r>
    </w:p>
    <w:p w14:paraId="6E6BDB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ACDFFDA"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BDD0F76"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AA6DD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декабря 1933 И-14 БМ вновь вышел на аэродром и прошел заводские испытания (2287,131).</w:t>
      </w:r>
    </w:p>
    <w:p w14:paraId="2E86F4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E4A581D" w14:textId="77777777" w:rsidR="00201255" w:rsidRPr="00C33834" w:rsidRDefault="0020125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начале декаб</w:t>
      </w:r>
      <w:r w:rsidRPr="00C33834">
        <w:rPr>
          <w:rFonts w:ascii="Times New Roman" w:hAnsi="Times New Roman"/>
          <w:color w:val="0070C0"/>
          <w:sz w:val="16"/>
          <w:szCs w:val="16"/>
        </w:rPr>
        <w:softHyphen/>
        <w:t>ря 1933 г. заводские испытания А-6 закончились, после чего 22 декабря машину передали воен</w:t>
      </w:r>
      <w:r w:rsidRPr="00C33834">
        <w:rPr>
          <w:rFonts w:ascii="Times New Roman" w:hAnsi="Times New Roman"/>
          <w:color w:val="0070C0"/>
          <w:sz w:val="16"/>
          <w:szCs w:val="16"/>
        </w:rPr>
        <w:softHyphen/>
        <w:t>ным испытателям для продолжения тестирования. Со</w:t>
      </w:r>
      <w:r w:rsidRPr="00C33834">
        <w:rPr>
          <w:rFonts w:ascii="Times New Roman" w:hAnsi="Times New Roman"/>
          <w:color w:val="0070C0"/>
          <w:sz w:val="16"/>
          <w:szCs w:val="16"/>
        </w:rPr>
        <w:softHyphen/>
        <w:t>гласно данным А.М. Изаксона, 5 (или 6) января 1934 г. при испытании А-6 в НИИ ВВС при резком выходе из пикиро</w:t>
      </w:r>
      <w:r w:rsidRPr="00C33834">
        <w:rPr>
          <w:rFonts w:ascii="Times New Roman" w:hAnsi="Times New Roman"/>
          <w:color w:val="0070C0"/>
          <w:sz w:val="16"/>
          <w:szCs w:val="16"/>
        </w:rPr>
        <w:softHyphen/>
        <w:t>вания сложились лопасти ротора и произошла катастро</w:t>
      </w:r>
      <w:r w:rsidRPr="00C33834">
        <w:rPr>
          <w:rFonts w:ascii="Times New Roman" w:hAnsi="Times New Roman"/>
          <w:color w:val="0070C0"/>
          <w:sz w:val="16"/>
          <w:szCs w:val="16"/>
        </w:rPr>
        <w:softHyphen/>
        <w:t>фа.</w:t>
      </w:r>
    </w:p>
    <w:p w14:paraId="05235F21" w14:textId="77777777" w:rsidR="00201255" w:rsidRPr="00C33834" w:rsidRDefault="0020125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Данные и характеристики А-6</w:t>
      </w:r>
    </w:p>
    <w:p w14:paraId="39051B94" w14:textId="77777777" w:rsidR="00201255" w:rsidRPr="00C33834" w:rsidRDefault="0020125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fldChar w:fldCharType="begin"/>
      </w:r>
      <w:r w:rsidRPr="00C33834">
        <w:rPr>
          <w:rFonts w:ascii="Times New Roman" w:hAnsi="Times New Roman"/>
          <w:color w:val="0070C0"/>
          <w:sz w:val="16"/>
          <w:szCs w:val="16"/>
        </w:rPr>
        <w:instrText xml:space="preserve"> TOC \o "1-5" \h \z </w:instrText>
      </w:r>
      <w:r w:rsidRPr="00C33834">
        <w:rPr>
          <w:rFonts w:ascii="Times New Roman" w:hAnsi="Times New Roman"/>
          <w:color w:val="0070C0"/>
          <w:sz w:val="16"/>
          <w:szCs w:val="16"/>
        </w:rPr>
        <w:fldChar w:fldCharType="separate"/>
      </w:r>
      <w:r w:rsidRPr="00C33834">
        <w:rPr>
          <w:rFonts w:ascii="Times New Roman" w:hAnsi="Times New Roman"/>
          <w:color w:val="0070C0"/>
          <w:sz w:val="16"/>
          <w:szCs w:val="16"/>
        </w:rPr>
        <w:t>Диаметр ротора (м)</w:t>
      </w:r>
      <w:r w:rsidRPr="00C33834">
        <w:rPr>
          <w:rFonts w:ascii="Times New Roman" w:hAnsi="Times New Roman"/>
          <w:color w:val="0070C0"/>
          <w:sz w:val="16"/>
          <w:szCs w:val="16"/>
        </w:rPr>
        <w:tab/>
        <w:t>11,0</w:t>
      </w:r>
    </w:p>
    <w:p w14:paraId="13FFC526" w14:textId="77777777" w:rsidR="00201255" w:rsidRPr="00C33834" w:rsidRDefault="0020125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Длина без ротора (м)</w:t>
      </w:r>
      <w:r w:rsidRPr="00C33834">
        <w:rPr>
          <w:rFonts w:ascii="Times New Roman" w:hAnsi="Times New Roman"/>
          <w:color w:val="0070C0"/>
          <w:sz w:val="16"/>
          <w:szCs w:val="16"/>
        </w:rPr>
        <w:tab/>
        <w:t>6,17</w:t>
      </w:r>
    </w:p>
    <w:p w14:paraId="563B081D" w14:textId="77777777" w:rsidR="00201255" w:rsidRPr="00C33834" w:rsidRDefault="0020125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Высота в линии полета</w:t>
      </w:r>
      <w:r w:rsidRPr="00C33834">
        <w:rPr>
          <w:rFonts w:ascii="Times New Roman" w:hAnsi="Times New Roman"/>
          <w:color w:val="0070C0"/>
          <w:sz w:val="16"/>
          <w:szCs w:val="16"/>
        </w:rPr>
        <w:tab/>
        <w:t>(м)</w:t>
      </w:r>
      <w:r w:rsidRPr="00C33834">
        <w:rPr>
          <w:rFonts w:ascii="Times New Roman" w:hAnsi="Times New Roman"/>
          <w:color w:val="0070C0"/>
          <w:sz w:val="16"/>
          <w:szCs w:val="16"/>
        </w:rPr>
        <w:tab/>
        <w:t>3,0</w:t>
      </w:r>
    </w:p>
    <w:p w14:paraId="31B31B0D" w14:textId="77777777" w:rsidR="00201255" w:rsidRPr="00C33834" w:rsidRDefault="0020125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Размах крыла (м)</w:t>
      </w:r>
      <w:r w:rsidRPr="00C33834">
        <w:rPr>
          <w:rFonts w:ascii="Times New Roman" w:hAnsi="Times New Roman"/>
          <w:color w:val="0070C0"/>
          <w:sz w:val="16"/>
          <w:szCs w:val="16"/>
        </w:rPr>
        <w:tab/>
        <w:t>6,6</w:t>
      </w:r>
    </w:p>
    <w:p w14:paraId="3F218562" w14:textId="77777777" w:rsidR="00201255" w:rsidRPr="00C33834" w:rsidRDefault="0020125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Вес пустого (кг)</w:t>
      </w:r>
      <w:r w:rsidRPr="00C33834">
        <w:rPr>
          <w:rFonts w:ascii="Times New Roman" w:hAnsi="Times New Roman"/>
          <w:color w:val="0070C0"/>
          <w:sz w:val="16"/>
          <w:szCs w:val="16"/>
        </w:rPr>
        <w:tab/>
        <w:t>562</w:t>
      </w:r>
    </w:p>
    <w:p w14:paraId="0406DB45" w14:textId="77777777" w:rsidR="00201255" w:rsidRPr="00C33834" w:rsidRDefault="0020125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Полетный вес (кг)</w:t>
      </w:r>
      <w:r w:rsidRPr="00C33834">
        <w:rPr>
          <w:rFonts w:ascii="Times New Roman" w:hAnsi="Times New Roman"/>
          <w:color w:val="0070C0"/>
          <w:sz w:val="16"/>
          <w:szCs w:val="16"/>
        </w:rPr>
        <w:tab/>
        <w:t>815</w:t>
      </w:r>
    </w:p>
    <w:p w14:paraId="1616914E" w14:textId="77777777" w:rsidR="00201255" w:rsidRPr="00C33834" w:rsidRDefault="0020125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Скорость максимальная</w:t>
      </w:r>
      <w:r w:rsidRPr="00C33834">
        <w:rPr>
          <w:rFonts w:ascii="Times New Roman" w:hAnsi="Times New Roman"/>
          <w:color w:val="0070C0"/>
          <w:sz w:val="16"/>
          <w:szCs w:val="16"/>
        </w:rPr>
        <w:tab/>
        <w:t>у земли (км/ч)</w:t>
      </w:r>
      <w:r w:rsidRPr="00C33834">
        <w:rPr>
          <w:rFonts w:ascii="Times New Roman" w:hAnsi="Times New Roman"/>
          <w:color w:val="0070C0"/>
          <w:sz w:val="16"/>
          <w:szCs w:val="16"/>
        </w:rPr>
        <w:tab/>
        <w:t>135</w:t>
      </w:r>
    </w:p>
    <w:p w14:paraId="7AD10964" w14:textId="77777777" w:rsidR="00201255" w:rsidRPr="00C33834" w:rsidRDefault="0020125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Скорость минимальная</w:t>
      </w:r>
      <w:r w:rsidRPr="00C33834">
        <w:rPr>
          <w:rFonts w:ascii="Times New Roman" w:hAnsi="Times New Roman"/>
          <w:color w:val="0070C0"/>
          <w:sz w:val="16"/>
          <w:szCs w:val="16"/>
        </w:rPr>
        <w:tab/>
        <w:t>у земли (км/ч)</w:t>
      </w:r>
      <w:r w:rsidRPr="00C33834">
        <w:rPr>
          <w:rFonts w:ascii="Times New Roman" w:hAnsi="Times New Roman"/>
          <w:color w:val="0070C0"/>
          <w:sz w:val="16"/>
          <w:szCs w:val="16"/>
        </w:rPr>
        <w:tab/>
        <w:t>55</w:t>
      </w:r>
    </w:p>
    <w:p w14:paraId="40623A0A" w14:textId="77777777" w:rsidR="00201255" w:rsidRPr="00C33834" w:rsidRDefault="0020125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Потолок (м)</w:t>
      </w:r>
      <w:r w:rsidRPr="00C33834">
        <w:rPr>
          <w:rFonts w:ascii="Times New Roman" w:hAnsi="Times New Roman"/>
          <w:color w:val="0070C0"/>
          <w:sz w:val="16"/>
          <w:szCs w:val="16"/>
        </w:rPr>
        <w:tab/>
        <w:t>1600</w:t>
      </w:r>
    </w:p>
    <w:p w14:paraId="13595D17" w14:textId="77777777" w:rsidR="00201255" w:rsidRPr="00C33834" w:rsidRDefault="0020125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Дальность полета (км)</w:t>
      </w:r>
      <w:r w:rsidRPr="00C33834">
        <w:rPr>
          <w:rFonts w:ascii="Times New Roman" w:hAnsi="Times New Roman"/>
          <w:color w:val="0070C0"/>
          <w:sz w:val="16"/>
          <w:szCs w:val="16"/>
        </w:rPr>
        <w:tab/>
        <w:t>220</w:t>
      </w:r>
    </w:p>
    <w:p w14:paraId="6654EB75" w14:textId="77777777" w:rsidR="00201255" w:rsidRPr="00C33834" w:rsidRDefault="0020125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Длина разбега (м)</w:t>
      </w:r>
      <w:r w:rsidRPr="00C33834">
        <w:rPr>
          <w:rFonts w:ascii="Times New Roman" w:hAnsi="Times New Roman"/>
          <w:color w:val="0070C0"/>
          <w:sz w:val="16"/>
          <w:szCs w:val="16"/>
        </w:rPr>
        <w:tab/>
        <w:t>65</w:t>
      </w:r>
      <w:r w:rsidRPr="00C33834">
        <w:rPr>
          <w:rFonts w:ascii="Times New Roman" w:hAnsi="Times New Roman"/>
          <w:color w:val="0070C0"/>
          <w:sz w:val="16"/>
          <w:szCs w:val="16"/>
        </w:rPr>
        <w:fldChar w:fldCharType="end"/>
      </w:r>
      <w:r w:rsidRPr="00C33834">
        <w:rPr>
          <w:rFonts w:ascii="Times New Roman" w:hAnsi="Times New Roman"/>
          <w:color w:val="0070C0"/>
          <w:sz w:val="16"/>
          <w:szCs w:val="16"/>
        </w:rPr>
        <w:t xml:space="preserve"> (20361).</w:t>
      </w:r>
    </w:p>
    <w:p w14:paraId="62D9D8DE" w14:textId="77777777" w:rsidR="00201255" w:rsidRPr="00C33834" w:rsidRDefault="00201255" w:rsidP="00C33834">
      <w:pPr>
        <w:shd w:val="clear" w:color="auto" w:fill="FFFFFF"/>
        <w:spacing w:after="0" w:line="240" w:lineRule="auto"/>
        <w:jc w:val="both"/>
        <w:rPr>
          <w:rFonts w:ascii="Times New Roman" w:hAnsi="Times New Roman"/>
          <w:color w:val="0070C0"/>
          <w:sz w:val="16"/>
          <w:szCs w:val="16"/>
        </w:rPr>
      </w:pPr>
    </w:p>
    <w:p w14:paraId="0A6A4946"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A89AC04"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E98E8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декабря 1933 ХПХ представил на рассмотрение Нач. УММ РККА проект БТ с 76-мм пушкой. Одобрили за исключением установки пулемета рядом с водителем: “В выполненном Вами проекте БТ-7 с 76-мм пушкой, установку пулемета рядом с механиком-водителем упразднить из-за затруднений в действиях механика-водителя и невозможности заряжать и стрелять водителем (3881,3).</w:t>
      </w:r>
    </w:p>
    <w:p w14:paraId="4B0A0E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BD9AE71"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905FC44"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5ABA7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декабря 1933 состоялось совещание у Петрожитского по вопросам разногласий по эталонам самолетов на 1-ю половину 1933:</w:t>
      </w:r>
    </w:p>
    <w:p w14:paraId="253387B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И-5 М-22 (установка металлического винта, установка поворотных стоек, облегчение веса самолета на 100-150 км согласно требованиям УВВС, исправление моторамы установка М-22 с помпой Хорнет, установка обтекателей на колеса, приборная доска).</w:t>
      </w:r>
    </w:p>
    <w:p w14:paraId="44EA5E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эталона - т.к. срок выполнения ЦАГИ ряда конструкторских переделок отодвинут против ранее установленного, установить срок предъявления эталона заводом 21 3 января 1933.</w:t>
      </w:r>
    </w:p>
    <w:p w14:paraId="6E49B0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Р-5 М-17 (изменение капотов и каркасов, требование УВВС об установке колпаков для слепых полетов, облегчение веса самолета на 300 кг согласно требованиям УВВС).</w:t>
      </w:r>
    </w:p>
    <w:p w14:paraId="1C1538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предъявления эталона - 25 декабря с.г. без колпака для слепых полетов и со старым капотом.</w:t>
      </w:r>
    </w:p>
    <w:p w14:paraId="751FE72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Р-6 2М-17 (устранение вибраций моторной установки, корзинки для радиаторов для устранения течи, изменение конструкции капотов, разрезные элероны для облегчения управления ими, изменение конструкции секторов управления моторами, колпак для слепых полетов, фото и электрооборудование, ограничитель стрельбы, модернизация кормовой башни, установка мотора М-17 с помпой Хорнет) Петрожицкий (2291,96).</w:t>
      </w:r>
    </w:p>
    <w:p w14:paraId="63F4AD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CB770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декабря 1933 Нач. ВВС Алкснис писал: "На 20 часов назначаю у себя совещание по этим техтребованиям (к И-17 и ДИ-7). Хотелось бы на обоих самолётах иметь более сильное и более дальнобойное вооружение". Интересно, что в дальнейшем упоминание двухместного истребителя ДИ-7 не встречается. На каком-то этапе развития событий возник вариант установки на ДИ-7 двух спаренных двигателей, одного за другим, вращающих два воздушных винта в противоположных направлениях. В отношении такой моторной установки пользовались определением "механическая спарка". Интерес к этой теме в начале 1935 г. усилился в связи с развёртыванием проектных работ по созданию рекордного скоростного самолёта. В результате моторному заводу №26 поручили задание на разработку "механической спарки" двигателей М-100 (затем М-103). Позднее работа продолжилась и её результаты воплотились в создании экспериментального самолёта "С" конструкции Болховитинова. Однако к истории И-17 это уже ни коим образом не относилось (9630).</w:t>
      </w:r>
    </w:p>
    <w:p w14:paraId="6474454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92DB98F" w14:textId="77777777" w:rsidR="00201255" w:rsidRPr="00C33834" w:rsidRDefault="00201255" w:rsidP="00C33834">
      <w:pPr>
        <w:pStyle w:val="aff0"/>
        <w:spacing w:line="240" w:lineRule="auto"/>
        <w:rPr>
          <w:rFonts w:ascii="Times New Roman" w:hAnsi="Times New Roman" w:cs="Times New Roman"/>
          <w:i w:val="0"/>
          <w:iCs w:val="0"/>
          <w:color w:val="0070C0"/>
          <w:sz w:val="16"/>
          <w:szCs w:val="16"/>
          <w:lang w:val="ru-RU" w:eastAsia="ru-RU" w:bidi="ru-RU"/>
        </w:rPr>
      </w:pPr>
      <w:r w:rsidRPr="00C33834">
        <w:rPr>
          <w:rFonts w:ascii="Times New Roman" w:hAnsi="Times New Roman" w:cs="Times New Roman"/>
          <w:i w:val="0"/>
          <w:iCs w:val="0"/>
          <w:color w:val="0070C0"/>
          <w:sz w:val="16"/>
          <w:szCs w:val="16"/>
          <w:lang w:val="ru-RU" w:eastAsia="ru-RU" w:bidi="ru-RU"/>
        </w:rPr>
        <w:t>7 декабря 1933 г. в приказе начальника ГУАП Г.Н. Королева отмечалось, что, хотя «МДР-4 поставлен на производство на заводе №31, обра</w:t>
      </w:r>
      <w:r w:rsidRPr="00C33834">
        <w:rPr>
          <w:rFonts w:ascii="Times New Roman" w:hAnsi="Times New Roman" w:cs="Times New Roman"/>
          <w:i w:val="0"/>
          <w:iCs w:val="0"/>
          <w:color w:val="0070C0"/>
          <w:sz w:val="16"/>
          <w:szCs w:val="16"/>
          <w:lang w:val="ru-RU" w:eastAsia="ru-RU" w:bidi="ru-RU"/>
        </w:rPr>
        <w:softHyphen/>
        <w:t>зец этой машины и чертежи еще не проверены...». В ре</w:t>
      </w:r>
      <w:r w:rsidRPr="00C33834">
        <w:rPr>
          <w:rFonts w:ascii="Times New Roman" w:hAnsi="Times New Roman" w:cs="Times New Roman"/>
          <w:i w:val="0"/>
          <w:iCs w:val="0"/>
          <w:color w:val="0070C0"/>
          <w:sz w:val="16"/>
          <w:szCs w:val="16"/>
          <w:lang w:val="ru-RU" w:eastAsia="ru-RU" w:bidi="ru-RU"/>
        </w:rPr>
        <w:softHyphen/>
        <w:t>зультате от выпуска МДР-4 на заводе №125 в Иркутске отказались, оставив это задание только таганрогским само</w:t>
      </w:r>
      <w:r w:rsidRPr="00C33834">
        <w:rPr>
          <w:rFonts w:ascii="Times New Roman" w:hAnsi="Times New Roman" w:cs="Times New Roman"/>
          <w:i w:val="0"/>
          <w:iCs w:val="0"/>
          <w:color w:val="0070C0"/>
          <w:sz w:val="16"/>
          <w:szCs w:val="16"/>
          <w:lang w:val="ru-RU" w:eastAsia="ru-RU" w:bidi="ru-RU"/>
        </w:rPr>
        <w:softHyphen/>
        <w:t>летостроителям.</w:t>
      </w:r>
    </w:p>
    <w:p w14:paraId="5A3463D6" w14:textId="77777777" w:rsidR="00201255" w:rsidRPr="00C33834" w:rsidRDefault="00201255" w:rsidP="00C33834">
      <w:pPr>
        <w:spacing w:after="0" w:line="240" w:lineRule="auto"/>
        <w:jc w:val="both"/>
        <w:rPr>
          <w:rFonts w:ascii="Times New Roman" w:hAnsi="Times New Roman"/>
          <w:color w:val="0070C0"/>
          <w:sz w:val="16"/>
          <w:szCs w:val="16"/>
          <w:lang w:eastAsia="ru-RU" w:bidi="ru-RU"/>
        </w:rPr>
      </w:pPr>
      <w:r w:rsidRPr="00C33834">
        <w:rPr>
          <w:rFonts w:ascii="Times New Roman" w:hAnsi="Times New Roman"/>
          <w:color w:val="0070C0"/>
          <w:sz w:val="16"/>
          <w:szCs w:val="16"/>
          <w:lang w:eastAsia="ru-RU" w:bidi="ru-RU"/>
        </w:rPr>
        <w:t>МДР-4 (АНТ-27) с размахом крыла 39,4 м строился в Конструкторском отделе сектора опыт</w:t>
      </w:r>
      <w:r w:rsidRPr="00C33834">
        <w:rPr>
          <w:rFonts w:ascii="Times New Roman" w:hAnsi="Times New Roman"/>
          <w:color w:val="0070C0"/>
          <w:sz w:val="16"/>
          <w:szCs w:val="16"/>
          <w:lang w:eastAsia="ru-RU" w:bidi="ru-RU"/>
        </w:rPr>
        <w:softHyphen/>
        <w:t>ного строительства (КОСОС) ЦАГИ, который предоставлял техническую документацию и оказывал помощь в процес</w:t>
      </w:r>
      <w:r w:rsidRPr="00C33834">
        <w:rPr>
          <w:rFonts w:ascii="Times New Roman" w:hAnsi="Times New Roman"/>
          <w:color w:val="0070C0"/>
          <w:sz w:val="16"/>
          <w:szCs w:val="16"/>
          <w:lang w:eastAsia="ru-RU" w:bidi="ru-RU"/>
        </w:rPr>
        <w:softHyphen/>
        <w:t>се внедрения этой машины в производство. Запуск в серию этого гидросамолета шел для завода № 31 очень сложно, поскольку ЦАГИ постоянно вносил измене</w:t>
      </w:r>
      <w:r w:rsidRPr="00C33834">
        <w:rPr>
          <w:rFonts w:ascii="Times New Roman" w:hAnsi="Times New Roman"/>
          <w:color w:val="0070C0"/>
          <w:sz w:val="16"/>
          <w:szCs w:val="16"/>
          <w:lang w:eastAsia="ru-RU" w:bidi="ru-RU"/>
        </w:rPr>
        <w:softHyphen/>
        <w:t>ния в чертежи. Кроме того, технологическую документацию и чертежи МДР-4 необходимо было передать в Иркутск на завод №125, где также планировалось начать производ</w:t>
      </w:r>
      <w:r w:rsidRPr="00C33834">
        <w:rPr>
          <w:rFonts w:ascii="Times New Roman" w:hAnsi="Times New Roman"/>
          <w:color w:val="0070C0"/>
          <w:sz w:val="16"/>
          <w:szCs w:val="16"/>
          <w:lang w:eastAsia="ru-RU" w:bidi="ru-RU"/>
        </w:rPr>
        <w:softHyphen/>
        <w:t>ство этой летающей лодки. (20325).</w:t>
      </w:r>
    </w:p>
    <w:p w14:paraId="26E6EE1F" w14:textId="77777777" w:rsidR="00201255" w:rsidRPr="00C33834" w:rsidRDefault="00201255" w:rsidP="00C33834">
      <w:pPr>
        <w:pStyle w:val="aff0"/>
        <w:spacing w:line="240" w:lineRule="auto"/>
        <w:rPr>
          <w:rFonts w:ascii="Times New Roman" w:hAnsi="Times New Roman" w:cs="Times New Roman"/>
          <w:color w:val="0070C0"/>
          <w:sz w:val="16"/>
          <w:szCs w:val="16"/>
          <w:lang w:val="ru-RU"/>
        </w:rPr>
      </w:pPr>
    </w:p>
    <w:p w14:paraId="5B93C2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декабря 1933 Начальник ВВС РККА Яков Алкснис лично принимал участие в выработке тактико-технических требований: "На 20 часов 7 декабря назначаю у себя совещание по этим техтребованиям. Хотелось бы на обоих самолетах иметь более сильное и более дальнобойное вооружение".</w:t>
      </w:r>
    </w:p>
    <w:p w14:paraId="4E915B8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Интересно, что в дальнейшем упоминания двухместного истребителя ДИ-7 не встречаются. На каком-то этапе развития событий возник вариант установки на ДИ-7 двух спаренных двигателей, одного за другим, врашающих два воздушных винта в противоположных направлениях. В отношении такой моторной установки пользовались определением "механическая спарка". Интерес к этой теме в 1935 г. усилился в связи с развертыванием проектных работ по созданию рекордного скоростного самолета. В результате моторному заводу № 26 поручили задание на разработку "механической спарки" двигателей М-100 (затем М-103). Позднее работа продолжилась и выразилась в создании экспериментального самолета "С" конструкции Болховитинова. Однако к истории И-17 это уже никоим образом не относилось (12016).</w:t>
      </w:r>
    </w:p>
    <w:p w14:paraId="397087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CFCF5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декабря 1933 Нач. ГУАП Королев писал в Секретариат СТО тов. Базилевичу за № 353/с:</w:t>
      </w:r>
    </w:p>
    <w:p w14:paraId="7F5C400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Справка о расчете стоимости</w:t>
      </w:r>
    </w:p>
    <w:p w14:paraId="111216D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Стоимость мотора “Райт-Циклон” исчисляется в долларах и рублях по той причине, что из Америки от нашего Уполномоченного стоимость мотора дана в долларах.</w:t>
      </w:r>
    </w:p>
    <w:p w14:paraId="7E0290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Стоимость доллара принята в 2 руб., исходя из того, что при покупках в кредит Наркомвнешторг расчитывает стоимость доллара по твердому курсу, т.е. 1 руб. 94 коп. С добавлением % за кредит и 6% накоадных расходов. Таким образом, исходя из расчетов, следовало бы считать доллар в 2 руб. 17 коп.</w:t>
      </w:r>
    </w:p>
    <w:p w14:paraId="436564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Поскольку, однако, цена на моторы даны сразу из Америки, ориентировочно, поэтому и найдено было возможным расчеты произвести исходя из округленной цифры в 2 руб.</w:t>
      </w:r>
    </w:p>
    <w:p w14:paraId="23DEE6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Производить расчет стоимости по переменному курсу при покупках в кредит не представляется возможным, т.к. на 4.12 курс доллара 1 руб. 26 коп., в то время как на 4.11 он был 1 руб. 30 коп. И неизвестно, какой курс будет на последующие дни.</w:t>
      </w:r>
    </w:p>
    <w:p w14:paraId="3937818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Цены же по заказу на моторы Испано-Сюиза из Франции были получены прямо в рублях, почему в переводе не было надобности (4170,27).</w:t>
      </w:r>
    </w:p>
    <w:p w14:paraId="2171F8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C4EB7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7 декабря 1933 г. начальник ГУАП Королев, сменивший на этом посту пог ибшего в авиационной катастрофе Баранова, приказал "в связи с тем, что МДР-4 поставлен на производство на заводе №31, образец этой машины и чертежи еще не проверены - считать возможным на 1934 г. этот тип морской машины с плана производства завода №125 снять...Признать необходимым на заводе №125 на 1934 г. поставить производство И-14. Для обеспечения организации производства И-14 т.т. Хомскому и Туполеву проработать организационные вопросы... т. Десятникову (ВИАМ) приступить к разработке вопроса по хромомолибденовым трубам с определением методов термической обработки на наших производственных ... заводах. К этой работе привлечь от ЦАГИ т. Сухого...обеспечить приобретение соответствующего оборудования для термических цехов заводов..."</w:t>
      </w:r>
    </w:p>
    <w:p w14:paraId="62F0DE6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 летающая лодка не стала первенцем нового авиазавода на берегу Ангары. К этой теме здесь вернутся через 55 лет, уже на другом техническом уровне и в другую эпоху. Но сохранится тандем Иркутска и Таганрога. Но об этом позднее. А в декабре 1933 г. нарком тяжелой промышленности С.Орджоникидзе выпустил довольно лаконичный, но строгий приказ, обязывающий Главстройпром выделить заводу № 125 долгожданные 25 сборных домов, 3000 кубометров круглого и 2000 кубометров пиленого леса, 1500 т цемента, 103 000 м провода и 12 ООО бронированного кабеля и 18 т сталеалюми- ниевого провода для ЛЭП. Одновременно на завод направлялись 15 инженеров-механиков, 15 инженеров-технологов, 60 техников-конструкторов и 60 техников-технологов. Из них "доехали" до далекого сибирского города, конечно, не все, но основная масса честно исполнила свой служебный долг и сформировала костяк производственного персонала завода №125.</w:t>
      </w:r>
    </w:p>
    <w:p w14:paraId="4D91AB1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1934 г. заводу был дан техпромфин- план, предусматривающий строительство 15 самолетов И-14. Из них два предписывалось построить в третьем квартале, а 13 - в четвертом. К 1 января 1934 г. следовало иметь задел на шесть самолетов И-14 и 3,6 (?) групповых комплекта. Для самолетов 1 -й серии устанавливался цикл производства, равный пяти месяцам и 4,5 месяцев - для 4-й серии. Трудоемкость изготовления И-14 устанавливалась в объеме 16 960 ч.</w:t>
      </w:r>
    </w:p>
    <w:p w14:paraId="685DE46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выполнения плана утверждался штат 390 производственных рабочих и 390 вспомогательных. К этому следует прибавить 250 строителей, 33 человека младшего обслуживающего персонала. Штат И ГР должен был составить 207 человек, служащих - 129 человек. Интересны цифры зарплаты - годовая у рабочих планировалась в 2905 руб., для ИТР - 6600 руб., служащих - 3375 руб.</w:t>
      </w:r>
    </w:p>
    <w:p w14:paraId="75111D9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вмешательства энергичного наркома и действий Гамарника, снабжение заметно улучшилось, что и дало возможность достроить завод к августу 1934 г. (12037).</w:t>
      </w:r>
    </w:p>
    <w:p w14:paraId="2CA8E4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6484B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7 по 8 декабря 1933 года в НИИ ВВС апроходили гос. испытания авиационного скорострельного пулемета системы Дегтярева (ДАС).</w:t>
      </w:r>
    </w:p>
    <w:p w14:paraId="7E8E036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292632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15 сектора НИИ ВВС Базенау</w:t>
      </w:r>
    </w:p>
    <w:p w14:paraId="3977EA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 Инженер 15 сектора НИИ ВВС Воротников</w:t>
      </w:r>
    </w:p>
    <w:p w14:paraId="48650B5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6770708D"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Пулемет ДАС с магазинным питанием испытания не выдержал.</w:t>
      </w:r>
    </w:p>
    <w:p w14:paraId="5F9AC5A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4F9DC89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Определить возможность использования пулемета "ДАС" в качестве боевого оружия авиации.</w:t>
      </w:r>
    </w:p>
    <w:p w14:paraId="732483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пулемета производились на земле стрельбой со станка пулемета "Виккерс" со станиной конструктора Лукьянова. Питание осуществлялось магазинами пулемета ДА с усиленной заводной пружиной ……………………….</w:t>
      </w:r>
    </w:p>
    <w:p w14:paraId="5ADA4A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Краткое описание:</w:t>
      </w:r>
    </w:p>
    <w:p w14:paraId="03780E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Пулемет "ДАС" магазинного питания по устройству аналогичен пулемету ДА за исключением:</w:t>
      </w:r>
    </w:p>
    <w:p w14:paraId="2FDDBA7A"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достижения более высокого темпа стрельбы газовая камера перенесена ближе к патроннику ………………</w:t>
      </w:r>
    </w:p>
    <w:p w14:paraId="68479D87"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Возвратная пружина перенесена в заднее положение в связи с чем изменена конструкция ударника и спусковой рамы.</w:t>
      </w:r>
    </w:p>
    <w:p w14:paraId="1E7341A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Выводы:</w:t>
      </w:r>
    </w:p>
    <w:p w14:paraId="46A95B16"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15-й сектор НИИ ВВС считает, что пулемет "ДАС" с магазинным питанием испытания не выдержал по причине несогласованности работы подвижной системы пулемета с работой заводной пружины магазина (7396, 1-5).</w:t>
      </w:r>
    </w:p>
    <w:p w14:paraId="6A182B2A"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C3CD1BC"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446ED38"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007419B" w14:textId="77777777" w:rsidR="004F4BE1" w:rsidRPr="00C33834" w:rsidRDefault="004F4BE1" w:rsidP="00C33834">
      <w:pPr>
        <w:pStyle w:val="rtejustify"/>
        <w:spacing w:before="0" w:after="0"/>
        <w:rPr>
          <w:color w:val="000000" w:themeColor="text1"/>
          <w:sz w:val="16"/>
          <w:szCs w:val="16"/>
        </w:rPr>
      </w:pPr>
      <w:r w:rsidRPr="00C33834">
        <w:rPr>
          <w:rStyle w:val="af0"/>
          <w:i w:val="0"/>
          <w:color w:val="000000" w:themeColor="text1"/>
          <w:sz w:val="16"/>
          <w:szCs w:val="16"/>
        </w:rPr>
        <w:t xml:space="preserve">7 декабря 1933 г. </w:t>
      </w:r>
      <w:r w:rsidRPr="00C33834">
        <w:rPr>
          <w:color w:val="000000" w:themeColor="text1"/>
          <w:sz w:val="16"/>
          <w:szCs w:val="16"/>
        </w:rPr>
        <w:t>Докладная записка Наркомата по военным и морским делам СССР в СТО СССР об итогах работы конструкторского бюро Л. В. Курчевского и о задачах по дальнейшему развертыванию разработанных им артиллерийских систем¹*</w:t>
      </w:r>
    </w:p>
    <w:p w14:paraId="216C9CFE" w14:textId="77777777" w:rsidR="004F4BE1" w:rsidRPr="00C33834" w:rsidRDefault="004F4BE1" w:rsidP="00C33834">
      <w:pPr>
        <w:pStyle w:val="rtejustify"/>
        <w:spacing w:before="0" w:after="0"/>
        <w:rPr>
          <w:color w:val="000000" w:themeColor="text1"/>
          <w:sz w:val="16"/>
          <w:szCs w:val="16"/>
        </w:rPr>
      </w:pPr>
      <w:r w:rsidRPr="00C33834">
        <w:rPr>
          <w:color w:val="000000" w:themeColor="text1"/>
          <w:sz w:val="16"/>
          <w:szCs w:val="16"/>
        </w:rPr>
        <w:t>Итоги работ конструкторского бюро инженера Курчевского по безоткатным орудиям ДРП таковы:</w:t>
      </w:r>
    </w:p>
    <w:p w14:paraId="5ECF9343" w14:textId="77777777" w:rsidR="004F4BE1" w:rsidRPr="00C33834" w:rsidRDefault="004F4BE1" w:rsidP="00C33834">
      <w:pPr>
        <w:pStyle w:val="rtejustify"/>
        <w:spacing w:before="0" w:after="0"/>
        <w:rPr>
          <w:color w:val="000000" w:themeColor="text1"/>
          <w:sz w:val="16"/>
          <w:szCs w:val="16"/>
        </w:rPr>
      </w:pPr>
      <w:r w:rsidRPr="00C33834">
        <w:rPr>
          <w:color w:val="000000" w:themeColor="text1"/>
          <w:sz w:val="16"/>
          <w:szCs w:val="16"/>
        </w:rPr>
        <w:t>а) Выбраны НКВМором как лучшие и доработаны для массового производства в 1934 г. следующие системы: 37</w:t>
      </w:r>
      <w:r w:rsidRPr="00C33834">
        <w:rPr>
          <w:color w:val="000000" w:themeColor="text1"/>
          <w:sz w:val="16"/>
          <w:szCs w:val="16"/>
        </w:rPr>
        <w:noBreakHyphen/>
        <w:t>мм ружье весом 35 кг, с бронепробиваемостью — 20</w:t>
      </w:r>
      <w:r w:rsidRPr="00C33834">
        <w:rPr>
          <w:color w:val="000000" w:themeColor="text1"/>
          <w:sz w:val="16"/>
          <w:szCs w:val="16"/>
        </w:rPr>
        <w:noBreakHyphen/>
        <w:t>мм броня на дистанцию около 600 м; 76</w:t>
      </w:r>
      <w:r w:rsidRPr="00C33834">
        <w:rPr>
          <w:color w:val="000000" w:themeColor="text1"/>
          <w:sz w:val="16"/>
          <w:szCs w:val="16"/>
        </w:rPr>
        <w:noBreakHyphen/>
        <w:t>мм батальонная пушка весом около 180 кг с дальностью до 7 км; 76</w:t>
      </w:r>
      <w:r w:rsidRPr="00C33834">
        <w:rPr>
          <w:color w:val="000000" w:themeColor="text1"/>
          <w:sz w:val="16"/>
          <w:szCs w:val="16"/>
        </w:rPr>
        <w:noBreakHyphen/>
        <w:t>мм самоходная пушка на трехосном шасси легкового «Форда» с дальностью до 7 км; 76</w:t>
      </w:r>
      <w:r w:rsidRPr="00C33834">
        <w:rPr>
          <w:color w:val="000000" w:themeColor="text1"/>
          <w:sz w:val="16"/>
          <w:szCs w:val="16"/>
        </w:rPr>
        <w:noBreakHyphen/>
        <w:t>мм противокатерная пушка для вооружения катеров и подлодок; 76</w:t>
      </w:r>
      <w:r w:rsidRPr="00C33834">
        <w:rPr>
          <w:color w:val="000000" w:themeColor="text1"/>
          <w:sz w:val="16"/>
          <w:szCs w:val="16"/>
        </w:rPr>
        <w:noBreakHyphen/>
        <w:t>мм авиационная пушка (АПК</w:t>
      </w:r>
      <w:r w:rsidRPr="00C33834">
        <w:rPr>
          <w:color w:val="000000" w:themeColor="text1"/>
          <w:sz w:val="16"/>
          <w:szCs w:val="16"/>
        </w:rPr>
        <w:noBreakHyphen/>
        <w:t>4) с начальной скоростью около 390 м/с.</w:t>
      </w:r>
    </w:p>
    <w:p w14:paraId="5C516D1F" w14:textId="77777777" w:rsidR="004F4BE1" w:rsidRPr="00C33834" w:rsidRDefault="004F4BE1" w:rsidP="00C33834">
      <w:pPr>
        <w:pStyle w:val="rtejustify"/>
        <w:spacing w:before="0" w:after="0"/>
        <w:rPr>
          <w:color w:val="000000" w:themeColor="text1"/>
          <w:sz w:val="16"/>
          <w:szCs w:val="16"/>
        </w:rPr>
      </w:pPr>
      <w:r w:rsidRPr="00C33834">
        <w:rPr>
          <w:color w:val="000000" w:themeColor="text1"/>
          <w:sz w:val="16"/>
          <w:szCs w:val="16"/>
        </w:rPr>
        <w:t>б) Не приняты НКВМ ввиду имеющихся недостатков: 76</w:t>
      </w:r>
      <w:r w:rsidRPr="00C33834">
        <w:rPr>
          <w:color w:val="000000" w:themeColor="text1"/>
          <w:sz w:val="16"/>
          <w:szCs w:val="16"/>
        </w:rPr>
        <w:noBreakHyphen/>
        <w:t>мм ротная мортира весом 38 кг с дальностью около 3 км (ввиду плохой меткости); 37</w:t>
      </w:r>
      <w:r w:rsidRPr="00C33834">
        <w:rPr>
          <w:color w:val="000000" w:themeColor="text1"/>
          <w:sz w:val="16"/>
          <w:szCs w:val="16"/>
        </w:rPr>
        <w:noBreakHyphen/>
        <w:t>мм ружье малой мощности; 65</w:t>
      </w:r>
      <w:r w:rsidRPr="00C33834">
        <w:rPr>
          <w:color w:val="000000" w:themeColor="text1"/>
          <w:sz w:val="16"/>
          <w:szCs w:val="16"/>
        </w:rPr>
        <w:noBreakHyphen/>
        <w:t>мм авиационная пушка (неудовлетворительная мощность).</w:t>
      </w:r>
    </w:p>
    <w:p w14:paraId="3AD41ACC" w14:textId="77777777" w:rsidR="004F4BE1" w:rsidRPr="00C33834" w:rsidRDefault="004F4BE1" w:rsidP="00C33834">
      <w:pPr>
        <w:pStyle w:val="rtejustify"/>
        <w:spacing w:before="0" w:after="0"/>
        <w:rPr>
          <w:color w:val="000000" w:themeColor="text1"/>
          <w:sz w:val="16"/>
          <w:szCs w:val="16"/>
        </w:rPr>
      </w:pPr>
      <w:r w:rsidRPr="00C33834">
        <w:rPr>
          <w:color w:val="000000" w:themeColor="text1"/>
          <w:sz w:val="16"/>
          <w:szCs w:val="16"/>
        </w:rPr>
        <w:t>в) Изготовлены новые опытные образцы: 76</w:t>
      </w:r>
      <w:r w:rsidRPr="00C33834">
        <w:rPr>
          <w:color w:val="000000" w:themeColor="text1"/>
          <w:sz w:val="16"/>
          <w:szCs w:val="16"/>
        </w:rPr>
        <w:noBreakHyphen/>
        <w:t>мм горная пушка с теми же данными, что и батальонная пушка; 37</w:t>
      </w:r>
      <w:r w:rsidRPr="00C33834">
        <w:rPr>
          <w:color w:val="000000" w:themeColor="text1"/>
          <w:sz w:val="16"/>
          <w:szCs w:val="16"/>
        </w:rPr>
        <w:noBreakHyphen/>
        <w:t>мм автоматическая авиационная пушка; 100</w:t>
      </w:r>
      <w:r w:rsidRPr="00C33834">
        <w:rPr>
          <w:color w:val="000000" w:themeColor="text1"/>
          <w:sz w:val="16"/>
          <w:szCs w:val="16"/>
        </w:rPr>
        <w:noBreakHyphen/>
        <w:t>мм авиационная пушка с начальной скоростью (расчетной) около 500 м/с и весом 400 кг.</w:t>
      </w:r>
    </w:p>
    <w:p w14:paraId="7614EA75" w14:textId="77777777" w:rsidR="004F4BE1" w:rsidRPr="00C33834" w:rsidRDefault="004F4BE1" w:rsidP="00C33834">
      <w:pPr>
        <w:pStyle w:val="rtejustify"/>
        <w:spacing w:before="0" w:after="0"/>
        <w:rPr>
          <w:color w:val="000000" w:themeColor="text1"/>
          <w:sz w:val="16"/>
          <w:szCs w:val="16"/>
        </w:rPr>
      </w:pPr>
      <w:r w:rsidRPr="00C33834">
        <w:rPr>
          <w:color w:val="000000" w:themeColor="text1"/>
          <w:sz w:val="16"/>
          <w:szCs w:val="16"/>
        </w:rPr>
        <w:t>В 1933 г. НКТП должен был выполнить первую опытно-валовую серию систем. Выполнение этого заказа прошло совершенно неудовлетворительно. На 1 ноября состояние заказа таково: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185"/>
        <w:gridCol w:w="1474"/>
        <w:gridCol w:w="2206"/>
        <w:gridCol w:w="1457"/>
      </w:tblGrid>
      <w:tr w:rsidR="00F26F01" w:rsidRPr="00C33834" w14:paraId="0C8ADA4C"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738F5B" w14:textId="77777777" w:rsidR="004F4BE1" w:rsidRPr="00C33834" w:rsidRDefault="004F4B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F4B7C" w14:textId="77777777" w:rsidR="004F4BE1" w:rsidRPr="00C33834" w:rsidRDefault="004F4B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Заказ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F9B14" w14:textId="77777777" w:rsidR="004F4BE1" w:rsidRPr="00C33834" w:rsidRDefault="004F4B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Пересмотр задания</w:t>
            </w:r>
          </w:p>
          <w:p w14:paraId="2DBD2F99" w14:textId="77777777" w:rsidR="004F4BE1" w:rsidRPr="00C33834" w:rsidRDefault="004F4B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правительственной</w:t>
            </w:r>
          </w:p>
          <w:p w14:paraId="4DD7D89F" w14:textId="77777777" w:rsidR="004F4BE1" w:rsidRPr="00C33834" w:rsidRDefault="004F4B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комиссии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E3602" w14:textId="77777777" w:rsidR="004F4BE1" w:rsidRPr="00C33834" w:rsidRDefault="004F4B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w:t>
            </w:r>
          </w:p>
        </w:tc>
      </w:tr>
      <w:tr w:rsidR="00F26F01" w:rsidRPr="00C33834" w14:paraId="58350DA1"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E55AEB" w14:textId="77777777" w:rsidR="004F4BE1" w:rsidRPr="00C33834" w:rsidRDefault="004F4B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w:t>
            </w:r>
            <w:r w:rsidRPr="00C33834">
              <w:rPr>
                <w:rFonts w:ascii="Times New Roman" w:hAnsi="Times New Roman"/>
                <w:color w:val="000000" w:themeColor="text1"/>
                <w:sz w:val="16"/>
                <w:szCs w:val="16"/>
              </w:rPr>
              <w:noBreakHyphen/>
              <w:t>мм ружье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DC3E3" w14:textId="77777777" w:rsidR="004F4BE1" w:rsidRPr="00C33834" w:rsidRDefault="004F4B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09F1F" w14:textId="77777777" w:rsidR="004F4BE1" w:rsidRPr="00C33834" w:rsidRDefault="004F4B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5694A" w14:textId="77777777" w:rsidR="004F4BE1" w:rsidRPr="00C33834" w:rsidRDefault="004F4B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tc>
      </w:tr>
      <w:tr w:rsidR="00F26F01" w:rsidRPr="00C33834" w14:paraId="340EB361"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58B9DA" w14:textId="77777777" w:rsidR="004F4BE1" w:rsidRPr="00C33834" w:rsidRDefault="004F4B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r w:rsidRPr="00C33834">
              <w:rPr>
                <w:rFonts w:ascii="Times New Roman" w:hAnsi="Times New Roman"/>
                <w:color w:val="000000" w:themeColor="text1"/>
                <w:sz w:val="16"/>
                <w:szCs w:val="16"/>
              </w:rPr>
              <w:noBreakHyphen/>
              <w:t>мм батальонная пушка «К»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E83F0" w14:textId="77777777" w:rsidR="004F4BE1" w:rsidRPr="00C33834" w:rsidRDefault="004F4B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85A51" w14:textId="77777777" w:rsidR="004F4BE1" w:rsidRPr="00C33834" w:rsidRDefault="004F4B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D9DE2" w14:textId="77777777" w:rsidR="004F4BE1" w:rsidRPr="00C33834" w:rsidRDefault="004F4B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w:t>
            </w:r>
          </w:p>
        </w:tc>
      </w:tr>
      <w:tr w:rsidR="00F26F01" w:rsidRPr="00C33834" w14:paraId="0936420E"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0466A2" w14:textId="77777777" w:rsidR="004F4BE1" w:rsidRPr="00C33834" w:rsidRDefault="004F4B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r w:rsidRPr="00C33834">
              <w:rPr>
                <w:rFonts w:ascii="Times New Roman" w:hAnsi="Times New Roman"/>
                <w:color w:val="000000" w:themeColor="text1"/>
                <w:sz w:val="16"/>
                <w:szCs w:val="16"/>
              </w:rPr>
              <w:noBreakHyphen/>
              <w:t>мм самоходная и катерная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218E3" w14:textId="77777777" w:rsidR="004F4BE1" w:rsidRPr="00C33834" w:rsidRDefault="004F4B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1939B" w14:textId="77777777" w:rsidR="004F4BE1" w:rsidRPr="00C33834" w:rsidRDefault="004F4B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884AB" w14:textId="77777777" w:rsidR="004F4BE1" w:rsidRPr="00C33834" w:rsidRDefault="004F4B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tc>
      </w:tr>
      <w:tr w:rsidR="00F26F01" w:rsidRPr="00C33834" w14:paraId="58587EB8"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90D3D4" w14:textId="77777777" w:rsidR="004F4BE1" w:rsidRPr="00C33834" w:rsidRDefault="004F4B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r w:rsidRPr="00C33834">
              <w:rPr>
                <w:rFonts w:ascii="Times New Roman" w:hAnsi="Times New Roman"/>
                <w:color w:val="000000" w:themeColor="text1"/>
                <w:sz w:val="16"/>
                <w:szCs w:val="16"/>
              </w:rPr>
              <w:noBreakHyphen/>
              <w:t>мм авиационная пушка (АПК</w:t>
            </w:r>
            <w:r w:rsidRPr="00C33834">
              <w:rPr>
                <w:rFonts w:ascii="Times New Roman" w:hAnsi="Times New Roman"/>
                <w:color w:val="000000" w:themeColor="text1"/>
                <w:sz w:val="16"/>
                <w:szCs w:val="16"/>
              </w:rPr>
              <w:noBreakHyphen/>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B1D18" w14:textId="77777777" w:rsidR="004F4BE1" w:rsidRPr="00C33834" w:rsidRDefault="004F4B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7FA96" w14:textId="77777777" w:rsidR="004F4BE1" w:rsidRPr="00C33834" w:rsidRDefault="004F4B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51BCE" w14:textId="77777777" w:rsidR="004F4BE1" w:rsidRPr="00C33834" w:rsidRDefault="004F4B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w:t>
            </w:r>
          </w:p>
        </w:tc>
      </w:tr>
      <w:tr w:rsidR="00F26F01" w:rsidRPr="00C33834" w14:paraId="457488F2"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0248F9" w14:textId="77777777" w:rsidR="004F4BE1" w:rsidRPr="00C33834" w:rsidRDefault="004F4B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Переделка 76</w:t>
            </w:r>
            <w:r w:rsidRPr="00C33834">
              <w:rPr>
                <w:rFonts w:ascii="Times New Roman" w:hAnsi="Times New Roman"/>
                <w:color w:val="000000" w:themeColor="text1"/>
                <w:sz w:val="16"/>
                <w:szCs w:val="16"/>
              </w:rPr>
              <w:noBreakHyphen/>
              <w:t>мм авиационных пушек АПК</w:t>
            </w:r>
            <w:r w:rsidRPr="00C33834">
              <w:rPr>
                <w:rFonts w:ascii="Times New Roman" w:hAnsi="Times New Roman"/>
                <w:color w:val="000000" w:themeColor="text1"/>
                <w:sz w:val="16"/>
                <w:szCs w:val="16"/>
              </w:rPr>
              <w:noBreakHyphen/>
              <w:t>4 (старых)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65ECF" w14:textId="77777777" w:rsidR="004F4BE1" w:rsidRPr="00C33834" w:rsidRDefault="004F4B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009AF" w14:textId="77777777" w:rsidR="004F4BE1" w:rsidRPr="00C33834" w:rsidRDefault="004F4B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05A4A" w14:textId="77777777" w:rsidR="004F4BE1" w:rsidRPr="00C33834" w:rsidRDefault="004F4BE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w:t>
            </w:r>
          </w:p>
        </w:tc>
      </w:tr>
    </w:tbl>
    <w:p w14:paraId="22B6915F" w14:textId="77777777" w:rsidR="004F4BE1" w:rsidRPr="00C33834" w:rsidRDefault="004F4BE1" w:rsidP="00C33834">
      <w:pPr>
        <w:pStyle w:val="rtejustify"/>
        <w:spacing w:before="0" w:after="0"/>
        <w:rPr>
          <w:color w:val="000000" w:themeColor="text1"/>
          <w:sz w:val="16"/>
          <w:szCs w:val="16"/>
        </w:rPr>
      </w:pPr>
      <w:r w:rsidRPr="00C33834">
        <w:rPr>
          <w:color w:val="000000" w:themeColor="text1"/>
          <w:sz w:val="16"/>
          <w:szCs w:val="16"/>
        </w:rPr>
        <w:t>Основная причина невыполнения заказа — отсутствие заказа, который бы специализировался на изготовлении этих систем, как основных и главнейших для себя.</w:t>
      </w:r>
    </w:p>
    <w:p w14:paraId="50F3B1BE" w14:textId="77777777" w:rsidR="004F4BE1" w:rsidRPr="00C33834" w:rsidRDefault="004F4BE1" w:rsidP="00C33834">
      <w:pPr>
        <w:pStyle w:val="rtejustify"/>
        <w:spacing w:before="0" w:after="0"/>
        <w:rPr>
          <w:color w:val="000000" w:themeColor="text1"/>
          <w:sz w:val="16"/>
          <w:szCs w:val="16"/>
        </w:rPr>
      </w:pPr>
      <w:r w:rsidRPr="00C33834">
        <w:rPr>
          <w:color w:val="000000" w:themeColor="text1"/>
          <w:sz w:val="16"/>
          <w:szCs w:val="16"/>
        </w:rPr>
        <w:t>Широкие полигонные и войсковые испытания, которые НКВМ провел в течение 1933 г., еще раз подтверждают большое значение безоткатных орудий систем инженера Курчевского, в особенности 37</w:t>
      </w:r>
      <w:r w:rsidRPr="00C33834">
        <w:rPr>
          <w:color w:val="000000" w:themeColor="text1"/>
          <w:sz w:val="16"/>
          <w:szCs w:val="16"/>
        </w:rPr>
        <w:noBreakHyphen/>
        <w:t>мм противотанковых ружей и 76</w:t>
      </w:r>
      <w:r w:rsidRPr="00C33834">
        <w:rPr>
          <w:color w:val="000000" w:themeColor="text1"/>
          <w:sz w:val="16"/>
          <w:szCs w:val="16"/>
        </w:rPr>
        <w:noBreakHyphen/>
        <w:t>мм авиационных систем. Насыщение авиации мощными артиллерийскими орудиями стало вполне осуществимо путем использования систем Курчевского.</w:t>
      </w:r>
    </w:p>
    <w:p w14:paraId="2FF6A3C3" w14:textId="77777777" w:rsidR="004F4BE1" w:rsidRPr="00C33834" w:rsidRDefault="004F4BE1" w:rsidP="00C33834">
      <w:pPr>
        <w:pStyle w:val="rtejustify"/>
        <w:spacing w:before="0" w:after="0"/>
        <w:rPr>
          <w:color w:val="000000" w:themeColor="text1"/>
          <w:sz w:val="16"/>
          <w:szCs w:val="16"/>
        </w:rPr>
      </w:pPr>
      <w:r w:rsidRPr="00C33834">
        <w:rPr>
          <w:color w:val="000000" w:themeColor="text1"/>
          <w:sz w:val="16"/>
          <w:szCs w:val="16"/>
        </w:rPr>
        <w:t>Работы по авиационной артиллерии двинулись бы значительно быстрее, если бы наряду с конструированием новых авиационных орудий выделить в авиационной промышленности конструкторское бюро и завод, который бы конструировал специальные артиллерийские самолеты. Полгода тому назад совместно с НКТП (т. Барановым) было решено выделить для этих работ 133</w:t>
      </w:r>
      <w:r w:rsidRPr="00C33834">
        <w:rPr>
          <w:color w:val="000000" w:themeColor="text1"/>
          <w:sz w:val="16"/>
          <w:szCs w:val="16"/>
        </w:rPr>
        <w:noBreakHyphen/>
        <w:t>й авиационный завод. В настоящее время это конструкторское бюро передается 39</w:t>
      </w:r>
      <w:r w:rsidRPr="00C33834">
        <w:rPr>
          <w:color w:val="000000" w:themeColor="text1"/>
          <w:sz w:val="16"/>
          <w:szCs w:val="16"/>
        </w:rPr>
        <w:noBreakHyphen/>
        <w:t>му заводу, где необходимо обеспечить специальный опытный цех.</w:t>
      </w:r>
    </w:p>
    <w:p w14:paraId="23F52C3C" w14:textId="77777777" w:rsidR="004F4BE1" w:rsidRPr="00C33834" w:rsidRDefault="004F4BE1" w:rsidP="00C33834">
      <w:pPr>
        <w:pStyle w:val="rtejustify"/>
        <w:spacing w:before="0" w:after="0"/>
        <w:rPr>
          <w:color w:val="000000" w:themeColor="text1"/>
          <w:sz w:val="16"/>
          <w:szCs w:val="16"/>
        </w:rPr>
      </w:pPr>
      <w:r w:rsidRPr="00C33834">
        <w:rPr>
          <w:color w:val="000000" w:themeColor="text1"/>
          <w:sz w:val="16"/>
          <w:szCs w:val="16"/>
        </w:rPr>
        <w:t>Наконец, при практическом проведении работ в 1933 г. над системами Курчевского НКТПром и НКВМор встретились с весьма большими трудностями по изготовлению боеприпасов, которые отличны от обычных боеприпасов артиллерии. Новизна дела, медленное выполнение опытных заказов на огнеприпасы промышленностью — затянули окончательную их доработку. Учитывая, что по системам Курчевского основная задача в настоящее время заключается в создании производственной базы, в постановке массового производства этих систем и создании огнеприпасов, НКВМ просит утвердить ряд мероприятий, изложенных в прилагаемом проекте постановления СТО.</w:t>
      </w:r>
    </w:p>
    <w:p w14:paraId="0FAEBCB6" w14:textId="77777777" w:rsidR="004F4BE1" w:rsidRPr="00C33834" w:rsidRDefault="004F4BE1" w:rsidP="00C33834">
      <w:pPr>
        <w:pStyle w:val="rtejustify"/>
        <w:spacing w:before="0" w:after="0"/>
        <w:rPr>
          <w:color w:val="000000" w:themeColor="text1"/>
          <w:sz w:val="16"/>
          <w:szCs w:val="16"/>
        </w:rPr>
      </w:pPr>
      <w:r w:rsidRPr="00C33834">
        <w:rPr>
          <w:rStyle w:val="af0"/>
          <w:i w:val="0"/>
          <w:color w:val="000000" w:themeColor="text1"/>
          <w:sz w:val="16"/>
          <w:szCs w:val="16"/>
        </w:rPr>
        <w:t>Приложение</w:t>
      </w:r>
      <w:r w:rsidRPr="00C33834">
        <w:rPr>
          <w:color w:val="000000" w:themeColor="text1"/>
          <w:sz w:val="16"/>
          <w:szCs w:val="16"/>
        </w:rPr>
        <w:t>: проект постановления СТО²*.</w:t>
      </w:r>
    </w:p>
    <w:p w14:paraId="3D8A4D76" w14:textId="77777777" w:rsidR="004F4BE1" w:rsidRPr="00C33834" w:rsidRDefault="004F4BE1" w:rsidP="00C33834">
      <w:pPr>
        <w:pStyle w:val="ae"/>
        <w:spacing w:before="0" w:after="0"/>
        <w:jc w:val="both"/>
        <w:rPr>
          <w:color w:val="000000" w:themeColor="text1"/>
          <w:sz w:val="16"/>
          <w:szCs w:val="16"/>
        </w:rPr>
      </w:pPr>
      <w:r w:rsidRPr="00C33834">
        <w:rPr>
          <w:rStyle w:val="af0"/>
          <w:i w:val="0"/>
          <w:color w:val="000000" w:themeColor="text1"/>
          <w:sz w:val="16"/>
          <w:szCs w:val="16"/>
        </w:rPr>
        <w:t>Народный комиссар по военным и морским делам и председатель РВС Союза ССР Ворошилов</w:t>
      </w:r>
    </w:p>
    <w:p w14:paraId="7DCA7C4F" w14:textId="77777777" w:rsidR="004F4BE1" w:rsidRPr="00C33834" w:rsidRDefault="004F4BE1"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Примечания</w:t>
      </w:r>
      <w:r w:rsidRPr="00C33834">
        <w:rPr>
          <w:color w:val="000000" w:themeColor="text1"/>
          <w:sz w:val="16"/>
          <w:szCs w:val="16"/>
        </w:rPr>
        <w:t>:</w:t>
      </w:r>
    </w:p>
    <w:p w14:paraId="5C0FD7BC" w14:textId="77777777" w:rsidR="004F4BE1" w:rsidRPr="00C33834" w:rsidRDefault="004F4BE1" w:rsidP="00C33834">
      <w:pPr>
        <w:pStyle w:val="rtejustify"/>
        <w:spacing w:before="0" w:after="0"/>
        <w:rPr>
          <w:color w:val="000000" w:themeColor="text1"/>
          <w:sz w:val="16"/>
          <w:szCs w:val="16"/>
        </w:rPr>
      </w:pPr>
      <w:r w:rsidRPr="00C33834">
        <w:rPr>
          <w:color w:val="000000" w:themeColor="text1"/>
          <w:sz w:val="16"/>
          <w:szCs w:val="16"/>
        </w:rPr>
        <w:t xml:space="preserve">¹* Согласно </w:t>
      </w:r>
      <w:r w:rsidRPr="00C33834">
        <w:rPr>
          <w:rStyle w:val="af0"/>
          <w:bCs/>
          <w:i w:val="0"/>
          <w:color w:val="000000" w:themeColor="text1"/>
          <w:sz w:val="16"/>
          <w:szCs w:val="16"/>
        </w:rPr>
        <w:t>постановлению СТО СССР № К</w:t>
      </w:r>
      <w:r w:rsidRPr="00C33834">
        <w:rPr>
          <w:rStyle w:val="af0"/>
          <w:bCs/>
          <w:i w:val="0"/>
          <w:color w:val="000000" w:themeColor="text1"/>
          <w:sz w:val="16"/>
          <w:szCs w:val="16"/>
        </w:rPr>
        <w:noBreakHyphen/>
        <w:t>10сс от 15 января 1934 г</w:t>
      </w:r>
      <w:r w:rsidRPr="00C33834">
        <w:rPr>
          <w:color w:val="000000" w:themeColor="text1"/>
          <w:sz w:val="16"/>
          <w:szCs w:val="16"/>
        </w:rPr>
        <w:t>. «Об обеспечении военно-морских сил РККА артиллерийскими системами инженера Курчевского» для разработки, применения и боевого использования системы инженера Курчевского на кораблях военно-морских сил РККА должно было быть организовано Специальное морское конструкторское бюро. Наркомтяжпрому поручалось изготовить на заводе «Большевик» две 305</w:t>
      </w:r>
      <w:r w:rsidRPr="00C33834">
        <w:rPr>
          <w:color w:val="000000" w:themeColor="text1"/>
          <w:sz w:val="16"/>
          <w:szCs w:val="16"/>
        </w:rPr>
        <w:noBreakHyphen/>
        <w:t>мм трубы с соплами, на заводе «им. Молотова» — восемь комплектов 152</w:t>
      </w:r>
      <w:r w:rsidRPr="00C33834">
        <w:rPr>
          <w:color w:val="000000" w:themeColor="text1"/>
          <w:sz w:val="16"/>
          <w:szCs w:val="16"/>
        </w:rPr>
        <w:noBreakHyphen/>
        <w:t>мм орудий, на заводе — «Красный путиловец» 8 орудий к 1 июля 1934 г., на заводе № 7 150 шт. 76,2</w:t>
      </w:r>
      <w:r w:rsidRPr="00C33834">
        <w:rPr>
          <w:color w:val="000000" w:themeColor="text1"/>
          <w:sz w:val="16"/>
          <w:szCs w:val="16"/>
        </w:rPr>
        <w:noBreakHyphen/>
        <w:t>мм морских установок (образец КПК) для вооружения ВМФ в 1934 г.; спроектировать снаряды для указанных систем — 50 для 305</w:t>
      </w:r>
      <w:r w:rsidRPr="00C33834">
        <w:rPr>
          <w:color w:val="000000" w:themeColor="text1"/>
          <w:sz w:val="16"/>
          <w:szCs w:val="16"/>
        </w:rPr>
        <w:noBreakHyphen/>
        <w:t>мм, 700 — для 152</w:t>
      </w:r>
      <w:r w:rsidRPr="00C33834">
        <w:rPr>
          <w:color w:val="000000" w:themeColor="text1"/>
          <w:sz w:val="16"/>
          <w:szCs w:val="16"/>
        </w:rPr>
        <w:noBreakHyphen/>
        <w:t>мм, 500 выстрелов для — 76,2</w:t>
      </w:r>
      <w:r w:rsidRPr="00C33834">
        <w:rPr>
          <w:color w:val="000000" w:themeColor="text1"/>
          <w:sz w:val="16"/>
          <w:szCs w:val="16"/>
        </w:rPr>
        <w:noBreakHyphen/>
        <w:t xml:space="preserve">мм. В соответствии с этим НКВМор должен выдать НКТПрому заказ на 150 систем КПК и 75 тыс. выстрелов к ним. Все чертежи и баллистические расчеты, а также чертежи </w:t>
      </w:r>
      <w:r w:rsidRPr="00C33834">
        <w:rPr>
          <w:color w:val="000000" w:themeColor="text1"/>
          <w:sz w:val="16"/>
          <w:szCs w:val="16"/>
        </w:rPr>
        <w:lastRenderedPageBreak/>
        <w:t>станков и всех необходимых механизмов подачи и заряжания для указанных калибров должен был изготовить Курчевский к 1 мая 1934 г. Необходимые средства НКТПром выделял из своих лимитов. (ГАРФ. Ф. 8418. Оп. 28. Д. 4. Л. 28</w:t>
      </w:r>
      <w:r w:rsidRPr="00C33834">
        <w:rPr>
          <w:color w:val="000000" w:themeColor="text1"/>
          <w:sz w:val="16"/>
          <w:szCs w:val="16"/>
        </w:rPr>
        <w:noBreakHyphen/>
        <w:t>29).</w:t>
      </w:r>
    </w:p>
    <w:p w14:paraId="66D43D02" w14:textId="77777777" w:rsidR="004F4BE1" w:rsidRPr="00C33834" w:rsidRDefault="004F4BE1" w:rsidP="00C33834">
      <w:pPr>
        <w:pStyle w:val="rtejustify"/>
        <w:spacing w:before="0" w:after="0"/>
        <w:rPr>
          <w:color w:val="000000" w:themeColor="text1"/>
          <w:sz w:val="16"/>
          <w:szCs w:val="16"/>
        </w:rPr>
      </w:pPr>
      <w:r w:rsidRPr="00C33834">
        <w:rPr>
          <w:color w:val="000000" w:themeColor="text1"/>
          <w:sz w:val="16"/>
          <w:szCs w:val="16"/>
        </w:rPr>
        <w:t>²* Проект не публикуется (см. там же, л. 351).</w:t>
      </w:r>
    </w:p>
    <w:p w14:paraId="77355D46" w14:textId="77777777" w:rsidR="004F4BE1" w:rsidRPr="00C33834" w:rsidRDefault="004F4BE1" w:rsidP="00C33834">
      <w:pPr>
        <w:pStyle w:val="ae"/>
        <w:spacing w:before="0" w:after="0"/>
        <w:jc w:val="both"/>
        <w:rPr>
          <w:color w:val="000000" w:themeColor="text1"/>
          <w:sz w:val="16"/>
          <w:szCs w:val="16"/>
        </w:rPr>
      </w:pPr>
      <w:r w:rsidRPr="00C33834">
        <w:rPr>
          <w:color w:val="000000" w:themeColor="text1"/>
          <w:sz w:val="16"/>
          <w:szCs w:val="16"/>
        </w:rPr>
        <w:t>РГАЭ. Ф. 7297. Оп. 41. Д. 73. Л. 353-352. Заверенная копия (15287).</w:t>
      </w:r>
    </w:p>
    <w:p w14:paraId="554847AE" w14:textId="77777777" w:rsidR="004F4BE1" w:rsidRPr="00C33834" w:rsidRDefault="004F4BE1" w:rsidP="00C33834">
      <w:pPr>
        <w:autoSpaceDE w:val="0"/>
        <w:autoSpaceDN w:val="0"/>
        <w:adjustRightInd w:val="0"/>
        <w:spacing w:after="0" w:line="240" w:lineRule="auto"/>
        <w:jc w:val="both"/>
        <w:rPr>
          <w:rFonts w:ascii="Times New Roman" w:hAnsi="Times New Roman"/>
          <w:color w:val="000000" w:themeColor="text1"/>
          <w:sz w:val="16"/>
          <w:szCs w:val="16"/>
        </w:rPr>
      </w:pPr>
    </w:p>
    <w:p w14:paraId="69032D11" w14:textId="77777777" w:rsidR="00201255" w:rsidRPr="00C33834" w:rsidRDefault="0020125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8 декабря 1933 г. Сводный план опытного строительства был впервые обнародован Управлением ВВС РККА А после утверждения уточненного плана опытного строительства 14 февраля 1934 г. в ЦКБ приступили к со</w:t>
      </w:r>
      <w:r w:rsidRPr="00C33834">
        <w:rPr>
          <w:rFonts w:ascii="Times New Roman" w:hAnsi="Times New Roman"/>
          <w:color w:val="0070C0"/>
          <w:sz w:val="16"/>
          <w:szCs w:val="16"/>
        </w:rPr>
        <w:softHyphen/>
        <w:t>зданию СР. СР, а так</w:t>
      </w:r>
      <w:r w:rsidRPr="00C33834">
        <w:rPr>
          <w:rFonts w:ascii="Times New Roman" w:hAnsi="Times New Roman"/>
          <w:color w:val="0070C0"/>
          <w:sz w:val="16"/>
          <w:szCs w:val="16"/>
        </w:rPr>
        <w:softHyphen/>
        <w:t>же как разведчик Р-9, разрабатывался под обозначени</w:t>
      </w:r>
      <w:r w:rsidRPr="00C33834">
        <w:rPr>
          <w:rFonts w:ascii="Times New Roman" w:hAnsi="Times New Roman"/>
          <w:color w:val="0070C0"/>
          <w:sz w:val="16"/>
          <w:szCs w:val="16"/>
        </w:rPr>
        <w:softHyphen/>
        <w:t>ем ЦКБ-27 разрабатывался в бригаде №1 Центрального конструкторского бюро, начиная с 1934 г. (20362).</w:t>
      </w:r>
    </w:p>
    <w:p w14:paraId="39E4E5FA" w14:textId="77777777" w:rsidR="00201255" w:rsidRPr="00C33834" w:rsidRDefault="00201255" w:rsidP="00C33834">
      <w:pPr>
        <w:spacing w:after="0" w:line="240" w:lineRule="auto"/>
        <w:jc w:val="both"/>
        <w:rPr>
          <w:rFonts w:ascii="Times New Roman" w:hAnsi="Times New Roman"/>
          <w:color w:val="0070C0"/>
          <w:sz w:val="16"/>
          <w:szCs w:val="16"/>
        </w:rPr>
      </w:pPr>
    </w:p>
    <w:p w14:paraId="1D578AE1" w14:textId="77777777" w:rsidR="00201255" w:rsidRPr="00C33834" w:rsidRDefault="0020125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8 декабря 1933-го был утвержден план опытного строительства ВВС РККА на 1934—1935 годы, в котором даже упоминания о дальних бомбардиров</w:t>
      </w:r>
      <w:r w:rsidRPr="00C33834">
        <w:rPr>
          <w:rFonts w:ascii="Times New Roman" w:hAnsi="Times New Roman"/>
          <w:color w:val="0070C0"/>
          <w:sz w:val="16"/>
          <w:szCs w:val="16"/>
        </w:rPr>
        <w:softHyphen/>
        <w:t>щиках не было. Этот класс самолетов появился поз</w:t>
      </w:r>
      <w:r w:rsidRPr="00C33834">
        <w:rPr>
          <w:rFonts w:ascii="Times New Roman" w:hAnsi="Times New Roman"/>
          <w:color w:val="0070C0"/>
          <w:sz w:val="16"/>
          <w:szCs w:val="16"/>
        </w:rPr>
        <w:softHyphen/>
        <w:t>же, после принятия 14 июля 1934 года постановления СТО об организации на всех крупных самолето- и мо</w:t>
      </w:r>
      <w:r w:rsidRPr="00C33834">
        <w:rPr>
          <w:rFonts w:ascii="Times New Roman" w:hAnsi="Times New Roman"/>
          <w:color w:val="0070C0"/>
          <w:sz w:val="16"/>
          <w:szCs w:val="16"/>
        </w:rPr>
        <w:softHyphen/>
        <w:t>торостроительных заводах, а также предприятиях, выпускавших вооружение и оборудование, конструк</w:t>
      </w:r>
      <w:r w:rsidRPr="00C33834">
        <w:rPr>
          <w:rFonts w:ascii="Times New Roman" w:hAnsi="Times New Roman"/>
          <w:color w:val="0070C0"/>
          <w:sz w:val="16"/>
          <w:szCs w:val="16"/>
        </w:rPr>
        <w:softHyphen/>
        <w:t>торских бюро. Это позволило сначала разгрузить ЦКБ завода № 39, а затем образовать самостоятельные опытные конструкторские бюро (23188).</w:t>
      </w:r>
    </w:p>
    <w:p w14:paraId="42779229" w14:textId="77777777" w:rsidR="00201255" w:rsidRPr="00C33834" w:rsidRDefault="00201255" w:rsidP="00C33834">
      <w:pPr>
        <w:spacing w:after="0" w:line="240" w:lineRule="auto"/>
        <w:jc w:val="both"/>
        <w:rPr>
          <w:rFonts w:ascii="Times New Roman" w:hAnsi="Times New Roman"/>
          <w:color w:val="0070C0"/>
          <w:sz w:val="16"/>
          <w:szCs w:val="16"/>
        </w:rPr>
      </w:pPr>
    </w:p>
    <w:p w14:paraId="50F2C4C9" w14:textId="77777777" w:rsidR="004F4BE1" w:rsidRPr="00C33834" w:rsidRDefault="004F4BE1" w:rsidP="00C33834">
      <w:pPr>
        <w:spacing w:after="0" w:line="240" w:lineRule="auto"/>
        <w:jc w:val="both"/>
        <w:rPr>
          <w:rFonts w:ascii="Times New Roman" w:hAnsi="Times New Roman"/>
          <w:color w:val="000000" w:themeColor="text1"/>
          <w:sz w:val="16"/>
          <w:szCs w:val="16"/>
        </w:rPr>
      </w:pPr>
      <w:r w:rsidRPr="00C33834">
        <w:rPr>
          <w:rStyle w:val="ucoz-forum-post"/>
          <w:rFonts w:ascii="Times New Roman" w:hAnsi="Times New Roman"/>
          <w:bCs/>
          <w:color w:val="000000" w:themeColor="text1"/>
          <w:sz w:val="16"/>
          <w:szCs w:val="16"/>
        </w:rPr>
        <w:t xml:space="preserve">7 декабря </w:t>
      </w:r>
      <w:r w:rsidRPr="00C33834">
        <w:rPr>
          <w:rFonts w:ascii="Times New Roman" w:hAnsi="Times New Roman"/>
          <w:color w:val="000000" w:themeColor="text1"/>
          <w:sz w:val="16"/>
          <w:szCs w:val="16"/>
        </w:rPr>
        <w:t>в 1933 году в Москве проходила Всесоюзная конференция по телевидению. На ней обсуждались вопросы состояния техники телевидения в СССР, были намечены пути дальнейшего развития, подготовлены первые стандарты аппаратуры для телевидения (14853).</w:t>
      </w:r>
    </w:p>
    <w:p w14:paraId="0C74466A" w14:textId="77777777" w:rsidR="004F4BE1" w:rsidRPr="00C33834" w:rsidRDefault="004F4BE1" w:rsidP="00C33834">
      <w:pPr>
        <w:spacing w:after="0" w:line="240" w:lineRule="auto"/>
        <w:jc w:val="both"/>
        <w:rPr>
          <w:rFonts w:ascii="Times New Roman" w:hAnsi="Times New Roman"/>
          <w:color w:val="000000" w:themeColor="text1"/>
          <w:sz w:val="16"/>
          <w:szCs w:val="16"/>
        </w:rPr>
      </w:pPr>
    </w:p>
    <w:p w14:paraId="63BDF97E" w14:textId="77777777" w:rsidR="004F4BE1"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0A193E54" w14:textId="77777777" w:rsidR="004F4BE1" w:rsidRPr="00C33834" w:rsidRDefault="004F4BE1"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578D10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декабря 1933 вышло постановление СНК СССР № 2640, предписавшее: «Ввиду увеличения габаритов канала Волга-Москва и сооружений на нем, а также ввиду значительного увеличения в связи с этим объема работ, срок окончания строительства продлить до конца 1935 года с тем, что в эксплуатацию канал вступит с начала навигации 1936 года; ввиду плохой пропускной способности Савеловской железнодорожной линии при нынешнем ее состоянии и невозможности обеспечить перевозки Москволгостроя, признать необходимым в течение 1934 года не позднее августа-сентября уложить вторые пути на участке Хлебниково - Дмитров (45 км.)» (7560).</w:t>
      </w:r>
    </w:p>
    <w:p w14:paraId="06F853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F9A2BC5"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88E1E66"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C47322E" w14:textId="77777777" w:rsidR="00CE56A5" w:rsidRPr="00C33834" w:rsidRDefault="00CE56A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8 декабря 1933</w:t>
      </w:r>
    </w:p>
    <w:p w14:paraId="625CE10E" w14:textId="77777777" w:rsidR="00CE56A5" w:rsidRPr="00C33834" w:rsidRDefault="00CE56A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УТВЕРЖДАЮ</w:t>
      </w:r>
    </w:p>
    <w:p w14:paraId="2032C7D4" w14:textId="77777777" w:rsidR="00CE56A5" w:rsidRPr="00C33834" w:rsidRDefault="00CE56A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НАЧАЛЬНИК ВОЕННЫХ. ВОЗДУШНЫХ СИЛ РККА</w:t>
      </w:r>
    </w:p>
    <w:p w14:paraId="5728DF83" w14:textId="77777777" w:rsidR="00CE56A5" w:rsidRPr="00C33834" w:rsidRDefault="00CE56A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/АЛКСНИС/ ’ «8» декабря 1933г.</w:t>
      </w:r>
    </w:p>
    <w:p w14:paraId="56139A14" w14:textId="77777777" w:rsidR="00CE56A5" w:rsidRPr="00C33834" w:rsidRDefault="00CE56A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ТЕХНИЧЕСКИЕ ТРЕБОВАНИЯ К САМОЛЕТУ "МАКСИМ ГОРЬКИЙ" 8 МОТОРОВ М-34Р /Е = 7/ В ВОЕННОМ ВАРИАНТЕ В ЧАСТИ ЭКСПЛОАТАЦИИ ЛЕТНОЙ.ТЕХ- НИЧЕСКОЙ И ВООРУЖЕНИЯ НА ОСНОВЕ ОПЫТА ГОСУДАРСТВЕН</w:t>
      </w:r>
      <w:r w:rsidRPr="00C33834">
        <w:rPr>
          <w:rFonts w:ascii="Times New Roman" w:hAnsi="Times New Roman"/>
          <w:color w:val="0070C0"/>
          <w:sz w:val="16"/>
          <w:szCs w:val="16"/>
        </w:rPr>
        <w:softHyphen/>
        <w:t>НЫХ ИСПЫТАНИЙ САМОЛЕТА ТБ4-6М34.</w:t>
      </w:r>
    </w:p>
    <w:p w14:paraId="490AC3E9" w14:textId="77777777" w:rsidR="00CE56A5" w:rsidRPr="00C33834" w:rsidRDefault="00CE56A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I. ЛЕТНАЯ ЭКСПЛОАТАЦИЯ</w:t>
      </w:r>
    </w:p>
    <w:p w14:paraId="3D0AA8E5" w14:textId="77777777" w:rsidR="00CE56A5" w:rsidRPr="00C33834" w:rsidRDefault="00CE56A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Самолет должен допускать горизонтальный полет на боевой высоте с одним выключенным мотором и на высоте 2000 м - с двумя выключенными моторами.</w:t>
      </w:r>
    </w:p>
    <w:p w14:paraId="5CFE3E91" w14:textId="77777777" w:rsidR="00CE56A5" w:rsidRPr="00C33834" w:rsidRDefault="00CE56A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Посадочная скорость самолета не должна превосходить ТОО км/час</w:t>
      </w:r>
    </w:p>
    <w:p w14:paraId="20B337AA" w14:textId="77777777" w:rsidR="00CE56A5" w:rsidRPr="00C33834" w:rsidRDefault="00CE56A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Длина разбега не должна превышать 400 м.</w:t>
      </w:r>
    </w:p>
    <w:p w14:paraId="166B3952" w14:textId="77777777" w:rsidR="00CE56A5" w:rsidRPr="00C33834" w:rsidRDefault="00CE56A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 Длина пробега при действии тормозов не должна превышать 300 метров, при отказе тормозов - 400 м</w:t>
      </w:r>
    </w:p>
    <w:p w14:paraId="2A82B9FC" w14:textId="77777777" w:rsidR="00CE56A5" w:rsidRPr="00C33834" w:rsidRDefault="00CE56A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Рули высоты к поворота должны обладать "флетнерами" или серворулями, максимально разгружающими летчика на всех присущих самолету режимах полета и должны заменить сущест</w:t>
      </w:r>
      <w:r w:rsidRPr="00C33834">
        <w:rPr>
          <w:rFonts w:ascii="Times New Roman" w:hAnsi="Times New Roman"/>
          <w:color w:val="0070C0"/>
          <w:sz w:val="16"/>
          <w:szCs w:val="16"/>
        </w:rPr>
        <w:softHyphen/>
        <w:t>вующую мало аффективную компенсацию ножного управления.</w:t>
      </w:r>
    </w:p>
    <w:p w14:paraId="7425BF0D" w14:textId="77777777" w:rsidR="00CE56A5" w:rsidRPr="00C33834" w:rsidRDefault="00CE56A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Ц. ЭКСПЛОАТАЦИЯ ВООРУЖЕНИЯ</w:t>
      </w:r>
    </w:p>
    <w:p w14:paraId="671F5300" w14:textId="77777777" w:rsidR="00CE56A5" w:rsidRPr="00C33834" w:rsidRDefault="00CE56A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Подвеска бомбх снаряжение патронами и снарядами, производимые одновременно с заправкой самолета бензином, маслом и водой, должны укладываться в 30 минут и ни одной минуты больше. На случай отказа системы электроподвески бомб должна быть предусмотрена ручная подвеска.</w:t>
      </w:r>
    </w:p>
    <w:p w14:paraId="37C01BD0" w14:textId="77777777" w:rsidR="00CE56A5" w:rsidRPr="00C33834" w:rsidRDefault="00CE56A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Смазанные электролебедки и электроспуск должны работать безотказно при морозе - 50°.</w:t>
      </w:r>
    </w:p>
    <w:p w14:paraId="5FF7DB38" w14:textId="77777777" w:rsidR="00CE56A5" w:rsidRPr="00C33834" w:rsidRDefault="00CE56A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Обеспечить невозможность случайного сбрасывания при пользова</w:t>
      </w:r>
      <w:r w:rsidRPr="00C33834">
        <w:rPr>
          <w:rFonts w:ascii="Times New Roman" w:hAnsi="Times New Roman"/>
          <w:color w:val="0070C0"/>
          <w:sz w:val="16"/>
          <w:szCs w:val="16"/>
        </w:rPr>
        <w:softHyphen/>
        <w:t>нии механическим сбрасыванием боевых бомб вместо пристрелоч</w:t>
      </w:r>
      <w:r w:rsidRPr="00C33834">
        <w:rPr>
          <w:rFonts w:ascii="Times New Roman" w:hAnsi="Times New Roman"/>
          <w:color w:val="0070C0"/>
          <w:sz w:val="16"/>
          <w:szCs w:val="16"/>
        </w:rPr>
        <w:softHyphen/>
        <w:t>ных (желательно разделение сбрасывателей).</w:t>
      </w:r>
    </w:p>
    <w:p w14:paraId="42A1D952" w14:textId="77777777" w:rsidR="00CE56A5" w:rsidRPr="00C33834" w:rsidRDefault="00CE56A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Сделать в "бороде" окна в передней стенке и в полу (до уста</w:t>
      </w:r>
      <w:r w:rsidRPr="00C33834">
        <w:rPr>
          <w:rFonts w:ascii="Times New Roman" w:hAnsi="Times New Roman"/>
          <w:color w:val="0070C0"/>
          <w:sz w:val="16"/>
          <w:szCs w:val="16"/>
        </w:rPr>
        <w:softHyphen/>
        <w:t>новки "Герца").</w:t>
      </w:r>
    </w:p>
    <w:p w14:paraId="561B00CB" w14:textId="77777777" w:rsidR="00CE56A5" w:rsidRPr="00C33834" w:rsidRDefault="00CE56A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Сделать возможной стрельбу из задней пушечной установки за верхними моторами путем устройства соответствующего экрана</w:t>
      </w:r>
    </w:p>
    <w:p w14:paraId="64FA5C10" w14:textId="77777777" w:rsidR="00CE56A5" w:rsidRPr="00C33834" w:rsidRDefault="00CE56A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ГЛАВНЫЙ ИНЖЕНЕР МЕХАНИК ВВС РККА (АУЗАН) (21240).</w:t>
      </w:r>
    </w:p>
    <w:p w14:paraId="73AAB65D" w14:textId="77777777" w:rsidR="00CE56A5" w:rsidRPr="00C33834" w:rsidRDefault="00CE56A5" w:rsidP="00C33834">
      <w:pPr>
        <w:spacing w:after="0" w:line="240" w:lineRule="auto"/>
        <w:jc w:val="both"/>
        <w:rPr>
          <w:rFonts w:ascii="Times New Roman" w:hAnsi="Times New Roman"/>
          <w:color w:val="0070C0"/>
          <w:sz w:val="16"/>
          <w:szCs w:val="16"/>
        </w:rPr>
      </w:pPr>
    </w:p>
    <w:p w14:paraId="5F3116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декабря 1933 был подготовлен План опытного строительства ВВС РККА на 1934-35 гг. (351).</w:t>
      </w:r>
    </w:p>
    <w:p w14:paraId="7934739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Опытные самолеты на 1934-1935 (по плану опытного строительства от 8 декабря 1933)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063"/>
        <w:gridCol w:w="1915"/>
        <w:gridCol w:w="1550"/>
        <w:gridCol w:w="1321"/>
        <w:gridCol w:w="1371"/>
      </w:tblGrid>
      <w:tr w:rsidR="00F26F01" w:rsidRPr="00C33834" w14:paraId="6E584253" w14:textId="77777777">
        <w:tc>
          <w:tcPr>
            <w:tcW w:w="2235" w:type="dxa"/>
          </w:tcPr>
          <w:p w14:paraId="6C430D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Литерное</w:t>
            </w:r>
          </w:p>
        </w:tc>
        <w:tc>
          <w:tcPr>
            <w:tcW w:w="2063" w:type="dxa"/>
          </w:tcPr>
          <w:p w14:paraId="637CB4A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Военное</w:t>
            </w:r>
          </w:p>
        </w:tc>
        <w:tc>
          <w:tcPr>
            <w:tcW w:w="1915" w:type="dxa"/>
          </w:tcPr>
          <w:p w14:paraId="422B03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Гражданское</w:t>
            </w:r>
          </w:p>
        </w:tc>
        <w:tc>
          <w:tcPr>
            <w:tcW w:w="1550" w:type="dxa"/>
          </w:tcPr>
          <w:p w14:paraId="071FB1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Проектант</w:t>
            </w:r>
          </w:p>
        </w:tc>
        <w:tc>
          <w:tcPr>
            <w:tcW w:w="1321" w:type="dxa"/>
          </w:tcPr>
          <w:p w14:paraId="65F9CC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w:t>
            </w:r>
          </w:p>
        </w:tc>
        <w:tc>
          <w:tcPr>
            <w:tcW w:w="1371" w:type="dxa"/>
          </w:tcPr>
          <w:p w14:paraId="3B2750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Примечания</w:t>
            </w:r>
          </w:p>
        </w:tc>
      </w:tr>
      <w:tr w:rsidR="00F26F01" w:rsidRPr="00C33834" w14:paraId="61C46A9B" w14:textId="77777777">
        <w:tc>
          <w:tcPr>
            <w:tcW w:w="2235" w:type="dxa"/>
          </w:tcPr>
          <w:p w14:paraId="4AF56D2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обозначение</w:t>
            </w:r>
          </w:p>
        </w:tc>
        <w:tc>
          <w:tcPr>
            <w:tcW w:w="2063" w:type="dxa"/>
          </w:tcPr>
          <w:p w14:paraId="446851F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w:t>
            </w:r>
          </w:p>
        </w:tc>
        <w:tc>
          <w:tcPr>
            <w:tcW w:w="1915" w:type="dxa"/>
          </w:tcPr>
          <w:p w14:paraId="711C8B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w:t>
            </w:r>
          </w:p>
        </w:tc>
        <w:tc>
          <w:tcPr>
            <w:tcW w:w="1550" w:type="dxa"/>
          </w:tcPr>
          <w:p w14:paraId="6F17FEE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0699E0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84ECA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4B4CFBD" w14:textId="77777777">
        <w:tc>
          <w:tcPr>
            <w:tcW w:w="2235" w:type="dxa"/>
          </w:tcPr>
          <w:p w14:paraId="473AB4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Опытные:</w:t>
            </w:r>
          </w:p>
        </w:tc>
        <w:tc>
          <w:tcPr>
            <w:tcW w:w="2063" w:type="dxa"/>
          </w:tcPr>
          <w:p w14:paraId="321CCD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160DF2F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302F2B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1CA2B1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87968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25130E9" w14:textId="77777777">
        <w:tc>
          <w:tcPr>
            <w:tcW w:w="2235" w:type="dxa"/>
          </w:tcPr>
          <w:p w14:paraId="379269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Бомбардировщики:</w:t>
            </w:r>
          </w:p>
        </w:tc>
        <w:tc>
          <w:tcPr>
            <w:tcW w:w="2063" w:type="dxa"/>
          </w:tcPr>
          <w:p w14:paraId="06F051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4C71B3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40FC04E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1F5407C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75BA2C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F1B81E7" w14:textId="77777777">
        <w:tc>
          <w:tcPr>
            <w:tcW w:w="2235" w:type="dxa"/>
          </w:tcPr>
          <w:p w14:paraId="7FCE0D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ТБ7-4М34ФРН/Исп.</w:t>
            </w:r>
          </w:p>
        </w:tc>
        <w:tc>
          <w:tcPr>
            <w:tcW w:w="2063" w:type="dxa"/>
          </w:tcPr>
          <w:p w14:paraId="1EE98D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Тяжелый бомб.</w:t>
            </w:r>
          </w:p>
        </w:tc>
        <w:tc>
          <w:tcPr>
            <w:tcW w:w="1915" w:type="dxa"/>
          </w:tcPr>
          <w:p w14:paraId="00F84E2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 на 20-25 мест</w:t>
            </w:r>
          </w:p>
        </w:tc>
        <w:tc>
          <w:tcPr>
            <w:tcW w:w="1550" w:type="dxa"/>
          </w:tcPr>
          <w:p w14:paraId="50DB90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tc>
        <w:tc>
          <w:tcPr>
            <w:tcW w:w="1321" w:type="dxa"/>
          </w:tcPr>
          <w:p w14:paraId="124CFA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01.05.1935</w:t>
            </w:r>
          </w:p>
        </w:tc>
        <w:tc>
          <w:tcPr>
            <w:tcW w:w="1371" w:type="dxa"/>
          </w:tcPr>
          <w:p w14:paraId="2E2E3E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Развитие ТБ3</w:t>
            </w:r>
          </w:p>
        </w:tc>
      </w:tr>
      <w:tr w:rsidR="00F26F01" w:rsidRPr="00C33834" w14:paraId="22D654EF" w14:textId="77777777">
        <w:tc>
          <w:tcPr>
            <w:tcW w:w="2235" w:type="dxa"/>
          </w:tcPr>
          <w:p w14:paraId="1D5348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СБ2-2РЦ/Исп.</w:t>
            </w:r>
          </w:p>
        </w:tc>
        <w:tc>
          <w:tcPr>
            <w:tcW w:w="2063" w:type="dxa"/>
          </w:tcPr>
          <w:p w14:paraId="1EFEBE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Скоростн. бомб.</w:t>
            </w:r>
          </w:p>
        </w:tc>
        <w:tc>
          <w:tcPr>
            <w:tcW w:w="1915" w:type="dxa"/>
          </w:tcPr>
          <w:p w14:paraId="2DD101C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 на 10-12 мест</w:t>
            </w:r>
          </w:p>
        </w:tc>
        <w:tc>
          <w:tcPr>
            <w:tcW w:w="1550" w:type="dxa"/>
          </w:tcPr>
          <w:p w14:paraId="463E30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tc>
        <w:tc>
          <w:tcPr>
            <w:tcW w:w="1321" w:type="dxa"/>
          </w:tcPr>
          <w:p w14:paraId="5AE78A5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01.09.1934</w:t>
            </w:r>
          </w:p>
        </w:tc>
        <w:tc>
          <w:tcPr>
            <w:tcW w:w="1371" w:type="dxa"/>
          </w:tcPr>
          <w:p w14:paraId="7FB3768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 вар. треб.</w:t>
            </w:r>
          </w:p>
        </w:tc>
      </w:tr>
      <w:tr w:rsidR="00F26F01" w:rsidRPr="00C33834" w14:paraId="18FAE593" w14:textId="77777777">
        <w:tc>
          <w:tcPr>
            <w:tcW w:w="2235" w:type="dxa"/>
          </w:tcPr>
          <w:p w14:paraId="13852A7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76BB08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004888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9A869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4CE990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3760D5E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5E0552B" w14:textId="77777777">
        <w:tc>
          <w:tcPr>
            <w:tcW w:w="2235" w:type="dxa"/>
          </w:tcPr>
          <w:p w14:paraId="6C45E6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ЛБ2-М34ФРН/Исп.</w:t>
            </w:r>
          </w:p>
        </w:tc>
        <w:tc>
          <w:tcPr>
            <w:tcW w:w="2063" w:type="dxa"/>
          </w:tcPr>
          <w:p w14:paraId="5096B2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Легкий бом.</w:t>
            </w:r>
          </w:p>
        </w:tc>
        <w:tc>
          <w:tcPr>
            <w:tcW w:w="1915" w:type="dxa"/>
          </w:tcPr>
          <w:p w14:paraId="404A9A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Почтовый</w:t>
            </w:r>
          </w:p>
        </w:tc>
        <w:tc>
          <w:tcPr>
            <w:tcW w:w="1550" w:type="dxa"/>
          </w:tcPr>
          <w:p w14:paraId="09052F2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39</w:t>
            </w:r>
          </w:p>
        </w:tc>
        <w:tc>
          <w:tcPr>
            <w:tcW w:w="1321" w:type="dxa"/>
          </w:tcPr>
          <w:p w14:paraId="26EFC9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01.12.1934</w:t>
            </w:r>
          </w:p>
        </w:tc>
        <w:tc>
          <w:tcPr>
            <w:tcW w:w="1371" w:type="dxa"/>
          </w:tcPr>
          <w:p w14:paraId="58162D9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 до 2500</w:t>
            </w:r>
          </w:p>
        </w:tc>
      </w:tr>
      <w:tr w:rsidR="00F26F01" w:rsidRPr="00C33834" w14:paraId="4C6FB421" w14:textId="77777777">
        <w:tc>
          <w:tcPr>
            <w:tcW w:w="2235" w:type="dxa"/>
          </w:tcPr>
          <w:p w14:paraId="6A3045D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Крейсера:</w:t>
            </w:r>
          </w:p>
        </w:tc>
        <w:tc>
          <w:tcPr>
            <w:tcW w:w="2063" w:type="dxa"/>
          </w:tcPr>
          <w:p w14:paraId="58F4F0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47C2CC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172A7EA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544947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1A3A5F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94DB7B1" w14:textId="77777777">
        <w:tc>
          <w:tcPr>
            <w:tcW w:w="2235" w:type="dxa"/>
          </w:tcPr>
          <w:p w14:paraId="745E3A0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ЛК1-2Исп.</w:t>
            </w:r>
          </w:p>
        </w:tc>
        <w:tc>
          <w:tcPr>
            <w:tcW w:w="2063" w:type="dxa"/>
          </w:tcPr>
          <w:p w14:paraId="5DE4981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 крейсер</w:t>
            </w:r>
          </w:p>
        </w:tc>
        <w:tc>
          <w:tcPr>
            <w:tcW w:w="1915" w:type="dxa"/>
          </w:tcPr>
          <w:p w14:paraId="25ABDF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0" w:type="dxa"/>
          </w:tcPr>
          <w:p w14:paraId="4DAE26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tc>
        <w:tc>
          <w:tcPr>
            <w:tcW w:w="1321" w:type="dxa"/>
          </w:tcPr>
          <w:p w14:paraId="2CF6E4B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01.12.1934</w:t>
            </w:r>
          </w:p>
        </w:tc>
        <w:tc>
          <w:tcPr>
            <w:tcW w:w="1371" w:type="dxa"/>
          </w:tcPr>
          <w:p w14:paraId="16B217F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A83CB62" w14:textId="77777777">
        <w:tc>
          <w:tcPr>
            <w:tcW w:w="2235" w:type="dxa"/>
          </w:tcPr>
          <w:p w14:paraId="458CE9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Штурмовики:</w:t>
            </w:r>
          </w:p>
        </w:tc>
        <w:tc>
          <w:tcPr>
            <w:tcW w:w="2063" w:type="dxa"/>
          </w:tcPr>
          <w:p w14:paraId="49D94D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08189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48C393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427C05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ADC24F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53AABD8" w14:textId="77777777">
        <w:tc>
          <w:tcPr>
            <w:tcW w:w="2235" w:type="dxa"/>
          </w:tcPr>
          <w:p w14:paraId="0D1E67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ТШ3-М34</w:t>
            </w:r>
          </w:p>
        </w:tc>
        <w:tc>
          <w:tcPr>
            <w:tcW w:w="2063" w:type="dxa"/>
          </w:tcPr>
          <w:p w14:paraId="627F72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 бр. штурм.</w:t>
            </w:r>
          </w:p>
        </w:tc>
        <w:tc>
          <w:tcPr>
            <w:tcW w:w="1915" w:type="dxa"/>
          </w:tcPr>
          <w:p w14:paraId="4E5EC0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Паcсажирский</w:t>
            </w:r>
          </w:p>
        </w:tc>
        <w:tc>
          <w:tcPr>
            <w:tcW w:w="1550" w:type="dxa"/>
          </w:tcPr>
          <w:p w14:paraId="241AE2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39</w:t>
            </w:r>
          </w:p>
        </w:tc>
        <w:tc>
          <w:tcPr>
            <w:tcW w:w="1321" w:type="dxa"/>
          </w:tcPr>
          <w:p w14:paraId="3672923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01.06.1934</w:t>
            </w:r>
          </w:p>
        </w:tc>
        <w:tc>
          <w:tcPr>
            <w:tcW w:w="1371" w:type="dxa"/>
          </w:tcPr>
          <w:p w14:paraId="645F408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 вар. треб.</w:t>
            </w:r>
          </w:p>
        </w:tc>
      </w:tr>
      <w:tr w:rsidR="00F26F01" w:rsidRPr="00C33834" w14:paraId="2FDBFF6D" w14:textId="77777777">
        <w:tc>
          <w:tcPr>
            <w:tcW w:w="2235" w:type="dxa"/>
          </w:tcPr>
          <w:p w14:paraId="26DF57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612DE2F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869AA9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48C198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460DE5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1E2295D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друг. фюз.</w:t>
            </w:r>
          </w:p>
        </w:tc>
      </w:tr>
      <w:tr w:rsidR="00F26F01" w:rsidRPr="00C33834" w14:paraId="5430E4B4" w14:textId="77777777">
        <w:tc>
          <w:tcPr>
            <w:tcW w:w="2235" w:type="dxa"/>
          </w:tcPr>
          <w:p w14:paraId="25E2BE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Истребители:</w:t>
            </w:r>
          </w:p>
        </w:tc>
        <w:tc>
          <w:tcPr>
            <w:tcW w:w="2063" w:type="dxa"/>
          </w:tcPr>
          <w:p w14:paraId="06B906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033B43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13A022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014F12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18E1E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AA90054" w14:textId="77777777">
        <w:tc>
          <w:tcPr>
            <w:tcW w:w="2235" w:type="dxa"/>
          </w:tcPr>
          <w:p w14:paraId="72C2B4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И17-Исп.</w:t>
            </w:r>
          </w:p>
        </w:tc>
        <w:tc>
          <w:tcPr>
            <w:tcW w:w="2063" w:type="dxa"/>
          </w:tcPr>
          <w:p w14:paraId="329E9C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915" w:type="dxa"/>
          </w:tcPr>
          <w:p w14:paraId="09EE47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0" w:type="dxa"/>
          </w:tcPr>
          <w:p w14:paraId="15392C5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39</w:t>
            </w:r>
          </w:p>
        </w:tc>
        <w:tc>
          <w:tcPr>
            <w:tcW w:w="1321" w:type="dxa"/>
          </w:tcPr>
          <w:p w14:paraId="4D6642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01.08.1934</w:t>
            </w:r>
          </w:p>
        </w:tc>
        <w:tc>
          <w:tcPr>
            <w:tcW w:w="1371" w:type="dxa"/>
          </w:tcPr>
          <w:p w14:paraId="6713B8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Втор. вар. М17</w:t>
            </w:r>
          </w:p>
        </w:tc>
      </w:tr>
      <w:tr w:rsidR="00F26F01" w:rsidRPr="00C33834" w14:paraId="605519B7" w14:textId="77777777">
        <w:tc>
          <w:tcPr>
            <w:tcW w:w="2235" w:type="dxa"/>
          </w:tcPr>
          <w:p w14:paraId="407EA03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ИП2-Исп.</w:t>
            </w:r>
          </w:p>
        </w:tc>
        <w:tc>
          <w:tcPr>
            <w:tcW w:w="2063" w:type="dxa"/>
          </w:tcPr>
          <w:p w14:paraId="54D5F2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 пуш. истр.</w:t>
            </w:r>
          </w:p>
        </w:tc>
        <w:tc>
          <w:tcPr>
            <w:tcW w:w="1915" w:type="dxa"/>
          </w:tcPr>
          <w:p w14:paraId="2EBB033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0" w:type="dxa"/>
          </w:tcPr>
          <w:p w14:paraId="57768A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39</w:t>
            </w:r>
          </w:p>
        </w:tc>
        <w:tc>
          <w:tcPr>
            <w:tcW w:w="1321" w:type="dxa"/>
          </w:tcPr>
          <w:p w14:paraId="79B4DB2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01.09.1934</w:t>
            </w:r>
          </w:p>
        </w:tc>
        <w:tc>
          <w:tcPr>
            <w:tcW w:w="1371" w:type="dxa"/>
          </w:tcPr>
          <w:p w14:paraId="2A497D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A731671" w14:textId="77777777">
        <w:tc>
          <w:tcPr>
            <w:tcW w:w="2235" w:type="dxa"/>
          </w:tcPr>
          <w:p w14:paraId="3BC87B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ДИ6-РЦ</w:t>
            </w:r>
          </w:p>
        </w:tc>
        <w:tc>
          <w:tcPr>
            <w:tcW w:w="2063" w:type="dxa"/>
          </w:tcPr>
          <w:p w14:paraId="154692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Двухмест. истр.</w:t>
            </w:r>
          </w:p>
        </w:tc>
        <w:tc>
          <w:tcPr>
            <w:tcW w:w="1915" w:type="dxa"/>
          </w:tcPr>
          <w:p w14:paraId="4F63B8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0" w:type="dxa"/>
          </w:tcPr>
          <w:p w14:paraId="3FB15C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39</w:t>
            </w:r>
          </w:p>
        </w:tc>
        <w:tc>
          <w:tcPr>
            <w:tcW w:w="1321" w:type="dxa"/>
          </w:tcPr>
          <w:p w14:paraId="1232D0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01.05.1934</w:t>
            </w:r>
          </w:p>
        </w:tc>
        <w:tc>
          <w:tcPr>
            <w:tcW w:w="1371" w:type="dxa"/>
          </w:tcPr>
          <w:p w14:paraId="4268683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CE04718" w14:textId="77777777">
        <w:tc>
          <w:tcPr>
            <w:tcW w:w="2235" w:type="dxa"/>
          </w:tcPr>
          <w:p w14:paraId="6C30CE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ДИ7-Исп.</w:t>
            </w:r>
          </w:p>
        </w:tc>
        <w:tc>
          <w:tcPr>
            <w:tcW w:w="2063" w:type="dxa"/>
          </w:tcPr>
          <w:p w14:paraId="2775DD0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Двухмест. истр.</w:t>
            </w:r>
          </w:p>
        </w:tc>
        <w:tc>
          <w:tcPr>
            <w:tcW w:w="1915" w:type="dxa"/>
          </w:tcPr>
          <w:p w14:paraId="6FAE0E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0" w:type="dxa"/>
          </w:tcPr>
          <w:p w14:paraId="037592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Звм. 39</w:t>
            </w:r>
          </w:p>
        </w:tc>
        <w:tc>
          <w:tcPr>
            <w:tcW w:w="1321" w:type="dxa"/>
          </w:tcPr>
          <w:p w14:paraId="5090BD2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01.08.1934</w:t>
            </w:r>
          </w:p>
        </w:tc>
        <w:tc>
          <w:tcPr>
            <w:tcW w:w="1371" w:type="dxa"/>
          </w:tcPr>
          <w:p w14:paraId="5BB5148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41C00FF" w14:textId="77777777">
        <w:tc>
          <w:tcPr>
            <w:tcW w:w="2235" w:type="dxa"/>
          </w:tcPr>
          <w:p w14:paraId="5314405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МИ4-2РЦ/Исп.</w:t>
            </w:r>
          </w:p>
        </w:tc>
        <w:tc>
          <w:tcPr>
            <w:tcW w:w="2063" w:type="dxa"/>
          </w:tcPr>
          <w:p w14:paraId="4AF4C3D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Многом. истр.</w:t>
            </w:r>
          </w:p>
        </w:tc>
        <w:tc>
          <w:tcPr>
            <w:tcW w:w="1915" w:type="dxa"/>
          </w:tcPr>
          <w:p w14:paraId="2B09C3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0" w:type="dxa"/>
          </w:tcPr>
          <w:p w14:paraId="308EBEE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tc>
        <w:tc>
          <w:tcPr>
            <w:tcW w:w="1321" w:type="dxa"/>
          </w:tcPr>
          <w:p w14:paraId="6F3E3A1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371" w:type="dxa"/>
          </w:tcPr>
          <w:p w14:paraId="4147A1E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EA3C527" w14:textId="77777777">
        <w:tc>
          <w:tcPr>
            <w:tcW w:w="2235" w:type="dxa"/>
          </w:tcPr>
          <w:p w14:paraId="715F39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Разведчики:</w:t>
            </w:r>
          </w:p>
        </w:tc>
        <w:tc>
          <w:tcPr>
            <w:tcW w:w="2063" w:type="dxa"/>
          </w:tcPr>
          <w:p w14:paraId="6D20C3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1D08E91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9E3AF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2EDC93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F2021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0BF3C79" w14:textId="77777777">
        <w:tc>
          <w:tcPr>
            <w:tcW w:w="2235" w:type="dxa"/>
          </w:tcPr>
          <w:p w14:paraId="1BCF650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СР-М34ФРН/Исп.</w:t>
            </w:r>
          </w:p>
        </w:tc>
        <w:tc>
          <w:tcPr>
            <w:tcW w:w="2063" w:type="dxa"/>
          </w:tcPr>
          <w:p w14:paraId="7E637AC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 разведчик</w:t>
            </w:r>
          </w:p>
        </w:tc>
        <w:tc>
          <w:tcPr>
            <w:tcW w:w="1915" w:type="dxa"/>
          </w:tcPr>
          <w:p w14:paraId="49694DA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0" w:type="dxa"/>
          </w:tcPr>
          <w:p w14:paraId="67D5C09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ХАИ</w:t>
            </w:r>
          </w:p>
        </w:tc>
        <w:tc>
          <w:tcPr>
            <w:tcW w:w="1321" w:type="dxa"/>
          </w:tcPr>
          <w:p w14:paraId="0E4A13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01.05.1935</w:t>
            </w:r>
          </w:p>
        </w:tc>
        <w:tc>
          <w:tcPr>
            <w:tcW w:w="1371" w:type="dxa"/>
          </w:tcPr>
          <w:p w14:paraId="4AC9F4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F2B2619" w14:textId="77777777">
        <w:tc>
          <w:tcPr>
            <w:tcW w:w="2235" w:type="dxa"/>
          </w:tcPr>
          <w:p w14:paraId="037FB5D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СР-РЦ</w:t>
            </w:r>
          </w:p>
        </w:tc>
        <w:tc>
          <w:tcPr>
            <w:tcW w:w="2063" w:type="dxa"/>
          </w:tcPr>
          <w:p w14:paraId="556ECDD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Тр.разв. поля боя</w:t>
            </w:r>
          </w:p>
        </w:tc>
        <w:tc>
          <w:tcPr>
            <w:tcW w:w="1915" w:type="dxa"/>
          </w:tcPr>
          <w:p w14:paraId="16DAC2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615C51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39</w:t>
            </w:r>
          </w:p>
        </w:tc>
        <w:tc>
          <w:tcPr>
            <w:tcW w:w="1321" w:type="dxa"/>
          </w:tcPr>
          <w:p w14:paraId="2DBF97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01.06.1935</w:t>
            </w:r>
          </w:p>
        </w:tc>
        <w:tc>
          <w:tcPr>
            <w:tcW w:w="1371" w:type="dxa"/>
          </w:tcPr>
          <w:p w14:paraId="2A2B03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110-300 км/ч</w:t>
            </w:r>
          </w:p>
        </w:tc>
      </w:tr>
      <w:tr w:rsidR="00F26F01" w:rsidRPr="00C33834" w14:paraId="60930092" w14:textId="77777777">
        <w:tc>
          <w:tcPr>
            <w:tcW w:w="2235" w:type="dxa"/>
          </w:tcPr>
          <w:p w14:paraId="4561679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Р8-РЦ</w:t>
            </w:r>
          </w:p>
        </w:tc>
        <w:tc>
          <w:tcPr>
            <w:tcW w:w="2063" w:type="dxa"/>
          </w:tcPr>
          <w:p w14:paraId="44D01C3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 Туркестана</w:t>
            </w:r>
          </w:p>
        </w:tc>
        <w:tc>
          <w:tcPr>
            <w:tcW w:w="1915" w:type="dxa"/>
          </w:tcPr>
          <w:p w14:paraId="7ED8512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Почтовый</w:t>
            </w:r>
          </w:p>
        </w:tc>
        <w:tc>
          <w:tcPr>
            <w:tcW w:w="1550" w:type="dxa"/>
          </w:tcPr>
          <w:p w14:paraId="4BAF700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39</w:t>
            </w:r>
          </w:p>
        </w:tc>
        <w:tc>
          <w:tcPr>
            <w:tcW w:w="1321" w:type="dxa"/>
          </w:tcPr>
          <w:p w14:paraId="2469DBC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01.11.1935</w:t>
            </w:r>
          </w:p>
        </w:tc>
        <w:tc>
          <w:tcPr>
            <w:tcW w:w="1371" w:type="dxa"/>
          </w:tcPr>
          <w:p w14:paraId="0C20C78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590D0F3" w14:textId="77777777">
        <w:tc>
          <w:tcPr>
            <w:tcW w:w="2235" w:type="dxa"/>
          </w:tcPr>
          <w:p w14:paraId="0289D7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Транспортные:</w:t>
            </w:r>
          </w:p>
        </w:tc>
        <w:tc>
          <w:tcPr>
            <w:tcW w:w="2063" w:type="dxa"/>
          </w:tcPr>
          <w:p w14:paraId="7D148A6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180E291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24B7D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552A98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E25A7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EFAC03B" w14:textId="77777777">
        <w:tc>
          <w:tcPr>
            <w:tcW w:w="2235" w:type="dxa"/>
          </w:tcPr>
          <w:p w14:paraId="7FACE42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Т1-М34Р</w:t>
            </w:r>
          </w:p>
        </w:tc>
        <w:tc>
          <w:tcPr>
            <w:tcW w:w="2063" w:type="dxa"/>
          </w:tcPr>
          <w:p w14:paraId="26B978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Транспортн.</w:t>
            </w:r>
          </w:p>
        </w:tc>
        <w:tc>
          <w:tcPr>
            <w:tcW w:w="1915" w:type="dxa"/>
          </w:tcPr>
          <w:p w14:paraId="345FC3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Транспортн.</w:t>
            </w:r>
          </w:p>
        </w:tc>
        <w:tc>
          <w:tcPr>
            <w:tcW w:w="1550" w:type="dxa"/>
          </w:tcPr>
          <w:p w14:paraId="58C9DB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ВВА + Зав. 1</w:t>
            </w:r>
          </w:p>
        </w:tc>
        <w:tc>
          <w:tcPr>
            <w:tcW w:w="1321" w:type="dxa"/>
          </w:tcPr>
          <w:p w14:paraId="52F996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01.09.1934</w:t>
            </w:r>
          </w:p>
        </w:tc>
        <w:tc>
          <w:tcPr>
            <w:tcW w:w="1371" w:type="dxa"/>
          </w:tcPr>
          <w:p w14:paraId="4C024AC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A746544" w14:textId="77777777">
        <w:tc>
          <w:tcPr>
            <w:tcW w:w="2235" w:type="dxa"/>
          </w:tcPr>
          <w:p w14:paraId="44AD63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Учебные:</w:t>
            </w:r>
          </w:p>
        </w:tc>
        <w:tc>
          <w:tcPr>
            <w:tcW w:w="2063" w:type="dxa"/>
          </w:tcPr>
          <w:p w14:paraId="4ACB940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7EFAA5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09B2C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0C054FA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42CDC1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52AD20C" w14:textId="77777777">
        <w:tc>
          <w:tcPr>
            <w:tcW w:w="2235" w:type="dxa"/>
          </w:tcPr>
          <w:p w14:paraId="0E5DD57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У3-М48</w:t>
            </w:r>
          </w:p>
        </w:tc>
        <w:tc>
          <w:tcPr>
            <w:tcW w:w="2063" w:type="dxa"/>
          </w:tcPr>
          <w:p w14:paraId="40D3286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 боев.</w:t>
            </w:r>
          </w:p>
        </w:tc>
        <w:tc>
          <w:tcPr>
            <w:tcW w:w="1915" w:type="dxa"/>
          </w:tcPr>
          <w:p w14:paraId="7FC28A2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 санит.</w:t>
            </w:r>
          </w:p>
        </w:tc>
        <w:tc>
          <w:tcPr>
            <w:tcW w:w="1550" w:type="dxa"/>
          </w:tcPr>
          <w:p w14:paraId="653BE37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23</w:t>
            </w:r>
          </w:p>
        </w:tc>
        <w:tc>
          <w:tcPr>
            <w:tcW w:w="1321" w:type="dxa"/>
          </w:tcPr>
          <w:p w14:paraId="45926E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01.06.1934</w:t>
            </w:r>
          </w:p>
        </w:tc>
        <w:tc>
          <w:tcPr>
            <w:tcW w:w="1371" w:type="dxa"/>
          </w:tcPr>
          <w:p w14:paraId="1D92D6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E3B3B3B" w14:textId="77777777">
        <w:tc>
          <w:tcPr>
            <w:tcW w:w="2235" w:type="dxa"/>
          </w:tcPr>
          <w:p w14:paraId="76C8CC9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105E43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подгот. и связь</w:t>
            </w:r>
          </w:p>
        </w:tc>
        <w:tc>
          <w:tcPr>
            <w:tcW w:w="1915" w:type="dxa"/>
          </w:tcPr>
          <w:p w14:paraId="0B5551E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спорт, исполком.</w:t>
            </w:r>
          </w:p>
        </w:tc>
        <w:tc>
          <w:tcPr>
            <w:tcW w:w="1550" w:type="dxa"/>
          </w:tcPr>
          <w:p w14:paraId="6334D4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7CBBBA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48FFF3D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E181B08" w14:textId="77777777">
        <w:tc>
          <w:tcPr>
            <w:tcW w:w="2235" w:type="dxa"/>
          </w:tcPr>
          <w:p w14:paraId="615C07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У3-М49</w:t>
            </w:r>
          </w:p>
        </w:tc>
        <w:tc>
          <w:tcPr>
            <w:tcW w:w="2063" w:type="dxa"/>
          </w:tcPr>
          <w:p w14:paraId="22863A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w:t>
            </w:r>
          </w:p>
        </w:tc>
        <w:tc>
          <w:tcPr>
            <w:tcW w:w="1915" w:type="dxa"/>
          </w:tcPr>
          <w:p w14:paraId="12862C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w:t>
            </w:r>
          </w:p>
        </w:tc>
        <w:tc>
          <w:tcPr>
            <w:tcW w:w="1550" w:type="dxa"/>
          </w:tcPr>
          <w:p w14:paraId="406CF8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НИИ ГВФ</w:t>
            </w:r>
          </w:p>
        </w:tc>
        <w:tc>
          <w:tcPr>
            <w:tcW w:w="1321" w:type="dxa"/>
          </w:tcPr>
          <w:p w14:paraId="2F8B4E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01.10.1934</w:t>
            </w:r>
          </w:p>
        </w:tc>
        <w:tc>
          <w:tcPr>
            <w:tcW w:w="1371" w:type="dxa"/>
          </w:tcPr>
          <w:p w14:paraId="0E4F2A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EF68973" w14:textId="77777777">
        <w:tc>
          <w:tcPr>
            <w:tcW w:w="2235" w:type="dxa"/>
          </w:tcPr>
          <w:p w14:paraId="4DD1CA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Модернизации и модификации:</w:t>
            </w:r>
          </w:p>
        </w:tc>
        <w:tc>
          <w:tcPr>
            <w:tcW w:w="2063" w:type="dxa"/>
          </w:tcPr>
          <w:p w14:paraId="04419E9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646D7AA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5706CE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3B2C038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290FAE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DBAB6CF" w14:textId="77777777">
        <w:tc>
          <w:tcPr>
            <w:tcW w:w="2235" w:type="dxa"/>
          </w:tcPr>
          <w:p w14:paraId="4303BB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Бомбардировщики:</w:t>
            </w:r>
          </w:p>
        </w:tc>
        <w:tc>
          <w:tcPr>
            <w:tcW w:w="2063" w:type="dxa"/>
          </w:tcPr>
          <w:p w14:paraId="013247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00E488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5A5EAB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7CEEE7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743704A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44C2365" w14:textId="77777777">
        <w:tc>
          <w:tcPr>
            <w:tcW w:w="2235" w:type="dxa"/>
          </w:tcPr>
          <w:p w14:paraId="7F0427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МГ-6М34ФРН</w:t>
            </w:r>
          </w:p>
        </w:tc>
        <w:tc>
          <w:tcPr>
            <w:tcW w:w="2063" w:type="dxa"/>
          </w:tcPr>
          <w:p w14:paraId="5D64717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 бомб.</w:t>
            </w:r>
          </w:p>
        </w:tc>
        <w:tc>
          <w:tcPr>
            <w:tcW w:w="1915" w:type="dxa"/>
          </w:tcPr>
          <w:p w14:paraId="7160C60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Пассажирский</w:t>
            </w:r>
          </w:p>
        </w:tc>
        <w:tc>
          <w:tcPr>
            <w:tcW w:w="1550" w:type="dxa"/>
          </w:tcPr>
          <w:p w14:paraId="2898F8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 и Зав. 22</w:t>
            </w:r>
          </w:p>
        </w:tc>
        <w:tc>
          <w:tcPr>
            <w:tcW w:w="1321" w:type="dxa"/>
          </w:tcPr>
          <w:p w14:paraId="0F9220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01.08.1934</w:t>
            </w:r>
          </w:p>
        </w:tc>
        <w:tc>
          <w:tcPr>
            <w:tcW w:w="1371" w:type="dxa"/>
          </w:tcPr>
          <w:p w14:paraId="73EADD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0D36B25" w14:textId="77777777">
        <w:tc>
          <w:tcPr>
            <w:tcW w:w="2235" w:type="dxa"/>
          </w:tcPr>
          <w:p w14:paraId="47F6A16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ДБ1-М34</w:t>
            </w:r>
          </w:p>
        </w:tc>
        <w:tc>
          <w:tcPr>
            <w:tcW w:w="2063" w:type="dxa"/>
          </w:tcPr>
          <w:p w14:paraId="5B9A99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 бомб.</w:t>
            </w:r>
          </w:p>
        </w:tc>
        <w:tc>
          <w:tcPr>
            <w:tcW w:w="1915" w:type="dxa"/>
          </w:tcPr>
          <w:p w14:paraId="54FAD11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0" w:type="dxa"/>
          </w:tcPr>
          <w:p w14:paraId="35352C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tc>
        <w:tc>
          <w:tcPr>
            <w:tcW w:w="1321" w:type="dxa"/>
          </w:tcPr>
          <w:p w14:paraId="53ED01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01.05.1934</w:t>
            </w:r>
          </w:p>
        </w:tc>
        <w:tc>
          <w:tcPr>
            <w:tcW w:w="1371" w:type="dxa"/>
          </w:tcPr>
          <w:p w14:paraId="465CCA8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Воен. вар.</w:t>
            </w:r>
          </w:p>
        </w:tc>
      </w:tr>
      <w:tr w:rsidR="00F26F01" w:rsidRPr="00C33834" w14:paraId="23EF1A72" w14:textId="77777777">
        <w:tc>
          <w:tcPr>
            <w:tcW w:w="2235" w:type="dxa"/>
          </w:tcPr>
          <w:p w14:paraId="79C268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ЛБ-М22</w:t>
            </w:r>
          </w:p>
        </w:tc>
        <w:tc>
          <w:tcPr>
            <w:tcW w:w="2063" w:type="dxa"/>
          </w:tcPr>
          <w:p w14:paraId="322332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 бомб.</w:t>
            </w:r>
          </w:p>
        </w:tc>
        <w:tc>
          <w:tcPr>
            <w:tcW w:w="1915" w:type="dxa"/>
          </w:tcPr>
          <w:p w14:paraId="0B4332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0" w:type="dxa"/>
          </w:tcPr>
          <w:p w14:paraId="2C0295C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ХАИ</w:t>
            </w:r>
          </w:p>
        </w:tc>
        <w:tc>
          <w:tcPr>
            <w:tcW w:w="1321" w:type="dxa"/>
          </w:tcPr>
          <w:p w14:paraId="7A39098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01.03.1934</w:t>
            </w:r>
          </w:p>
        </w:tc>
        <w:tc>
          <w:tcPr>
            <w:tcW w:w="1371" w:type="dxa"/>
          </w:tcPr>
          <w:p w14:paraId="792F3AC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Воен. ХАИ</w:t>
            </w:r>
          </w:p>
        </w:tc>
      </w:tr>
      <w:tr w:rsidR="00F26F01" w:rsidRPr="00C33834" w14:paraId="32BA157C" w14:textId="77777777">
        <w:tc>
          <w:tcPr>
            <w:tcW w:w="2235" w:type="dxa"/>
          </w:tcPr>
          <w:p w14:paraId="26D650C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Штурмовики:</w:t>
            </w:r>
          </w:p>
        </w:tc>
        <w:tc>
          <w:tcPr>
            <w:tcW w:w="2063" w:type="dxa"/>
          </w:tcPr>
          <w:p w14:paraId="06E568B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29EFE5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355FD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44E1C69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48C3AD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BC7C04E" w14:textId="77777777">
        <w:tc>
          <w:tcPr>
            <w:tcW w:w="2235" w:type="dxa"/>
          </w:tcPr>
          <w:p w14:paraId="27D705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ЛШ1-М22</w:t>
            </w:r>
          </w:p>
        </w:tc>
        <w:tc>
          <w:tcPr>
            <w:tcW w:w="2063" w:type="dxa"/>
          </w:tcPr>
          <w:p w14:paraId="7EFC9AF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 штурмовик</w:t>
            </w:r>
          </w:p>
        </w:tc>
        <w:tc>
          <w:tcPr>
            <w:tcW w:w="1915" w:type="dxa"/>
          </w:tcPr>
          <w:p w14:paraId="3BD288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0" w:type="dxa"/>
          </w:tcPr>
          <w:p w14:paraId="16BFA7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39</w:t>
            </w:r>
          </w:p>
        </w:tc>
        <w:tc>
          <w:tcPr>
            <w:tcW w:w="1321" w:type="dxa"/>
          </w:tcPr>
          <w:p w14:paraId="517B62F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01.05.1934</w:t>
            </w:r>
          </w:p>
        </w:tc>
        <w:tc>
          <w:tcPr>
            <w:tcW w:w="1371" w:type="dxa"/>
          </w:tcPr>
          <w:p w14:paraId="0590B6F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Вар. И16</w:t>
            </w:r>
          </w:p>
        </w:tc>
      </w:tr>
      <w:tr w:rsidR="00F26F01" w:rsidRPr="00C33834" w14:paraId="158A9036" w14:textId="77777777">
        <w:tc>
          <w:tcPr>
            <w:tcW w:w="2235" w:type="dxa"/>
          </w:tcPr>
          <w:p w14:paraId="5929280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ЛШ2-РЦ</w:t>
            </w:r>
          </w:p>
        </w:tc>
        <w:tc>
          <w:tcPr>
            <w:tcW w:w="2063" w:type="dxa"/>
          </w:tcPr>
          <w:p w14:paraId="1AF0AC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 штурмовик</w:t>
            </w:r>
          </w:p>
        </w:tc>
        <w:tc>
          <w:tcPr>
            <w:tcW w:w="1915" w:type="dxa"/>
          </w:tcPr>
          <w:p w14:paraId="1E29651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0" w:type="dxa"/>
          </w:tcPr>
          <w:p w14:paraId="3516FA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39</w:t>
            </w:r>
          </w:p>
        </w:tc>
        <w:tc>
          <w:tcPr>
            <w:tcW w:w="1321" w:type="dxa"/>
          </w:tcPr>
          <w:p w14:paraId="4D82582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01.09.1934</w:t>
            </w:r>
          </w:p>
        </w:tc>
        <w:tc>
          <w:tcPr>
            <w:tcW w:w="1371" w:type="dxa"/>
          </w:tcPr>
          <w:p w14:paraId="1C7D7F5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Вар. ДИ6</w:t>
            </w:r>
          </w:p>
        </w:tc>
      </w:tr>
      <w:tr w:rsidR="00F26F01" w:rsidRPr="00C33834" w14:paraId="5855E879" w14:textId="77777777">
        <w:tc>
          <w:tcPr>
            <w:tcW w:w="2235" w:type="dxa"/>
          </w:tcPr>
          <w:p w14:paraId="7FCB21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Истребители</w:t>
            </w:r>
          </w:p>
        </w:tc>
        <w:tc>
          <w:tcPr>
            <w:tcW w:w="2063" w:type="dxa"/>
          </w:tcPr>
          <w:p w14:paraId="2EC40E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27D0B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023FC35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6336A41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424125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6A13045" w14:textId="77777777">
        <w:tc>
          <w:tcPr>
            <w:tcW w:w="2235" w:type="dxa"/>
          </w:tcPr>
          <w:p w14:paraId="72C4405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ИП-М22</w:t>
            </w:r>
          </w:p>
        </w:tc>
        <w:tc>
          <w:tcPr>
            <w:tcW w:w="2063" w:type="dxa"/>
          </w:tcPr>
          <w:p w14:paraId="6DE580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 пуш. истр.</w:t>
            </w:r>
          </w:p>
        </w:tc>
        <w:tc>
          <w:tcPr>
            <w:tcW w:w="1915" w:type="dxa"/>
          </w:tcPr>
          <w:p w14:paraId="18885D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0" w:type="dxa"/>
          </w:tcPr>
          <w:p w14:paraId="4267855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39</w:t>
            </w:r>
          </w:p>
        </w:tc>
        <w:tc>
          <w:tcPr>
            <w:tcW w:w="1321" w:type="dxa"/>
          </w:tcPr>
          <w:p w14:paraId="1872E92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01.06.1934</w:t>
            </w:r>
          </w:p>
        </w:tc>
        <w:tc>
          <w:tcPr>
            <w:tcW w:w="1371" w:type="dxa"/>
          </w:tcPr>
          <w:p w14:paraId="0B66ED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1D56913" w14:textId="77777777">
        <w:tc>
          <w:tcPr>
            <w:tcW w:w="2235" w:type="dxa"/>
          </w:tcPr>
          <w:p w14:paraId="70C5760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МИ3-2М34Н</w:t>
            </w:r>
          </w:p>
        </w:tc>
        <w:tc>
          <w:tcPr>
            <w:tcW w:w="2063" w:type="dxa"/>
          </w:tcPr>
          <w:p w14:paraId="624E7FE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Многом. истр.</w:t>
            </w:r>
          </w:p>
        </w:tc>
        <w:tc>
          <w:tcPr>
            <w:tcW w:w="1915" w:type="dxa"/>
          </w:tcPr>
          <w:p w14:paraId="788E91B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0" w:type="dxa"/>
          </w:tcPr>
          <w:p w14:paraId="10792B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tc>
        <w:tc>
          <w:tcPr>
            <w:tcW w:w="1321" w:type="dxa"/>
          </w:tcPr>
          <w:p w14:paraId="1395A0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01.04.1934</w:t>
            </w:r>
          </w:p>
        </w:tc>
        <w:tc>
          <w:tcPr>
            <w:tcW w:w="1371" w:type="dxa"/>
          </w:tcPr>
          <w:p w14:paraId="6E4D2D7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321C636" w14:textId="77777777">
        <w:tc>
          <w:tcPr>
            <w:tcW w:w="2235" w:type="dxa"/>
          </w:tcPr>
          <w:p w14:paraId="132CBEB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Разведчики:</w:t>
            </w:r>
          </w:p>
        </w:tc>
        <w:tc>
          <w:tcPr>
            <w:tcW w:w="2063" w:type="dxa"/>
          </w:tcPr>
          <w:p w14:paraId="369D50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4C350F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2AA33E9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53A4E5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7807ED2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384F7A5" w14:textId="77777777">
        <w:tc>
          <w:tcPr>
            <w:tcW w:w="2235" w:type="dxa"/>
          </w:tcPr>
          <w:p w14:paraId="21BDE5C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ЛР-М34</w:t>
            </w:r>
          </w:p>
        </w:tc>
        <w:tc>
          <w:tcPr>
            <w:tcW w:w="2063" w:type="dxa"/>
          </w:tcPr>
          <w:p w14:paraId="0D23D25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 разведчик</w:t>
            </w:r>
          </w:p>
        </w:tc>
        <w:tc>
          <w:tcPr>
            <w:tcW w:w="1915" w:type="dxa"/>
          </w:tcPr>
          <w:p w14:paraId="32481F8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0" w:type="dxa"/>
          </w:tcPr>
          <w:p w14:paraId="13EF51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39</w:t>
            </w:r>
          </w:p>
        </w:tc>
        <w:tc>
          <w:tcPr>
            <w:tcW w:w="1321" w:type="dxa"/>
          </w:tcPr>
          <w:p w14:paraId="5F267B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10.03.1934</w:t>
            </w:r>
          </w:p>
        </w:tc>
        <w:tc>
          <w:tcPr>
            <w:tcW w:w="1371" w:type="dxa"/>
          </w:tcPr>
          <w:p w14:paraId="6251B4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F541206" w14:textId="77777777">
        <w:tc>
          <w:tcPr>
            <w:tcW w:w="2235" w:type="dxa"/>
          </w:tcPr>
          <w:p w14:paraId="4F1D5A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Экспериментальные:</w:t>
            </w:r>
          </w:p>
        </w:tc>
        <w:tc>
          <w:tcPr>
            <w:tcW w:w="2063" w:type="dxa"/>
          </w:tcPr>
          <w:p w14:paraId="34276C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676800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1BF135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0F982C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BFFCC7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5DD54F9" w14:textId="77777777">
        <w:tc>
          <w:tcPr>
            <w:tcW w:w="2235" w:type="dxa"/>
          </w:tcPr>
          <w:p w14:paraId="574468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Бомбардировщики:</w:t>
            </w:r>
          </w:p>
        </w:tc>
        <w:tc>
          <w:tcPr>
            <w:tcW w:w="2063" w:type="dxa"/>
          </w:tcPr>
          <w:p w14:paraId="7672FE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49BD2D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58F472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34E1FD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CBE26A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ED048D4" w14:textId="77777777">
        <w:tc>
          <w:tcPr>
            <w:tcW w:w="2235" w:type="dxa"/>
          </w:tcPr>
          <w:p w14:paraId="17117D7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ТБ6-6М44</w:t>
            </w:r>
          </w:p>
        </w:tc>
        <w:tc>
          <w:tcPr>
            <w:tcW w:w="2063" w:type="dxa"/>
          </w:tcPr>
          <w:p w14:paraId="15063F9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 бомбард.</w:t>
            </w:r>
          </w:p>
        </w:tc>
        <w:tc>
          <w:tcPr>
            <w:tcW w:w="1915" w:type="dxa"/>
          </w:tcPr>
          <w:p w14:paraId="2BC2D1D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Пассажирский</w:t>
            </w:r>
          </w:p>
        </w:tc>
        <w:tc>
          <w:tcPr>
            <w:tcW w:w="1550" w:type="dxa"/>
          </w:tcPr>
          <w:p w14:paraId="6BF8BEE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tc>
        <w:tc>
          <w:tcPr>
            <w:tcW w:w="1321" w:type="dxa"/>
          </w:tcPr>
          <w:p w14:paraId="40BFAA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01.12.1935</w:t>
            </w:r>
          </w:p>
        </w:tc>
        <w:tc>
          <w:tcPr>
            <w:tcW w:w="1371" w:type="dxa"/>
          </w:tcPr>
          <w:p w14:paraId="13EFBA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1B8769F" w14:textId="77777777">
        <w:tc>
          <w:tcPr>
            <w:tcW w:w="2235" w:type="dxa"/>
          </w:tcPr>
          <w:p w14:paraId="4786ED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К7-7М34</w:t>
            </w:r>
          </w:p>
        </w:tc>
        <w:tc>
          <w:tcPr>
            <w:tcW w:w="2063" w:type="dxa"/>
          </w:tcPr>
          <w:p w14:paraId="1E588E5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 бомбард.</w:t>
            </w:r>
          </w:p>
        </w:tc>
        <w:tc>
          <w:tcPr>
            <w:tcW w:w="1915" w:type="dxa"/>
          </w:tcPr>
          <w:p w14:paraId="465881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Пассажирский</w:t>
            </w:r>
          </w:p>
        </w:tc>
        <w:tc>
          <w:tcPr>
            <w:tcW w:w="1550" w:type="dxa"/>
          </w:tcPr>
          <w:p w14:paraId="4C5BE8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ХАЗОС</w:t>
            </w:r>
          </w:p>
        </w:tc>
        <w:tc>
          <w:tcPr>
            <w:tcW w:w="1321" w:type="dxa"/>
          </w:tcPr>
          <w:p w14:paraId="7CFEDDD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01.06.1935</w:t>
            </w:r>
          </w:p>
        </w:tc>
        <w:tc>
          <w:tcPr>
            <w:tcW w:w="1371" w:type="dxa"/>
          </w:tcPr>
          <w:p w14:paraId="58911A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608A501" w14:textId="77777777">
        <w:tc>
          <w:tcPr>
            <w:tcW w:w="2235" w:type="dxa"/>
          </w:tcPr>
          <w:p w14:paraId="2CAB98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ПБ1-М34ФРН</w:t>
            </w:r>
          </w:p>
        </w:tc>
        <w:tc>
          <w:tcPr>
            <w:tcW w:w="2063" w:type="dxa"/>
          </w:tcPr>
          <w:p w14:paraId="4E08AE3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Пикир. бомб.</w:t>
            </w:r>
          </w:p>
        </w:tc>
        <w:tc>
          <w:tcPr>
            <w:tcW w:w="1915" w:type="dxa"/>
          </w:tcPr>
          <w:p w14:paraId="3E1169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0" w:type="dxa"/>
          </w:tcPr>
          <w:p w14:paraId="3D1778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ВВА</w:t>
            </w:r>
          </w:p>
        </w:tc>
        <w:tc>
          <w:tcPr>
            <w:tcW w:w="1321" w:type="dxa"/>
          </w:tcPr>
          <w:p w14:paraId="487DC8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01.06.1935</w:t>
            </w:r>
          </w:p>
        </w:tc>
        <w:tc>
          <w:tcPr>
            <w:tcW w:w="1371" w:type="dxa"/>
          </w:tcPr>
          <w:p w14:paraId="1C78816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5E15A57" w14:textId="77777777">
        <w:tc>
          <w:tcPr>
            <w:tcW w:w="2235" w:type="dxa"/>
          </w:tcPr>
          <w:p w14:paraId="24AF02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Крейсера:</w:t>
            </w:r>
          </w:p>
        </w:tc>
        <w:tc>
          <w:tcPr>
            <w:tcW w:w="2063" w:type="dxa"/>
          </w:tcPr>
          <w:p w14:paraId="6908CB4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116C1D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BA5E1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25B802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1F449A5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3BCECF8" w14:textId="77777777">
        <w:tc>
          <w:tcPr>
            <w:tcW w:w="2235" w:type="dxa"/>
          </w:tcPr>
          <w:p w14:paraId="51537C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ТК1-4Исп.</w:t>
            </w:r>
          </w:p>
        </w:tc>
        <w:tc>
          <w:tcPr>
            <w:tcW w:w="2063" w:type="dxa"/>
          </w:tcPr>
          <w:p w14:paraId="0ADEB30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 крейсер</w:t>
            </w:r>
          </w:p>
        </w:tc>
        <w:tc>
          <w:tcPr>
            <w:tcW w:w="1915" w:type="dxa"/>
          </w:tcPr>
          <w:p w14:paraId="1C86B9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0" w:type="dxa"/>
          </w:tcPr>
          <w:p w14:paraId="778E33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39</w:t>
            </w:r>
          </w:p>
        </w:tc>
        <w:tc>
          <w:tcPr>
            <w:tcW w:w="1321" w:type="dxa"/>
          </w:tcPr>
          <w:p w14:paraId="255AE0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01.04.1935</w:t>
            </w:r>
          </w:p>
        </w:tc>
        <w:tc>
          <w:tcPr>
            <w:tcW w:w="1371" w:type="dxa"/>
          </w:tcPr>
          <w:p w14:paraId="2A5A42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59F552D" w14:textId="77777777">
        <w:tc>
          <w:tcPr>
            <w:tcW w:w="2235" w:type="dxa"/>
          </w:tcPr>
          <w:p w14:paraId="61DBC52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Штурмовики:</w:t>
            </w:r>
          </w:p>
        </w:tc>
        <w:tc>
          <w:tcPr>
            <w:tcW w:w="2063" w:type="dxa"/>
          </w:tcPr>
          <w:p w14:paraId="47283C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6DA3A6D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3A45A1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1C500D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462E34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F76B0C4" w14:textId="77777777">
        <w:tc>
          <w:tcPr>
            <w:tcW w:w="2235" w:type="dxa"/>
          </w:tcPr>
          <w:p w14:paraId="7C9396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Х1-2М34РН</w:t>
            </w:r>
          </w:p>
        </w:tc>
        <w:tc>
          <w:tcPr>
            <w:tcW w:w="2063" w:type="dxa"/>
          </w:tcPr>
          <w:p w14:paraId="44EFA6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Хим. боевик</w:t>
            </w:r>
          </w:p>
        </w:tc>
        <w:tc>
          <w:tcPr>
            <w:tcW w:w="1915" w:type="dxa"/>
          </w:tcPr>
          <w:p w14:paraId="38CC63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 на 12-14 пас.</w:t>
            </w:r>
          </w:p>
        </w:tc>
        <w:tc>
          <w:tcPr>
            <w:tcW w:w="1550" w:type="dxa"/>
          </w:tcPr>
          <w:p w14:paraId="141397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81</w:t>
            </w:r>
          </w:p>
        </w:tc>
        <w:tc>
          <w:tcPr>
            <w:tcW w:w="1321" w:type="dxa"/>
          </w:tcPr>
          <w:p w14:paraId="4EA6DDD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01.11.1934</w:t>
            </w:r>
          </w:p>
        </w:tc>
        <w:tc>
          <w:tcPr>
            <w:tcW w:w="1371" w:type="dxa"/>
          </w:tcPr>
          <w:p w14:paraId="7299559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684E67B" w14:textId="77777777">
        <w:tc>
          <w:tcPr>
            <w:tcW w:w="2235" w:type="dxa"/>
          </w:tcPr>
          <w:p w14:paraId="076840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Истребители:</w:t>
            </w:r>
          </w:p>
        </w:tc>
        <w:tc>
          <w:tcPr>
            <w:tcW w:w="2063" w:type="dxa"/>
          </w:tcPr>
          <w:p w14:paraId="4587B3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020C7AD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33D10AC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759766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4C438C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8319975" w14:textId="77777777">
        <w:tc>
          <w:tcPr>
            <w:tcW w:w="2235" w:type="dxa"/>
          </w:tcPr>
          <w:p w14:paraId="438AE0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ИП3-М34Н</w:t>
            </w:r>
          </w:p>
        </w:tc>
        <w:tc>
          <w:tcPr>
            <w:tcW w:w="2063" w:type="dxa"/>
          </w:tcPr>
          <w:p w14:paraId="41CD33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 пуш. истр.</w:t>
            </w:r>
          </w:p>
        </w:tc>
        <w:tc>
          <w:tcPr>
            <w:tcW w:w="1915" w:type="dxa"/>
          </w:tcPr>
          <w:p w14:paraId="783A19C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0" w:type="dxa"/>
          </w:tcPr>
          <w:p w14:paraId="67FB26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КБ 11 УВИ</w:t>
            </w:r>
          </w:p>
        </w:tc>
        <w:tc>
          <w:tcPr>
            <w:tcW w:w="1321" w:type="dxa"/>
          </w:tcPr>
          <w:p w14:paraId="290B918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01.08.1934</w:t>
            </w:r>
          </w:p>
        </w:tc>
        <w:tc>
          <w:tcPr>
            <w:tcW w:w="1371" w:type="dxa"/>
          </w:tcPr>
          <w:p w14:paraId="3BDA13A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Ленинград</w:t>
            </w:r>
          </w:p>
        </w:tc>
      </w:tr>
      <w:tr w:rsidR="00F26F01" w:rsidRPr="00C33834" w14:paraId="28145B9B" w14:textId="77777777">
        <w:tc>
          <w:tcPr>
            <w:tcW w:w="2235" w:type="dxa"/>
          </w:tcPr>
          <w:p w14:paraId="61D8ED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ДИП-2М34Н</w:t>
            </w:r>
          </w:p>
        </w:tc>
        <w:tc>
          <w:tcPr>
            <w:tcW w:w="2063" w:type="dxa"/>
          </w:tcPr>
          <w:p w14:paraId="5A1D2D9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Двух. пуш. истр.</w:t>
            </w:r>
          </w:p>
        </w:tc>
        <w:tc>
          <w:tcPr>
            <w:tcW w:w="1915" w:type="dxa"/>
          </w:tcPr>
          <w:p w14:paraId="2C6A89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0" w:type="dxa"/>
          </w:tcPr>
          <w:p w14:paraId="0E21C5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tc>
        <w:tc>
          <w:tcPr>
            <w:tcW w:w="1321" w:type="dxa"/>
          </w:tcPr>
          <w:p w14:paraId="40AC70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01.06.1934</w:t>
            </w:r>
          </w:p>
        </w:tc>
        <w:tc>
          <w:tcPr>
            <w:tcW w:w="1371" w:type="dxa"/>
          </w:tcPr>
          <w:p w14:paraId="325954B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1B9D608" w14:textId="77777777">
        <w:tc>
          <w:tcPr>
            <w:tcW w:w="2235" w:type="dxa"/>
          </w:tcPr>
          <w:p w14:paraId="300B22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Разведчики:</w:t>
            </w:r>
          </w:p>
        </w:tc>
        <w:tc>
          <w:tcPr>
            <w:tcW w:w="2063" w:type="dxa"/>
          </w:tcPr>
          <w:p w14:paraId="363EFB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2939B85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2662BA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348B3E8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CE9D5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419268C" w14:textId="77777777">
        <w:tc>
          <w:tcPr>
            <w:tcW w:w="2235" w:type="dxa"/>
          </w:tcPr>
          <w:p w14:paraId="2154BBF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ФР-РЦ</w:t>
            </w:r>
          </w:p>
        </w:tc>
        <w:tc>
          <w:tcPr>
            <w:tcW w:w="2063" w:type="dxa"/>
          </w:tcPr>
          <w:p w14:paraId="4ABC8C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 фоторазв.</w:t>
            </w:r>
          </w:p>
        </w:tc>
        <w:tc>
          <w:tcPr>
            <w:tcW w:w="1915" w:type="dxa"/>
          </w:tcPr>
          <w:p w14:paraId="3E6843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Экспресс курьер.</w:t>
            </w:r>
          </w:p>
        </w:tc>
        <w:tc>
          <w:tcPr>
            <w:tcW w:w="1550" w:type="dxa"/>
          </w:tcPr>
          <w:p w14:paraId="40EDB1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ХАИ</w:t>
            </w:r>
          </w:p>
        </w:tc>
        <w:tc>
          <w:tcPr>
            <w:tcW w:w="1321" w:type="dxa"/>
          </w:tcPr>
          <w:p w14:paraId="79BAF1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01.08.1934</w:t>
            </w:r>
          </w:p>
        </w:tc>
        <w:tc>
          <w:tcPr>
            <w:tcW w:w="1371" w:type="dxa"/>
          </w:tcPr>
          <w:p w14:paraId="13E06F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C11C89E" w14:textId="77777777">
        <w:tc>
          <w:tcPr>
            <w:tcW w:w="2235" w:type="dxa"/>
          </w:tcPr>
          <w:p w14:paraId="73E88E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ВС2-2М22</w:t>
            </w:r>
          </w:p>
        </w:tc>
        <w:tc>
          <w:tcPr>
            <w:tcW w:w="2063" w:type="dxa"/>
          </w:tcPr>
          <w:p w14:paraId="3BA002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Войск. самолет</w:t>
            </w:r>
          </w:p>
        </w:tc>
        <w:tc>
          <w:tcPr>
            <w:tcW w:w="1915" w:type="dxa"/>
          </w:tcPr>
          <w:p w14:paraId="0483B29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 11 пас.</w:t>
            </w:r>
          </w:p>
        </w:tc>
        <w:tc>
          <w:tcPr>
            <w:tcW w:w="1550" w:type="dxa"/>
          </w:tcPr>
          <w:p w14:paraId="4B65F9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ХАЗОС</w:t>
            </w:r>
          </w:p>
        </w:tc>
        <w:tc>
          <w:tcPr>
            <w:tcW w:w="1321" w:type="dxa"/>
          </w:tcPr>
          <w:p w14:paraId="221637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01.09.1934</w:t>
            </w:r>
          </w:p>
        </w:tc>
        <w:tc>
          <w:tcPr>
            <w:tcW w:w="1371" w:type="dxa"/>
          </w:tcPr>
          <w:p w14:paraId="495279A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 крыло</w:t>
            </w:r>
          </w:p>
        </w:tc>
      </w:tr>
      <w:tr w:rsidR="00F26F01" w:rsidRPr="00C33834" w14:paraId="3D8E261C" w14:textId="77777777">
        <w:tc>
          <w:tcPr>
            <w:tcW w:w="2235" w:type="dxa"/>
          </w:tcPr>
          <w:p w14:paraId="514A44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Учебные:</w:t>
            </w:r>
          </w:p>
        </w:tc>
        <w:tc>
          <w:tcPr>
            <w:tcW w:w="2063" w:type="dxa"/>
          </w:tcPr>
          <w:p w14:paraId="292504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0C39D40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21870C2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54E9C2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6E5161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C243AD1" w14:textId="77777777">
        <w:tc>
          <w:tcPr>
            <w:tcW w:w="2235" w:type="dxa"/>
          </w:tcPr>
          <w:p w14:paraId="1158D64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УВП-2М11</w:t>
            </w:r>
          </w:p>
        </w:tc>
        <w:tc>
          <w:tcPr>
            <w:tcW w:w="2063" w:type="dxa"/>
          </w:tcPr>
          <w:p w14:paraId="1820BD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Боев. подгот.</w:t>
            </w:r>
          </w:p>
        </w:tc>
        <w:tc>
          <w:tcPr>
            <w:tcW w:w="1915" w:type="dxa"/>
          </w:tcPr>
          <w:p w14:paraId="3B0841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 на 3 пас.</w:t>
            </w:r>
          </w:p>
        </w:tc>
        <w:tc>
          <w:tcPr>
            <w:tcW w:w="1550" w:type="dxa"/>
          </w:tcPr>
          <w:p w14:paraId="46CD2B8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ХАИ</w:t>
            </w:r>
          </w:p>
        </w:tc>
        <w:tc>
          <w:tcPr>
            <w:tcW w:w="1321" w:type="dxa"/>
          </w:tcPr>
          <w:p w14:paraId="480B6F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01.07.1934</w:t>
            </w:r>
          </w:p>
        </w:tc>
        <w:tc>
          <w:tcPr>
            <w:tcW w:w="1371" w:type="dxa"/>
          </w:tcPr>
          <w:p w14:paraId="79C8EC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89D418F" w14:textId="77777777">
        <w:tc>
          <w:tcPr>
            <w:tcW w:w="2235" w:type="dxa"/>
          </w:tcPr>
          <w:p w14:paraId="04F1369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34C766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 бригад</w:t>
            </w:r>
          </w:p>
        </w:tc>
        <w:tc>
          <w:tcPr>
            <w:tcW w:w="1915" w:type="dxa"/>
          </w:tcPr>
          <w:p w14:paraId="60AC0A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43127CF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3750D4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32ECFC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DF8E609" w14:textId="77777777">
        <w:tc>
          <w:tcPr>
            <w:tcW w:w="2235" w:type="dxa"/>
          </w:tcPr>
          <w:p w14:paraId="53E8E1D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Особая группа:</w:t>
            </w:r>
          </w:p>
        </w:tc>
        <w:tc>
          <w:tcPr>
            <w:tcW w:w="2063" w:type="dxa"/>
          </w:tcPr>
          <w:p w14:paraId="282DD01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00952FB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6554B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41438E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7B3F63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E8DB665" w14:textId="77777777">
        <w:tc>
          <w:tcPr>
            <w:tcW w:w="2235" w:type="dxa"/>
          </w:tcPr>
          <w:p w14:paraId="409DA3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Самолет танк</w:t>
            </w:r>
          </w:p>
        </w:tc>
        <w:tc>
          <w:tcPr>
            <w:tcW w:w="2063" w:type="dxa"/>
          </w:tcPr>
          <w:p w14:paraId="7A8854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5B21639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0" w:type="dxa"/>
          </w:tcPr>
          <w:p w14:paraId="2AF690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321" w:type="dxa"/>
          </w:tcPr>
          <w:p w14:paraId="500396D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34BE2B3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1D294E3F" w14:textId="77777777">
        <w:tc>
          <w:tcPr>
            <w:tcW w:w="2235" w:type="dxa"/>
          </w:tcPr>
          <w:p w14:paraId="1D9B4E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гусеницах М34</w:t>
            </w:r>
          </w:p>
        </w:tc>
        <w:tc>
          <w:tcPr>
            <w:tcW w:w="2063" w:type="dxa"/>
          </w:tcPr>
          <w:p w14:paraId="6A2C0AE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6AA61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416017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1E7937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B52A8F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4ADB5F6" w14:textId="77777777">
        <w:tc>
          <w:tcPr>
            <w:tcW w:w="2235" w:type="dxa"/>
          </w:tcPr>
          <w:p w14:paraId="54AB8F0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ВСБ1</w:t>
            </w:r>
          </w:p>
        </w:tc>
        <w:tc>
          <w:tcPr>
            <w:tcW w:w="2063" w:type="dxa"/>
          </w:tcPr>
          <w:p w14:paraId="549B6F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 скор. бомб.</w:t>
            </w:r>
          </w:p>
        </w:tc>
        <w:tc>
          <w:tcPr>
            <w:tcW w:w="1915" w:type="dxa"/>
          </w:tcPr>
          <w:p w14:paraId="6A1B72B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0" w:type="dxa"/>
          </w:tcPr>
          <w:p w14:paraId="3A0CBF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1616D17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046EAB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3CEF51C" w14:textId="77777777">
        <w:tc>
          <w:tcPr>
            <w:tcW w:w="2235" w:type="dxa"/>
          </w:tcPr>
          <w:p w14:paraId="372A58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Специальные</w:t>
            </w:r>
          </w:p>
        </w:tc>
        <w:tc>
          <w:tcPr>
            <w:tcW w:w="2063" w:type="dxa"/>
          </w:tcPr>
          <w:p w14:paraId="6E9DF11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C37BF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41B2B7D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004305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6277C0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CA3BA72" w14:textId="77777777">
        <w:tc>
          <w:tcPr>
            <w:tcW w:w="2235" w:type="dxa"/>
          </w:tcPr>
          <w:p w14:paraId="459E1B1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Стратосферный</w:t>
            </w:r>
          </w:p>
        </w:tc>
        <w:tc>
          <w:tcPr>
            <w:tcW w:w="2063" w:type="dxa"/>
          </w:tcPr>
          <w:p w14:paraId="5D82657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Установление мирового рекорда высоты,</w:t>
            </w:r>
          </w:p>
        </w:tc>
        <w:tc>
          <w:tcPr>
            <w:tcW w:w="1915" w:type="dxa"/>
          </w:tcPr>
          <w:p w14:paraId="6E7ABE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5F1BA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39</w:t>
            </w:r>
          </w:p>
        </w:tc>
        <w:tc>
          <w:tcPr>
            <w:tcW w:w="1321" w:type="dxa"/>
          </w:tcPr>
          <w:p w14:paraId="55974C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85F574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26E5F42" w14:textId="77777777">
        <w:tc>
          <w:tcPr>
            <w:tcW w:w="2235" w:type="dxa"/>
          </w:tcPr>
          <w:p w14:paraId="6034931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5BFB8D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изучение стратосферы</w:t>
            </w:r>
          </w:p>
        </w:tc>
        <w:tc>
          <w:tcPr>
            <w:tcW w:w="1915" w:type="dxa"/>
          </w:tcPr>
          <w:p w14:paraId="5C7357C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4FFA84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58A785C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DC465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E67B1FD" w14:textId="77777777">
        <w:tc>
          <w:tcPr>
            <w:tcW w:w="2235" w:type="dxa"/>
          </w:tcPr>
          <w:p w14:paraId="3F495A9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Самолет с разр. крыл.</w:t>
            </w:r>
          </w:p>
        </w:tc>
        <w:tc>
          <w:tcPr>
            <w:tcW w:w="2063" w:type="dxa"/>
          </w:tcPr>
          <w:p w14:paraId="7C2537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Методическое изуч. разр. крыльев</w:t>
            </w:r>
          </w:p>
        </w:tc>
        <w:tc>
          <w:tcPr>
            <w:tcW w:w="1915" w:type="dxa"/>
          </w:tcPr>
          <w:p w14:paraId="3AC008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40D8D8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39</w:t>
            </w:r>
          </w:p>
        </w:tc>
        <w:tc>
          <w:tcPr>
            <w:tcW w:w="1321" w:type="dxa"/>
          </w:tcPr>
          <w:p w14:paraId="46FA97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1684C4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D358AC7" w14:textId="77777777">
        <w:tc>
          <w:tcPr>
            <w:tcW w:w="2235" w:type="dxa"/>
          </w:tcPr>
          <w:p w14:paraId="6B24327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66B0ED4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разл. типов.</w:t>
            </w:r>
          </w:p>
        </w:tc>
        <w:tc>
          <w:tcPr>
            <w:tcW w:w="1915" w:type="dxa"/>
          </w:tcPr>
          <w:p w14:paraId="2C8C76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23A5D4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2BD0899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7A3B3A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6853C49" w14:textId="77777777">
        <w:tc>
          <w:tcPr>
            <w:tcW w:w="2235" w:type="dxa"/>
          </w:tcPr>
          <w:p w14:paraId="1A19C7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Самолет с раздв. крыл.</w:t>
            </w:r>
          </w:p>
        </w:tc>
        <w:tc>
          <w:tcPr>
            <w:tcW w:w="2063" w:type="dxa"/>
          </w:tcPr>
          <w:p w14:paraId="6A0E8B2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Уменьш. посад. скор.</w:t>
            </w:r>
          </w:p>
        </w:tc>
        <w:tc>
          <w:tcPr>
            <w:tcW w:w="1915" w:type="dxa"/>
          </w:tcPr>
          <w:p w14:paraId="4AFCEC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641BE0D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НИИ ГВФ</w:t>
            </w:r>
          </w:p>
        </w:tc>
        <w:tc>
          <w:tcPr>
            <w:tcW w:w="1321" w:type="dxa"/>
          </w:tcPr>
          <w:p w14:paraId="1C8CEC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656248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B2A828F" w14:textId="77777777">
        <w:tc>
          <w:tcPr>
            <w:tcW w:w="2235" w:type="dxa"/>
          </w:tcPr>
          <w:p w14:paraId="40667C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Лет. крыло 2М11</w:t>
            </w:r>
          </w:p>
        </w:tc>
        <w:tc>
          <w:tcPr>
            <w:tcW w:w="2063" w:type="dxa"/>
          </w:tcPr>
          <w:p w14:paraId="36CEE5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Перех. к многомоторным лет. крыльям</w:t>
            </w:r>
          </w:p>
        </w:tc>
        <w:tc>
          <w:tcPr>
            <w:tcW w:w="1915" w:type="dxa"/>
          </w:tcPr>
          <w:p w14:paraId="3A3B7A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16D336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39</w:t>
            </w:r>
          </w:p>
        </w:tc>
        <w:tc>
          <w:tcPr>
            <w:tcW w:w="1321" w:type="dxa"/>
          </w:tcPr>
          <w:p w14:paraId="3FD532F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711199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A328C97" w14:textId="77777777">
        <w:tc>
          <w:tcPr>
            <w:tcW w:w="2235" w:type="dxa"/>
          </w:tcPr>
          <w:p w14:paraId="38DF902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Пикир. сам. с М11</w:t>
            </w:r>
          </w:p>
        </w:tc>
        <w:tc>
          <w:tcPr>
            <w:tcW w:w="2063" w:type="dxa"/>
          </w:tcPr>
          <w:p w14:paraId="73AADB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Изуч торможения при отвесном пикир.</w:t>
            </w:r>
          </w:p>
        </w:tc>
        <w:tc>
          <w:tcPr>
            <w:tcW w:w="1915" w:type="dxa"/>
          </w:tcPr>
          <w:p w14:paraId="7CA9017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AAABB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ВВА</w:t>
            </w:r>
          </w:p>
        </w:tc>
        <w:tc>
          <w:tcPr>
            <w:tcW w:w="1321" w:type="dxa"/>
          </w:tcPr>
          <w:p w14:paraId="02E9F1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63DEECE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CB1D0EF" w14:textId="77777777">
        <w:tc>
          <w:tcPr>
            <w:tcW w:w="2235" w:type="dxa"/>
          </w:tcPr>
          <w:p w14:paraId="004882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Раб. по ускор. взл. ТБ3</w:t>
            </w:r>
          </w:p>
        </w:tc>
        <w:tc>
          <w:tcPr>
            <w:tcW w:w="2063" w:type="dxa"/>
          </w:tcPr>
          <w:p w14:paraId="78CA10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7AEA963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1490C64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РНИИ</w:t>
            </w:r>
          </w:p>
        </w:tc>
        <w:tc>
          <w:tcPr>
            <w:tcW w:w="1321" w:type="dxa"/>
          </w:tcPr>
          <w:p w14:paraId="111311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38A53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A82CD70" w14:textId="77777777">
        <w:tc>
          <w:tcPr>
            <w:tcW w:w="2235" w:type="dxa"/>
          </w:tcPr>
          <w:p w14:paraId="1CA911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Винтовые аппараты:</w:t>
            </w:r>
          </w:p>
        </w:tc>
        <w:tc>
          <w:tcPr>
            <w:tcW w:w="2063" w:type="dxa"/>
          </w:tcPr>
          <w:p w14:paraId="1D06C4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27BE60D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4D94F0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65E65E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1C1952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11DDFE4" w14:textId="77777777">
        <w:tc>
          <w:tcPr>
            <w:tcW w:w="2235" w:type="dxa"/>
          </w:tcPr>
          <w:p w14:paraId="570FE8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Автожир И10РЦ</w:t>
            </w:r>
          </w:p>
        </w:tc>
        <w:tc>
          <w:tcPr>
            <w:tcW w:w="2063" w:type="dxa"/>
          </w:tcPr>
          <w:p w14:paraId="1865B3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 двухм. истр.</w:t>
            </w:r>
          </w:p>
        </w:tc>
        <w:tc>
          <w:tcPr>
            <w:tcW w:w="1915" w:type="dxa"/>
          </w:tcPr>
          <w:p w14:paraId="109636C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6DC0742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321" w:type="dxa"/>
          </w:tcPr>
          <w:p w14:paraId="0B3563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01.05.1935</w:t>
            </w:r>
          </w:p>
        </w:tc>
        <w:tc>
          <w:tcPr>
            <w:tcW w:w="1371" w:type="dxa"/>
          </w:tcPr>
          <w:p w14:paraId="1A35E84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5829EC1" w14:textId="77777777">
        <w:tc>
          <w:tcPr>
            <w:tcW w:w="2235" w:type="dxa"/>
          </w:tcPr>
          <w:p w14:paraId="1222E25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5F527D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двухлоп. ротором</w:t>
            </w:r>
          </w:p>
        </w:tc>
        <w:tc>
          <w:tcPr>
            <w:tcW w:w="1915" w:type="dxa"/>
          </w:tcPr>
          <w:p w14:paraId="7A99D39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A56F4F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750068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BBD3A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F71ADDA" w14:textId="77777777">
        <w:tc>
          <w:tcPr>
            <w:tcW w:w="2235" w:type="dxa"/>
          </w:tcPr>
          <w:p w14:paraId="4F1119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Геликоптер с РЦ</w:t>
            </w:r>
          </w:p>
        </w:tc>
        <w:tc>
          <w:tcPr>
            <w:tcW w:w="2063" w:type="dxa"/>
          </w:tcPr>
          <w:p w14:paraId="5E1B40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Более мощн. и сов.</w:t>
            </w:r>
          </w:p>
        </w:tc>
        <w:tc>
          <w:tcPr>
            <w:tcW w:w="1915" w:type="dxa"/>
          </w:tcPr>
          <w:p w14:paraId="568583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5B1E36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311D9C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01.04.1934</w:t>
            </w:r>
          </w:p>
        </w:tc>
        <w:tc>
          <w:tcPr>
            <w:tcW w:w="1371" w:type="dxa"/>
          </w:tcPr>
          <w:p w14:paraId="581BD9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8065DE2" w14:textId="77777777">
        <w:tc>
          <w:tcPr>
            <w:tcW w:w="2235" w:type="dxa"/>
          </w:tcPr>
          <w:p w14:paraId="072749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Летат. аппарат</w:t>
            </w:r>
          </w:p>
        </w:tc>
        <w:tc>
          <w:tcPr>
            <w:tcW w:w="2063" w:type="dxa"/>
          </w:tcPr>
          <w:p w14:paraId="094CF39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Вращающиеся крылья</w:t>
            </w:r>
          </w:p>
        </w:tc>
        <w:tc>
          <w:tcPr>
            <w:tcW w:w="1915" w:type="dxa"/>
          </w:tcPr>
          <w:p w14:paraId="682A2C3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34F0236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tc>
        <w:tc>
          <w:tcPr>
            <w:tcW w:w="1321" w:type="dxa"/>
          </w:tcPr>
          <w:p w14:paraId="7B8C3C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01.09.1934</w:t>
            </w:r>
          </w:p>
        </w:tc>
        <w:tc>
          <w:tcPr>
            <w:tcW w:w="1371" w:type="dxa"/>
          </w:tcPr>
          <w:p w14:paraId="4DEC94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80D2A52" w14:textId="77777777">
        <w:tc>
          <w:tcPr>
            <w:tcW w:w="2235" w:type="dxa"/>
          </w:tcPr>
          <w:p w14:paraId="774C63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Гидросамолеты:</w:t>
            </w:r>
          </w:p>
        </w:tc>
        <w:tc>
          <w:tcPr>
            <w:tcW w:w="2063" w:type="dxa"/>
          </w:tcPr>
          <w:p w14:paraId="4891C20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1ACE282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1E6C8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3DA6545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30FDEA2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B3A0506" w14:textId="77777777">
        <w:tc>
          <w:tcPr>
            <w:tcW w:w="2235" w:type="dxa"/>
          </w:tcPr>
          <w:p w14:paraId="4C1D563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Тяжелые - опытные</w:t>
            </w:r>
          </w:p>
        </w:tc>
        <w:tc>
          <w:tcPr>
            <w:tcW w:w="2063" w:type="dxa"/>
          </w:tcPr>
          <w:p w14:paraId="1C807D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0866FF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27075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5F6AC02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1D5970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53A0ABF" w14:textId="77777777">
        <w:tc>
          <w:tcPr>
            <w:tcW w:w="2235" w:type="dxa"/>
          </w:tcPr>
          <w:p w14:paraId="4BDF76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МК1-6М34НР</w:t>
            </w:r>
          </w:p>
        </w:tc>
        <w:tc>
          <w:tcPr>
            <w:tcW w:w="2063" w:type="dxa"/>
          </w:tcPr>
          <w:p w14:paraId="56CBEC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Морс. тяж. бомб.</w:t>
            </w:r>
          </w:p>
        </w:tc>
        <w:tc>
          <w:tcPr>
            <w:tcW w:w="1915" w:type="dxa"/>
          </w:tcPr>
          <w:p w14:paraId="683DD9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Транспортный</w:t>
            </w:r>
          </w:p>
        </w:tc>
        <w:tc>
          <w:tcPr>
            <w:tcW w:w="1550" w:type="dxa"/>
          </w:tcPr>
          <w:p w14:paraId="27D670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tc>
        <w:tc>
          <w:tcPr>
            <w:tcW w:w="1321" w:type="dxa"/>
          </w:tcPr>
          <w:p w14:paraId="68A737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01.08.1934</w:t>
            </w:r>
          </w:p>
        </w:tc>
        <w:tc>
          <w:tcPr>
            <w:tcW w:w="1371" w:type="dxa"/>
          </w:tcPr>
          <w:p w14:paraId="7205D7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стар. пл.</w:t>
            </w:r>
          </w:p>
        </w:tc>
      </w:tr>
      <w:tr w:rsidR="00F26F01" w:rsidRPr="00C33834" w14:paraId="5F82B5CF" w14:textId="77777777">
        <w:tc>
          <w:tcPr>
            <w:tcW w:w="2235" w:type="dxa"/>
          </w:tcPr>
          <w:p w14:paraId="7EBB25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6C9180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24F82C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и высок. торпед. </w:t>
            </w:r>
          </w:p>
        </w:tc>
        <w:tc>
          <w:tcPr>
            <w:tcW w:w="1550" w:type="dxa"/>
          </w:tcPr>
          <w:p w14:paraId="5FDA0EF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4B7D7A5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7CC310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F1FDE3A" w14:textId="77777777">
        <w:tc>
          <w:tcPr>
            <w:tcW w:w="2235" w:type="dxa"/>
          </w:tcPr>
          <w:p w14:paraId="3485AA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МДР4-3М34НР</w:t>
            </w:r>
          </w:p>
        </w:tc>
        <w:tc>
          <w:tcPr>
            <w:tcW w:w="2063" w:type="dxa"/>
          </w:tcPr>
          <w:p w14:paraId="06E05FB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Морск. дал. разв.</w:t>
            </w:r>
          </w:p>
        </w:tc>
        <w:tc>
          <w:tcPr>
            <w:tcW w:w="1915" w:type="dxa"/>
          </w:tcPr>
          <w:p w14:paraId="68C4D7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 для Арктики</w:t>
            </w:r>
          </w:p>
        </w:tc>
        <w:tc>
          <w:tcPr>
            <w:tcW w:w="1550" w:type="dxa"/>
          </w:tcPr>
          <w:p w14:paraId="6299C7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tc>
        <w:tc>
          <w:tcPr>
            <w:tcW w:w="1321" w:type="dxa"/>
          </w:tcPr>
          <w:p w14:paraId="4082670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01.05.1934</w:t>
            </w:r>
          </w:p>
        </w:tc>
        <w:tc>
          <w:tcPr>
            <w:tcW w:w="1371" w:type="dxa"/>
          </w:tcPr>
          <w:p w14:paraId="65B801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стар. пл.</w:t>
            </w:r>
          </w:p>
        </w:tc>
      </w:tr>
      <w:tr w:rsidR="00F26F01" w:rsidRPr="00C33834" w14:paraId="7FCCA227" w14:textId="77777777">
        <w:tc>
          <w:tcPr>
            <w:tcW w:w="2235" w:type="dxa"/>
          </w:tcPr>
          <w:p w14:paraId="649D41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7FF0EF3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бомбард.</w:t>
            </w:r>
          </w:p>
        </w:tc>
        <w:tc>
          <w:tcPr>
            <w:tcW w:w="1915" w:type="dxa"/>
          </w:tcPr>
          <w:p w14:paraId="59160A3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3D92B5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405A05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898FA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8DC068F" w14:textId="77777777">
        <w:tc>
          <w:tcPr>
            <w:tcW w:w="2235" w:type="dxa"/>
          </w:tcPr>
          <w:p w14:paraId="6875C1F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МК2-2М34ФРН</w:t>
            </w:r>
          </w:p>
        </w:tc>
        <w:tc>
          <w:tcPr>
            <w:tcW w:w="2063" w:type="dxa"/>
          </w:tcPr>
          <w:p w14:paraId="089E9D5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Морск. дал. разв.</w:t>
            </w:r>
          </w:p>
        </w:tc>
        <w:tc>
          <w:tcPr>
            <w:tcW w:w="1915" w:type="dxa"/>
          </w:tcPr>
          <w:p w14:paraId="4807A59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Пассажирский</w:t>
            </w:r>
          </w:p>
        </w:tc>
        <w:tc>
          <w:tcPr>
            <w:tcW w:w="1550" w:type="dxa"/>
          </w:tcPr>
          <w:p w14:paraId="6868838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tc>
        <w:tc>
          <w:tcPr>
            <w:tcW w:w="1321" w:type="dxa"/>
          </w:tcPr>
          <w:p w14:paraId="0C8A743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01.06.1935</w:t>
            </w:r>
          </w:p>
        </w:tc>
        <w:tc>
          <w:tcPr>
            <w:tcW w:w="1371" w:type="dxa"/>
          </w:tcPr>
          <w:p w14:paraId="36990ED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F29FCCC" w14:textId="77777777">
        <w:tc>
          <w:tcPr>
            <w:tcW w:w="2235" w:type="dxa"/>
          </w:tcPr>
          <w:p w14:paraId="1BF460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09217D0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крейсер</w:t>
            </w:r>
          </w:p>
        </w:tc>
        <w:tc>
          <w:tcPr>
            <w:tcW w:w="1915" w:type="dxa"/>
          </w:tcPr>
          <w:p w14:paraId="64C6DDB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3C35BE8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74DC23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3C3A99C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79620F8" w14:textId="77777777">
        <w:tc>
          <w:tcPr>
            <w:tcW w:w="2235" w:type="dxa"/>
          </w:tcPr>
          <w:p w14:paraId="78D3FC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Тяжелые - модернизации и модификации</w:t>
            </w:r>
          </w:p>
        </w:tc>
        <w:tc>
          <w:tcPr>
            <w:tcW w:w="2063" w:type="dxa"/>
          </w:tcPr>
          <w:p w14:paraId="779C8E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4C0B58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6A4BC8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786628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022F31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9F58544" w14:textId="77777777">
        <w:tc>
          <w:tcPr>
            <w:tcW w:w="2235" w:type="dxa"/>
          </w:tcPr>
          <w:p w14:paraId="057BBD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МДР4-3М34РН</w:t>
            </w:r>
          </w:p>
        </w:tc>
        <w:tc>
          <w:tcPr>
            <w:tcW w:w="2063" w:type="dxa"/>
          </w:tcPr>
          <w:p w14:paraId="771B64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915" w:type="dxa"/>
          </w:tcPr>
          <w:p w14:paraId="70F167C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0" w:type="dxa"/>
          </w:tcPr>
          <w:p w14:paraId="7826588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tc>
        <w:tc>
          <w:tcPr>
            <w:tcW w:w="1321" w:type="dxa"/>
          </w:tcPr>
          <w:p w14:paraId="721E8E1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01.01.1935</w:t>
            </w:r>
          </w:p>
        </w:tc>
        <w:tc>
          <w:tcPr>
            <w:tcW w:w="1371" w:type="dxa"/>
          </w:tcPr>
          <w:p w14:paraId="193E66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11B573F" w14:textId="77777777">
        <w:tc>
          <w:tcPr>
            <w:tcW w:w="2235" w:type="dxa"/>
          </w:tcPr>
          <w:p w14:paraId="2B063E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лыжах</w:t>
            </w:r>
          </w:p>
        </w:tc>
        <w:tc>
          <w:tcPr>
            <w:tcW w:w="2063" w:type="dxa"/>
          </w:tcPr>
          <w:p w14:paraId="29A006F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7B37CC1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269DFF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1656133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7F2B099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4B3E575" w14:textId="77777777">
        <w:tc>
          <w:tcPr>
            <w:tcW w:w="2235" w:type="dxa"/>
          </w:tcPr>
          <w:p w14:paraId="00EED5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Р6бис-2М17</w:t>
            </w:r>
          </w:p>
        </w:tc>
        <w:tc>
          <w:tcPr>
            <w:tcW w:w="2063" w:type="dxa"/>
          </w:tcPr>
          <w:p w14:paraId="6588BD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Торп. и бомб.</w:t>
            </w:r>
          </w:p>
        </w:tc>
        <w:tc>
          <w:tcPr>
            <w:tcW w:w="1915" w:type="dxa"/>
          </w:tcPr>
          <w:p w14:paraId="49EAB9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0" w:type="dxa"/>
          </w:tcPr>
          <w:p w14:paraId="4CD4084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tc>
        <w:tc>
          <w:tcPr>
            <w:tcW w:w="1321" w:type="dxa"/>
          </w:tcPr>
          <w:p w14:paraId="7D4F74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01.06.1934</w:t>
            </w:r>
          </w:p>
        </w:tc>
        <w:tc>
          <w:tcPr>
            <w:tcW w:w="1371" w:type="dxa"/>
          </w:tcPr>
          <w:p w14:paraId="6C4095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59439DD" w14:textId="77777777">
        <w:tc>
          <w:tcPr>
            <w:tcW w:w="2235" w:type="dxa"/>
          </w:tcPr>
          <w:p w14:paraId="047675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поплавках</w:t>
            </w:r>
          </w:p>
        </w:tc>
        <w:tc>
          <w:tcPr>
            <w:tcW w:w="2063" w:type="dxa"/>
          </w:tcPr>
          <w:p w14:paraId="4F875C1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16E594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007E2B9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035C2C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022AF8B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864BEB2" w14:textId="77777777">
        <w:tc>
          <w:tcPr>
            <w:tcW w:w="2235" w:type="dxa"/>
          </w:tcPr>
          <w:p w14:paraId="627CA2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Тяжелые - экспериментальные</w:t>
            </w:r>
          </w:p>
        </w:tc>
        <w:tc>
          <w:tcPr>
            <w:tcW w:w="2063" w:type="dxa"/>
          </w:tcPr>
          <w:p w14:paraId="626E99D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481099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3FEA5A3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1C93E8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7138BAD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0A853AE" w14:textId="77777777">
        <w:tc>
          <w:tcPr>
            <w:tcW w:w="2235" w:type="dxa"/>
          </w:tcPr>
          <w:p w14:paraId="3BF47E6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МДР4-3М34РН</w:t>
            </w:r>
          </w:p>
        </w:tc>
        <w:tc>
          <w:tcPr>
            <w:tcW w:w="2063" w:type="dxa"/>
          </w:tcPr>
          <w:p w14:paraId="2DA29A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915" w:type="dxa"/>
          </w:tcPr>
          <w:p w14:paraId="521B57B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0" w:type="dxa"/>
          </w:tcPr>
          <w:p w14:paraId="7E00DB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РНИИ</w:t>
            </w:r>
          </w:p>
        </w:tc>
        <w:tc>
          <w:tcPr>
            <w:tcW w:w="1321" w:type="dxa"/>
          </w:tcPr>
          <w:p w14:paraId="0204C1A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01.03.1935</w:t>
            </w:r>
          </w:p>
        </w:tc>
        <w:tc>
          <w:tcPr>
            <w:tcW w:w="1371" w:type="dxa"/>
          </w:tcPr>
          <w:p w14:paraId="0B85A21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Обл. взлета</w:t>
            </w:r>
          </w:p>
        </w:tc>
      </w:tr>
      <w:tr w:rsidR="00F26F01" w:rsidRPr="00C33834" w14:paraId="778CCD47" w14:textId="77777777">
        <w:tc>
          <w:tcPr>
            <w:tcW w:w="2235" w:type="dxa"/>
          </w:tcPr>
          <w:p w14:paraId="749F06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газ. Агрегатами</w:t>
            </w:r>
          </w:p>
        </w:tc>
        <w:tc>
          <w:tcPr>
            <w:tcW w:w="2063" w:type="dxa"/>
          </w:tcPr>
          <w:p w14:paraId="13C2A4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2D1DC0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697D25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012397D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4D84B7D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9D77BDD" w14:textId="77777777">
        <w:tc>
          <w:tcPr>
            <w:tcW w:w="2235" w:type="dxa"/>
          </w:tcPr>
          <w:p w14:paraId="6FAC07D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Легкие - опытные</w:t>
            </w:r>
          </w:p>
        </w:tc>
        <w:tc>
          <w:tcPr>
            <w:tcW w:w="2063" w:type="dxa"/>
          </w:tcPr>
          <w:p w14:paraId="35B698D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912CED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2196F52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37480F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629785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3A65A29" w14:textId="77777777">
        <w:tc>
          <w:tcPr>
            <w:tcW w:w="2235" w:type="dxa"/>
          </w:tcPr>
          <w:p w14:paraId="0AB7C6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КОР1-РЦ</w:t>
            </w:r>
          </w:p>
        </w:tc>
        <w:tc>
          <w:tcPr>
            <w:tcW w:w="2063" w:type="dxa"/>
          </w:tcPr>
          <w:p w14:paraId="473672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Кат. разв. и пик.</w:t>
            </w:r>
          </w:p>
        </w:tc>
        <w:tc>
          <w:tcPr>
            <w:tcW w:w="1915" w:type="dxa"/>
          </w:tcPr>
          <w:p w14:paraId="0EE239D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Промысловый</w:t>
            </w:r>
          </w:p>
        </w:tc>
        <w:tc>
          <w:tcPr>
            <w:tcW w:w="1550" w:type="dxa"/>
          </w:tcPr>
          <w:p w14:paraId="17D1E2F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39</w:t>
            </w:r>
          </w:p>
        </w:tc>
        <w:tc>
          <w:tcPr>
            <w:tcW w:w="1321" w:type="dxa"/>
          </w:tcPr>
          <w:p w14:paraId="69FD133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07.11.1934</w:t>
            </w:r>
          </w:p>
        </w:tc>
        <w:tc>
          <w:tcPr>
            <w:tcW w:w="1371" w:type="dxa"/>
          </w:tcPr>
          <w:p w14:paraId="2CD71D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Смена КР</w:t>
            </w:r>
          </w:p>
        </w:tc>
      </w:tr>
      <w:tr w:rsidR="00F26F01" w:rsidRPr="00C33834" w14:paraId="00C9561F" w14:textId="77777777">
        <w:tc>
          <w:tcPr>
            <w:tcW w:w="2235" w:type="dxa"/>
          </w:tcPr>
          <w:p w14:paraId="2FDDBC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688C9A0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бомбард.</w:t>
            </w:r>
          </w:p>
        </w:tc>
        <w:tc>
          <w:tcPr>
            <w:tcW w:w="1915" w:type="dxa"/>
          </w:tcPr>
          <w:p w14:paraId="74FECFA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6E70CE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78AECB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64B4A2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E8EADE9" w14:textId="77777777">
        <w:tc>
          <w:tcPr>
            <w:tcW w:w="2235" w:type="dxa"/>
          </w:tcPr>
          <w:p w14:paraId="46F9A1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МБР5-РЦ амфиб.</w:t>
            </w:r>
          </w:p>
        </w:tc>
        <w:tc>
          <w:tcPr>
            <w:tcW w:w="2063" w:type="dxa"/>
          </w:tcPr>
          <w:p w14:paraId="71A8305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 ближ. разв.</w:t>
            </w:r>
          </w:p>
        </w:tc>
        <w:tc>
          <w:tcPr>
            <w:tcW w:w="1915" w:type="dxa"/>
          </w:tcPr>
          <w:p w14:paraId="5C53FA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Почт.-пас.</w:t>
            </w:r>
          </w:p>
        </w:tc>
        <w:tc>
          <w:tcPr>
            <w:tcW w:w="1550" w:type="dxa"/>
          </w:tcPr>
          <w:p w14:paraId="1CBF2D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39</w:t>
            </w:r>
          </w:p>
        </w:tc>
        <w:tc>
          <w:tcPr>
            <w:tcW w:w="1321" w:type="dxa"/>
          </w:tcPr>
          <w:p w14:paraId="6D4B83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15.07.1934</w:t>
            </w:r>
          </w:p>
        </w:tc>
        <w:tc>
          <w:tcPr>
            <w:tcW w:w="1371" w:type="dxa"/>
          </w:tcPr>
          <w:p w14:paraId="04FDFA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55D8229" w14:textId="77777777">
        <w:tc>
          <w:tcPr>
            <w:tcW w:w="2235" w:type="dxa"/>
          </w:tcPr>
          <w:p w14:paraId="62B2762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736B539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бомбард.</w:t>
            </w:r>
          </w:p>
        </w:tc>
        <w:tc>
          <w:tcPr>
            <w:tcW w:w="1915" w:type="dxa"/>
          </w:tcPr>
          <w:p w14:paraId="777396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2866B4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072A18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74F27A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CF676DB" w14:textId="77777777">
        <w:tc>
          <w:tcPr>
            <w:tcW w:w="2235" w:type="dxa"/>
          </w:tcPr>
          <w:p w14:paraId="3F570C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Легкие - модернизация и модификация</w:t>
            </w:r>
          </w:p>
        </w:tc>
        <w:tc>
          <w:tcPr>
            <w:tcW w:w="2063" w:type="dxa"/>
          </w:tcPr>
          <w:p w14:paraId="097CE2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1715316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23161E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22A98B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D464CA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BA34067" w14:textId="77777777">
        <w:tc>
          <w:tcPr>
            <w:tcW w:w="2235" w:type="dxa"/>
          </w:tcPr>
          <w:p w14:paraId="463A9C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9. МБР2-М34</w:t>
            </w:r>
          </w:p>
        </w:tc>
        <w:tc>
          <w:tcPr>
            <w:tcW w:w="2063" w:type="dxa"/>
          </w:tcPr>
          <w:p w14:paraId="5192DEE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915" w:type="dxa"/>
          </w:tcPr>
          <w:p w14:paraId="0A7DF5D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550" w:type="dxa"/>
          </w:tcPr>
          <w:p w14:paraId="1D4C521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39</w:t>
            </w:r>
          </w:p>
        </w:tc>
        <w:tc>
          <w:tcPr>
            <w:tcW w:w="1321" w:type="dxa"/>
          </w:tcPr>
          <w:p w14:paraId="13F5AC7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01.02.1935</w:t>
            </w:r>
          </w:p>
        </w:tc>
        <w:tc>
          <w:tcPr>
            <w:tcW w:w="1371" w:type="dxa"/>
          </w:tcPr>
          <w:p w14:paraId="52E664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Замена М17</w:t>
            </w:r>
          </w:p>
        </w:tc>
      </w:tr>
    </w:tbl>
    <w:p w14:paraId="70EAAC7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Интересно, что нет, ХАИ-1, Ш5, ДИ5, Сталь-2, И16</w:t>
      </w:r>
    </w:p>
    <w:p w14:paraId="75E77D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Программа опытного самолетостроения ЦАГИ на 1934-1936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1815"/>
        <w:gridCol w:w="1429"/>
        <w:gridCol w:w="2426"/>
      </w:tblGrid>
      <w:tr w:rsidR="00F26F01" w:rsidRPr="00C33834" w14:paraId="73F642C3" w14:textId="77777777">
        <w:tc>
          <w:tcPr>
            <w:tcW w:w="2235" w:type="dxa"/>
          </w:tcPr>
          <w:p w14:paraId="4CD754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w:t>
            </w:r>
          </w:p>
        </w:tc>
        <w:tc>
          <w:tcPr>
            <w:tcW w:w="1815" w:type="dxa"/>
          </w:tcPr>
          <w:p w14:paraId="7BC803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w:t>
            </w:r>
          </w:p>
        </w:tc>
        <w:tc>
          <w:tcPr>
            <w:tcW w:w="1429" w:type="dxa"/>
          </w:tcPr>
          <w:p w14:paraId="4328EC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w:t>
            </w:r>
          </w:p>
        </w:tc>
        <w:tc>
          <w:tcPr>
            <w:tcW w:w="2426" w:type="dxa"/>
          </w:tcPr>
          <w:p w14:paraId="1417E69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tc>
      </w:tr>
      <w:tr w:rsidR="00F26F01" w:rsidRPr="00C33834" w14:paraId="3261967D" w14:textId="77777777">
        <w:tc>
          <w:tcPr>
            <w:tcW w:w="2235" w:type="dxa"/>
          </w:tcPr>
          <w:p w14:paraId="496C221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Опытные</w:t>
            </w:r>
          </w:p>
        </w:tc>
        <w:tc>
          <w:tcPr>
            <w:tcW w:w="1815" w:type="dxa"/>
          </w:tcPr>
          <w:p w14:paraId="54655BF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4F8624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426" w:type="dxa"/>
          </w:tcPr>
          <w:p w14:paraId="68236EE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34D2B67" w14:textId="77777777">
        <w:tc>
          <w:tcPr>
            <w:tcW w:w="2235" w:type="dxa"/>
          </w:tcPr>
          <w:p w14:paraId="64D710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 (МГ)</w:t>
            </w:r>
          </w:p>
        </w:tc>
        <w:tc>
          <w:tcPr>
            <w:tcW w:w="1815" w:type="dxa"/>
          </w:tcPr>
          <w:p w14:paraId="29A894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8М34Р</w:t>
            </w:r>
          </w:p>
        </w:tc>
        <w:tc>
          <w:tcPr>
            <w:tcW w:w="1429" w:type="dxa"/>
          </w:tcPr>
          <w:p w14:paraId="434ED9D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01.05.1934</w:t>
            </w:r>
          </w:p>
        </w:tc>
        <w:tc>
          <w:tcPr>
            <w:tcW w:w="2426" w:type="dxa"/>
          </w:tcPr>
          <w:p w14:paraId="4307F4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F255280" w14:textId="77777777">
        <w:tc>
          <w:tcPr>
            <w:tcW w:w="2235" w:type="dxa"/>
          </w:tcPr>
          <w:p w14:paraId="6286E46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1815" w:type="dxa"/>
          </w:tcPr>
          <w:p w14:paraId="6BF6643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4М34РН</w:t>
            </w:r>
          </w:p>
        </w:tc>
        <w:tc>
          <w:tcPr>
            <w:tcW w:w="1429" w:type="dxa"/>
          </w:tcPr>
          <w:p w14:paraId="66708A4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01.10.1934</w:t>
            </w:r>
          </w:p>
        </w:tc>
        <w:tc>
          <w:tcPr>
            <w:tcW w:w="2426" w:type="dxa"/>
          </w:tcPr>
          <w:p w14:paraId="06755A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w:t>
            </w:r>
          </w:p>
        </w:tc>
      </w:tr>
      <w:tr w:rsidR="00F26F01" w:rsidRPr="00C33834" w14:paraId="139AB0F8" w14:textId="77777777">
        <w:tc>
          <w:tcPr>
            <w:tcW w:w="2235" w:type="dxa"/>
          </w:tcPr>
          <w:p w14:paraId="35DAF1A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МИ4</w:t>
            </w:r>
          </w:p>
        </w:tc>
        <w:tc>
          <w:tcPr>
            <w:tcW w:w="1815" w:type="dxa"/>
          </w:tcPr>
          <w:p w14:paraId="2B75AF3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2Исп./РЦ</w:t>
            </w:r>
          </w:p>
        </w:tc>
        <w:tc>
          <w:tcPr>
            <w:tcW w:w="1429" w:type="dxa"/>
          </w:tcPr>
          <w:p w14:paraId="5CCFD4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01.09.1935</w:t>
            </w:r>
          </w:p>
        </w:tc>
        <w:tc>
          <w:tcPr>
            <w:tcW w:w="2426" w:type="dxa"/>
          </w:tcPr>
          <w:p w14:paraId="2C1744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DBB8FF5" w14:textId="77777777">
        <w:tc>
          <w:tcPr>
            <w:tcW w:w="2235" w:type="dxa"/>
          </w:tcPr>
          <w:p w14:paraId="3083D2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МК1</w:t>
            </w:r>
          </w:p>
        </w:tc>
        <w:tc>
          <w:tcPr>
            <w:tcW w:w="1815" w:type="dxa"/>
          </w:tcPr>
          <w:p w14:paraId="4C2D034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6М34Р</w:t>
            </w:r>
          </w:p>
        </w:tc>
        <w:tc>
          <w:tcPr>
            <w:tcW w:w="1429" w:type="dxa"/>
          </w:tcPr>
          <w:p w14:paraId="75E4A16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01.08.1934</w:t>
            </w:r>
          </w:p>
        </w:tc>
        <w:tc>
          <w:tcPr>
            <w:tcW w:w="2426" w:type="dxa"/>
          </w:tcPr>
          <w:p w14:paraId="5F10AC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w:t>
            </w:r>
          </w:p>
        </w:tc>
      </w:tr>
      <w:tr w:rsidR="00F26F01" w:rsidRPr="00C33834" w14:paraId="088392C7" w14:textId="77777777">
        <w:tc>
          <w:tcPr>
            <w:tcW w:w="2235" w:type="dxa"/>
          </w:tcPr>
          <w:p w14:paraId="3F8E59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МДР4</w:t>
            </w:r>
          </w:p>
        </w:tc>
        <w:tc>
          <w:tcPr>
            <w:tcW w:w="1815" w:type="dxa"/>
          </w:tcPr>
          <w:p w14:paraId="531DEF6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3М34Р</w:t>
            </w:r>
          </w:p>
        </w:tc>
        <w:tc>
          <w:tcPr>
            <w:tcW w:w="1429" w:type="dxa"/>
          </w:tcPr>
          <w:p w14:paraId="3E77509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01.05.1934</w:t>
            </w:r>
          </w:p>
        </w:tc>
        <w:tc>
          <w:tcPr>
            <w:tcW w:w="2426" w:type="dxa"/>
          </w:tcPr>
          <w:p w14:paraId="025B6D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w:t>
            </w:r>
          </w:p>
        </w:tc>
      </w:tr>
      <w:tr w:rsidR="00F26F01" w:rsidRPr="00C33834" w14:paraId="2711B3E8" w14:textId="77777777">
        <w:tc>
          <w:tcPr>
            <w:tcW w:w="2235" w:type="dxa"/>
          </w:tcPr>
          <w:p w14:paraId="3AA28B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МК1 пассажирский</w:t>
            </w:r>
          </w:p>
        </w:tc>
        <w:tc>
          <w:tcPr>
            <w:tcW w:w="1815" w:type="dxa"/>
          </w:tcPr>
          <w:p w14:paraId="08C5E8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6М34Р</w:t>
            </w:r>
          </w:p>
        </w:tc>
        <w:tc>
          <w:tcPr>
            <w:tcW w:w="1429" w:type="dxa"/>
          </w:tcPr>
          <w:p w14:paraId="2B882A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01.05.1935</w:t>
            </w:r>
          </w:p>
        </w:tc>
        <w:tc>
          <w:tcPr>
            <w:tcW w:w="2426" w:type="dxa"/>
          </w:tcPr>
          <w:p w14:paraId="21CF41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Чертежи</w:t>
            </w:r>
          </w:p>
        </w:tc>
      </w:tr>
      <w:tr w:rsidR="00F26F01" w:rsidRPr="00C33834" w14:paraId="73C4A9DA" w14:textId="77777777">
        <w:tc>
          <w:tcPr>
            <w:tcW w:w="2235" w:type="dxa"/>
          </w:tcPr>
          <w:p w14:paraId="6D2F99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МДР4 пассажирский</w:t>
            </w:r>
          </w:p>
        </w:tc>
        <w:tc>
          <w:tcPr>
            <w:tcW w:w="1815" w:type="dxa"/>
          </w:tcPr>
          <w:p w14:paraId="56183C5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3М34Р</w:t>
            </w:r>
          </w:p>
        </w:tc>
        <w:tc>
          <w:tcPr>
            <w:tcW w:w="1429" w:type="dxa"/>
          </w:tcPr>
          <w:p w14:paraId="7AD0BA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01.03.1935</w:t>
            </w:r>
          </w:p>
        </w:tc>
        <w:tc>
          <w:tcPr>
            <w:tcW w:w="2426" w:type="dxa"/>
          </w:tcPr>
          <w:p w14:paraId="348F2D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Чертежи</w:t>
            </w:r>
          </w:p>
        </w:tc>
      </w:tr>
      <w:tr w:rsidR="00F26F01" w:rsidRPr="00C33834" w14:paraId="14C40FA9" w14:textId="77777777">
        <w:tc>
          <w:tcPr>
            <w:tcW w:w="2235" w:type="dxa"/>
          </w:tcPr>
          <w:p w14:paraId="5AB50B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МДР4 дублер</w:t>
            </w:r>
          </w:p>
        </w:tc>
        <w:tc>
          <w:tcPr>
            <w:tcW w:w="1815" w:type="dxa"/>
          </w:tcPr>
          <w:p w14:paraId="6E7C93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3М34Р</w:t>
            </w:r>
          </w:p>
        </w:tc>
        <w:tc>
          <w:tcPr>
            <w:tcW w:w="1429" w:type="dxa"/>
          </w:tcPr>
          <w:p w14:paraId="3C3EF03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01.06.1934</w:t>
            </w:r>
          </w:p>
        </w:tc>
        <w:tc>
          <w:tcPr>
            <w:tcW w:w="2426" w:type="dxa"/>
          </w:tcPr>
          <w:p w14:paraId="559373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DCB15BC" w14:textId="77777777">
        <w:tc>
          <w:tcPr>
            <w:tcW w:w="2235" w:type="dxa"/>
          </w:tcPr>
          <w:p w14:paraId="409985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СК1</w:t>
            </w:r>
          </w:p>
        </w:tc>
        <w:tc>
          <w:tcPr>
            <w:tcW w:w="1815" w:type="dxa"/>
          </w:tcPr>
          <w:p w14:paraId="5C9FDD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2Исп./РЦ</w:t>
            </w:r>
          </w:p>
        </w:tc>
        <w:tc>
          <w:tcPr>
            <w:tcW w:w="1429" w:type="dxa"/>
          </w:tcPr>
          <w:p w14:paraId="7C0B93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01.12.1934</w:t>
            </w:r>
          </w:p>
        </w:tc>
        <w:tc>
          <w:tcPr>
            <w:tcW w:w="2426" w:type="dxa"/>
          </w:tcPr>
          <w:p w14:paraId="6318142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745C597" w14:textId="77777777">
        <w:tc>
          <w:tcPr>
            <w:tcW w:w="2235" w:type="dxa"/>
          </w:tcPr>
          <w:p w14:paraId="630D8BC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 пас.</w:t>
            </w:r>
          </w:p>
        </w:tc>
        <w:tc>
          <w:tcPr>
            <w:tcW w:w="1815" w:type="dxa"/>
          </w:tcPr>
          <w:p w14:paraId="19B88A9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2-3РЦ</w:t>
            </w:r>
          </w:p>
        </w:tc>
        <w:tc>
          <w:tcPr>
            <w:tcW w:w="1429" w:type="dxa"/>
          </w:tcPr>
          <w:p w14:paraId="57A9A4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01.05.1935</w:t>
            </w:r>
          </w:p>
        </w:tc>
        <w:tc>
          <w:tcPr>
            <w:tcW w:w="2426" w:type="dxa"/>
          </w:tcPr>
          <w:p w14:paraId="220F7D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A642F3D" w14:textId="77777777">
        <w:tc>
          <w:tcPr>
            <w:tcW w:w="2235" w:type="dxa"/>
          </w:tcPr>
          <w:p w14:paraId="5AB9FF8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ДИП</w:t>
            </w:r>
          </w:p>
        </w:tc>
        <w:tc>
          <w:tcPr>
            <w:tcW w:w="1815" w:type="dxa"/>
          </w:tcPr>
          <w:p w14:paraId="2C8DD2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3М34РН</w:t>
            </w:r>
          </w:p>
        </w:tc>
        <w:tc>
          <w:tcPr>
            <w:tcW w:w="1429" w:type="dxa"/>
          </w:tcPr>
          <w:p w14:paraId="57C923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01.06.1934</w:t>
            </w:r>
          </w:p>
        </w:tc>
        <w:tc>
          <w:tcPr>
            <w:tcW w:w="2426" w:type="dxa"/>
          </w:tcPr>
          <w:p w14:paraId="5A5DC5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8F65593" w14:textId="77777777">
        <w:tc>
          <w:tcPr>
            <w:tcW w:w="2235" w:type="dxa"/>
          </w:tcPr>
          <w:p w14:paraId="507529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ДБ</w:t>
            </w:r>
          </w:p>
        </w:tc>
        <w:tc>
          <w:tcPr>
            <w:tcW w:w="1815" w:type="dxa"/>
          </w:tcPr>
          <w:p w14:paraId="39D7339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2РЦ</w:t>
            </w:r>
          </w:p>
        </w:tc>
        <w:tc>
          <w:tcPr>
            <w:tcW w:w="1429" w:type="dxa"/>
          </w:tcPr>
          <w:p w14:paraId="0FE3A37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01.04.1935</w:t>
            </w:r>
          </w:p>
        </w:tc>
        <w:tc>
          <w:tcPr>
            <w:tcW w:w="2426" w:type="dxa"/>
          </w:tcPr>
          <w:p w14:paraId="2B02E4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9489BFD" w14:textId="77777777">
        <w:tc>
          <w:tcPr>
            <w:tcW w:w="2235" w:type="dxa"/>
          </w:tcPr>
          <w:p w14:paraId="0D3DB9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СБ2</w:t>
            </w:r>
          </w:p>
        </w:tc>
        <w:tc>
          <w:tcPr>
            <w:tcW w:w="1815" w:type="dxa"/>
          </w:tcPr>
          <w:p w14:paraId="140FA4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2РЦ/Исп.</w:t>
            </w:r>
          </w:p>
        </w:tc>
        <w:tc>
          <w:tcPr>
            <w:tcW w:w="1429" w:type="dxa"/>
          </w:tcPr>
          <w:p w14:paraId="372D81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01.12.1935</w:t>
            </w:r>
          </w:p>
        </w:tc>
        <w:tc>
          <w:tcPr>
            <w:tcW w:w="2426" w:type="dxa"/>
          </w:tcPr>
          <w:p w14:paraId="67D9601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59B87B3" w14:textId="77777777">
        <w:tc>
          <w:tcPr>
            <w:tcW w:w="2235" w:type="dxa"/>
          </w:tcPr>
          <w:p w14:paraId="11950A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АНТ33</w:t>
            </w:r>
          </w:p>
        </w:tc>
        <w:tc>
          <w:tcPr>
            <w:tcW w:w="1815" w:type="dxa"/>
          </w:tcPr>
          <w:p w14:paraId="1DCF4F0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1429" w:type="dxa"/>
          </w:tcPr>
          <w:p w14:paraId="351697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01.04.1935</w:t>
            </w:r>
          </w:p>
        </w:tc>
        <w:tc>
          <w:tcPr>
            <w:tcW w:w="2426" w:type="dxa"/>
          </w:tcPr>
          <w:p w14:paraId="3EAFB4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36FEEB6" w14:textId="77777777">
        <w:tc>
          <w:tcPr>
            <w:tcW w:w="2235" w:type="dxa"/>
          </w:tcPr>
          <w:p w14:paraId="6AB1DF9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ТБ6</w:t>
            </w:r>
          </w:p>
        </w:tc>
        <w:tc>
          <w:tcPr>
            <w:tcW w:w="1815" w:type="dxa"/>
          </w:tcPr>
          <w:p w14:paraId="44DB0C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М44/нефть</w:t>
            </w:r>
          </w:p>
        </w:tc>
        <w:tc>
          <w:tcPr>
            <w:tcW w:w="1429" w:type="dxa"/>
          </w:tcPr>
          <w:p w14:paraId="2288EA1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01.08.1936</w:t>
            </w:r>
          </w:p>
        </w:tc>
        <w:tc>
          <w:tcPr>
            <w:tcW w:w="2426" w:type="dxa"/>
          </w:tcPr>
          <w:p w14:paraId="7989B8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9C6D493" w14:textId="77777777">
        <w:tc>
          <w:tcPr>
            <w:tcW w:w="2235" w:type="dxa"/>
          </w:tcPr>
          <w:p w14:paraId="682591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Гидросамолет</w:t>
            </w:r>
          </w:p>
        </w:tc>
        <w:tc>
          <w:tcPr>
            <w:tcW w:w="1815" w:type="dxa"/>
          </w:tcPr>
          <w:p w14:paraId="044A317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w:t>
            </w:r>
          </w:p>
        </w:tc>
        <w:tc>
          <w:tcPr>
            <w:tcW w:w="1429" w:type="dxa"/>
          </w:tcPr>
          <w:p w14:paraId="2D5759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01.10.1935</w:t>
            </w:r>
          </w:p>
        </w:tc>
        <w:tc>
          <w:tcPr>
            <w:tcW w:w="2426" w:type="dxa"/>
          </w:tcPr>
          <w:p w14:paraId="0B1CC5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84518C7" w14:textId="77777777">
        <w:tc>
          <w:tcPr>
            <w:tcW w:w="2235" w:type="dxa"/>
          </w:tcPr>
          <w:p w14:paraId="0BD6067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ТБ7 (вар. ТБ3)</w:t>
            </w:r>
          </w:p>
        </w:tc>
        <w:tc>
          <w:tcPr>
            <w:tcW w:w="1815" w:type="dxa"/>
          </w:tcPr>
          <w:p w14:paraId="2CC1B3E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Керт./Исп./4М34ФРН</w:t>
            </w:r>
          </w:p>
        </w:tc>
        <w:tc>
          <w:tcPr>
            <w:tcW w:w="1429" w:type="dxa"/>
          </w:tcPr>
          <w:p w14:paraId="1E1F8E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01.05.1936</w:t>
            </w:r>
          </w:p>
        </w:tc>
        <w:tc>
          <w:tcPr>
            <w:tcW w:w="2426" w:type="dxa"/>
          </w:tcPr>
          <w:p w14:paraId="3B9BEF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930EA8F" w14:textId="77777777">
        <w:tc>
          <w:tcPr>
            <w:tcW w:w="2235" w:type="dxa"/>
          </w:tcPr>
          <w:p w14:paraId="3DD47E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Бесхв. самолет</w:t>
            </w:r>
          </w:p>
        </w:tc>
        <w:tc>
          <w:tcPr>
            <w:tcW w:w="1815" w:type="dxa"/>
          </w:tcPr>
          <w:p w14:paraId="1C174F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29" w:type="dxa"/>
          </w:tcPr>
          <w:p w14:paraId="455A5A6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15.04.1935</w:t>
            </w:r>
          </w:p>
        </w:tc>
        <w:tc>
          <w:tcPr>
            <w:tcW w:w="2426" w:type="dxa"/>
          </w:tcPr>
          <w:p w14:paraId="364BE8D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89D5B8D" w14:textId="77777777">
        <w:tc>
          <w:tcPr>
            <w:tcW w:w="2235" w:type="dxa"/>
          </w:tcPr>
          <w:p w14:paraId="04A330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Бесхв. планер</w:t>
            </w:r>
          </w:p>
        </w:tc>
        <w:tc>
          <w:tcPr>
            <w:tcW w:w="1815" w:type="dxa"/>
          </w:tcPr>
          <w:p w14:paraId="039B26D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29" w:type="dxa"/>
          </w:tcPr>
          <w:p w14:paraId="722EB4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01.07.1934</w:t>
            </w:r>
          </w:p>
        </w:tc>
        <w:tc>
          <w:tcPr>
            <w:tcW w:w="2426" w:type="dxa"/>
          </w:tcPr>
          <w:p w14:paraId="04D5C96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E0C2DDB" w14:textId="77777777">
        <w:tc>
          <w:tcPr>
            <w:tcW w:w="2235" w:type="dxa"/>
          </w:tcPr>
          <w:p w14:paraId="67CDFAD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ВП2 (планер)</w:t>
            </w:r>
          </w:p>
        </w:tc>
        <w:tc>
          <w:tcPr>
            <w:tcW w:w="1815" w:type="dxa"/>
          </w:tcPr>
          <w:p w14:paraId="641D53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29" w:type="dxa"/>
          </w:tcPr>
          <w:p w14:paraId="54224B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15.07.1934</w:t>
            </w:r>
          </w:p>
        </w:tc>
        <w:tc>
          <w:tcPr>
            <w:tcW w:w="2426" w:type="dxa"/>
          </w:tcPr>
          <w:p w14:paraId="42BC54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F1799FB" w14:textId="77777777">
        <w:tc>
          <w:tcPr>
            <w:tcW w:w="2235" w:type="dxa"/>
          </w:tcPr>
          <w:p w14:paraId="4447F7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ВСБ</w:t>
            </w:r>
          </w:p>
        </w:tc>
        <w:tc>
          <w:tcPr>
            <w:tcW w:w="1815" w:type="dxa"/>
          </w:tcPr>
          <w:p w14:paraId="17FAA4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мотора</w:t>
            </w:r>
          </w:p>
        </w:tc>
        <w:tc>
          <w:tcPr>
            <w:tcW w:w="1429" w:type="dxa"/>
          </w:tcPr>
          <w:p w14:paraId="0583D15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01.02.1936</w:t>
            </w:r>
          </w:p>
        </w:tc>
        <w:tc>
          <w:tcPr>
            <w:tcW w:w="2426" w:type="dxa"/>
          </w:tcPr>
          <w:p w14:paraId="2D025F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288DAAF" w14:textId="77777777">
        <w:tc>
          <w:tcPr>
            <w:tcW w:w="2235" w:type="dxa"/>
          </w:tcPr>
          <w:p w14:paraId="577B07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Внедрение в серию</w:t>
            </w:r>
          </w:p>
        </w:tc>
        <w:tc>
          <w:tcPr>
            <w:tcW w:w="1815" w:type="dxa"/>
          </w:tcPr>
          <w:p w14:paraId="25CE3C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73EA88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426" w:type="dxa"/>
          </w:tcPr>
          <w:p w14:paraId="078ACA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748BC18" w14:textId="77777777">
        <w:tc>
          <w:tcPr>
            <w:tcW w:w="2235" w:type="dxa"/>
          </w:tcPr>
          <w:p w14:paraId="073A61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МДР4</w:t>
            </w:r>
          </w:p>
        </w:tc>
        <w:tc>
          <w:tcPr>
            <w:tcW w:w="1815" w:type="dxa"/>
          </w:tcPr>
          <w:p w14:paraId="65BBB4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6D152BD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01.09.1934</w:t>
            </w:r>
          </w:p>
        </w:tc>
        <w:tc>
          <w:tcPr>
            <w:tcW w:w="2426" w:type="dxa"/>
          </w:tcPr>
          <w:p w14:paraId="603FB6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3EFBE36" w14:textId="77777777">
        <w:tc>
          <w:tcPr>
            <w:tcW w:w="2235" w:type="dxa"/>
          </w:tcPr>
          <w:p w14:paraId="0C64A0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МК1</w:t>
            </w:r>
          </w:p>
        </w:tc>
        <w:tc>
          <w:tcPr>
            <w:tcW w:w="1815" w:type="dxa"/>
          </w:tcPr>
          <w:p w14:paraId="0B7459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098FB3C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01.09.1934</w:t>
            </w:r>
          </w:p>
        </w:tc>
        <w:tc>
          <w:tcPr>
            <w:tcW w:w="2426" w:type="dxa"/>
          </w:tcPr>
          <w:p w14:paraId="68F0AB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E91E704" w14:textId="77777777">
        <w:tc>
          <w:tcPr>
            <w:tcW w:w="2235" w:type="dxa"/>
          </w:tcPr>
          <w:p w14:paraId="4F611B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w:t>
            </w:r>
          </w:p>
        </w:tc>
        <w:tc>
          <w:tcPr>
            <w:tcW w:w="1815" w:type="dxa"/>
          </w:tcPr>
          <w:p w14:paraId="5B7156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26164B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01.03.1934</w:t>
            </w:r>
          </w:p>
        </w:tc>
        <w:tc>
          <w:tcPr>
            <w:tcW w:w="2426" w:type="dxa"/>
          </w:tcPr>
          <w:p w14:paraId="406284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E19FC93" w14:textId="77777777">
        <w:tc>
          <w:tcPr>
            <w:tcW w:w="2235" w:type="dxa"/>
          </w:tcPr>
          <w:p w14:paraId="5E584E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ДИП</w:t>
            </w:r>
          </w:p>
        </w:tc>
        <w:tc>
          <w:tcPr>
            <w:tcW w:w="1815" w:type="dxa"/>
          </w:tcPr>
          <w:p w14:paraId="7CC4D05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257943F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01.12.1934</w:t>
            </w:r>
          </w:p>
        </w:tc>
        <w:tc>
          <w:tcPr>
            <w:tcW w:w="2426" w:type="dxa"/>
          </w:tcPr>
          <w:p w14:paraId="383040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8C952A9" w14:textId="77777777">
        <w:tc>
          <w:tcPr>
            <w:tcW w:w="2235" w:type="dxa"/>
          </w:tcPr>
          <w:p w14:paraId="35FB562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МГ военный</w:t>
            </w:r>
          </w:p>
        </w:tc>
        <w:tc>
          <w:tcPr>
            <w:tcW w:w="1815" w:type="dxa"/>
          </w:tcPr>
          <w:p w14:paraId="06255D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626EB2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01.01.1934</w:t>
            </w:r>
          </w:p>
        </w:tc>
        <w:tc>
          <w:tcPr>
            <w:tcW w:w="2426" w:type="dxa"/>
          </w:tcPr>
          <w:p w14:paraId="4BB84F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31019EE" w14:textId="77777777">
        <w:tc>
          <w:tcPr>
            <w:tcW w:w="2235" w:type="dxa"/>
          </w:tcPr>
          <w:p w14:paraId="5E75203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МГ пассажирский</w:t>
            </w:r>
          </w:p>
        </w:tc>
        <w:tc>
          <w:tcPr>
            <w:tcW w:w="1815" w:type="dxa"/>
          </w:tcPr>
          <w:p w14:paraId="4E61E3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1C6FF8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01.05.1934</w:t>
            </w:r>
          </w:p>
        </w:tc>
        <w:tc>
          <w:tcPr>
            <w:tcW w:w="2426" w:type="dxa"/>
          </w:tcPr>
          <w:p w14:paraId="0EAD227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7FA609D" w14:textId="77777777">
        <w:tc>
          <w:tcPr>
            <w:tcW w:w="2235" w:type="dxa"/>
          </w:tcPr>
          <w:p w14:paraId="3BBF8C1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АНТ14 пассажирский</w:t>
            </w:r>
          </w:p>
        </w:tc>
        <w:tc>
          <w:tcPr>
            <w:tcW w:w="1815" w:type="dxa"/>
          </w:tcPr>
          <w:p w14:paraId="3E6F07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447BF69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01.05.1934</w:t>
            </w:r>
          </w:p>
        </w:tc>
        <w:tc>
          <w:tcPr>
            <w:tcW w:w="2426" w:type="dxa"/>
          </w:tcPr>
          <w:p w14:paraId="62AF3E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23CF402" w14:textId="77777777">
        <w:tc>
          <w:tcPr>
            <w:tcW w:w="2235" w:type="dxa"/>
          </w:tcPr>
          <w:p w14:paraId="5B596DC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АНТ14 военный</w:t>
            </w:r>
          </w:p>
        </w:tc>
        <w:tc>
          <w:tcPr>
            <w:tcW w:w="1815" w:type="dxa"/>
          </w:tcPr>
          <w:p w14:paraId="10D475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41B560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01.10.1934</w:t>
            </w:r>
          </w:p>
        </w:tc>
        <w:tc>
          <w:tcPr>
            <w:tcW w:w="2426" w:type="dxa"/>
          </w:tcPr>
          <w:p w14:paraId="6656FD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0DD3E6B" w14:textId="77777777">
        <w:tc>
          <w:tcPr>
            <w:tcW w:w="2235" w:type="dxa"/>
          </w:tcPr>
          <w:p w14:paraId="6769C0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w:t>
            </w:r>
          </w:p>
        </w:tc>
        <w:tc>
          <w:tcPr>
            <w:tcW w:w="1815" w:type="dxa"/>
          </w:tcPr>
          <w:p w14:paraId="5EFA80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4B1EBD0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01.04.1934</w:t>
            </w:r>
          </w:p>
        </w:tc>
        <w:tc>
          <w:tcPr>
            <w:tcW w:w="2426" w:type="dxa"/>
          </w:tcPr>
          <w:p w14:paraId="75469C0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1745A4A" w14:textId="77777777">
        <w:tc>
          <w:tcPr>
            <w:tcW w:w="2235" w:type="dxa"/>
          </w:tcPr>
          <w:p w14:paraId="32B0626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w:t>
            </w:r>
          </w:p>
        </w:tc>
        <w:tc>
          <w:tcPr>
            <w:tcW w:w="1815" w:type="dxa"/>
          </w:tcPr>
          <w:p w14:paraId="33BC6AA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5E5462F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426" w:type="dxa"/>
          </w:tcPr>
          <w:p w14:paraId="666526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4E9B75E" w14:textId="77777777">
        <w:tc>
          <w:tcPr>
            <w:tcW w:w="2235" w:type="dxa"/>
          </w:tcPr>
          <w:p w14:paraId="77B8995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МИ3-2М34 гол.</w:t>
            </w:r>
          </w:p>
        </w:tc>
        <w:tc>
          <w:tcPr>
            <w:tcW w:w="1815" w:type="dxa"/>
          </w:tcPr>
          <w:p w14:paraId="7FE0150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529430D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426" w:type="dxa"/>
          </w:tcPr>
          <w:p w14:paraId="1A23A7D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DF50A71" w14:textId="77777777">
        <w:tc>
          <w:tcPr>
            <w:tcW w:w="2235" w:type="dxa"/>
          </w:tcPr>
          <w:p w14:paraId="752C85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И14-РЦ дублер</w:t>
            </w:r>
          </w:p>
        </w:tc>
        <w:tc>
          <w:tcPr>
            <w:tcW w:w="1815" w:type="dxa"/>
          </w:tcPr>
          <w:p w14:paraId="47F990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4C2C48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426" w:type="dxa"/>
          </w:tcPr>
          <w:p w14:paraId="59EAC0D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4DD1980" w14:textId="77777777">
        <w:tc>
          <w:tcPr>
            <w:tcW w:w="2235" w:type="dxa"/>
          </w:tcPr>
          <w:p w14:paraId="5C9E61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оп. ВИ</w:t>
            </w:r>
          </w:p>
        </w:tc>
        <w:tc>
          <w:tcPr>
            <w:tcW w:w="1815" w:type="dxa"/>
          </w:tcPr>
          <w:p w14:paraId="42FEEF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49349E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426" w:type="dxa"/>
          </w:tcPr>
          <w:p w14:paraId="02A667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71281D57"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AFA7B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декабря 1933 г. Управление ВВС РККА подготовило новый план опытного строительства авиапромышленности СССР на 1934-35гг., где среди прочих значились задание на дальний бомбардировщик (ДБ) и ближний бомбардировщик (ББ). После ознакомления с этим документом, руководство ЦАГИ во главе с Начальником института Н.М.Харламовым и начальником конструкторского отдела А.Н.Туполевым в своем письме в Главное Управление авиапромышленности от 20 декабря 1933 г. предложило внести в план коррективы. Таковые были внесены, после чего задание ЦАГИ видоизменилось: вместо модернизации МИ-3 институту предлагалось проектировать и строить новую машину МИ-4 под двигатели Райт "Циклон" или "Испано-Сюиза". Одновременно, как развитие очередного многоместного истребителя обсуждается ближний бомбардировщик ББ. Упомянутый выше МИ-4 в дальнейшем из плана выпал, а ББ напротив закрепился, его проектирование началось еще до наступления 1934 г. (12027).</w:t>
      </w:r>
    </w:p>
    <w:p w14:paraId="6658498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40AA29A"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70CDBDE"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35B9909" w14:textId="77777777" w:rsidR="00E86D8F" w:rsidRPr="00C33834" w:rsidRDefault="00E86D8F"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декабря 1933 г. Указ ввел личную ответственность директоров и других руководителей предприятий за производство недоброкачественной и некомплектной продукции (18627).</w:t>
      </w:r>
    </w:p>
    <w:p w14:paraId="3C0AA963" w14:textId="77777777" w:rsidR="00E86D8F" w:rsidRPr="00C33834" w:rsidRDefault="00E86D8F" w:rsidP="00C33834">
      <w:pPr>
        <w:spacing w:after="0" w:line="240" w:lineRule="auto"/>
        <w:jc w:val="both"/>
        <w:rPr>
          <w:rFonts w:ascii="Times New Roman" w:hAnsi="Times New Roman"/>
          <w:color w:val="000000" w:themeColor="text1"/>
          <w:sz w:val="16"/>
          <w:szCs w:val="16"/>
        </w:rPr>
      </w:pPr>
    </w:p>
    <w:p w14:paraId="001120DF" w14:textId="77777777" w:rsidR="004F4BE1" w:rsidRPr="00C33834" w:rsidRDefault="004F4BE1" w:rsidP="00C33834">
      <w:pPr>
        <w:pStyle w:val="rtejustify"/>
        <w:spacing w:before="0" w:after="0"/>
        <w:rPr>
          <w:color w:val="000000" w:themeColor="text1"/>
          <w:sz w:val="16"/>
          <w:szCs w:val="16"/>
        </w:rPr>
      </w:pPr>
      <w:r w:rsidRPr="00C33834">
        <w:rPr>
          <w:rStyle w:val="af0"/>
          <w:bCs/>
          <w:i w:val="0"/>
          <w:color w:val="000000" w:themeColor="text1"/>
          <w:sz w:val="16"/>
          <w:szCs w:val="16"/>
        </w:rPr>
        <w:t>8 декабря</w:t>
      </w:r>
      <w:r w:rsidRPr="00C33834">
        <w:rPr>
          <w:color w:val="000000" w:themeColor="text1"/>
          <w:sz w:val="16"/>
          <w:szCs w:val="16"/>
        </w:rPr>
        <w:t xml:space="preserve"> 1933. Постановление СТО СССР № 124сс/о «О запчастях к танку Т</w:t>
      </w:r>
      <w:r w:rsidRPr="00C33834">
        <w:rPr>
          <w:color w:val="000000" w:themeColor="text1"/>
          <w:sz w:val="16"/>
          <w:szCs w:val="16"/>
        </w:rPr>
        <w:noBreakHyphen/>
        <w:t>26». (ГА РФ. Ф. Р</w:t>
      </w:r>
      <w:r w:rsidRPr="00C33834">
        <w:rPr>
          <w:color w:val="000000" w:themeColor="text1"/>
          <w:sz w:val="16"/>
          <w:szCs w:val="16"/>
        </w:rPr>
        <w:noBreakHyphen/>
        <w:t>8418. Оп. 28. Д. 3. Л. 88) (15460).</w:t>
      </w:r>
    </w:p>
    <w:p w14:paraId="2C26BFB0" w14:textId="77777777" w:rsidR="004F4BE1" w:rsidRPr="00C33834" w:rsidRDefault="004F4BE1" w:rsidP="00C33834">
      <w:pPr>
        <w:pStyle w:val="rtejustify"/>
        <w:spacing w:before="0" w:after="0"/>
        <w:rPr>
          <w:color w:val="000000" w:themeColor="text1"/>
          <w:sz w:val="16"/>
          <w:szCs w:val="16"/>
        </w:rPr>
      </w:pPr>
    </w:p>
    <w:p w14:paraId="6594910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декабря 1933 г. в соответствии с приказом НКТП № 1035 объединение «Азнефть» было реорганизовано с образованием трех трестов: «Азнефть», «Нефтеперегонных заводов» и «Дальних разведок», в дальнейшем трест «Нефтеперегонных заводов» переименован в трест «Азнефтезавод», а трест «Дальних разведок» - в трест «Азнефтеразведка». В состав «Азнефтезаводов» в 1934 г. входили пять заводов в Баку (им. Сталина, им. Пятакова, им. В. Стуруа, им. Буденного, им. Джапаридзе) и «Батумские заводы» (11232).</w:t>
      </w:r>
    </w:p>
    <w:p w14:paraId="0F8C11E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B97C7C1"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58D6DBC1"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5B94E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8 и 14 декабря 1933. Из протокола заседания Политбюро N151, особая папка, 1933 г.</w:t>
      </w:r>
    </w:p>
    <w:p w14:paraId="70F752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Вопрос КО </w:t>
      </w:r>
    </w:p>
    <w:p w14:paraId="5B14C06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Утвердить постановление КО об отпуске ОГПУ 300 тыс. руб. валюты на закупку моторов в Америке для сторожевых катеров погранохраны Дальнего Востока (11652).</w:t>
      </w:r>
    </w:p>
    <w:p w14:paraId="462602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B2A07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8 и 14 декабря 1933. Из протокола заседания Политбюро N151, особая папка, 1933 г.</w:t>
      </w:r>
    </w:p>
    <w:p w14:paraId="565DD6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выставке польского искусства </w:t>
      </w:r>
    </w:p>
    <w:p w14:paraId="68EEE66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Выделить НКПросу РСФСР 2 тыс. рублей инвалюты на приобретение ряда картин и скульптур польских художников для наших музеев (11652).</w:t>
      </w:r>
    </w:p>
    <w:p w14:paraId="300AA8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3E1E817"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C9180DD"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509753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декабря 1933 вышел приказ ГУАП N 24/456:</w:t>
      </w:r>
    </w:p>
    <w:p w14:paraId="36E21A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постановлением СТО от 28 ноября "О производстве морской и истребительной авиации на заводе 125":</w:t>
      </w:r>
    </w:p>
    <w:p w14:paraId="1B195C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Директору завода 125 Ирьянову немедленно приступить к подготовке производства самолета М-14, определив производственную программу на 1934 по самолету И-14 в 17 шт. по выпуску и одновременно вести работу по постановке производства МДР-4, ориентируясь на выпуск в 1935." Королев (2290,64).</w:t>
      </w:r>
    </w:p>
    <w:p w14:paraId="36F55C5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DE3716E" w14:textId="77777777" w:rsidR="00775806" w:rsidRPr="00C33834" w:rsidRDefault="0077580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декабря 1933 г. Г.Н. Королев подписал приказ по Управлению, в котором в соответ</w:t>
      </w:r>
      <w:r w:rsidRPr="00C33834">
        <w:rPr>
          <w:rFonts w:ascii="Times New Roman" w:hAnsi="Times New Roman"/>
          <w:color w:val="000000" w:themeColor="text1"/>
          <w:sz w:val="16"/>
          <w:szCs w:val="16"/>
        </w:rPr>
        <w:softHyphen/>
        <w:t>ствии с постановлением СТО от 28 ноября 1933 г. «О производстве морской и истре</w:t>
      </w:r>
      <w:r w:rsidRPr="00C33834">
        <w:rPr>
          <w:rFonts w:ascii="Times New Roman" w:hAnsi="Times New Roman"/>
          <w:color w:val="000000" w:themeColor="text1"/>
          <w:sz w:val="16"/>
          <w:szCs w:val="16"/>
        </w:rPr>
        <w:softHyphen/>
        <w:t>бительной авиации на заводе № 125» дал указание:</w:t>
      </w:r>
    </w:p>
    <w:p w14:paraId="19837948" w14:textId="77777777" w:rsidR="00775806" w:rsidRPr="00C33834" w:rsidRDefault="0077580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Директору завода № 125 тов. Ирьянову немедленно приступить к подготовке производства самолёта И-14, определив производственную программу на 1934 год по самолёту И-14 в 17 штук по выпуеку и одновременно вести работу по постановке производства самолёта МДР-4, ориентируясь на выпуске в 1935 году.</w:t>
      </w:r>
    </w:p>
    <w:p w14:paraId="63D07D6B" w14:textId="77777777" w:rsidR="00775806" w:rsidRPr="00C33834" w:rsidRDefault="00775806" w:rsidP="00C33834">
      <w:pPr>
        <w:tabs>
          <w:tab w:val="left" w:pos="488"/>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2. Разработку чертежей и технологических процессов, чертежей приспособлений по обоим самолётам вести в Москве...</w:t>
      </w:r>
    </w:p>
    <w:p w14:paraId="50686FE6" w14:textId="77777777" w:rsidR="00775806" w:rsidRPr="00C33834" w:rsidRDefault="00775806"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Заводу № 21 вести подготовку производства по И-14 с включением своих работни</w:t>
      </w:r>
      <w:r w:rsidRPr="00C33834">
        <w:rPr>
          <w:rFonts w:ascii="Times New Roman" w:hAnsi="Times New Roman"/>
          <w:color w:val="000000" w:themeColor="text1"/>
          <w:sz w:val="16"/>
          <w:szCs w:val="16"/>
        </w:rPr>
        <w:softHyphen/>
        <w:t>ков в технический отдел завода N9 125 с тем, чтобы чертежи, технологический процесс и чертежи приспособлений, были использованы для обоих заводов.</w:t>
      </w:r>
    </w:p>
    <w:p w14:paraId="5199B853" w14:textId="77777777" w:rsidR="00775806" w:rsidRPr="00C33834" w:rsidRDefault="00775806" w:rsidP="00C33834">
      <w:pPr>
        <w:tabs>
          <w:tab w:val="left" w:pos="46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Директору ЦАГИ тов. Харламову в 15-ти дневный срок передать на завод полный комплект чертежей И-14 (в 4-х экз.) и выделить для постоянного и непосредственно</w:t>
      </w:r>
      <w:r w:rsidRPr="00C33834">
        <w:rPr>
          <w:rFonts w:ascii="Times New Roman" w:hAnsi="Times New Roman"/>
          <w:color w:val="000000" w:themeColor="text1"/>
          <w:sz w:val="16"/>
          <w:szCs w:val="16"/>
        </w:rPr>
        <w:softHyphen/>
        <w:t>го руководства по увязке чертежей ответственного работника ЦАГИ.</w:t>
      </w:r>
    </w:p>
    <w:p w14:paraId="114125F7" w14:textId="77777777" w:rsidR="00775806" w:rsidRPr="00C33834" w:rsidRDefault="00775806" w:rsidP="00C33834">
      <w:pPr>
        <w:tabs>
          <w:tab w:val="left" w:pos="474"/>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Техн. директору завода № 125 т. Хомскому, директору завода № 21 т. Мирошникову и директору ЦАГИ т. Харламову заключить соглашение на сдачу чертежей и органи</w:t>
      </w:r>
      <w:r w:rsidRPr="00C33834">
        <w:rPr>
          <w:rFonts w:ascii="Times New Roman" w:hAnsi="Times New Roman"/>
          <w:color w:val="000000" w:themeColor="text1"/>
          <w:sz w:val="16"/>
          <w:szCs w:val="16"/>
        </w:rPr>
        <w:softHyphen/>
        <w:t>зацию технической помощи со стороны ЦАГИ обоим заводам по внедрению машины...» (15823).</w:t>
      </w:r>
    </w:p>
    <w:p w14:paraId="0B5A3818" w14:textId="77777777" w:rsidR="00775806" w:rsidRPr="00C33834" w:rsidRDefault="00775806" w:rsidP="00C33834">
      <w:pPr>
        <w:tabs>
          <w:tab w:val="left" w:pos="474"/>
        </w:tabs>
        <w:spacing w:after="0" w:line="240" w:lineRule="auto"/>
        <w:jc w:val="both"/>
        <w:rPr>
          <w:rFonts w:ascii="Times New Roman" w:hAnsi="Times New Roman"/>
          <w:color w:val="000000" w:themeColor="text1"/>
          <w:sz w:val="16"/>
          <w:szCs w:val="16"/>
        </w:rPr>
      </w:pPr>
    </w:p>
    <w:p w14:paraId="1F26AF83" w14:textId="77777777" w:rsidR="00E86D8F" w:rsidRPr="00C33834" w:rsidRDefault="00E86D8F"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9 декабря 1933 года Г. Н. Королев подписал приказ по Управлению, в котором в соответствии с постановлением СТО от 28 ноября 1933 года «О производстве морской и истребительной авиации на заводе №125» дал указание:</w:t>
      </w:r>
    </w:p>
    <w:p w14:paraId="2A27F04F" w14:textId="77777777" w:rsidR="00E86D8F" w:rsidRPr="00C33834" w:rsidRDefault="00E86D8F"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 1. Директору завода №125 тов. Ирьянову немедленно приступить к подготовке производства самолета И-14, определив производственную программу на 1934 год по самолету И-14 в 17 штук по выпуску и одновременно вести работу по постановке производства самолета МДР-4, ориентируясь на выпуске в 1935 году.</w:t>
      </w:r>
    </w:p>
    <w:p w14:paraId="593AD79F" w14:textId="77777777" w:rsidR="00E86D8F" w:rsidRPr="00C33834" w:rsidRDefault="00E86D8F"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2. Разработку чертежей и технологических процессов, чертежей приспособлений по обеим самолетам вести в Москве. …</w:t>
      </w:r>
    </w:p>
    <w:p w14:paraId="416ECF32" w14:textId="77777777" w:rsidR="00E86D8F" w:rsidRPr="00C33834" w:rsidRDefault="00E86D8F"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Заводу №21 вести подготовку производства по И-14 с включением своих работников в технический отдел завода №125 с тем, чтобы чертежи, технологический процесс и чертежи приспособлений, были использованы для обоих заводов.</w:t>
      </w:r>
    </w:p>
    <w:p w14:paraId="530F823C" w14:textId="77777777" w:rsidR="00E86D8F" w:rsidRPr="00C33834" w:rsidRDefault="00E86D8F"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3. Директору ЦАГИ тов. Харламову в 15-ти дневный срок передать на завод полный комплект чертежей И-14 (в 4-х экз.) и выделить для постоянного и непосредственного руководства по увязке чертежей ответственного работника ЦАГИ.</w:t>
      </w:r>
    </w:p>
    <w:p w14:paraId="1504262B" w14:textId="77777777" w:rsidR="00E86D8F" w:rsidRPr="00C33834" w:rsidRDefault="00E86D8F" w:rsidP="00C33834">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C33834">
        <w:rPr>
          <w:rStyle w:val="af0"/>
          <w:i w:val="0"/>
          <w:color w:val="000000" w:themeColor="text1"/>
          <w:sz w:val="16"/>
          <w:szCs w:val="16"/>
          <w:bdr w:val="none" w:sz="0" w:space="0" w:color="auto" w:frame="1"/>
        </w:rPr>
        <w:t>4. Техническому директору завода №125 т. Хомскому, директору завода №21 т. Мирошникову и директору ЦАГИ т. Харламову заключить соглашение на сдачу чертежей и организацию технической помощи со стороны ЦАГИ обоим заводам по внедрению машины. …» (19177).</w:t>
      </w:r>
    </w:p>
    <w:p w14:paraId="5B390873" w14:textId="77777777" w:rsidR="00E86D8F" w:rsidRPr="00C33834" w:rsidRDefault="00E86D8F" w:rsidP="00C33834">
      <w:pPr>
        <w:pStyle w:val="ae"/>
        <w:shd w:val="clear" w:color="auto" w:fill="FFFFFF"/>
        <w:spacing w:before="0" w:after="0"/>
        <w:jc w:val="both"/>
        <w:textAlignment w:val="baseline"/>
        <w:rPr>
          <w:color w:val="000000" w:themeColor="text1"/>
          <w:sz w:val="16"/>
          <w:szCs w:val="16"/>
        </w:rPr>
      </w:pPr>
    </w:p>
    <w:p w14:paraId="360612E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декабря 1933 г. начальник ГУАП Королев издает приказ: "В соответствии с постановлением Совета Груда и Обороны (СТО) от 28 ноября с.г. - о производстве морской и истребительной авиации на заводе №125, приказываю:</w:t>
      </w:r>
    </w:p>
    <w:p w14:paraId="220FC3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Директору завода 125 тов. Ирьянову немедленно приступить к подготовке производства самолета И-14, определив производственную программу на 1934 г. ... в 17 штук и одновременно вести работу по постановке производства самолета МДР-4, ориентируясь на выпуск в 1935 г.</w:t>
      </w:r>
    </w:p>
    <w:p w14:paraId="51C5CC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Разработку чертежей и технологических процессов, чертежей приспособлений по обоим самолетам вести в Москве. Заводу №31 (в Таганроге.- прим. авт.) немедленно включиться в работу по МДР-4, для чего выслать соответствующих работников в технический отдел завода 125.</w:t>
      </w:r>
    </w:p>
    <w:p w14:paraId="2C5199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Заводу №21 вести подготовку производства по И -14 с включением своих работников в технический отдел завода 125 с тем, чтобы чертежи,... были использованы для обоих заводов</w:t>
      </w:r>
    </w:p>
    <w:p w14:paraId="5171DB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Директору ЦАГИ тов. Харламову в 15-дневный срок передать на завод полный комплект чертежей И-14 и выделить для постоянного и непосредственного руководства по увязке чертежей ответственного работника ЦАГИ.</w:t>
      </w:r>
    </w:p>
    <w:p w14:paraId="17FE01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Техническому директору завода 125 т. Хомскому, директору завода 21 т. Мирошниченко и директору ЦАГИ т. Харламову заключить соглашение на сдачу чертежей и организацию технической помощи со стороны ЦАГИ обоим заводам но внедрению машины.</w:t>
      </w:r>
    </w:p>
    <w:p w14:paraId="069458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Для укомплектования руководящим персоналом производственной части завода... директору завода №22 тов. Миткевич (директором 22-го завода парторг ЦК BK1I6 Ольга Миткевич стала после гибели С.П.Горбунова в авиационной катастрофе в сентябре 1933 г.) откомандировать техника Васильева (пом. нач. КОСТР) для занятия должности начальника конструкторского отдела завода № 125, директору завода №31 - откомандировать инженера Безухова и техника Потапова. Откомандирование произвести в 2-х дневный срок. Об исполнении доложить лично мне (формулировка для наших дней просто потрясающая, тем более, что она касалась одного инженера и двух техников)</w:t>
      </w:r>
    </w:p>
    <w:p w14:paraId="041593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Отделу кадров ГУАПа форсировать комплектование техническим персоналом, согласно плана подготовки производства... ускорить разверстку по действующим заводам авиапромышленности таблицы перебрасываемых на завод № 125 рабочих...</w:t>
      </w:r>
    </w:p>
    <w:p w14:paraId="4AC983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...ускорить достройку дома...переданного распоряжением моего заместителя тов. Кацва 125 заводу. В указанном доме разместить рабочих завода 125, прибывающих для повышения квалификации из Иркутска...</w:t>
      </w:r>
    </w:p>
    <w:p w14:paraId="2FC1D1D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...урегулировать вопрос с помещением, занимаемым Конструкторским Отделом завода 125, обеспечив его нормальными условиями для работ, для чего пересмотреть потребность в площадях всех учреждений ГУАПа, помещающихся на Маросейке, 12" (12037).</w:t>
      </w:r>
    </w:p>
    <w:p w14:paraId="399C08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1FA8B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декабря 1933 г. Алкснис утвердил Тактико-технические требования (ТТТ) на одноместный истребитель И-17 (9630).</w:t>
      </w:r>
    </w:p>
    <w:p w14:paraId="73BE811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E6BBFD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декабря 1933 г. начальник ВВС РККА Алкснис утвердил следующие тактико-техни</w:t>
      </w:r>
      <w:r w:rsidRPr="00C33834">
        <w:rPr>
          <w:rFonts w:ascii="Times New Roman" w:hAnsi="Times New Roman"/>
          <w:color w:val="000000" w:themeColor="text1"/>
          <w:sz w:val="16"/>
          <w:szCs w:val="16"/>
        </w:rPr>
        <w:softHyphen/>
        <w:t>ческие требования к одноместному истребителю И-17 под мотор Испано-Сюиза 12У:</w:t>
      </w:r>
    </w:p>
    <w:p w14:paraId="36ACD0E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Летные данные.</w:t>
      </w:r>
    </w:p>
    <w:p w14:paraId="1ED7611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 полезной нагрузкой 226 кг и запасом го</w:t>
      </w:r>
      <w:r w:rsidRPr="00C33834">
        <w:rPr>
          <w:rFonts w:ascii="Times New Roman" w:hAnsi="Times New Roman"/>
          <w:color w:val="000000" w:themeColor="text1"/>
          <w:sz w:val="16"/>
          <w:szCs w:val="16"/>
        </w:rPr>
        <w:softHyphen/>
        <w:t>рючего и смазочных материалов, обеспечивающих тех</w:t>
      </w:r>
      <w:r w:rsidRPr="00C33834">
        <w:rPr>
          <w:rFonts w:ascii="Times New Roman" w:hAnsi="Times New Roman"/>
          <w:color w:val="000000" w:themeColor="text1"/>
          <w:sz w:val="16"/>
          <w:szCs w:val="16"/>
        </w:rPr>
        <w:softHyphen/>
        <w:t>ническую дальность полета 500 км на боевой высоте 5000 м, должен обладать нижеследующими данными:</w:t>
      </w:r>
    </w:p>
    <w:p w14:paraId="47B3D4F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Скорость максимальная на высоте 5000 м - 425 км/ч</w:t>
      </w:r>
    </w:p>
    <w:p w14:paraId="58FEEBD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Время набора высоты 5000 м - 6-7 мин</w:t>
      </w:r>
    </w:p>
    <w:p w14:paraId="46AB641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Потолок практический — 10000 м</w:t>
      </w:r>
    </w:p>
    <w:p w14:paraId="382B81E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Посадочная скорость не более - 100-105 км/ч</w:t>
      </w:r>
    </w:p>
    <w:p w14:paraId="7824241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 емкость баков должна быть рассчитана на техническую дальность 600 км.</w:t>
      </w:r>
    </w:p>
    <w:p w14:paraId="1D89224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Последовательность требований.</w:t>
      </w:r>
    </w:p>
    <w:p w14:paraId="30F5DAB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Технические свойства самолета требуют, чтобы при выполнении и перевыполнении поставленных выше летных данных конструктор учитывал нижеследую</w:t>
      </w:r>
      <w:r w:rsidRPr="00C33834">
        <w:rPr>
          <w:rFonts w:ascii="Times New Roman" w:hAnsi="Times New Roman"/>
          <w:color w:val="000000" w:themeColor="text1"/>
          <w:sz w:val="16"/>
          <w:szCs w:val="16"/>
        </w:rPr>
        <w:softHyphen/>
        <w:t>щую по важности последовательность:</w:t>
      </w:r>
    </w:p>
    <w:p w14:paraId="62D5345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скорость,</w:t>
      </w:r>
    </w:p>
    <w:p w14:paraId="2844CEF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скороподъемность,</w:t>
      </w:r>
    </w:p>
    <w:p w14:paraId="72C55EE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маневренность...».</w:t>
      </w:r>
    </w:p>
    <w:p w14:paraId="18D7B1F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Конструктор должен был также предусмотреть уста</w:t>
      </w:r>
      <w:r w:rsidRPr="00C33834">
        <w:rPr>
          <w:rFonts w:ascii="Times New Roman" w:hAnsi="Times New Roman"/>
          <w:color w:val="000000" w:themeColor="text1"/>
          <w:sz w:val="16"/>
          <w:szCs w:val="16"/>
        </w:rPr>
        <w:softHyphen/>
        <w:t>новку радиооборудования (10667).</w:t>
      </w:r>
    </w:p>
    <w:p w14:paraId="25D2508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682D0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декабря 1933 Алкснис утвердил так</w:t>
      </w:r>
      <w:r w:rsidRPr="00C33834">
        <w:rPr>
          <w:rFonts w:ascii="Times New Roman" w:hAnsi="Times New Roman"/>
          <w:color w:val="000000" w:themeColor="text1"/>
          <w:sz w:val="16"/>
          <w:szCs w:val="16"/>
        </w:rPr>
        <w:softHyphen/>
        <w:t>тико-технические требования к одноместному экспери</w:t>
      </w:r>
      <w:r w:rsidRPr="00C33834">
        <w:rPr>
          <w:rFonts w:ascii="Times New Roman" w:hAnsi="Times New Roman"/>
          <w:color w:val="000000" w:themeColor="text1"/>
          <w:sz w:val="16"/>
          <w:szCs w:val="16"/>
        </w:rPr>
        <w:softHyphen/>
        <w:t>ментальному истребителю И-17 под мотор М-34РНФ ИЭ (высотность до 4400 м). Несмотря на отсутствие официального задания, Ни</w:t>
      </w:r>
      <w:r w:rsidRPr="00C33834">
        <w:rPr>
          <w:rFonts w:ascii="Times New Roman" w:hAnsi="Times New Roman"/>
          <w:color w:val="000000" w:themeColor="text1"/>
          <w:sz w:val="16"/>
          <w:szCs w:val="16"/>
        </w:rPr>
        <w:softHyphen/>
        <w:t>колай Николаевич продолжал работу над истребителем ЦКБ-15. Так как создание отечественных автоматичес</w:t>
      </w:r>
      <w:r w:rsidRPr="00C33834">
        <w:rPr>
          <w:rFonts w:ascii="Times New Roman" w:hAnsi="Times New Roman"/>
          <w:color w:val="000000" w:themeColor="text1"/>
          <w:sz w:val="16"/>
          <w:szCs w:val="16"/>
        </w:rPr>
        <w:softHyphen/>
        <w:t>ких пушек еще не завершилось, Поликарпов сосредото</w:t>
      </w:r>
      <w:r w:rsidRPr="00C33834">
        <w:rPr>
          <w:rFonts w:ascii="Times New Roman" w:hAnsi="Times New Roman"/>
          <w:color w:val="000000" w:themeColor="text1"/>
          <w:sz w:val="16"/>
          <w:szCs w:val="16"/>
        </w:rPr>
        <w:softHyphen/>
        <w:t>чил основное внимание на проекте истребителя с пулеметным вооружением в крыле (10667).</w:t>
      </w:r>
    </w:p>
    <w:p w14:paraId="079515A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6D726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декабря 1933 тактико-технические требования (ТТТ) на одноместный истребитель И-17 были утверждены Алкснисом, а 13 декабря 1933 г. они поступили из НИИ ВВС в Центральное конструкторское бюро. Основные положения ТТТ к истребителю И-17 были таковы: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F26F01" w:rsidRPr="00C33834" w14:paraId="50056EFA" w14:textId="77777777">
        <w:tc>
          <w:tcPr>
            <w:tcW w:w="5605" w:type="dxa"/>
            <w:tcBorders>
              <w:top w:val="single" w:sz="12" w:space="0" w:color="auto"/>
            </w:tcBorders>
          </w:tcPr>
          <w:p w14:paraId="6ACAAA1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 скорость на высоте 5000 м</w:t>
            </w:r>
          </w:p>
        </w:tc>
        <w:tc>
          <w:tcPr>
            <w:tcW w:w="5605" w:type="dxa"/>
            <w:tcBorders>
              <w:top w:val="single" w:sz="12" w:space="0" w:color="auto"/>
            </w:tcBorders>
          </w:tcPr>
          <w:p w14:paraId="7BED0C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425 км/ч</w:t>
            </w:r>
          </w:p>
        </w:tc>
      </w:tr>
      <w:tr w:rsidR="00F26F01" w:rsidRPr="00C33834" w14:paraId="26FC0FFC" w14:textId="77777777">
        <w:tc>
          <w:tcPr>
            <w:tcW w:w="5605" w:type="dxa"/>
          </w:tcPr>
          <w:p w14:paraId="7B7F5CF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набора высоты 5000 м</w:t>
            </w:r>
          </w:p>
        </w:tc>
        <w:tc>
          <w:tcPr>
            <w:tcW w:w="5605" w:type="dxa"/>
          </w:tcPr>
          <w:p w14:paraId="601F2C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 мин</w:t>
            </w:r>
          </w:p>
        </w:tc>
      </w:tr>
      <w:tr w:rsidR="00F26F01" w:rsidRPr="00C33834" w14:paraId="60FC5D94" w14:textId="77777777">
        <w:tc>
          <w:tcPr>
            <w:tcW w:w="5605" w:type="dxa"/>
          </w:tcPr>
          <w:p w14:paraId="2EFE015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 практический</w:t>
            </w:r>
          </w:p>
        </w:tc>
        <w:tc>
          <w:tcPr>
            <w:tcW w:w="5605" w:type="dxa"/>
          </w:tcPr>
          <w:p w14:paraId="6185B1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10000 м</w:t>
            </w:r>
          </w:p>
        </w:tc>
      </w:tr>
      <w:tr w:rsidR="00F26F01" w:rsidRPr="00C33834" w14:paraId="60994C76" w14:textId="77777777">
        <w:tc>
          <w:tcPr>
            <w:tcW w:w="5605" w:type="dxa"/>
          </w:tcPr>
          <w:p w14:paraId="4C9EEC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Посадочная скорость не более</w:t>
            </w:r>
          </w:p>
        </w:tc>
        <w:tc>
          <w:tcPr>
            <w:tcW w:w="5605" w:type="dxa"/>
          </w:tcPr>
          <w:p w14:paraId="07EE6B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100-105 км/ч</w:t>
            </w:r>
          </w:p>
        </w:tc>
      </w:tr>
      <w:tr w:rsidR="00F26F01" w:rsidRPr="00C33834" w14:paraId="68212D65" w14:textId="77777777">
        <w:tc>
          <w:tcPr>
            <w:tcW w:w="5605" w:type="dxa"/>
            <w:tcBorders>
              <w:bottom w:val="single" w:sz="12" w:space="0" w:color="auto"/>
            </w:tcBorders>
          </w:tcPr>
          <w:p w14:paraId="741732D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Техническая дальность</w:t>
            </w:r>
          </w:p>
        </w:tc>
        <w:tc>
          <w:tcPr>
            <w:tcW w:w="5605" w:type="dxa"/>
            <w:tcBorders>
              <w:bottom w:val="single" w:sz="12" w:space="0" w:color="auto"/>
            </w:tcBorders>
          </w:tcPr>
          <w:p w14:paraId="39074CF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 км</w:t>
            </w:r>
          </w:p>
        </w:tc>
      </w:tr>
    </w:tbl>
    <w:p w14:paraId="5BD7715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(12016).</w:t>
      </w:r>
    </w:p>
    <w:p w14:paraId="7323841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DFEA32F" w14:textId="77777777" w:rsidR="003B3D9F" w:rsidRPr="00C33834" w:rsidRDefault="003B3D9F"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CC70941" w14:textId="77777777" w:rsidR="003B3D9F" w:rsidRPr="00C33834" w:rsidRDefault="003B3D9F"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05E1E96"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9 декабря 1933 опросом членов ПБ</w:t>
      </w:r>
    </w:p>
    <w:p w14:paraId="55C81923"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39/14.- Вопрос КО,</w:t>
      </w:r>
    </w:p>
    <w:p w14:paraId="787939D7"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Утвердить постановление КО об отпуске ОГПУ 300 тыс.руб.валюты на закупку моторов в Америке для сторожевых катеров погранохраны ДВ.</w:t>
      </w:r>
    </w:p>
    <w:p w14:paraId="5DACDD0C"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т.т.Базилевичу, Ягоде, Розенгольцу</w:t>
      </w:r>
    </w:p>
    <w:p w14:paraId="4BA8FD96"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20 декабря 1933 состоялось заседание ПБ и был оформлен протокол № 151 (23001).</w:t>
      </w:r>
    </w:p>
    <w:p w14:paraId="2D15305F" w14:textId="77777777" w:rsidR="003B3D9F" w:rsidRPr="00C33834" w:rsidRDefault="003B3D9F" w:rsidP="00C33834">
      <w:pPr>
        <w:spacing w:after="0" w:line="240" w:lineRule="auto"/>
        <w:jc w:val="both"/>
        <w:rPr>
          <w:rFonts w:ascii="Times New Roman" w:hAnsi="Times New Roman"/>
          <w:color w:val="0070C0"/>
          <w:sz w:val="16"/>
          <w:szCs w:val="16"/>
        </w:rPr>
      </w:pPr>
    </w:p>
    <w:p w14:paraId="348F9218"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02E4627D"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EA2F8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декабря 1933 была введена уголовная ответственность за производство недоброкачественной продукции (3908,34).</w:t>
      </w:r>
    </w:p>
    <w:p w14:paraId="1D28FA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81372D5"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D293C55"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1FC526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декабря 1933 г. началась пересылка чер</w:t>
      </w:r>
      <w:r w:rsidRPr="00C33834">
        <w:rPr>
          <w:rFonts w:ascii="Times New Roman" w:hAnsi="Times New Roman"/>
          <w:color w:val="000000" w:themeColor="text1"/>
          <w:sz w:val="16"/>
          <w:szCs w:val="16"/>
        </w:rPr>
        <w:softHyphen/>
        <w:t>тежей и другой документации с завода № 39 на завод № 1 для ознакомления и изготовления оснастки и приспо</w:t>
      </w:r>
      <w:r w:rsidRPr="00C33834">
        <w:rPr>
          <w:rFonts w:ascii="Times New Roman" w:hAnsi="Times New Roman"/>
          <w:color w:val="000000" w:themeColor="text1"/>
          <w:sz w:val="16"/>
          <w:szCs w:val="16"/>
        </w:rPr>
        <w:softHyphen/>
        <w:t>соблений для производства И-15 (10667).</w:t>
      </w:r>
    </w:p>
    <w:p w14:paraId="67F15AB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31BB2E" w14:textId="77777777" w:rsidR="00775806" w:rsidRPr="00C33834" w:rsidRDefault="00775806" w:rsidP="00C33834">
      <w:pPr>
        <w:pStyle w:val="rtejustify"/>
        <w:spacing w:before="0" w:after="0"/>
        <w:rPr>
          <w:color w:val="000000" w:themeColor="text1"/>
          <w:sz w:val="16"/>
          <w:szCs w:val="16"/>
        </w:rPr>
      </w:pPr>
      <w:r w:rsidRPr="00C33834">
        <w:rPr>
          <w:rStyle w:val="af0"/>
          <w:bCs/>
          <w:i w:val="0"/>
          <w:color w:val="000000" w:themeColor="text1"/>
          <w:sz w:val="16"/>
          <w:szCs w:val="16"/>
        </w:rPr>
        <w:t>10 декабря</w:t>
      </w:r>
      <w:r w:rsidRPr="00C33834">
        <w:rPr>
          <w:color w:val="000000" w:themeColor="text1"/>
          <w:sz w:val="16"/>
          <w:szCs w:val="16"/>
        </w:rPr>
        <w:t xml:space="preserve"> 1933. Постановление СТО СССР № 125с/о «О сроках производства нефтеаппаратуры для производства авиамасел». (ГА РФ. Ф. Р</w:t>
      </w:r>
      <w:r w:rsidRPr="00C33834">
        <w:rPr>
          <w:color w:val="000000" w:themeColor="text1"/>
          <w:sz w:val="16"/>
          <w:szCs w:val="16"/>
        </w:rPr>
        <w:noBreakHyphen/>
        <w:t>8418. Оп. 28. Д. 3. Л. 90) (15460).</w:t>
      </w:r>
    </w:p>
    <w:p w14:paraId="5BE69CFD" w14:textId="77777777" w:rsidR="00775806" w:rsidRPr="00C33834" w:rsidRDefault="00775806" w:rsidP="00C33834">
      <w:pPr>
        <w:pStyle w:val="rtejustify"/>
        <w:spacing w:before="0" w:after="0"/>
        <w:rPr>
          <w:color w:val="000000" w:themeColor="text1"/>
          <w:sz w:val="16"/>
          <w:szCs w:val="16"/>
        </w:rPr>
      </w:pPr>
    </w:p>
    <w:p w14:paraId="3921887A" w14:textId="77777777" w:rsidR="00775806" w:rsidRPr="00C33834" w:rsidRDefault="00775806" w:rsidP="00C33834">
      <w:pPr>
        <w:pStyle w:val="rtejustify"/>
        <w:spacing w:before="0" w:after="0"/>
        <w:rPr>
          <w:color w:val="000000" w:themeColor="text1"/>
          <w:sz w:val="16"/>
          <w:szCs w:val="16"/>
        </w:rPr>
      </w:pPr>
      <w:r w:rsidRPr="00C33834">
        <w:rPr>
          <w:rStyle w:val="af0"/>
          <w:bCs/>
          <w:i w:val="0"/>
          <w:color w:val="000000" w:themeColor="text1"/>
          <w:sz w:val="16"/>
          <w:szCs w:val="16"/>
        </w:rPr>
        <w:t>10 декабря</w:t>
      </w:r>
      <w:r w:rsidRPr="00C33834">
        <w:rPr>
          <w:color w:val="000000" w:themeColor="text1"/>
          <w:sz w:val="16"/>
          <w:szCs w:val="16"/>
        </w:rPr>
        <w:t xml:space="preserve"> 1933. Постановление СТО СССР № 126сс/о «О покупке для ГУАП спецоборудования и иностранной техпомощи для производства насосов и форсунок к дизелям». (ГА РФ. Ф. Р</w:t>
      </w:r>
      <w:r w:rsidRPr="00C33834">
        <w:rPr>
          <w:color w:val="000000" w:themeColor="text1"/>
          <w:sz w:val="16"/>
          <w:szCs w:val="16"/>
        </w:rPr>
        <w:noBreakHyphen/>
        <w:t>8418. Оп. 28. Д. 3. Л. 92) (15460).</w:t>
      </w:r>
    </w:p>
    <w:p w14:paraId="567D7FBE" w14:textId="77777777" w:rsidR="00775806" w:rsidRPr="00C33834" w:rsidRDefault="00775806" w:rsidP="00C33834">
      <w:pPr>
        <w:pStyle w:val="rtejustify"/>
        <w:spacing w:before="0" w:after="0"/>
        <w:rPr>
          <w:color w:val="000000" w:themeColor="text1"/>
          <w:sz w:val="16"/>
          <w:szCs w:val="16"/>
        </w:rPr>
      </w:pPr>
    </w:p>
    <w:p w14:paraId="279A8A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декабря 1933 вышло постановление СТО N 126сс/о "О покупке для ГУАПа спецоборудования и иностранной техпомощи для производства насосов и форсунок к дизелям" - у фирмы Дуккель (2222,73).</w:t>
      </w:r>
    </w:p>
    <w:p w14:paraId="6EC1CD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Разрешить НКТП покупку у фирмы Дуккель специального оборудования для производства насосов и форсунок к дизелям на сумму 75.000 ам. долларов.</w:t>
      </w:r>
    </w:p>
    <w:p w14:paraId="1BEC6A3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Санкционировать приглашение ГК насосо-форсуночной системы Дуккель - и Бруннера для техпомощи по производству насосов и форсунок (2228,73)</w:t>
      </w:r>
    </w:p>
    <w:p w14:paraId="57B3A8F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26584D7"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BA5EAAC"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72895A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декабря 1933 г. в письме, адресованном Павлуновскому с припиской: «Лично». Некий И.К.Баранов</w:t>
      </w:r>
      <w:r w:rsidRPr="00C33834">
        <w:rPr>
          <w:rFonts w:ascii="Times New Roman" w:hAnsi="Times New Roman"/>
          <w:color w:val="000000" w:themeColor="text1"/>
          <w:sz w:val="16"/>
          <w:szCs w:val="16"/>
          <w:vertAlign w:val="superscript"/>
        </w:rPr>
        <w:t>1</w:t>
      </w:r>
      <w:r w:rsidRPr="00C33834">
        <w:rPr>
          <w:rFonts w:ascii="Times New Roman" w:hAnsi="Times New Roman"/>
          <w:color w:val="000000" w:themeColor="text1"/>
          <w:sz w:val="16"/>
          <w:szCs w:val="16"/>
        </w:rPr>
        <w:t xml:space="preserve"> пред</w:t>
      </w:r>
      <w:r w:rsidRPr="00C33834">
        <w:rPr>
          <w:rFonts w:ascii="Times New Roman" w:hAnsi="Times New Roman"/>
          <w:color w:val="000000" w:themeColor="text1"/>
          <w:sz w:val="16"/>
          <w:szCs w:val="16"/>
        </w:rPr>
        <w:softHyphen/>
        <w:t>лагал принять на вооружение электромагнитную установку для улавливания снарядов. К письму приложен чертеж. Суть изобретения заключалась в том, что вокруг нашей батареи ус</w:t>
      </w:r>
      <w:r w:rsidRPr="00C33834">
        <w:rPr>
          <w:rFonts w:ascii="Times New Roman" w:hAnsi="Times New Roman"/>
          <w:color w:val="000000" w:themeColor="text1"/>
          <w:sz w:val="16"/>
          <w:szCs w:val="16"/>
        </w:rPr>
        <w:softHyphen/>
        <w:t>танавливались несколько сверхмощных магнитов, которые отклоняли в сторону вражеские снаряды, и батарея станови</w:t>
      </w:r>
      <w:r w:rsidRPr="00C33834">
        <w:rPr>
          <w:rFonts w:ascii="Times New Roman" w:hAnsi="Times New Roman"/>
          <w:color w:val="000000" w:themeColor="text1"/>
          <w:sz w:val="16"/>
          <w:szCs w:val="16"/>
        </w:rPr>
        <w:softHyphen/>
        <w:t>лась неуязвимой. Чем кончилось дело с проектом Баранова, установить мне не удалось, но работы по созданию этой уста</w:t>
      </w:r>
      <w:r w:rsidRPr="00C33834">
        <w:rPr>
          <w:rFonts w:ascii="Times New Roman" w:hAnsi="Times New Roman"/>
          <w:color w:val="000000" w:themeColor="text1"/>
          <w:sz w:val="16"/>
          <w:szCs w:val="16"/>
        </w:rPr>
        <w:softHyphen/>
        <w:t>новки были начаты (10675).</w:t>
      </w:r>
    </w:p>
    <w:p w14:paraId="0B0251A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045F84" w14:textId="77777777" w:rsidR="00661CFE" w:rsidRPr="00C33834" w:rsidRDefault="00661CFE" w:rsidP="00C33834">
      <w:pPr>
        <w:pStyle w:val="rtejustify"/>
        <w:spacing w:before="0" w:after="0"/>
        <w:rPr>
          <w:color w:val="000000" w:themeColor="text1"/>
          <w:sz w:val="16"/>
          <w:szCs w:val="16"/>
        </w:rPr>
      </w:pPr>
      <w:r w:rsidRPr="00C33834">
        <w:rPr>
          <w:rStyle w:val="af0"/>
          <w:bCs/>
          <w:i w:val="0"/>
          <w:color w:val="000000" w:themeColor="text1"/>
          <w:sz w:val="16"/>
          <w:szCs w:val="16"/>
        </w:rPr>
        <w:t>10 декабря</w:t>
      </w:r>
      <w:r w:rsidRPr="00C33834">
        <w:rPr>
          <w:color w:val="000000" w:themeColor="text1"/>
          <w:sz w:val="16"/>
          <w:szCs w:val="16"/>
        </w:rPr>
        <w:t xml:space="preserve"> 1933. Постановление СТО СССР № 127сс/о «О сроках переброски на Дальний Восток сторожевых кораблей с НГЗ “Марти”». (ГА РФ. Ф. Р</w:t>
      </w:r>
      <w:r w:rsidRPr="00C33834">
        <w:rPr>
          <w:color w:val="000000" w:themeColor="text1"/>
          <w:sz w:val="16"/>
          <w:szCs w:val="16"/>
        </w:rPr>
        <w:noBreakHyphen/>
        <w:t>8418. Оп. 28. Д. 3. Л. 94) (15460).</w:t>
      </w:r>
    </w:p>
    <w:p w14:paraId="09D14CF5" w14:textId="3644DF5C" w:rsidR="00661CFE" w:rsidRPr="00C33834" w:rsidRDefault="00661CFE" w:rsidP="00C33834">
      <w:pPr>
        <w:pStyle w:val="rtejustify"/>
        <w:spacing w:before="0" w:after="0"/>
        <w:rPr>
          <w:color w:val="000000" w:themeColor="text1"/>
          <w:sz w:val="16"/>
          <w:szCs w:val="16"/>
        </w:rPr>
      </w:pPr>
    </w:p>
    <w:p w14:paraId="0B398D03" w14:textId="6E7464FD" w:rsidR="003B3D9F" w:rsidRPr="00C33834" w:rsidRDefault="003B3D9F" w:rsidP="00C33834">
      <w:pPr>
        <w:pStyle w:val="rtejustify"/>
        <w:spacing w:before="0" w:after="0"/>
        <w:rPr>
          <w:i/>
          <w:iCs/>
          <w:color w:val="000000" w:themeColor="text1"/>
          <w:sz w:val="16"/>
          <w:szCs w:val="16"/>
        </w:rPr>
      </w:pPr>
      <w:r w:rsidRPr="00C33834">
        <w:rPr>
          <w:i/>
          <w:iCs/>
          <w:color w:val="000000" w:themeColor="text1"/>
          <w:sz w:val="16"/>
          <w:szCs w:val="16"/>
        </w:rPr>
        <w:t>Армия:</w:t>
      </w:r>
    </w:p>
    <w:p w14:paraId="66232953" w14:textId="77777777" w:rsidR="003B3D9F" w:rsidRPr="00C33834" w:rsidRDefault="003B3D9F" w:rsidP="00C33834">
      <w:pPr>
        <w:pStyle w:val="rtejustify"/>
        <w:spacing w:before="0" w:after="0"/>
        <w:rPr>
          <w:i/>
          <w:iCs/>
          <w:color w:val="000000" w:themeColor="text1"/>
          <w:sz w:val="16"/>
          <w:szCs w:val="16"/>
        </w:rPr>
      </w:pPr>
    </w:p>
    <w:p w14:paraId="7723FB59"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 декабря 1933 опросом членов ПБ</w:t>
      </w:r>
    </w:p>
    <w:p w14:paraId="3A6E84C9"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52/27.- О Франции,</w:t>
      </w:r>
    </w:p>
    <w:p w14:paraId="3CE8EBCF"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.Принять предложение Пьер КОТ "а о посылке наших командиров в школы французской авиации для совершенствования:</w:t>
      </w:r>
    </w:p>
    <w:p w14:paraId="4EAB4767"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а)в высшую авиационную школу в Париже послать трех командиров;</w:t>
      </w:r>
    </w:p>
    <w:p w14:paraId="1BDF2724"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б)на годичные курсы в авиационной школе в Версале послать двух командиров.</w:t>
      </w:r>
    </w:p>
    <w:p w14:paraId="5AED590F"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Поручить т.Венцову в осторожной форме выяс</w:t>
      </w:r>
      <w:r w:rsidRPr="00C33834">
        <w:rPr>
          <w:rFonts w:ascii="Times New Roman" w:hAnsi="Times New Roman"/>
          <w:color w:val="0070C0"/>
          <w:sz w:val="16"/>
          <w:szCs w:val="16"/>
        </w:rPr>
        <w:softHyphen/>
        <w:t>нить у французов возможность посылки одного коман</w:t>
      </w:r>
      <w:r w:rsidRPr="00C33834">
        <w:rPr>
          <w:rFonts w:ascii="Times New Roman" w:hAnsi="Times New Roman"/>
          <w:color w:val="0070C0"/>
          <w:sz w:val="16"/>
          <w:szCs w:val="16"/>
        </w:rPr>
        <w:softHyphen/>
        <w:t>дира в школу высшего пилотажа в Этамп и одного ко</w:t>
      </w:r>
      <w:r w:rsidRPr="00C33834">
        <w:rPr>
          <w:rFonts w:ascii="Times New Roman" w:hAnsi="Times New Roman"/>
          <w:color w:val="0070C0"/>
          <w:sz w:val="16"/>
          <w:szCs w:val="16"/>
        </w:rPr>
        <w:softHyphen/>
        <w:t>мандира в школу воздушной стрельбы и бомбометания в Казо.</w:t>
      </w:r>
    </w:p>
    <w:p w14:paraId="5E7E6B24"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Согласиться на предложение Пьер К0Т"а о приезде к нам четырех французских авиаспециалистов. Приезжающим французам поставить конкретные задачи по постановке на производство моторов фирмы Испано Сюиза и по разработке системы вооружения истреби</w:t>
      </w:r>
      <w:r w:rsidRPr="00C33834">
        <w:rPr>
          <w:rFonts w:ascii="Times New Roman" w:hAnsi="Times New Roman"/>
          <w:color w:val="0070C0"/>
          <w:sz w:val="16"/>
          <w:szCs w:val="16"/>
        </w:rPr>
        <w:softHyphen/>
        <w:t>тельной авиации.</w:t>
      </w:r>
    </w:p>
    <w:p w14:paraId="32E123FD"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4.Разрешить т.Венцову поодолжать переговоры с де-ЛАТТРОМ о посылке весной 1934 г. группы артил</w:t>
      </w:r>
      <w:r w:rsidRPr="00C33834">
        <w:rPr>
          <w:rFonts w:ascii="Times New Roman" w:hAnsi="Times New Roman"/>
          <w:color w:val="0070C0"/>
          <w:sz w:val="16"/>
          <w:szCs w:val="16"/>
        </w:rPr>
        <w:softHyphen/>
        <w:t>лерийских командиров для прохождения курса с овер</w:t>
      </w:r>
      <w:r w:rsidRPr="00C33834">
        <w:rPr>
          <w:rFonts w:ascii="Times New Roman" w:hAnsi="Times New Roman"/>
          <w:color w:val="0070C0"/>
          <w:sz w:val="16"/>
          <w:szCs w:val="16"/>
        </w:rPr>
        <w:softHyphen/>
        <w:t>шенствования в Метце и присутствия на артиллерий</w:t>
      </w:r>
      <w:r w:rsidRPr="00C33834">
        <w:rPr>
          <w:rFonts w:ascii="Times New Roman" w:hAnsi="Times New Roman"/>
          <w:color w:val="0070C0"/>
          <w:sz w:val="16"/>
          <w:szCs w:val="16"/>
        </w:rPr>
        <w:softHyphen/>
        <w:t>ских учениях и стрельбах (срок командировки до 6-ти недель). В случае официального предложения французов разрешить т.Венцову дать согласие о по</w:t>
      </w:r>
      <w:r w:rsidRPr="00C33834">
        <w:rPr>
          <w:rFonts w:ascii="Times New Roman" w:hAnsi="Times New Roman"/>
          <w:color w:val="0070C0"/>
          <w:sz w:val="16"/>
          <w:szCs w:val="16"/>
        </w:rPr>
        <w:softHyphen/>
        <w:t>сылке нами трех человек.</w:t>
      </w:r>
    </w:p>
    <w:p w14:paraId="022E6792"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Поручить т.Довгалевскому сообщить францу</w:t>
      </w:r>
      <w:r w:rsidRPr="00C33834">
        <w:rPr>
          <w:rFonts w:ascii="Times New Roman" w:hAnsi="Times New Roman"/>
          <w:color w:val="0070C0"/>
          <w:sz w:val="16"/>
          <w:szCs w:val="16"/>
        </w:rPr>
        <w:softHyphen/>
        <w:t>зам о нашем намерении послать весной 1934 г.эскад</w:t>
      </w:r>
      <w:r w:rsidRPr="00C33834">
        <w:rPr>
          <w:rFonts w:ascii="Times New Roman" w:hAnsi="Times New Roman"/>
          <w:color w:val="0070C0"/>
          <w:sz w:val="16"/>
          <w:szCs w:val="16"/>
        </w:rPr>
        <w:softHyphen/>
        <w:t>рилью самолетов в Париж, в ответ на визит Пьер КОТ"а.</w:t>
      </w:r>
    </w:p>
    <w:p w14:paraId="49480A87"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Выписка послана: тов.Ворошилову.</w:t>
      </w:r>
    </w:p>
    <w:p w14:paraId="6BC8C99D"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20 декабря 1933 состоялось заседание ПБ и был оформлен протокол № 151 (23001).</w:t>
      </w:r>
    </w:p>
    <w:p w14:paraId="10EB8473" w14:textId="77777777" w:rsidR="003B3D9F" w:rsidRPr="00C33834" w:rsidRDefault="003B3D9F" w:rsidP="00C33834">
      <w:pPr>
        <w:spacing w:after="0" w:line="240" w:lineRule="auto"/>
        <w:jc w:val="both"/>
        <w:rPr>
          <w:rFonts w:ascii="Times New Roman" w:hAnsi="Times New Roman"/>
          <w:color w:val="0070C0"/>
          <w:sz w:val="16"/>
          <w:szCs w:val="16"/>
        </w:rPr>
      </w:pPr>
    </w:p>
    <w:p w14:paraId="3D820C2D" w14:textId="77777777" w:rsidR="00661CF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119E487" w14:textId="77777777" w:rsidR="00661CFE" w:rsidRPr="00C33834" w:rsidRDefault="00661CF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960E224" w14:textId="77777777" w:rsidR="00661CFE" w:rsidRPr="00C33834" w:rsidRDefault="00661CFE" w:rsidP="00C33834">
      <w:pPr>
        <w:spacing w:after="0" w:line="240" w:lineRule="auto"/>
        <w:jc w:val="both"/>
        <w:rPr>
          <w:rFonts w:ascii="Times New Roman" w:hAnsi="Times New Roman"/>
          <w:color w:val="000000" w:themeColor="text1"/>
          <w:sz w:val="16"/>
          <w:szCs w:val="16"/>
        </w:rPr>
      </w:pPr>
      <w:r w:rsidRPr="00C33834">
        <w:rPr>
          <w:rStyle w:val="ucoz-forum-post"/>
          <w:rFonts w:ascii="Times New Roman" w:hAnsi="Times New Roman"/>
          <w:bCs/>
          <w:color w:val="000000" w:themeColor="text1"/>
          <w:sz w:val="16"/>
          <w:szCs w:val="16"/>
        </w:rPr>
        <w:t xml:space="preserve">10 декабря </w:t>
      </w:r>
      <w:r w:rsidRPr="00C33834">
        <w:rPr>
          <w:rFonts w:ascii="Times New Roman" w:hAnsi="Times New Roman"/>
          <w:color w:val="000000" w:themeColor="text1"/>
          <w:sz w:val="16"/>
          <w:szCs w:val="16"/>
        </w:rPr>
        <w:t>в 1933 году Ивану Бунину первому из русских писателей была вручена Нобелевская премия по литературе "за правдивый артистический талант, с которым он воссоздал в прозе типичный русский характер". В своей речи писатель говорит: «Впервые со времени учреждения Нобелевской премии вы присудили ее изгнаннику...» (14856).</w:t>
      </w:r>
    </w:p>
    <w:p w14:paraId="34D0436A" w14:textId="77777777" w:rsidR="00661CFE" w:rsidRPr="00C33834" w:rsidRDefault="00661CFE" w:rsidP="00C33834">
      <w:pPr>
        <w:spacing w:after="0" w:line="240" w:lineRule="auto"/>
        <w:jc w:val="both"/>
        <w:rPr>
          <w:rFonts w:ascii="Times New Roman" w:hAnsi="Times New Roman"/>
          <w:color w:val="000000" w:themeColor="text1"/>
          <w:sz w:val="16"/>
          <w:szCs w:val="16"/>
        </w:rPr>
      </w:pPr>
    </w:p>
    <w:p w14:paraId="34B70629"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C7425C3"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ED9A5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11 декабря 1933 по 14 января 1934 года в НИИ ВВС проходили гос. испытания трех переоборудованных самолетов Р-5 серийного производства завода № 1</w:t>
      </w:r>
    </w:p>
    <w:p w14:paraId="3EC200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исполнитель:</w:t>
      </w:r>
    </w:p>
    <w:p w14:paraId="33A2B8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Врид начальника 2 отдела 15 сектора НИИ ВВС Воротников</w:t>
      </w:r>
    </w:p>
    <w:p w14:paraId="0484A4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 гл. Инженера вооружения ВВС</w:t>
      </w:r>
    </w:p>
    <w:p w14:paraId="6FB170F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Предъявленные заводом № 1 три переоборудованных самолета Р-5 с убирающимся патронным ящиком турели Тур-8 в задней кабине, с бомбардировочным прицелом ОПБ-1, вынесенным за борт и с бомбардировочным прицелом АП-2, установленным за бортом гос. испытания не выдержали.</w:t>
      </w:r>
    </w:p>
    <w:p w14:paraId="05472F9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16FA4DF7"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Выявить наиболее выгодный вариант размещения оборудования в задней кабине из трех предъявленных на гос. испытания вариантов.</w:t>
      </w:r>
    </w:p>
    <w:p w14:paraId="1B8DAB7D"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Определить надежность и удобство работы с турелью с убирающимся патронным ящиком, а также с прицелами ОПБ-1 и АП-2 на всех самолетах (7397, 3-9).</w:t>
      </w:r>
    </w:p>
    <w:p w14:paraId="24F89B13"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061F8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декабря 1933 г. собрали нервюры крыла дублера И-14, поскольку их дважды переделывали - первый раз при отказе от гофрированной обшивки, второй раз - когда решили установить посадочный щиток. Чертежи на щиток с его приводом поступили к 14 декабря, сборку завершили 13 января следующего - 1934 г.</w:t>
      </w:r>
    </w:p>
    <w:p w14:paraId="798257D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Чертежи на каркас были изъяты из производства по причине перехода на гладкую обшивку, а новые чертежи завод получил лишь 25 ноября 1933 г. Каркас был собран быстро - к 17 декабря, после чего приступили к его обшивке, которую завершили 7 января 1934 г.</w:t>
      </w:r>
    </w:p>
    <w:p w14:paraId="18717C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Консоли крыла были собраны 13 января 1934 г. </w:t>
      </w:r>
    </w:p>
    <w:p w14:paraId="54CD6AE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Центроплан был готов полностью 8 января 1934 г. Оперение собрали раньше - к середине декабря 1933 г., 22 декабря собрали элероны, которые из-за изменения обшивки застряли в производстве на целый месяц.</w:t>
      </w:r>
    </w:p>
    <w:p w14:paraId="678B4D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662728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0750E81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45E39EE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4852FB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327D941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8CE6AAF"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11 де</w:t>
      </w:r>
      <w:r w:rsidRPr="00C33834">
        <w:rPr>
          <w:rFonts w:ascii="Times New Roman" w:hAnsi="Times New Roman"/>
          <w:color w:val="0070C0"/>
          <w:sz w:val="16"/>
          <w:szCs w:val="16"/>
        </w:rPr>
        <w:softHyphen/>
        <w:t>кабря 1933 г. начальник ВВС РККА Я.И. Алкснис в докладе Председателю РВС СССР К.Е. Во</w:t>
      </w:r>
      <w:r w:rsidRPr="00C33834">
        <w:rPr>
          <w:rFonts w:ascii="Times New Roman" w:hAnsi="Times New Roman"/>
          <w:color w:val="0070C0"/>
          <w:sz w:val="16"/>
          <w:szCs w:val="16"/>
        </w:rPr>
        <w:softHyphen/>
        <w:t>рошилову отмечал «возможность перейти к сле</w:t>
      </w:r>
      <w:r w:rsidRPr="00C33834">
        <w:rPr>
          <w:rFonts w:ascii="Times New Roman" w:hAnsi="Times New Roman"/>
          <w:color w:val="0070C0"/>
          <w:sz w:val="16"/>
          <w:szCs w:val="16"/>
        </w:rPr>
        <w:softHyphen/>
        <w:t>дующему этапу в исследовании стратосферы по высоте». Для работ на этом требовалось разработать «объект, рассчитанный на подъём на 25-30 000 метров». Речь шла о стратостате с оболочкой объёмом 250-300 тыс. м3, диаметром 70-80 м и высотой 130-150 м.</w:t>
      </w:r>
    </w:p>
    <w:p w14:paraId="61DF9A82"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Подготавливаемый полёт имел в основном военную направленность:</w:t>
      </w:r>
    </w:p>
    <w:p w14:paraId="5A374C62"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 возможности будут учтены вопросы ряда на</w:t>
      </w:r>
      <w:r w:rsidRPr="00C33834">
        <w:rPr>
          <w:rFonts w:ascii="Times New Roman" w:hAnsi="Times New Roman"/>
          <w:color w:val="0070C0"/>
          <w:sz w:val="16"/>
          <w:szCs w:val="16"/>
        </w:rPr>
        <w:softHyphen/>
        <w:t>учно-исследовательских институтов с тем, чтобы раз</w:t>
      </w:r>
      <w:r w:rsidRPr="00C33834">
        <w:rPr>
          <w:rFonts w:ascii="Times New Roman" w:hAnsi="Times New Roman"/>
          <w:color w:val="0070C0"/>
          <w:sz w:val="16"/>
          <w:szCs w:val="16"/>
        </w:rPr>
        <w:softHyphen/>
        <w:t>решение научных проблем не ставило под сомнение основную задачу — достижения высоты 30 000 мт. с гарантированной фиксацией высоты, давления и температуры внутри и вне кабины и состава воздуха. Радиосвязь с землёй обязательна.</w:t>
      </w:r>
    </w:p>
    <w:p w14:paraId="167A3FAB"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Предполагаемый полёт и работа, связанная с его организацией, имеет целью подготовку к овладению в дальнейшем стратосферою управляемыми аппара</w:t>
      </w:r>
      <w:r w:rsidRPr="00C33834">
        <w:rPr>
          <w:rFonts w:ascii="Times New Roman" w:hAnsi="Times New Roman"/>
          <w:color w:val="0070C0"/>
          <w:sz w:val="16"/>
          <w:szCs w:val="16"/>
        </w:rPr>
        <w:softHyphen/>
        <w:t>тами особого назначения.</w:t>
      </w:r>
    </w:p>
    <w:p w14:paraId="6AE94475"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Я.И. Алкснис запросил 1 млн рублей на орга</w:t>
      </w:r>
      <w:r w:rsidRPr="00C33834">
        <w:rPr>
          <w:rFonts w:ascii="Times New Roman" w:hAnsi="Times New Roman"/>
          <w:color w:val="0070C0"/>
          <w:sz w:val="16"/>
          <w:szCs w:val="16"/>
        </w:rPr>
        <w:softHyphen/>
        <w:t>низацию полёта и постройку стратостата.</w:t>
      </w:r>
    </w:p>
    <w:p w14:paraId="11F42555"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Новый стратостат предполагалось строить с использованием уже оправдавших себя техни</w:t>
      </w:r>
      <w:r w:rsidRPr="00C33834">
        <w:rPr>
          <w:rFonts w:ascii="Times New Roman" w:hAnsi="Times New Roman"/>
          <w:color w:val="0070C0"/>
          <w:sz w:val="16"/>
          <w:szCs w:val="16"/>
        </w:rPr>
        <w:softHyphen/>
        <w:t>ческих решений. Об этом недвусмысленно сказал на Всесоюзной конференции по изучению стра</w:t>
      </w:r>
      <w:r w:rsidRPr="00C33834">
        <w:rPr>
          <w:rFonts w:ascii="Times New Roman" w:hAnsi="Times New Roman"/>
          <w:color w:val="0070C0"/>
          <w:sz w:val="16"/>
          <w:szCs w:val="16"/>
        </w:rPr>
        <w:softHyphen/>
        <w:t>тосферы В.А. Чижевский:</w:t>
      </w:r>
    </w:p>
    <w:p w14:paraId="5E48E5D9"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связи с катастрофой стратостата «Осоавиахим-1» мы получили целый ряд предложений, имею</w:t>
      </w:r>
      <w:r w:rsidRPr="00C33834">
        <w:rPr>
          <w:rFonts w:ascii="Times New Roman" w:hAnsi="Times New Roman"/>
          <w:color w:val="0070C0"/>
          <w:sz w:val="16"/>
          <w:szCs w:val="16"/>
        </w:rPr>
        <w:softHyphen/>
        <w:t>щих в виду обеспечить безопасность полёта. Часть их заслуживает внимания и расчётной и эксперимен</w:t>
      </w:r>
      <w:r w:rsidRPr="00C33834">
        <w:rPr>
          <w:rFonts w:ascii="Times New Roman" w:hAnsi="Times New Roman"/>
          <w:color w:val="0070C0"/>
          <w:sz w:val="16"/>
          <w:szCs w:val="16"/>
        </w:rPr>
        <w:softHyphen/>
        <w:t>тальной проверки. В большинстве своём они сводят</w:t>
      </w:r>
      <w:r w:rsidRPr="00C33834">
        <w:rPr>
          <w:rFonts w:ascii="Times New Roman" w:hAnsi="Times New Roman"/>
          <w:color w:val="0070C0"/>
          <w:sz w:val="16"/>
          <w:szCs w:val="16"/>
        </w:rPr>
        <w:softHyphen/>
        <w:t>ся к устройству парашютов в гондоле, к обращению оболочки стратостата в парашют, к подогреву газа, взятию дополнительных запасов газа в сжатом виде и т. п. Много предложений, касающихся также гондо</w:t>
      </w:r>
      <w:r w:rsidRPr="00C33834">
        <w:rPr>
          <w:rFonts w:ascii="Times New Roman" w:hAnsi="Times New Roman"/>
          <w:color w:val="0070C0"/>
          <w:sz w:val="16"/>
          <w:szCs w:val="16"/>
        </w:rPr>
        <w:softHyphen/>
        <w:t>лы стратостата. Некоторые предлагают делать раскры</w:t>
      </w:r>
      <w:r w:rsidRPr="00C33834">
        <w:rPr>
          <w:rFonts w:ascii="Times New Roman" w:hAnsi="Times New Roman"/>
          <w:color w:val="0070C0"/>
          <w:sz w:val="16"/>
          <w:szCs w:val="16"/>
        </w:rPr>
        <w:softHyphen/>
        <w:t>вающиеся гондолы, чтобы в случае катастрофы пило</w:t>
      </w:r>
      <w:r w:rsidRPr="00C33834">
        <w:rPr>
          <w:rFonts w:ascii="Times New Roman" w:hAnsi="Times New Roman"/>
          <w:color w:val="0070C0"/>
          <w:sz w:val="16"/>
          <w:szCs w:val="16"/>
        </w:rPr>
        <w:softHyphen/>
        <w:t>ты могли спастись на индивидуальных парашютах.</w:t>
      </w:r>
    </w:p>
    <w:p w14:paraId="2DA6A9F9"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Все эти предложения грешат одним недостатком: они увеличивают вес всей системы.</w:t>
      </w:r>
    </w:p>
    <w:p w14:paraId="6DD37DC3"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Я полагаю, что при соблюдении точности расчёта стратостата, при правильном выполнении конструк</w:t>
      </w:r>
      <w:r w:rsidRPr="00C33834">
        <w:rPr>
          <w:rFonts w:ascii="Times New Roman" w:hAnsi="Times New Roman"/>
          <w:color w:val="0070C0"/>
          <w:sz w:val="16"/>
          <w:szCs w:val="16"/>
        </w:rPr>
        <w:softHyphen/>
        <w:t>ции, при достаточном запасе балласта, если преду</w:t>
      </w:r>
      <w:r w:rsidRPr="00C33834">
        <w:rPr>
          <w:rFonts w:ascii="Times New Roman" w:hAnsi="Times New Roman"/>
          <w:color w:val="0070C0"/>
          <w:sz w:val="16"/>
          <w:szCs w:val="16"/>
        </w:rPr>
        <w:softHyphen/>
        <w:t>смотреть все возможные встретиться в полёте неожи</w:t>
      </w:r>
      <w:r w:rsidRPr="00C33834">
        <w:rPr>
          <w:rFonts w:ascii="Times New Roman" w:hAnsi="Times New Roman"/>
          <w:color w:val="0070C0"/>
          <w:sz w:val="16"/>
          <w:szCs w:val="16"/>
        </w:rPr>
        <w:softHyphen/>
        <w:t>данности, полёт имеет все шансы на удачное заверше</w:t>
      </w:r>
      <w:r w:rsidRPr="00C33834">
        <w:rPr>
          <w:rFonts w:ascii="Times New Roman" w:hAnsi="Times New Roman"/>
          <w:color w:val="0070C0"/>
          <w:sz w:val="16"/>
          <w:szCs w:val="16"/>
        </w:rPr>
        <w:softHyphen/>
        <w:t>ние (20120).</w:t>
      </w:r>
    </w:p>
    <w:p w14:paraId="658C868B" w14:textId="77777777" w:rsidR="003B3D9F" w:rsidRPr="00C33834" w:rsidRDefault="003B3D9F" w:rsidP="00C33834">
      <w:pPr>
        <w:spacing w:after="0" w:line="240" w:lineRule="auto"/>
        <w:jc w:val="both"/>
        <w:rPr>
          <w:rFonts w:ascii="Times New Roman" w:hAnsi="Times New Roman"/>
          <w:color w:val="0070C0"/>
          <w:sz w:val="16"/>
          <w:szCs w:val="16"/>
        </w:rPr>
      </w:pPr>
    </w:p>
    <w:p w14:paraId="16A778B9" w14:textId="77777777" w:rsidR="00CE35D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1CF0B6D" w14:textId="77777777" w:rsidR="00CE35D9" w:rsidRPr="00C33834" w:rsidRDefault="00CE35D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EF6339B"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декабря 1933 г. на АНИИ стреляли из 152-мм пушки обр. 1910/1930 г. нарезными снарядами с зарядом 6,0 кг пороха марки 15/7, разработанными в АНИИ.</w:t>
      </w:r>
    </w:p>
    <w:p w14:paraId="7626A76F" w14:textId="77777777" w:rsidR="00CE35D9" w:rsidRPr="00C33834" w:rsidRDefault="00CE35D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Кучность нарезных снарядов оказалась неудовлетворительной. Заряжание нарезными снарядами производилось досыльным способом, то есть с помощью особых приспособлений, что терпимо на НИАПе, но неудобно в полевых условиях. По результатам испытаний конструкторы АНИИ решили увеличить крутизну нарезки для увеличения кучности стрельбы (12705).</w:t>
      </w:r>
    </w:p>
    <w:p w14:paraId="43F23D58" w14:textId="77777777" w:rsidR="00CE35D9" w:rsidRPr="00C33834" w:rsidRDefault="00CE35D9" w:rsidP="00C33834">
      <w:pPr>
        <w:spacing w:after="0" w:line="240" w:lineRule="auto"/>
        <w:jc w:val="both"/>
        <w:rPr>
          <w:rFonts w:ascii="Times New Roman" w:hAnsi="Times New Roman"/>
          <w:color w:val="000000" w:themeColor="text1"/>
          <w:sz w:val="16"/>
          <w:szCs w:val="16"/>
        </w:rPr>
      </w:pPr>
    </w:p>
    <w:p w14:paraId="3F2821B9" w14:textId="77777777" w:rsidR="00661CFE" w:rsidRPr="00C33834" w:rsidRDefault="00661CFE" w:rsidP="00C33834">
      <w:pPr>
        <w:spacing w:after="0" w:line="240" w:lineRule="auto"/>
        <w:jc w:val="both"/>
        <w:rPr>
          <w:rFonts w:ascii="Times New Roman" w:hAnsi="Times New Roman"/>
          <w:bCs/>
          <w:color w:val="000000" w:themeColor="text1"/>
          <w:sz w:val="16"/>
          <w:szCs w:val="16"/>
        </w:rPr>
      </w:pPr>
      <w:r w:rsidRPr="00C33834">
        <w:rPr>
          <w:rFonts w:ascii="Times New Roman" w:hAnsi="Times New Roman"/>
          <w:bCs/>
          <w:color w:val="000000" w:themeColor="text1"/>
          <w:sz w:val="16"/>
          <w:szCs w:val="16"/>
        </w:rPr>
        <w:t>11 декабря 1933 г. велась стрельба из 152-мм пушки обр. 1910/1930 г. нарезными снарядами с зарядом 6,0 кг пороха марки 15/7</w:t>
      </w:r>
    </w:p>
    <w:p w14:paraId="01A29E5D" w14:textId="77777777" w:rsidR="00661CFE" w:rsidRPr="00C33834" w:rsidRDefault="00661CF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1932 г. из 152-мм пушек обр. 1910 и 1910/1930 гг. впервые были произведены стрельбы нарезными снарядами, разработанными в АНИИ. Стволы имели штатную крутизну нарезки (25 калибров).</w:t>
      </w:r>
    </w:p>
    <w:p w14:paraId="56A1F554" w14:textId="77777777" w:rsidR="00661CFE" w:rsidRPr="00C33834" w:rsidRDefault="00661CF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Кучность нарезных снарядов оказалась неудовлетворительной. Заряжание нарезными снарядами производилось досыльным способом, то есть с помощью особых приспособлений, что терпимо на НИАПе, но неудобно в полевых условиях. По результатам испытаний конструкторы АНИИ решили увеличить крутизну нарезки для увеличения кучности стрельбы (15117).</w:t>
      </w:r>
    </w:p>
    <w:p w14:paraId="1E4D836A" w14:textId="77777777" w:rsidR="00661CFE" w:rsidRPr="00C33834" w:rsidRDefault="00661CFE" w:rsidP="00C33834">
      <w:pPr>
        <w:spacing w:after="0" w:line="240" w:lineRule="auto"/>
        <w:jc w:val="both"/>
        <w:rPr>
          <w:rFonts w:ascii="Times New Roman" w:hAnsi="Times New Roman"/>
          <w:color w:val="000000" w:themeColor="text1"/>
          <w:sz w:val="16"/>
          <w:szCs w:val="16"/>
        </w:rPr>
      </w:pPr>
    </w:p>
    <w:p w14:paraId="16051C7B"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11 декабря 1933 опросом членов ПБ</w:t>
      </w:r>
    </w:p>
    <w:p w14:paraId="5D22593F"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60/35,- Вопрос КО,</w:t>
      </w:r>
    </w:p>
    <w:p w14:paraId="09C6B96E"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Утвердить следующее постановление КО:</w:t>
      </w:r>
    </w:p>
    <w:p w14:paraId="27C467E3"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Разрешить НКТП покупку у фирмы "Дуккель" специального оборудования для производства насосов и форсунок к дизелям на сумму в 75.000 р.золотом.</w:t>
      </w:r>
    </w:p>
    <w:p w14:paraId="34D22869"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Санкционировать приглашение главного кон</w:t>
      </w:r>
      <w:r w:rsidRPr="00C33834">
        <w:rPr>
          <w:rFonts w:ascii="Times New Roman" w:hAnsi="Times New Roman"/>
          <w:color w:val="0070C0"/>
          <w:sz w:val="16"/>
          <w:szCs w:val="16"/>
        </w:rPr>
        <w:softHyphen/>
        <w:t>структора насосно-форсуночной фирмы "Дуккель" - инженера Бруннера для техпомощи по производству насосов и форсунок.</w:t>
      </w:r>
    </w:p>
    <w:p w14:paraId="7D651FC7"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Базилевичу, Орджоникидзе, Розенгольцу</w:t>
      </w:r>
    </w:p>
    <w:p w14:paraId="2B811B1E"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20 декабря 1933 состоялось заседание ПБ и был оформлен протокол № 151 (23001).</w:t>
      </w:r>
    </w:p>
    <w:p w14:paraId="12FA1143" w14:textId="77777777" w:rsidR="003B3D9F" w:rsidRPr="00C33834" w:rsidRDefault="003B3D9F" w:rsidP="00C33834">
      <w:pPr>
        <w:spacing w:after="0" w:line="240" w:lineRule="auto"/>
        <w:jc w:val="both"/>
        <w:rPr>
          <w:rFonts w:ascii="Times New Roman" w:hAnsi="Times New Roman"/>
          <w:color w:val="0070C0"/>
          <w:sz w:val="16"/>
          <w:szCs w:val="16"/>
        </w:rPr>
      </w:pPr>
    </w:p>
    <w:p w14:paraId="5859CBE4" w14:textId="77777777" w:rsidR="003B3D9F" w:rsidRPr="00C33834" w:rsidRDefault="003B3D9F"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7EFC59E" w14:textId="77777777" w:rsidR="003B3D9F" w:rsidRPr="00C33834" w:rsidRDefault="003B3D9F"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B6A4B5D"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11 декабря 1933 года — первый полёт дальнего бомбардировщика Bernard 82. /Франция/</w:t>
      </w:r>
    </w:p>
    <w:p w14:paraId="47DA1DFB"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После разработки успешного самолёта для дальних перелётов Bernard 80 GR компания Société des Avions Bernard решила применить этот опыт для проекта дальнего бомбардировщика. Работы над новым самолётом, получившим обозначение Bernard 82, стартовали в начале 1933 года.</w:t>
      </w:r>
    </w:p>
    <w:p w14:paraId="15BCEEF1"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Bernard 82 представлял собой цельнометаллический трёхместный среднеплан с крылом большого удлинения и убираемым (вручную, с помощью лебёдки) шасси. Двигатель Hispano-Suiza 12Ybrs (860 л.с.) позволял развить крейсерскую скорость до 260 км/ч. Боевой радиус — 2800 км. Вооружение — 2 × 7,7-мм пулемёта + 4 × 200-кг и 2 × 100-кг бомб.</w:t>
      </w:r>
    </w:p>
    <w:p w14:paraId="0C275557" w14:textId="77777777" w:rsidR="003B3D9F" w:rsidRPr="00C33834" w:rsidRDefault="003B3D9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Хотя у этого бомбардировщика и была впечатляющая дальность полёта, но его скорость и слабое защитное вооружение делали его легко уязвимым для истребителей. Проект был прекращён. Один из двух построенных прототипов Bernard 82 использовался в качестве летающей лаборатории для тестирования двигателей (22300).</w:t>
      </w:r>
    </w:p>
    <w:p w14:paraId="5C01B083" w14:textId="77777777" w:rsidR="003B3D9F" w:rsidRPr="00C33834" w:rsidRDefault="003B3D9F" w:rsidP="00C33834">
      <w:pPr>
        <w:spacing w:after="0" w:line="240" w:lineRule="auto"/>
        <w:jc w:val="both"/>
        <w:rPr>
          <w:rFonts w:ascii="Times New Roman" w:hAnsi="Times New Roman"/>
          <w:color w:val="0070C0"/>
          <w:sz w:val="16"/>
          <w:szCs w:val="16"/>
        </w:rPr>
      </w:pPr>
    </w:p>
    <w:p w14:paraId="1EB74E07"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939382F"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32D548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декабря 1933 гидросамолет Р-5а N 6763 с М-17 серии ВВ Е=6.0 N 65454 - головного самолета серийного выпуска 1933 был предъявлен и принят на гос. испытания в Севастополе (2264,185).</w:t>
      </w:r>
    </w:p>
    <w:p w14:paraId="1D10261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F922D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C 12 декабря 1933 по 14 января 1934 в Севастополе проходили гос. испытаниям гидросамолета Р-5а N 6763 с М-17 серии ВВ Е=6.0 N 65454 - головного самолета серийного выпуска 1933 (2264,185).</w:t>
      </w:r>
    </w:p>
    <w:p w14:paraId="75F7BFD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Исполнители:</w:t>
      </w:r>
    </w:p>
    <w:p w14:paraId="3C86D1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 8 сектора Тимофеев</w:t>
      </w:r>
    </w:p>
    <w:p w14:paraId="1B1B33E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 Ершов</w:t>
      </w:r>
    </w:p>
    <w:p w14:paraId="7DA3119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летнаб Ивлев (2264,185).</w:t>
      </w:r>
    </w:p>
    <w:p w14:paraId="73E5A9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CAB9FD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12 декабря 1933 г. по 14 января 1934 г. головная машина Р-5а № 6763 прошла Госиспытания в Севастополе. Облетывал ее пилот Ершов. Несмотря на некоторый рост взлетного веса, все показатели улучшились по сравнению с опытным образцом. Немного повысилась скорость, вырос практический потолок, существенно уменьшилось время набора высоты 3000 м.</w:t>
      </w:r>
    </w:p>
    <w:p w14:paraId="6F1F48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Серийные машины имели усиленный каркас передней части фюзеляжа и измененную мотораму. В поплавках размещались банки для аварийного запаса продовольствия и пресной воды. Для того чтобы можно было извлечь самолет из воды краном, на центроплане верхнего крыла сделали скобы, усилили передний лонжерон центроплана и стойки кабана.</w:t>
      </w:r>
    </w:p>
    <w:p w14:paraId="1E22CC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20 марта 1934 г. военную приемку прошли 13 Р-5а. Всего до конца 1935 г. построили 111 самолетов этой модификации (11936).</w:t>
      </w:r>
    </w:p>
    <w:p w14:paraId="380A9A3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9CB17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12 декабря 1933 г. по 14 января 1934 г. в Севастополе проходила государственные испытания головная машина Р-5а № 6763. Облетывал ее пилот Ершов. Несмотря на некоторый рост взлетного веса, все показатели улучшились по сравнению с опытным образцом. Немного повысилась скорость, вырос практический потолок, существенно, на 7 мин, уменьшилось время набора высоты 3000 м. Никаких дефектов в пилотажных характеристиках на испытаниях не выявили. Самолет получил удовлетворительную оценку и был допущен к эксплуатации в строевых частях.</w:t>
      </w:r>
    </w:p>
    <w:p w14:paraId="4F5297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Серийные поплавковые машины имели усиленный каркас передней части фюзеляжа и измененную мотораму. В поплавках размещались банки для аварийного запаса продовольствия и пресной воды. Для того чтобы можно было извлечь самолет из воды краном, на центроплане верхнего крыла сделали скобы, усилили передний лонжерон центроплана и стойки кабана (между центропланом и фюзеляжем).</w:t>
      </w:r>
    </w:p>
    <w:p w14:paraId="2E82FE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На машинах ставился фотоаппарат Поттэ IБ или АФА- 13, радиостанция СКТЭ. К специфически морскому оборудованию относились якорь-кошка, плавучий якорь и надувные спасательные пояса для обоих членов экипажа (12034).</w:t>
      </w:r>
    </w:p>
    <w:p w14:paraId="7273D1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044C5AB"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9601872"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696B9C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декабря 1933 военпред УММ РККА на заводе ДРО докладывал: «ФАИ — ничего не сдано. Сдача 100 штук зависит сейчас от отпуска Правительством машин «Форд-А» под бронировку».</w:t>
      </w:r>
    </w:p>
    <w:p w14:paraId="5F613A5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Ситуация с производством легких бронемашин ФАИ начала выправляться только в 1934 году, когда Выксунский завод ДРО сдал 135 бронемашин (включая 10 штук изготов</w:t>
      </w:r>
      <w:r w:rsidRPr="00C33834">
        <w:rPr>
          <w:rFonts w:ascii="Times New Roman" w:hAnsi="Times New Roman"/>
          <w:color w:val="000000" w:themeColor="text1"/>
          <w:sz w:val="16"/>
          <w:szCs w:val="16"/>
        </w:rPr>
        <w:softHyphen/>
        <w:t>ления 1932 года), из них 115 ФАИ передачи РККА и 20 — главному управлению пограничных войск ОГПУ. Причем с весны 1934 года ФАИ изготавливались на шасси отечест</w:t>
      </w:r>
      <w:r w:rsidRPr="00C33834">
        <w:rPr>
          <w:rFonts w:ascii="Times New Roman" w:hAnsi="Times New Roman"/>
          <w:color w:val="000000" w:themeColor="text1"/>
          <w:sz w:val="16"/>
          <w:szCs w:val="16"/>
        </w:rPr>
        <w:softHyphen/>
        <w:t>венного легкового автомобиля ГАЗ-А, являвшегося анало</w:t>
      </w:r>
      <w:r w:rsidRPr="00C33834">
        <w:rPr>
          <w:rFonts w:ascii="Times New Roman" w:hAnsi="Times New Roman"/>
          <w:color w:val="000000" w:themeColor="text1"/>
          <w:sz w:val="16"/>
          <w:szCs w:val="16"/>
        </w:rPr>
        <w:softHyphen/>
        <w:t>гом «Форда».</w:t>
      </w:r>
    </w:p>
    <w:p w14:paraId="300806E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Пик производства ФАИ пришелся на 1935 год, когда Выксунский завод ДРО сдал 452 бронеавтомобиля (442 для РККА и 10 для ОГПУ). В следующем году Красная Армия получила еще ПО ФАИ, после чего их выпуск был прекра</w:t>
      </w:r>
      <w:r w:rsidRPr="00C33834">
        <w:rPr>
          <w:rFonts w:ascii="Times New Roman" w:hAnsi="Times New Roman"/>
          <w:color w:val="000000" w:themeColor="text1"/>
          <w:sz w:val="16"/>
          <w:szCs w:val="16"/>
        </w:rPr>
        <w:softHyphen/>
        <w:t>щен. Таким образом, за все время производства завод ДРО изготовил 697 бронеавтомобилей ФАИ, из них 667 поступи</w:t>
      </w:r>
      <w:r w:rsidRPr="00C33834">
        <w:rPr>
          <w:rFonts w:ascii="Times New Roman" w:hAnsi="Times New Roman"/>
          <w:color w:val="000000" w:themeColor="text1"/>
          <w:sz w:val="16"/>
          <w:szCs w:val="16"/>
        </w:rPr>
        <w:softHyphen/>
        <w:t>ли в РККА, а 30 в части ОГПУ (11284).</w:t>
      </w:r>
    </w:p>
    <w:p w14:paraId="3EFDA9F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6DCDE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декабря 1933 в море вышел головной торпедный катер типа Г-5 с 2хГМ-34 (один ГМ-34 левого исполнения, другой - правого) завода им. Марти. Государственные испытания на нем завершились в августе 1934 г. Параллельно весь 1933 г. мотор работал на стенде в ЦИАМ. С 1934 г. он выпускался се</w:t>
      </w:r>
      <w:r w:rsidRPr="00C33834">
        <w:rPr>
          <w:rFonts w:ascii="Times New Roman" w:hAnsi="Times New Roman"/>
          <w:color w:val="000000" w:themeColor="text1"/>
          <w:sz w:val="16"/>
          <w:szCs w:val="16"/>
        </w:rPr>
        <w:softHyphen/>
        <w:t>рийно, к 1 июля изготовили 21 ка</w:t>
      </w:r>
      <w:r w:rsidRPr="00C33834">
        <w:rPr>
          <w:rFonts w:ascii="Times New Roman" w:hAnsi="Times New Roman"/>
          <w:color w:val="000000" w:themeColor="text1"/>
          <w:sz w:val="16"/>
          <w:szCs w:val="16"/>
        </w:rPr>
        <w:softHyphen/>
        <w:t>терный двигатель, а к концу года -156. Мощность была та же, что у авиационного М-34, а вес суще</w:t>
      </w:r>
      <w:r w:rsidRPr="00C33834">
        <w:rPr>
          <w:rFonts w:ascii="Times New Roman" w:hAnsi="Times New Roman"/>
          <w:color w:val="000000" w:themeColor="text1"/>
          <w:sz w:val="16"/>
          <w:szCs w:val="16"/>
        </w:rPr>
        <w:softHyphen/>
        <w:t>ственно больше, 864 кг, а с реверс-муфтой и коллекторами - 1000 кг. Катерный вариант совершенство</w:t>
      </w:r>
      <w:r w:rsidRPr="00C33834">
        <w:rPr>
          <w:rFonts w:ascii="Times New Roman" w:hAnsi="Times New Roman"/>
          <w:color w:val="000000" w:themeColor="text1"/>
          <w:sz w:val="16"/>
          <w:szCs w:val="16"/>
        </w:rPr>
        <w:softHyphen/>
        <w:t>вался параллельно с авиационным. Так, ГМ-34Ф имел коренные вклады</w:t>
      </w:r>
      <w:r w:rsidRPr="00C33834">
        <w:rPr>
          <w:rFonts w:ascii="Times New Roman" w:hAnsi="Times New Roman"/>
          <w:color w:val="000000" w:themeColor="text1"/>
          <w:sz w:val="16"/>
          <w:szCs w:val="16"/>
        </w:rPr>
        <w:softHyphen/>
        <w:t>ши из бронзы, коленчатый вал, го</w:t>
      </w:r>
      <w:r w:rsidRPr="00C33834">
        <w:rPr>
          <w:rFonts w:ascii="Times New Roman" w:hAnsi="Times New Roman"/>
          <w:color w:val="000000" w:themeColor="text1"/>
          <w:sz w:val="16"/>
          <w:szCs w:val="16"/>
        </w:rPr>
        <w:softHyphen/>
        <w:t>ловки блоков и часть агрегатов от М-34ФРНВ. Степень сжатия у него равнялась 7,3. Он был на 80 кг тя</w:t>
      </w:r>
      <w:r w:rsidRPr="00C33834">
        <w:rPr>
          <w:rFonts w:ascii="Times New Roman" w:hAnsi="Times New Roman"/>
          <w:color w:val="000000" w:themeColor="text1"/>
          <w:sz w:val="16"/>
          <w:szCs w:val="16"/>
        </w:rPr>
        <w:softHyphen/>
        <w:t>желее ГМ-34, но зато максимально выдавал 1000 л.с. Интересно, что для него предусматривалась работа как на чистом бензине, так и на бензи-но-спиртовой смеси. Но очень сомни</w:t>
      </w:r>
      <w:r w:rsidRPr="00C33834">
        <w:rPr>
          <w:rFonts w:ascii="Times New Roman" w:hAnsi="Times New Roman"/>
          <w:color w:val="000000" w:themeColor="text1"/>
          <w:sz w:val="16"/>
          <w:szCs w:val="16"/>
        </w:rPr>
        <w:softHyphen/>
        <w:t>тельно, чтобы эта смесь использова</w:t>
      </w:r>
      <w:r w:rsidRPr="00C33834">
        <w:rPr>
          <w:rFonts w:ascii="Times New Roman" w:hAnsi="Times New Roman"/>
          <w:color w:val="000000" w:themeColor="text1"/>
          <w:sz w:val="16"/>
          <w:szCs w:val="16"/>
        </w:rPr>
        <w:softHyphen/>
        <w:t>лась для серий-ных двигателей на флотах. Первые два ГМ-34Ф выпус</w:t>
      </w:r>
      <w:r w:rsidRPr="00C33834">
        <w:rPr>
          <w:rFonts w:ascii="Times New Roman" w:hAnsi="Times New Roman"/>
          <w:color w:val="000000" w:themeColor="text1"/>
          <w:sz w:val="16"/>
          <w:szCs w:val="16"/>
        </w:rPr>
        <w:softHyphen/>
        <w:t>тили в 1936 г. С конца 1936 г. работали над форсированием за счет применения наддува. С августа 1939 г. в серию пошел ГМ-34ФН с нагнетателем ФН-25, одним карбюратором К-4 и усо</w:t>
      </w:r>
      <w:r w:rsidRPr="00C33834">
        <w:rPr>
          <w:rFonts w:ascii="Times New Roman" w:hAnsi="Times New Roman"/>
          <w:color w:val="000000" w:themeColor="text1"/>
          <w:sz w:val="16"/>
          <w:szCs w:val="16"/>
        </w:rPr>
        <w:softHyphen/>
        <w:t>вершенствованной маслосистемой. Степень сжатия у него опять понизи</w:t>
      </w:r>
      <w:r w:rsidRPr="00C33834">
        <w:rPr>
          <w:rFonts w:ascii="Times New Roman" w:hAnsi="Times New Roman"/>
          <w:color w:val="000000" w:themeColor="text1"/>
          <w:sz w:val="16"/>
          <w:szCs w:val="16"/>
        </w:rPr>
        <w:softHyphen/>
        <w:t>ли до 6,0, чтобы использовать низ</w:t>
      </w:r>
      <w:r w:rsidRPr="00C33834">
        <w:rPr>
          <w:rFonts w:ascii="Times New Roman" w:hAnsi="Times New Roman"/>
          <w:color w:val="000000" w:themeColor="text1"/>
          <w:sz w:val="16"/>
          <w:szCs w:val="16"/>
        </w:rPr>
        <w:softHyphen/>
        <w:t>кокачественное топливо, но мощ</w:t>
      </w:r>
      <w:r w:rsidRPr="00C33834">
        <w:rPr>
          <w:rFonts w:ascii="Times New Roman" w:hAnsi="Times New Roman"/>
          <w:color w:val="000000" w:themeColor="text1"/>
          <w:sz w:val="16"/>
          <w:szCs w:val="16"/>
        </w:rPr>
        <w:softHyphen/>
        <w:t>ность довели до 1200 л.с. Вес при этом увеличился незначительно - до 1110 кг. Существовал и дефорсированный мотор ГМ-34БП для речных броне</w:t>
      </w:r>
      <w:r w:rsidRPr="00C33834">
        <w:rPr>
          <w:rFonts w:ascii="Times New Roman" w:hAnsi="Times New Roman"/>
          <w:color w:val="000000" w:themeColor="text1"/>
          <w:sz w:val="16"/>
          <w:szCs w:val="16"/>
        </w:rPr>
        <w:softHyphen/>
        <w:t>катеров мощностью 800 л.с. Он тоже выпускался серийно. В войну его сменил ГМ-34БС, развивавший 850 л.с. Эти двигатели ставились на катерах проектов 1124 и 1125, стро</w:t>
      </w:r>
      <w:r w:rsidRPr="00C33834">
        <w:rPr>
          <w:rFonts w:ascii="Times New Roman" w:hAnsi="Times New Roman"/>
          <w:color w:val="000000" w:themeColor="text1"/>
          <w:sz w:val="16"/>
          <w:szCs w:val="16"/>
        </w:rPr>
        <w:softHyphen/>
        <w:t>ившихся до 1944 г. На основе катерного варианта был разработан ГМ-34БТ мощнос</w:t>
      </w:r>
      <w:r w:rsidRPr="00C33834">
        <w:rPr>
          <w:rFonts w:ascii="Times New Roman" w:hAnsi="Times New Roman"/>
          <w:color w:val="000000" w:themeColor="text1"/>
          <w:sz w:val="16"/>
          <w:szCs w:val="16"/>
        </w:rPr>
        <w:softHyphen/>
        <w:t>тью 850 л.с. для танков с изменен</w:t>
      </w:r>
      <w:r w:rsidRPr="00C33834">
        <w:rPr>
          <w:rFonts w:ascii="Times New Roman" w:hAnsi="Times New Roman"/>
          <w:color w:val="000000" w:themeColor="text1"/>
          <w:sz w:val="16"/>
          <w:szCs w:val="16"/>
        </w:rPr>
        <w:softHyphen/>
        <w:t>ной системой охлаждения, вентиля</w:t>
      </w:r>
      <w:r w:rsidRPr="00C33834">
        <w:rPr>
          <w:rFonts w:ascii="Times New Roman" w:hAnsi="Times New Roman"/>
          <w:color w:val="000000" w:themeColor="text1"/>
          <w:sz w:val="16"/>
          <w:szCs w:val="16"/>
        </w:rPr>
        <w:softHyphen/>
        <w:t>тором принудительного обдува. Он имел электростартер вместо пневмопуска. ГМ-34БТ выпустили ма</w:t>
      </w:r>
      <w:r w:rsidRPr="00C33834">
        <w:rPr>
          <w:rFonts w:ascii="Times New Roman" w:hAnsi="Times New Roman"/>
          <w:color w:val="000000" w:themeColor="text1"/>
          <w:sz w:val="16"/>
          <w:szCs w:val="16"/>
        </w:rPr>
        <w:softHyphen/>
        <w:t>лой серией в 1939 г. Такие моторы устанавливались на опытных танках Т-100 и СМК, проходивших войсковые испы</w:t>
      </w:r>
      <w:r w:rsidRPr="00C33834">
        <w:rPr>
          <w:rFonts w:ascii="Times New Roman" w:hAnsi="Times New Roman"/>
          <w:color w:val="000000" w:themeColor="text1"/>
          <w:sz w:val="16"/>
          <w:szCs w:val="16"/>
        </w:rPr>
        <w:softHyphen/>
        <w:t>тания на фронте во время войны с Финляндией зимой 1940 г., а также опытном са</w:t>
      </w:r>
      <w:r w:rsidRPr="00C33834">
        <w:rPr>
          <w:rFonts w:ascii="Times New Roman" w:hAnsi="Times New Roman"/>
          <w:color w:val="000000" w:themeColor="text1"/>
          <w:sz w:val="16"/>
          <w:szCs w:val="16"/>
        </w:rPr>
        <w:softHyphen/>
        <w:t>моходном орудии СУ-100у («Игрек», 1940 г.), применяв</w:t>
      </w:r>
      <w:r w:rsidRPr="00C33834">
        <w:rPr>
          <w:rFonts w:ascii="Times New Roman" w:hAnsi="Times New Roman"/>
          <w:color w:val="000000" w:themeColor="text1"/>
          <w:sz w:val="16"/>
          <w:szCs w:val="16"/>
        </w:rPr>
        <w:softHyphen/>
        <w:t>шемся в боях под Москвой зимой 1941 г. (11848).</w:t>
      </w:r>
    </w:p>
    <w:p w14:paraId="2381161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3893BF"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5788CCBE"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623845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декабря 1933 Фирин утвердил составленное начальником Отдела снабжения Дмитлага М. А. Грейшером «Меню-раскладку премблюда на месяц», включавшее: пирожки с рыбой и картофелем (а также капустой, крупой, тыквой), макароны отварные, запеканку из макарон, кашу из разных круп, котлеты и запеканки из круп, рагу из овощей, винегрет; для приготовления премблюд использовались животные жиры, мясо в этом списке отсутствует (7560).</w:t>
      </w:r>
    </w:p>
    <w:p w14:paraId="0B99E0D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953780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декабря 1933 Санотдел Дмитлага выпустил «Санминимум для барака»: каждому лагернику полагалось не менее 3 кв. метров жилой площади при кубатуре воздуха в среднем не менее 6 куб. метров; температура барака зимой должна была быть не менее 14 градусов Цельсия, а вечером - не менее 18 градусов; для вентиляции полагалось не меньше одной форточки на каждые два окна, для умывания - светлое и отапливаемое помещение с умывальниками «из расчета - 1 сосок на 10 человек» и т. д (7560).</w:t>
      </w:r>
    </w:p>
    <w:p w14:paraId="022FF81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54E2F07" w14:textId="77777777" w:rsidR="00661CF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236EE5C1" w14:textId="77777777" w:rsidR="00661CFE" w:rsidRPr="00C33834" w:rsidRDefault="00661CF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070EF26" w14:textId="77777777" w:rsidR="00661CFE" w:rsidRPr="00C33834" w:rsidRDefault="00661CFE"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 xml:space="preserve">12 декабря </w:t>
      </w:r>
      <w:r w:rsidRPr="00C33834">
        <w:rPr>
          <w:rFonts w:ascii="Times New Roman" w:hAnsi="Times New Roman"/>
          <w:color w:val="000000" w:themeColor="text1"/>
          <w:sz w:val="16"/>
          <w:szCs w:val="16"/>
        </w:rPr>
        <w:t>в 1933 году ЦК ВКП(б) приняло решение "О развертывании борьбы за коллективную безопасность" (14858).</w:t>
      </w:r>
    </w:p>
    <w:p w14:paraId="379371CA" w14:textId="77777777" w:rsidR="00661CFE" w:rsidRPr="00C33834" w:rsidRDefault="00661CFE" w:rsidP="00C33834">
      <w:pPr>
        <w:spacing w:after="0" w:line="240" w:lineRule="auto"/>
        <w:jc w:val="both"/>
        <w:rPr>
          <w:rFonts w:ascii="Times New Roman" w:hAnsi="Times New Roman"/>
          <w:color w:val="000000" w:themeColor="text1"/>
          <w:sz w:val="16"/>
          <w:szCs w:val="16"/>
        </w:rPr>
      </w:pPr>
    </w:p>
    <w:p w14:paraId="2E8120AF"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ACFAC4C"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C11A7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декабря 1933 г. начальник 7-го сектора НИИ ВВС Б.Т.Горощенко подготовил заключение по плану опытного самолетостроения советской авиапромышленности на 1934-1935 гг., в котором задание на проектирование ТБ-7 расценивалось как приоритетное, в недалеком будущем ему предстояло заменить быстро устаревающий ТБ-3. С четырьмя двигателями М-34 ТБ-7 должен был развивать скорость 280-300 км/ч на высоте 5000 м, обладать рабочим потолком 8000 м, нести максимальную бомбовую нагрузку 4000 кг на дальность 4000 км. Срок готовности опытного экземпляра устанавливался весьма сжатый, к его летным испытаниям предстояло приступить не позднее 1 октября 1935 г. Понятно, что в реальности для создания столь крупного и сложного самолета понадобилось значительно больше времени (12025).</w:t>
      </w:r>
    </w:p>
    <w:p w14:paraId="4C5261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F72C99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декабря 1933 состоялся первый полет И-16 с М-22 (228,98).</w:t>
      </w:r>
    </w:p>
    <w:p w14:paraId="41AB41E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20CE5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декабря 1933 закончились официальные заводские испытания И-14 Бристоль-Меркур, которые шли с 6 октября (6 декабря - 2869,23) 1933. выполнили 16 полетов и налетали 11:07. Вед. и был Кравцов, а вл - Попов. На гос. испытания машина попала 2 января 1934 (2267,50).</w:t>
      </w:r>
    </w:p>
    <w:p w14:paraId="23D8FF5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56C81E2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И-14 с БМ обладает отмеченными выше конструктивными недостатками</w:t>
      </w:r>
    </w:p>
    <w:p w14:paraId="563949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Присущие недостатки присущи только данному экземпляру</w:t>
      </w:r>
    </w:p>
    <w:p w14:paraId="6EB67E9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ЛК И-14 - гор. скорость и скороподъемность ставят его в разряд современных скоростных истребителей.</w:t>
      </w:r>
    </w:p>
    <w:p w14:paraId="6A22D19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Самолет И-14 передать на гос. испытания." - Зам. Нач. ОЭЛИД Козлов, Нач. секции летных испытаний - М.Гудков (2267,49).</w:t>
      </w:r>
    </w:p>
    <w:p w14:paraId="54CEDE2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Оценка машины л К.А.Поповым и ви Кравцовым:</w:t>
      </w:r>
    </w:p>
    <w:p w14:paraId="1F2C56C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 самолета - высотный... скоростной, с большой нагрузкой на кв. метр... Наиболее подходящий к пушечному истребителю (типа Z); с маневром, уступающим самолету типа И-5, но для данного типа вполне достаточным... Имеет мощные, с большим запасом рули, причем отсутствует нагрузка на рычаги управления. Это делает самолет строгим, требуя от пилота необходимых, точных движений..." (2869,26).</w:t>
      </w:r>
    </w:p>
    <w:p w14:paraId="0309F2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Достигли рекордной для СССР скорости - 384 км/час и заменили полотняную обшивку крыла металлической (правда гофрированной), исправляли шасси (2869,26).</w:t>
      </w:r>
    </w:p>
    <w:p w14:paraId="2FA41D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высоте недобрали лишь 100 м - 9400 вместо 9500, а взлетно-посадочные характеристики были далеки от заданных. Разбег -120 вместо 40 и пробег 220 вместо 80. Запаздывал с выходом из штопора. Кабина оказалась неудобной, шасси - недоведенным (4020,11).</w:t>
      </w:r>
    </w:p>
    <w:p w14:paraId="4617FB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119EB93" w14:textId="77777777" w:rsidR="00661CFE" w:rsidRPr="00C33834" w:rsidRDefault="00661CF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декабря 1933 заводские испытания И-14 завершились.</w:t>
      </w:r>
    </w:p>
    <w:p w14:paraId="7A6F2557" w14:textId="77777777" w:rsidR="00661CFE" w:rsidRPr="00C33834" w:rsidRDefault="00661CF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Заключении Отчёта по испытаниям И-14 отмечалось: «Лётные качества самолёта И-14 — горизонтальная скорость и скороподъёмность ставят его в разряд современных скоростных истребителей ...Самолет И-14 передать на государственные испытания» (15823).</w:t>
      </w:r>
    </w:p>
    <w:p w14:paraId="14F86AA0" w14:textId="77777777" w:rsidR="00661CFE" w:rsidRPr="00C33834" w:rsidRDefault="00661CFE" w:rsidP="00C33834">
      <w:pPr>
        <w:spacing w:after="0" w:line="240" w:lineRule="auto"/>
        <w:jc w:val="both"/>
        <w:rPr>
          <w:rFonts w:ascii="Times New Roman" w:hAnsi="Times New Roman"/>
          <w:color w:val="000000" w:themeColor="text1"/>
          <w:sz w:val="16"/>
          <w:szCs w:val="16"/>
        </w:rPr>
      </w:pPr>
    </w:p>
    <w:p w14:paraId="191F44E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13-го декабря 1933 Тактико-технические требования (ТТТ) на одноместный истребитель И-17 поступили из НИИ ВВС в Центральное конструкторское бюро.</w:t>
      </w:r>
    </w:p>
    <w:p w14:paraId="5FA253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положения ТТТ на истребитель И-17 были таковы: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F26F01" w:rsidRPr="00C33834" w14:paraId="39A00E38" w14:textId="77777777">
        <w:tc>
          <w:tcPr>
            <w:tcW w:w="4261" w:type="dxa"/>
          </w:tcPr>
          <w:p w14:paraId="717917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 скорость на высоте 5000 м</w:t>
            </w:r>
          </w:p>
        </w:tc>
        <w:tc>
          <w:tcPr>
            <w:tcW w:w="4261" w:type="dxa"/>
          </w:tcPr>
          <w:p w14:paraId="4D90733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425 км/час.</w:t>
            </w:r>
          </w:p>
        </w:tc>
      </w:tr>
      <w:tr w:rsidR="00F26F01" w:rsidRPr="00C33834" w14:paraId="45937133" w14:textId="77777777">
        <w:tc>
          <w:tcPr>
            <w:tcW w:w="4261" w:type="dxa"/>
          </w:tcPr>
          <w:p w14:paraId="4C4E580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 практический</w:t>
            </w:r>
          </w:p>
        </w:tc>
        <w:tc>
          <w:tcPr>
            <w:tcW w:w="4261" w:type="dxa"/>
          </w:tcPr>
          <w:p w14:paraId="7492FA2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10000м</w:t>
            </w:r>
          </w:p>
        </w:tc>
      </w:tr>
      <w:tr w:rsidR="00F26F01" w:rsidRPr="00C33834" w14:paraId="1B03BCBF" w14:textId="77777777">
        <w:tc>
          <w:tcPr>
            <w:tcW w:w="4261" w:type="dxa"/>
          </w:tcPr>
          <w:p w14:paraId="446A92D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набора высоты 5000 м</w:t>
            </w:r>
          </w:p>
        </w:tc>
        <w:tc>
          <w:tcPr>
            <w:tcW w:w="4261" w:type="dxa"/>
          </w:tcPr>
          <w:p w14:paraId="4790D9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 мин.</w:t>
            </w:r>
          </w:p>
        </w:tc>
      </w:tr>
      <w:tr w:rsidR="00F26F01" w:rsidRPr="00C33834" w14:paraId="522E25BF" w14:textId="77777777">
        <w:tc>
          <w:tcPr>
            <w:tcW w:w="4261" w:type="dxa"/>
          </w:tcPr>
          <w:p w14:paraId="796CB8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Посадочная скорость не более</w:t>
            </w:r>
          </w:p>
        </w:tc>
        <w:tc>
          <w:tcPr>
            <w:tcW w:w="4261" w:type="dxa"/>
          </w:tcPr>
          <w:p w14:paraId="5AF709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100-105 км/час.</w:t>
            </w:r>
          </w:p>
        </w:tc>
      </w:tr>
      <w:tr w:rsidR="00F26F01" w:rsidRPr="00C33834" w14:paraId="37E7CE87" w14:textId="77777777">
        <w:tc>
          <w:tcPr>
            <w:tcW w:w="4261" w:type="dxa"/>
          </w:tcPr>
          <w:p w14:paraId="4F6AF3B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Техническая дальность</w:t>
            </w:r>
          </w:p>
        </w:tc>
        <w:tc>
          <w:tcPr>
            <w:tcW w:w="4261" w:type="dxa"/>
          </w:tcPr>
          <w:p w14:paraId="5515945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 км/час. (9630)</w:t>
            </w:r>
          </w:p>
        </w:tc>
      </w:tr>
    </w:tbl>
    <w:p w14:paraId="52EAE8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8E5B5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декабря 1933 г. тактико-технические требования (ТТТ) на одноместный истребитель И-17, утвержденные Алкснисом 9 декабря 1933, поступили из НИИ ВВС в Центральное конструкторское бюро. Основные положения ТТТ к истребителю И-17 были таковы: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F26F01" w:rsidRPr="00C33834" w14:paraId="7FC41365" w14:textId="77777777">
        <w:tc>
          <w:tcPr>
            <w:tcW w:w="5605" w:type="dxa"/>
            <w:tcBorders>
              <w:top w:val="single" w:sz="12" w:space="0" w:color="auto"/>
            </w:tcBorders>
          </w:tcPr>
          <w:p w14:paraId="3F8095D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Максимальная скорость на высоте 5000 м</w:t>
            </w:r>
          </w:p>
        </w:tc>
        <w:tc>
          <w:tcPr>
            <w:tcW w:w="5605" w:type="dxa"/>
            <w:tcBorders>
              <w:top w:val="single" w:sz="12" w:space="0" w:color="auto"/>
            </w:tcBorders>
          </w:tcPr>
          <w:p w14:paraId="43005B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425 км/ч</w:t>
            </w:r>
          </w:p>
        </w:tc>
      </w:tr>
      <w:tr w:rsidR="00F26F01" w:rsidRPr="00C33834" w14:paraId="66C15225" w14:textId="77777777">
        <w:tc>
          <w:tcPr>
            <w:tcW w:w="5605" w:type="dxa"/>
          </w:tcPr>
          <w:p w14:paraId="202903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набора высоты 5000 м</w:t>
            </w:r>
          </w:p>
        </w:tc>
        <w:tc>
          <w:tcPr>
            <w:tcW w:w="5605" w:type="dxa"/>
          </w:tcPr>
          <w:p w14:paraId="606D938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 мин</w:t>
            </w:r>
          </w:p>
        </w:tc>
      </w:tr>
      <w:tr w:rsidR="00F26F01" w:rsidRPr="00C33834" w14:paraId="06F8B614" w14:textId="77777777">
        <w:tc>
          <w:tcPr>
            <w:tcW w:w="5605" w:type="dxa"/>
          </w:tcPr>
          <w:p w14:paraId="217946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 практический</w:t>
            </w:r>
          </w:p>
        </w:tc>
        <w:tc>
          <w:tcPr>
            <w:tcW w:w="5605" w:type="dxa"/>
          </w:tcPr>
          <w:p w14:paraId="449E463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10000 м</w:t>
            </w:r>
          </w:p>
        </w:tc>
      </w:tr>
      <w:tr w:rsidR="00F26F01" w:rsidRPr="00C33834" w14:paraId="11A3AB49" w14:textId="77777777">
        <w:tc>
          <w:tcPr>
            <w:tcW w:w="5605" w:type="dxa"/>
          </w:tcPr>
          <w:p w14:paraId="0E6DC7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Посадочная скорость не более</w:t>
            </w:r>
          </w:p>
        </w:tc>
        <w:tc>
          <w:tcPr>
            <w:tcW w:w="5605" w:type="dxa"/>
          </w:tcPr>
          <w:p w14:paraId="24920A5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100-105 км/ч</w:t>
            </w:r>
          </w:p>
        </w:tc>
      </w:tr>
      <w:tr w:rsidR="00F26F01" w:rsidRPr="00C33834" w14:paraId="45201D39" w14:textId="77777777">
        <w:tc>
          <w:tcPr>
            <w:tcW w:w="5605" w:type="dxa"/>
            <w:tcBorders>
              <w:bottom w:val="single" w:sz="12" w:space="0" w:color="auto"/>
            </w:tcBorders>
          </w:tcPr>
          <w:p w14:paraId="4EEED6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Техническая дальность</w:t>
            </w:r>
          </w:p>
        </w:tc>
        <w:tc>
          <w:tcPr>
            <w:tcW w:w="5605" w:type="dxa"/>
            <w:tcBorders>
              <w:bottom w:val="single" w:sz="12" w:space="0" w:color="auto"/>
            </w:tcBorders>
          </w:tcPr>
          <w:p w14:paraId="3BB260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 км</w:t>
            </w:r>
          </w:p>
        </w:tc>
      </w:tr>
    </w:tbl>
    <w:p w14:paraId="7C0DF81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(12016).</w:t>
      </w:r>
    </w:p>
    <w:p w14:paraId="3EF4334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960BE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декабря 1933 г. завершились заводские испытания истребителя И-14 с мотором Бристоль «Меркур». На этом самолете летчик К.А.Попов достиг максималь</w:t>
      </w:r>
      <w:r w:rsidRPr="00C33834">
        <w:rPr>
          <w:rFonts w:ascii="Times New Roman" w:hAnsi="Times New Roman"/>
          <w:color w:val="000000" w:themeColor="text1"/>
          <w:sz w:val="16"/>
          <w:szCs w:val="16"/>
        </w:rPr>
        <w:softHyphen/>
        <w:t>ной скорости 389 км/ч на высоте 4550 м. Решили развер</w:t>
      </w:r>
      <w:r w:rsidRPr="00C33834">
        <w:rPr>
          <w:rFonts w:ascii="Times New Roman" w:hAnsi="Times New Roman"/>
          <w:color w:val="000000" w:themeColor="text1"/>
          <w:sz w:val="16"/>
          <w:szCs w:val="16"/>
        </w:rPr>
        <w:softHyphen/>
        <w:t>нуть серийную постройку И-14 еще на одном авиационном заводе - № 125 в Иркутске. 3 января 1934 г. начались государственные испытания И-14. Проводив- ший их летчик Т.П.Сузи отметил, что самолет «недоста</w:t>
      </w:r>
      <w:r w:rsidRPr="00C33834">
        <w:rPr>
          <w:rFonts w:ascii="Times New Roman" w:hAnsi="Times New Roman"/>
          <w:color w:val="000000" w:themeColor="text1"/>
          <w:sz w:val="16"/>
          <w:szCs w:val="16"/>
        </w:rPr>
        <w:softHyphen/>
        <w:t>точно прочен, имеет ряд крупных дефектов» (10667).</w:t>
      </w:r>
    </w:p>
    <w:p w14:paraId="4F774B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EA39A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декабря 1933 было подготовлено Краткое состояние опытного самолетостроения на 15/XII-1933 года.</w:t>
      </w:r>
    </w:p>
    <w:p w14:paraId="557AD9A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плану РВС СССР, утвержд. 17/VII-33 г.</w:t>
      </w:r>
    </w:p>
    <w:p w14:paraId="64FBA8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Опытные самолеты.</w:t>
      </w:r>
    </w:p>
    <w:p w14:paraId="256B5E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ТБ4-6М34.</w:t>
      </w:r>
    </w:p>
    <w:p w14:paraId="23269B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по плану РВС - 15/VIII-33 г.</w:t>
      </w:r>
    </w:p>
    <w:p w14:paraId="1B19BD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Сдан на гос. испытания 25/IX-33 г. Испытания проводятся в двух вариантах: с дополнительными кабинами для стрелков на крыльях и без них. - Закончены.</w:t>
      </w:r>
    </w:p>
    <w:p w14:paraId="459A88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ТБ-4М34 Р.Н.</w:t>
      </w:r>
    </w:p>
    <w:p w14:paraId="5483A2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гос. испытаний - 1/Х-34 г.</w:t>
      </w:r>
    </w:p>
    <w:p w14:paraId="5909368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Из-за отсутствия нагнетателей самолет выпущен только с редукторами и сдан на гос. испытания. результаты заводских испытаний показали значительно лучшие данные чем с М-17. Кроме этого, прошел гос. испытания самолет с М-34 без редукторов.</w:t>
      </w:r>
    </w:p>
    <w:p w14:paraId="517D279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МИ3-2М34 Н.</w:t>
      </w:r>
    </w:p>
    <w:p w14:paraId="4964AA3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гос. испытаний был 1/IX-33 г.</w:t>
      </w:r>
    </w:p>
    <w:p w14:paraId="35E1E7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опытный экземпляр потерпел аварию при испытаниях. Второй экземпляр со значительными изменениями по улучшению самолета (переделка хвостового оперения, удлинение фюзеляжа и переделка его в нижней части, установка клапанов "НОРТРОМ", переделка подъемного механизма шасси и пр.), должен выйти на зав. испытания в начале декабря с.г. Самолет выходит без нагнетателя. Готовность в производстве - 97%.</w:t>
      </w:r>
    </w:p>
    <w:p w14:paraId="367DE1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МК-1-6М34РНЮ</w:t>
      </w:r>
    </w:p>
    <w:p w14:paraId="1630543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 Срок гос. испытаний - 1/VIII-34 г.</w:t>
      </w:r>
    </w:p>
    <w:p w14:paraId="571CAD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Гидросамолет в форсированном порядке строится в ЦАГИ. Готовность его выражается в 80%. На заводские испытания должен выйти к марту 1934 г.</w:t>
      </w:r>
    </w:p>
    <w:p w14:paraId="022BC12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Параллельно с чертежами передаются на завод N 22 для подготовки серийного производства. Самолет выйдет с редуктором, но без нагнетателя.</w:t>
      </w:r>
    </w:p>
    <w:p w14:paraId="639EDF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МДР4-3М34РН.</w:t>
      </w:r>
    </w:p>
    <w:p w14:paraId="61003A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 Срок предъявления на гос. испытания 1/V-34 г.</w:t>
      </w:r>
    </w:p>
    <w:p w14:paraId="60CD1C3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Также как и МК1 постройка гидросамолета ведется усиленными темпами. Готовность выражается в 80%. На зав. испытания должен выйти в феврале 1934 г. Параллельно сдаются чертежи на завод N 31 и завод N 125 для подготовки серийного производства. Самолет выйдет с редуктором, но без наддува.</w:t>
      </w:r>
    </w:p>
    <w:p w14:paraId="37C151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Л.Р.-М34Н.</w:t>
      </w:r>
    </w:p>
    <w:p w14:paraId="0E5D0FA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N 39. Срок предъявления на гос. испытания 1/IX-33 г.</w:t>
      </w:r>
    </w:p>
    <w:p w14:paraId="232E195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Опытный экземпляр проходит заводские испытания. В настоящее время находится на доводке по устранению вибраций хвостовой части. Самолет испытывается с мотором без нагнетателя. Для подготовки производства серии чертежи передаются на зав. N 1.</w:t>
      </w:r>
    </w:p>
    <w:p w14:paraId="3A8FD8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ТШ-3-М34.</w:t>
      </w:r>
    </w:p>
    <w:p w14:paraId="3B681C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N 39.</w:t>
      </w:r>
    </w:p>
    <w:p w14:paraId="24254F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находится в процессе постройки и статиспытаний отдельных частей. Готовность выражается в 45%. Проектир. законч. на 95%. Вых. на зав. испыт. в нач..... Задер. служ. отсут. бронев. стали.</w:t>
      </w:r>
    </w:p>
    <w:p w14:paraId="4672F3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И14-Б.М.</w:t>
      </w:r>
    </w:p>
    <w:p w14:paraId="42F3EC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И-14.</w:t>
      </w:r>
    </w:p>
    <w:p w14:paraId="22D6581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p w14:paraId="13FDF8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Находится в процессе проектирования и постройки отдельных частей. Готовность проектирования выражается в 95%. Производства - 25%.</w:t>
      </w:r>
    </w:p>
    <w:p w14:paraId="113C661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И-15 РЦ.</w:t>
      </w:r>
    </w:p>
    <w:p w14:paraId="55247A3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N 39.</w:t>
      </w:r>
    </w:p>
    <w:p w14:paraId="737224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Находится на заводских испытаниях. Предварительные испытания говорят за то, что самолет даст предполагаемые данные.</w:t>
      </w:r>
    </w:p>
    <w:p w14:paraId="7CEAEC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И-15 М58.</w:t>
      </w:r>
    </w:p>
    <w:p w14:paraId="5B90A08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N 39.</w:t>
      </w:r>
    </w:p>
    <w:p w14:paraId="566A75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Отсутствие мотора М-58 заставило строить второй экземпляр с мотором Р.Ц. Готовность его выражается в 90%. Самолет выйдет на испытания - в первых числах января 34 г.</w:t>
      </w:r>
    </w:p>
    <w:p w14:paraId="4D30DD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МБР4 М34.</w:t>
      </w:r>
    </w:p>
    <w:p w14:paraId="66BA53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 и зав. N 39.</w:t>
      </w:r>
    </w:p>
    <w:p w14:paraId="151C4E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Обнаруженные при заводских испытаниях дефекты водомаслосистемы исправлены заводом N 31. Помимо этого, заводом N 39 изготовлен радиатор с увеличенной охлаждающей способностью. В настоящее время самолет прошел предварительные испытания.</w:t>
      </w:r>
    </w:p>
    <w:p w14:paraId="79FE73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Экспериментальные самолеты.</w:t>
      </w:r>
    </w:p>
    <w:p w14:paraId="31A2E8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СК-2 М-32 или М-34.</w:t>
      </w:r>
    </w:p>
    <w:p w14:paraId="51D148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Расчетные данные показали невыгодность установки М-34. Отсутствие М-32 и неясность другого типа мотора создают замедленные темпы в работе. Готовность проектирования выражается в октября производства - в 15%.</w:t>
      </w:r>
    </w:p>
    <w:p w14:paraId="64CF2DE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ВС-2М22.</w:t>
      </w:r>
    </w:p>
    <w:p w14:paraId="7B21BE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ХАЗОС.</w:t>
      </w:r>
    </w:p>
    <w:p w14:paraId="588D9A2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находится в стадии проектирования.</w:t>
      </w:r>
    </w:p>
    <w:p w14:paraId="4B60E89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ДИП 2М34.</w:t>
      </w:r>
    </w:p>
    <w:p w14:paraId="5FC802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p w14:paraId="1707AA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Находится в процессе проектирования и постройке отдельных частей. Готовность проектирования выражается в 70%, производства - 20%.</w:t>
      </w:r>
    </w:p>
    <w:p w14:paraId="1C302E0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Выход на зав. испытания - 1/VI-34 г. Гос. исп. - 1/VII-34 г.</w:t>
      </w:r>
    </w:p>
    <w:p w14:paraId="7F6274D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ДИ-6 ВЦ.</w:t>
      </w:r>
    </w:p>
    <w:p w14:paraId="7F28718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N 39.</w:t>
      </w:r>
    </w:p>
    <w:p w14:paraId="4D9949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Представленный эскизный проект не удовлетворяет потребность ВВС, кот. решено использовать в качестве легкого...</w:t>
      </w:r>
    </w:p>
    <w:p w14:paraId="0CAD2E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Готовность в проектировании выражается в 30%, производство не начато. Окончание проектирования намечено в XII-с.г.</w:t>
      </w:r>
    </w:p>
    <w:p w14:paraId="6AD4E9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К7-7М34.</w:t>
      </w:r>
    </w:p>
    <w:p w14:paraId="050FBF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ХАЗОС.</w:t>
      </w:r>
    </w:p>
    <w:p w14:paraId="482F9B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Заводские испытания проводятся с уменьшенным (29 т.) весом из-за ненадежности колес "Пальмер". Отсутствие удовлетворительных баллонных колес и отсутствие проверенных и испытанных..... советских колес служат задержкой заводских испытаний.</w:t>
      </w:r>
    </w:p>
    <w:p w14:paraId="6564D51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СР-1 М-58.</w:t>
      </w:r>
    </w:p>
    <w:p w14:paraId="685005E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Находится в стадии проектирования. Эскизный проект переработан. Готовность проектирования выражается в 10%.</w:t>
      </w:r>
    </w:p>
    <w:p w14:paraId="60FF8F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Из-за отсутствия мотора М-58 предположено выпустить на гос. испытания самолет с Р.Ц. к 1/Х-34 г.</w:t>
      </w:r>
    </w:p>
    <w:p w14:paraId="473931A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ТБ-6.</w:t>
      </w:r>
    </w:p>
    <w:p w14:paraId="78339DA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p w14:paraId="6F33E7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Ведутся изыскания и исследовательские работы в части применения высокосортных сталей и легкости конструкции. Изготовляется планер для исследовательских работ. Готовность проектирования выражается в 5%. Готовности планера в производстве - 47%.</w:t>
      </w:r>
    </w:p>
    <w:p w14:paraId="3541759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С.С. М11.</w:t>
      </w:r>
    </w:p>
    <w:p w14:paraId="2B4928F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Зав. N 39.</w:t>
      </w:r>
    </w:p>
    <w:p w14:paraId="30B4DF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Опытный экземпляр выполнен в производстве на 30%. Проектирование закончено. Задерживается отсутствием мотора с нагнетателем.</w:t>
      </w:r>
    </w:p>
    <w:p w14:paraId="25E46B9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Л.К. М11.</w:t>
      </w:r>
    </w:p>
    <w:p w14:paraId="470070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N 39.</w:t>
      </w:r>
    </w:p>
    <w:p w14:paraId="76EA8B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выполнено на 70%. Окончание проектирования намечено в XII-с.г. Окончание постройки - 1/IV-34 г.</w:t>
      </w:r>
    </w:p>
    <w:p w14:paraId="1F058C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Р.К. М11.</w:t>
      </w:r>
    </w:p>
    <w:p w14:paraId="32E39A1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N 39.</w:t>
      </w:r>
    </w:p>
    <w:p w14:paraId="609A7E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производстве выполнен на 30%. Проектирование закончен на 60%. Срок выхода на заводские испытания - 1/III-34 г.</w:t>
      </w:r>
    </w:p>
    <w:p w14:paraId="21EC410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Геликоптер.</w:t>
      </w:r>
    </w:p>
    <w:p w14:paraId="7F87FA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p w14:paraId="1E942B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Ведутся экспериментальные работы по усовершенствованию ротора и исследовательские работы по улучшению устойчивости аппарата.</w:t>
      </w:r>
    </w:p>
    <w:p w14:paraId="354DAB9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Автожир-М22.</w:t>
      </w:r>
    </w:p>
    <w:p w14:paraId="7FBCCD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p w14:paraId="092ED9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Заканчивается постройкой и 1/I-34 г. должен выйти на заводские испытания.</w:t>
      </w:r>
    </w:p>
    <w:p w14:paraId="65591DB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У3-М48.</w:t>
      </w:r>
    </w:p>
    <w:p w14:paraId="26D5E8D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N 23.</w:t>
      </w:r>
    </w:p>
    <w:p w14:paraId="775382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Эскизный проект рассмотрен и производится дальнейшее проектирование. Готовность - 10%.</w:t>
      </w:r>
    </w:p>
    <w:p w14:paraId="59BCEA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Самолеты, не значащиеся в плане РВС СССР.</w:t>
      </w:r>
    </w:p>
    <w:p w14:paraId="3F8F2D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И16-М22.</w:t>
      </w:r>
    </w:p>
    <w:p w14:paraId="72D12F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N 39.</w:t>
      </w:r>
    </w:p>
    <w:p w14:paraId="5E0D0E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выхода на заводские испытания - 1/I-34 г. Самолет закончен проектированием и находится в производстве. Основные детали готовы и в настоящее время ведется монтаж. Готовность в производстве - 60%.</w:t>
      </w:r>
    </w:p>
    <w:p w14:paraId="35FD7C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И16 - дублер.</w:t>
      </w:r>
    </w:p>
    <w:p w14:paraId="589A628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N 39.</w:t>
      </w:r>
    </w:p>
    <w:p w14:paraId="35C25FC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Находится в процессе проектирования и заготовки деталей. Готовность проектирования - 35%, в производстве - 10%.</w:t>
      </w:r>
    </w:p>
    <w:p w14:paraId="7CE06E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Л.Р.-М34-дублер.</w:t>
      </w:r>
    </w:p>
    <w:p w14:paraId="48F5E9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Заканчивается сборка. Готовность - 95%. Самолет выйдет на заводские испытания 1/XII-с.г.</w:t>
      </w:r>
    </w:p>
    <w:p w14:paraId="1D165FF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МБР5-М34.</w:t>
      </w:r>
    </w:p>
    <w:p w14:paraId="7E6C7D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Находится в стадии проектирования. Готовность проектирования - 5%. Срок выхода на зав. испытания - ноябрь 1934 г.</w:t>
      </w:r>
    </w:p>
    <w:p w14:paraId="231440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w:t>
      </w:r>
    </w:p>
    <w:p w14:paraId="5B0B69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p w14:paraId="5FDAAC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Улучшенный аэродинамически и облегченный по весу самолет прошел предварительные заводские испытания. Показал улучшенные данные. Внесенные изменения передаются на завод N 22.</w:t>
      </w:r>
    </w:p>
    <w:p w14:paraId="631432D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..12-2М22.</w:t>
      </w:r>
    </w:p>
    <w:p w14:paraId="18EF835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p w14:paraId="378EE9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снят с плана, но ввиду больших затраченных на него работ, предполагается его закончить во вне плановом порядке. Готовность проектирования выражается в 100%, производство - 78%.</w:t>
      </w:r>
    </w:p>
    <w:p w14:paraId="009A79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ХАИ-1-М22.</w:t>
      </w:r>
    </w:p>
    <w:p w14:paraId="413B089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ХАИ.</w:t>
      </w:r>
    </w:p>
    <w:p w14:paraId="10C45BE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Переработка в военный вариант производится группой ХАИ на заводе N 21. Опытный образец намечается на VI-34 г.</w:t>
      </w:r>
    </w:p>
    <w:p w14:paraId="580749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ЦКБ-М49.</w:t>
      </w:r>
    </w:p>
    <w:p w14:paraId="2A95A2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N 39.</w:t>
      </w:r>
    </w:p>
    <w:p w14:paraId="497FCB3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закончено на 30%. Срок окончания проектирования намечается на 1/I-34 г. Из-за отсутствия мотора М-49 предполагается установить М-22.</w:t>
      </w:r>
    </w:p>
    <w:p w14:paraId="46A50B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ЦКБ-М-48.</w:t>
      </w:r>
    </w:p>
    <w:p w14:paraId="44C9325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производстве выполнен на 25%. Проектирование - 95%. Срок выхода на заводские испытания - 15/II-35 г.</w:t>
      </w:r>
    </w:p>
    <w:p w14:paraId="759DEA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ТШ-3-дублер.</w:t>
      </w:r>
    </w:p>
    <w:p w14:paraId="463F225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 39.</w:t>
      </w:r>
    </w:p>
    <w:p w14:paraId="7F1452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Проектированием закончен на 95%, готовность в производстве - 35%. Выход на заводские испытания - 1/VI-34 г.</w:t>
      </w:r>
    </w:p>
    <w:p w14:paraId="49B825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 Модификация в скоростной почтовый. В начальной стадии проектирования.</w:t>
      </w:r>
    </w:p>
    <w:p w14:paraId="387573F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ХАЗОС.</w:t>
      </w:r>
    </w:p>
    <w:p w14:paraId="0CEF038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Пассажирский на 15-20 человек. В начальной стадии проектирования.</w:t>
      </w:r>
    </w:p>
    <w:p w14:paraId="486642D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КАИ-1-2М11.</w:t>
      </w:r>
    </w:p>
    <w:p w14:paraId="161FA0F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КАИ.</w:t>
      </w:r>
    </w:p>
    <w:p w14:paraId="566F735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Пассажирский и в военном варианте учебно-тренировочный для подготовки летсостава на многомоторных самолетах.</w:t>
      </w:r>
    </w:p>
    <w:p w14:paraId="0CA950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выражается в 95%. Производство в начальной стадии. Срок выхода испытания - 1/III-34 г.</w:t>
      </w:r>
    </w:p>
    <w:p w14:paraId="567EAA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МАИ-1.</w:t>
      </w:r>
    </w:p>
    <w:p w14:paraId="5464BE3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МАИ.</w:t>
      </w:r>
    </w:p>
    <w:p w14:paraId="37E190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Электронный, пассажирский на 4 места. Проведены большие экспериментальные работы по технологии и изысканию конструкции из электрона. Разрабатываются чертежи и нач. производ. Срок выхода на испытания - 1/IV-34 г.</w:t>
      </w:r>
    </w:p>
    <w:p w14:paraId="6382C6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МАИ-2.</w:t>
      </w:r>
    </w:p>
    <w:p w14:paraId="2AF65E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нержавеющей стали. Рекордный на скорость и дальность. В производстве детали и узлы. Срок выхода на испытания - 1/III-34 г.</w:t>
      </w:r>
    </w:p>
    <w:p w14:paraId="488CE38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М.Г.-8М34.</w:t>
      </w:r>
    </w:p>
    <w:p w14:paraId="600087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p w14:paraId="0F5870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выполнено на 90%, производство на 58%. Военный вариант проектированием закончен. Срок выхода на испытания - 1/V-34 г.</w:t>
      </w:r>
    </w:p>
    <w:p w14:paraId="4ED96F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Глиссер 6 Г.</w:t>
      </w:r>
    </w:p>
    <w:p w14:paraId="069286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w:t>
      </w:r>
    </w:p>
    <w:p w14:paraId="3E3321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производстве начаты мелкие опытные работы. Готовность -4%.</w:t>
      </w:r>
    </w:p>
    <w:p w14:paraId="4A9BF6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Р.Д.-М34 - 2 экземпляра прошли заводские испытания и сданы экипажу.</w:t>
      </w:r>
    </w:p>
    <w:p w14:paraId="5C4A386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Краткие выводы.</w:t>
      </w:r>
    </w:p>
    <w:p w14:paraId="26636C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Закончены постройкой в 1933 г. (ТБ3-4М34; ТБ3-4М34 Р; ТБ3-4М17 улучшенный; Р.Д.; МИ3-2М34; И14-Б.М.; Л.Р.-М34; И15-Р.Ц.; МБР4-М34; ТБ4-6М34; ХАИ-1; Р.Д. дублер; К-7; А-2; А-4; Геликоптер) - 13 самолетов, 2 автожира и 1 геликоптер.</w:t>
      </w:r>
    </w:p>
    <w:p w14:paraId="4F3C344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Заканчиваются постройкой (Л.Р. - дублер; И15 - дублер; МИ3 - дублер; А-7-М22) - 3 самолета и 1 автожир.</w:t>
      </w:r>
    </w:p>
    <w:p w14:paraId="53AF6D8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Сданы на гос. испытания (ТБ3-4М34; ТБ3-4М34Р; ТБ4-6М34; РД-М34; РД-М34 дубл.; А-4) - 5 самолетов и 1 автожир.</w:t>
      </w:r>
    </w:p>
    <w:p w14:paraId="0C08A7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Находится в постройке и проектировании (МК-1, МДР-4, И14 дубл., М.Г., ДИП, СК, И12, И-16, ТШ-3, ЦКБ-М48, ЦКБ-М49, С.С.-М34, Л.К.-М11, Р.К.-М11, ДИ-6, С.Р., ТБ-6, У3-М48, МБР-5, КАИ-1, МАИ-1, МАИ-2) - 22 самолета.</w:t>
      </w:r>
    </w:p>
    <w:p w14:paraId="43028E3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Внедряется в серийное производство (МК, МДР4, И14, Л.Р., ТБ4-8М34, МИ-3, ХАИ-1, АНТ-14 воен. вар., МБР-2) - 9 самолетов.</w:t>
      </w:r>
    </w:p>
    <w:p w14:paraId="5415B8A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Всех опытных и экспериментальных объектов с дублерами находились в работе - 50 экземпляров (2287,143).</w:t>
      </w:r>
    </w:p>
    <w:p w14:paraId="6059CA1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FABA6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декабря 1933 года Начальник НИИ ВВС утвердил Отчет</w:t>
      </w:r>
    </w:p>
    <w:p w14:paraId="271F99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полигонным (государственным) испытаниям торпеды высокого торпедометания образца 1912 года (ТАВ-12).</w:t>
      </w:r>
    </w:p>
    <w:p w14:paraId="024705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Начато - 24 июня 1933 года</w:t>
      </w:r>
    </w:p>
    <w:p w14:paraId="79B5F2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Окончено - 13 ноября 1933 года.</w:t>
      </w:r>
    </w:p>
    <w:p w14:paraId="5426A8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Краткий результат испытаний.</w:t>
      </w:r>
    </w:p>
    <w:p w14:paraId="6A1628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 ТАВ-12 выдержала.</w:t>
      </w:r>
    </w:p>
    <w:p w14:paraId="6F12A3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 образца.</w:t>
      </w:r>
    </w:p>
    <w:p w14:paraId="390F6D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ТАВ-12 (торпеда авиационная высотная образца 1912 года) (3053).</w:t>
      </w:r>
    </w:p>
    <w:p w14:paraId="1FD97E3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5CB38C0"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04D0FDE"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76683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 декабря 1933 года начальником штаба РККА А.И. Егоровым (будущий Маршал Советского Союза, казнен в 1938 году) был утвержден "Перечень тем для оперативной подготовки начсостава Военно-Химического Управления РККА на 1933-1934 уч.год". Темы вроде бы обычные: оперативная игра "Наступление Ударной армии против пр-ка перешедшего к обороне". Без химии, понятно, не обойтись: "1.Составление плана использования химсредств в течение всей армейской операции. 2.Выявить необходимые химические средства для содействия прорыву. 3.То же - для содействия наступлению на всю глубину армейской операции. 4.То же - для эшелона развития прорыва. 5.Определить количество ОВ, используемых с помощью авиации и отдельно хим.частями". Другая тема вроде как оборонительная: армейская оборона и отход армии на новый рубеж - тоже с химией: применение ОВ авиацией и химчастями для срыва подготовки противника к наступлению (не наступления, а лишь подготовки к нему!), создание полос химзаграждения (т.е. отработка широкомасштабного заражения местности)... Но самое главное не это, а четко прописанные районы будущего применения ОВ: химическое наступление - "Территория ПОЛЬШИ севернее Полесья".</w:t>
      </w:r>
    </w:p>
    <w:p w14:paraId="32D751E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Обороняться при помощи химии должны были тоже не у себя дома: "Территория ПОЛЬШИ южнее Полесья". Если учесть, что тыловая военная игра отрабатывалась лишь к первой теме, то замысел предельно ясен: фактически перед нами план нападения на Польшу с широкомасштабным использованием ОВ. Севернее Полесья - прорыв, южнее - оборона (там практически невозможно было наступать - болота, но обезопасить себя на случай удара во фланг наступающей группировки надо было) (9633).</w:t>
      </w:r>
    </w:p>
    <w:p w14:paraId="096CF5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53999BF" w14:textId="24E1DDCA" w:rsidR="00020DA2" w:rsidRPr="00C33834" w:rsidRDefault="00020DA2" w:rsidP="00C33834">
      <w:pPr>
        <w:autoSpaceDE w:val="0"/>
        <w:autoSpaceDN w:val="0"/>
        <w:adjustRightInd w:val="0"/>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Армия:</w:t>
      </w:r>
    </w:p>
    <w:p w14:paraId="379B40A2" w14:textId="77777777" w:rsidR="00020DA2" w:rsidRPr="00C33834" w:rsidRDefault="00020DA2" w:rsidP="00C33834">
      <w:pPr>
        <w:autoSpaceDE w:val="0"/>
        <w:autoSpaceDN w:val="0"/>
        <w:adjustRightInd w:val="0"/>
        <w:spacing w:after="0" w:line="240" w:lineRule="auto"/>
        <w:jc w:val="both"/>
        <w:rPr>
          <w:rFonts w:ascii="Times New Roman" w:hAnsi="Times New Roman"/>
          <w:i/>
          <w:iCs/>
          <w:color w:val="000000" w:themeColor="text1"/>
          <w:sz w:val="16"/>
          <w:szCs w:val="16"/>
        </w:rPr>
      </w:pPr>
    </w:p>
    <w:p w14:paraId="08064562" w14:textId="77777777" w:rsidR="00020DA2" w:rsidRPr="00C33834" w:rsidRDefault="00020DA2" w:rsidP="00C33834">
      <w:pPr>
        <w:spacing w:after="0" w:line="240" w:lineRule="auto"/>
        <w:jc w:val="both"/>
        <w:rPr>
          <w:rFonts w:ascii="Times New Roman" w:hAnsi="Times New Roman"/>
          <w:color w:val="0070C0"/>
          <w:sz w:val="16"/>
          <w:szCs w:val="16"/>
        </w:rPr>
      </w:pPr>
      <w:r w:rsidRPr="00C33834">
        <w:rPr>
          <w:rFonts w:ascii="Times New Roman" w:eastAsia="Times New Roman" w:hAnsi="Times New Roman"/>
          <w:color w:val="0070C0"/>
          <w:sz w:val="16"/>
          <w:szCs w:val="16"/>
          <w:lang w:eastAsia="ru-RU"/>
        </w:rPr>
        <w:t>Не ранее 13 декабря 1933 был подготовлен Проект доклада Народного Комиссара по Военным и Морским Делам Ворошилова в Комиссию Обороны СССР "О развитии РККА во вторую пятилетку".</w:t>
      </w:r>
    </w:p>
    <w:p w14:paraId="73A08083"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Для определения масштабов строительства РККА и ее мобилизационного развертывания на конец пятилетки, как и прежде, привлекались сведения о масштабе развертывания вооруженных сил соседних государств. Отныне они все именовались "вероятными ближайшими противниками" и были сгруппированы по трем направлениям: Запад (Польша, Румыния, Финляндия, Эстония, Латвия, Литва), Дальний Восток (Япония, Маньчжоу-Го), Ближний и Средний Восток (Персия, Турция, Афганистан). К 1938 г. на первом из них предполагалось развертывание 3,4-миллионной армии с 3 тыс. самолетов и 2,8 тыс. танков. Всего соседними государствами, по оценке Штаба РККА, в 1938 г. могло быть выставлено по мобилизации 6 900 000 человек, 6600 самолетов и 6000 танков (122 стрелковые дивизии, 7 стрелковых бригад, 5 кавалерийских дивизий и 24 кавалерийские бригады) (Проект доклада Народного Комиссара по Военным и Морским Делам Ворошилова в Комиссию Обороны СССР "О развитии РККА во вторую пятилетку", [не ранее 13]. 12.1933 (с визой А И. Егорова от 13.12.1933) // РГВА, Ф. 40442. Оп. 2. Д 32. Л. 103. Десятью годами ранее, но оценке IV Управления Штаба РККА, соседние с СССР страны были способны мобилизовать 6 010 000 человек, 785 танков, 2110 самолетов (доклад IV Управления Штаба РККА "Военная подготовка против СССР и основные вопросы усиления обороны", октябрь 1928 // РГА ВМФ. Ф. Р-1483- Oп. 1. Д. 51. Л. 72-73)). В подсчетах была учтена не только одна танковая рота афганской армии, но и не фигурировавшие ранее в материалах о вероятных противниках шесть стрелковых дивизий Литвы. Особенно внушительно выглядело внесение в список Турции, до 1935-1936 гг. поддерживавшей доверительные военно-политические отношения с СССР. В действительности большая часть танков, отнесенных к силам, которые будут противостоять Красной Армии в 1938 г., была предоставлена Турции СССР (</w:t>
      </w:r>
      <w:bookmarkStart w:id="54" w:name="_Hlk95909848"/>
      <w:r w:rsidRPr="00C33834">
        <w:rPr>
          <w:rFonts w:ascii="Times New Roman" w:eastAsia="Times New Roman" w:hAnsi="Times New Roman"/>
          <w:color w:val="0070C0"/>
          <w:sz w:val="16"/>
          <w:szCs w:val="16"/>
          <w:lang w:eastAsia="ru-RU"/>
        </w:rPr>
        <w:t xml:space="preserve">В 1934 г. Политбюро утвердило поставки Анкаре 63 танков Т-26, 43 бронеавтомобилей, снарядов к ранее проданным тяжелым гаубицам и т. п. (Протокол № 12 заседания Политбюро ЦК ВКП(б), 25 августа 1934 г. (особый), п. 94 // РГА СПИ. Ф. 17. Оп. 162. Д 17. Л. 7, 16; Протокол № 15 заседания Политбюро ЦК ВКП(б), 23 октября 1934 г. (особый), п. 264 // Там же. Л. 62; Протокол № 12 заседания Политбюро ЦК ВКП(б), 13 ноября 1934 г. (особый), п. 77 // Там же. Л. 78). "На Ближнем Востоке, - заявил Ворошилов в январе 1934 г., - у нас обстоит все отлично. Наши отношения с Турецкой республикой самые дружеские" (XVII съезд Всесоюзной Коммунистической партии (б), 26 января - 10 февраля 1934: Стенографический отчет. М., 1934 С. 235). </w:t>
      </w:r>
      <w:bookmarkEnd w:id="54"/>
      <w:r w:rsidRPr="00C33834">
        <w:rPr>
          <w:rFonts w:ascii="Times New Roman" w:eastAsia="Times New Roman" w:hAnsi="Times New Roman"/>
          <w:color w:val="0070C0"/>
          <w:sz w:val="16"/>
          <w:szCs w:val="16"/>
          <w:lang w:eastAsia="ru-RU"/>
        </w:rPr>
        <w:t>На вооруженные силы Турции приходилось не менее 15% расчетной численности "вероятных ближайших противников Красной Армии".).</w:t>
      </w:r>
    </w:p>
    <w:p w14:paraId="6F6F1F78"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Ссылки на вооружения дружественной Турции и Литвы, не имевшей с Советским Союзом общей границы и находившейся под его политическим покровительством (См., в частности: Кокошин А А. Армия и политика: Советская военно-политическая и военно-стратегическая мысль, 1918-1991 годы. М., 1995. С. 95. Сгущая краски в записке Ворошилову 25 февраля 1935 г., Тухачевский тем не менее полагал, что Литва явится союзником СССР и Западный фронт должен предусмотреть операции "по поддержке литовской армии против действий польско-германских частей" (с. 7)), показывают, что при подготовке доклада допускалась нe только произвольно-пессимистическая трактовка существующих межгосударственных отношений, но и отступление oт чисто гeoграфических критериев определения "вероятных ближайших противников". На польско-германской границе официальная стратегическая мысль замирала. Перенесясь через Германию, она возобновляла свой полет: "Кроме того, необходимо учитывать, что непосредственные соседи по западной границе могут получить в первый же период войны с СССР активную поддержку от крупных империалистических государств (Франция, Англия) в виде мотомеханизированных войск и авиацию. В справочных материалах Штаба РККА фигурировали также сведения о Франции и "Англо-индийской армии" (Проект доклада Народного Комиссара по Военным и Морским Делам Ворошилова в Комиссию Обороны СССР "О развитии РККА во вторую пятилетку", [не ранее 13]. 12.1933 // Там же. Л. 135).</w:t>
      </w:r>
    </w:p>
    <w:p w14:paraId="15171E6E"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Направление защиты международного статус-кво от посягательств на него со стороны Германии и других стран, заинтересованных в пересмотре итогов Великой войны, не получила явного выражения не только в первом, но и во втором (датированном 13 декабря 1933 г.) проекте Штаба РККА. В них отсутствовали указания если не на "возникновение второго очага войны" или "германскую угрозу", то по крайней мере на необходимость учесть быстрое восстановление военно-индустриальной мощи Германии</w:t>
      </w:r>
    </w:p>
    <w:p w14:paraId="32F721BA"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"Вторым фактором, определяющим объем развертывания РККА", называлась "необходимость содержания на Дальнем Востоке и по западной границе авиационных и механизированных соединений в штатах, близких к рамкам военного времени", а также "сильных частей прикрытия в виде кадровых дивизий, стрелковых и кавалерийских, в организационном составе также близких к военному времени; частей ПВО и укрепленных районов"42. Эта необходимость "вытекает из характера современной международной обстановки, когда СССР может подвергнуться нападению со стороны вероятных противников без всякого объявления войны". С другой стороны, "основные рода войск, содержащиеся в мирное время в уменьшенном составе как части первого эшелона развертывающейся армии, позволят РККА не только отразить внезапное нападение, но уже в начальный период войны захватить в свои руки инициативу и нанести противнику решительное поражение" (Доклад Начальника Штаба РККА Егорова Народному Комиссару по Военным и Морским Делам Ворошилову "О развитии РККА во вторую пятилетку", 13.12.1933 // Там же. Л. 104).</w:t>
      </w:r>
    </w:p>
    <w:p w14:paraId="4DD5A626"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Из "достигнутых успехов" и "оперативных расчетов", по логике Штаба РККА, вытекали следующие "основные задачи второго пятилетнего плана строительства РККА":</w:t>
      </w:r>
    </w:p>
    <w:p w14:paraId="1853E7E2"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"а) закрепление за СССР первого места в мире по всем решающим видам средств борьбы - авиации, танкам, артиллерии, на базе завершения технической реконструкции и перевооружения всех ее родов войск современной боевой техникой; б) по своему масштабу военного времени Красная Армия должна быть в состоянии вести борьбу с любой коалицией мировых капиталистических держав и нанести армиям этих держав решительный и сокрушительный удар и поражение" (Доклад Начальника Штаба РККА Егорова Народному Комиссару по Военным и Морским Делам Ворошилову "О втором пятилетнем плане развития РККА", 30.03/02.04.1933 //Там же. Л. 2-3.).</w:t>
      </w:r>
    </w:p>
    <w:p w14:paraId="65F3880A"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Для выполнения этой задачи предусматривалось два главных средства: усиление боевых качеств армии мирного времени и наращивание сил развертываемой по мобилизации армии. "В основу строительства армии мирного времени должно быть положено:</w:t>
      </w:r>
    </w:p>
    <w:p w14:paraId="4AB6D7A6"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1. Содержание авиационных и механизированных соединений Дальнего Востока и западной границы в постоянной боеготовности и близко к штатам военного времени.</w:t>
      </w:r>
    </w:p>
    <w:p w14:paraId="637BEA59"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2. Содержание на главнейших направлениях западной границы и Дальнего Востока сильных частей прикрытия в составе: а) кадровых стрелковых дивизий; б) конницы, по составу и организации близкой к военному времени; в) частей ПВО; г) укрепленных районов" (Доклад Начальника Штаба РККА Егорова Народному Комиссару по Военным и Морским Делам Ворошилову "О втором пятилетнем плане развития РККА", 30.03/02.04.1933 //Там же. Л. 34-35.).</w:t>
      </w:r>
    </w:p>
    <w:p w14:paraId="23DA3984"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Штаб РККА предлагал в 1938 г. иметь в армии мирного времени не предусмотренные по мобилизации соединения военно-воздушных сил (16 тяжелых, 10 легкобомбардировочных, 12 штурмовых и 15 истребительных бригад), механизированных и танковых войск (6 механизированных корпусов, 10 отдельных мехбригад, 10 отдельных танковых бригад), стратегической конницы (22 дивизии) и противовоздушной обороны (3 дивизии и 5 бригад). 92 стрелковых соединения мирного времени (25 кадровых и 47 территориальных дивизий и 20 стрелковых дивизий или бригад укрепрайонов) при мобилизации должны были быть дополнены 68 новыми дивизиями. По сравнению с действующим МР-11 число кавалерийских соединений сокращалось на 7 бригад, а количество стрелковых дивизий возрастало со 144 до 164°. Общая численность РККА мирного времени должна была остаться в пределах 850 тыс. человек, т. е. снизиться по сравнению с фактически достигнутой и предусмотренной на начало 1934 г. Личный состав армии военного времени по мобрасписанию № 18 (1938 г.) предлагалось незначительно увеличить по сравнению с MP-15 (1935 г.). Ее состав определялся в 4700 тыс. человек, а формирования первого года войны - в 600 тыс. человек.</w:t>
      </w:r>
    </w:p>
    <w:p w14:paraId="05DD46FC"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lastRenderedPageBreak/>
        <w:t>Главные сдвиги предусматривались в области технических родов войск (по мобрасписанию № 11 выставлялась, например, лишь одна мехбригада), что подкрепляли данные о потребностях РККА по варианту MP-18 (см. табл. 8) (Доклад Начальника Штаба РККА Егорова Народному Комиссару по Военным и Морским Делам Ворошилову "О втором пятилетнем плане развития РККА", 30.03/02.04.1933 //Там же. Л. 42-44.).</w:t>
      </w:r>
    </w:p>
    <w:p w14:paraId="14F8F6B5"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ТАБЛИЦА 8</w:t>
      </w:r>
    </w:p>
    <w:p w14:paraId="2E1D4A55"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Расчет потребностей и заказов НКВМ по мобилизационному расписанию № 18</w:t>
      </w:r>
    </w:p>
    <w:p w14:paraId="34B96AC8"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Номенклатура Наличие на 1 января 1934 г. (с учетом плана заказов 1933 г.) Потребность по варианту № 18 Необходимо заказать за 4 года (1934-1937) (с учетом убыли, амортизации и перевооружения)</w:t>
      </w:r>
    </w:p>
    <w:p w14:paraId="48425492"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Самолеты в строю 4200 7500 6500</w:t>
      </w:r>
    </w:p>
    <w:p w14:paraId="33B33DAE"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 в западных частях в вузах 3800 5000 2500</w:t>
      </w:r>
    </w:p>
    <w:p w14:paraId="7E52117A"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Авиабомбы (тыс. т) 26 125 100</w:t>
      </w:r>
    </w:p>
    <w:p w14:paraId="2D756A49"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Танки всех типов 8300 18 000 18 000</w:t>
      </w:r>
    </w:p>
    <w:p w14:paraId="0C7B3AD4"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в том числе запасных и учебных по MP-18 3000</w:t>
      </w:r>
    </w:p>
    <w:p w14:paraId="6E8C955A"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Автомобили 167 000 200 000 40 000 (остальные 150 тыс. - изъятие из народного хозяйства)</w:t>
      </w:r>
    </w:p>
    <w:p w14:paraId="224AA2B2"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Гусеничные тракторы 1400 15000 5000 (остальные 10 тыс. - изъятие по мобилизации из народного хозяйства)</w:t>
      </w:r>
    </w:p>
    <w:p w14:paraId="24504A07"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Орудия) (без морских) 21 500 50 300 32 800</w:t>
      </w:r>
    </w:p>
    <w:p w14:paraId="3734AD55"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в том числе:</w:t>
      </w:r>
    </w:p>
    <w:p w14:paraId="7AEA77F5"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-мелких калибров 7800 26 400 21500</w:t>
      </w:r>
    </w:p>
    <w:p w14:paraId="1008E94B"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-средних калибров 13400 23 200 10800</w:t>
      </w:r>
    </w:p>
    <w:p w14:paraId="40EA9C51"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 крупных и тяжелых 270 740 500</w:t>
      </w:r>
    </w:p>
    <w:p w14:paraId="037BA081"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Выстрелы всего (без морских) (тыс.) 21 140 44 800 24 300</w:t>
      </w:r>
    </w:p>
    <w:p w14:paraId="38C91682"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Винтовки (тыс.) 2 540 3 200 700</w:t>
      </w:r>
    </w:p>
    <w:p w14:paraId="1571420F"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Пулеметы (тыс.) 171 272 120</w:t>
      </w:r>
    </w:p>
    <w:p w14:paraId="35000235"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Винтпатроны (млн) 2425 5000 3000</w:t>
      </w:r>
    </w:p>
    <w:p w14:paraId="5C616D0A"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Одновременно Штаб представлял проект мобзаявки НКВМ по основной номенклатуре снабжения вооруженного фронта (см. табл. 9)48.</w:t>
      </w:r>
    </w:p>
    <w:p w14:paraId="20A104E8"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2 Планы строительства РККА и мобзаланий промышленности (1938 г.)</w:t>
      </w:r>
    </w:p>
    <w:p w14:paraId="5C45FDD0"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ТАБЛИЦА 9</w:t>
      </w:r>
    </w:p>
    <w:p w14:paraId="042703FC"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Мобилизационная заявка НКВМ на 1938 г. в сравнении с показателями на 1932 и 1933 гг.</w:t>
      </w:r>
    </w:p>
    <w:p w14:paraId="67D091D8"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Номенклатура Лимиты на 1932 г. (подача года войны) Заявка по варианту 1933 г. Потребность года войны по MP-18</w:t>
      </w:r>
    </w:p>
    <w:p w14:paraId="4777E741"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Самолеты 7490 14 500 30 000</w:t>
      </w:r>
    </w:p>
    <w:p w14:paraId="5DEF9602"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Авиа6омбы (тыс. т) 100 200 500</w:t>
      </w:r>
    </w:p>
    <w:p w14:paraId="4B5AAC0F"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Пушки всех типов 19 800 40 000 45 000</w:t>
      </w:r>
    </w:p>
    <w:p w14:paraId="7087936A"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ОРУДИЯ 18022 28615 48 000</w:t>
      </w:r>
    </w:p>
    <w:p w14:paraId="1C2F2CCA"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Выстрелы (млн снарядов) 46.5 84 170</w:t>
      </w:r>
    </w:p>
    <w:p w14:paraId="58D60EC8"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Таким образом, по сравнению с набросками НКВМ весны - начала лета 1932 г. требования военных по заказам мирного времени и подготовке производственных мощностей на военное время существенно снизились в отношении артиллерийских орудий, снарядов и винтпатронов, а в отношении авиации - с 32 до 30 тыс. машин. Заявка на подачу года войны на 1938 г. при этом возрастала по пушкам (с 40 до 45 тыс.) и авиабомбам (с 400 тыс. до 500 тыс. т). Учитывая крайнюю завышенность первоначальных претензий НКВМ па обеспечение вооруженного фронта в 1938 г., происшедший сдвиг в сторону их уменьшения нельзя признать победой реализма. Все основные показатели мобилизационной заявки оказались выше верхнего предела развития мощностей по производству вооружения, исчисленных СО Госплана по первому варианту (т. е. при игнорировании лимитов на капитальные вложения в промышленность). Представленные в докладе Штаба данные были фактически ориентированы на исполнение решений Комиссии обороны (по авиации, танкам, пороху, снарядам и проч.), которые были приняты в период расцвета авантюризма в оборонном и общеэкономическом планировании - во второй половине 1931 и начале 1932 г.</w:t>
      </w:r>
    </w:p>
    <w:p w14:paraId="270200D9"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В финансовом выражении подготовка РККА к мобилизации по варианту № 18 предполагала, согласно проекту Штаба, увеличение расходов по военному ведомству до 25,5 млрд руб. на предстоящие 1934-1937 гг. (т. е. до 6,4 млрд в среднем за год, что на 66% превосходило уровень 1933 г. (4,7 млрд руб.)). При этом уровень годовых расходов на строительство казарм, складов и т. д. снижался, а на оборонительное строительство оставался неизменным ("В основном строительство укрепрайонов в части железобетонных работ, надо считать законченным и по ОКДВА будет закончено в 1933-1934 гг., - констатировал Егоров. - В первые два года пятилетки 1933-й и 1934-й гг. усилия должны быть направлены на приведение укрепрайонов в полную боевую готовность путем полного их вооружения, а также производства всех видов инженерно-полевых работ... проведения планировочных работ, постройки передовых позиций и постановки на главнейших направлениях сильной сети проволочных заграждений" (То же. Л. 31 а)). Среднегодовые ассигнования на содержание армии увеличивались менее чем на 9%. Общий рост, таким образом, вызывался преимущественно заказами на новые вооружения, на что адресовалась половина ассигнований (13,2 млрд руб. за четыре года). В среднегодовом исчислении расходы на новую технику возрастали на 57% но сравнению с последним (и самым затратным) годом первой пятилетки (Подсчитано по: То же. Л. 44-45).</w:t>
      </w:r>
    </w:p>
    <w:p w14:paraId="12E757C8" w14:textId="77777777" w:rsidR="00020DA2" w:rsidRPr="00C33834" w:rsidRDefault="00020DA2"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Декабрьский вариант Штаба РККА мог исполнятъ роль лишь предварительного баланса. В сопровождающем докладе Штаба проекте постановления Комиссии обороны военное ведомство просило только об издании общей директивы: "В соответствии с указанным объемом НКВМ осуществлять развитие вооруженных сил в период 1934-1938 гг." (Постановление Комиссии Обороны Союза ССР (проект), [не ранее 13]. 12.1933 // РГВА. Ф. 40442. Оп. 2. Д. 32. Л. 139). Как именно реагировало на эту просьбу высшее политическое руководство, сказать трудно; постановления КО относительно нового плана развития вооруженных сил неизвестны. Рассмотренный выше полуторагодовой процеcc его подготовки, по всей вероятности, совпадает с алгоритмом, описанным Н. Г. Кузнецовым (применительно к другой среднесрочной оборонной программе): "Так или иначе, первый вариант программы Наркомат обороны представил правительству... Внесли изменения, которые были предложены, снова доложили, получили добро" и приступили к делу, не дожидаясь уточнения деталей" (КУЗНЕЦОВ Н. Г. Накануне. М., 1966. С. 257) (22725).</w:t>
      </w:r>
    </w:p>
    <w:p w14:paraId="501F4A0E" w14:textId="77777777" w:rsidR="00020DA2" w:rsidRPr="00C33834" w:rsidRDefault="00020DA2" w:rsidP="00C33834">
      <w:pPr>
        <w:spacing w:after="0" w:line="240" w:lineRule="auto"/>
        <w:jc w:val="both"/>
        <w:rPr>
          <w:rFonts w:ascii="Times New Roman" w:hAnsi="Times New Roman"/>
          <w:color w:val="0070C0"/>
          <w:sz w:val="16"/>
          <w:szCs w:val="16"/>
        </w:rPr>
      </w:pPr>
    </w:p>
    <w:p w14:paraId="313D0663" w14:textId="77777777" w:rsidR="00EA41E4" w:rsidRPr="00C33834" w:rsidRDefault="00EA41E4"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D2ACF32" w14:textId="77777777" w:rsidR="00EA41E4" w:rsidRPr="00C33834" w:rsidRDefault="00EA41E4"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4B432EC" w14:textId="77777777" w:rsidR="007F05D7" w:rsidRPr="00C33834" w:rsidRDefault="007F05D7"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13 декабря 1933 президент Франклин Д. Рузвельт делает пилота Northwest Airways Мэла Фрибурга первым обладателем Почетной медали авиапочты (20802).</w:t>
      </w:r>
    </w:p>
    <w:p w14:paraId="501266D1" w14:textId="77777777" w:rsidR="007F05D7" w:rsidRPr="00C33834" w:rsidRDefault="007F05D7" w:rsidP="00C33834">
      <w:pPr>
        <w:spacing w:after="0" w:line="240" w:lineRule="auto"/>
        <w:jc w:val="both"/>
        <w:rPr>
          <w:rFonts w:ascii="Times New Roman" w:hAnsi="Times New Roman"/>
          <w:color w:val="0070C0"/>
          <w:sz w:val="16"/>
          <w:szCs w:val="16"/>
        </w:rPr>
      </w:pPr>
    </w:p>
    <w:p w14:paraId="340AD57A" w14:textId="1DCC09A8"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EAC68A3"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736FB5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декабря 1933 года был утвержден пом. нач. ГУАП как временный.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F26F01" w:rsidRPr="00C33834" w14:paraId="64DEB8D2" w14:textId="77777777">
        <w:tc>
          <w:tcPr>
            <w:tcW w:w="3757" w:type="dxa"/>
          </w:tcPr>
          <w:p w14:paraId="73555FC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НКТП</w:t>
            </w:r>
          </w:p>
        </w:tc>
        <w:tc>
          <w:tcPr>
            <w:tcW w:w="3757" w:type="dxa"/>
          </w:tcPr>
          <w:p w14:paraId="2D47EBA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Глававиапром</w:t>
            </w:r>
          </w:p>
        </w:tc>
        <w:tc>
          <w:tcPr>
            <w:tcW w:w="3757" w:type="dxa"/>
          </w:tcPr>
          <w:p w14:paraId="3B2711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Объединенное бюро стандартизации (ОБСА)</w:t>
            </w:r>
          </w:p>
        </w:tc>
      </w:tr>
      <w:tr w:rsidR="00F26F01" w:rsidRPr="00C33834" w14:paraId="33997D4A" w14:textId="77777777">
        <w:tc>
          <w:tcPr>
            <w:tcW w:w="3757" w:type="dxa"/>
          </w:tcPr>
          <w:p w14:paraId="4F65445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Авиационный стандарт</w:t>
            </w:r>
          </w:p>
        </w:tc>
        <w:tc>
          <w:tcPr>
            <w:tcW w:w="3757" w:type="dxa"/>
          </w:tcPr>
          <w:p w14:paraId="7AFC18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3440C3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69 СТУ</w:t>
            </w:r>
          </w:p>
        </w:tc>
      </w:tr>
      <w:tr w:rsidR="00F26F01" w:rsidRPr="00C33834" w14:paraId="14CC1392" w14:textId="77777777">
        <w:tc>
          <w:tcPr>
            <w:tcW w:w="3757" w:type="dxa"/>
          </w:tcPr>
          <w:p w14:paraId="22684DA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У-2 (санитарн.)</w:t>
            </w:r>
          </w:p>
        </w:tc>
        <w:tc>
          <w:tcPr>
            <w:tcW w:w="3757" w:type="dxa"/>
          </w:tcPr>
          <w:p w14:paraId="167814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17BEFB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w:t>
            </w:r>
          </w:p>
        </w:tc>
      </w:tr>
      <w:tr w:rsidR="00F26F01" w:rsidRPr="00C33834" w14:paraId="28D6BFD6" w14:textId="77777777">
        <w:tc>
          <w:tcPr>
            <w:tcW w:w="3757" w:type="dxa"/>
          </w:tcPr>
          <w:p w14:paraId="74178B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w:t>
            </w:r>
          </w:p>
        </w:tc>
        <w:tc>
          <w:tcPr>
            <w:tcW w:w="3757" w:type="dxa"/>
          </w:tcPr>
          <w:p w14:paraId="4648CD5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71FA42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1-е издание (2100)</w:t>
            </w:r>
          </w:p>
        </w:tc>
      </w:tr>
    </w:tbl>
    <w:p w14:paraId="518A2E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D1BB3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декабря 1933 ЦАГИ заключил договор с заводом 125 им. И.В.С. (Иркутск) о передаче ему серийных чертежей И-14 (3110,22).</w:t>
      </w:r>
    </w:p>
    <w:p w14:paraId="6AC8901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B4CD4EB"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D90F9F0"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DD139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14 декабря 1933 г. по 19.февраля 1934 г. на НИАП из подрессоренной 76-мм пушки обр. 1930 г., разработанной на Мотовихихинском заводе под руководством Сидоренко, сделали 478 выстрелов. Дульный тормоз позволил сделать часть выстрелов новыми опытными утяжеленными снарядами весом 7,1 кг. Начальная скорость 673,4 м/с, дальность 13400 м. В ходе испытаний пружины иногда лопались, но система могла ходить длительное время со скоростью 25-30 км за танком Т-26. Тем не менее на 1934 год пушка Сидоренко была анахронизмом и дорабатывать ее не стали. Всего в 1933 году завод № 92 изготовил 10 пушек обр. 1930 года как подрессоренных, так и не подрессоренных (3861).</w:t>
      </w:r>
    </w:p>
    <w:p w14:paraId="5E92821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594CB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 14 декабря 1933 г. по 19 февраля 1934 г. из модернизированной 76-мм пушки обр. 1902/30 г. длиной в 40 калибров с подрессориванием на НИАПе сделали 478 выстрелов. Дульный тормоз позволил сделать часть выстрелов новыми опытными утяжеленными снарядами весом 7,1 кг. Начальная скорость 673,4 м/с, дальность 13400 м. В ходе испытаний пружины иногда лопались, но система могла ходить длительное время со скоростью 25-30 км за танком-тягачом на базе Т-26. Тем не </w:t>
      </w:r>
      <w:r w:rsidRPr="00C33834">
        <w:rPr>
          <w:rFonts w:ascii="Times New Roman" w:hAnsi="Times New Roman"/>
          <w:color w:val="000000" w:themeColor="text1"/>
          <w:sz w:val="16"/>
          <w:szCs w:val="16"/>
        </w:rPr>
        <w:lastRenderedPageBreak/>
        <w:t>менее, на 1934 г. пушка Сидоренко была анахронизмом и дорабатывать ее не стали. Всего в 1933 г. завод № 92 изготовил 10 пушек обр. 1930 г. как подрессоренных, так и не подрессоренных (5746, 44).</w:t>
      </w:r>
    </w:p>
    <w:p w14:paraId="285FFF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55468E1"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14 декабря 1933 опросом членов ПБ</w:t>
      </w:r>
    </w:p>
    <w:p w14:paraId="42486F28"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68/43.- О моторах.</w:t>
      </w:r>
    </w:p>
    <w:p w14:paraId="6FDD2F44"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1.Заказать в Италии 50 морских моторов типа "АСС0-1000" фирмы "Изотта-Фраскини" для торпедных катеров с необходимым комплектом запасных частей.</w:t>
      </w:r>
    </w:p>
    <w:p w14:paraId="136B2676"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Приобрести в Италии у фирмы "Гарелли” 50 мотоксмпрессоров авиационного типа.</w:t>
      </w:r>
    </w:p>
    <w:p w14:paraId="10AF3FEE"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3.Обязать тов.Розенгольца и т.Орлова в те</w:t>
      </w:r>
      <w:r w:rsidRPr="00C33834">
        <w:rPr>
          <w:rFonts w:ascii="Times New Roman" w:hAnsi="Times New Roman"/>
          <w:color w:val="0070C0"/>
          <w:sz w:val="16"/>
          <w:szCs w:val="16"/>
        </w:rPr>
        <w:softHyphen/>
        <w:t>чении десяти дней разместить эти заказы.</w:t>
      </w:r>
    </w:p>
    <w:p w14:paraId="2E3456BE"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Базилевичу, Розенгольцу, Ворошилову, Орлову.</w:t>
      </w:r>
    </w:p>
    <w:p w14:paraId="28F0833A"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20 декабря 1933 состоялось заседание ПБ и был оформлен протокол № 151 (23001).</w:t>
      </w:r>
    </w:p>
    <w:p w14:paraId="2DE7177F" w14:textId="77777777" w:rsidR="0009760C" w:rsidRPr="00C33834" w:rsidRDefault="0009760C" w:rsidP="00C33834">
      <w:pPr>
        <w:spacing w:after="0" w:line="240" w:lineRule="auto"/>
        <w:jc w:val="both"/>
        <w:rPr>
          <w:rFonts w:ascii="Times New Roman" w:hAnsi="Times New Roman"/>
          <w:color w:val="0070C0"/>
          <w:sz w:val="16"/>
          <w:szCs w:val="16"/>
        </w:rPr>
      </w:pPr>
    </w:p>
    <w:p w14:paraId="05D387F2"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1F131280"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9B98C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декабря 1933 приказом по МВС № 159 в его составе образовывалась Отделение фото-кинослужбы (начальник - С. Ф. Болдырев), при отделениях строительства - фотопосты, все имевшиеся при отделах Управления Строительства фотоматериалы, оборудование и штаты передавались Центральной фотографической лаборатории (7560).</w:t>
      </w:r>
    </w:p>
    <w:p w14:paraId="1E442FE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8EDC326" w14:textId="77777777" w:rsidR="00035F40"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14645EAD" w14:textId="77777777" w:rsidR="00035F40" w:rsidRPr="00C33834" w:rsidRDefault="00035F40"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990CC77"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 декабря 1933 г. Телеграмма временного поверенного в делах СССР в США Б. Е. Сквирского в Наркомат иностранных дел СССР о создании советского торгпредства в Вашингтоне.</w:t>
      </w:r>
    </w:p>
    <w:p w14:paraId="7300E537"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Снова встретился с Филлипсом и обсудил с ним вопрос о торгпредстве. Я заявил ему, что задержка его ответа тормозит всю торговую работу. Он ответил, что он не имеет еще указаний президента и что он поговорит с последним в ближайшие дни, после чего даст ответ. Следует переговорить также с Буллитом12. </w:t>
      </w:r>
    </w:p>
    <w:p w14:paraId="04667615"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Сквирский </w:t>
      </w:r>
    </w:p>
    <w:p w14:paraId="69CCA3EC"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Документы внешней политики СССР. М. 1970. Т. XVI. С. 747 (12152). </w:t>
      </w:r>
    </w:p>
    <w:p w14:paraId="6AB97996" w14:textId="77777777" w:rsidR="00035F40" w:rsidRPr="00C33834" w:rsidRDefault="00035F40" w:rsidP="00C33834">
      <w:pPr>
        <w:spacing w:after="0" w:line="240" w:lineRule="auto"/>
        <w:jc w:val="both"/>
        <w:rPr>
          <w:rFonts w:ascii="Times New Roman" w:hAnsi="Times New Roman"/>
          <w:color w:val="000000" w:themeColor="text1"/>
          <w:sz w:val="16"/>
          <w:szCs w:val="16"/>
        </w:rPr>
      </w:pPr>
    </w:p>
    <w:p w14:paraId="687A5C10"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92AB338"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62A4A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15 по 25 декабря 1933 в Харькове работала специальная техническая комиссия, рассматривающая аварию К-7 К.А.К. (70,246).</w:t>
      </w:r>
    </w:p>
    <w:p w14:paraId="0F7064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5DDB2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декабря 1933 вышло постановление СТО N 130сс/о "О закупке и постановке на производство моторов РЦ и ИС" (50 РЦ, в т.ч. 15 готовых, 35 комплектов и агрегатов и 150 ИС и 150 комплектов деталей и агрегатов)" (2282,74).</w:t>
      </w:r>
    </w:p>
    <w:p w14:paraId="050F9B4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2C5E8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декабря 1933 г. Постановление Совета труда и обороны предписывало новому за</w:t>
      </w:r>
      <w:r w:rsidRPr="00C33834">
        <w:rPr>
          <w:rFonts w:ascii="Times New Roman" w:hAnsi="Times New Roman"/>
          <w:color w:val="000000" w:themeColor="text1"/>
          <w:sz w:val="16"/>
          <w:szCs w:val="16"/>
        </w:rPr>
        <w:softHyphen/>
        <w:t>воду № 19 в Перми, выделенному для освоения производства американских моторов, к концу 1934 г. собрать первые 50 моторов из покупных деталей. Но «Циклон» уже не являлся новинкой. Осознавая это, Совет труда и обороны в марте 1934 г. распорядился организовать на заводе конструкторский отдел, который занялся бы совершенствованием американского двигателя в отношении мощности, высотности, надежности и уменьшения расхода горючего и масла. Главным конструктором завода № 19 назначили А.Д. Швецова (11852).</w:t>
      </w:r>
    </w:p>
    <w:p w14:paraId="3D684B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518045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декабря 1933 Комитет обороны потребовал ускорить переговоры, ссылаясь на срочную нужду в современных двигателях, особенно для истребителей. Во Францию командировали комиссию, председателем которой назначили В.Я. Климова. Члены комиссии изучили двигатель и потребовали от фирмы подтвердить заявленные характеристики длительными 100-часовыми испыта</w:t>
      </w:r>
      <w:r w:rsidRPr="00C33834">
        <w:rPr>
          <w:rFonts w:ascii="Times New Roman" w:hAnsi="Times New Roman"/>
          <w:color w:val="000000" w:themeColor="text1"/>
          <w:sz w:val="16"/>
          <w:szCs w:val="16"/>
        </w:rPr>
        <w:softHyphen/>
        <w:t>ниями. Представители «Испано-Сюизы» согласились на это неохотно. Они вы</w:t>
      </w:r>
      <w:r w:rsidRPr="00C33834">
        <w:rPr>
          <w:rFonts w:ascii="Times New Roman" w:hAnsi="Times New Roman"/>
          <w:color w:val="000000" w:themeColor="text1"/>
          <w:sz w:val="16"/>
          <w:szCs w:val="16"/>
        </w:rPr>
        <w:softHyphen/>
        <w:t>брали один двигатель типа 12УЬгз из партии в 20 моторов, изготовленных в соответствии с требованиями французских ВВС. Испытания начались в январе 1934 г. На 11-м часу у мотора разрушился по кривошипной шейке коленчатый вал. Затем встретились с возникновением трещин в рубашке блока. Фирма начала поспешно доводить двигатель. Ввели противовесы на щеках коленвала, усилили крышки шатунов, блоки и картер, увеличили диаметр вала редуктора. Часть этих усовершенствований была прорабо</w:t>
      </w:r>
      <w:r w:rsidRPr="00C33834">
        <w:rPr>
          <w:rFonts w:ascii="Times New Roman" w:hAnsi="Times New Roman"/>
          <w:color w:val="000000" w:themeColor="text1"/>
          <w:sz w:val="16"/>
          <w:szCs w:val="16"/>
        </w:rPr>
        <w:softHyphen/>
        <w:t>тана ранее применительно к образцам для лицензионного производства в Чехословакии. Вес при этом возрос до 475 кг. В таком виде двигатель вновь поставили на испытательный стенд. На этот раз они шли более удачно, хотя длительная работа на максимальной мощности неизбежно приводила к неполадкам. Испытания завершились в марте 1934 г. Из Москвы торопили с приобретением лицензии. Начальник УВВС коман</w:t>
      </w:r>
      <w:r w:rsidRPr="00C33834">
        <w:rPr>
          <w:rFonts w:ascii="Times New Roman" w:hAnsi="Times New Roman"/>
          <w:color w:val="000000" w:themeColor="text1"/>
          <w:sz w:val="16"/>
          <w:szCs w:val="16"/>
        </w:rPr>
        <w:softHyphen/>
        <w:t>дарм Я.И. Алкснис требовал заключить договор еще до окончания испытаний. 24 января 1934 г. оформили первый заказ на восемь стандартных моторов без внесения последних изменений. Два из них отгрузили из Франции 28 января, а еще шесть — 27 февраля. Из числа купленных шесть моторов были типа 12УЪг§ и два — 12Усгз (под 20-мм пушку Испано 89). В итоге входивший в комиссию военинженер М.А. Левин предложил взять мотор в первоначальном виде, но ограничить его мощность номи</w:t>
      </w:r>
      <w:r w:rsidRPr="00C33834">
        <w:rPr>
          <w:rFonts w:ascii="Times New Roman" w:hAnsi="Times New Roman"/>
          <w:color w:val="000000" w:themeColor="text1"/>
          <w:sz w:val="16"/>
          <w:szCs w:val="16"/>
        </w:rPr>
        <w:softHyphen/>
        <w:t>налом — 750 л.с. Даже при этом он превосходил по удельной мощности и высотным характеристикам все двигатели советского производства. По</w:t>
      </w:r>
      <w:r w:rsidRPr="00C33834">
        <w:rPr>
          <w:rFonts w:ascii="Times New Roman" w:hAnsi="Times New Roman"/>
          <w:color w:val="000000" w:themeColor="text1"/>
          <w:sz w:val="16"/>
          <w:szCs w:val="16"/>
        </w:rPr>
        <w:softHyphen/>
        <w:t>вторные испытания показали, что в этом случае ресурс «Испано-Сюизы» достаточно велик. 14 июня 1934 г. наконец-то подписали соглашение с фир</w:t>
      </w:r>
      <w:r w:rsidRPr="00C33834">
        <w:rPr>
          <w:rFonts w:ascii="Times New Roman" w:hAnsi="Times New Roman"/>
          <w:color w:val="000000" w:themeColor="text1"/>
          <w:sz w:val="16"/>
          <w:szCs w:val="16"/>
        </w:rPr>
        <w:softHyphen/>
        <w:t>мой о помощи в организации производства в СССР. Им предусматривалось, что она предоставит документацию, образцы двигателей, ознакомит совет</w:t>
      </w:r>
      <w:r w:rsidRPr="00C33834">
        <w:rPr>
          <w:rFonts w:ascii="Times New Roman" w:hAnsi="Times New Roman"/>
          <w:color w:val="000000" w:themeColor="text1"/>
          <w:sz w:val="16"/>
          <w:szCs w:val="16"/>
        </w:rPr>
        <w:softHyphen/>
        <w:t>ских специалистов с применяемой технологией. Срок договора заканчивался 26 марта 1938 г. До этого времени фирма должна была сообщать советской стороне обо всех изменениях, вносимых в серийные двигатели. Освоение производства французского мотора, получившего советское обозначение М-100, планировали сначала на заводе № 24 в Москве, а затем перенесли на завод № 26 в Рыбинске, где до этого изготовляли дви</w:t>
      </w:r>
      <w:r w:rsidRPr="00C33834">
        <w:rPr>
          <w:rFonts w:ascii="Times New Roman" w:hAnsi="Times New Roman"/>
          <w:color w:val="000000" w:themeColor="text1"/>
          <w:sz w:val="16"/>
          <w:szCs w:val="16"/>
        </w:rPr>
        <w:softHyphen/>
        <w:t>гатели М-17. По первоначальным планам завод № 26 должен был перей</w:t>
      </w:r>
      <w:r w:rsidRPr="00C33834">
        <w:rPr>
          <w:rFonts w:ascii="Times New Roman" w:hAnsi="Times New Roman"/>
          <w:color w:val="000000" w:themeColor="text1"/>
          <w:sz w:val="16"/>
          <w:szCs w:val="16"/>
        </w:rPr>
        <w:softHyphen/>
        <w:t>ти на выпуск двигателей У-1800 «Конкверор» по лицензии «Кэртис-Райт корпорейшн». Для этого в США специально подготовили документацию и опытные образцы моторов в метрической системе. Технология специально разрабатывалась под оборудование завода в Рыбинске. Но о «Конквероре» приказано было забыть. Постановлением Совета труда и обороны предписывалось уже до конца 1934 г. собрать 15 моторов из французских деталей, в следующем году выпустить не менее 600 двигателей. Оно же требовало создания кон</w:t>
      </w:r>
      <w:r w:rsidRPr="00C33834">
        <w:rPr>
          <w:rFonts w:ascii="Times New Roman" w:hAnsi="Times New Roman"/>
          <w:color w:val="000000" w:themeColor="text1"/>
          <w:sz w:val="16"/>
          <w:szCs w:val="16"/>
        </w:rPr>
        <w:softHyphen/>
        <w:t>структорского отдела, который занялся бы совершенствованием «Испано-Сюизы» в плане повышения мощности, высотности, надежности и умень</w:t>
      </w:r>
      <w:r w:rsidRPr="00C33834">
        <w:rPr>
          <w:rFonts w:ascii="Times New Roman" w:hAnsi="Times New Roman"/>
          <w:color w:val="000000" w:themeColor="text1"/>
          <w:sz w:val="16"/>
          <w:szCs w:val="16"/>
        </w:rPr>
        <w:softHyphen/>
        <w:t>шения расхода горючего и масла. В июле 1934 г. конструкторский отдел завода № 26 был создан. Главным конструктором назначили Климова. До</w:t>
      </w:r>
      <w:r w:rsidRPr="00C33834">
        <w:rPr>
          <w:rFonts w:ascii="Times New Roman" w:hAnsi="Times New Roman"/>
          <w:color w:val="000000" w:themeColor="text1"/>
          <w:sz w:val="16"/>
          <w:szCs w:val="16"/>
        </w:rPr>
        <w:softHyphen/>
        <w:t>кументация от фирмы поступила с опозданием против сроков договора, что вызвало задержку с началом производства. Советское торгпредство взыскало с фирмы «Испано-Сюиза» неустойку — 2 600 000 франков. Под руководством Климова документацию переделали под советские стандарты, подобрали отечественные аналоги применявшихся французской фирмой материалов. В 1935 г. из цехов завода в Рыбинске вышли первые М-100, аналогичные французской модификации 12УЬг§. М-100 устанавливались на знаменитый бомбардировщик СБ, созданный под руководством А.Н. Туполева. Их выпускали в больших количествах, поставляли на экспорт в Китай и Испанию. В боевых операциях М-100 доказал свою надежность. Однако ранние моторы советского производ</w:t>
      </w:r>
      <w:r w:rsidRPr="00C33834">
        <w:rPr>
          <w:rFonts w:ascii="Times New Roman" w:hAnsi="Times New Roman"/>
          <w:color w:val="000000" w:themeColor="text1"/>
          <w:sz w:val="16"/>
          <w:szCs w:val="16"/>
        </w:rPr>
        <w:softHyphen/>
        <w:t>ства оказались тяжелее французских и развивали меньшую мощность. Но М-100 оказался неплохо приспособлен к дальнейшему совершенство</w:t>
      </w:r>
      <w:r w:rsidRPr="00C33834">
        <w:rPr>
          <w:rFonts w:ascii="Times New Roman" w:hAnsi="Times New Roman"/>
          <w:color w:val="000000" w:themeColor="text1"/>
          <w:sz w:val="16"/>
          <w:szCs w:val="16"/>
        </w:rPr>
        <w:softHyphen/>
        <w:t>ванию. В итоге этот двигатель стал родоначальником большого семейства советских поршневых авиамоторов, спроектированных под руководством Климова. Все они сохраняли характерные размеры и те или иные конструктивные черты «Испано-Сюизы». Сначала Кли</w:t>
      </w:r>
      <w:r w:rsidRPr="00C33834">
        <w:rPr>
          <w:rFonts w:ascii="Times New Roman" w:hAnsi="Times New Roman"/>
          <w:color w:val="000000" w:themeColor="text1"/>
          <w:sz w:val="16"/>
          <w:szCs w:val="16"/>
        </w:rPr>
        <w:softHyphen/>
        <w:t>мов лишь незначительно усовершенство</w:t>
      </w:r>
      <w:r w:rsidRPr="00C33834">
        <w:rPr>
          <w:rFonts w:ascii="Times New Roman" w:hAnsi="Times New Roman"/>
          <w:color w:val="000000" w:themeColor="text1"/>
          <w:sz w:val="16"/>
          <w:szCs w:val="16"/>
        </w:rPr>
        <w:softHyphen/>
        <w:t>вал французский оригинал. Появились модификации М-100А и М-100АУ. Затем конструкция двигателя начала меняться более существенно. Эволюция потомков «Испано-Сюизы» не была прямолиней</w:t>
      </w:r>
      <w:r w:rsidRPr="00C33834">
        <w:rPr>
          <w:rFonts w:ascii="Times New Roman" w:hAnsi="Times New Roman"/>
          <w:color w:val="000000" w:themeColor="text1"/>
          <w:sz w:val="16"/>
          <w:szCs w:val="16"/>
        </w:rPr>
        <w:softHyphen/>
        <w:t>ной. В ней появлялись и тупиковые вет</w:t>
      </w:r>
      <w:r w:rsidRPr="00C33834">
        <w:rPr>
          <w:rFonts w:ascii="Times New Roman" w:hAnsi="Times New Roman"/>
          <w:color w:val="000000" w:themeColor="text1"/>
          <w:sz w:val="16"/>
          <w:szCs w:val="16"/>
        </w:rPr>
        <w:softHyphen/>
        <w:t>ви, не приведшие к внедрению отдель</w:t>
      </w:r>
      <w:r w:rsidRPr="00C33834">
        <w:rPr>
          <w:rFonts w:ascii="Times New Roman" w:hAnsi="Times New Roman"/>
          <w:color w:val="000000" w:themeColor="text1"/>
          <w:sz w:val="16"/>
          <w:szCs w:val="16"/>
        </w:rPr>
        <w:softHyphen/>
        <w:t>ных типов в серию. Первым удачным мотором, созданным Климовым на базе «Испано-Сюизы», стал М-103, давший прирост мощности более 100 л.с. Даль</w:t>
      </w:r>
      <w:r w:rsidRPr="00C33834">
        <w:rPr>
          <w:rFonts w:ascii="Times New Roman" w:hAnsi="Times New Roman"/>
          <w:color w:val="000000" w:themeColor="text1"/>
          <w:sz w:val="16"/>
          <w:szCs w:val="16"/>
        </w:rPr>
        <w:softHyphen/>
        <w:t>нейшим развитием М-103 был М-104. Цифровые обозначения всех моторов этого семейства начинались с «100». В начале Второй мировой войны кон</w:t>
      </w:r>
      <w:r w:rsidRPr="00C33834">
        <w:rPr>
          <w:rFonts w:ascii="Times New Roman" w:hAnsi="Times New Roman"/>
          <w:color w:val="000000" w:themeColor="text1"/>
          <w:sz w:val="16"/>
          <w:szCs w:val="16"/>
        </w:rPr>
        <w:softHyphen/>
        <w:t>структорское бюро вело разработку двух перспективных двигателей — М-105 и М-106, Второй из них доводился очень Долго и был выпущен лишь небольшой начала проектирования. М-105 же стал самым массовым двигателем совет</w:t>
      </w:r>
      <w:r w:rsidRPr="00C33834">
        <w:rPr>
          <w:rFonts w:ascii="Times New Roman" w:hAnsi="Times New Roman"/>
          <w:color w:val="000000" w:themeColor="text1"/>
          <w:sz w:val="16"/>
          <w:szCs w:val="16"/>
        </w:rPr>
        <w:softHyphen/>
        <w:t>ских ВВС периода войны. Он выпускался четырьмя заводами до 1947 г. и неоднократно модернизировался. В последней модификации, М-105ПФ-2 взлетную мощность довели до 1290 л.с. Моторы Климова стояли на самых массовых в годы войны истребителях А.С. Яковлева (Як-1, Як-3, Як-7 и Як-9),^ истребителях ЛаГГ-3, пикирующих бомбардировщиках Пе-2. В кон</w:t>
      </w:r>
      <w:r w:rsidRPr="00C33834">
        <w:rPr>
          <w:rFonts w:ascii="Times New Roman" w:hAnsi="Times New Roman"/>
          <w:color w:val="000000" w:themeColor="text1"/>
          <w:sz w:val="16"/>
          <w:szCs w:val="16"/>
        </w:rPr>
        <w:softHyphen/>
        <w:t>це войны и в послевоенные годы эти двигатели поставлялись в Польшу, Чехословакию, Болгарию, Югославию, Китай и Северную Корею. В ознаменование заслуг Климова в марте 1944 г. его включили в круг конструкторов-моторостроителей, получивших право обозначать свои тво</w:t>
      </w:r>
      <w:r w:rsidRPr="00C33834">
        <w:rPr>
          <w:rFonts w:ascii="Times New Roman" w:hAnsi="Times New Roman"/>
          <w:color w:val="000000" w:themeColor="text1"/>
          <w:sz w:val="16"/>
          <w:szCs w:val="16"/>
        </w:rPr>
        <w:softHyphen/>
        <w:t>рения личными инициалами. Теперь наименования моторов этого кон</w:t>
      </w:r>
      <w:r w:rsidRPr="00C33834">
        <w:rPr>
          <w:rFonts w:ascii="Times New Roman" w:hAnsi="Times New Roman"/>
          <w:color w:val="000000" w:themeColor="text1"/>
          <w:sz w:val="16"/>
          <w:szCs w:val="16"/>
        </w:rPr>
        <w:softHyphen/>
        <w:t>структора начинались с букв «ВК» — «Владимир Климов». После этого М-105 превратился в ВК-105. Все последующие двигатели Климова так</w:t>
      </w:r>
      <w:r w:rsidRPr="00C33834">
        <w:rPr>
          <w:rFonts w:ascii="Times New Roman" w:hAnsi="Times New Roman"/>
          <w:color w:val="000000" w:themeColor="text1"/>
          <w:sz w:val="16"/>
          <w:szCs w:val="16"/>
        </w:rPr>
        <w:softHyphen/>
        <w:t>же получили подобные обозначения. Более ранние конструкции (М-103. М-104), к тому времени еще эксплуатировавшиеся в военной и граждан</w:t>
      </w:r>
      <w:r w:rsidRPr="00C33834">
        <w:rPr>
          <w:rFonts w:ascii="Times New Roman" w:hAnsi="Times New Roman"/>
          <w:color w:val="000000" w:themeColor="text1"/>
          <w:sz w:val="16"/>
          <w:szCs w:val="16"/>
        </w:rPr>
        <w:softHyphen/>
        <w:t>ской авиации, сохранили старые наименования. Более поздние поршневые двигатели Климова, ВК-107, ВК-108 и ВК-109, уже не стали столь массовыми, хотя М-107 выпускался в до</w:t>
      </w:r>
      <w:r w:rsidRPr="00C33834">
        <w:rPr>
          <w:rFonts w:ascii="Times New Roman" w:hAnsi="Times New Roman"/>
          <w:color w:val="000000" w:themeColor="text1"/>
          <w:sz w:val="16"/>
          <w:szCs w:val="16"/>
        </w:rPr>
        <w:softHyphen/>
        <w:t>вольно больших количествах и устанавливался на серийных истребителях Як-3 и Як-9. Оснащенные им самолеты участвовали в боевых операциях в конце Великой Отечественной войны и сохранялись на вооружении до начала 50-х годов. Они также поставлялись на экспорт и применялись в войне в Корее (11852).</w:t>
      </w:r>
    </w:p>
    <w:p w14:paraId="656B4A0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03F93C" w14:textId="77777777" w:rsidR="00661CFE" w:rsidRPr="00C33834" w:rsidRDefault="00661CFE" w:rsidP="00C33834">
      <w:pPr>
        <w:pStyle w:val="rtejustify"/>
        <w:spacing w:before="0" w:after="0"/>
        <w:rPr>
          <w:color w:val="000000" w:themeColor="text1"/>
          <w:sz w:val="16"/>
          <w:szCs w:val="16"/>
        </w:rPr>
      </w:pPr>
      <w:r w:rsidRPr="00C33834">
        <w:rPr>
          <w:rStyle w:val="af0"/>
          <w:bCs/>
          <w:i w:val="0"/>
          <w:color w:val="000000" w:themeColor="text1"/>
          <w:sz w:val="16"/>
          <w:szCs w:val="16"/>
        </w:rPr>
        <w:lastRenderedPageBreak/>
        <w:t>15 декабря</w:t>
      </w:r>
      <w:r w:rsidRPr="00C33834">
        <w:rPr>
          <w:color w:val="000000" w:themeColor="text1"/>
          <w:sz w:val="16"/>
          <w:szCs w:val="16"/>
        </w:rPr>
        <w:t xml:space="preserve"> 1933. Постановление СТО СССР № 130сс/о «О закупке и постановке на производство моторов «Райт</w:t>
      </w:r>
      <w:r w:rsidRPr="00C33834">
        <w:rPr>
          <w:color w:val="000000" w:themeColor="text1"/>
          <w:sz w:val="16"/>
          <w:szCs w:val="16"/>
        </w:rPr>
        <w:noBreakHyphen/>
        <w:t>Циклон» и «Испано</w:t>
      </w:r>
      <w:r w:rsidRPr="00C33834">
        <w:rPr>
          <w:color w:val="000000" w:themeColor="text1"/>
          <w:sz w:val="16"/>
          <w:szCs w:val="16"/>
        </w:rPr>
        <w:noBreakHyphen/>
        <w:t>Сюиза». (ГА РФ. Ф. Р</w:t>
      </w:r>
      <w:r w:rsidRPr="00C33834">
        <w:rPr>
          <w:color w:val="000000" w:themeColor="text1"/>
          <w:sz w:val="16"/>
          <w:szCs w:val="16"/>
        </w:rPr>
        <w:noBreakHyphen/>
        <w:t>8418. Оп. 28. Д. 3. Л. 109</w:t>
      </w:r>
      <w:r w:rsidRPr="00C33834">
        <w:rPr>
          <w:color w:val="000000" w:themeColor="text1"/>
          <w:sz w:val="16"/>
          <w:szCs w:val="16"/>
        </w:rPr>
        <w:noBreakHyphen/>
        <w:t>111) (15460).</w:t>
      </w:r>
    </w:p>
    <w:p w14:paraId="137D54F5" w14:textId="77777777" w:rsidR="00661CFE" w:rsidRPr="00C33834" w:rsidRDefault="00661CFE" w:rsidP="00C33834">
      <w:pPr>
        <w:pStyle w:val="rtejustify"/>
        <w:spacing w:before="0" w:after="0"/>
        <w:rPr>
          <w:color w:val="000000" w:themeColor="text1"/>
          <w:sz w:val="16"/>
          <w:szCs w:val="16"/>
        </w:rPr>
      </w:pPr>
    </w:p>
    <w:p w14:paraId="4A30EC88" w14:textId="77777777" w:rsidR="009E3DAA" w:rsidRPr="00C33834" w:rsidRDefault="009E3DA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декабря 1933 г. Постановление Совета труда и обороны предписывало заводу № 19 к концу 1934 г. собрать первые 50 моторов из закупленных деталей. В марте 1934 г. на заводе был образован конструкторский отдел. Главным конструктором назначили А.Д. Швецова. Директором предприятия стал И.И. Побережский (19534).</w:t>
      </w:r>
    </w:p>
    <w:p w14:paraId="51EEF9B8" w14:textId="77777777" w:rsidR="009E3DAA" w:rsidRPr="00C33834" w:rsidRDefault="009E3DAA" w:rsidP="00C33834">
      <w:pPr>
        <w:spacing w:after="0" w:line="240" w:lineRule="auto"/>
        <w:jc w:val="both"/>
        <w:rPr>
          <w:rFonts w:ascii="Times New Roman" w:hAnsi="Times New Roman"/>
          <w:color w:val="000000" w:themeColor="text1"/>
          <w:sz w:val="16"/>
          <w:szCs w:val="16"/>
        </w:rPr>
      </w:pPr>
    </w:p>
    <w:p w14:paraId="57EED94A" w14:textId="77777777" w:rsidR="00661CFE" w:rsidRPr="00C33834" w:rsidRDefault="00661CFE" w:rsidP="00C33834">
      <w:pPr>
        <w:pStyle w:val="rtejustify"/>
        <w:spacing w:before="0" w:after="0"/>
        <w:rPr>
          <w:color w:val="000000" w:themeColor="text1"/>
          <w:sz w:val="16"/>
          <w:szCs w:val="16"/>
        </w:rPr>
      </w:pPr>
      <w:r w:rsidRPr="00C33834">
        <w:rPr>
          <w:rStyle w:val="af0"/>
          <w:bCs/>
          <w:i w:val="0"/>
          <w:color w:val="000000" w:themeColor="text1"/>
          <w:sz w:val="16"/>
          <w:szCs w:val="16"/>
        </w:rPr>
        <w:t>15 декабря</w:t>
      </w:r>
      <w:r w:rsidRPr="00C33834">
        <w:rPr>
          <w:color w:val="000000" w:themeColor="text1"/>
          <w:sz w:val="16"/>
          <w:szCs w:val="16"/>
        </w:rPr>
        <w:t xml:space="preserve"> 1933. Постановление СТО СССР № 131сс/о «О закупке морских моторов авиационного типа для торпедных катеров». (ГА РФ. Ф. Р</w:t>
      </w:r>
      <w:r w:rsidRPr="00C33834">
        <w:rPr>
          <w:color w:val="000000" w:themeColor="text1"/>
          <w:sz w:val="16"/>
          <w:szCs w:val="16"/>
        </w:rPr>
        <w:noBreakHyphen/>
        <w:t>8418. Оп. 28. Д. 3. Л. 115) (15460).</w:t>
      </w:r>
    </w:p>
    <w:p w14:paraId="0112D6BC" w14:textId="77777777" w:rsidR="00661CFE" w:rsidRPr="00C33834" w:rsidRDefault="00661CFE" w:rsidP="00C33834">
      <w:pPr>
        <w:pStyle w:val="rtejustify"/>
        <w:spacing w:before="0" w:after="0"/>
        <w:rPr>
          <w:color w:val="000000" w:themeColor="text1"/>
          <w:sz w:val="16"/>
          <w:szCs w:val="16"/>
        </w:rPr>
      </w:pPr>
    </w:p>
    <w:p w14:paraId="4AC49E86" w14:textId="77777777" w:rsidR="00661CFE" w:rsidRPr="00C33834" w:rsidRDefault="00661CFE" w:rsidP="00C33834">
      <w:pPr>
        <w:pStyle w:val="rtejustify"/>
        <w:spacing w:before="0" w:after="0"/>
        <w:rPr>
          <w:color w:val="000000" w:themeColor="text1"/>
          <w:sz w:val="16"/>
          <w:szCs w:val="16"/>
        </w:rPr>
      </w:pPr>
      <w:r w:rsidRPr="00C33834">
        <w:rPr>
          <w:rStyle w:val="af0"/>
          <w:bCs/>
          <w:i w:val="0"/>
          <w:color w:val="000000" w:themeColor="text1"/>
          <w:sz w:val="16"/>
          <w:szCs w:val="16"/>
        </w:rPr>
        <w:t>15/16 декабря 1933 вышел приказ НКТП № 229с.</w:t>
      </w:r>
      <w:r w:rsidRPr="00C33834">
        <w:rPr>
          <w:color w:val="000000" w:themeColor="text1"/>
          <w:sz w:val="16"/>
          <w:szCs w:val="16"/>
        </w:rPr>
        <w:t xml:space="preserve"> О задачах трестам и объединениям НКТП СССР по бесперебойному снабжению поковками Глававиапрома в 1934 г. (РГАЭ. Ф. 7297. Оп. 38. Д. 38. Л. 226</w:t>
      </w:r>
      <w:r w:rsidRPr="00C33834">
        <w:rPr>
          <w:color w:val="000000" w:themeColor="text1"/>
          <w:sz w:val="16"/>
          <w:szCs w:val="16"/>
        </w:rPr>
        <w:noBreakHyphen/>
        <w:t>227) (15246).</w:t>
      </w:r>
    </w:p>
    <w:p w14:paraId="7402454E" w14:textId="77777777" w:rsidR="00661CFE" w:rsidRPr="00C33834" w:rsidRDefault="00661CFE" w:rsidP="00C33834">
      <w:pPr>
        <w:pStyle w:val="rtejustify"/>
        <w:spacing w:before="0" w:after="0"/>
        <w:rPr>
          <w:color w:val="000000" w:themeColor="text1"/>
          <w:sz w:val="16"/>
          <w:szCs w:val="16"/>
        </w:rPr>
      </w:pPr>
    </w:p>
    <w:p w14:paraId="1629C9B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15 по 19 декабря 1933 года в НИИ ВВС проходили гос. испытания "магазинов" крупнокалиберного 12,7 мм пулемета системы Дегтярева (ДК).</w:t>
      </w:r>
    </w:p>
    <w:p w14:paraId="5C2BEEB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1C717A4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15 сектора НИИ ВВС Базенау</w:t>
      </w:r>
    </w:p>
    <w:p w14:paraId="486DF96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 Инженер 15 сектора НИИ ВВС Воротников</w:t>
      </w:r>
    </w:p>
    <w:p w14:paraId="3E05899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757BF690"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Магазины к пулемету ДК 1-го и 2-го вариантов конструкции Кладова испытания выдержали.</w:t>
      </w:r>
    </w:p>
    <w:p w14:paraId="2FAEDF8F"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пулеметам ДК, подаваемым для ВВС, ввести магазины конструкции Кладова 1-го варианта (емкостью на 30 штук патронов) из расчета 6 магазинов на пулемет.</w:t>
      </w:r>
    </w:p>
    <w:p w14:paraId="62C3447E"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Магазин конструкции Лещинского и Заворуева испытаний не выдержал (7396, 68-77).</w:t>
      </w:r>
    </w:p>
    <w:p w14:paraId="782783EA"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EFCA8A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15 декабря 1933 г., уже после установления дипотношений с США, вице-президент «Пан-Америкэн эруэйз» Эван Е. Юнг8 снова вернулся к этому вопросу и в письме к тов. Сквирскому он указывает, что ввиду существенно изменившегося положения вещей у него возникает мысль, нельзя ли ожидать в ближайшем будущем другого, более положительного сообщения со стороны наших руководящих органов на основе сделанного ими ранее предложения, которое остается в силе и ныне. </w:t>
      </w:r>
    </w:p>
    <w:p w14:paraId="5DDF309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8. 3-й Западный отдел направил это последнее обращение «Пан-Америкэн эруэйз» тов. Уншлихту (с копией тов. Ворошилову9). Начальник ИНО Всесоюзного объединения Гражданского воздушного флота сообщил нам, что этот вопрос ими теперь разрабатывается конкретно для постановки его на разрешение правительства. </w:t>
      </w:r>
    </w:p>
    <w:p w14:paraId="5657D8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9. Примечание: </w:t>
      </w:r>
    </w:p>
    <w:p w14:paraId="0318FF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 О фирме «Пан-Америкэн эруэйз» нам известно, что она руководит эксплуатацией воздушных линий Центральной и Южной Америки, Мексики, Западной Индии и через Карибское море. Полковник Линдберг10 является их техническим консультантом. Тов. Сквирский в свое время сообщал, что «Пан-Америкэн эруэйз» является монополистом во всех воздушных линиях в Латинскую Америку из США, что она близка к правительственным кругам, что эта фирма подготовляет почтовую трансатлантическую линию сообщений с европейскими компаниями. Кроме того, в самое последнее время стало известно (ТАСС, Токио, от 22.XII.33 г.), что недавнее установление регулярной воздушной линии между Шанхаем и Кантоном является одним из звеньев в транстихоокеанских планах «Пан-Америкэн эруэйз», которая через свое дочернее предприятие «Чайна эруэйз» владеет 45% акций американо-китайской ко[мпании] «Чайна нэшнл эвиэйшн корпорейшн». Следующим шагом будет связь линии Шанхай — Кантон с Гонконгом, откуда, в свою очередь, пойдет линия на Филиппинские острова. В дальнейшем ко[мпания] «Пасифик-Америкэн эруэйз» приступит к установлению линий протяжением примерно в 6000 миль от Сан-Франциско до Манилы. </w:t>
      </w:r>
    </w:p>
    <w:p w14:paraId="7118B93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 О фирме «Норд-Америкэн эвиэйшн» известно (по ее собственной информации), что она владеет целиком и активно руководит: </w:t>
      </w:r>
    </w:p>
    <w:p w14:paraId="5C85BF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 фирмой «Сперри гироскоп», производящей гироскопические аппараты для пароходов и других навигационных целей, а также контрольную аппаратуру для аэропланов; </w:t>
      </w:r>
    </w:p>
    <w:p w14:paraId="121C30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 «Форд инструмент Ко»; </w:t>
      </w:r>
    </w:p>
    <w:p w14:paraId="5E77E9D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«Берлинер — Джойс эркрафт корпорейшн», производящей быстроходные военные самолеты и </w:t>
      </w:r>
    </w:p>
    <w:p w14:paraId="39522A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г) «Истерн эр транспорт» (известная авиационная фирма, контролирующая пассажирское и почтовое воздушные сообщения между Нью-Йорком и Флоридой). </w:t>
      </w:r>
    </w:p>
    <w:p w14:paraId="203665F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Кроме того, «Норд-Америкэн эвиэйшн корпорейшн» владеет солидным пакетом акций фирмы «Кэртис Райт» и «Дуглас эркрафт Ко» (два выдающихся производителя самолетов в США) и является активным участником фирмы «Трансконтинентл-уэстерн эр». </w:t>
      </w:r>
    </w:p>
    <w:p w14:paraId="61F1B3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Она также активно участвует в «Интерконтинентл эвиэйшн корпорейшн», через которую она инвестирует капиталы в авиационных предприятиях за границей. </w:t>
      </w:r>
    </w:p>
    <w:p w14:paraId="108AC2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Зав. 3-м Западным отделом Е. РУБИНИН </w:t>
      </w:r>
    </w:p>
    <w:p w14:paraId="364E76C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Отв. референт С. СТОЛЯР </w:t>
      </w:r>
    </w:p>
    <w:p w14:paraId="7B2F44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АВП РФ. Ф. 05. Оп. 14. П. 101. Д. 84. Л. 1—3. Подлинник (11430).</w:t>
      </w:r>
    </w:p>
    <w:p w14:paraId="5F5EE46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66E0370" w14:textId="77777777" w:rsidR="00661CFE"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586B15C" w14:textId="77777777" w:rsidR="00661CFE" w:rsidRPr="00C33834" w:rsidRDefault="00661CF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B4EEFD0" w14:textId="77777777" w:rsidR="00661CFE" w:rsidRPr="00C33834" w:rsidRDefault="00661CFE" w:rsidP="00C33834">
      <w:pPr>
        <w:pStyle w:val="rtejustify"/>
        <w:spacing w:before="0" w:after="0"/>
        <w:rPr>
          <w:color w:val="000000" w:themeColor="text1"/>
          <w:sz w:val="16"/>
          <w:szCs w:val="16"/>
        </w:rPr>
      </w:pPr>
      <w:r w:rsidRPr="00C33834">
        <w:rPr>
          <w:rStyle w:val="af0"/>
          <w:bCs/>
          <w:i w:val="0"/>
          <w:color w:val="000000" w:themeColor="text1"/>
          <w:sz w:val="16"/>
          <w:szCs w:val="16"/>
        </w:rPr>
        <w:t>15 декабря 1933 вышел приказ НКТП № 228с.</w:t>
      </w:r>
      <w:r w:rsidRPr="00C33834">
        <w:rPr>
          <w:color w:val="000000" w:themeColor="text1"/>
          <w:sz w:val="16"/>
          <w:szCs w:val="16"/>
        </w:rPr>
        <w:t xml:space="preserve"> Об обеспечении промышленности и строительства НКТП СССР в ДВК всеми предметами материально-технического снабжения. (РГАЭ. Ф. 7297. Оп. 38. Д. 38. Л. 222) (15246).</w:t>
      </w:r>
    </w:p>
    <w:p w14:paraId="0E52CCCA" w14:textId="77777777" w:rsidR="00661CFE" w:rsidRPr="00C33834" w:rsidRDefault="00661CFE" w:rsidP="00C33834">
      <w:pPr>
        <w:pStyle w:val="rtejustify"/>
        <w:spacing w:before="0" w:after="0"/>
        <w:rPr>
          <w:color w:val="000000" w:themeColor="text1"/>
          <w:sz w:val="16"/>
          <w:szCs w:val="16"/>
        </w:rPr>
      </w:pPr>
    </w:p>
    <w:p w14:paraId="19872D23" w14:textId="77777777" w:rsidR="00661CFE" w:rsidRPr="00C33834" w:rsidRDefault="00661CFE" w:rsidP="00C33834">
      <w:pPr>
        <w:pStyle w:val="rtejustify"/>
        <w:spacing w:before="0" w:after="0"/>
        <w:rPr>
          <w:color w:val="000000" w:themeColor="text1"/>
          <w:sz w:val="16"/>
          <w:szCs w:val="16"/>
        </w:rPr>
      </w:pPr>
      <w:r w:rsidRPr="00C33834">
        <w:rPr>
          <w:rStyle w:val="af0"/>
          <w:bCs/>
          <w:i w:val="0"/>
          <w:color w:val="000000" w:themeColor="text1"/>
          <w:sz w:val="16"/>
          <w:szCs w:val="16"/>
        </w:rPr>
        <w:t>15/16 декабря 1933 вышел приказ НКТП № 230с.</w:t>
      </w:r>
      <w:r w:rsidRPr="00C33834">
        <w:rPr>
          <w:color w:val="000000" w:themeColor="text1"/>
          <w:sz w:val="16"/>
          <w:szCs w:val="16"/>
        </w:rPr>
        <w:t xml:space="preserve"> О порядке хранения противогазов на предприятиях НКТП СССР и обеспечения их сохранности. (РГАЭ. Ф. 7297. Оп. 38. Д. 38. Л. 223</w:t>
      </w:r>
      <w:r w:rsidRPr="00C33834">
        <w:rPr>
          <w:color w:val="000000" w:themeColor="text1"/>
          <w:sz w:val="16"/>
          <w:szCs w:val="16"/>
        </w:rPr>
        <w:noBreakHyphen/>
        <w:t>223 об.) (15246).</w:t>
      </w:r>
    </w:p>
    <w:p w14:paraId="71DB63B0" w14:textId="77777777" w:rsidR="00661CFE" w:rsidRPr="00C33834" w:rsidRDefault="00661CFE" w:rsidP="00C33834">
      <w:pPr>
        <w:pStyle w:val="rtejustify"/>
        <w:spacing w:before="0" w:after="0"/>
        <w:rPr>
          <w:color w:val="000000" w:themeColor="text1"/>
          <w:sz w:val="16"/>
          <w:szCs w:val="16"/>
        </w:rPr>
      </w:pPr>
    </w:p>
    <w:p w14:paraId="088C5E30" w14:textId="77777777" w:rsidR="00661CFE" w:rsidRPr="00C33834" w:rsidRDefault="00661CFE" w:rsidP="00C33834">
      <w:pPr>
        <w:pStyle w:val="rtejustify"/>
        <w:spacing w:before="0" w:after="0"/>
        <w:rPr>
          <w:color w:val="000000" w:themeColor="text1"/>
          <w:sz w:val="16"/>
          <w:szCs w:val="16"/>
        </w:rPr>
      </w:pPr>
      <w:r w:rsidRPr="00C33834">
        <w:rPr>
          <w:rStyle w:val="af0"/>
          <w:bCs/>
          <w:i w:val="0"/>
          <w:color w:val="000000" w:themeColor="text1"/>
          <w:sz w:val="16"/>
          <w:szCs w:val="16"/>
        </w:rPr>
        <w:t>15 декабря</w:t>
      </w:r>
      <w:r w:rsidRPr="00C33834">
        <w:rPr>
          <w:color w:val="000000" w:themeColor="text1"/>
          <w:sz w:val="16"/>
          <w:szCs w:val="16"/>
        </w:rPr>
        <w:t xml:space="preserve"> 1933. Постановление СТО СССР № 129сс/о «О переброске подлодок типа «Малютка» из Николаева в Севастополь». (ГА РФ. Ф. Р</w:t>
      </w:r>
      <w:r w:rsidRPr="00C33834">
        <w:rPr>
          <w:color w:val="000000" w:themeColor="text1"/>
          <w:sz w:val="16"/>
          <w:szCs w:val="16"/>
        </w:rPr>
        <w:noBreakHyphen/>
        <w:t>8418. Оп. 28. Д. 3. Л. 106) (15460).</w:t>
      </w:r>
    </w:p>
    <w:p w14:paraId="0C0605AC" w14:textId="77777777" w:rsidR="00661CFE" w:rsidRPr="00C33834" w:rsidRDefault="00661CFE" w:rsidP="00C33834">
      <w:pPr>
        <w:pStyle w:val="rtejustify"/>
        <w:spacing w:before="0" w:after="0"/>
        <w:rPr>
          <w:color w:val="000000" w:themeColor="text1"/>
          <w:sz w:val="16"/>
          <w:szCs w:val="16"/>
        </w:rPr>
      </w:pPr>
    </w:p>
    <w:p w14:paraId="5E144DBB" w14:textId="77777777" w:rsidR="009E3DAA" w:rsidRPr="00C33834" w:rsidRDefault="009E3DA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декабря 1933 г. подписание протокола по результатам полигонных испытаний позиционно-всплывающей мины, представленной Остехбюро. Комиссия сделала заключение, что «позиционно-всплывающая мина, равноценная в отношении тактического использования с минами образца 1926 г. и 1931 г. и как давшая при испытаниях удовлетворительные результаты, может быть принята на вооружение, так как мина представляет собой комбинацию из мин образца 1931 г. и якоря 1926 г. состоящих на вооружении и промышленостью освобожденных» (18667).</w:t>
      </w:r>
    </w:p>
    <w:p w14:paraId="4BF6EC41" w14:textId="77777777" w:rsidR="009E3DAA" w:rsidRPr="00C33834" w:rsidRDefault="009E3DAA" w:rsidP="00C33834">
      <w:pPr>
        <w:spacing w:after="0" w:line="240" w:lineRule="auto"/>
        <w:jc w:val="both"/>
        <w:rPr>
          <w:rFonts w:ascii="Times New Roman" w:hAnsi="Times New Roman"/>
          <w:color w:val="000000" w:themeColor="text1"/>
          <w:sz w:val="16"/>
          <w:szCs w:val="16"/>
        </w:rPr>
      </w:pPr>
    </w:p>
    <w:p w14:paraId="5AD253FA"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51EC79E8"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80D9C2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15 и 23 декабря 1933. Из протокола заседания Политбюро N151, особая папка, 1933 г.</w:t>
      </w:r>
    </w:p>
    <w:p w14:paraId="3D2DAE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Предложение Франции о технической помощи </w:t>
      </w:r>
    </w:p>
    <w:p w14:paraId="1C8400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Ответить на французскую ноту согласием на техническую помощь по шоссейно-дорожному строительству и на приезд нескольких представителей соответственного ведомства весною после таяния снегов (11652).</w:t>
      </w:r>
    </w:p>
    <w:p w14:paraId="0F031B9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547198D"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3ABDC97"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33A405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декабря 1933 Нач. НИИ ВВС Зильберт утвердил Отчет по гос. испытаниям ТБ-3 4М-34Р (редукторного), которые проходили с 19 октября по 5 декабря 1933 (2264,126).</w:t>
      </w:r>
    </w:p>
    <w:p w14:paraId="2CC2CE8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87AD09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середине декабря 1933 г. собрали оперение дублера И-14, 22 декабря собрали элероны, которые из-за изменения обшивки застряли в производстве на целый месяц.</w:t>
      </w:r>
    </w:p>
    <w:p w14:paraId="2AA1E5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1FE5071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w:t>
      </w:r>
      <w:r w:rsidRPr="00C33834">
        <w:rPr>
          <w:rFonts w:ascii="Times New Roman" w:hAnsi="Times New Roman"/>
          <w:color w:val="000000" w:themeColor="text1"/>
          <w:sz w:val="16"/>
          <w:szCs w:val="16"/>
        </w:rPr>
        <w:lastRenderedPageBreak/>
        <w:t>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304DEF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38F160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1F11AF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0481F1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829362F"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0105CB3"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EC11E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декабря 1933 года был закончен опытный образец 76-мм полууниверсальной пушки 25-К, разработанной "Спецгруппой" ("Спецгруппа" была создана ОГПУ из арестованных инженеров ОАТ) на заводе № 8 в качестве внеплановой работы, после чего немедленно были начаты заводские испытания, на которых опытный образец имел поддон от другой опытной системы и ручной привод ГН. В 1934 году предполагалось изготовить новый поддон и установить привод поворотного механизма от бензинового мотоциклетного двигателя (3861).</w:t>
      </w:r>
    </w:p>
    <w:p w14:paraId="51C1245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99CD2D5" w14:textId="77777777" w:rsidR="00661CFE" w:rsidRPr="00C33834" w:rsidRDefault="00661CF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декабря 1933 г. был закончен опытный образец 76-мм полууниверсальным пушки завода им. Калинина 25-К, разработанной «Спецгруппой» на заводе № 8 в качестве внеплановой работы («Спецгруппа» была создана ОГПУ из арестованных инженеров ОАТ), после чего немедленно были начаты заводские испытания, на которых опытный образец имел поддон от другой опытной системы и ручной привод ГН. В 1934 г. предполагалось изготовить новый поддон и установить привод поворотного механизма от бензинового мотоциклетного двигателя. В июне 1934 г. опытный образец 25-К поступил на НИАП для проведения полигонных испытаний. А в июне следующего года 25-К участвовала в конкурсных испытаниях с Ф-20, Ф-22 и другими пушками на НИАПе (15117).</w:t>
      </w:r>
    </w:p>
    <w:p w14:paraId="1051276C" w14:textId="77777777" w:rsidR="00661CFE" w:rsidRPr="00C33834" w:rsidRDefault="00661CFE" w:rsidP="00C33834">
      <w:pPr>
        <w:spacing w:after="0" w:line="240" w:lineRule="auto"/>
        <w:jc w:val="both"/>
        <w:rPr>
          <w:rFonts w:ascii="Times New Roman" w:hAnsi="Times New Roman"/>
          <w:color w:val="000000" w:themeColor="text1"/>
          <w:sz w:val="16"/>
          <w:szCs w:val="16"/>
        </w:rPr>
      </w:pPr>
    </w:p>
    <w:p w14:paraId="14621F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середине декабря 1933 на ХПЗ с ленинградского Опытного завода им. С.М.К. поступил полный комплект чертежей на башенную установку Т-24-4 с 76-мм пушкой обр. 1927 (КТ-28) опытного танка Т-26А. КБ ХПЗ под руководством А.О.Фирсова переработало чертежи под БТ-7 (3881,6).</w:t>
      </w:r>
    </w:p>
    <w:p w14:paraId="135B324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CA44CF8"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629A002"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5EC455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декабря 1933 второй экземпляр вывели на аэродром. Его также испытывал Чкалов. 21 декабря 1933 г. после завершения цикла заводских испытаний ЦКБ-3 переда</w:t>
      </w:r>
      <w:r w:rsidRPr="00C33834">
        <w:rPr>
          <w:rFonts w:ascii="Times New Roman" w:hAnsi="Times New Roman"/>
          <w:color w:val="000000" w:themeColor="text1"/>
          <w:sz w:val="16"/>
          <w:szCs w:val="16"/>
        </w:rPr>
        <w:softHyphen/>
        <w:t>ли в НИИ ВВС. Первый этап (ведущий летчик В.А.Сте-панченок) проводился в довольно быстром темпе и закончился к 1 января 1934 г. Второй этап продолжался с 14 января по 24 марта. Испытания подтвердили высокие летные характеристики машины. Поэтому еще до их завершения, 2 февраля 1934 г., отмечая вклад кол</w:t>
      </w:r>
      <w:r w:rsidRPr="00C33834">
        <w:rPr>
          <w:rFonts w:ascii="Times New Roman" w:hAnsi="Times New Roman"/>
          <w:color w:val="000000" w:themeColor="text1"/>
          <w:sz w:val="16"/>
          <w:szCs w:val="16"/>
        </w:rPr>
        <w:softHyphen/>
        <w:t>лектива в создании образцов новой боевой техники, нарком тяжелой промышленности С.Орджоникидзе из-дал приказ о премировании работников завода № 39. Пять человек, в том числе Ильюшин, Поликарпов и Чкалов, были награждены легковыми автомобилями (10667).</w:t>
      </w:r>
    </w:p>
    <w:p w14:paraId="042DFC6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33963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декабря 1933 Нач. НОТО ГУАП Алмазов писал Нач. ЦАГИ Харламову письмо N 257/763с:</w:t>
      </w:r>
    </w:p>
    <w:p w14:paraId="7BAFA0E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"Прошу выслать мне к 22 декабря 1933 календарную распланировку по программе опытного самолетостроения 1934 и 35 г. с указанием по всем типам машин." (2286,116).</w:t>
      </w:r>
    </w:p>
    <w:p w14:paraId="1BBDA0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4B3F6F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декабря 1933 отстрел снарядов этой же модели провели с углом возвы</w:t>
      </w:r>
      <w:r w:rsidRPr="00C33834">
        <w:rPr>
          <w:rFonts w:ascii="Times New Roman" w:hAnsi="Times New Roman"/>
          <w:color w:val="000000" w:themeColor="text1"/>
          <w:sz w:val="16"/>
          <w:szCs w:val="16"/>
        </w:rPr>
        <w:softHyphen/>
        <w:t>шения орудия 40° для определения предельной дальности полета и вели</w:t>
      </w:r>
      <w:r w:rsidRPr="00C33834">
        <w:rPr>
          <w:rFonts w:ascii="Times New Roman" w:hAnsi="Times New Roman"/>
          <w:color w:val="000000" w:themeColor="text1"/>
          <w:sz w:val="16"/>
          <w:szCs w:val="16"/>
        </w:rPr>
        <w:softHyphen/>
        <w:t>чин рассеивания на ней. Партия из 16 боеприпасов, изготовленных в ма</w:t>
      </w:r>
      <w:r w:rsidRPr="00C33834">
        <w:rPr>
          <w:rFonts w:ascii="Times New Roman" w:hAnsi="Times New Roman"/>
          <w:color w:val="000000" w:themeColor="text1"/>
          <w:sz w:val="16"/>
          <w:szCs w:val="16"/>
        </w:rPr>
        <w:softHyphen/>
        <w:t>стерских ЛО РНИИ, также была вполне удовлетворительного качества. Все снаряды «имели правильный полет». Первый пристрелочный в зачет не вошел. Места падения еще двух снарядов обнаружить не удалось из-за внезапно сгустившегося тумана, вынудившего прекратить стрельбу. Бо</w:t>
      </w:r>
      <w:r w:rsidRPr="00C33834">
        <w:rPr>
          <w:rFonts w:ascii="Times New Roman" w:hAnsi="Times New Roman"/>
          <w:color w:val="000000" w:themeColor="text1"/>
          <w:sz w:val="16"/>
          <w:szCs w:val="16"/>
        </w:rPr>
        <w:softHyphen/>
        <w:t>ковое рассеивание оказалось несколько большим, нежели при стрельбе с углами возвышения 17°. И это вполне естественно, так как высота тра</w:t>
      </w:r>
      <w:r w:rsidRPr="00C33834">
        <w:rPr>
          <w:rFonts w:ascii="Times New Roman" w:hAnsi="Times New Roman"/>
          <w:color w:val="000000" w:themeColor="text1"/>
          <w:sz w:val="16"/>
          <w:szCs w:val="16"/>
        </w:rPr>
        <w:softHyphen/>
        <w:t>ектории для угла возвышения 40° - около 1350 м, тогда как для угла воз</w:t>
      </w:r>
      <w:r w:rsidRPr="00C33834">
        <w:rPr>
          <w:rFonts w:ascii="Times New Roman" w:hAnsi="Times New Roman"/>
          <w:color w:val="000000" w:themeColor="text1"/>
          <w:sz w:val="16"/>
          <w:szCs w:val="16"/>
        </w:rPr>
        <w:softHyphen/>
        <w:t>вышения 17° - не более 350 м. По заключению начальника ЛО РНИИ Г.Э.Лангемака и начальника 1-го отдела Ф.Н.Пойды, руководивших опытами, в дальнейшем умень</w:t>
      </w:r>
      <w:r w:rsidRPr="00C33834">
        <w:rPr>
          <w:rFonts w:ascii="Times New Roman" w:hAnsi="Times New Roman"/>
          <w:color w:val="000000" w:themeColor="text1"/>
          <w:sz w:val="16"/>
          <w:szCs w:val="16"/>
        </w:rPr>
        <w:softHyphen/>
        <w:t>шить боковое рассеивание возможно «за счет улучшения условий веде</w:t>
      </w:r>
      <w:r w:rsidRPr="00C33834">
        <w:rPr>
          <w:rFonts w:ascii="Times New Roman" w:hAnsi="Times New Roman"/>
          <w:color w:val="000000" w:themeColor="text1"/>
          <w:sz w:val="16"/>
          <w:szCs w:val="16"/>
        </w:rPr>
        <w:softHyphen/>
        <w:t>ния снаряда в орудии». Развивая последний тезис выводов, в 1933 г. в ма</w:t>
      </w:r>
      <w:r w:rsidRPr="00C33834">
        <w:rPr>
          <w:rFonts w:ascii="Times New Roman" w:hAnsi="Times New Roman"/>
          <w:color w:val="000000" w:themeColor="text1"/>
          <w:sz w:val="16"/>
          <w:szCs w:val="16"/>
        </w:rPr>
        <w:softHyphen/>
        <w:t>стерских Ленинградской артиллерийской технической школы ЛАТШ на основе РС-82 модели 1367 изготовили снаряды РС-82 модели 1406. Впрочем, стабилизаторы к ним делали в опытных мастерских ЛО РНИИ. Сталей требуемых качеств, марок и профилей в то время найти было до</w:t>
      </w:r>
      <w:r w:rsidRPr="00C33834">
        <w:rPr>
          <w:rFonts w:ascii="Times New Roman" w:hAnsi="Times New Roman"/>
          <w:color w:val="000000" w:themeColor="text1"/>
          <w:sz w:val="16"/>
          <w:szCs w:val="16"/>
        </w:rPr>
        <w:softHyphen/>
        <w:t>вольно трудно, поэтому камеры ракетных двигателей боеприпасов ран</w:t>
      </w:r>
      <w:r w:rsidRPr="00C33834">
        <w:rPr>
          <w:rFonts w:ascii="Times New Roman" w:hAnsi="Times New Roman"/>
          <w:color w:val="000000" w:themeColor="text1"/>
          <w:sz w:val="16"/>
          <w:szCs w:val="16"/>
        </w:rPr>
        <w:softHyphen/>
        <w:t>них моделей изготавливали из корпусов штатных 107-мм артснарядов. Ракетные боеприпасы обеих моделей, за исключением оперения с разма</w:t>
      </w:r>
      <w:r w:rsidRPr="00C33834">
        <w:rPr>
          <w:rFonts w:ascii="Times New Roman" w:hAnsi="Times New Roman"/>
          <w:color w:val="000000" w:themeColor="text1"/>
          <w:sz w:val="16"/>
          <w:szCs w:val="16"/>
        </w:rPr>
        <w:softHyphen/>
        <w:t>хом 200 мм, изготовленных из листового дюралюминия, конструктивно соответствовали друг другу (11402).</w:t>
      </w:r>
    </w:p>
    <w:p w14:paraId="17161C5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4977A4" w14:textId="77777777" w:rsidR="00CE35D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B7FA01B" w14:textId="77777777" w:rsidR="00CE35D9" w:rsidRPr="00C33834" w:rsidRDefault="00CE35D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A2DD0E6" w14:textId="77777777" w:rsidR="009E3DAA" w:rsidRPr="00C33834" w:rsidRDefault="009E3DAA" w:rsidP="00C33834">
      <w:pPr>
        <w:spacing w:after="0" w:line="240" w:lineRule="auto"/>
        <w:jc w:val="both"/>
        <w:rPr>
          <w:rFonts w:ascii="Times New Roman" w:hAnsi="Times New Roman"/>
          <w:bCs/>
          <w:color w:val="000000" w:themeColor="text1"/>
          <w:sz w:val="16"/>
          <w:szCs w:val="16"/>
        </w:rPr>
      </w:pPr>
      <w:r w:rsidRPr="00C33834">
        <w:rPr>
          <w:rFonts w:ascii="Times New Roman" w:hAnsi="Times New Roman"/>
          <w:color w:val="000000" w:themeColor="text1"/>
          <w:sz w:val="16"/>
          <w:szCs w:val="16"/>
        </w:rPr>
        <w:t>16 декабря 1933 г.</w:t>
      </w:r>
    </w:p>
    <w:p w14:paraId="0AB3DE07" w14:textId="77777777" w:rsidR="009E3DAA" w:rsidRPr="00C33834" w:rsidRDefault="009E3DAA" w:rsidP="00C33834">
      <w:pPr>
        <w:spacing w:after="0" w:line="240" w:lineRule="auto"/>
        <w:jc w:val="both"/>
        <w:rPr>
          <w:rFonts w:ascii="Times New Roman" w:hAnsi="Times New Roman"/>
          <w:bCs/>
          <w:color w:val="000000" w:themeColor="text1"/>
          <w:sz w:val="16"/>
          <w:szCs w:val="16"/>
        </w:rPr>
      </w:pPr>
      <w:r w:rsidRPr="00C33834">
        <w:rPr>
          <w:rFonts w:ascii="Times New Roman" w:hAnsi="Times New Roman"/>
          <w:color w:val="000000" w:themeColor="text1"/>
          <w:sz w:val="16"/>
          <w:szCs w:val="16"/>
        </w:rPr>
        <w:t>Записка по прямому проводу ГПУ УССР о ходе строительства подлодок в Николаеве. 16 декабря 1933 г.</w:t>
      </w:r>
    </w:p>
    <w:p w14:paraId="3159572F" w14:textId="77777777" w:rsidR="009E3DAA" w:rsidRPr="00C33834" w:rsidRDefault="009E3DAA" w:rsidP="00C33834">
      <w:pPr>
        <w:spacing w:after="0" w:line="240" w:lineRule="auto"/>
        <w:jc w:val="both"/>
        <w:rPr>
          <w:rFonts w:ascii="Times New Roman" w:hAnsi="Times New Roman"/>
          <w:bCs/>
          <w:color w:val="000000" w:themeColor="text1"/>
          <w:sz w:val="16"/>
          <w:szCs w:val="16"/>
        </w:rPr>
      </w:pPr>
      <w:r w:rsidRPr="00C33834">
        <w:rPr>
          <w:rFonts w:ascii="Times New Roman" w:hAnsi="Times New Roman"/>
          <w:bCs/>
          <w:color w:val="000000" w:themeColor="text1"/>
          <w:sz w:val="16"/>
          <w:szCs w:val="16"/>
        </w:rPr>
        <w:t>Источник: </w:t>
      </w:r>
    </w:p>
    <w:p w14:paraId="4B727918" w14:textId="77777777" w:rsidR="009E3DAA" w:rsidRPr="00C33834" w:rsidRDefault="009E3DA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«Совершенно секретно»: Лубянка — Сталину о положении в стране (1922-1934 гг.)</w:t>
      </w:r>
    </w:p>
    <w:p w14:paraId="019C7174" w14:textId="77777777" w:rsidR="009E3DAA" w:rsidRPr="00C33834" w:rsidRDefault="009E3DAA" w:rsidP="00C33834">
      <w:pPr>
        <w:spacing w:after="0" w:line="240" w:lineRule="auto"/>
        <w:jc w:val="both"/>
        <w:rPr>
          <w:rFonts w:ascii="Times New Roman" w:hAnsi="Times New Roman"/>
          <w:bCs/>
          <w:color w:val="000000" w:themeColor="text1"/>
          <w:sz w:val="16"/>
          <w:szCs w:val="16"/>
        </w:rPr>
      </w:pPr>
      <w:r w:rsidRPr="00C33834">
        <w:rPr>
          <w:rFonts w:ascii="Times New Roman" w:hAnsi="Times New Roman"/>
          <w:bCs/>
          <w:color w:val="000000" w:themeColor="text1"/>
          <w:sz w:val="16"/>
          <w:szCs w:val="16"/>
        </w:rPr>
        <w:t>Архив: </w:t>
      </w:r>
    </w:p>
    <w:p w14:paraId="69B9198C" w14:textId="77777777" w:rsidR="009E3DAA" w:rsidRPr="00C33834" w:rsidRDefault="009E3DA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 2. Оп. 11. Д. 1021. Л. 47. Заверенная копия</w:t>
      </w:r>
    </w:p>
    <w:p w14:paraId="7D1608B7" w14:textId="77777777" w:rsidR="009E3DAA" w:rsidRPr="00C33834" w:rsidRDefault="009E3DAA" w:rsidP="00C33834">
      <w:pPr>
        <w:pStyle w:val="ae"/>
        <w:spacing w:before="0" w:after="0"/>
        <w:jc w:val="both"/>
        <w:rPr>
          <w:color w:val="000000" w:themeColor="text1"/>
          <w:sz w:val="16"/>
          <w:szCs w:val="16"/>
        </w:rPr>
      </w:pPr>
      <w:r w:rsidRPr="00C33834">
        <w:rPr>
          <w:color w:val="000000" w:themeColor="text1"/>
          <w:sz w:val="16"/>
          <w:szCs w:val="16"/>
        </w:rPr>
        <w:t>16 декабря 1933 г.</w:t>
      </w:r>
    </w:p>
    <w:p w14:paraId="51595F9F" w14:textId="77777777" w:rsidR="009E3DAA" w:rsidRPr="00C33834" w:rsidRDefault="009E3DAA" w:rsidP="00C33834">
      <w:pPr>
        <w:pStyle w:val="ae"/>
        <w:spacing w:before="0" w:after="0"/>
        <w:jc w:val="both"/>
        <w:rPr>
          <w:color w:val="000000" w:themeColor="text1"/>
          <w:sz w:val="16"/>
          <w:szCs w:val="16"/>
        </w:rPr>
      </w:pPr>
      <w:r w:rsidRPr="00C33834">
        <w:rPr>
          <w:color w:val="000000" w:themeColor="text1"/>
          <w:sz w:val="16"/>
          <w:szCs w:val="16"/>
        </w:rPr>
        <w:t>№ 54972</w:t>
      </w:r>
    </w:p>
    <w:p w14:paraId="6CB63C70" w14:textId="77777777" w:rsidR="009E3DAA" w:rsidRPr="00C33834" w:rsidRDefault="009E3DAA" w:rsidP="00C33834">
      <w:pPr>
        <w:pStyle w:val="ae"/>
        <w:spacing w:before="0" w:after="0"/>
        <w:jc w:val="both"/>
        <w:rPr>
          <w:color w:val="000000" w:themeColor="text1"/>
          <w:sz w:val="16"/>
          <w:szCs w:val="16"/>
        </w:rPr>
      </w:pPr>
      <w:r w:rsidRPr="00C33834">
        <w:rPr>
          <w:color w:val="000000" w:themeColor="text1"/>
          <w:sz w:val="16"/>
          <w:szCs w:val="16"/>
        </w:rPr>
        <w:t>Совершенно секретно</w:t>
      </w:r>
    </w:p>
    <w:p w14:paraId="26398130" w14:textId="77777777" w:rsidR="009E3DAA" w:rsidRPr="00C33834" w:rsidRDefault="009E3DAA" w:rsidP="00C33834">
      <w:pPr>
        <w:pStyle w:val="ae"/>
        <w:spacing w:before="0" w:after="0"/>
        <w:jc w:val="both"/>
        <w:rPr>
          <w:color w:val="000000" w:themeColor="text1"/>
          <w:sz w:val="16"/>
          <w:szCs w:val="16"/>
        </w:rPr>
      </w:pPr>
      <w:r w:rsidRPr="00C33834">
        <w:rPr>
          <w:color w:val="000000" w:themeColor="text1"/>
          <w:sz w:val="16"/>
          <w:szCs w:val="16"/>
        </w:rPr>
        <w:t>Москва</w:t>
      </w:r>
      <w:r w:rsidRPr="00C33834">
        <w:rPr>
          <w:color w:val="000000" w:themeColor="text1"/>
          <w:sz w:val="16"/>
          <w:szCs w:val="16"/>
        </w:rPr>
        <w:br/>
        <w:t>Зам. председателя ОГПУ т. Ягоде</w:t>
      </w:r>
    </w:p>
    <w:p w14:paraId="071DC284" w14:textId="77777777" w:rsidR="009E3DAA" w:rsidRPr="00C33834" w:rsidRDefault="009E3DAA" w:rsidP="00C33834">
      <w:pPr>
        <w:pStyle w:val="rtejustify"/>
        <w:spacing w:before="0" w:after="0"/>
        <w:rPr>
          <w:color w:val="000000" w:themeColor="text1"/>
          <w:sz w:val="16"/>
          <w:szCs w:val="16"/>
        </w:rPr>
      </w:pPr>
      <w:r w:rsidRPr="00C33834">
        <w:rPr>
          <w:color w:val="000000" w:themeColor="text1"/>
          <w:sz w:val="16"/>
          <w:szCs w:val="16"/>
        </w:rPr>
        <w:t>Ход строительства малых подлодок типа «Малютка» для Дальнего Востока на заводах [им.] Марти и [им.] 61 [коммунара] в Николаеве не внушает особых опасений своевременного выполнения заказа. Серьезное положение создалось с испытанием лодок и своевременной отправкой их на Дальний Восток. Первые три подлодки в намеченный срок, 1 декабря, отправлены на Дальний Восток своевременно.</w:t>
      </w:r>
    </w:p>
    <w:p w14:paraId="1BBBFEA6" w14:textId="77777777" w:rsidR="009E3DAA" w:rsidRPr="00C33834" w:rsidRDefault="009E3DAA" w:rsidP="00C33834">
      <w:pPr>
        <w:pStyle w:val="rtejustify"/>
        <w:spacing w:before="0" w:after="0"/>
        <w:rPr>
          <w:color w:val="000000" w:themeColor="text1"/>
          <w:sz w:val="16"/>
          <w:szCs w:val="16"/>
        </w:rPr>
      </w:pPr>
      <w:r w:rsidRPr="00C33834">
        <w:rPr>
          <w:color w:val="000000" w:themeColor="text1"/>
          <w:sz w:val="16"/>
          <w:szCs w:val="16"/>
        </w:rPr>
        <w:t>Очередная отправка трех подлодок 15 декабря сорвана. Основные причины — невозможность прохода подлодок в Севастополь для испытания из-за льда на р. Буг. В связи с этим помощник командира Мор[ских] сил Черного моря Разгон предложил заводам перенести глубоководные испытания и торпедные стрельбы на Дальний Восток. Заводы приступили к демонтажу лодок и подготовке к отправке. Начальник Мор[ских] сил Черного моря Орлов это распоряжение отменил, предложив произвести все испытания в Севастополе. Заводы снова приступили к монтажу демонтируемых лодок. Вслед за этим получилось новое распоряжение помощника начальника Мор[ских] сил Лудри: «Лодки не монтировать, а отправить их на транспортерах в Севастополь» (несмотря на то, что севастопольский кран маломощный и не обеспечивает подъем лодок).</w:t>
      </w:r>
    </w:p>
    <w:p w14:paraId="1624DEBB" w14:textId="77777777" w:rsidR="009E3DAA" w:rsidRPr="00C33834" w:rsidRDefault="009E3DAA" w:rsidP="00C33834">
      <w:pPr>
        <w:pStyle w:val="rtejustify"/>
        <w:spacing w:before="0" w:after="0"/>
        <w:rPr>
          <w:color w:val="000000" w:themeColor="text1"/>
          <w:sz w:val="16"/>
          <w:szCs w:val="16"/>
        </w:rPr>
      </w:pPr>
      <w:r w:rsidRPr="00C33834">
        <w:rPr>
          <w:color w:val="000000" w:themeColor="text1"/>
          <w:sz w:val="16"/>
          <w:szCs w:val="16"/>
        </w:rPr>
        <w:t>В настоящее время получены указания об отправке четырех подлодок в Севастополь водой. Заводы решили погрузить лодки на нефтевоз и на буксире двух ледоколов провести через льды в открытое море, где при помощи 150-тонного плавучего крана снять с нефтевоза и отправить своим ходом. Таким же путем намечена отправка последующих партий. Специалисты высказывают сомнение в устойчивости нефтевоза при погрузке на одну его сторону четырех подлодок. Это обстоятельство проверяется (19723).</w:t>
      </w:r>
    </w:p>
    <w:p w14:paraId="1F8156CB" w14:textId="77777777" w:rsidR="009E3DAA" w:rsidRPr="00C33834" w:rsidRDefault="009E3DAA" w:rsidP="00C33834">
      <w:pPr>
        <w:spacing w:after="0" w:line="240" w:lineRule="auto"/>
        <w:jc w:val="both"/>
        <w:rPr>
          <w:rFonts w:ascii="Times New Roman" w:hAnsi="Times New Roman"/>
          <w:color w:val="000000" w:themeColor="text1"/>
          <w:sz w:val="16"/>
          <w:szCs w:val="16"/>
        </w:rPr>
      </w:pPr>
    </w:p>
    <w:p w14:paraId="3FEB7FB0" w14:textId="77777777" w:rsidR="009E3DAA" w:rsidRPr="00C33834" w:rsidRDefault="009E3DA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декабря 1933 г. начальник МС РККА докладывал НКО и председателю РВС о необходимости приобретения у итальянской фирмы «Уайтхед-Фиуме» ещѐ одной партии скоростных торпед (50 узлов) в количестве 50 штук. Данная необходимость обосновывалась потребностью увеличить торпедный боезапас скоростными торпедами и получить возможность освоения производства отечественной промышленностью данного типа вооружения, в виде образца. А 19 декабря 1933 г. НКО и председатель РВС обратился к председателю СТО СССР В. М. Молотову с ходатайством о закупке 50-ти торпед у фирмы «Уайтхед» в г. Фиуме. И уже 21 декабря 1933 г. вышло постановление СТО СССР о закупке вышеуказанного вооружения и предоставления необходимых средств, для его приобретения [Там же, д. 235, л. 8-10] (18258).</w:t>
      </w:r>
    </w:p>
    <w:p w14:paraId="488E69E4" w14:textId="77777777" w:rsidR="009E3DAA" w:rsidRPr="00C33834" w:rsidRDefault="009E3DAA" w:rsidP="00C33834">
      <w:pPr>
        <w:spacing w:after="0" w:line="240" w:lineRule="auto"/>
        <w:jc w:val="both"/>
        <w:rPr>
          <w:rFonts w:ascii="Times New Roman" w:hAnsi="Times New Roman"/>
          <w:color w:val="000000" w:themeColor="text1"/>
          <w:sz w:val="16"/>
          <w:szCs w:val="16"/>
        </w:rPr>
      </w:pPr>
    </w:p>
    <w:p w14:paraId="1A811956" w14:textId="77777777" w:rsidR="00CE35D9" w:rsidRPr="00C33834" w:rsidRDefault="00CE35D9" w:rsidP="00C33834">
      <w:pPr>
        <w:spacing w:after="0" w:line="240" w:lineRule="auto"/>
        <w:jc w:val="both"/>
        <w:rPr>
          <w:rFonts w:ascii="Times New Roman" w:eastAsia="TimesNewRoman" w:hAnsi="Times New Roman"/>
          <w:color w:val="000000" w:themeColor="text1"/>
          <w:sz w:val="16"/>
          <w:szCs w:val="16"/>
        </w:rPr>
      </w:pPr>
      <w:r w:rsidRPr="00C33834">
        <w:rPr>
          <w:rFonts w:ascii="Times New Roman" w:eastAsia="TimesNewRoman" w:hAnsi="Times New Roman"/>
          <w:color w:val="000000" w:themeColor="text1"/>
          <w:sz w:val="16"/>
          <w:szCs w:val="16"/>
        </w:rPr>
        <w:t>16 декабря 1933 г. начальник МС РККА докладывал НКО и председателю РВС о необходимости приобретения у итальянской фирмы «Уайтхед-Фиуме» ещѐ одной партии скоростных торпед (50 узлов) в количестве 50 штук. Данная необходимость обосновывалась потребностью увеличить торпедный боезапас скоростными торпедами и получить возможность освоения производства отечественной промышленностью данного типа вооружения, в виде образца. А 19 декабря 1933 г. НКО и председатель РВС обратился к председателю СТО СССР В. М. Молотову с ходатайством о закупке 50-ти торпед у фирмы «Уайтхед» в г. Фиуме.</w:t>
      </w:r>
    </w:p>
    <w:p w14:paraId="65B5B2FC" w14:textId="77777777" w:rsidR="00CE35D9" w:rsidRPr="00C33834" w:rsidRDefault="00CE35D9" w:rsidP="00C33834">
      <w:pPr>
        <w:spacing w:after="0" w:line="240" w:lineRule="auto"/>
        <w:jc w:val="both"/>
        <w:rPr>
          <w:rFonts w:ascii="Times New Roman" w:eastAsia="TimesNewRoman" w:hAnsi="Times New Roman"/>
          <w:color w:val="000000" w:themeColor="text1"/>
          <w:sz w:val="16"/>
          <w:szCs w:val="16"/>
        </w:rPr>
      </w:pPr>
      <w:r w:rsidRPr="00C33834">
        <w:rPr>
          <w:rFonts w:ascii="Times New Roman" w:eastAsia="TimesNewRoman" w:hAnsi="Times New Roman"/>
          <w:color w:val="000000" w:themeColor="text1"/>
          <w:sz w:val="16"/>
          <w:szCs w:val="16"/>
        </w:rPr>
        <w:lastRenderedPageBreak/>
        <w:t>И уже 21 декабря 1933 г. вышло постановление СТО СССР о закупке вышеуказанного вооружения и предоставления необходимых средств, для его приобретения [Там же, д. 235, л. 8-10] (12701).</w:t>
      </w:r>
    </w:p>
    <w:p w14:paraId="06A056FA" w14:textId="77777777" w:rsidR="00CE35D9" w:rsidRPr="00C33834" w:rsidRDefault="00CE35D9" w:rsidP="00C33834">
      <w:pPr>
        <w:spacing w:after="0" w:line="240" w:lineRule="auto"/>
        <w:jc w:val="both"/>
        <w:rPr>
          <w:rFonts w:ascii="Times New Roman" w:eastAsia="TimesNewRoman" w:hAnsi="Times New Roman"/>
          <w:color w:val="000000" w:themeColor="text1"/>
          <w:sz w:val="16"/>
          <w:szCs w:val="16"/>
        </w:rPr>
      </w:pPr>
    </w:p>
    <w:p w14:paraId="2BCDF1CD"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16 декабря 1933 г.</w:t>
      </w:r>
    </w:p>
    <w:p w14:paraId="16C216EC"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ЗАПИСКА ПО ПРЯМОМУ ПРОВОДУ ГПУ УССР</w:t>
      </w:r>
    </w:p>
    <w:p w14:paraId="2EF62038"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 ходе строительства подлодок в Николаеве</w:t>
      </w:r>
    </w:p>
    <w:p w14:paraId="333EDEEF"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16 декабря 1933 г.</w:t>
      </w:r>
    </w:p>
    <w:p w14:paraId="0DFB4175"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54972</w:t>
      </w:r>
    </w:p>
    <w:p w14:paraId="7B0AD5AE"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Совершенно секретно</w:t>
      </w:r>
    </w:p>
    <w:p w14:paraId="69B46C8B"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Москва</w:t>
      </w:r>
    </w:p>
    <w:p w14:paraId="49B505E9"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Зам. председателя ОГПУ т. Ягоде</w:t>
      </w:r>
    </w:p>
    <w:p w14:paraId="40B08753"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Ход строительства малых подлодок типа «Малютка» для Дальнего Востока на заводах [им.] Марти и [им.] 61 [коммунара] в Николаеве не внушает особых опасений своевременного выполнения заказа. Серьезное положение создалось с испытанием лодок и своевременной отправкой их на Дальний Восток. Первые три подлодки в намеченный срок, 1 декабря, отправлены на Дальний Восток своевременно.</w:t>
      </w:r>
    </w:p>
    <w:p w14:paraId="4F444029"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Очередная отправка трех подлодок 15 декабря сорвана. Основные причины - невозможность прохода подлодок в Севастополь для испытания из-за льда на р. Буг. В связи с этим помощник командира Мор[ских] сил Черного моря Разгон предложил заводам перенести глубоководные испытания и торпедные стрельбы на Дальний Восток. Заводы приступили к демонтажу лодок и подготовке к отправке. Начальник Мор[ских] сил Черного моря Орлов это распоряжение отменил, предложив произвести все испытания в Севастополе. Заводы снова приступили к монтажу демонтируемых лодок. Вслед за этим получилось новое распоряжение помощника начальника Мор[ских] сил Лудри: «Лодки не монтировать, а отправить их на транспортерах в Севастополь» (несмотря на то, что севастопольский кран маломощный и не обеспечивает подъем лодок).</w:t>
      </w:r>
    </w:p>
    <w:p w14:paraId="085E49E7"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настоящее время получены указания об отправке четырех подлодок в Севастополь водой. Заводы решили погрузить лодки на нефтевоз и на буксире двух ледоколов провести через льды в открытое море, где при помощи 150-тонного плавучего крана снять с нефтевоза и отправить своим ходом. Таким же путем намечена отправка последующих партий.</w:t>
      </w:r>
    </w:p>
    <w:p w14:paraId="2445D0B4"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Специалисты высказывают сомнение в устойчивости нефтевоза при погрузке на одну его сторону четырех подлодок. Это обстоятельство проверяется.</w:t>
      </w:r>
    </w:p>
    <w:p w14:paraId="25643C32"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Карлсон</w:t>
      </w:r>
    </w:p>
    <w:p w14:paraId="1166037D"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Рассылается:</w:t>
      </w:r>
    </w:p>
    <w:p w14:paraId="11A0842A"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Сталину; 2) Ворошилову; 3) Орджоникидзе; 4) Агранову; 5) Гаю;</w:t>
      </w:r>
    </w:p>
    <w:p w14:paraId="55FB0A1C"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Миронову.</w:t>
      </w:r>
    </w:p>
    <w:p w14:paraId="1ABFBF9F"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Ф. 2. Оп. 11. Д. 1021. Л. 47. Заверенная копия (21072).</w:t>
      </w:r>
    </w:p>
    <w:p w14:paraId="4926FC5F" w14:textId="77777777" w:rsidR="0009760C" w:rsidRPr="00C33834" w:rsidRDefault="0009760C" w:rsidP="00C33834">
      <w:pPr>
        <w:spacing w:after="0" w:line="240" w:lineRule="auto"/>
        <w:jc w:val="both"/>
        <w:rPr>
          <w:rFonts w:ascii="Times New Roman" w:hAnsi="Times New Roman"/>
          <w:color w:val="0070C0"/>
          <w:sz w:val="16"/>
          <w:szCs w:val="16"/>
        </w:rPr>
      </w:pPr>
    </w:p>
    <w:p w14:paraId="503557BC"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2973B9DD"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7AE22B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декабря 1933 после признания правительством США СССР было официально заявлено об установлении дипотношений (3186).</w:t>
      </w:r>
    </w:p>
    <w:p w14:paraId="4E7668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F8B1C33"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6C5910B"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45A15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декабря 1934 был собран каркас дублера И-14, после чего приступили к его обшивке, которую завершили 7 января 1934 г. Первоначальные чертежи на каркас были изъяты из производства по причине перехода на гладкую обшивку, а новые чертежи завод получил лишь 25 ноября 1933 г.</w:t>
      </w:r>
    </w:p>
    <w:p w14:paraId="6EF8E7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Консоли крыла были собраны 13 января 1934 г. </w:t>
      </w:r>
    </w:p>
    <w:p w14:paraId="5DDB1AE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Центроплан был готов полностью 8 января 1934 г. Оперение собрали раньше - к середине декабря 1933 г., 22 декабря собрали элероны, которые из-за изменения обшивки застряли в производстве на целый месяц.</w:t>
      </w:r>
    </w:p>
    <w:p w14:paraId="39A3DCD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5E5D1F6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358A2B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10A079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776280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18ECE1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29B61C6" w14:textId="77777777" w:rsidR="00661CFE" w:rsidRPr="00C33834" w:rsidRDefault="00661CFE" w:rsidP="00C33834">
      <w:pPr>
        <w:spacing w:after="0" w:line="240" w:lineRule="auto"/>
        <w:jc w:val="both"/>
        <w:rPr>
          <w:rStyle w:val="af0"/>
          <w:rFonts w:ascii="Times New Roman" w:hAnsi="Times New Roman"/>
          <w:i w:val="0"/>
          <w:color w:val="000000" w:themeColor="text1"/>
          <w:sz w:val="16"/>
          <w:szCs w:val="16"/>
        </w:rPr>
      </w:pPr>
      <w:r w:rsidRPr="00C33834">
        <w:rPr>
          <w:rStyle w:val="af0"/>
          <w:rFonts w:ascii="Times New Roman" w:hAnsi="Times New Roman"/>
          <w:i w:val="0"/>
          <w:color w:val="000000" w:themeColor="text1"/>
          <w:sz w:val="16"/>
          <w:szCs w:val="16"/>
        </w:rPr>
        <w:t xml:space="preserve">17 декабря 1933 г. </w:t>
      </w:r>
      <w:r w:rsidRPr="00C33834">
        <w:rPr>
          <w:rFonts w:ascii="Times New Roman" w:hAnsi="Times New Roman"/>
          <w:color w:val="000000" w:themeColor="text1"/>
          <w:sz w:val="16"/>
          <w:szCs w:val="16"/>
        </w:rPr>
        <w:t>Доклад начальника Военно-морской инспекции НК РКИ СССР Н. В. Куйбышева председателю СТО СССР В. М. Молотову о состоянии производства авиационных прицелов для бомбометания</w:t>
      </w:r>
    </w:p>
    <w:p w14:paraId="2E02C94A" w14:textId="77777777" w:rsidR="00661CFE" w:rsidRPr="00C33834" w:rsidRDefault="00661CFE" w:rsidP="00C33834">
      <w:pPr>
        <w:spacing w:after="0" w:line="240" w:lineRule="auto"/>
        <w:jc w:val="both"/>
        <w:rPr>
          <w:rFonts w:ascii="Times New Roman" w:hAnsi="Times New Roman"/>
          <w:color w:val="000000" w:themeColor="text1"/>
          <w:sz w:val="16"/>
          <w:szCs w:val="16"/>
        </w:rPr>
      </w:pPr>
      <w:r w:rsidRPr="00C33834">
        <w:rPr>
          <w:rStyle w:val="af0"/>
          <w:rFonts w:ascii="Times New Roman" w:hAnsi="Times New Roman"/>
          <w:i w:val="0"/>
          <w:color w:val="000000" w:themeColor="text1"/>
          <w:sz w:val="16"/>
          <w:szCs w:val="16"/>
        </w:rPr>
        <w:t>Совершенно секретно.</w:t>
      </w:r>
    </w:p>
    <w:p w14:paraId="3BF0E5FD" w14:textId="77777777" w:rsidR="00661CFE" w:rsidRPr="00C33834" w:rsidRDefault="00661CFE" w:rsidP="00C33834">
      <w:pPr>
        <w:pStyle w:val="rtejustify"/>
        <w:spacing w:before="0" w:after="0"/>
        <w:rPr>
          <w:color w:val="000000" w:themeColor="text1"/>
          <w:sz w:val="16"/>
          <w:szCs w:val="16"/>
        </w:rPr>
      </w:pPr>
      <w:r w:rsidRPr="00C33834">
        <w:rPr>
          <w:color w:val="000000" w:themeColor="text1"/>
          <w:sz w:val="16"/>
          <w:szCs w:val="16"/>
        </w:rPr>
        <w:t>Правительством 29 сентября 1933 г. было констатировано крайне неудовлетворительное выполнение программы по военной оптике и в особенности по авиаприцелам. Указав тт. Толоконцеву, Трофимову и директорам заводов на их особую ответственность за выполнение программы и определив на IV квартал 1933 г.: ОПБ</w:t>
      </w:r>
      <w:r w:rsidRPr="00C33834">
        <w:rPr>
          <w:color w:val="000000" w:themeColor="text1"/>
          <w:sz w:val="16"/>
          <w:szCs w:val="16"/>
        </w:rPr>
        <w:noBreakHyphen/>
        <w:t>1 — 550 шт., ОПБ</w:t>
      </w:r>
      <w:r w:rsidRPr="00C33834">
        <w:rPr>
          <w:color w:val="000000" w:themeColor="text1"/>
          <w:sz w:val="16"/>
          <w:szCs w:val="16"/>
        </w:rPr>
        <w:noBreakHyphen/>
        <w:t>2 — 30 шт., правительством было предложено через полтора месяца доложить о ходе выполнения программы.</w:t>
      </w:r>
    </w:p>
    <w:p w14:paraId="23B3E70A" w14:textId="77777777" w:rsidR="00661CFE" w:rsidRPr="00C33834" w:rsidRDefault="00661CFE" w:rsidP="00C33834">
      <w:pPr>
        <w:pStyle w:val="rtejustify"/>
        <w:spacing w:before="0" w:after="0"/>
        <w:rPr>
          <w:color w:val="000000" w:themeColor="text1"/>
          <w:sz w:val="16"/>
          <w:szCs w:val="16"/>
        </w:rPr>
      </w:pPr>
      <w:r w:rsidRPr="00C33834">
        <w:rPr>
          <w:color w:val="000000" w:themeColor="text1"/>
          <w:sz w:val="16"/>
          <w:szCs w:val="16"/>
        </w:rPr>
        <w:t>Военная инспекция ЦКК</w:t>
      </w:r>
      <w:r w:rsidRPr="00C33834">
        <w:rPr>
          <w:color w:val="000000" w:themeColor="text1"/>
          <w:sz w:val="16"/>
          <w:szCs w:val="16"/>
        </w:rPr>
        <w:noBreakHyphen/>
        <w:t>НК РКИ, проверяя выполнение этого задания, произвела обследование производства авиаприцелов на заводе ГОМЗ в Ленинграде и установила, что за полуторамесячный срок перелома в организации производства и в выполнении программы не достигнуто. Никаких особых решительных мероприятий (несмотря на указания правительства об особой ответственности), здесь проведено не было, дело оставалось почти на прежнем уровне и на 1 декабря 1933 г. выполнение программы находится в следующем виде: ОПБ</w:t>
      </w:r>
      <w:r w:rsidRPr="00C33834">
        <w:rPr>
          <w:color w:val="000000" w:themeColor="text1"/>
          <w:sz w:val="16"/>
          <w:szCs w:val="16"/>
        </w:rPr>
        <w:noBreakHyphen/>
        <w:t>1 из 550 шт. — 144 шт. — 26%; ОПБ</w:t>
      </w:r>
      <w:r w:rsidRPr="00C33834">
        <w:rPr>
          <w:color w:val="000000" w:themeColor="text1"/>
          <w:sz w:val="16"/>
          <w:szCs w:val="16"/>
        </w:rPr>
        <w:noBreakHyphen/>
        <w:t>2 из 30 шт. — 0 — 0%.</w:t>
      </w:r>
    </w:p>
    <w:p w14:paraId="47B33317" w14:textId="77777777" w:rsidR="00661CFE" w:rsidRPr="00C33834" w:rsidRDefault="00661CFE" w:rsidP="00C33834">
      <w:pPr>
        <w:pStyle w:val="rtejustify"/>
        <w:spacing w:before="0" w:after="0"/>
        <w:rPr>
          <w:color w:val="000000" w:themeColor="text1"/>
          <w:sz w:val="16"/>
          <w:szCs w:val="16"/>
        </w:rPr>
      </w:pPr>
      <w:r w:rsidRPr="00C33834">
        <w:rPr>
          <w:color w:val="000000" w:themeColor="text1"/>
          <w:sz w:val="16"/>
          <w:szCs w:val="16"/>
        </w:rPr>
        <w:t>Причина невыполнения программы и крайне неудовлетворительная постановка дела по производству авиаприцелов кроются, главным образом, в совершенно неудовлетворительной организации этого дела с самого его начала, в недостаточном внимании к нему со стороны управляющего ВООМП т. Трофимова и директора завода т. Уварова. Так первые три образца ОПБ</w:t>
      </w:r>
      <w:r w:rsidRPr="00C33834">
        <w:rPr>
          <w:color w:val="000000" w:themeColor="text1"/>
          <w:sz w:val="16"/>
          <w:szCs w:val="16"/>
        </w:rPr>
        <w:noBreakHyphen/>
        <w:t>2 были изготовлены заводом в апреле 1932 г., а спустя полтора года производство их остается неосвоенным. До сего времени не закончены чертежи, не разработаны технологические процессы, не подготовлен инструмент, не поставлено достаточно тщательное изготовление деталей в заготовительных цехах, вследствие чего при сборке требуются значительные доделки и подгонка. Сборка этих приборов не обеспечена достаточным количеством квалифицированной рабочей силы, подготовкой которой ни завод, ни объединение не озаботились, несмотря на то, что изучение заграничных приборов (Герц-Байков), по которым копировался прибор ОПБ</w:t>
      </w:r>
      <w:r w:rsidRPr="00C33834">
        <w:rPr>
          <w:color w:val="000000" w:themeColor="text1"/>
          <w:sz w:val="16"/>
          <w:szCs w:val="16"/>
        </w:rPr>
        <w:noBreakHyphen/>
        <w:t>2, началось еще с 1931 г. Неудовлетворительно поставлена и организация конструкторских разработок, которые сначала ведутся конструкторским бюро ВООМПа, а затем при передаче на завод переделываются конструкторским бюро завода. Это приводит к полной обезличке и безответственности.</w:t>
      </w:r>
    </w:p>
    <w:p w14:paraId="40BBC5A2" w14:textId="77777777" w:rsidR="00661CFE" w:rsidRPr="00C33834" w:rsidRDefault="00661CFE" w:rsidP="00C33834">
      <w:pPr>
        <w:pStyle w:val="rtejustify"/>
        <w:spacing w:before="0" w:after="0"/>
        <w:rPr>
          <w:color w:val="000000" w:themeColor="text1"/>
          <w:sz w:val="16"/>
          <w:szCs w:val="16"/>
        </w:rPr>
      </w:pPr>
      <w:r w:rsidRPr="00C33834">
        <w:rPr>
          <w:color w:val="000000" w:themeColor="text1"/>
          <w:sz w:val="16"/>
          <w:szCs w:val="16"/>
        </w:rPr>
        <w:t>Опытные работы по новым конструкциям авиаприцелов также проходят неудовлетворительно. Так, например, авиаприцелы с вертикальным маятником и жироскопической вертилью изготовляются в течение трех лет, и фактический срок окончания их определить трудно. В результате — конструкции стареют, даже до постановки их на производство. НКТПром также не уделил достаточного внимания производству авиаприцелов и в течение 3 лет не озаботился обеспечением завода необходимым импортным оборудованием. Оборудование на 75 тыс. руб. ожидается только в первом полугодии 1934 г.</w:t>
      </w:r>
    </w:p>
    <w:p w14:paraId="7E99AE3E" w14:textId="77777777" w:rsidR="00661CFE" w:rsidRPr="00C33834" w:rsidRDefault="00661CFE" w:rsidP="00C33834">
      <w:pPr>
        <w:pStyle w:val="rtejustify"/>
        <w:spacing w:before="0" w:after="0"/>
        <w:rPr>
          <w:color w:val="000000" w:themeColor="text1"/>
          <w:sz w:val="16"/>
          <w:szCs w:val="16"/>
        </w:rPr>
      </w:pPr>
      <w:r w:rsidRPr="00C33834">
        <w:rPr>
          <w:color w:val="000000" w:themeColor="text1"/>
          <w:sz w:val="16"/>
          <w:szCs w:val="16"/>
        </w:rPr>
        <w:t xml:space="preserve">Помимо неудовлетворительной организации производства авиаприцелов, обращает на себя внимание и крайне слабая постановка производства в целом по заводам оптико-механической промышленности. Несмотря на наличие первоклассного импортного оборудования, на заводах процветает кустарщина, отсутствие проработанных технологических процессов, грязь и небрежность сборки, ржавчина и большой брак деталей, бесплановость, затоваривание одних деталей при недостаточности других, в частности, оптического стекла. Отсутствует специализация заводов — наблюдается загрузка их множеством номенклатур, дублирование без надобности на разных заводах одних и тех же объектов (танковые прицелы, бинокли — на трех заводах), изготовление каждым заводом по-своему и для себя ряда общих деталей и полуфабрикатов, как винты, литье, варка смолы, приготовление смазки и пр. При большом количестве цветного литья сложной конфигурации не организовано производство литья под давлением, что позволило бы обеспечить качество и однотипность деталей и сильно снизило бы загрузку механических станков. </w:t>
      </w:r>
      <w:r w:rsidRPr="00C33834">
        <w:rPr>
          <w:color w:val="000000" w:themeColor="text1"/>
          <w:sz w:val="16"/>
          <w:szCs w:val="16"/>
        </w:rPr>
        <w:lastRenderedPageBreak/>
        <w:t>Достижения научно-исследовательского института ГОИ в промышленности не внедряются, институт оторван от производства и не привлечен к разрешению конкретных задач оптико-механической промышленности. Все это усугубляется отсутствием твердого руководства заводами со стороны ВООМПа. Заводы по отношению к ВООМПу являются здесь феодальными княжествами и живут самостоятельной жизнью. Вошло в повседневный обиход прямое невыполнение директорами заводов (ГОМЗ, № 19) распоряжений управляющего ВООМПа т. Трофимова, который фактически не пользуется у директоров никаким авторитетом. И так — со времени постановления правительства от 29 сентября; в организации производства авиаприцелов реального перелома не достигнуто (по ОПБ</w:t>
      </w:r>
      <w:r w:rsidRPr="00C33834">
        <w:rPr>
          <w:color w:val="000000" w:themeColor="text1"/>
          <w:sz w:val="16"/>
          <w:szCs w:val="16"/>
        </w:rPr>
        <w:noBreakHyphen/>
        <w:t>1 — слабо, по ОПБ</w:t>
      </w:r>
      <w:r w:rsidRPr="00C33834">
        <w:rPr>
          <w:color w:val="000000" w:themeColor="text1"/>
          <w:sz w:val="16"/>
          <w:szCs w:val="16"/>
        </w:rPr>
        <w:noBreakHyphen/>
        <w:t>2 — совсем нет. Не обеспечено выполнение программы 1933 г. и достаточное развертывание производства на 1934 г. в соответствии с потребностями бомбардировочной авиации. С другой стороны, и НКВМор предъявил промышленности на 1934 г. заниженную программу по авиаприцелам. Эта программа не только не обеспечивает потребности авиации, но является даже ниже имеющихся производственных возможностей промышленности, определяемых самим же НКТПромом. Так, например:</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27"/>
        <w:gridCol w:w="3303"/>
        <w:gridCol w:w="3114"/>
        <w:gridCol w:w="3178"/>
      </w:tblGrid>
      <w:tr w:rsidR="00F26F01" w:rsidRPr="00C33834" w14:paraId="04FC7F36"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BE6AEB" w14:textId="77777777" w:rsidR="00661CFE" w:rsidRPr="00C33834" w:rsidRDefault="00661CF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8B6E0" w14:textId="77777777" w:rsidR="00661CFE" w:rsidRPr="00C33834" w:rsidRDefault="00661CF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Потребность УВВС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B2C92BC" w14:textId="77777777" w:rsidR="00661CFE" w:rsidRPr="00C33834" w:rsidRDefault="00661CF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Программа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5E461" w14:textId="77777777" w:rsidR="00661CFE" w:rsidRPr="00C33834" w:rsidRDefault="00661CF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Производственные</w:t>
            </w:r>
          </w:p>
          <w:p w14:paraId="25172BEA" w14:textId="77777777" w:rsidR="00661CFE" w:rsidRPr="00C33834" w:rsidRDefault="00661CF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возможности</w:t>
            </w:r>
          </w:p>
        </w:tc>
      </w:tr>
      <w:tr w:rsidR="00F26F01" w:rsidRPr="00C33834" w14:paraId="1227D230"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A8EDDE" w14:textId="77777777" w:rsidR="00661CFE" w:rsidRPr="00C33834" w:rsidRDefault="00661CF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ОПБ</w:t>
            </w:r>
            <w:r w:rsidRPr="00C33834">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A40C8" w14:textId="77777777" w:rsidR="00661CFE" w:rsidRPr="00C33834" w:rsidRDefault="00661CF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3F80C" w14:textId="77777777" w:rsidR="00661CFE" w:rsidRPr="00C33834" w:rsidRDefault="00661CF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FB176" w14:textId="77777777" w:rsidR="00661CFE" w:rsidRPr="00C33834" w:rsidRDefault="00661CF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1300</w:t>
            </w:r>
          </w:p>
        </w:tc>
      </w:tr>
      <w:tr w:rsidR="00F26F01" w:rsidRPr="00C33834" w14:paraId="586D70F8"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B73882" w14:textId="77777777" w:rsidR="00661CFE" w:rsidRPr="00C33834" w:rsidRDefault="00661CF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ОПБ</w:t>
            </w:r>
            <w:r w:rsidRPr="00C33834">
              <w:rPr>
                <w:rFonts w:ascii="Times New Roman" w:hAnsi="Times New Roman"/>
                <w:color w:val="000000" w:themeColor="text1"/>
                <w:sz w:val="16"/>
                <w:szCs w:val="16"/>
              </w:rPr>
              <w:noBreakHyphen/>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F8820" w14:textId="77777777" w:rsidR="00661CFE" w:rsidRPr="00C33834" w:rsidRDefault="00661CF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6169B" w14:textId="77777777" w:rsidR="00661CFE" w:rsidRPr="00C33834" w:rsidRDefault="00661CF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E1020" w14:textId="77777777" w:rsidR="00661CFE" w:rsidRPr="00C33834" w:rsidRDefault="00661CF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tc>
      </w:tr>
    </w:tbl>
    <w:p w14:paraId="7993AFA9" w14:textId="77777777" w:rsidR="00661CFE" w:rsidRPr="00C33834" w:rsidRDefault="00661CFE" w:rsidP="00C33834">
      <w:pPr>
        <w:pStyle w:val="rtejustify"/>
        <w:spacing w:before="0" w:after="0"/>
        <w:rPr>
          <w:color w:val="000000" w:themeColor="text1"/>
          <w:sz w:val="16"/>
          <w:szCs w:val="16"/>
        </w:rPr>
      </w:pPr>
      <w:r w:rsidRPr="00C33834">
        <w:rPr>
          <w:color w:val="000000" w:themeColor="text1"/>
          <w:sz w:val="16"/>
          <w:szCs w:val="16"/>
        </w:rPr>
        <w:t>Таким образом, бомбардировочная авиация, снабженная в настоящее время исключительно импортными прицелами и то только на 50%, на 1934 г. остается необеспеченной еще больше (обеспеченность будет 20%). Это приводит к тому, что бомбардировщики, оставшиеся без прицелов, будут небоеспособными, или же потребуют импорта около 5 млн. руб.</w:t>
      </w:r>
    </w:p>
    <w:p w14:paraId="31C6D0DE" w14:textId="77777777" w:rsidR="00661CFE" w:rsidRPr="00C33834" w:rsidRDefault="00661CFE" w:rsidP="00C33834">
      <w:pPr>
        <w:pStyle w:val="rtejustify"/>
        <w:spacing w:before="0" w:after="0"/>
        <w:rPr>
          <w:color w:val="000000" w:themeColor="text1"/>
          <w:sz w:val="16"/>
          <w:szCs w:val="16"/>
        </w:rPr>
      </w:pPr>
      <w:r w:rsidRPr="00C33834">
        <w:rPr>
          <w:color w:val="000000" w:themeColor="text1"/>
          <w:sz w:val="16"/>
          <w:szCs w:val="16"/>
        </w:rPr>
        <w:t>Полагаю, что утвержденную СТО 27 ноября 1933 г. программу на 1934 г. в части авиаприцелов необходимо пересмотреть в сторону увеличения хотя бы до имеющихся производственных возможностей. Помимо того необходимы решительные мероприятия по упорядочению организации оптико-механической промышленности в целом.</w:t>
      </w:r>
    </w:p>
    <w:p w14:paraId="3347B2D6" w14:textId="77777777" w:rsidR="00661CFE" w:rsidRPr="00C33834" w:rsidRDefault="00661CFE" w:rsidP="00C33834">
      <w:pPr>
        <w:pStyle w:val="rtejustify"/>
        <w:spacing w:before="0" w:after="0"/>
        <w:rPr>
          <w:color w:val="000000" w:themeColor="text1"/>
          <w:sz w:val="16"/>
          <w:szCs w:val="16"/>
        </w:rPr>
      </w:pPr>
      <w:r w:rsidRPr="00C33834">
        <w:rPr>
          <w:rStyle w:val="af0"/>
          <w:i w:val="0"/>
          <w:color w:val="000000" w:themeColor="text1"/>
          <w:sz w:val="16"/>
          <w:szCs w:val="16"/>
        </w:rPr>
        <w:t>Приложение</w:t>
      </w:r>
      <w:r w:rsidRPr="00C33834">
        <w:rPr>
          <w:color w:val="000000" w:themeColor="text1"/>
          <w:sz w:val="16"/>
          <w:szCs w:val="16"/>
        </w:rPr>
        <w:t>: проект постановления СТО¹*.</w:t>
      </w:r>
    </w:p>
    <w:p w14:paraId="60A47B94" w14:textId="77777777" w:rsidR="00661CFE" w:rsidRPr="00C33834" w:rsidRDefault="00661CFE" w:rsidP="00C33834">
      <w:pPr>
        <w:pStyle w:val="ae"/>
        <w:spacing w:before="0" w:after="0"/>
        <w:jc w:val="both"/>
        <w:rPr>
          <w:color w:val="000000" w:themeColor="text1"/>
          <w:sz w:val="16"/>
          <w:szCs w:val="16"/>
        </w:rPr>
      </w:pPr>
      <w:r w:rsidRPr="00C33834">
        <w:rPr>
          <w:rStyle w:val="af0"/>
          <w:i w:val="0"/>
          <w:color w:val="000000" w:themeColor="text1"/>
          <w:sz w:val="16"/>
          <w:szCs w:val="16"/>
        </w:rPr>
        <w:t>Член коллегии НК РКИ СССР, начальник В[оенной ] И[нспекции ] Куйбышев</w:t>
      </w:r>
    </w:p>
    <w:p w14:paraId="2125D3AE" w14:textId="77777777" w:rsidR="00661CFE" w:rsidRPr="00C33834" w:rsidRDefault="00661CFE" w:rsidP="00C33834">
      <w:pPr>
        <w:pStyle w:val="ae"/>
        <w:spacing w:before="0" w:after="0"/>
        <w:jc w:val="both"/>
        <w:rPr>
          <w:color w:val="000000" w:themeColor="text1"/>
          <w:sz w:val="16"/>
          <w:szCs w:val="16"/>
        </w:rPr>
      </w:pPr>
      <w:r w:rsidRPr="00C33834">
        <w:rPr>
          <w:rStyle w:val="af0"/>
          <w:i w:val="0"/>
          <w:color w:val="000000" w:themeColor="text1"/>
          <w:sz w:val="16"/>
          <w:szCs w:val="16"/>
        </w:rPr>
        <w:t>Примечание</w:t>
      </w:r>
      <w:r w:rsidRPr="00C33834">
        <w:rPr>
          <w:color w:val="000000" w:themeColor="text1"/>
          <w:sz w:val="16"/>
          <w:szCs w:val="16"/>
        </w:rPr>
        <w:t>:</w:t>
      </w:r>
    </w:p>
    <w:p w14:paraId="433677CD" w14:textId="77777777" w:rsidR="00661CFE" w:rsidRPr="00C33834" w:rsidRDefault="00661CFE" w:rsidP="00C33834">
      <w:pPr>
        <w:pStyle w:val="rtejustify"/>
        <w:spacing w:before="0" w:after="0"/>
        <w:rPr>
          <w:color w:val="000000" w:themeColor="text1"/>
          <w:sz w:val="16"/>
          <w:szCs w:val="16"/>
        </w:rPr>
      </w:pPr>
      <w:r w:rsidRPr="00C33834">
        <w:rPr>
          <w:color w:val="000000" w:themeColor="text1"/>
          <w:sz w:val="16"/>
          <w:szCs w:val="16"/>
        </w:rPr>
        <w:t>¹* Приложение не публикуется (см.: там же, л. 5</w:t>
      </w:r>
      <w:r w:rsidRPr="00C33834">
        <w:rPr>
          <w:color w:val="000000" w:themeColor="text1"/>
          <w:sz w:val="16"/>
          <w:szCs w:val="16"/>
        </w:rPr>
        <w:noBreakHyphen/>
        <w:t>7).</w:t>
      </w:r>
    </w:p>
    <w:p w14:paraId="1B9ED927" w14:textId="77777777" w:rsidR="00661CFE" w:rsidRPr="00C33834" w:rsidRDefault="00661CFE" w:rsidP="00C33834">
      <w:pPr>
        <w:pStyle w:val="ae"/>
        <w:spacing w:before="0" w:after="0"/>
        <w:jc w:val="both"/>
        <w:rPr>
          <w:color w:val="000000" w:themeColor="text1"/>
          <w:sz w:val="16"/>
          <w:szCs w:val="16"/>
        </w:rPr>
      </w:pPr>
      <w:r w:rsidRPr="00C33834">
        <w:rPr>
          <w:color w:val="000000" w:themeColor="text1"/>
          <w:sz w:val="16"/>
          <w:szCs w:val="16"/>
        </w:rPr>
        <w:t>ГА РФ. Ф. Р-8418. Оп. 9. Д. 89. Л. 1-4. Подлинник (15288).</w:t>
      </w:r>
    </w:p>
    <w:p w14:paraId="37FD734D" w14:textId="77777777" w:rsidR="00661CFE" w:rsidRPr="00C33834" w:rsidRDefault="00661CFE"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13D2B6A"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72B73E32"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ADA094F" w14:textId="77777777" w:rsidR="00661CFE" w:rsidRPr="00C33834" w:rsidRDefault="00661CFE" w:rsidP="00C33834">
      <w:pPr>
        <w:pStyle w:val="rtejustify"/>
        <w:spacing w:before="0" w:after="0"/>
        <w:rPr>
          <w:color w:val="000000" w:themeColor="text1"/>
          <w:sz w:val="16"/>
          <w:szCs w:val="16"/>
        </w:rPr>
      </w:pPr>
      <w:r w:rsidRPr="00C33834">
        <w:rPr>
          <w:rStyle w:val="af0"/>
          <w:bCs/>
          <w:i w:val="0"/>
          <w:color w:val="000000" w:themeColor="text1"/>
          <w:sz w:val="16"/>
          <w:szCs w:val="16"/>
        </w:rPr>
        <w:t>17 декабря 1933 вышел приказ НКТП № 232сс.</w:t>
      </w:r>
      <w:r w:rsidRPr="00C33834">
        <w:rPr>
          <w:color w:val="000000" w:themeColor="text1"/>
          <w:sz w:val="16"/>
          <w:szCs w:val="16"/>
        </w:rPr>
        <w:t xml:space="preserve"> О создании в ведении НКТП СССР конструкторского бюро для конструирования и изготовления опытных образцов и опытно-серийных партий по системам Курчевского. (РГАЭ. Ф. 7297. Оп. 38. Д. 38. Л. 228</w:t>
      </w:r>
      <w:r w:rsidRPr="00C33834">
        <w:rPr>
          <w:color w:val="000000" w:themeColor="text1"/>
          <w:sz w:val="16"/>
          <w:szCs w:val="16"/>
        </w:rPr>
        <w:noBreakHyphen/>
        <w:t>227) (15246).</w:t>
      </w:r>
    </w:p>
    <w:p w14:paraId="19A4135D" w14:textId="77777777" w:rsidR="00661CFE" w:rsidRPr="00C33834" w:rsidRDefault="00661CFE" w:rsidP="00C33834">
      <w:pPr>
        <w:pStyle w:val="rtejustify"/>
        <w:spacing w:before="0" w:after="0"/>
        <w:rPr>
          <w:color w:val="000000" w:themeColor="text1"/>
          <w:sz w:val="16"/>
          <w:szCs w:val="16"/>
        </w:rPr>
      </w:pPr>
    </w:p>
    <w:p w14:paraId="46878D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 декабря 1933 6-я железнодорожная батарея в составе трех транспортеров ТМ-1-14 прибыла на дальневосточную станцию Первая Речка (11454).</w:t>
      </w:r>
    </w:p>
    <w:p w14:paraId="5948B8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5DDF1E3"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E956F6D"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5E079E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18-27 декабря 1933 проводилось обследование завода ХАЗОС - программа 110 К-5, К-7, ВС, ХАИ-1 (2287,11).</w:t>
      </w:r>
    </w:p>
    <w:p w14:paraId="0FB123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99C7F47" w14:textId="77777777" w:rsidR="0042145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23CB90AD" w14:textId="77777777" w:rsidR="00421459" w:rsidRPr="00C33834" w:rsidRDefault="0042145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379F412" w14:textId="77777777" w:rsidR="00421459" w:rsidRPr="00C33834" w:rsidRDefault="00421459"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18 декабря 1933 г. была премьера «</w:t>
      </w:r>
      <w:r w:rsidRPr="00C33834">
        <w:rPr>
          <w:rFonts w:ascii="Times New Roman" w:eastAsia="Times New Roman" w:hAnsi="Times New Roman"/>
          <w:iCs/>
          <w:color w:val="000000" w:themeColor="text1"/>
          <w:sz w:val="16"/>
          <w:szCs w:val="16"/>
          <w:lang w:eastAsia="ru-RU"/>
        </w:rPr>
        <w:t>Оптимистической трагедии</w:t>
      </w:r>
      <w:r w:rsidRPr="00C33834">
        <w:rPr>
          <w:rFonts w:ascii="Times New Roman" w:eastAsia="Times New Roman" w:hAnsi="Times New Roman"/>
          <w:color w:val="000000" w:themeColor="text1"/>
          <w:sz w:val="16"/>
          <w:szCs w:val="16"/>
          <w:lang w:eastAsia="ru-RU"/>
        </w:rPr>
        <w:t xml:space="preserve">» в Камерном театре, режиссер Таиров, роль </w:t>
      </w:r>
      <w:r w:rsidRPr="00C33834">
        <w:rPr>
          <w:rFonts w:ascii="Times New Roman" w:eastAsia="Times New Roman" w:hAnsi="Times New Roman"/>
          <w:iCs/>
          <w:color w:val="000000" w:themeColor="text1"/>
          <w:sz w:val="16"/>
          <w:szCs w:val="16"/>
          <w:lang w:eastAsia="ru-RU"/>
        </w:rPr>
        <w:t>Комиссара</w:t>
      </w:r>
      <w:r w:rsidRPr="00C33834">
        <w:rPr>
          <w:rFonts w:ascii="Times New Roman" w:eastAsia="Times New Roman" w:hAnsi="Times New Roman"/>
          <w:color w:val="000000" w:themeColor="text1"/>
          <w:sz w:val="16"/>
          <w:szCs w:val="16"/>
          <w:lang w:eastAsia="ru-RU"/>
        </w:rPr>
        <w:t xml:space="preserve"> играет Алиса Коонен. В</w:t>
      </w:r>
      <w:r w:rsidRPr="00C33834">
        <w:rPr>
          <w:rFonts w:ascii="Times New Roman" w:eastAsia="Times New Roman" w:hAnsi="Times New Roman"/>
          <w:bCs/>
          <w:color w:val="000000" w:themeColor="text1"/>
          <w:sz w:val="16"/>
          <w:szCs w:val="16"/>
          <w:lang w:eastAsia="ru-RU"/>
        </w:rPr>
        <w:t>арианты первонач. названий — «Гимн матросам», «Триумфальная Трагедия» И др.) — пьеса в 3 актах В.В.Вишневского посв. автором 15-й годовщине Октябрьской революции (17325).</w:t>
      </w:r>
    </w:p>
    <w:p w14:paraId="08952B5D" w14:textId="77777777" w:rsidR="00421459" w:rsidRPr="00C33834" w:rsidRDefault="00421459" w:rsidP="00C33834">
      <w:pPr>
        <w:autoSpaceDE w:val="0"/>
        <w:autoSpaceDN w:val="0"/>
        <w:adjustRightInd w:val="0"/>
        <w:spacing w:after="0" w:line="240" w:lineRule="auto"/>
        <w:jc w:val="both"/>
        <w:rPr>
          <w:rFonts w:ascii="Times New Roman" w:hAnsi="Times New Roman"/>
          <w:color w:val="000000" w:themeColor="text1"/>
          <w:sz w:val="16"/>
          <w:szCs w:val="16"/>
        </w:rPr>
      </w:pPr>
    </w:p>
    <w:p w14:paraId="5DAD3393" w14:textId="77777777" w:rsidR="00091E70" w:rsidRPr="00C33834" w:rsidRDefault="00091E7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декабря 1933. В Камерном театре состоялась премьера пьесы Вс. Вишневского "Оптимистическая трагедия". Постановка А. Я. Таирова. В роли комиссара А. Г. Коонен (18722).</w:t>
      </w:r>
    </w:p>
    <w:p w14:paraId="58A06F5C" w14:textId="77777777" w:rsidR="00091E70" w:rsidRPr="00C33834" w:rsidRDefault="00091E70" w:rsidP="00C33834">
      <w:pPr>
        <w:spacing w:after="0" w:line="240" w:lineRule="auto"/>
        <w:jc w:val="both"/>
        <w:rPr>
          <w:rFonts w:ascii="Times New Roman" w:hAnsi="Times New Roman"/>
          <w:color w:val="000000" w:themeColor="text1"/>
          <w:sz w:val="16"/>
          <w:szCs w:val="16"/>
        </w:rPr>
      </w:pPr>
    </w:p>
    <w:p w14:paraId="1DDCF7E9" w14:textId="77777777" w:rsidR="0042145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11F772B" w14:textId="77777777" w:rsidR="00421459" w:rsidRPr="00C33834" w:rsidRDefault="0042145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BCF44BA"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18 декабря 1933 состоялся первый полет Northrop XFT (20802).</w:t>
      </w:r>
    </w:p>
    <w:p w14:paraId="198C6DC9" w14:textId="77777777" w:rsidR="0009760C" w:rsidRPr="00C33834" w:rsidRDefault="0009760C" w:rsidP="00C33834">
      <w:pPr>
        <w:spacing w:after="0" w:line="240" w:lineRule="auto"/>
        <w:jc w:val="both"/>
        <w:rPr>
          <w:rFonts w:ascii="Times New Roman" w:hAnsi="Times New Roman"/>
          <w:color w:val="0070C0"/>
          <w:sz w:val="16"/>
          <w:szCs w:val="16"/>
        </w:rPr>
      </w:pPr>
    </w:p>
    <w:p w14:paraId="3B5C862C"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18 декабря 1933 - Первый полет прототипа палубного истребителяNorthrop XFT.  Выпустив Спецификацию No. SD-204 от 24 января 1933 года, требовавшую истребитель новой конструкции, и находясь под впечатлением от результатов, полученных Нортропом от его серии самолетов Gamma и Delta, 8 мая 1933 года Флот США заказал прототип XFT-1 в качестве второго типа экспериментального истребителя-низкоплана. Из-за плохой управляемости на малых скоростях и плохих штопорных характеристик в серии не строился (22699).</w:t>
      </w:r>
    </w:p>
    <w:p w14:paraId="67940AC4" w14:textId="77777777" w:rsidR="0009760C" w:rsidRPr="00C33834" w:rsidRDefault="0009760C" w:rsidP="00C33834">
      <w:pPr>
        <w:spacing w:after="0" w:line="240" w:lineRule="auto"/>
        <w:jc w:val="both"/>
        <w:rPr>
          <w:rFonts w:ascii="Times New Roman" w:hAnsi="Times New Roman"/>
          <w:color w:val="0070C0"/>
          <w:sz w:val="16"/>
          <w:szCs w:val="16"/>
        </w:rPr>
      </w:pPr>
    </w:p>
    <w:p w14:paraId="6F2B7812" w14:textId="77777777" w:rsidR="00421459" w:rsidRPr="00C33834" w:rsidRDefault="00421459"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18 декабря 1933 г. был меморандум Гитлера о праве на вооружение. П</w:t>
      </w:r>
      <w:r w:rsidRPr="00C33834">
        <w:rPr>
          <w:rFonts w:ascii="Times New Roman" w:eastAsia="Times New Roman" w:hAnsi="Times New Roman"/>
          <w:bCs/>
          <w:color w:val="000000" w:themeColor="text1"/>
          <w:sz w:val="16"/>
          <w:szCs w:val="16"/>
          <w:lang w:eastAsia="ru-RU"/>
        </w:rPr>
        <w:t>равительство Гитлера, сорвав конференцию по разоружению (</w:t>
      </w:r>
      <w:r w:rsidRPr="00C33834">
        <w:rPr>
          <w:rFonts w:ascii="Times New Roman" w:eastAsia="Times New Roman" w:hAnsi="Times New Roman"/>
          <w:color w:val="000000" w:themeColor="text1"/>
          <w:sz w:val="16"/>
          <w:szCs w:val="16"/>
          <w:lang w:eastAsia="ru-RU"/>
        </w:rPr>
        <w:t>19 октября 1933 г.</w:t>
      </w:r>
      <w:r w:rsidRPr="00C33834">
        <w:rPr>
          <w:rFonts w:ascii="Times New Roman" w:eastAsia="Times New Roman" w:hAnsi="Times New Roman"/>
          <w:bCs/>
          <w:color w:val="000000" w:themeColor="text1"/>
          <w:sz w:val="16"/>
          <w:szCs w:val="16"/>
          <w:lang w:eastAsia="ru-RU"/>
        </w:rPr>
        <w:t xml:space="preserve">), упорно отстаивало свою программу равноправия в вооружениях, сформулированную в меморандуме, переданном Франции </w:t>
      </w:r>
      <w:r w:rsidRPr="00C33834">
        <w:rPr>
          <w:rFonts w:ascii="Times New Roman" w:eastAsia="Times New Roman" w:hAnsi="Times New Roman"/>
          <w:color w:val="000000" w:themeColor="text1"/>
          <w:sz w:val="16"/>
          <w:szCs w:val="16"/>
          <w:lang w:eastAsia="ru-RU"/>
        </w:rPr>
        <w:t>18 декабря 1933 г.</w:t>
      </w:r>
      <w:r w:rsidRPr="00C33834">
        <w:rPr>
          <w:rFonts w:ascii="Times New Roman" w:eastAsia="Times New Roman" w:hAnsi="Times New Roman"/>
          <w:bCs/>
          <w:color w:val="000000" w:themeColor="text1"/>
          <w:sz w:val="16"/>
          <w:szCs w:val="16"/>
          <w:lang w:eastAsia="ru-RU"/>
        </w:rPr>
        <w:t xml:space="preserve"> Оно требовало увеличения рейхсвера до 300 тысяч человек, с годичным сроком службы; оно настаивало на праве Германии иметь все те виды вооружений, которыми располагали другие страны. В особенности добивалось оно освобождения гражданской авиации от всякого контроля и ограничений (17325).</w:t>
      </w:r>
    </w:p>
    <w:p w14:paraId="71AA475E" w14:textId="77777777" w:rsidR="00421459" w:rsidRPr="00C33834" w:rsidRDefault="0042145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C80D2AB"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51EA4CA"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3A4BBD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декабря 1933 Нач. НТО ГУАП Алмазов писал в ЦАГИ Чижевскому письмо N 302/769с:</w:t>
      </w:r>
    </w:p>
    <w:p w14:paraId="41C6F48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"Препровождаю при сем материал по продольной устойчивости К-7 с просьбой вернуть в декадный срок (2306).</w:t>
      </w:r>
    </w:p>
    <w:p w14:paraId="089EEB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3AC4B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декабря 1933 третью мотораму установили на дублере И-14 и в тот же день на него установили мотор. 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13C74E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6021CB0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0B762A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4F4C26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763CE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декабря 1933 года в НИИ ВВС закончились гос. испытания "магазинов" крупнокалиберного 12,7 мм пулемета системы Дегтярева (ДК), которые проходили с 15 декабря 1933.</w:t>
      </w:r>
    </w:p>
    <w:p w14:paraId="0AE38A2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5638E3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15 сектора НИИ ВВС Базенау</w:t>
      </w:r>
    </w:p>
    <w:p w14:paraId="5F8CAD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 Инженер 15 сектора НИИ ВВС Воротников</w:t>
      </w:r>
    </w:p>
    <w:p w14:paraId="32D891A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3958DF7B"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Магазины к пулемету ДК 1-го и 2-го вариантов конструкции Кладова испытания выдержали.</w:t>
      </w:r>
    </w:p>
    <w:p w14:paraId="2182386B"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пулеметам ДК, подаваемым для ВВС, ввести магазины конструкции Кладова 1-го варианта (емкостью на 30 штук патронов) из расчета 6 магазинов на пулемет.</w:t>
      </w:r>
    </w:p>
    <w:p w14:paraId="1BBB2655"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Магазин конструкции Лещинского и Заворуева испытаний не выдержал (7396, 68-77).</w:t>
      </w:r>
    </w:p>
    <w:p w14:paraId="75BA4CF6"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72781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19 декабря 1933 на очередном совещании сотрудников техникума ГГАТ (Горьковский Гражданский Авиатехникум - в противоположность Авиатехникуму имени Баранова, готовившему кадры для авиационного завода N 21 и гражданским не являвшимся) начальник мастерских М.В.Веселовский сообщил коллегам о заключении с пожарными договора на постройку аэросаней. Поскольку госбюджетных ассигнований на аэросани не предусматривалось, необходимую сумму собрали члены низовой ячейки общества "Автодор" при ГУПО. Общую компоновку аэросаней разработал М.В.Веселовский, а в выполнении расчетов отдельных узлов участвовали Е.И.Малеханов, В.А.Зверев, Н.А.Куняев - родной дядя известного литератора и литературного же функционера С.Ю.Куняева, А.А.Смолин - будущий создатель гоночных автомобилей и др. Аэросани имели закрытый корпус деревянной конструкции, обшитый снаружи 3- и изнутри 2-миллиметровой фанерой. Двигатель ГАЗ-АА был установлен в задней верхней части корпуса, причем "его коленчатый вал был соединен со стальным воздушным винтом, при помощи механизма сцепления применяемого на автомобилях ГАЗ". Запуск двигателя, впервые в отечественной практике, осуществлялся при помощи электрического стартера с места водителя, хотя возможность запуска мотора проворачиванием пропеллера не исключалась (11435).</w:t>
      </w:r>
    </w:p>
    <w:p w14:paraId="11A05A1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FAC82C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декабря 1933 на очередном совещании сотрудников техникума начальник мастерских М.В.Веселовский сообщил коллегам о заключении с пожарными договора на постройку аэросаней. Поскольку госбюджетных ассигнований на аэросани не предусматривалось, необходимую сумму собрали члены низовой ячейки общества "Автодор" при ГУПО. Общую компоновку аэросаней разработал М.В.Веселовский, а в выполнении расчетов отдельных узлов участвовали Е.И.Малеханов, В.А.Зверев, Н.А.Куняев - родной дядя известного литератора и литературного же функционера С.Ю.Куняева, А.А.Смолин - будущий создатель гоночных автомобилей и др. Аэросани имели закрытый корпус деревянной конструкции, обшитый снаружи 3- и изнутри 2-миллиметровой фанерой. Двигатель ГАЗ-АА был установлен в задней верхней части корпуса, причем "его коленчатый вал был соединен со стальным воздушным винтом, при помощи механизма сцепления применяемого на автомобилях ГАЗ". Запуск двигателя, впервые в отечественной практике, осуществлялся при помощи электрического стартера с места водителя, хотя возможность запуска мотора проворачиванием пропеллера не исключалась. Постройку пожарных аэросаней "ГГАТ" начали 1 января 1934 года и завершили через месяц. 8 февраля аэросани отправились в столицу на устроенный "Автодоромом" слёт аэросаней и вездеходов. 17 февраля на льду Москва-реки были устроены соревнования, на деле превратившиеся в сольное выступление горьковчан - у "ГГАТ" просто не нашлось достойного соперника. После соревнований аэросани "ГГАТ" совершили пробег по московской области и 28 февраля вернулись в Горький. Пока "ГГАТ" ездили в столицу, в техникуме построили вторые аэросани, названные "ГГАТ-2". Получив ожидаемые аэросани, работники ГУПО решили проверить "ГГАТы" в действии. В период с 8 по 25 марта горьковские пожарные совершили инспекторско-агитационный пробег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Успех был полным, и техникуму был выдан заказ на партию аэросаней для перевозки почты в Северном Крае. Аэросани "ГГАТ-1" по требованию заказчика оснастили пожарным насосом. В таком виде аэросани приступили к исполнению служебных обязанностей во второй зимний сезон. С развитием дорожной сети и, главное, с успешным завершением коллективизации в 1937-38 годах, ГУПО практически перестало испытывать потребность в инспекторских аэросанях (11824).</w:t>
      </w:r>
    </w:p>
    <w:p w14:paraId="28224AD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69DCA36"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E63449F"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14C5AC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декабря 1933 г. в ведении НКТП в ведении НКТП начал строиться завод № 97 (Завод № 97 НКТП, НКОП, НКХП, МХП, Иркутский химический комбинат № 1, Усольский химический комбинат № 1, и/я 14, комбинат «Усольехимпром» (УХП), Усольское ПО «Химпром» МХП, ОАО, ООО «Усольехимпром» /665462 (665470)  г. Усолье-Сибирское Иркутской обл. п/о 12 тел. 57-220/). 2.08.1936 г. выдал первую продукцию - этиловую жидкость для повышения октанового числа бензина, этот день стал днем рождения завода. В соответствии с пост. СНК№ 2139-425сс от 21.12.1936 г. и пр. НКОП№ 05с от 29.12.1936 г. завод № 97 передан из Главоргхимпрома НКТП в ГУ военно-химической промышленности НКОП. Приказом № 107 от 21.03.1937 г. утвержден Устав ГС завода № 97 6ГУ НКОП. В соответствии с пост. СНК№ 1960-390сс от 5.11.1936 г. и пр. № 068 от 2.04.1937 г. завод переведен в группу особо режимных предприятий, в 12.1938 г. - в ведении 6ГУ. Имел наименование «п/я 14».</w:t>
      </w:r>
    </w:p>
    <w:p w14:paraId="59438E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Приказом № 0022 от 3.02.1937 г. заводу предписано к 1.01.1938 г. создать мощности по выпуску этиловой жидкости - 500 т в год.</w:t>
      </w:r>
    </w:p>
    <w:p w14:paraId="0FBA3CB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10.1941 г. сюда был эвакуирован хлорный завод из  г. Саки; в 08.1942 г. - оборудование завода № 91 из Сталинграда. На нем была попытка организовать производство иприта.</w:t>
      </w:r>
      <w:r w:rsidRPr="00C33834">
        <w:rPr>
          <w:rFonts w:ascii="Times New Roman" w:hAnsi="Times New Roman"/>
          <w:color w:val="000000" w:themeColor="text1"/>
          <w:sz w:val="16"/>
          <w:szCs w:val="16"/>
          <w:vertAlign w:val="superscript"/>
        </w:rPr>
        <w:t>71</w:t>
      </w:r>
      <w:r w:rsidRPr="00C33834">
        <w:rPr>
          <w:rFonts w:ascii="Times New Roman" w:hAnsi="Times New Roman"/>
          <w:color w:val="000000" w:themeColor="text1"/>
          <w:sz w:val="16"/>
          <w:szCs w:val="16"/>
        </w:rPr>
        <w:t xml:space="preserve"> В 04.1943 г. началось производство хлора и каустика. Распоряжением ГКО № 3957 от 19.08.1943 г. строительство цехов хлора, каустика и тролита-10 было прекращено; реконструкция ТЭЦ завода перенесена на 1944 г.</w:t>
      </w:r>
    </w:p>
    <w:p w14:paraId="76B8F1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1942 г. создан литейный цех, в 1952 г. образован Проектно-конструкторский отдел, в 1966 г. - цеха № 4021 и ПК-4-9.</w:t>
      </w:r>
    </w:p>
    <w:p w14:paraId="300864D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1956 г. начато производство перекиси водорода (цех № 121); с 1961 г. - кислорода и азота; с 1962 г. - каустической соды, пущен комплекс цехов хлорной группы; с 1963 г. - ацетилена и ПВХ (цех № 1301); с 1966 г. - крупнотоннажное производство карбида кальция; с 1967 г. - бытовой химии (чистящих, отбеливающих средств); с 1969 г. - единственное в стране производство метилцеллюлозы; с 1974 г. - первое в стране производство нейтрального гипохлорида кальция; с 1975 г. - трихлорэтилена; с 1983 г. - металлического натрия; с 1988 г. - эпихлоргидрина; с 1999 г. - эпоксидно-диановой смолы.</w:t>
      </w:r>
    </w:p>
    <w:p w14:paraId="4D11A0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1946 г. завод - в ведении МХП. С 10.08.1959 г. завод вошел в состав Иркутского химкомбината № 1. 20.11.1967 г. преобразован в Усольский химкобинат № 1, 6.08.1975 г. переименован в Усольское ПО «Химпром» МХП. Имелось производство в н/п Зима (1987 г.). 21.10.1992 г. (или 16.03.1993 г.) ПО «Химпром» преобразовано в АООТ, затем - ОАО «Усольехимпром». В 12.2002 г. на ОАО введено внешнее наблюдение, в 05.2003 г. ОАО «Усольехимпром» признано банкротом. В 2003 г. создано ООО «ХимпромУсолье». 19.12.2003 г. образовано ООО «Усольехимпром». Входит в группу «Нитол» (2004 г.).</w:t>
      </w:r>
    </w:p>
    <w:p w14:paraId="383762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распоряжению правительства № 2393-рс от 17.11.1970 г. на строительство Усольского химкомбината направлено 3 военно-технических отряда МО.</w:t>
      </w:r>
    </w:p>
    <w:p w14:paraId="3FC03D0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составе комбината (1980-е): завод № 3 (производство кремнийорганических продуктов, в 1992 г. выделен в самостоятельное предприятие); цех № 179 (монокристаллы, с 1992 г. - самостоятельное предприятие, позже - ОАО «Кристалл»). Был цех ртутного электролиза, остановлен в 1998 г. В составе комбината (2001 г.): заводы № 1, № 2 и № 3 (производство карбида кальция, ацетилена и трихлорэтилена), ремонтно-механический завод (РМЗ), железнодорожный и автотранспортный цеха. В 2002 г. имелись цеха: № 121 - производство водорода, № 1301 - производство ПВХ, № 5001 - производство пропилена, цех ПК-4-9, ПТ, ПМК, цех электроснабжения; в 2003 г. - цеха № 2102, № 2202, № 2702- производство соляной кислоты и хлористого водорода, № 2801 - производство гипохлорита кальция, № 3202, № 3510, № 4001, № 4021 -производство кислорода, азота и аргона, № 4330, № 5002, № 5011, ПК-12А, отделения № 3001, № 5015 - производство азота, отдел оперативного планирования и контроля производства. В 2003 г. создан отдел производственно-хозяйственной деятельности; на базе цехов 3510, 5011 и ПК-12А создано централизованное ремонтно-монтажное производство (ЦРМП). В 2004 г. был цех № 3220. В 2004 г. производство эфиров целлюлозы выделено в самостоятельное предприятие - ООО «НИТОЛ-эфиры целлюлозы». В 01.2005 г. на базе производства ТНП создано ООО «Химбыт».</w:t>
      </w:r>
    </w:p>
    <w:p w14:paraId="4CF266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(2001 г.): каустическая сода, смола ПХВ, эпихлоргидрин, карбид кальция, трихлорэтилен, металлический натрий, перекись водорода.</w:t>
      </w:r>
    </w:p>
    <w:p w14:paraId="0A59BD9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Численность персонала (1993 г.)- 7700 чел., (2004 г.)- 5600 чел.</w:t>
      </w:r>
    </w:p>
    <w:p w14:paraId="2FCBDD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(23.06.1937 г.-)- Ф.Н. Митрофанов, (1940-е)- Е.М. Коростов. Гендиректор (1990-е)- А. Г. Сальманов, (1999-2001 г.)- Н.Ф. Губина, (2001-03 г.)- Д.В. Котенко, (-04.2003-04 г.)-  Г.В. Вечканов, (10.11.2004-06 г.)- А.Л. Митрофанов, (01.2007 г.-)- А.В. Тихонов.</w:t>
      </w:r>
    </w:p>
    <w:p w14:paraId="3AFB14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1-й зам. гендиректора (-2001-03 г.-)- Л.Т. Иванов. Зам. директора по безопасности (2004 г.)- А.В. Крушинский.</w:t>
      </w:r>
    </w:p>
    <w:p w14:paraId="4D57649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Директор: по производству (-2003 г.)- М. Муртазин, (1.10.2003-01.2007 г.)- А.В. Тихонов; технический (-2003- 04 г.-)- В. Г. Прокопьев; исполнительный (11.11.2004 г.-)-  Г.В. Вечканов; по качеству (-2003-04 г.-)- В.Б. Животков; по общим вопросам (2003 г.)- </w:t>
      </w:r>
      <w:r w:rsidRPr="00C33834">
        <w:rPr>
          <w:rFonts w:ascii="Times New Roman" w:hAnsi="Times New Roman"/>
          <w:color w:val="000000" w:themeColor="text1"/>
          <w:sz w:val="16"/>
          <w:szCs w:val="16"/>
          <w:lang w:val="en-US"/>
        </w:rPr>
        <w:t>JI</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T</w:t>
      </w:r>
      <w:r w:rsidRPr="00C33834">
        <w:rPr>
          <w:rFonts w:ascii="Times New Roman" w:hAnsi="Times New Roman"/>
          <w:color w:val="000000" w:themeColor="text1"/>
          <w:sz w:val="16"/>
          <w:szCs w:val="16"/>
        </w:rPr>
        <w:t>. Иванов; по персоналу (2003 г.)- И.В. Моисеева, (2006 г.)- А. Петренко; завода № 1 (2003 г.)- В.В. Константинов; завода № 2 (2003 г.)- Ю.В. Неизвестных; завода № 3 (-2003 г.)- А.В- Тихонов; РМЗ (2003 г.)- Е.Н. Симутин.</w:t>
      </w:r>
    </w:p>
    <w:p w14:paraId="2CBAA4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Зам.: технического директора (2003 г.)- В. Константинов; директора по качеству (2004 г.)- </w:t>
      </w:r>
      <w:r w:rsidRPr="00C33834">
        <w:rPr>
          <w:rFonts w:ascii="Times New Roman" w:hAnsi="Times New Roman"/>
          <w:color w:val="000000" w:themeColor="text1"/>
          <w:sz w:val="16"/>
          <w:szCs w:val="16"/>
          <w:lang w:val="en-US"/>
        </w:rPr>
        <w:t>JI</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B</w:t>
      </w:r>
      <w:r w:rsidRPr="00C33834">
        <w:rPr>
          <w:rFonts w:ascii="Times New Roman" w:hAnsi="Times New Roman"/>
          <w:color w:val="000000" w:themeColor="text1"/>
          <w:sz w:val="16"/>
          <w:szCs w:val="16"/>
        </w:rPr>
        <w:t>. Прокопьева; директора по развитию (2004 г.)- В. Константинов.</w:t>
      </w:r>
    </w:p>
    <w:p w14:paraId="0F4E9C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(27.03.1937 г.-)- В.И. Малахов.</w:t>
      </w:r>
    </w:p>
    <w:p w14:paraId="55E09DD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технолог (-2004-05 г.-)- А.Н. Дорофеев. Гл. механик (2004 г.)- А.В. Фортунов. Гл. диспетчер (1.08.2002 г.-)- А. Афанасьев.</w:t>
      </w:r>
    </w:p>
    <w:p w14:paraId="2514E3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управлений: внешней торговли (2002 г.)- В.А. Булынин; снабжения (-2003-04 г.-)- В.А. Червонин.</w:t>
      </w:r>
    </w:p>
    <w:p w14:paraId="2D698D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цехов: № 121 (2003 г.)- Л. Рядчиков; № 2701 (2004 г.)- А.В. Гурков; ПТ (2004 г.)- С.И. Жданов; тепловодоканализации (2003 г.)- А. Митюков; А.В. Тихонов.</w:t>
      </w:r>
    </w:p>
    <w:p w14:paraId="4561AC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начальников цехов: ПК 1-9 (2004 г.)- И.Ю. Манохин; 121 (2004 г.)- Е.Н. Кузнецов.</w:t>
      </w:r>
    </w:p>
    <w:p w14:paraId="4F1781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отделов: ОПиАП и.о. (2003 г.)- С.А. Андреева; новых технологий (2003 г.)- В. Ерощук; энергосбережения (-2003-04 г.-)- А.В. Купаносов; охраны труда (2003 г.)- Н. Панченко; корпоративной культуры (2003 г.)- Е.А. Кропочева; социального развития (2003 г.)-  Г.Н. Жемойдина; обучения и развития персонала (2003 г.)- С. Суханова; финансового (2004 г.)- И.В. Сустов.</w:t>
      </w:r>
    </w:p>
    <w:p w14:paraId="53C1CB1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РМУ-1 (2004 г.)- В.Н. Попов; сектора профилактических работ (2002 г.)- В. Лазарев; санитарной лаборатории (2002 г.)-  Г. Григорьева; отделения цеха 5001 (2004 г.)- Ю.А. Шаргородский (11982).</w:t>
      </w:r>
    </w:p>
    <w:p w14:paraId="4C984396" w14:textId="77777777" w:rsidR="00661CFE" w:rsidRPr="00C33834" w:rsidRDefault="00661CFE" w:rsidP="00C33834">
      <w:pPr>
        <w:spacing w:after="0" w:line="240" w:lineRule="auto"/>
        <w:jc w:val="both"/>
        <w:rPr>
          <w:rFonts w:ascii="Times New Roman" w:eastAsia="TimesNewRoman" w:hAnsi="Times New Roman"/>
          <w:color w:val="000000" w:themeColor="text1"/>
          <w:sz w:val="16"/>
          <w:szCs w:val="16"/>
        </w:rPr>
      </w:pPr>
    </w:p>
    <w:p w14:paraId="0865A75D" w14:textId="77777777" w:rsidR="00CE35D9" w:rsidRPr="00C33834" w:rsidRDefault="00CE35D9" w:rsidP="00C33834">
      <w:pPr>
        <w:spacing w:after="0" w:line="240" w:lineRule="auto"/>
        <w:jc w:val="both"/>
        <w:rPr>
          <w:rFonts w:ascii="Times New Roman" w:eastAsia="TimesNewRoman" w:hAnsi="Times New Roman"/>
          <w:color w:val="000000" w:themeColor="text1"/>
          <w:sz w:val="16"/>
          <w:szCs w:val="16"/>
        </w:rPr>
      </w:pPr>
      <w:r w:rsidRPr="00C33834">
        <w:rPr>
          <w:rFonts w:ascii="Times New Roman" w:eastAsia="TimesNewRoman" w:hAnsi="Times New Roman"/>
          <w:color w:val="000000" w:themeColor="text1"/>
          <w:sz w:val="16"/>
          <w:szCs w:val="16"/>
        </w:rPr>
        <w:t>19 декабря 1933 г. НКО и председатель РВС обратился к председателю СТО СССР В. М. Молотову с ходатайством о закупке 50-ти торпед у фирмы «Уайтхед» в г. Фиуме.</w:t>
      </w:r>
    </w:p>
    <w:p w14:paraId="3ED25468" w14:textId="77777777" w:rsidR="00CE35D9" w:rsidRPr="00C33834" w:rsidRDefault="00CE35D9" w:rsidP="00C33834">
      <w:pPr>
        <w:spacing w:after="0" w:line="240" w:lineRule="auto"/>
        <w:jc w:val="both"/>
        <w:rPr>
          <w:rFonts w:ascii="Times New Roman" w:eastAsia="TimesNewRoman" w:hAnsi="Times New Roman"/>
          <w:color w:val="000000" w:themeColor="text1"/>
          <w:sz w:val="16"/>
          <w:szCs w:val="16"/>
        </w:rPr>
      </w:pPr>
      <w:r w:rsidRPr="00C33834">
        <w:rPr>
          <w:rFonts w:ascii="Times New Roman" w:eastAsia="TimesNewRoman" w:hAnsi="Times New Roman"/>
          <w:color w:val="000000" w:themeColor="text1"/>
          <w:sz w:val="16"/>
          <w:szCs w:val="16"/>
        </w:rPr>
        <w:lastRenderedPageBreak/>
        <w:t>И уже 21 декабря 1933 г. вышло постановление СТО СССР о закупке вышеуказанного вооружения и предоставления необходимых средств, для его приобретения [Там же, д. 235, л. 8-10] (12701).</w:t>
      </w:r>
    </w:p>
    <w:p w14:paraId="25FCE769" w14:textId="77777777" w:rsidR="00CE35D9" w:rsidRPr="00C33834" w:rsidRDefault="00CE35D9" w:rsidP="00C33834">
      <w:pPr>
        <w:spacing w:after="0" w:line="240" w:lineRule="auto"/>
        <w:jc w:val="both"/>
        <w:rPr>
          <w:rFonts w:ascii="Times New Roman" w:eastAsia="TimesNewRoman" w:hAnsi="Times New Roman"/>
          <w:color w:val="000000" w:themeColor="text1"/>
          <w:sz w:val="16"/>
          <w:szCs w:val="16"/>
        </w:rPr>
      </w:pPr>
    </w:p>
    <w:p w14:paraId="72466183" w14:textId="77777777" w:rsidR="00091E70" w:rsidRPr="00C33834" w:rsidRDefault="00091E7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декабря 1933 г. НКО и председатель РВС обратился к председателю СТО СССР В. М. Молотову с ходатайством о закупке 50-ти торпед у фирмы «Уайтхед» в г. Фиуме. И уже 21 декабря 1933 г. вышло постановление СТО СССР о закупке вышеуказанного вооружения и предоставления необходимых средств, для его приобретения [Там же, д. 235, л. 8-10] (18258).</w:t>
      </w:r>
    </w:p>
    <w:p w14:paraId="1117CB8A" w14:textId="77777777" w:rsidR="00091E70" w:rsidRPr="00C33834" w:rsidRDefault="00091E70" w:rsidP="00C33834">
      <w:pPr>
        <w:spacing w:after="0" w:line="240" w:lineRule="auto"/>
        <w:jc w:val="both"/>
        <w:rPr>
          <w:rFonts w:ascii="Times New Roman" w:hAnsi="Times New Roman"/>
          <w:color w:val="000000" w:themeColor="text1"/>
          <w:sz w:val="16"/>
          <w:szCs w:val="16"/>
        </w:rPr>
      </w:pPr>
    </w:p>
    <w:p w14:paraId="5F341752"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19 декабря 1933 опросом членов ПБ</w:t>
      </w:r>
    </w:p>
    <w:p w14:paraId="6C6F92EE"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109/84.- О подлодках.</w:t>
      </w:r>
    </w:p>
    <w:p w14:paraId="0F64B51E"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Предложить НКВоду предоставить в распоряже</w:t>
      </w:r>
      <w:r w:rsidRPr="00C33834">
        <w:rPr>
          <w:rFonts w:ascii="Times New Roman" w:hAnsi="Times New Roman"/>
          <w:color w:val="0070C0"/>
          <w:sz w:val="16"/>
          <w:szCs w:val="16"/>
        </w:rPr>
        <w:softHyphen/>
        <w:t>ние НКВМ транспорт "Союз водников"(танкер) для переброски подлодок "Малютка" из Николаева в Сева</w:t>
      </w:r>
      <w:r w:rsidRPr="00C33834">
        <w:rPr>
          <w:rFonts w:ascii="Times New Roman" w:hAnsi="Times New Roman"/>
          <w:color w:val="0070C0"/>
          <w:sz w:val="16"/>
          <w:szCs w:val="16"/>
        </w:rPr>
        <w:softHyphen/>
        <w:t>стополь.</w:t>
      </w:r>
    </w:p>
    <w:p w14:paraId="2584EEBB"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Янсону, Ворошилову, Базилевичу.</w:t>
      </w:r>
    </w:p>
    <w:p w14:paraId="77C74390"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20 декабря 1933 состоялось заседание ПБ и был оформлен протокол № 151 (23001).</w:t>
      </w:r>
    </w:p>
    <w:p w14:paraId="3277DE07" w14:textId="77777777" w:rsidR="0009760C" w:rsidRPr="00C33834" w:rsidRDefault="0009760C" w:rsidP="00C33834">
      <w:pPr>
        <w:spacing w:after="0" w:line="240" w:lineRule="auto"/>
        <w:jc w:val="both"/>
        <w:rPr>
          <w:rFonts w:ascii="Times New Roman" w:hAnsi="Times New Roman"/>
          <w:color w:val="0070C0"/>
          <w:sz w:val="16"/>
          <w:szCs w:val="16"/>
        </w:rPr>
      </w:pPr>
    </w:p>
    <w:p w14:paraId="58E824CE"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5CD8CB1A"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3F47D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декабря 1933 года П. И. Травин, нач. вагоностроительного КБ Мытищенского з-да выступил на промышленном активе «О новой технике в Московской области между XVI и XVII съездами партии»,, где он, в частности, говорил: «Я работал в США 13 лет. Нам нужно использовать в максимальной степени американскую технику, нам надо провести большую конструкторскую работу применительно к нашим условиям… Ближайшим прототипом вагона метро является последняя модель Нью­йоркского метрополитена, которая была построена в 1931 году фирмой «Вести гаузен»… Самым новшеством будет вагон сплошной металлической конструкции для метрополитена, проект которого закончен и уже идет подготовка к постройке его на Мытищинском вагонном заводе» (11612).</w:t>
      </w:r>
    </w:p>
    <w:p w14:paraId="55754A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FA4CE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декабря 1933 года секретным циркуляром ОГПУ № 124 всем подведомственным органам сообщался порядок освобождения из “исправительно-трудовых лагерей ОГПУ, в связи с установлением паспортного режима”. К освобождающимся из лагерей предписывалось применять “дифференцированный подход”.</w:t>
      </w:r>
    </w:p>
    <w:p w14:paraId="409B58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Не получали паспорта и не прописывались в режимных местностях осужденные за следующие преступления: контрреволюционную деятельность (исключения делались для лиц, “прикрепленных по постановлениям ОГПУ к определенным предприятиям для работы” и амнистированных специальными постановлениями правительства, то есть высококвалифицированных специалистов, без которых не могло работать ни одно производство), бандитизм, массовые беспорядки, уклонение от призыва на военную службу “с отягчающими признаками”, фальшивомонетчество и подделку документов, контрабанду, выезд за границу и въезд в СССР “без разрешения”, нарушение монополии внешней торговли и правил о валютных операциях, злостный неплатеж налогов и отказ от выполнения повинностей, побег арестованных, самогоноварение, сопротивление представителям власти с насилием, насилие в отношении общественников-активистов, растрату, взяточничество и взяткодательство, расхищение государственного и общественного имущества, незаконное производство абортов, растление малолетних, изнасилование, сводничество, повторные кражи , разбой, мошенничество, поджог, шпионаж. Из приведенного перечня видно, что в разряд преступников попали не только уголовники и политические противники режима, но и та многомиллионная масса населения, которая стала жертвой различных “экспериментов” советской власти при построении социалистического общества. Многие были осуждены без всякой вины с их стороны, так как, согласно комментарию к уголовному кодексу в редакции 1926 года, под “преступным деянием” понималось “покушение на основные завоевания пролетарской революции; следовательно, оконченный состав преступного деяния будет уже с момента покушения; фактических вредных последствий может и не быть” </w:t>
      </w:r>
      <w:r w:rsidRPr="00C33834">
        <w:rPr>
          <w:rFonts w:ascii="Times New Roman" w:hAnsi="Times New Roman"/>
          <w:color w:val="000000" w:themeColor="text1"/>
          <w:sz w:val="16"/>
          <w:szCs w:val="16"/>
          <w:vertAlign w:val="superscript"/>
        </w:rPr>
        <w:t>30</w:t>
      </w:r>
      <w:r w:rsidRPr="00C33834">
        <w:rPr>
          <w:rFonts w:ascii="Times New Roman" w:hAnsi="Times New Roman"/>
          <w:color w:val="000000" w:themeColor="text1"/>
          <w:sz w:val="16"/>
          <w:szCs w:val="16"/>
        </w:rPr>
        <w:t>.</w:t>
      </w:r>
    </w:p>
    <w:p w14:paraId="229300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кто отбыл “срочное лишение свободы, ссылку или высылку по вступившим в силу приговорам судов и коллегии ОГПУ” за перечисленные выше преступления, включались в специальный перечень лиц, которым в режимных местностях паспорта не выдавались (9985).</w:t>
      </w:r>
    </w:p>
    <w:p w14:paraId="7C78D1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2192B36"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5A9B9B8B"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EAB170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декабря 1933 СССР выступил с предложением о заключении Тихоокеанского пакта (3186).</w:t>
      </w:r>
    </w:p>
    <w:p w14:paraId="249F91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89FD3E6"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690D3D4"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CEDFA92"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19-23 декабря 1933 проходит Вторая Международная встреча авиация в Египте. 32 спортсмена принимают участие в трех соревнованиях: двухдневный тур на 900 миль (1450 км) под названием «Трасса оазисов»; соревнование на скорость 230 миль (370 км); и соревнование «Оазис Трофи», в котором участники соревнуются за трофей на основании количества очков, набранных ими в двух других соревнованиях. Участники ограничены в чрезвычайно сложной системе подсчета очков, которая учитывает расход топлива, скорость складывания крыльев, комфорт, пикетирование, взлетно-посадочную дистанцию, багаж, запуск двигателя, устройства безопасности, органы управления и инструменты, заправку топливом, простоту обслуживания и критерий безопасности, который требует от них выключить двигатели на высоте 2 000 футов (610 метров) и спланировать на посадку (20802).</w:t>
      </w:r>
    </w:p>
    <w:p w14:paraId="00B29340" w14:textId="77777777" w:rsidR="0009760C" w:rsidRPr="00C33834" w:rsidRDefault="0009760C" w:rsidP="00C33834">
      <w:pPr>
        <w:spacing w:after="0" w:line="240" w:lineRule="auto"/>
        <w:jc w:val="both"/>
        <w:rPr>
          <w:rFonts w:ascii="Times New Roman" w:hAnsi="Times New Roman"/>
          <w:color w:val="0070C0"/>
          <w:sz w:val="16"/>
          <w:szCs w:val="16"/>
        </w:rPr>
      </w:pPr>
    </w:p>
    <w:p w14:paraId="3D1B4B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декабря 1933 в ходе парламентских выборов в Испании победу одержал блок правых партий (3186).</w:t>
      </w:r>
    </w:p>
    <w:p w14:paraId="5B2B4A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6D71AA0"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25253016"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EB28C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декабря 1933 г. были утверждена технические требования к военному варианту МГ, в которых учли многие недостатки ТБ-4. Например, большое внимание уделили верхней мотоустановке. Памятуя о мучениях с ее эксплуатацией, военные потребовали ввести на крыле площадки и гнезда для установки подъемного крана и грузовой стрелы, необходимых для монтажа и демонтажа двигателей и радиатора. Стрела должна была быть сконструирована именно к данному типу самолета, и поставляться вместе с ним. Также к бомбардировщику должны был придаваться комплект лестниц для осмотра верхней мотоустановки и хвостового оперения. На самой мотоустановке необходимо было сделать откидные площадки обслуживания.</w:t>
      </w:r>
    </w:p>
    <w:p w14:paraId="42B80E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Категорически требовали избавиться от течи водяных радиаторов. Но, видимо, не надеясь, что это реально, заодно и предусмотрели в комплектации переносные бачки-тер- мосы с ручными насосами для пополнения запаса воды в системе в полете. Механик, ходящий по коридору внутри крыла, должен был следить за уровнем в расширительном бачке и при необходимости подливать из термоса теплую воду.</w:t>
      </w:r>
    </w:p>
    <w:p w14:paraId="2A1A163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заправки самолета бензином и маслом жестко ограничивалось. "...30 минут и ни одной минутой больше", - так и записано. Это тогда, когда обыкновенный аэродромный бензозаправщик являлся редкостью! Баки заливали ведрами, канистрами, в лучшем случае - ручным насосом-"альвеером" из бочки. В то же время предлагалось уложиться с подвеской бомб. Требовалось наличие для этого на самолете электролебедок и дублирующих их ручных.</w:t>
      </w:r>
    </w:p>
    <w:p w14:paraId="45D3269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Туполеву многие требования военных очень не понравились. В частности, "30 минут и ни минуты больше" он справедливо счел сроком совершенно нереальным. По его мнению, после внесения ряда усовершенствований можно было постепенно прийти к часу, и лишь после получения опыта эксплуатации добиваться дальнейшего сокращения времени (12024).</w:t>
      </w:r>
    </w:p>
    <w:p w14:paraId="507CCD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EF760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декабря 1933 г. утвердили технические требования к военному варианту МГ и в них учли многие недостатки ТБ-4. Например, большое внимание уделили верхней мотоустановке. Памятуя о мучениях с ее эксплуатацией, военные потребовали ввести на крыле площадки и гнезда для установки подъемного крана и грузовой стрелы, необходимых для монтажа и демонтажа двигателей и радиатора. Стрела должна была быть сконструирована именно к данному типу самолета и поставляться вместе с ним. Также к бомбардировщику должны был придаваться комплект лестниц для осмотра верхней мотоустановки и хвостового оперения. На самой мотоустановке необходимо было сделать откидные площадки обслуживания.</w:t>
      </w:r>
    </w:p>
    <w:p w14:paraId="5334E6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Категорически требовали избавиться от течи водяных радиаторов. Но, видимо, не надеясь, что это реально, заодно и предусмотрели в комплектации переносные бачки- термосы с ручными насосами для пополнения запаса воды в системе в полете. Механик, ходящий по коридору внутри крыла, должен был следить за уровнем в расширительном бачке и при необходимости подливать из термоса теплую воду.</w:t>
      </w:r>
    </w:p>
    <w:p w14:paraId="2F6D0F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заправки самолета бензином и маслом жестко ограничивалось. "...30 минут и ни одной минутой больше", - так и записано. Это тогда, когда обыкновенный аэродромный бензозаправщик являлся редкостью! В то же время предлагалось уложиться с подвеской бомб. Требовалось наличие для этого электролебедок и дублирующих их ручных.</w:t>
      </w:r>
    </w:p>
    <w:p w14:paraId="0603EB7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Туполеву многие требования военных очень не понравились. В частности, "30 минут и ни минуты больше" он счел сроком совершенно нереальным. По его мнению, после внесения ряда усовершенствований можно было прийти к часу, и лишь после получения опыта эксплуатации добиваться дальнейшего сокращения времени (12036).</w:t>
      </w:r>
    </w:p>
    <w:p w14:paraId="5F6CEC5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3E91701"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lastRenderedPageBreak/>
        <w:t>20 декабря 1933 г. Начальник ВВС РККА А.И. Алкснис утвердил «Техничес</w:t>
      </w:r>
      <w:r w:rsidRPr="00C33834">
        <w:rPr>
          <w:rFonts w:ascii="Times New Roman" w:hAnsi="Times New Roman"/>
          <w:color w:val="0070C0"/>
          <w:sz w:val="16"/>
          <w:szCs w:val="16"/>
        </w:rPr>
        <w:softHyphen/>
        <w:t>кие требования к самолету «Максим Горь</w:t>
      </w:r>
      <w:r w:rsidRPr="00C33834">
        <w:rPr>
          <w:rFonts w:ascii="Times New Roman" w:hAnsi="Times New Roman"/>
          <w:color w:val="0070C0"/>
          <w:sz w:val="16"/>
          <w:szCs w:val="16"/>
        </w:rPr>
        <w:softHyphen/>
        <w:t>кий» (8 моторов М—34Р/Е=7/) в военном варианте в части эксплуатации летной, технической и вооружения на основе опы</w:t>
      </w:r>
      <w:r w:rsidRPr="00C33834">
        <w:rPr>
          <w:rFonts w:ascii="Times New Roman" w:hAnsi="Times New Roman"/>
          <w:color w:val="0070C0"/>
          <w:sz w:val="16"/>
          <w:szCs w:val="16"/>
        </w:rPr>
        <w:softHyphen/>
        <w:t>та государственных испытаний самолета ТБ-4-6М34».</w:t>
      </w:r>
    </w:p>
    <w:p w14:paraId="60246B76"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Вот основные положения этого доку</w:t>
      </w:r>
      <w:r w:rsidRPr="00C33834">
        <w:rPr>
          <w:rFonts w:ascii="Times New Roman" w:hAnsi="Times New Roman"/>
          <w:color w:val="0070C0"/>
          <w:sz w:val="16"/>
          <w:szCs w:val="16"/>
        </w:rPr>
        <w:softHyphen/>
        <w:t>мента:</w:t>
      </w:r>
    </w:p>
    <w:p w14:paraId="703B6F7F" w14:textId="77777777" w:rsidR="0009760C" w:rsidRPr="00C33834" w:rsidRDefault="0009760C" w:rsidP="00C33834">
      <w:pPr>
        <w:spacing w:after="0" w:line="240" w:lineRule="auto"/>
        <w:jc w:val="both"/>
        <w:rPr>
          <w:rFonts w:ascii="Times New Roman" w:hAnsi="Times New Roman"/>
          <w:color w:val="0070C0"/>
          <w:sz w:val="16"/>
          <w:szCs w:val="16"/>
        </w:rPr>
      </w:pPr>
      <w:bookmarkStart w:id="55" w:name="bookmark117"/>
      <w:r w:rsidRPr="00C33834">
        <w:rPr>
          <w:rFonts w:ascii="Times New Roman" w:hAnsi="Times New Roman"/>
          <w:color w:val="0070C0"/>
          <w:sz w:val="16"/>
          <w:szCs w:val="16"/>
        </w:rPr>
        <w:t>1. ЛЕТНАЯ ЭКСПЛОАТАЦИЯ</w:t>
      </w:r>
      <w:bookmarkEnd w:id="55"/>
    </w:p>
    <w:p w14:paraId="33314EFA"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Самолет должен допускать горизон</w:t>
      </w:r>
      <w:r w:rsidRPr="00C33834">
        <w:rPr>
          <w:rFonts w:ascii="Times New Roman" w:hAnsi="Times New Roman"/>
          <w:color w:val="0070C0"/>
          <w:sz w:val="16"/>
          <w:szCs w:val="16"/>
        </w:rPr>
        <w:softHyphen/>
        <w:t>тальный полет на боевой высоте с одним выключенным мотором и на высоте 2000м — с двумя выключенными моторами.</w:t>
      </w:r>
    </w:p>
    <w:p w14:paraId="05AF9FC5"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Посадочная скорость самолета не должна превосходить 100км/час.</w:t>
      </w:r>
    </w:p>
    <w:p w14:paraId="3D90FEF7"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Дита разбега не должна превышать 400 м.</w:t>
      </w:r>
    </w:p>
    <w:p w14:paraId="7E921E9F"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Диша пробега при действии тормо</w:t>
      </w:r>
      <w:r w:rsidRPr="00C33834">
        <w:rPr>
          <w:rFonts w:ascii="Times New Roman" w:hAnsi="Times New Roman"/>
          <w:color w:val="0070C0"/>
          <w:sz w:val="16"/>
          <w:szCs w:val="16"/>
        </w:rPr>
        <w:softHyphen/>
        <w:t>зов не должна превышать 300м, при отка</w:t>
      </w:r>
      <w:r w:rsidRPr="00C33834">
        <w:rPr>
          <w:rFonts w:ascii="Times New Roman" w:hAnsi="Times New Roman"/>
          <w:color w:val="0070C0"/>
          <w:sz w:val="16"/>
          <w:szCs w:val="16"/>
        </w:rPr>
        <w:softHyphen/>
        <w:t>зе тормозов — 400м.</w:t>
      </w:r>
    </w:p>
    <w:p w14:paraId="46ADB23F"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Рули высоты и поворота должны об</w:t>
      </w:r>
      <w:r w:rsidRPr="00C33834">
        <w:rPr>
          <w:rFonts w:ascii="Times New Roman" w:hAnsi="Times New Roman"/>
          <w:color w:val="0070C0"/>
          <w:sz w:val="16"/>
          <w:szCs w:val="16"/>
        </w:rPr>
        <w:softHyphen/>
        <w:t>ладать флетнерами или серворулями, максимально разгружающими летчика на всех присущих самолету режимах полета, и должны заменить существующую мало</w:t>
      </w:r>
      <w:r w:rsidRPr="00C33834">
        <w:rPr>
          <w:rFonts w:ascii="Times New Roman" w:hAnsi="Times New Roman"/>
          <w:color w:val="0070C0"/>
          <w:sz w:val="16"/>
          <w:szCs w:val="16"/>
        </w:rPr>
        <w:softHyphen/>
        <w:t>эффективную компенсацию ножного уп</w:t>
      </w:r>
      <w:r w:rsidRPr="00C33834">
        <w:rPr>
          <w:rFonts w:ascii="Times New Roman" w:hAnsi="Times New Roman"/>
          <w:color w:val="0070C0"/>
          <w:sz w:val="16"/>
          <w:szCs w:val="16"/>
        </w:rPr>
        <w:softHyphen/>
        <w:t>равления.</w:t>
      </w:r>
    </w:p>
    <w:p w14:paraId="109BF7BA"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 производстве эволюций ни при каких отклонениях рулей не должно иметь место явление перекомпенсировапия с воз</w:t>
      </w:r>
      <w:r w:rsidRPr="00C33834">
        <w:rPr>
          <w:rFonts w:ascii="Times New Roman" w:hAnsi="Times New Roman"/>
          <w:color w:val="0070C0"/>
          <w:sz w:val="16"/>
          <w:szCs w:val="16"/>
        </w:rPr>
        <w:softHyphen/>
        <w:t>никновением обратных давлений, или виб</w:t>
      </w:r>
      <w:r w:rsidRPr="00C33834">
        <w:rPr>
          <w:rFonts w:ascii="Times New Roman" w:hAnsi="Times New Roman"/>
          <w:color w:val="0070C0"/>
          <w:sz w:val="16"/>
          <w:szCs w:val="16"/>
        </w:rPr>
        <w:softHyphen/>
        <w:t>раций.</w:t>
      </w:r>
    </w:p>
    <w:p w14:paraId="4A7B5012"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Мощность руля высоты при нейт</w:t>
      </w:r>
      <w:r w:rsidRPr="00C33834">
        <w:rPr>
          <w:rFonts w:ascii="Times New Roman" w:hAnsi="Times New Roman"/>
          <w:color w:val="0070C0"/>
          <w:sz w:val="16"/>
          <w:szCs w:val="16"/>
        </w:rPr>
        <w:softHyphen/>
        <w:t>ральном положении стабилизатора должна быть достаточной при практи</w:t>
      </w:r>
      <w:r w:rsidRPr="00C33834">
        <w:rPr>
          <w:rFonts w:ascii="Times New Roman" w:hAnsi="Times New Roman"/>
          <w:color w:val="0070C0"/>
          <w:sz w:val="16"/>
          <w:szCs w:val="16"/>
        </w:rPr>
        <w:softHyphen/>
        <w:t>чески возможной центровке самолета без необходимости перемещения экипажа или грузов в самолете перед взлетом и по</w:t>
      </w:r>
      <w:r w:rsidRPr="00C33834">
        <w:rPr>
          <w:rFonts w:ascii="Times New Roman" w:hAnsi="Times New Roman"/>
          <w:color w:val="0070C0"/>
          <w:sz w:val="16"/>
          <w:szCs w:val="16"/>
        </w:rPr>
        <w:softHyphen/>
        <w:t>садкой...</w:t>
      </w:r>
    </w:p>
    <w:p w14:paraId="77BB9089"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Конструкция самолета должна поз</w:t>
      </w:r>
      <w:r w:rsidRPr="00C33834">
        <w:rPr>
          <w:rFonts w:ascii="Times New Roman" w:hAnsi="Times New Roman"/>
          <w:color w:val="0070C0"/>
          <w:sz w:val="16"/>
          <w:szCs w:val="16"/>
        </w:rPr>
        <w:softHyphen/>
        <w:t>волять возможность легкого выпрыгивания на парашюте с каждого поста экипажа. Конструктор обязан доказать возмож</w:t>
      </w:r>
      <w:r w:rsidRPr="00C33834">
        <w:rPr>
          <w:rFonts w:ascii="Times New Roman" w:hAnsi="Times New Roman"/>
          <w:color w:val="0070C0"/>
          <w:sz w:val="16"/>
          <w:szCs w:val="16"/>
        </w:rPr>
        <w:softHyphen/>
        <w:t>ность выпрыгивания и указать наилучший способ оставления самолета экипажем. Ни один пост экипажа не должен находиться в плоскости вращения винтов...</w:t>
      </w:r>
    </w:p>
    <w:p w14:paraId="71A4DB57"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крыле и фюзеляже должны быть предусмотрены крепления для подвески га</w:t>
      </w:r>
      <w:r w:rsidRPr="00C33834">
        <w:rPr>
          <w:rFonts w:ascii="Times New Roman" w:hAnsi="Times New Roman"/>
          <w:color w:val="0070C0"/>
          <w:sz w:val="16"/>
          <w:szCs w:val="16"/>
        </w:rPr>
        <w:softHyphen/>
        <w:t>маков и разработана конструкция самого гамака.</w:t>
      </w:r>
    </w:p>
    <w:p w14:paraId="5C7F974F"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Кабина летчиков со стороны бомбо</w:t>
      </w:r>
      <w:r w:rsidRPr="00C33834">
        <w:rPr>
          <w:rFonts w:ascii="Times New Roman" w:hAnsi="Times New Roman"/>
          <w:color w:val="0070C0"/>
          <w:sz w:val="16"/>
          <w:szCs w:val="16"/>
        </w:rPr>
        <w:softHyphen/>
        <w:t>вого отсека должна иметь выдвижную дверь...</w:t>
      </w:r>
    </w:p>
    <w:p w14:paraId="25DC9189" w14:textId="77777777" w:rsidR="0009760C" w:rsidRPr="00C33834" w:rsidRDefault="0009760C" w:rsidP="00C33834">
      <w:pPr>
        <w:spacing w:after="0" w:line="240" w:lineRule="auto"/>
        <w:jc w:val="both"/>
        <w:rPr>
          <w:rFonts w:ascii="Times New Roman" w:hAnsi="Times New Roman"/>
          <w:color w:val="0070C0"/>
          <w:sz w:val="16"/>
          <w:szCs w:val="16"/>
        </w:rPr>
      </w:pPr>
      <w:bookmarkStart w:id="56" w:name="bookmark119"/>
      <w:r w:rsidRPr="00C33834">
        <w:rPr>
          <w:rFonts w:ascii="Times New Roman" w:hAnsi="Times New Roman"/>
          <w:color w:val="0070C0"/>
          <w:sz w:val="16"/>
          <w:szCs w:val="16"/>
        </w:rPr>
        <w:t>II. ТЕХНИЧЕСКАЯ ЭКСПЛОАТАЦИЯ</w:t>
      </w:r>
      <w:bookmarkEnd w:id="56"/>
    </w:p>
    <w:p w14:paraId="19C7F476"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Обеспечить возможность полной за</w:t>
      </w:r>
      <w:r w:rsidRPr="00C33834">
        <w:rPr>
          <w:rFonts w:ascii="Times New Roman" w:hAnsi="Times New Roman"/>
          <w:color w:val="0070C0"/>
          <w:sz w:val="16"/>
          <w:szCs w:val="16"/>
        </w:rPr>
        <w:softHyphen/>
        <w:t>правки самолета (заливка воды, масла и бензина, подвеска бомб, снаряжение па</w:t>
      </w:r>
      <w:r w:rsidRPr="00C33834">
        <w:rPr>
          <w:rFonts w:ascii="Times New Roman" w:hAnsi="Times New Roman"/>
          <w:color w:val="0070C0"/>
          <w:sz w:val="16"/>
          <w:szCs w:val="16"/>
        </w:rPr>
        <w:softHyphen/>
        <w:t>тронами и снарядами) в течение 30 минут и ни одной минутой больше.</w:t>
      </w:r>
    </w:p>
    <w:p w14:paraId="26FA157B"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Конструкция самолета должна позво</w:t>
      </w:r>
      <w:r w:rsidRPr="00C33834">
        <w:rPr>
          <w:rFonts w:ascii="Times New Roman" w:hAnsi="Times New Roman"/>
          <w:color w:val="0070C0"/>
          <w:sz w:val="16"/>
          <w:szCs w:val="16"/>
        </w:rPr>
        <w:softHyphen/>
        <w:t>лять:</w:t>
      </w:r>
    </w:p>
    <w:p w14:paraId="6316D584"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6. Заливку топлива в воздухе с обеих сторон крыла.</w:t>
      </w:r>
    </w:p>
    <w:p w14:paraId="7E0A0DE1"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7. Количество бензиновых баков в крыле должно быть не меньше 12-ти. Емкость бензиновых и масляных баков должна обес</w:t>
      </w:r>
      <w:r w:rsidRPr="00C33834">
        <w:rPr>
          <w:rFonts w:ascii="Times New Roman" w:hAnsi="Times New Roman"/>
          <w:color w:val="0070C0"/>
          <w:sz w:val="16"/>
          <w:szCs w:val="16"/>
        </w:rPr>
        <w:softHyphen/>
        <w:t>печить полет на техническую дальность 3000 км.</w:t>
      </w:r>
    </w:p>
    <w:p w14:paraId="62C36447"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8. Совершенно необходимо предусмот</w:t>
      </w:r>
      <w:r w:rsidRPr="00C33834">
        <w:rPr>
          <w:rFonts w:ascii="Times New Roman" w:hAnsi="Times New Roman"/>
          <w:color w:val="0070C0"/>
          <w:sz w:val="16"/>
          <w:szCs w:val="16"/>
        </w:rPr>
        <w:softHyphen/>
        <w:t>реть возможность заполнения баков по вы</w:t>
      </w:r>
      <w:r w:rsidRPr="00C33834">
        <w:rPr>
          <w:rFonts w:ascii="Times New Roman" w:hAnsi="Times New Roman"/>
          <w:color w:val="0070C0"/>
          <w:sz w:val="16"/>
          <w:szCs w:val="16"/>
        </w:rPr>
        <w:softHyphen/>
        <w:t>горании топлива нейтральным газом...</w:t>
      </w:r>
    </w:p>
    <w:p w14:paraId="7CEAD53A"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12. Пульт инженера корабля размес</w:t>
      </w:r>
      <w:r w:rsidRPr="00C33834">
        <w:rPr>
          <w:rFonts w:ascii="Times New Roman" w:hAnsi="Times New Roman"/>
          <w:color w:val="0070C0"/>
          <w:sz w:val="16"/>
          <w:szCs w:val="16"/>
        </w:rPr>
        <w:softHyphen/>
        <w:t>тить в центроплане и оборудовать его сиг</w:t>
      </w:r>
      <w:r w:rsidRPr="00C33834">
        <w:rPr>
          <w:rFonts w:ascii="Times New Roman" w:hAnsi="Times New Roman"/>
          <w:color w:val="0070C0"/>
          <w:sz w:val="16"/>
          <w:szCs w:val="16"/>
        </w:rPr>
        <w:softHyphen/>
        <w:t>нализацией и переговорным приспособлени</w:t>
      </w:r>
      <w:r w:rsidRPr="00C33834">
        <w:rPr>
          <w:rFonts w:ascii="Times New Roman" w:hAnsi="Times New Roman"/>
          <w:color w:val="0070C0"/>
          <w:sz w:val="16"/>
          <w:szCs w:val="16"/>
        </w:rPr>
        <w:softHyphen/>
        <w:t>ем для связи с летчиками и командиром ко</w:t>
      </w:r>
      <w:r w:rsidRPr="00C33834">
        <w:rPr>
          <w:rFonts w:ascii="Times New Roman" w:hAnsi="Times New Roman"/>
          <w:color w:val="0070C0"/>
          <w:sz w:val="16"/>
          <w:szCs w:val="16"/>
        </w:rPr>
        <w:softHyphen/>
        <w:t>рабля...</w:t>
      </w:r>
    </w:p>
    <w:p w14:paraId="5802FF51"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Водомасляные радиаторы устано</w:t>
      </w:r>
      <w:r w:rsidRPr="00C33834">
        <w:rPr>
          <w:rFonts w:ascii="Times New Roman" w:hAnsi="Times New Roman"/>
          <w:color w:val="0070C0"/>
          <w:sz w:val="16"/>
          <w:szCs w:val="16"/>
        </w:rPr>
        <w:softHyphen/>
        <w:t>вить последней конструкции ЦАГИ.</w:t>
      </w:r>
    </w:p>
    <w:p w14:paraId="060999FA"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Конструкцию водяных радиаторов отработать, наконец, так, чтобы была исключена возможность их течи (более жесткая обечайка и др.).</w:t>
      </w:r>
    </w:p>
    <w:p w14:paraId="3964AD3D"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Самолет должен иметь двери с обе</w:t>
      </w:r>
      <w:r w:rsidRPr="00C33834">
        <w:rPr>
          <w:rFonts w:ascii="Times New Roman" w:hAnsi="Times New Roman"/>
          <w:color w:val="0070C0"/>
          <w:sz w:val="16"/>
          <w:szCs w:val="16"/>
        </w:rPr>
        <w:softHyphen/>
        <w:t>их сторон фюзеляжа, выдвижные или от</w:t>
      </w:r>
      <w:r w:rsidRPr="00C33834">
        <w:rPr>
          <w:rFonts w:ascii="Times New Roman" w:hAnsi="Times New Roman"/>
          <w:color w:val="0070C0"/>
          <w:sz w:val="16"/>
          <w:szCs w:val="16"/>
        </w:rPr>
        <w:softHyphen/>
        <w:t>крывающиеся во внутрь...</w:t>
      </w:r>
    </w:p>
    <w:p w14:paraId="6656D772"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Вся бензо-масло-водопроводка, про</w:t>
      </w:r>
      <w:r w:rsidRPr="00C33834">
        <w:rPr>
          <w:rFonts w:ascii="Times New Roman" w:hAnsi="Times New Roman"/>
          <w:color w:val="0070C0"/>
          <w:sz w:val="16"/>
          <w:szCs w:val="16"/>
        </w:rPr>
        <w:softHyphen/>
        <w:t>водка сжатого воздуха и противопожар</w:t>
      </w:r>
      <w:r w:rsidRPr="00C33834">
        <w:rPr>
          <w:rFonts w:ascii="Times New Roman" w:hAnsi="Times New Roman"/>
          <w:color w:val="0070C0"/>
          <w:sz w:val="16"/>
          <w:szCs w:val="16"/>
        </w:rPr>
        <w:softHyphen/>
        <w:t>ная должны быть доведены до состояния полной герметичности.</w:t>
      </w:r>
    </w:p>
    <w:p w14:paraId="2C942BE6"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Капоты моторов должны позволять быстрый доступ к мотору, быстрое и на</w:t>
      </w:r>
      <w:r w:rsidRPr="00C33834">
        <w:rPr>
          <w:rFonts w:ascii="Times New Roman" w:hAnsi="Times New Roman"/>
          <w:color w:val="0070C0"/>
          <w:sz w:val="16"/>
          <w:szCs w:val="16"/>
        </w:rPr>
        <w:softHyphen/>
        <w:t>дежное закапочивание.</w:t>
      </w:r>
    </w:p>
    <w:p w14:paraId="4B64D738"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Все проходы в крыле к моторам, ба</w:t>
      </w:r>
      <w:r w:rsidRPr="00C33834">
        <w:rPr>
          <w:rFonts w:ascii="Times New Roman" w:hAnsi="Times New Roman"/>
          <w:color w:val="0070C0"/>
          <w:sz w:val="16"/>
          <w:szCs w:val="16"/>
        </w:rPr>
        <w:softHyphen/>
        <w:t>кам, башням, верхние поверхности фюзе</w:t>
      </w:r>
      <w:r w:rsidRPr="00C33834">
        <w:rPr>
          <w:rFonts w:ascii="Times New Roman" w:hAnsi="Times New Roman"/>
          <w:color w:val="0070C0"/>
          <w:sz w:val="16"/>
          <w:szCs w:val="16"/>
        </w:rPr>
        <w:softHyphen/>
        <w:t>ляжа и стабилизатора, верхняя поверх</w:t>
      </w:r>
      <w:r w:rsidRPr="00C33834">
        <w:rPr>
          <w:rFonts w:ascii="Times New Roman" w:hAnsi="Times New Roman"/>
          <w:color w:val="0070C0"/>
          <w:sz w:val="16"/>
          <w:szCs w:val="16"/>
        </w:rPr>
        <w:softHyphen/>
        <w:t>ность крыла за моторами и около мото</w:t>
      </w:r>
      <w:r w:rsidRPr="00C33834">
        <w:rPr>
          <w:rFonts w:ascii="Times New Roman" w:hAnsi="Times New Roman"/>
          <w:color w:val="0070C0"/>
          <w:sz w:val="16"/>
          <w:szCs w:val="16"/>
        </w:rPr>
        <w:softHyphen/>
        <w:t>ров, вся нижняя поверхность фюзеляжа должны быть изготовлены из гофра повы</w:t>
      </w:r>
      <w:r w:rsidRPr="00C33834">
        <w:rPr>
          <w:rFonts w:ascii="Times New Roman" w:hAnsi="Times New Roman"/>
          <w:color w:val="0070C0"/>
          <w:sz w:val="16"/>
          <w:szCs w:val="16"/>
        </w:rPr>
        <w:softHyphen/>
        <w:t>шенной прочности или усилены добавоч</w:t>
      </w:r>
      <w:r w:rsidRPr="00C33834">
        <w:rPr>
          <w:rFonts w:ascii="Times New Roman" w:hAnsi="Times New Roman"/>
          <w:color w:val="0070C0"/>
          <w:sz w:val="16"/>
          <w:szCs w:val="16"/>
        </w:rPr>
        <w:softHyphen/>
        <w:t>ным настилом.</w:t>
      </w:r>
    </w:p>
    <w:p w14:paraId="76A14FD0"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Все стыковые соединения самолета должны быть плотно закрыты обтекате</w:t>
      </w:r>
      <w:r w:rsidRPr="00C33834">
        <w:rPr>
          <w:rFonts w:ascii="Times New Roman" w:hAnsi="Times New Roman"/>
          <w:color w:val="0070C0"/>
          <w:sz w:val="16"/>
          <w:szCs w:val="16"/>
        </w:rPr>
        <w:softHyphen/>
        <w:t>лями. Все тяги, трубы, тросы не должны тереться о соседние детали. Все болтовые и шарнирные соединения должны быть за</w:t>
      </w:r>
      <w:r w:rsidRPr="00C33834">
        <w:rPr>
          <w:rFonts w:ascii="Times New Roman" w:hAnsi="Times New Roman"/>
          <w:color w:val="0070C0"/>
          <w:sz w:val="16"/>
          <w:szCs w:val="16"/>
        </w:rPr>
        <w:softHyphen/>
        <w:t>контрены.</w:t>
      </w:r>
    </w:p>
    <w:p w14:paraId="257FE1EA"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Для стока воды из крыла и вымета</w:t>
      </w:r>
      <w:r w:rsidRPr="00C33834">
        <w:rPr>
          <w:rFonts w:ascii="Times New Roman" w:hAnsi="Times New Roman"/>
          <w:color w:val="0070C0"/>
          <w:sz w:val="16"/>
          <w:szCs w:val="16"/>
        </w:rPr>
        <w:softHyphen/>
        <w:t>ния грязи должны быть предусмотрены в крыле соответствующие отверстия и окна.</w:t>
      </w:r>
    </w:p>
    <w:p w14:paraId="360A9185"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Для закрепления рулей и элеронов на стоянке предусмотреть приспособления по типу самолета ТБ-3.</w:t>
      </w:r>
    </w:p>
    <w:p w14:paraId="4E7D680B"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Для пополнения водяной системы водой в полете предусмотреть оборудова</w:t>
      </w:r>
      <w:r w:rsidRPr="00C33834">
        <w:rPr>
          <w:rFonts w:ascii="Times New Roman" w:hAnsi="Times New Roman"/>
          <w:color w:val="0070C0"/>
          <w:sz w:val="16"/>
          <w:szCs w:val="16"/>
        </w:rPr>
        <w:softHyphen/>
        <w:t>ние в виде переносных термосов с альвейе- рами...</w:t>
      </w:r>
    </w:p>
    <w:p w14:paraId="3C0D47D6"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Эксплоатация верхних моторов</w:t>
      </w:r>
    </w:p>
    <w:p w14:paraId="6489AE6A"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32. На крыльях предусмотреть опорные точки для установки стрелы , крана и дать конструкцию подъемной стрелы для уста</w:t>
      </w:r>
      <w:r w:rsidRPr="00C33834">
        <w:rPr>
          <w:rFonts w:ascii="Times New Roman" w:hAnsi="Times New Roman"/>
          <w:color w:val="0070C0"/>
          <w:sz w:val="16"/>
          <w:szCs w:val="16"/>
        </w:rPr>
        <w:softHyphen/>
        <w:t>новки и снятия моторов и радиаторов.</w:t>
      </w:r>
    </w:p>
    <w:p w14:paraId="10F4F1E7"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33. Сконструировать и построить удобные, надеж ные и легкие лестницы для залезания на моторную установку, а также опорные подвесные площадки для работы наверху. Эти же лестницы должны позволять осмотр вертикального хвосто</w:t>
      </w:r>
      <w:r w:rsidRPr="00C33834">
        <w:rPr>
          <w:rFonts w:ascii="Times New Roman" w:hAnsi="Times New Roman"/>
          <w:color w:val="0070C0"/>
          <w:sz w:val="16"/>
          <w:szCs w:val="16"/>
        </w:rPr>
        <w:softHyphen/>
        <w:t>вого оперения...</w:t>
      </w:r>
    </w:p>
    <w:p w14:paraId="1FF0D2C8" w14:textId="77777777" w:rsidR="0009760C" w:rsidRPr="00C33834" w:rsidRDefault="0009760C" w:rsidP="00C33834">
      <w:pPr>
        <w:spacing w:after="0" w:line="240" w:lineRule="auto"/>
        <w:jc w:val="both"/>
        <w:rPr>
          <w:rFonts w:ascii="Times New Roman" w:hAnsi="Times New Roman"/>
          <w:color w:val="0070C0"/>
          <w:sz w:val="16"/>
          <w:szCs w:val="16"/>
        </w:rPr>
      </w:pPr>
      <w:bookmarkStart w:id="57" w:name="bookmark121"/>
      <w:r w:rsidRPr="00C33834">
        <w:rPr>
          <w:rFonts w:ascii="Times New Roman" w:hAnsi="Times New Roman"/>
          <w:color w:val="0070C0"/>
          <w:sz w:val="16"/>
          <w:szCs w:val="16"/>
        </w:rPr>
        <w:t>Ill. ЭКСПЛОАТАЦИЯ ВООРУЖЕНИЯ</w:t>
      </w:r>
      <w:bookmarkEnd w:id="57"/>
    </w:p>
    <w:p w14:paraId="74D30E68"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Подвеска бомб, снаряжение патрона</w:t>
      </w:r>
      <w:r w:rsidRPr="00C33834">
        <w:rPr>
          <w:rFonts w:ascii="Times New Roman" w:hAnsi="Times New Roman"/>
          <w:color w:val="0070C0"/>
          <w:sz w:val="16"/>
          <w:szCs w:val="16"/>
        </w:rPr>
        <w:softHyphen/>
        <w:t>ми и снарядами, производимые одновременно с заправкой самолета бензином, маслом и водой, должны укладываться в 30 минут и ни одной минутой больше. На случай отказа системы электроподвески бомб должна быть предусмотрена ручная подвеска.</w:t>
      </w:r>
    </w:p>
    <w:p w14:paraId="5FDC9E1F"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Главный инженер-механик</w:t>
      </w:r>
    </w:p>
    <w:p w14:paraId="2DAAEC4C"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ВВС РККА</w:t>
      </w:r>
      <w:r w:rsidRPr="00C33834">
        <w:rPr>
          <w:rFonts w:ascii="Times New Roman" w:hAnsi="Times New Roman"/>
          <w:color w:val="0070C0"/>
          <w:sz w:val="16"/>
          <w:szCs w:val="16"/>
        </w:rPr>
        <w:tab/>
        <w:t>(Аузан)</w:t>
      </w:r>
    </w:p>
    <w:p w14:paraId="1137DBB4" w14:textId="77777777" w:rsidR="0009760C" w:rsidRPr="00C33834" w:rsidRDefault="0009760C"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Врид. Начальника 7-го сектора</w:t>
      </w:r>
      <w:r w:rsidRPr="00C33834">
        <w:rPr>
          <w:rFonts w:ascii="Times New Roman" w:hAnsi="Times New Roman"/>
          <w:color w:val="0070C0"/>
          <w:sz w:val="16"/>
          <w:szCs w:val="16"/>
        </w:rPr>
        <w:tab/>
        <w:t>(Жемчужин)» (21240).</w:t>
      </w:r>
    </w:p>
    <w:p w14:paraId="26F455CB" w14:textId="77777777" w:rsidR="0009760C" w:rsidRPr="00C33834" w:rsidRDefault="0009760C" w:rsidP="00C33834">
      <w:pPr>
        <w:spacing w:after="0" w:line="240" w:lineRule="auto"/>
        <w:jc w:val="both"/>
        <w:rPr>
          <w:rFonts w:ascii="Times New Roman" w:hAnsi="Times New Roman"/>
          <w:color w:val="0070C0"/>
          <w:sz w:val="16"/>
          <w:szCs w:val="16"/>
        </w:rPr>
      </w:pPr>
    </w:p>
    <w:p w14:paraId="70B414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декабря 1933 года (срок был 1 ноября 1933 года) самолет И-15 был передан на госиспытания и предварительные испытания закончились 31 декабря 1933 года. Далее проходил 2-й этап госиспытаний (эксплуатационные испытания) в период с 26 марта по 24 апреля 1934 года (требуемые войсковые испытания самолет проходит только сейчас). Самолет был допущен на снабжение при условии устранения дефектов (3475,130).</w:t>
      </w:r>
    </w:p>
    <w:p w14:paraId="477FC0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AFD96C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декабря 1933 появилось Письмо Пом. Нач. ГУАП Алмазову от Нач. ЦАГИ Н.М.Харламова и Нач. КО А.Н.Т. N 1485c/2022c в отношении программы работы опытного строительства на 1934 (на оп. 354/674сс), в которую ЦАГИ предлагает внести коррективы (351).</w:t>
      </w:r>
    </w:p>
    <w:p w14:paraId="3D8E553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Резолюция от 31 декабря 1933</w:t>
      </w:r>
    </w:p>
    <w:p w14:paraId="186801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Вместо модернизации МИ3 (постановка М34Н) ставится новая машина МИ4 под 2 JBRS или 2 РЦ (то есть СБ);</w:t>
      </w:r>
    </w:p>
    <w:p w14:paraId="691492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Постройка СБ (УВС обозначен как ББ) можно осуществить только в одном варианте из нержавейки или дюраля;</w:t>
      </w:r>
    </w:p>
    <w:p w14:paraId="554CC2D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АНТ-33 будет сделан смешанной конструкции (а не одна нержавейка как хочет УВВС). Принимается условно как "буферная" машина;</w:t>
      </w:r>
    </w:p>
    <w:p w14:paraId="7CDC1FA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Под ТБ понимается совершенно новая машина класса ТБ-3 с применением новых материалов и учета всего опыта, выявленного при эксплуатации ТБ3, доводках, облегчении и т.п. Моторы Кертис Конкверер 1800 или JBRS или М-34ФРН;</w:t>
      </w:r>
    </w:p>
    <w:p w14:paraId="23B635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Включается дополнительная экспериментальная высотная машина;</w:t>
      </w:r>
    </w:p>
    <w:p w14:paraId="20365E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По настоянию ВВС ЦАГИ согласен включить в свою программу малые машины, но только при сдвижке выпуска ТБ6 до 01.08.1936;</w:t>
      </w:r>
    </w:p>
    <w:p w14:paraId="60D266D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Внеся указанные коррективы, программа опытного строительства прилагается для окончательного с Вами согласования (351).</w:t>
      </w:r>
    </w:p>
    <w:p w14:paraId="02C083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Программа опытного самолетостроения ЦАГИ на 1934 г. (вообще-то до 1936)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856"/>
        <w:gridCol w:w="1657"/>
        <w:gridCol w:w="3433"/>
      </w:tblGrid>
      <w:tr w:rsidR="00F26F01" w:rsidRPr="00C33834" w14:paraId="7A1A3019" w14:textId="77777777">
        <w:tc>
          <w:tcPr>
            <w:tcW w:w="1951" w:type="dxa"/>
          </w:tcPr>
          <w:p w14:paraId="2E7FACD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w:t>
            </w:r>
          </w:p>
        </w:tc>
        <w:tc>
          <w:tcPr>
            <w:tcW w:w="1856" w:type="dxa"/>
          </w:tcPr>
          <w:p w14:paraId="73169A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 и марка</w:t>
            </w:r>
          </w:p>
        </w:tc>
        <w:tc>
          <w:tcPr>
            <w:tcW w:w="1657" w:type="dxa"/>
          </w:tcPr>
          <w:p w14:paraId="45390F9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выпуска</w:t>
            </w:r>
          </w:p>
        </w:tc>
        <w:tc>
          <w:tcPr>
            <w:tcW w:w="3433" w:type="dxa"/>
          </w:tcPr>
          <w:p w14:paraId="391873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tc>
      </w:tr>
      <w:tr w:rsidR="00F26F01" w:rsidRPr="00C33834" w14:paraId="2DFE4300" w14:textId="77777777">
        <w:tc>
          <w:tcPr>
            <w:tcW w:w="1951" w:type="dxa"/>
          </w:tcPr>
          <w:p w14:paraId="59B42C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856" w:type="dxa"/>
          </w:tcPr>
          <w:p w14:paraId="700E1A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моторов</w:t>
            </w:r>
          </w:p>
        </w:tc>
        <w:tc>
          <w:tcPr>
            <w:tcW w:w="1657" w:type="dxa"/>
          </w:tcPr>
          <w:p w14:paraId="682312A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433" w:type="dxa"/>
          </w:tcPr>
          <w:p w14:paraId="248F716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аэродром</w:t>
            </w:r>
          </w:p>
        </w:tc>
      </w:tr>
      <w:tr w:rsidR="00F26F01" w:rsidRPr="00C33834" w14:paraId="6D5D1D26" w14:textId="77777777">
        <w:tc>
          <w:tcPr>
            <w:tcW w:w="1951" w:type="dxa"/>
          </w:tcPr>
          <w:p w14:paraId="0E5D34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Опытные машины</w:t>
            </w:r>
          </w:p>
        </w:tc>
        <w:tc>
          <w:tcPr>
            <w:tcW w:w="1856" w:type="dxa"/>
          </w:tcPr>
          <w:p w14:paraId="28C2B2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5051F6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433" w:type="dxa"/>
          </w:tcPr>
          <w:p w14:paraId="737512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A661EE7" w14:textId="77777777">
        <w:tc>
          <w:tcPr>
            <w:tcW w:w="1951" w:type="dxa"/>
          </w:tcPr>
          <w:p w14:paraId="28342D1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 (МГ)</w:t>
            </w:r>
          </w:p>
        </w:tc>
        <w:tc>
          <w:tcPr>
            <w:tcW w:w="1856" w:type="dxa"/>
          </w:tcPr>
          <w:p w14:paraId="74B1E5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8М34Р</w:t>
            </w:r>
          </w:p>
        </w:tc>
        <w:tc>
          <w:tcPr>
            <w:tcW w:w="1657" w:type="dxa"/>
          </w:tcPr>
          <w:p w14:paraId="67BF4BA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01.05.1934</w:t>
            </w:r>
          </w:p>
        </w:tc>
        <w:tc>
          <w:tcPr>
            <w:tcW w:w="3433" w:type="dxa"/>
          </w:tcPr>
          <w:p w14:paraId="30C616D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9E8AA07" w14:textId="77777777">
        <w:tc>
          <w:tcPr>
            <w:tcW w:w="1951" w:type="dxa"/>
          </w:tcPr>
          <w:p w14:paraId="7ABC48A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1856" w:type="dxa"/>
          </w:tcPr>
          <w:p w14:paraId="243B119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4М34РН</w:t>
            </w:r>
          </w:p>
        </w:tc>
        <w:tc>
          <w:tcPr>
            <w:tcW w:w="1657" w:type="dxa"/>
          </w:tcPr>
          <w:p w14:paraId="091FBF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01.10.1934</w:t>
            </w:r>
          </w:p>
        </w:tc>
        <w:tc>
          <w:tcPr>
            <w:tcW w:w="3433" w:type="dxa"/>
          </w:tcPr>
          <w:p w14:paraId="21F047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гос. Испытаний</w:t>
            </w:r>
          </w:p>
        </w:tc>
      </w:tr>
      <w:tr w:rsidR="00F26F01" w:rsidRPr="00C33834" w14:paraId="7E7FCE13" w14:textId="77777777">
        <w:tc>
          <w:tcPr>
            <w:tcW w:w="1951" w:type="dxa"/>
          </w:tcPr>
          <w:p w14:paraId="0DCF85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МИ4 нов. задел опытн.</w:t>
            </w:r>
          </w:p>
        </w:tc>
        <w:tc>
          <w:tcPr>
            <w:tcW w:w="1856" w:type="dxa"/>
          </w:tcPr>
          <w:p w14:paraId="6D5424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2Исп./РЦ</w:t>
            </w:r>
          </w:p>
        </w:tc>
        <w:tc>
          <w:tcPr>
            <w:tcW w:w="1657" w:type="dxa"/>
          </w:tcPr>
          <w:p w14:paraId="500E400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01.09.1935</w:t>
            </w:r>
          </w:p>
        </w:tc>
        <w:tc>
          <w:tcPr>
            <w:tcW w:w="3433" w:type="dxa"/>
          </w:tcPr>
          <w:p w14:paraId="4DBA489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Выход на аэродром</w:t>
            </w:r>
          </w:p>
        </w:tc>
      </w:tr>
      <w:tr w:rsidR="00F26F01" w:rsidRPr="00C33834" w14:paraId="3E91EEE7" w14:textId="77777777">
        <w:tc>
          <w:tcPr>
            <w:tcW w:w="1951" w:type="dxa"/>
          </w:tcPr>
          <w:p w14:paraId="0811AD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МК1 опыт. оконч.</w:t>
            </w:r>
          </w:p>
        </w:tc>
        <w:tc>
          <w:tcPr>
            <w:tcW w:w="1856" w:type="dxa"/>
          </w:tcPr>
          <w:p w14:paraId="2938336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6М34Р</w:t>
            </w:r>
          </w:p>
        </w:tc>
        <w:tc>
          <w:tcPr>
            <w:tcW w:w="1657" w:type="dxa"/>
          </w:tcPr>
          <w:p w14:paraId="6C18BE5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01.08.1934</w:t>
            </w:r>
          </w:p>
        </w:tc>
        <w:tc>
          <w:tcPr>
            <w:tcW w:w="3433" w:type="dxa"/>
          </w:tcPr>
          <w:p w14:paraId="0C4B449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w:t>
            </w:r>
          </w:p>
        </w:tc>
      </w:tr>
      <w:tr w:rsidR="00F26F01" w:rsidRPr="00C33834" w14:paraId="364ABCDE" w14:textId="77777777">
        <w:tc>
          <w:tcPr>
            <w:tcW w:w="1951" w:type="dxa"/>
          </w:tcPr>
          <w:p w14:paraId="7F86DC4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МДР4 опыт. оконч.</w:t>
            </w:r>
          </w:p>
        </w:tc>
        <w:tc>
          <w:tcPr>
            <w:tcW w:w="1856" w:type="dxa"/>
          </w:tcPr>
          <w:p w14:paraId="73BE3B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3М34Р</w:t>
            </w:r>
          </w:p>
        </w:tc>
        <w:tc>
          <w:tcPr>
            <w:tcW w:w="1657" w:type="dxa"/>
          </w:tcPr>
          <w:p w14:paraId="63F513B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01.05.1934</w:t>
            </w:r>
          </w:p>
        </w:tc>
        <w:tc>
          <w:tcPr>
            <w:tcW w:w="3433" w:type="dxa"/>
          </w:tcPr>
          <w:p w14:paraId="4C0351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w:t>
            </w:r>
          </w:p>
        </w:tc>
      </w:tr>
      <w:tr w:rsidR="00F26F01" w:rsidRPr="00C33834" w14:paraId="4AA5C27E" w14:textId="77777777">
        <w:tc>
          <w:tcPr>
            <w:tcW w:w="1951" w:type="dxa"/>
          </w:tcPr>
          <w:p w14:paraId="6C3C5E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МК1 пас. вар.</w:t>
            </w:r>
          </w:p>
        </w:tc>
        <w:tc>
          <w:tcPr>
            <w:tcW w:w="1856" w:type="dxa"/>
          </w:tcPr>
          <w:p w14:paraId="630223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6М34Р</w:t>
            </w:r>
          </w:p>
        </w:tc>
        <w:tc>
          <w:tcPr>
            <w:tcW w:w="1657" w:type="dxa"/>
          </w:tcPr>
          <w:p w14:paraId="642343A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01.05.1935</w:t>
            </w:r>
          </w:p>
        </w:tc>
        <w:tc>
          <w:tcPr>
            <w:tcW w:w="3433" w:type="dxa"/>
          </w:tcPr>
          <w:p w14:paraId="37E797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Чертежи</w:t>
            </w:r>
          </w:p>
        </w:tc>
      </w:tr>
      <w:tr w:rsidR="00F26F01" w:rsidRPr="00C33834" w14:paraId="59B7197E" w14:textId="77777777">
        <w:tc>
          <w:tcPr>
            <w:tcW w:w="1951" w:type="dxa"/>
          </w:tcPr>
          <w:p w14:paraId="5423261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МДР4 пас. вар.</w:t>
            </w:r>
          </w:p>
        </w:tc>
        <w:tc>
          <w:tcPr>
            <w:tcW w:w="1856" w:type="dxa"/>
          </w:tcPr>
          <w:p w14:paraId="637994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3М34Р</w:t>
            </w:r>
          </w:p>
        </w:tc>
        <w:tc>
          <w:tcPr>
            <w:tcW w:w="1657" w:type="dxa"/>
          </w:tcPr>
          <w:p w14:paraId="4A41EE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01.03.1935</w:t>
            </w:r>
          </w:p>
        </w:tc>
        <w:tc>
          <w:tcPr>
            <w:tcW w:w="3433" w:type="dxa"/>
          </w:tcPr>
          <w:p w14:paraId="5E7215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Чертежи</w:t>
            </w:r>
          </w:p>
        </w:tc>
      </w:tr>
      <w:tr w:rsidR="00F26F01" w:rsidRPr="00C33834" w14:paraId="24EC43CC" w14:textId="77777777">
        <w:tc>
          <w:tcPr>
            <w:tcW w:w="1951" w:type="dxa"/>
          </w:tcPr>
          <w:p w14:paraId="6059C9B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МДР4 дублер</w:t>
            </w:r>
          </w:p>
        </w:tc>
        <w:tc>
          <w:tcPr>
            <w:tcW w:w="1856" w:type="dxa"/>
          </w:tcPr>
          <w:p w14:paraId="6F9C749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3М34Р</w:t>
            </w:r>
          </w:p>
        </w:tc>
        <w:tc>
          <w:tcPr>
            <w:tcW w:w="1657" w:type="dxa"/>
          </w:tcPr>
          <w:p w14:paraId="6032333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01.06.1934</w:t>
            </w:r>
          </w:p>
        </w:tc>
        <w:tc>
          <w:tcPr>
            <w:tcW w:w="3433" w:type="dxa"/>
          </w:tcPr>
          <w:p w14:paraId="00E324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Выход на аэродром</w:t>
            </w:r>
          </w:p>
        </w:tc>
      </w:tr>
      <w:tr w:rsidR="00F26F01" w:rsidRPr="00C33834" w14:paraId="41B034F6" w14:textId="77777777">
        <w:tc>
          <w:tcPr>
            <w:tcW w:w="1951" w:type="dxa"/>
          </w:tcPr>
          <w:p w14:paraId="16F1C0D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СК1 оп. продолж.</w:t>
            </w:r>
          </w:p>
        </w:tc>
        <w:tc>
          <w:tcPr>
            <w:tcW w:w="1856" w:type="dxa"/>
          </w:tcPr>
          <w:p w14:paraId="5380451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2Исп./РЦ</w:t>
            </w:r>
          </w:p>
        </w:tc>
        <w:tc>
          <w:tcPr>
            <w:tcW w:w="1657" w:type="dxa"/>
          </w:tcPr>
          <w:p w14:paraId="7AE6AB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01.12.1934</w:t>
            </w:r>
          </w:p>
        </w:tc>
        <w:tc>
          <w:tcPr>
            <w:tcW w:w="3433" w:type="dxa"/>
          </w:tcPr>
          <w:p w14:paraId="7E5C9A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Выход на аэродром</w:t>
            </w:r>
          </w:p>
        </w:tc>
      </w:tr>
      <w:tr w:rsidR="00F26F01" w:rsidRPr="00C33834" w14:paraId="243CF73F" w14:textId="77777777">
        <w:tc>
          <w:tcPr>
            <w:tcW w:w="1951" w:type="dxa"/>
          </w:tcPr>
          <w:p w14:paraId="1FECAA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 пас.</w:t>
            </w:r>
          </w:p>
        </w:tc>
        <w:tc>
          <w:tcPr>
            <w:tcW w:w="1856" w:type="dxa"/>
          </w:tcPr>
          <w:p w14:paraId="555577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2-3РЦ</w:t>
            </w:r>
          </w:p>
        </w:tc>
        <w:tc>
          <w:tcPr>
            <w:tcW w:w="1657" w:type="dxa"/>
          </w:tcPr>
          <w:p w14:paraId="4AD7EC2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01.05.1935</w:t>
            </w:r>
          </w:p>
        </w:tc>
        <w:tc>
          <w:tcPr>
            <w:tcW w:w="3433" w:type="dxa"/>
          </w:tcPr>
          <w:p w14:paraId="588C95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Выход на аэродром</w:t>
            </w:r>
          </w:p>
        </w:tc>
      </w:tr>
      <w:tr w:rsidR="00F26F01" w:rsidRPr="00C33834" w14:paraId="33FB868A" w14:textId="77777777">
        <w:tc>
          <w:tcPr>
            <w:tcW w:w="1951" w:type="dxa"/>
          </w:tcPr>
          <w:p w14:paraId="51E5E1F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ДИП</w:t>
            </w:r>
          </w:p>
        </w:tc>
        <w:tc>
          <w:tcPr>
            <w:tcW w:w="1856" w:type="dxa"/>
          </w:tcPr>
          <w:p w14:paraId="7B1B5FE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3М34РН</w:t>
            </w:r>
          </w:p>
        </w:tc>
        <w:tc>
          <w:tcPr>
            <w:tcW w:w="1657" w:type="dxa"/>
          </w:tcPr>
          <w:p w14:paraId="643C101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01.06.1934</w:t>
            </w:r>
          </w:p>
        </w:tc>
        <w:tc>
          <w:tcPr>
            <w:tcW w:w="3433" w:type="dxa"/>
          </w:tcPr>
          <w:p w14:paraId="6F41378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Выход на аэродром</w:t>
            </w:r>
          </w:p>
        </w:tc>
      </w:tr>
      <w:tr w:rsidR="00F26F01" w:rsidRPr="00C33834" w14:paraId="700C2055" w14:textId="77777777">
        <w:tc>
          <w:tcPr>
            <w:tcW w:w="1951" w:type="dxa"/>
          </w:tcPr>
          <w:p w14:paraId="53652FF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ДБ</w:t>
            </w:r>
          </w:p>
        </w:tc>
        <w:tc>
          <w:tcPr>
            <w:tcW w:w="1856" w:type="dxa"/>
          </w:tcPr>
          <w:p w14:paraId="6BEE6D7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2РЦ</w:t>
            </w:r>
          </w:p>
        </w:tc>
        <w:tc>
          <w:tcPr>
            <w:tcW w:w="1657" w:type="dxa"/>
          </w:tcPr>
          <w:p w14:paraId="34EAAB2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01.04.1935</w:t>
            </w:r>
          </w:p>
        </w:tc>
        <w:tc>
          <w:tcPr>
            <w:tcW w:w="3433" w:type="dxa"/>
          </w:tcPr>
          <w:p w14:paraId="29B3C1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Выход на аэродром</w:t>
            </w:r>
          </w:p>
        </w:tc>
      </w:tr>
      <w:tr w:rsidR="00F26F01" w:rsidRPr="00C33834" w14:paraId="05B9B196" w14:textId="77777777">
        <w:tc>
          <w:tcPr>
            <w:tcW w:w="1951" w:type="dxa"/>
          </w:tcPr>
          <w:p w14:paraId="1C4149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СБ2</w:t>
            </w:r>
          </w:p>
        </w:tc>
        <w:tc>
          <w:tcPr>
            <w:tcW w:w="1856" w:type="dxa"/>
          </w:tcPr>
          <w:p w14:paraId="0FBCE1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2РЦ/Исп.</w:t>
            </w:r>
          </w:p>
        </w:tc>
        <w:tc>
          <w:tcPr>
            <w:tcW w:w="1657" w:type="dxa"/>
          </w:tcPr>
          <w:p w14:paraId="5C231F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01.12.1935</w:t>
            </w:r>
          </w:p>
        </w:tc>
        <w:tc>
          <w:tcPr>
            <w:tcW w:w="3433" w:type="dxa"/>
          </w:tcPr>
          <w:p w14:paraId="4A71AA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Выход на аэродром</w:t>
            </w:r>
          </w:p>
        </w:tc>
      </w:tr>
      <w:tr w:rsidR="00F26F01" w:rsidRPr="00C33834" w14:paraId="0284AC07" w14:textId="77777777">
        <w:tc>
          <w:tcPr>
            <w:tcW w:w="1951" w:type="dxa"/>
          </w:tcPr>
          <w:p w14:paraId="3FDE7C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АНТ-33</w:t>
            </w:r>
          </w:p>
        </w:tc>
        <w:tc>
          <w:tcPr>
            <w:tcW w:w="1856" w:type="dxa"/>
          </w:tcPr>
          <w:p w14:paraId="55654AA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1657" w:type="dxa"/>
          </w:tcPr>
          <w:p w14:paraId="29EE1EF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01.04.1935</w:t>
            </w:r>
          </w:p>
        </w:tc>
        <w:tc>
          <w:tcPr>
            <w:tcW w:w="3433" w:type="dxa"/>
          </w:tcPr>
          <w:p w14:paraId="2F26E7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Выход на аэродром</w:t>
            </w:r>
          </w:p>
        </w:tc>
      </w:tr>
      <w:tr w:rsidR="00F26F01" w:rsidRPr="00C33834" w14:paraId="4C77C7C3" w14:textId="77777777">
        <w:tc>
          <w:tcPr>
            <w:tcW w:w="1951" w:type="dxa"/>
          </w:tcPr>
          <w:p w14:paraId="36C8325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ТБ6</w:t>
            </w:r>
          </w:p>
        </w:tc>
        <w:tc>
          <w:tcPr>
            <w:tcW w:w="1856" w:type="dxa"/>
          </w:tcPr>
          <w:p w14:paraId="39408E2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М44/нефть</w:t>
            </w:r>
          </w:p>
        </w:tc>
        <w:tc>
          <w:tcPr>
            <w:tcW w:w="1657" w:type="dxa"/>
          </w:tcPr>
          <w:p w14:paraId="7C9B18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01.08.1936</w:t>
            </w:r>
          </w:p>
        </w:tc>
        <w:tc>
          <w:tcPr>
            <w:tcW w:w="3433" w:type="dxa"/>
          </w:tcPr>
          <w:p w14:paraId="65175DD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Выход на аэродром</w:t>
            </w:r>
          </w:p>
        </w:tc>
      </w:tr>
      <w:tr w:rsidR="00F26F01" w:rsidRPr="00C33834" w14:paraId="09547713" w14:textId="77777777">
        <w:tc>
          <w:tcPr>
            <w:tcW w:w="1951" w:type="dxa"/>
          </w:tcPr>
          <w:p w14:paraId="2A3768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Гидросамолет</w:t>
            </w:r>
          </w:p>
        </w:tc>
        <w:tc>
          <w:tcPr>
            <w:tcW w:w="1856" w:type="dxa"/>
          </w:tcPr>
          <w:p w14:paraId="2AB83A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w:t>
            </w:r>
          </w:p>
        </w:tc>
        <w:tc>
          <w:tcPr>
            <w:tcW w:w="1657" w:type="dxa"/>
          </w:tcPr>
          <w:p w14:paraId="78B75E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01.10.1935</w:t>
            </w:r>
          </w:p>
        </w:tc>
        <w:tc>
          <w:tcPr>
            <w:tcW w:w="3433" w:type="dxa"/>
          </w:tcPr>
          <w:p w14:paraId="2DAE0D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Выход на аэродром</w:t>
            </w:r>
          </w:p>
        </w:tc>
      </w:tr>
      <w:tr w:rsidR="00F26F01" w:rsidRPr="00C33834" w14:paraId="115D0F6F" w14:textId="77777777">
        <w:tc>
          <w:tcPr>
            <w:tcW w:w="1951" w:type="dxa"/>
          </w:tcPr>
          <w:p w14:paraId="0868C2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ТБ7 (вар. ТБ3)</w:t>
            </w:r>
          </w:p>
        </w:tc>
        <w:tc>
          <w:tcPr>
            <w:tcW w:w="1856" w:type="dxa"/>
          </w:tcPr>
          <w:p w14:paraId="35EF4ED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Керт./Исп./4М34ФРН</w:t>
            </w:r>
          </w:p>
        </w:tc>
        <w:tc>
          <w:tcPr>
            <w:tcW w:w="1657" w:type="dxa"/>
          </w:tcPr>
          <w:p w14:paraId="38B02A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01.05.1936</w:t>
            </w:r>
          </w:p>
        </w:tc>
        <w:tc>
          <w:tcPr>
            <w:tcW w:w="3433" w:type="dxa"/>
          </w:tcPr>
          <w:p w14:paraId="595E4A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Выход на аэродром</w:t>
            </w:r>
          </w:p>
        </w:tc>
      </w:tr>
      <w:tr w:rsidR="00F26F01" w:rsidRPr="00C33834" w14:paraId="08562A3D" w14:textId="77777777">
        <w:tc>
          <w:tcPr>
            <w:tcW w:w="1951" w:type="dxa"/>
          </w:tcPr>
          <w:p w14:paraId="3A25BD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Бесхв. самолет</w:t>
            </w:r>
          </w:p>
        </w:tc>
        <w:tc>
          <w:tcPr>
            <w:tcW w:w="1856" w:type="dxa"/>
          </w:tcPr>
          <w:p w14:paraId="54DA86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7" w:type="dxa"/>
          </w:tcPr>
          <w:p w14:paraId="5E55DB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15.04.1935</w:t>
            </w:r>
          </w:p>
        </w:tc>
        <w:tc>
          <w:tcPr>
            <w:tcW w:w="3433" w:type="dxa"/>
          </w:tcPr>
          <w:p w14:paraId="1ED910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Выход на аэродром</w:t>
            </w:r>
          </w:p>
        </w:tc>
      </w:tr>
      <w:tr w:rsidR="00F26F01" w:rsidRPr="00C33834" w14:paraId="3D678174" w14:textId="77777777">
        <w:tc>
          <w:tcPr>
            <w:tcW w:w="1951" w:type="dxa"/>
          </w:tcPr>
          <w:p w14:paraId="6C9F27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Бесхв. планер</w:t>
            </w:r>
          </w:p>
        </w:tc>
        <w:tc>
          <w:tcPr>
            <w:tcW w:w="1856" w:type="dxa"/>
          </w:tcPr>
          <w:p w14:paraId="30AF9C7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7" w:type="dxa"/>
          </w:tcPr>
          <w:p w14:paraId="5C12E3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01.07.1934</w:t>
            </w:r>
          </w:p>
        </w:tc>
        <w:tc>
          <w:tcPr>
            <w:tcW w:w="3433" w:type="dxa"/>
          </w:tcPr>
          <w:p w14:paraId="5BA0A85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Выход на аэродром</w:t>
            </w:r>
          </w:p>
        </w:tc>
      </w:tr>
      <w:tr w:rsidR="00F26F01" w:rsidRPr="00C33834" w14:paraId="73BEE03C" w14:textId="77777777">
        <w:tc>
          <w:tcPr>
            <w:tcW w:w="1951" w:type="dxa"/>
          </w:tcPr>
          <w:p w14:paraId="46DE032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ВП2 (планер)</w:t>
            </w:r>
          </w:p>
        </w:tc>
        <w:tc>
          <w:tcPr>
            <w:tcW w:w="1856" w:type="dxa"/>
          </w:tcPr>
          <w:p w14:paraId="4E2CAC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57" w:type="dxa"/>
          </w:tcPr>
          <w:p w14:paraId="22E21A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15.07.1934</w:t>
            </w:r>
          </w:p>
        </w:tc>
        <w:tc>
          <w:tcPr>
            <w:tcW w:w="3433" w:type="dxa"/>
          </w:tcPr>
          <w:p w14:paraId="5729A5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Выход на аэродром</w:t>
            </w:r>
          </w:p>
        </w:tc>
      </w:tr>
      <w:tr w:rsidR="00F26F01" w:rsidRPr="00C33834" w14:paraId="0827DAFD" w14:textId="77777777">
        <w:tc>
          <w:tcPr>
            <w:tcW w:w="1951" w:type="dxa"/>
          </w:tcPr>
          <w:p w14:paraId="7CAD5B9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Г-6 глиссер</w:t>
            </w:r>
          </w:p>
        </w:tc>
        <w:tc>
          <w:tcPr>
            <w:tcW w:w="1856" w:type="dxa"/>
          </w:tcPr>
          <w:p w14:paraId="219FFB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8ГИ34</w:t>
            </w:r>
          </w:p>
        </w:tc>
        <w:tc>
          <w:tcPr>
            <w:tcW w:w="1657" w:type="dxa"/>
          </w:tcPr>
          <w:p w14:paraId="118EFE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01.08.1935</w:t>
            </w:r>
          </w:p>
        </w:tc>
        <w:tc>
          <w:tcPr>
            <w:tcW w:w="3433" w:type="dxa"/>
          </w:tcPr>
          <w:p w14:paraId="35BF54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ED18805" w14:textId="77777777">
        <w:tc>
          <w:tcPr>
            <w:tcW w:w="1951" w:type="dxa"/>
          </w:tcPr>
          <w:p w14:paraId="7C08C5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Г-7 глиссер</w:t>
            </w:r>
          </w:p>
        </w:tc>
        <w:tc>
          <w:tcPr>
            <w:tcW w:w="1856" w:type="dxa"/>
          </w:tcPr>
          <w:p w14:paraId="77904B9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1ГИ34</w:t>
            </w:r>
          </w:p>
        </w:tc>
        <w:tc>
          <w:tcPr>
            <w:tcW w:w="1657" w:type="dxa"/>
          </w:tcPr>
          <w:p w14:paraId="75B049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01.01.1936</w:t>
            </w:r>
          </w:p>
        </w:tc>
        <w:tc>
          <w:tcPr>
            <w:tcW w:w="3433" w:type="dxa"/>
          </w:tcPr>
          <w:p w14:paraId="06ED75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D206DB9" w14:textId="77777777">
        <w:tc>
          <w:tcPr>
            <w:tcW w:w="1951" w:type="dxa"/>
          </w:tcPr>
          <w:p w14:paraId="275C04E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ВСБ</w:t>
            </w:r>
          </w:p>
        </w:tc>
        <w:tc>
          <w:tcPr>
            <w:tcW w:w="1856" w:type="dxa"/>
          </w:tcPr>
          <w:p w14:paraId="1033F62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мотора</w:t>
            </w:r>
          </w:p>
        </w:tc>
        <w:tc>
          <w:tcPr>
            <w:tcW w:w="1657" w:type="dxa"/>
          </w:tcPr>
          <w:p w14:paraId="3476AB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01.02.1936</w:t>
            </w:r>
          </w:p>
        </w:tc>
        <w:tc>
          <w:tcPr>
            <w:tcW w:w="3433" w:type="dxa"/>
          </w:tcPr>
          <w:p w14:paraId="478DFC9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Выход на аэродром</w:t>
            </w:r>
          </w:p>
        </w:tc>
      </w:tr>
      <w:tr w:rsidR="00F26F01" w:rsidRPr="00C33834" w14:paraId="452A3C26" w14:textId="77777777">
        <w:tc>
          <w:tcPr>
            <w:tcW w:w="1951" w:type="dxa"/>
          </w:tcPr>
          <w:p w14:paraId="501E1A8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Внедрение в серию</w:t>
            </w:r>
          </w:p>
        </w:tc>
        <w:tc>
          <w:tcPr>
            <w:tcW w:w="1856" w:type="dxa"/>
          </w:tcPr>
          <w:p w14:paraId="2DEBF8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50A133E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433" w:type="dxa"/>
          </w:tcPr>
          <w:p w14:paraId="535028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BC3F676" w14:textId="77777777">
        <w:tc>
          <w:tcPr>
            <w:tcW w:w="1951" w:type="dxa"/>
          </w:tcPr>
          <w:p w14:paraId="0052640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МДР4</w:t>
            </w:r>
          </w:p>
        </w:tc>
        <w:tc>
          <w:tcPr>
            <w:tcW w:w="1856" w:type="dxa"/>
          </w:tcPr>
          <w:p w14:paraId="73D371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11AD6E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01.09.1934</w:t>
            </w:r>
          </w:p>
        </w:tc>
        <w:tc>
          <w:tcPr>
            <w:tcW w:w="3433" w:type="dxa"/>
          </w:tcPr>
          <w:p w14:paraId="457099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сдачи черт.</w:t>
            </w:r>
          </w:p>
        </w:tc>
      </w:tr>
      <w:tr w:rsidR="00F26F01" w:rsidRPr="00C33834" w14:paraId="3FFEB3FE" w14:textId="77777777">
        <w:tc>
          <w:tcPr>
            <w:tcW w:w="1951" w:type="dxa"/>
          </w:tcPr>
          <w:p w14:paraId="77D2CF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МК1</w:t>
            </w:r>
          </w:p>
        </w:tc>
        <w:tc>
          <w:tcPr>
            <w:tcW w:w="1856" w:type="dxa"/>
          </w:tcPr>
          <w:p w14:paraId="6D68A7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62F944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01.09.1934</w:t>
            </w:r>
          </w:p>
        </w:tc>
        <w:tc>
          <w:tcPr>
            <w:tcW w:w="3433" w:type="dxa"/>
          </w:tcPr>
          <w:p w14:paraId="0FBC25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сдачи черт.</w:t>
            </w:r>
          </w:p>
        </w:tc>
      </w:tr>
      <w:tr w:rsidR="00F26F01" w:rsidRPr="00C33834" w14:paraId="04EE58BB" w14:textId="77777777">
        <w:tc>
          <w:tcPr>
            <w:tcW w:w="1951" w:type="dxa"/>
          </w:tcPr>
          <w:p w14:paraId="294BF6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w:t>
            </w:r>
          </w:p>
        </w:tc>
        <w:tc>
          <w:tcPr>
            <w:tcW w:w="1856" w:type="dxa"/>
          </w:tcPr>
          <w:p w14:paraId="622B6E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374192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01.03.1934</w:t>
            </w:r>
          </w:p>
        </w:tc>
        <w:tc>
          <w:tcPr>
            <w:tcW w:w="3433" w:type="dxa"/>
          </w:tcPr>
          <w:p w14:paraId="699B46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сдачи черт.</w:t>
            </w:r>
          </w:p>
        </w:tc>
      </w:tr>
      <w:tr w:rsidR="00F26F01" w:rsidRPr="00C33834" w14:paraId="5505FF36" w14:textId="77777777">
        <w:tc>
          <w:tcPr>
            <w:tcW w:w="1951" w:type="dxa"/>
          </w:tcPr>
          <w:p w14:paraId="46CEB8A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ДИП</w:t>
            </w:r>
          </w:p>
        </w:tc>
        <w:tc>
          <w:tcPr>
            <w:tcW w:w="1856" w:type="dxa"/>
          </w:tcPr>
          <w:p w14:paraId="038FAE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3A1D7C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01.12.1934</w:t>
            </w:r>
          </w:p>
        </w:tc>
        <w:tc>
          <w:tcPr>
            <w:tcW w:w="3433" w:type="dxa"/>
          </w:tcPr>
          <w:p w14:paraId="18461E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сдачи черт.</w:t>
            </w:r>
          </w:p>
        </w:tc>
      </w:tr>
      <w:tr w:rsidR="00F26F01" w:rsidRPr="00C33834" w14:paraId="1FECD287" w14:textId="77777777">
        <w:tc>
          <w:tcPr>
            <w:tcW w:w="1951" w:type="dxa"/>
          </w:tcPr>
          <w:p w14:paraId="621CA9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МГ военный</w:t>
            </w:r>
          </w:p>
        </w:tc>
        <w:tc>
          <w:tcPr>
            <w:tcW w:w="1856" w:type="dxa"/>
          </w:tcPr>
          <w:p w14:paraId="00917A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6814A7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01.01.1934</w:t>
            </w:r>
          </w:p>
        </w:tc>
        <w:tc>
          <w:tcPr>
            <w:tcW w:w="3433" w:type="dxa"/>
          </w:tcPr>
          <w:p w14:paraId="7B6D01D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сдачи черт.</w:t>
            </w:r>
          </w:p>
        </w:tc>
      </w:tr>
      <w:tr w:rsidR="00F26F01" w:rsidRPr="00C33834" w14:paraId="42189993" w14:textId="77777777">
        <w:tc>
          <w:tcPr>
            <w:tcW w:w="1951" w:type="dxa"/>
          </w:tcPr>
          <w:p w14:paraId="5B553F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МГ пассажирский</w:t>
            </w:r>
          </w:p>
        </w:tc>
        <w:tc>
          <w:tcPr>
            <w:tcW w:w="1856" w:type="dxa"/>
          </w:tcPr>
          <w:p w14:paraId="707A0B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151AD3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01.05.1934</w:t>
            </w:r>
          </w:p>
        </w:tc>
        <w:tc>
          <w:tcPr>
            <w:tcW w:w="3433" w:type="dxa"/>
          </w:tcPr>
          <w:p w14:paraId="413C51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сдачи черт.</w:t>
            </w:r>
          </w:p>
        </w:tc>
      </w:tr>
      <w:tr w:rsidR="00F26F01" w:rsidRPr="00C33834" w14:paraId="3C425369" w14:textId="77777777">
        <w:tc>
          <w:tcPr>
            <w:tcW w:w="1951" w:type="dxa"/>
          </w:tcPr>
          <w:p w14:paraId="44C8750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АНТ14 пассажирский</w:t>
            </w:r>
          </w:p>
        </w:tc>
        <w:tc>
          <w:tcPr>
            <w:tcW w:w="1856" w:type="dxa"/>
          </w:tcPr>
          <w:p w14:paraId="593EFC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60608B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01.05.1934</w:t>
            </w:r>
          </w:p>
        </w:tc>
        <w:tc>
          <w:tcPr>
            <w:tcW w:w="3433" w:type="dxa"/>
          </w:tcPr>
          <w:p w14:paraId="72CCF79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сдачи черт.</w:t>
            </w:r>
          </w:p>
        </w:tc>
      </w:tr>
      <w:tr w:rsidR="00F26F01" w:rsidRPr="00C33834" w14:paraId="2442F0B7" w14:textId="77777777">
        <w:tc>
          <w:tcPr>
            <w:tcW w:w="1951" w:type="dxa"/>
          </w:tcPr>
          <w:p w14:paraId="5786C5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АНТ14 военный</w:t>
            </w:r>
          </w:p>
        </w:tc>
        <w:tc>
          <w:tcPr>
            <w:tcW w:w="1856" w:type="dxa"/>
          </w:tcPr>
          <w:p w14:paraId="6865D1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252A9D9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01.10.1934</w:t>
            </w:r>
          </w:p>
        </w:tc>
        <w:tc>
          <w:tcPr>
            <w:tcW w:w="3433" w:type="dxa"/>
          </w:tcPr>
          <w:p w14:paraId="6EED64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сдачи черт.</w:t>
            </w:r>
          </w:p>
        </w:tc>
      </w:tr>
      <w:tr w:rsidR="00F26F01" w:rsidRPr="00C33834" w14:paraId="389AEC24" w14:textId="77777777">
        <w:tc>
          <w:tcPr>
            <w:tcW w:w="1951" w:type="dxa"/>
          </w:tcPr>
          <w:p w14:paraId="3719572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w:t>
            </w:r>
          </w:p>
        </w:tc>
        <w:tc>
          <w:tcPr>
            <w:tcW w:w="1856" w:type="dxa"/>
          </w:tcPr>
          <w:p w14:paraId="62312F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13EEEAB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01.04.1934</w:t>
            </w:r>
          </w:p>
        </w:tc>
        <w:tc>
          <w:tcPr>
            <w:tcW w:w="3433" w:type="dxa"/>
          </w:tcPr>
          <w:p w14:paraId="4FB046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сдачи черт.</w:t>
            </w:r>
          </w:p>
        </w:tc>
      </w:tr>
      <w:tr w:rsidR="00F26F01" w:rsidRPr="00C33834" w14:paraId="03A784F3" w14:textId="77777777">
        <w:tc>
          <w:tcPr>
            <w:tcW w:w="1951" w:type="dxa"/>
          </w:tcPr>
          <w:p w14:paraId="2A61FDD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сам., вып. 1933 г.:</w:t>
            </w:r>
          </w:p>
        </w:tc>
        <w:tc>
          <w:tcPr>
            <w:tcW w:w="1856" w:type="dxa"/>
          </w:tcPr>
          <w:p w14:paraId="0C53F60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0C11302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433" w:type="dxa"/>
          </w:tcPr>
          <w:p w14:paraId="0A6FF21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EC687F6" w14:textId="77777777">
        <w:tc>
          <w:tcPr>
            <w:tcW w:w="1951" w:type="dxa"/>
          </w:tcPr>
          <w:p w14:paraId="4CA405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МИ3-2М34 гол.</w:t>
            </w:r>
          </w:p>
        </w:tc>
        <w:tc>
          <w:tcPr>
            <w:tcW w:w="1856" w:type="dxa"/>
          </w:tcPr>
          <w:p w14:paraId="4B83BF3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184B9F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433" w:type="dxa"/>
          </w:tcPr>
          <w:p w14:paraId="2839DC5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02864CC" w14:textId="77777777">
        <w:tc>
          <w:tcPr>
            <w:tcW w:w="1951" w:type="dxa"/>
          </w:tcPr>
          <w:p w14:paraId="315AD57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И14-РЦ дубл.</w:t>
            </w:r>
          </w:p>
        </w:tc>
        <w:tc>
          <w:tcPr>
            <w:tcW w:w="1856" w:type="dxa"/>
          </w:tcPr>
          <w:p w14:paraId="04BBFB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3AB377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433" w:type="dxa"/>
          </w:tcPr>
          <w:p w14:paraId="11F7F2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ABFF6AD" w14:textId="77777777">
        <w:tc>
          <w:tcPr>
            <w:tcW w:w="1951" w:type="dxa"/>
          </w:tcPr>
          <w:p w14:paraId="58AFD7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оп. ВИ</w:t>
            </w:r>
          </w:p>
        </w:tc>
        <w:tc>
          <w:tcPr>
            <w:tcW w:w="1856" w:type="dxa"/>
          </w:tcPr>
          <w:p w14:paraId="6CD8F7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5A8FEFD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433" w:type="dxa"/>
          </w:tcPr>
          <w:p w14:paraId="5EF1BBD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3167474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(351).</w:t>
      </w:r>
    </w:p>
    <w:p w14:paraId="622749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Исполнитель: Инюшин (351).</w:t>
      </w:r>
    </w:p>
    <w:p w14:paraId="184C446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0E99A9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декабря 1933 г. Начальник ЦАГИ Н.М.Харламов и начальником конструкторского отдела А.Н.Туполев в своем письме в Главное Управление авиапромышленности предложило внести в план коррективы. Таковые были внесены, после чего задание ЦАГИ видоизменилось: вместо модернизации МИ-3 институту предлагалось проектировать и строить новую машину МИ-4 под двигатели Райт "Циклон" или "Испано-Сюиза". Одновременно, как развитие очередного многоместного истребителя обсуждается ближний бомбардировщик ББ. Упомянутый выше МИ-4 в дальнейшем из плана выпал, а ББ напротив закрепился, его проектирование началось еще до наступления 1934 г. Короткое время спустя обозначение машины меняется на СБ - средний бомбардировщик (здесь могут возникнуть разночтения, ибо ВВС практически сразу определяло его как скоростной бомбардировщик), для его проектирования создается конструкторская бригада №5 под руководством А.А.Архангельского в количестве 120 человек. Внутри КБ самолет получил обозначение АНТ-40 (12027).</w:t>
      </w:r>
    </w:p>
    <w:p w14:paraId="5CDD0F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797C2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декабря 1933 Нач. НТО ГУАП Алмазов писал в ЦК ВКП(б) Асиеву письмо N 257/774с в сопровождение материалов по опытному строительству, в т.ч.:</w:t>
      </w:r>
    </w:p>
    <w:p w14:paraId="03FDA7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Проект постановления СТО по НИР и ОР</w:t>
      </w:r>
    </w:p>
    <w:p w14:paraId="3517527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Проект докладной записки о НИО и ОО ГУАП</w:t>
      </w:r>
    </w:p>
    <w:p w14:paraId="5AC3BA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Краткую докладную записку о результатах проведенной работы по опытному моторо- самолетостроению по состоянию на 15 декабря 1933</w:t>
      </w:r>
    </w:p>
    <w:p w14:paraId="21DBA80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Краткое состояние опытного самолетостроения на 15 декабря 1933</w:t>
      </w:r>
    </w:p>
    <w:p w14:paraId="02CAD4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План опытного самолетостроения на 1933-24</w:t>
      </w:r>
    </w:p>
    <w:p w14:paraId="3A40CA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Краткий отчет о результатах НИР ЦАГИ на 1933</w:t>
      </w:r>
    </w:p>
    <w:p w14:paraId="62A084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Состояние опытного моторостроения на 12 декабря 1933</w:t>
      </w:r>
    </w:p>
    <w:p w14:paraId="42FF08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Изменение сроков выпуска опытных и экспериментальных моторов на самолетах</w:t>
      </w:r>
    </w:p>
    <w:p w14:paraId="4D01BA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Предлагаемые к утверждению техданные и сроки гос. испытаний опытных моторов (2286,127).</w:t>
      </w:r>
    </w:p>
    <w:p w14:paraId="565AB2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06CB817" w14:textId="77777777" w:rsidR="00661CFE" w:rsidRPr="00C33834" w:rsidRDefault="00661CF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декабря 1933 г. Протокол ПБ № 151 п.68/43: О моторах - ОП. Решено: 1) заказать в Италии 50 морских моторов типа «АССО-1000» фирмы «Изотта-Фраскини» для торпедных катеров с необходимым комплектом запасных частей; 2) приобрести в Италии у фирмы «Гарелли» 50 мотокомпрессоров авиационного типа; 3) обязать Розенгольца и Орлова в течение десяти дней разместить эти заказы (15948).</w:t>
      </w:r>
    </w:p>
    <w:p w14:paraId="15DF4CBC" w14:textId="77777777" w:rsidR="00661CFE" w:rsidRPr="00C33834" w:rsidRDefault="00661CFE" w:rsidP="00C33834">
      <w:pPr>
        <w:spacing w:after="0" w:line="240" w:lineRule="auto"/>
        <w:jc w:val="both"/>
        <w:rPr>
          <w:rFonts w:ascii="Times New Roman" w:hAnsi="Times New Roman"/>
          <w:color w:val="000000" w:themeColor="text1"/>
          <w:sz w:val="16"/>
          <w:szCs w:val="16"/>
        </w:rPr>
      </w:pPr>
    </w:p>
    <w:p w14:paraId="328F7DDF" w14:textId="77777777" w:rsidR="00661CFE" w:rsidRPr="00C33834" w:rsidRDefault="00661CF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декабря 1933 г. Протокол ПБ № 151 п.60/35: Вопрос КО - ОП. Решено утвердить следующее постановление КО: «1. Разрешить НКТП покупку у фирмы «Дуккель» специального оборудования для производства насосов и форсунок к дизелям на сумму в 75000 руб. золотом. 2. Санкционировать приглашение главного конструктора насосно-форсуночной фирмы «Дуккель» - инженера Бруннера для техпомощи по производству насосов и форсунок (15960).</w:t>
      </w:r>
    </w:p>
    <w:p w14:paraId="45DCA8FB" w14:textId="77777777" w:rsidR="00661CFE" w:rsidRPr="00C33834" w:rsidRDefault="00661CFE" w:rsidP="00C33834">
      <w:pPr>
        <w:spacing w:after="0" w:line="240" w:lineRule="auto"/>
        <w:jc w:val="both"/>
        <w:rPr>
          <w:rFonts w:ascii="Times New Roman" w:hAnsi="Times New Roman"/>
          <w:color w:val="000000" w:themeColor="text1"/>
          <w:sz w:val="16"/>
          <w:szCs w:val="16"/>
        </w:rPr>
      </w:pPr>
    </w:p>
    <w:p w14:paraId="3D4B7E4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декабря 1933 один ТБ-1 перелетел на промежуточную ба</w:t>
      </w:r>
      <w:r w:rsidRPr="00C33834">
        <w:rPr>
          <w:rFonts w:ascii="Times New Roman" w:hAnsi="Times New Roman"/>
          <w:color w:val="000000" w:themeColor="text1"/>
          <w:sz w:val="16"/>
          <w:szCs w:val="16"/>
        </w:rPr>
        <w:softHyphen/>
        <w:t>зу Уэллен на мысе Дежнева. Оттуда в конце декабря Ляпидевский дважды пытался вы</w:t>
      </w:r>
      <w:r w:rsidRPr="00C33834">
        <w:rPr>
          <w:rFonts w:ascii="Times New Roman" w:hAnsi="Times New Roman"/>
          <w:color w:val="000000" w:themeColor="text1"/>
          <w:sz w:val="16"/>
          <w:szCs w:val="16"/>
        </w:rPr>
        <w:softHyphen/>
        <w:t>лететь к терпящему бедствие судну и оба раза из-за плохой работы двигателей воз</w:t>
      </w:r>
      <w:r w:rsidRPr="00C33834">
        <w:rPr>
          <w:rFonts w:ascii="Times New Roman" w:hAnsi="Times New Roman"/>
          <w:color w:val="000000" w:themeColor="text1"/>
          <w:sz w:val="16"/>
          <w:szCs w:val="16"/>
        </w:rPr>
        <w:softHyphen/>
        <w:t>вращался. Затем на самолете иссяк запас сжатого воздуха, и Ляпидевскому пришлось вернуться в бухту Провидения за второй машиной. Она числилась за летчиком Чер</w:t>
      </w:r>
      <w:r w:rsidRPr="00C33834">
        <w:rPr>
          <w:rFonts w:ascii="Times New Roman" w:hAnsi="Times New Roman"/>
          <w:color w:val="000000" w:themeColor="text1"/>
          <w:sz w:val="16"/>
          <w:szCs w:val="16"/>
        </w:rPr>
        <w:softHyphen/>
        <w:t>нявским, однако решили, что полеты про</w:t>
      </w:r>
      <w:r w:rsidRPr="00C33834">
        <w:rPr>
          <w:rFonts w:ascii="Times New Roman" w:hAnsi="Times New Roman"/>
          <w:color w:val="000000" w:themeColor="text1"/>
          <w:sz w:val="16"/>
          <w:szCs w:val="16"/>
        </w:rPr>
        <w:softHyphen/>
        <w:t>должит именно Ляпидевский. Двухнедель</w:t>
      </w:r>
      <w:r w:rsidRPr="00C33834">
        <w:rPr>
          <w:rFonts w:ascii="Times New Roman" w:hAnsi="Times New Roman"/>
          <w:color w:val="000000" w:themeColor="text1"/>
          <w:sz w:val="16"/>
          <w:szCs w:val="16"/>
        </w:rPr>
        <w:softHyphen/>
        <w:t>ное путешествие на собачьей упряжке, а затем обрушившаяся пурга заметно задер</w:t>
      </w:r>
      <w:r w:rsidRPr="00C33834">
        <w:rPr>
          <w:rFonts w:ascii="Times New Roman" w:hAnsi="Times New Roman"/>
          <w:color w:val="000000" w:themeColor="text1"/>
          <w:sz w:val="16"/>
          <w:szCs w:val="16"/>
        </w:rPr>
        <w:softHyphen/>
        <w:t>жали начало спасения людей (11286).</w:t>
      </w:r>
    </w:p>
    <w:p w14:paraId="14381C2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9C93AE"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декабря 1933 года вышел Приказ по НИИ ВВС № 002 О гос. испытаниях дымового авиаприбора ДАП-ДХ-3 конструкции КОСОС ЦАГИ на самолете ТБ-1 (6790).</w:t>
      </w:r>
    </w:p>
    <w:p w14:paraId="5CDA44B0"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8A02E8" w14:textId="77777777" w:rsidR="002E2083" w:rsidRPr="00C33834" w:rsidRDefault="001A42D5" w:rsidP="00C33834">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59E587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76B5CE49" w14:textId="77777777" w:rsidR="000723F3" w:rsidRPr="00C33834" w:rsidRDefault="000723F3" w:rsidP="00C33834">
      <w:pPr>
        <w:pStyle w:val="ae"/>
        <w:shd w:val="clear" w:color="auto" w:fill="FFFFFF"/>
        <w:spacing w:before="0" w:after="0"/>
        <w:jc w:val="both"/>
        <w:rPr>
          <w:color w:val="000000" w:themeColor="text1"/>
          <w:sz w:val="16"/>
          <w:szCs w:val="16"/>
        </w:rPr>
      </w:pPr>
      <w:r w:rsidRPr="00C33834">
        <w:rPr>
          <w:color w:val="000000" w:themeColor="text1"/>
          <w:sz w:val="16"/>
          <w:szCs w:val="16"/>
        </w:rPr>
        <w:t>20 декабря 1933 Технический отдел ЭКУ ОГПУ и Опытный завод Спецмаштреста заключили договор о выпуске опытных образцов ПТ-1А, Т-29-4 и Т-29-5. Сроком исполнения указывалось 15 апреля 1934 года. 2 января 1934 года было отдано распоряжение о командировке в Ленинград специалистов из Москвы. Так Цейц оказался в Ленинграде. Постепенно проекты видоизменялись. Определённое влияние на Т-29 оказал Т-28 — по его примеру изменились главная башня, орудийная установка, кормовая часть и ряд других элементов. Тем не менее, эти танки достаточно сильно отличались друг от друга. Башня Т-29, в отличие от Т-28, была двухместной. Абсолютно другим оказалось шасси, являвшееся прямым развитием конструкции шасси ПТ-1. Правда, ведущими здесь были не все опорные катки, а вторая, третья и четвёртая пары (17708).</w:t>
      </w:r>
    </w:p>
    <w:p w14:paraId="37B7B1AB" w14:textId="77777777" w:rsidR="000723F3" w:rsidRPr="00C33834" w:rsidRDefault="000723F3" w:rsidP="00C33834">
      <w:pPr>
        <w:spacing w:after="0" w:line="240" w:lineRule="auto"/>
        <w:jc w:val="both"/>
        <w:rPr>
          <w:rFonts w:ascii="Times New Roman" w:eastAsia="Times New Roman" w:hAnsi="Times New Roman"/>
          <w:color w:val="000000" w:themeColor="text1"/>
          <w:sz w:val="16"/>
          <w:szCs w:val="16"/>
          <w:lang w:eastAsia="ru-RU"/>
        </w:rPr>
      </w:pPr>
    </w:p>
    <w:p w14:paraId="1D27BD5F" w14:textId="77777777" w:rsidR="00661CFE" w:rsidRPr="00C33834" w:rsidRDefault="00661CFE" w:rsidP="00C33834">
      <w:pPr>
        <w:pStyle w:val="rtejustify"/>
        <w:spacing w:before="0" w:after="0"/>
        <w:rPr>
          <w:color w:val="000000" w:themeColor="text1"/>
          <w:sz w:val="16"/>
          <w:szCs w:val="16"/>
        </w:rPr>
      </w:pPr>
      <w:r w:rsidRPr="00C33834">
        <w:rPr>
          <w:rStyle w:val="af0"/>
          <w:bCs/>
          <w:i w:val="0"/>
          <w:color w:val="000000" w:themeColor="text1"/>
          <w:sz w:val="16"/>
          <w:szCs w:val="16"/>
        </w:rPr>
        <w:t>20 декабря</w:t>
      </w:r>
      <w:r w:rsidRPr="00C33834">
        <w:rPr>
          <w:color w:val="000000" w:themeColor="text1"/>
          <w:sz w:val="16"/>
          <w:szCs w:val="16"/>
        </w:rPr>
        <w:t xml:space="preserve"> 1933. Протокол заседания Политбюро ЦК ВКП (б) № 151. </w:t>
      </w:r>
      <w:hyperlink r:id="rId398" w:anchor="showunit&amp;id=88570" w:history="1">
        <w:r w:rsidRPr="00C33834">
          <w:rPr>
            <w:rStyle w:val="a5"/>
            <w:color w:val="000000" w:themeColor="text1"/>
            <w:sz w:val="16"/>
            <w:szCs w:val="16"/>
          </w:rPr>
          <w:t>2. Отчетный доклад о работе цветной металлургии, в том числе и о Риддере</w:t>
        </w:r>
      </w:hyperlink>
      <w:r w:rsidRPr="00C33834">
        <w:rPr>
          <w:color w:val="000000" w:themeColor="text1"/>
          <w:sz w:val="16"/>
          <w:szCs w:val="16"/>
        </w:rPr>
        <w:t xml:space="preserve"> (ПБ от 20 декабря 1933 г.). Решено: а) направить на Риддер и на Урал две бригады сроком на три месяца — одну во главе с Шахмурадовым (на Риддер) и другую во главе с Пятаковым (на Урал) для обследования положения на месте и намечения всех необходимых практических мер к развертыванию добычи руд цветных металлов и выплавки меди, цинка и свинца; б) поручить Шахмурадову и Пятакову к завтрашнему дню наметить кандидатов в свои бригады, включив в них представителей Наркомснаба, НКПС и ОГПУ; в) обязать бригады незамедлительно выехать и регулярно информировать СНК и ЦК. </w:t>
      </w:r>
      <w:hyperlink r:id="rId399" w:anchor="showunit&amp;id=88625" w:history="1">
        <w:r w:rsidRPr="00C33834">
          <w:rPr>
            <w:rStyle w:val="a5"/>
            <w:color w:val="000000" w:themeColor="text1"/>
            <w:sz w:val="16"/>
            <w:szCs w:val="16"/>
          </w:rPr>
          <w:t>7. а) О реконструкции и строительстве автозаводов</w:t>
        </w:r>
      </w:hyperlink>
      <w:r w:rsidRPr="00C33834">
        <w:rPr>
          <w:color w:val="000000" w:themeColor="text1"/>
          <w:sz w:val="16"/>
          <w:szCs w:val="16"/>
        </w:rPr>
        <w:t xml:space="preserve"> (Орджоникидзе, В. Межлаук, Пахомов), (ПБ от 19 августа 1933 г., пр. № 144, п. 47/26</w:t>
      </w:r>
      <w:r w:rsidRPr="00C33834">
        <w:rPr>
          <w:color w:val="000000" w:themeColor="text1"/>
          <w:sz w:val="16"/>
          <w:szCs w:val="16"/>
        </w:rPr>
        <w:noBreakHyphen/>
        <w:t xml:space="preserve">4). Решено отложить до следующего заседания, поставив первым вопросом. </w:t>
      </w:r>
      <w:hyperlink r:id="rId400" w:anchor="showunit&amp;id=88591" w:history="1">
        <w:r w:rsidRPr="00C33834">
          <w:rPr>
            <w:rStyle w:val="a5"/>
            <w:color w:val="000000" w:themeColor="text1"/>
            <w:sz w:val="16"/>
            <w:szCs w:val="16"/>
          </w:rPr>
          <w:t>39/14. Вопрос КО</w:t>
        </w:r>
      </w:hyperlink>
      <w:r w:rsidRPr="00C33834">
        <w:rPr>
          <w:color w:val="000000" w:themeColor="text1"/>
          <w:sz w:val="16"/>
          <w:szCs w:val="16"/>
        </w:rPr>
        <w:t xml:space="preserve"> (ПБ от 9 декабря 1933 г.). — ОП. Решено утвердить постановление КО об отпуске ОГПУ 300 тыс. руб. валюты на закупку моторов в Америке для сторожевых катеров погранохраны Дальнего Востока. </w:t>
      </w:r>
      <w:hyperlink r:id="rId401" w:anchor="showunit&amp;id=88615" w:history="1">
        <w:r w:rsidRPr="00C33834">
          <w:rPr>
            <w:rStyle w:val="a5"/>
            <w:color w:val="000000" w:themeColor="text1"/>
            <w:sz w:val="16"/>
            <w:szCs w:val="16"/>
          </w:rPr>
          <w:t>60/35. Вопрос КО</w:t>
        </w:r>
      </w:hyperlink>
      <w:r w:rsidRPr="00C33834">
        <w:rPr>
          <w:color w:val="000000" w:themeColor="text1"/>
          <w:sz w:val="16"/>
          <w:szCs w:val="16"/>
        </w:rPr>
        <w:t xml:space="preserve"> (ПБ от 11 декабря 1933 г.). — ОП. Решено утвердить следующее постановление КО: «1. Разрешить НКТП покупку у фирмы «Дуккель» специального оборудования для производства насосов и форсунок к дизелям на сумму в 75000 руб. золотом. 2. Санкционировать приглашение главного конструктора насосно-форсуночной фирмы «Дуккель» — инженера Бруннера для техпомощи по производству насосов и форсунок. </w:t>
      </w:r>
      <w:hyperlink r:id="rId402" w:anchor="showunit&amp;id=88623" w:history="1">
        <w:r w:rsidRPr="00C33834">
          <w:rPr>
            <w:rStyle w:val="a5"/>
            <w:color w:val="000000" w:themeColor="text1"/>
            <w:sz w:val="16"/>
            <w:szCs w:val="16"/>
          </w:rPr>
          <w:t>68/43. О моторах</w:t>
        </w:r>
      </w:hyperlink>
      <w:r w:rsidRPr="00C33834">
        <w:rPr>
          <w:color w:val="000000" w:themeColor="text1"/>
          <w:sz w:val="16"/>
          <w:szCs w:val="16"/>
        </w:rPr>
        <w:t xml:space="preserve"> (ПБ от 14 декабря 1933 г.). — ОП. Решено: 1) заказать в Италии 50 морских моторов типа «АССО</w:t>
      </w:r>
      <w:r w:rsidRPr="00C33834">
        <w:rPr>
          <w:color w:val="000000" w:themeColor="text1"/>
          <w:sz w:val="16"/>
          <w:szCs w:val="16"/>
        </w:rPr>
        <w:noBreakHyphen/>
        <w:t xml:space="preserve">1000» фирмы «Изотта-Фраскини» для торпедных катеров с необходимым комплектом запасных частей; 2) приобрести в Италии у фирмы «Гарелли» 50 мотокомпрессоров авиационного типа; 3) обязать Розенгольца и Орлова в течение десяти </w:t>
      </w:r>
      <w:r w:rsidRPr="00C33834">
        <w:rPr>
          <w:color w:val="000000" w:themeColor="text1"/>
          <w:sz w:val="16"/>
          <w:szCs w:val="16"/>
        </w:rPr>
        <w:lastRenderedPageBreak/>
        <w:t xml:space="preserve">дней разместить эти заказы. </w:t>
      </w:r>
      <w:hyperlink r:id="rId403" w:anchor="showunit&amp;id=88536" w:history="1">
        <w:r w:rsidRPr="00C33834">
          <w:rPr>
            <w:rStyle w:val="a5"/>
            <w:color w:val="000000" w:themeColor="text1"/>
            <w:sz w:val="16"/>
            <w:szCs w:val="16"/>
          </w:rPr>
          <w:t>100/75. Об экспортно-импортном и валютном планах на 1934 г.</w:t>
        </w:r>
      </w:hyperlink>
      <w:r w:rsidRPr="00C33834">
        <w:rPr>
          <w:color w:val="000000" w:themeColor="text1"/>
          <w:sz w:val="16"/>
          <w:szCs w:val="16"/>
        </w:rPr>
        <w:t xml:space="preserve"> (ПБ от 19 декабря 1933 г.). — ОП. Решено утвердить: 1. План валютных поступлений и расходов на 1934 год с приходом в 545,7 млн. руб. и расходом в 545,4 млн. руб., не включая прихода и расхода по Персии в персидской валюте в 10,3 млн. руб. 2. План сдачи товаров на экспорт и план экспорта на 1934 г., кроме Монголии, Тувы, Западного Китая и Афганистана, в сумме 443,3 млн. руб. по ценам фоб, в том числе экспорт в Персию в сумме 10,3 млн. руб. 3. План импорта на 1934 г. в сумме 156885 тыс. руб., включая импорт из третьих стран для Монголии и Тувы, а также импорт из Персии в размере 9,7 млн. руб. 4. Экспортно-импортные планы и планы сдачи товаров на экспорт по Монголии, Туве и Западному Китаю на 1934 г. 5. План снабжения Торгсина на 1934 г. 6. Постановление Валютной Комиссии об основных мероприятиях по обеспечению экспортно-импортного и валютного планов на 1934 г. (см. приложение). 7. Увеличить экспорт хлеба в 1</w:t>
      </w:r>
      <w:r w:rsidRPr="00C33834">
        <w:rPr>
          <w:color w:val="000000" w:themeColor="text1"/>
          <w:sz w:val="16"/>
          <w:szCs w:val="16"/>
        </w:rPr>
        <w:noBreakHyphen/>
        <w:t>м полугодии 1934 г. сверх плана НКВТ в 1300 тыс. тонн на 290 тыс. тонн (на 6 млн. руб.), установив весь экспорт хлеба в 1</w:t>
      </w:r>
      <w:r w:rsidRPr="00C33834">
        <w:rPr>
          <w:color w:val="000000" w:themeColor="text1"/>
          <w:sz w:val="16"/>
          <w:szCs w:val="16"/>
        </w:rPr>
        <w:noBreakHyphen/>
        <w:t xml:space="preserve">м полугодии 1934 года в количестве 1590 тыс. тонн. 8. Поручить Рудзутаку уточнить и окончательно утвердить экспортно-импортный план и план сдачи товаров на экспорт по Афганистану. </w:t>
      </w:r>
      <w:hyperlink r:id="rId404" w:anchor="showunit&amp;id=88545" w:history="1">
        <w:r w:rsidRPr="00C33834">
          <w:rPr>
            <w:rStyle w:val="a5"/>
            <w:color w:val="000000" w:themeColor="text1"/>
            <w:sz w:val="16"/>
            <w:szCs w:val="16"/>
          </w:rPr>
          <w:t>109/84. О подлодках</w:t>
        </w:r>
      </w:hyperlink>
      <w:r w:rsidRPr="00C33834">
        <w:rPr>
          <w:color w:val="000000" w:themeColor="text1"/>
          <w:sz w:val="16"/>
          <w:szCs w:val="16"/>
        </w:rPr>
        <w:t xml:space="preserve"> (ПБ от 19 декабря 1933 г.). — ОП. Решено предложить НКВоду предоставить в распоряжение НКВМ транспорт «Союз водников» (танкер) для переброски подлодок «Малютка» из Николаева в Севастополь. </w:t>
      </w:r>
      <w:hyperlink r:id="rId405" w:anchor="showunit&amp;id=88556" w:history="1">
        <w:r w:rsidRPr="00C33834">
          <w:rPr>
            <w:rStyle w:val="a5"/>
            <w:color w:val="000000" w:themeColor="text1"/>
            <w:sz w:val="16"/>
            <w:szCs w:val="16"/>
          </w:rPr>
          <w:t>119/94. О судостроительном главуправлении при НКТП</w:t>
        </w:r>
      </w:hyperlink>
      <w:r w:rsidRPr="00C33834">
        <w:rPr>
          <w:color w:val="000000" w:themeColor="text1"/>
          <w:sz w:val="16"/>
          <w:szCs w:val="16"/>
        </w:rPr>
        <w:t xml:space="preserve"> (ПБ от 20 декабря 1933 г.). Решено Судостроительный главк разделить на два главка — морского судостроения и речного судостроения; в морском судостроении сосредоточить главным образом военное судостроение; начальником главка морского судостроения назначить Муклевича, начальником речного судостроения назначить Кондратьева (15462).</w:t>
      </w:r>
    </w:p>
    <w:p w14:paraId="1898AD98" w14:textId="77777777" w:rsidR="00661CFE" w:rsidRPr="00C33834" w:rsidRDefault="00661CFE" w:rsidP="00C33834">
      <w:pPr>
        <w:pStyle w:val="rtejustify"/>
        <w:spacing w:before="0" w:after="0"/>
        <w:rPr>
          <w:color w:val="000000" w:themeColor="text1"/>
          <w:sz w:val="16"/>
          <w:szCs w:val="16"/>
        </w:rPr>
      </w:pPr>
    </w:p>
    <w:p w14:paraId="34487005" w14:textId="77777777" w:rsidR="00091E70" w:rsidRPr="00C33834" w:rsidRDefault="00091E7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декабря 1933</w:t>
      </w:r>
    </w:p>
    <w:p w14:paraId="59FE3473" w14:textId="77777777" w:rsidR="00091E70" w:rsidRPr="00C33834" w:rsidRDefault="00091E7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Протокол № 151 заседания Политбюро ЦК ВКП(б) от 20 декабря 1933 года</w:t>
      </w:r>
    </w:p>
    <w:p w14:paraId="082F084E" w14:textId="77777777" w:rsidR="00091E70" w:rsidRPr="00C33834" w:rsidRDefault="00091E7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Заседание Политбюро ЦК ВКП(б) от 20</w:t>
      </w:r>
      <w:r w:rsidRPr="00C33834">
        <w:rPr>
          <w:rFonts w:ascii="Times New Roman" w:hAnsi="Times New Roman"/>
          <w:color w:val="000000" w:themeColor="text1"/>
          <w:sz w:val="16"/>
          <w:szCs w:val="16"/>
        </w:rPr>
        <w:noBreakHyphen/>
        <w:t>го декабря 1933 года.</w:t>
      </w:r>
    </w:p>
    <w:p w14:paraId="0F5E5ABA" w14:textId="77777777" w:rsidR="00091E70" w:rsidRPr="00C33834" w:rsidRDefault="00091E70" w:rsidP="00C33834">
      <w:pPr>
        <w:spacing w:after="0" w:line="240" w:lineRule="auto"/>
        <w:jc w:val="both"/>
        <w:rPr>
          <w:rFonts w:ascii="Times New Roman" w:hAnsi="Times New Roman"/>
          <w:color w:val="000000" w:themeColor="text1"/>
          <w:sz w:val="16"/>
          <w:szCs w:val="16"/>
        </w:rPr>
      </w:pPr>
    </w:p>
    <w:p w14:paraId="31CB4280" w14:textId="77777777" w:rsidR="00091E70" w:rsidRPr="00C33834" w:rsidRDefault="00091E7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 68/43: О моторах</w:t>
      </w:r>
    </w:p>
    <w:p w14:paraId="5DC2F36D" w14:textId="77777777" w:rsidR="00091E70" w:rsidRPr="00C33834" w:rsidRDefault="00091E7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 — особая папка.</w:t>
      </w:r>
    </w:p>
    <w:p w14:paraId="1B018F04" w14:textId="77777777" w:rsidR="00091E70" w:rsidRPr="00C33834" w:rsidRDefault="00091E7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3аказать в Италии 50 морских моторов типа “АССО</w:t>
      </w:r>
      <w:r w:rsidRPr="00C33834">
        <w:rPr>
          <w:rFonts w:ascii="Times New Roman" w:hAnsi="Times New Roman"/>
          <w:color w:val="000000" w:themeColor="text1"/>
          <w:sz w:val="16"/>
          <w:szCs w:val="16"/>
        </w:rPr>
        <w:noBreakHyphen/>
        <w:t>1000” фирмы “Изотта-Фраскини” для торпедных катеров с необходимым комплектом запасных частей.</w:t>
      </w:r>
    </w:p>
    <w:p w14:paraId="25D84DF1" w14:textId="77777777" w:rsidR="00091E70" w:rsidRPr="00C33834" w:rsidRDefault="00091E7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Приобрести в Италии у фирмы “Гарелли” 50 мото</w:t>
      </w:r>
      <w:r w:rsidRPr="00C33834">
        <w:rPr>
          <w:rFonts w:ascii="Times New Roman" w:hAnsi="Times New Roman"/>
          <w:color w:val="000000" w:themeColor="text1"/>
          <w:sz w:val="16"/>
          <w:szCs w:val="16"/>
        </w:rPr>
        <w:softHyphen/>
        <w:t>компрессоров авиационного типа.</w:t>
      </w:r>
    </w:p>
    <w:p w14:paraId="7632E6F2" w14:textId="77777777" w:rsidR="00091E70" w:rsidRPr="00C33834" w:rsidRDefault="00091E7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Обязать тов. Розенгольца и т. Орлова в течении десяти дней разместить эти заказы.</w:t>
      </w:r>
    </w:p>
    <w:p w14:paraId="19D2CE4C" w14:textId="77777777" w:rsidR="00091E70" w:rsidRPr="00C33834" w:rsidRDefault="00091E7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Выписки посланы:</w:t>
      </w:r>
    </w:p>
    <w:p w14:paraId="4741012A" w14:textId="77777777" w:rsidR="00091E70" w:rsidRPr="00C33834" w:rsidRDefault="00091E7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Базилевичу, Розенгольцу, Ворошилову, Орлову.</w:t>
      </w:r>
    </w:p>
    <w:p w14:paraId="23D69402" w14:textId="77777777" w:rsidR="00091E70" w:rsidRPr="00C33834" w:rsidRDefault="00091E70" w:rsidP="00C33834">
      <w:pPr>
        <w:spacing w:after="0" w:line="240" w:lineRule="auto"/>
        <w:jc w:val="both"/>
        <w:rPr>
          <w:rFonts w:ascii="Times New Roman" w:hAnsi="Times New Roman"/>
          <w:color w:val="000000" w:themeColor="text1"/>
          <w:sz w:val="16"/>
          <w:szCs w:val="16"/>
        </w:rPr>
      </w:pPr>
    </w:p>
    <w:p w14:paraId="79F8CBD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декабря 1933 г. была подготовлена записка ЦК ВКП(б) № П151/6-с</w:t>
      </w:r>
    </w:p>
    <w:p w14:paraId="58B103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 Ягоде </w:t>
      </w:r>
    </w:p>
    <w:p w14:paraId="19DB2E8D" w14:textId="77777777" w:rsidR="002E2083" w:rsidRPr="00C33834" w:rsidRDefault="002E2083" w:rsidP="00C33834">
      <w:pPr>
        <w:autoSpaceDE w:val="0"/>
        <w:autoSpaceDN w:val="0"/>
        <w:adjustRightInd w:val="0"/>
        <w:spacing w:after="0" w:line="240" w:lineRule="auto"/>
        <w:jc w:val="both"/>
        <w:rPr>
          <w:rFonts w:ascii="Times New Roman" w:hAnsi="Times New Roman"/>
          <w:bCs/>
          <w:color w:val="000000" w:themeColor="text1"/>
          <w:sz w:val="16"/>
          <w:szCs w:val="16"/>
        </w:rPr>
      </w:pPr>
      <w:r w:rsidRPr="00C33834">
        <w:rPr>
          <w:rFonts w:ascii="Times New Roman" w:hAnsi="Times New Roman"/>
          <w:color w:val="000000" w:themeColor="text1"/>
          <w:sz w:val="16"/>
          <w:szCs w:val="16"/>
        </w:rPr>
        <w:t>Строго секретно</w:t>
      </w:r>
    </w:p>
    <w:p w14:paraId="0895A5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Выписка из протокола №151 заседания Политбюро ЦК от 10. XII. 1933 г. </w:t>
      </w:r>
    </w:p>
    <w:p w14:paraId="6FF338C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6 - О поджоге эллинга на заводе "Марти". (т Ягода). </w:t>
      </w:r>
    </w:p>
    <w:p w14:paraId="60D6719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Отложить.</w:t>
      </w:r>
    </w:p>
    <w:p w14:paraId="1DD1011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Разрешить ОГПУ арестовать немцев.</w:t>
      </w:r>
    </w:p>
    <w:p w14:paraId="762337D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Секретарь ЦК.</w:t>
      </w:r>
    </w:p>
    <w:p w14:paraId="4021988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 РФ ф. 3, оп. 58, д. 243, л. 209 (11462).</w:t>
      </w:r>
    </w:p>
    <w:p w14:paraId="63E47A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1653576"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20 декабря 1933 состоялось заседание ПБ и был оформлен протокол № 151</w:t>
      </w:r>
    </w:p>
    <w:p w14:paraId="52C0E14F"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 - О поджоге_эллиига на заводе "Марти". (т. ЯгодаТ.</w:t>
      </w:r>
    </w:p>
    <w:p w14:paraId="4C906DD6"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Отложить.</w:t>
      </w:r>
    </w:p>
    <w:p w14:paraId="5BD29849"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Разрешить ОГПУ арестовать немцев.</w:t>
      </w:r>
    </w:p>
    <w:p w14:paraId="392917CA"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Выписка послана: тов.Ягоде.</w:t>
      </w:r>
    </w:p>
    <w:p w14:paraId="7882701A"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9 декабря 1933 опросом членов ПБ</w:t>
      </w:r>
    </w:p>
    <w:p w14:paraId="3F139FD7"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39/14 .- Вопрос КО,</w:t>
      </w:r>
    </w:p>
    <w:p w14:paraId="6EE7C176"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Утвердить постановление КО об отпуске ОГПУ 300 тыс.руб.валюты на закупку моторов в Америке для сторожевых катеров погранохраны ДВ.</w:t>
      </w:r>
    </w:p>
    <w:p w14:paraId="4BF5BB36"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т.т.Базилевичу, Ягоде, Розенгольцу</w:t>
      </w:r>
    </w:p>
    <w:p w14:paraId="2D1BDD76"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 декабря 1933 опросом членов ПБ</w:t>
      </w:r>
    </w:p>
    <w:p w14:paraId="210BBF5A"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52/27.- О Франции,</w:t>
      </w:r>
    </w:p>
    <w:p w14:paraId="5AB89E1C"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.Принять предложение Пьер КОТ "а о посылке наших командиров в школы французской авиации для совершенствования:</w:t>
      </w:r>
    </w:p>
    <w:p w14:paraId="77967DC6"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а)в высшую авиационную школу в Париже послать трех командиров;</w:t>
      </w:r>
    </w:p>
    <w:p w14:paraId="6363FA75"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б)на годичные курсы в авиационной школе в Версале послать двух командиров.</w:t>
      </w:r>
    </w:p>
    <w:p w14:paraId="0D8C3924"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Поручить т.Венцову в осторожной форме выяс</w:t>
      </w:r>
      <w:r w:rsidRPr="00C33834">
        <w:rPr>
          <w:rFonts w:ascii="Times New Roman" w:hAnsi="Times New Roman"/>
          <w:color w:val="0070C0"/>
          <w:sz w:val="16"/>
          <w:szCs w:val="16"/>
        </w:rPr>
        <w:softHyphen/>
        <w:t>нить у французов возможность посылки одного коман</w:t>
      </w:r>
      <w:r w:rsidRPr="00C33834">
        <w:rPr>
          <w:rFonts w:ascii="Times New Roman" w:hAnsi="Times New Roman"/>
          <w:color w:val="0070C0"/>
          <w:sz w:val="16"/>
          <w:szCs w:val="16"/>
        </w:rPr>
        <w:softHyphen/>
        <w:t>дира в школу высшего пилотажа в Этамп и одного ко</w:t>
      </w:r>
      <w:r w:rsidRPr="00C33834">
        <w:rPr>
          <w:rFonts w:ascii="Times New Roman" w:hAnsi="Times New Roman"/>
          <w:color w:val="0070C0"/>
          <w:sz w:val="16"/>
          <w:szCs w:val="16"/>
        </w:rPr>
        <w:softHyphen/>
        <w:t>мандира в школу воздушной стрельбы и бомбометания в Казо.</w:t>
      </w:r>
    </w:p>
    <w:p w14:paraId="5778DD5D"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Согласиться на предложение Пьер К0Т"а о приезде к нам четырех французских авиаспециалистов. Приезжающим французам поставить конкретные задачи по постановке на производство моторов фирмы Испано Сюиза и по разработке системы вооружения истреби</w:t>
      </w:r>
      <w:r w:rsidRPr="00C33834">
        <w:rPr>
          <w:rFonts w:ascii="Times New Roman" w:hAnsi="Times New Roman"/>
          <w:color w:val="0070C0"/>
          <w:sz w:val="16"/>
          <w:szCs w:val="16"/>
        </w:rPr>
        <w:softHyphen/>
        <w:t>тельной авиации.</w:t>
      </w:r>
    </w:p>
    <w:p w14:paraId="52D116F8"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4.Разрешить т.Венцову поодолжать переговоры с де-ЛАТТРОМ о посылке весной 1934 г. группы артил</w:t>
      </w:r>
      <w:r w:rsidRPr="00C33834">
        <w:rPr>
          <w:rFonts w:ascii="Times New Roman" w:hAnsi="Times New Roman"/>
          <w:color w:val="0070C0"/>
          <w:sz w:val="16"/>
          <w:szCs w:val="16"/>
        </w:rPr>
        <w:softHyphen/>
        <w:t>лерийских командиров для прохождения курса с овер</w:t>
      </w:r>
      <w:r w:rsidRPr="00C33834">
        <w:rPr>
          <w:rFonts w:ascii="Times New Roman" w:hAnsi="Times New Roman"/>
          <w:color w:val="0070C0"/>
          <w:sz w:val="16"/>
          <w:szCs w:val="16"/>
        </w:rPr>
        <w:softHyphen/>
        <w:t>шенствования в Метце и присутствия на артиллерий</w:t>
      </w:r>
      <w:r w:rsidRPr="00C33834">
        <w:rPr>
          <w:rFonts w:ascii="Times New Roman" w:hAnsi="Times New Roman"/>
          <w:color w:val="0070C0"/>
          <w:sz w:val="16"/>
          <w:szCs w:val="16"/>
        </w:rPr>
        <w:softHyphen/>
        <w:t>ских учениях и стрельбах (срок командировки до 6-ти недель). В случае официального предложения французов разрешить т.Венцову дать согласие о по</w:t>
      </w:r>
      <w:r w:rsidRPr="00C33834">
        <w:rPr>
          <w:rFonts w:ascii="Times New Roman" w:hAnsi="Times New Roman"/>
          <w:color w:val="0070C0"/>
          <w:sz w:val="16"/>
          <w:szCs w:val="16"/>
        </w:rPr>
        <w:softHyphen/>
        <w:t>сылке нами трех человек.</w:t>
      </w:r>
    </w:p>
    <w:p w14:paraId="3A6B0E4C"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 Поручить т.Довгалевскому сообщить францу</w:t>
      </w:r>
      <w:r w:rsidRPr="00C33834">
        <w:rPr>
          <w:rFonts w:ascii="Times New Roman" w:hAnsi="Times New Roman"/>
          <w:color w:val="0070C0"/>
          <w:sz w:val="16"/>
          <w:szCs w:val="16"/>
        </w:rPr>
        <w:softHyphen/>
        <w:t>зам о нашем намерении послать весной 1934 г.эскад</w:t>
      </w:r>
      <w:r w:rsidRPr="00C33834">
        <w:rPr>
          <w:rFonts w:ascii="Times New Roman" w:hAnsi="Times New Roman"/>
          <w:color w:val="0070C0"/>
          <w:sz w:val="16"/>
          <w:szCs w:val="16"/>
        </w:rPr>
        <w:softHyphen/>
        <w:t>рилью самолетов в Париж, в ответ на визит Пьер КОТ"а.</w:t>
      </w:r>
    </w:p>
    <w:p w14:paraId="38104A28"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Выписка послана: тов.Ворошилову.</w:t>
      </w:r>
    </w:p>
    <w:p w14:paraId="63F9C47C"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11 декабря 1933 опросом членов ПБ</w:t>
      </w:r>
    </w:p>
    <w:p w14:paraId="7FF3AEB9"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60/35,- Вопрос КО,</w:t>
      </w:r>
    </w:p>
    <w:p w14:paraId="4282DBB4"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Утвердить следующее постановление КО:</w:t>
      </w:r>
    </w:p>
    <w:p w14:paraId="313362D5"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Разрешить НКТП покупку у фирмы "Дуккель" специального оборудования для производства насосов и форсунок к дизелям на сумму в 75.000 р.золотом.</w:t>
      </w:r>
    </w:p>
    <w:p w14:paraId="1B634213"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Санкционировать приглашение главного кон</w:t>
      </w:r>
      <w:r w:rsidRPr="00C33834">
        <w:rPr>
          <w:rFonts w:ascii="Times New Roman" w:hAnsi="Times New Roman"/>
          <w:color w:val="0070C0"/>
          <w:sz w:val="16"/>
          <w:szCs w:val="16"/>
        </w:rPr>
        <w:softHyphen/>
        <w:t>структора насосно-форсуночной фирмы "Дуккель" - инженера Бруннера для техпомощи по производству насосов и форсунок.</w:t>
      </w:r>
    </w:p>
    <w:p w14:paraId="49EA8B53"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Базилевичу, Орджоникидзе, Розенгольцу</w:t>
      </w:r>
    </w:p>
    <w:p w14:paraId="45EFC060"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14 декабря 1933 опросом членов ПБ</w:t>
      </w:r>
    </w:p>
    <w:p w14:paraId="19B3F8D2"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68/43.- О моторах.</w:t>
      </w:r>
    </w:p>
    <w:p w14:paraId="285D50E1"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1.Заказать в Италии 50 морских моторов типа "АСС0-1000" фирмы "Изотта-Фраскини" для торпедных катеров с необходимым комплектом запасных частей.</w:t>
      </w:r>
    </w:p>
    <w:p w14:paraId="1EF4913F"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Приобрести в Италии у фирмы "Гарелли” 50 мотоксмпрессоров авиационного типа.</w:t>
      </w:r>
    </w:p>
    <w:p w14:paraId="2774D8A2"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3.Обязать тов.Розенгольца и т.Орлова в те</w:t>
      </w:r>
      <w:r w:rsidRPr="00C33834">
        <w:rPr>
          <w:rFonts w:ascii="Times New Roman" w:hAnsi="Times New Roman"/>
          <w:color w:val="0070C0"/>
          <w:sz w:val="16"/>
          <w:szCs w:val="16"/>
        </w:rPr>
        <w:softHyphen/>
        <w:t>чении десяти дней разместить эти заказы.</w:t>
      </w:r>
    </w:p>
    <w:p w14:paraId="48A781EA"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Базилевичу, Розенгольцу, Ворошилову, Орлову.</w:t>
      </w:r>
    </w:p>
    <w:p w14:paraId="5D2FB749"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19 декабря 1933 опросом членов ПБ</w:t>
      </w:r>
    </w:p>
    <w:p w14:paraId="0A975E17"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109/84.- О подлодках.</w:t>
      </w:r>
    </w:p>
    <w:p w14:paraId="6C01416A"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Предложить НКВоду предоставить в распоряже</w:t>
      </w:r>
      <w:r w:rsidRPr="00C33834">
        <w:rPr>
          <w:rFonts w:ascii="Times New Roman" w:hAnsi="Times New Roman"/>
          <w:color w:val="0070C0"/>
          <w:sz w:val="16"/>
          <w:szCs w:val="16"/>
        </w:rPr>
        <w:softHyphen/>
        <w:t>ние НКВМ транспорт "Союз водников"(танкер) для переброски подлодок "Малютка" из Николаева в Сева</w:t>
      </w:r>
      <w:r w:rsidRPr="00C33834">
        <w:rPr>
          <w:rFonts w:ascii="Times New Roman" w:hAnsi="Times New Roman"/>
          <w:color w:val="0070C0"/>
          <w:sz w:val="16"/>
          <w:szCs w:val="16"/>
        </w:rPr>
        <w:softHyphen/>
        <w:t>стополь.</w:t>
      </w:r>
    </w:p>
    <w:p w14:paraId="07376E08" w14:textId="77777777" w:rsidR="00F13288" w:rsidRPr="00C33834" w:rsidRDefault="00F13288"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 Янсону, Ворошилову, Базилевичу (23001).</w:t>
      </w:r>
    </w:p>
    <w:p w14:paraId="7484D962" w14:textId="77777777" w:rsidR="00F13288" w:rsidRPr="00C33834" w:rsidRDefault="00F13288" w:rsidP="00C33834">
      <w:pPr>
        <w:spacing w:after="0" w:line="240" w:lineRule="auto"/>
        <w:jc w:val="both"/>
        <w:rPr>
          <w:rFonts w:ascii="Times New Roman" w:hAnsi="Times New Roman"/>
          <w:color w:val="0070C0"/>
          <w:sz w:val="16"/>
          <w:szCs w:val="16"/>
        </w:rPr>
      </w:pPr>
    </w:p>
    <w:p w14:paraId="4F4176A9" w14:textId="77777777" w:rsidR="00035F40"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1D721B1F" w14:textId="77777777" w:rsidR="00035F40" w:rsidRPr="00C33834" w:rsidRDefault="00035F40"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D87330D" w14:textId="77777777" w:rsidR="00661CFE" w:rsidRPr="00C33834" w:rsidRDefault="00661CFE"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20 декабря 1933 г. Протокол ПБ № 151 п.52/27: О Франции – ОП. Решено: 1) принять предложение Пьера Кота о посылке наших командиров в школы французской авиации для совершенствования; а) в Высшую авиационную школу в Париже послать трех командиров; б) на годичные курсы в авиационной школе в Версале послать двух командиров; 2) поручить Венцову в осторожной форме выяснить у французов возможность посылки одного командира в Школу высшего пилотажа в Этамп и одного командира в Школу воздушной стрельбы и бомбометания в Казо; 3) согласиться на предложение Пьера Кота о приезде к нам четырех французских авиаспециалистов. Приезжающим французам поставить конкретные задачи по постановке на производство моторов фирмы Испано Сюиза и по разработке системы вооружения истребительной авиации;. 4) разрешить Венцову продолжать переговоры с де-Латтром о посылке весной 1934 г. группы артиллерийских командиров для </w:t>
      </w:r>
      <w:r w:rsidRPr="00C33834">
        <w:rPr>
          <w:rFonts w:ascii="Times New Roman" w:hAnsi="Times New Roman"/>
          <w:color w:val="000000" w:themeColor="text1"/>
          <w:sz w:val="16"/>
          <w:szCs w:val="16"/>
        </w:rPr>
        <w:lastRenderedPageBreak/>
        <w:t>прохождения курса совершенствования в Метце и присутствия на артиллерийских учениях и стрельбах (срок командировки до 6-ти недель). В случае официального предложения французов разрешить Венцову дать согласие о посылке нами трех человек; 5) поручить Довгалевскому сообщить французам о нашем намерении послать весной 1934 г. эскадрилью самолетов в Париж, в ответ на визит Пьера Кота (15914).</w:t>
      </w:r>
    </w:p>
    <w:p w14:paraId="06BE5BCF" w14:textId="77777777" w:rsidR="00661CFE" w:rsidRPr="00C33834" w:rsidRDefault="00661CFE" w:rsidP="00C33834">
      <w:pPr>
        <w:spacing w:after="0" w:line="240" w:lineRule="auto"/>
        <w:jc w:val="both"/>
        <w:rPr>
          <w:rFonts w:ascii="Times New Roman" w:hAnsi="Times New Roman"/>
          <w:color w:val="000000" w:themeColor="text1"/>
          <w:sz w:val="16"/>
          <w:szCs w:val="16"/>
        </w:rPr>
      </w:pPr>
    </w:p>
    <w:p w14:paraId="4FD4BEC2"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декабря 1933 г. Телеграмма временного поверенного в делах СССР в США Б. Е. Сквирского в Наркомат иностранных дел СССР о создании советского торгпредства в Вашингтоне.</w:t>
      </w:r>
    </w:p>
    <w:p w14:paraId="2FA6F8E9"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Сегодня получил от госдепартамента следующий меморандум с инициалами Филлипса: "Правительство Соединенных Штатов не имеет возражений против назначения советским правительством торгового атташе или торгового советника при посольстве Союза Советских Социалистических Республик в Вашингтоне, который выполнял бы обязанности, обычно возлагаемые на торгового атташе или советника, а именно: сбор экономической и торговой информации, изучение условий рынка, содействие развитию и облегчение торговых отношений, и занимался другой аналогичной деятельностью. </w:t>
      </w:r>
    </w:p>
    <w:p w14:paraId="33A7D3B8"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Правительство Соединенных Штатов, однако, желает внести ясность, что такое должностное лицо не будет заниматься торговлей или вступать в торговые сделки какого-либо рода, т.е. не будет вступать в деловые отношения или подписывать контракты с американскими фирмами, участвовать в операциях по закупке или продаже и т.п. </w:t>
      </w:r>
    </w:p>
    <w:p w14:paraId="487201DA"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Правительство Соединенных Штатов не будет иметь возражений против того, чтобы торговый советник ИЛИ атташе при посольстве Союза Советских Социалистических Республик имел контору и постоянное местожительство в городе Нью-Йорке. </w:t>
      </w:r>
    </w:p>
    <w:p w14:paraId="58BDD106"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Следует указать, однако, что адреса местожительства в городе Нью-Йорке торговых советников или атташе при дипломатических миссиях в Вашингтоне не печатаются в списке дипломатического корпуса". </w:t>
      </w:r>
    </w:p>
    <w:p w14:paraId="0508C24D"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Ясно, что госдепартамент делает попытки затормозить организацию нашего торгпредства в Нью-Йорке, "невинно" обходя вопрос о нашей монополии внешней торговли. Телеграфируйте инструкции или ответ на меморандум. </w:t>
      </w:r>
    </w:p>
    <w:p w14:paraId="3C12C5C3"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Сквирский </w:t>
      </w:r>
    </w:p>
    <w:p w14:paraId="37398FC0"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Документы внешней политики СССР. М. 1970. Т. XVI. С. 757-758 (12152).</w:t>
      </w:r>
    </w:p>
    <w:p w14:paraId="364C7E49" w14:textId="77777777" w:rsidR="00035F40" w:rsidRPr="00C33834" w:rsidRDefault="00035F40" w:rsidP="00C33834">
      <w:pPr>
        <w:spacing w:after="0" w:line="240" w:lineRule="auto"/>
        <w:jc w:val="both"/>
        <w:rPr>
          <w:rFonts w:ascii="Times New Roman" w:hAnsi="Times New Roman"/>
          <w:color w:val="000000" w:themeColor="text1"/>
          <w:sz w:val="16"/>
          <w:szCs w:val="16"/>
        </w:rPr>
      </w:pPr>
    </w:p>
    <w:p w14:paraId="2F957F93"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20 декабря 1933 г. Письмо американского адвоката Мэтью Вуда в Наркомвнешторг СССР об условиях экспортно-импортных контактов с СССР10 </w:t>
      </w:r>
    </w:p>
    <w:p w14:paraId="154C0811"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Джентльмены, </w:t>
      </w:r>
    </w:p>
    <w:p w14:paraId="20DE299A"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являясь поверенным группы коммерсантов, стремящихся со времени восстановления дипломатических сношений между СССР и США к экспортированию и импортированию товаров. Мне сообщено, что для этого требуется специальная лицензия, потому прошу Вас ответить мне точно и подробно на следующие вопросы: 1. Куда и к кому следует обращаться за получением лицензии и что требуется от просителя таковой?</w:t>
      </w:r>
    </w:p>
    <w:p w14:paraId="05EEBFFB"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Какого рода товары могут найти сбыт в Вашей организации? </w:t>
      </w:r>
    </w:p>
    <w:p w14:paraId="3347BB27"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 Какого рода товары производятся в Вашей области, которые могли бы быть экспортированы и проданы в США? </w:t>
      </w:r>
    </w:p>
    <w:p w14:paraId="61E39F22"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Количество таможенных и дополнительных пошлин, если таковые налагаются на импортируемые из США товары.</w:t>
      </w:r>
    </w:p>
    <w:p w14:paraId="745CBEA1"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5. Имеются ли ограничения на импорт товаров из Америки или же при импорте таковых дается предпочтение? </w:t>
      </w:r>
    </w:p>
    <w:p w14:paraId="250A1A2E"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6. Фамилии и адреса главных фирм Вашей области, которые имеют право импортировать или экспортировать товары в США. </w:t>
      </w:r>
    </w:p>
    <w:p w14:paraId="0F9B1B93"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Котируются ли в СССР цены в рублях или копейках и в каждом отдельном случае, насколько возможно переводятся на равнозначную ценность в американской валюте на основе преобладающей обменной ставки в момент написания Вашего письма?</w:t>
      </w:r>
    </w:p>
    <w:p w14:paraId="4C7D871B"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8. Фамилии и адреса всех полномочных представителей СССР в Америке, с которыми можно вести переговоры или от которых можно получить информацию раньше свидания с русским послом в Америке. </w:t>
      </w:r>
    </w:p>
    <w:p w14:paraId="06B4F333"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9. Если русский посол аккредитован в Америке, возможно ли и практикуется ли вести в будущем переговоры с ним? </w:t>
      </w:r>
    </w:p>
    <w:p w14:paraId="66E29D94"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 почтением Мэтью Вуд </w:t>
      </w:r>
    </w:p>
    <w:p w14:paraId="1EC41D7F"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РГАЭ. Ф. 413. On. 13. Д. 769. Л. 1. Копия (12152).</w:t>
      </w:r>
    </w:p>
    <w:p w14:paraId="64AC45BC" w14:textId="77777777" w:rsidR="00035F40" w:rsidRPr="00C33834" w:rsidRDefault="00035F40" w:rsidP="00C33834">
      <w:pPr>
        <w:spacing w:after="0" w:line="240" w:lineRule="auto"/>
        <w:jc w:val="both"/>
        <w:rPr>
          <w:rFonts w:ascii="Times New Roman" w:hAnsi="Times New Roman"/>
          <w:color w:val="000000" w:themeColor="text1"/>
          <w:sz w:val="16"/>
          <w:szCs w:val="16"/>
        </w:rPr>
      </w:pPr>
    </w:p>
    <w:p w14:paraId="3FFC2AC4"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48018981"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D1A1381" w14:textId="77777777" w:rsidR="0021316D" w:rsidRPr="00C33834" w:rsidRDefault="0021316D"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20–30 декабря 1933 в полете на Curtiss Thrush Outdoor Girl, Хелен Ричи и Фрэнсис Харрелл Марсалис используют дозаправку в воздухе, чтобы оставаться в воздухе непрерывно в течение 237 часов 43 минут. Они не достигли своей цели - оставаться в воздухе до 1 января 1934 года, но тем не менее побили предыдущий рекорд непрерывного полета в 196 часов, установленный в августе 1932 года Марсалисом и Луизой Таден (20802).</w:t>
      </w:r>
    </w:p>
    <w:p w14:paraId="4C6B23DD" w14:textId="77777777" w:rsidR="0021316D" w:rsidRPr="00C33834" w:rsidRDefault="0021316D" w:rsidP="00C33834">
      <w:pPr>
        <w:spacing w:after="0" w:line="240" w:lineRule="auto"/>
        <w:jc w:val="both"/>
        <w:rPr>
          <w:rFonts w:ascii="Times New Roman" w:hAnsi="Times New Roman"/>
          <w:color w:val="0070C0"/>
          <w:sz w:val="16"/>
          <w:szCs w:val="16"/>
        </w:rPr>
      </w:pPr>
    </w:p>
    <w:p w14:paraId="7E04ED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декабря 1933 германское правительство объявило, что 400 тыс. чел. должны быть стерилизованы из-за генетических дефектов (2100).</w:t>
      </w:r>
    </w:p>
    <w:p w14:paraId="1E201C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0EEB219"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70334DA2"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B3636E9"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21 по 31 декабря 1933 года проходили предварительные испытания самолета И-15 (ЦКБ-3) с мотором Райт-Циклон 1820 № 625 НР с нагнетателем, металлический винт Гамильтон-Стандарт (6655).</w:t>
      </w:r>
    </w:p>
    <w:p w14:paraId="69E57A9C"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239D9727"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 самолета в части снятия летной характеристики и выявления основных летных качеств и эксплуатационных свойств самолета.</w:t>
      </w:r>
    </w:p>
    <w:p w14:paraId="6FBC7CE5"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2D105334"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И-15 с мотором Райт-Циклон F-3 как полностью и с превышением удовлетворяющий техническим требованиям, рекомендовать для серийной постройки.</w:t>
      </w:r>
    </w:p>
    <w:p w14:paraId="6654CF06"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опытном экземпляре надлежит добиться еще в процессе дополнительных испытаний улучшения устойчивости пути и разработать мероприятия для серии.</w:t>
      </w:r>
    </w:p>
    <w:p w14:paraId="5E9710EA"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6470C4E3"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 Часовиков С.</w:t>
      </w:r>
    </w:p>
    <w:p w14:paraId="553E172C"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летчик – Степанченок В.</w:t>
      </w:r>
    </w:p>
    <w:p w14:paraId="4A0BE39A"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20F5515D" w14:textId="77777777">
        <w:tc>
          <w:tcPr>
            <w:tcW w:w="5636" w:type="dxa"/>
          </w:tcPr>
          <w:p w14:paraId="45276502"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декабря 1933 года</w:t>
            </w:r>
          </w:p>
        </w:tc>
        <w:tc>
          <w:tcPr>
            <w:tcW w:w="5636" w:type="dxa"/>
          </w:tcPr>
          <w:p w14:paraId="135AE44E"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Облет машины вместе с заводом.</w:t>
            </w:r>
          </w:p>
        </w:tc>
      </w:tr>
      <w:tr w:rsidR="00F26F01" w:rsidRPr="00C33834" w14:paraId="33A8A7F5" w14:textId="77777777">
        <w:tc>
          <w:tcPr>
            <w:tcW w:w="5636" w:type="dxa"/>
          </w:tcPr>
          <w:p w14:paraId="7E3F2C21"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декабря 1933 года</w:t>
            </w:r>
          </w:p>
        </w:tc>
        <w:tc>
          <w:tcPr>
            <w:tcW w:w="5636" w:type="dxa"/>
          </w:tcPr>
          <w:p w14:paraId="588CFBE7"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километраж.</w:t>
            </w:r>
          </w:p>
        </w:tc>
      </w:tr>
      <w:tr w:rsidR="00F26F01" w:rsidRPr="00C33834" w14:paraId="596B10A2" w14:textId="77777777">
        <w:tc>
          <w:tcPr>
            <w:tcW w:w="5636" w:type="dxa"/>
          </w:tcPr>
          <w:p w14:paraId="68403014"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декабря 1933 года</w:t>
            </w:r>
          </w:p>
        </w:tc>
        <w:tc>
          <w:tcPr>
            <w:tcW w:w="5636" w:type="dxa"/>
          </w:tcPr>
          <w:p w14:paraId="01815373"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5000 м и скорости по высотам 5-1000 м. Пролет по заданию начальника ВВС.</w:t>
            </w:r>
          </w:p>
        </w:tc>
      </w:tr>
      <w:tr w:rsidR="00F26F01" w:rsidRPr="00C33834" w14:paraId="2C96BFF4" w14:textId="77777777">
        <w:tc>
          <w:tcPr>
            <w:tcW w:w="5636" w:type="dxa"/>
          </w:tcPr>
          <w:p w14:paraId="7B69F6FC"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декабря 1933 года</w:t>
            </w:r>
          </w:p>
        </w:tc>
        <w:tc>
          <w:tcPr>
            <w:tcW w:w="5636" w:type="dxa"/>
          </w:tcPr>
          <w:p w14:paraId="2B350893"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Штопор и управляемость на 1000 м.</w:t>
            </w:r>
          </w:p>
        </w:tc>
      </w:tr>
      <w:tr w:rsidR="00F26F01" w:rsidRPr="00C33834" w14:paraId="2F7AC0AB" w14:textId="77777777">
        <w:tc>
          <w:tcPr>
            <w:tcW w:w="5636" w:type="dxa"/>
          </w:tcPr>
          <w:p w14:paraId="2E4EB13C"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декабря 1933 года</w:t>
            </w:r>
          </w:p>
        </w:tc>
        <w:tc>
          <w:tcPr>
            <w:tcW w:w="5636" w:type="dxa"/>
          </w:tcPr>
          <w:p w14:paraId="1BF20A1D"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Облет самолета летчиками Сузи и Филиным.</w:t>
            </w:r>
          </w:p>
        </w:tc>
      </w:tr>
      <w:tr w:rsidR="00F26F01" w:rsidRPr="00C33834" w14:paraId="6137FC25" w14:textId="77777777">
        <w:tc>
          <w:tcPr>
            <w:tcW w:w="5636" w:type="dxa"/>
          </w:tcPr>
          <w:p w14:paraId="133E3A90"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декабря 1933 года</w:t>
            </w:r>
          </w:p>
        </w:tc>
        <w:tc>
          <w:tcPr>
            <w:tcW w:w="5636" w:type="dxa"/>
          </w:tcPr>
          <w:p w14:paraId="55596301"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скороподъемность и скорости по высотам.</w:t>
            </w:r>
          </w:p>
        </w:tc>
      </w:tr>
    </w:tbl>
    <w:p w14:paraId="3BD10F07"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по назначению одноместный маневренный истребитель. По схеме одностоечный биплан неравного размаха, с</w:t>
      </w:r>
    </w:p>
    <w:p w14:paraId="5E3A557C"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центропланом типа «ЧАЙКА» и одностоечным шасси.</w:t>
      </w:r>
    </w:p>
    <w:p w14:paraId="7EEE5CF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Конструкция смешанная; крылья – деревянные, фюзеляж из нормализованных хромомолибденовых труб, второстепенные</w:t>
      </w:r>
    </w:p>
    <w:p w14:paraId="19729282"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детали изготовлены из дюраля; фюзеляж, крылья и оперение покрыты полотном (6655).</w:t>
      </w:r>
    </w:p>
    <w:p w14:paraId="5B6B400B"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84D66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21 по 31 декабря 1933 проходили (предварительные - 3100,6) гос. испытания ЦКБ-3 (И-15) - второго - на лыжах (222,25). По другим данным до 1 января 1934 и предварительные гос. испытания (2266,287).</w:t>
      </w:r>
    </w:p>
    <w:p w14:paraId="4F217F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324AAF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21 декабря 1933 года по 1 января 1934 года самолет И-15 прошел предварительные испытания. Был утвержден начальником ВВС для серийного производства (4170, 39-41).</w:t>
      </w:r>
    </w:p>
    <w:p w14:paraId="40C077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2C140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декабря 1933 г. после завершения цикла заводских испытаний второй ЦКБ-3 переда</w:t>
      </w:r>
      <w:r w:rsidRPr="00C33834">
        <w:rPr>
          <w:rFonts w:ascii="Times New Roman" w:hAnsi="Times New Roman"/>
          <w:color w:val="000000" w:themeColor="text1"/>
          <w:sz w:val="16"/>
          <w:szCs w:val="16"/>
        </w:rPr>
        <w:softHyphen/>
        <w:t>ли в НИИ ВВС. Первый этап (ведущий летчик В.А.Сте-панченок) проводился в довольно быстром темпе и закончился к 1 января 1934 г. Второй этап продолжался с 14 января по 24 марта. Испытания подтвердили высокие летные характеристики машины. Поэтому еще до их завершения, 2 февраля 1934 г., отмечая вклад кол</w:t>
      </w:r>
      <w:r w:rsidRPr="00C33834">
        <w:rPr>
          <w:rFonts w:ascii="Times New Roman" w:hAnsi="Times New Roman"/>
          <w:color w:val="000000" w:themeColor="text1"/>
          <w:sz w:val="16"/>
          <w:szCs w:val="16"/>
        </w:rPr>
        <w:softHyphen/>
        <w:t>лектива в создании образцов новой боевой техники, нарком тяжелой промышленности С.Орджоникидзе из-дал приказ о премировании работников завода № 39. Пять человек, в том числе Ильюшин, Поликарпов и Чкалов, были награждены легковыми автомобилями (10667).</w:t>
      </w:r>
    </w:p>
    <w:p w14:paraId="3AD360F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A3B92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декабря 1933 года закончены заводские испытания истребителя И-14 с мотором "Бристоль-Меркур".</w:t>
      </w:r>
    </w:p>
    <w:p w14:paraId="3A7545D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показал следующие качества6</w:t>
      </w:r>
    </w:p>
    <w:p w14:paraId="40042B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горизонтальная скорость на высоте 5000 м- 385 км/час</w:t>
      </w:r>
    </w:p>
    <w:p w14:paraId="7AF87B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5000 м – 8 мин.</w:t>
      </w:r>
    </w:p>
    <w:p w14:paraId="299DC2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 практический – 9400 м</w:t>
      </w:r>
    </w:p>
    <w:p w14:paraId="2439EBE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 самолета: две 37 мм автоматические пушки ДРП или взамен их два пулемета ПВ-1, стреляющие через винт</w:t>
      </w:r>
    </w:p>
    <w:p w14:paraId="5D1CD2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с мотором "Бристоль-Меркур" представляет первый в мире истребитель с убирающимися шасси; максимальные скорости которого у земли и на высоте превосходят скорости всех заграничных машин, снабженных мотором равной мощности.</w:t>
      </w:r>
    </w:p>
    <w:p w14:paraId="35CD8F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сдан на госиспытание НИИ (4170, 31).</w:t>
      </w:r>
    </w:p>
    <w:p w14:paraId="29FC73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4E797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декабря 1933 обшили центральную часть фюзеляжа дублера И-14,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53A3EF0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53152C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6E6AE8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166B4DB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2D914E9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A8164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декабря 1933 года начальник Главного управления Авиапрома Королев писал письмо № 18/оп в секретариат СТО Базилевичу.</w:t>
      </w:r>
    </w:p>
    <w:p w14:paraId="10E92F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Справка о состоянии работ по морскому гидросамолетостроению (Постановление СТО от 13 августа 1933 года).</w:t>
      </w:r>
    </w:p>
    <w:p w14:paraId="5CE171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 31</w:t>
      </w:r>
    </w:p>
    <w:p w14:paraId="4FCE9D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конца III квартала 1933 года завод № 31 приступил к подготовительным работам по организации серийного производства гидросамолетов МБР-2.</w:t>
      </w:r>
    </w:p>
    <w:p w14:paraId="448D1C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программу 1934 года заводу назначена сдача 250 гидросамолетов. По гидросамолетам МДР-4 заканчивается в ЦАГИ постройка опытного образца выпуск которого намечен на февраль 1934 года на заводские испытания.</w:t>
      </w:r>
    </w:p>
    <w:p w14:paraId="7497F6C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Одновременно происходит передача чертежей заводу № 31 ……….</w:t>
      </w:r>
    </w:p>
    <w:p w14:paraId="04E279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1934 год заводу назначена программа в 3 самолета по технической готовности, с тем, чтобы к концу года завод был готов для серийного выпуска гидросамолетов.</w:t>
      </w:r>
    </w:p>
    <w:p w14:paraId="7F59E5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Назначение сроков выпуска самолетов и количество выпускаемых самолетов определено проектом постановления о гидросамолетостроении, направленное в КО 26 ноября 1933 года).</w:t>
      </w:r>
    </w:p>
    <w:p w14:paraId="36CFE0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 22</w:t>
      </w:r>
    </w:p>
    <w:p w14:paraId="5FEC06D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Изготовление опытного образца гидросамолета МК в ЦАГИ заканчивается в марте 1934 года.</w:t>
      </w:r>
    </w:p>
    <w:p w14:paraId="7CD07C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Одновременно происходит передача чертежей заводу № 22 ……….</w:t>
      </w:r>
    </w:p>
    <w:p w14:paraId="654B75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программу 1934 года заводу назначен выпуск 3-х гидросамолетов. Сборка и испытание первых гидросамолетов назначены в Севастополе или Таганроге.</w:t>
      </w:r>
    </w:p>
    <w:p w14:paraId="1AF7DB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Предложения о постановке морского самолетостроения мною сделаны представлением в КО от 26 ноября 1933 года за № 15.ОП.</w:t>
      </w:r>
    </w:p>
    <w:p w14:paraId="31B7B4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 125</w:t>
      </w:r>
    </w:p>
    <w:p w14:paraId="6F8C67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Аналогичное состояние по заводу № 31. Производится приемка чертежей гидросамолетов от ЦАГИ ………….</w:t>
      </w:r>
    </w:p>
    <w:p w14:paraId="787AEDC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программу 1934 года заводу назначена подготовка производства с тем, чтобы к концу 1934 года завод был подготовлен до такого состояния, чтобы с 1935 года начать серийный выпуск гидросамолетов при одновременной постановке истребителя И-14 в 1934 году.</w:t>
      </w:r>
    </w:p>
    <w:p w14:paraId="1F008B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 126</w:t>
      </w:r>
    </w:p>
    <w:p w14:paraId="72EC5E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Вследствие весьма значительного объема работ на 1934 год и трудностей строительства, окончание которого частично перейдет на 1935 год и подготовка производства отодвинется на 1935 год.</w:t>
      </w:r>
    </w:p>
    <w:p w14:paraId="7102FAD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командировказ за границу</w:t>
      </w:r>
    </w:p>
    <w:p w14:paraId="1A5E32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Командированы за границу в Америку от ЦАГИ 2 инженера. Намечена командировка еще 4-х лиц и подбираются кандидатуры остальных.</w:t>
      </w:r>
    </w:p>
    <w:p w14:paraId="2ACE849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 организации внутренней базы гидросамолетостроения</w:t>
      </w:r>
    </w:p>
    <w:p w14:paraId="4FC234B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Соответствующие представления мною сделаны с наметкой об организации внутренней базы в г. Казани при заводе № 124, СТО 26 ноября 1933 года за № 15.ОП</w:t>
      </w:r>
    </w:p>
    <w:p w14:paraId="686DBE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Организация строительства ЦАГИ в Раменском</w:t>
      </w:r>
    </w:p>
    <w:p w14:paraId="55331DA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Соображения и сметы о развертывании строительства ЦАГИ были составлены и предоставлены Наркому тов. Г.К.О., каковым были прокорректированы и возвращены для пересоставления.</w:t>
      </w:r>
    </w:p>
    <w:p w14:paraId="25057C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настояшщее время сметы закончены. Отпущено кредитов на 1934 г. 10 млн., что не обеспечивает более сильного развертывания строительства, почему в 1934 г. будут проведены подготовительные проектные работы, с тем, чтобы в 1935 г. приступить более широким фронтом (2266,227;4188,54-55).</w:t>
      </w:r>
    </w:p>
    <w:p w14:paraId="5E98D0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77AE98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декабря 1933 года Базилевич писал письмо № 2057/ко Ворошилову.</w:t>
      </w:r>
    </w:p>
    <w:p w14:paraId="315D4FD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сем представляю копию справки подготовленной и переданной Сталину по его указанию.</w:t>
      </w:r>
    </w:p>
    <w:p w14:paraId="63CD7BC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Справка о ходе выполнения постановления СТО № 72сс/о от 13 августа 1933 года “О форсировании морского гидросамолетостроения”</w:t>
      </w:r>
    </w:p>
    <w:p w14:paraId="5D120E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 31 (Таганрог).</w:t>
      </w:r>
    </w:p>
    <w:p w14:paraId="18B11E1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Подготовка самолетов МБР-2 ведется; в 1934 году завод может изготовить 250 самолетов; заказ утвержден на 200 самолетов.</w:t>
      </w:r>
    </w:p>
    <w:p w14:paraId="5DDC93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Подготовка самолетов МДР-4 была немедленно развернута; Алкснис просил поставить в 1934 году 12 самолетов; Ворошилов и Орджоникидзе наметили 3 самолета, что утверждено КО по плану заказов НКВМ; ГУАП берет обязательство довести эти самолеты до состояния технической готовности, НКВМ на окончательной сдаче.</w:t>
      </w:r>
    </w:p>
    <w:p w14:paraId="7203329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поплавков к самолетам ТБ-1 и Р-6 восстановлено, НКВМ ими снабжается.</w:t>
      </w:r>
    </w:p>
    <w:p w14:paraId="7FB9B4C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 С-62 с производства сняты.</w:t>
      </w:r>
    </w:p>
    <w:p w14:paraId="12585CE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самолетов Р-6 по сокращенной КО программе 1933 года будет выполнена; производство самолетов АНТ-9 прекращено; постановлением СТО № 103сс/о от 25 октября 1933 года весь задел по АНТ-9 передан ГУГВФ; вместо 30 самолетов АНТ-9 ГУГВФ не получит ни одного; все находящиеся в ГУГВФ типы самолетов в 1934 году не обеспечиваются получением моторов; об этом Вам представлена записка Уншлихта.</w:t>
      </w:r>
    </w:p>
    <w:p w14:paraId="62F0EF7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 22 (Москва).</w:t>
      </w:r>
    </w:p>
    <w:p w14:paraId="501EC6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Подготовка производства гидросамолетов МК развернута; на 1934 год утверждено по заказам НКВМ 3 самолета; окончательная сборка будет производиться в Севастополе в Килленбухте на заводе № 45 и в Таганроге на заводе № 31.</w:t>
      </w:r>
    </w:p>
    <w:p w14:paraId="47C421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Предложения по постановке производства гидросамолетов МК и о развертывании производства всех гидросамолетов представлены 26 ноября 1933 года, были включены в повестку КО и решением КО от 28 ноября 1933 года рассмотрение их отложено;</w:t>
      </w:r>
    </w:p>
    <w:p w14:paraId="4A381E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самолета ТБ-4 на завод № 18 в Воронеж не перенесено, т.к. самолет ТБ-4 окончательно не испытан; предварительные испытания дали потолок лишь 2500 м, для достижения большего потолка требуется мотор с редуктором, который будет выпущен заводом № 24 вместо 1 января 1934 года во II квартале 1934 года.</w:t>
      </w:r>
    </w:p>
    <w:p w14:paraId="65E48BA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 125 (Иркутск).</w:t>
      </w:r>
    </w:p>
    <w:p w14:paraId="0BCE0D0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Подготовка к постановке производства самолетов МДР-4 и одновременно И-14 ведется. В 1934 году будут сданы 3 гидросамолета МДР-4 и 10 самолетов И-14 (справка Королева).</w:t>
      </w:r>
    </w:p>
    <w:p w14:paraId="7AD5FE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заводу № 126 (Комсомольск).</w:t>
      </w:r>
    </w:p>
    <w:p w14:paraId="7E891A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Промышленное строительство запаздывает на год.</w:t>
      </w:r>
    </w:p>
    <w:p w14:paraId="6CC3B9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Соображения об организации строительства завода № 124 в Казани представлены (завод № 124), но рассмотрение их решением КО от 28 ноября 1933 года отложено.</w:t>
      </w:r>
    </w:p>
    <w:p w14:paraId="2BBF54A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 о постройке плотины на Москва реке в районе с. Михайловского рассмотрен МК ВКП(б) 15 ноября 1933 года, проект готов, но недостаточность финансирования задержит строительство плотины (4188,57-58).</w:t>
      </w:r>
    </w:p>
    <w:p w14:paraId="661EF84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D28DBA5" w14:textId="77777777" w:rsidR="009A1872" w:rsidRPr="00C33834" w:rsidRDefault="009A1872" w:rsidP="00C33834">
      <w:pPr>
        <w:pStyle w:val="rtejustify"/>
        <w:spacing w:before="0" w:after="0"/>
        <w:rPr>
          <w:rStyle w:val="af0"/>
          <w:bCs/>
          <w:i w:val="0"/>
          <w:color w:val="000000" w:themeColor="text1"/>
          <w:sz w:val="16"/>
          <w:szCs w:val="16"/>
        </w:rPr>
      </w:pPr>
      <w:r w:rsidRPr="00C33834">
        <w:rPr>
          <w:color w:val="000000" w:themeColor="text1"/>
          <w:sz w:val="16"/>
          <w:szCs w:val="16"/>
        </w:rPr>
        <w:lastRenderedPageBreak/>
        <w:t>21 декабря 1933 г. в справке, составленной начальником ГУАП Г. Н. Королевым были даны сведения по заводам морского самолетостроения о состоянии работ по указанному постановлению. Завод № 31 приступил к подготовке серийного производства гидросамолета МБР</w:t>
      </w:r>
      <w:r w:rsidRPr="00C33834">
        <w:rPr>
          <w:color w:val="000000" w:themeColor="text1"/>
          <w:sz w:val="16"/>
          <w:szCs w:val="16"/>
        </w:rPr>
        <w:noBreakHyphen/>
        <w:t>2, который в 1934 г. планировалось выпустить в количестве 250 шт. По гидросамолету МДР</w:t>
      </w:r>
      <w:r w:rsidRPr="00C33834">
        <w:rPr>
          <w:color w:val="000000" w:themeColor="text1"/>
          <w:sz w:val="16"/>
          <w:szCs w:val="16"/>
        </w:rPr>
        <w:noBreakHyphen/>
        <w:t>4 планировалось выпустить 3 самолета и к концу 1934 г. приступить к серийному производству. На заводе № 22 проходила разработка технологического процесса для постановки производства этих самолетов. На заводах № 125 и № 126 также готовилась технологическая база для указанных самолетов. Имеется также докладная записка Г. Н. Королева в ЦК ВКП(б) от 5 сентября 1935 г., в которой даны сведения о производстве заводом № 31 самолетов МБР-2 (15256).</w:t>
      </w:r>
    </w:p>
    <w:p w14:paraId="337F26D4" w14:textId="77777777" w:rsidR="009A1872" w:rsidRPr="00C33834" w:rsidRDefault="009A1872" w:rsidP="00C33834">
      <w:pPr>
        <w:pStyle w:val="rtejustify"/>
        <w:spacing w:before="0" w:after="0"/>
        <w:rPr>
          <w:rStyle w:val="af0"/>
          <w:bCs/>
          <w:i w:val="0"/>
          <w:color w:val="000000" w:themeColor="text1"/>
          <w:sz w:val="16"/>
          <w:szCs w:val="16"/>
        </w:rPr>
      </w:pPr>
    </w:p>
    <w:p w14:paraId="30015D59" w14:textId="77777777" w:rsidR="009A1872" w:rsidRPr="00C33834" w:rsidRDefault="009A1872" w:rsidP="00C33834">
      <w:pPr>
        <w:pStyle w:val="rtejustify"/>
        <w:spacing w:before="0" w:after="0"/>
        <w:rPr>
          <w:rStyle w:val="af0"/>
          <w:bCs/>
          <w:i w:val="0"/>
          <w:color w:val="000000" w:themeColor="text1"/>
          <w:sz w:val="16"/>
          <w:szCs w:val="16"/>
        </w:rPr>
      </w:pPr>
      <w:r w:rsidRPr="00C33834">
        <w:rPr>
          <w:rStyle w:val="af0"/>
          <w:bCs/>
          <w:i w:val="0"/>
          <w:color w:val="000000" w:themeColor="text1"/>
          <w:sz w:val="16"/>
          <w:szCs w:val="16"/>
        </w:rPr>
        <w:t>21 декабря 1933 вышел приказ НКТП № 233сс.</w:t>
      </w:r>
      <w:r w:rsidRPr="00C33834">
        <w:rPr>
          <w:color w:val="000000" w:themeColor="text1"/>
          <w:sz w:val="16"/>
          <w:szCs w:val="16"/>
        </w:rPr>
        <w:t xml:space="preserve"> О задачах трестов и объединений НКТП СССР по созданию мощных и совершенных паровых турбинных двигателей для военных и гражданских самолетов. </w:t>
      </w:r>
      <w:r w:rsidRPr="00C33834">
        <w:rPr>
          <w:rStyle w:val="af0"/>
          <w:bCs/>
          <w:i w:val="0"/>
          <w:color w:val="000000" w:themeColor="text1"/>
          <w:sz w:val="16"/>
          <w:szCs w:val="16"/>
        </w:rPr>
        <w:t>(РГАЭ. Ф. 7297. Оп. 38. Д. 38. Л. 231</w:t>
      </w:r>
      <w:r w:rsidRPr="00C33834">
        <w:rPr>
          <w:rStyle w:val="af0"/>
          <w:bCs/>
          <w:i w:val="0"/>
          <w:color w:val="000000" w:themeColor="text1"/>
          <w:sz w:val="16"/>
          <w:szCs w:val="16"/>
        </w:rPr>
        <w:noBreakHyphen/>
        <w:t>230) (15246).</w:t>
      </w:r>
    </w:p>
    <w:p w14:paraId="3F66DA00" w14:textId="77777777" w:rsidR="009A1872" w:rsidRPr="00C33834" w:rsidRDefault="009A1872" w:rsidP="00C33834">
      <w:pPr>
        <w:pStyle w:val="rtejustify"/>
        <w:spacing w:before="0" w:after="0"/>
        <w:rPr>
          <w:rStyle w:val="af0"/>
          <w:bCs/>
          <w:i w:val="0"/>
          <w:color w:val="000000" w:themeColor="text1"/>
          <w:sz w:val="16"/>
          <w:szCs w:val="16"/>
        </w:rPr>
      </w:pPr>
    </w:p>
    <w:p w14:paraId="67C61474" w14:textId="77777777" w:rsidR="00CE35D9"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50B99E8" w14:textId="77777777" w:rsidR="00CE35D9" w:rsidRPr="00C33834" w:rsidRDefault="00CE35D9"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91C251D" w14:textId="77777777" w:rsidR="009A1872" w:rsidRPr="00C33834" w:rsidRDefault="009A1872" w:rsidP="00C33834">
      <w:pPr>
        <w:pStyle w:val="rtejustify"/>
        <w:spacing w:before="0" w:after="0"/>
        <w:rPr>
          <w:color w:val="000000" w:themeColor="text1"/>
          <w:sz w:val="16"/>
          <w:szCs w:val="16"/>
        </w:rPr>
      </w:pPr>
      <w:r w:rsidRPr="00C33834">
        <w:rPr>
          <w:rStyle w:val="af0"/>
          <w:bCs/>
          <w:i w:val="0"/>
          <w:color w:val="000000" w:themeColor="text1"/>
          <w:sz w:val="16"/>
          <w:szCs w:val="16"/>
        </w:rPr>
        <w:t>21 декабря</w:t>
      </w:r>
      <w:r w:rsidRPr="00C33834">
        <w:rPr>
          <w:color w:val="000000" w:themeColor="text1"/>
          <w:sz w:val="16"/>
          <w:szCs w:val="16"/>
        </w:rPr>
        <w:t xml:space="preserve"> 1933. Постановление СНК СССР № 2724 «О разукрупнении Главного управления судостроительной промышленности НКТП на два: морского судостроения и речного судостроения». (</w:t>
      </w:r>
      <w:hyperlink r:id="rId406" w:history="1">
        <w:r w:rsidRPr="00C33834">
          <w:rPr>
            <w:rStyle w:val="a5"/>
            <w:color w:val="000000" w:themeColor="text1"/>
            <w:sz w:val="16"/>
            <w:szCs w:val="16"/>
          </w:rPr>
          <w:t>СЗ. 1933 № 74. Ст. 452</w:t>
        </w:r>
      </w:hyperlink>
      <w:r w:rsidRPr="00C33834">
        <w:rPr>
          <w:color w:val="000000" w:themeColor="text1"/>
          <w:sz w:val="16"/>
          <w:szCs w:val="16"/>
        </w:rPr>
        <w:t>) (15460).</w:t>
      </w:r>
    </w:p>
    <w:p w14:paraId="67C8761E" w14:textId="77777777" w:rsidR="009A1872" w:rsidRPr="00C33834" w:rsidRDefault="009A1872" w:rsidP="00C33834">
      <w:pPr>
        <w:pStyle w:val="rtejustify"/>
        <w:spacing w:before="0" w:after="0"/>
        <w:rPr>
          <w:color w:val="000000" w:themeColor="text1"/>
          <w:sz w:val="16"/>
          <w:szCs w:val="16"/>
        </w:rPr>
      </w:pPr>
    </w:p>
    <w:p w14:paraId="106839AA" w14:textId="77777777" w:rsidR="009A1872" w:rsidRPr="00C33834" w:rsidRDefault="009A1872" w:rsidP="00C33834">
      <w:pPr>
        <w:pStyle w:val="rtejustify"/>
        <w:spacing w:before="0" w:after="0"/>
        <w:rPr>
          <w:color w:val="000000" w:themeColor="text1"/>
          <w:sz w:val="16"/>
          <w:szCs w:val="16"/>
        </w:rPr>
      </w:pPr>
      <w:r w:rsidRPr="00C33834">
        <w:rPr>
          <w:color w:val="000000" w:themeColor="text1"/>
          <w:sz w:val="16"/>
          <w:szCs w:val="16"/>
        </w:rPr>
        <w:t xml:space="preserve">21 декабря 1933 г. на основании приказа по наркомату № 1071 было образовано </w:t>
      </w:r>
      <w:r w:rsidRPr="00C33834">
        <w:rPr>
          <w:rStyle w:val="af0"/>
          <w:bCs/>
          <w:i w:val="0"/>
          <w:color w:val="000000" w:themeColor="text1"/>
          <w:sz w:val="16"/>
          <w:szCs w:val="16"/>
        </w:rPr>
        <w:t>Главное управление морской судостроительной промышленности (Главморпром)</w:t>
      </w:r>
      <w:r w:rsidRPr="00C33834">
        <w:rPr>
          <w:color w:val="000000" w:themeColor="text1"/>
          <w:sz w:val="16"/>
          <w:szCs w:val="16"/>
        </w:rPr>
        <w:t xml:space="preserve"> в системе Наркомата тяжелой промышленности СССР и подчинено непосредственно наркому тяжелой промышленности СССР. Руководителем Главморпрома был назначен Р. А. Муклевич. Структура была утверждена 13 января 1934 г. в составе: управления, секретариата, секторов планово-экономического, производственно-технического, капитальных работ, кадров, финансового и др. Главморпром осуществлял планирование, производство, финансирование, опытно-конструкторские и научно-исследовательские работы, обеспечение кадрами всей отрасли военного судостроения. С 1935 г. секторы были преобразованы в отделы. Главморпрому были подчинены следующие предприятия и организации: Балтийский судостроительный и механический завод, Северная судостроительная верфь, Ленинградский судостроительный и механический завод им. Марти, судомеханический завод «Судомех» в Ленинграде, Николаевский судостроительный завод им. Марти в Николаеве, Николаевский судостроительный завод им. «61», Севастопольский морской завод, Дальневосточный судостроительный и механический завод во Владивостоке. Кроме заводов в ведении Главморпрома были проектные конторы, конструкторские бюро, снабженческие организации и учебные заведения. В январе 1937 г. Главное управление морской судостроительной промышленности перешло из НКТП в систему Наркомата оборонной промышленности СССР и стало 2</w:t>
      </w:r>
      <w:r w:rsidRPr="00C33834">
        <w:rPr>
          <w:color w:val="000000" w:themeColor="text1"/>
          <w:sz w:val="16"/>
          <w:szCs w:val="16"/>
        </w:rPr>
        <w:noBreakHyphen/>
        <w:t>м Главным управлением НКОП СССР. (РГАЭ. Ф. 8183. Оп. 2) (15304).</w:t>
      </w:r>
    </w:p>
    <w:p w14:paraId="0978DD4B" w14:textId="77777777" w:rsidR="009A1872" w:rsidRPr="00C33834" w:rsidRDefault="009A1872" w:rsidP="00C33834">
      <w:pPr>
        <w:spacing w:after="0" w:line="240" w:lineRule="auto"/>
        <w:jc w:val="both"/>
        <w:rPr>
          <w:rFonts w:ascii="Times New Roman" w:eastAsia="TimesNewRoman" w:hAnsi="Times New Roman"/>
          <w:color w:val="000000" w:themeColor="text1"/>
          <w:sz w:val="16"/>
          <w:szCs w:val="16"/>
        </w:rPr>
      </w:pPr>
    </w:p>
    <w:p w14:paraId="7CCE3200" w14:textId="77777777" w:rsidR="009A1872" w:rsidRPr="00C33834" w:rsidRDefault="009A1872" w:rsidP="00C33834">
      <w:pPr>
        <w:pStyle w:val="rtejustify"/>
        <w:spacing w:before="0" w:after="0"/>
        <w:rPr>
          <w:color w:val="000000" w:themeColor="text1"/>
          <w:sz w:val="16"/>
          <w:szCs w:val="16"/>
        </w:rPr>
      </w:pPr>
      <w:r w:rsidRPr="00C33834">
        <w:rPr>
          <w:color w:val="000000" w:themeColor="text1"/>
          <w:sz w:val="16"/>
          <w:szCs w:val="16"/>
        </w:rPr>
        <w:t>21 декабря 1933 г. постановлением СНК СССР № 2734 ГУСП было разделено на два главка: Главное управление морской судостроительной промышленности (Главморпром) и Главное управление речного судостроения (Главречпром). Начальником Главморпрома стал Р. А. Муклевич, Главречпрома — Д. Е. Березин (15273).</w:t>
      </w:r>
    </w:p>
    <w:p w14:paraId="0D612D34" w14:textId="77777777" w:rsidR="009A1872" w:rsidRPr="00C33834" w:rsidRDefault="009A1872" w:rsidP="00C33834">
      <w:pPr>
        <w:pStyle w:val="rtejustify"/>
        <w:spacing w:before="0" w:after="0"/>
        <w:rPr>
          <w:color w:val="000000" w:themeColor="text1"/>
          <w:sz w:val="16"/>
          <w:szCs w:val="16"/>
        </w:rPr>
      </w:pPr>
    </w:p>
    <w:p w14:paraId="640FD976" w14:textId="77777777" w:rsidR="00CE35D9" w:rsidRPr="00C33834" w:rsidRDefault="00CE35D9" w:rsidP="00C33834">
      <w:pPr>
        <w:spacing w:after="0" w:line="240" w:lineRule="auto"/>
        <w:jc w:val="both"/>
        <w:rPr>
          <w:rFonts w:ascii="Times New Roman" w:eastAsia="TimesNewRoman" w:hAnsi="Times New Roman"/>
          <w:color w:val="000000" w:themeColor="text1"/>
          <w:sz w:val="16"/>
          <w:szCs w:val="16"/>
        </w:rPr>
      </w:pPr>
      <w:r w:rsidRPr="00C33834">
        <w:rPr>
          <w:rFonts w:ascii="Times New Roman" w:eastAsia="TimesNewRoman" w:hAnsi="Times New Roman"/>
          <w:color w:val="000000" w:themeColor="text1"/>
          <w:sz w:val="16"/>
          <w:szCs w:val="16"/>
        </w:rPr>
        <w:t>21 декабря 1933 г. вышло постановление СТО СССР о закупке в Италии морского вооружения и предоставления необходимых средств, для его приобретения [Там же, д. 235, л. 8-10] (12701).</w:t>
      </w:r>
    </w:p>
    <w:p w14:paraId="4F167F33" w14:textId="77777777" w:rsidR="00CE35D9" w:rsidRPr="00C33834" w:rsidRDefault="00CE35D9" w:rsidP="00C33834">
      <w:pPr>
        <w:spacing w:after="0" w:line="240" w:lineRule="auto"/>
        <w:jc w:val="both"/>
        <w:rPr>
          <w:rFonts w:ascii="Times New Roman" w:eastAsia="TimesNewRoman" w:hAnsi="Times New Roman"/>
          <w:color w:val="000000" w:themeColor="text1"/>
          <w:sz w:val="16"/>
          <w:szCs w:val="16"/>
        </w:rPr>
      </w:pPr>
    </w:p>
    <w:p w14:paraId="2D1AA09E" w14:textId="77777777" w:rsidR="00091E70" w:rsidRPr="00C33834" w:rsidRDefault="00091E7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декабря 1933 г. вышло постановление СТО СССР о закупке 50-ти торпед у фирмы «Уайтхед» в г. Фиуме и предоставления необходимых средств, для его приобретения [Там же, д. 235, л. 8-10] (18258).</w:t>
      </w:r>
    </w:p>
    <w:p w14:paraId="7190A61C" w14:textId="77777777" w:rsidR="00091E70" w:rsidRPr="00C33834" w:rsidRDefault="00091E70" w:rsidP="00C33834">
      <w:pPr>
        <w:spacing w:after="0" w:line="240" w:lineRule="auto"/>
        <w:jc w:val="both"/>
        <w:rPr>
          <w:rFonts w:ascii="Times New Roman" w:hAnsi="Times New Roman"/>
          <w:color w:val="000000" w:themeColor="text1"/>
          <w:sz w:val="16"/>
          <w:szCs w:val="16"/>
        </w:rPr>
      </w:pPr>
    </w:p>
    <w:p w14:paraId="554182C5"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4D42B07C"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27954A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декабря 1933 приказом по строительству и лагерю № 166 сообщалось:</w:t>
      </w:r>
    </w:p>
    <w:p w14:paraId="53B02D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«ЖАРОВ Петр Леонтьевич, будучи назначен на должность Начальника 13 Отделения ДМИТЛАГА ОГПУ, по прибытии на место работы объявил себя больным. При проверке этого обстоятельства оказалось, что тов. ЖАРОВ не вышел на работу по причине пьянства.</w:t>
      </w:r>
    </w:p>
    <w:p w14:paraId="28DBF91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 ЖАРОВ был немедленно отстранен от занимаемой должности и привлечен к ответственности.</w:t>
      </w:r>
    </w:p>
    <w:p w14:paraId="19EF82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Коллегия ОГПУ, рассмотрев 13 декабря с. г. это дело, постановила: ЖАРОВА Петра Леонтьевича - АРЕСТОВАТЬ НА 30 СУТОК и УВОЛИТЬ ИЗ ОРГАНОВ ОГПУ» (7560).</w:t>
      </w:r>
    </w:p>
    <w:p w14:paraId="1464D97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BF7B2F9" w14:textId="77777777" w:rsidR="00035F40"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6899E740" w14:textId="77777777" w:rsidR="00035F40" w:rsidRPr="00C33834" w:rsidRDefault="00035F40"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349788F"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21 декабря 1933 г. Запись беседы наркома иностранных дел СССР М.М. Литвинова с послом США в СССР У. Буллитом о развитии торговых отношений </w:t>
      </w:r>
    </w:p>
    <w:p w14:paraId="64A2FEE2"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Буллит был у меня сегодня с прощальным визитом, и мы с ним имели деловую беседу, затронув следующие темы. </w:t>
      </w:r>
    </w:p>
    <w:p w14:paraId="5C190488"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Вспомнив вчерашние разговоры, Буллит просил уточнить количество потребных нам рельсов, ибо Межлаук ему говорил о 300 тыс. т, а т. Сталин повторно называл цифру 250 тыс. Мы решили остановиться на цифре 250 тыс. Буллит думает, что замена старых рельсов новыми на некоторых железных дорогах [США] действительно намечена, но еще не проведена, так как железнодорожные компании добиваются снижения цен на новые рельсы, а кроме того, они не в состоянии оплатить их и просят помощи у правительства. На вопрос Буллита, с кем нужно будет вести переговоры об этом, я указал на Богданова13. Я напомнил ему об аккумуляторах и моторах, но Буллит ответил, что это упоминалось лишь вскользь и не назывались никакие цифры и поэтому он будет ждать через Трояновского наших заявок. Буллит рассказывал, что в Америке недавно выпущены испробованные и принятые новые типы аэропланов Дугласа, имеющие большие преимущества в отношении скорости и грузоподъемности. </w:t>
      </w:r>
    </w:p>
    <w:p w14:paraId="46CFCCD8"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Буллит выразил сожаление, что Трояновский не едет вместе с ним, и выразил пожелание чтобы Трояновский, во всяком случае, приехал в Нью-Йорк на американском пароходе, что произведет хороший эффект в Америке. В связи с этим Буллит высказал надежду, что Трояновский приедет в Вашингтон не позже него (Буллит думает остановиться на несколько дней в Париже), чтобы можно было бы через него возобновить переговоры о займе. Он снова напомнил о законопроекте, внесенном в Конгресс, о прекращении всяких кредитов и займов странам, не уплатившим своих долгов14. Говорил, что если до 15 января президент не сможет внести в Конгресс на одобрение нашей сделки с ними, то могут возникнуть большие затруднения. Буллит поэтому просит об ускорении приезда Трояновского, а также обещанных сведений о германских фирмах, которым мы должны платить.</w:t>
      </w:r>
    </w:p>
    <w:p w14:paraId="2CF2427A"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 На мой вопрос, является ли сообщение госдепартамента о немецких сертификатах на 34 млн долл. в год новым самостоятельным предложением или относится к нашим разговорам о займе, Буллит ответил незнанием. </w:t>
      </w:r>
    </w:p>
    <w:p w14:paraId="64ED0B26"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Я ему сказал, что мы готовы это рассматривать и как самостоятельное предложение, и будем ждать более точного предложения относительно условий покупки этих сертификатов, сообщив, что мы и раньше покупали как в Англии, так и в Америке замороженные кредиты со значительной скидкой. Я вновь подчеркивал, что как в этом случае, так и в случае зачета замороженных кредитов в счет займа все переговоры с немцами должны вестись Америкой. Кроме того, я ему сказал, что мы не можем отказаться от экспорта в Германию и что выручку от этого экспорта мы должны также употребить на оплату наших обязательств в Германии и что поэтому не может быть речи о покрытии всего займа замороженными кредитами. </w:t>
      </w:r>
    </w:p>
    <w:p w14:paraId="74D19FEC"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4. Буллит сказал, что он в Вашингтоне обсудит вопрос о возможности захода нескольких американских военных судов с визитом во Владивосток, хотя это вряд ли будет возможно раньше весны. Что касается пактов, то он предвидит большие затруднения. Заключить с нами пакт после того, как Америка отвергла пакт с Японией15, вряд ли возможно, да и, кроме того, такой пакт вряд ли и нужен, ибо мы друг на друга нападать не собираемся. Предложить же четверной пакт с включением Китая, значило бы требовать немедленно очищения Маньчжурии, оккупацию которой Америка рассматривает как нападение. Америка считает, что Япония нарушила существующие договора, и поэтому предлагать Японии новыйдоговор значит отказаться от указанной точки зрения. Я высказал сомнение в приемлемости для Японии даже тройственного пакта, и что поэтому предложение ей пакта имело бы большое агитационное значение, поскольку отказ Японии вновь подчеркнул бы агрессивность ее намерений. Буллит обещал этот вопрос вновь обсудить с президентом и Горнбеком, заведующим дальневосточным отделом госдепартамента, и весьма компетентным в этих вопросах. Он просил передать Трояновскому совет поддерживать тесный контакт с Горнбеком. </w:t>
      </w:r>
    </w:p>
    <w:p w14:paraId="28F108E3"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5. Я спрашивал Буллита, что президент и его правительство думают относительно развития торговли с нами. Буллит сказал, что у них есть сильное желание развивать торговлю и что все дело находится в руках Моргентау. </w:t>
      </w:r>
    </w:p>
    <w:p w14:paraId="41EEB286"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Их занимает вопрос о расширении нашего экспорта, который, по их мнению, может быть доведен до 100 млн долл. в год, причем, перечисляя наши экспортные товары, он уделял большое место целлюлозе. Я выразил сомнение в возможности доведения экспорта до названной им цифры и, кроме того, указал, что если размер нашего экспорта будет сделан базой наших торговых оборотов с Америкой, то большого размаха дать им нельзя будет. Я отметил, что в наших текущих импортных планах предусмотрены весьма скромные цифры импорта и что нас не будет интересовать импорт, если не удастся сделать базой его долгосрочные кредиты. </w:t>
      </w:r>
    </w:p>
    <w:p w14:paraId="7D439225"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6. Я напомнил Буллиту о существующих в Америке ограничениях для ввоза нашего золота, о непризнании наших санитарных удостоверений и других препятствиях, которые должны быть возможно скорее устранены. Буллит записал себе это. </w:t>
      </w:r>
    </w:p>
    <w:p w14:paraId="244AA2FC"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xml:space="preserve">7. Я ознакомил Буллита вкратце с политическим положением Европы и с существующими там, в частности во Франции, течениями. Я говорил, что в связи с уходом Германии из Лиги и угрозы Италии надо ожидать нажима на США и СССР16, чтобы побудить их вступить в Лигу. Буллит сказал, что на Америку Лига наций ни в коем случае не должна рассчитывать, а что касается нас, то вряд ли Америка будет испытывать какое-либо неудобство от нашего вхождения. </w:t>
      </w:r>
    </w:p>
    <w:p w14:paraId="5E5B55AB"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8. Буллит вручил мне меморандум относительно возвращения расчетных книг "Нэшинэл Сити Банк". Он при этом сообщил мне, что этот банк теперь находится всецело в руках правительства, так как он был близок к банкротству. </w:t>
      </w:r>
    </w:p>
    <w:p w14:paraId="70F25CD5"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9. Я предупредил Буллита о возможном нажиме на него со стороны русских эмигрантов, желающих выписывать из СССР своих родственников, и посоветовал ему отсылать их всех к Интуристу. </w:t>
      </w:r>
    </w:p>
    <w:p w14:paraId="1CE03DCF"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Литвинов </w:t>
      </w:r>
    </w:p>
    <w:p w14:paraId="61AFED5D"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Документы внешней политики СССР. М„ 1970. Т. XVI. С. 758-761 (12152).</w:t>
      </w:r>
    </w:p>
    <w:p w14:paraId="3531E758" w14:textId="77777777" w:rsidR="00035F40" w:rsidRPr="00C33834" w:rsidRDefault="00035F40" w:rsidP="00C33834">
      <w:pPr>
        <w:spacing w:after="0" w:line="240" w:lineRule="auto"/>
        <w:jc w:val="both"/>
        <w:rPr>
          <w:rFonts w:ascii="Times New Roman" w:hAnsi="Times New Roman"/>
          <w:color w:val="000000" w:themeColor="text1"/>
          <w:sz w:val="16"/>
          <w:szCs w:val="16"/>
        </w:rPr>
      </w:pPr>
    </w:p>
    <w:p w14:paraId="5684FDA6"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703AB9C"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2DB65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декабря 1933 приказом по НКТП и 9 декабря 1933 приказом по ГУАП были установлены мероприятия по обеспечению выполнения этого задания Правительства по производству истребителей на заводе 125 (4206,15).</w:t>
      </w:r>
    </w:p>
    <w:p w14:paraId="65D1B3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8E2BA63" w14:textId="77777777" w:rsidR="009A1872" w:rsidRPr="00C33834" w:rsidRDefault="009A1872" w:rsidP="00C33834">
      <w:pPr>
        <w:pStyle w:val="rtejustify"/>
        <w:spacing w:before="0" w:after="0"/>
        <w:rPr>
          <w:color w:val="000000" w:themeColor="text1"/>
          <w:sz w:val="16"/>
          <w:szCs w:val="16"/>
        </w:rPr>
      </w:pPr>
      <w:r w:rsidRPr="00C33834">
        <w:rPr>
          <w:rStyle w:val="af0"/>
          <w:bCs/>
          <w:i w:val="0"/>
          <w:color w:val="000000" w:themeColor="text1"/>
          <w:sz w:val="16"/>
          <w:szCs w:val="16"/>
        </w:rPr>
        <w:t>22/23 декабря 1933 вышел приказ НКТП № 234сс.</w:t>
      </w:r>
      <w:r w:rsidRPr="00C33834">
        <w:rPr>
          <w:color w:val="000000" w:themeColor="text1"/>
          <w:sz w:val="16"/>
          <w:szCs w:val="16"/>
        </w:rPr>
        <w:t xml:space="preserve"> О мероприятиях по обеспечению выполнения производственной программы завода № 125 в Иркутске по изготовлению истребительных самолетов. (РГАЭ. Ф. 7297. Оп. 38. Д. 38. Л. 235) (15246).</w:t>
      </w:r>
    </w:p>
    <w:p w14:paraId="6D153357" w14:textId="77777777" w:rsidR="009A1872" w:rsidRPr="00C33834" w:rsidRDefault="009A1872" w:rsidP="00C33834">
      <w:pPr>
        <w:pStyle w:val="rtejustify"/>
        <w:spacing w:before="0" w:after="0"/>
        <w:rPr>
          <w:color w:val="000000" w:themeColor="text1"/>
          <w:sz w:val="16"/>
          <w:szCs w:val="16"/>
        </w:rPr>
      </w:pPr>
    </w:p>
    <w:p w14:paraId="615F867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декабря 1933 собрали элероны дублера И-14, которые из-за изменения обшивки застряли в производстве на целый месяц.</w:t>
      </w:r>
    </w:p>
    <w:p w14:paraId="28B678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7B44DD5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1BECF58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6C95080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2C62AE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60D874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AEA881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декабря 1933 после завершения заводских испытаний автожир А-6 М-11 был передан на гос. испытания, но лопасти сложились и машину разбили 5 января 1934 (2287,131).</w:t>
      </w:r>
    </w:p>
    <w:p w14:paraId="4273F69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ECC165C" w14:textId="77777777" w:rsidR="00BA124B" w:rsidRPr="00C33834" w:rsidRDefault="00BA124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22 декабря 1933 машину А-6 передали воен</w:t>
      </w:r>
      <w:r w:rsidRPr="00C33834">
        <w:rPr>
          <w:rFonts w:ascii="Times New Roman" w:hAnsi="Times New Roman"/>
          <w:color w:val="0070C0"/>
          <w:sz w:val="16"/>
          <w:szCs w:val="16"/>
        </w:rPr>
        <w:softHyphen/>
        <w:t>ным испытателям для продолжения тестирования. Со</w:t>
      </w:r>
      <w:r w:rsidRPr="00C33834">
        <w:rPr>
          <w:rFonts w:ascii="Times New Roman" w:hAnsi="Times New Roman"/>
          <w:color w:val="0070C0"/>
          <w:sz w:val="16"/>
          <w:szCs w:val="16"/>
        </w:rPr>
        <w:softHyphen/>
        <w:t>гласно данным А.М. Изаксона, 5 (или 6) января 1934 г. при испытании А-6 в НИИ ВВС при резком выходе из пикиро</w:t>
      </w:r>
      <w:r w:rsidRPr="00C33834">
        <w:rPr>
          <w:rFonts w:ascii="Times New Roman" w:hAnsi="Times New Roman"/>
          <w:color w:val="0070C0"/>
          <w:sz w:val="16"/>
          <w:szCs w:val="16"/>
        </w:rPr>
        <w:softHyphen/>
        <w:t>вания сложились лопасти ротора и произошла катастро</w:t>
      </w:r>
      <w:r w:rsidRPr="00C33834">
        <w:rPr>
          <w:rFonts w:ascii="Times New Roman" w:hAnsi="Times New Roman"/>
          <w:color w:val="0070C0"/>
          <w:sz w:val="16"/>
          <w:szCs w:val="16"/>
        </w:rPr>
        <w:softHyphen/>
        <w:t>фа.</w:t>
      </w:r>
    </w:p>
    <w:p w14:paraId="668294AC" w14:textId="77777777" w:rsidR="00BA124B" w:rsidRPr="00C33834" w:rsidRDefault="00BA124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Данные и характеристики А-6</w:t>
      </w:r>
    </w:p>
    <w:p w14:paraId="3A8E6EBD" w14:textId="77777777" w:rsidR="00BA124B" w:rsidRPr="00C33834" w:rsidRDefault="00BA124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fldChar w:fldCharType="begin"/>
      </w:r>
      <w:r w:rsidRPr="00C33834">
        <w:rPr>
          <w:rFonts w:ascii="Times New Roman" w:hAnsi="Times New Roman"/>
          <w:color w:val="0070C0"/>
          <w:sz w:val="16"/>
          <w:szCs w:val="16"/>
        </w:rPr>
        <w:instrText xml:space="preserve"> TOC \o "1-5" \h \z </w:instrText>
      </w:r>
      <w:r w:rsidRPr="00C33834">
        <w:rPr>
          <w:rFonts w:ascii="Times New Roman" w:hAnsi="Times New Roman"/>
          <w:color w:val="0070C0"/>
          <w:sz w:val="16"/>
          <w:szCs w:val="16"/>
        </w:rPr>
        <w:fldChar w:fldCharType="separate"/>
      </w:r>
      <w:r w:rsidRPr="00C33834">
        <w:rPr>
          <w:rFonts w:ascii="Times New Roman" w:hAnsi="Times New Roman"/>
          <w:color w:val="0070C0"/>
          <w:sz w:val="16"/>
          <w:szCs w:val="16"/>
        </w:rPr>
        <w:t>Диаметр ротора (м)</w:t>
      </w:r>
      <w:r w:rsidRPr="00C33834">
        <w:rPr>
          <w:rFonts w:ascii="Times New Roman" w:hAnsi="Times New Roman"/>
          <w:color w:val="0070C0"/>
          <w:sz w:val="16"/>
          <w:szCs w:val="16"/>
        </w:rPr>
        <w:tab/>
        <w:t>11,0</w:t>
      </w:r>
    </w:p>
    <w:p w14:paraId="053B23DA" w14:textId="77777777" w:rsidR="00BA124B" w:rsidRPr="00C33834" w:rsidRDefault="00BA124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Длина без ротора (м)</w:t>
      </w:r>
      <w:r w:rsidRPr="00C33834">
        <w:rPr>
          <w:rFonts w:ascii="Times New Roman" w:hAnsi="Times New Roman"/>
          <w:color w:val="0070C0"/>
          <w:sz w:val="16"/>
          <w:szCs w:val="16"/>
        </w:rPr>
        <w:tab/>
        <w:t>6,17</w:t>
      </w:r>
    </w:p>
    <w:p w14:paraId="48DB17D8" w14:textId="77777777" w:rsidR="00BA124B" w:rsidRPr="00C33834" w:rsidRDefault="00BA124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Высота в линии полета</w:t>
      </w:r>
      <w:r w:rsidRPr="00C33834">
        <w:rPr>
          <w:rFonts w:ascii="Times New Roman" w:hAnsi="Times New Roman"/>
          <w:color w:val="0070C0"/>
          <w:sz w:val="16"/>
          <w:szCs w:val="16"/>
        </w:rPr>
        <w:tab/>
        <w:t>(м)</w:t>
      </w:r>
      <w:r w:rsidRPr="00C33834">
        <w:rPr>
          <w:rFonts w:ascii="Times New Roman" w:hAnsi="Times New Roman"/>
          <w:color w:val="0070C0"/>
          <w:sz w:val="16"/>
          <w:szCs w:val="16"/>
        </w:rPr>
        <w:tab/>
        <w:t>3,0</w:t>
      </w:r>
    </w:p>
    <w:p w14:paraId="182E9569" w14:textId="77777777" w:rsidR="00BA124B" w:rsidRPr="00C33834" w:rsidRDefault="00BA124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Размах крыла (м)</w:t>
      </w:r>
      <w:r w:rsidRPr="00C33834">
        <w:rPr>
          <w:rFonts w:ascii="Times New Roman" w:hAnsi="Times New Roman"/>
          <w:color w:val="0070C0"/>
          <w:sz w:val="16"/>
          <w:szCs w:val="16"/>
        </w:rPr>
        <w:tab/>
        <w:t>6,6</w:t>
      </w:r>
    </w:p>
    <w:p w14:paraId="4E268BC0" w14:textId="77777777" w:rsidR="00BA124B" w:rsidRPr="00C33834" w:rsidRDefault="00BA124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Вес пустого (кг)</w:t>
      </w:r>
      <w:r w:rsidRPr="00C33834">
        <w:rPr>
          <w:rFonts w:ascii="Times New Roman" w:hAnsi="Times New Roman"/>
          <w:color w:val="0070C0"/>
          <w:sz w:val="16"/>
          <w:szCs w:val="16"/>
        </w:rPr>
        <w:tab/>
        <w:t>562</w:t>
      </w:r>
    </w:p>
    <w:p w14:paraId="37CC1DD7" w14:textId="77777777" w:rsidR="00BA124B" w:rsidRPr="00C33834" w:rsidRDefault="00BA124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Полетный вес (кг)</w:t>
      </w:r>
      <w:r w:rsidRPr="00C33834">
        <w:rPr>
          <w:rFonts w:ascii="Times New Roman" w:hAnsi="Times New Roman"/>
          <w:color w:val="0070C0"/>
          <w:sz w:val="16"/>
          <w:szCs w:val="16"/>
        </w:rPr>
        <w:tab/>
        <w:t>815</w:t>
      </w:r>
    </w:p>
    <w:p w14:paraId="2CA199D2" w14:textId="77777777" w:rsidR="00BA124B" w:rsidRPr="00C33834" w:rsidRDefault="00BA124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Скорость максимальная</w:t>
      </w:r>
      <w:r w:rsidRPr="00C33834">
        <w:rPr>
          <w:rFonts w:ascii="Times New Roman" w:hAnsi="Times New Roman"/>
          <w:color w:val="0070C0"/>
          <w:sz w:val="16"/>
          <w:szCs w:val="16"/>
        </w:rPr>
        <w:tab/>
        <w:t>у земли (км/ч)</w:t>
      </w:r>
      <w:r w:rsidRPr="00C33834">
        <w:rPr>
          <w:rFonts w:ascii="Times New Roman" w:hAnsi="Times New Roman"/>
          <w:color w:val="0070C0"/>
          <w:sz w:val="16"/>
          <w:szCs w:val="16"/>
        </w:rPr>
        <w:tab/>
        <w:t>135</w:t>
      </w:r>
    </w:p>
    <w:p w14:paraId="4E96E986" w14:textId="77777777" w:rsidR="00BA124B" w:rsidRPr="00C33834" w:rsidRDefault="00BA124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Скорость минимальная</w:t>
      </w:r>
      <w:r w:rsidRPr="00C33834">
        <w:rPr>
          <w:rFonts w:ascii="Times New Roman" w:hAnsi="Times New Roman"/>
          <w:color w:val="0070C0"/>
          <w:sz w:val="16"/>
          <w:szCs w:val="16"/>
        </w:rPr>
        <w:tab/>
        <w:t>у земли (км/ч)</w:t>
      </w:r>
      <w:r w:rsidRPr="00C33834">
        <w:rPr>
          <w:rFonts w:ascii="Times New Roman" w:hAnsi="Times New Roman"/>
          <w:color w:val="0070C0"/>
          <w:sz w:val="16"/>
          <w:szCs w:val="16"/>
        </w:rPr>
        <w:tab/>
        <w:t>55</w:t>
      </w:r>
    </w:p>
    <w:p w14:paraId="0E89AA86" w14:textId="77777777" w:rsidR="00BA124B" w:rsidRPr="00C33834" w:rsidRDefault="00BA124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Потолок (м)</w:t>
      </w:r>
      <w:r w:rsidRPr="00C33834">
        <w:rPr>
          <w:rFonts w:ascii="Times New Roman" w:hAnsi="Times New Roman"/>
          <w:color w:val="0070C0"/>
          <w:sz w:val="16"/>
          <w:szCs w:val="16"/>
        </w:rPr>
        <w:tab/>
        <w:t>1600</w:t>
      </w:r>
    </w:p>
    <w:p w14:paraId="525F9F49" w14:textId="77777777" w:rsidR="00BA124B" w:rsidRPr="00C33834" w:rsidRDefault="00BA124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Дальность полета (км)</w:t>
      </w:r>
      <w:r w:rsidRPr="00C33834">
        <w:rPr>
          <w:rFonts w:ascii="Times New Roman" w:hAnsi="Times New Roman"/>
          <w:color w:val="0070C0"/>
          <w:sz w:val="16"/>
          <w:szCs w:val="16"/>
        </w:rPr>
        <w:tab/>
        <w:t>220</w:t>
      </w:r>
    </w:p>
    <w:p w14:paraId="396E8DBC" w14:textId="77777777" w:rsidR="00BA124B" w:rsidRPr="00C33834" w:rsidRDefault="00BA124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Длина разбега (м)</w:t>
      </w:r>
      <w:r w:rsidRPr="00C33834">
        <w:rPr>
          <w:rFonts w:ascii="Times New Roman" w:hAnsi="Times New Roman"/>
          <w:color w:val="0070C0"/>
          <w:sz w:val="16"/>
          <w:szCs w:val="16"/>
        </w:rPr>
        <w:tab/>
        <w:t>65</w:t>
      </w:r>
      <w:r w:rsidRPr="00C33834">
        <w:rPr>
          <w:rFonts w:ascii="Times New Roman" w:hAnsi="Times New Roman"/>
          <w:color w:val="0070C0"/>
          <w:sz w:val="16"/>
          <w:szCs w:val="16"/>
        </w:rPr>
        <w:fldChar w:fldCharType="end"/>
      </w:r>
      <w:r w:rsidRPr="00C33834">
        <w:rPr>
          <w:rFonts w:ascii="Times New Roman" w:hAnsi="Times New Roman"/>
          <w:color w:val="0070C0"/>
          <w:sz w:val="16"/>
          <w:szCs w:val="16"/>
        </w:rPr>
        <w:t xml:space="preserve"> (20361).</w:t>
      </w:r>
    </w:p>
    <w:p w14:paraId="61403372" w14:textId="77777777" w:rsidR="00BA124B" w:rsidRPr="00C33834" w:rsidRDefault="00BA124B" w:rsidP="00C33834">
      <w:pPr>
        <w:shd w:val="clear" w:color="auto" w:fill="FFFFFF"/>
        <w:spacing w:after="0" w:line="240" w:lineRule="auto"/>
        <w:jc w:val="both"/>
        <w:rPr>
          <w:rFonts w:ascii="Times New Roman" w:hAnsi="Times New Roman"/>
          <w:color w:val="0070C0"/>
          <w:sz w:val="16"/>
          <w:szCs w:val="16"/>
        </w:rPr>
      </w:pPr>
    </w:p>
    <w:p w14:paraId="09567EC5" w14:textId="77777777" w:rsidR="00BA124B" w:rsidRPr="00C33834" w:rsidRDefault="00BA124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22 декабря 1933.</w:t>
      </w:r>
    </w:p>
    <w:p w14:paraId="564A093B" w14:textId="77777777" w:rsidR="00BA124B" w:rsidRPr="00C33834" w:rsidRDefault="00BA124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Опросом членов Политбюро от 22.XII.1933 г.</w:t>
      </w:r>
    </w:p>
    <w:p w14:paraId="71510914" w14:textId="77777777" w:rsidR="00BA124B" w:rsidRPr="00C33834" w:rsidRDefault="00BA124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 25/6: О конструкторском бюро Вирджили</w:t>
      </w:r>
    </w:p>
    <w:p w14:paraId="4CD62CA4" w14:textId="77777777" w:rsidR="00BA124B" w:rsidRPr="00C33834" w:rsidRDefault="00BA124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Утвердить следующий проект постановления Совета Народных Комиссаров Союза ССР:</w:t>
      </w:r>
    </w:p>
    <w:p w14:paraId="4F7B6A77" w14:textId="77777777" w:rsidR="00BA124B" w:rsidRPr="00C33834" w:rsidRDefault="00BA124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 Утвердить предложение НКТП о ликвидации организованного постановлением СНК СССР 10.VIII.1933 г. в системе ГУАП´а НКТП Бюро Вирджили, как самостоятельной производственно-конструкторской организации.</w:t>
      </w:r>
    </w:p>
    <w:p w14:paraId="4CB03DBB" w14:textId="77777777" w:rsidR="00BA124B" w:rsidRPr="00C33834" w:rsidRDefault="00BA124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 Все производственные и подсобные предприятия, а также строительные объекты (в Москве и на Урале), входившие в Бюро Вирджили, передать в непосредственное ведение НКТП (ГУАП).</w:t>
      </w:r>
    </w:p>
    <w:p w14:paraId="203D1B5B" w14:textId="77777777" w:rsidR="00BA124B" w:rsidRPr="00C33834" w:rsidRDefault="00BA124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 Обязать НКТП использовать всех специалистов, работающих в Бюро Вирджили, в системе Глававиапрома (21411).</w:t>
      </w:r>
    </w:p>
    <w:p w14:paraId="634F4587" w14:textId="77777777" w:rsidR="00BA124B" w:rsidRPr="00C33834" w:rsidRDefault="00BA124B" w:rsidP="00C33834">
      <w:pPr>
        <w:spacing w:after="0" w:line="240" w:lineRule="auto"/>
        <w:jc w:val="both"/>
        <w:rPr>
          <w:rFonts w:ascii="Times New Roman" w:hAnsi="Times New Roman"/>
          <w:color w:val="0070C0"/>
          <w:sz w:val="16"/>
          <w:szCs w:val="16"/>
        </w:rPr>
      </w:pPr>
    </w:p>
    <w:p w14:paraId="75C781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декабря 1933 Гроховский писал письмо К.Е.В.:</w:t>
      </w:r>
    </w:p>
    <w:p w14:paraId="01B94D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течение последних трех лет мною был предложен ряд изобретений. Из них проработаны и приняты госкомиссией на снабжение 31 объект, которые дали возможность разрешить ряд новых проблем, как-то:</w:t>
      </w:r>
    </w:p>
    <w:p w14:paraId="3CD0CE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Применение хлопчатобумажных парашютов.</w:t>
      </w:r>
    </w:p>
    <w:p w14:paraId="31803A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Сбрасывание тяжелых грузов (с помощью больших грузовых парашютов, достигающих 40 м в диаметре).</w:t>
      </w:r>
    </w:p>
    <w:p w14:paraId="1F56FC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Новый метод сбрасывания парашютов (методом срыва, что дало снижение аэродинамических ударов).</w:t>
      </w:r>
    </w:p>
    <w:p w14:paraId="672C052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Прокладка телефонной связи самолетами.</w:t>
      </w:r>
    </w:p>
    <w:p w14:paraId="1ECF99F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Беспарашютное сбрасывание.</w:t>
      </w:r>
    </w:p>
    <w:p w14:paraId="1D5273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Буксировка тяжелых планеров (до 3-х тонн разведывательными самолетами).</w:t>
      </w:r>
    </w:p>
    <w:p w14:paraId="7F35DA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Разрешение этих 6-ти проблем дадут возможность подвести базу для организации массовых воздушных десантов. Кроме принятых объектов на сегодня изготовлены до 20 мощных объектов, которые не проходят гос. испытания. Предлагаемый план на 1934 год даст авиации большие возможности разрешением целого ряда проблем:</w:t>
      </w:r>
    </w:p>
    <w:p w14:paraId="5007BD8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Мощные десантные поезда (до 400 человек).</w:t>
      </w:r>
    </w:p>
    <w:p w14:paraId="53FF2C2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Спаренная планерная буксировка.</w:t>
      </w:r>
    </w:p>
    <w:p w14:paraId="7F4E9A6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Увеличение грузоподъемности морских самолетов.</w:t>
      </w:r>
    </w:p>
    <w:p w14:paraId="05865C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Диверсионная работа собак.</w:t>
      </w:r>
    </w:p>
    <w:p w14:paraId="0E92AB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Новые парашюты.</w:t>
      </w:r>
    </w:p>
    <w:p w14:paraId="2BCC81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Уменьшение брони на танках на 75%.</w:t>
      </w:r>
    </w:p>
    <w:p w14:paraId="5F86D76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Использование циклонов для военных целей.</w:t>
      </w:r>
    </w:p>
    <w:p w14:paraId="530266E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эти годы приходилось работать с огромным напряжением, затрачивая большое количество энергии, сил и здоровья, в результате чего была создана хорошо подготовленная экспериментальная база.</w:t>
      </w:r>
    </w:p>
    <w:p w14:paraId="1E31A52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прибытием военкома Фомина, который постарался открыть против меня травлю, им была организована группа, которая постаралась создать ряд фальшивых документов, обвиняющих меня в том, что я не изобретатель, а жулик, укравший все предлагаемые мною изобретения, вор, который растратил около 200 тыс. Рублей, что я занимаюсь самоснабжением, организовал себе дачи и квартиры, производил зажим самокритики и т.д.</w:t>
      </w:r>
    </w:p>
    <w:p w14:paraId="719878D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Решением ЦКК все эти обвинения от меня отпали, так как оказались неподтвержденными.</w:t>
      </w:r>
    </w:p>
    <w:p w14:paraId="0161B7F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w:t>
      </w:r>
    </w:p>
    <w:p w14:paraId="1CDC289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Созданная комиссия РВС пришла к заключению, что мне необходимо создать нормальные условия для работы. ЦКК вынесла такое же решение, но несмотря на это, никто не собирается улучшать базу, которая разваливается с каждым днем.</w:t>
      </w:r>
    </w:p>
    <w:p w14:paraId="450D43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Предлагаемый мною план на 1934 год может быть проработан конечно не в условиях в которых находится в настоящее время парашютно-десантный отдел, который не только не в состоянии проработать ни одной конструкции, но даже не может провести испытания готовых уже объектов.</w:t>
      </w:r>
    </w:p>
    <w:p w14:paraId="28EB2D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Прошу вашего распоряжения о создании мне хороших условий для выполнения предлагаемого плана на 1934 год.</w:t>
      </w:r>
    </w:p>
    <w:p w14:paraId="613CF5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этого необходимо предоставить завод, где могло бы разместиться все учреждение (такому требованию отвечает завод N 47 в Ленинграде).</w:t>
      </w:r>
    </w:p>
    <w:p w14:paraId="7AA3B2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Подчинить меня нач. ВВС Алкснису или же Управлению военных изобретений, где находится много изобретательских баз по линии ВВС (3785,2-4).</w:t>
      </w:r>
    </w:p>
    <w:p w14:paraId="74FEFC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приложении также представил План научно-исследовательской изобретательской работы Гроховского Парашютно-десантного отдела НИИ ВВС на 1934 год</w:t>
      </w:r>
    </w:p>
    <w:p w14:paraId="752A46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Воздушный десантный поезд Г-51</w:t>
      </w:r>
    </w:p>
    <w:p w14:paraId="71E5EB8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Сверхмощный самолет тягач Г-52</w:t>
      </w:r>
    </w:p>
    <w:p w14:paraId="1C8A93E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Десантный самолет истребитель Г-53</w:t>
      </w:r>
    </w:p>
    <w:p w14:paraId="0B5905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Десантный авиамотоцикл Г-54</w:t>
      </w:r>
    </w:p>
    <w:p w14:paraId="713D46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Парашютная гидромина Г-55</w:t>
      </w:r>
    </w:p>
    <w:p w14:paraId="56D5C4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Парашютная клеть Г-56</w:t>
      </w:r>
    </w:p>
    <w:p w14:paraId="61DA0E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Парашютный конус Г-57</w:t>
      </w:r>
    </w:p>
    <w:p w14:paraId="057A90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Марлевые грузовые парашюты Г-58</w:t>
      </w:r>
    </w:p>
    <w:p w14:paraId="4A12F7D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Беспарашютные универсальные сбрасыватели Г-59</w:t>
      </w:r>
    </w:p>
    <w:p w14:paraId="54BB09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Беспарашютный гидросбрасыватель Г-60</w:t>
      </w:r>
    </w:p>
    <w:p w14:paraId="267068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Комбинированный химический прибор Г-61</w:t>
      </w:r>
    </w:p>
    <w:p w14:paraId="416D96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Десантный скоростной легкий танк Г-61</w:t>
      </w:r>
    </w:p>
    <w:p w14:paraId="242860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Агитатор Г-63 (3785).</w:t>
      </w:r>
    </w:p>
    <w:p w14:paraId="3C1546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73F5E2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декабря 1933 П.О.С. постановлением Президиума ЦИК в связи с 15 летием ЦАГИ был награжден ОКЗ (1102).</w:t>
      </w:r>
    </w:p>
    <w:p w14:paraId="750C69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82A7BE4"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0DFD6BD"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63DBC5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декабря 1933 г. в Главтрансмаше Наркомата судостроительной промышленности (НКСП) прошло совещание по производству спецсудов, на котором присутствовал директор завода «Красное Сормово» В. Сурков. На нем заводу поставили задачу — в июне 1934 г. сдать флоту одну подводную лодку и еще три — в третьем квартале того же года. Кроме того, предприятие должно было строить два сухогруза для последующего переоборудования их в речные авианосцы, а также плавучий док и понтоны к нему. Сурков в своем докладе отметил большие сложности, с которыми столкнулся завод: отсутствие опытных кадров, нехватка чертежей (вместо 1267 необходимых было прислано только 819), задержки поставок металла (вместо необходимых 650 тонн было получено 342 тонны). [163 — ГУ ЦАНО, Ф. 15, Оп. 3, Д. 135, Л. 43.] Однако все это не произвело никакого впечатления, поскольку для сталинской промышленности являлось обычным делом. На совещании было принято окончательное решение придать заводу «Красное Сормово» судостроительный профиль и постепенно сворачивать не соответствующие ему производства. Освоение спецсудостроения потребовало срочной реконструкции завода «Красное Сормово». В первую очередь ей подверглись судостроительный и металлургический комплексы. В 1934 г. началась постройка нового плаза, корпусно-сборочного и сборочно-установочного цехов, которые оснащались только новым оборудованием. Позднее развернулось строительство литейного и кузнечно-прессового цехов. Однако эти работы осложнялись недостаточным финансированием и отсутствием до 1936 г. утвержденного плана реконструкции. То есть опять же сначала стройте, а потом получите план, как строить! В результате к концу 1937 г. программа капитального строительства на предприятии была выполнена всего на 30 %. Строительство подводных лодок на заводе № 112 с самого начала сталкивалось с большими трудностями. В первую очередь это было связано с общей неосвоенностью данного производства, отсутствием четкого взаимодействия между различными структурами, ответственными за выполнение государственного заказа, несвоевременной поставкой чертежей и комплектующих и т. п. Были и вполне объективные причины, такие как нехватка рабочих, низкий уровень квалификации и общей культуры труда, нехватка производственных площадей. В то же время графики сдачи судов, спускаемые заводу по линии наркомата, составлялись без всякого учета производственных возможностей, наличия рабочей силы и условий снабжения предприятия. (11741).</w:t>
      </w:r>
    </w:p>
    <w:p w14:paraId="396F51D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A35EDF" w14:textId="6B32B644" w:rsidR="002E2083" w:rsidRPr="00C33834" w:rsidRDefault="002E2083" w:rsidP="00C33834">
      <w:pPr>
        <w:autoSpaceDE w:val="0"/>
        <w:autoSpaceDN w:val="0"/>
        <w:adjustRightInd w:val="0"/>
        <w:spacing w:after="0" w:line="240" w:lineRule="auto"/>
        <w:jc w:val="both"/>
        <w:rPr>
          <w:rFonts w:ascii="Times New Roman" w:hAnsi="Times New Roman"/>
          <w:i/>
          <w:color w:val="000000" w:themeColor="text1"/>
          <w:sz w:val="16"/>
          <w:szCs w:val="16"/>
        </w:rPr>
      </w:pPr>
      <w:r w:rsidRPr="00C33834">
        <w:rPr>
          <w:rFonts w:ascii="Times New Roman" w:hAnsi="Times New Roman"/>
          <w:i/>
          <w:color w:val="000000" w:themeColor="text1"/>
          <w:sz w:val="16"/>
          <w:szCs w:val="16"/>
        </w:rPr>
        <w:t>Жизнь и внутрен</w:t>
      </w:r>
      <w:r w:rsidR="006401B2" w:rsidRPr="00C33834">
        <w:rPr>
          <w:rFonts w:ascii="Times New Roman" w:hAnsi="Times New Roman"/>
          <w:i/>
          <w:color w:val="000000" w:themeColor="text1"/>
          <w:sz w:val="16"/>
          <w:szCs w:val="16"/>
        </w:rPr>
        <w:t>н</w:t>
      </w:r>
      <w:r w:rsidRPr="00C33834">
        <w:rPr>
          <w:rFonts w:ascii="Times New Roman" w:hAnsi="Times New Roman"/>
          <w:i/>
          <w:color w:val="000000" w:themeColor="text1"/>
          <w:sz w:val="16"/>
          <w:szCs w:val="16"/>
        </w:rPr>
        <w:t>яя политика:</w:t>
      </w:r>
    </w:p>
    <w:p w14:paraId="5C7B92F0"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BC0D9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22 и 28 декабря 1933. Из протокола заседания Политбюро N 152, особая папка, 1933 г.</w:t>
      </w:r>
    </w:p>
    <w:p w14:paraId="00716F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О борьбе с преступными и деклассированными элементами по г. Москве </w:t>
      </w:r>
    </w:p>
    <w:p w14:paraId="1AC712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 Ко всем участникам вооруженных грабежей применять высшую меру наказания. </w:t>
      </w:r>
    </w:p>
    <w:p w14:paraId="620EF7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 Лиц, дважды и более судившихся за последний год за кражи, а также подвергавшихся от двух и более раз в течение истекшего года приводам за хулиганство, высылать из Москвы и области, по указанию Коллегии ОГПУ, в отдаленные места. </w:t>
      </w:r>
    </w:p>
    <w:p w14:paraId="7339860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По отношению к нищенствующему и деклассированному элементу применять высылку по месту жительства, в спецпоселки ОГПУ и концлагеря (11652).</w:t>
      </w:r>
    </w:p>
    <w:p w14:paraId="00D6EC2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4B47997" w14:textId="77777777" w:rsidR="006401B2" w:rsidRPr="00C33834" w:rsidRDefault="006401B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22 - 24 декабря 1933 г. на Ученом совете Арктического института, проходившем, был заслушан доклад начальника и руководителя экспедиции М. М. Ермолаева "Работы Новоземельской гляциологической станции в Русской Гавани". В нем упомянуты все маршруты, проделанные на аэросанях АНТ-IV. Главные из них - пересечение острова по линии Русская Гавань - залив Благополучия, совершенное дважды, и маршрут вдоль оси Ледникового щита. АНТ-IV посчастливилось стать и "кинозвездой". Они были использованы в съемках кинофильма "Семеро смелых" (21489).</w:t>
      </w:r>
    </w:p>
    <w:p w14:paraId="1AA947C3" w14:textId="77777777" w:rsidR="006401B2" w:rsidRPr="00C33834" w:rsidRDefault="006401B2" w:rsidP="00C33834">
      <w:pPr>
        <w:spacing w:after="0" w:line="240" w:lineRule="auto"/>
        <w:jc w:val="both"/>
        <w:rPr>
          <w:rFonts w:ascii="Times New Roman" w:hAnsi="Times New Roman"/>
          <w:color w:val="0070C0"/>
          <w:sz w:val="16"/>
          <w:szCs w:val="16"/>
        </w:rPr>
      </w:pPr>
    </w:p>
    <w:p w14:paraId="502F07C2"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7498B06"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B67398D"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декабря 1933 немецкий провокатор М. ван дер Люббе, поджегший рейхстаг, приговорен к смертной казни (4962).</w:t>
      </w:r>
    </w:p>
    <w:p w14:paraId="62179DED"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1286C8"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4C97FE5"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2534519" w14:textId="77777777" w:rsidR="006401B2" w:rsidRPr="00C33834" w:rsidRDefault="006401B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23 декабря 1933 г., главному инженеру-механику ВВС РККА тов. Аузану (копия начальнику КОСОС ЦАГИ т. Туполеву) сообщили:</w:t>
      </w:r>
    </w:p>
    <w:p w14:paraId="5F8EB7C8" w14:textId="77777777" w:rsidR="006401B2" w:rsidRPr="00C33834" w:rsidRDefault="006401B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«Доношу, что по технико-эксплоатационным требованиям к военному вариан</w:t>
      </w:r>
      <w:r w:rsidRPr="00C33834">
        <w:rPr>
          <w:rFonts w:ascii="Times New Roman" w:hAnsi="Times New Roman"/>
          <w:color w:val="0070C0"/>
          <w:sz w:val="16"/>
          <w:szCs w:val="16"/>
        </w:rPr>
        <w:softHyphen/>
        <w:t>ту самолета «Максим Горький» имеются нижеследующие возражения ЦАГИ (сооб</w:t>
      </w:r>
      <w:r w:rsidRPr="00C33834">
        <w:rPr>
          <w:rFonts w:ascii="Times New Roman" w:hAnsi="Times New Roman"/>
          <w:color w:val="0070C0"/>
          <w:sz w:val="16"/>
          <w:szCs w:val="16"/>
        </w:rPr>
        <w:softHyphen/>
        <w:t>щено начальником 1-й бригады КОСОС т. Петляковым по поручению начальника КОСОС ЦАГИ т. Туполева)».</w:t>
      </w:r>
    </w:p>
    <w:p w14:paraId="012D5C7C" w14:textId="77777777" w:rsidR="006401B2" w:rsidRPr="00C33834" w:rsidRDefault="006401B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Перечень возражений занимал три машинописные страницы. Вкратце ос</w:t>
      </w:r>
      <w:r w:rsidRPr="00C33834">
        <w:rPr>
          <w:rFonts w:ascii="Times New Roman" w:hAnsi="Times New Roman"/>
          <w:color w:val="0070C0"/>
          <w:sz w:val="16"/>
          <w:szCs w:val="16"/>
        </w:rPr>
        <w:softHyphen/>
        <w:t>новные возражения выглядели так:</w:t>
      </w:r>
    </w:p>
    <w:p w14:paraId="4441B8F2" w14:textId="77777777" w:rsidR="006401B2" w:rsidRPr="00C33834" w:rsidRDefault="006401B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«Взлет и посадка на тяжелом самоле</w:t>
      </w:r>
      <w:r w:rsidRPr="00C33834">
        <w:rPr>
          <w:rFonts w:ascii="Times New Roman" w:hAnsi="Times New Roman"/>
          <w:color w:val="0070C0"/>
          <w:sz w:val="16"/>
          <w:szCs w:val="16"/>
        </w:rPr>
        <w:softHyphen/>
        <w:t>те должны производиться обязательно с работающим стабилизатором и перемеще</w:t>
      </w:r>
      <w:r w:rsidRPr="00C33834">
        <w:rPr>
          <w:rFonts w:ascii="Times New Roman" w:hAnsi="Times New Roman"/>
          <w:color w:val="0070C0"/>
          <w:sz w:val="16"/>
          <w:szCs w:val="16"/>
        </w:rPr>
        <w:softHyphen/>
        <w:t>нием в самолете экипажа.</w:t>
      </w:r>
    </w:p>
    <w:p w14:paraId="2860E2B9" w14:textId="77777777" w:rsidR="006401B2" w:rsidRPr="00C33834" w:rsidRDefault="006401B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Тяжелый самолет, идущий на посадку, обязан садиться, т.е. летчик, приняв реше</w:t>
      </w:r>
      <w:r w:rsidRPr="00C33834">
        <w:rPr>
          <w:rFonts w:ascii="Times New Roman" w:hAnsi="Times New Roman"/>
          <w:color w:val="0070C0"/>
          <w:sz w:val="16"/>
          <w:szCs w:val="16"/>
        </w:rPr>
        <w:softHyphen/>
        <w:t>ние идти на посадку, обязан учесть все. чтобы посадку сделать наверняка.</w:t>
      </w:r>
    </w:p>
    <w:p w14:paraId="27E6AB1A" w14:textId="77777777" w:rsidR="006401B2" w:rsidRPr="00C33834" w:rsidRDefault="006401B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П—1 Гарантируется 60 мин. Возмож</w:t>
      </w:r>
      <w:r w:rsidRPr="00C33834">
        <w:rPr>
          <w:rFonts w:ascii="Times New Roman" w:hAnsi="Times New Roman"/>
          <w:color w:val="0070C0"/>
          <w:sz w:val="16"/>
          <w:szCs w:val="16"/>
        </w:rPr>
        <w:softHyphen/>
        <w:t>ность сокращения срока до 30минут будет выявлена при испытаниях и эксплантации.</w:t>
      </w:r>
    </w:p>
    <w:p w14:paraId="573EBA65" w14:textId="77777777" w:rsidR="006401B2" w:rsidRPr="00C33834" w:rsidRDefault="006401B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П—6 Необходимость заливки топлива в воздухе самолета «МГ», обладающего ем</w:t>
      </w:r>
      <w:r w:rsidRPr="00C33834">
        <w:rPr>
          <w:rFonts w:ascii="Times New Roman" w:hAnsi="Times New Roman"/>
          <w:color w:val="0070C0"/>
          <w:sz w:val="16"/>
          <w:szCs w:val="16"/>
        </w:rPr>
        <w:softHyphen/>
        <w:t>костью бензобаков в 20 000 л, является спорной (технически эта задача была ре</w:t>
      </w:r>
      <w:r w:rsidRPr="00C33834">
        <w:rPr>
          <w:rFonts w:ascii="Times New Roman" w:hAnsi="Times New Roman"/>
          <w:color w:val="0070C0"/>
          <w:sz w:val="16"/>
          <w:szCs w:val="16"/>
        </w:rPr>
        <w:softHyphen/>
        <w:t>шена в СССР после Великой Отечествен</w:t>
      </w:r>
      <w:r w:rsidRPr="00C33834">
        <w:rPr>
          <w:rFonts w:ascii="Times New Roman" w:hAnsi="Times New Roman"/>
          <w:color w:val="0070C0"/>
          <w:sz w:val="16"/>
          <w:szCs w:val="16"/>
        </w:rPr>
        <w:softHyphen/>
        <w:t>ной войны</w:t>
      </w:r>
    </w:p>
    <w:p w14:paraId="1C818624" w14:textId="77777777" w:rsidR="006401B2" w:rsidRPr="00C33834" w:rsidRDefault="006401B2"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П—8 Требования невыполнимы за не</w:t>
      </w:r>
      <w:r w:rsidRPr="00C33834">
        <w:rPr>
          <w:rFonts w:ascii="Times New Roman" w:hAnsi="Times New Roman"/>
          <w:color w:val="0070C0"/>
          <w:sz w:val="16"/>
          <w:szCs w:val="16"/>
        </w:rPr>
        <w:softHyphen/>
        <w:t>имением методов решения этого вопроса (задача была решена заводом № 156 во время войны)» (21240).</w:t>
      </w:r>
    </w:p>
    <w:p w14:paraId="3003D790" w14:textId="77777777" w:rsidR="006401B2" w:rsidRPr="00C33834" w:rsidRDefault="006401B2" w:rsidP="00C33834">
      <w:pPr>
        <w:shd w:val="clear" w:color="auto" w:fill="FFFFFF"/>
        <w:spacing w:after="0" w:line="240" w:lineRule="auto"/>
        <w:jc w:val="both"/>
        <w:rPr>
          <w:rFonts w:ascii="Times New Roman" w:hAnsi="Times New Roman"/>
          <w:color w:val="0070C0"/>
          <w:sz w:val="16"/>
          <w:szCs w:val="16"/>
          <w:lang w:eastAsia="ru-RU" w:bidi="ru-RU"/>
        </w:rPr>
      </w:pPr>
    </w:p>
    <w:p w14:paraId="013C5AD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декабря 1933 вышло постановление СНК N 2739/630сс "О расчетах с иноспециалистом Ф.Р.Вирджили" (2225,4).</w:t>
      </w:r>
    </w:p>
    <w:p w14:paraId="0375E47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CCA74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декабря 1933 отмечалось пятнадцатилетие ЦАГИ в Большом театре в присутствии членов Политбюро, наркомов, ученых. Выступал Серго, назвал А.Н.Т. и С.А.Чаплыгина - вдохновителями и руководителями ЦАГИ. Выступал и К.Е.Ворошилов, также отметив роль А.Н.Т. - зам. начальника и главный конструктор и членкора А.И.Некрасова (44,93).</w:t>
      </w:r>
    </w:p>
    <w:p w14:paraId="5DE29FE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Статья к 15 летию ЦАГИ в ТВФ в N10 за 1933:</w:t>
      </w:r>
    </w:p>
    <w:p w14:paraId="5A1E258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"...Не все гладко проходило внутри самого ЦАГИ, не всегда ЦАГИ представлял собой единый монолитный организм, скованный единой волей, руководимой интересами пролетариата, интересами революционной борьбы рабочего класса за социалистическое строительство. Все этапы борьбы рабочего класса внутри страны </w:t>
      </w:r>
      <w:r w:rsidRPr="00C33834">
        <w:rPr>
          <w:rFonts w:ascii="Times New Roman" w:hAnsi="Times New Roman"/>
          <w:color w:val="000000" w:themeColor="text1"/>
          <w:sz w:val="16"/>
          <w:szCs w:val="16"/>
        </w:rPr>
        <w:lastRenderedPageBreak/>
        <w:t>нашли отражение и в ЦАГИ. Подготовка пролетариатом своей интеллигенции, своих технических кадров не прошла без борьбы внутри ЦАГИ. История ЦАГИ имеет период, когда коммунисты-инженеры должны были доказывать свое право на научно-исследовательскую и конструкторскую работу.</w:t>
      </w:r>
    </w:p>
    <w:p w14:paraId="5191C0F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Интересно, сажали ли кого-нибудь по линии Промпартии</w:t>
      </w:r>
    </w:p>
    <w:p w14:paraId="5FA4D4A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бурном росте института имело место проникновение в институт классово-чуждых элементов, особенно в тот период, когда пролетариат не мог дать специалистов своего класса.</w:t>
      </w:r>
    </w:p>
    <w:p w14:paraId="517E7C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Точно сажали</w:t>
      </w:r>
    </w:p>
    <w:p w14:paraId="7C8114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 стороны отдельных руководителей ЦАГИ, специалистов старой школы, был период недопонимания законов развития советской страны и диктатуры пролетариата. Эти люди часто бессознательно, не понимая этого, тормозили рост ЦАГИ, выступая против перестройки системы руководства институтом, пытаясь сохранить в своих руках коллегиальное управление взамен проведения в жизнь четкого и ясного принципа единоначалия или сопротивляясь выдвижению на руководящие посты и не допуская к техническом руководству молодежь из коммунистов и рабочих.</w:t>
      </w:r>
    </w:p>
    <w:p w14:paraId="7EEEA47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первые годы развития института в нем не было партийной организации. В дальнейшем нарождавшаяся малочисленная партийная прослойка из рабочих и немногих специалистов-коммунистов не сразу смогла правильно понять задачи парторганизации в ЦАГИ, вследствие чего и не могла занять ведущей роли. Лишь с приходом новой значительной группы специалистов, окончивших ВВА и МВТУ, в порядок дня ЦАГИ был поставлен вопрос о роли парторганизации ЦАГИ, о роли значения коммунистов института. С этого времени начинается непрерывный рост парторганизации и борьба за партийное влияние в институте, за рост молодых кадров и техническое руководство коммунистов."</w:t>
      </w:r>
    </w:p>
    <w:p w14:paraId="2429092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Коллегиальность обсуждения была сохранена на семинарах С.А.Чаплыгина - с 1932 по 1940 (80,38).</w:t>
      </w:r>
    </w:p>
    <w:p w14:paraId="5552055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6A406CA" w14:textId="77777777" w:rsidR="009A187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DA55CF6" w14:textId="77777777" w:rsidR="009A1872" w:rsidRPr="00C33834" w:rsidRDefault="009A187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BEBFA38" w14:textId="77777777" w:rsidR="009A1872" w:rsidRPr="00C33834" w:rsidRDefault="009A1872" w:rsidP="00C33834">
      <w:pPr>
        <w:pStyle w:val="rtejustify"/>
        <w:spacing w:before="0" w:after="0"/>
        <w:rPr>
          <w:color w:val="000000" w:themeColor="text1"/>
          <w:sz w:val="16"/>
          <w:szCs w:val="16"/>
        </w:rPr>
      </w:pPr>
      <w:r w:rsidRPr="00C33834">
        <w:rPr>
          <w:rStyle w:val="af0"/>
          <w:bCs/>
          <w:i w:val="0"/>
          <w:color w:val="000000" w:themeColor="text1"/>
          <w:sz w:val="16"/>
          <w:szCs w:val="16"/>
        </w:rPr>
        <w:t>23 декабря 1933 вышел приказ НКТП № 235с.</w:t>
      </w:r>
      <w:r w:rsidRPr="00C33834">
        <w:rPr>
          <w:color w:val="000000" w:themeColor="text1"/>
          <w:sz w:val="16"/>
          <w:szCs w:val="16"/>
        </w:rPr>
        <w:t xml:space="preserve"> О недостатках в производстве машин Т</w:t>
      </w:r>
      <w:r w:rsidRPr="00C33834">
        <w:rPr>
          <w:color w:val="000000" w:themeColor="text1"/>
          <w:sz w:val="16"/>
          <w:szCs w:val="16"/>
        </w:rPr>
        <w:noBreakHyphen/>
        <w:t>28 на заводе «Красный путиловец» и мерах по обеспечению выпуска в 1934 г. качественной продукции. (РГАЭ. Ф. 7297. Оп. 38. Д. 38. Л. 233</w:t>
      </w:r>
      <w:r w:rsidRPr="00C33834">
        <w:rPr>
          <w:color w:val="000000" w:themeColor="text1"/>
          <w:sz w:val="16"/>
          <w:szCs w:val="16"/>
        </w:rPr>
        <w:noBreakHyphen/>
        <w:t>232) (15246).</w:t>
      </w:r>
    </w:p>
    <w:p w14:paraId="56EB20AA" w14:textId="77777777" w:rsidR="009A1872" w:rsidRPr="00C33834" w:rsidRDefault="009A1872" w:rsidP="00C33834">
      <w:pPr>
        <w:pStyle w:val="rtejustify"/>
        <w:spacing w:before="0" w:after="0"/>
        <w:rPr>
          <w:color w:val="000000" w:themeColor="text1"/>
          <w:sz w:val="16"/>
          <w:szCs w:val="16"/>
        </w:rPr>
      </w:pPr>
    </w:p>
    <w:p w14:paraId="1ABF977D" w14:textId="77777777" w:rsidR="00AB0A63" w:rsidRPr="00C33834" w:rsidRDefault="00AB0A63" w:rsidP="00C33834">
      <w:pPr>
        <w:autoSpaceDE w:val="0"/>
        <w:autoSpaceDN w:val="0"/>
        <w:adjustRightInd w:val="0"/>
        <w:spacing w:after="0" w:line="240" w:lineRule="auto"/>
        <w:jc w:val="both"/>
        <w:rPr>
          <w:rFonts w:ascii="Times New Roman" w:hAnsi="Times New Roman"/>
          <w:i/>
          <w:color w:val="000000" w:themeColor="text1"/>
          <w:sz w:val="16"/>
          <w:szCs w:val="16"/>
        </w:rPr>
      </w:pPr>
      <w:r w:rsidRPr="00C33834">
        <w:rPr>
          <w:rFonts w:ascii="Times New Roman" w:hAnsi="Times New Roman"/>
          <w:i/>
          <w:color w:val="000000" w:themeColor="text1"/>
          <w:sz w:val="16"/>
          <w:szCs w:val="16"/>
        </w:rPr>
        <w:t>Жизнь и внутренняя политика:</w:t>
      </w:r>
    </w:p>
    <w:p w14:paraId="43236682" w14:textId="77777777" w:rsidR="00AB0A63" w:rsidRPr="00C33834" w:rsidRDefault="00AB0A6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B9AA095" w14:textId="77777777" w:rsidR="00AB0A63" w:rsidRPr="00C33834" w:rsidRDefault="00AB0A6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23 декабря 1933 – опросом членов ПБ</w:t>
      </w:r>
    </w:p>
    <w:p w14:paraId="660F3DA2" w14:textId="77777777" w:rsidR="00AB0A63" w:rsidRPr="00C33834" w:rsidRDefault="00AB0A6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45/26. О борьбе с преступными и деклассированными элементами по г. Москве.</w:t>
      </w:r>
    </w:p>
    <w:p w14:paraId="71BC50F5" w14:textId="77777777" w:rsidR="00AB0A63" w:rsidRPr="00C33834" w:rsidRDefault="00AB0A6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1)Ко всем участникам вооруженных грабежей применять высшую меру наказания.</w:t>
      </w:r>
    </w:p>
    <w:p w14:paraId="607AB06D" w14:textId="77777777" w:rsidR="00AB0A63" w:rsidRPr="00C33834" w:rsidRDefault="00AB0A6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2)Лиц, дважды и более судившихся за последний год за кражи, а также подвергавшихся от 2-х и более раз в течение истекшего года приводам за хулиганство высылать из Москвы и области, по указанию Коллегии ОГПУ, в отдаленные места.</w:t>
      </w:r>
    </w:p>
    <w:p w14:paraId="5DCF3550" w14:textId="77777777" w:rsidR="00AB0A63" w:rsidRPr="00C33834" w:rsidRDefault="00AB0A6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3)По отношению к нищенствующему и деклассированно</w:t>
      </w:r>
      <w:r w:rsidRPr="00C33834">
        <w:rPr>
          <w:rFonts w:ascii="Times New Roman" w:hAnsi="Times New Roman"/>
          <w:color w:val="0070C0"/>
          <w:sz w:val="16"/>
          <w:szCs w:val="16"/>
        </w:rPr>
        <w:softHyphen/>
        <w:t>му элементу применять высылку по месту жительства, в спецпоселкм ОГПУ и концлагеря.</w:t>
      </w:r>
    </w:p>
    <w:p w14:paraId="713D3798" w14:textId="77777777" w:rsidR="00AB0A63" w:rsidRPr="00C33834" w:rsidRDefault="00AB0A6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Выписки посланы: т.т.Ягодё, Рёденсу, Кагановичу(МК), Акулову.</w:t>
      </w:r>
    </w:p>
    <w:p w14:paraId="548AB3E2" w14:textId="77777777" w:rsidR="00AB0A63" w:rsidRPr="00C33834" w:rsidRDefault="00AB0A6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20 января 1934 был подписан протокол № 152 заседания ПБ (22929).</w:t>
      </w:r>
    </w:p>
    <w:p w14:paraId="6823D411" w14:textId="77777777" w:rsidR="00AB0A63" w:rsidRPr="00C33834" w:rsidRDefault="00AB0A63" w:rsidP="00C33834">
      <w:pPr>
        <w:spacing w:after="0" w:line="240" w:lineRule="auto"/>
        <w:jc w:val="both"/>
        <w:rPr>
          <w:rFonts w:ascii="Times New Roman" w:hAnsi="Times New Roman"/>
          <w:color w:val="0070C0"/>
          <w:sz w:val="16"/>
          <w:szCs w:val="16"/>
        </w:rPr>
      </w:pPr>
    </w:p>
    <w:p w14:paraId="1551105F"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1EDD497"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C019B04"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декабря 1933 немецкий суд оправдал Г. Димитрова и коммунистов, обвинявшихся в поджоге рейхстага (4962).</w:t>
      </w:r>
    </w:p>
    <w:p w14:paraId="64A4D373"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50CB4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декабря 1933 Папа Пий 6 проклял немецкую программу стерилизацию (2100).</w:t>
      </w:r>
    </w:p>
    <w:p w14:paraId="109431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0445D80"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декабря 1933 папа римский осудил нацистскую программу стерилизации больных и неполноценных людей (4962).</w:t>
      </w:r>
    </w:p>
    <w:p w14:paraId="79C3C26D"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06C203"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декабря 1933 у Парижа столкнулись два пассажирских поезда, 230 человек погибли (4962).</w:t>
      </w:r>
    </w:p>
    <w:p w14:paraId="2C4DD504"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F1D1D2"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80B3730"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150F4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декабря 1933 ЦАГИ и 125 завод в Иркутске подписали договор о серийном производстве И-14 (АНТ-31). Начали 55, но больше 18 сделать так и не смогли (1454,26).</w:t>
      </w:r>
    </w:p>
    <w:p w14:paraId="19BBA2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E5109C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декабря 1933 завершили обшивку хваостовой части И-14, хотя еще 21 декабря 1933 обшили центральную часть фюзеляжа дублера И-14,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15EFFE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32F12AA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68FE603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01BF3C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207A74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4E19F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декабря 1933 В.М.П. в связи с 15-летием ЦАГИ наградили ОЛ (1077,10).</w:t>
      </w:r>
    </w:p>
    <w:p w14:paraId="2EA617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Вероятно, и других</w:t>
      </w:r>
    </w:p>
    <w:p w14:paraId="34EF329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77382A5" w14:textId="77777777" w:rsidR="009A1872"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567E6F6" w14:textId="77777777" w:rsidR="009A1872" w:rsidRPr="00C33834" w:rsidRDefault="009A1872"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E1417DF" w14:textId="77777777" w:rsidR="009A1872" w:rsidRPr="00C33834" w:rsidRDefault="009A1872"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24 декабря</w:t>
      </w:r>
      <w:r w:rsidRPr="00C33834">
        <w:rPr>
          <w:rFonts w:ascii="Times New Roman" w:hAnsi="Times New Roman"/>
          <w:color w:val="000000" w:themeColor="text1"/>
          <w:sz w:val="16"/>
          <w:szCs w:val="16"/>
        </w:rPr>
        <w:t xml:space="preserve"> в 1933 году введен в строй Новомосковский химический комбинат (АО «Азот», Новомосковск, Тульская область) (14870).</w:t>
      </w:r>
    </w:p>
    <w:p w14:paraId="63E4C22B" w14:textId="77777777" w:rsidR="009A1872" w:rsidRPr="00C33834" w:rsidRDefault="009A1872" w:rsidP="00C33834">
      <w:pPr>
        <w:spacing w:after="0" w:line="240" w:lineRule="auto"/>
        <w:jc w:val="both"/>
        <w:rPr>
          <w:rFonts w:ascii="Times New Roman" w:hAnsi="Times New Roman"/>
          <w:color w:val="000000" w:themeColor="text1"/>
          <w:sz w:val="16"/>
          <w:szCs w:val="16"/>
        </w:rPr>
      </w:pPr>
    </w:p>
    <w:p w14:paraId="59F9C4B6"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DFC52D5"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40291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декабря 1933 ТБ-4 6М-34, который вышел на аэродром 3 марта 1933, после окончания заводских испытаний был передан на гос. испытания на аэродром (2287,131).</w:t>
      </w:r>
    </w:p>
    <w:p w14:paraId="619924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B289458"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декабря 1933 года вышел Приказ НИИ ВВС № 0256 от</w:t>
      </w:r>
    </w:p>
    <w:p w14:paraId="6ECFCE2E"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гос. испытании самолета И-15.</w:t>
      </w:r>
    </w:p>
    <w:p w14:paraId="3525AF3A"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Предъявленный заводом № 39 на гос. испытания самолет И-15 с мотором Райт-Циклон F-3 производства завода № 39 принять на гос. испытания.</w:t>
      </w:r>
    </w:p>
    <w:p w14:paraId="01C008EF"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 начать 25 декабря и закончить 30 декабря 1933 года.</w:t>
      </w:r>
    </w:p>
    <w:p w14:paraId="3F236987"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Инженером ведущим испытания назначаю ст. инженера Часовикова (6775, 15-16).</w:t>
      </w:r>
    </w:p>
    <w:p w14:paraId="4C943C6E"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DF37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на 39 заводе был построен 2-й экз. И-15 РЦ (2287,131).</w:t>
      </w:r>
    </w:p>
    <w:p w14:paraId="275C61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E2490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декабря 1933 после завершения заводских испытаний И-15 РЦ 2-й экз. был сдан на гос. испытания и предварительный их этап закончился 31 декабря 1933 (2287,131).</w:t>
      </w:r>
    </w:p>
    <w:p w14:paraId="7BC806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3B7801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декабре 1933-го на аэродром доставили второй опытный ЦКБ-3. Именно на нем продолжили полеты и до конца года успели провести государственные испытания. Установленный на лыжи самолет развивал максимальную скорость у земли 324 км/ч, на высоте 3000 м - 350 км/ч. Скороподъемность на высоту 5000 м составила 6,2 </w:t>
      </w:r>
      <w:r w:rsidRPr="00C33834">
        <w:rPr>
          <w:rFonts w:ascii="Times New Roman" w:hAnsi="Times New Roman"/>
          <w:color w:val="000000" w:themeColor="text1"/>
          <w:sz w:val="16"/>
          <w:szCs w:val="16"/>
        </w:rPr>
        <w:lastRenderedPageBreak/>
        <w:t>минуты, время виража - всего 8 секунд. Уже I января 1934 г. Начальник ВВС Яков Алкснис утвердил оценку самолета летчиками, официально называемую "Акт Государственных испытаний И-15 РЦ Ф-3". Основным выводом данного документа стало решение о скорейшем введении И-15 в строй военной авиации.</w:t>
      </w:r>
    </w:p>
    <w:p w14:paraId="71BAB1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Признавалось, что по большинству характеристик самолет полностью превосходит имеющиеся в СССР истребители. По маневренности и скороподьемности опережает все известные машины, по максимальной скорости на высоте 5000 м уступает некоторым иностранным образцам. Последний недостаток предлагалось устранить, а истребитель И-15, как полностью удовлетворяющий требованиям ВВС, рекомендовать к серийному изготовлению. Строить самолет решили на двух московских заводах - № 1 и №39 (12014).</w:t>
      </w:r>
    </w:p>
    <w:p w14:paraId="2231A0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4E1AF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декабря 1933 три Р-5, заправленные под завязку топливом, с подвешенными бомбами и с двойным запасом патронов к пулеметам вылетели сквозь снежную метель по направлению на юг. Это был во многом рискованный полет. Не имея связи, средств навигации и кислородного оборудования, летчикам предстояло в условиях непогоды преодолеть горный хребет Тарбагатай, вздымающий свои вершины до 4-х км.</w:t>
      </w:r>
    </w:p>
    <w:p w14:paraId="412154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Поднявшись на возможно большую высоту и оказавшись выше непогоды, самолеты преодолели горный хребет. При выходе на равнинный участок Р-5 Сергея Антонен-ка потерял ориентировку и вернулся назад. Самолеты Федора Полынина и Константина Шишкова пробили облачность и вышли к намеченному пункту в местечко Шихо. Совершили посадку, дозаправились и продолжили свой полет к намеченной цели.</w:t>
      </w:r>
    </w:p>
    <w:p w14:paraId="36B8C7E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подлете к Урумчи экипажи увидели у крепостных стен города огромную массу людей. Шла осада города в традициях средневековых войн. Атака двух самолетов произвела ужасающее воздействие на мятежников. Большинство из них никогда до этого не видело подобных крылатых птиц, кидающих бомбы и изрыгающих огонь, поэтому в панике разбежалось. Пара Р-5 после этой атаки вернулась в Шихо. Базируясь в этом местечке, самолеты еще несколько раз предпринимали вылазки для ударов по войскам мятежного генерала. Успех и полноценная победа, достигнутые всего лишь при помощи двух самолетов, привели к окончанию междоусобицы.</w:t>
      </w:r>
    </w:p>
    <w:p w14:paraId="69D9EF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Уже скоро в районе Урумчи было сосредоточено до 20 самолетов Р-5 и У-2. На их базе организована летная группа для обучения китайцев летному делу. Часть советских летчиков по-прежнему продолжала выполнять полеты в интересах местного правительства. Полеты эти, проходящие над безлюдными горами и в условиях переменчивой погоды, никогда не являлись безопасным делом. Достаточно сказать, что однажды, когда экипаж Полынина вернулся из очередного разведывательного полета, он узнал, что их Р-5 является единственным самолетом синьцзяньской авиации. Все остальные машины перемолотил и сбросил в пропасть разбушевавшийся тайфун.</w:t>
      </w:r>
    </w:p>
    <w:p w14:paraId="68B9F1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Поставки самолетов в Китай впоследствии были продолжены. Город Урумчи стал во второй половине 30-х годов своеобразным форпостом советской авиации в Центральной Азии. Здесь был построен авиазавод, на котором в 1938-41 гг. собирали истребители И-16 (5016).</w:t>
      </w:r>
    </w:p>
    <w:p w14:paraId="4070FA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94161A1" w14:textId="77777777" w:rsidR="009D1EF2" w:rsidRPr="00C33834" w:rsidRDefault="009D1EF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декабря 1933 г. помощник начальника вооружения РККА Сааков направил начальнику ГУАП (Главное управление авиационной промышленности Наркомата тяжёлой промышленности) Г.Н.Королёву письмо №371957с. Он писал: «10 августа 1932 г. Наркомвоенмор и Председатель РВС СССР тов ВОРОШИЛОВ заинтересовался предложением инженеров САМСОНОВА и ДОБРОВОЛЬСКОГО «Самолёт-амфибия-танк» и приказал дать ему движение. Рядом совещаний у Зампреда РВС СССР т. ТУХАЧЕВСКОГО, Нач. ВВС т. АЛКСНИСА, нач. УММ т. ХАЛЕПСКОГО признано особое значение данного предложения для обороны и целесообразность его реализации. Для этой цели дело было передано ГУАП’у и покойный Начальник ГУАП тов. БАРАНОВ дал обещание лично продвигать это дело. Ваш Помощник т. РАМАЗОВ в сентябре с.г. заверил УВИ в том, что данная работа будет вестись на 39 заводе, но по имеющимся у меня сведениям эта работа не включена в план 1934 года. Учитывая чрезвычайно медленные темпы продвижения столь важного оборонного предложения, прошу Вас лично принять необходимые меры к включению данной работы в план 1934 г. и вести непосредственное наблюдение за ней.</w:t>
      </w:r>
    </w:p>
    <w:p w14:paraId="6C4B3EE5" w14:textId="77777777" w:rsidR="009D1EF2" w:rsidRPr="00C33834" w:rsidRDefault="009D1EF2"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последующем прошу сообщить мне для доклада зам. Наркомвоенмор’а и Председателя т. ТУХАЧЕВСКОМУ» (19522).</w:t>
      </w:r>
    </w:p>
    <w:p w14:paraId="1DB8B621" w14:textId="77777777" w:rsidR="009D1EF2" w:rsidRPr="00C33834" w:rsidRDefault="009D1EF2" w:rsidP="00C33834">
      <w:pPr>
        <w:spacing w:after="0" w:line="240" w:lineRule="auto"/>
        <w:jc w:val="both"/>
        <w:rPr>
          <w:rFonts w:ascii="Times New Roman" w:hAnsi="Times New Roman"/>
          <w:color w:val="000000" w:themeColor="text1"/>
          <w:sz w:val="16"/>
          <w:szCs w:val="16"/>
        </w:rPr>
      </w:pPr>
    </w:p>
    <w:p w14:paraId="522FC8DC"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25 декабря 1933 по 15 января 1934 года проходили гос. испытания М34-НР (6812).</w:t>
      </w:r>
    </w:p>
    <w:p w14:paraId="0E397498"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3AA86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25 декабря 1933 г. М-34Н проходил госиспытания, акт об успешном завершении утвер</w:t>
      </w:r>
      <w:r w:rsidRPr="00C33834">
        <w:rPr>
          <w:rFonts w:ascii="Times New Roman" w:hAnsi="Times New Roman"/>
          <w:color w:val="000000" w:themeColor="text1"/>
          <w:sz w:val="16"/>
          <w:szCs w:val="16"/>
        </w:rPr>
        <w:softHyphen/>
        <w:t>дили 7 февраля 1934 г., а серия по</w:t>
      </w:r>
      <w:r w:rsidRPr="00C33834">
        <w:rPr>
          <w:rFonts w:ascii="Times New Roman" w:hAnsi="Times New Roman"/>
          <w:color w:val="000000" w:themeColor="text1"/>
          <w:sz w:val="16"/>
          <w:szCs w:val="16"/>
        </w:rPr>
        <w:softHyphen/>
        <w:t>шла с сентября 1934 г. Нагнетатель выполнялся в виде отдельного съемного узла и мог мон</w:t>
      </w:r>
      <w:r w:rsidRPr="00C33834">
        <w:rPr>
          <w:rFonts w:ascii="Times New Roman" w:hAnsi="Times New Roman"/>
          <w:color w:val="000000" w:themeColor="text1"/>
          <w:sz w:val="16"/>
          <w:szCs w:val="16"/>
        </w:rPr>
        <w:softHyphen/>
        <w:t>тироваться на моторы других моди</w:t>
      </w:r>
      <w:r w:rsidRPr="00C33834">
        <w:rPr>
          <w:rFonts w:ascii="Times New Roman" w:hAnsi="Times New Roman"/>
          <w:color w:val="000000" w:themeColor="text1"/>
          <w:sz w:val="16"/>
          <w:szCs w:val="16"/>
        </w:rPr>
        <w:softHyphen/>
        <w:t>фикаций. В дальнейшем его хотели сделать отключаемым на малых вы</w:t>
      </w:r>
      <w:r w:rsidRPr="00C33834">
        <w:rPr>
          <w:rFonts w:ascii="Times New Roman" w:hAnsi="Times New Roman"/>
          <w:color w:val="000000" w:themeColor="text1"/>
          <w:sz w:val="16"/>
          <w:szCs w:val="16"/>
        </w:rPr>
        <w:softHyphen/>
        <w:t>сотах, но это намерение так и не было претворено в жизнь. Надеж</w:t>
      </w:r>
      <w:r w:rsidRPr="00C33834">
        <w:rPr>
          <w:rFonts w:ascii="Times New Roman" w:hAnsi="Times New Roman"/>
          <w:color w:val="000000" w:themeColor="text1"/>
          <w:sz w:val="16"/>
          <w:szCs w:val="16"/>
        </w:rPr>
        <w:softHyphen/>
        <w:t>ность М-34Н была невысока. Во-пер</w:t>
      </w:r>
      <w:r w:rsidRPr="00C33834">
        <w:rPr>
          <w:rFonts w:ascii="Times New Roman" w:hAnsi="Times New Roman"/>
          <w:color w:val="000000" w:themeColor="text1"/>
          <w:sz w:val="16"/>
          <w:szCs w:val="16"/>
        </w:rPr>
        <w:softHyphen/>
        <w:t>вых, разрушались подшипники, на которых стояла крыльчатка. Во-вто</w:t>
      </w:r>
      <w:r w:rsidRPr="00C33834">
        <w:rPr>
          <w:rFonts w:ascii="Times New Roman" w:hAnsi="Times New Roman"/>
          <w:color w:val="000000" w:themeColor="text1"/>
          <w:sz w:val="16"/>
          <w:szCs w:val="16"/>
        </w:rPr>
        <w:softHyphen/>
        <w:t>рых, нагнетатель у М-34Р распола</w:t>
      </w:r>
      <w:r w:rsidRPr="00C33834">
        <w:rPr>
          <w:rFonts w:ascii="Times New Roman" w:hAnsi="Times New Roman"/>
          <w:color w:val="000000" w:themeColor="text1"/>
          <w:sz w:val="16"/>
          <w:szCs w:val="16"/>
        </w:rPr>
        <w:softHyphen/>
        <w:t>гался за карбюратором; в нем сжи</w:t>
      </w:r>
      <w:r w:rsidRPr="00C33834">
        <w:rPr>
          <w:rFonts w:ascii="Times New Roman" w:hAnsi="Times New Roman"/>
          <w:color w:val="000000" w:themeColor="text1"/>
          <w:sz w:val="16"/>
          <w:szCs w:val="16"/>
        </w:rPr>
        <w:softHyphen/>
        <w:t>мался не воздух, а топливно-воздуш-ная смесь. На некоторых режимах бензин начинал конденсироваться на выходе из нагнетателя и двигатель глох. Альтернативно рассматрива</w:t>
      </w:r>
      <w:r w:rsidRPr="00C33834">
        <w:rPr>
          <w:rFonts w:ascii="Times New Roman" w:hAnsi="Times New Roman"/>
          <w:color w:val="000000" w:themeColor="text1"/>
          <w:sz w:val="16"/>
          <w:szCs w:val="16"/>
        </w:rPr>
        <w:softHyphen/>
        <w:t>лась возможность смонтировать на М-34 иностранные агрегаты. В 1934 г. вели переговоры с француз</w:t>
      </w:r>
      <w:r w:rsidRPr="00C33834">
        <w:rPr>
          <w:rFonts w:ascii="Times New Roman" w:hAnsi="Times New Roman"/>
          <w:color w:val="000000" w:themeColor="text1"/>
          <w:sz w:val="16"/>
          <w:szCs w:val="16"/>
        </w:rPr>
        <w:softHyphen/>
        <w:t>скими фирмами «Испано-Сюиза» и «Фарман» о проектировании ими нового нагнетателя специально для М-34Н. Пытались также приобрести двухступенчатые нагнетатели у «Рато» (этот вариант именовался М-34РАТО). По мировым стандартам М-34Н был тяжеловат. Военные неоднократ</w:t>
      </w:r>
      <w:r w:rsidRPr="00C33834">
        <w:rPr>
          <w:rFonts w:ascii="Times New Roman" w:hAnsi="Times New Roman"/>
          <w:color w:val="000000" w:themeColor="text1"/>
          <w:sz w:val="16"/>
          <w:szCs w:val="16"/>
        </w:rPr>
        <w:softHyphen/>
        <w:t>но требовали снизить вес мотора. В ответ спроектировали облегченный вариант М-34Э (560 кг) с картером из магниевого сплава электрона. Но вот только сплавов этих в СССР не имелось, а привезенные из-за гра</w:t>
      </w:r>
      <w:r w:rsidRPr="00C33834">
        <w:rPr>
          <w:rFonts w:ascii="Times New Roman" w:hAnsi="Times New Roman"/>
          <w:color w:val="000000" w:themeColor="text1"/>
          <w:sz w:val="16"/>
          <w:szCs w:val="16"/>
        </w:rPr>
        <w:softHyphen/>
        <w:t>ницы толком не умели обрабатывать. Пробный картер на заводе № 24 отлили, но через поры и трещины уходило масло. Попробовали разные варианты пропитки. В конце концов, образец М-34Э все-таки поставили на станок. Испытания сначала шли неплохо, но на 97-м часу лопнула одна из перегородок картера. В ре</w:t>
      </w:r>
      <w:r w:rsidRPr="00C33834">
        <w:rPr>
          <w:rFonts w:ascii="Times New Roman" w:hAnsi="Times New Roman"/>
          <w:color w:val="000000" w:themeColor="text1"/>
          <w:sz w:val="16"/>
          <w:szCs w:val="16"/>
        </w:rPr>
        <w:softHyphen/>
        <w:t>зультате от идеи облегчить М-34Н таким способом временно пришлось отказаться. Следующим шагом вполне логич</w:t>
      </w:r>
      <w:r w:rsidRPr="00C33834">
        <w:rPr>
          <w:rFonts w:ascii="Times New Roman" w:hAnsi="Times New Roman"/>
          <w:color w:val="000000" w:themeColor="text1"/>
          <w:sz w:val="16"/>
          <w:szCs w:val="16"/>
        </w:rPr>
        <w:softHyphen/>
        <w:t>но стало совместное применение редуктора и нагнетателя. По плану предлагалось представить опытный образец М-34РН на госиспытания к 1 декабря 1932 г. Фактически же он начал заводские испытания лишь 1 мая 1934 г. Поломка следовала за поломкой. Прогорали клапаны, сбо</w:t>
      </w:r>
      <w:r w:rsidRPr="00C33834">
        <w:rPr>
          <w:rFonts w:ascii="Times New Roman" w:hAnsi="Times New Roman"/>
          <w:color w:val="000000" w:themeColor="text1"/>
          <w:sz w:val="16"/>
          <w:szCs w:val="16"/>
        </w:rPr>
        <w:softHyphen/>
        <w:t>ило газораспределение, от вибраций появлялись трещины на лапах креп</w:t>
      </w:r>
      <w:r w:rsidRPr="00C33834">
        <w:rPr>
          <w:rFonts w:ascii="Times New Roman" w:hAnsi="Times New Roman"/>
          <w:color w:val="000000" w:themeColor="text1"/>
          <w:sz w:val="16"/>
          <w:szCs w:val="16"/>
        </w:rPr>
        <w:softHyphen/>
        <w:t>ления к раме. Но нагнетатель и ре</w:t>
      </w:r>
      <w:r w:rsidRPr="00C33834">
        <w:rPr>
          <w:rFonts w:ascii="Times New Roman" w:hAnsi="Times New Roman"/>
          <w:color w:val="000000" w:themeColor="text1"/>
          <w:sz w:val="16"/>
          <w:szCs w:val="16"/>
        </w:rPr>
        <w:softHyphen/>
        <w:t>дуктор работали «безукоризненно». Усовершенствованный вариант предъявили на госиспытания в сен</w:t>
      </w:r>
      <w:r w:rsidRPr="00C33834">
        <w:rPr>
          <w:rFonts w:ascii="Times New Roman" w:hAnsi="Times New Roman"/>
          <w:color w:val="000000" w:themeColor="text1"/>
          <w:sz w:val="16"/>
          <w:szCs w:val="16"/>
        </w:rPr>
        <w:softHyphen/>
        <w:t>тябре, но и они закончились неудач</w:t>
      </w:r>
      <w:r w:rsidRPr="00C33834">
        <w:rPr>
          <w:rFonts w:ascii="Times New Roman" w:hAnsi="Times New Roman"/>
          <w:color w:val="000000" w:themeColor="text1"/>
          <w:sz w:val="16"/>
          <w:szCs w:val="16"/>
        </w:rPr>
        <w:softHyphen/>
        <w:t>но - прогорели поршни. В результа</w:t>
      </w:r>
      <w:r w:rsidRPr="00C33834">
        <w:rPr>
          <w:rFonts w:ascii="Times New Roman" w:hAnsi="Times New Roman"/>
          <w:color w:val="000000" w:themeColor="text1"/>
          <w:sz w:val="16"/>
          <w:szCs w:val="16"/>
        </w:rPr>
        <w:softHyphen/>
        <w:t>те М-34РН в 1934 г. выпустили лишь небольшой серией. Поскольку нагне</w:t>
      </w:r>
      <w:r w:rsidRPr="00C33834">
        <w:rPr>
          <w:rFonts w:ascii="Times New Roman" w:hAnsi="Times New Roman"/>
          <w:color w:val="000000" w:themeColor="text1"/>
          <w:sz w:val="16"/>
          <w:szCs w:val="16"/>
        </w:rPr>
        <w:softHyphen/>
        <w:t>тателей не хватало, их монтировали только на редукторные моторы, а производство М-34Н отсрочили (11848).</w:t>
      </w:r>
    </w:p>
    <w:p w14:paraId="5E5C93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094566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декабря 1933 г. в присутствии начальника ЛО РНИИ Г.Э.Лангемака и под руководством начальника 1-го отдела Ф.Н.Пойды проходил отстрел 20 снарядов РС-132 модели 1401/1456, изготовленных в мастерских ЛО РНИИ с удовлетворительным качеством. От РС-132 модели 1401 их отли</w:t>
      </w:r>
      <w:r w:rsidRPr="00C33834">
        <w:rPr>
          <w:rFonts w:ascii="Times New Roman" w:hAnsi="Times New Roman"/>
          <w:color w:val="000000" w:themeColor="text1"/>
          <w:sz w:val="16"/>
          <w:szCs w:val="16"/>
        </w:rPr>
        <w:softHyphen/>
        <w:t>чал стабилизатор с крыльями из листового дюралюминия с размахом, уменьшенным до 300 мм. Целью данной стрельбы было определение пре</w:t>
      </w:r>
      <w:r w:rsidRPr="00C33834">
        <w:rPr>
          <w:rFonts w:ascii="Times New Roman" w:hAnsi="Times New Roman"/>
          <w:color w:val="000000" w:themeColor="text1"/>
          <w:sz w:val="16"/>
          <w:szCs w:val="16"/>
        </w:rPr>
        <w:softHyphen/>
        <w:t>дельной дальности полета РС-132 на траектории и характеристик их рас</w:t>
      </w:r>
      <w:r w:rsidRPr="00C33834">
        <w:rPr>
          <w:rFonts w:ascii="Times New Roman" w:hAnsi="Times New Roman"/>
          <w:color w:val="000000" w:themeColor="text1"/>
          <w:sz w:val="16"/>
          <w:szCs w:val="16"/>
        </w:rPr>
        <w:softHyphen/>
        <w:t>сеивания с новой конструкцией стабилизатора. РЗ состоял из 35 шашек пороха рецептуры ПТП габаритами 40/8-57,5 мм. Одна из шашек — раз</w:t>
      </w:r>
      <w:r w:rsidRPr="00C33834">
        <w:rPr>
          <w:rFonts w:ascii="Times New Roman" w:hAnsi="Times New Roman"/>
          <w:color w:val="000000" w:themeColor="text1"/>
          <w:sz w:val="16"/>
          <w:szCs w:val="16"/>
        </w:rPr>
        <w:softHyphen/>
        <w:t>резная. По торцам РЗ располагались два воспламенителя —из 12гДРП ка</w:t>
      </w:r>
      <w:r w:rsidRPr="00C33834">
        <w:rPr>
          <w:rFonts w:ascii="Times New Roman" w:hAnsi="Times New Roman"/>
          <w:color w:val="000000" w:themeColor="text1"/>
          <w:sz w:val="16"/>
          <w:szCs w:val="16"/>
        </w:rPr>
        <w:softHyphen/>
        <w:t>ждый. Диаметр критического сечения сопла - 29,3 мм, диаметр выходного - 75,0 мм, максимальное давление в камере двигателя - 260 кг/см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w:t>
      </w:r>
    </w:p>
    <w:p w14:paraId="75C41F6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БЧ снарядов для приведения к однообразной массе снарядили серой. Воспламеняли РЗ обычным способом — с помощью электрического за-паливания гальванической трубки, вставленной во втулку в сопловом раструбе. Стрельбу вели с углами возвышения 40°. Протяженность ди</w:t>
      </w:r>
      <w:r w:rsidRPr="00C33834">
        <w:rPr>
          <w:rFonts w:ascii="Times New Roman" w:hAnsi="Times New Roman"/>
          <w:color w:val="000000" w:themeColor="text1"/>
          <w:sz w:val="16"/>
          <w:szCs w:val="16"/>
        </w:rPr>
        <w:softHyphen/>
        <w:t>ректрисы составляла 4220 м.</w:t>
      </w:r>
    </w:p>
    <w:p w14:paraId="7FF6D9F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Два снаряда упали с недолетом в 2000 м. Оба их удалось найти. У этих боеприпасов одно-два крыла стабилизатора были вырваны вместе с фрагментами соплового обтекателя. Испытатели предположили, что это произошло из-за неудовлетворительного качества алюминиевого сплава или незамеченного брака при отливке обтекателя сопла. В обра</w:t>
      </w:r>
      <w:r w:rsidRPr="00C33834">
        <w:rPr>
          <w:rFonts w:ascii="Times New Roman" w:hAnsi="Times New Roman"/>
          <w:color w:val="000000" w:themeColor="text1"/>
          <w:sz w:val="16"/>
          <w:szCs w:val="16"/>
        </w:rPr>
        <w:softHyphen/>
        <w:t>ботке результатов стрельбы эти выстрелы не учитывали.</w:t>
      </w:r>
    </w:p>
    <w:p w14:paraId="3C1591B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стрельбы, практически не отличаясь от расчетной величи</w:t>
      </w:r>
      <w:r w:rsidRPr="00C33834">
        <w:rPr>
          <w:rFonts w:ascii="Times New Roman" w:hAnsi="Times New Roman"/>
          <w:color w:val="000000" w:themeColor="text1"/>
          <w:sz w:val="16"/>
          <w:szCs w:val="16"/>
        </w:rPr>
        <w:softHyphen/>
        <w:t>ны, свидетельствовала о правильном полете снарядов. Малая величина рассеивания по дальности на предельной дистанции подтвердила выво</w:t>
      </w:r>
      <w:r w:rsidRPr="00C33834">
        <w:rPr>
          <w:rFonts w:ascii="Times New Roman" w:hAnsi="Times New Roman"/>
          <w:color w:val="000000" w:themeColor="text1"/>
          <w:sz w:val="16"/>
          <w:szCs w:val="16"/>
        </w:rPr>
        <w:softHyphen/>
        <w:t>ды испытателей РС-82, что боеприпасы обладают практически несуще</w:t>
      </w:r>
      <w:r w:rsidRPr="00C33834">
        <w:rPr>
          <w:rFonts w:ascii="Times New Roman" w:hAnsi="Times New Roman"/>
          <w:color w:val="000000" w:themeColor="text1"/>
          <w:sz w:val="16"/>
          <w:szCs w:val="16"/>
        </w:rPr>
        <w:softHyphen/>
        <w:t>ственным «разнообразием начальных и максимальных скоростей».</w:t>
      </w:r>
    </w:p>
    <w:p w14:paraId="22839BA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Значительное же расхождение показателей рассеивания по боково</w:t>
      </w:r>
      <w:r w:rsidRPr="00C33834">
        <w:rPr>
          <w:rFonts w:ascii="Times New Roman" w:hAnsi="Times New Roman"/>
          <w:color w:val="000000" w:themeColor="text1"/>
          <w:sz w:val="16"/>
          <w:szCs w:val="16"/>
        </w:rPr>
        <w:softHyphen/>
        <w:t>му направлению относительно расчетных величин испытатели объяс</w:t>
      </w:r>
      <w:r w:rsidRPr="00C33834">
        <w:rPr>
          <w:rFonts w:ascii="Times New Roman" w:hAnsi="Times New Roman"/>
          <w:color w:val="000000" w:themeColor="text1"/>
          <w:sz w:val="16"/>
          <w:szCs w:val="16"/>
        </w:rPr>
        <w:softHyphen/>
        <w:t>нили неудовлетворительной центровкой боеприпаса в орудии. Воз</w:t>
      </w:r>
      <w:r w:rsidRPr="00C33834">
        <w:rPr>
          <w:rFonts w:ascii="Times New Roman" w:hAnsi="Times New Roman"/>
          <w:color w:val="000000" w:themeColor="text1"/>
          <w:sz w:val="16"/>
          <w:szCs w:val="16"/>
        </w:rPr>
        <w:softHyphen/>
        <w:t>можно, также влиял боковой ветер, так как отстрел проходил по крутой траектории с углом возвышения орудия в 40°. Более убедительно при</w:t>
      </w:r>
      <w:r w:rsidRPr="00C33834">
        <w:rPr>
          <w:rFonts w:ascii="Times New Roman" w:hAnsi="Times New Roman"/>
          <w:color w:val="000000" w:themeColor="text1"/>
          <w:sz w:val="16"/>
          <w:szCs w:val="16"/>
        </w:rPr>
        <w:softHyphen/>
        <w:t>чины этого можно было обосновать при повторных отстрелах, а пока снаряды модели 1401/1456 рекомендовалось принять в качестве основ</w:t>
      </w:r>
      <w:r w:rsidRPr="00C33834">
        <w:rPr>
          <w:rFonts w:ascii="Times New Roman" w:hAnsi="Times New Roman"/>
          <w:color w:val="000000" w:themeColor="text1"/>
          <w:sz w:val="16"/>
          <w:szCs w:val="16"/>
        </w:rPr>
        <w:softHyphen/>
        <w:t>ного образца для всесторонних испытаний. В частности, для отстрела с самолетов (11402).</w:t>
      </w:r>
    </w:p>
    <w:p w14:paraId="2DF739C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702E2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декабря 1933 г. на полигоне НИАП отстреляли 20 снарядов РС-82 модели 1406/1460 с углами возвышения орудия 40°. Первый пристрелоч</w:t>
      </w:r>
      <w:r w:rsidRPr="00C33834">
        <w:rPr>
          <w:rFonts w:ascii="Times New Roman" w:hAnsi="Times New Roman"/>
          <w:color w:val="000000" w:themeColor="text1"/>
          <w:sz w:val="16"/>
          <w:szCs w:val="16"/>
        </w:rPr>
        <w:softHyphen/>
        <w:t>ный в зачет не вошел. По мнению испытателей, нормальная дальность стрельбы, практически не отличаясь от расчетной величины, свидетель</w:t>
      </w:r>
      <w:r w:rsidRPr="00C33834">
        <w:rPr>
          <w:rFonts w:ascii="Times New Roman" w:hAnsi="Times New Roman"/>
          <w:color w:val="000000" w:themeColor="text1"/>
          <w:sz w:val="16"/>
          <w:szCs w:val="16"/>
        </w:rPr>
        <w:softHyphen/>
        <w:t>ствовала о том, что снаряды летят вполне устойчиво. Таким образом, уменьшение размаха оперения до 200 мм не нарушило правильности по</w:t>
      </w:r>
      <w:r w:rsidRPr="00C33834">
        <w:rPr>
          <w:rFonts w:ascii="Times New Roman" w:hAnsi="Times New Roman"/>
          <w:color w:val="000000" w:themeColor="text1"/>
          <w:sz w:val="16"/>
          <w:szCs w:val="16"/>
        </w:rPr>
        <w:softHyphen/>
        <w:t>лета. Полученную «меткость стрельбы» сочли вполне удовлетворитель</w:t>
      </w:r>
      <w:r w:rsidRPr="00C33834">
        <w:rPr>
          <w:rFonts w:ascii="Times New Roman" w:hAnsi="Times New Roman"/>
          <w:color w:val="000000" w:themeColor="text1"/>
          <w:sz w:val="16"/>
          <w:szCs w:val="16"/>
        </w:rPr>
        <w:softHyphen/>
        <w:t>ной. Правда, рассеивание по дальности оказалось несколько хуже, чем У прототипа, однако по боковому направлению оно получилось даже меньше.</w:t>
      </w:r>
    </w:p>
    <w:p w14:paraId="6AA87EF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Специалисты пришли к заключению, что для выводов о достоинст</w:t>
      </w:r>
      <w:r w:rsidRPr="00C33834">
        <w:rPr>
          <w:rFonts w:ascii="Times New Roman" w:hAnsi="Times New Roman"/>
          <w:color w:val="000000" w:themeColor="text1"/>
          <w:sz w:val="16"/>
          <w:szCs w:val="16"/>
        </w:rPr>
        <w:softHyphen/>
        <w:t>вах боеприпасов обеих моделей необходимо провести их сравнительные испытания, а пока снаряды модели 1406/1460 можно принять в качестве основного образца для всесторонних испытаний. В частности, также Для отстрела с самолетов.</w:t>
      </w:r>
    </w:p>
    <w:p w14:paraId="5D1BA4E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Предварительные выводы по результатам годовых испытаний конст</w:t>
      </w:r>
      <w:r w:rsidRPr="00C33834">
        <w:rPr>
          <w:rFonts w:ascii="Times New Roman" w:hAnsi="Times New Roman"/>
          <w:color w:val="000000" w:themeColor="text1"/>
          <w:sz w:val="16"/>
          <w:szCs w:val="16"/>
        </w:rPr>
        <w:softHyphen/>
        <w:t>рукторы сформулировали следующим образом: «В результате проведен</w:t>
      </w:r>
      <w:r w:rsidRPr="00C33834">
        <w:rPr>
          <w:rFonts w:ascii="Times New Roman" w:hAnsi="Times New Roman"/>
          <w:color w:val="000000" w:themeColor="text1"/>
          <w:sz w:val="16"/>
          <w:szCs w:val="16"/>
        </w:rPr>
        <w:softHyphen/>
        <w:t>ных стрельб за период с 16 декабря 1932 г. по 25 декабря 1933 г. наилуч</w:t>
      </w:r>
      <w:r w:rsidRPr="00C33834">
        <w:rPr>
          <w:rFonts w:ascii="Times New Roman" w:hAnsi="Times New Roman"/>
          <w:color w:val="000000" w:themeColor="text1"/>
          <w:sz w:val="16"/>
          <w:szCs w:val="16"/>
        </w:rPr>
        <w:softHyphen/>
        <w:t>шую меткость дали РС-82 модели 1406/1460 (рассеивание по дально</w:t>
      </w:r>
      <w:r w:rsidRPr="00C33834">
        <w:rPr>
          <w:rFonts w:ascii="Times New Roman" w:hAnsi="Times New Roman"/>
          <w:color w:val="000000" w:themeColor="text1"/>
          <w:sz w:val="16"/>
          <w:szCs w:val="16"/>
        </w:rPr>
        <w:softHyphen/>
        <w:t>сти — 1/108, по боковому направлению — 1/103 дистанции огня) и РС-132 модели 1401/1456 (рассеивание по дальности — 1/206, по боко</w:t>
      </w:r>
      <w:r w:rsidRPr="00C33834">
        <w:rPr>
          <w:rFonts w:ascii="Times New Roman" w:hAnsi="Times New Roman"/>
          <w:color w:val="000000" w:themeColor="text1"/>
          <w:sz w:val="16"/>
          <w:szCs w:val="16"/>
        </w:rPr>
        <w:softHyphen/>
        <w:t>вому направлению — 1/52 дистанции огня)».</w:t>
      </w:r>
    </w:p>
    <w:p w14:paraId="0892B2D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Эксперименты подтвердили, что уменьшить величину рассеивания РС при стрельбе возможно, увеличив их максимальную скорость на ак</w:t>
      </w:r>
      <w:r w:rsidRPr="00C33834">
        <w:rPr>
          <w:rFonts w:ascii="Times New Roman" w:hAnsi="Times New Roman"/>
          <w:color w:val="000000" w:themeColor="text1"/>
          <w:sz w:val="16"/>
          <w:szCs w:val="16"/>
        </w:rPr>
        <w:softHyphen/>
        <w:t>тивном участке траектории, что неизбежно влечет за собой и возраста</w:t>
      </w:r>
      <w:r w:rsidRPr="00C33834">
        <w:rPr>
          <w:rFonts w:ascii="Times New Roman" w:hAnsi="Times New Roman"/>
          <w:color w:val="000000" w:themeColor="text1"/>
          <w:sz w:val="16"/>
          <w:szCs w:val="16"/>
        </w:rPr>
        <w:softHyphen/>
        <w:t>ние начальной (дульной) скорости полета боеприпаса. Между тем по</w:t>
      </w:r>
      <w:r w:rsidRPr="00C33834">
        <w:rPr>
          <w:rFonts w:ascii="Times New Roman" w:hAnsi="Times New Roman"/>
          <w:color w:val="000000" w:themeColor="text1"/>
          <w:sz w:val="16"/>
          <w:szCs w:val="16"/>
        </w:rPr>
        <w:softHyphen/>
        <w:t xml:space="preserve">пытки повысить начальную скорость снарядов за счет </w:t>
      </w:r>
      <w:r w:rsidRPr="00C33834">
        <w:rPr>
          <w:rFonts w:ascii="Times New Roman" w:hAnsi="Times New Roman"/>
          <w:color w:val="000000" w:themeColor="text1"/>
          <w:sz w:val="16"/>
          <w:szCs w:val="16"/>
        </w:rPr>
        <w:lastRenderedPageBreak/>
        <w:t>уменьшения диа</w:t>
      </w:r>
      <w:r w:rsidRPr="00C33834">
        <w:rPr>
          <w:rFonts w:ascii="Times New Roman" w:hAnsi="Times New Roman"/>
          <w:color w:val="000000" w:themeColor="text1"/>
          <w:sz w:val="16"/>
          <w:szCs w:val="16"/>
        </w:rPr>
        <w:softHyphen/>
        <w:t>метра критического сечения сопла и повышения давления в камере дви</w:t>
      </w:r>
      <w:r w:rsidRPr="00C33834">
        <w:rPr>
          <w:rFonts w:ascii="Times New Roman" w:hAnsi="Times New Roman"/>
          <w:color w:val="000000" w:themeColor="text1"/>
          <w:sz w:val="16"/>
          <w:szCs w:val="16"/>
        </w:rPr>
        <w:softHyphen/>
        <w:t>гателя рано или поздно должны были привести к преждевременным разрывам снарядов (11402).</w:t>
      </w:r>
    </w:p>
    <w:p w14:paraId="7EE402C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января 1934 г. в УБАА ГАУ РККА был преждевременный разрыв РС. На нем присутствовали начальник И сектора УБАА ГАУ М.М.Зандер, начальник РНИИ И.Т.Клейменов, началь</w:t>
      </w:r>
      <w:r w:rsidRPr="00C33834">
        <w:rPr>
          <w:rFonts w:ascii="Times New Roman" w:hAnsi="Times New Roman"/>
          <w:color w:val="000000" w:themeColor="text1"/>
          <w:sz w:val="16"/>
          <w:szCs w:val="16"/>
        </w:rPr>
        <w:softHyphen/>
        <w:t>ник 1 отдела РНИИ Г.Э.Лангемак, начальник 1 сектора РНИИ Л.Э.Шварц, инженер НИИ ВВС Г.И.Мельников.</w:t>
      </w:r>
    </w:p>
    <w:p w14:paraId="0C4A6A6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Совещание констатировало, что стрельбы 25 декабря (20 снарядами РС-82 модели 1406/1460 при сильном боковом ветре) и 25 января (25 снарядами РС-82 модели 1454) на дальность и меткость в первом случае дали рассеивание по дальности составило 1/136 и по боковому направле</w:t>
      </w:r>
      <w:r w:rsidRPr="00C33834">
        <w:rPr>
          <w:rFonts w:ascii="Times New Roman" w:hAnsi="Times New Roman"/>
          <w:color w:val="000000" w:themeColor="text1"/>
          <w:sz w:val="16"/>
          <w:szCs w:val="16"/>
        </w:rPr>
        <w:softHyphen/>
        <w:t>нию — 1/104 дистанции стрельбы. Во втором случае рассеивание по даль</w:t>
      </w:r>
      <w:r w:rsidRPr="00C33834">
        <w:rPr>
          <w:rFonts w:ascii="Times New Roman" w:hAnsi="Times New Roman"/>
          <w:color w:val="000000" w:themeColor="text1"/>
          <w:sz w:val="16"/>
          <w:szCs w:val="16"/>
        </w:rPr>
        <w:softHyphen/>
        <w:t>ности - 1/120 и по боковому направлению — 1/86 дистанции стрельбы. В обоих случаях отстрел проходил с углом возвышения 40°, и дальность полета РС-82 практически не отличалась — около 5300 м, что соответст</w:t>
      </w:r>
      <w:r w:rsidRPr="00C33834">
        <w:rPr>
          <w:rFonts w:ascii="Times New Roman" w:hAnsi="Times New Roman"/>
          <w:color w:val="000000" w:themeColor="text1"/>
          <w:sz w:val="16"/>
          <w:szCs w:val="16"/>
        </w:rPr>
        <w:softHyphen/>
        <w:t>вовало начальной скорости боеприпасов в 290 м/с.</w:t>
      </w:r>
    </w:p>
    <w:p w14:paraId="1DDFAAA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тем, 26 января в ходе планового испытания на рассеивание воздушных разрывов снарядов этих же моделей на третьем выстреле ра</w:t>
      </w:r>
      <w:r w:rsidRPr="00C33834">
        <w:rPr>
          <w:rFonts w:ascii="Times New Roman" w:hAnsi="Times New Roman"/>
          <w:color w:val="000000" w:themeColor="text1"/>
          <w:sz w:val="16"/>
          <w:szCs w:val="16"/>
        </w:rPr>
        <w:softHyphen/>
        <w:t>зорвало камеру ракетного двигателя, повредив ведущие части ракетного орудия. Учитывая, что накануне все 25 выстрелов боеприпасами модели 1454 были выполнены безукоризненно, удовлетворительно проходила и стрельба аналогичными снарядами 16 декабря, а также все стрельбы 1933 г., причиной разрыва признали случайный порок металла.</w:t>
      </w:r>
    </w:p>
    <w:p w14:paraId="28A1E6D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Дело в том, что камеры двигателей РС-82 продолжали изготавливать из корпусов 107-мм артснарядов, качество стали которых считалось вполне подходящим, а «заготовки» — практически идеальными. Однако далеко не всегда удавалось раздобыть новые корпуса артснарядов, поэто</w:t>
      </w:r>
      <w:r w:rsidRPr="00C33834">
        <w:rPr>
          <w:rFonts w:ascii="Times New Roman" w:hAnsi="Times New Roman"/>
          <w:color w:val="000000" w:themeColor="text1"/>
          <w:sz w:val="16"/>
          <w:szCs w:val="16"/>
        </w:rPr>
        <w:softHyphen/>
        <w:t>му в РНИИ довольствовались и стрелянными. По-видимому, речь шла об учебных практических снарядах. И, похоже, что «добывали» их ГДЛ-овцы по соседству, на директрисах НИАП.</w:t>
      </w:r>
    </w:p>
    <w:p w14:paraId="66208AD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Совещание посчитало необходимым продолжить испытания РС дан</w:t>
      </w:r>
      <w:r w:rsidRPr="00C33834">
        <w:rPr>
          <w:rFonts w:ascii="Times New Roman" w:hAnsi="Times New Roman"/>
          <w:color w:val="000000" w:themeColor="text1"/>
          <w:sz w:val="16"/>
          <w:szCs w:val="16"/>
        </w:rPr>
        <w:softHyphen/>
        <w:t>ной модели. Для этого было запланировано по 25 выстрелов со станка, а также «из самолетной установки при бездействующем моторе и при ра</w:t>
      </w:r>
      <w:r w:rsidRPr="00C33834">
        <w:rPr>
          <w:rFonts w:ascii="Times New Roman" w:hAnsi="Times New Roman"/>
          <w:color w:val="000000" w:themeColor="text1"/>
          <w:sz w:val="16"/>
          <w:szCs w:val="16"/>
        </w:rPr>
        <w:softHyphen/>
        <w:t>ботающем моторе». Программа их летных испытаний предусматривала отстрел 50 боеприпасов на различных режимах полета самолета.</w:t>
      </w:r>
    </w:p>
    <w:p w14:paraId="097BF6D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Поскольку в 1934 г. для стрельбы РС был приспособлен только НИ</w:t>
      </w:r>
      <w:r w:rsidRPr="00C33834">
        <w:rPr>
          <w:rFonts w:ascii="Times New Roman" w:hAnsi="Times New Roman"/>
          <w:color w:val="000000" w:themeColor="text1"/>
          <w:sz w:val="16"/>
          <w:szCs w:val="16"/>
        </w:rPr>
        <w:softHyphen/>
        <w:t>АП, совещание ходатайствовало перед начальником вооружения РККА о передаче в распоряжение РНИИ к 10 февраля 1934 г. одного самолета И-5 для его оборудования ракетными установками и переброске в разо</w:t>
      </w:r>
      <w:r w:rsidRPr="00C33834">
        <w:rPr>
          <w:rFonts w:ascii="Times New Roman" w:hAnsi="Times New Roman"/>
          <w:color w:val="000000" w:themeColor="text1"/>
          <w:sz w:val="16"/>
          <w:szCs w:val="16"/>
        </w:rPr>
        <w:softHyphen/>
        <w:t>бранном виде на полигон с последующей сборкой и отстрелом. Именно эти испытания были необходимы для заключения о целесообразности введения РС-82 модели 1454 на вооружение ВВС.</w:t>
      </w:r>
    </w:p>
    <w:p w14:paraId="73B92C3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«Вместе с тем, с целью скорейшего получения всех баллистических характеристик снаряда и всестороннего изучения его в служебном отно</w:t>
      </w:r>
      <w:r w:rsidRPr="00C33834">
        <w:rPr>
          <w:rFonts w:ascii="Times New Roman" w:hAnsi="Times New Roman"/>
          <w:color w:val="000000" w:themeColor="text1"/>
          <w:sz w:val="16"/>
          <w:szCs w:val="16"/>
        </w:rPr>
        <w:softHyphen/>
        <w:t>шении для составления таблиц стрельбы и руководства службы, учиты</w:t>
      </w:r>
      <w:r w:rsidRPr="00C33834">
        <w:rPr>
          <w:rFonts w:ascii="Times New Roman" w:hAnsi="Times New Roman"/>
          <w:color w:val="000000" w:themeColor="text1"/>
          <w:sz w:val="16"/>
          <w:szCs w:val="16"/>
        </w:rPr>
        <w:softHyphen/>
        <w:t>вая пожелания АНИИ, совещание считает необходимым теперь же про</w:t>
      </w:r>
      <w:r w:rsidRPr="00C33834">
        <w:rPr>
          <w:rFonts w:ascii="Times New Roman" w:hAnsi="Times New Roman"/>
          <w:color w:val="000000" w:themeColor="text1"/>
          <w:sz w:val="16"/>
          <w:szCs w:val="16"/>
        </w:rPr>
        <w:softHyphen/>
        <w:t>извести заказ 1000 штук снарядов со сроком подачи в конце первого квартала сего года. С тем, чтобы во втором квартале произвести следую</w:t>
      </w:r>
      <w:r w:rsidRPr="00C33834">
        <w:rPr>
          <w:rFonts w:ascii="Times New Roman" w:hAnsi="Times New Roman"/>
          <w:color w:val="000000" w:themeColor="text1"/>
          <w:sz w:val="16"/>
          <w:szCs w:val="16"/>
        </w:rPr>
        <w:softHyphen/>
        <w:t>щие основные испытания:</w:t>
      </w:r>
    </w:p>
    <w:p w14:paraId="21E1DD8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баллистические стрельбы для определения закона нарастания ско</w:t>
      </w:r>
      <w:r w:rsidRPr="00C33834">
        <w:rPr>
          <w:rFonts w:ascii="Times New Roman" w:hAnsi="Times New Roman"/>
          <w:color w:val="000000" w:themeColor="text1"/>
          <w:sz w:val="16"/>
          <w:szCs w:val="16"/>
        </w:rPr>
        <w:softHyphen/>
        <w:t>рости;</w:t>
      </w:r>
    </w:p>
    <w:p w14:paraId="70FB2ED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стрельбы на меткость из орудийной установки при разных углах возвышения (от 5 до 60°);</w:t>
      </w:r>
    </w:p>
    <w:p w14:paraId="6F4203C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то же самое с воздушными разрывами;</w:t>
      </w:r>
    </w:p>
    <w:p w14:paraId="52975FA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определение влияния длины орудия на меткость при тех же углах возвышения;</w:t>
      </w:r>
    </w:p>
    <w:p w14:paraId="143C6CD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всесторонние испытания орудийных установок на самолете».</w:t>
      </w:r>
    </w:p>
    <w:p w14:paraId="6D286DA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то же время, испытания 132-мм снарядов модели 1458 стрельбой на дальность продемонстрировали неудовлетворительные результаты. При стрельбе с углами возвышения 40°, из 10 снарядов только один вы</w:t>
      </w:r>
      <w:r w:rsidRPr="00C33834">
        <w:rPr>
          <w:rFonts w:ascii="Times New Roman" w:hAnsi="Times New Roman"/>
          <w:color w:val="000000" w:themeColor="text1"/>
          <w:sz w:val="16"/>
          <w:szCs w:val="16"/>
        </w:rPr>
        <w:softHyphen/>
        <w:t>шел на расчетную дальность в 6600 м. Остальные дали недолеты в 1000 м и более. При стрельбе «на меткость воздушных разрывов» с углами воз</w:t>
      </w:r>
      <w:r w:rsidRPr="00C33834">
        <w:rPr>
          <w:rFonts w:ascii="Times New Roman" w:hAnsi="Times New Roman"/>
          <w:color w:val="000000" w:themeColor="text1"/>
          <w:sz w:val="16"/>
          <w:szCs w:val="16"/>
        </w:rPr>
        <w:softHyphen/>
        <w:t>вышения 15° из шести снарядов лишь два дали нормальную дальность, а остальные — значительные недолеты. Служба наблюдения отметила, что у некоторых боеприпасов на расстоянии 300-400 м от орудия отрыва</w:t>
      </w:r>
      <w:r w:rsidRPr="00C33834">
        <w:rPr>
          <w:rFonts w:ascii="Times New Roman" w:hAnsi="Times New Roman"/>
          <w:color w:val="000000" w:themeColor="text1"/>
          <w:sz w:val="16"/>
          <w:szCs w:val="16"/>
        </w:rPr>
        <w:softHyphen/>
        <w:t>лись крылья оперения или полностью стабилизаторы.</w:t>
      </w:r>
    </w:p>
    <w:p w14:paraId="4302F7E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Кто хотя бы раз имел дело с изделиями из силумина, надолго запом</w:t>
      </w:r>
      <w:r w:rsidRPr="00C33834">
        <w:rPr>
          <w:rFonts w:ascii="Times New Roman" w:hAnsi="Times New Roman"/>
          <w:color w:val="000000" w:themeColor="text1"/>
          <w:sz w:val="16"/>
          <w:szCs w:val="16"/>
        </w:rPr>
        <w:softHyphen/>
        <w:t>нит скверные прочностные качества этого материала. Из технологиче</w:t>
      </w:r>
      <w:r w:rsidRPr="00C33834">
        <w:rPr>
          <w:rFonts w:ascii="Times New Roman" w:hAnsi="Times New Roman"/>
          <w:color w:val="000000" w:themeColor="text1"/>
          <w:sz w:val="16"/>
          <w:szCs w:val="16"/>
        </w:rPr>
        <w:softHyphen/>
        <w:t>ских документов на изготовление РС следует, что заготовки сопловых обтекателей к ним отливали из алюминия А-П. Далее к ним приклепы</w:t>
      </w:r>
      <w:r w:rsidRPr="00C33834">
        <w:rPr>
          <w:rFonts w:ascii="Times New Roman" w:hAnsi="Times New Roman"/>
          <w:color w:val="000000" w:themeColor="text1"/>
          <w:sz w:val="16"/>
          <w:szCs w:val="16"/>
        </w:rPr>
        <w:softHyphen/>
        <w:t>вали крылья стабилизатора. Именно в процессе сверления и клепки в си-луминовых тонкостенных корпусах обтекателей и формировалось так называемое внутреннее остаточное напряжение. А внешний вид изделий из этого дюралевого сплава оставался безупречным.</w:t>
      </w:r>
    </w:p>
    <w:p w14:paraId="63EC61B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учетом того, что при стрельбе 25 декабря точно такими же снаряда</w:t>
      </w:r>
      <w:r w:rsidRPr="00C33834">
        <w:rPr>
          <w:rFonts w:ascii="Times New Roman" w:hAnsi="Times New Roman"/>
          <w:color w:val="000000" w:themeColor="text1"/>
          <w:sz w:val="16"/>
          <w:szCs w:val="16"/>
        </w:rPr>
        <w:softHyphen/>
        <w:t>ми, из 20 боеприпасов 18 «дали вполне правильный полет, нормальную дальность и хорошую меткость по дальности в 1/206 (однако два РС-132 не долетели порядка 1,5 км), совещание сочло необходимым в первую очередь устранить дефекты изготовления снарядов, обеспечить надлежа</w:t>
      </w:r>
      <w:r w:rsidRPr="00C33834">
        <w:rPr>
          <w:rFonts w:ascii="Times New Roman" w:hAnsi="Times New Roman"/>
          <w:color w:val="000000" w:themeColor="text1"/>
          <w:sz w:val="16"/>
          <w:szCs w:val="16"/>
        </w:rPr>
        <w:softHyphen/>
        <w:t>щую их прочность и провести повторную стрельбу. По получении удов</w:t>
      </w:r>
      <w:r w:rsidRPr="00C33834">
        <w:rPr>
          <w:rFonts w:ascii="Times New Roman" w:hAnsi="Times New Roman"/>
          <w:color w:val="000000" w:themeColor="text1"/>
          <w:sz w:val="16"/>
          <w:szCs w:val="16"/>
        </w:rPr>
        <w:softHyphen/>
        <w:t>летворительных результатов подвергнуть снаряды этого калибра тем же испытаниям, что и РС-82.</w:t>
      </w:r>
    </w:p>
    <w:p w14:paraId="7E6D36F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Присутствовавший на испытаниях 25-26 января, а также на совещании представитель НИИ ВВС Г.И.Мельников уклонился от высказывания своего мнения по обсуждаемым вопросам, сославшись на полученные им от своего командования инструкции. «Имея в виду, что НИИ ВВС до сего времени получал все отчеты о работах РНИИ, что изготовление в РНИИ орудийных установок для самолетов предпринято по прямому заданию НИИ ВВС, совещание считает совершенно ненормальным со стороны НИИ ВВС командирование представителей, лишенных каких бы то ни было полномочий, и полагает, что намеченные испытания РС должны быть проведены независимо от участия в них НИИ ВВС. О действиях НИИ ВВС должно быть доведено до сведения начальника вооружений».</w:t>
      </w:r>
    </w:p>
    <w:p w14:paraId="3EE2963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основании промежуточных итогов, не дожидаясь окончания «конкурса» снарядов лучшей модели, 26 февраля 1934 г. последовал приказ начальника вооружений РККА М.Н.Тухачевского №3/1сс. В нем го</w:t>
      </w:r>
      <w:r w:rsidRPr="00C33834">
        <w:rPr>
          <w:rFonts w:ascii="Times New Roman" w:hAnsi="Times New Roman"/>
          <w:color w:val="000000" w:themeColor="text1"/>
          <w:sz w:val="16"/>
          <w:szCs w:val="16"/>
        </w:rPr>
        <w:softHyphen/>
        <w:t>ворилось: «Для проведения полигонных испытаний изготовленных в РНИИ НТП реактивных оперенных снарядов калибра 82 и 132 мм от</w:t>
      </w:r>
      <w:r w:rsidRPr="00C33834">
        <w:rPr>
          <w:rFonts w:ascii="Times New Roman" w:hAnsi="Times New Roman"/>
          <w:color w:val="000000" w:themeColor="text1"/>
          <w:sz w:val="16"/>
          <w:szCs w:val="16"/>
        </w:rPr>
        <w:softHyphen/>
        <w:t>стрелом с наземных самолетных установок на самолетах И-5 и Р-6 на</w:t>
      </w:r>
      <w:r w:rsidRPr="00C33834">
        <w:rPr>
          <w:rFonts w:ascii="Times New Roman" w:hAnsi="Times New Roman"/>
          <w:color w:val="000000" w:themeColor="text1"/>
          <w:sz w:val="16"/>
          <w:szCs w:val="16"/>
        </w:rPr>
        <w:softHyphen/>
        <w:t>значаю комиссию под председательством ВРИД главного инженера воо</w:t>
      </w:r>
      <w:r w:rsidRPr="00C33834">
        <w:rPr>
          <w:rFonts w:ascii="Times New Roman" w:hAnsi="Times New Roman"/>
          <w:color w:val="000000" w:themeColor="text1"/>
          <w:sz w:val="16"/>
          <w:szCs w:val="16"/>
        </w:rPr>
        <w:softHyphen/>
        <w:t>ружения ВВС РККА тов. Шевченко и членов: начальника 11 сектора НТО УБАА ГАУ РККА тов. Зандер, начальника 3-го отдела НТО УБАА ГАУ РККА тов. Сегиенко, начальника РНИИ НТП тов. Клейменова, за</w:t>
      </w:r>
      <w:r w:rsidRPr="00C33834">
        <w:rPr>
          <w:rFonts w:ascii="Times New Roman" w:hAnsi="Times New Roman"/>
          <w:color w:val="000000" w:themeColor="text1"/>
          <w:sz w:val="16"/>
          <w:szCs w:val="16"/>
        </w:rPr>
        <w:softHyphen/>
        <w:t>местителя РНИИ НТП тов. Лангемака, начальника отделения 15 секто</w:t>
      </w:r>
      <w:r w:rsidRPr="00C33834">
        <w:rPr>
          <w:rFonts w:ascii="Times New Roman" w:hAnsi="Times New Roman"/>
          <w:color w:val="000000" w:themeColor="text1"/>
          <w:sz w:val="16"/>
          <w:szCs w:val="16"/>
        </w:rPr>
        <w:softHyphen/>
        <w:t>ра НИИ ВВС РККА тов. Мельникова, старшего инженера 15 сектора НИИ ВВС РККА тов. Калинина» (11402).</w:t>
      </w:r>
    </w:p>
    <w:p w14:paraId="15AAB3C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BE7D74"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6DFA787"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D2ABE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декабря 1933 начальником пополненной группы конструкторов СКБ-2 стал О.М.Иванов (5008, 13).</w:t>
      </w:r>
    </w:p>
    <w:p w14:paraId="2BD975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0733365" w14:textId="77777777" w:rsidR="009A1872" w:rsidRPr="00C33834" w:rsidRDefault="009A1872" w:rsidP="00C33834">
      <w:pPr>
        <w:pStyle w:val="rtejustify"/>
        <w:spacing w:before="0" w:after="0"/>
        <w:rPr>
          <w:color w:val="000000" w:themeColor="text1"/>
          <w:sz w:val="16"/>
          <w:szCs w:val="16"/>
        </w:rPr>
      </w:pPr>
      <w:r w:rsidRPr="00C33834">
        <w:rPr>
          <w:rStyle w:val="af0"/>
          <w:bCs/>
          <w:i w:val="0"/>
          <w:color w:val="000000" w:themeColor="text1"/>
          <w:sz w:val="16"/>
          <w:szCs w:val="16"/>
        </w:rPr>
        <w:t>25 декабря</w:t>
      </w:r>
      <w:r w:rsidRPr="00C33834">
        <w:rPr>
          <w:color w:val="000000" w:themeColor="text1"/>
          <w:sz w:val="16"/>
          <w:szCs w:val="16"/>
        </w:rPr>
        <w:t xml:space="preserve"> 1933. Постановление СТО СССР № 136сс/о «О закупке моторов в 60-100 сил для катеров и плавсредств ВМС». (ГА РФ. Ф. Р</w:t>
      </w:r>
      <w:r w:rsidRPr="00C33834">
        <w:rPr>
          <w:color w:val="000000" w:themeColor="text1"/>
          <w:sz w:val="16"/>
          <w:szCs w:val="16"/>
        </w:rPr>
        <w:noBreakHyphen/>
        <w:t>8418. Оп. 28. Д. 3. Л. 120) (15460).</w:t>
      </w:r>
    </w:p>
    <w:p w14:paraId="6E879729" w14:textId="77777777" w:rsidR="009A1872" w:rsidRPr="00C33834" w:rsidRDefault="009A1872" w:rsidP="00C33834">
      <w:pPr>
        <w:pStyle w:val="rtejustify"/>
        <w:spacing w:before="0" w:after="0"/>
        <w:rPr>
          <w:color w:val="000000" w:themeColor="text1"/>
          <w:sz w:val="16"/>
          <w:szCs w:val="16"/>
        </w:rPr>
      </w:pPr>
    </w:p>
    <w:p w14:paraId="62BEE831" w14:textId="77777777" w:rsidR="002E2083"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50DE9A02"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6C722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декабря 1933 три Р-5, собранных на китайской границе, куда их привезли в ноябре 1933, вылетели в Урумчи и один вернулся, а два успешно атаковали и штурмовыми действиями успешно рассеяли осаждающих крепость. Потом вернулись в Шихо и базируясь оттуда выполнила еще несколько атак. Вскоре в районе Урумчи было 20 Р-5 и У-2 (1366,15).</w:t>
      </w:r>
    </w:p>
    <w:p w14:paraId="207ED3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C81136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декабря 1933 г. два Р-5 (с советскими летчиками) отправили на бомбежку войск мятежного генерала, осадившего Урумчи. Солдаты Ма Чжуина увидели самолет первый раз в жизни и в страхе бежали под грохот бомб и треск пулеметных очередей. В связи с происходившим в Синьцзяне мятежом генерала Ма Чжуина машины были не только вооружены, но и несли бомбы и двойной комплект патронов. Китайское правительство зачастую лишь формально контролировало значительную часть территории страны. На окраинах практически самостоятельно правили генералы-милитаристы, обладавшие собственными армиями. Некоторые из них считались друзьями СССР; к ним относился дубань (губернатор) пограничной провинции Синьцзян. Три машины предназначались для летной школы, которую хотели организовать в Урумчи в Синьцзяне. Самолеты собирали на советской стороне границы, у станции Аягуз, и дальше гнали по воздуху. Экипажи состояли из будущих инструкторов, механиков и преподавателей школы - советских специалистов, командированных в Китай. Но интересно, что набрали их из авиации НКВД, а не из ВВС. Командирами экипажей являлись К. Шишков, В. Полынин и С. Антоненок.</w:t>
      </w:r>
    </w:p>
    <w:p w14:paraId="3ED208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Школа еще не работала, и Р-5 и далее вели разведку, бомбили и обстреливали остатки частей мятежников. Самолеты уже не внушали противнику суеверного ужаса, и их встречали пулеметным огнем и винтовочными залпами. Один Р-5 подбили, но он дотянул до Урумчи. В другой раз зависшая бомба сорвалась при полете над городом и упала как раз во двор генерал-губернатора Синьцзяна. Но генерал был настолько доволен помощью авиации, что замял этот инцидент.</w:t>
      </w:r>
    </w:p>
    <w:p w14:paraId="1AAFE96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Когда школа начала функционировать, ей передали еще несколько Р-5 и У-2, доведя к концу 1934 г. численность авиапарка до 18 самолетов. Работая там, советские инструкторы периодически совершали связные полеты и вели разведку во время многочисленных внутренних "разборок" китайских генералов. Р-5 эксплуатировались в школе по крайней мере до 1938 г. Но боевым частям китайских ВВС разведчики Поликарпова не поставлялись (12034).</w:t>
      </w:r>
    </w:p>
    <w:p w14:paraId="699A6BF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42D92A3"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435F6D3A"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EEE2722"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декабря 1933 при раскопках в арктических районах СССР обнаружены древнеримские монеты (4962).</w:t>
      </w:r>
    </w:p>
    <w:p w14:paraId="51600DC1"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FC8D1D"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25 декабря 1933 украинский сатирик Остап Вишня обвинен в контрреволюционной деятельности и приговорен к расстрелу, замененному позже десятью годами тюрьмы (4962).</w:t>
      </w:r>
    </w:p>
    <w:p w14:paraId="2FBE6FD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D68BDD"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3CC06C8F"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D118A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декабря 1933 г. два Р-5, посланных зимой в Китай, отправили на бомбежку войск мятежного генерала, осадившего Урумчи. Солдаты Ма Чжуина увидели самолет первый раз в жизни и в страхе бежали под грохот бомб и треск пулеметных очередей. Р-5 и далее вели разведку, бомбили и обстреливали мятежников. Самолеты, уже не внушавшие противнику суеверного ужаса, встречали пулеметным огнем и винтовочными залпами. Один Р-5 подбили, но он дотянул до Урумчи. Позже машины передали китайцам для летной школы, но они и далее нередко участвовали во внутренних разборках местных генералов.</w:t>
      </w:r>
    </w:p>
    <w:p w14:paraId="64FC62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1939 г. по приказу наркома обороны была сформирована особая авиагруппа "Хами", предназначенная для защиты аэродрома в Хами (Китай), находившегося на трассе перегонки из СССР боевых самолетов. В нее вошли в том числе и шесть Р-5. Но какие-либо данные об их действиях против японцев отсутствуют (11936).</w:t>
      </w:r>
    </w:p>
    <w:p w14:paraId="415862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6CCD0CB"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25 декабря 1933 г. из беседы генерального секретаря ЦК ВКП(б) И.В. Сталина с корреспондентом газеты "Нью-Йорк Тайме" Дюранти о советско-американских отношениях </w:t>
      </w:r>
    </w:p>
    <w:p w14:paraId="2A72E3D3"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Дюранти. Не согласитесь ли передать послание американскому народу через "Нью-Йорк Тайме"? </w:t>
      </w:r>
    </w:p>
    <w:p w14:paraId="149AD4AC"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Сталин. Нет, Калинин уже сделал это, я не могу вмешиваться в его прерогативы. </w:t>
      </w:r>
    </w:p>
    <w:p w14:paraId="12DD74BF"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Если речь идет об отношениях между США и СССР, то, конечно, я доволен возобновлением отношений, как актом громадного значения: политически — потому что это подымает шансы сохранения мира; экономически - потому что это отсекает привходящие элементы и дает возможность нашим странам обсудить интересующие их вопросы на деловой почве; наконец, это открывает дорогу для взаимной кооперации. </w:t>
      </w:r>
    </w:p>
    <w:p w14:paraId="54D487F2"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Дюранти. Каков будет, по-вашему, возможный объем советско- американской торговли? </w:t>
      </w:r>
    </w:p>
    <w:p w14:paraId="78703078"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Сталин. Остается в силе то, что Литвинов сказал в Лондоне на экономической конференции. Мы - величайший в мире рынок и готовы заказывать и оплатить большое количество товаров. Но нам нужны благоприятные условия кредита и, более того, должны иметь уверенность в том, что сможем платить. Мы не можем импортировать без экспорта, потому что не хотим давать заказов, не имея уверенности, что сможем платить в срок. Все удивляются тому, что мы платим и можем платить. Я знаю, сейчас не принято платить по кредитам. Но мы делаем это. Другие государства приостановили платежи, но СССР этого не делает и не сделает. Многие думали, что мы не можем платить, что нам нечем платить, но мы показали им, что можем платить, и им пришлось признать это. </w:t>
      </w:r>
    </w:p>
    <w:p w14:paraId="03005878"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Дюранти. Как обстоит с вопросом о добыче золота в СССР? </w:t>
      </w:r>
    </w:p>
    <w:p w14:paraId="3F4EA439"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Сталин. У нас много золотоносных районов, и они быстро развиваются. Наша продукция уже вдвое превысила продукцию царского времени и дает сейчас более 100 млн руб. в год. Особенно за последние два года мы улучшили методы нашей разведочной работы и нашли большие запасы. Но наша промышленность еще молода - не только по золоту, но и по чугуну, стали, меди, по всей металлургии, и наша молодая индустрия не в силах пока оказать должную помощь золотой промышленности. Темпы развития у нас быстрые, но объем еще не велик. Мы могли бы в короткое время учетверить добычу золота, если бы имели больше драг и других машин. </w:t>
      </w:r>
    </w:p>
    <w:p w14:paraId="46FEF421"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Дюранти. Какова общая сумма советских кредитных обязательств за границей? </w:t>
      </w:r>
    </w:p>
    <w:p w14:paraId="3DE8632A"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Сталин. Немного более 450 млн руб. За последние годы мы выплатили большие суммы - два года тому назад наши кредитные обязательства равнялись 1400 млн. Все это мы выплатили и будем выплачивать в срок к концу 1934 г. или в начале 1935 [г.], в очередные сроки. </w:t>
      </w:r>
    </w:p>
    <w:p w14:paraId="17311F8C"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Дюранти. Допустим, что нет больше сомнений в советской готовности платить, но как обстоит дело с советской платежеспособностью? </w:t>
      </w:r>
    </w:p>
    <w:p w14:paraId="5293F6CE"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Сталин. </w:t>
      </w:r>
    </w:p>
    <w:p w14:paraId="1170187A"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У нас нет никакой разницы между первой и второй, потому что мы не берем на себя обязательств, которых не можем оплатить. Взгляните на наши экономические отношения с Германией. Германия объявила мораторий по значительной части своих заграничных долгов, и мы могли бы использовать германский прецедент и поступить так же точно по отношению к Германии. Но мы не делаем этого. А между тем мы сейчас уже не так зависим от германской промышленности, как прежде, мы можем сами изготовлять нужное нам оборудование. </w:t>
      </w:r>
    </w:p>
    <w:p w14:paraId="1467B96B"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Дюранти. Каково Ваше мнение об Америке? Я слышал, что у Вас была продолжительная беседа с Буллитом, какого Вы мнения о нем? Считаете ли Вы, как и три года тому назад, что наш кризис — как Вы сказали мне тогда - не является последним кризисом капитализма? </w:t>
      </w:r>
    </w:p>
    <w:p w14:paraId="6A410114"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Сталин. Буллит произвел на меня и на моих товарищей хорошее впечатление. Я никогда не встречал его до этого, но много слышал о нем от Ленина, которому он тоже нравился. Мне нравится в нем то, что он говорит не как обычный дипломат, - он человек прямой, говорит то, что думает. Он вообще произвел здесь очень хорошее впечатление. Рузвельт, по всем данным, решительный и мужественный политик. Есть такая философская система - солипсизм, заключающаяся в том, что человек не верит в существование внешнего мира и верит только в свое я. Долгое время казалось, что американское правительство придерживалось такой системы и не верит в существование СССР. Но Рузвельт, очевидно, не сторонник этой странной теории. Он реалист и знает, что действительность является такой, какой он ее видит. Что касается экономического кризиса, то он действительно не последний кризис. Конечно, кризис расшатал все дела, но в последнее время, кажется, дела начинают поправляться. Возможно, что наиболее низкая точка экономического упадка уже пройдена. Я не думаю, что удастся достигнуть подъема 1929 г., но переход от кризиса к депрессии и некоторому оживлению дел в ближайшее время, правда, с некоторыми колебаниями вверх и вниз не только не исключен, но, пожалуй, даже вероятен. </w:t>
      </w:r>
    </w:p>
    <w:p w14:paraId="5AD359D8"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Дюранти. А как насчет Японии? Сталин. Мы хотели бы иметь хорошие отношения с Японией, но, к сожалению, это зависит не только от нас. Если в Японии возьмет верх благоразумная политика, обе наши страны могут жить в дружбе. Но мы опасаемся, что воинствующие элементы могут оттеснить на задний план благоразумную политику. В этом действительная опасность, и мы вынуждены готовиться к ней. Ни один народ не может уважать свое правительство, если оно видит опасность нападения и не готовится к самозащите. </w:t>
      </w:r>
    </w:p>
    <w:p w14:paraId="792A9DCA"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Мне кажется, что со стороны Японии будет неразумным, если она нападет на СССР. Ее экономическое положение не особенно хорошо, у нее есть слабые места — Корея, Маньчжурия, Китай, и затем едва ли можно рассчитывать, что она получит поддержку в этой авантюре от других государств. К сожалению, хорошие военные специалисты не всегда хорошие экономисты, и не всегда они различают между силой оружия и силой законов экономики. </w:t>
      </w:r>
    </w:p>
    <w:p w14:paraId="72F444EB"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Дюранти. А как с Англией? </w:t>
      </w:r>
    </w:p>
    <w:p w14:paraId="2004D300"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Сталин. Я думаю, что торговый договор с Англией будет подписан и экономические отношения разовьются, поскольку консервативная партия должна понять, что они ничего не выиграли, ставя препятствия в торговле с СССР. Но я сомневаюсь, чтобы в теперешних условиях обе страны могли получить от торговли такие большие выгоды, как можно было бы предположить. </w:t>
      </w:r>
    </w:p>
    <w:p w14:paraId="741F6291"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Дюранти. Как Вы относитесь к вопросу о реформе Лиги наций в его итальянской постановке? </w:t>
      </w:r>
    </w:p>
    <w:p w14:paraId="73153E06"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Сталин. Мы не получали по этому поводу никаких предложений от Италии, хотя наш представитель и обсуждал с итальянцами этот вопрос. </w:t>
      </w:r>
    </w:p>
    <w:p w14:paraId="10F95502"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Дюранти. Всегда ли исключительно отрицательна ваша позиция в отношении Лиги наций? </w:t>
      </w:r>
    </w:p>
    <w:p w14:paraId="483EE5B3"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Сталин. Нет, не всегда и не при всяких условиях. Вы, пожалуй, не вполне понимаете нашу точку зрения. Несмотря на уход Германии и Японии из Лиги наций - или, может быть, именно поэтому, — Лига может стать некоторым тормозом для того, чтобы задержать возникновение военных действий или помешать им. Если это так, если Лига сможет оказаться неким бугорком на пути к тому, чтобы хотя бы несколько затруднить дело войны и облегчить в некоторой степени дело мира, то тогда мы не против Лиги. Да, если таков будет ход исторических событий, то не исключено, что мы поддержим Лигу наций, несмотря на ее колоссальные недостатки. </w:t>
      </w:r>
    </w:p>
    <w:p w14:paraId="2FFED1CE"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Дюранти. Что является сейчас наиболее важной проблемой внутренней политики СССР? </w:t>
      </w:r>
    </w:p>
    <w:p w14:paraId="5DC39424"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Сталин. Развертывание товарооборота между городом и деревней и усиление всех видов транспорта, особенно железнодорожного. Разрешение этих вопросов не так легко, но легче, чем те вопросы, которые мы уже решили, и я уверен, что мы разрешим их. Проблема промышленности решена. Проблему сельского хозяйства, крестьянско-колхоз- ную проблему — самую трудную проблему — можно считать уже решенной. Теперь надо решить проблему товарооборота и транспорта. </w:t>
      </w:r>
    </w:p>
    <w:p w14:paraId="33170DC8"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Россия и США </w:t>
      </w:r>
    </w:p>
    <w:p w14:paraId="1678904B" w14:textId="77777777" w:rsidR="00035F40" w:rsidRPr="00C33834" w:rsidRDefault="00035F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Печатается по: Известия. №4 (5252). 1934. 4 стр.; Документы внешней политики СССР. М. 1970. Т. XVI. С. 765-768 (12152).</w:t>
      </w:r>
    </w:p>
    <w:p w14:paraId="2A445089" w14:textId="77777777" w:rsidR="00035F40" w:rsidRPr="00C33834" w:rsidRDefault="00035F40" w:rsidP="00C33834">
      <w:pPr>
        <w:spacing w:after="0" w:line="240" w:lineRule="auto"/>
        <w:jc w:val="both"/>
        <w:rPr>
          <w:rFonts w:ascii="Times New Roman" w:hAnsi="Times New Roman"/>
          <w:color w:val="000000" w:themeColor="text1"/>
          <w:sz w:val="16"/>
          <w:szCs w:val="16"/>
        </w:rPr>
      </w:pPr>
    </w:p>
    <w:p w14:paraId="19D24F98" w14:textId="77777777" w:rsidR="00091E70" w:rsidRPr="00C33834" w:rsidRDefault="00091E7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 декабря 1933 г. на вопрос американского корреспондента "Нью-Йорк Тайме" У. Дюранти относительно торговли Сталин заявил: Советский Союз готов заказывать большое количество товаров, если только будут предоставлены кредиты. Пока его кредитные обязательства за границей составляют небольшую сумму — 450 млн руб., и она может быть погашена примерно через год или два. Правительство, отметил Сталин, платило по кредитам в срок, тогда как другие страны приостановили платежи. Утверждения, что СССР неплатежеспособен, неверны: он располагает достаточными финансовыми средствами для оплаты кредитов (18280).</w:t>
      </w:r>
    </w:p>
    <w:p w14:paraId="34443A0F" w14:textId="77777777" w:rsidR="00091E70" w:rsidRPr="00C33834" w:rsidRDefault="00091E70" w:rsidP="00C33834">
      <w:pPr>
        <w:spacing w:after="0" w:line="240" w:lineRule="auto"/>
        <w:jc w:val="both"/>
        <w:rPr>
          <w:rFonts w:ascii="Times New Roman" w:hAnsi="Times New Roman"/>
          <w:color w:val="000000" w:themeColor="text1"/>
          <w:sz w:val="16"/>
          <w:szCs w:val="16"/>
        </w:rPr>
      </w:pPr>
    </w:p>
    <w:p w14:paraId="387421FF"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A491797"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11AE1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декабря 1933 года был подготовлен Отчет о выполнении КОСОС"ом ЦАГИ за ноябрь 1933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717"/>
        <w:gridCol w:w="717"/>
        <w:gridCol w:w="717"/>
        <w:gridCol w:w="717"/>
        <w:gridCol w:w="717"/>
        <w:gridCol w:w="717"/>
        <w:gridCol w:w="717"/>
        <w:gridCol w:w="3200"/>
      </w:tblGrid>
      <w:tr w:rsidR="00F26F01" w:rsidRPr="00C33834" w14:paraId="5E2A2604" w14:textId="77777777">
        <w:tc>
          <w:tcPr>
            <w:tcW w:w="1809" w:type="dxa"/>
          </w:tcPr>
          <w:p w14:paraId="3F4B0A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Наименование</w:t>
            </w:r>
          </w:p>
        </w:tc>
        <w:tc>
          <w:tcPr>
            <w:tcW w:w="717" w:type="dxa"/>
          </w:tcPr>
          <w:p w14:paraId="3CEE1A5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Окончан. проект.</w:t>
            </w:r>
          </w:p>
        </w:tc>
        <w:tc>
          <w:tcPr>
            <w:tcW w:w="717" w:type="dxa"/>
          </w:tcPr>
          <w:p w14:paraId="1575F8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BC4F5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Выход на</w:t>
            </w:r>
          </w:p>
        </w:tc>
        <w:tc>
          <w:tcPr>
            <w:tcW w:w="717" w:type="dxa"/>
          </w:tcPr>
          <w:p w14:paraId="783BCE0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 часы</w:t>
            </w:r>
          </w:p>
        </w:tc>
        <w:tc>
          <w:tcPr>
            <w:tcW w:w="717" w:type="dxa"/>
          </w:tcPr>
          <w:p w14:paraId="295B1F0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7C25C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технич. готов.</w:t>
            </w:r>
          </w:p>
        </w:tc>
        <w:tc>
          <w:tcPr>
            <w:tcW w:w="717" w:type="dxa"/>
          </w:tcPr>
          <w:p w14:paraId="66740D4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D2EF99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Состояние работ</w:t>
            </w:r>
          </w:p>
        </w:tc>
      </w:tr>
      <w:tr w:rsidR="00F26F01" w:rsidRPr="00C33834" w14:paraId="65160271" w14:textId="77777777">
        <w:tc>
          <w:tcPr>
            <w:tcW w:w="1809" w:type="dxa"/>
          </w:tcPr>
          <w:p w14:paraId="120153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самолетов</w:t>
            </w:r>
          </w:p>
        </w:tc>
        <w:tc>
          <w:tcPr>
            <w:tcW w:w="717" w:type="dxa"/>
          </w:tcPr>
          <w:p w14:paraId="57F00C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w:t>
            </w:r>
          </w:p>
        </w:tc>
        <w:tc>
          <w:tcPr>
            <w:tcW w:w="717" w:type="dxa"/>
          </w:tcPr>
          <w:p w14:paraId="2F171D1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w:t>
            </w:r>
          </w:p>
        </w:tc>
        <w:tc>
          <w:tcPr>
            <w:tcW w:w="717" w:type="dxa"/>
          </w:tcPr>
          <w:p w14:paraId="24C38B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аэродром</w:t>
            </w:r>
          </w:p>
        </w:tc>
        <w:tc>
          <w:tcPr>
            <w:tcW w:w="717" w:type="dxa"/>
          </w:tcPr>
          <w:p w14:paraId="7CCD0FF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w:t>
            </w:r>
          </w:p>
        </w:tc>
        <w:tc>
          <w:tcPr>
            <w:tcW w:w="717" w:type="dxa"/>
          </w:tcPr>
          <w:p w14:paraId="61EA40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фактич.</w:t>
            </w:r>
          </w:p>
        </w:tc>
        <w:tc>
          <w:tcPr>
            <w:tcW w:w="717" w:type="dxa"/>
          </w:tcPr>
          <w:p w14:paraId="72BD7E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1/XI</w:t>
            </w:r>
          </w:p>
        </w:tc>
        <w:tc>
          <w:tcPr>
            <w:tcW w:w="717" w:type="dxa"/>
          </w:tcPr>
          <w:p w14:paraId="6AA73E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1/XII</w:t>
            </w:r>
          </w:p>
        </w:tc>
        <w:tc>
          <w:tcPr>
            <w:tcW w:w="3200" w:type="dxa"/>
          </w:tcPr>
          <w:p w14:paraId="2D16F7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BB160ED" w14:textId="77777777">
        <w:tc>
          <w:tcPr>
            <w:tcW w:w="1809" w:type="dxa"/>
          </w:tcPr>
          <w:p w14:paraId="18689B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026CBD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B6625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8C54CF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42694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плану</w:t>
            </w:r>
          </w:p>
        </w:tc>
        <w:tc>
          <w:tcPr>
            <w:tcW w:w="717" w:type="dxa"/>
          </w:tcPr>
          <w:p w14:paraId="672EB8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642E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5855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3DB35F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6561094" w14:textId="77777777">
        <w:tc>
          <w:tcPr>
            <w:tcW w:w="1809" w:type="dxa"/>
          </w:tcPr>
          <w:p w14:paraId="1EE0400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 - 4-й</w:t>
            </w:r>
          </w:p>
        </w:tc>
        <w:tc>
          <w:tcPr>
            <w:tcW w:w="717" w:type="dxa"/>
          </w:tcPr>
          <w:p w14:paraId="1C056E3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1762F3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1/Х-32</w:t>
            </w:r>
          </w:p>
        </w:tc>
        <w:tc>
          <w:tcPr>
            <w:tcW w:w="717" w:type="dxa"/>
          </w:tcPr>
          <w:p w14:paraId="4A1AB6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11/VII-33</w:t>
            </w:r>
          </w:p>
        </w:tc>
        <w:tc>
          <w:tcPr>
            <w:tcW w:w="717" w:type="dxa"/>
          </w:tcPr>
          <w:p w14:paraId="7DE9FD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650</w:t>
            </w:r>
          </w:p>
        </w:tc>
        <w:tc>
          <w:tcPr>
            <w:tcW w:w="717" w:type="dxa"/>
          </w:tcPr>
          <w:p w14:paraId="14C0DD9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549</w:t>
            </w:r>
          </w:p>
        </w:tc>
        <w:tc>
          <w:tcPr>
            <w:tcW w:w="717" w:type="dxa"/>
          </w:tcPr>
          <w:p w14:paraId="460119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2EFB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C7A2E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Закончено проектирование</w:t>
            </w:r>
          </w:p>
        </w:tc>
      </w:tr>
      <w:tr w:rsidR="00F26F01" w:rsidRPr="00C33834" w14:paraId="60A65C68" w14:textId="77777777">
        <w:tc>
          <w:tcPr>
            <w:tcW w:w="1809" w:type="dxa"/>
          </w:tcPr>
          <w:p w14:paraId="0EC6ED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08601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FFD651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71BC40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3C070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E5E4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A83B1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92EC31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1FFE2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серво-руля, велась</w:t>
            </w:r>
          </w:p>
        </w:tc>
      </w:tr>
      <w:tr w:rsidR="00F26F01" w:rsidRPr="00C33834" w14:paraId="12E1D533" w14:textId="77777777">
        <w:tc>
          <w:tcPr>
            <w:tcW w:w="1809" w:type="dxa"/>
          </w:tcPr>
          <w:p w14:paraId="6933EF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88271A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F4EA44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70204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369E2C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2D590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BD94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EFF6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DDA830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переделка хвостового</w:t>
            </w:r>
          </w:p>
        </w:tc>
      </w:tr>
      <w:tr w:rsidR="00F26F01" w:rsidRPr="00C33834" w14:paraId="65D7F682" w14:textId="77777777">
        <w:tc>
          <w:tcPr>
            <w:tcW w:w="1809" w:type="dxa"/>
          </w:tcPr>
          <w:p w14:paraId="7CBCD2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2EC20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7AE6C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97AF6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4098D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23455E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CD185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D0D54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36647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оперения.</w:t>
            </w:r>
          </w:p>
        </w:tc>
      </w:tr>
      <w:tr w:rsidR="00F26F01" w:rsidRPr="00C33834" w14:paraId="64DC104D" w14:textId="77777777">
        <w:tc>
          <w:tcPr>
            <w:tcW w:w="1809" w:type="dxa"/>
          </w:tcPr>
          <w:p w14:paraId="2918CA7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МГ агит.</w:t>
            </w:r>
          </w:p>
        </w:tc>
        <w:tc>
          <w:tcPr>
            <w:tcW w:w="717" w:type="dxa"/>
          </w:tcPr>
          <w:p w14:paraId="371B3C8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1/IV-34</w:t>
            </w:r>
          </w:p>
        </w:tc>
        <w:tc>
          <w:tcPr>
            <w:tcW w:w="717" w:type="dxa"/>
          </w:tcPr>
          <w:p w14:paraId="2AECC01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5792C2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3430D1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16690</w:t>
            </w:r>
          </w:p>
        </w:tc>
        <w:tc>
          <w:tcPr>
            <w:tcW w:w="717" w:type="dxa"/>
          </w:tcPr>
          <w:p w14:paraId="4FE9C28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14916</w:t>
            </w:r>
          </w:p>
        </w:tc>
        <w:tc>
          <w:tcPr>
            <w:tcW w:w="717" w:type="dxa"/>
          </w:tcPr>
          <w:p w14:paraId="55D9851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77,4</w:t>
            </w:r>
          </w:p>
        </w:tc>
        <w:tc>
          <w:tcPr>
            <w:tcW w:w="717" w:type="dxa"/>
          </w:tcPr>
          <w:p w14:paraId="14D3DC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83,7</w:t>
            </w:r>
          </w:p>
        </w:tc>
        <w:tc>
          <w:tcPr>
            <w:tcW w:w="3200" w:type="dxa"/>
          </w:tcPr>
          <w:p w14:paraId="1ECACB0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w:t>
            </w:r>
          </w:p>
        </w:tc>
      </w:tr>
      <w:tr w:rsidR="00F26F01" w:rsidRPr="00C33834" w14:paraId="7C1F49CB" w14:textId="77777777">
        <w:tc>
          <w:tcPr>
            <w:tcW w:w="1809" w:type="dxa"/>
          </w:tcPr>
          <w:p w14:paraId="696A59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0102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1D517D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70145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CAFC3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43AEB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5EE5B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A9F68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07B0F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характеризуется следующ.</w:t>
            </w:r>
          </w:p>
        </w:tc>
      </w:tr>
      <w:tr w:rsidR="00F26F01" w:rsidRPr="00C33834" w14:paraId="3129024A" w14:textId="77777777">
        <w:tc>
          <w:tcPr>
            <w:tcW w:w="1809" w:type="dxa"/>
          </w:tcPr>
          <w:p w14:paraId="575EE8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00FB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3AB07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340DAD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A1943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34D3F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B4D1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AD102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F4C676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цифрами: фюзеляж доведен</w:t>
            </w:r>
          </w:p>
        </w:tc>
      </w:tr>
      <w:tr w:rsidR="00F26F01" w:rsidRPr="00C33834" w14:paraId="33446181" w14:textId="77777777">
        <w:tc>
          <w:tcPr>
            <w:tcW w:w="1809" w:type="dxa"/>
          </w:tcPr>
          <w:p w14:paraId="0D49993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B86AB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86062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4B7C9C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C4426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33B6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E060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DD635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DD22E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98%, крыло - 98%,</w:t>
            </w:r>
          </w:p>
        </w:tc>
      </w:tr>
      <w:tr w:rsidR="00F26F01" w:rsidRPr="00C33834" w14:paraId="2A8EEC07" w14:textId="77777777">
        <w:tc>
          <w:tcPr>
            <w:tcW w:w="1809" w:type="dxa"/>
          </w:tcPr>
          <w:p w14:paraId="615D64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6DA36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C7CA4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4B1A1D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D9A87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C56B8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5DDBD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B702D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5F59CD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управление - 95%, мотор.</w:t>
            </w:r>
          </w:p>
        </w:tc>
      </w:tr>
      <w:tr w:rsidR="00F26F01" w:rsidRPr="00C33834" w14:paraId="1DC70C12" w14:textId="77777777">
        <w:tc>
          <w:tcPr>
            <w:tcW w:w="1809" w:type="dxa"/>
          </w:tcPr>
          <w:p w14:paraId="48018F0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ED9BC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226AE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0EF23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12921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1F254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8AAA4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5744B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9744D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оборудование - 75%,</w:t>
            </w:r>
          </w:p>
        </w:tc>
      </w:tr>
      <w:tr w:rsidR="00F26F01" w:rsidRPr="00C33834" w14:paraId="52BF0583" w14:textId="77777777">
        <w:tc>
          <w:tcPr>
            <w:tcW w:w="1809" w:type="dxa"/>
          </w:tcPr>
          <w:p w14:paraId="7826DA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5A27A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54055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02D889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DDDEFB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642C1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A12ED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3323C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94262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моторама - 97%, хвостов.</w:t>
            </w:r>
          </w:p>
        </w:tc>
      </w:tr>
      <w:tr w:rsidR="00F26F01" w:rsidRPr="00C33834" w14:paraId="7BA655B8" w14:textId="77777777">
        <w:tc>
          <w:tcPr>
            <w:tcW w:w="1809" w:type="dxa"/>
          </w:tcPr>
          <w:p w14:paraId="0543668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5C03C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AE2B73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9AB0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76ABA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49172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ADA14B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B5A75B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863E7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оперение 70%,передвижен.</w:t>
            </w:r>
          </w:p>
        </w:tc>
      </w:tr>
      <w:tr w:rsidR="00F26F01" w:rsidRPr="00C33834" w14:paraId="729CFA54" w14:textId="77777777">
        <w:tc>
          <w:tcPr>
            <w:tcW w:w="1809" w:type="dxa"/>
          </w:tcPr>
          <w:p w14:paraId="37335C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8688B2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B026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C963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DF4D10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402E9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C01C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B0516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D3483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98%, оборудование 20%.</w:t>
            </w:r>
          </w:p>
        </w:tc>
      </w:tr>
      <w:tr w:rsidR="00F26F01" w:rsidRPr="00C33834" w14:paraId="60CC63EC" w14:textId="77777777">
        <w:tc>
          <w:tcPr>
            <w:tcW w:w="1809" w:type="dxa"/>
          </w:tcPr>
          <w:p w14:paraId="0B3C69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 6-й</w:t>
            </w:r>
          </w:p>
        </w:tc>
        <w:tc>
          <w:tcPr>
            <w:tcW w:w="717" w:type="dxa"/>
          </w:tcPr>
          <w:p w14:paraId="27B82A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 г.</w:t>
            </w:r>
          </w:p>
        </w:tc>
        <w:tc>
          <w:tcPr>
            <w:tcW w:w="717" w:type="dxa"/>
          </w:tcPr>
          <w:p w14:paraId="5F441B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52DE745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3B219B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8710</w:t>
            </w:r>
          </w:p>
        </w:tc>
        <w:tc>
          <w:tcPr>
            <w:tcW w:w="717" w:type="dxa"/>
          </w:tcPr>
          <w:p w14:paraId="13450D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7260</w:t>
            </w:r>
          </w:p>
        </w:tc>
        <w:tc>
          <w:tcPr>
            <w:tcW w:w="717" w:type="dxa"/>
          </w:tcPr>
          <w:p w14:paraId="5B19079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5,8</w:t>
            </w:r>
          </w:p>
        </w:tc>
        <w:tc>
          <w:tcPr>
            <w:tcW w:w="717" w:type="dxa"/>
          </w:tcPr>
          <w:p w14:paraId="6A451B6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w:t>
            </w:r>
          </w:p>
        </w:tc>
        <w:tc>
          <w:tcPr>
            <w:tcW w:w="3200" w:type="dxa"/>
          </w:tcPr>
          <w:p w14:paraId="7839E9D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ведется по плану,</w:t>
            </w:r>
          </w:p>
        </w:tc>
      </w:tr>
      <w:tr w:rsidR="00F26F01" w:rsidRPr="00C33834" w14:paraId="67D705A7" w14:textId="77777777">
        <w:tc>
          <w:tcPr>
            <w:tcW w:w="1809" w:type="dxa"/>
          </w:tcPr>
          <w:p w14:paraId="1C2242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6F6B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28B278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F79339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7BE4E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C61DA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D6C2E9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A4517A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7A81FC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идут гл. образом расчеты</w:t>
            </w:r>
          </w:p>
        </w:tc>
      </w:tr>
      <w:tr w:rsidR="00F26F01" w:rsidRPr="00C33834" w14:paraId="3E19ACF8" w14:textId="77777777">
        <w:tc>
          <w:tcPr>
            <w:tcW w:w="1809" w:type="dxa"/>
          </w:tcPr>
          <w:p w14:paraId="3F00D00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ТБ-6 пасс.</w:t>
            </w:r>
          </w:p>
        </w:tc>
        <w:tc>
          <w:tcPr>
            <w:tcW w:w="717" w:type="dxa"/>
          </w:tcPr>
          <w:p w14:paraId="1D3885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установлен.</w:t>
            </w:r>
          </w:p>
        </w:tc>
        <w:tc>
          <w:tcPr>
            <w:tcW w:w="717" w:type="dxa"/>
          </w:tcPr>
          <w:p w14:paraId="1C5D3F7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057C5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0246EF0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717" w:type="dxa"/>
          </w:tcPr>
          <w:p w14:paraId="764C21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w:t>
            </w:r>
          </w:p>
        </w:tc>
        <w:tc>
          <w:tcPr>
            <w:tcW w:w="717" w:type="dxa"/>
          </w:tcPr>
          <w:p w14:paraId="61A57C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24B1DD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200" w:type="dxa"/>
          </w:tcPr>
          <w:p w14:paraId="5698C71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Увязки бытового оборуд.</w:t>
            </w:r>
          </w:p>
        </w:tc>
      </w:tr>
      <w:tr w:rsidR="00F26F01" w:rsidRPr="00C33834" w14:paraId="22C59E82" w14:textId="77777777">
        <w:tc>
          <w:tcPr>
            <w:tcW w:w="1809" w:type="dxa"/>
          </w:tcPr>
          <w:p w14:paraId="7A0D7F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ЛДР-4 опытн.</w:t>
            </w:r>
          </w:p>
        </w:tc>
        <w:tc>
          <w:tcPr>
            <w:tcW w:w="717" w:type="dxa"/>
          </w:tcPr>
          <w:p w14:paraId="72D226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15/XII-33 г.</w:t>
            </w:r>
          </w:p>
        </w:tc>
        <w:tc>
          <w:tcPr>
            <w:tcW w:w="717" w:type="dxa"/>
          </w:tcPr>
          <w:p w14:paraId="032BE5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61BE0F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3692F2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6130</w:t>
            </w:r>
          </w:p>
        </w:tc>
        <w:tc>
          <w:tcPr>
            <w:tcW w:w="717" w:type="dxa"/>
          </w:tcPr>
          <w:p w14:paraId="3E6EDA6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5711</w:t>
            </w:r>
          </w:p>
        </w:tc>
        <w:tc>
          <w:tcPr>
            <w:tcW w:w="717" w:type="dxa"/>
          </w:tcPr>
          <w:p w14:paraId="3DBD14C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99,1</w:t>
            </w:r>
          </w:p>
        </w:tc>
        <w:tc>
          <w:tcPr>
            <w:tcW w:w="717" w:type="dxa"/>
          </w:tcPr>
          <w:p w14:paraId="19D215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200" w:type="dxa"/>
          </w:tcPr>
          <w:p w14:paraId="2B92334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Конструкция с-та</w:t>
            </w:r>
          </w:p>
        </w:tc>
      </w:tr>
      <w:tr w:rsidR="00F26F01" w:rsidRPr="00C33834" w14:paraId="74B1CB26" w14:textId="77777777">
        <w:tc>
          <w:tcPr>
            <w:tcW w:w="1809" w:type="dxa"/>
          </w:tcPr>
          <w:p w14:paraId="125E9C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B2011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1E0DE6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C0990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9BAFD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9C09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E29BE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7949C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20F6C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закончена, ведутся</w:t>
            </w:r>
          </w:p>
        </w:tc>
      </w:tr>
      <w:tr w:rsidR="00F26F01" w:rsidRPr="00C33834" w14:paraId="0E2350A6" w14:textId="77777777">
        <w:tc>
          <w:tcPr>
            <w:tcW w:w="1809" w:type="dxa"/>
          </w:tcPr>
          <w:p w14:paraId="63CB5E2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E6CC1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2F64D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3D776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1BAE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B0406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485CD6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C26981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FA5FE8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по серво-рулю.</w:t>
            </w:r>
          </w:p>
        </w:tc>
      </w:tr>
      <w:tr w:rsidR="00F26F01" w:rsidRPr="00C33834" w14:paraId="56232899" w14:textId="77777777">
        <w:tc>
          <w:tcPr>
            <w:tcW w:w="1809" w:type="dxa"/>
          </w:tcPr>
          <w:p w14:paraId="7BD9B99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B17B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E32B2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FBB9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203B73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399D3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F45CB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8D28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9517C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Велись работы по винтам,</w:t>
            </w:r>
          </w:p>
        </w:tc>
      </w:tr>
      <w:tr w:rsidR="00F26F01" w:rsidRPr="00C33834" w14:paraId="7A8B5A37" w14:textId="77777777">
        <w:tc>
          <w:tcPr>
            <w:tcW w:w="1809" w:type="dxa"/>
          </w:tcPr>
          <w:p w14:paraId="1DD962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A2D3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C87B4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D33BC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C849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C1EE0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4D5E4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B2A20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BFED70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закончен 2-й, вариант </w:t>
            </w:r>
          </w:p>
        </w:tc>
      </w:tr>
      <w:tr w:rsidR="00F26F01" w:rsidRPr="00C33834" w14:paraId="5D701B20" w14:textId="77777777">
        <w:tc>
          <w:tcPr>
            <w:tcW w:w="1809" w:type="dxa"/>
          </w:tcPr>
          <w:p w14:paraId="4F10DE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5402AD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B7BE0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9015F5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4B470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53099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A3CBE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3D26C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A8FE5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1-й и 3 варианты</w:t>
            </w:r>
          </w:p>
        </w:tc>
      </w:tr>
      <w:tr w:rsidR="00F26F01" w:rsidRPr="00C33834" w14:paraId="67BF220C" w14:textId="77777777">
        <w:tc>
          <w:tcPr>
            <w:tcW w:w="1809" w:type="dxa"/>
          </w:tcPr>
          <w:p w14:paraId="30CD8E2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8D3BE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41B9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A81EF7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CCD4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DFDD01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D248C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3F04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2A2B9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предполагают закончить в</w:t>
            </w:r>
          </w:p>
        </w:tc>
      </w:tr>
      <w:tr w:rsidR="00F26F01" w:rsidRPr="00C33834" w14:paraId="40319E1D" w14:textId="77777777">
        <w:tc>
          <w:tcPr>
            <w:tcW w:w="1809" w:type="dxa"/>
          </w:tcPr>
          <w:p w14:paraId="2A8A1D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F91C4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19D9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8B9A3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4B968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7EAFF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D68B9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9404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A87360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декабре. Мото-оборудов. </w:t>
            </w:r>
          </w:p>
        </w:tc>
      </w:tr>
      <w:tr w:rsidR="00F26F01" w:rsidRPr="00C33834" w14:paraId="2890C412" w14:textId="77777777">
        <w:tc>
          <w:tcPr>
            <w:tcW w:w="1809" w:type="dxa"/>
          </w:tcPr>
          <w:p w14:paraId="4A8B8F0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FA1C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42C5B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4CF0C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112B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CFDA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00116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4C1DD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C6A642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основном закончено.</w:t>
            </w:r>
          </w:p>
        </w:tc>
      </w:tr>
      <w:tr w:rsidR="00F26F01" w:rsidRPr="00C33834" w14:paraId="6780B240" w14:textId="77777777">
        <w:tc>
          <w:tcPr>
            <w:tcW w:w="1809" w:type="dxa"/>
          </w:tcPr>
          <w:p w14:paraId="54BEBE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МК 1-й</w:t>
            </w:r>
          </w:p>
        </w:tc>
        <w:tc>
          <w:tcPr>
            <w:tcW w:w="717" w:type="dxa"/>
          </w:tcPr>
          <w:p w14:paraId="3493BEA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20/VII</w:t>
            </w:r>
          </w:p>
        </w:tc>
        <w:tc>
          <w:tcPr>
            <w:tcW w:w="717" w:type="dxa"/>
          </w:tcPr>
          <w:p w14:paraId="230637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Х/33 г.</w:t>
            </w:r>
          </w:p>
        </w:tc>
        <w:tc>
          <w:tcPr>
            <w:tcW w:w="717" w:type="dxa"/>
          </w:tcPr>
          <w:p w14:paraId="4080AF9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3DDFF3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3740</w:t>
            </w:r>
          </w:p>
        </w:tc>
        <w:tc>
          <w:tcPr>
            <w:tcW w:w="717" w:type="dxa"/>
          </w:tcPr>
          <w:p w14:paraId="1693B6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3507</w:t>
            </w:r>
          </w:p>
        </w:tc>
        <w:tc>
          <w:tcPr>
            <w:tcW w:w="717" w:type="dxa"/>
          </w:tcPr>
          <w:p w14:paraId="3BCDDD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717" w:type="dxa"/>
          </w:tcPr>
          <w:p w14:paraId="63AD4D9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3200" w:type="dxa"/>
          </w:tcPr>
          <w:p w14:paraId="0A8691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Конструкция самолета</w:t>
            </w:r>
          </w:p>
        </w:tc>
      </w:tr>
      <w:tr w:rsidR="00F26F01" w:rsidRPr="00C33834" w14:paraId="3FE7DA66" w14:textId="77777777">
        <w:tc>
          <w:tcPr>
            <w:tcW w:w="1809" w:type="dxa"/>
          </w:tcPr>
          <w:p w14:paraId="4F4330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FA64E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A11AF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39104D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D7371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0DB69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70498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AC102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9850A4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закончена, ведутся также</w:t>
            </w:r>
          </w:p>
        </w:tc>
      </w:tr>
      <w:tr w:rsidR="00F26F01" w:rsidRPr="00C33834" w14:paraId="01B9C89C" w14:textId="77777777">
        <w:tc>
          <w:tcPr>
            <w:tcW w:w="1809" w:type="dxa"/>
          </w:tcPr>
          <w:p w14:paraId="3CB253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027CA1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180EE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A46F70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7EB8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76305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299E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7BBEC1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F5DEF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по серво-рулю и</w:t>
            </w:r>
          </w:p>
        </w:tc>
      </w:tr>
      <w:tr w:rsidR="00F26F01" w:rsidRPr="00C33834" w14:paraId="493D16DA" w14:textId="77777777">
        <w:tc>
          <w:tcPr>
            <w:tcW w:w="1809" w:type="dxa"/>
          </w:tcPr>
          <w:p w14:paraId="4F51CA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FD976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49FAA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C5CD7F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D665B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C09EE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4072C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2379DE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AB0BC8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заканчивается</w:t>
            </w:r>
          </w:p>
        </w:tc>
      </w:tr>
      <w:tr w:rsidR="00F26F01" w:rsidRPr="00C33834" w14:paraId="3C314E5F" w14:textId="77777777">
        <w:tc>
          <w:tcPr>
            <w:tcW w:w="1809" w:type="dxa"/>
          </w:tcPr>
          <w:p w14:paraId="47A28F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69CC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D127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5EC24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F4666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AE0659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DA5E7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0BAD2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A2A84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установок</w:t>
            </w:r>
          </w:p>
        </w:tc>
      </w:tr>
      <w:tr w:rsidR="00F26F01" w:rsidRPr="00C33834" w14:paraId="4A1DAC6D" w14:textId="77777777">
        <w:tc>
          <w:tcPr>
            <w:tcW w:w="1809" w:type="dxa"/>
          </w:tcPr>
          <w:p w14:paraId="4A9864B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35C57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97E0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93B4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E872A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277B3D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53C2D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A1F0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F9960A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вооружения. Ведется</w:t>
            </w:r>
          </w:p>
        </w:tc>
      </w:tr>
      <w:tr w:rsidR="00F26F01" w:rsidRPr="00C33834" w14:paraId="7D11256E" w14:textId="77777777">
        <w:tc>
          <w:tcPr>
            <w:tcW w:w="1809" w:type="dxa"/>
          </w:tcPr>
          <w:p w14:paraId="6F6CAF8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97D23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66997D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BF42F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1DB04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A419B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200E60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78637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30334E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по 2-му и 3-му</w:t>
            </w:r>
          </w:p>
        </w:tc>
      </w:tr>
      <w:tr w:rsidR="00F26F01" w:rsidRPr="00C33834" w14:paraId="634937F4" w14:textId="77777777">
        <w:tc>
          <w:tcPr>
            <w:tcW w:w="1809" w:type="dxa"/>
          </w:tcPr>
          <w:p w14:paraId="15D5F0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87EF8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8FD53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6FC17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F5D34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B945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FAF1C0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BD3FE0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EC554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варианту винтов.</w:t>
            </w:r>
          </w:p>
        </w:tc>
      </w:tr>
      <w:tr w:rsidR="00F26F01" w:rsidRPr="00C33834" w14:paraId="7A582B61" w14:textId="77777777">
        <w:tc>
          <w:tcPr>
            <w:tcW w:w="1809" w:type="dxa"/>
          </w:tcPr>
          <w:p w14:paraId="0AF4753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МДР-4 голов.</w:t>
            </w:r>
          </w:p>
        </w:tc>
        <w:tc>
          <w:tcPr>
            <w:tcW w:w="717" w:type="dxa"/>
          </w:tcPr>
          <w:p w14:paraId="5F4196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1/II-34</w:t>
            </w:r>
          </w:p>
        </w:tc>
        <w:tc>
          <w:tcPr>
            <w:tcW w:w="717" w:type="dxa"/>
          </w:tcPr>
          <w:p w14:paraId="722BE6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36199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8050C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w:t>
            </w:r>
          </w:p>
        </w:tc>
        <w:tc>
          <w:tcPr>
            <w:tcW w:w="717" w:type="dxa"/>
          </w:tcPr>
          <w:p w14:paraId="14A6DD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634</w:t>
            </w:r>
          </w:p>
        </w:tc>
        <w:tc>
          <w:tcPr>
            <w:tcW w:w="717" w:type="dxa"/>
          </w:tcPr>
          <w:p w14:paraId="609E557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41EFC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D978F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Начаты работы по</w:t>
            </w:r>
          </w:p>
        </w:tc>
      </w:tr>
      <w:tr w:rsidR="00F26F01" w:rsidRPr="00C33834" w14:paraId="3D5B0571" w14:textId="77777777">
        <w:tc>
          <w:tcPr>
            <w:tcW w:w="1809" w:type="dxa"/>
          </w:tcPr>
          <w:p w14:paraId="23852E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7647DA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362D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A6BA9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4473F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2192D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0A05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27C856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E1742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проектированию лодки.</w:t>
            </w:r>
          </w:p>
        </w:tc>
      </w:tr>
      <w:tr w:rsidR="00F26F01" w:rsidRPr="00C33834" w14:paraId="6BB470FE" w14:textId="77777777">
        <w:tc>
          <w:tcPr>
            <w:tcW w:w="1809" w:type="dxa"/>
          </w:tcPr>
          <w:p w14:paraId="67EC97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ДИП опытн.</w:t>
            </w:r>
          </w:p>
        </w:tc>
        <w:tc>
          <w:tcPr>
            <w:tcW w:w="717" w:type="dxa"/>
          </w:tcPr>
          <w:p w14:paraId="7A76D5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1/III-34</w:t>
            </w:r>
          </w:p>
        </w:tc>
        <w:tc>
          <w:tcPr>
            <w:tcW w:w="717" w:type="dxa"/>
          </w:tcPr>
          <w:p w14:paraId="3BF8A4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CFB63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78EF32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3605</w:t>
            </w:r>
          </w:p>
        </w:tc>
        <w:tc>
          <w:tcPr>
            <w:tcW w:w="717" w:type="dxa"/>
          </w:tcPr>
          <w:p w14:paraId="221364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2785</w:t>
            </w:r>
          </w:p>
        </w:tc>
        <w:tc>
          <w:tcPr>
            <w:tcW w:w="717" w:type="dxa"/>
          </w:tcPr>
          <w:p w14:paraId="5CF61A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72,2</w:t>
            </w:r>
          </w:p>
        </w:tc>
        <w:tc>
          <w:tcPr>
            <w:tcW w:w="717" w:type="dxa"/>
          </w:tcPr>
          <w:p w14:paraId="686209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73,4</w:t>
            </w:r>
          </w:p>
        </w:tc>
        <w:tc>
          <w:tcPr>
            <w:tcW w:w="3200" w:type="dxa"/>
          </w:tcPr>
          <w:p w14:paraId="1403AA9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Велись следующие работы:</w:t>
            </w:r>
          </w:p>
        </w:tc>
      </w:tr>
      <w:tr w:rsidR="00F26F01" w:rsidRPr="00C33834" w14:paraId="48DDD422" w14:textId="77777777">
        <w:tc>
          <w:tcPr>
            <w:tcW w:w="1809" w:type="dxa"/>
          </w:tcPr>
          <w:p w14:paraId="045FB01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5F256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CE628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B0B1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9994A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CB81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31925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C7AF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19B2B6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передняя часть фюзеляжа</w:t>
            </w:r>
          </w:p>
        </w:tc>
      </w:tr>
      <w:tr w:rsidR="00F26F01" w:rsidRPr="00C33834" w14:paraId="14959552" w14:textId="77777777">
        <w:tc>
          <w:tcPr>
            <w:tcW w:w="1809" w:type="dxa"/>
          </w:tcPr>
          <w:p w14:paraId="011FE6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FDBC2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C193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938E3A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81FB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A5863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19F1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E62C8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EBD05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доведена до 50%, вооруж.</w:t>
            </w:r>
          </w:p>
        </w:tc>
      </w:tr>
      <w:tr w:rsidR="00F26F01" w:rsidRPr="00C33834" w14:paraId="3BAE9278" w14:textId="77777777">
        <w:tc>
          <w:tcPr>
            <w:tcW w:w="1809" w:type="dxa"/>
          </w:tcPr>
          <w:p w14:paraId="498E35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A9E0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30928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15A61F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6E03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9B320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DA6C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0878B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B0CF8B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управление с-том</w:t>
            </w:r>
          </w:p>
        </w:tc>
      </w:tr>
      <w:tr w:rsidR="00F26F01" w:rsidRPr="00C33834" w14:paraId="25B4A384" w14:textId="77777777">
        <w:tc>
          <w:tcPr>
            <w:tcW w:w="1809" w:type="dxa"/>
          </w:tcPr>
          <w:p w14:paraId="3335E7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FFE9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9B9A3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D7826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703D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E78CA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70C1A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67176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9C9970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 мотооборудование</w:t>
            </w:r>
          </w:p>
        </w:tc>
      </w:tr>
      <w:tr w:rsidR="00F26F01" w:rsidRPr="00C33834" w14:paraId="5401C259" w14:textId="77777777">
        <w:tc>
          <w:tcPr>
            <w:tcW w:w="1809" w:type="dxa"/>
          </w:tcPr>
          <w:p w14:paraId="1DF1D7F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1F716D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F3416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4E9D5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F6B8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0BDC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428E2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F812D0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9AA44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и по шасси.</w:t>
            </w:r>
          </w:p>
        </w:tc>
      </w:tr>
      <w:tr w:rsidR="00F26F01" w:rsidRPr="00C33834" w14:paraId="7937093B" w14:textId="77777777">
        <w:tc>
          <w:tcPr>
            <w:tcW w:w="1809" w:type="dxa"/>
          </w:tcPr>
          <w:p w14:paraId="6289B46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дуб.</w:t>
            </w:r>
          </w:p>
        </w:tc>
        <w:tc>
          <w:tcPr>
            <w:tcW w:w="717" w:type="dxa"/>
          </w:tcPr>
          <w:p w14:paraId="57DBF9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1/XII-33</w:t>
            </w:r>
          </w:p>
        </w:tc>
        <w:tc>
          <w:tcPr>
            <w:tcW w:w="717" w:type="dxa"/>
          </w:tcPr>
          <w:p w14:paraId="2D1050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5EADA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DC332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3445</w:t>
            </w:r>
          </w:p>
        </w:tc>
        <w:tc>
          <w:tcPr>
            <w:tcW w:w="717" w:type="dxa"/>
          </w:tcPr>
          <w:p w14:paraId="44689D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5316</w:t>
            </w:r>
          </w:p>
        </w:tc>
        <w:tc>
          <w:tcPr>
            <w:tcW w:w="717" w:type="dxa"/>
          </w:tcPr>
          <w:p w14:paraId="7C7F3B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96,6</w:t>
            </w:r>
          </w:p>
        </w:tc>
        <w:tc>
          <w:tcPr>
            <w:tcW w:w="717" w:type="dxa"/>
          </w:tcPr>
          <w:p w14:paraId="3825215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200" w:type="dxa"/>
          </w:tcPr>
          <w:p w14:paraId="037D4E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 по конструкции</w:t>
            </w:r>
          </w:p>
        </w:tc>
      </w:tr>
      <w:tr w:rsidR="00F26F01" w:rsidRPr="00C33834" w14:paraId="1156CD87" w14:textId="77777777">
        <w:tc>
          <w:tcPr>
            <w:tcW w:w="1809" w:type="dxa"/>
          </w:tcPr>
          <w:p w14:paraId="4F6A27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88979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12B4B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4F58B1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AE5C6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BF6373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B21E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F3EE6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B19A1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с-та велась по плану,</w:t>
            </w:r>
          </w:p>
        </w:tc>
      </w:tr>
      <w:tr w:rsidR="00F26F01" w:rsidRPr="00C33834" w14:paraId="7A95641A" w14:textId="77777777">
        <w:tc>
          <w:tcPr>
            <w:tcW w:w="1809" w:type="dxa"/>
          </w:tcPr>
          <w:p w14:paraId="4A1775D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11032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56606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610FFE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3710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762E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E1DB0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F9BA9A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1C841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идет замена</w:t>
            </w:r>
          </w:p>
        </w:tc>
      </w:tr>
      <w:tr w:rsidR="00F26F01" w:rsidRPr="00C33834" w14:paraId="7D01E817" w14:textId="77777777">
        <w:tc>
          <w:tcPr>
            <w:tcW w:w="1809" w:type="dxa"/>
          </w:tcPr>
          <w:p w14:paraId="502E3F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3B34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F56726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27037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0598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FC2D90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10D68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62060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D8EDE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обшивки крыла вместо</w:t>
            </w:r>
          </w:p>
        </w:tc>
      </w:tr>
      <w:tr w:rsidR="00F26F01" w:rsidRPr="00C33834" w14:paraId="1DD023DA" w14:textId="77777777">
        <w:tc>
          <w:tcPr>
            <w:tcW w:w="1809" w:type="dxa"/>
          </w:tcPr>
          <w:p w14:paraId="4D31B8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8415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128B8D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48DD0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05397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D99B1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41E98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4E02AE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6D9D5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гофра гладкая.</w:t>
            </w:r>
          </w:p>
        </w:tc>
      </w:tr>
      <w:tr w:rsidR="00F26F01" w:rsidRPr="00C33834" w14:paraId="5F00EE68" w14:textId="77777777">
        <w:tc>
          <w:tcPr>
            <w:tcW w:w="1809" w:type="dxa"/>
          </w:tcPr>
          <w:p w14:paraId="54FC360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 дуб.</w:t>
            </w:r>
          </w:p>
        </w:tc>
        <w:tc>
          <w:tcPr>
            <w:tcW w:w="717" w:type="dxa"/>
          </w:tcPr>
          <w:p w14:paraId="6AB201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1/XI-33</w:t>
            </w:r>
          </w:p>
        </w:tc>
        <w:tc>
          <w:tcPr>
            <w:tcW w:w="717" w:type="dxa"/>
          </w:tcPr>
          <w:p w14:paraId="49E83D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935F8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9C5A3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3950</w:t>
            </w:r>
          </w:p>
        </w:tc>
        <w:tc>
          <w:tcPr>
            <w:tcW w:w="717" w:type="dxa"/>
          </w:tcPr>
          <w:p w14:paraId="3E1F3CE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4262</w:t>
            </w:r>
          </w:p>
        </w:tc>
        <w:tc>
          <w:tcPr>
            <w:tcW w:w="717" w:type="dxa"/>
          </w:tcPr>
          <w:p w14:paraId="4F7008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0841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FB99E7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Ведутся работы по</w:t>
            </w:r>
          </w:p>
        </w:tc>
      </w:tr>
      <w:tr w:rsidR="00F26F01" w:rsidRPr="00C33834" w14:paraId="38459E33" w14:textId="77777777">
        <w:tc>
          <w:tcPr>
            <w:tcW w:w="1809" w:type="dxa"/>
          </w:tcPr>
          <w:p w14:paraId="41C6E7F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BCF2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AD0C5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BEA5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F2D2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893674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EEE99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D8305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66629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вооружению, винтам,</w:t>
            </w:r>
          </w:p>
        </w:tc>
      </w:tr>
      <w:tr w:rsidR="00F26F01" w:rsidRPr="00C33834" w14:paraId="49F6813F" w14:textId="77777777">
        <w:tc>
          <w:tcPr>
            <w:tcW w:w="1809" w:type="dxa"/>
          </w:tcPr>
          <w:p w14:paraId="61D2ECF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DA4CF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C6D21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7728C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6350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2276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2007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C0994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CC4EE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одновременно идет и</w:t>
            </w:r>
          </w:p>
        </w:tc>
      </w:tr>
      <w:tr w:rsidR="00F26F01" w:rsidRPr="00C33834" w14:paraId="080E1BE5" w14:textId="77777777">
        <w:tc>
          <w:tcPr>
            <w:tcW w:w="1809" w:type="dxa"/>
          </w:tcPr>
          <w:p w14:paraId="10C92B1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87366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E3FAC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BDC6B5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20F6F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2816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E06D0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743B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41015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сдача серийных чертежей</w:t>
            </w:r>
          </w:p>
        </w:tc>
      </w:tr>
      <w:tr w:rsidR="00F26F01" w:rsidRPr="00C33834" w14:paraId="2E3BCA31" w14:textId="77777777">
        <w:tc>
          <w:tcPr>
            <w:tcW w:w="1809" w:type="dxa"/>
          </w:tcPr>
          <w:p w14:paraId="2050C96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64B4A8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7652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3390A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47A8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E21B0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D6ECEC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EFFC4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53430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зав. N 22 по</w:t>
            </w:r>
          </w:p>
        </w:tc>
      </w:tr>
      <w:tr w:rsidR="00F26F01" w:rsidRPr="00C33834" w14:paraId="51B59B09" w14:textId="77777777">
        <w:tc>
          <w:tcPr>
            <w:tcW w:w="1809" w:type="dxa"/>
          </w:tcPr>
          <w:p w14:paraId="46C88A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6847B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7E27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9BB96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C7965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375FA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F5D4B1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9162E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2F1CF9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мотооборудованию велись</w:t>
            </w:r>
          </w:p>
        </w:tc>
      </w:tr>
      <w:tr w:rsidR="00F26F01" w:rsidRPr="00C33834" w14:paraId="0DDD8C58" w14:textId="77777777">
        <w:tc>
          <w:tcPr>
            <w:tcW w:w="1809" w:type="dxa"/>
          </w:tcPr>
          <w:p w14:paraId="3F09978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E0758D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AE8AD9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B58403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3A446F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4322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7E795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10285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8B835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закончены выхлопа,</w:t>
            </w:r>
          </w:p>
        </w:tc>
      </w:tr>
      <w:tr w:rsidR="00F26F01" w:rsidRPr="00C33834" w14:paraId="1A18F473" w14:textId="77777777">
        <w:tc>
          <w:tcPr>
            <w:tcW w:w="1809" w:type="dxa"/>
          </w:tcPr>
          <w:p w14:paraId="075DC2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0A84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7C0E5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3F72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40B2B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B99EF5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7EC15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8CC8C1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A27F61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подогрев и масляная</w:t>
            </w:r>
          </w:p>
        </w:tc>
      </w:tr>
      <w:tr w:rsidR="00F26F01" w:rsidRPr="00C33834" w14:paraId="1A1BEB41" w14:textId="77777777">
        <w:tc>
          <w:tcPr>
            <w:tcW w:w="1809" w:type="dxa"/>
          </w:tcPr>
          <w:p w14:paraId="4A66B1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0BB01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14017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D316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7073D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D22B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8E334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5E9D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BDE4C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система.</w:t>
            </w:r>
          </w:p>
        </w:tc>
      </w:tr>
      <w:tr w:rsidR="00F26F01" w:rsidRPr="00C33834" w14:paraId="6F412813" w14:textId="77777777">
        <w:tc>
          <w:tcPr>
            <w:tcW w:w="1809" w:type="dxa"/>
          </w:tcPr>
          <w:p w14:paraId="3C1CDEE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 1-й</w:t>
            </w:r>
          </w:p>
        </w:tc>
        <w:tc>
          <w:tcPr>
            <w:tcW w:w="717" w:type="dxa"/>
          </w:tcPr>
          <w:p w14:paraId="3AA0FA6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1/IX-34</w:t>
            </w:r>
          </w:p>
        </w:tc>
        <w:tc>
          <w:tcPr>
            <w:tcW w:w="717" w:type="dxa"/>
          </w:tcPr>
          <w:p w14:paraId="4CB3D0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94A4C3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25A058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1985</w:t>
            </w:r>
          </w:p>
        </w:tc>
        <w:tc>
          <w:tcPr>
            <w:tcW w:w="717" w:type="dxa"/>
          </w:tcPr>
          <w:p w14:paraId="72933DC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2037</w:t>
            </w:r>
          </w:p>
        </w:tc>
        <w:tc>
          <w:tcPr>
            <w:tcW w:w="717" w:type="dxa"/>
          </w:tcPr>
          <w:p w14:paraId="15B5A9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72,5</w:t>
            </w:r>
          </w:p>
        </w:tc>
        <w:tc>
          <w:tcPr>
            <w:tcW w:w="717" w:type="dxa"/>
          </w:tcPr>
          <w:p w14:paraId="752417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73,8</w:t>
            </w:r>
          </w:p>
        </w:tc>
        <w:tc>
          <w:tcPr>
            <w:tcW w:w="3200" w:type="dxa"/>
          </w:tcPr>
          <w:p w14:paraId="0498A6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лбразом идет работа</w:t>
            </w:r>
          </w:p>
        </w:tc>
      </w:tr>
      <w:tr w:rsidR="00F26F01" w:rsidRPr="00C33834" w14:paraId="6A43A515" w14:textId="77777777">
        <w:tc>
          <w:tcPr>
            <w:tcW w:w="1809" w:type="dxa"/>
          </w:tcPr>
          <w:p w14:paraId="31AB60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69F3B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C5C0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E823B1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2180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15AE3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D4A2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5F35D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DA0BB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вооружению. Закончены</w:t>
            </w:r>
          </w:p>
        </w:tc>
      </w:tr>
      <w:tr w:rsidR="00F26F01" w:rsidRPr="00C33834" w14:paraId="7C9FB62D" w14:textId="77777777">
        <w:tc>
          <w:tcPr>
            <w:tcW w:w="1809" w:type="dxa"/>
          </w:tcPr>
          <w:p w14:paraId="4020F7F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D5705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64350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67023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DCD09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DF4D6D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4E1F3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3EE5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6F553E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КД-2,</w:t>
            </w:r>
          </w:p>
        </w:tc>
      </w:tr>
      <w:tr w:rsidR="00F26F01" w:rsidRPr="00C33834" w14:paraId="3AB2A740" w14:textId="77777777">
        <w:tc>
          <w:tcPr>
            <w:tcW w:w="1809" w:type="dxa"/>
          </w:tcPr>
          <w:p w14:paraId="161CDB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2080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F72F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EF73A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34892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97ECC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6F86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7D2F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A81A5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управление перезаряжен.</w:t>
            </w:r>
          </w:p>
        </w:tc>
      </w:tr>
      <w:tr w:rsidR="00F26F01" w:rsidRPr="00C33834" w14:paraId="37CE1405" w14:textId="77777777">
        <w:tc>
          <w:tcPr>
            <w:tcW w:w="1809" w:type="dxa"/>
          </w:tcPr>
          <w:p w14:paraId="72C705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82677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6B841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A7B27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D76FF9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36F9E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1EBEE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8F956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262EA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размещение</w:t>
            </w:r>
          </w:p>
        </w:tc>
      </w:tr>
      <w:tr w:rsidR="00F26F01" w:rsidRPr="00C33834" w14:paraId="1D2CB044" w14:textId="77777777">
        <w:tc>
          <w:tcPr>
            <w:tcW w:w="1809" w:type="dxa"/>
          </w:tcPr>
          <w:p w14:paraId="77E2DF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59205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DE50F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9C73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809018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8B3D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4D0B0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0D5C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CAE13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электропуска.</w:t>
            </w:r>
          </w:p>
        </w:tc>
      </w:tr>
      <w:tr w:rsidR="00F26F01" w:rsidRPr="00C33834" w14:paraId="6E4D9861" w14:textId="77777777">
        <w:tc>
          <w:tcPr>
            <w:tcW w:w="1809" w:type="dxa"/>
          </w:tcPr>
          <w:p w14:paraId="5672EE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Глиссер-6</w:t>
            </w:r>
          </w:p>
        </w:tc>
        <w:tc>
          <w:tcPr>
            <w:tcW w:w="717" w:type="dxa"/>
          </w:tcPr>
          <w:p w14:paraId="12420C5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1/III-35</w:t>
            </w:r>
          </w:p>
        </w:tc>
        <w:tc>
          <w:tcPr>
            <w:tcW w:w="717" w:type="dxa"/>
          </w:tcPr>
          <w:p w14:paraId="0AE05C1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38D8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DD89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6755</w:t>
            </w:r>
          </w:p>
        </w:tc>
        <w:tc>
          <w:tcPr>
            <w:tcW w:w="717" w:type="dxa"/>
          </w:tcPr>
          <w:p w14:paraId="4CF536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6123</w:t>
            </w:r>
          </w:p>
        </w:tc>
        <w:tc>
          <w:tcPr>
            <w:tcW w:w="717" w:type="dxa"/>
          </w:tcPr>
          <w:p w14:paraId="763057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37A23F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200" w:type="dxa"/>
          </w:tcPr>
          <w:p w14:paraId="667695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ведутся по плану.</w:t>
            </w:r>
          </w:p>
        </w:tc>
      </w:tr>
      <w:tr w:rsidR="00F26F01" w:rsidRPr="00C33834" w14:paraId="7E659180" w14:textId="77777777">
        <w:tc>
          <w:tcPr>
            <w:tcW w:w="1809" w:type="dxa"/>
          </w:tcPr>
          <w:p w14:paraId="31DBC1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Аэросани</w:t>
            </w:r>
          </w:p>
        </w:tc>
        <w:tc>
          <w:tcPr>
            <w:tcW w:w="717" w:type="dxa"/>
          </w:tcPr>
          <w:p w14:paraId="56AA1D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1/II-34</w:t>
            </w:r>
          </w:p>
        </w:tc>
        <w:tc>
          <w:tcPr>
            <w:tcW w:w="717" w:type="dxa"/>
          </w:tcPr>
          <w:p w14:paraId="572836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CCB95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430F5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1600</w:t>
            </w:r>
          </w:p>
        </w:tc>
        <w:tc>
          <w:tcPr>
            <w:tcW w:w="717" w:type="dxa"/>
          </w:tcPr>
          <w:p w14:paraId="4CB16F6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1098</w:t>
            </w:r>
          </w:p>
        </w:tc>
        <w:tc>
          <w:tcPr>
            <w:tcW w:w="717" w:type="dxa"/>
          </w:tcPr>
          <w:p w14:paraId="4E0C801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509BB85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200" w:type="dxa"/>
          </w:tcPr>
          <w:p w14:paraId="00FCD4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Состояние работ по саням</w:t>
            </w:r>
          </w:p>
        </w:tc>
      </w:tr>
      <w:tr w:rsidR="00F26F01" w:rsidRPr="00C33834" w14:paraId="3F3B757F" w14:textId="77777777">
        <w:tc>
          <w:tcPr>
            <w:tcW w:w="1809" w:type="dxa"/>
          </w:tcPr>
          <w:p w14:paraId="198BC7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278E8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36E2C7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4AD332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38FB8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BA051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61932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A57FC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C7E2A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характеризуются</w:t>
            </w:r>
          </w:p>
        </w:tc>
      </w:tr>
      <w:tr w:rsidR="00F26F01" w:rsidRPr="00C33834" w14:paraId="0D2CCB2F" w14:textId="77777777">
        <w:tc>
          <w:tcPr>
            <w:tcW w:w="1809" w:type="dxa"/>
          </w:tcPr>
          <w:p w14:paraId="671770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93C8B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2BF75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133E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B5472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1BE738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6341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E54E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C066A6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следующими %%: шасси 5%,</w:t>
            </w:r>
          </w:p>
        </w:tc>
      </w:tr>
      <w:tr w:rsidR="00F26F01" w:rsidRPr="00C33834" w14:paraId="7EEEF5E6" w14:textId="77777777">
        <w:tc>
          <w:tcPr>
            <w:tcW w:w="1809" w:type="dxa"/>
          </w:tcPr>
          <w:p w14:paraId="0A7B94C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0773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2F273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A4CF63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8E56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8DC18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9468AE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4B63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126F76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управление - 40%,</w:t>
            </w:r>
          </w:p>
        </w:tc>
      </w:tr>
      <w:tr w:rsidR="00F26F01" w:rsidRPr="00C33834" w14:paraId="461D1D7E" w14:textId="77777777">
        <w:tc>
          <w:tcPr>
            <w:tcW w:w="1809" w:type="dxa"/>
          </w:tcPr>
          <w:p w14:paraId="305C689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42498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EE1E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1BE57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53F8BA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1DD7C0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8ECFEA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F11C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AD706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мотооборудование 20%,</w:t>
            </w:r>
          </w:p>
        </w:tc>
      </w:tr>
      <w:tr w:rsidR="00F26F01" w:rsidRPr="00C33834" w14:paraId="251EA5C1" w14:textId="77777777">
        <w:tc>
          <w:tcPr>
            <w:tcW w:w="1809" w:type="dxa"/>
          </w:tcPr>
          <w:p w14:paraId="66014B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ABD60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E32CCF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EE5D8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86BB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C814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CD1A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46BF30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C5648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корпус 15,5%, лыжи 17%,</w:t>
            </w:r>
          </w:p>
        </w:tc>
      </w:tr>
      <w:tr w:rsidR="00F26F01" w:rsidRPr="00C33834" w14:paraId="5FAF83AD" w14:textId="77777777">
        <w:tc>
          <w:tcPr>
            <w:tcW w:w="1809" w:type="dxa"/>
          </w:tcPr>
          <w:p w14:paraId="23C9A32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985A2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B6235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475B8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340BE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5D885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8CDD2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D0D91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C9809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расчеты 33%.</w:t>
            </w:r>
          </w:p>
        </w:tc>
      </w:tr>
      <w:tr w:rsidR="00F26F01" w:rsidRPr="00C33834" w14:paraId="668B4F14" w14:textId="77777777">
        <w:tc>
          <w:tcPr>
            <w:tcW w:w="1809" w:type="dxa"/>
          </w:tcPr>
          <w:p w14:paraId="6B5B6A3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АНТ-38</w:t>
            </w:r>
          </w:p>
        </w:tc>
        <w:tc>
          <w:tcPr>
            <w:tcW w:w="717" w:type="dxa"/>
          </w:tcPr>
          <w:p w14:paraId="2D06050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1/VI-35</w:t>
            </w:r>
          </w:p>
        </w:tc>
        <w:tc>
          <w:tcPr>
            <w:tcW w:w="717" w:type="dxa"/>
          </w:tcPr>
          <w:p w14:paraId="5AFB1F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02C1C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7D083E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420</w:t>
            </w:r>
          </w:p>
        </w:tc>
        <w:tc>
          <w:tcPr>
            <w:tcW w:w="717" w:type="dxa"/>
          </w:tcPr>
          <w:p w14:paraId="7560E69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369</w:t>
            </w:r>
          </w:p>
        </w:tc>
        <w:tc>
          <w:tcPr>
            <w:tcW w:w="717" w:type="dxa"/>
          </w:tcPr>
          <w:p w14:paraId="217B3F7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103EA7F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200" w:type="dxa"/>
          </w:tcPr>
          <w:p w14:paraId="4EBDE87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Предварительные изыскан.</w:t>
            </w:r>
          </w:p>
        </w:tc>
      </w:tr>
      <w:tr w:rsidR="00F26F01" w:rsidRPr="00C33834" w14:paraId="089045D7" w14:textId="77777777">
        <w:tc>
          <w:tcPr>
            <w:tcW w:w="1809" w:type="dxa"/>
          </w:tcPr>
          <w:p w14:paraId="0965A12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МДР-4 пас.</w:t>
            </w:r>
          </w:p>
        </w:tc>
        <w:tc>
          <w:tcPr>
            <w:tcW w:w="717" w:type="dxa"/>
          </w:tcPr>
          <w:p w14:paraId="1AE475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1/VIII-34</w:t>
            </w:r>
          </w:p>
        </w:tc>
        <w:tc>
          <w:tcPr>
            <w:tcW w:w="717" w:type="dxa"/>
          </w:tcPr>
          <w:p w14:paraId="496EB85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A319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06F46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717" w:type="dxa"/>
          </w:tcPr>
          <w:p w14:paraId="30DBEE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c>
          <w:tcPr>
            <w:tcW w:w="717" w:type="dxa"/>
          </w:tcPr>
          <w:p w14:paraId="006192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3A35D00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200" w:type="dxa"/>
          </w:tcPr>
          <w:p w14:paraId="3D79E69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Разработка общего вида.</w:t>
            </w:r>
          </w:p>
        </w:tc>
      </w:tr>
      <w:tr w:rsidR="00F26F01" w:rsidRPr="00C33834" w14:paraId="769FD70E" w14:textId="77777777">
        <w:tc>
          <w:tcPr>
            <w:tcW w:w="1809" w:type="dxa"/>
          </w:tcPr>
          <w:p w14:paraId="21D3FC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АНТ-35</w:t>
            </w:r>
          </w:p>
        </w:tc>
        <w:tc>
          <w:tcPr>
            <w:tcW w:w="717" w:type="dxa"/>
          </w:tcPr>
          <w:p w14:paraId="5C9651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1/VIII-34</w:t>
            </w:r>
          </w:p>
        </w:tc>
        <w:tc>
          <w:tcPr>
            <w:tcW w:w="717" w:type="dxa"/>
          </w:tcPr>
          <w:p w14:paraId="0DBE1C8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15983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207FD7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295</w:t>
            </w:r>
          </w:p>
        </w:tc>
        <w:tc>
          <w:tcPr>
            <w:tcW w:w="717" w:type="dxa"/>
          </w:tcPr>
          <w:p w14:paraId="3792FF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265</w:t>
            </w:r>
          </w:p>
        </w:tc>
        <w:tc>
          <w:tcPr>
            <w:tcW w:w="717" w:type="dxa"/>
          </w:tcPr>
          <w:p w14:paraId="1D67035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13F7C7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200" w:type="dxa"/>
          </w:tcPr>
          <w:p w14:paraId="23A4716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Разработка общего вида.</w:t>
            </w:r>
          </w:p>
        </w:tc>
      </w:tr>
      <w:tr w:rsidR="00F26F01" w:rsidRPr="00C33834" w14:paraId="45458E2F" w14:textId="77777777">
        <w:tc>
          <w:tcPr>
            <w:tcW w:w="1809" w:type="dxa"/>
          </w:tcPr>
          <w:p w14:paraId="6D0A355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Самолеты в серию.</w:t>
            </w:r>
          </w:p>
        </w:tc>
        <w:tc>
          <w:tcPr>
            <w:tcW w:w="717" w:type="dxa"/>
          </w:tcPr>
          <w:p w14:paraId="3BAD0AD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884E7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DADBDA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D5146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20585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8E9DFE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3FC5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C8715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6059583" w14:textId="77777777">
        <w:tc>
          <w:tcPr>
            <w:tcW w:w="1809" w:type="dxa"/>
          </w:tcPr>
          <w:p w14:paraId="186C8B8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М.Г. в.в.</w:t>
            </w:r>
          </w:p>
        </w:tc>
        <w:tc>
          <w:tcPr>
            <w:tcW w:w="717" w:type="dxa"/>
          </w:tcPr>
          <w:p w14:paraId="173257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1/V-34</w:t>
            </w:r>
          </w:p>
        </w:tc>
        <w:tc>
          <w:tcPr>
            <w:tcW w:w="717" w:type="dxa"/>
          </w:tcPr>
          <w:p w14:paraId="0165A45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5DFF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81391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1815</w:t>
            </w:r>
          </w:p>
        </w:tc>
        <w:tc>
          <w:tcPr>
            <w:tcW w:w="717" w:type="dxa"/>
          </w:tcPr>
          <w:p w14:paraId="61C7A85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2499</w:t>
            </w:r>
          </w:p>
        </w:tc>
        <w:tc>
          <w:tcPr>
            <w:tcW w:w="717" w:type="dxa"/>
          </w:tcPr>
          <w:p w14:paraId="439307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937B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701AA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Разработка серийных</w:t>
            </w:r>
          </w:p>
        </w:tc>
      </w:tr>
      <w:tr w:rsidR="00F26F01" w:rsidRPr="00C33834" w14:paraId="1DC75C05" w14:textId="77777777">
        <w:tc>
          <w:tcPr>
            <w:tcW w:w="1809" w:type="dxa"/>
          </w:tcPr>
          <w:p w14:paraId="7F45B4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2F6FD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E3300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4B54B1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0F6C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C549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7B0D81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5FCF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4A9B66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чертежей по ф. 1, ф.2,</w:t>
            </w:r>
          </w:p>
        </w:tc>
      </w:tr>
      <w:tr w:rsidR="00F26F01" w:rsidRPr="00C33834" w14:paraId="1C777504" w14:textId="77777777">
        <w:tc>
          <w:tcPr>
            <w:tcW w:w="1809" w:type="dxa"/>
          </w:tcPr>
          <w:p w14:paraId="0421F40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9C4E1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86CD17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1ACF83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3BBD13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5606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40323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D487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368F47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ф3 и ф4, центроплану,</w:t>
            </w:r>
          </w:p>
        </w:tc>
      </w:tr>
      <w:tr w:rsidR="00F26F01" w:rsidRPr="00C33834" w14:paraId="62939368" w14:textId="77777777">
        <w:tc>
          <w:tcPr>
            <w:tcW w:w="1809" w:type="dxa"/>
          </w:tcPr>
          <w:p w14:paraId="2DD0D0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EE070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347D6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08788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E0579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0ACA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0198A3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ED794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F783B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отъемной части крыла.</w:t>
            </w:r>
          </w:p>
        </w:tc>
      </w:tr>
      <w:tr w:rsidR="00F26F01" w:rsidRPr="00C33834" w14:paraId="13B799C2" w14:textId="77777777">
        <w:tc>
          <w:tcPr>
            <w:tcW w:w="1809" w:type="dxa"/>
          </w:tcPr>
          <w:p w14:paraId="528ADE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М.Г. пас. в.</w:t>
            </w:r>
          </w:p>
        </w:tc>
        <w:tc>
          <w:tcPr>
            <w:tcW w:w="717" w:type="dxa"/>
          </w:tcPr>
          <w:p w14:paraId="348355F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1/V-34</w:t>
            </w:r>
          </w:p>
        </w:tc>
        <w:tc>
          <w:tcPr>
            <w:tcW w:w="717" w:type="dxa"/>
          </w:tcPr>
          <w:p w14:paraId="2D8677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A9D39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CBEFDE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285</w:t>
            </w:r>
          </w:p>
        </w:tc>
        <w:tc>
          <w:tcPr>
            <w:tcW w:w="717" w:type="dxa"/>
          </w:tcPr>
          <w:p w14:paraId="661E987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244</w:t>
            </w:r>
          </w:p>
        </w:tc>
        <w:tc>
          <w:tcPr>
            <w:tcW w:w="717" w:type="dxa"/>
          </w:tcPr>
          <w:p w14:paraId="3ECC3DD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w:t>
            </w:r>
          </w:p>
        </w:tc>
        <w:tc>
          <w:tcPr>
            <w:tcW w:w="717" w:type="dxa"/>
          </w:tcPr>
          <w:p w14:paraId="3C6D19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w:t>
            </w:r>
          </w:p>
        </w:tc>
        <w:tc>
          <w:tcPr>
            <w:tcW w:w="3200" w:type="dxa"/>
          </w:tcPr>
          <w:p w14:paraId="407641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Заканчивается работа по</w:t>
            </w:r>
          </w:p>
        </w:tc>
      </w:tr>
      <w:tr w:rsidR="00F26F01" w:rsidRPr="00C33834" w14:paraId="100766A4" w14:textId="77777777">
        <w:tc>
          <w:tcPr>
            <w:tcW w:w="1809" w:type="dxa"/>
          </w:tcPr>
          <w:p w14:paraId="059267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A0BE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DB26BD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0E0E4D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EB7C0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A65C6F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D8FC45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F6BC45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458718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 чертежам пассажир.</w:t>
            </w:r>
          </w:p>
        </w:tc>
      </w:tr>
      <w:tr w:rsidR="00F26F01" w:rsidRPr="00C33834" w14:paraId="2A14DC2F" w14:textId="77777777">
        <w:tc>
          <w:tcPr>
            <w:tcW w:w="1809" w:type="dxa"/>
          </w:tcPr>
          <w:p w14:paraId="06F94FF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7D548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4218A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C3871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9222C0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F00355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60AAC1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2798AC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BCE07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оборудования.</w:t>
            </w:r>
          </w:p>
        </w:tc>
      </w:tr>
      <w:tr w:rsidR="00F26F01" w:rsidRPr="00C33834" w14:paraId="125DF027" w14:textId="77777777">
        <w:tc>
          <w:tcPr>
            <w:tcW w:w="1809" w:type="dxa"/>
          </w:tcPr>
          <w:p w14:paraId="7D4FD34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АНТ-14 в/в</w:t>
            </w:r>
          </w:p>
        </w:tc>
        <w:tc>
          <w:tcPr>
            <w:tcW w:w="717" w:type="dxa"/>
          </w:tcPr>
          <w:p w14:paraId="7A6A6E8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III кв. 34</w:t>
            </w:r>
          </w:p>
        </w:tc>
        <w:tc>
          <w:tcPr>
            <w:tcW w:w="717" w:type="dxa"/>
          </w:tcPr>
          <w:p w14:paraId="601F93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60E6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E76A3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3555</w:t>
            </w:r>
          </w:p>
        </w:tc>
        <w:tc>
          <w:tcPr>
            <w:tcW w:w="717" w:type="dxa"/>
          </w:tcPr>
          <w:p w14:paraId="685F9C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2762</w:t>
            </w:r>
          </w:p>
        </w:tc>
        <w:tc>
          <w:tcPr>
            <w:tcW w:w="717" w:type="dxa"/>
          </w:tcPr>
          <w:p w14:paraId="371492F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B5781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709145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Подготовка чертежей </w:t>
            </w:r>
          </w:p>
        </w:tc>
      </w:tr>
      <w:tr w:rsidR="00F26F01" w:rsidRPr="00C33834" w14:paraId="08E8F759" w14:textId="77777777">
        <w:tc>
          <w:tcPr>
            <w:tcW w:w="1809" w:type="dxa"/>
          </w:tcPr>
          <w:p w14:paraId="38D2B1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5F16C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CBDB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CA482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E2D509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7990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1A5168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5D4C7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74B90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вооружения (кассетные</w:t>
            </w:r>
          </w:p>
        </w:tc>
      </w:tr>
      <w:tr w:rsidR="00F26F01" w:rsidRPr="00C33834" w14:paraId="4EE4522E" w14:textId="77777777">
        <w:tc>
          <w:tcPr>
            <w:tcW w:w="1809" w:type="dxa"/>
          </w:tcPr>
          <w:p w14:paraId="6C65CD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80DC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28EA42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53B126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63EBF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03D05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00019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D6CA9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12761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балки и установки их,</w:t>
            </w:r>
          </w:p>
        </w:tc>
      </w:tr>
      <w:tr w:rsidR="00F26F01" w:rsidRPr="00C33834" w14:paraId="1CCEAECB" w14:textId="77777777">
        <w:tc>
          <w:tcPr>
            <w:tcW w:w="1809" w:type="dxa"/>
          </w:tcPr>
          <w:p w14:paraId="2831987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1B1BF7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B0B8D6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3C79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07DF0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50453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0C0E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A4D7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5E8BE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проводка АСТ) по</w:t>
            </w:r>
          </w:p>
        </w:tc>
      </w:tr>
      <w:tr w:rsidR="00F26F01" w:rsidRPr="00C33834" w14:paraId="213659EE" w14:textId="77777777">
        <w:tc>
          <w:tcPr>
            <w:tcW w:w="1809" w:type="dxa"/>
          </w:tcPr>
          <w:p w14:paraId="401467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D67D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4A0E2D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2B2F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C5EEA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60BE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08690A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6840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B7561D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самолетной части: ф-1,</w:t>
            </w:r>
          </w:p>
        </w:tc>
      </w:tr>
      <w:tr w:rsidR="00F26F01" w:rsidRPr="00C33834" w14:paraId="6875BAEA" w14:textId="77777777">
        <w:tc>
          <w:tcPr>
            <w:tcW w:w="1809" w:type="dxa"/>
          </w:tcPr>
          <w:p w14:paraId="3D24D27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8AB9C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9C5F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001FA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CB23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0CC4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3E1EC9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D3E9BE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5F08D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ф-4 и грузовому отсеку.</w:t>
            </w:r>
          </w:p>
        </w:tc>
      </w:tr>
      <w:tr w:rsidR="00F26F01" w:rsidRPr="00C33834" w14:paraId="5A635B7E" w14:textId="77777777">
        <w:tc>
          <w:tcPr>
            <w:tcW w:w="1809" w:type="dxa"/>
          </w:tcPr>
          <w:p w14:paraId="07909F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МК-1 сер.</w:t>
            </w:r>
          </w:p>
        </w:tc>
        <w:tc>
          <w:tcPr>
            <w:tcW w:w="717" w:type="dxa"/>
          </w:tcPr>
          <w:p w14:paraId="523127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10/I-34</w:t>
            </w:r>
          </w:p>
        </w:tc>
        <w:tc>
          <w:tcPr>
            <w:tcW w:w="717" w:type="dxa"/>
          </w:tcPr>
          <w:p w14:paraId="42C666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05310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DA52B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3645</w:t>
            </w:r>
          </w:p>
        </w:tc>
        <w:tc>
          <w:tcPr>
            <w:tcW w:w="717" w:type="dxa"/>
          </w:tcPr>
          <w:p w14:paraId="6474133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3502</w:t>
            </w:r>
          </w:p>
        </w:tc>
        <w:tc>
          <w:tcPr>
            <w:tcW w:w="717" w:type="dxa"/>
          </w:tcPr>
          <w:p w14:paraId="5412CFD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0BD67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D2AB4B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Исполнен следующий объем</w:t>
            </w:r>
          </w:p>
        </w:tc>
      </w:tr>
      <w:tr w:rsidR="00F26F01" w:rsidRPr="00C33834" w14:paraId="3F1FE8BF" w14:textId="77777777">
        <w:tc>
          <w:tcPr>
            <w:tcW w:w="1809" w:type="dxa"/>
          </w:tcPr>
          <w:p w14:paraId="30B9E58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A6AC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32C09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B8451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35E9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545A7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4798C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1BC92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A4B8AF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работ по сдаче в серию. </w:t>
            </w:r>
          </w:p>
        </w:tc>
      </w:tr>
      <w:tr w:rsidR="00F26F01" w:rsidRPr="00C33834" w14:paraId="7C481BB6" w14:textId="77777777">
        <w:tc>
          <w:tcPr>
            <w:tcW w:w="1809" w:type="dxa"/>
          </w:tcPr>
          <w:p w14:paraId="4630C3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7C21C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BDAA5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33D17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9B7F3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00C11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4FC0B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4D96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F9D30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Центроплан 45%, лодка</w:t>
            </w:r>
          </w:p>
        </w:tc>
      </w:tr>
      <w:tr w:rsidR="00F26F01" w:rsidRPr="00C33834" w14:paraId="66A99BC1" w14:textId="77777777">
        <w:tc>
          <w:tcPr>
            <w:tcW w:w="1809" w:type="dxa"/>
          </w:tcPr>
          <w:p w14:paraId="755C04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26D9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730C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BAD2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2BFC3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378463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82988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6E8FD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890661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97%, киль 65%, управлен.</w:t>
            </w:r>
          </w:p>
        </w:tc>
      </w:tr>
      <w:tr w:rsidR="00F26F01" w:rsidRPr="00C33834" w14:paraId="00E7F7B9" w14:textId="77777777">
        <w:tc>
          <w:tcPr>
            <w:tcW w:w="1809" w:type="dxa"/>
          </w:tcPr>
          <w:p w14:paraId="13C930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85D367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AFF30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AE12F6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BE3DC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F8C3E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23E0D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18E1E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446F3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описание с-та 30%.</w:t>
            </w:r>
          </w:p>
        </w:tc>
      </w:tr>
      <w:tr w:rsidR="00F26F01" w:rsidRPr="00C33834" w14:paraId="0B024CBF" w14:textId="77777777">
        <w:tc>
          <w:tcPr>
            <w:tcW w:w="1809" w:type="dxa"/>
          </w:tcPr>
          <w:p w14:paraId="5E1723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МДР-4 сер.</w:t>
            </w:r>
          </w:p>
        </w:tc>
        <w:tc>
          <w:tcPr>
            <w:tcW w:w="717" w:type="dxa"/>
          </w:tcPr>
          <w:p w14:paraId="38ADBE0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15/II-34</w:t>
            </w:r>
          </w:p>
        </w:tc>
        <w:tc>
          <w:tcPr>
            <w:tcW w:w="717" w:type="dxa"/>
          </w:tcPr>
          <w:p w14:paraId="7C5F224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8B3BA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1F5EC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1640</w:t>
            </w:r>
          </w:p>
        </w:tc>
        <w:tc>
          <w:tcPr>
            <w:tcW w:w="717" w:type="dxa"/>
          </w:tcPr>
          <w:p w14:paraId="628956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2048</w:t>
            </w:r>
          </w:p>
        </w:tc>
        <w:tc>
          <w:tcPr>
            <w:tcW w:w="717" w:type="dxa"/>
          </w:tcPr>
          <w:p w14:paraId="49C930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65335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12F34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Закончена предварительн.</w:t>
            </w:r>
          </w:p>
        </w:tc>
      </w:tr>
      <w:tr w:rsidR="00F26F01" w:rsidRPr="00C33834" w14:paraId="223D4CC9" w14:textId="77777777">
        <w:tc>
          <w:tcPr>
            <w:tcW w:w="1809" w:type="dxa"/>
          </w:tcPr>
          <w:p w14:paraId="7246E97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777A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ADB5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16ED7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CA0F5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FBDD9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706A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5B3AF3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95663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разработка чертежей по</w:t>
            </w:r>
          </w:p>
        </w:tc>
      </w:tr>
      <w:tr w:rsidR="00F26F01" w:rsidRPr="00C33834" w14:paraId="63EDECB8" w14:textId="77777777">
        <w:tc>
          <w:tcPr>
            <w:tcW w:w="1809" w:type="dxa"/>
          </w:tcPr>
          <w:p w14:paraId="24B78F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118D6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0DB8CD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B656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B21D3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CD14D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5A5C7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3E4B2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7A1C4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вооружению, ведется по</w:t>
            </w:r>
          </w:p>
        </w:tc>
      </w:tr>
      <w:tr w:rsidR="00F26F01" w:rsidRPr="00C33834" w14:paraId="28D1CC4D" w14:textId="77777777">
        <w:tc>
          <w:tcPr>
            <w:tcW w:w="1809" w:type="dxa"/>
          </w:tcPr>
          <w:p w14:paraId="399F3A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C9A74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C68F70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D9EF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0CCD7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D65DC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7CB56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EBEA24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26571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управлению - 90%, килю</w:t>
            </w:r>
          </w:p>
        </w:tc>
      </w:tr>
      <w:tr w:rsidR="00F26F01" w:rsidRPr="00C33834" w14:paraId="240CA03E" w14:textId="77777777">
        <w:tc>
          <w:tcPr>
            <w:tcW w:w="1809" w:type="dxa"/>
          </w:tcPr>
          <w:p w14:paraId="139768F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2A267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B704E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E81ACD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FCFBFF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0452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CE94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021D3E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CCBDD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 отъемной части крыла</w:t>
            </w:r>
          </w:p>
        </w:tc>
      </w:tr>
      <w:tr w:rsidR="00F26F01" w:rsidRPr="00C33834" w14:paraId="2E5FCACE" w14:textId="77777777">
        <w:tc>
          <w:tcPr>
            <w:tcW w:w="1809" w:type="dxa"/>
          </w:tcPr>
          <w:p w14:paraId="136C2A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AD81D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65A026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61AC3D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BD8FA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FDE63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074D05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69CB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1B315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r>
      <w:tr w:rsidR="00F26F01" w:rsidRPr="00C33834" w14:paraId="0F9567F4" w14:textId="77777777">
        <w:tc>
          <w:tcPr>
            <w:tcW w:w="1809" w:type="dxa"/>
          </w:tcPr>
          <w:p w14:paraId="2BF3FB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w:t>
            </w:r>
          </w:p>
        </w:tc>
        <w:tc>
          <w:tcPr>
            <w:tcW w:w="717" w:type="dxa"/>
          </w:tcPr>
          <w:p w14:paraId="49FBC6B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1/II-34</w:t>
            </w:r>
          </w:p>
        </w:tc>
        <w:tc>
          <w:tcPr>
            <w:tcW w:w="717" w:type="dxa"/>
          </w:tcPr>
          <w:p w14:paraId="5B02E7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78A4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39315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1170</w:t>
            </w:r>
          </w:p>
        </w:tc>
        <w:tc>
          <w:tcPr>
            <w:tcW w:w="717" w:type="dxa"/>
          </w:tcPr>
          <w:p w14:paraId="6126315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1061</w:t>
            </w:r>
          </w:p>
        </w:tc>
        <w:tc>
          <w:tcPr>
            <w:tcW w:w="717" w:type="dxa"/>
          </w:tcPr>
          <w:p w14:paraId="1140B26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09B9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22A65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по серво-рулю и</w:t>
            </w:r>
          </w:p>
        </w:tc>
      </w:tr>
      <w:tr w:rsidR="00F26F01" w:rsidRPr="00C33834" w14:paraId="50135D62" w14:textId="77777777">
        <w:tc>
          <w:tcPr>
            <w:tcW w:w="1809" w:type="dxa"/>
          </w:tcPr>
          <w:p w14:paraId="71C1C53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1B7DD6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B6373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7262D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147EF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FCC85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425C7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5454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62DA4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переделке руля</w:t>
            </w:r>
          </w:p>
        </w:tc>
      </w:tr>
      <w:tr w:rsidR="00F26F01" w:rsidRPr="00C33834" w14:paraId="633CDDB8" w14:textId="77777777">
        <w:tc>
          <w:tcPr>
            <w:tcW w:w="1809" w:type="dxa"/>
          </w:tcPr>
          <w:p w14:paraId="11F25F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A3475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7932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88C1D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E8269F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C272B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CBFF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E0B4AC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23FC3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направлений. Закончен</w:t>
            </w:r>
          </w:p>
        </w:tc>
      </w:tr>
      <w:tr w:rsidR="00F26F01" w:rsidRPr="00C33834" w14:paraId="0F9CB137" w14:textId="77777777">
        <w:tc>
          <w:tcPr>
            <w:tcW w:w="1809" w:type="dxa"/>
          </w:tcPr>
          <w:p w14:paraId="3112C73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87184F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07A8F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EACB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9D16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6AFA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1040A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E8CE56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E48F2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амортизатор.</w:t>
            </w:r>
          </w:p>
        </w:tc>
      </w:tr>
      <w:tr w:rsidR="00F26F01" w:rsidRPr="00C33834" w14:paraId="075519E8" w14:textId="77777777">
        <w:tc>
          <w:tcPr>
            <w:tcW w:w="1809" w:type="dxa"/>
          </w:tcPr>
          <w:p w14:paraId="09473E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РД в.в.</w:t>
            </w:r>
          </w:p>
        </w:tc>
        <w:tc>
          <w:tcPr>
            <w:tcW w:w="717" w:type="dxa"/>
          </w:tcPr>
          <w:p w14:paraId="0D2860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1/XI-33</w:t>
            </w:r>
          </w:p>
        </w:tc>
        <w:tc>
          <w:tcPr>
            <w:tcW w:w="717" w:type="dxa"/>
          </w:tcPr>
          <w:p w14:paraId="6112502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69A9B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3C01B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550</w:t>
            </w:r>
          </w:p>
        </w:tc>
        <w:tc>
          <w:tcPr>
            <w:tcW w:w="717" w:type="dxa"/>
          </w:tcPr>
          <w:p w14:paraId="4D1BA7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909</w:t>
            </w:r>
          </w:p>
        </w:tc>
        <w:tc>
          <w:tcPr>
            <w:tcW w:w="717" w:type="dxa"/>
          </w:tcPr>
          <w:p w14:paraId="38FD310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717" w:type="dxa"/>
          </w:tcPr>
          <w:p w14:paraId="644FB44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3200" w:type="dxa"/>
          </w:tcPr>
          <w:p w14:paraId="60C52C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Переделки чертежей руля</w:t>
            </w:r>
          </w:p>
        </w:tc>
      </w:tr>
      <w:tr w:rsidR="00F26F01" w:rsidRPr="00C33834" w14:paraId="05DABDFC" w14:textId="77777777">
        <w:tc>
          <w:tcPr>
            <w:tcW w:w="1809" w:type="dxa"/>
          </w:tcPr>
          <w:p w14:paraId="66CF93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65F3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64E2C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01DFE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9B75BC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484D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DDF5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828162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4E73B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направления и элерона.</w:t>
            </w:r>
          </w:p>
        </w:tc>
      </w:tr>
      <w:tr w:rsidR="00F26F01" w:rsidRPr="00C33834" w14:paraId="37C0B8B1" w14:textId="77777777">
        <w:tc>
          <w:tcPr>
            <w:tcW w:w="1809" w:type="dxa"/>
          </w:tcPr>
          <w:p w14:paraId="33B72B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w:t>
            </w:r>
          </w:p>
        </w:tc>
        <w:tc>
          <w:tcPr>
            <w:tcW w:w="717" w:type="dxa"/>
          </w:tcPr>
          <w:p w14:paraId="1500A49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15/XII-33</w:t>
            </w:r>
          </w:p>
        </w:tc>
        <w:tc>
          <w:tcPr>
            <w:tcW w:w="717" w:type="dxa"/>
          </w:tcPr>
          <w:p w14:paraId="54B6C1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22239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15379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910</w:t>
            </w:r>
          </w:p>
        </w:tc>
        <w:tc>
          <w:tcPr>
            <w:tcW w:w="717" w:type="dxa"/>
          </w:tcPr>
          <w:p w14:paraId="2701F3A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727</w:t>
            </w:r>
          </w:p>
        </w:tc>
        <w:tc>
          <w:tcPr>
            <w:tcW w:w="717" w:type="dxa"/>
          </w:tcPr>
          <w:p w14:paraId="10EBF6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769C5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FD3B48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Разработка и исправление</w:t>
            </w:r>
          </w:p>
        </w:tc>
      </w:tr>
      <w:tr w:rsidR="00F26F01" w:rsidRPr="00C33834" w14:paraId="5DB802AB" w14:textId="77777777">
        <w:tc>
          <w:tcPr>
            <w:tcW w:w="1809" w:type="dxa"/>
          </w:tcPr>
          <w:p w14:paraId="777A33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1656C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0B8F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09D07B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3E77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E702A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0D3A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7E03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B4DAB7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чертежей.</w:t>
            </w:r>
          </w:p>
        </w:tc>
      </w:tr>
      <w:tr w:rsidR="00F26F01" w:rsidRPr="00C33834" w14:paraId="58FC2B44" w14:textId="77777777">
        <w:tc>
          <w:tcPr>
            <w:tcW w:w="1809" w:type="dxa"/>
          </w:tcPr>
          <w:p w14:paraId="774B3F6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АНТ-14 пасс. в.</w:t>
            </w:r>
          </w:p>
        </w:tc>
        <w:tc>
          <w:tcPr>
            <w:tcW w:w="717" w:type="dxa"/>
          </w:tcPr>
          <w:p w14:paraId="1CCD02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1/I-34</w:t>
            </w:r>
          </w:p>
        </w:tc>
        <w:tc>
          <w:tcPr>
            <w:tcW w:w="717" w:type="dxa"/>
          </w:tcPr>
          <w:p w14:paraId="7FDC405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F9E3E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4C8D6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4150</w:t>
            </w:r>
          </w:p>
        </w:tc>
        <w:tc>
          <w:tcPr>
            <w:tcW w:w="717" w:type="dxa"/>
          </w:tcPr>
          <w:p w14:paraId="17C7C4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4658</w:t>
            </w:r>
          </w:p>
        </w:tc>
        <w:tc>
          <w:tcPr>
            <w:tcW w:w="717" w:type="dxa"/>
          </w:tcPr>
          <w:p w14:paraId="65C57E0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48197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A8FC81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Закончены работы по</w:t>
            </w:r>
          </w:p>
        </w:tc>
      </w:tr>
      <w:tr w:rsidR="00F26F01" w:rsidRPr="00C33834" w14:paraId="17012F29" w14:textId="77777777">
        <w:tc>
          <w:tcPr>
            <w:tcW w:w="1809" w:type="dxa"/>
          </w:tcPr>
          <w:p w14:paraId="5D14B4C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E6837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F30559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C5121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8AB77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7AD7C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8DB7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8D6DE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62BBD1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горизонтальному оперению</w:t>
            </w:r>
          </w:p>
        </w:tc>
      </w:tr>
      <w:tr w:rsidR="00F26F01" w:rsidRPr="00C33834" w14:paraId="4B5DC742" w14:textId="77777777">
        <w:tc>
          <w:tcPr>
            <w:tcW w:w="1809" w:type="dxa"/>
          </w:tcPr>
          <w:p w14:paraId="237B06A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1BABE1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41C0D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4516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C73EA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5FAC1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FED6C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776C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A9B858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управлению, костыльной</w:t>
            </w:r>
          </w:p>
        </w:tc>
      </w:tr>
      <w:tr w:rsidR="00F26F01" w:rsidRPr="00C33834" w14:paraId="2FE7FA6C" w14:textId="77777777">
        <w:tc>
          <w:tcPr>
            <w:tcW w:w="1809" w:type="dxa"/>
          </w:tcPr>
          <w:p w14:paraId="67B2128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7EBAC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9D08BC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8E6A0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286F6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EA3945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47E48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B935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B4B39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установке, фюзеляжу</w:t>
            </w:r>
          </w:p>
        </w:tc>
      </w:tr>
      <w:tr w:rsidR="00F26F01" w:rsidRPr="00C33834" w14:paraId="5C4E3BAA" w14:textId="77777777">
        <w:tc>
          <w:tcPr>
            <w:tcW w:w="1809" w:type="dxa"/>
          </w:tcPr>
          <w:p w14:paraId="717ECE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8C72F2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C6982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B1E8F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243B9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B35243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0BC0E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97E820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54E6A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носовой и хвостовой</w:t>
            </w:r>
          </w:p>
        </w:tc>
      </w:tr>
      <w:tr w:rsidR="00F26F01" w:rsidRPr="00C33834" w14:paraId="3FE55914" w14:textId="77777777">
        <w:tc>
          <w:tcPr>
            <w:tcW w:w="1809" w:type="dxa"/>
          </w:tcPr>
          <w:p w14:paraId="4053C7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20B0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1E6C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837DE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5AF1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5F73E5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920439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CCB39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913991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части оборудованию.</w:t>
            </w:r>
          </w:p>
        </w:tc>
      </w:tr>
      <w:tr w:rsidR="00F26F01" w:rsidRPr="00C33834" w14:paraId="7E8F14F7" w14:textId="77777777">
        <w:tc>
          <w:tcPr>
            <w:tcW w:w="1809" w:type="dxa"/>
          </w:tcPr>
          <w:p w14:paraId="5C973D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 самолет.</w:t>
            </w:r>
          </w:p>
        </w:tc>
        <w:tc>
          <w:tcPr>
            <w:tcW w:w="717" w:type="dxa"/>
          </w:tcPr>
          <w:p w14:paraId="312F18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BFF6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D4D54E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ABF52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8D37D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474435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B4921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F9DA9F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21B93C3" w14:textId="77777777">
        <w:tc>
          <w:tcPr>
            <w:tcW w:w="1809" w:type="dxa"/>
          </w:tcPr>
          <w:p w14:paraId="5224419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РД 2М (ДБ)</w:t>
            </w:r>
          </w:p>
        </w:tc>
        <w:tc>
          <w:tcPr>
            <w:tcW w:w="717" w:type="dxa"/>
          </w:tcPr>
          <w:p w14:paraId="53F418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1/VI-34</w:t>
            </w:r>
          </w:p>
        </w:tc>
        <w:tc>
          <w:tcPr>
            <w:tcW w:w="717" w:type="dxa"/>
          </w:tcPr>
          <w:p w14:paraId="566211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488DD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9754FD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520</w:t>
            </w:r>
          </w:p>
        </w:tc>
        <w:tc>
          <w:tcPr>
            <w:tcW w:w="717" w:type="dxa"/>
          </w:tcPr>
          <w:p w14:paraId="248588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131</w:t>
            </w:r>
          </w:p>
        </w:tc>
        <w:tc>
          <w:tcPr>
            <w:tcW w:w="717" w:type="dxa"/>
          </w:tcPr>
          <w:p w14:paraId="31E3F7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1194CAB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200" w:type="dxa"/>
          </w:tcPr>
          <w:p w14:paraId="143220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Разработка общего вида.</w:t>
            </w:r>
          </w:p>
        </w:tc>
      </w:tr>
      <w:tr w:rsidR="00F26F01" w:rsidRPr="00C33834" w14:paraId="548FE84E" w14:textId="77777777">
        <w:tc>
          <w:tcPr>
            <w:tcW w:w="1809" w:type="dxa"/>
          </w:tcPr>
          <w:p w14:paraId="57008BA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БП-1</w:t>
            </w:r>
          </w:p>
        </w:tc>
        <w:tc>
          <w:tcPr>
            <w:tcW w:w="717" w:type="dxa"/>
          </w:tcPr>
          <w:p w14:paraId="4AFABAD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1/I-34</w:t>
            </w:r>
          </w:p>
        </w:tc>
        <w:tc>
          <w:tcPr>
            <w:tcW w:w="717" w:type="dxa"/>
          </w:tcPr>
          <w:p w14:paraId="0FDED2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234BCA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36904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2950</w:t>
            </w:r>
          </w:p>
        </w:tc>
        <w:tc>
          <w:tcPr>
            <w:tcW w:w="717" w:type="dxa"/>
          </w:tcPr>
          <w:p w14:paraId="044B1CB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2911</w:t>
            </w:r>
          </w:p>
        </w:tc>
        <w:tc>
          <w:tcPr>
            <w:tcW w:w="717" w:type="dxa"/>
          </w:tcPr>
          <w:p w14:paraId="50994F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717" w:type="dxa"/>
          </w:tcPr>
          <w:p w14:paraId="248241F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87</w:t>
            </w:r>
          </w:p>
        </w:tc>
        <w:tc>
          <w:tcPr>
            <w:tcW w:w="3200" w:type="dxa"/>
          </w:tcPr>
          <w:p w14:paraId="342A446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1/XII проектирование</w:t>
            </w:r>
          </w:p>
        </w:tc>
      </w:tr>
      <w:tr w:rsidR="00F26F01" w:rsidRPr="00C33834" w14:paraId="313C6458" w14:textId="77777777">
        <w:tc>
          <w:tcPr>
            <w:tcW w:w="1809" w:type="dxa"/>
          </w:tcPr>
          <w:p w14:paraId="2FCFE8F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628B2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25C89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325BC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9AEC09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02008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7E84D9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5F5A6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C09DBA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доведено до след.</w:t>
            </w:r>
          </w:p>
        </w:tc>
      </w:tr>
      <w:tr w:rsidR="00F26F01" w:rsidRPr="00C33834" w14:paraId="2CDBE901" w14:textId="77777777">
        <w:tc>
          <w:tcPr>
            <w:tcW w:w="1809" w:type="dxa"/>
          </w:tcPr>
          <w:p w14:paraId="74E2532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99D72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344AE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92B4B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D09B7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8C9B4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2ECB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42D5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A00D4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объемов: крыло - 95%</w:t>
            </w:r>
          </w:p>
        </w:tc>
      </w:tr>
      <w:tr w:rsidR="00F26F01" w:rsidRPr="00C33834" w14:paraId="76AB2A6A" w14:textId="77777777">
        <w:tc>
          <w:tcPr>
            <w:tcW w:w="1809" w:type="dxa"/>
          </w:tcPr>
          <w:p w14:paraId="0B869C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6405B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E0E26B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F09F4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D1C8F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BC568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34FB9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483C2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DD886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фюзеляж - 80%, оперение</w:t>
            </w:r>
          </w:p>
        </w:tc>
      </w:tr>
      <w:tr w:rsidR="00F26F01" w:rsidRPr="00C33834" w14:paraId="6825EAFE" w14:textId="77777777">
        <w:tc>
          <w:tcPr>
            <w:tcW w:w="1809" w:type="dxa"/>
          </w:tcPr>
          <w:p w14:paraId="1F8724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982BD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D79DA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0C78D0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7AD1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CC370D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0CDC0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06F1AA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15DD79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 управление - 95%,</w:t>
            </w:r>
          </w:p>
        </w:tc>
      </w:tr>
      <w:tr w:rsidR="00F26F01" w:rsidRPr="00C33834" w14:paraId="6C0D55D1" w14:textId="77777777">
        <w:tc>
          <w:tcPr>
            <w:tcW w:w="1809" w:type="dxa"/>
          </w:tcPr>
          <w:p w14:paraId="11B4F2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5BE9B9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6443A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D8530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9ADB9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8B7462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A0C33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129E2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EE2561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общий вид - 75% расчеты</w:t>
            </w:r>
          </w:p>
        </w:tc>
      </w:tr>
      <w:tr w:rsidR="00F26F01" w:rsidRPr="00C33834" w14:paraId="63374DD9" w14:textId="77777777">
        <w:tc>
          <w:tcPr>
            <w:tcW w:w="1809" w:type="dxa"/>
          </w:tcPr>
          <w:p w14:paraId="56A22C3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87D6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41E0B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E569A7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713D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6052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44B0B2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DF829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456DB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закончены.</w:t>
            </w:r>
          </w:p>
        </w:tc>
      </w:tr>
      <w:tr w:rsidR="00F26F01" w:rsidRPr="00C33834" w14:paraId="7A120483" w14:textId="77777777">
        <w:tc>
          <w:tcPr>
            <w:tcW w:w="1809" w:type="dxa"/>
          </w:tcPr>
          <w:p w14:paraId="5BB266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БП-2</w:t>
            </w:r>
          </w:p>
        </w:tc>
        <w:tc>
          <w:tcPr>
            <w:tcW w:w="717" w:type="dxa"/>
          </w:tcPr>
          <w:p w14:paraId="660AB9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1/IV-34</w:t>
            </w:r>
          </w:p>
        </w:tc>
        <w:tc>
          <w:tcPr>
            <w:tcW w:w="717" w:type="dxa"/>
          </w:tcPr>
          <w:p w14:paraId="448C079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0C698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3823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650</w:t>
            </w:r>
          </w:p>
        </w:tc>
        <w:tc>
          <w:tcPr>
            <w:tcW w:w="717" w:type="dxa"/>
          </w:tcPr>
          <w:p w14:paraId="22A665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732</w:t>
            </w:r>
          </w:p>
        </w:tc>
        <w:tc>
          <w:tcPr>
            <w:tcW w:w="717" w:type="dxa"/>
          </w:tcPr>
          <w:p w14:paraId="64A3B6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77902A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200" w:type="dxa"/>
          </w:tcPr>
          <w:p w14:paraId="70BC122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идут по плану.</w:t>
            </w:r>
          </w:p>
        </w:tc>
      </w:tr>
      <w:tr w:rsidR="00F26F01" w:rsidRPr="00C33834" w14:paraId="4FFE448B" w14:textId="77777777">
        <w:tc>
          <w:tcPr>
            <w:tcW w:w="1809" w:type="dxa"/>
          </w:tcPr>
          <w:p w14:paraId="2044106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БС-1</w:t>
            </w:r>
          </w:p>
        </w:tc>
        <w:tc>
          <w:tcPr>
            <w:tcW w:w="717" w:type="dxa"/>
          </w:tcPr>
          <w:p w14:paraId="6E35E7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15/II-35</w:t>
            </w:r>
          </w:p>
        </w:tc>
        <w:tc>
          <w:tcPr>
            <w:tcW w:w="717" w:type="dxa"/>
          </w:tcPr>
          <w:p w14:paraId="250AA00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3A91C0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9A443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c>
          <w:tcPr>
            <w:tcW w:w="717" w:type="dxa"/>
          </w:tcPr>
          <w:p w14:paraId="1DCA0FD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6BCDF1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56AD68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58E52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не велись.</w:t>
            </w:r>
          </w:p>
        </w:tc>
      </w:tr>
      <w:tr w:rsidR="00F26F01" w:rsidRPr="00C33834" w14:paraId="104AB9CF" w14:textId="77777777">
        <w:tc>
          <w:tcPr>
            <w:tcW w:w="1809" w:type="dxa"/>
          </w:tcPr>
          <w:p w14:paraId="689873D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РД дуб.</w:t>
            </w:r>
          </w:p>
        </w:tc>
        <w:tc>
          <w:tcPr>
            <w:tcW w:w="717" w:type="dxa"/>
          </w:tcPr>
          <w:p w14:paraId="3BA1F0A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4E9A0A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9DA6B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120D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640</w:t>
            </w:r>
          </w:p>
        </w:tc>
        <w:tc>
          <w:tcPr>
            <w:tcW w:w="717" w:type="dxa"/>
          </w:tcPr>
          <w:p w14:paraId="74934E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537</w:t>
            </w:r>
          </w:p>
        </w:tc>
        <w:tc>
          <w:tcPr>
            <w:tcW w:w="717" w:type="dxa"/>
          </w:tcPr>
          <w:p w14:paraId="524026C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021CD8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3200" w:type="dxa"/>
          </w:tcPr>
          <w:p w14:paraId="27AC19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Велось проектирование</w:t>
            </w:r>
          </w:p>
        </w:tc>
      </w:tr>
      <w:tr w:rsidR="00F26F01" w:rsidRPr="00C33834" w14:paraId="3A7B1FA3" w14:textId="77777777">
        <w:tc>
          <w:tcPr>
            <w:tcW w:w="1809" w:type="dxa"/>
          </w:tcPr>
          <w:p w14:paraId="1DC704C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70E2F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48490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2686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02F1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F8D31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C7B7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E343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3A0CA3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нового винта и расчет</w:t>
            </w:r>
          </w:p>
        </w:tc>
      </w:tr>
      <w:tr w:rsidR="00F26F01" w:rsidRPr="00C33834" w14:paraId="1DD36FAA" w14:textId="77777777">
        <w:tc>
          <w:tcPr>
            <w:tcW w:w="1809" w:type="dxa"/>
          </w:tcPr>
          <w:p w14:paraId="207980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04D9C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84FD6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FB04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F4345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87ED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A88A8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8D837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9DF127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дальности.</w:t>
            </w:r>
          </w:p>
        </w:tc>
      </w:tr>
      <w:tr w:rsidR="00F26F01" w:rsidRPr="00C33834" w14:paraId="7F68DBD6" w14:textId="77777777">
        <w:tc>
          <w:tcPr>
            <w:tcW w:w="1809" w:type="dxa"/>
          </w:tcPr>
          <w:p w14:paraId="536F94D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w:t>
            </w:r>
          </w:p>
        </w:tc>
        <w:tc>
          <w:tcPr>
            <w:tcW w:w="717" w:type="dxa"/>
          </w:tcPr>
          <w:p w14:paraId="7AADCB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787447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FF7C4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F3B7E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570</w:t>
            </w:r>
          </w:p>
        </w:tc>
        <w:tc>
          <w:tcPr>
            <w:tcW w:w="717" w:type="dxa"/>
          </w:tcPr>
          <w:p w14:paraId="28667B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824</w:t>
            </w:r>
          </w:p>
        </w:tc>
        <w:tc>
          <w:tcPr>
            <w:tcW w:w="717" w:type="dxa"/>
          </w:tcPr>
          <w:p w14:paraId="7EA422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79D108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200" w:type="dxa"/>
          </w:tcPr>
          <w:p w14:paraId="63318FD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исследовательск.</w:t>
            </w:r>
          </w:p>
        </w:tc>
      </w:tr>
      <w:tr w:rsidR="00F26F01" w:rsidRPr="00C33834" w14:paraId="7EF891E6" w14:textId="77777777">
        <w:tc>
          <w:tcPr>
            <w:tcW w:w="1809" w:type="dxa"/>
          </w:tcPr>
          <w:p w14:paraId="74C696A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18F67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80A9A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3FA383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14AE68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17B89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659B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3FA87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D22E6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характера.</w:t>
            </w:r>
          </w:p>
        </w:tc>
      </w:tr>
      <w:tr w:rsidR="00F26F01" w:rsidRPr="00C33834" w14:paraId="6AC68B25" w14:textId="77777777">
        <w:tc>
          <w:tcPr>
            <w:tcW w:w="1809" w:type="dxa"/>
          </w:tcPr>
          <w:p w14:paraId="21022BF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Доделки и улучш.</w:t>
            </w:r>
          </w:p>
        </w:tc>
        <w:tc>
          <w:tcPr>
            <w:tcW w:w="717" w:type="dxa"/>
          </w:tcPr>
          <w:p w14:paraId="6B5CEB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CF38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BA00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C132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6B936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A77315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9AC56D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38BF1C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E07AF85" w14:textId="77777777">
        <w:tc>
          <w:tcPr>
            <w:tcW w:w="1809" w:type="dxa"/>
          </w:tcPr>
          <w:p w14:paraId="5DD50B5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717" w:type="dxa"/>
          </w:tcPr>
          <w:p w14:paraId="51200C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58A72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B552AA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D51F4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c>
          <w:tcPr>
            <w:tcW w:w="717" w:type="dxa"/>
          </w:tcPr>
          <w:p w14:paraId="5C2655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486</w:t>
            </w:r>
          </w:p>
        </w:tc>
        <w:tc>
          <w:tcPr>
            <w:tcW w:w="717" w:type="dxa"/>
          </w:tcPr>
          <w:p w14:paraId="45BAE3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2DC00C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200" w:type="dxa"/>
          </w:tcPr>
          <w:p w14:paraId="3BA2C2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хвостовой</w:t>
            </w:r>
          </w:p>
        </w:tc>
      </w:tr>
      <w:tr w:rsidR="00F26F01" w:rsidRPr="00C33834" w14:paraId="6085BF85" w14:textId="77777777">
        <w:tc>
          <w:tcPr>
            <w:tcW w:w="1809" w:type="dxa"/>
          </w:tcPr>
          <w:p w14:paraId="37E568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E9683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4F71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9C02B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55C9A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224E3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3F5B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9527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62911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части фюзеляжа (этал.</w:t>
            </w:r>
          </w:p>
        </w:tc>
      </w:tr>
      <w:tr w:rsidR="00F26F01" w:rsidRPr="00C33834" w14:paraId="662BBEEF" w14:textId="77777777">
        <w:tc>
          <w:tcPr>
            <w:tcW w:w="1809" w:type="dxa"/>
          </w:tcPr>
          <w:p w14:paraId="0611440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F6BC4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554AF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72A56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4CF0D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8C10D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41F26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9FE52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CA58D5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 г.).</w:t>
            </w:r>
          </w:p>
        </w:tc>
      </w:tr>
      <w:tr w:rsidR="00F26F01" w:rsidRPr="00C33834" w14:paraId="67DAD2C1" w14:textId="77777777">
        <w:tc>
          <w:tcPr>
            <w:tcW w:w="1809" w:type="dxa"/>
          </w:tcPr>
          <w:p w14:paraId="3748B4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717" w:type="dxa"/>
          </w:tcPr>
          <w:p w14:paraId="7B40D4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131DC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0EF79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E0BD74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730</w:t>
            </w:r>
          </w:p>
        </w:tc>
        <w:tc>
          <w:tcPr>
            <w:tcW w:w="717" w:type="dxa"/>
          </w:tcPr>
          <w:p w14:paraId="174FBA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1033</w:t>
            </w:r>
          </w:p>
        </w:tc>
        <w:tc>
          <w:tcPr>
            <w:tcW w:w="717" w:type="dxa"/>
          </w:tcPr>
          <w:p w14:paraId="68A55C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2AE6479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200" w:type="dxa"/>
          </w:tcPr>
          <w:p w14:paraId="5F5556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редукторных</w:t>
            </w:r>
          </w:p>
        </w:tc>
      </w:tr>
      <w:tr w:rsidR="00F26F01" w:rsidRPr="00C33834" w14:paraId="53A96F31" w14:textId="77777777">
        <w:tc>
          <w:tcPr>
            <w:tcW w:w="1809" w:type="dxa"/>
          </w:tcPr>
          <w:p w14:paraId="50D4197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E1E4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C16BF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BFF5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2B58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3F91B0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8E2A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0891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EC8AD3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моторов.</w:t>
            </w:r>
          </w:p>
        </w:tc>
      </w:tr>
      <w:tr w:rsidR="00F26F01" w:rsidRPr="00C33834" w14:paraId="2EA1CA4B" w14:textId="77777777">
        <w:tc>
          <w:tcPr>
            <w:tcW w:w="1809" w:type="dxa"/>
          </w:tcPr>
          <w:p w14:paraId="261B99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ТБ-3</w:t>
            </w:r>
          </w:p>
        </w:tc>
        <w:tc>
          <w:tcPr>
            <w:tcW w:w="717" w:type="dxa"/>
          </w:tcPr>
          <w:p w14:paraId="0BE414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80300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46FBC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35FB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1830</w:t>
            </w:r>
          </w:p>
        </w:tc>
        <w:tc>
          <w:tcPr>
            <w:tcW w:w="717" w:type="dxa"/>
          </w:tcPr>
          <w:p w14:paraId="1DF5A1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1765</w:t>
            </w:r>
          </w:p>
        </w:tc>
        <w:tc>
          <w:tcPr>
            <w:tcW w:w="717" w:type="dxa"/>
          </w:tcPr>
          <w:p w14:paraId="734327A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72557A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200" w:type="dxa"/>
          </w:tcPr>
          <w:p w14:paraId="543FCCD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Перевооружение самолета.</w:t>
            </w:r>
          </w:p>
        </w:tc>
      </w:tr>
      <w:tr w:rsidR="00F26F01" w:rsidRPr="00C33834" w14:paraId="0BB34ECD" w14:textId="77777777">
        <w:tc>
          <w:tcPr>
            <w:tcW w:w="1809" w:type="dxa"/>
          </w:tcPr>
          <w:p w14:paraId="0FDA5A9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717" w:type="dxa"/>
          </w:tcPr>
          <w:p w14:paraId="46D227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3A83A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D9468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C729C7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380</w:t>
            </w:r>
          </w:p>
        </w:tc>
        <w:tc>
          <w:tcPr>
            <w:tcW w:w="717" w:type="dxa"/>
          </w:tcPr>
          <w:p w14:paraId="43E9D7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408</w:t>
            </w:r>
          </w:p>
        </w:tc>
        <w:tc>
          <w:tcPr>
            <w:tcW w:w="717" w:type="dxa"/>
          </w:tcPr>
          <w:p w14:paraId="7CFB3C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4D4DFA8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200" w:type="dxa"/>
          </w:tcPr>
          <w:p w14:paraId="439023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по облегчению</w:t>
            </w:r>
          </w:p>
        </w:tc>
      </w:tr>
      <w:tr w:rsidR="00F26F01" w:rsidRPr="00C33834" w14:paraId="49E6E90F" w14:textId="77777777">
        <w:tc>
          <w:tcPr>
            <w:tcW w:w="1809" w:type="dxa"/>
          </w:tcPr>
          <w:p w14:paraId="78E2BF3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DCFDD9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A7557C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2B455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4BF5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C192E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D2312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7C47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BDFF5D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самолета.</w:t>
            </w:r>
          </w:p>
        </w:tc>
      </w:tr>
      <w:tr w:rsidR="00F26F01" w:rsidRPr="00C33834" w14:paraId="2E974308" w14:textId="77777777">
        <w:tc>
          <w:tcPr>
            <w:tcW w:w="1809" w:type="dxa"/>
          </w:tcPr>
          <w:p w14:paraId="3A87C7E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w:t>
            </w:r>
          </w:p>
        </w:tc>
        <w:tc>
          <w:tcPr>
            <w:tcW w:w="717" w:type="dxa"/>
          </w:tcPr>
          <w:p w14:paraId="060BDE0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5088F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CA3DC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621E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w:t>
            </w:r>
          </w:p>
        </w:tc>
        <w:tc>
          <w:tcPr>
            <w:tcW w:w="717" w:type="dxa"/>
          </w:tcPr>
          <w:p w14:paraId="1032EB9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717" w:type="dxa"/>
          </w:tcPr>
          <w:p w14:paraId="0C85B1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7FE87F8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200" w:type="dxa"/>
          </w:tcPr>
          <w:p w14:paraId="157117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электропровода</w:t>
            </w:r>
          </w:p>
        </w:tc>
      </w:tr>
      <w:tr w:rsidR="00F26F01" w:rsidRPr="00C33834" w14:paraId="52354CED" w14:textId="77777777">
        <w:tc>
          <w:tcPr>
            <w:tcW w:w="1809" w:type="dxa"/>
          </w:tcPr>
          <w:p w14:paraId="7BF358E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1A59A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930E6C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411D8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BB704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721FB9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DBDF6D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BB49E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B233F0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управления жалюзями.</w:t>
            </w:r>
          </w:p>
        </w:tc>
      </w:tr>
      <w:tr w:rsidR="00F26F01" w:rsidRPr="00C33834" w14:paraId="74CF9266" w14:textId="77777777">
        <w:tc>
          <w:tcPr>
            <w:tcW w:w="1809" w:type="dxa"/>
          </w:tcPr>
          <w:p w14:paraId="61D4FD1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оп.</w:t>
            </w:r>
          </w:p>
        </w:tc>
        <w:tc>
          <w:tcPr>
            <w:tcW w:w="717" w:type="dxa"/>
          </w:tcPr>
          <w:p w14:paraId="42FDF8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43059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EEC5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C2741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717" w:type="dxa"/>
          </w:tcPr>
          <w:p w14:paraId="08FA92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684</w:t>
            </w:r>
          </w:p>
        </w:tc>
        <w:tc>
          <w:tcPr>
            <w:tcW w:w="717" w:type="dxa"/>
          </w:tcPr>
          <w:p w14:paraId="0FCCD7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406566A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200" w:type="dxa"/>
          </w:tcPr>
          <w:p w14:paraId="0D1EE1F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Переделки в процессе</w:t>
            </w:r>
          </w:p>
        </w:tc>
      </w:tr>
      <w:tr w:rsidR="00F26F01" w:rsidRPr="00C33834" w14:paraId="6EF6D587" w14:textId="77777777">
        <w:tc>
          <w:tcPr>
            <w:tcW w:w="1809" w:type="dxa"/>
          </w:tcPr>
          <w:p w14:paraId="5A3052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AE59D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D80A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0CF49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80F19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54C73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D6A4B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1DBE63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C1BBB8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летных испытаний.</w:t>
            </w:r>
          </w:p>
        </w:tc>
      </w:tr>
      <w:tr w:rsidR="00F26F01" w:rsidRPr="00C33834" w14:paraId="34A137B8" w14:textId="77777777">
        <w:tc>
          <w:tcPr>
            <w:tcW w:w="1809" w:type="dxa"/>
          </w:tcPr>
          <w:p w14:paraId="0E6A9C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РД - оп.</w:t>
            </w:r>
          </w:p>
        </w:tc>
        <w:tc>
          <w:tcPr>
            <w:tcW w:w="717" w:type="dxa"/>
          </w:tcPr>
          <w:p w14:paraId="2B12CD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5E76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1EF52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42C9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w:t>
            </w:r>
          </w:p>
        </w:tc>
        <w:tc>
          <w:tcPr>
            <w:tcW w:w="717" w:type="dxa"/>
          </w:tcPr>
          <w:p w14:paraId="3E3739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w:t>
            </w:r>
          </w:p>
        </w:tc>
        <w:tc>
          <w:tcPr>
            <w:tcW w:w="717" w:type="dxa"/>
          </w:tcPr>
          <w:p w14:paraId="67A53BC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48F383E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200" w:type="dxa"/>
          </w:tcPr>
          <w:p w14:paraId="411744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793E2D0" w14:textId="77777777">
        <w:tc>
          <w:tcPr>
            <w:tcW w:w="1809" w:type="dxa"/>
          </w:tcPr>
          <w:p w14:paraId="27E34E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И-12 Б.К.</w:t>
            </w:r>
          </w:p>
        </w:tc>
        <w:tc>
          <w:tcPr>
            <w:tcW w:w="717" w:type="dxa"/>
          </w:tcPr>
          <w:p w14:paraId="5650414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FE66A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97A68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5DB37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230</w:t>
            </w:r>
          </w:p>
        </w:tc>
        <w:tc>
          <w:tcPr>
            <w:tcW w:w="717" w:type="dxa"/>
          </w:tcPr>
          <w:p w14:paraId="05F46E2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717" w:type="dxa"/>
          </w:tcPr>
          <w:p w14:paraId="0D3364E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07B2C0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200" w:type="dxa"/>
          </w:tcPr>
          <w:p w14:paraId="6F8AB6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по оборудованию.</w:t>
            </w:r>
          </w:p>
        </w:tc>
      </w:tr>
      <w:tr w:rsidR="00F26F01" w:rsidRPr="00C33834" w14:paraId="5499BFC9" w14:textId="77777777">
        <w:tc>
          <w:tcPr>
            <w:tcW w:w="1809" w:type="dxa"/>
          </w:tcPr>
          <w:p w14:paraId="3F7127A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Планер ТБ-6</w:t>
            </w:r>
          </w:p>
        </w:tc>
        <w:tc>
          <w:tcPr>
            <w:tcW w:w="717" w:type="dxa"/>
          </w:tcPr>
          <w:p w14:paraId="730AB5D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CEFBFB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49AC6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D0CD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717" w:type="dxa"/>
          </w:tcPr>
          <w:p w14:paraId="3561B4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95</w:t>
            </w:r>
          </w:p>
        </w:tc>
        <w:tc>
          <w:tcPr>
            <w:tcW w:w="717" w:type="dxa"/>
          </w:tcPr>
          <w:p w14:paraId="0063146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7411FE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16F44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Мелкие переделки.</w:t>
            </w:r>
          </w:p>
        </w:tc>
      </w:tr>
      <w:tr w:rsidR="00F26F01" w:rsidRPr="00C33834" w14:paraId="74671271" w14:textId="77777777">
        <w:tc>
          <w:tcPr>
            <w:tcW w:w="1809" w:type="dxa"/>
          </w:tcPr>
          <w:p w14:paraId="295F63F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Глиссер - 5</w:t>
            </w:r>
          </w:p>
        </w:tc>
        <w:tc>
          <w:tcPr>
            <w:tcW w:w="717" w:type="dxa"/>
          </w:tcPr>
          <w:p w14:paraId="4B8A4AA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35DC4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F53BC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A7EAD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125</w:t>
            </w:r>
          </w:p>
        </w:tc>
        <w:tc>
          <w:tcPr>
            <w:tcW w:w="717" w:type="dxa"/>
          </w:tcPr>
          <w:p w14:paraId="08C5C99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234</w:t>
            </w:r>
          </w:p>
        </w:tc>
        <w:tc>
          <w:tcPr>
            <w:tcW w:w="717" w:type="dxa"/>
          </w:tcPr>
          <w:p w14:paraId="26D2D1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00B88E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3321B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Переделки в процессе</w:t>
            </w:r>
          </w:p>
        </w:tc>
      </w:tr>
      <w:tr w:rsidR="00F26F01" w:rsidRPr="00C33834" w14:paraId="7C287B6B" w14:textId="77777777">
        <w:tc>
          <w:tcPr>
            <w:tcW w:w="1809" w:type="dxa"/>
          </w:tcPr>
          <w:p w14:paraId="313B643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7FC8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74642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D6D2C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057AD7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A730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EF14A0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9B0DFA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180FA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испытаний.</w:t>
            </w:r>
          </w:p>
        </w:tc>
      </w:tr>
      <w:tr w:rsidR="00F26F01" w:rsidRPr="00C33834" w14:paraId="2D4C7997" w14:textId="77777777">
        <w:tc>
          <w:tcPr>
            <w:tcW w:w="1809" w:type="dxa"/>
          </w:tcPr>
          <w:p w14:paraId="38139F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 голов.</w:t>
            </w:r>
          </w:p>
        </w:tc>
        <w:tc>
          <w:tcPr>
            <w:tcW w:w="717" w:type="dxa"/>
          </w:tcPr>
          <w:p w14:paraId="63E62C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47F6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B894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18F7D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445</w:t>
            </w:r>
          </w:p>
        </w:tc>
        <w:tc>
          <w:tcPr>
            <w:tcW w:w="717" w:type="dxa"/>
          </w:tcPr>
          <w:p w14:paraId="17E97C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941</w:t>
            </w:r>
          </w:p>
        </w:tc>
        <w:tc>
          <w:tcPr>
            <w:tcW w:w="717" w:type="dxa"/>
          </w:tcPr>
          <w:p w14:paraId="735182F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191A090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6D966E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Изготовление тактической</w:t>
            </w:r>
          </w:p>
        </w:tc>
      </w:tr>
      <w:tr w:rsidR="00F26F01" w:rsidRPr="00C33834" w14:paraId="78E69F93" w14:textId="77777777">
        <w:tc>
          <w:tcPr>
            <w:tcW w:w="1809" w:type="dxa"/>
          </w:tcPr>
          <w:p w14:paraId="69E1640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C665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43122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0C9A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A8DDF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C24F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C6F58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9F4F0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8A83A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модели и переделки.</w:t>
            </w:r>
          </w:p>
        </w:tc>
      </w:tr>
      <w:tr w:rsidR="00F26F01" w:rsidRPr="00C33834" w14:paraId="5BF3EB89" w14:textId="77777777">
        <w:tc>
          <w:tcPr>
            <w:tcW w:w="1809" w:type="dxa"/>
          </w:tcPr>
          <w:p w14:paraId="4284B73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717" w:type="dxa"/>
          </w:tcPr>
          <w:p w14:paraId="7874EF7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913ED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9A24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06DEF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5395</w:t>
            </w:r>
          </w:p>
        </w:tc>
        <w:tc>
          <w:tcPr>
            <w:tcW w:w="717" w:type="dxa"/>
          </w:tcPr>
          <w:p w14:paraId="24867D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6197</w:t>
            </w:r>
          </w:p>
        </w:tc>
        <w:tc>
          <w:tcPr>
            <w:tcW w:w="717" w:type="dxa"/>
          </w:tcPr>
          <w:p w14:paraId="5689F9C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405C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E3400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FC3D1CA" w14:textId="77777777">
        <w:tc>
          <w:tcPr>
            <w:tcW w:w="1809" w:type="dxa"/>
          </w:tcPr>
          <w:p w14:paraId="379FD2B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Новые образцы по вооружению.</w:t>
            </w:r>
          </w:p>
        </w:tc>
        <w:tc>
          <w:tcPr>
            <w:tcW w:w="717" w:type="dxa"/>
          </w:tcPr>
          <w:p w14:paraId="0964930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26A0C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7DAFB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CAE98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46CD4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E2210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E535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355705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9613FB3" w14:textId="77777777">
        <w:tc>
          <w:tcPr>
            <w:tcW w:w="1809" w:type="dxa"/>
          </w:tcPr>
          <w:p w14:paraId="3653E2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Стрелковое</w:t>
            </w:r>
          </w:p>
        </w:tc>
        <w:tc>
          <w:tcPr>
            <w:tcW w:w="717" w:type="dxa"/>
          </w:tcPr>
          <w:p w14:paraId="4B24A0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72AD5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4E7F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B889F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8650</w:t>
            </w:r>
          </w:p>
        </w:tc>
        <w:tc>
          <w:tcPr>
            <w:tcW w:w="717" w:type="dxa"/>
          </w:tcPr>
          <w:p w14:paraId="23638E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8438</w:t>
            </w:r>
          </w:p>
        </w:tc>
        <w:tc>
          <w:tcPr>
            <w:tcW w:w="717" w:type="dxa"/>
          </w:tcPr>
          <w:p w14:paraId="3D6D73C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2AFF86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7E78EE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Ноябрьский объем работ</w:t>
            </w:r>
          </w:p>
        </w:tc>
      </w:tr>
      <w:tr w:rsidR="00F26F01" w:rsidRPr="00C33834" w14:paraId="6EAD76D3" w14:textId="77777777">
        <w:tc>
          <w:tcPr>
            <w:tcW w:w="1809" w:type="dxa"/>
          </w:tcPr>
          <w:p w14:paraId="22D5C0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D5214D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0F782C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610F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09C30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302AB3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86F3A3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18422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3AE3ED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 на 99,8%.</w:t>
            </w:r>
          </w:p>
        </w:tc>
      </w:tr>
      <w:tr w:rsidR="00F26F01" w:rsidRPr="00C33834" w14:paraId="52679493" w14:textId="77777777">
        <w:tc>
          <w:tcPr>
            <w:tcW w:w="1809" w:type="dxa"/>
          </w:tcPr>
          <w:p w14:paraId="0FB469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Бомбардировщ.</w:t>
            </w:r>
          </w:p>
        </w:tc>
        <w:tc>
          <w:tcPr>
            <w:tcW w:w="717" w:type="dxa"/>
          </w:tcPr>
          <w:p w14:paraId="1749B0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0F9C9B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9BBE02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93D36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3985</w:t>
            </w:r>
          </w:p>
        </w:tc>
        <w:tc>
          <w:tcPr>
            <w:tcW w:w="717" w:type="dxa"/>
          </w:tcPr>
          <w:p w14:paraId="4D21C61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3333</w:t>
            </w:r>
          </w:p>
        </w:tc>
        <w:tc>
          <w:tcPr>
            <w:tcW w:w="717" w:type="dxa"/>
          </w:tcPr>
          <w:p w14:paraId="23B9FE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31613F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AC0D2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-"- 114,2%.</w:t>
            </w:r>
          </w:p>
        </w:tc>
      </w:tr>
      <w:tr w:rsidR="00F26F01" w:rsidRPr="00C33834" w14:paraId="095A42B5" w14:textId="77777777">
        <w:tc>
          <w:tcPr>
            <w:tcW w:w="1809" w:type="dxa"/>
          </w:tcPr>
          <w:p w14:paraId="6ABBAF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Химическое</w:t>
            </w:r>
          </w:p>
        </w:tc>
        <w:tc>
          <w:tcPr>
            <w:tcW w:w="717" w:type="dxa"/>
          </w:tcPr>
          <w:p w14:paraId="3D3A7C2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B8AA2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63409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B135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3710</w:t>
            </w:r>
          </w:p>
        </w:tc>
        <w:tc>
          <w:tcPr>
            <w:tcW w:w="717" w:type="dxa"/>
          </w:tcPr>
          <w:p w14:paraId="5D4BF70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4565</w:t>
            </w:r>
          </w:p>
        </w:tc>
        <w:tc>
          <w:tcPr>
            <w:tcW w:w="717" w:type="dxa"/>
          </w:tcPr>
          <w:p w14:paraId="46519F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446807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5EE7D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-"- 121,3%.</w:t>
            </w:r>
          </w:p>
        </w:tc>
      </w:tr>
      <w:tr w:rsidR="00F26F01" w:rsidRPr="00C33834" w14:paraId="3E0FEC8D" w14:textId="77777777">
        <w:tc>
          <w:tcPr>
            <w:tcW w:w="1809" w:type="dxa"/>
          </w:tcPr>
          <w:p w14:paraId="66BDD0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ОЭЛ</w:t>
            </w:r>
          </w:p>
        </w:tc>
        <w:tc>
          <w:tcPr>
            <w:tcW w:w="717" w:type="dxa"/>
          </w:tcPr>
          <w:p w14:paraId="1AE45D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5D7F70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92D3D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79B90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4375</w:t>
            </w:r>
          </w:p>
        </w:tc>
        <w:tc>
          <w:tcPr>
            <w:tcW w:w="717" w:type="dxa"/>
          </w:tcPr>
          <w:p w14:paraId="161237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4126</w:t>
            </w:r>
          </w:p>
        </w:tc>
        <w:tc>
          <w:tcPr>
            <w:tcW w:w="717" w:type="dxa"/>
          </w:tcPr>
          <w:p w14:paraId="53D788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0EAAE35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CDFBAD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-"- 81,8%.</w:t>
            </w:r>
          </w:p>
        </w:tc>
      </w:tr>
      <w:tr w:rsidR="00F26F01" w:rsidRPr="00C33834" w14:paraId="60B8260B" w14:textId="77777777">
        <w:tc>
          <w:tcPr>
            <w:tcW w:w="1809" w:type="dxa"/>
          </w:tcPr>
          <w:p w14:paraId="03F2AF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717" w:type="dxa"/>
          </w:tcPr>
          <w:p w14:paraId="103ABF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8E213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41EB9D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9CBB4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20720</w:t>
            </w:r>
          </w:p>
        </w:tc>
        <w:tc>
          <w:tcPr>
            <w:tcW w:w="717" w:type="dxa"/>
          </w:tcPr>
          <w:p w14:paraId="56D400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20462</w:t>
            </w:r>
          </w:p>
        </w:tc>
        <w:tc>
          <w:tcPr>
            <w:tcW w:w="717" w:type="dxa"/>
          </w:tcPr>
          <w:p w14:paraId="1E25D8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CF8E1B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2F80A8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28AB25E" w14:textId="77777777">
        <w:tc>
          <w:tcPr>
            <w:tcW w:w="1809" w:type="dxa"/>
          </w:tcPr>
          <w:p w14:paraId="139867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 образ. по оборудов.</w:t>
            </w:r>
          </w:p>
        </w:tc>
        <w:tc>
          <w:tcPr>
            <w:tcW w:w="717" w:type="dxa"/>
          </w:tcPr>
          <w:p w14:paraId="58D16F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B5C6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97C56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200A3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23559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3B70B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03BF1D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6B96C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07C1DD6" w14:textId="77777777">
        <w:tc>
          <w:tcPr>
            <w:tcW w:w="1809" w:type="dxa"/>
          </w:tcPr>
          <w:p w14:paraId="1DE976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Колеса</w:t>
            </w:r>
          </w:p>
        </w:tc>
        <w:tc>
          <w:tcPr>
            <w:tcW w:w="717" w:type="dxa"/>
          </w:tcPr>
          <w:p w14:paraId="206A2E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47E06A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1D2ED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3DF82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3065</w:t>
            </w:r>
          </w:p>
        </w:tc>
        <w:tc>
          <w:tcPr>
            <w:tcW w:w="717" w:type="dxa"/>
          </w:tcPr>
          <w:p w14:paraId="10A4D41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5391</w:t>
            </w:r>
          </w:p>
        </w:tc>
        <w:tc>
          <w:tcPr>
            <w:tcW w:w="717" w:type="dxa"/>
          </w:tcPr>
          <w:p w14:paraId="1E69DE9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5E8BEA1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200" w:type="dxa"/>
          </w:tcPr>
          <w:p w14:paraId="38A1566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опытных</w:t>
            </w:r>
          </w:p>
        </w:tc>
      </w:tr>
      <w:tr w:rsidR="00F26F01" w:rsidRPr="00C33834" w14:paraId="5C5AA528" w14:textId="77777777">
        <w:tc>
          <w:tcPr>
            <w:tcW w:w="1809" w:type="dxa"/>
          </w:tcPr>
          <w:p w14:paraId="549156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B47D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40A29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AA99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ACBEB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1FC45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BD3D0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DA877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98B9ED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образцов спец. оборудов.</w:t>
            </w:r>
          </w:p>
        </w:tc>
      </w:tr>
      <w:tr w:rsidR="00F26F01" w:rsidRPr="00C33834" w14:paraId="757E2FFC" w14:textId="77777777">
        <w:tc>
          <w:tcPr>
            <w:tcW w:w="1809" w:type="dxa"/>
          </w:tcPr>
          <w:p w14:paraId="1C7EC8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Лыжи</w:t>
            </w:r>
          </w:p>
        </w:tc>
        <w:tc>
          <w:tcPr>
            <w:tcW w:w="717" w:type="dxa"/>
          </w:tcPr>
          <w:p w14:paraId="46E6345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87312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19790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E945B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1945</w:t>
            </w:r>
          </w:p>
        </w:tc>
        <w:tc>
          <w:tcPr>
            <w:tcW w:w="717" w:type="dxa"/>
          </w:tcPr>
          <w:p w14:paraId="4C97CB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1831</w:t>
            </w:r>
          </w:p>
        </w:tc>
        <w:tc>
          <w:tcPr>
            <w:tcW w:w="717" w:type="dxa"/>
          </w:tcPr>
          <w:p w14:paraId="767221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1370CE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200" w:type="dxa"/>
          </w:tcPr>
          <w:p w14:paraId="69B8E6E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Ноябрьский план выполнен</w:t>
            </w:r>
          </w:p>
        </w:tc>
      </w:tr>
      <w:tr w:rsidR="00F26F01" w:rsidRPr="00C33834" w14:paraId="3383F69D" w14:textId="77777777">
        <w:tc>
          <w:tcPr>
            <w:tcW w:w="1809" w:type="dxa"/>
          </w:tcPr>
          <w:p w14:paraId="0503C6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CD432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96F5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15F4A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FAF6D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81476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41D16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06F2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49D59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109,2%.</w:t>
            </w:r>
          </w:p>
        </w:tc>
      </w:tr>
      <w:tr w:rsidR="00F26F01" w:rsidRPr="00C33834" w14:paraId="6D98E904" w14:textId="77777777">
        <w:tc>
          <w:tcPr>
            <w:tcW w:w="1809" w:type="dxa"/>
          </w:tcPr>
          <w:p w14:paraId="6898B44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Эксперим. работы</w:t>
            </w:r>
          </w:p>
        </w:tc>
        <w:tc>
          <w:tcPr>
            <w:tcW w:w="717" w:type="dxa"/>
          </w:tcPr>
          <w:p w14:paraId="454A1B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705782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DFC9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F3DA4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3630</w:t>
            </w:r>
          </w:p>
        </w:tc>
        <w:tc>
          <w:tcPr>
            <w:tcW w:w="717" w:type="dxa"/>
          </w:tcPr>
          <w:p w14:paraId="1ADE509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4133</w:t>
            </w:r>
          </w:p>
        </w:tc>
        <w:tc>
          <w:tcPr>
            <w:tcW w:w="717" w:type="dxa"/>
          </w:tcPr>
          <w:p w14:paraId="5DC5D6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09BCB7A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200" w:type="dxa"/>
          </w:tcPr>
          <w:p w14:paraId="27DD3D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связанные с</w:t>
            </w:r>
          </w:p>
        </w:tc>
      </w:tr>
      <w:tr w:rsidR="00F26F01" w:rsidRPr="00C33834" w14:paraId="19EF2466" w14:textId="77777777">
        <w:tc>
          <w:tcPr>
            <w:tcW w:w="1809" w:type="dxa"/>
          </w:tcPr>
          <w:p w14:paraId="1E302ED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981FF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467F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A39A1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5B8B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F031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9F46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4FA2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B1684B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опытным самолетостроен.</w:t>
            </w:r>
          </w:p>
        </w:tc>
      </w:tr>
      <w:tr w:rsidR="00F26F01" w:rsidRPr="00C33834" w14:paraId="3DFF33A8" w14:textId="77777777">
        <w:tc>
          <w:tcPr>
            <w:tcW w:w="1809" w:type="dxa"/>
          </w:tcPr>
          <w:p w14:paraId="065419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Разные работы.</w:t>
            </w:r>
          </w:p>
        </w:tc>
        <w:tc>
          <w:tcPr>
            <w:tcW w:w="717" w:type="dxa"/>
          </w:tcPr>
          <w:p w14:paraId="636113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3D28A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B4D16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760A2A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14C3C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C477E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038E2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152BB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535E7A4" w14:textId="77777777">
        <w:tc>
          <w:tcPr>
            <w:tcW w:w="1809" w:type="dxa"/>
          </w:tcPr>
          <w:p w14:paraId="026D8A5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коротковолн.</w:t>
            </w:r>
          </w:p>
        </w:tc>
        <w:tc>
          <w:tcPr>
            <w:tcW w:w="717" w:type="dxa"/>
          </w:tcPr>
          <w:p w14:paraId="3F615B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0A231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0F196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F24C8B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134C4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5AFA0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D36289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1C031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81F42CA" w14:textId="77777777">
        <w:tc>
          <w:tcPr>
            <w:tcW w:w="1809" w:type="dxa"/>
          </w:tcPr>
          <w:p w14:paraId="500430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связи с гидробазой</w:t>
            </w:r>
          </w:p>
        </w:tc>
        <w:tc>
          <w:tcPr>
            <w:tcW w:w="717" w:type="dxa"/>
          </w:tcPr>
          <w:p w14:paraId="4BC1D79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79164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5841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AD24C0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0BAD4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64C8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61BE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BCC4FD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78F126D" w14:textId="77777777">
        <w:tc>
          <w:tcPr>
            <w:tcW w:w="1809" w:type="dxa"/>
          </w:tcPr>
          <w:p w14:paraId="62524A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Севастоп.</w:t>
            </w:r>
          </w:p>
        </w:tc>
        <w:tc>
          <w:tcPr>
            <w:tcW w:w="717" w:type="dxa"/>
          </w:tcPr>
          <w:p w14:paraId="09F65CE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55D3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B2903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5358C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717" w:type="dxa"/>
          </w:tcPr>
          <w:p w14:paraId="4780EE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317</w:t>
            </w:r>
          </w:p>
        </w:tc>
        <w:tc>
          <w:tcPr>
            <w:tcW w:w="717" w:type="dxa"/>
          </w:tcPr>
          <w:p w14:paraId="385BF6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3B1839D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200" w:type="dxa"/>
          </w:tcPr>
          <w:p w14:paraId="2B6EDFD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908CBE0" w14:textId="77777777">
        <w:tc>
          <w:tcPr>
            <w:tcW w:w="1809" w:type="dxa"/>
          </w:tcPr>
          <w:p w14:paraId="26C2C4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Винт для турбины</w:t>
            </w:r>
          </w:p>
        </w:tc>
        <w:tc>
          <w:tcPr>
            <w:tcW w:w="717" w:type="dxa"/>
          </w:tcPr>
          <w:p w14:paraId="18E8FC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D3E92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47ED79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12139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w:t>
            </w:r>
          </w:p>
        </w:tc>
        <w:tc>
          <w:tcPr>
            <w:tcW w:w="717" w:type="dxa"/>
          </w:tcPr>
          <w:p w14:paraId="62A8FE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717" w:type="dxa"/>
          </w:tcPr>
          <w:p w14:paraId="0834BA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69D4DE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66F5B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147FC5C" w14:textId="77777777">
        <w:tc>
          <w:tcPr>
            <w:tcW w:w="1809" w:type="dxa"/>
          </w:tcPr>
          <w:p w14:paraId="018208A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для ЦИАМ"а</w:t>
            </w:r>
          </w:p>
        </w:tc>
        <w:tc>
          <w:tcPr>
            <w:tcW w:w="717" w:type="dxa"/>
          </w:tcPr>
          <w:p w14:paraId="74928B9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01FE0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87BB7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D398D3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350</w:t>
            </w:r>
          </w:p>
        </w:tc>
        <w:tc>
          <w:tcPr>
            <w:tcW w:w="717" w:type="dxa"/>
          </w:tcPr>
          <w:p w14:paraId="13EC74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311</w:t>
            </w:r>
          </w:p>
        </w:tc>
        <w:tc>
          <w:tcPr>
            <w:tcW w:w="717" w:type="dxa"/>
          </w:tcPr>
          <w:p w14:paraId="714D21D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17" w:type="dxa"/>
          </w:tcPr>
          <w:p w14:paraId="3718659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3200" w:type="dxa"/>
          </w:tcPr>
          <w:p w14:paraId="3DFD16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7AFAAEB" w14:textId="77777777">
        <w:tc>
          <w:tcPr>
            <w:tcW w:w="1809" w:type="dxa"/>
          </w:tcPr>
          <w:p w14:paraId="31A92A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717" w:type="dxa"/>
          </w:tcPr>
          <w:p w14:paraId="41D4B7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7E7A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725135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463B0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925</w:t>
            </w:r>
          </w:p>
        </w:tc>
        <w:tc>
          <w:tcPr>
            <w:tcW w:w="717" w:type="dxa"/>
          </w:tcPr>
          <w:p w14:paraId="2F77B5D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649</w:t>
            </w:r>
          </w:p>
        </w:tc>
        <w:tc>
          <w:tcPr>
            <w:tcW w:w="717" w:type="dxa"/>
          </w:tcPr>
          <w:p w14:paraId="1E878C3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11AD9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E1D5E1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384C8FF" w14:textId="77777777">
        <w:tc>
          <w:tcPr>
            <w:tcW w:w="1809" w:type="dxa"/>
          </w:tcPr>
          <w:p w14:paraId="493CB7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717" w:type="dxa"/>
          </w:tcPr>
          <w:p w14:paraId="39693F5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B0B0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5F81D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9053D7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118160</w:t>
            </w:r>
          </w:p>
        </w:tc>
        <w:tc>
          <w:tcPr>
            <w:tcW w:w="717" w:type="dxa"/>
          </w:tcPr>
          <w:p w14:paraId="2914040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117120</w:t>
            </w:r>
          </w:p>
        </w:tc>
        <w:tc>
          <w:tcPr>
            <w:tcW w:w="717" w:type="dxa"/>
          </w:tcPr>
          <w:p w14:paraId="7FEC50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7D14AD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3306AF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bl>
    <w:p w14:paraId="681F9F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Общий % выполнения плана по КОСОС - 115 (2287,52).</w:t>
      </w:r>
    </w:p>
    <w:p w14:paraId="20405C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02FF6B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декабря 1933 года была подготовлена Справка к проекту постановления СТО “О внедрении истребителей на заводе № 125”</w:t>
      </w:r>
    </w:p>
    <w:p w14:paraId="2B19C31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Постановлением КО от 28 ноября 1933 года Королеву предложено в декадный срок представить на утверждение КО предложения о типе, количестве и сроках производства самолетов-истребителей на Иркутском заводе № 125 в 1934 году.</w:t>
      </w:r>
    </w:p>
    <w:p w14:paraId="165D60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Приказами по НКТП от 22 декабря и по ГУАП от 9 декабря 1933 года установлены мероприятия по обеспечению выполнения этого задания Правительства и кроме того, НКТП представлен прилагаемый проект постановления СТО.</w:t>
      </w:r>
    </w:p>
    <w:p w14:paraId="174D16D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…………………..(4206,15).</w:t>
      </w:r>
    </w:p>
    <w:p w14:paraId="0371793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3430CCA"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E4E7FDE"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48C435D" w14:textId="77777777" w:rsidR="009A1872" w:rsidRPr="00C33834" w:rsidRDefault="009A1872" w:rsidP="00C33834">
      <w:pPr>
        <w:pStyle w:val="rtejustify"/>
        <w:spacing w:before="0" w:after="0"/>
        <w:rPr>
          <w:color w:val="000000" w:themeColor="text1"/>
          <w:sz w:val="16"/>
          <w:szCs w:val="16"/>
        </w:rPr>
      </w:pPr>
      <w:r w:rsidRPr="00C33834">
        <w:rPr>
          <w:rStyle w:val="af0"/>
          <w:bCs/>
          <w:i w:val="0"/>
          <w:color w:val="000000" w:themeColor="text1"/>
          <w:sz w:val="16"/>
          <w:szCs w:val="16"/>
        </w:rPr>
        <w:t>26 декабря 1933 вышел приказ НКТП № 0036/249сс.</w:t>
      </w:r>
      <w:r w:rsidRPr="00C33834">
        <w:rPr>
          <w:color w:val="000000" w:themeColor="text1"/>
          <w:sz w:val="16"/>
          <w:szCs w:val="16"/>
        </w:rPr>
        <w:t xml:space="preserve"> Об установлении порядка подачи НКТП СССР Наркомвоенмору СССР комплектных узлов выстрела на 1934 г. (РГАЭ. Ф. 7297. Оп. 38. Д. 38. Л. 242</w:t>
      </w:r>
      <w:r w:rsidRPr="00C33834">
        <w:rPr>
          <w:color w:val="000000" w:themeColor="text1"/>
          <w:sz w:val="16"/>
          <w:szCs w:val="16"/>
        </w:rPr>
        <w:noBreakHyphen/>
        <w:t>240). (</w:t>
      </w:r>
      <w:r w:rsidRPr="00C33834">
        <w:rPr>
          <w:rStyle w:val="af0"/>
          <w:i w:val="0"/>
          <w:color w:val="000000" w:themeColor="text1"/>
          <w:sz w:val="16"/>
          <w:szCs w:val="16"/>
        </w:rPr>
        <w:t>Объединенный с РВС СССР</w:t>
      </w:r>
      <w:r w:rsidRPr="00C33834">
        <w:rPr>
          <w:color w:val="000000" w:themeColor="text1"/>
          <w:sz w:val="16"/>
          <w:szCs w:val="16"/>
        </w:rPr>
        <w:t>) (15246).</w:t>
      </w:r>
    </w:p>
    <w:p w14:paraId="640106D9" w14:textId="77777777" w:rsidR="009A1872" w:rsidRPr="00C33834" w:rsidRDefault="009A1872" w:rsidP="00C33834">
      <w:pPr>
        <w:pStyle w:val="rtejustify"/>
        <w:spacing w:before="0" w:after="0"/>
        <w:rPr>
          <w:color w:val="000000" w:themeColor="text1"/>
          <w:sz w:val="16"/>
          <w:szCs w:val="16"/>
        </w:rPr>
      </w:pPr>
    </w:p>
    <w:p w14:paraId="1670984A" w14:textId="77777777" w:rsidR="009A1872" w:rsidRPr="00C33834" w:rsidRDefault="009A1872" w:rsidP="00C33834">
      <w:pPr>
        <w:pStyle w:val="rtejustify"/>
        <w:spacing w:before="0" w:after="0"/>
        <w:rPr>
          <w:color w:val="000000" w:themeColor="text1"/>
          <w:sz w:val="16"/>
          <w:szCs w:val="16"/>
        </w:rPr>
      </w:pPr>
      <w:r w:rsidRPr="00C33834">
        <w:rPr>
          <w:rStyle w:val="af0"/>
          <w:bCs/>
          <w:i w:val="0"/>
          <w:color w:val="000000" w:themeColor="text1"/>
          <w:sz w:val="16"/>
          <w:szCs w:val="16"/>
        </w:rPr>
        <w:t>26 декабря 1933 вышел приказ НКТП № 245с.</w:t>
      </w:r>
      <w:r w:rsidRPr="00C33834">
        <w:rPr>
          <w:color w:val="000000" w:themeColor="text1"/>
          <w:sz w:val="16"/>
          <w:szCs w:val="16"/>
        </w:rPr>
        <w:t xml:space="preserve"> Об утверждении программы орудийных заводов и арсеналов по основным номенклатурам материальной части артиллерии, подлежащей сдаче НКВМ СССР в 1934 г. (РГАЭ. Ф. 7297. Оп. 38. Д. 38. Л. 236) (15246).</w:t>
      </w:r>
    </w:p>
    <w:p w14:paraId="788F001C" w14:textId="77777777" w:rsidR="009A1872" w:rsidRPr="00C33834" w:rsidRDefault="009A1872" w:rsidP="00C33834">
      <w:pPr>
        <w:pStyle w:val="rtejustify"/>
        <w:spacing w:before="0" w:after="0"/>
        <w:rPr>
          <w:color w:val="000000" w:themeColor="text1"/>
          <w:sz w:val="16"/>
          <w:szCs w:val="16"/>
        </w:rPr>
      </w:pPr>
    </w:p>
    <w:p w14:paraId="210418F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декабря 1933 года на НИАП после заводских испытаний прибыл опытный образец 45-мм ПТП обр. 1933 г. и там прошел полигонные испытания в объеме 1046 выстрелов и 500 км пробега. При стрельбе бронебойными снарядами полуавтоматика работала удовлетворительно, без учета отказов из-за качества гильз. Но при стрельбе осколочным снарядом черт. 2116 весом 2,15 кг с начальной скоростью 335 м/с и давлением в канале 900-1000 кг/см2 полуавтоматика не работала, так как было недостаточно энергии отката для взведения пружин полуавтоматики. Длина отката при этом снаряде - менее 690 мм. Таким образом, для осколочных снарядов 45-мм пушка обр. 1933 г. оставалась четвертьавтоматической. Колеса пушки по прежнему оставались деревянными, что создавало большие сложности при эксплуатации. Так, максимальная скорость движения по булыжнику составляла 10-15 км/час, на полигонных испытаниях часто лопались спицы колес. Тем не менее по заключению комиссии 45-мм пушка полигонные испытания выдержала и была запущена в производство, правда, под старым названием - обр. 1932 г (3861).</w:t>
      </w:r>
    </w:p>
    <w:p w14:paraId="353EEA6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9B2C1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декабря 1933 г. заместитель начальника ВМС И. М. Лудри утвердил тактическое задание для монитора, которое ставило перед кораблем следующие задачи: "бой с противником в устье р. Амур и Татарском проливе, и совместные операции с сухопутными частями на приморском участке". По за</w:t>
      </w:r>
      <w:r w:rsidRPr="00C33834">
        <w:rPr>
          <w:rFonts w:ascii="Times New Roman" w:hAnsi="Times New Roman"/>
          <w:color w:val="000000" w:themeColor="text1"/>
          <w:sz w:val="16"/>
          <w:szCs w:val="16"/>
        </w:rPr>
        <w:softHyphen/>
        <w:t>мыслу моряков монитор должен был иметь сильное вооружение (восемь 130-мм орудий в четырех башнях с линейно-возвышен</w:t>
      </w:r>
      <w:r w:rsidRPr="00C33834">
        <w:rPr>
          <w:rFonts w:ascii="Times New Roman" w:hAnsi="Times New Roman"/>
          <w:color w:val="000000" w:themeColor="text1"/>
          <w:sz w:val="16"/>
          <w:szCs w:val="16"/>
        </w:rPr>
        <w:softHyphen/>
        <w:t>ным расположением и четыре 100-мм универсальнь1х пушки с ПУАО), 75—100-мм бронирование "жизненньис" частей корпуса и вооружения, 15-узловую скорость (дизельные двигатели) и даль</w:t>
      </w:r>
      <w:r w:rsidRPr="00C33834">
        <w:rPr>
          <w:rFonts w:ascii="Times New Roman" w:hAnsi="Times New Roman"/>
          <w:color w:val="000000" w:themeColor="text1"/>
          <w:sz w:val="16"/>
          <w:szCs w:val="16"/>
        </w:rPr>
        <w:softHyphen/>
        <w:t>ность плавания не менее 1500 миль. Осадка ограничивалась вели</w:t>
      </w:r>
      <w:r w:rsidRPr="00C33834">
        <w:rPr>
          <w:rFonts w:ascii="Times New Roman" w:hAnsi="Times New Roman"/>
          <w:color w:val="000000" w:themeColor="text1"/>
          <w:sz w:val="16"/>
          <w:szCs w:val="16"/>
        </w:rPr>
        <w:softHyphen/>
        <w:t>чиной 2,4 м, стандартное водоизмещение — 1200 т (3898).</w:t>
      </w:r>
    </w:p>
    <w:p w14:paraId="69AF02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A08DCFB"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1127E99"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D8F7F5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декабря 1933 был подписан отчет по испытаниям лыж к самолету Р-5 (треугольное сечение миделя) (2267,11).</w:t>
      </w:r>
    </w:p>
    <w:p w14:paraId="0514D2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AD18F61"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декабря 1933 года Начальник НИИ ВВС Зильберт утвердил Отчет по войсковым испытаниям вооруженного самолета У-2 М-11, проведенным в Борисоглебской школе (6644).</w:t>
      </w:r>
    </w:p>
    <w:p w14:paraId="24763855"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Начато 23 июня 1933 года</w:t>
      </w:r>
    </w:p>
    <w:p w14:paraId="665BE247"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Окончено 26 июля 1933 года</w:t>
      </w:r>
    </w:p>
    <w:p w14:paraId="6E04AFFB"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44E0297E"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Инженер 7 сектора Калилец</w:t>
      </w:r>
    </w:p>
    <w:p w14:paraId="66A4A39C"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Летчики:</w:t>
      </w:r>
    </w:p>
    <w:p w14:paraId="55257388"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Агеев</w:t>
      </w:r>
    </w:p>
    <w:p w14:paraId="18CE1CC6"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Чугунов</w:t>
      </w:r>
    </w:p>
    <w:p w14:paraId="36328EC7"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4C9C40A2"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Выявить летно-тактические и эксплуатационные данные вооруженного самолета У-2, исходя из возможности использования его для боевой и тактической подготовки летного состава (летчиков и летчиков-наблюдателей).</w:t>
      </w:r>
    </w:p>
    <w:p w14:paraId="2168669D"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3D354DC2"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Считать возможным после устранения дефектов вооруженный самолет У-2 допустить к серийному производству.</w:t>
      </w:r>
    </w:p>
    <w:p w14:paraId="40F4D236"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испытаний</w:t>
      </w:r>
    </w:p>
    <w:p w14:paraId="0B312714"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начаты 23 июня 1933 года и окончены 26 июля 1933 года.</w:t>
      </w:r>
    </w:p>
    <w:p w14:paraId="77B4EC59"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испытаниях принимали участие 3 самолета У-2 М-11 2-ой Борисоглебской Школы летчиков (6644).</w:t>
      </w:r>
    </w:p>
    <w:p w14:paraId="72DC1A79"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F095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27 по 29 декабря 1933 года в НИИ ВВС проходили гос. испытания установки спаренных пулеметов ДА, предложенных Селищевым и Поляковым</w:t>
      </w:r>
    </w:p>
    <w:p w14:paraId="28AFF7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Начато 27 декабря 1933 года</w:t>
      </w:r>
    </w:p>
    <w:p w14:paraId="01C21F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Окончено 29 декабря 1933 года</w:t>
      </w:r>
    </w:p>
    <w:p w14:paraId="0F4082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38D1D1A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15 сектора НИИ ВВС Базенау</w:t>
      </w:r>
    </w:p>
    <w:p w14:paraId="646467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 техник 15 сектора НИИ ВВС Напалков</w:t>
      </w:r>
    </w:p>
    <w:p w14:paraId="7AE325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773347D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спаренных пулеметов ДА конструкции Салищева и Полякова испытаний не выдержали, как образец не удовлетворяющий тактико-техническим требованиям к спаренным пулеметам (7396, 78-86).</w:t>
      </w:r>
    </w:p>
    <w:p w14:paraId="05590E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482B2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декабря 1933 года постановление РВС</w:t>
      </w:r>
    </w:p>
    <w:p w14:paraId="6511B750"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Ввести на вооружение ВВС авиационный пневматический универсальный взрыватель системы Вишневского марки АПУВ согласно подлинного чертежа индекса № В-5011, как основной взрыватель для прицельного бомбометания ко всем калибрам фугасных авиабомб (7438, 3).</w:t>
      </w:r>
    </w:p>
    <w:p w14:paraId="73B26049"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D24C3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декабря 1933 секретарь КО Базилевич писал письмо № 2074/ко НКТП тов. Орджоникидзе:</w:t>
      </w:r>
    </w:p>
    <w:p w14:paraId="2676D16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Препровождаю для голосования опросом доклад НКВТ т. Боева от 23 декабря 1933 г. за № 1008/1651 о покупке дюймовых или метрических моторов у фирмы “Кертис-Райт” (4170,29).</w:t>
      </w:r>
    </w:p>
    <w:p w14:paraId="374C33C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16B77EC" w14:textId="77777777" w:rsidR="001E4A85" w:rsidRPr="00C33834" w:rsidRDefault="001E4A85" w:rsidP="00C33834">
      <w:pPr>
        <w:pStyle w:val="rtejustify"/>
        <w:spacing w:before="0" w:after="0"/>
        <w:rPr>
          <w:color w:val="000000" w:themeColor="text1"/>
          <w:sz w:val="16"/>
          <w:szCs w:val="16"/>
        </w:rPr>
      </w:pPr>
      <w:r w:rsidRPr="00C33834">
        <w:rPr>
          <w:rStyle w:val="af0"/>
          <w:bCs/>
          <w:i w:val="0"/>
          <w:color w:val="000000" w:themeColor="text1"/>
          <w:sz w:val="16"/>
          <w:szCs w:val="16"/>
        </w:rPr>
        <w:t>27 декабря</w:t>
      </w:r>
      <w:r w:rsidRPr="00C33834">
        <w:rPr>
          <w:rStyle w:val="af0"/>
          <w:rFonts w:eastAsiaTheme="majorEastAsia"/>
          <w:bCs/>
          <w:i w:val="0"/>
          <w:color w:val="000000" w:themeColor="text1"/>
          <w:sz w:val="16"/>
          <w:szCs w:val="16"/>
        </w:rPr>
        <w:t xml:space="preserve"> 1933</w:t>
      </w:r>
      <w:r w:rsidRPr="00C33834">
        <w:rPr>
          <w:color w:val="000000" w:themeColor="text1"/>
          <w:sz w:val="16"/>
          <w:szCs w:val="16"/>
        </w:rPr>
        <w:t>. Постановление РВСС «О введении на вооружение ВВС РККА авиационного пневматического универсального взрывателя системы Вишневского (марки АПУВ) как основного взрывателя для прицельного бомбометания ко всем калибрам фугасных авиабомб. (Приложение: тактико-технические данные авиационного пневматического универсального взрывателя системы Вишневского марки АПУВ). (РГВА. Ф. 4. Оп. 18. Д. 23. Л. 356</w:t>
      </w:r>
      <w:r w:rsidRPr="00C33834">
        <w:rPr>
          <w:color w:val="000000" w:themeColor="text1"/>
          <w:sz w:val="16"/>
          <w:szCs w:val="16"/>
        </w:rPr>
        <w:noBreakHyphen/>
        <w:t>358) (15461).</w:t>
      </w:r>
    </w:p>
    <w:p w14:paraId="12E43A4E" w14:textId="77777777" w:rsidR="001E4A85" w:rsidRPr="00C33834" w:rsidRDefault="001E4A85" w:rsidP="00C33834">
      <w:pPr>
        <w:pStyle w:val="rtejustify"/>
        <w:spacing w:before="0" w:after="0"/>
        <w:rPr>
          <w:color w:val="000000" w:themeColor="text1"/>
          <w:sz w:val="16"/>
          <w:szCs w:val="16"/>
        </w:rPr>
      </w:pPr>
    </w:p>
    <w:p w14:paraId="589D8433" w14:textId="77777777" w:rsidR="002E2083" w:rsidRPr="00C33834" w:rsidRDefault="001A42D5" w:rsidP="00C33834">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2DE570E8"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p>
    <w:p w14:paraId="5629444E" w14:textId="77777777" w:rsidR="001E4A85" w:rsidRPr="00C33834" w:rsidRDefault="001E4A85" w:rsidP="00C33834">
      <w:pPr>
        <w:pStyle w:val="rtejustify"/>
        <w:spacing w:before="0" w:after="0"/>
        <w:rPr>
          <w:color w:val="000000" w:themeColor="text1"/>
          <w:sz w:val="16"/>
          <w:szCs w:val="16"/>
        </w:rPr>
      </w:pPr>
      <w:r w:rsidRPr="00C33834">
        <w:rPr>
          <w:color w:val="000000" w:themeColor="text1"/>
          <w:sz w:val="16"/>
          <w:szCs w:val="16"/>
        </w:rPr>
        <w:t>27 и 31 декабря 1933 вышел приказ РВСС № 16. Сообщение о подписании постановлений РВСС, принятых опросом членов РВСС: 1) «О введении на вооружение артиллерии РККА выстрелов с осколочными и бронебойным снарядом и с картечью для 37</w:t>
      </w:r>
      <w:r w:rsidRPr="00C33834">
        <w:rPr>
          <w:color w:val="000000" w:themeColor="text1"/>
          <w:sz w:val="16"/>
          <w:szCs w:val="16"/>
        </w:rPr>
        <w:noBreakHyphen/>
        <w:t>мм танковой и противотанковой пушек образца 1930 г.»; 2) «О введении на вооружение артиллерии РККА выстрелов с бронебойными и осколочным снарядом для 45</w:t>
      </w:r>
      <w:r w:rsidRPr="00C33834">
        <w:rPr>
          <w:color w:val="000000" w:themeColor="text1"/>
          <w:sz w:val="16"/>
          <w:szCs w:val="16"/>
        </w:rPr>
        <w:noBreakHyphen/>
        <w:t>мм танковой и противотанковой пушек образца 1932 г.»; 3) «О введении на вооружение артиллерии РККА взрывателей КТ</w:t>
      </w:r>
      <w:r w:rsidRPr="00C33834">
        <w:rPr>
          <w:color w:val="000000" w:themeColor="text1"/>
          <w:sz w:val="16"/>
          <w:szCs w:val="16"/>
        </w:rPr>
        <w:noBreakHyphen/>
        <w:t>1 и КТ</w:t>
      </w:r>
      <w:r w:rsidRPr="00C33834">
        <w:rPr>
          <w:color w:val="000000" w:themeColor="text1"/>
          <w:sz w:val="16"/>
          <w:szCs w:val="16"/>
        </w:rPr>
        <w:noBreakHyphen/>
        <w:t>2»; 4) «О введении на вооружение артиллерии РККА дистанционной трубки Т</w:t>
      </w:r>
      <w:r w:rsidRPr="00C33834">
        <w:rPr>
          <w:color w:val="000000" w:themeColor="text1"/>
          <w:sz w:val="16"/>
          <w:szCs w:val="16"/>
        </w:rPr>
        <w:noBreakHyphen/>
        <w:t>3»; 5) «О введении на вооружение химических войск РККА минных взрывателей М</w:t>
      </w:r>
      <w:r w:rsidRPr="00C33834">
        <w:rPr>
          <w:color w:val="000000" w:themeColor="text1"/>
          <w:sz w:val="16"/>
          <w:szCs w:val="16"/>
        </w:rPr>
        <w:noBreakHyphen/>
        <w:t>1 и М</w:t>
      </w:r>
      <w:r w:rsidRPr="00C33834">
        <w:rPr>
          <w:color w:val="000000" w:themeColor="text1"/>
          <w:sz w:val="16"/>
          <w:szCs w:val="16"/>
        </w:rPr>
        <w:noBreakHyphen/>
        <w:t>2 для 107</w:t>
      </w:r>
      <w:r w:rsidRPr="00C33834">
        <w:rPr>
          <w:color w:val="000000" w:themeColor="text1"/>
          <w:sz w:val="16"/>
          <w:szCs w:val="16"/>
        </w:rPr>
        <w:noBreakHyphen/>
        <w:t>мм миномета»; 6) «О введении на вооружение ВВС РККА авиационного пневматического универсального взрывателя системы Вишневского марки АПУВ». (РГВА. Ф. 4. Оп. 18. Д. 23. Л. 339) (15461).</w:t>
      </w:r>
    </w:p>
    <w:p w14:paraId="082E3DE1" w14:textId="77777777" w:rsidR="001E4A85" w:rsidRPr="00C33834" w:rsidRDefault="001E4A85" w:rsidP="00C33834">
      <w:pPr>
        <w:spacing w:after="0" w:line="240" w:lineRule="auto"/>
        <w:jc w:val="both"/>
        <w:rPr>
          <w:rFonts w:ascii="Times New Roman" w:hAnsi="Times New Roman"/>
          <w:color w:val="000000" w:themeColor="text1"/>
          <w:sz w:val="16"/>
          <w:szCs w:val="16"/>
        </w:rPr>
      </w:pPr>
    </w:p>
    <w:p w14:paraId="71089689" w14:textId="77777777" w:rsidR="001E4A85" w:rsidRPr="00C33834" w:rsidRDefault="001E4A85" w:rsidP="00C33834">
      <w:pPr>
        <w:pStyle w:val="rtejustify"/>
        <w:spacing w:before="0" w:after="0"/>
        <w:rPr>
          <w:color w:val="000000" w:themeColor="text1"/>
          <w:sz w:val="16"/>
          <w:szCs w:val="16"/>
        </w:rPr>
      </w:pPr>
      <w:r w:rsidRPr="00C33834">
        <w:rPr>
          <w:rStyle w:val="af0"/>
          <w:bCs/>
          <w:i w:val="0"/>
          <w:color w:val="000000" w:themeColor="text1"/>
          <w:sz w:val="16"/>
          <w:szCs w:val="16"/>
        </w:rPr>
        <w:t>27 декабря</w:t>
      </w:r>
      <w:r w:rsidRPr="00C33834">
        <w:rPr>
          <w:rStyle w:val="af0"/>
          <w:rFonts w:eastAsiaTheme="majorEastAsia"/>
          <w:bCs/>
          <w:i w:val="0"/>
          <w:color w:val="000000" w:themeColor="text1"/>
          <w:sz w:val="16"/>
          <w:szCs w:val="16"/>
        </w:rPr>
        <w:t xml:space="preserve"> 1933</w:t>
      </w:r>
      <w:r w:rsidRPr="00C33834">
        <w:rPr>
          <w:color w:val="000000" w:themeColor="text1"/>
          <w:sz w:val="16"/>
          <w:szCs w:val="16"/>
        </w:rPr>
        <w:t>. Постановление РВСС «О введении на вооружение артиллерии РККА взрывателей КТ</w:t>
      </w:r>
      <w:r w:rsidRPr="00C33834">
        <w:rPr>
          <w:color w:val="000000" w:themeColor="text1"/>
          <w:sz w:val="16"/>
          <w:szCs w:val="16"/>
        </w:rPr>
        <w:noBreakHyphen/>
        <w:t>1, КТ</w:t>
      </w:r>
      <w:r w:rsidRPr="00C33834">
        <w:rPr>
          <w:color w:val="000000" w:themeColor="text1"/>
          <w:sz w:val="16"/>
          <w:szCs w:val="16"/>
        </w:rPr>
        <w:noBreakHyphen/>
        <w:t>2 и об отмене постановления РВС СССР от 27 февраля 1932 г. по вводу на вооружение артиллерийских химических снарядов для РГ</w:t>
      </w:r>
      <w:r w:rsidRPr="00C33834">
        <w:rPr>
          <w:color w:val="000000" w:themeColor="text1"/>
          <w:sz w:val="16"/>
          <w:szCs w:val="16"/>
        </w:rPr>
        <w:noBreakHyphen/>
        <w:t>6 для 76</w:t>
      </w:r>
      <w:r w:rsidRPr="00C33834">
        <w:rPr>
          <w:color w:val="000000" w:themeColor="text1"/>
          <w:sz w:val="16"/>
          <w:szCs w:val="16"/>
        </w:rPr>
        <w:noBreakHyphen/>
        <w:t>мм осколочно-химических снарядов пушки образца 02 и 02/30 г. и в части характеристики действия взрывателя КТ</w:t>
      </w:r>
      <w:r w:rsidRPr="00C33834">
        <w:rPr>
          <w:color w:val="000000" w:themeColor="text1"/>
          <w:sz w:val="16"/>
          <w:szCs w:val="16"/>
        </w:rPr>
        <w:noBreakHyphen/>
        <w:t>1 в 76</w:t>
      </w:r>
      <w:r w:rsidRPr="00C33834">
        <w:rPr>
          <w:color w:val="000000" w:themeColor="text1"/>
          <w:sz w:val="16"/>
          <w:szCs w:val="16"/>
        </w:rPr>
        <w:noBreakHyphen/>
        <w:t>мм осколочно-химических снарядах и взрывателя КТ</w:t>
      </w:r>
      <w:r w:rsidRPr="00C33834">
        <w:rPr>
          <w:color w:val="000000" w:themeColor="text1"/>
          <w:sz w:val="16"/>
          <w:szCs w:val="16"/>
        </w:rPr>
        <w:noBreakHyphen/>
        <w:t>2 в химических снарядах всех калибров (с запальным стаканом). (Приложение: тактико-технические данные взрывателей КТ</w:t>
      </w:r>
      <w:r w:rsidRPr="00C33834">
        <w:rPr>
          <w:color w:val="000000" w:themeColor="text1"/>
          <w:sz w:val="16"/>
          <w:szCs w:val="16"/>
        </w:rPr>
        <w:noBreakHyphen/>
        <w:t>1 и КТ</w:t>
      </w:r>
      <w:r w:rsidRPr="00C33834">
        <w:rPr>
          <w:color w:val="000000" w:themeColor="text1"/>
          <w:sz w:val="16"/>
          <w:szCs w:val="16"/>
        </w:rPr>
        <w:noBreakHyphen/>
        <w:t>2). (РГВА. Ф. 4. Оп. 18. Д. 23. Л. 348</w:t>
      </w:r>
      <w:r w:rsidRPr="00C33834">
        <w:rPr>
          <w:color w:val="000000" w:themeColor="text1"/>
          <w:sz w:val="16"/>
          <w:szCs w:val="16"/>
        </w:rPr>
        <w:noBreakHyphen/>
        <w:t>350) (15461).</w:t>
      </w:r>
    </w:p>
    <w:p w14:paraId="7183EFA4" w14:textId="77777777" w:rsidR="001E4A85" w:rsidRPr="00C33834" w:rsidRDefault="001E4A85" w:rsidP="00C33834">
      <w:pPr>
        <w:pStyle w:val="rtejustify"/>
        <w:spacing w:before="0" w:after="0"/>
        <w:rPr>
          <w:color w:val="000000" w:themeColor="text1"/>
          <w:sz w:val="16"/>
          <w:szCs w:val="16"/>
        </w:rPr>
      </w:pPr>
    </w:p>
    <w:p w14:paraId="6D8D59BE" w14:textId="77777777" w:rsidR="001E4A85" w:rsidRPr="00C33834" w:rsidRDefault="001E4A85" w:rsidP="00C33834">
      <w:pPr>
        <w:pStyle w:val="rtejustify"/>
        <w:spacing w:before="0" w:after="0"/>
        <w:rPr>
          <w:color w:val="000000" w:themeColor="text1"/>
          <w:sz w:val="16"/>
          <w:szCs w:val="16"/>
        </w:rPr>
      </w:pPr>
      <w:r w:rsidRPr="00C33834">
        <w:rPr>
          <w:rStyle w:val="af0"/>
          <w:bCs/>
          <w:i w:val="0"/>
          <w:color w:val="000000" w:themeColor="text1"/>
          <w:sz w:val="16"/>
          <w:szCs w:val="16"/>
        </w:rPr>
        <w:t>27 декабря</w:t>
      </w:r>
      <w:r w:rsidRPr="00C33834">
        <w:rPr>
          <w:rStyle w:val="af0"/>
          <w:rFonts w:eastAsiaTheme="majorEastAsia"/>
          <w:bCs/>
          <w:i w:val="0"/>
          <w:color w:val="000000" w:themeColor="text1"/>
          <w:sz w:val="16"/>
          <w:szCs w:val="16"/>
        </w:rPr>
        <w:t xml:space="preserve"> 1933</w:t>
      </w:r>
      <w:r w:rsidRPr="00C33834">
        <w:rPr>
          <w:color w:val="000000" w:themeColor="text1"/>
          <w:sz w:val="16"/>
          <w:szCs w:val="16"/>
        </w:rPr>
        <w:t>. Постановление РВСС «О введении на вооружение артиллерии РККА дистанционной трубки Т</w:t>
      </w:r>
      <w:r w:rsidRPr="00C33834">
        <w:rPr>
          <w:color w:val="000000" w:themeColor="text1"/>
          <w:sz w:val="16"/>
          <w:szCs w:val="16"/>
        </w:rPr>
        <w:noBreakHyphen/>
        <w:t>3, о доработках к ней, о прекращении изготовления дистанционных трубок «Д» для зенитных выстрелов, о включении в мобзаявку вместо трубки «Д» дистанционной трубки Т</w:t>
      </w:r>
      <w:r w:rsidRPr="00C33834">
        <w:rPr>
          <w:color w:val="000000" w:themeColor="text1"/>
          <w:sz w:val="16"/>
          <w:szCs w:val="16"/>
        </w:rPr>
        <w:noBreakHyphen/>
        <w:t>3 и о представлении в РВС СССР начальником ГАУ совместно с начальником ПТВО к вознаграждению участников разработки трубки Т</w:t>
      </w:r>
      <w:r w:rsidRPr="00C33834">
        <w:rPr>
          <w:color w:val="000000" w:themeColor="text1"/>
          <w:sz w:val="16"/>
          <w:szCs w:val="16"/>
        </w:rPr>
        <w:noBreakHyphen/>
        <w:t>3. (Приложение: тактико-технические данные дистанционной трубки Т</w:t>
      </w:r>
      <w:r w:rsidRPr="00C33834">
        <w:rPr>
          <w:color w:val="000000" w:themeColor="text1"/>
          <w:sz w:val="16"/>
          <w:szCs w:val="16"/>
        </w:rPr>
        <w:noBreakHyphen/>
        <w:t>3). (РГВА. Ф. 4. Оп. 18. Д. 23. Л. 351</w:t>
      </w:r>
      <w:r w:rsidRPr="00C33834">
        <w:rPr>
          <w:color w:val="000000" w:themeColor="text1"/>
          <w:sz w:val="16"/>
          <w:szCs w:val="16"/>
        </w:rPr>
        <w:noBreakHyphen/>
        <w:t>353) (15461).</w:t>
      </w:r>
    </w:p>
    <w:p w14:paraId="62B8AEE7" w14:textId="77777777" w:rsidR="001E4A85" w:rsidRPr="00C33834" w:rsidRDefault="001E4A85" w:rsidP="00C33834">
      <w:pPr>
        <w:pStyle w:val="rtejustify"/>
        <w:spacing w:before="0" w:after="0"/>
        <w:rPr>
          <w:color w:val="000000" w:themeColor="text1"/>
          <w:sz w:val="16"/>
          <w:szCs w:val="16"/>
        </w:rPr>
      </w:pPr>
    </w:p>
    <w:p w14:paraId="621ACEE0" w14:textId="77777777" w:rsidR="001E4A85" w:rsidRPr="00C33834" w:rsidRDefault="001E4A85" w:rsidP="00C33834">
      <w:pPr>
        <w:pStyle w:val="rtejustify"/>
        <w:spacing w:before="0" w:after="0"/>
        <w:rPr>
          <w:color w:val="000000" w:themeColor="text1"/>
          <w:sz w:val="16"/>
          <w:szCs w:val="16"/>
        </w:rPr>
      </w:pPr>
      <w:r w:rsidRPr="00C33834">
        <w:rPr>
          <w:rStyle w:val="af0"/>
          <w:bCs/>
          <w:i w:val="0"/>
          <w:color w:val="000000" w:themeColor="text1"/>
          <w:sz w:val="16"/>
          <w:szCs w:val="16"/>
        </w:rPr>
        <w:t>27 декабря</w:t>
      </w:r>
      <w:r w:rsidRPr="00C33834">
        <w:rPr>
          <w:rStyle w:val="af0"/>
          <w:rFonts w:eastAsiaTheme="majorEastAsia"/>
          <w:bCs/>
          <w:i w:val="0"/>
          <w:color w:val="000000" w:themeColor="text1"/>
          <w:sz w:val="16"/>
          <w:szCs w:val="16"/>
        </w:rPr>
        <w:t xml:space="preserve"> 1933</w:t>
      </w:r>
      <w:r w:rsidRPr="00C33834">
        <w:rPr>
          <w:color w:val="000000" w:themeColor="text1"/>
          <w:sz w:val="16"/>
          <w:szCs w:val="16"/>
        </w:rPr>
        <w:t>. Постановление РВСС «О введении на вооружение химических войск РККА для 107</w:t>
      </w:r>
      <w:r w:rsidRPr="00C33834">
        <w:rPr>
          <w:color w:val="000000" w:themeColor="text1"/>
          <w:sz w:val="16"/>
          <w:szCs w:val="16"/>
        </w:rPr>
        <w:noBreakHyphen/>
        <w:t>мм миномета минных взрывателей М</w:t>
      </w:r>
      <w:r w:rsidRPr="00C33834">
        <w:rPr>
          <w:color w:val="000000" w:themeColor="text1"/>
          <w:sz w:val="16"/>
          <w:szCs w:val="16"/>
        </w:rPr>
        <w:noBreakHyphen/>
        <w:t>1 и М</w:t>
      </w:r>
      <w:r w:rsidRPr="00C33834">
        <w:rPr>
          <w:color w:val="000000" w:themeColor="text1"/>
          <w:sz w:val="16"/>
          <w:szCs w:val="16"/>
        </w:rPr>
        <w:noBreakHyphen/>
        <w:t>2 как основных взрывателей для осколочно-фугасных, осколочно-химических, химических, фосфорных и дымовых мин. (Приложение: тактико-технические данные минных взрывателей М</w:t>
      </w:r>
      <w:r w:rsidRPr="00C33834">
        <w:rPr>
          <w:color w:val="000000" w:themeColor="text1"/>
          <w:sz w:val="16"/>
          <w:szCs w:val="16"/>
        </w:rPr>
        <w:noBreakHyphen/>
        <w:t>1 и М</w:t>
      </w:r>
      <w:r w:rsidRPr="00C33834">
        <w:rPr>
          <w:color w:val="000000" w:themeColor="text1"/>
          <w:sz w:val="16"/>
          <w:szCs w:val="16"/>
        </w:rPr>
        <w:noBreakHyphen/>
        <w:t>2). (РГВА. Ф. 4. Оп. 18. Д. 23. Л. 354</w:t>
      </w:r>
      <w:r w:rsidRPr="00C33834">
        <w:rPr>
          <w:color w:val="000000" w:themeColor="text1"/>
          <w:sz w:val="16"/>
          <w:szCs w:val="16"/>
        </w:rPr>
        <w:noBreakHyphen/>
        <w:t>355) (15461).</w:t>
      </w:r>
    </w:p>
    <w:p w14:paraId="397F43FD" w14:textId="77777777" w:rsidR="001E4A85" w:rsidRPr="00C33834" w:rsidRDefault="001E4A85" w:rsidP="00C33834">
      <w:pPr>
        <w:pStyle w:val="rtejustify"/>
        <w:spacing w:before="0" w:after="0"/>
        <w:rPr>
          <w:color w:val="000000" w:themeColor="text1"/>
          <w:sz w:val="16"/>
          <w:szCs w:val="16"/>
        </w:rPr>
      </w:pPr>
    </w:p>
    <w:p w14:paraId="626007DE" w14:textId="77777777" w:rsidR="001E4A85" w:rsidRPr="00C33834" w:rsidRDefault="001E4A85" w:rsidP="00C33834">
      <w:pPr>
        <w:pStyle w:val="rtejustify"/>
        <w:spacing w:before="0" w:after="0"/>
        <w:rPr>
          <w:color w:val="000000" w:themeColor="text1"/>
          <w:sz w:val="16"/>
          <w:szCs w:val="16"/>
        </w:rPr>
      </w:pPr>
      <w:r w:rsidRPr="00C33834">
        <w:rPr>
          <w:rStyle w:val="af0"/>
          <w:bCs/>
          <w:i w:val="0"/>
          <w:color w:val="000000" w:themeColor="text1"/>
          <w:sz w:val="16"/>
          <w:szCs w:val="16"/>
        </w:rPr>
        <w:t>27 декабря</w:t>
      </w:r>
      <w:r w:rsidRPr="00C33834">
        <w:rPr>
          <w:rStyle w:val="af0"/>
          <w:rFonts w:eastAsiaTheme="majorEastAsia"/>
          <w:bCs/>
          <w:i w:val="0"/>
          <w:color w:val="000000" w:themeColor="text1"/>
          <w:sz w:val="16"/>
          <w:szCs w:val="16"/>
        </w:rPr>
        <w:t xml:space="preserve"> 1933</w:t>
      </w:r>
      <w:r w:rsidRPr="00C33834">
        <w:rPr>
          <w:color w:val="000000" w:themeColor="text1"/>
          <w:sz w:val="16"/>
          <w:szCs w:val="16"/>
        </w:rPr>
        <w:t>. Постановление РВСС «О введении на вооружение артиллерии РККА для 37</w:t>
      </w:r>
      <w:r w:rsidRPr="00C33834">
        <w:rPr>
          <w:color w:val="000000" w:themeColor="text1"/>
          <w:sz w:val="16"/>
          <w:szCs w:val="16"/>
        </w:rPr>
        <w:noBreakHyphen/>
        <w:t>мм танковой и противотанковой пушек образца 1930 г.». (РГВА. Ф. 4. Оп. 18. Д. 23. Л. 340) (15461).</w:t>
      </w:r>
    </w:p>
    <w:p w14:paraId="191AAA04" w14:textId="77777777" w:rsidR="001E4A85" w:rsidRPr="00C33834" w:rsidRDefault="001E4A85" w:rsidP="00C33834">
      <w:pPr>
        <w:pStyle w:val="rtejustify"/>
        <w:spacing w:before="0" w:after="0"/>
        <w:rPr>
          <w:color w:val="000000" w:themeColor="text1"/>
          <w:sz w:val="16"/>
          <w:szCs w:val="16"/>
        </w:rPr>
      </w:pPr>
    </w:p>
    <w:p w14:paraId="2EF9112E" w14:textId="77777777" w:rsidR="001E4A85" w:rsidRPr="00C33834" w:rsidRDefault="001E4A85" w:rsidP="00C33834">
      <w:pPr>
        <w:pStyle w:val="rtejustify"/>
        <w:spacing w:before="0" w:after="0"/>
        <w:rPr>
          <w:color w:val="000000" w:themeColor="text1"/>
          <w:sz w:val="16"/>
          <w:szCs w:val="16"/>
        </w:rPr>
      </w:pPr>
      <w:r w:rsidRPr="00C33834">
        <w:rPr>
          <w:rStyle w:val="af0"/>
          <w:bCs/>
          <w:i w:val="0"/>
          <w:color w:val="000000" w:themeColor="text1"/>
          <w:sz w:val="16"/>
          <w:szCs w:val="16"/>
        </w:rPr>
        <w:t>27 декабря</w:t>
      </w:r>
      <w:r w:rsidRPr="00C33834">
        <w:rPr>
          <w:rStyle w:val="af0"/>
          <w:rFonts w:eastAsiaTheme="majorEastAsia"/>
          <w:bCs/>
          <w:i w:val="0"/>
          <w:color w:val="000000" w:themeColor="text1"/>
          <w:sz w:val="16"/>
          <w:szCs w:val="16"/>
        </w:rPr>
        <w:t xml:space="preserve"> 1933</w:t>
      </w:r>
      <w:r w:rsidRPr="00C33834">
        <w:rPr>
          <w:color w:val="000000" w:themeColor="text1"/>
          <w:sz w:val="16"/>
          <w:szCs w:val="16"/>
        </w:rPr>
        <w:t>. Постановление РВСС «О введении на вооружение артиллерии РККА для 45</w:t>
      </w:r>
      <w:r w:rsidRPr="00C33834">
        <w:rPr>
          <w:color w:val="000000" w:themeColor="text1"/>
          <w:sz w:val="16"/>
          <w:szCs w:val="16"/>
        </w:rPr>
        <w:noBreakHyphen/>
        <w:t>мм танковой и противотанковой пушки образца 1932 г.». (Приложение: тактико-технические данные 45</w:t>
      </w:r>
      <w:r w:rsidRPr="00C33834">
        <w:rPr>
          <w:color w:val="000000" w:themeColor="text1"/>
          <w:sz w:val="16"/>
          <w:szCs w:val="16"/>
        </w:rPr>
        <w:noBreakHyphen/>
        <w:t>мм выстрелов к танковой и противотанковой пушкам образца 1932 г.). (РГВА. Ф. 4. Оп. 18. Д. 23. Л. 345</w:t>
      </w:r>
      <w:r w:rsidRPr="00C33834">
        <w:rPr>
          <w:color w:val="000000" w:themeColor="text1"/>
          <w:sz w:val="16"/>
          <w:szCs w:val="16"/>
        </w:rPr>
        <w:noBreakHyphen/>
        <w:t>347) (15461).</w:t>
      </w:r>
    </w:p>
    <w:p w14:paraId="2414CE41" w14:textId="77777777" w:rsidR="001E4A85" w:rsidRPr="00C33834" w:rsidRDefault="001E4A85" w:rsidP="00C33834">
      <w:pPr>
        <w:pStyle w:val="rtejustify"/>
        <w:spacing w:before="0" w:after="0"/>
        <w:rPr>
          <w:color w:val="000000" w:themeColor="text1"/>
          <w:sz w:val="16"/>
          <w:szCs w:val="16"/>
        </w:rPr>
      </w:pPr>
    </w:p>
    <w:p w14:paraId="4D39647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декабря 1933 вышел ПРИКАЗ УММ О ЗАКЛЮЧЕНИИ ДОГОВОРОВ С ПРОМЫШЛЕННОСТЬЮ ПО ПЛАНУ ЗАКАЗОВ НА 1934 ГОД №169</w:t>
      </w:r>
    </w:p>
    <w:p w14:paraId="2DCFDC5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Москва</w:t>
      </w:r>
    </w:p>
    <w:p w14:paraId="1A447E1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постановлением Совнаркома от 19 декабря 1933 г. о заключении договор промышленностью по плану заказов на 1934 год. Приказываю:</w:t>
      </w:r>
    </w:p>
    <w:p w14:paraId="50A5668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p w14:paraId="745B621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Начальникам 1, 2 и 3 Управления механизации и моторизации РККА немедленно приступи заключению договоров на 1934 год в точном соответствии плану заказов.</w:t>
      </w:r>
    </w:p>
    <w:p w14:paraId="70D01C9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p w14:paraId="7AE6E62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Оформление договоров производить обязательно на преподанных бланках финансового управления РККА на 1934 год.</w:t>
      </w:r>
    </w:p>
    <w:p w14:paraId="0719A4F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p w14:paraId="7DDA765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Договора составлять в шести экземплярах: 1 - заказчику, 2 - поставщику, 3 - финансовому отделу УММ, 4 - военпреду, 5 - ФУ РККА и 6 - ГВМУ НКТП СССР.</w:t>
      </w:r>
    </w:p>
    <w:p w14:paraId="40FBB76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p w14:paraId="13B8FBA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без исключения договора подписываются мною, а во время моего отсутствия моим заме телем т. Бокис.</w:t>
      </w:r>
    </w:p>
    <w:p w14:paraId="3A9B502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p w14:paraId="735F704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Договора подрабатываются и оформляются оперативными отделами 1, 2 и 3 управления по принадлежности. На договорах обязательно иметь визу:</w:t>
      </w:r>
    </w:p>
    <w:p w14:paraId="2F63AB9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Начальника оперативного отдела,</w:t>
      </w:r>
    </w:p>
    <w:p w14:paraId="1DBA782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Начальника калькуляционного сектора,</w:t>
      </w:r>
    </w:p>
    <w:p w14:paraId="159F4D4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Начальника финансового отдела УММ и начальника довольствующего управления (по он ным заказам калькуляционный сектор визы не дает).</w:t>
      </w:r>
    </w:p>
    <w:p w14:paraId="1B64549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p w14:paraId="730EF13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Категорически запрещаю докладывать мне договора для подписи при отсутствии вышеупомянутого порядка.</w:t>
      </w:r>
    </w:p>
    <w:p w14:paraId="1F4981B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p w14:paraId="6201E0C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Оформленные надлежащим порядком договора докладывают мне для подписи только начами управлений.</w:t>
      </w:r>
    </w:p>
    <w:p w14:paraId="7D19454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Управления механизации и моторизации РК Халепский</w:t>
      </w:r>
    </w:p>
    <w:p w14:paraId="4D84835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РГВА. Ф. 31811. Оп. 4. Д. 2. Л. 231 - 232. Подлинник (11210).</w:t>
      </w:r>
    </w:p>
    <w:p w14:paraId="6FAFC83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5A0F2D8" w14:textId="77777777" w:rsidR="00091E70" w:rsidRPr="00C33834" w:rsidRDefault="00091E70"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lastRenderedPageBreak/>
        <w:t>Жизеь и внутренняя политика:</w:t>
      </w:r>
    </w:p>
    <w:p w14:paraId="4A9134E4" w14:textId="77777777" w:rsidR="00091E70" w:rsidRPr="00C33834" w:rsidRDefault="00091E70"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FA6E24C" w14:textId="77777777" w:rsidR="00091E70" w:rsidRPr="00C33834" w:rsidRDefault="00091E7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декабря 1933. Газета "Вечерняя Москва" сообщала; "Научно-исследовательскому институту инсекто-фунгидидов "НИИФ" для опытов по изучению действия на насекомых различный ядов нужно 1000-1500 черных тараканов в месяц. Институт покупает черных тараканов в любом количестве по цене 5 копеек за штуку. Доставлять тараканов надо в стеклянной банке, завернутой во что-нибудь теплое (чтобы не замерзли на улице) по адресу: Зубовская улица, дом - 7/11" (18722).</w:t>
      </w:r>
    </w:p>
    <w:p w14:paraId="004464CA" w14:textId="77777777" w:rsidR="00091E70" w:rsidRPr="00C33834" w:rsidRDefault="00091E70" w:rsidP="00C33834">
      <w:pPr>
        <w:spacing w:after="0" w:line="240" w:lineRule="auto"/>
        <w:jc w:val="both"/>
        <w:rPr>
          <w:rFonts w:ascii="Times New Roman" w:hAnsi="Times New Roman"/>
          <w:color w:val="000000" w:themeColor="text1"/>
          <w:sz w:val="16"/>
          <w:szCs w:val="16"/>
        </w:rPr>
      </w:pPr>
    </w:p>
    <w:p w14:paraId="5ADB516E"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2ACFBDB5"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EAD9B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декабря 1933 И.В.Сталин назвал Японию опасной (2100).</w:t>
      </w:r>
    </w:p>
    <w:p w14:paraId="652C9F6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BED4EE5"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9F8A4C5"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2D603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декабря 1933 появился доклад начальника ГУАП Г.Н.Королева для A.К.Орджоникидзе о развитии стального самолетостроения, представленный в письме N 283/783 (1024,47).</w:t>
      </w:r>
    </w:p>
    <w:p w14:paraId="576012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ГУАП все же решил делать новые два К-7 после того, как Правительство утвердило выводы аварийной комиссии 29 декабря 1933 (70,244).</w:t>
      </w:r>
    </w:p>
    <w:p w14:paraId="1B9F717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ED129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декабря 1933 И-16 М-22 был закончен постройкой на заводе 39 (2287,131).</w:t>
      </w:r>
    </w:p>
    <w:p w14:paraId="4927F3C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CC02BB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декабря 1933 г. за</w:t>
      </w:r>
      <w:r w:rsidRPr="00C33834">
        <w:rPr>
          <w:rFonts w:ascii="Times New Roman" w:hAnsi="Times New Roman"/>
          <w:color w:val="000000" w:themeColor="text1"/>
          <w:sz w:val="16"/>
          <w:szCs w:val="16"/>
        </w:rPr>
        <w:softHyphen/>
        <w:t>вершилась постройка первого опытного образца ЦКБ-12. Второй экземпляр по на</w:t>
      </w:r>
      <w:r w:rsidRPr="00C33834">
        <w:rPr>
          <w:rFonts w:ascii="Times New Roman" w:hAnsi="Times New Roman"/>
          <w:color w:val="000000" w:themeColor="text1"/>
          <w:sz w:val="16"/>
          <w:szCs w:val="16"/>
        </w:rPr>
        <w:softHyphen/>
        <w:t>стоянию Поликарпова решили не использовать для испытаний кольца Тауненда, а оснастить двигателем Райт «Циклон» (10667).</w:t>
      </w:r>
    </w:p>
    <w:p w14:paraId="13596F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5840D73"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28 декабря 1933 г. А.Г. Горянов обраща</w:t>
      </w:r>
      <w:r w:rsidRPr="00C33834">
        <w:rPr>
          <w:rFonts w:ascii="Times New Roman" w:hAnsi="Times New Roman"/>
          <w:color w:val="0070C0"/>
          <w:sz w:val="16"/>
          <w:szCs w:val="16"/>
        </w:rPr>
        <w:softHyphen/>
        <w:t>ется за помощью к Н.М. Харламову. Вот этот интересный документ:</w:t>
      </w:r>
    </w:p>
    <w:p w14:paraId="7604D090"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«Комитет обращается к Вам с прось</w:t>
      </w:r>
      <w:r w:rsidRPr="00C33834">
        <w:rPr>
          <w:rFonts w:ascii="Times New Roman" w:hAnsi="Times New Roman"/>
          <w:color w:val="0070C0"/>
          <w:sz w:val="16"/>
          <w:szCs w:val="16"/>
        </w:rPr>
        <w:softHyphen/>
        <w:t>бой дать Ваше заключение по вопросу пер</w:t>
      </w:r>
      <w:r w:rsidRPr="00C33834">
        <w:rPr>
          <w:rFonts w:ascii="Times New Roman" w:hAnsi="Times New Roman"/>
          <w:color w:val="0070C0"/>
          <w:sz w:val="16"/>
          <w:szCs w:val="16"/>
        </w:rPr>
        <w:softHyphen/>
        <w:t>сонала самолета «Максим Горький». Со</w:t>
      </w:r>
      <w:r w:rsidRPr="00C33834">
        <w:rPr>
          <w:rFonts w:ascii="Times New Roman" w:hAnsi="Times New Roman"/>
          <w:color w:val="0070C0"/>
          <w:sz w:val="16"/>
          <w:szCs w:val="16"/>
        </w:rPr>
        <w:softHyphen/>
        <w:t>гласно технических требований количест</w:t>
      </w:r>
      <w:r w:rsidRPr="00C33834">
        <w:rPr>
          <w:rFonts w:ascii="Times New Roman" w:hAnsi="Times New Roman"/>
          <w:color w:val="0070C0"/>
          <w:sz w:val="16"/>
          <w:szCs w:val="16"/>
        </w:rPr>
        <w:softHyphen/>
        <w:t>во персонала для всех трех вариантов вы</w:t>
      </w:r>
      <w:r w:rsidRPr="00C33834">
        <w:rPr>
          <w:rFonts w:ascii="Times New Roman" w:hAnsi="Times New Roman"/>
          <w:color w:val="0070C0"/>
          <w:sz w:val="16"/>
          <w:szCs w:val="16"/>
        </w:rPr>
        <w:softHyphen/>
        <w:t>ражается следующей таблицей.</w:t>
      </w:r>
    </w:p>
    <w:p w14:paraId="31C211B6"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Таблица необходимого персонала самолета «Максим Горький»</w:t>
      </w:r>
    </w:p>
    <w:tbl>
      <w:tblPr>
        <w:tblOverlap w:val="never"/>
        <w:tblW w:w="0" w:type="auto"/>
        <w:tblLayout w:type="fixed"/>
        <w:tblCellMar>
          <w:left w:w="10" w:type="dxa"/>
          <w:right w:w="10" w:type="dxa"/>
        </w:tblCellMar>
        <w:tblLook w:val="0000" w:firstRow="0" w:lastRow="0" w:firstColumn="0" w:lastColumn="0" w:noHBand="0" w:noVBand="0"/>
      </w:tblPr>
      <w:tblGrid>
        <w:gridCol w:w="2198"/>
        <w:gridCol w:w="1800"/>
        <w:gridCol w:w="1330"/>
        <w:gridCol w:w="1867"/>
      </w:tblGrid>
      <w:tr w:rsidR="00BE532B" w:rsidRPr="00C33834" w14:paraId="36ECCD58" w14:textId="77777777" w:rsidTr="00BE532B">
        <w:trPr>
          <w:trHeight w:hRule="exact" w:val="557"/>
        </w:trPr>
        <w:tc>
          <w:tcPr>
            <w:tcW w:w="2198" w:type="dxa"/>
            <w:tcBorders>
              <w:top w:val="single" w:sz="4" w:space="0" w:color="auto"/>
              <w:left w:val="single" w:sz="4" w:space="0" w:color="auto"/>
            </w:tcBorders>
            <w:shd w:val="clear" w:color="auto" w:fill="auto"/>
            <w:vAlign w:val="center"/>
          </w:tcPr>
          <w:p w14:paraId="7D2E2E15"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Специальности</w:t>
            </w:r>
          </w:p>
        </w:tc>
        <w:tc>
          <w:tcPr>
            <w:tcW w:w="1800" w:type="dxa"/>
            <w:tcBorders>
              <w:top w:val="single" w:sz="4" w:space="0" w:color="auto"/>
            </w:tcBorders>
            <w:shd w:val="clear" w:color="auto" w:fill="auto"/>
            <w:vAlign w:val="bottom"/>
          </w:tcPr>
          <w:p w14:paraId="6FAAD9F5"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Агитационный вариант</w:t>
            </w:r>
          </w:p>
        </w:tc>
        <w:tc>
          <w:tcPr>
            <w:tcW w:w="1330" w:type="dxa"/>
            <w:tcBorders>
              <w:top w:val="single" w:sz="4" w:space="0" w:color="auto"/>
            </w:tcBorders>
            <w:shd w:val="clear" w:color="auto" w:fill="auto"/>
            <w:vAlign w:val="bottom"/>
          </w:tcPr>
          <w:p w14:paraId="08786F70"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Пассажирский вариант</w:t>
            </w:r>
          </w:p>
        </w:tc>
        <w:tc>
          <w:tcPr>
            <w:tcW w:w="1867" w:type="dxa"/>
            <w:tcBorders>
              <w:top w:val="single" w:sz="4" w:space="0" w:color="auto"/>
              <w:right w:val="single" w:sz="4" w:space="0" w:color="auto"/>
            </w:tcBorders>
            <w:shd w:val="clear" w:color="auto" w:fill="auto"/>
            <w:vAlign w:val="bottom"/>
          </w:tcPr>
          <w:p w14:paraId="0F57D0AA"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Специальный вариант</w:t>
            </w:r>
          </w:p>
        </w:tc>
      </w:tr>
      <w:tr w:rsidR="00BE532B" w:rsidRPr="00C33834" w14:paraId="3A296670" w14:textId="77777777" w:rsidTr="00BE532B">
        <w:trPr>
          <w:trHeight w:hRule="exact" w:val="178"/>
        </w:trPr>
        <w:tc>
          <w:tcPr>
            <w:tcW w:w="2198" w:type="dxa"/>
            <w:tcBorders>
              <w:top w:val="single" w:sz="4" w:space="0" w:color="auto"/>
              <w:left w:val="single" w:sz="4" w:space="0" w:color="auto"/>
            </w:tcBorders>
            <w:shd w:val="clear" w:color="auto" w:fill="auto"/>
          </w:tcPr>
          <w:p w14:paraId="358E7CAA"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Радисты</w:t>
            </w:r>
          </w:p>
        </w:tc>
        <w:tc>
          <w:tcPr>
            <w:tcW w:w="1800" w:type="dxa"/>
            <w:tcBorders>
              <w:top w:val="single" w:sz="4" w:space="0" w:color="auto"/>
            </w:tcBorders>
            <w:shd w:val="clear" w:color="auto" w:fill="auto"/>
          </w:tcPr>
          <w:p w14:paraId="36515B7A"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w:t>
            </w:r>
          </w:p>
        </w:tc>
        <w:tc>
          <w:tcPr>
            <w:tcW w:w="1330" w:type="dxa"/>
            <w:tcBorders>
              <w:top w:val="single" w:sz="4" w:space="0" w:color="auto"/>
            </w:tcBorders>
            <w:shd w:val="clear" w:color="auto" w:fill="auto"/>
          </w:tcPr>
          <w:p w14:paraId="6A2F295D"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w:t>
            </w:r>
          </w:p>
        </w:tc>
        <w:tc>
          <w:tcPr>
            <w:tcW w:w="1867" w:type="dxa"/>
            <w:tcBorders>
              <w:top w:val="single" w:sz="4" w:space="0" w:color="auto"/>
              <w:right w:val="single" w:sz="4" w:space="0" w:color="auto"/>
            </w:tcBorders>
            <w:shd w:val="clear" w:color="auto" w:fill="auto"/>
          </w:tcPr>
          <w:p w14:paraId="2E52D105"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w:t>
            </w:r>
          </w:p>
        </w:tc>
      </w:tr>
      <w:tr w:rsidR="00BE532B" w:rsidRPr="00C33834" w14:paraId="471C9CC4" w14:textId="77777777" w:rsidTr="00BE532B">
        <w:trPr>
          <w:trHeight w:hRule="exact" w:val="250"/>
        </w:trPr>
        <w:tc>
          <w:tcPr>
            <w:tcW w:w="2198" w:type="dxa"/>
            <w:tcBorders>
              <w:left w:val="single" w:sz="4" w:space="0" w:color="auto"/>
            </w:tcBorders>
            <w:shd w:val="clear" w:color="auto" w:fill="auto"/>
          </w:tcPr>
          <w:p w14:paraId="614BA450"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Типография</w:t>
            </w:r>
          </w:p>
        </w:tc>
        <w:tc>
          <w:tcPr>
            <w:tcW w:w="1800" w:type="dxa"/>
            <w:shd w:val="clear" w:color="auto" w:fill="auto"/>
          </w:tcPr>
          <w:p w14:paraId="2DEB71CC"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5</w:t>
            </w:r>
          </w:p>
        </w:tc>
        <w:tc>
          <w:tcPr>
            <w:tcW w:w="1330" w:type="dxa"/>
            <w:shd w:val="clear" w:color="auto" w:fill="auto"/>
            <w:vAlign w:val="center"/>
          </w:tcPr>
          <w:p w14:paraId="3C7965B1"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w:t>
            </w:r>
          </w:p>
        </w:tc>
        <w:tc>
          <w:tcPr>
            <w:tcW w:w="1867" w:type="dxa"/>
            <w:tcBorders>
              <w:right w:val="single" w:sz="4" w:space="0" w:color="auto"/>
            </w:tcBorders>
            <w:shd w:val="clear" w:color="auto" w:fill="auto"/>
          </w:tcPr>
          <w:p w14:paraId="183F1530"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штаб —12</w:t>
            </w:r>
          </w:p>
        </w:tc>
      </w:tr>
      <w:tr w:rsidR="00BE532B" w:rsidRPr="00C33834" w14:paraId="55FD7D1A" w14:textId="77777777" w:rsidTr="00BE532B">
        <w:trPr>
          <w:trHeight w:hRule="exact" w:val="187"/>
        </w:trPr>
        <w:tc>
          <w:tcPr>
            <w:tcW w:w="2198" w:type="dxa"/>
            <w:tcBorders>
              <w:left w:val="single" w:sz="4" w:space="0" w:color="auto"/>
            </w:tcBorders>
            <w:shd w:val="clear" w:color="auto" w:fill="auto"/>
          </w:tcPr>
          <w:p w14:paraId="2FB6EC3D" w14:textId="77777777" w:rsidR="00BE532B" w:rsidRPr="00C33834" w:rsidRDefault="00BE532B" w:rsidP="00C33834">
            <w:pPr>
              <w:spacing w:after="0" w:line="240" w:lineRule="auto"/>
              <w:jc w:val="both"/>
              <w:rPr>
                <w:rFonts w:ascii="Times New Roman" w:hAnsi="Times New Roman"/>
                <w:color w:val="0070C0"/>
                <w:sz w:val="16"/>
                <w:szCs w:val="16"/>
              </w:rPr>
            </w:pPr>
          </w:p>
        </w:tc>
        <w:tc>
          <w:tcPr>
            <w:tcW w:w="1800" w:type="dxa"/>
            <w:shd w:val="clear" w:color="auto" w:fill="auto"/>
          </w:tcPr>
          <w:p w14:paraId="17919C41" w14:textId="77777777" w:rsidR="00BE532B" w:rsidRPr="00C33834" w:rsidRDefault="00BE532B" w:rsidP="00C33834">
            <w:pPr>
              <w:spacing w:after="0" w:line="240" w:lineRule="auto"/>
              <w:jc w:val="both"/>
              <w:rPr>
                <w:rFonts w:ascii="Times New Roman" w:hAnsi="Times New Roman"/>
                <w:color w:val="0070C0"/>
                <w:sz w:val="16"/>
                <w:szCs w:val="16"/>
              </w:rPr>
            </w:pPr>
          </w:p>
        </w:tc>
        <w:tc>
          <w:tcPr>
            <w:tcW w:w="1330" w:type="dxa"/>
            <w:shd w:val="clear" w:color="auto" w:fill="auto"/>
          </w:tcPr>
          <w:p w14:paraId="48243704" w14:textId="77777777" w:rsidR="00BE532B" w:rsidRPr="00C33834" w:rsidRDefault="00BE532B" w:rsidP="00C33834">
            <w:pPr>
              <w:spacing w:after="0" w:line="240" w:lineRule="auto"/>
              <w:jc w:val="both"/>
              <w:rPr>
                <w:rFonts w:ascii="Times New Roman" w:hAnsi="Times New Roman"/>
                <w:color w:val="0070C0"/>
                <w:sz w:val="16"/>
                <w:szCs w:val="16"/>
              </w:rPr>
            </w:pPr>
          </w:p>
        </w:tc>
        <w:tc>
          <w:tcPr>
            <w:tcW w:w="1867" w:type="dxa"/>
            <w:tcBorders>
              <w:right w:val="single" w:sz="4" w:space="0" w:color="auto"/>
            </w:tcBorders>
            <w:shd w:val="clear" w:color="auto" w:fill="auto"/>
          </w:tcPr>
          <w:p w14:paraId="305F6048"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машинистки — 2</w:t>
            </w:r>
          </w:p>
        </w:tc>
      </w:tr>
      <w:tr w:rsidR="00BE532B" w:rsidRPr="00C33834" w14:paraId="05D6CA95" w14:textId="77777777" w:rsidTr="00BE532B">
        <w:trPr>
          <w:trHeight w:hRule="exact" w:val="226"/>
        </w:trPr>
        <w:tc>
          <w:tcPr>
            <w:tcW w:w="2198" w:type="dxa"/>
            <w:tcBorders>
              <w:left w:val="single" w:sz="4" w:space="0" w:color="auto"/>
            </w:tcBorders>
            <w:shd w:val="clear" w:color="auto" w:fill="auto"/>
          </w:tcPr>
          <w:p w14:paraId="78B52B34"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Кино</w:t>
            </w:r>
          </w:p>
        </w:tc>
        <w:tc>
          <w:tcPr>
            <w:tcW w:w="1800" w:type="dxa"/>
            <w:shd w:val="clear" w:color="auto" w:fill="auto"/>
          </w:tcPr>
          <w:p w14:paraId="59476525"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w:t>
            </w:r>
          </w:p>
        </w:tc>
        <w:tc>
          <w:tcPr>
            <w:tcW w:w="1330" w:type="dxa"/>
            <w:shd w:val="clear" w:color="auto" w:fill="auto"/>
            <w:vAlign w:val="center"/>
          </w:tcPr>
          <w:p w14:paraId="23003501"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w:t>
            </w:r>
          </w:p>
        </w:tc>
        <w:tc>
          <w:tcPr>
            <w:tcW w:w="1867" w:type="dxa"/>
            <w:tcBorders>
              <w:right w:val="single" w:sz="4" w:space="0" w:color="auto"/>
            </w:tcBorders>
            <w:shd w:val="clear" w:color="auto" w:fill="auto"/>
          </w:tcPr>
          <w:p w14:paraId="59FE24CE" w14:textId="77777777" w:rsidR="00BE532B" w:rsidRPr="00C33834" w:rsidRDefault="00BE532B" w:rsidP="00C33834">
            <w:pPr>
              <w:spacing w:after="0" w:line="240" w:lineRule="auto"/>
              <w:jc w:val="both"/>
              <w:rPr>
                <w:rFonts w:ascii="Times New Roman" w:hAnsi="Times New Roman"/>
                <w:color w:val="0070C0"/>
                <w:sz w:val="16"/>
                <w:szCs w:val="16"/>
              </w:rPr>
            </w:pPr>
          </w:p>
        </w:tc>
      </w:tr>
      <w:tr w:rsidR="00BE532B" w:rsidRPr="00C33834" w14:paraId="3B93749B" w14:textId="77777777" w:rsidTr="00BE532B">
        <w:trPr>
          <w:trHeight w:hRule="exact" w:val="230"/>
        </w:trPr>
        <w:tc>
          <w:tcPr>
            <w:tcW w:w="3998" w:type="dxa"/>
            <w:gridSpan w:val="2"/>
            <w:tcBorders>
              <w:left w:val="single" w:sz="4" w:space="0" w:color="auto"/>
            </w:tcBorders>
            <w:shd w:val="clear" w:color="auto" w:fill="auto"/>
            <w:vAlign w:val="bottom"/>
          </w:tcPr>
          <w:p w14:paraId="1C265E25"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Аэронавигационное оборудование 1</w:t>
            </w:r>
          </w:p>
        </w:tc>
        <w:tc>
          <w:tcPr>
            <w:tcW w:w="1330" w:type="dxa"/>
            <w:shd w:val="clear" w:color="auto" w:fill="auto"/>
            <w:vAlign w:val="center"/>
          </w:tcPr>
          <w:p w14:paraId="06F664C5"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w:t>
            </w:r>
          </w:p>
        </w:tc>
        <w:tc>
          <w:tcPr>
            <w:tcW w:w="1867" w:type="dxa"/>
            <w:tcBorders>
              <w:right w:val="single" w:sz="4" w:space="0" w:color="auto"/>
            </w:tcBorders>
            <w:shd w:val="clear" w:color="auto" w:fill="auto"/>
            <w:vAlign w:val="center"/>
          </w:tcPr>
          <w:p w14:paraId="35849D4D"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w:t>
            </w:r>
          </w:p>
        </w:tc>
      </w:tr>
      <w:tr w:rsidR="00BE532B" w:rsidRPr="00C33834" w14:paraId="77AB9FE9" w14:textId="77777777" w:rsidTr="00BE532B">
        <w:trPr>
          <w:trHeight w:hRule="exact" w:val="216"/>
        </w:trPr>
        <w:tc>
          <w:tcPr>
            <w:tcW w:w="2198" w:type="dxa"/>
            <w:tcBorders>
              <w:left w:val="single" w:sz="4" w:space="0" w:color="auto"/>
            </w:tcBorders>
            <w:shd w:val="clear" w:color="auto" w:fill="auto"/>
            <w:vAlign w:val="center"/>
          </w:tcPr>
          <w:p w14:paraId="22ED2BC9"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ЦЭС (механики)</w:t>
            </w:r>
          </w:p>
        </w:tc>
        <w:tc>
          <w:tcPr>
            <w:tcW w:w="1800" w:type="dxa"/>
            <w:shd w:val="clear" w:color="auto" w:fill="auto"/>
            <w:vAlign w:val="center"/>
          </w:tcPr>
          <w:p w14:paraId="7FB590D0"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w:t>
            </w:r>
          </w:p>
        </w:tc>
        <w:tc>
          <w:tcPr>
            <w:tcW w:w="1330" w:type="dxa"/>
            <w:shd w:val="clear" w:color="auto" w:fill="auto"/>
            <w:vAlign w:val="center"/>
          </w:tcPr>
          <w:p w14:paraId="738170BF"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w:t>
            </w:r>
          </w:p>
        </w:tc>
        <w:tc>
          <w:tcPr>
            <w:tcW w:w="1867" w:type="dxa"/>
            <w:tcBorders>
              <w:right w:val="single" w:sz="4" w:space="0" w:color="auto"/>
            </w:tcBorders>
            <w:shd w:val="clear" w:color="auto" w:fill="auto"/>
            <w:vAlign w:val="center"/>
          </w:tcPr>
          <w:p w14:paraId="47CF52E3"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w:t>
            </w:r>
          </w:p>
        </w:tc>
      </w:tr>
      <w:tr w:rsidR="00BE532B" w:rsidRPr="00C33834" w14:paraId="43BF681A" w14:textId="77777777" w:rsidTr="00BE532B">
        <w:trPr>
          <w:trHeight w:hRule="exact" w:val="216"/>
        </w:trPr>
        <w:tc>
          <w:tcPr>
            <w:tcW w:w="2198" w:type="dxa"/>
            <w:tcBorders>
              <w:left w:val="single" w:sz="4" w:space="0" w:color="auto"/>
            </w:tcBorders>
            <w:shd w:val="clear" w:color="auto" w:fill="auto"/>
          </w:tcPr>
          <w:p w14:paraId="0E22987F"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пилоты</w:t>
            </w:r>
          </w:p>
        </w:tc>
        <w:tc>
          <w:tcPr>
            <w:tcW w:w="1800" w:type="dxa"/>
            <w:shd w:val="clear" w:color="auto" w:fill="auto"/>
          </w:tcPr>
          <w:p w14:paraId="6040F483"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w:t>
            </w:r>
          </w:p>
        </w:tc>
        <w:tc>
          <w:tcPr>
            <w:tcW w:w="1330" w:type="dxa"/>
            <w:shd w:val="clear" w:color="auto" w:fill="auto"/>
          </w:tcPr>
          <w:p w14:paraId="36F11E28"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w:t>
            </w:r>
          </w:p>
        </w:tc>
        <w:tc>
          <w:tcPr>
            <w:tcW w:w="1867" w:type="dxa"/>
            <w:tcBorders>
              <w:right w:val="single" w:sz="4" w:space="0" w:color="auto"/>
            </w:tcBorders>
            <w:shd w:val="clear" w:color="auto" w:fill="auto"/>
          </w:tcPr>
          <w:p w14:paraId="5B1EB2D4"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w:t>
            </w:r>
          </w:p>
        </w:tc>
      </w:tr>
      <w:tr w:rsidR="00BE532B" w:rsidRPr="00C33834" w14:paraId="1D604EBE" w14:textId="77777777" w:rsidTr="00BE532B">
        <w:trPr>
          <w:trHeight w:hRule="exact" w:val="226"/>
        </w:trPr>
        <w:tc>
          <w:tcPr>
            <w:tcW w:w="2198" w:type="dxa"/>
            <w:tcBorders>
              <w:left w:val="single" w:sz="4" w:space="0" w:color="auto"/>
            </w:tcBorders>
            <w:shd w:val="clear" w:color="auto" w:fill="auto"/>
          </w:tcPr>
          <w:p w14:paraId="2109754E"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Бортмеханики</w:t>
            </w:r>
          </w:p>
        </w:tc>
        <w:tc>
          <w:tcPr>
            <w:tcW w:w="1800" w:type="dxa"/>
            <w:shd w:val="clear" w:color="auto" w:fill="auto"/>
          </w:tcPr>
          <w:p w14:paraId="02E5EC3C"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w:t>
            </w:r>
          </w:p>
        </w:tc>
        <w:tc>
          <w:tcPr>
            <w:tcW w:w="1330" w:type="dxa"/>
            <w:shd w:val="clear" w:color="auto" w:fill="auto"/>
          </w:tcPr>
          <w:p w14:paraId="49A4646E"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w:t>
            </w:r>
          </w:p>
        </w:tc>
        <w:tc>
          <w:tcPr>
            <w:tcW w:w="1867" w:type="dxa"/>
            <w:tcBorders>
              <w:right w:val="single" w:sz="4" w:space="0" w:color="auto"/>
            </w:tcBorders>
            <w:shd w:val="clear" w:color="auto" w:fill="auto"/>
          </w:tcPr>
          <w:p w14:paraId="42ADB75D"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w:t>
            </w:r>
          </w:p>
        </w:tc>
      </w:tr>
      <w:tr w:rsidR="00BE532B" w:rsidRPr="00C33834" w14:paraId="34912572" w14:textId="77777777" w:rsidTr="00BE532B">
        <w:trPr>
          <w:trHeight w:hRule="exact" w:val="226"/>
        </w:trPr>
        <w:tc>
          <w:tcPr>
            <w:tcW w:w="2198" w:type="dxa"/>
            <w:tcBorders>
              <w:left w:val="single" w:sz="4" w:space="0" w:color="auto"/>
            </w:tcBorders>
            <w:shd w:val="clear" w:color="auto" w:fill="auto"/>
            <w:vAlign w:val="center"/>
          </w:tcPr>
          <w:p w14:paraId="12B98E57"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Штурманы</w:t>
            </w:r>
          </w:p>
        </w:tc>
        <w:tc>
          <w:tcPr>
            <w:tcW w:w="1800" w:type="dxa"/>
            <w:shd w:val="clear" w:color="auto" w:fill="auto"/>
            <w:vAlign w:val="center"/>
          </w:tcPr>
          <w:p w14:paraId="739665BC"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w:t>
            </w:r>
          </w:p>
        </w:tc>
        <w:tc>
          <w:tcPr>
            <w:tcW w:w="1330" w:type="dxa"/>
            <w:shd w:val="clear" w:color="auto" w:fill="auto"/>
            <w:vAlign w:val="center"/>
          </w:tcPr>
          <w:p w14:paraId="6BC9DE19"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w:t>
            </w:r>
          </w:p>
        </w:tc>
        <w:tc>
          <w:tcPr>
            <w:tcW w:w="1867" w:type="dxa"/>
            <w:tcBorders>
              <w:right w:val="single" w:sz="4" w:space="0" w:color="auto"/>
            </w:tcBorders>
            <w:shd w:val="clear" w:color="auto" w:fill="auto"/>
            <w:vAlign w:val="center"/>
          </w:tcPr>
          <w:p w14:paraId="3A5A4836"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w:t>
            </w:r>
          </w:p>
        </w:tc>
      </w:tr>
      <w:tr w:rsidR="00BE532B" w:rsidRPr="00C33834" w14:paraId="58D2435A" w14:textId="77777777" w:rsidTr="00BE532B">
        <w:trPr>
          <w:trHeight w:hRule="exact" w:val="206"/>
        </w:trPr>
        <w:tc>
          <w:tcPr>
            <w:tcW w:w="2198" w:type="dxa"/>
            <w:tcBorders>
              <w:left w:val="single" w:sz="4" w:space="0" w:color="auto"/>
            </w:tcBorders>
            <w:shd w:val="clear" w:color="auto" w:fill="auto"/>
          </w:tcPr>
          <w:p w14:paraId="3F565A7C"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Редколлегия</w:t>
            </w:r>
          </w:p>
        </w:tc>
        <w:tc>
          <w:tcPr>
            <w:tcW w:w="1800" w:type="dxa"/>
            <w:shd w:val="clear" w:color="auto" w:fill="auto"/>
          </w:tcPr>
          <w:p w14:paraId="6EDA193E"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w:t>
            </w:r>
          </w:p>
        </w:tc>
        <w:tc>
          <w:tcPr>
            <w:tcW w:w="1330" w:type="dxa"/>
            <w:shd w:val="clear" w:color="auto" w:fill="auto"/>
            <w:vAlign w:val="center"/>
          </w:tcPr>
          <w:p w14:paraId="40074354"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w:t>
            </w:r>
          </w:p>
        </w:tc>
        <w:tc>
          <w:tcPr>
            <w:tcW w:w="1867" w:type="dxa"/>
            <w:tcBorders>
              <w:right w:val="single" w:sz="4" w:space="0" w:color="auto"/>
            </w:tcBorders>
            <w:shd w:val="clear" w:color="auto" w:fill="auto"/>
          </w:tcPr>
          <w:p w14:paraId="71AEC541"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w:t>
            </w:r>
          </w:p>
        </w:tc>
      </w:tr>
      <w:tr w:rsidR="00BE532B" w:rsidRPr="00C33834" w14:paraId="75221A8B" w14:textId="77777777" w:rsidTr="00BE532B">
        <w:trPr>
          <w:trHeight w:hRule="exact" w:val="221"/>
        </w:trPr>
        <w:tc>
          <w:tcPr>
            <w:tcW w:w="2198" w:type="dxa"/>
            <w:tcBorders>
              <w:left w:val="single" w:sz="4" w:space="0" w:color="auto"/>
            </w:tcBorders>
            <w:shd w:val="clear" w:color="auto" w:fill="auto"/>
          </w:tcPr>
          <w:p w14:paraId="156EAD8A"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Редколлегия</w:t>
            </w:r>
          </w:p>
        </w:tc>
        <w:tc>
          <w:tcPr>
            <w:tcW w:w="1800" w:type="dxa"/>
            <w:shd w:val="clear" w:color="auto" w:fill="auto"/>
          </w:tcPr>
          <w:p w14:paraId="52043271"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w:t>
            </w:r>
          </w:p>
        </w:tc>
        <w:tc>
          <w:tcPr>
            <w:tcW w:w="1330" w:type="dxa"/>
            <w:shd w:val="clear" w:color="auto" w:fill="auto"/>
            <w:vAlign w:val="bottom"/>
          </w:tcPr>
          <w:p w14:paraId="060FF272"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w:t>
            </w:r>
          </w:p>
        </w:tc>
        <w:tc>
          <w:tcPr>
            <w:tcW w:w="1867" w:type="dxa"/>
            <w:tcBorders>
              <w:right w:val="single" w:sz="4" w:space="0" w:color="auto"/>
            </w:tcBorders>
            <w:shd w:val="clear" w:color="auto" w:fill="auto"/>
          </w:tcPr>
          <w:p w14:paraId="2CD4A747"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специалисты — 3—5</w:t>
            </w:r>
          </w:p>
        </w:tc>
      </w:tr>
      <w:tr w:rsidR="00BE532B" w:rsidRPr="00C33834" w14:paraId="7F6E090C" w14:textId="77777777" w:rsidTr="00BE532B">
        <w:trPr>
          <w:trHeight w:hRule="exact" w:val="230"/>
        </w:trPr>
        <w:tc>
          <w:tcPr>
            <w:tcW w:w="2198" w:type="dxa"/>
            <w:tcBorders>
              <w:left w:val="single" w:sz="4" w:space="0" w:color="auto"/>
            </w:tcBorders>
            <w:shd w:val="clear" w:color="auto" w:fill="auto"/>
          </w:tcPr>
          <w:p w14:paraId="386138D6"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Прислуга</w:t>
            </w:r>
          </w:p>
        </w:tc>
        <w:tc>
          <w:tcPr>
            <w:tcW w:w="1800" w:type="dxa"/>
            <w:shd w:val="clear" w:color="auto" w:fill="auto"/>
          </w:tcPr>
          <w:p w14:paraId="04CE4AC7"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1</w:t>
            </w:r>
          </w:p>
        </w:tc>
        <w:tc>
          <w:tcPr>
            <w:tcW w:w="1330" w:type="dxa"/>
            <w:shd w:val="clear" w:color="auto" w:fill="auto"/>
          </w:tcPr>
          <w:p w14:paraId="79177062"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w:t>
            </w:r>
          </w:p>
        </w:tc>
        <w:tc>
          <w:tcPr>
            <w:tcW w:w="1867" w:type="dxa"/>
            <w:tcBorders>
              <w:right w:val="single" w:sz="4" w:space="0" w:color="auto"/>
            </w:tcBorders>
            <w:shd w:val="clear" w:color="auto" w:fill="auto"/>
          </w:tcPr>
          <w:p w14:paraId="133F535E"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w:t>
            </w:r>
          </w:p>
        </w:tc>
      </w:tr>
      <w:tr w:rsidR="00BE532B" w:rsidRPr="00C33834" w14:paraId="71D26CA0" w14:textId="77777777" w:rsidTr="00BE532B">
        <w:trPr>
          <w:trHeight w:hRule="exact" w:val="360"/>
        </w:trPr>
        <w:tc>
          <w:tcPr>
            <w:tcW w:w="2198" w:type="dxa"/>
            <w:tcBorders>
              <w:left w:val="single" w:sz="4" w:space="0" w:color="auto"/>
              <w:bottom w:val="single" w:sz="4" w:space="0" w:color="auto"/>
            </w:tcBorders>
            <w:shd w:val="clear" w:color="auto" w:fill="auto"/>
          </w:tcPr>
          <w:p w14:paraId="3B5E11A3" w14:textId="77777777" w:rsidR="00BE532B" w:rsidRPr="00C33834" w:rsidRDefault="00BE532B" w:rsidP="00C33834">
            <w:pPr>
              <w:spacing w:after="0" w:line="240" w:lineRule="auto"/>
              <w:jc w:val="both"/>
              <w:rPr>
                <w:rFonts w:ascii="Times New Roman" w:hAnsi="Times New Roman"/>
                <w:color w:val="0070C0"/>
                <w:sz w:val="16"/>
                <w:szCs w:val="16"/>
              </w:rPr>
            </w:pPr>
          </w:p>
        </w:tc>
        <w:tc>
          <w:tcPr>
            <w:tcW w:w="1800" w:type="dxa"/>
            <w:tcBorders>
              <w:bottom w:val="single" w:sz="4" w:space="0" w:color="auto"/>
            </w:tcBorders>
            <w:shd w:val="clear" w:color="auto" w:fill="auto"/>
          </w:tcPr>
          <w:p w14:paraId="22D772DB"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21</w:t>
            </w:r>
          </w:p>
        </w:tc>
        <w:tc>
          <w:tcPr>
            <w:tcW w:w="1330" w:type="dxa"/>
            <w:tcBorders>
              <w:bottom w:val="single" w:sz="4" w:space="0" w:color="auto"/>
            </w:tcBorders>
            <w:shd w:val="clear" w:color="auto" w:fill="auto"/>
          </w:tcPr>
          <w:p w14:paraId="3E5E10D4"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w:t>
            </w:r>
          </w:p>
        </w:tc>
        <w:tc>
          <w:tcPr>
            <w:tcW w:w="1867" w:type="dxa"/>
            <w:tcBorders>
              <w:bottom w:val="single" w:sz="4" w:space="0" w:color="auto"/>
              <w:right w:val="single" w:sz="4" w:space="0" w:color="auto"/>
            </w:tcBorders>
            <w:shd w:val="clear" w:color="auto" w:fill="auto"/>
          </w:tcPr>
          <w:p w14:paraId="39B8639E"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29—31</w:t>
            </w:r>
          </w:p>
        </w:tc>
      </w:tr>
    </w:tbl>
    <w:p w14:paraId="309E3A3A"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Ваш ответ просим не задерживать, так как сведения о персонале нужны для обеспечения кадров и включения в смету 1-го квартала стоимости содержания пер</w:t>
      </w:r>
      <w:r w:rsidRPr="00C33834">
        <w:rPr>
          <w:rFonts w:ascii="Times New Roman" w:hAnsi="Times New Roman"/>
          <w:color w:val="0070C0"/>
          <w:sz w:val="16"/>
          <w:szCs w:val="16"/>
        </w:rPr>
        <w:softHyphen/>
        <w:t>сонала» (21240).</w:t>
      </w:r>
    </w:p>
    <w:p w14:paraId="412C7F8A" w14:textId="77777777" w:rsidR="00BE532B" w:rsidRPr="00C33834" w:rsidRDefault="00BE532B" w:rsidP="00C33834">
      <w:pPr>
        <w:shd w:val="clear" w:color="auto" w:fill="FFFFFF"/>
        <w:spacing w:after="0" w:line="240" w:lineRule="auto"/>
        <w:jc w:val="both"/>
        <w:rPr>
          <w:rFonts w:ascii="Times New Roman" w:hAnsi="Times New Roman"/>
          <w:color w:val="0070C0"/>
          <w:sz w:val="16"/>
          <w:szCs w:val="16"/>
        </w:rPr>
      </w:pPr>
    </w:p>
    <w:p w14:paraId="6912D8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декабря 1933 секретарь КО Базилевич писал письмо № 2075/ко НКВТ тов. Боеву:</w:t>
      </w:r>
    </w:p>
    <w:p w14:paraId="12F6145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Сообщаю для исполнения резолюцию на Вашем докладе от 23 декабря 1933 г. за № 1008/1651 о покупке дюймовых или метрических моторов у фирмы “Кертис-Райт”:</w:t>
      </w:r>
    </w:p>
    <w:p w14:paraId="0577A70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“Счмитать нужным остаться при прежнем решении. Молотов, Ворошилов, Сталин, Орджоникидзе” (4170,29).</w:t>
      </w:r>
    </w:p>
    <w:p w14:paraId="5A5055D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6FA1B2E" w14:textId="77777777" w:rsidR="001E4A85" w:rsidRPr="00C33834" w:rsidRDefault="001A42D5" w:rsidP="00C33834">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3F19A23" w14:textId="77777777" w:rsidR="001E4A85" w:rsidRPr="00C33834" w:rsidRDefault="001E4A85" w:rsidP="00C33834">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p>
    <w:p w14:paraId="76B3162A" w14:textId="77777777" w:rsidR="001E4A85" w:rsidRPr="00C33834" w:rsidRDefault="001E4A85" w:rsidP="00C33834">
      <w:pPr>
        <w:pStyle w:val="rtejustify"/>
        <w:spacing w:before="0" w:after="0"/>
        <w:rPr>
          <w:color w:val="000000" w:themeColor="text1"/>
          <w:sz w:val="16"/>
          <w:szCs w:val="16"/>
        </w:rPr>
      </w:pPr>
      <w:r w:rsidRPr="00C33834">
        <w:rPr>
          <w:rStyle w:val="af0"/>
          <w:bCs/>
          <w:i w:val="0"/>
          <w:color w:val="000000" w:themeColor="text1"/>
          <w:sz w:val="16"/>
          <w:szCs w:val="16"/>
        </w:rPr>
        <w:t>28 декабря 1933 вышел приказ НКТП № 248с.</w:t>
      </w:r>
      <w:r w:rsidRPr="00C33834">
        <w:rPr>
          <w:color w:val="000000" w:themeColor="text1"/>
          <w:sz w:val="16"/>
          <w:szCs w:val="16"/>
        </w:rPr>
        <w:t xml:space="preserve"> Об организационной перестройке секретных органов на предприятиях НКТП СССР. (РГАЭ. Ф. 7297. Оп. 38. Д. 38. Л. 245</w:t>
      </w:r>
      <w:r w:rsidRPr="00C33834">
        <w:rPr>
          <w:color w:val="000000" w:themeColor="text1"/>
          <w:sz w:val="16"/>
          <w:szCs w:val="16"/>
        </w:rPr>
        <w:noBreakHyphen/>
        <w:t>244) (15246).</w:t>
      </w:r>
    </w:p>
    <w:p w14:paraId="4F664736" w14:textId="6BF0B417" w:rsidR="001E4A85" w:rsidRPr="00C33834" w:rsidRDefault="001E4A85" w:rsidP="00C33834">
      <w:pPr>
        <w:pStyle w:val="rtejustify"/>
        <w:spacing w:before="0" w:after="0"/>
        <w:rPr>
          <w:color w:val="000000" w:themeColor="text1"/>
          <w:sz w:val="16"/>
          <w:szCs w:val="16"/>
        </w:rPr>
      </w:pPr>
    </w:p>
    <w:p w14:paraId="0C39BA03" w14:textId="120D5AA7" w:rsidR="00BE532B" w:rsidRPr="00C33834" w:rsidRDefault="00BE532B" w:rsidP="00C33834">
      <w:pPr>
        <w:pStyle w:val="rtejustify"/>
        <w:spacing w:before="0" w:after="0"/>
        <w:rPr>
          <w:i/>
          <w:iCs/>
          <w:color w:val="000000" w:themeColor="text1"/>
          <w:sz w:val="16"/>
          <w:szCs w:val="16"/>
        </w:rPr>
      </w:pPr>
      <w:r w:rsidRPr="00C33834">
        <w:rPr>
          <w:i/>
          <w:iCs/>
          <w:color w:val="000000" w:themeColor="text1"/>
          <w:sz w:val="16"/>
          <w:szCs w:val="16"/>
        </w:rPr>
        <w:t>За рубежом:</w:t>
      </w:r>
    </w:p>
    <w:p w14:paraId="6390BD8C" w14:textId="77777777" w:rsidR="00BE532B" w:rsidRPr="00C33834" w:rsidRDefault="00BE532B" w:rsidP="00C33834">
      <w:pPr>
        <w:pStyle w:val="rtejustify"/>
        <w:spacing w:before="0" w:after="0"/>
        <w:rPr>
          <w:i/>
          <w:iCs/>
          <w:color w:val="000000" w:themeColor="text1"/>
          <w:sz w:val="16"/>
          <w:szCs w:val="16"/>
        </w:rPr>
      </w:pPr>
    </w:p>
    <w:p w14:paraId="01F26E75"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28 декабря 1933 года — первый полёт разведывательной летающей лодки Loire 70. /Франция/</w:t>
      </w:r>
    </w:p>
    <w:p w14:paraId="4C8429AA"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ВМС Франции в 1932 году сформулировали требования к дальней разведывательной летающей лодке с возможностью нести бомбовое вооружение. В ответ на это компания Loire Aviation начала работу над проектом Loire 70. Прототип был построен за 1 год.</w:t>
      </w:r>
    </w:p>
    <w:p w14:paraId="053F2A38"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Это была цельнометаллическая летающая лодка-высокоплан с 3 × двигателями Gnome-Rhône 9Kfr (740 л.с.) Два из них вращали тянущие винты, один — толкающие. Максимальная скорость — 235 км/ч, дальность полёта — 3001 км. Вооружение состояло из 6 × 7,5-мм пулемётов Darne и 4 × 150-кг бомб. Экипаж — 8 человек.</w:t>
      </w:r>
    </w:p>
    <w:p w14:paraId="63434716" w14:textId="77777777" w:rsidR="00BE532B" w:rsidRPr="00C33834" w:rsidRDefault="00BE532B"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Испытания и исправление недочётов затянулись, и серийное производство Loire 70 началось лишь в 1937 году. Построили 8 летающих лодок, принятых на вооружение французскими ВМС. Все они были потеряны на раннем этапе Второй мировой войны в 1940 году (22300).</w:t>
      </w:r>
    </w:p>
    <w:p w14:paraId="270AFF4B" w14:textId="77777777" w:rsidR="00BE532B" w:rsidRPr="00C33834" w:rsidRDefault="00BE532B" w:rsidP="00C33834">
      <w:pPr>
        <w:spacing w:after="0" w:line="240" w:lineRule="auto"/>
        <w:jc w:val="both"/>
        <w:rPr>
          <w:rFonts w:ascii="Times New Roman" w:hAnsi="Times New Roman"/>
          <w:color w:val="0070C0"/>
          <w:sz w:val="16"/>
          <w:szCs w:val="16"/>
        </w:rPr>
      </w:pPr>
    </w:p>
    <w:p w14:paraId="21C6C97F"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22CCFAC"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C27DEB6"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декабря 1933 года Начальник НИИ ВВС Зильберт утвердил Отчет по гос. испытаниям эталона самолета ТБ3-4М34Р (редукторного) (6663).</w:t>
      </w:r>
    </w:p>
    <w:p w14:paraId="5097D52A"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6BD99F92"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инженеры Лосюков, Кудрявцев</w:t>
      </w:r>
    </w:p>
    <w:p w14:paraId="16CB92C9"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летчик Байдуков</w:t>
      </w:r>
    </w:p>
    <w:p w14:paraId="1ACAEE7B"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762BA6C4"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 самолета с целью выявления преимуществ, которые дает установка на самолете моторов М34Р (редукторных).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276"/>
        <w:gridCol w:w="1274"/>
        <w:gridCol w:w="1303"/>
        <w:gridCol w:w="1674"/>
      </w:tblGrid>
      <w:tr w:rsidR="00F26F01" w:rsidRPr="00C33834" w14:paraId="227269BD" w14:textId="77777777">
        <w:tc>
          <w:tcPr>
            <w:tcW w:w="3652" w:type="dxa"/>
          </w:tcPr>
          <w:p w14:paraId="03A9B55A"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09EF2D2"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ТБ3-4М34Р</w:t>
            </w:r>
          </w:p>
        </w:tc>
        <w:tc>
          <w:tcPr>
            <w:tcW w:w="1274" w:type="dxa"/>
          </w:tcPr>
          <w:p w14:paraId="0CD633D1"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w:t>
            </w:r>
          </w:p>
        </w:tc>
        <w:tc>
          <w:tcPr>
            <w:tcW w:w="1303" w:type="dxa"/>
          </w:tcPr>
          <w:p w14:paraId="108E7E05"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w:t>
            </w:r>
          </w:p>
        </w:tc>
        <w:tc>
          <w:tcPr>
            <w:tcW w:w="1674" w:type="dxa"/>
          </w:tcPr>
          <w:p w14:paraId="458535EC"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w:t>
            </w:r>
          </w:p>
        </w:tc>
      </w:tr>
      <w:tr w:rsidR="00F26F01" w:rsidRPr="00C33834" w14:paraId="7DD773CC" w14:textId="77777777">
        <w:tc>
          <w:tcPr>
            <w:tcW w:w="3652" w:type="dxa"/>
          </w:tcPr>
          <w:p w14:paraId="1A4F4AA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EF0D8F0"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4" w:type="dxa"/>
          </w:tcPr>
          <w:p w14:paraId="28BF6653"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303" w:type="dxa"/>
          </w:tcPr>
          <w:p w14:paraId="51C550CC"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модифицир.</w:t>
            </w:r>
          </w:p>
        </w:tc>
        <w:tc>
          <w:tcPr>
            <w:tcW w:w="1674" w:type="dxa"/>
          </w:tcPr>
          <w:p w14:paraId="19B9895D"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3DD3E94" w14:textId="77777777">
        <w:tc>
          <w:tcPr>
            <w:tcW w:w="3652" w:type="dxa"/>
          </w:tcPr>
          <w:p w14:paraId="4D825018"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Полетный вес самолета</w:t>
            </w:r>
          </w:p>
        </w:tc>
        <w:tc>
          <w:tcPr>
            <w:tcW w:w="1276" w:type="dxa"/>
          </w:tcPr>
          <w:p w14:paraId="1B4793A5"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18600</w:t>
            </w:r>
          </w:p>
        </w:tc>
        <w:tc>
          <w:tcPr>
            <w:tcW w:w="1274" w:type="dxa"/>
          </w:tcPr>
          <w:p w14:paraId="23F7DC23"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18100</w:t>
            </w:r>
          </w:p>
        </w:tc>
        <w:tc>
          <w:tcPr>
            <w:tcW w:w="1303" w:type="dxa"/>
          </w:tcPr>
          <w:p w14:paraId="76C4F138"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17200</w:t>
            </w:r>
          </w:p>
        </w:tc>
        <w:tc>
          <w:tcPr>
            <w:tcW w:w="1674" w:type="dxa"/>
          </w:tcPr>
          <w:p w14:paraId="7C66EE9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17200</w:t>
            </w:r>
          </w:p>
        </w:tc>
      </w:tr>
      <w:tr w:rsidR="00F26F01" w:rsidRPr="00C33834" w14:paraId="5DEF1CCB" w14:textId="77777777">
        <w:tc>
          <w:tcPr>
            <w:tcW w:w="3652" w:type="dxa"/>
          </w:tcPr>
          <w:p w14:paraId="29B66E23"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 скорость у земли</w:t>
            </w:r>
          </w:p>
        </w:tc>
        <w:tc>
          <w:tcPr>
            <w:tcW w:w="1276" w:type="dxa"/>
          </w:tcPr>
          <w:p w14:paraId="56ABFB4C"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229,0</w:t>
            </w:r>
          </w:p>
        </w:tc>
        <w:tc>
          <w:tcPr>
            <w:tcW w:w="1274" w:type="dxa"/>
          </w:tcPr>
          <w:p w14:paraId="1ED4707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207,5</w:t>
            </w:r>
          </w:p>
        </w:tc>
        <w:tc>
          <w:tcPr>
            <w:tcW w:w="1303" w:type="dxa"/>
          </w:tcPr>
          <w:p w14:paraId="56EC8277"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215(4)/</w:t>
            </w:r>
          </w:p>
        </w:tc>
        <w:tc>
          <w:tcPr>
            <w:tcW w:w="1674" w:type="dxa"/>
          </w:tcPr>
          <w:p w14:paraId="4A55F043"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184(1)</w:t>
            </w:r>
          </w:p>
        </w:tc>
      </w:tr>
      <w:tr w:rsidR="00F26F01" w:rsidRPr="00C33834" w14:paraId="06C9B281" w14:textId="77777777">
        <w:tc>
          <w:tcPr>
            <w:tcW w:w="3652" w:type="dxa"/>
          </w:tcPr>
          <w:p w14:paraId="39308B83"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664EC6C"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4" w:type="dxa"/>
          </w:tcPr>
          <w:p w14:paraId="38CE97D1"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303" w:type="dxa"/>
          </w:tcPr>
          <w:p w14:paraId="68A309A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187(1)</w:t>
            </w:r>
          </w:p>
        </w:tc>
        <w:tc>
          <w:tcPr>
            <w:tcW w:w="1674" w:type="dxa"/>
          </w:tcPr>
          <w:p w14:paraId="51B779D5"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503643D" w14:textId="77777777">
        <w:tc>
          <w:tcPr>
            <w:tcW w:w="3652" w:type="dxa"/>
          </w:tcPr>
          <w:p w14:paraId="02D1B557"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 скорость на 3000 м</w:t>
            </w:r>
          </w:p>
        </w:tc>
        <w:tc>
          <w:tcPr>
            <w:tcW w:w="1276" w:type="dxa"/>
          </w:tcPr>
          <w:p w14:paraId="4226801B"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211,0</w:t>
            </w:r>
          </w:p>
        </w:tc>
        <w:tc>
          <w:tcPr>
            <w:tcW w:w="1274" w:type="dxa"/>
          </w:tcPr>
          <w:p w14:paraId="5A0D59C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185</w:t>
            </w:r>
          </w:p>
        </w:tc>
        <w:tc>
          <w:tcPr>
            <w:tcW w:w="1303" w:type="dxa"/>
          </w:tcPr>
          <w:p w14:paraId="4D3B4E6A"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196</w:t>
            </w:r>
          </w:p>
        </w:tc>
        <w:tc>
          <w:tcPr>
            <w:tcW w:w="1674" w:type="dxa"/>
          </w:tcPr>
          <w:p w14:paraId="773C07C7"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177</w:t>
            </w:r>
          </w:p>
        </w:tc>
      </w:tr>
      <w:tr w:rsidR="00F26F01" w:rsidRPr="00C33834" w14:paraId="09CB2A76" w14:textId="77777777">
        <w:tc>
          <w:tcPr>
            <w:tcW w:w="3652" w:type="dxa"/>
          </w:tcPr>
          <w:p w14:paraId="7E29573E"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на 1000 м</w:t>
            </w:r>
          </w:p>
        </w:tc>
        <w:tc>
          <w:tcPr>
            <w:tcW w:w="1276" w:type="dxa"/>
          </w:tcPr>
          <w:p w14:paraId="1304D29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4,1 </w:t>
            </w:r>
          </w:p>
        </w:tc>
        <w:tc>
          <w:tcPr>
            <w:tcW w:w="1274" w:type="dxa"/>
          </w:tcPr>
          <w:p w14:paraId="3B10E339"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tc>
        <w:tc>
          <w:tcPr>
            <w:tcW w:w="1303" w:type="dxa"/>
          </w:tcPr>
          <w:p w14:paraId="11E9C3CC"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674" w:type="dxa"/>
          </w:tcPr>
          <w:p w14:paraId="50092487"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9,2</w:t>
            </w:r>
          </w:p>
        </w:tc>
      </w:tr>
      <w:tr w:rsidR="00F26F01" w:rsidRPr="00C33834" w14:paraId="0E45D374" w14:textId="77777777">
        <w:tc>
          <w:tcPr>
            <w:tcW w:w="3652" w:type="dxa"/>
          </w:tcPr>
          <w:p w14:paraId="5228950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на 3000 м</w:t>
            </w:r>
          </w:p>
        </w:tc>
        <w:tc>
          <w:tcPr>
            <w:tcW w:w="1276" w:type="dxa"/>
          </w:tcPr>
          <w:p w14:paraId="79EB3005"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17,6</w:t>
            </w:r>
          </w:p>
        </w:tc>
        <w:tc>
          <w:tcPr>
            <w:tcW w:w="1274" w:type="dxa"/>
          </w:tcPr>
          <w:p w14:paraId="4E9E2C46"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32,8</w:t>
            </w:r>
          </w:p>
        </w:tc>
        <w:tc>
          <w:tcPr>
            <w:tcW w:w="1303" w:type="dxa"/>
          </w:tcPr>
          <w:p w14:paraId="25154808"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29,5</w:t>
            </w:r>
          </w:p>
        </w:tc>
        <w:tc>
          <w:tcPr>
            <w:tcW w:w="1674" w:type="dxa"/>
          </w:tcPr>
          <w:p w14:paraId="3C792323"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42,5</w:t>
            </w:r>
          </w:p>
        </w:tc>
      </w:tr>
      <w:tr w:rsidR="00F26F01" w:rsidRPr="00C33834" w14:paraId="4644B525" w14:textId="77777777">
        <w:tc>
          <w:tcPr>
            <w:tcW w:w="3652" w:type="dxa"/>
          </w:tcPr>
          <w:p w14:paraId="27CDC589"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Практический потолок</w:t>
            </w:r>
          </w:p>
        </w:tc>
        <w:tc>
          <w:tcPr>
            <w:tcW w:w="1276" w:type="dxa"/>
          </w:tcPr>
          <w:p w14:paraId="1C1FDBA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4500</w:t>
            </w:r>
          </w:p>
        </w:tc>
        <w:tc>
          <w:tcPr>
            <w:tcW w:w="1274" w:type="dxa"/>
          </w:tcPr>
          <w:p w14:paraId="0D3B83EC"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3900</w:t>
            </w:r>
          </w:p>
        </w:tc>
        <w:tc>
          <w:tcPr>
            <w:tcW w:w="1303" w:type="dxa"/>
          </w:tcPr>
          <w:p w14:paraId="3F40A2D1"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4800</w:t>
            </w:r>
          </w:p>
        </w:tc>
        <w:tc>
          <w:tcPr>
            <w:tcW w:w="1674" w:type="dxa"/>
          </w:tcPr>
          <w:p w14:paraId="2DB2FA9A"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3800</w:t>
            </w:r>
          </w:p>
        </w:tc>
      </w:tr>
      <w:tr w:rsidR="00F26F01" w:rsidRPr="00C33834" w14:paraId="6E477CF0" w14:textId="77777777">
        <w:tc>
          <w:tcPr>
            <w:tcW w:w="3652" w:type="dxa"/>
          </w:tcPr>
          <w:p w14:paraId="54E6260E"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на практический потолок</w:t>
            </w:r>
          </w:p>
        </w:tc>
        <w:tc>
          <w:tcPr>
            <w:tcW w:w="1276" w:type="dxa"/>
          </w:tcPr>
          <w:p w14:paraId="1C4ECA38"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50,6</w:t>
            </w:r>
          </w:p>
        </w:tc>
        <w:tc>
          <w:tcPr>
            <w:tcW w:w="1274" w:type="dxa"/>
          </w:tcPr>
          <w:p w14:paraId="15B085BC"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73,4</w:t>
            </w:r>
          </w:p>
        </w:tc>
        <w:tc>
          <w:tcPr>
            <w:tcW w:w="1303" w:type="dxa"/>
          </w:tcPr>
          <w:p w14:paraId="30074A66"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82,1</w:t>
            </w:r>
          </w:p>
        </w:tc>
        <w:tc>
          <w:tcPr>
            <w:tcW w:w="1674" w:type="dxa"/>
          </w:tcPr>
          <w:p w14:paraId="22BE0160"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85,5</w:t>
            </w:r>
          </w:p>
        </w:tc>
      </w:tr>
      <w:tr w:rsidR="00F26F01" w:rsidRPr="00C33834" w14:paraId="3BEA2E8B" w14:textId="77777777">
        <w:tc>
          <w:tcPr>
            <w:tcW w:w="3652" w:type="dxa"/>
          </w:tcPr>
          <w:p w14:paraId="479104D0"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Разбег</w:t>
            </w:r>
          </w:p>
        </w:tc>
        <w:tc>
          <w:tcPr>
            <w:tcW w:w="1276" w:type="dxa"/>
          </w:tcPr>
          <w:p w14:paraId="217282B2"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150-200</w:t>
            </w:r>
          </w:p>
        </w:tc>
        <w:tc>
          <w:tcPr>
            <w:tcW w:w="1274" w:type="dxa"/>
          </w:tcPr>
          <w:p w14:paraId="410CA60E"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300-490</w:t>
            </w:r>
          </w:p>
        </w:tc>
        <w:tc>
          <w:tcPr>
            <w:tcW w:w="1303" w:type="dxa"/>
          </w:tcPr>
          <w:p w14:paraId="1D4B3431"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74" w:type="dxa"/>
          </w:tcPr>
          <w:p w14:paraId="691DEBC1"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300-450</w:t>
            </w:r>
          </w:p>
        </w:tc>
      </w:tr>
    </w:tbl>
    <w:p w14:paraId="220865C3"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w:t>
      </w:r>
    </w:p>
    <w:p w14:paraId="3734A675"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нормальный газ</w:t>
      </w:r>
    </w:p>
    <w:p w14:paraId="79E2AE51"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чистый бакинский</w:t>
      </w:r>
    </w:p>
    <w:p w14:paraId="08465523"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бензольная смесь</w:t>
      </w:r>
    </w:p>
    <w:p w14:paraId="0D3CCEFF"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форсированный газ</w:t>
      </w:r>
    </w:p>
    <w:p w14:paraId="70DDD7B6"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0B6933EA" w14:textId="77777777">
        <w:tc>
          <w:tcPr>
            <w:tcW w:w="5636" w:type="dxa"/>
          </w:tcPr>
          <w:p w14:paraId="09A96179"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октября 1933 года</w:t>
            </w:r>
          </w:p>
        </w:tc>
        <w:tc>
          <w:tcPr>
            <w:tcW w:w="5636" w:type="dxa"/>
          </w:tcPr>
          <w:p w14:paraId="420D1847"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принят от ОЭЛИД ЦАГИ, перегнан в Щелково и облетан ведущим летчиком.</w:t>
            </w:r>
          </w:p>
        </w:tc>
      </w:tr>
      <w:tr w:rsidR="00F26F01" w:rsidRPr="00C33834" w14:paraId="41CCA31A" w14:textId="77777777">
        <w:tc>
          <w:tcPr>
            <w:tcW w:w="5636" w:type="dxa"/>
          </w:tcPr>
          <w:p w14:paraId="5DF93C7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октября 1933 года</w:t>
            </w:r>
          </w:p>
        </w:tc>
        <w:tc>
          <w:tcPr>
            <w:tcW w:w="5636" w:type="dxa"/>
          </w:tcPr>
          <w:p w14:paraId="3D92BF96"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 полет на устойчивость и управляемость.</w:t>
            </w:r>
          </w:p>
        </w:tc>
      </w:tr>
      <w:tr w:rsidR="00F26F01" w:rsidRPr="00C33834" w14:paraId="2AF9A184" w14:textId="77777777">
        <w:tc>
          <w:tcPr>
            <w:tcW w:w="5636" w:type="dxa"/>
          </w:tcPr>
          <w:p w14:paraId="6299EC78"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октября 1933 года</w:t>
            </w:r>
          </w:p>
        </w:tc>
        <w:tc>
          <w:tcPr>
            <w:tcW w:w="5636" w:type="dxa"/>
          </w:tcPr>
          <w:p w14:paraId="46119122"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 полет на километраж.</w:t>
            </w:r>
          </w:p>
        </w:tc>
      </w:tr>
      <w:tr w:rsidR="00F26F01" w:rsidRPr="00C33834" w14:paraId="190C55D8" w14:textId="77777777">
        <w:tc>
          <w:tcPr>
            <w:tcW w:w="5636" w:type="dxa"/>
          </w:tcPr>
          <w:p w14:paraId="45B60877"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ноября 1933 года</w:t>
            </w:r>
          </w:p>
        </w:tc>
        <w:tc>
          <w:tcPr>
            <w:tcW w:w="5636" w:type="dxa"/>
          </w:tcPr>
          <w:p w14:paraId="736F89F4"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 полет летчиком Кастанаевым на потолок и зубцы.</w:t>
            </w:r>
          </w:p>
        </w:tc>
      </w:tr>
      <w:tr w:rsidR="00F26F01" w:rsidRPr="00C33834" w14:paraId="45CA12B6" w14:textId="77777777">
        <w:tc>
          <w:tcPr>
            <w:tcW w:w="5636" w:type="dxa"/>
          </w:tcPr>
          <w:p w14:paraId="09461138"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 ноября 1933 года</w:t>
            </w:r>
          </w:p>
        </w:tc>
        <w:tc>
          <w:tcPr>
            <w:tcW w:w="5636" w:type="dxa"/>
          </w:tcPr>
          <w:p w14:paraId="600F4B56"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 полет на зубцы у земли (500 м) и устранение девиации.</w:t>
            </w:r>
          </w:p>
        </w:tc>
      </w:tr>
      <w:tr w:rsidR="00F26F01" w:rsidRPr="00C33834" w14:paraId="25652D53" w14:textId="77777777">
        <w:tc>
          <w:tcPr>
            <w:tcW w:w="5636" w:type="dxa"/>
          </w:tcPr>
          <w:p w14:paraId="743C9C3E"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декабря 1933 года</w:t>
            </w:r>
          </w:p>
        </w:tc>
        <w:tc>
          <w:tcPr>
            <w:tcW w:w="5636" w:type="dxa"/>
          </w:tcPr>
          <w:p w14:paraId="5442E557"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летит на боевую стрельбу с задней точки.</w:t>
            </w:r>
          </w:p>
        </w:tc>
      </w:tr>
      <w:tr w:rsidR="00F26F01" w:rsidRPr="00C33834" w14:paraId="020DB526" w14:textId="77777777">
        <w:tc>
          <w:tcPr>
            <w:tcW w:w="5636" w:type="dxa"/>
          </w:tcPr>
          <w:p w14:paraId="35888027"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декабря 1933 года</w:t>
            </w:r>
          </w:p>
        </w:tc>
        <w:tc>
          <w:tcPr>
            <w:tcW w:w="5636" w:type="dxa"/>
          </w:tcPr>
          <w:p w14:paraId="50A91815"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Облет. Работа тормозными колесами.</w:t>
            </w:r>
          </w:p>
        </w:tc>
      </w:tr>
    </w:tbl>
    <w:p w14:paraId="62EB2C46"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730E5F7B"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Считать возможным допустить испытанный самолет в качестве эталона первой половины 1934 года с устранением на нем всех выявленных дефектов и выполнением требований, утвержденных начальником ВВС (6663).</w:t>
      </w:r>
    </w:p>
    <w:p w14:paraId="0971F1AA"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50C3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декабря 1933 в Харьков был направлен приказ ГУАП N ОП 302/787c за подписью зам. нач. Макаровского и нач. НТО Алмазова, предложивший К.А.К. немедленно приступить к постройке 2-х самолетов типа К-7 (70,246).</w:t>
      </w:r>
    </w:p>
    <w:p w14:paraId="7C69D1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 было письмо N ОК302/787с (2306):</w:t>
      </w:r>
    </w:p>
    <w:p w14:paraId="02945C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Константину Алексеевичу Калинину:</w:t>
      </w:r>
    </w:p>
    <w:p w14:paraId="10B057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"Настоящим предлагается немедленно приступить к постройке 2-х К-7.</w:t>
      </w:r>
    </w:p>
    <w:p w14:paraId="582283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постройке указанных самолетов Вам необходимо учесть все заключения и указания, которые Вы имеете как от аварийной комиссии, так и специальной техкомиссии, работавшей в период 15-25 декабря.</w:t>
      </w:r>
    </w:p>
    <w:p w14:paraId="3F0BF8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Особое внимание при осуществлении этих двух новых конструкций самолетов К-7 необходимо обратить внимание на вторичные перерасчеты всех ответственных частей самолета и изменение конструкции, требующимся для улучшения ЛТД и такт. качеств.</w:t>
      </w:r>
    </w:p>
    <w:p w14:paraId="493F82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Постройка обоих самолетов д.б. обязательно закончена в 1934, причем в целях скорейшего выявления всех ЛТК К-7, Вам надлежит развернуть работы таким образом, чтобы срок постройки первого экз. был август 1934." (2306).</w:t>
      </w:r>
    </w:p>
    <w:p w14:paraId="247E14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3E1C4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декабря 1933 г. ГУАП распорядилось начать постройку еще двух опытных образцов К-7 в военном варианте, учтя недостатки первой машины. Предлагалось перенести седьмой мотор в другое место, переделать хвостовые фермы, сделать центровку машины более передней, усилить набор крыла, увеличить углы отклонения стабилизатора. Калинин внес в проект ряд изменений, направленных на устранение дефектов.</w:t>
      </w:r>
    </w:p>
    <w:p w14:paraId="573E4F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сначала делался под пять моторов М-34ФРН, но они отсутствовали, и конструктор перешел к шести М34- РН. Альтернативно пытались заказать специальную партию М-34Р с увеличенной степенью сжатия; это должно было улучшить высотные характеристики самолета. НИИ ВВС рекомендовал спроектировать запасной вариант с восемью М-34. Прорабатывались также спаренные установки с двумя М-34, работающими на один винт. Стальные нервюры крыла заменили более легкими дюралевыми; хвостовые балки приобрели четырехгранное сечение. Оборонительное вооружение должно было включать три пушки и 13 пулеметов. От турелей на тележках шасси отказались, заменив их башнями, выдвигавшимися вниз из крыла (примерно как на ТБ-3).</w:t>
      </w:r>
    </w:p>
    <w:p w14:paraId="0C71730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расчетам, максимальная бомбовая нагрузка должна была составить 13 т. С 8500 кг бомб дальность полета оценивалась в 2000 км. При замене двигателей на М-34ФРН максимальная бомбовая нагрузка вырастала до 17 т. Но военных К-7 больше интересовал как транспортный самолет, способный взять на борт 150 - 200 бойцов. Конструктор обещал на второй машине получить скорость в 300 км/ч и практический потолок 7000 м.</w:t>
      </w:r>
    </w:p>
    <w:p w14:paraId="7755C3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Параллельно Калинин проектировал два пассажирских варианта - на 120 и 150 человек, а также бесхвостый вариант К-7 без балок, с вертикальным оперением на задней кромке крыла (12036).</w:t>
      </w:r>
    </w:p>
    <w:p w14:paraId="303B0D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3C7F94B" w14:textId="77777777" w:rsidR="00EB6509" w:rsidRPr="00C33834" w:rsidRDefault="00EB650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29 декабря 1933 г. вышел Приказ ГУАП о строительстве еще 2 самолетов К-7 со сроком сдачи в 1935 г. Опытный № 2 было решено делать в варианте пассажирского самолета, а № 3 – в варианте бомбардировщика (23098).</w:t>
      </w:r>
    </w:p>
    <w:p w14:paraId="69B37F32" w14:textId="77777777" w:rsidR="00EB6509" w:rsidRPr="00C33834" w:rsidRDefault="00EB6509" w:rsidP="00C33834">
      <w:pPr>
        <w:spacing w:after="0" w:line="240" w:lineRule="auto"/>
        <w:jc w:val="both"/>
        <w:rPr>
          <w:rFonts w:ascii="Times New Roman" w:hAnsi="Times New Roman"/>
          <w:color w:val="0070C0"/>
          <w:sz w:val="16"/>
          <w:szCs w:val="16"/>
        </w:rPr>
      </w:pPr>
    </w:p>
    <w:p w14:paraId="649114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декабря 1933 Нач. НТО ГУАП Алмазов писал нач. СУО Литвинову справку N 271/786с:</w:t>
      </w:r>
    </w:p>
    <w:p w14:paraId="2CBE458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числа 22 самолетов Зет, изготовленных в 1933 на заводе 39, сдано Военному Ведомству с получением удостоверений на приемку - 17.</w:t>
      </w:r>
    </w:p>
    <w:p w14:paraId="1A7F0C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оставшихся для сдачи 5 идет установка вооружения и доводка ВМГ.</w:t>
      </w:r>
    </w:p>
    <w:p w14:paraId="172111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Сдача этих 5 самолетов намечена в первой половине января 1934." (2303,36).</w:t>
      </w:r>
    </w:p>
    <w:p w14:paraId="6AB9CC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4D8BA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декабря 1933 года Начальник НИИ ВВС Зильберт утвердил Отчет о гос. испытаниях АПК-4 с перезаряжанием системы Легчакова, установленных парой на самолете "Z" N 39004.</w:t>
      </w:r>
    </w:p>
    <w:p w14:paraId="3971B0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Место испытаний - Щелковский аэродром и Ногинский полигон (стрельба). В ходе испытаний представилась возможность производить стрельбу над Щелковским аэродромом.</w:t>
      </w:r>
    </w:p>
    <w:p w14:paraId="598102C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 Лагутин.</w:t>
      </w:r>
    </w:p>
    <w:p w14:paraId="455417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46179F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Выявить эксплуатационные особенности АПК-4 с перезаряжанием сист. Легчакова при стрельбе в воздухе.</w:t>
      </w:r>
    </w:p>
    <w:p w14:paraId="1355F0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Установить работу автоматики системы при различных эволюциях самолета.</w:t>
      </w:r>
    </w:p>
    <w:p w14:paraId="62EF25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Определить влияние стрельбы на мат. часть самолета.</w:t>
      </w:r>
    </w:p>
    <w:p w14:paraId="0B80DC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Выявить преимущества в системе перезаряжания Легчакова перед другими самолетами.</w:t>
      </w:r>
    </w:p>
    <w:p w14:paraId="6993519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 Испытания проводились в основном по той же программе, что и система Курчевского в целях сравнения этих систем.</w:t>
      </w:r>
    </w:p>
    <w:p w14:paraId="53AF3F8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052577D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отработки система может быть передана на войсковые испытания.</w:t>
      </w:r>
    </w:p>
    <w:p w14:paraId="09740D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Начало испытаний 19.01.1933 г.</w:t>
      </w:r>
    </w:p>
    <w:p w14:paraId="444584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Окончание испытаний 29.11.1933 г. (3083).</w:t>
      </w:r>
    </w:p>
    <w:p w14:paraId="39FBBD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99B86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декабря 1933 была закончена постройка И-16 М-22 и с 30 декабря 1933 по 17 февраля 1934 проходили заводские испытания (7717, 19).</w:t>
      </w:r>
    </w:p>
    <w:p w14:paraId="2E81CD6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4B2E5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декабря 1933 представители ВВС утвердили повторно представленный макет военного варианта ХАИ-1 и на 21 заводе заложили опытную серию из 10 машин. Вооружение делал завод 32, а бомбодержатели - ЦАГИ (1148,28).</w:t>
      </w:r>
    </w:p>
    <w:p w14:paraId="1E0CF9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BB3D98A" w14:textId="77777777" w:rsidR="00EB6509" w:rsidRPr="00C33834" w:rsidRDefault="00EB6509" w:rsidP="00C33834">
      <w:pPr>
        <w:pStyle w:val="631"/>
        <w:shd w:val="clear" w:color="auto" w:fill="auto"/>
        <w:spacing w:line="240" w:lineRule="auto"/>
        <w:jc w:val="both"/>
        <w:rPr>
          <w:rFonts w:ascii="Times New Roman" w:hAnsi="Times New Roman" w:cs="Times New Roman"/>
          <w:color w:val="0070C0"/>
          <w:sz w:val="16"/>
          <w:szCs w:val="16"/>
        </w:rPr>
      </w:pPr>
      <w:r w:rsidRPr="00C33834">
        <w:rPr>
          <w:rFonts w:ascii="Times New Roman" w:hAnsi="Times New Roman" w:cs="Times New Roman"/>
          <w:color w:val="0070C0"/>
          <w:sz w:val="16"/>
          <w:szCs w:val="16"/>
        </w:rPr>
        <w:t>29 декабря 1933 года А-7 М-22 был закон</w:t>
      </w:r>
      <w:r w:rsidRPr="00C33834">
        <w:rPr>
          <w:rFonts w:ascii="Times New Roman" w:hAnsi="Times New Roman" w:cs="Times New Roman"/>
          <w:color w:val="0070C0"/>
          <w:sz w:val="16"/>
          <w:szCs w:val="16"/>
        </w:rPr>
        <w:softHyphen/>
        <w:t>чен постройкой и переведен на аэродром для заводских испытаний. Однако машина пробыла там очень недолго. При первых попытках раскрутить ротор испытатели столкнули с неприятным явлением. Оказалось, что лопасти сделаны слишком качественно. Как известно из аэро</w:t>
      </w:r>
      <w:r w:rsidRPr="00C33834">
        <w:rPr>
          <w:rFonts w:ascii="Times New Roman" w:hAnsi="Times New Roman" w:cs="Times New Roman"/>
          <w:color w:val="0070C0"/>
          <w:sz w:val="16"/>
          <w:szCs w:val="16"/>
        </w:rPr>
        <w:softHyphen/>
        <w:t>динамики, при обтекании профиля на его верхней поверхности возникает зона пони</w:t>
      </w:r>
      <w:r w:rsidRPr="00C33834">
        <w:rPr>
          <w:rFonts w:ascii="Times New Roman" w:hAnsi="Times New Roman" w:cs="Times New Roman"/>
          <w:color w:val="0070C0"/>
          <w:sz w:val="16"/>
          <w:szCs w:val="16"/>
        </w:rPr>
        <w:softHyphen/>
        <w:t>женного давления. Геттинген-429 в этом плане ничем особенным не отличался. Тща</w:t>
      </w:r>
      <w:r w:rsidRPr="00C33834">
        <w:rPr>
          <w:rFonts w:ascii="Times New Roman" w:hAnsi="Times New Roman" w:cs="Times New Roman"/>
          <w:color w:val="0070C0"/>
          <w:sz w:val="16"/>
          <w:szCs w:val="16"/>
        </w:rPr>
        <w:softHyphen/>
        <w:t>тельно проклепанные и лишенные щелей лопасти не могли быстро выпустить лишний воздух, и избыточным давлением их просто раздуло. Разработку одного из ключевых элементов автожира надо было начинать с центра поля. «Попутно» поймали еще две проблемы - вибрации ротора и неполадки механического пуска. Повторно ЗОК передал А-7 в 0Э/1ИД только в апреле 1934 года.</w:t>
      </w:r>
    </w:p>
    <w:p w14:paraId="7DAD5BB2" w14:textId="77777777" w:rsidR="00EB6509" w:rsidRPr="00C33834" w:rsidRDefault="00EB6509" w:rsidP="00C33834">
      <w:pPr>
        <w:pStyle w:val="631"/>
        <w:shd w:val="clear" w:color="auto" w:fill="auto"/>
        <w:spacing w:line="240" w:lineRule="auto"/>
        <w:jc w:val="both"/>
        <w:rPr>
          <w:rFonts w:ascii="Times New Roman" w:hAnsi="Times New Roman" w:cs="Times New Roman"/>
          <w:color w:val="0070C0"/>
          <w:sz w:val="16"/>
          <w:szCs w:val="16"/>
        </w:rPr>
      </w:pPr>
      <w:r w:rsidRPr="00C33834">
        <w:rPr>
          <w:rFonts w:ascii="Times New Roman" w:hAnsi="Times New Roman" w:cs="Times New Roman"/>
          <w:color w:val="0070C0"/>
          <w:sz w:val="16"/>
          <w:szCs w:val="16"/>
        </w:rPr>
        <w:t>Последующие события в отечественной литературе трактуются неоднозначно. Где-то сказано, что 3 и 17 мая С.А. Корзинщиков выполнил подлет и непродолжительный полет, в /оде которого возникли серьезные неполадки. В других источниках утверждает</w:t>
      </w:r>
      <w:r w:rsidRPr="00C33834">
        <w:rPr>
          <w:rFonts w:ascii="Times New Roman" w:hAnsi="Times New Roman" w:cs="Times New Roman"/>
          <w:color w:val="0070C0"/>
          <w:sz w:val="16"/>
          <w:szCs w:val="16"/>
        </w:rPr>
        <w:softHyphen/>
        <w:t>ся, что он так и не смог выполнить первый полет автожира А-7. 3 июля 1934 года Г.А. Зильберт в своем письме №01149сс наркому обороны К.Е. Ворошилову, замнаркома обо</w:t>
      </w:r>
      <w:r w:rsidRPr="00C33834">
        <w:rPr>
          <w:rFonts w:ascii="Times New Roman" w:hAnsi="Times New Roman" w:cs="Times New Roman"/>
          <w:color w:val="0070C0"/>
          <w:sz w:val="16"/>
          <w:szCs w:val="16"/>
        </w:rPr>
        <w:softHyphen/>
        <w:t xml:space="preserve">роны Я.Б Гамарнику, замнаркома обороны М.Н. Тухачевскому, начальнику штаба РККА А.И. Егорову, начальнику ВВС Я.И. Алкснису, замначальника штаба РККА С.А. Меженинову так описывал произошедшее: </w:t>
      </w:r>
      <w:r w:rsidRPr="00C33834">
        <w:rPr>
          <w:rFonts w:ascii="Times New Roman" w:hAnsi="Times New Roman" w:cs="Times New Roman"/>
          <w:color w:val="0070C0"/>
          <w:sz w:val="16"/>
          <w:szCs w:val="16"/>
        </w:rPr>
        <w:lastRenderedPageBreak/>
        <w:t>«Автожир А-7 в мае 1934 года начал проходить заводские испытания в ОЭЛИД ЦАГИ. Аппарат, проделав несколько рулежек, при первой попытке ото</w:t>
      </w:r>
      <w:r w:rsidRPr="00C33834">
        <w:rPr>
          <w:rFonts w:ascii="Times New Roman" w:hAnsi="Times New Roman" w:cs="Times New Roman"/>
          <w:color w:val="0070C0"/>
          <w:sz w:val="16"/>
          <w:szCs w:val="16"/>
        </w:rPr>
        <w:softHyphen/>
        <w:t>рваться получил деформацию крыльев. Аппарат заново пересчитывается; крылья и лопасти ротора усиливаются. Во второй половине июля будут возобновлены завод</w:t>
      </w:r>
      <w:r w:rsidRPr="00C33834">
        <w:rPr>
          <w:rFonts w:ascii="Times New Roman" w:hAnsi="Times New Roman" w:cs="Times New Roman"/>
          <w:color w:val="0070C0"/>
          <w:sz w:val="16"/>
          <w:szCs w:val="16"/>
        </w:rPr>
        <w:softHyphen/>
        <w:t>ские испытания».</w:t>
      </w:r>
    </w:p>
    <w:p w14:paraId="7EA3B053" w14:textId="77777777" w:rsidR="00EB6509" w:rsidRPr="00C33834" w:rsidRDefault="00EB6509" w:rsidP="00C33834">
      <w:pPr>
        <w:pStyle w:val="631"/>
        <w:shd w:val="clear" w:color="auto" w:fill="auto"/>
        <w:spacing w:line="240" w:lineRule="auto"/>
        <w:jc w:val="both"/>
        <w:rPr>
          <w:rFonts w:ascii="Times New Roman" w:hAnsi="Times New Roman" w:cs="Times New Roman"/>
          <w:color w:val="0070C0"/>
          <w:sz w:val="16"/>
          <w:szCs w:val="16"/>
        </w:rPr>
      </w:pPr>
      <w:r w:rsidRPr="00C33834">
        <w:rPr>
          <w:rFonts w:ascii="Times New Roman" w:hAnsi="Times New Roman" w:cs="Times New Roman"/>
          <w:color w:val="0070C0"/>
          <w:sz w:val="16"/>
          <w:szCs w:val="16"/>
        </w:rPr>
        <w:t>Не меньше тумана и с датой первого успешного вылета. Патриарх советского вер- толетостроения Александр Михайлович Изаксон в своей книге, впервые изданной в 1964 году, указывает 20 сентября в качестве даты первого полета С.А. Корзинщикова. Тем не менее, 23 июля 1936 года, будучи началь</w:t>
      </w:r>
      <w:r w:rsidRPr="00C33834">
        <w:rPr>
          <w:rFonts w:ascii="Times New Roman" w:hAnsi="Times New Roman" w:cs="Times New Roman"/>
          <w:color w:val="0070C0"/>
          <w:sz w:val="16"/>
          <w:szCs w:val="16"/>
        </w:rPr>
        <w:softHyphen/>
        <w:t>ником КБ №3 по винтовым аппаратам Завода опытных конструкций ГУАП (до реорганиза</w:t>
      </w:r>
      <w:r w:rsidRPr="00C33834">
        <w:rPr>
          <w:rFonts w:ascii="Times New Roman" w:hAnsi="Times New Roman" w:cs="Times New Roman"/>
          <w:color w:val="0070C0"/>
          <w:sz w:val="16"/>
          <w:szCs w:val="16"/>
        </w:rPr>
        <w:softHyphen/>
        <w:t xml:space="preserve">ции ЦАГИ </w:t>
      </w:r>
      <w:r w:rsidRPr="00C33834">
        <w:rPr>
          <w:rFonts w:ascii="Times New Roman" w:hAnsi="Times New Roman" w:cs="Times New Roman"/>
          <w:color w:val="0070C0"/>
          <w:sz w:val="16"/>
          <w:szCs w:val="16"/>
          <w:lang w:val="en-US"/>
        </w:rPr>
        <w:t>A</w:t>
      </w:r>
      <w:r w:rsidRPr="00C33834">
        <w:rPr>
          <w:rFonts w:ascii="Times New Roman" w:hAnsi="Times New Roman" w:cs="Times New Roman"/>
          <w:color w:val="0070C0"/>
          <w:sz w:val="16"/>
          <w:szCs w:val="16"/>
        </w:rPr>
        <w:t>.</w:t>
      </w:r>
      <w:r w:rsidRPr="00C33834">
        <w:rPr>
          <w:rFonts w:ascii="Times New Roman" w:hAnsi="Times New Roman" w:cs="Times New Roman"/>
          <w:color w:val="0070C0"/>
          <w:sz w:val="16"/>
          <w:szCs w:val="16"/>
          <w:lang w:val="en-US"/>
        </w:rPr>
        <w:t>M</w:t>
      </w:r>
      <w:r w:rsidRPr="00C33834">
        <w:rPr>
          <w:rFonts w:ascii="Times New Roman" w:hAnsi="Times New Roman" w:cs="Times New Roman"/>
          <w:color w:val="0070C0"/>
          <w:sz w:val="16"/>
          <w:szCs w:val="16"/>
        </w:rPr>
        <w:t>. Изаксон - начальник Отдела особых конструкций ЦАГИ) в своей обшир</w:t>
      </w:r>
      <w:r w:rsidRPr="00C33834">
        <w:rPr>
          <w:rFonts w:ascii="Times New Roman" w:hAnsi="Times New Roman" w:cs="Times New Roman"/>
          <w:color w:val="0070C0"/>
          <w:sz w:val="16"/>
          <w:szCs w:val="16"/>
        </w:rPr>
        <w:softHyphen/>
        <w:t>ной докладной записке секретарю СТО Бази- левичу он писал следующее: «В ноябре 1934 года автожир А-7 с мотором М-22 после ряда доделок и переделок совершил первый полет. По окончании заводских испытаний и доводок автожир А-7 был передан на госис</w:t>
      </w:r>
      <w:r w:rsidRPr="00C33834">
        <w:rPr>
          <w:rFonts w:ascii="Times New Roman" w:hAnsi="Times New Roman" w:cs="Times New Roman"/>
          <w:color w:val="0070C0"/>
          <w:sz w:val="16"/>
          <w:szCs w:val="16"/>
        </w:rPr>
        <w:softHyphen/>
        <w:t>пытания в конце 1935 года». Где истина - одному Богу известно. Будем считать, что первый полет автожира А-7 состоялся осе</w:t>
      </w:r>
      <w:r w:rsidRPr="00C33834">
        <w:rPr>
          <w:rFonts w:ascii="Times New Roman" w:hAnsi="Times New Roman" w:cs="Times New Roman"/>
          <w:color w:val="0070C0"/>
          <w:sz w:val="16"/>
          <w:szCs w:val="16"/>
        </w:rPr>
        <w:softHyphen/>
        <w:t>нью 1934 года (19868).</w:t>
      </w:r>
    </w:p>
    <w:p w14:paraId="68B0594F" w14:textId="77777777" w:rsidR="00EB6509" w:rsidRPr="00C33834" w:rsidRDefault="00EB6509" w:rsidP="00C33834">
      <w:pPr>
        <w:pStyle w:val="631"/>
        <w:shd w:val="clear" w:color="auto" w:fill="auto"/>
        <w:spacing w:line="240" w:lineRule="auto"/>
        <w:jc w:val="both"/>
        <w:rPr>
          <w:rFonts w:ascii="Times New Roman" w:hAnsi="Times New Roman" w:cs="Times New Roman"/>
          <w:color w:val="0070C0"/>
          <w:sz w:val="16"/>
          <w:szCs w:val="16"/>
        </w:rPr>
      </w:pPr>
    </w:p>
    <w:p w14:paraId="72D0883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декабря 1933 года состоялось Тактико-техническое совещание НИИ ВВС (Журнал № 13).</w:t>
      </w:r>
    </w:p>
    <w:p w14:paraId="4507CA07"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Перечень разбиравшихся вопросов</w:t>
      </w:r>
    </w:p>
    <w:p w14:paraId="56DE532C"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Тактико-технические требования к самолету АРКТ-3. Докладчик Четвериков.</w:t>
      </w:r>
    </w:p>
    <w:p w14:paraId="2A2996A7"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Тактико-технические требования на самолет «КОР-1». Докладчик Ганулич.</w:t>
      </w:r>
    </w:p>
    <w:p w14:paraId="18854C14"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Тактико-технические требования к прибору управления самолетом по радио. Докладчик Петров (6788).</w:t>
      </w:r>
    </w:p>
    <w:p w14:paraId="4CC452B6"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A5F9D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декабря 1933 Нач. ГУАП Королев писал за № 17/оп:</w:t>
      </w:r>
    </w:p>
    <w:p w14:paraId="546E92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Справка</w:t>
      </w:r>
    </w:p>
    <w:p w14:paraId="30EDD0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расчетах стоимости моторов, приобретаемых в САСШ у фирмы “Кертис-Райт”, доллар принят округленно в 2 руб. золотом исходя из тех соображений, что курсовая цена доллара при покупке в кредит НКфином принята в 1 р. 94 коп. Сверх того, добавлены 3% в обеспечение накладных расходов, поскольку цены на моторы фирма назвала ориентировочно (4170,26).</w:t>
      </w:r>
    </w:p>
    <w:p w14:paraId="2E53A0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93C3CF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декабря 1933 года в НИИ ВВС проходили гос. испытания установки спаренных пулеметов ДА, предложенных Селищевым и Поляковым, которые проходили с С 27 декабря 1933</w:t>
      </w:r>
    </w:p>
    <w:p w14:paraId="76FAE0F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Начато 27 декабря 1933 года</w:t>
      </w:r>
    </w:p>
    <w:p w14:paraId="119611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Окончено 29 декабря 1933 года</w:t>
      </w:r>
    </w:p>
    <w:p w14:paraId="453A2D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63E7CC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15 сектора НИИ ВВС Базенау</w:t>
      </w:r>
    </w:p>
    <w:p w14:paraId="4E9DC7F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 техник 15 сектора НИИ ВВС Напалков</w:t>
      </w:r>
    </w:p>
    <w:p w14:paraId="160DD4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2BAAB16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Установка спаренных пулеметов ДА конструкции Салищева и Полякова испытаний не выдержали, как образец не удовлетворяющий тактико-техническим требованиям к спаренным пулеметам (7396, 78-86).</w:t>
      </w:r>
    </w:p>
    <w:p w14:paraId="4E6424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2CB58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декабря 1933 года была подготовлена справка Сведения о % технической готовности по основной программе ЗОК"а по состоянию на 1 декабря 1933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F26F01" w:rsidRPr="00C33834" w14:paraId="55DF313F" w14:textId="77777777">
        <w:tc>
          <w:tcPr>
            <w:tcW w:w="2818" w:type="dxa"/>
          </w:tcPr>
          <w:p w14:paraId="7E1349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44EC96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Готовность</w:t>
            </w:r>
          </w:p>
        </w:tc>
        <w:tc>
          <w:tcPr>
            <w:tcW w:w="2818" w:type="dxa"/>
          </w:tcPr>
          <w:p w14:paraId="434C016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Готовность</w:t>
            </w:r>
          </w:p>
        </w:tc>
      </w:tr>
      <w:tr w:rsidR="00F26F01" w:rsidRPr="00C33834" w14:paraId="70B72E11" w14:textId="77777777">
        <w:tc>
          <w:tcPr>
            <w:tcW w:w="2818" w:type="dxa"/>
          </w:tcPr>
          <w:p w14:paraId="6E7133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07DB1BE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1/XI</w:t>
            </w:r>
          </w:p>
        </w:tc>
        <w:tc>
          <w:tcPr>
            <w:tcW w:w="2818" w:type="dxa"/>
          </w:tcPr>
          <w:p w14:paraId="7BC933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1/XII-33</w:t>
            </w:r>
          </w:p>
        </w:tc>
      </w:tr>
      <w:tr w:rsidR="00F26F01" w:rsidRPr="00C33834" w14:paraId="144F3134" w14:textId="77777777">
        <w:tc>
          <w:tcPr>
            <w:tcW w:w="2818" w:type="dxa"/>
          </w:tcPr>
          <w:p w14:paraId="3E6F27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 опытная</w:t>
            </w:r>
          </w:p>
        </w:tc>
        <w:tc>
          <w:tcPr>
            <w:tcW w:w="2818" w:type="dxa"/>
          </w:tcPr>
          <w:p w14:paraId="495303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2818" w:type="dxa"/>
          </w:tcPr>
          <w:p w14:paraId="10A7E6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2154D60B" w14:textId="77777777">
        <w:tc>
          <w:tcPr>
            <w:tcW w:w="2818" w:type="dxa"/>
          </w:tcPr>
          <w:p w14:paraId="3D1F57B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 опытная</w:t>
            </w:r>
          </w:p>
        </w:tc>
        <w:tc>
          <w:tcPr>
            <w:tcW w:w="2818" w:type="dxa"/>
          </w:tcPr>
          <w:p w14:paraId="767571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2818" w:type="dxa"/>
          </w:tcPr>
          <w:p w14:paraId="128F5FA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311F812B" w14:textId="77777777">
        <w:tc>
          <w:tcPr>
            <w:tcW w:w="2818" w:type="dxa"/>
          </w:tcPr>
          <w:p w14:paraId="4EA4381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Р-Д опытная</w:t>
            </w:r>
          </w:p>
        </w:tc>
        <w:tc>
          <w:tcPr>
            <w:tcW w:w="2818" w:type="dxa"/>
          </w:tcPr>
          <w:p w14:paraId="0D07B6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2818" w:type="dxa"/>
          </w:tcPr>
          <w:p w14:paraId="7BEC3E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1D139716" w14:textId="77777777">
        <w:tc>
          <w:tcPr>
            <w:tcW w:w="2818" w:type="dxa"/>
          </w:tcPr>
          <w:p w14:paraId="20AB1D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Р-Д-бис</w:t>
            </w:r>
          </w:p>
        </w:tc>
        <w:tc>
          <w:tcPr>
            <w:tcW w:w="2818" w:type="dxa"/>
          </w:tcPr>
          <w:p w14:paraId="5F871C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2818" w:type="dxa"/>
          </w:tcPr>
          <w:p w14:paraId="5D5190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69283CC6" w14:textId="77777777">
        <w:tc>
          <w:tcPr>
            <w:tcW w:w="2818" w:type="dxa"/>
          </w:tcPr>
          <w:p w14:paraId="1397F0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опытная</w:t>
            </w:r>
          </w:p>
        </w:tc>
        <w:tc>
          <w:tcPr>
            <w:tcW w:w="2818" w:type="dxa"/>
          </w:tcPr>
          <w:p w14:paraId="4703587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2818" w:type="dxa"/>
          </w:tcPr>
          <w:p w14:paraId="6665C4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3C2EC62E" w14:textId="77777777">
        <w:tc>
          <w:tcPr>
            <w:tcW w:w="2818" w:type="dxa"/>
          </w:tcPr>
          <w:p w14:paraId="47B0555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 бис</w:t>
            </w:r>
          </w:p>
        </w:tc>
        <w:tc>
          <w:tcPr>
            <w:tcW w:w="2818" w:type="dxa"/>
          </w:tcPr>
          <w:p w14:paraId="52C7BE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96,9</w:t>
            </w:r>
          </w:p>
        </w:tc>
        <w:tc>
          <w:tcPr>
            <w:tcW w:w="2818" w:type="dxa"/>
          </w:tcPr>
          <w:p w14:paraId="53D20C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97,34</w:t>
            </w:r>
          </w:p>
        </w:tc>
      </w:tr>
      <w:tr w:rsidR="00F26F01" w:rsidRPr="00C33834" w14:paraId="271319E0" w14:textId="77777777">
        <w:tc>
          <w:tcPr>
            <w:tcW w:w="2818" w:type="dxa"/>
          </w:tcPr>
          <w:p w14:paraId="6975B5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дублер</w:t>
            </w:r>
          </w:p>
        </w:tc>
        <w:tc>
          <w:tcPr>
            <w:tcW w:w="2818" w:type="dxa"/>
          </w:tcPr>
          <w:p w14:paraId="63B6DF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22,8</w:t>
            </w:r>
          </w:p>
        </w:tc>
        <w:tc>
          <w:tcPr>
            <w:tcW w:w="2818" w:type="dxa"/>
          </w:tcPr>
          <w:p w14:paraId="79B81B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44,60</w:t>
            </w:r>
          </w:p>
        </w:tc>
      </w:tr>
      <w:tr w:rsidR="00F26F01" w:rsidRPr="00C33834" w14:paraId="2F71330E" w14:textId="77777777">
        <w:tc>
          <w:tcPr>
            <w:tcW w:w="2818" w:type="dxa"/>
          </w:tcPr>
          <w:p w14:paraId="22D47F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МДР-4</w:t>
            </w:r>
          </w:p>
        </w:tc>
        <w:tc>
          <w:tcPr>
            <w:tcW w:w="2818" w:type="dxa"/>
          </w:tcPr>
          <w:p w14:paraId="4D3090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22,6</w:t>
            </w:r>
          </w:p>
        </w:tc>
        <w:tc>
          <w:tcPr>
            <w:tcW w:w="2818" w:type="dxa"/>
          </w:tcPr>
          <w:p w14:paraId="5B2B83E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45,03</w:t>
            </w:r>
          </w:p>
        </w:tc>
      </w:tr>
      <w:tr w:rsidR="00F26F01" w:rsidRPr="00C33834" w14:paraId="5AF24388" w14:textId="77777777">
        <w:tc>
          <w:tcPr>
            <w:tcW w:w="2818" w:type="dxa"/>
          </w:tcPr>
          <w:p w14:paraId="24C061A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ТБ-6 планер</w:t>
            </w:r>
          </w:p>
        </w:tc>
        <w:tc>
          <w:tcPr>
            <w:tcW w:w="2818" w:type="dxa"/>
          </w:tcPr>
          <w:p w14:paraId="036EF4A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47,3</w:t>
            </w:r>
          </w:p>
        </w:tc>
        <w:tc>
          <w:tcPr>
            <w:tcW w:w="2818" w:type="dxa"/>
          </w:tcPr>
          <w:p w14:paraId="52AD3C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60,67</w:t>
            </w:r>
          </w:p>
        </w:tc>
      </w:tr>
      <w:tr w:rsidR="00F26F01" w:rsidRPr="00C33834" w14:paraId="2F0375C3" w14:textId="77777777">
        <w:tc>
          <w:tcPr>
            <w:tcW w:w="2818" w:type="dxa"/>
          </w:tcPr>
          <w:p w14:paraId="1B15A0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МК-1</w:t>
            </w:r>
          </w:p>
        </w:tc>
        <w:tc>
          <w:tcPr>
            <w:tcW w:w="2818" w:type="dxa"/>
          </w:tcPr>
          <w:p w14:paraId="27C033B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59,5</w:t>
            </w:r>
          </w:p>
        </w:tc>
        <w:tc>
          <w:tcPr>
            <w:tcW w:w="2818" w:type="dxa"/>
          </w:tcPr>
          <w:p w14:paraId="138D4E5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73,10</w:t>
            </w:r>
          </w:p>
        </w:tc>
      </w:tr>
      <w:tr w:rsidR="00F26F01" w:rsidRPr="00C33834" w14:paraId="3D184EE3" w14:textId="77777777">
        <w:tc>
          <w:tcPr>
            <w:tcW w:w="2818" w:type="dxa"/>
          </w:tcPr>
          <w:p w14:paraId="32C993F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СК-1</w:t>
            </w:r>
          </w:p>
        </w:tc>
        <w:tc>
          <w:tcPr>
            <w:tcW w:w="2818" w:type="dxa"/>
          </w:tcPr>
          <w:p w14:paraId="7A3ECB5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15,4</w:t>
            </w:r>
          </w:p>
        </w:tc>
        <w:tc>
          <w:tcPr>
            <w:tcW w:w="2818" w:type="dxa"/>
          </w:tcPr>
          <w:p w14:paraId="560C9E0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15,98</w:t>
            </w:r>
          </w:p>
        </w:tc>
      </w:tr>
      <w:tr w:rsidR="00F26F01" w:rsidRPr="00C33834" w14:paraId="20EB87BE" w14:textId="77777777">
        <w:tc>
          <w:tcPr>
            <w:tcW w:w="2818" w:type="dxa"/>
          </w:tcPr>
          <w:p w14:paraId="68971F1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ДИП-опытн.</w:t>
            </w:r>
          </w:p>
        </w:tc>
        <w:tc>
          <w:tcPr>
            <w:tcW w:w="2818" w:type="dxa"/>
          </w:tcPr>
          <w:p w14:paraId="0890EA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20,4</w:t>
            </w:r>
          </w:p>
        </w:tc>
        <w:tc>
          <w:tcPr>
            <w:tcW w:w="2818" w:type="dxa"/>
          </w:tcPr>
          <w:p w14:paraId="3A8525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20,52</w:t>
            </w:r>
          </w:p>
        </w:tc>
      </w:tr>
      <w:tr w:rsidR="00F26F01" w:rsidRPr="00C33834" w14:paraId="42276091" w14:textId="77777777">
        <w:tc>
          <w:tcPr>
            <w:tcW w:w="2818" w:type="dxa"/>
          </w:tcPr>
          <w:p w14:paraId="06C34E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И-12 бис</w:t>
            </w:r>
          </w:p>
        </w:tc>
        <w:tc>
          <w:tcPr>
            <w:tcW w:w="2818" w:type="dxa"/>
          </w:tcPr>
          <w:p w14:paraId="0DB8B2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77,4</w:t>
            </w:r>
          </w:p>
        </w:tc>
        <w:tc>
          <w:tcPr>
            <w:tcW w:w="2818" w:type="dxa"/>
          </w:tcPr>
          <w:p w14:paraId="01AC18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84,9</w:t>
            </w:r>
          </w:p>
        </w:tc>
      </w:tr>
      <w:tr w:rsidR="00F26F01" w:rsidRPr="00C33834" w14:paraId="6AB56403" w14:textId="77777777">
        <w:tc>
          <w:tcPr>
            <w:tcW w:w="2818" w:type="dxa"/>
          </w:tcPr>
          <w:p w14:paraId="7BB070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М.Г.</w:t>
            </w:r>
          </w:p>
        </w:tc>
        <w:tc>
          <w:tcPr>
            <w:tcW w:w="2818" w:type="dxa"/>
          </w:tcPr>
          <w:p w14:paraId="3AE03B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38,0</w:t>
            </w:r>
          </w:p>
        </w:tc>
        <w:tc>
          <w:tcPr>
            <w:tcW w:w="2818" w:type="dxa"/>
          </w:tcPr>
          <w:p w14:paraId="474CDC8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44,7</w:t>
            </w:r>
          </w:p>
        </w:tc>
      </w:tr>
      <w:tr w:rsidR="00F26F01" w:rsidRPr="00C33834" w14:paraId="0FEDFA64" w14:textId="77777777">
        <w:tc>
          <w:tcPr>
            <w:tcW w:w="2818" w:type="dxa"/>
          </w:tcPr>
          <w:p w14:paraId="4BCAA4A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 Глиссер</w:t>
            </w:r>
          </w:p>
        </w:tc>
        <w:tc>
          <w:tcPr>
            <w:tcW w:w="2818" w:type="dxa"/>
          </w:tcPr>
          <w:p w14:paraId="381C55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w:t>
            </w:r>
          </w:p>
        </w:tc>
        <w:tc>
          <w:tcPr>
            <w:tcW w:w="2818" w:type="dxa"/>
          </w:tcPr>
          <w:p w14:paraId="320F4C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57489915" w14:textId="77777777">
        <w:tc>
          <w:tcPr>
            <w:tcW w:w="2818" w:type="dxa"/>
          </w:tcPr>
          <w:p w14:paraId="37AB83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 головн.</w:t>
            </w:r>
          </w:p>
        </w:tc>
        <w:tc>
          <w:tcPr>
            <w:tcW w:w="2818" w:type="dxa"/>
          </w:tcPr>
          <w:p w14:paraId="49DECA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28,0</w:t>
            </w:r>
          </w:p>
        </w:tc>
        <w:tc>
          <w:tcPr>
            <w:tcW w:w="2818" w:type="dxa"/>
          </w:tcPr>
          <w:p w14:paraId="0311A73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EDA3E0B" w14:textId="77777777">
        <w:tc>
          <w:tcPr>
            <w:tcW w:w="2818" w:type="dxa"/>
          </w:tcPr>
          <w:p w14:paraId="1725AC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Сани</w:t>
            </w:r>
          </w:p>
        </w:tc>
        <w:tc>
          <w:tcPr>
            <w:tcW w:w="2818" w:type="dxa"/>
          </w:tcPr>
          <w:p w14:paraId="1B443F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2818" w:type="dxa"/>
          </w:tcPr>
          <w:p w14:paraId="244B110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45,0 (2287,53)</w:t>
            </w:r>
          </w:p>
        </w:tc>
      </w:tr>
    </w:tbl>
    <w:p w14:paraId="458B24C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60EDF0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декабря 1933 был выведен на аэродром автожир А-7 М-22, но при заводских испытаниях выявили дефекты в лопастях (2287,131).</w:t>
      </w:r>
    </w:p>
    <w:p w14:paraId="038DF4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7F2EC85"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D689FCE"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F5823DF" w14:textId="77777777" w:rsidR="00EB6509" w:rsidRPr="00C33834" w:rsidRDefault="00EB650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29 декабря 1933 в экспе</w:t>
      </w:r>
      <w:r w:rsidRPr="00C33834">
        <w:rPr>
          <w:rFonts w:ascii="Times New Roman" w:hAnsi="Times New Roman"/>
          <w:color w:val="0070C0"/>
          <w:sz w:val="16"/>
          <w:szCs w:val="16"/>
        </w:rPr>
        <w:softHyphen/>
        <w:t>риментальном цехе НАТИ собран первый трактор, полу</w:t>
      </w:r>
      <w:r w:rsidRPr="00C33834">
        <w:rPr>
          <w:rFonts w:ascii="Times New Roman" w:hAnsi="Times New Roman"/>
          <w:color w:val="0070C0"/>
          <w:sz w:val="16"/>
          <w:szCs w:val="16"/>
        </w:rPr>
        <w:softHyphen/>
        <w:t>чивший название Универсал-1 (с сближенными пе</w:t>
      </w:r>
      <w:r w:rsidRPr="00C33834">
        <w:rPr>
          <w:rFonts w:ascii="Times New Roman" w:hAnsi="Times New Roman"/>
          <w:color w:val="0070C0"/>
          <w:sz w:val="16"/>
          <w:szCs w:val="16"/>
        </w:rPr>
        <w:softHyphen/>
        <w:t>редними колесами) и Универсал-2 (с расставленны</w:t>
      </w:r>
      <w:r w:rsidRPr="00C33834">
        <w:rPr>
          <w:rFonts w:ascii="Times New Roman" w:hAnsi="Times New Roman"/>
          <w:color w:val="0070C0"/>
          <w:sz w:val="16"/>
          <w:szCs w:val="16"/>
        </w:rPr>
        <w:softHyphen/>
        <w:t>ми передними колесами).</w:t>
      </w:r>
    </w:p>
    <w:p w14:paraId="3364F110" w14:textId="77777777" w:rsidR="00EB6509" w:rsidRPr="00C33834" w:rsidRDefault="00EB650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Разработка нового пропашного трактора была поручена НАТИ Приказом Наркома тяжелой промышленнос</w:t>
      </w:r>
      <w:r w:rsidRPr="00C33834">
        <w:rPr>
          <w:rFonts w:ascii="Times New Roman" w:hAnsi="Times New Roman"/>
          <w:color w:val="0070C0"/>
          <w:sz w:val="16"/>
          <w:szCs w:val="16"/>
        </w:rPr>
        <w:softHyphen/>
        <w:t>ти Г.К. Орджоникидзе.</w:t>
      </w:r>
    </w:p>
    <w:p w14:paraId="4280BE7E" w14:textId="77777777" w:rsidR="00EB6509" w:rsidRPr="00C33834" w:rsidRDefault="00EB650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Инженеры тракторного отдела под руковод</w:t>
      </w:r>
      <w:r w:rsidRPr="00C33834">
        <w:rPr>
          <w:rFonts w:ascii="Times New Roman" w:hAnsi="Times New Roman"/>
          <w:color w:val="0070C0"/>
          <w:sz w:val="16"/>
          <w:szCs w:val="16"/>
        </w:rPr>
        <w:softHyphen/>
        <w:t>ством Д.А. Чудакова спроектировали пропашной колесный трактор, взяв за прототип трактор Фар- молл-9/18 американской компании Интернэшнл Хар</w:t>
      </w:r>
      <w:r w:rsidRPr="00C33834">
        <w:rPr>
          <w:rFonts w:ascii="Times New Roman" w:hAnsi="Times New Roman"/>
          <w:color w:val="0070C0"/>
          <w:sz w:val="16"/>
          <w:szCs w:val="16"/>
        </w:rPr>
        <w:softHyphen/>
        <w:t>вестер. Когда начался этап непосредственно рабо</w:t>
      </w:r>
      <w:r w:rsidRPr="00C33834">
        <w:rPr>
          <w:rFonts w:ascii="Times New Roman" w:hAnsi="Times New Roman"/>
          <w:color w:val="0070C0"/>
          <w:sz w:val="16"/>
          <w:szCs w:val="16"/>
        </w:rPr>
        <w:softHyphen/>
        <w:t>чего проектирования, то здесь все было не так прос</w:t>
      </w:r>
      <w:r w:rsidRPr="00C33834">
        <w:rPr>
          <w:rFonts w:ascii="Times New Roman" w:hAnsi="Times New Roman"/>
          <w:color w:val="0070C0"/>
          <w:sz w:val="16"/>
          <w:szCs w:val="16"/>
        </w:rPr>
        <w:softHyphen/>
        <w:t>то, как предполагали. Отступая от Фармолла, кон</w:t>
      </w:r>
      <w:r w:rsidRPr="00C33834">
        <w:rPr>
          <w:rFonts w:ascii="Times New Roman" w:hAnsi="Times New Roman"/>
          <w:color w:val="0070C0"/>
          <w:sz w:val="16"/>
          <w:szCs w:val="16"/>
        </w:rPr>
        <w:softHyphen/>
        <w:t>структоры стремились максимальное количество узлов и деталей унифицировать с трактором СТЗ. Поэтому одновременно с проектированием под руко</w:t>
      </w:r>
      <w:r w:rsidRPr="00C33834">
        <w:rPr>
          <w:rFonts w:ascii="Times New Roman" w:hAnsi="Times New Roman"/>
          <w:color w:val="0070C0"/>
          <w:sz w:val="16"/>
          <w:szCs w:val="16"/>
        </w:rPr>
        <w:softHyphen/>
        <w:t>водством инженера В. Тюляева проводилась боль</w:t>
      </w:r>
      <w:r w:rsidRPr="00C33834">
        <w:rPr>
          <w:rFonts w:ascii="Times New Roman" w:hAnsi="Times New Roman"/>
          <w:color w:val="0070C0"/>
          <w:sz w:val="16"/>
          <w:szCs w:val="16"/>
        </w:rPr>
        <w:softHyphen/>
        <w:t>шая экспериментальная работа по проверке право</w:t>
      </w:r>
      <w:r w:rsidRPr="00C33834">
        <w:rPr>
          <w:rFonts w:ascii="Times New Roman" w:hAnsi="Times New Roman"/>
          <w:color w:val="0070C0"/>
          <w:sz w:val="16"/>
          <w:szCs w:val="16"/>
        </w:rPr>
        <w:softHyphen/>
        <w:t>мерности замены деталей.</w:t>
      </w:r>
    </w:p>
    <w:p w14:paraId="6018ACC8" w14:textId="77777777" w:rsidR="00EB6509" w:rsidRPr="00C33834" w:rsidRDefault="00EB650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Шасси для этого трактора разработал инженер А.А. Крейслер. Трактор Универсал-1 был трехколес</w:t>
      </w:r>
      <w:r w:rsidRPr="00C33834">
        <w:rPr>
          <w:rFonts w:ascii="Times New Roman" w:hAnsi="Times New Roman"/>
          <w:color w:val="0070C0"/>
          <w:sz w:val="16"/>
          <w:szCs w:val="16"/>
        </w:rPr>
        <w:softHyphen/>
        <w:t>ный. Он развивал тяговое усилие 300-900 кг. На нем устанавливался карбюраторный керосиновый 4-цилиндровый двигатель мощностью 22 л.с. при 1200 об./мин. Трактор весил 2 т. Универсал-2 разра</w:t>
      </w:r>
      <w:r w:rsidRPr="00C33834">
        <w:rPr>
          <w:rFonts w:ascii="Times New Roman" w:hAnsi="Times New Roman"/>
          <w:color w:val="0070C0"/>
          <w:sz w:val="16"/>
          <w:szCs w:val="16"/>
        </w:rPr>
        <w:softHyphen/>
        <w:t>батывался для обработки низкостебельных пропаш</w:t>
      </w:r>
      <w:r w:rsidRPr="00C33834">
        <w:rPr>
          <w:rFonts w:ascii="Times New Roman" w:hAnsi="Times New Roman"/>
          <w:color w:val="0070C0"/>
          <w:sz w:val="16"/>
          <w:szCs w:val="16"/>
        </w:rPr>
        <w:softHyphen/>
        <w:t>ных культур. Он имел передний двухколесный мост оригинальной конструкции (22518).</w:t>
      </w:r>
    </w:p>
    <w:p w14:paraId="2DA959A9" w14:textId="77777777" w:rsidR="00EB6509" w:rsidRPr="00C33834" w:rsidRDefault="00EB6509" w:rsidP="00C33834">
      <w:pPr>
        <w:spacing w:after="0" w:line="240" w:lineRule="auto"/>
        <w:jc w:val="both"/>
        <w:rPr>
          <w:rFonts w:ascii="Times New Roman" w:hAnsi="Times New Roman"/>
          <w:color w:val="0070C0"/>
          <w:sz w:val="16"/>
          <w:szCs w:val="16"/>
        </w:rPr>
      </w:pPr>
    </w:p>
    <w:p w14:paraId="71C7747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декабря 1933 г. по приказу НКТП № 1113 был создан Владимирский завод портативных граммофонов (Завод № 260 НКБ, Владимирский завод портативных граммофонов, п/я 334, Пермский велосипедный завод, ОАО «Велта» Росбоеприпаса /г. Владимир;  г. Молотов, 10 п/я 334 «Автомат» (1943 г.)/ /614010  г. Пермь ул. Героев Хасана, 105 тел. (3422) 68-10-08/). Проектная мощность- 75 тыс. патефонов в год. В 05.1936 г. выпущено более 30 млн. граммофонных иголок, с 12.1936 г. начат выпуск патефонов ПТ-3.</w:t>
      </w:r>
    </w:p>
    <w:p w14:paraId="0BCC79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приказу от 14.06.1939 г. Грамзавод передан в ведение НКБ и получил наименование ГС завод № 260. В том же году он перепрофилирован на выпуск взрывателей для минометных выстрелов, артиллерийских снарядов и авиабомб. Мощность производства (перед эвакуацией): взрывателей: М-50 - 14,4 млн. шт. в год, МД-5 - 3 млн. шт., К-20 - 12 млн. шт., запальных трубок Норденфельда - 6 млн. шт.</w:t>
      </w:r>
    </w:p>
    <w:p w14:paraId="3E6EAB5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 ЦК ВКП (б) № П-34-174 от 2.07.1941 г. и Совета по эвакуации № СЭ-12сс от 3.07.1941 г. на площадку завода № 260 эвакуирован ГСИ-44 2ГУ НКБ и преобразован в КБ завода. В 10.1941 г. завод № 260 2ГУ полностью (производство М-50, ЗТН, К-20, МД-5, МГ-8, 1096 ед. оборудования, 1535 чел.) эвакуирован в Молотов, где продолжил действовать под своим номером; последний эшелон прибыл в 12.1941 г. В 03.1942 г. завод выдал первую продукцию на новом месте. В годы войны выпускал взрыватели для сухопутной и морской артиллерии, авиационных пушек, минометных мин и авиабомб, в т.ч. для противотанковой кумулятивной.</w:t>
      </w:r>
    </w:p>
    <w:p w14:paraId="36B07A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3.01.1942 г. вышло постановление СНК «О прекращении эвакуации и возобновлении работы ГСЗ № 260 во Владимире». 24.02.1942 г. вышло постановление ГКО № 1345 о возврате части эвакуированного оборудования и кадров завода № 260. По приказу НКБ в 04.1942 г. на старом месте во Владимире образован завод, которому присвоено наименование ГЗ № 521. В 12.1942-09.1944 г. завод № 260 - в ведении 2ГУ НКБ. Имел обозначение «п/я 334» (1943 г.).</w:t>
      </w:r>
    </w:p>
    <w:p w14:paraId="2B4EF24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составе завода цехи (1943 г.): основные: корпуса: литейный № 7, прокатный № 6, № 1; вспомогательные: заготовительный. Количество оборудования- 856 ед.</w:t>
      </w:r>
    </w:p>
    <w:p w14:paraId="0EB2098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21.04.1944 г. вышло распоряжение ГКО № 5698 о мерах по обеспечению увеличения производства на заводе взрывателей для артснарядов.</w:t>
      </w:r>
    </w:p>
    <w:p w14:paraId="5F254C0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 СМ СССР от 20.10.1961 г. завод определен головным по производству неконтактных взрывателей для УРВБ.</w:t>
      </w:r>
    </w:p>
    <w:p w14:paraId="34E362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Далее- это Пермский велосипедный завод. В 2003 г. ОАО «Велта»- в ведении Росбоеприпаса.</w:t>
      </w:r>
    </w:p>
    <w:p w14:paraId="1251D7F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(2000 г.): механические взрыватели, вышибные устройства для 23- и 30-мм авиационных снарядов; ударно-дистанционные взрыватели к гранатам (ручным, для гранатометов) и капсулам огнеметов; электромеханические взрыватели для ПЛ торпед, снарядов, реактивных мин; системы контактных датчиков и предохранительно-исполнительных механизмов для УРВБ и УРВП; предконтактные взрывателыше устройства яяя ПЛ ракет; неконтактные взрыватели для УРВБ и противотанковых мин; велосипеды: дорожные, универсальные, снегокаты, велотренажеры.</w:t>
      </w:r>
    </w:p>
    <w:p w14:paraId="68D61C5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(1943 г.): производственная- 16080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вспомогательная- 3750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w:t>
      </w:r>
    </w:p>
    <w:p w14:paraId="790AA6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Численность персонала (09.1941 г.)- 4880 чел., (12.1942 г.)- 3191 чел.</w:t>
      </w:r>
    </w:p>
    <w:p w14:paraId="28ADD4D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(1933 г.-)- К.Ф. Гроднер, (1940-04.1943 г.-)- А.П. Баталин.</w:t>
      </w:r>
      <w:r w:rsidRPr="00C33834">
        <w:rPr>
          <w:rFonts w:ascii="Times New Roman" w:hAnsi="Times New Roman"/>
          <w:color w:val="000000" w:themeColor="text1"/>
          <w:sz w:val="16"/>
          <w:szCs w:val="16"/>
          <w:vertAlign w:val="superscript"/>
        </w:rPr>
        <w:t>101</w:t>
      </w:r>
      <w:r w:rsidRPr="00C33834">
        <w:rPr>
          <w:rFonts w:ascii="Times New Roman" w:hAnsi="Times New Roman"/>
          <w:color w:val="000000" w:themeColor="text1"/>
          <w:sz w:val="16"/>
          <w:szCs w:val="16"/>
        </w:rPr>
        <w:t xml:space="preserve"> Гендиректор (2000 г.)- С. Семенов.</w:t>
      </w:r>
    </w:p>
    <w:p w14:paraId="2FCB62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гендиректора (2000 г.)- И. Кожевников.</w:t>
      </w:r>
    </w:p>
    <w:p w14:paraId="289532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(ВОВ)- В.Я. Далингер.</w:t>
      </w:r>
    </w:p>
    <w:p w14:paraId="7EB201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технолог (1943 г.-)- В.Ф. Маркелов. (с 1951 г. назначен гл. инженером родственного завода, а затем зам. директора по научной части крупного НИИ; на этой должности работал 27 лет). Гл. механик (04.1943 г.)- Яковлев.</w:t>
      </w:r>
    </w:p>
    <w:p w14:paraId="0E0088F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цехов: (ВОВ)- В.Ф. Маркелов.</w:t>
      </w:r>
    </w:p>
    <w:p w14:paraId="459311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отделов: мобилизационно-планового (04.1943 г.)- Груздев.</w:t>
      </w:r>
    </w:p>
    <w:p w14:paraId="36049E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iCs/>
          <w:color w:val="000000" w:themeColor="text1"/>
          <w:sz w:val="16"/>
          <w:szCs w:val="16"/>
        </w:rPr>
        <w:t>Производство:</w:t>
      </w:r>
      <w:r w:rsidRPr="00C33834">
        <w:rPr>
          <w:rFonts w:ascii="Times New Roman" w:hAnsi="Times New Roman"/>
          <w:color w:val="000000" w:themeColor="text1"/>
          <w:sz w:val="16"/>
          <w:szCs w:val="16"/>
        </w:rPr>
        <w:t xml:space="preserve"> взрыватели: М-50, МД-5, К-20 (11982).</w:t>
      </w:r>
    </w:p>
    <w:p w14:paraId="6A376B0A" w14:textId="77777777" w:rsidR="001E4A85" w:rsidRPr="00C33834" w:rsidRDefault="001E4A85" w:rsidP="00C33834">
      <w:pPr>
        <w:pStyle w:val="rtejustify"/>
        <w:spacing w:before="0" w:after="0"/>
        <w:rPr>
          <w:rStyle w:val="af0"/>
          <w:bCs/>
          <w:i w:val="0"/>
          <w:color w:val="000000" w:themeColor="text1"/>
          <w:sz w:val="16"/>
          <w:szCs w:val="16"/>
        </w:rPr>
      </w:pPr>
    </w:p>
    <w:p w14:paraId="6B125983" w14:textId="77777777" w:rsidR="001E4A85" w:rsidRPr="00C33834" w:rsidRDefault="001E4A85" w:rsidP="00C33834">
      <w:pPr>
        <w:pStyle w:val="rtejustify"/>
        <w:spacing w:before="0" w:after="0"/>
        <w:rPr>
          <w:color w:val="000000" w:themeColor="text1"/>
          <w:sz w:val="16"/>
          <w:szCs w:val="16"/>
        </w:rPr>
      </w:pPr>
      <w:r w:rsidRPr="00C33834">
        <w:rPr>
          <w:rStyle w:val="af0"/>
          <w:bCs/>
          <w:i w:val="0"/>
          <w:color w:val="000000" w:themeColor="text1"/>
          <w:sz w:val="16"/>
          <w:szCs w:val="16"/>
        </w:rPr>
        <w:t>29 декабря 1933 г. /1 января 1934 г 1934 вышел приказ НКТП № Зсс.</w:t>
      </w:r>
      <w:r w:rsidRPr="00C33834">
        <w:rPr>
          <w:color w:val="000000" w:themeColor="text1"/>
          <w:sz w:val="16"/>
          <w:szCs w:val="16"/>
        </w:rPr>
        <w:t xml:space="preserve"> О выпуске 21 торпеды на заводе «Двигатель». (РГАЭ. Ф. 7297. Оп. 38. Д. 94. Л. 18) (15246).</w:t>
      </w:r>
    </w:p>
    <w:p w14:paraId="3A00F299" w14:textId="77777777" w:rsidR="001E4A85" w:rsidRPr="00C33834" w:rsidRDefault="001E4A85" w:rsidP="00C33834">
      <w:pPr>
        <w:pStyle w:val="rtejustify"/>
        <w:spacing w:before="0" w:after="0"/>
        <w:rPr>
          <w:color w:val="000000" w:themeColor="text1"/>
          <w:sz w:val="16"/>
          <w:szCs w:val="16"/>
        </w:rPr>
      </w:pPr>
    </w:p>
    <w:p w14:paraId="5167A2BC" w14:textId="77777777" w:rsidR="002E2083"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0FDAE742"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BE6841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декабря 1933 поступил новый приказ -торпедоносные эскадрильи вооружать ТБ-1 и лишь одну, 110-ю на Дальнем Востоке - ТБ-3. В итоге заказ на мосты сократили до 15 экземпляров, но в январе 1934 г., наконец, пришли к окончательному решению - 30 мостов для двух эскадрилий (9807).</w:t>
      </w:r>
    </w:p>
    <w:p w14:paraId="3566AAF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EB9B7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декабря поступил новый приказ - торпедоносные эскадрильи вооружать ТБ-1 и лишь одну, 110-ю на Дальнем Востоке - ТБ-3 (12036).</w:t>
      </w:r>
    </w:p>
    <w:p w14:paraId="75C34C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053FD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декабря 1933 в округа поступает новый план - сформировать восемь эскадрилий (из них семь - на ТБ-1). Почти все они должны были дислоцироваться на Дальнем Востоке. Но эти планы не были реализованы.</w:t>
      </w:r>
    </w:p>
    <w:p w14:paraId="1131AA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ТБ-1П активно использовались на Балтике, но из-за нехватки мин и торпед фактически служили только как разведчики и бомбардировщики. Зимой их переставляли на лыжи или колеса. В сентябре 1934 г. 122-ю эскадрилью привлекли к поискам затонувшей в Финском заливе после взрыва подводной лодки Л-2 ("Сталинец"). Ее нашел и помог вывезти раненых экипаж комэска A.M. Вирака.</w:t>
      </w:r>
    </w:p>
    <w:p w14:paraId="396368D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Реально на 1 сентября 1936 г. в составе советской минно-торпедной авиации было всего шесть эскадрилий, из них четыре - на ТБ-1 (на Балтийском флоте две - 121-я и 122-я; на Черном море - одна и неполная, 34-я; и одна, 109-я, - на Тихом океане). Последнюю на следующий год перевооружили на ТБ-3. Еще 12 самолетов имелись в школе в Ейске.</w:t>
      </w:r>
    </w:p>
    <w:p w14:paraId="35B9F3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последующие два года положение мало улучшилось. 34-я эскадрилья в Евпатории сдала изношенные ТБ-1П, получив Р-5Т. На 1 января 1938 г. в боевых частях морской авиации насчитывалось 38 ТБ-1 и ТБ-1 П. В том же году поступило распоряжение их списать или сдать во вспомогательные подразделения.</w:t>
      </w:r>
    </w:p>
    <w:p w14:paraId="39B0BF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25 сентября 1940 г. у морских летчиков еще сохранялись 14 ТБ-1, из которых могли летать только шесть. Все они использовались в учебных целях или для транспортных перевозок.</w:t>
      </w:r>
    </w:p>
    <w:p w14:paraId="4CA1512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Подготовка летчиков морской авиации велась в Ейске. В 1932 г. находившаяся там школа получила первые ТБ-1. К январю 1935 г. там имелось уже 26 самолетов этого типа (12001).</w:t>
      </w:r>
    </w:p>
    <w:p w14:paraId="63B2D1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E1A4740" w14:textId="77777777" w:rsidR="00F22F48" w:rsidRPr="00C33834" w:rsidRDefault="00F22F48"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312C429C" w14:textId="77777777" w:rsidR="00F22F48" w:rsidRPr="00C33834" w:rsidRDefault="00F22F48"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A0424C8" w14:textId="77777777" w:rsidR="00F22F48" w:rsidRPr="00C33834" w:rsidRDefault="00F22F4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декабря 1933 г. было принято обширное постановление, представленное лично Кагановичем в эмоциональной речи на собрании метростроителей и рабочих московских заводов{507}.Постановление 29 декабря 1933 г. наметило решающий прорыв. В нем для каждой шахты и дистанции устанавливались жесткие сроки завершения строительства, давались детальные указания по оптимальной организации и созданию наиболее благоприятных условий для проведения работ. Руководству Метростроя и его парторганизации постановление на всем протяжении 1934 г. служило основанием и директивой, когда речь заходила о форсировании темпов и требованиях выполнения плана. В оставшиеся месяцы предстояло повысить темп земляных работ в 5 раз, а бетонных — даже в 9 раз{508}.</w:t>
      </w:r>
    </w:p>
    <w:p w14:paraId="5C03B26B" w14:textId="77777777" w:rsidR="00F22F48" w:rsidRPr="00C33834" w:rsidRDefault="00F22F4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Прежде Каганович внес ясность в еще один важный вопрос строительства, а именно по поводу трассы метрополитена на Арбате. Политбюро 20 марта 1933 г. распорядилось вести работы на Арбате закрытым способом. Метрострой в связи с этим разработал технический проект сооружения метро парижским методом, непосредственно под уличной мостовой. Однако на Арбате сложились особенно неблагоприятные геологические условия: до глубины 11 м грунт состоял из сухого песка, а под ним находились насыщенные водой плывуны{509}.Кроме того, при парижском методе требовалось переместить линии городских коммуникаций, что привело бы к длительной блокировке улиц. 20 октября 1933 г. в Моссовете состоялось совещание с участием Кагановича и Хрущева, на котором развернулась острая дискуссия{510}.</w:t>
      </w:r>
    </w:p>
    <w:p w14:paraId="14E0A1B1" w14:textId="77777777" w:rsidR="00F22F48" w:rsidRPr="00C33834" w:rsidRDefault="00F22F4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Каганович поставил предварительное условие, чтобы линии городских коммуникаций остались неповрежденными и не создавалось помех для уличного движения. Населениерайона настроено лояльно и терпеливо, но надо иметь в виду его реакцию, тем более что Арбат густо населен{511}.Там живет интеллигенция, писатели и художники; нельзя оставить этих людей без света или канализации{512}.Каганович указал проектировщикам Метростроя на то, что при советских отношениях собственности они не связаны направлением улиц, но без всяких формальностей могут тянуть трассу через дворовые участки. Комиссии под председательством Абакумова было поручено разработать несколько вариантов прокладки линии, в том числе и неглубокого залегания, начинающейся под библиотекой Ленина, проходящей далее по задним дворам левее улицы Коминтерна, через Арбатскую пл. и далее по дворовым участкам правой стороны Арбата{513}.</w:t>
      </w:r>
    </w:p>
    <w:p w14:paraId="08A7CF95" w14:textId="77777777" w:rsidR="00F22F48" w:rsidRPr="00C33834" w:rsidRDefault="00F22F4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ноября 1933 г. комиссия Абакумова представила проект, большинством голосов высказавшись за обходной маршрут, поскольку иначе не было гарантии сохранить неповрежденными линии городских коммуникаций. Для проходки тоннелей под домами, которые занимали половину трассы, инженер Ломов предложил траншейный способ, который уже успешно применялся в Мадриде и Париже. Каганович, Хрущев, а также Ротерт. поддержали это предложение. Несмотря на сопротивление инженеров Гертнера и Шелюбского, которые опасались обрушения домов, было решено разработать точный маршрут и технический проект обходной линии{514}.</w:t>
      </w:r>
    </w:p>
    <w:p w14:paraId="28D33729" w14:textId="77777777" w:rsidR="00F22F48" w:rsidRPr="00C33834" w:rsidRDefault="00F22F4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ноября 1933 г. Каганович на месте ознакомился с трассой прокладки тоннеля на Арбате и дал согласие на начало работ. Ломову удалось убедить Кагановича, что в русских условиях траншейный способ является идеальным: не требовалось крупной механизации, работу можно было организовать «системой мелкого крестьянского хозяйства», с заступом, кайлом и молотом{515} (18299).</w:t>
      </w:r>
    </w:p>
    <w:p w14:paraId="49F7E3EE" w14:textId="77777777" w:rsidR="00F22F48" w:rsidRPr="00C33834" w:rsidRDefault="00F22F48" w:rsidP="00C33834">
      <w:pPr>
        <w:spacing w:after="0" w:line="240" w:lineRule="auto"/>
        <w:jc w:val="both"/>
        <w:rPr>
          <w:rFonts w:ascii="Times New Roman" w:hAnsi="Times New Roman"/>
          <w:color w:val="000000" w:themeColor="text1"/>
          <w:sz w:val="16"/>
          <w:szCs w:val="16"/>
        </w:rPr>
      </w:pPr>
    </w:p>
    <w:p w14:paraId="45EFF89A"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22210F4D"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954D1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декабря 1933 В.М.М. и М.Литвинов в своих выступлениях на заседании ЦК утверждали, что гитлеровская Германия представляет угрозу безопасности СССР. Вследствие ухудшения советско-германский отношений сворачивается ВТС (3908,341).</w:t>
      </w:r>
    </w:p>
    <w:p w14:paraId="75ED04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0DE2A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декабря 1933 на 6 сессии ЦИК СССР Литвинов изложил принципы советской внешней политики на ближайшие годы:</w:t>
      </w:r>
    </w:p>
    <w:p w14:paraId="0608BE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ненападение и соблюдение нейтралитета в любом конфликте,</w:t>
      </w:r>
    </w:p>
    <w:p w14:paraId="1889FD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политика умиротворения в отношении Германии и Японии до тех пор, пока это не станет доказательством слабости,</w:t>
      </w:r>
    </w:p>
    <w:p w14:paraId="00BEA6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участие в усилиях по созданию системы коллективной безопасности,</w:t>
      </w:r>
    </w:p>
    <w:p w14:paraId="2D01C75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открытость в отношении западных демократий с рядом марксистских оговорок (3240).</w:t>
      </w:r>
    </w:p>
    <w:p w14:paraId="3848D7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 был новый курс.</w:t>
      </w:r>
    </w:p>
    <w:p w14:paraId="5D813E9B"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24B9953"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6945D6E6"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75215EA"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декабря 1933 румынскими фашистами убит премьер-министр Румынии И. Дука (4962).</w:t>
      </w:r>
    </w:p>
    <w:p w14:paraId="631F7C1C"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E930A9"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lastRenderedPageBreak/>
        <w:t>Авиапромышленность:</w:t>
      </w:r>
    </w:p>
    <w:p w14:paraId="11FCB237"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64DB4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декабря 1933 состоялся первый полет И-16 (62,291). С М-22 - В.П.Чкалов (80,155) и начались заводские испытания (2287,131).</w:t>
      </w:r>
    </w:p>
    <w:p w14:paraId="0E091E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EDEE68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30 декабря 1933 по 17 февраля 1934 проходили заводские испытания И-16 М-22 (7717, 19).</w:t>
      </w:r>
    </w:p>
    <w:p w14:paraId="183F600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252C35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декабря 1933 г. В.П.Чкалов поднял ЦКБ-12 в воз</w:t>
      </w:r>
      <w:r w:rsidRPr="00C33834">
        <w:rPr>
          <w:rFonts w:ascii="Times New Roman" w:hAnsi="Times New Roman"/>
          <w:color w:val="000000" w:themeColor="text1"/>
          <w:sz w:val="16"/>
          <w:szCs w:val="16"/>
        </w:rPr>
        <w:softHyphen/>
        <w:t>дух. «Готовится к первому полету машина. Наша! -вспоминала Т.А.Молькова, принимавшая участие в про</w:t>
      </w:r>
      <w:r w:rsidRPr="00C33834">
        <w:rPr>
          <w:rFonts w:ascii="Times New Roman" w:hAnsi="Times New Roman"/>
          <w:color w:val="000000" w:themeColor="text1"/>
          <w:sz w:val="16"/>
          <w:szCs w:val="16"/>
        </w:rPr>
        <w:softHyphen/>
        <w:t>ектировании ЦКБ-12. - Мало что может сравниться с тем чувством, которое мы испытывали во время первого вы</w:t>
      </w:r>
      <w:r w:rsidRPr="00C33834">
        <w:rPr>
          <w:rFonts w:ascii="Times New Roman" w:hAnsi="Times New Roman"/>
          <w:color w:val="000000" w:themeColor="text1"/>
          <w:sz w:val="16"/>
          <w:szCs w:val="16"/>
        </w:rPr>
        <w:softHyphen/>
        <w:t>лета нашего детища. Здесь и радость, и волнения. Все, «от мала до велика», лихорадочно перебирают в памяти промахи в работе, действительные и воображаемые, хо</w:t>
      </w:r>
      <w:r w:rsidRPr="00C33834">
        <w:rPr>
          <w:rFonts w:ascii="Times New Roman" w:hAnsi="Times New Roman"/>
          <w:color w:val="000000" w:themeColor="text1"/>
          <w:sz w:val="16"/>
          <w:szCs w:val="16"/>
        </w:rPr>
        <w:softHyphen/>
        <w:t>тя ясно, что теперь уже все равно поздно, ничего испра</w:t>
      </w:r>
      <w:r w:rsidRPr="00C33834">
        <w:rPr>
          <w:rFonts w:ascii="Times New Roman" w:hAnsi="Times New Roman"/>
          <w:color w:val="000000" w:themeColor="text1"/>
          <w:sz w:val="16"/>
          <w:szCs w:val="16"/>
        </w:rPr>
        <w:softHyphen/>
        <w:t>вить нельзя. И никакие административные запреты и угрозы не могут никого удержать на рабочих местах. Все работники, как один, выбегают на летное поле, а кому это не удается, занимают позиции повыше на заводском дворе, чтобы увидеть взлет и посадку. Вот выходит Ни</w:t>
      </w:r>
      <w:r w:rsidRPr="00C33834">
        <w:rPr>
          <w:rFonts w:ascii="Times New Roman" w:hAnsi="Times New Roman"/>
          <w:color w:val="000000" w:themeColor="text1"/>
          <w:sz w:val="16"/>
          <w:szCs w:val="16"/>
        </w:rPr>
        <w:softHyphen/>
        <w:t>колай Николаевич. Осеняет себя крестным знамением. Дается команда на рулежку и взлет... Пошла!... Оторва лась!... Вроде бы все благополучно. Приземлилась!... И сразу громадное облегчение. Все в порядке!» (10667).</w:t>
      </w:r>
    </w:p>
    <w:p w14:paraId="4C1D4E5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B53B9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30 декабря 1933 г. летчик-испытатель авиазавода №39 Валерий Чкалов впервые поднял в воздух ЦКБ-12 с двигателем М-22. В первых числах января 1934 г. состоялся дебют ЦКБ-12бисс "Райт-Циклон" F-2. В воздухе обе машины вели себя практически одинаково, управлять ими, по мнению Чкалова, оказалось трудно и непривычно. Весь январь продолжалась их доводка, в этот период провели основные заводские испытания. Уже в феврале 1934 г. самолеты подготовили для государственных испытаний, целью которых являлось определение основных летных характеристик ЦКБ-12 и окончательное решение о запуске его в серийное производство (12015). </w:t>
      </w:r>
    </w:p>
    <w:p w14:paraId="760B9E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6CE601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декабря 1933 был оформлен первый заказ на 50 моторов Циклон фирме Кертисс Райт</w:t>
      </w:r>
      <w:r w:rsidRPr="00C33834">
        <w:rPr>
          <w:rFonts w:ascii="Times New Roman" w:hAnsi="Times New Roman"/>
          <w:smallCaps/>
          <w:color w:val="000000" w:themeColor="text1"/>
          <w:sz w:val="16"/>
          <w:szCs w:val="16"/>
        </w:rPr>
        <w:t xml:space="preserve">, </w:t>
      </w:r>
      <w:r w:rsidRPr="00C33834">
        <w:rPr>
          <w:rFonts w:ascii="Times New Roman" w:hAnsi="Times New Roman"/>
          <w:color w:val="000000" w:themeColor="text1"/>
          <w:sz w:val="16"/>
          <w:szCs w:val="16"/>
        </w:rPr>
        <w:t>из которых 15 готовых моторов и 35 комплектов деталей, полуфабрикатов и заготовок в разных стадиях готовности. Заказ оформлен со сроками поставки в САСШ:</w:t>
      </w:r>
    </w:p>
    <w:p w14:paraId="2649165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- 1 мотор</w:t>
      </w:r>
    </w:p>
    <w:p w14:paraId="5CE9F19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январе - 5 </w:t>
      </w:r>
    </w:p>
    <w:p w14:paraId="15E6621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феврале - 10 (в том числе 4 с редукт.)</w:t>
      </w:r>
    </w:p>
    <w:p w14:paraId="424CAD5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марте детали по спец. списку.</w:t>
      </w:r>
    </w:p>
    <w:p w14:paraId="12A3D9C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 покуплись дюймовые, детали дюймовые с переделками, допускающими возможностьих постановки на метрические моторы</w:t>
      </w:r>
      <w:r w:rsidRPr="00C33834">
        <w:rPr>
          <w:rFonts w:ascii="Times New Roman" w:hAnsi="Times New Roman"/>
          <w:smallCaps/>
          <w:color w:val="000000" w:themeColor="text1"/>
          <w:sz w:val="16"/>
          <w:szCs w:val="16"/>
        </w:rPr>
        <w:t>. Ви</w:t>
      </w:r>
      <w:r w:rsidRPr="00C33834">
        <w:rPr>
          <w:rFonts w:ascii="Times New Roman" w:hAnsi="Times New Roman"/>
          <w:color w:val="000000" w:themeColor="text1"/>
          <w:sz w:val="16"/>
          <w:szCs w:val="16"/>
        </w:rPr>
        <w:t>нты к 16 моторам (2266,171).</w:t>
      </w:r>
    </w:p>
    <w:p w14:paraId="32E6469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72FCC07" w14:textId="77777777" w:rsidR="001E4A85" w:rsidRPr="00C33834" w:rsidRDefault="001E4A85" w:rsidP="00C33834">
      <w:pPr>
        <w:spacing w:after="0" w:line="240" w:lineRule="auto"/>
        <w:jc w:val="both"/>
        <w:rPr>
          <w:rFonts w:ascii="Times New Roman" w:hAnsi="Times New Roman"/>
          <w:color w:val="000000" w:themeColor="text1"/>
          <w:sz w:val="16"/>
          <w:szCs w:val="16"/>
        </w:rPr>
      </w:pPr>
      <w:r w:rsidRPr="00C33834">
        <w:rPr>
          <w:rFonts w:ascii="Times New Roman" w:hAnsi="Times New Roman"/>
          <w:bCs/>
          <w:color w:val="000000" w:themeColor="text1"/>
          <w:sz w:val="16"/>
          <w:szCs w:val="16"/>
        </w:rPr>
        <w:t>30 декабря</w:t>
      </w:r>
      <w:r w:rsidRPr="00C33834">
        <w:rPr>
          <w:rFonts w:ascii="Times New Roman" w:hAnsi="Times New Roman"/>
          <w:color w:val="000000" w:themeColor="text1"/>
          <w:sz w:val="16"/>
          <w:szCs w:val="16"/>
        </w:rPr>
        <w:t xml:space="preserve"> в 1933 году первый полёт истребителя-моноплана «И-16» конструкции Н.Н.Поликарпова с «М-22», В.П.Чкалов. Для своего времени это был лучший истребитель в своем классе, на нём В.П.Чкалов впервые в мире выполнил восходящий штопор. Силуэт его легко угадывался на плакатах, изображающих вождей могучего государства, стаи этих маленьких самолетиков наполняли детские книги, а в кинофильмах предвоенной поры крутили немыслимые фигуры высшего пилотажа. Все это - о первом скоростном истребителе – «И-16» конструкции Поликарпова. Непривычно обрубленный спереди фюзеляж, плавно сопряженный мощными зализами с широкими крыльями, массивное оперение, убирающееся шасси, придавали «И-16» неповторимый облик фантастического лобастого насекомого. Советские летчики называли ею "ишачком", любили его и ругали, как любят и ругают привычный предмет, приносящий не только радость, но и огорчения. Впервые поднял его в воздух летчик-испытатель авиазавода №39 Валерий Чкалов. Уже в феврале 1934 года обе опытные машины были подготовлены для первого этапа Государственных испытаний. Обратил внимание на новый самолет и сам Иосиф Сталин. Однажды в ноябре 1934 года на Ходынку приехали Сталин, Орджоникидзе, Каганович, Микоян и другие партийные руководители. Интересовались «И-16». В самолет сел Чкалов и от души открутил весь пилотаж перед правительственной делегацией. Когда пришло время приземляться, капризное шасси как обычно застряло на выходе. Чкалов, уже неоднократно проделывая это ранее, дожал шасси перегрузкой, крутанув несколько эффектных "мертвых" петель. Последнее особенно понравилось Сталину - после приземления он пожелал познакомиться с отважным пилотом. Опрашивая других присутствующих летчиков завода и НИИ ВВС, вождь интересовался их мнением о новом истребителе. Все опрошенные самолет хвалили. На вопрос "Так что, нужен нам такой самолет?" отвечали - "Очень нужен, товарищ Сталин!". Тогда же было решено построить на авиазаводе №39 пять специально облегченных «И-16» для парадной пилотажной группы. Заказ на их изготовление получил название "Сталинское задание". Эти машины были готовы в марте 1935 года. Пятерка состояла из летчиков Коккинаки (ведущий), Шевченко, Супруна, Евсеева, Премана. Самолеты были окрашены в ярко красный цвет, лишь капоты в соответствии с неписаными традициями завода №39 были черными. "Красные пятерки" летали вплоть до самой войны, а во время гражданской войны в Испании в 1936-1939 гг. «И-16» впервые был использован в боевой обстановке. Ужас встречи с внезапно появившимися «И-16» у националистов первоначально был столь велик, что они дали ему прозвище "Рата" (крыса), а республиканцы ласково называли своего защитника "Моска" (муха). Авиационные издания всего мира окрестили новинку "Боингом", утверждая при этом, что самолет разработан на этой известнейшей американской фирме. В самый разгар испанской войны камни аэродромов другой далекой страны начали вылетать из-под колес газующих на взлете "ишачков". Япония, включившись в процесс передела мира, начала в 1937 году захват территории Китая. Чан Кайши, который любил русских, пожалуй, даже меньше, чем японцев, в поисках поддержки вынужден был пойти на переговоры со Сталиным. Ряд соглашений между гоминдановским Китаем и Советским Союзом предусматривал военные поставки, среди которых были и самолеты. Только в первые годы войны с октября 1937 года по сентябрь 1939 года в Китай поступило 885 советских самолетов (до 1941 г. поступило 1250 самолетов), среди которых находилось 216 истребителей «И-16» тип 5 и тип 10. Кроме поставок боеспособных самолетов, в городе Урумчи был построен завод для постройки «И-16». Получили «И-16» и свое новое - китайское прозвище - здесь их стали называть "ласточкой". Повоевал "ишачок" и всю Вторую мировую. ЛТХ: Максимальная скорость - 462 км/ч; Взлетный вес - 1941 кг; Потолок - 9700 м; Дальность полета - 700 км; Вооружение - два крыльевых пулемета ШКАС, к которым впоследствии добавили еще два синхронных. Начиная с «И-16» (тип 17) вместо крыльевых пулеметов устанавливали пушки ШВАК калибра 20 мм; Бомбовая нагрузка - до 200 кг; Шесть реактивных снарядов «РС-82». Всего выпущено 6555 истребителей «И-16» разных модификаций (14876).</w:t>
      </w:r>
    </w:p>
    <w:p w14:paraId="0FB2FDF7" w14:textId="52889EB6" w:rsidR="001E4A85" w:rsidRPr="00C33834" w:rsidRDefault="001E4A85" w:rsidP="00C33834">
      <w:pPr>
        <w:spacing w:after="0" w:line="240" w:lineRule="auto"/>
        <w:jc w:val="both"/>
        <w:rPr>
          <w:rFonts w:ascii="Times New Roman" w:hAnsi="Times New Roman"/>
          <w:color w:val="000000" w:themeColor="text1"/>
          <w:sz w:val="16"/>
          <w:szCs w:val="16"/>
        </w:rPr>
      </w:pPr>
    </w:p>
    <w:p w14:paraId="5E3D9DEF" w14:textId="4A689140" w:rsidR="001F3595" w:rsidRPr="00C33834" w:rsidRDefault="001F3595" w:rsidP="00C33834">
      <w:pPr>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За рубежом:</w:t>
      </w:r>
    </w:p>
    <w:p w14:paraId="52D7F840" w14:textId="77777777" w:rsidR="001F3595" w:rsidRPr="00C33834" w:rsidRDefault="001F3595" w:rsidP="00C33834">
      <w:pPr>
        <w:spacing w:after="0" w:line="240" w:lineRule="auto"/>
        <w:jc w:val="both"/>
        <w:rPr>
          <w:rFonts w:ascii="Times New Roman" w:hAnsi="Times New Roman"/>
          <w:i/>
          <w:iCs/>
          <w:color w:val="000000" w:themeColor="text1"/>
          <w:sz w:val="16"/>
          <w:szCs w:val="16"/>
        </w:rPr>
      </w:pPr>
    </w:p>
    <w:p w14:paraId="5C013088" w14:textId="77777777" w:rsidR="001F3595" w:rsidRPr="00C33834" w:rsidRDefault="001F359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30 декабря 1933 Imperial Airways Avro Ten Apollo ( G-ABLU ) врезается в радиомачту и разбивается в Рейсселеде, Бельгия , в результате чего погибли все 10 человек на борту. Король Альберт I из Бельгии наградит Camille ван Хоув, который госпитализирован с серьезными ожогами пострадавшими при попытке спасти жертв, Civic Крест (первый класс) (20802).</w:t>
      </w:r>
    </w:p>
    <w:p w14:paraId="34AFACE5" w14:textId="77777777" w:rsidR="001F3595" w:rsidRPr="00C33834" w:rsidRDefault="001F3595" w:rsidP="00C33834">
      <w:pPr>
        <w:spacing w:after="0" w:line="240" w:lineRule="auto"/>
        <w:jc w:val="both"/>
        <w:rPr>
          <w:rFonts w:ascii="Times New Roman" w:hAnsi="Times New Roman"/>
          <w:color w:val="0070C0"/>
          <w:sz w:val="16"/>
          <w:szCs w:val="16"/>
        </w:rPr>
      </w:pPr>
    </w:p>
    <w:p w14:paraId="60C5A2E7"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9075E46"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D5F9AB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декабря 1933 года ст. военпред УВВС на заводе N 31 Багров писал письмо N 564с начальнику 1 сектора 1 отдела УМТС и В ВВС.</w:t>
      </w:r>
    </w:p>
    <w:p w14:paraId="77BEC2F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этом представляю протокол серийного испытания самолета Р-6 2-М17 за N 3161 постройки завода 31, прошу Вашего утверждения.</w:t>
      </w:r>
    </w:p>
    <w:p w14:paraId="6C4AFDF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заводом предъявлен для испытания.</w:t>
      </w:r>
    </w:p>
    <w:p w14:paraId="13FE8E7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Предъявление N 2807с 22 ноября 1933 года.</w:t>
      </w:r>
    </w:p>
    <w:p w14:paraId="27ACC7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в воздухе производил летчик-сдатчик завода Номан.</w:t>
      </w:r>
    </w:p>
    <w:p w14:paraId="2A77B3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Серия состоит из 35 самолетов с N 3161 по 3195 включительно (3313,1-18).</w:t>
      </w:r>
    </w:p>
    <w:p w14:paraId="4D3473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039069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декабря 1933 года был утвержден пом. нач. ГУАП как временный.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F26F01" w:rsidRPr="00C33834" w14:paraId="7872D9AA" w14:textId="77777777">
        <w:tc>
          <w:tcPr>
            <w:tcW w:w="3757" w:type="dxa"/>
          </w:tcPr>
          <w:p w14:paraId="56BE23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НКТП</w:t>
            </w:r>
          </w:p>
        </w:tc>
        <w:tc>
          <w:tcPr>
            <w:tcW w:w="3757" w:type="dxa"/>
          </w:tcPr>
          <w:p w14:paraId="5774EB9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Глававиапром</w:t>
            </w:r>
          </w:p>
        </w:tc>
        <w:tc>
          <w:tcPr>
            <w:tcW w:w="3757" w:type="dxa"/>
          </w:tcPr>
          <w:p w14:paraId="3B7E543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Объединенное бюро стандартизации (ОБСА)</w:t>
            </w:r>
          </w:p>
        </w:tc>
      </w:tr>
      <w:tr w:rsidR="00F26F01" w:rsidRPr="00C33834" w14:paraId="1336BE93" w14:textId="77777777">
        <w:tc>
          <w:tcPr>
            <w:tcW w:w="3757" w:type="dxa"/>
          </w:tcPr>
          <w:p w14:paraId="691534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Авиационный стандарт</w:t>
            </w:r>
          </w:p>
        </w:tc>
        <w:tc>
          <w:tcPr>
            <w:tcW w:w="3757" w:type="dxa"/>
          </w:tcPr>
          <w:p w14:paraId="6D8692F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EC052D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 СТУ</w:t>
            </w:r>
          </w:p>
        </w:tc>
      </w:tr>
      <w:tr w:rsidR="00F26F01" w:rsidRPr="00C33834" w14:paraId="6392749F" w14:textId="77777777">
        <w:tc>
          <w:tcPr>
            <w:tcW w:w="3757" w:type="dxa"/>
          </w:tcPr>
          <w:p w14:paraId="3639D7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Р-6а 2М-17</w:t>
            </w:r>
          </w:p>
        </w:tc>
        <w:tc>
          <w:tcPr>
            <w:tcW w:w="3757" w:type="dxa"/>
          </w:tcPr>
          <w:p w14:paraId="6404C2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25AFC7D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w:t>
            </w:r>
          </w:p>
        </w:tc>
      </w:tr>
      <w:tr w:rsidR="00F26F01" w:rsidRPr="00C33834" w14:paraId="440166DF" w14:textId="77777777">
        <w:tc>
          <w:tcPr>
            <w:tcW w:w="3757" w:type="dxa"/>
          </w:tcPr>
          <w:p w14:paraId="0490D8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ТУ</w:t>
            </w:r>
          </w:p>
        </w:tc>
        <w:tc>
          <w:tcPr>
            <w:tcW w:w="3757" w:type="dxa"/>
          </w:tcPr>
          <w:p w14:paraId="43D6E65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264F1C6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1-е издание (3100)</w:t>
            </w:r>
          </w:p>
        </w:tc>
      </w:tr>
    </w:tbl>
    <w:p w14:paraId="04D44F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FF9ECA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декабря 1933 года закончились предварительные испытания самолета И-15 (ЦКБ-3) с мотором Райт-Циклон 1820 № 625 НР с нагнетателем, металлический винт Гамильтон-Стандарт, которые проходили с 21 декабря 1933 (6655).</w:t>
      </w:r>
    </w:p>
    <w:p w14:paraId="11F9EEF6"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испытаний</w:t>
      </w:r>
    </w:p>
    <w:p w14:paraId="3C5110BC"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 испытания самолета в части снятия летной характеристики и выявления основных летных качеств и эксплуатационных свойств самолета.</w:t>
      </w:r>
    </w:p>
    <w:p w14:paraId="0CFBCD13"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32F6FE09"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И-15 с мотором Райт-Циклон F-3 как полностью и с превышением удовлетворяющий техническим требованиям, рекомендовать для серийной постройки.</w:t>
      </w:r>
    </w:p>
    <w:p w14:paraId="487C7895"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опытном экземпляре надлежит добиться еще в процессе дополнительных испытаний улучшения устойчивости пути и разработать мероприятия для серии.</w:t>
      </w:r>
    </w:p>
    <w:p w14:paraId="6A2AD9B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Отв. исполнители:</w:t>
      </w:r>
    </w:p>
    <w:p w14:paraId="08F06AA1"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 Часовиков С.</w:t>
      </w:r>
    </w:p>
    <w:p w14:paraId="0A3747BB"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летчик – Степанченок В.</w:t>
      </w:r>
    </w:p>
    <w:p w14:paraId="05C78EFA"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3218063E" w14:textId="77777777">
        <w:tc>
          <w:tcPr>
            <w:tcW w:w="5636" w:type="dxa"/>
          </w:tcPr>
          <w:p w14:paraId="53C4CF95"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декабря 1933 года</w:t>
            </w:r>
          </w:p>
        </w:tc>
        <w:tc>
          <w:tcPr>
            <w:tcW w:w="5636" w:type="dxa"/>
          </w:tcPr>
          <w:p w14:paraId="405C5AE6"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Облет машины вместе с заводом.</w:t>
            </w:r>
          </w:p>
        </w:tc>
      </w:tr>
      <w:tr w:rsidR="00F26F01" w:rsidRPr="00C33834" w14:paraId="18DF1C48" w14:textId="77777777">
        <w:tc>
          <w:tcPr>
            <w:tcW w:w="5636" w:type="dxa"/>
          </w:tcPr>
          <w:p w14:paraId="5EB44673"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декабря 1933 года</w:t>
            </w:r>
          </w:p>
        </w:tc>
        <w:tc>
          <w:tcPr>
            <w:tcW w:w="5636" w:type="dxa"/>
          </w:tcPr>
          <w:p w14:paraId="44FF8005"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километраж.</w:t>
            </w:r>
          </w:p>
        </w:tc>
      </w:tr>
      <w:tr w:rsidR="00F26F01" w:rsidRPr="00C33834" w14:paraId="177AF2FB" w14:textId="77777777">
        <w:tc>
          <w:tcPr>
            <w:tcW w:w="5636" w:type="dxa"/>
          </w:tcPr>
          <w:p w14:paraId="424CAF2D"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декабря 1933 года</w:t>
            </w:r>
          </w:p>
        </w:tc>
        <w:tc>
          <w:tcPr>
            <w:tcW w:w="5636" w:type="dxa"/>
          </w:tcPr>
          <w:p w14:paraId="12E933F5"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Скороподъемность на 5000 м и скорости по высотам 5-1000 м. Пролет по заданию начальника ВВС.</w:t>
            </w:r>
          </w:p>
        </w:tc>
      </w:tr>
      <w:tr w:rsidR="00F26F01" w:rsidRPr="00C33834" w14:paraId="66934F0E" w14:textId="77777777">
        <w:tc>
          <w:tcPr>
            <w:tcW w:w="5636" w:type="dxa"/>
          </w:tcPr>
          <w:p w14:paraId="62C84AC4"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 декабря 1933 года</w:t>
            </w:r>
          </w:p>
        </w:tc>
        <w:tc>
          <w:tcPr>
            <w:tcW w:w="5636" w:type="dxa"/>
          </w:tcPr>
          <w:p w14:paraId="38E93B43"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Штопор и управляемость на 1000 м.</w:t>
            </w:r>
          </w:p>
        </w:tc>
      </w:tr>
      <w:tr w:rsidR="00F26F01" w:rsidRPr="00C33834" w14:paraId="718E9058" w14:textId="77777777">
        <w:tc>
          <w:tcPr>
            <w:tcW w:w="5636" w:type="dxa"/>
          </w:tcPr>
          <w:p w14:paraId="3C4CC47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декабря 1933 года</w:t>
            </w:r>
          </w:p>
        </w:tc>
        <w:tc>
          <w:tcPr>
            <w:tcW w:w="5636" w:type="dxa"/>
          </w:tcPr>
          <w:p w14:paraId="681B1201"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Облет самолета летчиками Сузи и Филиным.</w:t>
            </w:r>
          </w:p>
        </w:tc>
      </w:tr>
      <w:tr w:rsidR="00F26F01" w:rsidRPr="00C33834" w14:paraId="513C3F3E" w14:textId="77777777">
        <w:tc>
          <w:tcPr>
            <w:tcW w:w="5636" w:type="dxa"/>
          </w:tcPr>
          <w:p w14:paraId="054473F6"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декабря 1933 года</w:t>
            </w:r>
          </w:p>
        </w:tc>
        <w:tc>
          <w:tcPr>
            <w:tcW w:w="5636" w:type="dxa"/>
          </w:tcPr>
          <w:p w14:paraId="2E215EBD"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Полет на скороподъемность и скорости по высотам.</w:t>
            </w:r>
          </w:p>
        </w:tc>
      </w:tr>
    </w:tbl>
    <w:p w14:paraId="0F530B69"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по назначению одноместный маневренный истребитель. По схеме одностоечный биплан неравного размаха, с</w:t>
      </w:r>
    </w:p>
    <w:p w14:paraId="7FE98578"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центропланом типа «ЧАЙКА» и одностоечным шасси.</w:t>
      </w:r>
    </w:p>
    <w:p w14:paraId="3CB253FD"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Конструкция смешанная; крылья – деревянные, фюзеляж из нормализованных хромомолибденовых труб, второстепенные</w:t>
      </w:r>
    </w:p>
    <w:p w14:paraId="204CF371"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детали изготовлены из дюраля; фюзеляж, крылья и оперение покрыты полотном (6655).</w:t>
      </w:r>
    </w:p>
    <w:p w14:paraId="43240A6C"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B098F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декабря 1933 проходили гос. испытания ЦКБ-3 (И-15) - второго - на лыжах (222,25), которые шли с 21 декабря. По другим данным до 1 января 1934 и предварительные гос. испытания (2266,287).</w:t>
      </w:r>
    </w:p>
    <w:p w14:paraId="09E828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D3906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декабря 1933 были завершены предварительные гос. испытания И-15 РЦ 2-го экз., который был сдан на гос. испытания 25 декабря 1933. Машина была принята на снабжение ВВС и предназначался для постройки на заводе 1 (2287,131).</w:t>
      </w:r>
    </w:p>
    <w:p w14:paraId="5FCB0A3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B5487BA" w14:textId="77777777" w:rsidR="001E4A85" w:rsidRPr="00C33834" w:rsidRDefault="001E4A8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декабря 1933 накануне нового 1934 года, в НИИ ВВС поступили указания Начальника ВВС:</w:t>
      </w:r>
    </w:p>
    <w:p w14:paraId="44E79B93" w14:textId="77777777" w:rsidR="001E4A85" w:rsidRPr="00C33834" w:rsidRDefault="001E4A8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 для серийного производства строит в качестве эталона дублёр И-14 под два пулемёта, предусматривая возможность установки двух пушек.</w:t>
      </w:r>
    </w:p>
    <w:p w14:paraId="0448284E" w14:textId="77777777" w:rsidR="001E4A85" w:rsidRPr="00C33834" w:rsidRDefault="001E4A8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экземпляр И-14 построен и НИИ должен, согласно данных мною указаний, приступить к его испытанию. Этот экземпляр имеет один пулемёт и предусматривает установку двух пушек. По докладу т. Туполева пушки уже отстреляны на земле и необ</w:t>
      </w:r>
      <w:r w:rsidRPr="00C33834">
        <w:rPr>
          <w:rFonts w:ascii="Times New Roman" w:hAnsi="Times New Roman"/>
          <w:color w:val="000000" w:themeColor="text1"/>
          <w:sz w:val="16"/>
          <w:szCs w:val="16"/>
        </w:rPr>
        <w:softHyphen/>
        <w:t>ходимо испытать их в воздухе. Предлагаю:</w:t>
      </w:r>
    </w:p>
    <w:p w14:paraId="5F3ED9E7" w14:textId="77777777" w:rsidR="001E4A85" w:rsidRPr="00C33834" w:rsidRDefault="001E4A85" w:rsidP="00C33834">
      <w:pPr>
        <w:tabs>
          <w:tab w:val="left" w:pos="488"/>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Продолжить изготовление дублёра И-14 2 пулемёта, предусмотрев установку пу</w:t>
      </w:r>
      <w:r w:rsidRPr="00C33834">
        <w:rPr>
          <w:rFonts w:ascii="Times New Roman" w:hAnsi="Times New Roman"/>
          <w:color w:val="000000" w:themeColor="text1"/>
          <w:sz w:val="16"/>
          <w:szCs w:val="16"/>
        </w:rPr>
        <w:softHyphen/>
        <w:t>шек так, как это намечено и делается.</w:t>
      </w:r>
    </w:p>
    <w:p w14:paraId="093A5B26" w14:textId="77777777" w:rsidR="001E4A85" w:rsidRPr="00C33834" w:rsidRDefault="001E4A85" w:rsidP="00C33834">
      <w:pPr>
        <w:tabs>
          <w:tab w:val="left" w:pos="483"/>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Немедленно приступить к испытанию 1-го экземпляра И-14, как самолёта с целью определить все лётно-тактические данные под один пулемёт (как это установлено).</w:t>
      </w:r>
    </w:p>
    <w:p w14:paraId="1EC76752" w14:textId="77777777" w:rsidR="001E4A85" w:rsidRPr="00C33834" w:rsidRDefault="001E4A8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окончании испытаний первый экземпляр И-14... сейчас же немедленно установить на нём пушки и приступить к испытаниям на этом самолёте пушечной системы и само</w:t>
      </w:r>
      <w:r w:rsidRPr="00C33834">
        <w:rPr>
          <w:rFonts w:ascii="Times New Roman" w:hAnsi="Times New Roman"/>
          <w:color w:val="000000" w:themeColor="text1"/>
          <w:sz w:val="16"/>
          <w:szCs w:val="16"/>
        </w:rPr>
        <w:softHyphen/>
        <w:t>лёта с этой системой с таким расчётом, чтобы ко времени выхода дублёра на госиспы</w:t>
      </w:r>
      <w:r w:rsidRPr="00C33834">
        <w:rPr>
          <w:rFonts w:ascii="Times New Roman" w:hAnsi="Times New Roman"/>
          <w:color w:val="000000" w:themeColor="text1"/>
          <w:sz w:val="16"/>
          <w:szCs w:val="16"/>
        </w:rPr>
        <w:softHyphen/>
        <w:t>тания пушечная система была уже испытана в воздухе на первом экземпляре.</w:t>
      </w:r>
    </w:p>
    <w:p w14:paraId="62D37633" w14:textId="77777777" w:rsidR="001E4A85" w:rsidRPr="00C33834" w:rsidRDefault="001E4A8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этим должен быть определен план и темпы испытания И-14.</w:t>
      </w:r>
    </w:p>
    <w:p w14:paraId="656A7252" w14:textId="77777777" w:rsidR="001E4A85" w:rsidRPr="00C33834" w:rsidRDefault="001E4A8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ходе испытаний докладывать мне 10, 20 и 30 января. Тов. Жарову к тому времени выяснить в ГАУ, сколько пушек этого типа оно заказывает по 1934 году» (15823).</w:t>
      </w:r>
    </w:p>
    <w:p w14:paraId="3FB08DEE" w14:textId="77777777" w:rsidR="001E4A85" w:rsidRPr="00C33834" w:rsidRDefault="001E4A85" w:rsidP="00C33834">
      <w:pPr>
        <w:spacing w:after="0" w:line="240" w:lineRule="auto"/>
        <w:jc w:val="both"/>
        <w:rPr>
          <w:rFonts w:ascii="Times New Roman" w:hAnsi="Times New Roman"/>
          <w:color w:val="000000" w:themeColor="text1"/>
          <w:sz w:val="16"/>
          <w:szCs w:val="16"/>
        </w:rPr>
      </w:pPr>
    </w:p>
    <w:p w14:paraId="00C74FA5" w14:textId="77777777" w:rsidR="001F3595" w:rsidRPr="00C33834" w:rsidRDefault="001F359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 31 декабря 1933 году завод № 21 не только выполнил плановое задание по производству самолетов, но и перевыполнил его, выпустив 321 самолет И-5 по № 21331 и 94 групповых комплекта. В конце года были отмечены по заводу начальник сборочного цеха Ефремов, инженер цеха Куприянов, начальник ЛИС Норец. летчики Жуков и Павлушов, старший механик аэродрома Крылов и вся аэродромная команда.</w:t>
      </w:r>
    </w:p>
    <w:p w14:paraId="79471AA5" w14:textId="77777777" w:rsidR="001F3595" w:rsidRPr="00C33834" w:rsidRDefault="001F359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Облет самолетов И-5 не занимал много времени. Некоторые самолеты облетывались даже за 18-20 минут (самолеты №№ 2115, 2133). Ну, а в среднем, это длилось 30-40 минут. Самыми распространенными дефектами были отказы мотора М-22 выпуска завода № 29. Летчик писал просто: «Сдал мотор...». В этом случае обшее время облета самолета могло увеличиться до 1,5 часа.</w:t>
      </w:r>
    </w:p>
    <w:p w14:paraId="37D62481" w14:textId="77777777" w:rsidR="001F3595" w:rsidRPr="00C33834" w:rsidRDefault="001F3595" w:rsidP="00C33834">
      <w:pPr>
        <w:spacing w:after="0" w:line="240" w:lineRule="auto"/>
        <w:jc w:val="both"/>
        <w:rPr>
          <w:rFonts w:ascii="Times New Roman" w:hAnsi="Times New Roman"/>
          <w:color w:val="0070C0"/>
          <w:sz w:val="16"/>
          <w:szCs w:val="16"/>
        </w:rPr>
      </w:pPr>
    </w:p>
    <w:p w14:paraId="7341AAA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декабря 1933 г. на аэродроме авиазавода № 21 произошла авария И-5 зав. № 21330, который пилотировал летчик-испытатель Павлушев. На двадцатой минуте полета заглох мотор. Высота была небольшой, и летчик, не имея возможности дотянуть до взлетной полосы, попытался сесть на площадку возле ангара. Однако истребитель ударился о крышу здания и, перевернувшись, упал на землю. По счастливой случайности сам Павлушев отделался ушибами. Причиной аварии, как выяснилось, стал отказ бензопомпы двигателя по вине завода-изготовителя (завод № 29). [260 — ГУ ЦАНО, Ф. 2066, Оп. 6, Д. 65, Л. 4.]. Кроме того, как было установлено комиссией, сам Павлушев нарушил положение о полетной службе и во время выполнения полета вышел из зоны аэродрома. Решение садиться на взлетную полосу также было признано неправильным. За это на летчика было наложено взыскание — арест на трое суток (11741).</w:t>
      </w:r>
    </w:p>
    <w:p w14:paraId="393C44D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9228B1" w14:textId="77777777" w:rsidR="001F3595" w:rsidRPr="00C33834" w:rsidRDefault="001F359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Неприятность произошла в последний день года 31 декабря 1933 при испытаниях в воздухе летчиком П.П. Павлушовым самолета №21330. На высоте 700 метров из- за заедания передачи к бензиновой помпе остановился мотор. Летчик нарушил положение о летной службе, выйдя из зоны аэродрома. Стал тянуть на аэродром, ударился лыжами в крышу бензохранилища. При аварии самолет разбился. Летчик был легко ранен. За нарушение летных документов Павлушов был арестован на трое суток с исполнением своих обязанностей по испытательной работе (21100).</w:t>
      </w:r>
    </w:p>
    <w:p w14:paraId="4C2FFBB2" w14:textId="77777777" w:rsidR="001F3595" w:rsidRPr="00C33834" w:rsidRDefault="001F3595" w:rsidP="00C33834">
      <w:pPr>
        <w:spacing w:after="0" w:line="240" w:lineRule="auto"/>
        <w:jc w:val="both"/>
        <w:rPr>
          <w:rFonts w:ascii="Times New Roman" w:hAnsi="Times New Roman"/>
          <w:color w:val="0070C0"/>
          <w:sz w:val="16"/>
          <w:szCs w:val="16"/>
        </w:rPr>
      </w:pPr>
    </w:p>
    <w:p w14:paraId="582A08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декабря 1933 года начальник НОТО ГУАП Алмазов писал письмо в ЦК ВКП(б) Осиеву.</w:t>
      </w:r>
    </w:p>
    <w:p w14:paraId="5F99F3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Вопросами общего направления развития авиационной техники у нас в Союзе занимаются следующие организации:</w:t>
      </w:r>
    </w:p>
    <w:p w14:paraId="301EC49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НИИ ВВС - как научно-испытательная организация, занимающаяся изучением вопросов эксплуатации и применения материальной части ВВС.</w:t>
      </w:r>
    </w:p>
    <w:p w14:paraId="2767FD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НИИ как наиболее заинтересованный орган в высоком летно-техническом и тактическом уровне самолетов и материальной части ВВС по сравнению с вероятными противниками, следит за развитием мировой авиатехники и определяет уровень ее как на данное время, так и в перспективе.</w:t>
      </w:r>
    </w:p>
    <w:p w14:paraId="5B8005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НИИ ГУГВФ. Те же функции в отношении материальной части Гражд. Воздушного Флота, являющейся резервом Военно-воздушного флота.</w:t>
      </w:r>
    </w:p>
    <w:p w14:paraId="596688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функции НИИ ГУГВФ значительно переросли и эта организация занимается не только вопросами эксплуатации, но имеет конструкторскую и эксплуатационную базу, где осуществляет собственные конструкции самолетов и моторов для применения в Гражданском флоте (например: исследование вопроса стального самолетостроения, постройка маломощных двигателей и т.д.).</w:t>
      </w:r>
    </w:p>
    <w:p w14:paraId="4D9A06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ГУАП - С системой научно-исследовательских и опытных организаций (ЦАГИ, ЦИАМ, ВИАМ, ХАЗОС, зав. N 39, ХАИ и др.) обеспеченных лучшими в Союзе лабораториями, кабинетами, конструкторскими бюро, имеющих собственную производственную базу, занимающихся разрешением всего сложного комплекса вопросов авиатехники от чисто теоретических до создания вполне законченных для эксплуатации объектов и внедрения в серийное производство.</w:t>
      </w:r>
    </w:p>
    <w:p w14:paraId="28F245D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ОСОАВИАХИМ. Организация, занимающаяся в основном популяризацией идей авиатехники, имеющая широкую сеть периферийных организаций.</w:t>
      </w:r>
    </w:p>
    <w:p w14:paraId="716D59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Частично объединяет конструкторские группы и отдельных конструкторов в области легкой и спортивной авиации, планеризма и других областях авиатехники (ГИРД и др.).</w:t>
      </w:r>
    </w:p>
    <w:p w14:paraId="0B168A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ОКБ-ОГПУ (Объединенное КБ), занимающееся в основном вопросами мощных нефтяных авиадвигателей, напр. ФЭД 8.</w:t>
      </w:r>
    </w:p>
    <w:p w14:paraId="7ADDA0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перспектив развития Военно-воздушного флота, установление типов машин, составление технических требований на самолеты, моторы, оборудование и вооружение производится Управлением ВВС. Следуя за уровнем мировой авиатехники, на основе строгого анализа и выводов о вероятных путях развития УВВС, выдвигает авиапромышленности план опытного строительства.</w:t>
      </w:r>
    </w:p>
    <w:p w14:paraId="236579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Выдвинутые требования прорабатываются авиапромышленностью с точки зрения возможности выполнения их по техническим данным и по срокам, после чего, по согласованию с УВВС, представляются в РВС СССР и Правительство на утверждение.</w:t>
      </w:r>
    </w:p>
    <w:p w14:paraId="06FA83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Ряд объектов не могут быть приняты промышленностью к выполнению из-за перегруженности опытных организаций, передаются другим организациям, не входящим в систему ГУАП (например самолет Д1-ВВА).</w:t>
      </w:r>
    </w:p>
    <w:p w14:paraId="538BC81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Гражданские самолеты, строящиеся в опытном порядке, предусматривают постройку каждого типа в военном и гражданском вариантах.</w:t>
      </w:r>
    </w:p>
    <w:p w14:paraId="3487C6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основе утвержденного Правительством плана опытного строительства, разрабатывается план научно-исследовательских работ, обеспечивающий проведение всех необходимых с выполнением опытных объектов работ в надлежащие сроки, как в области материалов, так конструкции и производства.</w:t>
      </w:r>
    </w:p>
    <w:p w14:paraId="57E202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составляется план экспериментальных и теоретических работ, прорабатывающих новые проблемы и принципы, для проверки на эксперименты и накопления опыта при дальнейшем осуществлении в опытных конструкциях.</w:t>
      </w:r>
    </w:p>
    <w:p w14:paraId="147B88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план включаются так же темы, выдвигаемые заводами авиапромышленности, направленные на разрешение проблем, связанных с производством авиамашин и агрегатов.</w:t>
      </w:r>
    </w:p>
    <w:p w14:paraId="622C35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Планы научно-исследовательских и экспериментальных работ, выдвигаемые авиапромышленностью, обсуждаются на совместном техническом совещании, со всеми заинтересованными организациями и по увязке тематики и сроков, утверждаются ГУАП"ом и спускаются для исполнения.</w:t>
      </w:r>
    </w:p>
    <w:p w14:paraId="5514F7E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Прежде чем пустить в постройку опытный объект (самолет) опытные организации представляют на утверждение УВВС эскизный проект и схему самолета, после чего изготовляется макет самолета, определяется его соответствие техническим требованиям и лишь после этого машина поступает в постройку.</w:t>
      </w:r>
    </w:p>
    <w:p w14:paraId="20775D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Построенный опытный объект проходит стадию заводских испытаний и доводок, после чего предъявляется на испытание.</w:t>
      </w:r>
    </w:p>
    <w:p w14:paraId="1E5DA3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Опытный объект, удовлетворительно прошедший гос. испытания, и принятый УВВС на снабжение, поступает в серийное производство. Внедрение в серию производится под непосредственным руководством и инструктажем опытной организации, создавшей объект на всех этапах производства, до полного освоения объекта серийным заводом.</w:t>
      </w:r>
    </w:p>
    <w:p w14:paraId="09574C1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длительности периода внедрения в серию и освоения производством опытных объектов, для обеспечения требований обороны, имеют место случаи подготовки производства и запуска в серию не вполне законченных испытаниями типов, по выявлении определенных технических и тактических преимуществ этого типа, например внедрение самолета МДР3, МБР4, мотора ГМ34 и др.</w:t>
      </w:r>
    </w:p>
    <w:p w14:paraId="750F8E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этим, авиапромышленность, имея план утвержденный Правительством, обеспечивает его выполнение, разворачивая надлежащую научно-исследовательскую и производственную базу.</w:t>
      </w:r>
    </w:p>
    <w:p w14:paraId="70D638F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Отсюда определяются основные функции, выполняемые ГУАП, а именно:</w:t>
      </w:r>
    </w:p>
    <w:p w14:paraId="6555379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Оперативное планирование и координирование научно-исследовательских, опытных и экспериментальных работ в области самолетов, моторов, материалов, вооружения, оборудования и смежных областей.</w:t>
      </w:r>
    </w:p>
    <w:p w14:paraId="1143B66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Обеспечение надлежащего разворачивания строительства и оборудования научно-исследовательской организации.</w:t>
      </w:r>
    </w:p>
    <w:p w14:paraId="6DB8D5D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Обеспечение оперативного и организационного руководства, контроля работ опытных организаций.</w:t>
      </w:r>
    </w:p>
    <w:p w14:paraId="66EFBB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Установление надлежащей связи с научно-исследовательскими организациями внутри системы ГУАП, связи с заказчиком и смежными отраслями промышленности.</w:t>
      </w:r>
    </w:p>
    <w:p w14:paraId="15FF7B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Наблюдение за перенесением в промышленность достижений научно-исследов. организаций.</w:t>
      </w:r>
    </w:p>
    <w:p w14:paraId="054496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Обеспечение научно-исследоват. и опытных организаций кредитами и материалами, обеспечивающими выполнение плана.</w:t>
      </w:r>
    </w:p>
    <w:p w14:paraId="3342A4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Наблюдение, участие и координирование работ по внедрению опытных объектов в серийное производство.</w:t>
      </w:r>
    </w:p>
    <w:p w14:paraId="1EA40BE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Наблюдение за заводскими гос. испытаниями и доводкой машин и т.д.</w:t>
      </w:r>
    </w:p>
    <w:p w14:paraId="1669A9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Многообразие функций, далеко на исчерпанных указанным перечнем, значительно возросших с увеличением объема работ научно-исследовательских организаций и заводов серийного производства, на сегодняшний день, НОТО ГУАП еще не полностью охвачены.</w:t>
      </w:r>
    </w:p>
    <w:p w14:paraId="6E8F2AF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Недостаточно налажен вопрос координации работ организаций, входящих в систему ГУАП, например увязки самолета с мотором (между ЦАГИ и ЦИАМ) и связанная с этим проработка вопросов винтомоторной группы; между ЦАГИ, ЦИАМ и ВИАМ"ом в работах по подбору материалов, у Институтов с серийными заводами, при внедрении в производство новых типов машин, а равно и в работе самих институтов, цеха и отделы которых значительно переросли и созрели для самостоятельного осуществления.</w:t>
      </w:r>
    </w:p>
    <w:p w14:paraId="0570CF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(Пример: Выделение из ЦАГИ самостоятельного Института ВИАМ; из ЦИАМ"а - научного Института топлива).</w:t>
      </w:r>
    </w:p>
    <w:p w14:paraId="53D546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лучшей увязки и координации работ Институтов, на 1934 г. проводятся мероприятия по созданию единых планов по опытным объектам, в которых должны быть строго регламентированы права и обязанности каждой организации по каждому объекту в отдельности.</w:t>
      </w:r>
    </w:p>
    <w:p w14:paraId="37F037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Наличие ряда организаций, ведущих вполне самостоятельную работу в области авиатехники (ГУАП, Осоавиахим (Гос. институт реактивн. движения, госуд. динам. лаборатория, ГУГВФ с рядом Институтов - самолетным, моторным, дизельным, ОКБ ОГПУ, Всесоюзный Научно-исслед. Дизельный институт и др.) на сегодняшний день не обеспечиваются единым руководством, единым планом опытных, экспериментальных и научно-исследовательских работ, координирующим весь сложный комплекс вопросов авиатехники.</w:t>
      </w:r>
    </w:p>
    <w:p w14:paraId="1593EF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органом, объединяющим в различных ведомствах все опытные работы в области авиации, должен явиться Научно-испытат. институт ВВС (НИИ ВВС), ставящий конкретные задачи и проблемы с установлением типов и летно-тактических и технических требований перед ГЛАВАВИАПРОМ"ом и другими организациями, занимающимися вопросами авиатехники.</w:t>
      </w:r>
    </w:p>
    <w:p w14:paraId="675579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Роль НОТО ГУАП в области опытного строительства сводится таким образом, к проведению в жизнь плана, выдвинутого УВВС, утвержденного Правительством, силами научно-исследовательских и опытных организаций, входящих в систему ГУАП.</w:t>
      </w:r>
    </w:p>
    <w:p w14:paraId="5522E6D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Что же касается вопроса об опытных работах, проводимых прочими организациями, по основным работам, НОТО ГУАП с ними связан, но не влияет на характер, направление и ход выполнения этих работ (2305).</w:t>
      </w:r>
    </w:p>
    <w:p w14:paraId="36FF6B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FBB99F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декабря 1933г Летное испытание ракеты РЛА-1 с двигателем ОРМ-52 не состоялось из-за неоткрытия пускового клапана при сильном морозе (11330).</w:t>
      </w:r>
    </w:p>
    <w:p w14:paraId="5B0F297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FB6C10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декабря 1933 г. в письме начальника ЛО РНИИ Г.Э.Лангемака заместителю начальника вооружений и начальнику КО РККА Ефимову по итогам года, в частности, говорилось: «О результатах ра</w:t>
      </w:r>
      <w:r w:rsidRPr="00C33834">
        <w:rPr>
          <w:rFonts w:ascii="Times New Roman" w:hAnsi="Times New Roman"/>
          <w:color w:val="000000" w:themeColor="text1"/>
          <w:sz w:val="16"/>
          <w:szCs w:val="16"/>
        </w:rPr>
        <w:softHyphen/>
        <w:t>бот 1933 г. по реактивным снарядам доношу, что в Ленинградском отде</w:t>
      </w:r>
      <w:r w:rsidRPr="00C33834">
        <w:rPr>
          <w:rFonts w:ascii="Times New Roman" w:hAnsi="Times New Roman"/>
          <w:color w:val="000000" w:themeColor="text1"/>
          <w:sz w:val="16"/>
          <w:szCs w:val="16"/>
        </w:rPr>
        <w:softHyphen/>
        <w:t>лении РНИИ окончательно разрешен вопрос о получении удовлетвори</w:t>
      </w:r>
      <w:r w:rsidRPr="00C33834">
        <w:rPr>
          <w:rFonts w:ascii="Times New Roman" w:hAnsi="Times New Roman"/>
          <w:color w:val="000000" w:themeColor="text1"/>
          <w:sz w:val="16"/>
          <w:szCs w:val="16"/>
        </w:rPr>
        <w:softHyphen/>
        <w:t>тельной меткости для РС на пороховом топливе. Последними стрельба</w:t>
      </w:r>
      <w:r w:rsidRPr="00C33834">
        <w:rPr>
          <w:rFonts w:ascii="Times New Roman" w:hAnsi="Times New Roman"/>
          <w:color w:val="000000" w:themeColor="text1"/>
          <w:sz w:val="16"/>
          <w:szCs w:val="16"/>
        </w:rPr>
        <w:softHyphen/>
        <w:t>ми оперенными снарядами калибров 82 мм и 132 мм на предельную ди</w:t>
      </w:r>
      <w:r w:rsidRPr="00C33834">
        <w:rPr>
          <w:rFonts w:ascii="Times New Roman" w:hAnsi="Times New Roman"/>
          <w:color w:val="000000" w:themeColor="text1"/>
          <w:sz w:val="16"/>
          <w:szCs w:val="16"/>
        </w:rPr>
        <w:softHyphen/>
        <w:t>станцию получена меткость от 1/120 до 1/200 дистанции при дальности 5,5 и 6,5 км. В то время как ТТТ на этот год было предусмотрено дости</w:t>
      </w:r>
      <w:r w:rsidRPr="00C33834">
        <w:rPr>
          <w:rFonts w:ascii="Times New Roman" w:hAnsi="Times New Roman"/>
          <w:color w:val="000000" w:themeColor="text1"/>
          <w:sz w:val="16"/>
          <w:szCs w:val="16"/>
        </w:rPr>
        <w:softHyphen/>
        <w:t>жение меткости 1/100 и дальности 4-5 км.</w:t>
      </w:r>
    </w:p>
    <w:p w14:paraId="5117FA9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Ваш приказ №015/с от 19 марта 1933 г. выполнен со значительным превышением задания. Снаряды указанных выше калиб</w:t>
      </w:r>
      <w:r w:rsidRPr="00C33834">
        <w:rPr>
          <w:rFonts w:ascii="Times New Roman" w:hAnsi="Times New Roman"/>
          <w:color w:val="000000" w:themeColor="text1"/>
          <w:sz w:val="16"/>
          <w:szCs w:val="16"/>
        </w:rPr>
        <w:softHyphen/>
        <w:t>ров до сего времени предназначались для вооружения авиации в качест</w:t>
      </w:r>
      <w:r w:rsidRPr="00C33834">
        <w:rPr>
          <w:rFonts w:ascii="Times New Roman" w:hAnsi="Times New Roman"/>
          <w:color w:val="000000" w:themeColor="text1"/>
          <w:sz w:val="16"/>
          <w:szCs w:val="16"/>
        </w:rPr>
        <w:softHyphen/>
        <w:t>ве средства ближнего боя. Имея ввиду значительные результаты, в смыс</w:t>
      </w:r>
      <w:r w:rsidRPr="00C33834">
        <w:rPr>
          <w:rFonts w:ascii="Times New Roman" w:hAnsi="Times New Roman"/>
          <w:color w:val="000000" w:themeColor="text1"/>
          <w:sz w:val="16"/>
          <w:szCs w:val="16"/>
        </w:rPr>
        <w:softHyphen/>
        <w:t>ле дальности и меткости, и возможность в ближайшее время получить снаряды с большей дальностью, является необходимым поставить воп</w:t>
      </w:r>
      <w:r w:rsidRPr="00C33834">
        <w:rPr>
          <w:rFonts w:ascii="Times New Roman" w:hAnsi="Times New Roman"/>
          <w:color w:val="000000" w:themeColor="text1"/>
          <w:sz w:val="16"/>
          <w:szCs w:val="16"/>
        </w:rPr>
        <w:softHyphen/>
        <w:t>рос об использовании этих снарядов для наземной артиллерии».</w:t>
      </w:r>
    </w:p>
    <w:p w14:paraId="1FF6478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попытки малой ценой разре</w:t>
      </w:r>
      <w:r w:rsidRPr="00C33834">
        <w:rPr>
          <w:rFonts w:ascii="Times New Roman" w:hAnsi="Times New Roman"/>
          <w:color w:val="000000" w:themeColor="text1"/>
          <w:sz w:val="16"/>
          <w:szCs w:val="16"/>
        </w:rPr>
        <w:softHyphen/>
        <w:t>шить проблему точности привели к выбору схемы аэродинамической стабилизации боеприпасов на траектории за счет оперения большого Размаха. Однако и здесь существовал ряд труднообъяснимых явлений. Для успешной работы конструкторам требовалась теория стабилиза</w:t>
      </w:r>
      <w:r w:rsidRPr="00C33834">
        <w:rPr>
          <w:rFonts w:ascii="Times New Roman" w:hAnsi="Times New Roman"/>
          <w:color w:val="000000" w:themeColor="text1"/>
          <w:sz w:val="16"/>
          <w:szCs w:val="16"/>
        </w:rPr>
        <w:softHyphen/>
        <w:t>ции оперенных снарядов, которую только предстояло создать. И чем быстрее, тем лучше. Одного энтузиазма начинающим исследователям реактивного движения для этого было недостаточно. Рождение но</w:t>
      </w:r>
      <w:r w:rsidRPr="00C33834">
        <w:rPr>
          <w:rFonts w:ascii="Times New Roman" w:hAnsi="Times New Roman"/>
          <w:color w:val="000000" w:themeColor="text1"/>
          <w:sz w:val="16"/>
          <w:szCs w:val="16"/>
        </w:rPr>
        <w:softHyphen/>
        <w:t>вого направления в науке требовало времени, множества опытов с боеприпасами различных вариантов исполнения, обобщения стати</w:t>
      </w:r>
      <w:r w:rsidRPr="00C33834">
        <w:rPr>
          <w:rFonts w:ascii="Times New Roman" w:hAnsi="Times New Roman"/>
          <w:color w:val="000000" w:themeColor="text1"/>
          <w:sz w:val="16"/>
          <w:szCs w:val="16"/>
        </w:rPr>
        <w:softHyphen/>
        <w:t>стических данных стрельбы, хорошо оснащенной испытательной ба</w:t>
      </w:r>
      <w:r w:rsidRPr="00C33834">
        <w:rPr>
          <w:rFonts w:ascii="Times New Roman" w:hAnsi="Times New Roman"/>
          <w:color w:val="000000" w:themeColor="text1"/>
          <w:sz w:val="16"/>
          <w:szCs w:val="16"/>
        </w:rPr>
        <w:softHyphen/>
        <w:t>зы и финансирования программ. В итоге все цифры и нюансы было необходимо обработать мощным аналитическим аппаратом, чтобы вывести закономерности и сформулировать законы. Но прежде чем окончательно считать новую теорию наукой, ее требовалось подтвер</w:t>
      </w:r>
      <w:r w:rsidRPr="00C33834">
        <w:rPr>
          <w:rFonts w:ascii="Times New Roman" w:hAnsi="Times New Roman"/>
          <w:color w:val="000000" w:themeColor="text1"/>
          <w:sz w:val="16"/>
          <w:szCs w:val="16"/>
        </w:rPr>
        <w:softHyphen/>
        <w:t>дить практикой.</w:t>
      </w:r>
    </w:p>
    <w:p w14:paraId="4623E95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Разработкой новой теории в РНИИ в 1933 г. занялись Г.Э.Лангемак, В.А.Артемьев, В.П.Глушко при содействии Д.А.Вентцеля. Главной при</w:t>
      </w:r>
      <w:r w:rsidRPr="00C33834">
        <w:rPr>
          <w:rFonts w:ascii="Times New Roman" w:hAnsi="Times New Roman"/>
          <w:color w:val="000000" w:themeColor="text1"/>
          <w:sz w:val="16"/>
          <w:szCs w:val="16"/>
        </w:rPr>
        <w:softHyphen/>
        <w:t>чиной большой величины рассеивания ракетных снарядов инженеры из</w:t>
      </w:r>
      <w:r w:rsidRPr="00C33834">
        <w:rPr>
          <w:rFonts w:ascii="Times New Roman" w:hAnsi="Times New Roman"/>
          <w:color w:val="000000" w:themeColor="text1"/>
          <w:sz w:val="16"/>
          <w:szCs w:val="16"/>
        </w:rPr>
        <w:softHyphen/>
        <w:t>начально считали некачественно изготовленные элементы стабилизации снарядов на траектории. Именно с этого времени в годовых планах работ РНИИ постоянно значились три-пять тем исследований в области повы</w:t>
      </w:r>
      <w:r w:rsidRPr="00C33834">
        <w:rPr>
          <w:rFonts w:ascii="Times New Roman" w:hAnsi="Times New Roman"/>
          <w:color w:val="000000" w:themeColor="text1"/>
          <w:sz w:val="16"/>
          <w:szCs w:val="16"/>
        </w:rPr>
        <w:softHyphen/>
        <w:t>шения точности стрельбы РС.</w:t>
      </w:r>
    </w:p>
    <w:p w14:paraId="6ABC089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Подтверждением тому служит множество типовых отчетов о поли</w:t>
      </w:r>
      <w:r w:rsidRPr="00C33834">
        <w:rPr>
          <w:rFonts w:ascii="Times New Roman" w:hAnsi="Times New Roman"/>
          <w:color w:val="000000" w:themeColor="text1"/>
          <w:sz w:val="16"/>
          <w:szCs w:val="16"/>
        </w:rPr>
        <w:softHyphen/>
        <w:t>гонных испытаниях. Любой позитив в результатах этой сложной работы вызывал большой прилив энтузиазма исследователей. Но, несмотря на явный успех, без лишнего пафоса (11402).</w:t>
      </w:r>
    </w:p>
    <w:p w14:paraId="4AA1B1F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34296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декабря 1933 г. из письма начальника ЛО РНИИ Г.Э.Лангемака от заместителю начальника вооружений и начальнику КО РККА тов. Н.А.Ефимову: «По этому поводу желательна организация компетентно</w:t>
      </w:r>
      <w:r w:rsidRPr="00C33834">
        <w:rPr>
          <w:rFonts w:ascii="Times New Roman" w:hAnsi="Times New Roman"/>
          <w:color w:val="000000" w:themeColor="text1"/>
          <w:sz w:val="16"/>
          <w:szCs w:val="16"/>
        </w:rPr>
        <w:softHyphen/>
        <w:t>го технического совещания. Планом 1934 г. предусмотрена разработка реактивных снарядов калибра 245 мм с дальностью стрельбы до 10 км. Эта работа имеет чрезвычайно большое значение ввиду того, что в насто</w:t>
      </w:r>
      <w:r w:rsidRPr="00C33834">
        <w:rPr>
          <w:rFonts w:ascii="Times New Roman" w:hAnsi="Times New Roman"/>
          <w:color w:val="000000" w:themeColor="text1"/>
          <w:sz w:val="16"/>
          <w:szCs w:val="16"/>
        </w:rPr>
        <w:softHyphen/>
        <w:t>ящее время совершенно не имеется тяжелых минометов. Ввиду невоз</w:t>
      </w:r>
      <w:r w:rsidRPr="00C33834">
        <w:rPr>
          <w:rFonts w:ascii="Times New Roman" w:hAnsi="Times New Roman"/>
          <w:color w:val="000000" w:themeColor="text1"/>
          <w:sz w:val="16"/>
          <w:szCs w:val="16"/>
        </w:rPr>
        <w:softHyphen/>
        <w:t>можности изготовлять такие снаряды собственными силами, РНИИ за</w:t>
      </w:r>
      <w:r w:rsidRPr="00C33834">
        <w:rPr>
          <w:rFonts w:ascii="Times New Roman" w:hAnsi="Times New Roman"/>
          <w:color w:val="000000" w:themeColor="text1"/>
          <w:sz w:val="16"/>
          <w:szCs w:val="16"/>
        </w:rPr>
        <w:softHyphen/>
        <w:t>казывает их через 3-й отдел НТУ. Прошу Вашего указания НТУ о том, чтобы было обеспечено своевременное выполнение заказов».</w:t>
      </w:r>
    </w:p>
    <w:p w14:paraId="4425B08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Следует отметить, что с РНИИ ГУБ НКТП у артиллеристов как-то сразу «не заладилось». А свои робкие попытки «поисследовать возмож</w:t>
      </w:r>
      <w:r w:rsidRPr="00C33834">
        <w:rPr>
          <w:rFonts w:ascii="Times New Roman" w:hAnsi="Times New Roman"/>
          <w:color w:val="000000" w:themeColor="text1"/>
          <w:sz w:val="16"/>
          <w:szCs w:val="16"/>
        </w:rPr>
        <w:softHyphen/>
        <w:t>ности» новомодного оружия они реализовывали в подведомственном Научно-исследовательском снарядном институте — НИСИ РККА. Кто конкретно там занимался параллельной с РНИИ тематикой, доподлин</w:t>
      </w:r>
      <w:r w:rsidRPr="00C33834">
        <w:rPr>
          <w:rFonts w:ascii="Times New Roman" w:hAnsi="Times New Roman"/>
          <w:color w:val="000000" w:themeColor="text1"/>
          <w:sz w:val="16"/>
          <w:szCs w:val="16"/>
        </w:rPr>
        <w:softHyphen/>
        <w:t>но неизвестно, однако для испытаний опытные образцы привозили в институт И.Т.Клейменова (11402).</w:t>
      </w:r>
    </w:p>
    <w:p w14:paraId="74F32A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FBBE88F"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6D58380"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8229F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декабря 1933 нач. 3ГУ УММ РККА И.А.Лебедев в письме директору ХПЗ по представленному на рассмотрение Нач. УММ РККА проекту БТ с 76-мм пушкой писал: “В выполненном Вами проекте БТ-7 с 76-мм пушкой, установку пулемета рядом с механиком-водителем упразднить из-за затруднений в действиях механика-водителя и невозможности заряжать и стрелять водителем (3881,3).</w:t>
      </w:r>
    </w:p>
    <w:p w14:paraId="4344BE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F49794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декабря 1933г. была подготовлена ДОКЛАДНАЯ ЗАПИСКА У ММ В РВС С ОБОСНОВАНИЕМ СМЕТЫ НА ДОСТРОЙКУ НИИАБТ ПОЛИГОНА</w:t>
      </w:r>
    </w:p>
    <w:p w14:paraId="00BF001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Строительство Научно-испытательного автобронетанкового полигона УММ, начавшееся в году, проходит в крайне неблагоприятных условиях.</w:t>
      </w:r>
    </w:p>
    <w:p w14:paraId="3A738E5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1933 году строительство было развернуто с опозданием на два месяца и получило не более 40 необходимых материалов.</w:t>
      </w:r>
    </w:p>
    <w:p w14:paraId="7E2919A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Затяжной характер строительства, недооценка его весьма отрицательно отражается на своевр менном испытании новых образцов.</w:t>
      </w:r>
    </w:p>
    <w:p w14:paraId="09C9930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Значительное количество предложений по повышению проходимости, преодолению препят вий, подводному вождению и обслуживанию машин в боевых условиях не получает в настоя время своевременной и должной проработки на полигоне.</w:t>
      </w:r>
    </w:p>
    <w:p w14:paraId="151B37E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Прошу строительство Полигона признать первоочередным, лимитировать его строительство 1934 год в сумме 4000000 рублей и дать соответствующие указания строительным органам МВО.</w:t>
      </w:r>
    </w:p>
    <w:p w14:paraId="503CA57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Испрашиваемая сумма по объектам распределяется:</w:t>
      </w:r>
    </w:p>
    <w:p w14:paraId="41A5569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Гараж, мастерские, лаборатории, бензоколонки 850000 руб.</w:t>
      </w:r>
    </w:p>
    <w:p w14:paraId="7EF7E92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Испытательное поле, стрельбище 100000 руб.</w:t>
      </w:r>
    </w:p>
    <w:p w14:paraId="07B922A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Дороги 450000 руб.</w:t>
      </w:r>
    </w:p>
    <w:p w14:paraId="647399F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Материальные склады 100000 руб.</w:t>
      </w:r>
    </w:p>
    <w:p w14:paraId="41E67A2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Казарма кар. роты 150000 руб.</w:t>
      </w:r>
    </w:p>
    <w:p w14:paraId="41E86FA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Силовая станция, котельная 700000 руб.</w:t>
      </w:r>
    </w:p>
    <w:p w14:paraId="0D10127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Водопровод, канализация и противопожарные</w:t>
      </w:r>
    </w:p>
    <w:p w14:paraId="3CA12CE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мероприятия (баня, прачечная) 450000 руб.</w:t>
      </w:r>
    </w:p>
    <w:p w14:paraId="0E458E2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Связь и сигнализация 100000 руб.</w:t>
      </w:r>
    </w:p>
    <w:p w14:paraId="1D6BA3B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Санитарная часть 75000 руб.</w:t>
      </w:r>
    </w:p>
    <w:p w14:paraId="4574A81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Жилищное строительство 500000 руб.</w:t>
      </w:r>
    </w:p>
    <w:p w14:paraId="2761DA9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Клуб 400000 руб.</w:t>
      </w:r>
    </w:p>
    <w:p w14:paraId="700CABD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Ремонт помещения 125000 руб.</w:t>
      </w:r>
    </w:p>
    <w:p w14:paraId="3128A1F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 4000000 руб.</w:t>
      </w:r>
    </w:p>
    <w:p w14:paraId="7EDAFC6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Управления механизации и моторизации РК Халепский</w:t>
      </w:r>
    </w:p>
    <w:p w14:paraId="32124D5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РГВА. Ф. 31811. Оп. 4. Д. 4. Л. 10. Копия (11210).</w:t>
      </w:r>
    </w:p>
    <w:p w14:paraId="032EE7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973862B"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1FEEFEB6"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EAE43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декабря 1933 года зампред ОГПУ Ягода обратился с письмом на имя Сталина и Молотова с просьбой о повышении норм продовольственного пайка для заключенных (7560).</w:t>
      </w:r>
    </w:p>
    <w:p w14:paraId="6E5FF52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24D35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 декабря 1933 зампред ОГПУ Ягода подписал письмо на имя секретаря ЦК ВКП(б) Сталина и председателя СНК СССР Молотова:</w:t>
      </w:r>
    </w:p>
    <w:p w14:paraId="170B843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«Производственная работа исправительно-трудовых лагерей ОГПУ в текущем году протекает при крайне неблагоприятных условиях.</w:t>
      </w:r>
    </w:p>
    <w:p w14:paraId="2FDB00E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перемещением главнейших объектов строительства в ДВК, обстановка еще более осложняется, так как основные работы будут вестись в зонах сурового климата, на заболоченных почвах и вечной мерзлоте.</w:t>
      </w:r>
    </w:p>
    <w:p w14:paraId="7FBF55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Выполнение работ при возросших объемах в поставленные сроки требует повышения производительности труда, наиболее полного использования рабочей силы, сведения к минимуму процента больных и слабосильных.</w:t>
      </w:r>
    </w:p>
    <w:p w14:paraId="6A4480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этих условиях вопросы снабжения заключенных предметами питания, одеждой, обувью приобретают исключительно важное значение.</w:t>
      </w:r>
    </w:p>
    <w:p w14:paraId="60F7948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тем, снабжение лагерей в настоящее время по сравнению с 1932 годом резко ухудшилось.</w:t>
      </w:r>
    </w:p>
    <w:p w14:paraId="1509AAA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Действующие нормы питания заключенных значительно ниже применявшихся в 1932 году.</w:t>
      </w:r>
    </w:p>
    <w:p w14:paraId="2EE497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части вещевого довольствия установленные Комитетом товарных фондов жесткие нормы на практике не соблюдаются.</w:t>
      </w:r>
    </w:p>
    <w:p w14:paraId="129779C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Утвержденные фонды вещевого довольствия отпускаются с большими урезками. Заявки лагерей, составляемые по утвержденным нормам, резко сокращаются.</w:t>
      </w:r>
    </w:p>
    <w:p w14:paraId="5827BAE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результате по фондам 1933 года лагерям недодано хлопчатобумажной ткани - 4 млн. метров и обуви на 300 тыс. рублей.</w:t>
      </w:r>
    </w:p>
    <w:p w14:paraId="073A3A8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планам на 1-й квартал отпуск предметов утвержден Комитетом товарных фондов в значительно меньшем размере против первого квартала 1933 года, несмотря на возросшую численность контингента. Отпуск в этом размере не покрывает даже самой минимальной потребности лагерей.</w:t>
      </w:r>
    </w:p>
    <w:p w14:paraId="5FE474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Отпущенных, например, 80 тысяч пар обуви недостаточно для того, чтобы обуть контингент, работающий на одном Дальнем Востоке.</w:t>
      </w:r>
    </w:p>
    <w:p w14:paraId="5A67B70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Такое положение может привести к распространению в лагерях истощаемости, заболеваний и, кроме того, не позволит использовать контингент рабочей силы, так как часть его неизбежно будет раздета.</w:t>
      </w:r>
    </w:p>
    <w:p w14:paraId="57E4F06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своей стороны лагеря ОГПУ, наряду с выполнением заданий по строительству, ведут упорную работу по созданию собственной производственной базы.</w:t>
      </w:r>
    </w:p>
    <w:p w14:paraId="04E701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Благодаря интенсивному развитию собственного сельского хозяйства, в первую очередь, скороспелого животноводства, мясной вопрос разрешен лагерями в самые короткие сроки, за один-полтора года. От снабжения лагерей мясом государство полностью освобождено.</w:t>
      </w:r>
    </w:p>
    <w:p w14:paraId="2D2999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Развернутые в 1932-33 году рыбные промысла уже в этом году дали продукцию, полностью обеспечивающую потребность контингента.</w:t>
      </w:r>
    </w:p>
    <w:p w14:paraId="2FFA40B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этом, добываемые высокоценные сорта рыбы сдаются лагерями государству в обмен на дешевые, идущие для котлового покрытия.</w:t>
      </w:r>
    </w:p>
    <w:p w14:paraId="2E9295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Полученная в 1933 году продукция собственных огородов покрывает 70 % потребности, значительно сократив завоз картофеля и овощей из государственных фондов.</w:t>
      </w:r>
    </w:p>
    <w:p w14:paraId="4874F5D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Впервые в 1933 году в лагерях Средней Азии приступлено к производству собственного хлопка, количество которого в 1933 году дает государству 9 млн. метров ткани.</w:t>
      </w:r>
    </w:p>
    <w:p w14:paraId="4A0741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Намеченная продукция хлопка для 1934 года в переводе на метраж составит 15 млн. метров, при годовой потребности лагерей в 25 млн. метров. Хлопок-сырец сдается государству.</w:t>
      </w:r>
    </w:p>
    <w:p w14:paraId="1377C8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Лагеря в широком размере занимаются собственным производством лаптей, используя их для заключенных, не занятых на земляных работах.</w:t>
      </w:r>
    </w:p>
    <w:p w14:paraId="75500BE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все возможное для удовлетворения потребностей за счет собственных ресурсов лагерями предпринимается.</w:t>
      </w:r>
    </w:p>
    <w:p w14:paraId="1AE694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Прошу:</w:t>
      </w:r>
    </w:p>
    <w:p w14:paraId="1ADFF4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О пересмотре действующих ныне норм снабжения заключенных продовольствием и об установлении норм в следующем размере на одного человека в месяц (в кг).</w:t>
      </w:r>
    </w:p>
    <w:p w14:paraId="1CC3C9D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Испрашиваемые нормы будут все же значительно ниже применявшихся в 1932 году.</w:t>
      </w:r>
    </w:p>
    <w:p w14:paraId="1E2226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Об отпуске 4 млн. метров ткани и на 300 тыс. рублей обуви, недоданных по утвержденному фонду 1933 года.</w:t>
      </w:r>
    </w:p>
    <w:p w14:paraId="1F3472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Об утверждении годового фонда вещевого довольствия на 550.000 заключенных на 1934 год в соответствии с установленными Комитетом товарных фондов 03.02.33.</w:t>
      </w:r>
    </w:p>
    <w:p w14:paraId="3A0E1D6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О пересмотре решения Комитета товарных фондов и отпуске лагерям в 1 квартале 1934 года хлопчатобумажной ткани и обуви в размере 30 % годовой потребности» (7560).</w:t>
      </w:r>
    </w:p>
    <w:p w14:paraId="4A8B5442" w14:textId="4FD3783F"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EB8E9FE" w14:textId="5863CB73" w:rsidR="005250E9" w:rsidRPr="00C33834" w:rsidRDefault="005250E9" w:rsidP="00C33834">
      <w:pPr>
        <w:autoSpaceDE w:val="0"/>
        <w:autoSpaceDN w:val="0"/>
        <w:adjustRightInd w:val="0"/>
        <w:spacing w:after="0" w:line="240" w:lineRule="auto"/>
        <w:jc w:val="both"/>
        <w:rPr>
          <w:rFonts w:ascii="Times New Roman" w:hAnsi="Times New Roman"/>
          <w:i/>
          <w:iCs/>
          <w:color w:val="000000" w:themeColor="text1"/>
          <w:sz w:val="16"/>
          <w:szCs w:val="16"/>
        </w:rPr>
      </w:pPr>
      <w:r w:rsidRPr="00C33834">
        <w:rPr>
          <w:rFonts w:ascii="Times New Roman" w:hAnsi="Times New Roman"/>
          <w:i/>
          <w:iCs/>
          <w:color w:val="000000" w:themeColor="text1"/>
          <w:sz w:val="16"/>
          <w:szCs w:val="16"/>
        </w:rPr>
        <w:t>За рубежом:</w:t>
      </w:r>
    </w:p>
    <w:p w14:paraId="67D60261" w14:textId="77777777" w:rsidR="005250E9" w:rsidRPr="00C33834" w:rsidRDefault="005250E9" w:rsidP="00C33834">
      <w:pPr>
        <w:autoSpaceDE w:val="0"/>
        <w:autoSpaceDN w:val="0"/>
        <w:adjustRightInd w:val="0"/>
        <w:spacing w:after="0" w:line="240" w:lineRule="auto"/>
        <w:jc w:val="both"/>
        <w:rPr>
          <w:rFonts w:ascii="Times New Roman" w:hAnsi="Times New Roman"/>
          <w:i/>
          <w:iCs/>
          <w:color w:val="000000" w:themeColor="text1"/>
          <w:sz w:val="16"/>
          <w:szCs w:val="16"/>
        </w:rPr>
      </w:pPr>
    </w:p>
    <w:p w14:paraId="1E5D6C35" w14:textId="77777777" w:rsidR="005250E9" w:rsidRPr="00C33834" w:rsidRDefault="005250E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31 декабря 1933 Latecoere 300 летающая лодка Круа - дю - Sud (« Южный Крест ») устанавливает мировой рекорд беспосадочного перелета для гидросамолетов, пролетев 3697 км (2297 миль) от Этан де Бер, Франция в Сен-Луи, Сенегал (20802).</w:t>
      </w:r>
    </w:p>
    <w:p w14:paraId="010CF484" w14:textId="77777777" w:rsidR="005250E9" w:rsidRPr="00C33834" w:rsidRDefault="005250E9" w:rsidP="00C33834">
      <w:pPr>
        <w:spacing w:after="0" w:line="240" w:lineRule="auto"/>
        <w:jc w:val="both"/>
        <w:rPr>
          <w:rFonts w:ascii="Times New Roman" w:hAnsi="Times New Roman"/>
          <w:color w:val="0070C0"/>
          <w:sz w:val="16"/>
          <w:szCs w:val="16"/>
        </w:rPr>
      </w:pPr>
    </w:p>
    <w:p w14:paraId="690D1576" w14:textId="77777777" w:rsidR="005250E9" w:rsidRPr="00C33834" w:rsidRDefault="005250E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31 декабря 1933 Правительство Венесуэлы выкупает авиакомпанию Aeropostal Увы де Венесуэла после того, как правительство Франции прекращает субсидирование (20802).</w:t>
      </w:r>
    </w:p>
    <w:p w14:paraId="35FD41D6" w14:textId="77777777" w:rsidR="005250E9" w:rsidRPr="00C33834" w:rsidRDefault="005250E9" w:rsidP="00C33834">
      <w:pPr>
        <w:spacing w:after="0" w:line="240" w:lineRule="auto"/>
        <w:jc w:val="both"/>
        <w:rPr>
          <w:rFonts w:ascii="Times New Roman" w:hAnsi="Times New Roman"/>
          <w:color w:val="0070C0"/>
          <w:sz w:val="16"/>
          <w:szCs w:val="16"/>
        </w:rPr>
      </w:pPr>
    </w:p>
    <w:p w14:paraId="5E2C3F44"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628404FE"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DC076AF" w14:textId="77777777" w:rsidR="00BA27F5" w:rsidRPr="00C33834" w:rsidRDefault="00BA27F5"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В конце декабря 1933 накануне нового 1934 года, в НИИ ВВС поступили указания Начальника ВВС:</w:t>
      </w:r>
    </w:p>
    <w:p w14:paraId="5B9625C9" w14:textId="77777777" w:rsidR="00BA27F5" w:rsidRPr="00C33834" w:rsidRDefault="00BA27F5"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«ЦАГИ для серийного производства строит в качестве эталона дублер И-14 под два пулемета, предусматривая возможность установки двух пушек.</w:t>
      </w:r>
    </w:p>
    <w:p w14:paraId="2A3486EF" w14:textId="77777777" w:rsidR="00BA27F5" w:rsidRPr="00C33834" w:rsidRDefault="00BA27F5"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Первый экземпляр И-14 построен и НИИ должен, согласно данных мною указаний, приступить к его испытанию.</w:t>
      </w:r>
    </w:p>
    <w:p w14:paraId="3C293C6A" w14:textId="77777777" w:rsidR="00BA27F5" w:rsidRPr="00C33834" w:rsidRDefault="00BA27F5"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Этот экземпляр имеет один пулемет и предусматривает установку двух пушек.</w:t>
      </w:r>
    </w:p>
    <w:p w14:paraId="14FF9430" w14:textId="77777777" w:rsidR="00BA27F5" w:rsidRPr="00C33834" w:rsidRDefault="00BA27F5"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По докладу т. Туполева пушки уже отстреляны на земле и необходимо испытать их в воздухе.</w:t>
      </w:r>
    </w:p>
    <w:p w14:paraId="2BE4BB92" w14:textId="77777777" w:rsidR="00BA27F5" w:rsidRPr="00C33834" w:rsidRDefault="00BA27F5"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Предлагаю:</w:t>
      </w:r>
    </w:p>
    <w:p w14:paraId="00FCAA7B" w14:textId="77777777" w:rsidR="00BA27F5" w:rsidRPr="00C33834" w:rsidRDefault="00BA27F5"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1. Продолжить изготовление дублера И-14 2 пулемета, предусмотрев установку пушек так, как это намечено и делается.</w:t>
      </w:r>
    </w:p>
    <w:p w14:paraId="7824ED5F" w14:textId="77777777" w:rsidR="00BA27F5" w:rsidRPr="00C33834" w:rsidRDefault="00BA27F5"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 xml:space="preserve">2. Немедленно приступить к испытанию 1-го экземпляра И-14, как самолета с целью определить все летно-тактические данные под один пулемет (как это </w:t>
      </w:r>
      <w:r w:rsidRPr="00C33834">
        <w:rPr>
          <w:rStyle w:val="af0"/>
          <w:i w:val="0"/>
          <w:color w:val="000000" w:themeColor="text1"/>
          <w:sz w:val="16"/>
          <w:szCs w:val="16"/>
          <w:bdr w:val="none" w:sz="0" w:space="0" w:color="auto" w:frame="1"/>
        </w:rPr>
        <w:lastRenderedPageBreak/>
        <w:t>установлено).</w:t>
      </w:r>
    </w:p>
    <w:p w14:paraId="3BB35AA9" w14:textId="77777777" w:rsidR="00BA27F5" w:rsidRPr="00C33834" w:rsidRDefault="00BA27F5"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По окончании испытаний первый экземпляр И-14, как самолета, сейчас же немедленно установить на нем пушки и приступить к испытаниям на этом самолете пушечной системы и самолета с этой системой с таким расчетом, чтобы ко времени выхода дублера на государственные испытания пушечная система была уже испытана в воздухе на первом экземпляре.</w:t>
      </w:r>
    </w:p>
    <w:p w14:paraId="6AA9E23A" w14:textId="77777777" w:rsidR="00BA27F5" w:rsidRPr="00C33834" w:rsidRDefault="00BA27F5" w:rsidP="00C33834">
      <w:pPr>
        <w:pStyle w:val="ae"/>
        <w:shd w:val="clear" w:color="auto" w:fill="FFFFFF"/>
        <w:spacing w:before="0" w:after="0"/>
        <w:jc w:val="both"/>
        <w:textAlignment w:val="baseline"/>
        <w:rPr>
          <w:color w:val="000000" w:themeColor="text1"/>
          <w:sz w:val="16"/>
          <w:szCs w:val="16"/>
        </w:rPr>
      </w:pPr>
      <w:r w:rsidRPr="00C33834">
        <w:rPr>
          <w:rStyle w:val="af0"/>
          <w:i w:val="0"/>
          <w:color w:val="000000" w:themeColor="text1"/>
          <w:sz w:val="16"/>
          <w:szCs w:val="16"/>
          <w:bdr w:val="none" w:sz="0" w:space="0" w:color="auto" w:frame="1"/>
        </w:rPr>
        <w:t>В соответствии с этим должен быть определен план и темпы испытания И-14.</w:t>
      </w:r>
    </w:p>
    <w:p w14:paraId="1258CD4C" w14:textId="77777777" w:rsidR="00BA27F5" w:rsidRPr="00C33834" w:rsidRDefault="00BA27F5" w:rsidP="00C33834">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C33834">
        <w:rPr>
          <w:rStyle w:val="af0"/>
          <w:i w:val="0"/>
          <w:color w:val="000000" w:themeColor="text1"/>
          <w:sz w:val="16"/>
          <w:szCs w:val="16"/>
          <w:bdr w:val="none" w:sz="0" w:space="0" w:color="auto" w:frame="1"/>
        </w:rPr>
        <w:t>О ходе испытаний докладывать мне 10, 20 и 30 января. Тов. Жарову к тому времени выяснить в ГАУ, сколько пушек этого типа оно заказывает по 1934 году.» (19177).</w:t>
      </w:r>
    </w:p>
    <w:p w14:paraId="73C8AA9B" w14:textId="77777777" w:rsidR="00BA27F5" w:rsidRPr="00C33834" w:rsidRDefault="00BA27F5" w:rsidP="00C33834">
      <w:pPr>
        <w:pStyle w:val="ae"/>
        <w:shd w:val="clear" w:color="auto" w:fill="FFFFFF"/>
        <w:spacing w:before="0" w:after="0"/>
        <w:jc w:val="both"/>
        <w:textAlignment w:val="baseline"/>
        <w:rPr>
          <w:color w:val="000000" w:themeColor="text1"/>
          <w:sz w:val="16"/>
          <w:szCs w:val="16"/>
        </w:rPr>
      </w:pPr>
    </w:p>
    <w:p w14:paraId="0679228D" w14:textId="77777777" w:rsidR="001F3595" w:rsidRPr="00C33834" w:rsidRDefault="001F35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декабря 1933 (31 - 222,25) завершились гос. испытания И-15 - на лыжах, которые проходили с 21 декабря 1933. Серия было с 1934 и прекратили в конце 1935 и вновь начали только в конце 1937 как И-15 бис (80,133).</w:t>
      </w:r>
    </w:p>
    <w:p w14:paraId="702F3151" w14:textId="77777777" w:rsidR="001F3595" w:rsidRPr="00C33834" w:rsidRDefault="001F3595" w:rsidP="00C33834">
      <w:pPr>
        <w:autoSpaceDE w:val="0"/>
        <w:autoSpaceDN w:val="0"/>
        <w:adjustRightInd w:val="0"/>
        <w:spacing w:after="0" w:line="240" w:lineRule="auto"/>
        <w:jc w:val="both"/>
        <w:rPr>
          <w:rFonts w:ascii="Times New Roman" w:hAnsi="Times New Roman"/>
          <w:color w:val="000000" w:themeColor="text1"/>
          <w:sz w:val="16"/>
          <w:szCs w:val="16"/>
        </w:rPr>
      </w:pPr>
    </w:p>
    <w:p w14:paraId="5E51939C" w14:textId="77777777" w:rsidR="005250E9" w:rsidRPr="00C33834" w:rsidRDefault="005250E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конце декабря 1935-го был подготовлен проект постановления СТО № 45 «Об опытном строитель</w:t>
      </w:r>
      <w:r w:rsidRPr="00C33834">
        <w:rPr>
          <w:rFonts w:ascii="Times New Roman" w:hAnsi="Times New Roman"/>
          <w:color w:val="0070C0"/>
          <w:sz w:val="16"/>
          <w:szCs w:val="16"/>
        </w:rPr>
        <w:softHyphen/>
        <w:t>стве авиации» на 1936—1937 годы. Этим документом предполагалось поручить разработку бомбардиров</w:t>
      </w:r>
      <w:r w:rsidRPr="00C33834">
        <w:rPr>
          <w:rFonts w:ascii="Times New Roman" w:hAnsi="Times New Roman"/>
          <w:color w:val="0070C0"/>
          <w:sz w:val="16"/>
          <w:szCs w:val="16"/>
        </w:rPr>
        <w:softHyphen/>
        <w:t>щиков дальнего действия с моторами М-85 воздуш</w:t>
      </w:r>
      <w:r w:rsidRPr="00C33834">
        <w:rPr>
          <w:rFonts w:ascii="Times New Roman" w:hAnsi="Times New Roman"/>
          <w:color w:val="0070C0"/>
          <w:sz w:val="16"/>
          <w:szCs w:val="16"/>
        </w:rPr>
        <w:softHyphen/>
        <w:t>ного охлаждения А. Н. Туполеву (ЦАГИ) и С. В. Илью</w:t>
      </w:r>
      <w:r w:rsidRPr="00C33834">
        <w:rPr>
          <w:rFonts w:ascii="Times New Roman" w:hAnsi="Times New Roman"/>
          <w:color w:val="0070C0"/>
          <w:sz w:val="16"/>
          <w:szCs w:val="16"/>
        </w:rPr>
        <w:softHyphen/>
        <w:t>шину (ЦКБ-39).</w:t>
      </w:r>
    </w:p>
    <w:p w14:paraId="7A989F56" w14:textId="77777777" w:rsidR="005250E9" w:rsidRPr="00C33834" w:rsidRDefault="005250E9"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Судя по всему, требования к такому самолету носили расплывчатый характер, а летно-техни</w:t>
      </w:r>
      <w:r w:rsidRPr="00C33834">
        <w:rPr>
          <w:rFonts w:ascii="Times New Roman" w:hAnsi="Times New Roman"/>
          <w:color w:val="0070C0"/>
          <w:sz w:val="16"/>
          <w:szCs w:val="16"/>
        </w:rPr>
        <w:softHyphen/>
        <w:t>ческие данные были предложены промышленно</w:t>
      </w:r>
      <w:r w:rsidRPr="00C33834">
        <w:rPr>
          <w:rFonts w:ascii="Times New Roman" w:hAnsi="Times New Roman"/>
          <w:color w:val="0070C0"/>
          <w:sz w:val="16"/>
          <w:szCs w:val="16"/>
        </w:rPr>
        <w:softHyphen/>
        <w:t>стью, исходя из личных взглядов руководителей КБ на развитие и применение авиационной техники. Так, Туполев предложил самолет с максимальной скоростью 300—320 км/ч (посадочная — 90 км/ч), способный летать на расстояние до 5000 км, а Ильюшин — более скоростную машину (400— 450 км/ч), но с дальностью 1500 км. Оба самоле</w:t>
      </w:r>
      <w:r w:rsidRPr="00C33834">
        <w:rPr>
          <w:rFonts w:ascii="Times New Roman" w:hAnsi="Times New Roman"/>
          <w:color w:val="0070C0"/>
          <w:sz w:val="16"/>
          <w:szCs w:val="16"/>
        </w:rPr>
        <w:softHyphen/>
        <w:t>та предписывалось передать на летные испытания к 1 июня 1936 года (23188).</w:t>
      </w:r>
    </w:p>
    <w:p w14:paraId="4C259403" w14:textId="77777777" w:rsidR="005250E9" w:rsidRPr="00C33834" w:rsidRDefault="005250E9" w:rsidP="00C33834">
      <w:pPr>
        <w:spacing w:after="0" w:line="240" w:lineRule="auto"/>
        <w:jc w:val="both"/>
        <w:rPr>
          <w:rFonts w:ascii="Times New Roman" w:hAnsi="Times New Roman"/>
          <w:color w:val="0070C0"/>
          <w:sz w:val="16"/>
          <w:szCs w:val="16"/>
        </w:rPr>
      </w:pPr>
    </w:p>
    <w:p w14:paraId="7445FFE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декабря 1933 г. первый «Циклон» отправили в СССР. Примерно в это же время конструкторы фирмы «Райт» подготовили чертежи метрического варианта мотора, построили опытный образец и в январе 1934 г. поставили его на стенд. В апреле он завершил 100-часовые испытания в США. Для освоения производства американских моторов выделили новый за</w:t>
      </w:r>
      <w:r w:rsidRPr="00C33834">
        <w:rPr>
          <w:rFonts w:ascii="Times New Roman" w:hAnsi="Times New Roman"/>
          <w:color w:val="000000" w:themeColor="text1"/>
          <w:sz w:val="16"/>
          <w:szCs w:val="16"/>
        </w:rPr>
        <w:softHyphen/>
        <w:t>вод № 19 в Перми. Постановление Совета труда и обороны от 15 декабря 1933 г. предписывало ему к концу 1934 г. собрать первые 50 моторов из покупных деталей. Но «Циклон» уже не являлся новинкой. Осознавая это, Совет труда и обороны в марте 1934 г. распорядился организовать на заводе конструкторский отдел, который занялся бы совершенствованием американского двигателя в отношении мощности, высотности, надежности и уменьшения расхода горючего и масла. Главным конструктором завода № 19 назначили А.Д. Швецова (11852).</w:t>
      </w:r>
    </w:p>
    <w:p w14:paraId="3C7659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35223E3" w14:textId="77777777" w:rsidR="00BA27F5" w:rsidRPr="00C33834" w:rsidRDefault="00BA27F5" w:rsidP="00C33834">
      <w:pPr>
        <w:spacing w:after="0" w:line="240" w:lineRule="auto"/>
        <w:jc w:val="both"/>
        <w:rPr>
          <w:rFonts w:ascii="Times New Roman" w:hAnsi="Times New Roman"/>
          <w:color w:val="000000" w:themeColor="text1"/>
          <w:sz w:val="16"/>
          <w:szCs w:val="16"/>
          <w:shd w:val="clear" w:color="auto" w:fill="FFFFFF"/>
        </w:rPr>
      </w:pPr>
      <w:r w:rsidRPr="00C33834">
        <w:rPr>
          <w:rFonts w:ascii="Times New Roman" w:hAnsi="Times New Roman"/>
          <w:color w:val="000000" w:themeColor="text1"/>
          <w:sz w:val="16"/>
          <w:szCs w:val="16"/>
        </w:rPr>
        <w:t>В конце декабря 1933 г. первый "Циклон" отправили в СССР. В январе 1934 г. фирма построила первый метрический мотор и установила его на стенд. В апреле он завершил 100-часовые испытания в США. По указанию Правительства в двух километрах от южной окраины г. Перми было начато строительство одного из самых мощных в те годы авиамоторных заводов №19. Завод получил самое совершенное и высокопроизводительное оборудование. Постановление Совета труда и обороны от 15 декабря 1933 г. предписывало предприятию к концу 1934 г. собрать первые 50 моторов из закупленных деталей. В марте 1934 г. на заводе был образован конструкторский отдел. Главным конструктором назначили А.Д. Швецова.</w:t>
      </w:r>
    </w:p>
    <w:p w14:paraId="21377B28" w14:textId="77777777" w:rsidR="00BA27F5" w:rsidRPr="00C33834" w:rsidRDefault="00BA27F5"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Директором предприятия стал И.И. Побережский (19534).</w:t>
      </w:r>
    </w:p>
    <w:p w14:paraId="687C7024" w14:textId="77777777" w:rsidR="00BA27F5" w:rsidRPr="00C33834" w:rsidRDefault="00BA27F5" w:rsidP="00C33834">
      <w:pPr>
        <w:spacing w:after="0" w:line="240" w:lineRule="auto"/>
        <w:jc w:val="both"/>
        <w:rPr>
          <w:rFonts w:ascii="Times New Roman" w:hAnsi="Times New Roman"/>
          <w:color w:val="000000" w:themeColor="text1"/>
          <w:sz w:val="16"/>
          <w:szCs w:val="16"/>
        </w:rPr>
      </w:pPr>
    </w:p>
    <w:p w14:paraId="08E70147" w14:textId="77777777" w:rsidR="00882140" w:rsidRPr="00C33834" w:rsidRDefault="008821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декабря 1933 г. первый мотор Райт Р-1820 «Циклон» отправили в СССР. В составе приобретённой партии имелись разные модификации, но в основном это были Р-1820-РЗ (у нас их часто именовали РЦФ-3).</w:t>
      </w:r>
    </w:p>
    <w:p w14:paraId="2128BF5C" w14:textId="77777777" w:rsidR="00882140" w:rsidRPr="00C33834" w:rsidRDefault="0088214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Примерно в это же время конструкторы фирмы «Райт» подготовили чертежи мет-рического варианта, построили опытный образец и в январе 1934 г. поставили его на стенд. В апреле завершились его 100-часовые испытания (12261).</w:t>
      </w:r>
    </w:p>
    <w:p w14:paraId="3341F999" w14:textId="77777777" w:rsidR="00882140" w:rsidRPr="00C33834" w:rsidRDefault="00882140" w:rsidP="00C33834">
      <w:pPr>
        <w:spacing w:after="0" w:line="240" w:lineRule="auto"/>
        <w:jc w:val="both"/>
        <w:rPr>
          <w:rFonts w:ascii="Times New Roman" w:hAnsi="Times New Roman"/>
          <w:color w:val="000000" w:themeColor="text1"/>
          <w:sz w:val="16"/>
          <w:szCs w:val="16"/>
        </w:rPr>
      </w:pPr>
    </w:p>
    <w:p w14:paraId="05113FD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декабря 1933 Ляпидевский дважды пытался вы</w:t>
      </w:r>
      <w:r w:rsidRPr="00C33834">
        <w:rPr>
          <w:rFonts w:ascii="Times New Roman" w:hAnsi="Times New Roman"/>
          <w:color w:val="000000" w:themeColor="text1"/>
          <w:sz w:val="16"/>
          <w:szCs w:val="16"/>
        </w:rPr>
        <w:softHyphen/>
        <w:t>лететь к терпящему бедствие судну и оба раза из-за плохой работы двигателей воз</w:t>
      </w:r>
      <w:r w:rsidRPr="00C33834">
        <w:rPr>
          <w:rFonts w:ascii="Times New Roman" w:hAnsi="Times New Roman"/>
          <w:color w:val="000000" w:themeColor="text1"/>
          <w:sz w:val="16"/>
          <w:szCs w:val="16"/>
        </w:rPr>
        <w:softHyphen/>
        <w:t>вращался. Затем на самолете иссяк запас сжатого воздуха, и Ляпидевскому пришлось вернуться в бухту Провидения за второй машиной. Она числилась за летчиком Чер</w:t>
      </w:r>
      <w:r w:rsidRPr="00C33834">
        <w:rPr>
          <w:rFonts w:ascii="Times New Roman" w:hAnsi="Times New Roman"/>
          <w:color w:val="000000" w:themeColor="text1"/>
          <w:sz w:val="16"/>
          <w:szCs w:val="16"/>
        </w:rPr>
        <w:softHyphen/>
        <w:t>нявским, однако решили, что полеты про</w:t>
      </w:r>
      <w:r w:rsidRPr="00C33834">
        <w:rPr>
          <w:rFonts w:ascii="Times New Roman" w:hAnsi="Times New Roman"/>
          <w:color w:val="000000" w:themeColor="text1"/>
          <w:sz w:val="16"/>
          <w:szCs w:val="16"/>
        </w:rPr>
        <w:softHyphen/>
        <w:t>должит именно Ляпидевский. Двухнедель</w:t>
      </w:r>
      <w:r w:rsidRPr="00C33834">
        <w:rPr>
          <w:rFonts w:ascii="Times New Roman" w:hAnsi="Times New Roman"/>
          <w:color w:val="000000" w:themeColor="text1"/>
          <w:sz w:val="16"/>
          <w:szCs w:val="16"/>
        </w:rPr>
        <w:softHyphen/>
        <w:t>ное путешествие на собачьей упряжке, а затем обрушившаяся пурга заметно задер</w:t>
      </w:r>
      <w:r w:rsidRPr="00C33834">
        <w:rPr>
          <w:rFonts w:ascii="Times New Roman" w:hAnsi="Times New Roman"/>
          <w:color w:val="000000" w:themeColor="text1"/>
          <w:sz w:val="16"/>
          <w:szCs w:val="16"/>
        </w:rPr>
        <w:softHyphen/>
        <w:t>жали начало спасения людей (11286).</w:t>
      </w:r>
    </w:p>
    <w:p w14:paraId="01CC06F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33C0A5"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декабря 1933 по прибытии в Уэллен Ляпидевский сделал две попытки вылететь к «Челюскину», но из-за неисправности моторов оба раза возвращался. На взлёте он зацепился за что-то правой лыжей, но обошлось без происшествий. Во втором полё</w:t>
      </w:r>
      <w:r w:rsidRPr="00C33834">
        <w:rPr>
          <w:rFonts w:ascii="Times New Roman" w:hAnsi="Times New Roman"/>
          <w:color w:val="000000" w:themeColor="text1"/>
          <w:sz w:val="16"/>
          <w:szCs w:val="16"/>
        </w:rPr>
        <w:softHyphen/>
        <w:t>те в мороз в 34° Ляпидевский сильно обморозился, и нужно было возвращаться в бух</w:t>
      </w:r>
      <w:r w:rsidRPr="00C33834">
        <w:rPr>
          <w:rFonts w:ascii="Times New Roman" w:hAnsi="Times New Roman"/>
          <w:color w:val="000000" w:themeColor="text1"/>
          <w:sz w:val="16"/>
          <w:szCs w:val="16"/>
        </w:rPr>
        <w:softHyphen/>
        <w:t>ту Провидения за вторым самолётом, поскольку иссяк запас сжатого воздуха для заводки моторов (15822).</w:t>
      </w:r>
    </w:p>
    <w:p w14:paraId="5B72330A" w14:textId="77777777" w:rsidR="0047154B" w:rsidRPr="00C33834" w:rsidRDefault="0047154B" w:rsidP="00C33834">
      <w:pPr>
        <w:spacing w:after="0" w:line="240" w:lineRule="auto"/>
        <w:jc w:val="both"/>
        <w:rPr>
          <w:rFonts w:ascii="Times New Roman" w:hAnsi="Times New Roman"/>
          <w:color w:val="000000" w:themeColor="text1"/>
          <w:sz w:val="16"/>
          <w:szCs w:val="16"/>
        </w:rPr>
      </w:pPr>
    </w:p>
    <w:p w14:paraId="471CE0D6"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39EA56F9"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A68F1BD" w14:textId="77777777" w:rsidR="001F3595" w:rsidRPr="00C33834" w:rsidRDefault="001F35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Срок представления проекта ДБ-3 (ЦКБ-26) был в декабре 1933 (24,80) и он был соблюден. НТК был рассмотрен проект ДБ (24,80).</w:t>
      </w:r>
    </w:p>
    <w:p w14:paraId="470EA26C" w14:textId="77777777" w:rsidR="001F3595" w:rsidRPr="00C33834" w:rsidRDefault="001F3595"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работа над ДБ С.В.И. как и ДБ П.О.С. началась в конце 1933 (363,166).</w:t>
      </w:r>
    </w:p>
    <w:p w14:paraId="1779DD02" w14:textId="77777777" w:rsidR="001F3595" w:rsidRPr="00C33834" w:rsidRDefault="001F3595" w:rsidP="00C33834">
      <w:pPr>
        <w:autoSpaceDE w:val="0"/>
        <w:autoSpaceDN w:val="0"/>
        <w:adjustRightInd w:val="0"/>
        <w:spacing w:after="0" w:line="240" w:lineRule="auto"/>
        <w:jc w:val="both"/>
        <w:rPr>
          <w:rFonts w:ascii="Times New Roman" w:hAnsi="Times New Roman"/>
          <w:color w:val="000000" w:themeColor="text1"/>
          <w:sz w:val="16"/>
          <w:szCs w:val="16"/>
        </w:rPr>
      </w:pPr>
    </w:p>
    <w:p w14:paraId="6E175124"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декабря 1933 года завод 39 вел интенсивную подготовку производства РД и выполнял порученное задание, однако в декабре, в связи с возложением на него другого задания по истребителям, работа была свернута и ГУАПом приказано все чертежи и документации передать заводу № 124 (Казань) через ЦАГИ.</w:t>
      </w:r>
    </w:p>
    <w:p w14:paraId="0F90C53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рассмотрении заказа на 1934 год Правительством, по настоянию ГУАПа было утверждено в плане заказов на 1934 год только 25 РД вместо первоначально намеченных 40 (см. Постановление СТО – протокол № 119/сс от 28 ноября 1933 года) (4256, 30).</w:t>
      </w:r>
    </w:p>
    <w:p w14:paraId="3FEBBC68"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A7B64D" w14:textId="77777777" w:rsidR="00EB71DB" w:rsidRPr="00C33834" w:rsidRDefault="00EB71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года в акте по результатам государственных испытаний, утвержденном Алкснисом, отмечалось, в частности:</w:t>
      </w:r>
    </w:p>
    <w:p w14:paraId="2A097D9E" w14:textId="77777777" w:rsidR="00EB71DB" w:rsidRPr="00C33834" w:rsidRDefault="00EB71D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«ЦАГИ все конструктивные изменения по устранению дефектов и доводке рекордных самолетов РД внести в чертежи военного варианта РД (ДБ-1)...» (12725)</w:t>
      </w:r>
    </w:p>
    <w:p w14:paraId="4924E17A" w14:textId="77777777" w:rsidR="00EB71DB" w:rsidRPr="00C33834" w:rsidRDefault="00EB71DB" w:rsidP="00C33834">
      <w:pPr>
        <w:spacing w:after="0" w:line="240" w:lineRule="auto"/>
        <w:jc w:val="both"/>
        <w:rPr>
          <w:rFonts w:ascii="Times New Roman" w:hAnsi="Times New Roman"/>
          <w:color w:val="000000" w:themeColor="text1"/>
          <w:sz w:val="16"/>
          <w:szCs w:val="16"/>
        </w:rPr>
      </w:pPr>
    </w:p>
    <w:p w14:paraId="26EADF50"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Начальник НИИ ВВС Зильберт утвердил Отчет по гос. испытаниям модифицированного самолета ТБ3-4М17 № 22243 (6636).</w:t>
      </w:r>
    </w:p>
    <w:p w14:paraId="1B85B94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Начато 25 октября 1933 года</w:t>
      </w:r>
    </w:p>
    <w:p w14:paraId="7422DCD8"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Окончено 20 ноября 1933 года</w:t>
      </w:r>
    </w:p>
    <w:p w14:paraId="787F3FCE"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 исполнители:</w:t>
      </w:r>
    </w:p>
    <w:p w14:paraId="44BFAD0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инженер Куликов</w:t>
      </w:r>
    </w:p>
    <w:p w14:paraId="085EEF98"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 летчик Кастанаев</w:t>
      </w:r>
    </w:p>
    <w:p w14:paraId="3D1A5736"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Цель испытания</w:t>
      </w:r>
    </w:p>
    <w:p w14:paraId="369086EA"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Выявить влияние на летные данные самолета ТБ-3 - увеличения площади крыльев, увеличение размаха, установки обтекателей на стыках крыльев, хвостового оперения и тележках шасси и улучшения обтекания других деталей.</w:t>
      </w:r>
    </w:p>
    <w:p w14:paraId="61947FBE"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w:t>
      </w:r>
    </w:p>
    <w:p w14:paraId="18F599D5"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Считать совершенно необходимым внедрить в серийное производство самолетов ТБ3 улучшение конструкции и обтекаемости, выполненные на самолете ТБ3 № 22243.</w:t>
      </w:r>
    </w:p>
    <w:p w14:paraId="211B32E2"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26F01" w:rsidRPr="00C33834" w14:paraId="12D9443F" w14:textId="77777777">
        <w:tc>
          <w:tcPr>
            <w:tcW w:w="5636" w:type="dxa"/>
          </w:tcPr>
          <w:p w14:paraId="2B7BCBEA"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 октября 1933 года</w:t>
            </w:r>
          </w:p>
        </w:tc>
        <w:tc>
          <w:tcPr>
            <w:tcW w:w="5636" w:type="dxa"/>
          </w:tcPr>
          <w:p w14:paraId="474A923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принят от ЦАГИ на испытания.</w:t>
            </w:r>
          </w:p>
        </w:tc>
      </w:tr>
      <w:tr w:rsidR="00F26F01" w:rsidRPr="00C33834" w14:paraId="365646A0" w14:textId="77777777">
        <w:tc>
          <w:tcPr>
            <w:tcW w:w="5636" w:type="dxa"/>
          </w:tcPr>
          <w:p w14:paraId="341BD1B2"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октября 1933 года</w:t>
            </w:r>
          </w:p>
        </w:tc>
        <w:tc>
          <w:tcPr>
            <w:tcW w:w="5636" w:type="dxa"/>
          </w:tcPr>
          <w:p w14:paraId="2A4864F8"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горизонтальных скоростей по мерному километру.</w:t>
            </w:r>
          </w:p>
        </w:tc>
      </w:tr>
      <w:tr w:rsidR="00F26F01" w:rsidRPr="00C33834" w14:paraId="0EB04C6F" w14:textId="77777777">
        <w:tc>
          <w:tcPr>
            <w:tcW w:w="5636" w:type="dxa"/>
          </w:tcPr>
          <w:p w14:paraId="26E03B5F"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 ноября 1933 года</w:t>
            </w:r>
          </w:p>
        </w:tc>
        <w:tc>
          <w:tcPr>
            <w:tcW w:w="5636" w:type="dxa"/>
          </w:tcPr>
          <w:p w14:paraId="03527DC9"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Определение скороподъемности, потолка, горизонтальных скоростей по высотам, полет на зубцы.</w:t>
            </w:r>
          </w:p>
        </w:tc>
      </w:tr>
    </w:tbl>
    <w:p w14:paraId="1C70EB96"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 испытания выполнены за 28 календарных дней, из них полетных дней – 2.</w:t>
      </w:r>
    </w:p>
    <w:p w14:paraId="330A98E2" w14:textId="77777777" w:rsidR="002E2083" w:rsidRPr="00C33834" w:rsidRDefault="002E2083" w:rsidP="00C3383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Особенности конструкции самолета, отличающие его от серийных самолетов</w:t>
      </w:r>
    </w:p>
    <w:p w14:paraId="3897E334"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Увеличена площадь крыльев.</w:t>
      </w:r>
    </w:p>
    <w:p w14:paraId="35F41835"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Увеличен размах крыльев.</w:t>
      </w:r>
    </w:p>
    <w:p w14:paraId="70518CAE"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руле направления монтирован управляемый компенсатор типа «Флейтнера».</w:t>
      </w:r>
    </w:p>
    <w:p w14:paraId="038EF0D7"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Закрыты обтекателями стыки крыла и фюзеляжа.</w:t>
      </w:r>
    </w:p>
    <w:p w14:paraId="1DBA24E0"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Сняты подножки на правом крыле.</w:t>
      </w:r>
    </w:p>
    <w:p w14:paraId="092564C5"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Закрыты обтекателями стыки киля и стабилизатора с фюзеляжем.</w:t>
      </w:r>
    </w:p>
    <w:p w14:paraId="7A97804D"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Закрыты обтекателями стыки капотов моторов с крылом.</w:t>
      </w:r>
    </w:p>
    <w:p w14:paraId="212206A8"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Переделаны капоты радиаторов – улучшено обтекание их.</w:t>
      </w:r>
    </w:p>
    <w:p w14:paraId="31661819"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Поставлены обтекатели на тележки колес шасси.</w:t>
      </w:r>
    </w:p>
    <w:p w14:paraId="34B75259"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Поставлены обтекатели на полуоси шасси.</w:t>
      </w:r>
    </w:p>
    <w:p w14:paraId="77DEDCF2"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Улучшена обтекаемость носовой турели: обрезы сглажены фанерным покрытием.</w:t>
      </w:r>
    </w:p>
    <w:p w14:paraId="3BCF2E18"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Передняя кормовая кабина закрыта наглухо.</w:t>
      </w:r>
    </w:p>
    <w:p w14:paraId="16282411"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Сняты каркасы фар и динамо-машины в носке крыла, отверстия заглажены ровными щитками.</w:t>
      </w:r>
    </w:p>
    <w:p w14:paraId="1CFC4F62"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Сняты дверцы бомболюков и заменены гладкими щитками.</w:t>
      </w:r>
    </w:p>
    <w:p w14:paraId="167E26B7"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Клапан тяги руля высоты в задней части фюзеляжа переставлен вовнутрь.</w:t>
      </w:r>
    </w:p>
    <w:p w14:paraId="009FF23B"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Поставлены новые винты конструкции ЦАГИ.</w:t>
      </w:r>
    </w:p>
    <w:p w14:paraId="131C7A4F"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Сняты подкрыльевые башни (6636).</w:t>
      </w:r>
    </w:p>
    <w:p w14:paraId="468CD702" w14:textId="77777777" w:rsidR="002E2083" w:rsidRPr="00C33834" w:rsidRDefault="002E2083" w:rsidP="00C33834">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21307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УВВС утвердило требования к военному варианту МГ. Во втором варианте отказались от предкрыльевых и закрыльевых башен. 8 двигателей - 6 в крыле + два на тендемной установке сверху. Бомбоотсеки перед и за центропланом. Экипаж - как на АНТ-16 - 12 чел. (7425, 19).</w:t>
      </w:r>
    </w:p>
    <w:p w14:paraId="284C56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3B000A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авиабригада под командованием Т.П.Сузи, базировавшаяся в Люберцах, получила еще 7 И-зет (N 39011, 39013-16, 39020 и 39023). испытывала эскадрилья Новака: Климов, Губанов, Бурылин, Катичев, Родин и летали с Люберецкого аэродрома на химический полигон в Кузьминках. испытывали шрапнельные снаряды - оказались неэффективными, потом - фугасную гранату. 7 снарядов расходовали за 20 сек. Установили, что стрелять можно с гор. полета и с пикирования до угла 30 гр., с кабрирования и при крене до 25-30 гр. Решили, что испытания прошли и можно начинать войсковые испытания (2692,7).</w:t>
      </w:r>
    </w:p>
    <w:p w14:paraId="62156A0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A9219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г. базировавшаяся в Люберцах 57-я авиабригада получила семь И-ЗЕТ (№№ 39011, 39013 - 39016, 39020 и 39023). Испытывала их 118-я эскадрилья Новака: Климов, Губанов, Бурылин, Катичев, Родин. Летали с Люберецкого аэродрома на так называемый химический полигон, расположенный в Кузьминках. Испытывали шрапнельные снаряды, но эффективность их использования оценили невысоко, позже попробовали фугасные гранаты. В среднем боекомплект в семь снарядов по хронометражу расходовался за 20 с. Установили, что вполне надёжно стрелять можно в горизонтальном полёте, при пикировании до угла 30°, кабрировании и крене 25° - 30°. По результатам этих полётов было сделано заключение, что АПК-4 на И-ЗЕТ первые тестирования прошли и в дальнейшем могут быть допущены на войсковые испытания (12005).</w:t>
      </w:r>
    </w:p>
    <w:p w14:paraId="01E3D7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CDADD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1934 были сформулированы основные требования к И-Зетбис. На новом самолёте хотели исправить главные недостатки И-ЗЕТ: малый радиус действия, недостаточные скорость и потолок, неэффективное вооружение. "ЗЕТ-бис" должен был иметь максимальную скорость 350 км/ч, продолжительность полёта 3 - 4 ч, практический потолок 7000 - 8000 м, новые пушки с дальностью прицельной стрельбы 2000 - 2500 м</w:t>
      </w:r>
    </w:p>
    <w:p w14:paraId="1372D4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документах конструкторского бюро Григоровича периода 1934 - 1935 гг. указывались расчётные характеристики этой машины. Они вполне укладывались в рамки задания, а скорость даже превосходила требуемую. Но новых ДРП с увеличенной дальностью стрельбы не имелось, поэтому в проект заложили всё те же АПК-4.</w:t>
      </w:r>
    </w:p>
    <w:p w14:paraId="374D29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Расчётные характеристики ДГ-52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F26F01" w:rsidRPr="00C33834" w14:paraId="5D39A610" w14:textId="77777777">
        <w:tc>
          <w:tcPr>
            <w:tcW w:w="5605" w:type="dxa"/>
            <w:tcBorders>
              <w:top w:val="single" w:sz="12" w:space="0" w:color="auto"/>
            </w:tcBorders>
          </w:tcPr>
          <w:p w14:paraId="2635590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конструкции, кг</w:t>
            </w:r>
          </w:p>
        </w:tc>
        <w:tc>
          <w:tcPr>
            <w:tcW w:w="5605" w:type="dxa"/>
            <w:tcBorders>
              <w:top w:val="single" w:sz="12" w:space="0" w:color="auto"/>
            </w:tcBorders>
          </w:tcPr>
          <w:p w14:paraId="67A5C3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568,7</w:t>
            </w:r>
          </w:p>
        </w:tc>
      </w:tr>
      <w:tr w:rsidR="00F26F01" w:rsidRPr="00C33834" w14:paraId="6A31C8F4" w14:textId="77777777">
        <w:tc>
          <w:tcPr>
            <w:tcW w:w="5605" w:type="dxa"/>
          </w:tcPr>
          <w:p w14:paraId="07A49E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Полная нагрузка, кг</w:t>
            </w:r>
          </w:p>
        </w:tc>
        <w:tc>
          <w:tcPr>
            <w:tcW w:w="5605" w:type="dxa"/>
          </w:tcPr>
          <w:p w14:paraId="516D53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565</w:t>
            </w:r>
          </w:p>
        </w:tc>
      </w:tr>
      <w:tr w:rsidR="00F26F01" w:rsidRPr="00C33834" w14:paraId="3AB59630" w14:textId="77777777">
        <w:tc>
          <w:tcPr>
            <w:tcW w:w="5605" w:type="dxa"/>
          </w:tcPr>
          <w:p w14:paraId="12F7364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крыла, м2</w:t>
            </w:r>
          </w:p>
        </w:tc>
        <w:tc>
          <w:tcPr>
            <w:tcW w:w="5605" w:type="dxa"/>
          </w:tcPr>
          <w:p w14:paraId="30EACC8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19,98</w:t>
            </w:r>
          </w:p>
        </w:tc>
      </w:tr>
      <w:tr w:rsidR="00F26F01" w:rsidRPr="00C33834" w14:paraId="57355227" w14:textId="77777777">
        <w:tc>
          <w:tcPr>
            <w:tcW w:w="5605" w:type="dxa"/>
          </w:tcPr>
          <w:p w14:paraId="634F70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Нагрузка на крыло, кг/м2</w:t>
            </w:r>
          </w:p>
        </w:tc>
        <w:tc>
          <w:tcPr>
            <w:tcW w:w="5605" w:type="dxa"/>
          </w:tcPr>
          <w:p w14:paraId="79AC04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94,0</w:t>
            </w:r>
          </w:p>
        </w:tc>
      </w:tr>
      <w:tr w:rsidR="00F26F01" w:rsidRPr="00C33834" w14:paraId="223D3F25" w14:textId="77777777">
        <w:tc>
          <w:tcPr>
            <w:tcW w:w="5605" w:type="dxa"/>
          </w:tcPr>
          <w:p w14:paraId="339D90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Весовая отдача</w:t>
            </w:r>
          </w:p>
        </w:tc>
        <w:tc>
          <w:tcPr>
            <w:tcW w:w="5605" w:type="dxa"/>
          </w:tcPr>
          <w:p w14:paraId="3EAD87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32,4 %</w:t>
            </w:r>
          </w:p>
        </w:tc>
      </w:tr>
      <w:tr w:rsidR="00F26F01" w:rsidRPr="00C33834" w14:paraId="63A345C8" w14:textId="77777777">
        <w:tc>
          <w:tcPr>
            <w:tcW w:w="5605" w:type="dxa"/>
          </w:tcPr>
          <w:p w14:paraId="22AC2DF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максимальная, км/ч:</w:t>
            </w:r>
          </w:p>
        </w:tc>
        <w:tc>
          <w:tcPr>
            <w:tcW w:w="5605" w:type="dxa"/>
          </w:tcPr>
          <w:p w14:paraId="426CD1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0AA0381" w14:textId="77777777">
        <w:tc>
          <w:tcPr>
            <w:tcW w:w="5605" w:type="dxa"/>
          </w:tcPr>
          <w:p w14:paraId="09B8EDD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 земли</w:t>
            </w:r>
          </w:p>
        </w:tc>
        <w:tc>
          <w:tcPr>
            <w:tcW w:w="5605" w:type="dxa"/>
          </w:tcPr>
          <w:p w14:paraId="1688FE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368</w:t>
            </w:r>
          </w:p>
        </w:tc>
      </w:tr>
      <w:tr w:rsidR="00F26F01" w:rsidRPr="00C33834" w14:paraId="0B09E6AC" w14:textId="77777777">
        <w:tc>
          <w:tcPr>
            <w:tcW w:w="5605" w:type="dxa"/>
          </w:tcPr>
          <w:p w14:paraId="355521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высоте 3000 м</w:t>
            </w:r>
          </w:p>
        </w:tc>
        <w:tc>
          <w:tcPr>
            <w:tcW w:w="5605" w:type="dxa"/>
          </w:tcPr>
          <w:p w14:paraId="1DE23B4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410</w:t>
            </w:r>
          </w:p>
        </w:tc>
      </w:tr>
      <w:tr w:rsidR="00F26F01" w:rsidRPr="00C33834" w14:paraId="257FDF66" w14:textId="77777777">
        <w:tc>
          <w:tcPr>
            <w:tcW w:w="5605" w:type="dxa"/>
          </w:tcPr>
          <w:p w14:paraId="15E304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высоте 5000 м</w:t>
            </w:r>
          </w:p>
        </w:tc>
        <w:tc>
          <w:tcPr>
            <w:tcW w:w="5605" w:type="dxa"/>
          </w:tcPr>
          <w:p w14:paraId="41423F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389</w:t>
            </w:r>
          </w:p>
        </w:tc>
      </w:tr>
      <w:tr w:rsidR="00F26F01" w:rsidRPr="00C33834" w14:paraId="699C877D" w14:textId="77777777">
        <w:tc>
          <w:tcPr>
            <w:tcW w:w="5605" w:type="dxa"/>
          </w:tcPr>
          <w:p w14:paraId="35AA0B4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посадочная, км/ч:</w:t>
            </w:r>
          </w:p>
        </w:tc>
        <w:tc>
          <w:tcPr>
            <w:tcW w:w="5605" w:type="dxa"/>
          </w:tcPr>
          <w:p w14:paraId="578021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08C6E3A" w14:textId="77777777">
        <w:tc>
          <w:tcPr>
            <w:tcW w:w="5605" w:type="dxa"/>
          </w:tcPr>
          <w:p w14:paraId="3506A9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без щитков</w:t>
            </w:r>
          </w:p>
        </w:tc>
        <w:tc>
          <w:tcPr>
            <w:tcW w:w="5605" w:type="dxa"/>
          </w:tcPr>
          <w:p w14:paraId="5B91B9A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114</w:t>
            </w:r>
          </w:p>
        </w:tc>
      </w:tr>
      <w:tr w:rsidR="00F26F01" w:rsidRPr="00C33834" w14:paraId="5CD032B7" w14:textId="77777777">
        <w:tc>
          <w:tcPr>
            <w:tcW w:w="5605" w:type="dxa"/>
          </w:tcPr>
          <w:p w14:paraId="266D54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 щитками</w:t>
            </w:r>
          </w:p>
        </w:tc>
        <w:tc>
          <w:tcPr>
            <w:tcW w:w="5605" w:type="dxa"/>
          </w:tcPr>
          <w:p w14:paraId="4B5A28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97</w:t>
            </w:r>
          </w:p>
        </w:tc>
      </w:tr>
      <w:tr w:rsidR="00F26F01" w:rsidRPr="00C33834" w14:paraId="129C5B00" w14:textId="77777777">
        <w:tc>
          <w:tcPr>
            <w:tcW w:w="5605" w:type="dxa"/>
          </w:tcPr>
          <w:p w14:paraId="3A367C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набора высоты 5000 м, мин</w:t>
            </w:r>
          </w:p>
        </w:tc>
        <w:tc>
          <w:tcPr>
            <w:tcW w:w="5605" w:type="dxa"/>
          </w:tcPr>
          <w:p w14:paraId="575FD5D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w:t>
            </w:r>
          </w:p>
        </w:tc>
      </w:tr>
      <w:tr w:rsidR="00F26F01" w:rsidRPr="00C33834" w14:paraId="20AFCE4C" w14:textId="77777777">
        <w:tc>
          <w:tcPr>
            <w:tcW w:w="5605" w:type="dxa"/>
          </w:tcPr>
          <w:p w14:paraId="135BCF1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 практический, м</w:t>
            </w:r>
          </w:p>
        </w:tc>
        <w:tc>
          <w:tcPr>
            <w:tcW w:w="5605" w:type="dxa"/>
          </w:tcPr>
          <w:p w14:paraId="44237E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7700</w:t>
            </w:r>
          </w:p>
        </w:tc>
      </w:tr>
      <w:tr w:rsidR="00F26F01" w:rsidRPr="00C33834" w14:paraId="5828803B" w14:textId="77777777">
        <w:tc>
          <w:tcPr>
            <w:tcW w:w="5605" w:type="dxa"/>
          </w:tcPr>
          <w:p w14:paraId="1389FA0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пробега, м (продолжительность, с)</w:t>
            </w:r>
          </w:p>
        </w:tc>
        <w:tc>
          <w:tcPr>
            <w:tcW w:w="5605" w:type="dxa"/>
          </w:tcPr>
          <w:p w14:paraId="2F4A80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175 (11,0)</w:t>
            </w:r>
          </w:p>
        </w:tc>
      </w:tr>
      <w:tr w:rsidR="00F26F01" w:rsidRPr="00C33834" w14:paraId="6637D12F" w14:textId="77777777">
        <w:tc>
          <w:tcPr>
            <w:tcW w:w="5605" w:type="dxa"/>
          </w:tcPr>
          <w:p w14:paraId="24CC401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полёта, км:</w:t>
            </w:r>
          </w:p>
        </w:tc>
        <w:tc>
          <w:tcPr>
            <w:tcW w:w="5605" w:type="dxa"/>
          </w:tcPr>
          <w:p w14:paraId="4AC442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540BA49" w14:textId="77777777">
        <w:tc>
          <w:tcPr>
            <w:tcW w:w="5605" w:type="dxa"/>
          </w:tcPr>
          <w:p w14:paraId="0660EA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нормальная</w:t>
            </w:r>
          </w:p>
        </w:tc>
        <w:tc>
          <w:tcPr>
            <w:tcW w:w="5605" w:type="dxa"/>
          </w:tcPr>
          <w:p w14:paraId="4F0245E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w:t>
            </w:r>
          </w:p>
        </w:tc>
      </w:tr>
      <w:tr w:rsidR="00F26F01" w:rsidRPr="00C33834" w14:paraId="4F388D6B" w14:textId="77777777">
        <w:tc>
          <w:tcPr>
            <w:tcW w:w="5605" w:type="dxa"/>
            <w:tcBorders>
              <w:bottom w:val="single" w:sz="12" w:space="0" w:color="auto"/>
            </w:tcBorders>
          </w:tcPr>
          <w:p w14:paraId="3F3756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w:t>
            </w:r>
          </w:p>
        </w:tc>
        <w:tc>
          <w:tcPr>
            <w:tcW w:w="5605" w:type="dxa"/>
            <w:tcBorders>
              <w:bottom w:val="single" w:sz="12" w:space="0" w:color="auto"/>
            </w:tcBorders>
          </w:tcPr>
          <w:p w14:paraId="490490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tc>
      </w:tr>
    </w:tbl>
    <w:p w14:paraId="479619F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(12005).</w:t>
      </w:r>
    </w:p>
    <w:p w14:paraId="646FC9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F9C29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1933-го подготовили второй опытный экземпляр ЦКБ-3. Именно на нем продолжили полеты и до конца года успели провести государственные испытания. Установленный на лыжи самолет развивал максимальную скорость у земли 324 км/час, на высоте 3000 м - 350 км/час. Скороподъемность на высоту 5000м составила 6,2 мин., время виража всего 8 с (6593).</w:t>
      </w:r>
    </w:p>
    <w:p w14:paraId="14E8C1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053CECC" w14:textId="77777777" w:rsidR="0079255B" w:rsidRPr="00C33834" w:rsidRDefault="0079255B" w:rsidP="00C33834">
      <w:pPr>
        <w:pStyle w:val="27"/>
        <w:shd w:val="clear" w:color="auto" w:fill="auto"/>
        <w:spacing w:after="0" w:line="240" w:lineRule="auto"/>
        <w:ind w:firstLine="0"/>
        <w:rPr>
          <w:rFonts w:ascii="Times New Roman" w:cs="Times New Roman"/>
          <w:color w:val="000000" w:themeColor="text1"/>
          <w:spacing w:val="0"/>
        </w:rPr>
      </w:pPr>
      <w:r w:rsidRPr="00C33834">
        <w:rPr>
          <w:rFonts w:ascii="Times New Roman" w:cs="Times New Roman"/>
          <w:color w:val="000000" w:themeColor="text1"/>
          <w:spacing w:val="0"/>
        </w:rPr>
        <w:t>В декабре 1933 на аэродром доставили второй опытный ЦКБ-3, на котором продолжили полеты и до конца года успели прове</w:t>
      </w:r>
      <w:r w:rsidRPr="00C33834">
        <w:rPr>
          <w:rFonts w:ascii="Times New Roman" w:cs="Times New Roman"/>
          <w:color w:val="000000" w:themeColor="text1"/>
          <w:spacing w:val="0"/>
        </w:rPr>
        <w:softHyphen/>
        <w:t>сти Госиспытания. Установленный на лыжи самолет развивал максимальную скорость у земли 324 км/ч, на высоте 3000 м — 350 км/ч. На высоту 5000 м он поднимался за 6,2 мин, время виража составило всего 8 с. Уже 1 января 1934 г. начальник ВВС Яков Алкснис утвердил «Акт Государственных испытаний И-15 РЦ Ф-3». В этом документе, в том числе, указывалось, что по маневренности и скороподьемности новый истребитель опере</w:t>
      </w:r>
      <w:r w:rsidRPr="00C33834">
        <w:rPr>
          <w:rFonts w:ascii="Times New Roman" w:cs="Times New Roman"/>
          <w:color w:val="000000" w:themeColor="text1"/>
          <w:spacing w:val="0"/>
        </w:rPr>
        <w:softHyphen/>
        <w:t>жает все известные машины, а по максимальной скорости на высоте 5000 м уступает некоторым иностранным образцам. Последний недостаток предлагалось устранить. И-15, как пол</w:t>
      </w:r>
      <w:r w:rsidRPr="00C33834">
        <w:rPr>
          <w:rFonts w:ascii="Times New Roman" w:cs="Times New Roman"/>
          <w:color w:val="000000" w:themeColor="text1"/>
          <w:spacing w:val="0"/>
        </w:rPr>
        <w:softHyphen/>
        <w:t>ностью удовлетворяющий требованиям ВВС, получил рекомен</w:t>
      </w:r>
      <w:r w:rsidRPr="00C33834">
        <w:rPr>
          <w:rFonts w:ascii="Times New Roman" w:cs="Times New Roman"/>
          <w:color w:val="000000" w:themeColor="text1"/>
          <w:spacing w:val="0"/>
        </w:rPr>
        <w:softHyphen/>
        <w:t>дацию к серийному производству и скорейшему внедрению в строй военной авиации. Строить самолет решили на двух мо</w:t>
      </w:r>
      <w:r w:rsidRPr="00C33834">
        <w:rPr>
          <w:rFonts w:ascii="Times New Roman" w:cs="Times New Roman"/>
          <w:color w:val="000000" w:themeColor="text1"/>
          <w:spacing w:val="0"/>
        </w:rPr>
        <w:softHyphen/>
        <w:t>сковских заводах — № 1 и № 39 (19107).</w:t>
      </w:r>
    </w:p>
    <w:p w14:paraId="6A3141A5" w14:textId="77777777" w:rsidR="0079255B" w:rsidRPr="00C33834" w:rsidRDefault="0079255B" w:rsidP="00C33834">
      <w:pPr>
        <w:pStyle w:val="27"/>
        <w:shd w:val="clear" w:color="auto" w:fill="auto"/>
        <w:spacing w:after="0" w:line="240" w:lineRule="auto"/>
        <w:ind w:firstLine="0"/>
        <w:rPr>
          <w:rFonts w:ascii="Times New Roman" w:cs="Times New Roman"/>
          <w:color w:val="000000" w:themeColor="text1"/>
          <w:spacing w:val="0"/>
        </w:rPr>
      </w:pPr>
    </w:p>
    <w:p w14:paraId="7EB0597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г. второй опытный ЦКБ-3, подготовленный к полетам, имел колесное шасси и небольшие стойки-антенны в районе законцовок верхнего крыла. Новыми явились тормозные колеса, мас- ляио-пневматическая амортизация, металлический винт, крепление обшивки. Кстати, в разгар постройки опытного ЦКБ-3 решался вопрос повышения летных характеристик серийного И-5. Предлагалось позаимствовать у ЦКБ-3 некоторые конструктивные решения: крыльевые стойки, длинный обтекатель за головой пилота, зализы нижнего крыла, установку пулеметов в трубах. Все это намечалось на I934 г, однако в серию не пошло (12014).</w:t>
      </w:r>
    </w:p>
    <w:p w14:paraId="4E6514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6C11C9D"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года на аэродром доставили второй экземпляр ЦКБ-3. Именно на нём продолжили полёты и до конца года успели провести государственные испытания. Установленный на лыжи самолёт развивал максимальную скорость у земли 324 км/ч, на высоте 3000 м - 350 км/ч. Набор высоты 5000 м занимал 6,2 мин., время виража составляло всего 8 с. Что касается второго экземпляра ЦКБ-3, то его доработали. Для повышения путевой устойчивости увеличили площадь вертикального оперения, на двигателе установили кольцевой капот («кольцо Тауненда») изменённой формы. В таком виде ЦКБ-3 весной 1934 г. направили для продолжения испытаний на аэродром лётной школы в Каче под Севастополем. Одновременно сюда доставили два опытных образца И-16 (ЦКБ-12) и один образец И-14 П.О. Сухого. Вместе с самолётами в Крым командировали В.К. Таирова - заместителем начальника бригады № 2, руководившего детальной проработкой И-15 и И-16 (12261).</w:t>
      </w:r>
    </w:p>
    <w:p w14:paraId="09736D7C" w14:textId="77777777" w:rsidR="000904A1" w:rsidRPr="00C33834" w:rsidRDefault="000904A1" w:rsidP="00C33834">
      <w:pPr>
        <w:spacing w:after="0" w:line="240" w:lineRule="auto"/>
        <w:jc w:val="both"/>
        <w:rPr>
          <w:rFonts w:ascii="Times New Roman" w:hAnsi="Times New Roman"/>
          <w:color w:val="000000" w:themeColor="text1"/>
          <w:sz w:val="16"/>
          <w:szCs w:val="16"/>
        </w:rPr>
      </w:pPr>
    </w:p>
    <w:p w14:paraId="2C3BD53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г. активно началось обсуждение характеристик и предполагаемых боевых возможностей двух самолетов: ЦКБ-15, получившего в ВВС официальное обозначение И-17 и его двухместного варианта - ДИ-7. Начальник ВВС РККА Яков Алкснис лично принимал участие в выработке тактико-технических требований: "На 20 часов 7 декабря назначаю у себя совещание по этим техтребованиям. Хотелось бы на обоих самолетах иметь более сильное и более дальнобойное вооружение".</w:t>
      </w:r>
    </w:p>
    <w:p w14:paraId="0E70389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Интересно, что в дальнейшем упоминания двухместного истребителя ДИ-7 не встречаются. На каком-то этапе развития событий возник вариант установки на ДИ-7 двух спаренных двигателей, одного за другим, врашающих два воздушных винта в противоположных направлениях. В отношении такой моторной установки пользовались определением "механическая спарка". Интерес к этой теме в 1935 г. усилился в связи с развертыванием проектных работ по созданию рекордного скоростного самолета. В результате моторному заводу № 26 поручили задание на разработку "механической спарки" двигателей М-100 (затем М-103). Позднее работа </w:t>
      </w:r>
      <w:r w:rsidRPr="00C33834">
        <w:rPr>
          <w:rFonts w:ascii="Times New Roman" w:hAnsi="Times New Roman"/>
          <w:color w:val="000000" w:themeColor="text1"/>
          <w:sz w:val="16"/>
          <w:szCs w:val="16"/>
        </w:rPr>
        <w:lastRenderedPageBreak/>
        <w:t>продолжилась и выразилась в создании экспериментального самолета "С" конструкции Болховитинова. Однако к истории И-17 это уже никоим образом не относилось (12016).</w:t>
      </w:r>
    </w:p>
    <w:p w14:paraId="0236B7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817F1F8" w14:textId="77777777" w:rsidR="0047154B" w:rsidRPr="00C33834" w:rsidRDefault="0047154B"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года были утверждены Тактико-технические требования к одноместному истребителю-моноплану ЦКБ-15 с рядным двигателем жидкостного охлаждения М-100 (двигатель «Испано-Сюиза» советской постройки по французской лицензии), который в советских ВВС получил официальное обозначение истребитель И-17. На новой машине предполагалось получить следующие показатели: время набора высоты 5000 метров - 6-7 минут; скорость на высоте 5000 метров – 450 км/ч; практический потолок – 10000 метров; дальность – 600 км; посадочная скорость – не более 100-105 км/ч. Рассматривался и штурмовой вариант ЦКБ-15, оснащенный подвижными пулеметными батареями под крылом (15223).</w:t>
      </w:r>
    </w:p>
    <w:p w14:paraId="19AA5E96" w14:textId="77777777" w:rsidR="0047154B" w:rsidRPr="00C33834" w:rsidRDefault="0047154B" w:rsidP="00C33834">
      <w:pPr>
        <w:shd w:val="clear" w:color="auto" w:fill="FFFFFF"/>
        <w:spacing w:after="0" w:line="240" w:lineRule="auto"/>
        <w:jc w:val="both"/>
        <w:rPr>
          <w:rFonts w:ascii="Times New Roman" w:hAnsi="Times New Roman"/>
          <w:color w:val="000000" w:themeColor="text1"/>
          <w:sz w:val="16"/>
          <w:szCs w:val="16"/>
        </w:rPr>
      </w:pPr>
    </w:p>
    <w:p w14:paraId="37FB6066" w14:textId="77777777" w:rsidR="0047154B" w:rsidRPr="00C33834" w:rsidRDefault="0047154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г. началось активное обсуждение характеристик и предполагаемых боевых возможностей двух машин: И-17 и ДИ-7 Н.Н.П. Начальник ВВС РККА Яков Алкснис лично принимал участие в выработке тактико-технических требований: "На 20 часов 7 декабря назначаюу себя совещание по этим техтребованиям. Хотелось бы на обоих самолётах иметь более сильное и более дальнобойное вооружение". Интересно, что в дальнейшем упоминание двухместного истребителя ДИ-7 не встречается. На каком-то этапе развития событий возник вариант установки на ДИ-7 двух спаренных двигателей, одного за другим, вращающих два воздушных винта в противоположных направлениях. В отношении такой моторной установки пользовались определением "механическая спарка". Интерес к этой теме в начале 1935 г. усилился в связи с развёртыванием проектных работ по созданию рекордного скоростного самолёта. В результате моторному заводу №26 поручили задание на разработку "механической спарки" двигателей М-100 (затем М-103). Позднее работа продолжилась и её результаты воплотились в создании экспериментального самолёта "С" конструкции Болховитинова. Однако к истории И-17 это уже ни коим образом не относилось (9630).</w:t>
      </w:r>
    </w:p>
    <w:p w14:paraId="41ADF153" w14:textId="77777777" w:rsidR="0047154B" w:rsidRPr="00C33834" w:rsidRDefault="0047154B" w:rsidP="00C33834">
      <w:pPr>
        <w:autoSpaceDE w:val="0"/>
        <w:autoSpaceDN w:val="0"/>
        <w:adjustRightInd w:val="0"/>
        <w:spacing w:after="0" w:line="240" w:lineRule="auto"/>
        <w:jc w:val="both"/>
        <w:rPr>
          <w:rFonts w:ascii="Times New Roman" w:hAnsi="Times New Roman"/>
          <w:color w:val="000000" w:themeColor="text1"/>
          <w:sz w:val="16"/>
          <w:szCs w:val="16"/>
        </w:rPr>
      </w:pPr>
    </w:p>
    <w:p w14:paraId="490FCB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г. были утверждены Основные положения тактико- технических требований (ИТ) к И-17. При выдаче задания на опытный ЦКБ-15 в ВВС его определили как одноместный истребитель И-17. Он были таковы: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F26F01" w:rsidRPr="00C33834" w14:paraId="38FFAEBA" w14:textId="77777777">
        <w:tc>
          <w:tcPr>
            <w:tcW w:w="5156" w:type="dxa"/>
            <w:tcBorders>
              <w:top w:val="single" w:sz="12" w:space="0" w:color="auto"/>
            </w:tcBorders>
          </w:tcPr>
          <w:p w14:paraId="7DF4543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 скорость</w:t>
            </w:r>
          </w:p>
        </w:tc>
        <w:tc>
          <w:tcPr>
            <w:tcW w:w="5156" w:type="dxa"/>
            <w:tcBorders>
              <w:top w:val="single" w:sz="12" w:space="0" w:color="auto"/>
            </w:tcBorders>
          </w:tcPr>
          <w:p w14:paraId="2150EF7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B498ECD" w14:textId="77777777">
        <w:tc>
          <w:tcPr>
            <w:tcW w:w="5156" w:type="dxa"/>
          </w:tcPr>
          <w:p w14:paraId="43DEF1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высоте 5000 м</w:t>
            </w:r>
          </w:p>
        </w:tc>
        <w:tc>
          <w:tcPr>
            <w:tcW w:w="5156" w:type="dxa"/>
          </w:tcPr>
          <w:p w14:paraId="5AD57DD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425 км/ч</w:t>
            </w:r>
          </w:p>
        </w:tc>
      </w:tr>
      <w:tr w:rsidR="00F26F01" w:rsidRPr="00C33834" w14:paraId="4E1EB80F" w14:textId="77777777">
        <w:tc>
          <w:tcPr>
            <w:tcW w:w="5156" w:type="dxa"/>
          </w:tcPr>
          <w:p w14:paraId="5FF825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набора высоты 5000 м</w:t>
            </w:r>
          </w:p>
        </w:tc>
        <w:tc>
          <w:tcPr>
            <w:tcW w:w="5156" w:type="dxa"/>
          </w:tcPr>
          <w:p w14:paraId="4DBC5BE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 мин</w:t>
            </w:r>
          </w:p>
        </w:tc>
      </w:tr>
      <w:tr w:rsidR="00F26F01" w:rsidRPr="00C33834" w14:paraId="5A1992CF" w14:textId="77777777">
        <w:tc>
          <w:tcPr>
            <w:tcW w:w="5156" w:type="dxa"/>
          </w:tcPr>
          <w:p w14:paraId="0B87FD0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Потолок практический </w:t>
            </w:r>
          </w:p>
        </w:tc>
        <w:tc>
          <w:tcPr>
            <w:tcW w:w="5156" w:type="dxa"/>
          </w:tcPr>
          <w:p w14:paraId="7B03C13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10000 м</w:t>
            </w:r>
          </w:p>
        </w:tc>
      </w:tr>
      <w:tr w:rsidR="00F26F01" w:rsidRPr="00C33834" w14:paraId="6CF88A9A" w14:textId="77777777">
        <w:tc>
          <w:tcPr>
            <w:tcW w:w="5156" w:type="dxa"/>
          </w:tcPr>
          <w:p w14:paraId="2221F2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Посадочная скорость (не более)</w:t>
            </w:r>
          </w:p>
        </w:tc>
        <w:tc>
          <w:tcPr>
            <w:tcW w:w="5156" w:type="dxa"/>
          </w:tcPr>
          <w:p w14:paraId="0B4EE6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100-105 км/ч</w:t>
            </w:r>
          </w:p>
        </w:tc>
      </w:tr>
      <w:tr w:rsidR="00F26F01" w:rsidRPr="00C33834" w14:paraId="3C9F6809" w14:textId="77777777">
        <w:tc>
          <w:tcPr>
            <w:tcW w:w="5156" w:type="dxa"/>
            <w:tcBorders>
              <w:bottom w:val="single" w:sz="12" w:space="0" w:color="auto"/>
            </w:tcBorders>
          </w:tcPr>
          <w:p w14:paraId="15EA31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Техническая дальность</w:t>
            </w:r>
          </w:p>
        </w:tc>
        <w:tc>
          <w:tcPr>
            <w:tcW w:w="5156" w:type="dxa"/>
            <w:tcBorders>
              <w:bottom w:val="single" w:sz="12" w:space="0" w:color="auto"/>
            </w:tcBorders>
          </w:tcPr>
          <w:p w14:paraId="546B8A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600 км</w:t>
            </w:r>
          </w:p>
        </w:tc>
      </w:tr>
    </w:tbl>
    <w:p w14:paraId="4A66FCC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Конструкция нового моноплана во многом повторяла И-16. Такое же крыло с лонжеронами из стальных, хромомолибденовых труб, с дюралевым поперечным набором и полотняной обшивкой. Элероны разрезные, дифференциальные, способные на посадке отклоняться вниз и выполнять роль закрылков. </w:t>
      </w:r>
    </w:p>
    <w:p w14:paraId="6BFB6F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Два выдвижных водяных радиатора в крыльях, указываемые в проектном варианте, позднее заменили одним выдвижным под- фюзеляжным. Такая компоновка обусловила схему размещения шасси с уборкой "от оси" самолета. Топливные баки общей емкостью 360 литров, размещались в передней кромке центроплана, что позволяло частично разгрузить крыло и более эффективно использовать внутренние объемы замоторного пространства в фюзеляже. Отчасти такое решение указывает на первоначальный замысел установить в фюзеляже скорострельную авиационную пушку, стреляющую через полый вал втулки воздушного винта. Тем не менее, вооружение первого опытного экземпляра (как, впрочем, и второго) состояло из четырех пулеметов ШКАС, размещенных в отъемных частях крыла.</w:t>
      </w:r>
    </w:p>
    <w:p w14:paraId="28047B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Испытания ЦКБ-15 начались во второй половине 1934 года. В сентябре летчик-испытатель В.П.Чкалов достиг на самолете скорости 424 км/ч у земли, и 455 км/ч на высоте 3380 м. Несмотря на вполне удовлетворительные летные данные, дальнейшие работы по этому экземпляру затормозились. В стремлении обеспечить приемлемый стояночный угол (диаметр используемого воздушного винта 3,4 м был великоват для такого маленького самолета) конструкторы установили шасси под большим углом к вертикали, что осложнило работу амортизаторов и, как следствие, дальнейшую эксплуатацию этого опытного образца. Ненадежно проявил себя и механизм уборки шасси, поэтому позднее самолет оборудовали неубираемы- ми пирамидальными стойками, снабженными резиновыми пластинчатыми амортизаторами.</w:t>
      </w:r>
    </w:p>
    <w:p w14:paraId="4F00E7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Длительное время ЦКБ-15 находился на территории завода №39. Николай Поликарпов пытался продлить жизнь машины, предлагал, в частности, переделать ее в подвесной истребитель для системы "самолет-звено" В.С.Вах- мистрова, однако до реализации этого предложения дело не дошло. В послевоенное время ЦКБ-15 стал экспонатом Центрального музея авиации в Москве - висел под потолком демонстрационного зала с убранным шасси. Впоследствии самолет вновь оборудовали неубираемым шасси, в таком виде он сохранился по наши дни (уникальный случай!) в небольшом музее В.П.Чкалова под Нижним Новгородом (11951).</w:t>
      </w:r>
    </w:p>
    <w:p w14:paraId="70C4F6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F3327C2" w14:textId="77777777" w:rsidR="0047154B" w:rsidRPr="00C33834" w:rsidRDefault="0047154B" w:rsidP="00C33834">
      <w:pPr>
        <w:pStyle w:val="rtejustify"/>
        <w:spacing w:before="0" w:after="0"/>
        <w:rPr>
          <w:color w:val="000000" w:themeColor="text1"/>
          <w:sz w:val="16"/>
          <w:szCs w:val="16"/>
        </w:rPr>
      </w:pPr>
      <w:r w:rsidRPr="00C33834">
        <w:rPr>
          <w:color w:val="000000" w:themeColor="text1"/>
          <w:sz w:val="16"/>
          <w:szCs w:val="16"/>
        </w:rPr>
        <w:t>В декабре 1933 г. были закончены чертежи для опытного самолета ДИ-6, опытная машина выпущена в сентябре 1934 г., тогда же проведены и государственные испытания. В мае 1935 г. машина участвовала в параде воздушных сил, результат же войсковых испытаний получен только в октябре 1936 г. В июле 1935 г. было решено наряду с истребительным вариантом дать и штурмовой вариант этой машины. В октябре месяце 1935 г. опытный образец штурмовика прошел государственные испытания. Несмотря на то, что еще нет серийного выпуска штурмовика ДИ</w:t>
      </w:r>
      <w:r w:rsidRPr="00C33834">
        <w:rPr>
          <w:color w:val="000000" w:themeColor="text1"/>
          <w:sz w:val="16"/>
          <w:szCs w:val="16"/>
        </w:rPr>
        <w:noBreakHyphen/>
        <w:t>6 имеются настроения вовсе отказаться от его производства (15405).</w:t>
      </w:r>
    </w:p>
    <w:p w14:paraId="788921A7" w14:textId="77777777" w:rsidR="0047154B" w:rsidRPr="00C33834" w:rsidRDefault="0047154B" w:rsidP="00C33834">
      <w:pPr>
        <w:pStyle w:val="rtejustify"/>
        <w:spacing w:before="0" w:after="0"/>
        <w:rPr>
          <w:color w:val="000000" w:themeColor="text1"/>
          <w:sz w:val="16"/>
          <w:szCs w:val="16"/>
        </w:rPr>
      </w:pPr>
    </w:p>
    <w:p w14:paraId="3FDCFE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года обсуждение вопроса о передаче легкого самолетостроения, а также и экспериментального на 39 завод, привело к тому, что работы в производстве по самолетам РК (разрезное крыло) м СС (стратосферный самолет) были немедленно остановлены (7508, 54-58).</w:t>
      </w:r>
    </w:p>
    <w:p w14:paraId="1C12BD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5F8342B"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года ВВС снова был поставлен вопрос в Правительстве о том, что ход переговоров и закупка моторов для истребителей идет медленным темпом, в результате чего Правительство особым своим решением обязало (см. постановление № 130сс от 15 декабря 1933 года) ГУАП и НКВнешторг форсировать ведение переговоров и закупку моторов и добиться окончания переговоров на поставку моторов и окончания самой поставки последних в конкретные сроки (7439, 14).</w:t>
      </w:r>
    </w:p>
    <w:p w14:paraId="6DF607BF" w14:textId="77777777" w:rsidR="002E2083" w:rsidRPr="00C33834" w:rsidRDefault="002E2083" w:rsidP="00C3383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294181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закончились испытания АИР-7 в НИИ ВВС, которые шли с октября 1933. Потом по нему отрабатывали стрельбу с воздуха (1771,7).</w:t>
      </w:r>
    </w:p>
    <w:p w14:paraId="566CB47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3544D7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w:t>
      </w:r>
      <w:r w:rsidRPr="00C33834">
        <w:rPr>
          <w:rFonts w:ascii="Times New Roman" w:hAnsi="Times New Roman"/>
          <w:color w:val="000000" w:themeColor="text1"/>
          <w:sz w:val="16"/>
          <w:szCs w:val="16"/>
        </w:rPr>
        <w:softHyphen/>
        <w:t>ре 1933 г. в планах опытного строительст</w:t>
      </w:r>
      <w:r w:rsidRPr="00C33834">
        <w:rPr>
          <w:rFonts w:ascii="Times New Roman" w:hAnsi="Times New Roman"/>
          <w:color w:val="000000" w:themeColor="text1"/>
          <w:sz w:val="16"/>
          <w:szCs w:val="16"/>
        </w:rPr>
        <w:softHyphen/>
        <w:t>ва советской авиапро</w:t>
      </w:r>
      <w:r w:rsidRPr="00C33834">
        <w:rPr>
          <w:rFonts w:ascii="Times New Roman" w:hAnsi="Times New Roman"/>
          <w:color w:val="000000" w:themeColor="text1"/>
          <w:sz w:val="16"/>
          <w:szCs w:val="16"/>
        </w:rPr>
        <w:softHyphen/>
        <w:t>мышленности встречается первое упомина</w:t>
      </w:r>
      <w:r w:rsidRPr="00C33834">
        <w:rPr>
          <w:rFonts w:ascii="Times New Roman" w:hAnsi="Times New Roman"/>
          <w:color w:val="000000" w:themeColor="text1"/>
          <w:sz w:val="16"/>
          <w:szCs w:val="16"/>
        </w:rPr>
        <w:softHyphen/>
        <w:t>ние о необходимости создания транс</w:t>
      </w:r>
      <w:r w:rsidRPr="00C33834">
        <w:rPr>
          <w:rFonts w:ascii="Times New Roman" w:hAnsi="Times New Roman"/>
          <w:color w:val="000000" w:themeColor="text1"/>
          <w:sz w:val="16"/>
          <w:szCs w:val="16"/>
        </w:rPr>
        <w:softHyphen/>
        <w:t>портного самолета на основе конструкции бомбардировщика СБ. При этом предполагалось лишь проектирование ново</w:t>
      </w:r>
      <w:r w:rsidRPr="00C33834">
        <w:rPr>
          <w:rFonts w:ascii="Times New Roman" w:hAnsi="Times New Roman"/>
          <w:color w:val="000000" w:themeColor="text1"/>
          <w:sz w:val="16"/>
          <w:szCs w:val="16"/>
        </w:rPr>
        <w:softHyphen/>
        <w:t>го фюзеляжа для раз</w:t>
      </w:r>
      <w:r w:rsidRPr="00C33834">
        <w:rPr>
          <w:rFonts w:ascii="Times New Roman" w:hAnsi="Times New Roman"/>
          <w:color w:val="000000" w:themeColor="text1"/>
          <w:sz w:val="16"/>
          <w:szCs w:val="16"/>
        </w:rPr>
        <w:softHyphen/>
        <w:t>мещения 10-12 пасса</w:t>
      </w:r>
      <w:r w:rsidRPr="00C33834">
        <w:rPr>
          <w:rFonts w:ascii="Times New Roman" w:hAnsi="Times New Roman"/>
          <w:color w:val="000000" w:themeColor="text1"/>
          <w:sz w:val="16"/>
          <w:szCs w:val="16"/>
        </w:rPr>
        <w:softHyphen/>
        <w:t>жиров. Для конструкторского отдела ЦАГИ данная работа не являлась перво</w:t>
      </w:r>
      <w:r w:rsidRPr="00C33834">
        <w:rPr>
          <w:rFonts w:ascii="Times New Roman" w:hAnsi="Times New Roman"/>
          <w:color w:val="000000" w:themeColor="text1"/>
          <w:sz w:val="16"/>
          <w:szCs w:val="16"/>
        </w:rPr>
        <w:softHyphen/>
        <w:t>очередной, поэтому создание машины вполне могло задержаться на неопреде</w:t>
      </w:r>
      <w:r w:rsidRPr="00C33834">
        <w:rPr>
          <w:rFonts w:ascii="Times New Roman" w:hAnsi="Times New Roman"/>
          <w:color w:val="000000" w:themeColor="text1"/>
          <w:sz w:val="16"/>
          <w:szCs w:val="16"/>
        </w:rPr>
        <w:softHyphen/>
        <w:t>ленное время (10698).</w:t>
      </w:r>
    </w:p>
    <w:p w14:paraId="742BA67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CD2A3D" w14:textId="77777777" w:rsidR="00AA5D8E" w:rsidRPr="00C33834" w:rsidRDefault="00AA5D8E" w:rsidP="00C33834">
      <w:pPr>
        <w:pStyle w:val="27"/>
        <w:shd w:val="clear" w:color="auto" w:fill="auto"/>
        <w:spacing w:after="0" w:line="240" w:lineRule="auto"/>
        <w:ind w:firstLine="0"/>
        <w:rPr>
          <w:rFonts w:ascii="Times New Roman" w:cs="Times New Roman"/>
          <w:color w:val="0070C0"/>
          <w:spacing w:val="0"/>
        </w:rPr>
      </w:pPr>
      <w:r w:rsidRPr="00C33834">
        <w:rPr>
          <w:rFonts w:ascii="Times New Roman" w:cs="Times New Roman"/>
          <w:color w:val="0070C0"/>
          <w:spacing w:val="0"/>
        </w:rPr>
        <w:t>В декабре 1933 г. в плане опытного строительства советской авиапромышленности появилось упоминание о необходимости разработки транспортного самолета на основе скоростного бомбардировщика СБ. При этом предпо</w:t>
      </w:r>
      <w:r w:rsidRPr="00C33834">
        <w:rPr>
          <w:rFonts w:ascii="Times New Roman" w:cs="Times New Roman"/>
          <w:color w:val="0070C0"/>
          <w:spacing w:val="0"/>
        </w:rPr>
        <w:softHyphen/>
        <w:t>лагалось спроектировать новый фюзеляж, способный вместить 10-12 пассажиров, а крыло, оперение и остальные агрегаты со</w:t>
      </w:r>
      <w:r w:rsidRPr="00C33834">
        <w:rPr>
          <w:rFonts w:ascii="Times New Roman" w:cs="Times New Roman"/>
          <w:color w:val="0070C0"/>
          <w:spacing w:val="0"/>
        </w:rPr>
        <w:softHyphen/>
        <w:t>хранить. Для конструкторского отдела ЦАГИ данная работа не являлась первоочередной, поэтому создание машины могло задержаться на неопределенное время. Однако его ускорил конкурс на современный пассажирский самолет, объявленный в мае 1934 г. инженерным обществом «Авиавнито» и редакцией газеты «За рулем». Согласно объявленным условиям, новый лайнер должен был перевозить 5-12 пассажиров с багажом, развивать скорость 420-450 км/ч, обладать дальностью полета 1250-1500 км и потолком 7500 м.</w:t>
      </w:r>
    </w:p>
    <w:p w14:paraId="0DDA306B" w14:textId="77777777" w:rsidR="00AA5D8E" w:rsidRPr="00C33834" w:rsidRDefault="00AA5D8E" w:rsidP="00C33834">
      <w:pPr>
        <w:pStyle w:val="27"/>
        <w:shd w:val="clear" w:color="auto" w:fill="auto"/>
        <w:spacing w:after="0" w:line="240" w:lineRule="auto"/>
        <w:ind w:firstLine="0"/>
        <w:rPr>
          <w:rFonts w:ascii="Times New Roman" w:cs="Times New Roman"/>
          <w:color w:val="0070C0"/>
          <w:spacing w:val="0"/>
        </w:rPr>
      </w:pPr>
      <w:r w:rsidRPr="00C33834">
        <w:rPr>
          <w:rFonts w:ascii="Times New Roman" w:cs="Times New Roman"/>
          <w:color w:val="0070C0"/>
          <w:spacing w:val="0"/>
        </w:rPr>
        <w:t>До установленного срока (1 мая 1935г.) жюри конкурса рас</w:t>
      </w:r>
      <w:r w:rsidRPr="00C33834">
        <w:rPr>
          <w:rFonts w:ascii="Times New Roman" w:cs="Times New Roman"/>
          <w:color w:val="0070C0"/>
          <w:spacing w:val="0"/>
        </w:rPr>
        <w:softHyphen/>
        <w:t>смотрело несколько десятков проектов различных авторов и коллективов, представивших в основном двухмоторные моно</w:t>
      </w:r>
      <w:r w:rsidRPr="00C33834">
        <w:rPr>
          <w:rFonts w:ascii="Times New Roman" w:cs="Times New Roman"/>
          <w:color w:val="0070C0"/>
          <w:spacing w:val="0"/>
        </w:rPr>
        <w:softHyphen/>
        <w:t>планы с совершенной аэродинамикой. Хотя ни один из этих проектов на практике в СССР не реализовали, сам конкурс в значительной степени повысил интерес к скоростным самоле</w:t>
      </w:r>
      <w:r w:rsidRPr="00C33834">
        <w:rPr>
          <w:rFonts w:ascii="Times New Roman" w:cs="Times New Roman"/>
          <w:color w:val="0070C0"/>
          <w:spacing w:val="0"/>
        </w:rPr>
        <w:softHyphen/>
        <w:t>там гражданского назначения. Не удивительно, что именно в этот период работы по созданию пассажирского самолета ЦАГИ, получившего обозначение АНТ-35, активизировались (19855).</w:t>
      </w:r>
    </w:p>
    <w:p w14:paraId="06802C93" w14:textId="77777777" w:rsidR="00AA5D8E" w:rsidRPr="00C33834" w:rsidRDefault="00AA5D8E" w:rsidP="00C33834">
      <w:pPr>
        <w:spacing w:after="0" w:line="240" w:lineRule="auto"/>
        <w:jc w:val="both"/>
        <w:rPr>
          <w:rFonts w:ascii="Times New Roman" w:hAnsi="Times New Roman"/>
          <w:color w:val="0070C0"/>
          <w:sz w:val="16"/>
          <w:szCs w:val="16"/>
        </w:rPr>
      </w:pPr>
    </w:p>
    <w:p w14:paraId="499E08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Начальник ВВС Алкснис утвердил:</w:t>
      </w:r>
    </w:p>
    <w:p w14:paraId="4EC5B8E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Временные ТУ на поставку самолетов ТБ3-4М34Р постройки первой половины 1934 года.</w:t>
      </w:r>
    </w:p>
    <w:p w14:paraId="12537AD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Временные ТУ на поставку самолетов Р6-2М17 постройки первой половины 1934 года.</w:t>
      </w:r>
    </w:p>
    <w:p w14:paraId="279C6C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ТУ на поставку самолетов Р5-М17 постройки первой половины 1934 года.</w:t>
      </w:r>
    </w:p>
    <w:p w14:paraId="37063D5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ТУ на поставку самолетов Р5-М17 (штурмовиков) постройки первой половины 1934 года.</w:t>
      </w:r>
    </w:p>
    <w:p w14:paraId="056B7EF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ТУ на поставку самолетов И5-М22 постройки первой половины 1934 года.</w:t>
      </w:r>
    </w:p>
    <w:p w14:paraId="07F337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ТУ на поставку самолетов У2 постройки первой половины 1934 года.</w:t>
      </w:r>
    </w:p>
    <w:p w14:paraId="189B8A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ТУ на поставку гидросамолетов-амфибия А.1.С мотором М11 постройки 1934 года.</w:t>
      </w:r>
    </w:p>
    <w:p w14:paraId="22290B0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Временные ТУ на поставку гидросамолетов Р5а М-17 Е; 7,3 постройки 1934 года.</w:t>
      </w:r>
    </w:p>
    <w:p w14:paraId="1B97FD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ТУ на поставку МБР-2 М-17 Е=7,3 3 производства начала 1934 года (3100).</w:t>
      </w:r>
    </w:p>
    <w:p w14:paraId="30D5C32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3ADBB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декабре 1933 зам. нач. бригады 5 ЦКБ Г.М.Бериева П.Д.Самсонову удалось пока Г.М.Б. был в длительной командировке в Севастополе, где испытывался МБР-2, получить задание на разработку летающей лодки-амфибии МБР-5 - МБР-4 была Савойя (2555,69).</w:t>
      </w:r>
    </w:p>
    <w:p w14:paraId="0B0911F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60205D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П.Д.Самсонов получил задание на МБР-5 (2555,69).</w:t>
      </w:r>
    </w:p>
    <w:p w14:paraId="46A616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CC4302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г. ГУ ГВФ договорилась отдать итальянские летающие лодки Савойя С.55 военным, получив взамен такое же количество машин другого типа (5486,4).</w:t>
      </w:r>
    </w:p>
    <w:p w14:paraId="3D77FE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E3FB181" w14:textId="77777777" w:rsidR="00813435" w:rsidRPr="00C33834" w:rsidRDefault="008134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декабре 1933 г. на автожире А-6 вылетел са</w:t>
      </w:r>
      <w:r w:rsidRPr="00C33834">
        <w:rPr>
          <w:rFonts w:ascii="Times New Roman" w:hAnsi="Times New Roman"/>
          <w:color w:val="0070C0"/>
          <w:sz w:val="16"/>
          <w:szCs w:val="16"/>
        </w:rPr>
        <w:softHyphen/>
        <w:t>мостоятельно летчик Благин.</w:t>
      </w:r>
    </w:p>
    <w:p w14:paraId="4C899A33" w14:textId="77777777" w:rsidR="00813435" w:rsidRPr="00C33834" w:rsidRDefault="008134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ходе испытаний А-6 впервые пришлось столкнуться с явлением «земного резонанса» - самовозбуждающихся колебаний лопастей ротора в плоскости его вращения. Причина возникновения таких автоколебаний была изуче</w:t>
      </w:r>
      <w:r w:rsidRPr="00C33834">
        <w:rPr>
          <w:rFonts w:ascii="Times New Roman" w:hAnsi="Times New Roman"/>
          <w:color w:val="0070C0"/>
          <w:sz w:val="16"/>
          <w:szCs w:val="16"/>
        </w:rPr>
        <w:softHyphen/>
        <w:t>на, ее устранили путем изменения характеристик упруго</w:t>
      </w:r>
      <w:r w:rsidRPr="00C33834">
        <w:rPr>
          <w:rFonts w:ascii="Times New Roman" w:hAnsi="Times New Roman"/>
          <w:color w:val="0070C0"/>
          <w:sz w:val="16"/>
          <w:szCs w:val="16"/>
        </w:rPr>
        <w:softHyphen/>
        <w:t>сти в шарнирной заделке лопастей несущего ротора.</w:t>
      </w:r>
    </w:p>
    <w:p w14:paraId="55ED656D" w14:textId="77777777" w:rsidR="00813435" w:rsidRPr="00C33834" w:rsidRDefault="008134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Заводские испытания А-6 закончились в начале декаб</w:t>
      </w:r>
      <w:r w:rsidRPr="00C33834">
        <w:rPr>
          <w:rFonts w:ascii="Times New Roman" w:hAnsi="Times New Roman"/>
          <w:color w:val="0070C0"/>
          <w:sz w:val="16"/>
          <w:szCs w:val="16"/>
        </w:rPr>
        <w:softHyphen/>
        <w:t>ря 1933 г., после чего 22 декабря машину передали воен</w:t>
      </w:r>
      <w:r w:rsidRPr="00C33834">
        <w:rPr>
          <w:rFonts w:ascii="Times New Roman" w:hAnsi="Times New Roman"/>
          <w:color w:val="0070C0"/>
          <w:sz w:val="16"/>
          <w:szCs w:val="16"/>
        </w:rPr>
        <w:softHyphen/>
        <w:t>ным испытателям для продолжения тестирования. Со</w:t>
      </w:r>
      <w:r w:rsidRPr="00C33834">
        <w:rPr>
          <w:rFonts w:ascii="Times New Roman" w:hAnsi="Times New Roman"/>
          <w:color w:val="0070C0"/>
          <w:sz w:val="16"/>
          <w:szCs w:val="16"/>
        </w:rPr>
        <w:softHyphen/>
        <w:t>гласно данным А.М. Изаксона, 5 (или 6) января 1934 г. при испытании А-6 в НИИ ВВС при резком выходе из пикиро</w:t>
      </w:r>
      <w:r w:rsidRPr="00C33834">
        <w:rPr>
          <w:rFonts w:ascii="Times New Roman" w:hAnsi="Times New Roman"/>
          <w:color w:val="0070C0"/>
          <w:sz w:val="16"/>
          <w:szCs w:val="16"/>
        </w:rPr>
        <w:softHyphen/>
        <w:t>вания сложились лопасти ротора и произошла катастро</w:t>
      </w:r>
      <w:r w:rsidRPr="00C33834">
        <w:rPr>
          <w:rFonts w:ascii="Times New Roman" w:hAnsi="Times New Roman"/>
          <w:color w:val="0070C0"/>
          <w:sz w:val="16"/>
          <w:szCs w:val="16"/>
        </w:rPr>
        <w:softHyphen/>
        <w:t>фа.</w:t>
      </w:r>
    </w:p>
    <w:p w14:paraId="0F58EAB5" w14:textId="77777777" w:rsidR="00813435" w:rsidRPr="00C33834" w:rsidRDefault="008134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Данные и характеристики А-6</w:t>
      </w:r>
    </w:p>
    <w:p w14:paraId="6130C8A4" w14:textId="77777777" w:rsidR="00813435" w:rsidRPr="00C33834" w:rsidRDefault="008134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fldChar w:fldCharType="begin"/>
      </w:r>
      <w:r w:rsidRPr="00C33834">
        <w:rPr>
          <w:rFonts w:ascii="Times New Roman" w:hAnsi="Times New Roman"/>
          <w:color w:val="0070C0"/>
          <w:sz w:val="16"/>
          <w:szCs w:val="16"/>
        </w:rPr>
        <w:instrText xml:space="preserve"> TOC \o "1-5" \h \z </w:instrText>
      </w:r>
      <w:r w:rsidRPr="00C33834">
        <w:rPr>
          <w:rFonts w:ascii="Times New Roman" w:hAnsi="Times New Roman"/>
          <w:color w:val="0070C0"/>
          <w:sz w:val="16"/>
          <w:szCs w:val="16"/>
        </w:rPr>
        <w:fldChar w:fldCharType="separate"/>
      </w:r>
      <w:r w:rsidRPr="00C33834">
        <w:rPr>
          <w:rFonts w:ascii="Times New Roman" w:hAnsi="Times New Roman"/>
          <w:color w:val="0070C0"/>
          <w:sz w:val="16"/>
          <w:szCs w:val="16"/>
        </w:rPr>
        <w:t>Диаметр ротора (м)</w:t>
      </w:r>
      <w:r w:rsidRPr="00C33834">
        <w:rPr>
          <w:rFonts w:ascii="Times New Roman" w:hAnsi="Times New Roman"/>
          <w:color w:val="0070C0"/>
          <w:sz w:val="16"/>
          <w:szCs w:val="16"/>
        </w:rPr>
        <w:tab/>
        <w:t>11,0</w:t>
      </w:r>
    </w:p>
    <w:p w14:paraId="278E1FD6" w14:textId="77777777" w:rsidR="00813435" w:rsidRPr="00C33834" w:rsidRDefault="008134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Длина без ротора (м)</w:t>
      </w:r>
      <w:r w:rsidRPr="00C33834">
        <w:rPr>
          <w:rFonts w:ascii="Times New Roman" w:hAnsi="Times New Roman"/>
          <w:color w:val="0070C0"/>
          <w:sz w:val="16"/>
          <w:szCs w:val="16"/>
        </w:rPr>
        <w:tab/>
        <w:t>6,17</w:t>
      </w:r>
    </w:p>
    <w:p w14:paraId="12680992" w14:textId="77777777" w:rsidR="00813435" w:rsidRPr="00C33834" w:rsidRDefault="008134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Высота в линии полета</w:t>
      </w:r>
      <w:r w:rsidRPr="00C33834">
        <w:rPr>
          <w:rFonts w:ascii="Times New Roman" w:hAnsi="Times New Roman"/>
          <w:color w:val="0070C0"/>
          <w:sz w:val="16"/>
          <w:szCs w:val="16"/>
        </w:rPr>
        <w:tab/>
        <w:t>(м)</w:t>
      </w:r>
      <w:r w:rsidRPr="00C33834">
        <w:rPr>
          <w:rFonts w:ascii="Times New Roman" w:hAnsi="Times New Roman"/>
          <w:color w:val="0070C0"/>
          <w:sz w:val="16"/>
          <w:szCs w:val="16"/>
        </w:rPr>
        <w:tab/>
        <w:t>3,0</w:t>
      </w:r>
    </w:p>
    <w:p w14:paraId="3C43DBB0" w14:textId="77777777" w:rsidR="00813435" w:rsidRPr="00C33834" w:rsidRDefault="008134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Размах крыла (м)</w:t>
      </w:r>
      <w:r w:rsidRPr="00C33834">
        <w:rPr>
          <w:rFonts w:ascii="Times New Roman" w:hAnsi="Times New Roman"/>
          <w:color w:val="0070C0"/>
          <w:sz w:val="16"/>
          <w:szCs w:val="16"/>
        </w:rPr>
        <w:tab/>
        <w:t>6,6</w:t>
      </w:r>
    </w:p>
    <w:p w14:paraId="124FCAE1" w14:textId="77777777" w:rsidR="00813435" w:rsidRPr="00C33834" w:rsidRDefault="008134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Вес пустого (кг)</w:t>
      </w:r>
      <w:r w:rsidRPr="00C33834">
        <w:rPr>
          <w:rFonts w:ascii="Times New Roman" w:hAnsi="Times New Roman"/>
          <w:color w:val="0070C0"/>
          <w:sz w:val="16"/>
          <w:szCs w:val="16"/>
        </w:rPr>
        <w:tab/>
        <w:t>562</w:t>
      </w:r>
    </w:p>
    <w:p w14:paraId="1A26C859" w14:textId="77777777" w:rsidR="00813435" w:rsidRPr="00C33834" w:rsidRDefault="008134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Полетный вес (кг)</w:t>
      </w:r>
      <w:r w:rsidRPr="00C33834">
        <w:rPr>
          <w:rFonts w:ascii="Times New Roman" w:hAnsi="Times New Roman"/>
          <w:color w:val="0070C0"/>
          <w:sz w:val="16"/>
          <w:szCs w:val="16"/>
        </w:rPr>
        <w:tab/>
        <w:t>815</w:t>
      </w:r>
    </w:p>
    <w:p w14:paraId="5CE0B10F" w14:textId="77777777" w:rsidR="00813435" w:rsidRPr="00C33834" w:rsidRDefault="008134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Скорость максимальная</w:t>
      </w:r>
      <w:r w:rsidRPr="00C33834">
        <w:rPr>
          <w:rFonts w:ascii="Times New Roman" w:hAnsi="Times New Roman"/>
          <w:color w:val="0070C0"/>
          <w:sz w:val="16"/>
          <w:szCs w:val="16"/>
        </w:rPr>
        <w:tab/>
        <w:t>у земли (км/ч)</w:t>
      </w:r>
      <w:r w:rsidRPr="00C33834">
        <w:rPr>
          <w:rFonts w:ascii="Times New Roman" w:hAnsi="Times New Roman"/>
          <w:color w:val="0070C0"/>
          <w:sz w:val="16"/>
          <w:szCs w:val="16"/>
        </w:rPr>
        <w:tab/>
        <w:t>135</w:t>
      </w:r>
    </w:p>
    <w:p w14:paraId="32F5652A" w14:textId="77777777" w:rsidR="00813435" w:rsidRPr="00C33834" w:rsidRDefault="008134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Скорость минимальная</w:t>
      </w:r>
      <w:r w:rsidRPr="00C33834">
        <w:rPr>
          <w:rFonts w:ascii="Times New Roman" w:hAnsi="Times New Roman"/>
          <w:color w:val="0070C0"/>
          <w:sz w:val="16"/>
          <w:szCs w:val="16"/>
        </w:rPr>
        <w:tab/>
        <w:t>у земли (км/ч)</w:t>
      </w:r>
      <w:r w:rsidRPr="00C33834">
        <w:rPr>
          <w:rFonts w:ascii="Times New Roman" w:hAnsi="Times New Roman"/>
          <w:color w:val="0070C0"/>
          <w:sz w:val="16"/>
          <w:szCs w:val="16"/>
        </w:rPr>
        <w:tab/>
        <w:t>55</w:t>
      </w:r>
    </w:p>
    <w:p w14:paraId="0B36D880" w14:textId="77777777" w:rsidR="00813435" w:rsidRPr="00C33834" w:rsidRDefault="008134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Потолок (м)</w:t>
      </w:r>
      <w:r w:rsidRPr="00C33834">
        <w:rPr>
          <w:rFonts w:ascii="Times New Roman" w:hAnsi="Times New Roman"/>
          <w:color w:val="0070C0"/>
          <w:sz w:val="16"/>
          <w:szCs w:val="16"/>
        </w:rPr>
        <w:tab/>
        <w:t>1600</w:t>
      </w:r>
    </w:p>
    <w:p w14:paraId="521C4A9D" w14:textId="77777777" w:rsidR="00813435" w:rsidRPr="00C33834" w:rsidRDefault="008134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Дальность полета (км)</w:t>
      </w:r>
      <w:r w:rsidRPr="00C33834">
        <w:rPr>
          <w:rFonts w:ascii="Times New Roman" w:hAnsi="Times New Roman"/>
          <w:color w:val="0070C0"/>
          <w:sz w:val="16"/>
          <w:szCs w:val="16"/>
        </w:rPr>
        <w:tab/>
        <w:t>220</w:t>
      </w:r>
    </w:p>
    <w:p w14:paraId="22675802" w14:textId="77777777" w:rsidR="00813435" w:rsidRPr="00C33834" w:rsidRDefault="008134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Длина разбега (м)</w:t>
      </w:r>
      <w:r w:rsidRPr="00C33834">
        <w:rPr>
          <w:rFonts w:ascii="Times New Roman" w:hAnsi="Times New Roman"/>
          <w:color w:val="0070C0"/>
          <w:sz w:val="16"/>
          <w:szCs w:val="16"/>
        </w:rPr>
        <w:tab/>
        <w:t>65</w:t>
      </w:r>
      <w:r w:rsidRPr="00C33834">
        <w:rPr>
          <w:rFonts w:ascii="Times New Roman" w:hAnsi="Times New Roman"/>
          <w:color w:val="0070C0"/>
          <w:sz w:val="16"/>
          <w:szCs w:val="16"/>
        </w:rPr>
        <w:fldChar w:fldCharType="end"/>
      </w:r>
      <w:r w:rsidRPr="00C33834">
        <w:rPr>
          <w:rFonts w:ascii="Times New Roman" w:hAnsi="Times New Roman"/>
          <w:color w:val="0070C0"/>
          <w:sz w:val="16"/>
          <w:szCs w:val="16"/>
        </w:rPr>
        <w:t xml:space="preserve"> (20361).</w:t>
      </w:r>
    </w:p>
    <w:p w14:paraId="71A7F893" w14:textId="77777777" w:rsidR="00813435" w:rsidRPr="00C33834" w:rsidRDefault="00813435" w:rsidP="00C33834">
      <w:pPr>
        <w:shd w:val="clear" w:color="auto" w:fill="FFFFFF"/>
        <w:spacing w:after="0" w:line="240" w:lineRule="auto"/>
        <w:jc w:val="both"/>
        <w:rPr>
          <w:rFonts w:ascii="Times New Roman" w:hAnsi="Times New Roman"/>
          <w:color w:val="0070C0"/>
          <w:sz w:val="16"/>
          <w:szCs w:val="16"/>
        </w:rPr>
      </w:pPr>
    </w:p>
    <w:p w14:paraId="3F6DD5B8"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года по инициативе НИИ ВВС и Военно-Воздушной академии в Москве состоялась техническая конференция, рассмотревшая проблемы, связанные с конструкцией и эксплуатацией авиационных двигателей.</w:t>
      </w:r>
    </w:p>
    <w:p w14:paraId="73ACD3E6"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представленных докладах отмечалась, что современное моторостроение пока не позволяет безоговорочно отдать предпочтение одному из имевшихся типов систем охлаждения авиадвигателей.</w:t>
      </w:r>
    </w:p>
    <w:p w14:paraId="484A1983"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Дело заключалось в том, что при мощностях двигателей до 400 л.с. воздушное охлаждение в те годы полностью вытеснило жидкостное, тогда как в диапазоне мощностей 450-650 л.с. эти системы имели примерно одинаковое распространение. В двигателях с большей мощностью уже безраздельно господствовали жидкостные системы.</w:t>
      </w:r>
    </w:p>
    <w:p w14:paraId="5DC19346"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Докладчики подчеркивали, что сложность выбора системы охлаждения и, как следствие, самого двигателя, связана с необходимостью ее оценки по совокупности требований, предъявляемых к данному типу самолета и установленному на нем двигателю.</w:t>
      </w:r>
    </w:p>
    <w:p w14:paraId="663BD8B7"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частности, при сравнительной оценки систем охлаждения, они должны рассматриваться и сравниваться с нескольких позиций.</w:t>
      </w:r>
    </w:p>
    <w:p w14:paraId="20F5E117"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Во-первых, с точки зрения интенсивности и равномерности охлаждения двигателя и вытекающих отсюда возможностей его дальнейшего форсирования.</w:t>
      </w:r>
    </w:p>
    <w:p w14:paraId="13C8E575"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Во-вторых, с точки зрения аэродинамического сопротивления и массы силовой установки.</w:t>
      </w:r>
    </w:p>
    <w:p w14:paraId="1D177287"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В-третьих, следует учитывать эксплуатационные возможности элементов, входящих в конструкцию этих систем и, наконец, необходимо принять во внимание условия, налагаемые системами охлаждения на конструкцию самого двигателя и самолета в целом.</w:t>
      </w:r>
    </w:p>
    <w:p w14:paraId="2791614A"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Количество отводимого от двигателя тепла определяется максимальным температурным режимом, в котором работают детали двигателя. В свою очередь, допустимые температуры деталей зависят от термостойкости их материалов. Кроме того, температура деталей, соприкасающихся с внутренней полостью цилиндра, оказывает влияние на рабочий процесс двигателя и, в первую очередь, на детонацию, ограничивая повышение наддува, степень сжатия при заданной марке топлива.</w:t>
      </w:r>
    </w:p>
    <w:p w14:paraId="0F4E08DC"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Особо отмечалось, что надежно работающие двигатели воздушного охлаждения, обладая меньшей массой по сравнению с двигателями водяного охлаждения, во многих случаях имеют более высокие эксплуатационные и технические характеристики.</w:t>
      </w:r>
    </w:p>
    <w:p w14:paraId="3FB6A382"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Этот вывод подтверждался все нарастающим выпуском подобных двигателей за рубежом и быстрым возрастанием их мощности.</w:t>
      </w:r>
    </w:p>
    <w:p w14:paraId="5CAB85EC"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Конференция констатировала явное  отставание нашей моторной промышленности и научно-исследовательских организаций в этой области и призвала сконцентрировать внимание на создании мощных двигателей с воздушным охлаждением.</w:t>
      </w:r>
    </w:p>
    <w:p w14:paraId="3B3D8474"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Наряду с этим отмечалось, что эксплуатационные и технические характеристики двигателей с жидкостным охлаждением, имевших гораздо большую мощность и меньший мидель, могли бы быть значительно улучшены при использовании новых специальных типов охлаждения, недавно появившихся за рубежом.</w:t>
      </w:r>
    </w:p>
    <w:p w14:paraId="420F2830"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Отвод тепла в окружающую среду с двигателей водяного охлаждения связан с необходимостью размещения на самолете радиаторов - устройств для теплообмена с подводом к ним достаточного количества атмосферного воздуха. Это приводит к увеличению массы и аэродинамического сопротивления силовой установки и, естественно, всего самолета в целом.</w:t>
      </w:r>
    </w:p>
    <w:p w14:paraId="5A858F4E"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увеличением скоростей полета радиатор становится серьезной помехой. Поэтому совершенствование систем охлаждения двигателей оказывается в центре внимания конструкторов мирового авиа- и моторостроения.</w:t>
      </w:r>
    </w:p>
    <w:p w14:paraId="50D78352"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Исследовательские работы и многочисленные испытания, проведенные в Европе и Америке, привели к новым инженерным решениям.</w:t>
      </w:r>
    </w:p>
    <w:p w14:paraId="76D5AE69"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Были разработаны новые варианты системы жидкостного охлаждения с использованием вместо воды высококипящих жидкостей и пароводяной суспензии.</w:t>
      </w:r>
    </w:p>
    <w:p w14:paraId="7E90F93D"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Применение для охлаждения двигателей систем такого типа давало возможность сохранить достоинства водяного охлаждения в части отсутствия местных перегревов и хорошего контроля теплового состояния двигателя, снизив одновременно сопротивление и массу силовой установки.</w:t>
      </w:r>
    </w:p>
    <w:p w14:paraId="1AB6862F"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Известно, что количество тепла, отдаваемого единицей площади поверхности радиатора, пропорционально разности температур радиатора и охлаждающего воздуха.</w:t>
      </w:r>
    </w:p>
    <w:p w14:paraId="674677A3"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Повышая температуру радиатора можно сократить его поверхность и тем самым уменьшить массу и потери на воздушное сопротивление.</w:t>
      </w:r>
    </w:p>
    <w:p w14:paraId="15689BC2"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этой целью для охлаждения двигателей применили жидкости, кипящие при более высокой температуре, чем вода.  Наиболее подходящим для этой цели оказался этиленгликоль. Бесцветная и очень гигроскопичная жидкость, на практике содержащая 8% воды, имела точку кипения 150°С и замерзала при минус 28°С.</w:t>
      </w:r>
    </w:p>
    <w:p w14:paraId="692C1866"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Основным преимуществом этиленгликолевого охлаждения стала возможность значительного повышения температуры жидкости в радиаторе до 120-130°С. Такая температура позволяла сократить габариты радиатора и его воздушное сопротивление на 50% по сравнению с водяным охлаждением. Скорость полета при этом увеличивалась на 2-4%.</w:t>
      </w:r>
    </w:p>
    <w:p w14:paraId="5BB0E05D"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Выявились и отрицательные стороны этой системы охлаждения. Металлы, соприкасавшиеся с этленгликолем, сильно коррозировали. Он легко просачивался через мельчайшие неплотности и разъедал дюрит. Повышенная температура в системе приводила к термическому перенапряжению двигателя, что снижала его мощность на 5-6%.</w:t>
      </w:r>
    </w:p>
    <w:p w14:paraId="2B9C2B6D"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Еще одним вариантом жидкостной системы стало пароводяное (испарительное) охлаждение, в котором основным источником отвода тепла от двигателя стало парообразование.</w:t>
      </w:r>
    </w:p>
    <w:p w14:paraId="213AADB2"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Вода в рубашках цилиндров доводилась до кипения и образовывала с паром пароводяную суспензию с температурой 100°С, которая поступала в сепаратор. Там пар отделялся от воды и направлялся в крыльевой радиатор (в данном случае - конденсатор).</w:t>
      </w:r>
    </w:p>
    <w:p w14:paraId="632648DF"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конденсаторе пар, охлаждаясь потоком воздуха, превращался в воду и насосом двигателя возвращался в рубашку для повторного цикла.</w:t>
      </w:r>
    </w:p>
    <w:p w14:paraId="4EC69097"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Конденсатор, выполненный в виде двойной обшивки крыла, имел нулевое аэродинамическое сопротивление. Благодаря своей упругости, пар осуществлял в открытом (то есть сообщающимся с атмосферой) конденсаторе автоматическую регулировку охлаждения.</w:t>
      </w:r>
    </w:p>
    <w:p w14:paraId="32A5DB2E"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переводе двигателя на полный газ или при ухудшении обдува объем пара увеличивался и паровая подушка в конденсаторе, расширяясь, вытесняла воздух.</w:t>
      </w:r>
    </w:p>
    <w:p w14:paraId="1FD643E3"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уменьшении нагрузки объем пара уменьшался. Его место занимал воздух, выключая ставшую ненужной часть конденсатора.</w:t>
      </w:r>
    </w:p>
    <w:p w14:paraId="79F71C93"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Испарительные системы охлаждения требовали значительно меньшего запаса воды и обеспечивали увеличение скорости полета до 8% при существенном уменьшении массы охлаждающей установки.</w:t>
      </w:r>
    </w:p>
    <w:p w14:paraId="18102DB0"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Небольшие объемы пара и конденсата, находившиеся в системе и имевшие более низкое по сравнению с атмосферным давление, дали повод для распространенного в то время мнения, что при повреждении конденсатора пар не будет выходить из возможных пробоин или будет выходить в очень небольшом количестве.</w:t>
      </w:r>
    </w:p>
    <w:p w14:paraId="3FB57D33"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Дальнейшие испытания не оправдали этих надежд. Поэтому в Англии, на родине испарительного охлаждения, к концу 30-х годов резко сократилось число самолетов, оборудованных этой системой.</w:t>
      </w:r>
    </w:p>
    <w:p w14:paraId="3090D336"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заключительной резолюции конференции было записано:</w:t>
      </w:r>
    </w:p>
    <w:p w14:paraId="3F03959C"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"...моторы водяного охлаждения, вытесняемые из области мощностей, переходят в область еще больших мощностей и не надо надеяться, что в ближайшие три года появятся новые моторы с мощностью до1500 л.с.</w:t>
      </w:r>
    </w:p>
    <w:p w14:paraId="078F5718"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Конкуренция заставляет совершенствовать эти моторы. Сейчас нужно вести работы по гликолевому и испарительному охлаждению, по созданию новых конструкций, не уступающим западным образцам" (15554).</w:t>
      </w:r>
    </w:p>
    <w:p w14:paraId="210CE9E5" w14:textId="77777777" w:rsidR="0047154B" w:rsidRPr="00C33834" w:rsidRDefault="0047154B" w:rsidP="00C33834">
      <w:pPr>
        <w:spacing w:after="0" w:line="240" w:lineRule="auto"/>
        <w:jc w:val="both"/>
        <w:rPr>
          <w:rFonts w:ascii="Times New Roman" w:hAnsi="Times New Roman"/>
          <w:color w:val="000000" w:themeColor="text1"/>
          <w:sz w:val="16"/>
          <w:szCs w:val="16"/>
        </w:rPr>
      </w:pPr>
    </w:p>
    <w:p w14:paraId="0775B62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года Базилевич писал письмо № 2075/ко в НКВТ Боеву, ГУАП Королеву</w:t>
      </w:r>
    </w:p>
    <w:p w14:paraId="49DAE1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Сообщаю для исполнения резолюцию на Вашем докладе от 23 декабря 1933 года за № 1008/1651 о покупке дюймовых или метрических моторов у фирмы "Кертис-Райт": "Считаю нужным остаться при прежнем решении. Молотов. Ворошилов. Сталин. Орджоникидзе" (4170, 28).</w:t>
      </w:r>
    </w:p>
    <w:p w14:paraId="6CFE16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AC075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был создан прообраз ОКБ-16 Я.Г.Таубина (263,3) - КБ Я.Г.Таубина (КБТ), которое стало ОКБ-16 с 1937 (263,17). Я.Г.Таубин был направлен Главным военно-мобилизационным управлением Наркомтяжпрома (ГВМУ НКТП) на небольшой инструментальный завод. Работа началась весной 1934 (263,17). В том же году в Туле было создано и ОКБ-15 Б.Г.Шпитального - конкурент ОКБ-16 в области авиационного вооружения (263,6), но в рамках Наркомата вооружения (263,18).</w:t>
      </w:r>
    </w:p>
    <w:p w14:paraId="74741E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5D62190" w14:textId="77777777" w:rsidR="00247A10" w:rsidRPr="00C33834" w:rsidRDefault="00247A10" w:rsidP="00C33834">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декабре 1933 г. было организовано Конструкторское бюро под руководством Я. Г. Таубина (КБТ, позднее ОКБ-16) и начало работу весной 1934 г. Оно располагалось в Москве по адресу ул. Большая Полянка, д. 22 и имело небольшое производство на территории Московского инструментального завода. Первой разработкой КБТ стал 40,8-мм автоматический гранатомёт Таубина-Бабурина АГ-ТБ. Несмотря на закрытие работы над гранатомётом, её в целом положительные результаты не остались незамеченными руководством страны. Поэтому, когда в начале 1938 г. был разработан новый 23-мм патрон с высокой начальной скоростью снаряда (900 м/с), разработку авиационной автоматической пушки под него поручили ОКБ-16. Параллельно такая же задача была поставлена ЦКБ-14 (г. Тула). В ОКБ-16 работу над 23-мм автоматической пушкой возглавил ведущий конструктор М. Н. Бабурин, в его группу вошли А. Э. Нудельман, А. С. Суранов, В. Л. Таубкин, П. И. Грибков и др. Общее руководство работами осуществлял Я. Г. Таубин.</w:t>
      </w:r>
    </w:p>
    <w:p w14:paraId="22D24DC8" w14:textId="77777777" w:rsidR="00247A10" w:rsidRPr="00C33834" w:rsidRDefault="00247A10" w:rsidP="00C33834">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Поскольку ОКБ-16 к тому времени имело серьёзный задел по автоматическому гранатомёту, то его конструкция легла в основу разрабатываемой пушки, что помогло спроектировать её достаточно быстро. Автоматика пушки Таубина, получившая заводское обозначение МП-3 (МП — мотор-пушка, т.е. предназначенная для установки в развале цилиндров двигателя водяного охлаждения) работала по принципу отдачи ствола при его длинном ходе. Питание патронами осуществлялось из механизированного магазина вместимостью 81 патрон. Патроны снаряжались в 9 обойм по 9 патронов в каждой, которые, по мере расходования, заменялись новыми с помощью специального привода.</w:t>
      </w:r>
    </w:p>
    <w:p w14:paraId="78FEBB88" w14:textId="77777777" w:rsidR="00247A10" w:rsidRPr="00C33834" w:rsidRDefault="00247A10" w:rsidP="00C33834">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Одной из характерных особенностей схемы автоматики с длинным ходом ствола является низкий темп стрельбы — около 300 выстр./мин. Весной 1940 г. пушка МП-3 прошла государственные испытания, но ВВС требовали темпа 600 выстр./мин. Для его достижения в конструкцию пушки ввели рычажный ускорительный механизм, что позволило поднять темп до 500–550 выстр./мин, а потом, за счёт увеличения жёсткости возвратных пружин, довести его до 600–610 выстр./мин. Усовершенствованная пушка получила обозначение МП-6. Её важной положительной чертой был небольшой вес (около 70 кг) и компактность, что привлекло авиаконструкторов), рассчитывавших вооружить свои новые машины мощными и лёгкими пушками Таубина). С этого момента начались трудности, приведшие Я. Г. Таубина к печальному финалу.</w:t>
      </w:r>
    </w:p>
    <w:p w14:paraId="5F6D545A" w14:textId="77777777" w:rsidR="00247A10" w:rsidRPr="00C33834" w:rsidRDefault="00247A10" w:rsidP="00C33834">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Увеличение скорости подвижных частей при их прежних габаритах и массе привело к снижению живучести и ухудшению надёжности работы автоматики орудия. Большие затруднения вызвала отработка магазина, который являлся источником частых задержек. Пушку требовалось практически полностью перерабатывать и при этом менять габаритные размеры, согласованные с авиаконструкторами. Но об успешности работы над пушкой МП-6 уже было извещено руководство ВВС и НКВ, а «на хвосте» ОКБ-16 плотно «висели» туляки из ЦКБ-14 со своими пушками, и Таубин не решился на переконструирование пушки, по-видимому, считая, что может обойтись только её доработкой (19195).</w:t>
      </w:r>
    </w:p>
    <w:p w14:paraId="0049FBF5" w14:textId="77777777" w:rsidR="00247A10" w:rsidRPr="00C33834" w:rsidRDefault="00247A10" w:rsidP="00C33834">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315391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г. наименование «Сибтекстильмашстрой» было изменено на «Сибметаллстрой». К этому времени в материально-технической базе завода произошли заметные изменения: действовали инструментальный, ремонтно-механический и деревообрабатывающий цехи. В 1933 г. начали действовать литейный и транспортный цехи. К 1934 г. «Сибметаллстрой» становится машиностроительным заводом, выпускающим оборудование для текстильной промышленности, автотракторные детали, станки, мелкие и средние двигатели (9684).</w:t>
      </w:r>
    </w:p>
    <w:p w14:paraId="6E0BC2A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438511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Декабрь 1933г Проведены официальные стендовые испытания двигателя ОРМ-52 тягой 300кг с химическим зажиганием для ракет серии РЛА и морской торпеды (11330).</w:t>
      </w:r>
    </w:p>
    <w:p w14:paraId="0F8BF5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7539CDD"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после первого полета дирижабля В-6 5 ноября 1933 КБ внесло изменения в чертежи, были составлены фактические весовые данные корабля, оформлен материал для Госкомиссии, и готовность работ на 1 января 1935 г. определена в 100%. Выяснилась необходимость внесения изменений в бензо-магистрали и постановка винтов непосредственно на вал мотора без дополнительного вала. По дирижаблю В-10 в конце 3-го квартала на совещании у заместителя начальника Дирижаблестроя Флаксермана было вынесено решение - работы приостановить. Если до 1934 г. в течение 3-х лет проблеме жесткого дирижаблестроения почти не уделялось внимания, то за 1934 г. силами молодых советских специалистов - инженерами выпуска 19321933 гг. проделана глубокая серьезная работа по жесткому дирижаблю ДЖ-1 объемом 100 000 м 3. Группа в составе 20 человек изучила весь имеющийся материал, разработала техническое задание и технические условия, сделала около 40 основных расчетов и выполнила 4 комплекта рабочих чертежей по опытным конструкциям (около 108 чертежей) [14, л. 41]. С 1 сентября началось внесение изменений в проект дирижабля В-7 для подготовки рабочих чертежей – к форсированию работ по постройке дирижабля В-7 бис. К концу года задание было в целом выполнено бригадой инженера Храбковского − по модернизации В-7 было спущено около 2000 чертежей [14, л. 40-42 об] (15797).</w:t>
      </w:r>
    </w:p>
    <w:p w14:paraId="2DB56F3A" w14:textId="77777777" w:rsidR="0047154B" w:rsidRPr="00C33834" w:rsidRDefault="0047154B" w:rsidP="00C33834">
      <w:pPr>
        <w:spacing w:after="0" w:line="240" w:lineRule="auto"/>
        <w:jc w:val="both"/>
        <w:rPr>
          <w:rFonts w:ascii="Times New Roman" w:hAnsi="Times New Roman"/>
          <w:color w:val="000000" w:themeColor="text1"/>
          <w:sz w:val="16"/>
          <w:szCs w:val="16"/>
        </w:rPr>
      </w:pPr>
    </w:p>
    <w:p w14:paraId="2478CC9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начальником спасательной экспедиции назначили опытного полярника Г.Д. Красинского, по мнению которого, по</w:t>
      </w:r>
      <w:r w:rsidRPr="00C33834">
        <w:rPr>
          <w:rFonts w:ascii="Times New Roman" w:hAnsi="Times New Roman"/>
          <w:color w:val="000000" w:themeColor="text1"/>
          <w:sz w:val="16"/>
          <w:szCs w:val="16"/>
        </w:rPr>
        <w:softHyphen/>
        <w:t>ложение «Челюскина» становилось безвы</w:t>
      </w:r>
      <w:r w:rsidRPr="00C33834">
        <w:rPr>
          <w:rFonts w:ascii="Times New Roman" w:hAnsi="Times New Roman"/>
          <w:color w:val="000000" w:themeColor="text1"/>
          <w:sz w:val="16"/>
          <w:szCs w:val="16"/>
        </w:rPr>
        <w:softHyphen/>
        <w:t>ходным, и снимать людей с него следовало в первую очередь. После этого 20 декабря один ТБ-1 перелетел на промежуточную ба</w:t>
      </w:r>
      <w:r w:rsidRPr="00C33834">
        <w:rPr>
          <w:rFonts w:ascii="Times New Roman" w:hAnsi="Times New Roman"/>
          <w:color w:val="000000" w:themeColor="text1"/>
          <w:sz w:val="16"/>
          <w:szCs w:val="16"/>
        </w:rPr>
        <w:softHyphen/>
        <w:t>зу Уэллен на мысе Дежнева. Оттуда в конце декабря Ляпидевский дважды пытался вы</w:t>
      </w:r>
      <w:r w:rsidRPr="00C33834">
        <w:rPr>
          <w:rFonts w:ascii="Times New Roman" w:hAnsi="Times New Roman"/>
          <w:color w:val="000000" w:themeColor="text1"/>
          <w:sz w:val="16"/>
          <w:szCs w:val="16"/>
        </w:rPr>
        <w:softHyphen/>
        <w:t>лететь к терпящему бедствие судну и оба раза из-за плохой работы двигателей воз</w:t>
      </w:r>
      <w:r w:rsidRPr="00C33834">
        <w:rPr>
          <w:rFonts w:ascii="Times New Roman" w:hAnsi="Times New Roman"/>
          <w:color w:val="000000" w:themeColor="text1"/>
          <w:sz w:val="16"/>
          <w:szCs w:val="16"/>
        </w:rPr>
        <w:softHyphen/>
        <w:t>вращался. Затем на самолете иссяк запас сжатого воздуха, и Ляпидевскому пришлось вернуться в бухту Провидения за второй машиной. Она числилась за летчиком Чер</w:t>
      </w:r>
      <w:r w:rsidRPr="00C33834">
        <w:rPr>
          <w:rFonts w:ascii="Times New Roman" w:hAnsi="Times New Roman"/>
          <w:color w:val="000000" w:themeColor="text1"/>
          <w:sz w:val="16"/>
          <w:szCs w:val="16"/>
        </w:rPr>
        <w:softHyphen/>
        <w:t>нявским, однако решили, что полеты про</w:t>
      </w:r>
      <w:r w:rsidRPr="00C33834">
        <w:rPr>
          <w:rFonts w:ascii="Times New Roman" w:hAnsi="Times New Roman"/>
          <w:color w:val="000000" w:themeColor="text1"/>
          <w:sz w:val="16"/>
          <w:szCs w:val="16"/>
        </w:rPr>
        <w:softHyphen/>
        <w:t>должит именно Ляпидевский. Двухнедель</w:t>
      </w:r>
      <w:r w:rsidRPr="00C33834">
        <w:rPr>
          <w:rFonts w:ascii="Times New Roman" w:hAnsi="Times New Roman"/>
          <w:color w:val="000000" w:themeColor="text1"/>
          <w:sz w:val="16"/>
          <w:szCs w:val="16"/>
        </w:rPr>
        <w:softHyphen/>
        <w:t>ное путешествие на собачьей упряжке, а затем обрушившаяся пурга заметно задер</w:t>
      </w:r>
      <w:r w:rsidRPr="00C33834">
        <w:rPr>
          <w:rFonts w:ascii="Times New Roman" w:hAnsi="Times New Roman"/>
          <w:color w:val="000000" w:themeColor="text1"/>
          <w:sz w:val="16"/>
          <w:szCs w:val="16"/>
        </w:rPr>
        <w:softHyphen/>
        <w:t>жали начало спасения людей (11286).</w:t>
      </w:r>
    </w:p>
    <w:p w14:paraId="494E033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98144C" w14:textId="77777777" w:rsidR="00C0470F" w:rsidRPr="00C33834" w:rsidRDefault="00C0470F" w:rsidP="00C33834">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В декабре 1933 года летчиком А.В. Ляпидевским, который в тот момент в качестве командира экипажа самолета АНТ-4 находился в бухте Провидения, была предпринята попытка эвакуации людей с дрейфующего «Челюскина», но пробиться ему удалось только 5 марта (после многочисленных поисковых полетов) уже к ледовому лагерю Шмидта. Он вывез первых 12 челюскинцев – женщин и детей (21249).</w:t>
      </w:r>
    </w:p>
    <w:p w14:paraId="284F69E3" w14:textId="77777777" w:rsidR="00C0470F" w:rsidRPr="00C33834" w:rsidRDefault="00C0470F" w:rsidP="00C33834">
      <w:pPr>
        <w:spacing w:after="0" w:line="240" w:lineRule="auto"/>
        <w:jc w:val="both"/>
        <w:rPr>
          <w:rFonts w:ascii="Times New Roman" w:hAnsi="Times New Roman"/>
          <w:color w:val="0070C0"/>
          <w:sz w:val="16"/>
          <w:szCs w:val="16"/>
        </w:rPr>
      </w:pPr>
    </w:p>
    <w:p w14:paraId="429304FB" w14:textId="77777777" w:rsidR="00AB2BB0" w:rsidRPr="00C33834" w:rsidRDefault="00AB2BB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декабре 1933 г. к К.Э. Циолков</w:t>
      </w:r>
      <w:r w:rsidRPr="00C33834">
        <w:rPr>
          <w:rFonts w:ascii="Times New Roman" w:hAnsi="Times New Roman"/>
          <w:color w:val="0070C0"/>
          <w:sz w:val="16"/>
          <w:szCs w:val="16"/>
        </w:rPr>
        <w:softHyphen/>
        <w:t>скому обратился начальник работ по построй</w:t>
      </w:r>
      <w:r w:rsidRPr="00C33834">
        <w:rPr>
          <w:rFonts w:ascii="Times New Roman" w:hAnsi="Times New Roman"/>
          <w:color w:val="0070C0"/>
          <w:sz w:val="16"/>
          <w:szCs w:val="16"/>
        </w:rPr>
        <w:softHyphen/>
        <w:t>ке стратостата «Осоавиахим» Е.Е. Чертовской с письмом, в котором сообщал о том, что он при</w:t>
      </w:r>
      <w:r w:rsidRPr="00C33834">
        <w:rPr>
          <w:rFonts w:ascii="Times New Roman" w:hAnsi="Times New Roman"/>
          <w:color w:val="0070C0"/>
          <w:sz w:val="16"/>
          <w:szCs w:val="16"/>
        </w:rPr>
        <w:softHyphen/>
        <w:t>ступил к проектированию первого советского стратосферного дирижабля, и просил у калуж</w:t>
      </w:r>
      <w:r w:rsidRPr="00C33834">
        <w:rPr>
          <w:rFonts w:ascii="Times New Roman" w:hAnsi="Times New Roman"/>
          <w:color w:val="0070C0"/>
          <w:sz w:val="16"/>
          <w:szCs w:val="16"/>
        </w:rPr>
        <w:softHyphen/>
        <w:t>ского учёного «указаний и руководящих мате</w:t>
      </w:r>
      <w:r w:rsidRPr="00C33834">
        <w:rPr>
          <w:rFonts w:ascii="Times New Roman" w:hAnsi="Times New Roman"/>
          <w:color w:val="0070C0"/>
          <w:sz w:val="16"/>
          <w:szCs w:val="16"/>
        </w:rPr>
        <w:softHyphen/>
        <w:t>риалов». Результатом обращения стала работа Циолковского, посланная Чертовскому, а затем напечатанная в качестве дискуссионной статьи в «Техническом бюллетене Дирижаблестроя».</w:t>
      </w:r>
    </w:p>
    <w:p w14:paraId="1D32EED9" w14:textId="77777777" w:rsidR="00AB2BB0" w:rsidRPr="00C33834" w:rsidRDefault="00AB2BB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К.Э. Циолковский указал, что для достижения больших высот потребуются тонкие оболочки очень большого объёма. При этом выигрыш от уменьшения сопротивления движению в разре</w:t>
      </w:r>
      <w:r w:rsidRPr="00C33834">
        <w:rPr>
          <w:rFonts w:ascii="Times New Roman" w:hAnsi="Times New Roman"/>
          <w:color w:val="0070C0"/>
          <w:sz w:val="16"/>
          <w:szCs w:val="16"/>
        </w:rPr>
        <w:softHyphen/>
        <w:t>женных слоях атмосферы будет сведен к нулю падением мощности двигателей дирижабля. Од</w:t>
      </w:r>
      <w:r w:rsidRPr="00C33834">
        <w:rPr>
          <w:rFonts w:ascii="Times New Roman" w:hAnsi="Times New Roman"/>
          <w:color w:val="0070C0"/>
          <w:sz w:val="16"/>
          <w:szCs w:val="16"/>
        </w:rPr>
        <w:softHyphen/>
        <w:t>нако высотный дирижабль «может иметь неко</w:t>
      </w:r>
      <w:r w:rsidRPr="00C33834">
        <w:rPr>
          <w:rFonts w:ascii="Times New Roman" w:hAnsi="Times New Roman"/>
          <w:color w:val="0070C0"/>
          <w:sz w:val="16"/>
          <w:szCs w:val="16"/>
        </w:rPr>
        <w:softHyphen/>
        <w:t>торое военное значение, а также нужен в гори</w:t>
      </w:r>
      <w:r w:rsidRPr="00C33834">
        <w:rPr>
          <w:rFonts w:ascii="Times New Roman" w:hAnsi="Times New Roman"/>
          <w:color w:val="0070C0"/>
          <w:sz w:val="16"/>
          <w:szCs w:val="16"/>
        </w:rPr>
        <w:softHyphen/>
        <w:t>стых местностях, где он поневоле должен быть высотным». По расчётам К.Э. Циолковского, стратостат, достигающий высоты 20 км, должен иметь диаметр в 72 м. Далее он заметил: «Сде</w:t>
      </w:r>
      <w:r w:rsidRPr="00C33834">
        <w:rPr>
          <w:rFonts w:ascii="Times New Roman" w:hAnsi="Times New Roman"/>
          <w:color w:val="0070C0"/>
          <w:sz w:val="16"/>
          <w:szCs w:val="16"/>
        </w:rPr>
        <w:softHyphen/>
        <w:t>ланные выводы относительно высоты поднятия стратостата ещё в большей степени применимы к высотному или стратосферному дирижаблю, имеющему сложное устройство и избыточные тяжести, относящиеся к органам управления. Поэтому в отношении высоты подъёма и иссле</w:t>
      </w:r>
      <w:r w:rsidRPr="00C33834">
        <w:rPr>
          <w:rFonts w:ascii="Times New Roman" w:hAnsi="Times New Roman"/>
          <w:color w:val="0070C0"/>
          <w:sz w:val="16"/>
          <w:szCs w:val="16"/>
        </w:rPr>
        <w:softHyphen/>
        <w:t>дования атмосферы стратостат имеет большие преимущества сравнительно с высотным дири</w:t>
      </w:r>
      <w:r w:rsidRPr="00C33834">
        <w:rPr>
          <w:rFonts w:ascii="Times New Roman" w:hAnsi="Times New Roman"/>
          <w:color w:val="0070C0"/>
          <w:sz w:val="16"/>
          <w:szCs w:val="16"/>
        </w:rPr>
        <w:softHyphen/>
        <w:t>жаблем» (20120.</w:t>
      </w:r>
    </w:p>
    <w:p w14:paraId="4601B042" w14:textId="77777777" w:rsidR="00AB2BB0" w:rsidRPr="00C33834" w:rsidRDefault="00AB2BB0" w:rsidP="00C33834">
      <w:pPr>
        <w:spacing w:after="0" w:line="240" w:lineRule="auto"/>
        <w:jc w:val="both"/>
        <w:rPr>
          <w:rFonts w:ascii="Times New Roman" w:hAnsi="Times New Roman"/>
          <w:color w:val="0070C0"/>
          <w:sz w:val="16"/>
          <w:szCs w:val="16"/>
        </w:rPr>
      </w:pPr>
    </w:p>
    <w:p w14:paraId="5CE4972E" w14:textId="77777777" w:rsidR="00813435" w:rsidRPr="00C33834" w:rsidRDefault="008134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 декабре 1933 года военные ещё раз обратили внимание на дирижабли: специалисты кафедры ВВС Военно-морской академии изучили возможность применения для нужд Военно-морских сил РККА полужёсткого корабля объёмом 50 тыс. кубометров, проектируемого на Дирижаблестрое, и пришли к неутешительным выводам:</w:t>
      </w:r>
    </w:p>
    <w:p w14:paraId="4888974D" w14:textId="77777777" w:rsidR="00813435" w:rsidRPr="00C33834" w:rsidRDefault="008134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 xml:space="preserve">...Дирижабль Нобиле в 50000 м может выполнять задачи дирижаблей </w:t>
      </w:r>
      <w:r w:rsidRPr="00C33834">
        <w:rPr>
          <w:rFonts w:ascii="Times New Roman" w:hAnsi="Times New Roman"/>
          <w:color w:val="0070C0"/>
          <w:sz w:val="16"/>
          <w:szCs w:val="16"/>
          <w:lang w:val="en-US" w:bidi="en-US"/>
        </w:rPr>
        <w:t>III</w:t>
      </w:r>
      <w:r w:rsidRPr="00C33834">
        <w:rPr>
          <w:rFonts w:ascii="Times New Roman" w:hAnsi="Times New Roman"/>
          <w:color w:val="0070C0"/>
          <w:sz w:val="16"/>
          <w:szCs w:val="16"/>
          <w:lang w:eastAsia="ru-RU" w:bidi="ru-RU"/>
        </w:rPr>
        <w:t xml:space="preserve">-го класса (разведка в море с заходом на территорию противника, разведка морских баз противника) и частично </w:t>
      </w:r>
      <w:r w:rsidRPr="00C33834">
        <w:rPr>
          <w:rFonts w:ascii="Times New Roman" w:hAnsi="Times New Roman"/>
          <w:color w:val="0070C0"/>
          <w:sz w:val="16"/>
          <w:szCs w:val="16"/>
          <w:lang w:val="en-US" w:bidi="en-US"/>
        </w:rPr>
        <w:t>IV</w:t>
      </w:r>
      <w:r w:rsidRPr="00C33834">
        <w:rPr>
          <w:rFonts w:ascii="Times New Roman" w:hAnsi="Times New Roman"/>
          <w:color w:val="0070C0"/>
          <w:sz w:val="16"/>
          <w:szCs w:val="16"/>
          <w:lang w:eastAsia="ru-RU" w:bidi="ru-RU"/>
        </w:rPr>
        <w:t>-го класса (производство бомбовых ударов, минных постановок, перевозка десантов, выполнение диверсионных задач и т. п.), но его малая высота полёта вместо потребных 6000-8000 м., за исключением редких благоприятных условий, неминуемо при заходе его на территорию противника повлечёт за собой гибель от средств ПВО противника. Таким образом, дирижабль Нобиле в 50000 мпо причине малой высотности для намечаемых задач непригоден. Он и мало нужен как опытный дирижабль по той же причине малой высотности.</w:t>
      </w:r>
    </w:p>
    <w:p w14:paraId="3B214BC6" w14:textId="77777777" w:rsidR="00813435" w:rsidRPr="00C33834" w:rsidRDefault="008134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На сей раз моряков не устраивал не просто конкретный проект дирижабля, а сам полужёсткий тип: по их мнению, будущее принадлежало большим жёстким кораблям, на которых и следовало сконцентрировать усилия:</w:t>
      </w:r>
    </w:p>
    <w:p w14:paraId="0764CCDD" w14:textId="77777777" w:rsidR="00813435" w:rsidRPr="00C33834" w:rsidRDefault="008134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lastRenderedPageBreak/>
        <w:t>Создание дирижабля объёмом в 50000 м характеризует новый этап постройки в СССР дирижаблей больших кубатур, но создание их полужёсткой системы не есть путь подлинного строительства больших дирижаблей, т. к. применение нежёсткой системы как для рассматриваемого дирижабля, так, тем более, для больших кубатур, невыгодно, нерентабельно, бесполезно и может быть объяснено лишь личными стремлениями инженера Нобиле провести в жизнь проект, разработанный им ещё в Италии, но там не осуществлённый.</w:t>
      </w:r>
    </w:p>
    <w:p w14:paraId="4113FD45" w14:textId="77777777" w:rsidR="00813435" w:rsidRPr="00C33834" w:rsidRDefault="008134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Советскому Союзу постройка этого дирижабля даже вредна, т. к. задержит переход к жёстким конструкциям и к строительству дирижаблей больших объёмов. В этом смысле постройка дирижабля Нобиле в 50000 м есть топтание на месте, потеря времени (самое дорогое для нас), выброшенные деньги. &lt;...&gt; Удовлетворяя интересам инж. Нобиле, она идёт вразрез с интересами развития советского дирижаблестроения. &lt;...&gt;</w:t>
      </w:r>
    </w:p>
    <w:p w14:paraId="36E828BE" w14:textId="77777777" w:rsidR="00813435" w:rsidRPr="00C33834" w:rsidRDefault="008134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Строительство полужёстких дирижаблей больших кубатур отвлекает советское дирижаблестроение от намеченного исторического пути развития и постройки больших дирижаблей, вызывает непроизводительные расходы средств и преступную потерю времени.</w:t>
      </w:r>
    </w:p>
    <w:p w14:paraId="036FD15A" w14:textId="77777777" w:rsidR="00813435" w:rsidRPr="00C33834" w:rsidRDefault="00813435"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 1934 году работы по этому дирижаблю прекратили, однако едва ли решающую роль сыграла именно позиция военных: в самом Аэрофлоте уже осознавали, что Дирижаблестрой неспособен и дальше нести груз многотипности и настало время отказываться от самых сложных и дорогостоящих проектов, не имеющих ближайшей перспективы. К этому времени на корабль 50000 потратили около 300 тыс. рублей, а его ожидаемая общая стоимость выражалась астрономической суммой в 6,5 млн рублей - за эти деньги Красная армия могла получить целый полк из 100 лёгких танков Т-26 со всеми вспомогательными службами (23192).</w:t>
      </w:r>
    </w:p>
    <w:p w14:paraId="73BF1261" w14:textId="77777777" w:rsidR="00813435" w:rsidRPr="00C33834" w:rsidRDefault="00813435" w:rsidP="00C33834">
      <w:pPr>
        <w:shd w:val="clear" w:color="auto" w:fill="FFFFFF"/>
        <w:spacing w:after="0" w:line="240" w:lineRule="auto"/>
        <w:jc w:val="both"/>
        <w:rPr>
          <w:rFonts w:ascii="Times New Roman" w:hAnsi="Times New Roman"/>
          <w:color w:val="0070C0"/>
          <w:sz w:val="16"/>
          <w:szCs w:val="16"/>
        </w:rPr>
      </w:pPr>
    </w:p>
    <w:p w14:paraId="26A363E9" w14:textId="77777777" w:rsidR="00C0470F" w:rsidRPr="00C33834" w:rsidRDefault="00C0470F" w:rsidP="00C33834">
      <w:pPr>
        <w:pStyle w:val="HTML2"/>
        <w:shd w:val="clear" w:color="auto" w:fill="FFFFFF"/>
        <w:jc w:val="both"/>
        <w:rPr>
          <w:i w:val="0"/>
          <w:iCs w:val="0"/>
          <w:color w:val="0070C0"/>
          <w:sz w:val="16"/>
          <w:szCs w:val="16"/>
        </w:rPr>
      </w:pPr>
      <w:r w:rsidRPr="00C33834">
        <w:rPr>
          <w:i w:val="0"/>
          <w:iCs w:val="0"/>
          <w:color w:val="0070C0"/>
          <w:sz w:val="16"/>
          <w:szCs w:val="16"/>
        </w:rPr>
        <w:t>В декабре 1933 года "Союзгаз" и Гай Риддель подписали договор. И уже в январе 1934 года американец привез 120 кг различных записок по гелиевому делу, которые стали переводиться и передаваться на экспертизу советским специалистам. Большая часть сведений оказалась выдержками из опубликованных работ. Например, группа геологов писала: "Вся геологическая часть записки &lt;…&gt; дает нам добросовестно собранную и изложенную совокупность данных по состоянию этой части гелиевого дела в Соединенных Штатах, но сообщает нам очень мало принципиально нового, чего бы мы не знали до сих пор".</w:t>
      </w:r>
    </w:p>
    <w:p w14:paraId="653C9DCF" w14:textId="77777777" w:rsidR="00C0470F" w:rsidRPr="00C33834" w:rsidRDefault="00C0470F" w:rsidP="00C33834">
      <w:pPr>
        <w:pStyle w:val="HTML2"/>
        <w:shd w:val="clear" w:color="auto" w:fill="FFFFFF"/>
        <w:jc w:val="both"/>
        <w:rPr>
          <w:color w:val="0070C0"/>
          <w:sz w:val="16"/>
          <w:szCs w:val="16"/>
        </w:rPr>
      </w:pPr>
      <w:r w:rsidRPr="00C33834">
        <w:rPr>
          <w:i w:val="0"/>
          <w:iCs w:val="0"/>
          <w:color w:val="0070C0"/>
          <w:sz w:val="16"/>
          <w:szCs w:val="16"/>
        </w:rPr>
        <w:t>В технико-технологической части представленный материал не давал параметров и констант, необходимых для проектирования, то же относилось и к области бурения. Общее резюме советских ученых выразил профессор Петр Преображенский: "Мы в состоянии справиться собственными силами со стоящими перед нами задачами по разрешению гелиевой проблемы в СССР", при этом, правда, сделал важнейшую оговорку – "при соответственном обеспечении этих работ достаточными средствами". В результате проверки Главгаз отказался платить по договору, признав работу группы Гая Ридделя неудовлетворительной. Правда, часть денег, авансированных ему, пропала.</w:t>
      </w:r>
    </w:p>
    <w:p w14:paraId="617F08EE" w14:textId="77777777" w:rsidR="00C0470F" w:rsidRPr="00C33834" w:rsidRDefault="00C0470F" w:rsidP="00C33834">
      <w:pPr>
        <w:pStyle w:val="HTML2"/>
        <w:shd w:val="clear" w:color="auto" w:fill="FFFFFF"/>
        <w:jc w:val="both"/>
        <w:rPr>
          <w:color w:val="0070C0"/>
          <w:sz w:val="16"/>
          <w:szCs w:val="16"/>
        </w:rPr>
      </w:pPr>
      <w:r w:rsidRPr="00C33834">
        <w:rPr>
          <w:i w:val="0"/>
          <w:iCs w:val="0"/>
          <w:color w:val="0070C0"/>
          <w:sz w:val="16"/>
          <w:szCs w:val="16"/>
        </w:rPr>
        <w:t>Список ответственных за "чрезвычайную легкомысленность и преступную небрежность", повлекших растрату государственных валютных резервов, возглавил начальник "Союзгаза " Моисей Гурвич, предлагавший как раз обратное. Оказалось, что своим письмом он и его "компаньоны" ввели в заблуждение и Орджоникидзе, и ЦК ВКП (б). По аппарату НКТП и контрольных органов пошла гулять записка "О трех оппортунистах, которые, надув ЦК, заметают следы своих дел". Моисей Гурвич был снят с работы, и дальнейшая его судьба неизвестна, но самое главное – решение гелиевого вопроса затянулось, а возможность полноценно использовать американский опыт была упущена (21452).</w:t>
      </w:r>
    </w:p>
    <w:p w14:paraId="61868087" w14:textId="77777777" w:rsidR="00C0470F" w:rsidRPr="00C33834" w:rsidRDefault="00C0470F" w:rsidP="00C33834">
      <w:pPr>
        <w:pStyle w:val="article-renderblock"/>
        <w:shd w:val="clear" w:color="auto" w:fill="FFFFFF"/>
        <w:spacing w:before="0" w:beforeAutospacing="0" w:after="0" w:afterAutospacing="0"/>
        <w:jc w:val="both"/>
        <w:rPr>
          <w:color w:val="0070C0"/>
          <w:sz w:val="16"/>
          <w:szCs w:val="16"/>
        </w:rPr>
      </w:pPr>
    </w:p>
    <w:p w14:paraId="50DD4112"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53163A50"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6C7E2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декабря 1933 г. началось изготовление упроченных лафетов 76-мм БПК, в которых трубчатые станины были заменены станинами «углового профиля». Но, увы, и «упроченные» лафеты разваливались при буксировке БПК со скоростью 5–10 км/час по булыжной мостовой.</w:t>
      </w:r>
    </w:p>
    <w:p w14:paraId="0D50225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Возка БПК осуществлялась одной лошадью. Орудие привязывалось к оси двуколки. Скорость возки обычная: 5–7 км/час. При таком лафете не могло и речи идти о механической тяге.</w:t>
      </w:r>
    </w:p>
    <w:p w14:paraId="5641A0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Конечно, можно было спроектировать и подрессоренный лафет. Но при этом возрос бы и вес системы, и ее стоимость. Ведь и так стоимость БПК равнялась стоимости дивизионной пушки обр. 1902 г.</w:t>
      </w:r>
    </w:p>
    <w:p w14:paraId="2EB03F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ноября 1936 г. в РККА состояло БПК: годных — 398, требовавших ремонта — 7, учебных — 2. В конце 1930-х годов БПК с вооружения были сняты  (12091).</w:t>
      </w:r>
    </w:p>
    <w:p w14:paraId="3A7890A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E5285A0"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декабря 1933 г. началось изготовление упроченных лафетов для БПК, в которых трубчатые станины были заменены станинами «углового профиля». Но, увы, и «упроченные» лафеты разваливались при буксировке БПК со скоростью 5-10 км/час по булыжной мостовой.</w:t>
      </w:r>
    </w:p>
    <w:p w14:paraId="7EDD29FB"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Возка БПК осуществлялась одной лошадью. Орудие привязывалось к оси двуколки. Скорость возки обычная: 5—7 км/ч. При таком лафете не могла и речь идти о механической тяге.</w:t>
      </w:r>
    </w:p>
    <w:p w14:paraId="05A080BE"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Конечно, можно было спроектировать и подрессоренный лафет. Но при этом возросли бы и вес системы, и ее стоимость. Ведь и так стоимость БПК равнялась стоимости дивизионной пушки обр. 1902 г.</w:t>
      </w:r>
    </w:p>
    <w:p w14:paraId="7977A48E"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 ноября 1936 г. в РККА состояло БПК: годных — 398, требовавших ремонта — 7, учебных — 2. В конце 1930-х гг. БПК с вооружения были сняты (15117).</w:t>
      </w:r>
    </w:p>
    <w:p w14:paraId="7DF0C9E0" w14:textId="77777777" w:rsidR="0047154B" w:rsidRPr="00C33834" w:rsidRDefault="0047154B" w:rsidP="00C33834">
      <w:pPr>
        <w:spacing w:after="0" w:line="240" w:lineRule="auto"/>
        <w:jc w:val="both"/>
        <w:rPr>
          <w:rFonts w:ascii="Times New Roman" w:hAnsi="Times New Roman"/>
          <w:color w:val="000000" w:themeColor="text1"/>
          <w:sz w:val="16"/>
          <w:szCs w:val="16"/>
        </w:rPr>
      </w:pPr>
    </w:p>
    <w:p w14:paraId="197DA4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разрабатывался Самоходный дуплекс - САУ с 203 мм гаубицей Б-4 и 152 мм морской Б-10. Было разработано три проектаЖ ОКМО Опытного завода Спецмаштреста им. Кирова (185) с использованием агрегатов Т-28 - Су-14; Большевика и Красного путиловца - целиком на базе Т-28. Последние два - не получили развития (9527,263).</w:t>
      </w:r>
    </w:p>
    <w:p w14:paraId="042E64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940806A" w14:textId="77777777" w:rsidR="00AB2BB0" w:rsidRPr="00C33834" w:rsidRDefault="00AB2BB0" w:rsidP="00C33834">
      <w:pPr>
        <w:autoSpaceDE w:val="0"/>
        <w:autoSpaceDN w:val="0"/>
        <w:adjustRightInd w:val="0"/>
        <w:spacing w:after="0" w:line="240" w:lineRule="auto"/>
        <w:jc w:val="both"/>
        <w:rPr>
          <w:rFonts w:ascii="Times New Roman" w:eastAsia="TimesNewRomanPSMT" w:hAnsi="Times New Roman"/>
          <w:color w:val="0070C0"/>
          <w:sz w:val="16"/>
          <w:szCs w:val="16"/>
        </w:rPr>
      </w:pPr>
      <w:r w:rsidRPr="00C33834">
        <w:rPr>
          <w:rFonts w:ascii="Times New Roman" w:hAnsi="Times New Roman"/>
          <w:color w:val="0070C0"/>
          <w:sz w:val="16"/>
          <w:szCs w:val="16"/>
        </w:rPr>
        <w:t>В декабре 1933 г. были проведены испытания чугунных корпусов 107-мм химических мин конструкции СКБ при заводе «Красный Октябрь», которые были признаны неудовлетворяющими требованиям стрельбы и требующими увеличения толщины стенки корпуса.416 Проведение этих работ финансировалось ХИМУ РККА, их результаты признавались руководством ХИМУ перспективными, в то время как ГВМУ НКТП несколько раз снимало их с плана работ СКБ по причине технической сложности предлагаемого способа отливки (в постоянные формы) (20074).</w:t>
      </w:r>
    </w:p>
    <w:p w14:paraId="7A8B45C9" w14:textId="77777777" w:rsidR="00AB2BB0" w:rsidRPr="00C33834" w:rsidRDefault="00AB2BB0" w:rsidP="00C33834">
      <w:pPr>
        <w:spacing w:after="0" w:line="240" w:lineRule="auto"/>
        <w:jc w:val="both"/>
        <w:rPr>
          <w:rFonts w:ascii="Times New Roman" w:eastAsia="TimesNewRomanPSMT" w:hAnsi="Times New Roman"/>
          <w:color w:val="0070C0"/>
          <w:sz w:val="16"/>
          <w:szCs w:val="16"/>
        </w:rPr>
      </w:pPr>
    </w:p>
    <w:p w14:paraId="02D955F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г. название «Сибтекстильмашстрой» изменили на «Сибметаллстрой». К этому времени в материально-технической базе завода произошли заметные изменения: действовали инструментальный, ремонтно-механический и деревообрабатывающий цехи. В 1933 г. начали действовать литейный и транспортный цехи. К 1934 г. «Сибметаллстрой» становится машиностроительным заводом, выпускающим оборудование для текстильной промышленности, автотракторные детали, станки, мелкие и средние двигатели (11591).</w:t>
      </w:r>
    </w:p>
    <w:p w14:paraId="66C35D4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FDFA09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г. К.Е.В. докладывал председателю Комис</w:t>
      </w:r>
      <w:r w:rsidRPr="00C33834">
        <w:rPr>
          <w:rFonts w:ascii="Times New Roman" w:hAnsi="Times New Roman"/>
          <w:color w:val="000000" w:themeColor="text1"/>
          <w:sz w:val="16"/>
          <w:szCs w:val="16"/>
        </w:rPr>
        <w:softHyphen/>
        <w:t>сии обороны СССР В. Молотову: «Представляя особо удач</w:t>
      </w:r>
      <w:r w:rsidRPr="00C33834">
        <w:rPr>
          <w:rFonts w:ascii="Times New Roman" w:hAnsi="Times New Roman"/>
          <w:color w:val="000000" w:themeColor="text1"/>
          <w:sz w:val="16"/>
          <w:szCs w:val="16"/>
        </w:rPr>
        <w:softHyphen/>
        <w:t>ные варианты большого танка, прошу рассмотреть их на Комиссии Обороны и окончательно решить — нужна ли нам вообще такая боевая машина взамен достаточно мощного, на мой взгляд, танка особого назначения Т-35, который в со</w:t>
      </w:r>
      <w:r w:rsidRPr="00C33834">
        <w:rPr>
          <w:rFonts w:ascii="Times New Roman" w:hAnsi="Times New Roman"/>
          <w:color w:val="000000" w:themeColor="text1"/>
          <w:sz w:val="16"/>
          <w:szCs w:val="16"/>
        </w:rPr>
        <w:softHyphen/>
        <w:t>стоянии выполнить большинство боевых задач. Производст</w:t>
      </w:r>
      <w:r w:rsidRPr="00C33834">
        <w:rPr>
          <w:rFonts w:ascii="Times New Roman" w:hAnsi="Times New Roman"/>
          <w:color w:val="000000" w:themeColor="text1"/>
          <w:sz w:val="16"/>
          <w:szCs w:val="16"/>
        </w:rPr>
        <w:softHyphen/>
        <w:t>во опытного образца Т-39 потребует около 3 млн. рублей и не менее одного года» (10733,278).</w:t>
      </w:r>
    </w:p>
    <w:p w14:paraId="7120286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BBD5B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управляющий Спецмаштреста Нейман объявил конкурс на проектирование плавающего колесно-гусе-ничного танка Т-43 с премиальным фондом в 20 тыс. руб. В конкурс включились Опытный завод Спецмаштреста им. С.М. Кирова, с проектом танка Т-43-1, и завод № 37 (бывший 2-й автозавод ВАТО), разрабатывавший Т-43-2. В качестве двигателя предполагалось использовать мо</w:t>
      </w:r>
      <w:r w:rsidRPr="00C33834">
        <w:rPr>
          <w:rFonts w:ascii="Times New Roman" w:hAnsi="Times New Roman"/>
          <w:color w:val="000000" w:themeColor="text1"/>
          <w:sz w:val="16"/>
          <w:szCs w:val="16"/>
        </w:rPr>
        <w:softHyphen/>
        <w:t>тор «Форд У-8», изготовление которого осваивалось на ГАЗе. На Опытным заводе им. С.М. Кирова проект Т-43-1 разрабатывался инженерами М. Зигелем, В. Симским и Максаковым под руководством С. Гинзбурга. Они выпол</w:t>
      </w:r>
      <w:r w:rsidRPr="00C33834">
        <w:rPr>
          <w:rFonts w:ascii="Times New Roman" w:hAnsi="Times New Roman"/>
          <w:color w:val="000000" w:themeColor="text1"/>
          <w:sz w:val="16"/>
          <w:szCs w:val="16"/>
        </w:rPr>
        <w:softHyphen/>
        <w:t>нили эскизный проект в двух вариантах, отличавшихся в деталях, и после их рассмотрения, был принят окончатель</w:t>
      </w:r>
      <w:r w:rsidRPr="00C33834">
        <w:rPr>
          <w:rFonts w:ascii="Times New Roman" w:hAnsi="Times New Roman"/>
          <w:color w:val="000000" w:themeColor="text1"/>
          <w:sz w:val="16"/>
          <w:szCs w:val="16"/>
        </w:rPr>
        <w:softHyphen/>
        <w:t>ный вариант, чертежи которого тут же были отправлены для изготовления узлов опытного образца. Т-43-1 представлял собой танк массой 3,6 т. Его кор</w:t>
      </w:r>
      <w:r w:rsidRPr="00C33834">
        <w:rPr>
          <w:rFonts w:ascii="Times New Roman" w:hAnsi="Times New Roman"/>
          <w:color w:val="000000" w:themeColor="text1"/>
          <w:sz w:val="16"/>
          <w:szCs w:val="16"/>
        </w:rPr>
        <w:softHyphen/>
        <w:t>пус и башня изготавливались из броневых листов и штам</w:t>
      </w:r>
      <w:r w:rsidRPr="00C33834">
        <w:rPr>
          <w:rFonts w:ascii="Times New Roman" w:hAnsi="Times New Roman"/>
          <w:color w:val="000000" w:themeColor="text1"/>
          <w:sz w:val="16"/>
          <w:szCs w:val="16"/>
        </w:rPr>
        <w:softHyphen/>
        <w:t>пованных деталей толщиной 4-10 мм на клепке. Воору</w:t>
      </w:r>
      <w:r w:rsidRPr="00C33834">
        <w:rPr>
          <w:rFonts w:ascii="Times New Roman" w:hAnsi="Times New Roman"/>
          <w:color w:val="000000" w:themeColor="text1"/>
          <w:sz w:val="16"/>
          <w:szCs w:val="16"/>
        </w:rPr>
        <w:softHyphen/>
        <w:t>жение танка - пулемет ДТ — устанавливалось во вращаю</w:t>
      </w:r>
      <w:r w:rsidRPr="00C33834">
        <w:rPr>
          <w:rFonts w:ascii="Times New Roman" w:hAnsi="Times New Roman"/>
          <w:color w:val="000000" w:themeColor="text1"/>
          <w:sz w:val="16"/>
          <w:szCs w:val="16"/>
        </w:rPr>
        <w:softHyphen/>
        <w:t>щейся башне. Ввиду неподачи вовремя мотора типа «Форд У-8» на танк поперек корпуса был установлен двигатель ГАЗ-АА. Над двигателем на крыше корпуса размещался радиатор того же ГАЗ-АА, под которым был помещен вентилятор с ремен</w:t>
      </w:r>
      <w:r w:rsidRPr="00C33834">
        <w:rPr>
          <w:rFonts w:ascii="Times New Roman" w:hAnsi="Times New Roman"/>
          <w:color w:val="000000" w:themeColor="text1"/>
          <w:sz w:val="16"/>
          <w:szCs w:val="16"/>
        </w:rPr>
        <w:softHyphen/>
        <w:t>ным приводом от двигателя. Трансмиссия танка также заимствовалась от грузовика ГАЗ и состояла из КПП, двойного дифференциала и борто</w:t>
      </w:r>
      <w:r w:rsidRPr="00C33834">
        <w:rPr>
          <w:rFonts w:ascii="Times New Roman" w:hAnsi="Times New Roman"/>
          <w:color w:val="000000" w:themeColor="text1"/>
          <w:sz w:val="16"/>
          <w:szCs w:val="16"/>
        </w:rPr>
        <w:softHyphen/>
        <w:t>вой передачи колесного хода. Ходовая часть Т-43-1 состояла из трех пар опорных катков большого диаметра, двух ведущих и двух направля</w:t>
      </w:r>
      <w:r w:rsidRPr="00C33834">
        <w:rPr>
          <w:rFonts w:ascii="Times New Roman" w:hAnsi="Times New Roman"/>
          <w:color w:val="000000" w:themeColor="text1"/>
          <w:sz w:val="16"/>
          <w:szCs w:val="16"/>
        </w:rPr>
        <w:softHyphen/>
        <w:t>ющих колес. При движении на колесах ведущими становилась зад-; няя пара катков. Катки соединялись с ведущими осями при рпомощи карданных валов. Подвеска задней пары катков была кривошипно-пружинной по типу танка «Крупп». Управляемыми была передняя пара катков. Неожиданно для всех танк не имел винтов и руля для перемещения на плаву. Для этого использовались поперечные попасти на ведущих колесах, так что при движении на плаву «вода засасывалась ведущим колесом сбоку по ходу танка, с си</w:t>
      </w:r>
      <w:r w:rsidRPr="00C33834">
        <w:rPr>
          <w:rFonts w:ascii="Times New Roman" w:hAnsi="Times New Roman"/>
          <w:color w:val="000000" w:themeColor="text1"/>
          <w:sz w:val="16"/>
          <w:szCs w:val="16"/>
        </w:rPr>
        <w:softHyphen/>
        <w:t>лой отбрасывалась на направляющий аппарат, заворачиваю</w:t>
      </w:r>
      <w:r w:rsidRPr="00C33834">
        <w:rPr>
          <w:rFonts w:ascii="Times New Roman" w:hAnsi="Times New Roman"/>
          <w:color w:val="000000" w:themeColor="text1"/>
          <w:sz w:val="16"/>
          <w:szCs w:val="16"/>
        </w:rPr>
        <w:softHyphen/>
        <w:t>щий поток на угол 90 градусов, создавая, таким образом, реак</w:t>
      </w:r>
      <w:r w:rsidRPr="00C33834">
        <w:rPr>
          <w:rFonts w:ascii="Times New Roman" w:hAnsi="Times New Roman"/>
          <w:color w:val="000000" w:themeColor="text1"/>
          <w:sz w:val="16"/>
          <w:szCs w:val="16"/>
        </w:rPr>
        <w:softHyphen/>
        <w:t>цию струи воды, направленную по ходу движения танка». Управление танком на водной поверхности осуществ</w:t>
      </w:r>
      <w:r w:rsidRPr="00C33834">
        <w:rPr>
          <w:rFonts w:ascii="Times New Roman" w:hAnsi="Times New Roman"/>
          <w:color w:val="000000" w:themeColor="text1"/>
          <w:sz w:val="16"/>
          <w:szCs w:val="16"/>
        </w:rPr>
        <w:softHyphen/>
        <w:t>лялось за счет уменьшения или увеличения оборотов соот</w:t>
      </w:r>
      <w:r w:rsidRPr="00C33834">
        <w:rPr>
          <w:rFonts w:ascii="Times New Roman" w:hAnsi="Times New Roman"/>
          <w:color w:val="000000" w:themeColor="text1"/>
          <w:sz w:val="16"/>
          <w:szCs w:val="16"/>
        </w:rPr>
        <w:softHyphen/>
        <w:t>ветствующих ведущих колес. Проект Т-43-2 был разработан на заводе № 37 конст</w:t>
      </w:r>
      <w:r w:rsidRPr="00C33834">
        <w:rPr>
          <w:rFonts w:ascii="Times New Roman" w:hAnsi="Times New Roman"/>
          <w:color w:val="000000" w:themeColor="text1"/>
          <w:sz w:val="16"/>
          <w:szCs w:val="16"/>
        </w:rPr>
        <w:softHyphen/>
        <w:t>рукторами Сазоновым, Брусенцовым, Козыревым, Зори</w:t>
      </w:r>
      <w:r w:rsidRPr="00C33834">
        <w:rPr>
          <w:rFonts w:ascii="Times New Roman" w:hAnsi="Times New Roman"/>
          <w:color w:val="000000" w:themeColor="text1"/>
          <w:sz w:val="16"/>
          <w:szCs w:val="16"/>
        </w:rPr>
        <w:softHyphen/>
        <w:t>ным под руководством Н. Астрова. Танк имел массу 3,7 т. Его корпус и башню предполага</w:t>
      </w:r>
      <w:r w:rsidRPr="00C33834">
        <w:rPr>
          <w:rFonts w:ascii="Times New Roman" w:hAnsi="Times New Roman"/>
          <w:color w:val="000000" w:themeColor="text1"/>
          <w:sz w:val="16"/>
          <w:szCs w:val="16"/>
        </w:rPr>
        <w:softHyphen/>
        <w:t>лось изготавливать сваркой, из бронелистов толщиной 4—10 мм, однако из-за того, что опыты по сварке броневых листов на заводе успехом не увенчались, опытный образец изготовлялся клепкой. Вооружением танка являлся 7,62-мм пулемет ДТ, уста</w:t>
      </w:r>
      <w:r w:rsidRPr="00C33834">
        <w:rPr>
          <w:rFonts w:ascii="Times New Roman" w:hAnsi="Times New Roman"/>
          <w:color w:val="000000" w:themeColor="text1"/>
          <w:sz w:val="16"/>
          <w:szCs w:val="16"/>
        </w:rPr>
        <w:softHyphen/>
        <w:t>новленный в лобовом листе башни, кроме того, на крыше танка имелась зенитная турель. Т-43-2 так же, как и конкурент, получил двигатель ГАЗ-АА с КПП и радиатором одноименного грузовика. Охлажде</w:t>
      </w:r>
      <w:r w:rsidRPr="00C33834">
        <w:rPr>
          <w:rFonts w:ascii="Times New Roman" w:hAnsi="Times New Roman"/>
          <w:color w:val="000000" w:themeColor="text1"/>
          <w:sz w:val="16"/>
          <w:szCs w:val="16"/>
        </w:rPr>
        <w:softHyphen/>
        <w:t xml:space="preserve">ние двигателя </w:t>
      </w:r>
      <w:r w:rsidRPr="00C33834">
        <w:rPr>
          <w:rFonts w:ascii="Times New Roman" w:hAnsi="Times New Roman"/>
          <w:color w:val="000000" w:themeColor="text1"/>
          <w:sz w:val="16"/>
          <w:szCs w:val="16"/>
        </w:rPr>
        <w:lastRenderedPageBreak/>
        <w:t>осуществлялось нагнетающим вентилятором, трансмиссия состояла из коробки перемены передач, двой</w:t>
      </w:r>
      <w:r w:rsidRPr="00C33834">
        <w:rPr>
          <w:rFonts w:ascii="Times New Roman" w:hAnsi="Times New Roman"/>
          <w:color w:val="000000" w:themeColor="text1"/>
          <w:sz w:val="16"/>
          <w:szCs w:val="16"/>
        </w:rPr>
        <w:softHyphen/>
        <w:t>ного дифференциала и бортовой передачи колесного хода. Ходовая часть также состояла из трех пар опорных кат</w:t>
      </w:r>
      <w:r w:rsidRPr="00C33834">
        <w:rPr>
          <w:rFonts w:ascii="Times New Roman" w:hAnsi="Times New Roman"/>
          <w:color w:val="000000" w:themeColor="text1"/>
          <w:sz w:val="16"/>
          <w:szCs w:val="16"/>
        </w:rPr>
        <w:softHyphen/>
        <w:t>ков, двух направляющих, двух ведущих и двух поддержива</w:t>
      </w:r>
      <w:r w:rsidRPr="00C33834">
        <w:rPr>
          <w:rFonts w:ascii="Times New Roman" w:hAnsi="Times New Roman"/>
          <w:color w:val="000000" w:themeColor="text1"/>
          <w:sz w:val="16"/>
          <w:szCs w:val="16"/>
        </w:rPr>
        <w:softHyphen/>
        <w:t>ющих катков. На плаву танк должен был двигаться при по</w:t>
      </w:r>
      <w:r w:rsidRPr="00C33834">
        <w:rPr>
          <w:rFonts w:ascii="Times New Roman" w:hAnsi="Times New Roman"/>
          <w:color w:val="000000" w:themeColor="text1"/>
          <w:sz w:val="16"/>
          <w:szCs w:val="16"/>
        </w:rPr>
        <w:softHyphen/>
        <w:t>мощи гребного винта (10733,290).</w:t>
      </w:r>
    </w:p>
    <w:p w14:paraId="3602613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573F96"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декабре 1933 управляющим Спецмаштреста Нейман был объявлен конкурс на проектирование плавающего колесно-гусеничного </w:t>
      </w:r>
      <w:hyperlink r:id="rId407"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а Т-43 с премиальным фондом в 20 тыс. руб. В конкурс включились Опытный завод Спецмаштреста им. С.М. Кирова, с проектом </w:t>
      </w:r>
      <w:hyperlink r:id="rId408"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а Т-43-1, и завод № 37 (бывший 2-й автозавод ВАТО), разрабатывавший Т-43-2.</w:t>
      </w:r>
    </w:p>
    <w:p w14:paraId="722F2C77"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качестве двигателя предполагалось использовать мотор «Форд V-8», изготовление которого осваивалось на ГАЗе.</w:t>
      </w:r>
    </w:p>
    <w:p w14:paraId="16C9BC4E"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Т-43-1 представлял собой </w:t>
      </w:r>
      <w:hyperlink r:id="rId409"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 массой 3,6 т. Его корпус и башня изготавливались из броневых листов и штампованных деталей толщиной 4 -10 мм на клепке. Вооружение </w:t>
      </w:r>
      <w:hyperlink r:id="rId410"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а было вполне стандартным. На опытной машине должен был устанавливаться 7,62-мм пулемет ДТ во вращающейся цилиндрической башне, хотя проектом также была запланирована 45-мм пушка в неподвижной бронерубке.</w:t>
      </w:r>
    </w:p>
    <w:p w14:paraId="5449C58A"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Ввиду неподачи вовремя мотора типа «Ford V8» на </w:t>
      </w:r>
      <w:hyperlink r:id="rId411"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 поперек корпуса был установлен двигатель ГАЗ-АА. Над двигателем на крыше корпуса размещался радиатор того же ГАЗ-АА. Между двигателем и радиатором был расположен вентилятор с ременным приводом от двигателя.</w:t>
      </w:r>
    </w:p>
    <w:p w14:paraId="2D2C2ABB"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Трансмиссия </w:t>
      </w:r>
      <w:hyperlink r:id="rId412"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а также заимствовалась от грузовика ГАЗ и состояла из КПП, двойного дифференциала и бортовой передачи колесного хода.</w:t>
      </w:r>
    </w:p>
    <w:p w14:paraId="12701B7B"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Ходовая часть Т-43-1 состояла из трех опорных обрезиненных катков большого диаметра на борт, заднего ведущего и переднего направляющего колеса.</w:t>
      </w:r>
    </w:p>
    <w:p w14:paraId="71DB0576"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При движении на колесах привод осуществлялся на заднюю пару катков при помощи бортовой цилиндрической передачи с четырьмя шестернями и раздельным включением обоих осей. Управляемыми была передняя пара катков. Соединение колес с ведущими осями было реализовано через карданные валы. Подвеска задней пары катков была кривошипно-пружинной по типу </w:t>
      </w:r>
      <w:hyperlink r:id="rId413"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а Krupp: с одной стороны, высвобождался внутренний обьем </w:t>
      </w:r>
      <w:hyperlink r:id="rId414"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а, с другой стороны зависимая подвеска была неоптимальна с точки зрения высоких скоростей и уязвимости.</w:t>
      </w:r>
    </w:p>
    <w:p w14:paraId="7A6D8084"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Необычным был подход конструкторов к вопросу передвижения на плаву. Первоначальный проект предусматривал установку привычного гребного винта и рулей, но вскоре от него отказались в пользу другого технического решения. Вместо них были применены ведущие колеса, снабженные шестью поперечными лопастями. При движении на плаву «вода засасывалась ведущим колесом сбоку по ходу </w:t>
      </w:r>
      <w:hyperlink r:id="rId415"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а, с силой отбрасывалась на направляющий аппарат, заворачивающий поток на угол 90 градусов, создавая, таким образом, реакцию струи воды, направленную походу движения </w:t>
      </w:r>
      <w:hyperlink r:id="rId416"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а».</w:t>
      </w:r>
    </w:p>
    <w:p w14:paraId="55E84382"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Управление </w:t>
      </w:r>
      <w:hyperlink r:id="rId417"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ом на водной поверхности осуществлялось за счет уменьшения или увеличения оборотов соответствующих ведущих колес.</w:t>
      </w:r>
    </w:p>
    <w:p w14:paraId="4A72C04C"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Альтернативный проект Т-43-2, разработанный конструкторским коллективом под общим управлением Н.Астрова, был во многом похож на Т-43-1. По вооружению, бронированию, конструкции ходовой части и трансмиссии, а также внутреннему оборудованию оба </w:t>
      </w:r>
      <w:hyperlink r:id="rId418"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а была весьма похожи, однако имелись и отличия.</w:t>
      </w:r>
    </w:p>
    <w:p w14:paraId="2F47F6EE"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Танк имел массу 3,7 т. Его корпус и башню предполагалось изготавливать сваркой, из бронелистов толщиной 4-10 мм, однако из-за того, что опыты по сварке броневых листов на заводе успехом не увенчались, опытный образец изготовлялся клепкой.</w:t>
      </w:r>
    </w:p>
    <w:p w14:paraId="76D8E1B3"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Вооружением </w:t>
      </w:r>
      <w:hyperlink r:id="rId419"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а являлся 7,62-мм пулемет ДТ, установленный в лобовом листе башни более простой четырехгранной формы, кроме того, на крыше </w:t>
      </w:r>
      <w:hyperlink r:id="rId420"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а имелась зенитная турель.</w:t>
      </w:r>
    </w:p>
    <w:p w14:paraId="795776AD"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Т-43-2 так же, как и конкурент, получил двигатель ГАЗ-АА с КПП и радиатором одноименного грузовика. Охлаждение двигателя осуществлялось нагнетающим вентилятором, трансмиссия состояла из коробки перемены передач, двойного дифференциала и бортовой передачи колесного хода.</w:t>
      </w:r>
    </w:p>
    <w:p w14:paraId="2B70C55B"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Ходовая часть также состояла из трех пар опорных катков, двух направляющих, двух ведущих и двух поддерживающих катков. В ходовой части два задних опорных колеса не были “связаны” в единый блок. На плаву </w:t>
      </w:r>
      <w:hyperlink r:id="rId421"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 должен был двигаться при помощи гребного винта (15621).</w:t>
      </w:r>
    </w:p>
    <w:p w14:paraId="20500D4D" w14:textId="77777777" w:rsidR="0047154B" w:rsidRPr="00C33834" w:rsidRDefault="0047154B" w:rsidP="00C33834">
      <w:pPr>
        <w:spacing w:after="0" w:line="240" w:lineRule="auto"/>
        <w:jc w:val="both"/>
        <w:rPr>
          <w:rFonts w:ascii="Times New Roman" w:hAnsi="Times New Roman"/>
          <w:color w:val="000000" w:themeColor="text1"/>
          <w:sz w:val="16"/>
          <w:szCs w:val="16"/>
        </w:rPr>
      </w:pPr>
    </w:p>
    <w:p w14:paraId="3A1B034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г. проект улучшенного танка БТ с 76-мм пушкой был рассмотрен ру</w:t>
      </w:r>
      <w:r w:rsidRPr="00C33834">
        <w:rPr>
          <w:rFonts w:ascii="Times New Roman" w:hAnsi="Times New Roman"/>
          <w:color w:val="000000" w:themeColor="text1"/>
          <w:sz w:val="16"/>
          <w:szCs w:val="16"/>
        </w:rPr>
        <w:softHyphen/>
        <w:t>ководством 3-го управления (НТК) УММ РККА. Проект был в целом принят. Лишь установку курсового пулемета предписывалось упразднить из-за невозможности разме</w:t>
      </w:r>
      <w:r w:rsidRPr="00C33834">
        <w:rPr>
          <w:rFonts w:ascii="Times New Roman" w:hAnsi="Times New Roman"/>
          <w:color w:val="000000" w:themeColor="text1"/>
          <w:sz w:val="16"/>
          <w:szCs w:val="16"/>
        </w:rPr>
        <w:softHyphen/>
        <w:t>щения пулеметчика рядом с водителем и невозможности заряжать пулемет и вести огонь самому водителю (10733,340).</w:t>
      </w:r>
    </w:p>
    <w:p w14:paraId="3958F55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C8AF79" w14:textId="77777777" w:rsidR="0047154B" w:rsidRPr="00C33834" w:rsidRDefault="0047154B" w:rsidP="00C33834">
      <w:pPr>
        <w:pStyle w:val="rtejustify"/>
        <w:spacing w:before="0" w:after="0"/>
        <w:rPr>
          <w:color w:val="000000" w:themeColor="text1"/>
          <w:sz w:val="16"/>
          <w:szCs w:val="16"/>
        </w:rPr>
      </w:pPr>
      <w:r w:rsidRPr="00C33834">
        <w:rPr>
          <w:color w:val="000000" w:themeColor="text1"/>
          <w:sz w:val="16"/>
          <w:szCs w:val="16"/>
        </w:rPr>
        <w:t>С декабря мес. 1933 г. начали поступать от конструкторского бюро ОГПУ чертежи ПТ-1 со всеми изменениями и в основном сданы по первому образцу (плавающему) в марте 1934 г. По второму и третьему образцам (сухопутным) чертежи стали поступать только с февраля месяца 1934 г. (15309).</w:t>
      </w:r>
    </w:p>
    <w:p w14:paraId="42007685" w14:textId="77777777" w:rsidR="0047154B" w:rsidRPr="00C33834" w:rsidRDefault="0047154B"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CFA3A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после испытаний ПБ-4 инженеры КБС сов</w:t>
      </w:r>
      <w:r w:rsidRPr="00C33834">
        <w:rPr>
          <w:rFonts w:ascii="Times New Roman" w:hAnsi="Times New Roman"/>
          <w:color w:val="000000" w:themeColor="text1"/>
          <w:sz w:val="16"/>
          <w:szCs w:val="16"/>
        </w:rPr>
        <w:softHyphen/>
        <w:t>местно с заведующим сектором научно-технического отде</w:t>
      </w:r>
      <w:r w:rsidRPr="00C33834">
        <w:rPr>
          <w:rFonts w:ascii="Times New Roman" w:hAnsi="Times New Roman"/>
          <w:color w:val="000000" w:themeColor="text1"/>
          <w:sz w:val="16"/>
          <w:szCs w:val="16"/>
        </w:rPr>
        <w:softHyphen/>
        <w:t>ла управления механизации и моторизации Красной Армии Азбукиным наметили целый ряд изменений и дополнений, которые предполагалось внести в конструкцию следующих машин (11284).</w:t>
      </w:r>
    </w:p>
    <w:p w14:paraId="06C7427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4DE3E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г. был подготовлен ДОКЛАД НАЧАЛЬНИКУ УММ О ПЛАНЕ РАБОТ НИАБТ ПОЛИГОНА НА 1934 ГОД</w:t>
      </w:r>
    </w:p>
    <w:tbl>
      <w:tblPr>
        <w:tblW w:w="0" w:type="auto"/>
        <w:tblInd w:w="40" w:type="dxa"/>
        <w:tblLayout w:type="fixed"/>
        <w:tblCellMar>
          <w:left w:w="40" w:type="dxa"/>
          <w:right w:w="40" w:type="dxa"/>
        </w:tblCellMar>
        <w:tblLook w:val="0000" w:firstRow="0" w:lastRow="0" w:firstColumn="0" w:lastColumn="0" w:noHBand="0" w:noVBand="0"/>
      </w:tblPr>
      <w:tblGrid>
        <w:gridCol w:w="346"/>
        <w:gridCol w:w="2880"/>
        <w:gridCol w:w="2822"/>
        <w:gridCol w:w="950"/>
        <w:gridCol w:w="701"/>
      </w:tblGrid>
      <w:tr w:rsidR="00F26F01" w:rsidRPr="00C33834" w14:paraId="40250C2D" w14:textId="77777777">
        <w:trPr>
          <w:trHeight w:val="739"/>
        </w:trPr>
        <w:tc>
          <w:tcPr>
            <w:tcW w:w="346" w:type="dxa"/>
            <w:tcBorders>
              <w:top w:val="single" w:sz="6" w:space="0" w:color="auto"/>
              <w:left w:val="single" w:sz="6" w:space="0" w:color="auto"/>
              <w:bottom w:val="single" w:sz="6" w:space="0" w:color="auto"/>
              <w:right w:val="single" w:sz="6" w:space="0" w:color="auto"/>
            </w:tcBorders>
          </w:tcPr>
          <w:p w14:paraId="382C63B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p w14:paraId="19F94A2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п\п</w:t>
            </w:r>
          </w:p>
          <w:p w14:paraId="0B9F882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0235FD0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Наименование объекта</w:t>
            </w:r>
          </w:p>
          <w:p w14:paraId="6C39DC3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02C2644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Содержание работ</w:t>
            </w:r>
          </w:p>
          <w:p w14:paraId="768CF19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81D483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испытаний по кварталам</w:t>
            </w:r>
          </w:p>
          <w:p w14:paraId="3668111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1637DA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Сумма</w:t>
            </w:r>
          </w:p>
          <w:p w14:paraId="70D896F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D618360" w14:textId="77777777">
        <w:trPr>
          <w:trHeight w:val="326"/>
        </w:trPr>
        <w:tc>
          <w:tcPr>
            <w:tcW w:w="7699" w:type="dxa"/>
            <w:gridSpan w:val="5"/>
            <w:tcBorders>
              <w:top w:val="single" w:sz="6" w:space="0" w:color="auto"/>
              <w:left w:val="single" w:sz="6" w:space="0" w:color="auto"/>
              <w:bottom w:val="single" w:sz="6" w:space="0" w:color="auto"/>
              <w:right w:val="single" w:sz="6" w:space="0" w:color="auto"/>
            </w:tcBorders>
          </w:tcPr>
          <w:p w14:paraId="6850F0E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Окончание работ 1933 г.</w:t>
            </w:r>
          </w:p>
          <w:p w14:paraId="04362CC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08274AC" w14:textId="77777777">
        <w:trPr>
          <w:trHeight w:val="182"/>
        </w:trPr>
        <w:tc>
          <w:tcPr>
            <w:tcW w:w="346" w:type="dxa"/>
            <w:tcBorders>
              <w:top w:val="single" w:sz="6" w:space="0" w:color="auto"/>
              <w:left w:val="single" w:sz="6" w:space="0" w:color="auto"/>
              <w:bottom w:val="single" w:sz="6" w:space="0" w:color="auto"/>
              <w:right w:val="single" w:sz="6" w:space="0" w:color="auto"/>
            </w:tcBorders>
          </w:tcPr>
          <w:p w14:paraId="10F9B79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p w14:paraId="5705F5A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1AADC59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"Коммунар 3-90"с газогенератором</w:t>
            </w:r>
          </w:p>
          <w:p w14:paraId="1780DA2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453D4CB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Длительное испытание</w:t>
            </w:r>
          </w:p>
          <w:p w14:paraId="5BB5578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6EAEB3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w:t>
            </w:r>
          </w:p>
          <w:p w14:paraId="0D4DB64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955B45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p w14:paraId="67F3D6C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468879D" w14:textId="77777777">
        <w:trPr>
          <w:trHeight w:val="192"/>
        </w:trPr>
        <w:tc>
          <w:tcPr>
            <w:tcW w:w="346" w:type="dxa"/>
            <w:tcBorders>
              <w:top w:val="single" w:sz="6" w:space="0" w:color="auto"/>
              <w:left w:val="single" w:sz="6" w:space="0" w:color="auto"/>
              <w:bottom w:val="single" w:sz="6" w:space="0" w:color="auto"/>
              <w:right w:val="single" w:sz="6" w:space="0" w:color="auto"/>
            </w:tcBorders>
          </w:tcPr>
          <w:p w14:paraId="77C293B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p w14:paraId="7EA8E9C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311C861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"Коммунар 3-90"</w:t>
            </w:r>
          </w:p>
          <w:p w14:paraId="2E50759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5FBB46B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Спаренная езда</w:t>
            </w:r>
          </w:p>
          <w:p w14:paraId="2E95C5A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2CCA7A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w:t>
            </w:r>
          </w:p>
          <w:p w14:paraId="40499C6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301B4E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p w14:paraId="538585B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4B6328E" w14:textId="77777777">
        <w:trPr>
          <w:trHeight w:val="182"/>
        </w:trPr>
        <w:tc>
          <w:tcPr>
            <w:tcW w:w="346" w:type="dxa"/>
            <w:tcBorders>
              <w:top w:val="single" w:sz="6" w:space="0" w:color="auto"/>
              <w:left w:val="single" w:sz="6" w:space="0" w:color="auto"/>
              <w:bottom w:val="single" w:sz="6" w:space="0" w:color="auto"/>
              <w:right w:val="single" w:sz="6" w:space="0" w:color="auto"/>
            </w:tcBorders>
          </w:tcPr>
          <w:p w14:paraId="792777B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p w14:paraId="7A286D9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7C01FA7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Тягач ФП с колесами П. К.</w:t>
            </w:r>
          </w:p>
          <w:p w14:paraId="72F2D71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69324CD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Длительное испытание</w:t>
            </w:r>
          </w:p>
          <w:p w14:paraId="49B9E86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C16C37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w:t>
            </w:r>
          </w:p>
          <w:p w14:paraId="1056721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F63DAE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p w14:paraId="14D1EE7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98AB424" w14:textId="77777777">
        <w:trPr>
          <w:trHeight w:val="374"/>
        </w:trPr>
        <w:tc>
          <w:tcPr>
            <w:tcW w:w="346" w:type="dxa"/>
            <w:tcBorders>
              <w:top w:val="single" w:sz="6" w:space="0" w:color="auto"/>
              <w:left w:val="single" w:sz="6" w:space="0" w:color="auto"/>
              <w:bottom w:val="single" w:sz="6" w:space="0" w:color="auto"/>
              <w:right w:val="single" w:sz="6" w:space="0" w:color="auto"/>
            </w:tcBorders>
          </w:tcPr>
          <w:p w14:paraId="6CBE5DE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p w14:paraId="5E26665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0230698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Трактор ТР-27</w:t>
            </w:r>
          </w:p>
          <w:p w14:paraId="164D1EB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279EF3B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Полное испытание, определение тяговых свойств</w:t>
            </w:r>
          </w:p>
          <w:p w14:paraId="17F8CA0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E6AABB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w:t>
            </w:r>
          </w:p>
          <w:p w14:paraId="1D4A17B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E7BD27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p w14:paraId="2F451D8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E09ED3C" w14:textId="77777777">
        <w:trPr>
          <w:trHeight w:val="317"/>
        </w:trPr>
        <w:tc>
          <w:tcPr>
            <w:tcW w:w="7699" w:type="dxa"/>
            <w:gridSpan w:val="5"/>
            <w:tcBorders>
              <w:top w:val="single" w:sz="6" w:space="0" w:color="auto"/>
              <w:left w:val="single" w:sz="6" w:space="0" w:color="auto"/>
              <w:bottom w:val="single" w:sz="6" w:space="0" w:color="auto"/>
              <w:right w:val="single" w:sz="6" w:space="0" w:color="auto"/>
            </w:tcBorders>
          </w:tcPr>
          <w:p w14:paraId="292D725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Новые работы 1934 г.</w:t>
            </w:r>
          </w:p>
          <w:p w14:paraId="4F8936D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22F6CDB" w14:textId="77777777">
        <w:trPr>
          <w:trHeight w:val="547"/>
        </w:trPr>
        <w:tc>
          <w:tcPr>
            <w:tcW w:w="346" w:type="dxa"/>
            <w:tcBorders>
              <w:top w:val="single" w:sz="6" w:space="0" w:color="auto"/>
              <w:left w:val="single" w:sz="6" w:space="0" w:color="auto"/>
              <w:bottom w:val="single" w:sz="6" w:space="0" w:color="auto"/>
              <w:right w:val="single" w:sz="6" w:space="0" w:color="auto"/>
            </w:tcBorders>
          </w:tcPr>
          <w:p w14:paraId="3DDEFEC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p w14:paraId="2EE1B67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2421013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Трактор "Коминтерн"</w:t>
            </w:r>
          </w:p>
          <w:p w14:paraId="21377D1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68C7598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Испытание двух тракторов, подготовленных для серий с новой ходовой частью, два образца</w:t>
            </w:r>
          </w:p>
          <w:p w14:paraId="42C1D53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11DD55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 и IV</w:t>
            </w:r>
          </w:p>
          <w:p w14:paraId="108EE23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48A4AB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5000</w:t>
            </w:r>
          </w:p>
          <w:p w14:paraId="5861921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CBDF180" w14:textId="77777777">
        <w:trPr>
          <w:trHeight w:val="192"/>
        </w:trPr>
        <w:tc>
          <w:tcPr>
            <w:tcW w:w="346" w:type="dxa"/>
            <w:tcBorders>
              <w:top w:val="single" w:sz="6" w:space="0" w:color="auto"/>
              <w:left w:val="single" w:sz="6" w:space="0" w:color="auto"/>
              <w:bottom w:val="single" w:sz="6" w:space="0" w:color="auto"/>
              <w:right w:val="single" w:sz="6" w:space="0" w:color="auto"/>
            </w:tcBorders>
          </w:tcPr>
          <w:p w14:paraId="606FCCD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p w14:paraId="3C13738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51431CA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Трактор СТЗ -3</w:t>
            </w:r>
          </w:p>
          <w:p w14:paraId="16AF88D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6720725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Полное испытание</w:t>
            </w:r>
          </w:p>
          <w:p w14:paraId="62CF918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00FCA8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III</w:t>
            </w:r>
          </w:p>
          <w:p w14:paraId="08D9840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BA9972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3000</w:t>
            </w:r>
          </w:p>
          <w:p w14:paraId="5418212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54C4A3D" w14:textId="77777777">
        <w:trPr>
          <w:trHeight w:val="182"/>
        </w:trPr>
        <w:tc>
          <w:tcPr>
            <w:tcW w:w="346" w:type="dxa"/>
            <w:tcBorders>
              <w:top w:val="single" w:sz="6" w:space="0" w:color="auto"/>
              <w:left w:val="single" w:sz="6" w:space="0" w:color="auto"/>
              <w:bottom w:val="single" w:sz="6" w:space="0" w:color="auto"/>
              <w:right w:val="single" w:sz="6" w:space="0" w:color="auto"/>
            </w:tcBorders>
          </w:tcPr>
          <w:p w14:paraId="5DE684C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p w14:paraId="6F80B8D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38409F5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Зарядный ящик на ТР-4</w:t>
            </w:r>
          </w:p>
          <w:p w14:paraId="222DE17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55304F2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Тактико-техническое испытание</w:t>
            </w:r>
          </w:p>
          <w:p w14:paraId="395A583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9F76B9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III</w:t>
            </w:r>
          </w:p>
          <w:p w14:paraId="03E7FE8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61CB6D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596</w:t>
            </w:r>
          </w:p>
          <w:p w14:paraId="469E631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9CBE199" w14:textId="77777777">
        <w:trPr>
          <w:trHeight w:val="192"/>
        </w:trPr>
        <w:tc>
          <w:tcPr>
            <w:tcW w:w="346" w:type="dxa"/>
            <w:tcBorders>
              <w:top w:val="single" w:sz="6" w:space="0" w:color="auto"/>
              <w:left w:val="single" w:sz="6" w:space="0" w:color="auto"/>
              <w:bottom w:val="single" w:sz="6" w:space="0" w:color="auto"/>
              <w:right w:val="single" w:sz="6" w:space="0" w:color="auto"/>
            </w:tcBorders>
          </w:tcPr>
          <w:p w14:paraId="1AC8DAA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p w14:paraId="267A1AD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35650EA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Транспортер ТР-4</w:t>
            </w:r>
          </w:p>
          <w:p w14:paraId="00EF5D3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79D7737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Тактико-техническое испытание</w:t>
            </w:r>
          </w:p>
          <w:p w14:paraId="5976C6A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CAFA8E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w:t>
            </w:r>
          </w:p>
          <w:p w14:paraId="39EF23D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63E05D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1000</w:t>
            </w:r>
          </w:p>
          <w:p w14:paraId="34728E5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5D2D7D5" w14:textId="77777777">
        <w:trPr>
          <w:trHeight w:val="365"/>
        </w:trPr>
        <w:tc>
          <w:tcPr>
            <w:tcW w:w="346" w:type="dxa"/>
            <w:tcBorders>
              <w:top w:val="single" w:sz="6" w:space="0" w:color="auto"/>
              <w:left w:val="single" w:sz="6" w:space="0" w:color="auto"/>
              <w:bottom w:val="single" w:sz="6" w:space="0" w:color="auto"/>
              <w:right w:val="single" w:sz="6" w:space="0" w:color="auto"/>
            </w:tcBorders>
          </w:tcPr>
          <w:p w14:paraId="0D9A685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p w14:paraId="77A1056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775924A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СУ 76-мм п. пушка 27 г. на Т-27 (КГ- 27)</w:t>
            </w:r>
          </w:p>
          <w:p w14:paraId="31E0B5D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14AC235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Полное испытание</w:t>
            </w:r>
          </w:p>
          <w:p w14:paraId="2AD38EB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117472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w:t>
            </w:r>
          </w:p>
          <w:p w14:paraId="45120F0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0D7EB5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p w14:paraId="566C5A5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AC3B1ED" w14:textId="77777777">
        <w:trPr>
          <w:trHeight w:val="374"/>
        </w:trPr>
        <w:tc>
          <w:tcPr>
            <w:tcW w:w="346" w:type="dxa"/>
            <w:tcBorders>
              <w:top w:val="single" w:sz="6" w:space="0" w:color="auto"/>
              <w:left w:val="single" w:sz="6" w:space="0" w:color="auto"/>
              <w:bottom w:val="single" w:sz="6" w:space="0" w:color="auto"/>
              <w:right w:val="single" w:sz="6" w:space="0" w:color="auto"/>
            </w:tcBorders>
          </w:tcPr>
          <w:p w14:paraId="54AED58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p w14:paraId="5241888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371ECA7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П-31 (повозка для длинномерных грузов)</w:t>
            </w:r>
          </w:p>
          <w:p w14:paraId="334A8FB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4E7796A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Полное испытание</w:t>
            </w:r>
          </w:p>
          <w:p w14:paraId="5CDB493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39517A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III</w:t>
            </w:r>
          </w:p>
          <w:p w14:paraId="69B841F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CC8AA8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500</w:t>
            </w:r>
          </w:p>
          <w:p w14:paraId="1943D80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322F758" w14:textId="77777777">
        <w:trPr>
          <w:trHeight w:val="192"/>
        </w:trPr>
        <w:tc>
          <w:tcPr>
            <w:tcW w:w="346" w:type="dxa"/>
            <w:tcBorders>
              <w:top w:val="single" w:sz="6" w:space="0" w:color="auto"/>
              <w:left w:val="single" w:sz="6" w:space="0" w:color="auto"/>
              <w:bottom w:val="single" w:sz="6" w:space="0" w:color="auto"/>
              <w:right w:val="single" w:sz="6" w:space="0" w:color="auto"/>
            </w:tcBorders>
          </w:tcPr>
          <w:p w14:paraId="208DB71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p w14:paraId="77B535E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7DE1F59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П-33 (гусеничная повозка)</w:t>
            </w:r>
          </w:p>
          <w:p w14:paraId="6097D33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3B8E965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Полное испытание</w:t>
            </w:r>
          </w:p>
          <w:p w14:paraId="682B15C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7F00CC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w:t>
            </w:r>
          </w:p>
          <w:p w14:paraId="2F27D83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69E4AE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p w14:paraId="21ABB3F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EAA4663" w14:textId="77777777">
        <w:trPr>
          <w:trHeight w:val="182"/>
        </w:trPr>
        <w:tc>
          <w:tcPr>
            <w:tcW w:w="346" w:type="dxa"/>
            <w:tcBorders>
              <w:top w:val="single" w:sz="6" w:space="0" w:color="auto"/>
              <w:left w:val="single" w:sz="6" w:space="0" w:color="auto"/>
              <w:bottom w:val="single" w:sz="6" w:space="0" w:color="auto"/>
              <w:right w:val="single" w:sz="6" w:space="0" w:color="auto"/>
            </w:tcBorders>
          </w:tcPr>
          <w:p w14:paraId="7F77E02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p w14:paraId="34DF3BA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7300E09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Зарядный ящик на Т-27</w:t>
            </w:r>
          </w:p>
          <w:p w14:paraId="03B4058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2C44C06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Тактико-техническое испытание</w:t>
            </w:r>
          </w:p>
          <w:p w14:paraId="6496A16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1BC13F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w:t>
            </w:r>
          </w:p>
          <w:p w14:paraId="2757A3A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82D45B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w:t>
            </w:r>
          </w:p>
          <w:p w14:paraId="2BD8290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070AC3D" w14:textId="77777777">
        <w:trPr>
          <w:trHeight w:val="192"/>
        </w:trPr>
        <w:tc>
          <w:tcPr>
            <w:tcW w:w="346" w:type="dxa"/>
            <w:tcBorders>
              <w:top w:val="single" w:sz="6" w:space="0" w:color="auto"/>
              <w:left w:val="single" w:sz="6" w:space="0" w:color="auto"/>
              <w:bottom w:val="single" w:sz="6" w:space="0" w:color="auto"/>
              <w:right w:val="single" w:sz="6" w:space="0" w:color="auto"/>
            </w:tcBorders>
          </w:tcPr>
          <w:p w14:paraId="055B05D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w:t>
            </w:r>
          </w:p>
          <w:p w14:paraId="0FFB62E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3A0DAC9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Прицепка к Т-27 и Т-37</w:t>
            </w:r>
          </w:p>
          <w:p w14:paraId="39A37FB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50684FC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Полное испытание</w:t>
            </w:r>
          </w:p>
          <w:p w14:paraId="4CCA32A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4061FF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II</w:t>
            </w:r>
          </w:p>
          <w:p w14:paraId="7A0409E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7FD13A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300</w:t>
            </w:r>
          </w:p>
          <w:p w14:paraId="12E89A3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BBD76CC" w14:textId="77777777">
        <w:trPr>
          <w:trHeight w:val="192"/>
        </w:trPr>
        <w:tc>
          <w:tcPr>
            <w:tcW w:w="346" w:type="dxa"/>
            <w:tcBorders>
              <w:top w:val="single" w:sz="6" w:space="0" w:color="auto"/>
              <w:left w:val="single" w:sz="6" w:space="0" w:color="auto"/>
              <w:bottom w:val="single" w:sz="6" w:space="0" w:color="auto"/>
              <w:right w:val="single" w:sz="6" w:space="0" w:color="auto"/>
            </w:tcBorders>
          </w:tcPr>
          <w:p w14:paraId="7D8C507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10.</w:t>
            </w:r>
          </w:p>
          <w:p w14:paraId="0AF8AB5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00D13AF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Автотормоз к повозкам</w:t>
            </w:r>
          </w:p>
          <w:p w14:paraId="75D0B95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6363897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Полное испытание</w:t>
            </w:r>
          </w:p>
          <w:p w14:paraId="7C9C67A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742377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w:t>
            </w:r>
          </w:p>
          <w:p w14:paraId="625654A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4FA59A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750</w:t>
            </w:r>
          </w:p>
          <w:p w14:paraId="334DD3A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B6A93EC" w14:textId="77777777">
        <w:trPr>
          <w:trHeight w:val="317"/>
        </w:trPr>
        <w:tc>
          <w:tcPr>
            <w:tcW w:w="7699" w:type="dxa"/>
            <w:gridSpan w:val="5"/>
            <w:tcBorders>
              <w:top w:val="single" w:sz="6" w:space="0" w:color="auto"/>
              <w:left w:val="single" w:sz="6" w:space="0" w:color="auto"/>
              <w:bottom w:val="single" w:sz="6" w:space="0" w:color="auto"/>
              <w:right w:val="single" w:sz="6" w:space="0" w:color="auto"/>
            </w:tcBorders>
          </w:tcPr>
          <w:p w14:paraId="3E8354B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Конструкторское Бюро</w:t>
            </w:r>
          </w:p>
          <w:p w14:paraId="4F56AE5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6344B74" w14:textId="77777777">
        <w:trPr>
          <w:trHeight w:val="547"/>
        </w:trPr>
        <w:tc>
          <w:tcPr>
            <w:tcW w:w="346" w:type="dxa"/>
            <w:tcBorders>
              <w:top w:val="single" w:sz="6" w:space="0" w:color="auto"/>
              <w:left w:val="single" w:sz="6" w:space="0" w:color="auto"/>
              <w:bottom w:val="single" w:sz="6" w:space="0" w:color="auto"/>
              <w:right w:val="single" w:sz="6" w:space="0" w:color="auto"/>
            </w:tcBorders>
          </w:tcPr>
          <w:p w14:paraId="52B9A28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p w14:paraId="369D983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56E5817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Пересчет и переработка чертежей подкатных тележек для Т-27, 122-мм и 152-мм гаубиц</w:t>
            </w:r>
          </w:p>
          <w:p w14:paraId="3DA5C73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1BD8804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BD912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275BCC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II</w:t>
            </w:r>
          </w:p>
          <w:p w14:paraId="49D8596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BEA1A2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2000</w:t>
            </w:r>
          </w:p>
          <w:p w14:paraId="2EFA5FA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0111A78B" w14:textId="77777777">
        <w:trPr>
          <w:trHeight w:val="250"/>
        </w:trPr>
        <w:tc>
          <w:tcPr>
            <w:tcW w:w="6998" w:type="dxa"/>
            <w:gridSpan w:val="4"/>
            <w:tcBorders>
              <w:top w:val="single" w:sz="6" w:space="0" w:color="auto"/>
              <w:left w:val="single" w:sz="6" w:space="0" w:color="auto"/>
              <w:bottom w:val="single" w:sz="6" w:space="0" w:color="auto"/>
              <w:right w:val="single" w:sz="6" w:space="0" w:color="auto"/>
            </w:tcBorders>
          </w:tcPr>
          <w:p w14:paraId="2F3F8D6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p w14:paraId="3420E10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C662C0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18446</w:t>
            </w:r>
          </w:p>
          <w:p w14:paraId="26B4CC6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D552E1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3 отдела 3 управления УММ</w:t>
      </w:r>
    </w:p>
    <w:p w14:paraId="67D674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1.Ф. 31811. Оп. 3. Д. 331. Л. 26. Подлинник (11210).</w:t>
      </w:r>
    </w:p>
    <w:p w14:paraId="29418FF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33DA165" w14:textId="77777777" w:rsidR="000723F3" w:rsidRPr="00C33834" w:rsidRDefault="000723F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г. себестоимость автомобиля ЗИС-5 равнялась 4 648 руб. Зарплата рабочего в середине 1930-х гг. составляла 150−200 руб. Стоимость 1 кг продуктов: хлеб – 1 руб.; сахар – 4 руб.; масло − 15 руб.; мясо – 11 руб. Рабочие тратили на питание 67,3 % своей зарплаты. (17494).</w:t>
      </w:r>
    </w:p>
    <w:p w14:paraId="7E657A47" w14:textId="77777777" w:rsidR="000723F3" w:rsidRPr="00C33834" w:rsidRDefault="000723F3" w:rsidP="00C33834">
      <w:pPr>
        <w:spacing w:after="0" w:line="240" w:lineRule="auto"/>
        <w:jc w:val="both"/>
        <w:rPr>
          <w:rFonts w:ascii="Times New Roman" w:hAnsi="Times New Roman"/>
          <w:color w:val="000000" w:themeColor="text1"/>
          <w:sz w:val="16"/>
          <w:szCs w:val="16"/>
        </w:rPr>
      </w:pPr>
    </w:p>
    <w:p w14:paraId="29688A35" w14:textId="77777777" w:rsidR="00813435" w:rsidRPr="00C33834" w:rsidRDefault="00813435" w:rsidP="00C33834">
      <w:pPr>
        <w:spacing w:after="0" w:line="240" w:lineRule="auto"/>
        <w:jc w:val="both"/>
        <w:rPr>
          <w:rFonts w:ascii="Times New Roman" w:hAnsi="Times New Roman"/>
          <w:color w:val="0070C0"/>
          <w:sz w:val="16"/>
          <w:szCs w:val="16"/>
          <w:lang w:eastAsia="ru-RU" w:bidi="ru-RU"/>
        </w:rPr>
      </w:pPr>
      <w:r w:rsidRPr="00C33834">
        <w:rPr>
          <w:rFonts w:ascii="Times New Roman" w:hAnsi="Times New Roman"/>
          <w:color w:val="0070C0"/>
          <w:sz w:val="16"/>
          <w:szCs w:val="16"/>
        </w:rPr>
        <w:t>В декабре 1933 года были завершены все подготовительные работы по радиообнаружению, и аппаратура, включавшая работавший в 50-60 см диапазоне радиоволн радиопередатчик непрерывного излучения мощностью 0,2 Вт, суперрегенеративный приемник и параболические зеркала-антенны диаметром 2 метра (их срочно изготовили в мастерских лаборатории), была перевезена на территорию Гребного порта у Кроншпица Галерной гавани Ленинграда. Там аппаратура первоначально настраивалась по плоским отражающим металлическим экранам в виде алюминиевых дисков разных размеров и латунных листа-экрана (1 кв. м) и сетки (10 кв. м), которые служили своеобразными эталонами для определения качества настройки и эффективности аппаратурного комплекса. А уже после этого были начаты опыты по обнаружению воздушной цели, в роли которой выступал гидросамолет: излучающая аппаратура при этом размещалась на берегу, а приемная – на льду сначала в 20 метрах от берега, а затем в 10 метрах от излучающей аппаратуры (22709).</w:t>
      </w:r>
    </w:p>
    <w:p w14:paraId="2A8ACE4D" w14:textId="77777777" w:rsidR="00813435" w:rsidRPr="00C33834" w:rsidRDefault="00813435" w:rsidP="00C33834">
      <w:pPr>
        <w:spacing w:after="0" w:line="240" w:lineRule="auto"/>
        <w:jc w:val="both"/>
        <w:rPr>
          <w:rFonts w:ascii="Times New Roman" w:hAnsi="Times New Roman"/>
          <w:color w:val="0070C0"/>
          <w:sz w:val="16"/>
          <w:szCs w:val="16"/>
        </w:rPr>
      </w:pPr>
    </w:p>
    <w:p w14:paraId="1610E6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г. было заложено пять лодок - "Зубатка" (Щ-121), "Сайда" (Щ-122), "Угорь" (Щ-123), "Палтус" (Щ-124), и "Максун" (Щ-125), которые предназначались для Тихого океана. Две из них строились на Балтийском заводе, три на ленинградском заводе им. А. Марти, а собирались и сдавались все на Дальзаводе во Владиво</w:t>
      </w:r>
      <w:r w:rsidRPr="00C33834">
        <w:rPr>
          <w:rFonts w:ascii="Times New Roman" w:hAnsi="Times New Roman"/>
          <w:color w:val="000000" w:themeColor="text1"/>
          <w:sz w:val="16"/>
          <w:szCs w:val="16"/>
        </w:rPr>
        <w:softHyphen/>
        <w:t>стоке. Для Черноморского флота завод им. 61 Коммунара в Николае</w:t>
      </w:r>
      <w:r w:rsidRPr="00C33834">
        <w:rPr>
          <w:rFonts w:ascii="Times New Roman" w:hAnsi="Times New Roman"/>
          <w:color w:val="000000" w:themeColor="text1"/>
          <w:sz w:val="16"/>
          <w:szCs w:val="16"/>
        </w:rPr>
        <w:softHyphen/>
        <w:t>ве самостоятельно построил еще три лодки — Щ-205, Щ-206 и Щ-207. Последняя тихоокеанская лодка Щ-124 вступила в строй в но</w:t>
      </w:r>
      <w:r w:rsidRPr="00C33834">
        <w:rPr>
          <w:rFonts w:ascii="Times New Roman" w:hAnsi="Times New Roman"/>
          <w:color w:val="000000" w:themeColor="text1"/>
          <w:sz w:val="16"/>
          <w:szCs w:val="16"/>
        </w:rPr>
        <w:softHyphen/>
        <w:t>ябре 1935 г., а последняя черноморская Щ-207 — в декабре 1936 г. Таким образом, строительство всей серии заняло 37 мес., для От-дельнь1х же лодок сроки постройки составили от 16,5 мес. (Щ-121) до 34,5 мес. (Щ-207). Первая цифра свидетельствует о значитель</w:t>
      </w:r>
      <w:r w:rsidRPr="00C33834">
        <w:rPr>
          <w:rFonts w:ascii="Times New Roman" w:hAnsi="Times New Roman"/>
          <w:color w:val="000000" w:themeColor="text1"/>
          <w:sz w:val="16"/>
          <w:szCs w:val="16"/>
        </w:rPr>
        <w:softHyphen/>
        <w:t>ных достижениях в организации серийной постройки лодок, вто</w:t>
      </w:r>
      <w:r w:rsidRPr="00C33834">
        <w:rPr>
          <w:rFonts w:ascii="Times New Roman" w:hAnsi="Times New Roman"/>
          <w:color w:val="000000" w:themeColor="text1"/>
          <w:sz w:val="16"/>
          <w:szCs w:val="16"/>
        </w:rPr>
        <w:softHyphen/>
        <w:t>рая — о трудностях в новом деле на николаевском заводе им. 61 Коммунара (3898).</w:t>
      </w:r>
    </w:p>
    <w:p w14:paraId="2172839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12DFD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г. были завершены все подготовительные работы, и аппаратура была перевезена на территорию Гребного порта у Кроншпица Галерной гавани Ленинграда. Для проведения опытов по самолету Ю. К. Коровин использовал аппаратуру двухсторонней связи на ДЦВ и внес в нее только те изменения и дополнения, которые были необходимы для опыта. В состав аппаратуры входили: радиопередатчик непрерывного излучения, работавший на волнах 50–60 см, мощностью 0,2 Вт, суперрегенеративный приемник и параболические зеркала-антенны диаметром 2 м. Генераторные лампы для этой аппаратуры были созданы В. А. Тропилло и Ю. А. Кацманом (Ленинградский электротехнический институт ЛЭТИ). Вначале для достижения лучших результатов опыта аппаратура настраивалась по плоским отражающим металлическим экранам в виде алюминиевых дисков разных размеров, латунной сетки (экрана), которые служили своеобразными эталонами для определения качества настройки и эффективности аппаратурного комплекса. Метод определения предельной дальности обнаружения основывался на прослушивании пульсации принимаемого сигнала, исчезающего за порогом чувствительности слуха. Момент прекращения слышимости пульсаций фиксировался довольно точно, но судить о расстоянии между радиоаппаратурой и отражающим экраном без фактического его измерения на местности, конечно, было невозможно. После подготовительных работ были начаты опыты по обнаружению гидросамолета. Излучающая аппаратура размещалась на берегу, а приемная на льду сначала в 20 м от берега, а затем в 10 м от излучающей аппаратуры. Согласно договору с ГАУ испытания по самолету должны были закончиться в декабре 1933 г. Однако неблагоприятные погодные условия, недостаточная толщина и прочность льда у побережья Финского залива не позволяли провести опыты с гидросамолетом, установленным на лыжи (11026).</w:t>
      </w:r>
    </w:p>
    <w:p w14:paraId="1C5AA86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CFBF4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г. за № 50898 была подготовлена ДОКЛАДНАЯ ЗАПИСКА</w:t>
      </w:r>
    </w:p>
    <w:p w14:paraId="48F1E81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Секретарю ЦК ВКП(б)</w:t>
      </w:r>
    </w:p>
    <w:p w14:paraId="0360DE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Тов. Сталину</w:t>
      </w:r>
    </w:p>
    <w:p w14:paraId="364FEC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iCs/>
          <w:color w:val="000000" w:themeColor="text1"/>
          <w:sz w:val="16"/>
          <w:szCs w:val="16"/>
        </w:rPr>
        <w:t>Рез. Сталина: Секретно Молотову Ворошилову Кагановичу (лич­но) По прочтении придется обсудить.</w:t>
      </w:r>
    </w:p>
    <w:p w14:paraId="334168D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Совершенно секретно</w:t>
      </w:r>
    </w:p>
    <w:p w14:paraId="6F5FB5A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Следствие по делу о пожаре 22 октября с. г, происшедшем в кры­том эллинге з-да им Марти в гор Николаеве и выведшем из строя две подводных лодки, вскрыло, что пожар последовал в результате под­жога, совершенного диверсионной группой, в составе совграждан Гуммерта Ю (инженер з-да им Марти), Горовенко (инженер того же завода), Плохой (мастер сборочного цеха з-да им. Марти) и Иванов­ского (электросварочный мастер того же завода), по заданию германс­кого подданного инженера завода им Марти - Карлл Г (арестован, не сознался) Гуммерт и Горовенко сознались в том, что организовали поджог, действуя по указаниям инженера Карлл Плохой и Ивановс­кий показали, что были непосредственными исполнителями диверсион­ного акта, который был произведен путем поджога деревянных стапе­лей эллинга (предварительно облитых легко воспламеняющимся куз-басслаком) коротким замыканием осветительных проводов, опущенных под стапеля. Как самый факт поджога, так и техника его осуществле­ния подтверждены актом технической экспертизы.</w:t>
      </w:r>
    </w:p>
    <w:p w14:paraId="45C9A92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Дальнейшее следствие показало, что диверсионная группа Вермана с инженером Карлл, осуществившая поджог, является частью диверсионной сети, руководимой агентом германской разведки, ра­ботающим с 1908 года германским подданным, бывшим инженером з-да им. Марти - Верман В.Э. (арестован, в диверсионно-разве­дывательной работе сознался). Верман показал, что летом 1933 года ему, через секретаря германского консульства в Одессе Гана, была передана директива германской разведки о развертывании диверси­онной работы, для осуществления которой Ган предложил ему свя­заться с вышеуказанным инженером Карлл, которому и была пору­чена непосредственно диверсионная работа по заводу им. Марти.</w:t>
      </w:r>
    </w:p>
    <w:p w14:paraId="646C22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основе этой же директивы Верманом был переключен на дивер­сионную работу его агент, работающий с 1911 года инж. з-да им. Марти, совгражданин Шеффер (арестован, в диверсионно-разведывательной работе сознался).</w:t>
      </w:r>
    </w:p>
    <w:p w14:paraId="2385AAE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Диверсионно-разведывательная работа, проводившаяся Верма­ном через инженера Карлл, была увязана с управляющим «Контроль К°» в Мариуполе Вайнцетелем И - австрийский подданный (арес­тован, в диверсионной и разведывательной деятельности сознался), который показал, что с Карлл он связался летом 1933 г. и дал ему разведывательные задания по линии военного судостроения. Рабо­та Ваинцетеля И. в Мариуполе непосредственно входила в систему диверсионно-разведывательной деятельности под прикрытием фили­алов «Контроль К°».</w:t>
      </w:r>
    </w:p>
    <w:p w14:paraId="59FB40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Одновременно Вайнцетель И. создал в Мариуполе диверсионные группы на заводе "им. Ильича" и в порту. Арестованные диверсан­ты, завербованные Вайнцетелем - Ставровский, инженер, заведующий химлабораторией завода "им Ильича", совгражданин Тан­ку Э. (заведующий хозяйством того же завода, румынский поддан­ный) и Миллер (служащий Мариупольского порта, сов.гражданин), арестованные в Сибири с.г., в диверсионно-разведыватель­ной работе сознались.</w:t>
      </w:r>
    </w:p>
    <w:p w14:paraId="16E493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расширения диверсионной и шпионской работы Вайнце­тель И весной 1933 г. связался с руководителем националистичес­кой нацгерманской организации немецких колонистов на Одессщине, католическим патером совгражданином Зисько (арестован, в ди­версионно-разведывательной работе сознался), которому поручил расширить подготовительную работу к диверсии. Исполняя эту ди­рективу, Зисько организовал в Николаеве: диверсионные группы на заводе № 61, на огневых и минных складах и наметил взрыв желез­нодорожного моста, расположенного к востоку от Николаева. Вы­деленные Зисько руководители диверсионных групп Волдескул Л. (мастер завода № 61), Шааф Ф.Ф (технорук "Углеэкспорта") и Фреймех П. (мастер завода № 61) в диверсионной работе сознались. По­казания их подтверждаются сознанием ликвидированной диверси­онной низовки.</w:t>
      </w:r>
    </w:p>
    <w:p w14:paraId="5A0454D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Еще ранее Вайнцетель И. связался с католическим патером в Ма­риуполе, совгражданином Вагнером (в разведывательной и контрреволюционной работе сознался), также располагавшим определен­ным кадром немколонистов, обработанных в германском и национа­листическом духе. Непосредственно Вагнеру, для целей фашистской пропаганды, Вайнцетель И. передавал деньги от существующих в Германии организаций "помощи голодающим".</w:t>
      </w:r>
    </w:p>
    <w:p w14:paraId="733853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целях систематического использования «Контроль К°», как при­крытия для диверсионно-разведывательной работы, германской раз­ведкой в Гамбурге был привлечен в 1929 году главный управляющий «Контроль К°» в СССР бельгийский подданный Бернардт (арестован, в участии в разведработе сознался). (Известный по ар­хивным материалам царской контрразведки, как германский шпион в России, еще во время империалистической войны)</w:t>
      </w:r>
    </w:p>
    <w:p w14:paraId="52E00F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Одна из задач, поставленных разведкой перед Бернардтом, по его показаниям, сводились к тому, что последний должен был обеспечить легализацию направленных через него германских разведчиков.</w:t>
      </w:r>
    </w:p>
    <w:p w14:paraId="78CA33A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Бернардт показывает, что таким образом через него были посла­ны на работу в СССР следующие агенты разведки:</w:t>
      </w:r>
    </w:p>
    <w:p w14:paraId="002CC99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Шейнрандт - германский подданный, зам. главного управляющего "Кон­троль К°" (в настоящее время в Германии).</w:t>
      </w:r>
    </w:p>
    <w:p w14:paraId="513E6E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Вайнцетель И. - австрийский подданный, управляющий "Контроль К°", в Мариуполе, арестован.</w:t>
      </w:r>
    </w:p>
    <w:p w14:paraId="63263ED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Вайнцетель К. - австрийский подданный, управляющий "Контроль К°" в Новороссийске (арестован, не сознался).</w:t>
      </w:r>
    </w:p>
    <w:p w14:paraId="4D44F8F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Родэн P.P. - германский подданный, управляющий "Контроль К°" в Батуме (не арестован).</w:t>
      </w:r>
    </w:p>
    <w:p w14:paraId="6A0F430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Флайше германский подданный, зам. управляющего "Контроль К°" в Ленинграде (не арестован).</w:t>
      </w:r>
    </w:p>
    <w:p w14:paraId="668AC7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Ларсен - датский подданный, управляющий "Контроль К°" в Архангельске (не арестован).</w:t>
      </w:r>
    </w:p>
    <w:p w14:paraId="7523750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Гаман Г.А - сов. гражданин, служащий "Контроль К°" в Мос­кве (арестован, в разведработе сознался).</w:t>
      </w:r>
    </w:p>
    <w:p w14:paraId="6C4E84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Следствием доказано, что наряду с активной диверсионной рабо­той, агентура германской разведки, работавшая под прикрытием "Контроль К°", развила широкую разведывательную деятельность, в результате которой в руки германских разведывательных органов попали следующие важнейшие материалы военного значения.</w:t>
      </w:r>
    </w:p>
    <w:p w14:paraId="1B34C0A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Подробные данные о строительстве подлодок на заводе им Марти.</w:t>
      </w:r>
    </w:p>
    <w:p w14:paraId="51CF971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Рецепты специальной танковой стали, изготовляемой на заво­де им Марти в Мариуполе.</w:t>
      </w:r>
    </w:p>
    <w:p w14:paraId="23E33D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Данные по мобплану завода им Марти.</w:t>
      </w:r>
    </w:p>
    <w:p w14:paraId="5FAF6EB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План противовоздушной обороны г Москвы.</w:t>
      </w:r>
    </w:p>
    <w:p w14:paraId="6837749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Данные топографической съемки участка дальневосточной гра­ницы, в районе ст. Пограничная и др.</w:t>
      </w:r>
    </w:p>
    <w:p w14:paraId="3280A6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Арестованный в Москве гр СССР, корреспондент-переводчик главной конторы 'Контроль К°" - Гаман, сознался в разведработе в пользу Германии с 1914 г. и выдал сеть своих агентов в количестве 7 человек Арестованные агенты Гамана - (совгражданин, инженер "Стальмоста"), Вицке (сов гражданин, инженер треста "Башзолото", Петрасевич (гр. СССР, бывший полковник царской армии, пре­подаватель Горного ин-та в Москве), в разведывательной деятель­ности сознались.</w:t>
      </w:r>
    </w:p>
    <w:p w14:paraId="0C7A172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числа арестованных по группе Гамана не сознались - Бубнов (гр. СССР, зав топографическим бюро Института геологии) и Почкин (гр. СССР, кинооператор "Межрабпомфильм"), входившие в разведсеть Гамана.</w:t>
      </w:r>
    </w:p>
    <w:p w14:paraId="42D6C17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Крамер И.В. (гр. СССР, преподаватель немецкого языка в гор. Горький), Стефановский (гр. СССР, бывший служащий концессии "Друзаг" устанавливается), как не находящиеся в настоящее время в Москве, устанавливаются и будут арестованы.</w:t>
      </w:r>
    </w:p>
    <w:p w14:paraId="43C959C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Прошу указаний о дальнейшем направлении следствия и возмож­ности гласного судебного процесса Одновременно, в целях полного вскрытия диверсионной работы, проводившейся под прикрытием "Контроль К°", прошу санкционировать арест.</w:t>
      </w:r>
    </w:p>
    <w:p w14:paraId="1E854B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Родэй Р Р - германский подданный, управляющий "Контроль К°" в Батуме.</w:t>
      </w:r>
    </w:p>
    <w:p w14:paraId="7AB4403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Флайше - германский подданный, зам управляющего "Конт­роль К°" в Ленинграде.</w:t>
      </w:r>
    </w:p>
    <w:p w14:paraId="7011B7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Ларсен - датский подданный, управляющий "Контроль К°" в Архангельске.</w:t>
      </w:r>
    </w:p>
    <w:p w14:paraId="72B5063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Зам. Пред. ОГПУ Ягода </w:t>
      </w:r>
    </w:p>
    <w:p w14:paraId="25BD31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АП РФ ф.3, оп. 58, д. 243, л. 210-215 (11462).</w:t>
      </w:r>
    </w:p>
    <w:p w14:paraId="662843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1C26870"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катер АНТ-5 прошел государственные испытания, которые шли с 22 ноября. Испытания АНТ-5 привели начальство буквально в восторг — катер с торпедами развивал скорость 58 узлов, а без торпед — 65,3 узла. О таких скоростях не могли и мечтать катера других стран.</w:t>
      </w:r>
    </w:p>
    <w:p w14:paraId="0A2D50E8"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им. Марта, начиная с V серии (первые четыре серии — это катера Ш-4), перешел на производство Г-5 (так назывались серийные катера АНТ-5). Позже Г-5 стали строить и на заводе № 532 в Керчи, а с началом войны завод № 532 эвакуировали в Тюмень, и там на заводе № 639 также приступили к строительству катеров типа Г-5. Всего был построен 321 серийный катер Г-5 девяти серий (с VI по XII, включая Х1бис).</w:t>
      </w:r>
    </w:p>
    <w:p w14:paraId="07857AF3"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Торпедное вооружение у всех серий было одинаково: две 533-мм торпеды в желобковых аппаратах. А вот пулеметное вооружение постоянно менялось. Так, катера VI—IX серий имели по два 7,62-мм авиационных пулемета ДА. Следующие серии имели по два 7,62-мм авиационных пулеметов ШКАС, отличавшихся большей скорострельностью.</w:t>
      </w:r>
    </w:p>
    <w:p w14:paraId="26CA6544"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1941 г. катера стали оснащать одним-двумя 12,7-мм пулеметами ДШК. Кроме того, силами флотских умельцев были созданы импровизированные ординарные и спаренные 20-мм установки авиационных пушек ШВАК.</w:t>
      </w:r>
    </w:p>
    <w:p w14:paraId="3D9BA2E4"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Водоизмещение катеров Г-5 колебалось от 14,91 т (VI серии) до 19,94 т (XI серии). Большинство катеров имело по два отечественных бензиновых двигателя ГАМ-34БП и БС мощностью 850 л. с. каждый. 25 катеров IX серии были оснащены итальянскими двигателями «Изотто-Фраскини» А 550—1000. 40 катеров серии Х1бис оснащены форсированными двигателями ГАМ-34Ф мощностью по 1000 л. с. А в ходе войны катера снабжались двумя американскими двигателями «Паккард» мощностью по 1150 л.с.</w:t>
      </w:r>
    </w:p>
    <w:p w14:paraId="16C4DFB8"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хода катеров составляла от 45 до 52 узлов. А стоимость постройки — от 475 тыс. руб. (первые серии) до 620 тыс. руб. (начиная с XI серии).</w:t>
      </w:r>
    </w:p>
    <w:p w14:paraId="19C755FC"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Как работали эти двигатели ГАМ-34, пусть даже теоретически, можно понять из следующего документа: «Правила ухода и обслуживания катера Г-5». Полный ход достигался при 1900 об./мин. двигателя. Но работать при скорости 1900 об/мин. можно было не более 20 мин., а при скорости 1800 об/мин. — не более 1 часа. Причем полный ход можно было развивать только в боевых условиях. А «пользоваться самым полным ходом при 1800—1900 об/мин. в условиях боевой подготовки запрещается».</w:t>
      </w:r>
    </w:p>
    <w:p w14:paraId="0F3A6A9C"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24, изготавливавший двигатели ГАМ-34, давал им гарантию лишь на 150 часов работы двигателя, далее должна была производиться полная переборка двигателя и ремонт (15117).</w:t>
      </w:r>
    </w:p>
    <w:p w14:paraId="4F188FC7" w14:textId="77777777" w:rsidR="0047154B" w:rsidRPr="00C33834" w:rsidRDefault="0047154B" w:rsidP="00C33834">
      <w:pPr>
        <w:spacing w:after="0" w:line="240" w:lineRule="auto"/>
        <w:jc w:val="both"/>
        <w:rPr>
          <w:rFonts w:ascii="Times New Roman" w:hAnsi="Times New Roman"/>
          <w:color w:val="000000" w:themeColor="text1"/>
          <w:sz w:val="16"/>
          <w:szCs w:val="16"/>
        </w:rPr>
      </w:pPr>
    </w:p>
    <w:p w14:paraId="7C50AC77" w14:textId="77777777" w:rsidR="00EB0B16" w:rsidRPr="00C33834" w:rsidRDefault="00EB0B16"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color w:val="000000" w:themeColor="text1"/>
          <w:sz w:val="16"/>
          <w:szCs w:val="16"/>
        </w:rPr>
        <w:t xml:space="preserve">В декабре </w:t>
      </w:r>
      <w:r w:rsidRPr="00C33834">
        <w:rPr>
          <w:rStyle w:val="highlight"/>
          <w:rFonts w:ascii="Times New Roman" w:hAnsi="Times New Roman"/>
          <w:color w:val="000000" w:themeColor="text1"/>
          <w:sz w:val="16"/>
          <w:szCs w:val="16"/>
        </w:rPr>
        <w:t> 1933 </w:t>
      </w:r>
      <w:r w:rsidRPr="00C33834">
        <w:rPr>
          <w:rFonts w:ascii="Times New Roman" w:hAnsi="Times New Roman"/>
          <w:color w:val="000000" w:themeColor="text1"/>
          <w:sz w:val="16"/>
          <w:szCs w:val="16"/>
        </w:rPr>
        <w:t xml:space="preserve"> г., согласно официальной статистике, продукция тяжелой промышленности была на 12% выше, чем в декабре 1932 г. и превзошла уровень максимального падения в январе </w:t>
      </w:r>
      <w:r w:rsidRPr="00C33834">
        <w:rPr>
          <w:rStyle w:val="highlight"/>
          <w:rFonts w:ascii="Times New Roman" w:hAnsi="Times New Roman"/>
          <w:color w:val="000000" w:themeColor="text1"/>
          <w:sz w:val="16"/>
          <w:szCs w:val="16"/>
        </w:rPr>
        <w:t> 1933 </w:t>
      </w:r>
      <w:r w:rsidRPr="00C33834">
        <w:rPr>
          <w:rFonts w:ascii="Times New Roman" w:hAnsi="Times New Roman"/>
          <w:color w:val="000000" w:themeColor="text1"/>
          <w:sz w:val="16"/>
          <w:szCs w:val="16"/>
        </w:rPr>
        <w:t xml:space="preserve"> г. на 35%. Конфиденциальный годовой отчет британского министерства иностранных дел о положении в СССР за </w:t>
      </w:r>
      <w:r w:rsidRPr="00C33834">
        <w:rPr>
          <w:rStyle w:val="highlight"/>
          <w:rFonts w:ascii="Times New Roman" w:hAnsi="Times New Roman"/>
          <w:color w:val="000000" w:themeColor="text1"/>
          <w:sz w:val="16"/>
          <w:szCs w:val="16"/>
        </w:rPr>
        <w:t> 1933 </w:t>
      </w:r>
      <w:r w:rsidRPr="00C33834">
        <w:rPr>
          <w:rFonts w:ascii="Times New Roman" w:hAnsi="Times New Roman"/>
          <w:color w:val="000000" w:themeColor="text1"/>
          <w:sz w:val="16"/>
          <w:szCs w:val="16"/>
        </w:rPr>
        <w:t xml:space="preserve"> г. отмечал, что «кажется, существуют определенные основания, в свете прогресса, достигнутого ключевыми отраслями в последние месяцы, для растущего оптимизма, с которым власти смотрят в будущее» (17281).</w:t>
      </w:r>
    </w:p>
    <w:p w14:paraId="3DF55601" w14:textId="77777777" w:rsidR="00EB0B16" w:rsidRPr="00C33834" w:rsidRDefault="00EB0B1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7F1391C" w14:textId="77777777" w:rsidR="002E2083"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4C28AB5B"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F42A7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г. были планы формирования десяти эскадрилий по 19 машин в каждой. Они должны были использоваться для обеспечения ПВО важнейших объектов. Реально же размах использования этих самолётов оказался куда меньше. Этитм мотивировался заказ 200 истребителей ИП-1 (12005).</w:t>
      </w:r>
    </w:p>
    <w:p w14:paraId="4B12C4D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A15CE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г. среди учебных машин было всего три И-5, а ещё восемь находились в учебной бригаде Военно-воздушной академии. В октябре 1935 г. появился приказ начальника УВВС о передаче десяти И-5 во 2-ю школу лётчиков в Борисоглебске. Машины брали из числа старых и изношенных, сдававшихся строевыми частями. Реально лишь в 1936 г. "пятерками" стали укомплектовывать Борисоглебскую и Качинс- кую школы, а затем и другие, готовившие лётчиков-истребителей. Там они сменили И-3 и И-4.</w:t>
      </w:r>
    </w:p>
    <w:p w14:paraId="218EF58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 стал ступенькой для перехода с чисто учебных машин на боевые И-15 и И-16. Например, в Борисоглебской школе в 1937 г. перед полётами на УТИ-4 (двухместном варианте И-16) курсанты, освоившие У-2, обязательно тренировались на И-5. В конце 1930-х гг. они имелись в Ульяновской, Оренбургской, Одесской школах. Самые потрёпанные, со снятым с крыльев полотном, использовались для тренировки курсантов в рулении по аэродрому.</w:t>
      </w:r>
    </w:p>
    <w:p w14:paraId="046D50D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Располагали И-5 и авиационно-технические школы, готовившие механиков. Например, школа в Иркутске имела шесть таких машин, служивших нелетающими учебными пособиями.</w:t>
      </w:r>
    </w:p>
    <w:p w14:paraId="70C264E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Самолёты ранних серий к тому времени были уже сильно изношены. Например, в июле 1936 г. командующий Ленинградским военным округом Б.М. Шапошников докладывал наркому К.Е. Ворошилову, что в 13-й эскадрилье осталось 14 истребителей на 43 лётчика, причём только три машины были исправны настолько, что им разрешалось удаляться от аэродрома (11997).</w:t>
      </w:r>
    </w:p>
    <w:p w14:paraId="6CA5B8D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CB243D1"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г. крайне обострилась обстановка на китайской границе, где произошел инцидент в Синьцзяне: генерал Ма-Чжуин, подстрекаемый япон</w:t>
      </w:r>
      <w:r w:rsidRPr="00C33834">
        <w:rPr>
          <w:rFonts w:ascii="Times New Roman" w:hAnsi="Times New Roman"/>
          <w:color w:val="000000" w:themeColor="text1"/>
          <w:sz w:val="16"/>
          <w:szCs w:val="16"/>
        </w:rPr>
        <w:softHyphen/>
        <w:t>скими милитаристами, поднял мятеж против законного провинциального пра</w:t>
      </w:r>
      <w:r w:rsidRPr="00C33834">
        <w:rPr>
          <w:rFonts w:ascii="Times New Roman" w:hAnsi="Times New Roman"/>
          <w:color w:val="000000" w:themeColor="text1"/>
          <w:sz w:val="16"/>
          <w:szCs w:val="16"/>
        </w:rPr>
        <w:softHyphen/>
        <w:t>вительства. Его войска окружили столицу г. Урумчи и штурмовали крепост</w:t>
      </w:r>
      <w:r w:rsidRPr="00C33834">
        <w:rPr>
          <w:rFonts w:ascii="Times New Roman" w:hAnsi="Times New Roman"/>
          <w:color w:val="000000" w:themeColor="text1"/>
          <w:sz w:val="16"/>
          <w:szCs w:val="16"/>
        </w:rPr>
        <w:softHyphen/>
        <w:t>ные стены. Губернатор провинции Шень Дубань обратился за помощью к на</w:t>
      </w:r>
      <w:r w:rsidRPr="00C33834">
        <w:rPr>
          <w:rFonts w:ascii="Times New Roman" w:hAnsi="Times New Roman"/>
          <w:color w:val="000000" w:themeColor="text1"/>
          <w:sz w:val="16"/>
          <w:szCs w:val="16"/>
        </w:rPr>
        <w:softHyphen/>
        <w:t>шей стране.</w:t>
      </w:r>
    </w:p>
    <w:p w14:paraId="4DE065B1"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аэродроме Вахты была сосредоточена авиационная группа погранвойск Среднеазиатского региона в количестве четырех авиаотрядов. Командиром этой авиационной группы был назначен командир 4-го отдельного авиацион</w:t>
      </w:r>
      <w:r w:rsidRPr="00C33834">
        <w:rPr>
          <w:rFonts w:ascii="Times New Roman" w:hAnsi="Times New Roman"/>
          <w:color w:val="000000" w:themeColor="text1"/>
          <w:sz w:val="16"/>
          <w:szCs w:val="16"/>
        </w:rPr>
        <w:softHyphen/>
        <w:t>ного отряда (г. Акмолинск) К. Шишков. В ночь на 25 декабря личный состав звена самолетов Р-5 был поднят по тревоге.</w:t>
      </w:r>
    </w:p>
    <w:p w14:paraId="34AA1D0E"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рассвете первым взлетел К. Шишков, за ним стартовали В. Полынин и С. Антоненок. Тяжело груженные машины оторвались от земли и легли на за</w:t>
      </w:r>
      <w:r w:rsidRPr="00C33834">
        <w:rPr>
          <w:rFonts w:ascii="Times New Roman" w:hAnsi="Times New Roman"/>
          <w:color w:val="000000" w:themeColor="text1"/>
          <w:sz w:val="16"/>
          <w:szCs w:val="16"/>
        </w:rPr>
        <w:softHyphen/>
        <w:t>данный курс. Подлетая к Урумчи, экипажи увидели у крепостной стены, опоясывающей город, множество людей. Это мятежники штурмовали кре</w:t>
      </w:r>
      <w:r w:rsidRPr="00C33834">
        <w:rPr>
          <w:rFonts w:ascii="Times New Roman" w:hAnsi="Times New Roman"/>
          <w:color w:val="000000" w:themeColor="text1"/>
          <w:sz w:val="16"/>
          <w:szCs w:val="16"/>
        </w:rPr>
        <w:softHyphen/>
        <w:t xml:space="preserve">пость, позади пехоты гарцевали </w:t>
      </w:r>
      <w:r w:rsidRPr="00C33834">
        <w:rPr>
          <w:rFonts w:ascii="Times New Roman" w:hAnsi="Times New Roman"/>
          <w:color w:val="000000" w:themeColor="text1"/>
          <w:sz w:val="16"/>
          <w:szCs w:val="16"/>
        </w:rPr>
        <w:lastRenderedPageBreak/>
        <w:t>конники. Тускло поблескивали частые вспышки выстрелов. До сих пор К. Шишкову и его ведомым экипажам прихо</w:t>
      </w:r>
      <w:r w:rsidRPr="00C33834">
        <w:rPr>
          <w:rFonts w:ascii="Times New Roman" w:hAnsi="Times New Roman"/>
          <w:color w:val="000000" w:themeColor="text1"/>
          <w:sz w:val="16"/>
          <w:szCs w:val="16"/>
        </w:rPr>
        <w:softHyphen/>
        <w:t>дилось бомбить только на полигонах, сейчас же внизу была реальная цель. Снизившись до высоты 250 м экипажи сбросили бомбы в гущу мятежников. На выходе из атаки открывали огонь из пулеметов. На третьем заходе было прекрасно видно, как толпа нападающих отхлынула от стен и бросилась врас</w:t>
      </w:r>
      <w:r w:rsidRPr="00C33834">
        <w:rPr>
          <w:rFonts w:ascii="Times New Roman" w:hAnsi="Times New Roman"/>
          <w:color w:val="000000" w:themeColor="text1"/>
          <w:sz w:val="16"/>
          <w:szCs w:val="16"/>
        </w:rPr>
        <w:softHyphen/>
        <w:t>сыпную. Обогнав бегущих пеших бандитов, помчалась в горы и конница.</w:t>
      </w:r>
    </w:p>
    <w:p w14:paraId="7D296F2F"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Благодаря своевременной помощи летчиков удалось не только снять бло</w:t>
      </w:r>
      <w:r w:rsidRPr="00C33834">
        <w:rPr>
          <w:rFonts w:ascii="Times New Roman" w:hAnsi="Times New Roman"/>
          <w:color w:val="000000" w:themeColor="text1"/>
          <w:sz w:val="16"/>
          <w:szCs w:val="16"/>
        </w:rPr>
        <w:softHyphen/>
        <w:t>каду крепости и города, но и отбросить мятежников далеко в горы (12299).</w:t>
      </w:r>
    </w:p>
    <w:p w14:paraId="399B5AC1" w14:textId="77777777" w:rsidR="000904A1" w:rsidRPr="00C33834" w:rsidRDefault="000904A1" w:rsidP="00C33834">
      <w:pPr>
        <w:spacing w:after="0" w:line="240" w:lineRule="auto"/>
        <w:jc w:val="both"/>
        <w:rPr>
          <w:rFonts w:ascii="Times New Roman" w:hAnsi="Times New Roman"/>
          <w:color w:val="000000" w:themeColor="text1"/>
          <w:sz w:val="16"/>
          <w:szCs w:val="16"/>
        </w:rPr>
      </w:pPr>
    </w:p>
    <w:p w14:paraId="17F5818C"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40778CC2"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55FD1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декабрь 1933 года (с августа 1932) по закону 7 августа1932 г. ("о трех колосках") было осуждено более 125 тыс.человек, из которых 5.400 приговорено к смертной казни (10687).</w:t>
      </w:r>
    </w:p>
    <w:p w14:paraId="07F34D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BEA1823"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7EACA5EB"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06612D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ЦК ВКП(б) признал возможным вступление в Лигу наций и вскоре получил приглашение (226,427).</w:t>
      </w:r>
    </w:p>
    <w:p w14:paraId="26EDC6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AEADAE0" w14:textId="77777777" w:rsidR="002E2083" w:rsidRPr="00C33834" w:rsidRDefault="002E2083" w:rsidP="00C3383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была подготовлена Справка ИНО НКТП о привлечении иностранной технической помощи в тяжёлую промышленность СССР, согласно которой:</w:t>
      </w:r>
    </w:p>
    <w:p w14:paraId="6EDB6D8F" w14:textId="77777777" w:rsidR="002E2083" w:rsidRPr="00C33834" w:rsidRDefault="002E2083" w:rsidP="00C3383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июле 1933 г. из 1989 иноспециалистов, работавших в тяжёлой промышленности СССР, в проектирующих организациях (включая и инженеров) трудилось 136 чел., т.е. 7% (11596).</w:t>
      </w:r>
    </w:p>
    <w:p w14:paraId="7306EAE7" w14:textId="77777777" w:rsidR="002E2083" w:rsidRPr="00C33834" w:rsidRDefault="002E2083" w:rsidP="00C3383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p>
    <w:p w14:paraId="6B6E85BE"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A0DC489"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D396EA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декабре 1933 г. усташи произвели не удавшуюся попытку убить короля Александра в Загребе (3871).</w:t>
      </w:r>
    </w:p>
    <w:p w14:paraId="2F56969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7DC1937"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1C01E35"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253BF2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последние дни 1933 по решению ГУАП из состава ЦКБ были выведены бригада морских самолетов Г.М.Бериева и группа конструкторов бригады N 3 во главе с В.А.Чижевским, на основе которой было вновь организовано БОК (24,81).</w:t>
      </w:r>
    </w:p>
    <w:p w14:paraId="61DA1F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Дело в том, что только три первых бригады вели проектирование и постройку заданного самолета от предэскизного проекта до передачи опытного образца в серийное производство. Четвертая, пятая и шестая бригады были централизованными и делили свои силы между тремя первыми бригадами, осуществляя в их интересах соответствующего вооружения, оборудования и т.п. На практике сотрудники этих бригад стали постоянными работниками первых трех бригад, хотя формально оставались в составе своих специальных бригад (24,86).\</w:t>
      </w:r>
    </w:p>
    <w:p w14:paraId="07E7142B"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6FD6E31"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3792CF7"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ABEA71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инициативная группа ведущих ученых ВВА разработала проект ДБ для замены ТБ-3 и потом он стал ДБА (2203,12).</w:t>
      </w:r>
    </w:p>
    <w:p w14:paraId="5F1C1E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4D9603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 при формировании плана опытно-конструкторских работ по самолетостроению на 1934-35 годы А.Н. Туполев внес предложение построить отечественный скоростной бомбардировщик. Правда, первые наметки Туполева были довольно скромны: скорость 300-320 км/ч (а В-10 имел 340 км/ч). В итоге уже в первый вариант плана заложили два новых двухмоторных "бомбардировщика ближнего действия". Создание одного из них, цельнометаллического, поручили КОСОС ЦАГИ, руководимому Туполевым. Работу над вторым самолетом, смешанной конструкции, задали заводу № 39 - фактически базировавшемуся там Центральному конструкторскому бюро (ЦКБ). Начальником ЦКБ в то время являлся С.В. Ильюшин. Он тогда был более известен как высокопоставленный администратор, нежели как конструктор. Его конструкторский опыт сводился лишь к созданию нескольких учебных и спортивных планеров. Однако Ильюшин рвался к самостоятельной работе по проектированию боевых самолетов. Уже в феврале 1934 г. с согласия начальника Главного управления авиационной промышленности (ГУАП) П.И. Баранова в рамках ЦКБ он создал небольшую собственную группу (12021).</w:t>
      </w:r>
    </w:p>
    <w:p w14:paraId="324C62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776A63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концу 1933 два варианта ЦКБ-2 (И-16) - с РЦ Ф-2 и М-22 были готовы и оба были с капотами НАСА. На варианте с РЦ был трехлопастный винт Гамильтон Стандарт. Из-за зимы машины поставили на неубирающиеся лыжи (1808,4).</w:t>
      </w:r>
    </w:p>
    <w:p w14:paraId="5DD272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D74FF6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концу 1933 г. оба опытных экземпляра ЦКБ-12 были готовы. Внешне самолеты не имели отличий - оба лобастые толстячки с двигателями. прикрытыми цилиндрическими капотами NACA. Впрочем, отличить ЦКБ-12бис с американским двигателем можно было довольно легко - на нем стоял трехлопастной воздушный винт "Гамильтон Стандарт". Так как стояла середина зимы, машины установили на неубираемые лыжи, которые не позволяли определить максимальную скорость самолетов, однако давали возможность начать испытательные полеты незамедлительно (12015).</w:t>
      </w:r>
    </w:p>
    <w:p w14:paraId="3C76CE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4D1C5A9" w14:textId="77777777" w:rsidR="001D47E8" w:rsidRPr="00C33834" w:rsidRDefault="001D47E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конца 1933 г. на авиазаводе № 39 в Москве изготовили два опытных экземпляра: ЦКБ-12 с двигателем М-22 мощно</w:t>
      </w:r>
      <w:r w:rsidRPr="00C33834">
        <w:rPr>
          <w:rFonts w:ascii="Times New Roman" w:hAnsi="Times New Roman"/>
          <w:color w:val="000000" w:themeColor="text1"/>
          <w:sz w:val="16"/>
          <w:szCs w:val="16"/>
        </w:rPr>
        <w:softHyphen/>
        <w:t>стью 480 л.с. и</w:t>
      </w:r>
      <w:r w:rsidRPr="00C33834">
        <w:rPr>
          <w:rStyle w:val="aff8"/>
          <w:rFonts w:ascii="Times New Roman" w:hAnsi="Times New Roman" w:cs="Times New Roman"/>
          <w:b w:val="0"/>
          <w:color w:val="000000" w:themeColor="text1"/>
          <w:spacing w:val="0"/>
          <w:sz w:val="16"/>
          <w:szCs w:val="16"/>
        </w:rPr>
        <w:t xml:space="preserve"> ЦКБ-12бис</w:t>
      </w:r>
      <w:r w:rsidRPr="00C33834">
        <w:rPr>
          <w:rFonts w:ascii="Times New Roman" w:hAnsi="Times New Roman"/>
          <w:color w:val="000000" w:themeColor="text1"/>
          <w:sz w:val="16"/>
          <w:szCs w:val="16"/>
        </w:rPr>
        <w:t xml:space="preserve"> с мотором </w:t>
      </w:r>
      <w:r w:rsidRPr="00C33834">
        <w:rPr>
          <w:rFonts w:ascii="Times New Roman" w:hAnsi="Times New Roman"/>
          <w:color w:val="000000" w:themeColor="text1"/>
          <w:sz w:val="16"/>
          <w:szCs w:val="16"/>
          <w:lang w:val="en-US"/>
        </w:rPr>
        <w:t>Wright</w:t>
      </w:r>
      <w:r w:rsidRPr="00C33834">
        <w:rPr>
          <w:rFonts w:ascii="Times New Roman" w:hAnsi="Times New Roman"/>
          <w:color w:val="000000" w:themeColor="text1"/>
          <w:sz w:val="16"/>
          <w:szCs w:val="16"/>
        </w:rPr>
        <w:t xml:space="preserve"> </w:t>
      </w:r>
      <w:r w:rsidRPr="00C33834">
        <w:rPr>
          <w:rFonts w:ascii="Times New Roman" w:hAnsi="Times New Roman"/>
          <w:color w:val="000000" w:themeColor="text1"/>
          <w:sz w:val="16"/>
          <w:szCs w:val="16"/>
          <w:lang w:val="en-US"/>
        </w:rPr>
        <w:t>Cyclone</w:t>
      </w:r>
      <w:r w:rsidRPr="00C33834">
        <w:rPr>
          <w:rFonts w:ascii="Times New Roman" w:hAnsi="Times New Roman"/>
          <w:color w:val="000000" w:themeColor="text1"/>
          <w:sz w:val="16"/>
          <w:szCs w:val="16"/>
        </w:rPr>
        <w:t xml:space="preserve"> мощно</w:t>
      </w:r>
      <w:r w:rsidRPr="00C33834">
        <w:rPr>
          <w:rFonts w:ascii="Times New Roman" w:hAnsi="Times New Roman"/>
          <w:color w:val="000000" w:themeColor="text1"/>
          <w:sz w:val="16"/>
          <w:szCs w:val="16"/>
        </w:rPr>
        <w:softHyphen/>
        <w:t>стью 700 л.с. 30 декабря летчик-испытатель этого авиазавода Валерий Чкалов впервые поднял в воздух ЦКБ-12 с двигателем М-22. В первых числах января 1934 г. дебютировал и ЦКБ-12бис. В воздухе обе машины вели себя практически одинаково, одна</w:t>
      </w:r>
      <w:r w:rsidRPr="00C33834">
        <w:rPr>
          <w:rFonts w:ascii="Times New Roman" w:hAnsi="Times New Roman"/>
          <w:color w:val="000000" w:themeColor="text1"/>
          <w:sz w:val="16"/>
          <w:szCs w:val="16"/>
        </w:rPr>
        <w:softHyphen/>
        <w:t>ко управлять ими, по мнению Чкалова, оказалось трудно и не</w:t>
      </w:r>
      <w:r w:rsidRPr="00C33834">
        <w:rPr>
          <w:rFonts w:ascii="Times New Roman" w:hAnsi="Times New Roman"/>
          <w:color w:val="000000" w:themeColor="text1"/>
          <w:sz w:val="16"/>
          <w:szCs w:val="16"/>
        </w:rPr>
        <w:softHyphen/>
        <w:t>привычно. Они энергично реагировали на действия рулей, легко переходили с фигуры на фигуру, однако не допускали резких движений ручкой управления. Особую осторожность приходи</w:t>
      </w:r>
      <w:r w:rsidRPr="00C33834">
        <w:rPr>
          <w:rFonts w:ascii="Times New Roman" w:hAnsi="Times New Roman"/>
          <w:color w:val="000000" w:themeColor="text1"/>
          <w:sz w:val="16"/>
          <w:szCs w:val="16"/>
        </w:rPr>
        <w:softHyphen/>
        <w:t>лось проявлять во время посадки. Самолет не позволял высоко</w:t>
      </w:r>
      <w:r w:rsidRPr="00C33834">
        <w:rPr>
          <w:rFonts w:ascii="Times New Roman" w:hAnsi="Times New Roman"/>
          <w:color w:val="000000" w:themeColor="text1"/>
          <w:sz w:val="16"/>
          <w:szCs w:val="16"/>
        </w:rPr>
        <w:softHyphen/>
        <w:t>го выравнивания, стремился свалиться на крыло.</w:t>
      </w:r>
    </w:p>
    <w:p w14:paraId="6E98A847" w14:textId="77777777" w:rsidR="001D47E8" w:rsidRPr="00C33834" w:rsidRDefault="001D47E8" w:rsidP="00C33834">
      <w:pPr>
        <w:pStyle w:val="a8"/>
        <w:jc w:val="both"/>
        <w:rPr>
          <w:rFonts w:ascii="Times New Roman" w:hAnsi="Times New Roman" w:cs="Times New Roman"/>
          <w:color w:val="000000" w:themeColor="text1"/>
        </w:rPr>
      </w:pPr>
      <w:r w:rsidRPr="00C33834">
        <w:rPr>
          <w:rFonts w:ascii="Times New Roman" w:hAnsi="Times New Roman" w:cs="Times New Roman"/>
          <w:color w:val="000000" w:themeColor="text1"/>
        </w:rPr>
        <w:t>С двигателем М-22 истребитель развивал скорость чуть выше 300 км/ч, а с «Циклоном» — 360 км/ч. Среди недостатков, присущих опытным экземплярам, испытатели отметили несовершенную систему бензопитания, хлипкий фонарь, слабое крепление прицела, неудобные плечевые привязные ремни. Также возникли сомнения в благополучном выходе из штопора, однако их развеяли проведенные в первых числах марта специальные испытания.</w:t>
      </w:r>
    </w:p>
    <w:p w14:paraId="717C9B5C" w14:textId="77777777" w:rsidR="001D47E8" w:rsidRPr="00C33834" w:rsidRDefault="001D47E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проведении доработок ЦКБ-12бис подвергли значительным изменениям. Его оснастили новым двигателем Райт «Циклон» R-1820 F-3 с капотом тоннельного типа, близким к так называемому капоту «Уоттера». Кроме того, на самолете усилили крыло, носки консолей зашили дюралем вплоть до первого лонжерона, доработали шасси, щели элеронов и рулей хвостового оперения закрыли подвижными дюралевыми щитками (19109).</w:t>
      </w:r>
    </w:p>
    <w:p w14:paraId="54610418" w14:textId="77777777" w:rsidR="001D47E8" w:rsidRPr="00C33834" w:rsidRDefault="001D47E8" w:rsidP="00C33834">
      <w:pPr>
        <w:spacing w:after="0" w:line="240" w:lineRule="auto"/>
        <w:jc w:val="both"/>
        <w:rPr>
          <w:rFonts w:ascii="Times New Roman" w:hAnsi="Times New Roman"/>
          <w:color w:val="000000" w:themeColor="text1"/>
          <w:sz w:val="16"/>
          <w:szCs w:val="16"/>
        </w:rPr>
      </w:pPr>
    </w:p>
    <w:p w14:paraId="28E6E74F" w14:textId="77777777" w:rsidR="001D47E8" w:rsidRPr="00C33834" w:rsidRDefault="001D47E8" w:rsidP="00C33834">
      <w:pPr>
        <w:pStyle w:val="27"/>
        <w:shd w:val="clear" w:color="auto" w:fill="auto"/>
        <w:spacing w:after="0" w:line="240" w:lineRule="auto"/>
        <w:ind w:firstLine="0"/>
        <w:rPr>
          <w:rFonts w:ascii="Times New Roman" w:cs="Times New Roman"/>
          <w:color w:val="000000" w:themeColor="text1"/>
          <w:spacing w:val="0"/>
        </w:rPr>
      </w:pPr>
      <w:r w:rsidRPr="00C33834">
        <w:rPr>
          <w:rFonts w:ascii="Times New Roman" w:cs="Times New Roman"/>
          <w:color w:val="000000" w:themeColor="text1"/>
          <w:spacing w:val="0"/>
        </w:rPr>
        <w:t>До конца 1933 года успели прове</w:t>
      </w:r>
      <w:r w:rsidRPr="00C33834">
        <w:rPr>
          <w:rFonts w:ascii="Times New Roman" w:cs="Times New Roman"/>
          <w:color w:val="000000" w:themeColor="text1"/>
          <w:spacing w:val="0"/>
        </w:rPr>
        <w:softHyphen/>
        <w:t>сти Госиспытания ЦКБ-3 - уже второго, т.к пепрвый В.П.Ч повредил. Установленный на лыжи самолет развивал максимальную скорость у земли 324 км/ч, на высоте 3000 м — 350 км/ч. На высоту 5000 м он поднимался за 6,2 мин, время виража составило всего 8 с. Уже 1 января 1934 г. начальник ВВС Яков Алкснис утвердил «Акт Государственных испытаний И-15 РЦ Ф-3». В этом документе, в том числе, указывалось, что по маневренности и скороподьемности новый истребитель опере</w:t>
      </w:r>
      <w:r w:rsidRPr="00C33834">
        <w:rPr>
          <w:rFonts w:ascii="Times New Roman" w:cs="Times New Roman"/>
          <w:color w:val="000000" w:themeColor="text1"/>
          <w:spacing w:val="0"/>
        </w:rPr>
        <w:softHyphen/>
        <w:t>жает все известные машины, а по максимальной скорости на высоте 5000 м уступает некоторым иностранным образцам. Последний недостаток предлагалось устранить. И-15, как пол</w:t>
      </w:r>
      <w:r w:rsidRPr="00C33834">
        <w:rPr>
          <w:rFonts w:ascii="Times New Roman" w:cs="Times New Roman"/>
          <w:color w:val="000000" w:themeColor="text1"/>
          <w:spacing w:val="0"/>
        </w:rPr>
        <w:softHyphen/>
        <w:t>ностью удовлетворяющий требованиям ВВС, получил рекомен</w:t>
      </w:r>
      <w:r w:rsidRPr="00C33834">
        <w:rPr>
          <w:rFonts w:ascii="Times New Roman" w:cs="Times New Roman"/>
          <w:color w:val="000000" w:themeColor="text1"/>
          <w:spacing w:val="0"/>
        </w:rPr>
        <w:softHyphen/>
        <w:t>дацию к серийному производству и скорейшему внедрению в строй военной авиации. Строить самолет решили на двух мо</w:t>
      </w:r>
      <w:r w:rsidRPr="00C33834">
        <w:rPr>
          <w:rFonts w:ascii="Times New Roman" w:cs="Times New Roman"/>
          <w:color w:val="000000" w:themeColor="text1"/>
          <w:spacing w:val="0"/>
        </w:rPr>
        <w:softHyphen/>
        <w:t>сковских заводах — № 1 и № 39 (19107).</w:t>
      </w:r>
    </w:p>
    <w:p w14:paraId="3D448C54" w14:textId="77777777" w:rsidR="001D47E8" w:rsidRPr="00C33834" w:rsidRDefault="001D47E8" w:rsidP="00C33834">
      <w:pPr>
        <w:pStyle w:val="27"/>
        <w:shd w:val="clear" w:color="auto" w:fill="auto"/>
        <w:spacing w:after="0" w:line="240" w:lineRule="auto"/>
        <w:ind w:firstLine="0"/>
        <w:rPr>
          <w:rFonts w:ascii="Times New Roman" w:cs="Times New Roman"/>
          <w:color w:val="000000" w:themeColor="text1"/>
          <w:spacing w:val="0"/>
        </w:rPr>
      </w:pPr>
    </w:p>
    <w:p w14:paraId="09C849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 ведущий инженер ЗОК Орлов составил описание самолета И-14. Опытная машина шла под заводским номером заказа 7057. В своем документе Орлов писал: "И-14 опытный - одноместный истребитель. Каркас самолета цельнометаллической конструкции. Обшивка фюзеляжа центроплана - металлическая, обшивка отъемов (имелись в виду отделяемые части крыла. - Прим. авт.) - полотном. Впоследствии после испытания самолета отъемы были заменены на отъемы с металлической обшивкой (гофром). Таким образом, самолет стал цел ь н о м ста л л и ч ее к и м.</w:t>
      </w:r>
    </w:p>
    <w:p w14:paraId="63A7966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 имеет один мотор "Бристоль Меркюр" с кольцом "Тауненда". Винт - деревянный, кабина пилота скрыта под фонарем. Шасси - убирающееся с масляным амортизатором. Убирающий механизм двойной - гидравлический и механический.</w:t>
      </w:r>
    </w:p>
    <w:p w14:paraId="2F427C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пустого самолета - 1053,4 кг, размах крыла - 1 1,25 м, Длина фюзеляжа - 6,37 м, несущая площадь - 15,72 кв.м."</w:t>
      </w:r>
    </w:p>
    <w:p w14:paraId="24A108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Лаконичное описание целесообразно несколько конкретизировать.</w:t>
      </w:r>
    </w:p>
    <w:p w14:paraId="50CE3DC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Конструктивно И-14 представлял собой свободнонесущий моноплан. Каркас фюзеляжа составляли девять шпангоутов, два верхних и два нижних лонжерона. Центральная часть фюзеляжа и центроплан представляли собой единую жесткую ферму, основу которой составляли соединенные со шпангоутами лонжероны. К ней крепилась хвостовая часть. На первом шпангоуте находились узлы крепления моторамы, приклепанные к верхним лонжеронам фюзеляжа. Лонжероны центроплана конструктивно состояли их верхнего и нижнего поясов, сделанных из термически обработанных хромомолибденовых труб диаметром 15 мм. Между поясами шла змейка из алюминиевых труб, составлявшая часть фермы.</w:t>
      </w:r>
    </w:p>
    <w:p w14:paraId="1323F9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На двух лонжеронах центроплана находились стыковые узлы для присоединения ОЧК и стоек шасси. Центроплан обшивался гладкой обшивкой толщиной 0,5 мм, приклепанной впотай.</w:t>
      </w:r>
    </w:p>
    <w:p w14:paraId="6622665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Полки лонжеронов консолей крыла состояли из хромомолибденовых труб, входящих одна в другую. Последняя труба диаметром 30 мм была дюралюминиевая. Каждая консоль имела по 1 1 нервюр (шесть основных и пять промежуточных).</w:t>
      </w:r>
    </w:p>
    <w:p w14:paraId="50BCCD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Основу силовой конструкции стабилизатора составляли два лонжерона, склепанных из профилей и штампованных нервюр. Обшивка - гладкая, клепаная впотай. Для жесткости стабилизатор растягивался лентами расчалок, по одной с каждого борта сверху и по две - снизу. Узлы расчалок снизу крепились попарно к 8-му и 9-му шпангоутам.</w:t>
      </w:r>
    </w:p>
    <w:p w14:paraId="761B12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Руль высоты состоял из трубчатого лонжерона и штампованных нервюр, обшитых гофрированным листом толщиной 0,5 мм.</w:t>
      </w:r>
    </w:p>
    <w:p w14:paraId="07A380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Киль имел два лонжерона, склепанных из профилей, и три нервюры. Обшивка - гладкая, клепаная впотай. Киль крепился к фюзеляжу через узлы на 8-м и 9-м шпангоутах. Руль поворота состоял из лонжерона и трех нервюр, обшитых гофрированным листом.</w:t>
      </w:r>
    </w:p>
    <w:p w14:paraId="2679B10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Управление самолетом смешанное - рулем высоты и элеронами - жесткое системой труб диаметром 25 мм и качалок, рулем направления - тросовое.</w:t>
      </w:r>
    </w:p>
    <w:p w14:paraId="2589B3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 с тормозными колесами на полуосях убиралось тросовым механизмом в ниши крыла. Колеса с механическими тормозами и стойки в убранном положении закрывались щитками. Стойки шасси имели масляную амортизацию.</w:t>
      </w:r>
    </w:p>
    <w:p w14:paraId="2EAFCB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Кабина летчика на первом экземпляре И-14 закрывалась прозрачным целлулоидным фонарем, сдвигавшимся вперед по направляющим на фюзеляжи. Для удобства входа и выхода из кабины по бортам имелись откидные створки.</w:t>
      </w:r>
    </w:p>
    <w:p w14:paraId="291F522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конструкции головной машины было отмечено много недостатков, но вносить изменения на ней не стали, поскольку было принято решение строить самолет-дублер. Среди прочих усовершенствований на нем решили отказаться от гофрированной обшивки консолей крыла в пользу гладкой и от сплошного фонаря, вызывавшего нарекания летчиков-испытателей. Оставили только прозрачный козырек.</w:t>
      </w:r>
    </w:p>
    <w:p w14:paraId="31A096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Ведущим конструктором по самолету-дуб- леру был назначен инженер Проскурников.</w:t>
      </w:r>
    </w:p>
    <w:p w14:paraId="78BFC2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Силовая установка И -14 дублера состояла из девятицилиндрового звездообразного мотора воздушного охлаждения Райт "Циклон" 1820F2, развивавшим на земле мощность 650 л.с. и 710 л.с. - на высоте 1800 м, бензобака, расположенного впереди летчика, и маслобака, установленного над бензобаком. Серийные машины предполагалось оснащать более мощным вариантом "Циклон" 1820F3. На этот мотор была закуплена в США лицензия и разворачивалось его серийное производство под обозначением М-22.</w:t>
      </w:r>
    </w:p>
    <w:p w14:paraId="6F98A0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Дублер И-14 вооружался двумя 7,62-мм пулеметами ПВ-1, стрелявшими через диск винта и двумя динамореактивными безоткатными пушками АПК-37 конструкции Л.Кур- чевского. Пушки стояли в консольных частях крыла, там же располагались кассеты с боеприпасами к ним. Предусматривалось воздушное перезаряжание, лля чего на противопожарной перегородке кабины установили баллон со сжатым воздухом.</w:t>
      </w:r>
    </w:p>
    <w:p w14:paraId="4D3FF4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Пулеметы ПВ-1 стояли в верхней части фюзеляжа и имели механический спуск. Гашетки выводились на ручку управления самолетом. Патронные ящики размещались перед бензобаком внизу фюзеляжа.</w:t>
      </w:r>
    </w:p>
    <w:p w14:paraId="29958E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Самолет мог нести бомбовое вооружение из двух бомб АО -10 калибром 10 кг, для чего оснащался держателями Д1, установленными под консолями. Для сбрасывания бомб использовалась гибкая тросовая проводка, проходившая в крыле к специальной ручке на сиденье летчика.</w:t>
      </w:r>
    </w:p>
    <w:p w14:paraId="697A57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Масса пустого дублера составляла 1064,1 кг; размах крыла - 1 1,25 м; /типа фюзеляжа равнялась 6, 1 1 м; площадь крыла составляла 15,72 кв.м. Дублер оснащался оптическим прицелом ОП-1, разработанным заводом "Геофизика", и кольцевым прицелом КП-5.</w:t>
      </w:r>
    </w:p>
    <w:p w14:paraId="1583C52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состав приборного оборудования самолета входили указатель скорости, высоты и скольжения, часы, компас К-И, трубка Пито, трубка Вентури, счетчик оборотов мотора, вакуумметр, аэротермометр Р-3, масляный и бензиновый манометры и гидростатический бензиномер.</w:t>
      </w:r>
    </w:p>
    <w:p w14:paraId="7B2F091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Оборудование самолета состояло из кислородного баллона емкостью 2 л, кислородного прибора КП-1, сигнального пистолета и сигнальных ракет.</w:t>
      </w:r>
    </w:p>
    <w:p w14:paraId="567C795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Электрооборудование - аккумулятор 6АТИЗ, вольтметр, кабинные и коммутаторные лампы. Была предусмотрена установка радиостанции 15СК (12037).</w:t>
      </w:r>
    </w:p>
    <w:p w14:paraId="0048E60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7ADCD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на заводе 1 был готов новый эталонный и И-7 с доработками - N 4449. Полетный вес достиг 1818 вместо 1700 г. Колеса получили обтекатели, на зиму ставили лыжи (3203,5).</w:t>
      </w:r>
    </w:p>
    <w:p w14:paraId="31BBEA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132CDC3" w14:textId="77777777" w:rsidR="000904A1" w:rsidRPr="00C33834" w:rsidRDefault="000904A1" w:rsidP="00C33834">
      <w:pPr>
        <w:pStyle w:val="121"/>
        <w:shd w:val="clear" w:color="auto" w:fill="auto"/>
        <w:spacing w:line="240" w:lineRule="auto"/>
        <w:jc w:val="both"/>
        <w:rPr>
          <w:rFonts w:ascii="Times New Roman" w:hAnsi="Times New Roman" w:cs="Times New Roman"/>
          <w:b w:val="0"/>
          <w:color w:val="000000" w:themeColor="text1"/>
          <w:sz w:val="16"/>
          <w:szCs w:val="16"/>
        </w:rPr>
      </w:pPr>
      <w:r w:rsidRPr="00C33834">
        <w:rPr>
          <w:rFonts w:ascii="Times New Roman" w:hAnsi="Times New Roman" w:cs="Times New Roman"/>
          <w:b w:val="0"/>
          <w:color w:val="000000" w:themeColor="text1"/>
          <w:sz w:val="16"/>
          <w:szCs w:val="16"/>
        </w:rPr>
        <w:t>В конце 1933 года построили эталонный истребитель И-7 №4449 с новым хвостовым оперением. Его полный полетный вес, несмотря на облегченное оперение, еще бо</w:t>
      </w:r>
      <w:r w:rsidRPr="00C33834">
        <w:rPr>
          <w:rFonts w:ascii="Times New Roman" w:hAnsi="Times New Roman" w:cs="Times New Roman"/>
          <w:b w:val="0"/>
          <w:color w:val="000000" w:themeColor="text1"/>
          <w:sz w:val="16"/>
          <w:szCs w:val="16"/>
        </w:rPr>
        <w:softHyphen/>
        <w:t>лее возрос и составил 1818 кг. Для зимних по</w:t>
      </w:r>
      <w:r w:rsidRPr="00C33834">
        <w:rPr>
          <w:rFonts w:ascii="Times New Roman" w:hAnsi="Times New Roman" w:cs="Times New Roman"/>
          <w:b w:val="0"/>
          <w:color w:val="000000" w:themeColor="text1"/>
          <w:sz w:val="16"/>
          <w:szCs w:val="16"/>
        </w:rPr>
        <w:softHyphen/>
        <w:t>летов №4449 установили на лыжи, в летнем варианте колеса предполагалось прикрыть каплевидными обтекателями. В период с 8 января по 22 февраля 1934 г. летчик НИИ ВВС Савинов провел оценочные и эксплуата</w:t>
      </w:r>
      <w:r w:rsidRPr="00C33834">
        <w:rPr>
          <w:rFonts w:ascii="Times New Roman" w:hAnsi="Times New Roman" w:cs="Times New Roman"/>
          <w:b w:val="0"/>
          <w:color w:val="000000" w:themeColor="text1"/>
          <w:sz w:val="16"/>
          <w:szCs w:val="16"/>
        </w:rPr>
        <w:softHyphen/>
        <w:t>ционные испытания этого модифицирован</w:t>
      </w:r>
      <w:r w:rsidRPr="00C33834">
        <w:rPr>
          <w:rFonts w:ascii="Times New Roman" w:hAnsi="Times New Roman" w:cs="Times New Roman"/>
          <w:b w:val="0"/>
          <w:color w:val="000000" w:themeColor="text1"/>
          <w:sz w:val="16"/>
          <w:szCs w:val="16"/>
        </w:rPr>
        <w:softHyphen/>
        <w:t>ного самолета. Общий налет составил 22 часа 25 мин., было выполнено 500 фигур высше</w:t>
      </w:r>
      <w:r w:rsidRPr="00C33834">
        <w:rPr>
          <w:rFonts w:ascii="Times New Roman" w:hAnsi="Times New Roman" w:cs="Times New Roman"/>
          <w:b w:val="0"/>
          <w:color w:val="000000" w:themeColor="text1"/>
          <w:sz w:val="16"/>
          <w:szCs w:val="16"/>
        </w:rPr>
        <w:softHyphen/>
        <w:t>го пилотажа. Летные данные остались почти без изменений. По результатам испытаний самолета №4449 было сделано заключение: «На всех выпущенных ранее И-7 со стальным оперением, включая и самолеты, находящие</w:t>
      </w:r>
      <w:r w:rsidRPr="00C33834">
        <w:rPr>
          <w:rFonts w:ascii="Times New Roman" w:hAnsi="Times New Roman" w:cs="Times New Roman"/>
          <w:b w:val="0"/>
          <w:color w:val="000000" w:themeColor="text1"/>
          <w:sz w:val="16"/>
          <w:szCs w:val="16"/>
        </w:rPr>
        <w:softHyphen/>
        <w:t>ся в частях ВВС произвести замену такового на дюралевое» (12295).</w:t>
      </w:r>
    </w:p>
    <w:p w14:paraId="650C5E9C" w14:textId="77777777" w:rsidR="000904A1" w:rsidRPr="00C33834" w:rsidRDefault="000904A1" w:rsidP="00C33834">
      <w:pPr>
        <w:spacing w:after="0" w:line="240" w:lineRule="auto"/>
        <w:jc w:val="both"/>
        <w:rPr>
          <w:rFonts w:ascii="Times New Roman" w:hAnsi="Times New Roman"/>
          <w:color w:val="000000" w:themeColor="text1"/>
          <w:sz w:val="16"/>
          <w:szCs w:val="16"/>
        </w:rPr>
      </w:pPr>
    </w:p>
    <w:p w14:paraId="269661AD"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конца 1933 г. КБ-2 были изготовлены рабочие чертежи самолета ПИ-3 (пушечный истребитель). По переданным чертежам завод № 22 приступил в 1934 г. к производству этого самолета. В конце 1935 г. в процессе производства тактико-технические данные самолета устарели, и он был снят с производства.</w:t>
      </w:r>
    </w:p>
    <w:p w14:paraId="722DE14B"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конца 1933 г. КБ-2 проектировало и закончило изготовление рабочих чертежей ПГТУ (парогазовая турбинная установка на самолете). Она была передана на изготовление заводу им. И.В.Сталина, но по распоряжению отдела изобретений была снята с производства (12702).</w:t>
      </w:r>
    </w:p>
    <w:p w14:paraId="6528E3F8" w14:textId="77777777" w:rsidR="00DF1D09" w:rsidRPr="00C33834" w:rsidRDefault="00DF1D09" w:rsidP="00C33834">
      <w:pPr>
        <w:spacing w:after="0" w:line="240" w:lineRule="auto"/>
        <w:jc w:val="both"/>
        <w:rPr>
          <w:rFonts w:ascii="Times New Roman" w:hAnsi="Times New Roman"/>
          <w:color w:val="000000" w:themeColor="text1"/>
          <w:sz w:val="16"/>
          <w:szCs w:val="16"/>
        </w:rPr>
      </w:pPr>
    </w:p>
    <w:p w14:paraId="6CBE8652" w14:textId="77777777" w:rsidR="000723F3" w:rsidRPr="00C33834" w:rsidRDefault="000723F3"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К концу 1933 г. ТБ-3 и поврежденный узел крепления И-Z отремонтировали, в январе 1934 г. планировалось продолжить испытания. Но к этому времени Владимир Сергеевич Вахмистров был захвачен новой идеей — он решил сделать так, чтобы истребители взлетали самостоятельно и подцеплялись к бомбардировщику в полёте. В нужный момент они могли отсоединиться, выполнить задачу и затем вновь сцепиться с ТБ-3 для дозаправки топливом и пополнения боекомплекта. Так появилось «Звено-5» (15489).</w:t>
      </w:r>
    </w:p>
    <w:p w14:paraId="6433E0D6" w14:textId="77777777" w:rsidR="000723F3" w:rsidRPr="00C33834" w:rsidRDefault="000723F3" w:rsidP="00C33834">
      <w:pPr>
        <w:spacing w:after="0" w:line="240" w:lineRule="auto"/>
        <w:jc w:val="both"/>
        <w:rPr>
          <w:rFonts w:ascii="Times New Roman" w:eastAsia="Times New Roman" w:hAnsi="Times New Roman"/>
          <w:color w:val="000000" w:themeColor="text1"/>
          <w:sz w:val="16"/>
          <w:szCs w:val="16"/>
          <w:lang w:eastAsia="ru-RU"/>
        </w:rPr>
      </w:pPr>
    </w:p>
    <w:p w14:paraId="3545650F" w14:textId="77777777" w:rsidR="001D47E8" w:rsidRPr="00C33834" w:rsidRDefault="001D47E8"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До конца 1933 года, в процессе постройки, самолет ДИП претерпел значительные конструктивные изменения. В связи с изменением конструкции отъемных частей крыла было принято решение ранее изготовленные ОЧК на самолет не ставить. Кроме того, изготовленное для ДИП хвостовое оперение установили на самолет МИ-3бис. В результате этих мероприятий общая готовность самолета ДИП снизилась до 6,5% (19175).</w:t>
      </w:r>
    </w:p>
    <w:p w14:paraId="4242B8D5" w14:textId="77777777" w:rsidR="001D47E8" w:rsidRPr="00C33834" w:rsidRDefault="001D47E8" w:rsidP="00C33834">
      <w:pPr>
        <w:pStyle w:val="ae"/>
        <w:shd w:val="clear" w:color="auto" w:fill="FFFFFF"/>
        <w:spacing w:before="0" w:after="0"/>
        <w:jc w:val="both"/>
        <w:textAlignment w:val="baseline"/>
        <w:rPr>
          <w:color w:val="000000" w:themeColor="text1"/>
          <w:sz w:val="16"/>
          <w:szCs w:val="16"/>
        </w:rPr>
      </w:pPr>
    </w:p>
    <w:p w14:paraId="14B988B1" w14:textId="77777777" w:rsidR="001D47E8" w:rsidRPr="00C33834" w:rsidRDefault="001D47E8" w:rsidP="00C33834">
      <w:pPr>
        <w:pStyle w:val="ae"/>
        <w:shd w:val="clear" w:color="auto" w:fill="FFFFFF"/>
        <w:spacing w:before="0" w:after="0"/>
        <w:jc w:val="both"/>
        <w:textAlignment w:val="baseline"/>
        <w:rPr>
          <w:color w:val="000000" w:themeColor="text1"/>
          <w:sz w:val="16"/>
          <w:szCs w:val="16"/>
        </w:rPr>
      </w:pPr>
      <w:r w:rsidRPr="00C33834">
        <w:rPr>
          <w:color w:val="000000" w:themeColor="text1"/>
          <w:sz w:val="16"/>
          <w:szCs w:val="16"/>
        </w:rPr>
        <w:t>К концу 1933 г. И-5 стал самым массовым истребителем ВВС РККА, они составляли около 40% парка истребительной авиации. К концу 1934 г. новые машины вытеснили из строевых частей И-3 и частично И-4. Но «звездный час» И-5 оказался недолог. Авиационная техника развивалась в те годы невиданными темпами, и летом 1935 г. вышло на испытания уже новое поколение советских истребителей. Биплан И-15, сконструированный тем же Поликарповым, намного превосходил своего предшественника. Но еще важнее было появление машин совершенно нового класса: скоростных истребителей-монопланов. И-14 Сухого и И-16 Поликарпова стали «первыми ласточками» так называемой «новой волны» (19176).</w:t>
      </w:r>
    </w:p>
    <w:p w14:paraId="2CBDA274" w14:textId="77777777" w:rsidR="001D47E8" w:rsidRPr="00C33834" w:rsidRDefault="001D47E8" w:rsidP="00C33834">
      <w:pPr>
        <w:pStyle w:val="ae"/>
        <w:shd w:val="clear" w:color="auto" w:fill="FFFFFF"/>
        <w:spacing w:before="0" w:after="0"/>
        <w:jc w:val="both"/>
        <w:textAlignment w:val="baseline"/>
        <w:rPr>
          <w:color w:val="000000" w:themeColor="text1"/>
          <w:sz w:val="16"/>
          <w:szCs w:val="16"/>
        </w:rPr>
      </w:pPr>
    </w:p>
    <w:p w14:paraId="020DFFCE" w14:textId="77777777" w:rsidR="000723F3" w:rsidRPr="00C33834" w:rsidRDefault="000723F3"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К концу 1933 г. в МАИ окончательно оформилось конструкторское бюро, которое получило официальное наименование ОКБ-1 и в дальнейшем функционировало как полноценное проектное подразделение во главе с главным конструктором Грушиным (17489).</w:t>
      </w:r>
    </w:p>
    <w:p w14:paraId="6E1B3622" w14:textId="77777777" w:rsidR="000723F3" w:rsidRPr="00C33834" w:rsidRDefault="000723F3" w:rsidP="00C33834">
      <w:pPr>
        <w:spacing w:after="0" w:line="240" w:lineRule="auto"/>
        <w:jc w:val="both"/>
        <w:rPr>
          <w:rFonts w:ascii="Times New Roman" w:eastAsia="Times New Roman" w:hAnsi="Times New Roman"/>
          <w:color w:val="000000" w:themeColor="text1"/>
          <w:sz w:val="16"/>
          <w:szCs w:val="16"/>
          <w:lang w:eastAsia="ru-RU"/>
        </w:rPr>
      </w:pPr>
    </w:p>
    <w:p w14:paraId="24F8AE5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первые серийные Р-6а на поплавках поступили на балтийский флот и их передали 19 мраэ, ранее вооруженной С-62Б. Первым осваивал отряд В.С.Грушевича (2766,33).</w:t>
      </w:r>
    </w:p>
    <w:p w14:paraId="73441C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705B0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окончательный вид приобрел разрабатываемый с начала года К.А.К. проект лк ВС-2. К.А.К. предложил ВВС несколько схем - обычной, двухбалочной и лк и ГИ-М ВВС РККА Аузан отмечал: "В результате рассмотрения представленных ХАЗОсом боевых схем ВС-2 констатирую, что наиболее целесообразной является схема лк, как обеспечивающая наилучший обзор и обстрел. Хотели выпустить к маю 1934 (2544,120).</w:t>
      </w:r>
    </w:p>
    <w:p w14:paraId="505842A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501DE07" w14:textId="77777777" w:rsidR="000723F3" w:rsidRPr="00C33834" w:rsidRDefault="000723F3"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конце 1933 г. проект ВС-2 приобрел окончательный облик.</w:t>
      </w:r>
    </w:p>
    <w:p w14:paraId="13AF98D3" w14:textId="77777777" w:rsidR="000723F3" w:rsidRPr="00C33834" w:rsidRDefault="000723F3"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Самолёт представлял собой двухмоторный низкоплан схемы «бесхвостка». Двигатели М-52 в серию не пошли, и машину перепроектировали под звездообразные моторы М-22 с кольцевидными обтекателями. Крыло имело прямоугольный центроплан и сужающиеся к концам консоли. Профиль крыла — Р-II с относительной толщиной 14 %. Продольная балансировка в горизонтальном полёте достигалась обычным для большинства бесхвостых самолётов способом — с помощью подвесных закрылков перевернутого профиля. Внешняя пара являлась элевонами, две внутренние — рулями высоты. Для регулировки нагрузки на штурвал все рулевые поверхности были снабжены управляемыми из кабины триммерами. Предкрылков, судя по фотографиям, на крыле не было. На концах крыла находились кили (шайбы) эллиптической формы. Они имели изогнутый профиль выпуклой стороной внутрь, что, по мнению конструктора, должно было обеспечить лучшую путевую устойчивость. Кили заканчивались рулями направления, которые могли отклоняться только в наружном направлении. Фюзеляж вмещал экипаж из трёх человек. В </w:t>
      </w:r>
      <w:r w:rsidRPr="00C33834">
        <w:rPr>
          <w:rFonts w:ascii="Times New Roman" w:eastAsia="Times New Roman" w:hAnsi="Times New Roman"/>
          <w:color w:val="000000" w:themeColor="text1"/>
          <w:sz w:val="16"/>
          <w:szCs w:val="16"/>
          <w:lang w:eastAsia="ru-RU"/>
        </w:rPr>
        <w:lastRenderedPageBreak/>
        <w:t>передней части находилась закрытая фонарём кабина штурмана (он же носовой стрелок), за ней — кабина пилота, затем — бомбовый отсек на 500 кг бомб, сзади — поворотная кабина хвостового стрелка. Самолёт имел двойное управление: штурвал и педали у лётчика и съёмная ручка в кабине штурмана. Каркас бомбардировщика был сварной из стальных труб, передняя часть фюзеляжа и носок крыла имели дюралюминиевую обшивку, остальные части обтянуты полотном.</w:t>
      </w:r>
    </w:p>
    <w:p w14:paraId="528687CE" w14:textId="77777777" w:rsidR="000723F3" w:rsidRPr="00C33834" w:rsidRDefault="000723F3"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Для предварительных испытаний кроме продувочных моделей изготовили безмоторный прототип бомбардировщика. Он имел такую же схему, как ВС-2, но был вдвое меньше по размерам. Летал на нём заводской лётчик-испытатель Василий Осипович Борисов. Планер оказался вполне устойчивым. Подтверждением этому служит необычное происшествие, описанное сослуживцем Калинина А.Н. Грацианским. «При испытаниях на высоте 3000 м из-за разрушения качалки руля высоты планер сделал резкий клевок. Лётчик оборвал крепление ремнями, ударом головы вышиб фонарь и вылетел из планера, после чего раскрыл парашют и благополучно спустился. Планер, освободившись от испытателя, выровнялся, перешел в пологое планирование по спирали и совершил нормальную посадку невдалеке от места приземления лётчика. Подоспевшие к планеру механики нашли лётчика в кабине за выяснением причины столь необычного поведения планера. После замены качалки дальнейшие лётные испытания продолжались» </w:t>
      </w:r>
      <w:hyperlink r:id="rId422" w:history="1">
        <w:r w:rsidRPr="00C33834">
          <w:rPr>
            <w:rFonts w:ascii="Times New Roman" w:eastAsia="Times New Roman" w:hAnsi="Times New Roman"/>
            <w:color w:val="000000" w:themeColor="text1"/>
            <w:sz w:val="16"/>
            <w:szCs w:val="16"/>
            <w:lang w:eastAsia="ru-RU"/>
          </w:rPr>
          <w:t>[194]</w:t>
        </w:r>
      </w:hyperlink>
      <w:r w:rsidRPr="00C33834">
        <w:rPr>
          <w:rFonts w:ascii="Times New Roman" w:eastAsia="Times New Roman" w:hAnsi="Times New Roman"/>
          <w:color w:val="000000" w:themeColor="text1"/>
          <w:sz w:val="16"/>
          <w:szCs w:val="16"/>
          <w:lang w:eastAsia="ru-RU"/>
        </w:rPr>
        <w:t xml:space="preserve"> (17489).</w:t>
      </w:r>
    </w:p>
    <w:p w14:paraId="0E14C9AC" w14:textId="77777777" w:rsidR="000723F3" w:rsidRPr="00C33834" w:rsidRDefault="000723F3" w:rsidP="00C33834">
      <w:pPr>
        <w:spacing w:after="0" w:line="240" w:lineRule="auto"/>
        <w:jc w:val="both"/>
        <w:rPr>
          <w:rFonts w:ascii="Times New Roman" w:eastAsia="Times New Roman" w:hAnsi="Times New Roman"/>
          <w:color w:val="000000" w:themeColor="text1"/>
          <w:sz w:val="16"/>
          <w:szCs w:val="16"/>
          <w:lang w:eastAsia="ru-RU"/>
        </w:rPr>
      </w:pPr>
    </w:p>
    <w:p w14:paraId="4E898B2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бригадой С.Я.Жолтовского из ХАИ разрабатывался эскизный проект двухместного скоростного фоторазведчика ХАИ-6 с лицензионным двигателем М-58 (М-22У) взл. мощностью 680 нр. По схеме это был уменьшенный ХАИ-1 и ориентировались на Нортроп Гамма (1166,28).</w:t>
      </w:r>
    </w:p>
    <w:p w14:paraId="0DACFFF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0E44633" w14:textId="77777777" w:rsidR="00DD1530" w:rsidRPr="00C33834" w:rsidRDefault="00DD153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года на заводе № 39 был построен опытный штурмовик ТШ-3 (ЦКБ-4), разработанный в соответствии с тактико-техническими требованиями ВВС начала 30-х годов. В тот период конструкторы пытались создать штурмовик с сильной броневой защитой экипажа и жизненно важных узлов самого самолета. Однако эти попытки при использовании схемы биплана не дали удовлетворительных результатов. Скорость штурмовиков едва достигала 200 км/час, маневренность была недостаточной, длина разбега очень большой.</w:t>
      </w:r>
    </w:p>
    <w:p w14:paraId="1065F775" w14:textId="77777777" w:rsidR="00DD1530" w:rsidRPr="00C33834" w:rsidRDefault="00DD153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1932 году к проектным работам тяжелого штурмовика ТШ-3 монопланной схемы с низкорасположенным подкосным крылом площадью 45,04 кв. м, неубирающимся шасси и двигателем М-34Ф взлетной мощностью 830 л.с., бригада С.А. Кочеригина приступила еще в ЦКБ ЦАГИ. Позже к проектным работам подключился инженер М.И. Гуревич Затем работы продолжились в ЦКБ завода № 39. </w:t>
      </w:r>
    </w:p>
    <w:p w14:paraId="32D310AE" w14:textId="77777777" w:rsidR="00DD1530" w:rsidRPr="00C33834" w:rsidRDefault="00DD153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Бронезащита жизненно важных частей этого штурмовика была такой же, как на самолетах-штурмовиках ТШ-1 и ТШ-2. Передняя часть фюзеляжа с двигателем, кабиной летчика и стрелка представляла собой бронекоробку, собранную из кусков плоской брони на дюралевых уголках, скрепленных болтами. Толщина брони: впереди – 8 мм., снизу, с боков и сзади - 6 мм. Двигатель сверху не бронировался. Сотовый радиатор на нем был выдвижной, снизу бронированный. В момент атаки радиатор полностью убирался в фюзеляж. Общая масса брони составляла 576 кг. Задняя часть фюзеляжа ТШ-3 – ферменная, сваренная из стальных труб и обшита полотном. Крыло и оперение обшивались листовым дюралем и полотном. Обычное шасси имело обтекатели на колесах.</w:t>
      </w:r>
    </w:p>
    <w:p w14:paraId="6633C07F" w14:textId="77777777" w:rsidR="00DD1530" w:rsidRPr="00C33834" w:rsidRDefault="00DD153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Штурмовик был вооружен двумя пулеметными батареями из пяти пулемеметов ШКАС каждая, размещенными в крыле по обе стороны фюзеляжа, одним оборонительным пулеметом у стрелка на задней огневой установке и 250 кг. бомб (в трех отсеках по 6 осколочных бомб на каждой стороне крыла). Помимо этого, штурмовик мог нести крупные авиабомбы, выливные и химические авиаприборы, подвешиваемые к балочным держателям, введенным в конструкцию крыла. Максимальная бомбовая нагрузка могла составлять 400 кг., но за счет сокращения числа пулеметов.</w:t>
      </w:r>
    </w:p>
    <w:p w14:paraId="6A6CA771" w14:textId="77777777" w:rsidR="00DD1530" w:rsidRPr="00C33834" w:rsidRDefault="00DD153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Испытывал ТШ-3 В.К. Коккинаки. Летные качества этой машины оказались даже выше требований ВВС. Несмотря на большой полетный вес, штурмовик развивал скорость до 247 км/час, поднимался на высоту 5800 метров, имел дальность полета 470 км. Однако к весне 1934 года, когда закончились испытания и доводка, летные данные ТШ-3 уже не удовлетворяли заказчика. Сказывалась угловатость форм корпуса бронекоробки (двояковыпуклой брони тогда еще не было), перетяжеление конструкции. Оставалась нерешенной и проблема надежного охлаждения двигателя (99).</w:t>
      </w:r>
    </w:p>
    <w:p w14:paraId="65609C0D" w14:textId="77777777" w:rsidR="00DD1530" w:rsidRPr="00C33834" w:rsidRDefault="00DD1530"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Можно предположить, что совершенствование этого штурмовика продолжалось и в дальнейшем, поскольку в отчете завода № 39 за 1936 год, в разделе законченных опытных работ значатся «доделки самолета ТШ-3» (18293).</w:t>
      </w:r>
    </w:p>
    <w:p w14:paraId="464F7E2E" w14:textId="77777777" w:rsidR="00DD1530" w:rsidRPr="00C33834" w:rsidRDefault="00DD1530" w:rsidP="00C33834">
      <w:pPr>
        <w:spacing w:after="0" w:line="240" w:lineRule="auto"/>
        <w:jc w:val="both"/>
        <w:rPr>
          <w:rFonts w:ascii="Times New Roman" w:hAnsi="Times New Roman"/>
          <w:color w:val="000000" w:themeColor="text1"/>
          <w:sz w:val="16"/>
          <w:szCs w:val="16"/>
        </w:rPr>
      </w:pPr>
    </w:p>
    <w:p w14:paraId="72A894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 начале 1934 при уровне технической готовности 16% были остановлены работы по АНТ-30 - сухопутному крейсеру с 2М-38 по 570 нр и 2хИС в пользу СБ и из-за отмирания концепции универсальной машины типа крейсер (2233,39).</w:t>
      </w:r>
    </w:p>
    <w:p w14:paraId="484D8B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1F6959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 при формирова</w:t>
      </w:r>
      <w:r w:rsidRPr="00C33834">
        <w:rPr>
          <w:rFonts w:ascii="Times New Roman" w:hAnsi="Times New Roman"/>
          <w:color w:val="000000" w:themeColor="text1"/>
          <w:sz w:val="16"/>
          <w:szCs w:val="16"/>
        </w:rPr>
        <w:softHyphen/>
        <w:t>нии плана опытно-конструкторских ра</w:t>
      </w:r>
      <w:r w:rsidRPr="00C33834">
        <w:rPr>
          <w:rFonts w:ascii="Times New Roman" w:hAnsi="Times New Roman"/>
          <w:color w:val="000000" w:themeColor="text1"/>
          <w:sz w:val="16"/>
          <w:szCs w:val="16"/>
        </w:rPr>
        <w:softHyphen/>
        <w:t>бот по самолетостроению на 1934-35 годы А.Н. Туполев внес предложение построить отечественный скоростной бомбардировщик. Правда, первые на</w:t>
      </w:r>
      <w:r w:rsidRPr="00C33834">
        <w:rPr>
          <w:rFonts w:ascii="Times New Roman" w:hAnsi="Times New Roman"/>
          <w:color w:val="000000" w:themeColor="text1"/>
          <w:sz w:val="16"/>
          <w:szCs w:val="16"/>
        </w:rPr>
        <w:softHyphen/>
        <w:t>метки Туполева были довольно скром</w:t>
      </w:r>
      <w:r w:rsidRPr="00C33834">
        <w:rPr>
          <w:rFonts w:ascii="Times New Roman" w:hAnsi="Times New Roman"/>
          <w:color w:val="000000" w:themeColor="text1"/>
          <w:sz w:val="16"/>
          <w:szCs w:val="16"/>
        </w:rPr>
        <w:softHyphen/>
        <w:t>ны: скорость 300-320 км/ч (а В-10 имел 340 км/ч). В итоге уже в первый вари</w:t>
      </w:r>
      <w:r w:rsidRPr="00C33834">
        <w:rPr>
          <w:rFonts w:ascii="Times New Roman" w:hAnsi="Times New Roman"/>
          <w:color w:val="000000" w:themeColor="text1"/>
          <w:sz w:val="16"/>
          <w:szCs w:val="16"/>
        </w:rPr>
        <w:softHyphen/>
        <w:t>ант плана заложили два новых двухмо</w:t>
      </w:r>
      <w:r w:rsidRPr="00C33834">
        <w:rPr>
          <w:rFonts w:ascii="Times New Roman" w:hAnsi="Times New Roman"/>
          <w:color w:val="000000" w:themeColor="text1"/>
          <w:sz w:val="16"/>
          <w:szCs w:val="16"/>
        </w:rPr>
        <w:softHyphen/>
        <w:t>торных «бомбардировщика ближнего действия». Создание одного из них, цельнометаллического, поручили КОСОС ЦАГИ, руководимому Туполевым. Работу над вторым самолетом, смешан</w:t>
      </w:r>
      <w:r w:rsidRPr="00C33834">
        <w:rPr>
          <w:rFonts w:ascii="Times New Roman" w:hAnsi="Times New Roman"/>
          <w:color w:val="000000" w:themeColor="text1"/>
          <w:sz w:val="16"/>
          <w:szCs w:val="16"/>
        </w:rPr>
        <w:softHyphen/>
        <w:t>ной конструкции, задали заводу № 39 — фактически базировавшемуся там Центральному конструкторскому бюро (ЦКБ). Начальником ЦКБ в то время являл</w:t>
      </w:r>
      <w:r w:rsidRPr="00C33834">
        <w:rPr>
          <w:rFonts w:ascii="Times New Roman" w:hAnsi="Times New Roman"/>
          <w:color w:val="000000" w:themeColor="text1"/>
          <w:sz w:val="16"/>
          <w:szCs w:val="16"/>
        </w:rPr>
        <w:softHyphen/>
        <w:t>ся С.В. Ильюшин. Он тогда был более известен как высокопоставленный ад</w:t>
      </w:r>
      <w:r w:rsidRPr="00C33834">
        <w:rPr>
          <w:rFonts w:ascii="Times New Roman" w:hAnsi="Times New Roman"/>
          <w:color w:val="000000" w:themeColor="text1"/>
          <w:sz w:val="16"/>
          <w:szCs w:val="16"/>
        </w:rPr>
        <w:softHyphen/>
        <w:t>министратор, нежели как конструктор. Его конструкторский опыт сводился лишь к созданию нескольких учебных и спортивных планеров. Однако Илью</w:t>
      </w:r>
      <w:r w:rsidRPr="00C33834">
        <w:rPr>
          <w:rFonts w:ascii="Times New Roman" w:hAnsi="Times New Roman"/>
          <w:color w:val="000000" w:themeColor="text1"/>
          <w:sz w:val="16"/>
          <w:szCs w:val="16"/>
        </w:rPr>
        <w:softHyphen/>
        <w:t>шин рвался к самостоятельной работе по проектированию боевых самолетов. Уже в феврале 1934 г. с согласия напальника Главного управления авиаци</w:t>
      </w:r>
      <w:r w:rsidRPr="00C33834">
        <w:rPr>
          <w:rFonts w:ascii="Times New Roman" w:hAnsi="Times New Roman"/>
          <w:color w:val="000000" w:themeColor="text1"/>
          <w:sz w:val="16"/>
          <w:szCs w:val="16"/>
        </w:rPr>
        <w:softHyphen/>
        <w:t>онной промышленности (ГУАП) П.И. Баранова в рамках ЦКБ он создал не</w:t>
      </w:r>
      <w:r w:rsidRPr="00C33834">
        <w:rPr>
          <w:rFonts w:ascii="Times New Roman" w:hAnsi="Times New Roman"/>
          <w:color w:val="000000" w:themeColor="text1"/>
          <w:sz w:val="16"/>
          <w:szCs w:val="16"/>
        </w:rPr>
        <w:softHyphen/>
        <w:t>большую собственную группу (10734,1).</w:t>
      </w:r>
    </w:p>
    <w:p w14:paraId="4BD6C4E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4DEC4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 при формировании плана опытно-конструкторских работ но самолетостроению на 1934-33 годы А.Н.Т. внес предложение построить отечественный скоростной бомбардировщик. Правда, первые наметки Туполева были довольно скромны: скорость 300-320 км/ч (а Мартин 139 - В-10 имел 340 км ч). В итоге уже в первый вариант плана заложили два новых двухмоторных бомбардировщика ближнего действия. Создание одного из них, цельнометаллического, поручили ЦАГИ (т.е. КОСОС) и именно эта машина стала СБ, а второго - смещшанной конструкции задали заводу № 39 - фактически базировавшемуся там ЦКБ, во главе которого тогда стоял С.В.Ильюшин. Это задание привело позднее к появлению ЦКБ-26, прообраза дальнего бомбардировщика ДБ-3 (7643).</w:t>
      </w:r>
    </w:p>
    <w:p w14:paraId="0D6F19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A412A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 в ЦАГИ начались проработки проекта нового бомбардировщика, получившего обозначение АНТ-40 (7643).</w:t>
      </w:r>
    </w:p>
    <w:p w14:paraId="310669D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E169A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были готовы соответствующие ТТТ и началась разработка СБ (АНТ-40) (80,228).</w:t>
      </w:r>
    </w:p>
    <w:p w14:paraId="243D411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CF756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УВВС утвердило ТТТ к СБ только в марте 1934, а в январе 1934 А.А.А. был только еще назначен главой бригады 5 (2233,46).</w:t>
      </w:r>
    </w:p>
    <w:p w14:paraId="17C777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A4A4B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года на территории северного Китая самолеты Р-5 впервые использовались в боевых действиях. Китайское государство представляло собой в ту пору довольно пестрое образование, в котором при наличии центрального правительства, находящегося в Нанкине, имелись самостоятельные провинции, ведущие свою независимую политику. Междоусобные войны при таком положении вещей были вполне обычным делом. Северная провинция Синьцзян была отгорожена от остальной территории страны высочайшими горными хребтами и безжизненными пустынями и граничила с Советским Союзом. Провинция явно тяготела к своему набиравшему мощь и силу северному соседу. В 1933 году к власти в провинции пришло достаточно прогрессивное правительство, которое заключило с СССР ряд соглашений, в том числе и торговых. Была достигнута договоренность о помощи провинции в области авиации, в частности, в Синьцзяне открывалась авиационная школа с советскими самолетами и инструкторами. Подразумевалась, естественно, и военная помощь (5016).</w:t>
      </w:r>
    </w:p>
    <w:p w14:paraId="6F36E2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789C3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года наладили выпуск Р-5а. Головная машина № 6763 проходила государственные испытания в Севастополе с 12 декабря 1933 г. по 14 января 1934 г. Облетывал ее пилот Ершов. Несмотря на некоторый рост взлетного веса, все показатели улучшились по сравнению с опытным образцом. Немного повысилась скорость, вырос практический потолок, существенно, на 7 мин, уменьшилось время набора высоты 3000 м. Никаких дефектов в пилотажных характеристиках на испытаниях не выявили. Самолет получил удовлетворительную оценку и был допущен к эксплуатации в строевых частях.</w:t>
      </w:r>
    </w:p>
    <w:p w14:paraId="6B30A99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Серийные поплавковые машины имели усиленный каркас передней части фюзеляжа и измененную мотораму. В поплавках размещались банки для аварийного запаса продовольствия и пресной воды. Для того чтобы можно было извлечь самолет из воды краном, на центроплане верхнего крыла сделали скобы, усилили передний лонжерон центроплана и стойки кабана (между центропланом и фюзеляжем).</w:t>
      </w:r>
    </w:p>
    <w:p w14:paraId="44E6AFD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машинах ставился фотоаппарат Поттэ IБ или АФА- 13, радиостанция СКТЭ. К специфически морскому оборудованию относились якорь-кошка, плавучий якорь и надувные спасательные пояса для обоих членов экипажа (12034).</w:t>
      </w:r>
    </w:p>
    <w:p w14:paraId="60F3B3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04C49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 три Р-5а отправили Морским силам Дальнего Востока (МСДВ). В январе следующего года 69-й отряд в Бочкарево уже имел 10 гидропланов. Р-5а был значительно проще в пилотировании, чем МР-1, но мореходность и у него оставляла желать лучшего. Он больше подходил для эксплуатации на реках и озерах, нежели на море. Одним из существенных недостатков оказалась непрочность поплавков, которые иногда разваливались после 30 посадок. Поэтому основными ближними разведчиками стали летающие лодки, а Р-5а выполняли вспомогательные функции (11936).</w:t>
      </w:r>
    </w:p>
    <w:p w14:paraId="09AC788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897F8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Р.Л.Бартини в НИИ ГВФ начал проектировать пассажирский Сталь-7 со скоростью 400 км/час (4,85) в расчете на ИС (2865,6).</w:t>
      </w:r>
    </w:p>
    <w:p w14:paraId="391AD1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Есть мнение, что идея была Лавиля и только в январе 1934 машину передали Р.Л.Б.</w:t>
      </w:r>
    </w:p>
    <w:p w14:paraId="54F5691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5CD5CF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года руководство Главного управления авиационной промышленности приняло решение о прекращении в 1934 году выпуска К-5 и начале производства на ХАЗе продукции военного назначения (10674).</w:t>
      </w:r>
    </w:p>
    <w:p w14:paraId="12743FC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0BEA8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концу 1933 г. готовность МГ составила 60%. Поставка оборудования и комплектующих осуществлялась более чем сотней предприятий со всей страны.</w:t>
      </w:r>
    </w:p>
    <w:p w14:paraId="7D58EAD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ходе постройки Завод опытных конструкций регулярно отчитывался как перед комиссией, так и перед ГУАП. Ходом создания самолета-гиганта интересовалось и высшее руководство страны, включая И.В. Сталина.</w:t>
      </w:r>
    </w:p>
    <w:p w14:paraId="5735B0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Никакого военного оборудования на МГ ставить не собирались. Но военный вариант продолжал прорабатываться параллельно с агитационным (12024). </w:t>
      </w:r>
    </w:p>
    <w:p w14:paraId="41CFE7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FF5EC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конца 1933 на 23 заводе начался серийный выпуск У-2СП (спецприменения) - лимузинов - и в 1934 сделали 101, а в 1938 - 210. В ГВФ обозначали ПС-3 и в конце 1939 было 552. Всего выпустили 831 (9076).</w:t>
      </w:r>
    </w:p>
    <w:p w14:paraId="7876ED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57517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А.С.Москалев начал работать над проектом Сигма с 2хМ-100 - истребителя-перехватчика САМ-7 с расчетной скоростью 1000 км/час (1120).</w:t>
      </w:r>
    </w:p>
    <w:p w14:paraId="7819793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44D515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А.Москалев начал работу над САМ-4 Сумма с 2хМ-100 и подготовил эскизный проект к сентябрю 1934 (2889,34).</w:t>
      </w:r>
    </w:p>
    <w:p w14:paraId="2536160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6F6DBF6"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конца года 1933, в процессе постройки, самолёт (в шутку прозванный Д.А. Ромейко-Гурко «жуком с соломинкой») претерпел значительные конструктивные изменения. В связи с изменением конструкции отъёмных частей крыла (ОЧК) приняли решение — ранее изготовленные ОЧК на самолёт не ставить. Кроме того, изготовленное для ДИП хвостовое оперение установили на самолёт МИ-Збис. В результате этих мероприятий общая готовность самолёта ДИП снизилась до 6,5% (15283).</w:t>
      </w:r>
    </w:p>
    <w:p w14:paraId="67613DAA" w14:textId="77777777" w:rsidR="0047154B" w:rsidRPr="00C33834" w:rsidRDefault="0047154B" w:rsidP="00C33834">
      <w:pPr>
        <w:spacing w:after="0" w:line="240" w:lineRule="auto"/>
        <w:jc w:val="both"/>
        <w:rPr>
          <w:rFonts w:ascii="Times New Roman" w:hAnsi="Times New Roman"/>
          <w:color w:val="000000" w:themeColor="text1"/>
          <w:sz w:val="16"/>
          <w:szCs w:val="16"/>
        </w:rPr>
      </w:pPr>
    </w:p>
    <w:p w14:paraId="18877F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 при выдаче технического задания на бомбардировщик, с использованием его крыла предполагалось проектирование нового, специального фюзеляжа, способного вместить 10-</w:t>
      </w:r>
      <w:r w:rsidR="0047154B" w:rsidRPr="00C33834">
        <w:rPr>
          <w:rFonts w:ascii="Times New Roman" w:hAnsi="Times New Roman"/>
          <w:color w:val="000000" w:themeColor="text1"/>
          <w:sz w:val="16"/>
          <w:szCs w:val="16"/>
        </w:rPr>
        <w:t>1</w:t>
      </w:r>
      <w:r w:rsidRPr="00C33834">
        <w:rPr>
          <w:rFonts w:ascii="Times New Roman" w:hAnsi="Times New Roman"/>
          <w:color w:val="000000" w:themeColor="text1"/>
          <w:sz w:val="16"/>
          <w:szCs w:val="16"/>
        </w:rPr>
        <w:t>2 пассажиров. Эта деятельность растянулась на несколько лет и выразилась в создании пассажирского самолета АНТ-35 (ПС-35) (12027).</w:t>
      </w:r>
    </w:p>
    <w:p w14:paraId="2139A5F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BA04B8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года в результате проведенных исследований, начатых еще в бытность работы в Ленинграде, где Москалев начал экспериментальные работы по исследованию сверхзвуковых скоростей и предположил, что наиболее оптимальной аэродинамической формой самолета должно быть летающее крыло в виде вытянутого треугольника, имеющего форму, близкую к осевому сечению артиллерийского снаряда, на заводе № 18 у Москалева, начальника серийного конструкторского отдела (СКО), которому была поручена подготовка рабочих чертежей тяжелого 4-моторного бомбардировщика ТБ-3 конструкции А.Н. Туполева, появился проект сверхзвукового истребителя САМ-4 "Сигма". Как отмечал позже сам А.С. Москалев: « САМ-4 я считаю наиболее интересной своей работой».</w:t>
      </w:r>
    </w:p>
    <w:p w14:paraId="0F7E0AE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Однако, за "несусветную экзотику" проект «Сигмы» был отклонен и пролежал в архиве ГУАП НКТП почти три года. А ведь этот проект доказывал приоритет Александра Сергеевича и нашей страны в изобретении новой перспективной компоновки самолета. «Сигму» Москалев забросил, занялся текущими делами.</w:t>
      </w:r>
    </w:p>
    <w:p w14:paraId="717514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 работа над проектом САМ-4 "Сигма" все-таки не пропала даром. 7 мая 1937 года Москалев был срочно вызван в Москву. До Сталина дошла информация о теоретических работах над крылом необычной формы русского эмигранта Глухарева в Америке. Москалеву предписывалось в кратчайшие сроки разработать аналог самолета "Сигма", осуществить его постройку в ОКБ-31 и провести летные испытания.</w:t>
      </w:r>
    </w:p>
    <w:p w14:paraId="33A961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А.С. Москалев разработал эскизный проект "Стрелы" всего за три дня, хотя продумывался он годами, а собственно самолет построили за семьдесят дней. Одновременно были закончены продувки модели в ЦАГИ. Наземные испытания САМ-9 начались 27 июля 1937 года. </w:t>
      </w:r>
    </w:p>
    <w:p w14:paraId="041A499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Летчик-испытатель Чернавский вспоминал об испытаниях САМ-9: "…Мы просто не успели или, вернее, не смогли воспринять психологически самолет "Стрела". Мы не были готовы, опять же психологически, работать на машине такого типа! Винить нас за это нельзя, нас надо было просто понять! Бипланы со стойками, расчалками и вдруг стремительный изящный треугольник!".</w:t>
      </w:r>
    </w:p>
    <w:p w14:paraId="7F862E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всех испытаний, составления акта и написания приложения к отчету ЦАГИ самолет САМ-9 "Стрела", который полностью выполнил свою задачу, по приказу из Москвы в конце 1938 года был... уничтожен (11707).</w:t>
      </w:r>
    </w:p>
    <w:p w14:paraId="59B9703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A1413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Л.В.Курчевский, Нач. ОКБ ГАУ, обосновался на заводе 38 - через ж/д от 8 и построил полигон и аэродром. Там строили и ИП-1 Д.П.Г. (2693,17).</w:t>
      </w:r>
    </w:p>
    <w:p w14:paraId="2F2F991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CA36923" w14:textId="77777777" w:rsidR="00407660" w:rsidRPr="00C33834" w:rsidRDefault="00407660" w:rsidP="00C33834">
      <w:pPr>
        <w:pStyle w:val="108"/>
        <w:shd w:val="clear" w:color="auto" w:fill="auto"/>
        <w:spacing w:after="0" w:line="240" w:lineRule="auto"/>
        <w:ind w:firstLine="0"/>
        <w:jc w:val="both"/>
        <w:rPr>
          <w:rFonts w:ascii="Times New Roman" w:hAnsi="Times New Roman" w:cs="Times New Roman"/>
          <w:color w:val="0070C0"/>
          <w:sz w:val="16"/>
          <w:szCs w:val="16"/>
        </w:rPr>
      </w:pPr>
      <w:r w:rsidRPr="00C33834">
        <w:rPr>
          <w:rStyle w:val="79"/>
          <w:rFonts w:ascii="Times New Roman" w:hAnsi="Times New Roman" w:cs="Times New Roman"/>
          <w:color w:val="0070C0"/>
          <w:sz w:val="16"/>
          <w:szCs w:val="16"/>
          <w:lang w:val="ru-RU"/>
        </w:rPr>
        <w:t>В</w:t>
      </w:r>
      <w:r w:rsidRPr="00C33834">
        <w:rPr>
          <w:rStyle w:val="79"/>
          <w:rFonts w:ascii="Times New Roman" w:hAnsi="Times New Roman" w:cs="Times New Roman"/>
          <w:color w:val="0070C0"/>
          <w:sz w:val="16"/>
          <w:szCs w:val="16"/>
        </w:rPr>
        <w:t xml:space="preserve"> конце 1933 года ГУАП попытался влить 133-й завод в со</w:t>
      </w:r>
      <w:r w:rsidRPr="00C33834">
        <w:rPr>
          <w:rStyle w:val="79"/>
          <w:rFonts w:ascii="Times New Roman" w:hAnsi="Times New Roman" w:cs="Times New Roman"/>
          <w:color w:val="0070C0"/>
          <w:sz w:val="16"/>
          <w:szCs w:val="16"/>
        </w:rPr>
        <w:softHyphen/>
        <w:t>став завода № 39. В 1932 году Дмитрий Павлович Григорович сумел полу</w:t>
      </w:r>
      <w:r w:rsidRPr="00C33834">
        <w:rPr>
          <w:rStyle w:val="79"/>
          <w:rFonts w:ascii="Times New Roman" w:hAnsi="Times New Roman" w:cs="Times New Roman"/>
          <w:color w:val="0070C0"/>
          <w:sz w:val="16"/>
          <w:szCs w:val="16"/>
        </w:rPr>
        <w:softHyphen/>
        <w:t>чить «свой» завод, получивший номер 133. Открытый адрес этого предприятия для пере</w:t>
      </w:r>
      <w:r w:rsidRPr="00C33834">
        <w:rPr>
          <w:rStyle w:val="79"/>
          <w:rFonts w:ascii="Times New Roman" w:hAnsi="Times New Roman" w:cs="Times New Roman"/>
          <w:color w:val="0070C0"/>
          <w:sz w:val="16"/>
          <w:szCs w:val="16"/>
        </w:rPr>
        <w:softHyphen/>
        <w:t>писки - Москва-79, п/я 2424. Почтовое отде</w:t>
      </w:r>
      <w:r w:rsidRPr="00C33834">
        <w:rPr>
          <w:rStyle w:val="79"/>
          <w:rFonts w:ascii="Times New Roman" w:hAnsi="Times New Roman" w:cs="Times New Roman"/>
          <w:color w:val="0070C0"/>
          <w:sz w:val="16"/>
          <w:szCs w:val="16"/>
        </w:rPr>
        <w:softHyphen/>
        <w:t>ление № 79 тогда находилось на Красно</w:t>
      </w:r>
      <w:r w:rsidRPr="00C33834">
        <w:rPr>
          <w:rStyle w:val="79"/>
          <w:rFonts w:ascii="Times New Roman" w:hAnsi="Times New Roman" w:cs="Times New Roman"/>
          <w:color w:val="0070C0"/>
          <w:sz w:val="16"/>
          <w:szCs w:val="16"/>
        </w:rPr>
        <w:softHyphen/>
        <w:t>армейской улице, в доме 1а, вероятно, и завод № 133 размещался где-то поблизости, скорее всего, по адресу Авиационный пере</w:t>
      </w:r>
      <w:r w:rsidRPr="00C33834">
        <w:rPr>
          <w:rStyle w:val="79"/>
          <w:rFonts w:ascii="Times New Roman" w:hAnsi="Times New Roman" w:cs="Times New Roman"/>
          <w:color w:val="0070C0"/>
          <w:sz w:val="16"/>
          <w:szCs w:val="16"/>
        </w:rPr>
        <w:softHyphen/>
        <w:t>улок, дом 5, на площадях расформированного поликарповского КБ завода № 25, сменивше</w:t>
      </w:r>
      <w:r w:rsidRPr="00C33834">
        <w:rPr>
          <w:rStyle w:val="79"/>
          <w:rFonts w:ascii="Times New Roman" w:hAnsi="Times New Roman" w:cs="Times New Roman"/>
          <w:color w:val="0070C0"/>
          <w:sz w:val="16"/>
          <w:szCs w:val="16"/>
        </w:rPr>
        <w:softHyphen/>
        <w:t>го там в свое время ГАЗ № 5, бывший завод Франческо Моски. Место, как говорится, пре</w:t>
      </w:r>
      <w:r w:rsidRPr="00C33834">
        <w:rPr>
          <w:rStyle w:val="79"/>
          <w:rFonts w:ascii="Times New Roman" w:hAnsi="Times New Roman" w:cs="Times New Roman"/>
          <w:color w:val="0070C0"/>
          <w:sz w:val="16"/>
          <w:szCs w:val="16"/>
        </w:rPr>
        <w:softHyphen/>
        <w:t>стижное и удобное</w:t>
      </w:r>
      <w:r w:rsidRPr="00C33834">
        <w:rPr>
          <w:rStyle w:val="79"/>
          <w:rFonts w:ascii="Times New Roman" w:hAnsi="Times New Roman" w:cs="Times New Roman"/>
          <w:color w:val="0070C0"/>
          <w:sz w:val="16"/>
          <w:szCs w:val="16"/>
          <w:lang w:val="ru-RU"/>
        </w:rPr>
        <w:t xml:space="preserve">. </w:t>
      </w:r>
      <w:r w:rsidRPr="00C33834">
        <w:rPr>
          <w:rStyle w:val="79"/>
          <w:rFonts w:ascii="Times New Roman" w:hAnsi="Times New Roman" w:cs="Times New Roman"/>
          <w:color w:val="0070C0"/>
          <w:sz w:val="16"/>
          <w:szCs w:val="16"/>
        </w:rPr>
        <w:t>То есть уход КБ Григорови</w:t>
      </w:r>
      <w:r w:rsidRPr="00C33834">
        <w:rPr>
          <w:rStyle w:val="79"/>
          <w:rFonts w:ascii="Times New Roman" w:hAnsi="Times New Roman" w:cs="Times New Roman"/>
          <w:color w:val="0070C0"/>
          <w:sz w:val="16"/>
          <w:szCs w:val="16"/>
        </w:rPr>
        <w:softHyphen/>
        <w:t>ча под «крышу» УСР Курчевского во многом стал мерой вынужденной, попыткой сохра</w:t>
      </w:r>
      <w:r w:rsidRPr="00C33834">
        <w:rPr>
          <w:rStyle w:val="79"/>
          <w:rFonts w:ascii="Times New Roman" w:hAnsi="Times New Roman" w:cs="Times New Roman"/>
          <w:color w:val="0070C0"/>
          <w:sz w:val="16"/>
          <w:szCs w:val="16"/>
        </w:rPr>
        <w:softHyphen/>
        <w:t>нить творческую самостоятельность</w:t>
      </w:r>
      <w:r w:rsidRPr="00C33834">
        <w:rPr>
          <w:rStyle w:val="79"/>
          <w:rFonts w:ascii="Times New Roman" w:hAnsi="Times New Roman" w:cs="Times New Roman"/>
          <w:color w:val="0070C0"/>
          <w:sz w:val="16"/>
          <w:szCs w:val="16"/>
          <w:lang w:val="ru-RU"/>
        </w:rPr>
        <w:t xml:space="preserve"> (19871)</w:t>
      </w:r>
      <w:r w:rsidRPr="00C33834">
        <w:rPr>
          <w:rStyle w:val="79"/>
          <w:rFonts w:ascii="Times New Roman" w:hAnsi="Times New Roman" w:cs="Times New Roman"/>
          <w:color w:val="0070C0"/>
          <w:sz w:val="16"/>
          <w:szCs w:val="16"/>
        </w:rPr>
        <w:t>.</w:t>
      </w:r>
    </w:p>
    <w:p w14:paraId="64053F93" w14:textId="77777777" w:rsidR="00407660" w:rsidRPr="00C33834" w:rsidRDefault="00407660" w:rsidP="00C33834">
      <w:pPr>
        <w:pStyle w:val="108"/>
        <w:shd w:val="clear" w:color="auto" w:fill="auto"/>
        <w:spacing w:after="0" w:line="240" w:lineRule="auto"/>
        <w:ind w:firstLine="0"/>
        <w:jc w:val="both"/>
        <w:rPr>
          <w:rStyle w:val="79"/>
          <w:rFonts w:ascii="Times New Roman" w:hAnsi="Times New Roman" w:cs="Times New Roman"/>
          <w:color w:val="0070C0"/>
          <w:sz w:val="16"/>
          <w:szCs w:val="16"/>
        </w:rPr>
      </w:pPr>
    </w:p>
    <w:p w14:paraId="50109345" w14:textId="77777777" w:rsidR="0047154B" w:rsidRPr="00C33834" w:rsidRDefault="0047154B" w:rsidP="00C33834">
      <w:pPr>
        <w:pStyle w:val="a3"/>
        <w:rPr>
          <w:color w:val="000000" w:themeColor="text1"/>
          <w:lang w:val="ru-RU"/>
        </w:rPr>
      </w:pPr>
      <w:r w:rsidRPr="00C33834">
        <w:rPr>
          <w:color w:val="000000" w:themeColor="text1"/>
          <w:lang w:val="ru-RU"/>
        </w:rPr>
        <w:t>В конце 1933 г. - начале 1934 г. Григорович получил задание на про</w:t>
      </w:r>
      <w:r w:rsidRPr="00C33834">
        <w:rPr>
          <w:color w:val="000000" w:themeColor="text1"/>
          <w:lang w:val="ru-RU"/>
        </w:rPr>
        <w:softHyphen/>
        <w:t>ектирование скоростного моноплана с убираемым шасси, который был осна</w:t>
      </w:r>
      <w:r w:rsidRPr="00C33834">
        <w:rPr>
          <w:color w:val="000000" w:themeColor="text1"/>
          <w:lang w:val="ru-RU"/>
        </w:rPr>
        <w:softHyphen/>
        <w:t>щен двигателем Райт «Циклон» й-1820 Р-3 мощностью 625 л.е. и рассчитывался под установку двух динамореактивных пушек АПК-4 и двух пулеметов ШКАС. В документах КБ Григоровича периода 1934-1935 гг. указы</w:t>
      </w:r>
      <w:r w:rsidRPr="00C33834">
        <w:rPr>
          <w:color w:val="000000" w:themeColor="text1"/>
          <w:lang w:val="ru-RU"/>
        </w:rPr>
        <w:softHyphen/>
        <w:t>вались следующие расчетные характери</w:t>
      </w:r>
      <w:r w:rsidRPr="00C33834">
        <w:rPr>
          <w:color w:val="000000" w:themeColor="text1"/>
          <w:lang w:val="ru-RU"/>
        </w:rPr>
        <w:softHyphen/>
        <w:t>стики ПИ-1 (ДГ-52):</w:t>
      </w:r>
    </w:p>
    <w:p w14:paraId="26EE9356" w14:textId="77777777" w:rsidR="0047154B" w:rsidRPr="00C33834" w:rsidRDefault="0047154B" w:rsidP="00C33834">
      <w:pPr>
        <w:tabs>
          <w:tab w:val="right" w:leader="dot" w:pos="317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конструкции (кг)</w:t>
      </w:r>
      <w:r w:rsidRPr="00C33834">
        <w:rPr>
          <w:rFonts w:ascii="Times New Roman" w:hAnsi="Times New Roman"/>
          <w:color w:val="000000" w:themeColor="text1"/>
          <w:sz w:val="16"/>
          <w:szCs w:val="16"/>
        </w:rPr>
        <w:tab/>
        <w:t>568,7</w:t>
      </w:r>
    </w:p>
    <w:p w14:paraId="299718D8" w14:textId="77777777" w:rsidR="0047154B" w:rsidRPr="00C33834" w:rsidRDefault="0047154B" w:rsidP="00C33834">
      <w:pPr>
        <w:tabs>
          <w:tab w:val="right" w:leader="dot" w:pos="317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Полная нагрузка (кг)</w:t>
      </w:r>
      <w:r w:rsidRPr="00C33834">
        <w:rPr>
          <w:rFonts w:ascii="Times New Roman" w:hAnsi="Times New Roman"/>
          <w:color w:val="000000" w:themeColor="text1"/>
          <w:sz w:val="16"/>
          <w:szCs w:val="16"/>
        </w:rPr>
        <w:tab/>
        <w:t>565</w:t>
      </w:r>
    </w:p>
    <w:p w14:paraId="24A0DEB4" w14:textId="77777777" w:rsidR="0047154B" w:rsidRPr="00C33834" w:rsidRDefault="0047154B" w:rsidP="00C33834">
      <w:pPr>
        <w:tabs>
          <w:tab w:val="right" w:leader="dot" w:pos="317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крыла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rPr>
        <w:tab/>
        <w:t>19,98</w:t>
      </w:r>
    </w:p>
    <w:p w14:paraId="4A8C56C3" w14:textId="77777777" w:rsidR="0047154B" w:rsidRPr="00C33834" w:rsidRDefault="0047154B" w:rsidP="00C33834">
      <w:pPr>
        <w:tabs>
          <w:tab w:val="right" w:leader="dot" w:pos="317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Нагрузка на крыло (кг/м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rPr>
        <w:tab/>
        <w:t>94,0</w:t>
      </w:r>
    </w:p>
    <w:p w14:paraId="04E95999" w14:textId="77777777" w:rsidR="0047154B" w:rsidRPr="00C33834" w:rsidRDefault="0047154B" w:rsidP="00C33834">
      <w:pPr>
        <w:tabs>
          <w:tab w:val="right" w:leader="dot" w:pos="317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Весовая отдача</w:t>
      </w:r>
      <w:r w:rsidRPr="00C33834">
        <w:rPr>
          <w:rFonts w:ascii="Times New Roman" w:hAnsi="Times New Roman"/>
          <w:color w:val="000000" w:themeColor="text1"/>
          <w:sz w:val="16"/>
          <w:szCs w:val="16"/>
        </w:rPr>
        <w:tab/>
        <w:t>32,4%</w:t>
      </w:r>
    </w:p>
    <w:p w14:paraId="071F057F" w14:textId="77777777" w:rsidR="0047154B" w:rsidRPr="00C33834" w:rsidRDefault="0047154B" w:rsidP="00C33834">
      <w:pPr>
        <w:tabs>
          <w:tab w:val="right" w:leader="dot" w:pos="317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максимальная у земли (км/ч)</w:t>
      </w:r>
      <w:r w:rsidRPr="00C33834">
        <w:rPr>
          <w:rFonts w:ascii="Times New Roman" w:hAnsi="Times New Roman"/>
          <w:color w:val="000000" w:themeColor="text1"/>
          <w:sz w:val="16"/>
          <w:szCs w:val="16"/>
        </w:rPr>
        <w:tab/>
        <w:t>368</w:t>
      </w:r>
    </w:p>
    <w:p w14:paraId="4C22947B"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максимальная</w:t>
      </w:r>
    </w:p>
    <w:p w14:paraId="65A70720" w14:textId="77777777" w:rsidR="0047154B" w:rsidRPr="00C33834" w:rsidRDefault="0047154B" w:rsidP="00C33834">
      <w:pPr>
        <w:tabs>
          <w:tab w:val="right" w:leader="dot" w:pos="316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высоте 3000 м (км/ч)</w:t>
      </w:r>
      <w:r w:rsidRPr="00C33834">
        <w:rPr>
          <w:rFonts w:ascii="Times New Roman" w:hAnsi="Times New Roman"/>
          <w:color w:val="000000" w:themeColor="text1"/>
          <w:sz w:val="16"/>
          <w:szCs w:val="16"/>
        </w:rPr>
        <w:tab/>
        <w:t>410</w:t>
      </w:r>
    </w:p>
    <w:p w14:paraId="53C94BA9"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максимальная</w:t>
      </w:r>
    </w:p>
    <w:p w14:paraId="6C6887F4" w14:textId="77777777" w:rsidR="0047154B" w:rsidRPr="00C33834" w:rsidRDefault="0047154B" w:rsidP="00C33834">
      <w:pPr>
        <w:tabs>
          <w:tab w:val="right" w:leader="dot" w:pos="316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высоте 5000 м (км/ч)</w:t>
      </w:r>
      <w:r w:rsidRPr="00C33834">
        <w:rPr>
          <w:rFonts w:ascii="Times New Roman" w:hAnsi="Times New Roman"/>
          <w:color w:val="000000" w:themeColor="text1"/>
          <w:sz w:val="16"/>
          <w:szCs w:val="16"/>
        </w:rPr>
        <w:tab/>
        <w:t>389</w:t>
      </w:r>
    </w:p>
    <w:p w14:paraId="01349B9F" w14:textId="77777777" w:rsidR="0047154B" w:rsidRPr="00C33834" w:rsidRDefault="0047154B" w:rsidP="00C33834">
      <w:pPr>
        <w:tabs>
          <w:tab w:val="right" w:leader="dot" w:pos="316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посадочная (км/ч)</w:t>
      </w:r>
      <w:r w:rsidRPr="00C33834">
        <w:rPr>
          <w:rFonts w:ascii="Times New Roman" w:hAnsi="Times New Roman"/>
          <w:color w:val="000000" w:themeColor="text1"/>
          <w:sz w:val="16"/>
          <w:szCs w:val="16"/>
        </w:rPr>
        <w:tab/>
        <w:t>114</w:t>
      </w:r>
    </w:p>
    <w:p w14:paraId="5A42DF87"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посадочная</w:t>
      </w:r>
    </w:p>
    <w:p w14:paraId="528623CC" w14:textId="77777777" w:rsidR="0047154B" w:rsidRPr="00C33834" w:rsidRDefault="0047154B" w:rsidP="00C33834">
      <w:pPr>
        <w:tabs>
          <w:tab w:val="right" w:leader="dot" w:pos="316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 щитками (км/ч)</w:t>
      </w:r>
      <w:r w:rsidRPr="00C33834">
        <w:rPr>
          <w:rFonts w:ascii="Times New Roman" w:hAnsi="Times New Roman"/>
          <w:color w:val="000000" w:themeColor="text1"/>
          <w:sz w:val="16"/>
          <w:szCs w:val="16"/>
        </w:rPr>
        <w:tab/>
        <w:t>97</w:t>
      </w:r>
    </w:p>
    <w:p w14:paraId="7F1821AC" w14:textId="77777777" w:rsidR="0047154B" w:rsidRPr="00C33834" w:rsidRDefault="0047154B" w:rsidP="00C33834">
      <w:pPr>
        <w:tabs>
          <w:tab w:val="right" w:leader="dot" w:pos="316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набора высоты 5000 м (мин)</w:t>
      </w:r>
      <w:r w:rsidRPr="00C33834">
        <w:rPr>
          <w:rFonts w:ascii="Times New Roman" w:hAnsi="Times New Roman"/>
          <w:color w:val="000000" w:themeColor="text1"/>
          <w:sz w:val="16"/>
          <w:szCs w:val="16"/>
        </w:rPr>
        <w:tab/>
        <w:t>8,6</w:t>
      </w:r>
    </w:p>
    <w:p w14:paraId="5BD0B825" w14:textId="77777777" w:rsidR="0047154B" w:rsidRPr="00C33834" w:rsidRDefault="0047154B" w:rsidP="00C33834">
      <w:pPr>
        <w:tabs>
          <w:tab w:val="right" w:leader="dot" w:pos="316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Потолок практический (м)</w:t>
      </w:r>
      <w:r w:rsidRPr="00C33834">
        <w:rPr>
          <w:rFonts w:ascii="Times New Roman" w:hAnsi="Times New Roman"/>
          <w:color w:val="000000" w:themeColor="text1"/>
          <w:sz w:val="16"/>
          <w:szCs w:val="16"/>
        </w:rPr>
        <w:tab/>
        <w:t>7700</w:t>
      </w:r>
    </w:p>
    <w:p w14:paraId="71355C99" w14:textId="77777777" w:rsidR="0047154B" w:rsidRPr="00C33834" w:rsidRDefault="0047154B" w:rsidP="00C33834">
      <w:pPr>
        <w:tabs>
          <w:tab w:val="left" w:leader="dot" w:pos="2290"/>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пробега (м)</w:t>
      </w:r>
      <w:r w:rsidRPr="00C33834">
        <w:rPr>
          <w:rFonts w:ascii="Times New Roman" w:hAnsi="Times New Roman"/>
          <w:color w:val="000000" w:themeColor="text1"/>
          <w:sz w:val="16"/>
          <w:szCs w:val="16"/>
        </w:rPr>
        <w:tab/>
        <w:t>175 (11,0 с)</w:t>
      </w:r>
    </w:p>
    <w:p w14:paraId="272E4EC6" w14:textId="77777777" w:rsidR="0047154B" w:rsidRPr="00C33834" w:rsidRDefault="0047154B" w:rsidP="00C33834">
      <w:pPr>
        <w:tabs>
          <w:tab w:val="right" w:leader="dot" w:pos="3169"/>
        </w:tabs>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полета нормальная (км)</w:t>
      </w:r>
      <w:r w:rsidRPr="00C33834">
        <w:rPr>
          <w:rFonts w:ascii="Times New Roman" w:hAnsi="Times New Roman"/>
          <w:color w:val="000000" w:themeColor="text1"/>
          <w:sz w:val="16"/>
          <w:szCs w:val="16"/>
        </w:rPr>
        <w:tab/>
        <w:t>600</w:t>
      </w:r>
    </w:p>
    <w:p w14:paraId="3690B8B4"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полета</w:t>
      </w:r>
    </w:p>
    <w:p w14:paraId="690AA2C3" w14:textId="77777777" w:rsidR="0047154B" w:rsidRPr="00C33834" w:rsidRDefault="0047154B" w:rsidP="00C33834">
      <w:pPr>
        <w:pStyle w:val="a3"/>
        <w:rPr>
          <w:color w:val="000000" w:themeColor="text1"/>
          <w:lang w:val="ru-RU"/>
        </w:rPr>
      </w:pPr>
      <w:r w:rsidRPr="00C33834">
        <w:rPr>
          <w:color w:val="000000" w:themeColor="text1"/>
          <w:lang w:val="ru-RU"/>
        </w:rPr>
        <w:t>максимальная (км)</w:t>
      </w:r>
      <w:r w:rsidRPr="00C33834">
        <w:rPr>
          <w:color w:val="000000" w:themeColor="text1"/>
          <w:lang w:val="ru-RU"/>
        </w:rPr>
        <w:tab/>
        <w:t>1000 (15742)</w:t>
      </w:r>
    </w:p>
    <w:p w14:paraId="5812F6B8" w14:textId="77777777" w:rsidR="0047154B" w:rsidRPr="00C33834" w:rsidRDefault="0047154B" w:rsidP="00C33834">
      <w:pPr>
        <w:pStyle w:val="a3"/>
        <w:rPr>
          <w:color w:val="000000" w:themeColor="text1"/>
          <w:lang w:val="ru-RU"/>
        </w:rPr>
      </w:pPr>
    </w:p>
    <w:p w14:paraId="03A5CC42" w14:textId="77777777" w:rsidR="000F6E1F" w:rsidRPr="00C33834" w:rsidRDefault="000F6E1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К концу 1933 г. было принято решение передать четыре С55 в ВВС, получив вместо них четыре S.62bis.</w:t>
      </w:r>
    </w:p>
    <w:p w14:paraId="0A99B567" w14:textId="77777777" w:rsidR="000F6E1F" w:rsidRPr="00C33834" w:rsidRDefault="000F6E1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Четыре S.55 вошли в Дальневосточное управление (ДВУ) ГВФ. Бомбовое вооружение для них было изготовлено в Москве на заводе № 32, смонтировано уже на месте. Однако по итогам приемки и испытаний ГУ ГВФ пришло к заключению, что данные самолеты не вполне удовлетворяют требованиям, предъявляемым к самолетам, использующимся в условиях Дальнего Востока.</w:t>
      </w:r>
    </w:p>
    <w:p w14:paraId="45D0F773" w14:textId="77777777" w:rsidR="000F6E1F" w:rsidRPr="00C33834" w:rsidRDefault="000F6E1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Однако их передача затянулась, и в итоге в апреле 1934 г. начальник ГУ ГВФ И.С. Уншлихт приказал оставить S.55 и передавать их в эксплуатацию в ДВУ ГВФ. Машины получили номера Л-997, Л-995, Л-996 и Л-840. В военное подчинение эти самолеты должны были перейти лишь в случае мобилизации (21410).</w:t>
      </w:r>
    </w:p>
    <w:p w14:paraId="7CB1D81B" w14:textId="77777777" w:rsidR="000F6E1F" w:rsidRPr="00C33834" w:rsidRDefault="000F6E1F" w:rsidP="00C33834">
      <w:pPr>
        <w:spacing w:after="0" w:line="240" w:lineRule="auto"/>
        <w:jc w:val="both"/>
        <w:rPr>
          <w:rFonts w:ascii="Times New Roman" w:hAnsi="Times New Roman"/>
          <w:color w:val="0070C0"/>
          <w:sz w:val="16"/>
          <w:szCs w:val="16"/>
        </w:rPr>
      </w:pPr>
    </w:p>
    <w:p w14:paraId="64C4EAA1" w14:textId="77777777" w:rsidR="000F6E1F" w:rsidRPr="00C33834" w:rsidRDefault="000F6E1F"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конце 1933 года группой Вахмистро</w:t>
      </w:r>
      <w:r w:rsidRPr="00C33834">
        <w:rPr>
          <w:rFonts w:ascii="Times New Roman" w:hAnsi="Times New Roman"/>
          <w:color w:val="0070C0"/>
          <w:sz w:val="16"/>
          <w:szCs w:val="16"/>
        </w:rPr>
        <w:softHyphen/>
        <w:t>ва в 1-й авиабригаде тяжелых бомбардировщиков началось оборудование шести носителей ТБ-1 для установки 12 И-5. Работа по созданию такой системы З-1а частично бы</w:t>
      </w:r>
      <w:r w:rsidRPr="00C33834">
        <w:rPr>
          <w:rFonts w:ascii="Times New Roman" w:hAnsi="Times New Roman"/>
          <w:color w:val="0070C0"/>
          <w:sz w:val="16"/>
          <w:szCs w:val="16"/>
        </w:rPr>
        <w:softHyphen/>
        <w:t>ла выполнена в мае 1934 года (20345).</w:t>
      </w:r>
    </w:p>
    <w:p w14:paraId="716A1E7E" w14:textId="77777777" w:rsidR="000F6E1F" w:rsidRPr="00C33834" w:rsidRDefault="000F6E1F" w:rsidP="00C33834">
      <w:pPr>
        <w:spacing w:after="0" w:line="240" w:lineRule="auto"/>
        <w:jc w:val="both"/>
        <w:rPr>
          <w:rFonts w:ascii="Times New Roman" w:hAnsi="Times New Roman"/>
          <w:color w:val="0070C0"/>
          <w:sz w:val="16"/>
          <w:szCs w:val="16"/>
        </w:rPr>
      </w:pPr>
    </w:p>
    <w:p w14:paraId="6A8FCF8D"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До конца 1933 г. в КБ-2 ОВИ РККА  (Отдел военных изобретений) были изготовлены рабочие чертежи двухбалочного самолета СС, позже переименованного в ИП-3 (пушечный истребитель-3).</w:t>
      </w:r>
    </w:p>
    <w:p w14:paraId="2A1A44D7"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 был двухбалочный, одноместный низкоплан с толкающим винтом и двигателем М-34. В носу самолета размещалась кабина летчика, в бортах фюзеляжа радиаторы, за ней вентилятор, обдувающий двигатель.</w:t>
      </w:r>
    </w:p>
    <w:p w14:paraId="4CCFC62B"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основным геометрическим параметрам (длина - 9,46 м, размах крыла - 14,0 м) он был близок к И-12, но имел закрытую кабину и убираемое шасси, что способствовало получению высоких характеристик. Масса -2500 кг. Конструкторы предполагали получить на высоте 7000 м скорость 450 км/ч. В кабине два пулемета ПВ-1.</w:t>
      </w:r>
    </w:p>
    <w:p w14:paraId="59F24632"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Хотя "добро" на проведение работ было дано под две 76,2-мм динамореактивные пушки АПК-4 Кручевского, которые планировалось разместить в крыле и хвостовых балках,  в итоге этой идеи отказались. В окончательном варианте ИП-3 предполагалось вооружить 12-ю 82 мм РС.  В основании консолей планировались специальные барабаны на шесть реактивных снарядов.</w:t>
      </w:r>
    </w:p>
    <w:p w14:paraId="3E7BDF8E"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Шефствовал над этой работой сам Тухачевский. Так как мастерские лененградского КБ-2 УВИ были малы, Тухачевский с помощью Орджоникидзе добился перевода конструкторов в 1934 году на московский завод №22. Здесь самолет начал строиться, что вызывало нескрываемое неудовольствие Туполева. К концу 1935 г. тактико-технические данные самолета устарели и работы по самолету были прекращены в 1936 г. (15584).</w:t>
      </w:r>
    </w:p>
    <w:p w14:paraId="313C19F0" w14:textId="77777777" w:rsidR="0047154B" w:rsidRPr="00C33834" w:rsidRDefault="0047154B" w:rsidP="00C33834">
      <w:pPr>
        <w:spacing w:after="0" w:line="240" w:lineRule="auto"/>
        <w:jc w:val="both"/>
        <w:rPr>
          <w:rFonts w:ascii="Times New Roman" w:hAnsi="Times New Roman"/>
          <w:color w:val="000000" w:themeColor="text1"/>
          <w:sz w:val="16"/>
          <w:szCs w:val="16"/>
        </w:rPr>
      </w:pPr>
    </w:p>
    <w:p w14:paraId="69BBCD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Л.В.Курчевскому передали здание и оборудование ликвидированного КБ-38, занятого проектированием классических артсистем (203,28).</w:t>
      </w:r>
    </w:p>
    <w:p w14:paraId="64C2B6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CEA3D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года и начале 1934 года заводом № 43 было построено четыре автожира для ГВФ из которых один аппарат находился в Москве, а остальные на периферии. На машине находящейся в Москве, было совершено значительное количество полетов и эта машина была полностью освоена (летчик Местон). Остальные машины не летали и даже не были вынуты из ящиков. По предложению ЦАГИ начальником ГУГВФ Ткачевым в конце 1934 года было дано распоряжение создать специальное звено автожиров, в котором сосредоточить все имеющиеся в гражданской авиации автожиры с целью получения практического опыта использования автожиров на отдельных участках гражданской авиации. В результате этого распоряжения было два совещания дальше которых дело не пошло (3849,13).</w:t>
      </w:r>
    </w:p>
    <w:p w14:paraId="61401F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3F3230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 для испытаний универсального двойного моста Остехбюро выделили одну машину с моторами М-17. Его использовали при пробных сбросах новой торпеды TAB-27 Самолет получил специальный прицел СП-123 (впоследствии принятый на вооружение как ПВТБ-1). Сброс торпеды осуществлялся механическим сбрасывателем ОТБ. но оказалось, что большая и тяжелая ГАВ-27 не по силам уже потрепанному бомбардировщику. Выше 2000 м он никак не мог подняться (9807).</w:t>
      </w:r>
    </w:p>
    <w:p w14:paraId="519311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20A3C3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Нач. ГУАП Королев подготовил:</w:t>
      </w:r>
    </w:p>
    <w:p w14:paraId="2DB3D9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Программу самолетостроения на 1934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442"/>
        <w:gridCol w:w="3162"/>
      </w:tblGrid>
      <w:tr w:rsidR="00F26F01" w:rsidRPr="00C33834" w14:paraId="2A30EE66" w14:textId="77777777">
        <w:tc>
          <w:tcPr>
            <w:tcW w:w="2802" w:type="dxa"/>
            <w:tcBorders>
              <w:top w:val="single" w:sz="12" w:space="0" w:color="auto"/>
            </w:tcBorders>
          </w:tcPr>
          <w:p w14:paraId="679E6D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w:t>
            </w:r>
          </w:p>
        </w:tc>
        <w:tc>
          <w:tcPr>
            <w:tcW w:w="2802" w:type="dxa"/>
            <w:tcBorders>
              <w:top w:val="single" w:sz="12" w:space="0" w:color="auto"/>
            </w:tcBorders>
          </w:tcPr>
          <w:p w14:paraId="43D155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w:t>
            </w:r>
          </w:p>
        </w:tc>
        <w:tc>
          <w:tcPr>
            <w:tcW w:w="2442" w:type="dxa"/>
            <w:tcBorders>
              <w:top w:val="single" w:sz="12" w:space="0" w:color="auto"/>
            </w:tcBorders>
          </w:tcPr>
          <w:p w14:paraId="50D8BD0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Программа на 1934</w:t>
            </w:r>
          </w:p>
        </w:tc>
        <w:tc>
          <w:tcPr>
            <w:tcW w:w="3162" w:type="dxa"/>
            <w:tcBorders>
              <w:top w:val="single" w:sz="12" w:space="0" w:color="auto"/>
            </w:tcBorders>
          </w:tcPr>
          <w:p w14:paraId="25D9A8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т.ч. для УВВС</w:t>
            </w:r>
          </w:p>
        </w:tc>
      </w:tr>
      <w:tr w:rsidR="00F26F01" w:rsidRPr="00C33834" w14:paraId="37EAAD1D" w14:textId="77777777">
        <w:tc>
          <w:tcPr>
            <w:tcW w:w="2802" w:type="dxa"/>
          </w:tcPr>
          <w:p w14:paraId="3236820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Самолеты</w:t>
            </w:r>
          </w:p>
        </w:tc>
        <w:tc>
          <w:tcPr>
            <w:tcW w:w="2802" w:type="dxa"/>
          </w:tcPr>
          <w:p w14:paraId="7027A24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442" w:type="dxa"/>
          </w:tcPr>
          <w:p w14:paraId="3B8A81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162" w:type="dxa"/>
          </w:tcPr>
          <w:p w14:paraId="4B8492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F47577F" w14:textId="77777777">
        <w:tc>
          <w:tcPr>
            <w:tcW w:w="2802" w:type="dxa"/>
          </w:tcPr>
          <w:p w14:paraId="40FFF6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Р5-М17</w:t>
            </w:r>
          </w:p>
        </w:tc>
        <w:tc>
          <w:tcPr>
            <w:tcW w:w="2802" w:type="dxa"/>
          </w:tcPr>
          <w:p w14:paraId="36A2178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2442" w:type="dxa"/>
          </w:tcPr>
          <w:p w14:paraId="036C5DA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1900</w:t>
            </w:r>
          </w:p>
        </w:tc>
        <w:tc>
          <w:tcPr>
            <w:tcW w:w="3162" w:type="dxa"/>
          </w:tcPr>
          <w:p w14:paraId="6F515C1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1400</w:t>
            </w:r>
          </w:p>
        </w:tc>
      </w:tr>
      <w:tr w:rsidR="00F26F01" w:rsidRPr="00C33834" w14:paraId="6CF5ADC1" w14:textId="77777777">
        <w:tc>
          <w:tcPr>
            <w:tcW w:w="2802" w:type="dxa"/>
          </w:tcPr>
          <w:p w14:paraId="0EF454F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Р5а-М17</w:t>
            </w:r>
          </w:p>
        </w:tc>
        <w:tc>
          <w:tcPr>
            <w:tcW w:w="2802" w:type="dxa"/>
          </w:tcPr>
          <w:p w14:paraId="4E6C598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2442" w:type="dxa"/>
          </w:tcPr>
          <w:p w14:paraId="2DB45D8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3162" w:type="dxa"/>
          </w:tcPr>
          <w:p w14:paraId="7B75B0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r>
      <w:tr w:rsidR="00F26F01" w:rsidRPr="00C33834" w14:paraId="27626C73" w14:textId="77777777">
        <w:tc>
          <w:tcPr>
            <w:tcW w:w="2802" w:type="dxa"/>
          </w:tcPr>
          <w:p w14:paraId="2817B0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СР-М34</w:t>
            </w:r>
          </w:p>
        </w:tc>
        <w:tc>
          <w:tcPr>
            <w:tcW w:w="2802" w:type="dxa"/>
          </w:tcPr>
          <w:p w14:paraId="2FDA6A2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2442" w:type="dxa"/>
          </w:tcPr>
          <w:p w14:paraId="692628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3162" w:type="dxa"/>
          </w:tcPr>
          <w:p w14:paraId="77F5AF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r>
      <w:tr w:rsidR="00F26F01" w:rsidRPr="00C33834" w14:paraId="140B4D9A" w14:textId="77777777">
        <w:tc>
          <w:tcPr>
            <w:tcW w:w="2802" w:type="dxa"/>
          </w:tcPr>
          <w:p w14:paraId="05E74C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И7-М17</w:t>
            </w:r>
          </w:p>
        </w:tc>
        <w:tc>
          <w:tcPr>
            <w:tcW w:w="2802" w:type="dxa"/>
          </w:tcPr>
          <w:p w14:paraId="156F74D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2442" w:type="dxa"/>
          </w:tcPr>
          <w:p w14:paraId="6FE327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w:t>
            </w:r>
          </w:p>
        </w:tc>
        <w:tc>
          <w:tcPr>
            <w:tcW w:w="3162" w:type="dxa"/>
          </w:tcPr>
          <w:p w14:paraId="7869F5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63</w:t>
            </w:r>
          </w:p>
        </w:tc>
      </w:tr>
      <w:tr w:rsidR="00F26F01" w:rsidRPr="00C33834" w14:paraId="4F0F85DD" w14:textId="77777777">
        <w:tc>
          <w:tcPr>
            <w:tcW w:w="2802" w:type="dxa"/>
          </w:tcPr>
          <w:p w14:paraId="10ACC6B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И5-М22</w:t>
            </w:r>
          </w:p>
        </w:tc>
        <w:tc>
          <w:tcPr>
            <w:tcW w:w="2802" w:type="dxa"/>
          </w:tcPr>
          <w:p w14:paraId="4F50360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2442" w:type="dxa"/>
          </w:tcPr>
          <w:p w14:paraId="53361C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360</w:t>
            </w:r>
          </w:p>
        </w:tc>
        <w:tc>
          <w:tcPr>
            <w:tcW w:w="3162" w:type="dxa"/>
          </w:tcPr>
          <w:p w14:paraId="5DEFAEB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360</w:t>
            </w:r>
          </w:p>
        </w:tc>
      </w:tr>
      <w:tr w:rsidR="00F26F01" w:rsidRPr="00C33834" w14:paraId="4A7B8158" w14:textId="77777777">
        <w:tc>
          <w:tcPr>
            <w:tcW w:w="2802" w:type="dxa"/>
          </w:tcPr>
          <w:p w14:paraId="218F5D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И14-РЦ</w:t>
            </w:r>
          </w:p>
        </w:tc>
        <w:tc>
          <w:tcPr>
            <w:tcW w:w="2802" w:type="dxa"/>
          </w:tcPr>
          <w:p w14:paraId="13F49FC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2442" w:type="dxa"/>
          </w:tcPr>
          <w:p w14:paraId="2AA207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w:t>
            </w:r>
          </w:p>
        </w:tc>
        <w:tc>
          <w:tcPr>
            <w:tcW w:w="3162" w:type="dxa"/>
          </w:tcPr>
          <w:p w14:paraId="25124F5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из них завод 21-20, завод 125 -8</w:t>
            </w:r>
          </w:p>
        </w:tc>
      </w:tr>
      <w:tr w:rsidR="00F26F01" w:rsidRPr="00C33834" w14:paraId="271E4C3D" w14:textId="77777777">
        <w:tc>
          <w:tcPr>
            <w:tcW w:w="2802" w:type="dxa"/>
          </w:tcPr>
          <w:p w14:paraId="7F1DEFA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И15-РЦ</w:t>
            </w:r>
          </w:p>
        </w:tc>
        <w:tc>
          <w:tcPr>
            <w:tcW w:w="2802" w:type="dxa"/>
          </w:tcPr>
          <w:p w14:paraId="3A7F95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2442" w:type="dxa"/>
          </w:tcPr>
          <w:p w14:paraId="4B9B678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3162" w:type="dxa"/>
          </w:tcPr>
          <w:p w14:paraId="23DE6D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 из них завод 39 - 10, завод 1 - 140</w:t>
            </w:r>
          </w:p>
        </w:tc>
      </w:tr>
      <w:tr w:rsidR="00F26F01" w:rsidRPr="00C33834" w14:paraId="253DEF97" w14:textId="77777777">
        <w:tc>
          <w:tcPr>
            <w:tcW w:w="2802" w:type="dxa"/>
          </w:tcPr>
          <w:p w14:paraId="505F7D9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И16-М22</w:t>
            </w:r>
          </w:p>
        </w:tc>
        <w:tc>
          <w:tcPr>
            <w:tcW w:w="2802" w:type="dxa"/>
          </w:tcPr>
          <w:p w14:paraId="7A6254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p>
        </w:tc>
        <w:tc>
          <w:tcPr>
            <w:tcW w:w="2442" w:type="dxa"/>
          </w:tcPr>
          <w:p w14:paraId="2957B2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w:t>
            </w:r>
          </w:p>
        </w:tc>
        <w:tc>
          <w:tcPr>
            <w:tcW w:w="3162" w:type="dxa"/>
          </w:tcPr>
          <w:p w14:paraId="246080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130, из них завод 39 - 50, завод 21 - 80</w:t>
            </w:r>
          </w:p>
        </w:tc>
      </w:tr>
      <w:tr w:rsidR="00F26F01" w:rsidRPr="00C33834" w14:paraId="2DFE65CF" w14:textId="77777777">
        <w:tc>
          <w:tcPr>
            <w:tcW w:w="2802" w:type="dxa"/>
          </w:tcPr>
          <w:p w14:paraId="541D4D3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?ЭТ-М22</w:t>
            </w:r>
          </w:p>
        </w:tc>
        <w:tc>
          <w:tcPr>
            <w:tcW w:w="2802" w:type="dxa"/>
          </w:tcPr>
          <w:p w14:paraId="032938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ХАЗОС</w:t>
            </w:r>
          </w:p>
        </w:tc>
        <w:tc>
          <w:tcPr>
            <w:tcW w:w="2442" w:type="dxa"/>
          </w:tcPr>
          <w:p w14:paraId="5F5A7C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3162" w:type="dxa"/>
          </w:tcPr>
          <w:p w14:paraId="2D5EEED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r>
      <w:tr w:rsidR="00F26F01" w:rsidRPr="00C33834" w14:paraId="60306603" w14:textId="77777777">
        <w:tc>
          <w:tcPr>
            <w:tcW w:w="2802" w:type="dxa"/>
          </w:tcPr>
          <w:p w14:paraId="139481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?Р-М22</w:t>
            </w:r>
          </w:p>
        </w:tc>
        <w:tc>
          <w:tcPr>
            <w:tcW w:w="2802" w:type="dxa"/>
          </w:tcPr>
          <w:p w14:paraId="433EBA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39</w:t>
            </w:r>
          </w:p>
        </w:tc>
        <w:tc>
          <w:tcPr>
            <w:tcW w:w="2442" w:type="dxa"/>
          </w:tcPr>
          <w:p w14:paraId="58779BB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3162" w:type="dxa"/>
          </w:tcPr>
          <w:p w14:paraId="7F9DB4D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r>
      <w:tr w:rsidR="00F26F01" w:rsidRPr="00C33834" w14:paraId="06E415A7" w14:textId="77777777">
        <w:tc>
          <w:tcPr>
            <w:tcW w:w="2802" w:type="dxa"/>
          </w:tcPr>
          <w:p w14:paraId="3BC678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?С-2М22</w:t>
            </w:r>
          </w:p>
        </w:tc>
        <w:tc>
          <w:tcPr>
            <w:tcW w:w="2802" w:type="dxa"/>
          </w:tcPr>
          <w:p w14:paraId="4801FB7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ХАЗ</w:t>
            </w:r>
          </w:p>
        </w:tc>
        <w:tc>
          <w:tcPr>
            <w:tcW w:w="2442" w:type="dxa"/>
          </w:tcPr>
          <w:p w14:paraId="0F17CCE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3162" w:type="dxa"/>
          </w:tcPr>
          <w:p w14:paraId="1F1BC1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r>
      <w:tr w:rsidR="00F26F01" w:rsidRPr="00C33834" w14:paraId="13878F24" w14:textId="77777777">
        <w:tc>
          <w:tcPr>
            <w:tcW w:w="2802" w:type="dxa"/>
          </w:tcPr>
          <w:p w14:paraId="771F5E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У2-М11</w:t>
            </w:r>
          </w:p>
        </w:tc>
        <w:tc>
          <w:tcPr>
            <w:tcW w:w="2802" w:type="dxa"/>
          </w:tcPr>
          <w:p w14:paraId="097F860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c>
          <w:tcPr>
            <w:tcW w:w="2442" w:type="dxa"/>
          </w:tcPr>
          <w:p w14:paraId="7C45DED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1030</w:t>
            </w:r>
          </w:p>
        </w:tc>
        <w:tc>
          <w:tcPr>
            <w:tcW w:w="3162" w:type="dxa"/>
          </w:tcPr>
          <w:p w14:paraId="1F8384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650</w:t>
            </w:r>
          </w:p>
        </w:tc>
      </w:tr>
      <w:tr w:rsidR="00F26F01" w:rsidRPr="00C33834" w14:paraId="5A4D0502" w14:textId="77777777">
        <w:tc>
          <w:tcPr>
            <w:tcW w:w="2802" w:type="dxa"/>
          </w:tcPr>
          <w:p w14:paraId="528B1B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У2-М11 3-х местный</w:t>
            </w:r>
          </w:p>
        </w:tc>
        <w:tc>
          <w:tcPr>
            <w:tcW w:w="2802" w:type="dxa"/>
          </w:tcPr>
          <w:p w14:paraId="3D9A1D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c>
          <w:tcPr>
            <w:tcW w:w="2442" w:type="dxa"/>
          </w:tcPr>
          <w:p w14:paraId="5C6A14B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c>
          <w:tcPr>
            <w:tcW w:w="3162" w:type="dxa"/>
          </w:tcPr>
          <w:p w14:paraId="6CAA3F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5E754E28" w14:textId="77777777">
        <w:tc>
          <w:tcPr>
            <w:tcW w:w="2802" w:type="dxa"/>
          </w:tcPr>
          <w:p w14:paraId="57C6093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У2-М11 санитарный</w:t>
            </w:r>
          </w:p>
        </w:tc>
        <w:tc>
          <w:tcPr>
            <w:tcW w:w="2802" w:type="dxa"/>
          </w:tcPr>
          <w:p w14:paraId="635DA8D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c>
          <w:tcPr>
            <w:tcW w:w="2442" w:type="dxa"/>
          </w:tcPr>
          <w:p w14:paraId="1B2298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3162" w:type="dxa"/>
          </w:tcPr>
          <w:p w14:paraId="195149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r>
      <w:tr w:rsidR="00F26F01" w:rsidRPr="00C33834" w14:paraId="3C61CEAD" w14:textId="77777777">
        <w:tc>
          <w:tcPr>
            <w:tcW w:w="2802" w:type="dxa"/>
          </w:tcPr>
          <w:p w14:paraId="554450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?П-М11</w:t>
            </w:r>
          </w:p>
        </w:tc>
        <w:tc>
          <w:tcPr>
            <w:tcW w:w="2802" w:type="dxa"/>
          </w:tcPr>
          <w:p w14:paraId="38C429D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c>
          <w:tcPr>
            <w:tcW w:w="2442" w:type="dxa"/>
          </w:tcPr>
          <w:p w14:paraId="5886A5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320</w:t>
            </w:r>
          </w:p>
        </w:tc>
        <w:tc>
          <w:tcPr>
            <w:tcW w:w="3162" w:type="dxa"/>
          </w:tcPr>
          <w:p w14:paraId="407AA6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647F9B79" w14:textId="77777777">
        <w:tc>
          <w:tcPr>
            <w:tcW w:w="2802" w:type="dxa"/>
          </w:tcPr>
          <w:p w14:paraId="0F4285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?Ш-М11</w:t>
            </w:r>
          </w:p>
        </w:tc>
        <w:tc>
          <w:tcPr>
            <w:tcW w:w="2802" w:type="dxa"/>
          </w:tcPr>
          <w:p w14:paraId="061245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2442" w:type="dxa"/>
          </w:tcPr>
          <w:p w14:paraId="05F4F0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3162" w:type="dxa"/>
          </w:tcPr>
          <w:p w14:paraId="20BBEC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tc>
      </w:tr>
      <w:tr w:rsidR="00F26F01" w:rsidRPr="00C33834" w14:paraId="4182ED36" w14:textId="77777777">
        <w:tc>
          <w:tcPr>
            <w:tcW w:w="2802" w:type="dxa"/>
          </w:tcPr>
          <w:p w14:paraId="0E7C4A9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РД-М34Р</w:t>
            </w:r>
          </w:p>
        </w:tc>
        <w:tc>
          <w:tcPr>
            <w:tcW w:w="2802" w:type="dxa"/>
          </w:tcPr>
          <w:p w14:paraId="5145A6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124</w:t>
            </w:r>
          </w:p>
        </w:tc>
        <w:tc>
          <w:tcPr>
            <w:tcW w:w="2442" w:type="dxa"/>
          </w:tcPr>
          <w:p w14:paraId="7804A5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tc>
        <w:tc>
          <w:tcPr>
            <w:tcW w:w="3162" w:type="dxa"/>
          </w:tcPr>
          <w:p w14:paraId="654920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tc>
      </w:tr>
      <w:tr w:rsidR="00F26F01" w:rsidRPr="00C33834" w14:paraId="25D49782" w14:textId="77777777">
        <w:tc>
          <w:tcPr>
            <w:tcW w:w="2802" w:type="dxa"/>
          </w:tcPr>
          <w:p w14:paraId="56D31B0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w:t>
            </w:r>
          </w:p>
        </w:tc>
        <w:tc>
          <w:tcPr>
            <w:tcW w:w="2802" w:type="dxa"/>
          </w:tcPr>
          <w:p w14:paraId="7BC03F9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2442" w:type="dxa"/>
          </w:tcPr>
          <w:p w14:paraId="19548D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c>
          <w:tcPr>
            <w:tcW w:w="3162" w:type="dxa"/>
          </w:tcPr>
          <w:p w14:paraId="5BC814D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r>
      <w:tr w:rsidR="00F26F01" w:rsidRPr="00C33834" w14:paraId="240FED2E" w14:textId="77777777">
        <w:tc>
          <w:tcPr>
            <w:tcW w:w="2802" w:type="dxa"/>
          </w:tcPr>
          <w:p w14:paraId="67C5256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ТБ3-4М34Р</w:t>
            </w:r>
          </w:p>
        </w:tc>
        <w:tc>
          <w:tcPr>
            <w:tcW w:w="2802" w:type="dxa"/>
          </w:tcPr>
          <w:p w14:paraId="1139A03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2442" w:type="dxa"/>
          </w:tcPr>
          <w:p w14:paraId="6AC41A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155</w:t>
            </w:r>
          </w:p>
        </w:tc>
        <w:tc>
          <w:tcPr>
            <w:tcW w:w="3162" w:type="dxa"/>
          </w:tcPr>
          <w:p w14:paraId="0042F72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155</w:t>
            </w:r>
          </w:p>
        </w:tc>
      </w:tr>
      <w:tr w:rsidR="00F26F01" w:rsidRPr="00C33834" w14:paraId="69BCA066" w14:textId="77777777">
        <w:tc>
          <w:tcPr>
            <w:tcW w:w="2802" w:type="dxa"/>
          </w:tcPr>
          <w:p w14:paraId="120AD4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w:t>
            </w:r>
          </w:p>
        </w:tc>
        <w:tc>
          <w:tcPr>
            <w:tcW w:w="2802" w:type="dxa"/>
          </w:tcPr>
          <w:p w14:paraId="447502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2442" w:type="dxa"/>
          </w:tcPr>
          <w:p w14:paraId="57E859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w:t>
            </w:r>
          </w:p>
        </w:tc>
        <w:tc>
          <w:tcPr>
            <w:tcW w:w="3162" w:type="dxa"/>
          </w:tcPr>
          <w:p w14:paraId="07CD4AD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завод 18 - 5, завод 39 - 8</w:t>
            </w:r>
          </w:p>
        </w:tc>
      </w:tr>
      <w:tr w:rsidR="00F26F01" w:rsidRPr="00C33834" w14:paraId="6F861B5C" w14:textId="77777777">
        <w:tc>
          <w:tcPr>
            <w:tcW w:w="2802" w:type="dxa"/>
          </w:tcPr>
          <w:p w14:paraId="04624C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ТБ4-8М34РН</w:t>
            </w:r>
          </w:p>
        </w:tc>
        <w:tc>
          <w:tcPr>
            <w:tcW w:w="2802" w:type="dxa"/>
          </w:tcPr>
          <w:p w14:paraId="4A288B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w:t>
            </w:r>
          </w:p>
        </w:tc>
        <w:tc>
          <w:tcPr>
            <w:tcW w:w="2442" w:type="dxa"/>
          </w:tcPr>
          <w:p w14:paraId="1087BD3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3162" w:type="dxa"/>
          </w:tcPr>
          <w:p w14:paraId="4273CCD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r>
      <w:tr w:rsidR="00F26F01" w:rsidRPr="00C33834" w14:paraId="365605A7" w14:textId="77777777">
        <w:tc>
          <w:tcPr>
            <w:tcW w:w="2802" w:type="dxa"/>
          </w:tcPr>
          <w:p w14:paraId="06D48E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Р6а-2М17</w:t>
            </w:r>
          </w:p>
        </w:tc>
        <w:tc>
          <w:tcPr>
            <w:tcW w:w="2802" w:type="dxa"/>
          </w:tcPr>
          <w:p w14:paraId="2371B52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2442" w:type="dxa"/>
          </w:tcPr>
          <w:p w14:paraId="5C3F3EC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3162" w:type="dxa"/>
          </w:tcPr>
          <w:p w14:paraId="01585F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6D961A01" w14:textId="77777777">
        <w:tc>
          <w:tcPr>
            <w:tcW w:w="2802" w:type="dxa"/>
          </w:tcPr>
          <w:p w14:paraId="1D23AD5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Р6-2М17</w:t>
            </w:r>
          </w:p>
        </w:tc>
        <w:tc>
          <w:tcPr>
            <w:tcW w:w="2802" w:type="dxa"/>
          </w:tcPr>
          <w:p w14:paraId="7CBCAC9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2442" w:type="dxa"/>
          </w:tcPr>
          <w:p w14:paraId="6D3688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c>
          <w:tcPr>
            <w:tcW w:w="3162" w:type="dxa"/>
          </w:tcPr>
          <w:p w14:paraId="601701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w:t>
            </w:r>
          </w:p>
        </w:tc>
      </w:tr>
      <w:tr w:rsidR="00F26F01" w:rsidRPr="00C33834" w14:paraId="4AA03138" w14:textId="77777777">
        <w:tc>
          <w:tcPr>
            <w:tcW w:w="2802" w:type="dxa"/>
          </w:tcPr>
          <w:p w14:paraId="32708A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Р6а-2М17</w:t>
            </w:r>
          </w:p>
        </w:tc>
        <w:tc>
          <w:tcPr>
            <w:tcW w:w="2802" w:type="dxa"/>
          </w:tcPr>
          <w:p w14:paraId="2285FC6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2442" w:type="dxa"/>
          </w:tcPr>
          <w:p w14:paraId="09319D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w:t>
            </w:r>
          </w:p>
        </w:tc>
        <w:tc>
          <w:tcPr>
            <w:tcW w:w="3162" w:type="dxa"/>
          </w:tcPr>
          <w:p w14:paraId="4F7B5C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75</w:t>
            </w:r>
          </w:p>
        </w:tc>
      </w:tr>
      <w:tr w:rsidR="00F26F01" w:rsidRPr="00C33834" w14:paraId="1119DDFC" w14:textId="77777777">
        <w:tc>
          <w:tcPr>
            <w:tcW w:w="2802" w:type="dxa"/>
          </w:tcPr>
          <w:p w14:paraId="7E8D04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МИ3-2М34</w:t>
            </w:r>
          </w:p>
        </w:tc>
        <w:tc>
          <w:tcPr>
            <w:tcW w:w="2802" w:type="dxa"/>
          </w:tcPr>
          <w:p w14:paraId="02EA67A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2442" w:type="dxa"/>
          </w:tcPr>
          <w:p w14:paraId="7596F9F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3162" w:type="dxa"/>
          </w:tcPr>
          <w:p w14:paraId="3C0118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r>
      <w:tr w:rsidR="00F26F01" w:rsidRPr="00C33834" w14:paraId="5B100FFE" w14:textId="77777777">
        <w:tc>
          <w:tcPr>
            <w:tcW w:w="2802" w:type="dxa"/>
          </w:tcPr>
          <w:p w14:paraId="2865C0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МК-6М34</w:t>
            </w:r>
          </w:p>
        </w:tc>
        <w:tc>
          <w:tcPr>
            <w:tcW w:w="2802" w:type="dxa"/>
          </w:tcPr>
          <w:p w14:paraId="629E56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2442" w:type="dxa"/>
          </w:tcPr>
          <w:p w14:paraId="6F70789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c>
          <w:tcPr>
            <w:tcW w:w="3162" w:type="dxa"/>
          </w:tcPr>
          <w:p w14:paraId="48CF7D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r>
      <w:tr w:rsidR="00F26F01" w:rsidRPr="00C33834" w14:paraId="77B31ACA" w14:textId="77777777">
        <w:tc>
          <w:tcPr>
            <w:tcW w:w="2802" w:type="dxa"/>
          </w:tcPr>
          <w:p w14:paraId="12425C9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МДР4-3М34</w:t>
            </w:r>
          </w:p>
        </w:tc>
        <w:tc>
          <w:tcPr>
            <w:tcW w:w="2802" w:type="dxa"/>
          </w:tcPr>
          <w:p w14:paraId="16E6D41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2442" w:type="dxa"/>
          </w:tcPr>
          <w:p w14:paraId="30642C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3162" w:type="dxa"/>
          </w:tcPr>
          <w:p w14:paraId="0E0883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из них завод 31 - 3, завод 125 - 2</w:t>
            </w:r>
          </w:p>
        </w:tc>
      </w:tr>
      <w:tr w:rsidR="00F26F01" w:rsidRPr="00C33834" w14:paraId="531D7C87" w14:textId="77777777">
        <w:tc>
          <w:tcPr>
            <w:tcW w:w="2802" w:type="dxa"/>
          </w:tcPr>
          <w:p w14:paraId="2D17A08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К5-М22</w:t>
            </w:r>
          </w:p>
        </w:tc>
        <w:tc>
          <w:tcPr>
            <w:tcW w:w="2802" w:type="dxa"/>
          </w:tcPr>
          <w:p w14:paraId="7E756F1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ХАЗ</w:t>
            </w:r>
          </w:p>
        </w:tc>
        <w:tc>
          <w:tcPr>
            <w:tcW w:w="2442" w:type="dxa"/>
          </w:tcPr>
          <w:p w14:paraId="7A32E93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54</w:t>
            </w:r>
          </w:p>
        </w:tc>
        <w:tc>
          <w:tcPr>
            <w:tcW w:w="3162" w:type="dxa"/>
          </w:tcPr>
          <w:p w14:paraId="0E28ED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7420AF94" w14:textId="77777777">
        <w:tc>
          <w:tcPr>
            <w:tcW w:w="2802" w:type="dxa"/>
          </w:tcPr>
          <w:p w14:paraId="2D3F1E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К7-7М34</w:t>
            </w:r>
          </w:p>
        </w:tc>
        <w:tc>
          <w:tcPr>
            <w:tcW w:w="2802" w:type="dxa"/>
          </w:tcPr>
          <w:p w14:paraId="6989F3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ХАЗ</w:t>
            </w:r>
          </w:p>
        </w:tc>
        <w:tc>
          <w:tcPr>
            <w:tcW w:w="2442" w:type="dxa"/>
          </w:tcPr>
          <w:p w14:paraId="6C5039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3162" w:type="dxa"/>
          </w:tcPr>
          <w:p w14:paraId="5CBA5A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65C64C8D" w14:textId="77777777">
        <w:tc>
          <w:tcPr>
            <w:tcW w:w="2802" w:type="dxa"/>
          </w:tcPr>
          <w:p w14:paraId="24FCA9D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ХАИ1-М22 пассажирский</w:t>
            </w:r>
          </w:p>
        </w:tc>
        <w:tc>
          <w:tcPr>
            <w:tcW w:w="2802" w:type="dxa"/>
          </w:tcPr>
          <w:p w14:paraId="0C0B83E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ХАЗ</w:t>
            </w:r>
          </w:p>
        </w:tc>
        <w:tc>
          <w:tcPr>
            <w:tcW w:w="2442" w:type="dxa"/>
          </w:tcPr>
          <w:p w14:paraId="30CF17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3162" w:type="dxa"/>
          </w:tcPr>
          <w:p w14:paraId="13B6C59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752FCA76" w14:textId="77777777">
        <w:tc>
          <w:tcPr>
            <w:tcW w:w="2802" w:type="dxa"/>
          </w:tcPr>
          <w:p w14:paraId="0373A7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2802" w:type="dxa"/>
          </w:tcPr>
          <w:p w14:paraId="06E3F68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43</w:t>
            </w:r>
          </w:p>
        </w:tc>
        <w:tc>
          <w:tcPr>
            <w:tcW w:w="2442" w:type="dxa"/>
          </w:tcPr>
          <w:p w14:paraId="727650D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3162" w:type="dxa"/>
          </w:tcPr>
          <w:p w14:paraId="40075A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r>
      <w:tr w:rsidR="00F26F01" w:rsidRPr="00C33834" w14:paraId="20FDD596" w14:textId="77777777">
        <w:tc>
          <w:tcPr>
            <w:tcW w:w="2802" w:type="dxa"/>
          </w:tcPr>
          <w:p w14:paraId="457702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2802" w:type="dxa"/>
          </w:tcPr>
          <w:p w14:paraId="01ABEA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w:t>
            </w:r>
          </w:p>
        </w:tc>
        <w:tc>
          <w:tcPr>
            <w:tcW w:w="2442" w:type="dxa"/>
          </w:tcPr>
          <w:p w14:paraId="3B4928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c>
          <w:tcPr>
            <w:tcW w:w="3162" w:type="dxa"/>
          </w:tcPr>
          <w:p w14:paraId="00B0FD9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42B686A7" w14:textId="77777777">
        <w:tc>
          <w:tcPr>
            <w:tcW w:w="2802" w:type="dxa"/>
          </w:tcPr>
          <w:p w14:paraId="44F7B0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2802" w:type="dxa"/>
          </w:tcPr>
          <w:p w14:paraId="6D4502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47</w:t>
            </w:r>
          </w:p>
        </w:tc>
        <w:tc>
          <w:tcPr>
            <w:tcW w:w="2442" w:type="dxa"/>
          </w:tcPr>
          <w:p w14:paraId="0B8EAE7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60</w:t>
            </w:r>
          </w:p>
        </w:tc>
        <w:tc>
          <w:tcPr>
            <w:tcW w:w="3162" w:type="dxa"/>
          </w:tcPr>
          <w:p w14:paraId="7BC8000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05CDC122" w14:textId="77777777">
        <w:tc>
          <w:tcPr>
            <w:tcW w:w="2802" w:type="dxa"/>
          </w:tcPr>
          <w:p w14:paraId="6F589A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МБР2-М17</w:t>
            </w:r>
          </w:p>
        </w:tc>
        <w:tc>
          <w:tcPr>
            <w:tcW w:w="2802" w:type="dxa"/>
          </w:tcPr>
          <w:p w14:paraId="35374D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31</w:t>
            </w:r>
          </w:p>
        </w:tc>
        <w:tc>
          <w:tcPr>
            <w:tcW w:w="2442" w:type="dxa"/>
          </w:tcPr>
          <w:p w14:paraId="25AC412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250</w:t>
            </w:r>
          </w:p>
        </w:tc>
        <w:tc>
          <w:tcPr>
            <w:tcW w:w="3162" w:type="dxa"/>
          </w:tcPr>
          <w:p w14:paraId="5C4CB5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200</w:t>
            </w:r>
          </w:p>
        </w:tc>
      </w:tr>
      <w:tr w:rsidR="00F26F01" w:rsidRPr="00C33834" w14:paraId="22FD71F8" w14:textId="77777777">
        <w:tc>
          <w:tcPr>
            <w:tcW w:w="2802" w:type="dxa"/>
          </w:tcPr>
          <w:p w14:paraId="4176D86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2802" w:type="dxa"/>
          </w:tcPr>
          <w:p w14:paraId="07595B0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442" w:type="dxa"/>
          </w:tcPr>
          <w:p w14:paraId="0A0549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5261</w:t>
            </w:r>
          </w:p>
        </w:tc>
        <w:tc>
          <w:tcPr>
            <w:tcW w:w="3162" w:type="dxa"/>
          </w:tcPr>
          <w:p w14:paraId="07D8CB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3646</w:t>
            </w:r>
          </w:p>
        </w:tc>
      </w:tr>
      <w:tr w:rsidR="00F26F01" w:rsidRPr="00C33834" w14:paraId="6CE68877" w14:textId="77777777">
        <w:tc>
          <w:tcPr>
            <w:tcW w:w="2802" w:type="dxa"/>
          </w:tcPr>
          <w:p w14:paraId="7009F4C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Ввиду наличия на заводах задела включается в заказ УВВС</w:t>
            </w:r>
          </w:p>
          <w:p w14:paraId="48FFA3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ТБ3-4М17</w:t>
            </w:r>
          </w:p>
          <w:p w14:paraId="1221C4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И7-М17</w:t>
            </w:r>
          </w:p>
        </w:tc>
        <w:tc>
          <w:tcPr>
            <w:tcW w:w="2802" w:type="dxa"/>
          </w:tcPr>
          <w:p w14:paraId="34873BC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442" w:type="dxa"/>
          </w:tcPr>
          <w:p w14:paraId="430CCBD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162" w:type="dxa"/>
          </w:tcPr>
          <w:p w14:paraId="5CF581D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183543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643DC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13</w:t>
            </w:r>
          </w:p>
          <w:p w14:paraId="64780F0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65</w:t>
            </w:r>
          </w:p>
        </w:tc>
      </w:tr>
      <w:tr w:rsidR="00F26F01" w:rsidRPr="00C33834" w14:paraId="390B297D" w14:textId="77777777">
        <w:tc>
          <w:tcPr>
            <w:tcW w:w="2802" w:type="dxa"/>
          </w:tcPr>
          <w:p w14:paraId="630E2B2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Моторы</w:t>
            </w:r>
          </w:p>
        </w:tc>
        <w:tc>
          <w:tcPr>
            <w:tcW w:w="2802" w:type="dxa"/>
          </w:tcPr>
          <w:p w14:paraId="319A3C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442" w:type="dxa"/>
          </w:tcPr>
          <w:p w14:paraId="0514AE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3162" w:type="dxa"/>
          </w:tcPr>
          <w:p w14:paraId="057A1F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5FC1174" w14:textId="77777777">
        <w:tc>
          <w:tcPr>
            <w:tcW w:w="2802" w:type="dxa"/>
          </w:tcPr>
          <w:p w14:paraId="7C436AF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2802" w:type="dxa"/>
          </w:tcPr>
          <w:p w14:paraId="416B554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2442" w:type="dxa"/>
          </w:tcPr>
          <w:p w14:paraId="4DB467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460</w:t>
            </w:r>
          </w:p>
        </w:tc>
        <w:tc>
          <w:tcPr>
            <w:tcW w:w="3162" w:type="dxa"/>
          </w:tcPr>
          <w:p w14:paraId="1CF675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1094</w:t>
            </w:r>
          </w:p>
        </w:tc>
      </w:tr>
      <w:tr w:rsidR="00F26F01" w:rsidRPr="00C33834" w14:paraId="1F5F6EDE" w14:textId="77777777">
        <w:tc>
          <w:tcPr>
            <w:tcW w:w="2802" w:type="dxa"/>
          </w:tcPr>
          <w:p w14:paraId="223671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2802" w:type="dxa"/>
          </w:tcPr>
          <w:p w14:paraId="1DB687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2442" w:type="dxa"/>
          </w:tcPr>
          <w:p w14:paraId="7E81AE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550</w:t>
            </w:r>
          </w:p>
        </w:tc>
        <w:tc>
          <w:tcPr>
            <w:tcW w:w="3162" w:type="dxa"/>
          </w:tcPr>
          <w:p w14:paraId="500308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EEE1594" w14:textId="77777777">
        <w:tc>
          <w:tcPr>
            <w:tcW w:w="2802" w:type="dxa"/>
          </w:tcPr>
          <w:p w14:paraId="2B2CED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2802" w:type="dxa"/>
          </w:tcPr>
          <w:p w14:paraId="759874B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2442" w:type="dxa"/>
          </w:tcPr>
          <w:p w14:paraId="74C2973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670</w:t>
            </w:r>
          </w:p>
        </w:tc>
        <w:tc>
          <w:tcPr>
            <w:tcW w:w="3162" w:type="dxa"/>
          </w:tcPr>
          <w:p w14:paraId="682F70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1E8834B2" w14:textId="77777777">
        <w:tc>
          <w:tcPr>
            <w:tcW w:w="2802" w:type="dxa"/>
          </w:tcPr>
          <w:p w14:paraId="0EBEBC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М34?</w:t>
            </w:r>
          </w:p>
        </w:tc>
        <w:tc>
          <w:tcPr>
            <w:tcW w:w="2802" w:type="dxa"/>
          </w:tcPr>
          <w:p w14:paraId="464B12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c>
          <w:tcPr>
            <w:tcW w:w="2442" w:type="dxa"/>
          </w:tcPr>
          <w:p w14:paraId="4902E6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380</w:t>
            </w:r>
          </w:p>
        </w:tc>
        <w:tc>
          <w:tcPr>
            <w:tcW w:w="3162" w:type="dxa"/>
          </w:tcPr>
          <w:p w14:paraId="0F53D7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2C48CFD" w14:textId="77777777">
        <w:tc>
          <w:tcPr>
            <w:tcW w:w="2802" w:type="dxa"/>
          </w:tcPr>
          <w:p w14:paraId="6A5A4B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М17</w:t>
            </w:r>
          </w:p>
        </w:tc>
        <w:tc>
          <w:tcPr>
            <w:tcW w:w="2802" w:type="dxa"/>
          </w:tcPr>
          <w:p w14:paraId="25145DD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w:t>
            </w:r>
          </w:p>
        </w:tc>
        <w:tc>
          <w:tcPr>
            <w:tcW w:w="2442" w:type="dxa"/>
          </w:tcPr>
          <w:p w14:paraId="195FFE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5500</w:t>
            </w:r>
          </w:p>
        </w:tc>
        <w:tc>
          <w:tcPr>
            <w:tcW w:w="3162" w:type="dxa"/>
          </w:tcPr>
          <w:p w14:paraId="12A8049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4000</w:t>
            </w:r>
          </w:p>
        </w:tc>
      </w:tr>
      <w:tr w:rsidR="00F26F01" w:rsidRPr="00C33834" w14:paraId="430ED9CC" w14:textId="77777777">
        <w:tc>
          <w:tcPr>
            <w:tcW w:w="2802" w:type="dxa"/>
          </w:tcPr>
          <w:p w14:paraId="59619CF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2802" w:type="dxa"/>
          </w:tcPr>
          <w:p w14:paraId="10CFFF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2442" w:type="dxa"/>
          </w:tcPr>
          <w:p w14:paraId="167E6C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2200</w:t>
            </w:r>
          </w:p>
        </w:tc>
        <w:tc>
          <w:tcPr>
            <w:tcW w:w="3162" w:type="dxa"/>
          </w:tcPr>
          <w:p w14:paraId="0B1BC2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1525</w:t>
            </w:r>
          </w:p>
        </w:tc>
      </w:tr>
      <w:tr w:rsidR="00F26F01" w:rsidRPr="00C33834" w14:paraId="0821A7B6" w14:textId="77777777">
        <w:tc>
          <w:tcPr>
            <w:tcW w:w="2802" w:type="dxa"/>
          </w:tcPr>
          <w:p w14:paraId="2BC62E3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2802" w:type="dxa"/>
          </w:tcPr>
          <w:p w14:paraId="6CE7DC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w:t>
            </w:r>
          </w:p>
        </w:tc>
        <w:tc>
          <w:tcPr>
            <w:tcW w:w="2442" w:type="dxa"/>
          </w:tcPr>
          <w:p w14:paraId="15FA8A0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850</w:t>
            </w:r>
          </w:p>
        </w:tc>
        <w:tc>
          <w:tcPr>
            <w:tcW w:w="3162" w:type="dxa"/>
          </w:tcPr>
          <w:p w14:paraId="478D05B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800</w:t>
            </w:r>
          </w:p>
        </w:tc>
      </w:tr>
      <w:tr w:rsidR="00F26F01" w:rsidRPr="00C33834" w14:paraId="569C64A1" w14:textId="77777777">
        <w:tc>
          <w:tcPr>
            <w:tcW w:w="2802" w:type="dxa"/>
            <w:tcBorders>
              <w:bottom w:val="single" w:sz="12" w:space="0" w:color="auto"/>
            </w:tcBorders>
          </w:tcPr>
          <w:p w14:paraId="0E2B9D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2802" w:type="dxa"/>
            <w:tcBorders>
              <w:bottom w:val="single" w:sz="12" w:space="0" w:color="auto"/>
            </w:tcBorders>
          </w:tcPr>
          <w:p w14:paraId="3A3C79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2442" w:type="dxa"/>
            <w:tcBorders>
              <w:bottom w:val="single" w:sz="12" w:space="0" w:color="auto"/>
            </w:tcBorders>
          </w:tcPr>
          <w:p w14:paraId="3D1076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10300</w:t>
            </w:r>
          </w:p>
        </w:tc>
        <w:tc>
          <w:tcPr>
            <w:tcW w:w="3162" w:type="dxa"/>
            <w:tcBorders>
              <w:bottom w:val="single" w:sz="12" w:space="0" w:color="auto"/>
            </w:tcBorders>
          </w:tcPr>
          <w:p w14:paraId="3BAF7E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7419 (2266,218).</w:t>
            </w:r>
          </w:p>
        </w:tc>
      </w:tr>
    </w:tbl>
    <w:p w14:paraId="48CD58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8D80BF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конца 1933 г. завод № 24 при</w:t>
      </w:r>
      <w:r w:rsidRPr="00C33834">
        <w:rPr>
          <w:rFonts w:ascii="Times New Roman" w:hAnsi="Times New Roman"/>
          <w:color w:val="000000" w:themeColor="text1"/>
          <w:sz w:val="16"/>
          <w:szCs w:val="16"/>
        </w:rPr>
        <w:softHyphen/>
        <w:t>ступил к серийному выпуску М-34Р, который был объявлен основной про</w:t>
      </w:r>
      <w:r w:rsidRPr="00C33834">
        <w:rPr>
          <w:rFonts w:ascii="Times New Roman" w:hAnsi="Times New Roman"/>
          <w:color w:val="000000" w:themeColor="text1"/>
          <w:sz w:val="16"/>
          <w:szCs w:val="16"/>
        </w:rPr>
        <w:softHyphen/>
        <w:t>дукцией. К 1 марта 1934 г. собрали 27 штук, дюжина из которых прошла испытания. Но военной приемке пер</w:t>
      </w:r>
      <w:r w:rsidRPr="00C33834">
        <w:rPr>
          <w:rFonts w:ascii="Times New Roman" w:hAnsi="Times New Roman"/>
          <w:color w:val="000000" w:themeColor="text1"/>
          <w:sz w:val="16"/>
          <w:szCs w:val="16"/>
        </w:rPr>
        <w:softHyphen/>
        <w:t>вую партию из 50 двигателей предъя</w:t>
      </w:r>
      <w:r w:rsidRPr="00C33834">
        <w:rPr>
          <w:rFonts w:ascii="Times New Roman" w:hAnsi="Times New Roman"/>
          <w:color w:val="000000" w:themeColor="text1"/>
          <w:sz w:val="16"/>
          <w:szCs w:val="16"/>
        </w:rPr>
        <w:softHyphen/>
        <w:t>вили в апреле. Приемщики зафикси</w:t>
      </w:r>
      <w:r w:rsidRPr="00C33834">
        <w:rPr>
          <w:rFonts w:ascii="Times New Roman" w:hAnsi="Times New Roman"/>
          <w:color w:val="000000" w:themeColor="text1"/>
          <w:sz w:val="16"/>
          <w:szCs w:val="16"/>
        </w:rPr>
        <w:softHyphen/>
        <w:t>ровали превышение веса против тех</w:t>
      </w:r>
      <w:r w:rsidRPr="00C33834">
        <w:rPr>
          <w:rFonts w:ascii="Times New Roman" w:hAnsi="Times New Roman"/>
          <w:color w:val="000000" w:themeColor="text1"/>
          <w:sz w:val="16"/>
          <w:szCs w:val="16"/>
        </w:rPr>
        <w:softHyphen/>
      </w:r>
      <w:r w:rsidRPr="00C33834">
        <w:rPr>
          <w:rFonts w:ascii="Times New Roman" w:hAnsi="Times New Roman"/>
          <w:color w:val="000000" w:themeColor="text1"/>
          <w:sz w:val="16"/>
          <w:szCs w:val="16"/>
        </w:rPr>
        <w:lastRenderedPageBreak/>
        <w:t>нических условий и завышенный рас</w:t>
      </w:r>
      <w:r w:rsidRPr="00C33834">
        <w:rPr>
          <w:rFonts w:ascii="Times New Roman" w:hAnsi="Times New Roman"/>
          <w:color w:val="000000" w:themeColor="text1"/>
          <w:sz w:val="16"/>
          <w:szCs w:val="16"/>
        </w:rPr>
        <w:softHyphen/>
        <w:t>ход топлива, но моторы приняли. 23 мая на повторных стендовых испы</w:t>
      </w:r>
      <w:r w:rsidRPr="00C33834">
        <w:rPr>
          <w:rFonts w:ascii="Times New Roman" w:hAnsi="Times New Roman"/>
          <w:color w:val="000000" w:themeColor="text1"/>
          <w:sz w:val="16"/>
          <w:szCs w:val="16"/>
        </w:rPr>
        <w:softHyphen/>
        <w:t>таниях двигателя был получен ресурс в 500 часов - по советским меркам просто огромный (у М-17 было 400 часов). Конечно, серийные моторы столько не работали. До переборки они нарабатывали часов 150-200. До июля 1934 г. сборка М-34Р шла по временному эталону; к это</w:t>
      </w:r>
      <w:r w:rsidRPr="00C33834">
        <w:rPr>
          <w:rFonts w:ascii="Times New Roman" w:hAnsi="Times New Roman"/>
          <w:color w:val="000000" w:themeColor="text1"/>
          <w:sz w:val="16"/>
          <w:szCs w:val="16"/>
        </w:rPr>
        <w:softHyphen/>
        <w:t>му времени изготовили 260 моторов этой модификации. До конца же года выпустили 830 штук. М-34Р использовались, в основном, но бомбардировщиках ТБ-3. На них в июле 1934 г. в 23-й бригаде в Монино проводились войсковые ис</w:t>
      </w:r>
      <w:r w:rsidRPr="00C33834">
        <w:rPr>
          <w:rFonts w:ascii="Times New Roman" w:hAnsi="Times New Roman"/>
          <w:color w:val="000000" w:themeColor="text1"/>
          <w:sz w:val="16"/>
          <w:szCs w:val="16"/>
        </w:rPr>
        <w:softHyphen/>
        <w:t>пытания. М-34Р были оснащены и многие опытные самолеты. Эта мо</w:t>
      </w:r>
      <w:r w:rsidRPr="00C33834">
        <w:rPr>
          <w:rFonts w:ascii="Times New Roman" w:hAnsi="Times New Roman"/>
          <w:color w:val="000000" w:themeColor="text1"/>
          <w:sz w:val="16"/>
          <w:szCs w:val="16"/>
        </w:rPr>
        <w:softHyphen/>
        <w:t>дификация в несколько измененном виде в больших количествах выпус</w:t>
      </w:r>
      <w:r w:rsidRPr="00C33834">
        <w:rPr>
          <w:rFonts w:ascii="Times New Roman" w:hAnsi="Times New Roman"/>
          <w:color w:val="000000" w:themeColor="text1"/>
          <w:sz w:val="16"/>
          <w:szCs w:val="16"/>
        </w:rPr>
        <w:softHyphen/>
        <w:t>калась до конца 1939 г. Не все М-34Р были одинаковы. В 1933 г. специально для рекордных самолетов РД (АНТ-25) выпустили партию М-34РД (они же М-34РСп). Эти двигатели отличались новыми всасывающими патрубками, масляны</w:t>
      </w:r>
      <w:r w:rsidRPr="00C33834">
        <w:rPr>
          <w:rFonts w:ascii="Times New Roman" w:hAnsi="Times New Roman"/>
          <w:color w:val="000000" w:themeColor="text1"/>
          <w:sz w:val="16"/>
          <w:szCs w:val="16"/>
        </w:rPr>
        <w:softHyphen/>
        <w:t>ми и водяными насосами, распред-валами, конструкцией хвостовика коленчатого вала, наличием второ</w:t>
      </w:r>
      <w:r w:rsidRPr="00C33834">
        <w:rPr>
          <w:rFonts w:ascii="Times New Roman" w:hAnsi="Times New Roman"/>
          <w:color w:val="000000" w:themeColor="text1"/>
          <w:sz w:val="16"/>
          <w:szCs w:val="16"/>
        </w:rPr>
        <w:softHyphen/>
        <w:t>го бензонасоса, а также более ка</w:t>
      </w:r>
      <w:r w:rsidRPr="00C33834">
        <w:rPr>
          <w:rFonts w:ascii="Times New Roman" w:hAnsi="Times New Roman"/>
          <w:color w:val="000000" w:themeColor="text1"/>
          <w:sz w:val="16"/>
          <w:szCs w:val="16"/>
        </w:rPr>
        <w:softHyphen/>
        <w:t>чественным изготовлением деталей (по другой технологии), меньшими допусками, применением для уплот</w:t>
      </w:r>
      <w:r w:rsidRPr="00C33834">
        <w:rPr>
          <w:rFonts w:ascii="Times New Roman" w:hAnsi="Times New Roman"/>
          <w:color w:val="000000" w:themeColor="text1"/>
          <w:sz w:val="16"/>
          <w:szCs w:val="16"/>
        </w:rPr>
        <w:softHyphen/>
        <w:t>нений высококачественной резины, тщательной регулировкой и карбюроторами К-34РД. За счет небольшого форсирова</w:t>
      </w:r>
      <w:r w:rsidRPr="00C33834">
        <w:rPr>
          <w:rFonts w:ascii="Times New Roman" w:hAnsi="Times New Roman"/>
          <w:color w:val="000000" w:themeColor="text1"/>
          <w:sz w:val="16"/>
          <w:szCs w:val="16"/>
        </w:rPr>
        <w:softHyphen/>
        <w:t>ния по оборотам максимальную мощ</w:t>
      </w:r>
      <w:r w:rsidRPr="00C33834">
        <w:rPr>
          <w:rFonts w:ascii="Times New Roman" w:hAnsi="Times New Roman"/>
          <w:color w:val="000000" w:themeColor="text1"/>
          <w:sz w:val="16"/>
          <w:szCs w:val="16"/>
        </w:rPr>
        <w:softHyphen/>
        <w:t>ность М-34РД повысили до 830 л.с. Магнето, свечи и провода зажига</w:t>
      </w:r>
      <w:r w:rsidRPr="00C33834">
        <w:rPr>
          <w:rFonts w:ascii="Times New Roman" w:hAnsi="Times New Roman"/>
          <w:color w:val="000000" w:themeColor="text1"/>
          <w:sz w:val="16"/>
          <w:szCs w:val="16"/>
        </w:rPr>
        <w:softHyphen/>
        <w:t>ния были импортными. Сделали 20 комплектов деталей, из которых со</w:t>
      </w:r>
      <w:r w:rsidRPr="00C33834">
        <w:rPr>
          <w:rFonts w:ascii="Times New Roman" w:hAnsi="Times New Roman"/>
          <w:color w:val="000000" w:themeColor="text1"/>
          <w:sz w:val="16"/>
          <w:szCs w:val="16"/>
        </w:rPr>
        <w:softHyphen/>
        <w:t>брали 15 моторов, а сдали, как и заказывали, десять. Расчет был ве</w:t>
      </w:r>
      <w:r w:rsidRPr="00C33834">
        <w:rPr>
          <w:rFonts w:ascii="Times New Roman" w:hAnsi="Times New Roman"/>
          <w:color w:val="000000" w:themeColor="text1"/>
          <w:sz w:val="16"/>
          <w:szCs w:val="16"/>
        </w:rPr>
        <w:softHyphen/>
        <w:t>рен: доля брака составила около 25%. Все двигатели этой партии были «штучными» — существовали три ва</w:t>
      </w:r>
      <w:r w:rsidRPr="00C33834">
        <w:rPr>
          <w:rFonts w:ascii="Times New Roman" w:hAnsi="Times New Roman"/>
          <w:color w:val="000000" w:themeColor="text1"/>
          <w:sz w:val="16"/>
          <w:szCs w:val="16"/>
        </w:rPr>
        <w:softHyphen/>
        <w:t>рианта по степени сжатия (кроме стандартной 6,0, еще 6,6 и 6,7), а часть моторов не имела редукторов (11848).</w:t>
      </w:r>
    </w:p>
    <w:p w14:paraId="634F636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A58FD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конца 1933 г. продолжалась доводка Я-2 (СП-2) на заводе № 24, после чего в качестве более перспективного в том же диапазоне мощностей вы</w:t>
      </w:r>
      <w:r w:rsidRPr="00C33834">
        <w:rPr>
          <w:rFonts w:ascii="Times New Roman" w:hAnsi="Times New Roman"/>
          <w:color w:val="000000" w:themeColor="text1"/>
          <w:sz w:val="16"/>
          <w:szCs w:val="16"/>
        </w:rPr>
        <w:softHyphen/>
        <w:t>двинулся АН-1. Проектирование этого двигателя начали в ЦНИДИ (впоследствии ВНИДИ) в Ленинграде. Руководил работой профессор Л.К. Мартене. Основная особенность конструкции — наддув обеспечивался 6-цилиндровым поршневым компрессором. Газораспределение двухклапанное. Позднее работы перенесли в Москву, в ЦИАМ. Опытный образец был изготов</w:t>
      </w:r>
      <w:r w:rsidRPr="00C33834">
        <w:rPr>
          <w:rFonts w:ascii="Times New Roman" w:hAnsi="Times New Roman"/>
          <w:color w:val="000000" w:themeColor="text1"/>
          <w:sz w:val="16"/>
          <w:szCs w:val="16"/>
        </w:rPr>
        <w:softHyphen/>
        <w:t>лен в 1932 г. на заводе № 24 в Москве и там же проходил стендовые испытания.</w:t>
      </w:r>
    </w:p>
    <w:p w14:paraId="258BAC4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Характеристики:</w:t>
      </w:r>
    </w:p>
    <w:p w14:paraId="7A5E029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12-цилиндровый, У-образный рядный дизель, водяного охлаждения, че</w:t>
      </w:r>
      <w:r w:rsidRPr="00C33834">
        <w:rPr>
          <w:rFonts w:ascii="Times New Roman" w:hAnsi="Times New Roman"/>
          <w:color w:val="000000" w:themeColor="text1"/>
          <w:sz w:val="16"/>
          <w:szCs w:val="16"/>
        </w:rPr>
        <w:softHyphen/>
        <w:t>тырехтактный, с 6-цилиндровым поршневым нагнетателем;</w:t>
      </w:r>
    </w:p>
    <w:p w14:paraId="0395C43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мощность 1500 л.с. (по заданию — 1000 л.с.);</w:t>
      </w:r>
    </w:p>
    <w:p w14:paraId="2395C49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вес 1300 кг (по заданию) (11852).</w:t>
      </w:r>
    </w:p>
    <w:p w14:paraId="43A4387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17E68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 задание на дизель Н-9 было выдано ЦИАМ. Информа</w:t>
      </w:r>
      <w:r w:rsidRPr="00C33834">
        <w:rPr>
          <w:rFonts w:ascii="Times New Roman" w:hAnsi="Times New Roman"/>
          <w:color w:val="000000" w:themeColor="text1"/>
          <w:sz w:val="16"/>
          <w:szCs w:val="16"/>
        </w:rPr>
        <w:softHyphen/>
        <w:t>ции о его проектировании и постройке опытных образцов нет. Заводские испытания планировалось начать с 1 июня 1935 г.</w:t>
      </w:r>
    </w:p>
    <w:p w14:paraId="45F2CD9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Характеристики:</w:t>
      </w:r>
    </w:p>
    <w:p w14:paraId="0EC4D9F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9-цилиндровый звездообразный дизель, воздушного охлаждения;</w:t>
      </w:r>
    </w:p>
    <w:p w14:paraId="30EAAB9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номинальная мощность 500 л.с.;</w:t>
      </w:r>
    </w:p>
    <w:p w14:paraId="35C608B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вес (по заданию) 600 кг. (11852).</w:t>
      </w:r>
    </w:p>
    <w:p w14:paraId="094A13A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E1A59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была подготовлена справка:</w:t>
      </w:r>
    </w:p>
    <w:p w14:paraId="609A989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ПОЛИТБЮРО ЦК ВКП (б) тов. СТАЛИНУ</w:t>
      </w:r>
    </w:p>
    <w:p w14:paraId="25DC300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вопросу обеспечения гражданской авиации самолето-моторным парком на 1934 год".</w:t>
      </w:r>
    </w:p>
    <w:p w14:paraId="0B2B09E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Исходя кз производственных возможностей авиационной промышленности Гражданский Воздушный Флот в 1934 году обеспечивается следующим количеством самолето-моторного парка</w:t>
      </w:r>
    </w:p>
    <w:p w14:paraId="0D26E35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54"/>
        <w:gridCol w:w="4156"/>
      </w:tblGrid>
      <w:tr w:rsidR="00F26F01" w:rsidRPr="00C33834" w14:paraId="6C3C4EF5" w14:textId="77777777">
        <w:tc>
          <w:tcPr>
            <w:tcW w:w="7054" w:type="dxa"/>
            <w:tcBorders>
              <w:top w:val="single" w:sz="12" w:space="0" w:color="auto"/>
            </w:tcBorders>
            <w:shd w:val="clear" w:color="auto" w:fill="FFFFFF"/>
          </w:tcPr>
          <w:p w14:paraId="27EB67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ТБ-5 с 4 моторами М-17 (грузовой)</w:t>
            </w:r>
          </w:p>
        </w:tc>
        <w:tc>
          <w:tcPr>
            <w:tcW w:w="4156" w:type="dxa"/>
            <w:tcBorders>
              <w:top w:val="single" w:sz="12" w:space="0" w:color="auto"/>
            </w:tcBorders>
            <w:shd w:val="clear" w:color="auto" w:fill="FFFFFF"/>
          </w:tcPr>
          <w:p w14:paraId="0CEC9C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r>
      <w:tr w:rsidR="00F26F01" w:rsidRPr="00C33834" w14:paraId="29A4B6D4" w14:textId="77777777">
        <w:tc>
          <w:tcPr>
            <w:tcW w:w="7054" w:type="dxa"/>
            <w:shd w:val="clear" w:color="auto" w:fill="FFFFFF"/>
          </w:tcPr>
          <w:p w14:paraId="60AE0E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ХАИ-1 с одним котором М-22 Т (пассажирский 5-ти местный)</w:t>
            </w:r>
          </w:p>
        </w:tc>
        <w:tc>
          <w:tcPr>
            <w:tcW w:w="4156" w:type="dxa"/>
            <w:shd w:val="clear" w:color="auto" w:fill="FFFFFF"/>
          </w:tcPr>
          <w:p w14:paraId="1065BA3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r>
      <w:tr w:rsidR="00F26F01" w:rsidRPr="00C33834" w14:paraId="1B6F9B22" w14:textId="77777777">
        <w:tc>
          <w:tcPr>
            <w:tcW w:w="7054" w:type="dxa"/>
            <w:shd w:val="clear" w:color="auto" w:fill="FFFFFF"/>
          </w:tcPr>
          <w:p w14:paraId="2F06B25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К-5 с одним мотором М-22 (пассажирский - 8-ми местный)</w:t>
            </w:r>
          </w:p>
        </w:tc>
        <w:tc>
          <w:tcPr>
            <w:tcW w:w="4156" w:type="dxa"/>
            <w:shd w:val="clear" w:color="auto" w:fill="FFFFFF"/>
          </w:tcPr>
          <w:p w14:paraId="2EF5815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r>
      <w:tr w:rsidR="00F26F01" w:rsidRPr="00C33834" w14:paraId="393708DA" w14:textId="77777777">
        <w:tc>
          <w:tcPr>
            <w:tcW w:w="7054" w:type="dxa"/>
            <w:shd w:val="clear" w:color="auto" w:fill="FFFFFF"/>
          </w:tcPr>
          <w:p w14:paraId="239F27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Р-6-А с двумя моторами М-17 (гидро-почтовый и грузовой)</w:t>
            </w:r>
          </w:p>
        </w:tc>
        <w:tc>
          <w:tcPr>
            <w:tcW w:w="4156" w:type="dxa"/>
            <w:shd w:val="clear" w:color="auto" w:fill="FFFFFF"/>
          </w:tcPr>
          <w:p w14:paraId="2BBAD2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r>
      <w:tr w:rsidR="00F26F01" w:rsidRPr="00C33834" w14:paraId="0AF5A676" w14:textId="77777777">
        <w:tc>
          <w:tcPr>
            <w:tcW w:w="7054" w:type="dxa"/>
            <w:shd w:val="clear" w:color="auto" w:fill="FFFFFF"/>
          </w:tcPr>
          <w:p w14:paraId="0F5B540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Р-5 с одним мотором М-17 ( почтовый и учебн.)</w:t>
            </w:r>
          </w:p>
        </w:tc>
        <w:tc>
          <w:tcPr>
            <w:tcW w:w="4156" w:type="dxa"/>
            <w:shd w:val="clear" w:color="auto" w:fill="FFFFFF"/>
          </w:tcPr>
          <w:p w14:paraId="3DB2AF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305</w:t>
            </w:r>
          </w:p>
        </w:tc>
      </w:tr>
      <w:tr w:rsidR="00F26F01" w:rsidRPr="00C33834" w14:paraId="28C53796" w14:textId="77777777">
        <w:tc>
          <w:tcPr>
            <w:tcW w:w="7054" w:type="dxa"/>
            <w:shd w:val="clear" w:color="auto" w:fill="FFFFFF"/>
          </w:tcPr>
          <w:p w14:paraId="0CFFC10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Р-5-А- с одним мотором М-17 (почтовый и учебн. гидро)</w:t>
            </w:r>
          </w:p>
        </w:tc>
        <w:tc>
          <w:tcPr>
            <w:tcW w:w="4156" w:type="dxa"/>
            <w:shd w:val="clear" w:color="auto" w:fill="FFFFFF"/>
          </w:tcPr>
          <w:p w14:paraId="4A9DF4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w:t>
            </w:r>
          </w:p>
        </w:tc>
      </w:tr>
      <w:tr w:rsidR="00F26F01" w:rsidRPr="00C33834" w14:paraId="70771E9B" w14:textId="77777777">
        <w:tc>
          <w:tcPr>
            <w:tcW w:w="7054" w:type="dxa"/>
            <w:shd w:val="clear" w:color="auto" w:fill="FFFFFF"/>
          </w:tcPr>
          <w:p w14:paraId="30F24A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У-2 с одним моторомМ-11 (пассажирский 3-х местный и санитарн.)</w:t>
            </w:r>
          </w:p>
        </w:tc>
        <w:tc>
          <w:tcPr>
            <w:tcW w:w="4156" w:type="dxa"/>
            <w:shd w:val="clear" w:color="auto" w:fill="FFFFFF"/>
          </w:tcPr>
          <w:p w14:paraId="5A2249D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100</w:t>
            </w:r>
          </w:p>
        </w:tc>
      </w:tr>
      <w:tr w:rsidR="00F26F01" w:rsidRPr="00C33834" w14:paraId="072718B0" w14:textId="77777777">
        <w:tc>
          <w:tcPr>
            <w:tcW w:w="7054" w:type="dxa"/>
            <w:shd w:val="clear" w:color="auto" w:fill="FFFFFF"/>
          </w:tcPr>
          <w:p w14:paraId="24DE23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8. АП-1 с одним </w:t>
            </w:r>
            <w:r w:rsidRPr="00C33834">
              <w:rPr>
                <w:rFonts w:ascii="Times New Roman" w:hAnsi="Times New Roman"/>
                <w:smallCaps/>
                <w:color w:val="000000" w:themeColor="text1"/>
                <w:sz w:val="16"/>
                <w:szCs w:val="16"/>
              </w:rPr>
              <w:t xml:space="preserve">мотором </w:t>
            </w:r>
            <w:r w:rsidRPr="00C33834">
              <w:rPr>
                <w:rFonts w:ascii="Times New Roman" w:hAnsi="Times New Roman"/>
                <w:color w:val="000000" w:themeColor="text1"/>
                <w:sz w:val="16"/>
                <w:szCs w:val="16"/>
              </w:rPr>
              <w:t>М-11 (специальный по борьбе с вредителями сельского хозяйства)</w:t>
            </w:r>
          </w:p>
        </w:tc>
        <w:tc>
          <w:tcPr>
            <w:tcW w:w="4156" w:type="dxa"/>
            <w:shd w:val="clear" w:color="auto" w:fill="FFFFFF"/>
          </w:tcPr>
          <w:p w14:paraId="78FC6E7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170</w:t>
            </w:r>
          </w:p>
        </w:tc>
      </w:tr>
      <w:tr w:rsidR="00F26F01" w:rsidRPr="00C33834" w14:paraId="4E3EC19A" w14:textId="77777777">
        <w:tc>
          <w:tcPr>
            <w:tcW w:w="7054" w:type="dxa"/>
            <w:shd w:val="clear" w:color="auto" w:fill="FFFFFF"/>
          </w:tcPr>
          <w:p w14:paraId="01EACDD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 АИР-б с одним мотором М-11 (пассаживский 2-х местный)</w:t>
            </w:r>
          </w:p>
        </w:tc>
        <w:tc>
          <w:tcPr>
            <w:tcW w:w="4156" w:type="dxa"/>
            <w:shd w:val="clear" w:color="auto" w:fill="FFFFFF"/>
          </w:tcPr>
          <w:p w14:paraId="27E66F0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w:t>
            </w:r>
          </w:p>
        </w:tc>
      </w:tr>
      <w:tr w:rsidR="00F26F01" w:rsidRPr="00C33834" w14:paraId="08617795" w14:textId="77777777">
        <w:tc>
          <w:tcPr>
            <w:tcW w:w="7054" w:type="dxa"/>
            <w:shd w:val="clear" w:color="auto" w:fill="FFFFFF"/>
          </w:tcPr>
          <w:p w14:paraId="589622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 МБР-2 с .одним мотором М-17 (гидро-пассажирск., 6-ти местный)</w:t>
            </w:r>
          </w:p>
        </w:tc>
        <w:tc>
          <w:tcPr>
            <w:tcW w:w="4156" w:type="dxa"/>
            <w:shd w:val="clear" w:color="auto" w:fill="FFFFFF"/>
          </w:tcPr>
          <w:p w14:paraId="12A96A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p>
        </w:tc>
      </w:tr>
      <w:tr w:rsidR="00F26F01" w:rsidRPr="00C33834" w14:paraId="2A6F17E6" w14:textId="77777777">
        <w:tc>
          <w:tcPr>
            <w:tcW w:w="7054" w:type="dxa"/>
            <w:shd w:val="clear" w:color="auto" w:fill="FFFFFF"/>
          </w:tcPr>
          <w:p w14:paraId="1E3538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 АШ-2 с одним мотором М-11 (амфибия пассажирская 2-х местная)</w:t>
            </w:r>
          </w:p>
        </w:tc>
        <w:tc>
          <w:tcPr>
            <w:tcW w:w="4156" w:type="dxa"/>
            <w:shd w:val="clear" w:color="auto" w:fill="FFFFFF"/>
          </w:tcPr>
          <w:p w14:paraId="7AD076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r>
      <w:tr w:rsidR="00F26F01" w:rsidRPr="00C33834" w14:paraId="6227098A" w14:textId="77777777">
        <w:tc>
          <w:tcPr>
            <w:tcW w:w="7054" w:type="dxa"/>
            <w:shd w:val="clear" w:color="auto" w:fill="FFFFFF"/>
          </w:tcPr>
          <w:p w14:paraId="02F4963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 АНТ-9 с двумя моторами М-17 (пассажирский 9-ти местный)</w:t>
            </w:r>
          </w:p>
        </w:tc>
        <w:tc>
          <w:tcPr>
            <w:tcW w:w="4156" w:type="dxa"/>
            <w:shd w:val="clear" w:color="auto" w:fill="FFFFFF"/>
          </w:tcPr>
          <w:p w14:paraId="7C3396A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r>
      <w:tr w:rsidR="00F26F01" w:rsidRPr="00C33834" w14:paraId="22535AA3" w14:textId="77777777">
        <w:tc>
          <w:tcPr>
            <w:tcW w:w="7054" w:type="dxa"/>
            <w:tcBorders>
              <w:bottom w:val="single" w:sz="12" w:space="0" w:color="auto"/>
            </w:tcBorders>
            <w:shd w:val="clear" w:color="auto" w:fill="FFFFFF"/>
          </w:tcPr>
          <w:p w14:paraId="0EA5DC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4156" w:type="dxa"/>
            <w:tcBorders>
              <w:bottom w:val="single" w:sz="12" w:space="0" w:color="auto"/>
            </w:tcBorders>
            <w:shd w:val="clear" w:color="auto" w:fill="FFFFFF"/>
          </w:tcPr>
          <w:p w14:paraId="0C0B233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732</w:t>
            </w:r>
          </w:p>
        </w:tc>
      </w:tr>
    </w:tbl>
    <w:p w14:paraId="72C8EEA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том числе: пассажирских 73 самолета, почтовых-200, грузовых 19, учебных 185, и специальных 255 самолетов.</w:t>
      </w:r>
    </w:p>
    <w:p w14:paraId="2177D1B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Моторы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54"/>
        <w:gridCol w:w="4156"/>
      </w:tblGrid>
      <w:tr w:rsidR="00F26F01" w:rsidRPr="00C33834" w14:paraId="004DBEBB" w14:textId="77777777">
        <w:tc>
          <w:tcPr>
            <w:tcW w:w="7054" w:type="dxa"/>
            <w:tcBorders>
              <w:top w:val="single" w:sz="12" w:space="0" w:color="auto"/>
            </w:tcBorders>
            <w:shd w:val="clear" w:color="auto" w:fill="FFFFFF"/>
          </w:tcPr>
          <w:p w14:paraId="0CB5F0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М-34 мощностьь 700 НР</w:t>
            </w:r>
          </w:p>
        </w:tc>
        <w:tc>
          <w:tcPr>
            <w:tcW w:w="4156" w:type="dxa"/>
            <w:tcBorders>
              <w:top w:val="single" w:sz="12" w:space="0" w:color="auto"/>
            </w:tcBorders>
            <w:shd w:val="clear" w:color="auto" w:fill="FFFFFF"/>
          </w:tcPr>
          <w:p w14:paraId="3ACA5C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r>
      <w:tr w:rsidR="00F26F01" w:rsidRPr="00C33834" w14:paraId="152B5A8A" w14:textId="77777777">
        <w:tc>
          <w:tcPr>
            <w:tcW w:w="7054" w:type="dxa"/>
            <w:shd w:val="clear" w:color="auto" w:fill="FFFFFF"/>
          </w:tcPr>
          <w:p w14:paraId="419ACB2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М-22 480 НР</w:t>
            </w:r>
          </w:p>
        </w:tc>
        <w:tc>
          <w:tcPr>
            <w:tcW w:w="4156" w:type="dxa"/>
            <w:shd w:val="clear" w:color="auto" w:fill="FFFFFF"/>
          </w:tcPr>
          <w:p w14:paraId="6A713C8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150 (130)</w:t>
            </w:r>
          </w:p>
        </w:tc>
      </w:tr>
      <w:tr w:rsidR="00F26F01" w:rsidRPr="00C33834" w14:paraId="60817474" w14:textId="77777777">
        <w:tc>
          <w:tcPr>
            <w:tcW w:w="7054" w:type="dxa"/>
          </w:tcPr>
          <w:p w14:paraId="3B3D17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М-17 500 НР</w:t>
            </w:r>
          </w:p>
        </w:tc>
        <w:tc>
          <w:tcPr>
            <w:tcW w:w="4156" w:type="dxa"/>
          </w:tcPr>
          <w:p w14:paraId="31C152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616</w:t>
            </w:r>
          </w:p>
        </w:tc>
      </w:tr>
      <w:tr w:rsidR="00F26F01" w:rsidRPr="00C33834" w14:paraId="44E7C960" w14:textId="77777777">
        <w:tc>
          <w:tcPr>
            <w:tcW w:w="7054" w:type="dxa"/>
          </w:tcPr>
          <w:p w14:paraId="615D689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М-11 100 НР</w:t>
            </w:r>
          </w:p>
        </w:tc>
        <w:tc>
          <w:tcPr>
            <w:tcW w:w="4156" w:type="dxa"/>
          </w:tcPr>
          <w:p w14:paraId="578282F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700 (555)</w:t>
            </w:r>
          </w:p>
        </w:tc>
      </w:tr>
      <w:tr w:rsidR="00F26F01" w:rsidRPr="00C33834" w14:paraId="10D4329F" w14:textId="77777777">
        <w:tc>
          <w:tcPr>
            <w:tcW w:w="7054" w:type="dxa"/>
            <w:tcBorders>
              <w:bottom w:val="single" w:sz="12" w:space="0" w:color="auto"/>
            </w:tcBorders>
          </w:tcPr>
          <w:p w14:paraId="0B253AD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Итого:</w:t>
            </w:r>
          </w:p>
        </w:tc>
        <w:tc>
          <w:tcPr>
            <w:tcW w:w="4156" w:type="dxa"/>
            <w:tcBorders>
              <w:bottom w:val="single" w:sz="12" w:space="0" w:color="auto"/>
            </w:tcBorders>
          </w:tcPr>
          <w:p w14:paraId="2E4E670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1476 (1291)</w:t>
            </w:r>
          </w:p>
        </w:tc>
      </w:tr>
    </w:tbl>
    <w:p w14:paraId="37A6A98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Примечание: переходящая с 1933 года продукция по самолетам К-5 в размере 22-х, сдаваемая в 1934, в данный расчет не входит (2266,173).</w:t>
      </w:r>
    </w:p>
    <w:p w14:paraId="0FC230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7BE24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года 1933 В.Г.Ирьянов пишет начальнику Глававиапрома Королеву докладную записку, но стилю напоминающую донесение о стихийном бедствии. Этот документ есть смысл процитировать, поскольку в нем впервые всплывает задание на выпуск истребителя И-14. Кроме того, он наиболее полно раскрывает условия, в которых строился оборонный завод: "Принимая к исполнению заданную Вами программу на 1934 г. по производству самолетов И -14 - 15 шт., по выпуску МДР-4 - 1, по технической готовности докладываю:</w:t>
      </w:r>
    </w:p>
    <w:p w14:paraId="447914E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 соответствии с Вашим приказом широко развернута подготовка к производству, подготовка кадров и монтаж имеющегося оборудования. Состояние разработки рабочих чертежей, технологического процесса и чертежей приспособлений обеспечивается в основном к 1 апреля. Монтаж станочного оборудования может быть закончен к этому сроку, если все необходимое оборудование будет вовремя получено заводом.</w:t>
      </w:r>
    </w:p>
    <w:p w14:paraId="7423E5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Основными затруднениями выполнения Ваших заданий являются:</w:t>
      </w:r>
    </w:p>
    <w:p w14:paraId="2027EB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задержка подачи чертежей со стороны ЦАГИ по машине МДР-4 по всем основным агрегатам и по машине И-14 по двум основным агрегатам - моторное хозяйство и шасси</w:t>
      </w:r>
    </w:p>
    <w:p w14:paraId="367397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совершенно неудовлетворительное разрешение вопроса со станочным оборудованием. Выделено по фондам вместо 150 станков, указанных в решении правительства от 13 августа 1933 г., всего лишь 43 станка</w:t>
      </w:r>
    </w:p>
    <w:p w14:paraId="0B82D7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до сего времени не отгружено необходимое количество материалов для инструментов, приспособлений и для производства. Причем тов. Беленковичу (заместителю начальника ГУАП - прим. Авт.) дана установка цветных металлов в 1-м квартале заводу не давать</w:t>
      </w:r>
    </w:p>
    <w:p w14:paraId="3586A8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неукомплектованность цеха опытными начальниками и их заместителями. Отсутствуют начальник ППО и зам. Технического директора по подготовке к производству. Совершенно слабо укомплектована производственная группа вооруженцами. Большой некомплект руководящих работников - нет двух моих заместителей, начальника спецотдела, начальника коммунально-бытового отдела, начальника транспортного хозяйства и ряда других</w:t>
      </w:r>
    </w:p>
    <w:p w14:paraId="09FB22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недостаточное ассигнование заводу по жилстроительству, на оборудование, на кирпичное производство, на постройку столовой.</w:t>
      </w:r>
    </w:p>
    <w:p w14:paraId="026EEB9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не выполнено решение правительства и приказа Наркома об отгрузке заводу цемента и поставки 25 стандартных домов</w:t>
      </w:r>
    </w:p>
    <w:p w14:paraId="7450F36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не выделены фонды по гвоздям, сортовому и арматурному железу, асфальту и лесу</w:t>
      </w:r>
    </w:p>
    <w:p w14:paraId="609646F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не выделено совершенно: катанка, котельное железо, проволока вязальная, катера и землечерпалка для производства работ на Ангаре</w:t>
      </w:r>
    </w:p>
    <w:p w14:paraId="002DDB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совершенно неудовлетворительна обеспеченность автотранспортом. Требовалось заводу в 1 -м квартале 10 грузовых автомобилей, пять тягачей, пять тракторов колесных, два трактора гусеничных, три легковых машины, одна санитарная, одна пожарная, одна цистерна под бензин и шесть автобусов. НИЧЕГО НЕ ВЫДЕЛЕНО (курсив в оригинале)</w:t>
      </w:r>
    </w:p>
    <w:p w14:paraId="7A3C79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завод снабжается по списку городов №1. В связи с тем, что все основные кадры рабочих и И ГР набраны за счет Москвы и городов центральной части Союза, необходимо добиться постановления правительства о включении завода на снабжение в особую группу предприятий.</w:t>
      </w:r>
    </w:p>
    <w:p w14:paraId="7D1E330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Докладывая о вышеизложенном прошу принять следующие меры:</w:t>
      </w:r>
    </w:p>
    <w:p w14:paraId="0A98186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обязать ЦАГИ не позднее 25 февраля сдать чертежи по моторному хозяйству и шасси по И-14 и форсировать сдачу чертежей по МДР-4 с тем, чтобы своевременно провести подготовку производства</w:t>
      </w:r>
    </w:p>
    <w:p w14:paraId="07ED6D0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дать категорическое указание Сектору оборудования обеспечить отгрузку в 1-м квартале 150 станков. В связи с тем, что ГУАПу выделен фонд станков недостаточный ...снять с действующих заводов следующие станки:</w:t>
      </w:r>
    </w:p>
    <w:p w14:paraId="3A7B98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Роликовых ножниц - 1</w:t>
      </w:r>
    </w:p>
    <w:p w14:paraId="329D127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Трехвалок - 4</w:t>
      </w:r>
    </w:p>
    <w:p w14:paraId="4EDA557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Выколоточных молотков - 2</w:t>
      </w:r>
    </w:p>
    <w:p w14:paraId="290DA83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Станков для клепки -2</w:t>
      </w:r>
    </w:p>
    <w:p w14:paraId="0BFA6A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Пескоструйных аппаратов - 2</w:t>
      </w:r>
    </w:p>
    <w:p w14:paraId="20D725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Ленточных пил по дюралю - 1</w:t>
      </w:r>
    </w:p>
    <w:p w14:paraId="78D1FD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Гильотинных ножниц - 1</w:t>
      </w:r>
    </w:p>
    <w:p w14:paraId="2AED10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тов. Лобанова не позднее 1 марта отгрузить все необходимые материалы для приспособлений и инструментов. Отгрузить не позднее 5 марта полный комплект производственных материалов на 10 машин И -14 и три машины МДР.</w:t>
      </w:r>
    </w:p>
    <w:p w14:paraId="6393B5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Обязать ЦАГИ не позднее 15 марта передать заводу № 125 эталон И-14 и изготовить комплект шпангоутов для МДР-4 не позже 1 апреля.</w:t>
      </w:r>
    </w:p>
    <w:p w14:paraId="34AB4B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...отгрузить заводу на 200 000 руб. инструмента по спецификации завода и обязать ТПУ разместить заказ завода на инструменты на московских заводах в общем объеме 400 000 руб.</w:t>
      </w:r>
    </w:p>
    <w:p w14:paraId="2A80780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...укомплектовать завод руководящими техническими и административно-хозяйственными кадрами. Командировать из аппарата ГУАП инженера т. Зорина на должность помощника Технического директора по производственному планированию и инженера т. Тер-Макарьяна (в документе ошибка - имелся в виду Тер-Маркарьян, который в Иркутск так и не приехал) на должность помощника технического директора по подготовке к производству..."</w:t>
      </w:r>
    </w:p>
    <w:p w14:paraId="1D88EA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Цитировать доклад Ирьянова можно было бы и дальше, но там содержатся требования выполнить все то, что не выполнили раньше. Напрашивается единственный вывод - завод был в начале 1934 г. абсолютно не готов к началу строительства самолетов но вине центральных органов ГУАМ. Существовавший до 1927 г. хозрасчет развязал бы руки начальнику строительства и директору завода, но его отменили, а жесткая централизация оставляла только один прием - писать письма с требованиями (12037).</w:t>
      </w:r>
    </w:p>
    <w:p w14:paraId="28A665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2A0AF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конец 1933 г. за заводом № 124 уже числилось 12000 квадратных метров промышленных площадей и 27000 метров жилья. Заметим, что это было равно одному метру на работника. К началу следующего году начальство заселило первый этаж нового заводоуправления, а неподалеку открыли новую столовую (12049).</w:t>
      </w:r>
    </w:p>
    <w:p w14:paraId="396A644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2C3B290"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До конца 1933 го</w:t>
      </w:r>
      <w:r w:rsidRPr="00C33834">
        <w:rPr>
          <w:rFonts w:ascii="Times New Roman" w:hAnsi="Times New Roman"/>
          <w:color w:val="0070C0"/>
          <w:sz w:val="16"/>
          <w:szCs w:val="16"/>
          <w:lang w:eastAsia="ru-RU" w:bidi="ru-RU"/>
        </w:rPr>
        <w:softHyphen/>
        <w:t>да 16 машин Сталь-2 производства Тушинского завода зарегистрировали в транспортной авиа</w:t>
      </w:r>
      <w:r w:rsidRPr="00C33834">
        <w:rPr>
          <w:rFonts w:ascii="Times New Roman" w:hAnsi="Times New Roman"/>
          <w:color w:val="0070C0"/>
          <w:sz w:val="16"/>
          <w:szCs w:val="16"/>
          <w:lang w:eastAsia="ru-RU" w:bidi="ru-RU"/>
        </w:rPr>
        <w:softHyphen/>
        <w:t>ции Средне-Азиатского Управления ГВФ. Практически сра</w:t>
      </w:r>
      <w:r w:rsidRPr="00C33834">
        <w:rPr>
          <w:rFonts w:ascii="Times New Roman" w:hAnsi="Times New Roman"/>
          <w:color w:val="0070C0"/>
          <w:sz w:val="16"/>
          <w:szCs w:val="16"/>
          <w:lang w:eastAsia="ru-RU" w:bidi="ru-RU"/>
        </w:rPr>
        <w:softHyphen/>
        <w:t>зу отдельные экземпляры перелетели к месту дислокации. Летчик Михаил Васильевич Водопьянов в своих воспомина</w:t>
      </w:r>
      <w:r w:rsidRPr="00C33834">
        <w:rPr>
          <w:rFonts w:ascii="Times New Roman" w:hAnsi="Times New Roman"/>
          <w:color w:val="0070C0"/>
          <w:sz w:val="16"/>
          <w:szCs w:val="16"/>
          <w:lang w:eastAsia="ru-RU" w:bidi="ru-RU"/>
        </w:rPr>
        <w:softHyphen/>
        <w:t>ниях описал один такой перелет Сталь-2. (М.Водопьянов. «Полеты», Издательство</w:t>
      </w:r>
      <w:r w:rsidRPr="00C33834">
        <w:rPr>
          <w:rFonts w:ascii="Times New Roman" w:hAnsi="Times New Roman"/>
          <w:color w:val="0070C0"/>
          <w:sz w:val="16"/>
          <w:szCs w:val="16"/>
        </w:rPr>
        <w:t xml:space="preserve"> </w:t>
      </w:r>
      <w:r w:rsidRPr="00C33834">
        <w:rPr>
          <w:rFonts w:ascii="Times New Roman" w:hAnsi="Times New Roman"/>
          <w:color w:val="0070C0"/>
          <w:sz w:val="16"/>
          <w:szCs w:val="16"/>
          <w:lang w:eastAsia="ru-RU" w:bidi="ru-RU"/>
        </w:rPr>
        <w:t>Главсевморпути, 1937 г.):</w:t>
      </w:r>
    </w:p>
    <w:p w14:paraId="78A5FCCD"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«9 ноября 1933 года я и бортмеханик Бассейн вылете</w:t>
      </w:r>
      <w:r w:rsidRPr="00C33834">
        <w:rPr>
          <w:rFonts w:ascii="Times New Roman" w:hAnsi="Times New Roman"/>
          <w:color w:val="0070C0"/>
          <w:sz w:val="16"/>
          <w:szCs w:val="16"/>
          <w:lang w:eastAsia="ru-RU" w:bidi="ru-RU"/>
        </w:rPr>
        <w:softHyphen/>
        <w:t>ли на самолете «Сталь-2» в Ташкент для того, чтобы пе</w:t>
      </w:r>
      <w:r w:rsidRPr="00C33834">
        <w:rPr>
          <w:rFonts w:ascii="Times New Roman" w:hAnsi="Times New Roman"/>
          <w:color w:val="0070C0"/>
          <w:sz w:val="16"/>
          <w:szCs w:val="16"/>
          <w:lang w:eastAsia="ru-RU" w:bidi="ru-RU"/>
        </w:rPr>
        <w:softHyphen/>
        <w:t>редать машину Среднеазиатскому управлению воздушных линий.</w:t>
      </w:r>
    </w:p>
    <w:p w14:paraId="12E0310C"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Вылетели в три часа тридцать минут и через четыре с половиной летных часа уже опустились в Самаре на ночев</w:t>
      </w:r>
      <w:r w:rsidRPr="00C33834">
        <w:rPr>
          <w:rFonts w:ascii="Times New Roman" w:hAnsi="Times New Roman"/>
          <w:color w:val="0070C0"/>
          <w:sz w:val="16"/>
          <w:szCs w:val="16"/>
          <w:lang w:eastAsia="ru-RU" w:bidi="ru-RU"/>
        </w:rPr>
        <w:softHyphen/>
        <w:t>ку. «Хорошо летели, — подумал я, — позади уже тысяча ки</w:t>
      </w:r>
      <w:r w:rsidRPr="00C33834">
        <w:rPr>
          <w:rFonts w:ascii="Times New Roman" w:hAnsi="Times New Roman"/>
          <w:color w:val="0070C0"/>
          <w:sz w:val="16"/>
          <w:szCs w:val="16"/>
          <w:lang w:eastAsia="ru-RU" w:bidi="ru-RU"/>
        </w:rPr>
        <w:softHyphen/>
        <w:t>лометров, а всего три тысячи. Значит, на третий день мы будем в Ташкенте».</w:t>
      </w:r>
    </w:p>
    <w:p w14:paraId="3DC6547A"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Проснулись за сорок минут до восхода солнца. Был не</w:t>
      </w:r>
      <w:r w:rsidRPr="00C33834">
        <w:rPr>
          <w:rFonts w:ascii="Times New Roman" w:hAnsi="Times New Roman"/>
          <w:color w:val="0070C0"/>
          <w:sz w:val="16"/>
          <w:szCs w:val="16"/>
          <w:lang w:eastAsia="ru-RU" w:bidi="ru-RU"/>
        </w:rPr>
        <w:softHyphen/>
        <w:t>большой мороз — восемь градусов. Сразу запустить мо</w:t>
      </w:r>
      <w:r w:rsidRPr="00C33834">
        <w:rPr>
          <w:rFonts w:ascii="Times New Roman" w:hAnsi="Times New Roman"/>
          <w:color w:val="0070C0"/>
          <w:sz w:val="16"/>
          <w:szCs w:val="16"/>
          <w:lang w:eastAsia="ru-RU" w:bidi="ru-RU"/>
        </w:rPr>
        <w:softHyphen/>
        <w:t>тор не удалось. Вместо семи часов утра вылетели в две</w:t>
      </w:r>
      <w:r w:rsidRPr="00C33834">
        <w:rPr>
          <w:rFonts w:ascii="Times New Roman" w:hAnsi="Times New Roman"/>
          <w:color w:val="0070C0"/>
          <w:sz w:val="16"/>
          <w:szCs w:val="16"/>
          <w:lang w:eastAsia="ru-RU" w:bidi="ru-RU"/>
        </w:rPr>
        <w:softHyphen/>
        <w:t>надцать. Рассчитывали в этот день долететь до Казалин- ска, а добрались только до Актюбинска, нагнав вышедшие раньше из Москвы перегоночные самолеты «К-5». Они за</w:t>
      </w:r>
      <w:r w:rsidRPr="00C33834">
        <w:rPr>
          <w:rFonts w:ascii="Times New Roman" w:hAnsi="Times New Roman"/>
          <w:color w:val="0070C0"/>
          <w:sz w:val="16"/>
          <w:szCs w:val="16"/>
          <w:lang w:eastAsia="ru-RU" w:bidi="ru-RU"/>
        </w:rPr>
        <w:softHyphen/>
        <w:t>держались здесь, потому что не получили вовремя «зака</w:t>
      </w:r>
      <w:r w:rsidRPr="00C33834">
        <w:rPr>
          <w:rFonts w:ascii="Times New Roman" w:hAnsi="Times New Roman"/>
          <w:color w:val="0070C0"/>
          <w:sz w:val="16"/>
          <w:szCs w:val="16"/>
          <w:lang w:eastAsia="ru-RU" w:bidi="ru-RU"/>
        </w:rPr>
        <w:softHyphen/>
        <w:t>занную погоду».</w:t>
      </w:r>
    </w:p>
    <w:p w14:paraId="7CA3B238"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11 ноября стали запускать моторы. Мороз — двенадцать градусов. Линейный механик товарищ Полегошко принес амортизатор своего изобретения:</w:t>
      </w:r>
    </w:p>
    <w:p w14:paraId="2EF90FBF"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Вот, — говорит, — товарищ Водопьянов, посмотри на мое изобретение. Не амортизатор, а машина! Запустим сра</w:t>
      </w:r>
      <w:r w:rsidRPr="00C33834">
        <w:rPr>
          <w:rFonts w:ascii="Times New Roman" w:hAnsi="Times New Roman"/>
          <w:color w:val="0070C0"/>
          <w:sz w:val="16"/>
          <w:szCs w:val="16"/>
          <w:lang w:eastAsia="ru-RU" w:bidi="ru-RU"/>
        </w:rPr>
        <w:softHyphen/>
        <w:t>зу мотор — трава не расти!</w:t>
      </w:r>
    </w:p>
    <w:p w14:paraId="23DDE08A"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Посмотрел я на его изобретение и не смог удержаться от смеха. «Машина» состояла всего из трех предметов: ва- леного сапога с отрезанным голенищем, веревки и амор</w:t>
      </w:r>
      <w:r w:rsidRPr="00C33834">
        <w:rPr>
          <w:rFonts w:ascii="Times New Roman" w:hAnsi="Times New Roman"/>
          <w:color w:val="0070C0"/>
          <w:sz w:val="16"/>
          <w:szCs w:val="16"/>
          <w:lang w:eastAsia="ru-RU" w:bidi="ru-RU"/>
        </w:rPr>
        <w:softHyphen/>
        <w:t>тизатора. Опутал механик сапог веревкой, а к веревке привязал амортизатор. Кусок сапога одевается на конец винта, семь-восемь человек натягивают амортизатор. Си</w:t>
      </w:r>
      <w:r w:rsidRPr="00C33834">
        <w:rPr>
          <w:rFonts w:ascii="Times New Roman" w:hAnsi="Times New Roman"/>
          <w:color w:val="0070C0"/>
          <w:sz w:val="16"/>
          <w:szCs w:val="16"/>
          <w:lang w:eastAsia="ru-RU" w:bidi="ru-RU"/>
        </w:rPr>
        <w:softHyphen/>
        <w:t>дящий в кабине должен включить мотор и по команде «три!» тут же опустить винт. Амортизатор срывается с винта и с бешеной скоростью летит между тянущими. Винт делает полоборота, а иногда и оборот, смотря по си</w:t>
      </w:r>
      <w:r w:rsidRPr="00C33834">
        <w:rPr>
          <w:rFonts w:ascii="Times New Roman" w:hAnsi="Times New Roman"/>
          <w:color w:val="0070C0"/>
          <w:sz w:val="16"/>
          <w:szCs w:val="16"/>
          <w:lang w:eastAsia="ru-RU" w:bidi="ru-RU"/>
        </w:rPr>
        <w:softHyphen/>
        <w:t>ле мотора и по количеству тянущих людей.</w:t>
      </w:r>
    </w:p>
    <w:p w14:paraId="11FBD2EC"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Долго мы запускали мотор этой «машиной». Оба «К-5» улетели. Мне даже обидно стало: и мотор наш малосиль</w:t>
      </w:r>
      <w:r w:rsidRPr="00C33834">
        <w:rPr>
          <w:rFonts w:ascii="Times New Roman" w:hAnsi="Times New Roman"/>
          <w:color w:val="0070C0"/>
          <w:sz w:val="16"/>
          <w:szCs w:val="16"/>
        </w:rPr>
        <w:softHyphen/>
        <w:t>нее, чем на самолете «К-5», и запускать его удобнее, а по</w:t>
      </w:r>
      <w:r w:rsidRPr="00C33834">
        <w:rPr>
          <w:rFonts w:ascii="Times New Roman" w:hAnsi="Times New Roman"/>
          <w:color w:val="0070C0"/>
          <w:sz w:val="16"/>
          <w:szCs w:val="16"/>
        </w:rPr>
        <w:softHyphen/>
        <w:t>ди же, не запускается, — хоть плачь</w:t>
      </w:r>
    </w:p>
    <w:p w14:paraId="04D75179"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Ну, ребята, трава не расти, — кричит Полегошко, — два самолета улетели, мешать не будут. Все сюда! Товарищ пожарный, иди, помоги тянуть за амортизатор. Брось ка</w:t>
      </w:r>
      <w:r w:rsidRPr="00C33834">
        <w:rPr>
          <w:rFonts w:ascii="Times New Roman" w:hAnsi="Times New Roman"/>
          <w:color w:val="0070C0"/>
          <w:sz w:val="16"/>
          <w:szCs w:val="16"/>
          <w:lang w:eastAsia="ru-RU" w:bidi="ru-RU"/>
        </w:rPr>
        <w:softHyphen/>
        <w:t>раулить огнетушитель, видишь — не запускается, значит и не загорится.</w:t>
      </w:r>
    </w:p>
    <w:p w14:paraId="535D491A"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Собралось человек десять.</w:t>
      </w:r>
    </w:p>
    <w:p w14:paraId="3CCA427D"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 Внимание! — кричит Полегошко. Включаю мотор.</w:t>
      </w:r>
    </w:p>
    <w:p w14:paraId="3665794C"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Раз, два, три! ..</w:t>
      </w:r>
    </w:p>
    <w:p w14:paraId="6DEB21D0"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Но мотор даже вспышки не дает. ..</w:t>
      </w:r>
    </w:p>
    <w:p w14:paraId="707D1428"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Крутили весь день, все без толку. На следующее утро ре</w:t>
      </w:r>
      <w:r w:rsidRPr="00C33834">
        <w:rPr>
          <w:rFonts w:ascii="Times New Roman" w:hAnsi="Times New Roman"/>
          <w:color w:val="0070C0"/>
          <w:sz w:val="16"/>
          <w:szCs w:val="16"/>
          <w:lang w:eastAsia="ru-RU" w:bidi="ru-RU"/>
        </w:rPr>
        <w:softHyphen/>
        <w:t>шили как-нибудь подогреть мотор. Нашли какой-то чехол, накрыли мотор, разыскали трубы, две скверных паяльных лампы, начали подогревать. Часа три грели: то одна лам</w:t>
      </w:r>
      <w:r w:rsidRPr="00C33834">
        <w:rPr>
          <w:rFonts w:ascii="Times New Roman" w:hAnsi="Times New Roman"/>
          <w:color w:val="0070C0"/>
          <w:sz w:val="16"/>
          <w:szCs w:val="16"/>
          <w:lang w:eastAsia="ru-RU" w:bidi="ru-RU"/>
        </w:rPr>
        <w:softHyphen/>
        <w:t>па погаснет, то другая. Больше разжигали лампы, чем гре</w:t>
      </w:r>
      <w:r w:rsidRPr="00C33834">
        <w:rPr>
          <w:rFonts w:ascii="Times New Roman" w:hAnsi="Times New Roman"/>
          <w:color w:val="0070C0"/>
          <w:sz w:val="16"/>
          <w:szCs w:val="16"/>
          <w:lang w:eastAsia="ru-RU" w:bidi="ru-RU"/>
        </w:rPr>
        <w:softHyphen/>
        <w:t>ли мотор.</w:t>
      </w:r>
    </w:p>
    <w:p w14:paraId="097B3C71"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 конце концов удалось нагреть его до комнатной тем</w:t>
      </w:r>
      <w:r w:rsidRPr="00C33834">
        <w:rPr>
          <w:rFonts w:ascii="Times New Roman" w:hAnsi="Times New Roman"/>
          <w:color w:val="0070C0"/>
          <w:sz w:val="16"/>
          <w:szCs w:val="16"/>
          <w:lang w:eastAsia="ru-RU" w:bidi="ru-RU"/>
        </w:rPr>
        <w:softHyphen/>
        <w:t>пературы. Принесли ведро кипятку. Нагрели в кипятке бензин для заливки мотора. Сняли чехол. Залили мотор. Натянули амортизатор. Дернули. Пошел! . .</w:t>
      </w:r>
    </w:p>
    <w:p w14:paraId="57CA82E8"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Дав несколько оборотов, мотор снова заглох.</w:t>
      </w:r>
    </w:p>
    <w:p w14:paraId="0F0CDF8B"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Теперь стали тянуть человек двенадцать и так усердно, что амортизатор оборвался. Одна сторона пролетела вверх тормашками, а злосчастный валеный сапог угодил пожарному прямо в лицо. Встает он — вокруг левого гла</w:t>
      </w:r>
      <w:r w:rsidRPr="00C33834">
        <w:rPr>
          <w:rFonts w:ascii="Times New Roman" w:hAnsi="Times New Roman"/>
          <w:color w:val="0070C0"/>
          <w:sz w:val="16"/>
          <w:szCs w:val="16"/>
          <w:lang w:eastAsia="ru-RU" w:bidi="ru-RU"/>
        </w:rPr>
        <w:softHyphen/>
        <w:t>за и носа все почернело и опухло.</w:t>
      </w:r>
    </w:p>
    <w:p w14:paraId="7BE88221"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Не буду я больше тянуть, ну его к чорту!.. Я спросил, есть ли на аэродроме сжатый воздух.</w:t>
      </w:r>
    </w:p>
    <w:p w14:paraId="21D51364"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 Есть, — говорит Полегошко, — давайте приспособим баллон.</w:t>
      </w:r>
    </w:p>
    <w:p w14:paraId="0655B049"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Отвернули от мотора воздушную трубку, припаяли сере</w:t>
      </w:r>
      <w:r w:rsidRPr="00C33834">
        <w:rPr>
          <w:rFonts w:ascii="Times New Roman" w:hAnsi="Times New Roman"/>
          <w:color w:val="0070C0"/>
          <w:sz w:val="16"/>
          <w:szCs w:val="16"/>
          <w:lang w:eastAsia="ru-RU" w:bidi="ru-RU"/>
        </w:rPr>
        <w:softHyphen/>
        <w:t>бром к баллонной трубке, а сам баллон нагрели на костре.</w:t>
      </w:r>
    </w:p>
    <w:p w14:paraId="2058828A"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Что такое? Почему винт не вертится, а воздух садит во все цилиндры? Оказалось, сильно подработан золотник.</w:t>
      </w:r>
    </w:p>
    <w:p w14:paraId="7E94AD70"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Как мы ни приспосабливались, но запустить в этот день мотор так и не удалось.</w:t>
      </w:r>
    </w:p>
    <w:p w14:paraId="28CEA291"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На следующий день достали древесный уголь. Часа за полтора до рассвета разожгли кипятильник и поставили под чехол. Грели часа три. «Теплоцентраль» оказалась за</w:t>
      </w:r>
      <w:r w:rsidRPr="00C33834">
        <w:rPr>
          <w:rFonts w:ascii="Times New Roman" w:hAnsi="Times New Roman"/>
          <w:color w:val="0070C0"/>
          <w:sz w:val="16"/>
          <w:szCs w:val="16"/>
          <w:lang w:eastAsia="ru-RU" w:bidi="ru-RU"/>
        </w:rPr>
        <w:softHyphen/>
        <w:t>мечательной: из трубы горячий воздух идет, а из кипятиль</w:t>
      </w:r>
      <w:r w:rsidRPr="00C33834">
        <w:rPr>
          <w:rFonts w:ascii="Times New Roman" w:hAnsi="Times New Roman"/>
          <w:color w:val="0070C0"/>
          <w:sz w:val="16"/>
          <w:szCs w:val="16"/>
          <w:lang w:eastAsia="ru-RU" w:bidi="ru-RU"/>
        </w:rPr>
        <w:softHyphen/>
        <w:t>ника пар. Быстро раскрыли мотор, залили, натянули амор</w:t>
      </w:r>
      <w:r w:rsidRPr="00C33834">
        <w:rPr>
          <w:rFonts w:ascii="Times New Roman" w:hAnsi="Times New Roman"/>
          <w:color w:val="0070C0"/>
          <w:sz w:val="16"/>
          <w:szCs w:val="16"/>
          <w:lang w:eastAsia="ru-RU" w:bidi="ru-RU"/>
        </w:rPr>
        <w:softHyphen/>
        <w:t>тизатор, дернули... пошел!</w:t>
      </w:r>
    </w:p>
    <w:p w14:paraId="1A3F5857"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Два с половиной дня мы потеряли из-за того, что на аэ</w:t>
      </w:r>
      <w:r w:rsidRPr="00C33834">
        <w:rPr>
          <w:rFonts w:ascii="Times New Roman" w:hAnsi="Times New Roman"/>
          <w:color w:val="0070C0"/>
          <w:sz w:val="16"/>
          <w:szCs w:val="16"/>
          <w:lang w:eastAsia="ru-RU" w:bidi="ru-RU"/>
        </w:rPr>
        <w:softHyphen/>
        <w:t>родроме нечем было подогреть мотор...</w:t>
      </w:r>
    </w:p>
    <w:p w14:paraId="0B2CB5E9"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Из Актюбинска мы рассчитывали долететь до Казалин- ска</w:t>
      </w:r>
      <w:r w:rsidRPr="00C33834">
        <w:rPr>
          <w:rFonts w:ascii="Times New Roman" w:hAnsi="Times New Roman"/>
          <w:color w:val="0070C0"/>
          <w:sz w:val="16"/>
          <w:szCs w:val="16"/>
        </w:rPr>
        <w:t xml:space="preserve"> </w:t>
      </w:r>
      <w:r w:rsidRPr="00C33834">
        <w:rPr>
          <w:rFonts w:ascii="Times New Roman" w:hAnsi="Times New Roman"/>
          <w:color w:val="0070C0"/>
          <w:sz w:val="16"/>
          <w:szCs w:val="16"/>
          <w:lang w:eastAsia="ru-RU" w:bidi="ru-RU"/>
        </w:rPr>
        <w:t>без посадки. Не тут-то было! Возле Мугоджарских гор вдруг затрясло мотор, да так, что от форточки фона</w:t>
      </w:r>
      <w:r w:rsidRPr="00C33834">
        <w:rPr>
          <w:rFonts w:ascii="Times New Roman" w:hAnsi="Times New Roman"/>
          <w:color w:val="0070C0"/>
          <w:sz w:val="16"/>
          <w:szCs w:val="16"/>
          <w:lang w:eastAsia="ru-RU" w:bidi="ru-RU"/>
        </w:rPr>
        <w:softHyphen/>
        <w:t>ря отлетел кусок стекла. Хорошо, что вблизи была площад</w:t>
      </w:r>
      <w:r w:rsidRPr="00C33834">
        <w:rPr>
          <w:rFonts w:ascii="Times New Roman" w:hAnsi="Times New Roman"/>
          <w:color w:val="0070C0"/>
          <w:sz w:val="16"/>
          <w:szCs w:val="16"/>
          <w:lang w:eastAsia="ru-RU" w:bidi="ru-RU"/>
        </w:rPr>
        <w:softHyphen/>
        <w:t>ка — Эмба.</w:t>
      </w:r>
    </w:p>
    <w:p w14:paraId="4D4B56E1"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Фонарь весь закидало маслом, пришлось открыть раз</w:t>
      </w:r>
      <w:r w:rsidRPr="00C33834">
        <w:rPr>
          <w:rFonts w:ascii="Times New Roman" w:hAnsi="Times New Roman"/>
          <w:color w:val="0070C0"/>
          <w:sz w:val="16"/>
          <w:szCs w:val="16"/>
          <w:lang w:eastAsia="ru-RU" w:bidi="ru-RU"/>
        </w:rPr>
        <w:softHyphen/>
        <w:t>битую форточку. Боясь, чтобы она совсем не оторвалась и не полетела в лицо, Бассейн все время держал ее ру</w:t>
      </w:r>
      <w:r w:rsidRPr="00C33834">
        <w:rPr>
          <w:rFonts w:ascii="Times New Roman" w:hAnsi="Times New Roman"/>
          <w:color w:val="0070C0"/>
          <w:sz w:val="16"/>
          <w:szCs w:val="16"/>
          <w:lang w:eastAsia="ru-RU" w:bidi="ru-RU"/>
        </w:rPr>
        <w:softHyphen/>
        <w:t>ками, стоя рядом со мной.</w:t>
      </w:r>
    </w:p>
    <w:p w14:paraId="5E50C828"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Исправив по дороге форточку, прилетели в Челкар. Смотрим — стоит на аэродроме самолет «К-5», один из тех, которые вылетели из Актюбинска.</w:t>
      </w:r>
    </w:p>
    <w:p w14:paraId="5C1B9F3D"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Все в порядке, — говорит Бассейн. — На этом самоле</w:t>
      </w:r>
      <w:r w:rsidRPr="00C33834">
        <w:rPr>
          <w:rFonts w:ascii="Times New Roman" w:hAnsi="Times New Roman"/>
          <w:color w:val="0070C0"/>
          <w:sz w:val="16"/>
          <w:szCs w:val="16"/>
          <w:lang w:eastAsia="ru-RU" w:bidi="ru-RU"/>
        </w:rPr>
        <w:softHyphen/>
        <w:t>те есть амортизатор, легче будет мотор запускать. Да и мороз здесь должен быть слабее.</w:t>
      </w:r>
    </w:p>
    <w:p w14:paraId="2AB8D8E7"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К девяти часам утра нам удалось запустить моторы. Полетели в Казалинск, а оттуда в Кзыл-Орду.</w:t>
      </w:r>
    </w:p>
    <w:p w14:paraId="1065E56C"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В Кзыл-Орде начальник станции женщина, товарищ Недоноскова. Обращаемся к ней.</w:t>
      </w:r>
    </w:p>
    <w:p w14:paraId="301F08FF"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Поужинать есть что-нибудь?</w:t>
      </w:r>
    </w:p>
    <w:p w14:paraId="31A8F149"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Что вы, откуда я вам возьму? Разве хлеба только най</w:t>
      </w:r>
      <w:r w:rsidRPr="00C33834">
        <w:rPr>
          <w:rFonts w:ascii="Times New Roman" w:hAnsi="Times New Roman"/>
          <w:color w:val="0070C0"/>
          <w:sz w:val="16"/>
          <w:szCs w:val="16"/>
          <w:lang w:eastAsia="ru-RU" w:bidi="ru-RU"/>
        </w:rPr>
        <w:softHyphen/>
        <w:t>ду. Есть еще конфекты, которые Водопьянов прошлый раз оставил.</w:t>
      </w:r>
    </w:p>
    <w:p w14:paraId="393D3E68"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Ну, а спать есть где?</w:t>
      </w:r>
    </w:p>
    <w:p w14:paraId="7D900128"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Есть! У меня четыре кровати. Пойдемте в летную ком</w:t>
      </w:r>
      <w:r w:rsidRPr="00C33834">
        <w:rPr>
          <w:rFonts w:ascii="Times New Roman" w:hAnsi="Times New Roman"/>
          <w:color w:val="0070C0"/>
          <w:sz w:val="16"/>
          <w:szCs w:val="16"/>
          <w:lang w:eastAsia="ru-RU" w:bidi="ru-RU"/>
        </w:rPr>
        <w:softHyphen/>
        <w:t>нату.</w:t>
      </w:r>
    </w:p>
    <w:p w14:paraId="18895285"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Смотрим, правда, есть кровати. На каждой из них лежит по паршивому матрацу, подушке и по одной простыне, а одеял вовсе нет.</w:t>
      </w:r>
    </w:p>
    <w:p w14:paraId="672F7CE0"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Чем же мы будем накрываться?</w:t>
      </w:r>
    </w:p>
    <w:p w14:paraId="23D67EEF"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 А я при чем? Чем хотите, тем и накрывайтесь.</w:t>
      </w:r>
    </w:p>
    <w:p w14:paraId="76D05D54"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Легли не раздеваясь. Накинули на себя летные шубы. Кое-как ночь проспали...</w:t>
      </w:r>
    </w:p>
    <w:p w14:paraId="32995CCC"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«Ну, ничего, — думаем, — уж в Ташкенте отдохнем как следует».</w:t>
      </w:r>
    </w:p>
    <w:p w14:paraId="4089CC8F"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lastRenderedPageBreak/>
        <w:t>На следующий день прилетели в Ташкент. Там, где мы рассчитывали хорошо отдохнуть, оказалось еще хуже, чем в Кзыл-Орде. Безалаберщина, невнимание к летчику так и бросались в глаза.</w:t>
      </w:r>
    </w:p>
    <w:p w14:paraId="01796A9C"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К обеду мы опоздали. Собрались нас три экипажа, те са</w:t>
      </w:r>
      <w:r w:rsidRPr="00C33834">
        <w:rPr>
          <w:rFonts w:ascii="Times New Roman" w:hAnsi="Times New Roman"/>
          <w:color w:val="0070C0"/>
          <w:sz w:val="16"/>
          <w:szCs w:val="16"/>
          <w:lang w:eastAsia="ru-RU" w:bidi="ru-RU"/>
        </w:rPr>
        <w:softHyphen/>
        <w:t>мые, что встречались в Актюбинске. Нашел я комендан</w:t>
      </w:r>
      <w:r w:rsidRPr="00C33834">
        <w:rPr>
          <w:rFonts w:ascii="Times New Roman" w:hAnsi="Times New Roman"/>
          <w:color w:val="0070C0"/>
          <w:sz w:val="16"/>
          <w:szCs w:val="16"/>
          <w:lang w:eastAsia="ru-RU" w:bidi="ru-RU"/>
        </w:rPr>
        <w:softHyphen/>
        <w:t>та общежития, попросил его, чтобы он нам хоть ночлег обеспечил.</w:t>
      </w:r>
    </w:p>
    <w:p w14:paraId="29FBA24A" w14:textId="77777777" w:rsidR="00407660" w:rsidRPr="00C33834" w:rsidRDefault="00407660"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lang w:eastAsia="ru-RU" w:bidi="ru-RU"/>
        </w:rPr>
        <w:t>Куда же я всех дену? Слишком много вас прилетело. Придется кому-нибудь спать на полу. Немытые, голодные, усталые, мы ждали около двух часов, когда поставят кро</w:t>
      </w:r>
      <w:r w:rsidRPr="00C33834">
        <w:rPr>
          <w:rFonts w:ascii="Times New Roman" w:hAnsi="Times New Roman"/>
          <w:color w:val="0070C0"/>
          <w:sz w:val="16"/>
          <w:szCs w:val="16"/>
          <w:lang w:eastAsia="ru-RU" w:bidi="ru-RU"/>
        </w:rPr>
        <w:softHyphen/>
        <w:t>вати и приготовят постели... Так спали две ночи, только на третьи сутки в поезде, по дороге в Москву, выспались по человечески» (20365).</w:t>
      </w:r>
    </w:p>
    <w:p w14:paraId="358DAC87" w14:textId="77777777" w:rsidR="00407660" w:rsidRPr="00C33834" w:rsidRDefault="00407660" w:rsidP="00C33834">
      <w:pPr>
        <w:spacing w:after="0" w:line="240" w:lineRule="auto"/>
        <w:jc w:val="both"/>
        <w:rPr>
          <w:rFonts w:ascii="Times New Roman" w:hAnsi="Times New Roman"/>
          <w:color w:val="0070C0"/>
          <w:sz w:val="16"/>
          <w:szCs w:val="16"/>
        </w:rPr>
      </w:pPr>
    </w:p>
    <w:p w14:paraId="41956D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 для испытаний "универсального двойного моста ОТБ" выделили одну машину ТБ-3 с моторами М-17. Самолет получил также специальный прицел СП-123 (впоследствии принятый на вооружение как ПВТБ-1). Сброс торпеды осуществлялся механическим сбрасывателем ОТБ. С 1932 г. в Остехбюро начались эксперименты с оснащенным торпедной подвеской четырехмоторным бомбардировщиком ТБ-3. Он должен был нести под фюзеляжем универсальный мост, на котором могли подвешиваться все имевшиеся и разрабатывавшиеся в то время авиационные мины и торпеды. Самолет мог нести одновременно две торпеды типов ТАН-12, ТАВ-12 и TAB-15 (причем возможна была одновременная подвеска двух разных торпед) или одну ТАВ-27. На том же мосте могли подвешиваться авиационные мины МАВ-1 (две штуки, друг за другом) или МАВ-2. Опытный образец "универсального двойного моста ОТБ" был изготовлен еще в январе 1932 г., но Остехбюро не располагало самолетом для его установки. ТБ-3 являлись большим дефицитом, их не хватало для укомплектования бригад (12002).</w:t>
      </w:r>
    </w:p>
    <w:p w14:paraId="1C8952F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B400F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 на заводе «Ростсельмаш» НКСМ разработали чертежи и изготовили опытные образцы фугасных авиабомб калибром 50 кг с корпусом, отлитым из сталистого чугуна без обработки внутренней и внешней поверхностей. Они получили наименование ФАБ-50сч. В перспективе принятие их на вооружение могло увеличить мобилизационные возможности военных заводов и сильно упростить технологию производства боеприпасов. Кроме того, привлечение для их изготовления ряда чугунолитейных предприятий позволяло существенно разгрузить станочный парк и площади заводов, занятых производством ФАБ-50св.</w:t>
      </w:r>
    </w:p>
    <w:p w14:paraId="43A6C3D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Толщина стенок корпуса опытных авиабомб ФАБ-50сч плавно увеличивалась с 10 мм в цилиндрической части к головному срезу, а оперение было припарено к стальным пластинам, залитым в чугунном корпусе. Снарядив боеприпасы суррогатированным взрывчатым веществом -французской смесью 80/20 - по технологии военного времени, с мая по ноябрь 1934 г. провели их полигонные испытания в районе Евпатории для изучения прочности корпуса, фугасного действия, глубины проникания в твердый и средний грунты (скальные породы, ракушечник, твердый и мягкий известняк) при бомбометании с высоты 4000 м. Кроме того, верхний горизонт грунта был покрыт 40 сантиметровым слоем суглинка (7453).</w:t>
      </w:r>
    </w:p>
    <w:p w14:paraId="6FB478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97186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концу 1933 г. создали проекты крупных бронебойных бомб для ВМФ калибрами 500 и 1000 кг. По сути, это были лишь увеличенные аналоги предыдущего. Лишь отчасти конструктивные мероприятия, призванные избавить БРАБ от недостатков их 220-килограммового прототипа, улучшили их боевые показатели. При проектировании БРАБ-500 и БРАБ-1000, ее бронепробиваемость, как водится, просчитали по формуле Жакоб де Марра,...и все. До натурного моделирования дело опять так и не дошло (7453).</w:t>
      </w:r>
    </w:p>
    <w:p w14:paraId="133F920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8D16B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года по решению Правительства заводу № 63 был присвоен № 82. Первое задание завод получил по изготовлению унифицированной семьи бензиновых звездообразных моторов воздушного охлаждения: МГ-11, МГ-21, МГ-31 и изготовление запасных частей к М-11. В 1936 году на завод был назначен новый директор Войтов. Завод как опытный был подчинен НИИ ГВФ. В 1937 году директором был назначен Черников и завод снова выделили в самостоятельную единицу, как малосерийный завод. В 1937 году на заводе были сконструированы и изготовлены образцы учебного пятицилиндрового с воздушным охлаждением авиадвигателя Д-11 конструкции Мелькумова. В 1938 году согласно постановлению Правительства от 31 июля завод № 82 был переведен из системы ГВФ в систему НКВД с заданием изготовления дизельного мотора АН-1Р. Директор завода Жилин, гл. конструктор Тулупов. В конце 1940 года завод № 82 был передан из НКВД в НКАП как опытный завод 8-го гл. управления. 26 июня 1941 года завод № 82 был эвакуирован в Казань.</w:t>
      </w:r>
    </w:p>
    <w:p w14:paraId="651FD62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кадры и имущество завода 3 82 были переданы заводу № 27.</w:t>
      </w:r>
    </w:p>
    <w:p w14:paraId="1168815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приказу НКАП от 1 ноября 1941 года за № 1091сс завод № 82 был выделен из системы завода № 87 в самостоятельную единицу и директором назначен Дубов.</w:t>
      </w:r>
    </w:p>
    <w:p w14:paraId="7136F69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площадке после эвакуации завода № 82 была размещена разделочная база № 453, которая работала по использованию металла, трофейных моторов, самолетов и прочей военной техники. База существовала до возвращения завода № 82 из эвакуации. В 1942 году решением от 24 января КО обязал НКАП организовать производство дизельных моторов М-30 на площадях эвакуированного завода № 82 в Тушино, для чего к 1 марта 1942 года должен был вернуться завод № 82 со всем оборудованием.</w:t>
      </w:r>
    </w:p>
    <w:p w14:paraId="649FE99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реэвакуации завода № 82 в Тушино во исполнение Постановления ГОКО от 14 марта 1942 года за № 1440с, приказом НКАП от 16 марта за № 206сс, завод № 82 был ликвидирован с передачей всех кадров и оборудования заводу № 45, а опытные образцы дизеоя М-30, техдокументацию, конструкторские кадры передать в ЦИАМ.</w:t>
      </w:r>
    </w:p>
    <w:p w14:paraId="65D0DF6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Постановлением ГОКО от 4 июня 1942 года на площадях бывш. завода № 82 организован опытный завод № 500 по доводке и производству мелких серийных моторов М-30. Завод начал свою деятельность в июне 1942 года. Постановлением ГОКО от 4 июня 1942 года кадры конструкторов, работающие над разными дизелями (КБ Тулупова, группа Яковлева, дизельная группа 4-го спецотдела НКВД) были объединены в одно КБ завода № 500, на которое возлагалась задача быстрейшей доводки мотора М-30. Директором завода был назначен Вовк, гл. конструктором Чаромский. 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(авиадизелей).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191770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333BF37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1DF71C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Адрес: Тушино. Производственный профиль – авиамоторный (9861).</w:t>
      </w:r>
    </w:p>
    <w:p w14:paraId="2BFDFA6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97CC711"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 концу 1933 года в НИО-67 была соз дана первая светящая авиабомба калибра 5 кг – САБ-5. В 1932 году работа над осветительными (светящими) бомбами была поручена молодому инженеру, только что окончившему Военно-техническую академию РККА, А. И. Звереву. Около года ему потребовалось для создания первой светящей авиабомбы. В отработке рецептуры снаряжения САБ-5 участвовали опытные пиротехники М. Г. Горовой и В. В. Воронков. В качестве горючего они применили металлические порошки. Чистые алюминиевый и магниевый порошки наша промышленность в то время не производила, их приходилось ввозить из-за границы и они были очень дороги. Поэтому впервые был использован измельченный эвтектический сплав алюминия с магнием. Эти сплавы в пиротехнике применяются широко до сих пор. В качестве окислителя применили азотнокислый барий. Эффективность САБ-5 получилась не очень высокой – все-таки это был самый первый образец бомбы такого типа. Вначале, из-за отсутствия опыта, факелы пытались снаряжать ручной набивкой. Лишь позднее было введено прессование. Для того, чтобы запрессованный состав не вываливался из гильзы, в нее вкладывали деревянный вкладыш и прибивали его к гильзе гвоздями. Однажды факел оказался длиннее, и гвоздь забили прямо в пиротехнический состав. Вспыхнул пожар, но огонь быстро загасили. Парашюты для бомбы тоже спроектировали в НИО, а сшили в мастерской. Они также были несовершенны. Интересны были заданные тактико-техническими требованиями способы применения этих бомб – допускалось ручное выбрасывание их из кабины самолета. В этом случае согласно инструкции, штурман должен был вынуть из взрывателя предохранительную и пусковые чеки и выкинуть бомбу за борт. Через год, в 1934 году, создается новая осветительная бомба САБ-3, значительно более эффективная, чем САБ-5. В 1934 – 1937 годах по инициативе А.И. Зверева, поддержанной ВВС Военно- морского флота, проводятся исследовательские работы с целью выявить возможность активного взаимодействия авиации и морского флота при решении разного рода тактических задач. Специально для этого были созданы светящие авиабомбы массой от 12 до 85кг. Результаты исследований показали, что светящие бомбы являются незаменимым средством визуальной разведки в ночное время, они позволяют наводить корабли и подводные лодки на объекты противника, дают возможность осуществлять ночью прицельное бомбометание, могут способствовать поражению кораблей противника береговой артиллерией, позволяют осуществлять ночную посадку гидросамолетов и т. д. Был подготовлен документ о создании системы светящих авиабомб, необходимых для решения все этих задач. Однако на вооружение были приняты только бомбы массой до 25 кг. В это время сотрудник НИО С. П. Стрелков </w:t>
      </w:r>
      <w:r w:rsidRPr="00C33834">
        <w:rPr>
          <w:rFonts w:ascii="Times New Roman" w:hAnsi="Times New Roman"/>
          <w:color w:val="000000" w:themeColor="text1"/>
          <w:sz w:val="16"/>
          <w:szCs w:val="16"/>
        </w:rPr>
        <w:lastRenderedPageBreak/>
        <w:t>предложил новый, более мощный осветительный состав, и Управление ВВС сочло, что принимать на вооружение САБ-85 в старом снаряжении нет необходимости (15794).</w:t>
      </w:r>
    </w:p>
    <w:p w14:paraId="52EDBC1A" w14:textId="77777777" w:rsidR="0047154B" w:rsidRPr="00C33834" w:rsidRDefault="0047154B" w:rsidP="00C33834">
      <w:pPr>
        <w:spacing w:after="0" w:line="240" w:lineRule="auto"/>
        <w:jc w:val="both"/>
        <w:rPr>
          <w:rFonts w:ascii="Times New Roman" w:hAnsi="Times New Roman"/>
          <w:color w:val="000000" w:themeColor="text1"/>
          <w:sz w:val="16"/>
          <w:szCs w:val="16"/>
        </w:rPr>
      </w:pPr>
    </w:p>
    <w:p w14:paraId="055624FD" w14:textId="77777777" w:rsidR="002A6BEA" w:rsidRPr="00C33834" w:rsidRDefault="002A6BE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концу 1933 г. была завершена экспериментальная отработка опытных образцов авиационных снарядов РС-82 и PC-132 на основе зарядов из пироксилинотротилового пороха.</w:t>
      </w:r>
    </w:p>
    <w:p w14:paraId="54D5B4D5" w14:textId="77777777" w:rsidR="002A6BEA" w:rsidRPr="00C33834" w:rsidRDefault="002A6BE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Первоначально для одного из авиационных реактивных снарядов был установлен первоначально калибр 76 мм, традиционный для русской артиллерии.</w:t>
      </w:r>
    </w:p>
    <w:p w14:paraId="25872EB1" w14:textId="77777777" w:rsidR="002A6BEA" w:rsidRPr="00C33834" w:rsidRDefault="002A6BE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Однако при изготовлении матриц для прессования пороховых шашек неточно была учтена усадка пороха, и фактический диаметр шашек оказался равным 24 мм, что не обспечивало входимость заряда из семи шашек в камеру 76-мм снаряда. Переделывать прессовое оборудование не стали, а пошли по пути увеличения калибра снаряда.</w:t>
      </w:r>
    </w:p>
    <w:p w14:paraId="4E16F193" w14:textId="77777777" w:rsidR="002A6BEA" w:rsidRPr="00C33834" w:rsidRDefault="002A6BE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 исходя из случайно получившегося наружного диаметра пороховых шашек, с учетом толщины стенок ракетной камеры и необходимых местных утолщений по наружному диаметру двигателя, был определен калибр авиационного реактивного снаряда, равный 82 мм, а сам снаряд стал называться PC-82.</w:t>
      </w:r>
    </w:p>
    <w:p w14:paraId="613E73DC" w14:textId="77777777" w:rsidR="002A6BEA" w:rsidRPr="00C33834" w:rsidRDefault="002A6BE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 же случайно определилась и длина пороховой шашки, равная 57,5 мм. По баллистическому расчету необходимая масса заряда для 82-мм PC могла быть получена при длине заряда 230 мм. Прессование шашек такой длины с центральным каналом по технологии глухого прессования оказалось невозможным. Пришлось длину каждой шашки уменьшить в 4 раза. Заряд оказался состоящим из 28 пороховых шашек вместо семи по исходному проекту.</w:t>
      </w:r>
    </w:p>
    <w:p w14:paraId="33EFA87F" w14:textId="77777777" w:rsidR="002A6BEA" w:rsidRPr="00C33834" w:rsidRDefault="002A6BE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Диаметр пороховой шашки, возникший случайно, определил калибр и более мощного реактивного снаряда PC-132. Произошло это таким образом. Для ускорения создания реактивного снаряда большего калибра решили использовать имеющиеся в наличии пороховые шашки диаметром 24 мм. Плотная укладка их по 19 шашек в ряду возможна при внутреннем диаметре ракетной камеры 122-123 мм, что с учетом толщины стенки ракетной камеры и местных утолщений ее определило калибр реактивного снаряда — 132 мм. В дальнейшем отработали технологию прессования пороховых шашек с наружным диаметром 40 мм и диаметром каната 8 мм и перешли к ракетному заряду, состоявшему из пяти рядов таких шашек по семь шашек в ряду. Заряд состоял из 35 таких шашек.</w:t>
      </w:r>
    </w:p>
    <w:p w14:paraId="0C1FE75B" w14:textId="77777777" w:rsidR="002A6BEA" w:rsidRPr="00C33834" w:rsidRDefault="002A6BE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Дальность стрельбы этими снарядами была получена соответственно 5 и 6 км. Встал вопрос об их широких испытаниях, для чего необходима была поставка большого количества ракетных зарядов. Однако этого-то и не могла обеспечить технология изготовления пироксилинотротиловых шашек глухим прессованием. Непрерывного прессования шашек из пироксилинотротиловой массы наладить не удалось. Другими словами, ПТП не удовлетворял одному из основных требовании, предъявляемых к боеприпасам — требованию технологичности.</w:t>
      </w:r>
    </w:p>
    <w:p w14:paraId="3EFB5205" w14:textId="77777777" w:rsidR="002A6BEA" w:rsidRPr="00C33834" w:rsidRDefault="002A6BE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Возможность создания боевых ракет в стране в этот период стала проблематичной. Возникла кризисная ситуация. Изготовленные для испытаний в больших количествах корпуса авиационных реактивных снарядов PC-82 и PC-132 не могли быть использованы и лежали без движения (18646).</w:t>
      </w:r>
    </w:p>
    <w:p w14:paraId="4A8659FD" w14:textId="77777777" w:rsidR="002A6BEA" w:rsidRPr="00C33834" w:rsidRDefault="002A6BEA" w:rsidP="00C33834">
      <w:pPr>
        <w:spacing w:after="0" w:line="240" w:lineRule="auto"/>
        <w:jc w:val="both"/>
        <w:rPr>
          <w:rFonts w:ascii="Times New Roman" w:hAnsi="Times New Roman"/>
          <w:color w:val="000000" w:themeColor="text1"/>
          <w:sz w:val="16"/>
          <w:szCs w:val="16"/>
        </w:rPr>
      </w:pPr>
    </w:p>
    <w:p w14:paraId="1F372663"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концу 1933 года задание по дирижаблю В-7 было в целом выполнено бригадой инженера Храбковского − по модернизации В-7 было спущено около 2000 чертежей [14, л. 40-42 об] (15797).</w:t>
      </w:r>
    </w:p>
    <w:p w14:paraId="21C877E3" w14:textId="77777777" w:rsidR="0047154B" w:rsidRPr="00C33834" w:rsidRDefault="0047154B" w:rsidP="00C33834">
      <w:pPr>
        <w:spacing w:after="0" w:line="240" w:lineRule="auto"/>
        <w:jc w:val="both"/>
        <w:rPr>
          <w:rFonts w:ascii="Times New Roman" w:hAnsi="Times New Roman"/>
          <w:color w:val="000000" w:themeColor="text1"/>
          <w:sz w:val="16"/>
          <w:szCs w:val="16"/>
        </w:rPr>
      </w:pPr>
    </w:p>
    <w:p w14:paraId="22AC03BA"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 в Хабаровск прибыли шесть батальонов военных строителей Особого строительного корпуса в количестве 6000 бойцов и командиров. В январе 1934 г. после их прибытия в Комсомольск работа на стройке заметно оживилась. В первой половине 1934 г. была проложена дорога от берега Амура до новой площадки. С открытием навигации 1934 г., строительные материалы, оборудование, транспортные средства стали поступать на сооружение промышленных объектов без перевалки. Это сразу сказалось на темпах строительства заводских объектов (12211).</w:t>
      </w:r>
    </w:p>
    <w:p w14:paraId="3C17BC41" w14:textId="77777777" w:rsidR="000904A1" w:rsidRPr="00C33834" w:rsidRDefault="000904A1" w:rsidP="00C33834">
      <w:pPr>
        <w:spacing w:after="0" w:line="240" w:lineRule="auto"/>
        <w:jc w:val="both"/>
        <w:rPr>
          <w:rFonts w:ascii="Times New Roman" w:hAnsi="Times New Roman"/>
          <w:color w:val="000000" w:themeColor="text1"/>
          <w:sz w:val="16"/>
          <w:szCs w:val="16"/>
        </w:rPr>
      </w:pPr>
    </w:p>
    <w:p w14:paraId="759DE09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Конец 1933г Проведены предварительные пневмогидравлические испытания жидкостной ракеты РЛА-2 (11330).</w:t>
      </w:r>
    </w:p>
    <w:p w14:paraId="44BE6F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8D10F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 В.И. Дудаков разработал теорию полета твердотопливной КР, запускаемой с наземной пусковой установки или с самолета – для поражения наземных объектов на дальности 20–25 км или для ведения воздушного боя (11686).</w:t>
      </w:r>
    </w:p>
    <w:p w14:paraId="673D65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95EB461"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13AC8F4"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40D93EA" w14:textId="77777777" w:rsidR="0078175A" w:rsidRPr="00C33834" w:rsidRDefault="0078175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До конца 1933 года на «Баррикадах» успели сделать лишь одну гаубицу Б-4, но и ее сдать не смогли. Первые две Б-4 завод «Баррикады» сдал лишь в первом полугодии 1934 года. По другим данным (согласно официальной истории самого завода), первые образцы 203-мм гаубицы Б-4 были собраны только в 1936 году, а в следующем году началось их серийное изготовление (22974).</w:t>
      </w:r>
    </w:p>
    <w:p w14:paraId="07F0360D" w14:textId="77777777" w:rsidR="0078175A" w:rsidRPr="00C33834" w:rsidRDefault="0078175A" w:rsidP="00C33834">
      <w:pPr>
        <w:spacing w:after="0" w:line="240" w:lineRule="auto"/>
        <w:jc w:val="both"/>
        <w:rPr>
          <w:rFonts w:ascii="Times New Roman" w:hAnsi="Times New Roman"/>
          <w:color w:val="0070C0"/>
          <w:sz w:val="16"/>
          <w:szCs w:val="16"/>
        </w:rPr>
      </w:pPr>
    </w:p>
    <w:p w14:paraId="473BF8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конец 1933 года в конструкцию 152-мм мортиры обр. 1931 г. было внесено свыше 700 изменений (3861).</w:t>
      </w:r>
    </w:p>
    <w:p w14:paraId="62C0F6D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FCA9F8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 коллектив спецбюро завода № 8 («шарага» из заключенных инженеров) предложил вариант улучше</w:t>
      </w:r>
      <w:r w:rsidRPr="00C33834">
        <w:rPr>
          <w:rFonts w:ascii="Times New Roman" w:hAnsi="Times New Roman"/>
          <w:color w:val="000000" w:themeColor="text1"/>
          <w:sz w:val="16"/>
          <w:szCs w:val="16"/>
        </w:rPr>
        <w:softHyphen/>
        <w:t>ния конструкции орудия. В частности, они усилили раму орудия, немного изменили конструкцию штока тормоза от</w:t>
      </w:r>
      <w:r w:rsidRPr="00C33834">
        <w:rPr>
          <w:rFonts w:ascii="Times New Roman" w:hAnsi="Times New Roman"/>
          <w:color w:val="000000" w:themeColor="text1"/>
          <w:sz w:val="16"/>
          <w:szCs w:val="16"/>
        </w:rPr>
        <w:softHyphen/>
        <w:t>ката, ввели электроспуск, а также новый инерционный механизм полуавтоматики, который стал надежно работать, но только при стрельбе бронебойным снарядом. Иногда это улучшенное орудие называют 45-мм танковой пушкой обр. 1934 года, но этот индекс прижился только в танковых час</w:t>
      </w:r>
      <w:r w:rsidRPr="00C33834">
        <w:rPr>
          <w:rFonts w:ascii="Times New Roman" w:hAnsi="Times New Roman"/>
          <w:color w:val="000000" w:themeColor="text1"/>
          <w:sz w:val="16"/>
          <w:szCs w:val="16"/>
        </w:rPr>
        <w:softHyphen/>
        <w:t>тях, тогда как в артуправлении орудие по-прежнему называ</w:t>
      </w:r>
      <w:r w:rsidRPr="00C33834">
        <w:rPr>
          <w:rFonts w:ascii="Times New Roman" w:hAnsi="Times New Roman"/>
          <w:color w:val="000000" w:themeColor="text1"/>
          <w:sz w:val="16"/>
          <w:szCs w:val="16"/>
        </w:rPr>
        <w:softHyphen/>
        <w:t>лось «45-мм танковая пушка 20-К обр. 1932 г.» Чтобы иметь возможность отдельного учета, с 1936 г. данное орудие нача</w:t>
      </w:r>
      <w:r w:rsidRPr="00C33834">
        <w:rPr>
          <w:rFonts w:ascii="Times New Roman" w:hAnsi="Times New Roman"/>
          <w:color w:val="000000" w:themeColor="text1"/>
          <w:sz w:val="16"/>
          <w:szCs w:val="16"/>
        </w:rPr>
        <w:softHyphen/>
        <w:t>ли именовать «45-мм танковая пушка 20К обр. 1932/34 гг.». Именно эта пушка и стала наиболее массовой в отечествен</w:t>
      </w:r>
      <w:r w:rsidRPr="00C33834">
        <w:rPr>
          <w:rFonts w:ascii="Times New Roman" w:hAnsi="Times New Roman"/>
          <w:color w:val="000000" w:themeColor="text1"/>
          <w:sz w:val="16"/>
          <w:szCs w:val="16"/>
        </w:rPr>
        <w:softHyphen/>
        <w:t>ном предвоенном танкостроении. Для установки новой, «большой» башни на корпус Т-26 потребовалось внести в конструкцию танка некоторые из</w:t>
      </w:r>
      <w:r w:rsidRPr="00C33834">
        <w:rPr>
          <w:rFonts w:ascii="Times New Roman" w:hAnsi="Times New Roman"/>
          <w:color w:val="000000" w:themeColor="text1"/>
          <w:sz w:val="16"/>
          <w:szCs w:val="16"/>
        </w:rPr>
        <w:softHyphen/>
        <w:t>менения. Первоначально их было немного. Главным обра</w:t>
      </w:r>
      <w:r w:rsidRPr="00C33834">
        <w:rPr>
          <w:rFonts w:ascii="Times New Roman" w:hAnsi="Times New Roman"/>
          <w:color w:val="000000" w:themeColor="text1"/>
          <w:sz w:val="16"/>
          <w:szCs w:val="16"/>
        </w:rPr>
        <w:softHyphen/>
        <w:t>зом существовавший корпус дополнялся новым подбашен</w:t>
      </w:r>
      <w:r w:rsidRPr="00C33834">
        <w:rPr>
          <w:rFonts w:ascii="Times New Roman" w:hAnsi="Times New Roman"/>
          <w:color w:val="000000" w:themeColor="text1"/>
          <w:sz w:val="16"/>
          <w:szCs w:val="16"/>
        </w:rPr>
        <w:softHyphen/>
        <w:t>ным листом, на котором двухместная башня с малой кор</w:t>
      </w:r>
      <w:r w:rsidRPr="00C33834">
        <w:rPr>
          <w:rFonts w:ascii="Times New Roman" w:hAnsi="Times New Roman"/>
          <w:color w:val="000000" w:themeColor="text1"/>
          <w:sz w:val="16"/>
          <w:szCs w:val="16"/>
        </w:rPr>
        <w:softHyphen/>
        <w:t>мовой нишей устанавливалась сдвинутой к левому борту. Собственно, никаких других изменений первоначально выполнено не было. Однако для установки 45-мм пушки 20К в «большую» башню ее пришлось несколько переработать, так как имев</w:t>
      </w:r>
      <w:r w:rsidRPr="00C33834">
        <w:rPr>
          <w:rFonts w:ascii="Times New Roman" w:hAnsi="Times New Roman"/>
          <w:color w:val="000000" w:themeColor="text1"/>
          <w:sz w:val="16"/>
          <w:szCs w:val="16"/>
        </w:rPr>
        <w:softHyphen/>
        <w:t>шаяся оказалась все же тесноватой. В срочном порядке ОКМО разработал несколько различных вариантов новой орудийной башни. После рассмотрения предложенных мо</w:t>
      </w:r>
      <w:r w:rsidRPr="00C33834">
        <w:rPr>
          <w:rFonts w:ascii="Times New Roman" w:hAnsi="Times New Roman"/>
          <w:color w:val="000000" w:themeColor="text1"/>
          <w:sz w:val="16"/>
          <w:szCs w:val="16"/>
        </w:rPr>
        <w:softHyphen/>
        <w:t>делей руководство УММ РККА остановилось на «уравно</w:t>
      </w:r>
      <w:r w:rsidRPr="00C33834">
        <w:rPr>
          <w:rFonts w:ascii="Times New Roman" w:hAnsi="Times New Roman"/>
          <w:color w:val="000000" w:themeColor="text1"/>
          <w:sz w:val="16"/>
          <w:szCs w:val="16"/>
        </w:rPr>
        <w:softHyphen/>
        <w:t>вешенной конструкции с цельнокроеными бортами». -Эта башня во многом повторяла предыдущую, но имела разви</w:t>
      </w:r>
      <w:r w:rsidRPr="00C33834">
        <w:rPr>
          <w:rFonts w:ascii="Times New Roman" w:hAnsi="Times New Roman"/>
          <w:color w:val="000000" w:themeColor="text1"/>
          <w:sz w:val="16"/>
          <w:szCs w:val="16"/>
        </w:rPr>
        <w:softHyphen/>
        <w:t>тую кормовую нишу, которую образовывали продолжения бортовых листов. При изготовлении башни планировалось применять электросварку (хотя был разработан и чисто клепаный вариант). Самой сложной деталью в изготовле</w:t>
      </w:r>
      <w:r w:rsidRPr="00C33834">
        <w:rPr>
          <w:rFonts w:ascii="Times New Roman" w:hAnsi="Times New Roman"/>
          <w:color w:val="000000" w:themeColor="text1"/>
          <w:sz w:val="16"/>
          <w:szCs w:val="16"/>
        </w:rPr>
        <w:softHyphen/>
        <w:t>нии пушечных башен была неподвижная часть маски ору</w:t>
      </w:r>
      <w:r w:rsidRPr="00C33834">
        <w:rPr>
          <w:rFonts w:ascii="Times New Roman" w:hAnsi="Times New Roman"/>
          <w:color w:val="000000" w:themeColor="text1"/>
          <w:sz w:val="16"/>
          <w:szCs w:val="16"/>
        </w:rPr>
        <w:softHyphen/>
        <w:t>дия, выпуск которой требовал массу времени и высококва</w:t>
      </w:r>
      <w:r w:rsidRPr="00C33834">
        <w:rPr>
          <w:rFonts w:ascii="Times New Roman" w:hAnsi="Times New Roman"/>
          <w:color w:val="000000" w:themeColor="text1"/>
          <w:sz w:val="16"/>
          <w:szCs w:val="16"/>
        </w:rPr>
        <w:softHyphen/>
        <w:t>лифицированных сварщиков. Поэтому уже в конце 1933 г. предпринимаются попытки изготовить ее штамповкой в один прием, но до 1935 г. этого сделать не удавалось. Но именно эта башня принимается к производству «для установки на танк Т-26 и танк-истребитель Б-Т» (10733,216).</w:t>
      </w:r>
    </w:p>
    <w:p w14:paraId="3B56B67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A2C4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 — начале 1934 г. была спроектирована 76-мм горная пушка Курчевского (ГПК). 26 февраля 1934 г. принято решение заказать три опытных образца заводу № 38Первый образец 76-мм горной пушки Курчевского прибыл на НИАП 16 июня 1934 г. После испытаний, выявивших слабость лафета, систему отправили на завод. Второй образец ГПК прибыл на НИАП 9 июля 1935 г.</w:t>
      </w:r>
    </w:p>
    <w:p w14:paraId="67576C1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Ствол ГПК конструктивно был близок к стволу БПК, обладал такими же баллистическими данными и отличался от БПК только стреляющим приспособлением и соплом (воронкой), откидывающимся в верхнее походное положение.</w:t>
      </w:r>
    </w:p>
    <w:p w14:paraId="1FDA489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Ствол своими цапфами укладывался в цапфенные гнезда, прикрепленные к щиту, и мог находиться в верхнем или нижнем положении (к щиту приклепано две пары цапфенных гнезд).</w:t>
      </w:r>
    </w:p>
    <w:p w14:paraId="141F45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Лафет первого образца ГПК имел трубчатые станины, а второго — из стали Г-образного сечения («угловой профиль»).</w:t>
      </w:r>
    </w:p>
    <w:p w14:paraId="0EBF38F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 обоих образцов станины и шворневая лапа располагались перед щитом (с дульной стороны). Колеса деревянные.</w:t>
      </w:r>
    </w:p>
    <w:p w14:paraId="58F8F86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Подрессоривания не было. Система разбиралась на три вьюка, не считая патронных.</w:t>
      </w:r>
    </w:p>
    <w:p w14:paraId="625F5D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 комиссии:</w:t>
      </w:r>
    </w:p>
    <w:p w14:paraId="7F88DF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На основании проведенных стрельб можно считать, что меткость системы в обоих положениях одинакова и что меткость ГПК значительно лучше табличной меткости БПК и близка к табличной меткости 76-мм полковой пушки обр. 1927 г.</w:t>
      </w:r>
    </w:p>
    <w:p w14:paraId="40FBB1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Сбиваемости установки прицела после выстрела не наблюдалось. Прыжки и наброски системы не превышали 10–15 см. Разницы в устойчивости системы в обоих положениях нет.</w:t>
      </w:r>
    </w:p>
    <w:p w14:paraId="12E84B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При возке лафет недостаточно прочен.</w:t>
      </w:r>
    </w:p>
    <w:p w14:paraId="74B0818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июля 1935 г. второй экземпляр ГПК, прошедший испытания на НИАПе, был разобран и отправлен на завод № 38 вместе с отчетом об испытаниях.</w:t>
      </w:r>
    </w:p>
    <w:p w14:paraId="3265657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1935 г. заводу № 7 был выдан заказ на 30 горных пушек Курчевского, но завод не изготовил ни одной. Согласно отчету завода № 7: «…заказ не выполнен по причине непоступления от заказчика чертежей и эталонного образца» (12091).</w:t>
      </w:r>
    </w:p>
    <w:p w14:paraId="76F26F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DA10A16"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 — начале 1934 г. была спроектирована 76-мм горная пушка Курчевского (ГПК).</w:t>
      </w:r>
    </w:p>
    <w:p w14:paraId="360CD2EC"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 февраля 1934 г. принято решение заказать три опытных образца заводу № 38.</w:t>
      </w:r>
    </w:p>
    <w:p w14:paraId="250474EA"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Первый образец 76-мм горной пушки Курчевского прибыл на НИАП 16 июня 1934 г. После испытаний, выявивших слабость лафета, систему отправили на завод. Второй образец ГПК прибыл на НИАП 9 июля 1935 г.</w:t>
      </w:r>
    </w:p>
    <w:p w14:paraId="3705EBEE"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Ствол ГПК конструктивно был близок к стволу БПК, обладал такими же баллистическими данными и отличался от БПК только стреляющим приспособлением и соплом (воронкой), откидывающимся в верхнее походное положение.</w:t>
      </w:r>
    </w:p>
    <w:p w14:paraId="7938E8C4"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Ствол своими цапфами укладывался в цапфенные гнезда, прикрепленные к щиту, и мог находиться в верхнем или нижнем положении (к щиту приклепано две пары цапфенных гнезд).</w:t>
      </w:r>
    </w:p>
    <w:p w14:paraId="1746A935"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Лафет первого образца ГПК имел трубчатые станины, а второго — из стали Г-образного сечения («угловой профиль»).</w:t>
      </w:r>
    </w:p>
    <w:p w14:paraId="0CD60F6D"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 обоих образцов станины и шворневая лапа располагались перед щитом (с дульной стороны). Колеса деревянные. Подрессоривания не было. Система разбиралась на три вьюка, не считая патронных.</w:t>
      </w:r>
    </w:p>
    <w:p w14:paraId="0B1A92C8" w14:textId="77777777" w:rsidR="0047154B" w:rsidRPr="00C33834" w:rsidRDefault="0047154B" w:rsidP="00C33834">
      <w:pPr>
        <w:spacing w:after="0" w:line="240" w:lineRule="auto"/>
        <w:jc w:val="both"/>
        <w:rPr>
          <w:rFonts w:ascii="Times New Roman" w:hAnsi="Times New Roman"/>
          <w:bCs/>
          <w:color w:val="000000" w:themeColor="text1"/>
          <w:sz w:val="16"/>
          <w:szCs w:val="16"/>
        </w:rPr>
      </w:pPr>
      <w:bookmarkStart w:id="58" w:name="label52"/>
      <w:bookmarkStart w:id="59" w:name="label53"/>
      <w:bookmarkEnd w:id="58"/>
      <w:bookmarkEnd w:id="59"/>
      <w:r w:rsidRPr="00C33834">
        <w:rPr>
          <w:rFonts w:ascii="Times New Roman" w:hAnsi="Times New Roman"/>
          <w:bCs/>
          <w:color w:val="000000" w:themeColor="text1"/>
          <w:sz w:val="16"/>
          <w:szCs w:val="16"/>
        </w:rPr>
        <w:t>Результаты испытаний ГПК</w:t>
      </w:r>
    </w:p>
    <w:p w14:paraId="157DAF64" w14:textId="77777777" w:rsidR="0047154B" w:rsidRPr="00C33834" w:rsidRDefault="0047154B" w:rsidP="00C33834">
      <w:pPr>
        <w:spacing w:after="0" w:line="240" w:lineRule="auto"/>
        <w:jc w:val="both"/>
        <w:rPr>
          <w:rFonts w:ascii="Times New Roman" w:hAnsi="Times New Roman"/>
          <w:bCs/>
          <w:color w:val="000000" w:themeColor="text1"/>
          <w:sz w:val="16"/>
          <w:szCs w:val="16"/>
        </w:rPr>
      </w:pPr>
      <w:bookmarkStart w:id="60" w:name="label54"/>
      <w:bookmarkEnd w:id="60"/>
      <w:r w:rsidRPr="00C33834">
        <w:rPr>
          <w:rFonts w:ascii="Times New Roman" w:hAnsi="Times New Roman"/>
          <w:bCs/>
          <w:color w:val="000000" w:themeColor="text1"/>
          <w:sz w:val="16"/>
          <w:szCs w:val="16"/>
          <w:vertAlign w:val="superscript"/>
        </w:rPr>
        <w:t>Снаряд …… Вес снаряда, кг / Заряд / Дальность, м / Угол, град.</w:t>
      </w:r>
    </w:p>
    <w:p w14:paraId="11BE53AA"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Штатная граната …… 6,5 / 0,95 кг ПКО / — / —</w:t>
      </w:r>
    </w:p>
    <w:p w14:paraId="4D9C6D69"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Осколочная граната черт. 2-01129 с КТ-1 …… 4,72 / 1,06 кг ПКО / 7461 / 45°</w:t>
      </w:r>
    </w:p>
    <w:p w14:paraId="051E2805"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Заключение комиссии:</w:t>
      </w:r>
    </w:p>
    <w:p w14:paraId="70F1F73E"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На основании проведенных стрельб можно считать, что меткость системы в обоих положениях одинакова и что меткость ГПК значительно лучше табличной меткости БПК и близка к табличной меткости 76-мм полковой пушки обр. 1927 г.</w:t>
      </w:r>
    </w:p>
    <w:p w14:paraId="0DA704E8"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Сбиваемость установки прицела после выстрела не наблюдалась. Прыжки и наброски системы не превышали 10-15 см. Разницы в устойчивости системы в обоих положениях нет.</w:t>
      </w:r>
    </w:p>
    <w:p w14:paraId="5B73E3AA"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При возке лафет недостаточно прочен.</w:t>
      </w:r>
    </w:p>
    <w:p w14:paraId="07F1D11F"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 июля 1935 г. второй экземпляр ГПК, прошедший испытания на НИАПе, был разобран и отправлен на завод № 38 вместе с отчетом об испытаниях.</w:t>
      </w:r>
    </w:p>
    <w:p w14:paraId="62F03600"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1935 г. заводу № 7 был выдан заказ на 30 горных пушек Курчевского, но завод не изготовил ни одной. Согласно отчету завода № 7: «…заказ не выполнен по причине непоступления от заказчика чертежей и эталонного образца».</w:t>
      </w:r>
    </w:p>
    <w:p w14:paraId="3454907E"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план работ на 1935 г. Курчевский включил себе разработку 107-мм горной гаубицы ГПК-107. В 1935 г. планировалось изготовить два опытных образца.</w:t>
      </w:r>
    </w:p>
    <w:p w14:paraId="2B37FA3B" w14:textId="77777777" w:rsidR="0047154B" w:rsidRPr="00C33834" w:rsidRDefault="0047154B" w:rsidP="00C33834">
      <w:pPr>
        <w:spacing w:after="0" w:line="240" w:lineRule="auto"/>
        <w:jc w:val="both"/>
        <w:rPr>
          <w:rFonts w:ascii="Times New Roman" w:hAnsi="Times New Roman"/>
          <w:bCs/>
          <w:color w:val="000000" w:themeColor="text1"/>
          <w:sz w:val="16"/>
          <w:szCs w:val="16"/>
        </w:rPr>
      </w:pPr>
      <w:bookmarkStart w:id="61" w:name="label55"/>
      <w:bookmarkStart w:id="62" w:name="label56"/>
      <w:bookmarkEnd w:id="61"/>
      <w:bookmarkEnd w:id="62"/>
      <w:r w:rsidRPr="00C33834">
        <w:rPr>
          <w:rFonts w:ascii="Times New Roman" w:hAnsi="Times New Roman"/>
          <w:bCs/>
          <w:color w:val="000000" w:themeColor="text1"/>
          <w:sz w:val="16"/>
          <w:szCs w:val="16"/>
        </w:rPr>
        <w:t>Данные двух опытных образцов ГПК</w:t>
      </w:r>
    </w:p>
    <w:p w14:paraId="1D8775B7" w14:textId="77777777" w:rsidR="0047154B" w:rsidRPr="00C33834" w:rsidRDefault="0047154B" w:rsidP="00C33834">
      <w:pPr>
        <w:spacing w:after="0" w:line="240" w:lineRule="auto"/>
        <w:jc w:val="both"/>
        <w:rPr>
          <w:rFonts w:ascii="Times New Roman" w:hAnsi="Times New Roman"/>
          <w:bCs/>
          <w:color w:val="000000" w:themeColor="text1"/>
          <w:sz w:val="16"/>
          <w:szCs w:val="16"/>
        </w:rPr>
      </w:pPr>
      <w:bookmarkStart w:id="63" w:name="label57"/>
      <w:bookmarkEnd w:id="63"/>
      <w:r w:rsidRPr="00C33834">
        <w:rPr>
          <w:rFonts w:ascii="Times New Roman" w:hAnsi="Times New Roman"/>
          <w:bCs/>
          <w:color w:val="000000" w:themeColor="text1"/>
          <w:sz w:val="16"/>
          <w:szCs w:val="16"/>
          <w:vertAlign w:val="superscript"/>
        </w:rPr>
        <w:t>(Образец …… 1-й — 2-й)</w:t>
      </w:r>
    </w:p>
    <w:p w14:paraId="70BB9D82"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Калибр, мм …… 76,2 — 76,2</w:t>
      </w:r>
    </w:p>
    <w:p w14:paraId="68966E9F"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ствола с воронкой, откинутой вверх, мм/клб …… 1625/21,4 — 1625/21,4</w:t>
      </w:r>
    </w:p>
    <w:p w14:paraId="6E1EC744"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Диаметр сопла (внутренний), мм …… 60,87 — 63,68</w:t>
      </w:r>
    </w:p>
    <w:p w14:paraId="2DCF5F0F"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Угол ВГ, град.: </w:t>
      </w:r>
    </w:p>
    <w:p w14:paraId="077E96E6"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верхнем положении …… 5°15';+12°30' — -32°;+40°15'</w:t>
      </w:r>
    </w:p>
    <w:p w14:paraId="1E6F9DDE"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нижнем положении …… -32°;+39° - — -5°30';+13°12'</w:t>
      </w:r>
    </w:p>
    <w:p w14:paraId="3B081CD9"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Угол ГН, град. …… ±7°12' — ±7°15'</w:t>
      </w:r>
    </w:p>
    <w:p w14:paraId="41478A72"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линии огня, мм: в верхнем боевом положении …… 1450 — 1450</w:t>
      </w:r>
    </w:p>
    <w:p w14:paraId="70971A8B"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нижнем боевом положении …… 650 — 650</w:t>
      </w:r>
    </w:p>
    <w:p w14:paraId="6FE22C3F"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сложенного станка, мм …… 1400 — 1400</w:t>
      </w:r>
    </w:p>
    <w:p w14:paraId="52C86080"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системы на колесном ходу, мм …… 2490 — 2490</w:t>
      </w:r>
    </w:p>
    <w:p w14:paraId="6C2AF2D4"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Ширина системы, мм …… 1120 — 1120</w:t>
      </w:r>
    </w:p>
    <w:p w14:paraId="46B2912C"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Ширина хода, мм …… 1020 — 1020</w:t>
      </w:r>
    </w:p>
    <w:p w14:paraId="4B781D06"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Клиренс, мм …… 230 — 230</w:t>
      </w:r>
    </w:p>
    <w:p w14:paraId="59FE596D"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орудия с воронкой, но без прицела, кг …… 104 — 96</w:t>
      </w:r>
    </w:p>
    <w:p w14:paraId="0DB99A2B"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орудия с воронкой и прицелом, кг …… 108,16 — —</w:t>
      </w:r>
    </w:p>
    <w:p w14:paraId="245C28DB"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системы в боевом положении, кг …… 224 — 237</w:t>
      </w:r>
    </w:p>
    <w:p w14:paraId="7E982D1A"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вьюков</w:t>
      </w:r>
    </w:p>
    <w:p w14:paraId="2F072C97"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Вьюк со стволом, кг …… Без седла 96 — С седлом 122</w:t>
      </w:r>
    </w:p>
    <w:p w14:paraId="4146774B"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Вьюк со станком, соплом и парой колес с полуосями, кг …… 72,5 — 106,5</w:t>
      </w:r>
    </w:p>
    <w:p w14:paraId="475B5B4D"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Вьюк со щитом, кг …… 75,5 — 106,0</w:t>
      </w:r>
    </w:p>
    <w:p w14:paraId="16CA77C3"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Вьюк с 8 патронами, кг …… 92,5 — 103,5 </w:t>
      </w:r>
    </w:p>
    <w:p w14:paraId="70611EB2" w14:textId="77777777" w:rsidR="0047154B" w:rsidRPr="00C33834" w:rsidRDefault="0047154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перехода из верхнего положения в нижнее, с …… 1,0-1,5 — 1,0-1,5 (15117).</w:t>
      </w:r>
    </w:p>
    <w:p w14:paraId="58E38EF8" w14:textId="77777777" w:rsidR="0047154B" w:rsidRPr="00C33834" w:rsidRDefault="0047154B" w:rsidP="00C33834">
      <w:pPr>
        <w:spacing w:after="0" w:line="240" w:lineRule="auto"/>
        <w:jc w:val="both"/>
        <w:rPr>
          <w:rFonts w:ascii="Times New Roman" w:hAnsi="Times New Roman"/>
          <w:color w:val="000000" w:themeColor="text1"/>
          <w:sz w:val="16"/>
          <w:szCs w:val="16"/>
        </w:rPr>
      </w:pPr>
    </w:p>
    <w:p w14:paraId="2CF0A71F" w14:textId="77777777" w:rsidR="001B11E8" w:rsidRPr="00C33834" w:rsidRDefault="001B11E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 батарею из трёх транспортёров ТМ-1-14 перевели из Ленинграда во Владивосток. Переброска проходила в чрезвычайно тяжёлых условиях. Перегон производился по маршруту Ленинград-Вологда-Пермь-Омск-Красноярск-Ир-кутск-Чита-Хабаровск-Владивосток (15132).</w:t>
      </w:r>
    </w:p>
    <w:p w14:paraId="274820BD" w14:textId="77777777" w:rsidR="001B11E8" w:rsidRPr="00C33834" w:rsidRDefault="001B11E8" w:rsidP="00C33834">
      <w:pPr>
        <w:spacing w:after="0" w:line="240" w:lineRule="auto"/>
        <w:jc w:val="both"/>
        <w:rPr>
          <w:rFonts w:ascii="Times New Roman" w:hAnsi="Times New Roman"/>
          <w:color w:val="000000" w:themeColor="text1"/>
          <w:sz w:val="16"/>
          <w:szCs w:val="16"/>
        </w:rPr>
      </w:pPr>
    </w:p>
    <w:p w14:paraId="151CA94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конце 1933 г. предпринимаются попытки изготовить штамповкой в один прием башни под 45мм пушку для БИ и Т-26, разработанную ОКМО, но до 1935 г. этого сделать не удавалось. Но именно эта башня принимается к производству «для установки на танк Т-26 и танк-истребитель Б-Т» (10733,216).</w:t>
      </w:r>
    </w:p>
    <w:p w14:paraId="079718F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A534C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 на заводе № 185 им. Кирова под руковод</w:t>
      </w:r>
      <w:r w:rsidRPr="00C33834">
        <w:rPr>
          <w:rFonts w:ascii="Times New Roman" w:hAnsi="Times New Roman"/>
          <w:color w:val="000000" w:themeColor="text1"/>
          <w:sz w:val="16"/>
          <w:szCs w:val="16"/>
        </w:rPr>
        <w:softHyphen/>
        <w:t>ством начальника конструкторской группы (позднее — отде</w:t>
      </w:r>
      <w:r w:rsidRPr="00C33834">
        <w:rPr>
          <w:rFonts w:ascii="Times New Roman" w:hAnsi="Times New Roman"/>
          <w:color w:val="000000" w:themeColor="text1"/>
          <w:sz w:val="16"/>
          <w:szCs w:val="16"/>
        </w:rPr>
        <w:softHyphen/>
        <w:t>ла) по самоходной артиллерии П.Н. Сячинтова при общем руководстве С.А. Гинзбурга начались работы по созданию танка артиллерийской поддержки большой мощности на ба</w:t>
      </w:r>
      <w:r w:rsidRPr="00C33834">
        <w:rPr>
          <w:rFonts w:ascii="Times New Roman" w:hAnsi="Times New Roman"/>
          <w:color w:val="000000" w:themeColor="text1"/>
          <w:sz w:val="16"/>
          <w:szCs w:val="16"/>
        </w:rPr>
        <w:softHyphen/>
        <w:t>зе Т-26. Этот танк получил обозначение АТ-1 (артиллерий</w:t>
      </w:r>
      <w:r w:rsidRPr="00C33834">
        <w:rPr>
          <w:rFonts w:ascii="Times New Roman" w:hAnsi="Times New Roman"/>
          <w:color w:val="000000" w:themeColor="text1"/>
          <w:sz w:val="16"/>
          <w:szCs w:val="16"/>
        </w:rPr>
        <w:softHyphen/>
        <w:t>ский танк первый) и представлял собой попытку значитель</w:t>
      </w:r>
      <w:r w:rsidRPr="00C33834">
        <w:rPr>
          <w:rFonts w:ascii="Times New Roman" w:hAnsi="Times New Roman"/>
          <w:color w:val="000000" w:themeColor="text1"/>
          <w:sz w:val="16"/>
          <w:szCs w:val="16"/>
        </w:rPr>
        <w:softHyphen/>
        <w:t>но улучшить характеристики СУ-1 и при значительно мень</w:t>
      </w:r>
      <w:r w:rsidRPr="00C33834">
        <w:rPr>
          <w:rFonts w:ascii="Times New Roman" w:hAnsi="Times New Roman"/>
          <w:color w:val="000000" w:themeColor="text1"/>
          <w:sz w:val="16"/>
          <w:szCs w:val="16"/>
        </w:rPr>
        <w:softHyphen/>
        <w:t>шей, чем Т-26-4, цене получить мощную САУ, одинаково пригодную для решения всех задач, поставленных перед ар</w:t>
      </w:r>
      <w:r w:rsidRPr="00C33834">
        <w:rPr>
          <w:rFonts w:ascii="Times New Roman" w:hAnsi="Times New Roman"/>
          <w:color w:val="000000" w:themeColor="text1"/>
          <w:sz w:val="16"/>
          <w:szCs w:val="16"/>
        </w:rPr>
        <w:softHyphen/>
        <w:t>тиллерией сопровождения пехоты и усиления танковых войск. Предполагалось, что новая машина поступит на заме</w:t>
      </w:r>
      <w:r w:rsidRPr="00C33834">
        <w:rPr>
          <w:rFonts w:ascii="Times New Roman" w:hAnsi="Times New Roman"/>
          <w:color w:val="000000" w:themeColor="text1"/>
          <w:sz w:val="16"/>
          <w:szCs w:val="16"/>
        </w:rPr>
        <w:softHyphen/>
        <w:t>ну танку Т-26-4, серийный выпуск которьюго никак не уда</w:t>
      </w:r>
      <w:r w:rsidRPr="00C33834">
        <w:rPr>
          <w:rFonts w:ascii="Times New Roman" w:hAnsi="Times New Roman"/>
          <w:color w:val="000000" w:themeColor="text1"/>
          <w:sz w:val="16"/>
          <w:szCs w:val="16"/>
        </w:rPr>
        <w:softHyphen/>
        <w:t>валось развернуть. Кроме того, АТ-1 выглядел особенно привлекательно для действий в составе пехотных частей.</w:t>
      </w:r>
    </w:p>
    <w:p w14:paraId="3EE5FAC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Специально для вооружения АТ-1 П.Н. Сячинтов спроектировал 76,2-мм полуавтоматическую пушку ПС-3 с прогрессивной нарезкой. Эта артсистема представляла со</w:t>
      </w:r>
      <w:r w:rsidRPr="00C33834">
        <w:rPr>
          <w:rFonts w:ascii="Times New Roman" w:hAnsi="Times New Roman"/>
          <w:color w:val="000000" w:themeColor="text1"/>
          <w:sz w:val="16"/>
          <w:szCs w:val="16"/>
        </w:rPr>
        <w:softHyphen/>
        <w:t>бой специальное танковое орудие с баллистикой, близкой баллистике 76,2-мм полевой пушки обр. 1902 г. при значи</w:t>
      </w:r>
      <w:r w:rsidRPr="00C33834">
        <w:rPr>
          <w:rFonts w:ascii="Times New Roman" w:hAnsi="Times New Roman"/>
          <w:color w:val="000000" w:themeColor="text1"/>
          <w:sz w:val="16"/>
          <w:szCs w:val="16"/>
        </w:rPr>
        <w:softHyphen/>
        <w:t>тельно более коротком стволе. Во всяком случае, она по</w:t>
      </w:r>
      <w:r w:rsidRPr="00C33834">
        <w:rPr>
          <w:rFonts w:ascii="Times New Roman" w:hAnsi="Times New Roman"/>
          <w:color w:val="000000" w:themeColor="text1"/>
          <w:sz w:val="16"/>
          <w:szCs w:val="16"/>
        </w:rPr>
        <w:softHyphen/>
        <w:t>требляла выстрелы от указанного орудия и при длине ство</w:t>
      </w:r>
      <w:r w:rsidRPr="00C33834">
        <w:rPr>
          <w:rFonts w:ascii="Times New Roman" w:hAnsi="Times New Roman"/>
          <w:color w:val="000000" w:themeColor="text1"/>
          <w:sz w:val="16"/>
          <w:szCs w:val="16"/>
        </w:rPr>
        <w:softHyphen/>
        <w:t>ла в 20 калибров могла выпускать 6,5-кг снаряды с началь</w:t>
      </w:r>
      <w:r w:rsidRPr="00C33834">
        <w:rPr>
          <w:rFonts w:ascii="Times New Roman" w:hAnsi="Times New Roman"/>
          <w:color w:val="000000" w:themeColor="text1"/>
          <w:sz w:val="16"/>
          <w:szCs w:val="16"/>
        </w:rPr>
        <w:softHyphen/>
        <w:t>ной скоростью свыше 520 м/с.</w:t>
      </w:r>
    </w:p>
    <w:p w14:paraId="17D35BC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завершении проектных работ и заседания макетной комиссии было принято решение об изготовлении третьего варианта с установкой вооружения в надстройке корпуса машины без вращающейся и полувращающейся башни. Как уже говорилось, артиллерийская часть АТ-1 представ</w:t>
      </w:r>
      <w:r w:rsidRPr="00C33834">
        <w:rPr>
          <w:rFonts w:ascii="Times New Roman" w:hAnsi="Times New Roman"/>
          <w:color w:val="000000" w:themeColor="text1"/>
          <w:sz w:val="16"/>
          <w:szCs w:val="16"/>
        </w:rPr>
        <w:softHyphen/>
        <w:t>ляла собой 76,2-мм полуавтоматическую танковую пушку ПС-3, установленную на тумбе. Установка пушки ПС-3 позволяла вести огонь в пределах горизонтального угла ± 20°, угол наведения ПС-3 по вертикали составлял -5° ... +45°. Кроме пушки в состав вооружения АТ-1 входил обо</w:t>
      </w:r>
      <w:r w:rsidRPr="00C33834">
        <w:rPr>
          <w:rFonts w:ascii="Times New Roman" w:hAnsi="Times New Roman"/>
          <w:color w:val="000000" w:themeColor="text1"/>
          <w:sz w:val="16"/>
          <w:szCs w:val="16"/>
        </w:rPr>
        <w:softHyphen/>
        <w:t>ронительный пулемет в шаровом яблоке лобового листа (позднее вооружение было дополнено еще одним 7,62-мм «запасным» пулеметом ДТ). Боекомплект орудия составлял 30 выстрелов в нижних укладках, 4 выстрела возле орудия и 29 магазинов (1827 патронов) к пулеметам ДТ. Для вхо</w:t>
      </w:r>
      <w:r w:rsidRPr="00C33834">
        <w:rPr>
          <w:rFonts w:ascii="Times New Roman" w:hAnsi="Times New Roman"/>
          <w:color w:val="000000" w:themeColor="text1"/>
          <w:sz w:val="16"/>
          <w:szCs w:val="16"/>
        </w:rPr>
        <w:softHyphen/>
        <w:t>да/выхода экипажа в крыше рубки были предусмотрены два люка. Кроме того, для лучшего обзора местности и ускоре</w:t>
      </w:r>
      <w:r w:rsidRPr="00C33834">
        <w:rPr>
          <w:rFonts w:ascii="Times New Roman" w:hAnsi="Times New Roman"/>
          <w:color w:val="000000" w:themeColor="text1"/>
          <w:sz w:val="16"/>
          <w:szCs w:val="16"/>
        </w:rPr>
        <w:softHyphen/>
        <w:t>ния загрузки боекомплекта и лучшей вентиляции боевого отделения при интенсивной стрельбе с закрытых позиций верхняя часть бортов и кормы рубки могла откидываться на петлях. Двигатель, трансмиссия и ходовая часть САУ пол</w:t>
      </w:r>
      <w:r w:rsidRPr="00C33834">
        <w:rPr>
          <w:rFonts w:ascii="Times New Roman" w:hAnsi="Times New Roman"/>
          <w:color w:val="000000" w:themeColor="text1"/>
          <w:sz w:val="16"/>
          <w:szCs w:val="16"/>
        </w:rPr>
        <w:softHyphen/>
        <w:t>ностью заимствовались от линейного танка Т-26 (11417).</w:t>
      </w:r>
    </w:p>
    <w:p w14:paraId="2274717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32382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года в Артиллерийской академии (г. Ленинград) под руководством А.А. Толочкова был разработан проект 152-мм самоходной береговой установки на специальном гусеничном шасси, сделанном из агрегатов и деталей танка Т-28. При переходе из походного положения в боевое корпус опускался на землю, а гусеничная часть поднималась так, что вся установка становилась на специальный поддон с роликовым погоном. На нем установка через муфту Дженни могла плавно вращаться со скоростью 10 град/с. Таким образом, установка имела круговой обстрел. Вертикальное наведение также производилось с помощью муфты Дженни. Установка не имела вспомогательных двигателей, а приводы работали от основного двигателя шасси. Качающаяся часть была взята от пушки Б-10 с небольшими изменениями: перенесены назад цапфы и введен уравновешивающий механизм. Заряжание картузное. Угол заряжания постоянный. Досылка с помощью механического досылателя. Низкая высота линии огня (1500 мм) и наличие брони толщиной от 8 до 20 мм обеспечивали хорошую маскировку и удовлетворительную защиту экипажа от пуль и осколков. Вес системы около 50 т. Двигатель мощностью 400 л.с. обеспечивал движение по грунтовой дороге со скоростью до 20 км/час. Удельное давление гусениц на грунт составляло от 0,8 до 1 кг/см2. Экипаж установки 6 человек. Время перехода их походного положения в боевое или обратно от 2-х до 3-х минут. Габариты установки: длина 10 м, ширина 4 м, высота в походном положении 2,9 м, а в боевом 2,55 м, клиренс 0,28 м. К сожалению этот интересный и вполне осуществимый проект остался на бумаге (3861).</w:t>
      </w:r>
    </w:p>
    <w:p w14:paraId="69A0FA0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FA57BF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конце 1933 г. вернулись к разработке корпусного триплекса, когда бюро самоходной артиллерии завода № 185 предъявило к рассмотрению проект 152,4-мм морти</w:t>
      </w:r>
      <w:r w:rsidRPr="00C33834">
        <w:rPr>
          <w:rFonts w:ascii="Times New Roman" w:hAnsi="Times New Roman"/>
          <w:color w:val="000000" w:themeColor="text1"/>
          <w:sz w:val="16"/>
          <w:szCs w:val="16"/>
        </w:rPr>
        <w:softHyphen/>
        <w:t>ры обр. 1931 г. (НМ) на шасси среднего танка Т-28. При ус</w:t>
      </w:r>
      <w:r w:rsidRPr="00C33834">
        <w:rPr>
          <w:rFonts w:ascii="Times New Roman" w:hAnsi="Times New Roman"/>
          <w:color w:val="000000" w:themeColor="text1"/>
          <w:sz w:val="16"/>
          <w:szCs w:val="16"/>
        </w:rPr>
        <w:softHyphen/>
        <w:t>тановке мортиры с танка должны были быть демонтированы башни и подбашенная коробка, вместо которых предлага</w:t>
      </w:r>
      <w:r w:rsidRPr="00C33834">
        <w:rPr>
          <w:rFonts w:ascii="Times New Roman" w:hAnsi="Times New Roman"/>
          <w:color w:val="000000" w:themeColor="text1"/>
          <w:sz w:val="16"/>
          <w:szCs w:val="16"/>
        </w:rPr>
        <w:softHyphen/>
        <w:t>лось установить шестигранный открытый сверху броне-ящик, в котором на поперечной клепаной балке на штыре</w:t>
      </w:r>
      <w:r w:rsidRPr="00C33834">
        <w:rPr>
          <w:rFonts w:ascii="Times New Roman" w:hAnsi="Times New Roman"/>
          <w:color w:val="000000" w:themeColor="text1"/>
          <w:sz w:val="16"/>
          <w:szCs w:val="16"/>
        </w:rPr>
        <w:softHyphen/>
        <w:t>вом станке крепилась вращающаяся часть 152-мм мортиры за 10-мм щитом. Передний лист бронекоробки содержал две шаровые установки пулеметов БТ, которые можно было бы использовать при самообороне САУ на марше.</w:t>
      </w:r>
    </w:p>
    <w:p w14:paraId="6A90C7B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 как качающаяся часть установки использовалась без каких бы то ни было изменений, то она позволяла вести огонь из мортиры в секторе ± 30° с углами вертикального наведения от 0 до +73°. Боевая масса САУ достигала 18т.</w:t>
      </w:r>
    </w:p>
    <w:p w14:paraId="4F4B427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Предполагалось, что при необходимости качающаяся часть 152-мм мортиры легко будет заменена 122-мм гауби</w:t>
      </w:r>
      <w:r w:rsidRPr="00C33834">
        <w:rPr>
          <w:rFonts w:ascii="Times New Roman" w:hAnsi="Times New Roman"/>
          <w:color w:val="000000" w:themeColor="text1"/>
          <w:sz w:val="16"/>
          <w:szCs w:val="16"/>
        </w:rPr>
        <w:softHyphen/>
        <w:t>цей или же 107-мм пушкой с дульным тормозом.</w:t>
      </w:r>
    </w:p>
    <w:p w14:paraId="154116B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ряду источников началось даже изготовление опыт</w:t>
      </w:r>
      <w:r w:rsidRPr="00C33834">
        <w:rPr>
          <w:rFonts w:ascii="Times New Roman" w:hAnsi="Times New Roman"/>
          <w:color w:val="000000" w:themeColor="text1"/>
          <w:sz w:val="16"/>
          <w:szCs w:val="16"/>
        </w:rPr>
        <w:softHyphen/>
        <w:t>ного образца САУ, но после уточнения ТТТ и подсчета за</w:t>
      </w:r>
      <w:r w:rsidRPr="00C33834">
        <w:rPr>
          <w:rFonts w:ascii="Times New Roman" w:hAnsi="Times New Roman"/>
          <w:color w:val="000000" w:themeColor="text1"/>
          <w:sz w:val="16"/>
          <w:szCs w:val="16"/>
        </w:rPr>
        <w:softHyphen/>
        <w:t>трат предпочтение было отдано в пользу такой же машины, но на шасси танка Т-26 (11417).</w:t>
      </w:r>
    </w:p>
    <w:p w14:paraId="7D1205C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74C1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КБ Т-2О ХПЗ было занято установкой на БТ-5 дизеля БД-2 и двигателя М-17, поэтому комплект чертежей опытного БТ-7 изготовили лишь в марте 1934 (3881,3).</w:t>
      </w:r>
    </w:p>
    <w:p w14:paraId="1531BCF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02A8CB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 было принято решение о спешной разработке нового колесно-гусеничного плавающего танка «для разведподразделений мотомехвойск» для замены Т-37А. Изначально переброску Т-37А планировалось проводить в кузовах грузовиков, но ни ЗИС, ни ЯАЗ таких грузовиков в СССР в начале 1930-х в се</w:t>
      </w:r>
      <w:r w:rsidRPr="00C33834">
        <w:rPr>
          <w:rFonts w:ascii="Times New Roman" w:hAnsi="Times New Roman"/>
          <w:color w:val="000000" w:themeColor="text1"/>
          <w:sz w:val="16"/>
          <w:szCs w:val="16"/>
        </w:rPr>
        <w:softHyphen/>
        <w:t>рии не освоили. Попытки же осуществлять переброску тан</w:t>
      </w:r>
      <w:r w:rsidRPr="00C33834">
        <w:rPr>
          <w:rFonts w:ascii="Times New Roman" w:hAnsi="Times New Roman"/>
          <w:color w:val="000000" w:themeColor="text1"/>
          <w:sz w:val="16"/>
          <w:szCs w:val="16"/>
        </w:rPr>
        <w:softHyphen/>
        <w:t>ков, входивших в состав мехбригад и мехкорпусов, своим ходом приводили к массовому выходу машин из строя по причине поломок в ходовой части и перегрева двигателя (10733,289).</w:t>
      </w:r>
    </w:p>
    <w:p w14:paraId="6B66466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A73D59" w14:textId="77777777" w:rsidR="00150B9C" w:rsidRPr="00C33834" w:rsidRDefault="00150B9C" w:rsidP="00C33834">
      <w:pPr>
        <w:pStyle w:val="ae"/>
        <w:shd w:val="clear" w:color="auto" w:fill="FFFFFF"/>
        <w:spacing w:before="0" w:after="0"/>
        <w:jc w:val="both"/>
        <w:rPr>
          <w:color w:val="000000" w:themeColor="text1"/>
          <w:sz w:val="16"/>
          <w:szCs w:val="16"/>
        </w:rPr>
      </w:pPr>
      <w:r w:rsidRPr="00C33834">
        <w:rPr>
          <w:color w:val="000000" w:themeColor="text1"/>
          <w:sz w:val="16"/>
          <w:szCs w:val="16"/>
        </w:rPr>
        <w:t>В конце 1933 года работами по Т-29 руководил Н.А. Астров. Между тем, у Авто-танкового бюро (АТБ) ЭКУ ОГПУ, находившегося в Москве, не имелось достаточных мощностей ни для постройки Т-29, ни для ПТ-1А. С ноября 1933 года к работе по этой теме начинает привлекаться ОКМО. 19 ноября 1933 года опытный завод получил задачу изготовить для вышеперечисленных танков коробки передач, бортовые передачи и другие элементы трансмиссии. Многие детали изготавливались на заводе «Красный Путиловец», позже ставший Кировским заводом. Между ОКМО и АТБ ЭКУ ОГПУ началась плотная переписка</w:t>
      </w:r>
      <w:r w:rsidRPr="00C33834">
        <w:rPr>
          <w:iCs/>
          <w:color w:val="000000" w:themeColor="text1"/>
          <w:sz w:val="16"/>
          <w:szCs w:val="16"/>
        </w:rPr>
        <w:t xml:space="preserve"> (17708).</w:t>
      </w:r>
    </w:p>
    <w:p w14:paraId="23E96310" w14:textId="77777777" w:rsidR="00150B9C" w:rsidRPr="00C33834" w:rsidRDefault="00150B9C" w:rsidP="00C33834">
      <w:pPr>
        <w:spacing w:after="0" w:line="240" w:lineRule="auto"/>
        <w:jc w:val="both"/>
        <w:rPr>
          <w:rFonts w:ascii="Times New Roman" w:eastAsia="Times New Roman" w:hAnsi="Times New Roman"/>
          <w:color w:val="000000" w:themeColor="text1"/>
          <w:sz w:val="16"/>
          <w:szCs w:val="16"/>
          <w:lang w:eastAsia="ru-RU"/>
        </w:rPr>
      </w:pPr>
    </w:p>
    <w:p w14:paraId="4B8A2D96" w14:textId="77777777" w:rsidR="001B11E8" w:rsidRPr="00C33834" w:rsidRDefault="001B11E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конце 1933 г. было принято решение о спешной разработке нового колесно-гусеничного плавающего </w:t>
      </w:r>
      <w:hyperlink r:id="rId423"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а «для разведподразделений мотомехвойск» (15621).</w:t>
      </w:r>
    </w:p>
    <w:p w14:paraId="0F03A5FE" w14:textId="77777777" w:rsidR="001B11E8" w:rsidRPr="00C33834" w:rsidRDefault="001B11E8" w:rsidP="00C33834">
      <w:pPr>
        <w:spacing w:after="0" w:line="240" w:lineRule="auto"/>
        <w:jc w:val="both"/>
        <w:rPr>
          <w:rFonts w:ascii="Times New Roman" w:hAnsi="Times New Roman"/>
          <w:color w:val="000000" w:themeColor="text1"/>
          <w:sz w:val="16"/>
          <w:szCs w:val="16"/>
        </w:rPr>
      </w:pPr>
    </w:p>
    <w:p w14:paraId="1A03B43A" w14:textId="77777777" w:rsidR="001B11E8" w:rsidRPr="00C33834" w:rsidRDefault="001B11E8" w:rsidP="00C33834">
      <w:pPr>
        <w:pStyle w:val="a3"/>
        <w:rPr>
          <w:color w:val="000000" w:themeColor="text1"/>
          <w:lang w:val="ru-RU"/>
        </w:rPr>
      </w:pPr>
      <w:r w:rsidRPr="00C33834">
        <w:rPr>
          <w:color w:val="000000" w:themeColor="text1"/>
          <w:lang w:val="ru-RU"/>
        </w:rPr>
        <w:t>В конце 1933 года «хозяйство» ОКБ ГАУ полностью перебралось на тер</w:t>
      </w:r>
      <w:r w:rsidRPr="00C33834">
        <w:rPr>
          <w:color w:val="000000" w:themeColor="text1"/>
          <w:lang w:val="ru-RU"/>
        </w:rPr>
        <w:softHyphen/>
        <w:t>риторию завода №38. Он располагался вблизи артзавода №8, что, вероятно, и явилось причиной повышенного внимания к нему со стороны Курчевского. Там же, неподале</w:t>
      </w:r>
      <w:r w:rsidRPr="00C33834">
        <w:rPr>
          <w:color w:val="000000" w:themeColor="text1"/>
          <w:lang w:val="ru-RU"/>
        </w:rPr>
        <w:softHyphen/>
        <w:t>ку, оборудовали полигон и аэродром, с которого летали и проводили отдельные испытания (15742).</w:t>
      </w:r>
    </w:p>
    <w:p w14:paraId="1B25DC54" w14:textId="77777777" w:rsidR="001B11E8" w:rsidRPr="00C33834" w:rsidRDefault="001B11E8" w:rsidP="00C33834">
      <w:pPr>
        <w:pStyle w:val="a3"/>
        <w:rPr>
          <w:color w:val="000000" w:themeColor="text1"/>
          <w:lang w:val="ru-RU"/>
        </w:rPr>
      </w:pPr>
    </w:p>
    <w:p w14:paraId="1682526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года для сопровождения производства танка Т-28 на заводе “Красный путиловец” было создано специальное конструкторское бюро СКБ-2 во главе с О. Ивановым, до того — ведущим ин</w:t>
      </w:r>
      <w:r w:rsidRPr="00C33834">
        <w:rPr>
          <w:rFonts w:ascii="Times New Roman" w:hAnsi="Times New Roman"/>
          <w:color w:val="000000" w:themeColor="text1"/>
          <w:sz w:val="16"/>
          <w:szCs w:val="16"/>
        </w:rPr>
        <w:softHyphen/>
        <w:t>женером ОКМО. На первых порах новое КБ трудилось под надзором КБ завода Спецмаштреста им. Кирова (бывший ОКМО завода им. Ворошилова). Почти все первые доработ</w:t>
      </w:r>
      <w:r w:rsidRPr="00C33834">
        <w:rPr>
          <w:rFonts w:ascii="Times New Roman" w:hAnsi="Times New Roman"/>
          <w:color w:val="000000" w:themeColor="text1"/>
          <w:sz w:val="16"/>
          <w:szCs w:val="16"/>
        </w:rPr>
        <w:softHyphen/>
        <w:t>ки танка Т-28 делались под общим руководством С. Гинз</w:t>
      </w:r>
      <w:r w:rsidRPr="00C33834">
        <w:rPr>
          <w:rFonts w:ascii="Times New Roman" w:hAnsi="Times New Roman"/>
          <w:color w:val="000000" w:themeColor="text1"/>
          <w:sz w:val="16"/>
          <w:szCs w:val="16"/>
        </w:rPr>
        <w:softHyphen/>
        <w:t>бурга и потому именно он возглавил комиссию по приемке и испытаниям танка Т-28. Практически все изменения в конструкцию танка должны были согласовываться с указан</w:t>
      </w:r>
      <w:r w:rsidRPr="00C33834">
        <w:rPr>
          <w:rFonts w:ascii="Times New Roman" w:hAnsi="Times New Roman"/>
          <w:color w:val="000000" w:themeColor="text1"/>
          <w:sz w:val="16"/>
          <w:szCs w:val="16"/>
        </w:rPr>
        <w:softHyphen/>
        <w:t>ной комиссией и представителем заказчика. Лишь в 1934 г. перестройка цеха МХ-2 была в основном закончена. Ижорский завод освоил выпуск бронекорпусов и башен танка, Рыбинский моторный завод № 26 начал по</w:t>
      </w:r>
      <w:r w:rsidRPr="00C33834">
        <w:rPr>
          <w:rFonts w:ascii="Times New Roman" w:hAnsi="Times New Roman"/>
          <w:color w:val="000000" w:themeColor="text1"/>
          <w:sz w:val="16"/>
          <w:szCs w:val="16"/>
        </w:rPr>
        <w:softHyphen/>
        <w:t>ставку серийных двигателей М-17, завод «Красный Ок</w:t>
      </w:r>
      <w:r w:rsidRPr="00C33834">
        <w:rPr>
          <w:rFonts w:ascii="Times New Roman" w:hAnsi="Times New Roman"/>
          <w:color w:val="000000" w:themeColor="text1"/>
          <w:sz w:val="16"/>
          <w:szCs w:val="16"/>
        </w:rPr>
        <w:softHyphen/>
        <w:t>тябрь» освоил выпуск КПП. Планом было предусмотрено изготовление в текущем году 50 танков Т-28, что при пла</w:t>
      </w:r>
      <w:r w:rsidRPr="00C33834">
        <w:rPr>
          <w:rFonts w:ascii="Times New Roman" w:hAnsi="Times New Roman"/>
          <w:color w:val="000000" w:themeColor="text1"/>
          <w:sz w:val="16"/>
          <w:szCs w:val="16"/>
        </w:rPr>
        <w:softHyphen/>
        <w:t>нируемой мощности цеха в 150 танков в год считалось вполне нормальным. Но этот план был выполнен с трудом. Опять сказалась нехватка подготовленных кадров. Из войск на новый танк неоднократно в течение 1933—34 гг. поступали рекламации. Танк был сложен и не</w:t>
      </w:r>
      <w:r w:rsidRPr="00C33834">
        <w:rPr>
          <w:rFonts w:ascii="Times New Roman" w:hAnsi="Times New Roman"/>
          <w:color w:val="000000" w:themeColor="text1"/>
          <w:sz w:val="16"/>
          <w:szCs w:val="16"/>
        </w:rPr>
        <w:softHyphen/>
        <w:t>надежен. Часто заводская бригада выезжала в войска для устранения выявленных неисправностей прямо там, «на месте». Все это привело к тому, что план выпуска Т-28 на 1935 г. был снижен до 30, «но чтобы все были должного ка</w:t>
      </w:r>
      <w:r w:rsidRPr="00C33834">
        <w:rPr>
          <w:rFonts w:ascii="Times New Roman" w:hAnsi="Times New Roman"/>
          <w:color w:val="000000" w:themeColor="text1"/>
          <w:sz w:val="16"/>
          <w:szCs w:val="16"/>
        </w:rPr>
        <w:softHyphen/>
        <w:t>чества» (10733,243).</w:t>
      </w:r>
    </w:p>
    <w:p w14:paraId="209F91E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AE3BD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 на заводе «Красный Путиловец» (Санкт-Петербургский чугунолитейный казенный завод, Металлургический и машиностроительный завод АО «Путиловские заводы», «Красный путиловец» НКТП, Ленинградский Кировский завод (ЛКЗ) НКТП, НКМ, НКТМ, НКСМ, НКТП, Кировский завод МТМ, МОП, Дважды ордена Ленина, ордена Октябрьской революции, ордена Красного Знамени, ордена Трудового Красного знамени, ордена Дружбы Народов Ленинградское ПО «Кировский завод» МОП, АООТ, ОАО «Кировский завод» /г. Санкт-Петербург,  г. Ленинград;  г. Челябинск/ /198097  г. Ленинград,  г. Санкт-Петербург пр. Стачек, д. 47 тел. 183-80-01/) для сопровождения серийного производства танка Т-28 было создано СКБ-2. На его базе был создан скоростной танк «Сталин» (Т-28А). В начале 1938 г. на базе Т-28 разработан проект Т-112, в начале 1939 г. построен опытный экземпляр.</w:t>
      </w:r>
    </w:p>
    <w:p w14:paraId="4B3B76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 КО № 198сс от 7.08.1938 г. предписывалось изготовить опытный СМК («Сергей Миронович Киров») к 1.05.1939 г.</w:t>
      </w:r>
    </w:p>
    <w:p w14:paraId="433A6D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10.1938 г. в СКБ-2 выпускниками ВАММ начата работа по дипломному проекту однобашенного тяжелого танка, далее получившего название </w:t>
      </w:r>
      <w:r w:rsidRPr="00C33834">
        <w:rPr>
          <w:rFonts w:ascii="Times New Roman" w:hAnsi="Times New Roman"/>
          <w:color w:val="000000" w:themeColor="text1"/>
          <w:sz w:val="16"/>
          <w:szCs w:val="16"/>
          <w:lang w:val="en-US"/>
        </w:rPr>
        <w:t>KB</w:t>
      </w:r>
      <w:r w:rsidRPr="00C33834">
        <w:rPr>
          <w:rFonts w:ascii="Times New Roman" w:hAnsi="Times New Roman"/>
          <w:color w:val="000000" w:themeColor="text1"/>
          <w:sz w:val="16"/>
          <w:szCs w:val="16"/>
        </w:rPr>
        <w:t xml:space="preserve"> («Клим Ворошилов»). 31.08.1939 г. построен опытный экземпляр КВ. Пост. КО № 443сс от 19.12.1939 г. </w:t>
      </w:r>
      <w:r w:rsidRPr="00C33834">
        <w:rPr>
          <w:rFonts w:ascii="Times New Roman" w:hAnsi="Times New Roman"/>
          <w:color w:val="000000" w:themeColor="text1"/>
          <w:sz w:val="16"/>
          <w:szCs w:val="16"/>
          <w:lang w:val="en-US"/>
        </w:rPr>
        <w:t>KB</w:t>
      </w:r>
      <w:r w:rsidRPr="00C33834">
        <w:rPr>
          <w:rFonts w:ascii="Times New Roman" w:hAnsi="Times New Roman"/>
          <w:color w:val="000000" w:themeColor="text1"/>
          <w:sz w:val="16"/>
          <w:szCs w:val="16"/>
        </w:rPr>
        <w:t xml:space="preserve"> пнв и запущен в серию на Кировском заводе (в 1941 г. переименован в КВ- 2). В 1939 г. выполнена установка на танк 152-мм гаубицы М-10 в увеличенной башне (установка МТ-1) (Н. Курин). Пост. СНК от 6.04.1941 г. СКБ задана постройка опытного КВ-2 со сроком 45 дней. Весной 1941 г. разработан проект модернизированного </w:t>
      </w:r>
      <w:r w:rsidRPr="00C33834">
        <w:rPr>
          <w:rFonts w:ascii="Times New Roman" w:hAnsi="Times New Roman"/>
          <w:color w:val="000000" w:themeColor="text1"/>
          <w:sz w:val="16"/>
          <w:szCs w:val="16"/>
          <w:lang w:val="en-US"/>
        </w:rPr>
        <w:t>KB</w:t>
      </w:r>
      <w:r w:rsidRPr="00C33834">
        <w:rPr>
          <w:rFonts w:ascii="Times New Roman" w:hAnsi="Times New Roman"/>
          <w:color w:val="000000" w:themeColor="text1"/>
          <w:sz w:val="16"/>
          <w:szCs w:val="16"/>
        </w:rPr>
        <w:t xml:space="preserve"> - «объект 222», в 05.1941 г. работы прекращены в пользу нового КВ-3.</w:t>
      </w:r>
    </w:p>
    <w:p w14:paraId="339786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03.1940 г. разработан проект легкого танка «объект 211». С 1.10.1940 г. велись работы по улучшенному варианту Т-126 - танку Т-50 (</w:t>
      </w:r>
      <w:r w:rsidRPr="00C33834">
        <w:rPr>
          <w:rFonts w:ascii="Times New Roman" w:hAnsi="Times New Roman"/>
          <w:color w:val="000000" w:themeColor="text1"/>
          <w:sz w:val="16"/>
          <w:szCs w:val="16"/>
          <w:lang w:val="en-US"/>
        </w:rPr>
        <w:t>JI</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C</w:t>
      </w:r>
      <w:r w:rsidRPr="00C33834">
        <w:rPr>
          <w:rFonts w:ascii="Times New Roman" w:hAnsi="Times New Roman"/>
          <w:color w:val="000000" w:themeColor="text1"/>
          <w:sz w:val="16"/>
          <w:szCs w:val="16"/>
        </w:rPr>
        <w:t>. Троянов), в начале 1941 г. изготовлен опытный образец.</w:t>
      </w:r>
    </w:p>
    <w:p w14:paraId="5717289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1940 г. разработаны и построены опытные тяжелые Т-150 и Т-220. В соответствии с пост. СНК № 548-232сс от 15.03.1941 г. Т-150 (КВ-3) запущен в серию на Кировском заводе. Приказом НКТМ № 231с от 04.1941 г. изменены требования к КВ-3 (броня 115-120 мм, 107-мм пушка ЗиС-6), этим же приказом предписано разработать проект КВ-4 с броней 120-130 мм к 15.06.1941 г. и КВ-5 с броней 150-170 мм к 10.11.1941 г. В 04- 05.1941 г. разработано более 15 эскизных проектов КВ-4, в 06.1941 г. работы прекращены в пользу КВ-5. В 08.1941 г. проект КВ-5 завершен, но из-за тяжелой обстановки на фронте опытный образец не строился, силы КБ сконцентрированы на улучшении конструкции </w:t>
      </w:r>
      <w:r w:rsidRPr="00C33834">
        <w:rPr>
          <w:rFonts w:ascii="Times New Roman" w:hAnsi="Times New Roman"/>
          <w:color w:val="000000" w:themeColor="text1"/>
          <w:sz w:val="16"/>
          <w:szCs w:val="16"/>
          <w:lang w:val="en-US"/>
        </w:rPr>
        <w:t>KB</w:t>
      </w:r>
      <w:r w:rsidRPr="00C33834">
        <w:rPr>
          <w:rFonts w:ascii="Times New Roman" w:hAnsi="Times New Roman"/>
          <w:color w:val="000000" w:themeColor="text1"/>
          <w:sz w:val="16"/>
          <w:szCs w:val="16"/>
        </w:rPr>
        <w:t>-1.</w:t>
      </w:r>
      <w:r w:rsidRPr="00C33834">
        <w:rPr>
          <w:rFonts w:ascii="Times New Roman" w:hAnsi="Times New Roman"/>
          <w:color w:val="000000" w:themeColor="text1"/>
          <w:sz w:val="16"/>
          <w:szCs w:val="16"/>
          <w:vertAlign w:val="superscript"/>
        </w:rPr>
        <w:t>128</w:t>
      </w:r>
      <w:r w:rsidRPr="00C33834">
        <w:rPr>
          <w:rFonts w:ascii="Times New Roman" w:hAnsi="Times New Roman"/>
          <w:color w:val="000000" w:themeColor="text1"/>
          <w:sz w:val="16"/>
          <w:szCs w:val="16"/>
        </w:rPr>
        <w:t xml:space="preserve"> Осенью 1941 г. были построены два опытных КВ-7, пост. ГКО №1110 от 6.01.1942 г. танк был снят с испытаний с рекомендацией вооружить его спаренной установкой 76- мм пушек. Такой вариант был испытан в 05.1942 г. В 02.1942 г. был испытан опытный КВ-9 со 122-мм пушкой У- 11. В 05.1942 г. был спроектирован КВ-13 («объект 233»). Работы по нему переданы на вновь организованный опытный завод № 100.</w:t>
      </w:r>
    </w:p>
    <w:p w14:paraId="2E7CFF1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 ГКО № 1878сс от 5.06.1942 г. был разработан КВ-1С («скоростной»), 20.08.1942 г. он пнв.</w:t>
      </w:r>
    </w:p>
    <w:p w14:paraId="0C533E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08.1941 г. в СКБ-2 влит личный состав расформированного СКБ-1, работавшего над ТРД РД-1. Создана методика расчета танковых воздуховодов.</w:t>
      </w:r>
    </w:p>
    <w:p w14:paraId="709339E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1941 г. СКБ эвакуировано (личный состав на самолетах) в Челябинск на ЧТЗ.</w:t>
      </w:r>
    </w:p>
    <w:p w14:paraId="5B204F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СКБ разработаны проекты установки на </w:t>
      </w:r>
      <w:r w:rsidRPr="00C33834">
        <w:rPr>
          <w:rFonts w:ascii="Times New Roman" w:hAnsi="Times New Roman"/>
          <w:color w:val="000000" w:themeColor="text1"/>
          <w:sz w:val="16"/>
          <w:szCs w:val="16"/>
          <w:lang w:val="en-US"/>
        </w:rPr>
        <w:t>KB</w:t>
      </w:r>
      <w:r w:rsidRPr="00C33834">
        <w:rPr>
          <w:rFonts w:ascii="Times New Roman" w:hAnsi="Times New Roman"/>
          <w:color w:val="000000" w:themeColor="text1"/>
          <w:sz w:val="16"/>
          <w:szCs w:val="16"/>
        </w:rPr>
        <w:t xml:space="preserve"> спарки дизелей Гиберсон Т-1070 или </w:t>
      </w:r>
      <w:r w:rsidRPr="00C33834">
        <w:rPr>
          <w:rFonts w:ascii="Times New Roman" w:hAnsi="Times New Roman"/>
          <w:color w:val="000000" w:themeColor="text1"/>
          <w:sz w:val="16"/>
          <w:szCs w:val="16"/>
          <w:lang w:val="en-US"/>
        </w:rPr>
        <w:t>GMC</w:t>
      </w:r>
      <w:r w:rsidRPr="00C33834">
        <w:rPr>
          <w:rFonts w:ascii="Times New Roman" w:hAnsi="Times New Roman"/>
          <w:color w:val="000000" w:themeColor="text1"/>
          <w:sz w:val="16"/>
          <w:szCs w:val="16"/>
        </w:rPr>
        <w:t xml:space="preserve"> 6046, реализованы не были. В 1946 г. на базе авиационного дизеля АЧ-30 создан (совместно с заводом № 500) ТД-30 для ИС-7.</w:t>
      </w:r>
    </w:p>
    <w:p w14:paraId="0190BE4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1947 г. - работы по совершенствованию конструкции ИС-7.</w:t>
      </w:r>
    </w:p>
    <w:p w14:paraId="28E1A0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(1933-37 г.) - О.М. Иванов (арестован), (05.1937-40 г.-)- Ж.Я. Котин.</w:t>
      </w:r>
    </w:p>
    <w:p w14:paraId="72CEE4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конструктор (-1937-60-е)- Ж.Я. Котин. Ген. конструктор (1970-е)- Н.С. Попов.</w:t>
      </w:r>
      <w:r w:rsidRPr="00C33834">
        <w:rPr>
          <w:rFonts w:ascii="Times New Roman" w:hAnsi="Times New Roman"/>
          <w:color w:val="000000" w:themeColor="text1"/>
          <w:sz w:val="16"/>
          <w:szCs w:val="16"/>
          <w:vertAlign w:val="superscript"/>
        </w:rPr>
        <w:t>57</w:t>
      </w:r>
    </w:p>
    <w:p w14:paraId="0615F3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конструкторы: (1939 г.-)- Н. Духов (</w:t>
      </w:r>
      <w:r w:rsidRPr="00C33834">
        <w:rPr>
          <w:rFonts w:ascii="Times New Roman" w:hAnsi="Times New Roman"/>
          <w:color w:val="000000" w:themeColor="text1"/>
          <w:sz w:val="16"/>
          <w:szCs w:val="16"/>
          <w:lang w:val="en-US"/>
        </w:rPr>
        <w:t>KB</w:t>
      </w:r>
      <w:r w:rsidRPr="00C33834">
        <w:rPr>
          <w:rFonts w:ascii="Times New Roman" w:hAnsi="Times New Roman"/>
          <w:color w:val="000000" w:themeColor="text1"/>
          <w:sz w:val="16"/>
          <w:szCs w:val="16"/>
        </w:rPr>
        <w:t>).</w:t>
      </w:r>
    </w:p>
    <w:p w14:paraId="131FCC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Руководители конструкторских групп: (1941 г.)-  Г. Москвин (КВ-7), (1941 г.)- Н. Курин (КВ-9), (1942 г.)- С. Махонин (КВ-13), (1947 г.)- Л.З. Шенкер.</w:t>
      </w:r>
    </w:p>
    <w:p w14:paraId="45EBEC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Ведущие инженеры: (1936 г.)- А. Ефимов (Т-28А), (-1938-40 г.-)- А. Ермолаев (СМК, «211»). Старший инженер (06.1941 г.)- Н. Цейц (КВ-5). Ведущие конструкторы: (1941 г.)- Н. Сидоренко (У-И), (1941 г.)- В. Усенко (У-11).</w:t>
      </w:r>
    </w:p>
    <w:p w14:paraId="06ECF7A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Создано: танки: Т-28, Т-28А «Сталин», Т-112 (1939); тяжелые: СМК (1938), </w:t>
      </w:r>
      <w:r w:rsidRPr="00C33834">
        <w:rPr>
          <w:rFonts w:ascii="Times New Roman" w:hAnsi="Times New Roman"/>
          <w:color w:val="000000" w:themeColor="text1"/>
          <w:sz w:val="16"/>
          <w:szCs w:val="16"/>
          <w:lang w:val="en-US"/>
        </w:rPr>
        <w:t>KB</w:t>
      </w:r>
      <w:r w:rsidRPr="00C33834">
        <w:rPr>
          <w:rFonts w:ascii="Times New Roman" w:hAnsi="Times New Roman"/>
          <w:color w:val="000000" w:themeColor="text1"/>
          <w:sz w:val="16"/>
          <w:szCs w:val="16"/>
        </w:rPr>
        <w:t xml:space="preserve"> (пнв 19.12.1939 г.), КВ-2, КВ- 3, КВ-4, КВ-5, КВ-7, КВ-8, КВ-9, КВ-13 (1942), </w:t>
      </w:r>
      <w:r w:rsidRPr="00C33834">
        <w:rPr>
          <w:rFonts w:ascii="Times New Roman" w:hAnsi="Times New Roman"/>
          <w:color w:val="000000" w:themeColor="text1"/>
          <w:sz w:val="16"/>
          <w:szCs w:val="16"/>
          <w:lang w:val="en-US"/>
        </w:rPr>
        <w:t>KB</w:t>
      </w:r>
      <w:r w:rsidRPr="00C33834">
        <w:rPr>
          <w:rFonts w:ascii="Times New Roman" w:hAnsi="Times New Roman"/>
          <w:color w:val="000000" w:themeColor="text1"/>
          <w:sz w:val="16"/>
          <w:szCs w:val="16"/>
        </w:rPr>
        <w:t>-1С (пнв 20.08.1942 г.), «К» («объект 701», 1944); Т-80 (пнв 6.07.1976 г.); самоходное гусеничное шасси: 2П19 для БРТ Р-17; «объект 825Сп2» на шасси Т-10 и «объект 825СпЗ» на шасси Т-80 для «Темп-2С» (1960-е), для ЗРК С-300В (1970-е  г.); самоходные ПУ: 2П4 «Тюльпан» («объект 804») на базе ИСУ-152К для ОТРК «Филин» (1950-е), для БР РТ-20П (1960-е) (11982).</w:t>
      </w:r>
    </w:p>
    <w:p w14:paraId="4BE459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23AA86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 по требованиям штаба РККА и УММ РККА было принято решение усилить боевые возможности танков прорыва, в частности сделать их способными к про</w:t>
      </w:r>
      <w:r w:rsidRPr="00C33834">
        <w:rPr>
          <w:rFonts w:ascii="Times New Roman" w:hAnsi="Times New Roman"/>
          <w:color w:val="000000" w:themeColor="text1"/>
          <w:sz w:val="16"/>
          <w:szCs w:val="16"/>
        </w:rPr>
        <w:softHyphen/>
        <w:t>рыву заранее подготовленных укрепленных полос обороны. Но для этого мощности 76-мм полкового, да и дивизионно</w:t>
      </w:r>
      <w:r w:rsidRPr="00C33834">
        <w:rPr>
          <w:rFonts w:ascii="Times New Roman" w:hAnsi="Times New Roman"/>
          <w:color w:val="000000" w:themeColor="text1"/>
          <w:sz w:val="16"/>
          <w:szCs w:val="16"/>
        </w:rPr>
        <w:softHyphen/>
        <w:t>го орудия уже было, конечно, недостаточно, и потому необ</w:t>
      </w:r>
      <w:r w:rsidRPr="00C33834">
        <w:rPr>
          <w:rFonts w:ascii="Times New Roman" w:hAnsi="Times New Roman"/>
          <w:color w:val="000000" w:themeColor="text1"/>
          <w:sz w:val="16"/>
          <w:szCs w:val="16"/>
        </w:rPr>
        <w:softHyphen/>
        <w:t>ходимо было усилить его до уровня корпусной артиллерии. Таким образом, уже на этапе получения ТЗ основное воору</w:t>
      </w:r>
      <w:r w:rsidRPr="00C33834">
        <w:rPr>
          <w:rFonts w:ascii="Times New Roman" w:hAnsi="Times New Roman"/>
          <w:color w:val="000000" w:themeColor="text1"/>
          <w:sz w:val="16"/>
          <w:szCs w:val="16"/>
        </w:rPr>
        <w:softHyphen/>
        <w:t>жение тяжелого танка определялось, как «пушка калибра 107-мм или тяжелая гаубица калибра 152-мм». Кроме того, в выдвинутых «рекомендациях» звучала желательность одно</w:t>
      </w:r>
      <w:r w:rsidRPr="00C33834">
        <w:rPr>
          <w:rFonts w:ascii="Times New Roman" w:hAnsi="Times New Roman"/>
          <w:color w:val="000000" w:themeColor="text1"/>
          <w:sz w:val="16"/>
          <w:szCs w:val="16"/>
        </w:rPr>
        <w:softHyphen/>
        <w:t>временного обстрела двух целей, что автоматически преду</w:t>
      </w:r>
      <w:r w:rsidRPr="00C33834">
        <w:rPr>
          <w:rFonts w:ascii="Times New Roman" w:hAnsi="Times New Roman"/>
          <w:color w:val="000000" w:themeColor="text1"/>
          <w:sz w:val="16"/>
          <w:szCs w:val="16"/>
        </w:rPr>
        <w:softHyphen/>
        <w:t xml:space="preserve">сматривало наличие в танке не менее двух тяжелых орудий, повышало требования к его артиллерийскому вооружению до уровня корпусной батареи. Прикидки показывали, что разместить такое мощное вооружение вкупе с броней толщиной 40—60 мм, надежно </w:t>
      </w:r>
      <w:r w:rsidRPr="00C33834">
        <w:rPr>
          <w:rFonts w:ascii="Times New Roman" w:hAnsi="Times New Roman"/>
          <w:color w:val="000000" w:themeColor="text1"/>
          <w:sz w:val="16"/>
          <w:szCs w:val="16"/>
        </w:rPr>
        <w:lastRenderedPageBreak/>
        <w:t>защищающей от снарядов дивизионных пушек, на боевой машине массой до 75 т (как то предполагалось ранее) не</w:t>
      </w:r>
      <w:r w:rsidRPr="00C33834">
        <w:rPr>
          <w:rFonts w:ascii="Times New Roman" w:hAnsi="Times New Roman"/>
          <w:color w:val="000000" w:themeColor="text1"/>
          <w:sz w:val="16"/>
          <w:szCs w:val="16"/>
        </w:rPr>
        <w:softHyphen/>
        <w:t>возможно. Поэтому тяжелый танк нового типа с самого на</w:t>
      </w:r>
      <w:r w:rsidRPr="00C33834">
        <w:rPr>
          <w:rFonts w:ascii="Times New Roman" w:hAnsi="Times New Roman"/>
          <w:color w:val="000000" w:themeColor="text1"/>
          <w:sz w:val="16"/>
          <w:szCs w:val="16"/>
        </w:rPr>
        <w:softHyphen/>
        <w:t>чала был обречен на достижение рекордного веса в 90 т. Для того чтобы придать ему требуемую подвижность, мощность двигателя должна была составлять не менее 900 л.с. Поэтому танк проектировался под двигатель М-34, форсированный до 970 л.с., или же «Испано-Сюиза 18» мощностью 1150 л.с., переговоры о покупке которого ве</w:t>
      </w:r>
      <w:r w:rsidRPr="00C33834">
        <w:rPr>
          <w:rFonts w:ascii="Times New Roman" w:hAnsi="Times New Roman"/>
          <w:color w:val="000000" w:themeColor="text1"/>
          <w:sz w:val="16"/>
          <w:szCs w:val="16"/>
        </w:rPr>
        <w:softHyphen/>
        <w:t>лись для нужд ВВС. Проектирование танка начато Н. Барыковым в ОКМО на основании материалов, полученных при переговорах с итальянскими танкостроителями фирмы «Ансальдо», про</w:t>
      </w:r>
      <w:r w:rsidRPr="00C33834">
        <w:rPr>
          <w:rFonts w:ascii="Times New Roman" w:hAnsi="Times New Roman"/>
          <w:color w:val="000000" w:themeColor="text1"/>
          <w:sz w:val="16"/>
          <w:szCs w:val="16"/>
        </w:rPr>
        <w:softHyphen/>
        <w:t>работок ЭКУ ОГПУ, а также эскизных проектов танков Т-42 и ТП-1. Ведущим инженером по вооружению танка был назначен П. Сячинтов. Всего было разработано шесть основных вариантов танка, получившего индекс Т-39 (10733,276).</w:t>
      </w:r>
    </w:p>
    <w:p w14:paraId="6F5AC06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94BCA4" w14:textId="77777777" w:rsidR="001E60C4" w:rsidRPr="00C33834" w:rsidRDefault="001E60C4" w:rsidP="00C33834">
      <w:pPr>
        <w:pStyle w:val="ae"/>
        <w:spacing w:before="0" w:after="0"/>
        <w:jc w:val="both"/>
        <w:textAlignment w:val="baseline"/>
        <w:rPr>
          <w:color w:val="000000" w:themeColor="text1"/>
          <w:sz w:val="16"/>
          <w:szCs w:val="16"/>
        </w:rPr>
      </w:pPr>
      <w:r w:rsidRPr="00C33834">
        <w:rPr>
          <w:color w:val="000000" w:themeColor="text1"/>
          <w:sz w:val="16"/>
          <w:szCs w:val="16"/>
        </w:rPr>
        <w:t>В конце 1933 года проектная документация на СУ-5 была готова. Общим руководством разработкой СУ-5 занимались начальник ОКМО Н.В. Барыков и главный конструктор </w:t>
      </w:r>
      <w:hyperlink r:id="rId424" w:history="1">
        <w:r w:rsidRPr="00C33834">
          <w:rPr>
            <w:rStyle w:val="a5"/>
            <w:bCs/>
            <w:iCs/>
            <w:color w:val="000000" w:themeColor="text1"/>
            <w:sz w:val="16"/>
            <w:szCs w:val="16"/>
            <w:u w:val="none"/>
            <w:bdr w:val="none" w:sz="0" w:space="0" w:color="auto" w:frame="1"/>
          </w:rPr>
          <w:t>С.А. Гинзбург</w:t>
        </w:r>
      </w:hyperlink>
      <w:r w:rsidRPr="00C33834">
        <w:rPr>
          <w:color w:val="000000" w:themeColor="text1"/>
          <w:sz w:val="16"/>
          <w:szCs w:val="16"/>
        </w:rPr>
        <w:t>. Руководителем проекта, как и в случае с другими САУ ОКМО, являлся Н.П. Сячинтов. Ведущим инженером машины стал Г.Н. Москвин, для него это была первая крупная работа. Сама по себе идея СУ-5 являлась развитием концепции подвижной дивизионной артиллерии. Как раз в конце 20-начале 30-х годов была проведена модернизация основных орудий дивизионной артиллерии, занималось ею КБ Пермского артиллерийского завода под руководством В.Н. Сидоренко. Целью модернизации было увеличение дальности стрельбы и улучшение прицельных приспособлений. На свет появились 76-мм дивизионная пушка образца 1902/30 годов и 122-мм гаубица образца 1910/30 годов. Это стало первым этапом модернизации артиллерии Красной армии. Наконец, в начале 30-х годов появилось третье орудие — 152-мм немецкая мортира образца 1931 года, она же НМ. Фактически это была «локализация» немецкого 149-мм пехотного орудия, которое позже было принято на вооружение немецкой армии как 15 cm sIG 33. Предполагалось, что НМ станет третьим типом дивизионных орудий Красной армии (19721).</w:t>
      </w:r>
    </w:p>
    <w:p w14:paraId="7015851D" w14:textId="77777777" w:rsidR="001E60C4" w:rsidRPr="00C33834" w:rsidRDefault="001E60C4" w:rsidP="00C33834">
      <w:pPr>
        <w:pStyle w:val="ae"/>
        <w:spacing w:before="0" w:after="0"/>
        <w:jc w:val="both"/>
        <w:textAlignment w:val="baseline"/>
        <w:rPr>
          <w:color w:val="000000" w:themeColor="text1"/>
          <w:sz w:val="16"/>
          <w:szCs w:val="16"/>
        </w:rPr>
      </w:pPr>
    </w:p>
    <w:p w14:paraId="04A0A9D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и2р Тверским был разработан проект установки 250 кг танковых торпед (ТТ) на колесно-гусеничный танк РБТ-5 (9527,100).</w:t>
      </w:r>
    </w:p>
    <w:p w14:paraId="229F69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893C528" w14:textId="77777777" w:rsidR="001B11E8" w:rsidRPr="00C33834" w:rsidRDefault="001B11E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конце 1933 г. появился проект, разработанный Тверским, предусматривал в качестве дополнительного вооружения </w:t>
      </w:r>
      <w:hyperlink r:id="rId425"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а установку двух 250-кг ТТ. Опытный образец установки был изготовлен на московском заводе № 37, а ее монтаж на опытный </w:t>
      </w:r>
      <w:hyperlink r:id="rId426"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 БТ-5 был осуществлен уже на ХПЗ. Танк РБТ-5 отличался от серийного </w:t>
      </w:r>
      <w:hyperlink r:id="rId427"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а БТ-5 размещением снаружи башни двух установок для пуска 250-кг ТТ (ракет) с сохранением основного оружия — 45-мм </w:t>
      </w:r>
      <w:hyperlink r:id="rId428"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овой пушки. Клепаная конструкция пусковой установки была выполнена по типу фермы, собранной из швеллеров. Каждая ракета хвостовой частью устанавливалась в направляющую втулку и автоматически стопорилась. Уравновешивание установки осуществлялось с помощью специального пружинного механизма. Перед пуском ракеты на поражение производилась предварительная пристрелка цели из 45-мм штатной пушкой и с помощью переходных таблиц вводился поправочный коэффициент в вертикальные углы наведения установки.</w:t>
      </w:r>
    </w:p>
    <w:p w14:paraId="37FF847F" w14:textId="77777777" w:rsidR="001B11E8" w:rsidRPr="00C33834" w:rsidRDefault="001B11E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Наведение установки в вертикальной плоскости осуществлялось изнутри машины с помощью рукоятки специального подъемного механизма, имевшего две передачи. В горизонтальной плоскости наведение обеспечивалось поворотом башни. Максимальный угол возвышения, составлявший 48°, позволял поражать различные цели на дальности до 1500 м. Выстрел производился с помощью электрозапала. Ракета длиной 1805 мм и диаметром 420 мм состояла из головной части с зарядом взрывчатого вещества (ВВ) (130 кг) и хвостовой части с реактивным зарядом (13,5 кг).</w:t>
      </w:r>
    </w:p>
    <w:p w14:paraId="608AC45E" w14:textId="77777777" w:rsidR="001B11E8" w:rsidRPr="00C33834" w:rsidRDefault="001B11E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Для подрыва ВВ использовались взрыватели от авиационных бомб (мгновенного и замедленного действия). Головная часть взрывателя для защиты от поражения пулями и осколками имела броневой колпак. Малая дальность стрельбы, низкая вероятность поражения цели и высокая уязвимость от пуль и осколков послужили причиной прекращения дальнейших работ над совершенствованием </w:t>
      </w:r>
      <w:hyperlink r:id="rId429"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а РБТ-5. В августе — декабре 1934 г. также велись работы по установке на </w:t>
      </w:r>
      <w:hyperlink r:id="rId430"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е 100-кг (на иллюстрации) и 300-кг торпед.</w:t>
      </w:r>
    </w:p>
    <w:p w14:paraId="469C27E2" w14:textId="77777777" w:rsidR="001B11E8" w:rsidRPr="00C33834" w:rsidRDefault="001B11E8"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Танковая торпеда и пусковая установка не были полностью отработаны, они имели ряд конструктивных недоработок. В тоже время ТТ имела малую дальность стрельбы, низкую вероятность поражения цели и высокую уязвимость от пуль и осколков. Эти причины послужили основанием на прекращение дальнейших работ над </w:t>
      </w:r>
      <w:hyperlink r:id="rId431"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ом РБТ-5 и ТТ. Результаты работ по </w:t>
      </w:r>
      <w:hyperlink r:id="rId432"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 xml:space="preserve">у РБТ-5 легли в основу новых ТТТ предъявляемых к ракетным </w:t>
      </w:r>
      <w:hyperlink r:id="rId433" w:tgtFrame="_blank" w:history="1">
        <w:r w:rsidRPr="00C33834">
          <w:rPr>
            <w:rFonts w:ascii="Times New Roman" w:hAnsi="Times New Roman"/>
            <w:color w:val="000000" w:themeColor="text1"/>
            <w:sz w:val="16"/>
            <w:szCs w:val="16"/>
          </w:rPr>
          <w:t>танк</w:t>
        </w:r>
      </w:hyperlink>
      <w:r w:rsidRPr="00C33834">
        <w:rPr>
          <w:rFonts w:ascii="Times New Roman" w:hAnsi="Times New Roman"/>
          <w:color w:val="000000" w:themeColor="text1"/>
          <w:sz w:val="16"/>
          <w:szCs w:val="16"/>
        </w:rPr>
        <w:t>ам, утвержденных начальником НТО АБТУ РККА 29 января 1935 г. (15628).</w:t>
      </w:r>
    </w:p>
    <w:p w14:paraId="6FB2EBDB" w14:textId="77777777" w:rsidR="001B11E8" w:rsidRPr="00C33834" w:rsidRDefault="001B11E8" w:rsidP="00C33834">
      <w:pPr>
        <w:spacing w:after="0" w:line="240" w:lineRule="auto"/>
        <w:jc w:val="both"/>
        <w:rPr>
          <w:rFonts w:ascii="Times New Roman" w:hAnsi="Times New Roman"/>
          <w:color w:val="000000" w:themeColor="text1"/>
          <w:sz w:val="16"/>
          <w:szCs w:val="16"/>
        </w:rPr>
      </w:pPr>
    </w:p>
    <w:p w14:paraId="3E0F19D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 УММ РККА совместно с ГАУ разрабо</w:t>
      </w:r>
      <w:r w:rsidRPr="00C33834">
        <w:rPr>
          <w:rFonts w:ascii="Times New Roman" w:hAnsi="Times New Roman"/>
          <w:color w:val="000000" w:themeColor="text1"/>
          <w:sz w:val="16"/>
          <w:szCs w:val="16"/>
        </w:rPr>
        <w:softHyphen/>
        <w:t>тали рекомендации для включения самоходно-артилле-рийских установок во вновь разрабатываемую «Систему артиллерийского вооружения Красной Армии на вторую пятилетку 1934 — 1938 гг.» (11417).</w:t>
      </w:r>
    </w:p>
    <w:p w14:paraId="645EE22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171A4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кон</w:t>
      </w:r>
      <w:r w:rsidRPr="00C33834">
        <w:rPr>
          <w:rFonts w:ascii="Times New Roman" w:hAnsi="Times New Roman"/>
          <w:color w:val="000000" w:themeColor="text1"/>
          <w:sz w:val="16"/>
          <w:szCs w:val="16"/>
        </w:rPr>
        <w:softHyphen/>
        <w:t>ца 1933 года из ворот выксунского завода вышло всего 90 машин, еще 19 БАИ собрали в начале 1934-го, после чего их производство пре</w:t>
      </w:r>
      <w:r w:rsidRPr="00C33834">
        <w:rPr>
          <w:rFonts w:ascii="Times New Roman" w:hAnsi="Times New Roman"/>
          <w:color w:val="000000" w:themeColor="text1"/>
          <w:sz w:val="16"/>
          <w:szCs w:val="16"/>
        </w:rPr>
        <w:softHyphen/>
        <w:t>кратилось. Следует сказать, что часть БАИ оснащалась ящиком для укладки цепей «Оверолл», установленным справа на крыле задних колес (11284).</w:t>
      </w:r>
    </w:p>
    <w:p w14:paraId="3C59134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44743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года под руководством изобретателя Л. Курчевского был спроектирован трехосный легко</w:t>
      </w:r>
      <w:r w:rsidRPr="00C33834">
        <w:rPr>
          <w:rFonts w:ascii="Times New Roman" w:hAnsi="Times New Roman"/>
          <w:color w:val="000000" w:themeColor="text1"/>
          <w:sz w:val="16"/>
          <w:szCs w:val="16"/>
        </w:rPr>
        <w:softHyphen/>
        <w:t>вой автомобиль на шасси «Форд-А». В 1934 году такая машина, правда уже на шасси отечественного ГАЗ-А, бы</w:t>
      </w:r>
      <w:r w:rsidRPr="00C33834">
        <w:rPr>
          <w:rFonts w:ascii="Times New Roman" w:hAnsi="Times New Roman"/>
          <w:color w:val="000000" w:themeColor="text1"/>
          <w:sz w:val="16"/>
          <w:szCs w:val="16"/>
        </w:rPr>
        <w:softHyphen/>
        <w:t>ла изготовлена на заводе «Гудок Октября». Новый авто</w:t>
      </w:r>
      <w:r w:rsidRPr="00C33834">
        <w:rPr>
          <w:rFonts w:ascii="Times New Roman" w:hAnsi="Times New Roman"/>
          <w:color w:val="000000" w:themeColor="text1"/>
          <w:sz w:val="16"/>
          <w:szCs w:val="16"/>
        </w:rPr>
        <w:softHyphen/>
        <w:t>мобиль, получивший обозначение ГАЗ-ТК (трехосный Курчевского), проектировался прежде всего как носитель 76-мм динамореактивной пушки ВПК (батальонная пушка Курчевского). ГАЗ-ТК с 76-мм ВПК в документах того времени именовался как СПК — самоходная пушка Курчевского. Эти машины предполагалось использовать для вооружения разведывательных батальонов стрелко</w:t>
      </w:r>
      <w:r w:rsidRPr="00C33834">
        <w:rPr>
          <w:rFonts w:ascii="Times New Roman" w:hAnsi="Times New Roman"/>
          <w:color w:val="000000" w:themeColor="text1"/>
          <w:sz w:val="16"/>
          <w:szCs w:val="16"/>
        </w:rPr>
        <w:softHyphen/>
        <w:t>вых дивизий. На обычном ГАЗ-А 76-мм орудие не встава</w:t>
      </w:r>
      <w:r w:rsidRPr="00C33834">
        <w:rPr>
          <w:rFonts w:ascii="Times New Roman" w:hAnsi="Times New Roman"/>
          <w:color w:val="000000" w:themeColor="text1"/>
          <w:sz w:val="16"/>
          <w:szCs w:val="16"/>
        </w:rPr>
        <w:softHyphen/>
        <w:t>ло, а использование для этой цели грузовика военные признали нецелесообразным — для разведбатов требова</w:t>
      </w:r>
      <w:r w:rsidRPr="00C33834">
        <w:rPr>
          <w:rFonts w:ascii="Times New Roman" w:hAnsi="Times New Roman"/>
          <w:color w:val="000000" w:themeColor="text1"/>
          <w:sz w:val="16"/>
          <w:szCs w:val="16"/>
        </w:rPr>
        <w:softHyphen/>
        <w:t>лась легкая, быстроходная машина, а не тяжелый грузо</w:t>
      </w:r>
      <w:r w:rsidRPr="00C33834">
        <w:rPr>
          <w:rFonts w:ascii="Times New Roman" w:hAnsi="Times New Roman"/>
          <w:color w:val="000000" w:themeColor="text1"/>
          <w:sz w:val="16"/>
          <w:szCs w:val="16"/>
        </w:rPr>
        <w:softHyphen/>
        <w:t>вой автомобиль.</w:t>
      </w:r>
    </w:p>
    <w:p w14:paraId="1D2A2B8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ГАЗ-ТК представлял собой довольно неудачную по</w:t>
      </w:r>
      <w:r w:rsidRPr="00C33834">
        <w:rPr>
          <w:rFonts w:ascii="Times New Roman" w:hAnsi="Times New Roman"/>
          <w:color w:val="000000" w:themeColor="text1"/>
          <w:sz w:val="16"/>
          <w:szCs w:val="16"/>
        </w:rPr>
        <w:softHyphen/>
        <w:t>пытку путем минимальных затрат на базе обычного ГАЗ-А создать автомобиль повышенной проходимости путем установки дополнительной третьей оси и ряда других из</w:t>
      </w:r>
      <w:r w:rsidRPr="00C33834">
        <w:rPr>
          <w:rFonts w:ascii="Times New Roman" w:hAnsi="Times New Roman"/>
          <w:color w:val="000000" w:themeColor="text1"/>
          <w:sz w:val="16"/>
          <w:szCs w:val="16"/>
        </w:rPr>
        <w:softHyphen/>
        <w:t>менений. В документах УММ РККА об этом говорилось так:</w:t>
      </w:r>
    </w:p>
    <w:p w14:paraId="75D4CEE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«Типовая рама от ГАЗ-А для обеспечения монтажа зад</w:t>
      </w:r>
      <w:r w:rsidRPr="00C33834">
        <w:rPr>
          <w:rFonts w:ascii="Times New Roman" w:hAnsi="Times New Roman"/>
          <w:color w:val="000000" w:themeColor="text1"/>
          <w:sz w:val="16"/>
          <w:szCs w:val="16"/>
        </w:rPr>
        <w:softHyphen/>
        <w:t>него моста увеличена на 930 мм путем наложения на нее в задней части сверху рамы лонжеронов передней части той же рамы ГАЗ-А. Эти накладные лонжероны прикреплены к основной раме болтами и заклепками. Двигатель, главное сцепление, коробка перемены передач, передний мост и колеса поставлены от ГАЗ-А. Карданный вал заднего мос</w:t>
      </w:r>
      <w:r w:rsidRPr="00C33834">
        <w:rPr>
          <w:rFonts w:ascii="Times New Roman" w:hAnsi="Times New Roman"/>
          <w:color w:val="000000" w:themeColor="text1"/>
          <w:sz w:val="16"/>
          <w:szCs w:val="16"/>
        </w:rPr>
        <w:softHyphen/>
        <w:t>та — типовой, ведущая и коронная шестерни специальной заготовки.</w:t>
      </w:r>
    </w:p>
    <w:p w14:paraId="0013681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дифференциал среднего моста введена 2-я ведущая шестерня, находящаяся в зацеплении с коронной шестер</w:t>
      </w:r>
      <w:r w:rsidRPr="00C33834">
        <w:rPr>
          <w:rFonts w:ascii="Times New Roman" w:hAnsi="Times New Roman"/>
          <w:color w:val="000000" w:themeColor="text1"/>
          <w:sz w:val="16"/>
          <w:szCs w:val="16"/>
        </w:rPr>
        <w:softHyphen/>
        <w:t>ней среднего дифференциала, которая и передает крутя</w:t>
      </w:r>
      <w:r w:rsidRPr="00C33834">
        <w:rPr>
          <w:rFonts w:ascii="Times New Roman" w:hAnsi="Times New Roman"/>
          <w:color w:val="000000" w:themeColor="text1"/>
          <w:sz w:val="16"/>
          <w:szCs w:val="16"/>
        </w:rPr>
        <w:softHyphen/>
        <w:t>щий момент через второй карданный вал на второй задний мост. Карданный вал от среднего моста к заднему - специ</w:t>
      </w:r>
      <w:r w:rsidRPr="00C33834">
        <w:rPr>
          <w:rFonts w:ascii="Times New Roman" w:hAnsi="Times New Roman"/>
          <w:color w:val="000000" w:themeColor="text1"/>
          <w:sz w:val="16"/>
          <w:szCs w:val="16"/>
        </w:rPr>
        <w:softHyphen/>
        <w:t>альный, с типовым шарнирным соединением от ГАЗ-АА. Ведущая и коронная шестерни в заднем мосту такие же, как в среднем. Картер дифференциала и кожух кардана - спе</w:t>
      </w:r>
      <w:r w:rsidRPr="00C33834">
        <w:rPr>
          <w:rFonts w:ascii="Times New Roman" w:hAnsi="Times New Roman"/>
          <w:color w:val="000000" w:themeColor="text1"/>
          <w:sz w:val="16"/>
          <w:szCs w:val="16"/>
        </w:rPr>
        <w:softHyphen/>
        <w:t>циальной заготовки. В остальном задний мост ничем не от</w:t>
      </w:r>
      <w:r w:rsidRPr="00C33834">
        <w:rPr>
          <w:rFonts w:ascii="Times New Roman" w:hAnsi="Times New Roman"/>
          <w:color w:val="000000" w:themeColor="text1"/>
          <w:sz w:val="16"/>
          <w:szCs w:val="16"/>
        </w:rPr>
        <w:softHyphen/>
        <w:t>личается от среднего.</w:t>
      </w:r>
    </w:p>
    <w:p w14:paraId="038CF5E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Подвеска рессоры заднего моста осуществляется путем крепления усиленной рессоры непосредственно к траверсе. Траверса имеет шарнирное соединение с лонжеронами ра</w:t>
      </w:r>
      <w:r w:rsidRPr="00C33834">
        <w:rPr>
          <w:rFonts w:ascii="Times New Roman" w:hAnsi="Times New Roman"/>
          <w:color w:val="000000" w:themeColor="text1"/>
          <w:sz w:val="16"/>
          <w:szCs w:val="16"/>
        </w:rPr>
        <w:softHyphen/>
        <w:t>мы, допускающее горизонтальное перемещение рессоры вместе с задним мостом.</w:t>
      </w:r>
    </w:p>
    <w:p w14:paraId="51C3481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Бензобак - один, специальный, емкостью 78 л. Элект</w:t>
      </w:r>
      <w:r w:rsidRPr="00C33834">
        <w:rPr>
          <w:rFonts w:ascii="Times New Roman" w:hAnsi="Times New Roman"/>
          <w:color w:val="000000" w:themeColor="text1"/>
          <w:sz w:val="16"/>
          <w:szCs w:val="16"/>
        </w:rPr>
        <w:softHyphen/>
        <w:t>рооборудование — типовое, от ГАЗ-А...</w:t>
      </w:r>
    </w:p>
    <w:p w14:paraId="4BB143F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изготовление шасси ТК связано:</w:t>
      </w:r>
    </w:p>
    <w:p w14:paraId="6A88FF1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с поделкой новой рамы, состоящей из двух рам ГАЗ-А;</w:t>
      </w:r>
    </w:p>
    <w:p w14:paraId="24AE330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со значительными изменениями конструкции зад</w:t>
      </w:r>
      <w:r w:rsidRPr="00C33834">
        <w:rPr>
          <w:rFonts w:ascii="Times New Roman" w:hAnsi="Times New Roman"/>
          <w:color w:val="000000" w:themeColor="text1"/>
          <w:sz w:val="16"/>
          <w:szCs w:val="16"/>
        </w:rPr>
        <w:softHyphen/>
        <w:t>него моста, в который введено 27 штук новых деталей;</w:t>
      </w:r>
    </w:p>
    <w:p w14:paraId="49E9479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поделкой нового среднего моста, скомпонованного из 23 штук новых деталей и деталей автомобиля ГАЗ;</w:t>
      </w:r>
    </w:p>
    <w:p w14:paraId="156BA1A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 изменением передних и задних рессор, их под</w:t>
      </w:r>
      <w:r w:rsidRPr="00C33834">
        <w:rPr>
          <w:rFonts w:ascii="Times New Roman" w:hAnsi="Times New Roman"/>
          <w:color w:val="000000" w:themeColor="text1"/>
          <w:sz w:val="16"/>
          <w:szCs w:val="16"/>
        </w:rPr>
        <w:softHyphen/>
        <w:t>вески.</w:t>
      </w:r>
    </w:p>
    <w:p w14:paraId="5D264A6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 есть шасси ТК не может быть изготовлено из типо</w:t>
      </w:r>
      <w:r w:rsidRPr="00C33834">
        <w:rPr>
          <w:rFonts w:ascii="Times New Roman" w:hAnsi="Times New Roman"/>
          <w:color w:val="000000" w:themeColor="text1"/>
          <w:sz w:val="16"/>
          <w:szCs w:val="16"/>
        </w:rPr>
        <w:softHyphen/>
        <w:t>вых деталей и агрегатов ГАЗ-А и ГАЗ-АА и требует изго</w:t>
      </w:r>
      <w:r w:rsidRPr="00C33834">
        <w:rPr>
          <w:rFonts w:ascii="Times New Roman" w:hAnsi="Times New Roman"/>
          <w:color w:val="000000" w:themeColor="text1"/>
          <w:sz w:val="16"/>
          <w:szCs w:val="16"/>
        </w:rPr>
        <w:softHyphen/>
        <w:t>товления большого количества новых отливок, поковок и т. д.».</w:t>
      </w:r>
    </w:p>
    <w:p w14:paraId="21023CF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Естественно, что при таком раскладе надежность и ре</w:t>
      </w:r>
      <w:r w:rsidRPr="00C33834">
        <w:rPr>
          <w:rFonts w:ascii="Times New Roman" w:hAnsi="Times New Roman"/>
          <w:color w:val="000000" w:themeColor="text1"/>
          <w:sz w:val="16"/>
          <w:szCs w:val="16"/>
        </w:rPr>
        <w:softHyphen/>
        <w:t>монтопригодность такого автомобиля оставляла желать лучшего, хотя проходимость машины значительно возросла по сравнению с ГАЗ-А.</w:t>
      </w:r>
    </w:p>
    <w:p w14:paraId="6DE9DC3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 несмотря на столь критические отзывы УММ РККА, Курчевский, пользуясь активной поддержкой заме</w:t>
      </w:r>
      <w:r w:rsidRPr="00C33834">
        <w:rPr>
          <w:rFonts w:ascii="Times New Roman" w:hAnsi="Times New Roman"/>
          <w:color w:val="000000" w:themeColor="text1"/>
          <w:sz w:val="16"/>
          <w:szCs w:val="16"/>
        </w:rPr>
        <w:softHyphen/>
        <w:t>стителя председателя РВС СССР М. Тухачевского (послед</w:t>
      </w:r>
      <w:r w:rsidRPr="00C33834">
        <w:rPr>
          <w:rFonts w:ascii="Times New Roman" w:hAnsi="Times New Roman"/>
          <w:color w:val="000000" w:themeColor="text1"/>
          <w:sz w:val="16"/>
          <w:szCs w:val="16"/>
        </w:rPr>
        <w:softHyphen/>
        <w:t>нему очень нравились динамореактивные пушки, и он даже предлагал выпускать их вместо обычных артиллерийских орудий), «пробил» серийное производство ГАЗ-ТК на заво</w:t>
      </w:r>
      <w:r w:rsidRPr="00C33834">
        <w:rPr>
          <w:rFonts w:ascii="Times New Roman" w:hAnsi="Times New Roman"/>
          <w:color w:val="000000" w:themeColor="text1"/>
          <w:sz w:val="16"/>
          <w:szCs w:val="16"/>
        </w:rPr>
        <w:softHyphen/>
        <w:t>де «Гудок Октября», где в 1934-1935 годах изготовили не</w:t>
      </w:r>
      <w:r w:rsidRPr="00C33834">
        <w:rPr>
          <w:rFonts w:ascii="Times New Roman" w:hAnsi="Times New Roman"/>
          <w:color w:val="000000" w:themeColor="text1"/>
          <w:sz w:val="16"/>
          <w:szCs w:val="16"/>
        </w:rPr>
        <w:softHyphen/>
        <w:t>сколько сотен таких машин. 23 из них в качестве СПК (с 76-мм пушками) поступили на вооружение разведывательных батальонов стрелковых дивизий, остальные посту</w:t>
      </w:r>
      <w:r w:rsidRPr="00C33834">
        <w:rPr>
          <w:rFonts w:ascii="Times New Roman" w:hAnsi="Times New Roman"/>
          <w:color w:val="000000" w:themeColor="text1"/>
          <w:sz w:val="16"/>
          <w:szCs w:val="16"/>
        </w:rPr>
        <w:softHyphen/>
        <w:t>пили в РККА в качестве штабных машин (11284).</w:t>
      </w:r>
    </w:p>
    <w:p w14:paraId="3FB2404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5918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АМО был переименован в ЗИС (3263,419).</w:t>
      </w:r>
    </w:p>
    <w:p w14:paraId="591724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7D7061D" w14:textId="77777777" w:rsidR="00DC292A" w:rsidRPr="00C33834" w:rsidRDefault="00DC29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концу 1933 году В.А. Еленин добился рекордного выпуска нп ЯАЗ. Количество тяжелых грузовиков, произведенных в Ярославле, превысило 2000 штук в год. Показатели двух предыдущих лет были удвоенны. Но много это или мало? Ответ на этот вопрос дает статистика. Так, в 1933 году выпуск тяжелых грузовиков в Ярославле втрое (!) превысил, совокупное производство подобных машин всех заводов Североамериканских соединенных штатов и Канады! (19729).</w:t>
      </w:r>
    </w:p>
    <w:p w14:paraId="3F127654" w14:textId="77777777" w:rsidR="00DC292A" w:rsidRPr="00C33834" w:rsidRDefault="00DC292A" w:rsidP="00C33834">
      <w:pPr>
        <w:spacing w:after="0" w:line="240" w:lineRule="auto"/>
        <w:jc w:val="both"/>
        <w:rPr>
          <w:rFonts w:ascii="Times New Roman" w:hAnsi="Times New Roman"/>
          <w:color w:val="000000" w:themeColor="text1"/>
          <w:sz w:val="16"/>
          <w:szCs w:val="16"/>
        </w:rPr>
      </w:pPr>
    </w:p>
    <w:p w14:paraId="42524EA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конце 1933 г. по всей стране шла подготовка к очередному </w:t>
      </w:r>
      <w:r w:rsidRPr="00C33834">
        <w:rPr>
          <w:rFonts w:ascii="Times New Roman" w:hAnsi="Times New Roman"/>
          <w:color w:val="000000" w:themeColor="text1"/>
          <w:sz w:val="16"/>
          <w:szCs w:val="16"/>
          <w:lang w:val="en-US"/>
        </w:rPr>
        <w:t>XVII</w:t>
      </w:r>
      <w:r w:rsidRPr="00C33834">
        <w:rPr>
          <w:rFonts w:ascii="Times New Roman" w:hAnsi="Times New Roman"/>
          <w:color w:val="000000" w:themeColor="text1"/>
          <w:sz w:val="16"/>
          <w:szCs w:val="16"/>
        </w:rPr>
        <w:t xml:space="preserve"> съезду ВКП(б). Большим производственным достижением считалось внедрение к этому событию новой продукции. Руко</w:t>
      </w:r>
      <w:r w:rsidRPr="00C33834">
        <w:rPr>
          <w:rFonts w:ascii="Times New Roman" w:hAnsi="Times New Roman"/>
          <w:color w:val="000000" w:themeColor="text1"/>
          <w:sz w:val="16"/>
          <w:szCs w:val="16"/>
        </w:rPr>
        <w:softHyphen/>
        <w:t>водство НАТИ обязало П.В. Можарова изготовить промышлен</w:t>
      </w:r>
      <w:r w:rsidRPr="00C33834">
        <w:rPr>
          <w:rFonts w:ascii="Times New Roman" w:hAnsi="Times New Roman"/>
          <w:color w:val="000000" w:themeColor="text1"/>
          <w:sz w:val="16"/>
          <w:szCs w:val="16"/>
        </w:rPr>
        <w:softHyphen/>
        <w:t>ный образец армейского мотоцикла к открытию съезда, что уда</w:t>
      </w:r>
      <w:r w:rsidRPr="00C33834">
        <w:rPr>
          <w:rFonts w:ascii="Times New Roman" w:hAnsi="Times New Roman"/>
          <w:color w:val="000000" w:themeColor="text1"/>
          <w:sz w:val="16"/>
          <w:szCs w:val="16"/>
        </w:rPr>
        <w:softHyphen/>
        <w:t xml:space="preserve">лось с большим </w:t>
      </w:r>
      <w:r w:rsidRPr="00C33834">
        <w:rPr>
          <w:rFonts w:ascii="Times New Roman" w:hAnsi="Times New Roman"/>
          <w:color w:val="000000" w:themeColor="text1"/>
          <w:sz w:val="16"/>
          <w:szCs w:val="16"/>
        </w:rPr>
        <w:lastRenderedPageBreak/>
        <w:t>трудом. В начале февраля 1934 г. на ПМЗ сдела</w:t>
      </w:r>
      <w:r w:rsidRPr="00C33834">
        <w:rPr>
          <w:rFonts w:ascii="Times New Roman" w:hAnsi="Times New Roman"/>
          <w:color w:val="000000" w:themeColor="text1"/>
          <w:sz w:val="16"/>
          <w:szCs w:val="16"/>
        </w:rPr>
        <w:softHyphen/>
        <w:t>ли промышленный образец мотоцикла НАТИ-А-750, и отправи</w:t>
      </w:r>
      <w:r w:rsidRPr="00C33834">
        <w:rPr>
          <w:rFonts w:ascii="Times New Roman" w:hAnsi="Times New Roman"/>
          <w:color w:val="000000" w:themeColor="text1"/>
          <w:sz w:val="16"/>
          <w:szCs w:val="16"/>
        </w:rPr>
        <w:softHyphen/>
        <w:t xml:space="preserve">ли в Кремль на выставку, посвященную открытию </w:t>
      </w:r>
      <w:r w:rsidRPr="00C33834">
        <w:rPr>
          <w:rFonts w:ascii="Times New Roman" w:hAnsi="Times New Roman"/>
          <w:color w:val="000000" w:themeColor="text1"/>
          <w:sz w:val="16"/>
          <w:szCs w:val="16"/>
          <w:lang w:val="en-US"/>
        </w:rPr>
        <w:t>XVII</w:t>
      </w:r>
      <w:r w:rsidRPr="00C33834">
        <w:rPr>
          <w:rFonts w:ascii="Times New Roman" w:hAnsi="Times New Roman"/>
          <w:color w:val="000000" w:themeColor="text1"/>
          <w:sz w:val="16"/>
          <w:szCs w:val="16"/>
        </w:rPr>
        <w:t xml:space="preserve"> съезда ВКП(б). На руководство страны машина произвела хорошее впе</w:t>
      </w:r>
      <w:r w:rsidRPr="00C33834">
        <w:rPr>
          <w:rFonts w:ascii="Times New Roman" w:hAnsi="Times New Roman"/>
          <w:color w:val="000000" w:themeColor="text1"/>
          <w:sz w:val="16"/>
          <w:szCs w:val="16"/>
        </w:rPr>
        <w:softHyphen/>
        <w:t>чатление. Начальство поощрило П.В. Можарова предоставлени</w:t>
      </w:r>
      <w:r w:rsidRPr="00C33834">
        <w:rPr>
          <w:rFonts w:ascii="Times New Roman" w:hAnsi="Times New Roman"/>
          <w:color w:val="000000" w:themeColor="text1"/>
          <w:sz w:val="16"/>
          <w:szCs w:val="16"/>
        </w:rPr>
        <w:softHyphen/>
        <w:t>ем ему отпуска и путевки в санаторий ЦК партии в Сочи, где 11 марта он скоропостижно скончался [4.130]. Без П.В. Можарова коллективу ПМЗ пришлось трудно. Освое</w:t>
      </w:r>
      <w:r w:rsidRPr="00C33834">
        <w:rPr>
          <w:rFonts w:ascii="Times New Roman" w:hAnsi="Times New Roman"/>
          <w:color w:val="000000" w:themeColor="text1"/>
          <w:sz w:val="16"/>
          <w:szCs w:val="16"/>
        </w:rPr>
        <w:softHyphen/>
        <w:t>ние выпуска мотоцикла НАТИ-А-750 продвигалось с трудом. Лишь через год к 1 мая 1935 г. на ПМЗ изготовили три мотоцик</w:t>
      </w:r>
      <w:r w:rsidRPr="00C33834">
        <w:rPr>
          <w:rFonts w:ascii="Times New Roman" w:hAnsi="Times New Roman"/>
          <w:color w:val="000000" w:themeColor="text1"/>
          <w:sz w:val="16"/>
          <w:szCs w:val="16"/>
        </w:rPr>
        <w:softHyphen/>
        <w:t>ла, а к концу второго квартала - еще шесть. 25 июля девять но</w:t>
      </w:r>
      <w:r w:rsidRPr="00C33834">
        <w:rPr>
          <w:rFonts w:ascii="Times New Roman" w:hAnsi="Times New Roman"/>
          <w:color w:val="000000" w:themeColor="text1"/>
          <w:sz w:val="16"/>
          <w:szCs w:val="16"/>
        </w:rPr>
        <w:softHyphen/>
        <w:t>вых мотоциклов своим ходом прибыли в НКТП. Во дворе нарко</w:t>
      </w:r>
      <w:r w:rsidRPr="00C33834">
        <w:rPr>
          <w:rFonts w:ascii="Times New Roman" w:hAnsi="Times New Roman"/>
          <w:color w:val="000000" w:themeColor="text1"/>
          <w:sz w:val="16"/>
          <w:szCs w:val="16"/>
        </w:rPr>
        <w:softHyphen/>
        <w:t>мата Г.К. Орджоникидзе осмотрел их, интересуясь устройством, внешней отделкой и скоростью. Технический директор завода Зубков сообщил наркому, что в текущем году намечено сделать 100 таких мотоциклов, а в 1936 г. - ещё 500. Однако нарком внёс серьёзную поправку в планы предприятия: «Этого мало. Таких машин в будущем году надо сделать не меньше 1500. Надо как можно скорее развивать это производство». Слова «Железного наркома» возымели действие. В 1934 году всего сделали 15 машин ПМЗ-А-750 [4.93]. Для серийного выпус</w:t>
      </w:r>
      <w:r w:rsidRPr="00C33834">
        <w:rPr>
          <w:rFonts w:ascii="Times New Roman" w:hAnsi="Times New Roman"/>
          <w:color w:val="000000" w:themeColor="text1"/>
          <w:sz w:val="16"/>
          <w:szCs w:val="16"/>
        </w:rPr>
        <w:softHyphen/>
        <w:t>ка этих мотоциклов спроектировали специальный цех, строи</w:t>
      </w:r>
      <w:r w:rsidRPr="00C33834">
        <w:rPr>
          <w:rFonts w:ascii="Times New Roman" w:hAnsi="Times New Roman"/>
          <w:color w:val="000000" w:themeColor="text1"/>
          <w:sz w:val="16"/>
          <w:szCs w:val="16"/>
        </w:rPr>
        <w:softHyphen/>
        <w:t>тельство которого полным ходом шло в следующем году одно</w:t>
      </w:r>
      <w:r w:rsidRPr="00C33834">
        <w:rPr>
          <w:rFonts w:ascii="Times New Roman" w:hAnsi="Times New Roman"/>
          <w:color w:val="000000" w:themeColor="text1"/>
          <w:sz w:val="16"/>
          <w:szCs w:val="16"/>
        </w:rPr>
        <w:softHyphen/>
        <w:t>временно с расширением производственных мощностей [4.131]. Вскоре нарком тяжелой промышленности Г.К. Орджоникид</w:t>
      </w:r>
      <w:r w:rsidRPr="00C33834">
        <w:rPr>
          <w:rFonts w:ascii="Times New Roman" w:hAnsi="Times New Roman"/>
          <w:color w:val="000000" w:themeColor="text1"/>
          <w:sz w:val="16"/>
          <w:szCs w:val="16"/>
        </w:rPr>
        <w:softHyphen/>
        <w:t>зе распорядился об изготовлении в 1936 г. 10 тыс. мотоциклов, из которых 2700 экземпляров НАТИ-А-750 поручили сделать ПМЗ, а заводу им. Фрунзе - 1000 экземпляров [4.79]. Для налаживания серийного выпуска НАТИ-А-750 конструкторы ПМЗ доработали чертежи и изменили название модели на ПМЗ-А-750. С 1936 года первый серийный отечественный армейский мотоцикл обознача</w:t>
      </w:r>
      <w:r w:rsidRPr="00C33834">
        <w:rPr>
          <w:rFonts w:ascii="Times New Roman" w:hAnsi="Times New Roman"/>
          <w:color w:val="000000" w:themeColor="text1"/>
          <w:sz w:val="16"/>
          <w:szCs w:val="16"/>
        </w:rPr>
        <w:softHyphen/>
        <w:t>ли ПМЗ-А-750, нередко сокращая в написании до А-750 или ПМЗ-750. Новинка поступала и в розничную продажу. Первона</w:t>
      </w:r>
      <w:r w:rsidRPr="00C33834">
        <w:rPr>
          <w:rFonts w:ascii="Times New Roman" w:hAnsi="Times New Roman"/>
          <w:color w:val="000000" w:themeColor="text1"/>
          <w:sz w:val="16"/>
          <w:szCs w:val="16"/>
        </w:rPr>
        <w:softHyphen/>
        <w:t>чально её цена составляла 11 550 р., и она была недоступна широ</w:t>
      </w:r>
      <w:r w:rsidRPr="00C33834">
        <w:rPr>
          <w:rFonts w:ascii="Times New Roman" w:hAnsi="Times New Roman"/>
          <w:color w:val="000000" w:themeColor="text1"/>
          <w:sz w:val="16"/>
          <w:szCs w:val="16"/>
        </w:rPr>
        <w:softHyphen/>
        <w:t>ким слоям трудящихся, но затем в 1937 г. стоимость снизили до 7760 р. [4.84], благодаря чему ПМЗ-750 стали покупать мотолю</w:t>
      </w:r>
      <w:r w:rsidRPr="00C33834">
        <w:rPr>
          <w:rFonts w:ascii="Times New Roman" w:hAnsi="Times New Roman"/>
          <w:color w:val="000000" w:themeColor="text1"/>
          <w:sz w:val="16"/>
          <w:szCs w:val="16"/>
        </w:rPr>
        <w:softHyphen/>
        <w:t>бители. Для облегчения изучения устройства нового мотоцикла в автомотоклубах, школах вождения и домашних условиях Госиз</w:t>
      </w:r>
      <w:r w:rsidRPr="00C33834">
        <w:rPr>
          <w:rFonts w:ascii="Times New Roman" w:hAnsi="Times New Roman"/>
          <w:color w:val="000000" w:themeColor="text1"/>
          <w:sz w:val="16"/>
          <w:szCs w:val="16"/>
        </w:rPr>
        <w:softHyphen/>
        <w:t>дат выпустил серию учебных плакатов по этой машине [4.85] (11429).</w:t>
      </w:r>
    </w:p>
    <w:p w14:paraId="6AA04A3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4BE8E3" w14:textId="77777777" w:rsidR="001E60C4" w:rsidRPr="00C33834" w:rsidRDefault="001E60C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среди заданий заводу Можерез, среди прочих фигурировала: «Бронедрезина Форд-АА (Д-37) - изготовлен корпус со съемной верхней частью, рубкой и башней для 76-мм пушки с укороченным откатом без поворотного механизма башни. Установлена спаренная пулеметная установка Максима, 2 бортовых и 1 башенный ДТ. Изготовлены и установлены стеллажи для вооружения, управление и тормозное устройство. Изготовлена новая передняя ось, колеса, рессоры. Заводские испытания системы проводились с некоторыми переделками несколько раз. К окончательным испытаниям Д-37 будет готова 15 декабря 1932 года»</w:t>
      </w:r>
    </w:p>
    <w:p w14:paraId="55321C30" w14:textId="77777777" w:rsidR="001E60C4" w:rsidRPr="00C33834" w:rsidRDefault="001E60C4"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этом масса Д-37 составила 8400 кг, боекомплект пушки насчитывал 224 снаряда, а экипаж вырос до 7 человек Кроме того, бронедрезину оборудовали приспособлением для перемещения на параллельный железнодорожный путь. Это позволяло в боевой обстановке использовать соседнее рельсовое полотно для объезда разбитых участков дороги, а также пропускать поезда при движении по одноколейной железной дороге. Приспособление состояло из механизма выключения рессор, двух домкратов и двух пар разъемных балок. Порядок действий был следующий. Сначала отключались рессоры, чтобы колеса поднимались вместе с корпусом не выбирая их прогиба. Затем при помощи двух одновременно работающих домкратов дрезину поднимали на высоту, выводящую реборду колеса не более чем 5 мм от головки рельса. После этого на рельсы укладывались балки, которые крепились к рельсам и специальным опорным кронштейнам (при этом обязательно выверялась горизонтальность и параллельность обеих балок). При этом балки клали таким образом, чтобы на них попали две пары роликов, закрепленных внизу на передней и задней частях корпуса. После этого дрезину перекатывали на параллельный путь или откатывали в сторону, пропуская железнодорожный состав. Перекатывание могло осуществляться вручную - для этого было достаточно усилий 4 человек - или при помощи 0,5-тонной лебедки, один конец цепи которой закреплялся за наружную опору (телеграфный, сигнальный или какой-то другой столб), а другой за рым, приваренный к полу дрезины. Передвижение таким образом могло вестись при расстоянии между путями не более 4,1 м. В походном положении балки укладывались в специальные зажимы вдоль бортов корпуса снизу, опорные кронштейны на корме дрезины, а прочий крепеж - внутри (18626). </w:t>
      </w:r>
    </w:p>
    <w:p w14:paraId="7E704177" w14:textId="77777777" w:rsidR="001E60C4" w:rsidRPr="00C33834" w:rsidRDefault="001E60C4" w:rsidP="00C33834">
      <w:pPr>
        <w:spacing w:after="0" w:line="240" w:lineRule="auto"/>
        <w:jc w:val="both"/>
        <w:rPr>
          <w:rFonts w:ascii="Times New Roman" w:hAnsi="Times New Roman"/>
          <w:color w:val="000000" w:themeColor="text1"/>
          <w:sz w:val="16"/>
          <w:szCs w:val="16"/>
        </w:rPr>
      </w:pPr>
    </w:p>
    <w:p w14:paraId="1813219D" w14:textId="77777777" w:rsidR="0078175A" w:rsidRPr="00C33834" w:rsidRDefault="0078175A"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конце 1933 г. в ЦРЛ Ю. К. Коровин и С. Н. Савин, используя макет передающей и приемной аппаратуры на волне 50 сантиметров, провели наблюдения отраженных от летящего самолета радиоволн; дальность обнаружения составила 600–700 метров. В опытах применялись незатухающие непрерывные колебания дециметрового диапазона волн, параболические антенны у передатчика и приемника. Прием велся на слух (22738).</w:t>
      </w:r>
    </w:p>
    <w:p w14:paraId="30FD5209" w14:textId="77777777" w:rsidR="0078175A" w:rsidRPr="00C33834" w:rsidRDefault="0078175A" w:rsidP="00C33834">
      <w:pPr>
        <w:spacing w:after="0" w:line="240" w:lineRule="auto"/>
        <w:jc w:val="both"/>
        <w:rPr>
          <w:rFonts w:ascii="Times New Roman" w:hAnsi="Times New Roman"/>
          <w:color w:val="0070C0"/>
          <w:sz w:val="16"/>
          <w:szCs w:val="16"/>
        </w:rPr>
      </w:pPr>
    </w:p>
    <w:p w14:paraId="338C5EE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концу 1933 г. на производственно-экономической конференции Электрокомбината по укреплению и внедрению хозрасчёта победно заявлялось: «заводы переведены на полный хозрасчёт, получили самостоятельные счета в гос. банке и установили непосредственные связи и самостоятельные расчёты с покупателями и поставщиками. 90% всех цехов переведены на хозрасчёт, получают лимиты оборотных средств и отвечают контролем рубля за выполнение количественных и качественных показателей плана». В тоже время указывалось, что заводы не уделяют должного внимания борьбе с неплательщиками долгов. В результате в 1933 г. Комбинат получил 117000 руб. пеней и уплатил 920000 руб. штрафов. «Отделы снабжения заводов иногда отпускают цехам материалы «в кредит»…. Практика посылки записочек административно-хозяйственным персоналом, особенно в последнюю декаду, о выдаче цеху материалов, независимо от наличия у цеха средств, легализует нарушение цехового хозрасчёта. По большинству заводов отсутствует систематический контроль за выполнением хозрасчётных обязательств цеха. Органы, осуществляющие хозрасчёт цеха (планово-производственный и финансовый отделы) зачастую не делают никаких выводов, не принимают конкретных мер в отношении цехов, у которых имеется перерасход в течении продолжительного времени. Например, цех тугоплавких металлов Лампового завода в течении ряда месяцев имеет значительный дефицит (около 0,5 мил. руб.)». В целом, складывается впечатление, что цеховое и заводское начальство отнеслись к хозрасчёту структурных единиц свыше бригады без энтузиазма. Приказали – сделаем, но на первом месте – выполнение производственных заданий, а не игра в «рынок по-советски». Итак, подытоживая, следует отметить два момента. С одной стороны, вопреки распространённым стереотипам, слом НЭПа и переход к форсированной индустриализации вовсе не означал однозначного курса на ликвидацию вообще всех традиционных рыночных рычагов управления экономикой. Скорее тут может идти речь о переносе хозрасчётных отношений всё глубже и глубже – сначала с треста на завод, потом на уровень цеха, затем – на уровень бригады. С другой стороны, попытки совместить хозрасчётный тренд с генеральным курсом на выполнение плана достаточно быстро закончились провалом. Итак, очередная попытка не увенчалась успехом… Значит – следовало найти новый, более эффективный способ интенсификации труда! (11564).</w:t>
      </w:r>
    </w:p>
    <w:p w14:paraId="2B209F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DA3234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 на базе ВЭСО создано ГУ электрослаботочной промышленности («Главэспром») НКТП, куда помимо ламповых заводов вошли заводы им. Козицкого, им. Коминтерна, им. Кулакова, «Красная заря», «Электроприбор», горьковский им. Ленина, московские им. Орджоникидзе, «Радиоприбор», воронежский «Электросигнал». В 1937г. «Главэспром» вошел в состав НКОП и переименован в 5ГУ. В 1940 г. вошел во вновь образованный НКЭП как «Главсветвакуумпром». В его подчинении находилось 40 заводов (11982).</w:t>
      </w:r>
    </w:p>
    <w:p w14:paraId="168E3E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A05716A" w14:textId="77777777" w:rsidR="001B11E8" w:rsidRPr="00C33834" w:rsidRDefault="001B11E8" w:rsidP="00C33834">
      <w:pPr>
        <w:pStyle w:val="ae"/>
        <w:spacing w:before="0" w:after="0"/>
        <w:jc w:val="both"/>
        <w:rPr>
          <w:color w:val="000000" w:themeColor="text1"/>
          <w:sz w:val="16"/>
          <w:szCs w:val="16"/>
        </w:rPr>
      </w:pPr>
      <w:r w:rsidRPr="00C33834">
        <w:rPr>
          <w:color w:val="000000" w:themeColor="text1"/>
          <w:sz w:val="16"/>
          <w:szCs w:val="16"/>
        </w:rPr>
        <w:t>В конце 1933 года в Москве была сформирована рабочая группа из специалистов Спецотдела НКВД и командиров штаба РККА, которой было поручено отобрать из предприятий Москвы и Ленинграда наиболее пригодные для разработки и выпуска отечественной шифровальной техники (15736).</w:t>
      </w:r>
    </w:p>
    <w:p w14:paraId="6DDCE1EC" w14:textId="77777777" w:rsidR="001B11E8" w:rsidRPr="00C33834" w:rsidRDefault="001B11E8" w:rsidP="00C33834">
      <w:pPr>
        <w:pStyle w:val="ae"/>
        <w:spacing w:before="0" w:after="0"/>
        <w:jc w:val="both"/>
        <w:rPr>
          <w:color w:val="000000" w:themeColor="text1"/>
          <w:sz w:val="16"/>
          <w:szCs w:val="16"/>
        </w:rPr>
      </w:pPr>
    </w:p>
    <w:p w14:paraId="4DD4029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конца 1933 г. завод «Радиоприбор» - в ведении «Главэспрома» НКТП. По пр. НКОП № Обсс от 30.12.1936 г. завод «Радиоприбор» переименован в завод № 192, в 03.1937 г. - в ведении 5ГУ НКОП, приказом № 116 от 31.03.1937 г. утвержден Устав завода. По пр. № 108с от 25.03.1938 г. передан в ведение нового 20ГУ. В 02.1939 г. из 20ГУ передан в ведение НКСП.</w:t>
      </w:r>
    </w:p>
    <w:p w14:paraId="5974050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заводе № 192 проводились работы по установке аппаратуры «телеуправления»: на самолет ТБ-1 - «Кварц», а на катер- «Вольт-Р» конструкции А.Ф. Шорина. Испатания проводились в 08.1931 г.</w:t>
      </w:r>
      <w:r w:rsidRPr="00C33834">
        <w:rPr>
          <w:rFonts w:ascii="Times New Roman" w:hAnsi="Times New Roman"/>
          <w:color w:val="000000" w:themeColor="text1"/>
          <w:sz w:val="16"/>
          <w:szCs w:val="16"/>
          <w:vertAlign w:val="superscript"/>
        </w:rPr>
        <w:t>3</w:t>
      </w:r>
    </w:p>
    <w:p w14:paraId="52F2349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Приказом № 0020 от 3.02.1937 г. предписано к 1.01.1938 г. закончить достройку и оборудование завода, создать мощности по производству приборов телемеханического управления. По пр. № 0067 от 31.03.1937 г. корпус деревообделочного цеха завода передан заводу № 205, по пр. № 164сс от 14.05.1938 г. он передан со всем оборудованием и кадрами Всекопромлессоюзу.</w:t>
      </w:r>
    </w:p>
    <w:p w14:paraId="30D8442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 № 228сс от 1.07.1938 г. заводу поручено изготовить в 1938 г. 100 рассеивателей к приборам «Луч».</w:t>
      </w:r>
    </w:p>
    <w:p w14:paraId="73BC121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Сюда в 1941 г. эвакуирована часть завода № 194 НКСП. Затем сам завод № 192 эвакуирован в Сталинград и Сталинск-Кузнецкий.</w:t>
      </w:r>
      <w:r w:rsidRPr="00C33834">
        <w:rPr>
          <w:rFonts w:ascii="Times New Roman" w:hAnsi="Times New Roman"/>
          <w:color w:val="000000" w:themeColor="text1"/>
          <w:sz w:val="16"/>
          <w:szCs w:val="16"/>
          <w:vertAlign w:val="superscript"/>
        </w:rPr>
        <w:t>61</w:t>
      </w:r>
      <w:r w:rsidRPr="00C33834">
        <w:rPr>
          <w:rFonts w:ascii="Times New Roman" w:hAnsi="Times New Roman"/>
          <w:color w:val="000000" w:themeColor="text1"/>
          <w:sz w:val="16"/>
          <w:szCs w:val="16"/>
        </w:rPr>
        <w:t xml:space="preserve"> Действовал в Сталинске в 1942 г.</w:t>
      </w:r>
    </w:p>
    <w:p w14:paraId="110FE3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площадке эвакуированного завода в Москве организован филиал завода. В соответствии с распоряжением СНК СССР от 23.05.1942 г. и приказом НКСП от 26.04.1942 г. из филиалов заводов № 192 и № 252 организован самостоятельный завод № 703 НКСП.</w:t>
      </w:r>
      <w:r w:rsidRPr="00C33834">
        <w:rPr>
          <w:rFonts w:ascii="Times New Roman" w:hAnsi="Times New Roman"/>
          <w:color w:val="000000" w:themeColor="text1"/>
          <w:sz w:val="16"/>
          <w:szCs w:val="16"/>
          <w:vertAlign w:val="superscript"/>
        </w:rPr>
        <w:t>103</w:t>
      </w:r>
    </w:p>
    <w:p w14:paraId="29913D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Директор (-06.1937-15.06.1938 г.)- </w:t>
      </w:r>
      <w:r w:rsidRPr="00C33834">
        <w:rPr>
          <w:rFonts w:ascii="Times New Roman" w:hAnsi="Times New Roman"/>
          <w:color w:val="000000" w:themeColor="text1"/>
          <w:sz w:val="16"/>
          <w:szCs w:val="16"/>
          <w:lang w:val="en-US"/>
        </w:rPr>
        <w:t>A</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M</w:t>
      </w:r>
      <w:r w:rsidRPr="00C33834">
        <w:rPr>
          <w:rFonts w:ascii="Times New Roman" w:hAnsi="Times New Roman"/>
          <w:color w:val="000000" w:themeColor="text1"/>
          <w:sz w:val="16"/>
          <w:szCs w:val="16"/>
        </w:rPr>
        <w:t>. Бодров (снят); и.о. (15.06-07.1938 г.-)- В.П. Пигин; (09.1938 г.)- Т.П. Духовский.</w:t>
      </w:r>
    </w:p>
    <w:p w14:paraId="43EC4B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Помощник директора по найму и увольнению (-8.05.1937 г.)- Е.В. Хомяков, (8.05.1937 г.-)-  Г.В. Соколовский.</w:t>
      </w:r>
    </w:p>
    <w:p w14:paraId="5B103C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(-27.05.1937 г.)- А.С. Брейтбурт, (-31.12.1938 г.)- В.П. Пигин.</w:t>
      </w:r>
    </w:p>
    <w:p w14:paraId="18F981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инженеры: цеха №5 (-11.1937 г.)- С.М. Гайденков; ОКС (1938 г.)- Горохов.</w:t>
      </w:r>
    </w:p>
    <w:p w14:paraId="36DC989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Производство: объекты </w:t>
      </w:r>
      <w:r w:rsidRPr="00C33834">
        <w:rPr>
          <w:rFonts w:ascii="Times New Roman" w:hAnsi="Times New Roman"/>
          <w:color w:val="000000" w:themeColor="text1"/>
          <w:sz w:val="16"/>
          <w:szCs w:val="16"/>
          <w:lang w:val="en-US"/>
        </w:rPr>
        <w:t>III</w:t>
      </w:r>
      <w:r w:rsidRPr="00C33834">
        <w:rPr>
          <w:rFonts w:ascii="Times New Roman" w:hAnsi="Times New Roman"/>
          <w:color w:val="000000" w:themeColor="text1"/>
          <w:sz w:val="16"/>
          <w:szCs w:val="16"/>
        </w:rPr>
        <w:t>, X осн, XIV (1938) (11982).</w:t>
      </w:r>
    </w:p>
    <w:p w14:paraId="47D700D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E4841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 несмотря на сомнительную целесообразность такой модерни</w:t>
      </w:r>
      <w:r w:rsidRPr="00C33834">
        <w:rPr>
          <w:rFonts w:ascii="Times New Roman" w:hAnsi="Times New Roman"/>
          <w:color w:val="000000" w:themeColor="text1"/>
          <w:sz w:val="16"/>
          <w:szCs w:val="16"/>
        </w:rPr>
        <w:softHyphen/>
        <w:t>зации, стоившей более 2 млн руб., наморси СССР В. М. Орлов разрешил ее проведение на одной лодке. Выбор пал на подводную лодку "Комиссар" (с сентября 1934 г. — Б-2). Модер</w:t>
      </w:r>
      <w:r w:rsidRPr="00C33834">
        <w:rPr>
          <w:rFonts w:ascii="Times New Roman" w:hAnsi="Times New Roman"/>
          <w:color w:val="000000" w:themeColor="text1"/>
          <w:sz w:val="16"/>
          <w:szCs w:val="16"/>
        </w:rPr>
        <w:softHyphen/>
        <w:t>низацию в 1934—1935 гг. выполнил Балтийский завод по проекту инженеров ЦКБС-2 во главе с П. В. Белкиным.</w:t>
      </w:r>
    </w:p>
    <w:p w14:paraId="5503B09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прочном корпусе Б-2 были установлены две плоские водо</w:t>
      </w:r>
      <w:r w:rsidRPr="00C33834">
        <w:rPr>
          <w:rFonts w:ascii="Times New Roman" w:hAnsi="Times New Roman"/>
          <w:color w:val="000000" w:themeColor="text1"/>
          <w:sz w:val="16"/>
          <w:szCs w:val="16"/>
        </w:rPr>
        <w:softHyphen/>
        <w:t>непроницаемые переборки, подразделявшие лодку на три отсека. Замена 250-сильных дизелей на дизели типа 38-В-8 (по 685 л. с.) позволила довести надводную скорость до 15,5 уз. Однако главное вооружение лодки оставалось слабым (четыре торпедных аппарата калибром 450 мм) (3898).</w:t>
      </w:r>
    </w:p>
    <w:p w14:paraId="099A8C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D91ADD6" w14:textId="77777777" w:rsidR="00A62F5F" w:rsidRPr="00C33834" w:rsidRDefault="00A62F5F" w:rsidP="00C33834">
      <w:pPr>
        <w:shd w:val="clear" w:color="auto" w:fill="FFFFFF"/>
        <w:spacing w:after="0" w:line="240" w:lineRule="auto"/>
        <w:jc w:val="both"/>
        <w:rPr>
          <w:rFonts w:ascii="Times New Roman" w:hAnsi="Times New Roman"/>
          <w:i/>
          <w:iCs/>
          <w:color w:val="0070C0"/>
          <w:sz w:val="16"/>
          <w:szCs w:val="16"/>
        </w:rPr>
      </w:pPr>
      <w:r w:rsidRPr="00C33834">
        <w:rPr>
          <w:rStyle w:val="88"/>
          <w:rFonts w:ascii="Times New Roman" w:hAnsi="Times New Roman" w:cs="Times New Roman"/>
          <w:color w:val="0070C0"/>
          <w:sz w:val="16"/>
          <w:szCs w:val="16"/>
          <w:u w:val="none"/>
        </w:rPr>
        <w:t>К концу 1933 г. ударный труд судостроителей и моря</w:t>
      </w:r>
      <w:r w:rsidRPr="00C33834">
        <w:rPr>
          <w:rStyle w:val="88"/>
          <w:rFonts w:ascii="Times New Roman" w:hAnsi="Times New Roman" w:cs="Times New Roman"/>
          <w:color w:val="0070C0"/>
          <w:sz w:val="16"/>
          <w:szCs w:val="16"/>
          <w:u w:val="none"/>
        </w:rPr>
        <w:softHyphen/>
        <w:t>ков-тихоокеанцев позволил</w:t>
      </w:r>
      <w:r w:rsidRPr="00C33834">
        <w:rPr>
          <w:rStyle w:val="88"/>
          <w:rFonts w:ascii="Times New Roman" w:hAnsi="Times New Roman" w:cs="Times New Roman"/>
          <w:color w:val="0070C0"/>
          <w:sz w:val="16"/>
          <w:szCs w:val="16"/>
        </w:rPr>
        <w:t xml:space="preserve"> </w:t>
      </w:r>
      <w:r w:rsidRPr="00C33834">
        <w:rPr>
          <w:rStyle w:val="89"/>
          <w:rFonts w:ascii="Times New Roman" w:hAnsi="Times New Roman" w:cs="Times New Roman"/>
          <w:color w:val="0070C0"/>
          <w:sz w:val="16"/>
          <w:szCs w:val="16"/>
        </w:rPr>
        <w:t>сдать флоту первые восемь «Щук». Еще 23.9.1933 г. было объявлено, что 2-я мор</w:t>
      </w:r>
      <w:r w:rsidRPr="00C33834">
        <w:rPr>
          <w:rStyle w:val="89"/>
          <w:rFonts w:ascii="Times New Roman" w:hAnsi="Times New Roman" w:cs="Times New Roman"/>
          <w:color w:val="0070C0"/>
          <w:sz w:val="16"/>
          <w:szCs w:val="16"/>
        </w:rPr>
        <w:softHyphen/>
        <w:t>ская бригада МСДВ считается сформирован</w:t>
      </w:r>
      <w:r w:rsidRPr="00C33834">
        <w:rPr>
          <w:rStyle w:val="89"/>
          <w:rFonts w:ascii="Times New Roman" w:hAnsi="Times New Roman" w:cs="Times New Roman"/>
          <w:color w:val="0070C0"/>
          <w:sz w:val="16"/>
          <w:szCs w:val="16"/>
        </w:rPr>
        <w:softHyphen/>
        <w:t>ной. Ее первым командиром стал К.О. Оси</w:t>
      </w:r>
      <w:r w:rsidRPr="00C33834">
        <w:rPr>
          <w:rStyle w:val="89"/>
          <w:rFonts w:ascii="Times New Roman" w:hAnsi="Times New Roman" w:cs="Times New Roman"/>
          <w:color w:val="0070C0"/>
          <w:sz w:val="16"/>
          <w:szCs w:val="16"/>
        </w:rPr>
        <w:softHyphen/>
        <w:t>пов. Соединение могло обеспечить непре</w:t>
      </w:r>
      <w:r w:rsidRPr="00C33834">
        <w:rPr>
          <w:rStyle w:val="89"/>
          <w:rFonts w:ascii="Times New Roman" w:hAnsi="Times New Roman" w:cs="Times New Roman"/>
          <w:color w:val="0070C0"/>
          <w:sz w:val="16"/>
          <w:szCs w:val="16"/>
        </w:rPr>
        <w:softHyphen/>
        <w:t>рывное «обслуживание» субмаринами 3-4 позиций на коммуникациях или у баз про</w:t>
      </w:r>
      <w:r w:rsidRPr="00C33834">
        <w:rPr>
          <w:rStyle w:val="89"/>
          <w:rFonts w:ascii="Times New Roman" w:hAnsi="Times New Roman" w:cs="Times New Roman"/>
          <w:color w:val="0070C0"/>
          <w:sz w:val="16"/>
          <w:szCs w:val="16"/>
        </w:rPr>
        <w:softHyphen/>
        <w:t>тивника. Говоря в 1934 г. с трибуны XVII съезда ВКП(б) о развертывании военно- морских сил на Севере и Дальнем Востоке, Наркомвоенмор К.Е. Ворошилов подчерки</w:t>
      </w:r>
      <w:r w:rsidRPr="00C33834">
        <w:rPr>
          <w:rStyle w:val="89"/>
          <w:rFonts w:ascii="Times New Roman" w:hAnsi="Times New Roman" w:cs="Times New Roman"/>
          <w:color w:val="0070C0"/>
          <w:sz w:val="16"/>
          <w:szCs w:val="16"/>
        </w:rPr>
        <w:softHyphen/>
        <w:t>вал, что:</w:t>
      </w:r>
      <w:r w:rsidRPr="00C33834">
        <w:rPr>
          <w:rStyle w:val="aff5"/>
          <w:rFonts w:ascii="Times New Roman" w:hAnsi="Times New Roman" w:cs="Times New Roman"/>
          <w:color w:val="0070C0"/>
        </w:rPr>
        <w:t xml:space="preserve"> </w:t>
      </w:r>
      <w:r w:rsidRPr="00C33834">
        <w:rPr>
          <w:rStyle w:val="aff5"/>
          <w:rFonts w:ascii="Times New Roman" w:hAnsi="Times New Roman" w:cs="Times New Roman"/>
          <w:i w:val="0"/>
          <w:iCs w:val="0"/>
          <w:color w:val="0070C0"/>
        </w:rPr>
        <w:t>«...у нас нет там линкоров и авиа</w:t>
      </w:r>
      <w:r w:rsidRPr="00C33834">
        <w:rPr>
          <w:rStyle w:val="aff5"/>
          <w:rFonts w:ascii="Times New Roman" w:hAnsi="Times New Roman" w:cs="Times New Roman"/>
          <w:i w:val="0"/>
          <w:iCs w:val="0"/>
          <w:color w:val="0070C0"/>
        </w:rPr>
        <w:softHyphen/>
        <w:t>носцев, этих средств морского нападения. Но ведь мы и не собираемся ни на кого напа</w:t>
      </w:r>
      <w:r w:rsidRPr="00C33834">
        <w:rPr>
          <w:rStyle w:val="aff5"/>
          <w:rFonts w:ascii="Times New Roman" w:hAnsi="Times New Roman" w:cs="Times New Roman"/>
          <w:i w:val="0"/>
          <w:iCs w:val="0"/>
          <w:color w:val="0070C0"/>
        </w:rPr>
        <w:softHyphen/>
        <w:t>дать на море, так же как и на суше. Мы хотим только защитить наши берега и границы и убеждены, что те легкие силы и береговая оборона, которые мы там уже имеем, и, главным образом, наша морская авиация и подводные лодки основательно покалечат нападающего врага».</w:t>
      </w:r>
    </w:p>
    <w:p w14:paraId="78C69EBD" w14:textId="77777777" w:rsidR="00A62F5F" w:rsidRPr="00C33834" w:rsidRDefault="00A62F5F" w:rsidP="00C33834">
      <w:pPr>
        <w:shd w:val="clear" w:color="auto" w:fill="FFFFFF"/>
        <w:spacing w:after="0" w:line="240" w:lineRule="auto"/>
        <w:jc w:val="both"/>
        <w:rPr>
          <w:rFonts w:ascii="Times New Roman" w:hAnsi="Times New Roman"/>
          <w:color w:val="0070C0"/>
          <w:sz w:val="16"/>
          <w:szCs w:val="16"/>
        </w:rPr>
      </w:pPr>
      <w:r w:rsidRPr="00C33834">
        <w:rPr>
          <w:rStyle w:val="89"/>
          <w:rFonts w:ascii="Times New Roman" w:hAnsi="Times New Roman" w:cs="Times New Roman"/>
          <w:color w:val="0070C0"/>
          <w:sz w:val="16"/>
          <w:szCs w:val="16"/>
        </w:rPr>
        <w:t>Не успели первые тихоокеанские «Щуки» вступить в строй, как их привлекли к несе</w:t>
      </w:r>
      <w:r w:rsidRPr="00C33834">
        <w:rPr>
          <w:rStyle w:val="89"/>
          <w:rFonts w:ascii="Times New Roman" w:hAnsi="Times New Roman" w:cs="Times New Roman"/>
          <w:color w:val="0070C0"/>
          <w:sz w:val="16"/>
          <w:szCs w:val="16"/>
        </w:rPr>
        <w:softHyphen/>
        <w:t>нию дозорной службы на подходах к глав</w:t>
      </w:r>
      <w:r w:rsidRPr="00C33834">
        <w:rPr>
          <w:rStyle w:val="89"/>
          <w:rFonts w:ascii="Times New Roman" w:hAnsi="Times New Roman" w:cs="Times New Roman"/>
          <w:color w:val="0070C0"/>
          <w:sz w:val="16"/>
          <w:szCs w:val="16"/>
        </w:rPr>
        <w:softHyphen/>
        <w:t>ной базе - военный конфликт с Японией ожидался со дня на день. Первая зима на Тихом океане выявила много мелочей, досаждавших морякам. Лодки не были обес</w:t>
      </w:r>
      <w:r w:rsidRPr="00C33834">
        <w:rPr>
          <w:rStyle w:val="89"/>
          <w:rFonts w:ascii="Times New Roman" w:hAnsi="Times New Roman" w:cs="Times New Roman"/>
          <w:color w:val="0070C0"/>
          <w:sz w:val="16"/>
          <w:szCs w:val="16"/>
        </w:rPr>
        <w:softHyphen/>
        <w:t>печены технической и эксплуатационной документацией. Внутреннее расположение, и раньше справедливо критиковавшееся за «затесненность», оказалось малоподходя</w:t>
      </w:r>
      <w:r w:rsidRPr="00C33834">
        <w:rPr>
          <w:rStyle w:val="89"/>
          <w:rFonts w:ascii="Times New Roman" w:hAnsi="Times New Roman" w:cs="Times New Roman"/>
          <w:color w:val="0070C0"/>
          <w:sz w:val="16"/>
          <w:szCs w:val="16"/>
        </w:rPr>
        <w:softHyphen/>
        <w:t>щим для повседневного осмотра механиз</w:t>
      </w:r>
      <w:r w:rsidRPr="00C33834">
        <w:rPr>
          <w:rStyle w:val="89"/>
          <w:rFonts w:ascii="Times New Roman" w:hAnsi="Times New Roman" w:cs="Times New Roman"/>
          <w:color w:val="0070C0"/>
          <w:sz w:val="16"/>
          <w:szCs w:val="16"/>
        </w:rPr>
        <w:softHyphen/>
        <w:t>мов. Для доступа к некоторым из них требо</w:t>
      </w:r>
      <w:r w:rsidRPr="00C33834">
        <w:rPr>
          <w:rStyle w:val="89"/>
          <w:rFonts w:ascii="Times New Roman" w:hAnsi="Times New Roman" w:cs="Times New Roman"/>
          <w:color w:val="0070C0"/>
          <w:sz w:val="16"/>
          <w:szCs w:val="16"/>
        </w:rPr>
        <w:softHyphen/>
        <w:t>валось несколько часов разбирать другие системы. Холод проявил себя везде: замер</w:t>
      </w:r>
      <w:r w:rsidRPr="00C33834">
        <w:rPr>
          <w:rStyle w:val="89"/>
          <w:rFonts w:ascii="Times New Roman" w:hAnsi="Times New Roman" w:cs="Times New Roman"/>
          <w:color w:val="0070C0"/>
          <w:sz w:val="16"/>
          <w:szCs w:val="16"/>
        </w:rPr>
        <w:softHyphen/>
        <w:t>зала пресная вода, некоторые горловины, трубопроводы и клапаны, лед набивался в ниши щитов торпедных аппаратов и препят</w:t>
      </w:r>
      <w:r w:rsidRPr="00C33834">
        <w:rPr>
          <w:rStyle w:val="89"/>
          <w:rFonts w:ascii="Times New Roman" w:hAnsi="Times New Roman" w:cs="Times New Roman"/>
          <w:color w:val="0070C0"/>
          <w:sz w:val="16"/>
          <w:szCs w:val="16"/>
        </w:rPr>
        <w:softHyphen/>
        <w:t>ствовал их открыванию. Намерзание льда на надстройке превращало ее в палубную цистерну, препятствуя погружению. На сто</w:t>
      </w:r>
      <w:r w:rsidRPr="00C33834">
        <w:rPr>
          <w:rStyle w:val="89"/>
          <w:rFonts w:ascii="Times New Roman" w:hAnsi="Times New Roman" w:cs="Times New Roman"/>
          <w:color w:val="0070C0"/>
          <w:sz w:val="16"/>
          <w:szCs w:val="16"/>
        </w:rPr>
        <w:softHyphen/>
        <w:t>янке замерзали приводы кормовых горизон</w:t>
      </w:r>
      <w:r w:rsidRPr="00C33834">
        <w:rPr>
          <w:rStyle w:val="89"/>
          <w:rFonts w:ascii="Times New Roman" w:hAnsi="Times New Roman" w:cs="Times New Roman"/>
          <w:color w:val="0070C0"/>
          <w:sz w:val="16"/>
          <w:szCs w:val="16"/>
        </w:rPr>
        <w:softHyphen/>
        <w:t>тальных рулей. Борьба с морозом с помо</w:t>
      </w:r>
      <w:r w:rsidRPr="00C33834">
        <w:rPr>
          <w:rStyle w:val="89"/>
          <w:rFonts w:ascii="Times New Roman" w:hAnsi="Times New Roman" w:cs="Times New Roman"/>
          <w:color w:val="0070C0"/>
          <w:sz w:val="16"/>
          <w:szCs w:val="16"/>
        </w:rPr>
        <w:softHyphen/>
        <w:t>щью грелок давала высокую влажность, при</w:t>
      </w:r>
      <w:r w:rsidRPr="00C33834">
        <w:rPr>
          <w:rStyle w:val="89"/>
          <w:rFonts w:ascii="Times New Roman" w:hAnsi="Times New Roman" w:cs="Times New Roman"/>
          <w:color w:val="0070C0"/>
          <w:sz w:val="16"/>
          <w:szCs w:val="16"/>
        </w:rPr>
        <w:softHyphen/>
        <w:t>водившую к постоянным пробоям изоляции и перегоранию предохранителей. Аккуму</w:t>
      </w:r>
      <w:r w:rsidRPr="00C33834">
        <w:rPr>
          <w:rStyle w:val="89"/>
          <w:rFonts w:ascii="Times New Roman" w:hAnsi="Times New Roman" w:cs="Times New Roman"/>
          <w:color w:val="0070C0"/>
          <w:sz w:val="16"/>
          <w:szCs w:val="16"/>
        </w:rPr>
        <w:softHyphen/>
        <w:t>ляторная батарея, наоборот, потребляла много воды, а наличного запаса хватало только на четыре зарядки зимой и вполови</w:t>
      </w:r>
      <w:r w:rsidRPr="00C33834">
        <w:rPr>
          <w:rStyle w:val="89"/>
          <w:rFonts w:ascii="Times New Roman" w:hAnsi="Times New Roman" w:cs="Times New Roman"/>
          <w:color w:val="0070C0"/>
          <w:sz w:val="16"/>
          <w:szCs w:val="16"/>
        </w:rPr>
        <w:softHyphen/>
        <w:t>ну меньше летом. Доливать воду мешали запасные торпеды и койки экипажа. Элек</w:t>
      </w:r>
      <w:r w:rsidRPr="00C33834">
        <w:rPr>
          <w:rStyle w:val="89"/>
          <w:rFonts w:ascii="Times New Roman" w:hAnsi="Times New Roman" w:cs="Times New Roman"/>
          <w:color w:val="0070C0"/>
          <w:sz w:val="16"/>
          <w:szCs w:val="16"/>
        </w:rPr>
        <w:softHyphen/>
        <w:t>тромоторы оказались мощнее батареи, что и приводило к повышению ее температуры. Система охлаждения дизелей показала недостаточную производительность. Устра</w:t>
      </w:r>
      <w:r w:rsidRPr="00C33834">
        <w:rPr>
          <w:rStyle w:val="89"/>
          <w:rFonts w:ascii="Times New Roman" w:hAnsi="Times New Roman" w:cs="Times New Roman"/>
          <w:color w:val="0070C0"/>
          <w:sz w:val="16"/>
          <w:szCs w:val="16"/>
        </w:rPr>
        <w:softHyphen/>
        <w:t>нить утечки масла не удалось. Все трубопро</w:t>
      </w:r>
      <w:r w:rsidRPr="00C33834">
        <w:rPr>
          <w:rStyle w:val="89"/>
          <w:rFonts w:ascii="Times New Roman" w:hAnsi="Times New Roman" w:cs="Times New Roman"/>
          <w:color w:val="0070C0"/>
          <w:sz w:val="16"/>
          <w:szCs w:val="16"/>
        </w:rPr>
        <w:softHyphen/>
        <w:t xml:space="preserve">воды из стали быстро коррозировали. Этот материал решили использовать по образцу английской подводной лодки </w:t>
      </w:r>
      <w:r w:rsidRPr="00C33834">
        <w:rPr>
          <w:rStyle w:val="89"/>
          <w:rFonts w:ascii="Times New Roman" w:hAnsi="Times New Roman" w:cs="Times New Roman"/>
          <w:color w:val="0070C0"/>
          <w:sz w:val="16"/>
          <w:szCs w:val="16"/>
          <w:lang w:val="en-US"/>
        </w:rPr>
        <w:t>L</w:t>
      </w:r>
      <w:r w:rsidRPr="00C33834">
        <w:rPr>
          <w:rStyle w:val="89"/>
          <w:rFonts w:ascii="Times New Roman" w:hAnsi="Times New Roman" w:cs="Times New Roman"/>
          <w:color w:val="0070C0"/>
          <w:sz w:val="16"/>
          <w:szCs w:val="16"/>
        </w:rPr>
        <w:t xml:space="preserve">-55 (она потонула во время боевых действий против Советской Республики в 1919 году в наши </w:t>
      </w:r>
      <w:r w:rsidRPr="00C33834">
        <w:rPr>
          <w:rStyle w:val="900"/>
          <w:rFonts w:ascii="Times New Roman" w:hAnsi="Times New Roman" w:cs="Times New Roman"/>
          <w:color w:val="0070C0"/>
          <w:sz w:val="16"/>
          <w:szCs w:val="16"/>
        </w:rPr>
        <w:t>территориальных водах, но потом была под</w:t>
      </w:r>
      <w:r w:rsidRPr="00C33834">
        <w:rPr>
          <w:rStyle w:val="900"/>
          <w:rFonts w:ascii="Times New Roman" w:hAnsi="Times New Roman" w:cs="Times New Roman"/>
          <w:color w:val="0070C0"/>
          <w:sz w:val="16"/>
          <w:szCs w:val="16"/>
        </w:rPr>
        <w:softHyphen/>
        <w:t>нята и восстановлена для Советского ВМФ, прослужив под номером Л-55 до 1945 года). На стали для трубопроводов настаивали и представители промышленности.</w:t>
      </w:r>
    </w:p>
    <w:p w14:paraId="76C4BB1B" w14:textId="77777777" w:rsidR="00A62F5F" w:rsidRPr="00C33834" w:rsidRDefault="00A62F5F" w:rsidP="00C33834">
      <w:pPr>
        <w:pStyle w:val="116"/>
        <w:shd w:val="clear" w:color="auto" w:fill="auto"/>
        <w:spacing w:after="0" w:line="240" w:lineRule="auto"/>
        <w:ind w:firstLine="0"/>
        <w:jc w:val="both"/>
        <w:rPr>
          <w:rFonts w:ascii="Times New Roman" w:hAnsi="Times New Roman" w:cs="Times New Roman"/>
          <w:color w:val="0070C0"/>
          <w:sz w:val="16"/>
          <w:szCs w:val="16"/>
        </w:rPr>
      </w:pPr>
      <w:r w:rsidRPr="00C33834">
        <w:rPr>
          <w:rStyle w:val="900"/>
          <w:rFonts w:ascii="Times New Roman" w:hAnsi="Times New Roman" w:cs="Times New Roman"/>
          <w:color w:val="0070C0"/>
          <w:sz w:val="16"/>
          <w:szCs w:val="16"/>
        </w:rPr>
        <w:t>В этих условиях обнажилось и то, что наши командиры-подводники оказались непривычны к морю, а многие попросту боятся самостоятельно плавать в отрыве от базы даже те 8-9 суток, которые длился дозор. Все это не осталось незамеченным со стороны флотского руководства, поставив</w:t>
      </w:r>
      <w:r w:rsidRPr="00C33834">
        <w:rPr>
          <w:rStyle w:val="900"/>
          <w:rFonts w:ascii="Times New Roman" w:hAnsi="Times New Roman" w:cs="Times New Roman"/>
          <w:color w:val="0070C0"/>
          <w:sz w:val="16"/>
          <w:szCs w:val="16"/>
        </w:rPr>
        <w:softHyphen/>
        <w:t>шего задачу проводить длительные, далекие походы субмарин с отрывом от баз, нахо</w:t>
      </w:r>
      <w:r w:rsidRPr="00C33834">
        <w:rPr>
          <w:rStyle w:val="900"/>
          <w:rFonts w:ascii="Times New Roman" w:hAnsi="Times New Roman" w:cs="Times New Roman"/>
          <w:color w:val="0070C0"/>
          <w:sz w:val="16"/>
          <w:szCs w:val="16"/>
        </w:rPr>
        <w:softHyphen/>
        <w:t>диться в море на максимальном пределе воз</w:t>
      </w:r>
      <w:r w:rsidRPr="00C33834">
        <w:rPr>
          <w:rStyle w:val="900"/>
          <w:rFonts w:ascii="Times New Roman" w:hAnsi="Times New Roman" w:cs="Times New Roman"/>
          <w:color w:val="0070C0"/>
          <w:sz w:val="16"/>
          <w:szCs w:val="16"/>
        </w:rPr>
        <w:softHyphen/>
        <w:t>можностей людей и техники в самых слож</w:t>
      </w:r>
      <w:r w:rsidRPr="00C33834">
        <w:rPr>
          <w:rStyle w:val="900"/>
          <w:rFonts w:ascii="Times New Roman" w:hAnsi="Times New Roman" w:cs="Times New Roman"/>
          <w:color w:val="0070C0"/>
          <w:sz w:val="16"/>
          <w:szCs w:val="16"/>
        </w:rPr>
        <w:softHyphen/>
        <w:t>ных погодных условиях. Технические недо</w:t>
      </w:r>
      <w:r w:rsidRPr="00C33834">
        <w:rPr>
          <w:rStyle w:val="900"/>
          <w:rFonts w:ascii="Times New Roman" w:hAnsi="Times New Roman" w:cs="Times New Roman"/>
          <w:color w:val="0070C0"/>
          <w:sz w:val="16"/>
          <w:szCs w:val="16"/>
        </w:rPr>
        <w:softHyphen/>
        <w:t>статки были устранены, подготовку моряков усилили.</w:t>
      </w:r>
    </w:p>
    <w:p w14:paraId="744B0426" w14:textId="77777777" w:rsidR="00A62F5F" w:rsidRPr="00C33834" w:rsidRDefault="00A62F5F" w:rsidP="00C33834">
      <w:pPr>
        <w:pStyle w:val="116"/>
        <w:shd w:val="clear" w:color="auto" w:fill="auto"/>
        <w:spacing w:after="0" w:line="240" w:lineRule="auto"/>
        <w:ind w:firstLine="0"/>
        <w:jc w:val="both"/>
        <w:rPr>
          <w:rStyle w:val="900"/>
          <w:rFonts w:ascii="Times New Roman" w:hAnsi="Times New Roman" w:cs="Times New Roman"/>
          <w:color w:val="0070C0"/>
          <w:sz w:val="16"/>
          <w:szCs w:val="16"/>
        </w:rPr>
      </w:pPr>
      <w:r w:rsidRPr="00C33834">
        <w:rPr>
          <w:rStyle w:val="900"/>
          <w:rFonts w:ascii="Times New Roman" w:hAnsi="Times New Roman" w:cs="Times New Roman"/>
          <w:color w:val="0070C0"/>
          <w:sz w:val="16"/>
          <w:szCs w:val="16"/>
        </w:rPr>
        <w:t>Первыми в 1935 г. продолжительные походы совершили экипажи Щ-102 (пробыла в море 20 суток - полная автономность по техническому формуляру того времени - в том числе 143 часа и 21 минуту под водой) и Щ-111 (поход продолжительностью в 9 суток, из них в общей сложности 5 в подводном положении). Ничего подобного раньше не было, и такие походы субмарин получили в духе времени название «стахановских». За заслуги в освоении новой техники, боевой и политической подготовке, в 1935-36 гг.</w:t>
      </w:r>
      <w:r w:rsidRPr="00C33834">
        <w:rPr>
          <w:rStyle w:val="900"/>
          <w:rFonts w:ascii="Times New Roman" w:hAnsi="Times New Roman" w:cs="Times New Roman"/>
          <w:color w:val="0070C0"/>
          <w:sz w:val="16"/>
          <w:szCs w:val="16"/>
          <w:lang w:val="ru-RU"/>
        </w:rPr>
        <w:t xml:space="preserve"> </w:t>
      </w:r>
      <w:r w:rsidRPr="00C33834">
        <w:rPr>
          <w:rStyle w:val="900"/>
          <w:rFonts w:ascii="Times New Roman" w:hAnsi="Times New Roman" w:cs="Times New Roman"/>
          <w:color w:val="0070C0"/>
          <w:sz w:val="16"/>
          <w:szCs w:val="16"/>
        </w:rPr>
        <w:t>более 300 подводников были награждены орденами и медалями</w:t>
      </w:r>
      <w:r w:rsidRPr="00C33834">
        <w:rPr>
          <w:rStyle w:val="900"/>
          <w:rFonts w:ascii="Times New Roman" w:hAnsi="Times New Roman" w:cs="Times New Roman"/>
          <w:color w:val="0070C0"/>
          <w:sz w:val="16"/>
          <w:szCs w:val="16"/>
          <w:lang w:val="ru-RU"/>
        </w:rPr>
        <w:t xml:space="preserve"> (19891)</w:t>
      </w:r>
      <w:r w:rsidRPr="00C33834">
        <w:rPr>
          <w:rStyle w:val="900"/>
          <w:rFonts w:ascii="Times New Roman" w:hAnsi="Times New Roman" w:cs="Times New Roman"/>
          <w:color w:val="0070C0"/>
          <w:sz w:val="16"/>
          <w:szCs w:val="16"/>
        </w:rPr>
        <w:t>.</w:t>
      </w:r>
    </w:p>
    <w:p w14:paraId="7CEB240E" w14:textId="77777777" w:rsidR="00A62F5F" w:rsidRPr="00C33834" w:rsidRDefault="00A62F5F" w:rsidP="00C33834">
      <w:pPr>
        <w:pStyle w:val="116"/>
        <w:shd w:val="clear" w:color="auto" w:fill="auto"/>
        <w:spacing w:after="0" w:line="240" w:lineRule="auto"/>
        <w:ind w:firstLine="0"/>
        <w:jc w:val="both"/>
        <w:rPr>
          <w:rFonts w:ascii="Times New Roman" w:hAnsi="Times New Roman" w:cs="Times New Roman"/>
          <w:color w:val="0070C0"/>
          <w:sz w:val="16"/>
          <w:szCs w:val="16"/>
        </w:rPr>
      </w:pPr>
    </w:p>
    <w:p w14:paraId="090F45E2" w14:textId="77777777" w:rsidR="002E2083"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29F8B337"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44FFFC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концу 1933 года в строевых частях ТБ-3 уже было больше, чем ТБ-1, но они пока лишь дополняли, а не вытесняли последние. К этому времени у основной массы летного состава туполевский бомбовоз вызывал чувство законного уважения. Четырехмоторные гиганты оказались достаточно устойчивы в воздухе и покладисты в пилотировании. В отзывах из частей, осваивавших новую машину, отмечалось: «Конструкция корабля ТБ-3 в основном вполне удовлетворительна, прочна и может выдержать самые неблагоприятные условия эксплуатации при условии увеличения надежности моторной группы». «качество продукции завода №22 в основном удовлетворительное, за исключением мелких дефектов», но и дефектов по-прежнему было немало. "Наличие многих вмятин на обшивке, прорывов гофра, забоин, трещин около заклепок и в других местах, трещины в узлах, недотяжка болтов, отсутствие шплинтовки соединений... Бензиновые баки текут, главным образом по швам...» Краска, которой покрывали самолет, оказалась непригодной для металла - шелушилась, вспучивалась и отлетала. Инструкция по эксплуатации грустно констатировала: «...окраска, легко сползающая под влиянием дождя, а зачастую и просто в полете, не может выдержать даже бережного обмывания мягкими тряпками... » Бывали и очень серьезные случаи выворачивания узла полуоси шасси на взлете. Поэтому на последних сериях 1933 г. ставили усиленные полуоси, которые также рассылали в места дислокации. Особые нарекания вызывала мотоустановка: разрушались водорадиа-торы, текли и обрывались различные трубопроводы, ломались коленчатые валы двигателей. В строевых частях столкнулись и с другими неприятностями, например трещинами в горизонтальных трубах тележек шасси. Свой вклад в эту картину внесли примитивные условия обслуживания на полевых аэродромах. Так, для того чтобы собрать ТБ-3, в частях попросту копали огромную яму с профилированными откосами, укладывали туда секции и соединяли их болтами. Это было куда легче, чем изготовление сложной многоярусной системы козлов, предписанной регламентом. К наземному обслуживанию ТБ-3 подошли очень серьезно. Для него разрабатывался целый набор специализированных автомашин и прицепов, в том числе проектировалась передвижная мастерская на шасси грузовика. По первому изданному регламенту в комплект средств обслуживания ТБ-3 входили пять колесных и гусеничных машин, в т.ч. трактор «Коммунар» для буксировки бомбардировщика по аэродрому. На практике техники не хватало. При отсутствии трактора обходились 40-50 красноармейцами, толкавшими машину под руководством старшего техника, следившего, чтобы самолет не разворачивали слишком круто - можно было свернуть крепления тележек. Если трактор имелся, то потребность в «живой силе» сокращалась до 10-12 человек. Они заносили хвост самолета. На земле ТБ-3 обслуживали пять механиков, которым хватало работы. Заправка только одного бензобака (с применением пневматики) занимала три с половиной часа, а баков стояло четыре - самолет потреблял до 360 л топлива в час. В систему охлаждения каждого мотора надо было влить 10-12 ведер воды (зимой - горячей). Моторы по инструкции полагалось заводить сжатым воздухом от аэродромного баллона. А если его под рукой не имелось, обходились резиновой петлей на длинной палке, которую дергали человек пять. Иногда к такому приспособлению припрягали лошадь. Храповики для автостартеров на втулках винтов ввели значительно позже (7668).</w:t>
      </w:r>
    </w:p>
    <w:p w14:paraId="2B8F4A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335958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концу 1933 года четырехмоторных машин в строевых частях уже было больше, чем ТБ-1. но они пока лишь дополняли, а не вытесняли последние.</w:t>
      </w:r>
    </w:p>
    <w:p w14:paraId="29B5597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Четырехмоторные гиганты оказались достаточно устойчивы в воздухе и покладисты в пилотировании. Вот отзывы из бригад, осваивавших новую машину. "Конструкция корабля ТБ-3 в основном вполне удовлетворительна, прочна и может выдержать самые неблагоприятные условия эксплуатации при условии увеличения надежности моторной группы".</w:t>
      </w:r>
    </w:p>
    <w:p w14:paraId="2D352D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наземному обслуживанию ТБ-3 подошли серьезно. Для него разрабатывался целый набор специализированных автомашин и прицепов, в том числе проектировалась передвижная мастерская на шасси грузовика. По первому изданному регламенту в комплект средств обслуживания ТБ-3 входили пять колесных и гусеничных машин, в том числе гусеничный трактор "Коммунар" для буксировки бомбардировщика по аэродрому. На практике техники не хватало. При отсутствии трактора обходились 40-50 красноармейцами, толкавшими машину под руководством старшего техника, следившего, чтобы самолет не разворачивали слишком круто - можно было свернуть крепления тележек. Если трактор имелся, то потребность в "живой силе" сокращалась до 10-12 человек. Они заносили хвост самолета.</w:t>
      </w:r>
    </w:p>
    <w:p w14:paraId="6C15CAF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земле ТБ-3 обслуживали пять механиков, которым хватало работы. Заправка только одного бензобака (с применением пневматики) занимала три с половиной часа, а баков стояло четыре - самолет потреблял до 360 л топлива в час. В систему охлаждения каждого мотора надо было влить 10-12 ведер воды (зимой - горячей). Моторы по инструкции полагалось заводить сжатым воздухом от аэродромного баллона. А если его под рукой не имелось, обходились резиновой петлей на длинной палке, которую дергали человек пять. Иногда к такому приспособлению припрягали лошадь. Храповики для автостартеров на втулках винтов ввели значительно позже.</w:t>
      </w:r>
    </w:p>
    <w:p w14:paraId="1B1924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1933 г. ВВС первоначально заказали 350 ТБ-3. затем под давлением представителей промышленности ограничились 300 машинами. По планам за год предстояло сфор- ТБ-3 в парадном мировать 22 эскадрильи, для чего требова- строю над Москвой лось 264 бомбардировщика. На практике в 1933 г. заводы выпустили 307 ТБ-3. Это позволило насытить бомбардировщиками ВВС, фактически впервые в мире создав крупные соединения стратегической авиации - бомбардировочные авиакорпуса. Всего сформировали пять таких корпусов по две бригады в каждом. Поначалу они имели на вооружении и ТБ-3, и ТБ-1. но постепенно четырехмоторные машины вытесняли ТБ-i на роль учебных и транспортных.</w:t>
      </w:r>
    </w:p>
    <w:p w14:paraId="2E992A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Части и соединения тяжелых бомбардировщиков часто носили цветистые наименования, характерные для того времени. Например, "9-я бригада имени 10-го Всесоюзного съезда Ленинского комсомола". Пять входивших в нее эскадрилий носили имена Ворошилова, Кагановича, Кирова, Постышева и Косарева.</w:t>
      </w:r>
    </w:p>
    <w:p w14:paraId="450AA8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за год смогли сформировать 17 тяжелобомбардировочных эскадрилий. При этом доля бомбардировочной авиации в ВВС РККА поднялась с 26% до 35%. Хотели же получить гораздо больше - из-за недовыполнения планов в 1933 г. отказались от создания шести тяжелобомбардировочных бригад. По первоначальным наметкам уже к концу того года хотели иметь 864 тяжелых бомбардировщика в сухопутной авиации и 576 - в морской.</w:t>
      </w:r>
    </w:p>
    <w:p w14:paraId="44E478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надолго остался "становым хребтом" отечественной тяжелобомбардировочной авиации. Он несколько раз модернизировался и выпускался до 1937 г. Последние модификации оснащались уже не моторами М-17, а более мощными М-34. На бомбардировщики ставили сначала обычные М-34, затем М-34Р с редуктором и М-34РН с редуктором и нагнетателем; последние же серии получили еще более мощные М-34ФРН  (12024).</w:t>
      </w:r>
    </w:p>
    <w:p w14:paraId="0BF6B39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254251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конце 1933 г. три самолета Р-5а отправили Морским силам Дальнего Востока (МСДВ). В январе следующего года 69-й отряд в Бочкарево уже имел 10 таких гидропланов. Всего же к 20 марта 1934 г. военную приемку прошли 13 Р-5а (12034).</w:t>
      </w:r>
    </w:p>
    <w:p w14:paraId="411F7B2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FC58AC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концу 1933 г. И-5 стал самым массовым истребителем ВВС РККА. На 1 декабря их насчитывалось 343, то есть около 40% всего тогдашнего парка истребительной авиации. Они заменили в строю большую часть И-3. Основными районами дислокации И-5 оставались Ленинградский и Украинский военные округа и Забайкалье. В 1933 г. к ним добавился Дальний Восток (28-я эскадрилья в Воздвиженке и 32-я в Хабаровске). В составе ВВС ОКДВА в Забайкалье и на Дальнем Востоке в конце года находилось 137 И-5. Машины последних серий с кольцевыми капотами оказались более уязвимы для холода, чем старые с отдельными обтекателями цилиндров. Начали И-5 появляться также в Белоруссии и Подмосковье.</w:t>
      </w:r>
    </w:p>
    <w:p w14:paraId="086999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Массовая эксплуатация вызвала увеличение числа различных аварий и катастроф. При этом сказывались как недостатки самой машины, так и ошибки лётного состава. Встречались случаи пожаров в воздухе из-за обрыва бензопроводов. В 1-й эскадрилье у пилота Скоро- богатова отлетела часть полотна с крыла, машина сорвалась в штопор. Лётчик выпрыгнул, но парашют не раскрылся... В 26-й эскадрилье у лётчика Андреева на пикировании оборвались амортизаторы лыж. Лыжи встали торчком. Но мастерство помогло Андрееву сесть без больших повреждений. Пилот Власов из 117-й эскадрильи на рулении, несмотря на сопровождение техником, ухитрился врезаться в стоявшую на поле бочку с бензином. Металлический винт высек искру, начался пожар. Пламя перекинулось на самолёт, руливший сзади. Истребитель Власова пришлось списать, на второй машине сгорело полотно на оперении и фюзеляже. Итог - 10 суток ареста Власову, получившему небольшие ожоги, и 20 суток - технику Кабакову, руководившему рулением.</w:t>
      </w:r>
    </w:p>
    <w:p w14:paraId="5630FA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Качество истребителей оставалось невысоким, что вызывало определённые опасения у лётного состава. В сводке ОГПУ о настроениях военнослужащих мне встретилась фраза, подслушанная осведомителем в 251-й бригаде: "...мат- часть сыплется - эти новые машины плохо сделаны" (11997).</w:t>
      </w:r>
    </w:p>
    <w:p w14:paraId="3017B66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E59E7F4" w14:textId="77777777" w:rsidR="00A62F5F" w:rsidRPr="00C33834" w:rsidRDefault="00A62F5F"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К исходу 1933 г. на вооружении миллионных Вооруженных Сил СССР, которые с началом войны должны были быть развернуты в почти две сотни стрелковых, кавалерийских, механизированных и танковых дивизий и бригад, состояло свыше 4,5 тыс. самолетов, 7,5 тыс. танков, около 20 тыс. пушек и гаубиц (втрое больше, чем в русской армии 1914 г.) (Доклад Штаба РККА давал следующие цифры наличия вооружений на 1933 г.: 5600 самолетов, 9814 танков, 16 000 орудий крупного и среднего калибра, 5000 орудий малого калибра // РГВА. Ф. 40442. On. 1. Д 332. Л. 106. В эти данные, однако, включались ожидаемые поступления IV квартала 1933 г. (и, возможно, I квартала 1934 г.). По более поздним сведениям, количество танков всех типов на 1 января 1934 г. составляло 7547, военных самолетов - 4688 (МЕЛЬТЮХОВ М. И. Упущенный шанс Сталина: Советский Союз и борьба за Европу, 1939-1941: (Документы, факты, суждения). М., 2000. С 601, 349).). В планах войны был фактически достигнут уровень людской мобилизации России в мировой войне (5338 тыс.). От модернизации вооружений предшествующей эпохи Советский Союз в 1932-1933 начал переход к серийному производству новых образцов. Относительно других стран мощь РККА в 1933 г. достигла своего апогея (в частности, в этом году СССР произвел больше самолетов, чем США, Великобритания, Япония и Германия вместе взятые (Там же. С. 598-600) (22725).</w:t>
      </w:r>
    </w:p>
    <w:p w14:paraId="6A246284" w14:textId="77777777" w:rsidR="00A62F5F" w:rsidRPr="00C33834" w:rsidRDefault="00A62F5F" w:rsidP="00C33834">
      <w:pPr>
        <w:pStyle w:val="116"/>
        <w:shd w:val="clear" w:color="auto" w:fill="auto"/>
        <w:spacing w:after="0" w:line="240" w:lineRule="auto"/>
        <w:ind w:firstLine="0"/>
        <w:jc w:val="both"/>
        <w:rPr>
          <w:rFonts w:ascii="Times New Roman" w:hAnsi="Times New Roman" w:cs="Times New Roman"/>
          <w:color w:val="0070C0"/>
          <w:sz w:val="16"/>
          <w:szCs w:val="16"/>
        </w:rPr>
      </w:pPr>
    </w:p>
    <w:p w14:paraId="10E44ADB" w14:textId="77777777" w:rsidR="00A62F5F" w:rsidRPr="00C33834" w:rsidRDefault="00A62F5F"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В конце 1933 г. Главное военно-мобилизационное управление НКТП разработало мобплан "МП-33" (</w:t>
      </w:r>
      <w:bookmarkStart w:id="64" w:name="_Hlk96076804"/>
      <w:r w:rsidRPr="00C33834">
        <w:rPr>
          <w:rFonts w:ascii="Times New Roman" w:eastAsia="Times New Roman" w:hAnsi="Times New Roman"/>
          <w:color w:val="0070C0"/>
          <w:sz w:val="16"/>
          <w:szCs w:val="16"/>
          <w:lang w:eastAsia="ru-RU"/>
        </w:rPr>
        <w:t>"</w:t>
      </w:r>
      <w:bookmarkEnd w:id="64"/>
      <w:r w:rsidRPr="00C33834">
        <w:rPr>
          <w:rFonts w:ascii="Times New Roman" w:eastAsia="Times New Roman" w:hAnsi="Times New Roman"/>
          <w:color w:val="0070C0"/>
          <w:sz w:val="16"/>
          <w:szCs w:val="16"/>
          <w:lang w:eastAsia="ru-RU"/>
        </w:rPr>
        <w:t>С мобпланом я основательно повозился, втянул в дело главки, - сообщал Орджоникидзе один из его заместителей М. М. Каганович. - Многие на меня чертом смотрят. Но их в это дело необходимо втянуть и обязательно заставить заниматься этим делом, если не хотят, чтобы через их голову командовали (sic) заводами" (Письмо Кагановича Орджоникидзе, 30.09.1933 // Советское руководство: Переписка, 1928-1941 гг. / Сост. А. В. Квашонкин и др. М, 1999- С. 262))59. Основой для него послужила мобилизационная заявка НКВМ на 1933 г. Новый мобплан вступил в действие 1 января 1934 г. и, периодически обновляемый, оставался в силе до конца 1938 г. Параметры "МП-33" отличались от предложений комиссии Орджоникидзе главным образом более низкими заданиями по артвыстрелам (60 млн) и виптпатронам (3 млрд). Главным пороком этого плана, по заключению военной группы Комиссии советского контроля в 1934 г., являлось его сосредоточение на поставках вооружений при невнимании к выпуску средств производства, транспорта, удовлетворению иных производственных потребностей в военное время (Симонов Н. С Военно-промышленный комплекс СССР в 20-50-с годы: темпы экономического роста, структура, организация производства и управление. М</w:t>
      </w:r>
      <w:r w:rsidRPr="00C33834">
        <w:rPr>
          <w:rFonts w:ascii="Times New Roman" w:eastAsia="Times New Roman" w:hAnsi="Times New Roman"/>
          <w:color w:val="0070C0"/>
          <w:sz w:val="16"/>
          <w:szCs w:val="16"/>
          <w:lang w:val="en-US" w:eastAsia="ru-RU"/>
        </w:rPr>
        <w:t xml:space="preserve">., 1996. </w:t>
      </w:r>
      <w:r w:rsidRPr="00C33834">
        <w:rPr>
          <w:rFonts w:ascii="Times New Roman" w:eastAsia="Times New Roman" w:hAnsi="Times New Roman"/>
          <w:color w:val="0070C0"/>
          <w:sz w:val="16"/>
          <w:szCs w:val="16"/>
          <w:lang w:eastAsia="ru-RU"/>
        </w:rPr>
        <w:t>С</w:t>
      </w:r>
      <w:r w:rsidRPr="00C33834">
        <w:rPr>
          <w:rFonts w:ascii="Times New Roman" w:eastAsia="Times New Roman" w:hAnsi="Times New Roman"/>
          <w:color w:val="0070C0"/>
          <w:sz w:val="16"/>
          <w:szCs w:val="16"/>
          <w:lang w:val="en-US" w:eastAsia="ru-RU"/>
        </w:rPr>
        <w:t xml:space="preserve">. 117-120; SIMONOV N. Mobpodgotovka: Mobilization Planning in Interwar Industry // The Soviet Defence-Industry Complex from Stalin to Khruschev / Ed. by J. Barber and M. Harrison. </w:t>
      </w:r>
      <w:r w:rsidRPr="00C33834">
        <w:rPr>
          <w:rFonts w:ascii="Times New Roman" w:eastAsia="Times New Roman" w:hAnsi="Times New Roman"/>
          <w:color w:val="0070C0"/>
          <w:sz w:val="16"/>
          <w:szCs w:val="16"/>
          <w:lang w:eastAsia="ru-RU"/>
        </w:rPr>
        <w:t>Houndmills etc., 2000. P. 208-210). Вероятно, в этом отношении "МП-33" можно считать воплощением методологии, положенной в основу предложений Тухачевского 11 января 1930 г. Готовность плановых работников принять установку на сужение выпуска средств обеспечения тыла и жизни страны, по всей видимости, диктовалась фетишизацией боевых средств, порожденной (или, по крайней мере, поддерживаемой) директивами Комиссии обороны и СГО, постоянным административным нажимом с их стороны. Вместе с тем этот перекос подразумевал, что будущая война должна оказаться короткой и завершиться полной победой, прежде чем на действиях Красной Армии скажется истощение тыла (22725).</w:t>
      </w:r>
    </w:p>
    <w:p w14:paraId="2118726D" w14:textId="77777777" w:rsidR="00A62F5F" w:rsidRPr="00C33834" w:rsidRDefault="00A62F5F" w:rsidP="00C33834">
      <w:pPr>
        <w:pStyle w:val="116"/>
        <w:shd w:val="clear" w:color="auto" w:fill="auto"/>
        <w:spacing w:after="0" w:line="240" w:lineRule="auto"/>
        <w:ind w:firstLine="0"/>
        <w:jc w:val="both"/>
        <w:rPr>
          <w:rFonts w:ascii="Times New Roman" w:hAnsi="Times New Roman" w:cs="Times New Roman"/>
          <w:color w:val="0070C0"/>
          <w:sz w:val="16"/>
          <w:szCs w:val="16"/>
        </w:rPr>
      </w:pPr>
    </w:p>
    <w:p w14:paraId="41EA8249" w14:textId="77777777" w:rsidR="00A62F5F" w:rsidRPr="00C33834" w:rsidRDefault="00A62F5F"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С конца 1933 года заседания РВСС вообще не проводились (Несмотря на формальное сохранение этого органа в первой половине 1934 г., за этот период вместо протоколов РВС имеются лишь пять протоколов совещаний у наркома; протокол № 6 представляет собой "сообщение о подписании Председателем РВСС постановлений РВСС", датированных январем-июнем 1934 г. По существу, этот документ оформлял ликвидацию дел Реввоенсовета перед его официальным упразднением (см.: РГВА Ф. 4. Оп. 18. Д 24). С ликвидацией РВСС и заменой его Военным советом при НКО была отменена практика издания (в количестве около 500 экземпляров) стенограмм расширенных осенних заседаний по итогам боевой подготовки в текущем году и о задачах на следующий год). В военной сфере постепенно устанавливалось непосредственное подчинение наркома и его заместителей Генеральному секретарю ЦК ВКП(б) как наиболее авторитетному руководителю Комиссии обороны. Сталиным все больше овладевала любовь к военному делу (</w:t>
      </w:r>
      <w:bookmarkStart w:id="65" w:name="_Hlk93829927"/>
      <w:r w:rsidRPr="00C33834">
        <w:rPr>
          <w:rFonts w:ascii="Times New Roman" w:eastAsia="Times New Roman" w:hAnsi="Times New Roman"/>
          <w:color w:val="0070C0"/>
          <w:sz w:val="16"/>
          <w:szCs w:val="16"/>
          <w:lang w:eastAsia="ru-RU"/>
        </w:rPr>
        <w:t>В конце 1931 г., когда Гамарник известил находившегося в отпуске наркомвоенмора, что Генеральный секретарь "взялся вплотную" за военную промышленность, Ворошилов советовал "постепенно, но основательно ознакомить Сталина] с положением дел" (Личное письмо Ворошилова Гамарнику, Сочи, 6.12.1931. С. 1б4).</w:t>
      </w:r>
      <w:bookmarkEnd w:id="65"/>
      <w:r w:rsidRPr="00C33834">
        <w:rPr>
          <w:rFonts w:ascii="Times New Roman" w:eastAsia="Times New Roman" w:hAnsi="Times New Roman"/>
          <w:color w:val="0070C0"/>
          <w:sz w:val="16"/>
          <w:szCs w:val="16"/>
          <w:lang w:eastAsia="ru-RU"/>
        </w:rPr>
        <w:t xml:space="preserve"> </w:t>
      </w:r>
      <w:bookmarkStart w:id="66" w:name="_Hlk93830081"/>
      <w:r w:rsidRPr="00C33834">
        <w:rPr>
          <w:rFonts w:ascii="Times New Roman" w:eastAsia="Times New Roman" w:hAnsi="Times New Roman"/>
          <w:color w:val="0070C0"/>
          <w:sz w:val="16"/>
          <w:szCs w:val="16"/>
          <w:lang w:eastAsia="ru-RU"/>
        </w:rPr>
        <w:t>Полутора годами позже Ворошилов уже мог поведать: в танк Т-28 "т. Сталин "влюблен". (Объединенный Пленум ЦК и ЦKK ВКП(б), 7-12.01.1933 (правленая стенограмма) // РГА СПИ. Ф. 17</w:t>
      </w:r>
      <w:bookmarkStart w:id="67" w:name="_Hlk93830235"/>
      <w:r w:rsidRPr="00C33834">
        <w:rPr>
          <w:rFonts w:ascii="Times New Roman" w:eastAsia="Times New Roman" w:hAnsi="Times New Roman"/>
          <w:color w:val="0070C0"/>
          <w:sz w:val="16"/>
          <w:szCs w:val="16"/>
          <w:lang w:eastAsia="ru-RU"/>
        </w:rPr>
        <w:t xml:space="preserve">. Оп. </w:t>
      </w:r>
      <w:bookmarkEnd w:id="66"/>
      <w:r w:rsidRPr="00C33834">
        <w:rPr>
          <w:rFonts w:ascii="Times New Roman" w:eastAsia="Times New Roman" w:hAnsi="Times New Roman"/>
          <w:color w:val="0070C0"/>
          <w:sz w:val="16"/>
          <w:szCs w:val="16"/>
          <w:lang w:eastAsia="ru-RU"/>
        </w:rPr>
        <w:t>2. Д. 507. Л. 692</w:t>
      </w:r>
      <w:bookmarkEnd w:id="67"/>
      <w:r w:rsidRPr="00C33834">
        <w:rPr>
          <w:rFonts w:ascii="Times New Roman" w:eastAsia="Times New Roman" w:hAnsi="Times New Roman"/>
          <w:color w:val="0070C0"/>
          <w:sz w:val="16"/>
          <w:szCs w:val="16"/>
          <w:lang w:eastAsia="ru-RU"/>
        </w:rPr>
        <w:t>). После войны Сталин рассказывал о себе в середине 30-х гг. "особенно большое и любовное внимание он уделяет техническому оснащению нашей Красной Армии, Военно-Воздушного и Военно-Морского Флотов" (Иосиф Виссарионович Сталин: Краткая биография. Изд. 2-е, in пр. и доп. / Сост. Г. Ф. Александров и др. М., 1952. С 148)) (22725).</w:t>
      </w:r>
    </w:p>
    <w:p w14:paraId="5C94F752" w14:textId="77777777" w:rsidR="00A62F5F" w:rsidRPr="00C33834" w:rsidRDefault="00A62F5F" w:rsidP="00C33834">
      <w:pPr>
        <w:pStyle w:val="116"/>
        <w:shd w:val="clear" w:color="auto" w:fill="auto"/>
        <w:spacing w:after="0" w:line="240" w:lineRule="auto"/>
        <w:ind w:firstLine="0"/>
        <w:jc w:val="both"/>
        <w:rPr>
          <w:rFonts w:ascii="Times New Roman" w:hAnsi="Times New Roman" w:cs="Times New Roman"/>
          <w:color w:val="0070C0"/>
          <w:sz w:val="16"/>
          <w:szCs w:val="16"/>
        </w:rPr>
      </w:pPr>
    </w:p>
    <w:p w14:paraId="18BE93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 появилось постановление СТО СССР "О мероприятиях по укреплению Амура и побережья Дальнего Востока". В соответствии с ним к ноябрю 1934 г. на Дальнем Востоке планировалось развернуть уже 11 эскадрилий! Быстрого роста парка намеревались достичь превращением в торпедоносные четырех крейсерских эскадрилий на КР-6, трех легко- и двух тяжелобомбардировочных на Р-5 и ТБ-3 соответственно. В соответствии с этим планом из Новочеркасска в Сучан перебросили 22-ю легкобомбардировочную эскадрилью на Р-5. 15.11.1934 эскадрилью передали в состав Морских сил Дальнего Востока, переименовали в минно-торпедную и разместили на аэродроме Ново-Не- жино, которого, в сущности, еще не существовало. Личный состав занялся его обустройством. Новые самолеты Р-5Т доставляли в Приморье в разобранном виде, в ящиках по железной дороге. На место груз прибыл в начале 1936 г., личный состав приступил к сборке машин. На 1.9.1936 в составе МСДВ уже числилась 22-я минно-торпедная эскадрилья с 31 самолетом. Командовал ею майор Борман. Но когда в октябре в Ново-Нежино прибыла инспекторская проверка из Москвы, выяснилось, что часть далека от боеспособного состояния. Из 31 торпедоносца собрали только 16. Остальные оставались лежать в ящиках. Скудное оборудование аэродрома не позволяло не только эксплуатировать, но и удовлетворительно хранить самолеты в собранном виде.</w:t>
      </w:r>
    </w:p>
    <w:p w14:paraId="6235DA0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Летчики, взятые из легкобомбардировочной авиации, умели пилотировать Р-5, стрелять и бомбить. Но они не имели никакого понятия об устройстве торпед, о технике и тактике их применения. Не умели ориентироваться над морем (а торпедоносцы должны были обходиться без летнабов-штурманов), читать морские карты, не могли отличить один корабль от другого. Учебное торпедометание не проводили - нечем. В эскадрилье не имелось ни учебных ходовых торпед, ни "болванок" для тренировки в правильном сбрасывании. Самолеты нельзя было использовать и как легкие бомбардировщики. На замки Дер-13 торпедной подвески можно было вешать бомбы весом 250 или 500 кг. Но использовать дорогие ФАБ-250 для учебного бомбометания казалось совершенно бессмысленным. Учились бомбить обычно дешевыми практическими цементными бомбами П-25. Но к Дер-13 они не подходили. В итоге начали кустарно монтировать бомбодержатели Дер-7 и проводку к ним. Фактически 22-я эскадрилья (переименованная позже в 26-ю) освоила Р-5Т только к середине 1937 г. На 1 декабря того же года в 26-й эскадрилье числилось 26 исправных машин и пять в ремонте. История 26-й эскадрильи достаточно типична для того времени. Грандиозные планы постоянно разбивались об отсутствие денег, отставание промышленности, постоянную экономию на подготовке личного состава (12002).</w:t>
      </w:r>
    </w:p>
    <w:p w14:paraId="46FB07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7521CF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года в Калуге (МВО) сформировали 20-ю отдельную легкую механизированную бригаду, имевшую в своем составе 20-й отдельный автоброневой батальон. Она имела особый штат и предназначалась для ведения бо</w:t>
      </w:r>
      <w:r w:rsidRPr="00C33834">
        <w:rPr>
          <w:rFonts w:ascii="Times New Roman" w:hAnsi="Times New Roman"/>
          <w:color w:val="000000" w:themeColor="text1"/>
          <w:sz w:val="16"/>
          <w:szCs w:val="16"/>
        </w:rPr>
        <w:softHyphen/>
        <w:t>евых действий в Забайкалье, куда ее перебросили в начале 1934 года. Дислоцировалась бригада в городе Троицкосавск, позже переименованный в Кяхту. Однако опыт ее боевой учебы показал, что организация бригады — два танкетных батальона Т-27 и батальон средних бронемашин — неудачна и не соответствует возлагаемым на нее боевым задачам. Поэтому в марте 1935 года руководство автобронетанкового управления РККА обратилось к нарко</w:t>
      </w:r>
      <w:r w:rsidRPr="00C33834">
        <w:rPr>
          <w:rFonts w:ascii="Times New Roman" w:hAnsi="Times New Roman"/>
          <w:color w:val="000000" w:themeColor="text1"/>
          <w:sz w:val="16"/>
          <w:szCs w:val="16"/>
        </w:rPr>
        <w:softHyphen/>
        <w:t>му обороны СССР с предложением перевооружить бригаду, включив в нее два батальона средних бронемашин и баталь</w:t>
      </w:r>
      <w:r w:rsidRPr="00C33834">
        <w:rPr>
          <w:rFonts w:ascii="Times New Roman" w:hAnsi="Times New Roman"/>
          <w:color w:val="000000" w:themeColor="text1"/>
          <w:sz w:val="16"/>
          <w:szCs w:val="16"/>
        </w:rPr>
        <w:softHyphen/>
        <w:t>он танков Т-37. Получив «добро», 20-я отдельная легкая мех-бригада перешла на новый штат: управление, танковый, тан-кетный, автоброневой и стрелково-пулеметный батальоны, артиллерийская батарея и техническая база. К 1 января 1936 года в бригаде было 58 пушечных бронеавтомобилей, вхо</w:t>
      </w:r>
      <w:r w:rsidRPr="00C33834">
        <w:rPr>
          <w:rFonts w:ascii="Times New Roman" w:hAnsi="Times New Roman"/>
          <w:color w:val="000000" w:themeColor="text1"/>
          <w:sz w:val="16"/>
          <w:szCs w:val="16"/>
        </w:rPr>
        <w:softHyphen/>
        <w:t>дивших в состав следующих подразделений: 3 машины в комендантском взводе управления бригады, из них 1 радийная, 45 (из них 15 радийных) в автоброневом батальоне и 10 (из них 4 радийных) в школе младшего командного состава (11284).</w:t>
      </w:r>
    </w:p>
    <w:p w14:paraId="142EB74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390BEF" w14:textId="77777777" w:rsidR="00E0670B" w:rsidRPr="00C33834" w:rsidRDefault="00E067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w:t>
      </w:r>
    </w:p>
    <w:p w14:paraId="2A8BA911" w14:textId="77777777" w:rsidR="00E0670B" w:rsidRPr="00C33834" w:rsidRDefault="00E067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 немецком «Научном и летно-испытательном авиационном учреждении» в г. Липецке (1925 – 1933 гг.) и В.П. Чкалове</w:t>
      </w:r>
    </w:p>
    <w:p w14:paraId="4AE1B177" w14:textId="77777777" w:rsidR="00E0670B" w:rsidRPr="00C33834" w:rsidRDefault="00E067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1922 году в Липецке была создана Высшая школа военных летчиков, 13 июня 1925 года ее закрыли. В этом же году в Липецке разместились 1-я отдельная разведывательная авиаэскадрилья им. В.И. Ленина (с 4 марта 1925 года она стала первой в советских ВВС легкобомбардировочной эскадрильей – 1-й олбаэ) и 10-й корпусной авиаотряд, который вместе с 1-й олбаэ составил Липецкую авиагруппу ВВС МВО. </w:t>
      </w:r>
    </w:p>
    <w:p w14:paraId="4F61F639" w14:textId="77777777" w:rsidR="00E0670B" w:rsidRPr="00C33834" w:rsidRDefault="00E067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1925 году открылась и немецкая страница в истории Липецка и его аэродрома. В это время Германия могла иметь вооруженные силы численностью в 100 тыс. человек, из них офицеры должны были составлять не более четырех тысяч человек. Военная и морская авиация, тяжелая артиллерия и танковые войска отменялись. Политической и правовой основой сотрудничества между СССР и Германией явились договор в Рапалло от 12 апреля 1922 года, а позднее - советско-германский договор о нейтралитете от 24 апреля 1926 года. Соглашение о создании немецкой авиационной школы в Липецке было подписано в Москве 15 апреля 1925 года, а уже летом школа была открыта для подготовки летного состава. В соответствии с подписанным 15 августа 1925 года соглашением между Германией и СССР в Липецке было образовано немецкое авиационное учебно-боевое подразделение, которое официально называлось «Научное и летно-испытательное авиационное учреждение». Липецкий аэродром поступил в совместную советско-немецкую эксплуатацию. Немцы провели значительную работу по оборудованию Липецкого аэродрома, построили ряд зданий в гарнизоне, некоторые из них сохранились до настоящего времени. Немецкий учебный центр состоял из штаба, отрядов истребительного, разведывательного и летных испытаний. К практическим полетам на Липецком аэродроме немецкие летчики приступили летом 1925 года. За все время существования центра в нем прошли подготовку около 450 летчиков, летчиков-наблюдателей и других авиаспециалистов, в том числе 120 летчиков-истребителей. </w:t>
      </w:r>
    </w:p>
    <w:p w14:paraId="7C2FDA4C" w14:textId="77777777" w:rsidR="00E0670B" w:rsidRPr="00C33834" w:rsidRDefault="00E0670B"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Немецкая сторона через подставные фирмы закупала для ВВС Красной армии лучшие истребители того времени – голландские «Фоккер D-XI» (150 таких машин закупили в Голландии, якобы для Бразилии, однако пароходы с ними прибыли не в Рио-деЖанейро, а в Ленинград). Таким же путем в Липецке оказались несколько позднее и более совершенные «Фоккер D-XII». Вскоре по заказу Советского Союза Фоккер разработал истребитель «Фоккер ДXIII» с двигателем «Нэпир Лайон». Новый самолет поступил в Липецк в количестве 50 экземпляров для немецкой авиашколы военных летчиков. Самолеты «Фоккер D-XIII» составили основу парка учебных машин школы. Этот самолет по сравнению со стоявшим в то время на вооружении советских ВВС «Фоккер D-XI» по схеме отличался мало, однако имел гораздо более мощный двигатель (450 л.с. вместо 300 л.с.) и значительно лучшие летные качества. На аэродроме постоянно дислоцировались авиачасти МВО, здесь регулярно бывал командующий ВВС МВО И.У. Павлов и другие авиационные командиры. Практиковались совместные полеты советских и немецких летчиков на разведку, учебные воздушные бои между ними, состязания в стрельбе по буксируемым мишеням-конусам, в бомбометании с пикирования и многое другое. Полученные знания и опыт очень скоро понадобились нашим авиаторам в реальных боевых условиях: осенью 1929 года 1-я (с октября 1929 года - 40-я) легкобомбардировочная авиаэскадрилья (командир – И.И. Карклин) убыла на Дальний Восток, где приняла участие в боях на КВЖД. Советская сторона рассматривала Липецкий аэродром как своеобразный учебный центр, предназначенный для ознакомления наших авиаторов с последними достижениями зарубежной авиационной техники, методикой летной подготовки, организацией летной и наземной служб, особенностями боевого применения самолетов различных типов. В Липецком центре побывал и Валерий Павлович Чкалов. В этой связи приведем выдержку из книги В.В. Чкаловой: «В конце июня 1927 года Чкалова направили в Липецк на курсы усовершенствования для повышения летного мастерства. (…) После окончания курсов наши и иностранные летчики показали лучшие методы и способы боевого применения истребителей, а, следовательно, и технику высшего пилотажа, маневренности и стрельбы. В этих показательных полетах Чкалов занял первое место, вызвав восхищение не только участников состязания, но и присутствовавшего при этом руководства ВВС. После возвращения Чкалова Шелухин [командир части, в которой служил В.П. Чкалов] дал ему задание показать всему летному составу эскадрильи, чему он научился на курсах. Чкалов попросил разрешение на свободный полет, на что Шелухин согласился «с большим напряжением». Чкалов готовился три дня к этому полету. Сам просмотрел свой самолет, отрегулировал его, устранил люфты, смазал, проверил все болты и сочленения. В этом ему, конечно, помогла его работа в мастерских по ремонту самолетов в 1919 году. Вообще, следует отметить, что подготовке материальной части он всегда уделял особое внимание, что замечалось и его начальством. Полет совершался на самолете «Фоккер Д-XI». Я [В.В. Чкалова] хочу привести очень ярко написанные воспоминания В.В. Брандта, служившего в этой эскадрилье и присутствовавшего при этом показе: «Набрав необходимую высоту, Валерий Павлович выполнил каскад фигур высшего пилотажа, как всегда «по-чкаловски», стремительно и четко. Все шло очень хорошо, командир с удовольствием наблюдал. Вдруг самолет начал пикировать на ангар. Пикирование выполнялось под большим углом, мотор работал на полных оборотах. Машина с ревом неслась к земле, как раз к тому месту, где стоял командир. Все недоуменно следили за этим падением. Примерно на высоте 50 метров начался выход из пикирования. Но снижение по инерции, разумеется, продолжалось. В результате самолет пронесся над самой землей, так что в кабине отчетливо была видна голова Чкалова в шлеме. Он смотрел на Шелухина. В следующее мгновение летчик пошел круто вверх с явным намерением выполнить петлю. Но ведь петля на такой высоте – самоубийство! Все замерли (…). Набрав высоту около 150 метров и показав зрителям «спинку», Чкалов плавно и четко повернул машину на 180 градусов вокруг продольной оси, продолжая полет без ухода вверх. Фигура иммельмана! это на минимально возможной высоте! Он уверенно и абсолютно одинаково повторил фигуру пять или шесть раз. Крутое пикирование с мотором, вывод у самой земли, резкий бросок на петлю и четкий переворот на высоте 150 – 200 метров. Закончив программу, Чкалов начал заход на посадку. Но и здесь зрителей ждал сюрприз. Добравшись примерно до границы аэродрома, летчик перевернул машину и продолжал планирование вверх колесами. Когда до земли остались считанные метры, совершил обратный переворот и тут же приземлился на три точки, то есть выполнил замедленную «бочку» при планировании на посадку». Кончился этот отчет о командировке тем, что Чкалов получил двадцать суток ареста на гауптвахте и двадцать суток отстранения от полетов от командира бригады, приехавшего в этот момент на аэродром. Позднее на вопрос командира, зачем он это сделал, Чкалов ответил, что в боевых условиях перед летчиком может стоять проблема вынужденной посадки, и этот маневр позволит ему без аварии посадить самолет в любых условиях. Фигуру иммельман на «Фоккере Д-XI» не выполнял никто, кроме Чкалова. Она не получалась, так как машина сваливалась в штопор. Чкалов не только показал возможность выполнения этой фигуры высшего пилотажа, но и по просьбе командира рассказал, как он это делает. Его рассказ был коротким: «Сначала я отвязываюсь и сажусь как можно глубже в кабину, чтобы «ногу больше дать». Газ на разгоне даю на защелку. Потом ловлю момент и даю рули до отказа». Достаточно все просто, но за этой простотой чувствуется серьезная проработка проблемы»16. С лета 1930 года интерес немецкой стороны к функционированию Липецкого центра стал снижаться. Причин здесь было несколько: западные страны ослабили тиски ограничений Версальского договора, в связи с чем работы по подготовке авиационного персонала, производству и испытаниям техники стало возможным переносить на территорию Германии. Началась работа по сбору лучших авиационных специалистов и распределению их по крупнейшим германским авиазаводам и летно-испытательным станциям, которые в скором времени предполагалось загрузить военными заказами. В итоге к сентябрю 1930 года свернул работу отряд, готовивший летчиков-наблюдателей, с конца 1931 года их подготовку вели уже в Германии. Постепенно Липецк покинули и лучшие специалисты-истребители, такие, как, например, командир истребительного отряда Карл Шенебек, ас Первой мировой войны. С приходом же 30 января 1933 года к власти в Германии Гитлера и его нацистской партии военное сотрудничество между нашими странами прекратилось полностью, и в сентябре 1933 года весь немецкий персонал покинул Липецк. На Липецком аэродроме в это время продолжал базироваться 4-й авиаотряд советских ВВС, входивший в состав сначала 40-й, а затем 38-й эскадрильи. Его командиром с 1931 г. стал А. Томсон (19566).</w:t>
      </w:r>
    </w:p>
    <w:p w14:paraId="52D67D89" w14:textId="77777777" w:rsidR="00E0670B" w:rsidRPr="00C33834" w:rsidRDefault="00E0670B" w:rsidP="00C33834">
      <w:pPr>
        <w:spacing w:after="0" w:line="240" w:lineRule="auto"/>
        <w:jc w:val="both"/>
        <w:rPr>
          <w:rFonts w:ascii="Times New Roman" w:hAnsi="Times New Roman"/>
          <w:color w:val="000000" w:themeColor="text1"/>
          <w:sz w:val="16"/>
          <w:szCs w:val="16"/>
        </w:rPr>
      </w:pPr>
    </w:p>
    <w:p w14:paraId="099AC837" w14:textId="77777777" w:rsidR="00E0670B" w:rsidRPr="00C33834" w:rsidRDefault="00E0670B"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С конца 1933 года в РНИИ продолжились испытания снарядов, которые стабилизировались при помощи обычного хвостового оперения в виде четырех-лопастного стабилизатора. Этот метод стабилизации почти сразу оправдал себя и снаряды сохраняли вполне определенную закономерность полета.</w:t>
      </w:r>
    </w:p>
    <w:p w14:paraId="11FF987C" w14:textId="77777777" w:rsidR="00E0670B" w:rsidRPr="00C33834" w:rsidRDefault="00E0670B"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При некоторых испытаниях уже в 1934-35 годах кучность боя ракетных снарядов достигла кучности мало отличающейся от достигнутой в то время, т.е. налицо имелось достаточно данных для внедрения снарядов в войска в виде первого этапа. Тем более это было необходимо сделать, учитывая, что стрельба ракетными снарядами вследствие отсутствия отдачи при выстреле не требует сложного пускового устройства. В 1934 году под влиянием напора ряда молодых инженеров о необходимости проведения испытаний с самолёта, был вооружен ракетными снарядами И-5.</w:t>
      </w:r>
    </w:p>
    <w:p w14:paraId="158990DC" w14:textId="77777777" w:rsidR="00E0670B" w:rsidRPr="00C33834" w:rsidRDefault="00E0670B"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Первые опыты показали относительно хорошие результаты, но дальнейшее развитие было приостановлено вследствие того, что при стрельбе ракетными снарядами с самолёта Р-6 последний сгорел. На основании этого эксперименты были приостановлены до второй половины 1937 года [Письмо Исх. № 24ос от 14.02.1939 г. ДИРЕКТОРА НИИ № 3 СЛОНИМЕРА И ЗАМ.ДИРЕКТОРА НИИ № 3 ВОЕНИНЖЕНЕРА I РАНГА КОСТИКОВА в В.П.К.КОМИТЕТА ОБОРОНЫ ПРИ ВЕРХОВНОМ СОВЕТЕ С.С.С.Р. </w:t>
      </w:r>
      <w:r w:rsidRPr="00C33834">
        <w:rPr>
          <w:rFonts w:ascii="Times New Roman" w:eastAsia="Times New Roman" w:hAnsi="Times New Roman"/>
          <w:color w:val="000000" w:themeColor="text1"/>
          <w:sz w:val="16"/>
          <w:szCs w:val="16"/>
          <w:u w:val="single"/>
          <w:lang w:eastAsia="ru-RU"/>
        </w:rPr>
        <w:t>Тов. МАТВЕЕВУ.</w:t>
      </w:r>
      <w:r w:rsidRPr="00C33834">
        <w:rPr>
          <w:rFonts w:ascii="Times New Roman" w:eastAsia="Times New Roman" w:hAnsi="Times New Roman"/>
          <w:color w:val="000000" w:themeColor="text1"/>
          <w:sz w:val="16"/>
          <w:szCs w:val="16"/>
          <w:lang w:eastAsia="ru-RU"/>
        </w:rPr>
        <w:t> Копия // Архив ГНЦ ФГУП "Центр Келдыша". Инв. 291. Оп. 1. Ед. хр. по описи 14. Л. 53,54,55,64.]</w:t>
      </w:r>
    </w:p>
    <w:p w14:paraId="59870A28" w14:textId="77777777" w:rsidR="00E0670B" w:rsidRPr="00C33834" w:rsidRDefault="00E0670B" w:rsidP="00C3383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C9D9040" w14:textId="77777777" w:rsidR="00EB0B16"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33B3BA6C" w14:textId="77777777" w:rsidR="00EB0B16" w:rsidRPr="00C33834" w:rsidRDefault="00EB0B16"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11038C8A" w14:textId="77777777" w:rsidR="00375BEC" w:rsidRPr="00C33834" w:rsidRDefault="00375BE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 несмотря на достигнутые в ряде областей успехи, положение Метростроя внушало тревогу: план в целом не был выполнен, организация работы и снабжение материалами, рабочей силой, жильем и транспортными средствами далеко не соответствовали объему предстоящих работ{497}.Даже при строительстве вагонных депо, мастерских, гаражей, жилых домов и бараков, где не требовалось решать сложные технические задачи, план 1933 г. был выполнен едванаполовину, а результаты строительства оказались удручающими: «Качество гражданского строительства Метростроя безобразно. Все построенные в прошлом году баракиуже потребовали капитального ремонта. Междуэтажные перекрытия стандартных домов в поселке им. Ворошилова еще до сдачи их в эксплуатацию проваливались и были переделаны, столярные изделия в домах Черкизово недопустимо низкого качества. Постройка здания лесопильного завода граничит с прямым вредительством: проект этого здания был составлен безграмотно, технологический процесс не продуман, и это повлекло неоднократные переделки и приспособления уже выстроенного здания к процессу производства. В эксплуатацию постройки сдаются, как правило, с крупными недоделками [...]»{498}</w:t>
      </w:r>
    </w:p>
    <w:p w14:paraId="503352AA" w14:textId="77777777" w:rsidR="00375BEC" w:rsidRPr="00C33834" w:rsidRDefault="00375BE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Утвержденный в марте 1933 г. Моссоветом годовой план Метростроя на практике при составлении месячных планов игнорировался. Ориентировались не на плановые задания, а на реальные возможности шахт и дистанций, и постоянно уменьшали требования. По плану строительство предстояло закончить к 1 июля 1934 г., а к 1 декабря 1934 г. метрополитен следовало сдать в эксплуатацию. В начале октября 1933 г. Метрострой выполнил лишь 33,5% земляных работ от уровня годового плана, а по бетонным работам и вовсе лишь 14,7%. Метрострой не располагал к тому времени и утвержденным техническим проектом{499} (18299).</w:t>
      </w:r>
    </w:p>
    <w:p w14:paraId="5BF71700" w14:textId="77777777" w:rsidR="00375BEC" w:rsidRPr="00C33834" w:rsidRDefault="00375BEC" w:rsidP="00C33834">
      <w:pPr>
        <w:spacing w:after="0" w:line="240" w:lineRule="auto"/>
        <w:jc w:val="both"/>
        <w:rPr>
          <w:rFonts w:ascii="Times New Roman" w:hAnsi="Times New Roman"/>
          <w:color w:val="000000" w:themeColor="text1"/>
          <w:sz w:val="16"/>
          <w:szCs w:val="16"/>
        </w:rPr>
      </w:pPr>
    </w:p>
    <w:p w14:paraId="313A53A3" w14:textId="77777777" w:rsidR="00EB0B16" w:rsidRPr="00C33834" w:rsidRDefault="00EB0B1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последние месяцы </w:t>
      </w:r>
      <w:r w:rsidRPr="00C33834">
        <w:rPr>
          <w:rStyle w:val="highlight"/>
          <w:rFonts w:ascii="Times New Roman" w:hAnsi="Times New Roman"/>
          <w:color w:val="000000" w:themeColor="text1"/>
          <w:sz w:val="16"/>
          <w:szCs w:val="16"/>
        </w:rPr>
        <w:t> 1933 </w:t>
      </w:r>
      <w:r w:rsidRPr="00C33834">
        <w:rPr>
          <w:rFonts w:ascii="Times New Roman" w:hAnsi="Times New Roman"/>
          <w:color w:val="000000" w:themeColor="text1"/>
          <w:sz w:val="16"/>
          <w:szCs w:val="16"/>
        </w:rPr>
        <w:t xml:space="preserve"> г. Политбюро занималось проблемами эпидемий, в том числе таких, как тиф и малярия (на </w:t>
      </w:r>
      <w:r w:rsidRPr="00C33834">
        <w:rPr>
          <w:rStyle w:val="highlight"/>
          <w:rFonts w:ascii="Times New Roman" w:hAnsi="Times New Roman"/>
          <w:color w:val="000000" w:themeColor="text1"/>
          <w:sz w:val="16"/>
          <w:szCs w:val="16"/>
        </w:rPr>
        <w:t> 1933 </w:t>
      </w:r>
      <w:r w:rsidRPr="00C33834">
        <w:rPr>
          <w:rFonts w:ascii="Times New Roman" w:hAnsi="Times New Roman"/>
          <w:color w:val="000000" w:themeColor="text1"/>
          <w:sz w:val="16"/>
          <w:szCs w:val="16"/>
        </w:rPr>
        <w:t xml:space="preserve"> г. пришелся пик эпидемии сыпного тифа — было зарегистрировано по СССР более 870 тыс. случаев заболеваний по сравнению с 233 тыс. в 1932 г. и 437 тыс. в 1934 г.). Однако, несмотря на все трудности, весенний сев прошел относительно нормально, а урожай осенью был значительно лучше, чем в предыдущие два года. Это позволило существенно увеличить снабжение хлебом городов. В последние несколько месяцев </w:t>
      </w:r>
      <w:r w:rsidRPr="00C33834">
        <w:rPr>
          <w:rStyle w:val="highlight"/>
          <w:rFonts w:ascii="Times New Roman" w:hAnsi="Times New Roman"/>
          <w:color w:val="000000" w:themeColor="text1"/>
          <w:sz w:val="16"/>
          <w:szCs w:val="16"/>
        </w:rPr>
        <w:t> 1933 </w:t>
      </w:r>
      <w:r w:rsidRPr="00C33834">
        <w:rPr>
          <w:rFonts w:ascii="Times New Roman" w:hAnsi="Times New Roman"/>
          <w:color w:val="000000" w:themeColor="text1"/>
          <w:sz w:val="16"/>
          <w:szCs w:val="16"/>
        </w:rPr>
        <w:t xml:space="preserve"> г. наблюдался рост поставок на колхозные рынки. Определенным показателем улучшения ситуации было падение рыночных цен на продовольствие начиная с июля и далее (17281).</w:t>
      </w:r>
    </w:p>
    <w:p w14:paraId="25A758A0" w14:textId="77777777" w:rsidR="00EB0B16" w:rsidRPr="00C33834" w:rsidRDefault="00EB0B16"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FFC5BF" w14:textId="77777777" w:rsidR="00375BEC" w:rsidRPr="00C33834" w:rsidRDefault="00375BEC"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3251FF23" w14:textId="77777777" w:rsidR="00375BEC" w:rsidRPr="00C33834" w:rsidRDefault="00375BEC"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EB5B7E3" w14:textId="77777777" w:rsidR="00375BEC" w:rsidRPr="00C33834" w:rsidRDefault="00375BE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г. наметились сдвиги в развитии торгово-экономических отношений между обеими странами, хотя многие ограничения и барьеры против импорта советских товаров оставались в силе. Администрация смягчила дискриминационные действия, но экспорт антрацита, апатитов и шпаков все же встречал препятствия. Антрацит подлежал обложению акцизной пошлиной. В период широкой кампании "демпингового экспорта" советского угля в США была введена временная пошлина в 2,24 долл. с тонны, а в марте 1933 г. внесено новое предложение об увеличении этой пошлины до 4 долл. с тонны. Антидемпинговая пошлина на спички оставалась в силе, а это было равносильно эмбарго. При обсуждении проекта торгового соглашения с США в 1933 г. Народный комиссариат внешней торговли (НКВТ) предложил производить закупку товаров в Соединенных Штатах на сумму не выше 30 млн долл. В 1933 г. общий торговый оборот Амторга составил 20 565 420 долл., причем советский экспорт достигал 13 732 400 долл., а импорт 7 833 920 долл.12 Количество сотрудников Амторга составило 47 человек. Операции велись с 628 фирмами. Работа Амторга проходила в сложной и нестабильной обстановке (18280).</w:t>
      </w:r>
    </w:p>
    <w:p w14:paraId="6C5C2E98" w14:textId="77777777" w:rsidR="00375BEC" w:rsidRPr="00C33834" w:rsidRDefault="00375BEC" w:rsidP="00C33834">
      <w:pPr>
        <w:spacing w:after="0" w:line="240" w:lineRule="auto"/>
        <w:jc w:val="both"/>
        <w:rPr>
          <w:rFonts w:ascii="Times New Roman" w:hAnsi="Times New Roman"/>
          <w:color w:val="000000" w:themeColor="text1"/>
          <w:sz w:val="16"/>
          <w:szCs w:val="16"/>
        </w:rPr>
      </w:pPr>
    </w:p>
    <w:p w14:paraId="277460BA"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36AF7B70"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4B60BCE" w14:textId="77777777" w:rsidR="00DD2236" w:rsidRPr="00C33834" w:rsidRDefault="00DD223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 xml:space="preserve">В конце 1933 года был облетан головной серийный Do 11с. </w:t>
      </w:r>
      <w:r w:rsidRPr="00C33834">
        <w:rPr>
          <w:rFonts w:ascii="Times New Roman" w:hAnsi="Times New Roman"/>
          <w:color w:val="0070C0"/>
          <w:sz w:val="16"/>
          <w:szCs w:val="16"/>
          <w:lang w:eastAsia="ru-RU" w:bidi="ru-RU"/>
        </w:rPr>
        <w:t>Главной особенностью самолета было убирающееся шасси, которое в Ев</w:t>
      </w:r>
      <w:r w:rsidRPr="00C33834">
        <w:rPr>
          <w:rFonts w:ascii="Times New Roman" w:hAnsi="Times New Roman"/>
          <w:color w:val="0070C0"/>
          <w:sz w:val="16"/>
          <w:szCs w:val="16"/>
          <w:lang w:eastAsia="ru-RU" w:bidi="ru-RU"/>
        </w:rPr>
        <w:softHyphen/>
        <w:t>ропе пока применяли только на легких самолетах. Аэродинамика самолета по тому времени была весьма прогрессив</w:t>
      </w:r>
      <w:r w:rsidRPr="00C33834">
        <w:rPr>
          <w:rFonts w:ascii="Times New Roman" w:hAnsi="Times New Roman"/>
          <w:color w:val="0070C0"/>
          <w:sz w:val="16"/>
          <w:szCs w:val="16"/>
          <w:lang w:eastAsia="ru-RU" w:bidi="ru-RU"/>
        </w:rPr>
        <w:softHyphen/>
        <w:t>ной, ее улучшало и внутреннее размеще</w:t>
      </w:r>
      <w:r w:rsidRPr="00C33834">
        <w:rPr>
          <w:rFonts w:ascii="Times New Roman" w:hAnsi="Times New Roman"/>
          <w:color w:val="0070C0"/>
          <w:sz w:val="16"/>
          <w:szCs w:val="16"/>
          <w:lang w:eastAsia="ru-RU" w:bidi="ru-RU"/>
        </w:rPr>
        <w:softHyphen/>
        <w:t xml:space="preserve">ние тонны бомб. Для обороны самолет имел три турельных 7,92-мм пулемета </w:t>
      </w:r>
      <w:r w:rsidRPr="00C33834">
        <w:rPr>
          <w:rFonts w:ascii="Times New Roman" w:hAnsi="Times New Roman"/>
          <w:color w:val="0070C0"/>
          <w:sz w:val="16"/>
          <w:szCs w:val="16"/>
          <w:lang w:val="en-US" w:bidi="en-US"/>
        </w:rPr>
        <w:t>MG</w:t>
      </w:r>
      <w:r w:rsidRPr="00C33834">
        <w:rPr>
          <w:rFonts w:ascii="Times New Roman" w:hAnsi="Times New Roman"/>
          <w:color w:val="0070C0"/>
          <w:sz w:val="16"/>
          <w:szCs w:val="16"/>
          <w:lang w:bidi="en-US"/>
        </w:rPr>
        <w:t xml:space="preserve"> </w:t>
      </w:r>
      <w:r w:rsidRPr="00C33834">
        <w:rPr>
          <w:rFonts w:ascii="Times New Roman" w:hAnsi="Times New Roman"/>
          <w:color w:val="0070C0"/>
          <w:sz w:val="16"/>
          <w:szCs w:val="16"/>
          <w:lang w:eastAsia="ru-RU" w:bidi="ru-RU"/>
        </w:rPr>
        <w:t>15. В состав оборудования были включены телефонное переговорное устройство, радиостанция и радиополу</w:t>
      </w:r>
      <w:r w:rsidRPr="00C33834">
        <w:rPr>
          <w:rFonts w:ascii="Times New Roman" w:hAnsi="Times New Roman"/>
          <w:color w:val="0070C0"/>
          <w:sz w:val="16"/>
          <w:szCs w:val="16"/>
          <w:lang w:eastAsia="ru-RU" w:bidi="ru-RU"/>
        </w:rPr>
        <w:softHyphen/>
        <w:t xml:space="preserve">компас. </w:t>
      </w:r>
      <w:r w:rsidRPr="00C33834">
        <w:rPr>
          <w:rFonts w:ascii="Times New Roman" w:hAnsi="Times New Roman"/>
          <w:color w:val="0070C0"/>
          <w:sz w:val="16"/>
          <w:szCs w:val="16"/>
        </w:rPr>
        <w:t>К его появлению были гото</w:t>
      </w:r>
      <w:r w:rsidRPr="00C33834">
        <w:rPr>
          <w:rFonts w:ascii="Times New Roman" w:hAnsi="Times New Roman"/>
          <w:color w:val="0070C0"/>
          <w:sz w:val="16"/>
          <w:szCs w:val="16"/>
        </w:rPr>
        <w:softHyphen/>
        <w:t>вы моторы Сименс Sh 22b-2 немецкого выпус</w:t>
      </w:r>
      <w:r w:rsidRPr="00C33834">
        <w:rPr>
          <w:rFonts w:ascii="Times New Roman" w:hAnsi="Times New Roman"/>
          <w:color w:val="0070C0"/>
          <w:sz w:val="16"/>
          <w:szCs w:val="16"/>
        </w:rPr>
        <w:softHyphen/>
        <w:t>ка мощностью 650 л.с. на взлете и 600 л.с. на высоте 1500 м (</w:t>
      </w:r>
      <w:r w:rsidRPr="00C33834">
        <w:rPr>
          <w:rFonts w:ascii="Times New Roman" w:hAnsi="Times New Roman"/>
          <w:color w:val="0070C0"/>
          <w:sz w:val="16"/>
          <w:szCs w:val="16"/>
          <w:lang w:eastAsia="ru-RU" w:bidi="ru-RU"/>
        </w:rPr>
        <w:t>вариант английского «Юпитера», усовершенствованный не</w:t>
      </w:r>
      <w:r w:rsidRPr="00C33834">
        <w:rPr>
          <w:rFonts w:ascii="Times New Roman" w:hAnsi="Times New Roman"/>
          <w:color w:val="0070C0"/>
          <w:sz w:val="16"/>
          <w:szCs w:val="16"/>
          <w:lang w:eastAsia="ru-RU" w:bidi="ru-RU"/>
        </w:rPr>
        <w:softHyphen/>
        <w:t>мецкими инженерами</w:t>
      </w:r>
      <w:r w:rsidRPr="00C33834">
        <w:rPr>
          <w:rFonts w:ascii="Times New Roman" w:hAnsi="Times New Roman"/>
          <w:color w:val="0070C0"/>
          <w:sz w:val="16"/>
          <w:szCs w:val="16"/>
        </w:rPr>
        <w:t>).</w:t>
      </w:r>
    </w:p>
    <w:p w14:paraId="56EF94C2" w14:textId="77777777" w:rsidR="00DD2236" w:rsidRPr="00C33834" w:rsidRDefault="00DD223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Первые самолеты были направ</w:t>
      </w:r>
      <w:r w:rsidRPr="00C33834">
        <w:rPr>
          <w:rFonts w:ascii="Times New Roman" w:hAnsi="Times New Roman"/>
          <w:color w:val="0070C0"/>
          <w:sz w:val="16"/>
          <w:szCs w:val="16"/>
        </w:rPr>
        <w:softHyphen/>
        <w:t>лены в государствен</w:t>
      </w:r>
      <w:r w:rsidRPr="00C33834">
        <w:rPr>
          <w:rFonts w:ascii="Times New Roman" w:hAnsi="Times New Roman"/>
          <w:color w:val="0070C0"/>
          <w:sz w:val="16"/>
          <w:szCs w:val="16"/>
        </w:rPr>
        <w:softHyphen/>
        <w:t>ную почтово-транспортную компанию «Рейхсбан-Штрекен», под вывеской ко</w:t>
      </w:r>
      <w:r w:rsidRPr="00C33834">
        <w:rPr>
          <w:rFonts w:ascii="Times New Roman" w:hAnsi="Times New Roman"/>
          <w:color w:val="0070C0"/>
          <w:sz w:val="16"/>
          <w:szCs w:val="16"/>
        </w:rPr>
        <w:softHyphen/>
        <w:t>торой пряталась летная школа бомбар</w:t>
      </w:r>
      <w:r w:rsidRPr="00C33834">
        <w:rPr>
          <w:rFonts w:ascii="Times New Roman" w:hAnsi="Times New Roman"/>
          <w:color w:val="0070C0"/>
          <w:sz w:val="16"/>
          <w:szCs w:val="16"/>
        </w:rPr>
        <w:softHyphen/>
        <w:t>дировочной авиации. Самолет постав</w:t>
      </w:r>
      <w:r w:rsidRPr="00C33834">
        <w:rPr>
          <w:rFonts w:ascii="Times New Roman" w:hAnsi="Times New Roman"/>
          <w:color w:val="0070C0"/>
          <w:sz w:val="16"/>
          <w:szCs w:val="16"/>
        </w:rPr>
        <w:softHyphen/>
        <w:t>лялся как гражданский, но к каждому «прикладом» шло вооружение и остек</w:t>
      </w:r>
      <w:r w:rsidRPr="00C33834">
        <w:rPr>
          <w:rFonts w:ascii="Times New Roman" w:hAnsi="Times New Roman"/>
          <w:color w:val="0070C0"/>
          <w:sz w:val="16"/>
          <w:szCs w:val="16"/>
        </w:rPr>
        <w:softHyphen/>
        <w:t>ленная носовая часть с оборудованием для штурмана-бомбардира.</w:t>
      </w:r>
    </w:p>
    <w:p w14:paraId="402AB5C9" w14:textId="77777777" w:rsidR="00DD2236" w:rsidRPr="00C33834" w:rsidRDefault="00DD223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Темпы поставок заметно отставали от плановых. Технологичность машины хотя и улучшилась, но оставалась хуже, чем у самолетов Юнкерса. К тому же моторостроители сорвали график поста</w:t>
      </w:r>
      <w:r w:rsidRPr="00C33834">
        <w:rPr>
          <w:rFonts w:ascii="Times New Roman" w:hAnsi="Times New Roman"/>
          <w:color w:val="0070C0"/>
          <w:sz w:val="16"/>
          <w:szCs w:val="16"/>
        </w:rPr>
        <w:softHyphen/>
        <w:t>вок Sh 22b-2. Летные данные серийных Do 11с по сравнению с прототипом даже улучшились, но самолет для «средне</w:t>
      </w:r>
      <w:r w:rsidRPr="00C33834">
        <w:rPr>
          <w:rFonts w:ascii="Times New Roman" w:hAnsi="Times New Roman"/>
          <w:color w:val="0070C0"/>
          <w:sz w:val="16"/>
          <w:szCs w:val="16"/>
        </w:rPr>
        <w:softHyphen/>
        <w:t>го летчика» в пилотировании оказался сложным из-за недостаточной устойчи</w:t>
      </w:r>
      <w:r w:rsidRPr="00C33834">
        <w:rPr>
          <w:rFonts w:ascii="Times New Roman" w:hAnsi="Times New Roman"/>
          <w:color w:val="0070C0"/>
          <w:sz w:val="16"/>
          <w:szCs w:val="16"/>
        </w:rPr>
        <w:softHyphen/>
        <w:t>вости но тангажу и курсу. При глубоких виражах крыло начинало вибрировать, а механизм уборки и выпуска шасси был крайне ненадежным, и посадка на фюзе</w:t>
      </w:r>
      <w:r w:rsidRPr="00C33834">
        <w:rPr>
          <w:rFonts w:ascii="Times New Roman" w:hAnsi="Times New Roman"/>
          <w:color w:val="0070C0"/>
          <w:sz w:val="16"/>
          <w:szCs w:val="16"/>
        </w:rPr>
        <w:softHyphen/>
        <w:t>ляж случилась в первые недели эксплу</w:t>
      </w:r>
      <w:r w:rsidRPr="00C33834">
        <w:rPr>
          <w:rFonts w:ascii="Times New Roman" w:hAnsi="Times New Roman"/>
          <w:color w:val="0070C0"/>
          <w:sz w:val="16"/>
          <w:szCs w:val="16"/>
        </w:rPr>
        <w:softHyphen/>
        <w:t>атации. Вскоре один Do 11с разбился, и от Дорнье потребовали доработать самолет.</w:t>
      </w:r>
    </w:p>
    <w:p w14:paraId="418CBBA8" w14:textId="77777777" w:rsidR="00DD2236" w:rsidRPr="00C33834" w:rsidRDefault="00DD2236"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Размах крыла уменьшили, измени</w:t>
      </w:r>
      <w:r w:rsidRPr="00C33834">
        <w:rPr>
          <w:rFonts w:ascii="Times New Roman" w:hAnsi="Times New Roman"/>
          <w:color w:val="0070C0"/>
          <w:sz w:val="16"/>
          <w:szCs w:val="16"/>
        </w:rPr>
        <w:softHyphen/>
        <w:t>ли конструкцию законцовок, но это не помогло, и пришлось ограничить угол крена до 45°. Для улучшения путевой устойчивости увеличили руль направле</w:t>
      </w:r>
      <w:r w:rsidRPr="00C33834">
        <w:rPr>
          <w:rFonts w:ascii="Times New Roman" w:hAnsi="Times New Roman"/>
          <w:color w:val="0070C0"/>
          <w:sz w:val="16"/>
          <w:szCs w:val="16"/>
        </w:rPr>
        <w:softHyphen/>
        <w:t>ния и ввели небольшой подфюзеляжный киль, а для устранения опасности сры</w:t>
      </w:r>
      <w:r w:rsidRPr="00C33834">
        <w:rPr>
          <w:rFonts w:ascii="Times New Roman" w:hAnsi="Times New Roman"/>
          <w:color w:val="0070C0"/>
          <w:sz w:val="16"/>
          <w:szCs w:val="16"/>
        </w:rPr>
        <w:softHyphen/>
        <w:t>ва в штопор применили предкрылки. В таком виде машина пошла в серию под индексом Do 11d. доработаны были и все готовые Do 11с. Ненадежный и неудобный механизм уборки шасси за</w:t>
      </w:r>
      <w:r w:rsidRPr="00C33834">
        <w:rPr>
          <w:rFonts w:ascii="Times New Roman" w:hAnsi="Times New Roman"/>
          <w:color w:val="0070C0"/>
          <w:sz w:val="16"/>
          <w:szCs w:val="16"/>
        </w:rPr>
        <w:softHyphen/>
        <w:t>блокировали. лишив самолет главного технического новшества, летные дан</w:t>
      </w:r>
      <w:r w:rsidRPr="00C33834">
        <w:rPr>
          <w:rFonts w:ascii="Times New Roman" w:hAnsi="Times New Roman"/>
          <w:color w:val="0070C0"/>
          <w:sz w:val="16"/>
          <w:szCs w:val="16"/>
        </w:rPr>
        <w:softHyphen/>
        <w:t>ные снизились, и заказ сократили до 150 штук. Военные заметно охладели к Дорнье, отдавая предпочтение Ju 52/3m (22800).</w:t>
      </w:r>
    </w:p>
    <w:p w14:paraId="4F07FB7D" w14:textId="77777777" w:rsidR="00DD2236" w:rsidRPr="00C33834" w:rsidRDefault="00DD2236" w:rsidP="00C33834">
      <w:pPr>
        <w:pStyle w:val="116"/>
        <w:shd w:val="clear" w:color="auto" w:fill="auto"/>
        <w:spacing w:after="0" w:line="240" w:lineRule="auto"/>
        <w:ind w:firstLine="0"/>
        <w:jc w:val="both"/>
        <w:rPr>
          <w:rFonts w:ascii="Times New Roman" w:hAnsi="Times New Roman" w:cs="Times New Roman"/>
          <w:color w:val="0070C0"/>
          <w:sz w:val="16"/>
          <w:szCs w:val="16"/>
        </w:rPr>
      </w:pPr>
    </w:p>
    <w:p w14:paraId="051F568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Правительство Германии приняло решение к октябрю 1035 увеличить количество самолетов до 1610, половину из которых должны были составить бомбардировщики (1071,11).</w:t>
      </w:r>
    </w:p>
    <w:p w14:paraId="1E48110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DC2F1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концу 1933 года в «Ракетенфлюгплатц» было осуществлено 87 пусков ракет и 270 запусков двигателей на стенде. В роковую зиму 1933 года к власти пришел Адольф Гитлер. Именно этой зимой количество членов «Общества межпланетных сообщений» сократилось до 300 человек, а многие из них лишились средств к существованию. В это время приходило много писем, в которых говорилось, что новых поступлений в кассу «Общества» не будет, так как «всеми финансами ведает фюрер». Между тем политическая обстановка в Германии ухудшалась дня ото дня. Среди руководителей «Общества» наметился раскол, причиной которого были в том числе и политические разногласия. Тем не менее работы в «Ракетенфлюгплатц» продолжались. Клаус Ридель запланировал модернизацию испытательного стенда. В земляном валу было сооружено убежище, там хранились баллоны со сжатым азотом, обслуживаемые наблюдателями. Помимо этого Ридель изготовил несколько двигателей нового типа, работающих на спирте. Толчком к использованию спирта в качестве топлива была серьезная дискуссия, имевшая место осенью 1933 года. Было известно, что спирт требует при горении меньшее количество окислителя. Чтобы полностью сжечь 1 кг бензина, необходимо иметь 3,5 кг кислорода. Для того, чтобы сжечь 1 кг спирта, нужно всего лишь около 2 кг кислорода. Хотя спирт выделяет несколько меньше энергии, это преимущество было явным. В это время Ридель работал над проблемой повышения эффективности системы охлаждения. Заинтересовавшись спиртом как возможным ракетным топливом, Ридель задался мыслью охладить двигатель путем впрыскивания внутрь камеры сгорания некоторого количества охлаждающей воды. Готовность Риделя согласиться на применение спирта основывалась на том, что охлаждающую воду можно было смешать со спиртом, обходясь без дополнительной впрыскивающей форсунки (11688).</w:t>
      </w:r>
    </w:p>
    <w:p w14:paraId="4AB948D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37B0D3D" w14:textId="77777777" w:rsidR="00DD2236" w:rsidRPr="00C33834" w:rsidRDefault="00DD2236" w:rsidP="00C33834">
      <w:pPr>
        <w:pStyle w:val="116"/>
        <w:shd w:val="clear" w:color="auto" w:fill="auto"/>
        <w:spacing w:after="0" w:line="240" w:lineRule="auto"/>
        <w:ind w:firstLine="0"/>
        <w:jc w:val="both"/>
        <w:rPr>
          <w:rFonts w:ascii="Times New Roman" w:hAnsi="Times New Roman" w:cs="Times New Roman"/>
          <w:color w:val="0070C0"/>
          <w:sz w:val="16"/>
          <w:szCs w:val="16"/>
        </w:rPr>
      </w:pPr>
      <w:r w:rsidRPr="00C33834">
        <w:rPr>
          <w:rFonts w:ascii="Times New Roman" w:hAnsi="Times New Roman" w:cs="Times New Roman"/>
          <w:color w:val="0070C0"/>
          <w:sz w:val="16"/>
          <w:szCs w:val="16"/>
        </w:rPr>
        <w:t>К концу того же 1933 г. во Франции независимо от «Немецкого ракетного общества» и «Американского общества межпланетных сообщений» Робер Эсно-Пельтри дорабатывал свой проект ракеты, которая должна была весить около 100 кг и подниматься на высоту 100 км. В качестве топлива он использовал тетраметан, жидкий кислород и бензин. Его двигатель обеспечивал тягу 300 кг. в течение 55 сек. Работа не была завершена, а сам автор так и не получил признания на родине</w:t>
      </w:r>
      <w:r w:rsidRPr="00C33834">
        <w:rPr>
          <w:rFonts w:ascii="Times New Roman" w:hAnsi="Times New Roman" w:cs="Times New Roman"/>
          <w:color w:val="0070C0"/>
          <w:sz w:val="16"/>
          <w:szCs w:val="16"/>
          <w:lang w:val="ru-RU"/>
        </w:rPr>
        <w:t xml:space="preserve"> (22685)</w:t>
      </w:r>
      <w:r w:rsidRPr="00C33834">
        <w:rPr>
          <w:rFonts w:ascii="Times New Roman" w:hAnsi="Times New Roman" w:cs="Times New Roman"/>
          <w:color w:val="0070C0"/>
          <w:sz w:val="16"/>
          <w:szCs w:val="16"/>
        </w:rPr>
        <w:t>.</w:t>
      </w:r>
    </w:p>
    <w:p w14:paraId="12B7A8C4" w14:textId="77777777" w:rsidR="00DD2236" w:rsidRPr="00C33834" w:rsidRDefault="00DD2236" w:rsidP="00C33834">
      <w:pPr>
        <w:pStyle w:val="116"/>
        <w:shd w:val="clear" w:color="auto" w:fill="auto"/>
        <w:spacing w:after="0" w:line="240" w:lineRule="auto"/>
        <w:ind w:firstLine="0"/>
        <w:jc w:val="both"/>
        <w:rPr>
          <w:rFonts w:ascii="Times New Roman" w:hAnsi="Times New Roman" w:cs="Times New Roman"/>
          <w:color w:val="0070C0"/>
          <w:sz w:val="16"/>
          <w:szCs w:val="16"/>
        </w:rPr>
      </w:pPr>
    </w:p>
    <w:p w14:paraId="412B8CA3"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3EBF15B8"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41811E6" w14:textId="77777777" w:rsidR="000502B4" w:rsidRPr="00C33834" w:rsidRDefault="000502B4"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В конце 1933 - начале 1934 г., судя по имеющимся данным, мобилизационная заявка НКВМ на 1938 г. (или хотя бы 1935 г.), высшим руководством СССР не рассматривалась и не утверждалась. План военного ведомства по капитальному строительству, заказам на вооружение и прочим расходам на вторую пятилетку также "утверждения СНК СССР не получал" (Доклад врид Начальника Сектора Обороны Госплана СССР Кононенко и Начальника Военной группы Сектора Обороны Госплана СССР Снитко "О выполнении НКО 2-го пятилетнего плана и о к/ц на 3-е пятилетие", 11.05.1937 // РГАЭ. Ф. 4372. Оп. 91. Д. 3290. Л. 14).</w:t>
      </w:r>
    </w:p>
    <w:p w14:paraId="0A738F68" w14:textId="77777777" w:rsidR="000502B4" w:rsidRPr="00C33834" w:rsidRDefault="000502B4"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Вместо разработки и принятия все новых версий мобилизационных планов, мобзаявок и планов строительства РККА на первый период и на конец пятилетки, как это было в период апреля 1928 - января 1931 г., советское руководство предпочло двигаться по пути, проторенному акциями 1931-1932 гг.: рассматривать и принимать специальные программы по производству тех или иных видов боевого вооружения и предметов снабжения и по развитию отдельных родов войск (Вероятно, пессимизм относительно возможности комплексного плана промышленной мобилизации усилило невыполнение годовой программы военного производства 1933 г. (см.: Шифротелсграмма Сталина и Ворошилова Молотову, Кагановичу и Куйбышеву, 14.09.1933 // Сталин и Каганович: Переписка, 1931-1936 гг. С. 343-344; Письмо Кагановича Сталину, 24.09.1933 //Там же. С. 360; Письмо Кагановича Сталину. 02.10.1933 // Там же. С. 371; Письмо Сталина Кагановичу, 21.10.1933 //Там же. С. 395).).</w:t>
      </w:r>
    </w:p>
    <w:p w14:paraId="0E513D02" w14:textId="77777777" w:rsidR="000502B4" w:rsidRPr="00C33834" w:rsidRDefault="000502B4" w:rsidP="00C33834">
      <w:pPr>
        <w:shd w:val="clear" w:color="auto" w:fill="FFFFFF"/>
        <w:spacing w:after="0" w:line="240" w:lineRule="auto"/>
        <w:jc w:val="both"/>
        <w:rPr>
          <w:rFonts w:ascii="Times New Roman" w:eastAsia="Times New Roman" w:hAnsi="Times New Roman"/>
          <w:color w:val="0070C0"/>
          <w:sz w:val="16"/>
          <w:szCs w:val="16"/>
          <w:lang w:eastAsia="ru-RU"/>
        </w:rPr>
      </w:pPr>
      <w:r w:rsidRPr="00C33834">
        <w:rPr>
          <w:rFonts w:ascii="Times New Roman" w:eastAsia="Times New Roman" w:hAnsi="Times New Roman"/>
          <w:color w:val="0070C0"/>
          <w:sz w:val="16"/>
          <w:szCs w:val="16"/>
          <w:lang w:eastAsia="ru-RU"/>
        </w:rPr>
        <w:t>Вслед за программой военно-морского строительства на 1933-1938 гг. (июнь 1933 г.) в августе 1933 г. СТО принял постановление "О системе танкового вооружения РККА на вторую пятилетку", в марте 1934 г. - "О системе артиллерийского вооружения РККА на вторую пятилетку", в апреле 1935 г. был утвержден "План развития военно-воздушных сил на 1935-1937 гг." (См.: История Второй мировой войны, 1939-1945: В 12 т. Т. 1. С. 269; Протокол № 24 заседания Политбюро ЦК ВКП(б), 26 апреля 1935 года (особый), приложение № 1 к п. 172 // РГА СИИ. Ф. 17. Оп. 1б2. Д. 18. Л. 10) (22725).</w:t>
      </w:r>
    </w:p>
    <w:p w14:paraId="5D9E405B" w14:textId="77777777" w:rsidR="000502B4" w:rsidRPr="00C33834" w:rsidRDefault="000502B4" w:rsidP="00C33834">
      <w:pPr>
        <w:pStyle w:val="116"/>
        <w:shd w:val="clear" w:color="auto" w:fill="auto"/>
        <w:spacing w:after="0" w:line="240" w:lineRule="auto"/>
        <w:ind w:firstLine="0"/>
        <w:jc w:val="both"/>
        <w:rPr>
          <w:rFonts w:ascii="Times New Roman" w:hAnsi="Times New Roman" w:cs="Times New Roman"/>
          <w:color w:val="0070C0"/>
          <w:sz w:val="16"/>
          <w:szCs w:val="16"/>
        </w:rPr>
      </w:pPr>
    </w:p>
    <w:p w14:paraId="43B0F8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1933 - начале 1934 на НИБТ полигоне прошел испытания один из трех бронетранспортеров ТР-4, разработанный на ьазе Т-26 КБ Опытного завода Спецмаштреста им. Кирова (завод 185) в 1933. На вооружение не принимался и в серии не был (9527,208).</w:t>
      </w:r>
    </w:p>
    <w:p w14:paraId="7744C8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4C616C8"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5E64CF98"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5C7CEB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второй половине 1933 г. параллельно с проектированием ЦКБ-15, получившем в ВВС официальное обозначение И-17, Н.Н.П. в ЦКБ велись работы по его двухместному варианту - ДИ-7. Обсуждение характеристик и предполагаемых боевых возможностей этих двух машин наиболее активно началось в декабре 1933 г. Начальник ВВС РККА Яков Алкснис лично принимал участие в выработке тактико-технических требований: "На 20 часов 7 декабря назначаюу себя совещание по этим техтребованиям. Хотелось бы на обоих самолётах иметь более сильное и более дальнобойное вооружение". Интересно, что в дальнейшем упоминание двухместного истребителя ДИ-7 не встречается. На каком-то этапе развития событий возник вариант установки на ДИ-7 двух спаренных двигателей, одного за другим, вращающих два воздушных винта в противоположных направлениях. В отношении такой моторной установки пользовались определением "механическая спарка". Интерес к этой теме в начале 1935 г. усилился в связи с развёртыванием проектных работ по созданию рекордного скоростного самолёта. В результате моторному заводу №26 поручили задание на разработку "механической спарки" двигателей М-100 (затем М-103). Позднее работа продолжилась и её результаты воплотились в создании экспериментального самолёта "С" конструкции Болховитинова. Однако к истории И-17 это уже ни коим образом не относилось (9630).</w:t>
      </w:r>
    </w:p>
    <w:p w14:paraId="3F5E0C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621C3A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второй половине 1933 г. серию Р-5а (МР-5) решили выполнить на авиазаводе №1 в Москве. Головная машина этой серии была испытана в марте 1934 года. С полетным весом 3294 кг (вес пустого 2378 кг) Р-5с развивал максимальную скорость у земли 209 км/ч, потолок 4500 м, дальность 800 км. В целом, поплавковый самолет ненамного уступал сухопутному собрату. В 1934 г. московский авиазавод выпустил 61 Р-5а, на следующий год еще 50 таких машин Общее количество произведенных поплавковых разведчике! составило 111 экземпляров (5016).</w:t>
      </w:r>
    </w:p>
    <w:p w14:paraId="285B86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A551B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второй половине 1933 на заводе № 30 сделали 14 Ш-2 в санитарном варианте, а затем еще 2 (7621, 35).</w:t>
      </w:r>
    </w:p>
    <w:p w14:paraId="0E1492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F3AE4D7" w14:textId="77777777" w:rsidR="000502B4" w:rsidRPr="00C33834" w:rsidRDefault="000502B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Во второй половине 1933 г. было утверждено новое положение об Институте, согласно которому НИИ ВВС определялся как главный руководящий орган ВВС РККА по вопросам научно–исследовательской, опытной испытательной работы, по инструктированию строевых частей и школ ВВС при их переходе на новую технику. Начальниками Института в этот период были В.К. Лавров и В.С. Конарт (Коннэрт). Общее количество военнослужащих в Институте по состоянию на 1 декабря 1932 г. - 1210 человек, из них 112 человек летно-штурманского и 350 человек инженерно-технического состава. Кроме того, в Институте работало 763 человека вольнонаемных, из них 138 человек инженерно-технического состава и 374 человека рабочих. Подразделения Института, за исключением перебазированных в Чкаловскую авиабригады с авиапарком и опытного завода - мастерских, размещались в своих прежних помещениях в Москве. Общий переезд Института намечался на первую половину 1935 г. Ударное строительство шло интенсивно и к концу 1935 г. завершилось практически полностью.</w:t>
      </w:r>
    </w:p>
    <w:p w14:paraId="0169EAAB" w14:textId="77777777" w:rsidR="000502B4" w:rsidRPr="00C33834" w:rsidRDefault="000502B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Штатный самолетный парк НИИ ВВС состоял из 67 самолетов типа ТБ-1, ТБ-3, ТБ-4, Р-5, Р-6, И-5 и У-2, в том числе, легких бомбардировщиков и разведчиков - 31, одноместных истребителей - 5, двухместных - 6 и многоместных - 5 (21339).</w:t>
      </w:r>
    </w:p>
    <w:p w14:paraId="575C5E70" w14:textId="77777777" w:rsidR="000502B4" w:rsidRPr="00C33834" w:rsidRDefault="000502B4" w:rsidP="00C33834">
      <w:pPr>
        <w:spacing w:after="0" w:line="240" w:lineRule="auto"/>
        <w:jc w:val="both"/>
        <w:rPr>
          <w:rFonts w:ascii="Times New Roman" w:hAnsi="Times New Roman"/>
          <w:color w:val="0070C0"/>
          <w:sz w:val="16"/>
          <w:szCs w:val="16"/>
        </w:rPr>
      </w:pPr>
    </w:p>
    <w:p w14:paraId="46505DBF"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142946B9"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E8AF4F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второй половине 1933 года ХПЗ перешел с выпуска БТ-2 на выпуск БТ-5. БТ-5 первых серий был по сути тем же БТ-2, но с новой башней, в которой установили 45-мм танковую пушку 20K обр. 1932/38 и спаренный с нею пулемет ДТ. Башня стала двухместной, а экипаж увеличился до 3 чел. Сама конструкция танка существенных изменений не претерпела. Масса БТ-5 возросла до 11,5 тон. Боекомплект пушки состоял из 115 выстрелов на танках без радиостанции, и 72 выстрелов - с радиостанцией. Радиостанция 71-ТК-1 имела поручневую антенну вокруг башни. В 1933-34 годах было выпущено 1884 танка БТ-5. В ходе выпуска на танке немного изменили форму башни, поставили более легкие катки и сетку ограждения над воздуховодом. Сетку и катки стали устанавливать на ранее выпущенные БТ-2, проходившие модернизацию. На базе танка БТ-5 строилось большое количество экспериментальных машин. Мостоукладчики, танки подводного хода, плавающие танки, телетанки (радиоуправляемые танки), химические танки, танки с дизельным двигателем и т.д. Танк БТ-5 послужил основой для создания танков БТ-7 (3862).</w:t>
      </w:r>
    </w:p>
    <w:p w14:paraId="03E52FD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6FF4E6B" w14:textId="77777777" w:rsidR="000502B4" w:rsidRPr="00C33834" w:rsidRDefault="000502B4" w:rsidP="00C33834">
      <w:pPr>
        <w:spacing w:after="0" w:line="240" w:lineRule="auto"/>
        <w:jc w:val="both"/>
        <w:rPr>
          <w:rFonts w:ascii="Times New Roman" w:hAnsi="Times New Roman"/>
          <w:color w:val="0070C0"/>
          <w:sz w:val="16"/>
          <w:szCs w:val="16"/>
          <w:shd w:val="clear" w:color="auto" w:fill="FFFFFF"/>
        </w:rPr>
      </w:pPr>
      <w:r w:rsidRPr="00C33834">
        <w:rPr>
          <w:rFonts w:ascii="Times New Roman" w:hAnsi="Times New Roman"/>
          <w:color w:val="0070C0"/>
          <w:sz w:val="16"/>
          <w:szCs w:val="16"/>
          <w:shd w:val="clear" w:color="auto" w:fill="FFFFFF"/>
        </w:rPr>
        <w:t>Во второй половине 1933 года изготовили более тяжелый (масса 4,8 тонн) вариант танка Т-34. Ведущим инженером этого варианта стал Г.Г. Михайлов. Машина получила более мощный мотор АМО-3 (66 л.с.), так что рост боевой массы оказался скомпенсирован. А вот с орудием дела обстояли не столь гладко. Вместо того, чтобы строить новую башню, было решено доработать штатную. В носовой части приварили коробчатую секцию под 20-мм автоматическую пушку. Быстро выяснилось, что 20-мм автоматическая пушка в такую башню если и влезает, то плохо.</w:t>
      </w:r>
    </w:p>
    <w:p w14:paraId="6B7055C8" w14:textId="77777777" w:rsidR="000502B4" w:rsidRPr="00C33834" w:rsidRDefault="000502B4"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shd w:val="clear" w:color="auto" w:fill="FFFFFF"/>
        </w:rPr>
        <w:t>Наиболее подходящим вариантом усиления стала бы установка 20-мм автоматической пушки. Кдинственной подходящей кандидатурой была немецкая 20-мм автоматическая пушка 2-К, она же 20-мм автоматическая зенитная и противотанковая пушка образца 1930 года. Это ничто иное, как советская версия 2 cm Flak 30. Ее и стали адаптировать под башню Т-34. Также существовал вариант установки 20-мм автоматической пушки, которую разрабатывал Б.Г. Шпитальный. В результате танк штатное вооружение так и не получил (22724).</w:t>
      </w:r>
    </w:p>
    <w:p w14:paraId="4F97BD9C" w14:textId="77777777" w:rsidR="000502B4" w:rsidRPr="00C33834" w:rsidRDefault="000502B4" w:rsidP="00C33834">
      <w:pPr>
        <w:spacing w:after="0" w:line="240" w:lineRule="auto"/>
        <w:jc w:val="both"/>
        <w:rPr>
          <w:rFonts w:ascii="Times New Roman" w:hAnsi="Times New Roman"/>
          <w:color w:val="0070C0"/>
          <w:sz w:val="16"/>
          <w:szCs w:val="16"/>
        </w:rPr>
      </w:pPr>
    </w:p>
    <w:p w14:paraId="0A69A2E7"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119B3031"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9948B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Зимой 1933-34 заложили серию в 50 РД (92,488).</w:t>
      </w:r>
    </w:p>
    <w:p w14:paraId="22A8A92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B6F098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Зимой 1933 г. бипланы Р-5 Поликарпова отправились в Китай. Советское правительство решило оказать помощь властям приграничной провинции Синьцзян, где поднял мятеж генерал Ма Чжуин. Самолеты собирали на советской стороне и дальше гнали по воздуху. Экипажи взяли из авиации погранохраны НКВД. Пилотами были К. Шишков, В. Полынин и С. Антоненок. Уже 25 декабря 1933 г. два Р-5 отправили на бомбежку войск мятежного генерала, осадившего Урумчи. Солдаты Ма Чжуина увидели самолет первый раз в жизни и в страхе бежали под грохот бомб и треск пулеметных очередей. Р-5 и далее вели разведку, бомбили и обстреливали мятежников. Самолеты, уже не внушавшие противнику суеверного ужаса, встречали пулеметным огнем и винтовочными залпами. Один Р-5 подбили, но он дотянул до Урумчи. Позже машины передали китайцам для летной школы, но они и далее нередко участвовали во внутренних разборках местных генералов.</w:t>
      </w:r>
    </w:p>
    <w:p w14:paraId="2DCE36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мае 1939 г. по приказу наркома обороны была сформирована особая авиагруппа "Хами", предназначенная для защиты аэродрома в Хами (Китай), находившегося на трассе перегонки из СССР боевых самолетов. В нее вошли в том числе и шесть Р-5. Но какие-либо данные об их действиях против японцев отсутствуют (11936).</w:t>
      </w:r>
    </w:p>
    <w:p w14:paraId="5B18078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32F1797" w14:textId="77777777" w:rsidR="003353B3" w:rsidRPr="00C33834" w:rsidRDefault="003353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shd w:val="clear" w:color="auto" w:fill="FFFFFF"/>
        </w:rPr>
        <w:t>Зимой 1933-1934 годов в Ленинграде строился самолет Г-37. В Осконбюро Гроховского взялись реализовать идею автора русского парашюта Глеба Котельникова. Суть ее в отделяемой от самолета пассажирской или десантной кабине со спуском ее на парашюте. В Осконбюро к тому времени уже было разработано несколько удачных парашютных систем для сброса артиллерийских орудий, автомобилей и даже танков. Для специализированного самолета Гроховский предложил для тех лет необычную схему — двухфюзеляжную. Проект был одобрен и утвержден в 1933 году Алкснисом как «Универсальное летающее крыло» Г-37. Для его реализации из Ленинграда в Москву, где размещалось Осконбюро, на место ведущего конструктора Гроховский пригласил одного из авторов удачного пассажирского самолета ЛК-1 Владимира Рентеля. Так как самолетами у Гроховского ранее почти не занимались, то для ускорения работ использовали крыло и винтомоторную установку с моторами М-17 со списанного пассажирского АНТ-9. В результате получился оригинальный двухфюзеляжный моноплан, к центроплану которого и подвешивалась каплевидная сбрасываемая десантная кабина. Весной, как только просох аэродром, Г-37 был готов к летным испытаниям (22294).</w:t>
      </w:r>
    </w:p>
    <w:p w14:paraId="30A8D53F" w14:textId="77777777" w:rsidR="003353B3" w:rsidRPr="00C33834" w:rsidRDefault="003353B3" w:rsidP="00C33834">
      <w:pPr>
        <w:spacing w:after="0" w:line="240" w:lineRule="auto"/>
        <w:jc w:val="both"/>
        <w:rPr>
          <w:rFonts w:ascii="Times New Roman" w:hAnsi="Times New Roman"/>
          <w:color w:val="0070C0"/>
          <w:sz w:val="16"/>
          <w:szCs w:val="16"/>
        </w:rPr>
      </w:pPr>
    </w:p>
    <w:p w14:paraId="43E55EF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Зи</w:t>
      </w:r>
      <w:r w:rsidRPr="00C33834">
        <w:rPr>
          <w:rFonts w:ascii="Times New Roman" w:hAnsi="Times New Roman"/>
          <w:color w:val="000000" w:themeColor="text1"/>
          <w:sz w:val="16"/>
          <w:szCs w:val="16"/>
        </w:rPr>
        <w:softHyphen/>
        <w:t>мой 1933 — 1934 гг. низовой ячейкой Автодо-ра при Горьковском управлении пожарной охраны (ГУПО) были собраны средства на постройку первых двух аэроса</w:t>
      </w:r>
      <w:r w:rsidRPr="00C33834">
        <w:rPr>
          <w:rFonts w:ascii="Times New Roman" w:hAnsi="Times New Roman"/>
          <w:color w:val="000000" w:themeColor="text1"/>
          <w:sz w:val="16"/>
          <w:szCs w:val="16"/>
        </w:rPr>
        <w:softHyphen/>
        <w:t>ней ГГАТ Горьковского авиа</w:t>
      </w:r>
      <w:r w:rsidRPr="00C33834">
        <w:rPr>
          <w:rFonts w:ascii="Times New Roman" w:hAnsi="Times New Roman"/>
          <w:color w:val="000000" w:themeColor="text1"/>
          <w:sz w:val="16"/>
          <w:szCs w:val="16"/>
        </w:rPr>
        <w:softHyphen/>
        <w:t>техникума ГВФ. Аэросани, в случае соот</w:t>
      </w:r>
      <w:r w:rsidRPr="00C33834">
        <w:rPr>
          <w:rFonts w:ascii="Times New Roman" w:hAnsi="Times New Roman"/>
          <w:color w:val="000000" w:themeColor="text1"/>
          <w:sz w:val="16"/>
          <w:szCs w:val="16"/>
        </w:rPr>
        <w:softHyphen/>
        <w:t>ветствия технико-экономическим требовани</w:t>
      </w:r>
      <w:r w:rsidRPr="00C33834">
        <w:rPr>
          <w:rFonts w:ascii="Times New Roman" w:hAnsi="Times New Roman"/>
          <w:color w:val="000000" w:themeColor="text1"/>
          <w:sz w:val="16"/>
          <w:szCs w:val="16"/>
        </w:rPr>
        <w:softHyphen/>
        <w:t>ям, могли быть использованы как инспек</w:t>
      </w:r>
      <w:r w:rsidRPr="00C33834">
        <w:rPr>
          <w:rFonts w:ascii="Times New Roman" w:hAnsi="Times New Roman"/>
          <w:color w:val="000000" w:themeColor="text1"/>
          <w:sz w:val="16"/>
          <w:szCs w:val="16"/>
        </w:rPr>
        <w:softHyphen/>
        <w:t>торские, а в случае несоответсвия по ка</w:t>
      </w:r>
      <w:r w:rsidRPr="00C33834">
        <w:rPr>
          <w:rFonts w:ascii="Times New Roman" w:hAnsi="Times New Roman"/>
          <w:color w:val="000000" w:themeColor="text1"/>
          <w:sz w:val="16"/>
          <w:szCs w:val="16"/>
        </w:rPr>
        <w:softHyphen/>
        <w:t>ким-либо конструктивным причинам (недо</w:t>
      </w:r>
      <w:r w:rsidRPr="00C33834">
        <w:rPr>
          <w:rFonts w:ascii="Times New Roman" w:hAnsi="Times New Roman"/>
          <w:color w:val="000000" w:themeColor="text1"/>
          <w:sz w:val="16"/>
          <w:szCs w:val="16"/>
        </w:rPr>
        <w:softHyphen/>
        <w:t>бор по скорости, низкой надежности, эконо</w:t>
      </w:r>
      <w:r w:rsidRPr="00C33834">
        <w:rPr>
          <w:rFonts w:ascii="Times New Roman" w:hAnsi="Times New Roman"/>
          <w:color w:val="000000" w:themeColor="text1"/>
          <w:sz w:val="16"/>
          <w:szCs w:val="16"/>
        </w:rPr>
        <w:softHyphen/>
        <w:t>мичности и пр.), даже один единственный агитационно-пропагандистский пробег, (по</w:t>
      </w:r>
      <w:r w:rsidRPr="00C33834">
        <w:rPr>
          <w:rFonts w:ascii="Times New Roman" w:hAnsi="Times New Roman"/>
          <w:color w:val="000000" w:themeColor="text1"/>
          <w:sz w:val="16"/>
          <w:szCs w:val="16"/>
        </w:rPr>
        <w:softHyphen/>
        <w:t>сле чего данный образец аэросаней мог от</w:t>
      </w:r>
      <w:r w:rsidRPr="00C33834">
        <w:rPr>
          <w:rFonts w:ascii="Times New Roman" w:hAnsi="Times New Roman"/>
          <w:color w:val="000000" w:themeColor="text1"/>
          <w:sz w:val="16"/>
          <w:szCs w:val="16"/>
        </w:rPr>
        <w:softHyphen/>
        <w:t>правиться на свалку истории) полностью оправдывал все затраты. Первый образец аэросаней ГГАТ совер</w:t>
      </w:r>
      <w:r w:rsidRPr="00C33834">
        <w:rPr>
          <w:rFonts w:ascii="Times New Roman" w:hAnsi="Times New Roman"/>
          <w:color w:val="000000" w:themeColor="text1"/>
          <w:sz w:val="16"/>
          <w:szCs w:val="16"/>
        </w:rPr>
        <w:softHyphen/>
        <w:t>шил пробег в Москву, где принял участие в устроенном Автодором конкурсе аэросаней с автомотором. Аэросаней на конкурс прибы</w:t>
      </w:r>
      <w:r w:rsidRPr="00C33834">
        <w:rPr>
          <w:rFonts w:ascii="Times New Roman" w:hAnsi="Times New Roman"/>
          <w:color w:val="000000" w:themeColor="text1"/>
          <w:sz w:val="16"/>
          <w:szCs w:val="16"/>
        </w:rPr>
        <w:softHyphen/>
        <w:t>ло целых три штуки. Помимо ГГАТ на льду Москвы-реки собрались аэросани А-3 конст</w:t>
      </w:r>
      <w:r w:rsidRPr="00C33834">
        <w:rPr>
          <w:rFonts w:ascii="Times New Roman" w:hAnsi="Times New Roman"/>
          <w:color w:val="000000" w:themeColor="text1"/>
          <w:sz w:val="16"/>
          <w:szCs w:val="16"/>
        </w:rPr>
        <w:softHyphen/>
        <w:t>рукции С.В.Коростелева, А-2 разработки бра</w:t>
      </w:r>
      <w:r w:rsidRPr="00C33834">
        <w:rPr>
          <w:rFonts w:ascii="Times New Roman" w:hAnsi="Times New Roman"/>
          <w:color w:val="000000" w:themeColor="text1"/>
          <w:sz w:val="16"/>
          <w:szCs w:val="16"/>
        </w:rPr>
        <w:softHyphen/>
        <w:t>тьев Бескурниковых, а также приехавшие «за компанию», но в конкурсе, разумеется, не участвовавшие: полугусеничный вездеход автобазы СНК конструкции Гусева и аэроса</w:t>
      </w:r>
      <w:r w:rsidRPr="00C33834">
        <w:rPr>
          <w:rFonts w:ascii="Times New Roman" w:hAnsi="Times New Roman"/>
          <w:color w:val="000000" w:themeColor="text1"/>
          <w:sz w:val="16"/>
          <w:szCs w:val="16"/>
        </w:rPr>
        <w:softHyphen/>
        <w:t>ни А-4, также разработки Коростелева. При</w:t>
      </w:r>
      <w:r w:rsidRPr="00C33834">
        <w:rPr>
          <w:rFonts w:ascii="Times New Roman" w:hAnsi="Times New Roman"/>
          <w:color w:val="000000" w:themeColor="text1"/>
          <w:sz w:val="16"/>
          <w:szCs w:val="16"/>
        </w:rPr>
        <w:softHyphen/>
        <w:t>чем А-2 и А-3 в самой Москве и построили. Соревнования на деле превратились в соль</w:t>
      </w:r>
      <w:r w:rsidRPr="00C33834">
        <w:rPr>
          <w:rFonts w:ascii="Times New Roman" w:hAnsi="Times New Roman"/>
          <w:color w:val="000000" w:themeColor="text1"/>
          <w:sz w:val="16"/>
          <w:szCs w:val="16"/>
        </w:rPr>
        <w:softHyphen/>
        <w:t>ное выступление ГГАТ, у которых просто не нашлось достойного соперника. Аэросани А-3 после одного пробного выезда за явной неконкурентоспособностью были сняты с ис</w:t>
      </w:r>
      <w:r w:rsidRPr="00C33834">
        <w:rPr>
          <w:rFonts w:ascii="Times New Roman" w:hAnsi="Times New Roman"/>
          <w:color w:val="000000" w:themeColor="text1"/>
          <w:sz w:val="16"/>
          <w:szCs w:val="16"/>
        </w:rPr>
        <w:softHyphen/>
        <w:t>пытаний. Аэросани А-2 с одним водителем разогнались на мерном километре до 16,85 км/ч, в то время как ГГАТ с шестью пасса</w:t>
      </w:r>
      <w:r w:rsidRPr="00C33834">
        <w:rPr>
          <w:rFonts w:ascii="Times New Roman" w:hAnsi="Times New Roman"/>
          <w:color w:val="000000" w:themeColor="text1"/>
          <w:sz w:val="16"/>
          <w:szCs w:val="16"/>
        </w:rPr>
        <w:softHyphen/>
        <w:t>жирами, облепившими сани снаружи (внутри было всего три места, считая водителя), по</w:t>
      </w:r>
      <w:r w:rsidRPr="00C33834">
        <w:rPr>
          <w:rFonts w:ascii="Times New Roman" w:hAnsi="Times New Roman"/>
          <w:color w:val="000000" w:themeColor="text1"/>
          <w:sz w:val="16"/>
          <w:szCs w:val="16"/>
        </w:rPr>
        <w:softHyphen/>
        <w:t>казали 21,48 км/ч. По возвращении ГГАТ в Горький ГУПО был устроен инспекторско-агитационный пробег по удаленным районам края. Вопре</w:t>
      </w:r>
      <w:r w:rsidRPr="00C33834">
        <w:rPr>
          <w:rFonts w:ascii="Times New Roman" w:hAnsi="Times New Roman"/>
          <w:color w:val="000000" w:themeColor="text1"/>
          <w:sz w:val="16"/>
          <w:szCs w:val="16"/>
        </w:rPr>
        <w:softHyphen/>
        <w:t>ки предположениям скептиков, «ударить по бездорожью и разгильдяйству» вполне уда</w:t>
      </w:r>
      <w:r w:rsidRPr="00C33834">
        <w:rPr>
          <w:rFonts w:ascii="Times New Roman" w:hAnsi="Times New Roman"/>
          <w:color w:val="000000" w:themeColor="text1"/>
          <w:sz w:val="16"/>
          <w:szCs w:val="16"/>
        </w:rPr>
        <w:softHyphen/>
        <w:t>лось. Причём, и с политической, и с инспек</w:t>
      </w:r>
      <w:r w:rsidRPr="00C33834">
        <w:rPr>
          <w:rFonts w:ascii="Times New Roman" w:hAnsi="Times New Roman"/>
          <w:color w:val="000000" w:themeColor="text1"/>
          <w:sz w:val="16"/>
          <w:szCs w:val="16"/>
        </w:rPr>
        <w:softHyphen/>
        <w:t>торской, и с технической, а также со всех прочих точек зрения. Посчитав, что вскоре новое средство передвижения станет массо</w:t>
      </w:r>
      <w:r w:rsidRPr="00C33834">
        <w:rPr>
          <w:rFonts w:ascii="Times New Roman" w:hAnsi="Times New Roman"/>
          <w:color w:val="000000" w:themeColor="text1"/>
          <w:sz w:val="16"/>
          <w:szCs w:val="16"/>
        </w:rPr>
        <w:softHyphen/>
        <w:t>вым, пожарные в следующем году даже потребовали оснастить аэросани... пожарным насосом. Успех оказался полным, и техникуму за</w:t>
      </w:r>
      <w:r w:rsidRPr="00C33834">
        <w:rPr>
          <w:rFonts w:ascii="Times New Roman" w:hAnsi="Times New Roman"/>
          <w:color w:val="000000" w:themeColor="text1"/>
          <w:sz w:val="16"/>
          <w:szCs w:val="16"/>
        </w:rPr>
        <w:softHyphen/>
        <w:t>казали партию аэросаней для перевозки почты в Северном Крае. Помимо ГГАТ раз</w:t>
      </w:r>
      <w:r w:rsidRPr="00C33834">
        <w:rPr>
          <w:rFonts w:ascii="Times New Roman" w:hAnsi="Times New Roman"/>
          <w:color w:val="000000" w:themeColor="text1"/>
          <w:sz w:val="16"/>
          <w:szCs w:val="16"/>
        </w:rPr>
        <w:softHyphen/>
        <w:t>работкой аэросаней с автомотором занима</w:t>
      </w:r>
      <w:r w:rsidRPr="00C33834">
        <w:rPr>
          <w:rFonts w:ascii="Times New Roman" w:hAnsi="Times New Roman"/>
          <w:color w:val="000000" w:themeColor="text1"/>
          <w:sz w:val="16"/>
          <w:szCs w:val="16"/>
        </w:rPr>
        <w:softHyphen/>
        <w:t>лись в ОСГА — Отделе строительства глис</w:t>
      </w:r>
      <w:r w:rsidRPr="00C33834">
        <w:rPr>
          <w:rFonts w:ascii="Times New Roman" w:hAnsi="Times New Roman"/>
          <w:color w:val="000000" w:themeColor="text1"/>
          <w:sz w:val="16"/>
          <w:szCs w:val="16"/>
        </w:rPr>
        <w:softHyphen/>
        <w:t>серов и аэросаней НИИ ГВФ. Двое аэроса</w:t>
      </w:r>
      <w:r w:rsidRPr="00C33834">
        <w:rPr>
          <w:rFonts w:ascii="Times New Roman" w:hAnsi="Times New Roman"/>
          <w:color w:val="000000" w:themeColor="text1"/>
          <w:sz w:val="16"/>
          <w:szCs w:val="16"/>
        </w:rPr>
        <w:softHyphen/>
        <w:t>ней решили испытать в пробеге им. 7-го Съезда Советов (10715).</w:t>
      </w:r>
    </w:p>
    <w:p w14:paraId="517A22C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94BA01"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45B09B6B"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34736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в докладной записке для К.Е.В М.Н.Т. писал: “Общая оценка возможности развития ВВС наших врагов говорит о необходимости для нашей страны иметь 15000 действующих самолетов, - это усиление нельзя растягивать, а осуществить в 1934-1935 гг.”. Г.К.О. поддержал и заявил, что промышленность сделает все, что возможно, а К.Е.В. наложил резолюцию: “Америки” не вижу. Все те же отвлеченные “прожекты” (4173).</w:t>
      </w:r>
    </w:p>
    <w:p w14:paraId="7E089C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B5F3F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провели войсковые испытания штурмовиков. По одной эскадрилье их вошло в состав 251, 252-й и 255-й авиабригад. При этом в одном отряде каждой эскадрильи пулеметное вооружение было некомплектным: крыльевые установки либо отсутствовали совсем, либо в них стояло по одному П В-1 вместо двух. Одновременно выпуск серийных Р-5Ш начался на заводе. Для штурмовиков химическое вооружение считалось обязательным. Оно было таким же, как и у обычных Р-5: четыре ВАП-4 или два ДАП-100. Пулеметы на крыле пристреливались по-разному: крайние на 600 м, а ближние на 400 м по высоте, по горизонтали - все на 1000 м веером (12034).</w:t>
      </w:r>
    </w:p>
    <w:p w14:paraId="001611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9AE848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конструкторский коллектив во главе с С. А. Кочеригиным создает легкий самолет-разведчик ЛР М-34 (взлетная мощность 750 л. с., номинальная - 650 л. с.).</w:t>
      </w:r>
    </w:p>
    <w:p w14:paraId="671E4C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Выполненный по классической схеме одномоторного двухместного полутороплана смешанной конструкции, в целом повторявшей схему Р-5 и с таким же вооружением, ЛР М-34, благодаря более мощному мотору, несколько лучшей аэродинамике, меньшим геометрическим размерам и полетной массе, имел лучшие летные данные не только по сравнению с по-ликарповским Р-5, но и по сравнению с некоторыми современными ему истребителями, например,с широко известным И-5.</w:t>
      </w:r>
    </w:p>
    <w:p w14:paraId="105EAB0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полетной массе 2426 кг максимальная скорость полета ЛР у земли составила 271 км/ч, а на высоте 5000 м - 247 км/ч. Высоту 3000 м ЛР набирал за 7,3 минуты. Дальность полета - 700 км. Время виража - 17 с.</w:t>
      </w:r>
    </w:p>
    <w:p w14:paraId="1AD5001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Обшивка передней части фюзеляжа - дюралюминевая, хвостовой полотно на очень легком дюралюминиевом каркасе.</w:t>
      </w:r>
    </w:p>
    <w:p w14:paraId="787161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Кабина летчика - открытая с откидным левым бортом для входа. Кабина летнаба была закрыта турельным экраном, вращаемым на 360°. На левом борту легкосбрасываемая дверь.</w:t>
      </w:r>
    </w:p>
    <w:p w14:paraId="30B826F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Крылья деревянные. Оперение -дюралюминиевое с полотняной обшивкой. Стабилизатор с изменяемым в полете углом установки, двухлонжеронный.</w:t>
      </w:r>
    </w:p>
    <w:p w14:paraId="23BC2D0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 по схеме Р-5, но амортизация - масляно-воздушная. Колеса дисковые тормозные, что было ново в СССР.</w:t>
      </w:r>
    </w:p>
    <w:p w14:paraId="0518F2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Моторама - отъемная на четырех болтах. Радиатор выдвижной вниз, сотовый. Имелся и масляный радиатор.</w:t>
      </w:r>
    </w:p>
    <w:p w14:paraId="2911CF9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Стрелковое вооружение разведчика состояло из одного синхронного пулемета ПВ-1 у летчика и одного оборонительного ШКАС на турели у летнаба. Нормальная бомбовая нагрузка - 200 кг (8х25 или 2х100 кг).</w:t>
      </w:r>
    </w:p>
    <w:p w14:paraId="2B5503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установки в 1934 г. на втором опытном экземпляре ЛР более мощного и высотного двигателя М-34Н с нагнетателем (взлетная мощность 835 л. с., номинальная мощность 752 л. с.) летные данные машины улучшились значительно.</w:t>
      </w:r>
    </w:p>
    <w:p w14:paraId="7780DC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полетной массе 2590 кгЛР М-34Н имел максимальную скорость у земли 282 км/ч, а на высоте 4000 м - 319 км/ ч. Время подъема на высоту 3000 м составило б мин. Время виража на высоте 1000 м - 17 с. Радиус действия на высоте 3000 м - 340 км. Длины разбега и пробега, соответственно, составили 210 и 250 м.</w:t>
      </w:r>
    </w:p>
    <w:p w14:paraId="2598A18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нормальной бомбовой нагрузкой (полетная масса 2800 кг) максимальная скорость самолета у земли снижалась до 273 км/ч, а на высоте 3700 м -до 303 км/ч.</w:t>
      </w:r>
    </w:p>
    <w:p w14:paraId="6B78748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Государственные испытания ЛР М-34Н прошел с высокой оценкой. Самолет вполне мог рассматриваться и в качестве легкого штурмовика-разведчика. Но в этом случае наступательное вооружение должно было быть усилено (9649).</w:t>
      </w:r>
    </w:p>
    <w:p w14:paraId="071C49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332D1D2" w14:textId="77777777" w:rsidR="002E2083" w:rsidRPr="00C33834" w:rsidRDefault="002E2083" w:rsidP="00C3383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планом опытного самолето</w:t>
      </w:r>
      <w:r w:rsidRPr="00C33834">
        <w:rPr>
          <w:rFonts w:ascii="Times New Roman" w:hAnsi="Times New Roman"/>
          <w:color w:val="000000" w:themeColor="text1"/>
          <w:sz w:val="16"/>
          <w:szCs w:val="16"/>
        </w:rPr>
        <w:softHyphen/>
        <w:t>строения на 1934 г. предусматривалась постройка слабо бронированных легких штурмовиков ЛШ-1 (на базе И-16 М-22) и ЛШ-2 (на базе Ди-6РЦ) Для всесторонней оценки возмож</w:t>
      </w:r>
      <w:r w:rsidRPr="00C33834">
        <w:rPr>
          <w:rFonts w:ascii="Times New Roman" w:hAnsi="Times New Roman"/>
          <w:color w:val="000000" w:themeColor="text1"/>
          <w:sz w:val="16"/>
          <w:szCs w:val="16"/>
        </w:rPr>
        <w:softHyphen/>
        <w:t>ностей легкого скоростного самолета-штурмовика, а также для расширения области боевого применения истреби</w:t>
      </w:r>
      <w:r w:rsidRPr="00C33834">
        <w:rPr>
          <w:rFonts w:ascii="Times New Roman" w:hAnsi="Times New Roman"/>
          <w:color w:val="000000" w:themeColor="text1"/>
          <w:sz w:val="16"/>
          <w:szCs w:val="16"/>
        </w:rPr>
        <w:softHyphen/>
        <w:t>телей, находившихся в серийном про</w:t>
      </w:r>
      <w:r w:rsidRPr="00C33834">
        <w:rPr>
          <w:rFonts w:ascii="Times New Roman" w:hAnsi="Times New Roman"/>
          <w:color w:val="000000" w:themeColor="text1"/>
          <w:sz w:val="16"/>
          <w:szCs w:val="16"/>
        </w:rPr>
        <w:softHyphen/>
        <w:t>изводстве. Ранее в плане работ ЦКБ завода №39 стояла постройка штурмовиков ЛШ-4 (на базе истребителей И-4 и И-5) и ЛШ-5 (на основе разрабатываемых истребителей И-9, И-10 и И-11). Кроме этого, в план был включен проект создания легкого бронированного одноместного (в пере</w:t>
      </w:r>
      <w:r w:rsidRPr="00C33834">
        <w:rPr>
          <w:rFonts w:ascii="Times New Roman" w:hAnsi="Times New Roman"/>
          <w:color w:val="000000" w:themeColor="text1"/>
          <w:sz w:val="16"/>
          <w:szCs w:val="16"/>
        </w:rPr>
        <w:softHyphen/>
        <w:t>грузку двухместного) штурмовика ЛБШ-3 (развитие ТШ-2). Эти работы, параллельные работам по модифика</w:t>
      </w:r>
      <w:r w:rsidRPr="00C33834">
        <w:rPr>
          <w:rFonts w:ascii="Times New Roman" w:hAnsi="Times New Roman"/>
          <w:color w:val="000000" w:themeColor="text1"/>
          <w:sz w:val="16"/>
          <w:szCs w:val="16"/>
        </w:rPr>
        <w:softHyphen/>
        <w:t>ции серийных самолетов-разведчиков в легкие штурмовики и созданию “вой</w:t>
      </w:r>
      <w:r w:rsidRPr="00C33834">
        <w:rPr>
          <w:rFonts w:ascii="Times New Roman" w:hAnsi="Times New Roman"/>
          <w:color w:val="000000" w:themeColor="text1"/>
          <w:sz w:val="16"/>
          <w:szCs w:val="16"/>
        </w:rPr>
        <w:softHyphen/>
        <w:t>скового самолета” явились результатом того, что среди некоторой части специалистов ВВС получила рас</w:t>
      </w:r>
      <w:r w:rsidRPr="00C33834">
        <w:rPr>
          <w:rFonts w:ascii="Times New Roman" w:hAnsi="Times New Roman"/>
          <w:color w:val="000000" w:themeColor="text1"/>
          <w:sz w:val="16"/>
          <w:szCs w:val="16"/>
        </w:rPr>
        <w:softHyphen/>
        <w:t>пространение теория атаки наземных целей с пикирования или на большой скорости с горизонтального полета на низкой высоте. В этих условиях большая угловая скорость перемещения самолета резко уменьшает вероятность его поражения наземными средствами ПВО, следовательно, при постройке скоростного самолета-штурмовика его бронирование может быть незначитель</w:t>
      </w:r>
      <w:r w:rsidRPr="00C33834">
        <w:rPr>
          <w:rFonts w:ascii="Times New Roman" w:hAnsi="Times New Roman"/>
          <w:color w:val="000000" w:themeColor="text1"/>
          <w:sz w:val="16"/>
          <w:szCs w:val="16"/>
        </w:rPr>
        <w:softHyphen/>
        <w:t>ным. Очевидно, что наилучшими кан</w:t>
      </w:r>
      <w:r w:rsidRPr="00C33834">
        <w:rPr>
          <w:rFonts w:ascii="Times New Roman" w:hAnsi="Times New Roman"/>
          <w:color w:val="000000" w:themeColor="text1"/>
          <w:sz w:val="16"/>
          <w:szCs w:val="16"/>
        </w:rPr>
        <w:softHyphen/>
        <w:t>дидатами на эту роль были серийные самолеты-истребители. Выбор истребителей на роль легких скоростных штурмовиков обуславли</w:t>
      </w:r>
      <w:r w:rsidRPr="00C33834">
        <w:rPr>
          <w:rFonts w:ascii="Times New Roman" w:hAnsi="Times New Roman"/>
          <w:color w:val="000000" w:themeColor="text1"/>
          <w:sz w:val="16"/>
          <w:szCs w:val="16"/>
        </w:rPr>
        <w:softHyphen/>
        <w:t>вался еще и тем, что в этот период для самолетов-разведчиков использова</w:t>
      </w:r>
      <w:r w:rsidRPr="00C33834">
        <w:rPr>
          <w:rFonts w:ascii="Times New Roman" w:hAnsi="Times New Roman"/>
          <w:color w:val="000000" w:themeColor="text1"/>
          <w:sz w:val="16"/>
          <w:szCs w:val="16"/>
        </w:rPr>
        <w:softHyphen/>
        <w:t>лись, как правило, моторы жидкостно</w:t>
      </w:r>
      <w:r w:rsidRPr="00C33834">
        <w:rPr>
          <w:rFonts w:ascii="Times New Roman" w:hAnsi="Times New Roman"/>
          <w:color w:val="000000" w:themeColor="text1"/>
          <w:sz w:val="16"/>
          <w:szCs w:val="16"/>
        </w:rPr>
        <w:softHyphen/>
        <w:t>го охлаждения, тогда как для истреби</w:t>
      </w:r>
      <w:r w:rsidRPr="00C33834">
        <w:rPr>
          <w:rFonts w:ascii="Times New Roman" w:hAnsi="Times New Roman"/>
          <w:color w:val="000000" w:themeColor="text1"/>
          <w:sz w:val="16"/>
          <w:szCs w:val="16"/>
        </w:rPr>
        <w:softHyphen/>
        <w:t>телей - менее уязвимые в бою моторы воздушного охлаждения. Последнее, наряду с более высокими маневренны</w:t>
      </w:r>
      <w:r w:rsidRPr="00C33834">
        <w:rPr>
          <w:rFonts w:ascii="Times New Roman" w:hAnsi="Times New Roman"/>
          <w:color w:val="000000" w:themeColor="text1"/>
          <w:sz w:val="16"/>
          <w:szCs w:val="16"/>
        </w:rPr>
        <w:softHyphen/>
        <w:t>ми характеристиками, могло суще</w:t>
      </w:r>
      <w:r w:rsidRPr="00C33834">
        <w:rPr>
          <w:rFonts w:ascii="Times New Roman" w:hAnsi="Times New Roman"/>
          <w:color w:val="000000" w:themeColor="text1"/>
          <w:sz w:val="16"/>
          <w:szCs w:val="16"/>
        </w:rPr>
        <w:softHyphen/>
        <w:t>ственно повысить интегральную эф</w:t>
      </w:r>
      <w:r w:rsidRPr="00C33834">
        <w:rPr>
          <w:rFonts w:ascii="Times New Roman" w:hAnsi="Times New Roman"/>
          <w:color w:val="000000" w:themeColor="text1"/>
          <w:sz w:val="16"/>
          <w:szCs w:val="16"/>
        </w:rPr>
        <w:softHyphen/>
        <w:t>фективность боевого применения ис</w:t>
      </w:r>
      <w:r w:rsidRPr="00C33834">
        <w:rPr>
          <w:rFonts w:ascii="Times New Roman" w:hAnsi="Times New Roman"/>
          <w:color w:val="000000" w:themeColor="text1"/>
          <w:sz w:val="16"/>
          <w:szCs w:val="16"/>
        </w:rPr>
        <w:softHyphen/>
        <w:t>требителей-штурмовиков по наземным целям, чем самолетов-штурмовиков на базе разведчиков. Впоследствии бои в Испании, где для штурмовых действий одновременно использовались Р-5ССС, P-Z и одно</w:t>
      </w:r>
      <w:r w:rsidRPr="00C33834">
        <w:rPr>
          <w:rFonts w:ascii="Times New Roman" w:hAnsi="Times New Roman"/>
          <w:color w:val="000000" w:themeColor="text1"/>
          <w:sz w:val="16"/>
          <w:szCs w:val="16"/>
        </w:rPr>
        <w:softHyphen/>
        <w:t>местные истребители-бипланы И-15 и И-15бис, подтвердили правильность этой идеи (6269).</w:t>
      </w:r>
    </w:p>
    <w:p w14:paraId="2FA8609F" w14:textId="77777777" w:rsidR="002E2083" w:rsidRPr="00C33834" w:rsidRDefault="002E2083" w:rsidP="00C3383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8F8CD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 г. на заводе № 39 на один И-ЗЕТ установили пушки АПК-4, доработанные инженером Легчаковым (их иногда именовали АПК-4Л). Магазины для 11 снарядов на каждый ствол размещались в крыле. Вес пушки уменьшился на 8 кг, надёжность перезаряжания повысилась. Управление ВВС распорядилось оснастить АПК-4Л пять истребителей, но сведений о выполнении этого приказа нет (12005).</w:t>
      </w:r>
    </w:p>
    <w:p w14:paraId="431B5FE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C3B49E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на ТБ-1 (АНТ-4) N 690 поставили 4 дополнительных бака и увеличили радиус до 800 км (2782,24).</w:t>
      </w:r>
    </w:p>
    <w:p w14:paraId="598E2D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E7775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на ТБ-1 испытали звено с 2хИ-5. Полеты с 2хИ-4 были выполнены еще в конце 1931 и весной 1932. В 1931 и 1932 ТБ-1 пилотировал А.И.Залевский, а И-4 - А.Ф.Анисимов и В.П.Чкалов (2782,24).</w:t>
      </w:r>
    </w:p>
    <w:p w14:paraId="07EC87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8177AB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в самолет-звено оборудова</w:t>
      </w:r>
      <w:r w:rsidRPr="00C33834">
        <w:rPr>
          <w:rFonts w:ascii="Times New Roman" w:hAnsi="Times New Roman"/>
          <w:color w:val="000000" w:themeColor="text1"/>
          <w:sz w:val="16"/>
          <w:szCs w:val="16"/>
        </w:rPr>
        <w:softHyphen/>
        <w:t>ли ТБ-1 № 678 + два И-4 №№ 1533 и 1583. Истребители оснастили новыми замками отцепки, нижние крылья не снимались. До</w:t>
      </w:r>
      <w:r w:rsidRPr="00C33834">
        <w:rPr>
          <w:rFonts w:ascii="Times New Roman" w:hAnsi="Times New Roman"/>
          <w:color w:val="000000" w:themeColor="text1"/>
          <w:sz w:val="16"/>
          <w:szCs w:val="16"/>
        </w:rPr>
        <w:softHyphen/>
        <w:t>полнительная амортстойка на ТБ-1 была выполнена по типу костыля ТБ-3. Войско</w:t>
      </w:r>
      <w:r w:rsidRPr="00C33834">
        <w:rPr>
          <w:rFonts w:ascii="Times New Roman" w:hAnsi="Times New Roman"/>
          <w:color w:val="000000" w:themeColor="text1"/>
          <w:sz w:val="16"/>
          <w:szCs w:val="16"/>
        </w:rPr>
        <w:softHyphen/>
        <w:t>вые испытания велись на Кричевицком аэ</w:t>
      </w:r>
      <w:r w:rsidRPr="00C33834">
        <w:rPr>
          <w:rFonts w:ascii="Times New Roman" w:hAnsi="Times New Roman"/>
          <w:color w:val="000000" w:themeColor="text1"/>
          <w:sz w:val="16"/>
          <w:szCs w:val="16"/>
        </w:rPr>
        <w:softHyphen/>
        <w:t>родроме в июне-июле 1933 г. Экипаж ТБ-1 состоял из командира корабля Стефанов-ского, второго пилота Вахмистрова, инже</w:t>
      </w:r>
      <w:r w:rsidRPr="00C33834">
        <w:rPr>
          <w:rFonts w:ascii="Times New Roman" w:hAnsi="Times New Roman"/>
          <w:color w:val="000000" w:themeColor="text1"/>
          <w:sz w:val="16"/>
          <w:szCs w:val="16"/>
        </w:rPr>
        <w:softHyphen/>
        <w:t>нера-монтажиста Морозова, борттехника Никитина. Левым истребителем управлял В.К. Коккинаки, правым — В.А. Степанчонок. Испытания вновь оценивались положи</w:t>
      </w:r>
      <w:r w:rsidRPr="00C33834">
        <w:rPr>
          <w:rFonts w:ascii="Times New Roman" w:hAnsi="Times New Roman"/>
          <w:color w:val="000000" w:themeColor="text1"/>
          <w:sz w:val="16"/>
          <w:szCs w:val="16"/>
        </w:rPr>
        <w:softHyphen/>
        <w:t>тельно. После произведенных доработок техника отрыва истребителей упростилась. Старт с аэродрома происходил на скорости 130 км/ч при полетной массе 9600 кг, время взлета составило 12 с. В полете самолет был устойчив, допускал виражи до 60°. За 5 полетов были оттренированы два новых пи</w:t>
      </w:r>
      <w:r w:rsidRPr="00C33834">
        <w:rPr>
          <w:rFonts w:ascii="Times New Roman" w:hAnsi="Times New Roman"/>
          <w:color w:val="000000" w:themeColor="text1"/>
          <w:sz w:val="16"/>
          <w:szCs w:val="16"/>
        </w:rPr>
        <w:softHyphen/>
        <w:t>лота на И-4 и 3 командира ТБ-1. 5 июля ко</w:t>
      </w:r>
      <w:r w:rsidRPr="00C33834">
        <w:rPr>
          <w:rFonts w:ascii="Times New Roman" w:hAnsi="Times New Roman"/>
          <w:color w:val="000000" w:themeColor="text1"/>
          <w:sz w:val="16"/>
          <w:szCs w:val="16"/>
        </w:rPr>
        <w:softHyphen/>
        <w:t>мандир авиабригады НИИ ВВС А. Залев-ский подписал следующее заключение: «Самолет 3-1 с вышеуказанными переделками вполне годен к эксплуатации в строе</w:t>
      </w:r>
      <w:r w:rsidRPr="00C33834">
        <w:rPr>
          <w:rFonts w:ascii="Times New Roman" w:hAnsi="Times New Roman"/>
          <w:color w:val="000000" w:themeColor="text1"/>
          <w:sz w:val="16"/>
          <w:szCs w:val="16"/>
        </w:rPr>
        <w:softHyphen/>
        <w:t>вых частях ВВС РККА».</w:t>
      </w:r>
    </w:p>
    <w:p w14:paraId="57CC8FC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Очевидно, к этому периоду относится и воспоминание Стефановского: «В процессе доработок меня назначили командиром «цирка Вахмистрова» — так наши летчики с чьей-то легкой руки стали величать самолет-звено. В этом названии было и восхищение созданной Владимиром Сергеевичем бое</w:t>
      </w:r>
      <w:r w:rsidRPr="00C33834">
        <w:rPr>
          <w:rFonts w:ascii="Times New Roman" w:hAnsi="Times New Roman"/>
          <w:color w:val="000000" w:themeColor="text1"/>
          <w:sz w:val="16"/>
          <w:szCs w:val="16"/>
        </w:rPr>
        <w:softHyphen/>
        <w:t>вой воздушной «единицей в трех лицах», и некоторая толика юмора. Полет самолета-звена и впрямь напоминал что-то вроде цир</w:t>
      </w:r>
      <w:r w:rsidRPr="00C33834">
        <w:rPr>
          <w:rFonts w:ascii="Times New Roman" w:hAnsi="Times New Roman"/>
          <w:color w:val="000000" w:themeColor="text1"/>
          <w:sz w:val="16"/>
          <w:szCs w:val="16"/>
        </w:rPr>
        <w:softHyphen/>
        <w:t>кового аттракциона... Вспоминается такой случай. Задание выполнялось обычное — от</w:t>
      </w:r>
      <w:r w:rsidRPr="00C33834">
        <w:rPr>
          <w:rFonts w:ascii="Times New Roman" w:hAnsi="Times New Roman"/>
          <w:color w:val="000000" w:themeColor="text1"/>
          <w:sz w:val="16"/>
          <w:szCs w:val="16"/>
        </w:rPr>
        <w:softHyphen/>
        <w:t>рабатывалась техника отрыва истребителей от бомбардировщика. ТБ-1 пилотировал я. Вторым пилотом был Михаил Александро</w:t>
      </w:r>
      <w:r w:rsidRPr="00C33834">
        <w:rPr>
          <w:rFonts w:ascii="Times New Roman" w:hAnsi="Times New Roman"/>
          <w:color w:val="000000" w:themeColor="text1"/>
          <w:sz w:val="16"/>
          <w:szCs w:val="16"/>
        </w:rPr>
        <w:softHyphen/>
        <w:t>вич Нюхтиков. На истребителях находились В. К. Коккинаки и И.Ф. Гродзь.</w:t>
      </w:r>
    </w:p>
    <w:p w14:paraId="5DB5C84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Летим. Пришли в заданный район. Даю команду своим «седокам» — отцепляйтесь! Самолет Гродзя забалансировал на перед</w:t>
      </w:r>
      <w:r w:rsidRPr="00C33834">
        <w:rPr>
          <w:rFonts w:ascii="Times New Roman" w:hAnsi="Times New Roman"/>
          <w:color w:val="000000" w:themeColor="text1"/>
          <w:sz w:val="16"/>
          <w:szCs w:val="16"/>
        </w:rPr>
        <w:softHyphen/>
        <w:t>них креплениях. А почему Коккинаки дерга</w:t>
      </w:r>
      <w:r w:rsidRPr="00C33834">
        <w:rPr>
          <w:rFonts w:ascii="Times New Roman" w:hAnsi="Times New Roman"/>
          <w:color w:val="000000" w:themeColor="text1"/>
          <w:sz w:val="16"/>
          <w:szCs w:val="16"/>
        </w:rPr>
        <w:softHyphen/>
        <w:t>ется в кабине и, словно сумасшедший, шу</w:t>
      </w:r>
      <w:r w:rsidRPr="00C33834">
        <w:rPr>
          <w:rFonts w:ascii="Times New Roman" w:hAnsi="Times New Roman"/>
          <w:color w:val="000000" w:themeColor="text1"/>
          <w:sz w:val="16"/>
          <w:szCs w:val="16"/>
        </w:rPr>
        <w:softHyphen/>
        <w:t>рует рулями? Увлекся я разгадыванием его «манипуляций», а про Гродзя забыл. Он же по-прежнему балансирует, ждет сигнала на отрыв.</w:t>
      </w:r>
    </w:p>
    <w:p w14:paraId="21D1EC1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Коккинаки вскоре все стало ясно: при</w:t>
      </w:r>
      <w:r w:rsidRPr="00C33834">
        <w:rPr>
          <w:rFonts w:ascii="Times New Roman" w:hAnsi="Times New Roman"/>
          <w:color w:val="000000" w:themeColor="text1"/>
          <w:sz w:val="16"/>
          <w:szCs w:val="16"/>
        </w:rPr>
        <w:softHyphen/>
        <w:t>няв команду отсоединиться, он, со всей его медвежьей силой, рванул рукоятку расцеп</w:t>
      </w:r>
      <w:r w:rsidRPr="00C33834">
        <w:rPr>
          <w:rFonts w:ascii="Times New Roman" w:hAnsi="Times New Roman"/>
          <w:color w:val="000000" w:themeColor="text1"/>
          <w:sz w:val="16"/>
          <w:szCs w:val="16"/>
        </w:rPr>
        <w:softHyphen/>
        <w:t>ления и... оборвал трос хвостового замка. А теперь вот летчик создает рулями пере</w:t>
      </w:r>
      <w:r w:rsidRPr="00C33834">
        <w:rPr>
          <w:rFonts w:ascii="Times New Roman" w:hAnsi="Times New Roman"/>
          <w:color w:val="000000" w:themeColor="text1"/>
          <w:sz w:val="16"/>
          <w:szCs w:val="16"/>
        </w:rPr>
        <w:softHyphen/>
        <w:t>грузки, чтобы оторвать замок, удерживаю</w:t>
      </w:r>
      <w:r w:rsidRPr="00C33834">
        <w:rPr>
          <w:rFonts w:ascii="Times New Roman" w:hAnsi="Times New Roman"/>
          <w:color w:val="000000" w:themeColor="text1"/>
          <w:sz w:val="16"/>
          <w:szCs w:val="16"/>
        </w:rPr>
        <w:softHyphen/>
        <w:t>щий хвост истребителя, и любой ценой от</w:t>
      </w:r>
      <w:r w:rsidRPr="00C33834">
        <w:rPr>
          <w:rFonts w:ascii="Times New Roman" w:hAnsi="Times New Roman"/>
          <w:color w:val="000000" w:themeColor="text1"/>
          <w:sz w:val="16"/>
          <w:szCs w:val="16"/>
        </w:rPr>
        <w:softHyphen/>
        <w:t>делиться от нас. Но не тут-то было. Истре</w:t>
      </w:r>
      <w:r w:rsidRPr="00C33834">
        <w:rPr>
          <w:rFonts w:ascii="Times New Roman" w:hAnsi="Times New Roman"/>
          <w:color w:val="000000" w:themeColor="text1"/>
          <w:sz w:val="16"/>
          <w:szCs w:val="16"/>
        </w:rPr>
        <w:softHyphen/>
        <w:t>битель, как припаянный, сидит на нашей плоскости. Катастрофа кажется неизбежной. Бортмеханик (жаль, забыл его фами</w:t>
      </w:r>
      <w:r w:rsidRPr="00C33834">
        <w:rPr>
          <w:rFonts w:ascii="Times New Roman" w:hAnsi="Times New Roman"/>
          <w:color w:val="000000" w:themeColor="text1"/>
          <w:sz w:val="16"/>
          <w:szCs w:val="16"/>
        </w:rPr>
        <w:softHyphen/>
        <w:t>лию) рвется на подвиг: хочет влезть на кры</w:t>
      </w:r>
      <w:r w:rsidRPr="00C33834">
        <w:rPr>
          <w:rFonts w:ascii="Times New Roman" w:hAnsi="Times New Roman"/>
          <w:color w:val="000000" w:themeColor="text1"/>
          <w:sz w:val="16"/>
          <w:szCs w:val="16"/>
        </w:rPr>
        <w:softHyphen/>
        <w:t>ло, по-пластунски добраться до хвоста ист</w:t>
      </w:r>
      <w:r w:rsidRPr="00C33834">
        <w:rPr>
          <w:rFonts w:ascii="Times New Roman" w:hAnsi="Times New Roman"/>
          <w:color w:val="000000" w:themeColor="text1"/>
          <w:sz w:val="16"/>
          <w:szCs w:val="16"/>
        </w:rPr>
        <w:softHyphen/>
        <w:t>ребителя и открыть замок. Запрещаю: по</w:t>
      </w:r>
      <w:r w:rsidRPr="00C33834">
        <w:rPr>
          <w:rFonts w:ascii="Times New Roman" w:hAnsi="Times New Roman"/>
          <w:color w:val="000000" w:themeColor="text1"/>
          <w:sz w:val="16"/>
          <w:szCs w:val="16"/>
        </w:rPr>
        <w:softHyphen/>
        <w:t>ток воздуха мгновенно сорвет его с крыла. Второй пилот Миша Нюхтиков, мой одно</w:t>
      </w:r>
      <w:r w:rsidRPr="00C33834">
        <w:rPr>
          <w:rFonts w:ascii="Times New Roman" w:hAnsi="Times New Roman"/>
          <w:color w:val="000000" w:themeColor="text1"/>
          <w:sz w:val="16"/>
          <w:szCs w:val="16"/>
        </w:rPr>
        <w:softHyphen/>
        <w:t>кашник по качинской школе, предлагает стрелять из нагана, чтобы пулей перебить злосчастный замок. Тоже мне снайпер на</w:t>
      </w:r>
      <w:r w:rsidRPr="00C33834">
        <w:rPr>
          <w:rFonts w:ascii="Times New Roman" w:hAnsi="Times New Roman"/>
          <w:color w:val="000000" w:themeColor="text1"/>
          <w:sz w:val="16"/>
          <w:szCs w:val="16"/>
        </w:rPr>
        <w:softHyphen/>
        <w:t>шелся! Еще в Коккинаки угодит.</w:t>
      </w:r>
    </w:p>
    <w:p w14:paraId="0D5C12F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звено летит. Гродзь, не получив пос</w:t>
      </w:r>
      <w:r w:rsidRPr="00C33834">
        <w:rPr>
          <w:rFonts w:ascii="Times New Roman" w:hAnsi="Times New Roman"/>
          <w:color w:val="000000" w:themeColor="text1"/>
          <w:sz w:val="16"/>
          <w:szCs w:val="16"/>
        </w:rPr>
        <w:softHyphen/>
        <w:t>ледней команды и ничего не подозревая о случившемся, продолжает балансировать. Отпусти его — станет еще хуже: с одним истребителем на плоскости ни за что бла</w:t>
      </w:r>
      <w:r w:rsidRPr="00C33834">
        <w:rPr>
          <w:rFonts w:ascii="Times New Roman" w:hAnsi="Times New Roman"/>
          <w:color w:val="000000" w:themeColor="text1"/>
          <w:sz w:val="16"/>
          <w:szCs w:val="16"/>
        </w:rPr>
        <w:softHyphen/>
        <w:t>гополучно не сядешь. Да и поломкой, пожа</w:t>
      </w:r>
      <w:r w:rsidRPr="00C33834">
        <w:rPr>
          <w:rFonts w:ascii="Times New Roman" w:hAnsi="Times New Roman"/>
          <w:color w:val="000000" w:themeColor="text1"/>
          <w:sz w:val="16"/>
          <w:szCs w:val="16"/>
        </w:rPr>
        <w:softHyphen/>
        <w:t>луй, не отделаешься. Лихорадочно работа</w:t>
      </w:r>
      <w:r w:rsidRPr="00C33834">
        <w:rPr>
          <w:rFonts w:ascii="Times New Roman" w:hAnsi="Times New Roman"/>
          <w:color w:val="000000" w:themeColor="text1"/>
          <w:sz w:val="16"/>
          <w:szCs w:val="16"/>
        </w:rPr>
        <w:softHyphen/>
        <w:t>ет мозг. Нервы напряжены до предела. Что же предпринять? Правда, горючего еще много. Надо держаться поспокойнее, все хорошенько обдумать. Время еще есть.</w:t>
      </w:r>
    </w:p>
    <w:p w14:paraId="204F6B7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тут пришла наконец спасительная мысль. Правда, такого решения еще никто не принимал — не было подобного приме</w:t>
      </w:r>
      <w:r w:rsidRPr="00C33834">
        <w:rPr>
          <w:rFonts w:ascii="Times New Roman" w:hAnsi="Times New Roman"/>
          <w:color w:val="000000" w:themeColor="text1"/>
          <w:sz w:val="16"/>
          <w:szCs w:val="16"/>
        </w:rPr>
        <w:softHyphen/>
        <w:t>ра... Мысль воплотилась в окончательное решение: — Будем садиться втроем, — со</w:t>
      </w:r>
      <w:r w:rsidRPr="00C33834">
        <w:rPr>
          <w:rFonts w:ascii="Times New Roman" w:hAnsi="Times New Roman"/>
          <w:color w:val="000000" w:themeColor="text1"/>
          <w:sz w:val="16"/>
          <w:szCs w:val="16"/>
        </w:rPr>
        <w:softHyphen/>
        <w:t>общаю экипажу. — Все по местам.</w:t>
      </w:r>
    </w:p>
    <w:p w14:paraId="21D970E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Теперь и Иустин Феликсович Гродзь ра</w:t>
      </w:r>
      <w:r w:rsidRPr="00C33834">
        <w:rPr>
          <w:rFonts w:ascii="Times New Roman" w:hAnsi="Times New Roman"/>
          <w:color w:val="000000" w:themeColor="text1"/>
          <w:sz w:val="16"/>
          <w:szCs w:val="16"/>
        </w:rPr>
        <w:softHyphen/>
        <w:t>зобрался в случившемся. Даю ему понять — что бы ни случилось, держись до конца: са</w:t>
      </w:r>
      <w:r w:rsidRPr="00C33834">
        <w:rPr>
          <w:rFonts w:ascii="Times New Roman" w:hAnsi="Times New Roman"/>
          <w:color w:val="000000" w:themeColor="text1"/>
          <w:sz w:val="16"/>
          <w:szCs w:val="16"/>
        </w:rPr>
        <w:softHyphen/>
        <w:t>диться будем вместе. Он кивает в ответ: по</w:t>
      </w:r>
      <w:r w:rsidRPr="00C33834">
        <w:rPr>
          <w:rFonts w:ascii="Times New Roman" w:hAnsi="Times New Roman"/>
          <w:color w:val="000000" w:themeColor="text1"/>
          <w:sz w:val="16"/>
          <w:szCs w:val="16"/>
        </w:rPr>
        <w:softHyphen/>
        <w:t>нял. Снижаемся. Все идет хорошо. Трево</w:t>
      </w:r>
      <w:r w:rsidRPr="00C33834">
        <w:rPr>
          <w:rFonts w:ascii="Times New Roman" w:hAnsi="Times New Roman"/>
          <w:color w:val="000000" w:themeColor="text1"/>
          <w:sz w:val="16"/>
          <w:szCs w:val="16"/>
        </w:rPr>
        <w:softHyphen/>
        <w:t>жит одно: выдержит ли шасси ТВ-1 посадку с таким весом?</w:t>
      </w:r>
    </w:p>
    <w:p w14:paraId="2DCCC66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Плавное касание. Самолет бежит по полосе. Шасси не подвело! Вдруг — удар, треск! Неужели машина ломается? Да нет! Вот она и скорость потеряла, остановилась. И тут возникло острое беспокойство за Иустина — не сорвался ли он с плоскос</w:t>
      </w:r>
      <w:r w:rsidRPr="00C33834">
        <w:rPr>
          <w:rFonts w:ascii="Times New Roman" w:hAnsi="Times New Roman"/>
          <w:color w:val="000000" w:themeColor="text1"/>
          <w:sz w:val="16"/>
          <w:szCs w:val="16"/>
        </w:rPr>
        <w:softHyphen/>
        <w:t>ти? Глянул в его сторону и обмер. Истреби</w:t>
      </w:r>
      <w:r w:rsidRPr="00C33834">
        <w:rPr>
          <w:rFonts w:ascii="Times New Roman" w:hAnsi="Times New Roman"/>
          <w:color w:val="000000" w:themeColor="text1"/>
          <w:sz w:val="16"/>
          <w:szCs w:val="16"/>
        </w:rPr>
        <w:softHyphen/>
        <w:t>тель повис на задней треноге крепления и раскачивается. Вверху в такт ему болтает</w:t>
      </w:r>
      <w:r w:rsidRPr="00C33834">
        <w:rPr>
          <w:rFonts w:ascii="Times New Roman" w:hAnsi="Times New Roman"/>
          <w:color w:val="000000" w:themeColor="text1"/>
          <w:sz w:val="16"/>
          <w:szCs w:val="16"/>
        </w:rPr>
        <w:softHyphen/>
        <w:t>ся летчик. Одним словом — цирк Вахмист</w:t>
      </w:r>
      <w:r w:rsidRPr="00C33834">
        <w:rPr>
          <w:rFonts w:ascii="Times New Roman" w:hAnsi="Times New Roman"/>
          <w:color w:val="000000" w:themeColor="text1"/>
          <w:sz w:val="16"/>
          <w:szCs w:val="16"/>
        </w:rPr>
        <w:softHyphen/>
        <w:t>рова.</w:t>
      </w:r>
    </w:p>
    <w:p w14:paraId="23E5172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первую очередь освободили Гродзя. Обняли, расцеловали. Как-никак он больше всех натерпелся страху. А могло быть и ху</w:t>
      </w:r>
      <w:r w:rsidRPr="00C33834">
        <w:rPr>
          <w:rFonts w:ascii="Times New Roman" w:hAnsi="Times New Roman"/>
          <w:color w:val="000000" w:themeColor="text1"/>
          <w:sz w:val="16"/>
          <w:szCs w:val="16"/>
        </w:rPr>
        <w:softHyphen/>
        <w:t>же. Дело в том, что на пробеге, когда руль глубины из-за потери скорости потерял эф</w:t>
      </w:r>
      <w:r w:rsidRPr="00C33834">
        <w:rPr>
          <w:rFonts w:ascii="Times New Roman" w:hAnsi="Times New Roman"/>
          <w:color w:val="000000" w:themeColor="text1"/>
          <w:sz w:val="16"/>
          <w:szCs w:val="16"/>
        </w:rPr>
        <w:softHyphen/>
        <w:t>фективность, истребитель, хвост которого не был закреплен, начал сползать с плос</w:t>
      </w:r>
      <w:r w:rsidRPr="00C33834">
        <w:rPr>
          <w:rFonts w:ascii="Times New Roman" w:hAnsi="Times New Roman"/>
          <w:color w:val="000000" w:themeColor="text1"/>
          <w:sz w:val="16"/>
          <w:szCs w:val="16"/>
        </w:rPr>
        <w:softHyphen/>
        <w:t>кости бомбардировщика. Задняя ферма крепления, наклонившись под углом трид</w:t>
      </w:r>
      <w:r w:rsidRPr="00C33834">
        <w:rPr>
          <w:rFonts w:ascii="Times New Roman" w:hAnsi="Times New Roman"/>
          <w:color w:val="000000" w:themeColor="text1"/>
          <w:sz w:val="16"/>
          <w:szCs w:val="16"/>
        </w:rPr>
        <w:softHyphen/>
        <w:t>цать градусов, прорвала фюзеляж И-4 и уперлась в спинку сиденья летчика. Нос истребителя неестественно задрался. Будь при посадке толчок посильнее, самолет Гродзя сорвался бы» (11286).</w:t>
      </w:r>
    </w:p>
    <w:p w14:paraId="26B5AE3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E99A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нашли и другие способы увеличения радиуса действия ТБ-3. Во-первых, начали летать на обедненных смесях (много воздуха - мало топлива). При правильной регулировке карбюраторов это давало прибавку к дальности примерно в 15%. Во-вторых, попробовали перейти со штатной бензин-бензольной смеси на этилированный бензин. Бензин-бензольную смесь применяли потому, что М-17 с его высокой степенью сжатия на чистом отечественном низкосортном бензине страдал от детонации. Бензол повышал октановое число, показывающее устойчивость против детонации, но снижал тепловую эффективность топлива. В этилированном бензине антидетонационная присадка - тетраэтилсвинец содержится в очень небольшом количестве. Поэтому такого бензина для нормальной работы двигателя нужно меньше. При том же запасе горючего дальность увеличивалась примерно на 20%.</w:t>
      </w:r>
    </w:p>
    <w:p w14:paraId="76EBFDC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бомбардировщиках выпуска 1933 г. добились достаточно высокой надежности как планера, так и мотоустановки. При этом от серии к серии вес пустого самолета неуклонно снижался. Если для первых машин он был около 12 000 кг, то к машине № 22301 дошли до уровня 11 350 кг. В годовом отчете НИИ ВВС удовлетворенно записано: "Самолет ТБЗ-4М17 был доведен по своим данным полностью удовлетворяющим поставленной задаче". Немного коряво, но вполне справедливо. В результате совместных усилий коллектива конструкторов, серийных заводов и ВВС страна получила грозное современное оружие, с наличием которого не могли не считаться потенциальные противники.</w:t>
      </w:r>
    </w:p>
    <w:p w14:paraId="5672BC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1933 г. завод № 22 выпустил 270 ТБ-3, еще 37 добавил завод № 39. Согласно постановлению Реввоенсовета, с 1 января 1934 г. приемку самолетов с моторами М-17 следовало прекратить - предполагался переход на новые двигатели М-34. На самом деле их еще некоторое время продолжали строить из-за нехватки новых двигателей. При этом часть машин выпуска 1934 г. получила усовершенствованные М-17Ф (500/715 л.е.) (12024).</w:t>
      </w:r>
    </w:p>
    <w:p w14:paraId="0AA881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D81BB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нашли и другие способы увеличения радиуса действия ТБ-3. Во-первых, начали летать на обедненных смесях (много воздуха - мало топлива). При правильной регулировке карбюраторов это давало прибавку к дальности примерно в 15%. Во-вторых, попробовали перейти со штатной бензин-бензольной смеси на этилированный бензин. Бензин-бензольную смесь применяли потому, что М-17 с его высокой степенью сжатия на чистом отечественном низкосортном бензине страдал от детонации. Бензол повышал октановое число, показывающее устойчивость против детонации, но снижал тепловую эффективность топлива. В этилированном бензине антидетонационная присадка - тетраэтилсвинец, - содержится в очень небольшом количестве. Поэтому такого бензина для нормальной работы двигателя нужно меньше. При том же запасе горючего дальность увеличивалась примерно на 20%.</w:t>
      </w:r>
    </w:p>
    <w:p w14:paraId="74F2D3F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июне 1933 г. два самолета, М.М. Громова и А.Б. Юмашева, за счет применения обедненной смеси и этилированного бензина показали дальность 3150 км. Все члены экипажей получили благодарность Реввоенсовета и по месячному окладу. Два месяца спустя Юмашев поднял в воздух модифицированный облегченный ТБ-3. На нем полностью убрали наружную подвеску бомб. Вместо этого в просторном фюзеляже установили дополнительные кассеты Дер-9. Всего самолет теперь мог нести внутри 36 бомб по 100 кг. За счет демонтажа бомбодержателей под фюзеляжем и крылом, кое-какого оборудования и облегчения самой конструкции выиграли 518 кг. Еще более 100 кг получили за счет уменьшения запаса масла в полтора раза (это внедрили и в серии). Но суммарный вес с бомбами дошел до 20 т. Добавочный бензин и улучшение аэродинамики позволили еще увеличить дальность. 8 августа 1933 г. экипаж Юмашева совершил беспосадочный перелет Щелково - Евпатория - Щелково, сбросив 2500 кг бомб на полигоне в Крыму.</w:t>
      </w:r>
    </w:p>
    <w:p w14:paraId="22B9B12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бомбардировщиках выпуска 1933 г. добились достаточно высокой надежности как планера, так и мотоустановки. При этом от серии к серии вес пустого самолета неуклонно снижался. Если для первых машин он был около 12 000 кг, то к машине № 22301 дошли до уровня 11 350 кг. В годовом отчете НИИ ВВС удовлетворенно записано: "Самолет ТБЗ-4М17 был доведен по своим данным полностью удовлетворяющим поставленной задаче". Немного коряво, но вполне справедливо. В результате совместных усилий коллектива конструкторов, серийных заводов и ВВС страна получила грозное современное оружие, с наличием которого не могли не считаться потенциальные противники.</w:t>
      </w:r>
    </w:p>
    <w:p w14:paraId="48CCD3B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1933 г. завод № 22 выпустил 270 ТБ-3, еще 37 добавил завод № 39. Согласно постановлению Реввоенсовета, с 1 января 1934 г. приемку самолетов с моторами М-17 следовало прекратить - предполагался переход на новые двигатели М-34. На самом деле их еще некоторое время продолжали строить из-за нехватки новых двигателей. При этом часть машин выпуска 1934 г. получила усовершенствованные М-17Ф (500/715 л.с.) (12036).</w:t>
      </w:r>
    </w:p>
    <w:p w14:paraId="74E405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FA056CD" w14:textId="77777777" w:rsidR="003353B3" w:rsidRPr="00C33834" w:rsidRDefault="003353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1933 г. впервые обозначение А-10 использовали при про</w:t>
      </w:r>
      <w:r w:rsidRPr="00C33834">
        <w:rPr>
          <w:rFonts w:ascii="Times New Roman" w:hAnsi="Times New Roman"/>
          <w:color w:val="0070C0"/>
          <w:sz w:val="16"/>
          <w:szCs w:val="16"/>
        </w:rPr>
        <w:softHyphen/>
        <w:t>ектировании шестиместного пассажирского автожира под двигатель М-22 мощностью 480 л.с. На стадии разработ</w:t>
      </w:r>
      <w:r w:rsidRPr="00C33834">
        <w:rPr>
          <w:rFonts w:ascii="Times New Roman" w:hAnsi="Times New Roman"/>
          <w:color w:val="0070C0"/>
          <w:sz w:val="16"/>
          <w:szCs w:val="16"/>
        </w:rPr>
        <w:softHyphen/>
        <w:t>ки эскизного проекта общее руководство работами осуще</w:t>
      </w:r>
      <w:r w:rsidRPr="00C33834">
        <w:rPr>
          <w:rFonts w:ascii="Times New Roman" w:hAnsi="Times New Roman"/>
          <w:color w:val="0070C0"/>
          <w:sz w:val="16"/>
          <w:szCs w:val="16"/>
        </w:rPr>
        <w:softHyphen/>
        <w:t>ствлял Н.К. Скржинский. Сама идея создать такой много</w:t>
      </w:r>
      <w:r w:rsidRPr="00C33834">
        <w:rPr>
          <w:rFonts w:ascii="Times New Roman" w:hAnsi="Times New Roman"/>
          <w:color w:val="0070C0"/>
          <w:sz w:val="16"/>
          <w:szCs w:val="16"/>
        </w:rPr>
        <w:softHyphen/>
        <w:t>местный аппарат возникла сразу после начала испытаний автожира А-4. Настроение конструкторов тогда было впол</w:t>
      </w:r>
      <w:r w:rsidRPr="00C33834">
        <w:rPr>
          <w:rFonts w:ascii="Times New Roman" w:hAnsi="Times New Roman"/>
          <w:color w:val="0070C0"/>
          <w:sz w:val="16"/>
          <w:szCs w:val="16"/>
        </w:rPr>
        <w:softHyphen/>
        <w:t>не оптимистичным, поэтому они смело замахнулись на крупную и тяжелую машину. А-10 создавался как автожир крылатого типа с трехлопастным ротором, раскручиваемым перед стартом. Однако уже в ходе проектирования возник</w:t>
      </w:r>
      <w:r w:rsidRPr="00C33834">
        <w:rPr>
          <w:rFonts w:ascii="Times New Roman" w:hAnsi="Times New Roman"/>
          <w:color w:val="0070C0"/>
          <w:sz w:val="16"/>
          <w:szCs w:val="16"/>
        </w:rPr>
        <w:softHyphen/>
        <w:t>ло достаточное количество проблем, поставивших под сомнение успех задуманного. С одной стороны, испытания и доводка А-4 проходили не столь успешно, с другой - са</w:t>
      </w:r>
      <w:r w:rsidRPr="00C33834">
        <w:rPr>
          <w:rFonts w:ascii="Times New Roman" w:hAnsi="Times New Roman"/>
          <w:color w:val="0070C0"/>
          <w:sz w:val="16"/>
          <w:szCs w:val="16"/>
        </w:rPr>
        <w:softHyphen/>
        <w:t>ма выбранная схема представлялась устаревшей - на очереди стояли автожиры бескрылого типа с непосредст</w:t>
      </w:r>
      <w:r w:rsidRPr="00C33834">
        <w:rPr>
          <w:rFonts w:ascii="Times New Roman" w:hAnsi="Times New Roman"/>
          <w:color w:val="0070C0"/>
          <w:sz w:val="16"/>
          <w:szCs w:val="16"/>
        </w:rPr>
        <w:softHyphen/>
        <w:t>венным управлением втулкой ротора. В результате, реа</w:t>
      </w:r>
      <w:r w:rsidRPr="00C33834">
        <w:rPr>
          <w:rFonts w:ascii="Times New Roman" w:hAnsi="Times New Roman"/>
          <w:color w:val="0070C0"/>
          <w:sz w:val="16"/>
          <w:szCs w:val="16"/>
        </w:rPr>
        <w:softHyphen/>
        <w:t>лизацию А-10 признали нецелесообразной и его разработ</w:t>
      </w:r>
      <w:r w:rsidRPr="00C33834">
        <w:rPr>
          <w:rFonts w:ascii="Times New Roman" w:hAnsi="Times New Roman"/>
          <w:color w:val="0070C0"/>
          <w:sz w:val="16"/>
          <w:szCs w:val="16"/>
        </w:rPr>
        <w:softHyphen/>
        <w:t>ку прекратили.</w:t>
      </w:r>
    </w:p>
    <w:p w14:paraId="252EF15B" w14:textId="77777777" w:rsidR="003353B3" w:rsidRPr="00C33834" w:rsidRDefault="003353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Вторично обозначение А-10 использовали в 1937 г. при проектировании небольшого многоцелевого автожира, в котором предполагалось реализовать весь предыдущий на</w:t>
      </w:r>
      <w:r w:rsidRPr="00C33834">
        <w:rPr>
          <w:rFonts w:ascii="Times New Roman" w:hAnsi="Times New Roman"/>
          <w:color w:val="0070C0"/>
          <w:sz w:val="16"/>
          <w:szCs w:val="16"/>
        </w:rPr>
        <w:softHyphen/>
        <w:t>копленный опыт. Этот А-10 создавался как бескрылый автожир с непосредственным управлением несущим рото</w:t>
      </w:r>
      <w:r w:rsidRPr="00C33834">
        <w:rPr>
          <w:rFonts w:ascii="Times New Roman" w:hAnsi="Times New Roman"/>
          <w:color w:val="0070C0"/>
          <w:sz w:val="16"/>
          <w:szCs w:val="16"/>
        </w:rPr>
        <w:softHyphen/>
        <w:t>ром, способным осуществлять взлет без разбега, т.е. «прыгающий автожир». Он представлял собой двухместный аппарат с трехлопастным ротором, предназначался для разведки и связи. Первоначально создавался под двигатель М-11 по проекту В.А. Кузнецова. Позднее было раз</w:t>
      </w:r>
      <w:r w:rsidRPr="00C33834">
        <w:rPr>
          <w:rFonts w:ascii="Times New Roman" w:hAnsi="Times New Roman"/>
          <w:color w:val="0070C0"/>
          <w:sz w:val="16"/>
          <w:szCs w:val="16"/>
        </w:rPr>
        <w:softHyphen/>
        <w:t>работано еще несколько проектных вариантов с двигате</w:t>
      </w:r>
      <w:r w:rsidRPr="00C33834">
        <w:rPr>
          <w:rFonts w:ascii="Times New Roman" w:hAnsi="Times New Roman"/>
          <w:color w:val="0070C0"/>
          <w:sz w:val="16"/>
          <w:szCs w:val="16"/>
        </w:rPr>
        <w:softHyphen/>
        <w:t>лем МВ-4 (Рено «Бенгали») мощностью 140 л.с. Автором этих проектов являлся Н.К. Скржинский (20361).</w:t>
      </w:r>
    </w:p>
    <w:p w14:paraId="14EE05B4" w14:textId="77777777" w:rsidR="003353B3" w:rsidRPr="00C33834" w:rsidRDefault="003353B3" w:rsidP="00C33834">
      <w:pPr>
        <w:shd w:val="clear" w:color="auto" w:fill="FFFFFF"/>
        <w:spacing w:after="0" w:line="240" w:lineRule="auto"/>
        <w:jc w:val="both"/>
        <w:rPr>
          <w:rFonts w:ascii="Times New Roman" w:hAnsi="Times New Roman"/>
          <w:color w:val="0070C0"/>
          <w:sz w:val="16"/>
          <w:szCs w:val="16"/>
        </w:rPr>
      </w:pPr>
    </w:p>
    <w:p w14:paraId="6AC430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по результатам работ по звену 3-1 и 3-1а появилась идея проектирования самолета тягача для облегчения взлета бомбардировщиков. Был спроектирован, но не строился (375,38).</w:t>
      </w:r>
    </w:p>
    <w:p w14:paraId="03777CD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9FE158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были начаты эксперименты по дозаправке ТБ-3 (АНТ-6) в воздухе (69,27). Продолжались до 1935 и вели инженеры А.К.Запанованный и И.Белозеров. Бензин из Р-5 в ТБ-7 из ТБ в И-15 и И-16, Из ТБ в ТБ (92,350).</w:t>
      </w:r>
    </w:p>
    <w:p w14:paraId="438BF3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Повторение американских опытов начала 20-х.</w:t>
      </w:r>
    </w:p>
    <w:p w14:paraId="6B0160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EE4FF4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к самолету ТБ-3 в Остехбюро начали приспосабливать систему «Дедал», спроектированную первоначально для ТБ-1. Основной проблемой тогда являлось отсутствие надежного отечественного автопилота. В рамках программы создания ТМС ТБ-3 (т.е. «телемеханического самолета») опробовали много разных конструкций - пневматических, гидравлических, электромеханических (9964).</w:t>
      </w:r>
    </w:p>
    <w:p w14:paraId="2221BA6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2F9E8E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выполнялся эскизный проект военной модификации АНТ-14 с четырьмя моторами М-34Р и новыми носовой и хвостовой частью. Вооружение у него было послабее. Самолет предполагалось вооружить четырьмя 7,62-мм пулеметами. Три ручных пулемета Д П (пехотных, именно так записано в документах) располагались в носовой части фюзеляжа, сверху и за вертикальным оперением (с боезапасом по 15 дисков на каждый), а переносной ДА (с 16 дисками) на шкворне стрелял через бортовые окна. Из носовой установки вел огонь штурман, из верхней - борттехник, из кормовой - стрелок. Переносным пулеметом оперировал радист.</w:t>
      </w:r>
    </w:p>
    <w:p w14:paraId="486993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Предусматривались две радиостанции: 11-СК (у радиста) и 15-СУ (у штурмана). Основным назначением машины считалась перевозка солдат и военных грузов, а также высадка воздушных десантов, но при монтаже в салоне многоярусных коек самолет превращался в санитарный. Военный АНТ-14 при необходимости мог быть использован и как ночной бомбардировщик. Бомбы при этом укладывались во внутренние кассеты в бывшем пассажирском салоне.</w:t>
      </w:r>
    </w:p>
    <w:p w14:paraId="15411A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Такие военно-транспортные машины собирались серийно строить на заводе № 22 в Филях. В сентябре 1933 г. руководство этого предприятия обратилось в ГУАП за разрешением на постройку опытного образца, но, видимо, получило отказ. В Осконбюро ВВС разрабатывали десантный вариант АНТ-14 на 50 парашютистов, которые должны были покидать машину по наклонным трубам, какие можно увидеть сейчас на детских площадках. Прорабатывали также вариант "бензиноносца" - танкера для дозаправки в воздухе тяжелого бомбардировщика ТБ-4. Он мог, по расчетам, нести дополнительно около 2500 кг топлива.</w:t>
      </w:r>
    </w:p>
    <w:p w14:paraId="7D96B4A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Изучалась также возможность доработки при необходимости обычного пассажирского АНТ-14 для военных целей - как транспортного или "вспомогательного бомбардировщика", аналогично подобному проекту для АНТ-9. Все эти работы были прекращены после принятия решения об отказе от запуска АНТ-14 в серию (12036).</w:t>
      </w:r>
    </w:p>
    <w:p w14:paraId="199D1E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BB701E5"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туполевцы про-вели ряд работ по усовершенствованию Р-6, после чего появилась новая модификация - КР-6 («КР» - от «крейсер»). На машине совершенно из-менилось оперение. Руль направления лишился рогового компенсатора, зато на нём появился триммер. Горизонтальное оперение получило иную форму в плане. Рули высоты теперь не имели выступа-ющих рогов; компенсаторы вписали в общий закруглённый контур. Несколько переделали мотогондолы. Входные от-верстия радиаторов приобрели оваль-ную форму. На фюзеляже убрали наруж-ные продольные усиления. Почти вдвое увеличили запас горючего - до 3000 л, а масла - до 250 л. Амортизаторы основ-ных стоек шасси у КР-6 стали масляно- пневматическими, а не резиновыми.</w:t>
      </w:r>
    </w:p>
    <w:p w14:paraId="76D08BB3"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Стрелковое вооружение КР-6 склады-валось из двух турелей Тур-5 со спа-ренными пулемётами ДА-2. В передней установке находился боезапас из 20 дис-ков, в задней - из 24. Нижнюю выпуск-ную башню, резко увеличивавшую аэ-родинамическое сопротивление, сняли. Бомбовое вооружение составляли шесть держателей Дер-7 под центропланом и механический сбрасыватель Сбр-9. Но-вая модификация имела радиостанцию 13-СК (позже ее заменили на 12-СК1) и фотоаппарат «Поттэ 1бис».</w:t>
      </w:r>
    </w:p>
    <w:p w14:paraId="398C463E"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опытный образец КР-6 передела-ли заслуженного ветерана - самолёт № 2202 (второй серийный). Он сохранил моторы ВМ\М VI, и будучи установлен-ным ранее на поплавки (об этом будет рассказано далее), так на них и остался. Экипаж сократили до трёх человек. Эта машина испытывалась в апреле 1934 г.</w:t>
      </w:r>
    </w:p>
    <w:p w14:paraId="556F87DF"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Вскоре производство КР-6 развернули на заводе № 22. Головной серийный са-молёт № 22102 испытывался в НИИ ВВС в июле 1934 г. Все серийные машины были четырёхместными, как Р-6.</w:t>
      </w:r>
    </w:p>
    <w:p w14:paraId="32BC5D90"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Лётные данные КР-6 оставляли же-лать лучшего. Переделанный № 2202 имел невысокие показатели. Скорость по сравнению с Р-6 на поплавках упала (в основном, за счёт роста веса), сущест-венно ухудшилась скороподъёмность, снизился практический потолок. На голов-ном серийном КР-6 удалось несколько исправить положение, но всё равно он по всем показателям уступал Р-6 выпуска 1930 г. А на дворе стоял 1934-й...</w:t>
      </w:r>
    </w:p>
    <w:p w14:paraId="7F5E3832"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отчёте по испытаниям головной ма-шины указали, что вопреки требовани-ям задания, на самолёте нет тормозов колёс, регулировочных створок или жа-люзи на выходе воздуха из каналов ра-диаторов. Ряд недостатков завод позже исправил. На машинах выпуска второй половины 1934 г. удалось добиться не-которого снижения веса, что при тех же двигателях способствовало улучшению лётных данных, хотя и незначительному. Интересно, что при этом масса оборудо-вания на борту возросла: добавились кислородные приборы и световая сиг-нализация.</w:t>
      </w:r>
    </w:p>
    <w:p w14:paraId="5C9EE307"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Эталоном на 1934 г. стал самолёт № 22251, тоже испытывавшийся в НИИ ВВС. Как частенько тогда бывало, до эталонного состояния его довели только почти через год после начала серийного производства. Следует отметить, что на этой машине связь между членами эки-пажа обеспечивалась пневмопочтой - пока напишешь сообщение о появлении противника, отправишь, и кто-то его про-читает, пожалуй, и сбить успеют (12264).</w:t>
      </w:r>
    </w:p>
    <w:p w14:paraId="56786FF7" w14:textId="77777777" w:rsidR="000904A1" w:rsidRPr="00C33834" w:rsidRDefault="000904A1" w:rsidP="00C33834">
      <w:pPr>
        <w:spacing w:after="0" w:line="240" w:lineRule="auto"/>
        <w:jc w:val="both"/>
        <w:rPr>
          <w:rFonts w:ascii="Times New Roman" w:hAnsi="Times New Roman"/>
          <w:color w:val="000000" w:themeColor="text1"/>
          <w:sz w:val="16"/>
          <w:szCs w:val="16"/>
        </w:rPr>
      </w:pPr>
    </w:p>
    <w:p w14:paraId="020D65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у АНТ-37 (ДБ-2) и ЦКБ-26 (ДБ-3) был конкурент - К-13 - скоростной бомбардировщик (70,262).</w:t>
      </w:r>
    </w:p>
    <w:p w14:paraId="56FB79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87F5DD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1933 г. в ЦАГИ по техническим требованиям ВВС РККА, примерно в течение года велось проектирование сухопутного крейсера СК-1 (АНТ-30). Основное внимание при этом уделялось увеличению дальности полета и повышению бомбовой нагрузки. Однако прошло всего немного времени и СК-1 уже не вызывал оптимизма у заказчиков, ибо открывались новые перспективы, которые в очередной раз заставляли пересматривать планы проектирования и постройки концептуальных боевых машин (12027).</w:t>
      </w:r>
    </w:p>
    <w:p w14:paraId="193F0A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28DEED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в 1933 г. выпустили 1572 машины Р-5. На 1934 г. УВВС планировало дальнейшее совершенствование Р-5. Ставились задачи увеличить скорость на 15 км/ч, снизить массу не менее чем на 200 кг за счет внедрения магниевого сплава "электрон", ввести масляно-пневматическую амортизацию шасси, а со второго полугодия - модернизировать вооружение. Скорость при неизменной мотоустановке можно было поднять за счет улучшения аэродинамики. Конструкторы решили ввести зализы у стоек, крыла и оперения. С уменьшением веса было хуже - "электрон" в СССР не производился. За счет облегчения отдельных узлов и применения легированной стали можно было "выжать" 80-85 кг.</w:t>
      </w:r>
    </w:p>
    <w:p w14:paraId="3A110A9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Замену вооружения планировали на второе полугодие. В задней кабине собирались поставить новую турель Тур-Ток (Тур-8) с пулеметом LUKAC обр. 1933 г., известным как "ШКАС с бородой" (подствольным коробом для ленты). Позже от "бороды" отказались. ШКАС обр. 1934 г. питался из ящика турели, в котором находилось 750 патронов, затем 1000. Наружные балки бомбодержателей требовали заменить на встроенные Д-1 (Дер-31). Их электропиротехнические замки срабатывали по команде электросбрасывателя СР (11936).</w:t>
      </w:r>
    </w:p>
    <w:p w14:paraId="3AD13F0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86C55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 в 1933 г. выпустили 1572 машины Р-5. Самолеты поставляли ВВС, авиации НКВД (в первую очередь, для погранохраны) и гражданским летчикам, в том числе в Управление полярной авиации ГУСМП.</w:t>
      </w:r>
    </w:p>
    <w:p w14:paraId="3F0D54F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1934 г. УВВС планировало дальнейшее совершенствование Р-5. Ставились задачи увеличить скорость на 15 км/ч, снизить вес не менее чем на 200 кг за счет внедрения магниевого сплава "электрон", ввести масляно-пневма- тическую амортизацию вместо резиновых буферов, гальваническое антикоррозийное покрытие всех стальных узлов, а со второго полугодия - модернизировать вооружение. Скорость при неизменной мотоустановке можно было поднять за счет улучшения аэродинамики. Конструкторы решили ввести зализы у стоек, крыла и оперения, смонтировать обтекатели на колеса шасси. С уменьшением веса было хуже. "Электрон" у нас в стране не производился. За счет облегчения отдельных узлов и применения легированной стали можно было "выжать" килограммов 80-85.</w:t>
      </w:r>
    </w:p>
    <w:p w14:paraId="7D80DC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Выпуск самолетов семейства Р-5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F26F01" w:rsidRPr="00C33834" w14:paraId="09B3A863" w14:textId="77777777">
        <w:tc>
          <w:tcPr>
            <w:tcW w:w="1401" w:type="dxa"/>
            <w:tcBorders>
              <w:top w:val="single" w:sz="12" w:space="0" w:color="auto"/>
            </w:tcBorders>
          </w:tcPr>
          <w:p w14:paraId="53A354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Тип</w:t>
            </w:r>
          </w:p>
        </w:tc>
        <w:tc>
          <w:tcPr>
            <w:tcW w:w="1401" w:type="dxa"/>
            <w:tcBorders>
              <w:top w:val="single" w:sz="12" w:space="0" w:color="auto"/>
            </w:tcBorders>
          </w:tcPr>
          <w:p w14:paraId="3BFBFC6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1930</w:t>
            </w:r>
          </w:p>
        </w:tc>
        <w:tc>
          <w:tcPr>
            <w:tcW w:w="1401" w:type="dxa"/>
            <w:tcBorders>
              <w:top w:val="single" w:sz="12" w:space="0" w:color="auto"/>
            </w:tcBorders>
          </w:tcPr>
          <w:p w14:paraId="4D0ECB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w:t>
            </w:r>
          </w:p>
        </w:tc>
        <w:tc>
          <w:tcPr>
            <w:tcW w:w="1401" w:type="dxa"/>
            <w:tcBorders>
              <w:top w:val="single" w:sz="12" w:space="0" w:color="auto"/>
            </w:tcBorders>
          </w:tcPr>
          <w:p w14:paraId="4BB0C6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w:t>
            </w:r>
          </w:p>
        </w:tc>
        <w:tc>
          <w:tcPr>
            <w:tcW w:w="1401" w:type="dxa"/>
            <w:tcBorders>
              <w:top w:val="single" w:sz="12" w:space="0" w:color="auto"/>
            </w:tcBorders>
          </w:tcPr>
          <w:p w14:paraId="57C803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w:t>
            </w:r>
          </w:p>
        </w:tc>
        <w:tc>
          <w:tcPr>
            <w:tcW w:w="1401" w:type="dxa"/>
            <w:tcBorders>
              <w:top w:val="single" w:sz="12" w:space="0" w:color="auto"/>
            </w:tcBorders>
          </w:tcPr>
          <w:p w14:paraId="2F35CC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1934</w:t>
            </w:r>
          </w:p>
        </w:tc>
        <w:tc>
          <w:tcPr>
            <w:tcW w:w="1401" w:type="dxa"/>
            <w:tcBorders>
              <w:top w:val="single" w:sz="12" w:space="0" w:color="auto"/>
            </w:tcBorders>
          </w:tcPr>
          <w:p w14:paraId="3DF4CE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1935</w:t>
            </w:r>
          </w:p>
        </w:tc>
        <w:tc>
          <w:tcPr>
            <w:tcW w:w="1401" w:type="dxa"/>
            <w:tcBorders>
              <w:top w:val="single" w:sz="12" w:space="0" w:color="auto"/>
            </w:tcBorders>
          </w:tcPr>
          <w:p w14:paraId="73A12F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1936</w:t>
            </w:r>
          </w:p>
        </w:tc>
      </w:tr>
      <w:tr w:rsidR="00F26F01" w:rsidRPr="00C33834" w14:paraId="39A42C1A" w14:textId="77777777">
        <w:tc>
          <w:tcPr>
            <w:tcW w:w="1401" w:type="dxa"/>
          </w:tcPr>
          <w:p w14:paraId="4C4F9A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w:t>
            </w:r>
          </w:p>
        </w:tc>
        <w:tc>
          <w:tcPr>
            <w:tcW w:w="1401" w:type="dxa"/>
          </w:tcPr>
          <w:p w14:paraId="24E45E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w:t>
            </w:r>
          </w:p>
        </w:tc>
        <w:tc>
          <w:tcPr>
            <w:tcW w:w="1401" w:type="dxa"/>
          </w:tcPr>
          <w:p w14:paraId="67FECE7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336</w:t>
            </w:r>
          </w:p>
        </w:tc>
        <w:tc>
          <w:tcPr>
            <w:tcW w:w="1401" w:type="dxa"/>
          </w:tcPr>
          <w:p w14:paraId="3543F3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884</w:t>
            </w:r>
          </w:p>
        </w:tc>
        <w:tc>
          <w:tcPr>
            <w:tcW w:w="1401" w:type="dxa"/>
          </w:tcPr>
          <w:p w14:paraId="0AD3773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1572</w:t>
            </w:r>
          </w:p>
        </w:tc>
        <w:tc>
          <w:tcPr>
            <w:tcW w:w="1401" w:type="dxa"/>
          </w:tcPr>
          <w:p w14:paraId="6D91F3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1642</w:t>
            </w:r>
          </w:p>
        </w:tc>
        <w:tc>
          <w:tcPr>
            <w:tcW w:w="1401" w:type="dxa"/>
          </w:tcPr>
          <w:p w14:paraId="13331ED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400</w:t>
            </w:r>
          </w:p>
        </w:tc>
        <w:tc>
          <w:tcPr>
            <w:tcW w:w="1401" w:type="dxa"/>
          </w:tcPr>
          <w:p w14:paraId="2B3209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6B59618D" w14:textId="77777777">
        <w:tc>
          <w:tcPr>
            <w:tcW w:w="1401" w:type="dxa"/>
          </w:tcPr>
          <w:p w14:paraId="6A3CB3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Р-5Т</w:t>
            </w:r>
          </w:p>
        </w:tc>
        <w:tc>
          <w:tcPr>
            <w:tcW w:w="1401" w:type="dxa"/>
          </w:tcPr>
          <w:p w14:paraId="35CA3E2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1" w:type="dxa"/>
          </w:tcPr>
          <w:p w14:paraId="2ABE212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1" w:type="dxa"/>
          </w:tcPr>
          <w:p w14:paraId="5B0997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1" w:type="dxa"/>
          </w:tcPr>
          <w:p w14:paraId="1A0F736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1" w:type="dxa"/>
          </w:tcPr>
          <w:p w14:paraId="5DCAD0F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1" w:type="dxa"/>
          </w:tcPr>
          <w:p w14:paraId="48BE92E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401" w:type="dxa"/>
          </w:tcPr>
          <w:p w14:paraId="5217851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635F9522" w14:textId="77777777">
        <w:tc>
          <w:tcPr>
            <w:tcW w:w="1401" w:type="dxa"/>
          </w:tcPr>
          <w:p w14:paraId="5F003F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Р-5а</w:t>
            </w:r>
          </w:p>
        </w:tc>
        <w:tc>
          <w:tcPr>
            <w:tcW w:w="1401" w:type="dxa"/>
          </w:tcPr>
          <w:p w14:paraId="279BA25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1" w:type="dxa"/>
          </w:tcPr>
          <w:p w14:paraId="18AEBB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1" w:type="dxa"/>
          </w:tcPr>
          <w:p w14:paraId="026BEC9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1" w:type="dxa"/>
          </w:tcPr>
          <w:p w14:paraId="015FCB2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1" w:type="dxa"/>
          </w:tcPr>
          <w:p w14:paraId="530235E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61</w:t>
            </w:r>
          </w:p>
        </w:tc>
        <w:tc>
          <w:tcPr>
            <w:tcW w:w="1401" w:type="dxa"/>
          </w:tcPr>
          <w:p w14:paraId="16DB6E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w:t>
            </w:r>
          </w:p>
        </w:tc>
        <w:tc>
          <w:tcPr>
            <w:tcW w:w="1401" w:type="dxa"/>
          </w:tcPr>
          <w:p w14:paraId="7B2C08E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r>
      <w:tr w:rsidR="00F26F01" w:rsidRPr="00C33834" w14:paraId="39013D5F" w14:textId="77777777">
        <w:tc>
          <w:tcPr>
            <w:tcW w:w="1401" w:type="dxa"/>
            <w:tcBorders>
              <w:bottom w:val="single" w:sz="12" w:space="0" w:color="auto"/>
            </w:tcBorders>
          </w:tcPr>
          <w:p w14:paraId="64E931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ССС</w:t>
            </w:r>
          </w:p>
        </w:tc>
        <w:tc>
          <w:tcPr>
            <w:tcW w:w="1401" w:type="dxa"/>
            <w:tcBorders>
              <w:bottom w:val="single" w:sz="12" w:space="0" w:color="auto"/>
            </w:tcBorders>
          </w:tcPr>
          <w:p w14:paraId="610FDCB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1" w:type="dxa"/>
            <w:tcBorders>
              <w:bottom w:val="single" w:sz="12" w:space="0" w:color="auto"/>
            </w:tcBorders>
          </w:tcPr>
          <w:p w14:paraId="38943F9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1" w:type="dxa"/>
            <w:tcBorders>
              <w:bottom w:val="single" w:sz="12" w:space="0" w:color="auto"/>
            </w:tcBorders>
          </w:tcPr>
          <w:p w14:paraId="2A5934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1" w:type="dxa"/>
            <w:tcBorders>
              <w:bottom w:val="single" w:sz="12" w:space="0" w:color="auto"/>
            </w:tcBorders>
          </w:tcPr>
          <w:p w14:paraId="3B4634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1" w:type="dxa"/>
            <w:tcBorders>
              <w:bottom w:val="single" w:sz="12" w:space="0" w:color="auto"/>
            </w:tcBorders>
          </w:tcPr>
          <w:p w14:paraId="0F513F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401" w:type="dxa"/>
            <w:tcBorders>
              <w:bottom w:val="single" w:sz="12" w:space="0" w:color="auto"/>
            </w:tcBorders>
          </w:tcPr>
          <w:p w14:paraId="3B0EF5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221</w:t>
            </w:r>
          </w:p>
        </w:tc>
        <w:tc>
          <w:tcPr>
            <w:tcW w:w="1401" w:type="dxa"/>
            <w:tcBorders>
              <w:bottom w:val="single" w:sz="12" w:space="0" w:color="auto"/>
            </w:tcBorders>
          </w:tcPr>
          <w:p w14:paraId="47F910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129</w:t>
            </w:r>
          </w:p>
        </w:tc>
      </w:tr>
    </w:tbl>
    <w:p w14:paraId="7F9C49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(12034).</w:t>
      </w:r>
    </w:p>
    <w:p w14:paraId="29C6BF6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8A93B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разработали проект переделки Р-5 в Р-5Т, выполненный в НИИ ВВС под руководством В.В.Никитина. В 1934 - испытали, а в 1935 поставили на серию. Сняли турель и зашили заднюю кабину, а костыль - удлинили. ТАН-12 крепили под углом и сбрасывали с 10-20 м на скорости до 160 км/ч при высоте 25-30. Вес с подвеской - 9300 кг. Делали 1 год, сделали 50 и отправили на Балтику, ЧМ и ТО и эксплуатировали до 1938. Пытались вешать ТАВ-12 и ТАВ-27 на ТБ-3 (АНТ-6) и хотели в 1933-1934 сделать 48, но не сделали (561,8).</w:t>
      </w:r>
    </w:p>
    <w:p w14:paraId="1F5934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C3C975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выпустили 1572 Р-5. Резкий количественный скачок по сравнению с предыдущим годом обусловлен был не только освоением самого самолета. Рыбинский завод окончательно освоил производство лицензионного двигателя и произвел в 1933 г. более 4000 М-17. Кроме того, самолетостроительный завод №1 выпускал в основном стандартные Р-5, что способствовало массовой серии. 18 И-7, которые были сданы ВВС за текущий год, являлись скорее загрузкой для сварочного производства и погоды не делали. Выпускаемые параллельно со стандартным разведчиком штурмовики Р-5Ш отличались установкой четырех дополнительных пулеметов ПВ-1. Пулеметы устанавливались попарно в специальных обтекателях на нижнем крыле (5016).</w:t>
      </w:r>
    </w:p>
    <w:p w14:paraId="7B87578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23584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построили два самолета: Р-5 №4681 - разрезное крыло-1 и Р-5 №5563 - разрезное крыло-2. В процессе испытаний было получено снижение посадочной скорости до 70 км/час, полетные углы без срыва составили 20". Возрос потолок, полетная скорость несколько снизилась. В серию однако новое крыло не пошло, т.к. считалось, что Р-5 в неизмененном виде обладает удовлетворительными посадочными характеристиками, а также устойчивостью и управляемостью.</w:t>
      </w:r>
    </w:p>
    <w:p w14:paraId="2A374D1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на Р-5 №4681 испытывались выливные авиационные приборы (ВАП) конструкции инженера Вахмистрова (5016).</w:t>
      </w:r>
    </w:p>
    <w:p w14:paraId="2694F1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B12D0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по инициативе НИИ ВВС на заводе №1 конструктор В.В. Никитин выполнил разработку Р-5 в варианте торпедоносца Р-5Т. Самолет стал одноместным, переделке подверглись стойки шасси, которые были разнесены с целью освобождения подфюзеляжного пространства. Торпеда ТАН-12 подвешивалась на усиленном держателе ДЁР-13. В феврале 1934 года Р-5Т выполнил два полета с Ходынского аэродрома. Затем последовали быстрые госиспытания в НИИ ВВС, а уже в марте самолет отправили для опробования на Черноморский флот, в Севастополь. Всего выпустили 50 серийных Р-5Т, которые были отправлены на Черное море, Балтику и Дальний Восток.</w:t>
      </w:r>
    </w:p>
    <w:p w14:paraId="5BD63E9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Торпедоносцы Р-5Т находились на вооружении флотов вплоть до 1941 г. В 1939 году на Тихоокеанском флоте числилось 29 таких машин, в 1940 г. там имелся 21 самолет типа Р-5Т (5016).</w:t>
      </w:r>
    </w:p>
    <w:p w14:paraId="452C944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A423F9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завод 1 по конструкции В.В.Никитина сделал колесный Р-5Т (торпедоносец), который имел более высокое шасси (92,422).</w:t>
      </w:r>
    </w:p>
    <w:p w14:paraId="3A8D5F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ТБ-3 (АНТ-6) выпускался с 1933 и на 18 заводе (71,169).</w:t>
      </w:r>
    </w:p>
    <w:p w14:paraId="5C8B7E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E81D2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1933 г. завод № 1 И-5 уже не строил, весь выпуск обеспечивало предприятие в Горьком (так в 1932 г. переименовали Нижний Новгород), немного не дотянувшее до плановой цифры, - 350 машин. "Звёздный час" И-5 оказался недолог. Авиационная техника развивалась в те годы невиданными темпами, и летом 1933 г. на испытания вышло уже новое поколение советских истребителей. Биплан И-15, сконструированный тем же Н.Н. Поликарповым как развитие концепции И-5 на базе проекта И-13, намного превосходил своего предшественника. Но ещё важнее было появление машин совершенно нового класса: скоростных истребителей-монопланов. И-14 П.О. Сухого и И-16 Н.Н. Поликарпова стали "первыми ласточками" так называемой "новой волны". Аналогичный процесс шёл и на Западе. В 1933 - 1934 гг. там были созданы новые истребители-бипланы (например, Хейнкель Не 51 и ФИАТ CR.32), намного превосходившие по своим данным ровесников И-5. А через год-два в различных странах появились скоростные истребители- монопланы: Хоукер "Харрикейн" в Англии, Мессершмитт Bf 109 в Германии, Северский Р-35 в США Ценность И-5 как истребителя стремительно падала. Это отразилось на планах его производства. Первоначально намеченное количество в 450 машин снизили до 360, а вместо них в план вошли И-Зет, И-14, И-15 и И-16. На самом деле завод № 21 за 1934 г. построил ещё меньше - 330 И-5.</w:t>
      </w:r>
    </w:p>
    <w:p w14:paraId="05862F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Серийное производство И-5 (по данным В.П. Иванова)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F26F01" w:rsidRPr="00C33834" w14:paraId="47AFBAA2" w14:textId="77777777">
        <w:tc>
          <w:tcPr>
            <w:tcW w:w="1601" w:type="dxa"/>
            <w:tcBorders>
              <w:top w:val="single" w:sz="12" w:space="0" w:color="auto"/>
            </w:tcBorders>
          </w:tcPr>
          <w:p w14:paraId="07D869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1463DC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1930 г.</w:t>
            </w:r>
          </w:p>
        </w:tc>
        <w:tc>
          <w:tcPr>
            <w:tcW w:w="1601" w:type="dxa"/>
            <w:tcBorders>
              <w:top w:val="single" w:sz="12" w:space="0" w:color="auto"/>
            </w:tcBorders>
          </w:tcPr>
          <w:p w14:paraId="560FC2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1931 г.</w:t>
            </w:r>
          </w:p>
        </w:tc>
        <w:tc>
          <w:tcPr>
            <w:tcW w:w="1601" w:type="dxa"/>
            <w:tcBorders>
              <w:top w:val="single" w:sz="12" w:space="0" w:color="auto"/>
            </w:tcBorders>
          </w:tcPr>
          <w:p w14:paraId="3595DC2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1932 г.</w:t>
            </w:r>
          </w:p>
        </w:tc>
        <w:tc>
          <w:tcPr>
            <w:tcW w:w="1601" w:type="dxa"/>
            <w:tcBorders>
              <w:top w:val="single" w:sz="12" w:space="0" w:color="auto"/>
            </w:tcBorders>
          </w:tcPr>
          <w:p w14:paraId="512B77F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 г.</w:t>
            </w:r>
          </w:p>
        </w:tc>
        <w:tc>
          <w:tcPr>
            <w:tcW w:w="1601" w:type="dxa"/>
            <w:tcBorders>
              <w:top w:val="single" w:sz="12" w:space="0" w:color="auto"/>
            </w:tcBorders>
          </w:tcPr>
          <w:p w14:paraId="0BA5461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1934 г.</w:t>
            </w:r>
          </w:p>
        </w:tc>
        <w:tc>
          <w:tcPr>
            <w:tcW w:w="1601" w:type="dxa"/>
            <w:tcBorders>
              <w:top w:val="single" w:sz="12" w:space="0" w:color="auto"/>
            </w:tcBorders>
          </w:tcPr>
          <w:p w14:paraId="5E7EF5F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r>
      <w:tr w:rsidR="00F26F01" w:rsidRPr="00C33834" w14:paraId="1F5A5278" w14:textId="77777777">
        <w:tc>
          <w:tcPr>
            <w:tcW w:w="1601" w:type="dxa"/>
          </w:tcPr>
          <w:p w14:paraId="3B97BCE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39</w:t>
            </w:r>
          </w:p>
        </w:tc>
        <w:tc>
          <w:tcPr>
            <w:tcW w:w="1601" w:type="dxa"/>
          </w:tcPr>
          <w:p w14:paraId="4735F0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1601" w:type="dxa"/>
          </w:tcPr>
          <w:p w14:paraId="7B53C7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1601" w:type="dxa"/>
          </w:tcPr>
          <w:p w14:paraId="582B9C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01" w:type="dxa"/>
          </w:tcPr>
          <w:p w14:paraId="1C24D26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01" w:type="dxa"/>
          </w:tcPr>
          <w:p w14:paraId="4BA7EA2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3CE608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r>
      <w:tr w:rsidR="00F26F01" w:rsidRPr="00C33834" w14:paraId="62A7A612" w14:textId="77777777">
        <w:tc>
          <w:tcPr>
            <w:tcW w:w="1601" w:type="dxa"/>
          </w:tcPr>
          <w:p w14:paraId="671A923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I</w:t>
            </w:r>
          </w:p>
        </w:tc>
        <w:tc>
          <w:tcPr>
            <w:tcW w:w="1601" w:type="dxa"/>
          </w:tcPr>
          <w:p w14:paraId="01694D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01" w:type="dxa"/>
          </w:tcPr>
          <w:p w14:paraId="3FD8E14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w:t>
            </w:r>
          </w:p>
        </w:tc>
        <w:tc>
          <w:tcPr>
            <w:tcW w:w="1601" w:type="dxa"/>
          </w:tcPr>
          <w:p w14:paraId="7E46ED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w:t>
            </w:r>
          </w:p>
        </w:tc>
        <w:tc>
          <w:tcPr>
            <w:tcW w:w="1601" w:type="dxa"/>
          </w:tcPr>
          <w:p w14:paraId="02021BD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01" w:type="dxa"/>
          </w:tcPr>
          <w:p w14:paraId="25F2DF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01" w:type="dxa"/>
          </w:tcPr>
          <w:p w14:paraId="7172F82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142</w:t>
            </w:r>
          </w:p>
        </w:tc>
      </w:tr>
      <w:tr w:rsidR="00F26F01" w:rsidRPr="00C33834" w14:paraId="2DDBE3FB" w14:textId="77777777">
        <w:tc>
          <w:tcPr>
            <w:tcW w:w="1601" w:type="dxa"/>
          </w:tcPr>
          <w:p w14:paraId="549AE4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21</w:t>
            </w:r>
          </w:p>
        </w:tc>
        <w:tc>
          <w:tcPr>
            <w:tcW w:w="1601" w:type="dxa"/>
          </w:tcPr>
          <w:p w14:paraId="553F7B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01" w:type="dxa"/>
          </w:tcPr>
          <w:p w14:paraId="7F6AE1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1601" w:type="dxa"/>
          </w:tcPr>
          <w:p w14:paraId="424CE31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10</w:t>
            </w:r>
          </w:p>
        </w:tc>
        <w:tc>
          <w:tcPr>
            <w:tcW w:w="1601" w:type="dxa"/>
          </w:tcPr>
          <w:p w14:paraId="1AB009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321</w:t>
            </w:r>
          </w:p>
        </w:tc>
        <w:tc>
          <w:tcPr>
            <w:tcW w:w="1601" w:type="dxa"/>
          </w:tcPr>
          <w:p w14:paraId="6E58E8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330</w:t>
            </w:r>
          </w:p>
        </w:tc>
        <w:tc>
          <w:tcPr>
            <w:tcW w:w="1601" w:type="dxa"/>
          </w:tcPr>
          <w:p w14:paraId="63CC40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661</w:t>
            </w:r>
          </w:p>
        </w:tc>
      </w:tr>
      <w:tr w:rsidR="00F26F01" w:rsidRPr="00C33834" w14:paraId="148B7D49" w14:textId="77777777">
        <w:tc>
          <w:tcPr>
            <w:tcW w:w="1601" w:type="dxa"/>
            <w:tcBorders>
              <w:bottom w:val="single" w:sz="12" w:space="0" w:color="auto"/>
            </w:tcBorders>
          </w:tcPr>
          <w:p w14:paraId="67C5E7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1601" w:type="dxa"/>
            <w:tcBorders>
              <w:bottom w:val="single" w:sz="12" w:space="0" w:color="auto"/>
            </w:tcBorders>
          </w:tcPr>
          <w:p w14:paraId="2E5A989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bottom w:val="single" w:sz="12" w:space="0" w:color="auto"/>
            </w:tcBorders>
          </w:tcPr>
          <w:p w14:paraId="649C88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70</w:t>
            </w:r>
          </w:p>
        </w:tc>
        <w:tc>
          <w:tcPr>
            <w:tcW w:w="1601" w:type="dxa"/>
            <w:tcBorders>
              <w:bottom w:val="single" w:sz="12" w:space="0" w:color="auto"/>
            </w:tcBorders>
          </w:tcPr>
          <w:p w14:paraId="643390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86</w:t>
            </w:r>
          </w:p>
        </w:tc>
        <w:tc>
          <w:tcPr>
            <w:tcW w:w="1601" w:type="dxa"/>
            <w:tcBorders>
              <w:bottom w:val="single" w:sz="12" w:space="0" w:color="auto"/>
            </w:tcBorders>
          </w:tcPr>
          <w:p w14:paraId="294A37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321</w:t>
            </w:r>
          </w:p>
        </w:tc>
        <w:tc>
          <w:tcPr>
            <w:tcW w:w="1601" w:type="dxa"/>
            <w:tcBorders>
              <w:bottom w:val="single" w:sz="12" w:space="0" w:color="auto"/>
            </w:tcBorders>
          </w:tcPr>
          <w:p w14:paraId="1F52075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330</w:t>
            </w:r>
          </w:p>
        </w:tc>
        <w:tc>
          <w:tcPr>
            <w:tcW w:w="1601" w:type="dxa"/>
            <w:tcBorders>
              <w:bottom w:val="single" w:sz="12" w:space="0" w:color="auto"/>
            </w:tcBorders>
          </w:tcPr>
          <w:p w14:paraId="28EFDA0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815</w:t>
            </w:r>
          </w:p>
        </w:tc>
      </w:tr>
    </w:tbl>
    <w:p w14:paraId="465204F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(11997).</w:t>
      </w:r>
    </w:p>
    <w:p w14:paraId="5395D22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5ABC1CA"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каких либо ощутимых измене</w:t>
      </w:r>
      <w:r w:rsidRPr="00C33834">
        <w:rPr>
          <w:rFonts w:ascii="Times New Roman" w:hAnsi="Times New Roman"/>
          <w:color w:val="000000" w:themeColor="text1"/>
          <w:sz w:val="16"/>
          <w:szCs w:val="16"/>
        </w:rPr>
        <w:softHyphen/>
        <w:t>ний в судьбе советского «Хейнкеля» не про</w:t>
      </w:r>
      <w:r w:rsidRPr="00C33834">
        <w:rPr>
          <w:rFonts w:ascii="Times New Roman" w:hAnsi="Times New Roman"/>
          <w:color w:val="000000" w:themeColor="text1"/>
          <w:sz w:val="16"/>
          <w:szCs w:val="16"/>
        </w:rPr>
        <w:softHyphen/>
        <w:t>изошло. Хотя производство И-5 уже полно</w:t>
      </w:r>
      <w:r w:rsidRPr="00C33834">
        <w:rPr>
          <w:rFonts w:ascii="Times New Roman" w:hAnsi="Times New Roman"/>
          <w:color w:val="000000" w:themeColor="text1"/>
          <w:sz w:val="16"/>
          <w:szCs w:val="16"/>
        </w:rPr>
        <w:softHyphen/>
        <w:t>стью перенесли в Нижний Новгород, на уве</w:t>
      </w:r>
      <w:r w:rsidRPr="00C33834">
        <w:rPr>
          <w:rFonts w:ascii="Times New Roman" w:hAnsi="Times New Roman"/>
          <w:color w:val="000000" w:themeColor="text1"/>
          <w:sz w:val="16"/>
          <w:szCs w:val="16"/>
        </w:rPr>
        <w:softHyphen/>
        <w:t>личении выпуска И-7 это событие особенно не сказалось. Авиазавод №1 за текущий год построил всего 15 машин этого типа. Часть самолетов в ходе производства подвергалась незначительным изменениям: перекомпоно</w:t>
      </w:r>
      <w:r w:rsidRPr="00C33834">
        <w:rPr>
          <w:rFonts w:ascii="Times New Roman" w:hAnsi="Times New Roman"/>
          <w:color w:val="000000" w:themeColor="text1"/>
          <w:sz w:val="16"/>
          <w:szCs w:val="16"/>
        </w:rPr>
        <w:softHyphen/>
        <w:t>вали приборное оборудование, передвинули вперед ручку управления для удобства поки</w:t>
      </w:r>
      <w:r w:rsidRPr="00C33834">
        <w:rPr>
          <w:rFonts w:ascii="Times New Roman" w:hAnsi="Times New Roman"/>
          <w:color w:val="000000" w:themeColor="text1"/>
          <w:sz w:val="16"/>
          <w:szCs w:val="16"/>
        </w:rPr>
        <w:softHyphen/>
        <w:t>дания с парашютом, увеличили угол накло</w:t>
      </w:r>
      <w:r w:rsidRPr="00C33834">
        <w:rPr>
          <w:rFonts w:ascii="Times New Roman" w:hAnsi="Times New Roman"/>
          <w:color w:val="000000" w:themeColor="text1"/>
          <w:sz w:val="16"/>
          <w:szCs w:val="16"/>
        </w:rPr>
        <w:softHyphen/>
        <w:t>на козырька пилота для уменьшения задува</w:t>
      </w:r>
      <w:r w:rsidRPr="00C33834">
        <w:rPr>
          <w:rFonts w:ascii="Times New Roman" w:hAnsi="Times New Roman"/>
          <w:color w:val="000000" w:themeColor="text1"/>
          <w:sz w:val="16"/>
          <w:szCs w:val="16"/>
        </w:rPr>
        <w:softHyphen/>
        <w:t>ния в кабине.</w:t>
      </w:r>
    </w:p>
    <w:p w14:paraId="19362EE3"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Более серьезным нововведением могла стать установка хвостового оперения дюра</w:t>
      </w:r>
      <w:r w:rsidRPr="00C33834">
        <w:rPr>
          <w:rFonts w:ascii="Times New Roman" w:hAnsi="Times New Roman"/>
          <w:color w:val="000000" w:themeColor="text1"/>
          <w:sz w:val="16"/>
          <w:szCs w:val="16"/>
        </w:rPr>
        <w:softHyphen/>
        <w:t>люминиевой конструкции. Диагональный силовой набор (змейкой) заменялся при этом обычными нервюрами, расположенными по потоку (12295).</w:t>
      </w:r>
    </w:p>
    <w:p w14:paraId="4EB17F66" w14:textId="77777777" w:rsidR="000904A1" w:rsidRPr="00C33834" w:rsidRDefault="000904A1" w:rsidP="00C33834">
      <w:pPr>
        <w:spacing w:after="0" w:line="240" w:lineRule="auto"/>
        <w:jc w:val="both"/>
        <w:rPr>
          <w:rFonts w:ascii="Times New Roman" w:hAnsi="Times New Roman"/>
          <w:color w:val="000000" w:themeColor="text1"/>
          <w:sz w:val="16"/>
          <w:szCs w:val="16"/>
        </w:rPr>
      </w:pPr>
    </w:p>
    <w:p w14:paraId="0A714A18" w14:textId="77777777" w:rsidR="000904A1" w:rsidRPr="00C33834" w:rsidRDefault="000904A1" w:rsidP="00C33834">
      <w:pPr>
        <w:pStyle w:val="49"/>
        <w:shd w:val="clear" w:color="auto" w:fill="auto"/>
        <w:spacing w:before="0" w:line="240" w:lineRule="auto"/>
        <w:jc w:val="both"/>
        <w:rPr>
          <w:rFonts w:ascii="Times New Roman" w:hAnsi="Times New Roman"/>
          <w:color w:val="000000" w:themeColor="text1"/>
          <w:spacing w:val="0"/>
          <w:sz w:val="16"/>
          <w:szCs w:val="16"/>
        </w:rPr>
      </w:pPr>
      <w:r w:rsidRPr="00C33834">
        <w:rPr>
          <w:rFonts w:ascii="Times New Roman" w:hAnsi="Times New Roman"/>
          <w:color w:val="000000" w:themeColor="text1"/>
          <w:spacing w:val="0"/>
          <w:sz w:val="16"/>
          <w:szCs w:val="16"/>
        </w:rPr>
        <w:t>1933 Краткое техническое описание самолета И-7 с мотором М-17 (Составлено по изданию УВВС РККА 1933 г.)</w:t>
      </w:r>
    </w:p>
    <w:p w14:paraId="37342C9F"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Предназначенный для армейской службы в ка</w:t>
      </w:r>
      <w:r w:rsidRPr="00C33834">
        <w:rPr>
          <w:rFonts w:ascii="Times New Roman" w:hAnsi="Times New Roman"/>
          <w:color w:val="000000" w:themeColor="text1"/>
          <w:sz w:val="16"/>
          <w:szCs w:val="16"/>
        </w:rPr>
        <w:softHyphen/>
        <w:t>честве самолета-истребителя, И-7 конструк</w:t>
      </w:r>
      <w:r w:rsidRPr="00C33834">
        <w:rPr>
          <w:rFonts w:ascii="Times New Roman" w:hAnsi="Times New Roman"/>
          <w:color w:val="000000" w:themeColor="text1"/>
          <w:sz w:val="16"/>
          <w:szCs w:val="16"/>
        </w:rPr>
        <w:softHyphen/>
        <w:t>тивно представляет собой классический обра</w:t>
      </w:r>
      <w:r w:rsidRPr="00C33834">
        <w:rPr>
          <w:rFonts w:ascii="Times New Roman" w:hAnsi="Times New Roman"/>
          <w:color w:val="000000" w:themeColor="text1"/>
          <w:sz w:val="16"/>
          <w:szCs w:val="16"/>
        </w:rPr>
        <w:softHyphen/>
        <w:t>зец смешанной конструкции. Основа фюзе</w:t>
      </w:r>
      <w:r w:rsidRPr="00C33834">
        <w:rPr>
          <w:rFonts w:ascii="Times New Roman" w:hAnsi="Times New Roman"/>
          <w:color w:val="000000" w:themeColor="text1"/>
          <w:sz w:val="16"/>
          <w:szCs w:val="16"/>
        </w:rPr>
        <w:softHyphen/>
        <w:t>ляжа — сварная пространственная ферма из стальных хромомолибденовых труб марки «М». Необходимую жесткость ферме обеспе</w:t>
      </w:r>
      <w:r w:rsidRPr="00C33834">
        <w:rPr>
          <w:rFonts w:ascii="Times New Roman" w:hAnsi="Times New Roman"/>
          <w:color w:val="000000" w:themeColor="text1"/>
          <w:sz w:val="16"/>
          <w:szCs w:val="16"/>
        </w:rPr>
        <w:softHyphen/>
        <w:t>чивали стальные проволочные расчалки. В но</w:t>
      </w:r>
      <w:r w:rsidRPr="00C33834">
        <w:rPr>
          <w:rFonts w:ascii="Times New Roman" w:hAnsi="Times New Roman"/>
          <w:color w:val="000000" w:themeColor="text1"/>
          <w:sz w:val="16"/>
          <w:szCs w:val="16"/>
        </w:rPr>
        <w:softHyphen/>
        <w:t>совой части ферма фюзеляжа усиливалась мо</w:t>
      </w:r>
      <w:r w:rsidRPr="00C33834">
        <w:rPr>
          <w:rFonts w:ascii="Times New Roman" w:hAnsi="Times New Roman"/>
          <w:color w:val="000000" w:themeColor="text1"/>
          <w:sz w:val="16"/>
          <w:szCs w:val="16"/>
        </w:rPr>
        <w:softHyphen/>
        <w:t>торамой, на которой жестко крепился двига</w:t>
      </w:r>
      <w:r w:rsidRPr="00C33834">
        <w:rPr>
          <w:rFonts w:ascii="Times New Roman" w:hAnsi="Times New Roman"/>
          <w:color w:val="000000" w:themeColor="text1"/>
          <w:sz w:val="16"/>
          <w:szCs w:val="16"/>
        </w:rPr>
        <w:softHyphen/>
        <w:t>тель М-17 (ВМ\У-У1). Двигатель закрывался дюралюминиевым капотом со съемными бо</w:t>
      </w:r>
      <w:r w:rsidRPr="00C33834">
        <w:rPr>
          <w:rFonts w:ascii="Times New Roman" w:hAnsi="Times New Roman"/>
          <w:color w:val="000000" w:themeColor="text1"/>
          <w:sz w:val="16"/>
          <w:szCs w:val="16"/>
        </w:rPr>
        <w:softHyphen/>
        <w:t>ковинами. В нижней части капота был распо</w:t>
      </w:r>
      <w:r w:rsidRPr="00C33834">
        <w:rPr>
          <w:rFonts w:ascii="Times New Roman" w:hAnsi="Times New Roman"/>
          <w:color w:val="000000" w:themeColor="text1"/>
          <w:sz w:val="16"/>
          <w:szCs w:val="16"/>
        </w:rPr>
        <w:softHyphen/>
        <w:t>ложен радиатор водяного охлаждения, уста</w:t>
      </w:r>
      <w:r w:rsidRPr="00C33834">
        <w:rPr>
          <w:rFonts w:ascii="Times New Roman" w:hAnsi="Times New Roman"/>
          <w:color w:val="000000" w:themeColor="text1"/>
          <w:sz w:val="16"/>
          <w:szCs w:val="16"/>
        </w:rPr>
        <w:softHyphen/>
        <w:t>новленный под углом 45° к направлению по</w:t>
      </w:r>
      <w:r w:rsidRPr="00C33834">
        <w:rPr>
          <w:rFonts w:ascii="Times New Roman" w:hAnsi="Times New Roman"/>
          <w:color w:val="000000" w:themeColor="text1"/>
          <w:sz w:val="16"/>
          <w:szCs w:val="16"/>
        </w:rPr>
        <w:softHyphen/>
        <w:t>лета. Радиатор собирался из латунных трубок длиной 237 мм и имел постоянную ширину 713 мм. Для регулировки охлаждения перед фрон</w:t>
      </w:r>
      <w:r w:rsidRPr="00C33834">
        <w:rPr>
          <w:rFonts w:ascii="Times New Roman" w:hAnsi="Times New Roman"/>
          <w:color w:val="000000" w:themeColor="text1"/>
          <w:sz w:val="16"/>
          <w:szCs w:val="16"/>
        </w:rPr>
        <w:softHyphen/>
        <w:t>тальной поверхностью радиатора имелись под</w:t>
      </w:r>
      <w:r w:rsidRPr="00C33834">
        <w:rPr>
          <w:rFonts w:ascii="Times New Roman" w:hAnsi="Times New Roman"/>
          <w:color w:val="000000" w:themeColor="text1"/>
          <w:sz w:val="16"/>
          <w:szCs w:val="16"/>
        </w:rPr>
        <w:softHyphen/>
        <w:t>вижные створки, управляемые из кабины пи</w:t>
      </w:r>
      <w:r w:rsidRPr="00C33834">
        <w:rPr>
          <w:rFonts w:ascii="Times New Roman" w:hAnsi="Times New Roman"/>
          <w:color w:val="000000" w:themeColor="text1"/>
          <w:sz w:val="16"/>
          <w:szCs w:val="16"/>
        </w:rPr>
        <w:softHyphen/>
        <w:t>лота. В нижней части радиатора размещался кран для слива воды, который закрывался ха</w:t>
      </w:r>
      <w:r w:rsidRPr="00C33834">
        <w:rPr>
          <w:rFonts w:ascii="Times New Roman" w:hAnsi="Times New Roman"/>
          <w:color w:val="000000" w:themeColor="text1"/>
          <w:sz w:val="16"/>
          <w:szCs w:val="16"/>
        </w:rPr>
        <w:softHyphen/>
        <w:t>рактерным каплевидным обтекателем.</w:t>
      </w:r>
    </w:p>
    <w:p w14:paraId="67A0A88D"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 капотом двигателя дюралевая обшив</w:t>
      </w:r>
      <w:r w:rsidRPr="00C33834">
        <w:rPr>
          <w:rFonts w:ascii="Times New Roman" w:hAnsi="Times New Roman"/>
          <w:color w:val="000000" w:themeColor="text1"/>
          <w:sz w:val="16"/>
          <w:szCs w:val="16"/>
        </w:rPr>
        <w:softHyphen/>
        <w:t>ка в верхней части фюзеляжа продолжалась до кабины пилота включительно. Борта фю</w:t>
      </w:r>
      <w:r w:rsidRPr="00C33834">
        <w:rPr>
          <w:rFonts w:ascii="Times New Roman" w:hAnsi="Times New Roman"/>
          <w:color w:val="000000" w:themeColor="text1"/>
          <w:sz w:val="16"/>
          <w:szCs w:val="16"/>
        </w:rPr>
        <w:softHyphen/>
        <w:t>зеляжа, начиная от первого шпангоута, об</w:t>
      </w:r>
      <w:r w:rsidRPr="00C33834">
        <w:rPr>
          <w:rFonts w:ascii="Times New Roman" w:hAnsi="Times New Roman"/>
          <w:color w:val="000000" w:themeColor="text1"/>
          <w:sz w:val="16"/>
          <w:szCs w:val="16"/>
        </w:rPr>
        <w:softHyphen/>
        <w:t>шивались полотном. Для крепления полот</w:t>
      </w:r>
      <w:r w:rsidRPr="00C33834">
        <w:rPr>
          <w:rFonts w:ascii="Times New Roman" w:hAnsi="Times New Roman"/>
          <w:color w:val="000000" w:themeColor="text1"/>
          <w:sz w:val="16"/>
          <w:szCs w:val="16"/>
        </w:rPr>
        <w:softHyphen/>
        <w:t>няной обшивки ферма имела дополнитель</w:t>
      </w:r>
      <w:r w:rsidRPr="00C33834">
        <w:rPr>
          <w:rFonts w:ascii="Times New Roman" w:hAnsi="Times New Roman"/>
          <w:color w:val="000000" w:themeColor="text1"/>
          <w:sz w:val="16"/>
          <w:szCs w:val="16"/>
        </w:rPr>
        <w:softHyphen/>
        <w:t>ные стрингеры, которые придавали фюзе</w:t>
      </w:r>
      <w:r w:rsidRPr="00C33834">
        <w:rPr>
          <w:rFonts w:ascii="Times New Roman" w:hAnsi="Times New Roman"/>
          <w:color w:val="000000" w:themeColor="text1"/>
          <w:sz w:val="16"/>
          <w:szCs w:val="16"/>
        </w:rPr>
        <w:softHyphen/>
        <w:t>ляжу в законченном виде «ребристый» вид. Чистота этих линий прерывалась нескольки</w:t>
      </w:r>
      <w:r w:rsidRPr="00C33834">
        <w:rPr>
          <w:rFonts w:ascii="Times New Roman" w:hAnsi="Times New Roman"/>
          <w:color w:val="000000" w:themeColor="text1"/>
          <w:sz w:val="16"/>
          <w:szCs w:val="16"/>
        </w:rPr>
        <w:softHyphen/>
        <w:t>ми эксплуатационными люками, предназна</w:t>
      </w:r>
      <w:r w:rsidRPr="00C33834">
        <w:rPr>
          <w:rFonts w:ascii="Times New Roman" w:hAnsi="Times New Roman"/>
          <w:color w:val="000000" w:themeColor="text1"/>
          <w:sz w:val="16"/>
          <w:szCs w:val="16"/>
        </w:rPr>
        <w:softHyphen/>
        <w:t>ченным для подхода к управлению, костылю, фото- и радиооборудованию.</w:t>
      </w:r>
    </w:p>
    <w:p w14:paraId="196F0C6E"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Бипланная коробка крыльев И-7 собира</w:t>
      </w:r>
      <w:r w:rsidRPr="00C33834">
        <w:rPr>
          <w:rFonts w:ascii="Times New Roman" w:hAnsi="Times New Roman"/>
          <w:color w:val="000000" w:themeColor="text1"/>
          <w:sz w:val="16"/>
          <w:szCs w:val="16"/>
        </w:rPr>
        <w:softHyphen/>
        <w:t>лась по распространенной схеме и крепилась к ферме фюзеляжа. Девая и правая половины верхнего крыла соединялись с небольшим центропланом, половины нижнего крыла стыковались с нижним лонжероном фюзе</w:t>
      </w:r>
      <w:r w:rsidRPr="00C33834">
        <w:rPr>
          <w:rFonts w:ascii="Times New Roman" w:hAnsi="Times New Roman"/>
          <w:color w:val="000000" w:themeColor="text1"/>
          <w:sz w:val="16"/>
          <w:szCs w:val="16"/>
        </w:rPr>
        <w:softHyphen/>
        <w:t>ляжа. Между собой верхнее и нижнее кры</w:t>
      </w:r>
      <w:r w:rsidRPr="00C33834">
        <w:rPr>
          <w:rFonts w:ascii="Times New Roman" w:hAnsi="Times New Roman"/>
          <w:color w:val="000000" w:themeColor="text1"/>
          <w:sz w:val="16"/>
          <w:szCs w:val="16"/>
        </w:rPr>
        <w:softHyphen/>
        <w:t>ло соединялись Ы-образными стойками, вы</w:t>
      </w:r>
      <w:r w:rsidRPr="00C33834">
        <w:rPr>
          <w:rFonts w:ascii="Times New Roman" w:hAnsi="Times New Roman"/>
          <w:color w:val="000000" w:themeColor="text1"/>
          <w:sz w:val="16"/>
          <w:szCs w:val="16"/>
        </w:rPr>
        <w:softHyphen/>
        <w:t>полненными из стальных труб каплевидного сечения. Необходимая жесткость всей систе</w:t>
      </w:r>
      <w:r w:rsidRPr="00C33834">
        <w:rPr>
          <w:rFonts w:ascii="Times New Roman" w:hAnsi="Times New Roman"/>
          <w:color w:val="000000" w:themeColor="text1"/>
          <w:sz w:val="16"/>
          <w:szCs w:val="16"/>
        </w:rPr>
        <w:softHyphen/>
        <w:t>мы достигалась ленточными расчалками.</w:t>
      </w:r>
    </w:p>
    <w:p w14:paraId="543C9E51"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Узлы соединения стоек с крылом прикры</w:t>
      </w:r>
      <w:r w:rsidRPr="00C33834">
        <w:rPr>
          <w:rFonts w:ascii="Times New Roman" w:hAnsi="Times New Roman"/>
          <w:color w:val="000000" w:themeColor="text1"/>
          <w:sz w:val="16"/>
          <w:szCs w:val="16"/>
        </w:rPr>
        <w:softHyphen/>
        <w:t>ты обтекателями. Конструкция обоих кры</w:t>
      </w:r>
      <w:r w:rsidRPr="00C33834">
        <w:rPr>
          <w:rFonts w:ascii="Times New Roman" w:hAnsi="Times New Roman"/>
          <w:color w:val="000000" w:themeColor="text1"/>
          <w:sz w:val="16"/>
          <w:szCs w:val="16"/>
        </w:rPr>
        <w:softHyphen/>
        <w:t>льев деревянная, двухлонжеронная. Про</w:t>
      </w:r>
      <w:r w:rsidRPr="00C33834">
        <w:rPr>
          <w:rFonts w:ascii="Times New Roman" w:hAnsi="Times New Roman"/>
          <w:color w:val="000000" w:themeColor="text1"/>
          <w:sz w:val="16"/>
          <w:szCs w:val="16"/>
        </w:rPr>
        <w:softHyphen/>
        <w:t>странство между лонжеронами для обеспече</w:t>
      </w:r>
      <w:r w:rsidRPr="00C33834">
        <w:rPr>
          <w:rFonts w:ascii="Times New Roman" w:hAnsi="Times New Roman"/>
          <w:color w:val="000000" w:themeColor="text1"/>
          <w:sz w:val="16"/>
          <w:szCs w:val="16"/>
        </w:rPr>
        <w:softHyphen/>
        <w:t>ния необходимой жесткости снизу зашива</w:t>
      </w:r>
      <w:r w:rsidRPr="00C33834">
        <w:rPr>
          <w:rFonts w:ascii="Times New Roman" w:hAnsi="Times New Roman"/>
          <w:color w:val="000000" w:themeColor="text1"/>
          <w:sz w:val="16"/>
          <w:szCs w:val="16"/>
        </w:rPr>
        <w:softHyphen/>
        <w:t>лось фанерой толщиной 1,0 мм.</w:t>
      </w:r>
    </w:p>
    <w:p w14:paraId="349278C5"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Элероны имелись на верхнем и нижнем крыле, они были сварены из тонких сталь</w:t>
      </w:r>
      <w:r w:rsidRPr="00C33834">
        <w:rPr>
          <w:rFonts w:ascii="Times New Roman" w:hAnsi="Times New Roman"/>
          <w:color w:val="000000" w:themeColor="text1"/>
          <w:sz w:val="16"/>
          <w:szCs w:val="16"/>
        </w:rPr>
        <w:softHyphen/>
        <w:t>ных труб с последующим покрытием полот</w:t>
      </w:r>
      <w:r w:rsidRPr="00C33834">
        <w:rPr>
          <w:rFonts w:ascii="Times New Roman" w:hAnsi="Times New Roman"/>
          <w:color w:val="000000" w:themeColor="text1"/>
          <w:sz w:val="16"/>
          <w:szCs w:val="16"/>
        </w:rPr>
        <w:softHyphen/>
        <w:t>ном. Непосредственно с управлением из ка</w:t>
      </w:r>
      <w:r w:rsidRPr="00C33834">
        <w:rPr>
          <w:rFonts w:ascii="Times New Roman" w:hAnsi="Times New Roman"/>
          <w:color w:val="000000" w:themeColor="text1"/>
          <w:sz w:val="16"/>
          <w:szCs w:val="16"/>
        </w:rPr>
        <w:softHyphen/>
        <w:t>бины связаны элероны нижнего крыла, вер</w:t>
      </w:r>
      <w:r w:rsidRPr="00C33834">
        <w:rPr>
          <w:rFonts w:ascii="Times New Roman" w:hAnsi="Times New Roman"/>
          <w:color w:val="000000" w:themeColor="text1"/>
          <w:sz w:val="16"/>
          <w:szCs w:val="16"/>
        </w:rPr>
        <w:softHyphen/>
        <w:t>хние элероны соединялись с нижними при помощи каплевидных труб.</w:t>
      </w:r>
    </w:p>
    <w:p w14:paraId="722FF441"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Шасси пирамидальной схемы из стальных труб круглого и профилированного сечения, центральная ось оснащена шарниром по оси самолета. Колея шасси 1,74 м, колеса разме</w:t>
      </w:r>
      <w:r w:rsidRPr="00C33834">
        <w:rPr>
          <w:rFonts w:ascii="Times New Roman" w:hAnsi="Times New Roman"/>
          <w:color w:val="000000" w:themeColor="text1"/>
          <w:sz w:val="16"/>
          <w:szCs w:val="16"/>
        </w:rPr>
        <w:softHyphen/>
        <w:t>ром 700x125 мм. Амортизаторы выполнены в виде пакета резиновых пластин, прикрытых дюралевым обтекателем. Костыль из сварной стальной трубы с приваренной в нижней ча</w:t>
      </w:r>
      <w:r w:rsidRPr="00C33834">
        <w:rPr>
          <w:rFonts w:ascii="Times New Roman" w:hAnsi="Times New Roman"/>
          <w:color w:val="000000" w:themeColor="text1"/>
          <w:sz w:val="16"/>
          <w:szCs w:val="16"/>
        </w:rPr>
        <w:softHyphen/>
        <w:t>сти пяткой для установки съемного башмака или «лыжонка». В период зимней эксплуата</w:t>
      </w:r>
      <w:r w:rsidRPr="00C33834">
        <w:rPr>
          <w:rFonts w:ascii="Times New Roman" w:hAnsi="Times New Roman"/>
          <w:color w:val="000000" w:themeColor="text1"/>
          <w:sz w:val="16"/>
          <w:szCs w:val="16"/>
        </w:rPr>
        <w:softHyphen/>
        <w:t>ции И-7 оборудовался деревянными лыжа</w:t>
      </w:r>
      <w:r w:rsidRPr="00C33834">
        <w:rPr>
          <w:rFonts w:ascii="Times New Roman" w:hAnsi="Times New Roman"/>
          <w:color w:val="000000" w:themeColor="text1"/>
          <w:sz w:val="16"/>
          <w:szCs w:val="16"/>
        </w:rPr>
        <w:softHyphen/>
        <w:t>ми обтекаемой формы, размером 1,97x0,4 м, с ясеневой подошвой толщиной 12 мм.</w:t>
      </w:r>
    </w:p>
    <w:p w14:paraId="34BA67E3"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Стрелковое вооружение самолета состояло из двух синхронных пулеметов ПВ-1, распо</w:t>
      </w:r>
      <w:r w:rsidRPr="00C33834">
        <w:rPr>
          <w:rFonts w:ascii="Times New Roman" w:hAnsi="Times New Roman"/>
          <w:color w:val="000000" w:themeColor="text1"/>
          <w:sz w:val="16"/>
          <w:szCs w:val="16"/>
        </w:rPr>
        <w:softHyphen/>
        <w:t>ложенных в верхней части фюзеляжа. Стре</w:t>
      </w:r>
      <w:r w:rsidRPr="00C33834">
        <w:rPr>
          <w:rFonts w:ascii="Times New Roman" w:hAnsi="Times New Roman"/>
          <w:color w:val="000000" w:themeColor="text1"/>
          <w:sz w:val="16"/>
          <w:szCs w:val="16"/>
        </w:rPr>
        <w:softHyphen/>
        <w:t>ляные гильзы выбрасывались наружу, отра</w:t>
      </w:r>
      <w:r w:rsidRPr="00C33834">
        <w:rPr>
          <w:rFonts w:ascii="Times New Roman" w:hAnsi="Times New Roman"/>
          <w:color w:val="000000" w:themeColor="text1"/>
          <w:sz w:val="16"/>
          <w:szCs w:val="16"/>
        </w:rPr>
        <w:softHyphen/>
        <w:t>ботанные звенья патронной ленты собира</w:t>
      </w:r>
      <w:r w:rsidRPr="00C33834">
        <w:rPr>
          <w:rFonts w:ascii="Times New Roman" w:hAnsi="Times New Roman"/>
          <w:color w:val="000000" w:themeColor="text1"/>
          <w:sz w:val="16"/>
          <w:szCs w:val="16"/>
        </w:rPr>
        <w:softHyphen/>
        <w:t>лись в специальные коробки. Прицеливание при стрельбе осуществлялось при помощи оптического прицела «Альдис» (ОП-1), по бокам которого имелись два кольцевых при</w:t>
      </w:r>
      <w:r w:rsidRPr="00C33834">
        <w:rPr>
          <w:rFonts w:ascii="Times New Roman" w:hAnsi="Times New Roman"/>
          <w:color w:val="000000" w:themeColor="text1"/>
          <w:sz w:val="16"/>
          <w:szCs w:val="16"/>
        </w:rPr>
        <w:softHyphen/>
        <w:t>цела КП-5.</w:t>
      </w:r>
    </w:p>
    <w:p w14:paraId="6E30361F"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 кабиной пилота располагался неболь</w:t>
      </w:r>
      <w:r w:rsidRPr="00C33834">
        <w:rPr>
          <w:rFonts w:ascii="Times New Roman" w:hAnsi="Times New Roman"/>
          <w:color w:val="000000" w:themeColor="text1"/>
          <w:sz w:val="16"/>
          <w:szCs w:val="16"/>
        </w:rPr>
        <w:softHyphen/>
        <w:t>шой отсек, оборудованный бомбодержате</w:t>
      </w:r>
      <w:r w:rsidRPr="00C33834">
        <w:rPr>
          <w:rFonts w:ascii="Times New Roman" w:hAnsi="Times New Roman"/>
          <w:color w:val="000000" w:themeColor="text1"/>
          <w:sz w:val="16"/>
          <w:szCs w:val="16"/>
        </w:rPr>
        <w:softHyphen/>
        <w:t>лями типа ДЕР-5 для подвески осколочных бомб весом 8 кг. В нижней обшивке фюзе</w:t>
      </w:r>
      <w:r w:rsidRPr="00C33834">
        <w:rPr>
          <w:rFonts w:ascii="Times New Roman" w:hAnsi="Times New Roman"/>
          <w:color w:val="000000" w:themeColor="text1"/>
          <w:sz w:val="16"/>
          <w:szCs w:val="16"/>
        </w:rPr>
        <w:softHyphen/>
        <w:t>ляжа для сброса бомб имелся двухстворча</w:t>
      </w:r>
      <w:r w:rsidRPr="00C33834">
        <w:rPr>
          <w:rFonts w:ascii="Times New Roman" w:hAnsi="Times New Roman"/>
          <w:color w:val="000000" w:themeColor="text1"/>
          <w:sz w:val="16"/>
          <w:szCs w:val="16"/>
        </w:rPr>
        <w:softHyphen/>
        <w:t>тый люк (12295).</w:t>
      </w:r>
    </w:p>
    <w:p w14:paraId="4A99281D" w14:textId="77777777" w:rsidR="000904A1" w:rsidRPr="00C33834" w:rsidRDefault="000904A1" w:rsidP="00C33834">
      <w:pPr>
        <w:spacing w:after="0" w:line="240" w:lineRule="auto"/>
        <w:jc w:val="both"/>
        <w:rPr>
          <w:rFonts w:ascii="Times New Roman" w:hAnsi="Times New Roman"/>
          <w:color w:val="000000" w:themeColor="text1"/>
          <w:sz w:val="16"/>
          <w:szCs w:val="16"/>
        </w:rPr>
      </w:pPr>
    </w:p>
    <w:p w14:paraId="70A4CD41"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лётчик К.К. Попов впервые провёл испытания И-14 на штопор. Испытание опыт</w:t>
      </w:r>
      <w:r w:rsidRPr="00C33834">
        <w:rPr>
          <w:rFonts w:ascii="Times New Roman" w:hAnsi="Times New Roman"/>
          <w:color w:val="000000" w:themeColor="text1"/>
          <w:sz w:val="16"/>
          <w:szCs w:val="16"/>
        </w:rPr>
        <w:softHyphen/>
        <w:t>ной машины соответствовало требованиям — максимальное запаздывание после четырёх витков составляло: правый штопор — 2,25 витка, левый — 2,5 витка. Отмечалось наличие двух режимов штопорения — крутого и приближающегося к плоскому, в зависимости от способа ввода. В Заключении указали способы вывода из того и другого типа штопора. Самолёт с полетной массой 1455 кг имел лыжное шасси и синхронный пулемёт (15823).</w:t>
      </w:r>
    </w:p>
    <w:p w14:paraId="7D6325F4" w14:textId="77777777" w:rsidR="00742DA3" w:rsidRPr="00C33834" w:rsidRDefault="00742DA3" w:rsidP="00C33834">
      <w:pPr>
        <w:spacing w:after="0" w:line="240" w:lineRule="auto"/>
        <w:jc w:val="both"/>
        <w:rPr>
          <w:rFonts w:ascii="Times New Roman" w:hAnsi="Times New Roman"/>
          <w:color w:val="000000" w:themeColor="text1"/>
          <w:sz w:val="16"/>
          <w:szCs w:val="16"/>
        </w:rPr>
      </w:pPr>
    </w:p>
    <w:p w14:paraId="5FB3FED8" w14:textId="77777777" w:rsidR="00F30A45" w:rsidRPr="00C33834" w:rsidRDefault="00F30A45"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В 1933 г. под руководством Александра Ивановича Путилова, занимавшегося созданием пассажирских самолётов из нержавеющей стали, был разработан «летающего крыла» XI («Сталь-5») с двумя двигателями М-34Ф мощностью по 860 л. с. Это была многоцелевая машина: её предполагалось использовать для распыления отравляющих веществ («химический боевик» по терминологии того времени), для доставки горючего или для перевозки 18 пассажиров. Размах крыла — 23 м, площадь — 120 м2, взлётный вес — около 8 т. В военном варианте XI мог брать 2 т боевой нагрузки, вооружение — 5 пулемётов, скорость — 250 км/ч, радиус действия — 600 км. Силовой набор самолёта — из стали, обшивка — фанерная. </w:t>
      </w:r>
    </w:p>
    <w:p w14:paraId="17449264" w14:textId="77777777" w:rsidR="00F30A45" w:rsidRPr="00C33834" w:rsidRDefault="00F30A45"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Для проверки лётных свойств машины в 1935 г. на заводе № 81 построили её экспериментальный варианте размахом крыла 6 м и двумя двигателями «Сальмсон» по 45 л. с. Это был одноместный бесхвостый моноплан с трапециевидным крылом, на концах которого находились «шайбы» вертикального оперения. К задней кромке крыла крепились элероны и рули высоты в виде подвесных закрылков перевёрнутого профиля. </w:t>
      </w:r>
    </w:p>
    <w:p w14:paraId="3CB0CBB6" w14:textId="77777777" w:rsidR="00F30A45" w:rsidRPr="00C33834" w:rsidRDefault="00F30A45"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За время непродолжительных испытаний выяснилось, что самолёт реагирует на малейшее движение ручки управления и летать на нём трудно. В результате Путилов отказался от постройки большого «летающего крыла». Изготовленный для него лонжерон экспонировался в Политехническом музее в Москве. </w:t>
      </w:r>
    </w:p>
    <w:p w14:paraId="6583E699" w14:textId="77777777" w:rsidR="00F30A45" w:rsidRPr="00C33834" w:rsidRDefault="00F30A45" w:rsidP="00C33834">
      <w:pPr>
        <w:spacing w:after="0" w:line="240" w:lineRule="auto"/>
        <w:jc w:val="both"/>
        <w:rPr>
          <w:rFonts w:ascii="Times New Roman" w:eastAsia="Times New Roman" w:hAnsi="Times New Roman"/>
          <w:color w:val="000000" w:themeColor="text1"/>
          <w:sz w:val="16"/>
          <w:szCs w:val="16"/>
          <w:lang w:eastAsia="ru-RU"/>
        </w:rPr>
      </w:pPr>
    </w:p>
    <w:p w14:paraId="1032617D" w14:textId="77777777" w:rsidR="00F30A45" w:rsidRPr="00C33834" w:rsidRDefault="00F30A45"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В 1933 г. при участии студентов преподаватель Московского авиационного института инженер Аркадий Львович Гиммельфарб разработал проект одномоторного четырёхместного электронного самолёта Э-1. Производственную поддержку энтузиасты из МАИ нашли в лице директора ГАЗ № 1 А.М. Беленковича. На этом старейшем московском авиазаводе с 1930 г. вели опыты по изготовлению деталей из электрона. К 1933 г. там были освоены методы плавки и литья магниевых сплавов под флюсом, выпущены первые листы из электрона и детали из этого материала, вёлся поиск химических методов защиты от коррозии. Так как магниевые изделия очень хрупки, каждый раз перед обработкой их приходилось нагревать для повышения пластичности. Работы велись в одном из цехов завода в небольшой мастерской, где трудились всего пять человек: три медника, один мастер и один техник.</w:t>
      </w:r>
    </w:p>
    <w:p w14:paraId="77D2AD15" w14:textId="77777777" w:rsidR="00F30A45" w:rsidRPr="00C33834" w:rsidRDefault="00F30A45"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Участник работ И.И. Аврутин пишет: «В этой мастерской учились нагревать паяльными лампами листовой электрон (вначале по неопытности пережигали материал), загибать уголки и, наконец, начали изготовлять кницы, уголки и обводы нервюры крыла для статических испытаний.</w:t>
      </w:r>
    </w:p>
    <w:p w14:paraId="6846F311" w14:textId="77777777" w:rsidR="00F30A45" w:rsidRPr="00C33834" w:rsidRDefault="00F30A45"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Попутно с организацией мастерских в Московском авиационном институте конструкторская группа (в большинстве своём состоявшая из студентов) заканчивала разработку первого в истории авиации нашего Союза цельноэлектронного самолёта. Вся работа была построена по принципу кооперации, на что имелись официальные договоры, заключенные между участниками» </w:t>
      </w:r>
      <w:hyperlink r:id="rId434" w:history="1">
        <w:r w:rsidRPr="00C33834">
          <w:rPr>
            <w:rFonts w:ascii="Times New Roman" w:eastAsia="Times New Roman" w:hAnsi="Times New Roman"/>
            <w:color w:val="000000" w:themeColor="text1"/>
            <w:sz w:val="16"/>
            <w:szCs w:val="16"/>
            <w:lang w:eastAsia="ru-RU"/>
          </w:rPr>
          <w:t>[146]</w:t>
        </w:r>
      </w:hyperlink>
      <w:r w:rsidRPr="00C33834">
        <w:rPr>
          <w:rFonts w:ascii="Times New Roman" w:eastAsia="Times New Roman" w:hAnsi="Times New Roman"/>
          <w:color w:val="000000" w:themeColor="text1"/>
          <w:sz w:val="16"/>
          <w:szCs w:val="16"/>
          <w:lang w:eastAsia="ru-RU"/>
        </w:rPr>
        <w:t xml:space="preserve"> .</w:t>
      </w:r>
    </w:p>
    <w:p w14:paraId="04E7B782" w14:textId="77777777" w:rsidR="00F30A45" w:rsidRPr="00C33834" w:rsidRDefault="00F30A45"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Из-за низкой пластичности электрона брак при обжиме труб в первые месяцы составлял около 90 %. По несколько раз приходилось переделывать и другие детали, так как в местах деформаций возникали трещины. Пришлось изготовить немало специальных приспособлений: электрифицированные нагреваемые патроны для обжатия труб, гибочные машины, специальные тиски с подогревом и др.</w:t>
      </w:r>
    </w:p>
    <w:p w14:paraId="4877B205" w14:textId="77777777" w:rsidR="00F30A45" w:rsidRPr="00C33834" w:rsidRDefault="00F30A45"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Первым крупным изделием, выпущенным «электронной мастерской», стал монокок хвостовой части фюзеляжа, который при статических испытаниях показал вполне удовлетворительные результаты. После удачных испытаний мнение об электроне как конструкционном материале у многих работников авиапромышленности </w:t>
      </w:r>
      <w:r w:rsidRPr="00C33834">
        <w:rPr>
          <w:rFonts w:ascii="Times New Roman" w:eastAsia="Times New Roman" w:hAnsi="Times New Roman"/>
          <w:color w:val="000000" w:themeColor="text1"/>
          <w:sz w:val="16"/>
          <w:szCs w:val="16"/>
          <w:lang w:eastAsia="ru-RU"/>
        </w:rPr>
        <w:lastRenderedPageBreak/>
        <w:t>изменилось к лучшему. Летом 1934 г. были готовы центральная часть фюзеляжа и крыло для статических испытаний, одновременно запустили в производство хвостовое оперение и крылья лётного экземпляра. При постройке самолёта использовался приобретённый у фирмы «Фарбениндустри» электрон марки AZM (17489).</w:t>
      </w:r>
    </w:p>
    <w:p w14:paraId="32F541B5" w14:textId="77777777" w:rsidR="00F30A45" w:rsidRPr="00C33834" w:rsidRDefault="00F30A45" w:rsidP="00C33834">
      <w:pPr>
        <w:spacing w:after="0" w:line="240" w:lineRule="auto"/>
        <w:jc w:val="both"/>
        <w:rPr>
          <w:rFonts w:ascii="Times New Roman" w:eastAsia="Times New Roman" w:hAnsi="Times New Roman"/>
          <w:color w:val="000000" w:themeColor="text1"/>
          <w:sz w:val="16"/>
          <w:szCs w:val="16"/>
          <w:lang w:eastAsia="ru-RU"/>
        </w:rPr>
      </w:pPr>
    </w:p>
    <w:p w14:paraId="05E69912"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ГУАП, согласно документов Осоавиахима "начинает проектирование специального комбината легкомоторной авиации... В качестве машины первого типа (связь, агитация, исполкомовский) мы имеем самолет АИР-6, по своим данным вполне удовлетворяющий предъявленным ему требованиям" (15727).</w:t>
      </w:r>
    </w:p>
    <w:p w14:paraId="7A8AF29F" w14:textId="77777777" w:rsidR="00742DA3" w:rsidRPr="00C33834" w:rsidRDefault="00742DA3" w:rsidP="00C33834">
      <w:pPr>
        <w:spacing w:after="0" w:line="240" w:lineRule="auto"/>
        <w:jc w:val="both"/>
        <w:rPr>
          <w:rFonts w:ascii="Times New Roman" w:hAnsi="Times New Roman"/>
          <w:color w:val="000000" w:themeColor="text1"/>
          <w:sz w:val="16"/>
          <w:szCs w:val="16"/>
        </w:rPr>
      </w:pPr>
    </w:p>
    <w:p w14:paraId="3F8AA89C" w14:textId="77777777" w:rsidR="00DF1D09" w:rsidRPr="00C33834" w:rsidRDefault="00DF1D0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для изучения возможности взлета и посадки на воду Грибовский построил первый в СССР гидропланер - Г-12.</w:t>
      </w:r>
    </w:p>
    <w:p w14:paraId="45734369" w14:textId="77777777" w:rsidR="00DF1D09" w:rsidRPr="00C33834" w:rsidRDefault="00DF1D0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Фюзеляж планера представлял собой однореданную лодку с усилением в нижней части в виде ясеневого полоза для посадки на сушу. Г-12 имел подкрыльевые поплавки с полотняной обшивкой сверху и фанерным днищем. При необходимости поплавки легко снимались.</w:t>
      </w:r>
    </w:p>
    <w:p w14:paraId="71EDEBB5" w14:textId="77777777" w:rsidR="00DF1D09" w:rsidRPr="00C33834" w:rsidRDefault="00DF1D0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Созданию гидропланера Г-12 способствовало то обстоятельство, что многие российские города, расположенные на Волге, Каме, Оке и других больших реках имеют хорошие гористые склоны, удобные для проведения учебных полетов на планерах. Одновременно считалось, что осуществление парящих полетов в этих районах небезопасно, если только не использовать для посадки водную поверхность.</w:t>
      </w:r>
    </w:p>
    <w:p w14:paraId="4F78736B" w14:textId="77777777" w:rsidR="00DF1D09" w:rsidRPr="00C33834" w:rsidRDefault="00DF1D0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Планер имел целиком серебристую окраску. На IX планерном слете он получил номер «52» черного цвета, нанесенный с обеих сторон руля направления. После прохождения стандартных испытаний Г-12 совершил перелет с горы Узун-Сырт в Голубой запив Коктебеля с посадкой на воду, где были проведены опыты по взлету с воды. Буксировка тихоходным катером, а затем самолетом-амфибией Ш-2 не дала положительных результатов, так как при погружении одного из боковых поплавков в волну планер получал большое рысканье и терял скорость. В конечном результате опыты прекратили и далее Г-12 летал только в «сухопутном» варианте.</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92"/>
        <w:gridCol w:w="6630"/>
      </w:tblGrid>
      <w:tr w:rsidR="00F26F01" w:rsidRPr="00C33834" w14:paraId="1904490D" w14:textId="77777777" w:rsidTr="004539AF">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AF0A2AA"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Модификация</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C9D48F2"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Г-12</w:t>
            </w:r>
          </w:p>
        </w:tc>
      </w:tr>
      <w:tr w:rsidR="00F26F01" w:rsidRPr="00C33834" w14:paraId="44F2294B" w14:textId="77777777" w:rsidTr="004539AF">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734918"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Размах крыла, 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5C80199"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15.20</w:t>
            </w:r>
          </w:p>
        </w:tc>
      </w:tr>
      <w:tr w:rsidR="00F26F01" w:rsidRPr="00C33834" w14:paraId="46C0AEE4" w14:textId="77777777" w:rsidTr="004539AF">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926EC81"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54BC491"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6.50</w:t>
            </w:r>
          </w:p>
        </w:tc>
      </w:tr>
      <w:tr w:rsidR="00F26F01" w:rsidRPr="00C33834" w14:paraId="617120D5" w14:textId="77777777" w:rsidTr="004539AF">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9022DDA"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3A5F9E9"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1.45</w:t>
            </w:r>
          </w:p>
        </w:tc>
      </w:tr>
      <w:tr w:rsidR="00F26F01" w:rsidRPr="00C33834" w14:paraId="266D2850" w14:textId="77777777" w:rsidTr="004539AF">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C056644"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крыла, 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6312535"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15.40</w:t>
            </w:r>
          </w:p>
        </w:tc>
      </w:tr>
      <w:tr w:rsidR="00F26F01" w:rsidRPr="00C33834" w14:paraId="2E57728A" w14:textId="77777777" w:rsidTr="004539AF">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4B05888"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Масса, кг</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C414095"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18633DF7" w14:textId="77777777" w:rsidTr="004539AF">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BD1ECE0"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пустого снаряженного</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F7937EC"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157</w:t>
            </w:r>
          </w:p>
        </w:tc>
      </w:tr>
      <w:tr w:rsidR="00F26F01" w:rsidRPr="00C33834" w14:paraId="465F192F" w14:textId="77777777" w:rsidTr="004539AF">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24CEF7E"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максимальная взлетная</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C8C888B"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w:t>
            </w:r>
          </w:p>
        </w:tc>
      </w:tr>
      <w:tr w:rsidR="00F26F01" w:rsidRPr="00C33834" w14:paraId="6DB1C2FC" w14:textId="77777777" w:rsidTr="004539AF">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955EE00"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Экипаж</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0984C3F"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1</w:t>
            </w:r>
          </w:p>
        </w:tc>
      </w:tr>
    </w:tbl>
    <w:p w14:paraId="57921CEE" w14:textId="77777777" w:rsidR="00DF1D09" w:rsidRPr="00C33834" w:rsidRDefault="00DF1D0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(12682).</w:t>
      </w:r>
    </w:p>
    <w:p w14:paraId="1B6CC4AF" w14:textId="77777777" w:rsidR="00DF1D09" w:rsidRPr="00C33834" w:rsidRDefault="00DF1D09" w:rsidP="00C33834">
      <w:pPr>
        <w:shd w:val="clear" w:color="auto" w:fill="FFFFFF"/>
        <w:spacing w:after="0" w:line="240" w:lineRule="auto"/>
        <w:jc w:val="both"/>
        <w:rPr>
          <w:rFonts w:ascii="Times New Roman" w:hAnsi="Times New Roman"/>
          <w:color w:val="000000" w:themeColor="text1"/>
          <w:sz w:val="16"/>
          <w:szCs w:val="16"/>
        </w:rPr>
      </w:pPr>
    </w:p>
    <w:p w14:paraId="36C22878" w14:textId="77777777" w:rsidR="00DF1D09" w:rsidRPr="00C33834" w:rsidRDefault="00DF1D0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на базе Г-9 был создан Г-13 как легкий учебный паритель. Удачно летал на 9-м слете в Коктебеле, поэтому на следующий год было решено построить еще один-два экземпляра, предварительно устранив отмеченные недостатки.</w:t>
      </w:r>
    </w:p>
    <w:p w14:paraId="51975497" w14:textId="77777777" w:rsidR="00DF1D09" w:rsidRPr="00C33834" w:rsidRDefault="00DF1D0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Улучшенный вариант, отличавшийся увеличенным размахом крыла, получил обозначение Г-13бис. Из-за дополнительных усилений конструкции масса пустого планера возросла с 86 до 112 кг.</w:t>
      </w:r>
    </w:p>
    <w:p w14:paraId="35950C42" w14:textId="77777777" w:rsidR="00DF1D09" w:rsidRPr="00C33834" w:rsidRDefault="00DF1D0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Два экземпляра Г-13 бис в 1934 году вполне успешно участвовали в 10-м слете планеристов в Коктебеле. Хотя Г-13 бис себя оправдали, строить их в дальнейшем не стали, так как уже серийно выпускались планеры О.К.Антонова «Упар» аналогичного назначения (12682).</w:t>
      </w:r>
    </w:p>
    <w:p w14:paraId="32040CEE" w14:textId="77777777" w:rsidR="00DF1D09" w:rsidRPr="00C33834" w:rsidRDefault="00DF1D09" w:rsidP="00C33834">
      <w:pPr>
        <w:shd w:val="clear" w:color="auto" w:fill="FFFFFF"/>
        <w:spacing w:after="0" w:line="240" w:lineRule="auto"/>
        <w:jc w:val="both"/>
        <w:rPr>
          <w:rFonts w:ascii="Times New Roman" w:hAnsi="Times New Roman"/>
          <w:color w:val="000000" w:themeColor="text1"/>
          <w:sz w:val="16"/>
          <w:szCs w:val="16"/>
        </w:rPr>
      </w:pPr>
    </w:p>
    <w:p w14:paraId="6070CED7" w14:textId="77777777" w:rsidR="00DF1D09" w:rsidRPr="00C33834" w:rsidRDefault="00DF1D0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строился плане «Беспризорник» по инициативе и эскизному проекту Грибовского, разработку вела бригада конструкторского бюро ЦС Осоавиахима во главе с Г.Ф.Трошевым. Не успевая к 9-му планерному слету полностью закончить проект, бригада использовала не первоначально задуманное крыло, а готовое, от серийного планера «Упар». Свое прозвище «Беспризорник» аппарат получил по причине отсутствия определенного конструктора, который заботился бы о его быстрой постройке. Существует и другая версия появления оригинального названия, повествующая о длительном скитании планера по железной дороге на пути в Крым.</w:t>
      </w:r>
    </w:p>
    <w:p w14:paraId="62BBF9C7" w14:textId="77777777" w:rsidR="00DF1D09" w:rsidRPr="00C33834" w:rsidRDefault="00DF1D0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Грибовский, занятый делами сохранения МКБ, в тот период не мог уделить строившемуся аппарату достаточно внимания, поэтому давать ему номер своей очередной конструкции не стал, хотя и не отказался от авторства.</w:t>
      </w:r>
    </w:p>
    <w:p w14:paraId="606A21CE" w14:textId="77777777" w:rsidR="00DF1D09" w:rsidRPr="00C33834" w:rsidRDefault="00DF1D0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9-м слете в Коктебеле «Беспризорник» имел самый большой налет - 62 часа 30 минут. После слета планер передали в Высшую летно-планерную школу (ВЛПШ), где он длительное время использовался для тренировки планеристов.</w:t>
      </w:r>
    </w:p>
    <w:p w14:paraId="629FC5DC" w14:textId="77777777" w:rsidR="00DF1D09" w:rsidRPr="00C33834" w:rsidRDefault="00DF1D0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События 1933 г. для Владислава Грибовского знаменовались не только успехами, но и очередными проблемами организационного характера. В начале года МКБ было закрыто, однако Грибовский добился его восстанавления на старом месте и вновь стал его руководителем. Весь штат этой организации, кроме начальника, состоял из двух конструкторов и трех чертежников.</w:t>
      </w:r>
    </w:p>
    <w:p w14:paraId="26766396" w14:textId="77777777" w:rsidR="00DF1D09" w:rsidRPr="00C33834" w:rsidRDefault="00DF1D09"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Небольшой, но дружный коллектив МКБ, где ближайшими помощниками Грибовского были конструкторы В.В.Абрамов и Б.К.Ландышев, работал весьма плодотворно. В 1934-м здесь спроектировали двухместный пилотажно-буксировочный планер Г-14, спортивный самолет Г-15, гидропланер Г-16, рекордный планер Г-17, модифицированный планер Г-13бис, а также начались работы по первому варианту самолета «Утка». Но строить эти аппараты по-прежнему приходилось в разных местах из-за отсутствия собственной производственной базы (12682).</w:t>
      </w:r>
    </w:p>
    <w:p w14:paraId="26D74317" w14:textId="77777777" w:rsidR="00DF1D09" w:rsidRPr="00C33834" w:rsidRDefault="00DF1D09" w:rsidP="00C33834">
      <w:pPr>
        <w:shd w:val="clear" w:color="auto" w:fill="FFFFFF"/>
        <w:spacing w:after="0" w:line="240" w:lineRule="auto"/>
        <w:jc w:val="both"/>
        <w:rPr>
          <w:rFonts w:ascii="Times New Roman" w:hAnsi="Times New Roman"/>
          <w:color w:val="000000" w:themeColor="text1"/>
          <w:sz w:val="16"/>
          <w:szCs w:val="16"/>
        </w:rPr>
      </w:pPr>
    </w:p>
    <w:p w14:paraId="2B359B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Р.Л.Бартини начал разработку ДАР по ТТ Б.Г.Чухновского в Самолетном НИ ГВФ (СНИИ ГВФ). Р.Л.Бартини хотел в кольце и ЦАГИ подтвердил снижение сопротивления, но Б.Г.Чухновский настоял на обычной схеме. Одновременно в том же институте гидро стал делать И.В.Четвериков (80,268).</w:t>
      </w:r>
    </w:p>
    <w:p w14:paraId="42A5F3A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Наверное, П.В.Четвериков сбежал после отделения ЦКБ. В 1933 на заводе 22 и по его инициативе создали группу из сотрудников КБ С.Г.Козлова под руководством В.Ф.Болховитинова (80,323).</w:t>
      </w:r>
    </w:p>
    <w:p w14:paraId="7380A5F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96B77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1931-1933 на кафедре конструкций самолетов ВВА группа преподавателей под руководством С.Г.Козлова разрабатывали Гигант с 12 М-17 в носке толстого крыла. Оперение - на двух балках - 6 винтов. Финансирование закрыли из-за неудачи испытаний спарки двигателей (92,435).</w:t>
      </w:r>
    </w:p>
    <w:p w14:paraId="1AD45F1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в 1933 в ВВА - разрабатывался самолет-гигант с 12 двигателями (6,24) в рамках ОКБ, в котором работал В.Ф.Болховитиновым, но под руководством П.С.Дубенского (6,24).</w:t>
      </w:r>
    </w:p>
    <w:p w14:paraId="604FC26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EE2B2B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началось производство У-2 ВС, построили опыт</w:t>
      </w:r>
      <w:r w:rsidRPr="00C33834">
        <w:rPr>
          <w:rFonts w:ascii="Times New Roman" w:hAnsi="Times New Roman"/>
          <w:color w:val="000000" w:themeColor="text1"/>
          <w:sz w:val="16"/>
          <w:szCs w:val="16"/>
        </w:rPr>
        <w:softHyphen/>
        <w:t>ную серию из четырех экземпляров, проходивших вой</w:t>
      </w:r>
      <w:r w:rsidRPr="00C33834">
        <w:rPr>
          <w:rFonts w:ascii="Times New Roman" w:hAnsi="Times New Roman"/>
          <w:color w:val="000000" w:themeColor="text1"/>
          <w:sz w:val="16"/>
          <w:szCs w:val="16"/>
        </w:rPr>
        <w:softHyphen/>
        <w:t>сковые испытания в Борисоглебской школе. Первые машины стали поступать в части и училища с 1934 г. Всего за 1934 г. завод № 23 построил 122 самолета моди</w:t>
      </w:r>
      <w:r w:rsidRPr="00C33834">
        <w:rPr>
          <w:rFonts w:ascii="Times New Roman" w:hAnsi="Times New Roman"/>
          <w:color w:val="000000" w:themeColor="text1"/>
          <w:sz w:val="16"/>
          <w:szCs w:val="16"/>
        </w:rPr>
        <w:softHyphen/>
        <w:t>фикации ВС. По дополнительному требованию ВВС У-2ВС должны были оснастить тормозными колесами, что потребовало серьезных переделок шасси и управле</w:t>
      </w:r>
      <w:r w:rsidRPr="00C33834">
        <w:rPr>
          <w:rFonts w:ascii="Times New Roman" w:hAnsi="Times New Roman"/>
          <w:color w:val="000000" w:themeColor="text1"/>
          <w:sz w:val="16"/>
          <w:szCs w:val="16"/>
        </w:rPr>
        <w:softHyphen/>
        <w:t>ния. Машины с тормозными колесами получили обо</w:t>
      </w:r>
      <w:r w:rsidRPr="00C33834">
        <w:rPr>
          <w:rFonts w:ascii="Times New Roman" w:hAnsi="Times New Roman"/>
          <w:color w:val="000000" w:themeColor="text1"/>
          <w:sz w:val="16"/>
          <w:szCs w:val="16"/>
        </w:rPr>
        <w:softHyphen/>
        <w:t>значение ВТС. Их поставки начались с августа 1934 г. За 1934 г. завод № 23 выпустил 150 ВТС, однако ВВС приня</w:t>
      </w:r>
      <w:r w:rsidRPr="00C33834">
        <w:rPr>
          <w:rFonts w:ascii="Times New Roman" w:hAnsi="Times New Roman"/>
          <w:color w:val="000000" w:themeColor="text1"/>
          <w:sz w:val="16"/>
          <w:szCs w:val="16"/>
        </w:rPr>
        <w:softHyphen/>
        <w:t>то около 50, так как выявившиеся на испытаниях дефек</w:t>
      </w:r>
      <w:r w:rsidRPr="00C33834">
        <w:rPr>
          <w:rFonts w:ascii="Times New Roman" w:hAnsi="Times New Roman"/>
          <w:color w:val="000000" w:themeColor="text1"/>
          <w:sz w:val="16"/>
          <w:szCs w:val="16"/>
        </w:rPr>
        <w:softHyphen/>
        <w:t>ты шасси потребовали изменения его конструкции. Остальные машины оформлялись приемкой уже в 1935 г. За 1935 г. было построено еще и 170 У-2ВС (10667).</w:t>
      </w:r>
    </w:p>
    <w:p w14:paraId="09EF6F5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8E906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1933 г. началось проектирование самолета С-1 (санитарный, первый), другие обозна</w:t>
      </w:r>
      <w:r w:rsidRPr="00C33834">
        <w:rPr>
          <w:rFonts w:ascii="Times New Roman" w:hAnsi="Times New Roman"/>
          <w:color w:val="000000" w:themeColor="text1"/>
          <w:sz w:val="16"/>
          <w:szCs w:val="16"/>
        </w:rPr>
        <w:softHyphen/>
        <w:t>чения С1-М11, СС (санитарный самолет), который предназначался для перевозки одного раненого и сопровождающего. При его разработке учитывался опыт создания и ис</w:t>
      </w:r>
      <w:r w:rsidRPr="00C33834">
        <w:rPr>
          <w:rFonts w:ascii="Times New Roman" w:hAnsi="Times New Roman"/>
          <w:color w:val="000000" w:themeColor="text1"/>
          <w:sz w:val="16"/>
          <w:szCs w:val="16"/>
        </w:rPr>
        <w:softHyphen/>
        <w:t>пользования подобных машин в Великобритании (са</w:t>
      </w:r>
      <w:r w:rsidRPr="00C33834">
        <w:rPr>
          <w:rFonts w:ascii="Times New Roman" w:hAnsi="Times New Roman"/>
          <w:color w:val="000000" w:themeColor="text1"/>
          <w:sz w:val="16"/>
          <w:szCs w:val="16"/>
        </w:rPr>
        <w:softHyphen/>
        <w:t>нитарные варианты ОН-4, БН-9). Он представлял собой еще одну (после СП) модификацию АП. и использовался опыт построй</w:t>
      </w:r>
      <w:r w:rsidRPr="00C33834">
        <w:rPr>
          <w:rFonts w:ascii="Times New Roman" w:hAnsi="Times New Roman"/>
          <w:color w:val="000000" w:themeColor="text1"/>
          <w:sz w:val="16"/>
          <w:szCs w:val="16"/>
        </w:rPr>
        <w:softHyphen/>
        <w:t>ки У-2-лимузина (СП).</w:t>
      </w:r>
    </w:p>
    <w:p w14:paraId="1546A3A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отличия самолета С-1 от СП заключались в следующем:</w:t>
      </w:r>
    </w:p>
    <w:p w14:paraId="5201D8A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Изменен козырек кабины пилота. Он стал более широким.</w:t>
      </w:r>
    </w:p>
    <w:p w14:paraId="2BE21A7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Задняя кабина сделана закрытой со входом через сдвижную крышку с окном на левой стороне и приспо</w:t>
      </w:r>
      <w:r w:rsidRPr="00C33834">
        <w:rPr>
          <w:rFonts w:ascii="Times New Roman" w:hAnsi="Times New Roman"/>
          <w:color w:val="000000" w:themeColor="text1"/>
          <w:sz w:val="16"/>
          <w:szCs w:val="16"/>
        </w:rPr>
        <w:softHyphen/>
        <w:t>соблена для размещения сопровождающего.</w:t>
      </w:r>
    </w:p>
    <w:p w14:paraId="1C1F561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За ней в открывающимся и увеличенном по высо</w:t>
      </w:r>
      <w:r w:rsidRPr="00C33834">
        <w:rPr>
          <w:rFonts w:ascii="Times New Roman" w:hAnsi="Times New Roman"/>
          <w:color w:val="000000" w:themeColor="text1"/>
          <w:sz w:val="16"/>
          <w:szCs w:val="16"/>
        </w:rPr>
        <w:softHyphen/>
        <w:t>те гаргроте сделана кабина для больного, лежащего на носилках; на верхних лонжеронах фюзеляжа установле</w:t>
      </w:r>
      <w:r w:rsidRPr="00C33834">
        <w:rPr>
          <w:rFonts w:ascii="Times New Roman" w:hAnsi="Times New Roman"/>
          <w:color w:val="000000" w:themeColor="text1"/>
          <w:sz w:val="16"/>
          <w:szCs w:val="16"/>
        </w:rPr>
        <w:softHyphen/>
        <w:t>ны узлы крепления носилок при помощи штырей, кото</w:t>
      </w:r>
      <w:r w:rsidRPr="00C33834">
        <w:rPr>
          <w:rFonts w:ascii="Times New Roman" w:hAnsi="Times New Roman"/>
          <w:color w:val="000000" w:themeColor="text1"/>
          <w:sz w:val="16"/>
          <w:szCs w:val="16"/>
        </w:rPr>
        <w:softHyphen/>
        <w:t>рые вставляются в специальные отверстия носилок, и пристяжных ремней.</w:t>
      </w:r>
    </w:p>
    <w:p w14:paraId="7935EBD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На 30 мм удлинена носовая часть фюзеляжа.</w:t>
      </w:r>
    </w:p>
    <w:p w14:paraId="24A6A31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Для облегчения управления самолетом в широком диапазоне центровок установлен тросовый механизм изменения углов атаки стабилизатора в полете со штур</w:t>
      </w:r>
      <w:r w:rsidRPr="00C33834">
        <w:rPr>
          <w:rFonts w:ascii="Times New Roman" w:hAnsi="Times New Roman"/>
          <w:color w:val="000000" w:themeColor="text1"/>
          <w:sz w:val="16"/>
          <w:szCs w:val="16"/>
        </w:rPr>
        <w:softHyphen/>
        <w:t>валом на левом борту кабины пилота.</w:t>
      </w:r>
    </w:p>
    <w:p w14:paraId="27CBF53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На левом борту фюзеляжа сделан специальный поворотный кронштейн для удобства погрузки и раз</w:t>
      </w:r>
      <w:r w:rsidRPr="00C33834">
        <w:rPr>
          <w:rFonts w:ascii="Times New Roman" w:hAnsi="Times New Roman"/>
          <w:color w:val="000000" w:themeColor="text1"/>
          <w:sz w:val="16"/>
          <w:szCs w:val="16"/>
        </w:rPr>
        <w:softHyphen/>
        <w:t>грузки носилок с больным, а под ним - подножка.</w:t>
      </w:r>
    </w:p>
    <w:p w14:paraId="568BE20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это привело к увеличению массы конструкции самолета до 720 кг (полетная масса - 1053 кг). Летные ха</w:t>
      </w:r>
      <w:r w:rsidRPr="00C33834">
        <w:rPr>
          <w:rFonts w:ascii="Times New Roman" w:hAnsi="Times New Roman"/>
          <w:color w:val="000000" w:themeColor="text1"/>
          <w:sz w:val="16"/>
          <w:szCs w:val="16"/>
        </w:rPr>
        <w:softHyphen/>
        <w:t>рактеристики С-1 по сравнению с исходным У-2, естест</w:t>
      </w:r>
      <w:r w:rsidRPr="00C33834">
        <w:rPr>
          <w:rFonts w:ascii="Times New Roman" w:hAnsi="Times New Roman"/>
          <w:color w:val="000000" w:themeColor="text1"/>
          <w:sz w:val="16"/>
          <w:szCs w:val="16"/>
        </w:rPr>
        <w:softHyphen/>
        <w:t>венно, снизились (максимальная скорость полета у земли - 140,5 км/ч, дальность полета при полных баках - 400 км, потолок - 3250 м, время набора высоты 2000 м</w:t>
      </w:r>
    </w:p>
    <w:p w14:paraId="4F6A06B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- 25 мин, посадочная скорость - 60 км/ч, разбег - 120 м, пробег - 150 м), однако оказались вполне приемлемыми для машин данного класса (10667).</w:t>
      </w:r>
    </w:p>
    <w:p w14:paraId="3190B0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6C3F8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был построен и испытан НИАИ-4 А.Г.Бедунковича с М-11, построенный на ремонтной базе ГВФ в Ленинграде. Двухместный деревянный биплан с неодинаковым размахом плоскостей, перестанавливая которые можно было получить 4 варианта: полутороплан с выносом верхнего крыла, полутороплан без выноса, моноплан парасоль и низкоплан (438,660).</w:t>
      </w:r>
    </w:p>
    <w:p w14:paraId="7712E9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BA3E33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на заводе № 1 построены конструкции В.К. Грибовского: самолет Г-10; первый в мире шханер-«летающая цистерна» Г-14 (ЦЛ-2А) для дозаправки в воздухе самолета-буксировщика (11982).</w:t>
      </w:r>
    </w:p>
    <w:p w14:paraId="495073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E6D8F09" w14:textId="77777777" w:rsidR="00B06AD3" w:rsidRPr="00C33834" w:rsidRDefault="00B06AD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был по</w:t>
      </w:r>
      <w:r w:rsidRPr="00C33834">
        <w:rPr>
          <w:rFonts w:ascii="Times New Roman" w:hAnsi="Times New Roman"/>
          <w:color w:val="000000" w:themeColor="text1"/>
          <w:sz w:val="16"/>
          <w:szCs w:val="16"/>
        </w:rPr>
        <w:softHyphen/>
        <w:t>строен БИЧ-11 - дальнейшее развитие бесхвостых планеров с крыльями упро</w:t>
      </w:r>
      <w:r w:rsidRPr="00C33834">
        <w:rPr>
          <w:rFonts w:ascii="Times New Roman" w:hAnsi="Times New Roman"/>
          <w:color w:val="000000" w:themeColor="text1"/>
          <w:sz w:val="16"/>
          <w:szCs w:val="16"/>
        </w:rPr>
        <w:softHyphen/>
        <w:t>щенной прямоугольной формы , и, в отличался от БИЧ-12, концевыми рулями поворота. Предполагалось, что подобные упрощенные конструкции в случае успешного их испытания, мож</w:t>
      </w:r>
      <w:r w:rsidRPr="00C33834">
        <w:rPr>
          <w:rFonts w:ascii="Times New Roman" w:hAnsi="Times New Roman"/>
          <w:color w:val="000000" w:themeColor="text1"/>
          <w:sz w:val="16"/>
          <w:szCs w:val="16"/>
        </w:rPr>
        <w:softHyphen/>
        <w:t>но рекомендовать для самостоятель</w:t>
      </w:r>
      <w:r w:rsidRPr="00C33834">
        <w:rPr>
          <w:rFonts w:ascii="Times New Roman" w:hAnsi="Times New Roman"/>
          <w:color w:val="000000" w:themeColor="text1"/>
          <w:sz w:val="16"/>
          <w:szCs w:val="16"/>
        </w:rPr>
        <w:softHyphen/>
        <w:t>ной постройки в аэроклубах и кружках планеристов. После полетов на БИЧ-11 С.П. Королев предложил установить на планере ракетный двигатель ОР-2 конструкции Ф.А. Цандера. Был подго</w:t>
      </w:r>
      <w:r w:rsidRPr="00C33834">
        <w:rPr>
          <w:rFonts w:ascii="Times New Roman" w:hAnsi="Times New Roman"/>
          <w:color w:val="000000" w:themeColor="text1"/>
          <w:sz w:val="16"/>
          <w:szCs w:val="16"/>
        </w:rPr>
        <w:softHyphen/>
        <w:t>товлен проект и изготовлен макет уста</w:t>
      </w:r>
      <w:r w:rsidRPr="00C33834">
        <w:rPr>
          <w:rFonts w:ascii="Times New Roman" w:hAnsi="Times New Roman"/>
          <w:color w:val="000000" w:themeColor="text1"/>
          <w:sz w:val="16"/>
          <w:szCs w:val="16"/>
        </w:rPr>
        <w:softHyphen/>
        <w:t>новки, аппара при этом получил новое обозначение - ракетоплан РП-1. Одна</w:t>
      </w:r>
      <w:r w:rsidRPr="00C33834">
        <w:rPr>
          <w:rFonts w:ascii="Times New Roman" w:hAnsi="Times New Roman"/>
          <w:color w:val="000000" w:themeColor="text1"/>
          <w:sz w:val="16"/>
          <w:szCs w:val="16"/>
        </w:rPr>
        <w:softHyphen/>
        <w:t>ко ракетный двигатель вовреся изгтовить не удалось. Поэтому на БИЧ-11 установили поршневой дви</w:t>
      </w:r>
      <w:r w:rsidRPr="00C33834">
        <w:rPr>
          <w:rFonts w:ascii="Times New Roman" w:hAnsi="Times New Roman"/>
          <w:color w:val="000000" w:themeColor="text1"/>
          <w:sz w:val="16"/>
          <w:szCs w:val="16"/>
        </w:rPr>
        <w:softHyphen/>
        <w:t>гатель «Скорпион» мощностью 27 л.с., с которым был осуществлен ряд успеш</w:t>
      </w:r>
      <w:r w:rsidRPr="00C33834">
        <w:rPr>
          <w:rFonts w:ascii="Times New Roman" w:hAnsi="Times New Roman"/>
          <w:color w:val="000000" w:themeColor="text1"/>
          <w:sz w:val="16"/>
          <w:szCs w:val="16"/>
        </w:rPr>
        <w:softHyphen/>
        <w:t>ных полетов (17473).</w:t>
      </w:r>
    </w:p>
    <w:p w14:paraId="3C15298E" w14:textId="77777777" w:rsidR="00B06AD3" w:rsidRPr="00C33834" w:rsidRDefault="00B06AD3" w:rsidP="00C33834">
      <w:pPr>
        <w:spacing w:after="0" w:line="240" w:lineRule="auto"/>
        <w:jc w:val="both"/>
        <w:rPr>
          <w:rFonts w:ascii="Times New Roman" w:hAnsi="Times New Roman"/>
          <w:color w:val="000000" w:themeColor="text1"/>
          <w:sz w:val="16"/>
          <w:szCs w:val="16"/>
        </w:rPr>
      </w:pPr>
    </w:p>
    <w:p w14:paraId="12E80BE6"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при подготовке планов опытного самолето</w:t>
      </w:r>
      <w:r w:rsidRPr="00C33834">
        <w:rPr>
          <w:rFonts w:ascii="Times New Roman" w:hAnsi="Times New Roman"/>
          <w:color w:val="000000" w:themeColor="text1"/>
          <w:sz w:val="16"/>
          <w:szCs w:val="16"/>
        </w:rPr>
        <w:softHyphen/>
        <w:t>строения разработали тактико-технические требования (ТТТ) на специальный самолет для подводной лодки (СПЛ). В соответствии с этими требованиями самолет в сложенном виде должен был перевозиться в цилиндри</w:t>
      </w:r>
      <w:r w:rsidRPr="00C33834">
        <w:rPr>
          <w:rFonts w:ascii="Times New Roman" w:hAnsi="Times New Roman"/>
          <w:color w:val="000000" w:themeColor="text1"/>
          <w:sz w:val="16"/>
          <w:szCs w:val="16"/>
        </w:rPr>
        <w:softHyphen/>
        <w:t>ческом контейнере (ангаре) диаметром 2,5 метра и длиной 7,5 метров. Взлет предполагался с воды или катапульты, расчетная даль</w:t>
      </w:r>
      <w:r w:rsidRPr="00C33834">
        <w:rPr>
          <w:rFonts w:ascii="Times New Roman" w:hAnsi="Times New Roman"/>
          <w:color w:val="000000" w:themeColor="text1"/>
          <w:sz w:val="16"/>
          <w:szCs w:val="16"/>
        </w:rPr>
        <w:softHyphen/>
        <w:t>ность полета 600-1000 км, максимальная скорость 215 км/ч, потолок не менее 4000 м.</w:t>
      </w:r>
    </w:p>
    <w:p w14:paraId="6B1D2BD4"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тем спроектированный конструк</w:t>
      </w:r>
      <w:r w:rsidRPr="00C33834">
        <w:rPr>
          <w:rFonts w:ascii="Times New Roman" w:hAnsi="Times New Roman"/>
          <w:color w:val="000000" w:themeColor="text1"/>
          <w:sz w:val="16"/>
          <w:szCs w:val="16"/>
        </w:rPr>
        <w:softHyphen/>
        <w:t>тором Четвериковым в период 1931-32 гг. небольшой двухместный самолет ОСГА-Ю1, по первоначальному замыслу предназначал</w:t>
      </w:r>
      <w:r w:rsidRPr="00C33834">
        <w:rPr>
          <w:rFonts w:ascii="Times New Roman" w:hAnsi="Times New Roman"/>
          <w:color w:val="000000" w:themeColor="text1"/>
          <w:sz w:val="16"/>
          <w:szCs w:val="16"/>
        </w:rPr>
        <w:softHyphen/>
        <w:t>ся для использования на судах и ледоколах Главного Управления Северного морского пути (ГУСМП). Само название ОСГА озна</w:t>
      </w:r>
      <w:r w:rsidRPr="00C33834">
        <w:rPr>
          <w:rFonts w:ascii="Times New Roman" w:hAnsi="Times New Roman"/>
          <w:color w:val="000000" w:themeColor="text1"/>
          <w:sz w:val="16"/>
          <w:szCs w:val="16"/>
        </w:rPr>
        <w:softHyphen/>
        <w:t>чало — Отдел Строительства Глиссеров и аэ</w:t>
      </w:r>
      <w:r w:rsidRPr="00C33834">
        <w:rPr>
          <w:rFonts w:ascii="Times New Roman" w:hAnsi="Times New Roman"/>
          <w:color w:val="000000" w:themeColor="text1"/>
          <w:sz w:val="16"/>
          <w:szCs w:val="16"/>
        </w:rPr>
        <w:softHyphen/>
        <w:t>росаней, он действовал при НИИ ГВФ и ре</w:t>
      </w:r>
      <w:r w:rsidRPr="00C33834">
        <w:rPr>
          <w:rFonts w:ascii="Times New Roman" w:hAnsi="Times New Roman"/>
          <w:color w:val="000000" w:themeColor="text1"/>
          <w:sz w:val="16"/>
          <w:szCs w:val="16"/>
        </w:rPr>
        <w:softHyphen/>
        <w:t>шал задачи исключительного мирного ха</w:t>
      </w:r>
      <w:r w:rsidRPr="00C33834">
        <w:rPr>
          <w:rFonts w:ascii="Times New Roman" w:hAnsi="Times New Roman"/>
          <w:color w:val="000000" w:themeColor="text1"/>
          <w:sz w:val="16"/>
          <w:szCs w:val="16"/>
        </w:rPr>
        <w:softHyphen/>
        <w:t>рактера. ОСГА-101, оснащенный двигателем М-11 мощностью 100 л.е., начал летать во второй половине 1933 г., показал неплохие результаты, однако практического примене</w:t>
      </w:r>
      <w:r w:rsidRPr="00C33834">
        <w:rPr>
          <w:rFonts w:ascii="Times New Roman" w:hAnsi="Times New Roman"/>
          <w:color w:val="000000" w:themeColor="text1"/>
          <w:sz w:val="16"/>
          <w:szCs w:val="16"/>
        </w:rPr>
        <w:softHyphen/>
        <w:t>ния не нашел. Причиной тому стало повсе</w:t>
      </w:r>
      <w:r w:rsidRPr="00C33834">
        <w:rPr>
          <w:rFonts w:ascii="Times New Roman" w:hAnsi="Times New Roman"/>
          <w:color w:val="000000" w:themeColor="text1"/>
          <w:sz w:val="16"/>
          <w:szCs w:val="16"/>
        </w:rPr>
        <w:softHyphen/>
        <w:t>местное и удачное внедрение серийной лета</w:t>
      </w:r>
      <w:r w:rsidRPr="00C33834">
        <w:rPr>
          <w:rFonts w:ascii="Times New Roman" w:hAnsi="Times New Roman"/>
          <w:color w:val="000000" w:themeColor="text1"/>
          <w:sz w:val="16"/>
          <w:szCs w:val="16"/>
        </w:rPr>
        <w:softHyphen/>
        <w:t>ющей лодки Ш-2 конструкции В.Б.Шаврова. Именно в этот период появилось зада</w:t>
      </w:r>
      <w:r w:rsidRPr="00C33834">
        <w:rPr>
          <w:rFonts w:ascii="Times New Roman" w:hAnsi="Times New Roman"/>
          <w:color w:val="000000" w:themeColor="text1"/>
          <w:sz w:val="16"/>
          <w:szCs w:val="16"/>
        </w:rPr>
        <w:softHyphen/>
        <w:t>ние на СПЛ, поэтому, используя наработки по самолету ОСГА-101, Четвериков присту</w:t>
      </w:r>
      <w:r w:rsidRPr="00C33834">
        <w:rPr>
          <w:rFonts w:ascii="Times New Roman" w:hAnsi="Times New Roman"/>
          <w:color w:val="000000" w:themeColor="text1"/>
          <w:sz w:val="16"/>
          <w:szCs w:val="16"/>
        </w:rPr>
        <w:softHyphen/>
        <w:t>пил к его реализации. Новый аппарат полу</w:t>
      </w:r>
      <w:r w:rsidRPr="00C33834">
        <w:rPr>
          <w:rFonts w:ascii="Times New Roman" w:hAnsi="Times New Roman"/>
          <w:color w:val="000000" w:themeColor="text1"/>
          <w:sz w:val="16"/>
          <w:szCs w:val="16"/>
        </w:rPr>
        <w:softHyphen/>
        <w:t>чил закрытую кабину, а схема разборки по</w:t>
      </w:r>
      <w:r w:rsidRPr="00C33834">
        <w:rPr>
          <w:rFonts w:ascii="Times New Roman" w:hAnsi="Times New Roman"/>
          <w:color w:val="000000" w:themeColor="text1"/>
          <w:sz w:val="16"/>
          <w:szCs w:val="16"/>
        </w:rPr>
        <w:softHyphen/>
        <w:t>зволяла уложить его в требуемый заказчи</w:t>
      </w:r>
      <w:r w:rsidRPr="00C33834">
        <w:rPr>
          <w:rFonts w:ascii="Times New Roman" w:hAnsi="Times New Roman"/>
          <w:color w:val="000000" w:themeColor="text1"/>
          <w:sz w:val="16"/>
          <w:szCs w:val="16"/>
        </w:rPr>
        <w:softHyphen/>
        <w:t>ками цилиндр диаметром 2,5 метра (12301).</w:t>
      </w:r>
    </w:p>
    <w:p w14:paraId="59274379" w14:textId="77777777" w:rsidR="000904A1" w:rsidRPr="00C33834" w:rsidRDefault="000904A1" w:rsidP="00C33834">
      <w:pPr>
        <w:spacing w:after="0" w:line="240" w:lineRule="auto"/>
        <w:jc w:val="both"/>
        <w:rPr>
          <w:rFonts w:ascii="Times New Roman" w:hAnsi="Times New Roman"/>
          <w:color w:val="000000" w:themeColor="text1"/>
          <w:sz w:val="16"/>
          <w:szCs w:val="16"/>
        </w:rPr>
      </w:pPr>
    </w:p>
    <w:p w14:paraId="525462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1933 г. при заводе № 23 работало КБ В.В. Никитина.</w:t>
      </w:r>
    </w:p>
    <w:p w14:paraId="0A5A925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по учебному самолету У-5 и его модификациям. Проектировался морской разведчик КОР-2.</w:t>
      </w:r>
    </w:p>
    <w:p w14:paraId="4FADDBD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1935 г. В.В. Никитин работает при Московском авиатехникуме, с 1938 г. работал в ОКБ-ЗО. Однако параллельно велись работы и на заводе № 23. Так, в 1939 г. разрабатывалась планирующая торпеда ПТ (ПСН-2) для ДБ-3 и подвесной самолет МП (11982).</w:t>
      </w:r>
    </w:p>
    <w:p w14:paraId="5BD8A492" w14:textId="77777777" w:rsidR="00742DA3" w:rsidRPr="00C33834" w:rsidRDefault="00742DA3" w:rsidP="00C33834">
      <w:pPr>
        <w:autoSpaceDE w:val="0"/>
        <w:autoSpaceDN w:val="0"/>
        <w:adjustRightInd w:val="0"/>
        <w:spacing w:after="0" w:line="240" w:lineRule="auto"/>
        <w:jc w:val="both"/>
        <w:rPr>
          <w:rFonts w:ascii="Times New Roman" w:hAnsi="Times New Roman"/>
          <w:color w:val="000000" w:themeColor="text1"/>
          <w:sz w:val="16"/>
          <w:szCs w:val="16"/>
        </w:rPr>
      </w:pPr>
    </w:p>
    <w:p w14:paraId="212E557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был образовани Завод № 169 НКАП, как “Казанский завод обозных деталей” НКлеса /г. Казань/. Выпускались тачанки. В 1935 г. на заводе началось производство авиационных деревянных лыж и подвесок к ним. По приказу от 8.07.1939 г. передан из НКлеса в НКАП и получил № 169. С 1940 г. началось производство деревянных частей самолета И-153, крыла и оперения для ЛаГТ-3. По приказу № 573с от 26.06.1941 г. завод передан в ИГУ НКАП. В начале войны началась подготовка к производству двух десантно-транспортных планеров: «Сокол»  Г.Н. Воробьева и «Орел» конструкции Б.В. Кучеренко, Л.М. Роднянского и Н.И. Афанасьева.</w:t>
      </w:r>
    </w:p>
    <w:p w14:paraId="0991D4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 СНК № 1842-830 от 9.07.1941 г. завод № 387 в 07-08.1941 г. эвакуирован в Казань на площадку завода № 169 НКАП 11ГУ. Здесь по приказу № 858сс от 15.08.1941 г. образован единый завод № 387 НКАП в системе 1ГУ. Завод № 169 с 08.1941 г. выбыл из числа действующих. Программа производства планеров передана Шумерлинскому и Козловскому деревообделочным комбинатам.</w:t>
      </w:r>
    </w:p>
    <w:p w14:paraId="3A7FFE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(01.1940-41 г.)- И.М. Шпаков (затем- зам. директора завода № 387).</w:t>
      </w:r>
    </w:p>
    <w:p w14:paraId="5B631FD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конструктор (1940 г.)- Б.В. Кучеренко (11982).</w:t>
      </w:r>
    </w:p>
    <w:p w14:paraId="04C943DD" w14:textId="77777777" w:rsidR="00742DA3" w:rsidRPr="00C33834" w:rsidRDefault="00742DA3" w:rsidP="00C33834">
      <w:pPr>
        <w:autoSpaceDE w:val="0"/>
        <w:autoSpaceDN w:val="0"/>
        <w:adjustRightInd w:val="0"/>
        <w:spacing w:after="0" w:line="240" w:lineRule="auto"/>
        <w:jc w:val="both"/>
        <w:rPr>
          <w:rFonts w:ascii="Times New Roman" w:hAnsi="Times New Roman"/>
          <w:color w:val="000000" w:themeColor="text1"/>
          <w:sz w:val="16"/>
          <w:szCs w:val="16"/>
        </w:rPr>
      </w:pPr>
    </w:p>
    <w:p w14:paraId="383D37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в КАИ организовали планерный кружок, ставший планерной секцией АвиаВНИТО. Возглавил его инженер Воробьев Г.Н. Результатом работы небольшой конструкторской организации стали четыре планера и глиссер. Первыми аппаратами стали гидропланеры КАИ-1 в двух экземплярах. Испытания студенческих конструкций проводились на планерной станции КАИ, распложенной на правом высоком берегу Волги.</w:t>
      </w:r>
    </w:p>
    <w:p w14:paraId="1F7699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Первый одноместный гидроплан КАИ-1. построенный в 1934 г., являлся фактически амфибией, так как мог осуществлять взлет не только с воды, но и с земли. После успешных испытаний во всех трех стихиях, планер был отправлен на буксире за У-2 в Коктебель на соревнования, но в районе Керчи он разрушился в воздухе. Пилот Корчагин П.М. спасся на парашюте. Второй экземпляр КАИ-1бис построили на следующий год, но на соревнования планеристов в Крыму он тоже не попал по причине опоздания.</w:t>
      </w:r>
    </w:p>
    <w:p w14:paraId="23F7861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Следующей конструкцией Воробьева в 1935 г. стал планер КАИ-2, одноместный фигурно-тренировочный паритель, удивительно легкий (85 кг) при размахе крыла в 12 метров. Через два года накопления опыта еще два аппарата – КАИ-3 и КАИ-4 заявили о достижениях института на всю страну. Гидропланер КАИ-3, строился как рекордный, и задуманное подтвердилось на планерных соревнованиях под Москвой в июле 1937 г. Пилот Коротов И.П. занял первое место по дальности полета (336 км) и по числу набранных очков. А за месяц до этого тот же Илья Коротов установил на двухместном планере КАИ-4 конструкции студента Ивана Потницева три международных рекорда по дальности и высоте, но аппарат вследствие перегрузок разрушился в полете.</w:t>
      </w:r>
    </w:p>
    <w:p w14:paraId="69E036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 этом вспоминает один из создателей планера Митряев И.М.. Он занимался расчетом крыла, а Потницев – фюзеляжа. Планер построили без обоих Иванов, когда они уехали на практику в Москву. Но в июне, при установлении рекорда, Митряев присутствовал лично и видел, как во время полета с институтского аэродрома планер КАИ-4 с Коротовым вошел в грозовые облака, а потом упал на землю. Коротов выпрыгнул на парашюте, а барограмму студенты долго искали в поле. Когда же нашли, не удержались, сняли пломбу, чтобы убедиться в рекорде. В результате этого поспешного решения рекорды не были официально утверждены.</w:t>
      </w:r>
    </w:p>
    <w:p w14:paraId="5989BA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Последний довоенный планер КАИ-5 «Сокол» создавался по условиям конкурса 1940 г. как пятиместный транспортно-грузовой. Главный конструктор Воробьев строил свой аппарат на заводе № 169, довел его до летных испытаний, получил премию, но решение о серийном производстве принято не было.</w:t>
      </w:r>
    </w:p>
    <w:p w14:paraId="13BFD0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Дополнением к опытно-конструкторской теме может служить информация о постройке в научно-техническом кружке КАИ глиссера. Руководил кружком студент 4-го курса Белоскурский М.И.. Работа над шестиместной машиной с двигателем М-11 шла параллельно с постройкой гидропланера КАИ-1, который уже тогда планировался как рекордный. Глиссер спустили на воду 2 мая 1934 г., а в июле начались водные испытания гидроплана. Взлет планера с воды проводился впервые в стране и, возможно, в мире. Перед войной строился глиссер на подводных крыльях. Проектировались также авиетка, аэросани и другая техника (12049).</w:t>
      </w:r>
    </w:p>
    <w:p w14:paraId="40B4D0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3BAB6B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пассажирские ЮГ-1 переименовали в ПС-5. В том же году три самолета этого типа базировались в Хабаровске, шесть - в Ташкенте и один - в Иркутске. Один ПС-5 обслуживал серное месторождение в Каракумах, вывозя в Ашхабад готовую серу, а обратно доставляя продукты. Самолет, полученный авиацией Главсевморпути в феврале 1932 г., получил регистрацию СССР-Н4. Некоторое время он летал по Енисею, доставляя пассажиров и грузы. В июле 1933 г. его морем доставили в Анадырь для участия в научной экспедиции. Экипаж Г. Страубе исследовал с воздуха бассейн р. Анадырь (3224,17).</w:t>
      </w:r>
    </w:p>
    <w:p w14:paraId="5D00627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2CD92D7" w14:textId="77777777" w:rsidR="005E4C87" w:rsidRPr="00C33834" w:rsidRDefault="005E4C87"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lastRenderedPageBreak/>
        <w:t xml:space="preserve">В 1933 г. состоялись первые испытания ПВРД в полёте. Для этого был сконструирован миниатюрный прямоточный двигатель в форме снаряда 76-мм пушки. Топливо (белый фосфор) поместили непосредственно в камере сгорания. Отстрел таких двигателей продемонстрировал работоспособность ПВРД: дальность выстрела за счёт реактивной тяги возросла на километр по сравнению со штатным снарядом </w:t>
      </w:r>
      <w:hyperlink r:id="rId435" w:history="1">
        <w:r w:rsidRPr="00C33834">
          <w:rPr>
            <w:rFonts w:ascii="Times New Roman" w:eastAsia="Times New Roman" w:hAnsi="Times New Roman"/>
            <w:color w:val="000000" w:themeColor="text1"/>
            <w:sz w:val="16"/>
            <w:szCs w:val="16"/>
            <w:lang w:eastAsia="ru-RU"/>
          </w:rPr>
          <w:t>[324]</w:t>
        </w:r>
      </w:hyperlink>
      <w:r w:rsidRPr="00C33834">
        <w:rPr>
          <w:rFonts w:ascii="Times New Roman" w:eastAsia="Times New Roman" w:hAnsi="Times New Roman"/>
          <w:color w:val="000000" w:themeColor="text1"/>
          <w:sz w:val="16"/>
          <w:szCs w:val="16"/>
          <w:lang w:eastAsia="ru-RU"/>
        </w:rPr>
        <w:t xml:space="preserve"> (17489).</w:t>
      </w:r>
    </w:p>
    <w:p w14:paraId="538743BB" w14:textId="77777777" w:rsidR="005E4C87" w:rsidRPr="00C33834" w:rsidRDefault="005E4C87" w:rsidP="00C33834">
      <w:pPr>
        <w:spacing w:after="0" w:line="240" w:lineRule="auto"/>
        <w:jc w:val="both"/>
        <w:rPr>
          <w:rFonts w:ascii="Times New Roman" w:eastAsia="Times New Roman" w:hAnsi="Times New Roman"/>
          <w:color w:val="000000" w:themeColor="text1"/>
          <w:sz w:val="16"/>
          <w:szCs w:val="16"/>
          <w:lang w:eastAsia="ru-RU"/>
        </w:rPr>
      </w:pPr>
    </w:p>
    <w:p w14:paraId="073E401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Делегация в составе П.И.Баранова и С.В.И была в 1933 во Франции и закупила Гном-Рон.</w:t>
      </w:r>
    </w:p>
    <w:p w14:paraId="7A2C8B90"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ДХ-3 установили внутрь бомбоотсека одного из опытных образцов бомбардиров</w:t>
      </w:r>
      <w:r w:rsidRPr="00C33834">
        <w:rPr>
          <w:rFonts w:ascii="Times New Roman" w:hAnsi="Times New Roman"/>
          <w:color w:val="000000" w:themeColor="text1"/>
          <w:sz w:val="16"/>
          <w:szCs w:val="16"/>
        </w:rPr>
        <w:softHyphen/>
        <w:t>щика СБ, выведя трубу наружу че</w:t>
      </w:r>
      <w:r w:rsidRPr="00C33834">
        <w:rPr>
          <w:rFonts w:ascii="Times New Roman" w:hAnsi="Times New Roman"/>
          <w:color w:val="000000" w:themeColor="text1"/>
          <w:sz w:val="16"/>
          <w:szCs w:val="16"/>
        </w:rPr>
        <w:softHyphen/>
        <w:t>рез прорезь в створке люка.. По заданию, никакого химического вооружения для этой машины во</w:t>
      </w:r>
      <w:r w:rsidRPr="00C33834">
        <w:rPr>
          <w:rFonts w:ascii="Times New Roman" w:hAnsi="Times New Roman"/>
          <w:color w:val="000000" w:themeColor="text1"/>
          <w:sz w:val="16"/>
          <w:szCs w:val="16"/>
        </w:rPr>
        <w:softHyphen/>
        <w:t>обще не предусматривалось, это было чистой самодеятельностью руководства ЦАГИ. Этот вариант даже не испытывался.</w:t>
      </w:r>
    </w:p>
    <w:p w14:paraId="19F306C8"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Развитием ДХ-3 стал прибор ДХ-23, отличавшийся способом крепления (на свободной подвеске ЦАГИ) и небольшими доработками насадка. Он также испытывался на ТБ-3 (самолет нес четыре прибора под центропланом). Вес снаряжен</w:t>
      </w:r>
      <w:r w:rsidRPr="00C33834">
        <w:rPr>
          <w:rFonts w:ascii="Times New Roman" w:hAnsi="Times New Roman"/>
          <w:color w:val="000000" w:themeColor="text1"/>
          <w:sz w:val="16"/>
          <w:szCs w:val="16"/>
        </w:rPr>
        <w:softHyphen/>
        <w:t>ного комплекта составлял 1701 кг. Но ДХ-23 также не был запущен в производство. Испытания показали, что завеса получалась неравномер</w:t>
      </w:r>
      <w:r w:rsidRPr="00C33834">
        <w:rPr>
          <w:rFonts w:ascii="Times New Roman" w:hAnsi="Times New Roman"/>
          <w:color w:val="000000" w:themeColor="text1"/>
          <w:sz w:val="16"/>
          <w:szCs w:val="16"/>
        </w:rPr>
        <w:softHyphen/>
        <w:t>ной, да и управление прибором признали ненадежным. Цех особых заданий ЗОК ЦАГИ изготовил все</w:t>
      </w:r>
      <w:r w:rsidRPr="00C33834">
        <w:rPr>
          <w:rFonts w:ascii="Times New Roman" w:hAnsi="Times New Roman"/>
          <w:color w:val="000000" w:themeColor="text1"/>
          <w:sz w:val="16"/>
          <w:szCs w:val="16"/>
        </w:rPr>
        <w:softHyphen/>
        <w:t>го одну партию для испытаний. На основе ДХ-3 намеревались создать универсальный прибор ХУП, но о нем толком ничего не известно.</w:t>
      </w:r>
    </w:p>
    <w:p w14:paraId="1B57D6B0"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более удачным оказался при</w:t>
      </w:r>
      <w:r w:rsidRPr="00C33834">
        <w:rPr>
          <w:rFonts w:ascii="Times New Roman" w:hAnsi="Times New Roman"/>
          <w:color w:val="000000" w:themeColor="text1"/>
          <w:sz w:val="16"/>
          <w:szCs w:val="16"/>
        </w:rPr>
        <w:softHyphen/>
        <w:t>бор конструкции Н.А. Лукина. Он состоял из двух больших сигарооб</w:t>
      </w:r>
      <w:r w:rsidRPr="00C33834">
        <w:rPr>
          <w:rFonts w:ascii="Times New Roman" w:hAnsi="Times New Roman"/>
          <w:color w:val="000000" w:themeColor="text1"/>
          <w:sz w:val="16"/>
          <w:szCs w:val="16"/>
        </w:rPr>
        <w:softHyphen/>
        <w:t>разных резервуаров и подвешивал</w:t>
      </w:r>
      <w:r w:rsidRPr="00C33834">
        <w:rPr>
          <w:rFonts w:ascii="Times New Roman" w:hAnsi="Times New Roman"/>
          <w:color w:val="000000" w:themeColor="text1"/>
          <w:sz w:val="16"/>
          <w:szCs w:val="16"/>
        </w:rPr>
        <w:softHyphen/>
        <w:t>ся под центропланом. Конструктор получил выигрыш по весу в 123 кг по сравнению с ДАП-200, отказав</w:t>
      </w:r>
      <w:r w:rsidRPr="00C33834">
        <w:rPr>
          <w:rFonts w:ascii="Times New Roman" w:hAnsi="Times New Roman"/>
          <w:color w:val="000000" w:themeColor="text1"/>
          <w:sz w:val="16"/>
          <w:szCs w:val="16"/>
        </w:rPr>
        <w:softHyphen/>
        <w:t>шись от выдавливания смеси сжа</w:t>
      </w:r>
      <w:r w:rsidRPr="00C33834">
        <w:rPr>
          <w:rFonts w:ascii="Times New Roman" w:hAnsi="Times New Roman"/>
          <w:color w:val="000000" w:themeColor="text1"/>
          <w:sz w:val="16"/>
          <w:szCs w:val="16"/>
        </w:rPr>
        <w:softHyphen/>
        <w:t>тым воздухом. Каждый резервуар имел свой эжектор, работавший по принципу трубки Вентури. Разреже</w:t>
      </w:r>
      <w:r w:rsidRPr="00C33834">
        <w:rPr>
          <w:rFonts w:ascii="Times New Roman" w:hAnsi="Times New Roman"/>
          <w:color w:val="000000" w:themeColor="text1"/>
          <w:sz w:val="16"/>
          <w:szCs w:val="16"/>
        </w:rPr>
        <w:softHyphen/>
        <w:t>ние подсасывало смесь из балло</w:t>
      </w:r>
      <w:r w:rsidRPr="00C33834">
        <w:rPr>
          <w:rFonts w:ascii="Times New Roman" w:hAnsi="Times New Roman"/>
          <w:color w:val="000000" w:themeColor="text1"/>
          <w:sz w:val="16"/>
          <w:szCs w:val="16"/>
        </w:rPr>
        <w:softHyphen/>
        <w:t>на. Прибор Лукина неоднократно испытывался на ТБ-3. Первый раз это имело место в ноябре 1934 г. Из-за плохих характеристик дымо</w:t>
      </w:r>
      <w:r w:rsidRPr="00C33834">
        <w:rPr>
          <w:rFonts w:ascii="Times New Roman" w:hAnsi="Times New Roman"/>
          <w:color w:val="000000" w:themeColor="text1"/>
          <w:sz w:val="16"/>
          <w:szCs w:val="16"/>
        </w:rPr>
        <w:softHyphen/>
        <w:t>вой завесы его забраковали. Усо</w:t>
      </w:r>
      <w:r w:rsidRPr="00C33834">
        <w:rPr>
          <w:rFonts w:ascii="Times New Roman" w:hAnsi="Times New Roman"/>
          <w:color w:val="000000" w:themeColor="text1"/>
          <w:sz w:val="16"/>
          <w:szCs w:val="16"/>
        </w:rPr>
        <w:softHyphen/>
        <w:t>вершенствованный вариант опро</w:t>
      </w:r>
      <w:r w:rsidRPr="00C33834">
        <w:rPr>
          <w:rFonts w:ascii="Times New Roman" w:hAnsi="Times New Roman"/>
          <w:color w:val="000000" w:themeColor="text1"/>
          <w:sz w:val="16"/>
          <w:szCs w:val="16"/>
        </w:rPr>
        <w:softHyphen/>
        <w:t>бовали в мае 1935 г. сначала в Щелково, а затем на Переяславс</w:t>
      </w:r>
      <w:r w:rsidRPr="00C33834">
        <w:rPr>
          <w:rFonts w:ascii="Times New Roman" w:hAnsi="Times New Roman"/>
          <w:color w:val="000000" w:themeColor="text1"/>
          <w:sz w:val="16"/>
          <w:szCs w:val="16"/>
        </w:rPr>
        <w:softHyphen/>
        <w:t>ком полигоне. Плотность завесы опять оказалась неудовлетворитель</w:t>
      </w:r>
      <w:r w:rsidRPr="00C33834">
        <w:rPr>
          <w:rFonts w:ascii="Times New Roman" w:hAnsi="Times New Roman"/>
          <w:color w:val="000000" w:themeColor="text1"/>
          <w:sz w:val="16"/>
          <w:szCs w:val="16"/>
        </w:rPr>
        <w:softHyphen/>
        <w:t>ной, а расход смеси — слишком велик. Кроме того, явно не устраи</w:t>
      </w:r>
      <w:r w:rsidRPr="00C33834">
        <w:rPr>
          <w:rFonts w:ascii="Times New Roman" w:hAnsi="Times New Roman"/>
          <w:color w:val="000000" w:themeColor="text1"/>
          <w:sz w:val="16"/>
          <w:szCs w:val="16"/>
        </w:rPr>
        <w:softHyphen/>
        <w:t>вало и то, что для подвески прибо</w:t>
      </w:r>
      <w:r w:rsidRPr="00C33834">
        <w:rPr>
          <w:rFonts w:ascii="Times New Roman" w:hAnsi="Times New Roman"/>
          <w:color w:val="000000" w:themeColor="text1"/>
          <w:sz w:val="16"/>
          <w:szCs w:val="16"/>
        </w:rPr>
        <w:softHyphen/>
        <w:t>ра Лукина под центропланом тре</w:t>
      </w:r>
      <w:r w:rsidRPr="00C33834">
        <w:rPr>
          <w:rFonts w:ascii="Times New Roman" w:hAnsi="Times New Roman"/>
          <w:color w:val="000000" w:themeColor="text1"/>
          <w:sz w:val="16"/>
          <w:szCs w:val="16"/>
        </w:rPr>
        <w:softHyphen/>
        <w:t>бовалось снять бомбодержатели. Не предусматривался и аварийный сброс устройства. Прибор Лукина тоже забраковали.</w:t>
      </w:r>
    </w:p>
    <w:p w14:paraId="13D3E1FA"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ТБ-3 предназначался и при</w:t>
      </w:r>
      <w:r w:rsidRPr="00C33834">
        <w:rPr>
          <w:rFonts w:ascii="Times New Roman" w:hAnsi="Times New Roman"/>
          <w:color w:val="000000" w:themeColor="text1"/>
          <w:sz w:val="16"/>
          <w:szCs w:val="16"/>
        </w:rPr>
        <w:softHyphen/>
        <w:t>бор Г-61, проектировавшийся в Эк</w:t>
      </w:r>
      <w:r w:rsidRPr="00C33834">
        <w:rPr>
          <w:rFonts w:ascii="Times New Roman" w:hAnsi="Times New Roman"/>
          <w:color w:val="000000" w:themeColor="text1"/>
          <w:sz w:val="16"/>
          <w:szCs w:val="16"/>
        </w:rPr>
        <w:softHyphen/>
        <w:t>спериментальном институте НКТП в 1934 г. Два больших цилиндра кре</w:t>
      </w:r>
      <w:r w:rsidRPr="00C33834">
        <w:rPr>
          <w:rFonts w:ascii="Times New Roman" w:hAnsi="Times New Roman"/>
          <w:color w:val="000000" w:themeColor="text1"/>
          <w:sz w:val="16"/>
          <w:szCs w:val="16"/>
        </w:rPr>
        <w:softHyphen/>
        <w:t>пились на общей раме под «брю</w:t>
      </w:r>
      <w:r w:rsidRPr="00C33834">
        <w:rPr>
          <w:rFonts w:ascii="Times New Roman" w:hAnsi="Times New Roman"/>
          <w:color w:val="000000" w:themeColor="text1"/>
          <w:sz w:val="16"/>
          <w:szCs w:val="16"/>
        </w:rPr>
        <w:softHyphen/>
        <w:t>хом» бомбардировщика. Этот при</w:t>
      </w:r>
      <w:r w:rsidRPr="00C33834">
        <w:rPr>
          <w:rFonts w:ascii="Times New Roman" w:hAnsi="Times New Roman"/>
          <w:color w:val="000000" w:themeColor="text1"/>
          <w:sz w:val="16"/>
          <w:szCs w:val="16"/>
        </w:rPr>
        <w:softHyphen/>
        <w:t>бор задумывался как универсаль</w:t>
      </w:r>
      <w:r w:rsidRPr="00C33834">
        <w:rPr>
          <w:rFonts w:ascii="Times New Roman" w:hAnsi="Times New Roman"/>
          <w:color w:val="000000" w:themeColor="text1"/>
          <w:sz w:val="16"/>
          <w:szCs w:val="16"/>
        </w:rPr>
        <w:softHyphen/>
        <w:t>ный: в него можно было заправлять дымовую смесь, растворы отравля</w:t>
      </w:r>
      <w:r w:rsidRPr="00C33834">
        <w:rPr>
          <w:rFonts w:ascii="Times New Roman" w:hAnsi="Times New Roman"/>
          <w:color w:val="000000" w:themeColor="text1"/>
          <w:sz w:val="16"/>
          <w:szCs w:val="16"/>
        </w:rPr>
        <w:softHyphen/>
        <w:t>ющих веществ, зажигательные жид</w:t>
      </w:r>
      <w:r w:rsidRPr="00C33834">
        <w:rPr>
          <w:rFonts w:ascii="Times New Roman" w:hAnsi="Times New Roman"/>
          <w:color w:val="000000" w:themeColor="text1"/>
          <w:sz w:val="16"/>
          <w:szCs w:val="16"/>
        </w:rPr>
        <w:softHyphen/>
        <w:t>кости (смесь нефти и бензина с добавкой фосфора) и даже штам</w:t>
      </w:r>
      <w:r w:rsidRPr="00C33834">
        <w:rPr>
          <w:rFonts w:ascii="Times New Roman" w:hAnsi="Times New Roman"/>
          <w:color w:val="000000" w:themeColor="text1"/>
          <w:sz w:val="16"/>
          <w:szCs w:val="16"/>
        </w:rPr>
        <w:softHyphen/>
        <w:t>мы болезнетворных бактерий в воде. Реально даже настоящего проекта этой штуки не подготовили.</w:t>
      </w:r>
    </w:p>
    <w:p w14:paraId="4290E499"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Одним из основных недостатков немецких дымовых приборов счита</w:t>
      </w:r>
      <w:r w:rsidRPr="00C33834">
        <w:rPr>
          <w:rFonts w:ascii="Times New Roman" w:hAnsi="Times New Roman"/>
          <w:color w:val="000000" w:themeColor="text1"/>
          <w:sz w:val="16"/>
          <w:szCs w:val="16"/>
        </w:rPr>
        <w:softHyphen/>
        <w:t>лось вытеснение смеси сжатым воз</w:t>
      </w:r>
      <w:r w:rsidRPr="00C33834">
        <w:rPr>
          <w:rFonts w:ascii="Times New Roman" w:hAnsi="Times New Roman"/>
          <w:color w:val="000000" w:themeColor="text1"/>
          <w:sz w:val="16"/>
          <w:szCs w:val="16"/>
        </w:rPr>
        <w:softHyphen/>
        <w:t>духом. Советские конструкторы по</w:t>
      </w:r>
      <w:r w:rsidRPr="00C33834">
        <w:rPr>
          <w:rFonts w:ascii="Times New Roman" w:hAnsi="Times New Roman"/>
          <w:color w:val="000000" w:themeColor="text1"/>
          <w:sz w:val="16"/>
          <w:szCs w:val="16"/>
        </w:rPr>
        <w:softHyphen/>
        <w:t>стоянно пытались использовать дру</w:t>
      </w:r>
      <w:r w:rsidRPr="00C33834">
        <w:rPr>
          <w:rFonts w:ascii="Times New Roman" w:hAnsi="Times New Roman"/>
          <w:color w:val="000000" w:themeColor="text1"/>
          <w:sz w:val="16"/>
          <w:szCs w:val="16"/>
        </w:rPr>
        <w:softHyphen/>
        <w:t>гие принципы подачи, чтобы обой</w:t>
      </w:r>
      <w:r w:rsidRPr="00C33834">
        <w:rPr>
          <w:rFonts w:ascii="Times New Roman" w:hAnsi="Times New Roman"/>
          <w:color w:val="000000" w:themeColor="text1"/>
          <w:sz w:val="16"/>
          <w:szCs w:val="16"/>
        </w:rPr>
        <w:softHyphen/>
        <w:t>тись без громоздкого и тяжелого баллона и редуктора.</w:t>
      </w:r>
    </w:p>
    <w:p w14:paraId="4B9EA4F0" w14:textId="77777777" w:rsidR="000904A1" w:rsidRPr="00C33834" w:rsidRDefault="000904A1"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Как уже говорилось, Лукин для этой цели использовал эжектор. В 1933 г. П.И. Гроховским был пред</w:t>
      </w:r>
      <w:r w:rsidRPr="00C33834">
        <w:rPr>
          <w:rFonts w:ascii="Times New Roman" w:hAnsi="Times New Roman"/>
          <w:color w:val="000000" w:themeColor="text1"/>
          <w:sz w:val="16"/>
          <w:szCs w:val="16"/>
        </w:rPr>
        <w:softHyphen/>
        <w:t>ложен прибор Г-50. У него смесь вытеснялась скоростным напором, как в выливных приборах, заправ</w:t>
      </w:r>
      <w:r w:rsidRPr="00C33834">
        <w:rPr>
          <w:rFonts w:ascii="Times New Roman" w:hAnsi="Times New Roman"/>
          <w:color w:val="000000" w:themeColor="text1"/>
          <w:sz w:val="16"/>
          <w:szCs w:val="16"/>
        </w:rPr>
        <w:softHyphen/>
        <w:t>лявшихся отравляющими вещества</w:t>
      </w:r>
      <w:r w:rsidRPr="00C33834">
        <w:rPr>
          <w:rFonts w:ascii="Times New Roman" w:hAnsi="Times New Roman"/>
          <w:color w:val="000000" w:themeColor="text1"/>
          <w:sz w:val="16"/>
          <w:szCs w:val="16"/>
        </w:rPr>
        <w:softHyphen/>
        <w:t>ми. Г-50 включал два бака, общий вес его оценивался в 1500 кг. На ТБ-1 его хотели разместить внутри бомбоотсека, подвесив на кассет</w:t>
      </w:r>
      <w:r w:rsidRPr="00C33834">
        <w:rPr>
          <w:rFonts w:ascii="Times New Roman" w:hAnsi="Times New Roman"/>
          <w:color w:val="000000" w:themeColor="text1"/>
          <w:sz w:val="16"/>
          <w:szCs w:val="16"/>
        </w:rPr>
        <w:softHyphen/>
        <w:t>ных держателях, на Р-6 — снаружи. Проект выглядел явно нереальным. ТБ-1 мог унести полторы тонны толь</w:t>
      </w:r>
      <w:r w:rsidRPr="00C33834">
        <w:rPr>
          <w:rFonts w:ascii="Times New Roman" w:hAnsi="Times New Roman"/>
          <w:color w:val="000000" w:themeColor="text1"/>
          <w:sz w:val="16"/>
          <w:szCs w:val="16"/>
        </w:rPr>
        <w:softHyphen/>
        <w:t>ко при значительном облегчении, а для Р-6 груз был совершенно не</w:t>
      </w:r>
      <w:r w:rsidRPr="00C33834">
        <w:rPr>
          <w:rFonts w:ascii="Times New Roman" w:hAnsi="Times New Roman"/>
          <w:color w:val="000000" w:themeColor="text1"/>
          <w:sz w:val="16"/>
          <w:szCs w:val="16"/>
        </w:rPr>
        <w:softHyphen/>
        <w:t>подъемным (12269).</w:t>
      </w:r>
    </w:p>
    <w:p w14:paraId="202A5F7C" w14:textId="77777777" w:rsidR="000904A1" w:rsidRPr="00C33834" w:rsidRDefault="000904A1" w:rsidP="00C33834">
      <w:pPr>
        <w:spacing w:after="0" w:line="240" w:lineRule="auto"/>
        <w:jc w:val="both"/>
        <w:rPr>
          <w:rFonts w:ascii="Times New Roman" w:hAnsi="Times New Roman"/>
          <w:color w:val="000000" w:themeColor="text1"/>
          <w:sz w:val="16"/>
          <w:szCs w:val="16"/>
        </w:rPr>
      </w:pPr>
    </w:p>
    <w:p w14:paraId="149DD8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Ростовское вертолетное ПО началось от рязанского завода 168, образованного в 1933. В 41 - эвакуация в Волжск, Марийской АССР, в 44 - реэвакуация в Ростов. Первоначально делал винты, затем крылья для МиГ-3, делал планеры КЦ-20 Д.Н.Колесникова и П.В.Цыбина. В эвакуации - Ут-2М и в Ростове - тоже плюс По-2, Як-14 и Ил-10 (62,488).</w:t>
      </w:r>
    </w:p>
    <w:p w14:paraId="06926E7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AA47D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на их базе создан завод № 63 ГВФ. С 1936 г. - опытный завод НИИ ГВФ, с 1937 г. - самостоятельный мелкосерийный завод (имел обиходное название - Тушинский завод ГВФ). В соответствии с пост. КО № 176сс от 31.07.1938 г. завод передан в ведение НКВД и переименован в завод № 82. С 08.1938 г. - филиал ЦИАМ в подчинении НКВД. В 02.1940 г. передан из НКВД в 8ГУ НКАП.</w:t>
      </w:r>
    </w:p>
    <w:p w14:paraId="537859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выпускал запчасти к моторам М-17, М-11, МГ-11, МГ-21, МГ-31 (до 1938 г.); с 1937 г. начато опытное и мелкосерийное строительство мотора МГ-31. В 1937 г. выпущена опытная партия дизелей Д-11. В 1938 г. завод перепрофилирован на выпуск дизелей. С 1939 г. начато освоение производства дизелей АН-1, М-30, М-31. На 1939 г. был задан план в 50 моторов с доведением в последующем годовой мощности до 200 шт.</w:t>
      </w:r>
    </w:p>
    <w:p w14:paraId="4AFF49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03.1940 г. на площадке завода организован также завод № 291 НКАП.</w:t>
      </w:r>
    </w:p>
    <w:p w14:paraId="3EB00A8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12.1940 г. передан в ЗГУ НКАП. По приказу № 614с/ 105с от 2.11.1940 г. в состав завода был влит радиозавод № 85 ГУ ГВФ. Полностью завод должен был быть введен в строй в 1941 г. К середине 1941 г. завод имел две территории: старую и новую.</w:t>
      </w:r>
    </w:p>
    <w:p w14:paraId="028FA3A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приказу № 729сс от 22.07.1941 г. завод № 82 ЗГУ НКАП эвакуирован в  г. Казань на площадку завода № 27 НКАП. Организационно завод влит в состав завода № 27, но по приказам № 1091с от 1.11.1941 г. и № 1145сс от 20.11.1941 г. производство авиадизеля М-30 выделено вновь в самостоятельное производство на мощностях бывшего завода № 82 и под тем же номером действовало в Казани.</w:t>
      </w:r>
    </w:p>
    <w:p w14:paraId="5B86C8C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связи с возобновлением производства М-30 на старой площадке завода в Тушино, в соответствии с пост. ГКО № 1207сс от 24.01.1942 г. и приказом № 74с от 26.01.1942 г. завод № 82 к 03.1942 г. был переведен обратно в Тушино со всем оборудованием и личным составом и должен был выпустить к 1.05.1942 г. серийный мотор М-30. Вскоре по прибытии для обеспечения быстрейшей организации в Москве завода-дублера по производству АМ-38 в соответствии с пост. ГКО № 1440сс от 14.03.1942 г. и приказом № 206сс от 16.03.1942 г. завод № 82 ликвидирован, все оборудование и основная часть личного состава переданы заводу № 45 НКАП. Выпуск М-30 временно приостановлен, а задел по нему передан в ЦИАМ.</w:t>
      </w:r>
    </w:p>
    <w:p w14:paraId="5CD1B5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приказу № 239с от 30.03.1942 г. на площадке бывшего завода № 82 образован в системе Главремуправления завод по ремонту моторов «Мерлин» и «Аллисон». Выпуск запчастей к авиамоторам.</w:t>
      </w:r>
    </w:p>
    <w:p w14:paraId="743CBC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приказу № 287с от 16.04.1942 г. новый завод получил наименование ГС завод № 453 НКАП при 6ГУ. В соответствии с пост. ГКО от 4.04.1942 г. и приказом № 268с от 10.04.1942 г. на площадке эвакуированного завода № 82 НКАП в Тушино организован филиал ЦИАМ. Затем в соответствии с пост. ГКО № 1866сс от 4.06.1942 г. и приказом № 444сс от 13.06.1942 г. на этом месте организован опытный двигателестроительный завод № 500 8ГУ НКАП.</w:t>
      </w:r>
    </w:p>
    <w:p w14:paraId="590EF92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Директор (1932-35 г.)- С.Е. Киселев, (1936 г.)- </w:t>
      </w:r>
      <w:r w:rsidRPr="00C33834">
        <w:rPr>
          <w:rFonts w:ascii="Times New Roman" w:hAnsi="Times New Roman"/>
          <w:color w:val="000000" w:themeColor="text1"/>
          <w:sz w:val="16"/>
          <w:szCs w:val="16"/>
          <w:lang w:val="en-US"/>
        </w:rPr>
        <w:t>B</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C</w:t>
      </w:r>
      <w:r w:rsidRPr="00C33834">
        <w:rPr>
          <w:rFonts w:ascii="Times New Roman" w:hAnsi="Times New Roman"/>
          <w:color w:val="000000" w:themeColor="text1"/>
          <w:sz w:val="16"/>
          <w:szCs w:val="16"/>
        </w:rPr>
        <w:t>. Войтов, (1937 г.)- А.С. Черняков, (1938-41 г.)- С.Н. Жилин, (1941-42 г.-)- В.Н. Дубов.</w:t>
      </w:r>
      <w:r w:rsidRPr="00C33834">
        <w:rPr>
          <w:rFonts w:ascii="Times New Roman" w:hAnsi="Times New Roman"/>
          <w:color w:val="000000" w:themeColor="text1"/>
          <w:sz w:val="16"/>
          <w:szCs w:val="16"/>
          <w:vertAlign w:val="superscript"/>
        </w:rPr>
        <w:t>49</w:t>
      </w:r>
    </w:p>
    <w:p w14:paraId="2E7A45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(конец 1930-х)- А. Г. Таканаев</w:t>
      </w:r>
      <w:r w:rsidRPr="00C33834">
        <w:rPr>
          <w:rFonts w:ascii="Times New Roman" w:hAnsi="Times New Roman"/>
          <w:color w:val="000000" w:themeColor="text1"/>
          <w:sz w:val="16"/>
          <w:szCs w:val="16"/>
          <w:vertAlign w:val="superscript"/>
        </w:rPr>
        <w:t>34</w:t>
      </w:r>
      <w:r w:rsidRPr="00C33834">
        <w:rPr>
          <w:rFonts w:ascii="Times New Roman" w:hAnsi="Times New Roman"/>
          <w:color w:val="000000" w:themeColor="text1"/>
          <w:sz w:val="16"/>
          <w:szCs w:val="16"/>
        </w:rPr>
        <w:t>.</w:t>
      </w:r>
    </w:p>
    <w:p w14:paraId="23C49B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конструкторы: (1942 г.)- Ф.Я. Тулупов (М-30) (11982).</w:t>
      </w:r>
    </w:p>
    <w:p w14:paraId="487F91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0FFF5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1933 г. группу специалистов, занимавшуюся моторами малой мощности, перевели из Запорожья в Москву в состав Отдела бензиновых двигателей НИИ авиадвигателей ГВФ (НИИ АД ГВФ). Отдел разместили в здании Дирижаблестроительного учебного комбината в подмосковном поселке Тушино. Начальником отдела стал М.А. Коссов. Базовым предприятием определили расположенный рядом завод № 82, тоже принадлежавший гражданской авиации; в его составе организовали опытный цех. НИИ АД ГВФ передали всю документацию на М-48, М-49 и М-51. Коссов прихватил с собой и проект М-50; до 1934 г. он несколько раз пытался его усовершенствовать, но так и не получил удовлетворительного результата. Другим членам семейства повезло больше. На их основе в Тушино спроектировали серию двигателей, сохранявших многие детали и узлы М-11, но отличавшихся от оригинала все больше и больше. М-51 превратился в МГ-11, М-48 - в МГ-21, М-49 - в МГ-31. Буквы "МГ" расшифровывались как "мотор гражданский". Все двигатели, спроектированные в НИИ АД ГВФ, получали обозначение с этим сочетанием. Три мотора имели до 90 % взаимозаменяемых деталей. Мощность их по сравнению с запорожскими вариантами существенно возросла. Так, МГ-11 уже "от рождения" рассчитывался на максимальную мощность 180 л.с. (номинальная - 150 л.с.). Однако при этом мотор потяжелел, и его удельная мощность лишь немного превышала единицу. Первые опытные образцы МГ-11 изготовили в 1934-1935 гг. После успешных запусков на стенде в 1935 г. один из них установили на биплане У-2. Коссов создал несколько модификаций МГ-11. Так, на некоторых экземплярах вместо отечественного карбюратора К-11 (от М-11В) устанавливался французский "Зенит" DCL 42, а в 1937 г. - специальные карбюраторы для перевернутого полета. Последовательно появились МГ-11А с увеличенным ресурсом и МГ-11Н с непосредственным впрыском топлива (оба - в 1936 г.), МГ-11Ф, у которого номинальную мощность довели до 165 л.с. (1937 г.), и его модификация МГ-11ФН с впрыском топлива. Завод изготовил 13 экземпляров МГ-11. Фактически все они были опытными образцами, хотя летали на самолетах У-2, У-5бис и др. Конструкция МГ-11 вызвала интерес и в других конструкторских бюро. Например, в харьковском УНИАДИ проектировался вариант этого мотора с нагнетателем типа "Рут". Одним из требований к конструкторам было использование максимального количества агрегатов, уже находящихся в производстве. Так, семицилиндровый МГ-21 (220 л.с.) оснащался карбюратором К-17 от мотора М-17. Первые два опытных образца МГ-21 изготовили в 1934 г., в 1934-1935 гг. они проходили стендовые испытания и доводку. Летные испытания проводились на самолете КАИ-2 в 1937 г. В следующем году на самолете САМ-5-2бис с МГ-21 установили рекорд высоты. Возможно, что в этом случае использовали усовершенствованный МГ-21А (250 л.с.), изготовленный в 1936 г. Самым удачным двигателем семейства МГ считался девятицилиндровый МГ-31. На него возлагали большие надежды военные, намеревавшиеся использовать его на учебно-боевых самолетах. Конструкция его в целом повторяла МГ-11 и МГ-21, но все основные узлы были усилены. Первые образцы с импортными карбюраторами "Зенит" 60DCL были изготовлены в 1934 г. По расчетам максимальная мощность должна была составить 320 л. с., но на практике больше 310 л.с. получить не удалось. Зато номинальная мощность 270 л.с. соответствовала заданию. В январе 1935 г. МГ-31 впервые выставили на госиспытания, но оба предъявленных экземпляра довольно быстро вышли из строя. Лишь в 1936 г. МГ-31 успешно прошел госиспытания. Новый вариант уже оснащался карбюратором К-17 с расточенным диффузором. В январе-феврале 1937 г. двигатель успешно опробовали в воздухе на самолете "Сталь-2". С 1936 г. на заводе № 82 освоили серийный выпуск МГ-31. Параллельно в НИИ АД ГВФ спроектировали и </w:t>
      </w:r>
      <w:r w:rsidRPr="00C33834">
        <w:rPr>
          <w:rFonts w:ascii="Times New Roman" w:hAnsi="Times New Roman"/>
          <w:color w:val="000000" w:themeColor="text1"/>
          <w:sz w:val="16"/>
          <w:szCs w:val="16"/>
        </w:rPr>
        <w:lastRenderedPageBreak/>
        <w:t>построили опытные образцы модификаций МГ-31А, МГ-31Н (с непосредственным впрыском топлива) и МГ-31Ф (форсированной по частоте вращения вала). С конца 1937 г. тип "Ф "внедрили в серию. В опытных образцах существовали модификации МГ-31ФН (с впрыском топлива) и МГ-31Ф2 (о последней нет информации). Моторы МГ-31 и МГ-31Ф устанавливались на серийных пассажирских самолетах "Сталь-2", опытных машинах УТИ-5 (НВ-2бис) и др., а позже на вертолете "Омега-II" (2МГ). В последнем случае к двигателю пристроили вентилятор принудительного охлаждения. Использование МГ-31 предусматривалось также проектами самолетов МБР-6 и УТ-3 (11478).</w:t>
      </w:r>
    </w:p>
    <w:p w14:paraId="567E59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8416E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1933 году в Италии для СССР построили пять </w:t>
      </w:r>
      <w:r w:rsidRPr="00C33834">
        <w:rPr>
          <w:rFonts w:ascii="Times New Roman" w:hAnsi="Times New Roman"/>
          <w:color w:val="000000" w:themeColor="text1"/>
          <w:sz w:val="16"/>
          <w:szCs w:val="16"/>
          <w:lang w:val="en-US"/>
        </w:rPr>
        <w:t>S</w:t>
      </w:r>
      <w:r w:rsidRPr="00C33834">
        <w:rPr>
          <w:rFonts w:ascii="Times New Roman" w:hAnsi="Times New Roman"/>
          <w:color w:val="000000" w:themeColor="text1"/>
          <w:sz w:val="16"/>
          <w:szCs w:val="16"/>
        </w:rPr>
        <w:t>-55. Их заводские номера были: 10526, 10527,10528,10529 и 10530. Четыре машины впоследствии попали в Дальневосточное уп</w:t>
      </w:r>
      <w:r w:rsidRPr="00C33834">
        <w:rPr>
          <w:rFonts w:ascii="Times New Roman" w:hAnsi="Times New Roman"/>
          <w:color w:val="000000" w:themeColor="text1"/>
          <w:sz w:val="16"/>
          <w:szCs w:val="16"/>
        </w:rPr>
        <w:softHyphen/>
        <w:t xml:space="preserve">равление ГВФ. Савойя </w:t>
      </w:r>
      <w:r w:rsidRPr="00C33834">
        <w:rPr>
          <w:rFonts w:ascii="Times New Roman" w:hAnsi="Times New Roman"/>
          <w:color w:val="000000" w:themeColor="text1"/>
          <w:sz w:val="16"/>
          <w:szCs w:val="16"/>
          <w:lang w:val="en-US"/>
        </w:rPr>
        <w:t>S</w:t>
      </w:r>
      <w:r w:rsidRPr="00C33834">
        <w:rPr>
          <w:rFonts w:ascii="Times New Roman" w:hAnsi="Times New Roman"/>
          <w:color w:val="000000" w:themeColor="text1"/>
          <w:sz w:val="16"/>
          <w:szCs w:val="16"/>
        </w:rPr>
        <w:t>.55 зав. № 10526 СССР-Н11 потерпела катастрофу на Волге 13 июля 1933. А что же остальные четыре «Савойи»? Все они попали на Дальний Восток, где летали с опознавательными знаками СССР-Л995, СССР- Л996, СССР-Л997 и СССР-Л840. Но судьба у них была незавидной. Каждый год разбивалось по одной машине. 12.09.34 г. потерпел катастрофу самолет СССР-Л997. 26.06.35 разбился СССР-Л840. Еще через год - 21.06.36 г. - СССР-Л996. Дольше всех проле</w:t>
      </w:r>
      <w:r w:rsidRPr="00C33834">
        <w:rPr>
          <w:rFonts w:ascii="Times New Roman" w:hAnsi="Times New Roman"/>
          <w:color w:val="000000" w:themeColor="text1"/>
          <w:sz w:val="16"/>
          <w:szCs w:val="16"/>
        </w:rPr>
        <w:softHyphen/>
        <w:t>тал СССР-Л995. Его «смерть» стала единствен</w:t>
      </w:r>
      <w:r w:rsidRPr="00C33834">
        <w:rPr>
          <w:rFonts w:ascii="Times New Roman" w:hAnsi="Times New Roman"/>
          <w:color w:val="000000" w:themeColor="text1"/>
          <w:sz w:val="16"/>
          <w:szCs w:val="16"/>
        </w:rPr>
        <w:softHyphen/>
        <w:t>ной «естественной» - самолет списали по из</w:t>
      </w:r>
      <w:r w:rsidRPr="00C33834">
        <w:rPr>
          <w:rFonts w:ascii="Times New Roman" w:hAnsi="Times New Roman"/>
          <w:color w:val="000000" w:themeColor="text1"/>
          <w:sz w:val="16"/>
          <w:szCs w:val="16"/>
        </w:rPr>
        <w:softHyphen/>
        <w:t>носу 17 октября 1938 г. (11975).</w:t>
      </w:r>
    </w:p>
    <w:p w14:paraId="113045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3F1AEA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1933 г. постройку опытного образца МК-1 осуществляли в большом цехе Завода опытных конструкций ЦАГИ. В июле следующего года его (видимо, в разобранном виде) перевезли на гидробазу ЦАГИ в Севастополе (12036). Заводские испытания начались с 8 августа 1934 г. Летчиком был Т.В. Рябенко. МК-1 летал как разведчик без бомб или эквивалентного по весу балласта; взлетный вес равнялся 28 750 кг. Но и так смогли получить скорость всего 233 км/ч - ниже расчетной и ниже заданной. Практический потолок равнялся 3500 м. Огромный самолет оказался поистине нетороплив: на высоту 3000 м он забирался больше получаса. На государственных испытаниях (27 июля - 15 августа 1935 г.), когда летали с 5 т бомб (взлетный вес 32 500 кг), причем на наружной подвеске, максимальная скорость упала до 205 км/ч. Крейсерская скорость равнялась 180 км/ч, дальность - 1330 км, практический потолок - 2250 м. С перегрузочным весом 43 000 кг машину не испытывали.</w:t>
      </w:r>
    </w:p>
    <w:p w14:paraId="69C6CBF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воде катамаран вел себя отлично. Он мог без проблем взлетать и садиться в открытом море при полутораметровой волне, обладал на плаву хорошей маневренностью, управляемостью и остойчивостью. Впрочем, и в полете МК-1 отличался устойчивостью, неплохой управляемостью и вполне приемлемой для его размеров маневренностью. Но этого было недостаточно.</w:t>
      </w:r>
    </w:p>
    <w:p w14:paraId="0A8C51A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Причиной неудач сочли мотоустановки. Сделали вывод, что задние, толкающие, винты имеют низкий коэффициент полезного действия из-за воздействия спутной струи от переднего, тянущего, пропеллера. Решили доработать мотоустановки, поставить двигатели М-34РН и облегчить конструкцию планера. Но делать этого не стали (12036).</w:t>
      </w:r>
    </w:p>
    <w:p w14:paraId="442606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1C6073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был запущен 19 пермский - осваивал Циклон при содействии Кертисс-Райт. Лицензионный договор был подписан 22 апреля 1933. Созданием М-25 руководил А.Д.Швецов (80,430).</w:t>
      </w:r>
    </w:p>
    <w:p w14:paraId="2510948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81F42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пермский завод 19, первоначально предназначенный для производства моторов Юпитер-4 после поездки делегации авиапромышленности за границу был перепрофилирован для производства двигателей Циклон. Воронежский завод 16, первоначально по первому пятилетнему плану предназначающийся для производства штурмовиков, был переориентирован на выпуск вооружения, а затем - с 1934 - моторов (80,419).</w:t>
      </w:r>
    </w:p>
    <w:p w14:paraId="3250E80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4E2A0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было принято решение Правительства организовать на заводе № 19 производство авиационных двигателей М-25 (типа «Циклон») воздушного охлаждения.</w:t>
      </w:r>
    </w:p>
    <w:p w14:paraId="6525B2F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этому времени с американской фирмой «Райт» был заключен договор о технической помощи на производство этих двигателей.</w:t>
      </w:r>
    </w:p>
    <w:p w14:paraId="724F37D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Как подготовительный этап завод № 19 получил задание в течение 1934 года собрать малую партию двигателей из деталей американского производства и подготовиться к серийному производству двигателей М-25 начиная с 1935 года.</w:t>
      </w:r>
    </w:p>
    <w:p w14:paraId="641E47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КБ под руководством А.Д. Швецова была проведена огромная работа по созданию технической документации обеспечивающей качественное изготовление деталей, сборку и испытание двигателей. С поставленными задачами в 1934 году завод успешно справился и получил высокую оценку НК тяжпрома.</w:t>
      </w:r>
    </w:p>
    <w:p w14:paraId="78A2ACF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1934 год является годом рождения завода, годом ввода его в эксплуатацию.</w:t>
      </w:r>
    </w:p>
    <w:p w14:paraId="13D359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Коллектив КБ работал над улучшением конструкции двигателя, а после проведения ряда конструктивных изменений в августе 1935 года на госиспытание была предъявлена новая модификация двигателя М-25, более мощный двигатель М-25А, который получил широкое применение в военно-воздушном флоте СССР.</w:t>
      </w:r>
    </w:p>
    <w:p w14:paraId="2E1B6E3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Если 1934 год был для ОКБ завода годом развернутой подготовки, 1935 год – годом освоения и выяснения потенциальной возможности мотора «Циклон», то 1936 год должен был стать годом создания новых модификаций двигателей, более мощных и надежных в работе на базе дальнейшего конструктивного развития двигателя М-25А.</w:t>
      </w:r>
    </w:p>
    <w:p w14:paraId="6D5FFAD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течение 1936 года ОКБ была проделана большая работа по созданию и конструктивной разработке новых более мощных двигателей.</w:t>
      </w:r>
    </w:p>
    <w:p w14:paraId="1627C3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результате этого, наряду с двигателем М-25А внедренным в серийное производство, был создан новый двигатель М-25В, прошедший в августе 1936 года государственные 100-часовые испытания.</w:t>
      </w:r>
    </w:p>
    <w:p w14:paraId="0E8ACA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Одновременно с этим велись работы по проектированию современного в то время двигателя М-62.</w:t>
      </w:r>
    </w:p>
    <w:p w14:paraId="7D872D4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1937 году двигатель М-25В был внедрен в серийное производство, а также был подготовлен для проведения госиспытаний двигатель М-62.</w:t>
      </w:r>
    </w:p>
    <w:p w14:paraId="45E0A6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этот же период был разработан проект редукторного двигателя АШ-62ИР, который прошел госиспытание в мае 1938 года. Необходимо отметить, что этот двигатель продолжает эксплуатироваться до настоящего времени на пассажирских и транспортных самолетах и в результате проведенных конструктивных доработок ресурс его доведен до 700 часов.</w:t>
      </w:r>
    </w:p>
    <w:p w14:paraId="5667295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1938 году ОКБ проводилась разработка более мощного двигателя М-63, который выпускался в серийном производстве, начиная с 1939 года.</w:t>
      </w:r>
    </w:p>
    <w:p w14:paraId="4EAAD1E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1939 году был разработан новый двигатель АШ-82 – двухрядная 14-цилиндровая звезда.</w:t>
      </w:r>
    </w:p>
    <w:p w14:paraId="0A43E4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Исходя из назначения указанного двигателя для истребительной авиации в основу его проектирования были заложены данные, характеризующиеся минимальным удельным весом и минимальной лобовой поверхностью.</w:t>
      </w:r>
    </w:p>
    <w:p w14:paraId="69B09B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Тактико-технические данные этого двигателя были одними из лучших в мире среди авиационных двигателей такого класса. Кроме того он имел возможность дальнейшего форсирования.</w:t>
      </w:r>
    </w:p>
    <w:p w14:paraId="373734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1941 года двигатель АШ-82 прошел госиспытание в течение 100 часов с удовлетворительными результатами.</w:t>
      </w:r>
    </w:p>
    <w:p w14:paraId="5BDB7E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основании указания Правительства от 9 мая 1941 года двигатель АШ-82 был запущен в серийное производство.</w:t>
      </w:r>
    </w:p>
    <w:p w14:paraId="0E82381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к началу ВОВ мы имели двигатели семейства «АШ» следующих наименований:</w:t>
      </w:r>
    </w:p>
    <w:p w14:paraId="34AD9E9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М-25В – однорядная 9-ти цилиндровая звезда</w:t>
      </w:r>
    </w:p>
    <w:p w14:paraId="03AB075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М-62 – однорядная 9-ти цилиндровая звезда (без редуктора)</w:t>
      </w:r>
    </w:p>
    <w:p w14:paraId="534461D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АШ-62ИР – однорядная 9-ти цилиндровая звезда (с редуктором 11/16)</w:t>
      </w:r>
    </w:p>
    <w:p w14:paraId="0169CC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М-63 - однорядная 9-ти цилиндровая звезда (без редуктора)</w:t>
      </w:r>
    </w:p>
    <w:p w14:paraId="52DF8C5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АШ-82 – двухрядная 14-ти цилиндровая звезда (с редуктором 11/16)</w:t>
      </w:r>
    </w:p>
    <w:p w14:paraId="65184CE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 эти двигатели, кроме двигателя АШ-62ИР устанавливались на лучшие по тому времени истребители, находящиеся в ВВС нашей армии. Двигатель АШ-62ИР устанавливался на транспортный самолет ЛИ-2, на котором он продолжает эксплуатироваться до настоящего времени.</w:t>
      </w:r>
    </w:p>
    <w:p w14:paraId="704B61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Приказом по гражданскому аэрофлоту от 18 сентября 1941 года срок службы двигателя АШ-62ИР до первой переборки был установлен 500 часов, а отдельным подразделениям предоставлено право и этот срок повышать на 20%.</w:t>
      </w:r>
    </w:p>
    <w:p w14:paraId="16E3C5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 января 1943 года заводом начала выпускаться новая модификация двигателя – АШ-82Ф, а затем – АШ-82ФН.</w:t>
      </w:r>
    </w:p>
    <w:p w14:paraId="3B0FD11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Двигатели АШ-82Ф и АШ-82ФН с редуктором 11/16 устанавливались на самолеты истребители Ла-5 и Ла-7, а двигатель АШ-82ФН с редуктором на бомбардировщик ТУ-2.</w:t>
      </w:r>
    </w:p>
    <w:p w14:paraId="68D480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Выше отмечены типы двигателей, над которыми работали ОКБ и завод, которые находились в серийном производстве и нашли широкое применение в эксплуатации.</w:t>
      </w:r>
    </w:p>
    <w:p w14:paraId="3B46E4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них ОКБ были проведены работы по созданию большого количества других модификаций, которые по целому ряду причин не были запущены в серийное производство.</w:t>
      </w:r>
    </w:p>
    <w:p w14:paraId="29AB1B1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 них необходимо отметить 180ти цилиндровый двигатель М-71, который прошел необходимые испытания на заводе и был выпущен малой серией. Самолеты (штурмовик и бомбардировщик) с указанным мотором показали хорошие летные качества.</w:t>
      </w:r>
    </w:p>
    <w:p w14:paraId="243AE4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 из-за невозможности перестройки самолетных заводов на новый тип самолета в военный период, как самолеты с двигателями АШ-71, так и сам двигатель в серийное производство запущены не были.</w:t>
      </w:r>
    </w:p>
    <w:p w14:paraId="026DFC7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послевоенный период ОКБ и заводом были созданы 3 типа двигателей, которые выпускались и выпускаются до настоящего времени в серийном производстве: АШ-73ТК, АШ-82В, АШ-82Т.</w:t>
      </w:r>
    </w:p>
    <w:p w14:paraId="507B58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АШ-73ТК устанавливается на тяжелых 4-х моторный бомбардировщик ТУ-4.</w:t>
      </w:r>
    </w:p>
    <w:p w14:paraId="26F700C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Конструктивная разработка двигателя АШ-73ТК была начата в 1945 году и в конце 1948 года двигатель прошел государственное 200-часовое испытание.</w:t>
      </w:r>
    </w:p>
    <w:p w14:paraId="6CE5A05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Двигатель АШ-82В является специальным типом двигателя, предназначенным для установки на вертолеты типа МИ-4 и ЯК-4.</w:t>
      </w:r>
    </w:p>
    <w:p w14:paraId="40461A5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Разработка конструкции, доводка и изготовление первой партии двигателей и редукторов проводилась в период 1950-1952 года и 26 сентября 1952 года двигатель закончил госиспытание и был запущен в серийное производство с ресурсом 300 часов.</w:t>
      </w:r>
    </w:p>
    <w:p w14:paraId="5C6CDC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Этот же период 1950-1952 года была создана новая модификация двигателя – двигатель АШ-82Т, который устанавливается на пассажирский самолет ИЛ-14.</w:t>
      </w:r>
    </w:p>
    <w:p w14:paraId="575FD8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двигателей, отмеченных и которые выпускались и выпускаются в серийном производстве до настоящего времени, ОКБ в послевоенный период проводились большие работы по разработке и доводке ряда типов более мощных многорядных двигателей (28-ми цилиндровый двигатель АШ-2М и другие).</w:t>
      </w:r>
    </w:p>
    <w:p w14:paraId="12F9D96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в период наибольшего применения поршневых двигателей с воздушным охлаждением нашим ОКБ и заводом были созданы и выпускались лучшие по тому времени авиационные двигатели, которые занимали одно из первых мест в авиации.</w:t>
      </w:r>
    </w:p>
    <w:p w14:paraId="161690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Бывш. гл. конструктор Аркадий Дмитриевич Швецов.</w:t>
      </w:r>
    </w:p>
    <w:p w14:paraId="7AAD76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кончины 19 марта 1953 года генерального конструктора А.Д. Швецова ОКБ № 19 возглавил П.А. Соловьев.</w:t>
      </w:r>
    </w:p>
    <w:p w14:paraId="6BAF002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Наличие большого числа различных поршневых двигателей семейства «АШ» находящихся в эксплуатации гражданского и военного флота в послевоенный период, когда моторы созданные ОКБ-19 в стране остались единственными из класса поршневых, требовало большого внимания и усилий со стороны конструкторов к этому классу двигателей.</w:t>
      </w:r>
    </w:p>
    <w:p w14:paraId="33A687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Поэтому коллектив ОКБ-19 к созданию к созданию реактивных двигателей приступил позднее, чем другие ОКБ авиационной промышленности.</w:t>
      </w:r>
    </w:p>
    <w:p w14:paraId="16B0D7A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Подготовительная работа некоторой части коллектива по созданию реактивных двигателей началась только в последний год жизни генерального конструктора Швецова и получила более широкий размах в 1955-58 гг. при гл. конструкторе П.А. Соловьеве, когда часть работ по обслуживанию поршневых двигателей была выделена в отдельное ОКБ (гл. конструктор В.А. Глушенков).</w:t>
      </w:r>
    </w:p>
    <w:p w14:paraId="194D5A7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29 апреля 1953 года по постановлению СМ за № 1138-470сс ОКБ было дано задание спроектировать на базе двигателя ТВ-2Ф турбовинтовой реактивный двигатель для пикирующего бомбардировщика-торпедоносца. Этот двигатель в дальнейшем стал именоваться ТВ-2М.</w:t>
      </w:r>
    </w:p>
    <w:p w14:paraId="479531D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Удовлетворительное проведение госиспытания этого двигателя было закончено 15 сентября 1954 года.</w:t>
      </w:r>
    </w:p>
    <w:p w14:paraId="41A518E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Почти одновременно с работами по двигателю ТВ-2М ОКБ приступило к проектированию турбовинтового двигателя Д-19, который официально был задан позднее для ОКБ постановлением СМ от 19 сентября 1953 года за № 2461-1018сс.</w:t>
      </w:r>
    </w:p>
    <w:p w14:paraId="75B9716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по двигателю Д-19 не были завершены вследствие того, что вскоре был доведен близкий по своим данным двигатель НК-12, который был запроектирован гораздо ранее двигателя Д-19.</w:t>
      </w:r>
    </w:p>
    <w:p w14:paraId="664005D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Постановлением СМ от 11 июня 1954 года за № 1171-515сс и от 28 марта 1956 года за № 424-261сс ОКБ было дано задание на базе двигателя ТВ-2М создать двигатель ТВ-2ВМ со свободной турбиной, трансмиссии и редуктором на 1100 л.с. с муфтой свободного хода для вертолета МИ-6. Такой двигатель в стендовых условиях был доведен, 24 мая 1957 года он прошел госиспытания удовлетворительно с ресурсом 100 часов.</w:t>
      </w:r>
    </w:p>
    <w:p w14:paraId="412D9E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двигатель, редуктор, все промежуточные узлы проходят испытания на вертолете МИ-6.</w:t>
      </w:r>
    </w:p>
    <w:p w14:paraId="0E28EBC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Проектирование, изготовление и доводку реактивных двигателей нового типа коллектив ОКБ под руководством гл. конструктора П.А. Соловьева начал в 1955 году, а именно:</w:t>
      </w:r>
    </w:p>
    <w:p w14:paraId="52E9251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ПРД-1 прямоточный двигатель задан по приказу МАП от 25 мая 1955 года № 334сс/ов</w:t>
      </w:r>
    </w:p>
    <w:p w14:paraId="5541360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Д-20 двухконтурный двухкаскадный двигатель, задан по приказу МАП от 25 июля 1955 года № 476сс/ов</w:t>
      </w:r>
    </w:p>
    <w:p w14:paraId="41C3883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Д-20П двухконтурный двухкаскадный двигатель без форсажной камеры был задан по приказу МАП от 24 октября 1956 года (постановление СМ от 18 июля 1958 года за № 786-378)</w:t>
      </w:r>
    </w:p>
    <w:p w14:paraId="054E34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Д-21 однокаскадный двухконтурный двигатель с форсажной камерой сгорания прямоточного типа (постановление СМ от 31 августа 1956 года № 1237-628)</w:t>
      </w:r>
    </w:p>
    <w:p w14:paraId="244B54A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1958 году работы по двигателю ПРД-1 временно приостановлены за отсутствием летательного аппарата.</w:t>
      </w:r>
    </w:p>
    <w:p w14:paraId="78FAE0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изготовления нескольких двигателей Д-20 работы были приостановлены, т.к. прекращены работы по созданию самолета для которого двигатель предполагается.</w:t>
      </w:r>
    </w:p>
    <w:p w14:paraId="4B8B64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Двухконтурный и двухкаскадный двигатель Д-20П был ОКБ запроектирован для самолетов ТУ-110Б и ТУ-124. Этот двигатель находится в стадии завершающих доводочных работ в стендовых условиях с ресурсом 100 часов. Он также проходит испытания в летных условиях на самолете ТУ-110Б.</w:t>
      </w:r>
    </w:p>
    <w:p w14:paraId="3D96DB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Двигатель Д-21 находится в стадии доводочных работ в стендовых условиях.</w:t>
      </w:r>
    </w:p>
    <w:p w14:paraId="5F698D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приказу председателя ГК СМ по авиатехнике от 15 июня 1958 года № 233с ОКБ было задано запроектировать на базе двигателя Д-20П для вертолета МИ-6 реактивный двигатель Д-25В, который по своей конструкции имеет много общих узлов с двигателем Д-20П.</w:t>
      </w:r>
    </w:p>
    <w:p w14:paraId="6F6042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настоящее время два двигателя Д-25В прошли 50-ти часовые испытания на стенде (9364).</w:t>
      </w:r>
    </w:p>
    <w:p w14:paraId="5AEA11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0A0009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в Отделе бензиновых двигателей НИИ АД ГВФ под руководством М.А. Коссова был спроектирован МГ-11 - двигатель малой мощности на базе М-11, оснащенный ПЦН.. От М-11 отличался приводом газораспределения, конструкцией клапанов и головок цилиндров, наличием односко-ростного ПЦН. На некоторых двигателях устанавливались карбюраторы Зенит ОСЬ 42 вместо стандартного К-11. Были изготовлены опытные образцы МГ-11, проводились стендовые испытания. По мере доводки в моторе оставалось все меньше деталей от М-11. В 1935 г. МГ-11 ис</w:t>
      </w:r>
      <w:r w:rsidRPr="00C33834">
        <w:rPr>
          <w:rFonts w:ascii="Times New Roman" w:hAnsi="Times New Roman"/>
          <w:color w:val="000000" w:themeColor="text1"/>
          <w:sz w:val="16"/>
          <w:szCs w:val="16"/>
        </w:rPr>
        <w:softHyphen/>
        <w:t>пытывался на самолете У-2. В УНИАДИ проектировался вариант МГ-11 с объемным нагнетателем типа Рут. Всего завод № 82 изготовил 13 экз. МГ-11.</w:t>
      </w:r>
    </w:p>
    <w:p w14:paraId="7544A13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Характеристики:</w:t>
      </w:r>
    </w:p>
    <w:p w14:paraId="64EA73F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5-цилиндровый, звездообразный, воздушного охлаждения, четырех</w:t>
      </w:r>
      <w:r w:rsidRPr="00C33834">
        <w:rPr>
          <w:rFonts w:ascii="Times New Roman" w:hAnsi="Times New Roman"/>
          <w:color w:val="000000" w:themeColor="text1"/>
          <w:sz w:val="16"/>
          <w:szCs w:val="16"/>
        </w:rPr>
        <w:softHyphen/>
        <w:t>тактный, безредукторный, с одноступенчатым односкоростным ПЦН;</w:t>
      </w:r>
    </w:p>
    <w:p w14:paraId="116F4CE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объем 8,6 л;</w:t>
      </w:r>
    </w:p>
    <w:p w14:paraId="75E61E0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диаметр цилиндра/ход поршня 125/140 мм;</w:t>
      </w:r>
    </w:p>
    <w:p w14:paraId="181A996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степень сжатия 5,0;</w:t>
      </w:r>
    </w:p>
    <w:p w14:paraId="4F7CF54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мощность 150/180 л.с.;</w:t>
      </w:r>
    </w:p>
    <w:p w14:paraId="07DAFA0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вес (без пневмосамопуска, бензонасоса и втулки винта) 175 кг.</w:t>
      </w:r>
    </w:p>
    <w:p w14:paraId="76B7298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Известны модификации:</w:t>
      </w:r>
    </w:p>
    <w:p w14:paraId="6BC0D5F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МГ-11, базовый вариант 1934-1935 гг.</w:t>
      </w:r>
    </w:p>
    <w:p w14:paraId="5FDE42B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МГ-11А, усовершенствованный вариант 1936 г. Данные неизвестны.</w:t>
      </w:r>
    </w:p>
    <w:p w14:paraId="6CB277C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МГ-11Н, вариант 1936 г. с непосредственным впрыском топлива.</w:t>
      </w:r>
    </w:p>
    <w:p w14:paraId="15A97BC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МГ-11Ф, форсированный вариант 1937 г. Номинальная мощность 165 л.с. Существовал подвариант со специальным карбюратором для перевернутого полета.</w:t>
      </w:r>
    </w:p>
    <w:p w14:paraId="21FDAE8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МГ-11ФН, вариант МГ-11 Ф с непосредственным впрыском топлива. Моторы МГ-11 устанавливались на опытных самолетах У-2, У-5бис (ма</w:t>
      </w:r>
      <w:r w:rsidRPr="00C33834">
        <w:rPr>
          <w:rFonts w:ascii="Times New Roman" w:hAnsi="Times New Roman"/>
          <w:color w:val="000000" w:themeColor="text1"/>
          <w:sz w:val="16"/>
          <w:szCs w:val="16"/>
        </w:rPr>
        <w:softHyphen/>
        <w:t>лая серия), НВ-2бис, НВ-6 (УТИ-6), МУ-4 (11852).</w:t>
      </w:r>
    </w:p>
    <w:p w14:paraId="1C1C22F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77307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проектировался МГ-21 - унифицированный с МГ-11 7-цилиндровый двигатель. Проектировался с 1933 г. в Отделе бензиновых двигателей НИИ АД ГВФ под руководством М.А. Коссова. Оснащался карбюратором К-17 от мотора М-17. Имел тот же нагнетатель, что и МГ-11, но с увеличенными оборотами за счет изменения передаточного числа привода. Первые опытные образцы МГ-21 были изготов</w:t>
      </w:r>
      <w:r w:rsidRPr="00C33834">
        <w:rPr>
          <w:rFonts w:ascii="Times New Roman" w:hAnsi="Times New Roman"/>
          <w:color w:val="000000" w:themeColor="text1"/>
          <w:sz w:val="16"/>
          <w:szCs w:val="16"/>
        </w:rPr>
        <w:softHyphen/>
        <w:t>лены в 1934 г. и в 1934-1935 гг. проходили стендовые испытания и доводку. Летные испытания проводились на самолете КАИ-2 в 1937 г. В следующем году на самолете САМ-5-2бис с МГ-21 установили рекорд высоты. Серийно МГ-21 не выпускался. На заводе № 82 изготовлено 3 экз.</w:t>
      </w:r>
    </w:p>
    <w:p w14:paraId="3D8BC01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Известны две модификации:</w:t>
      </w:r>
    </w:p>
    <w:p w14:paraId="3555114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МГ-21, вариант 1934 г.</w:t>
      </w:r>
    </w:p>
    <w:p w14:paraId="1B85230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МГ-21 А, вариант 1936 г. Мощность 210/250 л.с.</w:t>
      </w:r>
    </w:p>
    <w:p w14:paraId="5D9E2AB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Характеристики:</w:t>
      </w:r>
    </w:p>
    <w:p w14:paraId="17D8D65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- 7-цилиндровый, звездообразный, воздушного охлаждения, четырехтакт</w:t>
      </w:r>
      <w:r w:rsidRPr="00C33834">
        <w:rPr>
          <w:rFonts w:ascii="Times New Roman" w:hAnsi="Times New Roman"/>
          <w:color w:val="000000" w:themeColor="text1"/>
          <w:sz w:val="16"/>
          <w:szCs w:val="16"/>
        </w:rPr>
        <w:softHyphen/>
        <w:t>ный, безредукторный, с одноступенчатым односкоростным ПЦН;</w:t>
      </w:r>
    </w:p>
    <w:p w14:paraId="74A4969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объем 12,05 л;</w:t>
      </w:r>
    </w:p>
    <w:p w14:paraId="6932BCE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диаметр цилиндра/ход поршня 125/140 мм;</w:t>
      </w:r>
    </w:p>
    <w:p w14:paraId="5A86E3C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степень сжатия 5,0;</w:t>
      </w:r>
    </w:p>
    <w:p w14:paraId="03DD4A0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мощность 200/220 л.с.;</w:t>
      </w:r>
    </w:p>
    <w:p w14:paraId="5B6D7DE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вес (без пневмосамопуска, бензонасоса и втулки винта) 214 кг. Моторы МГ-21 устанавливались на опытных самолетах КАИ-2 САМ-5-2бис (11852).</w:t>
      </w:r>
    </w:p>
    <w:p w14:paraId="1283E9D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AE14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1933 г. в Отделе бензиновых двигателей НИИ АД ГВФ под руководством М.А. Коссова проектировался МГ-31 - Самый мощный построенный двигатель семейства МГ, унифицирован</w:t>
      </w:r>
      <w:r w:rsidRPr="00C33834">
        <w:rPr>
          <w:rFonts w:ascii="Times New Roman" w:hAnsi="Times New Roman"/>
          <w:color w:val="000000" w:themeColor="text1"/>
          <w:sz w:val="16"/>
          <w:szCs w:val="16"/>
        </w:rPr>
        <w:softHyphen/>
        <w:t>ный с МГ-11 и МГ-21. Оснащался кар</w:t>
      </w:r>
      <w:r w:rsidRPr="00C33834">
        <w:rPr>
          <w:rFonts w:ascii="Times New Roman" w:hAnsi="Times New Roman"/>
          <w:color w:val="000000" w:themeColor="text1"/>
          <w:sz w:val="16"/>
          <w:szCs w:val="16"/>
        </w:rPr>
        <w:softHyphen/>
        <w:t>бюратором К-17 с расточенным диффузором, на ранних моторах ставился также импортный Зенит 60ВСГ. Первые образцы изготовлены в 1934 г. В том же году провели заводские испытания. В январе 1935 г. МГ-31 впер</w:t>
      </w:r>
      <w:r w:rsidRPr="00C33834">
        <w:rPr>
          <w:rFonts w:ascii="Times New Roman" w:hAnsi="Times New Roman"/>
          <w:color w:val="000000" w:themeColor="text1"/>
          <w:sz w:val="16"/>
          <w:szCs w:val="16"/>
        </w:rPr>
        <w:softHyphen/>
        <w:t xml:space="preserve">вые выставили на госиспытания, но два мотора довольно быстро вышли из строя. В феврале проводились повторные госиспытания, но двигатель опять не справился с программой — начали отворачиваться головки </w:t>
      </w:r>
      <w:r w:rsidRPr="00C33834">
        <w:rPr>
          <w:rFonts w:ascii="Times New Roman" w:hAnsi="Times New Roman"/>
          <w:color w:val="000000" w:themeColor="text1"/>
          <w:sz w:val="16"/>
          <w:szCs w:val="16"/>
        </w:rPr>
        <w:lastRenderedPageBreak/>
        <w:t>ци</w:t>
      </w:r>
      <w:r w:rsidRPr="00C33834">
        <w:rPr>
          <w:rFonts w:ascii="Times New Roman" w:hAnsi="Times New Roman"/>
          <w:color w:val="000000" w:themeColor="text1"/>
          <w:sz w:val="16"/>
          <w:szCs w:val="16"/>
        </w:rPr>
        <w:softHyphen/>
        <w:t>линдров. Лишь в 1936 г. МГ-31 прошел госиспытания. В январе — фев</w:t>
      </w:r>
      <w:r w:rsidRPr="00C33834">
        <w:rPr>
          <w:rFonts w:ascii="Times New Roman" w:hAnsi="Times New Roman"/>
          <w:color w:val="000000" w:themeColor="text1"/>
          <w:sz w:val="16"/>
          <w:szCs w:val="16"/>
        </w:rPr>
        <w:softHyphen/>
        <w:t>рале 1937 г. двигатель успешно опробовали на самолете «Сталь-2». С 1936 г. МГ-31 серийно выпускался заводом № 82, с конца 1937 г. его сменил усовершенствованный МГ-31 Ф. В общей сложности изготовили 129 экз. Производство было прекращено в связи с передачей предприятия в ведение НКВД. По постановлению от июля 1939 г. выпуск МГ-31 дол</w:t>
      </w:r>
      <w:r w:rsidRPr="00C33834">
        <w:rPr>
          <w:rFonts w:ascii="Times New Roman" w:hAnsi="Times New Roman"/>
          <w:color w:val="000000" w:themeColor="text1"/>
          <w:sz w:val="16"/>
          <w:szCs w:val="16"/>
        </w:rPr>
        <w:softHyphen/>
        <w:t>жен был освоить завод № 16 в Воронеже. К концу года предполагался выпуск первой серии из 10 моторов, но практически ни одного МГ-31 в Воронеже не собрали. После окончания войны предлагали восстановить производство МГ-31 на каком-либо предприятии, но затем от этой идеи отказались.</w:t>
      </w:r>
    </w:p>
    <w:p w14:paraId="56554BF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 МГ-31 Ф эксплуатировались до конца 1946 г.</w:t>
      </w:r>
    </w:p>
    <w:p w14:paraId="215017E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Характеристики:</w:t>
      </w:r>
    </w:p>
    <w:p w14:paraId="18B2A6B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9-цилиндровый, звездообразный, воздушного охлаждения, четырех</w:t>
      </w:r>
      <w:r w:rsidRPr="00C33834">
        <w:rPr>
          <w:rFonts w:ascii="Times New Roman" w:hAnsi="Times New Roman"/>
          <w:color w:val="000000" w:themeColor="text1"/>
          <w:sz w:val="16"/>
          <w:szCs w:val="16"/>
        </w:rPr>
        <w:softHyphen/>
        <w:t>тактный, безредукторный, с одноступенчатым односкоростным ПЦН;</w:t>
      </w:r>
    </w:p>
    <w:p w14:paraId="18B3204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объем 15,5;</w:t>
      </w:r>
    </w:p>
    <w:p w14:paraId="2AEA6DE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диаметр цилиндра/ход поршня 125/140 мм:</w:t>
      </w:r>
    </w:p>
    <w:p w14:paraId="7E86370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степень сжатия 5,0;</w:t>
      </w:r>
    </w:p>
    <w:p w14:paraId="7DF96B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мощность и вес в зависимости от модификации.</w:t>
      </w:r>
    </w:p>
    <w:p w14:paraId="64AFE8E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Известны следующие модификации:</w:t>
      </w:r>
    </w:p>
    <w:p w14:paraId="4B87B23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МГ-31, серийно выпускался с 1936 г. Мощность 270/320 л.с. (реально получено на испытаниях 270/310 л.с.), вес 247 кг.</w:t>
      </w:r>
    </w:p>
    <w:p w14:paraId="2FCD24A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МГ-31 А, усовершенствованный опытный образец 1936 г.</w:t>
      </w:r>
    </w:p>
    <w:p w14:paraId="6C03DC6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МГ-31 Н, опытный вариант с непосредственным впрыском.</w:t>
      </w:r>
    </w:p>
    <w:p w14:paraId="6B2A5A8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МГ-31 Ф, форсированный вариант. Прошел заводские испытания в 1937 г. и в том же году запущен в серию. Имел усиленные поршни и шатуны, усовершенствованную маслосистему, привод синхронизато</w:t>
      </w:r>
      <w:r w:rsidRPr="00C33834">
        <w:rPr>
          <w:rFonts w:ascii="Times New Roman" w:hAnsi="Times New Roman"/>
          <w:color w:val="000000" w:themeColor="text1"/>
          <w:sz w:val="16"/>
          <w:szCs w:val="16"/>
        </w:rPr>
        <w:softHyphen/>
        <w:t>ра. Мощность 270/335 кг, вес 250 кг (по другим данным, 255 кг).</w:t>
      </w:r>
    </w:p>
    <w:p w14:paraId="52E0502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МГ-31ФН, опытный образец 1937 г. на базе МГ-31Ф с непосредствен</w:t>
      </w:r>
      <w:r w:rsidRPr="00C33834">
        <w:rPr>
          <w:rFonts w:ascii="Times New Roman" w:hAnsi="Times New Roman"/>
          <w:color w:val="000000" w:themeColor="text1"/>
          <w:sz w:val="16"/>
          <w:szCs w:val="16"/>
        </w:rPr>
        <w:softHyphen/>
        <w:t>ным впрыском топлива.</w:t>
      </w:r>
    </w:p>
    <w:p w14:paraId="026FB0E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МГ-31Ф2, опытный образец, проходил заводские испытания. Подроб</w:t>
      </w:r>
      <w:r w:rsidRPr="00C33834">
        <w:rPr>
          <w:rFonts w:ascii="Times New Roman" w:hAnsi="Times New Roman"/>
          <w:color w:val="000000" w:themeColor="text1"/>
          <w:sz w:val="16"/>
          <w:szCs w:val="16"/>
        </w:rPr>
        <w:softHyphen/>
        <w:t>ности неизвестны.</w:t>
      </w:r>
    </w:p>
    <w:p w14:paraId="11E335E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Моторы МГ-31 устанавливались на серийных самолетах «Сталь-2», опытных УТИ-5 (НВ-2бис), У-5 (ЛШ), МА-1, Ш-7, ЛИГ-8, ДКЛ, РАФ-11, РАФ-Ибис, П-3 (ЛИГ-5), СХ-1 (ЛИГ-10), САМ-16 (недостроен), вертолете «Омега-П» (2МГ). Использование МГ-31 предусматривалось также про</w:t>
      </w:r>
      <w:r w:rsidRPr="00C33834">
        <w:rPr>
          <w:rFonts w:ascii="Times New Roman" w:hAnsi="Times New Roman"/>
          <w:color w:val="000000" w:themeColor="text1"/>
          <w:sz w:val="16"/>
          <w:szCs w:val="16"/>
        </w:rPr>
        <w:softHyphen/>
        <w:t>ектами МБР-6 и УТ-3 (11852).</w:t>
      </w:r>
    </w:p>
    <w:p w14:paraId="54970B6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9C3E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1933 г. в Отделе бензиновых двигателей НИИ АД ГВФ под руководством М.А. Коссова проектировался МГ-40 - единственный не звездообразный двигатель семейства МГ. МГ-40 должен был стать советским анало</w:t>
      </w:r>
      <w:r w:rsidRPr="00C33834">
        <w:rPr>
          <w:rFonts w:ascii="Times New Roman" w:hAnsi="Times New Roman"/>
          <w:color w:val="000000" w:themeColor="text1"/>
          <w:sz w:val="16"/>
          <w:szCs w:val="16"/>
        </w:rPr>
        <w:softHyphen/>
        <w:t>гом английского двигателя Де Хевилленд «Джипси Минор». От прототипа заимствовали общую компоновку, конструкцию шатунов и поршней, но Цилиндры, их головки, картер двигателя, размещение и привод агрегатов были иными. В 1936 г. было изготовлено несколько опытных образцов, проходивших стендовые, а затем летные испытания. ВВС считали, что этот мотор может быть доведен до уровня требований задания на М-61, предназначенного для учебных самолетов. В 1937 г. МГ-40 испытывался на самолете НВ-5. Серийно этот мотор не выпускался. Характеристики:</w:t>
      </w:r>
    </w:p>
    <w:p w14:paraId="2213288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4-цилиндровый, рядный перевернутый, воздушного охлаждения, четы</w:t>
      </w:r>
      <w:r w:rsidRPr="00C33834">
        <w:rPr>
          <w:rFonts w:ascii="Times New Roman" w:hAnsi="Times New Roman"/>
          <w:color w:val="000000" w:themeColor="text1"/>
          <w:sz w:val="16"/>
          <w:szCs w:val="16"/>
        </w:rPr>
        <w:softHyphen/>
        <w:t>рехтактный, безредукторный, без наддува;</w:t>
      </w:r>
    </w:p>
    <w:p w14:paraId="54056E9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объем 6,33 л;</w:t>
      </w:r>
    </w:p>
    <w:p w14:paraId="6F71A57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диаметр цилиндра/ход поршня 120/140 мм;</w:t>
      </w:r>
    </w:p>
    <w:p w14:paraId="75E5F96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степень сжатия 6,35 (первоначально 5,2);</w:t>
      </w:r>
    </w:p>
    <w:p w14:paraId="129D0A2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мощность 145 л.с.;</w:t>
      </w:r>
    </w:p>
    <w:p w14:paraId="2D9A72A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вес 155 кг.</w:t>
      </w:r>
    </w:p>
    <w:p w14:paraId="192C276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МГ-40 устанавливался на опытный самолет НВ-5. Его применение пред</w:t>
      </w:r>
      <w:r w:rsidRPr="00C33834">
        <w:rPr>
          <w:rFonts w:ascii="Times New Roman" w:hAnsi="Times New Roman"/>
          <w:color w:val="000000" w:themeColor="text1"/>
          <w:sz w:val="16"/>
          <w:szCs w:val="16"/>
        </w:rPr>
        <w:softHyphen/>
        <w:t>усматривалось также проектом Г-26 (11852).</w:t>
      </w:r>
    </w:p>
    <w:p w14:paraId="4DF0C55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CF0DB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для модернизации импортных моторных агрегатов и разработки собственных карбюраторов был создан Опытно-конструкторский отдел (ОКО) с Опытным цехом при заводе № 33 (ОКО, ОКБ завода № 33 НКАП, Филиал ОКБ-315-33 НКАП, МАП, Союзное ОКБ-33 МАП, Пермское агрегатное КБ (ПАКБ) МАП, «Системы тонливопитания и автоматического регулирования» ОАО «СТАР» / г. Москва;  г. Молотов/ /614990  г. Пермь ул. Куйбышева, 140А тел. 49-69-22/).</w:t>
      </w:r>
    </w:p>
    <w:p w14:paraId="2A4E1C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приказу № 330сс от 6.07.1940 г. на завод из ЦИАМ была переведена группа по агрегатам непосредственного впрыска (НВ) Б-13 для моторов М-105 и М-120 и образован единый ОКО по разработке моторных агрегатов. В его составе организовано КБ по карбюраторам (КБ-1 при ОКО завода № 33) и КБ по агрегатам НВ (КБ-2 при ОКО завода № 33). Вскоре по приказу № 537с от 12.10.1940 г. при заводе организована опытно-экспериментальная база по агрегатам НВ с образованием КБ завода № 33. Руководитель- С.А. Косбер г. Работы по НВ для моторов М-88 и М-105.</w:t>
      </w:r>
    </w:p>
    <w:p w14:paraId="11A40C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10.1941 г. опытные организации завода были эвакуированы. КБ С.А. Косберга по агрегатам НВ эвакуировано на завод № 296 НКАП, где было образовано новое ОКО по агрегатам НВ. КБ по карбюраторам Ф.А. Короткова эвакуируется вместе с заводом в  г. Молотов на завод № 339 НКАП. Здесь оно действовало с 5.11.1941 г. до 07.1943 г.</w:t>
      </w:r>
    </w:p>
    <w:p w14:paraId="5D780B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 марта 1943 г. по приказу № 136с часть кадров и оборудования ОКБ завода № 33 переведено для укрепления в ОКБ завода № 315 НКАП. По приказу № 336с от 3.06.1943 г. на заводе № 315 образовано единое ОКБ-315-33 НКАП на базе ОКБ завода № 33 и ОКБ завода № 315. Гл. конструктором ОКБ и обоих заводов назначен Ф.А. Короткое. Для помощи серийному производству на заводе № 33 организован филиал ОКБ-315-33.</w:t>
      </w:r>
    </w:p>
    <w:p w14:paraId="616AD6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по доводке и модернизации карбюраторов К-11А, ВК-4, КТА-21, К-25, К-42, К-38, К-105Ф, АК-62, АК-82. После войны- доводка агрегатов АТ-1, АРТ-8, ДК-6 для РД-45 и РД-500.</w:t>
      </w:r>
    </w:p>
    <w:p w14:paraId="5AC229D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1957 г. филиал преобразован в самостоятельное Союзное ОКБ-33 МАП. В 08.1957 г.- в ведении ЗГУ МАП.</w:t>
      </w:r>
    </w:p>
    <w:p w14:paraId="65CAF3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1960-х  г. действовало единое ОКБ-315-33 с Пермским филиалом на заводе № 33. В 1960-х  г. ОКБ вновь стало самостоятельным и получило название ПАКБ. С 1962 г. имеет собственный производственный корпус.</w:t>
      </w:r>
    </w:p>
    <w:p w14:paraId="35F0D32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72E283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(2005 г.): разработка САУ для двигателей ПС-90А2, самолетов Ан-140 и Ан-38.</w:t>
      </w:r>
    </w:p>
    <w:p w14:paraId="76D3D08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Численность персонала (2002 г.)- 1200 чел.</w:t>
      </w:r>
    </w:p>
    <w:p w14:paraId="36F498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Гл. конструктор ОКО (1933 г.-)- </w:t>
      </w:r>
      <w:r w:rsidRPr="00C33834">
        <w:rPr>
          <w:rFonts w:ascii="Times New Roman" w:hAnsi="Times New Roman"/>
          <w:color w:val="000000" w:themeColor="text1"/>
          <w:sz w:val="16"/>
          <w:szCs w:val="16"/>
          <w:lang w:val="en-US"/>
        </w:rPr>
        <w:t>A</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M</w:t>
      </w:r>
      <w:r w:rsidRPr="00C33834">
        <w:rPr>
          <w:rFonts w:ascii="Times New Roman" w:hAnsi="Times New Roman"/>
          <w:color w:val="000000" w:themeColor="text1"/>
          <w:sz w:val="16"/>
          <w:szCs w:val="16"/>
        </w:rPr>
        <w:t>. Добротворский, К.А. Стариков, (06.1940-41 г.-&gt; Ф.А. Короткое. Гл. конструктор ОКБ (1957-73 Г.)- А.Ф. Полянский, (1974-89 г.)-  Г.И. Гордеев, (1989-2004 г.-&gt; Ю.П. Дудкин.</w:t>
      </w:r>
    </w:p>
    <w:p w14:paraId="60819F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филиала (1943 г.-)- В.Т. Панфилов, (1952 г.-)- А.Ф. Полянский. Гендиректор (-1997-2005 г.-)- Ю.П. Дудкин.</w:t>
      </w:r>
      <w:r w:rsidRPr="00C33834">
        <w:rPr>
          <w:rFonts w:ascii="Times New Roman" w:hAnsi="Times New Roman"/>
          <w:color w:val="000000" w:themeColor="text1"/>
          <w:sz w:val="16"/>
          <w:szCs w:val="16"/>
          <w:vertAlign w:val="superscript"/>
        </w:rPr>
        <w:t>49</w:t>
      </w:r>
    </w:p>
    <w:p w14:paraId="67DC39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1-й зам. гл. конструктора (2002 г.)- Б.М. Конторович. Зам. гл. конструктора: по карбюраторам (1940 г.-)- К.А. Стариков; по агрегатам НВ (1940 г.-)- С.А. Косберг; (1943 г.-)- В.Т. Панфилов, (1952 г.-)- А.Ф. Полянский, (2002 г.)- В.А. Юфарев, (2002 г.)- В.В. Бурдин.</w:t>
      </w:r>
    </w:p>
    <w:p w14:paraId="068600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гендиректора по экономике (2002 г.)- В.В. Плешков.</w:t>
      </w:r>
    </w:p>
    <w:p w14:paraId="5DCDA7E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опытного завода (2002 г.)- Н.А. Панов.</w:t>
      </w:r>
    </w:p>
    <w:p w14:paraId="35AF49B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Создано: (1930-е) карбюраторы К-35 для АМ-35А, К-105П для М-105, К-37БП для М-37, К-38, К-87, АК-62, АК-63, АК-88, КМ-250 для М-250; агрегаты НВ НБ-ЗУ для АШ-82ФН (ВОВ); ЭК-506, РПД-1ФНР для АШ-82Т; регулятор РПД-82, карбюратор К-14В, КМП-100; гидромеханические и электронные САУ ГТД: для Ту-124, Ми-6, Ту-134, Ил-76, Ил-62М, Ту-154М; регулятор РПР-ЗА для Ми-14 (1974); первая в России САУ с цифровым регулятором РЭД-3048 для Д-30Ф6 (1975); САУ: с регулятором РЭД-90 для ПС-90; с ЭРД-ЗВМ для ТВЗ-117; САУ-65 с РЭД-65 для ТВ7-117; САУ-2000 с регулятором РЭД-2000 для ТВЗ-117ВМА-СБ2 (2002), САУ-87 для Ка-60 и Ка-62; САУ для Су-26М, Ка-50, Ан-38 (2002); САУ для танка Т-80; САУ для промыпшенных ГТУ (1993- 2002-) (11982).</w:t>
      </w:r>
    </w:p>
    <w:p w14:paraId="20ABFAE7" w14:textId="77777777" w:rsidR="00742DA3" w:rsidRPr="00C33834" w:rsidRDefault="00742DA3" w:rsidP="00C33834">
      <w:pPr>
        <w:autoSpaceDE w:val="0"/>
        <w:autoSpaceDN w:val="0"/>
        <w:adjustRightInd w:val="0"/>
        <w:spacing w:after="0" w:line="240" w:lineRule="auto"/>
        <w:jc w:val="both"/>
        <w:rPr>
          <w:rFonts w:ascii="Times New Roman" w:hAnsi="Times New Roman"/>
          <w:color w:val="000000" w:themeColor="text1"/>
          <w:sz w:val="16"/>
          <w:szCs w:val="16"/>
        </w:rPr>
      </w:pPr>
    </w:p>
    <w:p w14:paraId="00C528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в составе ГУАП были ликвидированы самолетостроительный и авиамоторный тресты (80,414).</w:t>
      </w:r>
    </w:p>
    <w:p w14:paraId="26A962D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B4134F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ОКБ К.А.К. объединили с заводом 135 и появился ХАЗОС (80,418).</w:t>
      </w:r>
    </w:p>
    <w:p w14:paraId="1F998D7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другим данным это произошло в 1932</w:t>
      </w:r>
    </w:p>
    <w:p w14:paraId="60D499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716339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КБ А.И.Путилова перевели на завод 81 (92,439).</w:t>
      </w:r>
    </w:p>
    <w:p w14:paraId="09C6F9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15DCF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было организовано Особое конструкторско-производственное бюро ВВС РККА (92,493).</w:t>
      </w:r>
    </w:p>
    <w:p w14:paraId="76F4300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0E462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в Кунцево введен в эксплуатацию Специализированный завод по обработке легких металлов (Завод № 95 НКТП, НКОП, НКАП, п/я 3, Специализированный завод по обработке легких металлов НКТП, Верхнесалдинский металлообрабатывающий завод, Верхнесалдинское металлургическое ПО (ВСМПО), АО «ВСМПО» /пос. Сетунь, ст. Кунцево Московской обл./ /624760  г. Верхняя Садда Свердловской обл., ул. Парковая, 1 тел. 23-832,21-304/). Сначала действовал в ведении Главцветмета, в 1934 г. передан Авиапрому и получил № 95. К 1936 г. завод вошел в состав подсобного треста ГУАП НКТП, в 12.1936 г. передан в ведение 1ГУ НКОП (и на 12.1938 г.). Далее действовал в 6ГУ НКАП. По приказу № 240с от 18.03.1941 г. завод передан в 9ГУ НКАП.</w:t>
      </w:r>
    </w:p>
    <w:p w14:paraId="24A8705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листового проката и профиля из цветных металлов. В 1932-36 г. был основным производителем дюралюминия в стране.</w:t>
      </w:r>
    </w:p>
    <w:p w14:paraId="6CEB6A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Пост. СТО от 15.01.1937 г. и пр. № 0026 от 4.02.1937 г. заводу поручено изготовить в 1937 г. дюралевые * поковки втулок и лопастей для 6750 в/винтов. Приказом № 0032 от 8.02.1937 г. заводу предписано в 3-м квартале закончить расширение литейного, прокатного и трубо-прессового цехов; приказом № 00116 от 28.05.1937 г. - для обеспечения подготовки производства самолета Вулти к 1.08.1937 г. закончить освоение производства прессованных профилей, гофра, горячей штамповки и тонкостенных алюминиевых труб. По пр. № 00276 от 20.12.1937 г. заводу поручено обеспечить завод № 24 поковками из легких сплавов для мотора М-62.</w:t>
      </w:r>
    </w:p>
    <w:p w14:paraId="1E587B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 ГКО № 741с от 8.10.1941 г. и приказом № 1053сс от 9.10.1941 г. завод № 95 9ГУ НКАП эвакуирован на площадку строительства завода № 491 НКАП и объединен с ним с образованием единого завода № 95 НКАП. Металлургия (9ГУ).</w:t>
      </w:r>
    </w:p>
    <w:p w14:paraId="437F5FF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цветного литья (дюраль, алюминий), проката, стального литья. С 1956 г. освоено производство титановых профилей и листа.</w:t>
      </w:r>
    </w:p>
    <w:p w14:paraId="089242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приказу № 1069с от 14.10.1941 г. заводу передана часть оборудования завода № 150 НКАП.</w:t>
      </w:r>
    </w:p>
    <w:p w14:paraId="6DFBED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приказу № 81с от 26.01.1942 г. на площадке эвакуированного завода в Сетуни образовался филиал завода № 95 для производства литых заготовок и штамповок.</w:t>
      </w:r>
    </w:p>
    <w:p w14:paraId="74D5CA8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 СМ СССР № 713-342 от 26.06.1957 г. завод № 95 МАП ( г. Верхняя Садда) передан в Свердловский СНХ РСФСР. Имел наименование «п/я 3».</w:t>
      </w:r>
    </w:p>
    <w:p w14:paraId="48C6E0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Изготавливал комплектующие для ОК «Буран».</w:t>
      </w:r>
    </w:p>
    <w:p w14:paraId="10A8110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1998 г. ВСМПО приобрело ОАО «Ависма», в результате слияния образована корпорация «ВСМПО- Ависма».</w:t>
      </w:r>
    </w:p>
    <w:p w14:paraId="1AA1B14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(2002 г.): цветное литье (титан и алюминий), штамповки, полуфабрикаты; нержавеющая сталь, ферротитан.</w:t>
      </w:r>
    </w:p>
    <w:p w14:paraId="481BB19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Имело филиалы (2002 г.)- АО «Титан-Сервис» ( г. Белгород), ООО «Корпорация «Титан-Восток» ( г. Владивосток), ЗАО «Тандем-</w:t>
      </w:r>
      <w:r w:rsidRPr="00C33834">
        <w:rPr>
          <w:rFonts w:ascii="Times New Roman" w:hAnsi="Times New Roman"/>
          <w:color w:val="000000" w:themeColor="text1"/>
          <w:sz w:val="16"/>
          <w:szCs w:val="16"/>
          <w:lang w:val="en-US"/>
        </w:rPr>
        <w:t>S</w:t>
      </w:r>
      <w:r w:rsidRPr="00C33834">
        <w:rPr>
          <w:rFonts w:ascii="Times New Roman" w:hAnsi="Times New Roman"/>
          <w:color w:val="000000" w:themeColor="text1"/>
          <w:sz w:val="16"/>
          <w:szCs w:val="16"/>
        </w:rPr>
        <w:t>» ( г. Москва). Имелись цеха (2007 г.): № 7, 21. Численность персонала (2002 г.)-12.913 чел.</w:t>
      </w:r>
    </w:p>
    <w:p w14:paraId="6977AB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(-02-20.12.1937 г.)- С.М. Лещенко (снят); и.о. (12.1937 г.)- И.С. Выштынецкий; (12.1937-; 15.06.1938- 41 г.-)- И.С. Выштынецкий, (01.1942 г.)- Селихов, (-01.1943-02.1946 г.-)- С.М. Лещенко. Гендиректор (1992-2006 г.- )- В.В. Тетюхин.</w:t>
      </w:r>
    </w:p>
    <w:p w14:paraId="2F0C131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директора (-17.05.1937 г.)- Ю. Г. Музалевский, (27.05.1937 г.-)- И.С. Выштынецкий, (10.10.1938 г.-)- М.П. Семенов. Зам. гендиректора: по маркетингу (2002 г.)- В.А. Куцанкин; по реконструкции (2002 г.)- А.И. Гришечкин; по финансам (2002 г.)- В.П. Ячменев.</w:t>
      </w:r>
      <w:r w:rsidRPr="00C33834">
        <w:rPr>
          <w:rFonts w:ascii="Times New Roman" w:hAnsi="Times New Roman"/>
          <w:color w:val="000000" w:themeColor="text1"/>
          <w:sz w:val="16"/>
          <w:szCs w:val="16"/>
          <w:vertAlign w:val="superscript"/>
        </w:rPr>
        <w:t>69</w:t>
      </w:r>
    </w:p>
    <w:p w14:paraId="7D4551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Технический директор (22.10.1937 г.-)- Ю. Г. Музалевский.</w:t>
      </w:r>
    </w:p>
    <w:p w14:paraId="675BC23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(-17.05.1937 г.)- Ю. Г. Музалевский, (27.05.1937 г.-&gt; И.С. Выштынецкий, (10.10.1938 г.-)- М.П. Семенов.</w:t>
      </w:r>
      <w:r w:rsidRPr="00C33834">
        <w:rPr>
          <w:rFonts w:ascii="Times New Roman" w:hAnsi="Times New Roman"/>
          <w:color w:val="000000" w:themeColor="text1"/>
          <w:sz w:val="16"/>
          <w:szCs w:val="16"/>
          <w:vertAlign w:val="superscript"/>
        </w:rPr>
        <w:t>139</w:t>
      </w:r>
    </w:p>
    <w:p w14:paraId="463602B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управления по кадрам (2006 г.)- В.И. Горбань.</w:t>
      </w:r>
    </w:p>
    <w:p w14:paraId="2112ADF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Филиал Завода № 95 НКАП /пос. Сетунь ст. Кунцево Московской обл./</w:t>
      </w:r>
    </w:p>
    <w:p w14:paraId="64A9099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приказу № 81с от 26.01.1942 г. на площадке эвакуированного завода в Сетуни образовался филиал завода № 95 для производства литых заготовок и штамповок. Директор- Селихов.</w:t>
      </w:r>
    </w:p>
    <w:p w14:paraId="43E1C16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распоряжению СМ СССР № 2177рс от 1.02.1943 г. и приказу НКАП № 67с от 5.02.1943 г. филиал с 1.02.1943 г. преобразован в самостоятельный завод № 65 НКАП. Директор- Селихов (11982).</w:t>
      </w:r>
    </w:p>
    <w:p w14:paraId="46C5FE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4BBFD1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были организованы НИИ ГВФ: Институт сельскохозяйственной авиации, Лаборатория авиационной медицины, Аэрографический институт (237,168).</w:t>
      </w:r>
    </w:p>
    <w:p w14:paraId="2AEA3EB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775C6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был создан ЦИ авиационных топлив и масел (ЦИАТИМ) (237,168).</w:t>
      </w:r>
    </w:p>
    <w:p w14:paraId="7C4D27A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6F6A4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Г.А. Гертмениан (Gertmenian), торговец восточными коврами из Лос-Анджелеса, предложил Дуглас Эркрафт трехходовую сделку. По ее условиям компания Дуглас примет уплату за самолет "в форме кредита под Амторговские ковры", которые будут проданы Гертменианом. Последний высказал предположение, что у Амторга есть излишек восточных ковров (русских и персидских), образовавшийся при бартерных сделках, и Амторг сильно желает от них избавиться. На самом деле, добавил Гермениан, они более заинтересованы в "организации оплаты чем … в цене, которую они заплатят." Разумеется, что Гертмениан не стал бы предлагать авиастроителям эту комбинацию, не заручившись согласием Амторга на продажу ковров, поэтому письмо Гертмениана можно рассматривать как свидетельство заинтересованности СССР в DC-2. Понятно, что Дуглас Эркрафт осталась равнодушна к привязыванию продажи своего самолета к рынку ковров (11507).</w:t>
      </w:r>
    </w:p>
    <w:p w14:paraId="2F083E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A46727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М.В. Водопьянов попытался совершить на П-5 с почтой перелет из Москвы в Петропавловск-Камчатский, но неудачно - разбил самолет недалеко от Байкала (12034).</w:t>
      </w:r>
    </w:p>
    <w:p w14:paraId="2BA2B79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C6B07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Дорнье "Валь" СССР-Н8 - заводской № 131, двигатели - 2 М-17, дата приемки - 14.09.28 г, дата присвоения опознавательного знака с литерой "Н" - 08.05.33 г., получил экипаж С.А.Леваневского (второй пилот - Г.М.Чернявский, штурман В.И.Левченко), который 28 мая вылетел из Севастополя, далее по маршруту Вольск - Свердловск - Омск - Новосибирск - Красноярск - Иркутск - Верхнеудинск - Чита - Джалинда - Благовещенск дошел до Хабаровска. По прибытию самолет мобилизовали для выполнения специальных заданий. После их выполнения СССР-Н8 встал на смену моторов, а далее Леваневский получил правительственное распоряжение направиться в Анадырь для доставки американского пилота Маттерна на Аляску. В тяжелых метеоусловиях самолет совершил перелет по маршруту: Хабаровск - Николаевск - Охотск - б. Нагаево - Янек - Пенжин- ская губа - Марково - Анадырь. Захватив Маттерна и оборудование его машины, Леваневский 20 июля прибыл на Аляску в Ном. Затем СССР-Н8 прошел по северному побережью Чукотки и выполнил ряд ледовых разведок для судов Колымской экспедиции 1933 г. и зимующего каравана судов Колымской экспедиции 1932 г.</w:t>
      </w:r>
    </w:p>
    <w:p w14:paraId="510DC6A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Дальнейшие полеты самолета:</w:t>
      </w:r>
    </w:p>
    <w:p w14:paraId="188AB60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12-го августа - летал на о. Врангеля; привез сведения, что зимовщики здоровы и что зимовка прошла благополучно.</w:t>
      </w:r>
    </w:p>
    <w:p w14:paraId="1C752D3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18-го августа - вылетал к м. Биллингс навстречу судам.</w:t>
      </w:r>
    </w:p>
    <w:p w14:paraId="565368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20-</w:t>
      </w:r>
      <w:r w:rsidRPr="00C33834">
        <w:rPr>
          <w:rFonts w:ascii="Times New Roman" w:hAnsi="Times New Roman"/>
          <w:color w:val="000000" w:themeColor="text1"/>
          <w:sz w:val="16"/>
          <w:szCs w:val="16"/>
        </w:rPr>
        <w:tab/>
        <w:t>го</w:t>
      </w:r>
      <w:r w:rsidRPr="00C33834">
        <w:rPr>
          <w:rFonts w:ascii="Times New Roman" w:hAnsi="Times New Roman"/>
          <w:color w:val="000000" w:themeColor="text1"/>
          <w:sz w:val="16"/>
          <w:szCs w:val="16"/>
        </w:rPr>
        <w:tab/>
        <w:t>августа - на м. Северный, встретив в пути шквал с пургой.</w:t>
      </w:r>
    </w:p>
    <w:p w14:paraId="58E461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w:t>
      </w:r>
      <w:r w:rsidRPr="00C33834">
        <w:rPr>
          <w:rFonts w:ascii="Times New Roman" w:hAnsi="Times New Roman"/>
          <w:color w:val="000000" w:themeColor="text1"/>
          <w:sz w:val="16"/>
          <w:szCs w:val="16"/>
        </w:rPr>
        <w:tab/>
        <w:t>го</w:t>
      </w:r>
      <w:r w:rsidRPr="00C33834">
        <w:rPr>
          <w:rFonts w:ascii="Times New Roman" w:hAnsi="Times New Roman"/>
          <w:color w:val="000000" w:themeColor="text1"/>
          <w:sz w:val="16"/>
          <w:szCs w:val="16"/>
        </w:rPr>
        <w:tab/>
        <w:t>- вылетел на м. Ванкарем для разведки проходов судам "Сунчан" и "Партизан".</w:t>
      </w:r>
    </w:p>
    <w:p w14:paraId="4C8A1B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25-го августа самолет находился на мысе Северном, а к 27 августа прошел в устье Лены.</w:t>
      </w:r>
    </w:p>
    <w:p w14:paraId="694124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навигации, 24 сентября, СССР-Н8 прибыл в Иркутск, где экипаж сдал его в авиаремонтные мастерские Аэрофлота. Налет за год составил 222 часа, пройденное расстояние - свыше 37000 км.</w:t>
      </w:r>
    </w:p>
    <w:p w14:paraId="0333607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1934 г. СССР-Н8 использовался для проведения ледовой разведки в море Лаптевых. Командир П.Г.Головин, штурман А.П.Ште- пенко (у него это был первый сезон работы в Арктике, поэтому вылетел в легоньком кителе) бортмеханики Н.Л.Кекушев и Краснопевков (11970).</w:t>
      </w:r>
    </w:p>
    <w:p w14:paraId="65075A3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61CCC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завод Авиаприбор был разделен. Основное производство - на новую площадку в Кутузовскую слободу, где он стал затем 213 - все бортовые приборы. Старая - в Грузинах - стала заводом Тизприбор - затем завод 230 - теплоизмерительные приборы (80,428).</w:t>
      </w:r>
    </w:p>
    <w:p w14:paraId="79D641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BA32B7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появились ХАБ-500 и ХАБ-1000, нести которые могли только тяжелые бомбардировщики. В следующем году эти боеприпасы проходили испытания на Центральном военно-химическом полигоне в Шиханах. Оружие оказалось небывало мощным. ХАБ-500 убивала подопытных животных на расстоянии до полутора километров от точки взрыва. Газовое "болото" не рассеивалось при штиле около двух часов. Большая по емкости ХАБ-1000 могла на дистанции 500 м поразить человека даже в противогазе. К сожалению, определили это экспериментально - погиб лаборант, попытавшийся взять пробы. В 1934 г. на заводе № 39 в Москве начали работу над двухтонной химической бомбой. Считают, что она реально была изготовлена в виде опытного образца, но испытывалась ли - неизвестно.</w:t>
      </w:r>
    </w:p>
    <w:p w14:paraId="2DC68F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Но боевое применение таких бомб считалось рациональным лишь по некоторым целям. Дело в том, что после взрыва крупного химического боеприпаса образовывался газовый "купол" значительной высоты, существенно превышающий уровень головы всадника. Получалось, что значительная часть объема отравляющего облака просто бесполезна. Более эффективным считалось бомбометание но площади большим количеством мелких химических бомб. Но ограниченное количество замков бомбодержателей на самолете делало их загрузку невыгодной - грузоподъемность машины не использовалась полностью. В Осконбю- ро разработали кассету Г-54, в которой укладывали десять бомб по 3 кг. Кассета подвешивалась и сбрасывалась, как бомба. Через заданное время она раскрывалась, высыпая содержимое. Позднее химические и осколочно-химические бомбы включили в список загружаемых в ротативно-рассе- ивающие бомбы РРАБ всех трех размеров. </w:t>
      </w:r>
    </w:p>
    <w:p w14:paraId="358B62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осколочно-химическому оружию можно отнести и создававшиеся мелкие боеприпасы, которые при взрыве разлетались на мелкие осколки, намазанные ядом типа кураре. Чтобы при загрузке не отравился наземный состав, снаружи они закрывались паяной жестяной рубашкой. Такие бомбы тоже собирались упаковывать в РРАБ. Однако на вооружение эти боеприпасы не поступили. Не из гуманизма, а из- за сложности, явной небезопасности и дороговизны изготовления. Ограничились испытанием опытных образцов на кроликах (12036).</w:t>
      </w:r>
    </w:p>
    <w:p w14:paraId="3F4C54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E52AF5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на вооружение приняли кассету АК-2. Ее создаш в Цехе особых конструкций опытного завода ЦАГИ. В кассету заряжалось более 100 литровых шаров. На бомбардировщике ТБ-3 четыре АК-2 монтировались на бомбодержателях КД-2 в бомбоот- секе. Шестимоторный ТБ-4 должен был нести восемь таких кассет.</w:t>
      </w:r>
    </w:p>
    <w:p w14:paraId="751D1AE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Первыми появились так называемые "бусы" - стеклянные шары с заправочным горлышком, на манер бутылки, наверху. После заливки отравляющего вещества горлышко герметично закрывали пробкой и заливали сургучом. После сброса с самолета шар разбивался о землю, его содержимое разбрызгивалось и испарялось. Чем выше температура среды, тем быстрее шел процесс испарения. Устройство примитивно, надежность обеспечивала сама простота конструкции. Взрыватель не </w:t>
      </w:r>
      <w:r w:rsidRPr="00C33834">
        <w:rPr>
          <w:rFonts w:ascii="Times New Roman" w:hAnsi="Times New Roman"/>
          <w:color w:val="000000" w:themeColor="text1"/>
          <w:sz w:val="16"/>
          <w:szCs w:val="16"/>
        </w:rPr>
        <w:lastRenderedPageBreak/>
        <w:t>требовался. "Бусы" стоили дешево, их можно было долго хранить в заправленном состоянии. Минус один - стекло есть стекло; всегда оставалась возможность, что шар уронят при погрузке или в полете в него попадет пуля или осколок.</w:t>
      </w:r>
    </w:p>
    <w:p w14:paraId="789D23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Впервые стеклянные химические ампулы испытали в 1929 г., а в серийное производство их запустили в 1933 г. Делали две разновидности "бус": литровый шар АК-1 диаметром 120 мм и двухлитровый АК-2 размером 255 мм. Применять их собирались из ампульных кассет. Представьте себе конструкцию, похожую на орган, только все трубы одной длины. Вот так выглядело большинство ампульных кассет. Диаметр трубы соответствоват размеру ампулы, их укладывали друг на друга через мягкие войлочные прокладки. Снизу труба имела крышку; при ее открывании шары в ы вал и ваш с ь наружу.</w:t>
      </w:r>
    </w:p>
    <w:p w14:paraId="3F5C1F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Работали и над кассетами другого типа. В них механизм с заданными интервалами выбрасывал шары наружу. Однако ни одна из таких конструкций не дошла до серийного производства.</w:t>
      </w:r>
    </w:p>
    <w:p w14:paraId="4C420DE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Ампульные кассеты позже нашли широкое применение в годы Великой Отечественной войны. Но ампулы уже были не стеклянными, а жестяными и заливали в них не иприт и не фосген, а самовоспламеняющуюся жидкость КС (12036).</w:t>
      </w:r>
    </w:p>
    <w:p w14:paraId="1D1B6CD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02A865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ВВА разработала простой механический кольцевой прицел КПТ-4, учитывающий собственную скорость самолета (85,462).</w:t>
      </w:r>
    </w:p>
    <w:p w14:paraId="3A70671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5307D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началось серийное производство бомбардировочного прицела ОПБ-2 для ТБ-3 (АНТ-6) и ДБ-3 (85,472).</w:t>
      </w:r>
    </w:p>
    <w:p w14:paraId="303E35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D8A20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рабочие заводов Таганрога откликнулись на призыв городских организаций партии, комсомола и Осоавиахима, и быстро собрали более 18 тысяч рублей на создание аэроклуба. Тогда же и куплены семь планеров для организации планерных школ. Были созданы планерные школы при заводах механическом имени Димитрова, металлургическом, «Красный котельщик», комбайновом. Рабочие металлургического завода сами создали аэроплощадку, установили дежурство, организовали уход за планерами. Инструктор по планеризму Крупенко летом 1934 года первым поднялся в воздух. И пусть эти полеты с помощью резиновых амортизаторов были невысокими и непродолжительными, первые курсанты уже вкусили радость, счастье свободного полета.</w:t>
      </w:r>
    </w:p>
    <w:p w14:paraId="170497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Наиболее крепкая и прочная: организация сложилась на авиационном заводе имени Димитрова. Здесь для занятий были выделены помещения, создана площадка для запуска планеров. Вскоре заработал заводской аэроклуб, во главе которого стоял на общественных началах известный летчик, участник гражданской войны, комбриг авиации, норвежский политэмигрант Адольф Амундсенович Ульсен. Уже в 1934 году клуб имел в своем составе планерную станцию, летную школу. Появился и свой первый старенький латаный самолет У-2. Инструкторами стали летчики А. Ульсен и Б. Ляхович. Начальником планерной станции был недавний шофер завода Михаил Тарабрин.</w:t>
      </w:r>
    </w:p>
    <w:p w14:paraId="262CA9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Большое внимание аэроклубу уделяли директор завода Ф. П. Мурашов, секретарь парткома Н. М. Мыльников. Юридическими членами аэроклуба стали, кроме них, главный инженер И. М. Косткин, начальник цеха Габрилович, ведущие специалисты завода Развальский, Савченко, Якайтис, Дубенский, Глазко. Они первыми внесли в организацию клуба личные деньги. Скоро это движение на заводе стало массовым. Нужно отметить то, что организация парашютных кружков, планерных станций и секций, летной школы базировалась исключительно на добровольных пожертвованиях и взносах рабочих, инженеров, служащих, то есть на подлинно народных деньгах.</w:t>
      </w:r>
    </w:p>
    <w:p w14:paraId="1A6BC51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Уже в 1934 году в городе появились первые летчики-планеристы: Васильев, Конома, Донец, Алексеев, Андреев, Шаповалов, Ладыгин. Наиболее подготовленные из них Андреев и Олейников стали сами инструкторами в аэроклубе. В том же году у димитровцев были созданы группы пилотов, планеристов, мотористов. Появились новые летчики-инструкторы Борисенко, Кашин.</w:t>
      </w:r>
    </w:p>
    <w:p w14:paraId="3375A4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Хорошо работал планерный кружок на комбайновом заводе. Здесь лучшим планеристом был секретарь партийного комитета тов. Щербаков. Он же успешно выполнил нормы и получил звание «Ворошиловский стрелок». Активно работали в кружке Полунин, Шевченко и другие молодые рабочие.</w:t>
      </w:r>
    </w:p>
    <w:p w14:paraId="4329415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Летом 1934 года в городе широко развернулось патриотическое движение по сбору средств на постройку самолета «Таганрогский рабочий». Деньги сдавали не только рабочие, но и студенты, школьники. Часто можно было встретить в городской газете объявление, подобное следующему:</w:t>
      </w:r>
    </w:p>
    <w:p w14:paraId="20BCC0B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«Сотрудники горздравотдела все вступили в юридические члены аэроклуба и внесли 500 рублей на его оборудование и строительство самолета «Таганрогский рабочий». Тов. Рубан (заведующий горздравотделом) внес 25 рублей. Члены артели «Политкаторжанин» всем коллективом вступили в юридические члены аэроклуба и внесли 400 рублей на постройку аэроклуба».</w:t>
      </w:r>
    </w:p>
    <w:p w14:paraId="043AB8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городском совете Осовиахима была создана комиссия содействия организации аэроклуба во главе с Чечковским. В июле 1934 года горком комсомола принял решение: « … каждый комсомолец должен быть членом аэроклуба и вовлечь в членство не менее десяти человек беспартийной молодежи». В сентябре 1934 года в Таганроге и районе проходил месячник по сбору утиля. Половина из средств от сбора утиля была направлена на строительство самолета «Таганрогский рабочий», а половина — на благоустройство города.</w:t>
      </w:r>
    </w:p>
    <w:p w14:paraId="5BB676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Широко и торжественно прошел первый авиационный праздник в Таганроге 18 августа 1934 года. В эти дни в нашем городе находилась эскадрилья агитперелета во главе с летчиком В. М. Ремизюком, организованная московской газетой «За индустриализацию». Семерка советских пассажирских самолетов П-5 вызвала небывалый интерес у таганрожцев. Участники агитперелета были приняты в горкоме партии.</w:t>
      </w:r>
    </w:p>
    <w:p w14:paraId="01EF9B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Именно тогда, 15 августа 1934 года, там серьезно обсуждался вопрос об открытии в Таганроге образцового аэроклуба. В своем выступлении первый секретарь горкома партии С. X. Варданиан сказал: «Таганрог — индустриальный и культурный центр обширного края, и здесь мы также добьемся успеха, и наш аэроклуб должен быть одним из лучших в крае» (11642).</w:t>
      </w:r>
    </w:p>
    <w:p w14:paraId="6038DC5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06AD4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при тресте «Дальстрой» созданы Авиаремонтные мастерские № 73. 30.12.1974 г. мастерские преобразованы в АРЗ № 73 ГА (Авиаремонтный завод (АРЗ) № 73 ГА, АООТ, ОАО «Магаданский АРЗ (МАРЗ) № 73 ГА» /685009  г. Магадан Аэропорт, 13-й км основной трассы тел. 20-730/).</w:t>
      </w:r>
    </w:p>
    <w:p w14:paraId="1D5E4EE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Численность персонала (1980-е  г.)- 400 чел., (2000 г.)-100 чел., (2002 г.)-160 чел.</w:t>
      </w:r>
    </w:p>
    <w:p w14:paraId="4605ED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Гендиректор (1990-е)- И. Г. Карнаухов, (2002 г.)- Б.Б. Елисеев.</w:t>
      </w:r>
    </w:p>
    <w:p w14:paraId="6C64F29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Ремонт: самолеты: Ли-2 (после ВОВ), Ан-2 (1960-е); вертолеты: Ми-1, Ми-4 (1960-е), Ми-8 (1973-2002-), Ми- 17 (2003) (11982).</w:t>
      </w:r>
    </w:p>
    <w:p w14:paraId="77BB7699" w14:textId="77777777" w:rsidR="00742DA3" w:rsidRPr="00C33834" w:rsidRDefault="00742DA3" w:rsidP="00C33834">
      <w:pPr>
        <w:autoSpaceDE w:val="0"/>
        <w:autoSpaceDN w:val="0"/>
        <w:adjustRightInd w:val="0"/>
        <w:spacing w:after="0" w:line="240" w:lineRule="auto"/>
        <w:jc w:val="both"/>
        <w:rPr>
          <w:rFonts w:ascii="Times New Roman" w:hAnsi="Times New Roman"/>
          <w:color w:val="000000" w:themeColor="text1"/>
          <w:sz w:val="16"/>
          <w:szCs w:val="16"/>
        </w:rPr>
      </w:pPr>
    </w:p>
    <w:p w14:paraId="6DC1D39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в Научно-исследовательском морском институте связи (НИМИС) в специально созданной лаборатории N022 под руководством Соломона Федоровича Валка начались работы над планирующей торпедой (ПТ). Наводить планирующую торпеду (ПТ) Валк предложил с помощью инфракрасных лучей. Обнаружить такую ПТ звукоулавливателями противник не мог из-за бесшумности полета. Проектированием системы наведения занималась лаборатория ИК-техники. Комиссия Управления морских сил (УМС) РККА ввела для ПТ следующие обозначения:</w:t>
      </w:r>
    </w:p>
    <w:p w14:paraId="3FDEA25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ДПТ (дальнобойная планирующая торпеда) для безмоторных планирующих торпед с дальностью полета 30-50 км. Кодовое обозначение "Волк";</w:t>
      </w:r>
    </w:p>
    <w:p w14:paraId="5B05D74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ЛТДД (летающая торпеда дальнего действия) для оборудованных мотором (обычным винтовым или ракетным). Их дальность полета могла достигать 100-200 км;</w:t>
      </w:r>
    </w:p>
    <w:p w14:paraId="0A201D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БМП (буксируемый минный планер) для безмоторных ПТ на жестком буксире. Кодовое обозначение "Вепрь".</w:t>
      </w:r>
    </w:p>
    <w:p w14:paraId="0D13C54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Выпуск опытной партии ПТ поручили ОКБ завода N 23 в Ленинграде, а создание системы наведения (кодовое обозначение "Квант") - НИИ N 10 Наркомата оборонной промышленности (3861).</w:t>
      </w:r>
    </w:p>
    <w:p w14:paraId="4A838FE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435693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1933 или 1934 г. было создано ОКБ-2 (ОКБ-2 НКОП, ГС Объединенное КБ № 15 (ОКБ-15) НКОП, НКВ, </w:t>
      </w:r>
      <w:r w:rsidRPr="00C33834">
        <w:rPr>
          <w:rFonts w:ascii="Times New Roman" w:hAnsi="Times New Roman"/>
          <w:color w:val="000000" w:themeColor="text1"/>
          <w:sz w:val="16"/>
          <w:szCs w:val="16"/>
          <w:lang w:val="en-US"/>
        </w:rPr>
        <w:t>MB</w:t>
      </w:r>
      <w:r w:rsidRPr="00C33834">
        <w:rPr>
          <w:rFonts w:ascii="Times New Roman" w:hAnsi="Times New Roman"/>
          <w:color w:val="000000" w:themeColor="text1"/>
          <w:sz w:val="16"/>
          <w:szCs w:val="16"/>
        </w:rPr>
        <w:t>, МОП /г. Москва, район ул. Полянка/). По пр. НКОП № Обсс от 30.12.1936г. ОКБ-2 переименовано в ОКБ-15. По пр. № 0227 от 9.10.1937г. ЦКБ-15 передано в ведение вновь созданного 15ГУ НКОП, приказом № 278 от 20.07.1938г. утвержден Устав ГС ОКБ-15. В 02.1939г. ОКБ-15 15ГУ передано в ведение 15ГУ НКВ.</w:t>
      </w:r>
    </w:p>
    <w:p w14:paraId="00122EF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 ЗГУ № 72 от 16.07.1937г. группа работников из 12 чел. во главе с Комарицким и Чарнко была командирована на завод № 8.</w:t>
      </w:r>
    </w:p>
    <w:p w14:paraId="54A04D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 исполнение решения правительства № 194сс от 5.08.1938г. пр. № 341сс от 28.08.1938г. ОКБ поручено к 1.09.1938г. разработать синхронный пулемет УШ.</w:t>
      </w:r>
    </w:p>
    <w:p w14:paraId="24D8D1F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 ГКО № 3948 от 18.08.1943г. 45-мм пушка разработки ОКБ запущена в производство.</w:t>
      </w:r>
    </w:p>
    <w:p w14:paraId="2CFC93D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1946г. ОКБ было привлечено к изучению немецкого опыта по созданию </w:t>
      </w:r>
      <w:r w:rsidRPr="00C33834">
        <w:rPr>
          <w:rFonts w:ascii="Times New Roman" w:hAnsi="Times New Roman"/>
          <w:color w:val="000000" w:themeColor="text1"/>
          <w:sz w:val="16"/>
          <w:szCs w:val="16"/>
          <w:lang w:val="en-US"/>
        </w:rPr>
        <w:t>PC</w:t>
      </w:r>
      <w:r w:rsidRPr="00C33834">
        <w:rPr>
          <w:rFonts w:ascii="Times New Roman" w:hAnsi="Times New Roman"/>
          <w:color w:val="000000" w:themeColor="text1"/>
          <w:sz w:val="16"/>
          <w:szCs w:val="16"/>
        </w:rPr>
        <w:t xml:space="preserve"> и пусковых установок.</w:t>
      </w:r>
    </w:p>
    <w:p w14:paraId="70BFF9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ВОВ неоднократно возникали вопросы к Шпитальному по поводу авторства проводимых в ОКБ работ. Собирались комиссии по этому поводу. Шпитальный пользовался поддержкой в министерстве. После 1953г. Шпитальный потерял поддержку; продолжил работу преподавателем в МВТУ им. Баумана.</w:t>
      </w:r>
    </w:p>
    <w:p w14:paraId="0FCD69D5" w14:textId="77777777" w:rsidR="002E2083" w:rsidRPr="00C33834" w:rsidRDefault="002E2083" w:rsidP="00C33834">
      <w:pPr>
        <w:tabs>
          <w:tab w:val="left" w:pos="7553"/>
        </w:tabs>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(1934-53г.)- Б.Г. Шпитальный.</w:t>
      </w:r>
      <w:r w:rsidRPr="00C33834">
        <w:rPr>
          <w:rFonts w:ascii="Times New Roman" w:hAnsi="Times New Roman"/>
          <w:color w:val="000000" w:themeColor="text1"/>
          <w:sz w:val="16"/>
          <w:szCs w:val="16"/>
        </w:rPr>
        <w:tab/>
        <w:t>•</w:t>
      </w:r>
    </w:p>
    <w:p w14:paraId="5661C1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конструктор (1934-53г.)- Б.Г. Шпитальный {7.08.1902-6.02.1972}.</w:t>
      </w:r>
    </w:p>
    <w:p w14:paraId="7F3BFEE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Создано: пулеметы: авиационный синхронный УШ (1938); танковый 14,5 мм КПВ (1944); пушки: авиационные: 20-мм ШВАК (Шпитальный, Владимиров, авиационная крупнокалиберная) (пнв в 1936г.), ШФК-37 (Шпитальный фюзеляжно-крыльевая, 1941), «Ш-45» (1943), «Ш-3», «Ш-30» (начало 1950-х); 37-мм зенитный автомат (1936); танковая Ш-37 (1942) (11982).</w:t>
      </w:r>
    </w:p>
    <w:p w14:paraId="3BAE1EC3" w14:textId="77777777" w:rsidR="00742DA3" w:rsidRPr="00C33834" w:rsidRDefault="00742DA3" w:rsidP="00C33834">
      <w:pPr>
        <w:autoSpaceDE w:val="0"/>
        <w:autoSpaceDN w:val="0"/>
        <w:adjustRightInd w:val="0"/>
        <w:spacing w:after="0" w:line="240" w:lineRule="auto"/>
        <w:jc w:val="both"/>
        <w:rPr>
          <w:rFonts w:ascii="Times New Roman" w:hAnsi="Times New Roman"/>
          <w:color w:val="000000" w:themeColor="text1"/>
          <w:sz w:val="16"/>
          <w:szCs w:val="16"/>
        </w:rPr>
      </w:pPr>
    </w:p>
    <w:p w14:paraId="21DEDF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 1933 г. относятся первые работы по созданию ТБ-3 без экипажа когда к этому самолету в Остехбюро начали приспосабливать систему "Дедал", спроектированную первоначально для ТБ-1. </w:t>
      </w:r>
    </w:p>
    <w:p w14:paraId="7E36E8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Остехбюро создало систему "Дедал" для радиоуправления ТБ-1 с земли или с самолета наведения в воздухе. Например, в комплект ТМС-36 должны были войти два ТБ-1 и командный ТБ-3. Два ТБ-1 поднимали в воздух летчики, затем выпрыгивавшие с парашютами. Далее беспилотники управлялись с ТБ-3 по радио с дистанции 15-20 км.</w:t>
      </w:r>
    </w:p>
    <w:p w14:paraId="1B721C0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Замыслы шли далеко: от простой летающей бомбы до полноценного беспилотного бомбардировщика (что только сейчас становится реальностью), идущего фактически по программе с корректировкой по необходимости и возвращающегося на свой аэродром после выполнения задания. Все уперлось в отсутствие хорошего автопилота, который должен был выдерживать курс и высоту.</w:t>
      </w:r>
    </w:p>
    <w:p w14:paraId="03A9635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рамках программы создания "телемеханического" (т.е. радиоуправляемого) ТБ-3 опробовали много разных конструкций автопилотов - пневматических, гидравлических, электромеханических. Так, в июле 1934 г. в Монино испытывали самолет с автопилотом АВП-3, а в октябре - с АВП-7. Но фактически до 1937 г. ни одного более- менее приемлемого устройства не получили.</w:t>
      </w:r>
    </w:p>
    <w:p w14:paraId="145539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Задумок у конструкторов было много. Существовал, например, проект этакого "русского "Мистеля": на "спине" ТБ-3 располагался КР-6 - самолет управления. Двухмоторный КР-6 - машина не маленькая, весом около шести тонн и с экипажем из трех человек. Но аппаратура радиоуправления тогда была столь громоздка, что самолет меньших размеров просто не мог ее взять. Сам ТБ-3 в этом проекте являлся беспилотным, "летающей бомбой", загруженной 3,5 т взрывчатки или отравляющих веществ. Он просто экономил горючее КР-6, которому еще предстояла дорога обратно, увеличивая радиус действия системы.</w:t>
      </w:r>
    </w:p>
    <w:p w14:paraId="248715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Принципиально, конечно, эта схема от немецкого "Мистеля" существенно отличалась. У немцев никакого радиоуправления не имелось. Там сочлененный аппарат просто входил в пологое пикирование на цель, затем само- лет-"наездник" сверху отцеплялся, а бомбардировщик следовал дальше на автопилоте до момента взрыва. При этом оба самолета попадали под огонь зенитчиков. В нашем же проекте машины расцеплялись еще в горизонтальном полете, и в атаку шел только ТБ-3 без экипажа, наводимый оператором из передней кабины КР-6.</w:t>
      </w:r>
    </w:p>
    <w:p w14:paraId="6D464DD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 более тщательные расчеты показали, что размещение "верхом" выигрыша в дальности практически не дает, радиус действия и так, и этак оказывался около 1200 км. Так что далее стали отрабатывать вариант с раздельным полетом: впереди - ТБ-3, а за ним - самолет управления. Но отсутствие существенных успехов привело к тому, что 25 января 1938 г. тему закрыли, а три использовавшихся для испытаний бомбардировщика отобрали. Правда, через год работы возобновили, но приличных результатов в этом направлении удалось достигнуть только к началу Великой Отечественной войны (12036).</w:t>
      </w:r>
    </w:p>
    <w:p w14:paraId="3D2580B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2C86C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сделали и испытали первые оперенные РС для штурмовиков и бомбардировщиков (93,21).</w:t>
      </w:r>
    </w:p>
    <w:p w14:paraId="3DF1EA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4CC6AF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фото 1933г. РС-132 оснащали БЧ с двумя попереч</w:t>
      </w:r>
      <w:r w:rsidRPr="00C33834">
        <w:rPr>
          <w:rFonts w:ascii="Times New Roman" w:hAnsi="Times New Roman"/>
          <w:color w:val="000000" w:themeColor="text1"/>
          <w:sz w:val="16"/>
          <w:szCs w:val="16"/>
        </w:rPr>
        <w:softHyphen/>
        <w:t>ными осколочными насечками, в чем можно «заподозрить» стремление разработчиков дробить БЧ на 15-г осколки. В ходе полигонных испыта</w:t>
      </w:r>
      <w:r w:rsidRPr="00C33834">
        <w:rPr>
          <w:rFonts w:ascii="Times New Roman" w:hAnsi="Times New Roman"/>
          <w:color w:val="000000" w:themeColor="text1"/>
          <w:sz w:val="16"/>
          <w:szCs w:val="16"/>
        </w:rPr>
        <w:softHyphen/>
        <w:t>ний РОС-82 модели 2-01171 в секторных мишенях было подорвано три боеприпаса. При этом снаряды устанавливали вертикально, с БЧ, напра</w:t>
      </w:r>
      <w:r w:rsidRPr="00C33834">
        <w:rPr>
          <w:rFonts w:ascii="Times New Roman" w:hAnsi="Times New Roman"/>
          <w:color w:val="000000" w:themeColor="text1"/>
          <w:sz w:val="16"/>
          <w:szCs w:val="16"/>
        </w:rPr>
        <w:softHyphen/>
        <w:t>вленной вверх таким образом, что срез сопла располагался в метре от земли (имитация стрельбы с кабрирования). В этот же период решался вопрос об упразднении из БЧ РС запаль</w:t>
      </w:r>
      <w:r w:rsidRPr="00C33834">
        <w:rPr>
          <w:rFonts w:ascii="Times New Roman" w:hAnsi="Times New Roman"/>
          <w:color w:val="000000" w:themeColor="text1"/>
          <w:sz w:val="16"/>
          <w:szCs w:val="16"/>
        </w:rPr>
        <w:softHyphen/>
        <w:t>ных стаканов, что, по мнению разработчиков, также влияло на боевые свойства ракетных боеприпасов. Хотя, откровенно говоря, на чертежах серийных боеприпасов того времени до 1939 г. запальных стаканов мне видеть не доводилось...(11402).</w:t>
      </w:r>
    </w:p>
    <w:p w14:paraId="31306C8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C07F5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был разработан снаряд модели 1449, который стал первым образцом боеприпаса к 245-мм ракетной системе. По всей видимости, он не был воплощен в металле, иначе не трудно догадаться, каковы были бы результаты стрельбы им. Боеприпас был задуман без оперения, по схеме одной из ракет шведского конструктора Унге для стрельбы из направляющей трубчатого типа. Однако, в РНИИ не очень внимательно отнеслись к его «авторским причудам» и решили упростить заграничную конструкцию.</w:t>
      </w:r>
    </w:p>
    <w:p w14:paraId="58E1EF9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 Унге РС был задуман, хоть и с одним передним центрирующим утолщением, но с сопловым коллектором. Благодаря первому, он обретал обтюрацию, препятствующую проникновению продуктов горения РЗ между снарядом и стволом, а второе способствовало его центрирова</w:t>
      </w:r>
      <w:r w:rsidRPr="00C33834">
        <w:rPr>
          <w:rFonts w:ascii="Times New Roman" w:hAnsi="Times New Roman"/>
          <w:color w:val="000000" w:themeColor="text1"/>
          <w:sz w:val="16"/>
          <w:szCs w:val="16"/>
        </w:rPr>
        <w:softHyphen/>
        <w:t>нию в канале ствола.</w:t>
      </w:r>
    </w:p>
    <w:p w14:paraId="6EB15C8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Снаряд РНИИ не имел соплового коллектора, изготавливать которое было довольно сложно. Центральную сопловую рюмку - проще. Ее и ре</w:t>
      </w:r>
      <w:r w:rsidRPr="00C33834">
        <w:rPr>
          <w:rFonts w:ascii="Times New Roman" w:hAnsi="Times New Roman"/>
          <w:color w:val="000000" w:themeColor="text1"/>
          <w:sz w:val="16"/>
          <w:szCs w:val="16"/>
        </w:rPr>
        <w:softHyphen/>
        <w:t>шили применить. Но как раз это и портило все дело. Короче, если таким снарядом выстрелить, то его, в результате наличия эксцентриситета реак</w:t>
      </w:r>
      <w:r w:rsidRPr="00C33834">
        <w:rPr>
          <w:rFonts w:ascii="Times New Roman" w:hAnsi="Times New Roman"/>
          <w:color w:val="000000" w:themeColor="text1"/>
          <w:sz w:val="16"/>
          <w:szCs w:val="16"/>
        </w:rPr>
        <w:softHyphen/>
        <w:t>тивной силы сопла, либо заклинило бы в стволе, либо напало бить зад</w:t>
      </w:r>
      <w:r w:rsidRPr="00C33834">
        <w:rPr>
          <w:rFonts w:ascii="Times New Roman" w:hAnsi="Times New Roman"/>
          <w:color w:val="000000" w:themeColor="text1"/>
          <w:sz w:val="16"/>
          <w:szCs w:val="16"/>
        </w:rPr>
        <w:softHyphen/>
        <w:t>нюю часть боеприпаса о стенки трубчатой направляющей. Шашки РЗ, скорее всего, не выдержали бы таких ударов, растрескались, и снаряд взорвался бы в пусковой или рядом с ней. При заклинивании снаряда РО само бы полетело вперед: тяга ракетного двигателя была не менее 7 т - куда более массы артиллерийского лафета.</w:t>
      </w:r>
    </w:p>
    <w:p w14:paraId="25379DB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тем, если бы при таких условиях старта снаряду все же удалось бы покинуть канал ствола, о прицельной стрельбе им говорить было бы неуместно. В итоге от РС без оперения в данном калибре отказались, и по аналогии с РС-82 и РС-132, боеприпасы обрели оперение размахом 2,5 калибра.</w:t>
      </w:r>
    </w:p>
    <w:p w14:paraId="61AADDF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Советские конструкторы небезосновательно уделяли внимание авиационным ракетным снарядам иных калибров. Ракетные системы калибра 245 мм стали логическим завершением отечественной «ракет</w:t>
      </w:r>
      <w:r w:rsidRPr="00C33834">
        <w:rPr>
          <w:rFonts w:ascii="Times New Roman" w:hAnsi="Times New Roman"/>
          <w:color w:val="000000" w:themeColor="text1"/>
          <w:sz w:val="16"/>
          <w:szCs w:val="16"/>
        </w:rPr>
        <w:softHyphen/>
        <w:t>ой триады» предвоенного периода. Как упоминалось ранее, ракетными системами калибра 82 мм планировали вооружать всю истребительную авиацию, 132-мм системами - скоростную и пикирующую бомбардировочную. Но ВВС РККА располагали и тяжелобомбардировочной авиацией. Именно для ее вооружения предусматривалось создать 245-мм системы.</w:t>
      </w:r>
    </w:p>
    <w:p w14:paraId="7312D83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Более мощные реактивные системы были призваны создать альтернативу популярной на Западе в начале 20-х годов (как, впрочем, и поныне) доктрине бригадного генерала Джулио Дуэ и в некоторых ситуациях соответствовали ей. К началу 30-х годов наиболее развитые авиационные державы планировали использовать крупные соединения тяжелых воздушных кораблей для налетов на политические и промышленные центры противника. Считалось, что это окажет решающее влияние на весь од боевых действий. Между тем за рубежом придерживались мнения, что для вывода из строя административных центров достаточно обычно-бомбового вооружения. Советские же конструкторы-оружейники в решении данной проблемы продвинулись намного дальше, решив что стратегически важные объекты обычно имеют сильное прикрытие средствами ПВО, то выгоднее наносить удар, не входя в зону их эффективного огня. Этот замысел позволяло реализовать только ракетное вооружение большого калибра.</w:t>
      </w:r>
    </w:p>
    <w:p w14:paraId="34FDEE1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Между тем, на основе нового класса вооружений специалисты НИИ-3 НКОП предлагали создать и приемы эффективного противодействия агрессивным замыслам врага. Бороться с крупными соединениями бомбардировщиков, идущими в плотном боевом строю, должны были советские тяжелые машины, вооруженные РС особо крупных калибров, своим огнем они должны были рассеивать боевые порядки противника, отдельные самолеты которого можно будет уничтожать с истребителей при помощи РС малых и очень малых калибров. За счет последних можно увеличить ракетный боезапас носителя почти на порядок (11402).</w:t>
      </w:r>
    </w:p>
    <w:p w14:paraId="0CA35A5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CDBD14"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на заводе №67 по указанию ВСНХ было организовано Специальное техническое бюро – спецтехбюро (СТБ). Территориально оно располагалось на заводе, но подчинялось ВСНХ.</w:t>
      </w:r>
    </w:p>
    <w:p w14:paraId="7CDBA3AB"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Первоначально спецтехбюро должно было координировать и финансировать работы по созданию авиабомб в НИО и организовывать на заводах страны серийное производство авиабомб, принятых на вооружение.</w:t>
      </w:r>
    </w:p>
    <w:p w14:paraId="1122DD9F"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Начальником СТБ был назначен Г. Е. Ворошнин. Его заместителем и одновременно ученым секретарем СТБ был утвержден Н. Т Кулаков. Между ними произошло своеобразное разделение работ. Г. Е. Ворошнин был очень энергичным и деятельным в организационных и хозяйственных делах. Он активно занимался подбором кадров, привлечением специалистов-консультантов для решения производственных вопросов, обеспечивал финансирование работ по разработке новых бомб.</w:t>
      </w:r>
    </w:p>
    <w:p w14:paraId="019CD20A"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по инициативе СТБ было созвано всесоюзное совещание заводов, изготавливавших бомбы, в котором приняли участие конструкторы опытного отдела. Такая форма общения заводов непосредственно с отработчиками оказалась очень полезной обеим сторонам, и совещания такого типа решено было повторять.</w:t>
      </w:r>
    </w:p>
    <w:p w14:paraId="783282BA"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1935 году СТБ было преобразовано в Конструкторско-технологическом бюро (КТБ-27).</w:t>
      </w:r>
    </w:p>
    <w:p w14:paraId="44CE0325"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КТБ-27 по-прежнему существовало на территории завода № 67, но было переподчинено Главному мобилизационному управлению Наркомтяжпрома. НИО же по-прежнему оставался отделом при заводе № 67, хотя работы его и КТБ-27 были взаимосвязаны: задачей КТБ было оказание помощи спеццехам валовых заводов, производивших образцы, разрабатываемые НИО. Без визы КТБ-27 заказчик не принимал от НИО чертежей для сдачи на валовое производство.</w:t>
      </w:r>
    </w:p>
    <w:p w14:paraId="2E5B8546"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1935 года КТБ-27 быстро стало пополняться кадрами. Так, в области сварки стали работать А. С. Ольшанский, В. А. Боголюбский: вопросами механической обработки и сборки занимались Ананченко, В. В. Шишкин, Д. А. Силин, Е. Т. Шестоперова, Г. П. Курин; литьем – Н. И. Соколов, В. Е. Ермолаев; вопро- сами измерений – А. И. Павлов, В. В. Любичев, Б. К. Ярцев, А. Н. Фролов и т. д. Начальником КТБ-27 был назначен Г. Е. Ворошнин, его заместителями – Н. И. Крупнов и Н. М. Кашкин.</w:t>
      </w:r>
    </w:p>
    <w:p w14:paraId="08149850" w14:textId="77777777" w:rsidR="00F5172A" w:rsidRPr="00C33834" w:rsidRDefault="00F5172A" w:rsidP="00C33834">
      <w:pPr>
        <w:pStyle w:val="ae"/>
        <w:spacing w:before="0" w:after="0"/>
        <w:jc w:val="both"/>
        <w:rPr>
          <w:color w:val="000000" w:themeColor="text1"/>
          <w:sz w:val="16"/>
          <w:szCs w:val="16"/>
        </w:rPr>
      </w:pPr>
      <w:r w:rsidRPr="00C33834">
        <w:rPr>
          <w:color w:val="000000" w:themeColor="text1"/>
          <w:sz w:val="16"/>
          <w:szCs w:val="16"/>
        </w:rPr>
        <w:t>Сотрудники КТБ работали чрезвычайно оперативно. Так, альбом контрольно- мерительного инструмента заводу «Красный котельщик», который делал в это время ФАБ-250, был выслан в Таганрог через сутки. Также в течение суток был разрабоан техпроцесс на изготовление запального стакана авиабомбы ФАБ-100, и технолог тут же выехал с документами в Ростов на «Ростсельмаш».</w:t>
      </w:r>
    </w:p>
    <w:p w14:paraId="1923EC4A"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Вообще, система оперативной помощи была в КТБ-27 хорошо продумана: технолог по вызову с завода выезжал туда на ближайшем поезде, надо было только захватить из дому необходимые вещи. Билет он получал от специального агента, который встречал его уже на вокзале.</w:t>
      </w:r>
    </w:p>
    <w:p w14:paraId="122C8157"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Душой этого небольшого, но слаженного коллектива был по-прежнему Г. Е. Ворошнин, сам отличавшийся необыкновенной оперативностью и подвижностью.</w:t>
      </w:r>
    </w:p>
    <w:p w14:paraId="506AB1C2"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1937 году в КТБ-27 было организовано второе всесоюзное совещание представителей заводов, выпускающих бомбы, и военпредов с участием работников НИО. Совместное обсуждение технологических вопросов, ТУ и чертежей помогло и промышленности, и конструкторам (15794).</w:t>
      </w:r>
    </w:p>
    <w:p w14:paraId="28324070" w14:textId="77777777" w:rsidR="00F5172A" w:rsidRPr="00C33834" w:rsidRDefault="00F5172A" w:rsidP="00C33834">
      <w:pPr>
        <w:spacing w:after="0" w:line="240" w:lineRule="auto"/>
        <w:jc w:val="both"/>
        <w:rPr>
          <w:rFonts w:ascii="Times New Roman" w:hAnsi="Times New Roman"/>
          <w:color w:val="000000" w:themeColor="text1"/>
          <w:sz w:val="16"/>
          <w:szCs w:val="16"/>
        </w:rPr>
      </w:pPr>
    </w:p>
    <w:p w14:paraId="2ADEBDD0"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1933 году завод № 67 выпустил 9600 штук ФАБ-200, 8100 – ФАБ-250, 1050 – ФАБ-500, 310 – ФАБ-1000 и 70 – ФАБ-2000 (15794).</w:t>
      </w:r>
    </w:p>
    <w:p w14:paraId="3E24A616" w14:textId="77777777" w:rsidR="00F5172A" w:rsidRPr="00C33834" w:rsidRDefault="00F5172A" w:rsidP="00C33834">
      <w:pPr>
        <w:spacing w:after="0" w:line="240" w:lineRule="auto"/>
        <w:jc w:val="both"/>
        <w:rPr>
          <w:rFonts w:ascii="Times New Roman" w:hAnsi="Times New Roman"/>
          <w:color w:val="000000" w:themeColor="text1"/>
          <w:sz w:val="16"/>
          <w:szCs w:val="16"/>
        </w:rPr>
      </w:pPr>
    </w:p>
    <w:p w14:paraId="1F046573"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как и в первые годы при разработке технической документации на авиабомбы не было установленной системы для оформления чертежей. ГСКБ-47 по согласованию и с участием Главного управления ВВС НКО решило на одном из заводов разработать образцовый чертеж и технические условия на изготовление авиабомбы. Изделием для образцового чертежа была определена гидростатическая авиабомба ГАБ-100 для установки дымовых завес на море.</w:t>
      </w:r>
    </w:p>
    <w:p w14:paraId="06B49CE3"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Эта бомба по своей конструкции была одной из самых сложных для того времени, она состояла из большого количества узлов и деталей.</w:t>
      </w:r>
    </w:p>
    <w:p w14:paraId="59F3551B"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договоренности с Краматорским заводом начальники отделов ГСКБ-47 Н. И. Крупнов и С. О. Сидоров, представитель ВВС Неворотин вместе с инженерами завода разработали такой чертеж. В нем был регламентирован порядок расположения общего вида узлов и деталей, определены порядок оформления ТУ, расчета допусков и другие вопросы. Техническая документация образцового чертежа была положена в основу оформления всех чертежей авиабомб, принятых на вооружение.</w:t>
      </w:r>
    </w:p>
    <w:p w14:paraId="6714BFD4"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Вначале для серийного производства оформлялись чертежи литер «А» на обычной кальке. Оформлением чертежей занимался специальный отдел с большим количеством ИТР. Руководил отделом Сергей Осипович Сидоров – инженер, хорошо знавший свое дело, пунктуальный и строгий в том, что касалось техдокументации.</w:t>
      </w:r>
    </w:p>
    <w:p w14:paraId="22100BBF"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процессе производства авиабомб технологический отдел под руководством Николая Ивановича Крупнова вместе с заводами при участии представителей ВВС готовил предложения по уточнению техдокументации, отрабатывал технологический процесс, создавал и проверял технологическую оснастку.</w:t>
      </w:r>
    </w:p>
    <w:p w14:paraId="5C9F6F28"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освоения в производстве конструкции, тщательной отработки чертежей и техпроцесса техдокументация на авиабомбу переводилась в литер «Б». Чертежи литеры «Б» оформлялись на полотняной кальке без каких-либо помарок. Изменения или исправления производить в них запрещалось. Чертежи литеры «Б» утверждались ГСКБ-47 и Управлением ВВС. Чертежи приспособлений, а также технологический процесс подписывались руководством завода-изготовителя и утверждались специальной комиссией из представителей ГСКБ и Управления ВВС.</w:t>
      </w:r>
    </w:p>
    <w:p w14:paraId="6B784A63"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Чертежи литеры «Б» являлись основой для серийного производства изделий и разработки мобилизационных планов. Таким образом, возможность брака в серийном производстве авиабомб по причине каких-либо ошибок в техдокументации исключалась. Именно тогда по предложению Управления ВВС подлинники научно-технической документации, подлинники научно-технических журналов, вся технологическая документация стали храниться в ГСКБ-47. Предприятие было обязано обеспечивать все заводы-изготовлители авиабомб и военную приемку технической документацией (15794).</w:t>
      </w:r>
    </w:p>
    <w:p w14:paraId="00CAB7A6" w14:textId="77777777" w:rsidR="00F5172A" w:rsidRPr="00C33834" w:rsidRDefault="00F5172A" w:rsidP="00C33834">
      <w:pPr>
        <w:spacing w:after="0" w:line="240" w:lineRule="auto"/>
        <w:jc w:val="both"/>
        <w:rPr>
          <w:rFonts w:ascii="Times New Roman" w:hAnsi="Times New Roman"/>
          <w:color w:val="000000" w:themeColor="text1"/>
          <w:sz w:val="16"/>
          <w:szCs w:val="16"/>
        </w:rPr>
      </w:pPr>
    </w:p>
    <w:p w14:paraId="7BF3FC32"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 1934 годы группой конструкторов под руководством В. М. Виноградова и А. И. Зверева эта попытка была повторена.</w:t>
      </w:r>
    </w:p>
    <w:p w14:paraId="5A1F0067"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Необходимость этой работы вызывалась тем, что при соответствующей маскировке визуальная разведка территории и позиций противника могла быть нерезультативной. Аэрофотографирование как надежное средство визуальной разведки уже существовало, были созданы первые отечественные аэрофотоаппараты, которые устанавливались в бомбоотсеке самолета.</w:t>
      </w:r>
    </w:p>
    <w:p w14:paraId="725F468F"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проведения полного воздушного фотографирования требовался светильник, в тысячи раз превышающей по силе света САБы. При этом вспышка могла быть кратковременной – в доли секунды, – если момент съемки будет согласован со временем вспышки. Этой работой усиленно занимался Г. В. Капианидзе, подбирая состав, обладавший нужными свойствами.</w:t>
      </w:r>
    </w:p>
    <w:p w14:paraId="4C22BF4E"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Отработка фотобомбы была достаточно длительной. При относительно небольших высотах и скоростях полета самолета взрыв бомбы происходил в поле зрения аэрофотоаппарата и вспышка засвечивала снимок.</w:t>
      </w:r>
    </w:p>
    <w:p w14:paraId="6C11E7C7"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Выход из положения был найден тем, что к стабилизатору бомбы прикрепили ленту. Она, действуя как слабый парашют, обеспечивала необходимое отставание бомбы от самолета.</w:t>
      </w:r>
    </w:p>
    <w:p w14:paraId="05F5B256"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Завершена отработка ФОТАБ была уже в 1938 –1939 годах в связи с задержкой в отработке аэрофотоаппарата. В это же время Г. В. Капианидзе усовершенствовал аэронавигационную бомбу АНАБ-1.</w:t>
      </w:r>
    </w:p>
    <w:p w14:paraId="3DC7363A"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ударе о воду головная часть бомбы разрушалась и на поверхности воды появлялось ярко-зеленое или ярко-красное пятно диаметром 7-10 метров.</w:t>
      </w:r>
    </w:p>
    <w:p w14:paraId="1E7836A0"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Существовал и ночной вариант АНАБ. Он создавал плавающие точки белого огня. Применялась аэронавигационная бомба для того, чтобы помочь летчикам ориентироваться при полетах над морем (15794).</w:t>
      </w:r>
    </w:p>
    <w:p w14:paraId="04D44CA7" w14:textId="77777777" w:rsidR="00F5172A" w:rsidRPr="00C33834" w:rsidRDefault="00F5172A" w:rsidP="00C33834">
      <w:pPr>
        <w:spacing w:after="0" w:line="240" w:lineRule="auto"/>
        <w:jc w:val="both"/>
        <w:rPr>
          <w:rFonts w:ascii="Times New Roman" w:hAnsi="Times New Roman"/>
          <w:color w:val="000000" w:themeColor="text1"/>
          <w:sz w:val="16"/>
          <w:szCs w:val="16"/>
        </w:rPr>
      </w:pPr>
    </w:p>
    <w:p w14:paraId="5F8D62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был завершен переход (с 1932) на новую систему авиабомб:</w:t>
      </w:r>
    </w:p>
    <w:p w14:paraId="4E1465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фугасные (от 50 до 2000 кг);</w:t>
      </w:r>
    </w:p>
    <w:p w14:paraId="7F7D68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осколочные;</w:t>
      </w:r>
    </w:p>
    <w:p w14:paraId="091CC49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бронебойные;</w:t>
      </w:r>
    </w:p>
    <w:p w14:paraId="2FAEB3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зажигательные;</w:t>
      </w:r>
    </w:p>
    <w:p w14:paraId="5C22EC5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осветительные;</w:t>
      </w:r>
    </w:p>
    <w:p w14:paraId="42D0C5D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специальные (85,465).</w:t>
      </w:r>
    </w:p>
    <w:p w14:paraId="5E4321A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06EB4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1933 г. на заводе № 67 действовало СКТБ (Специальное конструкторско-технологическое бюро (СКТБ), КТБ-27 (Конструкторско-технологическое бюро) НКТП, НКОП), образованное для координации работ и внедрения АБ в серию на заводах. С 1934 г. СКТБ выведено из числа подразделений завода и преобразовано в КТБ-27 НКТП. По пр. НКОП № 147сс от 4.05.1938 г. НИО-67 вместе с КТБ-27 вошли в состав образованного КБ по авиабомбостроению (ГСКБ-47).</w:t>
      </w:r>
    </w:p>
    <w:p w14:paraId="421E9B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Разработка конструкций авиабомб.</w:t>
      </w:r>
    </w:p>
    <w:p w14:paraId="2B53413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(1934 г.)-  Г.Е. Ворошин.</w:t>
      </w:r>
    </w:p>
    <w:p w14:paraId="33F9513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начальника (1935 г.-)- Н.И. Крупнов, Н.Т. Кулаков.</w:t>
      </w:r>
    </w:p>
    <w:p w14:paraId="7EAE79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(1935 г.-)- Н.И. Крупнов (11982).</w:t>
      </w:r>
    </w:p>
    <w:p w14:paraId="0684D71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13B76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на заводе № 67 по решению ГВМУ ВСНХ создали Спецтехбюро по авиабомбам, преобразованное год спустя в Конструкторско-технологическое бюро № 27 - КТБ-27. Под руководством Г.Е.Ворошнина и его заместителя Н.Т.Кулакова оно финансировало и координировало все разработки этого вида вооружений, а также организовывало на заводах страны производство авиабомб, поступивших на вооружение НКО (7453).</w:t>
      </w:r>
    </w:p>
    <w:p w14:paraId="51335A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A2D3CC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4-я бригада ЦКБ предложила сразу два образца отечественных дымовых прибора: ДХ-2 под стандартную смесь и двухкомпо- ненгный прибор, в котором два вещества смешивались на выходе. В том же году приступили к работе над универ- сапьным прибором УХАП-1, который мог бы выливать как дымовые смеси, гак и отравляющие вещества.</w:t>
      </w:r>
    </w:p>
    <w:p w14:paraId="7480C3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AD819D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испытывали устройство для сброса с самолета ядовитых дымовых шашек, но оно не оправдало себя (12034).</w:t>
      </w:r>
    </w:p>
    <w:p w14:paraId="1F63B3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EE0AB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14-я бригада ЦАГИ спроектировала ампульную кассету для биплана Р-5 - в те годы основного легкого бомбардировщика. Детали конструкции неизвестны, в документах упоминается только то, что таких кассет на самолете монтировали три, а также то, что существовали варианты с чисто механическим и электрическим открыванием их.</w:t>
      </w:r>
    </w:p>
    <w:p w14:paraId="1C1723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заводе № 39 сделали свою внутреннюю кассету для Р-5. При этом, видимо, использовали тот же отсек, где у штурмовика ССС, сделанного на его базе, устанавливали держатели под мелкие бомбы. В одну кассету вмещались 38 ампул, а кассет было четыре. Всего самолет брол 152 шара. При этом сама кассета была легче - в разных вариантах от 3,7 до 4,6 кг. Суммарная нагрузка получалась ненамного меньше, чем у СБ - 270 кг. Сброс осуществлялся только механикой - от сбрасывателя АСБР-1.</w:t>
      </w:r>
    </w:p>
    <w:p w14:paraId="3EC155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Известный конструктор вооружения Можаровский предложил подвесные (но тоже многоразовые) кассеты для Р-5. Они размещались на бомбодержателях под крылом и фюзеляжем. Всего машина несла десять кассет на 24 ампулы каждая - итого 240. Вес конструкции одной кассеты - 7,4 кг. Соответственно, и общая загрузка получилась больше - 434 кг. Поскольку эти кассеты делали для старого варианта Р-5 (выпуска 1933 г.), то открывание осуществлялось от сбрасывателя СБР-8 (12043).</w:t>
      </w:r>
    </w:p>
    <w:p w14:paraId="19F086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B66338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для разработки радиоэлектронного вооружения армии и флота был создан Всесоюзный государственный Институт телемеханики и связи.</w:t>
      </w:r>
    </w:p>
    <w:p w14:paraId="5AD287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Разработано управление для крылатой ракеты «217» конструкции РНИИ (1930-е г.).57 </w:t>
      </w:r>
    </w:p>
    <w:p w14:paraId="59A11BF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1930-е г. в ленинградском филиале создана радиоаппаратура для МБР-2 для наведения торпедных катеров.</w:t>
      </w:r>
    </w:p>
    <w:p w14:paraId="14BB7A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распоряжением СНК № 1720-рс от 19.06.1941 г. и приказом НКАП № 558с от 24.06.1941 г. институту переданы опытные работы и оборудование по морским гироскопическим приборам ликвидированного НИИ-22 НКАП.</w:t>
      </w:r>
    </w:p>
    <w:p w14:paraId="7761CA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1941 г. институт эвакуирован сначала в Сталинград, затем- в Свердловск. В Москве продолжал действовать филиал. В 12.1941 г. в Свердловске в состав НИИ-10 влился НИИ-49. В 08.1942 г. НИИ-10 реэвакуирован в Москву.</w:t>
      </w:r>
    </w:p>
    <w:p w14:paraId="7DAE28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1944 г.- разработка РЛС для ВМФ. С 1950-х г. – разработка корабельных ЗРК.</w:t>
      </w:r>
    </w:p>
    <w:p w14:paraId="1D58D8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После войны создан отдел гироскопических приборов УР. Работы по гироприборам, как для морской техники, так и для ракетной (гл. конструктор- В.И. Кузнецов, до этого работавший в МНИИ-1).</w:t>
      </w:r>
    </w:p>
    <w:p w14:paraId="747807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1950-60-е г. с помощью ведущих специалистов НИИ-10 созданы: Московский НИИ прикладной механики, Таганрогский НИИ связи. В 1955 г. на базе СКБ создан НИИГС.</w:t>
      </w:r>
    </w:p>
    <w:p w14:paraId="3BBD78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Входит в концерн «Алмаз-Антей» (2003 г.). По Указу Президента РФ № 1009 от 4.08.2004 г. вошло в число стратегических оборонных предприятий.</w:t>
      </w:r>
    </w:p>
    <w:p w14:paraId="6EC2E5A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Работы (2005 г.): ЗРК ближней зоны обороны, а также обороны малых кораблей «Гибка» с ракетами «Игла».ВП-2/05 </w:t>
      </w:r>
    </w:p>
    <w:p w14:paraId="45F1775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(1933 г.) - Ф. Сучков, (1944 г.) - В.Д. Калмыков (затем- министр радопромышленности), (1960-е)- Н.П. Петелин. Ген. директор (-1999-2005 г.-) - С.А. Климов.</w:t>
      </w:r>
    </w:p>
    <w:p w14:paraId="5B7BEA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конструктор- И.А. Игнатьев, (1969 г.) - В.А. Букатов, (1970-е)- Г.Н. Волгин, (1980-е)- С.А. Фадеев. Ген. конструктор (-1999-2005 г.-)- С.А. Климов.</w:t>
      </w:r>
    </w:p>
    <w:p w14:paraId="3BD8271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1-й зам. Ген. конструктора (2004 г.)- С. Соколов.</w:t>
      </w:r>
    </w:p>
    <w:p w14:paraId="6E60BA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конструкторы: (1946 г.)- В.И. Кузнецов (гироприборы), Н.Н. Государов (ИГС-59), Смирнов (ИК ГСН для К-8), А.Ф. Шорин, В.Д. Калмыков, (1960-е)- М.П. Петелин («Астра», «Подснежник»), В.Ф. Измайлов, И.А. Игнатьев.</w:t>
      </w:r>
    </w:p>
    <w:p w14:paraId="0FDED6B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Создано: ИК ГСН: ИГС-59 для К-55, для К-8, 5Г42 (середина 1960-х); </w:t>
      </w:r>
    </w:p>
    <w:p w14:paraId="72DF7EF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Корабельные ЗРК: М-1 «Волна» (пнв в 1962 г.), «Волна-М» (пнв в 1968 г.), «Волна-П» (пнв в 1976 г.); «Волна-Н» (пнв в 1984 г.); М-11 «Шторм» (пнв в 1969 г., «Шквал»-экспортный), «Шторм-М» (пнв в 1972 г.), «Шторм-Н» (пнв в 1986 г.); С-300Ф «Форт» (пнв в 1983 г.), «Форт-М» (пнв в 1990 г., "Риф"-экспортный); М-22 "Ураган" (пнв в 1983 г., "Штиль-1"- экспортный); "Клинок" (пнв в 1989 г., «Кинжал»-экспортный); «Каштан» (пнв в 1990 г., «Кортик»- экпортный); «Квант» (опытный, середина 1960-х);58 корабельная РЛС «Бином»; система управления: береговым комплексом «Редут», ККР П-35, УРПК-3 «Метель»;69 командно-измерительная система «Подснежник» для управления ИСЗ (1960-е), командно-траекторная радиолиния «Астра» (1960-е).77 </w:t>
      </w:r>
    </w:p>
    <w:p w14:paraId="0315F5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НИИ-10 МСП, Всесоюзный государственный Институт телемеханики и связи (ВГИТиС), Всесоюзный НИИ радиоэлектронники (ВНИИРЭ) МСП, ВНИИ, НПО "Альтаир", ГосНПО «Альтаир», ФГУП «НТК «Альтаир», ОАО «Морской НИИ радиоэлектроники (МНИИРЭ) «Альтаир»</w:t>
      </w:r>
    </w:p>
    <w:p w14:paraId="7C7E36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111024 г. Москва, ул. Авиамоторная, 57 тел. 273-14-32 (10776).</w:t>
      </w:r>
    </w:p>
    <w:p w14:paraId="10EB78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46841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в Научно-исследовательском морском институте связи началась работа над планирующими торпедами. Для разработки планирующей торпеды была создана лаборатория № 22, система наведения создавалась в специальной лаборатории, занимавшейся инфракрасной техникой.</w:t>
      </w:r>
    </w:p>
    <w:p w14:paraId="1EACF00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начале 1930-х гг. в СССР проект планирующей торпеды дальнего действия разработал инженер-конструктор комиссии минных опытов Морского научно-технического комитета С.Ф. Валк («планторпеда») (Петров Г. Планирующие торпеды. Военный Парад. 1994, январь–февраль. С. 84–86, 133–134.). Она предназначалась для удара по кораблям и портам противника. «План-торпеда» представляла собой планер, подвешиваемый под бомбардировщик и наводимый на цель бортовой аппаратурой в луче инфракрасного прожектора, установленного на носителе.</w:t>
      </w:r>
    </w:p>
    <w:p w14:paraId="6B8116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Свою идею С.Ф. Валк обосновал следующими соображениями: во-первых, невозможно обнаружить планирующую торпеду звукоулавливателями противника из-за бесшумности ее полета, вовторых, истребителям трудно перехватить торпеду из-за ее малоразмерности. С.Ф. Валк предложил наводить планирующую торпеду на цель с помощью инфракрасных лучей.</w:t>
      </w:r>
    </w:p>
    <w:p w14:paraId="52447F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Тема была объявлена важнейшей для Научно-исследовательского морского института связи. Для проверки схемы и проектных характеристик были построены модели планирующих торпед в 1/10 и 1/4 натуральной величины. В 1933 г. были проведены пуски модели «1/4» с высоты 1100 м. В ходе испытания модели планирующей торпеды пролетели 10–11 км.</w:t>
      </w:r>
    </w:p>
    <w:p w14:paraId="28D379F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1934 г. промышленным способом были изготовлены экспериментальные образцы торпед и стабилизатор автопилота. Надежность автопилота была проверена в лабораторных условиях.</w:t>
      </w:r>
    </w:p>
    <w:p w14:paraId="53FAFB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1935 г. Особое конструкторское бюро военного отдела технических изобретений начало разрабатывать специальные планирующие торпеды. Они были следующих типов:</w:t>
      </w:r>
    </w:p>
    <w:p w14:paraId="5E85D6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Безмоторная планирующая торпеда с дальностью полета 30–50 км («дальнобойная планирующая торпеда», кодовое название Волк).</w:t>
      </w:r>
    </w:p>
    <w:p w14:paraId="4F82462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Торпеда, оборудованная поршневым или ракетным двигателем с дальностью полета 100–200 км («летающая торпеда дальнего действия»).</w:t>
      </w:r>
    </w:p>
    <w:p w14:paraId="53C9868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Безмоторная планирующая торпеда на жестком буксире (буксируемый минный планер, кодовое название Вепрь).</w:t>
      </w:r>
    </w:p>
    <w:p w14:paraId="753BC7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1935 г. Завод № 23 (Ленинград) изготовил первые четыре планирующие торпеды ПСН1 («Планер специального назначения»). Систему наведения, получившую название Квант, изготовил НИИ № 10 Наркомата оборонной промышленности. Характеристики ПСН1 приведены в табл. 1.1.</w:t>
      </w:r>
    </w:p>
    <w:p w14:paraId="1158085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Таблица 1.1 Характеристики планирующей торпеды ПСН-1</w:t>
      </w:r>
    </w:p>
    <w:p w14:paraId="7945CC7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Размах крыльев 8000 мм</w:t>
      </w:r>
    </w:p>
    <w:p w14:paraId="05C12A8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Высота 2020 мм</w:t>
      </w:r>
    </w:p>
    <w:p w14:paraId="5E88385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Масса конструкции 970 кг</w:t>
      </w:r>
    </w:p>
    <w:p w14:paraId="2AE6DC5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Полезная нагрузка 1000 кг</w:t>
      </w:r>
    </w:p>
    <w:p w14:paraId="759EE06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августе 1934 г. проводилась контрольная буксировка торпеды ПСН1 без отцепления за самолетом Р5. Для полномасштабных летных испытаний планирующей торпеды в качестве самолетаматки были выделены два самолета – ТБ3 и М17. Под каждым крылом этих самолетов были смонтированы специальные держатели. Эксперименты проводились над одним из озер в районе Новгорода. Самолеты взлетали с аэродрома Кречевицы. На озере проходили буксировочные испытания гидропланера-торпеды с подлетом на небольшую высоту на буксире за самолетом Р6.</w:t>
      </w:r>
    </w:p>
    <w:p w14:paraId="6B1476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Мировой приоритет таких испытаний заключается в том, что, вероятнее всего, впервые в мировой практике произошли буксировка и взлет планера с воды при нагрузке 75 кг на 1 м2 несущей поверхности.</w:t>
      </w:r>
    </w:p>
    <w:p w14:paraId="0B1818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 августа 1935 г. были проведены первые опытные взлет и полет самолета ТБ3 с подвешенным под правое крыло планером-торпедой с учебными бомбами.</w:t>
      </w:r>
    </w:p>
    <w:p w14:paraId="3663F2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Интересно, что на этапе испытания опытных образцов планеры-торпеды имели кабину для пилота-наблюдателя, который вел наблюдения за автоматикой. Пилот не вмешивался в действия автопилота и других механизмов, если в том не было необходимости. После отработки телемеханической системы наведения намечалось сделать беспилотные планирующие торпеды.</w:t>
      </w:r>
    </w:p>
    <w:p w14:paraId="334AB5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1936 г. в документах, посвященных ПСН1, часто употребляется выражение «человеко-торпеда» (Петров Г. Планирующие торпеды. Военный Парад. 1994, январь–февраль.С. 84–86, 133–134.). Этот тип торпеды предназначался для визуального наведения на крупную цель – линейный корабль или военно-морскую базу. После сброса боевого заряда пилот должен был уводить планер в сторону на 4–6 миль и сажать на воду. После этого крылья «отстегивались» и планер превращался в катер. Используя имевшийся на борту подвесной двигатель, пилот уходил от пораженной цели. Учитывая военнополитическую обстановку в мире и уровень военно-патриотического воспитания молодежи в СССР, можно предположить, что некоторые пилоты могли стать и смертниками.</w:t>
      </w:r>
    </w:p>
    <w:p w14:paraId="54236B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 июля 1936 г. был проведен полет планера-торпеды. К его днищу была подвешена болванка весом 250 кг (массо-габаритная копия бомбы ФАБ250). Произведены взлет, полет, отцепление и посадка на озеро Ильмень.</w:t>
      </w:r>
    </w:p>
    <w:p w14:paraId="6DEECDD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августа 1936 г. выполнен полет планера с грузом 550 кг (массо-габаритная копия бомбы ФАБ550). 2 августа 1936 г. выполнен полет планера с грузом 1000 кг (фугасная бомба со стабилизатором). В полете планер отцепился от носителя и сбросил бомбу с пикирования при скорости 340–350 км. 10 августа были закончены испытания и приемка первых четырех планеров-торпед. Дальность их планирования с различными грузами составила 27 км.</w:t>
      </w:r>
    </w:p>
    <w:p w14:paraId="7D5C6E6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Среди вышеуказанного конструкторы предложили вариант возвращения планера на самолет-носитель. Такой планер мог бы иметь двигатель. В этом случае он представлял бы собой небольшой подвесной самолет-торпедоносец.</w:t>
      </w:r>
    </w:p>
    <w:p w14:paraId="5E052F0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1937–1938 гг. Управление морских сил РККА планировало изготовить небольшую серию «план-торпед» («крылатых торпед») для окончательной отработки траектории полета путем опытных пусков с самолета-носителя. К началу 1938 г. специалисты опытного завода НИИ № 12 произвели 138 пусков торпед. Летные эксперименты показали возможность пуска таких торпед на скоростях до 270–320 км/ч. Расчетная скорость планера-торпеды при этом составила 360 км/ч. Отрабатывались также вопросы поведения «план-торпед» на виражах, при выравнивании и сбросе торпеды, автоматическая посадка на воду.</w:t>
      </w:r>
    </w:p>
    <w:p w14:paraId="07E9FAE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Система подвески и оборудование для пуска с самолета-носителя при испытаниях действовали безотказно, за исключением нескольких случаев, происшедших из-за ошибок технического персонала. Трудности возникли с функционированием системы управления. По этой причине испытания ограничивались аэрои гидродинамическими опытами планеров-торпед.</w:t>
      </w:r>
    </w:p>
    <w:p w14:paraId="364A73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1938 г. были проведены испытательные полеты с автоматической посадкой на воду. Для наведения торпед по инфракрасному лучу на самолете ТБ3 была оборудована специальная поворотная рама, на которой устанавливались три инфракрасных прожектора. Эта система получила название Квант.</w:t>
      </w:r>
    </w:p>
    <w:p w14:paraId="6144FA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Уже во время испытаний экспериментальных образцов «крылатых торпед» заводу № 23 было выдано техническое задание на постройку боевого образца торпеды, получившей название ПСН2. Носителем ПСН2 должны были стать самолеты ТБ3 со специальными подвесками.</w:t>
      </w:r>
    </w:p>
    <w:p w14:paraId="2E4FEE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1940 г. планировалось провести испытания как опытных торпед (ПСН1), так и боевых – ПСН2. На ПСН1 должны были определяться эллипсы рассеивания и проводиться пуски на точность. Кроме этого, в 1940 г. планировалось запустить в серию боевые «крылатые торпеды» и организовать учебный центр для подготовки специалистов по обслуживанию и применению ПСН2 в войсках. Завод № 23 уже начал создавать задел для серийного производства боевых образцов «план-торпед».</w:t>
      </w:r>
    </w:p>
    <w:p w14:paraId="4B80291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Что касается конструкторов, то они продолжали совершенствовать «план-торпеды». Прорабатывались проекты торпед типа «летающее крыло» в двух вариантах: пилотируемая – тренировочно-пристрелочный вариант с полной автоматикой (ППТ) и беспилотная – с полной автоматикой (БПТ). В конце 1939 г. был представлен </w:t>
      </w:r>
      <w:r w:rsidRPr="00C33834">
        <w:rPr>
          <w:rFonts w:ascii="Times New Roman" w:hAnsi="Times New Roman"/>
          <w:color w:val="000000" w:themeColor="text1"/>
          <w:sz w:val="16"/>
          <w:szCs w:val="16"/>
        </w:rPr>
        <w:lastRenderedPageBreak/>
        <w:t>проект беспилотной летающей торпеды с дальностью полета от ста и выше километров со скоростью полета до 700 км/ч. Носителем такой «план-торпеды» должны были стать самолеты ДБ3 (11686).</w:t>
      </w:r>
    </w:p>
    <w:p w14:paraId="0EB506D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1D505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в Научно-исследовательском морском институте связи (НИМИС), в специально созданной для этой цели лаборатории N22 начались работы по разработке проекта планирующей торпеды (ПТ). Соломон Федорович Валк предложил наводить планирующую торпеду на цель с помощью инфракрасных лучей. Валк мотивировал свою идею следующими соображениями: невозможностью обнаружения ПТ звукоулавливателями противника из-за бесшумности ее полета, а также трудностью перехвата торпеды истребителями противника из-за ее малоразмерности. К середине 1933 года стало ясно, что одновременное создание самой ПТ и ее телемеханической части слишком сложный процесс. Поэтому проектирование системы наведения было передано в специальную лабораторию, занимавшуюся ИК-техникой, а лаборатория N22 продолжала заниматься непосредственно ПТ и оборудованием для нее. Для проверки схемы и проектных данных безмоторных торпед построили модели в 1/10 и 1/4 натуральной величины. В 1933 году были проведены пуски моделей в 1/4 натуральной величины с высоты 1100 м, в ходе которых они пролетали 10-11 км. В 1934 году промышленности заказали экспериментальные образцы ПТ, а также стабилизаторы автопилота. Надежность автопилота подтвердилась во время его лабораторных испытаний. Для разработки специальных образцов ПТ против кораблей и береговых баз в 1935 году был заключен договор с Особым конструкторским бюро военного отдела технических изобретений. Комиссия Управления морских сил (УМС) РККА рекомендовала установить следующие обозначения различных типов летающих торпед:</w:t>
      </w:r>
    </w:p>
    <w:p w14:paraId="745062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 для безмоторных планирующих торпед с дальностью полета 30-50 км — ДПТ (дальнобойная планирующая торпеда), кодовое обозначение "Волк";</w:t>
      </w:r>
    </w:p>
    <w:p w14:paraId="4AEF3F0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 для оборудованных мотором (обычным винтовым или ракетным) с дальностью полета 100-200 км — ЛТДЦ (летающая торпеда дальнего действия);</w:t>
      </w:r>
    </w:p>
    <w:p w14:paraId="5751431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для безмоторных ПТ на жестком буксире — БМП (буксируемый минный планер), кодовое обозначение "Вепрь" (12040).</w:t>
      </w:r>
    </w:p>
    <w:p w14:paraId="63886E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3F1C8C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были проведены пуски моделей планирующих торпед в 1/4 натуральной величины с высоты 1100 м, в ходе которых они пролетали 10 - 11 км. Была практически доказана целесообразность этого вида оружия (3861).</w:t>
      </w:r>
    </w:p>
    <w:p w14:paraId="6DAF4F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97C907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разработанные в ленинградской газодинамической лаборатории ускорите</w:t>
      </w:r>
      <w:r w:rsidRPr="00C33834">
        <w:rPr>
          <w:rFonts w:ascii="Times New Roman" w:hAnsi="Times New Roman"/>
          <w:color w:val="000000" w:themeColor="text1"/>
          <w:sz w:val="16"/>
          <w:szCs w:val="16"/>
        </w:rPr>
        <w:softHyphen/>
        <w:t>ли, так называемые газовые агрегаты уста</w:t>
      </w:r>
      <w:r w:rsidRPr="00C33834">
        <w:rPr>
          <w:rFonts w:ascii="Times New Roman" w:hAnsi="Times New Roman"/>
          <w:color w:val="000000" w:themeColor="text1"/>
          <w:sz w:val="16"/>
          <w:szCs w:val="16"/>
        </w:rPr>
        <w:softHyphen/>
        <w:t>новили на ТБ-1 № 614 и № 726. Расположи</w:t>
      </w:r>
      <w:r w:rsidRPr="00C33834">
        <w:rPr>
          <w:rFonts w:ascii="Times New Roman" w:hAnsi="Times New Roman"/>
          <w:color w:val="000000" w:themeColor="text1"/>
          <w:sz w:val="16"/>
          <w:szCs w:val="16"/>
        </w:rPr>
        <w:softHyphen/>
        <w:t>ли их по 3 с каждой стороны центроплана Испытывали варианты размещения агрега</w:t>
      </w:r>
      <w:r w:rsidRPr="00C33834">
        <w:rPr>
          <w:rFonts w:ascii="Times New Roman" w:hAnsi="Times New Roman"/>
          <w:color w:val="000000" w:themeColor="text1"/>
          <w:sz w:val="16"/>
          <w:szCs w:val="16"/>
        </w:rPr>
        <w:softHyphen/>
        <w:t>тов сверху и снизу крыла, так, чтобы струя пороховых газов миновала хвостовое опе</w:t>
      </w:r>
      <w:r w:rsidRPr="00C33834">
        <w:rPr>
          <w:rFonts w:ascii="Times New Roman" w:hAnsi="Times New Roman"/>
          <w:color w:val="000000" w:themeColor="text1"/>
          <w:sz w:val="16"/>
          <w:szCs w:val="16"/>
        </w:rPr>
        <w:softHyphen/>
        <w:t>рение. Весившая 300 кг установка развива</w:t>
      </w:r>
      <w:r w:rsidRPr="00C33834">
        <w:rPr>
          <w:rFonts w:ascii="Times New Roman" w:hAnsi="Times New Roman"/>
          <w:color w:val="000000" w:themeColor="text1"/>
          <w:sz w:val="16"/>
          <w:szCs w:val="16"/>
        </w:rPr>
        <w:softHyphen/>
        <w:t>ла тягу 12000 кгс, сокращала разбег само</w:t>
      </w:r>
      <w:r w:rsidRPr="00C33834">
        <w:rPr>
          <w:rFonts w:ascii="Times New Roman" w:hAnsi="Times New Roman"/>
          <w:color w:val="000000" w:themeColor="text1"/>
          <w:sz w:val="16"/>
          <w:szCs w:val="16"/>
        </w:rPr>
        <w:softHyphen/>
        <w:t>лета со взлетной массой 8000 кг на 80%. В испытательном полете с уменьшенной до 6500 кг массой ТБ-1 оторвался от земли че</w:t>
      </w:r>
      <w:r w:rsidRPr="00C33834">
        <w:rPr>
          <w:rFonts w:ascii="Times New Roman" w:hAnsi="Times New Roman"/>
          <w:color w:val="000000" w:themeColor="text1"/>
          <w:sz w:val="16"/>
          <w:szCs w:val="16"/>
        </w:rPr>
        <w:softHyphen/>
        <w:t>рез 55 м. Несмотря на очевидный успех практического использования ускорители не нашли (11286).</w:t>
      </w:r>
    </w:p>
    <w:p w14:paraId="3ABF047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1B1DF9" w14:textId="77777777" w:rsidR="00742DA3" w:rsidRPr="00C33834" w:rsidRDefault="00742DA3"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w:t>
      </w:r>
    </w:p>
    <w:p w14:paraId="2459C402"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Заместителю председателя ЦС ОСОАВИАХИМА тов. Малиновскому</w:t>
      </w:r>
    </w:p>
    <w:p w14:paraId="22C13F72"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преддверии работы конструкторского бюро №8 ГИРД выявился особо секретный характер его функции и переход его исключительно на выполнение заданий НКВД. Исходя из этого дальнейшее сохранение действенности и подчинеия КБ Осоавиахиму и УВИ является нецелесообразным и может вызвать усложнение его работы.</w:t>
      </w:r>
    </w:p>
    <w:p w14:paraId="6AABAD29"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Прошу Ваши указания об окончательной передаче конструкторского Бюро в ведение УВИ Начальника Вооружения РККА</w:t>
      </w:r>
    </w:p>
    <w:p w14:paraId="571EF94D"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УВИ НВ РККА Новиков</w:t>
      </w:r>
    </w:p>
    <w:p w14:paraId="5A4EDF08"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П Отдела УВИ НВ РККА Терентьев</w:t>
      </w:r>
    </w:p>
    <w:p w14:paraId="1ECF0A81"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(рукописно сверху совсем не разобрать)</w:t>
      </w:r>
    </w:p>
    <w:p w14:paraId="07D2AD1D"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ГИРД Королев просит о переводе средств на работу по Снаряду-Ракете в Лен-ГИРД</w:t>
      </w:r>
    </w:p>
    <w:p w14:paraId="3847F87E"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(ГАРФ, Опись 1, Дело № 374: Общество содействия обороне, авиационному и химическому строительству СССР (ОСОАВИАХИМ), Л.19) (15249).</w:t>
      </w:r>
    </w:p>
    <w:p w14:paraId="3C14D423" w14:textId="77777777" w:rsidR="00742DA3" w:rsidRPr="00C33834" w:rsidRDefault="00742DA3" w:rsidP="00C33834">
      <w:pPr>
        <w:spacing w:after="0" w:line="240" w:lineRule="auto"/>
        <w:jc w:val="both"/>
        <w:rPr>
          <w:rFonts w:ascii="Times New Roman" w:hAnsi="Times New Roman"/>
          <w:color w:val="000000" w:themeColor="text1"/>
          <w:sz w:val="16"/>
          <w:szCs w:val="16"/>
        </w:rPr>
      </w:pPr>
    </w:p>
    <w:p w14:paraId="061B1E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фабрика ткацко-шерстяных изделий, организованная 8.09.1864 г. в районе села Солнечная Гора Клинского уезда купцом П.С. Мешковым в двухэтажном здании бывших солдатских казарм, в 1911 г. переданная владельцем фабрики Прохоровым за неуплату долга барону Кноппу и получившая название «Волокно», получила наименование Парашютная фабрика № 2, с 1936 г. - в системе НКЛП. 8.04.1939 г. фабрике присвоено имя М.М. Громова. Производство грузовых парашютов по чертежам завода № 1 НКЛП. По приказу № 30с/750с от 18.12.1940 г. фабрика передана из НКЛП в систему НКАП. По приказу № 9с от 8.01.1941 г. заводу присвоено название ГС завод № 469 НКАП им. М.М. Громова в подчинении 2ГУ, и начата организация производства радиаторов. Перед войной при заводе был аэродром, на котором базировалась ЛИС завода № 34 НКАП. С начала 1941 г. на заводе началось производство корпусов аэронавигационных бомб АНАБ-1 для НКВМФ.</w:t>
      </w:r>
    </w:p>
    <w:p w14:paraId="597981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приказу № 1072сс от 15.10.1941 г. завод № 469 2ГУ НКАП эвакуирован в  г. Горький на площадку строящегося завода № 285 НКАП. В результате объединения двух заводов образован новый радиаторный завод № 469 НКАП.</w:t>
      </w:r>
    </w:p>
    <w:p w14:paraId="2565371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годы войны- производство авиационных масло- и водорадиаторов, в соответствии с пост. ГКО № 2177 от 16.08.1942 г. начато производство водяных радиаторов для танков Т-70.</w:t>
      </w:r>
    </w:p>
    <w:p w14:paraId="36FF207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приказу № 112с от 11.02.1942 г. на площадке эвакуированного завода в Солнечногорске образован филиал завода № 469 по ремонту радиаторов. Начальник филиала- С.И. Михайлов. По приказу № 464с от 24.06.1942 г. филиал преобразован в самостоятельный радиаторный завод № 459 при 2ГУ НКАП (в н. вр,- ОАО СМЗ).</w:t>
      </w:r>
    </w:p>
    <w:p w14:paraId="748CFDB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приказу № 1196с от 30.12.1941 г. при технической помощи заводов № 34 и № 21 при СКО завода № 469 организовано ОКБ для создания новых образцов радиаторов. И.О. гл. конструктора назначен начальник СКО  Г.А. Мосолов. Из-за затянувшейся реализации приказа и ввиду достаточности опытных работ по данной тематике в ОКБ завода № 124 и на заводе № 459, по приказу № 600с от 7.08.1942 г. организация ОКБ была отменена. СКО оставлен.</w:t>
      </w:r>
    </w:p>
    <w:p w14:paraId="5FED83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1942 г. часть оборудования и кадров возвращена на вновь образованный завод № 459 НКАП.</w:t>
      </w:r>
    </w:p>
    <w:p w14:paraId="35E0B6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 СМ СССР № 713-342 от 26.06.1957 г. передан в ведение СНХ РСФСР.</w:t>
      </w:r>
    </w:p>
    <w:p w14:paraId="08CF9AC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Для работ по внедрению в серию теплообменной техники в 12.1960 г. при заводе образован филиал завода № 124. Филиал подчинялся заводу № 124 до 1973 г., далее был передан другому предприятию.</w:t>
      </w:r>
    </w:p>
    <w:p w14:paraId="1F7077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Позже при заводе № 469 образован филиал завода № 918 для освоения производства гермошлемов. Начальник филиала- Ю.И. Менделенко.</w:t>
      </w:r>
    </w:p>
    <w:p w14:paraId="38AB8C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283139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1965 г. выпускался топливо-воздушный радиатор для КР П-6.</w:t>
      </w:r>
    </w:p>
    <w:p w14:paraId="036EA5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Производство (1996 г.): регуляторы расхода, давления, газовой среды; запорно-регулирующие устройства; турбохолодильные агрегаты; клапаны выпускные, редукционные, обратные, предохранительные; воздухо- воздушные и масляные радиаторы; глушители шума; арматура азотно-кислородная; азотно-топливные теплообменники; аппаратура управления агрегатами; защитные авиационные шлемы (ЗШ-7А), гермошлемы. Поставщик агрегатов системы кондиционирования, ПОС для создаваемого регионального самолета </w:t>
      </w:r>
      <w:r w:rsidRPr="00C33834">
        <w:rPr>
          <w:rFonts w:ascii="Times New Roman" w:hAnsi="Times New Roman"/>
          <w:color w:val="000000" w:themeColor="text1"/>
          <w:sz w:val="16"/>
          <w:szCs w:val="16"/>
          <w:lang w:val="en-US"/>
        </w:rPr>
        <w:t>RRJ</w:t>
      </w:r>
      <w:r w:rsidRPr="00C33834">
        <w:rPr>
          <w:rFonts w:ascii="Times New Roman" w:hAnsi="Times New Roman"/>
          <w:color w:val="000000" w:themeColor="text1"/>
          <w:sz w:val="16"/>
          <w:szCs w:val="16"/>
        </w:rPr>
        <w:t xml:space="preserve"> (2003 г.).</w:t>
      </w:r>
    </w:p>
    <w:p w14:paraId="46CBD64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Разработка и производство (2005 г.): системы: кондиционирования, регулирования давления в кабине, наддува топливных баков НГ, жидкостного охлаждения бортовой аппаратуры, охлаждения масла двигателей, ПОС; теплообменники, турбохолодильники.</w:t>
      </w:r>
    </w:p>
    <w:p w14:paraId="14E9342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Численность персонала (1.01.2001 г.)- 2620 чел.</w:t>
      </w:r>
    </w:p>
    <w:p w14:paraId="51833A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(12.1940-11.1944 г.-)- В.Н. Смирнов, (1960-е  г.)- Васильев. Гендиректор (1986-2006 г.-)- В.В. Тятинькин.</w:t>
      </w:r>
    </w:p>
    <w:p w14:paraId="326A006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гендиректора: по экономике (2005 г.)-  Г.М. Воронина; по маркетингу (2005 г.)- И.Ю. Батраков.</w:t>
      </w:r>
    </w:p>
    <w:p w14:paraId="279E26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(10.1941 г.)- В.В. Сычев.</w:t>
      </w:r>
    </w:p>
    <w:p w14:paraId="7931B6E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конструктор (12.1941-05.1942 г.)-  Г.А. Мосолов, (2003 г.-)- В.В. Тятинькин. Ген. конструктор (-2005-06 г.-)- В.В. Тятинькин {14.12.1945-} (11982).</w:t>
      </w:r>
    </w:p>
    <w:p w14:paraId="03430AA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DFC3B7A"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[10, л 1-2] в НИИ ВВС РККА и на кафедре ВВС Военно-морской академии (ВМА) [11,   л 1-6] в 1934 г. рассматривались проекты дирижаблей полужесткой конструкции 18500 м3 и 50000 м3 на предмет их использования преимущественно в авиации военно-морских сил. Начальник кафедры ВВС ВМА С.Э. Столярский в докладе от 7 января 1934 г., направленном начальнику ВВС РККА Алкснису, начальнику Вооружений РККА Тухачевскому, заместителю начальника Морских сил РККА Лудри, начальнику ГВФ Уншлихту по вопросу проектирования и постройки дирижабля системы инженера Нобиле объёмом в 50000 м3, высказался против строительства подобных полужестких дирижаблей увеличенных кубатур, полагая, что подобные модели не смогут найти себе должного применения, будучи «регрессом». По мнению Столярского, сотрудничество Дирижаблестроя исключительно  с итальянскими инженерами под руководством Нобиле, обладавшими опытом только в постройке полужестких дирижаблей средних кубатур, могло завести советское дирижаблестроение в тупик, в то время как наиболее перспективным являлось строительство кораблей больших кубатур жесткой конструкции. «Наш путь – жесткие дирижабли» − утверждал докладчик и ввиду улучшения отношений между  СССР и США предлагал обратиться к опыту американских специалистов в области дирижаблестроения, заключив с ними соглашение о сотрудничестве [11, л 1-6]. В 1933 г. были проведены испытания дирижаблей В-1 и В-2 совместно с силами Черноморского и Балтийского флотов, полезные свойства дирижаблей получили положительный отзыв командующего Морскими силами Балтийского моря Л.М.Галлера [9, л.41]. В 1934 г. начальником кафедры ВВС ВМА С.Э.Столярским были разработаны «Тактико-технические требования к морским дирижаблям I, II и  III классов для действий в отдалённых районах Чёрного моря» [12, л.2; 12; 21]. Изучение вопросов, связанных с военным использованием дирижаблей, продолжилось  и в последующие годы. Деятельность Дирижаблестроя за 1933-34 гг. после проверки Комиссией советского контроля при СНК СССР получила крайне негативную оценку председателя Комиссии Н.Антипова (15797).</w:t>
      </w:r>
    </w:p>
    <w:p w14:paraId="10828181" w14:textId="77777777" w:rsidR="00F5172A" w:rsidRPr="00C33834" w:rsidRDefault="00F5172A" w:rsidP="00C33834">
      <w:pPr>
        <w:spacing w:after="0" w:line="240" w:lineRule="auto"/>
        <w:jc w:val="both"/>
        <w:rPr>
          <w:rFonts w:ascii="Times New Roman" w:hAnsi="Times New Roman"/>
          <w:color w:val="000000" w:themeColor="text1"/>
          <w:sz w:val="16"/>
          <w:szCs w:val="16"/>
        </w:rPr>
      </w:pPr>
    </w:p>
    <w:p w14:paraId="79AEF598"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были проведены испытания дирижаблей В-1 и В-2 совместно с силами Черноморского и Балтийского флотов, полезные свойства дирижаблей получили положительный отзыв командующего Морскими силами Балтийского моря Л.М.Галлера [9, л.41]. В 1934 г. начальником кафедры ВВС ВМА С.Э.Столярским были разработаны «Тактико-технические требования к морским дирижаблям I, II и  III классов для действий в отдалённых районах Чёрного моря» [12, л.2; 12; 21]. Изучение вопросов, связанных с военным использованием дирижаблей, продолжилось  и в последующие годы. Деятельность Дирижаблестроя за 1933-34 гг. после проверки Комиссией советского контроля при СНК СССР получила крайне негативную оценку председателя Комиссии Н.Антипова (15797).</w:t>
      </w:r>
    </w:p>
    <w:p w14:paraId="4810D037" w14:textId="77777777" w:rsidR="00F5172A" w:rsidRPr="00C33834" w:rsidRDefault="00F5172A" w:rsidP="00C33834">
      <w:pPr>
        <w:spacing w:after="0" w:line="240" w:lineRule="auto"/>
        <w:jc w:val="both"/>
        <w:rPr>
          <w:rFonts w:ascii="Times New Roman" w:hAnsi="Times New Roman"/>
          <w:color w:val="000000" w:themeColor="text1"/>
          <w:sz w:val="16"/>
          <w:szCs w:val="16"/>
        </w:rPr>
      </w:pPr>
    </w:p>
    <w:p w14:paraId="48109B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сани АНТ-IV выпускались в Ленинграде на заводе им. Марти (61,30).</w:t>
      </w:r>
    </w:p>
    <w:p w14:paraId="402B8A2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25D8D78" w14:textId="77777777" w:rsidR="003353B3" w:rsidRPr="00C33834" w:rsidRDefault="003353B3" w:rsidP="00C33834">
      <w:pPr>
        <w:spacing w:after="0" w:line="240" w:lineRule="auto"/>
        <w:jc w:val="both"/>
        <w:rPr>
          <w:rFonts w:ascii="Times New Roman" w:hAnsi="Times New Roman"/>
          <w:color w:val="0070C0"/>
          <w:sz w:val="16"/>
          <w:szCs w:val="16"/>
        </w:rPr>
      </w:pPr>
      <w:r w:rsidRPr="00C33834">
        <w:rPr>
          <w:rFonts w:ascii="Times New Roman" w:hAnsi="Times New Roman"/>
          <w:color w:val="0070C0"/>
          <w:sz w:val="16"/>
          <w:szCs w:val="16"/>
        </w:rPr>
        <w:t>В 1933 году П. Гроховский для изготовления парашютов применил самый дешевый материал – упаковочную марлю (10 коп. за метр). Госкомиссия НИИ, проверив парашюты 8 и 12 м в диаметре, приняла их на снабжение. В плане на 1934 год ставилась задача изготовить марлевые грузовые парашюты в 30, 40 и 62 м в диаметре, что позволяло осуществить массовый парашютный десант (21402).</w:t>
      </w:r>
    </w:p>
    <w:p w14:paraId="6A091998" w14:textId="77777777" w:rsidR="003353B3" w:rsidRPr="00C33834" w:rsidRDefault="003353B3" w:rsidP="00C33834">
      <w:pPr>
        <w:spacing w:after="0" w:line="240" w:lineRule="auto"/>
        <w:jc w:val="both"/>
        <w:rPr>
          <w:rFonts w:ascii="Times New Roman" w:hAnsi="Times New Roman"/>
          <w:color w:val="0070C0"/>
          <w:sz w:val="16"/>
          <w:szCs w:val="16"/>
        </w:rPr>
      </w:pPr>
    </w:p>
    <w:p w14:paraId="616084B0"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4ECF3173"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DA8D6A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принято решение о строительстве химкомбината (Комбинат № 100 НКТП, НКОП, НКБ /г. Алексин Московской обл. п/я 1 «Комбинат» (1943 г.)/). Строительство начато в 1935 г., но шло медленно. В соответствии с пост. СНК № 2139-425сс от 21.12.1936 г. и пр. НКОП № 05с от 29.12.1936 г. строительство комбината № 100 передано из Порохового треста Главазота НКТП в ведение ГУ военно-химической промышленности НКОП, в 04.1937 г. - в ведении 6ГУ. В соответствии с пост. СНК№ 1960-390сс от 5.11.1936 г. и пр. № 068 от 2.04.1937 г. завод переведен в группу особо режимных предприятий. По пр. № 0089 от 20.04.1937 г. передан из 6ГУ в новое 11ГУ (и на 12.1938 г.).</w:t>
      </w:r>
    </w:p>
    <w:p w14:paraId="513EAD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составе комбината (04.1937 г.) - Петровский механический завод. По пр. 11ГУ НКОП № 193 от 7.07.1938 г. Петровский мехзавод вновь был передан комбинату № 100, но приказом НКОП № 293 от 29.07.1938 г. этот приказ был отменен как незаконный.</w:t>
      </w:r>
    </w:p>
    <w:p w14:paraId="6C9CF2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04.1939 г. решением правительства окончательно определено направление производства комбината, начальником строительства назначен Н.Е. Стрельцов. В 1941 г. первая очередь комбината введена в эксплуатацию, в 05.1941 г. получена первая продукция, в том же месяце введен в строй цех № 3. Производство порохов. Мощность производства пироксилиногвого пороха перед эвакуацией - 15 тыс. т в год.</w:t>
      </w:r>
    </w:p>
    <w:p w14:paraId="5C12B7F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10.10.1941 г. комбинат № 100 ЗГУ НКБ эвакуирован на восток: производство пироксилинового пороха - на завод № 40 и на комбинат № 392 (116 чел.); часть оборудования (218 чел.) - на завод № 580; турбина ТЭЦ комбината (112 чел.) - на завод № 98; 136 чел. эвакуировано на завод № 576; всего вывезено 387 вагонов оборудования. После эвакуации часть оставшегося оборудования (цеха № 7) и зданий (эфирные колонны, телефонная станция) были взорваны.</w:t>
      </w:r>
    </w:p>
    <w:p w14:paraId="55291C9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17.12.1941 г., после освобождения Алексина от фашистов, в соответствии с пост. ГКО № 1091с от 3.01.1942 г. начато возвращение оборудования на комбинат, а в 02-05.1942 г. начат монтаж оборудования на старом месте, частично возвращены работники, и комбинат восстановлен. В 1943 г. шло восстановление порохового, эфирного и кислотного производства. В составе завода (1943 г.): основные производства: № 2, 3, 5; вспомогательные: ремонтно-механический завод (цехи: № 1, котельный, кузница, ДОЦ, ремонтный, токарный, литейный, парокотельный); ЦЗЛ. Строились в 1943 г.: производство № 4.</w:t>
      </w:r>
    </w:p>
    <w:p w14:paraId="253A58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12.1942-04.1943 г. - в ведении ЗГУ НКБ, в 08.1943-09.1944 г. - в ведении 9ГУ.</w:t>
      </w:r>
    </w:p>
    <w:p w14:paraId="4A5DF37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(1943 г.): производственная- 16542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вспомогательная- 14430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прочая- 15114м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w:t>
      </w:r>
    </w:p>
    <w:p w14:paraId="115298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Численность персонала (1940 г.)- 99 чел. (рабочих), (10.1941 г.)- 1536 чел., (12.1942 г.)- 2479 чел.</w:t>
      </w:r>
    </w:p>
    <w:p w14:paraId="28C029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(1930-е)- А.П. Севостьянов, (1941 г.)- Н.Е. Стрельцов, (-04-11.1943 г.-)- Готовкин. Начальник (01.1944 г.)- пп Готовкин.</w:t>
      </w:r>
    </w:p>
    <w:p w14:paraId="6EF8DF6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строительства (-12.1936-5.04.1937 г.)- А.Т. Севастьянов; и.о. (5.04.1937 г.-)- В.И. Киселев; (8.05- 15.12.1937 г.)- И. Г. Гранкин, (15.12.1937 г.-)- П.С. Калягин.</w:t>
      </w:r>
    </w:p>
    <w:p w14:paraId="5C9FE29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(1941 г.)- А. Г. Каллистов.</w:t>
      </w:r>
      <w:r w:rsidRPr="00C33834">
        <w:rPr>
          <w:rFonts w:ascii="Times New Roman" w:hAnsi="Times New Roman"/>
          <w:color w:val="000000" w:themeColor="text1"/>
          <w:sz w:val="16"/>
          <w:szCs w:val="16"/>
          <w:vertAlign w:val="superscript"/>
        </w:rPr>
        <w:t>55</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vertAlign w:val="superscript"/>
        </w:rPr>
        <w:t>56</w:t>
      </w:r>
    </w:p>
    <w:p w14:paraId="7CC38E4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энергетик (1938 г.)- Кучеров.</w:t>
      </w:r>
    </w:p>
    <w:p w14:paraId="7536C73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отделов: производственно-технического (04.1943-01,1944 г.-)- к Калабухов; 1-го (07.1943 г.)- Мельникова.</w:t>
      </w:r>
    </w:p>
    <w:p w14:paraId="518629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iCs/>
          <w:color w:val="000000" w:themeColor="text1"/>
          <w:sz w:val="16"/>
          <w:szCs w:val="16"/>
        </w:rPr>
        <w:t>Производство:</w:t>
      </w:r>
      <w:r w:rsidRPr="00C33834">
        <w:rPr>
          <w:rFonts w:ascii="Times New Roman" w:hAnsi="Times New Roman"/>
          <w:color w:val="000000" w:themeColor="text1"/>
          <w:sz w:val="16"/>
          <w:szCs w:val="16"/>
        </w:rPr>
        <w:t xml:space="preserve"> коллоксилин (1943).</w:t>
      </w:r>
    </w:p>
    <w:p w14:paraId="22F40D1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Петровский механический завод НКОП Приказом НКОП № 107 от 21.03.1937 г. утвержден Устав ГС Петровского механического завода.</w:t>
      </w:r>
    </w:p>
    <w:p w14:paraId="07A603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 11ГУ НКОП № 193 от 7.07.1938 г. завод был передан комбинату № 100, директор завода снят. Приказом НКОП № 293 от 29.07.1938 г. этот приказ был отменен как незаконный.</w:t>
      </w:r>
    </w:p>
    <w:p w14:paraId="06E77D5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(07.1938 г.)- Бреев (11982).</w:t>
      </w:r>
    </w:p>
    <w:p w14:paraId="79BFE0EB" w14:textId="77777777" w:rsidR="00742DA3" w:rsidRPr="00C33834" w:rsidRDefault="00742DA3" w:rsidP="00C33834">
      <w:pPr>
        <w:autoSpaceDE w:val="0"/>
        <w:autoSpaceDN w:val="0"/>
        <w:adjustRightInd w:val="0"/>
        <w:spacing w:after="0" w:line="240" w:lineRule="auto"/>
        <w:jc w:val="both"/>
        <w:rPr>
          <w:rFonts w:ascii="Times New Roman" w:hAnsi="Times New Roman"/>
          <w:color w:val="000000" w:themeColor="text1"/>
          <w:sz w:val="16"/>
          <w:szCs w:val="16"/>
        </w:rPr>
      </w:pPr>
    </w:p>
    <w:p w14:paraId="51249C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в Свердловске был создан Завод «Облдормаш». Перед войной выпускал снегоочистители, грейдеры, гудронаторы.</w:t>
      </w:r>
    </w:p>
    <w:p w14:paraId="049B2B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1941 г. после начала войны на площадку завода эвакуированы Смоленский завод «Дормаш» и Воронежский завод им. Коминтерна (затем восстановлен в Воронеже как завод № 723). На базе трех заводов в начале 1942 г. образован единый Минометный завод НКМВ. В 06.1942 г. завод № 760 - в ведении Главстройдревмаша НКМВ, приказом НКМВ № 250с от 7.07.1942 г. завод № 760 передан в ведение ЗГУ (Завод № 760 НКМВ, Областной завод дорожного машиностроения («Облдормаш», «Дормашзавод»), Минометный завод НКМВ, Уральский компрессорный завод (УКЗ) ММиП, ОАО «УКЗ» /г. Свердловск, 7 «Уралкомпрессор» (1948 г.)/ /620007  г. Екатеринбург ул. Эстонская, 6/).</w:t>
      </w:r>
      <w:r w:rsidRPr="00C33834">
        <w:rPr>
          <w:rFonts w:ascii="Times New Roman" w:hAnsi="Times New Roman"/>
          <w:color w:val="000000" w:themeColor="text1"/>
          <w:sz w:val="16"/>
          <w:szCs w:val="16"/>
          <w:vertAlign w:val="superscript"/>
        </w:rPr>
        <w:t>129</w:t>
      </w:r>
    </w:p>
    <w:p w14:paraId="4FDB16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Налажен выпуск реактивных минометов «Катюша». Приказом НКМВ № 201сс от 7.06.1942 г. заводу поручено организовать производство ХАБ-100 с выпуском в 06.1942 г. 1000 шт; приказом НКМВ № 232с от 1.07.1942 г. заводу поручено организовать выпуск электродов для производства химбоеприпасов. Пост. ГКО № 1962сс от 4.07.1942 г. и приказом НКМВ № 237сс от 7.07.1942 г. заводу установлен план выпуска на 3-й квартал 1942 г. 82- мм минометов- 2900 шт.</w:t>
      </w:r>
    </w:p>
    <w:p w14:paraId="2303C1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1944 г. наряду с выпуском минометов начато освоение производства аэродромных компрессорных станций для заправки боевых самолетов сжатым воздухом. В 1945 г. начат их серийный выпуск, и завод стал специализироваться на данной продукции.</w:t>
      </w:r>
    </w:p>
    <w:p w14:paraId="6215B80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02.1946 г. пост. СНК завод переименован в Уральский компрессорный, в 1947-53 г. завод - в ведении Главхиммаша ММиП.</w:t>
      </w:r>
    </w:p>
    <w:p w14:paraId="7640D91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составе завода (1947 г.) цехи: основные: механо-сборочный № 1, механический № 2, котельно-прессовый № 3, литейный № 5; вспомогательные: инструментальный № 4, ремонтно-механический № 6, электроцех № 8, ремонтно-строительный № 9, транспортный № 10. Кроме того, (1953 г.): основные: сборочный № 7, механический №13, деревообрабатывающий № 9, термический № 22.</w:t>
      </w:r>
    </w:p>
    <w:p w14:paraId="30D5930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До 1956 г. выпускались передвижные авиационные компрессорные станции сжатого воздуха, кислорода, углекислого газа. Затем проведено техническое перевооружение производства, построены новые цехи. Освоен выпуск компрессоров для энергетики, химической и нефтегазовой промышленности. В 1956 г. выпущены первые компрессоры для воздушных высоковольтных выключателей в составе распределительных устройств электростанций. К 1970-м  г. их построено около 3000.</w:t>
      </w:r>
    </w:p>
    <w:p w14:paraId="0C75A8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начала 1990-х  г. освоено производство компрессорных станций и азотных компрессорных комплексов для нефтяных скважин, газонаполнительных станций.</w:t>
      </w:r>
    </w:p>
    <w:p w14:paraId="18CF96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1993 г. предприятие было акционировано и преобразовано в АО. Продолжен выпуск компрессоров для авиационной и РКТ. С 2004 г. на базе УКЗ налажен выпуск криогенного оборудования под маркой «Уралкриотехника».</w:t>
      </w:r>
    </w:p>
    <w:p w14:paraId="6ED8A9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Количество оборудования: (1939 г.)- 81 ед., (1946 г.)- 460 ед., (1947 г.)- 464 ед., (1953 г.)- 449 ед.</w:t>
      </w:r>
    </w:p>
    <w:p w14:paraId="08E6106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территории (1947 г.)- 7,9 га, (1953 г.)- 15,29 га; застройки (1947 г.)- 11436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(1953 г.)- 41888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производственная (1939 г.)- 2692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(1946 г.)- 10639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(1947 г.)- 11206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(1953 г.)- 14646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w:t>
      </w:r>
    </w:p>
    <w:p w14:paraId="7D1115E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Численность персонала: (1939 г.)- 423 чел., (1946 г.)- 969 чел., (1947 г.)- 937 чел., (1953 г.)- 1495 чел.</w:t>
      </w:r>
    </w:p>
    <w:p w14:paraId="1382969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(06.1942 г.)- Салтанов, (1948 г.)- Суворов.</w:t>
      </w:r>
    </w:p>
    <w:p w14:paraId="13D6E32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(1948 г.)- Ахмечет.</w:t>
      </w:r>
    </w:p>
    <w:p w14:paraId="35D575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C33834">
        <w:rPr>
          <w:rFonts w:ascii="Times New Roman" w:hAnsi="Times New Roman"/>
          <w:iCs/>
          <w:color w:val="000000" w:themeColor="text1"/>
          <w:sz w:val="16"/>
          <w:szCs w:val="16"/>
        </w:rPr>
        <w:t>Производство:</w:t>
      </w:r>
      <w:r w:rsidRPr="00C33834">
        <w:rPr>
          <w:rFonts w:ascii="Times New Roman" w:hAnsi="Times New Roman"/>
          <w:color w:val="000000" w:themeColor="text1"/>
          <w:sz w:val="16"/>
          <w:szCs w:val="16"/>
        </w:rPr>
        <w:t xml:space="preserve"> 82-мм минометы; стабилизаторы для </w:t>
      </w:r>
      <w:r w:rsidRPr="00C33834">
        <w:rPr>
          <w:rFonts w:ascii="Times New Roman" w:hAnsi="Times New Roman"/>
          <w:color w:val="000000" w:themeColor="text1"/>
          <w:sz w:val="16"/>
          <w:szCs w:val="16"/>
          <w:lang w:val="en-US"/>
        </w:rPr>
        <w:t>PC</w:t>
      </w:r>
      <w:r w:rsidRPr="00C33834">
        <w:rPr>
          <w:rFonts w:ascii="Times New Roman" w:hAnsi="Times New Roman"/>
          <w:color w:val="000000" w:themeColor="text1"/>
          <w:sz w:val="16"/>
          <w:szCs w:val="16"/>
        </w:rPr>
        <w:t xml:space="preserve"> М-30, авиабомбы ЗАБ-50 (1942); аэродромно- компрессорная станция АКС-2 (-1947-53-), -80 (1953), автомобильная кислородно-зарядная станция АКЗС-40, компрессорная станция СМ-14 (1953); вакуум-фильтр ФДШ; шахтный регулятор давления ШРД (1947) (11982).</w:t>
      </w:r>
    </w:p>
    <w:p w14:paraId="59041F9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vertAlign w:val="superscript"/>
        </w:rPr>
      </w:pPr>
    </w:p>
    <w:p w14:paraId="0E3DB80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начал строиться Софринский полигон, введен в строй 19.05.1934 г. для испытаний артиллерийского вооружения. Устав Управления государственного московского контрольно-испытательного и опытно- артиллерийского полигона утвержден приказом НКТП № 319 от 7.03.1934 г. (20.04.1937 г. на базе Управления создано ГС управление артполигонов НКОП). С 1936 г. начаты испытания авиационных боеприпасов. В 03.1937 г. Софринский контрольно-испытательный полигон - в ведении 4ГУ НКОП, в 12.1938 г. - в ведении Бюро комплектации НКОП. По приказу НКБ № 332 от 2.09.1940 г. полигон передан в ведение ГУ полигонов НКБ.</w:t>
      </w:r>
    </w:p>
    <w:p w14:paraId="70C9D7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Софринский контрольно-испытательный полигон НКОП, Софринский научно- испытательный полигон (СНИП) НКБ, МСХМ, Научно-исследовательский полигон артиллерийского вооружения ГАУ, НИАП (научно-испытательный артиллерийский полигон) АУ РККА, ГАУ, Научно-испытательный полигон реактивных снарядов </w:t>
      </w:r>
      <w:r w:rsidRPr="00C33834">
        <w:rPr>
          <w:rFonts w:ascii="Times New Roman" w:hAnsi="Times New Roman"/>
          <w:color w:val="000000" w:themeColor="text1"/>
          <w:sz w:val="16"/>
          <w:szCs w:val="16"/>
        </w:rPr>
        <w:lastRenderedPageBreak/>
        <w:t>МСХМ, Научно-исследовательский артиллерийский полигон (НИАП), Ордена Трудового Красного Знамени Государственный боеприпасный полигон ФГУП НИИ «Геодезия» Росбоеприпаса, ФАП /141292  г. Красноармейск Пушкинского р-на Московской обл. пр. Испытателей, 14 тел. 583-32-09/</w:t>
      </w:r>
    </w:p>
    <w:p w14:paraId="0A53DC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Приказом № 043 от 9.03.1937 г. предписано оборудовать полигон сооружениями для опытных работ по реактивным снарядам.</w:t>
      </w:r>
    </w:p>
    <w:p w14:paraId="4E38B5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1937 г. работал, будучи в заключении, Кудряшов- гл. конструктор зенитной пушки Б-14.</w:t>
      </w:r>
      <w:r w:rsidRPr="00C33834">
        <w:rPr>
          <w:rFonts w:ascii="Times New Roman" w:hAnsi="Times New Roman"/>
          <w:color w:val="000000" w:themeColor="text1"/>
          <w:sz w:val="16"/>
          <w:szCs w:val="16"/>
          <w:vertAlign w:val="superscript"/>
        </w:rPr>
        <w:t xml:space="preserve">3 </w:t>
      </w:r>
      <w:r w:rsidRPr="00C33834">
        <w:rPr>
          <w:rFonts w:ascii="Times New Roman" w:hAnsi="Times New Roman"/>
          <w:color w:val="000000" w:themeColor="text1"/>
          <w:sz w:val="16"/>
          <w:szCs w:val="16"/>
        </w:rPr>
        <w:t>На полигоне имелись сборочные мастерские, выпускавшие боеприпасы. В 10.1941 г. мастерские перебазированы в Москву, где был продолжен выпуск боеприпасов. В 02.1942 г. мастерские вернулись обратно на полигон.</w:t>
      </w:r>
    </w:p>
    <w:p w14:paraId="709E46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После начала войны полигон эвакуирован, в соответствии с пост. ГКО № 1753 от 14.05.1942 г. восстановлен на прежнем месте. После войны полигон передан в ведение МСХМ. В соответствии с ПСМ № 1017-419сс/оп от 13.05.1946 г. на базе Софринского полигона создан Научно-испытательный полигон реактивных снарядов. В 1947 г. на территории полигона создано КБ-3 по разработке реактивного вооружения для пехоты. В 1950-60-е  г., кроме испытаний вооружения, на полигоне стали проводиться стендовые испытания ракетных двигателей.</w:t>
      </w:r>
    </w:p>
    <w:p w14:paraId="03064C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площадке полигона размещалась лабораторная база НИИ-1 МОП с лабораторией пиротехнических составов. В 1970-е  г. построен комплекс стендового оборудования института. Имелось отделение № 4 (1960-е), площадки 10 и 11.</w:t>
      </w:r>
    </w:p>
    <w:p w14:paraId="23C493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1960-х  г. велась отработка элементов ракеты 9М21 ОТРК «Луна-М». Полигон принимал участие в создании скоростной ракето-торпеды «Шквал».</w:t>
      </w:r>
    </w:p>
    <w:p w14:paraId="474E01B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1990 г.- в ведении ММ.</w:t>
      </w:r>
      <w:r w:rsidRPr="00C33834">
        <w:rPr>
          <w:rFonts w:ascii="Times New Roman" w:hAnsi="Times New Roman"/>
          <w:color w:val="000000" w:themeColor="text1"/>
          <w:sz w:val="16"/>
          <w:szCs w:val="16"/>
          <w:vertAlign w:val="superscript"/>
        </w:rPr>
        <w:t>77</w:t>
      </w:r>
      <w:r w:rsidRPr="00C33834">
        <w:rPr>
          <w:rFonts w:ascii="Times New Roman" w:hAnsi="Times New Roman"/>
          <w:color w:val="000000" w:themeColor="text1"/>
          <w:sz w:val="16"/>
          <w:szCs w:val="16"/>
        </w:rPr>
        <w:t xml:space="preserve"> По Указу Президента РФ № 1009 от 4.08.2004 г. вошел в число стратегических оборонных предприятий. На предприятии введена процедура банкротства. В 2005 г.- Ордена Трудового Красного Знамени Государственный боеприпасный полигон НИИ «Геодезия».</w:t>
      </w:r>
    </w:p>
    <w:p w14:paraId="16A452A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2000-е  г. создан ипульсный модуль порошкового пожаротушения «Буран-8».</w:t>
      </w:r>
    </w:p>
    <w:p w14:paraId="39027D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(1926-29 г.)- Е.А. Беркалов, М.И. Финогенов. Директор (1933-34 г.)- В.П. Серебряков, (1934-35 г.)- К-А. Григорович, (1935-; -1938 г.)- Н.Т. Остапенко, (05.1937 г.)- Завриев, (-05.1938-40 г.)- военинженерЗр Т.А. Резников, (1940-41 г.)- Н(П).Я. Стариков, (1943-52 г.)- Д.А. Иванов, (1963-85 г.)- Н.Д. Зубов, А.С. Викторов, В.А. Ковшов. Гендиректор (1993-2005 г.)- В.А. Веснин, (09.2005 г.-&gt; В.А. Ковшов.</w:t>
      </w:r>
    </w:p>
    <w:p w14:paraId="2F9ED60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1-й зам. гендиректора по научной работе-В.Т. Волков.</w:t>
      </w:r>
    </w:p>
    <w:p w14:paraId="7B8511D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iCs/>
          <w:color w:val="000000" w:themeColor="text1"/>
          <w:sz w:val="16"/>
          <w:szCs w:val="16"/>
        </w:rPr>
        <w:t>Испытания:</w:t>
      </w:r>
      <w:r w:rsidRPr="00C33834">
        <w:rPr>
          <w:rFonts w:ascii="Times New Roman" w:hAnsi="Times New Roman"/>
          <w:color w:val="000000" w:themeColor="text1"/>
          <w:sz w:val="16"/>
          <w:szCs w:val="16"/>
        </w:rPr>
        <w:t xml:space="preserve"> 122-мм гаубица (1933); 76-мм динамореактивная пушка и 305-мм гаубица </w:t>
      </w:r>
      <w:r w:rsidRPr="00C33834">
        <w:rPr>
          <w:rFonts w:ascii="Times New Roman" w:hAnsi="Times New Roman"/>
          <w:color w:val="000000" w:themeColor="text1"/>
          <w:sz w:val="16"/>
          <w:szCs w:val="16"/>
          <w:lang w:val="en-US"/>
        </w:rPr>
        <w:t>JI</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B</w:t>
      </w:r>
      <w:r w:rsidRPr="00C33834">
        <w:rPr>
          <w:rFonts w:ascii="Times New Roman" w:hAnsi="Times New Roman"/>
          <w:color w:val="000000" w:themeColor="text1"/>
          <w:sz w:val="16"/>
          <w:szCs w:val="16"/>
        </w:rPr>
        <w:t xml:space="preserve">. Курчевского (1930-е); 45-мм, 57-мм и 76-мм пушки В. Г. Грабина (1930-е); 122-мм и 152-мм гаубицы Ф.Ф. Петрова (1930-е); 50-мм, 86-мм, 107-мм и 120-мм минометы Б.И. Шавырина (1930-е); железнодорожная артустановка ТГ-1 (1941); 160-мм миномет И. Г. Теверовского (ВОВ), пушки ШВАК, ВЯ, НС (ВОВ); 50-мм миномет Гвая, партизанские боеприпасы (1943); артсистемы «Буратино», «Пион», «Гиацинт», «Тюльпан»; РС-82, РС-132 (1930-е), БМ-13 (06.1939, 06.1941), 82-мм противотанковая установка с НАР А.Д. Надирадзе (07-11.1943); РСЗО М-24 с ТРС-240, М-24Ф (09.1947-50), «Град», «Ураган»; ЗУР Р-102 (1949), </w:t>
      </w:r>
      <w:r w:rsidRPr="00C33834">
        <w:rPr>
          <w:rFonts w:ascii="Times New Roman" w:hAnsi="Times New Roman"/>
          <w:color w:val="000000" w:themeColor="text1"/>
          <w:sz w:val="16"/>
          <w:szCs w:val="16"/>
          <w:lang w:val="en-US"/>
        </w:rPr>
        <w:t>PC</w:t>
      </w:r>
      <w:r w:rsidRPr="00C33834">
        <w:rPr>
          <w:rFonts w:ascii="Times New Roman" w:hAnsi="Times New Roman"/>
          <w:color w:val="000000" w:themeColor="text1"/>
          <w:sz w:val="16"/>
          <w:szCs w:val="16"/>
        </w:rPr>
        <w:t xml:space="preserve"> (1952); ПРД-23 и ПРД-33 противоракеты В-1000 (1958-59); РДТТ 15Д15 РТ-20П (04.1965-), РК 8К98, «Темп», «Темп-С» (1960-е), «Тополь»; БЧ к РК «Луна», «Точка», «Ока», «Нерпа» (11982).</w:t>
      </w:r>
    </w:p>
    <w:p w14:paraId="3B09923C" w14:textId="77777777" w:rsidR="00742DA3" w:rsidRPr="00C33834" w:rsidRDefault="00742DA3" w:rsidP="00C33834">
      <w:pPr>
        <w:spacing w:after="0" w:line="240" w:lineRule="auto"/>
        <w:jc w:val="both"/>
        <w:rPr>
          <w:rFonts w:ascii="Times New Roman" w:hAnsi="Times New Roman"/>
          <w:color w:val="000000" w:themeColor="text1"/>
          <w:sz w:val="16"/>
          <w:szCs w:val="16"/>
        </w:rPr>
      </w:pPr>
    </w:p>
    <w:p w14:paraId="793BE5D4"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на заводе «Красный путиловец» были изготовлены первые образцы 152-мм морских ДРП.</w:t>
      </w:r>
    </w:p>
    <w:p w14:paraId="09ECF4A6"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1934 г. завод «Красный путиловец» получил заказ на одиннадцать 152-мм ДРП. На 1 декабря 1934 г. заводом было изготовлено, сдано и отгружено в адрес завода № 38 девять 152-мм систем.</w:t>
      </w:r>
    </w:p>
    <w:p w14:paraId="627236E1"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Заряжание орудия производилось с дула из надствольного магазина. Автоматика работала за счет подачи сжатого воздуха из специального баллона, расположенного на корабле. Снаряд двигался по цилиндрическому магазину, а затем под действием силы тяжести падал в лоток, откуда специальным досылателем загонялся в ствол.</w:t>
      </w:r>
    </w:p>
    <w:p w14:paraId="52B046E1"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Выстрел унитарный. Гильзой служила сгораемая ткань и деревянный поддон, раздробляемый выстрелом. Средством воспламенения был капсюль, при разбитии которого огонь передавался по боковому отверстию в зарядной каморе черному пороху, расположенному в сгорающей ткани кольцом вокруг заряда.</w:t>
      </w:r>
    </w:p>
    <w:p w14:paraId="4F9C0A37"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Стрельба, когда сопло расположено над палубой (даже параллельно ей), не могла вестись без повреждений корпуса и надстроек.</w:t>
      </w:r>
    </w:p>
    <w:p w14:paraId="3040D013" w14:textId="77777777" w:rsidR="00742DA3" w:rsidRPr="00C33834" w:rsidRDefault="00742DA3" w:rsidP="00C33834">
      <w:pPr>
        <w:spacing w:after="0" w:line="240" w:lineRule="auto"/>
        <w:jc w:val="both"/>
        <w:rPr>
          <w:rFonts w:ascii="Times New Roman" w:hAnsi="Times New Roman"/>
          <w:bCs/>
          <w:color w:val="000000" w:themeColor="text1"/>
          <w:sz w:val="16"/>
          <w:szCs w:val="16"/>
        </w:rPr>
      </w:pPr>
      <w:bookmarkStart w:id="68" w:name="label74"/>
      <w:bookmarkEnd w:id="68"/>
      <w:r w:rsidRPr="00C33834">
        <w:rPr>
          <w:rFonts w:ascii="Times New Roman" w:hAnsi="Times New Roman"/>
          <w:bCs/>
          <w:color w:val="000000" w:themeColor="text1"/>
          <w:sz w:val="16"/>
          <w:szCs w:val="16"/>
        </w:rPr>
        <w:t>Данные 152-мм опытной ДРП</w:t>
      </w:r>
    </w:p>
    <w:p w14:paraId="417B388D"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Калибр, мм …… 152,4</w:t>
      </w:r>
    </w:p>
    <w:p w14:paraId="2F355649"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хода снаряда …… клб.</w:t>
      </w:r>
    </w:p>
    <w:p w14:paraId="2C3BF8ED"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Угол BH, град …… + 35º</w:t>
      </w:r>
    </w:p>
    <w:p w14:paraId="13C95DBD"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Угол ГН, град …… 360º</w:t>
      </w:r>
    </w:p>
    <w:p w14:paraId="2F1DD3A2"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BH за один оборот маховика, град …… около 1,5°</w:t>
      </w:r>
    </w:p>
    <w:p w14:paraId="264CBBA1"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ГН за один оборот маховика, град …… около 2°</w:t>
      </w:r>
    </w:p>
    <w:p w14:paraId="68C6D7CB"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Скорострельность, выстр/мин …… 10</w:t>
      </w:r>
    </w:p>
    <w:p w14:paraId="2F516B73"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снаряда 152-мм ДРП — 24 кг. Снаряды — чугунные болванки и снаряды обыкновенного чугуна, снаряженные дымным порохом с 22-секундной трубкой. Пояски системы Минье из красной меди.</w:t>
      </w:r>
    </w:p>
    <w:p w14:paraId="6193F969" w14:textId="77777777" w:rsidR="00742DA3" w:rsidRPr="00C33834" w:rsidRDefault="00742DA3" w:rsidP="00C33834">
      <w:pPr>
        <w:spacing w:after="0" w:line="240" w:lineRule="auto"/>
        <w:jc w:val="both"/>
        <w:rPr>
          <w:rFonts w:ascii="Times New Roman" w:hAnsi="Times New Roman"/>
          <w:bCs/>
          <w:color w:val="000000" w:themeColor="text1"/>
          <w:sz w:val="16"/>
          <w:szCs w:val="16"/>
        </w:rPr>
      </w:pPr>
      <w:bookmarkStart w:id="69" w:name="label75"/>
      <w:bookmarkStart w:id="70" w:name="label76"/>
      <w:bookmarkEnd w:id="69"/>
      <w:bookmarkEnd w:id="70"/>
      <w:r w:rsidRPr="00C33834">
        <w:rPr>
          <w:rFonts w:ascii="Times New Roman" w:hAnsi="Times New Roman"/>
          <w:bCs/>
          <w:color w:val="000000" w:themeColor="text1"/>
          <w:sz w:val="16"/>
          <w:szCs w:val="16"/>
        </w:rPr>
        <w:t>Таблица стрельбы 152-мм ДРП</w:t>
      </w:r>
    </w:p>
    <w:p w14:paraId="04D41ACC" w14:textId="77777777" w:rsidR="00742DA3" w:rsidRPr="00C33834" w:rsidRDefault="00742DA3" w:rsidP="00C33834">
      <w:pPr>
        <w:spacing w:after="0" w:line="240" w:lineRule="auto"/>
        <w:jc w:val="both"/>
        <w:rPr>
          <w:rFonts w:ascii="Times New Roman" w:hAnsi="Times New Roman"/>
          <w:bCs/>
          <w:color w:val="000000" w:themeColor="text1"/>
          <w:sz w:val="16"/>
          <w:szCs w:val="16"/>
        </w:rPr>
      </w:pPr>
      <w:bookmarkStart w:id="71" w:name="label77"/>
      <w:bookmarkEnd w:id="71"/>
      <w:r w:rsidRPr="00C33834">
        <w:rPr>
          <w:rFonts w:ascii="Times New Roman" w:hAnsi="Times New Roman"/>
          <w:bCs/>
          <w:color w:val="000000" w:themeColor="text1"/>
          <w:sz w:val="16"/>
          <w:szCs w:val="16"/>
          <w:vertAlign w:val="superscript"/>
        </w:rPr>
        <w:t>Вес снаряда, кг …… Заряд — Начальная скорость, м/с — Давление в канале, кг/см2 — Дальность (расчетная), км</w:t>
      </w:r>
    </w:p>
    <w:p w14:paraId="5814BBEE"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 3 кг ПКО — 270 — 1800 — около 5</w:t>
      </w:r>
    </w:p>
    <w:p w14:paraId="2E7A7FAA"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 …… 6 кг Г2-48 — 470 — 2200 — около 9</w:t>
      </w:r>
    </w:p>
    <w:p w14:paraId="2C806D4F"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 января 1934 г. опытная 152-мм ДРП была испытана на Черном море на эсминце «Петровский».</w:t>
      </w:r>
    </w:p>
    <w:p w14:paraId="55EE2D4A"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Стрельба из 152-мм ДРП производилась с кормы и с носа попеременно. Система была предварительно установлена на специально изготовленном сварном барабане из 6-мм железа высотой 600 мм, так как присланная с ДРП тумба оказалась недостаточно высокой (около 1,0 м).</w:t>
      </w:r>
    </w:p>
    <w:p w14:paraId="2D4C5590"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ДРП была установлена на корме эсминца на расстоянии 2240 мм от трапа корабля и на расстоянии 920 мм от диаметральной плоскости ближе к правому борту. Барабан прикреплен 12 болтами диаметром 16 мм к настилу верхней палубы. Высота оси цапф 1560 мм от палубы.</w:t>
      </w:r>
    </w:p>
    <w:p w14:paraId="647B3B72"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Затем, в тот же день, 15 января, ДРП была установлена между двумя якорными клюзами на расстоянии около 2 м от форштевня в диаметральной плоскости. Стрельба велась, в том числе, и с хода. Скорость эсминца достигала 20 узлов.</w:t>
      </w:r>
    </w:p>
    <w:p w14:paraId="66A45EDA"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16 января 1934 г. 152-мм ДРП была установлена на сторожевом корабле «Шторм» между 117 и 118 шпангоутами. Ось орудия была удалена на расстояние 800 мм от правого борта. Под барабан тумбы орудия уложили деревянную подушку толщиной 1 дюйм для увеличения высоты линии огня.</w:t>
      </w:r>
    </w:p>
    <w:p w14:paraId="4AD7B440"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стрельбе на сторожевом корабле «Шторм» сбились электролампы. Сопло при стрельбе постоянно находилось за бортом.</w:t>
      </w:r>
    </w:p>
    <w:p w14:paraId="502ADA09"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 января 1934 г. 152-мм ДРП установили в носовой части подводной лодки № 32 («Л-5») на 38-м шпангоуте. Тумба ДРП была установлена прямо на настил палубной надстройки и закреплена 12 болтами диаметром 16 мм.</w:t>
      </w:r>
    </w:p>
    <w:p w14:paraId="16FB5C7F"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 менее интересны выводы комиссии по испытаниям 152-мм ДРП, проводившимся с 15 по 20 января 1934 г. на эсминце «Петровский», СКР «Шторм» и подводной лодке № 32 в море.</w:t>
      </w:r>
    </w:p>
    <w:p w14:paraId="441823B7"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Акт подписан 20 января 1934 г.</w:t>
      </w:r>
    </w:p>
    <w:p w14:paraId="6D1F0A6E"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«Вертикальная наводка системы затруднена и ведется рывками. При резких остановках механизма ВН возникли колебания+1°.</w:t>
      </w:r>
    </w:p>
    <w:p w14:paraId="5AE00DD4"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Сотрясение эсминца и СКР терпимо (подобно стрельбе штатного орудия), а на подводной лодке требуется увеличить толщину листов цистерны балласта.</w:t>
      </w:r>
    </w:p>
    <w:p w14:paraId="607F5F32"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Данная система ДРП может быть использована на кораблях только с ограничителями опасных углов обстрела и следующими переделками:</w:t>
      </w:r>
    </w:p>
    <w:p w14:paraId="1173F18F"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Ввести раздельно вертикальное и горизонтальное наведение.</w:t>
      </w:r>
    </w:p>
    <w:p w14:paraId="2806C01C"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Панорама Герца неудовлетворительна и требуются прицельные трубы и прицелы морского типа.</w:t>
      </w:r>
    </w:p>
    <w:p w14:paraId="2604BEC0"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Нужны надежные предохранители к спусковым приспособлениям и спуск педального типа.</w:t>
      </w:r>
    </w:p>
    <w:p w14:paraId="1F1697A8"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 Необходимы приспособления против двойного заряжания.</w:t>
      </w:r>
    </w:p>
    <w:p w14:paraId="40C4BB95"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 Необходима более прочная тумба морского типа,</w:t>
      </w:r>
    </w:p>
    <w:p w14:paraId="565D1BC5"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 Желательно удлинить сопло (возможно введение телескопической системы).</w:t>
      </w:r>
    </w:p>
    <w:p w14:paraId="4CFF29D6"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 Заряжание с дула нежелательно».</w:t>
      </w:r>
    </w:p>
    <w:p w14:paraId="73F4C557"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Как видим, осторожная критика умных специалистов. Нельзя выступать против идиотской идеи устанавливать ДРП на корабле — посадят, а потребовать вполне очевидных переделок можно. А пока будут производиться оные переделки, авось и вся проблема «Курчевщины» схлынет (15117).</w:t>
      </w:r>
    </w:p>
    <w:p w14:paraId="10438934" w14:textId="77777777" w:rsidR="00742DA3" w:rsidRPr="00C33834" w:rsidRDefault="00742DA3" w:rsidP="00C33834">
      <w:pPr>
        <w:spacing w:after="0" w:line="240" w:lineRule="auto"/>
        <w:jc w:val="both"/>
        <w:rPr>
          <w:rFonts w:ascii="Times New Roman" w:hAnsi="Times New Roman"/>
          <w:color w:val="000000" w:themeColor="text1"/>
          <w:sz w:val="16"/>
          <w:szCs w:val="16"/>
        </w:rPr>
      </w:pPr>
    </w:p>
    <w:p w14:paraId="09F34744"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инженер Н. А. Упорников разработал проект переделки 180/60-мм пушки в полигональное 190-мм орудие (рис. 5.1). Для этой цели использовалась расстрелянная к тому времени 180/60-мм пушка, которая, в свою очередь, была получена перестволением 203/50-мм пушки № 1203.</w:t>
      </w:r>
    </w:p>
    <w:p w14:paraId="5501B818"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по переделке 180-мм пушки № 1203 в полигональную 190-мм были начаты в 1934 г. на заводе «Большевик». Канал расточили и располировали, но дальнейшие работы были прекращены, так как в присланном на 1935 г. плане работ АНИМИ[38] этой работы не значилось, она была заменена полигональной нарезкой 130-мм ствола.</w:t>
      </w:r>
    </w:p>
    <w:p w14:paraId="3E0059FE"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Проектные данные 190-мм полигональной пушки </w:t>
      </w:r>
    </w:p>
    <w:p w14:paraId="2E8946FB"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Диаметр описанной окружности, мм — 200</w:t>
      </w:r>
    </w:p>
    <w:p w14:paraId="6374DFA0"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Калибр (диаметр по граням), мм — 190</w:t>
      </w:r>
    </w:p>
    <w:p w14:paraId="15B3F22A"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пути снаряда в канале, мм — 8188</w:t>
      </w:r>
    </w:p>
    <w:p w14:paraId="335E0475"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Объем каморы, л — 61,63</w:t>
      </w:r>
    </w:p>
    <w:p w14:paraId="38DDD61E"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Число граней — 8</w:t>
      </w:r>
    </w:p>
    <w:p w14:paraId="316C2008"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Угол наклона граней, град — 8°55′37″</w:t>
      </w:r>
    </w:p>
    <w:p w14:paraId="1C15924C"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Крутизна граней (постоянная), клб — 20</w:t>
      </w:r>
    </w:p>
    <w:p w14:paraId="029A3AB7"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полигонального снаряда, кг — 100</w:t>
      </w:r>
    </w:p>
    <w:p w14:paraId="71CB2E6F"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Начальная скорость, м/с — 940</w:t>
      </w:r>
    </w:p>
    <w:p w14:paraId="1AC13BC2"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Максимальное давление в канале, кг/см2 — 3200</w:t>
      </w:r>
    </w:p>
    <w:p w14:paraId="021E4D62" w14:textId="77777777" w:rsidR="00DF1D09" w:rsidRPr="00C33834" w:rsidRDefault="00DF1D09"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гильзы, мм — 825 (12705).</w:t>
      </w:r>
    </w:p>
    <w:p w14:paraId="5F8B5C27" w14:textId="77777777" w:rsidR="00DF1D09" w:rsidRPr="00C33834" w:rsidRDefault="00DF1D09" w:rsidP="00C33834">
      <w:pPr>
        <w:spacing w:after="0" w:line="240" w:lineRule="auto"/>
        <w:jc w:val="both"/>
        <w:rPr>
          <w:rFonts w:ascii="Times New Roman" w:hAnsi="Times New Roman"/>
          <w:color w:val="000000" w:themeColor="text1"/>
          <w:sz w:val="16"/>
          <w:szCs w:val="16"/>
        </w:rPr>
      </w:pPr>
    </w:p>
    <w:p w14:paraId="005B1CD1"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инженер Н.А. Упорников разработал проект переделки 180/60-мм пушки в полигональное 190-мм орудие. Для этой цели использовалась расстрелянная к тому времени 180/60-мм пушка, которая в свою очередь была получена перестволением 203/50-мм пушки № 1203. (Сх. 16)</w:t>
      </w:r>
    </w:p>
    <w:p w14:paraId="426D1D79"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Работы по переделке 180-мм пушки № 1203 в полигональную 190-мм были начаты в 1934 г. на заводе «Большевик». Канал расточили и располировали, но дальнейшие работы были прекращены, так как в присланном на 1935 г. плане работ АНИМИ этой работы не значилось, она была заменена полигональной нарезкой 130-мм ствола.</w:t>
      </w:r>
    </w:p>
    <w:p w14:paraId="6F10707D" w14:textId="77777777" w:rsidR="00742DA3" w:rsidRPr="00C33834" w:rsidRDefault="00742DA3" w:rsidP="00C33834">
      <w:pPr>
        <w:spacing w:after="0" w:line="240" w:lineRule="auto"/>
        <w:jc w:val="both"/>
        <w:rPr>
          <w:rFonts w:ascii="Times New Roman" w:hAnsi="Times New Roman"/>
          <w:bCs/>
          <w:color w:val="000000" w:themeColor="text1"/>
          <w:sz w:val="16"/>
          <w:szCs w:val="16"/>
        </w:rPr>
      </w:pPr>
      <w:bookmarkStart w:id="72" w:name="label101"/>
      <w:bookmarkEnd w:id="72"/>
      <w:r w:rsidRPr="00C33834">
        <w:rPr>
          <w:rFonts w:ascii="Times New Roman" w:hAnsi="Times New Roman"/>
          <w:bCs/>
          <w:color w:val="000000" w:themeColor="text1"/>
          <w:sz w:val="16"/>
          <w:szCs w:val="16"/>
        </w:rPr>
        <w:t>Проектные данные 190-мм полигональной пушки</w:t>
      </w:r>
    </w:p>
    <w:p w14:paraId="64B86936"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Диаметр описанной окружности, мм …… 200</w:t>
      </w:r>
    </w:p>
    <w:p w14:paraId="11A93BEC"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Калибр (диаметр по граням), мм …… 190</w:t>
      </w:r>
    </w:p>
    <w:p w14:paraId="246C9784"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пути снаряда в канале, мм …… 8188</w:t>
      </w:r>
    </w:p>
    <w:p w14:paraId="74FD6111"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Объем каморы, л …… 61,63</w:t>
      </w:r>
    </w:p>
    <w:p w14:paraId="3781B945"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Число граней …… 8</w:t>
      </w:r>
    </w:p>
    <w:p w14:paraId="06AD5BB8"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Угол наклона граней, град …… 8°55'37”</w:t>
      </w:r>
    </w:p>
    <w:p w14:paraId="43A4588B"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Крутизна граней (постоянная), клб …… 20</w:t>
      </w:r>
    </w:p>
    <w:p w14:paraId="12E596E7"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полигонального снаряда, кг …… 100</w:t>
      </w:r>
    </w:p>
    <w:p w14:paraId="0CDADD8F"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Начальная скорость, м/с …… 940</w:t>
      </w:r>
    </w:p>
    <w:p w14:paraId="43726EEC"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Максимальное давление в канале, кг/см</w:t>
      </w:r>
      <w:r w:rsidRPr="00C33834">
        <w:rPr>
          <w:rFonts w:ascii="Times New Roman" w:hAnsi="Times New Roman"/>
          <w:color w:val="000000" w:themeColor="text1"/>
          <w:sz w:val="16"/>
          <w:szCs w:val="16"/>
          <w:vertAlign w:val="superscript"/>
        </w:rPr>
        <w:t xml:space="preserve">2 </w:t>
      </w:r>
      <w:r w:rsidRPr="00C33834">
        <w:rPr>
          <w:rFonts w:ascii="Times New Roman" w:hAnsi="Times New Roman"/>
          <w:color w:val="000000" w:themeColor="text1"/>
          <w:sz w:val="16"/>
          <w:szCs w:val="16"/>
        </w:rPr>
        <w:t>…… 3200</w:t>
      </w:r>
    </w:p>
    <w:p w14:paraId="18162183"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гильзы, мм …… 825</w:t>
      </w:r>
    </w:p>
    <w:p w14:paraId="241066E6" w14:textId="77777777" w:rsidR="00742DA3" w:rsidRPr="00C33834" w:rsidRDefault="00742DA3" w:rsidP="00C33834">
      <w:pPr>
        <w:spacing w:after="0" w:line="240" w:lineRule="auto"/>
        <w:jc w:val="both"/>
        <w:rPr>
          <w:rFonts w:ascii="Times New Roman" w:hAnsi="Times New Roman"/>
          <w:color w:val="000000" w:themeColor="text1"/>
          <w:sz w:val="16"/>
          <w:szCs w:val="16"/>
        </w:rPr>
      </w:pPr>
    </w:p>
    <w:p w14:paraId="244843E6" w14:textId="77777777" w:rsidR="00145E2A" w:rsidRPr="00C33834" w:rsidRDefault="00145E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ввиду острой нехватки кокса, на коксовых печах был введен высокотемпературный режим. Если по старому режиму максимальная температура обжига угля достигала 900 °С, то в новых печах максимальная температура повышалась до 1350-1450 °С. Это значительно форсировало работу печей, увеличив их производительность в 2-2,5 раза, так как период коксования сократился с 28-32 до 13-14 ч при одних и тех же загрузках шихты. Руководство наркомата тяжелой промышленности решило сэкономить средства и время, и вместо того чтобы строить новые мощности по коксованию, просто повысило температуру самого коксования. Однако на выходе ароматических углеводородов (главным образом толуола) такая новация сказалось весьма отрицательно: повышение температуры обжига превысило запас термической стойкости этих углеводородов, и они при коксовании стали распадаться. Как следствие, выход толуола с одной тонны коксуемого угля сократился в 2 раза - с 2,5 до 1,25 кг.</w:t>
      </w:r>
    </w:p>
    <w:p w14:paraId="036186D4" w14:textId="77777777" w:rsidR="00145E2A" w:rsidRPr="00C33834" w:rsidRDefault="00145E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 временем такие непродуманные действия привели к тому, что по мере увеличения государственных заказов на тротил основным способом получения толуола стал пиролиз нефти. Нефть перегонялась в керосин, который в специальных аппаратах - ретортах - подогревался без доступа воздуха до температуры 670-700 °С. Под влиянием высокой температуры пары керосина разлагались на ряд продуктов, находившихся в газообразном состоянии. В число этих продуктов входили и ароматические углеводороды.</w:t>
      </w:r>
    </w:p>
    <w:p w14:paraId="4F7E364D" w14:textId="77777777" w:rsidR="00145E2A" w:rsidRPr="00C33834" w:rsidRDefault="00145E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Газ проходил через систему газовых холодильников и, как на коксохимических заводах, промывался соляровым маслом с целью извлечения из газа унесенных им ароматических углеводородов. В целом, из одной тонны керосина получалось 25-35 кг пирогенетического (нефтяного) толуола.</w:t>
      </w:r>
    </w:p>
    <w:p w14:paraId="37F60629" w14:textId="77777777" w:rsidR="00145E2A" w:rsidRPr="00C33834" w:rsidRDefault="00145E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отличие от коксования, где уголь на 75% превращался в более ценный энергоноситель - кокс, процесс пиролиза являлся крайне неэкономичным. Основные его продукты после извлечения толуола - газ (50%) и тяжелые трудно используемые масла (30%) - находили себе применение только как топливо для коммунальных нужд либо шли на производство беззольной сажи.</w:t>
      </w:r>
    </w:p>
    <w:p w14:paraId="745712BB" w14:textId="77777777" w:rsidR="00145E2A" w:rsidRPr="00C33834" w:rsidRDefault="00145E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Таким образом, в связи с малой ценностью других продуктов пиролиза, весь расход керосина приходился фактически только на те 2,5-3,5% толуола, которые при пиролизе получались. Чрезвычайно высокий расход керосина на единицу получаемого толуола и был главной причиной, из-за которой уже в конце 1920-х гг. от пиролиза керосина как от способа получения толуола отказались в странах Западной Европы и США. В СССР все произошло с точностью до наоборот.</w:t>
      </w:r>
    </w:p>
    <w:p w14:paraId="4B7686D8" w14:textId="77777777" w:rsidR="00145E2A" w:rsidRPr="00C33834" w:rsidRDefault="00145E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Экономическую нецелесообразность использования пиролизе керосина с целью получения толуола достаточно хорошо стали понимать в Советском Союзе лишь к концу 1930-х гг., да и то только руководители промышленности боеприпасов. Так, в начале 1940 г. Комитет Обороны планировал увеличить мощности по нефтяному толуолу с 38 000 т к 1 января 1941 г. до 60 000 т к 1 января 1943 г. (5). В своем докладе в КО от 22 июня 1940 г. нарком боеприпасов И.П. Сергеев писал по этому поводу следующее: «Увеличение мощности нефтегазовых заводов по толуолу до 60 000 т в 1943 г. едва ли достижимо с народнохозяйственной точки зрения. Выход толуола не превышает 3% (в среднем) на керосин, следовательно, считая выход керосина на нефть в среднем 16%, мы должны будем затратить на получение этого количества толуола. 12,5 млн т нефти».</w:t>
      </w:r>
    </w:p>
    <w:p w14:paraId="1D1FF080" w14:textId="77777777" w:rsidR="00145E2A" w:rsidRPr="00C33834" w:rsidRDefault="00145E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Меж тем добыча нефти в СССР в 1939 г. составила всего лишь 30,3 млн т. «Если учесть, - отмечал далее в своем докладе Сергеев, - что керосин является тракторно-танковым и отчасти автомобильным топливом и исходным сырьем для ряда крекинг-установок, то такое расточительное отношение к нему едва ли допустимо» (19151).</w:t>
      </w:r>
    </w:p>
    <w:p w14:paraId="6D5A24C8" w14:textId="77777777" w:rsidR="00145E2A" w:rsidRPr="00C33834" w:rsidRDefault="00145E2A" w:rsidP="00C33834">
      <w:pPr>
        <w:spacing w:after="0" w:line="240" w:lineRule="auto"/>
        <w:jc w:val="both"/>
        <w:rPr>
          <w:rFonts w:ascii="Times New Roman" w:hAnsi="Times New Roman"/>
          <w:color w:val="000000" w:themeColor="text1"/>
          <w:sz w:val="16"/>
          <w:szCs w:val="16"/>
        </w:rPr>
      </w:pPr>
    </w:p>
    <w:p w14:paraId="3641F508"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к выпуску гаубицы Б-4БМ был подключён сталинградский завод «Баррикады». В результате адаптации технической документации «Большевика» к технологическим возможностям «Баррикады» в войска практически стали поступать два разных орудия. Поэтому в 1937 г. на базе деталей и узлов обеих образцов, отработанных в производстве и проверенных в эксплуатации, подготовили единую документацию. В 1938 г. производство гаубиц развернули и на Ново-Краматорском машиностроительном заводе (НКМЗ) (15132).</w:t>
      </w:r>
    </w:p>
    <w:p w14:paraId="1B620ECC" w14:textId="77777777" w:rsidR="00F5172A" w:rsidRPr="00C33834" w:rsidRDefault="00F5172A" w:rsidP="00C33834">
      <w:pPr>
        <w:spacing w:after="0" w:line="240" w:lineRule="auto"/>
        <w:jc w:val="both"/>
        <w:rPr>
          <w:rFonts w:ascii="Times New Roman" w:hAnsi="Times New Roman"/>
          <w:color w:val="000000" w:themeColor="text1"/>
          <w:sz w:val="16"/>
          <w:szCs w:val="16"/>
        </w:rPr>
      </w:pPr>
    </w:p>
    <w:p w14:paraId="1BDE684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на заводе “Рабочий металлист” был выпущен первый паровой экскаватор. В 1937 г. освоен выпуск электрических и дизельных экскаваторов, 30.04.1939 г. построен первый в Европе шагающий экскаватор.</w:t>
      </w:r>
    </w:p>
    <w:p w14:paraId="3E52254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1915 г. Завод наследниц Л.Ф. Пло, выпускавший инструмент, вентиляторы и др. оборудование, был эвакуирован из Риги в Кострому.</w:t>
      </w:r>
    </w:p>
    <w:p w14:paraId="706E1B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06.1942 г. завод - в ведении Главстройдревмаша НКМВ. В соответствии с пост. СНК № 837-430сс от 3.06.1942 г. и приказом НКМВ № 250с от 7.07.1942 г. завод «Рабочий металлист» НКМВ переименован в завод № 773 в ведении 2ГУ.</w:t>
      </w:r>
      <w:r w:rsidRPr="00C33834">
        <w:rPr>
          <w:rFonts w:ascii="Times New Roman" w:hAnsi="Times New Roman"/>
          <w:color w:val="000000" w:themeColor="text1"/>
          <w:sz w:val="16"/>
          <w:szCs w:val="16"/>
          <w:vertAlign w:val="superscript"/>
        </w:rPr>
        <w:t>Ш</w:t>
      </w:r>
    </w:p>
    <w:p w14:paraId="4B1527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годы войны завод выпускал оборонную продукцию, в 1944 г. возобновлен выпуск экскаваторов. С 1948 г. завод специализируется на выпуске механических канатных экскаваторов. В 1960-е  г. - завод «Рабочий металлист». Директор (06.1942 г.)-Киселев.</w:t>
      </w:r>
    </w:p>
    <w:p w14:paraId="05A49B9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iCs/>
          <w:color w:val="000000" w:themeColor="text1"/>
          <w:sz w:val="16"/>
          <w:szCs w:val="16"/>
        </w:rPr>
        <w:t>Производство:</w:t>
      </w:r>
      <w:r w:rsidRPr="00C33834">
        <w:rPr>
          <w:rFonts w:ascii="Times New Roman" w:hAnsi="Times New Roman"/>
          <w:color w:val="000000" w:themeColor="text1"/>
          <w:sz w:val="16"/>
          <w:szCs w:val="16"/>
        </w:rPr>
        <w:t xml:space="preserve"> 122-мм снаряды, авиабомбы ФОТАБ (1942); экскаваторы: тросовой универсальный ЭО-5119 (1990-е); машина бурильная БМ-2501 (1990-е); запчасти для экскаваторов (11982).</w:t>
      </w:r>
    </w:p>
    <w:p w14:paraId="16F1F1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ADB1D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завод (Завод № 67 ИМ. С.К. Тимошенко НКТП, Мастерские тяжелой и осадной артиллерии («Мастяжарт») ГАУ, Московский ремонтно-артиллерийский завод ВСНХ, Завод «Мастяжарт» ВСНХ, ГС завод № 67 НКОП, НКБ, МСХМ. /г. Москва ул. Вельяминовская, 34/) получил наименование завод № 67, до 1935 г. находился в ведении НКТП, в 02.1937 г. - в ведении 4ГУ НКОП. Приказом НКОП № 91 от 13.03.1937 г. утвержден Устав завода. По пр. № 0180 от 15.08.1937 г. передан в новое 13ГУ. В 02.1939 г. завод № 67 13ГУ НКОП передан в ведение 13ГУ НКБ. В 1941 г. завод получил имя С.К. Тимошенко, которое носил до 1951 г.</w:t>
      </w:r>
    </w:p>
    <w:p w14:paraId="231672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конце 1926 г. заводу поручено производство корпусов фугасных авиабомб. К 1930 г. производилось более 4500 корпусов в год. Для организации разработки новых авиабомб РВС на завод откомандирована группа специалистов, и образован бомбовый отдел № 4 завода. В 1932 г. бомбовый отдел завода был преобразован в НИО завода № 67.</w:t>
      </w:r>
    </w:p>
    <w:p w14:paraId="2F4378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Приказом НКОП № 0025 от 4.02.1937 г. заводу предписано к 1.01.1938 г. создать мощности по выпуску корпусов авиабомб: ФАБ-500 - 3000 шт. в год, ФАБ-1000 - 1325 шт., ФАБ-2000 - 425 шт., ФАБ-200 - 400 шт. Пр. № 147сс от 4.05.1938 г. требовалось разработать мероприятия по реконструкции к 1.10.1939 г. завода на производство 200 тыс. авиабомб, отнеся ее к первоочередным стройкам; для этого с завода снят и предан в НКМ выпуск котлов и душевых установок. Мощность завода перед эвакуацией: ФАБ-100 - 140 тыс. шт. в год; ФАБ- 250 - 60 тыс. шт.; ФАБ-2000 - 240 шт.; ХАБ-200 - 24 тыс. шт.</w:t>
      </w:r>
    </w:p>
    <w:p w14:paraId="4A845C2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 № 0240 от 13.11.1937 г. заводу было необходимо изготовить к 1.12.1937 г. 4500 комплектов металлических деталей противогазов для завода «Красный богатырь». По пр. № 229сс от 1.07.1938 г. требовалось изготовить 3 млн. противогазных коробок противогаза БС МТ-4 для завода № 395; в 2-х месячный срок на заводе организовать КБ для решения всех вопросов по изготовлению противогазных коробок.</w:t>
      </w:r>
    </w:p>
    <w:p w14:paraId="52D0BF8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соответствии с пост. ГКО № 777 от 13.10.1941 г. завод № 67 4ГУ НКБ эвакуирован: (производство ФАБ, ХАБ, всего 278 ед. оборудования, 278 чел.) - в Миасс на площадку завода № 316 НКБ, производство ПЛАБ - в Челябинск на завод № 78; но уже в 12.1941 г. завод возобновил деятельность на старом месте, оборудование в соответствии с пост. ГКО № 1219 от 28.01.1942 г. было возвращено из Миасса. В 1939-45 г. завод находился в ведении НКБ (в 10.1941-09.1944 г. - 4ГУ), в 1946-52 г. - в МСХМ.</w:t>
      </w:r>
    </w:p>
    <w:p w14:paraId="2D516D9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1945 г. планировалось на базе завода (на основании письма Ванникова в НКАП от 3.08.1945 г.) сформировать ГЦКБ-2 НКБ для работ по </w:t>
      </w:r>
      <w:r w:rsidRPr="00C33834">
        <w:rPr>
          <w:rFonts w:ascii="Times New Roman" w:hAnsi="Times New Roman"/>
          <w:color w:val="000000" w:themeColor="text1"/>
          <w:sz w:val="16"/>
          <w:szCs w:val="16"/>
          <w:lang w:val="en-US"/>
        </w:rPr>
        <w:t>PC</w:t>
      </w:r>
      <w:r w:rsidRPr="00C33834">
        <w:rPr>
          <w:rFonts w:ascii="Times New Roman" w:hAnsi="Times New Roman"/>
          <w:color w:val="000000" w:themeColor="text1"/>
          <w:sz w:val="16"/>
          <w:szCs w:val="16"/>
        </w:rPr>
        <w:t xml:space="preserve"> дальнего действия (в т.ч. с ЖРД) и по ЗУР. Вместо этого в 1946 г. на базе филиала № 2 НИИ-1 МАП было образовано КБ-2 МСХМ. КБ-2 было перебазировано на площадку завода № 67, который стал его производственной базой. В соответствии с ПСМ № 5119-2226 от 15.12.1951 г. завод № 67 объединен с КБ-2 МСХМ и преобразован в ГС НИИ № 642. Завод № 67 преобразован в Опытный завод при ГС НИИ-642.</w:t>
      </w:r>
    </w:p>
    <w:p w14:paraId="27E562B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Численность персонала (10.1941 г.)- 3620 чел., (12.1942 г.)- 2664 чел.</w:t>
      </w:r>
    </w:p>
    <w:p w14:paraId="2608D6C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(03.1917-25 г.)- Н.Ф. Розанов, (1925-26 г.)- И. Г. Королев, (1926-27 г.)- А. Кошелев, (1928-30 г.)-  Г.Т. Кузьмичев, (1931-35 г.)- П. Г. Крынкин, (-19.07.1937 г.)- С.В. Фумм, (19.07.1937-39 г.)- М. Г. Масальский, (1939- 41 г.)- В.И. Базаров, (1941-45 г.)- А.Ф. Шибаев, (1946-47 г.)- С.А. Невструев, (1948-52 г.)- А.В. Фролов.</w:t>
      </w:r>
    </w:p>
    <w:p w14:paraId="3C256BE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директора (06.1938 г.)- В.И. Базаров. Помощник директора по найму и увольнению (8.03-21.11.1938 г.)- М.П(Б). Авдохин (снят).</w:t>
      </w:r>
    </w:p>
    <w:p w14:paraId="02A8AF2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(06.1938 г.)- В.И. Базаров, (-1947 г.)- А.Л. Лившиц.</w:t>
      </w:r>
    </w:p>
    <w:p w14:paraId="1C53E3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отделов: НИО (1936 г.)- Н.Т. Кулаков.</w:t>
      </w:r>
    </w:p>
    <w:p w14:paraId="594997C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корпуса авиабомб: ФАБ-50, -100, -250, -2000, ХАБ-100, -200, ПЛАБ-100 (1941); МЯДШ (1941);</w:t>
      </w:r>
      <w:r w:rsidRPr="00C33834">
        <w:rPr>
          <w:rFonts w:ascii="Times New Roman" w:hAnsi="Times New Roman"/>
          <w:color w:val="000000" w:themeColor="text1"/>
          <w:sz w:val="16"/>
          <w:szCs w:val="16"/>
          <w:vertAlign w:val="superscript"/>
        </w:rPr>
        <w:t>132</w:t>
      </w:r>
      <w:r w:rsidRPr="00C33834">
        <w:rPr>
          <w:rFonts w:ascii="Times New Roman" w:hAnsi="Times New Roman"/>
          <w:color w:val="000000" w:themeColor="text1"/>
          <w:sz w:val="16"/>
          <w:szCs w:val="16"/>
        </w:rPr>
        <w:t xml:space="preserve"> котлы, душевые установки (-1938), противогазовая защита «ТЧ» (1938) (11982).</w:t>
      </w:r>
    </w:p>
    <w:p w14:paraId="7750BE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FB4B4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завод (Завод № 557 НКБ, п/я 2220 /г. Москва 130 п/я 2220 «Копир» (1943 г.)/), построеннный в Москве в 1897, был реконструирован, действовал в ведении НК стройматериалов. В 04.1943-09.1944 г. - в ведении 4ГУ НКБ. В соответствии с распоряжением ГКО № 4375 от 21.10.1943 г. заводу передан совхоз «Турово» (Серпуховским р-н).</w:t>
      </w:r>
    </w:p>
    <w:p w14:paraId="028E15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 ГКО № 4440 от 28.10.1943 г. на завод передано производство корпусов 76-мм снарядов с завода №658 НКЭП.</w:t>
      </w:r>
    </w:p>
    <w:p w14:paraId="1FD815D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составе завода основные цехи (1943 г.): механический, термический, литейный.</w:t>
      </w:r>
    </w:p>
    <w:p w14:paraId="3FCBAC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Площадь: производственная- 14954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 вспомогательная- 9000 м</w:t>
      </w:r>
      <w:r w:rsidRPr="00C33834">
        <w:rPr>
          <w:rFonts w:ascii="Times New Roman" w:hAnsi="Times New Roman"/>
          <w:color w:val="000000" w:themeColor="text1"/>
          <w:sz w:val="16"/>
          <w:szCs w:val="16"/>
          <w:vertAlign w:val="superscript"/>
        </w:rPr>
        <w:t>2</w:t>
      </w:r>
      <w:r w:rsidRPr="00C33834">
        <w:rPr>
          <w:rFonts w:ascii="Times New Roman" w:hAnsi="Times New Roman"/>
          <w:color w:val="000000" w:themeColor="text1"/>
          <w:sz w:val="16"/>
          <w:szCs w:val="16"/>
        </w:rPr>
        <w:t>.</w:t>
      </w:r>
    </w:p>
    <w:p w14:paraId="03A1081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(-04-11.1943 г.-)- пп Бриль.</w:t>
      </w:r>
    </w:p>
    <w:p w14:paraId="53BF2D3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отделов: планового (04.1943 г.)- Тимошевский.</w:t>
      </w:r>
    </w:p>
    <w:p w14:paraId="6835B9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iCs/>
          <w:color w:val="000000" w:themeColor="text1"/>
          <w:sz w:val="16"/>
          <w:szCs w:val="16"/>
        </w:rPr>
        <w:t>Производство:</w:t>
      </w:r>
      <w:r w:rsidRPr="00C33834">
        <w:rPr>
          <w:rFonts w:ascii="Times New Roman" w:hAnsi="Times New Roman"/>
          <w:color w:val="000000" w:themeColor="text1"/>
          <w:sz w:val="16"/>
          <w:szCs w:val="16"/>
        </w:rPr>
        <w:t xml:space="preserve"> корпуса снарядов 76-мм (1943) (11982).</w:t>
      </w:r>
    </w:p>
    <w:p w14:paraId="702495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697A8D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была разработана 152-мм пушка обр. 1910/1934 г. (в 1935-1936 гг. она именовалась 152-мм гаубицей обр. 1934 г.), которая имела много недостатков. Основными из них были:</w:t>
      </w:r>
    </w:p>
    <w:p w14:paraId="433620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Подрессорен был только лафет, а передок не имел подрессоривания, и скорость возки по шоссе была ограничена 18-20 км/час.</w:t>
      </w:r>
    </w:p>
    <w:p w14:paraId="0E8965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Подрессоривание выключалось специальным механизмом, а не автоматически, на что уходило 2 3 минуты.</w:t>
      </w:r>
    </w:p>
    <w:p w14:paraId="4804F6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Верхний станок представлял собой слишком сложную отливку.</w:t>
      </w:r>
    </w:p>
    <w:p w14:paraId="017B93D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 самым серьезным недостатком было совмещение подъемного и уравновешивающего механизма в одной системе. Скорость ВН за один оборот маховика не превышала 10 минут, что было предельно мало. Наконец, система 1934 г. хоть и именовалась гаубицей, но угол возвышения у нее (+45) для гаубиц 30-х голов был слишком мал (3861).</w:t>
      </w:r>
    </w:p>
    <w:p w14:paraId="7CE2B8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0C27A3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C 1933 на Кировском заводе производилась 76-мм танковая пушка обр. 1927/32 г. - КТ, которая была разработана в КБ Кировского завода на базе 76-мм полковой пушки обр. 1927 года. Основным отличием ее было уменьшение длины отката пушки с 1000 мм до 500 мм (для уменьшения габаритов башни). На заводе пушке был присвоен индекс КТ (Кировская танковая). В некоторых случаях пушки именовали КТ-26, КТ-28 и КТ-35 по типу танка, но принципиальных различий у типов этих пушек не было. Пушки КТ устанавливались на серийных танках Т-35, Т-28, БТ-7А. На Т-26 пушка не прижилась. В 1933 году было сдано 55 штук, в 1934 году - 202, в 1935 году - 102 и т.д.</w:t>
      </w:r>
    </w:p>
    <w:p w14:paraId="5FD759A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вооружении Красной армии состояло несколько типов 76-мм танковых пушек. Чтобы разобраться в них, проще всего провести классификацию пушек по боекомплектам, разделив их на три группы:</w:t>
      </w:r>
    </w:p>
    <w:p w14:paraId="63968A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Танковая пушка обр.1927/32 г. стреляла выстрелом только от 76-мм полковой пушки обр.1927 года.</w:t>
      </w:r>
    </w:p>
    <w:p w14:paraId="215B546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 Танковые пушки ПС-3, Л-10, Л-7 и ТГ стреляли выстрелами от 76-мм пушки обр.1902 года.</w:t>
      </w:r>
    </w:p>
    <w:p w14:paraId="47C0B0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 Танковые пушки Ф-32, Л-11, Ф-34, ЗИС-5, Л-15 и Д-56 стреляли выстрелами от 76-мм пушки обр.1902/30 г.</w:t>
      </w:r>
    </w:p>
    <w:p w14:paraId="464F79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Напомним, что пушки обр.1902 г. и 1902/30 г. имели одинаковые гильзы, а выстрелы пушки обр.1902/30 г. имели чуть больший заряд, чем у обр.1902 г. Таблицы стрельбы военных лет разрешали стрельбу бронебойным выстрелом пушек обр.1902/30 г. из пушек обр.1902 г. Таким образом, из пушек второй группы можно было стрелять и выстрелами пушек обр.1902/30 г., но с некоторым риском порчи противооткатных устройств, спроектированных под выстрел 1902 г.</w:t>
      </w:r>
    </w:p>
    <w:p w14:paraId="71F2B0A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Баллистика танковой пушки 1927/32 г. совпадает с баллистикой 76-мм полковой пушки обр.1927 г.</w:t>
      </w:r>
    </w:p>
    <w:p w14:paraId="066EDC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Пушки ПС-3 и Л-10 были короче пушки обр.1902 г. и имели несколько худшую баллистику по сравнению с ней.</w:t>
      </w:r>
    </w:p>
    <w:p w14:paraId="6609C25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Пушки Ф-32 и Л-11 имели баллистику пушек обр.1902/30 г. длиной в 30 клб.</w:t>
      </w:r>
    </w:p>
    <w:p w14:paraId="1F707D0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Пушки Ф-34, ЗИС-5, Л-15 и Д-56 имели баллистику пушки обр.1902/30 г. длиной в 40 клб.</w:t>
      </w:r>
    </w:p>
    <w:p w14:paraId="3979936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76-мм танковая пушка обр.1927/32 г. была разработана в КБ Кировского завода на базе 76-мм полковой пушки обр.1927 года. Основным отличием ее было уменьшение длины отката пушки с 1000 мм до 500 мм (для уменьшения габаритов башни). На заводе пушке был присвоен индекс КТ (Кировская танковая). В некоторых случаях пушки именовали КТ-26, КТ-28 и КТ-35 по типу танка, но принципиальных различий у типов этих пушек не было.</w:t>
      </w:r>
    </w:p>
    <w:p w14:paraId="08193ED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Пушки КТ устанавливались на серийных танках Т-35, Т-28, БТ-7А. На Т-26 пушка не прижилась. Пушки КТ производились на Кировском заводе с 1933 года. В 1933 году было сдано 55 штук, в 1934 году - 202, в 1935 году - 102 и т.д. К 1 ноября 1936 года в РККА состояло 372 боевых пушек КТ и 21 учебная. Кроме того, имелось 5 пушек КТ-27, установленных на танках Т-27 (3861).</w:t>
      </w:r>
    </w:p>
    <w:p w14:paraId="4B8CCF8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402D0A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1933 год первоначально МЗМ было заказано 30 152-мм гаубиц НГ, но по просьбе завода их число сократили до 8 штук. Из низ 4 гаубицы сданы в декабре 1933 года, а остальные 4 в 1934 году. Отставание от плана МЗМ в 1933 году было вызвано отсутствием разработанного технического процесса, инструментов и приспособлений. Система изготавливалась полукустарным методом (без взаимозаменяемости). По немецкому проекту ствол гаубицы должен быть скрепленный. Но на 1933 года МЗМ было первоначально выдано задание делать лейнеры и лейнированные стволы, а также сварные лафеты (3861).</w:t>
      </w:r>
    </w:p>
    <w:p w14:paraId="2B0A6EC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A47B9D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на заводе № 8 по чертежам СКБ ОГПУ (специальной шаражки, созданной на заводе N 8 для отладки 45-мм ПТП) была изготовлена модернизированная пушка 19-К. Эта пушка получила название "45-мм ПТП обр. 1933 г.", но позже это название не прижилось. По сравнению с обр. 1932 г. в модернизированной пушке были утолщены щеки казенника, удлинен кожух, изменен клин затвора. Основным же изменением было введение полуавтоматики инерционного типа, работавшей за счет инерции отката, взамен прежней полуавтоматики механического типа, работавшей за счет энергии отката. Ведь пушка обр. 1932 г. была фактически четверть-автоматической. Кроме того, было изменено устройство компрессора. Вес пушки в боевом положении составил 414 кг (3861).</w:t>
      </w:r>
    </w:p>
    <w:p w14:paraId="3CB1D4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D42AE8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план 62 152-мм мортир обр. 1931 г., по отчету сдано 50 мортир, а по другим сведениям 37 (видимо, в число 50 было включено 13 мортир из программы 1932 года). 152-мм мортиры обр. 1931 г. изготавливались только на МЗМ (3861).</w:t>
      </w:r>
    </w:p>
    <w:p w14:paraId="522DC1B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06C5E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Брянский механический завод № 13 делал передки 152-мм мортир обр. 1931 (3861).</w:t>
      </w:r>
    </w:p>
    <w:p w14:paraId="1874D48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5099E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группой Д ГДЛ была разработана еще одна модификация 165-мм полкового миномета АМ-3. Основным его отличием была большая дальность стрельбы 5500 м. ПМ-3 стрелял теми же минами, что и ПМ-1, и ПМ-2. Несколько единиц 165-мм минометов ПМ-1, ПМ-2 и ПМ-3 было изготовлено на заводе "Красный Октябрь" (г. Харьков) с участием мастерских АНИИ. Точное число изготовленных минометов установить не удалось, так как данные по производству и службе минометов в 1920-1936 годах в большинстве своем до сих пор являются секретными, так это все было связано с химическими частями (3861).</w:t>
      </w:r>
    </w:p>
    <w:p w14:paraId="6D1BFA9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568B68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начальник АНИМИ приказал 130/55-мм пушку как полигональную "с плана снять". А взамен заводу "надлежит нарезать 130/55-мм пушку №7 углубленной нарезкой по чертежам, выданным на завод... Нарезку закончить к 15.12.1933 г.". В 30-е годы 130/55-мм пушки использовались для различных опытов. Так, АНИМИ разработал проект переделки 130-мм пушки в полигональную. Заводу "Большевик" был дан заказ на переделку 130-мм пушки со сроком готовности 1.10.1932 г (3861).</w:t>
      </w:r>
    </w:p>
    <w:p w14:paraId="7D2F9D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6BD219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1933 году АУ выдало заводу № 38 задание спроектировать гусеничный ход для 122-мм пушки обр. 1931 г. в связи с ее малой проходимостью на колесном ходу. Завод № 38 такой ход разработал, причем траки гусениц были приняты от танка Т-26. Рабочие чертежи гусеничного хода были утверждены АУ в 1934 году (3861).</w:t>
      </w:r>
    </w:p>
    <w:p w14:paraId="40BF5E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8A3AA8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производство гаубиц Б-4 было начато на заводе "Баррикады" (3861).</w:t>
      </w:r>
    </w:p>
    <w:p w14:paraId="09D098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274D3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завод "Баррикады" предъявил к сдаче лишь одну гаубицу, но и ее не смогли сдать до конца года (3861).</w:t>
      </w:r>
    </w:p>
    <w:p w14:paraId="76DF2A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A8180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в ГКБ-38 были разработаны чертежи опытной серии корпусной 122-мм пушек и присвоен индекс А-19 (А это индекс ГКБ-38) (3861).</w:t>
      </w:r>
    </w:p>
    <w:p w14:paraId="052235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C5CDB9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заводу "Баррикады" была заказана первая опытная серия в 3 122-мм пушки А-19 (3861).</w:t>
      </w:r>
    </w:p>
    <w:p w14:paraId="616167A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0D261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группа Д ГДЛ передала Артуправлению два проекта тяжелых минометов ТМ и 400 Р.О. Проекты минометов были одобрены, однако по неясным причинам работы по ним не были доведены до испытаний опытных образцов (3861).</w:t>
      </w:r>
    </w:p>
    <w:p w14:paraId="51E646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A2C5A6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инженер Упорников предложил проект переделки 180-мм пушки Б-1-К в полигональную, что и было сделано на Обуховском заводе. Сечение канала имело 8 граней с крутизной наклона 20 калибров. Диаметр по вершинам граней был 200 мм, а по серединам 190 мм. Вес снаряда 100 кг, начальная скорость 940 м/с, максимальное давление в канале 3200 кг/см2. Однако из-за сложности изготовления и эксплуатации полигональных орудий на вооружение они приняты не были. Испытания пушки №1203 и теоретические расчеты показали, что чудес на свете не бывает и 180-мм суперпушки не получится, а если бы и удалось сделать таковую с давлением в патроннике 4000 кг/см2, то ее живучесть вряд ли бы достигла и десятка выстрелов. Фактически при весе снаряда 97,5 кг начальная скорость составила 920 м/с, давление в канале 3200 кг/см2, а живучесть около 70 выстрелов (3861).</w:t>
      </w:r>
    </w:p>
    <w:p w14:paraId="6295AF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37ECD5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под руководством Упорникова был разработан проект переделки 203/50-мм пушки в полигональную. По этому проекту была переделана уже многократно переделывавшаяся пушка №1203 (ее уже один раз перестволяли в 180-мм). Калибр ее стал 200/190 мм. Число граней 8, крутизна граней постоянная в 20 калибров. Вес снаряда 100 кг, начальная скорость 940 м/с. Дальность стрельбы предполагали 4550 км. Тем не менее работы по полигональным орудиям пришлось прекратить. Мало того, что полигональные орудия были сложны в производстве, их эксплуатация на службе была почти невозможна, особенно в отношении заряжания. Кстати, по этим же причинам испытания полигональных орудий были прекращены во всем мире в 70-х годах XIX века. Другой вопрос, что в 20-30-х годах ХХ века мучились с полигональными системами не только мы, но, к примеру, еще и французы. Великая Отечественная война прервала работы над орудиями сверхдальней стрельбы. Они возобновились лишь во второй половине 1945 года (3861).</w:t>
      </w:r>
    </w:p>
    <w:p w14:paraId="52992C8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94DCBF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"Красный Путиловец" изготовил два экземпляра пушки Л-2 с длиной ствола в 60 клб. Первый имел ствол со свободной трубой, а второй скрепленный ствол. Это была вторая 76-мм универсальная пушка, также разработанная в КБ завода "Красный Путиловец". Она именовалась уже не дивизионной или корпусной, а просто универсальной пушкой "большой мощности". Главный конструктор Маханов (3861).</w:t>
      </w:r>
    </w:p>
    <w:p w14:paraId="1895F6C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C281CE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заводу № 65 было дано задание изготовить 400 лафето-пробных полигональных снарядов и 100 боевых (из них 50 весом 90 кг и 50 весом 70 кг) для 152-мм дальнобойной пушки Б-10 (3861).</w:t>
      </w:r>
    </w:p>
    <w:p w14:paraId="39E9E57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D1509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возникло Специальное конструкторское бюро ОГПУ на заводе № 8 им. Калинина в подмосковной деревне Подлипки (11231).</w:t>
      </w:r>
    </w:p>
    <w:p w14:paraId="0B231C4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D01C037"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завод № 185 приступил к проектированию на базе Т-26 безбашен</w:t>
      </w:r>
      <w:r w:rsidRPr="00C33834">
        <w:rPr>
          <w:rFonts w:ascii="Times New Roman" w:hAnsi="Times New Roman"/>
          <w:color w:val="000000" w:themeColor="text1"/>
          <w:sz w:val="16"/>
          <w:szCs w:val="16"/>
        </w:rPr>
        <w:softHyphen/>
        <w:t>ного артиллерийского танка АТ-1. Эта машина представляла собой самоходно типа  Вместо башни и подбашенной коробки была смонтирована броневая рубка с верхним поясом в виде откидных щитов, что улучшало обзор поля боя и условия работы прислуги при поддержке атаки из второго эшелона.</w:t>
      </w:r>
    </w:p>
    <w:p w14:paraId="2737DCB1" w14:textId="77777777" w:rsidR="00742DA3" w:rsidRPr="00C33834" w:rsidRDefault="00742DA3" w:rsidP="00C33834">
      <w:pPr>
        <w:pStyle w:val="27"/>
        <w:shd w:val="clear" w:color="auto" w:fill="auto"/>
        <w:spacing w:after="0" w:line="240" w:lineRule="auto"/>
        <w:ind w:firstLine="0"/>
        <w:rPr>
          <w:rFonts w:ascii="Times New Roman" w:cs="Times New Roman"/>
          <w:color w:val="000000" w:themeColor="text1"/>
          <w:spacing w:val="0"/>
        </w:rPr>
      </w:pPr>
      <w:r w:rsidRPr="00C33834">
        <w:rPr>
          <w:rFonts w:ascii="Times New Roman" w:cs="Times New Roman"/>
          <w:color w:val="000000" w:themeColor="text1"/>
          <w:spacing w:val="0"/>
        </w:rPr>
        <w:t>В боевом отделении на тумбовой уста</w:t>
      </w:r>
      <w:r w:rsidRPr="00C33834">
        <w:rPr>
          <w:rFonts w:ascii="Times New Roman" w:cs="Times New Roman"/>
          <w:color w:val="000000" w:themeColor="text1"/>
          <w:spacing w:val="0"/>
        </w:rPr>
        <w:softHyphen/>
        <w:t>новке была смонтирована пушка ПС-3. Пушка имела клиновой полуавтоматичес</w:t>
      </w:r>
      <w:r w:rsidRPr="00C33834">
        <w:rPr>
          <w:rFonts w:ascii="Times New Roman" w:cs="Times New Roman"/>
          <w:color w:val="000000" w:themeColor="text1"/>
          <w:spacing w:val="0"/>
        </w:rPr>
        <w:softHyphen/>
        <w:t>кий затвор и скорострельность 15 — 18 выстр./мин. Горизонтальный угол наведе</w:t>
      </w:r>
      <w:r w:rsidRPr="00C33834">
        <w:rPr>
          <w:rFonts w:ascii="Times New Roman" w:cs="Times New Roman"/>
          <w:color w:val="000000" w:themeColor="text1"/>
          <w:spacing w:val="0"/>
        </w:rPr>
        <w:softHyphen/>
        <w:t>ния составлял около 5°, вертикальный — от -15° до +15°. Правее пушки в шаровой установке был смонтирован пулемет ДТ. Для ведения прицельного огня пушка снабжалась телескопическим и панорам</w:t>
      </w:r>
      <w:r w:rsidRPr="00C33834">
        <w:rPr>
          <w:rFonts w:ascii="Times New Roman" w:cs="Times New Roman"/>
          <w:color w:val="000000" w:themeColor="text1"/>
          <w:spacing w:val="0"/>
        </w:rPr>
        <w:softHyphen/>
        <w:t>ным прицелами. Боекомплект пушки со</w:t>
      </w:r>
      <w:r w:rsidRPr="00C33834">
        <w:rPr>
          <w:rFonts w:ascii="Times New Roman" w:cs="Times New Roman"/>
          <w:color w:val="000000" w:themeColor="text1"/>
          <w:spacing w:val="0"/>
        </w:rPr>
        <w:softHyphen/>
        <w:t>стоял из 41 выстрела, пулемета — 1827 патронов.</w:t>
      </w:r>
    </w:p>
    <w:p w14:paraId="251A3C8F" w14:textId="77777777" w:rsidR="00742DA3" w:rsidRPr="00C33834" w:rsidRDefault="00742DA3" w:rsidP="00C33834">
      <w:pPr>
        <w:pStyle w:val="27"/>
        <w:shd w:val="clear" w:color="auto" w:fill="auto"/>
        <w:spacing w:after="0" w:line="240" w:lineRule="auto"/>
        <w:ind w:firstLine="0"/>
        <w:rPr>
          <w:rFonts w:ascii="Times New Roman" w:cs="Times New Roman"/>
          <w:color w:val="000000" w:themeColor="text1"/>
          <w:spacing w:val="0"/>
        </w:rPr>
      </w:pPr>
      <w:r w:rsidRPr="00C33834">
        <w:rPr>
          <w:rFonts w:ascii="Times New Roman" w:cs="Times New Roman"/>
          <w:color w:val="000000" w:themeColor="text1"/>
          <w:spacing w:val="0"/>
        </w:rPr>
        <w:t xml:space="preserve">В 1935 году состоялись испытания </w:t>
      </w:r>
      <w:r w:rsidRPr="00C33834">
        <w:rPr>
          <w:rFonts w:ascii="Times New Roman" w:cs="Times New Roman"/>
          <w:color w:val="000000" w:themeColor="text1"/>
          <w:spacing w:val="0"/>
          <w:lang w:val="en-US"/>
        </w:rPr>
        <w:t>AT</w:t>
      </w:r>
      <w:r w:rsidRPr="00C33834">
        <w:rPr>
          <w:rFonts w:ascii="Times New Roman" w:cs="Times New Roman"/>
          <w:color w:val="000000" w:themeColor="text1"/>
          <w:spacing w:val="0"/>
        </w:rPr>
        <w:t>-1, на которых были достигнуты хоро</w:t>
      </w:r>
      <w:r w:rsidRPr="00C33834">
        <w:rPr>
          <w:rFonts w:ascii="Times New Roman" w:cs="Times New Roman"/>
          <w:color w:val="000000" w:themeColor="text1"/>
          <w:spacing w:val="0"/>
        </w:rPr>
        <w:softHyphen/>
        <w:t>шие результаты. Наибольшая дальность стрельбы, например, составила 10 580 м, тогда как по техзаданию должна была со</w:t>
      </w:r>
      <w:r w:rsidRPr="00C33834">
        <w:rPr>
          <w:rFonts w:ascii="Times New Roman" w:cs="Times New Roman"/>
          <w:color w:val="000000" w:themeColor="text1"/>
          <w:spacing w:val="0"/>
        </w:rPr>
        <w:softHyphen/>
        <w:t>ставлять 7500 — 8000 м. САУ была реко</w:t>
      </w:r>
      <w:r w:rsidRPr="00C33834">
        <w:rPr>
          <w:rFonts w:ascii="Times New Roman" w:cs="Times New Roman"/>
          <w:color w:val="000000" w:themeColor="text1"/>
          <w:spacing w:val="0"/>
        </w:rPr>
        <w:softHyphen/>
        <w:t>мендована для принятия на вооружение, но к маю 1936 года ни одна из 5 заказан</w:t>
      </w:r>
      <w:r w:rsidRPr="00C33834">
        <w:rPr>
          <w:rFonts w:ascii="Times New Roman" w:cs="Times New Roman"/>
          <w:color w:val="000000" w:themeColor="text1"/>
          <w:spacing w:val="0"/>
        </w:rPr>
        <w:softHyphen/>
        <w:t>ных для войсковых испытаний машин и пушек для них сданы заказчику не были. В дальнейшем работы над АТ-1, как, впрочем, и над пушкой ПС-3, были свернуты (15232).</w:t>
      </w:r>
    </w:p>
    <w:p w14:paraId="7A91EDA6" w14:textId="77777777" w:rsidR="00742DA3" w:rsidRPr="00C33834" w:rsidRDefault="00742DA3" w:rsidP="00C33834">
      <w:pPr>
        <w:pStyle w:val="27"/>
        <w:shd w:val="clear" w:color="auto" w:fill="auto"/>
        <w:spacing w:after="0" w:line="240" w:lineRule="auto"/>
        <w:ind w:firstLine="0"/>
        <w:rPr>
          <w:rFonts w:ascii="Times New Roman" w:cs="Times New Roman"/>
          <w:color w:val="000000" w:themeColor="text1"/>
          <w:spacing w:val="0"/>
        </w:rPr>
      </w:pPr>
    </w:p>
    <w:p w14:paraId="4B56DFE2"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телеуправляемый танк под индексом ТТ-18 (модификация танка МС-1) испытывался с аппаратурой управления, размещенной на месте водителя. Этот танк мог выполнять 16 команд: поворачиваться, менять скорость, останавливаться, снова начинать движение, подрывать заряд ВВ, а при установке специальной аппаратуры — и ставить дым-завесу или выпускать ОВ. Дальность действия ТТ-18 была не более нескольких сотен метров. В ТТ-18 переоборудовали не менее семи штатных танков, но на вооружение система так и не поступила (15117).</w:t>
      </w:r>
    </w:p>
    <w:p w14:paraId="5ED7AE34" w14:textId="77777777" w:rsidR="00742DA3" w:rsidRPr="00C33834" w:rsidRDefault="00742DA3" w:rsidP="00C33834">
      <w:pPr>
        <w:spacing w:after="0" w:line="240" w:lineRule="auto"/>
        <w:jc w:val="both"/>
        <w:rPr>
          <w:rFonts w:ascii="Times New Roman" w:hAnsi="Times New Roman"/>
          <w:color w:val="000000" w:themeColor="text1"/>
          <w:sz w:val="16"/>
          <w:szCs w:val="16"/>
        </w:rPr>
      </w:pPr>
    </w:p>
    <w:p w14:paraId="1342D736"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«Красный путиловец» изготовил два экземпляра 76-мм универсальной пушки Л-2 с длиной ствола в 60 клб. Первый имел ствол со свободной трубой, а второй — скрепленный ствол.</w:t>
      </w:r>
    </w:p>
    <w:p w14:paraId="0646EFB0" w14:textId="77777777" w:rsidR="00742DA3" w:rsidRPr="00C33834" w:rsidRDefault="00742DA3"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Проекте Постановления ЦК ВКП(б) (январь 1934 г.) о работе КБ завода «Красный путиловец» сказано: «До сих пор универсальная пушка Л-2 не изготовлена, на которую уже потрачено до 1,5 млн. рублей, не может быть подана для отстрела, ввиду недоработанности уравновешивающего и подъемного механизмов» (15117).</w:t>
      </w:r>
    </w:p>
    <w:p w14:paraId="6A65E7D6" w14:textId="77777777" w:rsidR="00742DA3" w:rsidRPr="00C33834" w:rsidRDefault="00742DA3" w:rsidP="00C33834">
      <w:pPr>
        <w:spacing w:after="0" w:line="240" w:lineRule="auto"/>
        <w:jc w:val="both"/>
        <w:rPr>
          <w:rFonts w:ascii="Times New Roman" w:hAnsi="Times New Roman"/>
          <w:color w:val="000000" w:themeColor="text1"/>
          <w:sz w:val="16"/>
          <w:szCs w:val="16"/>
        </w:rPr>
      </w:pPr>
    </w:p>
    <w:p w14:paraId="627BDFB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бывший "Путиловский завод", основанный в 1801 г., как центр производства кораблей локомотивов и артиллерии и в 1922-1934 гг. носивший название завод "Красный Путиловец" (будущий "Кировский завод") в Ленинграде начал производство средних танков, но к 1941 году перешел на тяжёлые танки (4018).</w:t>
      </w:r>
    </w:p>
    <w:p w14:paraId="4542940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6357F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начался выпуск однобашенного варианта танка Т-26, оснащенного цилиндрической башней большого диаметра (аналогичной башне БТ-5), в которой разместилась 45-мм пушка 20K образца 1932/38 года со спаренным пулеметом ДТ. Это была самая массовая модификация танка, всего советская промышленность дала более 5000 таких машин. В ходе серийного выпуска конструкция танка подвергалась многочисленным изменениям и доработкам: была увеличена емкость топливных баков, танк оснастили зенитным пулеметом, начиная с 1937 года все танки были радиофицированы (радиостанция 71-ТК-З), вместо клепки широко использовали сварку, пушка получила литую маску, были усовершенствованы прицелы, для стрельбы в темноте пушку оснастили мощным прожектором, разные модификации танка отличались друг от друга возимым боезапасом и постоянно возрастающей массой (3862).</w:t>
      </w:r>
    </w:p>
    <w:p w14:paraId="6D6A0D3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88B145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завод "Красный Пролетарий" разработал на базе танка Т-26 танк поддержки пехоты. Первый проект - П-Т-26 - так и остался на бумаге. Затем последовал проект "артиллерийского" танка - Т-26А или Т-26-4 с башней от танка БТ-7А, в которой располагалась 76.2-мм пушка КТ-26. Машины этого типа должны были следовать позади обычных танков и огнем своих мощных пушек подавлять цели, против которых оказались бессильны пушки калибра 45 мм. В 1934-1935 годах построили 65 таких машин, после чего от их выпуска, по-видимому, отказались (3862).</w:t>
      </w:r>
    </w:p>
    <w:p w14:paraId="2A98EB9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7937F8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первые 10 танков поступили во 2-й отдельный танковый полк Резерва Главного Командования (РГК) Ленинградского военного округа (3862).</w:t>
      </w:r>
    </w:p>
    <w:p w14:paraId="008F95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F5943A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на БТ-5 установили съемные нос и хвост для преодоления рвов шириной до 4 м. При преодолении эскарпов нос работал на удар и работы прекратили (3880,31).</w:t>
      </w:r>
    </w:p>
    <w:p w14:paraId="3E85DCC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074761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на смену БТ-2 пришла значительно улучшенная модель БТ-5. В нем, на основе результатов испытаний и эксплуатации в войсках, были устранены основные недостатки предшественника.</w:t>
      </w:r>
    </w:p>
    <w:p w14:paraId="7EE3D2D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Танки БТ-5 получили башню увеличенных размеров новой конструкции. В ней установлены спаренные 45-мм пушка образца 1932 года советской разработки и пулемет ДТ. Башня имела кормовую нишу, в которой (только на командирских танках) размещалась радиостанция. Вокруг башни крепилась поручневая антенна.</w:t>
      </w:r>
    </w:p>
    <w:p w14:paraId="051D0EB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линейных танках без радиостанций в кормовой нише башни размещалась часть боекомплекта. Танк имел два прицела: телескопический и перископический. Незначительные изменения были внесены в конструкцию корпуса и ходовой части. Двигатель остался тот же. В силовом отделении было установлено противопожарное оборудование (ППО).</w:t>
      </w:r>
    </w:p>
    <w:p w14:paraId="46CAB0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8D236D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1933 году новые танки БТ-5 вышли из заводских ворот. На них была установлена командирская радиостанция.</w:t>
      </w:r>
    </w:p>
    <w:p w14:paraId="6390050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Боевой вес танка достигал 11,5 т. По сравнению с танком БТ-2 его бронирование не претерпело изменений. Увеличение веса произошло в результате установки 45-мм пушки в башне больших размеров. Броне</w:t>
      </w:r>
      <w:r w:rsidRPr="00C33834">
        <w:rPr>
          <w:rFonts w:ascii="Times New Roman" w:hAnsi="Times New Roman"/>
          <w:color w:val="000000" w:themeColor="text1"/>
          <w:sz w:val="16"/>
          <w:szCs w:val="16"/>
        </w:rPr>
        <w:softHyphen/>
        <w:t>бойный снаряд пушки имел начальную скорость 760 м/сек, что сделало вооружение наших танков более мощным, чем на иностранных легких и некоторых средних танках. И это сохранялось не только в то время, но и в первые годы второй мировой войны. Боекомплект танка БТ-5 состоял из 72 артиллерийских выстрелов для танков с радиостанцией и 115 выстре</w:t>
      </w:r>
      <w:r w:rsidRPr="00C33834">
        <w:rPr>
          <w:rFonts w:ascii="Times New Roman" w:hAnsi="Times New Roman"/>
          <w:color w:val="000000" w:themeColor="text1"/>
          <w:sz w:val="16"/>
          <w:szCs w:val="16"/>
        </w:rPr>
        <w:softHyphen/>
        <w:t>лов для танков без радиостанции.</w:t>
      </w:r>
    </w:p>
    <w:p w14:paraId="271D5BE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небольшую часть танков БТ-5 была установлена 76,2-мм пушка. Имелся пулемет ДТ калибра 7,62 мм. Эти танки получили наименование «артиллерийских». Действуя во втором эшелоне, они должны были обес</w:t>
      </w:r>
      <w:r w:rsidRPr="00C33834">
        <w:rPr>
          <w:rFonts w:ascii="Times New Roman" w:hAnsi="Times New Roman"/>
          <w:color w:val="000000" w:themeColor="text1"/>
          <w:sz w:val="16"/>
          <w:szCs w:val="16"/>
        </w:rPr>
        <w:softHyphen/>
        <w:t>печивать огневую поддержку атакующих танков.</w:t>
      </w:r>
    </w:p>
    <w:p w14:paraId="2C5B3A2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КБ завода имени Коминтерна, возглавляемое А.О.Фирсовым, повез</w:t>
      </w:r>
      <w:r w:rsidRPr="00C33834">
        <w:rPr>
          <w:rFonts w:ascii="Times New Roman" w:hAnsi="Times New Roman"/>
          <w:color w:val="000000" w:themeColor="text1"/>
          <w:sz w:val="16"/>
          <w:szCs w:val="16"/>
        </w:rPr>
        <w:softHyphen/>
        <w:t>ло: в своей работе оно опиралось на взыскательную и заинтересованную помощь всех, от кого зависело превращение чертежей в боевую машину. Всем многотысячным коллективом отрабатывали каждый усиленный узел ходовой части, каждую ее детали, всем миром боролись за то, чтобы со</w:t>
      </w:r>
      <w:r w:rsidRPr="00C33834">
        <w:rPr>
          <w:rFonts w:ascii="Times New Roman" w:hAnsi="Times New Roman"/>
          <w:color w:val="000000" w:themeColor="text1"/>
          <w:sz w:val="16"/>
          <w:szCs w:val="16"/>
        </w:rPr>
        <w:softHyphen/>
        <w:t>зданный на заводе танк отвечал самым высоким взыскательным требова</w:t>
      </w:r>
      <w:r w:rsidRPr="00C33834">
        <w:rPr>
          <w:rFonts w:ascii="Times New Roman" w:hAnsi="Times New Roman"/>
          <w:color w:val="000000" w:themeColor="text1"/>
          <w:sz w:val="16"/>
          <w:szCs w:val="16"/>
        </w:rPr>
        <w:softHyphen/>
        <w:t>ниям современного боя (11504).</w:t>
      </w:r>
    </w:p>
    <w:p w14:paraId="42D3D6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3D1D8E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на базе Т-26 была изготовлена опытная партия бронетранспортеров - ТР-26 и ТР-4 для перевозки пехоты, ТР-4-1 для снабжения танковых частей в бою боеприпасами (3861).</w:t>
      </w:r>
    </w:p>
    <w:p w14:paraId="347C3E2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D6995F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на базе танка образца 1931 г. был создан огнеметный танк ОТ-26, у которого была снята левая башня, а в оставшейся установлен огнемет. Масса этого танка составляла 9 т, а экипаж состоял из двух человек. С огнеметом же спарен 7,62 мм пулемет. Дальность огнеметания - 35 метров (3861).</w:t>
      </w:r>
    </w:p>
    <w:p w14:paraId="76AB14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C33B35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на базе Т-26 был создан танк-мостоукладчик ("саперный танк") с надвижным мостом длиной 7 м и грузоподъемностью 14 т (3861).</w:t>
      </w:r>
    </w:p>
    <w:p w14:paraId="0673C1F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1E5AEE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неудачные испытания танка типа Д-38 и ос</w:t>
      </w:r>
      <w:r w:rsidRPr="00C33834">
        <w:rPr>
          <w:rFonts w:ascii="Times New Roman" w:hAnsi="Times New Roman"/>
          <w:color w:val="000000" w:themeColor="text1"/>
          <w:sz w:val="16"/>
          <w:szCs w:val="16"/>
        </w:rPr>
        <w:softHyphen/>
        <w:t>трое желание военных иметь танки «артиллерийского со</w:t>
      </w:r>
      <w:r w:rsidRPr="00C33834">
        <w:rPr>
          <w:rFonts w:ascii="Times New Roman" w:hAnsi="Times New Roman"/>
          <w:color w:val="000000" w:themeColor="text1"/>
          <w:sz w:val="16"/>
          <w:szCs w:val="16"/>
        </w:rPr>
        <w:softHyphen/>
        <w:t>провождения» в мехчастях привели к тому, что УММ РККА согласилось с доводами Т-2 О ХПЗ по изменению конструкции корпуса для возможности установки башни как с 45-мм, так и с 76-мм пушкой. 1 мая 1934 г. первый об</w:t>
      </w:r>
      <w:r w:rsidRPr="00C33834">
        <w:rPr>
          <w:rFonts w:ascii="Times New Roman" w:hAnsi="Times New Roman"/>
          <w:color w:val="000000" w:themeColor="text1"/>
          <w:sz w:val="16"/>
          <w:szCs w:val="16"/>
        </w:rPr>
        <w:softHyphen/>
        <w:t>разец танка БТ-7, вооруженного 76-мм пушкой в эллипти</w:t>
      </w:r>
      <w:r w:rsidRPr="00C33834">
        <w:rPr>
          <w:rFonts w:ascii="Times New Roman" w:hAnsi="Times New Roman"/>
          <w:color w:val="000000" w:themeColor="text1"/>
          <w:sz w:val="16"/>
          <w:szCs w:val="16"/>
        </w:rPr>
        <w:softHyphen/>
        <w:t>ческой башне, поступил на испытания. Однако в серии он не изготавливался по целому ряду причин, среди которых не последнее место занимала теснота в башне. В апреле 1934 г. одна кондиционная башня от Т-26-4 прибыла на ХПЗ, кото</w:t>
      </w:r>
      <w:r w:rsidRPr="00C33834">
        <w:rPr>
          <w:rFonts w:ascii="Times New Roman" w:hAnsi="Times New Roman"/>
          <w:color w:val="000000" w:themeColor="text1"/>
          <w:sz w:val="16"/>
          <w:szCs w:val="16"/>
        </w:rPr>
        <w:softHyphen/>
        <w:t>рый уже в течение полугода изучал ее документацию с целью возможности установки на БТ. Такое решение могло устро</w:t>
      </w:r>
      <w:r w:rsidRPr="00C33834">
        <w:rPr>
          <w:rFonts w:ascii="Times New Roman" w:hAnsi="Times New Roman"/>
          <w:color w:val="000000" w:themeColor="text1"/>
          <w:sz w:val="16"/>
          <w:szCs w:val="16"/>
        </w:rPr>
        <w:softHyphen/>
        <w:t>ить всех, ведь унификация была одним из столпов советской военной экономики. Были внесены небольшие изменения в конструкцию башенного погона, чтобы упростить его, уси</w:t>
      </w:r>
      <w:r w:rsidRPr="00C33834">
        <w:rPr>
          <w:rFonts w:ascii="Times New Roman" w:hAnsi="Times New Roman"/>
          <w:color w:val="000000" w:themeColor="text1"/>
          <w:sz w:val="16"/>
          <w:szCs w:val="16"/>
        </w:rPr>
        <w:softHyphen/>
        <w:t>лена крыша, предусмотрена установка кормового пулемета (11417).</w:t>
      </w:r>
    </w:p>
    <w:p w14:paraId="03746D6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96B25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телеуправляемый танк под индексом ТТ-18 (Т-18 — другое обозначение танка МС-1) испытывался с аппаратурой управления, размещенной на месте водителя. Теперь танк мог выполнять до 16 команд: поворачиваться, менять скорость, останавливаться, снова двигаться, подрывать заряд ВВ, а также в случае установки специальной аппаратуры ставить дымовую завесу или выпускать отравляющие вещества. Дальность действия ТТ-18 была не более нескольких сотен метров. Двигался он очень неровно, как говорят моряки: «рыскал на курсе», и, по-видимому, не мог действовать в условиях пониженной видимости. Это и решило его судьбу. На вооружение он принят не был, хотя известно, что было изготовлено не менее семи экземпляров этого танка (11916).</w:t>
      </w:r>
    </w:p>
    <w:p w14:paraId="4444488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A9E971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на Опытном заводе Спецмаштреста по иници</w:t>
      </w:r>
      <w:r w:rsidRPr="00C33834">
        <w:rPr>
          <w:rFonts w:ascii="Times New Roman" w:hAnsi="Times New Roman"/>
          <w:color w:val="000000" w:themeColor="text1"/>
          <w:sz w:val="16"/>
          <w:szCs w:val="16"/>
        </w:rPr>
        <w:softHyphen/>
        <w:t>ативе П.Н. Сячинтова началось проектирование опытной самоходной установки для «триплекса ТАОН» по схеме, предложенной академией ВАММ. Но изготовление первого шасси затянулось и было завершено лишь в мае 1934 г., ког</w:t>
      </w:r>
      <w:r w:rsidRPr="00C33834">
        <w:rPr>
          <w:rFonts w:ascii="Times New Roman" w:hAnsi="Times New Roman"/>
          <w:color w:val="000000" w:themeColor="text1"/>
          <w:sz w:val="16"/>
          <w:szCs w:val="16"/>
        </w:rPr>
        <w:softHyphen/>
        <w:t>да сама САУ уже не рассматривалась как перспективная и не имела места в системе артиллерийского вооружения РККА на вторую пятилетку. Из-за поломок трансмиссии, которую заимствовали от среднего танка Т-28, доводка машины ве</w:t>
      </w:r>
      <w:r w:rsidRPr="00C33834">
        <w:rPr>
          <w:rFonts w:ascii="Times New Roman" w:hAnsi="Times New Roman"/>
          <w:color w:val="000000" w:themeColor="text1"/>
          <w:sz w:val="16"/>
          <w:szCs w:val="16"/>
        </w:rPr>
        <w:softHyphen/>
        <w:t>лась до конца июля 1934 г., но так и не была успешно завершена. Для проведения обкатки на шасси установили ствол орудия Б-4 «малой мощности», с которым оно и отправи</w:t>
      </w:r>
      <w:r w:rsidRPr="00C33834">
        <w:rPr>
          <w:rFonts w:ascii="Times New Roman" w:hAnsi="Times New Roman"/>
          <w:color w:val="000000" w:themeColor="text1"/>
          <w:sz w:val="16"/>
          <w:szCs w:val="16"/>
        </w:rPr>
        <w:softHyphen/>
        <w:t>лось на Научно-испытательный артиллерийский полигон (НИАП) для проведения стрельб (11417).</w:t>
      </w:r>
    </w:p>
    <w:p w14:paraId="011639F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BAD44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1933 г. в статье П.Д. Важигина говорилось: «... </w:t>
      </w:r>
      <w:r w:rsidRPr="00C33834">
        <w:rPr>
          <w:rFonts w:ascii="Times New Roman" w:hAnsi="Times New Roman"/>
          <w:iCs/>
          <w:color w:val="000000" w:themeColor="text1"/>
          <w:sz w:val="16"/>
          <w:szCs w:val="16"/>
        </w:rPr>
        <w:t>это забронированные полно</w:t>
      </w:r>
      <w:r w:rsidRPr="00C33834">
        <w:rPr>
          <w:rFonts w:ascii="Times New Roman" w:hAnsi="Times New Roman"/>
          <w:iCs/>
          <w:color w:val="000000" w:themeColor="text1"/>
          <w:sz w:val="16"/>
          <w:szCs w:val="16"/>
        </w:rPr>
        <w:softHyphen/>
        <w:t>стью или частично танки, главным оружием которого являет</w:t>
      </w:r>
      <w:r w:rsidRPr="00C33834">
        <w:rPr>
          <w:rFonts w:ascii="Times New Roman" w:hAnsi="Times New Roman"/>
          <w:iCs/>
          <w:color w:val="000000" w:themeColor="text1"/>
          <w:sz w:val="16"/>
          <w:szCs w:val="16"/>
        </w:rPr>
        <w:softHyphen/>
        <w:t xml:space="preserve">ся пушка, как правило, увеличенного калибра, установленная во вращающейся башне, или без таковой... А.Т. предназначаются для артиллерийского сопровождения танков и ведут огонь по обнаруженным целям, главным образом, с места, с закрытых или открытых позиций из линии аттаки». </w:t>
      </w:r>
      <w:r w:rsidRPr="00C33834">
        <w:rPr>
          <w:rFonts w:ascii="Times New Roman" w:hAnsi="Times New Roman"/>
          <w:color w:val="000000" w:themeColor="text1"/>
          <w:sz w:val="16"/>
          <w:szCs w:val="16"/>
        </w:rPr>
        <w:t>Собственно это оп</w:t>
      </w:r>
      <w:r w:rsidRPr="00C33834">
        <w:rPr>
          <w:rFonts w:ascii="Times New Roman" w:hAnsi="Times New Roman"/>
          <w:color w:val="000000" w:themeColor="text1"/>
          <w:sz w:val="16"/>
          <w:szCs w:val="16"/>
        </w:rPr>
        <w:softHyphen/>
        <w:t xml:space="preserve">ределение во многом совпадало с определением самих САУ, и в то время САУ и арттанк различали чаще всего по наличию у танка </w:t>
      </w:r>
      <w:r w:rsidRPr="00C33834">
        <w:rPr>
          <w:rFonts w:ascii="Times New Roman" w:hAnsi="Times New Roman"/>
          <w:iCs/>
          <w:color w:val="000000" w:themeColor="text1"/>
          <w:sz w:val="16"/>
          <w:szCs w:val="16"/>
        </w:rPr>
        <w:t>«вращающейся башни, позволявшей осуществлять ма</w:t>
      </w:r>
      <w:r w:rsidRPr="00C33834">
        <w:rPr>
          <w:rFonts w:ascii="Times New Roman" w:hAnsi="Times New Roman"/>
          <w:iCs/>
          <w:color w:val="000000" w:themeColor="text1"/>
          <w:sz w:val="16"/>
          <w:szCs w:val="16"/>
        </w:rPr>
        <w:softHyphen/>
        <w:t xml:space="preserve">невр огнем в ходе скоротечного боя...». </w:t>
      </w:r>
      <w:r w:rsidRPr="00C33834">
        <w:rPr>
          <w:rFonts w:ascii="Times New Roman" w:hAnsi="Times New Roman"/>
          <w:color w:val="000000" w:themeColor="text1"/>
          <w:sz w:val="16"/>
          <w:szCs w:val="16"/>
        </w:rPr>
        <w:t>Но история знает при</w:t>
      </w:r>
      <w:r w:rsidRPr="00C33834">
        <w:rPr>
          <w:rFonts w:ascii="Times New Roman" w:hAnsi="Times New Roman"/>
          <w:color w:val="000000" w:themeColor="text1"/>
          <w:sz w:val="16"/>
          <w:szCs w:val="16"/>
        </w:rPr>
        <w:softHyphen/>
        <w:t>меры безбашенных танков, в том числе и артиллерийских (11417).</w:t>
      </w:r>
    </w:p>
    <w:p w14:paraId="366EAB4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AE3915"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в мастерских части 1515 изготовили опытный обра</w:t>
      </w:r>
      <w:r w:rsidRPr="00C33834">
        <w:rPr>
          <w:rFonts w:ascii="Times New Roman" w:hAnsi="Times New Roman"/>
          <w:color w:val="000000" w:themeColor="text1"/>
          <w:sz w:val="16"/>
          <w:szCs w:val="16"/>
        </w:rPr>
        <w:softHyphen/>
        <w:t>зец автосцепки Цыганова», и в том же году он прошел испытания.</w:t>
      </w:r>
    </w:p>
    <w:p w14:paraId="0CD0B67F"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Сцепка танка производилась автомати</w:t>
      </w:r>
      <w:r w:rsidRPr="00C33834">
        <w:rPr>
          <w:rFonts w:ascii="Times New Roman" w:hAnsi="Times New Roman"/>
          <w:color w:val="000000" w:themeColor="text1"/>
          <w:sz w:val="16"/>
          <w:szCs w:val="16"/>
        </w:rPr>
        <w:softHyphen/>
        <w:t>чески в течение 5-8 с, без выхода экипажа, на различных скоростях движения. Расцепка осуществлялась из любой машины за 5-10 с. Перед преодолением препятствия дополни</w:t>
      </w:r>
      <w:r w:rsidRPr="00C33834">
        <w:rPr>
          <w:rFonts w:ascii="Times New Roman" w:hAnsi="Times New Roman"/>
          <w:color w:val="000000" w:themeColor="text1"/>
          <w:sz w:val="16"/>
          <w:szCs w:val="16"/>
        </w:rPr>
        <w:softHyphen/>
        <w:t>тельная подготовка подходов к нему не тре</w:t>
      </w:r>
      <w:r w:rsidRPr="00C33834">
        <w:rPr>
          <w:rFonts w:ascii="Times New Roman" w:hAnsi="Times New Roman"/>
          <w:color w:val="000000" w:themeColor="text1"/>
          <w:sz w:val="16"/>
          <w:szCs w:val="16"/>
        </w:rPr>
        <w:softHyphen/>
        <w:t>бовалась. С помощью такого приспособления предполагалось, сцепляя три танка Т-26, прео</w:t>
      </w:r>
      <w:r w:rsidRPr="00C33834">
        <w:rPr>
          <w:rFonts w:ascii="Times New Roman" w:hAnsi="Times New Roman"/>
          <w:color w:val="000000" w:themeColor="text1"/>
          <w:sz w:val="16"/>
          <w:szCs w:val="16"/>
        </w:rPr>
        <w:softHyphen/>
        <w:t>долевать рвы шириной до 6 м, однако практи</w:t>
      </w:r>
      <w:r w:rsidRPr="00C33834">
        <w:rPr>
          <w:rFonts w:ascii="Times New Roman" w:hAnsi="Times New Roman"/>
          <w:color w:val="000000" w:themeColor="text1"/>
          <w:sz w:val="16"/>
          <w:szCs w:val="16"/>
        </w:rPr>
        <w:softHyphen/>
        <w:t>ческих опытов не проводили.</w:t>
      </w:r>
    </w:p>
    <w:p w14:paraId="3DF5CDC6"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положительным качествам предложен</w:t>
      </w:r>
      <w:r w:rsidRPr="00C33834">
        <w:rPr>
          <w:rFonts w:ascii="Times New Roman" w:hAnsi="Times New Roman"/>
          <w:color w:val="000000" w:themeColor="text1"/>
          <w:sz w:val="16"/>
          <w:szCs w:val="16"/>
        </w:rPr>
        <w:softHyphen/>
        <w:t>ной конструкции отнесли и то, что после мон</w:t>
      </w:r>
      <w:r w:rsidRPr="00C33834">
        <w:rPr>
          <w:rFonts w:ascii="Times New Roman" w:hAnsi="Times New Roman"/>
          <w:color w:val="000000" w:themeColor="text1"/>
          <w:sz w:val="16"/>
          <w:szCs w:val="16"/>
        </w:rPr>
        <w:softHyphen/>
        <w:t>тажа она совершенно не мешала Т-26 выпол</w:t>
      </w:r>
      <w:r w:rsidRPr="00C33834">
        <w:rPr>
          <w:rFonts w:ascii="Times New Roman" w:hAnsi="Times New Roman"/>
          <w:color w:val="000000" w:themeColor="text1"/>
          <w:sz w:val="16"/>
          <w:szCs w:val="16"/>
        </w:rPr>
        <w:softHyphen/>
        <w:t>нять различные штатные боевые задачи. Обо</w:t>
      </w:r>
      <w:r w:rsidRPr="00C33834">
        <w:rPr>
          <w:rFonts w:ascii="Times New Roman" w:hAnsi="Times New Roman"/>
          <w:color w:val="000000" w:themeColor="text1"/>
          <w:sz w:val="16"/>
          <w:szCs w:val="16"/>
        </w:rPr>
        <w:softHyphen/>
        <w:t>рудование автосцепкой не представляло слож</w:t>
      </w:r>
      <w:r w:rsidRPr="00C33834">
        <w:rPr>
          <w:rFonts w:ascii="Times New Roman" w:hAnsi="Times New Roman"/>
          <w:color w:val="000000" w:themeColor="text1"/>
          <w:sz w:val="16"/>
          <w:szCs w:val="16"/>
        </w:rPr>
        <w:softHyphen/>
        <w:t>ности и могло быть осуществлено достаточно быстро в строевых частях, а ее стоимость была невысока. Допускалось использовать данное приспособление не только на новых танках, но и на машинах, выпущенных ранее и уже нахо</w:t>
      </w:r>
      <w:r w:rsidRPr="00C33834">
        <w:rPr>
          <w:rFonts w:ascii="Times New Roman" w:hAnsi="Times New Roman"/>
          <w:color w:val="000000" w:themeColor="text1"/>
          <w:sz w:val="16"/>
          <w:szCs w:val="16"/>
        </w:rPr>
        <w:softHyphen/>
        <w:t>дящихся в строевых частях.</w:t>
      </w:r>
    </w:p>
    <w:p w14:paraId="19E40225"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Автосцепка конструкции Цыганова состо</w:t>
      </w:r>
      <w:r w:rsidRPr="00C33834">
        <w:rPr>
          <w:rFonts w:ascii="Times New Roman" w:hAnsi="Times New Roman"/>
          <w:color w:val="000000" w:themeColor="text1"/>
          <w:sz w:val="16"/>
          <w:szCs w:val="16"/>
        </w:rPr>
        <w:softHyphen/>
        <w:t>яла из двух полукомплектов, один из которых (два улавливателя и два опорных хвоста) уста</w:t>
      </w:r>
      <w:r w:rsidRPr="00C33834">
        <w:rPr>
          <w:rFonts w:ascii="Times New Roman" w:hAnsi="Times New Roman"/>
          <w:color w:val="000000" w:themeColor="text1"/>
          <w:sz w:val="16"/>
          <w:szCs w:val="16"/>
        </w:rPr>
        <w:softHyphen/>
        <w:t>навливался в кормовой части переднего танка, другой (два носовых листа и два упорных ва</w:t>
      </w:r>
      <w:r w:rsidRPr="00C33834">
        <w:rPr>
          <w:rFonts w:ascii="Times New Roman" w:hAnsi="Times New Roman"/>
          <w:color w:val="000000" w:themeColor="text1"/>
          <w:sz w:val="16"/>
          <w:szCs w:val="16"/>
        </w:rPr>
        <w:softHyphen/>
        <w:t>лика с кронштейнами) - в носовой части зад</w:t>
      </w:r>
      <w:r w:rsidRPr="00C33834">
        <w:rPr>
          <w:rFonts w:ascii="Times New Roman" w:hAnsi="Times New Roman"/>
          <w:color w:val="000000" w:themeColor="text1"/>
          <w:sz w:val="16"/>
          <w:szCs w:val="16"/>
        </w:rPr>
        <w:softHyphen/>
        <w:t>него танка. Кроме того, имелись замыкающий и размыкающий механизмы, расположенные внутри машины.</w:t>
      </w:r>
    </w:p>
    <w:p w14:paraId="5B32F76B"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итогам проведенных испытаний отме</w:t>
      </w:r>
      <w:r w:rsidRPr="00C33834">
        <w:rPr>
          <w:rFonts w:ascii="Times New Roman" w:hAnsi="Times New Roman"/>
          <w:color w:val="000000" w:themeColor="text1"/>
          <w:sz w:val="16"/>
          <w:szCs w:val="16"/>
        </w:rPr>
        <w:softHyphen/>
        <w:t>чалось, что приспособление для сцепки двух Т-26 полностью удовлетворяет требованиям к прохождению рвов и окопов, которые оди</w:t>
      </w:r>
      <w:r w:rsidRPr="00C33834">
        <w:rPr>
          <w:rFonts w:ascii="Times New Roman" w:hAnsi="Times New Roman"/>
          <w:color w:val="000000" w:themeColor="text1"/>
          <w:sz w:val="16"/>
          <w:szCs w:val="16"/>
        </w:rPr>
        <w:softHyphen/>
        <w:t>ночный танк преодолеть не мог. Так, старший инженер 3-го Управления УММ РККА Зубенко в пояснительной записке</w:t>
      </w:r>
      <w:r w:rsidRPr="00C33834">
        <w:rPr>
          <w:rStyle w:val="aff5"/>
          <w:rFonts w:ascii="Times New Roman" w:eastAsia="Arial Narrow" w:hAnsi="Times New Roman" w:cs="Times New Roman"/>
          <w:i w:val="0"/>
          <w:color w:val="000000" w:themeColor="text1"/>
        </w:rPr>
        <w:t xml:space="preserve"> «к приспособлению для спаривания танков Т-26»</w:t>
      </w:r>
      <w:r w:rsidRPr="00C33834">
        <w:rPr>
          <w:rFonts w:ascii="Times New Roman" w:hAnsi="Times New Roman"/>
          <w:color w:val="000000" w:themeColor="text1"/>
          <w:sz w:val="16"/>
          <w:szCs w:val="16"/>
        </w:rPr>
        <w:t xml:space="preserve"> констатировал, что необходимо:</w:t>
      </w:r>
    </w:p>
    <w:p w14:paraId="4D4AA3A1" w14:textId="77777777" w:rsidR="00F5172A" w:rsidRPr="00C33834" w:rsidRDefault="00F5172A" w:rsidP="00C33834">
      <w:pPr>
        <w:pStyle w:val="45"/>
        <w:shd w:val="clear" w:color="auto" w:fill="auto"/>
        <w:spacing w:before="0" w:line="240" w:lineRule="auto"/>
        <w:jc w:val="both"/>
        <w:rPr>
          <w:rFonts w:ascii="Times New Roman" w:cs="Times New Roman"/>
          <w:color w:val="000000" w:themeColor="text1"/>
          <w:sz w:val="16"/>
          <w:szCs w:val="16"/>
        </w:rPr>
      </w:pPr>
      <w:r w:rsidRPr="00C33834">
        <w:rPr>
          <w:rFonts w:ascii="Times New Roman" w:cs="Times New Roman"/>
          <w:color w:val="000000" w:themeColor="text1"/>
          <w:sz w:val="16"/>
          <w:szCs w:val="16"/>
        </w:rPr>
        <w:t>«1. Срочное изготовление трех комплек</w:t>
      </w:r>
      <w:r w:rsidRPr="00C33834">
        <w:rPr>
          <w:rFonts w:ascii="Times New Roman" w:cs="Times New Roman"/>
          <w:color w:val="000000" w:themeColor="text1"/>
          <w:sz w:val="16"/>
          <w:szCs w:val="16"/>
        </w:rPr>
        <w:softHyphen/>
        <w:t xml:space="preserve">тов приспособления с устранением мелких недостатков (общая педаль выключения и </w:t>
      </w:r>
      <w:r w:rsidRPr="00C33834">
        <w:rPr>
          <w:rStyle w:val="4b"/>
          <w:rFonts w:ascii="Times New Roman" w:hAnsi="Times New Roman" w:cs="Times New Roman"/>
          <w:i w:val="0"/>
          <w:color w:val="000000" w:themeColor="text1"/>
          <w:sz w:val="16"/>
          <w:szCs w:val="16"/>
        </w:rPr>
        <w:t>расположение ее, смещение глушителя и</w:t>
      </w:r>
      <w:r w:rsidRPr="00C33834">
        <w:rPr>
          <w:rFonts w:ascii="Times New Roman" w:cs="Times New Roman"/>
          <w:color w:val="000000" w:themeColor="text1"/>
          <w:sz w:val="16"/>
          <w:szCs w:val="16"/>
        </w:rPr>
        <w:t xml:space="preserve"> др.) выявленных при испытании, и введение в про</w:t>
      </w:r>
      <w:r w:rsidRPr="00C33834">
        <w:rPr>
          <w:rFonts w:ascii="Times New Roman" w:cs="Times New Roman"/>
          <w:color w:val="000000" w:themeColor="text1"/>
          <w:sz w:val="16"/>
          <w:szCs w:val="16"/>
        </w:rPr>
        <w:softHyphen/>
        <w:t>изводство после окончательной проверки на трех машинах.</w:t>
      </w:r>
    </w:p>
    <w:p w14:paraId="43743693" w14:textId="77777777" w:rsidR="00F5172A" w:rsidRPr="00C33834" w:rsidRDefault="00F5172A" w:rsidP="00C33834">
      <w:pPr>
        <w:pStyle w:val="45"/>
        <w:shd w:val="clear" w:color="auto" w:fill="auto"/>
        <w:spacing w:before="0" w:line="240" w:lineRule="auto"/>
        <w:jc w:val="both"/>
        <w:rPr>
          <w:rFonts w:ascii="Times New Roman" w:cs="Times New Roman"/>
          <w:color w:val="000000" w:themeColor="text1"/>
          <w:sz w:val="16"/>
          <w:szCs w:val="16"/>
        </w:rPr>
      </w:pPr>
      <w:r w:rsidRPr="00C33834">
        <w:rPr>
          <w:rFonts w:ascii="Times New Roman" w:cs="Times New Roman"/>
          <w:color w:val="000000" w:themeColor="text1"/>
          <w:sz w:val="16"/>
          <w:szCs w:val="16"/>
        </w:rPr>
        <w:t>Приспособление должно быть дослано на все выпущенные ранее машины.</w:t>
      </w:r>
    </w:p>
    <w:p w14:paraId="5C5E6C22" w14:textId="77777777" w:rsidR="00F5172A" w:rsidRPr="00C33834" w:rsidRDefault="00F5172A" w:rsidP="00C33834">
      <w:pPr>
        <w:pStyle w:val="45"/>
        <w:shd w:val="clear" w:color="auto" w:fill="auto"/>
        <w:spacing w:before="0" w:line="240" w:lineRule="auto"/>
        <w:jc w:val="both"/>
        <w:rPr>
          <w:rFonts w:ascii="Times New Roman" w:cs="Times New Roman"/>
          <w:color w:val="000000" w:themeColor="text1"/>
          <w:sz w:val="16"/>
          <w:szCs w:val="16"/>
        </w:rPr>
      </w:pPr>
      <w:r w:rsidRPr="00C33834">
        <w:rPr>
          <w:rFonts w:ascii="Times New Roman" w:cs="Times New Roman"/>
          <w:color w:val="000000" w:themeColor="text1"/>
          <w:sz w:val="16"/>
          <w:szCs w:val="16"/>
        </w:rPr>
        <w:t>2. Установить такое же приспособление на машинах других типов, по возможности унифицировав его (в части разрабат. для БТ и Т-27).3. Продумать возможность сцепки при равных положениях сцепляющихся машин».</w:t>
      </w:r>
    </w:p>
    <w:p w14:paraId="2D67402D"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Однако по ряду причин данная автосцепка не была поставлена на серийное производст</w:t>
      </w:r>
      <w:r w:rsidRPr="00C33834">
        <w:rPr>
          <w:rFonts w:ascii="Times New Roman" w:hAnsi="Times New Roman"/>
          <w:color w:val="000000" w:themeColor="text1"/>
          <w:sz w:val="16"/>
          <w:szCs w:val="16"/>
        </w:rPr>
        <w:softHyphen/>
        <w:t>во. По данным М.Н. Свирина, «за</w:t>
      </w:r>
      <w:r w:rsidRPr="00C33834">
        <w:rPr>
          <w:rStyle w:val="aff5"/>
          <w:rFonts w:ascii="Times New Roman" w:eastAsia="Arial Narrow" w:hAnsi="Times New Roman" w:cs="Times New Roman"/>
          <w:i w:val="0"/>
          <w:color w:val="000000" w:themeColor="text1"/>
        </w:rPr>
        <w:t xml:space="preserve"> разработку устройства сцепки танков Н.Ф. Цыганов был награжден К. Ворошиловым золотыми часами и повышен в звании из младших командиров до командира взвода».</w:t>
      </w:r>
      <w:r w:rsidRPr="00C33834">
        <w:rPr>
          <w:rFonts w:ascii="Times New Roman" w:hAnsi="Times New Roman"/>
          <w:color w:val="000000" w:themeColor="text1"/>
          <w:sz w:val="16"/>
          <w:szCs w:val="16"/>
        </w:rPr>
        <w:t xml:space="preserve"> Тем не менее, сама идея получила дальнейшее развитие (15780).</w:t>
      </w:r>
    </w:p>
    <w:p w14:paraId="6D15C06F" w14:textId="77777777" w:rsidR="00F5172A" w:rsidRPr="00C33834" w:rsidRDefault="00F5172A" w:rsidP="00C33834">
      <w:pPr>
        <w:spacing w:after="0" w:line="240" w:lineRule="auto"/>
        <w:jc w:val="both"/>
        <w:rPr>
          <w:rFonts w:ascii="Times New Roman" w:hAnsi="Times New Roman"/>
          <w:color w:val="000000" w:themeColor="text1"/>
          <w:sz w:val="16"/>
          <w:szCs w:val="16"/>
        </w:rPr>
      </w:pPr>
    </w:p>
    <w:p w14:paraId="7684441A" w14:textId="77777777" w:rsidR="00F5172A" w:rsidRPr="00C33834" w:rsidRDefault="00F517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на базе танков Т-28 и Т-35 был разработан проект самоходной береговой пушки СУ-БУ-10. В качестве артсистемы на этой установке прорабатывались пушка Б-10. Эта 152-мм дальнобойная пушка была создана «Большевиком» по ТТТ ГАУ, выданном в сентябре 1929 г. Орудие предназначалось для поражения на большой дальности резервов, передовых аэродромов, железнодорожных станций и других объектов в ближнем тылу противника, а также для разрушения бетонных сооружений. Испытания пушки Б-10 с наземного станка на НИАПе проводились с мая 1932 г. по 1936 г. Пушка на вооружение не принималась, но наработки по ней в дальнейшем были использованы в конструкции 152-мм пушек Б-30 и Бр-2. Работы по самоходной пушке СУ-БУ-10 были прекращены на ранней стадии. До изготовления серийных образцов и принятия на вооружения дело не дошло (15132).</w:t>
      </w:r>
    </w:p>
    <w:p w14:paraId="4B359B4C" w14:textId="77777777" w:rsidR="00F5172A" w:rsidRPr="00C33834" w:rsidRDefault="00F5172A" w:rsidP="00C33834">
      <w:pPr>
        <w:spacing w:after="0" w:line="240" w:lineRule="auto"/>
        <w:jc w:val="both"/>
        <w:rPr>
          <w:rFonts w:ascii="Times New Roman" w:hAnsi="Times New Roman"/>
          <w:color w:val="000000" w:themeColor="text1"/>
          <w:sz w:val="16"/>
          <w:szCs w:val="16"/>
        </w:rPr>
      </w:pPr>
    </w:p>
    <w:p w14:paraId="62938434" w14:textId="77777777" w:rsidR="00F5172A" w:rsidRPr="00C33834" w:rsidRDefault="00F5172A"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1933 год по плану импорт предполагался в размере 204, 9 млн. руб., экспорт 519,7 млн</w:t>
      </w:r>
      <w:r w:rsidRPr="00C33834">
        <w:rPr>
          <w:rFonts w:ascii="Times New Roman" w:hAnsi="Times New Roman"/>
          <w:color w:val="000000" w:themeColor="text1"/>
          <w:sz w:val="16"/>
          <w:szCs w:val="16"/>
          <w:vertAlign w:val="superscript"/>
        </w:rPr>
        <w:t>27</w:t>
      </w:r>
      <w:r w:rsidRPr="00C33834">
        <w:rPr>
          <w:rFonts w:ascii="Times New Roman" w:hAnsi="Times New Roman"/>
          <w:color w:val="000000" w:themeColor="text1"/>
          <w:sz w:val="16"/>
          <w:szCs w:val="16"/>
        </w:rPr>
        <w:t>. Положительное торговое сальдо должно было составить 314,8 млн. руб. По факту, импорт за 1933 год составил 348,2 млн. руб. Экспорт 495,7 млн. руб. Положительное сальдо 147 млн. руб. За вычетом оборудования, полученного по заказам прошлых лет, импорт получится 217,7 млн. руб. и положительное сальдо 278,2 млн. И как уже отмечалось,  план экспорта на запад был 508 млн. руб., а фактический вывоз на запад составил 394 млн. руб., т.е. снижение составило 114 млн. руб.</w:t>
      </w:r>
    </w:p>
    <w:p w14:paraId="5043B7AD" w14:textId="77777777" w:rsidR="00F5172A" w:rsidRPr="00C33834" w:rsidRDefault="00F5172A" w:rsidP="00C33834">
      <w:pPr>
        <w:shd w:val="clear" w:color="auto" w:fill="FFFFFF"/>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Планируемый приход валютных поступлений 622, 6 млн. руб. Включал в себя предполагаемую выручку от экспорта в размере 440,4 млн. руб., поступления от Торгсина в размере 94,0 млн. руб,  Интуриста 4 млн. руб., и 80,3 млн. руб продажа золота. Расход 616 млн. руб., состоял в том числе из платежей по импортному плану  1932  года и прошлых лет в размере 570 млн. руб., и платежей по импортному плану на 193 г. - 34,5 млн. руб. По факту, приблизительный  приход составил приблизительно 615 млн. руб, расход порядка 588 млн. (17266).</w:t>
      </w:r>
    </w:p>
    <w:p w14:paraId="50EA3A31" w14:textId="77777777" w:rsidR="00F5172A" w:rsidRPr="00C33834" w:rsidRDefault="00F5172A" w:rsidP="00C33834">
      <w:pPr>
        <w:spacing w:after="0" w:line="240" w:lineRule="auto"/>
        <w:jc w:val="both"/>
        <w:rPr>
          <w:rFonts w:ascii="Times New Roman" w:hAnsi="Times New Roman"/>
          <w:color w:val="000000" w:themeColor="text1"/>
          <w:sz w:val="16"/>
          <w:szCs w:val="16"/>
        </w:rPr>
      </w:pPr>
    </w:p>
    <w:p w14:paraId="44C75B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1933 году на Опытном заводе Спецмашстроя под руководством П. И. Сячентова была спроектирована самоходная установка СУ-14. Ходовая часть СУ-14 в основном была комбинацией из агрегатов танков Т-26 и Т-35. Подобно танку Т-35 на СУ-14 был установлен авиационный карбюраторный двигатель М-17, развивавший </w:t>
      </w:r>
      <w:r w:rsidRPr="00C33834">
        <w:rPr>
          <w:rFonts w:ascii="Times New Roman" w:hAnsi="Times New Roman"/>
          <w:color w:val="000000" w:themeColor="text1"/>
          <w:sz w:val="16"/>
          <w:szCs w:val="16"/>
        </w:rPr>
        <w:lastRenderedPageBreak/>
        <w:t>мощность 500 л. с. при 1450 об/мин. Двигатель располагался в передней части установки. Впереди слева по ходу шасси находилось место механика-водителя, остальные номера расчета помещались на трех съемных скамьях в кормовой части установки. Возимый боекомплект установки 8 выстрелов. При стрельбе СУ-14 опиралась на два задних сошника, имевших ручной и гидравлический приводы (3861).</w:t>
      </w:r>
    </w:p>
    <w:p w14:paraId="2F0FB2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852AF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было решено разрабатывать тяжелый самоходный триплекс 254/305/400-мм. Разработку качающейся части поручили заводу "Большевик", а шасси опытному заводу Спецмашстроя. АУ в целях уменьшения веса и увеличения живучести стволов предложило заменить самоходный триплекс 254/305/400-мм дуплексом 203/305-мм, рассчитанным на применение беспоясковых снарядов (3861).</w:t>
      </w:r>
    </w:p>
    <w:p w14:paraId="672D9E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C25E24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была продолжена разработка проекта «пол</w:t>
      </w:r>
      <w:r w:rsidRPr="00C33834">
        <w:rPr>
          <w:rFonts w:ascii="Times New Roman" w:hAnsi="Times New Roman"/>
          <w:color w:val="000000" w:themeColor="text1"/>
          <w:sz w:val="16"/>
          <w:szCs w:val="16"/>
        </w:rPr>
        <w:softHyphen/>
        <w:t>ковой» САУ, начатая еще в 1931 г. Проект выполнялся под руководством профессора В.И, Заславского. От эскизного проекта 1931 г. указанный вариант отли</w:t>
      </w:r>
      <w:r w:rsidRPr="00C33834">
        <w:rPr>
          <w:rFonts w:ascii="Times New Roman" w:hAnsi="Times New Roman"/>
          <w:color w:val="000000" w:themeColor="text1"/>
          <w:sz w:val="16"/>
          <w:szCs w:val="16"/>
        </w:rPr>
        <w:softHyphen/>
        <w:t>чался тем, что в качестве базы теперь использовалась танкет</w:t>
      </w:r>
      <w:r w:rsidRPr="00C33834">
        <w:rPr>
          <w:rFonts w:ascii="Times New Roman" w:hAnsi="Times New Roman"/>
          <w:color w:val="000000" w:themeColor="text1"/>
          <w:sz w:val="16"/>
          <w:szCs w:val="16"/>
        </w:rPr>
        <w:softHyphen/>
        <w:t>ка Т-27 вместо Т-23. В ходе перепроектирования все работы по установке 76,2-мм полковой пушки на Т-27 были переда</w:t>
      </w:r>
      <w:r w:rsidRPr="00C33834">
        <w:rPr>
          <w:rFonts w:ascii="Times New Roman" w:hAnsi="Times New Roman"/>
          <w:color w:val="000000" w:themeColor="text1"/>
          <w:sz w:val="16"/>
          <w:szCs w:val="16"/>
        </w:rPr>
        <w:softHyphen/>
        <w:t>ны из КБ Оружобъединения (КБ ОАТ) в КБ завода «Крас</w:t>
      </w:r>
      <w:r w:rsidRPr="00C33834">
        <w:rPr>
          <w:rFonts w:ascii="Times New Roman" w:hAnsi="Times New Roman"/>
          <w:color w:val="000000" w:themeColor="text1"/>
          <w:sz w:val="16"/>
          <w:szCs w:val="16"/>
        </w:rPr>
        <w:softHyphen/>
        <w:t>ный Путиловец», и ими теперь руководил И.А. Маханов. Согласно эскизному проекту «Путиловцев» указанная САУ должна была быть вооружена 76,2-мм пушкой Л-2 своей раз</w:t>
      </w:r>
      <w:r w:rsidRPr="00C33834">
        <w:rPr>
          <w:rFonts w:ascii="Times New Roman" w:hAnsi="Times New Roman"/>
          <w:color w:val="000000" w:themeColor="text1"/>
          <w:sz w:val="16"/>
          <w:szCs w:val="16"/>
        </w:rPr>
        <w:softHyphen/>
        <w:t>работки, но по целому ряду причин работы по сборке этой САУ начались только в 1933 г., когда надобность в ней упала, да и самый выпуск танкеток Т-27 уже подошел к концу (11317).</w:t>
      </w:r>
    </w:p>
    <w:p w14:paraId="346762F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4D54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завод № 2 Всесоюзного автотракторного объединения переименован в завод № 37 в ведении Спецмаштреста НКТП.</w:t>
      </w:r>
      <w:r w:rsidRPr="00C33834">
        <w:rPr>
          <w:rFonts w:ascii="Times New Roman" w:hAnsi="Times New Roman"/>
          <w:color w:val="000000" w:themeColor="text1"/>
          <w:sz w:val="16"/>
          <w:szCs w:val="16"/>
          <w:vertAlign w:val="superscript"/>
        </w:rPr>
        <w:t>104</w:t>
      </w:r>
      <w:r w:rsidRPr="00C33834">
        <w:rPr>
          <w:rFonts w:ascii="Times New Roman" w:hAnsi="Times New Roman"/>
          <w:color w:val="000000" w:themeColor="text1"/>
          <w:sz w:val="16"/>
          <w:szCs w:val="16"/>
        </w:rPr>
        <w:t xml:space="preserve"> С 1936 г. завод № 37 им. Орджоникидзе становится одним из основных танковых заводов (наряду с Ленинградом и Харьковом). По пр. № 09с от 23.01.1937 г. передан в ведение 8ГУ НКОП, Устав завода утвержден приказом № 52 от 4.02.1937 г. В 1939 г. передан из 8ГУ НКОП во вновь образованный НКСМ. В 09.1941 г. вошел в состав НКТП.</w:t>
      </w:r>
    </w:p>
    <w:p w14:paraId="1AB0D05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22.02.1937 г. вышел приказ № 039 об организации на заводе базы по стандартизации и взаимозаменяемости по танкам.</w:t>
      </w:r>
    </w:p>
    <w:p w14:paraId="0C3508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пр. № 83 от 10.03.1937 г. на завод из НИИ-2 НКОП переведено КБ Голосова со всем личным составом (7 чел.), планом работ, объектами Д-1, -2, -3, -4, -5, -6 № 37.</w:t>
      </w:r>
    </w:p>
    <w:p w14:paraId="6986674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Приказом № 50сс от 4/9.02.1938 г. заводу поручено в 2-месячный срок после получения с Подольского завода экранированных корпусов изготовить 10 Т-38, и в месячный срок - 5 машин «Комсомолец»-</w:t>
      </w:r>
      <w:r w:rsidRPr="00C33834">
        <w:rPr>
          <w:rFonts w:ascii="Times New Roman" w:hAnsi="Times New Roman"/>
          <w:color w:val="000000" w:themeColor="text1"/>
          <w:sz w:val="16"/>
          <w:szCs w:val="16"/>
          <w:vertAlign w:val="superscript"/>
        </w:rPr>
        <w:t>139</w:t>
      </w:r>
    </w:p>
    <w:p w14:paraId="643507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Приказом № 335сс от 21.08.1938 г. заводу поручено изготовить образец опытного плавающего Т-40 (усовершенствованный Т-38). С 02.1939 г. начато освоение производства Т-38М, до конца года выпущено не более 15 машин. В соответствии с пост. КО № 443сс от 19.12.1939 г. начато производство Т-40. Завод должен был выпустить к 1.03.1940 г. первые 3 машины, к 1.08.1940 г. - 15 машин, а до конца года - 100 машин.</w:t>
      </w:r>
    </w:p>
    <w:p w14:paraId="617EEA7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Весной 1941 г. начато освоение производства Т-50, но завод с ним не справился. В соответствии с пост. ГКО № 179 от 17.07.1941 г. на заводе начато освоение производства легкого танка Т-60.</w:t>
      </w:r>
    </w:p>
    <w:p w14:paraId="5CF5B45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соответствии с пост.ениями ГКО № 752 от 9.10.1941 г. и № 811 от 19.10.1941 г. завод эвакуирован в Свердловск на площадку вагоноремонтного завода им. Воеводина. Эвакуация продолжалась с 28.10 по 6.11.1941 г. Сюда же эвакуирована часть завода «КИМ». 10.11.1941 г. образован единый завод № 37.</w:t>
      </w:r>
      <w:r w:rsidRPr="00C33834">
        <w:rPr>
          <w:rFonts w:ascii="Times New Roman" w:hAnsi="Times New Roman"/>
          <w:color w:val="000000" w:themeColor="text1"/>
          <w:sz w:val="16"/>
          <w:szCs w:val="16"/>
          <w:vertAlign w:val="superscript"/>
        </w:rPr>
        <w:t xml:space="preserve">92,109 </w:t>
      </w:r>
      <w:r w:rsidRPr="00C33834">
        <w:rPr>
          <w:rFonts w:ascii="Times New Roman" w:hAnsi="Times New Roman"/>
          <w:color w:val="000000" w:themeColor="text1"/>
          <w:sz w:val="16"/>
          <w:szCs w:val="16"/>
        </w:rPr>
        <w:t>Продолжено производство танков: 1.01.1942 г. выпущены первые 20 Т-60Ш. В соответствии с пост. ГКО № 1417 от 9.03.1942 г. начато производство танка Т-70. 12.04.1942 г. вышло постановление ГКО № 1581 о выпуске танков Т-60 на заводе № 37 НКТП.</w:t>
      </w:r>
    </w:p>
    <w:p w14:paraId="59154B8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площадке эвакуированного завода в Москве образован Авторемонтный завод № 6 (АРЗ-6). 7.01.1942 г. АРЗ-6 преобразован в филиал завода № 37.</w:t>
      </w:r>
    </w:p>
    <w:p w14:paraId="20FF113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находился в ведении НКТП, НКСМ. В середине 1942 г. завод № 37 в Свердловске влит в состав завода «Большевик» (завод № 50), а филиал в Москве преобразован в новый завод № 37. 28.07.1942 г. вышло постановление ГКО № 2120 об организации на заводе производства Т-34.</w:t>
      </w:r>
    </w:p>
    <w:p w14:paraId="744389D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1949 г. завод перепрофилирован на производство радиотехнической продукции. В 1950 г. начинается освоение производства </w:t>
      </w:r>
      <w:r w:rsidRPr="00C33834">
        <w:rPr>
          <w:rFonts w:ascii="Times New Roman" w:hAnsi="Times New Roman"/>
          <w:color w:val="000000" w:themeColor="text1"/>
          <w:sz w:val="16"/>
          <w:szCs w:val="16"/>
          <w:lang w:val="en-US"/>
        </w:rPr>
        <w:t>PJIC</w:t>
      </w:r>
      <w:r w:rsidRPr="00C33834">
        <w:rPr>
          <w:rFonts w:ascii="Times New Roman" w:hAnsi="Times New Roman"/>
          <w:color w:val="000000" w:themeColor="text1"/>
          <w:sz w:val="16"/>
          <w:szCs w:val="16"/>
        </w:rPr>
        <w:t xml:space="preserve"> П-20 и П-50.</w:t>
      </w:r>
    </w:p>
    <w:p w14:paraId="5E0D20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1949 г. при заводе образовано ОКБ.</w:t>
      </w:r>
    </w:p>
    <w:p w14:paraId="38A99A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30.07.1959 г. образован филиал НИИ-108, который был размещен на территории ОКБ. В 05.1960 г. филиал преобразован в НИИ-37, а завод преобразован в его Опытный завод № 37. 15.01.1970 г. вошел в состав ЦНПО «Вымпел».</w:t>
      </w:r>
      <w:r w:rsidRPr="00C33834">
        <w:rPr>
          <w:rFonts w:ascii="Times New Roman" w:hAnsi="Times New Roman"/>
          <w:color w:val="000000" w:themeColor="text1"/>
          <w:sz w:val="16"/>
          <w:szCs w:val="16"/>
          <w:vertAlign w:val="superscript"/>
        </w:rPr>
        <w:t>104</w:t>
      </w:r>
    </w:p>
    <w:p w14:paraId="5D9DD9A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1960 г. завод был головным по изготовлению </w:t>
      </w:r>
      <w:r w:rsidRPr="00C33834">
        <w:rPr>
          <w:rFonts w:ascii="Times New Roman" w:hAnsi="Times New Roman"/>
          <w:color w:val="000000" w:themeColor="text1"/>
          <w:sz w:val="16"/>
          <w:szCs w:val="16"/>
          <w:lang w:val="en-US"/>
        </w:rPr>
        <w:t>PJIC</w:t>
      </w:r>
      <w:r w:rsidRPr="00C33834">
        <w:rPr>
          <w:rFonts w:ascii="Times New Roman" w:hAnsi="Times New Roman"/>
          <w:color w:val="000000" w:themeColor="text1"/>
          <w:sz w:val="16"/>
          <w:szCs w:val="16"/>
        </w:rPr>
        <w:t xml:space="preserve"> «Дунай-3». В начале 1980-х  г. изготовлен экспериментальный образец ЭВМ М-13 для </w:t>
      </w:r>
      <w:r w:rsidRPr="00C33834">
        <w:rPr>
          <w:rFonts w:ascii="Times New Roman" w:hAnsi="Times New Roman"/>
          <w:color w:val="000000" w:themeColor="text1"/>
          <w:sz w:val="16"/>
          <w:szCs w:val="16"/>
          <w:lang w:val="en-US"/>
        </w:rPr>
        <w:t>PJIC</w:t>
      </w:r>
      <w:r w:rsidRPr="00C33834">
        <w:rPr>
          <w:rFonts w:ascii="Times New Roman" w:hAnsi="Times New Roman"/>
          <w:color w:val="000000" w:themeColor="text1"/>
          <w:sz w:val="16"/>
          <w:szCs w:val="16"/>
        </w:rPr>
        <w:t xml:space="preserve"> «Дарьял-У».</w:t>
      </w:r>
    </w:p>
    <w:p w14:paraId="0BB464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составе завода: цехи: монтажно-сборочный (1950-е), № 1 (1980-е-90-е).</w:t>
      </w:r>
    </w:p>
    <w:p w14:paraId="227C200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(1930 г.)- С. Иванов, (1934-29.08.1937 г.)- Б.К. Гутнов, (29.08.1937-38 г.-)- М.И. Шор, (1946-52 г.)- Н.А. Богородицкий, (1955 г.)- П.И. Кузнецов, (1956-59; 1960-61 г.)- С.В. Скориков, (1961-78 г.)- В.И. Малышев, (1978 г.-)- А.А. Трухманов.</w:t>
      </w:r>
    </w:p>
    <w:p w14:paraId="0EE676C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директора: по новой технике (-1961 г.)- В.И. Малышев; (16.09.1937 г.-)- Н.Н. Козырев, (1938 г.)- М.С. Свердлов. Помощник директора по найму и увольнению (10.07.1938 г.-)- А.Ф. Сигунов.</w:t>
      </w:r>
    </w:p>
    <w:p w14:paraId="3A66906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технический (-1.02.1937 г.)- В.О. Аранович.</w:t>
      </w:r>
    </w:p>
    <w:p w14:paraId="0BBE5B1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(16.09.1937-38 г.-)- Н.Н. Козырев.</w:t>
      </w:r>
    </w:p>
    <w:p w14:paraId="20B875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гл. инженера (1950-51 г.)- А.А. Форштер, (1954 г.-)- В.И. Малышев.</w:t>
      </w:r>
    </w:p>
    <w:p w14:paraId="5F934A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конструктор (1936 г.)- Н.А. Астров (Т-38, Т-40), (11.1941 г.)-  Г. Суренян.</w:t>
      </w:r>
    </w:p>
    <w:p w14:paraId="309BC19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И.О. зам. гл. конструктора (1948 г.)- А.И. Талейсник.</w:t>
      </w:r>
    </w:p>
    <w:p w14:paraId="625EB75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технолог (-1978 г.)- Я.И. Гаврилов.</w:t>
      </w:r>
    </w:p>
    <w:p w14:paraId="66AB62C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конструкторы: (1932 г.-)- Н. Козырев, (1942 г.)- Н.А. Астров (Т-70), (1948-70 г.)- О.М. Федоров.</w:t>
      </w:r>
    </w:p>
    <w:p w14:paraId="57F89F7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цехов: (1949-52 г.)- Я.И. Гаврилов.</w:t>
      </w:r>
    </w:p>
    <w:p w14:paraId="780B77A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Помощник начальника цеха: № 14 (-11.1937 г.)- С.А. Алабин.</w:t>
      </w:r>
    </w:p>
    <w:p w14:paraId="6AF9CAB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 конструкторского отделения- А.И. Талейсник, (1970-73 г.)- О.М. Федоров.</w:t>
      </w:r>
    </w:p>
    <w:p w14:paraId="0BE3676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отделов: 2-го (-08.1938 г.)- Е.Н. Фергман; производственного (1952 г.-)- ЯМ. Гаврилов, (1964-86 г.)- В.Д. Вдовин; технического- О.М. Федоров. Начальник технологической станции (-11.1937 г.)- Д.В. Чеботарев.</w:t>
      </w:r>
    </w:p>
    <w:p w14:paraId="2E0219C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Руководитель конструкторской группы: (1965 г.)- А.И. Талейсник.</w:t>
      </w:r>
    </w:p>
    <w:p w14:paraId="21A2E4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Создано: танки Т-38 (1936), Т-40 (1939), Т-60 (1941).</w:t>
      </w:r>
    </w:p>
    <w:p w14:paraId="011DE4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бронеавтомобиль БА-27 на шасси «Форд-АА» (1930)- 1, «Комсомолец» (1938); попки: Т-23 (1930)- 5, Т-27 (1931-33),Т-41 (1932-33-), Т-37А (1933-36)- 2552,</w:t>
      </w:r>
      <w:r w:rsidRPr="00C33834">
        <w:rPr>
          <w:rFonts w:ascii="Times New Roman" w:hAnsi="Times New Roman"/>
          <w:color w:val="000000" w:themeColor="text1"/>
          <w:sz w:val="16"/>
          <w:szCs w:val="16"/>
          <w:vertAlign w:val="superscript"/>
        </w:rPr>
        <w:t>124</w:t>
      </w:r>
      <w:r w:rsidRPr="00C33834">
        <w:rPr>
          <w:rFonts w:ascii="Times New Roman" w:hAnsi="Times New Roman"/>
          <w:color w:val="000000" w:themeColor="text1"/>
          <w:sz w:val="16"/>
          <w:szCs w:val="16"/>
        </w:rPr>
        <w:t xml:space="preserve"> Т-43 (1934), Т-38 (1937-39), Т-38М (1939-), Т- 40 (1940-41-)- 192 (на 1.06.1941), Т-60 (-1941-42-)- 1639 (1942), Т-70 (1942-), Т-34 (1942-), Т-80 (ВОВ); РЛС: П-20, П-50 (1950-), П-30, П-30М, П-35 (-1958)- всего около 800; «Дунай-3» (1960-е); узлы РЛС А-100 системы ПВО С- 25; аппаратура РЛС «Дунай-ЗУ», «Крона», «Волга»; приемно-анализирующая аппаратура и ВК для ЗГРЛС «Дуга» (1970-е); спецвычислители К-340А для РЛС «Волга» (1980-е);</w:t>
      </w:r>
      <w:r w:rsidRPr="00C33834">
        <w:rPr>
          <w:rFonts w:ascii="Times New Roman" w:hAnsi="Times New Roman"/>
          <w:color w:val="000000" w:themeColor="text1"/>
          <w:sz w:val="16"/>
          <w:szCs w:val="16"/>
          <w:vertAlign w:val="superscript"/>
        </w:rPr>
        <w:t>104</w:t>
      </w:r>
      <w:r w:rsidRPr="00C33834">
        <w:rPr>
          <w:rFonts w:ascii="Times New Roman" w:hAnsi="Times New Roman"/>
          <w:color w:val="000000" w:themeColor="text1"/>
          <w:sz w:val="16"/>
          <w:szCs w:val="16"/>
        </w:rPr>
        <w:t xml:space="preserve"> электропроигрыватели: «Эпос-001С, - 006С» (11982).</w:t>
      </w:r>
    </w:p>
    <w:p w14:paraId="72C64EC8" w14:textId="77777777" w:rsidR="0034402C" w:rsidRPr="00C33834" w:rsidRDefault="0034402C" w:rsidP="00C33834">
      <w:pPr>
        <w:autoSpaceDE w:val="0"/>
        <w:autoSpaceDN w:val="0"/>
        <w:adjustRightInd w:val="0"/>
        <w:spacing w:after="0" w:line="240" w:lineRule="auto"/>
        <w:jc w:val="both"/>
        <w:rPr>
          <w:rFonts w:ascii="Times New Roman" w:hAnsi="Times New Roman"/>
          <w:color w:val="000000" w:themeColor="text1"/>
          <w:sz w:val="16"/>
          <w:szCs w:val="16"/>
        </w:rPr>
      </w:pPr>
    </w:p>
    <w:p w14:paraId="3CC94BB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1933 в серию был запущен бронеавтомобиль, который получил наименование "Форд-А Ижорский" (ФАИ). Машина имела экипаж 2 человека (реже - 3 человека); основным вооружением был пулемет ДТ, установленный в башне с круговым обстрелом, и боезапасом 1323 патрона (3862).</w:t>
      </w:r>
    </w:p>
    <w:p w14:paraId="116A70A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Вращение башни осуществлялось с помощью спинного упора. Кроме того, шаровая установка пулемета позволила вести огонь в секторе +10 градусов без вращения башни (3862).</w:t>
      </w:r>
    </w:p>
    <w:p w14:paraId="3B7010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Потом производство передали на Выксинский завод дробильно-размолоточного оборудования и там оно продолжалось до 1936. Всего выпустили 676 и с 1934 использовали отечественное шасси. В 1936 в производстве его сменил БА-20, разработанный на базе более мощного шасси ГАЗ-М1 (3947,15).</w:t>
      </w:r>
    </w:p>
    <w:p w14:paraId="55289A6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1B96E3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инженер Важинский по заданию УММ РККА разработал чертежи заднего рулевого управления для БАИ, но вскоре от этой идеи отказались (11284).</w:t>
      </w:r>
    </w:p>
    <w:p w14:paraId="11C6F2C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5D77BE" w14:textId="77777777" w:rsidR="00A1059C" w:rsidRPr="00C33834" w:rsidRDefault="00A105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1933 году на ЯГАЗ № 3 по заказу НАТИ были построены сразу несколько опытных конструкций. Базовыми являлись Я-7 и Я-7Д с колесной формулой 4x2 грузоподъемностью 5000 кг, которая могла быть повышена до 7000 кг. </w:t>
      </w:r>
    </w:p>
    <w:p w14:paraId="54C7829F" w14:textId="77777777" w:rsidR="00A1059C" w:rsidRPr="00C33834" w:rsidRDefault="00A105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Обращает на себя внимание и устаревшая к тому времени индексация этих опытных машин – одной буквой «Я». Хотя уже с 1932 года для бортовых грузовиков Ярославского завода было утверждено обозначение «ЯГ» (ярославский грузовой), как и для автобусов – «ЯА», а позже - самосвалов – «ЯС» и т.д. Кстати, уже в том же ноябре 1931 года первый «заводской» ЯГ-10 во всех документах именовался уже именно как ЯГ-10. Не менялся индекс и в дальнейшем, не смотря на изменения в конструкции.</w:t>
      </w:r>
    </w:p>
    <w:p w14:paraId="04EAFC5C" w14:textId="77777777" w:rsidR="00A1059C" w:rsidRPr="00C33834" w:rsidRDefault="00A105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 них использовался американский двигатель «Соntinental-21R» (6 цилиндров, 6850 куб.см, 100 - 102 л.с. при 2400 об/мин) и 4-ступенчатая коробка передач. Модель Я-7Д, с демультипликатором, получала более широкий диапазон тяговых усилий и скоростей движения. Модели Я-7 и -7Д имели раму, отштампованную из стального листа толщиной 8 мм и базу 4250 мм. Вот на основе этих-то машин и были изготовлены Я-НАТИ-9 или Я-НАТИ-9Д с колесной формулой 6x4 и аналогичной с ЯГ-10 грузоподъемностью (8000 кг по шоссе и 5000 кг по бездорожью). На одном из них был установлен двигатель «Соntinental-21R», а на другом - «Неrcules-YXC-3». Я-9Д, так же, как и Я-7Д, оснащался двухступенчатым демультипликатором. Примененная на этих машинах червячная главная передача, как считалось тогда, для трехосного автомобиля является более удобной. Она дает возможность пропустить карданный вал к заднему ведущему мосту непосредственно, не прибегая к дополнительной передаче, а лишь используя для этого червяк среднего моста. В то же время она допускает большое передаточное отношение. Рамы Я-9Д были </w:t>
      </w:r>
      <w:r w:rsidRPr="00C33834">
        <w:rPr>
          <w:rFonts w:ascii="Times New Roman" w:hAnsi="Times New Roman"/>
          <w:color w:val="000000" w:themeColor="text1"/>
          <w:sz w:val="16"/>
          <w:szCs w:val="16"/>
        </w:rPr>
        <w:lastRenderedPageBreak/>
        <w:t>аналогичны рамам Я-7 и Я-7Д, но для увеличения их прочности и жесткости в лонжероны над задними мостами также были вставлены дополнительные швеллеры. Кроме базовых Я-7 и «трехосок», был создан еще и седельный тягач Я-НАТИ-12Д. Все эти образцы, собранные на ЯГАЗе, тем не менее, даже внешне существенно отличались от ЯГ-10: имели другие ступицы и фланцы полуосей, комплектовались иными дисками колес, различались габаритами. Кроме того, все Я-НАТИ имели штампованные рамы (а не склепанные из стандартных прокатных швеллеров, как любые серийные довоенные ярославские грузовики) и червячные главные передачи. А вот трехосные Я-НАТИ-10 и Я-НАТИ-11 грузоподъемностью 8000 кг, отличавшиеся от Я-9Д более длинными базами (предполагались с двигателями «Соntinental-21R» и передаточным числом главной передачи 9,33) построены так и не были (из 10 разработанных было воплощено в металле только 5 машин семейства Я-НАТИ).</w:t>
      </w:r>
    </w:p>
    <w:p w14:paraId="45E00CCB" w14:textId="77777777" w:rsidR="00A1059C" w:rsidRPr="00C33834" w:rsidRDefault="00A105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1932 - 1934 годах специалистами НАТИ и других учреждений были разработаны еще несколько вариантов трехосных ярославских грузовиков, например, Я-5-НАТИ (проект дополнительных узлов к двухосному Я-5: демультипликатора, подвески задних колес и главной передачи червячного типа) с двигателем «Неrcules-YXC-3», грузоподъемностью 5000 кг и передаточным числом главной передачи 8,75; или вспомним вариант с паросиловой установкой высокого давления на удлиненном трехосном ярославском шасси.</w:t>
      </w:r>
    </w:p>
    <w:p w14:paraId="3F57AA80" w14:textId="77777777" w:rsidR="00A1059C" w:rsidRPr="00C33834" w:rsidRDefault="00A105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Однако все эти разработки, будучи более прогрессивными, все же являлись для Ярославского автозавода чем-то вроде ложки, поданной после обеда. Ни для изготовления червячной передачи, ни для штампованных рам надлежащего оборудования на заводе не имелось. А приемлимый для серийного заводского изготовления ЯГ-10 уже был создан и испытан (12201).</w:t>
      </w:r>
    </w:p>
    <w:p w14:paraId="2134D9C7" w14:textId="77777777" w:rsidR="00A1059C" w:rsidRPr="00C33834" w:rsidRDefault="00A1059C" w:rsidP="00C33834">
      <w:pPr>
        <w:spacing w:after="0" w:line="240" w:lineRule="auto"/>
        <w:jc w:val="both"/>
        <w:rPr>
          <w:rFonts w:ascii="Times New Roman" w:hAnsi="Times New Roman"/>
          <w:color w:val="000000" w:themeColor="text1"/>
          <w:sz w:val="16"/>
          <w:szCs w:val="16"/>
        </w:rPr>
      </w:pPr>
    </w:p>
    <w:p w14:paraId="039362A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План на 1933 год по заводу ДРО составил 100 ФАИ, од</w:t>
      </w:r>
      <w:r w:rsidRPr="00C33834">
        <w:rPr>
          <w:rFonts w:ascii="Times New Roman" w:hAnsi="Times New Roman"/>
          <w:color w:val="000000" w:themeColor="text1"/>
          <w:sz w:val="16"/>
          <w:szCs w:val="16"/>
        </w:rPr>
        <w:softHyphen/>
        <w:t>нако удалось собрать всего 10 машин — 2 в октябре и 8 в но</w:t>
      </w:r>
      <w:r w:rsidRPr="00C33834">
        <w:rPr>
          <w:rFonts w:ascii="Times New Roman" w:hAnsi="Times New Roman"/>
          <w:color w:val="000000" w:themeColor="text1"/>
          <w:sz w:val="16"/>
          <w:szCs w:val="16"/>
        </w:rPr>
        <w:softHyphen/>
        <w:t>ябре. Правда, эти броневики так и не были приняты пред</w:t>
      </w:r>
      <w:r w:rsidRPr="00C33834">
        <w:rPr>
          <w:rFonts w:ascii="Times New Roman" w:hAnsi="Times New Roman"/>
          <w:color w:val="000000" w:themeColor="text1"/>
          <w:sz w:val="16"/>
          <w:szCs w:val="16"/>
        </w:rPr>
        <w:softHyphen/>
        <w:t>ставителем военной приемки, так как не имели вооружения и ряда других деталей. 12 декабря военпред УММ РККА на заводе ДРО докладывал: «ФАИ — ничего не сдано. Сдача 100 штук зависит сейчас от отпуска Правительством машин «Форд-А» под бронировку».</w:t>
      </w:r>
    </w:p>
    <w:p w14:paraId="483BDBA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Ситуация с производством легких бронемашин ФАИ начала выправляться только в 1934 году, когда Выксунский завод ДРО сдал 135 бронемашин (включая 10 штук изготов</w:t>
      </w:r>
      <w:r w:rsidRPr="00C33834">
        <w:rPr>
          <w:rFonts w:ascii="Times New Roman" w:hAnsi="Times New Roman"/>
          <w:color w:val="000000" w:themeColor="text1"/>
          <w:sz w:val="16"/>
          <w:szCs w:val="16"/>
        </w:rPr>
        <w:softHyphen/>
        <w:t>ления 1932 года), из них 115 ФАИ передачи РККА и 20 — главному управлению пограничных войск ОГПУ. Причем с весны 1934 года ФАИ изготавливались на шасси отечест</w:t>
      </w:r>
      <w:r w:rsidRPr="00C33834">
        <w:rPr>
          <w:rFonts w:ascii="Times New Roman" w:hAnsi="Times New Roman"/>
          <w:color w:val="000000" w:themeColor="text1"/>
          <w:sz w:val="16"/>
          <w:szCs w:val="16"/>
        </w:rPr>
        <w:softHyphen/>
        <w:t>венного легкового автомобиля ГАЗ-А, являвшегося анало</w:t>
      </w:r>
      <w:r w:rsidRPr="00C33834">
        <w:rPr>
          <w:rFonts w:ascii="Times New Roman" w:hAnsi="Times New Roman"/>
          <w:color w:val="000000" w:themeColor="text1"/>
          <w:sz w:val="16"/>
          <w:szCs w:val="16"/>
        </w:rPr>
        <w:softHyphen/>
        <w:t>гом «Форда».</w:t>
      </w:r>
    </w:p>
    <w:p w14:paraId="3B66B11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Пик производства ФАИ пришелся на 1935 год, когда Выксунский завод ДРО сдал 452 бронеавтомобиля (442 для РККА и 10 для ОГПУ). В следующем году Красная Армия получила еще ПО ФАИ, после чего их выпуск был прекра</w:t>
      </w:r>
      <w:r w:rsidRPr="00C33834">
        <w:rPr>
          <w:rFonts w:ascii="Times New Roman" w:hAnsi="Times New Roman"/>
          <w:color w:val="000000" w:themeColor="text1"/>
          <w:sz w:val="16"/>
          <w:szCs w:val="16"/>
        </w:rPr>
        <w:softHyphen/>
        <w:t>щен. Таким образом, за все время производства завод ДРО изготовил 697 бронеавтомобилей ФАИ, из них 667 поступи</w:t>
      </w:r>
      <w:r w:rsidRPr="00C33834">
        <w:rPr>
          <w:rFonts w:ascii="Times New Roman" w:hAnsi="Times New Roman"/>
          <w:color w:val="000000" w:themeColor="text1"/>
          <w:sz w:val="16"/>
          <w:szCs w:val="16"/>
        </w:rPr>
        <w:softHyphen/>
        <w:t>ли в РККА, а 30 в части ОГПУ (11284).</w:t>
      </w:r>
    </w:p>
    <w:p w14:paraId="6DA3CEB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3F02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1933 году военным складом № 60 (позднее бронерембаза НКО № 6) в г. Брянске там был разработан бронепоезд БП-35 в составе бронепаровоза ПР-35, оборудованного башней ПВО и радиостанцией, двух легких бронеплощадок ПЛ-35 с двумя 76-мм орудиями обр. 1902/30 г. на каждой или двух тяжелых площадок ПТ-35 с одним 107-мм орудием обр. 1910/30 г. и площадки ПВО типа СПУ-БП. Серийный выпуск БП-35 начался в том же году на брянском машиностроительном заводе "Красный Профинтерн". К началу Великой Отечественной войны Красная Армия получила 47 таких бронепоездов. После эвакуации в августе 1941 года завода "Красный Профинтерн" в Красноярск строительство их прекратилось (9642).</w:t>
      </w:r>
    </w:p>
    <w:p w14:paraId="4C471A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ED2C5B3" w14:textId="77777777" w:rsidR="0034402C" w:rsidRPr="00C33834" w:rsidRDefault="0034402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на опытном заводе HATИ в Москве для горно-разведочных работ Севморпути на нефть и соль в Хатангском заливе, были построены полугусеничные вездеходы в 4-х экземплярах. Такое назначение машин было заявлено в прессе, но действительности соответствовало не в полном мере. Желающие узнать побольше о культурном освоении Севера могут обратиться к книгам «Репрессированные геологи», « К.Г.Войновский-Кригер» и др.</w:t>
      </w:r>
    </w:p>
    <w:p w14:paraId="56F7577E" w14:textId="77777777" w:rsidR="0034402C" w:rsidRPr="00C33834" w:rsidRDefault="0034402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Руководил экспедицией Н. Н. Урванцев. Он был в числе пионеров применения механического транспорта на Крайнем Севере при разведке Норильского полиметаллического и угольного месторождений применил 3 импортных гусеничных трактора «Рено» с санными прицепами. НАТИ-3 в представлении Урванцева выглядели следующим образом:</w:t>
      </w:r>
    </w:p>
    <w:p w14:paraId="69E45317" w14:textId="77777777" w:rsidR="0034402C" w:rsidRPr="00C33834" w:rsidRDefault="0034402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«Обычные ГАЗовские полуторатонки были превращены в полугусеничные машины путем монтажа на задний мост двух специальных движителей. Движители состояли из двухметровых дюралюминиевых рам с насаженными на концах двойными скатами колес с пневматиками специального профиля. На каждый из движителей, на парные колеса натягивалась гусеничная лента из резинового ремня около 30 см ширины и 15 мм толщины. Снаружи гусеница покрыта дюралюминиевыми плицами, посередине расположены резиновые башмаки для увеличения сцепления с грунтом. Изнутри, вдоль средней линии, монтирован гребень из резиновых реборд, имеющих вид гусеничных пирамид, примерно 7×7 см сечения в основании. Этот гребень входит в зазоры между парными колесами, направляет ленту и предохраняет ее от соскакивания. Рамы движителя надеты на задние полуоси, имея вокруг них вращение на некоторый угол в вертикальной плоскости. Передача крутящего момента с полуосей заднего моста на ведущие колеса движителя осуществляется цепями Галля. Движение гусеничной ленты происходит путем фрикционного сцепления резиновых покрышек ведущих колес с резиновой поверхностью ленты. На переднюю ось можно надевать односкатные и двускатные колеса пли лыжи двух типов: глухие для глубокого снега и прорезные для малоснежья, где галька и щебень могли бы повредить дюралевые подошвы лыж. Для предохранения в прорезы лыж сантиметров на 10 выдаются ободья колес и по бесснежью катятся колеса, а лыжи остаются на весу».</w:t>
      </w:r>
    </w:p>
    <w:p w14:paraId="77547CC8" w14:textId="77777777" w:rsidR="0034402C" w:rsidRPr="00C33834" w:rsidRDefault="0034402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Машины были доставлены на восточный берег Таймырского полуострова. Здесь на островах «Комсомольской Правды» во время зимовки Первой Ленской экспедиции вездеходы провели весьма разнообразную работу. Осенью и в темную пору в декабре-январе машины перевозили грузы, преимущественно строительные материалы, с зимовавших судов экспедиции на базу, где строились здания полярной станции. Среди груза были такие громоздкие и тяжелые предметы, как 12-метровые бревна для радиомачт, доски и бревна для домов и т. д. Работа не приостанавливалась ни в полярную ночь, ни в пургу: пользовались светом фар и поставленными на пути вехами. Когда зимовавшие суда нуждались в воде для котлов парового отопления, вездеходы доставляли для них лед. На машинах же было завезено в окрестности 3 охотничьих промысловых домика, вывозилось добытое на охоте мясо п шкуры медведей и моржей, забрасывались к месту работ гидрологические партии с оборудованием и снаряжением и гидрографические знаки. Всего на базе вездеходами перевезено 573 тонны грузов и пройдено 5374 км. Осенью 1934 г. вездеходы были перевезены в бухту Нордвик Хатангского залива, где только с их помощью удалось в течение 10 рабочих дней выгрузить более 2000 тонн различных грузов. К приставшим к берегу плашкоутам машины подходили вплотную, забираясь в воду подчас на глубину до 1 метра. НАТИ-3 испытывались и в маршрутных условиях. Маршрут вокруг Таймырского полуострова (геологическое обследование н топографическая съемка) показал большие преимущества механического транспорта. Оказалось возможным значительно увеличить вес грузов исследовательской партии, достигавший 612 кг, а, следовательно, повысить точность и объем научных работ. Среди оборудования имелась и присмо-передающая радиостанция, позволившая наладить постоянную связь с базой. Передвижению не препятствовала пурга, и только плохая видимость, мешавшая ведению топографической съемки, заставляла пережидать непогоду. В случае необходимости можно было стоять на месте сколько требовалось, не заботясь о «корме» для транспорта (прежде пользовались оленьими и собачьими упряжками, животных нужно было кормить в не зависимости от того, стоит караван или движется). Отдых в палатке после работ был обставлен с гораздо большим комфортом. Имелось достаточно топлива для обогревания палатки и сушки одежды, электрическое освещение. Наконец, при езде в закрытых, обогреваемых мотором кабинах люди были защищены от мороза и ветра. Маршрутная работа делалась доступной «даже для людей средней выносливости» (15593).</w:t>
      </w:r>
    </w:p>
    <w:p w14:paraId="7F440647" w14:textId="77777777" w:rsidR="0034402C" w:rsidRPr="00C33834" w:rsidRDefault="0034402C" w:rsidP="00C33834">
      <w:pPr>
        <w:spacing w:after="0" w:line="240" w:lineRule="auto"/>
        <w:jc w:val="both"/>
        <w:rPr>
          <w:rFonts w:ascii="Times New Roman" w:hAnsi="Times New Roman"/>
          <w:color w:val="000000" w:themeColor="text1"/>
          <w:sz w:val="16"/>
          <w:szCs w:val="16"/>
        </w:rPr>
      </w:pPr>
    </w:p>
    <w:p w14:paraId="6FB1DB4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из ворот Кировского завода вышли первые легковые автомобили Л-1, полностью изготовленные из отечественных материалов(3862).</w:t>
      </w:r>
    </w:p>
    <w:p w14:paraId="1536655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2DADB7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на Та</w:t>
      </w:r>
      <w:r w:rsidRPr="00C33834">
        <w:rPr>
          <w:rFonts w:ascii="Times New Roman" w:hAnsi="Times New Roman"/>
          <w:color w:val="000000" w:themeColor="text1"/>
          <w:sz w:val="16"/>
          <w:szCs w:val="16"/>
        </w:rPr>
        <w:softHyphen/>
        <w:t>ганрогский инструментальный завод № 65 им. Сталина (ТИЗ). входивший в Народный комиссариат боеприпасов (НКБ), с ХМЗ передали чертежи и небольшое количество комплектующих из</w:t>
      </w:r>
      <w:r w:rsidRPr="00C33834">
        <w:rPr>
          <w:rFonts w:ascii="Times New Roman" w:hAnsi="Times New Roman"/>
          <w:color w:val="000000" w:themeColor="text1"/>
          <w:sz w:val="16"/>
          <w:szCs w:val="16"/>
        </w:rPr>
        <w:softHyphen/>
        <w:t>делий мотоцикла ХМЗ-1 с рабочим объёмом двигателя 350 см</w:t>
      </w:r>
      <w:r w:rsidRPr="00C33834">
        <w:rPr>
          <w:rFonts w:ascii="Times New Roman" w:hAnsi="Times New Roman"/>
          <w:color w:val="000000" w:themeColor="text1"/>
          <w:sz w:val="16"/>
          <w:szCs w:val="16"/>
          <w:vertAlign w:val="superscript"/>
        </w:rPr>
        <w:t>3</w:t>
      </w:r>
      <w:r w:rsidRPr="00C33834">
        <w:rPr>
          <w:rFonts w:ascii="Times New Roman" w:hAnsi="Times New Roman"/>
          <w:color w:val="000000" w:themeColor="text1"/>
          <w:sz w:val="16"/>
          <w:szCs w:val="16"/>
        </w:rPr>
        <w:t xml:space="preserve"> и приступили к изготовлению опытных образцов [4.142]. Для на</w:t>
      </w:r>
      <w:r w:rsidRPr="00C33834">
        <w:rPr>
          <w:rFonts w:ascii="Times New Roman" w:hAnsi="Times New Roman"/>
          <w:color w:val="000000" w:themeColor="text1"/>
          <w:sz w:val="16"/>
          <w:szCs w:val="16"/>
        </w:rPr>
        <w:softHyphen/>
        <w:t>шей промышленности имело смысл освоить производство модели с кубатурой двигателя 500-600 см</w:t>
      </w:r>
      <w:r w:rsidRPr="00C33834">
        <w:rPr>
          <w:rFonts w:ascii="Times New Roman" w:hAnsi="Times New Roman"/>
          <w:color w:val="000000" w:themeColor="text1"/>
          <w:sz w:val="16"/>
          <w:szCs w:val="16"/>
          <w:vertAlign w:val="superscript"/>
        </w:rPr>
        <w:t>3</w:t>
      </w:r>
      <w:r w:rsidRPr="00C33834">
        <w:rPr>
          <w:rFonts w:ascii="Times New Roman" w:hAnsi="Times New Roman"/>
          <w:color w:val="000000" w:themeColor="text1"/>
          <w:sz w:val="16"/>
          <w:szCs w:val="16"/>
        </w:rPr>
        <w:t>. Решением этой задачи зани</w:t>
      </w:r>
      <w:r w:rsidRPr="00C33834">
        <w:rPr>
          <w:rFonts w:ascii="Times New Roman" w:hAnsi="Times New Roman"/>
          <w:color w:val="000000" w:themeColor="text1"/>
          <w:sz w:val="16"/>
          <w:szCs w:val="16"/>
        </w:rPr>
        <w:softHyphen/>
        <w:t>мались на заводе «Красный Октябрь», где создали опытную ма</w:t>
      </w:r>
      <w:r w:rsidRPr="00C33834">
        <w:rPr>
          <w:rFonts w:ascii="Times New Roman" w:hAnsi="Times New Roman"/>
          <w:color w:val="000000" w:themeColor="text1"/>
          <w:sz w:val="16"/>
          <w:szCs w:val="16"/>
        </w:rPr>
        <w:softHyphen/>
        <w:t>шину Л-500 [4.74]. Её отработка и подготовка к серийному произ</w:t>
      </w:r>
      <w:r w:rsidRPr="00C33834">
        <w:rPr>
          <w:rFonts w:ascii="Times New Roman" w:hAnsi="Times New Roman"/>
          <w:color w:val="000000" w:themeColor="text1"/>
          <w:sz w:val="16"/>
          <w:szCs w:val="16"/>
        </w:rPr>
        <w:softHyphen/>
        <w:t>водству требовала нескольких лет, к тому же на заводах Ленин</w:t>
      </w:r>
      <w:r w:rsidRPr="00C33834">
        <w:rPr>
          <w:rFonts w:ascii="Times New Roman" w:hAnsi="Times New Roman"/>
          <w:color w:val="000000" w:themeColor="text1"/>
          <w:sz w:val="16"/>
          <w:szCs w:val="16"/>
        </w:rPr>
        <w:softHyphen/>
        <w:t>града не просматривалось для этого свободных ресурсов. И тогда в недрах НКТП родилась идея создания нового мотоцикла на ос</w:t>
      </w:r>
      <w:r w:rsidRPr="00C33834">
        <w:rPr>
          <w:rFonts w:ascii="Times New Roman" w:hAnsi="Times New Roman"/>
          <w:color w:val="000000" w:themeColor="text1"/>
          <w:sz w:val="16"/>
          <w:szCs w:val="16"/>
        </w:rPr>
        <w:softHyphen/>
        <w:t>нове хорошо себя показавшего иностранного. Специалисты счи</w:t>
      </w:r>
      <w:r w:rsidRPr="00C33834">
        <w:rPr>
          <w:rFonts w:ascii="Times New Roman" w:hAnsi="Times New Roman"/>
          <w:color w:val="000000" w:themeColor="text1"/>
          <w:sz w:val="16"/>
          <w:szCs w:val="16"/>
        </w:rPr>
        <w:softHyphen/>
        <w:t>тали, что следует выбрать английский аппарат с четырехтактным двигателем рабочим объемом 500-600 см</w:t>
      </w:r>
      <w:r w:rsidRPr="00C33834">
        <w:rPr>
          <w:rFonts w:ascii="Times New Roman" w:hAnsi="Times New Roman"/>
          <w:color w:val="000000" w:themeColor="text1"/>
          <w:sz w:val="16"/>
          <w:szCs w:val="16"/>
          <w:vertAlign w:val="superscript"/>
        </w:rPr>
        <w:t>3</w:t>
      </w:r>
      <w:r w:rsidRPr="00C33834">
        <w:rPr>
          <w:rFonts w:ascii="Times New Roman" w:hAnsi="Times New Roman"/>
          <w:color w:val="000000" w:themeColor="text1"/>
          <w:sz w:val="16"/>
          <w:szCs w:val="16"/>
        </w:rPr>
        <w:t>. Наиболее удачным представлялся популярный мотоцикл, серийно выпускавшийся с 1929 г., марки «Слоупер» (</w:t>
      </w:r>
      <w:r w:rsidRPr="00C33834">
        <w:rPr>
          <w:rFonts w:ascii="Times New Roman" w:hAnsi="Times New Roman"/>
          <w:color w:val="000000" w:themeColor="text1"/>
          <w:sz w:val="16"/>
          <w:szCs w:val="16"/>
          <w:lang w:val="en-US"/>
        </w:rPr>
        <w:t>Slouper</w:t>
      </w:r>
      <w:r w:rsidRPr="00C33834">
        <w:rPr>
          <w:rFonts w:ascii="Times New Roman" w:hAnsi="Times New Roman"/>
          <w:color w:val="000000" w:themeColor="text1"/>
          <w:sz w:val="16"/>
          <w:szCs w:val="16"/>
        </w:rPr>
        <w:t xml:space="preserve">, от англ. </w:t>
      </w:r>
      <w:r w:rsidRPr="00C33834">
        <w:rPr>
          <w:rFonts w:ascii="Times New Roman" w:hAnsi="Times New Roman"/>
          <w:color w:val="000000" w:themeColor="text1"/>
          <w:sz w:val="16"/>
          <w:szCs w:val="16"/>
          <w:lang w:val="en-US"/>
        </w:rPr>
        <w:t>slope</w:t>
      </w:r>
      <w:r w:rsidRPr="00C33834">
        <w:rPr>
          <w:rFonts w:ascii="Times New Roman" w:hAnsi="Times New Roman"/>
          <w:color w:val="000000" w:themeColor="text1"/>
          <w:sz w:val="16"/>
          <w:szCs w:val="16"/>
        </w:rPr>
        <w:t xml:space="preserve"> - наклон) с 600-кубовым одноцилиндровым двигателем, наклонённым вперед [4.143]. Освоить серийный выпуск этой модели решили на ТИЗе. Причин для выбора именно этого завода было две: высокая куль</w:t>
      </w:r>
      <w:r w:rsidRPr="00C33834">
        <w:rPr>
          <w:rFonts w:ascii="Times New Roman" w:hAnsi="Times New Roman"/>
          <w:color w:val="000000" w:themeColor="text1"/>
          <w:sz w:val="16"/>
          <w:szCs w:val="16"/>
        </w:rPr>
        <w:softHyphen/>
        <w:t>тура инструментального производства и выпуск основной продук</w:t>
      </w:r>
      <w:r w:rsidRPr="00C33834">
        <w:rPr>
          <w:rFonts w:ascii="Times New Roman" w:hAnsi="Times New Roman"/>
          <w:color w:val="000000" w:themeColor="text1"/>
          <w:sz w:val="16"/>
          <w:szCs w:val="16"/>
        </w:rPr>
        <w:softHyphen/>
        <w:t>ции для армии (11429).</w:t>
      </w:r>
    </w:p>
    <w:p w14:paraId="0122B07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D964B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Всесоюзный трест оптико-механической промышленности включал:</w:t>
      </w:r>
    </w:p>
    <w:p w14:paraId="70FA320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ЛОМЗ им. ОГПУ</w:t>
      </w:r>
    </w:p>
    <w:p w14:paraId="495EF3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Место: Ленинград, Выборгская сторона, ул. Чугунная, 20 (Ленинград, 12, пр. Александровский, Бортовский пер., 3) (8869)</w:t>
      </w:r>
    </w:p>
    <w:p w14:paraId="5AA01A1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«Геофизика»</w:t>
      </w:r>
    </w:p>
    <w:p w14:paraId="4B1687D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Место: Москва, Стромынка, 24 (Москва, Стромынский пер., 3)</w:t>
      </w:r>
    </w:p>
    <w:p w14:paraId="3A6599D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1925 году значительную долю в производстве изделий заводом занимали физические приборы, медицинская мебель, пурки для зерна и пр. Геодезические инструменты производились в небольшом количестве: изготовлялись теодолиты старой конструкции довоенного времени, простые нивелиры и кипрегеля.</w:t>
      </w:r>
    </w:p>
    <w:p w14:paraId="66CAE3E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1926 год явился переломным и с этого времени началось развитие завода в определенном направлении – построении гл. образом геодезических инструментов.</w:t>
      </w:r>
    </w:p>
    <w:p w14:paraId="109614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Развитие микроскопии началось с 1926 года, когда завод впервые в СССР выпустил школьный микроскоп.</w:t>
      </w:r>
    </w:p>
    <w:p w14:paraId="6892997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1925 году завод «Геофизика» находился в ведении Треста точной механики.</w:t>
      </w:r>
    </w:p>
    <w:p w14:paraId="5B170E8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19 (Завод точной механики № 69)</w:t>
      </w:r>
    </w:p>
    <w:p w14:paraId="1E951A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вырос из небольших сборочных мастерских немецких заводов Цейса и Герца в Риге, филиал Герца был основан в Риге в 1911 году, а Цейса в 1912 году. С началом войны 1914 года мастерские были секвестированы правительством и объединены в один завод под единым управлением Гл. артиллерийского управления.</w:t>
      </w:r>
    </w:p>
    <w:p w14:paraId="5930ED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1915 году завод был эвакуирован в Петроград. Там завод проработал до 1918 года, когда в связи с угрозой Петрограду со стороны белых был эвакуирован сначала в Воронеж, затем в Пермь и в октябре 1918 года переброшен в Подольск Московской области. В первое время после перевода в Подольск завод был в основном занят ремонтом приборов. Ввиду недостатка площадей, завод был переведен в Павшино Московской области в законсервированные корпуса бывших текстильных фабрик Полякова и Персица. Перевод завода в Павшино начался в 1926 году и был закончен в конце 1927 года. В это время на заводе собирались лишь приборы: бинокль типа Цейса, панорама и Б. стереотруба. В 1929 году начинается изготовление медицинских стекол. С 1931 год два основные направления в приборостроении – дальномеростроение, микроскопия и измерительные приборы.</w:t>
      </w:r>
    </w:p>
    <w:p w14:paraId="451723D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Опытный завод</w:t>
      </w:r>
    </w:p>
    <w:p w14:paraId="23C6466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Место: Ленинград, В.О., Биржевая линия, д. 8-10</w:t>
      </w:r>
    </w:p>
    <w:p w14:paraId="08885EE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«Геодезия»</w:t>
      </w:r>
    </w:p>
    <w:p w14:paraId="72AC6F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Место: Москва, ул. Б. Пионерская, 12/14</w:t>
      </w:r>
    </w:p>
    <w:p w14:paraId="5C38771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Государственный оптический институт</w:t>
      </w:r>
    </w:p>
    <w:p w14:paraId="7D3E35A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Место: Ленинград, В.О., Биржевая линия, 12/14 (8869).</w:t>
      </w:r>
    </w:p>
    <w:p w14:paraId="569C2DC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0948EB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было принято решение о строительстве в Иркутске элементного завода в ведении Всесоюзного аккумуляторного треста для производства гальванических батарей, в 1934 г. вышло соответствующее постановление СТО. В 01.1934 г. на базе ремонтных мастерских основан Иркутский завод «Востсибэлемент» (ГС завод № 394 НКОП, НКСП, НКЭП, ГС Иркутский завод «Востсибэлемент» НКОП, Иркутский релейный завод, Р-6376, ОАО «Иркутский релейный завод» ФАП /664075  г. Иркутск ул. Байкальская, 239 тел. 24-57-45/). В соответствии с пост. СНК № 2139-425сс от 21.12.1936 г. и пр. № 59 от 14.02.1937 г. завод «Востсибэлемент» передан из ВАКТ в ведение ГУ аккумуляторной промышленности НКОП, приказом № 76 от 3.03.1937 г. утвержден Устав ГС завода «Востсибэлемент». По пр. № 18с от 19.01.1938 г. переименован в завод № 394 19ГУ НКОП, приказом № 276 от 20.07.1938 г. утвержден новый Устав завода. В 02,1939 г. из 19ГУ передан в ведение НКСП.</w:t>
      </w:r>
      <w:r w:rsidRPr="00C33834">
        <w:rPr>
          <w:rFonts w:ascii="Times New Roman" w:hAnsi="Times New Roman"/>
          <w:color w:val="000000" w:themeColor="text1"/>
          <w:sz w:val="16"/>
          <w:szCs w:val="16"/>
          <w:vertAlign w:val="superscript"/>
        </w:rPr>
        <w:t>139</w:t>
      </w:r>
    </w:p>
    <w:p w14:paraId="1E35075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1936-37 г. реконструирован гл. корпус завода. Приказом № 0018 от 31.01/2.02.1937 г. заводу предписано создать к 1.01.1938 г. мощности по производству анодных батарей - 450 тыс. шт. в год. По пр. № 67с от 21/23.02.1938 г. кирпичный завод ( г. Усолье), принадлежавший «Востсибэлементу», передан (по состоянию на 1.03.1938 г.) заводу № 125. К 1939 г. закончена реконструкция завода.</w:t>
      </w:r>
    </w:p>
    <w:p w14:paraId="7368235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 концу 1941 г. на площадку завода эвакуирована часть завода № 223 НКЭП из Ленинграда. В годы войны выпускал анодные батареи для полевых телефонов и радиоставдий, детали для мин.</w:t>
      </w:r>
    </w:p>
    <w:p w14:paraId="7D1FE4E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1946 г. завод переведен на выпуск гражданской продукции, начато производство акустических приборов (громкоговорителей, батарейных радиопремников).</w:t>
      </w:r>
    </w:p>
    <w:p w14:paraId="4B9CF2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1956 г. специализация завода изменена на выпуск коммутационной техники- малогабаритных реле, микропереключателей (возможно, выпуск элементов питания выделен в отдельное производство). В 1963 г. предприятие переименовано в Иркутский релейный завод. Имел наименование «п/я Р-6376».</w:t>
      </w:r>
    </w:p>
    <w:p w14:paraId="5F0DBD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1966 г. освоен выпуск реле средней мощности, в 1970 г.- герметизированных реле.</w:t>
      </w:r>
    </w:p>
    <w:p w14:paraId="2D2714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1970-е  г. проведена очередная реконструкция завода, резко увеличен выпуск реле.</w:t>
      </w:r>
    </w:p>
    <w:p w14:paraId="4F463E9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имел две производственные площадки.</w:t>
      </w:r>
    </w:p>
    <w:p w14:paraId="54DBB67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0BF2DE8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(2005 г.): коммутационная техника (соединители, переключатели, электромагнитные реле).</w:t>
      </w:r>
    </w:p>
    <w:p w14:paraId="7F4E98F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Численность персонала (1985 г.)- около 5000 чел.</w:t>
      </w:r>
    </w:p>
    <w:p w14:paraId="054FD6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Директор (1934 г.-)- Р.В. Бугошвили, (22.10.1938 г.-)- И.Д. Салов, (1942-55 г.)- Д.Н. Долженко, (1955 г.-)- Л.Ю. Редаих, (1959-63 г.)- М.Б. Кизик, (1967-71 г.)- М.Я. Умань, (10.1971 г.)- </w:t>
      </w:r>
      <w:r w:rsidRPr="00C33834">
        <w:rPr>
          <w:rFonts w:ascii="Times New Roman" w:hAnsi="Times New Roman"/>
          <w:color w:val="000000" w:themeColor="text1"/>
          <w:sz w:val="16"/>
          <w:szCs w:val="16"/>
          <w:lang w:val="en-US"/>
        </w:rPr>
        <w:t>B</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C</w:t>
      </w:r>
      <w:r w:rsidRPr="00C33834">
        <w:rPr>
          <w:rFonts w:ascii="Times New Roman" w:hAnsi="Times New Roman"/>
          <w:color w:val="000000" w:themeColor="text1"/>
          <w:sz w:val="16"/>
          <w:szCs w:val="16"/>
        </w:rPr>
        <w:t>. Мышкин. Гендиректор (1987-2004 г.-)- В.Н. Максименко.</w:t>
      </w:r>
    </w:p>
    <w:p w14:paraId="62D6C76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директора: по общим вопросам (1971 г.)-  Г.И. Федоров; по капстроительству (1971 г.)- П.А. Балканов; (1973 г.)- В.А. Кириллов. Зам. гендиректора по экономике (2004 г.)- О.Л. Костюковский.</w:t>
      </w:r>
    </w:p>
    <w:p w14:paraId="64AD316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(08.1971 г.)- Б.М. Петрухин, В.Н. Максименко, (2004 г.)- С.М. Жигунов.</w:t>
      </w:r>
    </w:p>
    <w:p w14:paraId="634C4A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технолог- В.Н. Максименко.</w:t>
      </w:r>
    </w:p>
    <w:p w14:paraId="00D1136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отделов: ОТК (1971 г.)- А. Г. Берлин.</w:t>
      </w:r>
    </w:p>
    <w:p w14:paraId="6FE2AA1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iCs/>
          <w:color w:val="000000" w:themeColor="text1"/>
          <w:sz w:val="16"/>
          <w:szCs w:val="16"/>
        </w:rPr>
        <w:t>Производство:</w:t>
      </w:r>
      <w:r w:rsidRPr="00C33834">
        <w:rPr>
          <w:rFonts w:ascii="Times New Roman" w:hAnsi="Times New Roman"/>
          <w:color w:val="000000" w:themeColor="text1"/>
          <w:sz w:val="16"/>
          <w:szCs w:val="16"/>
        </w:rPr>
        <w:t xml:space="preserve"> уличные громкоговорители «Байкал», «Ангара» (1950-е); батарейные радиоприемники «Тула», «Заря» (1950-е); блок питания автомобильного радиоприемника; микропереключатели ПД-2, МПН-1, МПВ-1 (1981-); реанимационный тренажер «Витим» (2000-е) (11982).</w:t>
      </w:r>
    </w:p>
    <w:p w14:paraId="65A4135D" w14:textId="77777777" w:rsidR="000A50B4" w:rsidRPr="00C33834" w:rsidRDefault="000A50B4" w:rsidP="00C33834">
      <w:pPr>
        <w:autoSpaceDE w:val="0"/>
        <w:autoSpaceDN w:val="0"/>
        <w:adjustRightInd w:val="0"/>
        <w:spacing w:after="0" w:line="240" w:lineRule="auto"/>
        <w:jc w:val="both"/>
        <w:rPr>
          <w:rFonts w:ascii="Times New Roman" w:hAnsi="Times New Roman"/>
          <w:color w:val="000000" w:themeColor="text1"/>
          <w:sz w:val="16"/>
          <w:szCs w:val="16"/>
        </w:rPr>
      </w:pPr>
    </w:p>
    <w:p w14:paraId="6287C87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1933 г. завод (Завод № 92 НК нефти, Бутырский машиностроительный завод «Густав Лист», Бутырский машиностроительный завод / г. Москва/) разработал и изготовил 20 уникальных пропеллерных насосов большой производительности для шлюзов канала Москва-Волга (работавших и в 2000-е  г.). Выпускал воздушные компрессоры для строительства. После начала войны перешел на выпуск </w:t>
      </w:r>
      <w:r w:rsidRPr="00C33834">
        <w:rPr>
          <w:rFonts w:ascii="Times New Roman" w:hAnsi="Times New Roman"/>
          <w:color w:val="000000" w:themeColor="text1"/>
          <w:sz w:val="16"/>
          <w:szCs w:val="16"/>
          <w:lang w:val="en-US"/>
        </w:rPr>
        <w:t>PC</w:t>
      </w:r>
      <w:r w:rsidRPr="00C33834">
        <w:rPr>
          <w:rFonts w:ascii="Times New Roman" w:hAnsi="Times New Roman"/>
          <w:color w:val="000000" w:themeColor="text1"/>
          <w:sz w:val="16"/>
          <w:szCs w:val="16"/>
        </w:rPr>
        <w:t xml:space="preserve"> М-8 и М-13, мин для крупнокалиберных минометов,</w:t>
      </w:r>
    </w:p>
    <w:p w14:paraId="0E21D2A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1941 г. завод получил наименование- завод № 92 НК нефти, в 1943 г. переименован в завод № 414 НК нефти.</w:t>
      </w:r>
    </w:p>
    <w:p w14:paraId="429BE3B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Численность персонала (1913 г.)- 1400 чел. (11982).</w:t>
      </w:r>
    </w:p>
    <w:p w14:paraId="717C4F3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8F768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в изданной ВОХИМУ "Временной инструкции по мерам безопасности при работах с боевыми химическими веществами (БХВ) и материальной частью военно-химического вооружения" содержалась недвусмысленная запись: "...если же по каким-либо причинам разрядку и переливание произвести невозможно, тара или оболочки с ОВ после предварительной поверхностной дегазации отвозятся в заранее отведенное место, где и закапываются в землю на глубину не менее полутора метров...". И это "экологическое указание", отличавшееся от прежних только лишь заменой 1,5 вершков на 1,5 метра, выполнялось, поскольку было доведено до каждого. Здесь процитирован текст из экземпляра № 2951, случайно сохранившегося в архиве военных летчиков, - "законопослушные" военные химики такого рода документы до сих пор держат в спецхране (9065).</w:t>
      </w:r>
    </w:p>
    <w:p w14:paraId="567715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17ED8D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Дербеневский химзавод заключил с Кузьминским полигоном договор на уничтожение отходов производства дифенилхлорарсина. Деталей нет (9065).</w:t>
      </w:r>
    </w:p>
    <w:p w14:paraId="6A5241F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0B99C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была создана Фабрика эндокринных препаратов Вохимфарма НКТП (Химико-фармацевтический завод № 40 НКЗ, МЗ, Фабрика эндокринных препаратов НКТП, Завод эндокринных и витаминных препаратов НКЗ, Московский пенициллиновый завод № 40 Минмедпрома / г. Москва/). С начала 1936 г. переименована в Завод эндокринных и витаминных препаратов в ведении Главхимфармпрома НКЗ. В 11.1944 г. переименован в Химико-фармацевтический завод № 40 Главхимфармпрома НКЗ, затем МЗ. С начала 1947 г. переименован в Московский пенициллиновый завод № 40 в ведении Главпеницшхлинпрома Минмедпрома, в 1948-49г,- в ведении Главхимпрома МЗ. В 1950 г. переименован в завод № 478 МЗ (11982).</w:t>
      </w:r>
    </w:p>
    <w:p w14:paraId="1BC7695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C216F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1933 г. на базе шелкоткацкой фабрики </w:t>
      </w:r>
      <w:r w:rsidRPr="00C33834">
        <w:rPr>
          <w:rFonts w:ascii="Times New Roman" w:hAnsi="Times New Roman"/>
          <w:color w:val="000000" w:themeColor="text1"/>
          <w:sz w:val="16"/>
          <w:szCs w:val="16"/>
          <w:lang w:val="en-US"/>
        </w:rPr>
        <w:t>A</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M</w:t>
      </w:r>
      <w:r w:rsidRPr="00C33834">
        <w:rPr>
          <w:rFonts w:ascii="Times New Roman" w:hAnsi="Times New Roman"/>
          <w:color w:val="000000" w:themeColor="text1"/>
          <w:sz w:val="16"/>
          <w:szCs w:val="16"/>
        </w:rPr>
        <w:t>. Капцовой, созданной в 1901, был организован завод «Радиолампа» (Завод № 191 НКОП, НКАП, НКЭП, Завод «Радио-Лампа» НКТП, НКОП / г. Фрязино Московской обл./). По пр. НКОП № Обсс от 30.12.1936 г. переименован в завод № 191, в 03.1937 г. - в ведении 5ГУ НКОП, приказом № 116 от 31.03.1937 г. утвержден Устав завода. В 01.1939 г. завод № 191 5ГУ передан в ведение 7ГУ НКАП, утвержден Устав завода № 191. Производство радиоламп. По Указу Президиума ВС от 17.04.1940 г. и приказу НКАП/НКЭП № 105/5 от 23.04.1940 г. передан в ведение вновь образованного НКЭП.</w:t>
      </w:r>
    </w:p>
    <w:p w14:paraId="39BB5D6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Приказами № 0020 от 3.02.1937 г. и № 0101 от 7.05.1937 г. предписано к 1.01.1938 г. закончить строительство и пустить в эксплуатацию завод, создать мощности по производству радиоламп: приемно-усилительных (в т.ч. американских) - 4,7 млн. шт. в год; генераторных - 273,8 тыс. шт. Приказом № 0063 от 27.03.1937 г. для реализации договора об инотехпомощи с фирмой «Радио-Корпорейшн», повышения качества средств вооружения РККА и внедрения американского опыта производства радиоламп заводу выдано задание выпустить в 1937 г. 100 тыс. приемоусилительных металлических ламп и 2000 генераторных ламп; организовать к 1.01.1938 г. машиностроительный цех для изготовления станков лампового производства по американским образцам. Приказом № 0219 от 28.09.1937 г. заводу была установлена программа по выпуску в 1938 г. спецмашин для производства металлических радиоламп: автомат для откачки ламп РСА - 10, насосный агрегат - 10, автомат сеточный - 20. По пр. № 156с от 7/10.05.1938 г. требовалось наладить к 1.08.1938 г. технологию производства микалекса. Приказом № 290с от 7.08.1938 г. требовалось ввести в эксплуатацию в 1938 г. цехи: металлических ламп 1-й очереди, инструментальный 1-й очереди, водородно-кислородный, стекольный; трансформаторную подстанцию, коипрессорную.</w:t>
      </w:r>
    </w:p>
    <w:p w14:paraId="63FAAE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началом войны на заводе организован выпуск стаканов для ручных противотанковых гранат. В 11.1941 г. завод эвакуирован в Ташкент и Уфу, в помещения школ № 53 и № 57 Сталинского района. В Уфу прибыл 41 вагон с оборудованием и кадрами. Организовано производство, которое тогда же, в 11.1941 г. преобразовано в самостоятельный ГС завод № 643 (будущий Уфимский электроламповый завод «Свет»).</w:t>
      </w:r>
    </w:p>
    <w:p w14:paraId="22F7EC6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1942 г. завод реэвакуирован на старое место и получил № 191а.</w:t>
      </w:r>
    </w:p>
    <w:p w14:paraId="1C35FEC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Директор (-23.01.1937 г.)- </w:t>
      </w:r>
      <w:r w:rsidRPr="00C33834">
        <w:rPr>
          <w:rFonts w:ascii="Times New Roman" w:hAnsi="Times New Roman"/>
          <w:color w:val="000000" w:themeColor="text1"/>
          <w:sz w:val="16"/>
          <w:szCs w:val="16"/>
          <w:lang w:val="en-US"/>
        </w:rPr>
        <w:t>A</w:t>
      </w:r>
      <w:r w:rsidRPr="00C33834">
        <w:rPr>
          <w:rFonts w:ascii="Times New Roman" w:hAnsi="Times New Roman"/>
          <w:color w:val="000000" w:themeColor="text1"/>
          <w:sz w:val="16"/>
          <w:szCs w:val="16"/>
        </w:rPr>
        <w:t>.</w:t>
      </w:r>
      <w:r w:rsidRPr="00C33834">
        <w:rPr>
          <w:rFonts w:ascii="Times New Roman" w:hAnsi="Times New Roman"/>
          <w:color w:val="000000" w:themeColor="text1"/>
          <w:sz w:val="16"/>
          <w:szCs w:val="16"/>
          <w:lang w:val="en-US"/>
        </w:rPr>
        <w:t>M</w:t>
      </w:r>
      <w:r w:rsidRPr="00C33834">
        <w:rPr>
          <w:rFonts w:ascii="Times New Roman" w:hAnsi="Times New Roman"/>
          <w:color w:val="000000" w:themeColor="text1"/>
          <w:sz w:val="16"/>
          <w:szCs w:val="16"/>
        </w:rPr>
        <w:t>. Казарьян, (23.01-19.06.1937 г.)- Я.С. Жезлов (снят); и.о. (19.07-20.08.1937 г.)- С.Т. Валуев; (22.10.1937-08.1938 г.-&gt; А.Т. Храмов.</w:t>
      </w:r>
    </w:p>
    <w:p w14:paraId="5E7B97F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Помощник директора по найму и увольнению (7.09.1937 г.-)- П.П. Куликов.</w:t>
      </w:r>
    </w:p>
    <w:p w14:paraId="4682CF9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(-8.10.1937 г.)- К.Б. Романюк, (8.10.1937 г.-)- М.И. Гальдин.</w:t>
      </w:r>
    </w:p>
    <w:p w14:paraId="2363291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технолог (1938-41 г.)- М.М. Федоров.</w:t>
      </w:r>
    </w:p>
    <w:p w14:paraId="2E2CA25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цехов: (1936-38 г.)- М.М. Федоров.</w:t>
      </w:r>
    </w:p>
    <w:p w14:paraId="015C998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лампы: генераторные ГД-400, М-600 (1938); склянки с жидкостью «Гренэ» для морских мин (1939).</w:t>
      </w:r>
      <w:r w:rsidRPr="00C33834">
        <w:rPr>
          <w:rFonts w:ascii="Times New Roman" w:hAnsi="Times New Roman"/>
          <w:color w:val="000000" w:themeColor="text1"/>
          <w:sz w:val="16"/>
          <w:szCs w:val="16"/>
          <w:vertAlign w:val="superscript"/>
        </w:rPr>
        <w:t>ш</w:t>
      </w:r>
    </w:p>
    <w:p w14:paraId="587BAE08" w14:textId="77777777" w:rsidR="000A50B4" w:rsidRPr="00C33834" w:rsidRDefault="000A50B4"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Завод № 191а /г. Фрязино Московской обл./</w:t>
      </w:r>
    </w:p>
    <w:p w14:paraId="1BD053C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1942 г. завод № 191 НКЭП реэвакуирован на старое место и получил № 191а. С 05.1942 г. начался выпуск радиоламп для миноискателей, приемных и передающих радиостанций. Вскоре завод переименован в завод № 747 (11982).</w:t>
      </w:r>
    </w:p>
    <w:p w14:paraId="2229F92B" w14:textId="77777777" w:rsidR="000A50B4" w:rsidRPr="00C33834" w:rsidRDefault="000A50B4" w:rsidP="00C33834">
      <w:pPr>
        <w:autoSpaceDE w:val="0"/>
        <w:autoSpaceDN w:val="0"/>
        <w:adjustRightInd w:val="0"/>
        <w:spacing w:after="0" w:line="240" w:lineRule="auto"/>
        <w:jc w:val="both"/>
        <w:rPr>
          <w:rFonts w:ascii="Times New Roman" w:hAnsi="Times New Roman"/>
          <w:color w:val="000000" w:themeColor="text1"/>
          <w:sz w:val="16"/>
          <w:szCs w:val="16"/>
        </w:rPr>
      </w:pPr>
    </w:p>
    <w:p w14:paraId="3F48A93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завод (Завод № 202 им. К.Е. Ворошилова НКОП, НКСП, Завод «Крестьянский Интернационал» («Крестинтерн») ВСНХ, Дальневосточный судостроительный и механический завод («Дальзавод») им. К.Е. Ворошилова ВСНХ, НКТП, ОАО «Холдинговая компания (ХК) «Дальзавод» /г. Владивосток, 11 п/я 347 (1938 г.)/ /690001 (690005)  г. Владивосток ул. Дальзаводская, 2/) передан из Союзверфи в подчинение Главморпрому НКТП. По пр. НКОП № Обсс от 30.12.1936 г. Судостроительный завод им. Ворошилова переименован в завод № 202 им. Ворошилова. В 02.1937 г. завод - в ведении 2ГУ НКОП, приказом № 136 от 11.04.1937 г. утвержден Устав завода. В 02.1939 г. передан из 2ГУ НКОП в ведение ЗГУ НКСП.</w:t>
      </w:r>
    </w:p>
    <w:p w14:paraId="619128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1921 г. на заводе организована сварочная мастерская, в 1923 г. на ее базе создан электросварочный цех. Изготовлялись сварные котлы и резервуары. В 1925 г. В.П. Вологдиным организована первая лаборатория электродуговой и газовой сварки. В 1930 г. на заводе под его руководством спроектировано и построено первое в стране цельносварное судно- буксирный катер ЖС-1.</w:t>
      </w:r>
    </w:p>
    <w:p w14:paraId="18D08D6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начале 1930-х  г. для строительства ПЛ построены 4 временных наклонных стапеля в «гнилом углу» бухты Золотой Ро г. Приказом № 0014 от 1.02.1937 г. на 1937 г. запланировано восстановление сухих доков. Во исполнение решения правительства № 150с от 7.07.1938 г. приказом № 242сс от 13.07.1938 г. требовалось приступить к восстановлению затопленного сухого дока. Пр. № 444сс от 25.11.1938 г. заводу предписано обеспечить вербовку 1000 рабочих.</w:t>
      </w:r>
    </w:p>
    <w:p w14:paraId="13CE0F0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Сюда в 1941 г. эвакуирована часть завода № 194 НКСП.</w:t>
      </w:r>
      <w:r w:rsidRPr="00C33834">
        <w:rPr>
          <w:rFonts w:ascii="Times New Roman" w:hAnsi="Times New Roman"/>
          <w:color w:val="000000" w:themeColor="text1"/>
          <w:sz w:val="16"/>
          <w:szCs w:val="16"/>
          <w:vertAlign w:val="superscript"/>
        </w:rPr>
        <w:t>61</w:t>
      </w:r>
      <w:r w:rsidRPr="00C33834">
        <w:rPr>
          <w:rFonts w:ascii="Times New Roman" w:hAnsi="Times New Roman"/>
          <w:color w:val="000000" w:themeColor="text1"/>
          <w:sz w:val="16"/>
          <w:szCs w:val="16"/>
        </w:rPr>
        <w:t xml:space="preserve"> Имел филиал- завод № 263 в Совгавани.</w:t>
      </w:r>
    </w:p>
    <w:p w14:paraId="63241CA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Разработаны минные устройства ПЛ типа «Щ» и «М».</w:t>
      </w:r>
    </w:p>
    <w:p w14:paraId="7B6BC53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1970-80-х  г. на заводе планировалось освоить ремонт АПЛ (программа «Ледокол»). Это не было реализовано (были расширены производственные мощности завода «Звезда»), Завод ремонтировал дизельные ПЛ.</w:t>
      </w:r>
    </w:p>
    <w:p w14:paraId="707B03E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2004 г. - ОАО «ХК «Дальзавод». По распоряжению правительства № 22-р от 9.01.2004 г. вошло в число стратегических предприятий. В 2007 г. планировалось вхождение предприятия в один из 7 создаваемых в России судостроительных холдингов- ОАО «Дальневосточный центр судостроения». 16.03.2009 г. предприятие признано банкротом, введена процедура конкурсного производства.</w:t>
      </w:r>
    </w:p>
    <w:p w14:paraId="3A50FB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2009 г. планировалось в одном из пустующих цехов завода разместить автосборочное производство ОАО «Соллерс» с выпуском первых машин в 12.2009 г. Планировался выпуск внедорожников </w:t>
      </w:r>
      <w:r w:rsidRPr="00C33834">
        <w:rPr>
          <w:rFonts w:ascii="Times New Roman" w:hAnsi="Times New Roman"/>
          <w:color w:val="000000" w:themeColor="text1"/>
          <w:sz w:val="16"/>
          <w:szCs w:val="16"/>
          <w:lang w:val="en-US"/>
        </w:rPr>
        <w:t>SsangYong</w:t>
      </w:r>
      <w:r w:rsidRPr="00C33834">
        <w:rPr>
          <w:rFonts w:ascii="Times New Roman" w:hAnsi="Times New Roman"/>
          <w:color w:val="000000" w:themeColor="text1"/>
          <w:sz w:val="16"/>
          <w:szCs w:val="16"/>
        </w:rPr>
        <w:t xml:space="preserve">, фургонов </w:t>
      </w:r>
      <w:r w:rsidRPr="00C33834">
        <w:rPr>
          <w:rFonts w:ascii="Times New Roman" w:hAnsi="Times New Roman"/>
          <w:color w:val="000000" w:themeColor="text1"/>
          <w:sz w:val="16"/>
          <w:szCs w:val="16"/>
          <w:lang w:val="en-US"/>
        </w:rPr>
        <w:t>FiatDucato</w:t>
      </w:r>
      <w:r w:rsidRPr="00C33834">
        <w:rPr>
          <w:rFonts w:ascii="Times New Roman" w:hAnsi="Times New Roman"/>
          <w:color w:val="000000" w:themeColor="text1"/>
          <w:sz w:val="16"/>
          <w:szCs w:val="16"/>
        </w:rPr>
        <w:t xml:space="preserve">, грузовиков </w:t>
      </w:r>
      <w:r w:rsidRPr="00C33834">
        <w:rPr>
          <w:rFonts w:ascii="Times New Roman" w:hAnsi="Times New Roman"/>
          <w:color w:val="000000" w:themeColor="text1"/>
          <w:sz w:val="16"/>
          <w:szCs w:val="16"/>
          <w:lang w:val="en-US"/>
        </w:rPr>
        <w:t>Isuzu</w:t>
      </w:r>
      <w:r w:rsidRPr="00C33834">
        <w:rPr>
          <w:rFonts w:ascii="Times New Roman" w:hAnsi="Times New Roman"/>
          <w:color w:val="000000" w:themeColor="text1"/>
          <w:sz w:val="16"/>
          <w:szCs w:val="16"/>
        </w:rPr>
        <w:t xml:space="preserve"> мощностью 15 тыс. машин в год.</w:t>
      </w:r>
    </w:p>
    <w:p w14:paraId="4FB9F94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Численность персонала (1937 г.)- 5062 чел., (2002 г.)- 3543 чел.</w:t>
      </w:r>
    </w:p>
    <w:p w14:paraId="2C9C0CA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(-21.09.1937 г.)- И.С. Сергеев (снят), (21.09.1937-07.1938 г.-)-  Г.Д. Каплун, (1940 г.)- Б.Е. Клопотов, (ВОВ)- В.П. Рудяк, (-1957 г.)- В.Н. Дубровский (затем- начальник Управления ЛенСНХ). Гендиректор (-1999- 2002 г.)- С.М. Кучеренко. Внешний управляющий (2002-04 г.)- А.А. Чавычалов. И.О. конкурсного управляющего (16.03.2009 г.-)- А.А. Чавычалов.</w:t>
      </w:r>
    </w:p>
    <w:p w14:paraId="799F2F6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технический (1930-е)- П. Г. Гойнкис; исполнительный (-2003 г.)- Н. Болгар, (2006 г.)- А. Басаргин.</w:t>
      </w:r>
    </w:p>
    <w:p w14:paraId="6AEB359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исполнительного директора (2004 г.)- Н. Панюта.</w:t>
      </w:r>
    </w:p>
    <w:p w14:paraId="5C750A7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(01.1937 г.)- К.Н. Кулигин.</w:t>
      </w:r>
    </w:p>
    <w:p w14:paraId="111FAB9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Начальники отделов: ППО (02.1938 г.)- Клопотов.</w:t>
      </w:r>
    </w:p>
    <w:p w14:paraId="070654F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Строители кораблей: (1932 г.)- С.В. Волынский.</w:t>
      </w:r>
    </w:p>
    <w:p w14:paraId="18F729EE"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Производство: буксирные катера: типа Ж (1926-), ЖС (1931-); морской буксир 400 л.с. типа «МБ» пр. 130 (зак. 583, 1938), (1933-39)- всего 6; сухогрузы «Работница», «Крестьянка» (1930-33); сторожевики: сборка кораблей заводов им. Жданова и им. Марти II серии (пр. 4) «Метель», «Вьюга», «Гром», «Бурун» (-1934), III серии (пр. 39) «Молния», «Зарница» (1935); эсминцы: сборка эсминцев пр. 7 завода им. Марти «Резвый» (09.1937- ), «Решительный», «Расторопный», «Разящий» (-1940), «Рьяный», «Резкий» (-1942), «Ретивый», «Поспешный», «Проворный», «Передовой», «Прыткий» («Рекордный»), «Пылкий», «Прочный» («Разумный») (1941); ПЛ: сборка лодок: заводов Балтийского и им. Марти V серии (1932-34), Убис (VII) серии Щ-113, -114, -115, -116, -117, -118, - 119, -120 (-1935), Убис (II) серии Щ-121, -122, -123, -124, -125 (1930-е), Ибис (XI) серии Л-7, -8, -9, -10 (1936-37); заводов 189 и 194 X серии Щ-126, -127, -128, -129, -130, -131, -132, -133, -134 (-12.1936), завода 194 Хбис серии Щ-135, -136, -137, -138 (-12.1941); заводов 189 и 194 серии 1Хбис С-51, С-54, С-55, С-56 (-1941)- 5; заводов 189 и 198 XIII серии Л-13, Л-14, Л-15, Л-16, Л-17 (зак. 305, 1938), Л-18 (зак. 306, 1938), Л-19 (зак. 307, 1938-39); транспорт-ракетовоз пр. 1818А (1968-73)- 2; буксируемые щиты-мишени пр. 1784 (1960-е), пр. 1784Б (1970-е), пр. 436Б (1970-е);</w:t>
      </w:r>
      <w:r w:rsidRPr="00C33834">
        <w:rPr>
          <w:rFonts w:ascii="Times New Roman" w:hAnsi="Times New Roman"/>
          <w:color w:val="000000" w:themeColor="text1"/>
          <w:sz w:val="16"/>
          <w:szCs w:val="16"/>
          <w:vertAlign w:val="superscript"/>
        </w:rPr>
        <w:t>116</w:t>
      </w:r>
      <w:r w:rsidRPr="00C33834">
        <w:rPr>
          <w:rFonts w:ascii="Times New Roman" w:hAnsi="Times New Roman"/>
          <w:color w:val="000000" w:themeColor="text1"/>
          <w:sz w:val="16"/>
          <w:szCs w:val="16"/>
        </w:rPr>
        <w:t xml:space="preserve"> достройка (на плаву) лидера пр. 38бис «Орджоникидзе» (11.1938-39);, ремонт: миноносца «Лазо», ледокола «Красный Октябрь» (1922-25), коммерческих судов (1930-е); переоборудование: пароходов «Теодор Нетте», «Астрахань» в мигоаги (1933-35)- 6; ПЛ пр. 611 Б-71 по пр. 611РУ с ГАК «Рубин» (1963-12.1964); крейсера пр. 68 «Адмирал Сенявин» в корабль управления по пр. 68У2 «Бухта» (1971-72); БРК пр. 57Б в БПЛК по пр. 57А (1968-73)- 8 (вместе с заводами 190 и 445); БРК пр. 56М и 56ЭМ в БПЛК по пр. 56У (1972-77)- 3 (вместе с заводом 497); ПЛ пр. 629 в ретрансляторы по пр. 629Р (1976-79)- 2; модернизация: тральщиков пр. 3, 53, 58, 53У (1946-50); ПЛ: Б-62 пр. 611 по пр. АВ611 с МБР Р-11ФМ (1957-58); пр. И641 по пр. И641М (1976-79)-2 (11982).</w:t>
      </w:r>
    </w:p>
    <w:p w14:paraId="5D1055E4" w14:textId="77777777" w:rsidR="000A50B4" w:rsidRPr="00C33834" w:rsidRDefault="000A50B4" w:rsidP="00C33834">
      <w:pPr>
        <w:autoSpaceDE w:val="0"/>
        <w:autoSpaceDN w:val="0"/>
        <w:adjustRightInd w:val="0"/>
        <w:spacing w:after="0" w:line="240" w:lineRule="auto"/>
        <w:jc w:val="both"/>
        <w:rPr>
          <w:rFonts w:ascii="Times New Roman" w:hAnsi="Times New Roman"/>
          <w:color w:val="000000" w:themeColor="text1"/>
          <w:sz w:val="16"/>
          <w:szCs w:val="16"/>
        </w:rPr>
      </w:pPr>
    </w:p>
    <w:p w14:paraId="56BC02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на заводе «Красный Путиловец» были изготовлены первые образцы 152-мм морских ДРП.</w:t>
      </w:r>
    </w:p>
    <w:p w14:paraId="05AAF1A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1934 г. завод «Красный Путиловец» получил заказ на одиннадцать 152-мм ДРП. На 1 декабря 1934 г. заводом было изготовлено, сдано и отгружено в адрес завода № 38 девять 152-мм систем.</w:t>
      </w:r>
    </w:p>
    <w:p w14:paraId="0A054D9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Заряжание орудия производилось с дула из надствольного магазина. Автоматика работала за счет подачи сжатого воздуха из специального баллона, расположенного на корабле. Снаряд двигался по цилиндрическому магазину, а затем под действием силы тяжести падал в лоток, откуда специальным досылателем загонялся в ствол.</w:t>
      </w:r>
    </w:p>
    <w:p w14:paraId="087E5CF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Выстрел унитарный. Гильзой служила сгораемая ткань и деревянный поддон, раздробляемый выстрелом. Средством воспламенения был капсюль, при разбитии которого огонь передавался по боковому отверстию в зарядной каморе черному пороху, расположенному в сгорающей ткани кольцом вокруг заряда.</w:t>
      </w:r>
    </w:p>
    <w:p w14:paraId="72C24C8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Стрельба, когда сопло расположено над палубой (даже параллельно ей), не могла вестись без повреждений корпуса и надстроек.</w:t>
      </w:r>
    </w:p>
    <w:p w14:paraId="22FE78C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Данные 152-мм опытной ДРП </w:t>
      </w:r>
    </w:p>
    <w:p w14:paraId="176BA0C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Калибр, мм — 152,4</w:t>
      </w:r>
    </w:p>
    <w:p w14:paraId="170437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Длина хода снаряда, клб — около 15</w:t>
      </w:r>
    </w:p>
    <w:p w14:paraId="17E36BE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Угол ВН, град — +35°</w:t>
      </w:r>
    </w:p>
    <w:p w14:paraId="0AB0263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Угол ГН, град — 360°</w:t>
      </w:r>
    </w:p>
    <w:p w14:paraId="22B79C0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ВН за один оборот маховика, град — около 1,5</w:t>
      </w:r>
    </w:p>
    <w:p w14:paraId="78EA407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Скорость ГН за один оборот маховика, град — около 2</w:t>
      </w:r>
    </w:p>
    <w:p w14:paraId="4DB6FED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Скорострельность, выстр/мин — 10</w:t>
      </w:r>
    </w:p>
    <w:p w14:paraId="005BB5E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 снаряда 152-мм ДРП — 24 кг. Снаряды — чугунные болванки и снаряды обыкновенного чугуна, снаряженные дымным порохом с 22-секундной трубкой. Пояски системы Минье из красной меди (12091).</w:t>
      </w:r>
    </w:p>
    <w:p w14:paraId="595E4E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1F2F6C7" w14:textId="77777777" w:rsidR="00A1059C" w:rsidRPr="00C33834" w:rsidRDefault="00A105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1933 год был запущен Днепровский алюминиевый завод в Запорожье, питаемый электроэнергией Днепрогэса. Впоследствии – Запорожский производственный алюминиевый комбинат на Украине. Вначале завод работает на импортном сырье, а через год переходит на советское сырье. В заводской комплекс входили: глиноземный завод, рассчитанный на переработку 30 тыс. тонн бокситов; электролизное производство, позволяющее выдавать до 15 тыс. тонн металла в год, и электродный завод, нацеленный на выпуск угольных анодов и плит, необходимых для футеровки электролизеров. Именно на этом заводе освоено производство вайербарсов – идеально гладких слитков из алюминия высшего сорта, из которых производят катанку. </w:t>
      </w:r>
    </w:p>
    <w:p w14:paraId="30F1EFFC" w14:textId="77777777" w:rsidR="00A1059C" w:rsidRPr="00C33834" w:rsidRDefault="00A105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1934 год – создается Северо-Уральский бокситовый рудник. Чтобы расширить географию производства, поиски бокситов были организованы по всей стране. </w:t>
      </w:r>
    </w:p>
    <w:p w14:paraId="4C905928" w14:textId="77777777" w:rsidR="00A1059C" w:rsidRPr="00C33834" w:rsidRDefault="00A105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Найти ценное сырье всегда непросто, но геологу Николаю Каржавину помогла счастливая случайность. Изучая в лаборатории коллекцию минералов, собранную выдающимся кристаллографом академиком Евграфом Федоровым на Турьинских медных рудниках Северного Урала, он выяснил, что горная порода, обозначенная как железный песчаник, на самом деле содержит более 50% оксида алюминия, то есть представляет собой боксит, по качеству значительно превосходящий тихвинский. Такие же образцы породы, как в коллекции Федорова, были обнаружены им в тайге на реке Вагран в районе города Серова. Берега реки, где порода выходила на поверхность, были характерного красно-коричневого цвета, поэтому месторождение назвали «Красная Шапочка». Оно стало первым в Североуральском бокситовом бассейне. </w:t>
      </w:r>
    </w:p>
    <w:p w14:paraId="58B93FBA" w14:textId="77777777" w:rsidR="00A1059C" w:rsidRPr="00C33834" w:rsidRDefault="00A105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 xml:space="preserve">1936 год – запущен Южно-Уральский бокситовый рудник, что определило строительство нового мощного алюминиевого комбината на Урале. </w:t>
      </w:r>
    </w:p>
    <w:p w14:paraId="55CEA77F" w14:textId="77777777" w:rsidR="00A1059C" w:rsidRPr="00C33834" w:rsidRDefault="00A105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1938 год – в эксплуатацию введен Тихвинский глиноземный завод (впоследствии переименованный в Бокситогорский глиноземный завод) с годовой мощностью 40 тыс. тонн. </w:t>
      </w:r>
    </w:p>
    <w:p w14:paraId="73FCA6AC" w14:textId="77777777" w:rsidR="00A1059C" w:rsidRPr="00C33834" w:rsidRDefault="00A105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1939 год – запущена первая очередь Уральского алюминиевого завода в городе Каменске-Уральском на реке Исеть. </w:t>
      </w:r>
    </w:p>
    <w:p w14:paraId="3E931822" w14:textId="77777777" w:rsidR="00A1059C" w:rsidRPr="00C33834" w:rsidRDefault="00A105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1940 год – объем выпущенного алюминия достиг 60 тыс. тонн. СССР вышел на третье место в мире по этому показателю, уступая Германии и США. На территории нынешней Российской Федерации работают два алюминиевых и один глиноземный завод. </w:t>
      </w:r>
    </w:p>
    <w:p w14:paraId="2C11AFBD" w14:textId="77777777" w:rsidR="00A1059C" w:rsidRPr="00C33834" w:rsidRDefault="00A105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строй вступает Ступинский алюминиевый комбинат – на тот момент самый большой в мире, годом позже его первая очередь выходит на проектную мощностью. </w:t>
      </w:r>
    </w:p>
    <w:p w14:paraId="3D8FA1E7" w14:textId="77777777" w:rsidR="00A1059C" w:rsidRPr="00C33834" w:rsidRDefault="00A105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Принято решение о строительстве Богословского алюминиевого завода недалеко от реки Турьи и поселка Турьинские рудники. </w:t>
      </w:r>
    </w:p>
    <w:p w14:paraId="4A42F641" w14:textId="77777777" w:rsidR="00A1059C" w:rsidRPr="00C33834" w:rsidRDefault="00A105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1941-1945 гг. – в рамках масштабной промышленной эвакуации оборудование Волховского и Тихвинского заводов перевозят на Урал и в Западную Сибирь, где на их основе начинают строительство Богословского и Новокузнецкого (в то время – Сталинского) заводов соответственно. Уральский алюминиевый завод остается единственным в Советском Союзе предприятием, выпускающим глинозем, алюминий и его сплавы на нужды обороны. </w:t>
      </w:r>
    </w:p>
    <w:p w14:paraId="05EE0591" w14:textId="77777777" w:rsidR="00A1059C" w:rsidRPr="00C33834" w:rsidRDefault="00A1059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1943 год – Сталинский (Новокузнецкий) и Богословский алюминиевые заводы вступают в строй. Богословский завод вплоть до 1945 года производит только гидроксид алюминия (12271). </w:t>
      </w:r>
    </w:p>
    <w:p w14:paraId="17583903" w14:textId="77777777" w:rsidR="00A1059C" w:rsidRPr="00C33834" w:rsidRDefault="00A1059C" w:rsidP="00C33834">
      <w:pPr>
        <w:spacing w:after="0" w:line="240" w:lineRule="auto"/>
        <w:jc w:val="both"/>
        <w:rPr>
          <w:rFonts w:ascii="Times New Roman" w:hAnsi="Times New Roman"/>
          <w:color w:val="000000" w:themeColor="text1"/>
          <w:sz w:val="16"/>
          <w:szCs w:val="16"/>
        </w:rPr>
      </w:pPr>
    </w:p>
    <w:p w14:paraId="2E8FD772" w14:textId="77777777" w:rsidR="002E2083" w:rsidRPr="00C33834" w:rsidRDefault="008E43F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Армия:</w:t>
      </w:r>
    </w:p>
    <w:p w14:paraId="5F490275"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0EF03EB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штурмовиками Р-5Ш укомплектовали по одной эскадрилье в 251-й, 252-й и 255-й бригадах. Массовое же перевооружение штурмовой авиации произошло в следующем году. Обычно в каждой эскадрилье один отряд должен был нести полную бомбовую нагрузку при снятии одной или двух пар крыльевых пулеметов; второй бомб не брал, но нес полный комплект пулеметов с полным боезапасом; на самолеты третьего подвешивали ВАП-4, ограничивая запас патронов для крыльевых пулеметов (11936).</w:t>
      </w:r>
    </w:p>
    <w:p w14:paraId="31A3924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Одним из основных видов оружия штурмовиков считалось химическое. Предусматривалось применение ВАП-4 против пехоты, кавалерии, артиллерии и обозов, в первую очередь, на конной тяге. Особенно уязвимыми считали обозы и артиллерию, где лошадей много, а людей сравнительно мало. При неожиданной атаке они не успели бы надеть на всех лошадей противогазы. У обозникоа не имелось и эффективных средств борьбы с низколетящими самолетами. Один Р-5 нес 160 кг иприта или люизита и с высоты около 50 м накрывал ядовитым дождем всю ширину дороги. Штурмовая бригада могла за два вылета сбросить 9 т иприта. Две бригады за один вылет могли перебить всех лошадей в польском пехотном корпусе (11936).</w:t>
      </w:r>
    </w:p>
    <w:p w14:paraId="6B2FA1C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1D5E566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успели вооружить Р-5Ш по одной эскадрилье в 251 -й, 252-й и 255-й бригадах. Массовое же перевооружение штурмовой авиации на эти машины произошло в следующем году. Каждая бригада состояла из двух-трех эскадрилий. Обычно в каждой эскадрилье один отряд должен был нести полную бомбовую нагрузку (до 40 бомб малого калибра) при снятии одной или двух пар пулеметов на крыльях, второй бомб не брал, но нес полный боекомплект для пулеметов, на самолеты третьего подвешивали ВАП-4, ограничивая запас патронов для крыльевых пулеметов. Тактика применения Р-5Ш предусматривала нанесение ударов с малых высот (от 15 до 50 м) (12034).</w:t>
      </w:r>
    </w:p>
    <w:p w14:paraId="472500F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1A3A86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число авиабригад составляло 35 по сравнению с 17 в 1929 (66,179).</w:t>
      </w:r>
    </w:p>
    <w:p w14:paraId="2E803DA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8C9049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ТБ-1 считался уже вполне освоенным типом, однако к тому моменту роль основно</w:t>
      </w:r>
      <w:r w:rsidRPr="00C33834">
        <w:rPr>
          <w:rFonts w:ascii="Times New Roman" w:hAnsi="Times New Roman"/>
          <w:color w:val="000000" w:themeColor="text1"/>
          <w:sz w:val="16"/>
          <w:szCs w:val="16"/>
        </w:rPr>
        <w:softHyphen/>
        <w:t>го тяжелого бомбардировщика уже факти</w:t>
      </w:r>
      <w:r w:rsidRPr="00C33834">
        <w:rPr>
          <w:rFonts w:ascii="Times New Roman" w:hAnsi="Times New Roman"/>
          <w:color w:val="000000" w:themeColor="text1"/>
          <w:sz w:val="16"/>
          <w:szCs w:val="16"/>
        </w:rPr>
        <w:softHyphen/>
        <w:t>чески перешла к ТБ-3, серийное произволство которых нарастало. Начиная с 1935 г., ТБ-1 все активнее стали переводить на вспо</w:t>
      </w:r>
      <w:r w:rsidRPr="00C33834">
        <w:rPr>
          <w:rFonts w:ascii="Times New Roman" w:hAnsi="Times New Roman"/>
          <w:color w:val="000000" w:themeColor="text1"/>
          <w:sz w:val="16"/>
          <w:szCs w:val="16"/>
        </w:rPr>
        <w:softHyphen/>
        <w:t>могательные роли, включая выполнение транспортных задач (11286).</w:t>
      </w:r>
    </w:p>
    <w:tbl>
      <w:tblPr>
        <w:tblW w:w="0" w:type="auto"/>
        <w:tblInd w:w="40" w:type="dxa"/>
        <w:tblLayout w:type="fixed"/>
        <w:tblCellMar>
          <w:left w:w="40" w:type="dxa"/>
          <w:right w:w="40" w:type="dxa"/>
        </w:tblCellMar>
        <w:tblLook w:val="0000" w:firstRow="0" w:lastRow="0" w:firstColumn="0" w:lastColumn="0" w:noHBand="0" w:noVBand="0"/>
      </w:tblPr>
      <w:tblGrid>
        <w:gridCol w:w="2083"/>
        <w:gridCol w:w="634"/>
        <w:gridCol w:w="739"/>
      </w:tblGrid>
      <w:tr w:rsidR="00F26F01" w:rsidRPr="00C33834" w14:paraId="1DBCB6A8" w14:textId="77777777">
        <w:trPr>
          <w:trHeight w:val="374"/>
        </w:trPr>
        <w:tc>
          <w:tcPr>
            <w:tcW w:w="3456" w:type="dxa"/>
            <w:gridSpan w:val="3"/>
            <w:tcBorders>
              <w:top w:val="single" w:sz="6" w:space="0" w:color="auto"/>
              <w:left w:val="single" w:sz="6" w:space="0" w:color="auto"/>
              <w:bottom w:val="single" w:sz="6" w:space="0" w:color="auto"/>
              <w:right w:val="single" w:sz="6" w:space="0" w:color="auto"/>
            </w:tcBorders>
          </w:tcPr>
          <w:p w14:paraId="22C2943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Наличие ТБ- 1 и планы их дальнейшего пе</w:t>
            </w:r>
            <w:r w:rsidRPr="00C33834">
              <w:rPr>
                <w:rFonts w:ascii="Times New Roman" w:hAnsi="Times New Roman"/>
                <w:color w:val="000000" w:themeColor="text1"/>
                <w:sz w:val="16"/>
                <w:szCs w:val="16"/>
              </w:rPr>
              <w:softHyphen/>
              <w:t>рераспределения</w:t>
            </w:r>
          </w:p>
        </w:tc>
      </w:tr>
      <w:tr w:rsidR="00F26F01" w:rsidRPr="00C33834" w14:paraId="1F96DBFF" w14:textId="77777777">
        <w:trPr>
          <w:trHeight w:val="451"/>
        </w:trPr>
        <w:tc>
          <w:tcPr>
            <w:tcW w:w="2083" w:type="dxa"/>
            <w:tcBorders>
              <w:top w:val="single" w:sz="6" w:space="0" w:color="auto"/>
              <w:left w:val="single" w:sz="6" w:space="0" w:color="auto"/>
              <w:bottom w:val="single" w:sz="6" w:space="0" w:color="auto"/>
              <w:right w:val="single" w:sz="6" w:space="0" w:color="auto"/>
            </w:tcBorders>
          </w:tcPr>
          <w:p w14:paraId="6BB8191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Подразделение</w:t>
            </w:r>
          </w:p>
        </w:tc>
        <w:tc>
          <w:tcPr>
            <w:tcW w:w="634" w:type="dxa"/>
            <w:tcBorders>
              <w:top w:val="single" w:sz="6" w:space="0" w:color="auto"/>
              <w:left w:val="single" w:sz="6" w:space="0" w:color="auto"/>
              <w:bottom w:val="single" w:sz="6" w:space="0" w:color="auto"/>
              <w:right w:val="single" w:sz="6" w:space="0" w:color="auto"/>
            </w:tcBorders>
          </w:tcPr>
          <w:p w14:paraId="10A804F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Наличие на 1.03.33</w:t>
            </w:r>
          </w:p>
        </w:tc>
        <w:tc>
          <w:tcPr>
            <w:tcW w:w="739" w:type="dxa"/>
            <w:tcBorders>
              <w:top w:val="single" w:sz="6" w:space="0" w:color="auto"/>
              <w:left w:val="single" w:sz="6" w:space="0" w:color="auto"/>
              <w:bottom w:val="single" w:sz="6" w:space="0" w:color="auto"/>
              <w:right w:val="single" w:sz="6" w:space="0" w:color="auto"/>
            </w:tcBorders>
          </w:tcPr>
          <w:p w14:paraId="18D4323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плану на 1.05.33</w:t>
            </w:r>
          </w:p>
        </w:tc>
      </w:tr>
      <w:tr w:rsidR="00F26F01" w:rsidRPr="00C33834" w14:paraId="3585D14B" w14:textId="77777777">
        <w:trPr>
          <w:trHeight w:val="163"/>
        </w:trPr>
        <w:tc>
          <w:tcPr>
            <w:tcW w:w="2083" w:type="dxa"/>
            <w:tcBorders>
              <w:top w:val="single" w:sz="6" w:space="0" w:color="auto"/>
              <w:left w:val="single" w:sz="6" w:space="0" w:color="auto"/>
              <w:bottom w:val="single" w:sz="6" w:space="0" w:color="auto"/>
              <w:right w:val="single" w:sz="6" w:space="0" w:color="auto"/>
            </w:tcBorders>
          </w:tcPr>
          <w:p w14:paraId="798276B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Московский военный округ</w:t>
            </w:r>
          </w:p>
        </w:tc>
        <w:tc>
          <w:tcPr>
            <w:tcW w:w="1373" w:type="dxa"/>
            <w:gridSpan w:val="2"/>
            <w:tcBorders>
              <w:top w:val="single" w:sz="6" w:space="0" w:color="auto"/>
              <w:left w:val="single" w:sz="6" w:space="0" w:color="auto"/>
              <w:bottom w:val="single" w:sz="6" w:space="0" w:color="auto"/>
              <w:right w:val="single" w:sz="6" w:space="0" w:color="auto"/>
            </w:tcBorders>
          </w:tcPr>
          <w:p w14:paraId="1D11235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EB315E0"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69BAFA6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1-я АБ (Воронеж)</w:t>
            </w:r>
          </w:p>
        </w:tc>
        <w:tc>
          <w:tcPr>
            <w:tcW w:w="634" w:type="dxa"/>
            <w:tcBorders>
              <w:top w:val="single" w:sz="6" w:space="0" w:color="auto"/>
              <w:left w:val="single" w:sz="6" w:space="0" w:color="auto"/>
              <w:bottom w:val="single" w:sz="6" w:space="0" w:color="auto"/>
              <w:right w:val="single" w:sz="6" w:space="0" w:color="auto"/>
            </w:tcBorders>
          </w:tcPr>
          <w:p w14:paraId="4525C25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w:t>
            </w:r>
          </w:p>
        </w:tc>
        <w:tc>
          <w:tcPr>
            <w:tcW w:w="739" w:type="dxa"/>
            <w:tcBorders>
              <w:top w:val="single" w:sz="6" w:space="0" w:color="auto"/>
              <w:left w:val="single" w:sz="6" w:space="0" w:color="auto"/>
              <w:bottom w:val="single" w:sz="6" w:space="0" w:color="auto"/>
              <w:right w:val="single" w:sz="6" w:space="0" w:color="auto"/>
            </w:tcBorders>
          </w:tcPr>
          <w:p w14:paraId="549DA44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48</w:t>
            </w:r>
          </w:p>
        </w:tc>
      </w:tr>
      <w:tr w:rsidR="00F26F01" w:rsidRPr="00C33834" w14:paraId="7AA70A13" w14:textId="77777777">
        <w:trPr>
          <w:trHeight w:val="307"/>
        </w:trPr>
        <w:tc>
          <w:tcPr>
            <w:tcW w:w="2083" w:type="dxa"/>
            <w:tcBorders>
              <w:top w:val="single" w:sz="6" w:space="0" w:color="auto"/>
              <w:left w:val="single" w:sz="6" w:space="0" w:color="auto"/>
              <w:bottom w:val="single" w:sz="6" w:space="0" w:color="auto"/>
              <w:right w:val="single" w:sz="6" w:space="0" w:color="auto"/>
            </w:tcBorders>
          </w:tcPr>
          <w:p w14:paraId="775AF80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23-я АБ (Монино)</w:t>
            </w:r>
          </w:p>
        </w:tc>
        <w:tc>
          <w:tcPr>
            <w:tcW w:w="634" w:type="dxa"/>
            <w:tcBorders>
              <w:top w:val="single" w:sz="6" w:space="0" w:color="auto"/>
              <w:left w:val="single" w:sz="6" w:space="0" w:color="auto"/>
              <w:bottom w:val="single" w:sz="6" w:space="0" w:color="auto"/>
              <w:right w:val="single" w:sz="6" w:space="0" w:color="auto"/>
            </w:tcBorders>
          </w:tcPr>
          <w:p w14:paraId="77EB2E7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15</w:t>
            </w:r>
          </w:p>
        </w:tc>
        <w:tc>
          <w:tcPr>
            <w:tcW w:w="739" w:type="dxa"/>
            <w:tcBorders>
              <w:top w:val="single" w:sz="6" w:space="0" w:color="auto"/>
              <w:left w:val="single" w:sz="6" w:space="0" w:color="auto"/>
              <w:bottom w:val="single" w:sz="6" w:space="0" w:color="auto"/>
              <w:right w:val="single" w:sz="6" w:space="0" w:color="auto"/>
            </w:tcBorders>
          </w:tcPr>
          <w:p w14:paraId="14617A8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Замена на ТБ-3</w:t>
            </w:r>
          </w:p>
        </w:tc>
      </w:tr>
      <w:tr w:rsidR="00F26F01" w:rsidRPr="00C33834" w14:paraId="173E6CC0"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753A641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4-й ОСБОН *</w:t>
            </w:r>
          </w:p>
        </w:tc>
        <w:tc>
          <w:tcPr>
            <w:tcW w:w="634" w:type="dxa"/>
            <w:tcBorders>
              <w:top w:val="single" w:sz="6" w:space="0" w:color="auto"/>
              <w:left w:val="single" w:sz="6" w:space="0" w:color="auto"/>
              <w:bottom w:val="single" w:sz="6" w:space="0" w:color="auto"/>
              <w:right w:val="single" w:sz="6" w:space="0" w:color="auto"/>
            </w:tcBorders>
          </w:tcPr>
          <w:p w14:paraId="5C1F142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739" w:type="dxa"/>
            <w:tcBorders>
              <w:top w:val="single" w:sz="6" w:space="0" w:color="auto"/>
              <w:left w:val="single" w:sz="6" w:space="0" w:color="auto"/>
              <w:bottom w:val="single" w:sz="6" w:space="0" w:color="auto"/>
              <w:right w:val="single" w:sz="6" w:space="0" w:color="auto"/>
            </w:tcBorders>
          </w:tcPr>
          <w:p w14:paraId="2F5627B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r>
      <w:tr w:rsidR="00F26F01" w:rsidRPr="00C33834" w14:paraId="28D37F23"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50DED05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Ленинградский военный окру</w:t>
            </w:r>
          </w:p>
        </w:tc>
        <w:tc>
          <w:tcPr>
            <w:tcW w:w="634" w:type="dxa"/>
            <w:tcBorders>
              <w:top w:val="single" w:sz="6" w:space="0" w:color="auto"/>
              <w:left w:val="single" w:sz="6" w:space="0" w:color="auto"/>
              <w:bottom w:val="single" w:sz="6" w:space="0" w:color="auto"/>
              <w:right w:val="single" w:sz="6" w:space="0" w:color="auto"/>
            </w:tcBorders>
          </w:tcPr>
          <w:p w14:paraId="0EEBD4E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w:t>
            </w:r>
          </w:p>
        </w:tc>
        <w:tc>
          <w:tcPr>
            <w:tcW w:w="739" w:type="dxa"/>
            <w:tcBorders>
              <w:top w:val="single" w:sz="6" w:space="0" w:color="auto"/>
              <w:left w:val="single" w:sz="6" w:space="0" w:color="auto"/>
              <w:bottom w:val="single" w:sz="6" w:space="0" w:color="auto"/>
              <w:right w:val="single" w:sz="6" w:space="0" w:color="auto"/>
            </w:tcBorders>
          </w:tcPr>
          <w:p w14:paraId="085465D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14C7754" w14:textId="77777777">
        <w:trPr>
          <w:trHeight w:val="163"/>
        </w:trPr>
        <w:tc>
          <w:tcPr>
            <w:tcW w:w="2083" w:type="dxa"/>
            <w:tcBorders>
              <w:top w:val="single" w:sz="6" w:space="0" w:color="auto"/>
              <w:left w:val="single" w:sz="6" w:space="0" w:color="auto"/>
              <w:bottom w:val="single" w:sz="6" w:space="0" w:color="auto"/>
              <w:right w:val="single" w:sz="6" w:space="0" w:color="auto"/>
            </w:tcBorders>
          </w:tcPr>
          <w:p w14:paraId="54C124A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1-й ТБАК** (Кречевицы)</w:t>
            </w:r>
          </w:p>
        </w:tc>
        <w:tc>
          <w:tcPr>
            <w:tcW w:w="634" w:type="dxa"/>
            <w:tcBorders>
              <w:top w:val="single" w:sz="6" w:space="0" w:color="auto"/>
              <w:left w:val="single" w:sz="6" w:space="0" w:color="auto"/>
              <w:bottom w:val="single" w:sz="6" w:space="0" w:color="auto"/>
              <w:right w:val="single" w:sz="6" w:space="0" w:color="auto"/>
            </w:tcBorders>
          </w:tcPr>
          <w:p w14:paraId="10A6EFD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23</w:t>
            </w:r>
          </w:p>
        </w:tc>
        <w:tc>
          <w:tcPr>
            <w:tcW w:w="739" w:type="dxa"/>
            <w:tcBorders>
              <w:top w:val="single" w:sz="6" w:space="0" w:color="auto"/>
              <w:left w:val="single" w:sz="6" w:space="0" w:color="auto"/>
              <w:bottom w:val="single" w:sz="6" w:space="0" w:color="auto"/>
              <w:right w:val="single" w:sz="6" w:space="0" w:color="auto"/>
            </w:tcBorders>
          </w:tcPr>
          <w:p w14:paraId="6F4B92D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w:t>
            </w:r>
          </w:p>
        </w:tc>
      </w:tr>
      <w:tr w:rsidR="00F26F01" w:rsidRPr="00C33834" w14:paraId="4206CFFE" w14:textId="77777777">
        <w:trPr>
          <w:trHeight w:val="163"/>
        </w:trPr>
        <w:tc>
          <w:tcPr>
            <w:tcW w:w="2083" w:type="dxa"/>
            <w:tcBorders>
              <w:top w:val="single" w:sz="6" w:space="0" w:color="auto"/>
              <w:left w:val="single" w:sz="6" w:space="0" w:color="auto"/>
              <w:bottom w:val="single" w:sz="6" w:space="0" w:color="auto"/>
              <w:right w:val="single" w:sz="6" w:space="0" w:color="auto"/>
            </w:tcBorders>
          </w:tcPr>
          <w:p w14:paraId="2D8AA0D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БОН*** (Детское Село)</w:t>
            </w:r>
          </w:p>
        </w:tc>
        <w:tc>
          <w:tcPr>
            <w:tcW w:w="634" w:type="dxa"/>
            <w:tcBorders>
              <w:top w:val="single" w:sz="6" w:space="0" w:color="auto"/>
              <w:left w:val="single" w:sz="6" w:space="0" w:color="auto"/>
              <w:bottom w:val="single" w:sz="6" w:space="0" w:color="auto"/>
              <w:right w:val="single" w:sz="6" w:space="0" w:color="auto"/>
            </w:tcBorders>
          </w:tcPr>
          <w:p w14:paraId="3A4A25D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739" w:type="dxa"/>
            <w:tcBorders>
              <w:top w:val="single" w:sz="6" w:space="0" w:color="auto"/>
              <w:left w:val="single" w:sz="6" w:space="0" w:color="auto"/>
              <w:bottom w:val="single" w:sz="6" w:space="0" w:color="auto"/>
              <w:right w:val="single" w:sz="6" w:space="0" w:color="auto"/>
            </w:tcBorders>
          </w:tcPr>
          <w:p w14:paraId="499A5DA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6</w:t>
            </w:r>
          </w:p>
        </w:tc>
      </w:tr>
      <w:tr w:rsidR="00F26F01" w:rsidRPr="00C33834" w14:paraId="151EBFA4"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1A66095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Белорусский военный округ</w:t>
            </w:r>
          </w:p>
        </w:tc>
        <w:tc>
          <w:tcPr>
            <w:tcW w:w="634" w:type="dxa"/>
            <w:tcBorders>
              <w:top w:val="single" w:sz="6" w:space="0" w:color="auto"/>
              <w:left w:val="single" w:sz="6" w:space="0" w:color="auto"/>
              <w:bottom w:val="single" w:sz="6" w:space="0" w:color="auto"/>
              <w:right w:val="single" w:sz="6" w:space="0" w:color="auto"/>
            </w:tcBorders>
          </w:tcPr>
          <w:p w14:paraId="5780D55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4859E8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2A23016"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57AAA4F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9-я (быв. 26-я) ТБАБ (Сеща)</w:t>
            </w:r>
          </w:p>
        </w:tc>
        <w:tc>
          <w:tcPr>
            <w:tcW w:w="634" w:type="dxa"/>
            <w:tcBorders>
              <w:top w:val="single" w:sz="6" w:space="0" w:color="auto"/>
              <w:left w:val="single" w:sz="6" w:space="0" w:color="auto"/>
              <w:bottom w:val="single" w:sz="6" w:space="0" w:color="auto"/>
              <w:right w:val="single" w:sz="6" w:space="0" w:color="auto"/>
            </w:tcBorders>
          </w:tcPr>
          <w:p w14:paraId="4887358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739" w:type="dxa"/>
            <w:tcBorders>
              <w:top w:val="single" w:sz="6" w:space="0" w:color="auto"/>
              <w:left w:val="single" w:sz="6" w:space="0" w:color="auto"/>
              <w:bottom w:val="single" w:sz="6" w:space="0" w:color="auto"/>
              <w:right w:val="single" w:sz="6" w:space="0" w:color="auto"/>
            </w:tcBorders>
          </w:tcPr>
          <w:p w14:paraId="061E474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r>
      <w:tr w:rsidR="00F26F01" w:rsidRPr="00C33834" w14:paraId="0A4083C9"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331B910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4-я (быв. 30-я) ТБАБ (Ржев)</w:t>
            </w:r>
          </w:p>
        </w:tc>
        <w:tc>
          <w:tcPr>
            <w:tcW w:w="634" w:type="dxa"/>
            <w:tcBorders>
              <w:top w:val="single" w:sz="6" w:space="0" w:color="auto"/>
              <w:left w:val="single" w:sz="6" w:space="0" w:color="auto"/>
              <w:bottom w:val="single" w:sz="6" w:space="0" w:color="auto"/>
              <w:right w:val="single" w:sz="6" w:space="0" w:color="auto"/>
            </w:tcBorders>
          </w:tcPr>
          <w:p w14:paraId="4397E65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739" w:type="dxa"/>
            <w:tcBorders>
              <w:top w:val="single" w:sz="6" w:space="0" w:color="auto"/>
              <w:left w:val="single" w:sz="6" w:space="0" w:color="auto"/>
              <w:bottom w:val="single" w:sz="6" w:space="0" w:color="auto"/>
              <w:right w:val="single" w:sz="6" w:space="0" w:color="auto"/>
            </w:tcBorders>
          </w:tcPr>
          <w:p w14:paraId="356BF91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r>
      <w:tr w:rsidR="00F26F01" w:rsidRPr="00C33834" w14:paraId="5204F7CD" w14:textId="77777777">
        <w:trPr>
          <w:trHeight w:val="163"/>
        </w:trPr>
        <w:tc>
          <w:tcPr>
            <w:tcW w:w="2083" w:type="dxa"/>
            <w:tcBorders>
              <w:top w:val="single" w:sz="6" w:space="0" w:color="auto"/>
              <w:left w:val="single" w:sz="6" w:space="0" w:color="auto"/>
              <w:bottom w:val="single" w:sz="6" w:space="0" w:color="auto"/>
              <w:right w:val="single" w:sz="6" w:space="0" w:color="auto"/>
            </w:tcBorders>
          </w:tcPr>
          <w:p w14:paraId="680C7CF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2-й ОСБОН (Брянск)</w:t>
            </w:r>
          </w:p>
        </w:tc>
        <w:tc>
          <w:tcPr>
            <w:tcW w:w="634" w:type="dxa"/>
            <w:tcBorders>
              <w:top w:val="single" w:sz="6" w:space="0" w:color="auto"/>
              <w:left w:val="single" w:sz="6" w:space="0" w:color="auto"/>
              <w:bottom w:val="single" w:sz="6" w:space="0" w:color="auto"/>
              <w:right w:val="single" w:sz="6" w:space="0" w:color="auto"/>
            </w:tcBorders>
          </w:tcPr>
          <w:p w14:paraId="42235D2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739" w:type="dxa"/>
            <w:tcBorders>
              <w:top w:val="single" w:sz="6" w:space="0" w:color="auto"/>
              <w:left w:val="single" w:sz="6" w:space="0" w:color="auto"/>
              <w:bottom w:val="single" w:sz="6" w:space="0" w:color="auto"/>
              <w:right w:val="single" w:sz="6" w:space="0" w:color="auto"/>
            </w:tcBorders>
          </w:tcPr>
          <w:p w14:paraId="61BAB02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r>
      <w:tr w:rsidR="00F26F01" w:rsidRPr="00C33834" w14:paraId="09EEA5D6"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23A3445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Украинский военный округ</w:t>
            </w:r>
          </w:p>
        </w:tc>
        <w:tc>
          <w:tcPr>
            <w:tcW w:w="634" w:type="dxa"/>
            <w:tcBorders>
              <w:top w:val="single" w:sz="6" w:space="0" w:color="auto"/>
              <w:left w:val="single" w:sz="6" w:space="0" w:color="auto"/>
              <w:bottom w:val="single" w:sz="6" w:space="0" w:color="auto"/>
              <w:right w:val="single" w:sz="6" w:space="0" w:color="auto"/>
            </w:tcBorders>
          </w:tcPr>
          <w:p w14:paraId="4980D74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ECEADC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73D82631" w14:textId="77777777">
        <w:trPr>
          <w:trHeight w:val="307"/>
        </w:trPr>
        <w:tc>
          <w:tcPr>
            <w:tcW w:w="2083" w:type="dxa"/>
            <w:tcBorders>
              <w:top w:val="single" w:sz="6" w:space="0" w:color="auto"/>
              <w:left w:val="single" w:sz="6" w:space="0" w:color="auto"/>
              <w:bottom w:val="single" w:sz="6" w:space="0" w:color="auto"/>
              <w:right w:val="single" w:sz="6" w:space="0" w:color="auto"/>
            </w:tcBorders>
          </w:tcPr>
          <w:p w14:paraId="235CA8B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452-я (быв.20-я)АБ ^Харьков)</w:t>
            </w:r>
          </w:p>
        </w:tc>
        <w:tc>
          <w:tcPr>
            <w:tcW w:w="634" w:type="dxa"/>
            <w:tcBorders>
              <w:top w:val="single" w:sz="6" w:space="0" w:color="auto"/>
              <w:left w:val="single" w:sz="6" w:space="0" w:color="auto"/>
              <w:bottom w:val="single" w:sz="6" w:space="0" w:color="auto"/>
              <w:right w:val="single" w:sz="6" w:space="0" w:color="auto"/>
            </w:tcBorders>
          </w:tcPr>
          <w:p w14:paraId="34C1EB4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w:t>
            </w:r>
          </w:p>
        </w:tc>
        <w:tc>
          <w:tcPr>
            <w:tcW w:w="739" w:type="dxa"/>
            <w:tcBorders>
              <w:top w:val="single" w:sz="6" w:space="0" w:color="auto"/>
              <w:left w:val="single" w:sz="6" w:space="0" w:color="auto"/>
              <w:bottom w:val="single" w:sz="6" w:space="0" w:color="auto"/>
              <w:right w:val="single" w:sz="6" w:space="0" w:color="auto"/>
            </w:tcBorders>
          </w:tcPr>
          <w:p w14:paraId="0E6C828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r>
      <w:tr w:rsidR="00F26F01" w:rsidRPr="00C33834" w14:paraId="18073BBC" w14:textId="77777777">
        <w:trPr>
          <w:trHeight w:val="307"/>
        </w:trPr>
        <w:tc>
          <w:tcPr>
            <w:tcW w:w="2083" w:type="dxa"/>
            <w:tcBorders>
              <w:top w:val="single" w:sz="6" w:space="0" w:color="auto"/>
              <w:left w:val="single" w:sz="6" w:space="0" w:color="auto"/>
              <w:bottom w:val="single" w:sz="6" w:space="0" w:color="auto"/>
              <w:right w:val="single" w:sz="6" w:space="0" w:color="auto"/>
            </w:tcBorders>
          </w:tcPr>
          <w:p w14:paraId="463E2BF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18-я(быв.28-я)АБ 'Запорожье)</w:t>
            </w:r>
          </w:p>
        </w:tc>
        <w:tc>
          <w:tcPr>
            <w:tcW w:w="634" w:type="dxa"/>
            <w:tcBorders>
              <w:top w:val="single" w:sz="6" w:space="0" w:color="auto"/>
              <w:left w:val="single" w:sz="6" w:space="0" w:color="auto"/>
              <w:bottom w:val="single" w:sz="6" w:space="0" w:color="auto"/>
              <w:right w:val="single" w:sz="6" w:space="0" w:color="auto"/>
            </w:tcBorders>
          </w:tcPr>
          <w:p w14:paraId="5A2ABBC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w:t>
            </w:r>
          </w:p>
        </w:tc>
        <w:tc>
          <w:tcPr>
            <w:tcW w:w="739" w:type="dxa"/>
            <w:tcBorders>
              <w:top w:val="single" w:sz="6" w:space="0" w:color="auto"/>
              <w:left w:val="single" w:sz="6" w:space="0" w:color="auto"/>
              <w:bottom w:val="single" w:sz="6" w:space="0" w:color="auto"/>
              <w:right w:val="single" w:sz="6" w:space="0" w:color="auto"/>
            </w:tcBorders>
          </w:tcPr>
          <w:p w14:paraId="347217C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w:t>
            </w:r>
          </w:p>
        </w:tc>
      </w:tr>
      <w:tr w:rsidR="00F26F01" w:rsidRPr="00C33834" w14:paraId="643E647D" w14:textId="77777777">
        <w:trPr>
          <w:trHeight w:val="163"/>
        </w:trPr>
        <w:tc>
          <w:tcPr>
            <w:tcW w:w="2083" w:type="dxa"/>
            <w:tcBorders>
              <w:top w:val="single" w:sz="6" w:space="0" w:color="auto"/>
              <w:left w:val="single" w:sz="6" w:space="0" w:color="auto"/>
              <w:bottom w:val="single" w:sz="6" w:space="0" w:color="auto"/>
              <w:right w:val="single" w:sz="6" w:space="0" w:color="auto"/>
            </w:tcBorders>
          </w:tcPr>
          <w:p w14:paraId="688B5A3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3-й ОСБОН (Харьков)</w:t>
            </w:r>
          </w:p>
        </w:tc>
        <w:tc>
          <w:tcPr>
            <w:tcW w:w="634" w:type="dxa"/>
            <w:tcBorders>
              <w:top w:val="single" w:sz="6" w:space="0" w:color="auto"/>
              <w:left w:val="single" w:sz="6" w:space="0" w:color="auto"/>
              <w:bottom w:val="single" w:sz="6" w:space="0" w:color="auto"/>
              <w:right w:val="single" w:sz="6" w:space="0" w:color="auto"/>
            </w:tcBorders>
          </w:tcPr>
          <w:p w14:paraId="45119FD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739" w:type="dxa"/>
            <w:tcBorders>
              <w:top w:val="single" w:sz="6" w:space="0" w:color="auto"/>
              <w:left w:val="single" w:sz="6" w:space="0" w:color="auto"/>
              <w:bottom w:val="single" w:sz="6" w:space="0" w:color="auto"/>
              <w:right w:val="single" w:sz="6" w:space="0" w:color="auto"/>
            </w:tcBorders>
          </w:tcPr>
          <w:p w14:paraId="502CDD9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r>
      <w:tr w:rsidR="00F26F01" w:rsidRPr="00C33834" w14:paraId="600B16E2"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48A1FFC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Северо-Кавказский военный</w:t>
            </w:r>
          </w:p>
        </w:tc>
        <w:tc>
          <w:tcPr>
            <w:tcW w:w="634" w:type="dxa"/>
            <w:tcBorders>
              <w:top w:val="single" w:sz="6" w:space="0" w:color="auto"/>
              <w:left w:val="single" w:sz="6" w:space="0" w:color="auto"/>
              <w:bottom w:val="single" w:sz="6" w:space="0" w:color="auto"/>
              <w:right w:val="single" w:sz="6" w:space="0" w:color="auto"/>
            </w:tcBorders>
          </w:tcPr>
          <w:p w14:paraId="09DF470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округ</w:t>
            </w:r>
          </w:p>
        </w:tc>
        <w:tc>
          <w:tcPr>
            <w:tcW w:w="739" w:type="dxa"/>
            <w:tcBorders>
              <w:top w:val="single" w:sz="6" w:space="0" w:color="auto"/>
              <w:left w:val="single" w:sz="6" w:space="0" w:color="auto"/>
              <w:bottom w:val="single" w:sz="6" w:space="0" w:color="auto"/>
              <w:right w:val="single" w:sz="6" w:space="0" w:color="auto"/>
            </w:tcBorders>
          </w:tcPr>
          <w:p w14:paraId="55B3713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67A161A8" w14:textId="77777777">
        <w:trPr>
          <w:trHeight w:val="307"/>
        </w:trPr>
        <w:tc>
          <w:tcPr>
            <w:tcW w:w="2083" w:type="dxa"/>
            <w:tcBorders>
              <w:top w:val="single" w:sz="6" w:space="0" w:color="auto"/>
              <w:left w:val="single" w:sz="6" w:space="0" w:color="auto"/>
              <w:bottom w:val="single" w:sz="6" w:space="0" w:color="auto"/>
              <w:right w:val="single" w:sz="6" w:space="0" w:color="auto"/>
            </w:tcBorders>
          </w:tcPr>
          <w:p w14:paraId="2479B60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21 -я (быв. 27-я) ТБАБ Ростов-на-Дону)</w:t>
            </w:r>
          </w:p>
        </w:tc>
        <w:tc>
          <w:tcPr>
            <w:tcW w:w="634" w:type="dxa"/>
            <w:tcBorders>
              <w:top w:val="single" w:sz="6" w:space="0" w:color="auto"/>
              <w:left w:val="single" w:sz="6" w:space="0" w:color="auto"/>
              <w:bottom w:val="single" w:sz="6" w:space="0" w:color="auto"/>
              <w:right w:val="single" w:sz="6" w:space="0" w:color="auto"/>
            </w:tcBorders>
          </w:tcPr>
          <w:p w14:paraId="6C48901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739" w:type="dxa"/>
            <w:tcBorders>
              <w:top w:val="single" w:sz="6" w:space="0" w:color="auto"/>
              <w:left w:val="single" w:sz="6" w:space="0" w:color="auto"/>
              <w:bottom w:val="single" w:sz="6" w:space="0" w:color="auto"/>
              <w:right w:val="single" w:sz="6" w:space="0" w:color="auto"/>
            </w:tcBorders>
          </w:tcPr>
          <w:p w14:paraId="36CCBDF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r>
      <w:tr w:rsidR="00F26F01" w:rsidRPr="00C33834" w14:paraId="50E2D4D6"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352C669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ОКДВА</w:t>
            </w:r>
          </w:p>
        </w:tc>
        <w:tc>
          <w:tcPr>
            <w:tcW w:w="634" w:type="dxa"/>
            <w:tcBorders>
              <w:top w:val="single" w:sz="6" w:space="0" w:color="auto"/>
              <w:left w:val="single" w:sz="6" w:space="0" w:color="auto"/>
              <w:bottom w:val="single" w:sz="6" w:space="0" w:color="auto"/>
              <w:right w:val="single" w:sz="6" w:space="0" w:color="auto"/>
            </w:tcBorders>
          </w:tcPr>
          <w:p w14:paraId="036777C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36BFD5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475D4F18" w14:textId="77777777">
        <w:trPr>
          <w:trHeight w:val="163"/>
        </w:trPr>
        <w:tc>
          <w:tcPr>
            <w:tcW w:w="2083" w:type="dxa"/>
            <w:tcBorders>
              <w:top w:val="single" w:sz="6" w:space="0" w:color="auto"/>
              <w:left w:val="single" w:sz="6" w:space="0" w:color="auto"/>
              <w:bottom w:val="single" w:sz="6" w:space="0" w:color="auto"/>
              <w:right w:val="single" w:sz="6" w:space="0" w:color="auto"/>
            </w:tcBorders>
          </w:tcPr>
          <w:p w14:paraId="290BF49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28-я (быв. 19-я) ТБАБ</w:t>
            </w:r>
          </w:p>
        </w:tc>
        <w:tc>
          <w:tcPr>
            <w:tcW w:w="634" w:type="dxa"/>
            <w:tcBorders>
              <w:top w:val="single" w:sz="6" w:space="0" w:color="auto"/>
              <w:left w:val="single" w:sz="6" w:space="0" w:color="auto"/>
              <w:bottom w:val="single" w:sz="6" w:space="0" w:color="auto"/>
              <w:right w:val="single" w:sz="6" w:space="0" w:color="auto"/>
            </w:tcBorders>
          </w:tcPr>
          <w:p w14:paraId="4AB3902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c>
          <w:tcPr>
            <w:tcW w:w="739" w:type="dxa"/>
            <w:tcBorders>
              <w:top w:val="single" w:sz="6" w:space="0" w:color="auto"/>
              <w:left w:val="single" w:sz="6" w:space="0" w:color="auto"/>
              <w:bottom w:val="single" w:sz="6" w:space="0" w:color="auto"/>
              <w:right w:val="single" w:sz="6" w:space="0" w:color="auto"/>
            </w:tcBorders>
          </w:tcPr>
          <w:p w14:paraId="65AD608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12</w:t>
            </w:r>
          </w:p>
        </w:tc>
      </w:tr>
      <w:tr w:rsidR="00F26F01" w:rsidRPr="00C33834" w14:paraId="3374117A"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61B0381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Управление армии</w:t>
            </w:r>
          </w:p>
        </w:tc>
        <w:tc>
          <w:tcPr>
            <w:tcW w:w="634" w:type="dxa"/>
            <w:tcBorders>
              <w:top w:val="single" w:sz="6" w:space="0" w:color="auto"/>
              <w:left w:val="single" w:sz="6" w:space="0" w:color="auto"/>
              <w:bottom w:val="single" w:sz="6" w:space="0" w:color="auto"/>
              <w:right w:val="single" w:sz="6" w:space="0" w:color="auto"/>
            </w:tcBorders>
          </w:tcPr>
          <w:p w14:paraId="4063B0A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739" w:type="dxa"/>
            <w:tcBorders>
              <w:top w:val="single" w:sz="6" w:space="0" w:color="auto"/>
              <w:left w:val="single" w:sz="6" w:space="0" w:color="auto"/>
              <w:bottom w:val="single" w:sz="6" w:space="0" w:color="auto"/>
              <w:right w:val="single" w:sz="6" w:space="0" w:color="auto"/>
            </w:tcBorders>
          </w:tcPr>
          <w:p w14:paraId="4B7DC825"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r>
      <w:tr w:rsidR="00F26F01" w:rsidRPr="00C33834" w14:paraId="539A3B24"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06CF4D9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Приволжский военный округ</w:t>
            </w:r>
          </w:p>
        </w:tc>
        <w:tc>
          <w:tcPr>
            <w:tcW w:w="634" w:type="dxa"/>
            <w:tcBorders>
              <w:top w:val="single" w:sz="6" w:space="0" w:color="auto"/>
              <w:left w:val="single" w:sz="6" w:space="0" w:color="auto"/>
              <w:bottom w:val="single" w:sz="6" w:space="0" w:color="auto"/>
              <w:right w:val="single" w:sz="6" w:space="0" w:color="auto"/>
            </w:tcBorders>
          </w:tcPr>
          <w:p w14:paraId="59E04C4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CDB495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5F962362" w14:textId="77777777">
        <w:trPr>
          <w:trHeight w:val="307"/>
        </w:trPr>
        <w:tc>
          <w:tcPr>
            <w:tcW w:w="2083" w:type="dxa"/>
            <w:tcBorders>
              <w:top w:val="single" w:sz="6" w:space="0" w:color="auto"/>
              <w:left w:val="single" w:sz="6" w:space="0" w:color="auto"/>
              <w:bottom w:val="single" w:sz="6" w:space="0" w:color="auto"/>
              <w:right w:val="single" w:sz="6" w:space="0" w:color="auto"/>
            </w:tcBorders>
          </w:tcPr>
          <w:p w14:paraId="5EDBC36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1-й ОСБОН 36-й химический отряд</w:t>
            </w:r>
          </w:p>
        </w:tc>
        <w:tc>
          <w:tcPr>
            <w:tcW w:w="634" w:type="dxa"/>
            <w:tcBorders>
              <w:top w:val="single" w:sz="6" w:space="0" w:color="auto"/>
              <w:left w:val="single" w:sz="6" w:space="0" w:color="auto"/>
              <w:bottom w:val="single" w:sz="6" w:space="0" w:color="auto"/>
              <w:right w:val="single" w:sz="6" w:space="0" w:color="auto"/>
            </w:tcBorders>
          </w:tcPr>
          <w:p w14:paraId="2FE4DCE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9FC500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1 1</w:t>
            </w:r>
          </w:p>
        </w:tc>
      </w:tr>
      <w:tr w:rsidR="00F26F01" w:rsidRPr="00C33834" w14:paraId="2F0023D1"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1DD84B8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Воздушные силы Черного мо</w:t>
            </w:r>
          </w:p>
        </w:tc>
        <w:tc>
          <w:tcPr>
            <w:tcW w:w="634" w:type="dxa"/>
            <w:tcBorders>
              <w:top w:val="single" w:sz="6" w:space="0" w:color="auto"/>
              <w:left w:val="single" w:sz="6" w:space="0" w:color="auto"/>
              <w:bottom w:val="single" w:sz="6" w:space="0" w:color="auto"/>
              <w:right w:val="single" w:sz="6" w:space="0" w:color="auto"/>
            </w:tcBorders>
          </w:tcPr>
          <w:p w14:paraId="0DD66D9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}Я</w:t>
            </w:r>
          </w:p>
        </w:tc>
        <w:tc>
          <w:tcPr>
            <w:tcW w:w="739" w:type="dxa"/>
            <w:tcBorders>
              <w:top w:val="single" w:sz="6" w:space="0" w:color="auto"/>
              <w:left w:val="single" w:sz="6" w:space="0" w:color="auto"/>
              <w:bottom w:val="single" w:sz="6" w:space="0" w:color="auto"/>
              <w:right w:val="single" w:sz="6" w:space="0" w:color="auto"/>
            </w:tcBorders>
          </w:tcPr>
          <w:p w14:paraId="7636CA6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3F204E4C" w14:textId="77777777">
        <w:trPr>
          <w:trHeight w:val="461"/>
        </w:trPr>
        <w:tc>
          <w:tcPr>
            <w:tcW w:w="2083" w:type="dxa"/>
            <w:tcBorders>
              <w:top w:val="single" w:sz="6" w:space="0" w:color="auto"/>
              <w:left w:val="single" w:sz="6" w:space="0" w:color="auto"/>
              <w:bottom w:val="single" w:sz="6" w:space="0" w:color="auto"/>
              <w:right w:val="single" w:sz="6" w:space="0" w:color="auto"/>
            </w:tcBorders>
          </w:tcPr>
          <w:p w14:paraId="336AE49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506-я (быв. 9-я) ТБАБ Севастополь, 5ухта Голландия)</w:t>
            </w:r>
          </w:p>
        </w:tc>
        <w:tc>
          <w:tcPr>
            <w:tcW w:w="634" w:type="dxa"/>
            <w:tcBorders>
              <w:top w:val="single" w:sz="6" w:space="0" w:color="auto"/>
              <w:left w:val="single" w:sz="6" w:space="0" w:color="auto"/>
              <w:bottom w:val="single" w:sz="6" w:space="0" w:color="auto"/>
              <w:right w:val="single" w:sz="6" w:space="0" w:color="auto"/>
            </w:tcBorders>
          </w:tcPr>
          <w:p w14:paraId="26CF47C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c>
          <w:tcPr>
            <w:tcW w:w="739" w:type="dxa"/>
            <w:tcBorders>
              <w:top w:val="single" w:sz="6" w:space="0" w:color="auto"/>
              <w:left w:val="single" w:sz="6" w:space="0" w:color="auto"/>
              <w:bottom w:val="single" w:sz="6" w:space="0" w:color="auto"/>
              <w:right w:val="single" w:sz="6" w:space="0" w:color="auto"/>
            </w:tcBorders>
          </w:tcPr>
          <w:p w14:paraId="79013A2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r>
      <w:tr w:rsidR="00F26F01" w:rsidRPr="00C33834" w14:paraId="5D2779A3"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55687D9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Воздушные силы Балтийскогс</w:t>
            </w:r>
          </w:p>
        </w:tc>
        <w:tc>
          <w:tcPr>
            <w:tcW w:w="634" w:type="dxa"/>
            <w:tcBorders>
              <w:top w:val="single" w:sz="6" w:space="0" w:color="auto"/>
              <w:left w:val="single" w:sz="6" w:space="0" w:color="auto"/>
              <w:bottom w:val="single" w:sz="6" w:space="0" w:color="auto"/>
              <w:right w:val="single" w:sz="6" w:space="0" w:color="auto"/>
            </w:tcBorders>
          </w:tcPr>
          <w:p w14:paraId="24A61A37"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моря</w:t>
            </w:r>
          </w:p>
        </w:tc>
        <w:tc>
          <w:tcPr>
            <w:tcW w:w="739" w:type="dxa"/>
            <w:tcBorders>
              <w:top w:val="single" w:sz="6" w:space="0" w:color="auto"/>
              <w:left w:val="single" w:sz="6" w:space="0" w:color="auto"/>
              <w:bottom w:val="single" w:sz="6" w:space="0" w:color="auto"/>
              <w:right w:val="single" w:sz="6" w:space="0" w:color="auto"/>
            </w:tcBorders>
          </w:tcPr>
          <w:p w14:paraId="1348711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26F01" w:rsidRPr="00C33834" w14:paraId="27A3854C" w14:textId="77777777">
        <w:trPr>
          <w:trHeight w:val="307"/>
        </w:trPr>
        <w:tc>
          <w:tcPr>
            <w:tcW w:w="2083" w:type="dxa"/>
            <w:tcBorders>
              <w:top w:val="single" w:sz="6" w:space="0" w:color="auto"/>
              <w:left w:val="single" w:sz="6" w:space="0" w:color="auto"/>
              <w:bottom w:val="single" w:sz="6" w:space="0" w:color="auto"/>
              <w:right w:val="single" w:sz="6" w:space="0" w:color="auto"/>
            </w:tcBorders>
          </w:tcPr>
          <w:p w14:paraId="4E724CD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505-я (быв. 4-я) ТБАБ Ленинград, Гребной порт)</w:t>
            </w:r>
          </w:p>
        </w:tc>
        <w:tc>
          <w:tcPr>
            <w:tcW w:w="634" w:type="dxa"/>
            <w:tcBorders>
              <w:top w:val="single" w:sz="6" w:space="0" w:color="auto"/>
              <w:left w:val="single" w:sz="6" w:space="0" w:color="auto"/>
              <w:bottom w:val="single" w:sz="6" w:space="0" w:color="auto"/>
              <w:right w:val="single" w:sz="6" w:space="0" w:color="auto"/>
            </w:tcBorders>
          </w:tcPr>
          <w:p w14:paraId="11FA99C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739" w:type="dxa"/>
            <w:tcBorders>
              <w:top w:val="single" w:sz="6" w:space="0" w:color="auto"/>
              <w:left w:val="single" w:sz="6" w:space="0" w:color="auto"/>
              <w:bottom w:val="single" w:sz="6" w:space="0" w:color="auto"/>
              <w:right w:val="single" w:sz="6" w:space="0" w:color="auto"/>
            </w:tcBorders>
          </w:tcPr>
          <w:p w14:paraId="55EAB16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r>
      <w:tr w:rsidR="00F26F01" w:rsidRPr="00C33834" w14:paraId="7C8EBB53"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473D6AC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2-я (быв. 14-я) ТБАБ (Едрово)</w:t>
            </w:r>
          </w:p>
        </w:tc>
        <w:tc>
          <w:tcPr>
            <w:tcW w:w="634" w:type="dxa"/>
            <w:tcBorders>
              <w:top w:val="single" w:sz="6" w:space="0" w:color="auto"/>
              <w:left w:val="single" w:sz="6" w:space="0" w:color="auto"/>
              <w:bottom w:val="single" w:sz="6" w:space="0" w:color="auto"/>
              <w:right w:val="single" w:sz="6" w:space="0" w:color="auto"/>
            </w:tcBorders>
          </w:tcPr>
          <w:p w14:paraId="1A36610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w:t>
            </w:r>
          </w:p>
        </w:tc>
        <w:tc>
          <w:tcPr>
            <w:tcW w:w="739" w:type="dxa"/>
            <w:tcBorders>
              <w:top w:val="single" w:sz="6" w:space="0" w:color="auto"/>
              <w:left w:val="single" w:sz="6" w:space="0" w:color="auto"/>
              <w:bottom w:val="single" w:sz="6" w:space="0" w:color="auto"/>
              <w:right w:val="single" w:sz="6" w:space="0" w:color="auto"/>
            </w:tcBorders>
          </w:tcPr>
          <w:p w14:paraId="33346836"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42</w:t>
            </w:r>
          </w:p>
        </w:tc>
      </w:tr>
      <w:tr w:rsidR="00F26F01" w:rsidRPr="00C33834" w14:paraId="32933C7C" w14:textId="77777777">
        <w:trPr>
          <w:trHeight w:val="163"/>
        </w:trPr>
        <w:tc>
          <w:tcPr>
            <w:tcW w:w="2083" w:type="dxa"/>
            <w:tcBorders>
              <w:top w:val="single" w:sz="6" w:space="0" w:color="auto"/>
              <w:left w:val="single" w:sz="6" w:space="0" w:color="auto"/>
              <w:bottom w:val="single" w:sz="6" w:space="0" w:color="auto"/>
              <w:right w:val="single" w:sz="6" w:space="0" w:color="auto"/>
            </w:tcBorders>
          </w:tcPr>
          <w:p w14:paraId="0AB56BF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Академия ВВС РККА</w:t>
            </w:r>
          </w:p>
        </w:tc>
        <w:tc>
          <w:tcPr>
            <w:tcW w:w="634" w:type="dxa"/>
            <w:tcBorders>
              <w:top w:val="single" w:sz="6" w:space="0" w:color="auto"/>
              <w:left w:val="single" w:sz="6" w:space="0" w:color="auto"/>
              <w:bottom w:val="single" w:sz="6" w:space="0" w:color="auto"/>
              <w:right w:val="single" w:sz="6" w:space="0" w:color="auto"/>
            </w:tcBorders>
          </w:tcPr>
          <w:p w14:paraId="6CFAE21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c>
          <w:tcPr>
            <w:tcW w:w="739" w:type="dxa"/>
            <w:tcBorders>
              <w:top w:val="single" w:sz="6" w:space="0" w:color="auto"/>
              <w:left w:val="single" w:sz="6" w:space="0" w:color="auto"/>
              <w:bottom w:val="single" w:sz="6" w:space="0" w:color="auto"/>
              <w:right w:val="single" w:sz="6" w:space="0" w:color="auto"/>
            </w:tcBorders>
          </w:tcPr>
          <w:p w14:paraId="6FBFF7D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w:t>
            </w:r>
          </w:p>
        </w:tc>
      </w:tr>
      <w:tr w:rsidR="00F26F01" w:rsidRPr="00C33834" w14:paraId="41AA4F0C"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55842B0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НИИ ВВС</w:t>
            </w:r>
          </w:p>
        </w:tc>
        <w:tc>
          <w:tcPr>
            <w:tcW w:w="634" w:type="dxa"/>
            <w:tcBorders>
              <w:top w:val="single" w:sz="6" w:space="0" w:color="auto"/>
              <w:left w:val="single" w:sz="6" w:space="0" w:color="auto"/>
              <w:bottom w:val="single" w:sz="6" w:space="0" w:color="auto"/>
              <w:right w:val="single" w:sz="6" w:space="0" w:color="auto"/>
            </w:tcBorders>
          </w:tcPr>
          <w:p w14:paraId="4A72838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c>
          <w:tcPr>
            <w:tcW w:w="739" w:type="dxa"/>
            <w:tcBorders>
              <w:top w:val="single" w:sz="6" w:space="0" w:color="auto"/>
              <w:left w:val="single" w:sz="6" w:space="0" w:color="auto"/>
              <w:bottom w:val="single" w:sz="6" w:space="0" w:color="auto"/>
              <w:right w:val="single" w:sz="6" w:space="0" w:color="auto"/>
            </w:tcBorders>
          </w:tcPr>
          <w:p w14:paraId="262DAF4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w:t>
            </w:r>
          </w:p>
        </w:tc>
      </w:tr>
      <w:tr w:rsidR="00F26F01" w:rsidRPr="00C33834" w14:paraId="4F79DB54"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3DA75CC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Осконбюро УВВС</w:t>
            </w:r>
          </w:p>
        </w:tc>
        <w:tc>
          <w:tcPr>
            <w:tcW w:w="634" w:type="dxa"/>
            <w:tcBorders>
              <w:top w:val="single" w:sz="6" w:space="0" w:color="auto"/>
              <w:left w:val="single" w:sz="6" w:space="0" w:color="auto"/>
              <w:bottom w:val="single" w:sz="6" w:space="0" w:color="auto"/>
              <w:right w:val="single" w:sz="6" w:space="0" w:color="auto"/>
            </w:tcBorders>
          </w:tcPr>
          <w:p w14:paraId="589FC4F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739" w:type="dxa"/>
            <w:tcBorders>
              <w:top w:val="single" w:sz="6" w:space="0" w:color="auto"/>
              <w:left w:val="single" w:sz="6" w:space="0" w:color="auto"/>
              <w:bottom w:val="single" w:sz="6" w:space="0" w:color="auto"/>
              <w:right w:val="single" w:sz="6" w:space="0" w:color="auto"/>
            </w:tcBorders>
          </w:tcPr>
          <w:p w14:paraId="045517A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r>
      <w:tr w:rsidR="00F26F01" w:rsidRPr="00C33834" w14:paraId="64A1A7F9"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10E0080D"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Отряд особого назначения</w:t>
            </w:r>
          </w:p>
        </w:tc>
        <w:tc>
          <w:tcPr>
            <w:tcW w:w="634" w:type="dxa"/>
            <w:tcBorders>
              <w:top w:val="single" w:sz="6" w:space="0" w:color="auto"/>
              <w:left w:val="single" w:sz="6" w:space="0" w:color="auto"/>
              <w:bottom w:val="single" w:sz="6" w:space="0" w:color="auto"/>
              <w:right w:val="single" w:sz="6" w:space="0" w:color="auto"/>
            </w:tcBorders>
          </w:tcPr>
          <w:p w14:paraId="7DA188BA"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739" w:type="dxa"/>
            <w:tcBorders>
              <w:top w:val="single" w:sz="6" w:space="0" w:color="auto"/>
              <w:left w:val="single" w:sz="6" w:space="0" w:color="auto"/>
              <w:bottom w:val="single" w:sz="6" w:space="0" w:color="auto"/>
              <w:right w:val="single" w:sz="6" w:space="0" w:color="auto"/>
            </w:tcBorders>
          </w:tcPr>
          <w:p w14:paraId="390735A4"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r>
      <w:tr w:rsidR="00F26F01" w:rsidRPr="00C33834" w14:paraId="26586752" w14:textId="77777777">
        <w:trPr>
          <w:trHeight w:val="163"/>
        </w:trPr>
        <w:tc>
          <w:tcPr>
            <w:tcW w:w="2083" w:type="dxa"/>
            <w:tcBorders>
              <w:top w:val="single" w:sz="6" w:space="0" w:color="auto"/>
              <w:left w:val="single" w:sz="6" w:space="0" w:color="auto"/>
              <w:bottom w:val="single" w:sz="6" w:space="0" w:color="auto"/>
              <w:right w:val="single" w:sz="6" w:space="0" w:color="auto"/>
            </w:tcBorders>
          </w:tcPr>
          <w:p w14:paraId="28B5DBA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Школа морских летчиков</w:t>
            </w:r>
          </w:p>
        </w:tc>
        <w:tc>
          <w:tcPr>
            <w:tcW w:w="634" w:type="dxa"/>
            <w:tcBorders>
              <w:top w:val="single" w:sz="6" w:space="0" w:color="auto"/>
              <w:left w:val="single" w:sz="6" w:space="0" w:color="auto"/>
              <w:bottom w:val="single" w:sz="6" w:space="0" w:color="auto"/>
              <w:right w:val="single" w:sz="6" w:space="0" w:color="auto"/>
            </w:tcBorders>
          </w:tcPr>
          <w:p w14:paraId="63B8EB4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c>
          <w:tcPr>
            <w:tcW w:w="739" w:type="dxa"/>
            <w:tcBorders>
              <w:top w:val="single" w:sz="6" w:space="0" w:color="auto"/>
              <w:left w:val="single" w:sz="6" w:space="0" w:color="auto"/>
              <w:bottom w:val="single" w:sz="6" w:space="0" w:color="auto"/>
              <w:right w:val="single" w:sz="6" w:space="0" w:color="auto"/>
            </w:tcBorders>
          </w:tcPr>
          <w:p w14:paraId="48274A40"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7</w:t>
            </w:r>
          </w:p>
        </w:tc>
      </w:tr>
      <w:tr w:rsidR="00F26F01" w:rsidRPr="00C33834" w14:paraId="0BE18B1C"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2880881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9-я школа летчиков</w:t>
            </w:r>
          </w:p>
        </w:tc>
        <w:tc>
          <w:tcPr>
            <w:tcW w:w="634" w:type="dxa"/>
            <w:tcBorders>
              <w:top w:val="single" w:sz="6" w:space="0" w:color="auto"/>
              <w:left w:val="single" w:sz="6" w:space="0" w:color="auto"/>
              <w:bottom w:val="single" w:sz="6" w:space="0" w:color="auto"/>
              <w:right w:val="single" w:sz="6" w:space="0" w:color="auto"/>
            </w:tcBorders>
          </w:tcPr>
          <w:p w14:paraId="65F2736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39" w:type="dxa"/>
            <w:tcBorders>
              <w:top w:val="single" w:sz="6" w:space="0" w:color="auto"/>
              <w:left w:val="single" w:sz="6" w:space="0" w:color="auto"/>
              <w:bottom w:val="single" w:sz="6" w:space="0" w:color="auto"/>
              <w:right w:val="single" w:sz="6" w:space="0" w:color="auto"/>
            </w:tcBorders>
          </w:tcPr>
          <w:p w14:paraId="214269C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w:t>
            </w:r>
          </w:p>
        </w:tc>
      </w:tr>
      <w:tr w:rsidR="00F26F01" w:rsidRPr="00C33834" w14:paraId="6FABCB73"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66A25609"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Школа спецслужб</w:t>
            </w:r>
          </w:p>
        </w:tc>
        <w:tc>
          <w:tcPr>
            <w:tcW w:w="634" w:type="dxa"/>
            <w:tcBorders>
              <w:top w:val="single" w:sz="6" w:space="0" w:color="auto"/>
              <w:left w:val="single" w:sz="6" w:space="0" w:color="auto"/>
              <w:bottom w:val="single" w:sz="6" w:space="0" w:color="auto"/>
              <w:right w:val="single" w:sz="6" w:space="0" w:color="auto"/>
            </w:tcBorders>
          </w:tcPr>
          <w:p w14:paraId="7CCB7F3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w:t>
            </w:r>
          </w:p>
        </w:tc>
        <w:tc>
          <w:tcPr>
            <w:tcW w:w="739" w:type="dxa"/>
            <w:tcBorders>
              <w:top w:val="single" w:sz="6" w:space="0" w:color="auto"/>
              <w:left w:val="single" w:sz="6" w:space="0" w:color="auto"/>
              <w:bottom w:val="single" w:sz="6" w:space="0" w:color="auto"/>
              <w:right w:val="single" w:sz="6" w:space="0" w:color="auto"/>
            </w:tcBorders>
          </w:tcPr>
          <w:p w14:paraId="25DB7888"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w:t>
            </w:r>
          </w:p>
        </w:tc>
      </w:tr>
      <w:tr w:rsidR="00F26F01" w:rsidRPr="00C33834" w14:paraId="082F738A" w14:textId="77777777">
        <w:trPr>
          <w:trHeight w:val="163"/>
        </w:trPr>
        <w:tc>
          <w:tcPr>
            <w:tcW w:w="2083" w:type="dxa"/>
            <w:tcBorders>
              <w:top w:val="single" w:sz="6" w:space="0" w:color="auto"/>
              <w:left w:val="single" w:sz="6" w:space="0" w:color="auto"/>
              <w:bottom w:val="single" w:sz="6" w:space="0" w:color="auto"/>
              <w:right w:val="single" w:sz="6" w:space="0" w:color="auto"/>
            </w:tcBorders>
          </w:tcPr>
          <w:p w14:paraId="2CA8F703"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Всего</w:t>
            </w:r>
          </w:p>
        </w:tc>
        <w:tc>
          <w:tcPr>
            <w:tcW w:w="634" w:type="dxa"/>
            <w:tcBorders>
              <w:top w:val="single" w:sz="6" w:space="0" w:color="auto"/>
              <w:left w:val="single" w:sz="6" w:space="0" w:color="auto"/>
              <w:bottom w:val="single" w:sz="6" w:space="0" w:color="auto"/>
              <w:right w:val="single" w:sz="6" w:space="0" w:color="auto"/>
            </w:tcBorders>
          </w:tcPr>
          <w:p w14:paraId="6918E7D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189</w:t>
            </w:r>
          </w:p>
        </w:tc>
        <w:tc>
          <w:tcPr>
            <w:tcW w:w="739" w:type="dxa"/>
            <w:tcBorders>
              <w:top w:val="single" w:sz="6" w:space="0" w:color="auto"/>
              <w:left w:val="single" w:sz="6" w:space="0" w:color="auto"/>
              <w:bottom w:val="single" w:sz="6" w:space="0" w:color="auto"/>
              <w:right w:val="single" w:sz="6" w:space="0" w:color="auto"/>
            </w:tcBorders>
          </w:tcPr>
          <w:p w14:paraId="7B83BE7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194</w:t>
            </w:r>
          </w:p>
        </w:tc>
      </w:tr>
    </w:tbl>
    <w:p w14:paraId="1F703C8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Кроме того, еще 1 1 ТБ-1 находились: на Цен</w:t>
      </w:r>
      <w:r w:rsidRPr="00C33834">
        <w:rPr>
          <w:rFonts w:ascii="Times New Roman" w:hAnsi="Times New Roman"/>
          <w:color w:val="000000" w:themeColor="text1"/>
          <w:sz w:val="16"/>
          <w:szCs w:val="16"/>
        </w:rPr>
        <w:softHyphen/>
        <w:t xml:space="preserve">тральной авиаремонтной базе — 1 (готовили к пе-&gt;едаче 9-й школе летчиков), в мастерских тяже-той артиллерии (Мастяжарт) — 1 , на авиазаводе </w:t>
      </w:r>
      <w:r w:rsidRPr="00C33834">
        <w:rPr>
          <w:rFonts w:ascii="Times New Roman" w:hAnsi="Times New Roman"/>
          <w:smallCaps/>
          <w:color w:val="000000" w:themeColor="text1"/>
          <w:sz w:val="16"/>
          <w:szCs w:val="16"/>
        </w:rPr>
        <w:t xml:space="preserve">v!" </w:t>
      </w:r>
      <w:r w:rsidRPr="00C33834">
        <w:rPr>
          <w:rFonts w:ascii="Times New Roman" w:hAnsi="Times New Roman"/>
          <w:color w:val="000000" w:themeColor="text1"/>
          <w:sz w:val="16"/>
          <w:szCs w:val="16"/>
        </w:rPr>
        <w:t>22 — 2 (№ 812 передали силам Балтморя, «Страну Советов» — школе спецслужб), на авиа-эемзаводе № 43 — 1 , на авиаремзаводе № 47 — 3, на авиаремзаводе № 35 — 3. Последние 3 са</w:t>
      </w:r>
      <w:r w:rsidRPr="00C33834">
        <w:rPr>
          <w:rFonts w:ascii="Times New Roman" w:hAnsi="Times New Roman"/>
          <w:color w:val="000000" w:themeColor="text1"/>
          <w:sz w:val="16"/>
          <w:szCs w:val="16"/>
        </w:rPr>
        <w:softHyphen/>
        <w:t>молета и один с завода № 47 готовили к передаче в 9-ю школу летчиков. Известно, что один из них № 606 потерпел катастрофу 15 июня 1933 г. (11286).</w:t>
      </w:r>
    </w:p>
    <w:p w14:paraId="2FCF57F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6DA2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1933 г. бригады тяжелых бомбардировщиков стали сводить в корпуса, по три бригады в каждом. В 1935 г. таких корпусов уже имелось пять. С декабря того же года началось формирование Авиагруппы, в которую намеревались включить три тяжелобомбардировочных и три скоростных бомбардировочных бригады. Чуть позже эту группу превратили в армию (11987). </w:t>
      </w:r>
    </w:p>
    <w:p w14:paraId="48F73C9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FDC023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1933 г. ВВС первоначально заказали 350 ТБ-3, затем под давлением представителей промышленности военные ограничили свои аппетиты 300 машинами. По планам за год предстояло сформировать 22 эскадрильи, для чего требовалось 264 бомбардировщика. На практике в 1933 г. заводы выпустили 307 ТБ-3. Это позволило насытить бомбардировщиками ВВС, фактически впервые в мире создав крупные соединения стратегической авиации - бомбардировочные авиакорпуса (БАК). Всего сформировали пять таких корпусов (по две бригады в каждом). Поначалу они имели на вооружении ТБ-3 и ТБ-1, но постепенно четырехмоторные машины вытесняли ТБ-1 на роль учебных и транспортных. Части и соединения тяжелых бомбардировщиков часто носили цветистые наименования, характерные для того времени. Например, -9-я бригада имени 10-го Всесоюзного съезда Ленинского комсомола». Пять входивших в нее эскадрилий носили имена Ворошилова, Кагановича, Кирова, Постышева и Косарева (7668).</w:t>
      </w:r>
    </w:p>
    <w:p w14:paraId="464DA28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B616891"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рост выпуска бронемашин позволил вклю</w:t>
      </w:r>
      <w:r w:rsidRPr="00C33834">
        <w:rPr>
          <w:rFonts w:ascii="Times New Roman" w:hAnsi="Times New Roman"/>
          <w:color w:val="000000" w:themeColor="text1"/>
          <w:sz w:val="16"/>
          <w:szCs w:val="16"/>
        </w:rPr>
        <w:softHyphen/>
        <w:t>чить автоброневые роты из 10 средних бронемашин в состав вновь формируемых стрелковых бригад механизированных корпусов. В 1933 году автоброневые роты заменили разве</w:t>
      </w:r>
      <w:r w:rsidRPr="00C33834">
        <w:rPr>
          <w:rFonts w:ascii="Times New Roman" w:hAnsi="Times New Roman"/>
          <w:color w:val="000000" w:themeColor="text1"/>
          <w:sz w:val="16"/>
          <w:szCs w:val="16"/>
        </w:rPr>
        <w:softHyphen/>
        <w:t>дывательными танкетными ротами, зато во все типы меха</w:t>
      </w:r>
      <w:r w:rsidRPr="00C33834">
        <w:rPr>
          <w:rFonts w:ascii="Times New Roman" w:hAnsi="Times New Roman"/>
          <w:color w:val="000000" w:themeColor="text1"/>
          <w:sz w:val="16"/>
          <w:szCs w:val="16"/>
        </w:rPr>
        <w:softHyphen/>
        <w:t>низированных бригад (и отдельные, и в составе мехкорпу-сов) ввели отдельный разведывательный батальон, имеющий в своем составе роту из 10 средних бронемашин. Прав</w:t>
      </w:r>
      <w:r w:rsidRPr="00C33834">
        <w:rPr>
          <w:rFonts w:ascii="Times New Roman" w:hAnsi="Times New Roman"/>
          <w:color w:val="000000" w:themeColor="text1"/>
          <w:sz w:val="16"/>
          <w:szCs w:val="16"/>
        </w:rPr>
        <w:softHyphen/>
        <w:t>да, уже в 1934 году броневики изъяли из мехкорпусов, оста</w:t>
      </w:r>
      <w:r w:rsidRPr="00C33834">
        <w:rPr>
          <w:rFonts w:ascii="Times New Roman" w:hAnsi="Times New Roman"/>
          <w:color w:val="000000" w:themeColor="text1"/>
          <w:sz w:val="16"/>
          <w:szCs w:val="16"/>
        </w:rPr>
        <w:softHyphen/>
        <w:t>вив только 3 машины в корпусной школе.</w:t>
      </w:r>
    </w:p>
    <w:p w14:paraId="52F553BF"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Легкие бронеавтомобили в первую очередь поступали на укомплектование отдельных рот связи танковых и кава</w:t>
      </w:r>
      <w:r w:rsidRPr="00C33834">
        <w:rPr>
          <w:rFonts w:ascii="Times New Roman" w:hAnsi="Times New Roman"/>
          <w:color w:val="000000" w:themeColor="text1"/>
          <w:sz w:val="16"/>
          <w:szCs w:val="16"/>
        </w:rPr>
        <w:softHyphen/>
        <w:t>лерийских частей. Так, по состоянию на 1 января 1935 года предусматривалось иметь в составе механизированных бри</w:t>
      </w:r>
      <w:r w:rsidRPr="00C33834">
        <w:rPr>
          <w:rFonts w:ascii="Times New Roman" w:hAnsi="Times New Roman"/>
          <w:color w:val="000000" w:themeColor="text1"/>
          <w:sz w:val="16"/>
          <w:szCs w:val="16"/>
        </w:rPr>
        <w:softHyphen/>
        <w:t>гад танков Т-26, БТ взвод из трех ФАИ в составе отдельной роты связи. Такое же количество легких бронеавтомобилей входило в состав механизированного полка кавалерийских дивизий.</w:t>
      </w:r>
    </w:p>
    <w:p w14:paraId="289AB4C2"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формировании механизированных корпусов в 1933 году по штату мирного времени в их состав входил 71 легкий бронеавтомобиль, а по штату военного времени их число увеличивалось до 101. Они входили в состав разведы</w:t>
      </w:r>
      <w:r w:rsidRPr="00C33834">
        <w:rPr>
          <w:rFonts w:ascii="Times New Roman" w:hAnsi="Times New Roman"/>
          <w:color w:val="000000" w:themeColor="text1"/>
          <w:sz w:val="16"/>
          <w:szCs w:val="16"/>
        </w:rPr>
        <w:softHyphen/>
        <w:t>вательных взводов танковых батальонов и разведыватель</w:t>
      </w:r>
      <w:r w:rsidRPr="00C33834">
        <w:rPr>
          <w:rFonts w:ascii="Times New Roman" w:hAnsi="Times New Roman"/>
          <w:color w:val="000000" w:themeColor="text1"/>
          <w:sz w:val="16"/>
          <w:szCs w:val="16"/>
        </w:rPr>
        <w:softHyphen/>
        <w:t>ных рот, а также рот и батальонов связи. Однако фактичес</w:t>
      </w:r>
      <w:r w:rsidRPr="00C33834">
        <w:rPr>
          <w:rFonts w:ascii="Times New Roman" w:hAnsi="Times New Roman"/>
          <w:color w:val="000000" w:themeColor="text1"/>
          <w:sz w:val="16"/>
          <w:szCs w:val="16"/>
        </w:rPr>
        <w:softHyphen/>
        <w:t>ки бронемашин в них было далеко от штатного. Так, на 1 июня 1934 года в четырех сформированных механизи</w:t>
      </w:r>
      <w:r w:rsidRPr="00C33834">
        <w:rPr>
          <w:rFonts w:ascii="Times New Roman" w:hAnsi="Times New Roman"/>
          <w:color w:val="000000" w:themeColor="text1"/>
          <w:sz w:val="16"/>
          <w:szCs w:val="16"/>
        </w:rPr>
        <w:softHyphen/>
        <w:t>рованных корпусах имелось следующее количество легких бронемашин: 5-й — 22, 45-й — 27, 7 и 11-й — по 1. По состо</w:t>
      </w:r>
      <w:r w:rsidRPr="00C33834">
        <w:rPr>
          <w:rFonts w:ascii="Times New Roman" w:hAnsi="Times New Roman"/>
          <w:color w:val="000000" w:themeColor="text1"/>
          <w:sz w:val="16"/>
          <w:szCs w:val="16"/>
        </w:rPr>
        <w:softHyphen/>
        <w:t>янию на 1 января 1938 года картина несколько изменилась в лучшую сторону: 5-й — 60 (29 ФАИ, 17 БА-20 линейных и 14 Д-8/12), 7-й - 50 (49 ФАИ и 1 Д-8/12), 11-й - 92 (88 ФАИ, 3 Д-8/12) и 45-й - 57 (56 ФАИ и 1 Д-8/12) (11284).</w:t>
      </w:r>
    </w:p>
    <w:p w14:paraId="52153F4E"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2A8275" w14:textId="77777777" w:rsidR="002E2083" w:rsidRPr="00C33834" w:rsidRDefault="001A42D5" w:rsidP="00C3383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3DDB844B"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296EF72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году в интервью газете "Нью-Йорк Тайме" Сталин заявил, что СССР добыл 82,8 тонны чистого золота, а значит, перегнал США, чья добыча в тот год немногим превысила 70 тонн, и почти догнал Канаду, добывшую в тот год немногим более 90 тонн чистого золота. Дальше - больше. Согласно официальным заявлениям советских руководителей, в 1934 году СССР по добыче золота вышел на второе место в мире, обогнав США и Канаду, уступая лишь мировому лидеру золотодобычи - Южной Африке. Архивы золотодобывающей промышленности свидетельствуют, что гражданская и гулаговская добыча золота в СССР еще и в 1935 году отставала от Канады и США. Однако нельзя сказать, что хвалебные заявления руководителей СССР были абсолютным враньем. Сталинская цифра золотодобычи 1933 года - 82,8 тонны - подозрительно близка к общей сумме золота, добытого гражданскими предприятиями золотодобывающей промышленности (50,5 т), добычи Дальстроя (0,8 т) и золотого лома, скупленного в тот год Торгсином (30 т)! Добавь Сталин сюда еще 15 тонн чистого золота от скупленных Торгсином в тот год царских монет, то поднял бы золотодобычу почти до 100 тонн. Тайна сталинской золотодобычи состояла в том, что рекордные показатели были достигнуты во многом благодаря золоту, которое голодные советские люди принесли в Торгсин.</w:t>
      </w:r>
    </w:p>
    <w:p w14:paraId="210C7F1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Западные эксперты приняли эту цифру за чистую монету и все свои последующие расчеты основывали на ней, что привело к значительному завышению данных о золотодобыче в СССР. Так, аналитики американского посольства в Москве считали, что в 1935 году СССР добыл 141,4 т чистого золота, тогда как фактическая золотодобыча составила порядка 95,4 т.</w:t>
      </w:r>
    </w:p>
    <w:p w14:paraId="7773783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США в 1934 году добыли немногим менее 90 т, а Канада немногим менее 100 т чистого золота. </w:t>
      </w:r>
      <w:r w:rsidRPr="00C33834">
        <w:rPr>
          <w:rFonts w:ascii="Times New Roman" w:hAnsi="Times New Roman"/>
          <w:color w:val="000000" w:themeColor="text1"/>
          <w:sz w:val="16"/>
          <w:szCs w:val="16"/>
          <w:lang w:val="en-US"/>
        </w:rPr>
        <w:t xml:space="preserve">National Archives. Washington, D.C. Record 861.6341/101. Memorandum. Gold Production in the Soviet Union in 1937 and 1938. </w:t>
      </w:r>
      <w:r w:rsidRPr="00C33834">
        <w:rPr>
          <w:rFonts w:ascii="Times New Roman" w:hAnsi="Times New Roman"/>
          <w:color w:val="000000" w:themeColor="text1"/>
          <w:sz w:val="16"/>
          <w:szCs w:val="16"/>
        </w:rPr>
        <w:t>P. 33.</w:t>
      </w:r>
    </w:p>
    <w:p w14:paraId="23D84D1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46. В 1935 году золотодобыча США составила 98,4 т, а Канады 102,2 т. Гражданские предприятия золотодобывающей промышленности СССР в тот год намыли 80,9 т, а Дальстрой дал еще 14,5 т чистого золота. Золотодобыча СССР вышла на второе место в мире, видимо, только в 1936 году.</w:t>
      </w:r>
    </w:p>
    <w:p w14:paraId="3C126DA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Причиной тому, что Сталин не включил эти 15 тонн в сумму золотодобычи 1933 года, могло быть то, что монеты сразу не были переплавлены, а хранились в своем первоначальном царском виде, что не позволяло выдавать их за советскую золотодобычу (11558).</w:t>
      </w:r>
    </w:p>
    <w:p w14:paraId="2A059B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418281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 год стал скорбным триумфом Торгсина. В тот год люди снесли в Торгсин золота на 58 миллионов рублей, перевыполнив гигантский план. Это почти 45 тонн чистого золота, в 2 раза больше того, что Торгсин скупил в голодном 1932-м. Золотоскупка Торгсина в 1933 году лишь немногим уступила промышленной золотодобыче, при этом его затраты были несравнимо меньше затрат капиталоемкой золотодобывающей промышленности!</w:t>
      </w:r>
    </w:p>
    <w:p w14:paraId="1DC6D3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Торгсин начал принимать серебро в последних числах декабря 1932 года и только за эти несколько дней скупил 18,5 тонны этого металла. За 1933 год люди снесли в Торгсин 1420,5 тонны серебра. Со всем основанием состав ценностей, скупленных Торгсином в 1933 году, можно назвать "металлическим" - золото и серебро, в монетах и ломом, составили почти 76 процентов всех поступлений ценностей (11558).</w:t>
      </w:r>
    </w:p>
    <w:p w14:paraId="6F9C35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Скупка царских монет в 1933 году по сравнению с 1932-м выросла в два с половиной раза, причем темпы поступления золотых монет существенно обогнали темпы поступления бытового золота. Аналитик Торгсина определил этот процесс как "усилившийся приток золотой монеты из крестьянских "земельных банков". Ожидания руководства оправдались. Именно в 1933 году Торгсин стал в значительной степени крестьянским. "Коренной перелом" в истории Торгсина оставил след в литературе "деревенщиков". Виктор Астафьев, вспоминая 1933 год в сибирском селе, пишет: "В тот год, именно в тот год, безлошадный и голодный, появились на зимнике - ледовой енисейской дороге - мужики и бабы с котомками, понесли барахло и золотишко, у кого оно было, на мену, в "Торгсин". О том же говорил и зампредседателя правления Торгсина Азовский в июне 1933 года на совещании директоров универмагов Западной области: "Некоторые (ранее выступавшие) приводили пример с чеканкой и отмечали, что пошла чеканка. Что это значит, вот она пошла, а раньше она не шла. В чем дело? Ведь это, товарищи, довольно знаменательно, это говорит о том, что в Торгсин начали втягиваться новые и новые слои покупателей. Сейчас в Торгсин пошел крестьянин, тот, который о Торгсине раньше ничего не знал, тот, который нами еще не обслуживался".</w:t>
      </w:r>
    </w:p>
    <w:p w14:paraId="56C7DDC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Структура золотоскупки 1933 года показывает, что бытовое золото (лом) хотя по темпам поступлений и отставало от монет, по абсолютным показателям оставалось лидером - треть (36%) общей суммы ценностей, скупленных Торгсином в тот год. Значительную часть этого лома составило "городское" золото. Голодные люди снимали с себя обручальные кольца, нательные кресты, серьги. Крестьяне не были исключением. Вспомним опять историю семьи Виктора Астафьева, крестьян сибирского села на берегу Енисея. Единственная золотая вещь в доме, бережно хранимая в сундуке бабушки на память или на черный день, - золотые серьги его трагически погибшей матери - была все-таки снесена в Торгсин в тот голодный год.</w:t>
      </w:r>
    </w:p>
    <w:p w14:paraId="4C93BDA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Показатели сдачи золота во всех кварталах 1933 года очень высокие, но особенно выделяются апрель, май и июнь - апогей голода. Только за эти три месяца люди снесли в Торгсин золота более чем на 20 миллионов рублей (15,6 тонны чистого золота). Почти столько же, сколько за весь предшествующий голодный год!</w:t>
      </w:r>
    </w:p>
    <w:p w14:paraId="5AE0CA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архиве Торгсина не сохранилось полных региональных данных о скупке золота в 1933 году. Но даже то фрагментарное, что удалось собрать, отражает географию голода. Украинский Торгсин в 1933 году скупил золота на 10,7 миллиона рублей, причем перевес бытового золота (5,9 млн руб.) над чеканом (4,7 млн) был незначительным, что косвенно свидетельствует о высокой доле крестьянского участия. Элитная Москва и умирающая украинская деревня почти на равных обеспечили треть выполнения плана золотоскупки 1933 года.</w:t>
      </w:r>
    </w:p>
    <w:p w14:paraId="7CCE077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С хорошим урожаем 1933 года голод отступил, но план золотоскупки на 1934 год оставался высоким - 45,2 миллиона рублей. Руководство, видимо, рассчитывало на "инерцию голода" - однажды голодавший будет закупать впрок. Да и полной уверенности в том, что "продовольственные затруднения" в стране кончились, не было. </w:t>
      </w:r>
      <w:r w:rsidRPr="00C33834">
        <w:rPr>
          <w:rFonts w:ascii="Times New Roman" w:hAnsi="Times New Roman"/>
          <w:color w:val="000000" w:themeColor="text1"/>
          <w:sz w:val="16"/>
          <w:szCs w:val="16"/>
        </w:rPr>
        <w:lastRenderedPageBreak/>
        <w:t>Кроме того, руководство надеялось удержать высокие темпы скупки ценностей, превратив Торгсин из "голодного" предприятия, механически отпускавшего мешками муку, крупу и сахар, в массовый валютный образцовый универсальный магазин модных товаров. План явно утопический. Торговля за валюту, пусть и модными товарами высокого качества, могла быть только элитной (11558).</w:t>
      </w:r>
    </w:p>
    <w:p w14:paraId="0701BF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9119066" w14:textId="77777777" w:rsidR="00375BEC" w:rsidRPr="00C33834" w:rsidRDefault="00375BE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в СССР была произведена перерегистрация боевого и охотничьего нарезного оружия, в ходе которой оружие изымалось без компенсации у определенных категорий граждан:</w:t>
      </w:r>
    </w:p>
    <w:p w14:paraId="61DD76B7" w14:textId="77777777" w:rsidR="00375BEC" w:rsidRPr="00C33834" w:rsidRDefault="00375BE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своевременно не продливших сроки разрешений на право хранения и ношения оружия или не истребовавших своевременно продленные разрешения;</w:t>
      </w:r>
    </w:p>
    <w:p w14:paraId="08202645" w14:textId="77777777" w:rsidR="00375BEC" w:rsidRPr="00C33834" w:rsidRDefault="00375BE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на которых имелся компрометирующий материал;</w:t>
      </w:r>
    </w:p>
    <w:p w14:paraId="5468EC19" w14:textId="77777777" w:rsidR="00375BEC" w:rsidRPr="00C33834" w:rsidRDefault="00375BE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ношение и хранение оружия для которых не вызывалось служебной необходимостью;</w:t>
      </w:r>
    </w:p>
    <w:p w14:paraId="58365C6A" w14:textId="77777777" w:rsidR="00375BEC" w:rsidRPr="00C33834" w:rsidRDefault="00375BE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душевнобольных</w:t>
      </w:r>
      <w:bookmarkStart w:id="73" w:name="annot_20"/>
      <w:r w:rsidRPr="00C33834">
        <w:rPr>
          <w:rFonts w:ascii="Times New Roman" w:hAnsi="Times New Roman"/>
          <w:color w:val="000000" w:themeColor="text1"/>
          <w:sz w:val="16"/>
          <w:szCs w:val="16"/>
        </w:rPr>
        <w:t xml:space="preserve"> (18514)</w:t>
      </w:r>
      <w:bookmarkEnd w:id="73"/>
      <w:r w:rsidRPr="00C33834">
        <w:rPr>
          <w:rFonts w:ascii="Times New Roman" w:hAnsi="Times New Roman"/>
          <w:color w:val="000000" w:themeColor="text1"/>
          <w:sz w:val="16"/>
          <w:szCs w:val="16"/>
        </w:rPr>
        <w:t>.</w:t>
      </w:r>
    </w:p>
    <w:p w14:paraId="38842679" w14:textId="77777777" w:rsidR="00375BEC" w:rsidRPr="00C33834" w:rsidRDefault="00375BEC" w:rsidP="00C33834">
      <w:pPr>
        <w:spacing w:after="0" w:line="240" w:lineRule="auto"/>
        <w:jc w:val="both"/>
        <w:rPr>
          <w:rFonts w:ascii="Times New Roman" w:hAnsi="Times New Roman"/>
          <w:color w:val="000000" w:themeColor="text1"/>
          <w:sz w:val="16"/>
          <w:szCs w:val="16"/>
        </w:rPr>
      </w:pPr>
    </w:p>
    <w:p w14:paraId="40C4D33D" w14:textId="77777777" w:rsidR="002E2083" w:rsidRPr="00C33834" w:rsidRDefault="001A42D5" w:rsidP="00C3383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59E8987C" w14:textId="77777777" w:rsidR="002E2083" w:rsidRPr="00C33834" w:rsidRDefault="002E2083" w:rsidP="00C3383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4B2EB84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 1933 году после установления дипломатических отношений между СССР и США большевики стали регулярно размещать в САСШ свои облигационные займы – например, их выпускал Внешторгбанк, а часть своих импортных закупок (от 40 до 60% от общего объема) в Америке СССР оплачивал как векселями Амторга, так и за счет кредитов от государственного американского Экспортно-импортного банка и некоторых частных банков (11508).</w:t>
      </w:r>
    </w:p>
    <w:p w14:paraId="5A60062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30D822BD" w14:textId="77777777" w:rsidR="00375BEC" w:rsidRPr="00C33834" w:rsidRDefault="00375BE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состоялись поставки Р-5 центральному правительству Китая - три машины для летной школы Урумчи, которые принимали участие в боях против мятежных частей генерала Ма Чжуина. К концу 1934 г. после передачи в состав школы дополнительных Р-5, а также У-2, ее авиапарк насчитывал 18 самолетов. Р-5 в ее составе эксплуатировались, по крайней мере, до 1938 г., однако в боевые части китайских ВВС эти машины не поставлялись26. Тем не менее, в монографии Иванова ошибочно сообщается о нескольких десятках Р-5, якобы поставленных в 1937-1941 гг. правительству провинции Синьцзян (18261).</w:t>
      </w:r>
    </w:p>
    <w:p w14:paraId="6EB98513" w14:textId="77777777" w:rsidR="00375BEC" w:rsidRPr="00C33834" w:rsidRDefault="00375BEC" w:rsidP="00C33834">
      <w:pPr>
        <w:spacing w:after="0" w:line="240" w:lineRule="auto"/>
        <w:jc w:val="both"/>
        <w:rPr>
          <w:rFonts w:ascii="Times New Roman" w:hAnsi="Times New Roman"/>
          <w:color w:val="000000" w:themeColor="text1"/>
          <w:sz w:val="16"/>
          <w:szCs w:val="16"/>
        </w:rPr>
      </w:pPr>
    </w:p>
    <w:p w14:paraId="5E3310A1" w14:textId="77777777" w:rsidR="00375BEC" w:rsidRPr="00C33834" w:rsidRDefault="00375BEC"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советское правительство подарило Турции три самолета Р-5 вместе с одним АНТ-9. Они использовались турецкими ВВС как учебно-тренировочные машины в течение нескольких лет (18512).</w:t>
      </w:r>
    </w:p>
    <w:p w14:paraId="6811CB86" w14:textId="77777777" w:rsidR="00375BEC" w:rsidRPr="00C33834" w:rsidRDefault="00375BEC" w:rsidP="00C33834">
      <w:pPr>
        <w:spacing w:after="0" w:line="240" w:lineRule="auto"/>
        <w:jc w:val="both"/>
        <w:rPr>
          <w:rFonts w:ascii="Times New Roman" w:hAnsi="Times New Roman"/>
          <w:color w:val="000000" w:themeColor="text1"/>
          <w:sz w:val="16"/>
          <w:szCs w:val="16"/>
        </w:rPr>
      </w:pPr>
    </w:p>
    <w:p w14:paraId="0DB9C81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три биплана Р-5 советское правительство подарило Турции. Они несколько лет служили там как учебно-тренировочные машины (11936).</w:t>
      </w:r>
    </w:p>
    <w:p w14:paraId="2B3F0B1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C98D27D"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7DCFBF2D"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5E6234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создали ЮМО-205 (700 л.с.), позднее - ЮМО-207 (1000 л.с. с турбонаддувом ). В это же время 700-сильные дизели были и у фирмы "Даймлер- Бенц". В 1942 г. дизель этой фирмы МБ-507 мощностью 720 л.с. установили на танк, кото-рый прошел вначале 1000, а после устранения неисправностей - еще 2000 км. Но серийные германские танки оснащались бензиновыми карбюраторными двигателями (11224).</w:t>
      </w:r>
    </w:p>
    <w:p w14:paraId="08E40D1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FD640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мощный всплеск реформизма произошел в США. На президентских выборах 1932 г. убедительную победу одержал представитель демократической партии - Франклин Делано Рузвельт. "Сильная" социальная политика и активная экономическая роль государства определяли основное содержание предложенного президентом "нового курса". Демократическая администрация смогла приостановить ухудшение экономической конъюнктуры, а затем добиться постепенного смягчения последствий кризиса. Несмотря на критику прессы, возражение части деловых кругов, сопротивление конгресса и протесты социально уязвимых слоев населения, в основном американское общество согласилось с направленностью "нового курса". Упрочение позиций позволило Ф.Рузвельту начать подготовку к проведению активной международной политики (3871).</w:t>
      </w:r>
    </w:p>
    <w:p w14:paraId="498113C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77E167B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г. в Кабуле был убит король Надир-шах. Приход к власти его сына Мухаммад Захир-шаха не внес серьезных изменений во внешнюю политику страны. Однако к середине 30-х гг. и в Афганистане стали укрепляться позиции Германии, заинтересованной в нем главным образом стратегически. Наряду с проникновением германского капитала усиливалась пропаганда нацизма, во многом созвучная проводимому афганским руководством курсу на пуштунизацию страны. Как и в соседнем Иране, в Афганистане появились германские эксперты, консультанты, советники (3871).</w:t>
      </w:r>
    </w:p>
    <w:p w14:paraId="1D5442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479A875"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Авиапромышленность:</w:t>
      </w:r>
    </w:p>
    <w:p w14:paraId="0A405A63"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648D542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Период с 1933 по 1940 год был самым благоприятным в истории сотрудничества между СССР и США в авиационной сфере. Тогда Советский Союз мог покупать не только почти все образцы авиационной техники, но и лицензии на организацию их производства на своей территории, при этом получая весь комплект технической документации, методики расчетов и испытаний, а также регулярную информацию о новшествах, которые появлялись в базовых моделях. Разумеется, иностранные специалисты приезжали в Советский Союз для организации производства, поэтому даже не требовалось задействовать ресурсы внешней разведки для добычи чужих технологических секретов. Например, компании «Райт» и «Кертисс» представили нам образцы и всю документацию, содержащую описания технологических процессов для изготовления моторов R-1820 «Циклон» и V-1800. У нас, правда, освоили лишь первый, под названием М-25. Его ставили на истребители И-15бис, И-16 и разведчики Р-10. Из-за проблем с его внедрением в производство пришлось закупить партию R-1820-F3 (отечественный РЦФ-3). Данные компании «Райт» активно использовались при создании советских М-62 и М-63 — потомков «Циклона», да и в более позднем М-82 можно найти немало «райтовских» технических решений. В США зачастили советские специалисты. После визита в 1935 году группы авиастроителей под руководством А. Н. Туполева Советским Союзом были заказаны образцы штурмовика «Нортоп-2Е» и пассажирской машины «Дуглас-</w:t>
      </w:r>
      <w:r w:rsidRPr="00C33834">
        <w:rPr>
          <w:rFonts w:ascii="Times New Roman" w:hAnsi="Times New Roman"/>
          <w:color w:val="000000" w:themeColor="text1"/>
          <w:sz w:val="16"/>
          <w:szCs w:val="16"/>
          <w:lang w:val="en-US"/>
        </w:rPr>
        <w:t>D</w:t>
      </w:r>
      <w:r w:rsidRPr="00C33834">
        <w:rPr>
          <w:rFonts w:ascii="Times New Roman" w:hAnsi="Times New Roman"/>
          <w:color w:val="000000" w:themeColor="text1"/>
          <w:sz w:val="16"/>
          <w:szCs w:val="16"/>
        </w:rPr>
        <w:t>С-2». На этих моделях советские инженеры впервые смогли изучить сварные бензобаки, машинную клепку и множество других новшеств (11765).</w:t>
      </w:r>
    </w:p>
    <w:p w14:paraId="1CE156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C25F141" w14:textId="77777777" w:rsidR="000656DA" w:rsidRPr="00C33834" w:rsidRDefault="000656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1933 - 1934 гт в КБ Туполева по техническим требованиям ВВС РККА прорабатывался проект двухмоторного многоцелевого самолета класса “воздушный крейсер", развивавший идеи заложенные в Р-6 и МИ-3. Военные заказывали КБ двухмоторный сухопутный крейсер, отсюда название СК-1 - "сухопутный крейсер".</w:t>
      </w:r>
    </w:p>
    <w:p w14:paraId="46A50B93" w14:textId="77777777" w:rsidR="000656DA" w:rsidRPr="00C33834" w:rsidRDefault="000656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КБ в ходе начального проектирования были проработаны варианты самолета АНТ-30 (такое обозначение СК-1 получил по КБ) под два отечественных двигателя типа М-38 с номинальной мощностью по 570 л.с. и под два Испано-Сюиза 12YBrs.</w:t>
      </w:r>
    </w:p>
    <w:p w14:paraId="44B9F2C0" w14:textId="77777777" w:rsidR="000656DA" w:rsidRPr="00C33834" w:rsidRDefault="000656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Согласно проекту, АНТ-30 должен был выполняться по схеме цельнометаллического двухдвигательного низкоплана с гладкой обшивкой и нормальным хвостовым оперением. При рассмотрении возможных проектов особое внимание уделялось эффективности наступательного и оборонительного стрелково-пушечного вооружения. В передней поднимающейся куполообразной установке располагалась огневая точка с двумя пулеметами ШКАС, заднюю полусферу прикрывали фюзеляжная установка типа ДАК с одним пулеметом ДА или ШКАС и хвостовая установка с 20-мм пушкой "Эрликон". В фюзеляжном бомбаотсеке в варианте "крейсера" размещался дополнительный топливный бак, в варианте скоростного бомбардировщика там устанавливались бомбодержатели, кроме того, бомбы могли подвешиваться на внешних держателях под центропланом. Суммарная бомбовая нагрузка достигала 1000 кг.</w:t>
      </w:r>
    </w:p>
    <w:p w14:paraId="2CA27C41" w14:textId="77777777" w:rsidR="000656DA" w:rsidRPr="00C33834" w:rsidRDefault="000656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По самолету АНТ-30 были составлены и предъявлены КБ со сторон ВВС ТТТ, проведен аэродинамический расчет, изготовлены модели, подготовлена конструкторская документация для строительства опытного экземпляра, началось опытное производство. Но все работы были постепенно свернуты в конце 1933 - в начале 1934 года, к этому моменту техническая готовность АНТ-30 оценивалась на 16%. Причиной было решение о переходе на более перспективный тип самолета - АНТ-40 Архангельского (будущий СБ), а также постепенное отмирание концепции универсального самолета типа "крейсер".</w:t>
      </w:r>
    </w:p>
    <w:p w14:paraId="70858E8B" w14:textId="77777777" w:rsidR="000656DA" w:rsidRPr="00C33834" w:rsidRDefault="000656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Основные проектные данные самолета АНТ-30 (СК-1) на основании ТТТ ВВС:</w:t>
      </w:r>
    </w:p>
    <w:p w14:paraId="4EBA6EE5" w14:textId="77777777" w:rsidR="000656DA" w:rsidRPr="00C33834" w:rsidRDefault="000656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Нормальная полетная масса - 5300 кг;</w:t>
      </w:r>
    </w:p>
    <w:p w14:paraId="613D1F88" w14:textId="77777777" w:rsidR="000656DA" w:rsidRPr="00C33834" w:rsidRDefault="000656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Масса нормальной полезной нагрузки - 928-1560 кг;</w:t>
      </w:r>
    </w:p>
    <w:p w14:paraId="00EF842B" w14:textId="77777777" w:rsidR="000656DA" w:rsidRPr="00C33834" w:rsidRDefault="000656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Масса полезной нагрузки с перегрузкой - 2200 кг;</w:t>
      </w:r>
    </w:p>
    <w:p w14:paraId="7FAE1E57" w14:textId="77777777" w:rsidR="000656DA" w:rsidRPr="00C33834" w:rsidRDefault="000656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 скорость у земли - 259-283 км/ч;</w:t>
      </w:r>
    </w:p>
    <w:p w14:paraId="55CEDCB4" w14:textId="77777777" w:rsidR="000656DA" w:rsidRPr="00C33834" w:rsidRDefault="000656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Максимальная скорость на высоте 4000 м - 317 км/ч;</w:t>
      </w:r>
    </w:p>
    <w:p w14:paraId="7BF5B663" w14:textId="77777777" w:rsidR="000656DA" w:rsidRPr="00C33834" w:rsidRDefault="000656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подъема на высоту 5000 м - 23,15 мин;</w:t>
      </w:r>
    </w:p>
    <w:p w14:paraId="1C62DB5E" w14:textId="77777777" w:rsidR="000656DA" w:rsidRPr="00C33834" w:rsidRDefault="000656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Время выполнения виража на высоте 1000 м - 22 сек;</w:t>
      </w:r>
    </w:p>
    <w:p w14:paraId="1786721A" w14:textId="77777777" w:rsidR="000656DA" w:rsidRPr="00C33834" w:rsidRDefault="000656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Экипаж – 4 человека;</w:t>
      </w:r>
    </w:p>
    <w:p w14:paraId="1BD417D4" w14:textId="77777777" w:rsidR="000656DA" w:rsidRPr="00C33834" w:rsidRDefault="000656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Вооружение: 3 х 7,62 ШКАС и 1 х 20 мм Эрликон;</w:t>
      </w:r>
    </w:p>
    <w:p w14:paraId="32A2E553" w14:textId="77777777" w:rsidR="000656DA" w:rsidRPr="00C33834" w:rsidRDefault="000656D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Бомбовая нагрузка- 1000 кг (15583).</w:t>
      </w:r>
    </w:p>
    <w:p w14:paraId="2E447BAB" w14:textId="77777777" w:rsidR="000656DA" w:rsidRPr="00C33834" w:rsidRDefault="000656DA" w:rsidP="00C33834">
      <w:pPr>
        <w:spacing w:after="0" w:line="240" w:lineRule="auto"/>
        <w:jc w:val="both"/>
        <w:rPr>
          <w:rFonts w:ascii="Times New Roman" w:hAnsi="Times New Roman"/>
          <w:color w:val="000000" w:themeColor="text1"/>
          <w:sz w:val="16"/>
          <w:szCs w:val="16"/>
        </w:rPr>
      </w:pPr>
    </w:p>
    <w:p w14:paraId="3FA126AC" w14:textId="77777777" w:rsidR="008A2CDB" w:rsidRPr="00C33834" w:rsidRDefault="008A2CDB"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lastRenderedPageBreak/>
        <w:t>В 1933-1934 гг. Завод № 1 строил Р-5Ш. Кроме того, в частях под этот стандарт переделывались самолеты разных серий и разных лет выпуска. Поэтому точно оценить количество Р-5Ш не удается. Судя по наличию машин в ВВС, всего существовало около 500 штурмовиков этой модификации (12034).</w:t>
      </w:r>
    </w:p>
    <w:p w14:paraId="24556D47" w14:textId="77777777" w:rsidR="008A2CDB" w:rsidRPr="00C33834" w:rsidRDefault="008A2CDB" w:rsidP="00C33834">
      <w:pPr>
        <w:autoSpaceDE w:val="0"/>
        <w:autoSpaceDN w:val="0"/>
        <w:adjustRightInd w:val="0"/>
        <w:spacing w:after="0" w:line="240" w:lineRule="auto"/>
        <w:jc w:val="both"/>
        <w:rPr>
          <w:rFonts w:ascii="Times New Roman" w:hAnsi="Times New Roman"/>
          <w:color w:val="000000" w:themeColor="text1"/>
          <w:sz w:val="16"/>
          <w:szCs w:val="16"/>
        </w:rPr>
      </w:pPr>
    </w:p>
    <w:p w14:paraId="0BD15D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1933-34 г. ремонтный завод № 104 передан в ведение Спецмаштреста НКТП.</w:t>
      </w:r>
      <w:r w:rsidRPr="00C33834">
        <w:rPr>
          <w:rFonts w:ascii="Times New Roman" w:hAnsi="Times New Roman"/>
          <w:color w:val="000000" w:themeColor="text1"/>
          <w:sz w:val="16"/>
          <w:szCs w:val="16"/>
          <w:vertAlign w:val="superscript"/>
        </w:rPr>
        <w:t>124</w:t>
      </w:r>
      <w:r w:rsidRPr="00C33834">
        <w:rPr>
          <w:rFonts w:ascii="Times New Roman" w:hAnsi="Times New Roman"/>
          <w:color w:val="000000" w:themeColor="text1"/>
          <w:sz w:val="16"/>
          <w:szCs w:val="16"/>
        </w:rPr>
        <w:t xml:space="preserve"> В 1934-37 г. завод носил имя Разумова. По пр. № 09с от 23.01.1937 г. передан в ведение 8ГУ НКОП, Устав завода утвержден приказом № 52 от 4.02.1937 г. По пр. № 336с от 22.08.1938 г. завод № 104 им. Разумова переименован в завод № 104, в 12.1938 г. - в ведении 8ГУ. После начала войны влит вместе с заводом № 125 в состав единого завода № 39 НКАП.</w:t>
      </w:r>
      <w:r w:rsidRPr="00C33834">
        <w:rPr>
          <w:rFonts w:ascii="Times New Roman" w:hAnsi="Times New Roman"/>
          <w:color w:val="000000" w:themeColor="text1"/>
          <w:sz w:val="16"/>
          <w:szCs w:val="16"/>
          <w:vertAlign w:val="superscript"/>
        </w:rPr>
        <w:t>91</w:t>
      </w:r>
    </w:p>
    <w:p w14:paraId="79F909F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развитие постановления СТО от 2.09.1936 г. приказом № 00179 от 29.07/15.08.1937 г. заводу установлена производственная годовая мощность по ремонту: танков: БТ-5 - 800 шт., Т-26 - 1200 шт.; автомобилей: ЗиС-5 и ЯГ-5-10 - 1300 шт., ГАЗ-АА и ГАЗ-А - 1700 шт.; танковых моторов: М-5 - 1200 шт., к Т-27 и Т-37 - 1000 шт. 1 НИ-8 поручено разработать техпроект на реконструкцию завода. По пр. № 294с от 7.08.1938 г. необходимо было сдать в 1938 г. в эксплуатацию: укомплектовочно-сдаточный цех, испытательную станцию моторов М-5 и М-17, основной механо-сборочный корпус, горячие цеха.</w:t>
      </w:r>
    </w:p>
    <w:p w14:paraId="61FF2E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Директор (-2.04.1937 г.)-  Г.Р. Глезер-Егор (снят), (2.04.1937-8.03.1938; 15.06-21.11.1938 г.)- С.А. Елизарьев (снят), (14.03.1938 г.-)- Л. Г. Бондаренко.</w:t>
      </w:r>
    </w:p>
    <w:p w14:paraId="1594B2E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Зам. директора (06.1937 г.)- И.П. Орловский.</w:t>
      </w:r>
    </w:p>
    <w:p w14:paraId="04A0404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Гл. инженер (06.1937 г.)- М.М. Великанов, (19.07.1938 г.-)-  Г.И. Михайлов (11982).</w:t>
      </w:r>
    </w:p>
    <w:p w14:paraId="12CDCC84" w14:textId="77777777" w:rsidR="00145E2A" w:rsidRPr="00C33834" w:rsidRDefault="00145E2A" w:rsidP="00C33834">
      <w:pPr>
        <w:autoSpaceDE w:val="0"/>
        <w:autoSpaceDN w:val="0"/>
        <w:adjustRightInd w:val="0"/>
        <w:spacing w:after="0" w:line="240" w:lineRule="auto"/>
        <w:jc w:val="both"/>
        <w:rPr>
          <w:rFonts w:ascii="Times New Roman" w:hAnsi="Times New Roman"/>
          <w:color w:val="000000" w:themeColor="text1"/>
          <w:sz w:val="16"/>
          <w:szCs w:val="16"/>
        </w:rPr>
      </w:pPr>
    </w:p>
    <w:p w14:paraId="7C2BA1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1933 - 34 годах наладили выпуск двух типов стеклянных шаровых ампул емкостью 1 л и 2 л. Литровая ампула имела диаметр 125 мм; толщина стенок у нее достигала 10 мм. В гораздо меньшем количестве выпустили двухлитровые ампулы с диаметром 265 мм. Стеклянная ампула могла храниться долго и хорошо разбивалась при падении, но была довольно тяжела и опасна при транспортировке из- за хрупкости материала (12043).</w:t>
      </w:r>
    </w:p>
    <w:p w14:paraId="30E6F6E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279B5357"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Другие оборонные отрасли:</w:t>
      </w:r>
    </w:p>
    <w:p w14:paraId="0CD8EC67"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78F1DCF1" w14:textId="77777777" w:rsidR="00145E2A" w:rsidRPr="00C33834" w:rsidRDefault="00145E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1933—1936 гг. на НИАПе проводили стрельбы из 122-мм пушек обр. 1931 г. нарезными снарядами. Для этого был изготовлен ствол с крутизной нарезки в 12 калибров, глубиной нарезов 3,0 мм и объемом каморы 9,889 дм</w:t>
      </w:r>
      <w:r w:rsidRPr="00C33834">
        <w:rPr>
          <w:rFonts w:ascii="Times New Roman" w:hAnsi="Times New Roman"/>
          <w:color w:val="000000" w:themeColor="text1"/>
          <w:sz w:val="16"/>
          <w:szCs w:val="16"/>
          <w:vertAlign w:val="superscript"/>
        </w:rPr>
        <w:t>3</w:t>
      </w:r>
      <w:r w:rsidRPr="00C33834">
        <w:rPr>
          <w:rFonts w:ascii="Times New Roman" w:hAnsi="Times New Roman"/>
          <w:color w:val="000000" w:themeColor="text1"/>
          <w:sz w:val="16"/>
          <w:szCs w:val="16"/>
        </w:rPr>
        <w:t>. Стрельба велась нарезными снарядами с глубиной нарезки 3,0 мм.</w:t>
      </w:r>
    </w:p>
    <w:p w14:paraId="71B60C39" w14:textId="77777777" w:rsidR="00145E2A" w:rsidRPr="00C33834" w:rsidRDefault="00145E2A" w:rsidP="00C33834">
      <w:pPr>
        <w:spacing w:after="0" w:line="240" w:lineRule="auto"/>
        <w:jc w:val="both"/>
        <w:rPr>
          <w:rFonts w:ascii="Times New Roman" w:hAnsi="Times New Roman"/>
          <w:bCs/>
          <w:color w:val="000000" w:themeColor="text1"/>
          <w:sz w:val="16"/>
          <w:szCs w:val="16"/>
        </w:rPr>
      </w:pPr>
      <w:bookmarkStart w:id="74" w:name="label103"/>
      <w:bookmarkStart w:id="75" w:name="label104"/>
      <w:bookmarkEnd w:id="74"/>
      <w:bookmarkEnd w:id="75"/>
      <w:r w:rsidRPr="00C33834">
        <w:rPr>
          <w:rFonts w:ascii="Times New Roman" w:hAnsi="Times New Roman"/>
          <w:bCs/>
          <w:color w:val="000000" w:themeColor="text1"/>
          <w:sz w:val="16"/>
          <w:szCs w:val="16"/>
        </w:rPr>
        <w:t>Данные нарезных снарядов</w:t>
      </w:r>
    </w:p>
    <w:p w14:paraId="6FFFDE84" w14:textId="77777777" w:rsidR="00145E2A" w:rsidRPr="00C33834" w:rsidRDefault="00145E2A" w:rsidP="00C33834">
      <w:pPr>
        <w:spacing w:after="0" w:line="240" w:lineRule="auto"/>
        <w:jc w:val="both"/>
        <w:rPr>
          <w:rFonts w:ascii="Times New Roman" w:hAnsi="Times New Roman"/>
          <w:bCs/>
          <w:color w:val="000000" w:themeColor="text1"/>
          <w:sz w:val="16"/>
          <w:szCs w:val="16"/>
        </w:rPr>
      </w:pPr>
      <w:bookmarkStart w:id="76" w:name="label105"/>
      <w:bookmarkEnd w:id="76"/>
      <w:r w:rsidRPr="00C33834">
        <w:rPr>
          <w:rFonts w:ascii="Times New Roman" w:hAnsi="Times New Roman"/>
          <w:bCs/>
          <w:color w:val="000000" w:themeColor="text1"/>
          <w:sz w:val="16"/>
          <w:szCs w:val="16"/>
          <w:vertAlign w:val="superscript"/>
        </w:rPr>
        <w:t>Тип снаряда, № чертежа …… Вес снаряда, кг / Длина, клб / Вес ВВ, кг</w:t>
      </w:r>
    </w:p>
    <w:p w14:paraId="460858E0" w14:textId="77777777" w:rsidR="00145E2A" w:rsidRPr="00C33834" w:rsidRDefault="00145E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Фугасный, 5985 …… 25,2 / 5,0 / 3,81</w:t>
      </w:r>
    </w:p>
    <w:p w14:paraId="49466B02" w14:textId="77777777" w:rsidR="00145E2A" w:rsidRPr="00C33834" w:rsidRDefault="00145E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Бетовобойный, 6105 …… 40,0 / 6,4 / 4,57</w:t>
      </w:r>
    </w:p>
    <w:p w14:paraId="2D83F934" w14:textId="77777777" w:rsidR="00145E2A" w:rsidRPr="00C33834" w:rsidRDefault="00145E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При стрельбе 10 июня 1936 г. снарядом чертежа 6105 при заряде 5,0 кг достигнута начальная скорость 550 м/с и дальность 14 300 м (при угле возвышения +35°).</w:t>
      </w:r>
    </w:p>
    <w:p w14:paraId="3AFC12B0" w14:textId="77777777" w:rsidR="00145E2A" w:rsidRPr="00C33834" w:rsidRDefault="00145E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Однако наряду с преимуществом в весе нарезные снаряды имели и ряд недостатков, так как при увеличении длины снаряда сверх 5 калибров резко падала кучность. Заряжание пушек нарезными снарядами производилось весьма «хитрым» способом (чтобы нарезы снаряда входили в нарезы канала), что приводило к существенному уменьшению скорострельности. (Сх. 17) (Сх. 18)</w:t>
      </w:r>
    </w:p>
    <w:p w14:paraId="7365B8C2" w14:textId="77777777" w:rsidR="00145E2A" w:rsidRPr="00C33834" w:rsidRDefault="00145E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1937 г. опыты со 122-мм нарезными снарядами были прекращены (15117).</w:t>
      </w:r>
    </w:p>
    <w:p w14:paraId="206DEDFA" w14:textId="77777777" w:rsidR="00145E2A" w:rsidRPr="00C33834" w:rsidRDefault="00145E2A" w:rsidP="00C33834">
      <w:pPr>
        <w:spacing w:after="0" w:line="240" w:lineRule="auto"/>
        <w:jc w:val="both"/>
        <w:rPr>
          <w:rFonts w:ascii="Times New Roman" w:hAnsi="Times New Roman"/>
          <w:color w:val="000000" w:themeColor="text1"/>
          <w:sz w:val="16"/>
          <w:szCs w:val="16"/>
        </w:rPr>
      </w:pPr>
    </w:p>
    <w:p w14:paraId="344F614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1930-1933 годах было испытано несколько образцов 76-мм стволов в 30 и 40 клб как с лейнерами, так и со свободными трубами (3861).</w:t>
      </w:r>
    </w:p>
    <w:p w14:paraId="6453588D"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C78F3C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1931 -33 гг. был построен "Уралвагонзавод" в Нижнем Тагиле для выпуска 54000 четырёхосных грузовых вагонов грузоподъёмностью 50 тонн, ежегодно, затем производство было расширено до выпуска 70000 вагонов в год (4018).</w:t>
      </w:r>
    </w:p>
    <w:p w14:paraId="772E3D3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3EE575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1932-1933 годах было изготовлено около тридцати 37-мм РК ММ (малой мощности) Курчевского, которые использовались в войсках для учебных целей. Причем, на дистанции 200-300 м снаряд из РК ММ не пробивал броню насквозь, а выбивал пробку, застревая в броне (3861).</w:t>
      </w:r>
    </w:p>
    <w:p w14:paraId="29999D0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0529785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В 1933-1935 годах Кузнецкий меткомбинат вводил в строй свою вторую очередь – две домны, мартеновский цех, новые коксовые батареи и прокатные станы. Большая проблема возникла с обучением специалистов – именно по причине отсутствия опытных рабочих и мастеров в 1933 году производство на новом западном оборудовании (блюминг – немецкой фирмы «Зак», прокатные станы – немецкой фирмы Schlemann) пробуксовывало. Часто отсутствие знаний приводило к повреждениям техники и даже доменных печей. Проблему решали также ударным способом – быстрой подготовкой кадров на базе филиала Сибирского металлургического института. В 1931-1932 годах по оргнабору на КМК прибыло до четырехсот инженеров и мастеров с южных предприятий СССР (11539). </w:t>
      </w:r>
    </w:p>
    <w:p w14:paraId="22F9C1C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628B968E" w14:textId="77777777" w:rsidR="00145E2A" w:rsidRPr="00C33834" w:rsidRDefault="00145E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1933-1936 гг. заводы СК-1, СК-2 и СК-3 достигли проектной мощности. В предвоенном 1940 г. промышленность СК выпустила 100 тыс. тонн синтетического каучука. Себестоимость каучука была снижена в 1940 г. по сравнения с 1933 г. более чем в три раза. Кроме введения на заводах новых мощностей, решающую роль в успехахпромышленности СК имели указанные выше интенсивные факторы роста. Необходимо отметить самоотверженный труд специалистов и рабочих заводов, развернувшееся, начиная с 1935 г., стахановское движение, творческий труд коллектива Гипрокаучука, быстро выполнявшего проектные работы по реконструкции действующих цехов и установок и проектирование новых объектов. Выдающиеся организаторские способности начальника Главкаучука О.Д. Осипова-Шмидта, его энергия и смелость при внедрении в производство новшеств, внимание к кадрам помогали достижению высоких показателейработы промышленности СК (18298).</w:t>
      </w:r>
    </w:p>
    <w:p w14:paraId="201BA652" w14:textId="77777777" w:rsidR="00145E2A" w:rsidRPr="00C33834" w:rsidRDefault="00145E2A" w:rsidP="00C33834">
      <w:pPr>
        <w:spacing w:after="0" w:line="240" w:lineRule="auto"/>
        <w:jc w:val="both"/>
        <w:rPr>
          <w:rFonts w:ascii="Times New Roman" w:hAnsi="Times New Roman"/>
          <w:color w:val="000000" w:themeColor="text1"/>
          <w:sz w:val="16"/>
          <w:szCs w:val="16"/>
        </w:rPr>
      </w:pPr>
    </w:p>
    <w:p w14:paraId="5FC85E5F" w14:textId="77777777" w:rsidR="00145E2A" w:rsidRPr="00C33834" w:rsidRDefault="00145E2A"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Жизнь и внутренняя политика:</w:t>
      </w:r>
    </w:p>
    <w:p w14:paraId="24D94066" w14:textId="77777777" w:rsidR="00145E2A" w:rsidRPr="00C33834" w:rsidRDefault="00145E2A"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D885362" w14:textId="77777777" w:rsidR="00145E2A" w:rsidRPr="00C33834" w:rsidRDefault="00145E2A" w:rsidP="00C33834">
      <w:pPr>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1933-1934 гг. снабжение продуктами питания стабилизировалось. За три «хороших года», 1934-1936 гг., уровень жизни существенно вырос, хотя до начала Второй мировой войны так и не достиг уровня конца 1920-х гг.{991}Но несмотря на ухудшение положения по сравнению с 1920-ми гг., следует иметь в виду, что масса рабочих пришла на заводы и фабрики после 1928 г. и потому на собственном опыте не была знакома с исходным положением. Субъективно для этой массы сниженный стандарт жизни 1930-х гг. являлся улучшением, если сравнить их жизнь в городе с прежнейдеревенской{992} (18299).</w:t>
      </w:r>
    </w:p>
    <w:p w14:paraId="31F3B7A3" w14:textId="77777777" w:rsidR="00145E2A" w:rsidRPr="00C33834" w:rsidRDefault="00145E2A" w:rsidP="00C33834">
      <w:pPr>
        <w:spacing w:after="0" w:line="240" w:lineRule="auto"/>
        <w:jc w:val="both"/>
        <w:rPr>
          <w:rFonts w:ascii="Times New Roman" w:hAnsi="Times New Roman"/>
          <w:color w:val="000000" w:themeColor="text1"/>
          <w:sz w:val="16"/>
          <w:szCs w:val="16"/>
        </w:rPr>
      </w:pPr>
    </w:p>
    <w:p w14:paraId="6DD8A44E" w14:textId="77777777" w:rsidR="002E2083"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Внешняя политика:</w:t>
      </w:r>
    </w:p>
    <w:p w14:paraId="2B24381A" w14:textId="77777777" w:rsidR="002E2083" w:rsidRPr="00C33834" w:rsidRDefault="002E2083"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2789095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1933-35 гг. доля исмпорта в Германию из России была невелика:</w:t>
      </w:r>
    </w:p>
    <w:p w14:paraId="4F38753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ИМПОРТ В ГЕРМАНИЮ НЕКОТОРЫХ ВИДОВ СЫРЬЯ, тыс. тонн: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2101"/>
        <w:gridCol w:w="1064"/>
        <w:gridCol w:w="1354"/>
        <w:gridCol w:w="1064"/>
        <w:gridCol w:w="1354"/>
        <w:gridCol w:w="1064"/>
        <w:gridCol w:w="1354"/>
      </w:tblGrid>
      <w:tr w:rsidR="00F26F01" w:rsidRPr="00C33834" w14:paraId="42FDE184" w14:textId="77777777" w:rsidTr="002E2083">
        <w:tc>
          <w:tcPr>
            <w:tcW w:w="2101" w:type="dxa"/>
            <w:tcBorders>
              <w:top w:val="single" w:sz="12" w:space="0" w:color="000000"/>
            </w:tcBorders>
          </w:tcPr>
          <w:p w14:paraId="43F6CA8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tc>
        <w:tc>
          <w:tcPr>
            <w:tcW w:w="1064" w:type="dxa"/>
            <w:gridSpan w:val="2"/>
            <w:tcBorders>
              <w:top w:val="single" w:sz="12" w:space="0" w:color="000000"/>
            </w:tcBorders>
          </w:tcPr>
          <w:p w14:paraId="6DC4724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1933</w:t>
            </w:r>
          </w:p>
        </w:tc>
        <w:tc>
          <w:tcPr>
            <w:tcW w:w="1064" w:type="dxa"/>
            <w:gridSpan w:val="2"/>
            <w:tcBorders>
              <w:top w:val="single" w:sz="12" w:space="0" w:color="000000"/>
            </w:tcBorders>
          </w:tcPr>
          <w:p w14:paraId="246235A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1934</w:t>
            </w:r>
          </w:p>
        </w:tc>
        <w:tc>
          <w:tcPr>
            <w:tcW w:w="1064" w:type="dxa"/>
            <w:gridSpan w:val="2"/>
            <w:tcBorders>
              <w:top w:val="single" w:sz="12" w:space="0" w:color="000000"/>
            </w:tcBorders>
          </w:tcPr>
          <w:p w14:paraId="66B183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1935</w:t>
            </w:r>
          </w:p>
        </w:tc>
      </w:tr>
      <w:tr w:rsidR="00F26F01" w:rsidRPr="00C33834" w14:paraId="6278D423" w14:textId="77777777">
        <w:tc>
          <w:tcPr>
            <w:tcW w:w="2101" w:type="dxa"/>
          </w:tcPr>
          <w:p w14:paraId="20C1639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Вид сырья</w:t>
            </w:r>
          </w:p>
        </w:tc>
        <w:tc>
          <w:tcPr>
            <w:tcW w:w="1064" w:type="dxa"/>
          </w:tcPr>
          <w:p w14:paraId="36165B2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Весь импорт</w:t>
            </w:r>
          </w:p>
        </w:tc>
        <w:tc>
          <w:tcPr>
            <w:tcW w:w="1354" w:type="dxa"/>
          </w:tcPr>
          <w:p w14:paraId="12B3524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т.ч. из СССР</w:t>
            </w:r>
          </w:p>
        </w:tc>
        <w:tc>
          <w:tcPr>
            <w:tcW w:w="1064" w:type="dxa"/>
          </w:tcPr>
          <w:p w14:paraId="0467BA8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Весь импорт</w:t>
            </w:r>
          </w:p>
        </w:tc>
        <w:tc>
          <w:tcPr>
            <w:tcW w:w="1354" w:type="dxa"/>
          </w:tcPr>
          <w:p w14:paraId="1A6C370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т.ч. из СССР</w:t>
            </w:r>
          </w:p>
        </w:tc>
        <w:tc>
          <w:tcPr>
            <w:tcW w:w="1064" w:type="dxa"/>
          </w:tcPr>
          <w:p w14:paraId="448884F3"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Весь импорт</w:t>
            </w:r>
          </w:p>
        </w:tc>
        <w:tc>
          <w:tcPr>
            <w:tcW w:w="1354" w:type="dxa"/>
          </w:tcPr>
          <w:p w14:paraId="446143F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т.ч. из СССР</w:t>
            </w:r>
          </w:p>
        </w:tc>
      </w:tr>
      <w:tr w:rsidR="00F26F01" w:rsidRPr="00C33834" w14:paraId="1DCD36BD" w14:textId="77777777">
        <w:tc>
          <w:tcPr>
            <w:tcW w:w="2101" w:type="dxa"/>
          </w:tcPr>
          <w:p w14:paraId="506F1D27"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Железная руда</w:t>
            </w:r>
          </w:p>
        </w:tc>
        <w:tc>
          <w:tcPr>
            <w:tcW w:w="1064" w:type="dxa"/>
          </w:tcPr>
          <w:p w14:paraId="51BE443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4527</w:t>
            </w:r>
          </w:p>
        </w:tc>
        <w:tc>
          <w:tcPr>
            <w:tcW w:w="1354" w:type="dxa"/>
          </w:tcPr>
          <w:p w14:paraId="0B4C1D7F"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24,5</w:t>
            </w:r>
          </w:p>
        </w:tc>
        <w:tc>
          <w:tcPr>
            <w:tcW w:w="1064" w:type="dxa"/>
          </w:tcPr>
          <w:p w14:paraId="02143C0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8264</w:t>
            </w:r>
          </w:p>
        </w:tc>
        <w:tc>
          <w:tcPr>
            <w:tcW w:w="1354" w:type="dxa"/>
          </w:tcPr>
          <w:p w14:paraId="5D4E7B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1.9</w:t>
            </w:r>
          </w:p>
        </w:tc>
        <w:tc>
          <w:tcPr>
            <w:tcW w:w="1064" w:type="dxa"/>
          </w:tcPr>
          <w:p w14:paraId="26E7C3B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14061</w:t>
            </w:r>
          </w:p>
        </w:tc>
        <w:tc>
          <w:tcPr>
            <w:tcW w:w="1354" w:type="dxa"/>
          </w:tcPr>
          <w:p w14:paraId="244C4A5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2,7</w:t>
            </w:r>
          </w:p>
        </w:tc>
      </w:tr>
      <w:tr w:rsidR="00F26F01" w:rsidRPr="00C33834" w14:paraId="4D06AFA4" w14:textId="77777777">
        <w:tc>
          <w:tcPr>
            <w:tcW w:w="2101" w:type="dxa"/>
          </w:tcPr>
          <w:p w14:paraId="64B9B48B"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Нефть и нефтепродукты</w:t>
            </w:r>
          </w:p>
        </w:tc>
        <w:tc>
          <w:tcPr>
            <w:tcW w:w="1064" w:type="dxa"/>
          </w:tcPr>
          <w:p w14:paraId="43502810"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2428</w:t>
            </w:r>
          </w:p>
        </w:tc>
        <w:tc>
          <w:tcPr>
            <w:tcW w:w="1354" w:type="dxa"/>
          </w:tcPr>
          <w:p w14:paraId="751DD96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505,5</w:t>
            </w:r>
          </w:p>
        </w:tc>
        <w:tc>
          <w:tcPr>
            <w:tcW w:w="1064" w:type="dxa"/>
          </w:tcPr>
          <w:p w14:paraId="152A64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3094</w:t>
            </w:r>
          </w:p>
        </w:tc>
        <w:tc>
          <w:tcPr>
            <w:tcW w:w="1354" w:type="dxa"/>
          </w:tcPr>
          <w:p w14:paraId="1665A22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458,6</w:t>
            </w:r>
          </w:p>
        </w:tc>
        <w:tc>
          <w:tcPr>
            <w:tcW w:w="1064" w:type="dxa"/>
          </w:tcPr>
          <w:p w14:paraId="540AB9C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3766</w:t>
            </w:r>
          </w:p>
        </w:tc>
        <w:tc>
          <w:tcPr>
            <w:tcW w:w="1354" w:type="dxa"/>
          </w:tcPr>
          <w:p w14:paraId="3A864B62"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491,9</w:t>
            </w:r>
          </w:p>
        </w:tc>
      </w:tr>
      <w:tr w:rsidR="00F26F01" w:rsidRPr="00C33834" w14:paraId="7D3DC3A5" w14:textId="77777777">
        <w:tc>
          <w:tcPr>
            <w:tcW w:w="2101" w:type="dxa"/>
            <w:tcBorders>
              <w:bottom w:val="single" w:sz="12" w:space="0" w:color="000000"/>
            </w:tcBorders>
          </w:tcPr>
          <w:p w14:paraId="148CF388"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Хлопок</w:t>
            </w:r>
          </w:p>
        </w:tc>
        <w:tc>
          <w:tcPr>
            <w:tcW w:w="1064" w:type="dxa"/>
            <w:tcBorders>
              <w:bottom w:val="single" w:sz="12" w:space="0" w:color="000000"/>
            </w:tcBorders>
          </w:tcPr>
          <w:p w14:paraId="7E6770C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220</w:t>
            </w:r>
          </w:p>
        </w:tc>
        <w:tc>
          <w:tcPr>
            <w:tcW w:w="1354" w:type="dxa"/>
            <w:tcBorders>
              <w:bottom w:val="single" w:sz="12" w:space="0" w:color="000000"/>
            </w:tcBorders>
          </w:tcPr>
          <w:p w14:paraId="615EBAB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 xml:space="preserve">— </w:t>
            </w:r>
          </w:p>
        </w:tc>
        <w:tc>
          <w:tcPr>
            <w:tcW w:w="1064" w:type="dxa"/>
            <w:tcBorders>
              <w:bottom w:val="single" w:sz="12" w:space="0" w:color="000000"/>
            </w:tcBorders>
          </w:tcPr>
          <w:p w14:paraId="0A2CF2E5"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260</w:t>
            </w:r>
          </w:p>
        </w:tc>
        <w:tc>
          <w:tcPr>
            <w:tcW w:w="1354" w:type="dxa"/>
            <w:tcBorders>
              <w:bottom w:val="single" w:sz="12" w:space="0" w:color="000000"/>
            </w:tcBorders>
          </w:tcPr>
          <w:p w14:paraId="796EDF7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5,9</w:t>
            </w:r>
          </w:p>
        </w:tc>
        <w:tc>
          <w:tcPr>
            <w:tcW w:w="1064" w:type="dxa"/>
            <w:tcBorders>
              <w:bottom w:val="single" w:sz="12" w:space="0" w:color="000000"/>
            </w:tcBorders>
          </w:tcPr>
          <w:p w14:paraId="2D7F620C"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329</w:t>
            </w:r>
          </w:p>
        </w:tc>
        <w:tc>
          <w:tcPr>
            <w:tcW w:w="1354" w:type="dxa"/>
            <w:tcBorders>
              <w:bottom w:val="single" w:sz="12" w:space="0" w:color="000000"/>
            </w:tcBorders>
          </w:tcPr>
          <w:p w14:paraId="0AE13869"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3,4</w:t>
            </w:r>
          </w:p>
        </w:tc>
      </w:tr>
    </w:tbl>
    <w:p w14:paraId="4587974A"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1933-1936 гг. Германия поглощала до 3/4 всего шведского экспорта железной руды. В 1938 году импорт Третьим рейхом этого стратегического сырья составлял 9 млн тонн, покрывая 41 % потребностей германской металлургической промышленности в руде. Если же учесть высокий процент содержания чистого железа в шведской руде, получается, что 60% немецкого чугуна выплавлялись из руды, импортированной из Швеции. В сравнении с этим доля Советского Союза в поставках сырья Третьему рейху, как это видно из приведённой ниже таблицы, была относительно невелика (11208).</w:t>
      </w:r>
    </w:p>
    <w:p w14:paraId="7DC3BF9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59999ED4"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 1933 –34 гг., то есть после установления между СССР и Америкой дипотношений, началась систематическая разведывательная работа советских спецслужб в США. Первоначально главным прикрытием для советских разведчиков служило посольство в Вашингтоне и ген. консульство в Нью-Йорке. Трудно сказать, что было тому причиной. Возможно, нежелание рисковать важной в экономическом плане фирмой, а может быть, привычка к традиционным решениям. Впрочем, фразу "главным прикрытием служило посольство" не следует понимать как "разведчики базировались только в посольстве". У Амторга была своя "экологическая ниша" в сфере тайных операций – экономический шпионаж, им он и занимался (11507).</w:t>
      </w:r>
    </w:p>
    <w:p w14:paraId="756F13D6"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p>
    <w:p w14:paraId="4158FD5E" w14:textId="77777777" w:rsidR="00E96D40" w:rsidRPr="00C33834" w:rsidRDefault="001A42D5" w:rsidP="00C33834">
      <w:pPr>
        <w:autoSpaceDE w:val="0"/>
        <w:autoSpaceDN w:val="0"/>
        <w:adjustRightInd w:val="0"/>
        <w:spacing w:after="0" w:line="240" w:lineRule="auto"/>
        <w:jc w:val="both"/>
        <w:rPr>
          <w:rFonts w:ascii="Times New Roman" w:hAnsi="Times New Roman"/>
          <w:iCs/>
          <w:color w:val="000000" w:themeColor="text1"/>
          <w:sz w:val="16"/>
          <w:szCs w:val="16"/>
        </w:rPr>
      </w:pPr>
      <w:r w:rsidRPr="00C33834">
        <w:rPr>
          <w:rFonts w:ascii="Times New Roman" w:hAnsi="Times New Roman"/>
          <w:i/>
          <w:iCs/>
          <w:color w:val="000000" w:themeColor="text1"/>
          <w:sz w:val="16"/>
          <w:szCs w:val="16"/>
        </w:rPr>
        <w:t>За рубежом:</w:t>
      </w:r>
    </w:p>
    <w:p w14:paraId="0DFCC61C" w14:textId="77777777" w:rsidR="00E96D40" w:rsidRPr="00C33834" w:rsidRDefault="00E96D40" w:rsidP="00C33834">
      <w:pPr>
        <w:autoSpaceDE w:val="0"/>
        <w:autoSpaceDN w:val="0"/>
        <w:adjustRightInd w:val="0"/>
        <w:spacing w:after="0" w:line="240" w:lineRule="auto"/>
        <w:jc w:val="both"/>
        <w:rPr>
          <w:rFonts w:ascii="Times New Roman" w:hAnsi="Times New Roman"/>
          <w:iCs/>
          <w:color w:val="000000" w:themeColor="text1"/>
          <w:sz w:val="16"/>
          <w:szCs w:val="16"/>
        </w:rPr>
      </w:pPr>
    </w:p>
    <w:p w14:paraId="3548D42C" w14:textId="77777777" w:rsidR="00E96D40" w:rsidRPr="00C33834" w:rsidRDefault="00E96D40" w:rsidP="00C33834">
      <w:pPr>
        <w:spacing w:after="0" w:line="240" w:lineRule="auto"/>
        <w:jc w:val="both"/>
        <w:rPr>
          <w:rFonts w:ascii="Times New Roman" w:hAnsi="Times New Roman"/>
          <w:color w:val="000000" w:themeColor="text1"/>
          <w:sz w:val="16"/>
          <w:szCs w:val="16"/>
        </w:rPr>
      </w:pPr>
      <w:r w:rsidRPr="00C33834">
        <w:rPr>
          <w:rFonts w:ascii="Times New Roman" w:eastAsia="Times New Roman" w:hAnsi="Times New Roman"/>
          <w:color w:val="000000" w:themeColor="text1"/>
          <w:sz w:val="16"/>
          <w:szCs w:val="16"/>
          <w:lang w:eastAsia="ru-RU"/>
        </w:rPr>
        <w:t>В 1933/34 и 1934/35 гг. на армию и на призводство вооружения расходовалось примерно по 1,9 млрд. рейхсмарок, что составляло около 20% всех государственных расходов, или 4% национального дохода. В сравнении с другими странами такие военные расходы являлись крайне умеренными.</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44"/>
        <w:gridCol w:w="2244"/>
        <w:gridCol w:w="2244"/>
        <w:gridCol w:w="2057"/>
        <w:gridCol w:w="1997"/>
      </w:tblGrid>
      <w:tr w:rsidR="00F26F01" w:rsidRPr="00C33834" w14:paraId="26B5D49D" w14:textId="77777777" w:rsidTr="00A2543A">
        <w:trPr>
          <w:tblCellSpacing w:w="15" w:type="dxa"/>
          <w:jc w:val="center"/>
        </w:trPr>
        <w:tc>
          <w:tcPr>
            <w:tcW w:w="1999" w:type="dxa"/>
            <w:vMerge w:val="restart"/>
            <w:tcBorders>
              <w:top w:val="outset" w:sz="6" w:space="0" w:color="auto"/>
              <w:left w:val="outset" w:sz="6" w:space="0" w:color="auto"/>
              <w:bottom w:val="outset" w:sz="6" w:space="0" w:color="auto"/>
              <w:right w:val="outset" w:sz="6" w:space="0" w:color="auto"/>
            </w:tcBorders>
            <w:shd w:val="clear" w:color="auto" w:fill="auto"/>
            <w:tcMar>
              <w:top w:w="15" w:type="dxa"/>
              <w:left w:w="15" w:type="dxa"/>
              <w:bottom w:w="15" w:type="dxa"/>
              <w:right w:w="15" w:type="dxa"/>
            </w:tcMar>
            <w:vAlign w:val="center"/>
            <w:hideMark/>
          </w:tcPr>
          <w:p w14:paraId="46007812"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bCs/>
                <w:color w:val="000000" w:themeColor="text1"/>
                <w:sz w:val="16"/>
                <w:szCs w:val="16"/>
                <w:lang w:eastAsia="ru-RU"/>
              </w:rPr>
              <w:lastRenderedPageBreak/>
              <w:t xml:space="preserve">Бюджетный год </w:t>
            </w:r>
          </w:p>
        </w:tc>
        <w:tc>
          <w:tcPr>
            <w:tcW w:w="2214" w:type="dxa"/>
            <w:tcBorders>
              <w:top w:val="outset" w:sz="6" w:space="0" w:color="auto"/>
              <w:left w:val="outset" w:sz="6" w:space="0" w:color="auto"/>
              <w:bottom w:val="outset" w:sz="6" w:space="0" w:color="auto"/>
              <w:right w:val="outset" w:sz="6" w:space="0" w:color="auto"/>
            </w:tcBorders>
            <w:shd w:val="clear" w:color="auto" w:fill="auto"/>
            <w:tcMar>
              <w:top w:w="15" w:type="dxa"/>
              <w:left w:w="15" w:type="dxa"/>
              <w:bottom w:w="15" w:type="dxa"/>
              <w:right w:w="15" w:type="dxa"/>
            </w:tcMar>
            <w:hideMark/>
          </w:tcPr>
          <w:p w14:paraId="1B0B2D72"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bCs/>
                <w:color w:val="000000" w:themeColor="text1"/>
                <w:sz w:val="16"/>
                <w:szCs w:val="16"/>
                <w:lang w:eastAsia="ru-RU"/>
              </w:rPr>
              <w:t xml:space="preserve">Все бюджетные расходы </w:t>
            </w:r>
          </w:p>
        </w:tc>
        <w:tc>
          <w:tcPr>
            <w:tcW w:w="2214" w:type="dxa"/>
            <w:tcBorders>
              <w:top w:val="outset" w:sz="6" w:space="0" w:color="auto"/>
              <w:left w:val="outset" w:sz="6" w:space="0" w:color="auto"/>
              <w:bottom w:val="outset" w:sz="6" w:space="0" w:color="auto"/>
              <w:right w:val="outset" w:sz="6" w:space="0" w:color="auto"/>
            </w:tcBorders>
            <w:shd w:val="clear" w:color="auto" w:fill="auto"/>
            <w:tcMar>
              <w:top w:w="15" w:type="dxa"/>
              <w:left w:w="15" w:type="dxa"/>
              <w:bottom w:w="15" w:type="dxa"/>
              <w:right w:w="15" w:type="dxa"/>
            </w:tcMar>
            <w:hideMark/>
          </w:tcPr>
          <w:p w14:paraId="16DB3F44"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bCs/>
                <w:color w:val="000000" w:themeColor="text1"/>
                <w:sz w:val="16"/>
                <w:szCs w:val="16"/>
                <w:lang w:eastAsia="ru-RU"/>
              </w:rPr>
              <w:t xml:space="preserve">Расходы на вооружение и армию </w:t>
            </w:r>
          </w:p>
        </w:tc>
        <w:tc>
          <w:tcPr>
            <w:tcW w:w="2027" w:type="dxa"/>
            <w:vMerge w:val="restart"/>
            <w:tcBorders>
              <w:top w:val="outset" w:sz="6" w:space="0" w:color="auto"/>
              <w:left w:val="outset" w:sz="6" w:space="0" w:color="auto"/>
              <w:bottom w:val="outset" w:sz="6" w:space="0" w:color="auto"/>
              <w:right w:val="outset" w:sz="6" w:space="0" w:color="auto"/>
            </w:tcBorders>
            <w:shd w:val="clear" w:color="auto" w:fill="auto"/>
            <w:tcMar>
              <w:top w:w="15" w:type="dxa"/>
              <w:left w:w="15" w:type="dxa"/>
              <w:bottom w:w="15" w:type="dxa"/>
              <w:right w:w="15" w:type="dxa"/>
            </w:tcMar>
            <w:vAlign w:val="center"/>
            <w:hideMark/>
          </w:tcPr>
          <w:p w14:paraId="7416C6CD"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bCs/>
                <w:color w:val="000000" w:themeColor="text1"/>
                <w:sz w:val="16"/>
                <w:szCs w:val="16"/>
                <w:lang w:eastAsia="ru-RU"/>
              </w:rPr>
              <w:t xml:space="preserve">Доля военных расходов во всех расходах, % </w:t>
            </w:r>
          </w:p>
        </w:tc>
        <w:tc>
          <w:tcPr>
            <w:tcW w:w="1952" w:type="dxa"/>
            <w:vMerge w:val="restart"/>
            <w:tcBorders>
              <w:top w:val="outset" w:sz="6" w:space="0" w:color="auto"/>
              <w:left w:val="outset" w:sz="6" w:space="0" w:color="auto"/>
              <w:bottom w:val="outset" w:sz="6" w:space="0" w:color="auto"/>
              <w:right w:val="outset" w:sz="6" w:space="0" w:color="auto"/>
            </w:tcBorders>
            <w:shd w:val="clear" w:color="auto" w:fill="auto"/>
            <w:tcMar>
              <w:top w:w="15" w:type="dxa"/>
              <w:left w:w="15" w:type="dxa"/>
              <w:bottom w:w="15" w:type="dxa"/>
              <w:right w:w="15" w:type="dxa"/>
            </w:tcMar>
            <w:hideMark/>
          </w:tcPr>
          <w:p w14:paraId="28D5A208"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bCs/>
                <w:color w:val="000000" w:themeColor="text1"/>
                <w:sz w:val="16"/>
                <w:szCs w:val="16"/>
                <w:lang w:eastAsia="ru-RU"/>
              </w:rPr>
              <w:t xml:space="preserve">Доля военных расходов в национальном бюджете, % </w:t>
            </w:r>
          </w:p>
        </w:tc>
      </w:tr>
      <w:tr w:rsidR="00F26F01" w:rsidRPr="00C33834" w14:paraId="2D5D9879" w14:textId="77777777" w:rsidTr="00A2543A">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28AA5E5B"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p>
        </w:tc>
        <w:tc>
          <w:tcPr>
            <w:tcW w:w="4458" w:type="dxa"/>
            <w:gridSpan w:val="2"/>
            <w:tcBorders>
              <w:top w:val="outset" w:sz="6" w:space="0" w:color="auto"/>
              <w:left w:val="outset" w:sz="6" w:space="0" w:color="auto"/>
              <w:bottom w:val="outset" w:sz="6" w:space="0" w:color="auto"/>
              <w:right w:val="outset" w:sz="6" w:space="0" w:color="auto"/>
            </w:tcBorders>
            <w:shd w:val="clear" w:color="auto" w:fill="auto"/>
            <w:tcMar>
              <w:top w:w="15" w:type="dxa"/>
              <w:left w:w="15" w:type="dxa"/>
              <w:bottom w:w="15" w:type="dxa"/>
              <w:right w:w="15" w:type="dxa"/>
            </w:tcMar>
            <w:hideMark/>
          </w:tcPr>
          <w:p w14:paraId="2AF2A24D"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Млрд. рейхсмарок </w:t>
            </w: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39492443"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4600F256"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p>
        </w:tc>
      </w:tr>
      <w:tr w:rsidR="00F26F01" w:rsidRPr="00C33834" w14:paraId="016CAB96" w14:textId="77777777" w:rsidTr="00A2543A">
        <w:trPr>
          <w:tblCellSpacing w:w="15" w:type="dxa"/>
          <w:jc w:val="center"/>
        </w:trPr>
        <w:tc>
          <w:tcPr>
            <w:tcW w:w="1999"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7AAF1B84"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1933/34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2ABF94AF"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8,1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12B7CFA0"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1,9 </w:t>
            </w:r>
          </w:p>
        </w:tc>
        <w:tc>
          <w:tcPr>
            <w:tcW w:w="2027"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30A4DCA1"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24 </w:t>
            </w:r>
          </w:p>
        </w:tc>
        <w:tc>
          <w:tcPr>
            <w:tcW w:w="1952"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3FB0EC79"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46,5 </w:t>
            </w:r>
          </w:p>
        </w:tc>
      </w:tr>
      <w:tr w:rsidR="00F26F01" w:rsidRPr="00C33834" w14:paraId="4C285104" w14:textId="77777777" w:rsidTr="00A2543A">
        <w:trPr>
          <w:tblCellSpacing w:w="15" w:type="dxa"/>
          <w:jc w:val="center"/>
        </w:trPr>
        <w:tc>
          <w:tcPr>
            <w:tcW w:w="1999"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40FF53DD"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1934/35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1E410BDF"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10,4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40712CFF"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1,9 </w:t>
            </w:r>
          </w:p>
        </w:tc>
        <w:tc>
          <w:tcPr>
            <w:tcW w:w="2027"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50D81B50"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18 </w:t>
            </w:r>
          </w:p>
        </w:tc>
        <w:tc>
          <w:tcPr>
            <w:tcW w:w="1952"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0D9C9C64"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52,8 </w:t>
            </w:r>
          </w:p>
        </w:tc>
      </w:tr>
      <w:tr w:rsidR="00F26F01" w:rsidRPr="00C33834" w14:paraId="04B54920" w14:textId="77777777" w:rsidTr="00A2543A">
        <w:trPr>
          <w:tblCellSpacing w:w="15" w:type="dxa"/>
          <w:jc w:val="center"/>
        </w:trPr>
        <w:tc>
          <w:tcPr>
            <w:tcW w:w="1999"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41B8D222"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1935/36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6A62275C"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12,8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528CD96D"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4,0 </w:t>
            </w:r>
          </w:p>
        </w:tc>
        <w:tc>
          <w:tcPr>
            <w:tcW w:w="2027"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007DFEBF"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31 </w:t>
            </w:r>
          </w:p>
        </w:tc>
        <w:tc>
          <w:tcPr>
            <w:tcW w:w="1952"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7CA2982F"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59,1 </w:t>
            </w:r>
          </w:p>
        </w:tc>
      </w:tr>
      <w:tr w:rsidR="00F26F01" w:rsidRPr="00C33834" w14:paraId="465058BA" w14:textId="77777777" w:rsidTr="00A2543A">
        <w:trPr>
          <w:tblCellSpacing w:w="15" w:type="dxa"/>
          <w:jc w:val="center"/>
        </w:trPr>
        <w:tc>
          <w:tcPr>
            <w:tcW w:w="1999"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39C30DFE"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1936/37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0AFC9A0D"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15,8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17AE90DC"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5,8 </w:t>
            </w:r>
          </w:p>
        </w:tc>
        <w:tc>
          <w:tcPr>
            <w:tcW w:w="2027"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1EF7FAE0"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37 </w:t>
            </w:r>
          </w:p>
        </w:tc>
        <w:tc>
          <w:tcPr>
            <w:tcW w:w="1952"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2A602AA2"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65,8 </w:t>
            </w:r>
          </w:p>
        </w:tc>
      </w:tr>
      <w:tr w:rsidR="00F26F01" w:rsidRPr="00C33834" w14:paraId="3A0F66BB" w14:textId="77777777" w:rsidTr="00A2543A">
        <w:trPr>
          <w:tblCellSpacing w:w="15" w:type="dxa"/>
          <w:jc w:val="center"/>
        </w:trPr>
        <w:tc>
          <w:tcPr>
            <w:tcW w:w="1999"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1368A32D"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1937/38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3048B364"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20,1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7016C616"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8,2 </w:t>
            </w:r>
          </w:p>
        </w:tc>
        <w:tc>
          <w:tcPr>
            <w:tcW w:w="2027"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34BA3420"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41 </w:t>
            </w:r>
          </w:p>
        </w:tc>
        <w:tc>
          <w:tcPr>
            <w:tcW w:w="1952"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666E8C76"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73,8 </w:t>
            </w:r>
          </w:p>
        </w:tc>
      </w:tr>
      <w:tr w:rsidR="00F26F01" w:rsidRPr="00C33834" w14:paraId="62603217" w14:textId="77777777" w:rsidTr="00A2543A">
        <w:trPr>
          <w:tblCellSpacing w:w="15" w:type="dxa"/>
          <w:jc w:val="center"/>
        </w:trPr>
        <w:tc>
          <w:tcPr>
            <w:tcW w:w="1999"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7BE4E1EE"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1938/39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16BC6B0A"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31,8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5563109C"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18,4</w:t>
            </w:r>
            <w:r w:rsidRPr="00C33834">
              <w:rPr>
                <w:rFonts w:ascii="Times New Roman" w:eastAsia="Times New Roman" w:hAnsi="Times New Roman"/>
                <w:color w:val="000000" w:themeColor="text1"/>
                <w:sz w:val="16"/>
                <w:szCs w:val="16"/>
                <w:vertAlign w:val="superscript"/>
                <w:lang w:eastAsia="ru-RU"/>
              </w:rPr>
              <w:t>1</w:t>
            </w:r>
          </w:p>
        </w:tc>
        <w:tc>
          <w:tcPr>
            <w:tcW w:w="2027"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5481106E"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58 </w:t>
            </w:r>
          </w:p>
        </w:tc>
        <w:tc>
          <w:tcPr>
            <w:tcW w:w="1952"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76602B0B"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 xml:space="preserve">82,1 </w:t>
            </w:r>
          </w:p>
        </w:tc>
      </w:tr>
    </w:tbl>
    <w:p w14:paraId="1F6E882E" w14:textId="77777777" w:rsidR="00E96D40" w:rsidRPr="00C33834" w:rsidRDefault="00E96D40" w:rsidP="00C33834">
      <w:pPr>
        <w:spacing w:after="0" w:line="240" w:lineRule="auto"/>
        <w:jc w:val="both"/>
        <w:rPr>
          <w:rFonts w:ascii="Times New Roman" w:eastAsia="Times New Roman" w:hAnsi="Times New Roman"/>
          <w:color w:val="000000" w:themeColor="text1"/>
          <w:sz w:val="16"/>
          <w:szCs w:val="16"/>
          <w:lang w:eastAsia="ru-RU"/>
        </w:rPr>
      </w:pPr>
      <w:r w:rsidRPr="00C33834">
        <w:rPr>
          <w:rFonts w:ascii="Times New Roman" w:eastAsia="Times New Roman" w:hAnsi="Times New Roman"/>
          <w:color w:val="000000" w:themeColor="text1"/>
          <w:sz w:val="16"/>
          <w:szCs w:val="16"/>
          <w:lang w:eastAsia="ru-RU"/>
        </w:rPr>
        <w:t>Шахт в мемуарах указывает, что военные раснходы за 1938/39 г. составили лишь 11 млрд. рейхсмарок.</w:t>
      </w:r>
    </w:p>
    <w:p w14:paraId="6E6B0ECC" w14:textId="77777777" w:rsidR="00E96D40" w:rsidRPr="00C33834" w:rsidRDefault="00E96D40" w:rsidP="00C33834">
      <w:pPr>
        <w:autoSpaceDE w:val="0"/>
        <w:autoSpaceDN w:val="0"/>
        <w:adjustRightInd w:val="0"/>
        <w:spacing w:after="0" w:line="240" w:lineRule="auto"/>
        <w:jc w:val="both"/>
        <w:rPr>
          <w:rFonts w:ascii="Times New Roman" w:hAnsi="Times New Roman"/>
          <w:color w:val="000000" w:themeColor="text1"/>
          <w:sz w:val="16"/>
          <w:szCs w:val="16"/>
          <w:lang w:val="en-US"/>
        </w:rPr>
      </w:pPr>
      <w:r w:rsidRPr="00C33834">
        <w:rPr>
          <w:rFonts w:ascii="Times New Roman" w:eastAsia="Times New Roman" w:hAnsi="Times New Roman"/>
          <w:color w:val="000000" w:themeColor="text1"/>
          <w:sz w:val="16"/>
          <w:szCs w:val="16"/>
          <w:lang w:eastAsia="ru-RU"/>
        </w:rPr>
        <w:t>Источник</w:t>
      </w:r>
      <w:r w:rsidRPr="00C33834">
        <w:rPr>
          <w:rFonts w:ascii="Times New Roman" w:eastAsia="Times New Roman" w:hAnsi="Times New Roman"/>
          <w:color w:val="000000" w:themeColor="text1"/>
          <w:sz w:val="16"/>
          <w:szCs w:val="16"/>
          <w:lang w:val="en-US" w:eastAsia="ru-RU"/>
        </w:rPr>
        <w:t>:   лStatistisches Handbuch von Deutschlatid╗, S. 555, 600</w:t>
      </w:r>
    </w:p>
    <w:p w14:paraId="1C2389E5" w14:textId="77777777" w:rsidR="00E96D40" w:rsidRPr="00C33834" w:rsidRDefault="00E96D40" w:rsidP="00C33834">
      <w:pPr>
        <w:autoSpaceDE w:val="0"/>
        <w:autoSpaceDN w:val="0"/>
        <w:adjustRightInd w:val="0"/>
        <w:spacing w:after="0" w:line="240" w:lineRule="auto"/>
        <w:jc w:val="both"/>
        <w:rPr>
          <w:rFonts w:ascii="Times New Roman" w:hAnsi="Times New Roman"/>
          <w:color w:val="000000" w:themeColor="text1"/>
          <w:sz w:val="16"/>
          <w:szCs w:val="16"/>
          <w:lang w:val="en-US"/>
        </w:rPr>
      </w:pPr>
    </w:p>
    <w:p w14:paraId="1A6DCB51" w14:textId="77777777" w:rsidR="002E2083" w:rsidRPr="00C33834" w:rsidRDefault="002E2083" w:rsidP="00C33834">
      <w:pPr>
        <w:autoSpaceDE w:val="0"/>
        <w:autoSpaceDN w:val="0"/>
        <w:adjustRightInd w:val="0"/>
        <w:spacing w:after="0" w:line="240" w:lineRule="auto"/>
        <w:jc w:val="both"/>
        <w:rPr>
          <w:rFonts w:ascii="Times New Roman" w:hAnsi="Times New Roman"/>
          <w:color w:val="000000" w:themeColor="text1"/>
          <w:sz w:val="16"/>
          <w:szCs w:val="16"/>
        </w:rPr>
      </w:pPr>
      <w:r w:rsidRPr="00C33834">
        <w:rPr>
          <w:rFonts w:ascii="Times New Roman" w:hAnsi="Times New Roman"/>
          <w:color w:val="000000" w:themeColor="text1"/>
          <w:sz w:val="16"/>
          <w:szCs w:val="16"/>
        </w:rPr>
        <w:t>Вновь вернулись к соревнованию в опытном строительстве, дальше развили специализированные институты и заводы. Смерть П.И.Баранова невольно привела к руководству "серых кардиналов" и тем самым усилила личную роль И.В.С.</w:t>
      </w:r>
    </w:p>
    <w:p w14:paraId="011DB3F4" w14:textId="77777777" w:rsidR="007E5FA7" w:rsidRPr="00C33834" w:rsidRDefault="007E5FA7" w:rsidP="00C33834">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sectPr w:rsidR="007E5FA7" w:rsidRPr="00C33834" w:rsidSect="004F4B32">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31400"/>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 w15:restartNumberingAfterBreak="0">
    <w:nsid w:val="002257E1"/>
    <w:multiLevelType w:val="singleLevel"/>
    <w:tmpl w:val="34D2EDB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 w15:restartNumberingAfterBreak="0">
    <w:nsid w:val="01EB3EE0"/>
    <w:multiLevelType w:val="multilevel"/>
    <w:tmpl w:val="ADBC70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2A63CB9"/>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 w15:restartNumberingAfterBreak="0">
    <w:nsid w:val="0467060D"/>
    <w:multiLevelType w:val="singleLevel"/>
    <w:tmpl w:val="C37CE35A"/>
    <w:lvl w:ilvl="0">
      <w:start w:val="8"/>
      <w:numFmt w:val="decimal"/>
      <w:lvlText w:val="%1."/>
      <w:legacy w:legacy="1" w:legacySpace="0" w:legacyIndent="360"/>
      <w:lvlJc w:val="left"/>
      <w:pPr>
        <w:ind w:left="360" w:hanging="360"/>
      </w:pPr>
      <w:rPr>
        <w:rFonts w:ascii="Times New Roman" w:hAnsi="Times New Roman" w:cs="Times New Roman" w:hint="default"/>
      </w:rPr>
    </w:lvl>
  </w:abstractNum>
  <w:abstractNum w:abstractNumId="5" w15:restartNumberingAfterBreak="0">
    <w:nsid w:val="06494441"/>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 w15:restartNumberingAfterBreak="0">
    <w:nsid w:val="06633C7E"/>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7" w15:restartNumberingAfterBreak="0">
    <w:nsid w:val="071F64CA"/>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 w15:restartNumberingAfterBreak="0">
    <w:nsid w:val="079513A3"/>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 w15:restartNumberingAfterBreak="0">
    <w:nsid w:val="08FC5AA7"/>
    <w:multiLevelType w:val="multilevel"/>
    <w:tmpl w:val="F3CA3F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9400F05"/>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 w15:restartNumberingAfterBreak="0">
    <w:nsid w:val="0C1774BE"/>
    <w:multiLevelType w:val="singleLevel"/>
    <w:tmpl w:val="C37CE35A"/>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12" w15:restartNumberingAfterBreak="0">
    <w:nsid w:val="0C303646"/>
    <w:multiLevelType w:val="multilevel"/>
    <w:tmpl w:val="9E84B754"/>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2"/>
      <w:numFmt w:val="decimal"/>
      <w:lvlText w:val="%2."/>
      <w:lvlJc w:val="left"/>
      <w:rPr>
        <w:rFonts w:ascii="Arial" w:eastAsia="Arial" w:hAnsi="Arial" w:cs="Arial"/>
        <w:b w:val="0"/>
        <w:bCs w:val="0"/>
        <w:i w:val="0"/>
        <w:iCs w:val="0"/>
        <w:smallCaps w:val="0"/>
        <w:strike w:val="0"/>
        <w:color w:val="000000"/>
        <w:spacing w:val="0"/>
        <w:w w:val="100"/>
        <w:position w:val="0"/>
        <w:sz w:val="19"/>
        <w:szCs w:val="19"/>
        <w:u w:val="none"/>
      </w:rPr>
    </w:lvl>
    <w:lvl w:ilvl="2">
      <w:start w:val="1"/>
      <w:numFmt w:val="decimal"/>
      <w:lvlText w:val="%3."/>
      <w:lvlJc w:val="left"/>
      <w:rPr>
        <w:rFonts w:ascii="Arial" w:eastAsia="Arial" w:hAnsi="Arial" w:cs="Arial"/>
        <w:b w:val="0"/>
        <w:bCs w:val="0"/>
        <w:i w:val="0"/>
        <w:iCs w:val="0"/>
        <w:smallCaps w:val="0"/>
        <w:strike w:val="0"/>
        <w:color w:val="000000"/>
        <w:spacing w:val="0"/>
        <w:w w:val="100"/>
        <w:position w:val="0"/>
        <w:sz w:val="19"/>
        <w:szCs w:val="19"/>
        <w:u w:val="none"/>
      </w:rPr>
    </w:lvl>
    <w:lvl w:ilvl="3">
      <w:start w:val="2"/>
      <w:numFmt w:val="decimal"/>
      <w:lvlText w:val="%4."/>
      <w:lvlJc w:val="left"/>
      <w:rPr>
        <w:rFonts w:ascii="Arial" w:eastAsia="Arial" w:hAnsi="Arial" w:cs="Arial"/>
        <w:b w:val="0"/>
        <w:bCs w:val="0"/>
        <w:i w:val="0"/>
        <w:iCs w:val="0"/>
        <w:smallCaps w:val="0"/>
        <w:strike w:val="0"/>
        <w:color w:val="000000"/>
        <w:spacing w:val="0"/>
        <w:w w:val="100"/>
        <w:position w:val="0"/>
        <w:sz w:val="19"/>
        <w:szCs w:val="19"/>
        <w:u w:val="none"/>
      </w:rPr>
    </w:lvl>
    <w:lvl w:ilvl="4">
      <w:start w:val="2"/>
      <w:numFmt w:val="decimal"/>
      <w:lvlText w:val="%5."/>
      <w:lvlJc w:val="left"/>
      <w:rPr>
        <w:rFonts w:ascii="Arial" w:eastAsia="Arial" w:hAnsi="Arial" w:cs="Arial"/>
        <w:b w:val="0"/>
        <w:bCs w:val="0"/>
        <w:i w:val="0"/>
        <w:iCs w:val="0"/>
        <w:smallCaps w:val="0"/>
        <w:strike w:val="0"/>
        <w:color w:val="000000"/>
        <w:spacing w:val="0"/>
        <w:w w:val="100"/>
        <w:position w:val="0"/>
        <w:sz w:val="19"/>
        <w:szCs w:val="19"/>
        <w:u w:val="none"/>
      </w:rPr>
    </w:lvl>
    <w:lvl w:ilvl="5">
      <w:start w:val="9"/>
      <w:numFmt w:val="decimal"/>
      <w:lvlText w:val="%6."/>
      <w:lvlJc w:val="left"/>
      <w:rPr>
        <w:rFonts w:ascii="Arial" w:eastAsia="Arial" w:hAnsi="Arial" w:cs="Arial"/>
        <w:b w:val="0"/>
        <w:bCs w:val="0"/>
        <w:i w:val="0"/>
        <w:iCs w:val="0"/>
        <w:smallCaps w:val="0"/>
        <w:strike w:val="0"/>
        <w:color w:val="000000"/>
        <w:spacing w:val="0"/>
        <w:w w:val="100"/>
        <w:position w:val="0"/>
        <w:sz w:val="19"/>
        <w:szCs w:val="19"/>
        <w:u w:val="none"/>
      </w:rPr>
    </w:lvl>
    <w:lvl w:ilvl="6">
      <w:start w:val="1"/>
      <w:numFmt w:val="decimal"/>
      <w:lvlText w:val="%7."/>
      <w:lvlJc w:val="left"/>
      <w:rPr>
        <w:rFonts w:ascii="Arial" w:eastAsia="Arial" w:hAnsi="Arial" w:cs="Arial"/>
        <w:b w:val="0"/>
        <w:bCs w:val="0"/>
        <w:i w:val="0"/>
        <w:iCs w:val="0"/>
        <w:smallCaps w:val="0"/>
        <w:strike w:val="0"/>
        <w:color w:val="000000"/>
        <w:spacing w:val="0"/>
        <w:w w:val="100"/>
        <w:position w:val="0"/>
        <w:sz w:val="19"/>
        <w:szCs w:val="19"/>
        <w:u w:val="none"/>
      </w:rPr>
    </w:lvl>
    <w:lvl w:ilvl="7">
      <w:start w:val="2"/>
      <w:numFmt w:val="decimal"/>
      <w:lvlText w:val="%8."/>
      <w:lvlJc w:val="left"/>
      <w:rPr>
        <w:rFonts w:ascii="Arial" w:eastAsia="Arial" w:hAnsi="Arial" w:cs="Arial"/>
        <w:b w:val="0"/>
        <w:bCs w:val="0"/>
        <w:i w:val="0"/>
        <w:iCs w:val="0"/>
        <w:smallCaps w:val="0"/>
        <w:strike w:val="0"/>
        <w:color w:val="000000"/>
        <w:spacing w:val="0"/>
        <w:w w:val="100"/>
        <w:position w:val="0"/>
        <w:sz w:val="19"/>
        <w:szCs w:val="19"/>
        <w:u w:val="none"/>
      </w:rPr>
    </w:lvl>
    <w:lvl w:ilvl="8">
      <w:start w:val="1"/>
      <w:numFmt w:val="decimal"/>
      <w:lvlText w:val="%9."/>
      <w:lvlJc w:val="left"/>
      <w:rPr>
        <w:rFonts w:ascii="Arial" w:eastAsia="Arial" w:hAnsi="Arial" w:cs="Arial"/>
        <w:b w:val="0"/>
        <w:bCs w:val="0"/>
        <w:i w:val="0"/>
        <w:iCs w:val="0"/>
        <w:smallCaps w:val="0"/>
        <w:strike w:val="0"/>
        <w:color w:val="000000"/>
        <w:spacing w:val="0"/>
        <w:w w:val="100"/>
        <w:position w:val="0"/>
        <w:sz w:val="19"/>
        <w:szCs w:val="19"/>
        <w:u w:val="none"/>
      </w:rPr>
    </w:lvl>
  </w:abstractNum>
  <w:abstractNum w:abstractNumId="13" w15:restartNumberingAfterBreak="0">
    <w:nsid w:val="0D094D1D"/>
    <w:multiLevelType w:val="singleLevel"/>
    <w:tmpl w:val="34D2EDB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 w15:restartNumberingAfterBreak="0">
    <w:nsid w:val="0F334055"/>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 w15:restartNumberingAfterBreak="0">
    <w:nsid w:val="0F6A7C20"/>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6" w15:restartNumberingAfterBreak="0">
    <w:nsid w:val="0FF849A5"/>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7" w15:restartNumberingAfterBreak="0">
    <w:nsid w:val="109A06E0"/>
    <w:multiLevelType w:val="singleLevel"/>
    <w:tmpl w:val="C37CE35A"/>
    <w:lvl w:ilvl="0">
      <w:start w:val="6"/>
      <w:numFmt w:val="decimal"/>
      <w:lvlText w:val="%1."/>
      <w:legacy w:legacy="1" w:legacySpace="0" w:legacyIndent="360"/>
      <w:lvlJc w:val="left"/>
      <w:pPr>
        <w:ind w:left="360" w:hanging="360"/>
      </w:pPr>
      <w:rPr>
        <w:rFonts w:ascii="Times New Roman" w:hAnsi="Times New Roman" w:cs="Times New Roman" w:hint="default"/>
      </w:rPr>
    </w:lvl>
  </w:abstractNum>
  <w:abstractNum w:abstractNumId="18" w15:restartNumberingAfterBreak="0">
    <w:nsid w:val="10D90A6B"/>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9" w15:restartNumberingAfterBreak="0">
    <w:nsid w:val="10DC05E3"/>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0" w15:restartNumberingAfterBreak="0">
    <w:nsid w:val="11354285"/>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1" w15:restartNumberingAfterBreak="0">
    <w:nsid w:val="11826A3E"/>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2" w15:restartNumberingAfterBreak="0">
    <w:nsid w:val="11DE1E8D"/>
    <w:multiLevelType w:val="singleLevel"/>
    <w:tmpl w:val="4208849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3" w15:restartNumberingAfterBreak="0">
    <w:nsid w:val="146815D4"/>
    <w:multiLevelType w:val="singleLevel"/>
    <w:tmpl w:val="C37CE35A"/>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24" w15:restartNumberingAfterBreak="0">
    <w:nsid w:val="15854054"/>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25" w15:restartNumberingAfterBreak="0">
    <w:nsid w:val="16346D70"/>
    <w:multiLevelType w:val="singleLevel"/>
    <w:tmpl w:val="C37CE35A"/>
    <w:lvl w:ilvl="0">
      <w:start w:val="7"/>
      <w:numFmt w:val="decimal"/>
      <w:lvlText w:val="%1."/>
      <w:legacy w:legacy="1" w:legacySpace="0" w:legacyIndent="360"/>
      <w:lvlJc w:val="left"/>
      <w:pPr>
        <w:ind w:left="360" w:hanging="360"/>
      </w:pPr>
      <w:rPr>
        <w:rFonts w:ascii="Times New Roman" w:hAnsi="Times New Roman" w:cs="Times New Roman" w:hint="default"/>
      </w:rPr>
    </w:lvl>
  </w:abstractNum>
  <w:abstractNum w:abstractNumId="26" w15:restartNumberingAfterBreak="0">
    <w:nsid w:val="163E6F1E"/>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7" w15:restartNumberingAfterBreak="0">
    <w:nsid w:val="184A74A7"/>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8" w15:restartNumberingAfterBreak="0">
    <w:nsid w:val="18DF59D9"/>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9" w15:restartNumberingAfterBreak="0">
    <w:nsid w:val="1A6F5DA1"/>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30" w15:restartNumberingAfterBreak="0">
    <w:nsid w:val="1BDE52E3"/>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1" w15:restartNumberingAfterBreak="0">
    <w:nsid w:val="1BE84630"/>
    <w:multiLevelType w:val="singleLevel"/>
    <w:tmpl w:val="4208849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2" w15:restartNumberingAfterBreak="0">
    <w:nsid w:val="1BFC4BDC"/>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3" w15:restartNumberingAfterBreak="0">
    <w:nsid w:val="1D921321"/>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4" w15:restartNumberingAfterBreak="0">
    <w:nsid w:val="1E6F3EEA"/>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35" w15:restartNumberingAfterBreak="0">
    <w:nsid w:val="1F1A5AAA"/>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6" w15:restartNumberingAfterBreak="0">
    <w:nsid w:val="1F5D7668"/>
    <w:multiLevelType w:val="singleLevel"/>
    <w:tmpl w:val="34D2EDB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7" w15:restartNumberingAfterBreak="0">
    <w:nsid w:val="1F971BFF"/>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8" w15:restartNumberingAfterBreak="0">
    <w:nsid w:val="20D94F1C"/>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9" w15:restartNumberingAfterBreak="0">
    <w:nsid w:val="21795515"/>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40" w15:restartNumberingAfterBreak="0">
    <w:nsid w:val="22A07C19"/>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41" w15:restartNumberingAfterBreak="0">
    <w:nsid w:val="22C75941"/>
    <w:multiLevelType w:val="multilevel"/>
    <w:tmpl w:val="BF0813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22E5513D"/>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3" w15:restartNumberingAfterBreak="0">
    <w:nsid w:val="22FF40A9"/>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44" w15:restartNumberingAfterBreak="0">
    <w:nsid w:val="24B27474"/>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5" w15:restartNumberingAfterBreak="0">
    <w:nsid w:val="24DD71C6"/>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46" w15:restartNumberingAfterBreak="0">
    <w:nsid w:val="24FC03E5"/>
    <w:multiLevelType w:val="multilevel"/>
    <w:tmpl w:val="52E226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25FB3969"/>
    <w:multiLevelType w:val="singleLevel"/>
    <w:tmpl w:val="3B020DA4"/>
    <w:lvl w:ilvl="0">
      <w:start w:val="8"/>
      <w:numFmt w:val="decimal"/>
      <w:lvlText w:val="%1."/>
      <w:legacy w:legacy="1" w:legacySpace="0" w:legacyIndent="360"/>
      <w:lvlJc w:val="left"/>
      <w:pPr>
        <w:ind w:left="360" w:hanging="360"/>
      </w:pPr>
      <w:rPr>
        <w:rFonts w:ascii="Times New Roman" w:hAnsi="Times New Roman" w:cs="Times New Roman" w:hint="default"/>
      </w:rPr>
    </w:lvl>
  </w:abstractNum>
  <w:abstractNum w:abstractNumId="48" w15:restartNumberingAfterBreak="0">
    <w:nsid w:val="272913A2"/>
    <w:multiLevelType w:val="singleLevel"/>
    <w:tmpl w:val="C37CE35A"/>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49" w15:restartNumberingAfterBreak="0">
    <w:nsid w:val="27D01296"/>
    <w:multiLevelType w:val="singleLevel"/>
    <w:tmpl w:val="4208849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0" w15:restartNumberingAfterBreak="0">
    <w:nsid w:val="27D54DFC"/>
    <w:multiLevelType w:val="singleLevel"/>
    <w:tmpl w:val="C37CE35A"/>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51" w15:restartNumberingAfterBreak="0">
    <w:nsid w:val="2A542162"/>
    <w:multiLevelType w:val="multilevel"/>
    <w:tmpl w:val="CE16D4DC"/>
    <w:lvl w:ilvl="0">
      <w:start w:val="1"/>
      <w:numFmt w:val="decimal"/>
      <w:lvlText w:val="%1)"/>
      <w:lvlJc w:val="left"/>
      <w:rPr>
        <w:rFonts w:ascii="Georgia" w:eastAsia="Georgia" w:hAnsi="Georgia" w:cs="Georgia"/>
        <w:b w:val="0"/>
        <w:bCs w:val="0"/>
        <w:i/>
        <w:iCs/>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2" w15:restartNumberingAfterBreak="0">
    <w:nsid w:val="2BD53412"/>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3" w15:restartNumberingAfterBreak="0">
    <w:nsid w:val="2D9F64C0"/>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4" w15:restartNumberingAfterBreak="0">
    <w:nsid w:val="2DA4387C"/>
    <w:multiLevelType w:val="singleLevel"/>
    <w:tmpl w:val="6240CFC0"/>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55" w15:restartNumberingAfterBreak="0">
    <w:nsid w:val="2E244911"/>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6" w15:restartNumberingAfterBreak="0">
    <w:nsid w:val="2E703ABC"/>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7" w15:restartNumberingAfterBreak="0">
    <w:nsid w:val="2F9A70C8"/>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8" w15:restartNumberingAfterBreak="0">
    <w:nsid w:val="318749FD"/>
    <w:multiLevelType w:val="singleLevel"/>
    <w:tmpl w:val="C37CE35A"/>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59" w15:restartNumberingAfterBreak="0">
    <w:nsid w:val="31AF380F"/>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0" w15:restartNumberingAfterBreak="0">
    <w:nsid w:val="31C80F57"/>
    <w:multiLevelType w:val="singleLevel"/>
    <w:tmpl w:val="34D2EDB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1" w15:restartNumberingAfterBreak="0">
    <w:nsid w:val="325700F6"/>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62" w15:restartNumberingAfterBreak="0">
    <w:nsid w:val="3339425B"/>
    <w:multiLevelType w:val="singleLevel"/>
    <w:tmpl w:val="9CB441D4"/>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63" w15:restartNumberingAfterBreak="0">
    <w:nsid w:val="33575FD2"/>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4" w15:restartNumberingAfterBreak="0">
    <w:nsid w:val="338F3252"/>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5" w15:restartNumberingAfterBreak="0">
    <w:nsid w:val="34433046"/>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6" w15:restartNumberingAfterBreak="0">
    <w:nsid w:val="363D6E68"/>
    <w:multiLevelType w:val="singleLevel"/>
    <w:tmpl w:val="256E397C"/>
    <w:lvl w:ilvl="0">
      <w:start w:val="9"/>
      <w:numFmt w:val="decimal"/>
      <w:lvlText w:val="%1."/>
      <w:legacy w:legacy="1" w:legacySpace="0" w:legacyIndent="360"/>
      <w:lvlJc w:val="left"/>
      <w:pPr>
        <w:ind w:left="360" w:hanging="360"/>
      </w:pPr>
      <w:rPr>
        <w:rFonts w:ascii="Times New Roman" w:hAnsi="Times New Roman" w:cs="Times New Roman" w:hint="default"/>
      </w:rPr>
    </w:lvl>
  </w:abstractNum>
  <w:abstractNum w:abstractNumId="67" w15:restartNumberingAfterBreak="0">
    <w:nsid w:val="366B666A"/>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8" w15:restartNumberingAfterBreak="0">
    <w:nsid w:val="374515DE"/>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9" w15:restartNumberingAfterBreak="0">
    <w:nsid w:val="386E00C6"/>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70" w15:restartNumberingAfterBreak="0">
    <w:nsid w:val="390838DC"/>
    <w:multiLevelType w:val="singleLevel"/>
    <w:tmpl w:val="C37CE35A"/>
    <w:lvl w:ilvl="0">
      <w:start w:val="8"/>
      <w:numFmt w:val="decimal"/>
      <w:lvlText w:val="%1."/>
      <w:legacy w:legacy="1" w:legacySpace="0" w:legacyIndent="360"/>
      <w:lvlJc w:val="left"/>
      <w:pPr>
        <w:ind w:left="360" w:hanging="360"/>
      </w:pPr>
      <w:rPr>
        <w:rFonts w:ascii="Times New Roman" w:hAnsi="Times New Roman" w:cs="Times New Roman" w:hint="default"/>
      </w:rPr>
    </w:lvl>
  </w:abstractNum>
  <w:abstractNum w:abstractNumId="71" w15:restartNumberingAfterBreak="0">
    <w:nsid w:val="39313AF1"/>
    <w:multiLevelType w:val="multilevel"/>
    <w:tmpl w:val="FF46C2E4"/>
    <w:lvl w:ilvl="0">
      <w:start w:val="1"/>
      <w:numFmt w:val="decimal"/>
      <w:lvlText w:val="%1)"/>
      <w:lvlJc w:val="left"/>
      <w:rPr>
        <w:rFonts w:ascii="Georgia" w:eastAsia="Georgia" w:hAnsi="Georgia" w:cs="Georgia"/>
        <w:b w:val="0"/>
        <w:bCs w:val="0"/>
        <w:i/>
        <w:iCs/>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2" w15:restartNumberingAfterBreak="0">
    <w:nsid w:val="3EEA4705"/>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3" w15:restartNumberingAfterBreak="0">
    <w:nsid w:val="3F7D71E5"/>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4" w15:restartNumberingAfterBreak="0">
    <w:nsid w:val="3FE15C0E"/>
    <w:multiLevelType w:val="singleLevel"/>
    <w:tmpl w:val="C37CE35A"/>
    <w:lvl w:ilvl="0">
      <w:start w:val="6"/>
      <w:numFmt w:val="decimal"/>
      <w:lvlText w:val="%1."/>
      <w:legacy w:legacy="1" w:legacySpace="0" w:legacyIndent="360"/>
      <w:lvlJc w:val="left"/>
      <w:pPr>
        <w:ind w:left="360" w:hanging="360"/>
      </w:pPr>
      <w:rPr>
        <w:rFonts w:ascii="Times New Roman" w:hAnsi="Times New Roman" w:cs="Times New Roman" w:hint="default"/>
      </w:rPr>
    </w:lvl>
  </w:abstractNum>
  <w:abstractNum w:abstractNumId="75" w15:restartNumberingAfterBreak="0">
    <w:nsid w:val="40F70C80"/>
    <w:multiLevelType w:val="singleLevel"/>
    <w:tmpl w:val="15E68EC2"/>
    <w:lvl w:ilvl="0">
      <w:start w:val="1"/>
      <w:numFmt w:val="upperRoman"/>
      <w:lvlText w:val="%1."/>
      <w:legacy w:legacy="1" w:legacySpace="0" w:legacyIndent="720"/>
      <w:lvlJc w:val="left"/>
      <w:pPr>
        <w:ind w:left="720" w:hanging="720"/>
      </w:pPr>
      <w:rPr>
        <w:rFonts w:ascii="Times New Roman" w:hAnsi="Times New Roman" w:cs="Times New Roman" w:hint="default"/>
      </w:rPr>
    </w:lvl>
  </w:abstractNum>
  <w:abstractNum w:abstractNumId="76" w15:restartNumberingAfterBreak="0">
    <w:nsid w:val="41912422"/>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7" w15:restartNumberingAfterBreak="0">
    <w:nsid w:val="42FB60FE"/>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8" w15:restartNumberingAfterBreak="0">
    <w:nsid w:val="42FD25E4"/>
    <w:multiLevelType w:val="multilevel"/>
    <w:tmpl w:val="88161A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44FE0EBF"/>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0" w15:restartNumberingAfterBreak="0">
    <w:nsid w:val="4532593D"/>
    <w:multiLevelType w:val="singleLevel"/>
    <w:tmpl w:val="4DA4ED9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1" w15:restartNumberingAfterBreak="0">
    <w:nsid w:val="453F5731"/>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2" w15:restartNumberingAfterBreak="0">
    <w:nsid w:val="45A643FE"/>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3" w15:restartNumberingAfterBreak="0">
    <w:nsid w:val="45DB1D0F"/>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4" w15:restartNumberingAfterBreak="0">
    <w:nsid w:val="474F5DEF"/>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5" w15:restartNumberingAfterBreak="0">
    <w:nsid w:val="477C2C6A"/>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86" w15:restartNumberingAfterBreak="0">
    <w:nsid w:val="48B16053"/>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7" w15:restartNumberingAfterBreak="0">
    <w:nsid w:val="49447572"/>
    <w:multiLevelType w:val="singleLevel"/>
    <w:tmpl w:val="34D2EDBE"/>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88" w15:restartNumberingAfterBreak="0">
    <w:nsid w:val="4AB07D26"/>
    <w:multiLevelType w:val="singleLevel"/>
    <w:tmpl w:val="DAD80930"/>
    <w:lvl w:ilvl="0">
      <w:start w:val="6"/>
      <w:numFmt w:val="decimal"/>
      <w:lvlText w:val="%1."/>
      <w:legacy w:legacy="1" w:legacySpace="0" w:legacyIndent="360"/>
      <w:lvlJc w:val="left"/>
      <w:pPr>
        <w:ind w:left="360" w:hanging="360"/>
      </w:pPr>
      <w:rPr>
        <w:rFonts w:ascii="Times New Roman" w:hAnsi="Times New Roman" w:cs="Times New Roman" w:hint="default"/>
      </w:rPr>
    </w:lvl>
  </w:abstractNum>
  <w:abstractNum w:abstractNumId="89" w15:restartNumberingAfterBreak="0">
    <w:nsid w:val="4B0E1A64"/>
    <w:multiLevelType w:val="singleLevel"/>
    <w:tmpl w:val="34D2EDBE"/>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90" w15:restartNumberingAfterBreak="0">
    <w:nsid w:val="4B511CB0"/>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1" w15:restartNumberingAfterBreak="0">
    <w:nsid w:val="4C220464"/>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2" w15:restartNumberingAfterBreak="0">
    <w:nsid w:val="4C297E2C"/>
    <w:multiLevelType w:val="singleLevel"/>
    <w:tmpl w:val="C37CE35A"/>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93" w15:restartNumberingAfterBreak="0">
    <w:nsid w:val="4CD433B1"/>
    <w:multiLevelType w:val="multilevel"/>
    <w:tmpl w:val="9174A3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4DC12C15"/>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95" w15:restartNumberingAfterBreak="0">
    <w:nsid w:val="4E8E6D47"/>
    <w:multiLevelType w:val="singleLevel"/>
    <w:tmpl w:val="4208849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6" w15:restartNumberingAfterBreak="0">
    <w:nsid w:val="5008154E"/>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7" w15:restartNumberingAfterBreak="0">
    <w:nsid w:val="506F7546"/>
    <w:multiLevelType w:val="singleLevel"/>
    <w:tmpl w:val="C37CE35A"/>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98" w15:restartNumberingAfterBreak="0">
    <w:nsid w:val="513B0B9C"/>
    <w:multiLevelType w:val="singleLevel"/>
    <w:tmpl w:val="4208849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9" w15:restartNumberingAfterBreak="0">
    <w:nsid w:val="51590381"/>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0" w15:restartNumberingAfterBreak="0">
    <w:nsid w:val="52996FD8"/>
    <w:multiLevelType w:val="singleLevel"/>
    <w:tmpl w:val="4208849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1" w15:restartNumberingAfterBreak="0">
    <w:nsid w:val="529E4B37"/>
    <w:multiLevelType w:val="singleLevel"/>
    <w:tmpl w:val="6240CFC0"/>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102" w15:restartNumberingAfterBreak="0">
    <w:nsid w:val="557F26BE"/>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3" w15:restartNumberingAfterBreak="0">
    <w:nsid w:val="55EC1525"/>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4" w15:restartNumberingAfterBreak="0">
    <w:nsid w:val="55FB462A"/>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5" w15:restartNumberingAfterBreak="0">
    <w:nsid w:val="575A6A0E"/>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6" w15:restartNumberingAfterBreak="0">
    <w:nsid w:val="57AC298A"/>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7" w15:restartNumberingAfterBreak="0">
    <w:nsid w:val="57DF4BCE"/>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8" w15:restartNumberingAfterBreak="0">
    <w:nsid w:val="58405E37"/>
    <w:multiLevelType w:val="singleLevel"/>
    <w:tmpl w:val="C37CE35A"/>
    <w:lvl w:ilvl="0">
      <w:start w:val="6"/>
      <w:numFmt w:val="decimal"/>
      <w:lvlText w:val="%1."/>
      <w:legacy w:legacy="1" w:legacySpace="0" w:legacyIndent="360"/>
      <w:lvlJc w:val="left"/>
      <w:pPr>
        <w:ind w:left="360" w:hanging="360"/>
      </w:pPr>
      <w:rPr>
        <w:rFonts w:ascii="Times New Roman" w:hAnsi="Times New Roman" w:cs="Times New Roman" w:hint="default"/>
      </w:rPr>
    </w:lvl>
  </w:abstractNum>
  <w:abstractNum w:abstractNumId="109" w15:restartNumberingAfterBreak="0">
    <w:nsid w:val="593E7457"/>
    <w:multiLevelType w:val="singleLevel"/>
    <w:tmpl w:val="F13635C4"/>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110" w15:restartNumberingAfterBreak="0">
    <w:nsid w:val="596C4069"/>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111" w15:restartNumberingAfterBreak="0">
    <w:nsid w:val="59834BC6"/>
    <w:multiLevelType w:val="singleLevel"/>
    <w:tmpl w:val="34D2EDBE"/>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12" w15:restartNumberingAfterBreak="0">
    <w:nsid w:val="59E44A2A"/>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3" w15:restartNumberingAfterBreak="0">
    <w:nsid w:val="5A1D5B9A"/>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14" w15:restartNumberingAfterBreak="0">
    <w:nsid w:val="5AD31EBD"/>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5" w15:restartNumberingAfterBreak="0">
    <w:nsid w:val="5B23213E"/>
    <w:multiLevelType w:val="singleLevel"/>
    <w:tmpl w:val="34D2EDB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6" w15:restartNumberingAfterBreak="0">
    <w:nsid w:val="5B8C4F67"/>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7" w15:restartNumberingAfterBreak="0">
    <w:nsid w:val="5BFA4C93"/>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8" w15:restartNumberingAfterBreak="0">
    <w:nsid w:val="5C740C09"/>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9" w15:restartNumberingAfterBreak="0">
    <w:nsid w:val="5D1A69CB"/>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0" w15:restartNumberingAfterBreak="0">
    <w:nsid w:val="5E873D53"/>
    <w:multiLevelType w:val="singleLevel"/>
    <w:tmpl w:val="34D2EDB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1" w15:restartNumberingAfterBreak="0">
    <w:nsid w:val="5F3A7DB2"/>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2" w15:restartNumberingAfterBreak="0">
    <w:nsid w:val="5F9F2F0D"/>
    <w:multiLevelType w:val="singleLevel"/>
    <w:tmpl w:val="C37CE35A"/>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123" w15:restartNumberingAfterBreak="0">
    <w:nsid w:val="5FB319FD"/>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4" w15:restartNumberingAfterBreak="0">
    <w:nsid w:val="601F42A5"/>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5" w15:restartNumberingAfterBreak="0">
    <w:nsid w:val="608E7047"/>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6" w15:restartNumberingAfterBreak="0">
    <w:nsid w:val="60904BA2"/>
    <w:multiLevelType w:val="singleLevel"/>
    <w:tmpl w:val="34D2EDBE"/>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127" w15:restartNumberingAfterBreak="0">
    <w:nsid w:val="60AB3895"/>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8" w15:restartNumberingAfterBreak="0">
    <w:nsid w:val="60FF56D6"/>
    <w:multiLevelType w:val="singleLevel"/>
    <w:tmpl w:val="C37CE35A"/>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129" w15:restartNumberingAfterBreak="0">
    <w:nsid w:val="62BC04C9"/>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0" w15:restartNumberingAfterBreak="0">
    <w:nsid w:val="63003DE0"/>
    <w:multiLevelType w:val="singleLevel"/>
    <w:tmpl w:val="4208849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1" w15:restartNumberingAfterBreak="0">
    <w:nsid w:val="634469E5"/>
    <w:multiLevelType w:val="singleLevel"/>
    <w:tmpl w:val="4208849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2" w15:restartNumberingAfterBreak="0">
    <w:nsid w:val="63BB43AC"/>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3" w15:restartNumberingAfterBreak="0">
    <w:nsid w:val="65C6310E"/>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4" w15:restartNumberingAfterBreak="0">
    <w:nsid w:val="662D1140"/>
    <w:multiLevelType w:val="singleLevel"/>
    <w:tmpl w:val="C37CE35A"/>
    <w:lvl w:ilvl="0">
      <w:start w:val="6"/>
      <w:numFmt w:val="decimal"/>
      <w:lvlText w:val="%1."/>
      <w:legacy w:legacy="1" w:legacySpace="0" w:legacyIndent="360"/>
      <w:lvlJc w:val="left"/>
      <w:pPr>
        <w:ind w:left="360" w:hanging="360"/>
      </w:pPr>
      <w:rPr>
        <w:rFonts w:ascii="Times New Roman" w:hAnsi="Times New Roman" w:cs="Times New Roman" w:hint="default"/>
      </w:rPr>
    </w:lvl>
  </w:abstractNum>
  <w:abstractNum w:abstractNumId="135" w15:restartNumberingAfterBreak="0">
    <w:nsid w:val="66767900"/>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136" w15:restartNumberingAfterBreak="0">
    <w:nsid w:val="676E2727"/>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7" w15:restartNumberingAfterBreak="0">
    <w:nsid w:val="67B608AF"/>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8" w15:restartNumberingAfterBreak="0">
    <w:nsid w:val="68E4468F"/>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139" w15:restartNumberingAfterBreak="0">
    <w:nsid w:val="69BE5C56"/>
    <w:multiLevelType w:val="singleLevel"/>
    <w:tmpl w:val="34D2EDBE"/>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140" w15:restartNumberingAfterBreak="0">
    <w:nsid w:val="6CAE1C24"/>
    <w:multiLevelType w:val="singleLevel"/>
    <w:tmpl w:val="C37CE35A"/>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141" w15:restartNumberingAfterBreak="0">
    <w:nsid w:val="6D5D68F1"/>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2" w15:restartNumberingAfterBreak="0">
    <w:nsid w:val="6FDA3F80"/>
    <w:multiLevelType w:val="singleLevel"/>
    <w:tmpl w:val="4DA4ED9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3" w15:restartNumberingAfterBreak="0">
    <w:nsid w:val="700076AD"/>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4" w15:restartNumberingAfterBreak="0">
    <w:nsid w:val="705B1D5B"/>
    <w:multiLevelType w:val="singleLevel"/>
    <w:tmpl w:val="4208849C"/>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45" w15:restartNumberingAfterBreak="0">
    <w:nsid w:val="72126638"/>
    <w:multiLevelType w:val="singleLevel"/>
    <w:tmpl w:val="4DA4ED9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6" w15:restartNumberingAfterBreak="0">
    <w:nsid w:val="72853378"/>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7" w15:restartNumberingAfterBreak="0">
    <w:nsid w:val="73030DCE"/>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8" w15:restartNumberingAfterBreak="0">
    <w:nsid w:val="731A0870"/>
    <w:multiLevelType w:val="singleLevel"/>
    <w:tmpl w:val="15E68EC2"/>
    <w:lvl w:ilvl="0">
      <w:start w:val="1"/>
      <w:numFmt w:val="upperRoman"/>
      <w:lvlText w:val="%1."/>
      <w:legacy w:legacy="1" w:legacySpace="0" w:legacyIndent="720"/>
      <w:lvlJc w:val="left"/>
      <w:pPr>
        <w:ind w:left="720" w:hanging="720"/>
      </w:pPr>
      <w:rPr>
        <w:rFonts w:ascii="Times New Roman" w:hAnsi="Times New Roman" w:cs="Times New Roman" w:hint="default"/>
      </w:rPr>
    </w:lvl>
  </w:abstractNum>
  <w:abstractNum w:abstractNumId="149" w15:restartNumberingAfterBreak="0">
    <w:nsid w:val="74065D32"/>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0" w15:restartNumberingAfterBreak="0">
    <w:nsid w:val="7476210C"/>
    <w:multiLevelType w:val="singleLevel"/>
    <w:tmpl w:val="256E397C"/>
    <w:lvl w:ilvl="0">
      <w:start w:val="9"/>
      <w:numFmt w:val="decimal"/>
      <w:lvlText w:val="%1."/>
      <w:legacy w:legacy="1" w:legacySpace="0" w:legacyIndent="360"/>
      <w:lvlJc w:val="left"/>
      <w:pPr>
        <w:ind w:left="360" w:hanging="360"/>
      </w:pPr>
      <w:rPr>
        <w:rFonts w:ascii="Times New Roman" w:hAnsi="Times New Roman" w:cs="Times New Roman" w:hint="default"/>
      </w:rPr>
    </w:lvl>
  </w:abstractNum>
  <w:abstractNum w:abstractNumId="151" w15:restartNumberingAfterBreak="0">
    <w:nsid w:val="74B80AC2"/>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152" w15:restartNumberingAfterBreak="0">
    <w:nsid w:val="75F93355"/>
    <w:multiLevelType w:val="singleLevel"/>
    <w:tmpl w:val="C37CE35A"/>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153" w15:restartNumberingAfterBreak="0">
    <w:nsid w:val="762655B1"/>
    <w:multiLevelType w:val="singleLevel"/>
    <w:tmpl w:val="44FA896A"/>
    <w:lvl w:ilvl="0">
      <w:start w:val="7"/>
      <w:numFmt w:val="decimal"/>
      <w:lvlText w:val="%1."/>
      <w:legacy w:legacy="1" w:legacySpace="0" w:legacyIndent="360"/>
      <w:lvlJc w:val="left"/>
      <w:pPr>
        <w:ind w:left="360" w:hanging="360"/>
      </w:pPr>
      <w:rPr>
        <w:rFonts w:ascii="Times New Roman" w:hAnsi="Times New Roman" w:cs="Times New Roman" w:hint="default"/>
      </w:rPr>
    </w:lvl>
  </w:abstractNum>
  <w:abstractNum w:abstractNumId="154" w15:restartNumberingAfterBreak="0">
    <w:nsid w:val="7704388F"/>
    <w:multiLevelType w:val="singleLevel"/>
    <w:tmpl w:val="C37CE35A"/>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155" w15:restartNumberingAfterBreak="0">
    <w:nsid w:val="78774BF8"/>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6" w15:restartNumberingAfterBreak="0">
    <w:nsid w:val="799350BF"/>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7" w15:restartNumberingAfterBreak="0">
    <w:nsid w:val="7B193397"/>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8" w15:restartNumberingAfterBreak="0">
    <w:nsid w:val="7C627E9B"/>
    <w:multiLevelType w:val="singleLevel"/>
    <w:tmpl w:val="C37CE35A"/>
    <w:lvl w:ilvl="0">
      <w:start w:val="6"/>
      <w:numFmt w:val="decimal"/>
      <w:lvlText w:val="%1."/>
      <w:legacy w:legacy="1" w:legacySpace="0" w:legacyIndent="360"/>
      <w:lvlJc w:val="left"/>
      <w:pPr>
        <w:ind w:left="360" w:hanging="360"/>
      </w:pPr>
      <w:rPr>
        <w:rFonts w:ascii="Times New Roman" w:hAnsi="Times New Roman" w:cs="Times New Roman" w:hint="default"/>
      </w:rPr>
    </w:lvl>
  </w:abstractNum>
  <w:abstractNum w:abstractNumId="159" w15:restartNumberingAfterBreak="0">
    <w:nsid w:val="7DE914BF"/>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0" w15:restartNumberingAfterBreak="0">
    <w:nsid w:val="7F5C53EA"/>
    <w:multiLevelType w:val="singleLevel"/>
    <w:tmpl w:val="4DA4ED9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1" w15:restartNumberingAfterBreak="0">
    <w:nsid w:val="7FAB0AFA"/>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num w:numId="1">
    <w:abstractNumId w:val="10"/>
  </w:num>
  <w:num w:numId="2">
    <w:abstractNumId w:val="1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
    <w:abstractNumId w:val="1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
    <w:abstractNumId w:val="10"/>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5">
    <w:abstractNumId w:val="109"/>
  </w:num>
  <w:num w:numId="6">
    <w:abstractNumId w:val="155"/>
  </w:num>
  <w:num w:numId="7">
    <w:abstractNumId w:val="15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8">
    <w:abstractNumId w:val="15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9">
    <w:abstractNumId w:val="88"/>
  </w:num>
  <w:num w:numId="10">
    <w:abstractNumId w:val="153"/>
  </w:num>
  <w:num w:numId="11">
    <w:abstractNumId w:val="47"/>
  </w:num>
  <w:num w:numId="12">
    <w:abstractNumId w:val="81"/>
  </w:num>
  <w:num w:numId="13">
    <w:abstractNumId w:val="8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4">
    <w:abstractNumId w:val="8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5">
    <w:abstractNumId w:val="81"/>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6">
    <w:abstractNumId w:val="157"/>
  </w:num>
  <w:num w:numId="17">
    <w:abstractNumId w:val="40"/>
  </w:num>
  <w:num w:numId="18">
    <w:abstractNumId w:val="85"/>
  </w:num>
  <w:num w:numId="19">
    <w:abstractNumId w:val="38"/>
  </w:num>
  <w:num w:numId="20">
    <w:abstractNumId w:val="43"/>
  </w:num>
  <w:num w:numId="21">
    <w:abstractNumId w:val="84"/>
  </w:num>
  <w:num w:numId="22">
    <w:abstractNumId w:val="8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3">
    <w:abstractNumId w:val="8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4">
    <w:abstractNumId w:val="8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5">
    <w:abstractNumId w:val="103"/>
  </w:num>
  <w:num w:numId="26">
    <w:abstractNumId w:val="10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7">
    <w:abstractNumId w:val="10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8">
    <w:abstractNumId w:val="114"/>
  </w:num>
  <w:num w:numId="29">
    <w:abstractNumId w:val="11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0">
    <w:abstractNumId w:val="11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1">
    <w:abstractNumId w:val="11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2">
    <w:abstractNumId w:val="11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3">
    <w:abstractNumId w:val="8"/>
  </w:num>
  <w:num w:numId="34">
    <w:abstractNumId w:val="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5">
    <w:abstractNumId w:val="133"/>
  </w:num>
  <w:num w:numId="36">
    <w:abstractNumId w:val="13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7">
    <w:abstractNumId w:val="13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8">
    <w:abstractNumId w:val="133"/>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9">
    <w:abstractNumId w:val="52"/>
  </w:num>
  <w:num w:numId="40">
    <w:abstractNumId w:val="5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1">
    <w:abstractNumId w:val="29"/>
  </w:num>
  <w:num w:numId="42">
    <w:abstractNumId w:val="92"/>
  </w:num>
  <w:num w:numId="43">
    <w:abstractNumId w:val="154"/>
  </w:num>
  <w:num w:numId="44">
    <w:abstractNumId w:val="154"/>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45">
    <w:abstractNumId w:val="154"/>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46">
    <w:abstractNumId w:val="138"/>
  </w:num>
  <w:num w:numId="47">
    <w:abstractNumId w:val="97"/>
  </w:num>
  <w:num w:numId="48">
    <w:abstractNumId w:val="97"/>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49">
    <w:abstractNumId w:val="91"/>
  </w:num>
  <w:num w:numId="50">
    <w:abstractNumId w:val="16"/>
  </w:num>
  <w:num w:numId="51">
    <w:abstractNumId w:val="1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52">
    <w:abstractNumId w:val="1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53">
    <w:abstractNumId w:val="16"/>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54">
    <w:abstractNumId w:val="158"/>
  </w:num>
  <w:num w:numId="55">
    <w:abstractNumId w:val="121"/>
  </w:num>
  <w:num w:numId="56">
    <w:abstractNumId w:val="12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57">
    <w:abstractNumId w:val="12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58">
    <w:abstractNumId w:val="14"/>
  </w:num>
  <w:num w:numId="59">
    <w:abstractNumId w:val="1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60">
    <w:abstractNumId w:val="151"/>
  </w:num>
  <w:num w:numId="61">
    <w:abstractNumId w:val="151"/>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62">
    <w:abstractNumId w:val="151"/>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63">
    <w:abstractNumId w:val="151"/>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64">
    <w:abstractNumId w:val="151"/>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65">
    <w:abstractNumId w:val="151"/>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66">
    <w:abstractNumId w:val="151"/>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67">
    <w:abstractNumId w:val="151"/>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68">
    <w:abstractNumId w:val="67"/>
  </w:num>
  <w:num w:numId="69">
    <w:abstractNumId w:val="6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70">
    <w:abstractNumId w:val="6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71">
    <w:abstractNumId w:val="67"/>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72">
    <w:abstractNumId w:val="67"/>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73">
    <w:abstractNumId w:val="62"/>
  </w:num>
  <w:num w:numId="74">
    <w:abstractNumId w:val="141"/>
  </w:num>
  <w:num w:numId="75">
    <w:abstractNumId w:val="14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76">
    <w:abstractNumId w:val="83"/>
  </w:num>
  <w:num w:numId="77">
    <w:abstractNumId w:val="8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78">
    <w:abstractNumId w:val="8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79">
    <w:abstractNumId w:val="83"/>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80">
    <w:abstractNumId w:val="159"/>
  </w:num>
  <w:num w:numId="81">
    <w:abstractNumId w:val="15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82">
    <w:abstractNumId w:val="24"/>
  </w:num>
  <w:num w:numId="83">
    <w:abstractNumId w:val="140"/>
  </w:num>
  <w:num w:numId="84">
    <w:abstractNumId w:val="122"/>
  </w:num>
  <w:num w:numId="85">
    <w:abstractNumId w:val="122"/>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86">
    <w:abstractNumId w:val="122"/>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87">
    <w:abstractNumId w:val="135"/>
  </w:num>
  <w:num w:numId="88">
    <w:abstractNumId w:val="58"/>
  </w:num>
  <w:num w:numId="89">
    <w:abstractNumId w:val="58"/>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90">
    <w:abstractNumId w:val="68"/>
  </w:num>
  <w:num w:numId="91">
    <w:abstractNumId w:val="94"/>
  </w:num>
  <w:num w:numId="92">
    <w:abstractNumId w:val="9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93">
    <w:abstractNumId w:val="9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94">
    <w:abstractNumId w:val="9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95">
    <w:abstractNumId w:val="134"/>
  </w:num>
  <w:num w:numId="96">
    <w:abstractNumId w:val="112"/>
  </w:num>
  <w:num w:numId="97">
    <w:abstractNumId w:val="11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98">
    <w:abstractNumId w:val="11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99">
    <w:abstractNumId w:val="42"/>
  </w:num>
  <w:num w:numId="100">
    <w:abstractNumId w:val="4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01">
    <w:abstractNumId w:val="110"/>
  </w:num>
  <w:num w:numId="102">
    <w:abstractNumId w:val="110"/>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03">
    <w:abstractNumId w:val="110"/>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04">
    <w:abstractNumId w:val="110"/>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105">
    <w:abstractNumId w:val="110"/>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106">
    <w:abstractNumId w:val="110"/>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107">
    <w:abstractNumId w:val="110"/>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108">
    <w:abstractNumId w:val="110"/>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109">
    <w:abstractNumId w:val="86"/>
  </w:num>
  <w:num w:numId="110">
    <w:abstractNumId w:val="8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11">
    <w:abstractNumId w:val="8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12">
    <w:abstractNumId w:val="8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13">
    <w:abstractNumId w:val="86"/>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14">
    <w:abstractNumId w:val="119"/>
  </w:num>
  <w:num w:numId="115">
    <w:abstractNumId w:val="11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16">
    <w:abstractNumId w:val="0"/>
  </w:num>
  <w:num w:numId="117">
    <w:abstractNumId w:val="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18">
    <w:abstractNumId w:val="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19">
    <w:abstractNumId w:val="0"/>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20">
    <w:abstractNumId w:val="106"/>
  </w:num>
  <w:num w:numId="121">
    <w:abstractNumId w:val="10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22">
    <w:abstractNumId w:val="10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23">
    <w:abstractNumId w:val="10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24">
    <w:abstractNumId w:val="106"/>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25">
    <w:abstractNumId w:val="106"/>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126">
    <w:abstractNumId w:val="106"/>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127">
    <w:abstractNumId w:val="21"/>
  </w:num>
  <w:num w:numId="128">
    <w:abstractNumId w:val="2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29">
    <w:abstractNumId w:val="2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30">
    <w:abstractNumId w:val="128"/>
  </w:num>
  <w:num w:numId="131">
    <w:abstractNumId w:val="11"/>
  </w:num>
  <w:num w:numId="132">
    <w:abstractNumId w:val="127"/>
  </w:num>
  <w:num w:numId="133">
    <w:abstractNumId w:val="12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34">
    <w:abstractNumId w:val="12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35">
    <w:abstractNumId w:val="127"/>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36">
    <w:abstractNumId w:val="82"/>
  </w:num>
  <w:num w:numId="137">
    <w:abstractNumId w:val="8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38">
    <w:abstractNumId w:val="8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39">
    <w:abstractNumId w:val="27"/>
  </w:num>
  <w:num w:numId="140">
    <w:abstractNumId w:val="2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41">
    <w:abstractNumId w:val="2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42">
    <w:abstractNumId w:val="63"/>
  </w:num>
  <w:num w:numId="143">
    <w:abstractNumId w:val="6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44">
    <w:abstractNumId w:val="6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45">
    <w:abstractNumId w:val="63"/>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46">
    <w:abstractNumId w:val="63"/>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47">
    <w:abstractNumId w:val="55"/>
  </w:num>
  <w:num w:numId="148">
    <w:abstractNumId w:val="90"/>
  </w:num>
  <w:num w:numId="149">
    <w:abstractNumId w:val="9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50">
    <w:abstractNumId w:val="146"/>
  </w:num>
  <w:num w:numId="151">
    <w:abstractNumId w:val="14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52">
    <w:abstractNumId w:val="5"/>
  </w:num>
  <w:num w:numId="153">
    <w:abstractNumId w:val="102"/>
  </w:num>
  <w:num w:numId="154">
    <w:abstractNumId w:val="34"/>
  </w:num>
  <w:num w:numId="155">
    <w:abstractNumId w:val="3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56">
    <w:abstractNumId w:val="65"/>
  </w:num>
  <w:num w:numId="157">
    <w:abstractNumId w:val="6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58">
    <w:abstractNumId w:val="3"/>
  </w:num>
  <w:num w:numId="159">
    <w:abstractNumId w:val="59"/>
  </w:num>
  <w:num w:numId="160">
    <w:abstractNumId w:val="5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61">
    <w:abstractNumId w:val="5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62">
    <w:abstractNumId w:val="59"/>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63">
    <w:abstractNumId w:val="143"/>
  </w:num>
  <w:num w:numId="164">
    <w:abstractNumId w:val="4"/>
  </w:num>
  <w:num w:numId="165">
    <w:abstractNumId w:val="4"/>
    <w:lvlOverride w:ilvl="0">
      <w:lvl w:ilvl="0">
        <w:start w:val="1"/>
        <w:numFmt w:val="decimal"/>
        <w:lvlText w:val="%1."/>
        <w:legacy w:legacy="1" w:legacySpace="0" w:legacyIndent="360"/>
        <w:lvlJc w:val="left"/>
        <w:pPr>
          <w:ind w:left="360" w:hanging="360"/>
        </w:pPr>
        <w:rPr>
          <w:rFonts w:ascii="Times New Roman" w:hAnsi="Times New Roman" w:cs="Times New Roman" w:hint="default"/>
        </w:rPr>
      </w:lvl>
    </w:lvlOverride>
  </w:num>
  <w:num w:numId="166">
    <w:abstractNumId w:val="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67">
    <w:abstractNumId w:val="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68">
    <w:abstractNumId w:val="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69">
    <w:abstractNumId w:val="149"/>
  </w:num>
  <w:num w:numId="170">
    <w:abstractNumId w:val="14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71">
    <w:abstractNumId w:val="14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72">
    <w:abstractNumId w:val="149"/>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73">
    <w:abstractNumId w:val="149"/>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74">
    <w:abstractNumId w:val="74"/>
  </w:num>
  <w:num w:numId="175">
    <w:abstractNumId w:val="104"/>
  </w:num>
  <w:num w:numId="176">
    <w:abstractNumId w:val="10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77">
    <w:abstractNumId w:val="10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78">
    <w:abstractNumId w:val="10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79">
    <w:abstractNumId w:val="10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80">
    <w:abstractNumId w:val="104"/>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181">
    <w:abstractNumId w:val="104"/>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182">
    <w:abstractNumId w:val="76"/>
  </w:num>
  <w:num w:numId="183">
    <w:abstractNumId w:val="7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84">
    <w:abstractNumId w:val="7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85">
    <w:abstractNumId w:val="7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86">
    <w:abstractNumId w:val="161"/>
  </w:num>
  <w:num w:numId="187">
    <w:abstractNumId w:val="16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88">
    <w:abstractNumId w:val="16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89">
    <w:abstractNumId w:val="161"/>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90">
    <w:abstractNumId w:val="117"/>
  </w:num>
  <w:num w:numId="191">
    <w:abstractNumId w:val="53"/>
  </w:num>
  <w:num w:numId="192">
    <w:abstractNumId w:val="113"/>
  </w:num>
  <w:num w:numId="193">
    <w:abstractNumId w:val="61"/>
  </w:num>
  <w:num w:numId="194">
    <w:abstractNumId w:val="50"/>
  </w:num>
  <w:num w:numId="195">
    <w:abstractNumId w:val="23"/>
  </w:num>
  <w:num w:numId="196">
    <w:abstractNumId w:val="17"/>
  </w:num>
  <w:num w:numId="197">
    <w:abstractNumId w:val="25"/>
  </w:num>
  <w:num w:numId="198">
    <w:abstractNumId w:val="56"/>
  </w:num>
  <w:num w:numId="199">
    <w:abstractNumId w:val="5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00">
    <w:abstractNumId w:val="5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01">
    <w:abstractNumId w:val="5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02">
    <w:abstractNumId w:val="56"/>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203">
    <w:abstractNumId w:val="72"/>
  </w:num>
  <w:num w:numId="204">
    <w:abstractNumId w:val="7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05">
    <w:abstractNumId w:val="45"/>
  </w:num>
  <w:num w:numId="206">
    <w:abstractNumId w:val="48"/>
  </w:num>
  <w:num w:numId="207">
    <w:abstractNumId w:val="152"/>
  </w:num>
  <w:num w:numId="208">
    <w:abstractNumId w:val="108"/>
  </w:num>
  <w:num w:numId="209">
    <w:abstractNumId w:val="108"/>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210">
    <w:abstractNumId w:val="70"/>
  </w:num>
  <w:num w:numId="211">
    <w:abstractNumId w:val="70"/>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212">
    <w:abstractNumId w:val="70"/>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213">
    <w:abstractNumId w:val="70"/>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214">
    <w:abstractNumId w:val="70"/>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215">
    <w:abstractNumId w:val="70"/>
    <w:lvlOverride w:ilvl="0">
      <w:lvl w:ilvl="0">
        <w:start w:val="13"/>
        <w:numFmt w:val="decimal"/>
        <w:lvlText w:val="%1."/>
        <w:legacy w:legacy="1" w:legacySpace="0" w:legacyIndent="360"/>
        <w:lvlJc w:val="left"/>
        <w:pPr>
          <w:ind w:left="360" w:hanging="360"/>
        </w:pPr>
        <w:rPr>
          <w:rFonts w:ascii="Times New Roman" w:hAnsi="Times New Roman" w:cs="Times New Roman" w:hint="default"/>
        </w:rPr>
      </w:lvl>
    </w:lvlOverride>
  </w:num>
  <w:num w:numId="216">
    <w:abstractNumId w:val="129"/>
  </w:num>
  <w:num w:numId="217">
    <w:abstractNumId w:val="18"/>
  </w:num>
  <w:num w:numId="218">
    <w:abstractNumId w:val="1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19">
    <w:abstractNumId w:val="37"/>
  </w:num>
  <w:num w:numId="220">
    <w:abstractNumId w:val="15"/>
  </w:num>
  <w:num w:numId="221">
    <w:abstractNumId w:val="1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22">
    <w:abstractNumId w:val="44"/>
  </w:num>
  <w:num w:numId="223">
    <w:abstractNumId w:val="69"/>
  </w:num>
  <w:num w:numId="224">
    <w:abstractNumId w:val="39"/>
  </w:num>
  <w:num w:numId="225">
    <w:abstractNumId w:val="77"/>
  </w:num>
  <w:num w:numId="226">
    <w:abstractNumId w:val="6"/>
  </w:num>
  <w:num w:numId="227">
    <w:abstractNumId w:val="125"/>
  </w:num>
  <w:num w:numId="228">
    <w:abstractNumId w:val="12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29">
    <w:abstractNumId w:val="12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30">
    <w:abstractNumId w:val="125"/>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31">
    <w:abstractNumId w:val="105"/>
  </w:num>
  <w:num w:numId="232">
    <w:abstractNumId w:val="30"/>
  </w:num>
  <w:num w:numId="233">
    <w:abstractNumId w:val="136"/>
  </w:num>
  <w:num w:numId="234">
    <w:abstractNumId w:val="13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35">
    <w:abstractNumId w:val="99"/>
  </w:num>
  <w:num w:numId="236">
    <w:abstractNumId w:val="57"/>
  </w:num>
  <w:num w:numId="237">
    <w:abstractNumId w:val="5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38">
    <w:abstractNumId w:val="5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39">
    <w:abstractNumId w:val="57"/>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40">
    <w:abstractNumId w:val="19"/>
  </w:num>
  <w:num w:numId="241">
    <w:abstractNumId w:val="1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42">
    <w:abstractNumId w:val="96"/>
  </w:num>
  <w:num w:numId="243">
    <w:abstractNumId w:val="118"/>
  </w:num>
  <w:num w:numId="244">
    <w:abstractNumId w:val="11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45">
    <w:abstractNumId w:val="11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46">
    <w:abstractNumId w:val="116"/>
  </w:num>
  <w:num w:numId="247">
    <w:abstractNumId w:val="107"/>
  </w:num>
  <w:num w:numId="248">
    <w:abstractNumId w:val="10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49">
    <w:abstractNumId w:val="26"/>
  </w:num>
  <w:num w:numId="250">
    <w:abstractNumId w:val="2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51">
    <w:abstractNumId w:val="2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52">
    <w:abstractNumId w:val="33"/>
  </w:num>
  <w:num w:numId="253">
    <w:abstractNumId w:val="28"/>
  </w:num>
  <w:num w:numId="254">
    <w:abstractNumId w:val="2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55">
    <w:abstractNumId w:val="132"/>
  </w:num>
  <w:num w:numId="256">
    <w:abstractNumId w:val="13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57">
    <w:abstractNumId w:val="13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58">
    <w:abstractNumId w:val="35"/>
  </w:num>
  <w:num w:numId="259">
    <w:abstractNumId w:val="3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60">
    <w:abstractNumId w:val="3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61">
    <w:abstractNumId w:val="7"/>
  </w:num>
  <w:num w:numId="262">
    <w:abstractNumId w:val="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63">
    <w:abstractNumId w:val="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64">
    <w:abstractNumId w:val="64"/>
  </w:num>
  <w:num w:numId="265">
    <w:abstractNumId w:val="6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66">
    <w:abstractNumId w:val="6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67">
    <w:abstractNumId w:val="6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68">
    <w:abstractNumId w:val="6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269">
    <w:abstractNumId w:val="64"/>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270">
    <w:abstractNumId w:val="64"/>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271">
    <w:abstractNumId w:val="64"/>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272">
    <w:abstractNumId w:val="64"/>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273">
    <w:abstractNumId w:val="64"/>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274">
    <w:abstractNumId w:val="64"/>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275">
    <w:abstractNumId w:val="64"/>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276">
    <w:abstractNumId w:val="73"/>
  </w:num>
  <w:num w:numId="277">
    <w:abstractNumId w:val="7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78">
    <w:abstractNumId w:val="7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79">
    <w:abstractNumId w:val="73"/>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80">
    <w:abstractNumId w:val="73"/>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281">
    <w:abstractNumId w:val="73"/>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282">
    <w:abstractNumId w:val="73"/>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283">
    <w:abstractNumId w:val="73"/>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284">
    <w:abstractNumId w:val="73"/>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285">
    <w:abstractNumId w:val="73"/>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286">
    <w:abstractNumId w:val="73"/>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287">
    <w:abstractNumId w:val="73"/>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288">
    <w:abstractNumId w:val="73"/>
    <w:lvlOverride w:ilvl="0">
      <w:lvl w:ilvl="0">
        <w:start w:val="13"/>
        <w:numFmt w:val="decimal"/>
        <w:lvlText w:val="%1."/>
        <w:legacy w:legacy="1" w:legacySpace="0" w:legacyIndent="360"/>
        <w:lvlJc w:val="left"/>
        <w:pPr>
          <w:ind w:left="360" w:hanging="360"/>
        </w:pPr>
        <w:rPr>
          <w:rFonts w:ascii="Times New Roman" w:hAnsi="Times New Roman" w:cs="Times New Roman" w:hint="default"/>
        </w:rPr>
      </w:lvl>
    </w:lvlOverride>
  </w:num>
  <w:num w:numId="289">
    <w:abstractNumId w:val="148"/>
  </w:num>
  <w:num w:numId="290">
    <w:abstractNumId w:val="137"/>
  </w:num>
  <w:num w:numId="291">
    <w:abstractNumId w:val="13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92">
    <w:abstractNumId w:val="13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93">
    <w:abstractNumId w:val="137"/>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94">
    <w:abstractNumId w:val="137"/>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295">
    <w:abstractNumId w:val="137"/>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296">
    <w:abstractNumId w:val="137"/>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297">
    <w:abstractNumId w:val="137"/>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298">
    <w:abstractNumId w:val="137"/>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299">
    <w:abstractNumId w:val="137"/>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300">
    <w:abstractNumId w:val="137"/>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301">
    <w:abstractNumId w:val="137"/>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302">
    <w:abstractNumId w:val="137"/>
    <w:lvlOverride w:ilvl="0">
      <w:lvl w:ilvl="0">
        <w:start w:val="13"/>
        <w:numFmt w:val="decimal"/>
        <w:lvlText w:val="%1."/>
        <w:legacy w:legacy="1" w:legacySpace="0" w:legacyIndent="360"/>
        <w:lvlJc w:val="left"/>
        <w:pPr>
          <w:ind w:left="360" w:hanging="360"/>
        </w:pPr>
        <w:rPr>
          <w:rFonts w:ascii="Times New Roman" w:hAnsi="Times New Roman" w:cs="Times New Roman" w:hint="default"/>
        </w:rPr>
      </w:lvl>
    </w:lvlOverride>
  </w:num>
  <w:num w:numId="303">
    <w:abstractNumId w:val="137"/>
    <w:lvlOverride w:ilvl="0">
      <w:lvl w:ilvl="0">
        <w:start w:val="14"/>
        <w:numFmt w:val="decimal"/>
        <w:lvlText w:val="%1."/>
        <w:legacy w:legacy="1" w:legacySpace="0" w:legacyIndent="360"/>
        <w:lvlJc w:val="left"/>
        <w:pPr>
          <w:ind w:left="360" w:hanging="360"/>
        </w:pPr>
        <w:rPr>
          <w:rFonts w:ascii="Times New Roman" w:hAnsi="Times New Roman" w:cs="Times New Roman" w:hint="default"/>
        </w:rPr>
      </w:lvl>
    </w:lvlOverride>
  </w:num>
  <w:num w:numId="304">
    <w:abstractNumId w:val="137"/>
    <w:lvlOverride w:ilvl="0">
      <w:lvl w:ilvl="0">
        <w:start w:val="15"/>
        <w:numFmt w:val="decimal"/>
        <w:lvlText w:val="%1."/>
        <w:legacy w:legacy="1" w:legacySpace="0" w:legacyIndent="360"/>
        <w:lvlJc w:val="left"/>
        <w:pPr>
          <w:ind w:left="360" w:hanging="360"/>
        </w:pPr>
        <w:rPr>
          <w:rFonts w:ascii="Times New Roman" w:hAnsi="Times New Roman" w:cs="Times New Roman" w:hint="default"/>
        </w:rPr>
      </w:lvl>
    </w:lvlOverride>
  </w:num>
  <w:num w:numId="305">
    <w:abstractNumId w:val="137"/>
    <w:lvlOverride w:ilvl="0">
      <w:lvl w:ilvl="0">
        <w:start w:val="16"/>
        <w:numFmt w:val="decimal"/>
        <w:lvlText w:val="%1."/>
        <w:legacy w:legacy="1" w:legacySpace="0" w:legacyIndent="360"/>
        <w:lvlJc w:val="left"/>
        <w:pPr>
          <w:ind w:left="360" w:hanging="360"/>
        </w:pPr>
        <w:rPr>
          <w:rFonts w:ascii="Times New Roman" w:hAnsi="Times New Roman" w:cs="Times New Roman" w:hint="default"/>
        </w:rPr>
      </w:lvl>
    </w:lvlOverride>
  </w:num>
  <w:num w:numId="306">
    <w:abstractNumId w:val="137"/>
    <w:lvlOverride w:ilvl="0">
      <w:lvl w:ilvl="0">
        <w:start w:val="17"/>
        <w:numFmt w:val="decimal"/>
        <w:lvlText w:val="%1."/>
        <w:legacy w:legacy="1" w:legacySpace="0" w:legacyIndent="360"/>
        <w:lvlJc w:val="left"/>
        <w:pPr>
          <w:ind w:left="360" w:hanging="360"/>
        </w:pPr>
        <w:rPr>
          <w:rFonts w:ascii="Times New Roman" w:hAnsi="Times New Roman" w:cs="Times New Roman" w:hint="default"/>
        </w:rPr>
      </w:lvl>
    </w:lvlOverride>
  </w:num>
  <w:num w:numId="307">
    <w:abstractNumId w:val="137"/>
    <w:lvlOverride w:ilvl="0">
      <w:lvl w:ilvl="0">
        <w:start w:val="18"/>
        <w:numFmt w:val="decimal"/>
        <w:lvlText w:val="%1."/>
        <w:legacy w:legacy="1" w:legacySpace="0" w:legacyIndent="360"/>
        <w:lvlJc w:val="left"/>
        <w:pPr>
          <w:ind w:left="360" w:hanging="360"/>
        </w:pPr>
        <w:rPr>
          <w:rFonts w:ascii="Times New Roman" w:hAnsi="Times New Roman" w:cs="Times New Roman" w:hint="default"/>
        </w:rPr>
      </w:lvl>
    </w:lvlOverride>
  </w:num>
  <w:num w:numId="308">
    <w:abstractNumId w:val="137"/>
    <w:lvlOverride w:ilvl="0">
      <w:lvl w:ilvl="0">
        <w:start w:val="19"/>
        <w:numFmt w:val="decimal"/>
        <w:lvlText w:val="%1."/>
        <w:legacy w:legacy="1" w:legacySpace="0" w:legacyIndent="360"/>
        <w:lvlJc w:val="left"/>
        <w:pPr>
          <w:ind w:left="360" w:hanging="360"/>
        </w:pPr>
        <w:rPr>
          <w:rFonts w:ascii="Times New Roman" w:hAnsi="Times New Roman" w:cs="Times New Roman" w:hint="default"/>
        </w:rPr>
      </w:lvl>
    </w:lvlOverride>
  </w:num>
  <w:num w:numId="309">
    <w:abstractNumId w:val="32"/>
  </w:num>
  <w:num w:numId="310">
    <w:abstractNumId w:val="3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11">
    <w:abstractNumId w:val="3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12">
    <w:abstractNumId w:val="156"/>
  </w:num>
  <w:num w:numId="313">
    <w:abstractNumId w:val="147"/>
  </w:num>
  <w:num w:numId="314">
    <w:abstractNumId w:val="14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15">
    <w:abstractNumId w:val="14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16">
    <w:abstractNumId w:val="147"/>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17">
    <w:abstractNumId w:val="147"/>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18">
    <w:abstractNumId w:val="147"/>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319">
    <w:abstractNumId w:val="147"/>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320">
    <w:abstractNumId w:val="147"/>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321">
    <w:abstractNumId w:val="147"/>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322">
    <w:abstractNumId w:val="147"/>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323">
    <w:abstractNumId w:val="147"/>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324">
    <w:abstractNumId w:val="147"/>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325">
    <w:abstractNumId w:val="79"/>
  </w:num>
  <w:num w:numId="326">
    <w:abstractNumId w:val="7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27">
    <w:abstractNumId w:val="7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28">
    <w:abstractNumId w:val="79"/>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29">
    <w:abstractNumId w:val="79"/>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30">
    <w:abstractNumId w:val="79"/>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331">
    <w:abstractNumId w:val="79"/>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332">
    <w:abstractNumId w:val="79"/>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333">
    <w:abstractNumId w:val="79"/>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334">
    <w:abstractNumId w:val="79"/>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335">
    <w:abstractNumId w:val="79"/>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336">
    <w:abstractNumId w:val="79"/>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337">
    <w:abstractNumId w:val="79"/>
    <w:lvlOverride w:ilvl="0">
      <w:lvl w:ilvl="0">
        <w:start w:val="13"/>
        <w:numFmt w:val="decimal"/>
        <w:lvlText w:val="%1."/>
        <w:legacy w:legacy="1" w:legacySpace="0" w:legacyIndent="360"/>
        <w:lvlJc w:val="left"/>
        <w:pPr>
          <w:ind w:left="360" w:hanging="360"/>
        </w:pPr>
        <w:rPr>
          <w:rFonts w:ascii="Times New Roman" w:hAnsi="Times New Roman" w:cs="Times New Roman" w:hint="default"/>
        </w:rPr>
      </w:lvl>
    </w:lvlOverride>
  </w:num>
  <w:num w:numId="338">
    <w:abstractNumId w:val="75"/>
  </w:num>
  <w:num w:numId="339">
    <w:abstractNumId w:val="123"/>
  </w:num>
  <w:num w:numId="340">
    <w:abstractNumId w:val="12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41">
    <w:abstractNumId w:val="12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42">
    <w:abstractNumId w:val="123"/>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43">
    <w:abstractNumId w:val="123"/>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44">
    <w:abstractNumId w:val="123"/>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345">
    <w:abstractNumId w:val="123"/>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346">
    <w:abstractNumId w:val="123"/>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347">
    <w:abstractNumId w:val="123"/>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348">
    <w:abstractNumId w:val="123"/>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349">
    <w:abstractNumId w:val="123"/>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350">
    <w:abstractNumId w:val="123"/>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351">
    <w:abstractNumId w:val="123"/>
    <w:lvlOverride w:ilvl="0">
      <w:lvl w:ilvl="0">
        <w:start w:val="13"/>
        <w:numFmt w:val="decimal"/>
        <w:lvlText w:val="%1."/>
        <w:legacy w:legacy="1" w:legacySpace="0" w:legacyIndent="360"/>
        <w:lvlJc w:val="left"/>
        <w:pPr>
          <w:ind w:left="360" w:hanging="360"/>
        </w:pPr>
        <w:rPr>
          <w:rFonts w:ascii="Times New Roman" w:hAnsi="Times New Roman" w:cs="Times New Roman" w:hint="default"/>
        </w:rPr>
      </w:lvl>
    </w:lvlOverride>
  </w:num>
  <w:num w:numId="352">
    <w:abstractNumId w:val="123"/>
    <w:lvlOverride w:ilvl="0">
      <w:lvl w:ilvl="0">
        <w:start w:val="14"/>
        <w:numFmt w:val="decimal"/>
        <w:lvlText w:val="%1."/>
        <w:legacy w:legacy="1" w:legacySpace="0" w:legacyIndent="360"/>
        <w:lvlJc w:val="left"/>
        <w:pPr>
          <w:ind w:left="360" w:hanging="360"/>
        </w:pPr>
        <w:rPr>
          <w:rFonts w:ascii="Times New Roman" w:hAnsi="Times New Roman" w:cs="Times New Roman" w:hint="default"/>
        </w:rPr>
      </w:lvl>
    </w:lvlOverride>
  </w:num>
  <w:num w:numId="353">
    <w:abstractNumId w:val="123"/>
    <w:lvlOverride w:ilvl="0">
      <w:lvl w:ilvl="0">
        <w:start w:val="15"/>
        <w:numFmt w:val="decimal"/>
        <w:lvlText w:val="%1."/>
        <w:legacy w:legacy="1" w:legacySpace="0" w:legacyIndent="360"/>
        <w:lvlJc w:val="left"/>
        <w:pPr>
          <w:ind w:left="360" w:hanging="360"/>
        </w:pPr>
        <w:rPr>
          <w:rFonts w:ascii="Times New Roman" w:hAnsi="Times New Roman" w:cs="Times New Roman" w:hint="default"/>
        </w:rPr>
      </w:lvl>
    </w:lvlOverride>
  </w:num>
  <w:num w:numId="354">
    <w:abstractNumId w:val="123"/>
    <w:lvlOverride w:ilvl="0">
      <w:lvl w:ilvl="0">
        <w:start w:val="16"/>
        <w:numFmt w:val="decimal"/>
        <w:lvlText w:val="%1."/>
        <w:legacy w:legacy="1" w:legacySpace="0" w:legacyIndent="360"/>
        <w:lvlJc w:val="left"/>
        <w:pPr>
          <w:ind w:left="360" w:hanging="360"/>
        </w:pPr>
        <w:rPr>
          <w:rFonts w:ascii="Times New Roman" w:hAnsi="Times New Roman" w:cs="Times New Roman" w:hint="default"/>
        </w:rPr>
      </w:lvl>
    </w:lvlOverride>
  </w:num>
  <w:num w:numId="355">
    <w:abstractNumId w:val="123"/>
    <w:lvlOverride w:ilvl="0">
      <w:lvl w:ilvl="0">
        <w:start w:val="17"/>
        <w:numFmt w:val="decimal"/>
        <w:lvlText w:val="%1."/>
        <w:legacy w:legacy="1" w:legacySpace="0" w:legacyIndent="360"/>
        <w:lvlJc w:val="left"/>
        <w:pPr>
          <w:ind w:left="360" w:hanging="360"/>
        </w:pPr>
        <w:rPr>
          <w:rFonts w:ascii="Times New Roman" w:hAnsi="Times New Roman" w:cs="Times New Roman" w:hint="default"/>
        </w:rPr>
      </w:lvl>
    </w:lvlOverride>
  </w:num>
  <w:num w:numId="356">
    <w:abstractNumId w:val="123"/>
    <w:lvlOverride w:ilvl="0">
      <w:lvl w:ilvl="0">
        <w:start w:val="18"/>
        <w:numFmt w:val="decimal"/>
        <w:lvlText w:val="%1."/>
        <w:legacy w:legacy="1" w:legacySpace="0" w:legacyIndent="360"/>
        <w:lvlJc w:val="left"/>
        <w:pPr>
          <w:ind w:left="360" w:hanging="360"/>
        </w:pPr>
        <w:rPr>
          <w:rFonts w:ascii="Times New Roman" w:hAnsi="Times New Roman" w:cs="Times New Roman" w:hint="default"/>
        </w:rPr>
      </w:lvl>
    </w:lvlOverride>
  </w:num>
  <w:num w:numId="357">
    <w:abstractNumId w:val="123"/>
    <w:lvlOverride w:ilvl="0">
      <w:lvl w:ilvl="0">
        <w:start w:val="19"/>
        <w:numFmt w:val="decimal"/>
        <w:lvlText w:val="%1."/>
        <w:legacy w:legacy="1" w:legacySpace="0" w:legacyIndent="360"/>
        <w:lvlJc w:val="left"/>
        <w:pPr>
          <w:ind w:left="360" w:hanging="360"/>
        </w:pPr>
        <w:rPr>
          <w:rFonts w:ascii="Times New Roman" w:hAnsi="Times New Roman" w:cs="Times New Roman" w:hint="default"/>
        </w:rPr>
      </w:lvl>
    </w:lvlOverride>
  </w:num>
  <w:num w:numId="358">
    <w:abstractNumId w:val="124"/>
  </w:num>
  <w:num w:numId="359">
    <w:abstractNumId w:val="12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60">
    <w:abstractNumId w:val="12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61">
    <w:abstractNumId w:val="20"/>
  </w:num>
  <w:num w:numId="362">
    <w:abstractNumId w:val="131"/>
  </w:num>
  <w:num w:numId="363">
    <w:abstractNumId w:val="144"/>
  </w:num>
  <w:num w:numId="364">
    <w:abstractNumId w:val="98"/>
  </w:num>
  <w:num w:numId="365">
    <w:abstractNumId w:val="9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66">
    <w:abstractNumId w:val="31"/>
  </w:num>
  <w:num w:numId="367">
    <w:abstractNumId w:val="3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68">
    <w:abstractNumId w:val="3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69">
    <w:abstractNumId w:val="22"/>
  </w:num>
  <w:num w:numId="370">
    <w:abstractNumId w:val="100"/>
  </w:num>
  <w:num w:numId="371">
    <w:abstractNumId w:val="130"/>
  </w:num>
  <w:num w:numId="372">
    <w:abstractNumId w:val="13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73">
    <w:abstractNumId w:val="95"/>
  </w:num>
  <w:num w:numId="374">
    <w:abstractNumId w:val="9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75">
    <w:abstractNumId w:val="9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76">
    <w:abstractNumId w:val="49"/>
  </w:num>
  <w:num w:numId="377">
    <w:abstractNumId w:val="4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78">
    <w:abstractNumId w:val="4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79">
    <w:abstractNumId w:val="49"/>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80">
    <w:abstractNumId w:val="120"/>
  </w:num>
  <w:num w:numId="381">
    <w:abstractNumId w:val="36"/>
  </w:num>
  <w:num w:numId="382">
    <w:abstractNumId w:val="3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83">
    <w:abstractNumId w:val="3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84">
    <w:abstractNumId w:val="3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85">
    <w:abstractNumId w:val="36"/>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86">
    <w:abstractNumId w:val="36"/>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387">
    <w:abstractNumId w:val="36"/>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388">
    <w:abstractNumId w:val="36"/>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389">
    <w:abstractNumId w:val="36"/>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390">
    <w:abstractNumId w:val="36"/>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391">
    <w:abstractNumId w:val="36"/>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392">
    <w:abstractNumId w:val="36"/>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393">
    <w:abstractNumId w:val="36"/>
    <w:lvlOverride w:ilvl="0">
      <w:lvl w:ilvl="0">
        <w:start w:val="13"/>
        <w:numFmt w:val="decimal"/>
        <w:lvlText w:val="%1."/>
        <w:legacy w:legacy="1" w:legacySpace="0" w:legacyIndent="360"/>
        <w:lvlJc w:val="left"/>
        <w:pPr>
          <w:ind w:left="360" w:hanging="360"/>
        </w:pPr>
        <w:rPr>
          <w:rFonts w:ascii="Times New Roman" w:hAnsi="Times New Roman" w:cs="Times New Roman" w:hint="default"/>
        </w:rPr>
      </w:lvl>
    </w:lvlOverride>
  </w:num>
  <w:num w:numId="394">
    <w:abstractNumId w:val="36"/>
    <w:lvlOverride w:ilvl="0">
      <w:lvl w:ilvl="0">
        <w:start w:val="14"/>
        <w:numFmt w:val="decimal"/>
        <w:lvlText w:val="%1."/>
        <w:legacy w:legacy="1" w:legacySpace="0" w:legacyIndent="360"/>
        <w:lvlJc w:val="left"/>
        <w:pPr>
          <w:ind w:left="360" w:hanging="360"/>
        </w:pPr>
        <w:rPr>
          <w:rFonts w:ascii="Times New Roman" w:hAnsi="Times New Roman" w:cs="Times New Roman" w:hint="default"/>
        </w:rPr>
      </w:lvl>
    </w:lvlOverride>
  </w:num>
  <w:num w:numId="395">
    <w:abstractNumId w:val="36"/>
    <w:lvlOverride w:ilvl="0">
      <w:lvl w:ilvl="0">
        <w:start w:val="15"/>
        <w:numFmt w:val="decimal"/>
        <w:lvlText w:val="%1."/>
        <w:legacy w:legacy="1" w:legacySpace="0" w:legacyIndent="360"/>
        <w:lvlJc w:val="left"/>
        <w:pPr>
          <w:ind w:left="360" w:hanging="360"/>
        </w:pPr>
        <w:rPr>
          <w:rFonts w:ascii="Times New Roman" w:hAnsi="Times New Roman" w:cs="Times New Roman" w:hint="default"/>
        </w:rPr>
      </w:lvl>
    </w:lvlOverride>
  </w:num>
  <w:num w:numId="396">
    <w:abstractNumId w:val="36"/>
    <w:lvlOverride w:ilvl="0">
      <w:lvl w:ilvl="0">
        <w:start w:val="16"/>
        <w:numFmt w:val="decimal"/>
        <w:lvlText w:val="%1."/>
        <w:legacy w:legacy="1" w:legacySpace="0" w:legacyIndent="360"/>
        <w:lvlJc w:val="left"/>
        <w:pPr>
          <w:ind w:left="360" w:hanging="360"/>
        </w:pPr>
        <w:rPr>
          <w:rFonts w:ascii="Times New Roman" w:hAnsi="Times New Roman" w:cs="Times New Roman" w:hint="default"/>
        </w:rPr>
      </w:lvl>
    </w:lvlOverride>
  </w:num>
  <w:num w:numId="397">
    <w:abstractNumId w:val="36"/>
    <w:lvlOverride w:ilvl="0">
      <w:lvl w:ilvl="0">
        <w:start w:val="17"/>
        <w:numFmt w:val="decimal"/>
        <w:lvlText w:val="%1."/>
        <w:legacy w:legacy="1" w:legacySpace="0" w:legacyIndent="360"/>
        <w:lvlJc w:val="left"/>
        <w:pPr>
          <w:ind w:left="360" w:hanging="360"/>
        </w:pPr>
        <w:rPr>
          <w:rFonts w:ascii="Times New Roman" w:hAnsi="Times New Roman" w:cs="Times New Roman" w:hint="default"/>
        </w:rPr>
      </w:lvl>
    </w:lvlOverride>
  </w:num>
  <w:num w:numId="398">
    <w:abstractNumId w:val="1"/>
  </w:num>
  <w:num w:numId="399">
    <w:abstractNumId w:val="111"/>
  </w:num>
  <w:num w:numId="400">
    <w:abstractNumId w:val="139"/>
  </w:num>
  <w:num w:numId="401">
    <w:abstractNumId w:val="115"/>
  </w:num>
  <w:num w:numId="402">
    <w:abstractNumId w:val="87"/>
  </w:num>
  <w:num w:numId="403">
    <w:abstractNumId w:val="126"/>
  </w:num>
  <w:num w:numId="404">
    <w:abstractNumId w:val="89"/>
  </w:num>
  <w:num w:numId="405">
    <w:abstractNumId w:val="89"/>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406">
    <w:abstractNumId w:val="60"/>
  </w:num>
  <w:num w:numId="407">
    <w:abstractNumId w:val="13"/>
  </w:num>
  <w:num w:numId="408">
    <w:abstractNumId w:val="142"/>
  </w:num>
  <w:num w:numId="409">
    <w:abstractNumId w:val="14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10">
    <w:abstractNumId w:val="14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11">
    <w:abstractNumId w:val="142"/>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412">
    <w:abstractNumId w:val="54"/>
  </w:num>
  <w:num w:numId="413">
    <w:abstractNumId w:val="54"/>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414">
    <w:abstractNumId w:val="54"/>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415">
    <w:abstractNumId w:val="54"/>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416">
    <w:abstractNumId w:val="66"/>
  </w:num>
  <w:num w:numId="417">
    <w:abstractNumId w:val="66"/>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418">
    <w:abstractNumId w:val="66"/>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419">
    <w:abstractNumId w:val="66"/>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420">
    <w:abstractNumId w:val="66"/>
    <w:lvlOverride w:ilvl="0">
      <w:lvl w:ilvl="0">
        <w:start w:val="13"/>
        <w:numFmt w:val="decimal"/>
        <w:lvlText w:val="%1."/>
        <w:legacy w:legacy="1" w:legacySpace="0" w:legacyIndent="360"/>
        <w:lvlJc w:val="left"/>
        <w:pPr>
          <w:ind w:left="360" w:hanging="360"/>
        </w:pPr>
        <w:rPr>
          <w:rFonts w:ascii="Times New Roman" w:hAnsi="Times New Roman" w:cs="Times New Roman" w:hint="default"/>
        </w:rPr>
      </w:lvl>
    </w:lvlOverride>
  </w:num>
  <w:num w:numId="421">
    <w:abstractNumId w:val="160"/>
  </w:num>
  <w:num w:numId="422">
    <w:abstractNumId w:val="16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23">
    <w:abstractNumId w:val="145"/>
  </w:num>
  <w:num w:numId="424">
    <w:abstractNumId w:val="14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25">
    <w:abstractNumId w:val="14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26">
    <w:abstractNumId w:val="145"/>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427">
    <w:abstractNumId w:val="80"/>
  </w:num>
  <w:num w:numId="428">
    <w:abstractNumId w:val="8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29">
    <w:abstractNumId w:val="8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30">
    <w:abstractNumId w:val="80"/>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431">
    <w:abstractNumId w:val="101"/>
  </w:num>
  <w:num w:numId="432">
    <w:abstractNumId w:val="101"/>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433">
    <w:abstractNumId w:val="101"/>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434">
    <w:abstractNumId w:val="101"/>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435">
    <w:abstractNumId w:val="150"/>
  </w:num>
  <w:num w:numId="436">
    <w:abstractNumId w:val="150"/>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437">
    <w:abstractNumId w:val="150"/>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438">
    <w:abstractNumId w:val="150"/>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439">
    <w:abstractNumId w:val="150"/>
    <w:lvlOverride w:ilvl="0">
      <w:lvl w:ilvl="0">
        <w:start w:val="13"/>
        <w:numFmt w:val="decimal"/>
        <w:lvlText w:val="%1."/>
        <w:legacy w:legacy="1" w:legacySpace="0" w:legacyIndent="360"/>
        <w:lvlJc w:val="left"/>
        <w:pPr>
          <w:ind w:left="360" w:hanging="360"/>
        </w:pPr>
        <w:rPr>
          <w:rFonts w:ascii="Times New Roman" w:hAnsi="Times New Roman" w:cs="Times New Roman" w:hint="default"/>
        </w:rPr>
      </w:lvl>
    </w:lvlOverride>
  </w:num>
  <w:num w:numId="440">
    <w:abstractNumId w:val="93"/>
  </w:num>
  <w:num w:numId="441">
    <w:abstractNumId w:val="93"/>
    <w:lvlOverride w:ilvl="0">
      <w:startOverride w:val="6"/>
    </w:lvlOverride>
  </w:num>
  <w:num w:numId="442">
    <w:abstractNumId w:val="93"/>
    <w:lvlOverride w:ilvl="0">
      <w:startOverride w:val="7"/>
    </w:lvlOverride>
  </w:num>
  <w:num w:numId="443">
    <w:abstractNumId w:val="93"/>
    <w:lvlOverride w:ilvl="0">
      <w:startOverride w:val="8"/>
    </w:lvlOverride>
  </w:num>
  <w:num w:numId="444">
    <w:abstractNumId w:val="93"/>
    <w:lvlOverride w:ilvl="0">
      <w:startOverride w:val="9"/>
    </w:lvlOverride>
  </w:num>
  <w:num w:numId="445">
    <w:abstractNumId w:val="93"/>
    <w:lvlOverride w:ilvl="0">
      <w:startOverride w:val="10"/>
    </w:lvlOverride>
  </w:num>
  <w:num w:numId="446">
    <w:abstractNumId w:val="93"/>
    <w:lvlOverride w:ilvl="0">
      <w:startOverride w:val="11"/>
    </w:lvlOverride>
  </w:num>
  <w:num w:numId="447">
    <w:abstractNumId w:val="93"/>
    <w:lvlOverride w:ilvl="0">
      <w:startOverride w:val="12"/>
    </w:lvlOverride>
  </w:num>
  <w:num w:numId="448">
    <w:abstractNumId w:val="46"/>
  </w:num>
  <w:num w:numId="449">
    <w:abstractNumId w:val="41"/>
  </w:num>
  <w:num w:numId="450">
    <w:abstractNumId w:val="2"/>
    <w:lvlOverride w:ilvl="0">
      <w:startOverride w:val="4"/>
    </w:lvlOverride>
  </w:num>
  <w:num w:numId="451">
    <w:abstractNumId w:val="2"/>
    <w:lvlOverride w:ilvl="0">
      <w:startOverride w:val="5"/>
    </w:lvlOverride>
  </w:num>
  <w:num w:numId="452">
    <w:abstractNumId w:val="2"/>
    <w:lvlOverride w:ilvl="0">
      <w:startOverride w:val="6"/>
    </w:lvlOverride>
  </w:num>
  <w:num w:numId="453">
    <w:abstractNumId w:val="2"/>
    <w:lvlOverride w:ilvl="0">
      <w:startOverride w:val="7"/>
    </w:lvlOverride>
  </w:num>
  <w:num w:numId="454">
    <w:abstractNumId w:val="78"/>
    <w:lvlOverride w:ilvl="0">
      <w:startOverride w:val="8"/>
    </w:lvlOverride>
  </w:num>
  <w:num w:numId="455">
    <w:abstractNumId w:val="78"/>
    <w:lvlOverride w:ilvl="0">
      <w:startOverride w:val="9"/>
    </w:lvlOverride>
  </w:num>
  <w:num w:numId="456">
    <w:abstractNumId w:val="9"/>
  </w:num>
  <w:num w:numId="457">
    <w:abstractNumId w:val="12"/>
  </w:num>
  <w:num w:numId="458">
    <w:abstractNumId w:val="71"/>
  </w:num>
  <w:num w:numId="459">
    <w:abstractNumId w:val="51"/>
  </w:num>
  <w:numIdMacAtCleanup w:val="4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hideGrammatical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3D98"/>
    <w:rsid w:val="00006C61"/>
    <w:rsid w:val="00015826"/>
    <w:rsid w:val="000205FE"/>
    <w:rsid w:val="00020DA2"/>
    <w:rsid w:val="0002327B"/>
    <w:rsid w:val="000244D4"/>
    <w:rsid w:val="00024803"/>
    <w:rsid w:val="000259E5"/>
    <w:rsid w:val="000268E0"/>
    <w:rsid w:val="0003446D"/>
    <w:rsid w:val="00035895"/>
    <w:rsid w:val="00035F40"/>
    <w:rsid w:val="00037080"/>
    <w:rsid w:val="00040C94"/>
    <w:rsid w:val="00040C95"/>
    <w:rsid w:val="0004162D"/>
    <w:rsid w:val="000429A1"/>
    <w:rsid w:val="000502B4"/>
    <w:rsid w:val="00053C2F"/>
    <w:rsid w:val="00054834"/>
    <w:rsid w:val="00056252"/>
    <w:rsid w:val="00062B2D"/>
    <w:rsid w:val="00065021"/>
    <w:rsid w:val="000656DA"/>
    <w:rsid w:val="00067174"/>
    <w:rsid w:val="00067E90"/>
    <w:rsid w:val="000701C9"/>
    <w:rsid w:val="0007105E"/>
    <w:rsid w:val="00071897"/>
    <w:rsid w:val="00071F1F"/>
    <w:rsid w:val="000723F3"/>
    <w:rsid w:val="0007455B"/>
    <w:rsid w:val="000768A2"/>
    <w:rsid w:val="00084A10"/>
    <w:rsid w:val="0008514E"/>
    <w:rsid w:val="000904A1"/>
    <w:rsid w:val="00091E70"/>
    <w:rsid w:val="00094AE4"/>
    <w:rsid w:val="00095B9C"/>
    <w:rsid w:val="00096706"/>
    <w:rsid w:val="0009760C"/>
    <w:rsid w:val="000A15EA"/>
    <w:rsid w:val="000A50B4"/>
    <w:rsid w:val="000B1B08"/>
    <w:rsid w:val="000B2414"/>
    <w:rsid w:val="000D2C28"/>
    <w:rsid w:val="000D47D9"/>
    <w:rsid w:val="000D4A20"/>
    <w:rsid w:val="000E38DB"/>
    <w:rsid w:val="000E63D3"/>
    <w:rsid w:val="000F0C05"/>
    <w:rsid w:val="000F1987"/>
    <w:rsid w:val="000F30A8"/>
    <w:rsid w:val="000F6E1F"/>
    <w:rsid w:val="000F7829"/>
    <w:rsid w:val="0010273D"/>
    <w:rsid w:val="00103186"/>
    <w:rsid w:val="00113D98"/>
    <w:rsid w:val="00114F15"/>
    <w:rsid w:val="00116626"/>
    <w:rsid w:val="00120DFB"/>
    <w:rsid w:val="00121858"/>
    <w:rsid w:val="0012348E"/>
    <w:rsid w:val="00130484"/>
    <w:rsid w:val="00145AFC"/>
    <w:rsid w:val="00145E2A"/>
    <w:rsid w:val="001470B0"/>
    <w:rsid w:val="0015074C"/>
    <w:rsid w:val="00150B7E"/>
    <w:rsid w:val="00150B9C"/>
    <w:rsid w:val="00150BD8"/>
    <w:rsid w:val="001512A9"/>
    <w:rsid w:val="00153F88"/>
    <w:rsid w:val="00155128"/>
    <w:rsid w:val="00156946"/>
    <w:rsid w:val="00161F61"/>
    <w:rsid w:val="00166499"/>
    <w:rsid w:val="00166A21"/>
    <w:rsid w:val="00167BB0"/>
    <w:rsid w:val="00170D88"/>
    <w:rsid w:val="001748B7"/>
    <w:rsid w:val="00175890"/>
    <w:rsid w:val="00180F83"/>
    <w:rsid w:val="0018342B"/>
    <w:rsid w:val="001836B7"/>
    <w:rsid w:val="00183C6C"/>
    <w:rsid w:val="00185C06"/>
    <w:rsid w:val="001911F8"/>
    <w:rsid w:val="00192E97"/>
    <w:rsid w:val="00193C02"/>
    <w:rsid w:val="00197613"/>
    <w:rsid w:val="001A3DF7"/>
    <w:rsid w:val="001A42D5"/>
    <w:rsid w:val="001A6981"/>
    <w:rsid w:val="001A7A44"/>
    <w:rsid w:val="001B0090"/>
    <w:rsid w:val="001B11E8"/>
    <w:rsid w:val="001B7599"/>
    <w:rsid w:val="001B7C90"/>
    <w:rsid w:val="001C2FB0"/>
    <w:rsid w:val="001C32AD"/>
    <w:rsid w:val="001C5008"/>
    <w:rsid w:val="001C6342"/>
    <w:rsid w:val="001D2F8A"/>
    <w:rsid w:val="001D47E8"/>
    <w:rsid w:val="001E1317"/>
    <w:rsid w:val="001E4A85"/>
    <w:rsid w:val="001E60C4"/>
    <w:rsid w:val="001E6614"/>
    <w:rsid w:val="001F3595"/>
    <w:rsid w:val="001F72EB"/>
    <w:rsid w:val="001F7908"/>
    <w:rsid w:val="00201255"/>
    <w:rsid w:val="00206636"/>
    <w:rsid w:val="00212556"/>
    <w:rsid w:val="0021316D"/>
    <w:rsid w:val="00213252"/>
    <w:rsid w:val="00217870"/>
    <w:rsid w:val="002217A6"/>
    <w:rsid w:val="00221E53"/>
    <w:rsid w:val="002226C2"/>
    <w:rsid w:val="00223C0C"/>
    <w:rsid w:val="00224D80"/>
    <w:rsid w:val="00226F9C"/>
    <w:rsid w:val="00231D42"/>
    <w:rsid w:val="002346CC"/>
    <w:rsid w:val="00235986"/>
    <w:rsid w:val="00235A80"/>
    <w:rsid w:val="00237152"/>
    <w:rsid w:val="00237F26"/>
    <w:rsid w:val="002401AD"/>
    <w:rsid w:val="00244DD2"/>
    <w:rsid w:val="002453E1"/>
    <w:rsid w:val="00245CC2"/>
    <w:rsid w:val="00247A10"/>
    <w:rsid w:val="00252726"/>
    <w:rsid w:val="002527AE"/>
    <w:rsid w:val="00254098"/>
    <w:rsid w:val="0025433E"/>
    <w:rsid w:val="00254492"/>
    <w:rsid w:val="00260BE5"/>
    <w:rsid w:val="002620B8"/>
    <w:rsid w:val="00264DA9"/>
    <w:rsid w:val="00270580"/>
    <w:rsid w:val="00270743"/>
    <w:rsid w:val="00282617"/>
    <w:rsid w:val="00290858"/>
    <w:rsid w:val="002910CF"/>
    <w:rsid w:val="00291347"/>
    <w:rsid w:val="002913B1"/>
    <w:rsid w:val="00292E07"/>
    <w:rsid w:val="00296374"/>
    <w:rsid w:val="00297268"/>
    <w:rsid w:val="002A6BEA"/>
    <w:rsid w:val="002B259F"/>
    <w:rsid w:val="002B3EFC"/>
    <w:rsid w:val="002C03D8"/>
    <w:rsid w:val="002C3CAD"/>
    <w:rsid w:val="002C7BF8"/>
    <w:rsid w:val="002D5408"/>
    <w:rsid w:val="002D74CC"/>
    <w:rsid w:val="002E1BE7"/>
    <w:rsid w:val="002E1DEE"/>
    <w:rsid w:val="002E2083"/>
    <w:rsid w:val="002E24E6"/>
    <w:rsid w:val="002E2835"/>
    <w:rsid w:val="002E47F6"/>
    <w:rsid w:val="002E5B02"/>
    <w:rsid w:val="002E6AE0"/>
    <w:rsid w:val="002F0F01"/>
    <w:rsid w:val="002F34E6"/>
    <w:rsid w:val="003004AC"/>
    <w:rsid w:val="003026DB"/>
    <w:rsid w:val="00302848"/>
    <w:rsid w:val="00303EFB"/>
    <w:rsid w:val="00305638"/>
    <w:rsid w:val="0030712B"/>
    <w:rsid w:val="00310B25"/>
    <w:rsid w:val="00312320"/>
    <w:rsid w:val="003146EA"/>
    <w:rsid w:val="003172F1"/>
    <w:rsid w:val="00321E7A"/>
    <w:rsid w:val="00323684"/>
    <w:rsid w:val="003353B3"/>
    <w:rsid w:val="00335E69"/>
    <w:rsid w:val="003366DD"/>
    <w:rsid w:val="003417C8"/>
    <w:rsid w:val="00342052"/>
    <w:rsid w:val="003423C9"/>
    <w:rsid w:val="0034402C"/>
    <w:rsid w:val="003446BF"/>
    <w:rsid w:val="00347975"/>
    <w:rsid w:val="00354C71"/>
    <w:rsid w:val="00360AC0"/>
    <w:rsid w:val="00360F52"/>
    <w:rsid w:val="00361643"/>
    <w:rsid w:val="003628CD"/>
    <w:rsid w:val="00362C4F"/>
    <w:rsid w:val="00366092"/>
    <w:rsid w:val="00371007"/>
    <w:rsid w:val="00373B27"/>
    <w:rsid w:val="00373CC8"/>
    <w:rsid w:val="00375BEC"/>
    <w:rsid w:val="00382475"/>
    <w:rsid w:val="00387981"/>
    <w:rsid w:val="00392001"/>
    <w:rsid w:val="00393D95"/>
    <w:rsid w:val="003958B1"/>
    <w:rsid w:val="00396DDE"/>
    <w:rsid w:val="003A3EA7"/>
    <w:rsid w:val="003B1D44"/>
    <w:rsid w:val="003B3D9F"/>
    <w:rsid w:val="003C1030"/>
    <w:rsid w:val="003C1335"/>
    <w:rsid w:val="003C4CEF"/>
    <w:rsid w:val="003E0642"/>
    <w:rsid w:val="003E25C3"/>
    <w:rsid w:val="003E339D"/>
    <w:rsid w:val="003E442B"/>
    <w:rsid w:val="003E6E3B"/>
    <w:rsid w:val="003F2394"/>
    <w:rsid w:val="003F31F3"/>
    <w:rsid w:val="003F55A7"/>
    <w:rsid w:val="003F580B"/>
    <w:rsid w:val="003F7F5F"/>
    <w:rsid w:val="004014A7"/>
    <w:rsid w:val="00403CBA"/>
    <w:rsid w:val="00404414"/>
    <w:rsid w:val="004050DA"/>
    <w:rsid w:val="00407660"/>
    <w:rsid w:val="004125F7"/>
    <w:rsid w:val="00413CD7"/>
    <w:rsid w:val="00413D6B"/>
    <w:rsid w:val="00416641"/>
    <w:rsid w:val="00421459"/>
    <w:rsid w:val="00426D01"/>
    <w:rsid w:val="00430310"/>
    <w:rsid w:val="00431D7D"/>
    <w:rsid w:val="004345CC"/>
    <w:rsid w:val="0043495B"/>
    <w:rsid w:val="00435D80"/>
    <w:rsid w:val="004414F9"/>
    <w:rsid w:val="0044195E"/>
    <w:rsid w:val="0044280B"/>
    <w:rsid w:val="0044428B"/>
    <w:rsid w:val="00446A93"/>
    <w:rsid w:val="004539AF"/>
    <w:rsid w:val="00455388"/>
    <w:rsid w:val="00460F2B"/>
    <w:rsid w:val="004622D9"/>
    <w:rsid w:val="00462FCF"/>
    <w:rsid w:val="0047089C"/>
    <w:rsid w:val="0047154B"/>
    <w:rsid w:val="00474353"/>
    <w:rsid w:val="004750BC"/>
    <w:rsid w:val="0047630E"/>
    <w:rsid w:val="004868FE"/>
    <w:rsid w:val="004876B8"/>
    <w:rsid w:val="00487C9C"/>
    <w:rsid w:val="004907CB"/>
    <w:rsid w:val="0049110B"/>
    <w:rsid w:val="004927AD"/>
    <w:rsid w:val="00494802"/>
    <w:rsid w:val="0049741B"/>
    <w:rsid w:val="004A5B76"/>
    <w:rsid w:val="004A63B5"/>
    <w:rsid w:val="004B0814"/>
    <w:rsid w:val="004B1089"/>
    <w:rsid w:val="004B157C"/>
    <w:rsid w:val="004C1FC0"/>
    <w:rsid w:val="004C24F7"/>
    <w:rsid w:val="004D7C42"/>
    <w:rsid w:val="004E5B4E"/>
    <w:rsid w:val="004F4B32"/>
    <w:rsid w:val="004F4BE1"/>
    <w:rsid w:val="004F587F"/>
    <w:rsid w:val="004F6CFB"/>
    <w:rsid w:val="00506FF6"/>
    <w:rsid w:val="005119C8"/>
    <w:rsid w:val="00516F49"/>
    <w:rsid w:val="005228D6"/>
    <w:rsid w:val="005250E9"/>
    <w:rsid w:val="0052661D"/>
    <w:rsid w:val="005321A5"/>
    <w:rsid w:val="00550226"/>
    <w:rsid w:val="00552872"/>
    <w:rsid w:val="00553DBA"/>
    <w:rsid w:val="00562118"/>
    <w:rsid w:val="005653D4"/>
    <w:rsid w:val="00570C39"/>
    <w:rsid w:val="00573F27"/>
    <w:rsid w:val="00582173"/>
    <w:rsid w:val="0058354C"/>
    <w:rsid w:val="00583790"/>
    <w:rsid w:val="00585A9A"/>
    <w:rsid w:val="0059042B"/>
    <w:rsid w:val="0059665B"/>
    <w:rsid w:val="00597A66"/>
    <w:rsid w:val="005A1B41"/>
    <w:rsid w:val="005A361E"/>
    <w:rsid w:val="005A6C7B"/>
    <w:rsid w:val="005B4B1E"/>
    <w:rsid w:val="005B4FE8"/>
    <w:rsid w:val="005B5149"/>
    <w:rsid w:val="005C0DE4"/>
    <w:rsid w:val="005C3848"/>
    <w:rsid w:val="005C3E23"/>
    <w:rsid w:val="005C5558"/>
    <w:rsid w:val="005D3D2E"/>
    <w:rsid w:val="005D434A"/>
    <w:rsid w:val="005E4457"/>
    <w:rsid w:val="005E4C87"/>
    <w:rsid w:val="005E5E71"/>
    <w:rsid w:val="005F0450"/>
    <w:rsid w:val="005F068E"/>
    <w:rsid w:val="005F1848"/>
    <w:rsid w:val="00606F47"/>
    <w:rsid w:val="0061497A"/>
    <w:rsid w:val="0062000C"/>
    <w:rsid w:val="00622232"/>
    <w:rsid w:val="00623094"/>
    <w:rsid w:val="006401B2"/>
    <w:rsid w:val="00640A34"/>
    <w:rsid w:val="00640E1D"/>
    <w:rsid w:val="006474C8"/>
    <w:rsid w:val="006479D8"/>
    <w:rsid w:val="00654D18"/>
    <w:rsid w:val="0066127E"/>
    <w:rsid w:val="00661CFE"/>
    <w:rsid w:val="00662C0F"/>
    <w:rsid w:val="00664564"/>
    <w:rsid w:val="00671E59"/>
    <w:rsid w:val="006729A9"/>
    <w:rsid w:val="00681942"/>
    <w:rsid w:val="00681A8C"/>
    <w:rsid w:val="0068213E"/>
    <w:rsid w:val="0068370E"/>
    <w:rsid w:val="00685DD5"/>
    <w:rsid w:val="00685DD7"/>
    <w:rsid w:val="006909F7"/>
    <w:rsid w:val="00694BFD"/>
    <w:rsid w:val="006967A7"/>
    <w:rsid w:val="00697A24"/>
    <w:rsid w:val="006A14F5"/>
    <w:rsid w:val="006A2601"/>
    <w:rsid w:val="006A4DAE"/>
    <w:rsid w:val="006A681E"/>
    <w:rsid w:val="006B0A16"/>
    <w:rsid w:val="006B0B5F"/>
    <w:rsid w:val="006B155B"/>
    <w:rsid w:val="006B4FD0"/>
    <w:rsid w:val="006B7271"/>
    <w:rsid w:val="006C01E5"/>
    <w:rsid w:val="006C13C1"/>
    <w:rsid w:val="006C4664"/>
    <w:rsid w:val="006C4F6D"/>
    <w:rsid w:val="006C50AE"/>
    <w:rsid w:val="006D155E"/>
    <w:rsid w:val="006E56A1"/>
    <w:rsid w:val="006F2F8B"/>
    <w:rsid w:val="00703F7E"/>
    <w:rsid w:val="007112AB"/>
    <w:rsid w:val="00716C34"/>
    <w:rsid w:val="007218D2"/>
    <w:rsid w:val="0072397D"/>
    <w:rsid w:val="007251CB"/>
    <w:rsid w:val="00742DA3"/>
    <w:rsid w:val="007461D7"/>
    <w:rsid w:val="00746843"/>
    <w:rsid w:val="00746A80"/>
    <w:rsid w:val="00753E29"/>
    <w:rsid w:val="00754D0B"/>
    <w:rsid w:val="00755821"/>
    <w:rsid w:val="00760051"/>
    <w:rsid w:val="00775806"/>
    <w:rsid w:val="0078175A"/>
    <w:rsid w:val="0078320D"/>
    <w:rsid w:val="0078560A"/>
    <w:rsid w:val="00785FB6"/>
    <w:rsid w:val="00786542"/>
    <w:rsid w:val="0078659D"/>
    <w:rsid w:val="007906C7"/>
    <w:rsid w:val="00791F8F"/>
    <w:rsid w:val="0079255B"/>
    <w:rsid w:val="007937A6"/>
    <w:rsid w:val="007A024B"/>
    <w:rsid w:val="007A5984"/>
    <w:rsid w:val="007A7AC1"/>
    <w:rsid w:val="007B60FC"/>
    <w:rsid w:val="007B667E"/>
    <w:rsid w:val="007C00E8"/>
    <w:rsid w:val="007C6BD8"/>
    <w:rsid w:val="007D171D"/>
    <w:rsid w:val="007E2B8A"/>
    <w:rsid w:val="007E448A"/>
    <w:rsid w:val="007E4C1C"/>
    <w:rsid w:val="007E5FA7"/>
    <w:rsid w:val="007F05D7"/>
    <w:rsid w:val="007F23E2"/>
    <w:rsid w:val="007F5702"/>
    <w:rsid w:val="008019CE"/>
    <w:rsid w:val="00804D55"/>
    <w:rsid w:val="00805152"/>
    <w:rsid w:val="0080789B"/>
    <w:rsid w:val="00810511"/>
    <w:rsid w:val="00810F58"/>
    <w:rsid w:val="00813435"/>
    <w:rsid w:val="00814683"/>
    <w:rsid w:val="00815390"/>
    <w:rsid w:val="00820904"/>
    <w:rsid w:val="00837BF8"/>
    <w:rsid w:val="008417A6"/>
    <w:rsid w:val="00841CFC"/>
    <w:rsid w:val="00847535"/>
    <w:rsid w:val="0085124E"/>
    <w:rsid w:val="00851A97"/>
    <w:rsid w:val="008524B2"/>
    <w:rsid w:val="00863284"/>
    <w:rsid w:val="00863F47"/>
    <w:rsid w:val="008655C6"/>
    <w:rsid w:val="00866C07"/>
    <w:rsid w:val="00871A0E"/>
    <w:rsid w:val="00881227"/>
    <w:rsid w:val="00882140"/>
    <w:rsid w:val="00887639"/>
    <w:rsid w:val="0089252B"/>
    <w:rsid w:val="00896E83"/>
    <w:rsid w:val="008A0184"/>
    <w:rsid w:val="008A1994"/>
    <w:rsid w:val="008A2CDB"/>
    <w:rsid w:val="008A3D83"/>
    <w:rsid w:val="008A5189"/>
    <w:rsid w:val="008B6A65"/>
    <w:rsid w:val="008C346C"/>
    <w:rsid w:val="008C37AA"/>
    <w:rsid w:val="008C3A2F"/>
    <w:rsid w:val="008C59D2"/>
    <w:rsid w:val="008C5AAD"/>
    <w:rsid w:val="008C761D"/>
    <w:rsid w:val="008D15E1"/>
    <w:rsid w:val="008D1795"/>
    <w:rsid w:val="008D249A"/>
    <w:rsid w:val="008D2E02"/>
    <w:rsid w:val="008D5554"/>
    <w:rsid w:val="008E0FBF"/>
    <w:rsid w:val="008E26BD"/>
    <w:rsid w:val="008E43FA"/>
    <w:rsid w:val="008E51C3"/>
    <w:rsid w:val="008E59AC"/>
    <w:rsid w:val="008E7A66"/>
    <w:rsid w:val="008F1DD6"/>
    <w:rsid w:val="008F721E"/>
    <w:rsid w:val="00902BA3"/>
    <w:rsid w:val="00904E0B"/>
    <w:rsid w:val="0090518E"/>
    <w:rsid w:val="00910933"/>
    <w:rsid w:val="009217C6"/>
    <w:rsid w:val="0092497E"/>
    <w:rsid w:val="0092785F"/>
    <w:rsid w:val="00930697"/>
    <w:rsid w:val="00933F24"/>
    <w:rsid w:val="009401EE"/>
    <w:rsid w:val="00945ABF"/>
    <w:rsid w:val="00945BF8"/>
    <w:rsid w:val="00954CDF"/>
    <w:rsid w:val="00957053"/>
    <w:rsid w:val="00962982"/>
    <w:rsid w:val="00964726"/>
    <w:rsid w:val="00965F83"/>
    <w:rsid w:val="0097131C"/>
    <w:rsid w:val="009803CB"/>
    <w:rsid w:val="00986AFC"/>
    <w:rsid w:val="009870BF"/>
    <w:rsid w:val="00990F31"/>
    <w:rsid w:val="00991BE3"/>
    <w:rsid w:val="0099326C"/>
    <w:rsid w:val="0099326E"/>
    <w:rsid w:val="0099583E"/>
    <w:rsid w:val="00995B13"/>
    <w:rsid w:val="009A1872"/>
    <w:rsid w:val="009A4E8B"/>
    <w:rsid w:val="009A7962"/>
    <w:rsid w:val="009C00B3"/>
    <w:rsid w:val="009C29C9"/>
    <w:rsid w:val="009C37DA"/>
    <w:rsid w:val="009D0510"/>
    <w:rsid w:val="009D1EF2"/>
    <w:rsid w:val="009D44EF"/>
    <w:rsid w:val="009D5BB7"/>
    <w:rsid w:val="009E3DAA"/>
    <w:rsid w:val="009E4F90"/>
    <w:rsid w:val="009F44F5"/>
    <w:rsid w:val="009F4E71"/>
    <w:rsid w:val="00A0257D"/>
    <w:rsid w:val="00A03AB0"/>
    <w:rsid w:val="00A1059C"/>
    <w:rsid w:val="00A10B21"/>
    <w:rsid w:val="00A24FE3"/>
    <w:rsid w:val="00A2543A"/>
    <w:rsid w:val="00A257DB"/>
    <w:rsid w:val="00A316A6"/>
    <w:rsid w:val="00A31E28"/>
    <w:rsid w:val="00A36FFD"/>
    <w:rsid w:val="00A378B3"/>
    <w:rsid w:val="00A4146F"/>
    <w:rsid w:val="00A47E93"/>
    <w:rsid w:val="00A503A4"/>
    <w:rsid w:val="00A62F5F"/>
    <w:rsid w:val="00A630EB"/>
    <w:rsid w:val="00A63AAE"/>
    <w:rsid w:val="00A64B86"/>
    <w:rsid w:val="00A738D8"/>
    <w:rsid w:val="00A76142"/>
    <w:rsid w:val="00A804B1"/>
    <w:rsid w:val="00A82C31"/>
    <w:rsid w:val="00A8497D"/>
    <w:rsid w:val="00A91CEB"/>
    <w:rsid w:val="00A92F35"/>
    <w:rsid w:val="00A952AA"/>
    <w:rsid w:val="00A954CF"/>
    <w:rsid w:val="00A96A0F"/>
    <w:rsid w:val="00AA1040"/>
    <w:rsid w:val="00AA1F4A"/>
    <w:rsid w:val="00AA3EB5"/>
    <w:rsid w:val="00AA4C72"/>
    <w:rsid w:val="00AA59BC"/>
    <w:rsid w:val="00AA5D8E"/>
    <w:rsid w:val="00AA6296"/>
    <w:rsid w:val="00AB0A63"/>
    <w:rsid w:val="00AB1245"/>
    <w:rsid w:val="00AB2BB0"/>
    <w:rsid w:val="00AB6AA0"/>
    <w:rsid w:val="00AC12ED"/>
    <w:rsid w:val="00AC30BC"/>
    <w:rsid w:val="00AC4C77"/>
    <w:rsid w:val="00AC6457"/>
    <w:rsid w:val="00AD1D3C"/>
    <w:rsid w:val="00AD329D"/>
    <w:rsid w:val="00AD36C0"/>
    <w:rsid w:val="00AD3AD2"/>
    <w:rsid w:val="00AD4FAB"/>
    <w:rsid w:val="00AD6ECD"/>
    <w:rsid w:val="00AE0014"/>
    <w:rsid w:val="00AE4021"/>
    <w:rsid w:val="00AE51CE"/>
    <w:rsid w:val="00AE6002"/>
    <w:rsid w:val="00AE6ED4"/>
    <w:rsid w:val="00AF2EC7"/>
    <w:rsid w:val="00B01BFB"/>
    <w:rsid w:val="00B02BDF"/>
    <w:rsid w:val="00B04519"/>
    <w:rsid w:val="00B06AD3"/>
    <w:rsid w:val="00B07C66"/>
    <w:rsid w:val="00B15BD2"/>
    <w:rsid w:val="00B2303C"/>
    <w:rsid w:val="00B34788"/>
    <w:rsid w:val="00B4260E"/>
    <w:rsid w:val="00B4520E"/>
    <w:rsid w:val="00B46E0E"/>
    <w:rsid w:val="00B55CC8"/>
    <w:rsid w:val="00B570C6"/>
    <w:rsid w:val="00B61547"/>
    <w:rsid w:val="00B66921"/>
    <w:rsid w:val="00B70750"/>
    <w:rsid w:val="00B71BA6"/>
    <w:rsid w:val="00B75DE6"/>
    <w:rsid w:val="00B8018B"/>
    <w:rsid w:val="00B80264"/>
    <w:rsid w:val="00B80661"/>
    <w:rsid w:val="00B81B17"/>
    <w:rsid w:val="00B82EA2"/>
    <w:rsid w:val="00B837BE"/>
    <w:rsid w:val="00B849DC"/>
    <w:rsid w:val="00B84C42"/>
    <w:rsid w:val="00B86EA2"/>
    <w:rsid w:val="00B90A61"/>
    <w:rsid w:val="00B96AA7"/>
    <w:rsid w:val="00BA124B"/>
    <w:rsid w:val="00BA27F5"/>
    <w:rsid w:val="00BA29CE"/>
    <w:rsid w:val="00BB0DBE"/>
    <w:rsid w:val="00BB14D0"/>
    <w:rsid w:val="00BB620E"/>
    <w:rsid w:val="00BB647E"/>
    <w:rsid w:val="00BC0C54"/>
    <w:rsid w:val="00BD009E"/>
    <w:rsid w:val="00BD04CA"/>
    <w:rsid w:val="00BD343D"/>
    <w:rsid w:val="00BE532B"/>
    <w:rsid w:val="00BE6B55"/>
    <w:rsid w:val="00BF040B"/>
    <w:rsid w:val="00BF364C"/>
    <w:rsid w:val="00BF574B"/>
    <w:rsid w:val="00BF70BD"/>
    <w:rsid w:val="00C02A38"/>
    <w:rsid w:val="00C0470F"/>
    <w:rsid w:val="00C13D77"/>
    <w:rsid w:val="00C14A23"/>
    <w:rsid w:val="00C15F5F"/>
    <w:rsid w:val="00C16319"/>
    <w:rsid w:val="00C16E64"/>
    <w:rsid w:val="00C22911"/>
    <w:rsid w:val="00C30D8A"/>
    <w:rsid w:val="00C335AB"/>
    <w:rsid w:val="00C33834"/>
    <w:rsid w:val="00C3579C"/>
    <w:rsid w:val="00C361D7"/>
    <w:rsid w:val="00C47183"/>
    <w:rsid w:val="00C50515"/>
    <w:rsid w:val="00C51D0F"/>
    <w:rsid w:val="00C523F8"/>
    <w:rsid w:val="00C53BCE"/>
    <w:rsid w:val="00C64FF6"/>
    <w:rsid w:val="00C65CDA"/>
    <w:rsid w:val="00C7460D"/>
    <w:rsid w:val="00C75FEC"/>
    <w:rsid w:val="00C76194"/>
    <w:rsid w:val="00C7670E"/>
    <w:rsid w:val="00C87725"/>
    <w:rsid w:val="00C91EB6"/>
    <w:rsid w:val="00C921FE"/>
    <w:rsid w:val="00C92D08"/>
    <w:rsid w:val="00C97702"/>
    <w:rsid w:val="00C97F35"/>
    <w:rsid w:val="00CA324B"/>
    <w:rsid w:val="00CA3C9F"/>
    <w:rsid w:val="00CA5E0A"/>
    <w:rsid w:val="00CA66BC"/>
    <w:rsid w:val="00CA6AB8"/>
    <w:rsid w:val="00CA6D87"/>
    <w:rsid w:val="00CB1AF9"/>
    <w:rsid w:val="00CB2EE3"/>
    <w:rsid w:val="00CB3050"/>
    <w:rsid w:val="00CB6568"/>
    <w:rsid w:val="00CC15F1"/>
    <w:rsid w:val="00CC65A8"/>
    <w:rsid w:val="00CD140E"/>
    <w:rsid w:val="00CD671A"/>
    <w:rsid w:val="00CE35D9"/>
    <w:rsid w:val="00CE3F91"/>
    <w:rsid w:val="00CE54DF"/>
    <w:rsid w:val="00CE56A5"/>
    <w:rsid w:val="00CE69D7"/>
    <w:rsid w:val="00CE750F"/>
    <w:rsid w:val="00CF276A"/>
    <w:rsid w:val="00CF699A"/>
    <w:rsid w:val="00D029B1"/>
    <w:rsid w:val="00D067C1"/>
    <w:rsid w:val="00D142A2"/>
    <w:rsid w:val="00D16EE0"/>
    <w:rsid w:val="00D22BAD"/>
    <w:rsid w:val="00D23D16"/>
    <w:rsid w:val="00D25EF2"/>
    <w:rsid w:val="00D2723C"/>
    <w:rsid w:val="00D31A5A"/>
    <w:rsid w:val="00D33082"/>
    <w:rsid w:val="00D33382"/>
    <w:rsid w:val="00D33C8E"/>
    <w:rsid w:val="00D344E9"/>
    <w:rsid w:val="00D352BB"/>
    <w:rsid w:val="00D37E7B"/>
    <w:rsid w:val="00D4328B"/>
    <w:rsid w:val="00D50409"/>
    <w:rsid w:val="00D51832"/>
    <w:rsid w:val="00D60D5D"/>
    <w:rsid w:val="00D622D5"/>
    <w:rsid w:val="00D64ADE"/>
    <w:rsid w:val="00D65FCC"/>
    <w:rsid w:val="00D7310A"/>
    <w:rsid w:val="00D759F6"/>
    <w:rsid w:val="00D8045E"/>
    <w:rsid w:val="00D81002"/>
    <w:rsid w:val="00D8588A"/>
    <w:rsid w:val="00D87298"/>
    <w:rsid w:val="00D91041"/>
    <w:rsid w:val="00DA2E77"/>
    <w:rsid w:val="00DA66D7"/>
    <w:rsid w:val="00DC18E0"/>
    <w:rsid w:val="00DC292A"/>
    <w:rsid w:val="00DC337E"/>
    <w:rsid w:val="00DC5A55"/>
    <w:rsid w:val="00DC736B"/>
    <w:rsid w:val="00DD1530"/>
    <w:rsid w:val="00DD2236"/>
    <w:rsid w:val="00DD42F1"/>
    <w:rsid w:val="00DD4F9F"/>
    <w:rsid w:val="00DD6690"/>
    <w:rsid w:val="00DE2EF9"/>
    <w:rsid w:val="00DE4AED"/>
    <w:rsid w:val="00DF064F"/>
    <w:rsid w:val="00DF1D09"/>
    <w:rsid w:val="00DF28E3"/>
    <w:rsid w:val="00DF67AB"/>
    <w:rsid w:val="00E0670B"/>
    <w:rsid w:val="00E139CA"/>
    <w:rsid w:val="00E15462"/>
    <w:rsid w:val="00E160BD"/>
    <w:rsid w:val="00E16E55"/>
    <w:rsid w:val="00E20A24"/>
    <w:rsid w:val="00E23E3F"/>
    <w:rsid w:val="00E31347"/>
    <w:rsid w:val="00E371D8"/>
    <w:rsid w:val="00E37239"/>
    <w:rsid w:val="00E5244A"/>
    <w:rsid w:val="00E6695E"/>
    <w:rsid w:val="00E707DF"/>
    <w:rsid w:val="00E7157B"/>
    <w:rsid w:val="00E72149"/>
    <w:rsid w:val="00E74517"/>
    <w:rsid w:val="00E81C2C"/>
    <w:rsid w:val="00E844EA"/>
    <w:rsid w:val="00E86D8F"/>
    <w:rsid w:val="00E90940"/>
    <w:rsid w:val="00E931FD"/>
    <w:rsid w:val="00E937AB"/>
    <w:rsid w:val="00E9595B"/>
    <w:rsid w:val="00E96D40"/>
    <w:rsid w:val="00E9787D"/>
    <w:rsid w:val="00EA2540"/>
    <w:rsid w:val="00EA298A"/>
    <w:rsid w:val="00EA41E4"/>
    <w:rsid w:val="00EA6AAD"/>
    <w:rsid w:val="00EA7008"/>
    <w:rsid w:val="00EA74B3"/>
    <w:rsid w:val="00EB09F2"/>
    <w:rsid w:val="00EB0B16"/>
    <w:rsid w:val="00EB0B58"/>
    <w:rsid w:val="00EB1210"/>
    <w:rsid w:val="00EB24B6"/>
    <w:rsid w:val="00EB25C4"/>
    <w:rsid w:val="00EB57C4"/>
    <w:rsid w:val="00EB6509"/>
    <w:rsid w:val="00EB71DB"/>
    <w:rsid w:val="00EC1465"/>
    <w:rsid w:val="00EC2053"/>
    <w:rsid w:val="00EC70B3"/>
    <w:rsid w:val="00ED0B5B"/>
    <w:rsid w:val="00ED11EC"/>
    <w:rsid w:val="00ED1A5E"/>
    <w:rsid w:val="00ED6175"/>
    <w:rsid w:val="00EF7814"/>
    <w:rsid w:val="00F02E42"/>
    <w:rsid w:val="00F13288"/>
    <w:rsid w:val="00F15071"/>
    <w:rsid w:val="00F15A76"/>
    <w:rsid w:val="00F17F30"/>
    <w:rsid w:val="00F214FA"/>
    <w:rsid w:val="00F2233A"/>
    <w:rsid w:val="00F22F48"/>
    <w:rsid w:val="00F249F2"/>
    <w:rsid w:val="00F26F01"/>
    <w:rsid w:val="00F27059"/>
    <w:rsid w:val="00F277B1"/>
    <w:rsid w:val="00F30A45"/>
    <w:rsid w:val="00F33F07"/>
    <w:rsid w:val="00F349E3"/>
    <w:rsid w:val="00F40D1C"/>
    <w:rsid w:val="00F42404"/>
    <w:rsid w:val="00F46121"/>
    <w:rsid w:val="00F473A0"/>
    <w:rsid w:val="00F50F6D"/>
    <w:rsid w:val="00F5172A"/>
    <w:rsid w:val="00F51852"/>
    <w:rsid w:val="00F520F5"/>
    <w:rsid w:val="00F62497"/>
    <w:rsid w:val="00F65AD9"/>
    <w:rsid w:val="00F67B79"/>
    <w:rsid w:val="00F702B9"/>
    <w:rsid w:val="00F722EC"/>
    <w:rsid w:val="00F7433B"/>
    <w:rsid w:val="00F75FDE"/>
    <w:rsid w:val="00F77E5A"/>
    <w:rsid w:val="00F8249C"/>
    <w:rsid w:val="00F90193"/>
    <w:rsid w:val="00FA1468"/>
    <w:rsid w:val="00FA3D9E"/>
    <w:rsid w:val="00FA4B7D"/>
    <w:rsid w:val="00FA6533"/>
    <w:rsid w:val="00FA6C6A"/>
    <w:rsid w:val="00FB1B8C"/>
    <w:rsid w:val="00FC3467"/>
    <w:rsid w:val="00FC65C5"/>
    <w:rsid w:val="00FD14F6"/>
    <w:rsid w:val="00FD16A4"/>
    <w:rsid w:val="00FD262B"/>
    <w:rsid w:val="00FD33CB"/>
    <w:rsid w:val="00FD3DB6"/>
    <w:rsid w:val="00FD55C8"/>
    <w:rsid w:val="00FD662C"/>
    <w:rsid w:val="00FE0782"/>
    <w:rsid w:val="00FE71E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4CC4DF7"/>
  <w15:docId w15:val="{47A515BC-6B66-451E-8FB0-83D3CBEF65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pPr>
      <w:spacing w:after="200" w:line="276" w:lineRule="auto"/>
    </w:pPr>
    <w:rPr>
      <w:sz w:val="22"/>
      <w:szCs w:val="22"/>
      <w:lang w:eastAsia="en-US"/>
    </w:rPr>
  </w:style>
  <w:style w:type="paragraph" w:styleId="1">
    <w:name w:val="heading 1"/>
    <w:basedOn w:val="a"/>
    <w:next w:val="a"/>
    <w:link w:val="10"/>
    <w:uiPriority w:val="9"/>
    <w:qFormat/>
    <w:rsid w:val="0058354C"/>
    <w:pPr>
      <w:keepNext/>
      <w:keepLines/>
      <w:autoSpaceDE w:val="0"/>
      <w:autoSpaceDN w:val="0"/>
      <w:adjustRightInd w:val="0"/>
      <w:spacing w:before="480" w:after="0" w:line="240" w:lineRule="auto"/>
      <w:outlineLvl w:val="0"/>
    </w:pPr>
    <w:rPr>
      <w:rFonts w:ascii="Cambria" w:eastAsia="Times New Roman" w:hAnsi="Cambria"/>
      <w:b/>
      <w:bCs/>
      <w:color w:val="365F91"/>
      <w:sz w:val="28"/>
      <w:szCs w:val="28"/>
    </w:rPr>
  </w:style>
  <w:style w:type="paragraph" w:styleId="2">
    <w:name w:val="heading 2"/>
    <w:basedOn w:val="a"/>
    <w:next w:val="a"/>
    <w:link w:val="20"/>
    <w:uiPriority w:val="9"/>
    <w:unhideWhenUsed/>
    <w:qFormat/>
    <w:rsid w:val="00A4146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BA29CE"/>
    <w:pPr>
      <w:keepNext/>
      <w:keepLines/>
      <w:overflowPunct w:val="0"/>
      <w:autoSpaceDE w:val="0"/>
      <w:autoSpaceDN w:val="0"/>
      <w:adjustRightInd w:val="0"/>
      <w:spacing w:before="40" w:after="0" w:line="240" w:lineRule="auto"/>
      <w:textAlignment w:val="baseline"/>
      <w:outlineLvl w:val="2"/>
    </w:pPr>
    <w:rPr>
      <w:rFonts w:ascii="Cambria" w:eastAsia="Times New Roman" w:hAnsi="Cambria"/>
      <w:color w:val="243F60"/>
      <w:sz w:val="24"/>
      <w:szCs w:val="24"/>
      <w:lang w:eastAsia="ru-RU"/>
    </w:rPr>
  </w:style>
  <w:style w:type="paragraph" w:styleId="4">
    <w:name w:val="heading 4"/>
    <w:basedOn w:val="a"/>
    <w:next w:val="a"/>
    <w:link w:val="40"/>
    <w:uiPriority w:val="9"/>
    <w:unhideWhenUsed/>
    <w:qFormat/>
    <w:rsid w:val="003628CD"/>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semiHidden/>
    <w:unhideWhenUsed/>
    <w:qFormat/>
    <w:rsid w:val="003C4CEF"/>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8"/>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
    <w:name w:val="Основной текст_"/>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link w:val="aff3"/>
    <w:uiPriority w:val="99"/>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4">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uiPriority w:val="99"/>
    <w:rsid w:val="008E0FBF"/>
    <w:rPr>
      <w:rFonts w:ascii="Lucida Sans Unicode" w:hAnsi="Lucida Sans Unicode" w:cs="Lucida Sans Unicode"/>
      <w:i/>
      <w:iCs/>
      <w:sz w:val="16"/>
      <w:szCs w:val="16"/>
    </w:rPr>
  </w:style>
  <w:style w:type="character" w:customStyle="1" w:styleId="aff5">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uiPriority w:val="99"/>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8">
    <w:name w:val="Основной текст1"/>
    <w:uiPriority w:val="99"/>
    <w:rsid w:val="008E0FBF"/>
    <w:rPr>
      <w:rFonts w:ascii="Gungsuh" w:eastAsia="Gungsuh" w:cs="Gungsuh"/>
      <w:spacing w:val="-10"/>
      <w:sz w:val="16"/>
      <w:szCs w:val="16"/>
      <w:u w:val="single"/>
    </w:rPr>
  </w:style>
  <w:style w:type="paragraph" w:customStyle="1" w:styleId="34">
    <w:name w:val="Основной текст (3)"/>
    <w:basedOn w:val="a"/>
    <w:link w:val="35"/>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uiPriority w:val="99"/>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uiPriority w:val="99"/>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9">
    <w:name w:val="Заголовок №1"/>
    <w:basedOn w:val="a"/>
    <w:link w:val="1a"/>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aliases w:val="Основной текст + 93,5 pt7,Полужирный6,Интервал -1 pt3,Полужирный12,Основной текст + Arial Narrow3,Picture caption + 61,Not Bold1,Italic2"/>
    <w:uiPriority w:val="99"/>
    <w:rsid w:val="008E0FBF"/>
    <w:rPr>
      <w:rFonts w:ascii="Gungsuh" w:eastAsia="Gungsuh" w:cs="Gungsuh"/>
      <w:spacing w:val="-20"/>
      <w:sz w:val="21"/>
      <w:szCs w:val="21"/>
    </w:rPr>
  </w:style>
  <w:style w:type="character" w:customStyle="1" w:styleId="9">
    <w:name w:val="Основной текст + 9"/>
    <w:aliases w:val="5 pt12,Полужирный11,Интервал -1 pt,Основной текст + Arial Narrow12,99,Полужирный21,Интервал 0 pt10,Основной текст + 11 pt,Полужирный13,Подпись к картинке + Sylfaen1,8 pt1,Header or footer + Arial Narrow3,Bold16,Picture caption + 6"/>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aliases w:val="Полужирный65"/>
    <w:uiPriority w:val="99"/>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aliases w:val="5 pt11,Полужирный10,Основной текст + Arial Narrow6,Body text + 92,Bold6,Spacing 0 pt7"/>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uiPriority w:val="99"/>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6">
    <w:name w:val="Колонтитул"/>
    <w:basedOn w:val="a"/>
    <w:link w:val="aff7"/>
    <w:rsid w:val="008E0FBF"/>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uiPriority w:val="99"/>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uiPriority w:val="99"/>
    <w:rsid w:val="008E0FBF"/>
    <w:rPr>
      <w:rFonts w:ascii="Gungsuh" w:eastAsia="Gungsuh" w:cs="Gungsuh"/>
      <w:spacing w:val="-20"/>
      <w:sz w:val="20"/>
      <w:szCs w:val="20"/>
    </w:rPr>
  </w:style>
  <w:style w:type="character" w:customStyle="1" w:styleId="aff8">
    <w:name w:val="Основной текст + Полужирный"/>
    <w:aliases w:val="Интервал 0 pt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1">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9">
    <w:name w:val="Подпись к картинке"/>
    <w:basedOn w:val="a"/>
    <w:link w:val="affa"/>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link w:val="38"/>
    <w:uiPriority w:val="99"/>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0">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b">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link w:val="2d"/>
    <w:uiPriority w:val="99"/>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uiPriority w:val="9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link w:val="171"/>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a">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e">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3">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2">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link w:val="91"/>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link w:val="282"/>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b">
    <w:name w:val="Заголовок №3"/>
    <w:basedOn w:val="a"/>
    <w:link w:val="3c"/>
    <w:rsid w:val="008E0FBF"/>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
    <w:link w:val="183"/>
    <w:uiPriority w:val="99"/>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f">
    <w:name w:val="Подпись к таблице (2)"/>
    <w:basedOn w:val="a"/>
    <w:link w:val="2f0"/>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83">
    <w:name w:val="Заголовок №8"/>
    <w:basedOn w:val="a"/>
    <w:uiPriority w:val="99"/>
    <w:rsid w:val="00930697"/>
    <w:pPr>
      <w:shd w:val="clear" w:color="auto" w:fill="FFFFFF"/>
      <w:autoSpaceDE w:val="0"/>
      <w:autoSpaceDN w:val="0"/>
      <w:adjustRightInd w:val="0"/>
      <w:spacing w:before="180" w:after="0" w:line="211" w:lineRule="exact"/>
    </w:pPr>
    <w:rPr>
      <w:rFonts w:ascii="Microsoft Sans Serif" w:hAnsi="Microsoft Sans Serif" w:cs="Microsoft Sans Serif"/>
      <w:b/>
      <w:bCs/>
      <w:noProof/>
      <w:sz w:val="17"/>
      <w:szCs w:val="17"/>
      <w:lang w:val="en-US"/>
    </w:rPr>
  </w:style>
  <w:style w:type="character" w:customStyle="1" w:styleId="575">
    <w:name w:val="Основной текст (5)75"/>
    <w:uiPriority w:val="99"/>
    <w:rsid w:val="00930697"/>
    <w:rPr>
      <w:i/>
      <w:iCs/>
      <w:spacing w:val="0"/>
      <w:sz w:val="16"/>
      <w:szCs w:val="16"/>
    </w:rPr>
  </w:style>
  <w:style w:type="character" w:customStyle="1" w:styleId="574">
    <w:name w:val="Основной текст (5)74"/>
    <w:uiPriority w:val="99"/>
    <w:rsid w:val="00930697"/>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uiPriority w:val="99"/>
    <w:rsid w:val="00930697"/>
    <w:rPr>
      <w:i/>
      <w:iCs/>
      <w:spacing w:val="-10"/>
      <w:sz w:val="17"/>
      <w:szCs w:val="17"/>
    </w:rPr>
  </w:style>
  <w:style w:type="character" w:customStyle="1" w:styleId="58445pt60510pt90">
    <w:name w:val="Основной текст (5) + 844.5 pt60.Не курсив51.Интервал 0 pt90"/>
    <w:uiPriority w:val="99"/>
    <w:rsid w:val="00930697"/>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uiPriority w:val="99"/>
    <w:rsid w:val="00930697"/>
    <w:rPr>
      <w:i/>
      <w:iCs/>
      <w:spacing w:val="-10"/>
      <w:sz w:val="17"/>
      <w:szCs w:val="17"/>
    </w:rPr>
  </w:style>
  <w:style w:type="character" w:customStyle="1" w:styleId="573">
    <w:name w:val="Основной текст (5)73"/>
    <w:uiPriority w:val="99"/>
    <w:rsid w:val="00930697"/>
    <w:rPr>
      <w:i/>
      <w:iCs/>
      <w:spacing w:val="0"/>
      <w:sz w:val="16"/>
      <w:szCs w:val="16"/>
    </w:rPr>
  </w:style>
  <w:style w:type="character" w:customStyle="1" w:styleId="572">
    <w:name w:val="Основной текст (5)72"/>
    <w:uiPriority w:val="99"/>
    <w:rsid w:val="00930697"/>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uiPriority w:val="99"/>
    <w:rsid w:val="00930697"/>
    <w:rPr>
      <w:rFonts w:ascii="Arial Unicode MS" w:eastAsia="Arial Unicode MS" w:cs="Arial Unicode MS"/>
      <w:i/>
      <w:iCs/>
      <w:noProof/>
      <w:spacing w:val="-10"/>
      <w:sz w:val="17"/>
      <w:szCs w:val="17"/>
    </w:rPr>
  </w:style>
  <w:style w:type="character" w:customStyle="1" w:styleId="571">
    <w:name w:val="Основной текст (5)71"/>
    <w:uiPriority w:val="99"/>
    <w:rsid w:val="00930697"/>
    <w:rPr>
      <w:i/>
      <w:iCs/>
      <w:spacing w:val="0"/>
      <w:sz w:val="16"/>
      <w:szCs w:val="16"/>
    </w:rPr>
  </w:style>
  <w:style w:type="character" w:customStyle="1" w:styleId="58415pt5722">
    <w:name w:val="Основной текст (5) + 841.5 pt57.Полужирный22"/>
    <w:uiPriority w:val="99"/>
    <w:rsid w:val="00930697"/>
    <w:rPr>
      <w:b/>
      <w:bCs/>
      <w:i/>
      <w:iCs/>
      <w:spacing w:val="0"/>
      <w:sz w:val="17"/>
      <w:szCs w:val="17"/>
    </w:rPr>
  </w:style>
  <w:style w:type="character" w:customStyle="1" w:styleId="203">
    <w:name w:val="Основной текст (20)"/>
    <w:uiPriority w:val="99"/>
    <w:rsid w:val="00930697"/>
    <w:rPr>
      <w:b/>
      <w:bCs/>
      <w:i/>
      <w:iCs/>
      <w:sz w:val="15"/>
      <w:szCs w:val="15"/>
    </w:rPr>
  </w:style>
  <w:style w:type="character" w:customStyle="1" w:styleId="2030">
    <w:name w:val="Основной текст (20)3"/>
    <w:uiPriority w:val="99"/>
    <w:rsid w:val="00930697"/>
    <w:rPr>
      <w:rFonts w:ascii="Arial Unicode MS" w:eastAsia="Arial Unicode MS" w:cs="Arial Unicode MS"/>
      <w:b/>
      <w:bCs/>
      <w:i/>
      <w:iCs/>
      <w:noProof/>
      <w:sz w:val="15"/>
      <w:szCs w:val="15"/>
    </w:rPr>
  </w:style>
  <w:style w:type="character" w:customStyle="1" w:styleId="208pt4">
    <w:name w:val="Основной текст (20) + 8 pt.Не полужирный4"/>
    <w:uiPriority w:val="99"/>
    <w:rsid w:val="00930697"/>
    <w:rPr>
      <w:rFonts w:ascii="Arial Unicode MS" w:eastAsia="Arial Unicode MS" w:cs="Arial Unicode MS"/>
      <w:b/>
      <w:bCs/>
      <w:i/>
      <w:iCs/>
      <w:noProof/>
      <w:sz w:val="16"/>
      <w:szCs w:val="16"/>
    </w:rPr>
  </w:style>
  <w:style w:type="character" w:customStyle="1" w:styleId="2020">
    <w:name w:val="Основной текст (20)2"/>
    <w:uiPriority w:val="99"/>
    <w:rsid w:val="00930697"/>
    <w:rPr>
      <w:b/>
      <w:bCs/>
      <w:i/>
      <w:iCs/>
      <w:sz w:val="15"/>
      <w:szCs w:val="15"/>
    </w:rPr>
  </w:style>
  <w:style w:type="paragraph" w:customStyle="1" w:styleId="1110">
    <w:name w:val="Основной текст (11)1"/>
    <w:basedOn w:val="a"/>
    <w:uiPriority w:val="99"/>
    <w:rsid w:val="00930697"/>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character" w:customStyle="1" w:styleId="92">
    <w:name w:val="Основной текст + Курсив9"/>
    <w:uiPriority w:val="99"/>
    <w:rsid w:val="00930697"/>
    <w:rPr>
      <w:rFonts w:ascii="Arial" w:hAnsi="Arial" w:cs="Arial"/>
      <w:i/>
      <w:iCs/>
      <w:spacing w:val="-10"/>
      <w:sz w:val="17"/>
      <w:szCs w:val="17"/>
    </w:rPr>
  </w:style>
  <w:style w:type="paragraph" w:customStyle="1" w:styleId="811">
    <w:name w:val="Подпись к картинке (8)1"/>
    <w:basedOn w:val="a"/>
    <w:uiPriority w:val="99"/>
    <w:rsid w:val="00930697"/>
    <w:pPr>
      <w:shd w:val="clear" w:color="auto" w:fill="FFFFFF"/>
      <w:autoSpaceDE w:val="0"/>
      <w:autoSpaceDN w:val="0"/>
      <w:adjustRightInd w:val="0"/>
      <w:spacing w:after="0" w:line="206" w:lineRule="exact"/>
    </w:pPr>
    <w:rPr>
      <w:rFonts w:ascii="Arial Narrow" w:hAnsi="Arial Narrow" w:cs="Arial Narrow"/>
      <w:i/>
      <w:iCs/>
      <w:sz w:val="17"/>
      <w:szCs w:val="17"/>
    </w:rPr>
  </w:style>
  <w:style w:type="paragraph" w:customStyle="1" w:styleId="191">
    <w:name w:val="Основной текст (19)"/>
    <w:basedOn w:val="a"/>
    <w:link w:val="192"/>
    <w:uiPriority w:val="99"/>
    <w:rsid w:val="00930697"/>
    <w:pPr>
      <w:shd w:val="clear" w:color="auto" w:fill="FFFFFF"/>
      <w:autoSpaceDE w:val="0"/>
      <w:autoSpaceDN w:val="0"/>
      <w:adjustRightInd w:val="0"/>
      <w:spacing w:after="0" w:line="240" w:lineRule="atLeast"/>
    </w:pPr>
    <w:rPr>
      <w:rFonts w:ascii="Arial Narrow" w:hAnsi="Arial Narrow" w:cs="Arial Narrow"/>
      <w:sz w:val="14"/>
      <w:szCs w:val="14"/>
    </w:rPr>
  </w:style>
  <w:style w:type="paragraph" w:customStyle="1" w:styleId="241">
    <w:name w:val="Основной текст (24)"/>
    <w:basedOn w:val="a"/>
    <w:link w:val="242"/>
    <w:rsid w:val="00930697"/>
    <w:pPr>
      <w:shd w:val="clear" w:color="auto" w:fill="FFFFFF"/>
      <w:autoSpaceDE w:val="0"/>
      <w:autoSpaceDN w:val="0"/>
      <w:adjustRightInd w:val="0"/>
      <w:spacing w:before="240" w:after="0" w:line="240" w:lineRule="atLeast"/>
    </w:pPr>
    <w:rPr>
      <w:rFonts w:ascii="Arial Narrow" w:hAnsi="Arial Narrow" w:cs="Arial Narrow"/>
      <w:b/>
      <w:bCs/>
      <w:sz w:val="15"/>
      <w:szCs w:val="15"/>
    </w:rPr>
  </w:style>
  <w:style w:type="paragraph" w:customStyle="1" w:styleId="130">
    <w:name w:val="Основной текст (13)"/>
    <w:basedOn w:val="a"/>
    <w:link w:val="131"/>
    <w:uiPriority w:val="99"/>
    <w:rsid w:val="002E1BE7"/>
    <w:pPr>
      <w:shd w:val="clear" w:color="auto" w:fill="FFFFFF"/>
      <w:overflowPunct w:val="0"/>
      <w:autoSpaceDE w:val="0"/>
      <w:autoSpaceDN w:val="0"/>
      <w:adjustRightInd w:val="0"/>
      <w:spacing w:after="0" w:line="240" w:lineRule="atLeast"/>
      <w:textAlignment w:val="baseline"/>
    </w:pPr>
    <w:rPr>
      <w:rFonts w:ascii="Arial" w:eastAsia="Times New Roman" w:hAnsi="Arial"/>
      <w:sz w:val="36"/>
      <w:szCs w:val="20"/>
      <w:lang w:eastAsia="ru-RU"/>
    </w:rPr>
  </w:style>
  <w:style w:type="paragraph" w:customStyle="1" w:styleId="59">
    <w:name w:val="Подпись к таблице (5)"/>
    <w:basedOn w:val="a"/>
    <w:rsid w:val="002E1BE7"/>
    <w:pPr>
      <w:shd w:val="clear" w:color="auto" w:fill="FFFFFF"/>
      <w:overflowPunct w:val="0"/>
      <w:autoSpaceDE w:val="0"/>
      <w:autoSpaceDN w:val="0"/>
      <w:adjustRightInd w:val="0"/>
      <w:spacing w:after="0" w:line="191" w:lineRule="exact"/>
      <w:textAlignment w:val="baseline"/>
    </w:pPr>
    <w:rPr>
      <w:rFonts w:ascii="Times New Roman" w:eastAsia="Times New Roman" w:hAnsi="Times New Roman"/>
      <w:sz w:val="16"/>
      <w:szCs w:val="20"/>
      <w:lang w:eastAsia="ru-RU"/>
    </w:rPr>
  </w:style>
  <w:style w:type="paragraph" w:customStyle="1" w:styleId="rtejustify">
    <w:name w:val="rtejustify"/>
    <w:basedOn w:val="a"/>
    <w:rsid w:val="002E1BE7"/>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character" w:customStyle="1" w:styleId="50pt">
    <w:name w:val="Подпись к таблице (5) + Интервал 0 pt"/>
    <w:rsid w:val="002E1BE7"/>
    <w:rPr>
      <w:rFonts w:ascii="Times New Roman" w:hAnsi="Times New Roman"/>
      <w:spacing w:val="10"/>
      <w:sz w:val="16"/>
    </w:rPr>
  </w:style>
  <w:style w:type="character" w:customStyle="1" w:styleId="aff1">
    <w:name w:val="Подпись к таблице_"/>
    <w:link w:val="aff0"/>
    <w:rsid w:val="002E1BE7"/>
    <w:rPr>
      <w:rFonts w:ascii="Arial Narrow" w:hAnsi="Arial Narrow" w:cs="Arial Narrow"/>
      <w:i/>
      <w:iCs/>
      <w:noProof/>
      <w:sz w:val="20"/>
      <w:szCs w:val="20"/>
      <w:shd w:val="clear" w:color="auto" w:fill="FFFFFF"/>
      <w:lang w:val="en-US"/>
    </w:rPr>
  </w:style>
  <w:style w:type="character" w:customStyle="1" w:styleId="183">
    <w:name w:val="Основной текст (18)_"/>
    <w:link w:val="182"/>
    <w:uiPriority w:val="99"/>
    <w:rsid w:val="002E1BE7"/>
    <w:rPr>
      <w:rFonts w:ascii="Arial" w:hAnsi="Arial" w:cs="Arial"/>
      <w:sz w:val="24"/>
      <w:szCs w:val="24"/>
      <w:shd w:val="clear" w:color="auto" w:fill="FFFFFF"/>
    </w:rPr>
  </w:style>
  <w:style w:type="character" w:customStyle="1" w:styleId="192">
    <w:name w:val="Основной текст (19)_"/>
    <w:link w:val="191"/>
    <w:uiPriority w:val="99"/>
    <w:rsid w:val="002E1BE7"/>
    <w:rPr>
      <w:rFonts w:ascii="Arial Narrow" w:hAnsi="Arial Narrow" w:cs="Arial Narrow"/>
      <w:sz w:val="14"/>
      <w:szCs w:val="14"/>
      <w:shd w:val="clear" w:color="auto" w:fill="FFFFFF"/>
    </w:rPr>
  </w:style>
  <w:style w:type="character" w:customStyle="1" w:styleId="151">
    <w:name w:val="Основной текст (15)_"/>
    <w:link w:val="152"/>
    <w:uiPriority w:val="99"/>
    <w:rsid w:val="002E1BE7"/>
    <w:rPr>
      <w:rFonts w:ascii="Franklin Gothic Heavy" w:eastAsia="Franklin Gothic Heavy" w:hAnsi="Franklin Gothic Heavy" w:cs="Franklin Gothic Heavy"/>
      <w:sz w:val="33"/>
      <w:szCs w:val="33"/>
      <w:shd w:val="clear" w:color="auto" w:fill="FFFFFF"/>
    </w:rPr>
  </w:style>
  <w:style w:type="paragraph" w:customStyle="1" w:styleId="152">
    <w:name w:val="Основной текст (15)"/>
    <w:basedOn w:val="a"/>
    <w:link w:val="151"/>
    <w:uiPriority w:val="99"/>
    <w:rsid w:val="002E1BE7"/>
    <w:pPr>
      <w:shd w:val="clear" w:color="auto" w:fill="FFFFFF"/>
      <w:spacing w:after="0" w:line="432" w:lineRule="exact"/>
      <w:jc w:val="both"/>
    </w:pPr>
    <w:rPr>
      <w:rFonts w:ascii="Franklin Gothic Heavy" w:eastAsia="Franklin Gothic Heavy" w:hAnsi="Franklin Gothic Heavy" w:cs="Franklin Gothic Heavy"/>
      <w:sz w:val="33"/>
      <w:szCs w:val="33"/>
    </w:rPr>
  </w:style>
  <w:style w:type="paragraph" w:customStyle="1" w:styleId="84">
    <w:name w:val="Основной текст8"/>
    <w:basedOn w:val="a"/>
    <w:rsid w:val="00360AC0"/>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sz w:val="26"/>
      <w:szCs w:val="20"/>
      <w:lang w:eastAsia="ru-RU"/>
    </w:rPr>
  </w:style>
  <w:style w:type="character" w:customStyle="1" w:styleId="10">
    <w:name w:val="Заголовок 1 Знак"/>
    <w:link w:val="1"/>
    <w:uiPriority w:val="9"/>
    <w:rsid w:val="0058354C"/>
    <w:rPr>
      <w:rFonts w:ascii="Cambria" w:eastAsia="Times New Roman" w:hAnsi="Cambria" w:cs="Times New Roman"/>
      <w:b/>
      <w:bCs/>
      <w:color w:val="365F91"/>
      <w:sz w:val="28"/>
      <w:szCs w:val="28"/>
    </w:rPr>
  </w:style>
  <w:style w:type="paragraph" w:customStyle="1" w:styleId="rteright">
    <w:name w:val="rteright"/>
    <w:basedOn w:val="a"/>
    <w:rsid w:val="0058354C"/>
    <w:pPr>
      <w:overflowPunct w:val="0"/>
      <w:autoSpaceDE w:val="0"/>
      <w:autoSpaceDN w:val="0"/>
      <w:adjustRightInd w:val="0"/>
      <w:spacing w:before="120" w:after="216" w:line="240" w:lineRule="auto"/>
      <w:jc w:val="right"/>
      <w:textAlignment w:val="baseline"/>
    </w:pPr>
    <w:rPr>
      <w:rFonts w:ascii="Times New Roman" w:eastAsia="Times New Roman" w:hAnsi="Times New Roman"/>
      <w:sz w:val="24"/>
      <w:szCs w:val="20"/>
      <w:lang w:eastAsia="ru-RU"/>
    </w:rPr>
  </w:style>
  <w:style w:type="paragraph" w:customStyle="1" w:styleId="rteindent1">
    <w:name w:val="rteindent1"/>
    <w:basedOn w:val="a"/>
    <w:rsid w:val="0058354C"/>
    <w:pPr>
      <w:spacing w:before="120" w:after="216" w:line="240" w:lineRule="auto"/>
      <w:ind w:left="349"/>
    </w:pPr>
    <w:rPr>
      <w:rFonts w:ascii="Times New Roman" w:eastAsia="Times New Roman" w:hAnsi="Times New Roman"/>
      <w:sz w:val="24"/>
      <w:szCs w:val="24"/>
      <w:lang w:eastAsia="ru-RU"/>
    </w:rPr>
  </w:style>
  <w:style w:type="character" w:customStyle="1" w:styleId="12pt">
    <w:name w:val="Основной текст + 12 pt"/>
    <w:rsid w:val="0058354C"/>
    <w:rPr>
      <w:rFonts w:ascii="Times New Roman" w:hAnsi="Times New Roman"/>
      <w:spacing w:val="-10"/>
      <w:sz w:val="24"/>
    </w:rPr>
  </w:style>
  <w:style w:type="paragraph" w:customStyle="1" w:styleId="rtecenter">
    <w:name w:val="rtecenter"/>
    <w:basedOn w:val="a"/>
    <w:rsid w:val="00FA6C6A"/>
    <w:pPr>
      <w:spacing w:before="120" w:after="216" w:line="240" w:lineRule="auto"/>
      <w:jc w:val="center"/>
    </w:pPr>
    <w:rPr>
      <w:rFonts w:ascii="Times New Roman" w:eastAsia="Times New Roman" w:hAnsi="Times New Roman"/>
      <w:sz w:val="24"/>
      <w:szCs w:val="24"/>
      <w:lang w:eastAsia="ru-RU"/>
    </w:rPr>
  </w:style>
  <w:style w:type="paragraph" w:customStyle="1" w:styleId="230">
    <w:name w:val="Основной текст (23)"/>
    <w:basedOn w:val="a"/>
    <w:link w:val="231"/>
    <w:rsid w:val="006A4DAE"/>
    <w:pPr>
      <w:shd w:val="clear" w:color="auto" w:fill="FFFFFF"/>
      <w:overflowPunct w:val="0"/>
      <w:autoSpaceDE w:val="0"/>
      <w:autoSpaceDN w:val="0"/>
      <w:adjustRightInd w:val="0"/>
      <w:spacing w:after="0" w:line="240" w:lineRule="atLeast"/>
      <w:textAlignment w:val="baseline"/>
    </w:pPr>
    <w:rPr>
      <w:rFonts w:ascii="Arial" w:eastAsia="Times New Roman" w:hAnsi="Arial"/>
      <w:sz w:val="19"/>
      <w:szCs w:val="20"/>
      <w:lang w:eastAsia="ru-RU"/>
    </w:rPr>
  </w:style>
  <w:style w:type="character" w:customStyle="1" w:styleId="231">
    <w:name w:val="Основной текст (23)_"/>
    <w:link w:val="230"/>
    <w:rsid w:val="006A4DAE"/>
    <w:rPr>
      <w:rFonts w:ascii="Arial" w:eastAsia="Times New Roman" w:hAnsi="Arial" w:cs="Times New Roman"/>
      <w:sz w:val="19"/>
      <w:szCs w:val="20"/>
      <w:shd w:val="clear" w:color="auto" w:fill="FFFFFF"/>
      <w:lang w:eastAsia="ru-RU"/>
    </w:rPr>
  </w:style>
  <w:style w:type="character" w:customStyle="1" w:styleId="272">
    <w:name w:val="Основной текст (27)_"/>
    <w:rsid w:val="006A4DAE"/>
    <w:rPr>
      <w:rFonts w:ascii="Arial" w:hAnsi="Arial"/>
      <w:sz w:val="14"/>
      <w:shd w:val="clear" w:color="auto" w:fill="FFFFFF"/>
    </w:rPr>
  </w:style>
  <w:style w:type="paragraph" w:customStyle="1" w:styleId="260">
    <w:name w:val="Основной текст (26)"/>
    <w:basedOn w:val="a"/>
    <w:link w:val="261"/>
    <w:rsid w:val="006A4DAE"/>
    <w:pPr>
      <w:shd w:val="clear" w:color="auto" w:fill="FFFFFF"/>
      <w:overflowPunct w:val="0"/>
      <w:autoSpaceDE w:val="0"/>
      <w:autoSpaceDN w:val="0"/>
      <w:adjustRightInd w:val="0"/>
      <w:spacing w:after="0" w:line="240" w:lineRule="atLeast"/>
      <w:jc w:val="center"/>
      <w:textAlignment w:val="baseline"/>
    </w:pPr>
    <w:rPr>
      <w:rFonts w:ascii="Arial" w:eastAsia="Times New Roman" w:hAnsi="Arial"/>
      <w:sz w:val="14"/>
      <w:szCs w:val="20"/>
      <w:lang w:eastAsia="ru-RU"/>
    </w:rPr>
  </w:style>
  <w:style w:type="character" w:customStyle="1" w:styleId="261">
    <w:name w:val="Основной текст (26)_"/>
    <w:link w:val="260"/>
    <w:rsid w:val="006A4DAE"/>
    <w:rPr>
      <w:rFonts w:ascii="Arial" w:eastAsia="Times New Roman" w:hAnsi="Arial" w:cs="Times New Roman"/>
      <w:sz w:val="14"/>
      <w:szCs w:val="20"/>
      <w:shd w:val="clear" w:color="auto" w:fill="FFFFFF"/>
      <w:lang w:eastAsia="ru-RU"/>
    </w:rPr>
  </w:style>
  <w:style w:type="character" w:customStyle="1" w:styleId="242">
    <w:name w:val="Основной текст (24)_"/>
    <w:link w:val="241"/>
    <w:rsid w:val="006A4DAE"/>
    <w:rPr>
      <w:rFonts w:ascii="Arial Narrow" w:hAnsi="Arial Narrow" w:cs="Arial Narrow"/>
      <w:b/>
      <w:bCs/>
      <w:sz w:val="15"/>
      <w:szCs w:val="15"/>
      <w:shd w:val="clear" w:color="auto" w:fill="FFFFFF"/>
    </w:rPr>
  </w:style>
  <w:style w:type="character" w:customStyle="1" w:styleId="282">
    <w:name w:val="Основной текст (28)_"/>
    <w:link w:val="281"/>
    <w:rsid w:val="006A4DAE"/>
    <w:rPr>
      <w:rFonts w:ascii="Lucida Sans Unicode" w:hAnsi="Lucida Sans Unicode" w:cs="Lucida Sans Unicode"/>
      <w:spacing w:val="10"/>
      <w:sz w:val="24"/>
      <w:szCs w:val="24"/>
      <w:shd w:val="clear" w:color="auto" w:fill="FFFFFF"/>
    </w:rPr>
  </w:style>
  <w:style w:type="character" w:customStyle="1" w:styleId="251">
    <w:name w:val="Основной текст (25)"/>
    <w:rsid w:val="006A4DAE"/>
    <w:rPr>
      <w:rFonts w:ascii="Arial" w:hAnsi="Arial"/>
      <w:sz w:val="10"/>
    </w:rPr>
  </w:style>
  <w:style w:type="paragraph" w:customStyle="1" w:styleId="5a">
    <w:name w:val="Основной текст (5)"/>
    <w:basedOn w:val="a"/>
    <w:link w:val="5b"/>
    <w:rsid w:val="003F2394"/>
    <w:pPr>
      <w:shd w:val="clear" w:color="auto" w:fill="FFFFFF"/>
      <w:overflowPunct w:val="0"/>
      <w:autoSpaceDE w:val="0"/>
      <w:autoSpaceDN w:val="0"/>
      <w:adjustRightInd w:val="0"/>
      <w:spacing w:after="0" w:line="240" w:lineRule="atLeast"/>
      <w:ind w:hanging="480"/>
      <w:textAlignment w:val="baseline"/>
    </w:pPr>
    <w:rPr>
      <w:rFonts w:ascii="Arial" w:eastAsia="Times New Roman" w:hAnsi="Arial"/>
      <w:spacing w:val="-10"/>
      <w:sz w:val="26"/>
      <w:szCs w:val="20"/>
      <w:lang w:eastAsia="ru-RU"/>
    </w:rPr>
  </w:style>
  <w:style w:type="character" w:customStyle="1" w:styleId="1c">
    <w:name w:val="Слабое выделение1"/>
    <w:rsid w:val="003F2394"/>
    <w:rPr>
      <w:i/>
      <w:color w:val="808080"/>
    </w:rPr>
  </w:style>
  <w:style w:type="paragraph" w:customStyle="1" w:styleId="74">
    <w:name w:val="Основной текст7"/>
    <w:basedOn w:val="a"/>
    <w:rsid w:val="003F2394"/>
    <w:pPr>
      <w:shd w:val="clear" w:color="auto" w:fill="FFFFFF"/>
      <w:overflowPunct w:val="0"/>
      <w:autoSpaceDE w:val="0"/>
      <w:autoSpaceDN w:val="0"/>
      <w:adjustRightInd w:val="0"/>
      <w:spacing w:after="0" w:line="240" w:lineRule="atLeast"/>
      <w:ind w:hanging="2640"/>
      <w:textAlignment w:val="baseline"/>
    </w:pPr>
    <w:rPr>
      <w:rFonts w:ascii="Arial Narrow" w:eastAsia="Times New Roman" w:hAnsi="Arial Narrow"/>
      <w:color w:val="000000"/>
      <w:sz w:val="15"/>
      <w:szCs w:val="20"/>
      <w:lang w:eastAsia="ru-RU"/>
    </w:rPr>
  </w:style>
  <w:style w:type="character" w:customStyle="1" w:styleId="30">
    <w:name w:val="Заголовок 3 Знак"/>
    <w:link w:val="3"/>
    <w:uiPriority w:val="9"/>
    <w:rsid w:val="00BA29CE"/>
    <w:rPr>
      <w:rFonts w:ascii="Cambria" w:eastAsia="Times New Roman" w:hAnsi="Cambria" w:cs="Times New Roman"/>
      <w:color w:val="243F60"/>
      <w:sz w:val="24"/>
      <w:szCs w:val="24"/>
      <w:lang w:eastAsia="ru-RU"/>
    </w:rPr>
  </w:style>
  <w:style w:type="paragraph" w:customStyle="1" w:styleId="49">
    <w:name w:val="Заголовок №4"/>
    <w:basedOn w:val="a"/>
    <w:link w:val="4a"/>
    <w:rsid w:val="000904A1"/>
    <w:pPr>
      <w:shd w:val="clear" w:color="auto" w:fill="FFFFFF"/>
      <w:overflowPunct w:val="0"/>
      <w:autoSpaceDE w:val="0"/>
      <w:autoSpaceDN w:val="0"/>
      <w:adjustRightInd w:val="0"/>
      <w:spacing w:before="300" w:after="0" w:line="240" w:lineRule="atLeast"/>
      <w:textAlignment w:val="baseline"/>
    </w:pPr>
    <w:rPr>
      <w:rFonts w:ascii="Arial" w:eastAsia="Times New Roman" w:hAnsi="Arial"/>
      <w:spacing w:val="-20"/>
      <w:sz w:val="85"/>
      <w:szCs w:val="20"/>
      <w:lang w:eastAsia="ru-RU"/>
    </w:rPr>
  </w:style>
  <w:style w:type="character" w:customStyle="1" w:styleId="4a">
    <w:name w:val="Заголовок №4_"/>
    <w:link w:val="49"/>
    <w:rsid w:val="000904A1"/>
    <w:rPr>
      <w:rFonts w:ascii="Arial" w:eastAsia="Times New Roman" w:hAnsi="Arial" w:cs="Times New Roman"/>
      <w:spacing w:val="-20"/>
      <w:sz w:val="85"/>
      <w:szCs w:val="20"/>
      <w:shd w:val="clear" w:color="auto" w:fill="FFFFFF"/>
      <w:lang w:eastAsia="ru-RU"/>
    </w:rPr>
  </w:style>
  <w:style w:type="paragraph" w:customStyle="1" w:styleId="rteleft">
    <w:name w:val="rteleft"/>
    <w:basedOn w:val="a"/>
    <w:rsid w:val="00CE35D9"/>
    <w:pPr>
      <w:spacing w:before="120" w:after="216" w:line="240" w:lineRule="auto"/>
    </w:pPr>
    <w:rPr>
      <w:rFonts w:ascii="Times New Roman" w:eastAsia="Times New Roman" w:hAnsi="Times New Roman"/>
      <w:sz w:val="24"/>
      <w:szCs w:val="24"/>
      <w:lang w:eastAsia="ru-RU"/>
    </w:rPr>
  </w:style>
  <w:style w:type="character" w:customStyle="1" w:styleId="114">
    <w:name w:val="Основной текст (11) + Не курсив"/>
    <w:rsid w:val="004539AF"/>
    <w:rPr>
      <w:rFonts w:ascii="Times New Roman" w:eastAsia="Times New Roman" w:hAnsi="Times New Roman" w:cs="Times New Roman"/>
      <w:b w:val="0"/>
      <w:bCs w:val="0"/>
      <w:i/>
      <w:iCs/>
      <w:smallCaps w:val="0"/>
      <w:strike w:val="0"/>
      <w:spacing w:val="0"/>
      <w:sz w:val="17"/>
      <w:szCs w:val="17"/>
    </w:rPr>
  </w:style>
  <w:style w:type="paragraph" w:customStyle="1" w:styleId="txt1">
    <w:name w:val="txt1"/>
    <w:basedOn w:val="a"/>
    <w:rsid w:val="00185C06"/>
    <w:pPr>
      <w:spacing w:before="100" w:beforeAutospacing="1" w:after="100" w:afterAutospacing="1" w:line="432" w:lineRule="auto"/>
      <w:ind w:firstLine="720"/>
      <w:jc w:val="both"/>
    </w:pPr>
    <w:rPr>
      <w:rFonts w:ascii="Times New Roman" w:eastAsia="Times New Roman" w:hAnsi="Times New Roman"/>
      <w:sz w:val="24"/>
      <w:szCs w:val="24"/>
      <w:lang w:eastAsia="ru-RU"/>
    </w:rPr>
  </w:style>
  <w:style w:type="character" w:customStyle="1" w:styleId="115">
    <w:name w:val="Основной текст + Курсив11"/>
    <w:aliases w:val="Интервал -1 pt1"/>
    <w:uiPriority w:val="99"/>
    <w:rsid w:val="00185C06"/>
    <w:rPr>
      <w:rFonts w:ascii="Arial Narrow" w:hAnsi="Arial Narrow" w:cs="Arial Narrow"/>
      <w:i/>
      <w:iCs/>
      <w:spacing w:val="0"/>
      <w:sz w:val="17"/>
      <w:szCs w:val="17"/>
    </w:rPr>
  </w:style>
  <w:style w:type="character" w:customStyle="1" w:styleId="2f1">
    <w:name w:val="Основной текст + Малые прописные2"/>
    <w:uiPriority w:val="99"/>
    <w:rsid w:val="00185C06"/>
    <w:rPr>
      <w:rFonts w:ascii="Arial Narrow" w:hAnsi="Arial Narrow" w:cs="Arial Narrow"/>
      <w:smallCaps/>
      <w:spacing w:val="0"/>
      <w:w w:val="100"/>
      <w:sz w:val="17"/>
      <w:szCs w:val="17"/>
      <w:shd w:val="clear" w:color="auto" w:fill="FFFFFF"/>
    </w:rPr>
  </w:style>
  <w:style w:type="character" w:customStyle="1" w:styleId="3c">
    <w:name w:val="Заголовок №3_"/>
    <w:link w:val="3b"/>
    <w:rsid w:val="004050DA"/>
    <w:rPr>
      <w:rFonts w:ascii="Times New Roman" w:hAnsi="Times New Roman" w:cs="Times New Roman"/>
      <w:spacing w:val="40"/>
      <w:sz w:val="52"/>
      <w:szCs w:val="52"/>
      <w:shd w:val="clear" w:color="auto" w:fill="FFFFFF"/>
    </w:rPr>
  </w:style>
  <w:style w:type="character" w:customStyle="1" w:styleId="35">
    <w:name w:val="Основной текст (3)_"/>
    <w:link w:val="34"/>
    <w:rsid w:val="004050DA"/>
    <w:rPr>
      <w:rFonts w:ascii="Gungsuh" w:eastAsia="Gungsuh" w:hAnsi="Times New Roman" w:cs="Gungsuh"/>
      <w:spacing w:val="20"/>
      <w:sz w:val="35"/>
      <w:szCs w:val="35"/>
      <w:shd w:val="clear" w:color="auto" w:fill="FFFFFF"/>
    </w:rPr>
  </w:style>
  <w:style w:type="character" w:customStyle="1" w:styleId="1a">
    <w:name w:val="Заголовок №1_"/>
    <w:link w:val="19"/>
    <w:rsid w:val="004050DA"/>
    <w:rPr>
      <w:rFonts w:ascii="Segoe UI" w:hAnsi="Segoe UI" w:cs="Segoe UI"/>
      <w:sz w:val="20"/>
      <w:szCs w:val="20"/>
      <w:shd w:val="clear" w:color="auto" w:fill="FFFFFF"/>
    </w:rPr>
  </w:style>
  <w:style w:type="character" w:customStyle="1" w:styleId="320">
    <w:name w:val="Заголовок №3 (2)_"/>
    <w:link w:val="321"/>
    <w:rsid w:val="004050DA"/>
    <w:rPr>
      <w:rFonts w:ascii="Microsoft Sans Serif" w:eastAsia="Microsoft Sans Serif" w:hAnsi="Microsoft Sans Serif" w:cs="Microsoft Sans Serif"/>
      <w:sz w:val="11"/>
      <w:szCs w:val="11"/>
      <w:shd w:val="clear" w:color="auto" w:fill="FFFFFF"/>
    </w:rPr>
  </w:style>
  <w:style w:type="paragraph" w:customStyle="1" w:styleId="321">
    <w:name w:val="Заголовок №3 (2)"/>
    <w:basedOn w:val="a"/>
    <w:link w:val="320"/>
    <w:rsid w:val="004050DA"/>
    <w:pPr>
      <w:shd w:val="clear" w:color="auto" w:fill="FFFFFF"/>
      <w:spacing w:after="0" w:line="221" w:lineRule="exact"/>
      <w:ind w:firstLine="280"/>
      <w:outlineLvl w:val="2"/>
    </w:pPr>
    <w:rPr>
      <w:rFonts w:ascii="Microsoft Sans Serif" w:eastAsia="Microsoft Sans Serif" w:hAnsi="Microsoft Sans Serif" w:cs="Microsoft Sans Serif"/>
      <w:sz w:val="11"/>
      <w:szCs w:val="11"/>
    </w:rPr>
  </w:style>
  <w:style w:type="character" w:customStyle="1" w:styleId="highlight">
    <w:name w:val="highlight"/>
    <w:basedOn w:val="a0"/>
    <w:rsid w:val="004050DA"/>
  </w:style>
  <w:style w:type="character" w:customStyle="1" w:styleId="46">
    <w:name w:val="Основной текст (4)_"/>
    <w:link w:val="45"/>
    <w:uiPriority w:val="99"/>
    <w:rsid w:val="004050DA"/>
    <w:rPr>
      <w:rFonts w:ascii="Gungsuh" w:eastAsia="Gungsuh" w:hAnsi="Times New Roman" w:cs="Gungsuh"/>
      <w:sz w:val="13"/>
      <w:szCs w:val="13"/>
      <w:shd w:val="clear" w:color="auto" w:fill="FFFFFF"/>
    </w:rPr>
  </w:style>
  <w:style w:type="character" w:customStyle="1" w:styleId="38">
    <w:name w:val="Подпись к картинке (3)_"/>
    <w:link w:val="37"/>
    <w:uiPriority w:val="99"/>
    <w:rsid w:val="004050DA"/>
    <w:rPr>
      <w:rFonts w:ascii="Arial Narrow" w:hAnsi="Arial Narrow" w:cs="Arial Narrow"/>
      <w:sz w:val="16"/>
      <w:szCs w:val="16"/>
      <w:shd w:val="clear" w:color="auto" w:fill="FFFFFF"/>
    </w:rPr>
  </w:style>
  <w:style w:type="character" w:customStyle="1" w:styleId="2d">
    <w:name w:val="Подпись к картинке (2)_"/>
    <w:link w:val="2c"/>
    <w:uiPriority w:val="99"/>
    <w:rsid w:val="004050DA"/>
    <w:rPr>
      <w:rFonts w:ascii="MS Reference Sans Serif" w:hAnsi="MS Reference Sans Serif" w:cs="MS Reference Sans Serif"/>
      <w:i/>
      <w:iCs/>
      <w:sz w:val="13"/>
      <w:szCs w:val="13"/>
      <w:shd w:val="clear" w:color="auto" w:fill="FFFFFF"/>
    </w:rPr>
  </w:style>
  <w:style w:type="character" w:customStyle="1" w:styleId="highlight1">
    <w:name w:val="highlight1"/>
    <w:basedOn w:val="a0"/>
    <w:rsid w:val="00150BD8"/>
    <w:rPr>
      <w:b/>
      <w:bCs/>
    </w:rPr>
  </w:style>
  <w:style w:type="character" w:customStyle="1" w:styleId="noprint">
    <w:name w:val="noprint"/>
    <w:basedOn w:val="a0"/>
    <w:rsid w:val="00150BD8"/>
  </w:style>
  <w:style w:type="character" w:customStyle="1" w:styleId="20">
    <w:name w:val="Заголовок 2 Знак"/>
    <w:basedOn w:val="a0"/>
    <w:link w:val="2"/>
    <w:uiPriority w:val="9"/>
    <w:rsid w:val="00A4146F"/>
    <w:rPr>
      <w:rFonts w:asciiTheme="majorHAnsi" w:eastAsiaTheme="majorEastAsia" w:hAnsiTheme="majorHAnsi" w:cstheme="majorBidi"/>
      <w:color w:val="365F91" w:themeColor="accent1" w:themeShade="BF"/>
      <w:sz w:val="26"/>
      <w:szCs w:val="26"/>
      <w:lang w:eastAsia="en-US"/>
    </w:rPr>
  </w:style>
  <w:style w:type="paragraph" w:customStyle="1" w:styleId="paragraphstyle">
    <w:name w:val="paragraphstyle"/>
    <w:basedOn w:val="a"/>
    <w:rsid w:val="00E931FD"/>
    <w:pPr>
      <w:spacing w:before="100" w:beforeAutospacing="1" w:after="384" w:line="432" w:lineRule="auto"/>
    </w:pPr>
    <w:rPr>
      <w:rFonts w:ascii="Times New Roman" w:eastAsia="Times New Roman" w:hAnsi="Times New Roman"/>
      <w:sz w:val="24"/>
      <w:szCs w:val="24"/>
      <w:lang w:eastAsia="ru-RU"/>
    </w:rPr>
  </w:style>
  <w:style w:type="character" w:customStyle="1" w:styleId="40">
    <w:name w:val="Заголовок 4 Знак"/>
    <w:basedOn w:val="a0"/>
    <w:link w:val="4"/>
    <w:uiPriority w:val="9"/>
    <w:rsid w:val="003628CD"/>
    <w:rPr>
      <w:rFonts w:asciiTheme="majorHAnsi" w:eastAsiaTheme="majorEastAsia" w:hAnsiTheme="majorHAnsi" w:cstheme="majorBidi"/>
      <w:i/>
      <w:iCs/>
      <w:color w:val="365F91" w:themeColor="accent1" w:themeShade="BF"/>
      <w:sz w:val="22"/>
      <w:szCs w:val="22"/>
      <w:lang w:eastAsia="en-US"/>
    </w:rPr>
  </w:style>
  <w:style w:type="character" w:customStyle="1" w:styleId="184">
    <w:name w:val="Основной текст + Курсив18"/>
    <w:basedOn w:val="a0"/>
    <w:uiPriority w:val="99"/>
    <w:rsid w:val="000E63D3"/>
    <w:rPr>
      <w:rFonts w:ascii="Arial Narrow" w:hAnsi="Arial Narrow" w:cs="Arial Narrow"/>
      <w:i/>
      <w:iCs/>
      <w:spacing w:val="0"/>
      <w:sz w:val="18"/>
      <w:szCs w:val="18"/>
      <w:shd w:val="clear" w:color="auto" w:fill="FFFFFF"/>
    </w:rPr>
  </w:style>
  <w:style w:type="character" w:customStyle="1" w:styleId="65">
    <w:name w:val="Основной текст (6)_"/>
    <w:basedOn w:val="a0"/>
    <w:link w:val="66"/>
    <w:uiPriority w:val="99"/>
    <w:locked/>
    <w:rsid w:val="000E63D3"/>
    <w:rPr>
      <w:rFonts w:ascii="Times New Roman" w:hAnsi="Times New Roman"/>
      <w:b/>
      <w:bCs/>
      <w:shd w:val="clear" w:color="auto" w:fill="FFFFFF"/>
    </w:rPr>
  </w:style>
  <w:style w:type="paragraph" w:customStyle="1" w:styleId="66">
    <w:name w:val="Основной текст (6)"/>
    <w:basedOn w:val="a"/>
    <w:link w:val="65"/>
    <w:uiPriority w:val="99"/>
    <w:rsid w:val="000E63D3"/>
    <w:pPr>
      <w:shd w:val="clear" w:color="auto" w:fill="FFFFFF"/>
      <w:spacing w:before="600" w:after="0" w:line="240" w:lineRule="exact"/>
      <w:jc w:val="center"/>
    </w:pPr>
    <w:rPr>
      <w:rFonts w:ascii="Times New Roman" w:hAnsi="Times New Roman"/>
      <w:b/>
      <w:bCs/>
      <w:sz w:val="20"/>
      <w:szCs w:val="20"/>
      <w:lang w:eastAsia="ru-RU"/>
    </w:rPr>
  </w:style>
  <w:style w:type="character" w:customStyle="1" w:styleId="0pt0">
    <w:name w:val="Основной текст + Полужирный;Интервал 0 pt"/>
    <w:basedOn w:val="aff"/>
    <w:rsid w:val="000E63D3"/>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affb">
    <w:name w:val="Основной текст + Полужирный;Курсив"/>
    <w:basedOn w:val="aff"/>
    <w:rsid w:val="000E63D3"/>
    <w:rPr>
      <w:rFonts w:ascii="Arial Narrow" w:eastAsia="Arial Narrow" w:hAnsi="Arial Narrow" w:cs="Arial Narrow"/>
      <w:b/>
      <w:bCs/>
      <w:i/>
      <w:iCs/>
      <w:smallCaps w:val="0"/>
      <w:strike w:val="0"/>
      <w:spacing w:val="0"/>
      <w:sz w:val="18"/>
      <w:szCs w:val="18"/>
      <w:shd w:val="clear" w:color="auto" w:fill="FFFFFF"/>
    </w:rPr>
  </w:style>
  <w:style w:type="character" w:customStyle="1" w:styleId="aff3">
    <w:name w:val="Сноска_"/>
    <w:basedOn w:val="a0"/>
    <w:link w:val="aff2"/>
    <w:uiPriority w:val="99"/>
    <w:rsid w:val="00810511"/>
    <w:rPr>
      <w:rFonts w:ascii="Lucida Sans Unicode" w:hAnsi="Lucida Sans Unicode" w:cs="Lucida Sans Unicode"/>
      <w:i/>
      <w:iCs/>
      <w:noProof/>
      <w:sz w:val="13"/>
      <w:szCs w:val="13"/>
      <w:shd w:val="clear" w:color="auto" w:fill="FFFFFF"/>
      <w:lang w:val="en-US" w:eastAsia="en-US"/>
    </w:rPr>
  </w:style>
  <w:style w:type="character" w:customStyle="1" w:styleId="85pt">
    <w:name w:val="Сноска + 8;5 pt"/>
    <w:basedOn w:val="aff3"/>
    <w:rsid w:val="00810511"/>
    <w:rPr>
      <w:rFonts w:ascii="Arial" w:eastAsia="Arial" w:hAnsi="Arial" w:cs="Arial"/>
      <w:b w:val="0"/>
      <w:bCs w:val="0"/>
      <w:i w:val="0"/>
      <w:iCs w:val="0"/>
      <w:smallCaps w:val="0"/>
      <w:strike w:val="0"/>
      <w:noProof/>
      <w:spacing w:val="0"/>
      <w:sz w:val="17"/>
      <w:szCs w:val="17"/>
      <w:shd w:val="clear" w:color="auto" w:fill="FFFFFF"/>
      <w:lang w:val="en-US" w:eastAsia="en-US"/>
    </w:rPr>
  </w:style>
  <w:style w:type="character" w:customStyle="1" w:styleId="selected1">
    <w:name w:val="selected1"/>
    <w:basedOn w:val="a0"/>
    <w:rsid w:val="00180F83"/>
    <w:rPr>
      <w:color w:val="05A505"/>
    </w:rPr>
  </w:style>
  <w:style w:type="paragraph" w:customStyle="1" w:styleId="1010">
    <w:name w:val="Основной текст (10)1"/>
    <w:basedOn w:val="a"/>
    <w:uiPriority w:val="99"/>
    <w:rsid w:val="00361643"/>
    <w:pPr>
      <w:shd w:val="clear" w:color="auto" w:fill="FFFFFF"/>
      <w:spacing w:after="0" w:line="240" w:lineRule="atLeast"/>
      <w:ind w:hanging="260"/>
      <w:jc w:val="both"/>
    </w:pPr>
    <w:rPr>
      <w:rFonts w:ascii="Arial Narrow" w:eastAsia="Arial Unicode MS" w:hAnsi="Arial Narrow" w:cs="Arial Narrow"/>
      <w:i/>
      <w:iCs/>
      <w:sz w:val="18"/>
      <w:szCs w:val="18"/>
      <w:lang w:eastAsia="ru-RU"/>
    </w:rPr>
  </w:style>
  <w:style w:type="character" w:customStyle="1" w:styleId="1d">
    <w:name w:val="Основной текст Знак1"/>
    <w:basedOn w:val="a0"/>
    <w:uiPriority w:val="99"/>
    <w:rsid w:val="00361643"/>
    <w:rPr>
      <w:rFonts w:ascii="Arial Narrow" w:hAnsi="Arial Narrow" w:cs="Arial Narrow"/>
      <w:sz w:val="18"/>
      <w:szCs w:val="18"/>
      <w:shd w:val="clear" w:color="auto" w:fill="FFFFFF"/>
    </w:rPr>
  </w:style>
  <w:style w:type="character" w:customStyle="1" w:styleId="4b">
    <w:name w:val="Основной текст (4) + Не курсив"/>
    <w:basedOn w:val="46"/>
    <w:rsid w:val="0092785F"/>
    <w:rPr>
      <w:rFonts w:ascii="Arial Narrow" w:eastAsia="Arial Narrow" w:hAnsi="Arial Narrow" w:cs="Arial Narrow"/>
      <w:b w:val="0"/>
      <w:bCs w:val="0"/>
      <w:i/>
      <w:iCs/>
      <w:smallCaps w:val="0"/>
      <w:strike w:val="0"/>
      <w:spacing w:val="0"/>
      <w:sz w:val="18"/>
      <w:szCs w:val="18"/>
      <w:shd w:val="clear" w:color="auto" w:fill="FFFFFF"/>
    </w:rPr>
  </w:style>
  <w:style w:type="paragraph" w:styleId="affc">
    <w:name w:val="List Paragraph"/>
    <w:basedOn w:val="a"/>
    <w:uiPriority w:val="34"/>
    <w:qFormat/>
    <w:rsid w:val="00D067C1"/>
    <w:pPr>
      <w:ind w:left="720"/>
      <w:contextualSpacing/>
    </w:pPr>
  </w:style>
  <w:style w:type="character" w:customStyle="1" w:styleId="252">
    <w:name w:val="Основной текст + Курсив25"/>
    <w:basedOn w:val="a0"/>
    <w:uiPriority w:val="99"/>
    <w:rsid w:val="006D155E"/>
    <w:rPr>
      <w:rFonts w:ascii="Arial Narrow" w:hAnsi="Arial Narrow" w:cs="Arial Narrow"/>
      <w:i/>
      <w:iCs/>
      <w:spacing w:val="0"/>
      <w:sz w:val="18"/>
      <w:szCs w:val="18"/>
      <w:shd w:val="clear" w:color="auto" w:fill="FFFFFF"/>
    </w:rPr>
  </w:style>
  <w:style w:type="character" w:customStyle="1" w:styleId="380">
    <w:name w:val="Основной текст + Полужирный38"/>
    <w:basedOn w:val="a0"/>
    <w:uiPriority w:val="99"/>
    <w:rsid w:val="006D155E"/>
    <w:rPr>
      <w:rFonts w:ascii="Arial Narrow" w:hAnsi="Arial Narrow" w:cs="Arial Narrow"/>
      <w:b/>
      <w:bCs/>
      <w:spacing w:val="0"/>
      <w:sz w:val="18"/>
      <w:szCs w:val="18"/>
      <w:shd w:val="clear" w:color="auto" w:fill="FFFFFF"/>
    </w:rPr>
  </w:style>
  <w:style w:type="character" w:customStyle="1" w:styleId="12pt70">
    <w:name w:val="Основной текст + 12 pt;Масштаб 70%"/>
    <w:basedOn w:val="aff"/>
    <w:rsid w:val="00B4520E"/>
    <w:rPr>
      <w:rFonts w:ascii="Arial" w:eastAsia="Arial" w:hAnsi="Arial" w:cs="Arial"/>
      <w:b w:val="0"/>
      <w:bCs w:val="0"/>
      <w:i w:val="0"/>
      <w:iCs w:val="0"/>
      <w:smallCaps w:val="0"/>
      <w:strike w:val="0"/>
      <w:spacing w:val="0"/>
      <w:w w:val="70"/>
      <w:sz w:val="24"/>
      <w:szCs w:val="24"/>
      <w:shd w:val="clear" w:color="auto" w:fill="FFFFFF"/>
    </w:rPr>
  </w:style>
  <w:style w:type="character" w:customStyle="1" w:styleId="ucoz-forum-post">
    <w:name w:val="ucoz-forum-post"/>
    <w:basedOn w:val="a0"/>
    <w:rsid w:val="00F722EC"/>
  </w:style>
  <w:style w:type="character" w:customStyle="1" w:styleId="Bodytext2">
    <w:name w:val="Body text (2)"/>
    <w:basedOn w:val="a0"/>
    <w:rsid w:val="005A361E"/>
    <w:rPr>
      <w:rFonts w:ascii="Times New Roman" w:eastAsia="Times New Roman" w:hAnsi="Times New Roman" w:cs="Times New Roman"/>
      <w:b w:val="0"/>
      <w:bCs w:val="0"/>
      <w:i w:val="0"/>
      <w:iCs w:val="0"/>
      <w:smallCaps w:val="0"/>
      <w:strike w:val="0"/>
      <w:spacing w:val="0"/>
      <w:sz w:val="18"/>
      <w:szCs w:val="18"/>
    </w:rPr>
  </w:style>
  <w:style w:type="character" w:customStyle="1" w:styleId="Bodytext3">
    <w:name w:val="Body text (3)"/>
    <w:basedOn w:val="a0"/>
    <w:rsid w:val="005A361E"/>
    <w:rPr>
      <w:rFonts w:ascii="Times New Roman" w:eastAsia="Times New Roman" w:hAnsi="Times New Roman" w:cs="Times New Roman"/>
      <w:b w:val="0"/>
      <w:bCs w:val="0"/>
      <w:i w:val="0"/>
      <w:iCs w:val="0"/>
      <w:smallCaps w:val="0"/>
      <w:strike w:val="0"/>
      <w:spacing w:val="0"/>
      <w:sz w:val="18"/>
      <w:szCs w:val="18"/>
    </w:rPr>
  </w:style>
  <w:style w:type="character" w:customStyle="1" w:styleId="Bodytext">
    <w:name w:val="Body text_"/>
    <w:basedOn w:val="a0"/>
    <w:link w:val="620"/>
    <w:rsid w:val="005A361E"/>
    <w:rPr>
      <w:rFonts w:ascii="Times New Roman" w:eastAsia="Times New Roman" w:hAnsi="Times New Roman"/>
      <w:shd w:val="clear" w:color="auto" w:fill="FFFFFF"/>
    </w:rPr>
  </w:style>
  <w:style w:type="paragraph" w:customStyle="1" w:styleId="620">
    <w:name w:val="Основной текст62"/>
    <w:basedOn w:val="a"/>
    <w:link w:val="Bodytext"/>
    <w:rsid w:val="005A361E"/>
    <w:pPr>
      <w:shd w:val="clear" w:color="auto" w:fill="FFFFFF"/>
      <w:spacing w:before="420" w:after="0" w:line="216" w:lineRule="exact"/>
      <w:jc w:val="both"/>
    </w:pPr>
    <w:rPr>
      <w:rFonts w:ascii="Times New Roman" w:eastAsia="Times New Roman" w:hAnsi="Times New Roman"/>
      <w:sz w:val="20"/>
      <w:szCs w:val="20"/>
      <w:lang w:eastAsia="ru-RU"/>
    </w:rPr>
  </w:style>
  <w:style w:type="character" w:customStyle="1" w:styleId="Heading3">
    <w:name w:val="Heading #3"/>
    <w:basedOn w:val="a0"/>
    <w:rsid w:val="005A361E"/>
    <w:rPr>
      <w:rFonts w:ascii="Times New Roman" w:eastAsia="Times New Roman" w:hAnsi="Times New Roman" w:cs="Times New Roman"/>
      <w:b w:val="0"/>
      <w:bCs w:val="0"/>
      <w:i w:val="0"/>
      <w:iCs w:val="0"/>
      <w:smallCaps w:val="0"/>
      <w:strike w:val="0"/>
      <w:spacing w:val="0"/>
      <w:sz w:val="23"/>
      <w:szCs w:val="23"/>
    </w:rPr>
  </w:style>
  <w:style w:type="character" w:customStyle="1" w:styleId="Footnote">
    <w:name w:val="Footnote"/>
    <w:basedOn w:val="a0"/>
    <w:rsid w:val="005A361E"/>
    <w:rPr>
      <w:rFonts w:ascii="Times New Roman" w:eastAsia="Times New Roman" w:hAnsi="Times New Roman" w:cs="Times New Roman"/>
      <w:b w:val="0"/>
      <w:bCs w:val="0"/>
      <w:i w:val="0"/>
      <w:iCs w:val="0"/>
      <w:smallCaps w:val="0"/>
      <w:strike w:val="0"/>
      <w:spacing w:val="0"/>
      <w:sz w:val="18"/>
      <w:szCs w:val="18"/>
    </w:rPr>
  </w:style>
  <w:style w:type="character" w:customStyle="1" w:styleId="67">
    <w:name w:val="Основной текст6"/>
    <w:basedOn w:val="Bodytext"/>
    <w:rsid w:val="005A361E"/>
    <w:rPr>
      <w:rFonts w:ascii="Times New Roman" w:eastAsia="Times New Roman" w:hAnsi="Times New Roman"/>
      <w:shd w:val="clear" w:color="auto" w:fill="FFFFFF"/>
    </w:rPr>
  </w:style>
  <w:style w:type="character" w:customStyle="1" w:styleId="Heading4">
    <w:name w:val="Heading #4"/>
    <w:basedOn w:val="a0"/>
    <w:rsid w:val="005A361E"/>
    <w:rPr>
      <w:rFonts w:ascii="Times New Roman" w:eastAsia="Times New Roman" w:hAnsi="Times New Roman" w:cs="Times New Roman"/>
      <w:b w:val="0"/>
      <w:bCs w:val="0"/>
      <w:i w:val="0"/>
      <w:iCs w:val="0"/>
      <w:smallCaps w:val="0"/>
      <w:strike w:val="0"/>
      <w:spacing w:val="0"/>
      <w:sz w:val="20"/>
      <w:szCs w:val="20"/>
    </w:rPr>
  </w:style>
  <w:style w:type="character" w:customStyle="1" w:styleId="BodytextItalic">
    <w:name w:val="Body text + Italic"/>
    <w:basedOn w:val="Bodytext"/>
    <w:rsid w:val="005A361E"/>
    <w:rPr>
      <w:rFonts w:ascii="Times New Roman" w:eastAsia="Times New Roman" w:hAnsi="Times New Roman"/>
      <w:i/>
      <w:iCs/>
      <w:shd w:val="clear" w:color="auto" w:fill="FFFFFF"/>
    </w:rPr>
  </w:style>
  <w:style w:type="character" w:customStyle="1" w:styleId="93">
    <w:name w:val="Основной текст9"/>
    <w:basedOn w:val="Bodytext"/>
    <w:rsid w:val="005A361E"/>
    <w:rPr>
      <w:rFonts w:ascii="Times New Roman" w:eastAsia="Times New Roman" w:hAnsi="Times New Roman"/>
      <w:shd w:val="clear" w:color="auto" w:fill="FFFFFF"/>
    </w:rPr>
  </w:style>
  <w:style w:type="character" w:customStyle="1" w:styleId="Bodytext211pt">
    <w:name w:val="Body text (2) + 11 pt"/>
    <w:basedOn w:val="a0"/>
    <w:rsid w:val="005A361E"/>
    <w:rPr>
      <w:rFonts w:ascii="Times New Roman" w:eastAsia="Times New Roman" w:hAnsi="Times New Roman" w:cs="Times New Roman"/>
      <w:b w:val="0"/>
      <w:bCs w:val="0"/>
      <w:i w:val="0"/>
      <w:iCs w:val="0"/>
      <w:smallCaps w:val="0"/>
      <w:strike w:val="0"/>
      <w:spacing w:val="0"/>
      <w:sz w:val="22"/>
      <w:szCs w:val="22"/>
    </w:rPr>
  </w:style>
  <w:style w:type="character" w:customStyle="1" w:styleId="2a">
    <w:name w:val="Основной текст (2)_"/>
    <w:basedOn w:val="a0"/>
    <w:link w:val="28"/>
    <w:uiPriority w:val="99"/>
    <w:locked/>
    <w:rsid w:val="009E4F90"/>
    <w:rPr>
      <w:rFonts w:ascii="Segoe UI" w:hAnsi="Segoe UI" w:cs="Segoe UI"/>
      <w:sz w:val="13"/>
      <w:szCs w:val="13"/>
      <w:shd w:val="clear" w:color="auto" w:fill="FFFFFF"/>
      <w:lang w:eastAsia="en-US"/>
    </w:rPr>
  </w:style>
  <w:style w:type="character" w:customStyle="1" w:styleId="2f2">
    <w:name w:val="Основной текст (2) + Не курсив"/>
    <w:basedOn w:val="2a"/>
    <w:uiPriority w:val="99"/>
    <w:rsid w:val="009E4F90"/>
    <w:rPr>
      <w:rFonts w:ascii="Arial" w:eastAsia="Times New Roman" w:hAnsi="Arial" w:cs="Arial"/>
      <w:b/>
      <w:bCs/>
      <w:i w:val="0"/>
      <w:iCs w:val="0"/>
      <w:smallCaps w:val="0"/>
      <w:strike w:val="0"/>
      <w:noProof/>
      <w:spacing w:val="0"/>
      <w:sz w:val="13"/>
      <w:szCs w:val="13"/>
      <w:shd w:val="clear" w:color="auto" w:fill="FFFFFF"/>
      <w:lang w:eastAsia="en-US"/>
    </w:rPr>
  </w:style>
  <w:style w:type="character" w:customStyle="1" w:styleId="26pt">
    <w:name w:val="Основной текст (2) + 6 pt"/>
    <w:basedOn w:val="2a"/>
    <w:uiPriority w:val="99"/>
    <w:rsid w:val="009E4F90"/>
    <w:rPr>
      <w:rFonts w:ascii="Century Gothic" w:eastAsia="Century Gothic" w:hAnsi="Century Gothic" w:cs="Century Gothic"/>
      <w:b/>
      <w:bCs/>
      <w:i w:val="0"/>
      <w:iCs w:val="0"/>
      <w:smallCaps w:val="0"/>
      <w:strike w:val="0"/>
      <w:spacing w:val="0"/>
      <w:sz w:val="12"/>
      <w:szCs w:val="12"/>
      <w:shd w:val="clear" w:color="auto" w:fill="FFFFFF"/>
      <w:lang w:eastAsia="en-US"/>
    </w:rPr>
  </w:style>
  <w:style w:type="paragraph" w:customStyle="1" w:styleId="book">
    <w:name w:val="book"/>
    <w:basedOn w:val="a"/>
    <w:rsid w:val="002C03D8"/>
    <w:pPr>
      <w:spacing w:before="100" w:beforeAutospacing="1" w:after="100" w:afterAutospacing="1" w:line="240" w:lineRule="auto"/>
    </w:pPr>
    <w:rPr>
      <w:rFonts w:ascii="Times New Roman" w:eastAsia="Times New Roman" w:hAnsi="Times New Roman"/>
      <w:color w:val="000000"/>
      <w:sz w:val="24"/>
      <w:szCs w:val="24"/>
      <w:lang w:eastAsia="ru-RU"/>
    </w:rPr>
  </w:style>
  <w:style w:type="character" w:customStyle="1" w:styleId="40pt">
    <w:name w:val="Основной текст (4) + Полужирный;Интервал 0 pt"/>
    <w:basedOn w:val="46"/>
    <w:rsid w:val="00CE750F"/>
    <w:rPr>
      <w:rFonts w:ascii="Arial Narrow" w:eastAsia="Arial Narrow" w:hAnsi="Arial Narrow" w:cs="Arial Narrow"/>
      <w:b/>
      <w:bCs/>
      <w:i w:val="0"/>
      <w:iCs w:val="0"/>
      <w:smallCaps w:val="0"/>
      <w:strike w:val="0"/>
      <w:spacing w:val="-10"/>
      <w:sz w:val="18"/>
      <w:szCs w:val="18"/>
      <w:shd w:val="clear" w:color="auto" w:fill="FFFFFF"/>
    </w:rPr>
  </w:style>
  <w:style w:type="character" w:customStyle="1" w:styleId="affd">
    <w:name w:val="Оглавление_"/>
    <w:basedOn w:val="a0"/>
    <w:uiPriority w:val="99"/>
    <w:rsid w:val="0047154B"/>
    <w:rPr>
      <w:rFonts w:ascii="Arial Narrow" w:hAnsi="Arial Narrow" w:cs="Arial Narrow"/>
      <w:sz w:val="18"/>
      <w:szCs w:val="18"/>
      <w:shd w:val="clear" w:color="auto" w:fill="FFFFFF"/>
    </w:rPr>
  </w:style>
  <w:style w:type="character" w:customStyle="1" w:styleId="910">
    <w:name w:val="Основной текст + 91"/>
    <w:aliases w:val="5 pt1,Полужирный1,Интервал 0 pt1,Body text + 7,Полужирный8,Основной текст + 10 pt3,Интервал -1 pt15,Основной текст (5) + Не курсив1,Основной текст + 20,Основной текст (2) + 71,Основной текст + 95,5 pt9,Интервал -1 pt5,97,5 pt3"/>
    <w:basedOn w:val="1d"/>
    <w:uiPriority w:val="99"/>
    <w:rsid w:val="003F580B"/>
    <w:rPr>
      <w:rFonts w:ascii="Arial Narrow" w:hAnsi="Arial Narrow" w:cs="Arial Narrow"/>
      <w:b/>
      <w:bCs/>
      <w:spacing w:val="-10"/>
      <w:sz w:val="19"/>
      <w:szCs w:val="19"/>
      <w:shd w:val="clear" w:color="auto" w:fill="FFFFFF"/>
    </w:rPr>
  </w:style>
  <w:style w:type="paragraph" w:customStyle="1" w:styleId="Bodytext1">
    <w:name w:val="Body text1"/>
    <w:basedOn w:val="a"/>
    <w:uiPriority w:val="99"/>
    <w:rsid w:val="002E6AE0"/>
    <w:pPr>
      <w:shd w:val="clear" w:color="auto" w:fill="FFFFFF"/>
      <w:spacing w:after="0" w:line="221" w:lineRule="exact"/>
      <w:ind w:hanging="120"/>
      <w:jc w:val="both"/>
    </w:pPr>
    <w:rPr>
      <w:rFonts w:ascii="Arial Narrow" w:eastAsiaTheme="minorHAnsi" w:hAnsi="Arial Narrow" w:cs="Arial Narrow"/>
      <w:sz w:val="18"/>
      <w:szCs w:val="18"/>
    </w:rPr>
  </w:style>
  <w:style w:type="character" w:customStyle="1" w:styleId="13ArialNarrow1">
    <w:name w:val="Основной текст (13) + Arial Narrow1"/>
    <w:aliases w:val="7 pt,Курсив1,Основной текст + 10 pt2,Масштаб 75%2,Основной текст (8) + 8 pt4,Полужирный4"/>
    <w:basedOn w:val="a0"/>
    <w:uiPriority w:val="99"/>
    <w:rsid w:val="00F75FDE"/>
    <w:rPr>
      <w:rFonts w:ascii="Arial Narrow" w:hAnsi="Arial Narrow" w:cs="Arial Narrow"/>
      <w:i/>
      <w:iCs/>
      <w:w w:val="100"/>
      <w:sz w:val="14"/>
      <w:szCs w:val="14"/>
      <w:shd w:val="clear" w:color="auto" w:fill="FFFFFF"/>
    </w:rPr>
  </w:style>
  <w:style w:type="character" w:customStyle="1" w:styleId="ArialNarrow10">
    <w:name w:val="Основной текст + Arial Narrow10"/>
    <w:aliases w:val="Полужирный17"/>
    <w:basedOn w:val="a0"/>
    <w:uiPriority w:val="99"/>
    <w:rsid w:val="006C13C1"/>
    <w:rPr>
      <w:rFonts w:ascii="Arial Narrow" w:hAnsi="Arial Narrow" w:cs="Arial Narrow"/>
      <w:b/>
      <w:bCs/>
      <w:spacing w:val="0"/>
      <w:w w:val="100"/>
      <w:sz w:val="18"/>
      <w:szCs w:val="18"/>
      <w:shd w:val="clear" w:color="auto" w:fill="FFFFFF"/>
    </w:rPr>
  </w:style>
  <w:style w:type="character" w:customStyle="1" w:styleId="94">
    <w:name w:val="Основной текст + 94"/>
    <w:aliases w:val="5 pt8,Полужирный7,Интервал 0 pt4,Основной текст + Arial Narrow7,96,Полужирный14,Body text + 91,Bold2,Spacing 0 pt5,5 pt28,Полужирный23,Интервал 0 pt16,5 pt14,Основной текст (5) + 91,Интервал -1 pt29,Интервал -1 pt8"/>
    <w:basedOn w:val="a0"/>
    <w:uiPriority w:val="99"/>
    <w:rsid w:val="006C13C1"/>
    <w:rPr>
      <w:rFonts w:ascii="Arial Narrow" w:hAnsi="Arial Narrow" w:cs="Arial Narrow"/>
      <w:b/>
      <w:bCs/>
      <w:spacing w:val="-10"/>
      <w:sz w:val="19"/>
      <w:szCs w:val="19"/>
      <w:shd w:val="clear" w:color="auto" w:fill="FFFFFF"/>
    </w:rPr>
  </w:style>
  <w:style w:type="character" w:customStyle="1" w:styleId="ArialNarrow8">
    <w:name w:val="Основной текст + Arial Narrow8"/>
    <w:aliases w:val="Полужирный15"/>
    <w:basedOn w:val="a0"/>
    <w:uiPriority w:val="99"/>
    <w:rsid w:val="006C13C1"/>
    <w:rPr>
      <w:rFonts w:ascii="Arial Narrow" w:hAnsi="Arial Narrow" w:cs="Arial Narrow"/>
      <w:b/>
      <w:bCs/>
      <w:spacing w:val="0"/>
      <w:w w:val="100"/>
      <w:sz w:val="18"/>
      <w:szCs w:val="18"/>
      <w:shd w:val="clear" w:color="auto" w:fill="FFFFFF"/>
    </w:rPr>
  </w:style>
  <w:style w:type="character" w:customStyle="1" w:styleId="96">
    <w:name w:val="Основной текст + 96"/>
    <w:aliases w:val="5 pt10,Полужирный9,Интервал 0 pt6,Основной текст + Arial Narrow11,98,Полужирный18,Основной текст + 10 pt1,Body text (2) + 91,Bold5,Spacing -1 pt3,Основной текст (8) + 8 pt3,Полужирный3,Интервал 0 pt2"/>
    <w:basedOn w:val="1d"/>
    <w:rsid w:val="00681A8C"/>
    <w:rPr>
      <w:rFonts w:ascii="Arial Narrow" w:hAnsi="Arial Narrow" w:cs="Arial Narrow"/>
      <w:b/>
      <w:bCs/>
      <w:spacing w:val="-10"/>
      <w:sz w:val="19"/>
      <w:szCs w:val="19"/>
      <w:shd w:val="clear" w:color="auto" w:fill="FFFFFF"/>
    </w:rPr>
  </w:style>
  <w:style w:type="table" w:styleId="affe">
    <w:name w:val="Table Grid"/>
    <w:basedOn w:val="a1"/>
    <w:uiPriority w:val="59"/>
    <w:rsid w:val="002217A6"/>
    <w:pPr>
      <w:jc w:val="both"/>
    </w:pPr>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50">
    <w:name w:val="Заголовок 5 Знак"/>
    <w:basedOn w:val="a0"/>
    <w:link w:val="5"/>
    <w:uiPriority w:val="9"/>
    <w:semiHidden/>
    <w:rsid w:val="003C4CEF"/>
    <w:rPr>
      <w:rFonts w:asciiTheme="majorHAnsi" w:eastAsiaTheme="majorEastAsia" w:hAnsiTheme="majorHAnsi" w:cstheme="majorBidi"/>
      <w:color w:val="243F60" w:themeColor="accent1" w:themeShade="7F"/>
      <w:sz w:val="22"/>
      <w:szCs w:val="22"/>
      <w:lang w:eastAsia="en-US"/>
    </w:rPr>
  </w:style>
  <w:style w:type="character" w:customStyle="1" w:styleId="bbccolor">
    <w:name w:val="bbc_color"/>
    <w:basedOn w:val="a0"/>
    <w:rsid w:val="003C4CEF"/>
  </w:style>
  <w:style w:type="character" w:customStyle="1" w:styleId="fieldset-legend">
    <w:name w:val="fieldset-legend"/>
    <w:basedOn w:val="a0"/>
    <w:rsid w:val="003C4CEF"/>
  </w:style>
  <w:style w:type="character" w:customStyle="1" w:styleId="fieldset-legend-prefix">
    <w:name w:val="fieldset-legend-prefix"/>
    <w:basedOn w:val="a0"/>
    <w:rsid w:val="003C4CEF"/>
  </w:style>
  <w:style w:type="paragraph" w:styleId="HTML">
    <w:name w:val="HTML Preformatted"/>
    <w:basedOn w:val="a"/>
    <w:link w:val="HTML0"/>
    <w:uiPriority w:val="99"/>
    <w:semiHidden/>
    <w:unhideWhenUsed/>
    <w:rsid w:val="003C4C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3C4CEF"/>
    <w:rPr>
      <w:rFonts w:ascii="Courier New" w:eastAsia="Times New Roman" w:hAnsi="Courier New" w:cs="Courier New"/>
    </w:rPr>
  </w:style>
  <w:style w:type="character" w:styleId="HTML1">
    <w:name w:val="HTML Cite"/>
    <w:basedOn w:val="a0"/>
    <w:uiPriority w:val="99"/>
    <w:semiHidden/>
    <w:unhideWhenUsed/>
    <w:rsid w:val="003C4CEF"/>
    <w:rPr>
      <w:i/>
      <w:iCs/>
    </w:rPr>
  </w:style>
  <w:style w:type="paragraph" w:customStyle="1" w:styleId="p">
    <w:name w:val="p"/>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1">
    <w:name w:val="p1"/>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icture-center">
    <w:name w:val="picture-center"/>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krstr">
    <w:name w:val="kr_str"/>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00">
    <w:name w:val="a0"/>
    <w:basedOn w:val="a"/>
    <w:rsid w:val="003C4CEF"/>
    <w:pPr>
      <w:spacing w:after="75" w:line="240" w:lineRule="auto"/>
    </w:pPr>
    <w:rPr>
      <w:rFonts w:ascii="Times New Roman" w:eastAsia="Times New Roman" w:hAnsi="Times New Roman"/>
      <w:sz w:val="24"/>
      <w:szCs w:val="24"/>
      <w:lang w:eastAsia="ru-RU"/>
    </w:rPr>
  </w:style>
  <w:style w:type="paragraph" w:customStyle="1" w:styleId="rteindent11">
    <w:name w:val="rteindent11"/>
    <w:basedOn w:val="a"/>
    <w:rsid w:val="003C4CEF"/>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490">
    <w:name w:val="Основной текст + Полужирный49"/>
    <w:basedOn w:val="1d"/>
    <w:uiPriority w:val="99"/>
    <w:rsid w:val="003C4CEF"/>
    <w:rPr>
      <w:rFonts w:ascii="Arial Narrow" w:hAnsi="Arial Narrow" w:cs="Arial Narrow"/>
      <w:b/>
      <w:bCs/>
      <w:sz w:val="18"/>
      <w:szCs w:val="18"/>
      <w:shd w:val="clear" w:color="auto" w:fill="FFFFFF"/>
    </w:rPr>
  </w:style>
  <w:style w:type="character" w:customStyle="1" w:styleId="915">
    <w:name w:val="Основной текст + 915"/>
    <w:aliases w:val="5 pt66,Полужирный68,Интервал 0 pt46,Основной текст + 832"/>
    <w:basedOn w:val="1d"/>
    <w:uiPriority w:val="99"/>
    <w:rsid w:val="003C4CEF"/>
    <w:rPr>
      <w:rFonts w:ascii="Arial Narrow" w:hAnsi="Arial Narrow" w:cs="Arial Narrow"/>
      <w:b/>
      <w:bCs/>
      <w:spacing w:val="-10"/>
      <w:sz w:val="19"/>
      <w:szCs w:val="19"/>
      <w:shd w:val="clear" w:color="auto" w:fill="FFFFFF"/>
    </w:rPr>
  </w:style>
  <w:style w:type="character" w:customStyle="1" w:styleId="40pt0">
    <w:name w:val="Основной текст (4) + Полужирный;Не курсив;Интервал 0 pt"/>
    <w:basedOn w:val="46"/>
    <w:rsid w:val="003C4CEF"/>
    <w:rPr>
      <w:rFonts w:ascii="Arial Narrow" w:eastAsia="Arial Narrow" w:hAnsi="Arial Narrow" w:cs="Arial Narrow"/>
      <w:b/>
      <w:bCs/>
      <w:i/>
      <w:iCs/>
      <w:smallCaps w:val="0"/>
      <w:strike w:val="0"/>
      <w:spacing w:val="-10"/>
      <w:sz w:val="18"/>
      <w:szCs w:val="18"/>
      <w:shd w:val="clear" w:color="auto" w:fill="FFFFFF"/>
    </w:rPr>
  </w:style>
  <w:style w:type="character" w:customStyle="1" w:styleId="4c">
    <w:name w:val="Основной текст (4) + Полужирный"/>
    <w:basedOn w:val="46"/>
    <w:rsid w:val="003C4CEF"/>
    <w:rPr>
      <w:rFonts w:ascii="Arial Narrow" w:eastAsia="Arial Narrow" w:hAnsi="Arial Narrow" w:cs="Arial Narrow"/>
      <w:b/>
      <w:bCs/>
      <w:i w:val="0"/>
      <w:iCs w:val="0"/>
      <w:smallCaps w:val="0"/>
      <w:strike w:val="0"/>
      <w:spacing w:val="0"/>
      <w:sz w:val="18"/>
      <w:szCs w:val="18"/>
      <w:shd w:val="clear" w:color="auto" w:fill="FFFFFF"/>
    </w:rPr>
  </w:style>
  <w:style w:type="character" w:customStyle="1" w:styleId="4-1pt">
    <w:name w:val="Основной текст (4) + Полужирный;Интервал -1 pt"/>
    <w:basedOn w:val="46"/>
    <w:rsid w:val="003C4CEF"/>
    <w:rPr>
      <w:rFonts w:ascii="Arial Narrow" w:eastAsia="Arial Narrow" w:hAnsi="Arial Narrow" w:cs="Arial Narrow"/>
      <w:b/>
      <w:bCs/>
      <w:i w:val="0"/>
      <w:iCs w:val="0"/>
      <w:smallCaps w:val="0"/>
      <w:strike w:val="0"/>
      <w:spacing w:val="-20"/>
      <w:sz w:val="18"/>
      <w:szCs w:val="18"/>
      <w:shd w:val="clear" w:color="auto" w:fill="FFFFFF"/>
    </w:rPr>
  </w:style>
  <w:style w:type="character" w:customStyle="1" w:styleId="4Tahoma85pt">
    <w:name w:val="Основной текст (4) + Tahoma;8;5 pt"/>
    <w:basedOn w:val="46"/>
    <w:rsid w:val="003C4CEF"/>
    <w:rPr>
      <w:rFonts w:ascii="Tahoma" w:eastAsia="Tahoma" w:hAnsi="Tahoma" w:cs="Tahoma"/>
      <w:b w:val="0"/>
      <w:bCs w:val="0"/>
      <w:i w:val="0"/>
      <w:iCs w:val="0"/>
      <w:smallCaps w:val="0"/>
      <w:strike w:val="0"/>
      <w:spacing w:val="0"/>
      <w:sz w:val="17"/>
      <w:szCs w:val="17"/>
      <w:shd w:val="clear" w:color="auto" w:fill="FFFFFF"/>
    </w:rPr>
  </w:style>
  <w:style w:type="character" w:customStyle="1" w:styleId="171">
    <w:name w:val="Подпись к картинке (17)_"/>
    <w:basedOn w:val="a0"/>
    <w:link w:val="170"/>
    <w:rsid w:val="003C4CEF"/>
    <w:rPr>
      <w:rFonts w:ascii="Franklin Gothic Book" w:hAnsi="Franklin Gothic Book" w:cs="Franklin Gothic Book"/>
      <w:sz w:val="13"/>
      <w:szCs w:val="13"/>
      <w:shd w:val="clear" w:color="auto" w:fill="FFFFFF"/>
      <w:lang w:eastAsia="en-US"/>
    </w:rPr>
  </w:style>
  <w:style w:type="character" w:customStyle="1" w:styleId="75pt-1pt">
    <w:name w:val="Основной текст + 7;5 pt;Полужирный;Интервал -1 pt"/>
    <w:basedOn w:val="aff"/>
    <w:rsid w:val="003C4CEF"/>
    <w:rPr>
      <w:rFonts w:ascii="Arial Narrow" w:eastAsia="Arial Narrow" w:hAnsi="Arial Narrow" w:cs="Arial Narrow"/>
      <w:b/>
      <w:bCs/>
      <w:i w:val="0"/>
      <w:iCs w:val="0"/>
      <w:smallCaps w:val="0"/>
      <w:strike w:val="0"/>
      <w:spacing w:val="-20"/>
      <w:sz w:val="15"/>
      <w:szCs w:val="15"/>
      <w:shd w:val="clear" w:color="auto" w:fill="FFFFFF"/>
    </w:rPr>
  </w:style>
  <w:style w:type="character" w:customStyle="1" w:styleId="10pt0">
    <w:name w:val="Основной текст + 10 pt;Полужирный"/>
    <w:basedOn w:val="aff"/>
    <w:rsid w:val="003C4CEF"/>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115pt0pt">
    <w:name w:val="Основной текст + 11;5 pt;Полужирный;Интервал 0 pt"/>
    <w:basedOn w:val="aff"/>
    <w:rsid w:val="003C4CEF"/>
    <w:rPr>
      <w:rFonts w:ascii="Arial Narrow" w:eastAsia="Arial Narrow" w:hAnsi="Arial Narrow" w:cs="Arial Narrow"/>
      <w:b/>
      <w:bCs/>
      <w:i w:val="0"/>
      <w:iCs w:val="0"/>
      <w:smallCaps w:val="0"/>
      <w:strike w:val="0"/>
      <w:spacing w:val="-10"/>
      <w:sz w:val="23"/>
      <w:szCs w:val="23"/>
      <w:shd w:val="clear" w:color="auto" w:fill="FFFFFF"/>
    </w:rPr>
  </w:style>
  <w:style w:type="character" w:customStyle="1" w:styleId="34pt">
    <w:name w:val="Основной текст + 34 pt"/>
    <w:basedOn w:val="aff"/>
    <w:rsid w:val="003C4CEF"/>
    <w:rPr>
      <w:rFonts w:ascii="Arial Narrow" w:eastAsia="Arial Narrow" w:hAnsi="Arial Narrow" w:cs="Arial Narrow"/>
      <w:b w:val="0"/>
      <w:bCs w:val="0"/>
      <w:i w:val="0"/>
      <w:iCs w:val="0"/>
      <w:smallCaps w:val="0"/>
      <w:strike w:val="0"/>
      <w:spacing w:val="0"/>
      <w:sz w:val="68"/>
      <w:szCs w:val="68"/>
      <w:shd w:val="clear" w:color="auto" w:fill="FFFFFF"/>
    </w:rPr>
  </w:style>
  <w:style w:type="character" w:customStyle="1" w:styleId="Tahoma65pt">
    <w:name w:val="Основной текст + Tahoma;6;5 pt;Полужирный"/>
    <w:basedOn w:val="aff"/>
    <w:rsid w:val="003C4CEF"/>
    <w:rPr>
      <w:rFonts w:ascii="Tahoma" w:eastAsia="Tahoma" w:hAnsi="Tahoma" w:cs="Tahoma"/>
      <w:b/>
      <w:bCs/>
      <w:i w:val="0"/>
      <w:iCs w:val="0"/>
      <w:smallCaps w:val="0"/>
      <w:strike w:val="0"/>
      <w:spacing w:val="0"/>
      <w:sz w:val="13"/>
      <w:szCs w:val="13"/>
      <w:shd w:val="clear" w:color="auto" w:fill="FFFFFF"/>
    </w:rPr>
  </w:style>
  <w:style w:type="character" w:customStyle="1" w:styleId="12pt0">
    <w:name w:val="Основной текст + 12 pt;Полужирный"/>
    <w:basedOn w:val="aff"/>
    <w:rsid w:val="003C4CEF"/>
    <w:rPr>
      <w:rFonts w:ascii="Arial Narrow" w:eastAsia="Arial Narrow" w:hAnsi="Arial Narrow" w:cs="Arial Narrow"/>
      <w:b/>
      <w:bCs/>
      <w:i w:val="0"/>
      <w:iCs w:val="0"/>
      <w:smallCaps w:val="0"/>
      <w:strike w:val="0"/>
      <w:spacing w:val="0"/>
      <w:w w:val="100"/>
      <w:sz w:val="24"/>
      <w:szCs w:val="24"/>
      <w:shd w:val="clear" w:color="auto" w:fill="FFFFFF"/>
    </w:rPr>
  </w:style>
  <w:style w:type="character" w:customStyle="1" w:styleId="15115pt0pt">
    <w:name w:val="Основной текст (15) + 11;5 pt;Интервал 0 pt"/>
    <w:basedOn w:val="151"/>
    <w:rsid w:val="003C4CEF"/>
    <w:rPr>
      <w:rFonts w:ascii="Arial Narrow" w:eastAsia="Arial Narrow" w:hAnsi="Arial Narrow" w:cs="Arial Narrow"/>
      <w:b w:val="0"/>
      <w:bCs w:val="0"/>
      <w:i w:val="0"/>
      <w:iCs w:val="0"/>
      <w:smallCaps w:val="0"/>
      <w:strike w:val="0"/>
      <w:spacing w:val="-10"/>
      <w:sz w:val="23"/>
      <w:szCs w:val="23"/>
      <w:shd w:val="clear" w:color="auto" w:fill="FFFFFF"/>
    </w:rPr>
  </w:style>
  <w:style w:type="character" w:customStyle="1" w:styleId="1575pt">
    <w:name w:val="Основной текст (15) + 7;5 pt"/>
    <w:basedOn w:val="151"/>
    <w:rsid w:val="003C4CEF"/>
    <w:rPr>
      <w:rFonts w:ascii="Arial Narrow" w:eastAsia="Arial Narrow" w:hAnsi="Arial Narrow" w:cs="Arial Narrow"/>
      <w:b w:val="0"/>
      <w:bCs w:val="0"/>
      <w:i w:val="0"/>
      <w:iCs w:val="0"/>
      <w:smallCaps w:val="0"/>
      <w:strike w:val="0"/>
      <w:spacing w:val="0"/>
      <w:sz w:val="15"/>
      <w:szCs w:val="15"/>
      <w:shd w:val="clear" w:color="auto" w:fill="FFFFFF"/>
    </w:rPr>
  </w:style>
  <w:style w:type="character" w:customStyle="1" w:styleId="159pt">
    <w:name w:val="Основной текст (15) + 9 pt;Не полужирный"/>
    <w:basedOn w:val="151"/>
    <w:rsid w:val="003C4CEF"/>
    <w:rPr>
      <w:rFonts w:ascii="Arial Narrow" w:eastAsia="Arial Narrow" w:hAnsi="Arial Narrow" w:cs="Arial Narrow"/>
      <w:b/>
      <w:bCs/>
      <w:i w:val="0"/>
      <w:iCs w:val="0"/>
      <w:smallCaps w:val="0"/>
      <w:strike/>
      <w:spacing w:val="0"/>
      <w:sz w:val="18"/>
      <w:szCs w:val="18"/>
      <w:shd w:val="clear" w:color="auto" w:fill="FFFFFF"/>
    </w:rPr>
  </w:style>
  <w:style w:type="paragraph" w:customStyle="1" w:styleId="161">
    <w:name w:val="Основной текст16"/>
    <w:basedOn w:val="a"/>
    <w:rsid w:val="003C4CEF"/>
    <w:pPr>
      <w:shd w:val="clear" w:color="auto" w:fill="FFFFFF"/>
      <w:spacing w:before="120" w:after="0" w:line="216" w:lineRule="exact"/>
      <w:ind w:hanging="200"/>
      <w:jc w:val="both"/>
    </w:pPr>
    <w:rPr>
      <w:rFonts w:ascii="Arial" w:eastAsia="Arial" w:hAnsi="Arial" w:cs="Arial"/>
      <w:color w:val="000000"/>
      <w:sz w:val="18"/>
      <w:szCs w:val="18"/>
      <w:lang w:eastAsia="ru-RU"/>
    </w:rPr>
  </w:style>
  <w:style w:type="character" w:customStyle="1" w:styleId="-1pt1">
    <w:name w:val="Основной текст + Полужирный;Интервал -1 pt"/>
    <w:basedOn w:val="aff"/>
    <w:rsid w:val="003C4CEF"/>
    <w:rPr>
      <w:rFonts w:ascii="Arial" w:eastAsia="Arial" w:hAnsi="Arial" w:cs="Arial"/>
      <w:b/>
      <w:bCs/>
      <w:i w:val="0"/>
      <w:iCs w:val="0"/>
      <w:smallCaps w:val="0"/>
      <w:strike w:val="0"/>
      <w:spacing w:val="-20"/>
      <w:sz w:val="18"/>
      <w:szCs w:val="18"/>
      <w:shd w:val="clear" w:color="auto" w:fill="FFFFFF"/>
    </w:rPr>
  </w:style>
  <w:style w:type="character" w:customStyle="1" w:styleId="LucidaSansUnicode95pt">
    <w:name w:val="Основной текст + Lucida Sans Unicode;9;5 pt;Полужирный"/>
    <w:basedOn w:val="aff"/>
    <w:rsid w:val="003C4CEF"/>
    <w:rPr>
      <w:rFonts w:ascii="Lucida Sans Unicode" w:eastAsia="Lucida Sans Unicode" w:hAnsi="Lucida Sans Unicode" w:cs="Lucida Sans Unicode"/>
      <w:b/>
      <w:bCs/>
      <w:i w:val="0"/>
      <w:iCs w:val="0"/>
      <w:smallCaps w:val="0"/>
      <w:strike w:val="0"/>
      <w:spacing w:val="0"/>
      <w:sz w:val="19"/>
      <w:szCs w:val="19"/>
      <w:shd w:val="clear" w:color="auto" w:fill="FFFFFF"/>
    </w:rPr>
  </w:style>
  <w:style w:type="character" w:customStyle="1" w:styleId="95pt0pt">
    <w:name w:val="Основной текст + 9;5 pt;Полужирный;Интервал 0 pt"/>
    <w:basedOn w:val="aff"/>
    <w:rsid w:val="003C4CEF"/>
    <w:rPr>
      <w:rFonts w:ascii="Arial Narrow" w:eastAsia="Arial Narrow" w:hAnsi="Arial Narrow" w:cs="Arial Narrow"/>
      <w:b/>
      <w:bCs/>
      <w:i w:val="0"/>
      <w:iCs w:val="0"/>
      <w:smallCaps w:val="0"/>
      <w:strike w:val="0"/>
      <w:spacing w:val="-10"/>
      <w:sz w:val="19"/>
      <w:szCs w:val="19"/>
      <w:shd w:val="clear" w:color="auto" w:fill="FFFFFF"/>
    </w:rPr>
  </w:style>
  <w:style w:type="character" w:customStyle="1" w:styleId="122">
    <w:name w:val="Основной текст12"/>
    <w:basedOn w:val="aff"/>
    <w:rsid w:val="003C4CEF"/>
    <w:rPr>
      <w:rFonts w:ascii="Arial" w:eastAsia="Arial" w:hAnsi="Arial" w:cs="Arial"/>
      <w:b w:val="0"/>
      <w:bCs w:val="0"/>
      <w:i w:val="0"/>
      <w:iCs w:val="0"/>
      <w:smallCaps w:val="0"/>
      <w:strike w:val="0"/>
      <w:spacing w:val="0"/>
      <w:sz w:val="18"/>
      <w:szCs w:val="18"/>
      <w:shd w:val="clear" w:color="auto" w:fill="FFFFFF"/>
    </w:rPr>
  </w:style>
  <w:style w:type="character" w:customStyle="1" w:styleId="85pt0">
    <w:name w:val="Основной текст + 8;5 pt"/>
    <w:basedOn w:val="aff"/>
    <w:rsid w:val="003C4CEF"/>
    <w:rPr>
      <w:rFonts w:ascii="Arial" w:eastAsia="Arial" w:hAnsi="Arial" w:cs="Arial"/>
      <w:b w:val="0"/>
      <w:bCs w:val="0"/>
      <w:i w:val="0"/>
      <w:iCs w:val="0"/>
      <w:smallCaps w:val="0"/>
      <w:strike w:val="0"/>
      <w:spacing w:val="0"/>
      <w:sz w:val="17"/>
      <w:szCs w:val="17"/>
      <w:shd w:val="clear" w:color="auto" w:fill="FFFFFF"/>
    </w:rPr>
  </w:style>
  <w:style w:type="character" w:customStyle="1" w:styleId="85pt0pt">
    <w:name w:val="Основной текст + 8;5 pt;Интервал 0 pt"/>
    <w:basedOn w:val="aff"/>
    <w:rsid w:val="003C4CEF"/>
    <w:rPr>
      <w:rFonts w:ascii="Arial" w:eastAsia="Arial" w:hAnsi="Arial" w:cs="Arial"/>
      <w:b w:val="0"/>
      <w:bCs w:val="0"/>
      <w:i w:val="0"/>
      <w:iCs w:val="0"/>
      <w:smallCaps w:val="0"/>
      <w:strike w:val="0"/>
      <w:spacing w:val="10"/>
      <w:sz w:val="17"/>
      <w:szCs w:val="17"/>
      <w:shd w:val="clear" w:color="auto" w:fill="FFFFFF"/>
    </w:rPr>
  </w:style>
  <w:style w:type="character" w:customStyle="1" w:styleId="afff">
    <w:name w:val="Основной текст + Малые прописные"/>
    <w:basedOn w:val="aff"/>
    <w:rsid w:val="003C4CEF"/>
    <w:rPr>
      <w:rFonts w:ascii="Arial" w:eastAsia="Arial" w:hAnsi="Arial" w:cs="Arial"/>
      <w:b w:val="0"/>
      <w:bCs w:val="0"/>
      <w:i w:val="0"/>
      <w:iCs w:val="0"/>
      <w:smallCaps/>
      <w:strike w:val="0"/>
      <w:spacing w:val="0"/>
      <w:sz w:val="18"/>
      <w:szCs w:val="18"/>
      <w:shd w:val="clear" w:color="auto" w:fill="FFFFFF"/>
    </w:rPr>
  </w:style>
  <w:style w:type="character" w:customStyle="1" w:styleId="371">
    <w:name w:val="Основной текст + Полужирный37"/>
    <w:basedOn w:val="1d"/>
    <w:uiPriority w:val="99"/>
    <w:rsid w:val="003C4CEF"/>
    <w:rPr>
      <w:rFonts w:ascii="Arial Narrow" w:hAnsi="Arial Narrow" w:cs="Arial Narrow"/>
      <w:b/>
      <w:bCs/>
      <w:spacing w:val="0"/>
      <w:sz w:val="18"/>
      <w:szCs w:val="18"/>
      <w:shd w:val="clear" w:color="auto" w:fill="FFFFFF"/>
    </w:rPr>
  </w:style>
  <w:style w:type="character" w:customStyle="1" w:styleId="2f3">
    <w:name w:val="Основной текст (2) + Полужирный"/>
    <w:basedOn w:val="2a"/>
    <w:uiPriority w:val="99"/>
    <w:rsid w:val="003C4CEF"/>
    <w:rPr>
      <w:rFonts w:ascii="Arial" w:eastAsia="Arial" w:hAnsi="Arial" w:cs="Arial"/>
      <w:b/>
      <w:bCs/>
      <w:i w:val="0"/>
      <w:iCs w:val="0"/>
      <w:smallCaps w:val="0"/>
      <w:strike w:val="0"/>
      <w:spacing w:val="0"/>
      <w:sz w:val="18"/>
      <w:szCs w:val="18"/>
      <w:shd w:val="clear" w:color="auto" w:fill="FFFFFF"/>
      <w:lang w:eastAsia="en-US"/>
    </w:rPr>
  </w:style>
  <w:style w:type="character" w:customStyle="1" w:styleId="91">
    <w:name w:val="Основной текст (9)_"/>
    <w:basedOn w:val="a0"/>
    <w:link w:val="90"/>
    <w:uiPriority w:val="99"/>
    <w:rsid w:val="003C4CEF"/>
    <w:rPr>
      <w:rFonts w:ascii="Lucida Sans Unicode" w:hAnsi="Lucida Sans Unicode" w:cs="Lucida Sans Unicode"/>
      <w:sz w:val="14"/>
      <w:szCs w:val="14"/>
      <w:shd w:val="clear" w:color="auto" w:fill="FFFFFF"/>
      <w:lang w:eastAsia="en-US"/>
    </w:rPr>
  </w:style>
  <w:style w:type="character" w:customStyle="1" w:styleId="243">
    <w:name w:val="Основной текст + 24"/>
    <w:aliases w:val="5 pt55,Полужирный53,Основной текст + 916"/>
    <w:basedOn w:val="1d"/>
    <w:uiPriority w:val="99"/>
    <w:rsid w:val="003C4CEF"/>
    <w:rPr>
      <w:rFonts w:ascii="Arial Narrow" w:hAnsi="Arial Narrow" w:cs="Arial Narrow"/>
      <w:b/>
      <w:bCs/>
      <w:noProof/>
      <w:spacing w:val="0"/>
      <w:sz w:val="49"/>
      <w:szCs w:val="49"/>
      <w:shd w:val="clear" w:color="auto" w:fill="FFFFFF"/>
    </w:rPr>
  </w:style>
  <w:style w:type="character" w:customStyle="1" w:styleId="10MicrosoftSansSerif2">
    <w:name w:val="Основной текст (10) + Microsoft Sans Serif2"/>
    <w:aliases w:val="84,5 pt52,Полужирный50,Основной текст + 11 pt4,Основной текст + Segoe UI4"/>
    <w:basedOn w:val="a0"/>
    <w:uiPriority w:val="99"/>
    <w:rsid w:val="003C4CEF"/>
    <w:rPr>
      <w:rFonts w:ascii="Microsoft Sans Serif" w:eastAsia="Times New Roman" w:hAnsi="Microsoft Sans Serif" w:cs="Microsoft Sans Serif"/>
      <w:b/>
      <w:bCs/>
      <w:i/>
      <w:iCs/>
      <w:smallCaps w:val="0"/>
      <w:strike w:val="0"/>
      <w:spacing w:val="0"/>
      <w:sz w:val="17"/>
      <w:szCs w:val="17"/>
    </w:rPr>
  </w:style>
  <w:style w:type="character" w:customStyle="1" w:styleId="361">
    <w:name w:val="Основной текст + Полужирный36"/>
    <w:basedOn w:val="1d"/>
    <w:uiPriority w:val="99"/>
    <w:rsid w:val="003C4CEF"/>
    <w:rPr>
      <w:rFonts w:ascii="Arial Narrow" w:hAnsi="Arial Narrow" w:cs="Arial Narrow"/>
      <w:b/>
      <w:bCs/>
      <w:spacing w:val="0"/>
      <w:sz w:val="18"/>
      <w:szCs w:val="18"/>
      <w:shd w:val="clear" w:color="auto" w:fill="FFFFFF"/>
    </w:rPr>
  </w:style>
  <w:style w:type="character" w:customStyle="1" w:styleId="1pt9">
    <w:name w:val="Основной текст + Интервал 1 pt9"/>
    <w:basedOn w:val="1d"/>
    <w:uiPriority w:val="99"/>
    <w:rsid w:val="003C4CEF"/>
    <w:rPr>
      <w:rFonts w:ascii="Arial" w:hAnsi="Arial" w:cs="Arial"/>
      <w:spacing w:val="20"/>
      <w:sz w:val="18"/>
      <w:szCs w:val="18"/>
      <w:shd w:val="clear" w:color="auto" w:fill="FFFFFF"/>
    </w:rPr>
  </w:style>
  <w:style w:type="character" w:customStyle="1" w:styleId="351">
    <w:name w:val="Основной текст + Полужирный35"/>
    <w:basedOn w:val="1d"/>
    <w:uiPriority w:val="99"/>
    <w:rsid w:val="003C4CEF"/>
    <w:rPr>
      <w:rFonts w:ascii="Arial Narrow" w:hAnsi="Arial Narrow" w:cs="Arial Narrow"/>
      <w:b/>
      <w:bCs/>
      <w:spacing w:val="0"/>
      <w:sz w:val="18"/>
      <w:szCs w:val="18"/>
      <w:shd w:val="clear" w:color="auto" w:fill="FFFFFF"/>
    </w:rPr>
  </w:style>
  <w:style w:type="character" w:customStyle="1" w:styleId="341">
    <w:name w:val="Основной текст + Полужирный34"/>
    <w:basedOn w:val="1d"/>
    <w:uiPriority w:val="99"/>
    <w:rsid w:val="003C4CEF"/>
    <w:rPr>
      <w:rFonts w:ascii="Arial Narrow" w:hAnsi="Arial Narrow" w:cs="Arial Narrow"/>
      <w:b/>
      <w:bCs/>
      <w:spacing w:val="0"/>
      <w:sz w:val="18"/>
      <w:szCs w:val="18"/>
      <w:shd w:val="clear" w:color="auto" w:fill="FFFFFF"/>
    </w:rPr>
  </w:style>
  <w:style w:type="character" w:customStyle="1" w:styleId="331">
    <w:name w:val="Основной текст + Полужирный33"/>
    <w:basedOn w:val="1d"/>
    <w:uiPriority w:val="99"/>
    <w:rsid w:val="003C4CEF"/>
    <w:rPr>
      <w:rFonts w:ascii="Arial Narrow" w:hAnsi="Arial Narrow" w:cs="Arial Narrow"/>
      <w:b/>
      <w:bCs/>
      <w:spacing w:val="0"/>
      <w:sz w:val="18"/>
      <w:szCs w:val="18"/>
      <w:shd w:val="clear" w:color="auto" w:fill="FFFFFF"/>
    </w:rPr>
  </w:style>
  <w:style w:type="character" w:customStyle="1" w:styleId="322">
    <w:name w:val="Основной текст + Полужирный32"/>
    <w:basedOn w:val="1d"/>
    <w:uiPriority w:val="99"/>
    <w:rsid w:val="003C4CEF"/>
    <w:rPr>
      <w:rFonts w:ascii="Arial Narrow" w:hAnsi="Arial Narrow" w:cs="Arial Narrow"/>
      <w:b/>
      <w:bCs/>
      <w:spacing w:val="0"/>
      <w:sz w:val="18"/>
      <w:szCs w:val="18"/>
      <w:shd w:val="clear" w:color="auto" w:fill="FFFFFF"/>
    </w:rPr>
  </w:style>
  <w:style w:type="character" w:customStyle="1" w:styleId="301">
    <w:name w:val="Основной текст + Полужирный30"/>
    <w:basedOn w:val="1d"/>
    <w:uiPriority w:val="99"/>
    <w:rsid w:val="003C4CEF"/>
    <w:rPr>
      <w:rFonts w:ascii="Arial Narrow" w:hAnsi="Arial Narrow" w:cs="Arial Narrow"/>
      <w:b/>
      <w:bCs/>
      <w:spacing w:val="0"/>
      <w:sz w:val="18"/>
      <w:szCs w:val="18"/>
      <w:shd w:val="clear" w:color="auto" w:fill="FFFFFF"/>
    </w:rPr>
  </w:style>
  <w:style w:type="character" w:customStyle="1" w:styleId="50pt0">
    <w:name w:val="Основной текст (5) + Интервал 0 pt"/>
    <w:basedOn w:val="a0"/>
    <w:uiPriority w:val="99"/>
    <w:rsid w:val="003C4CEF"/>
    <w:rPr>
      <w:rFonts w:ascii="Arial" w:eastAsia="Times New Roman" w:hAnsi="Arial" w:cs="Arial"/>
      <w:b/>
      <w:bCs/>
      <w:i w:val="0"/>
      <w:iCs w:val="0"/>
      <w:smallCaps w:val="0"/>
      <w:strike w:val="0"/>
      <w:spacing w:val="-10"/>
      <w:sz w:val="18"/>
      <w:szCs w:val="18"/>
    </w:rPr>
  </w:style>
  <w:style w:type="character" w:customStyle="1" w:styleId="FranklinGothicBook">
    <w:name w:val="Основной текст + Franklin Gothic Book"/>
    <w:aliases w:val="8 pt6,Полужирный44,Основной текст + MS Reference Sans Serif5,Интервал -1 pt28"/>
    <w:basedOn w:val="1d"/>
    <w:uiPriority w:val="99"/>
    <w:rsid w:val="003C4CEF"/>
    <w:rPr>
      <w:rFonts w:ascii="Franklin Gothic Book" w:hAnsi="Franklin Gothic Book" w:cs="Franklin Gothic Book"/>
      <w:b/>
      <w:bCs/>
      <w:spacing w:val="0"/>
      <w:sz w:val="16"/>
      <w:szCs w:val="16"/>
      <w:shd w:val="clear" w:color="auto" w:fill="FFFFFF"/>
    </w:rPr>
  </w:style>
  <w:style w:type="character" w:customStyle="1" w:styleId="291">
    <w:name w:val="Основной текст + Полужирный29"/>
    <w:basedOn w:val="1d"/>
    <w:uiPriority w:val="99"/>
    <w:rsid w:val="003C4CEF"/>
    <w:rPr>
      <w:rFonts w:ascii="Arial Narrow" w:hAnsi="Arial Narrow" w:cs="Arial Narrow"/>
      <w:b/>
      <w:bCs/>
      <w:spacing w:val="0"/>
      <w:sz w:val="18"/>
      <w:szCs w:val="18"/>
      <w:shd w:val="clear" w:color="auto" w:fill="FFFFFF"/>
    </w:rPr>
  </w:style>
  <w:style w:type="character" w:customStyle="1" w:styleId="273">
    <w:name w:val="Основной текст + Полужирный27"/>
    <w:basedOn w:val="1d"/>
    <w:uiPriority w:val="99"/>
    <w:rsid w:val="003C4CEF"/>
    <w:rPr>
      <w:rFonts w:ascii="Arial Narrow" w:hAnsi="Arial Narrow" w:cs="Arial Narrow"/>
      <w:b/>
      <w:bCs/>
      <w:spacing w:val="0"/>
      <w:sz w:val="18"/>
      <w:szCs w:val="18"/>
      <w:shd w:val="clear" w:color="auto" w:fill="FFFFFF"/>
    </w:rPr>
  </w:style>
  <w:style w:type="character" w:customStyle="1" w:styleId="262">
    <w:name w:val="Основной текст + Полужирный26"/>
    <w:aliases w:val="Курсив14"/>
    <w:basedOn w:val="1d"/>
    <w:uiPriority w:val="99"/>
    <w:rsid w:val="003C4CEF"/>
    <w:rPr>
      <w:rFonts w:ascii="Arial Narrow" w:hAnsi="Arial Narrow" w:cs="Arial Narrow"/>
      <w:b/>
      <w:bCs/>
      <w:i/>
      <w:iCs/>
      <w:spacing w:val="0"/>
      <w:sz w:val="18"/>
      <w:szCs w:val="18"/>
      <w:shd w:val="clear" w:color="auto" w:fill="FFFFFF"/>
    </w:rPr>
  </w:style>
  <w:style w:type="character" w:customStyle="1" w:styleId="131">
    <w:name w:val="Основной текст (13)_"/>
    <w:basedOn w:val="a0"/>
    <w:link w:val="130"/>
    <w:uiPriority w:val="99"/>
    <w:rsid w:val="003C4CEF"/>
    <w:rPr>
      <w:rFonts w:ascii="Arial" w:eastAsia="Times New Roman" w:hAnsi="Arial"/>
      <w:sz w:val="36"/>
      <w:shd w:val="clear" w:color="auto" w:fill="FFFFFF"/>
    </w:rPr>
  </w:style>
  <w:style w:type="character" w:customStyle="1" w:styleId="5b">
    <w:name w:val="Основной текст (5)_"/>
    <w:basedOn w:val="a0"/>
    <w:link w:val="5a"/>
    <w:rsid w:val="003C4CEF"/>
    <w:rPr>
      <w:rFonts w:ascii="Arial" w:eastAsia="Times New Roman" w:hAnsi="Arial"/>
      <w:spacing w:val="-10"/>
      <w:sz w:val="26"/>
      <w:shd w:val="clear" w:color="auto" w:fill="FFFFFF"/>
    </w:rPr>
  </w:style>
  <w:style w:type="character" w:customStyle="1" w:styleId="2f0">
    <w:name w:val="Подпись к таблице (2)_"/>
    <w:basedOn w:val="a0"/>
    <w:link w:val="2f"/>
    <w:uiPriority w:val="99"/>
    <w:rsid w:val="003C4CEF"/>
    <w:rPr>
      <w:rFonts w:ascii="Lucida Sans Unicode" w:hAnsi="Lucida Sans Unicode" w:cs="Lucida Sans Unicode"/>
      <w:sz w:val="25"/>
      <w:szCs w:val="25"/>
      <w:shd w:val="clear" w:color="auto" w:fill="FFFFFF"/>
      <w:lang w:eastAsia="en-US"/>
    </w:rPr>
  </w:style>
  <w:style w:type="character" w:customStyle="1" w:styleId="5Arial">
    <w:name w:val="Основной текст (5) + Arial;Не полужирный;Не курсив"/>
    <w:basedOn w:val="5b"/>
    <w:rsid w:val="003C4CEF"/>
    <w:rPr>
      <w:rFonts w:ascii="Arial" w:eastAsia="Arial" w:hAnsi="Arial" w:cs="Arial"/>
      <w:b/>
      <w:bCs/>
      <w:i/>
      <w:iCs/>
      <w:spacing w:val="-10"/>
      <w:sz w:val="15"/>
      <w:szCs w:val="15"/>
      <w:shd w:val="clear" w:color="auto" w:fill="FFFFFF"/>
    </w:rPr>
  </w:style>
  <w:style w:type="character" w:customStyle="1" w:styleId="LucidaSansUnicode8pt0pt">
    <w:name w:val="Основной текст + Lucida Sans Unicode;8 pt;Полужирный;Интервал 0 pt"/>
    <w:basedOn w:val="aff"/>
    <w:rsid w:val="003C4CEF"/>
    <w:rPr>
      <w:rFonts w:ascii="Lucida Sans Unicode" w:eastAsia="Lucida Sans Unicode" w:hAnsi="Lucida Sans Unicode" w:cs="Lucida Sans Unicode"/>
      <w:b/>
      <w:bCs/>
      <w:i w:val="0"/>
      <w:iCs w:val="0"/>
      <w:smallCaps w:val="0"/>
      <w:strike w:val="0"/>
      <w:spacing w:val="-10"/>
      <w:sz w:val="16"/>
      <w:szCs w:val="16"/>
      <w:shd w:val="clear" w:color="auto" w:fill="FFFFFF"/>
    </w:rPr>
  </w:style>
  <w:style w:type="character" w:customStyle="1" w:styleId="68">
    <w:name w:val="Основной текст (6) + Не полужирный"/>
    <w:aliases w:val="Не курсив20"/>
    <w:basedOn w:val="65"/>
    <w:uiPriority w:val="99"/>
    <w:rsid w:val="003C4CEF"/>
    <w:rPr>
      <w:rFonts w:ascii="Arial Narrow" w:eastAsia="Times New Roman" w:hAnsi="Arial Narrow" w:cs="Arial Narrow"/>
      <w:b/>
      <w:bCs/>
      <w:sz w:val="18"/>
      <w:szCs w:val="18"/>
      <w:shd w:val="clear" w:color="auto" w:fill="FFFFFF"/>
    </w:rPr>
  </w:style>
  <w:style w:type="character" w:customStyle="1" w:styleId="8Arial85pt">
    <w:name w:val="Основной текст (8) + Arial;8;5 pt;Полужирный;Не курсив"/>
    <w:basedOn w:val="81"/>
    <w:rsid w:val="003C4CEF"/>
    <w:rPr>
      <w:rFonts w:ascii="Arial" w:eastAsia="Arial" w:hAnsi="Arial" w:cs="Arial"/>
      <w:b/>
      <w:bCs/>
      <w:i/>
      <w:iCs/>
      <w:sz w:val="17"/>
      <w:szCs w:val="17"/>
      <w:shd w:val="clear" w:color="auto" w:fill="FFFFFF"/>
    </w:rPr>
  </w:style>
  <w:style w:type="character" w:customStyle="1" w:styleId="0pt1">
    <w:name w:val="Основной текст + Курсив;Интервал 0 pt"/>
    <w:basedOn w:val="aff"/>
    <w:rsid w:val="003C4CEF"/>
    <w:rPr>
      <w:rFonts w:ascii="Arial Narrow" w:eastAsia="Arial Narrow" w:hAnsi="Arial Narrow" w:cs="Arial Narrow"/>
      <w:b w:val="0"/>
      <w:bCs w:val="0"/>
      <w:i/>
      <w:iCs/>
      <w:smallCaps w:val="0"/>
      <w:strike w:val="0"/>
      <w:spacing w:val="-10"/>
      <w:sz w:val="18"/>
      <w:szCs w:val="18"/>
      <w:shd w:val="clear" w:color="auto" w:fill="FFFFFF"/>
    </w:rPr>
  </w:style>
  <w:style w:type="character" w:customStyle="1" w:styleId="3BookAntiqua8pt0pt">
    <w:name w:val="Основной текст (3) + Book Antiqua;8 pt;Полужирный;Не курсив;Интервал 0 pt"/>
    <w:basedOn w:val="35"/>
    <w:rsid w:val="003C4CEF"/>
    <w:rPr>
      <w:rFonts w:ascii="Book Antiqua" w:eastAsia="Book Antiqua" w:hAnsi="Book Antiqua" w:cs="Book Antiqua"/>
      <w:b/>
      <w:bCs/>
      <w:i/>
      <w:iCs/>
      <w:smallCaps w:val="0"/>
      <w:strike w:val="0"/>
      <w:spacing w:val="0"/>
      <w:sz w:val="16"/>
      <w:szCs w:val="16"/>
      <w:shd w:val="clear" w:color="auto" w:fill="FFFFFF"/>
    </w:rPr>
  </w:style>
  <w:style w:type="character" w:customStyle="1" w:styleId="30pt">
    <w:name w:val="Основной текст (3) + Не курсив;Интервал 0 pt"/>
    <w:basedOn w:val="35"/>
    <w:rsid w:val="003C4CEF"/>
    <w:rPr>
      <w:rFonts w:ascii="Century Gothic" w:eastAsia="Century Gothic" w:hAnsi="Century Gothic" w:cs="Century Gothic"/>
      <w:b w:val="0"/>
      <w:bCs w:val="0"/>
      <w:i/>
      <w:iCs/>
      <w:smallCaps w:val="0"/>
      <w:strike w:val="0"/>
      <w:spacing w:val="0"/>
      <w:sz w:val="17"/>
      <w:szCs w:val="17"/>
      <w:shd w:val="clear" w:color="auto" w:fill="FFFFFF"/>
    </w:rPr>
  </w:style>
  <w:style w:type="character" w:customStyle="1" w:styleId="ArialUnicodeMS">
    <w:name w:val="Основной текст + Arial Unicode MS"/>
    <w:basedOn w:val="aff"/>
    <w:uiPriority w:val="99"/>
    <w:rsid w:val="003C4CEF"/>
    <w:rPr>
      <w:rFonts w:ascii="Arial Unicode MS" w:eastAsia="Arial Unicode MS" w:hAnsi="Arial Unicode MS" w:cs="Arial Unicode MS"/>
      <w:b w:val="0"/>
      <w:bCs w:val="0"/>
      <w:i w:val="0"/>
      <w:iCs w:val="0"/>
      <w:smallCaps w:val="0"/>
      <w:strike w:val="0"/>
      <w:spacing w:val="0"/>
      <w:sz w:val="17"/>
      <w:szCs w:val="17"/>
      <w:shd w:val="clear" w:color="auto" w:fill="FFFFFF"/>
    </w:rPr>
  </w:style>
  <w:style w:type="character" w:customStyle="1" w:styleId="3d">
    <w:name w:val="Подпись к таблице (3)_"/>
    <w:basedOn w:val="a0"/>
    <w:link w:val="3e"/>
    <w:rsid w:val="003C4CEF"/>
    <w:rPr>
      <w:rFonts w:ascii="Arial Narrow" w:hAnsi="Arial Narrow" w:cs="Arial Narrow"/>
      <w:i/>
      <w:iCs/>
      <w:sz w:val="14"/>
      <w:szCs w:val="14"/>
      <w:shd w:val="clear" w:color="auto" w:fill="FFFFFF"/>
    </w:rPr>
  </w:style>
  <w:style w:type="paragraph" w:customStyle="1" w:styleId="3e">
    <w:name w:val="Подпись к таблице (3)"/>
    <w:basedOn w:val="a"/>
    <w:link w:val="3d"/>
    <w:rsid w:val="003C4CEF"/>
    <w:pPr>
      <w:shd w:val="clear" w:color="auto" w:fill="FFFFFF"/>
      <w:spacing w:after="0" w:line="154" w:lineRule="exact"/>
      <w:jc w:val="both"/>
    </w:pPr>
    <w:rPr>
      <w:rFonts w:ascii="Arial Narrow" w:hAnsi="Arial Narrow" w:cs="Arial Narrow"/>
      <w:i/>
      <w:iCs/>
      <w:sz w:val="14"/>
      <w:szCs w:val="14"/>
      <w:lang w:eastAsia="ru-RU"/>
    </w:rPr>
  </w:style>
  <w:style w:type="paragraph" w:customStyle="1" w:styleId="103">
    <w:name w:val="10"/>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95">
    <w:name w:val="9"/>
    <w:basedOn w:val="a0"/>
    <w:rsid w:val="003C4CEF"/>
  </w:style>
  <w:style w:type="paragraph" w:customStyle="1" w:styleId="911">
    <w:name w:val="911"/>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60">
    <w:name w:val="a6"/>
    <w:basedOn w:val="a0"/>
    <w:rsid w:val="003C4CEF"/>
  </w:style>
  <w:style w:type="character" w:customStyle="1" w:styleId="911pt">
    <w:name w:val="911pt"/>
    <w:basedOn w:val="a0"/>
    <w:rsid w:val="003C4CEF"/>
  </w:style>
  <w:style w:type="character" w:customStyle="1" w:styleId="98pt">
    <w:name w:val="98pt"/>
    <w:basedOn w:val="a0"/>
    <w:rsid w:val="003C4CEF"/>
  </w:style>
  <w:style w:type="character" w:customStyle="1" w:styleId="99pt3">
    <w:name w:val="99pt3"/>
    <w:basedOn w:val="a0"/>
    <w:rsid w:val="003C4CEF"/>
  </w:style>
  <w:style w:type="character" w:customStyle="1" w:styleId="99pt2">
    <w:name w:val="99pt2"/>
    <w:basedOn w:val="a0"/>
    <w:rsid w:val="003C4CEF"/>
  </w:style>
  <w:style w:type="character" w:customStyle="1" w:styleId="99pt">
    <w:name w:val="99pt"/>
    <w:basedOn w:val="a0"/>
    <w:rsid w:val="003C4CEF"/>
  </w:style>
  <w:style w:type="character" w:customStyle="1" w:styleId="920">
    <w:name w:val="92"/>
    <w:basedOn w:val="a0"/>
    <w:rsid w:val="003C4CEF"/>
  </w:style>
  <w:style w:type="character" w:customStyle="1" w:styleId="1300">
    <w:name w:val="130"/>
    <w:basedOn w:val="a0"/>
    <w:rsid w:val="003C4CEF"/>
  </w:style>
  <w:style w:type="character" w:customStyle="1" w:styleId="1311pt">
    <w:name w:val="1311pt"/>
    <w:basedOn w:val="a0"/>
    <w:rsid w:val="003C4CEF"/>
  </w:style>
  <w:style w:type="paragraph" w:customStyle="1" w:styleId="1310">
    <w:name w:val="131"/>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98pt1">
    <w:name w:val="98pt1"/>
    <w:basedOn w:val="a0"/>
    <w:rsid w:val="003C4CEF"/>
  </w:style>
  <w:style w:type="character" w:customStyle="1" w:styleId="99pt1">
    <w:name w:val="99pt1"/>
    <w:basedOn w:val="a0"/>
    <w:rsid w:val="003C4CEF"/>
  </w:style>
  <w:style w:type="paragraph" w:customStyle="1" w:styleId="juscontext">
    <w:name w:val="juscontext"/>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igcontext">
    <w:name w:val="rigcontext"/>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4d">
    <w:name w:val="4"/>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media-description">
    <w:name w:val="media-description"/>
    <w:basedOn w:val="a0"/>
    <w:rsid w:val="003C4CEF"/>
  </w:style>
  <w:style w:type="character" w:customStyle="1" w:styleId="media-sources">
    <w:name w:val="media-sources"/>
    <w:basedOn w:val="a0"/>
    <w:rsid w:val="003C4CEF"/>
  </w:style>
  <w:style w:type="character" w:customStyle="1" w:styleId="color1">
    <w:name w:val="color1"/>
    <w:basedOn w:val="a0"/>
    <w:rsid w:val="003C4CEF"/>
  </w:style>
  <w:style w:type="character" w:customStyle="1" w:styleId="color2">
    <w:name w:val="color2"/>
    <w:basedOn w:val="a0"/>
    <w:rsid w:val="003C4CEF"/>
  </w:style>
  <w:style w:type="paragraph" w:styleId="z-0">
    <w:name w:val="HTML Top of Form"/>
    <w:basedOn w:val="a"/>
    <w:next w:val="a"/>
    <w:link w:val="z-2"/>
    <w:hidden/>
    <w:uiPriority w:val="99"/>
    <w:semiHidden/>
    <w:unhideWhenUsed/>
    <w:rsid w:val="003C4CEF"/>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Начало формы Знак"/>
    <w:basedOn w:val="a0"/>
    <w:link w:val="z-0"/>
    <w:uiPriority w:val="99"/>
    <w:semiHidden/>
    <w:rsid w:val="003C4CEF"/>
    <w:rPr>
      <w:rFonts w:ascii="Arial" w:eastAsia="Times New Roman" w:hAnsi="Arial" w:cs="Arial"/>
      <w:vanish/>
      <w:sz w:val="16"/>
      <w:szCs w:val="16"/>
    </w:rPr>
  </w:style>
  <w:style w:type="paragraph" w:styleId="z-3">
    <w:name w:val="HTML Bottom of Form"/>
    <w:basedOn w:val="a"/>
    <w:next w:val="a"/>
    <w:link w:val="z-4"/>
    <w:hidden/>
    <w:uiPriority w:val="99"/>
    <w:semiHidden/>
    <w:unhideWhenUsed/>
    <w:rsid w:val="003C4CEF"/>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4">
    <w:name w:val="z-Конец формы Знак"/>
    <w:basedOn w:val="a0"/>
    <w:link w:val="z-3"/>
    <w:uiPriority w:val="99"/>
    <w:semiHidden/>
    <w:rsid w:val="003C4CEF"/>
    <w:rPr>
      <w:rFonts w:ascii="Arial" w:eastAsia="Times New Roman" w:hAnsi="Arial" w:cs="Arial"/>
      <w:vanish/>
      <w:sz w:val="16"/>
      <w:szCs w:val="16"/>
    </w:rPr>
  </w:style>
  <w:style w:type="character" w:customStyle="1" w:styleId="downarrow">
    <w:name w:val="downarrow"/>
    <w:basedOn w:val="a0"/>
    <w:rsid w:val="003C4CEF"/>
  </w:style>
  <w:style w:type="paragraph" w:customStyle="1" w:styleId="wp-caption-text">
    <w:name w:val="wp-caption-text"/>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e">
    <w:name w:val="Подзаголовок1"/>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ljuser">
    <w:name w:val="ljuser"/>
    <w:basedOn w:val="a0"/>
    <w:rsid w:val="003C4CEF"/>
  </w:style>
  <w:style w:type="character" w:customStyle="1" w:styleId="byline">
    <w:name w:val="byline"/>
    <w:basedOn w:val="a0"/>
    <w:rsid w:val="003C4CEF"/>
  </w:style>
  <w:style w:type="character" w:customStyle="1" w:styleId="author">
    <w:name w:val="author"/>
    <w:basedOn w:val="a0"/>
    <w:rsid w:val="003C4CEF"/>
  </w:style>
  <w:style w:type="character" w:customStyle="1" w:styleId="zag1">
    <w:name w:val="zag1"/>
    <w:basedOn w:val="a0"/>
    <w:rsid w:val="003C4CEF"/>
  </w:style>
  <w:style w:type="paragraph" w:customStyle="1" w:styleId="autor">
    <w:name w:val="autor"/>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icture-sign">
    <w:name w:val="picture-sign"/>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n-icon">
    <w:name w:val="sn-icon"/>
    <w:basedOn w:val="a0"/>
    <w:rsid w:val="003C4CEF"/>
  </w:style>
  <w:style w:type="character" w:customStyle="1" w:styleId="red">
    <w:name w:val="red"/>
    <w:basedOn w:val="a0"/>
    <w:rsid w:val="003C4CEF"/>
  </w:style>
  <w:style w:type="character" w:customStyle="1" w:styleId="negative">
    <w:name w:val="negative"/>
    <w:basedOn w:val="a0"/>
    <w:rsid w:val="003C4CEF"/>
  </w:style>
  <w:style w:type="character" w:customStyle="1" w:styleId="positive">
    <w:name w:val="positive"/>
    <w:basedOn w:val="a0"/>
    <w:rsid w:val="003C4CEF"/>
  </w:style>
  <w:style w:type="character" w:customStyle="1" w:styleId="gray">
    <w:name w:val="gray"/>
    <w:basedOn w:val="a0"/>
    <w:rsid w:val="003C4CEF"/>
  </w:style>
  <w:style w:type="character" w:customStyle="1" w:styleId="ng-binding">
    <w:name w:val="ng-binding"/>
    <w:basedOn w:val="a0"/>
    <w:rsid w:val="003C4CEF"/>
  </w:style>
  <w:style w:type="paragraph" w:customStyle="1" w:styleId="grey-text">
    <w:name w:val="grey-text"/>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banner-place-1">
    <w:name w:val="banner-place-1"/>
    <w:basedOn w:val="a0"/>
    <w:rsid w:val="003C4CEF"/>
  </w:style>
  <w:style w:type="character" w:customStyle="1" w:styleId="banner-place-1-1">
    <w:name w:val="banner-place-1-1"/>
    <w:basedOn w:val="a0"/>
    <w:rsid w:val="003C4CEF"/>
  </w:style>
  <w:style w:type="character" w:customStyle="1" w:styleId="link-views">
    <w:name w:val="link-views"/>
    <w:basedOn w:val="a0"/>
    <w:rsid w:val="003C4CEF"/>
  </w:style>
  <w:style w:type="character" w:customStyle="1" w:styleId="link-comms">
    <w:name w:val="link-comms"/>
    <w:basedOn w:val="a0"/>
    <w:rsid w:val="003C4CEF"/>
  </w:style>
  <w:style w:type="character" w:customStyle="1" w:styleId="rate">
    <w:name w:val="rate"/>
    <w:basedOn w:val="a0"/>
    <w:rsid w:val="003C4CEF"/>
  </w:style>
  <w:style w:type="character" w:customStyle="1" w:styleId="10100">
    <w:name w:val="1010"/>
    <w:basedOn w:val="a0"/>
    <w:rsid w:val="003C4CEF"/>
  </w:style>
  <w:style w:type="character" w:customStyle="1" w:styleId="apple-converted-space">
    <w:name w:val="apple-converted-space"/>
    <w:basedOn w:val="a0"/>
    <w:rsid w:val="003C4CEF"/>
  </w:style>
  <w:style w:type="paragraph" w:customStyle="1" w:styleId="2f4">
    <w:name w:val="2"/>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hl1">
    <w:name w:val="hl1"/>
    <w:basedOn w:val="a0"/>
    <w:rsid w:val="003C4CEF"/>
  </w:style>
  <w:style w:type="paragraph" w:customStyle="1" w:styleId="3f">
    <w:name w:val="3"/>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111">
    <w:name w:val="111"/>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ww8num3z0">
    <w:name w:val="ww8num3z0"/>
    <w:basedOn w:val="a0"/>
    <w:rsid w:val="003C4CEF"/>
  </w:style>
  <w:style w:type="paragraph" w:customStyle="1" w:styleId="1000">
    <w:name w:val="100"/>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011">
    <w:name w:val="101"/>
    <w:basedOn w:val="a0"/>
    <w:rsid w:val="003C4CEF"/>
  </w:style>
  <w:style w:type="character" w:customStyle="1" w:styleId="afff0">
    <w:name w:val="Текст концевой сноски Знак"/>
    <w:basedOn w:val="a0"/>
    <w:link w:val="afff1"/>
    <w:uiPriority w:val="99"/>
    <w:semiHidden/>
    <w:rsid w:val="003C4CEF"/>
    <w:rPr>
      <w:rFonts w:ascii="Times New Roman" w:eastAsia="Times New Roman" w:hAnsi="Times New Roman"/>
      <w:sz w:val="24"/>
      <w:szCs w:val="24"/>
    </w:rPr>
  </w:style>
  <w:style w:type="paragraph" w:styleId="afff1">
    <w:name w:val="endnote text"/>
    <w:basedOn w:val="a"/>
    <w:link w:val="afff0"/>
    <w:uiPriority w:val="99"/>
    <w:semiHidden/>
    <w:unhideWhenUsed/>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f">
    <w:name w:val="Текст концевой сноски Знак1"/>
    <w:basedOn w:val="a0"/>
    <w:uiPriority w:val="99"/>
    <w:semiHidden/>
    <w:rsid w:val="003C4CEF"/>
    <w:rPr>
      <w:lang w:eastAsia="en-US"/>
    </w:rPr>
  </w:style>
  <w:style w:type="character" w:customStyle="1" w:styleId="912pt">
    <w:name w:val="912pt"/>
    <w:basedOn w:val="a0"/>
    <w:rsid w:val="003C4CEF"/>
  </w:style>
  <w:style w:type="character" w:customStyle="1" w:styleId="912pt1">
    <w:name w:val="912pt1"/>
    <w:basedOn w:val="a0"/>
    <w:rsid w:val="003C4CEF"/>
  </w:style>
  <w:style w:type="character" w:customStyle="1" w:styleId="9pt0">
    <w:name w:val="9pt"/>
    <w:basedOn w:val="a0"/>
    <w:rsid w:val="003C4CEF"/>
  </w:style>
  <w:style w:type="character" w:customStyle="1" w:styleId="9pt10">
    <w:name w:val="9pt1"/>
    <w:basedOn w:val="a0"/>
    <w:rsid w:val="003C4CEF"/>
  </w:style>
  <w:style w:type="paragraph" w:customStyle="1" w:styleId="a50">
    <w:name w:val="a5"/>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posted-on">
    <w:name w:val="posted-on"/>
    <w:basedOn w:val="a0"/>
    <w:rsid w:val="003C4CEF"/>
  </w:style>
  <w:style w:type="character" w:customStyle="1" w:styleId="cat-links">
    <w:name w:val="cat-links"/>
    <w:basedOn w:val="a0"/>
    <w:rsid w:val="003C4CEF"/>
  </w:style>
  <w:style w:type="paragraph" w:customStyle="1" w:styleId="upgcontext">
    <w:name w:val="upgcontext"/>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tar">
    <w:name w:val="tar"/>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204">
    <w:name w:val="20"/>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411">
    <w:name w:val="41"/>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400">
    <w:name w:val="40"/>
    <w:basedOn w:val="a0"/>
    <w:rsid w:val="003C4CEF"/>
  </w:style>
  <w:style w:type="paragraph" w:customStyle="1" w:styleId="312">
    <w:name w:val="31"/>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02">
    <w:name w:val="30"/>
    <w:basedOn w:val="a0"/>
    <w:rsid w:val="003C4CEF"/>
  </w:style>
  <w:style w:type="character" w:customStyle="1" w:styleId="apple-tab-span">
    <w:name w:val="apple-tab-span"/>
    <w:basedOn w:val="a0"/>
    <w:rsid w:val="003C4CEF"/>
  </w:style>
  <w:style w:type="character" w:customStyle="1" w:styleId="bbcsize">
    <w:name w:val="bbc_size"/>
    <w:basedOn w:val="a0"/>
    <w:rsid w:val="003C4CEF"/>
  </w:style>
  <w:style w:type="character" w:customStyle="1" w:styleId="bbcfont">
    <w:name w:val="bbc_font"/>
    <w:basedOn w:val="a0"/>
    <w:rsid w:val="003C4CEF"/>
  </w:style>
  <w:style w:type="paragraph" w:customStyle="1" w:styleId="storybody">
    <w:name w:val="storybody"/>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f0">
    <w:name w:val="Строгий1"/>
    <w:rsid w:val="003C4CEF"/>
    <w:rPr>
      <w:b/>
    </w:rPr>
  </w:style>
  <w:style w:type="character" w:customStyle="1" w:styleId="1f1">
    <w:name w:val="Выделение1"/>
    <w:rsid w:val="003C4CEF"/>
    <w:rPr>
      <w:i/>
    </w:rPr>
  </w:style>
  <w:style w:type="paragraph" w:customStyle="1" w:styleId="el-text">
    <w:name w:val="el-text"/>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ff7">
    <w:name w:val="Колонтитул_"/>
    <w:basedOn w:val="a0"/>
    <w:link w:val="aff6"/>
    <w:rsid w:val="003C4CEF"/>
    <w:rPr>
      <w:rFonts w:ascii="Times New Roman" w:hAnsi="Times New Roman"/>
      <w:shd w:val="clear" w:color="auto" w:fill="FFFFFF"/>
      <w:lang w:eastAsia="en-US"/>
    </w:rPr>
  </w:style>
  <w:style w:type="character" w:customStyle="1" w:styleId="11pt">
    <w:name w:val="Колонтитул + 11 pt"/>
    <w:basedOn w:val="aff7"/>
    <w:rsid w:val="003C4CEF"/>
    <w:rPr>
      <w:rFonts w:ascii="Times New Roman" w:hAnsi="Times New Roman"/>
      <w:b w:val="0"/>
      <w:bCs w:val="0"/>
      <w:i w:val="0"/>
      <w:iCs w:val="0"/>
      <w:smallCaps w:val="0"/>
      <w:strike w:val="0"/>
      <w:spacing w:val="0"/>
      <w:sz w:val="22"/>
      <w:szCs w:val="22"/>
      <w:shd w:val="clear" w:color="auto" w:fill="FFFFFF"/>
      <w:lang w:eastAsia="en-US"/>
    </w:rPr>
  </w:style>
  <w:style w:type="character" w:customStyle="1" w:styleId="3f0">
    <w:name w:val="Основной текст (3) + Не курсив"/>
    <w:basedOn w:val="35"/>
    <w:rsid w:val="003C4CEF"/>
    <w:rPr>
      <w:rFonts w:ascii="Arial" w:eastAsia="Arial" w:hAnsi="Arial" w:cs="Arial"/>
      <w:i/>
      <w:iCs/>
      <w:spacing w:val="20"/>
      <w:sz w:val="15"/>
      <w:szCs w:val="15"/>
      <w:shd w:val="clear" w:color="auto" w:fill="FFFFFF"/>
    </w:rPr>
  </w:style>
  <w:style w:type="paragraph" w:customStyle="1" w:styleId="213">
    <w:name w:val="Основной текст21"/>
    <w:basedOn w:val="a"/>
    <w:rsid w:val="003C4CEF"/>
    <w:pPr>
      <w:shd w:val="clear" w:color="auto" w:fill="FFFFFF"/>
      <w:spacing w:before="120" w:after="120" w:line="227" w:lineRule="exact"/>
      <w:ind w:hanging="280"/>
      <w:jc w:val="right"/>
    </w:pPr>
    <w:rPr>
      <w:rFonts w:ascii="Times New Roman" w:eastAsia="Times New Roman" w:hAnsi="Times New Roman"/>
      <w:color w:val="000000"/>
      <w:sz w:val="21"/>
      <w:szCs w:val="21"/>
      <w:lang w:eastAsia="ru-RU"/>
    </w:rPr>
  </w:style>
  <w:style w:type="paragraph" w:customStyle="1" w:styleId="b-articletext">
    <w:name w:val="b-article__text"/>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styleId="afff2">
    <w:name w:val="No Spacing"/>
    <w:basedOn w:val="a"/>
    <w:uiPriority w:val="1"/>
    <w:qFormat/>
    <w:rsid w:val="00B96AA7"/>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7">
    <w:name w:val="Основной текст17"/>
    <w:basedOn w:val="a"/>
    <w:link w:val="aff"/>
    <w:rsid w:val="004125F7"/>
    <w:pPr>
      <w:shd w:val="clear" w:color="auto" w:fill="FFFFFF"/>
      <w:spacing w:before="300" w:after="0" w:line="197" w:lineRule="exact"/>
      <w:ind w:hanging="640"/>
    </w:pPr>
    <w:rPr>
      <w:rFonts w:ascii="Microsoft Sans Serif" w:hAnsi="Microsoft Sans Serif" w:cs="Microsoft Sans Serif"/>
      <w:spacing w:val="-10"/>
      <w:sz w:val="29"/>
      <w:szCs w:val="29"/>
      <w:lang w:eastAsia="ru-RU"/>
    </w:rPr>
  </w:style>
  <w:style w:type="paragraph" w:customStyle="1" w:styleId="521">
    <w:name w:val="Основной текст52"/>
    <w:basedOn w:val="a"/>
    <w:rsid w:val="004125F7"/>
    <w:pPr>
      <w:shd w:val="clear" w:color="auto" w:fill="FFFFFF"/>
      <w:spacing w:after="0" w:line="425" w:lineRule="exact"/>
      <w:jc w:val="both"/>
    </w:pPr>
    <w:rPr>
      <w:rFonts w:ascii="Segoe UI" w:eastAsia="Segoe UI" w:hAnsi="Segoe UI" w:cs="Segoe UI"/>
      <w:color w:val="000000"/>
      <w:sz w:val="15"/>
      <w:szCs w:val="15"/>
      <w:lang w:val="ru" w:eastAsia="ru-RU"/>
    </w:rPr>
  </w:style>
  <w:style w:type="paragraph" w:customStyle="1" w:styleId="221">
    <w:name w:val="Основной текст22"/>
    <w:basedOn w:val="a"/>
    <w:rsid w:val="002F0F01"/>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630">
    <w:name w:val="Основной текст (63)_"/>
    <w:basedOn w:val="a0"/>
    <w:link w:val="631"/>
    <w:rsid w:val="002C7BF8"/>
    <w:rPr>
      <w:rFonts w:ascii="Segoe UI" w:eastAsia="Segoe UI" w:hAnsi="Segoe UI" w:cs="Segoe UI"/>
      <w:sz w:val="15"/>
      <w:szCs w:val="15"/>
      <w:shd w:val="clear" w:color="auto" w:fill="FFFFFF"/>
    </w:rPr>
  </w:style>
  <w:style w:type="paragraph" w:customStyle="1" w:styleId="631">
    <w:name w:val="Основной текст (63)"/>
    <w:basedOn w:val="a"/>
    <w:link w:val="630"/>
    <w:rsid w:val="002C7BF8"/>
    <w:pPr>
      <w:shd w:val="clear" w:color="auto" w:fill="FFFFFF"/>
      <w:spacing w:after="0" w:line="198" w:lineRule="exact"/>
      <w:jc w:val="right"/>
    </w:pPr>
    <w:rPr>
      <w:rFonts w:ascii="Segoe UI" w:eastAsia="Segoe UI" w:hAnsi="Segoe UI" w:cs="Segoe UI"/>
      <w:sz w:val="15"/>
      <w:szCs w:val="15"/>
      <w:lang w:eastAsia="ru-RU"/>
    </w:rPr>
  </w:style>
  <w:style w:type="paragraph" w:customStyle="1" w:styleId="article-renderblock">
    <w:name w:val="article-render__block"/>
    <w:basedOn w:val="a"/>
    <w:rsid w:val="003C1335"/>
    <w:pPr>
      <w:spacing w:before="100" w:beforeAutospacing="1" w:after="100" w:afterAutospacing="1" w:line="240" w:lineRule="auto"/>
    </w:pPr>
    <w:rPr>
      <w:rFonts w:ascii="Times New Roman" w:eastAsia="Times New Roman" w:hAnsi="Times New Roman"/>
      <w:sz w:val="24"/>
      <w:szCs w:val="24"/>
      <w:lang w:eastAsia="ru-RU"/>
    </w:rPr>
  </w:style>
  <w:style w:type="paragraph" w:styleId="HTML2">
    <w:name w:val="HTML Address"/>
    <w:basedOn w:val="a"/>
    <w:link w:val="HTML3"/>
    <w:uiPriority w:val="99"/>
    <w:semiHidden/>
    <w:unhideWhenUsed/>
    <w:rsid w:val="003C1335"/>
    <w:pPr>
      <w:spacing w:after="0" w:line="240" w:lineRule="auto"/>
    </w:pPr>
    <w:rPr>
      <w:rFonts w:ascii="Times New Roman" w:eastAsia="Times New Roman" w:hAnsi="Times New Roman"/>
      <w:i/>
      <w:iCs/>
      <w:sz w:val="24"/>
      <w:szCs w:val="24"/>
      <w:lang w:eastAsia="ru-RU"/>
    </w:rPr>
  </w:style>
  <w:style w:type="character" w:customStyle="1" w:styleId="HTML3">
    <w:name w:val="Адрес HTML Знак"/>
    <w:basedOn w:val="a0"/>
    <w:link w:val="HTML2"/>
    <w:uiPriority w:val="99"/>
    <w:semiHidden/>
    <w:rsid w:val="003C1335"/>
    <w:rPr>
      <w:rFonts w:ascii="Times New Roman" w:eastAsia="Times New Roman" w:hAnsi="Times New Roman"/>
      <w:i/>
      <w:iCs/>
      <w:sz w:val="24"/>
      <w:szCs w:val="24"/>
    </w:rPr>
  </w:style>
  <w:style w:type="character" w:customStyle="1" w:styleId="142">
    <w:name w:val="Основной текст14"/>
    <w:basedOn w:val="aff"/>
    <w:rsid w:val="00270580"/>
    <w:rPr>
      <w:rFonts w:ascii="Segoe UI" w:eastAsia="Segoe UI" w:hAnsi="Segoe UI" w:cs="Segoe UI"/>
      <w:b w:val="0"/>
      <w:bCs w:val="0"/>
      <w:i w:val="0"/>
      <w:iCs w:val="0"/>
      <w:smallCaps w:val="0"/>
      <w:strike w:val="0"/>
      <w:spacing w:val="0"/>
      <w:sz w:val="14"/>
      <w:szCs w:val="14"/>
      <w:shd w:val="clear" w:color="auto" w:fill="FFFFFF"/>
    </w:rPr>
  </w:style>
  <w:style w:type="paragraph" w:customStyle="1" w:styleId="108">
    <w:name w:val="Основной текст108"/>
    <w:basedOn w:val="a"/>
    <w:rsid w:val="00F15A76"/>
    <w:pPr>
      <w:shd w:val="clear" w:color="auto" w:fill="FFFFFF"/>
      <w:spacing w:after="300" w:line="0" w:lineRule="atLeast"/>
      <w:ind w:hanging="880"/>
    </w:pPr>
    <w:rPr>
      <w:rFonts w:ascii="Segoe UI" w:eastAsia="Segoe UI" w:hAnsi="Segoe UI" w:cs="Segoe UI"/>
      <w:color w:val="000000"/>
      <w:sz w:val="14"/>
      <w:szCs w:val="14"/>
      <w:lang w:val="ru" w:eastAsia="ru-RU"/>
    </w:rPr>
  </w:style>
  <w:style w:type="character" w:customStyle="1" w:styleId="820">
    <w:name w:val="Основной текст82"/>
    <w:basedOn w:val="aff"/>
    <w:rsid w:val="00F15A76"/>
    <w:rPr>
      <w:rFonts w:ascii="Segoe UI" w:eastAsia="Segoe UI" w:hAnsi="Segoe UI" w:cs="Segoe UI"/>
      <w:b w:val="0"/>
      <w:bCs w:val="0"/>
      <w:i w:val="0"/>
      <w:iCs w:val="0"/>
      <w:smallCaps w:val="0"/>
      <w:strike w:val="0"/>
      <w:spacing w:val="0"/>
      <w:sz w:val="14"/>
      <w:szCs w:val="14"/>
      <w:shd w:val="clear" w:color="auto" w:fill="FFFFFF"/>
    </w:rPr>
  </w:style>
  <w:style w:type="character" w:customStyle="1" w:styleId="affa">
    <w:name w:val="Подпись к картинке_"/>
    <w:basedOn w:val="a0"/>
    <w:link w:val="aff9"/>
    <w:rsid w:val="00201255"/>
    <w:rPr>
      <w:rFonts w:ascii="MS Reference Sans Serif" w:hAnsi="MS Reference Sans Serif" w:cs="MS Reference Sans Serif"/>
      <w:b/>
      <w:bCs/>
      <w:sz w:val="13"/>
      <w:szCs w:val="13"/>
      <w:shd w:val="clear" w:color="auto" w:fill="FFFFFF"/>
      <w:lang w:eastAsia="en-US"/>
    </w:rPr>
  </w:style>
  <w:style w:type="character" w:customStyle="1" w:styleId="79">
    <w:name w:val="Основной текст79"/>
    <w:basedOn w:val="aff"/>
    <w:rsid w:val="00407660"/>
    <w:rPr>
      <w:rFonts w:ascii="Segoe UI" w:eastAsia="Segoe UI" w:hAnsi="Segoe UI" w:cs="Segoe UI"/>
      <w:b w:val="0"/>
      <w:bCs w:val="0"/>
      <w:i w:val="0"/>
      <w:iCs w:val="0"/>
      <w:smallCaps w:val="0"/>
      <w:strike w:val="0"/>
      <w:spacing w:val="0"/>
      <w:sz w:val="14"/>
      <w:szCs w:val="14"/>
      <w:shd w:val="clear" w:color="auto" w:fill="FFFFFF"/>
    </w:rPr>
  </w:style>
  <w:style w:type="character" w:customStyle="1" w:styleId="88">
    <w:name w:val="Основной текст88"/>
    <w:basedOn w:val="aff"/>
    <w:rsid w:val="00A62F5F"/>
    <w:rPr>
      <w:rFonts w:ascii="Segoe UI" w:eastAsia="Segoe UI" w:hAnsi="Segoe UI" w:cs="Segoe UI"/>
      <w:b w:val="0"/>
      <w:bCs w:val="0"/>
      <w:i w:val="0"/>
      <w:iCs w:val="0"/>
      <w:smallCaps w:val="0"/>
      <w:strike w:val="0"/>
      <w:spacing w:val="0"/>
      <w:sz w:val="14"/>
      <w:szCs w:val="14"/>
      <w:u w:val="single"/>
      <w:shd w:val="clear" w:color="auto" w:fill="FFFFFF"/>
    </w:rPr>
  </w:style>
  <w:style w:type="paragraph" w:customStyle="1" w:styleId="116">
    <w:name w:val="Основной текст116"/>
    <w:basedOn w:val="a"/>
    <w:rsid w:val="00A62F5F"/>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89">
    <w:name w:val="Основной текст89"/>
    <w:basedOn w:val="aff"/>
    <w:rsid w:val="00A62F5F"/>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900">
    <w:name w:val="Основной текст90"/>
    <w:basedOn w:val="aff"/>
    <w:rsid w:val="00A62F5F"/>
    <w:rPr>
      <w:rFonts w:ascii="Trebuchet MS" w:eastAsia="Trebuchet MS" w:hAnsi="Trebuchet MS" w:cs="Trebuchet MS"/>
      <w:b w:val="0"/>
      <w:bCs w:val="0"/>
      <w:i w:val="0"/>
      <w:iCs w:val="0"/>
      <w:smallCaps w:val="0"/>
      <w:strike w:val="0"/>
      <w:spacing w:val="0"/>
      <w:sz w:val="14"/>
      <w:szCs w:val="14"/>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031687">
      <w:bodyDiv w:val="1"/>
      <w:marLeft w:val="0"/>
      <w:marRight w:val="0"/>
      <w:marTop w:val="0"/>
      <w:marBottom w:val="0"/>
      <w:divBdr>
        <w:top w:val="none" w:sz="0" w:space="0" w:color="auto"/>
        <w:left w:val="none" w:sz="0" w:space="0" w:color="auto"/>
        <w:bottom w:val="none" w:sz="0" w:space="0" w:color="auto"/>
        <w:right w:val="none" w:sz="0" w:space="0" w:color="auto"/>
      </w:divBdr>
      <w:divsChild>
        <w:div w:id="192352951">
          <w:marLeft w:val="0"/>
          <w:marRight w:val="0"/>
          <w:marTop w:val="0"/>
          <w:marBottom w:val="0"/>
          <w:divBdr>
            <w:top w:val="none" w:sz="0" w:space="0" w:color="auto"/>
            <w:left w:val="none" w:sz="0" w:space="0" w:color="auto"/>
            <w:bottom w:val="none" w:sz="0" w:space="0" w:color="auto"/>
            <w:right w:val="none" w:sz="0" w:space="0" w:color="auto"/>
          </w:divBdr>
          <w:divsChild>
            <w:div w:id="1412696642">
              <w:marLeft w:val="0"/>
              <w:marRight w:val="0"/>
              <w:marTop w:val="0"/>
              <w:marBottom w:val="0"/>
              <w:divBdr>
                <w:top w:val="none" w:sz="0" w:space="0" w:color="auto"/>
                <w:left w:val="none" w:sz="0" w:space="0" w:color="auto"/>
                <w:bottom w:val="none" w:sz="0" w:space="0" w:color="auto"/>
                <w:right w:val="none" w:sz="0" w:space="0" w:color="auto"/>
              </w:divBdr>
              <w:divsChild>
                <w:div w:id="702051071">
                  <w:marLeft w:val="0"/>
                  <w:marRight w:val="0"/>
                  <w:marTop w:val="0"/>
                  <w:marBottom w:val="0"/>
                  <w:divBdr>
                    <w:top w:val="none" w:sz="0" w:space="0" w:color="auto"/>
                    <w:left w:val="none" w:sz="0" w:space="0" w:color="auto"/>
                    <w:bottom w:val="none" w:sz="0" w:space="0" w:color="auto"/>
                    <w:right w:val="none" w:sz="0" w:space="0" w:color="auto"/>
                  </w:divBdr>
                  <w:divsChild>
                    <w:div w:id="1113134012">
                      <w:marLeft w:val="0"/>
                      <w:marRight w:val="0"/>
                      <w:marTop w:val="0"/>
                      <w:marBottom w:val="0"/>
                      <w:divBdr>
                        <w:top w:val="none" w:sz="0" w:space="0" w:color="auto"/>
                        <w:left w:val="none" w:sz="0" w:space="0" w:color="auto"/>
                        <w:bottom w:val="none" w:sz="0" w:space="0" w:color="auto"/>
                        <w:right w:val="none" w:sz="0" w:space="0" w:color="auto"/>
                      </w:divBdr>
                      <w:divsChild>
                        <w:div w:id="365300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5325702">
      <w:bodyDiv w:val="1"/>
      <w:marLeft w:val="0"/>
      <w:marRight w:val="0"/>
      <w:marTop w:val="0"/>
      <w:marBottom w:val="0"/>
      <w:divBdr>
        <w:top w:val="none" w:sz="0" w:space="0" w:color="auto"/>
        <w:left w:val="none" w:sz="0" w:space="0" w:color="auto"/>
        <w:bottom w:val="none" w:sz="0" w:space="0" w:color="auto"/>
        <w:right w:val="none" w:sz="0" w:space="0" w:color="auto"/>
      </w:divBdr>
      <w:divsChild>
        <w:div w:id="166018206">
          <w:marLeft w:val="0"/>
          <w:marRight w:val="0"/>
          <w:marTop w:val="0"/>
          <w:marBottom w:val="0"/>
          <w:divBdr>
            <w:top w:val="none" w:sz="0" w:space="0" w:color="auto"/>
            <w:left w:val="none" w:sz="0" w:space="0" w:color="auto"/>
            <w:bottom w:val="none" w:sz="0" w:space="0" w:color="auto"/>
            <w:right w:val="none" w:sz="0" w:space="0" w:color="auto"/>
          </w:divBdr>
          <w:divsChild>
            <w:div w:id="1275163836">
              <w:marLeft w:val="0"/>
              <w:marRight w:val="0"/>
              <w:marTop w:val="0"/>
              <w:marBottom w:val="0"/>
              <w:divBdr>
                <w:top w:val="none" w:sz="0" w:space="0" w:color="auto"/>
                <w:left w:val="none" w:sz="0" w:space="0" w:color="auto"/>
                <w:bottom w:val="none" w:sz="0" w:space="0" w:color="auto"/>
                <w:right w:val="none" w:sz="0" w:space="0" w:color="auto"/>
              </w:divBdr>
              <w:divsChild>
                <w:div w:id="624047700">
                  <w:marLeft w:val="0"/>
                  <w:marRight w:val="0"/>
                  <w:marTop w:val="0"/>
                  <w:marBottom w:val="0"/>
                  <w:divBdr>
                    <w:top w:val="none" w:sz="0" w:space="0" w:color="auto"/>
                    <w:left w:val="none" w:sz="0" w:space="0" w:color="auto"/>
                    <w:bottom w:val="none" w:sz="0" w:space="0" w:color="auto"/>
                    <w:right w:val="none" w:sz="0" w:space="0" w:color="auto"/>
                  </w:divBdr>
                  <w:divsChild>
                    <w:div w:id="828406093">
                      <w:marLeft w:val="0"/>
                      <w:marRight w:val="0"/>
                      <w:marTop w:val="0"/>
                      <w:marBottom w:val="0"/>
                      <w:divBdr>
                        <w:top w:val="none" w:sz="0" w:space="0" w:color="auto"/>
                        <w:left w:val="none" w:sz="0" w:space="0" w:color="auto"/>
                        <w:bottom w:val="none" w:sz="0" w:space="0" w:color="auto"/>
                        <w:right w:val="none" w:sz="0" w:space="0" w:color="auto"/>
                      </w:divBdr>
                      <w:divsChild>
                        <w:div w:id="1262878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5823353">
      <w:bodyDiv w:val="1"/>
      <w:marLeft w:val="0"/>
      <w:marRight w:val="0"/>
      <w:marTop w:val="0"/>
      <w:marBottom w:val="0"/>
      <w:divBdr>
        <w:top w:val="none" w:sz="0" w:space="0" w:color="auto"/>
        <w:left w:val="none" w:sz="0" w:space="0" w:color="auto"/>
        <w:bottom w:val="none" w:sz="0" w:space="0" w:color="auto"/>
        <w:right w:val="none" w:sz="0" w:space="0" w:color="auto"/>
      </w:divBdr>
      <w:divsChild>
        <w:div w:id="2084600090">
          <w:marLeft w:val="0"/>
          <w:marRight w:val="0"/>
          <w:marTop w:val="0"/>
          <w:marBottom w:val="0"/>
          <w:divBdr>
            <w:top w:val="none" w:sz="0" w:space="0" w:color="auto"/>
            <w:left w:val="none" w:sz="0" w:space="0" w:color="auto"/>
            <w:bottom w:val="none" w:sz="0" w:space="0" w:color="auto"/>
            <w:right w:val="none" w:sz="0" w:space="0" w:color="auto"/>
          </w:divBdr>
          <w:divsChild>
            <w:div w:id="3635568">
              <w:marLeft w:val="0"/>
              <w:marRight w:val="0"/>
              <w:marTop w:val="0"/>
              <w:marBottom w:val="0"/>
              <w:divBdr>
                <w:top w:val="none" w:sz="0" w:space="0" w:color="auto"/>
                <w:left w:val="none" w:sz="0" w:space="0" w:color="auto"/>
                <w:bottom w:val="none" w:sz="0" w:space="0" w:color="auto"/>
                <w:right w:val="none" w:sz="0" w:space="0" w:color="auto"/>
              </w:divBdr>
              <w:divsChild>
                <w:div w:id="2018118977">
                  <w:marLeft w:val="0"/>
                  <w:marRight w:val="0"/>
                  <w:marTop w:val="0"/>
                  <w:marBottom w:val="0"/>
                  <w:divBdr>
                    <w:top w:val="none" w:sz="0" w:space="0" w:color="auto"/>
                    <w:left w:val="none" w:sz="0" w:space="0" w:color="auto"/>
                    <w:bottom w:val="none" w:sz="0" w:space="0" w:color="auto"/>
                    <w:right w:val="none" w:sz="0" w:space="0" w:color="auto"/>
                  </w:divBdr>
                  <w:divsChild>
                    <w:div w:id="923143909">
                      <w:marLeft w:val="0"/>
                      <w:marRight w:val="0"/>
                      <w:marTop w:val="0"/>
                      <w:marBottom w:val="0"/>
                      <w:divBdr>
                        <w:top w:val="none" w:sz="0" w:space="0" w:color="auto"/>
                        <w:left w:val="none" w:sz="0" w:space="0" w:color="auto"/>
                        <w:bottom w:val="none" w:sz="0" w:space="0" w:color="auto"/>
                        <w:right w:val="none" w:sz="0" w:space="0" w:color="auto"/>
                      </w:divBdr>
                      <w:divsChild>
                        <w:div w:id="86062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9176706">
      <w:bodyDiv w:val="1"/>
      <w:marLeft w:val="0"/>
      <w:marRight w:val="0"/>
      <w:marTop w:val="0"/>
      <w:marBottom w:val="0"/>
      <w:divBdr>
        <w:top w:val="none" w:sz="0" w:space="0" w:color="auto"/>
        <w:left w:val="none" w:sz="0" w:space="0" w:color="auto"/>
        <w:bottom w:val="none" w:sz="0" w:space="0" w:color="auto"/>
        <w:right w:val="none" w:sz="0" w:space="0" w:color="auto"/>
      </w:divBdr>
      <w:divsChild>
        <w:div w:id="1938756840">
          <w:marLeft w:val="0"/>
          <w:marRight w:val="0"/>
          <w:marTop w:val="0"/>
          <w:marBottom w:val="0"/>
          <w:divBdr>
            <w:top w:val="none" w:sz="0" w:space="0" w:color="auto"/>
            <w:left w:val="none" w:sz="0" w:space="0" w:color="auto"/>
            <w:bottom w:val="none" w:sz="0" w:space="0" w:color="auto"/>
            <w:right w:val="none" w:sz="0" w:space="0" w:color="auto"/>
          </w:divBdr>
          <w:divsChild>
            <w:div w:id="1336225595">
              <w:marLeft w:val="0"/>
              <w:marRight w:val="0"/>
              <w:marTop w:val="0"/>
              <w:marBottom w:val="0"/>
              <w:divBdr>
                <w:top w:val="none" w:sz="0" w:space="0" w:color="auto"/>
                <w:left w:val="none" w:sz="0" w:space="0" w:color="auto"/>
                <w:bottom w:val="none" w:sz="0" w:space="0" w:color="auto"/>
                <w:right w:val="none" w:sz="0" w:space="0" w:color="auto"/>
              </w:divBdr>
              <w:divsChild>
                <w:div w:id="673073286">
                  <w:marLeft w:val="0"/>
                  <w:marRight w:val="0"/>
                  <w:marTop w:val="0"/>
                  <w:marBottom w:val="0"/>
                  <w:divBdr>
                    <w:top w:val="none" w:sz="0" w:space="0" w:color="auto"/>
                    <w:left w:val="none" w:sz="0" w:space="0" w:color="auto"/>
                    <w:bottom w:val="none" w:sz="0" w:space="0" w:color="auto"/>
                    <w:right w:val="none" w:sz="0" w:space="0" w:color="auto"/>
                  </w:divBdr>
                  <w:divsChild>
                    <w:div w:id="494683459">
                      <w:marLeft w:val="0"/>
                      <w:marRight w:val="0"/>
                      <w:marTop w:val="0"/>
                      <w:marBottom w:val="0"/>
                      <w:divBdr>
                        <w:top w:val="none" w:sz="0" w:space="0" w:color="auto"/>
                        <w:left w:val="none" w:sz="0" w:space="0" w:color="auto"/>
                        <w:bottom w:val="none" w:sz="0" w:space="0" w:color="auto"/>
                        <w:right w:val="none" w:sz="0" w:space="0" w:color="auto"/>
                      </w:divBdr>
                      <w:divsChild>
                        <w:div w:id="1014724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1751731">
      <w:bodyDiv w:val="1"/>
      <w:marLeft w:val="0"/>
      <w:marRight w:val="0"/>
      <w:marTop w:val="0"/>
      <w:marBottom w:val="0"/>
      <w:divBdr>
        <w:top w:val="none" w:sz="0" w:space="0" w:color="auto"/>
        <w:left w:val="none" w:sz="0" w:space="0" w:color="auto"/>
        <w:bottom w:val="none" w:sz="0" w:space="0" w:color="auto"/>
        <w:right w:val="none" w:sz="0" w:space="0" w:color="auto"/>
      </w:divBdr>
      <w:divsChild>
        <w:div w:id="567499202">
          <w:marLeft w:val="0"/>
          <w:marRight w:val="0"/>
          <w:marTop w:val="0"/>
          <w:marBottom w:val="0"/>
          <w:divBdr>
            <w:top w:val="none" w:sz="0" w:space="0" w:color="auto"/>
            <w:left w:val="none" w:sz="0" w:space="0" w:color="auto"/>
            <w:bottom w:val="none" w:sz="0" w:space="0" w:color="auto"/>
            <w:right w:val="none" w:sz="0" w:space="0" w:color="auto"/>
          </w:divBdr>
          <w:divsChild>
            <w:div w:id="1555506136">
              <w:marLeft w:val="0"/>
              <w:marRight w:val="0"/>
              <w:marTop w:val="0"/>
              <w:marBottom w:val="0"/>
              <w:divBdr>
                <w:top w:val="none" w:sz="0" w:space="0" w:color="auto"/>
                <w:left w:val="none" w:sz="0" w:space="0" w:color="auto"/>
                <w:bottom w:val="none" w:sz="0" w:space="0" w:color="auto"/>
                <w:right w:val="none" w:sz="0" w:space="0" w:color="auto"/>
              </w:divBdr>
              <w:divsChild>
                <w:div w:id="672685649">
                  <w:marLeft w:val="0"/>
                  <w:marRight w:val="0"/>
                  <w:marTop w:val="0"/>
                  <w:marBottom w:val="0"/>
                  <w:divBdr>
                    <w:top w:val="none" w:sz="0" w:space="0" w:color="auto"/>
                    <w:left w:val="none" w:sz="0" w:space="0" w:color="auto"/>
                    <w:bottom w:val="none" w:sz="0" w:space="0" w:color="auto"/>
                    <w:right w:val="none" w:sz="0" w:space="0" w:color="auto"/>
                  </w:divBdr>
                  <w:divsChild>
                    <w:div w:id="735667575">
                      <w:marLeft w:val="0"/>
                      <w:marRight w:val="0"/>
                      <w:marTop w:val="0"/>
                      <w:marBottom w:val="0"/>
                      <w:divBdr>
                        <w:top w:val="none" w:sz="0" w:space="0" w:color="auto"/>
                        <w:left w:val="none" w:sz="0" w:space="0" w:color="auto"/>
                        <w:bottom w:val="none" w:sz="0" w:space="0" w:color="auto"/>
                        <w:right w:val="none" w:sz="0" w:space="0" w:color="auto"/>
                      </w:divBdr>
                      <w:divsChild>
                        <w:div w:id="706486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8955120">
      <w:bodyDiv w:val="1"/>
      <w:marLeft w:val="0"/>
      <w:marRight w:val="0"/>
      <w:marTop w:val="0"/>
      <w:marBottom w:val="0"/>
      <w:divBdr>
        <w:top w:val="none" w:sz="0" w:space="0" w:color="auto"/>
        <w:left w:val="none" w:sz="0" w:space="0" w:color="auto"/>
        <w:bottom w:val="none" w:sz="0" w:space="0" w:color="auto"/>
        <w:right w:val="none" w:sz="0" w:space="0" w:color="auto"/>
      </w:divBdr>
      <w:divsChild>
        <w:div w:id="2023192952">
          <w:marLeft w:val="0"/>
          <w:marRight w:val="0"/>
          <w:marTop w:val="0"/>
          <w:marBottom w:val="0"/>
          <w:divBdr>
            <w:top w:val="none" w:sz="0" w:space="0" w:color="auto"/>
            <w:left w:val="none" w:sz="0" w:space="0" w:color="auto"/>
            <w:bottom w:val="none" w:sz="0" w:space="0" w:color="auto"/>
            <w:right w:val="none" w:sz="0" w:space="0" w:color="auto"/>
          </w:divBdr>
          <w:divsChild>
            <w:div w:id="1585726629">
              <w:marLeft w:val="0"/>
              <w:marRight w:val="0"/>
              <w:marTop w:val="0"/>
              <w:marBottom w:val="0"/>
              <w:divBdr>
                <w:top w:val="none" w:sz="0" w:space="0" w:color="auto"/>
                <w:left w:val="none" w:sz="0" w:space="0" w:color="auto"/>
                <w:bottom w:val="none" w:sz="0" w:space="0" w:color="auto"/>
                <w:right w:val="none" w:sz="0" w:space="0" w:color="auto"/>
              </w:divBdr>
              <w:divsChild>
                <w:div w:id="903758628">
                  <w:marLeft w:val="0"/>
                  <w:marRight w:val="0"/>
                  <w:marTop w:val="0"/>
                  <w:marBottom w:val="0"/>
                  <w:divBdr>
                    <w:top w:val="none" w:sz="0" w:space="0" w:color="auto"/>
                    <w:left w:val="none" w:sz="0" w:space="0" w:color="auto"/>
                    <w:bottom w:val="none" w:sz="0" w:space="0" w:color="auto"/>
                    <w:right w:val="none" w:sz="0" w:space="0" w:color="auto"/>
                  </w:divBdr>
                  <w:divsChild>
                    <w:div w:id="1507867837">
                      <w:marLeft w:val="0"/>
                      <w:marRight w:val="0"/>
                      <w:marTop w:val="0"/>
                      <w:marBottom w:val="0"/>
                      <w:divBdr>
                        <w:top w:val="none" w:sz="0" w:space="0" w:color="auto"/>
                        <w:left w:val="none" w:sz="0" w:space="0" w:color="auto"/>
                        <w:bottom w:val="none" w:sz="0" w:space="0" w:color="auto"/>
                        <w:right w:val="none" w:sz="0" w:space="0" w:color="auto"/>
                      </w:divBdr>
                      <w:divsChild>
                        <w:div w:id="833302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10430923">
      <w:bodyDiv w:val="1"/>
      <w:marLeft w:val="0"/>
      <w:marRight w:val="0"/>
      <w:marTop w:val="0"/>
      <w:marBottom w:val="0"/>
      <w:divBdr>
        <w:top w:val="none" w:sz="0" w:space="0" w:color="auto"/>
        <w:left w:val="none" w:sz="0" w:space="0" w:color="auto"/>
        <w:bottom w:val="none" w:sz="0" w:space="0" w:color="auto"/>
        <w:right w:val="none" w:sz="0" w:space="0" w:color="auto"/>
      </w:divBdr>
      <w:divsChild>
        <w:div w:id="680355661">
          <w:marLeft w:val="0"/>
          <w:marRight w:val="0"/>
          <w:marTop w:val="0"/>
          <w:marBottom w:val="0"/>
          <w:divBdr>
            <w:top w:val="none" w:sz="0" w:space="0" w:color="auto"/>
            <w:left w:val="none" w:sz="0" w:space="0" w:color="auto"/>
            <w:bottom w:val="none" w:sz="0" w:space="0" w:color="auto"/>
            <w:right w:val="none" w:sz="0" w:space="0" w:color="auto"/>
          </w:divBdr>
          <w:divsChild>
            <w:div w:id="1466314756">
              <w:marLeft w:val="0"/>
              <w:marRight w:val="0"/>
              <w:marTop w:val="0"/>
              <w:marBottom w:val="0"/>
              <w:divBdr>
                <w:top w:val="none" w:sz="0" w:space="0" w:color="auto"/>
                <w:left w:val="none" w:sz="0" w:space="0" w:color="auto"/>
                <w:bottom w:val="none" w:sz="0" w:space="0" w:color="auto"/>
                <w:right w:val="none" w:sz="0" w:space="0" w:color="auto"/>
              </w:divBdr>
              <w:divsChild>
                <w:div w:id="1804468503">
                  <w:marLeft w:val="0"/>
                  <w:marRight w:val="0"/>
                  <w:marTop w:val="0"/>
                  <w:marBottom w:val="0"/>
                  <w:divBdr>
                    <w:top w:val="none" w:sz="0" w:space="0" w:color="auto"/>
                    <w:left w:val="none" w:sz="0" w:space="0" w:color="auto"/>
                    <w:bottom w:val="none" w:sz="0" w:space="0" w:color="auto"/>
                    <w:right w:val="none" w:sz="0" w:space="0" w:color="auto"/>
                  </w:divBdr>
                  <w:divsChild>
                    <w:div w:id="1549413435">
                      <w:marLeft w:val="0"/>
                      <w:marRight w:val="0"/>
                      <w:marTop w:val="0"/>
                      <w:marBottom w:val="0"/>
                      <w:divBdr>
                        <w:top w:val="none" w:sz="0" w:space="0" w:color="auto"/>
                        <w:left w:val="none" w:sz="0" w:space="0" w:color="auto"/>
                        <w:bottom w:val="none" w:sz="0" w:space="0" w:color="auto"/>
                        <w:right w:val="none" w:sz="0" w:space="0" w:color="auto"/>
                      </w:divBdr>
                      <w:divsChild>
                        <w:div w:id="278874870">
                          <w:marLeft w:val="0"/>
                          <w:marRight w:val="0"/>
                          <w:marTop w:val="0"/>
                          <w:marBottom w:val="0"/>
                          <w:divBdr>
                            <w:top w:val="none" w:sz="0" w:space="0" w:color="auto"/>
                            <w:left w:val="none" w:sz="0" w:space="0" w:color="auto"/>
                            <w:bottom w:val="none" w:sz="0" w:space="0" w:color="auto"/>
                            <w:right w:val="none" w:sz="0" w:space="0" w:color="auto"/>
                          </w:divBdr>
                          <w:divsChild>
                            <w:div w:id="185900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7170100">
      <w:bodyDiv w:val="1"/>
      <w:marLeft w:val="0"/>
      <w:marRight w:val="0"/>
      <w:marTop w:val="0"/>
      <w:marBottom w:val="0"/>
      <w:divBdr>
        <w:top w:val="none" w:sz="0" w:space="0" w:color="auto"/>
        <w:left w:val="none" w:sz="0" w:space="0" w:color="auto"/>
        <w:bottom w:val="none" w:sz="0" w:space="0" w:color="auto"/>
        <w:right w:val="none" w:sz="0" w:space="0" w:color="auto"/>
      </w:divBdr>
      <w:divsChild>
        <w:div w:id="1199981">
          <w:marLeft w:val="0"/>
          <w:marRight w:val="0"/>
          <w:marTop w:val="0"/>
          <w:marBottom w:val="0"/>
          <w:divBdr>
            <w:top w:val="none" w:sz="0" w:space="0" w:color="auto"/>
            <w:left w:val="none" w:sz="0" w:space="0" w:color="auto"/>
            <w:bottom w:val="none" w:sz="0" w:space="0" w:color="auto"/>
            <w:right w:val="none" w:sz="0" w:space="0" w:color="auto"/>
          </w:divBdr>
          <w:divsChild>
            <w:div w:id="1240558913">
              <w:marLeft w:val="0"/>
              <w:marRight w:val="0"/>
              <w:marTop w:val="0"/>
              <w:marBottom w:val="0"/>
              <w:divBdr>
                <w:top w:val="none" w:sz="0" w:space="0" w:color="auto"/>
                <w:left w:val="none" w:sz="0" w:space="0" w:color="auto"/>
                <w:bottom w:val="none" w:sz="0" w:space="0" w:color="auto"/>
                <w:right w:val="none" w:sz="0" w:space="0" w:color="auto"/>
              </w:divBdr>
              <w:divsChild>
                <w:div w:id="1147552141">
                  <w:marLeft w:val="0"/>
                  <w:marRight w:val="0"/>
                  <w:marTop w:val="0"/>
                  <w:marBottom w:val="0"/>
                  <w:divBdr>
                    <w:top w:val="none" w:sz="0" w:space="0" w:color="auto"/>
                    <w:left w:val="none" w:sz="0" w:space="0" w:color="auto"/>
                    <w:bottom w:val="none" w:sz="0" w:space="0" w:color="auto"/>
                    <w:right w:val="none" w:sz="0" w:space="0" w:color="auto"/>
                  </w:divBdr>
                  <w:divsChild>
                    <w:div w:id="632832280">
                      <w:marLeft w:val="0"/>
                      <w:marRight w:val="0"/>
                      <w:marTop w:val="0"/>
                      <w:marBottom w:val="0"/>
                      <w:divBdr>
                        <w:top w:val="none" w:sz="0" w:space="0" w:color="auto"/>
                        <w:left w:val="none" w:sz="0" w:space="0" w:color="auto"/>
                        <w:bottom w:val="none" w:sz="0" w:space="0" w:color="auto"/>
                        <w:right w:val="none" w:sz="0" w:space="0" w:color="auto"/>
                      </w:divBdr>
                      <w:divsChild>
                        <w:div w:id="1140927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5082185">
      <w:bodyDiv w:val="1"/>
      <w:marLeft w:val="0"/>
      <w:marRight w:val="0"/>
      <w:marTop w:val="0"/>
      <w:marBottom w:val="0"/>
      <w:divBdr>
        <w:top w:val="none" w:sz="0" w:space="0" w:color="auto"/>
        <w:left w:val="none" w:sz="0" w:space="0" w:color="auto"/>
        <w:bottom w:val="none" w:sz="0" w:space="0" w:color="auto"/>
        <w:right w:val="none" w:sz="0" w:space="0" w:color="auto"/>
      </w:divBdr>
      <w:divsChild>
        <w:div w:id="1537040091">
          <w:marLeft w:val="0"/>
          <w:marRight w:val="0"/>
          <w:marTop w:val="0"/>
          <w:marBottom w:val="0"/>
          <w:divBdr>
            <w:top w:val="none" w:sz="0" w:space="0" w:color="auto"/>
            <w:left w:val="none" w:sz="0" w:space="0" w:color="auto"/>
            <w:bottom w:val="none" w:sz="0" w:space="0" w:color="auto"/>
            <w:right w:val="none" w:sz="0" w:space="0" w:color="auto"/>
          </w:divBdr>
          <w:divsChild>
            <w:div w:id="1750611580">
              <w:marLeft w:val="0"/>
              <w:marRight w:val="0"/>
              <w:marTop w:val="0"/>
              <w:marBottom w:val="0"/>
              <w:divBdr>
                <w:top w:val="none" w:sz="0" w:space="0" w:color="auto"/>
                <w:left w:val="none" w:sz="0" w:space="0" w:color="auto"/>
                <w:bottom w:val="none" w:sz="0" w:space="0" w:color="auto"/>
                <w:right w:val="none" w:sz="0" w:space="0" w:color="auto"/>
              </w:divBdr>
              <w:divsChild>
                <w:div w:id="821846666">
                  <w:marLeft w:val="0"/>
                  <w:marRight w:val="0"/>
                  <w:marTop w:val="0"/>
                  <w:marBottom w:val="0"/>
                  <w:divBdr>
                    <w:top w:val="none" w:sz="0" w:space="0" w:color="auto"/>
                    <w:left w:val="none" w:sz="0" w:space="0" w:color="auto"/>
                    <w:bottom w:val="none" w:sz="0" w:space="0" w:color="auto"/>
                    <w:right w:val="none" w:sz="0" w:space="0" w:color="auto"/>
                  </w:divBdr>
                  <w:divsChild>
                    <w:div w:id="70549451">
                      <w:marLeft w:val="0"/>
                      <w:marRight w:val="0"/>
                      <w:marTop w:val="0"/>
                      <w:marBottom w:val="0"/>
                      <w:divBdr>
                        <w:top w:val="none" w:sz="0" w:space="0" w:color="auto"/>
                        <w:left w:val="none" w:sz="0" w:space="0" w:color="auto"/>
                        <w:bottom w:val="none" w:sz="0" w:space="0" w:color="auto"/>
                        <w:right w:val="none" w:sz="0" w:space="0" w:color="auto"/>
                      </w:divBdr>
                      <w:divsChild>
                        <w:div w:id="783498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6486610">
      <w:bodyDiv w:val="1"/>
      <w:marLeft w:val="0"/>
      <w:marRight w:val="0"/>
      <w:marTop w:val="0"/>
      <w:marBottom w:val="0"/>
      <w:divBdr>
        <w:top w:val="none" w:sz="0" w:space="0" w:color="auto"/>
        <w:left w:val="none" w:sz="0" w:space="0" w:color="auto"/>
        <w:bottom w:val="none" w:sz="0" w:space="0" w:color="auto"/>
        <w:right w:val="none" w:sz="0" w:space="0" w:color="auto"/>
      </w:divBdr>
      <w:divsChild>
        <w:div w:id="2081555334">
          <w:marLeft w:val="0"/>
          <w:marRight w:val="0"/>
          <w:marTop w:val="0"/>
          <w:marBottom w:val="0"/>
          <w:divBdr>
            <w:top w:val="none" w:sz="0" w:space="0" w:color="auto"/>
            <w:left w:val="none" w:sz="0" w:space="0" w:color="auto"/>
            <w:bottom w:val="none" w:sz="0" w:space="0" w:color="auto"/>
            <w:right w:val="none" w:sz="0" w:space="0" w:color="auto"/>
          </w:divBdr>
          <w:divsChild>
            <w:div w:id="1262224601">
              <w:marLeft w:val="0"/>
              <w:marRight w:val="0"/>
              <w:marTop w:val="0"/>
              <w:marBottom w:val="0"/>
              <w:divBdr>
                <w:top w:val="none" w:sz="0" w:space="0" w:color="auto"/>
                <w:left w:val="none" w:sz="0" w:space="0" w:color="auto"/>
                <w:bottom w:val="none" w:sz="0" w:space="0" w:color="auto"/>
                <w:right w:val="none" w:sz="0" w:space="0" w:color="auto"/>
              </w:divBdr>
              <w:divsChild>
                <w:div w:id="1341663267">
                  <w:marLeft w:val="0"/>
                  <w:marRight w:val="0"/>
                  <w:marTop w:val="0"/>
                  <w:marBottom w:val="0"/>
                  <w:divBdr>
                    <w:top w:val="none" w:sz="0" w:space="0" w:color="auto"/>
                    <w:left w:val="none" w:sz="0" w:space="0" w:color="auto"/>
                    <w:bottom w:val="none" w:sz="0" w:space="0" w:color="auto"/>
                    <w:right w:val="none" w:sz="0" w:space="0" w:color="auto"/>
                  </w:divBdr>
                  <w:divsChild>
                    <w:div w:id="1646352809">
                      <w:marLeft w:val="0"/>
                      <w:marRight w:val="0"/>
                      <w:marTop w:val="0"/>
                      <w:marBottom w:val="0"/>
                      <w:divBdr>
                        <w:top w:val="none" w:sz="0" w:space="0" w:color="auto"/>
                        <w:left w:val="none" w:sz="0" w:space="0" w:color="auto"/>
                        <w:bottom w:val="none" w:sz="0" w:space="0" w:color="auto"/>
                        <w:right w:val="none" w:sz="0" w:space="0" w:color="auto"/>
                      </w:divBdr>
                      <w:divsChild>
                        <w:div w:id="790708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8858595">
      <w:bodyDiv w:val="1"/>
      <w:marLeft w:val="0"/>
      <w:marRight w:val="0"/>
      <w:marTop w:val="0"/>
      <w:marBottom w:val="0"/>
      <w:divBdr>
        <w:top w:val="none" w:sz="0" w:space="0" w:color="auto"/>
        <w:left w:val="none" w:sz="0" w:space="0" w:color="auto"/>
        <w:bottom w:val="none" w:sz="0" w:space="0" w:color="auto"/>
        <w:right w:val="none" w:sz="0" w:space="0" w:color="auto"/>
      </w:divBdr>
      <w:divsChild>
        <w:div w:id="915552198">
          <w:marLeft w:val="0"/>
          <w:marRight w:val="0"/>
          <w:marTop w:val="0"/>
          <w:marBottom w:val="0"/>
          <w:divBdr>
            <w:top w:val="none" w:sz="0" w:space="0" w:color="auto"/>
            <w:left w:val="none" w:sz="0" w:space="0" w:color="auto"/>
            <w:bottom w:val="none" w:sz="0" w:space="0" w:color="auto"/>
            <w:right w:val="none" w:sz="0" w:space="0" w:color="auto"/>
          </w:divBdr>
          <w:divsChild>
            <w:div w:id="774326719">
              <w:marLeft w:val="0"/>
              <w:marRight w:val="0"/>
              <w:marTop w:val="0"/>
              <w:marBottom w:val="0"/>
              <w:divBdr>
                <w:top w:val="none" w:sz="0" w:space="0" w:color="auto"/>
                <w:left w:val="none" w:sz="0" w:space="0" w:color="auto"/>
                <w:bottom w:val="none" w:sz="0" w:space="0" w:color="auto"/>
                <w:right w:val="none" w:sz="0" w:space="0" w:color="auto"/>
              </w:divBdr>
              <w:divsChild>
                <w:div w:id="1687753380">
                  <w:marLeft w:val="0"/>
                  <w:marRight w:val="0"/>
                  <w:marTop w:val="0"/>
                  <w:marBottom w:val="0"/>
                  <w:divBdr>
                    <w:top w:val="none" w:sz="0" w:space="0" w:color="auto"/>
                    <w:left w:val="none" w:sz="0" w:space="0" w:color="auto"/>
                    <w:bottom w:val="none" w:sz="0" w:space="0" w:color="auto"/>
                    <w:right w:val="none" w:sz="0" w:space="0" w:color="auto"/>
                  </w:divBdr>
                  <w:divsChild>
                    <w:div w:id="379473518">
                      <w:marLeft w:val="0"/>
                      <w:marRight w:val="0"/>
                      <w:marTop w:val="0"/>
                      <w:marBottom w:val="0"/>
                      <w:divBdr>
                        <w:top w:val="none" w:sz="0" w:space="0" w:color="auto"/>
                        <w:left w:val="none" w:sz="0" w:space="0" w:color="auto"/>
                        <w:bottom w:val="none" w:sz="0" w:space="0" w:color="auto"/>
                        <w:right w:val="none" w:sz="0" w:space="0" w:color="auto"/>
                      </w:divBdr>
                      <w:divsChild>
                        <w:div w:id="1934823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4204120">
      <w:bodyDiv w:val="1"/>
      <w:marLeft w:val="0"/>
      <w:marRight w:val="0"/>
      <w:marTop w:val="0"/>
      <w:marBottom w:val="0"/>
      <w:divBdr>
        <w:top w:val="none" w:sz="0" w:space="0" w:color="auto"/>
        <w:left w:val="none" w:sz="0" w:space="0" w:color="auto"/>
        <w:bottom w:val="none" w:sz="0" w:space="0" w:color="auto"/>
        <w:right w:val="none" w:sz="0" w:space="0" w:color="auto"/>
      </w:divBdr>
      <w:divsChild>
        <w:div w:id="1820805460">
          <w:marLeft w:val="0"/>
          <w:marRight w:val="0"/>
          <w:marTop w:val="0"/>
          <w:marBottom w:val="0"/>
          <w:divBdr>
            <w:top w:val="none" w:sz="0" w:space="0" w:color="auto"/>
            <w:left w:val="none" w:sz="0" w:space="0" w:color="auto"/>
            <w:bottom w:val="none" w:sz="0" w:space="0" w:color="auto"/>
            <w:right w:val="none" w:sz="0" w:space="0" w:color="auto"/>
          </w:divBdr>
          <w:divsChild>
            <w:div w:id="1290673497">
              <w:marLeft w:val="0"/>
              <w:marRight w:val="0"/>
              <w:marTop w:val="0"/>
              <w:marBottom w:val="0"/>
              <w:divBdr>
                <w:top w:val="none" w:sz="0" w:space="0" w:color="auto"/>
                <w:left w:val="none" w:sz="0" w:space="0" w:color="auto"/>
                <w:bottom w:val="none" w:sz="0" w:space="0" w:color="auto"/>
                <w:right w:val="none" w:sz="0" w:space="0" w:color="auto"/>
              </w:divBdr>
              <w:divsChild>
                <w:div w:id="237444173">
                  <w:marLeft w:val="0"/>
                  <w:marRight w:val="0"/>
                  <w:marTop w:val="0"/>
                  <w:marBottom w:val="0"/>
                  <w:divBdr>
                    <w:top w:val="none" w:sz="0" w:space="0" w:color="auto"/>
                    <w:left w:val="none" w:sz="0" w:space="0" w:color="auto"/>
                    <w:bottom w:val="none" w:sz="0" w:space="0" w:color="auto"/>
                    <w:right w:val="none" w:sz="0" w:space="0" w:color="auto"/>
                  </w:divBdr>
                  <w:divsChild>
                    <w:div w:id="488130562">
                      <w:marLeft w:val="0"/>
                      <w:marRight w:val="0"/>
                      <w:marTop w:val="0"/>
                      <w:marBottom w:val="0"/>
                      <w:divBdr>
                        <w:top w:val="none" w:sz="0" w:space="0" w:color="auto"/>
                        <w:left w:val="none" w:sz="0" w:space="0" w:color="auto"/>
                        <w:bottom w:val="none" w:sz="0" w:space="0" w:color="auto"/>
                        <w:right w:val="none" w:sz="0" w:space="0" w:color="auto"/>
                      </w:divBdr>
                      <w:divsChild>
                        <w:div w:id="1018506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30829835">
      <w:bodyDiv w:val="1"/>
      <w:marLeft w:val="0"/>
      <w:marRight w:val="0"/>
      <w:marTop w:val="0"/>
      <w:marBottom w:val="0"/>
      <w:divBdr>
        <w:top w:val="none" w:sz="0" w:space="0" w:color="auto"/>
        <w:left w:val="none" w:sz="0" w:space="0" w:color="auto"/>
        <w:bottom w:val="none" w:sz="0" w:space="0" w:color="auto"/>
        <w:right w:val="none" w:sz="0" w:space="0" w:color="auto"/>
      </w:divBdr>
      <w:divsChild>
        <w:div w:id="208152620">
          <w:marLeft w:val="0"/>
          <w:marRight w:val="0"/>
          <w:marTop w:val="0"/>
          <w:marBottom w:val="0"/>
          <w:divBdr>
            <w:top w:val="none" w:sz="0" w:space="0" w:color="auto"/>
            <w:left w:val="none" w:sz="0" w:space="0" w:color="auto"/>
            <w:bottom w:val="none" w:sz="0" w:space="0" w:color="auto"/>
            <w:right w:val="none" w:sz="0" w:space="0" w:color="auto"/>
          </w:divBdr>
          <w:divsChild>
            <w:div w:id="511146586">
              <w:marLeft w:val="0"/>
              <w:marRight w:val="0"/>
              <w:marTop w:val="0"/>
              <w:marBottom w:val="0"/>
              <w:divBdr>
                <w:top w:val="none" w:sz="0" w:space="0" w:color="auto"/>
                <w:left w:val="none" w:sz="0" w:space="0" w:color="auto"/>
                <w:bottom w:val="none" w:sz="0" w:space="0" w:color="auto"/>
                <w:right w:val="none" w:sz="0" w:space="0" w:color="auto"/>
              </w:divBdr>
              <w:divsChild>
                <w:div w:id="684592903">
                  <w:marLeft w:val="0"/>
                  <w:marRight w:val="0"/>
                  <w:marTop w:val="0"/>
                  <w:marBottom w:val="0"/>
                  <w:divBdr>
                    <w:top w:val="none" w:sz="0" w:space="0" w:color="auto"/>
                    <w:left w:val="none" w:sz="0" w:space="0" w:color="auto"/>
                    <w:bottom w:val="none" w:sz="0" w:space="0" w:color="auto"/>
                    <w:right w:val="none" w:sz="0" w:space="0" w:color="auto"/>
                  </w:divBdr>
                  <w:divsChild>
                    <w:div w:id="1660504180">
                      <w:marLeft w:val="0"/>
                      <w:marRight w:val="0"/>
                      <w:marTop w:val="0"/>
                      <w:marBottom w:val="0"/>
                      <w:divBdr>
                        <w:top w:val="none" w:sz="0" w:space="0" w:color="auto"/>
                        <w:left w:val="none" w:sz="0" w:space="0" w:color="auto"/>
                        <w:bottom w:val="none" w:sz="0" w:space="0" w:color="auto"/>
                        <w:right w:val="none" w:sz="0" w:space="0" w:color="auto"/>
                      </w:divBdr>
                      <w:divsChild>
                        <w:div w:id="1802989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3755257">
      <w:bodyDiv w:val="1"/>
      <w:marLeft w:val="4"/>
      <w:marRight w:val="4"/>
      <w:marTop w:val="0"/>
      <w:marBottom w:val="0"/>
      <w:divBdr>
        <w:top w:val="none" w:sz="0" w:space="0" w:color="auto"/>
        <w:left w:val="none" w:sz="0" w:space="0" w:color="auto"/>
        <w:bottom w:val="none" w:sz="0" w:space="0" w:color="auto"/>
        <w:right w:val="none" w:sz="0" w:space="0" w:color="auto"/>
      </w:divBdr>
    </w:div>
    <w:div w:id="930821973">
      <w:bodyDiv w:val="1"/>
      <w:marLeft w:val="0"/>
      <w:marRight w:val="0"/>
      <w:marTop w:val="0"/>
      <w:marBottom w:val="0"/>
      <w:divBdr>
        <w:top w:val="none" w:sz="0" w:space="0" w:color="auto"/>
        <w:left w:val="none" w:sz="0" w:space="0" w:color="auto"/>
        <w:bottom w:val="none" w:sz="0" w:space="0" w:color="auto"/>
        <w:right w:val="none" w:sz="0" w:space="0" w:color="auto"/>
      </w:divBdr>
      <w:divsChild>
        <w:div w:id="527066711">
          <w:marLeft w:val="0"/>
          <w:marRight w:val="0"/>
          <w:marTop w:val="0"/>
          <w:marBottom w:val="0"/>
          <w:divBdr>
            <w:top w:val="none" w:sz="0" w:space="0" w:color="auto"/>
            <w:left w:val="none" w:sz="0" w:space="0" w:color="auto"/>
            <w:bottom w:val="none" w:sz="0" w:space="0" w:color="auto"/>
            <w:right w:val="none" w:sz="0" w:space="0" w:color="auto"/>
          </w:divBdr>
          <w:divsChild>
            <w:div w:id="1167817948">
              <w:marLeft w:val="0"/>
              <w:marRight w:val="0"/>
              <w:marTop w:val="0"/>
              <w:marBottom w:val="0"/>
              <w:divBdr>
                <w:top w:val="none" w:sz="0" w:space="0" w:color="auto"/>
                <w:left w:val="none" w:sz="0" w:space="0" w:color="auto"/>
                <w:bottom w:val="none" w:sz="0" w:space="0" w:color="auto"/>
                <w:right w:val="none" w:sz="0" w:space="0" w:color="auto"/>
              </w:divBdr>
              <w:divsChild>
                <w:div w:id="1986351328">
                  <w:marLeft w:val="0"/>
                  <w:marRight w:val="0"/>
                  <w:marTop w:val="0"/>
                  <w:marBottom w:val="0"/>
                  <w:divBdr>
                    <w:top w:val="none" w:sz="0" w:space="0" w:color="auto"/>
                    <w:left w:val="none" w:sz="0" w:space="0" w:color="auto"/>
                    <w:bottom w:val="none" w:sz="0" w:space="0" w:color="auto"/>
                    <w:right w:val="none" w:sz="0" w:space="0" w:color="auto"/>
                  </w:divBdr>
                  <w:divsChild>
                    <w:div w:id="701053268">
                      <w:marLeft w:val="0"/>
                      <w:marRight w:val="0"/>
                      <w:marTop w:val="0"/>
                      <w:marBottom w:val="0"/>
                      <w:divBdr>
                        <w:top w:val="none" w:sz="0" w:space="0" w:color="auto"/>
                        <w:left w:val="none" w:sz="0" w:space="0" w:color="auto"/>
                        <w:bottom w:val="none" w:sz="0" w:space="0" w:color="auto"/>
                        <w:right w:val="none" w:sz="0" w:space="0" w:color="auto"/>
                      </w:divBdr>
                      <w:divsChild>
                        <w:div w:id="1824856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02585892">
      <w:bodyDiv w:val="1"/>
      <w:marLeft w:val="0"/>
      <w:marRight w:val="0"/>
      <w:marTop w:val="0"/>
      <w:marBottom w:val="0"/>
      <w:divBdr>
        <w:top w:val="none" w:sz="0" w:space="0" w:color="auto"/>
        <w:left w:val="none" w:sz="0" w:space="0" w:color="auto"/>
        <w:bottom w:val="none" w:sz="0" w:space="0" w:color="auto"/>
        <w:right w:val="none" w:sz="0" w:space="0" w:color="auto"/>
      </w:divBdr>
      <w:divsChild>
        <w:div w:id="2123330883">
          <w:marLeft w:val="0"/>
          <w:marRight w:val="0"/>
          <w:marTop w:val="0"/>
          <w:marBottom w:val="0"/>
          <w:divBdr>
            <w:top w:val="none" w:sz="0" w:space="0" w:color="auto"/>
            <w:left w:val="none" w:sz="0" w:space="0" w:color="auto"/>
            <w:bottom w:val="none" w:sz="0" w:space="0" w:color="auto"/>
            <w:right w:val="none" w:sz="0" w:space="0" w:color="auto"/>
          </w:divBdr>
          <w:divsChild>
            <w:div w:id="1440635673">
              <w:marLeft w:val="0"/>
              <w:marRight w:val="0"/>
              <w:marTop w:val="0"/>
              <w:marBottom w:val="0"/>
              <w:divBdr>
                <w:top w:val="none" w:sz="0" w:space="0" w:color="auto"/>
                <w:left w:val="none" w:sz="0" w:space="0" w:color="auto"/>
                <w:bottom w:val="none" w:sz="0" w:space="0" w:color="auto"/>
                <w:right w:val="none" w:sz="0" w:space="0" w:color="auto"/>
              </w:divBdr>
              <w:divsChild>
                <w:div w:id="1037118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8142838">
      <w:bodyDiv w:val="1"/>
      <w:marLeft w:val="0"/>
      <w:marRight w:val="0"/>
      <w:marTop w:val="0"/>
      <w:marBottom w:val="0"/>
      <w:divBdr>
        <w:top w:val="none" w:sz="0" w:space="0" w:color="auto"/>
        <w:left w:val="none" w:sz="0" w:space="0" w:color="auto"/>
        <w:bottom w:val="none" w:sz="0" w:space="0" w:color="auto"/>
        <w:right w:val="none" w:sz="0" w:space="0" w:color="auto"/>
      </w:divBdr>
      <w:divsChild>
        <w:div w:id="2060129179">
          <w:marLeft w:val="0"/>
          <w:marRight w:val="0"/>
          <w:marTop w:val="0"/>
          <w:marBottom w:val="0"/>
          <w:divBdr>
            <w:top w:val="none" w:sz="0" w:space="0" w:color="auto"/>
            <w:left w:val="none" w:sz="0" w:space="0" w:color="auto"/>
            <w:bottom w:val="none" w:sz="0" w:space="0" w:color="auto"/>
            <w:right w:val="none" w:sz="0" w:space="0" w:color="auto"/>
          </w:divBdr>
          <w:divsChild>
            <w:div w:id="2058386040">
              <w:marLeft w:val="0"/>
              <w:marRight w:val="0"/>
              <w:marTop w:val="0"/>
              <w:marBottom w:val="0"/>
              <w:divBdr>
                <w:top w:val="none" w:sz="0" w:space="0" w:color="auto"/>
                <w:left w:val="none" w:sz="0" w:space="0" w:color="auto"/>
                <w:bottom w:val="none" w:sz="0" w:space="0" w:color="auto"/>
                <w:right w:val="none" w:sz="0" w:space="0" w:color="auto"/>
              </w:divBdr>
              <w:divsChild>
                <w:div w:id="1100639419">
                  <w:marLeft w:val="0"/>
                  <w:marRight w:val="0"/>
                  <w:marTop w:val="0"/>
                  <w:marBottom w:val="0"/>
                  <w:divBdr>
                    <w:top w:val="none" w:sz="0" w:space="0" w:color="auto"/>
                    <w:left w:val="none" w:sz="0" w:space="0" w:color="auto"/>
                    <w:bottom w:val="none" w:sz="0" w:space="0" w:color="auto"/>
                    <w:right w:val="none" w:sz="0" w:space="0" w:color="auto"/>
                  </w:divBdr>
                  <w:divsChild>
                    <w:div w:id="732312901">
                      <w:marLeft w:val="0"/>
                      <w:marRight w:val="0"/>
                      <w:marTop w:val="0"/>
                      <w:marBottom w:val="0"/>
                      <w:divBdr>
                        <w:top w:val="none" w:sz="0" w:space="0" w:color="auto"/>
                        <w:left w:val="none" w:sz="0" w:space="0" w:color="auto"/>
                        <w:bottom w:val="none" w:sz="0" w:space="0" w:color="auto"/>
                        <w:right w:val="none" w:sz="0" w:space="0" w:color="auto"/>
                      </w:divBdr>
                      <w:divsChild>
                        <w:div w:id="751465274">
                          <w:marLeft w:val="0"/>
                          <w:marRight w:val="0"/>
                          <w:marTop w:val="0"/>
                          <w:marBottom w:val="0"/>
                          <w:divBdr>
                            <w:top w:val="none" w:sz="0" w:space="0" w:color="auto"/>
                            <w:left w:val="none" w:sz="0" w:space="0" w:color="auto"/>
                            <w:bottom w:val="none" w:sz="0" w:space="0" w:color="auto"/>
                            <w:right w:val="none" w:sz="0" w:space="0" w:color="auto"/>
                          </w:divBdr>
                          <w:divsChild>
                            <w:div w:id="2121417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3190498">
      <w:bodyDiv w:val="1"/>
      <w:marLeft w:val="0"/>
      <w:marRight w:val="0"/>
      <w:marTop w:val="0"/>
      <w:marBottom w:val="0"/>
      <w:divBdr>
        <w:top w:val="none" w:sz="0" w:space="0" w:color="auto"/>
        <w:left w:val="none" w:sz="0" w:space="0" w:color="auto"/>
        <w:bottom w:val="none" w:sz="0" w:space="0" w:color="auto"/>
        <w:right w:val="none" w:sz="0" w:space="0" w:color="auto"/>
      </w:divBdr>
      <w:divsChild>
        <w:div w:id="268851184">
          <w:marLeft w:val="0"/>
          <w:marRight w:val="0"/>
          <w:marTop w:val="0"/>
          <w:marBottom w:val="0"/>
          <w:divBdr>
            <w:top w:val="none" w:sz="0" w:space="0" w:color="auto"/>
            <w:left w:val="none" w:sz="0" w:space="0" w:color="auto"/>
            <w:bottom w:val="none" w:sz="0" w:space="0" w:color="auto"/>
            <w:right w:val="none" w:sz="0" w:space="0" w:color="auto"/>
          </w:divBdr>
          <w:divsChild>
            <w:div w:id="670109834">
              <w:marLeft w:val="0"/>
              <w:marRight w:val="0"/>
              <w:marTop w:val="0"/>
              <w:marBottom w:val="0"/>
              <w:divBdr>
                <w:top w:val="none" w:sz="0" w:space="0" w:color="auto"/>
                <w:left w:val="none" w:sz="0" w:space="0" w:color="auto"/>
                <w:bottom w:val="none" w:sz="0" w:space="0" w:color="auto"/>
                <w:right w:val="none" w:sz="0" w:space="0" w:color="auto"/>
              </w:divBdr>
              <w:divsChild>
                <w:div w:id="1453590806">
                  <w:marLeft w:val="0"/>
                  <w:marRight w:val="0"/>
                  <w:marTop w:val="0"/>
                  <w:marBottom w:val="0"/>
                  <w:divBdr>
                    <w:top w:val="none" w:sz="0" w:space="0" w:color="auto"/>
                    <w:left w:val="none" w:sz="0" w:space="0" w:color="auto"/>
                    <w:bottom w:val="none" w:sz="0" w:space="0" w:color="auto"/>
                    <w:right w:val="none" w:sz="0" w:space="0" w:color="auto"/>
                  </w:divBdr>
                  <w:divsChild>
                    <w:div w:id="397679046">
                      <w:marLeft w:val="0"/>
                      <w:marRight w:val="0"/>
                      <w:marTop w:val="0"/>
                      <w:marBottom w:val="0"/>
                      <w:divBdr>
                        <w:top w:val="none" w:sz="0" w:space="0" w:color="auto"/>
                        <w:left w:val="none" w:sz="0" w:space="0" w:color="auto"/>
                        <w:bottom w:val="none" w:sz="0" w:space="0" w:color="auto"/>
                        <w:right w:val="none" w:sz="0" w:space="0" w:color="auto"/>
                      </w:divBdr>
                      <w:divsChild>
                        <w:div w:id="2042590390">
                          <w:marLeft w:val="0"/>
                          <w:marRight w:val="0"/>
                          <w:marTop w:val="0"/>
                          <w:marBottom w:val="0"/>
                          <w:divBdr>
                            <w:top w:val="none" w:sz="0" w:space="0" w:color="auto"/>
                            <w:left w:val="none" w:sz="0" w:space="0" w:color="auto"/>
                            <w:bottom w:val="none" w:sz="0" w:space="0" w:color="auto"/>
                            <w:right w:val="none" w:sz="0" w:space="0" w:color="auto"/>
                          </w:divBdr>
                          <w:divsChild>
                            <w:div w:id="1919555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7319139">
      <w:bodyDiv w:val="1"/>
      <w:marLeft w:val="0"/>
      <w:marRight w:val="0"/>
      <w:marTop w:val="0"/>
      <w:marBottom w:val="0"/>
      <w:divBdr>
        <w:top w:val="none" w:sz="0" w:space="0" w:color="auto"/>
        <w:left w:val="none" w:sz="0" w:space="0" w:color="auto"/>
        <w:bottom w:val="none" w:sz="0" w:space="0" w:color="auto"/>
        <w:right w:val="none" w:sz="0" w:space="0" w:color="auto"/>
      </w:divBdr>
      <w:divsChild>
        <w:div w:id="174422393">
          <w:marLeft w:val="0"/>
          <w:marRight w:val="0"/>
          <w:marTop w:val="0"/>
          <w:marBottom w:val="0"/>
          <w:divBdr>
            <w:top w:val="none" w:sz="0" w:space="0" w:color="auto"/>
            <w:left w:val="none" w:sz="0" w:space="0" w:color="auto"/>
            <w:bottom w:val="none" w:sz="0" w:space="0" w:color="auto"/>
            <w:right w:val="none" w:sz="0" w:space="0" w:color="auto"/>
          </w:divBdr>
          <w:divsChild>
            <w:div w:id="735787502">
              <w:marLeft w:val="0"/>
              <w:marRight w:val="0"/>
              <w:marTop w:val="0"/>
              <w:marBottom w:val="0"/>
              <w:divBdr>
                <w:top w:val="none" w:sz="0" w:space="0" w:color="auto"/>
                <w:left w:val="none" w:sz="0" w:space="0" w:color="auto"/>
                <w:bottom w:val="none" w:sz="0" w:space="0" w:color="auto"/>
                <w:right w:val="none" w:sz="0" w:space="0" w:color="auto"/>
              </w:divBdr>
              <w:divsChild>
                <w:div w:id="1919438885">
                  <w:marLeft w:val="0"/>
                  <w:marRight w:val="0"/>
                  <w:marTop w:val="0"/>
                  <w:marBottom w:val="0"/>
                  <w:divBdr>
                    <w:top w:val="none" w:sz="0" w:space="0" w:color="auto"/>
                    <w:left w:val="none" w:sz="0" w:space="0" w:color="auto"/>
                    <w:bottom w:val="none" w:sz="0" w:space="0" w:color="auto"/>
                    <w:right w:val="none" w:sz="0" w:space="0" w:color="auto"/>
                  </w:divBdr>
                  <w:divsChild>
                    <w:div w:id="1113089951">
                      <w:marLeft w:val="0"/>
                      <w:marRight w:val="0"/>
                      <w:marTop w:val="0"/>
                      <w:marBottom w:val="0"/>
                      <w:divBdr>
                        <w:top w:val="none" w:sz="0" w:space="0" w:color="auto"/>
                        <w:left w:val="none" w:sz="0" w:space="0" w:color="auto"/>
                        <w:bottom w:val="none" w:sz="0" w:space="0" w:color="auto"/>
                        <w:right w:val="none" w:sz="0" w:space="0" w:color="auto"/>
                      </w:divBdr>
                      <w:divsChild>
                        <w:div w:id="228542290">
                          <w:marLeft w:val="0"/>
                          <w:marRight w:val="0"/>
                          <w:marTop w:val="0"/>
                          <w:marBottom w:val="0"/>
                          <w:divBdr>
                            <w:top w:val="none" w:sz="0" w:space="0" w:color="auto"/>
                            <w:left w:val="none" w:sz="0" w:space="0" w:color="auto"/>
                            <w:bottom w:val="none" w:sz="0" w:space="0" w:color="auto"/>
                            <w:right w:val="none" w:sz="0" w:space="0" w:color="auto"/>
                          </w:divBdr>
                          <w:divsChild>
                            <w:div w:id="1095596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8724958">
      <w:bodyDiv w:val="1"/>
      <w:marLeft w:val="0"/>
      <w:marRight w:val="0"/>
      <w:marTop w:val="0"/>
      <w:marBottom w:val="0"/>
      <w:divBdr>
        <w:top w:val="none" w:sz="0" w:space="0" w:color="auto"/>
        <w:left w:val="none" w:sz="0" w:space="0" w:color="auto"/>
        <w:bottom w:val="none" w:sz="0" w:space="0" w:color="auto"/>
        <w:right w:val="none" w:sz="0" w:space="0" w:color="auto"/>
      </w:divBdr>
      <w:divsChild>
        <w:div w:id="1213034365">
          <w:marLeft w:val="0"/>
          <w:marRight w:val="0"/>
          <w:marTop w:val="0"/>
          <w:marBottom w:val="0"/>
          <w:divBdr>
            <w:top w:val="none" w:sz="0" w:space="0" w:color="auto"/>
            <w:left w:val="none" w:sz="0" w:space="0" w:color="auto"/>
            <w:bottom w:val="none" w:sz="0" w:space="0" w:color="auto"/>
            <w:right w:val="none" w:sz="0" w:space="0" w:color="auto"/>
          </w:divBdr>
          <w:divsChild>
            <w:div w:id="30501494">
              <w:marLeft w:val="0"/>
              <w:marRight w:val="0"/>
              <w:marTop w:val="0"/>
              <w:marBottom w:val="0"/>
              <w:divBdr>
                <w:top w:val="none" w:sz="0" w:space="0" w:color="auto"/>
                <w:left w:val="none" w:sz="0" w:space="0" w:color="auto"/>
                <w:bottom w:val="none" w:sz="0" w:space="0" w:color="auto"/>
                <w:right w:val="none" w:sz="0" w:space="0" w:color="auto"/>
              </w:divBdr>
              <w:divsChild>
                <w:div w:id="1053119664">
                  <w:marLeft w:val="0"/>
                  <w:marRight w:val="0"/>
                  <w:marTop w:val="0"/>
                  <w:marBottom w:val="0"/>
                  <w:divBdr>
                    <w:top w:val="none" w:sz="0" w:space="0" w:color="auto"/>
                    <w:left w:val="none" w:sz="0" w:space="0" w:color="auto"/>
                    <w:bottom w:val="none" w:sz="0" w:space="0" w:color="auto"/>
                    <w:right w:val="none" w:sz="0" w:space="0" w:color="auto"/>
                  </w:divBdr>
                  <w:divsChild>
                    <w:div w:id="960039575">
                      <w:marLeft w:val="0"/>
                      <w:marRight w:val="0"/>
                      <w:marTop w:val="0"/>
                      <w:marBottom w:val="0"/>
                      <w:divBdr>
                        <w:top w:val="none" w:sz="0" w:space="0" w:color="auto"/>
                        <w:left w:val="none" w:sz="0" w:space="0" w:color="auto"/>
                        <w:bottom w:val="none" w:sz="0" w:space="0" w:color="auto"/>
                        <w:right w:val="none" w:sz="0" w:space="0" w:color="auto"/>
                      </w:divBdr>
                      <w:divsChild>
                        <w:div w:id="833036682">
                          <w:marLeft w:val="0"/>
                          <w:marRight w:val="0"/>
                          <w:marTop w:val="0"/>
                          <w:marBottom w:val="0"/>
                          <w:divBdr>
                            <w:top w:val="none" w:sz="0" w:space="0" w:color="auto"/>
                            <w:left w:val="none" w:sz="0" w:space="0" w:color="auto"/>
                            <w:bottom w:val="none" w:sz="0" w:space="0" w:color="auto"/>
                            <w:right w:val="none" w:sz="0" w:space="0" w:color="auto"/>
                          </w:divBdr>
                          <w:divsChild>
                            <w:div w:id="1258713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0572551">
      <w:bodyDiv w:val="1"/>
      <w:marLeft w:val="0"/>
      <w:marRight w:val="0"/>
      <w:marTop w:val="0"/>
      <w:marBottom w:val="0"/>
      <w:divBdr>
        <w:top w:val="none" w:sz="0" w:space="0" w:color="auto"/>
        <w:left w:val="none" w:sz="0" w:space="0" w:color="auto"/>
        <w:bottom w:val="none" w:sz="0" w:space="0" w:color="auto"/>
        <w:right w:val="none" w:sz="0" w:space="0" w:color="auto"/>
      </w:divBdr>
      <w:divsChild>
        <w:div w:id="523403118">
          <w:marLeft w:val="0"/>
          <w:marRight w:val="0"/>
          <w:marTop w:val="0"/>
          <w:marBottom w:val="0"/>
          <w:divBdr>
            <w:top w:val="none" w:sz="0" w:space="0" w:color="auto"/>
            <w:left w:val="none" w:sz="0" w:space="0" w:color="auto"/>
            <w:bottom w:val="none" w:sz="0" w:space="0" w:color="auto"/>
            <w:right w:val="none" w:sz="0" w:space="0" w:color="auto"/>
          </w:divBdr>
          <w:divsChild>
            <w:div w:id="949051680">
              <w:marLeft w:val="0"/>
              <w:marRight w:val="0"/>
              <w:marTop w:val="0"/>
              <w:marBottom w:val="0"/>
              <w:divBdr>
                <w:top w:val="none" w:sz="0" w:space="0" w:color="auto"/>
                <w:left w:val="none" w:sz="0" w:space="0" w:color="auto"/>
                <w:bottom w:val="none" w:sz="0" w:space="0" w:color="auto"/>
                <w:right w:val="none" w:sz="0" w:space="0" w:color="auto"/>
              </w:divBdr>
              <w:divsChild>
                <w:div w:id="1143230441">
                  <w:marLeft w:val="3750"/>
                  <w:marRight w:val="0"/>
                  <w:marTop w:val="0"/>
                  <w:marBottom w:val="0"/>
                  <w:divBdr>
                    <w:top w:val="none" w:sz="0" w:space="0" w:color="auto"/>
                    <w:left w:val="none" w:sz="0" w:space="0" w:color="auto"/>
                    <w:bottom w:val="none" w:sz="0" w:space="0" w:color="auto"/>
                    <w:right w:val="none" w:sz="0" w:space="0" w:color="auto"/>
                  </w:divBdr>
                  <w:divsChild>
                    <w:div w:id="2027322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1127919">
      <w:bodyDiv w:val="1"/>
      <w:marLeft w:val="0"/>
      <w:marRight w:val="0"/>
      <w:marTop w:val="0"/>
      <w:marBottom w:val="0"/>
      <w:divBdr>
        <w:top w:val="none" w:sz="0" w:space="0" w:color="auto"/>
        <w:left w:val="none" w:sz="0" w:space="0" w:color="auto"/>
        <w:bottom w:val="none" w:sz="0" w:space="0" w:color="auto"/>
        <w:right w:val="none" w:sz="0" w:space="0" w:color="auto"/>
      </w:divBdr>
      <w:divsChild>
        <w:div w:id="7291617">
          <w:marLeft w:val="0"/>
          <w:marRight w:val="0"/>
          <w:marTop w:val="0"/>
          <w:marBottom w:val="0"/>
          <w:divBdr>
            <w:top w:val="none" w:sz="0" w:space="0" w:color="auto"/>
            <w:left w:val="none" w:sz="0" w:space="0" w:color="auto"/>
            <w:bottom w:val="none" w:sz="0" w:space="0" w:color="auto"/>
            <w:right w:val="none" w:sz="0" w:space="0" w:color="auto"/>
          </w:divBdr>
          <w:divsChild>
            <w:div w:id="241917612">
              <w:marLeft w:val="0"/>
              <w:marRight w:val="0"/>
              <w:marTop w:val="0"/>
              <w:marBottom w:val="0"/>
              <w:divBdr>
                <w:top w:val="none" w:sz="0" w:space="0" w:color="auto"/>
                <w:left w:val="none" w:sz="0" w:space="0" w:color="auto"/>
                <w:bottom w:val="none" w:sz="0" w:space="0" w:color="auto"/>
                <w:right w:val="none" w:sz="0" w:space="0" w:color="auto"/>
              </w:divBdr>
              <w:divsChild>
                <w:div w:id="63380933">
                  <w:marLeft w:val="0"/>
                  <w:marRight w:val="0"/>
                  <w:marTop w:val="0"/>
                  <w:marBottom w:val="0"/>
                  <w:divBdr>
                    <w:top w:val="none" w:sz="0" w:space="0" w:color="auto"/>
                    <w:left w:val="none" w:sz="0" w:space="0" w:color="auto"/>
                    <w:bottom w:val="none" w:sz="0" w:space="0" w:color="auto"/>
                    <w:right w:val="none" w:sz="0" w:space="0" w:color="auto"/>
                  </w:divBdr>
                  <w:divsChild>
                    <w:div w:id="1993294549">
                      <w:marLeft w:val="0"/>
                      <w:marRight w:val="0"/>
                      <w:marTop w:val="0"/>
                      <w:marBottom w:val="0"/>
                      <w:divBdr>
                        <w:top w:val="none" w:sz="0" w:space="0" w:color="auto"/>
                        <w:left w:val="none" w:sz="0" w:space="0" w:color="auto"/>
                        <w:bottom w:val="none" w:sz="0" w:space="0" w:color="auto"/>
                        <w:right w:val="none" w:sz="0" w:space="0" w:color="auto"/>
                      </w:divBdr>
                      <w:divsChild>
                        <w:div w:id="1581790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8456045">
      <w:bodyDiv w:val="1"/>
      <w:marLeft w:val="0"/>
      <w:marRight w:val="0"/>
      <w:marTop w:val="0"/>
      <w:marBottom w:val="0"/>
      <w:divBdr>
        <w:top w:val="none" w:sz="0" w:space="0" w:color="auto"/>
        <w:left w:val="none" w:sz="0" w:space="0" w:color="auto"/>
        <w:bottom w:val="none" w:sz="0" w:space="0" w:color="auto"/>
        <w:right w:val="none" w:sz="0" w:space="0" w:color="auto"/>
      </w:divBdr>
      <w:divsChild>
        <w:div w:id="907228329">
          <w:marLeft w:val="0"/>
          <w:marRight w:val="0"/>
          <w:marTop w:val="0"/>
          <w:marBottom w:val="0"/>
          <w:divBdr>
            <w:top w:val="none" w:sz="0" w:space="0" w:color="auto"/>
            <w:left w:val="none" w:sz="0" w:space="0" w:color="auto"/>
            <w:bottom w:val="none" w:sz="0" w:space="0" w:color="auto"/>
            <w:right w:val="none" w:sz="0" w:space="0" w:color="auto"/>
          </w:divBdr>
          <w:divsChild>
            <w:div w:id="482310237">
              <w:marLeft w:val="0"/>
              <w:marRight w:val="0"/>
              <w:marTop w:val="0"/>
              <w:marBottom w:val="0"/>
              <w:divBdr>
                <w:top w:val="none" w:sz="0" w:space="0" w:color="auto"/>
                <w:left w:val="none" w:sz="0" w:space="0" w:color="auto"/>
                <w:bottom w:val="none" w:sz="0" w:space="0" w:color="auto"/>
                <w:right w:val="none" w:sz="0" w:space="0" w:color="auto"/>
              </w:divBdr>
              <w:divsChild>
                <w:div w:id="1919710861">
                  <w:marLeft w:val="0"/>
                  <w:marRight w:val="0"/>
                  <w:marTop w:val="0"/>
                  <w:marBottom w:val="0"/>
                  <w:divBdr>
                    <w:top w:val="none" w:sz="0" w:space="0" w:color="auto"/>
                    <w:left w:val="none" w:sz="0" w:space="0" w:color="auto"/>
                    <w:bottom w:val="none" w:sz="0" w:space="0" w:color="auto"/>
                    <w:right w:val="none" w:sz="0" w:space="0" w:color="auto"/>
                  </w:divBdr>
                  <w:divsChild>
                    <w:div w:id="1319765362">
                      <w:marLeft w:val="0"/>
                      <w:marRight w:val="0"/>
                      <w:marTop w:val="0"/>
                      <w:marBottom w:val="0"/>
                      <w:divBdr>
                        <w:top w:val="none" w:sz="0" w:space="0" w:color="auto"/>
                        <w:left w:val="none" w:sz="0" w:space="0" w:color="auto"/>
                        <w:bottom w:val="none" w:sz="0" w:space="0" w:color="auto"/>
                        <w:right w:val="none" w:sz="0" w:space="0" w:color="auto"/>
                      </w:divBdr>
                      <w:divsChild>
                        <w:div w:id="1178540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4253795">
      <w:bodyDiv w:val="1"/>
      <w:marLeft w:val="0"/>
      <w:marRight w:val="0"/>
      <w:marTop w:val="0"/>
      <w:marBottom w:val="0"/>
      <w:divBdr>
        <w:top w:val="none" w:sz="0" w:space="0" w:color="auto"/>
        <w:left w:val="none" w:sz="0" w:space="0" w:color="auto"/>
        <w:bottom w:val="none" w:sz="0" w:space="0" w:color="auto"/>
        <w:right w:val="none" w:sz="0" w:space="0" w:color="auto"/>
      </w:divBdr>
      <w:divsChild>
        <w:div w:id="1187982221">
          <w:marLeft w:val="0"/>
          <w:marRight w:val="0"/>
          <w:marTop w:val="0"/>
          <w:marBottom w:val="0"/>
          <w:divBdr>
            <w:top w:val="none" w:sz="0" w:space="0" w:color="auto"/>
            <w:left w:val="none" w:sz="0" w:space="0" w:color="auto"/>
            <w:bottom w:val="none" w:sz="0" w:space="0" w:color="auto"/>
            <w:right w:val="none" w:sz="0" w:space="0" w:color="auto"/>
          </w:divBdr>
          <w:divsChild>
            <w:div w:id="1646356032">
              <w:marLeft w:val="0"/>
              <w:marRight w:val="0"/>
              <w:marTop w:val="0"/>
              <w:marBottom w:val="0"/>
              <w:divBdr>
                <w:top w:val="none" w:sz="0" w:space="0" w:color="auto"/>
                <w:left w:val="none" w:sz="0" w:space="0" w:color="auto"/>
                <w:bottom w:val="none" w:sz="0" w:space="0" w:color="auto"/>
                <w:right w:val="none" w:sz="0" w:space="0" w:color="auto"/>
              </w:divBdr>
              <w:divsChild>
                <w:div w:id="125661051">
                  <w:marLeft w:val="0"/>
                  <w:marRight w:val="0"/>
                  <w:marTop w:val="0"/>
                  <w:marBottom w:val="0"/>
                  <w:divBdr>
                    <w:top w:val="none" w:sz="0" w:space="0" w:color="auto"/>
                    <w:left w:val="none" w:sz="0" w:space="0" w:color="auto"/>
                    <w:bottom w:val="none" w:sz="0" w:space="0" w:color="auto"/>
                    <w:right w:val="none" w:sz="0" w:space="0" w:color="auto"/>
                  </w:divBdr>
                  <w:divsChild>
                    <w:div w:id="338238483">
                      <w:marLeft w:val="0"/>
                      <w:marRight w:val="0"/>
                      <w:marTop w:val="0"/>
                      <w:marBottom w:val="0"/>
                      <w:divBdr>
                        <w:top w:val="none" w:sz="0" w:space="0" w:color="auto"/>
                        <w:left w:val="none" w:sz="0" w:space="0" w:color="auto"/>
                        <w:bottom w:val="none" w:sz="0" w:space="0" w:color="auto"/>
                        <w:right w:val="none" w:sz="0" w:space="0" w:color="auto"/>
                      </w:divBdr>
                      <w:divsChild>
                        <w:div w:id="2010671439">
                          <w:marLeft w:val="0"/>
                          <w:marRight w:val="0"/>
                          <w:marTop w:val="0"/>
                          <w:marBottom w:val="0"/>
                          <w:divBdr>
                            <w:top w:val="none" w:sz="0" w:space="0" w:color="auto"/>
                            <w:left w:val="none" w:sz="0" w:space="0" w:color="auto"/>
                            <w:bottom w:val="none" w:sz="0" w:space="0" w:color="auto"/>
                            <w:right w:val="none" w:sz="0" w:space="0" w:color="auto"/>
                          </w:divBdr>
                          <w:divsChild>
                            <w:div w:id="1432159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3326152">
      <w:bodyDiv w:val="1"/>
      <w:marLeft w:val="0"/>
      <w:marRight w:val="0"/>
      <w:marTop w:val="0"/>
      <w:marBottom w:val="0"/>
      <w:divBdr>
        <w:top w:val="none" w:sz="0" w:space="0" w:color="auto"/>
        <w:left w:val="none" w:sz="0" w:space="0" w:color="auto"/>
        <w:bottom w:val="none" w:sz="0" w:space="0" w:color="auto"/>
        <w:right w:val="none" w:sz="0" w:space="0" w:color="auto"/>
      </w:divBdr>
      <w:divsChild>
        <w:div w:id="898370390">
          <w:marLeft w:val="0"/>
          <w:marRight w:val="0"/>
          <w:marTop w:val="0"/>
          <w:marBottom w:val="0"/>
          <w:divBdr>
            <w:top w:val="none" w:sz="0" w:space="0" w:color="auto"/>
            <w:left w:val="none" w:sz="0" w:space="0" w:color="auto"/>
            <w:bottom w:val="none" w:sz="0" w:space="0" w:color="auto"/>
            <w:right w:val="none" w:sz="0" w:space="0" w:color="auto"/>
          </w:divBdr>
          <w:divsChild>
            <w:div w:id="879780345">
              <w:marLeft w:val="0"/>
              <w:marRight w:val="0"/>
              <w:marTop w:val="0"/>
              <w:marBottom w:val="0"/>
              <w:divBdr>
                <w:top w:val="none" w:sz="0" w:space="0" w:color="auto"/>
                <w:left w:val="none" w:sz="0" w:space="0" w:color="auto"/>
                <w:bottom w:val="none" w:sz="0" w:space="0" w:color="auto"/>
                <w:right w:val="none" w:sz="0" w:space="0" w:color="auto"/>
              </w:divBdr>
              <w:divsChild>
                <w:div w:id="194776336">
                  <w:marLeft w:val="0"/>
                  <w:marRight w:val="0"/>
                  <w:marTop w:val="0"/>
                  <w:marBottom w:val="0"/>
                  <w:divBdr>
                    <w:top w:val="none" w:sz="0" w:space="0" w:color="auto"/>
                    <w:left w:val="none" w:sz="0" w:space="0" w:color="auto"/>
                    <w:bottom w:val="none" w:sz="0" w:space="0" w:color="auto"/>
                    <w:right w:val="none" w:sz="0" w:space="0" w:color="auto"/>
                  </w:divBdr>
                  <w:divsChild>
                    <w:div w:id="635374309">
                      <w:marLeft w:val="0"/>
                      <w:marRight w:val="0"/>
                      <w:marTop w:val="0"/>
                      <w:marBottom w:val="0"/>
                      <w:divBdr>
                        <w:top w:val="none" w:sz="0" w:space="0" w:color="auto"/>
                        <w:left w:val="none" w:sz="0" w:space="0" w:color="auto"/>
                        <w:bottom w:val="none" w:sz="0" w:space="0" w:color="auto"/>
                        <w:right w:val="none" w:sz="0" w:space="0" w:color="auto"/>
                      </w:divBdr>
                      <w:divsChild>
                        <w:div w:id="403650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4436783">
      <w:bodyDiv w:val="1"/>
      <w:marLeft w:val="0"/>
      <w:marRight w:val="0"/>
      <w:marTop w:val="0"/>
      <w:marBottom w:val="0"/>
      <w:divBdr>
        <w:top w:val="none" w:sz="0" w:space="0" w:color="auto"/>
        <w:left w:val="none" w:sz="0" w:space="0" w:color="auto"/>
        <w:bottom w:val="none" w:sz="0" w:space="0" w:color="auto"/>
        <w:right w:val="none" w:sz="0" w:space="0" w:color="auto"/>
      </w:divBdr>
      <w:divsChild>
        <w:div w:id="2047296132">
          <w:marLeft w:val="0"/>
          <w:marRight w:val="0"/>
          <w:marTop w:val="0"/>
          <w:marBottom w:val="0"/>
          <w:divBdr>
            <w:top w:val="none" w:sz="0" w:space="0" w:color="auto"/>
            <w:left w:val="none" w:sz="0" w:space="0" w:color="auto"/>
            <w:bottom w:val="none" w:sz="0" w:space="0" w:color="auto"/>
            <w:right w:val="none" w:sz="0" w:space="0" w:color="auto"/>
          </w:divBdr>
          <w:divsChild>
            <w:div w:id="996226125">
              <w:marLeft w:val="0"/>
              <w:marRight w:val="0"/>
              <w:marTop w:val="0"/>
              <w:marBottom w:val="0"/>
              <w:divBdr>
                <w:top w:val="none" w:sz="0" w:space="0" w:color="auto"/>
                <w:left w:val="none" w:sz="0" w:space="0" w:color="auto"/>
                <w:bottom w:val="none" w:sz="0" w:space="0" w:color="auto"/>
                <w:right w:val="none" w:sz="0" w:space="0" w:color="auto"/>
              </w:divBdr>
              <w:divsChild>
                <w:div w:id="1954507952">
                  <w:marLeft w:val="0"/>
                  <w:marRight w:val="0"/>
                  <w:marTop w:val="0"/>
                  <w:marBottom w:val="0"/>
                  <w:divBdr>
                    <w:top w:val="none" w:sz="0" w:space="0" w:color="auto"/>
                    <w:left w:val="none" w:sz="0" w:space="0" w:color="auto"/>
                    <w:bottom w:val="none" w:sz="0" w:space="0" w:color="auto"/>
                    <w:right w:val="none" w:sz="0" w:space="0" w:color="auto"/>
                  </w:divBdr>
                  <w:divsChild>
                    <w:div w:id="65225659">
                      <w:marLeft w:val="0"/>
                      <w:marRight w:val="0"/>
                      <w:marTop w:val="0"/>
                      <w:marBottom w:val="0"/>
                      <w:divBdr>
                        <w:top w:val="none" w:sz="0" w:space="0" w:color="auto"/>
                        <w:left w:val="none" w:sz="0" w:space="0" w:color="auto"/>
                        <w:bottom w:val="none" w:sz="0" w:space="0" w:color="auto"/>
                        <w:right w:val="none" w:sz="0" w:space="0" w:color="auto"/>
                      </w:divBdr>
                      <w:divsChild>
                        <w:div w:id="1227374703">
                          <w:marLeft w:val="0"/>
                          <w:marRight w:val="0"/>
                          <w:marTop w:val="0"/>
                          <w:marBottom w:val="0"/>
                          <w:divBdr>
                            <w:top w:val="none" w:sz="0" w:space="0" w:color="auto"/>
                            <w:left w:val="none" w:sz="0" w:space="0" w:color="auto"/>
                            <w:bottom w:val="none" w:sz="0" w:space="0" w:color="auto"/>
                            <w:right w:val="none" w:sz="0" w:space="0" w:color="auto"/>
                          </w:divBdr>
                          <w:divsChild>
                            <w:div w:id="1224870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79692567">
      <w:bodyDiv w:val="1"/>
      <w:marLeft w:val="0"/>
      <w:marRight w:val="0"/>
      <w:marTop w:val="0"/>
      <w:marBottom w:val="0"/>
      <w:divBdr>
        <w:top w:val="none" w:sz="0" w:space="0" w:color="auto"/>
        <w:left w:val="none" w:sz="0" w:space="0" w:color="auto"/>
        <w:bottom w:val="none" w:sz="0" w:space="0" w:color="auto"/>
        <w:right w:val="none" w:sz="0" w:space="0" w:color="auto"/>
      </w:divBdr>
      <w:divsChild>
        <w:div w:id="349454863">
          <w:marLeft w:val="0"/>
          <w:marRight w:val="0"/>
          <w:marTop w:val="0"/>
          <w:marBottom w:val="0"/>
          <w:divBdr>
            <w:top w:val="none" w:sz="0" w:space="0" w:color="auto"/>
            <w:left w:val="none" w:sz="0" w:space="0" w:color="auto"/>
            <w:bottom w:val="none" w:sz="0" w:space="0" w:color="auto"/>
            <w:right w:val="none" w:sz="0" w:space="0" w:color="auto"/>
          </w:divBdr>
          <w:divsChild>
            <w:div w:id="304094047">
              <w:marLeft w:val="0"/>
              <w:marRight w:val="0"/>
              <w:marTop w:val="0"/>
              <w:marBottom w:val="0"/>
              <w:divBdr>
                <w:top w:val="none" w:sz="0" w:space="0" w:color="auto"/>
                <w:left w:val="none" w:sz="0" w:space="0" w:color="auto"/>
                <w:bottom w:val="none" w:sz="0" w:space="0" w:color="auto"/>
                <w:right w:val="none" w:sz="0" w:space="0" w:color="auto"/>
              </w:divBdr>
              <w:divsChild>
                <w:div w:id="1134444849">
                  <w:marLeft w:val="0"/>
                  <w:marRight w:val="0"/>
                  <w:marTop w:val="0"/>
                  <w:marBottom w:val="0"/>
                  <w:divBdr>
                    <w:top w:val="none" w:sz="0" w:space="0" w:color="auto"/>
                    <w:left w:val="none" w:sz="0" w:space="0" w:color="auto"/>
                    <w:bottom w:val="none" w:sz="0" w:space="0" w:color="auto"/>
                    <w:right w:val="none" w:sz="0" w:space="0" w:color="auto"/>
                  </w:divBdr>
                  <w:divsChild>
                    <w:div w:id="507209347">
                      <w:marLeft w:val="0"/>
                      <w:marRight w:val="0"/>
                      <w:marTop w:val="0"/>
                      <w:marBottom w:val="0"/>
                      <w:divBdr>
                        <w:top w:val="none" w:sz="0" w:space="0" w:color="auto"/>
                        <w:left w:val="none" w:sz="0" w:space="0" w:color="auto"/>
                        <w:bottom w:val="none" w:sz="0" w:space="0" w:color="auto"/>
                        <w:right w:val="none" w:sz="0" w:space="0" w:color="auto"/>
                      </w:divBdr>
                      <w:divsChild>
                        <w:div w:id="386993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0369074">
      <w:bodyDiv w:val="1"/>
      <w:marLeft w:val="0"/>
      <w:marRight w:val="0"/>
      <w:marTop w:val="0"/>
      <w:marBottom w:val="0"/>
      <w:divBdr>
        <w:top w:val="none" w:sz="0" w:space="0" w:color="auto"/>
        <w:left w:val="none" w:sz="0" w:space="0" w:color="auto"/>
        <w:bottom w:val="none" w:sz="0" w:space="0" w:color="auto"/>
        <w:right w:val="none" w:sz="0" w:space="0" w:color="auto"/>
      </w:divBdr>
      <w:divsChild>
        <w:div w:id="1406798411">
          <w:marLeft w:val="0"/>
          <w:marRight w:val="0"/>
          <w:marTop w:val="0"/>
          <w:marBottom w:val="0"/>
          <w:divBdr>
            <w:top w:val="none" w:sz="0" w:space="0" w:color="auto"/>
            <w:left w:val="none" w:sz="0" w:space="0" w:color="auto"/>
            <w:bottom w:val="none" w:sz="0" w:space="0" w:color="auto"/>
            <w:right w:val="none" w:sz="0" w:space="0" w:color="auto"/>
          </w:divBdr>
          <w:divsChild>
            <w:div w:id="495461100">
              <w:marLeft w:val="0"/>
              <w:marRight w:val="0"/>
              <w:marTop w:val="0"/>
              <w:marBottom w:val="0"/>
              <w:divBdr>
                <w:top w:val="none" w:sz="0" w:space="0" w:color="auto"/>
                <w:left w:val="none" w:sz="0" w:space="0" w:color="auto"/>
                <w:bottom w:val="none" w:sz="0" w:space="0" w:color="auto"/>
                <w:right w:val="none" w:sz="0" w:space="0" w:color="auto"/>
              </w:divBdr>
              <w:divsChild>
                <w:div w:id="689067518">
                  <w:marLeft w:val="0"/>
                  <w:marRight w:val="0"/>
                  <w:marTop w:val="0"/>
                  <w:marBottom w:val="0"/>
                  <w:divBdr>
                    <w:top w:val="none" w:sz="0" w:space="0" w:color="auto"/>
                    <w:left w:val="none" w:sz="0" w:space="0" w:color="auto"/>
                    <w:bottom w:val="none" w:sz="0" w:space="0" w:color="auto"/>
                    <w:right w:val="none" w:sz="0" w:space="0" w:color="auto"/>
                  </w:divBdr>
                  <w:divsChild>
                    <w:div w:id="2068725088">
                      <w:marLeft w:val="0"/>
                      <w:marRight w:val="0"/>
                      <w:marTop w:val="0"/>
                      <w:marBottom w:val="0"/>
                      <w:divBdr>
                        <w:top w:val="none" w:sz="0" w:space="0" w:color="auto"/>
                        <w:left w:val="none" w:sz="0" w:space="0" w:color="auto"/>
                        <w:bottom w:val="none" w:sz="0" w:space="0" w:color="auto"/>
                        <w:right w:val="none" w:sz="0" w:space="0" w:color="auto"/>
                      </w:divBdr>
                      <w:divsChild>
                        <w:div w:id="127293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8084412">
      <w:bodyDiv w:val="1"/>
      <w:marLeft w:val="0"/>
      <w:marRight w:val="0"/>
      <w:marTop w:val="0"/>
      <w:marBottom w:val="0"/>
      <w:divBdr>
        <w:top w:val="none" w:sz="0" w:space="0" w:color="auto"/>
        <w:left w:val="none" w:sz="0" w:space="0" w:color="auto"/>
        <w:bottom w:val="none" w:sz="0" w:space="0" w:color="auto"/>
        <w:right w:val="none" w:sz="0" w:space="0" w:color="auto"/>
      </w:divBdr>
      <w:divsChild>
        <w:div w:id="517932289">
          <w:marLeft w:val="0"/>
          <w:marRight w:val="0"/>
          <w:marTop w:val="0"/>
          <w:marBottom w:val="0"/>
          <w:divBdr>
            <w:top w:val="none" w:sz="0" w:space="0" w:color="auto"/>
            <w:left w:val="none" w:sz="0" w:space="0" w:color="auto"/>
            <w:bottom w:val="none" w:sz="0" w:space="0" w:color="auto"/>
            <w:right w:val="none" w:sz="0" w:space="0" w:color="auto"/>
          </w:divBdr>
          <w:divsChild>
            <w:div w:id="874657863">
              <w:marLeft w:val="0"/>
              <w:marRight w:val="0"/>
              <w:marTop w:val="0"/>
              <w:marBottom w:val="0"/>
              <w:divBdr>
                <w:top w:val="none" w:sz="0" w:space="0" w:color="auto"/>
                <w:left w:val="none" w:sz="0" w:space="0" w:color="auto"/>
                <w:bottom w:val="none" w:sz="0" w:space="0" w:color="auto"/>
                <w:right w:val="none" w:sz="0" w:space="0" w:color="auto"/>
              </w:divBdr>
              <w:divsChild>
                <w:div w:id="505632038">
                  <w:marLeft w:val="0"/>
                  <w:marRight w:val="0"/>
                  <w:marTop w:val="0"/>
                  <w:marBottom w:val="0"/>
                  <w:divBdr>
                    <w:top w:val="none" w:sz="0" w:space="0" w:color="auto"/>
                    <w:left w:val="none" w:sz="0" w:space="0" w:color="auto"/>
                    <w:bottom w:val="none" w:sz="0" w:space="0" w:color="auto"/>
                    <w:right w:val="none" w:sz="0" w:space="0" w:color="auto"/>
                  </w:divBdr>
                  <w:divsChild>
                    <w:div w:id="2078741383">
                      <w:marLeft w:val="0"/>
                      <w:marRight w:val="0"/>
                      <w:marTop w:val="0"/>
                      <w:marBottom w:val="0"/>
                      <w:divBdr>
                        <w:top w:val="none" w:sz="0" w:space="0" w:color="auto"/>
                        <w:left w:val="none" w:sz="0" w:space="0" w:color="auto"/>
                        <w:bottom w:val="none" w:sz="0" w:space="0" w:color="auto"/>
                        <w:right w:val="none" w:sz="0" w:space="0" w:color="auto"/>
                      </w:divBdr>
                      <w:divsChild>
                        <w:div w:id="2097432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2955943">
      <w:bodyDiv w:val="1"/>
      <w:marLeft w:val="0"/>
      <w:marRight w:val="0"/>
      <w:marTop w:val="0"/>
      <w:marBottom w:val="0"/>
      <w:divBdr>
        <w:top w:val="none" w:sz="0" w:space="0" w:color="auto"/>
        <w:left w:val="none" w:sz="0" w:space="0" w:color="auto"/>
        <w:bottom w:val="none" w:sz="0" w:space="0" w:color="auto"/>
        <w:right w:val="none" w:sz="0" w:space="0" w:color="auto"/>
      </w:divBdr>
      <w:divsChild>
        <w:div w:id="423190628">
          <w:marLeft w:val="0"/>
          <w:marRight w:val="0"/>
          <w:marTop w:val="0"/>
          <w:marBottom w:val="0"/>
          <w:divBdr>
            <w:top w:val="none" w:sz="0" w:space="0" w:color="auto"/>
            <w:left w:val="none" w:sz="0" w:space="0" w:color="auto"/>
            <w:bottom w:val="none" w:sz="0" w:space="0" w:color="auto"/>
            <w:right w:val="none" w:sz="0" w:space="0" w:color="auto"/>
          </w:divBdr>
          <w:divsChild>
            <w:div w:id="1230652992">
              <w:marLeft w:val="0"/>
              <w:marRight w:val="0"/>
              <w:marTop w:val="0"/>
              <w:marBottom w:val="0"/>
              <w:divBdr>
                <w:top w:val="none" w:sz="0" w:space="0" w:color="auto"/>
                <w:left w:val="none" w:sz="0" w:space="0" w:color="auto"/>
                <w:bottom w:val="none" w:sz="0" w:space="0" w:color="auto"/>
                <w:right w:val="none" w:sz="0" w:space="0" w:color="auto"/>
              </w:divBdr>
              <w:divsChild>
                <w:div w:id="1276015646">
                  <w:marLeft w:val="0"/>
                  <w:marRight w:val="0"/>
                  <w:marTop w:val="0"/>
                  <w:marBottom w:val="0"/>
                  <w:divBdr>
                    <w:top w:val="none" w:sz="0" w:space="0" w:color="auto"/>
                    <w:left w:val="none" w:sz="0" w:space="0" w:color="auto"/>
                    <w:bottom w:val="none" w:sz="0" w:space="0" w:color="auto"/>
                    <w:right w:val="none" w:sz="0" w:space="0" w:color="auto"/>
                  </w:divBdr>
                  <w:divsChild>
                    <w:div w:id="755902195">
                      <w:marLeft w:val="0"/>
                      <w:marRight w:val="0"/>
                      <w:marTop w:val="0"/>
                      <w:marBottom w:val="0"/>
                      <w:divBdr>
                        <w:top w:val="none" w:sz="0" w:space="0" w:color="auto"/>
                        <w:left w:val="none" w:sz="0" w:space="0" w:color="auto"/>
                        <w:bottom w:val="none" w:sz="0" w:space="0" w:color="auto"/>
                        <w:right w:val="none" w:sz="0" w:space="0" w:color="auto"/>
                      </w:divBdr>
                      <w:divsChild>
                        <w:div w:id="40784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5305134">
      <w:bodyDiv w:val="1"/>
      <w:marLeft w:val="0"/>
      <w:marRight w:val="0"/>
      <w:marTop w:val="0"/>
      <w:marBottom w:val="0"/>
      <w:divBdr>
        <w:top w:val="none" w:sz="0" w:space="0" w:color="auto"/>
        <w:left w:val="none" w:sz="0" w:space="0" w:color="auto"/>
        <w:bottom w:val="none" w:sz="0" w:space="0" w:color="auto"/>
        <w:right w:val="none" w:sz="0" w:space="0" w:color="auto"/>
      </w:divBdr>
      <w:divsChild>
        <w:div w:id="1194423340">
          <w:marLeft w:val="0"/>
          <w:marRight w:val="0"/>
          <w:marTop w:val="0"/>
          <w:marBottom w:val="0"/>
          <w:divBdr>
            <w:top w:val="none" w:sz="0" w:space="0" w:color="auto"/>
            <w:left w:val="none" w:sz="0" w:space="0" w:color="auto"/>
            <w:bottom w:val="none" w:sz="0" w:space="0" w:color="auto"/>
            <w:right w:val="none" w:sz="0" w:space="0" w:color="auto"/>
          </w:divBdr>
          <w:divsChild>
            <w:div w:id="677007771">
              <w:marLeft w:val="0"/>
              <w:marRight w:val="0"/>
              <w:marTop w:val="0"/>
              <w:marBottom w:val="0"/>
              <w:divBdr>
                <w:top w:val="none" w:sz="0" w:space="0" w:color="auto"/>
                <w:left w:val="none" w:sz="0" w:space="0" w:color="auto"/>
                <w:bottom w:val="none" w:sz="0" w:space="0" w:color="auto"/>
                <w:right w:val="none" w:sz="0" w:space="0" w:color="auto"/>
              </w:divBdr>
              <w:divsChild>
                <w:div w:id="1698700664">
                  <w:marLeft w:val="0"/>
                  <w:marRight w:val="0"/>
                  <w:marTop w:val="0"/>
                  <w:marBottom w:val="0"/>
                  <w:divBdr>
                    <w:top w:val="none" w:sz="0" w:space="0" w:color="auto"/>
                    <w:left w:val="none" w:sz="0" w:space="0" w:color="auto"/>
                    <w:bottom w:val="none" w:sz="0" w:space="0" w:color="auto"/>
                    <w:right w:val="none" w:sz="0" w:space="0" w:color="auto"/>
                  </w:divBdr>
                  <w:divsChild>
                    <w:div w:id="700588928">
                      <w:marLeft w:val="0"/>
                      <w:marRight w:val="0"/>
                      <w:marTop w:val="0"/>
                      <w:marBottom w:val="0"/>
                      <w:divBdr>
                        <w:top w:val="none" w:sz="0" w:space="0" w:color="auto"/>
                        <w:left w:val="none" w:sz="0" w:space="0" w:color="auto"/>
                        <w:bottom w:val="none" w:sz="0" w:space="0" w:color="auto"/>
                        <w:right w:val="none" w:sz="0" w:space="0" w:color="auto"/>
                      </w:divBdr>
                      <w:divsChild>
                        <w:div w:id="687026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0499125">
      <w:bodyDiv w:val="1"/>
      <w:marLeft w:val="0"/>
      <w:marRight w:val="0"/>
      <w:marTop w:val="0"/>
      <w:marBottom w:val="0"/>
      <w:divBdr>
        <w:top w:val="none" w:sz="0" w:space="0" w:color="auto"/>
        <w:left w:val="none" w:sz="0" w:space="0" w:color="auto"/>
        <w:bottom w:val="none" w:sz="0" w:space="0" w:color="auto"/>
        <w:right w:val="none" w:sz="0" w:space="0" w:color="auto"/>
      </w:divBdr>
      <w:divsChild>
        <w:div w:id="404374652">
          <w:marLeft w:val="0"/>
          <w:marRight w:val="0"/>
          <w:marTop w:val="0"/>
          <w:marBottom w:val="0"/>
          <w:divBdr>
            <w:top w:val="none" w:sz="0" w:space="0" w:color="auto"/>
            <w:left w:val="none" w:sz="0" w:space="0" w:color="auto"/>
            <w:bottom w:val="none" w:sz="0" w:space="0" w:color="auto"/>
            <w:right w:val="none" w:sz="0" w:space="0" w:color="auto"/>
          </w:divBdr>
          <w:divsChild>
            <w:div w:id="1404982522">
              <w:marLeft w:val="0"/>
              <w:marRight w:val="0"/>
              <w:marTop w:val="0"/>
              <w:marBottom w:val="0"/>
              <w:divBdr>
                <w:top w:val="none" w:sz="0" w:space="0" w:color="auto"/>
                <w:left w:val="none" w:sz="0" w:space="0" w:color="auto"/>
                <w:bottom w:val="none" w:sz="0" w:space="0" w:color="auto"/>
                <w:right w:val="none" w:sz="0" w:space="0" w:color="auto"/>
              </w:divBdr>
              <w:divsChild>
                <w:div w:id="1388189223">
                  <w:marLeft w:val="0"/>
                  <w:marRight w:val="0"/>
                  <w:marTop w:val="0"/>
                  <w:marBottom w:val="0"/>
                  <w:divBdr>
                    <w:top w:val="none" w:sz="0" w:space="0" w:color="auto"/>
                    <w:left w:val="none" w:sz="0" w:space="0" w:color="auto"/>
                    <w:bottom w:val="none" w:sz="0" w:space="0" w:color="auto"/>
                    <w:right w:val="none" w:sz="0" w:space="0" w:color="auto"/>
                  </w:divBdr>
                  <w:divsChild>
                    <w:div w:id="307635555">
                      <w:marLeft w:val="0"/>
                      <w:marRight w:val="0"/>
                      <w:marTop w:val="0"/>
                      <w:marBottom w:val="0"/>
                      <w:divBdr>
                        <w:top w:val="none" w:sz="0" w:space="0" w:color="auto"/>
                        <w:left w:val="none" w:sz="0" w:space="0" w:color="auto"/>
                        <w:bottom w:val="none" w:sz="0" w:space="0" w:color="auto"/>
                        <w:right w:val="none" w:sz="0" w:space="0" w:color="auto"/>
                      </w:divBdr>
                      <w:divsChild>
                        <w:div w:id="67116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0497449">
      <w:bodyDiv w:val="1"/>
      <w:marLeft w:val="0"/>
      <w:marRight w:val="0"/>
      <w:marTop w:val="0"/>
      <w:marBottom w:val="0"/>
      <w:divBdr>
        <w:top w:val="none" w:sz="0" w:space="0" w:color="auto"/>
        <w:left w:val="none" w:sz="0" w:space="0" w:color="auto"/>
        <w:bottom w:val="none" w:sz="0" w:space="0" w:color="auto"/>
        <w:right w:val="none" w:sz="0" w:space="0" w:color="auto"/>
      </w:divBdr>
      <w:divsChild>
        <w:div w:id="1357730548">
          <w:marLeft w:val="0"/>
          <w:marRight w:val="0"/>
          <w:marTop w:val="0"/>
          <w:marBottom w:val="0"/>
          <w:divBdr>
            <w:top w:val="none" w:sz="0" w:space="0" w:color="auto"/>
            <w:left w:val="none" w:sz="0" w:space="0" w:color="auto"/>
            <w:bottom w:val="none" w:sz="0" w:space="0" w:color="auto"/>
            <w:right w:val="none" w:sz="0" w:space="0" w:color="auto"/>
          </w:divBdr>
          <w:divsChild>
            <w:div w:id="989363968">
              <w:marLeft w:val="0"/>
              <w:marRight w:val="0"/>
              <w:marTop w:val="0"/>
              <w:marBottom w:val="0"/>
              <w:divBdr>
                <w:top w:val="none" w:sz="0" w:space="0" w:color="auto"/>
                <w:left w:val="none" w:sz="0" w:space="0" w:color="auto"/>
                <w:bottom w:val="none" w:sz="0" w:space="0" w:color="auto"/>
                <w:right w:val="none" w:sz="0" w:space="0" w:color="auto"/>
              </w:divBdr>
              <w:divsChild>
                <w:div w:id="94055282">
                  <w:marLeft w:val="0"/>
                  <w:marRight w:val="0"/>
                  <w:marTop w:val="0"/>
                  <w:marBottom w:val="0"/>
                  <w:divBdr>
                    <w:top w:val="none" w:sz="0" w:space="0" w:color="auto"/>
                    <w:left w:val="none" w:sz="0" w:space="0" w:color="auto"/>
                    <w:bottom w:val="none" w:sz="0" w:space="0" w:color="auto"/>
                    <w:right w:val="none" w:sz="0" w:space="0" w:color="auto"/>
                  </w:divBdr>
                  <w:divsChild>
                    <w:div w:id="735785093">
                      <w:marLeft w:val="0"/>
                      <w:marRight w:val="0"/>
                      <w:marTop w:val="0"/>
                      <w:marBottom w:val="0"/>
                      <w:divBdr>
                        <w:top w:val="none" w:sz="0" w:space="0" w:color="auto"/>
                        <w:left w:val="none" w:sz="0" w:space="0" w:color="auto"/>
                        <w:bottom w:val="none" w:sz="0" w:space="0" w:color="auto"/>
                        <w:right w:val="none" w:sz="0" w:space="0" w:color="auto"/>
                      </w:divBdr>
                      <w:divsChild>
                        <w:div w:id="497965800">
                          <w:marLeft w:val="0"/>
                          <w:marRight w:val="0"/>
                          <w:marTop w:val="0"/>
                          <w:marBottom w:val="0"/>
                          <w:divBdr>
                            <w:top w:val="none" w:sz="0" w:space="0" w:color="auto"/>
                            <w:left w:val="none" w:sz="0" w:space="0" w:color="auto"/>
                            <w:bottom w:val="none" w:sz="0" w:space="0" w:color="auto"/>
                            <w:right w:val="none" w:sz="0" w:space="0" w:color="auto"/>
                          </w:divBdr>
                          <w:divsChild>
                            <w:div w:id="1175613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0469392">
      <w:bodyDiv w:val="1"/>
      <w:marLeft w:val="0"/>
      <w:marRight w:val="0"/>
      <w:marTop w:val="0"/>
      <w:marBottom w:val="0"/>
      <w:divBdr>
        <w:top w:val="none" w:sz="0" w:space="0" w:color="auto"/>
        <w:left w:val="none" w:sz="0" w:space="0" w:color="auto"/>
        <w:bottom w:val="none" w:sz="0" w:space="0" w:color="auto"/>
        <w:right w:val="none" w:sz="0" w:space="0" w:color="auto"/>
      </w:divBdr>
    </w:div>
    <w:div w:id="2083403054">
      <w:bodyDiv w:val="1"/>
      <w:marLeft w:val="0"/>
      <w:marRight w:val="0"/>
      <w:marTop w:val="0"/>
      <w:marBottom w:val="0"/>
      <w:divBdr>
        <w:top w:val="none" w:sz="0" w:space="0" w:color="auto"/>
        <w:left w:val="none" w:sz="0" w:space="0" w:color="auto"/>
        <w:bottom w:val="none" w:sz="0" w:space="0" w:color="auto"/>
        <w:right w:val="none" w:sz="0" w:space="0" w:color="auto"/>
      </w:divBdr>
      <w:divsChild>
        <w:div w:id="484661684">
          <w:marLeft w:val="0"/>
          <w:marRight w:val="0"/>
          <w:marTop w:val="0"/>
          <w:marBottom w:val="0"/>
          <w:divBdr>
            <w:top w:val="none" w:sz="0" w:space="0" w:color="auto"/>
            <w:left w:val="none" w:sz="0" w:space="0" w:color="auto"/>
            <w:bottom w:val="none" w:sz="0" w:space="0" w:color="auto"/>
            <w:right w:val="none" w:sz="0" w:space="0" w:color="auto"/>
          </w:divBdr>
          <w:divsChild>
            <w:div w:id="1121992352">
              <w:marLeft w:val="0"/>
              <w:marRight w:val="0"/>
              <w:marTop w:val="0"/>
              <w:marBottom w:val="0"/>
              <w:divBdr>
                <w:top w:val="none" w:sz="0" w:space="0" w:color="auto"/>
                <w:left w:val="none" w:sz="0" w:space="0" w:color="auto"/>
                <w:bottom w:val="none" w:sz="0" w:space="0" w:color="auto"/>
                <w:right w:val="none" w:sz="0" w:space="0" w:color="auto"/>
              </w:divBdr>
              <w:divsChild>
                <w:div w:id="1770730721">
                  <w:marLeft w:val="0"/>
                  <w:marRight w:val="0"/>
                  <w:marTop w:val="0"/>
                  <w:marBottom w:val="0"/>
                  <w:divBdr>
                    <w:top w:val="none" w:sz="0" w:space="0" w:color="auto"/>
                    <w:left w:val="none" w:sz="0" w:space="0" w:color="auto"/>
                    <w:bottom w:val="none" w:sz="0" w:space="0" w:color="auto"/>
                    <w:right w:val="none" w:sz="0" w:space="0" w:color="auto"/>
                  </w:divBdr>
                  <w:divsChild>
                    <w:div w:id="2037387144">
                      <w:marLeft w:val="0"/>
                      <w:marRight w:val="0"/>
                      <w:marTop w:val="0"/>
                      <w:marBottom w:val="0"/>
                      <w:divBdr>
                        <w:top w:val="none" w:sz="0" w:space="0" w:color="auto"/>
                        <w:left w:val="none" w:sz="0" w:space="0" w:color="auto"/>
                        <w:bottom w:val="none" w:sz="0" w:space="0" w:color="auto"/>
                        <w:right w:val="none" w:sz="0" w:space="0" w:color="auto"/>
                      </w:divBdr>
                      <w:divsChild>
                        <w:div w:id="445345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ru.wikipedia.org/wiki/USS_Akron_(ZRS-4)" TargetMode="External"/><Relationship Id="rId299" Type="http://schemas.openxmlformats.org/officeDocument/2006/relationships/hyperlink" Target="http://sovdoc.rusarchives.ru/" TargetMode="External"/><Relationship Id="rId21" Type="http://schemas.openxmlformats.org/officeDocument/2006/relationships/hyperlink" Target="http://sovdoc.rusarchives.ru/" TargetMode="External"/><Relationship Id="rId63" Type="http://schemas.openxmlformats.org/officeDocument/2006/relationships/hyperlink" Target="http://sovdoc.rusarchives.ru/" TargetMode="External"/><Relationship Id="rId159" Type="http://schemas.openxmlformats.org/officeDocument/2006/relationships/hyperlink" Target="http://sovdoc.rusarchives.ru/" TargetMode="External"/><Relationship Id="rId324" Type="http://schemas.openxmlformats.org/officeDocument/2006/relationships/hyperlink" Target="http://sovdoc.rusarchives.ru/" TargetMode="External"/><Relationship Id="rId366" Type="http://schemas.openxmlformats.org/officeDocument/2006/relationships/hyperlink" Target="http://sovdoc.rusarchives.ru/" TargetMode="External"/><Relationship Id="rId170" Type="http://schemas.openxmlformats.org/officeDocument/2006/relationships/hyperlink" Target="http://istmat.info/node/48300" TargetMode="External"/><Relationship Id="rId226" Type="http://schemas.openxmlformats.org/officeDocument/2006/relationships/hyperlink" Target="http://detectivebooks.ru/book/47013018/?page=26" TargetMode="External"/><Relationship Id="rId433" Type="http://schemas.openxmlformats.org/officeDocument/2006/relationships/hyperlink" Target="http://www.rpg-club.com/x1000" TargetMode="External"/><Relationship Id="rId268" Type="http://schemas.openxmlformats.org/officeDocument/2006/relationships/hyperlink" Target="http://www.airwar.ru/enc/fww1/letovs231.html" TargetMode="External"/><Relationship Id="rId32" Type="http://schemas.openxmlformats.org/officeDocument/2006/relationships/hyperlink" Target="https://ru.wikipedia.org/wiki/%D0%A0%D0%B5%D0%B9%D1%85%D1%81%D0%BA%D0%B0%D0%BD%D1%86%D0%BB%D0%B5%D1%80" TargetMode="External"/><Relationship Id="rId74" Type="http://schemas.openxmlformats.org/officeDocument/2006/relationships/hyperlink" Target="https://ru.wikipedia.org/wiki/%D0%A2%D0%B0%D0%BD%D0%B5%D0%B2,_%D0%92%D0%B0%D1%81%D0%B8%D0%BB" TargetMode="External"/><Relationship Id="rId128" Type="http://schemas.openxmlformats.org/officeDocument/2006/relationships/hyperlink" Target="http://sovdoc.rusarchives.ru/" TargetMode="External"/><Relationship Id="rId335" Type="http://schemas.openxmlformats.org/officeDocument/2006/relationships/hyperlink" Target="http://sovdoc.rusarchives.ru/" TargetMode="External"/><Relationship Id="rId377" Type="http://schemas.openxmlformats.org/officeDocument/2006/relationships/hyperlink" Target="http://ru.wikipedia.org/wiki/1935_%D0%B3%D0%BE%D0%B4" TargetMode="External"/><Relationship Id="rId5" Type="http://schemas.openxmlformats.org/officeDocument/2006/relationships/hyperlink" Target="http://alternathistory.org.ua/popytka-pereleta-cherez-atlanticheskii-okean-na-samolete-junkers-w-33-esa" TargetMode="External"/><Relationship Id="rId181" Type="http://schemas.openxmlformats.org/officeDocument/2006/relationships/hyperlink" Target="http://www.rpg-club.com/x1000" TargetMode="External"/><Relationship Id="rId237" Type="http://schemas.openxmlformats.org/officeDocument/2006/relationships/hyperlink" Target="http://www.rpg-club.com/x1000" TargetMode="External"/><Relationship Id="rId402" Type="http://schemas.openxmlformats.org/officeDocument/2006/relationships/hyperlink" Target="http://sovdoc.rusarchives.ru/" TargetMode="External"/><Relationship Id="rId279" Type="http://schemas.openxmlformats.org/officeDocument/2006/relationships/hyperlink" Target="http://sovdoc.rusarchives.ru/" TargetMode="External"/><Relationship Id="rId43" Type="http://schemas.openxmlformats.org/officeDocument/2006/relationships/hyperlink" Target="http://www.rpg-club.com/x1000" TargetMode="External"/><Relationship Id="rId139" Type="http://schemas.openxmlformats.org/officeDocument/2006/relationships/hyperlink" Target="http://warspot.ru/7081-angliyskiy-zmey-gorynych" TargetMode="External"/><Relationship Id="rId290" Type="http://schemas.openxmlformats.org/officeDocument/2006/relationships/hyperlink" Target="http://ru.wikipedia.org/wiki/%D0%94%D0%B5%D1%88%D0%B8%D0%BC%D0%B0%D0%B3" TargetMode="External"/><Relationship Id="rId304" Type="http://schemas.openxmlformats.org/officeDocument/2006/relationships/hyperlink" Target="http://www.airwar.ru/enc/cw1/s16.html" TargetMode="External"/><Relationship Id="rId346" Type="http://schemas.openxmlformats.org/officeDocument/2006/relationships/hyperlink" Target="http://detectivebooks.ru/book/47013018/?page=18" TargetMode="External"/><Relationship Id="rId388" Type="http://schemas.openxmlformats.org/officeDocument/2006/relationships/hyperlink" Target="http://detectivebooks.ru/book/47013018/?page=40" TargetMode="External"/><Relationship Id="rId85" Type="http://schemas.openxmlformats.org/officeDocument/2006/relationships/hyperlink" Target="http://sovdoc.rusarchives.ru/" TargetMode="External"/><Relationship Id="rId150" Type="http://schemas.openxmlformats.org/officeDocument/2006/relationships/hyperlink" Target="http://www.airwar.ru/enc/sww2/jf.html" TargetMode="External"/><Relationship Id="rId192" Type="http://schemas.openxmlformats.org/officeDocument/2006/relationships/hyperlink" Target="http://sovdoc.rusarchives.ru/" TargetMode="External"/><Relationship Id="rId206" Type="http://schemas.openxmlformats.org/officeDocument/2006/relationships/hyperlink" Target="http://sovdoc.rusarchives.ru/" TargetMode="External"/><Relationship Id="rId413" Type="http://schemas.openxmlformats.org/officeDocument/2006/relationships/hyperlink" Target="http://www.rpg-club.com/x1000" TargetMode="External"/><Relationship Id="rId248" Type="http://schemas.openxmlformats.org/officeDocument/2006/relationships/hyperlink" Target="http://www.airwar.ru/enc/cw1/dc1.html" TargetMode="External"/><Relationship Id="rId269" Type="http://schemas.openxmlformats.org/officeDocument/2006/relationships/hyperlink" Target="http://www.airwar.ru/enc/other1/r34.html" TargetMode="External"/><Relationship Id="rId434" Type="http://schemas.openxmlformats.org/officeDocument/2006/relationships/hyperlink" Target="http://detectivebooks.ru/book/47013018/?page=27" TargetMode="External"/><Relationship Id="rId12" Type="http://schemas.openxmlformats.org/officeDocument/2006/relationships/hyperlink" Target="https://www.marxists.org/russkij/stalin/t13/footnotes.htm" TargetMode="External"/><Relationship Id="rId33" Type="http://schemas.openxmlformats.org/officeDocument/2006/relationships/hyperlink" Target="https://ru.wikipedia.org/wiki/%D0%9F%D0%BE%D0%B4%D0%B6%D0%BE%D0%B3_%D0%A0%D0%B5%D0%B9%D1%85%D1%81%D1%82%D0%B0%D0%B3%D0%B0" TargetMode="External"/><Relationship Id="rId108" Type="http://schemas.openxmlformats.org/officeDocument/2006/relationships/hyperlink" Target="http://sovdoc.rusarchives.ru/" TargetMode="External"/><Relationship Id="rId129" Type="http://schemas.openxmlformats.org/officeDocument/2006/relationships/hyperlink" Target="http://sovdoc.rusarchives.ru/" TargetMode="External"/><Relationship Id="rId280" Type="http://schemas.openxmlformats.org/officeDocument/2006/relationships/hyperlink" Target="http://www.airwar.ru/enc/cw1/bl110.html" TargetMode="External"/><Relationship Id="rId315" Type="http://schemas.openxmlformats.org/officeDocument/2006/relationships/hyperlink" Target="http://istmat.info/node/37387" TargetMode="External"/><Relationship Id="rId336" Type="http://schemas.openxmlformats.org/officeDocument/2006/relationships/hyperlink" Target="http://sovdoc.rusarchives.ru/" TargetMode="External"/><Relationship Id="rId357" Type="http://schemas.openxmlformats.org/officeDocument/2006/relationships/hyperlink" Target="http://sovdoc.rusarchives.ru/" TargetMode="External"/><Relationship Id="rId54" Type="http://schemas.openxmlformats.org/officeDocument/2006/relationships/hyperlink" Target="http://detectivebooks.ru/book/47013018/?page=36" TargetMode="External"/><Relationship Id="rId75" Type="http://schemas.openxmlformats.org/officeDocument/2006/relationships/hyperlink" Target="https://ru.wikipedia.org/wiki/%D0%9F%D0%BE%D0%BF%D0%BE%D0%B2,_%D0%91%D0%BB%D0%B0%D0%B3%D0%BE%D0%B9" TargetMode="External"/><Relationship Id="rId96" Type="http://schemas.openxmlformats.org/officeDocument/2006/relationships/hyperlink" Target="http://sovdoc.rusarchives.ru/" TargetMode="External"/><Relationship Id="rId140" Type="http://schemas.openxmlformats.org/officeDocument/2006/relationships/hyperlink" Target="http://ru.wikipedia.org/wiki/1933_%D0%B3%D0%BE%D0%B4" TargetMode="External"/><Relationship Id="rId161" Type="http://schemas.openxmlformats.org/officeDocument/2006/relationships/hyperlink" Target="http://sovdoc.rusarchives.ru/" TargetMode="External"/><Relationship Id="rId182" Type="http://schemas.openxmlformats.org/officeDocument/2006/relationships/hyperlink" Target="http://www.rpg-club.com/x1000" TargetMode="External"/><Relationship Id="rId217" Type="http://schemas.openxmlformats.org/officeDocument/2006/relationships/hyperlink" Target="http://www.airwar.ru/enc/law1/sev3.html" TargetMode="External"/><Relationship Id="rId378" Type="http://schemas.openxmlformats.org/officeDocument/2006/relationships/hyperlink" Target="http://ru.wikipedia.org/wiki/20_%D0%BE%D0%BA%D1%82%D1%8F%D0%B1%D1%80%D1%8F" TargetMode="External"/><Relationship Id="rId399" Type="http://schemas.openxmlformats.org/officeDocument/2006/relationships/hyperlink" Target="http://sovdoc.rusarchives.ru/" TargetMode="External"/><Relationship Id="rId403" Type="http://schemas.openxmlformats.org/officeDocument/2006/relationships/hyperlink" Target="http://sovdoc.rusarchives.ru/" TargetMode="External"/><Relationship Id="rId6" Type="http://schemas.openxmlformats.org/officeDocument/2006/relationships/hyperlink" Target="http://detectivebooks.ru/book/47013018/?page=14" TargetMode="External"/><Relationship Id="rId238" Type="http://schemas.openxmlformats.org/officeDocument/2006/relationships/hyperlink" Target="http://www.rpg-club.com/x1000" TargetMode="External"/><Relationship Id="rId259" Type="http://schemas.openxmlformats.org/officeDocument/2006/relationships/hyperlink" Target="http://www.airwar.ru/enc/cw1/d332.html" TargetMode="External"/><Relationship Id="rId424" Type="http://schemas.openxmlformats.org/officeDocument/2006/relationships/hyperlink" Target="https://warspot.ru/16472-glavnyy-konstruktor-30-h" TargetMode="External"/><Relationship Id="rId23" Type="http://schemas.openxmlformats.org/officeDocument/2006/relationships/hyperlink" Target="http://sovdoc.rusarchives.ru/" TargetMode="External"/><Relationship Id="rId119" Type="http://schemas.openxmlformats.org/officeDocument/2006/relationships/hyperlink" Target="http://sovdoc.rusarchives.ru/" TargetMode="External"/><Relationship Id="rId270" Type="http://schemas.openxmlformats.org/officeDocument/2006/relationships/hyperlink" Target="http://www.airwar.ru/enc/xplane/stal6.html" TargetMode="External"/><Relationship Id="rId291" Type="http://schemas.openxmlformats.org/officeDocument/2006/relationships/hyperlink" Target="http://istmat.info/node/48309" TargetMode="External"/><Relationship Id="rId305" Type="http://schemas.openxmlformats.org/officeDocument/2006/relationships/hyperlink" Target="http://www.airwar.ru/enc/bww1/k7.html" TargetMode="External"/><Relationship Id="rId326" Type="http://schemas.openxmlformats.org/officeDocument/2006/relationships/hyperlink" Target="http://sovdoc.rusarchives.ru/" TargetMode="External"/><Relationship Id="rId347" Type="http://schemas.openxmlformats.org/officeDocument/2006/relationships/hyperlink" Target="http://detectivebooks.ru/book/47013018/?page=14" TargetMode="External"/><Relationship Id="rId44" Type="http://schemas.openxmlformats.org/officeDocument/2006/relationships/hyperlink" Target="http://www.rpg-club.com/x1000" TargetMode="External"/><Relationship Id="rId65" Type="http://schemas.openxmlformats.org/officeDocument/2006/relationships/hyperlink" Target="http://airspot.ru/catalogue/item/boeing-model-247" TargetMode="External"/><Relationship Id="rId86" Type="http://schemas.openxmlformats.org/officeDocument/2006/relationships/hyperlink" Target="http://sovdoc.rusarchives.ru/" TargetMode="External"/><Relationship Id="rId130" Type="http://schemas.openxmlformats.org/officeDocument/2006/relationships/hyperlink" Target="http://sovdoc.rusarchives.ru/" TargetMode="External"/><Relationship Id="rId151" Type="http://schemas.openxmlformats.org/officeDocument/2006/relationships/hyperlink" Target="http://www.airwar.ru/enc/spyww2/lublinr13.html" TargetMode="External"/><Relationship Id="rId368" Type="http://schemas.openxmlformats.org/officeDocument/2006/relationships/hyperlink" Target="http://sovdoc.rusarchives.ru/" TargetMode="External"/><Relationship Id="rId389" Type="http://schemas.openxmlformats.org/officeDocument/2006/relationships/image" Target="media/image1.jpeg"/><Relationship Id="rId172" Type="http://schemas.openxmlformats.org/officeDocument/2006/relationships/hyperlink" Target="http://www.airwar.ru/enc/law1/dh85.html" TargetMode="External"/><Relationship Id="rId193" Type="http://schemas.openxmlformats.org/officeDocument/2006/relationships/hyperlink" Target="http://sovdoc.rusarchives.ru/" TargetMode="External"/><Relationship Id="rId207" Type="http://schemas.openxmlformats.org/officeDocument/2006/relationships/hyperlink" Target="http://sovdoc.rusarchives.ru/" TargetMode="External"/><Relationship Id="rId228" Type="http://schemas.openxmlformats.org/officeDocument/2006/relationships/hyperlink" Target="http://detectivebooks.ru/book/47013018/?page=26" TargetMode="External"/><Relationship Id="rId249" Type="http://schemas.openxmlformats.org/officeDocument/2006/relationships/hyperlink" Target="http://www.airwar.ru/enc/cw1/aw15.html" TargetMode="External"/><Relationship Id="rId414" Type="http://schemas.openxmlformats.org/officeDocument/2006/relationships/hyperlink" Target="http://www.rpg-club.com/x1000" TargetMode="External"/><Relationship Id="rId435" Type="http://schemas.openxmlformats.org/officeDocument/2006/relationships/hyperlink" Target="http://detectivebooks.ru/book/47013018/?page=57" TargetMode="External"/><Relationship Id="rId13" Type="http://schemas.openxmlformats.org/officeDocument/2006/relationships/hyperlink" Target="https://www.marxists.org/russkij/stalin/t13/footnotes.htm" TargetMode="External"/><Relationship Id="rId109" Type="http://schemas.openxmlformats.org/officeDocument/2006/relationships/hyperlink" Target="http://istmat.info/node/48269" TargetMode="External"/><Relationship Id="rId260" Type="http://schemas.openxmlformats.org/officeDocument/2006/relationships/hyperlink" Target="http://sovdoc.rusarchives.ru/" TargetMode="External"/><Relationship Id="rId281" Type="http://schemas.openxmlformats.org/officeDocument/2006/relationships/hyperlink" Target="http://detectivebooks.ru/book/47013018/?page=14" TargetMode="External"/><Relationship Id="rId316" Type="http://schemas.openxmlformats.org/officeDocument/2006/relationships/hyperlink" Target="http://detectivebooks.ru/book/47013018/?page=17" TargetMode="External"/><Relationship Id="rId337" Type="http://schemas.openxmlformats.org/officeDocument/2006/relationships/hyperlink" Target="http://sovdoc.rusarchives.ru/" TargetMode="External"/><Relationship Id="rId34" Type="http://schemas.openxmlformats.org/officeDocument/2006/relationships/hyperlink" Target="https://ru.wikipedia.org/wiki/%D0%92%D0%B0%D0%BD_%D0%B4%D0%B5%D1%80_%D0%9B%D1%8E%D0%B1%D0%B1%D0%B5,_%D0%9C%D0%B0%D1%80%D0%B8%D0%BD%D1%83%D1%81" TargetMode="External"/><Relationship Id="rId55" Type="http://schemas.openxmlformats.org/officeDocument/2006/relationships/hyperlink" Target="http://alternathistory.com/files/users/user4907/ispitano_v_sssr_2E-03.JPG" TargetMode="External"/><Relationship Id="rId76" Type="http://schemas.openxmlformats.org/officeDocument/2006/relationships/hyperlink" Target="https://ru.wikipedia.org/wiki/%D0%9F%D0%B0%D1%80%D0%BB%D0%B0%D0%BC%D0%B5%D0%BD%D1%82%D1%81%D0%BA%D0%B8%D0%B5_%D0%B2%D1%8B%D0%B1%D0%BE%D1%80%D1%8B_%D0%B2_%D0%93%D0%B5%D1%80%D0%BC%D0%B0%D0%BD%D0%B8%D0%B8_(1933,_%D0%BC%D0%B0%D1%80%D1%82)" TargetMode="External"/><Relationship Id="rId97" Type="http://schemas.openxmlformats.org/officeDocument/2006/relationships/hyperlink" Target="http://sovdoc.rusarchives.ru/" TargetMode="External"/><Relationship Id="rId120" Type="http://schemas.openxmlformats.org/officeDocument/2006/relationships/hyperlink" Target="http://sovdoc.rusarchives.ru/" TargetMode="External"/><Relationship Id="rId141" Type="http://schemas.openxmlformats.org/officeDocument/2006/relationships/hyperlink" Target="http://ru.wikipedia.org/w/index.php?title=%D0%A1%D0%BE%D1%8E%D0%B7%D0%B2%D0%B5%D1%80%D1%84%D1%8C&amp;action=edit&amp;redlink=1" TargetMode="External"/><Relationship Id="rId358" Type="http://schemas.openxmlformats.org/officeDocument/2006/relationships/hyperlink" Target="http://sovdoc.rusarchives.ru/" TargetMode="External"/><Relationship Id="rId379" Type="http://schemas.openxmlformats.org/officeDocument/2006/relationships/hyperlink" Target="http://ru.wikipedia.org/wiki/1937_%D0%B3%D0%BE%D0%B4" TargetMode="External"/><Relationship Id="rId7" Type="http://schemas.openxmlformats.org/officeDocument/2006/relationships/hyperlink" Target="http://detectivebooks.ru/book/47013018/?page=14" TargetMode="External"/><Relationship Id="rId162" Type="http://schemas.openxmlformats.org/officeDocument/2006/relationships/hyperlink" Target="http://sovdoc.rusarchives.ru/" TargetMode="External"/><Relationship Id="rId183" Type="http://schemas.openxmlformats.org/officeDocument/2006/relationships/hyperlink" Target="http://sovdoc.rusarchives.ru/" TargetMode="External"/><Relationship Id="rId218" Type="http://schemas.openxmlformats.org/officeDocument/2006/relationships/hyperlink" Target="http://www.airwar.ru/enc/sww2/soc.html" TargetMode="External"/><Relationship Id="rId239" Type="http://schemas.openxmlformats.org/officeDocument/2006/relationships/hyperlink" Target="http://www.rpg-club.com/x1000" TargetMode="External"/><Relationship Id="rId390" Type="http://schemas.openxmlformats.org/officeDocument/2006/relationships/hyperlink" Target="http://sovdoc.rusarchives.ru/" TargetMode="External"/><Relationship Id="rId404" Type="http://schemas.openxmlformats.org/officeDocument/2006/relationships/hyperlink" Target="http://sovdoc.rusarchives.ru/" TargetMode="External"/><Relationship Id="rId425" Type="http://schemas.openxmlformats.org/officeDocument/2006/relationships/hyperlink" Target="http://www.rpg-club.com/x1000" TargetMode="External"/><Relationship Id="rId250" Type="http://schemas.openxmlformats.org/officeDocument/2006/relationships/hyperlink" Target="http://www.airwar.ru/enc/bww2/tb4.html" TargetMode="External"/><Relationship Id="rId271" Type="http://schemas.openxmlformats.org/officeDocument/2006/relationships/hyperlink" Target="http://www.aviastar.org/tm/uveren.html" TargetMode="External"/><Relationship Id="rId292" Type="http://schemas.openxmlformats.org/officeDocument/2006/relationships/hyperlink" Target="https://t34inform.ru/doc/1933-08-13_71_STO.html" TargetMode="External"/><Relationship Id="rId306" Type="http://schemas.openxmlformats.org/officeDocument/2006/relationships/hyperlink" Target="http://www.airwar.ru/enc/sww2/shark.html" TargetMode="External"/><Relationship Id="rId24" Type="http://schemas.openxmlformats.org/officeDocument/2006/relationships/hyperlink" Target="http://www.airwar.ru/enc/bww2/b10.html" TargetMode="External"/><Relationship Id="rId45" Type="http://schemas.openxmlformats.org/officeDocument/2006/relationships/hyperlink" Target="http://www.rpg-club.com/x1000" TargetMode="External"/><Relationship Id="rId66" Type="http://schemas.openxmlformats.org/officeDocument/2006/relationships/hyperlink" Target="http://airspot.ru/catalogue/item/hawker-hector" TargetMode="External"/><Relationship Id="rId87" Type="http://schemas.openxmlformats.org/officeDocument/2006/relationships/hyperlink" Target="http://sovdoc.rusarchives.ru/" TargetMode="External"/><Relationship Id="rId110" Type="http://schemas.openxmlformats.org/officeDocument/2006/relationships/hyperlink" Target="http://www.airwar.ru/enc/law1/lh130.html" TargetMode="External"/><Relationship Id="rId131" Type="http://schemas.openxmlformats.org/officeDocument/2006/relationships/hyperlink" Target="http://sovdoc.rusarchives.ru/" TargetMode="External"/><Relationship Id="rId327" Type="http://schemas.openxmlformats.org/officeDocument/2006/relationships/hyperlink" Target="http://sovdoc.rusarchives.ru/" TargetMode="External"/><Relationship Id="rId348" Type="http://schemas.openxmlformats.org/officeDocument/2006/relationships/hyperlink" Target="http://www.rpg-club.com/x1000" TargetMode="External"/><Relationship Id="rId369" Type="http://schemas.openxmlformats.org/officeDocument/2006/relationships/hyperlink" Target="http://sovdoc.rusarchives.ru/" TargetMode="External"/><Relationship Id="rId152" Type="http://schemas.openxmlformats.org/officeDocument/2006/relationships/hyperlink" Target="http://www.e-reading.club/chapter.php/1005087/40/Gorlov_Sergey_-_Sovershenno_sekretno__Alyans_Moskva_-_Berlin_1920-1933_gg..html" TargetMode="External"/><Relationship Id="rId173" Type="http://schemas.openxmlformats.org/officeDocument/2006/relationships/hyperlink" Target="http://www.airwar.ru/enc/law1/fiatg5.html" TargetMode="External"/><Relationship Id="rId194" Type="http://schemas.openxmlformats.org/officeDocument/2006/relationships/hyperlink" Target="http://sovdoc.rusarchives.ru/" TargetMode="External"/><Relationship Id="rId208" Type="http://schemas.openxmlformats.org/officeDocument/2006/relationships/hyperlink" Target="http://sovdoc.rusarchives.ru/" TargetMode="External"/><Relationship Id="rId229" Type="http://schemas.openxmlformats.org/officeDocument/2006/relationships/hyperlink" Target="http://www.rpg-club.com/x1000" TargetMode="External"/><Relationship Id="rId380" Type="http://schemas.openxmlformats.org/officeDocument/2006/relationships/hyperlink" Target="http://ru.wikipedia.org/wiki/4_%D0%B0%D0%B2%D0%B3%D1%83%D1%81%D1%82%D0%B0" TargetMode="External"/><Relationship Id="rId415" Type="http://schemas.openxmlformats.org/officeDocument/2006/relationships/hyperlink" Target="http://www.rpg-club.com/x1000" TargetMode="External"/><Relationship Id="rId436" Type="http://schemas.openxmlformats.org/officeDocument/2006/relationships/fontTable" Target="fontTable.xml"/><Relationship Id="rId240" Type="http://schemas.openxmlformats.org/officeDocument/2006/relationships/hyperlink" Target="http://www.rpg-club.com/x1000" TargetMode="External"/><Relationship Id="rId261" Type="http://schemas.openxmlformats.org/officeDocument/2006/relationships/hyperlink" Target="http://sovdoc.rusarchives.ru/" TargetMode="External"/><Relationship Id="rId14" Type="http://schemas.openxmlformats.org/officeDocument/2006/relationships/hyperlink" Target="http://www.rpg-club.com/x1000" TargetMode="External"/><Relationship Id="rId35" Type="http://schemas.openxmlformats.org/officeDocument/2006/relationships/hyperlink" Target="https://ru.wikipedia.org/wiki/%D0%A2%D0%BE%D1%80%D0%B3%D0%BB%D0%B5%D1%80,_%D0%AD%D1%80%D0%BD%D1%81%D1%82" TargetMode="External"/><Relationship Id="rId56" Type="http://schemas.openxmlformats.org/officeDocument/2006/relationships/hyperlink" Target="http://sovdoc.rusarchives.ru/" TargetMode="External"/><Relationship Id="rId77" Type="http://schemas.openxmlformats.org/officeDocument/2006/relationships/hyperlink" Target="https://ru.wikipedia.org/wiki/5_%D0%BC%D0%B0%D1%80%D1%82%D0%B0" TargetMode="External"/><Relationship Id="rId100" Type="http://schemas.openxmlformats.org/officeDocument/2006/relationships/hyperlink" Target="http://www.zateevo.ru/?section=page&amp;action=edit&amp;alias=dirizchabl" TargetMode="External"/><Relationship Id="rId282" Type="http://schemas.openxmlformats.org/officeDocument/2006/relationships/hyperlink" Target="http://eng.ship.bsu.by/ship/101258" TargetMode="External"/><Relationship Id="rId317" Type="http://schemas.openxmlformats.org/officeDocument/2006/relationships/hyperlink" Target="http://detectivebooks.ru/book/47013018/?page=12" TargetMode="External"/><Relationship Id="rId338" Type="http://schemas.openxmlformats.org/officeDocument/2006/relationships/hyperlink" Target="http://sovdoc.rusarchives.ru/" TargetMode="External"/><Relationship Id="rId359" Type="http://schemas.openxmlformats.org/officeDocument/2006/relationships/hyperlink" Target="http://sovdoc.rusarchives.ru/" TargetMode="External"/><Relationship Id="rId8" Type="http://schemas.openxmlformats.org/officeDocument/2006/relationships/hyperlink" Target="http://detectivebooks.ru/book/47013018/?page=47" TargetMode="External"/><Relationship Id="rId98" Type="http://schemas.openxmlformats.org/officeDocument/2006/relationships/hyperlink" Target="http://sovdoc.rusarchives.ru/" TargetMode="External"/><Relationship Id="rId121" Type="http://schemas.openxmlformats.org/officeDocument/2006/relationships/hyperlink" Target="http://www.e-reading.club/chapter.php/1005087/40/Gorlov_Sergey_-_Sovershenno_sekretno__Alyans_Moskva_-_Berlin_1920-1933_gg..html" TargetMode="External"/><Relationship Id="rId142" Type="http://schemas.openxmlformats.org/officeDocument/2006/relationships/hyperlink" Target="http://ru.wikipedia.org/wiki/%D0%94%D0%B5%D1%88%D0%B8%D0%BC%D0%B0%D0%B3" TargetMode="External"/><Relationship Id="rId163" Type="http://schemas.openxmlformats.org/officeDocument/2006/relationships/hyperlink" Target="http://sovdoc.rusarchives.ru/" TargetMode="External"/><Relationship Id="rId184" Type="http://schemas.openxmlformats.org/officeDocument/2006/relationships/hyperlink" Target="http://sovdoc.rusarchives.ru/" TargetMode="External"/><Relationship Id="rId219" Type="http://schemas.openxmlformats.org/officeDocument/2006/relationships/hyperlink" Target="http://www.airwar.ru/enc/sww2/walrus.html" TargetMode="External"/><Relationship Id="rId370" Type="http://schemas.openxmlformats.org/officeDocument/2006/relationships/hyperlink" Target="http://sovdoc.rusarchives.ru/" TargetMode="External"/><Relationship Id="rId391" Type="http://schemas.openxmlformats.org/officeDocument/2006/relationships/hyperlink" Target="http://sovdoc.rusarchives.ru/" TargetMode="External"/><Relationship Id="rId405" Type="http://schemas.openxmlformats.org/officeDocument/2006/relationships/hyperlink" Target="http://sovdoc.rusarchives.ru/" TargetMode="External"/><Relationship Id="rId426" Type="http://schemas.openxmlformats.org/officeDocument/2006/relationships/hyperlink" Target="http://www.rpg-club.com/x1000" TargetMode="External"/><Relationship Id="rId230" Type="http://schemas.openxmlformats.org/officeDocument/2006/relationships/hyperlink" Target="http://www.rpg-club.com/x1000" TargetMode="External"/><Relationship Id="rId251" Type="http://schemas.openxmlformats.org/officeDocument/2006/relationships/hyperlink" Target="http://detectivebooks.ru/book/47013018/?page=12" TargetMode="External"/><Relationship Id="rId25" Type="http://schemas.openxmlformats.org/officeDocument/2006/relationships/hyperlink" Target="http://detectivebooks.ru/book/47013018/?page=16" TargetMode="External"/><Relationship Id="rId46" Type="http://schemas.openxmlformats.org/officeDocument/2006/relationships/hyperlink" Target="http://www.rpg-club.com/x1000" TargetMode="External"/><Relationship Id="rId67" Type="http://schemas.openxmlformats.org/officeDocument/2006/relationships/hyperlink" Target="http://airspot.ru/catalogue/item/loire-45" TargetMode="External"/><Relationship Id="rId272" Type="http://schemas.openxmlformats.org/officeDocument/2006/relationships/hyperlink" Target="http://acv179672006.narod.ru/history2-2.htm" TargetMode="External"/><Relationship Id="rId293" Type="http://schemas.openxmlformats.org/officeDocument/2006/relationships/hyperlink" Target="http://ru.wikipedia.org/w/index.php?title=%D0%259...until=%D0%A1%D1%83-6" TargetMode="External"/><Relationship Id="rId307" Type="http://schemas.openxmlformats.org/officeDocument/2006/relationships/hyperlink" Target="http://sovdoc.rusarchives.ru/" TargetMode="External"/><Relationship Id="rId328" Type="http://schemas.openxmlformats.org/officeDocument/2006/relationships/hyperlink" Target="http://sovdoc.rusarchives.ru/" TargetMode="External"/><Relationship Id="rId349" Type="http://schemas.openxmlformats.org/officeDocument/2006/relationships/hyperlink" Target="http://www.rpg-club.com/x1000" TargetMode="External"/><Relationship Id="rId88" Type="http://schemas.openxmlformats.org/officeDocument/2006/relationships/hyperlink" Target="http://sovdoc.rusarchives.ru/" TargetMode="External"/><Relationship Id="rId111" Type="http://schemas.openxmlformats.org/officeDocument/2006/relationships/hyperlink" Target="http://airspot.ru/catalogue/item/curtiss-t-32-condor-ii" TargetMode="External"/><Relationship Id="rId132" Type="http://schemas.openxmlformats.org/officeDocument/2006/relationships/hyperlink" Target="http://sovdoc.rusarchives.ru/" TargetMode="External"/><Relationship Id="rId153" Type="http://schemas.openxmlformats.org/officeDocument/2006/relationships/hyperlink" Target="http://www.e-reading.club/chapter.php/1005087/40/Gorlov_Sergey_-_Sovershenno_sekretno__Alyans_Moskva_-_Berlin_1920-1933_gg..html" TargetMode="External"/><Relationship Id="rId174" Type="http://schemas.openxmlformats.org/officeDocument/2006/relationships/hyperlink" Target="http://www.rpg-club.com/x1000" TargetMode="External"/><Relationship Id="rId195" Type="http://schemas.openxmlformats.org/officeDocument/2006/relationships/hyperlink" Target="http://sovdoc.rusarchives.ru/" TargetMode="External"/><Relationship Id="rId209" Type="http://schemas.openxmlformats.org/officeDocument/2006/relationships/hyperlink" Target="http://sovdoc.rusarchives.ru/" TargetMode="External"/><Relationship Id="rId360" Type="http://schemas.openxmlformats.org/officeDocument/2006/relationships/hyperlink" Target="http://sovdoc.rusarchives.ru/" TargetMode="External"/><Relationship Id="rId381" Type="http://schemas.openxmlformats.org/officeDocument/2006/relationships/hyperlink" Target="http://ru.wikipedia.org/wiki/1934_%D0%B3%D0%BE%D0%B4" TargetMode="External"/><Relationship Id="rId416" Type="http://schemas.openxmlformats.org/officeDocument/2006/relationships/hyperlink" Target="http://www.rpg-club.com/x1000" TargetMode="External"/><Relationship Id="rId220" Type="http://schemas.openxmlformats.org/officeDocument/2006/relationships/hyperlink" Target="http://www.airwar.ru/enc/cw1/k5.html" TargetMode="External"/><Relationship Id="rId241" Type="http://schemas.openxmlformats.org/officeDocument/2006/relationships/hyperlink" Target="http://detectivebooks.ru/book/47013018/?page=10" TargetMode="External"/><Relationship Id="rId437" Type="http://schemas.openxmlformats.org/officeDocument/2006/relationships/theme" Target="theme/theme1.xml"/><Relationship Id="rId15" Type="http://schemas.openxmlformats.org/officeDocument/2006/relationships/hyperlink" Target="http://www.rpg-club.com/x1000" TargetMode="External"/><Relationship Id="rId36" Type="http://schemas.openxmlformats.org/officeDocument/2006/relationships/hyperlink" Target="https://ru.wikipedia.org/wiki/%D0%94%D0%B8%D0%BC%D0%B8%D1%82%D1%80%D0%BE%D0%B2,_%D0%93%D0%B5%D0%BE%D1%80%D0%B3%D0%B8%D0%B9_%D0%9C%D0%B8%D1%85%D0%B0%D0%B9%D0%BB%D0%BE%D0%B2%D0%B8%D1%87" TargetMode="External"/><Relationship Id="rId57" Type="http://schemas.openxmlformats.org/officeDocument/2006/relationships/hyperlink" Target="http://sovdoc.rusarchives.ru/" TargetMode="External"/><Relationship Id="rId262" Type="http://schemas.openxmlformats.org/officeDocument/2006/relationships/hyperlink" Target="http://sovdoc.rusarchives.ru/" TargetMode="External"/><Relationship Id="rId283" Type="http://schemas.openxmlformats.org/officeDocument/2006/relationships/hyperlink" Target="http://avia-museum.narod.ru/france/bleriot_110.html" TargetMode="External"/><Relationship Id="rId318" Type="http://schemas.openxmlformats.org/officeDocument/2006/relationships/hyperlink" Target="http://istmat.info/node/48304" TargetMode="External"/><Relationship Id="rId339" Type="http://schemas.openxmlformats.org/officeDocument/2006/relationships/hyperlink" Target="http://sovdoc.rusarchives.ru/" TargetMode="External"/><Relationship Id="rId78" Type="http://schemas.openxmlformats.org/officeDocument/2006/relationships/hyperlink" Target="https://ru.wikipedia.org/wiki/1933_%D0%B3%D0%BE%D0%B4" TargetMode="External"/><Relationship Id="rId99" Type="http://schemas.openxmlformats.org/officeDocument/2006/relationships/hyperlink" Target="http://sovdoc.rusarchives.ru/" TargetMode="External"/><Relationship Id="rId101" Type="http://schemas.openxmlformats.org/officeDocument/2006/relationships/hyperlink" Target="http://www.airwar.ru/enc/bww1/pws19.html" TargetMode="External"/><Relationship Id="rId122" Type="http://schemas.openxmlformats.org/officeDocument/2006/relationships/hyperlink" Target="http://istmat.info/node/50314" TargetMode="External"/><Relationship Id="rId143" Type="http://schemas.openxmlformats.org/officeDocument/2006/relationships/hyperlink" Target="http://ru.wikipedia.org/wiki/12_%D0%B0%D0%B2%D0%B3%D1%83%D1%81%D1%82%D0%B0" TargetMode="External"/><Relationship Id="rId164" Type="http://schemas.openxmlformats.org/officeDocument/2006/relationships/hyperlink" Target="http://sovdoc.rusarchives.ru/" TargetMode="External"/><Relationship Id="rId185" Type="http://schemas.openxmlformats.org/officeDocument/2006/relationships/hyperlink" Target="http://sovdoc.rusarchives.ru/" TargetMode="External"/><Relationship Id="rId350" Type="http://schemas.openxmlformats.org/officeDocument/2006/relationships/hyperlink" Target="http://www.rpg-club.com/x1000" TargetMode="External"/><Relationship Id="rId371" Type="http://schemas.openxmlformats.org/officeDocument/2006/relationships/hyperlink" Target="http://sovdoc.rusarchives.ru/" TargetMode="External"/><Relationship Id="rId406" Type="http://schemas.openxmlformats.org/officeDocument/2006/relationships/hyperlink" Target="http://istmat.info/node/38389" TargetMode="External"/><Relationship Id="rId9" Type="http://schemas.openxmlformats.org/officeDocument/2006/relationships/hyperlink" Target="http://detectivebooks.ru/book/47013018/?page=47" TargetMode="External"/><Relationship Id="rId210" Type="http://schemas.openxmlformats.org/officeDocument/2006/relationships/hyperlink" Target="http://sovdoc.rusarchives.ru/" TargetMode="External"/><Relationship Id="rId392" Type="http://schemas.openxmlformats.org/officeDocument/2006/relationships/hyperlink" Target="http://sovdoc.rusarchives.ru/" TargetMode="External"/><Relationship Id="rId427" Type="http://schemas.openxmlformats.org/officeDocument/2006/relationships/hyperlink" Target="http://www.rpg-club.com/x1000" TargetMode="External"/><Relationship Id="rId26" Type="http://schemas.openxmlformats.org/officeDocument/2006/relationships/hyperlink" Target="http://istmat.info/node/35611" TargetMode="External"/><Relationship Id="rId231" Type="http://schemas.openxmlformats.org/officeDocument/2006/relationships/hyperlink" Target="http://www.rpg-club.com/x1000" TargetMode="External"/><Relationship Id="rId252" Type="http://schemas.openxmlformats.org/officeDocument/2006/relationships/hyperlink" Target="http://www.airwar.ru/enc/sww2/r5t.html" TargetMode="External"/><Relationship Id="rId273" Type="http://schemas.openxmlformats.org/officeDocument/2006/relationships/hyperlink" Target="http://www.airwar.ru/enc/other1/s55.html" TargetMode="External"/><Relationship Id="rId294" Type="http://schemas.openxmlformats.org/officeDocument/2006/relationships/hyperlink" Target="http://sovdoc.rusarchives.ru/" TargetMode="External"/><Relationship Id="rId308" Type="http://schemas.openxmlformats.org/officeDocument/2006/relationships/hyperlink" Target="http://sovdoc.rusarchives.ru/" TargetMode="External"/><Relationship Id="rId329" Type="http://schemas.openxmlformats.org/officeDocument/2006/relationships/hyperlink" Target="http://sovdoc.rusarchives.ru/" TargetMode="External"/><Relationship Id="rId47" Type="http://schemas.openxmlformats.org/officeDocument/2006/relationships/hyperlink" Target="http://www.rpg-club.com/x1000" TargetMode="External"/><Relationship Id="rId68" Type="http://schemas.openxmlformats.org/officeDocument/2006/relationships/hyperlink" Target="http://istmat.info/node/35660" TargetMode="External"/><Relationship Id="rId89" Type="http://schemas.openxmlformats.org/officeDocument/2006/relationships/hyperlink" Target="http://sovdoc.rusarchives.ru/" TargetMode="External"/><Relationship Id="rId112" Type="http://schemas.openxmlformats.org/officeDocument/2006/relationships/hyperlink" Target="http://www.airwar.ru/enc/cw1/bernard60.html" TargetMode="External"/><Relationship Id="rId133" Type="http://schemas.openxmlformats.org/officeDocument/2006/relationships/hyperlink" Target="http://istmat.info/node/48296" TargetMode="External"/><Relationship Id="rId154" Type="http://schemas.openxmlformats.org/officeDocument/2006/relationships/hyperlink" Target="http://www.airwar.ru/enc/fww1/f3u.html" TargetMode="External"/><Relationship Id="rId175" Type="http://schemas.openxmlformats.org/officeDocument/2006/relationships/hyperlink" Target="http://www.rpg-club.com/x1000" TargetMode="External"/><Relationship Id="rId340" Type="http://schemas.openxmlformats.org/officeDocument/2006/relationships/hyperlink" Target="http://sovdoc.rusarchives.ru/" TargetMode="External"/><Relationship Id="rId361" Type="http://schemas.openxmlformats.org/officeDocument/2006/relationships/hyperlink" Target="http://sovdoc.rusarchives.ru/" TargetMode="External"/><Relationship Id="rId196" Type="http://schemas.openxmlformats.org/officeDocument/2006/relationships/hyperlink" Target="http://www.e-reading.club/chapter.php/1005087/40/Gorlov_Sergey_-_Sovershenno_sekretno__Alyans_Moskva_-_Berlin_1920-1933_gg..html" TargetMode="External"/><Relationship Id="rId200" Type="http://schemas.openxmlformats.org/officeDocument/2006/relationships/hyperlink" Target="http://www.rpg-club.com/x1000" TargetMode="External"/><Relationship Id="rId382" Type="http://schemas.openxmlformats.org/officeDocument/2006/relationships/hyperlink" Target="http://ru.wikipedia.org/wiki/1934_%D0%B3%D0%BE%D0%B4" TargetMode="External"/><Relationship Id="rId417" Type="http://schemas.openxmlformats.org/officeDocument/2006/relationships/hyperlink" Target="http://www.rpg-club.com/x1000" TargetMode="External"/><Relationship Id="rId16" Type="http://schemas.openxmlformats.org/officeDocument/2006/relationships/hyperlink" Target="http://sovdoc.rusarchives.ru/" TargetMode="External"/><Relationship Id="rId221" Type="http://schemas.openxmlformats.org/officeDocument/2006/relationships/hyperlink" Target="http://www.airwar.ru/enc/cw1/dc1.html" TargetMode="External"/><Relationship Id="rId242" Type="http://schemas.openxmlformats.org/officeDocument/2006/relationships/hyperlink" Target="http://detectivebooks.ru/book/47013018/?page=26" TargetMode="External"/><Relationship Id="rId263" Type="http://schemas.openxmlformats.org/officeDocument/2006/relationships/hyperlink" Target="http://sovdoc.rusarchives.ru/" TargetMode="External"/><Relationship Id="rId284" Type="http://schemas.openxmlformats.org/officeDocument/2006/relationships/hyperlink" Target="http://www.airwar.ru/enc/cw1/ant14.html" TargetMode="External"/><Relationship Id="rId319" Type="http://schemas.openxmlformats.org/officeDocument/2006/relationships/hyperlink" Target="http://detectivebooks.ru/book/47013018/?page=12" TargetMode="External"/><Relationship Id="rId37" Type="http://schemas.openxmlformats.org/officeDocument/2006/relationships/hyperlink" Target="https://ru.wikipedia.org/wiki/%D0%A2%D0%B0%D0%BD%D0%B5%D0%B2,_%D0%92%D0%B0%D1%81%D0%B8%D0%BB" TargetMode="External"/><Relationship Id="rId58" Type="http://schemas.openxmlformats.org/officeDocument/2006/relationships/hyperlink" Target="http://sovdoc.rusarchives.ru/" TargetMode="External"/><Relationship Id="rId79" Type="http://schemas.openxmlformats.org/officeDocument/2006/relationships/hyperlink" Target="http://www.e-reading.club/chapter.php/1005087/40/Gorlov_Sergey_-_Sovershenno_sekretno__Alyans_Moskva_-_Berlin_1920-1933_gg..html" TargetMode="External"/><Relationship Id="rId102" Type="http://schemas.openxmlformats.org/officeDocument/2006/relationships/hyperlink" Target="http://ru.wikipedia.org/wiki/%CE%D0-2" TargetMode="External"/><Relationship Id="rId123" Type="http://schemas.openxmlformats.org/officeDocument/2006/relationships/hyperlink" Target="http://sovdoc.rusarchives.ru/" TargetMode="External"/><Relationship Id="rId144" Type="http://schemas.openxmlformats.org/officeDocument/2006/relationships/hyperlink" Target="http://ru.wikipedia.org/wiki/1933_%D0%B3%D0%BE%D0%B4" TargetMode="External"/><Relationship Id="rId330" Type="http://schemas.openxmlformats.org/officeDocument/2006/relationships/hyperlink" Target="http://sovdoc.rusarchives.ru/" TargetMode="External"/><Relationship Id="rId90" Type="http://schemas.openxmlformats.org/officeDocument/2006/relationships/hyperlink" Target="http://sovdoc.rusarchives.ru/" TargetMode="External"/><Relationship Id="rId165" Type="http://schemas.openxmlformats.org/officeDocument/2006/relationships/hyperlink" Target="http://www.e-reading.club/chapter.php/1005087/40/Gorlov_Sergey_-_Sovershenno_sekretno__Alyans_Moskva_-_Berlin_1920-1933_gg..html" TargetMode="External"/><Relationship Id="rId186" Type="http://schemas.openxmlformats.org/officeDocument/2006/relationships/hyperlink" Target="http://sovdoc.rusarchives.ru/" TargetMode="External"/><Relationship Id="rId351" Type="http://schemas.openxmlformats.org/officeDocument/2006/relationships/hyperlink" Target="http://www.rpg-club.com/x1000" TargetMode="External"/><Relationship Id="rId372" Type="http://schemas.openxmlformats.org/officeDocument/2006/relationships/hyperlink" Target="http://sovdoc.rusarchives.ru/" TargetMode="External"/><Relationship Id="rId393" Type="http://schemas.openxmlformats.org/officeDocument/2006/relationships/hyperlink" Target="http://sovdoc.rusarchives.ru/" TargetMode="External"/><Relationship Id="rId407" Type="http://schemas.openxmlformats.org/officeDocument/2006/relationships/hyperlink" Target="http://www.rpg-club.com/x1000" TargetMode="External"/><Relationship Id="rId428" Type="http://schemas.openxmlformats.org/officeDocument/2006/relationships/hyperlink" Target="http://www.rpg-club.com/x1000" TargetMode="External"/><Relationship Id="rId211" Type="http://schemas.openxmlformats.org/officeDocument/2006/relationships/hyperlink" Target="http://sovdoc.rusarchives.ru/" TargetMode="External"/><Relationship Id="rId232" Type="http://schemas.openxmlformats.org/officeDocument/2006/relationships/hyperlink" Target="http://www.rpg-club.com/x1000" TargetMode="External"/><Relationship Id="rId253" Type="http://schemas.openxmlformats.org/officeDocument/2006/relationships/hyperlink" Target="http://detectivebooks.ru/book/47013018/?page=23" TargetMode="External"/><Relationship Id="rId274" Type="http://schemas.openxmlformats.org/officeDocument/2006/relationships/hyperlink" Target="http://detectivebooks.ru/book/47013018/?page=17" TargetMode="External"/><Relationship Id="rId295" Type="http://schemas.openxmlformats.org/officeDocument/2006/relationships/hyperlink" Target="http://sovdoc.rusarchives.ru/" TargetMode="External"/><Relationship Id="rId309" Type="http://schemas.openxmlformats.org/officeDocument/2006/relationships/hyperlink" Target="http://sovdoc.rusarchives.ru/" TargetMode="External"/><Relationship Id="rId27" Type="http://schemas.openxmlformats.org/officeDocument/2006/relationships/hyperlink" Target="http://www.airwiki.org/enc/bww1/pv3.html" TargetMode="External"/><Relationship Id="rId48" Type="http://schemas.openxmlformats.org/officeDocument/2006/relationships/hyperlink" Target="http://www.rpg-club.com/x1000" TargetMode="External"/><Relationship Id="rId69" Type="http://schemas.openxmlformats.org/officeDocument/2006/relationships/hyperlink" Target="http://www.e-reading.club/chapter.php/1005087/39/Gorlov_Sergey_-_Sovershenno_sekretno__Alyans_Moskva_-_Berlin_1920-1933_gg..html" TargetMode="External"/><Relationship Id="rId113" Type="http://schemas.openxmlformats.org/officeDocument/2006/relationships/hyperlink" Target="http://sovdoc.rusarchives.ru/" TargetMode="External"/><Relationship Id="rId134" Type="http://schemas.openxmlformats.org/officeDocument/2006/relationships/hyperlink" Target="http://istmat.info/node/48297" TargetMode="External"/><Relationship Id="rId320" Type="http://schemas.openxmlformats.org/officeDocument/2006/relationships/hyperlink" Target="http://istmat.info/node/59181" TargetMode="External"/><Relationship Id="rId80" Type="http://schemas.openxmlformats.org/officeDocument/2006/relationships/hyperlink" Target="http://detectivebooks.ru/book/47013018/?page=26" TargetMode="External"/><Relationship Id="rId155" Type="http://schemas.openxmlformats.org/officeDocument/2006/relationships/hyperlink" Target="http://istmat.info/node/58875" TargetMode="External"/><Relationship Id="rId176" Type="http://schemas.openxmlformats.org/officeDocument/2006/relationships/hyperlink" Target="http://www.rpg-club.com/x1000" TargetMode="External"/><Relationship Id="rId197" Type="http://schemas.openxmlformats.org/officeDocument/2006/relationships/hyperlink" Target="http://www.rpg-club.com/x1000" TargetMode="External"/><Relationship Id="rId341" Type="http://schemas.openxmlformats.org/officeDocument/2006/relationships/hyperlink" Target="http://sovdoc.rusarchives.ru/" TargetMode="External"/><Relationship Id="rId362" Type="http://schemas.openxmlformats.org/officeDocument/2006/relationships/hyperlink" Target="http://detectivebooks.ru/book/47013018/?page=23" TargetMode="External"/><Relationship Id="rId383" Type="http://schemas.openxmlformats.org/officeDocument/2006/relationships/hyperlink" Target="http://ru.wikipedia.org/wiki/%D0%9F%D0%BE%D0%BB%D0%B8%D1%82%D0%B1%D1%8E%D1%80%D0%BE_%D0%A6%D0%9A_%D0%9A%D0%9F%D0%A1%D0%A1" TargetMode="External"/><Relationship Id="rId418" Type="http://schemas.openxmlformats.org/officeDocument/2006/relationships/hyperlink" Target="http://www.rpg-club.com/x1000" TargetMode="External"/><Relationship Id="rId201" Type="http://schemas.openxmlformats.org/officeDocument/2006/relationships/hyperlink" Target="http://www.rpg-club.com/x1000" TargetMode="External"/><Relationship Id="rId222" Type="http://schemas.openxmlformats.org/officeDocument/2006/relationships/hyperlink" Target="http://www.airwar.ru/enc/cw1/k5.html" TargetMode="External"/><Relationship Id="rId243" Type="http://schemas.openxmlformats.org/officeDocument/2006/relationships/hyperlink" Target="http://detectivebooks.ru/book/47013018/?page=26" TargetMode="External"/><Relationship Id="rId264" Type="http://schemas.openxmlformats.org/officeDocument/2006/relationships/hyperlink" Target="https://t34inform.ru/doc/1933-07-15_STV-2.html" TargetMode="External"/><Relationship Id="rId285" Type="http://schemas.openxmlformats.org/officeDocument/2006/relationships/hyperlink" Target="http://airspot.ru/catalogue/item/tsagi-ps-9-ant-9" TargetMode="External"/><Relationship Id="rId17" Type="http://schemas.openxmlformats.org/officeDocument/2006/relationships/hyperlink" Target="http://sovdoc.rusarchives.ru/" TargetMode="External"/><Relationship Id="rId38" Type="http://schemas.openxmlformats.org/officeDocument/2006/relationships/hyperlink" Target="https://ru.wikipedia.org/wiki/%D0%9F%D0%BE%D0%BF%D0%BE%D0%B2,_%D0%91%D0%BB%D0%B0%D0%B3%D0%BE%D0%B9" TargetMode="External"/><Relationship Id="rId59" Type="http://schemas.openxmlformats.org/officeDocument/2006/relationships/hyperlink" Target="http://www.airwar.ru/enc/sww2/e7k.html" TargetMode="External"/><Relationship Id="rId103" Type="http://schemas.openxmlformats.org/officeDocument/2006/relationships/hyperlink" Target="http://www.plam.ru/hist/porjadok_v_tankovyh_voiskah_kuda_propali_tanki_stalina/p2.php" TargetMode="External"/><Relationship Id="rId124" Type="http://schemas.openxmlformats.org/officeDocument/2006/relationships/hyperlink" Target="http://sovdoc.rusarchives.ru/" TargetMode="External"/><Relationship Id="rId310" Type="http://schemas.openxmlformats.org/officeDocument/2006/relationships/hyperlink" Target="http://sovdoc.rusarchives.ru/" TargetMode="External"/><Relationship Id="rId70" Type="http://schemas.openxmlformats.org/officeDocument/2006/relationships/hyperlink" Target="https://ru.wikipedia.org/wiki/%D0%9F%D0%BE%D0%B4%D0%B6%D0%BE%D0%B3_%D0%A0%D0%B5%D0%B9%D1%85%D1%81%D1%82%D0%B0%D0%B3%D0%B0" TargetMode="External"/><Relationship Id="rId91" Type="http://schemas.openxmlformats.org/officeDocument/2006/relationships/hyperlink" Target="http://sovdoc.rusarchives.ru/" TargetMode="External"/><Relationship Id="rId145" Type="http://schemas.openxmlformats.org/officeDocument/2006/relationships/hyperlink" Target="http://ru.wikipedia.org/w/index.php?title=%D0%A1%D0%BE%D1%8E%D0%B7%D0%B2%D0%B5%D1%80%D1%84%D1%8C&amp;action=edit&amp;redlink=1" TargetMode="External"/><Relationship Id="rId166" Type="http://schemas.openxmlformats.org/officeDocument/2006/relationships/hyperlink" Target="http://lechebnik.info/451/5.htm" TargetMode="External"/><Relationship Id="rId187" Type="http://schemas.openxmlformats.org/officeDocument/2006/relationships/hyperlink" Target="http://sovdoc.rusarchives.ru/" TargetMode="External"/><Relationship Id="rId331" Type="http://schemas.openxmlformats.org/officeDocument/2006/relationships/hyperlink" Target="http://sovdoc.rusarchives.ru/" TargetMode="External"/><Relationship Id="rId352" Type="http://schemas.openxmlformats.org/officeDocument/2006/relationships/hyperlink" Target="http://www.rpg-club.com/x1000" TargetMode="External"/><Relationship Id="rId373" Type="http://schemas.openxmlformats.org/officeDocument/2006/relationships/hyperlink" Target="http://sovdoc.rusarchives.ru/" TargetMode="External"/><Relationship Id="rId394" Type="http://schemas.openxmlformats.org/officeDocument/2006/relationships/hyperlink" Target="http://sovdoc.rusarchives.ru/" TargetMode="External"/><Relationship Id="rId408" Type="http://schemas.openxmlformats.org/officeDocument/2006/relationships/hyperlink" Target="http://www.rpg-club.com/x1000" TargetMode="External"/><Relationship Id="rId429" Type="http://schemas.openxmlformats.org/officeDocument/2006/relationships/hyperlink" Target="http://www.rpg-club.com/x1000" TargetMode="External"/><Relationship Id="rId1" Type="http://schemas.openxmlformats.org/officeDocument/2006/relationships/numbering" Target="numbering.xml"/><Relationship Id="rId212" Type="http://schemas.openxmlformats.org/officeDocument/2006/relationships/hyperlink" Target="http://sovdoc.rusarchives.ru/" TargetMode="External"/><Relationship Id="rId233" Type="http://schemas.openxmlformats.org/officeDocument/2006/relationships/hyperlink" Target="http://www.rpg-club.com/x1000" TargetMode="External"/><Relationship Id="rId254" Type="http://schemas.openxmlformats.org/officeDocument/2006/relationships/hyperlink" Target="http://detectivebooks.ru/book/47013018/?page=23" TargetMode="External"/><Relationship Id="rId28" Type="http://schemas.openxmlformats.org/officeDocument/2006/relationships/hyperlink" Target="https://ru.wikipedia.org/wiki/30_%D1%8F%D0%BD%D0%B2%D0%B0%D1%80%D1%8F" TargetMode="External"/><Relationship Id="rId49" Type="http://schemas.openxmlformats.org/officeDocument/2006/relationships/hyperlink" Target="http://www.rpg-club.com/x1000" TargetMode="External"/><Relationship Id="rId114" Type="http://schemas.openxmlformats.org/officeDocument/2006/relationships/hyperlink" Target="http://sovdoc.rusarchives.ru/" TargetMode="External"/><Relationship Id="rId275" Type="http://schemas.openxmlformats.org/officeDocument/2006/relationships/hyperlink" Target="http://warspot.ru/4365-shvedskie-tanki-otto-merkera" TargetMode="External"/><Relationship Id="rId296" Type="http://schemas.openxmlformats.org/officeDocument/2006/relationships/hyperlink" Target="http://sovdoc.rusarchives.ru/" TargetMode="External"/><Relationship Id="rId300" Type="http://schemas.openxmlformats.org/officeDocument/2006/relationships/hyperlink" Target="http://sovdoc.rusarchives.ru/" TargetMode="External"/><Relationship Id="rId60" Type="http://schemas.openxmlformats.org/officeDocument/2006/relationships/hyperlink" Target="http://www.airwar.ru/enc/attack/a7.html" TargetMode="External"/><Relationship Id="rId81" Type="http://schemas.openxmlformats.org/officeDocument/2006/relationships/hyperlink" Target="http://detectivebooks.ru/book/47013018/?page=26" TargetMode="External"/><Relationship Id="rId135" Type="http://schemas.openxmlformats.org/officeDocument/2006/relationships/hyperlink" Target="http://istmat.info/node/36227" TargetMode="External"/><Relationship Id="rId156" Type="http://schemas.openxmlformats.org/officeDocument/2006/relationships/hyperlink" Target="http://sovdoc.rusarchives.ru/" TargetMode="External"/><Relationship Id="rId177" Type="http://schemas.openxmlformats.org/officeDocument/2006/relationships/hyperlink" Target="http://www.rpg-club.com/x1000" TargetMode="External"/><Relationship Id="rId198" Type="http://schemas.openxmlformats.org/officeDocument/2006/relationships/hyperlink" Target="http://www.rpg-club.com/x1000" TargetMode="External"/><Relationship Id="rId321" Type="http://schemas.openxmlformats.org/officeDocument/2006/relationships/hyperlink" Target="http://sovdoc.rusarchives.ru/" TargetMode="External"/><Relationship Id="rId342" Type="http://schemas.openxmlformats.org/officeDocument/2006/relationships/hyperlink" Target="http://sovdoc.rusarchives.ru/" TargetMode="External"/><Relationship Id="rId363" Type="http://schemas.openxmlformats.org/officeDocument/2006/relationships/hyperlink" Target="http://detectivebooks.ru/book/47013018/?page=23" TargetMode="External"/><Relationship Id="rId384" Type="http://schemas.openxmlformats.org/officeDocument/2006/relationships/hyperlink" Target="http://ru.wikipedia.org/wiki/%D0%9F%D0%BE%D0%B4%D0%B2%D0%BE%D0%B4%D0%BD%D1%8B%D0%B5_%D0%BB%D0%BE%D0%B4%D0%BA%D0%B8_%D1%82%D0%B8%D0%BF%D0%B0_%C2%AB%D0%A9%D1%83%D0%BA%D0%B0%C2%BB" TargetMode="External"/><Relationship Id="rId419" Type="http://schemas.openxmlformats.org/officeDocument/2006/relationships/hyperlink" Target="http://www.rpg-club.com/x1000" TargetMode="External"/><Relationship Id="rId202" Type="http://schemas.openxmlformats.org/officeDocument/2006/relationships/hyperlink" Target="http://www.rpg-club.com/x1000" TargetMode="External"/><Relationship Id="rId223" Type="http://schemas.openxmlformats.org/officeDocument/2006/relationships/hyperlink" Target="http://www.airwar.ru/enc/sww2/walrus.html" TargetMode="External"/><Relationship Id="rId244" Type="http://schemas.openxmlformats.org/officeDocument/2006/relationships/hyperlink" Target="http://detectivebooks.ru/book/47013018/?page=26" TargetMode="External"/><Relationship Id="rId430" Type="http://schemas.openxmlformats.org/officeDocument/2006/relationships/hyperlink" Target="http://www.rpg-club.com/x1000" TargetMode="External"/><Relationship Id="rId18" Type="http://schemas.openxmlformats.org/officeDocument/2006/relationships/hyperlink" Target="http://sovdoc.rusarchives.ru/" TargetMode="External"/><Relationship Id="rId39" Type="http://schemas.openxmlformats.org/officeDocument/2006/relationships/hyperlink" Target="https://ru.wikipedia.org/wiki/%D0%9F%D0%B0%D1%80%D0%BB%D0%B0%D0%BC%D0%B5%D0%BD%D1%82%D1%81%D0%BA%D0%B8%D0%B5_%D0%B2%D1%8B%D0%B1%D0%BE%D1%80%D1%8B_%D0%B2_%D0%93%D0%B5%D1%80%D0%BC%D0%B0%D0%BD%D0%B8%D0%B8_(1933,_%D0%BC%D0%B0%D1%80%D1%82)" TargetMode="External"/><Relationship Id="rId265" Type="http://schemas.openxmlformats.org/officeDocument/2006/relationships/hyperlink" Target="http://istmat.info/node/48309" TargetMode="External"/><Relationship Id="rId286" Type="http://schemas.openxmlformats.org/officeDocument/2006/relationships/hyperlink" Target="http://www.airwar.ru/enc/bww2/tb3.html" TargetMode="External"/><Relationship Id="rId50" Type="http://schemas.openxmlformats.org/officeDocument/2006/relationships/hyperlink" Target="http://www.airwar.ru/enc/bww1/h255.html" TargetMode="External"/><Relationship Id="rId104" Type="http://schemas.openxmlformats.org/officeDocument/2006/relationships/hyperlink" Target="http://sovdoc.rusarchives.ru/" TargetMode="External"/><Relationship Id="rId125" Type="http://schemas.openxmlformats.org/officeDocument/2006/relationships/hyperlink" Target="http://sovdoc.rusarchives.ru/" TargetMode="External"/><Relationship Id="rId146" Type="http://schemas.openxmlformats.org/officeDocument/2006/relationships/hyperlink" Target="http://ru.wikipedia.org/wiki/%D0%94%D0%B5%D1%88%D0%B8%D0%BC%D0%B0%D0%B3" TargetMode="External"/><Relationship Id="rId167" Type="http://schemas.openxmlformats.org/officeDocument/2006/relationships/hyperlink" Target="http://www.airwar.ru/enc/fww1/v80.html" TargetMode="External"/><Relationship Id="rId188" Type="http://schemas.openxmlformats.org/officeDocument/2006/relationships/hyperlink" Target="http://sovdoc.rusarchives.ru/" TargetMode="External"/><Relationship Id="rId311" Type="http://schemas.openxmlformats.org/officeDocument/2006/relationships/hyperlink" Target="http://sovdoc.rusarchives.ru/" TargetMode="External"/><Relationship Id="rId332" Type="http://schemas.openxmlformats.org/officeDocument/2006/relationships/hyperlink" Target="http://detectivebooks.ru/book/47013018/?page=17" TargetMode="External"/><Relationship Id="rId353" Type="http://schemas.openxmlformats.org/officeDocument/2006/relationships/hyperlink" Target="http://sovdoc.rusarchives.ru/" TargetMode="External"/><Relationship Id="rId374" Type="http://schemas.openxmlformats.org/officeDocument/2006/relationships/hyperlink" Target="http://sovdoc.rusarchives.ru/" TargetMode="External"/><Relationship Id="rId395" Type="http://schemas.openxmlformats.org/officeDocument/2006/relationships/hyperlink" Target="http://sovdoc.rusarchives.ru/" TargetMode="External"/><Relationship Id="rId409" Type="http://schemas.openxmlformats.org/officeDocument/2006/relationships/hyperlink" Target="http://www.rpg-club.com/x1000" TargetMode="External"/><Relationship Id="rId71" Type="http://schemas.openxmlformats.org/officeDocument/2006/relationships/hyperlink" Target="https://ru.wikipedia.org/wiki/%D0%92%D0%B0%D0%BD_%D0%B4%D0%B5%D1%80_%D0%9B%D1%8E%D0%B1%D0%B1%D0%B5,_%D0%9C%D0%B0%D1%80%D0%B8%D0%BD%D1%83%D1%81" TargetMode="External"/><Relationship Id="rId92" Type="http://schemas.openxmlformats.org/officeDocument/2006/relationships/hyperlink" Target="https://ru.wikipedia.org/wiki/5_%D0%BC%D0%B0%D1%80%D1%82%D0%B0" TargetMode="External"/><Relationship Id="rId213" Type="http://schemas.openxmlformats.org/officeDocument/2006/relationships/hyperlink" Target="http://www.opentextnn.ru/censorship/russia/sov/law/tsk/1930/&amp;DTh_Code=64" TargetMode="External"/><Relationship Id="rId234" Type="http://schemas.openxmlformats.org/officeDocument/2006/relationships/hyperlink" Target="http://www.rpg-club.com/x1000" TargetMode="External"/><Relationship Id="rId420" Type="http://schemas.openxmlformats.org/officeDocument/2006/relationships/hyperlink" Target="http://www.rpg-club.com/x1000" TargetMode="External"/><Relationship Id="rId2" Type="http://schemas.openxmlformats.org/officeDocument/2006/relationships/styles" Target="styles.xml"/><Relationship Id="rId29" Type="http://schemas.openxmlformats.org/officeDocument/2006/relationships/hyperlink" Target="https://ru.wikipedia.org/wiki/30_%D1%8F%D0%BD%D0%B2%D0%B0%D1%80%D1%8F" TargetMode="External"/><Relationship Id="rId255" Type="http://schemas.openxmlformats.org/officeDocument/2006/relationships/hyperlink" Target="http://detectivebooks.ru/book/47013018/?page=23" TargetMode="External"/><Relationship Id="rId276" Type="http://schemas.openxmlformats.org/officeDocument/2006/relationships/hyperlink" Target="http://www.airwar.ru/enc/cw1/k5.html" TargetMode="External"/><Relationship Id="rId297" Type="http://schemas.openxmlformats.org/officeDocument/2006/relationships/hyperlink" Target="http://sovdoc.rusarchives.ru/" TargetMode="External"/><Relationship Id="rId40" Type="http://schemas.openxmlformats.org/officeDocument/2006/relationships/hyperlink" Target="https://ru.wikipedia.org/wiki/5_%D0%BC%D0%B0%D1%80%D1%82%D0%B0" TargetMode="External"/><Relationship Id="rId115" Type="http://schemas.openxmlformats.org/officeDocument/2006/relationships/hyperlink" Target="http://sovdoc.rusarchives.ru/" TargetMode="External"/><Relationship Id="rId136" Type="http://schemas.openxmlformats.org/officeDocument/2006/relationships/hyperlink" Target="http://istmat.info/node/58875" TargetMode="External"/><Relationship Id="rId157" Type="http://schemas.openxmlformats.org/officeDocument/2006/relationships/hyperlink" Target="http://sovdoc.rusarchives.ru/" TargetMode="External"/><Relationship Id="rId178" Type="http://schemas.openxmlformats.org/officeDocument/2006/relationships/hyperlink" Target="http://www.rpg-club.com/x1000" TargetMode="External"/><Relationship Id="rId301" Type="http://schemas.openxmlformats.org/officeDocument/2006/relationships/hyperlink" Target="http://sovdoc.rusarchives.ru/" TargetMode="External"/><Relationship Id="rId322" Type="http://schemas.openxmlformats.org/officeDocument/2006/relationships/hyperlink" Target="http://sovdoc.rusarchives.ru/" TargetMode="External"/><Relationship Id="rId343" Type="http://schemas.openxmlformats.org/officeDocument/2006/relationships/hyperlink" Target="http://sovdoc.rusarchives.ru/" TargetMode="External"/><Relationship Id="rId364" Type="http://schemas.openxmlformats.org/officeDocument/2006/relationships/hyperlink" Target="http://sovdoc.rusarchives.ru/" TargetMode="External"/><Relationship Id="rId61" Type="http://schemas.openxmlformats.org/officeDocument/2006/relationships/hyperlink" Target="http://sovdoc.rusarchives.ru/" TargetMode="External"/><Relationship Id="rId82" Type="http://schemas.openxmlformats.org/officeDocument/2006/relationships/hyperlink" Target="http://detectivebooks.ru/book/47013018/?page=26" TargetMode="External"/><Relationship Id="rId199" Type="http://schemas.openxmlformats.org/officeDocument/2006/relationships/hyperlink" Target="http://www.rpg-club.com/x1000" TargetMode="External"/><Relationship Id="rId203" Type="http://schemas.openxmlformats.org/officeDocument/2006/relationships/hyperlink" Target="http://sovdoc.rusarchives.ru/" TargetMode="External"/><Relationship Id="rId385" Type="http://schemas.openxmlformats.org/officeDocument/2006/relationships/hyperlink" Target="http://ru.wikipedia.org/wiki/%D0%91%D0%B0%D0%BB%D1%82%D0%B8%D0%B9%D1%81%D0%BA%D0%B8%D0%B9_%D0%B7%D0%B0%D0%B2%D0%BE%D0%B4" TargetMode="External"/><Relationship Id="rId19" Type="http://schemas.openxmlformats.org/officeDocument/2006/relationships/hyperlink" Target="http://sovdoc.rusarchives.ru/" TargetMode="External"/><Relationship Id="rId224" Type="http://schemas.openxmlformats.org/officeDocument/2006/relationships/hyperlink" Target="http://www.airwar.ru/enc/other1/wk3.html" TargetMode="External"/><Relationship Id="rId245" Type="http://schemas.openxmlformats.org/officeDocument/2006/relationships/hyperlink" Target="http://detectivebooks.ru/book/47013018/?page=26" TargetMode="External"/><Relationship Id="rId266" Type="http://schemas.openxmlformats.org/officeDocument/2006/relationships/hyperlink" Target="http://www.e-reading.club/chapter.php/1005087/40/Gorlov_Sergey_-_Sovershenno_sekretno__Alyans_Moskva_-_Berlin_1920-1933_gg..html" TargetMode="External"/><Relationship Id="rId287" Type="http://schemas.openxmlformats.org/officeDocument/2006/relationships/hyperlink" Target="http://www.airwar.ru/enc/law1/meindla7.html" TargetMode="External"/><Relationship Id="rId410" Type="http://schemas.openxmlformats.org/officeDocument/2006/relationships/hyperlink" Target="http://www.rpg-club.com/x1000" TargetMode="External"/><Relationship Id="rId431" Type="http://schemas.openxmlformats.org/officeDocument/2006/relationships/hyperlink" Target="http://www.rpg-club.com/x1000" TargetMode="External"/><Relationship Id="rId30" Type="http://schemas.openxmlformats.org/officeDocument/2006/relationships/hyperlink" Target="https://ru.wikipedia.org/wiki/1933" TargetMode="External"/><Relationship Id="rId105" Type="http://schemas.openxmlformats.org/officeDocument/2006/relationships/hyperlink" Target="http://sovdoc.rusarchives.ru/" TargetMode="External"/><Relationship Id="rId126" Type="http://schemas.openxmlformats.org/officeDocument/2006/relationships/hyperlink" Target="http://sovdoc.rusarchives.ru/" TargetMode="External"/><Relationship Id="rId147" Type="http://schemas.openxmlformats.org/officeDocument/2006/relationships/hyperlink" Target="http://ru.wikipedia.org/wiki/12_%D0%B0%D0%B2%D0%B3%D1%83%D1%81%D1%82%D0%B0" TargetMode="External"/><Relationship Id="rId168" Type="http://schemas.openxmlformats.org/officeDocument/2006/relationships/hyperlink" Target="http://www.airwar.ru/enc/fww1/mi3.html" TargetMode="External"/><Relationship Id="rId312" Type="http://schemas.openxmlformats.org/officeDocument/2006/relationships/hyperlink" Target="http://sovdoc.rusarchives.ru/" TargetMode="External"/><Relationship Id="rId333" Type="http://schemas.openxmlformats.org/officeDocument/2006/relationships/hyperlink" Target="http://detectivebooks.ru/book/47013018/?page=17" TargetMode="External"/><Relationship Id="rId354" Type="http://schemas.openxmlformats.org/officeDocument/2006/relationships/hyperlink" Target="http://sovdoc.rusarchives.ru/" TargetMode="External"/><Relationship Id="rId51" Type="http://schemas.openxmlformats.org/officeDocument/2006/relationships/hyperlink" Target="http://www.airwar.ru/enc/cw1/t32.html" TargetMode="External"/><Relationship Id="rId72" Type="http://schemas.openxmlformats.org/officeDocument/2006/relationships/hyperlink" Target="https://ru.wikipedia.org/wiki/%D0%A2%D0%BE%D1%80%D0%B3%D0%BB%D0%B5%D1%80,_%D0%AD%D1%80%D0%BD%D1%81%D1%82" TargetMode="External"/><Relationship Id="rId93" Type="http://schemas.openxmlformats.org/officeDocument/2006/relationships/hyperlink" Target="https://ru.wikipedia.org/wiki/1933_%D0%B3%D0%BE%D0%B4" TargetMode="External"/><Relationship Id="rId189" Type="http://schemas.openxmlformats.org/officeDocument/2006/relationships/hyperlink" Target="http://sovdoc.rusarchives.ru/" TargetMode="External"/><Relationship Id="rId375" Type="http://schemas.openxmlformats.org/officeDocument/2006/relationships/hyperlink" Target="http://sovdoc.rusarchives.ru/" TargetMode="External"/><Relationship Id="rId396" Type="http://schemas.openxmlformats.org/officeDocument/2006/relationships/hyperlink" Target="http://sovdoc.rusarchives.ru/" TargetMode="External"/><Relationship Id="rId3" Type="http://schemas.openxmlformats.org/officeDocument/2006/relationships/settings" Target="settings.xml"/><Relationship Id="rId214" Type="http://schemas.openxmlformats.org/officeDocument/2006/relationships/hyperlink" Target="http://www.opentextnn.ru/censorship/russia/sov/law/tsk/1930/&amp;DTh_Code=64" TargetMode="External"/><Relationship Id="rId235" Type="http://schemas.openxmlformats.org/officeDocument/2006/relationships/hyperlink" Target="http://www.rpg-club.com/x1000" TargetMode="External"/><Relationship Id="rId256" Type="http://schemas.openxmlformats.org/officeDocument/2006/relationships/hyperlink" Target="http://www.airwar.ru/enc/bww1/tsr1.html" TargetMode="External"/><Relationship Id="rId277" Type="http://schemas.openxmlformats.org/officeDocument/2006/relationships/hyperlink" Target="http://sovdoc.rusarchives.ru/" TargetMode="External"/><Relationship Id="rId298" Type="http://schemas.openxmlformats.org/officeDocument/2006/relationships/hyperlink" Target="http://sovdoc.rusarchives.ru/" TargetMode="External"/><Relationship Id="rId400" Type="http://schemas.openxmlformats.org/officeDocument/2006/relationships/hyperlink" Target="http://sovdoc.rusarchives.ru/" TargetMode="External"/><Relationship Id="rId421" Type="http://schemas.openxmlformats.org/officeDocument/2006/relationships/hyperlink" Target="http://www.rpg-club.com/x1000" TargetMode="External"/><Relationship Id="rId116" Type="http://schemas.openxmlformats.org/officeDocument/2006/relationships/hyperlink" Target="http://sovdoc.rusarchives.ru/" TargetMode="External"/><Relationship Id="rId137" Type="http://schemas.openxmlformats.org/officeDocument/2006/relationships/hyperlink" Target="http://warspot.ru/5638-armeyskie-zemnovodnye" TargetMode="External"/><Relationship Id="rId158" Type="http://schemas.openxmlformats.org/officeDocument/2006/relationships/hyperlink" Target="http://sovdoc.rusarchives.ru/" TargetMode="External"/><Relationship Id="rId302" Type="http://schemas.openxmlformats.org/officeDocument/2006/relationships/hyperlink" Target="http://detectivebooks.ru/book/47013018/?page=23" TargetMode="External"/><Relationship Id="rId323" Type="http://schemas.openxmlformats.org/officeDocument/2006/relationships/hyperlink" Target="http://sovdoc.rusarchives.ru/" TargetMode="External"/><Relationship Id="rId344" Type="http://schemas.openxmlformats.org/officeDocument/2006/relationships/hyperlink" Target="http://istmat.info/node/59222" TargetMode="External"/><Relationship Id="rId20" Type="http://schemas.openxmlformats.org/officeDocument/2006/relationships/hyperlink" Target="http://sovdoc.rusarchives.ru/" TargetMode="External"/><Relationship Id="rId41" Type="http://schemas.openxmlformats.org/officeDocument/2006/relationships/hyperlink" Target="https://ru.wikipedia.org/wiki/1933_%D0%B3%D0%BE%D0%B4" TargetMode="External"/><Relationship Id="rId62" Type="http://schemas.openxmlformats.org/officeDocument/2006/relationships/hyperlink" Target="http://sovdoc.rusarchives.ru/" TargetMode="External"/><Relationship Id="rId83" Type="http://schemas.openxmlformats.org/officeDocument/2006/relationships/hyperlink" Target="http://detectivebooks.ru/book/47013018/?page=26" TargetMode="External"/><Relationship Id="rId179" Type="http://schemas.openxmlformats.org/officeDocument/2006/relationships/hyperlink" Target="http://www.rpg-club.com/x1000" TargetMode="External"/><Relationship Id="rId365" Type="http://schemas.openxmlformats.org/officeDocument/2006/relationships/hyperlink" Target="http://sovdoc.rusarchives.ru/" TargetMode="External"/><Relationship Id="rId386" Type="http://schemas.openxmlformats.org/officeDocument/2006/relationships/hyperlink" Target="http://ru.wikipedia.org/wiki/%D0%91%D0%B0%D0%BB%D1%82%D0%B8%D0%B9%D1%81%D0%BA%D0%B8%D0%B9_%D0%B7%D0%B0%D0%B2%D0%BE%D0%B4" TargetMode="External"/><Relationship Id="rId190" Type="http://schemas.openxmlformats.org/officeDocument/2006/relationships/hyperlink" Target="http://sovdoc.rusarchives.ru/" TargetMode="External"/><Relationship Id="rId204" Type="http://schemas.openxmlformats.org/officeDocument/2006/relationships/hyperlink" Target="http://sovdoc.rusarchives.ru/" TargetMode="External"/><Relationship Id="rId225" Type="http://schemas.openxmlformats.org/officeDocument/2006/relationships/hyperlink" Target="http://detectivebooks.ru/book/47013018/?page=12" TargetMode="External"/><Relationship Id="rId246" Type="http://schemas.openxmlformats.org/officeDocument/2006/relationships/hyperlink" Target="http://sovdoc.rusarchives.ru/" TargetMode="External"/><Relationship Id="rId267" Type="http://schemas.openxmlformats.org/officeDocument/2006/relationships/hyperlink" Target="http://www.e-reading.club/chapter.php/1005087/40/Gorlov_Sergey_-_Sovershenno_sekretno__Alyans_Moskva_-_Berlin_1920-1933_gg..html" TargetMode="External"/><Relationship Id="rId288" Type="http://schemas.openxmlformats.org/officeDocument/2006/relationships/hyperlink" Target="http://ru.wikipedia.org/wiki/1933_%D0%B3%D0%BE%D0%B4" TargetMode="External"/><Relationship Id="rId411" Type="http://schemas.openxmlformats.org/officeDocument/2006/relationships/hyperlink" Target="http://www.rpg-club.com/x1000" TargetMode="External"/><Relationship Id="rId432" Type="http://schemas.openxmlformats.org/officeDocument/2006/relationships/hyperlink" Target="http://www.rpg-club.com/x1000" TargetMode="External"/><Relationship Id="rId106" Type="http://schemas.openxmlformats.org/officeDocument/2006/relationships/hyperlink" Target="http://sovdoc.rusarchives.ru/" TargetMode="External"/><Relationship Id="rId127" Type="http://schemas.openxmlformats.org/officeDocument/2006/relationships/hyperlink" Target="http://sovdoc.rusarchives.ru/" TargetMode="External"/><Relationship Id="rId313" Type="http://schemas.openxmlformats.org/officeDocument/2006/relationships/hyperlink" Target="http://sovdoc.rusarchives.ru/" TargetMode="External"/><Relationship Id="rId10" Type="http://schemas.openxmlformats.org/officeDocument/2006/relationships/hyperlink" Target="http://detectivebooks.ru/book/47013018/?page=47" TargetMode="External"/><Relationship Id="rId31" Type="http://schemas.openxmlformats.org/officeDocument/2006/relationships/hyperlink" Target="https://ru.wikipedia.org/wiki/%D0%93%D0%B8%D1%82%D0%BB%D0%B5%D1%80,_%D0%90%D0%B4%D0%BE%D0%BB%D1%8C%D1%84" TargetMode="External"/><Relationship Id="rId52" Type="http://schemas.openxmlformats.org/officeDocument/2006/relationships/hyperlink" Target="http://detectivebooks.ru/book/47013018/?page=36" TargetMode="External"/><Relationship Id="rId73" Type="http://schemas.openxmlformats.org/officeDocument/2006/relationships/hyperlink" Target="https://ru.wikipedia.org/wiki/%D0%94%D0%B8%D0%BC%D0%B8%D1%82%D1%80%D0%BE%D0%B2,_%D0%93%D0%B5%D0%BE%D1%80%D0%B3%D0%B8%D0%B9_%D0%9C%D0%B8%D1%85%D0%B0%D0%B9%D0%BB%D0%BE%D0%B2%D0%B8%D1%87" TargetMode="External"/><Relationship Id="rId94" Type="http://schemas.openxmlformats.org/officeDocument/2006/relationships/hyperlink" Target="https://ru.wikipedia.org/wiki/%D0%9F%D0%B0%D1%80%D0%BB%D0%B0%D0%BC%D0%B5%D0%BD%D1%82%D1%81%D0%BA%D0%B8%D0%B5_%D0%B2%D1%8B%D0%B1%D0%BE%D1%80%D1%8B_%D0%B2_%D0%93%D0%B5%D1%80%D0%BC%D0%B0%D0%BD%D0%B8%D0%B8_(1933,_%D0%BC%D0%B0%D1%80%D1%82)" TargetMode="External"/><Relationship Id="rId148" Type="http://schemas.openxmlformats.org/officeDocument/2006/relationships/hyperlink" Target="http://vadimvswar.narod.ru/ALL_OUT/AiKOut09/M-34dvig/M-34dvig004.htm" TargetMode="External"/><Relationship Id="rId169" Type="http://schemas.openxmlformats.org/officeDocument/2006/relationships/hyperlink" Target="http://airspot.ru/catalogue/item/suhoy-i-14" TargetMode="External"/><Relationship Id="rId334" Type="http://schemas.openxmlformats.org/officeDocument/2006/relationships/hyperlink" Target="http://sovdoc.rusarchives.ru/" TargetMode="External"/><Relationship Id="rId355" Type="http://schemas.openxmlformats.org/officeDocument/2006/relationships/hyperlink" Target="http://sovdoc.rusarchives.ru/" TargetMode="External"/><Relationship Id="rId376" Type="http://schemas.openxmlformats.org/officeDocument/2006/relationships/hyperlink" Target="http://detectivebooks.ru/book/47013018/?page=12" TargetMode="External"/><Relationship Id="rId397" Type="http://schemas.openxmlformats.org/officeDocument/2006/relationships/hyperlink" Target="http://sovdoc.rusarchives.ru/" TargetMode="External"/><Relationship Id="rId4" Type="http://schemas.openxmlformats.org/officeDocument/2006/relationships/webSettings" Target="webSettings.xml"/><Relationship Id="rId180" Type="http://schemas.openxmlformats.org/officeDocument/2006/relationships/hyperlink" Target="http://www.rpg-club.com/x1000" TargetMode="External"/><Relationship Id="rId215" Type="http://schemas.openxmlformats.org/officeDocument/2006/relationships/hyperlink" Target="http://www.opentextnn.ru/censorship/russia/sov/law/tsk/1930/&amp;DTh_Code=64" TargetMode="External"/><Relationship Id="rId236" Type="http://schemas.openxmlformats.org/officeDocument/2006/relationships/hyperlink" Target="http://www.rpg-club.com/x1000" TargetMode="External"/><Relationship Id="rId257" Type="http://schemas.openxmlformats.org/officeDocument/2006/relationships/hyperlink" Target="http://detectivebooks.ru/book/47013018/?page=14" TargetMode="External"/><Relationship Id="rId278" Type="http://schemas.openxmlformats.org/officeDocument/2006/relationships/hyperlink" Target="http://sovdoc.rusarchives.ru/" TargetMode="External"/><Relationship Id="rId401" Type="http://schemas.openxmlformats.org/officeDocument/2006/relationships/hyperlink" Target="http://sovdoc.rusarchives.ru/" TargetMode="External"/><Relationship Id="rId422" Type="http://schemas.openxmlformats.org/officeDocument/2006/relationships/hyperlink" Target="http://detectivebooks.ru/book/47013018/?page=37" TargetMode="External"/><Relationship Id="rId303" Type="http://schemas.openxmlformats.org/officeDocument/2006/relationships/hyperlink" Target="http://www.libussr.ru/doc_ussr/ussr_4275.htm" TargetMode="External"/><Relationship Id="rId42" Type="http://schemas.openxmlformats.org/officeDocument/2006/relationships/hyperlink" Target="http://www.rpg-club.com/x1000" TargetMode="External"/><Relationship Id="rId84" Type="http://schemas.openxmlformats.org/officeDocument/2006/relationships/hyperlink" Target="http://detectivebooks.ru/book/47013018/?page=31" TargetMode="External"/><Relationship Id="rId138" Type="http://schemas.openxmlformats.org/officeDocument/2006/relationships/hyperlink" Target="http://warspot.ru/6355-alternativa-bez-perspektiv" TargetMode="External"/><Relationship Id="rId345" Type="http://schemas.openxmlformats.org/officeDocument/2006/relationships/hyperlink" Target="http://detectivebooks.ru/book/47013018/?page=18" TargetMode="External"/><Relationship Id="rId387" Type="http://schemas.openxmlformats.org/officeDocument/2006/relationships/hyperlink" Target="http://detectivebooks.ru/book/47013018/?page=40" TargetMode="External"/><Relationship Id="rId191" Type="http://schemas.openxmlformats.org/officeDocument/2006/relationships/hyperlink" Target="http://sovdoc.rusarchives.ru/" TargetMode="External"/><Relationship Id="rId205" Type="http://schemas.openxmlformats.org/officeDocument/2006/relationships/hyperlink" Target="http://sovdoc.rusarchives.ru/" TargetMode="External"/><Relationship Id="rId247" Type="http://schemas.openxmlformats.org/officeDocument/2006/relationships/hyperlink" Target="http://sovdoc.rusarchives.ru/" TargetMode="External"/><Relationship Id="rId412" Type="http://schemas.openxmlformats.org/officeDocument/2006/relationships/hyperlink" Target="http://www.rpg-club.com/x1000" TargetMode="External"/><Relationship Id="rId107" Type="http://schemas.openxmlformats.org/officeDocument/2006/relationships/hyperlink" Target="http://sovdoc.rusarchives.ru/" TargetMode="External"/><Relationship Id="rId289" Type="http://schemas.openxmlformats.org/officeDocument/2006/relationships/hyperlink" Target="http://ru.wikipedia.org/w/index.php?title=%D0%A1%D0%BE%D1%8E%D0%B7%D0%B2%D0%B5%D1%80%D1%84%D1%8C&amp;action=edit&amp;redlink=1" TargetMode="External"/><Relationship Id="rId11" Type="http://schemas.openxmlformats.org/officeDocument/2006/relationships/hyperlink" Target="http://detectivebooks.ru/book/47013018/?page=47" TargetMode="External"/><Relationship Id="rId53" Type="http://schemas.openxmlformats.org/officeDocument/2006/relationships/hyperlink" Target="http://detectivebooks.ru/book/47013018/?page=36" TargetMode="External"/><Relationship Id="rId149" Type="http://schemas.openxmlformats.org/officeDocument/2006/relationships/hyperlink" Target="http://airspot.ru/catalogue/item/dornier-do-15-wal" TargetMode="External"/><Relationship Id="rId314" Type="http://schemas.openxmlformats.org/officeDocument/2006/relationships/hyperlink" Target="http://sovdoc.rusarchives.ru/" TargetMode="External"/><Relationship Id="rId356" Type="http://schemas.openxmlformats.org/officeDocument/2006/relationships/hyperlink" Target="http://sovdoc.rusarchives.ru/" TargetMode="External"/><Relationship Id="rId398" Type="http://schemas.openxmlformats.org/officeDocument/2006/relationships/hyperlink" Target="http://sovdoc.rusarchives.ru/" TargetMode="External"/><Relationship Id="rId95" Type="http://schemas.openxmlformats.org/officeDocument/2006/relationships/hyperlink" Target="http://sovdoc.rusarchives.ru/" TargetMode="External"/><Relationship Id="rId160" Type="http://schemas.openxmlformats.org/officeDocument/2006/relationships/hyperlink" Target="http://sovdoc.rusarchives.ru/" TargetMode="External"/><Relationship Id="rId216" Type="http://schemas.openxmlformats.org/officeDocument/2006/relationships/hyperlink" Target="http://www.opentextnn.ru/censorship/russia/sov/law/tsk/1930/&amp;DTh_Code=64" TargetMode="External"/><Relationship Id="rId423" Type="http://schemas.openxmlformats.org/officeDocument/2006/relationships/hyperlink" Target="http://www.rpg-club.com/x1000" TargetMode="External"/><Relationship Id="rId258" Type="http://schemas.openxmlformats.org/officeDocument/2006/relationships/hyperlink" Target="http://istmat.info/node/48304" TargetMode="External"/><Relationship Id="rId22" Type="http://schemas.openxmlformats.org/officeDocument/2006/relationships/hyperlink" Target="http://sovdoc.rusarchives.ru/" TargetMode="External"/><Relationship Id="rId64" Type="http://schemas.openxmlformats.org/officeDocument/2006/relationships/hyperlink" Target="http://sovdoc.rusarchives.ru/" TargetMode="External"/><Relationship Id="rId118" Type="http://schemas.openxmlformats.org/officeDocument/2006/relationships/hyperlink" Target="http://sovdoc.rusarchives.ru/" TargetMode="External"/><Relationship Id="rId325" Type="http://schemas.openxmlformats.org/officeDocument/2006/relationships/hyperlink" Target="http://sovdoc.rusarchives.ru/" TargetMode="External"/><Relationship Id="rId367" Type="http://schemas.openxmlformats.org/officeDocument/2006/relationships/hyperlink" Target="http://sovdoc.rusarchives.ru/" TargetMode="External"/><Relationship Id="rId171" Type="http://schemas.openxmlformats.org/officeDocument/2006/relationships/hyperlink" Target="http://www.airwar.ru/enc/fww1/f11c.html" TargetMode="External"/><Relationship Id="rId227" Type="http://schemas.openxmlformats.org/officeDocument/2006/relationships/hyperlink" Target="http://detectivebooks.ru/book/47013018/?page=2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622</TotalTime>
  <Pages>817</Pages>
  <Words>923804</Words>
  <Characters>5265683</Characters>
  <Application>Microsoft Office Word</Application>
  <DocSecurity>0</DocSecurity>
  <Lines>43880</Lines>
  <Paragraphs>12354</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6177133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Пользователь</cp:lastModifiedBy>
  <cp:revision>208</cp:revision>
  <dcterms:created xsi:type="dcterms:W3CDTF">2022-04-08T17:22:00Z</dcterms:created>
  <dcterms:modified xsi:type="dcterms:W3CDTF">2022-05-08T07:43:00Z</dcterms:modified>
</cp:coreProperties>
</file>